
<file path=[Content_Types].xml><?xml version="1.0" encoding="utf-8"?>
<Types xmlns="http://schemas.openxmlformats.org/package/2006/content-types">
  <Default Extension="xml" ContentType="application/xml"/>
  <Default Extension="bin" ContentType="application/vnd.openxmlformats-officedocument.oleObject"/>
  <Default Extension="png" ContentType="image/png"/>
  <Default Extension="emf" ContentType="image/x-emf"/>
  <Default Extension="wmf" ContentType="image/x-wmf"/>
  <Default Extension="jpeg" ContentType="image/jpeg"/>
  <Default Extension="JPG" ContentType="image/.jp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mbeddings/Microsoft_Visio_2003-2010___1.vsd" ContentType="application/vnd.visio"/>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4F3FB950">
      <w:pPr>
        <w:rPr>
          <w:sz w:val="36"/>
          <w:szCs w:val="36"/>
          <w:highlight w:val="none"/>
        </w:rPr>
      </w:pPr>
    </w:p>
    <w:p w14:paraId="74F9A59D">
      <w:pPr>
        <w:rPr>
          <w:sz w:val="36"/>
          <w:szCs w:val="36"/>
          <w:highlight w:val="none"/>
        </w:rPr>
      </w:pPr>
    </w:p>
    <w:p w14:paraId="4C4CC1CA">
      <w:pPr>
        <w:rPr>
          <w:sz w:val="36"/>
          <w:szCs w:val="36"/>
          <w:highlight w:val="none"/>
        </w:rPr>
      </w:pPr>
    </w:p>
    <w:p w14:paraId="3DF31217">
      <w:pPr>
        <w:rPr>
          <w:sz w:val="36"/>
          <w:szCs w:val="36"/>
          <w:highlight w:val="none"/>
        </w:rPr>
      </w:pPr>
    </w:p>
    <w:p w14:paraId="1918294E">
      <w:pPr>
        <w:rPr>
          <w:sz w:val="36"/>
          <w:szCs w:val="36"/>
          <w:highlight w:val="none"/>
        </w:rPr>
      </w:pPr>
    </w:p>
    <w:p w14:paraId="488A5ADD">
      <w:pPr>
        <w:bidi w:val="0"/>
        <w:jc w:val="center"/>
        <w:rPr>
          <w:sz w:val="72"/>
          <w:szCs w:val="72"/>
          <w:highlight w:val="none"/>
        </w:rPr>
      </w:pPr>
      <w:bookmarkStart w:id="0" w:name="_Toc66538244"/>
      <w:bookmarkStart w:id="1" w:name="_Toc66538116"/>
      <w:r>
        <w:rPr>
          <w:rFonts w:hint="eastAsia"/>
          <w:sz w:val="72"/>
          <w:szCs w:val="72"/>
          <w:highlight w:val="none"/>
        </w:rPr>
        <w:t>建设项目环境影响</w:t>
      </w:r>
      <w:bookmarkEnd w:id="0"/>
      <w:bookmarkEnd w:id="1"/>
      <w:r>
        <w:rPr>
          <w:rFonts w:hint="eastAsia"/>
          <w:sz w:val="72"/>
          <w:szCs w:val="72"/>
          <w:highlight w:val="none"/>
        </w:rPr>
        <w:t>报告表</w:t>
      </w:r>
    </w:p>
    <w:p w14:paraId="69E0ADB8">
      <w:pPr>
        <w:adjustRightInd w:val="0"/>
        <w:snapToGrid w:val="0"/>
        <w:spacing w:before="192" w:beforeLines="80"/>
        <w:jc w:val="center"/>
        <w:rPr>
          <w:bCs/>
          <w:sz w:val="48"/>
          <w:szCs w:val="48"/>
          <w:highlight w:val="none"/>
        </w:rPr>
      </w:pPr>
      <w:r>
        <w:rPr>
          <w:rFonts w:hint="eastAsia" w:hAnsi="宋体"/>
          <w:bCs/>
          <w:sz w:val="48"/>
          <w:szCs w:val="48"/>
          <w:highlight w:val="none"/>
        </w:rPr>
        <w:t>（污染影响类）</w:t>
      </w:r>
    </w:p>
    <w:p w14:paraId="4443E90A">
      <w:pPr>
        <w:bidi w:val="0"/>
        <w:rPr>
          <w:highlight w:val="none"/>
        </w:rPr>
      </w:pPr>
    </w:p>
    <w:p w14:paraId="50DFBBC3">
      <w:pPr>
        <w:pStyle w:val="7"/>
        <w:rPr>
          <w:highlight w:val="none"/>
        </w:rPr>
      </w:pPr>
    </w:p>
    <w:p w14:paraId="48752539">
      <w:pPr>
        <w:ind w:firstLine="1040"/>
        <w:rPr>
          <w:sz w:val="44"/>
          <w:szCs w:val="44"/>
          <w:highlight w:val="none"/>
        </w:rPr>
      </w:pPr>
    </w:p>
    <w:p w14:paraId="6D933E32">
      <w:pPr>
        <w:ind w:firstLine="1040"/>
        <w:rPr>
          <w:sz w:val="44"/>
          <w:szCs w:val="44"/>
          <w:highlight w:val="none"/>
        </w:rPr>
      </w:pPr>
    </w:p>
    <w:p w14:paraId="0A75D5A3">
      <w:pPr>
        <w:ind w:firstLine="1040"/>
        <w:rPr>
          <w:sz w:val="44"/>
          <w:szCs w:val="44"/>
          <w:highlight w:val="none"/>
        </w:rPr>
      </w:pPr>
    </w:p>
    <w:p w14:paraId="2D288F50">
      <w:pPr>
        <w:ind w:firstLine="1040"/>
        <w:rPr>
          <w:sz w:val="44"/>
          <w:szCs w:val="44"/>
          <w:highlight w:val="none"/>
        </w:rPr>
      </w:pPr>
    </w:p>
    <w:p w14:paraId="1C4A866C">
      <w:pPr>
        <w:ind w:firstLine="1040"/>
        <w:rPr>
          <w:sz w:val="44"/>
          <w:szCs w:val="44"/>
          <w:highlight w:val="none"/>
        </w:rPr>
      </w:pPr>
    </w:p>
    <w:p w14:paraId="709DFF8A">
      <w:pPr>
        <w:ind w:firstLine="1040"/>
        <w:rPr>
          <w:sz w:val="44"/>
          <w:szCs w:val="44"/>
          <w:highlight w:val="none"/>
        </w:rPr>
      </w:pPr>
    </w:p>
    <w:p w14:paraId="62EAC7B9">
      <w:pPr>
        <w:ind w:firstLine="1040"/>
        <w:rPr>
          <w:sz w:val="40"/>
          <w:szCs w:val="40"/>
          <w:highlight w:val="none"/>
        </w:rPr>
      </w:pPr>
    </w:p>
    <w:p w14:paraId="33E83497">
      <w:pPr>
        <w:adjustRightInd w:val="0"/>
        <w:snapToGrid w:val="0"/>
        <w:spacing w:line="480" w:lineRule="auto"/>
        <w:ind w:left="2120" w:leftChars="201" w:right="386" w:rightChars="161" w:hanging="1638" w:hangingChars="512"/>
        <w:jc w:val="left"/>
        <w:rPr>
          <w:rFonts w:hAnsi="宋体"/>
          <w:sz w:val="32"/>
          <w:szCs w:val="32"/>
          <w:highlight w:val="none"/>
          <w:u w:val="single"/>
        </w:rPr>
      </w:pPr>
      <w:r>
        <w:rPr>
          <w:rFonts w:hint="eastAsia" w:hAnsi="宋体"/>
          <w:sz w:val="32"/>
          <w:szCs w:val="32"/>
          <w:highlight w:val="none"/>
        </w:rPr>
        <w:t>项目名称：</w:t>
      </w:r>
      <w:r>
        <w:rPr>
          <w:rFonts w:hint="eastAsia" w:hAnsi="宋体"/>
          <w:sz w:val="32"/>
          <w:szCs w:val="32"/>
          <w:highlight w:val="none"/>
          <w:u w:val="single"/>
          <w:lang w:val="en-US" w:eastAsia="zh-CN"/>
        </w:rPr>
        <w:t xml:space="preserve">    </w:t>
      </w:r>
      <w:r>
        <w:rPr>
          <w:rFonts w:hint="eastAsia" w:hAnsi="宋体"/>
          <w:sz w:val="32"/>
          <w:szCs w:val="32"/>
          <w:highlight w:val="none"/>
          <w:u w:val="single"/>
        </w:rPr>
        <w:t>衢州高铁新城智慧产业园七期-</w:t>
      </w:r>
      <w:r>
        <w:rPr>
          <w:rFonts w:hint="eastAsia" w:hAnsi="宋体"/>
          <w:sz w:val="32"/>
          <w:szCs w:val="32"/>
          <w:highlight w:val="none"/>
          <w:u w:val="single"/>
          <w:lang w:val="en-US" w:eastAsia="zh-CN"/>
        </w:rPr>
        <w:t>1</w:t>
      </w:r>
      <w:r>
        <w:rPr>
          <w:rFonts w:hint="eastAsia" w:hAnsi="宋体"/>
          <w:sz w:val="32"/>
          <w:szCs w:val="32"/>
          <w:highlight w:val="none"/>
          <w:u w:val="single"/>
        </w:rPr>
        <w:t xml:space="preserve">项目    </w:t>
      </w:r>
      <w:r>
        <w:rPr>
          <w:rFonts w:hAnsi="宋体"/>
          <w:sz w:val="32"/>
          <w:szCs w:val="32"/>
          <w:highlight w:val="none"/>
          <w:u w:val="single"/>
        </w:rPr>
        <w:t xml:space="preserve"> </w:t>
      </w:r>
    </w:p>
    <w:p w14:paraId="5EF73620">
      <w:pPr>
        <w:adjustRightInd w:val="0"/>
        <w:snapToGrid w:val="0"/>
        <w:spacing w:line="480" w:lineRule="auto"/>
        <w:ind w:left="2499" w:leftChars="203" w:right="386" w:rightChars="161" w:hanging="2012" w:hangingChars="629"/>
        <w:jc w:val="left"/>
        <w:rPr>
          <w:sz w:val="32"/>
          <w:szCs w:val="32"/>
          <w:highlight w:val="none"/>
          <w:u w:val="single"/>
        </w:rPr>
      </w:pPr>
      <w:r>
        <w:rPr>
          <w:rFonts w:hint="eastAsia" w:hAnsi="宋体"/>
          <w:sz w:val="32"/>
          <w:szCs w:val="32"/>
          <w:highlight w:val="none"/>
        </w:rPr>
        <w:t>建设单位（盖章）：</w:t>
      </w:r>
      <w:r>
        <w:rPr>
          <w:rFonts w:hAnsi="宋体"/>
          <w:sz w:val="32"/>
          <w:szCs w:val="32"/>
          <w:highlight w:val="none"/>
          <w:u w:val="single"/>
        </w:rPr>
        <w:t xml:space="preserve"> </w:t>
      </w:r>
      <w:r>
        <w:rPr>
          <w:rFonts w:hint="eastAsia" w:hAnsi="宋体"/>
          <w:sz w:val="32"/>
          <w:szCs w:val="32"/>
          <w:highlight w:val="none"/>
          <w:u w:val="single"/>
        </w:rPr>
        <w:t>衢州市智慧产业投资发展有限公司</w:t>
      </w:r>
      <w:r>
        <w:rPr>
          <w:sz w:val="32"/>
          <w:szCs w:val="32"/>
          <w:highlight w:val="none"/>
          <w:u w:val="single"/>
        </w:rPr>
        <w:t xml:space="preserve"> </w:t>
      </w:r>
    </w:p>
    <w:p w14:paraId="12BDB29F">
      <w:pPr>
        <w:adjustRightInd w:val="0"/>
        <w:snapToGrid w:val="0"/>
        <w:spacing w:line="480" w:lineRule="auto"/>
        <w:ind w:left="2499" w:leftChars="203" w:right="386" w:rightChars="161" w:hanging="2012" w:hangingChars="629"/>
        <w:jc w:val="left"/>
        <w:rPr>
          <w:rFonts w:hAnsi="宋体"/>
          <w:sz w:val="32"/>
          <w:szCs w:val="32"/>
          <w:highlight w:val="none"/>
          <w:u w:val="single"/>
        </w:rPr>
      </w:pPr>
      <w:r>
        <w:rPr>
          <w:rFonts w:hint="eastAsia"/>
          <w:sz w:val="32"/>
          <w:szCs w:val="32"/>
          <w:highlight w:val="none"/>
          <w:u w:val="none"/>
          <w:lang w:val="en-US" w:eastAsia="zh-CN"/>
        </w:rPr>
        <w:t>编制单位：</w:t>
      </w:r>
      <w:r>
        <w:rPr>
          <w:rFonts w:hAnsi="宋体"/>
          <w:sz w:val="32"/>
          <w:szCs w:val="32"/>
          <w:highlight w:val="none"/>
          <w:u w:val="single"/>
        </w:rPr>
        <w:t xml:space="preserve">      </w:t>
      </w:r>
      <w:r>
        <w:rPr>
          <w:rFonts w:hint="eastAsia" w:hAnsi="宋体"/>
          <w:sz w:val="32"/>
          <w:szCs w:val="32"/>
          <w:highlight w:val="none"/>
          <w:u w:val="single"/>
        </w:rPr>
        <w:t xml:space="preserve"> </w:t>
      </w:r>
      <w:r>
        <w:rPr>
          <w:rFonts w:hint="eastAsia" w:hAnsi="宋体"/>
          <w:sz w:val="32"/>
          <w:szCs w:val="32"/>
          <w:highlight w:val="none"/>
          <w:u w:val="single"/>
          <w:lang w:val="en-US" w:eastAsia="zh-CN"/>
        </w:rPr>
        <w:t>浙江和澄环境</w:t>
      </w:r>
      <w:r>
        <w:rPr>
          <w:rFonts w:hint="eastAsia" w:hAnsi="宋体"/>
          <w:sz w:val="32"/>
          <w:szCs w:val="32"/>
          <w:highlight w:val="none"/>
          <w:u w:val="single"/>
        </w:rPr>
        <w:t>科技有限公司</w:t>
      </w:r>
      <w:r>
        <w:rPr>
          <w:rFonts w:hAnsi="宋体"/>
          <w:sz w:val="32"/>
          <w:szCs w:val="32"/>
          <w:highlight w:val="none"/>
          <w:u w:val="single"/>
        </w:rPr>
        <w:t xml:space="preserve">         </w:t>
      </w:r>
    </w:p>
    <w:p w14:paraId="3F2A911F">
      <w:pPr>
        <w:adjustRightInd w:val="0"/>
        <w:snapToGrid w:val="0"/>
        <w:spacing w:line="480" w:lineRule="auto"/>
        <w:ind w:left="2499" w:leftChars="203" w:right="386" w:rightChars="161" w:hanging="2012" w:hangingChars="629"/>
        <w:jc w:val="left"/>
        <w:rPr>
          <w:sz w:val="32"/>
          <w:szCs w:val="32"/>
          <w:highlight w:val="none"/>
          <w:u w:val="single"/>
        </w:rPr>
      </w:pPr>
      <w:r>
        <w:rPr>
          <w:rFonts w:hint="eastAsia" w:hAnsi="宋体"/>
          <w:sz w:val="32"/>
          <w:szCs w:val="32"/>
          <w:highlight w:val="none"/>
        </w:rPr>
        <w:t>编制日期：</w:t>
      </w:r>
      <w:r>
        <w:rPr>
          <w:sz w:val="32"/>
          <w:szCs w:val="32"/>
          <w:highlight w:val="none"/>
          <w:u w:val="single"/>
        </w:rPr>
        <w:t xml:space="preserve">             202</w:t>
      </w:r>
      <w:r>
        <w:rPr>
          <w:rFonts w:hint="eastAsia"/>
          <w:sz w:val="32"/>
          <w:szCs w:val="32"/>
          <w:highlight w:val="none"/>
          <w:u w:val="single"/>
          <w:lang w:val="en-US" w:eastAsia="zh-CN"/>
        </w:rPr>
        <w:t>5</w:t>
      </w:r>
      <w:r>
        <w:rPr>
          <w:rFonts w:hint="eastAsia" w:hAnsi="宋体"/>
          <w:sz w:val="32"/>
          <w:szCs w:val="32"/>
          <w:highlight w:val="none"/>
          <w:u w:val="single"/>
        </w:rPr>
        <w:t>年</w:t>
      </w:r>
      <w:r>
        <w:rPr>
          <w:rFonts w:hint="eastAsia" w:hAnsi="宋体"/>
          <w:sz w:val="32"/>
          <w:szCs w:val="32"/>
          <w:highlight w:val="none"/>
          <w:u w:val="single"/>
          <w:lang w:val="en-US" w:eastAsia="zh-CN"/>
        </w:rPr>
        <w:t>2</w:t>
      </w:r>
      <w:r>
        <w:rPr>
          <w:rFonts w:hint="eastAsia" w:hAnsi="宋体"/>
          <w:sz w:val="32"/>
          <w:szCs w:val="32"/>
          <w:highlight w:val="none"/>
          <w:u w:val="single"/>
        </w:rPr>
        <w:t>月</w:t>
      </w:r>
      <w:r>
        <w:rPr>
          <w:rFonts w:hAnsi="宋体"/>
          <w:sz w:val="32"/>
          <w:szCs w:val="32"/>
          <w:highlight w:val="none"/>
          <w:u w:val="single"/>
        </w:rPr>
        <w:t xml:space="preserve">         </w:t>
      </w:r>
      <w:r>
        <w:rPr>
          <w:sz w:val="32"/>
          <w:szCs w:val="32"/>
          <w:highlight w:val="none"/>
          <w:u w:val="single"/>
        </w:rPr>
        <w:t xml:space="preserve">    </w:t>
      </w:r>
    </w:p>
    <w:p w14:paraId="4FC5E445">
      <w:pPr>
        <w:adjustRightInd w:val="0"/>
        <w:snapToGrid w:val="0"/>
        <w:spacing w:line="288" w:lineRule="auto"/>
        <w:ind w:firstLine="1040"/>
        <w:jc w:val="left"/>
        <w:rPr>
          <w:sz w:val="36"/>
          <w:szCs w:val="36"/>
          <w:highlight w:val="none"/>
          <w:u w:val="single"/>
        </w:rPr>
      </w:pPr>
      <w:bookmarkStart w:id="2" w:name="_Hlk57884087"/>
    </w:p>
    <w:p w14:paraId="4AFF6BAB">
      <w:pPr>
        <w:adjustRightInd w:val="0"/>
        <w:snapToGrid w:val="0"/>
        <w:spacing w:line="288" w:lineRule="auto"/>
        <w:ind w:firstLine="1040"/>
        <w:rPr>
          <w:sz w:val="36"/>
          <w:szCs w:val="36"/>
          <w:highlight w:val="none"/>
        </w:rPr>
      </w:pPr>
    </w:p>
    <w:p w14:paraId="6818746A">
      <w:pPr>
        <w:adjustRightInd w:val="0"/>
        <w:snapToGrid w:val="0"/>
        <w:spacing w:line="288" w:lineRule="auto"/>
        <w:ind w:firstLine="1040"/>
        <w:rPr>
          <w:sz w:val="36"/>
          <w:szCs w:val="36"/>
          <w:highlight w:val="none"/>
        </w:rPr>
      </w:pPr>
    </w:p>
    <w:bookmarkEnd w:id="2"/>
    <w:p w14:paraId="19F11169">
      <w:pPr>
        <w:adjustRightInd w:val="0"/>
        <w:snapToGrid w:val="0"/>
        <w:spacing w:line="288" w:lineRule="auto"/>
        <w:jc w:val="center"/>
        <w:rPr>
          <w:rFonts w:hAnsi="宋体"/>
          <w:sz w:val="36"/>
          <w:szCs w:val="36"/>
          <w:highlight w:val="none"/>
        </w:rPr>
      </w:pPr>
      <w:r>
        <w:rPr>
          <w:rFonts w:hint="eastAsia" w:hAnsi="宋体"/>
          <w:sz w:val="36"/>
          <w:szCs w:val="36"/>
          <w:highlight w:val="none"/>
        </w:rPr>
        <w:t>中华人民共和国生态环境部制</w:t>
      </w:r>
    </w:p>
    <w:p w14:paraId="566B12AF">
      <w:pPr>
        <w:pStyle w:val="11"/>
        <w:spacing w:before="0" w:line="360" w:lineRule="auto"/>
        <w:rPr>
          <w:rFonts w:hint="eastAsia"/>
          <w:highlight w:val="none"/>
        </w:rPr>
        <w:sectPr>
          <w:footerReference r:id="rId3" w:type="default"/>
          <w:pgSz w:w="11906" w:h="16838"/>
          <w:pgMar w:top="1701" w:right="1531" w:bottom="1701" w:left="1531" w:header="851" w:footer="1077" w:gutter="0"/>
          <w:pgBorders>
            <w:top w:val="none" w:sz="0" w:space="0"/>
            <w:left w:val="none" w:sz="0" w:space="0"/>
            <w:bottom w:val="none" w:sz="0" w:space="0"/>
            <w:right w:val="none" w:sz="0" w:space="0"/>
          </w:pgBorders>
          <w:pgNumType w:start="1"/>
          <w:cols w:space="720" w:num="1"/>
          <w:docGrid w:linePitch="312" w:charSpace="0"/>
        </w:sectPr>
      </w:pPr>
    </w:p>
    <w:p w14:paraId="2BBCF174">
      <w:pPr>
        <w:tabs>
          <w:tab w:val="right" w:leader="dot" w:pos="8834"/>
        </w:tabs>
        <w:adjustRightInd w:val="0"/>
        <w:snapToGrid w:val="0"/>
        <w:spacing w:before="0" w:line="360" w:lineRule="auto"/>
        <w:jc w:val="center"/>
        <w:rPr>
          <w:rFonts w:ascii="Times New Roman" w:hAnsi="Times New Roman" w:eastAsia="宋体" w:cs="Times New Roman"/>
          <w:caps w:val="0"/>
          <w:kern w:val="2"/>
          <w:sz w:val="28"/>
          <w:szCs w:val="28"/>
          <w:highlight w:val="none"/>
          <w:lang w:val="en-US" w:eastAsia="zh-CN" w:bidi="ar-SA"/>
        </w:rPr>
      </w:pPr>
      <w:r>
        <w:rPr>
          <w:rFonts w:hint="eastAsia" w:ascii="Times New Roman" w:hAnsi="Times New Roman"/>
          <w:b/>
          <w:bCs/>
          <w:caps w:val="0"/>
          <w:sz w:val="32"/>
          <w:szCs w:val="32"/>
          <w:highlight w:val="none"/>
        </w:rPr>
        <w:t>目</w:t>
      </w:r>
      <w:r>
        <w:rPr>
          <w:rFonts w:hint="eastAsia" w:ascii="Times New Roman" w:hAnsi="Times New Roman"/>
          <w:b/>
          <w:bCs/>
          <w:caps w:val="0"/>
          <w:sz w:val="32"/>
          <w:szCs w:val="32"/>
          <w:highlight w:val="none"/>
          <w:lang w:val="en-US" w:eastAsia="zh-CN"/>
        </w:rPr>
        <w:t xml:space="preserve"> </w:t>
      </w:r>
      <w:r>
        <w:rPr>
          <w:rFonts w:hint="eastAsia" w:ascii="Times New Roman" w:hAnsi="Times New Roman"/>
          <w:b/>
          <w:bCs/>
          <w:caps w:val="0"/>
          <w:sz w:val="32"/>
          <w:szCs w:val="32"/>
          <w:highlight w:val="none"/>
        </w:rPr>
        <w:t>录</w:t>
      </w:r>
      <w:r>
        <w:rPr>
          <w:rFonts w:ascii="Times New Roman" w:hAnsi="Times New Roman"/>
          <w:caps w:val="0"/>
          <w:sz w:val="28"/>
          <w:szCs w:val="28"/>
          <w:highlight w:val="none"/>
        </w:rPr>
        <w:fldChar w:fldCharType="begin"/>
      </w:r>
      <w:r>
        <w:rPr>
          <w:rFonts w:ascii="Times New Roman" w:hAnsi="Times New Roman"/>
          <w:caps w:val="0"/>
          <w:sz w:val="28"/>
          <w:szCs w:val="28"/>
          <w:highlight w:val="none"/>
        </w:rPr>
        <w:instrText xml:space="preserve"> TOC \o "1-1" \h \z \u </w:instrText>
      </w:r>
      <w:r>
        <w:rPr>
          <w:rFonts w:ascii="Times New Roman" w:hAnsi="Times New Roman"/>
          <w:caps w:val="0"/>
          <w:sz w:val="28"/>
          <w:szCs w:val="28"/>
          <w:highlight w:val="none"/>
        </w:rPr>
        <w:fldChar w:fldCharType="separate"/>
      </w:r>
    </w:p>
    <w:p w14:paraId="6126EBC4">
      <w:pPr>
        <w:pStyle w:val="11"/>
        <w:tabs>
          <w:tab w:val="right" w:leader="dot" w:pos="8844"/>
          <w:tab w:val="clear" w:pos="8834"/>
        </w:tabs>
        <w:rPr>
          <w:rFonts w:ascii="Times New Roman" w:hAnsi="Times New Roman"/>
          <w:caps w:val="0"/>
          <w:sz w:val="28"/>
          <w:szCs w:val="28"/>
          <w:highlight w:val="none"/>
        </w:rPr>
      </w:pPr>
      <w:r>
        <w:rPr>
          <w:rFonts w:ascii="Times New Roman" w:hAnsi="Times New Roman"/>
          <w:caps w:val="0"/>
          <w:sz w:val="28"/>
          <w:szCs w:val="28"/>
          <w:highlight w:val="none"/>
        </w:rPr>
        <w:fldChar w:fldCharType="begin"/>
      </w:r>
      <w:r>
        <w:rPr>
          <w:rFonts w:ascii="Times New Roman" w:hAnsi="Times New Roman"/>
          <w:caps w:val="0"/>
          <w:sz w:val="28"/>
          <w:szCs w:val="28"/>
          <w:highlight w:val="none"/>
        </w:rPr>
        <w:instrText xml:space="preserve"> HYPERLINK \l _Toc26744 </w:instrText>
      </w:r>
      <w:r>
        <w:rPr>
          <w:rFonts w:ascii="Times New Roman" w:hAnsi="Times New Roman"/>
          <w:caps w:val="0"/>
          <w:sz w:val="28"/>
          <w:szCs w:val="28"/>
          <w:highlight w:val="none"/>
        </w:rPr>
        <w:fldChar w:fldCharType="separate"/>
      </w:r>
      <w:r>
        <w:rPr>
          <w:rFonts w:hint="eastAsia" w:ascii="Times New Roman" w:hAnsi="Times New Roman" w:eastAsia="宋体"/>
          <w:caps w:val="0"/>
          <w:sz w:val="28"/>
          <w:szCs w:val="28"/>
          <w:highlight w:val="none"/>
          <w:lang w:val="zh-CN"/>
        </w:rPr>
        <w:t>一、建设项目基本情况</w:t>
      </w:r>
      <w:r>
        <w:rPr>
          <w:rFonts w:ascii="Times New Roman" w:hAnsi="Times New Roman"/>
          <w:caps w:val="0"/>
          <w:sz w:val="28"/>
          <w:szCs w:val="28"/>
          <w:highlight w:val="none"/>
        </w:rPr>
        <w:tab/>
      </w:r>
      <w:r>
        <w:rPr>
          <w:rFonts w:ascii="Times New Roman" w:hAnsi="Times New Roman"/>
          <w:caps w:val="0"/>
          <w:sz w:val="28"/>
          <w:szCs w:val="28"/>
          <w:highlight w:val="none"/>
        </w:rPr>
        <w:fldChar w:fldCharType="begin"/>
      </w:r>
      <w:r>
        <w:rPr>
          <w:rFonts w:ascii="Times New Roman" w:hAnsi="Times New Roman"/>
          <w:caps w:val="0"/>
          <w:sz w:val="28"/>
          <w:szCs w:val="28"/>
          <w:highlight w:val="none"/>
        </w:rPr>
        <w:instrText xml:space="preserve"> PAGEREF _Toc26744 \h </w:instrText>
      </w:r>
      <w:r>
        <w:rPr>
          <w:rFonts w:ascii="Times New Roman" w:hAnsi="Times New Roman"/>
          <w:caps w:val="0"/>
          <w:sz w:val="28"/>
          <w:szCs w:val="28"/>
          <w:highlight w:val="none"/>
        </w:rPr>
        <w:fldChar w:fldCharType="separate"/>
      </w:r>
      <w:r>
        <w:rPr>
          <w:rFonts w:ascii="Times New Roman" w:hAnsi="Times New Roman"/>
          <w:caps w:val="0"/>
          <w:sz w:val="28"/>
          <w:szCs w:val="28"/>
          <w:highlight w:val="none"/>
        </w:rPr>
        <w:t>1</w:t>
      </w:r>
      <w:r>
        <w:rPr>
          <w:rFonts w:ascii="Times New Roman" w:hAnsi="Times New Roman"/>
          <w:caps w:val="0"/>
          <w:sz w:val="28"/>
          <w:szCs w:val="28"/>
          <w:highlight w:val="none"/>
        </w:rPr>
        <w:fldChar w:fldCharType="end"/>
      </w:r>
      <w:r>
        <w:rPr>
          <w:rFonts w:ascii="Times New Roman" w:hAnsi="Times New Roman"/>
          <w:caps w:val="0"/>
          <w:sz w:val="28"/>
          <w:szCs w:val="28"/>
          <w:highlight w:val="none"/>
        </w:rPr>
        <w:fldChar w:fldCharType="end"/>
      </w:r>
    </w:p>
    <w:p w14:paraId="1AD79026">
      <w:pPr>
        <w:pStyle w:val="11"/>
        <w:tabs>
          <w:tab w:val="right" w:leader="dot" w:pos="8844"/>
          <w:tab w:val="clear" w:pos="8834"/>
        </w:tabs>
        <w:rPr>
          <w:rFonts w:ascii="Times New Roman" w:hAnsi="Times New Roman"/>
          <w:caps w:val="0"/>
          <w:sz w:val="28"/>
          <w:szCs w:val="28"/>
          <w:highlight w:val="none"/>
        </w:rPr>
      </w:pPr>
      <w:r>
        <w:rPr>
          <w:rFonts w:ascii="Times New Roman" w:hAnsi="Times New Roman"/>
          <w:caps w:val="0"/>
          <w:sz w:val="28"/>
          <w:szCs w:val="28"/>
          <w:highlight w:val="none"/>
        </w:rPr>
        <w:fldChar w:fldCharType="begin"/>
      </w:r>
      <w:r>
        <w:rPr>
          <w:rFonts w:ascii="Times New Roman" w:hAnsi="Times New Roman"/>
          <w:caps w:val="0"/>
          <w:sz w:val="28"/>
          <w:szCs w:val="28"/>
          <w:highlight w:val="none"/>
        </w:rPr>
        <w:instrText xml:space="preserve"> HYPERLINK \l _Toc28697 </w:instrText>
      </w:r>
      <w:r>
        <w:rPr>
          <w:rFonts w:ascii="Times New Roman" w:hAnsi="Times New Roman"/>
          <w:caps w:val="0"/>
          <w:sz w:val="28"/>
          <w:szCs w:val="28"/>
          <w:highlight w:val="none"/>
        </w:rPr>
        <w:fldChar w:fldCharType="separate"/>
      </w:r>
      <w:r>
        <w:rPr>
          <w:rFonts w:hint="eastAsia" w:ascii="Times New Roman" w:hAnsi="Times New Roman" w:eastAsia="宋体"/>
          <w:caps w:val="0"/>
          <w:sz w:val="28"/>
          <w:szCs w:val="28"/>
          <w:highlight w:val="none"/>
          <w:lang w:val="zh-CN"/>
        </w:rPr>
        <w:t>二、建设项目工程分析</w:t>
      </w:r>
      <w:r>
        <w:rPr>
          <w:rFonts w:ascii="Times New Roman" w:hAnsi="Times New Roman"/>
          <w:caps w:val="0"/>
          <w:sz w:val="28"/>
          <w:szCs w:val="28"/>
          <w:highlight w:val="none"/>
        </w:rPr>
        <w:tab/>
      </w:r>
      <w:r>
        <w:rPr>
          <w:rFonts w:ascii="Times New Roman" w:hAnsi="Times New Roman"/>
          <w:caps w:val="0"/>
          <w:sz w:val="28"/>
          <w:szCs w:val="28"/>
          <w:highlight w:val="none"/>
        </w:rPr>
        <w:fldChar w:fldCharType="begin"/>
      </w:r>
      <w:r>
        <w:rPr>
          <w:rFonts w:ascii="Times New Roman" w:hAnsi="Times New Roman"/>
          <w:caps w:val="0"/>
          <w:sz w:val="28"/>
          <w:szCs w:val="28"/>
          <w:highlight w:val="none"/>
        </w:rPr>
        <w:instrText xml:space="preserve"> PAGEREF _Toc28697 \h </w:instrText>
      </w:r>
      <w:r>
        <w:rPr>
          <w:rFonts w:ascii="Times New Roman" w:hAnsi="Times New Roman"/>
          <w:caps w:val="0"/>
          <w:sz w:val="28"/>
          <w:szCs w:val="28"/>
          <w:highlight w:val="none"/>
        </w:rPr>
        <w:fldChar w:fldCharType="separate"/>
      </w:r>
      <w:r>
        <w:rPr>
          <w:rFonts w:ascii="Times New Roman" w:hAnsi="Times New Roman"/>
          <w:caps w:val="0"/>
          <w:sz w:val="28"/>
          <w:szCs w:val="28"/>
          <w:highlight w:val="none"/>
        </w:rPr>
        <w:t>17</w:t>
      </w:r>
      <w:r>
        <w:rPr>
          <w:rFonts w:ascii="Times New Roman" w:hAnsi="Times New Roman"/>
          <w:caps w:val="0"/>
          <w:sz w:val="28"/>
          <w:szCs w:val="28"/>
          <w:highlight w:val="none"/>
        </w:rPr>
        <w:fldChar w:fldCharType="end"/>
      </w:r>
      <w:r>
        <w:rPr>
          <w:rFonts w:ascii="Times New Roman" w:hAnsi="Times New Roman"/>
          <w:caps w:val="0"/>
          <w:sz w:val="28"/>
          <w:szCs w:val="28"/>
          <w:highlight w:val="none"/>
        </w:rPr>
        <w:fldChar w:fldCharType="end"/>
      </w:r>
    </w:p>
    <w:p w14:paraId="1689ADCA">
      <w:pPr>
        <w:pStyle w:val="11"/>
        <w:tabs>
          <w:tab w:val="right" w:leader="dot" w:pos="8844"/>
          <w:tab w:val="clear" w:pos="8834"/>
        </w:tabs>
        <w:rPr>
          <w:rFonts w:ascii="Times New Roman" w:hAnsi="Times New Roman"/>
          <w:caps w:val="0"/>
          <w:sz w:val="28"/>
          <w:szCs w:val="28"/>
          <w:highlight w:val="none"/>
        </w:rPr>
      </w:pPr>
      <w:r>
        <w:rPr>
          <w:rFonts w:ascii="Times New Roman" w:hAnsi="Times New Roman"/>
          <w:caps w:val="0"/>
          <w:sz w:val="28"/>
          <w:szCs w:val="28"/>
          <w:highlight w:val="none"/>
        </w:rPr>
        <w:fldChar w:fldCharType="begin"/>
      </w:r>
      <w:r>
        <w:rPr>
          <w:rFonts w:ascii="Times New Roman" w:hAnsi="Times New Roman"/>
          <w:caps w:val="0"/>
          <w:sz w:val="28"/>
          <w:szCs w:val="28"/>
          <w:highlight w:val="none"/>
        </w:rPr>
        <w:instrText xml:space="preserve"> HYPERLINK \l _Toc26314 </w:instrText>
      </w:r>
      <w:r>
        <w:rPr>
          <w:rFonts w:ascii="Times New Roman" w:hAnsi="Times New Roman"/>
          <w:caps w:val="0"/>
          <w:sz w:val="28"/>
          <w:szCs w:val="28"/>
          <w:highlight w:val="none"/>
        </w:rPr>
        <w:fldChar w:fldCharType="separate"/>
      </w:r>
      <w:r>
        <w:rPr>
          <w:rFonts w:hint="eastAsia" w:ascii="Times New Roman" w:hAnsi="Times New Roman" w:eastAsia="宋体"/>
          <w:caps w:val="0"/>
          <w:sz w:val="28"/>
          <w:szCs w:val="28"/>
          <w:highlight w:val="none"/>
          <w:lang w:val="zh-CN"/>
        </w:rPr>
        <w:t>三、区域环境质量现状、环境保护目标及评价标准</w:t>
      </w:r>
      <w:r>
        <w:rPr>
          <w:rFonts w:ascii="Times New Roman" w:hAnsi="Times New Roman"/>
          <w:caps w:val="0"/>
          <w:sz w:val="28"/>
          <w:szCs w:val="28"/>
          <w:highlight w:val="none"/>
        </w:rPr>
        <w:tab/>
      </w:r>
      <w:r>
        <w:rPr>
          <w:rFonts w:ascii="Times New Roman" w:hAnsi="Times New Roman"/>
          <w:caps w:val="0"/>
          <w:sz w:val="28"/>
          <w:szCs w:val="28"/>
          <w:highlight w:val="none"/>
        </w:rPr>
        <w:fldChar w:fldCharType="begin"/>
      </w:r>
      <w:r>
        <w:rPr>
          <w:rFonts w:ascii="Times New Roman" w:hAnsi="Times New Roman"/>
          <w:caps w:val="0"/>
          <w:sz w:val="28"/>
          <w:szCs w:val="28"/>
          <w:highlight w:val="none"/>
        </w:rPr>
        <w:instrText xml:space="preserve"> PAGEREF _Toc26314 \h </w:instrText>
      </w:r>
      <w:r>
        <w:rPr>
          <w:rFonts w:ascii="Times New Roman" w:hAnsi="Times New Roman"/>
          <w:caps w:val="0"/>
          <w:sz w:val="28"/>
          <w:szCs w:val="28"/>
          <w:highlight w:val="none"/>
        </w:rPr>
        <w:fldChar w:fldCharType="separate"/>
      </w:r>
      <w:r>
        <w:rPr>
          <w:rFonts w:ascii="Times New Roman" w:hAnsi="Times New Roman"/>
          <w:caps w:val="0"/>
          <w:sz w:val="28"/>
          <w:szCs w:val="28"/>
          <w:highlight w:val="none"/>
        </w:rPr>
        <w:t>49</w:t>
      </w:r>
      <w:r>
        <w:rPr>
          <w:rFonts w:ascii="Times New Roman" w:hAnsi="Times New Roman"/>
          <w:caps w:val="0"/>
          <w:sz w:val="28"/>
          <w:szCs w:val="28"/>
          <w:highlight w:val="none"/>
        </w:rPr>
        <w:fldChar w:fldCharType="end"/>
      </w:r>
      <w:r>
        <w:rPr>
          <w:rFonts w:ascii="Times New Roman" w:hAnsi="Times New Roman"/>
          <w:caps w:val="0"/>
          <w:sz w:val="28"/>
          <w:szCs w:val="28"/>
          <w:highlight w:val="none"/>
        </w:rPr>
        <w:fldChar w:fldCharType="end"/>
      </w:r>
    </w:p>
    <w:p w14:paraId="58294559">
      <w:pPr>
        <w:pStyle w:val="11"/>
        <w:tabs>
          <w:tab w:val="right" w:leader="dot" w:pos="8844"/>
          <w:tab w:val="clear" w:pos="8834"/>
        </w:tabs>
        <w:rPr>
          <w:rFonts w:ascii="Times New Roman" w:hAnsi="Times New Roman"/>
          <w:caps w:val="0"/>
          <w:sz w:val="28"/>
          <w:szCs w:val="28"/>
          <w:highlight w:val="none"/>
        </w:rPr>
      </w:pPr>
      <w:r>
        <w:rPr>
          <w:rFonts w:ascii="Times New Roman" w:hAnsi="Times New Roman"/>
          <w:caps w:val="0"/>
          <w:sz w:val="28"/>
          <w:szCs w:val="28"/>
          <w:highlight w:val="none"/>
        </w:rPr>
        <w:fldChar w:fldCharType="begin"/>
      </w:r>
      <w:r>
        <w:rPr>
          <w:rFonts w:ascii="Times New Roman" w:hAnsi="Times New Roman"/>
          <w:caps w:val="0"/>
          <w:sz w:val="28"/>
          <w:szCs w:val="28"/>
          <w:highlight w:val="none"/>
        </w:rPr>
        <w:instrText xml:space="preserve"> HYPERLINK \l _Toc12776 </w:instrText>
      </w:r>
      <w:r>
        <w:rPr>
          <w:rFonts w:ascii="Times New Roman" w:hAnsi="Times New Roman"/>
          <w:caps w:val="0"/>
          <w:sz w:val="28"/>
          <w:szCs w:val="28"/>
          <w:highlight w:val="none"/>
        </w:rPr>
        <w:fldChar w:fldCharType="separate"/>
      </w:r>
      <w:r>
        <w:rPr>
          <w:rFonts w:hint="eastAsia" w:ascii="Times New Roman" w:hAnsi="Times New Roman" w:eastAsia="宋体"/>
          <w:caps w:val="0"/>
          <w:sz w:val="28"/>
          <w:szCs w:val="28"/>
          <w:highlight w:val="none"/>
          <w:lang w:val="zh-CN"/>
        </w:rPr>
        <w:t>四、主要环境影响和保护措施</w:t>
      </w:r>
      <w:r>
        <w:rPr>
          <w:rFonts w:ascii="Times New Roman" w:hAnsi="Times New Roman"/>
          <w:caps w:val="0"/>
          <w:sz w:val="28"/>
          <w:szCs w:val="28"/>
          <w:highlight w:val="none"/>
        </w:rPr>
        <w:tab/>
      </w:r>
      <w:r>
        <w:rPr>
          <w:rFonts w:ascii="Times New Roman" w:hAnsi="Times New Roman"/>
          <w:caps w:val="0"/>
          <w:sz w:val="28"/>
          <w:szCs w:val="28"/>
          <w:highlight w:val="none"/>
        </w:rPr>
        <w:fldChar w:fldCharType="begin"/>
      </w:r>
      <w:r>
        <w:rPr>
          <w:rFonts w:ascii="Times New Roman" w:hAnsi="Times New Roman"/>
          <w:caps w:val="0"/>
          <w:sz w:val="28"/>
          <w:szCs w:val="28"/>
          <w:highlight w:val="none"/>
        </w:rPr>
        <w:instrText xml:space="preserve"> PAGEREF _Toc12776 \h </w:instrText>
      </w:r>
      <w:r>
        <w:rPr>
          <w:rFonts w:ascii="Times New Roman" w:hAnsi="Times New Roman"/>
          <w:caps w:val="0"/>
          <w:sz w:val="28"/>
          <w:szCs w:val="28"/>
          <w:highlight w:val="none"/>
        </w:rPr>
        <w:fldChar w:fldCharType="separate"/>
      </w:r>
      <w:r>
        <w:rPr>
          <w:rFonts w:ascii="Times New Roman" w:hAnsi="Times New Roman"/>
          <w:caps w:val="0"/>
          <w:sz w:val="28"/>
          <w:szCs w:val="28"/>
          <w:highlight w:val="none"/>
        </w:rPr>
        <w:t>61</w:t>
      </w:r>
      <w:r>
        <w:rPr>
          <w:rFonts w:ascii="Times New Roman" w:hAnsi="Times New Roman"/>
          <w:caps w:val="0"/>
          <w:sz w:val="28"/>
          <w:szCs w:val="28"/>
          <w:highlight w:val="none"/>
        </w:rPr>
        <w:fldChar w:fldCharType="end"/>
      </w:r>
      <w:r>
        <w:rPr>
          <w:rFonts w:ascii="Times New Roman" w:hAnsi="Times New Roman"/>
          <w:caps w:val="0"/>
          <w:sz w:val="28"/>
          <w:szCs w:val="28"/>
          <w:highlight w:val="none"/>
        </w:rPr>
        <w:fldChar w:fldCharType="end"/>
      </w:r>
    </w:p>
    <w:p w14:paraId="1D089241">
      <w:pPr>
        <w:pStyle w:val="11"/>
        <w:tabs>
          <w:tab w:val="right" w:leader="dot" w:pos="8844"/>
          <w:tab w:val="clear" w:pos="8834"/>
        </w:tabs>
        <w:rPr>
          <w:rFonts w:ascii="Times New Roman" w:hAnsi="Times New Roman"/>
          <w:caps w:val="0"/>
          <w:sz w:val="28"/>
          <w:szCs w:val="28"/>
          <w:highlight w:val="none"/>
        </w:rPr>
      </w:pPr>
      <w:r>
        <w:rPr>
          <w:rFonts w:ascii="Times New Roman" w:hAnsi="Times New Roman"/>
          <w:caps w:val="0"/>
          <w:sz w:val="28"/>
          <w:szCs w:val="28"/>
          <w:highlight w:val="none"/>
        </w:rPr>
        <w:fldChar w:fldCharType="begin"/>
      </w:r>
      <w:r>
        <w:rPr>
          <w:rFonts w:ascii="Times New Roman" w:hAnsi="Times New Roman"/>
          <w:caps w:val="0"/>
          <w:sz w:val="28"/>
          <w:szCs w:val="28"/>
          <w:highlight w:val="none"/>
        </w:rPr>
        <w:instrText xml:space="preserve"> HYPERLINK \l _Toc31532 </w:instrText>
      </w:r>
      <w:r>
        <w:rPr>
          <w:rFonts w:ascii="Times New Roman" w:hAnsi="Times New Roman"/>
          <w:caps w:val="0"/>
          <w:sz w:val="28"/>
          <w:szCs w:val="28"/>
          <w:highlight w:val="none"/>
        </w:rPr>
        <w:fldChar w:fldCharType="separate"/>
      </w:r>
      <w:r>
        <w:rPr>
          <w:rFonts w:hint="eastAsia" w:ascii="Times New Roman" w:hAnsi="Times New Roman" w:eastAsia="宋体"/>
          <w:caps w:val="0"/>
          <w:sz w:val="28"/>
          <w:szCs w:val="28"/>
          <w:highlight w:val="none"/>
          <w:lang w:val="zh-CN"/>
        </w:rPr>
        <w:t>五、环境保护措施监督检查清单</w:t>
      </w:r>
      <w:r>
        <w:rPr>
          <w:rFonts w:ascii="Times New Roman" w:hAnsi="Times New Roman"/>
          <w:caps w:val="0"/>
          <w:sz w:val="28"/>
          <w:szCs w:val="28"/>
          <w:highlight w:val="none"/>
        </w:rPr>
        <w:tab/>
      </w:r>
      <w:r>
        <w:rPr>
          <w:rFonts w:ascii="Times New Roman" w:hAnsi="Times New Roman"/>
          <w:caps w:val="0"/>
          <w:sz w:val="28"/>
          <w:szCs w:val="28"/>
          <w:highlight w:val="none"/>
        </w:rPr>
        <w:fldChar w:fldCharType="begin"/>
      </w:r>
      <w:r>
        <w:rPr>
          <w:rFonts w:ascii="Times New Roman" w:hAnsi="Times New Roman"/>
          <w:caps w:val="0"/>
          <w:sz w:val="28"/>
          <w:szCs w:val="28"/>
          <w:highlight w:val="none"/>
        </w:rPr>
        <w:instrText xml:space="preserve"> PAGEREF _Toc31532 \h </w:instrText>
      </w:r>
      <w:r>
        <w:rPr>
          <w:rFonts w:ascii="Times New Roman" w:hAnsi="Times New Roman"/>
          <w:caps w:val="0"/>
          <w:sz w:val="28"/>
          <w:szCs w:val="28"/>
          <w:highlight w:val="none"/>
        </w:rPr>
        <w:fldChar w:fldCharType="separate"/>
      </w:r>
      <w:r>
        <w:rPr>
          <w:rFonts w:ascii="Times New Roman" w:hAnsi="Times New Roman"/>
          <w:caps w:val="0"/>
          <w:sz w:val="28"/>
          <w:szCs w:val="28"/>
          <w:highlight w:val="none"/>
        </w:rPr>
        <w:t>99</w:t>
      </w:r>
      <w:r>
        <w:rPr>
          <w:rFonts w:ascii="Times New Roman" w:hAnsi="Times New Roman"/>
          <w:caps w:val="0"/>
          <w:sz w:val="28"/>
          <w:szCs w:val="28"/>
          <w:highlight w:val="none"/>
        </w:rPr>
        <w:fldChar w:fldCharType="end"/>
      </w:r>
      <w:r>
        <w:rPr>
          <w:rFonts w:ascii="Times New Roman" w:hAnsi="Times New Roman"/>
          <w:caps w:val="0"/>
          <w:sz w:val="28"/>
          <w:szCs w:val="28"/>
          <w:highlight w:val="none"/>
        </w:rPr>
        <w:fldChar w:fldCharType="end"/>
      </w:r>
    </w:p>
    <w:p w14:paraId="7842D0B8">
      <w:pPr>
        <w:pStyle w:val="11"/>
        <w:tabs>
          <w:tab w:val="right" w:leader="dot" w:pos="8844"/>
          <w:tab w:val="clear" w:pos="8834"/>
        </w:tabs>
        <w:rPr>
          <w:rFonts w:ascii="Times New Roman" w:hAnsi="Times New Roman"/>
          <w:caps w:val="0"/>
          <w:sz w:val="28"/>
          <w:szCs w:val="28"/>
          <w:highlight w:val="none"/>
        </w:rPr>
      </w:pPr>
      <w:r>
        <w:rPr>
          <w:rFonts w:ascii="Times New Roman" w:hAnsi="Times New Roman"/>
          <w:caps w:val="0"/>
          <w:sz w:val="28"/>
          <w:szCs w:val="28"/>
          <w:highlight w:val="none"/>
        </w:rPr>
        <w:fldChar w:fldCharType="begin"/>
      </w:r>
      <w:r>
        <w:rPr>
          <w:rFonts w:ascii="Times New Roman" w:hAnsi="Times New Roman"/>
          <w:caps w:val="0"/>
          <w:sz w:val="28"/>
          <w:szCs w:val="28"/>
          <w:highlight w:val="none"/>
        </w:rPr>
        <w:instrText xml:space="preserve"> HYPERLINK \l _Toc14068 </w:instrText>
      </w:r>
      <w:r>
        <w:rPr>
          <w:rFonts w:ascii="Times New Roman" w:hAnsi="Times New Roman"/>
          <w:caps w:val="0"/>
          <w:sz w:val="28"/>
          <w:szCs w:val="28"/>
          <w:highlight w:val="none"/>
        </w:rPr>
        <w:fldChar w:fldCharType="separate"/>
      </w:r>
      <w:r>
        <w:rPr>
          <w:rFonts w:hint="eastAsia" w:ascii="Times New Roman" w:hAnsi="Times New Roman" w:eastAsia="宋体"/>
          <w:caps w:val="0"/>
          <w:sz w:val="28"/>
          <w:szCs w:val="28"/>
          <w:highlight w:val="none"/>
          <w:lang w:val="zh-CN"/>
        </w:rPr>
        <w:t>六、结论</w:t>
      </w:r>
      <w:r>
        <w:rPr>
          <w:rFonts w:ascii="Times New Roman" w:hAnsi="Times New Roman"/>
          <w:caps w:val="0"/>
          <w:sz w:val="28"/>
          <w:szCs w:val="28"/>
          <w:highlight w:val="none"/>
        </w:rPr>
        <w:tab/>
      </w:r>
      <w:r>
        <w:rPr>
          <w:rFonts w:ascii="Times New Roman" w:hAnsi="Times New Roman"/>
          <w:caps w:val="0"/>
          <w:sz w:val="28"/>
          <w:szCs w:val="28"/>
          <w:highlight w:val="none"/>
        </w:rPr>
        <w:fldChar w:fldCharType="begin"/>
      </w:r>
      <w:r>
        <w:rPr>
          <w:rFonts w:ascii="Times New Roman" w:hAnsi="Times New Roman"/>
          <w:caps w:val="0"/>
          <w:sz w:val="28"/>
          <w:szCs w:val="28"/>
          <w:highlight w:val="none"/>
        </w:rPr>
        <w:instrText xml:space="preserve"> PAGEREF _Toc14068 \h </w:instrText>
      </w:r>
      <w:r>
        <w:rPr>
          <w:rFonts w:ascii="Times New Roman" w:hAnsi="Times New Roman"/>
          <w:caps w:val="0"/>
          <w:sz w:val="28"/>
          <w:szCs w:val="28"/>
          <w:highlight w:val="none"/>
        </w:rPr>
        <w:fldChar w:fldCharType="separate"/>
      </w:r>
      <w:r>
        <w:rPr>
          <w:rFonts w:ascii="Times New Roman" w:hAnsi="Times New Roman"/>
          <w:caps w:val="0"/>
          <w:sz w:val="28"/>
          <w:szCs w:val="28"/>
          <w:highlight w:val="none"/>
        </w:rPr>
        <w:t>101</w:t>
      </w:r>
      <w:r>
        <w:rPr>
          <w:rFonts w:ascii="Times New Roman" w:hAnsi="Times New Roman"/>
          <w:caps w:val="0"/>
          <w:sz w:val="28"/>
          <w:szCs w:val="28"/>
          <w:highlight w:val="none"/>
        </w:rPr>
        <w:fldChar w:fldCharType="end"/>
      </w:r>
      <w:r>
        <w:rPr>
          <w:rFonts w:ascii="Times New Roman" w:hAnsi="Times New Roman"/>
          <w:caps w:val="0"/>
          <w:sz w:val="28"/>
          <w:szCs w:val="28"/>
          <w:highlight w:val="none"/>
        </w:rPr>
        <w:fldChar w:fldCharType="end"/>
      </w:r>
    </w:p>
    <w:p w14:paraId="43919098">
      <w:pPr>
        <w:pStyle w:val="11"/>
        <w:adjustRightInd w:val="0"/>
        <w:snapToGrid w:val="0"/>
        <w:spacing w:before="0" w:line="360" w:lineRule="auto"/>
        <w:jc w:val="center"/>
        <w:rPr>
          <w:highlight w:val="none"/>
        </w:rPr>
      </w:pPr>
      <w:r>
        <w:rPr>
          <w:rFonts w:ascii="Times New Roman" w:hAnsi="Times New Roman"/>
          <w:caps w:val="0"/>
          <w:sz w:val="28"/>
          <w:szCs w:val="28"/>
          <w:highlight w:val="none"/>
        </w:rPr>
        <w:fldChar w:fldCharType="end"/>
      </w:r>
    </w:p>
    <w:p w14:paraId="28E3A6D3">
      <w:pPr>
        <w:adjustRightInd w:val="0"/>
        <w:snapToGrid w:val="0"/>
        <w:spacing w:line="360" w:lineRule="auto"/>
        <w:rPr>
          <w:rFonts w:hint="eastAsia"/>
          <w:b/>
          <w:sz w:val="24"/>
          <w:szCs w:val="24"/>
          <w:highlight w:val="none"/>
        </w:rPr>
      </w:pPr>
    </w:p>
    <w:p w14:paraId="0BBA82D0">
      <w:pPr>
        <w:adjustRightInd w:val="0"/>
        <w:snapToGrid w:val="0"/>
        <w:spacing w:line="360" w:lineRule="auto"/>
        <w:rPr>
          <w:rFonts w:hint="eastAsia"/>
          <w:b/>
          <w:sz w:val="24"/>
          <w:szCs w:val="24"/>
          <w:highlight w:val="none"/>
        </w:rPr>
      </w:pPr>
    </w:p>
    <w:p w14:paraId="6138BC47">
      <w:pPr>
        <w:adjustRightInd w:val="0"/>
        <w:snapToGrid w:val="0"/>
        <w:spacing w:line="360" w:lineRule="auto"/>
        <w:rPr>
          <w:rFonts w:hint="eastAsia"/>
          <w:b/>
          <w:sz w:val="24"/>
          <w:szCs w:val="24"/>
          <w:highlight w:val="none"/>
        </w:rPr>
      </w:pPr>
    </w:p>
    <w:p w14:paraId="76B1879C">
      <w:pPr>
        <w:adjustRightInd w:val="0"/>
        <w:snapToGrid w:val="0"/>
        <w:spacing w:line="360" w:lineRule="auto"/>
        <w:rPr>
          <w:rFonts w:hint="eastAsia"/>
          <w:b/>
          <w:sz w:val="24"/>
          <w:szCs w:val="24"/>
          <w:highlight w:val="none"/>
        </w:rPr>
      </w:pPr>
    </w:p>
    <w:p w14:paraId="58EBC3B0">
      <w:pPr>
        <w:adjustRightInd w:val="0"/>
        <w:snapToGrid w:val="0"/>
        <w:spacing w:line="360" w:lineRule="auto"/>
        <w:rPr>
          <w:rFonts w:hint="eastAsia"/>
          <w:b/>
          <w:sz w:val="24"/>
          <w:szCs w:val="24"/>
          <w:highlight w:val="none"/>
        </w:rPr>
      </w:pPr>
    </w:p>
    <w:p w14:paraId="3E21308A">
      <w:pPr>
        <w:adjustRightInd w:val="0"/>
        <w:snapToGrid w:val="0"/>
        <w:spacing w:line="360" w:lineRule="auto"/>
        <w:rPr>
          <w:rFonts w:hint="eastAsia"/>
          <w:b/>
          <w:sz w:val="24"/>
          <w:szCs w:val="24"/>
          <w:highlight w:val="none"/>
        </w:rPr>
      </w:pPr>
    </w:p>
    <w:p w14:paraId="1DF3EDD3">
      <w:pPr>
        <w:adjustRightInd w:val="0"/>
        <w:snapToGrid w:val="0"/>
        <w:spacing w:line="360" w:lineRule="auto"/>
        <w:rPr>
          <w:rFonts w:hint="eastAsia"/>
          <w:b/>
          <w:sz w:val="24"/>
          <w:szCs w:val="24"/>
          <w:highlight w:val="none"/>
        </w:rPr>
      </w:pPr>
    </w:p>
    <w:p w14:paraId="7A445A11">
      <w:pPr>
        <w:adjustRightInd w:val="0"/>
        <w:snapToGrid w:val="0"/>
        <w:spacing w:line="360" w:lineRule="auto"/>
        <w:rPr>
          <w:rFonts w:hint="eastAsia"/>
          <w:b/>
          <w:sz w:val="24"/>
          <w:szCs w:val="24"/>
          <w:highlight w:val="none"/>
        </w:rPr>
      </w:pPr>
    </w:p>
    <w:p w14:paraId="0A4EA737">
      <w:pPr>
        <w:adjustRightInd w:val="0"/>
        <w:snapToGrid w:val="0"/>
        <w:spacing w:line="360" w:lineRule="auto"/>
        <w:rPr>
          <w:rFonts w:hint="eastAsia"/>
          <w:b/>
          <w:sz w:val="24"/>
          <w:szCs w:val="24"/>
          <w:highlight w:val="none"/>
        </w:rPr>
      </w:pPr>
    </w:p>
    <w:p w14:paraId="3CF5B61B">
      <w:pPr>
        <w:adjustRightInd w:val="0"/>
        <w:snapToGrid w:val="0"/>
        <w:spacing w:line="360" w:lineRule="auto"/>
        <w:rPr>
          <w:rFonts w:hint="eastAsia"/>
          <w:b/>
          <w:sz w:val="24"/>
          <w:szCs w:val="24"/>
          <w:highlight w:val="none"/>
        </w:rPr>
      </w:pPr>
    </w:p>
    <w:p w14:paraId="45E33A91">
      <w:pPr>
        <w:adjustRightInd w:val="0"/>
        <w:snapToGrid w:val="0"/>
        <w:spacing w:line="360" w:lineRule="auto"/>
        <w:rPr>
          <w:rFonts w:hint="eastAsia"/>
          <w:b/>
          <w:sz w:val="24"/>
          <w:szCs w:val="24"/>
          <w:highlight w:val="none"/>
        </w:rPr>
      </w:pPr>
    </w:p>
    <w:p w14:paraId="501A5746">
      <w:pPr>
        <w:adjustRightInd w:val="0"/>
        <w:snapToGrid w:val="0"/>
        <w:spacing w:line="360" w:lineRule="auto"/>
        <w:rPr>
          <w:rFonts w:hint="eastAsia"/>
          <w:b/>
          <w:sz w:val="24"/>
          <w:szCs w:val="24"/>
          <w:highlight w:val="none"/>
        </w:rPr>
      </w:pPr>
    </w:p>
    <w:p w14:paraId="271AB757">
      <w:pPr>
        <w:adjustRightInd w:val="0"/>
        <w:snapToGrid w:val="0"/>
        <w:spacing w:line="360" w:lineRule="auto"/>
        <w:rPr>
          <w:rFonts w:hint="eastAsia"/>
          <w:b/>
          <w:sz w:val="24"/>
          <w:szCs w:val="24"/>
          <w:highlight w:val="none"/>
        </w:rPr>
      </w:pPr>
    </w:p>
    <w:p w14:paraId="49527F65">
      <w:pPr>
        <w:adjustRightInd w:val="0"/>
        <w:snapToGrid w:val="0"/>
        <w:spacing w:line="360" w:lineRule="auto"/>
        <w:rPr>
          <w:rFonts w:hint="eastAsia"/>
          <w:b/>
          <w:sz w:val="24"/>
          <w:szCs w:val="24"/>
          <w:highlight w:val="none"/>
        </w:rPr>
      </w:pPr>
    </w:p>
    <w:p w14:paraId="7B8CD348">
      <w:pPr>
        <w:adjustRightInd w:val="0"/>
        <w:snapToGrid w:val="0"/>
        <w:spacing w:line="360" w:lineRule="auto"/>
        <w:rPr>
          <w:rFonts w:hint="eastAsia"/>
          <w:b/>
          <w:sz w:val="24"/>
          <w:szCs w:val="24"/>
          <w:highlight w:val="none"/>
        </w:rPr>
      </w:pPr>
    </w:p>
    <w:p w14:paraId="5B86334B">
      <w:pPr>
        <w:adjustRightInd w:val="0"/>
        <w:snapToGrid w:val="0"/>
        <w:spacing w:line="360" w:lineRule="auto"/>
        <w:rPr>
          <w:rFonts w:hint="eastAsia"/>
          <w:b/>
          <w:sz w:val="24"/>
          <w:szCs w:val="24"/>
          <w:highlight w:val="none"/>
        </w:rPr>
      </w:pPr>
    </w:p>
    <w:p w14:paraId="695BA71F">
      <w:pPr>
        <w:adjustRightInd w:val="0"/>
        <w:snapToGrid w:val="0"/>
        <w:spacing w:line="360" w:lineRule="auto"/>
        <w:rPr>
          <w:rFonts w:hint="eastAsia"/>
          <w:b/>
          <w:sz w:val="24"/>
          <w:szCs w:val="24"/>
          <w:highlight w:val="none"/>
        </w:rPr>
      </w:pPr>
    </w:p>
    <w:p w14:paraId="0E53F8E2">
      <w:pPr>
        <w:adjustRightInd w:val="0"/>
        <w:snapToGrid w:val="0"/>
        <w:spacing w:line="360" w:lineRule="auto"/>
        <w:rPr>
          <w:rFonts w:hint="eastAsia"/>
          <w:b/>
          <w:sz w:val="24"/>
          <w:szCs w:val="24"/>
          <w:highlight w:val="none"/>
        </w:rPr>
      </w:pPr>
    </w:p>
    <w:p w14:paraId="717023F1">
      <w:pPr>
        <w:adjustRightInd w:val="0"/>
        <w:snapToGrid w:val="0"/>
        <w:spacing w:line="360" w:lineRule="auto"/>
        <w:rPr>
          <w:b/>
          <w:sz w:val="24"/>
          <w:szCs w:val="24"/>
          <w:highlight w:val="none"/>
        </w:rPr>
      </w:pPr>
      <w:r>
        <w:rPr>
          <w:rFonts w:hint="eastAsia"/>
          <w:b/>
          <w:sz w:val="24"/>
          <w:szCs w:val="24"/>
          <w:highlight w:val="none"/>
        </w:rPr>
        <w:t>附图：</w:t>
      </w:r>
    </w:p>
    <w:p w14:paraId="52C09E0B">
      <w:pPr>
        <w:adjustRightInd w:val="0"/>
        <w:snapToGrid w:val="0"/>
        <w:spacing w:line="360" w:lineRule="auto"/>
        <w:rPr>
          <w:sz w:val="24"/>
          <w:szCs w:val="24"/>
          <w:highlight w:val="none"/>
        </w:rPr>
      </w:pPr>
      <w:r>
        <w:rPr>
          <w:rFonts w:hint="eastAsia"/>
          <w:sz w:val="24"/>
          <w:szCs w:val="24"/>
          <w:highlight w:val="none"/>
        </w:rPr>
        <w:t>附图</w:t>
      </w:r>
      <w:r>
        <w:rPr>
          <w:rFonts w:hint="eastAsia"/>
          <w:sz w:val="24"/>
          <w:szCs w:val="24"/>
          <w:highlight w:val="none"/>
          <w:lang w:val="en-US" w:eastAsia="zh-CN"/>
        </w:rPr>
        <w:t xml:space="preserve">1  </w:t>
      </w:r>
      <w:r>
        <w:rPr>
          <w:rFonts w:hint="eastAsia"/>
          <w:sz w:val="24"/>
          <w:szCs w:val="24"/>
          <w:highlight w:val="none"/>
        </w:rPr>
        <w:t>项目地理位置图</w:t>
      </w:r>
    </w:p>
    <w:p w14:paraId="0C7D4C0C">
      <w:pPr>
        <w:adjustRightInd w:val="0"/>
        <w:snapToGrid w:val="0"/>
        <w:spacing w:line="360" w:lineRule="auto"/>
        <w:rPr>
          <w:sz w:val="24"/>
          <w:szCs w:val="24"/>
          <w:highlight w:val="none"/>
        </w:rPr>
      </w:pPr>
      <w:r>
        <w:rPr>
          <w:rFonts w:hint="eastAsia"/>
          <w:sz w:val="24"/>
          <w:szCs w:val="24"/>
          <w:highlight w:val="none"/>
        </w:rPr>
        <w:t>附图</w:t>
      </w:r>
      <w:r>
        <w:rPr>
          <w:sz w:val="24"/>
          <w:szCs w:val="24"/>
          <w:highlight w:val="none"/>
        </w:rPr>
        <w:t>2</w:t>
      </w:r>
      <w:r>
        <w:rPr>
          <w:rFonts w:hint="eastAsia"/>
          <w:sz w:val="24"/>
          <w:szCs w:val="24"/>
          <w:highlight w:val="none"/>
          <w:lang w:val="en-US" w:eastAsia="zh-CN"/>
        </w:rPr>
        <w:t xml:space="preserve">  </w:t>
      </w:r>
      <w:r>
        <w:rPr>
          <w:rFonts w:hint="eastAsia"/>
          <w:color w:val="auto"/>
          <w:sz w:val="24"/>
          <w:szCs w:val="24"/>
          <w:highlight w:val="none"/>
        </w:rPr>
        <w:t>项目</w:t>
      </w:r>
      <w:r>
        <w:rPr>
          <w:rFonts w:hint="eastAsia"/>
          <w:bCs/>
          <w:caps/>
          <w:color w:val="auto"/>
          <w:sz w:val="24"/>
          <w:szCs w:val="24"/>
          <w:highlight w:val="none"/>
        </w:rPr>
        <w:t>周边环境保护目标分布示意</w:t>
      </w:r>
      <w:r>
        <w:rPr>
          <w:rFonts w:hint="eastAsia"/>
          <w:color w:val="auto"/>
          <w:sz w:val="24"/>
          <w:szCs w:val="24"/>
          <w:highlight w:val="none"/>
        </w:rPr>
        <w:t>图</w:t>
      </w:r>
    </w:p>
    <w:p w14:paraId="40BEDB0A">
      <w:pPr>
        <w:adjustRightInd w:val="0"/>
        <w:snapToGrid w:val="0"/>
        <w:spacing w:line="360" w:lineRule="auto"/>
        <w:rPr>
          <w:sz w:val="24"/>
          <w:szCs w:val="24"/>
          <w:highlight w:val="none"/>
        </w:rPr>
      </w:pPr>
      <w:r>
        <w:rPr>
          <w:rFonts w:hint="eastAsia"/>
          <w:sz w:val="24"/>
          <w:szCs w:val="24"/>
          <w:highlight w:val="none"/>
        </w:rPr>
        <w:t>附图</w:t>
      </w:r>
      <w:r>
        <w:rPr>
          <w:sz w:val="24"/>
          <w:szCs w:val="24"/>
          <w:highlight w:val="none"/>
        </w:rPr>
        <w:t>3</w:t>
      </w:r>
      <w:r>
        <w:rPr>
          <w:rFonts w:hint="eastAsia"/>
          <w:sz w:val="24"/>
          <w:szCs w:val="24"/>
          <w:highlight w:val="none"/>
          <w:lang w:val="en-US" w:eastAsia="zh-CN"/>
        </w:rPr>
        <w:t xml:space="preserve">  项目</w:t>
      </w:r>
      <w:r>
        <w:rPr>
          <w:rFonts w:hint="eastAsia"/>
          <w:sz w:val="24"/>
          <w:szCs w:val="24"/>
          <w:highlight w:val="none"/>
        </w:rPr>
        <w:t>厂区平面布置图</w:t>
      </w:r>
    </w:p>
    <w:p w14:paraId="6448F7AA">
      <w:pPr>
        <w:adjustRightInd w:val="0"/>
        <w:snapToGrid w:val="0"/>
        <w:spacing w:line="360" w:lineRule="auto"/>
        <w:rPr>
          <w:sz w:val="24"/>
          <w:szCs w:val="24"/>
          <w:highlight w:val="none"/>
        </w:rPr>
      </w:pPr>
      <w:r>
        <w:rPr>
          <w:rFonts w:hint="eastAsia"/>
          <w:sz w:val="24"/>
          <w:szCs w:val="24"/>
          <w:highlight w:val="none"/>
        </w:rPr>
        <w:t>附图4</w:t>
      </w:r>
      <w:r>
        <w:rPr>
          <w:rFonts w:hint="eastAsia"/>
          <w:sz w:val="24"/>
          <w:szCs w:val="24"/>
          <w:highlight w:val="none"/>
          <w:lang w:val="en-US" w:eastAsia="zh-CN"/>
        </w:rPr>
        <w:t xml:space="preserve">  </w:t>
      </w:r>
      <w:r>
        <w:rPr>
          <w:rFonts w:hint="eastAsia"/>
          <w:sz w:val="24"/>
          <w:szCs w:val="24"/>
          <w:highlight w:val="none"/>
        </w:rPr>
        <w:t>项目</w:t>
      </w:r>
      <w:r>
        <w:rPr>
          <w:rFonts w:hint="eastAsia"/>
          <w:sz w:val="24"/>
          <w:szCs w:val="24"/>
          <w:highlight w:val="none"/>
          <w:lang w:val="en-US" w:eastAsia="zh-CN"/>
        </w:rPr>
        <w:t>各层</w:t>
      </w:r>
      <w:r>
        <w:rPr>
          <w:rFonts w:hint="eastAsia"/>
          <w:sz w:val="24"/>
          <w:szCs w:val="24"/>
          <w:highlight w:val="none"/>
        </w:rPr>
        <w:t>平面布置图</w:t>
      </w:r>
    </w:p>
    <w:p w14:paraId="47714AC4">
      <w:pPr>
        <w:adjustRightInd w:val="0"/>
        <w:snapToGrid w:val="0"/>
        <w:spacing w:line="360" w:lineRule="auto"/>
        <w:rPr>
          <w:sz w:val="24"/>
          <w:szCs w:val="24"/>
          <w:highlight w:val="none"/>
        </w:rPr>
      </w:pPr>
      <w:r>
        <w:rPr>
          <w:rFonts w:hint="eastAsia"/>
          <w:sz w:val="24"/>
          <w:szCs w:val="24"/>
          <w:highlight w:val="none"/>
        </w:rPr>
        <w:t>附图5</w:t>
      </w:r>
      <w:r>
        <w:rPr>
          <w:rFonts w:hint="eastAsia"/>
          <w:sz w:val="24"/>
          <w:szCs w:val="24"/>
          <w:highlight w:val="none"/>
          <w:lang w:val="en-US" w:eastAsia="zh-CN"/>
        </w:rPr>
        <w:t xml:space="preserve">  </w:t>
      </w:r>
      <w:r>
        <w:rPr>
          <w:rFonts w:hint="eastAsia"/>
          <w:color w:val="auto"/>
          <w:sz w:val="24"/>
          <w:szCs w:val="24"/>
          <w:highlight w:val="none"/>
          <w:lang w:val="en-US" w:eastAsia="zh-CN"/>
        </w:rPr>
        <w:t>衢州市高铁新城（西区二期）控制性详细规划图</w:t>
      </w:r>
    </w:p>
    <w:p w14:paraId="4BA066E3">
      <w:pPr>
        <w:adjustRightInd w:val="0"/>
        <w:snapToGrid w:val="0"/>
        <w:spacing w:line="360" w:lineRule="auto"/>
        <w:rPr>
          <w:sz w:val="24"/>
          <w:szCs w:val="24"/>
          <w:highlight w:val="none"/>
        </w:rPr>
      </w:pPr>
      <w:r>
        <w:rPr>
          <w:rFonts w:hint="eastAsia"/>
          <w:sz w:val="24"/>
          <w:szCs w:val="24"/>
          <w:highlight w:val="none"/>
        </w:rPr>
        <w:t>附图6</w:t>
      </w:r>
      <w:r>
        <w:rPr>
          <w:rFonts w:hint="eastAsia"/>
          <w:sz w:val="24"/>
          <w:szCs w:val="24"/>
          <w:highlight w:val="none"/>
          <w:lang w:val="en-US" w:eastAsia="zh-CN"/>
        </w:rPr>
        <w:t xml:space="preserve">  </w:t>
      </w:r>
      <w:r>
        <w:rPr>
          <w:rFonts w:hint="eastAsia" w:eastAsia="宋体"/>
          <w:sz w:val="24"/>
          <w:szCs w:val="24"/>
          <w:highlight w:val="none"/>
        </w:rPr>
        <w:t>项目所在地用地规划示意</w:t>
      </w:r>
      <w:r>
        <w:rPr>
          <w:rFonts w:eastAsia="宋体"/>
          <w:sz w:val="24"/>
          <w:szCs w:val="24"/>
          <w:highlight w:val="none"/>
        </w:rPr>
        <w:t>图</w:t>
      </w:r>
    </w:p>
    <w:p w14:paraId="3CF30688">
      <w:pPr>
        <w:adjustRightInd w:val="0"/>
        <w:snapToGrid w:val="0"/>
        <w:spacing w:line="360" w:lineRule="auto"/>
        <w:rPr>
          <w:sz w:val="24"/>
          <w:szCs w:val="24"/>
          <w:highlight w:val="none"/>
        </w:rPr>
      </w:pPr>
      <w:r>
        <w:rPr>
          <w:rFonts w:hint="eastAsia"/>
          <w:sz w:val="24"/>
          <w:szCs w:val="24"/>
          <w:highlight w:val="none"/>
        </w:rPr>
        <w:t>附图7</w:t>
      </w:r>
      <w:r>
        <w:rPr>
          <w:rFonts w:hint="eastAsia"/>
          <w:sz w:val="24"/>
          <w:szCs w:val="24"/>
          <w:highlight w:val="none"/>
          <w:lang w:val="en-US" w:eastAsia="zh-CN"/>
        </w:rPr>
        <w:t xml:space="preserve">  </w:t>
      </w:r>
      <w:r>
        <w:rPr>
          <w:rFonts w:hint="eastAsia" w:eastAsia="宋体"/>
          <w:sz w:val="24"/>
          <w:szCs w:val="24"/>
          <w:highlight w:val="none"/>
        </w:rPr>
        <w:t>衢州市区声环境功能区划图</w:t>
      </w:r>
    </w:p>
    <w:p w14:paraId="686E2896">
      <w:pPr>
        <w:adjustRightInd w:val="0"/>
        <w:snapToGrid w:val="0"/>
        <w:spacing w:line="360" w:lineRule="auto"/>
        <w:rPr>
          <w:rFonts w:eastAsia="宋体"/>
          <w:bCs/>
          <w:sz w:val="24"/>
          <w:szCs w:val="24"/>
          <w:highlight w:val="none"/>
        </w:rPr>
      </w:pPr>
      <w:r>
        <w:rPr>
          <w:rFonts w:hint="eastAsia"/>
          <w:b w:val="0"/>
          <w:bCs/>
          <w:sz w:val="24"/>
          <w:szCs w:val="24"/>
          <w:highlight w:val="none"/>
          <w:lang w:eastAsia="zh-CN"/>
        </w:rPr>
        <w:t>附图</w:t>
      </w:r>
      <w:r>
        <w:rPr>
          <w:rFonts w:hint="eastAsia"/>
          <w:b w:val="0"/>
          <w:bCs/>
          <w:sz w:val="24"/>
          <w:szCs w:val="24"/>
          <w:highlight w:val="none"/>
          <w:lang w:val="en-US" w:eastAsia="zh-CN"/>
        </w:rPr>
        <w:t xml:space="preserve">8  </w:t>
      </w:r>
      <w:r>
        <w:rPr>
          <w:rFonts w:hint="eastAsia" w:eastAsia="宋体"/>
          <w:bCs/>
          <w:sz w:val="24"/>
          <w:szCs w:val="24"/>
          <w:highlight w:val="none"/>
        </w:rPr>
        <w:t>衢州市区</w:t>
      </w:r>
      <w:r>
        <w:rPr>
          <w:rFonts w:eastAsia="宋体"/>
          <w:bCs/>
          <w:sz w:val="24"/>
          <w:szCs w:val="24"/>
          <w:highlight w:val="none"/>
        </w:rPr>
        <w:t>水环境功能区划图</w:t>
      </w:r>
    </w:p>
    <w:p w14:paraId="0EBC501C">
      <w:pPr>
        <w:adjustRightInd w:val="0"/>
        <w:snapToGrid w:val="0"/>
        <w:spacing w:line="360" w:lineRule="auto"/>
        <w:rPr>
          <w:rFonts w:hint="eastAsia"/>
          <w:color w:val="auto"/>
          <w:sz w:val="24"/>
          <w:szCs w:val="24"/>
          <w:highlight w:val="none"/>
        </w:rPr>
      </w:pPr>
      <w:r>
        <w:rPr>
          <w:rFonts w:hint="eastAsia"/>
          <w:b w:val="0"/>
          <w:bCs/>
          <w:sz w:val="24"/>
          <w:szCs w:val="24"/>
          <w:highlight w:val="none"/>
          <w:lang w:eastAsia="zh-CN"/>
        </w:rPr>
        <w:t>附图</w:t>
      </w:r>
      <w:r>
        <w:rPr>
          <w:rFonts w:hint="eastAsia"/>
          <w:b w:val="0"/>
          <w:bCs/>
          <w:sz w:val="24"/>
          <w:szCs w:val="24"/>
          <w:highlight w:val="none"/>
          <w:lang w:val="en-US" w:eastAsia="zh-CN"/>
        </w:rPr>
        <w:t xml:space="preserve">9  </w:t>
      </w:r>
      <w:r>
        <w:rPr>
          <w:rFonts w:hint="eastAsia" w:eastAsia="宋体"/>
          <w:bCs/>
          <w:sz w:val="24"/>
          <w:szCs w:val="24"/>
          <w:highlight w:val="none"/>
        </w:rPr>
        <w:t>衢州市区</w:t>
      </w:r>
      <w:r>
        <w:rPr>
          <w:rFonts w:hint="eastAsia"/>
          <w:bCs/>
          <w:sz w:val="24"/>
          <w:szCs w:val="24"/>
          <w:highlight w:val="none"/>
          <w:lang w:val="en-US" w:eastAsia="zh-CN"/>
        </w:rPr>
        <w:t>生态</w:t>
      </w:r>
      <w:r>
        <w:rPr>
          <w:rFonts w:hint="eastAsia"/>
          <w:color w:val="auto"/>
          <w:sz w:val="24"/>
          <w:szCs w:val="24"/>
          <w:highlight w:val="none"/>
        </w:rPr>
        <w:t>环境管控单元</w:t>
      </w:r>
      <w:r>
        <w:rPr>
          <w:rFonts w:hint="eastAsia"/>
          <w:color w:val="auto"/>
          <w:sz w:val="24"/>
          <w:szCs w:val="24"/>
          <w:highlight w:val="none"/>
          <w:lang w:val="en-US" w:eastAsia="zh-CN"/>
        </w:rPr>
        <w:t>分类</w:t>
      </w:r>
      <w:r>
        <w:rPr>
          <w:rFonts w:hint="eastAsia"/>
          <w:color w:val="auto"/>
          <w:sz w:val="24"/>
          <w:szCs w:val="24"/>
          <w:highlight w:val="none"/>
        </w:rPr>
        <w:t>图</w:t>
      </w:r>
    </w:p>
    <w:p w14:paraId="7E9AE00E">
      <w:pPr>
        <w:adjustRightInd w:val="0"/>
        <w:snapToGrid w:val="0"/>
        <w:spacing w:line="360" w:lineRule="auto"/>
        <w:rPr>
          <w:rFonts w:hint="eastAsia"/>
          <w:color w:val="auto"/>
          <w:sz w:val="24"/>
          <w:szCs w:val="24"/>
          <w:highlight w:val="none"/>
          <w:lang w:val="en-US" w:eastAsia="zh-CN"/>
        </w:rPr>
      </w:pPr>
      <w:r>
        <w:rPr>
          <w:rFonts w:hint="eastAsia"/>
          <w:color w:val="auto"/>
          <w:sz w:val="24"/>
          <w:szCs w:val="24"/>
          <w:highlight w:val="none"/>
        </w:rPr>
        <w:t>附图</w:t>
      </w:r>
      <w:r>
        <w:rPr>
          <w:rFonts w:hint="eastAsia"/>
          <w:color w:val="auto"/>
          <w:sz w:val="24"/>
          <w:szCs w:val="24"/>
          <w:highlight w:val="none"/>
          <w:lang w:val="en-US" w:eastAsia="zh-CN"/>
        </w:rPr>
        <w:t xml:space="preserve">10 </w:t>
      </w:r>
      <w:r>
        <w:rPr>
          <w:rFonts w:hint="eastAsia" w:eastAsia="宋体"/>
          <w:bCs/>
          <w:sz w:val="24"/>
          <w:szCs w:val="24"/>
          <w:highlight w:val="none"/>
        </w:rPr>
        <w:t>衢州市区</w:t>
      </w:r>
      <w:r>
        <w:rPr>
          <w:rFonts w:hint="eastAsia"/>
          <w:bCs/>
          <w:sz w:val="24"/>
          <w:szCs w:val="24"/>
          <w:highlight w:val="none"/>
          <w:lang w:eastAsia="zh-CN"/>
        </w:rPr>
        <w:t>“</w:t>
      </w:r>
      <w:r>
        <w:rPr>
          <w:rFonts w:hint="eastAsia"/>
          <w:color w:val="auto"/>
          <w:sz w:val="24"/>
          <w:szCs w:val="24"/>
          <w:highlight w:val="none"/>
          <w:lang w:val="en-US" w:eastAsia="zh-CN"/>
        </w:rPr>
        <w:t>三区三线</w:t>
      </w:r>
      <w:r>
        <w:rPr>
          <w:rFonts w:hint="eastAsia"/>
          <w:bCs/>
          <w:sz w:val="24"/>
          <w:szCs w:val="24"/>
          <w:highlight w:val="none"/>
          <w:lang w:eastAsia="zh-CN"/>
        </w:rPr>
        <w:t>”</w:t>
      </w:r>
      <w:r>
        <w:rPr>
          <w:rFonts w:hint="eastAsia"/>
          <w:color w:val="auto"/>
          <w:sz w:val="24"/>
          <w:szCs w:val="24"/>
          <w:highlight w:val="none"/>
          <w:lang w:val="en-US" w:eastAsia="zh-CN"/>
        </w:rPr>
        <w:t>图</w:t>
      </w:r>
    </w:p>
    <w:p w14:paraId="77FDD98B">
      <w:pPr>
        <w:adjustRightInd w:val="0"/>
        <w:snapToGrid w:val="0"/>
        <w:spacing w:line="360" w:lineRule="auto"/>
        <w:rPr>
          <w:rFonts w:hint="default" w:eastAsia="宋体"/>
          <w:b w:val="0"/>
          <w:bCs/>
          <w:sz w:val="24"/>
          <w:szCs w:val="24"/>
          <w:highlight w:val="none"/>
          <w:lang w:val="en-US" w:eastAsia="zh-CN"/>
        </w:rPr>
      </w:pPr>
    </w:p>
    <w:p w14:paraId="7941FBF4">
      <w:pPr>
        <w:adjustRightInd w:val="0"/>
        <w:snapToGrid w:val="0"/>
        <w:spacing w:line="360" w:lineRule="auto"/>
        <w:rPr>
          <w:rFonts w:hint="default" w:eastAsia="宋体"/>
          <w:b w:val="0"/>
          <w:bCs/>
          <w:sz w:val="24"/>
          <w:szCs w:val="24"/>
          <w:highlight w:val="none"/>
          <w:lang w:val="en-US" w:eastAsia="zh-CN"/>
        </w:rPr>
      </w:pPr>
    </w:p>
    <w:p w14:paraId="00B167A6">
      <w:pPr>
        <w:adjustRightInd w:val="0"/>
        <w:snapToGrid w:val="0"/>
        <w:spacing w:line="360" w:lineRule="auto"/>
        <w:rPr>
          <w:b/>
          <w:color w:val="auto"/>
          <w:sz w:val="24"/>
          <w:szCs w:val="24"/>
          <w:highlight w:val="none"/>
        </w:rPr>
      </w:pPr>
      <w:r>
        <w:rPr>
          <w:rFonts w:hint="eastAsia"/>
          <w:b/>
          <w:color w:val="auto"/>
          <w:sz w:val="24"/>
          <w:szCs w:val="24"/>
          <w:highlight w:val="none"/>
        </w:rPr>
        <w:t>附件：</w:t>
      </w:r>
    </w:p>
    <w:p w14:paraId="4E654486">
      <w:pPr>
        <w:adjustRightInd w:val="0"/>
        <w:snapToGrid w:val="0"/>
        <w:spacing w:line="360" w:lineRule="auto"/>
        <w:rPr>
          <w:color w:val="auto"/>
          <w:sz w:val="24"/>
          <w:szCs w:val="24"/>
          <w:highlight w:val="none"/>
        </w:rPr>
      </w:pPr>
      <w:r>
        <w:rPr>
          <w:rFonts w:hint="eastAsia"/>
          <w:color w:val="auto"/>
          <w:sz w:val="24"/>
          <w:szCs w:val="24"/>
          <w:highlight w:val="none"/>
        </w:rPr>
        <w:t>附件</w:t>
      </w:r>
      <w:r>
        <w:rPr>
          <w:color w:val="auto"/>
          <w:sz w:val="24"/>
          <w:szCs w:val="24"/>
          <w:highlight w:val="none"/>
        </w:rPr>
        <w:t>1</w:t>
      </w:r>
      <w:r>
        <w:rPr>
          <w:rFonts w:hint="eastAsia"/>
          <w:color w:val="auto"/>
          <w:sz w:val="24"/>
          <w:szCs w:val="24"/>
          <w:highlight w:val="none"/>
          <w:lang w:val="en-US" w:eastAsia="zh-CN"/>
        </w:rPr>
        <w:t xml:space="preserve"> </w:t>
      </w:r>
      <w:r>
        <w:rPr>
          <w:rFonts w:hint="eastAsia"/>
          <w:color w:val="auto"/>
          <w:sz w:val="24"/>
          <w:szCs w:val="24"/>
          <w:highlight w:val="none"/>
        </w:rPr>
        <w:t>《浙江省工业企业“零土地”技术改造项目备案通知书》</w:t>
      </w:r>
    </w:p>
    <w:p w14:paraId="57E6F0F0">
      <w:pPr>
        <w:adjustRightInd w:val="0"/>
        <w:snapToGrid w:val="0"/>
        <w:spacing w:line="360" w:lineRule="auto"/>
        <w:rPr>
          <w:rFonts w:hint="eastAsia"/>
          <w:color w:val="auto"/>
          <w:sz w:val="24"/>
          <w:szCs w:val="24"/>
          <w:highlight w:val="none"/>
          <w:lang w:val="en-US" w:eastAsia="zh-CN"/>
        </w:rPr>
      </w:pPr>
      <w:r>
        <w:rPr>
          <w:rFonts w:hint="eastAsia"/>
          <w:color w:val="auto"/>
          <w:sz w:val="24"/>
          <w:szCs w:val="24"/>
          <w:highlight w:val="none"/>
        </w:rPr>
        <w:t>附件</w:t>
      </w:r>
      <w:r>
        <w:rPr>
          <w:color w:val="auto"/>
          <w:sz w:val="24"/>
          <w:szCs w:val="24"/>
          <w:highlight w:val="none"/>
        </w:rPr>
        <w:t>2</w:t>
      </w:r>
      <w:r>
        <w:rPr>
          <w:rFonts w:hint="eastAsia"/>
          <w:color w:val="auto"/>
          <w:sz w:val="24"/>
          <w:szCs w:val="24"/>
          <w:highlight w:val="none"/>
          <w:lang w:val="en-US" w:eastAsia="zh-CN"/>
        </w:rPr>
        <w:t xml:space="preserve"> </w:t>
      </w:r>
      <w:r>
        <w:rPr>
          <w:rFonts w:hint="eastAsia"/>
          <w:color w:val="auto"/>
          <w:sz w:val="24"/>
          <w:szCs w:val="24"/>
          <w:highlight w:val="none"/>
        </w:rPr>
        <w:t>营业执照</w:t>
      </w:r>
      <w:r>
        <w:rPr>
          <w:rFonts w:hint="eastAsia"/>
          <w:color w:val="auto"/>
          <w:sz w:val="24"/>
          <w:szCs w:val="24"/>
          <w:highlight w:val="none"/>
          <w:lang w:val="en-US" w:eastAsia="zh-CN"/>
        </w:rPr>
        <w:t>及法人身份证</w:t>
      </w:r>
    </w:p>
    <w:p w14:paraId="77509427">
      <w:pPr>
        <w:adjustRightInd w:val="0"/>
        <w:snapToGrid w:val="0"/>
        <w:spacing w:line="360" w:lineRule="auto"/>
        <w:rPr>
          <w:rFonts w:hint="default"/>
          <w:color w:val="auto"/>
          <w:sz w:val="24"/>
          <w:szCs w:val="24"/>
          <w:highlight w:val="none"/>
          <w:lang w:val="en-US" w:eastAsia="zh-CN"/>
        </w:rPr>
      </w:pPr>
      <w:r>
        <w:rPr>
          <w:rFonts w:hint="eastAsia"/>
          <w:color w:val="auto"/>
          <w:sz w:val="24"/>
          <w:szCs w:val="24"/>
          <w:highlight w:val="none"/>
        </w:rPr>
        <w:t>附件</w:t>
      </w:r>
      <w:r>
        <w:rPr>
          <w:rFonts w:hint="eastAsia"/>
          <w:color w:val="auto"/>
          <w:sz w:val="24"/>
          <w:szCs w:val="24"/>
          <w:highlight w:val="none"/>
          <w:lang w:val="en-US" w:eastAsia="zh-CN"/>
        </w:rPr>
        <w:t>3 建设用地规划许可证</w:t>
      </w:r>
    </w:p>
    <w:p w14:paraId="156A695A">
      <w:pPr>
        <w:adjustRightInd w:val="0"/>
        <w:snapToGrid w:val="0"/>
        <w:spacing w:line="360" w:lineRule="auto"/>
        <w:rPr>
          <w:color w:val="auto"/>
          <w:sz w:val="24"/>
          <w:szCs w:val="24"/>
          <w:highlight w:val="none"/>
        </w:rPr>
      </w:pPr>
      <w:r>
        <w:rPr>
          <w:rFonts w:hint="eastAsia"/>
          <w:color w:val="auto"/>
          <w:sz w:val="24"/>
          <w:szCs w:val="24"/>
          <w:highlight w:val="none"/>
          <w:lang w:val="en-US" w:eastAsia="zh-CN"/>
        </w:rPr>
        <w:t xml:space="preserve">附件4 </w:t>
      </w:r>
      <w:r>
        <w:rPr>
          <w:rFonts w:hint="eastAsia"/>
          <w:color w:val="auto"/>
          <w:sz w:val="24"/>
          <w:szCs w:val="24"/>
          <w:highlight w:val="none"/>
        </w:rPr>
        <w:t>建设项目环境影响评价文件确认书</w:t>
      </w:r>
    </w:p>
    <w:p w14:paraId="385564F3">
      <w:pPr>
        <w:adjustRightInd w:val="0"/>
        <w:snapToGrid w:val="0"/>
        <w:spacing w:line="360" w:lineRule="auto"/>
        <w:rPr>
          <w:b/>
          <w:sz w:val="24"/>
          <w:szCs w:val="24"/>
          <w:highlight w:val="none"/>
        </w:rPr>
      </w:pPr>
    </w:p>
    <w:p w14:paraId="4715B61B">
      <w:pPr>
        <w:adjustRightInd w:val="0"/>
        <w:snapToGrid w:val="0"/>
        <w:spacing w:line="360" w:lineRule="auto"/>
        <w:rPr>
          <w:b/>
          <w:sz w:val="24"/>
          <w:szCs w:val="24"/>
          <w:highlight w:val="none"/>
        </w:rPr>
      </w:pPr>
      <w:r>
        <w:rPr>
          <w:rFonts w:hint="eastAsia"/>
          <w:b/>
          <w:sz w:val="24"/>
          <w:szCs w:val="24"/>
          <w:highlight w:val="none"/>
        </w:rPr>
        <w:t>附表：</w:t>
      </w:r>
    </w:p>
    <w:p w14:paraId="49827EB5">
      <w:pPr>
        <w:adjustRightInd w:val="0"/>
        <w:snapToGrid w:val="0"/>
        <w:spacing w:line="360" w:lineRule="auto"/>
        <w:rPr>
          <w:sz w:val="21"/>
          <w:szCs w:val="21"/>
          <w:highlight w:val="none"/>
        </w:rPr>
      </w:pPr>
      <w:r>
        <w:rPr>
          <w:rFonts w:hint="eastAsia"/>
          <w:sz w:val="24"/>
          <w:szCs w:val="24"/>
          <w:highlight w:val="none"/>
        </w:rPr>
        <w:t>附表1：建设项目污染物排放量汇总表</w:t>
      </w:r>
    </w:p>
    <w:p w14:paraId="7AD0232B">
      <w:pPr>
        <w:pStyle w:val="7"/>
        <w:rPr>
          <w:highlight w:val="none"/>
        </w:rPr>
      </w:pPr>
    </w:p>
    <w:p w14:paraId="331B32F0">
      <w:pPr>
        <w:bidi w:val="0"/>
        <w:rPr>
          <w:rFonts w:hint="eastAsia"/>
          <w:highlight w:val="none"/>
          <w:lang w:val="zh-CN"/>
        </w:rPr>
      </w:pPr>
      <w:bookmarkStart w:id="3" w:name="_Toc66538117"/>
    </w:p>
    <w:p w14:paraId="4C356FFF">
      <w:pPr>
        <w:bidi w:val="0"/>
        <w:rPr>
          <w:rFonts w:hint="eastAsia"/>
          <w:highlight w:val="none"/>
          <w:lang w:val="zh-CN"/>
        </w:rPr>
      </w:pPr>
    </w:p>
    <w:p w14:paraId="7BC3199E">
      <w:pPr>
        <w:bidi w:val="0"/>
        <w:rPr>
          <w:rFonts w:hint="eastAsia"/>
          <w:highlight w:val="none"/>
          <w:lang w:val="zh-CN"/>
        </w:rPr>
      </w:pPr>
    </w:p>
    <w:p w14:paraId="1FDCF2AA">
      <w:pPr>
        <w:bidi w:val="0"/>
        <w:rPr>
          <w:rFonts w:hint="eastAsia"/>
          <w:highlight w:val="none"/>
          <w:lang w:val="zh-CN"/>
        </w:rPr>
      </w:pPr>
    </w:p>
    <w:p w14:paraId="2B32C92A">
      <w:pPr>
        <w:bidi w:val="0"/>
        <w:rPr>
          <w:rFonts w:hint="eastAsia"/>
          <w:highlight w:val="none"/>
          <w:lang w:val="zh-CN"/>
        </w:rPr>
      </w:pPr>
    </w:p>
    <w:p w14:paraId="5408DC91">
      <w:pPr>
        <w:bidi w:val="0"/>
        <w:rPr>
          <w:rFonts w:hint="eastAsia"/>
          <w:highlight w:val="none"/>
          <w:lang w:val="zh-CN"/>
        </w:rPr>
      </w:pPr>
    </w:p>
    <w:p w14:paraId="73835D53">
      <w:pPr>
        <w:bidi w:val="0"/>
        <w:rPr>
          <w:rFonts w:hint="eastAsia"/>
          <w:highlight w:val="none"/>
          <w:lang w:val="zh-CN"/>
        </w:rPr>
      </w:pPr>
    </w:p>
    <w:p w14:paraId="79C401CA">
      <w:pPr>
        <w:bidi w:val="0"/>
        <w:rPr>
          <w:rFonts w:hint="eastAsia"/>
          <w:highlight w:val="none"/>
          <w:lang w:val="zh-CN"/>
        </w:rPr>
      </w:pPr>
    </w:p>
    <w:p w14:paraId="67E69F83">
      <w:pPr>
        <w:bidi w:val="0"/>
        <w:rPr>
          <w:rFonts w:hint="eastAsia"/>
          <w:highlight w:val="none"/>
          <w:lang w:val="zh-CN"/>
        </w:rPr>
      </w:pPr>
    </w:p>
    <w:p w14:paraId="51669A0E">
      <w:pPr>
        <w:pStyle w:val="2"/>
        <w:keepLines/>
        <w:widowControl/>
        <w:overflowPunct/>
        <w:adjustRightInd w:val="0"/>
        <w:spacing w:before="240" w:beforeLines="100" w:after="240" w:afterLines="100" w:line="240" w:lineRule="auto"/>
        <w:ind w:left="0" w:firstLine="0"/>
        <w:jc w:val="center"/>
        <w:rPr>
          <w:rFonts w:hint="eastAsia" w:eastAsia="宋体"/>
          <w:b w:val="0"/>
          <w:color w:val="auto"/>
          <w:highlight w:val="none"/>
          <w:lang w:val="zh-CN"/>
        </w:rPr>
        <w:sectPr>
          <w:footerReference r:id="rId4" w:type="default"/>
          <w:pgSz w:w="11906" w:h="16838"/>
          <w:pgMar w:top="1701" w:right="1531" w:bottom="1701" w:left="1531" w:header="851" w:footer="1077" w:gutter="0"/>
          <w:pgBorders>
            <w:top w:val="none" w:sz="0" w:space="0"/>
            <w:left w:val="none" w:sz="0" w:space="0"/>
            <w:bottom w:val="none" w:sz="0" w:space="0"/>
            <w:right w:val="none" w:sz="0" w:space="0"/>
          </w:pgBorders>
          <w:pgNumType w:fmt="upperRoman" w:start="1"/>
          <w:cols w:space="720" w:num="1"/>
          <w:docGrid w:linePitch="312" w:charSpace="0"/>
        </w:sectPr>
      </w:pPr>
    </w:p>
    <w:p w14:paraId="7F01F28E">
      <w:pPr>
        <w:pStyle w:val="2"/>
        <w:keepLines/>
        <w:widowControl/>
        <w:overflowPunct/>
        <w:adjustRightInd w:val="0"/>
        <w:spacing w:before="240" w:beforeLines="100" w:after="240" w:afterLines="100" w:line="240" w:lineRule="auto"/>
        <w:ind w:left="0" w:firstLine="0"/>
        <w:jc w:val="center"/>
        <w:rPr>
          <w:rFonts w:eastAsia="宋体"/>
          <w:b w:val="0"/>
          <w:color w:val="auto"/>
          <w:highlight w:val="none"/>
          <w:lang w:val="zh-CN"/>
        </w:rPr>
      </w:pPr>
      <w:bookmarkStart w:id="4" w:name="_Toc26744"/>
      <w:r>
        <w:rPr>
          <w:rFonts w:hint="eastAsia" w:eastAsia="宋体"/>
          <w:b w:val="0"/>
          <w:color w:val="auto"/>
          <w:highlight w:val="none"/>
          <w:lang w:val="zh-CN"/>
        </w:rPr>
        <w:t>一、建设项目基本情况</w:t>
      </w:r>
      <w:bookmarkEnd w:id="3"/>
      <w:bookmarkEnd w:id="4"/>
    </w:p>
    <w:tbl>
      <w:tblPr>
        <w:tblStyle w:val="32"/>
        <w:tblW w:w="8870" w:type="dxa"/>
        <w:jc w:val="center"/>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Layout w:type="autofit"/>
        <w:tblCellMar>
          <w:top w:w="0" w:type="dxa"/>
          <w:left w:w="0" w:type="dxa"/>
          <w:bottom w:w="0" w:type="dxa"/>
          <w:right w:w="0" w:type="dxa"/>
        </w:tblCellMar>
      </w:tblPr>
      <w:tblGrid>
        <w:gridCol w:w="1113"/>
        <w:gridCol w:w="913"/>
        <w:gridCol w:w="2113"/>
        <w:gridCol w:w="1998"/>
        <w:gridCol w:w="2733"/>
      </w:tblGrid>
      <w:tr w14:paraId="1E520E40">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0" w:type="dxa"/>
            <w:bottom w:w="0" w:type="dxa"/>
            <w:right w:w="0" w:type="dxa"/>
          </w:tblCellMar>
        </w:tblPrEx>
        <w:trPr>
          <w:trHeight w:val="128" w:hRule="atLeast"/>
          <w:jc w:val="center"/>
        </w:trPr>
        <w:tc>
          <w:tcPr>
            <w:tcW w:w="2026" w:type="dxa"/>
            <w:gridSpan w:val="2"/>
            <w:tcMar>
              <w:top w:w="57" w:type="dxa"/>
              <w:left w:w="57" w:type="dxa"/>
              <w:bottom w:w="0" w:type="dxa"/>
              <w:right w:w="57" w:type="dxa"/>
            </w:tcMar>
            <w:vAlign w:val="center"/>
          </w:tcPr>
          <w:p w14:paraId="1E2F25E9">
            <w:pPr>
              <w:keepNext w:val="0"/>
              <w:keepLines w:val="0"/>
              <w:suppressLineNumbers w:val="0"/>
              <w:adjustRightInd w:val="0"/>
              <w:snapToGrid w:val="0"/>
              <w:spacing w:before="0" w:beforeAutospacing="0" w:after="0" w:afterAutospacing="0" w:line="276" w:lineRule="auto"/>
              <w:ind w:left="0" w:right="0"/>
              <w:jc w:val="center"/>
              <w:rPr>
                <w:rFonts w:hint="default"/>
                <w:sz w:val="21"/>
                <w:szCs w:val="21"/>
                <w:highlight w:val="none"/>
              </w:rPr>
            </w:pPr>
            <w:r>
              <w:rPr>
                <w:rFonts w:hint="eastAsia"/>
                <w:sz w:val="21"/>
                <w:szCs w:val="21"/>
                <w:highlight w:val="none"/>
              </w:rPr>
              <w:t>建设项目名称</w:t>
            </w:r>
          </w:p>
        </w:tc>
        <w:tc>
          <w:tcPr>
            <w:tcW w:w="6844" w:type="dxa"/>
            <w:gridSpan w:val="3"/>
            <w:tcMar>
              <w:top w:w="57" w:type="dxa"/>
              <w:left w:w="57" w:type="dxa"/>
              <w:bottom w:w="0" w:type="dxa"/>
              <w:right w:w="57" w:type="dxa"/>
            </w:tcMar>
            <w:vAlign w:val="center"/>
          </w:tcPr>
          <w:p w14:paraId="3CA3A386">
            <w:pPr>
              <w:keepNext w:val="0"/>
              <w:keepLines w:val="0"/>
              <w:suppressLineNumbers w:val="0"/>
              <w:adjustRightInd w:val="0"/>
              <w:snapToGrid w:val="0"/>
              <w:spacing w:before="0" w:beforeAutospacing="0" w:after="0" w:afterAutospacing="0" w:line="276" w:lineRule="auto"/>
              <w:ind w:left="0" w:right="0"/>
              <w:jc w:val="center"/>
              <w:rPr>
                <w:rFonts w:hint="default"/>
                <w:color w:val="FF0000"/>
                <w:sz w:val="21"/>
                <w:szCs w:val="21"/>
                <w:highlight w:val="none"/>
              </w:rPr>
            </w:pPr>
            <w:r>
              <w:rPr>
                <w:rFonts w:hint="eastAsia"/>
                <w:color w:val="auto"/>
                <w:sz w:val="21"/>
                <w:szCs w:val="21"/>
                <w:highlight w:val="none"/>
              </w:rPr>
              <w:t>衢州高铁新城智慧产业园七期-1项目</w:t>
            </w:r>
          </w:p>
        </w:tc>
      </w:tr>
      <w:tr w14:paraId="45433E16">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0" w:type="dxa"/>
            <w:bottom w:w="0" w:type="dxa"/>
            <w:right w:w="0" w:type="dxa"/>
          </w:tblCellMar>
        </w:tblPrEx>
        <w:trPr>
          <w:trHeight w:val="34" w:hRule="atLeast"/>
          <w:jc w:val="center"/>
        </w:trPr>
        <w:tc>
          <w:tcPr>
            <w:tcW w:w="2026" w:type="dxa"/>
            <w:gridSpan w:val="2"/>
            <w:tcMar>
              <w:top w:w="57" w:type="dxa"/>
              <w:left w:w="57" w:type="dxa"/>
              <w:bottom w:w="0" w:type="dxa"/>
              <w:right w:w="57" w:type="dxa"/>
            </w:tcMar>
            <w:vAlign w:val="center"/>
          </w:tcPr>
          <w:p w14:paraId="69C0C4C6">
            <w:pPr>
              <w:keepNext w:val="0"/>
              <w:keepLines w:val="0"/>
              <w:suppressLineNumbers w:val="0"/>
              <w:adjustRightInd w:val="0"/>
              <w:snapToGrid w:val="0"/>
              <w:spacing w:before="0" w:beforeAutospacing="0" w:after="0" w:afterAutospacing="0" w:line="276" w:lineRule="auto"/>
              <w:ind w:left="0" w:right="0"/>
              <w:jc w:val="center"/>
              <w:rPr>
                <w:rFonts w:hint="default"/>
                <w:color w:val="auto"/>
                <w:sz w:val="21"/>
                <w:szCs w:val="21"/>
                <w:highlight w:val="none"/>
              </w:rPr>
            </w:pPr>
            <w:r>
              <w:rPr>
                <w:rFonts w:hint="eastAsia" w:hAnsi="宋体"/>
                <w:color w:val="auto"/>
                <w:sz w:val="21"/>
                <w:szCs w:val="21"/>
                <w:highlight w:val="none"/>
              </w:rPr>
              <w:t>项目代码</w:t>
            </w:r>
          </w:p>
        </w:tc>
        <w:tc>
          <w:tcPr>
            <w:tcW w:w="6844" w:type="dxa"/>
            <w:gridSpan w:val="3"/>
            <w:tcMar>
              <w:top w:w="57" w:type="dxa"/>
              <w:left w:w="57" w:type="dxa"/>
              <w:bottom w:w="0" w:type="dxa"/>
              <w:right w:w="57" w:type="dxa"/>
            </w:tcMar>
            <w:vAlign w:val="center"/>
          </w:tcPr>
          <w:p w14:paraId="049050B4">
            <w:pPr>
              <w:keepNext w:val="0"/>
              <w:keepLines w:val="0"/>
              <w:widowControl/>
              <w:suppressLineNumbers w:val="0"/>
              <w:spacing w:before="0" w:beforeAutospacing="0" w:after="0" w:afterAutospacing="0"/>
              <w:ind w:left="0" w:right="0"/>
              <w:jc w:val="center"/>
              <w:rPr>
                <w:rFonts w:hint="default"/>
                <w:color w:val="auto"/>
                <w:sz w:val="21"/>
                <w:szCs w:val="21"/>
                <w:highlight w:val="none"/>
              </w:rPr>
            </w:pPr>
            <w:r>
              <w:rPr>
                <w:rFonts w:hint="eastAsia"/>
                <w:color w:val="auto"/>
                <w:sz w:val="21"/>
                <w:szCs w:val="21"/>
                <w:highlight w:val="none"/>
              </w:rPr>
              <w:t>2404-330800-04-01-469064</w:t>
            </w:r>
          </w:p>
        </w:tc>
      </w:tr>
      <w:tr w14:paraId="68C5A6BB">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0" w:type="dxa"/>
            <w:bottom w:w="0" w:type="dxa"/>
            <w:right w:w="0" w:type="dxa"/>
          </w:tblCellMar>
        </w:tblPrEx>
        <w:trPr>
          <w:trHeight w:val="34" w:hRule="atLeast"/>
          <w:jc w:val="center"/>
        </w:trPr>
        <w:tc>
          <w:tcPr>
            <w:tcW w:w="2026" w:type="dxa"/>
            <w:gridSpan w:val="2"/>
            <w:tcMar>
              <w:top w:w="57" w:type="dxa"/>
              <w:left w:w="57" w:type="dxa"/>
              <w:bottom w:w="0" w:type="dxa"/>
              <w:right w:w="57" w:type="dxa"/>
            </w:tcMar>
            <w:vAlign w:val="center"/>
          </w:tcPr>
          <w:p w14:paraId="7319A1E4">
            <w:pPr>
              <w:keepNext w:val="0"/>
              <w:keepLines w:val="0"/>
              <w:suppressLineNumbers w:val="0"/>
              <w:adjustRightInd w:val="0"/>
              <w:snapToGrid w:val="0"/>
              <w:spacing w:before="0" w:beforeAutospacing="0" w:after="0" w:afterAutospacing="0" w:line="276" w:lineRule="auto"/>
              <w:ind w:left="0" w:right="0"/>
              <w:jc w:val="center"/>
              <w:rPr>
                <w:rFonts w:hint="default"/>
                <w:color w:val="auto"/>
                <w:sz w:val="21"/>
                <w:szCs w:val="21"/>
                <w:highlight w:val="none"/>
              </w:rPr>
            </w:pPr>
            <w:r>
              <w:rPr>
                <w:rFonts w:hint="eastAsia" w:hAnsi="宋体"/>
                <w:color w:val="auto"/>
                <w:sz w:val="21"/>
                <w:szCs w:val="21"/>
                <w:highlight w:val="none"/>
              </w:rPr>
              <w:t>建设单位联系人</w:t>
            </w:r>
          </w:p>
        </w:tc>
        <w:tc>
          <w:tcPr>
            <w:tcW w:w="2113" w:type="dxa"/>
            <w:tcMar>
              <w:top w:w="57" w:type="dxa"/>
              <w:left w:w="57" w:type="dxa"/>
              <w:bottom w:w="0" w:type="dxa"/>
              <w:right w:w="57" w:type="dxa"/>
            </w:tcMar>
            <w:vAlign w:val="center"/>
          </w:tcPr>
          <w:p w14:paraId="427ABF81">
            <w:pPr>
              <w:keepNext w:val="0"/>
              <w:keepLines w:val="0"/>
              <w:suppressLineNumbers w:val="0"/>
              <w:adjustRightInd w:val="0"/>
              <w:snapToGrid w:val="0"/>
              <w:spacing w:before="0" w:beforeAutospacing="0" w:after="0" w:afterAutospacing="0" w:line="276" w:lineRule="auto"/>
              <w:ind w:left="0" w:right="0"/>
              <w:jc w:val="center"/>
              <w:rPr>
                <w:rFonts w:hint="default"/>
                <w:color w:val="auto"/>
                <w:sz w:val="21"/>
                <w:szCs w:val="21"/>
                <w:highlight w:val="none"/>
              </w:rPr>
            </w:pPr>
            <w:r>
              <w:rPr>
                <w:rFonts w:hint="eastAsia"/>
                <w:color w:val="auto"/>
                <w:sz w:val="21"/>
                <w:szCs w:val="21"/>
                <w:highlight w:val="none"/>
              </w:rPr>
              <w:t>汪铭</w:t>
            </w:r>
          </w:p>
        </w:tc>
        <w:tc>
          <w:tcPr>
            <w:tcW w:w="1998" w:type="dxa"/>
            <w:tcMar>
              <w:top w:w="57" w:type="dxa"/>
              <w:left w:w="57" w:type="dxa"/>
              <w:bottom w:w="0" w:type="dxa"/>
              <w:right w:w="57" w:type="dxa"/>
            </w:tcMar>
            <w:vAlign w:val="center"/>
          </w:tcPr>
          <w:p w14:paraId="4ADEA8E4">
            <w:pPr>
              <w:keepNext w:val="0"/>
              <w:keepLines w:val="0"/>
              <w:suppressLineNumbers w:val="0"/>
              <w:adjustRightInd w:val="0"/>
              <w:snapToGrid w:val="0"/>
              <w:spacing w:before="0" w:beforeAutospacing="0" w:after="0" w:afterAutospacing="0" w:line="276" w:lineRule="auto"/>
              <w:ind w:left="0" w:right="0"/>
              <w:jc w:val="center"/>
              <w:rPr>
                <w:rFonts w:hint="default"/>
                <w:color w:val="auto"/>
                <w:sz w:val="21"/>
                <w:szCs w:val="21"/>
                <w:highlight w:val="none"/>
              </w:rPr>
            </w:pPr>
            <w:r>
              <w:rPr>
                <w:rFonts w:hint="eastAsia" w:hAnsi="宋体"/>
                <w:color w:val="auto"/>
                <w:sz w:val="21"/>
                <w:szCs w:val="21"/>
                <w:highlight w:val="none"/>
              </w:rPr>
              <w:t>联系方式</w:t>
            </w:r>
          </w:p>
        </w:tc>
        <w:tc>
          <w:tcPr>
            <w:tcW w:w="2733" w:type="dxa"/>
            <w:tcMar>
              <w:top w:w="57" w:type="dxa"/>
              <w:left w:w="57" w:type="dxa"/>
              <w:bottom w:w="0" w:type="dxa"/>
              <w:right w:w="57" w:type="dxa"/>
            </w:tcMar>
            <w:vAlign w:val="center"/>
          </w:tcPr>
          <w:p w14:paraId="012A18C8">
            <w:pPr>
              <w:keepNext w:val="0"/>
              <w:keepLines w:val="0"/>
              <w:widowControl/>
              <w:suppressLineNumbers w:val="0"/>
              <w:spacing w:before="0" w:beforeAutospacing="0" w:after="0" w:afterAutospacing="0"/>
              <w:ind w:left="0" w:right="0"/>
              <w:jc w:val="center"/>
              <w:rPr>
                <w:rFonts w:hint="default"/>
                <w:color w:val="auto"/>
                <w:sz w:val="21"/>
                <w:szCs w:val="21"/>
                <w:highlight w:val="none"/>
              </w:rPr>
            </w:pPr>
            <w:r>
              <w:rPr>
                <w:rFonts w:hint="eastAsia"/>
                <w:color w:val="auto"/>
                <w:sz w:val="21"/>
                <w:szCs w:val="21"/>
                <w:highlight w:val="none"/>
              </w:rPr>
              <w:t>17805701882</w:t>
            </w:r>
          </w:p>
        </w:tc>
      </w:tr>
      <w:tr w14:paraId="4B7A5E8F">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0" w:type="dxa"/>
            <w:bottom w:w="0" w:type="dxa"/>
            <w:right w:w="0" w:type="dxa"/>
          </w:tblCellMar>
        </w:tblPrEx>
        <w:trPr>
          <w:trHeight w:val="275" w:hRule="atLeast"/>
          <w:jc w:val="center"/>
        </w:trPr>
        <w:tc>
          <w:tcPr>
            <w:tcW w:w="2026" w:type="dxa"/>
            <w:gridSpan w:val="2"/>
            <w:tcMar>
              <w:top w:w="57" w:type="dxa"/>
              <w:left w:w="57" w:type="dxa"/>
              <w:bottom w:w="0" w:type="dxa"/>
              <w:right w:w="57" w:type="dxa"/>
            </w:tcMar>
            <w:vAlign w:val="center"/>
          </w:tcPr>
          <w:p w14:paraId="36B00832">
            <w:pPr>
              <w:keepNext w:val="0"/>
              <w:keepLines w:val="0"/>
              <w:suppressLineNumbers w:val="0"/>
              <w:adjustRightInd w:val="0"/>
              <w:snapToGrid w:val="0"/>
              <w:spacing w:before="0" w:beforeAutospacing="0" w:after="0" w:afterAutospacing="0" w:line="276" w:lineRule="auto"/>
              <w:ind w:left="0" w:right="0"/>
              <w:jc w:val="center"/>
              <w:rPr>
                <w:rFonts w:hint="default"/>
                <w:sz w:val="21"/>
                <w:szCs w:val="21"/>
                <w:highlight w:val="none"/>
              </w:rPr>
            </w:pPr>
            <w:r>
              <w:rPr>
                <w:rFonts w:hint="eastAsia" w:hAnsi="宋体"/>
                <w:sz w:val="21"/>
                <w:szCs w:val="21"/>
                <w:highlight w:val="none"/>
              </w:rPr>
              <w:t>建设地点</w:t>
            </w:r>
          </w:p>
        </w:tc>
        <w:tc>
          <w:tcPr>
            <w:tcW w:w="6844" w:type="dxa"/>
            <w:gridSpan w:val="3"/>
            <w:tcMar>
              <w:top w:w="57" w:type="dxa"/>
              <w:left w:w="57" w:type="dxa"/>
              <w:bottom w:w="0" w:type="dxa"/>
              <w:right w:w="57" w:type="dxa"/>
            </w:tcMar>
            <w:vAlign w:val="center"/>
          </w:tcPr>
          <w:p w14:paraId="5BB7DAB6">
            <w:pPr>
              <w:keepNext w:val="0"/>
              <w:keepLines w:val="0"/>
              <w:widowControl/>
              <w:suppressLineNumbers w:val="0"/>
              <w:spacing w:before="0" w:beforeAutospacing="0" w:after="0" w:afterAutospacing="0"/>
              <w:ind w:left="0" w:right="0"/>
              <w:jc w:val="center"/>
              <w:rPr>
                <w:rFonts w:hint="default" w:eastAsia="宋体"/>
                <w:sz w:val="21"/>
                <w:szCs w:val="21"/>
                <w:highlight w:val="none"/>
                <w:lang w:val="en-US" w:eastAsia="zh-CN"/>
              </w:rPr>
            </w:pPr>
            <w:r>
              <w:rPr>
                <w:rFonts w:hint="eastAsia"/>
                <w:sz w:val="21"/>
                <w:szCs w:val="21"/>
                <w:highlight w:val="none"/>
                <w:lang w:val="en-US" w:eastAsia="zh-CN"/>
              </w:rPr>
              <w:t>衢州市高铁新城闽江大道以南、龙游路以西、常山港以北</w:t>
            </w:r>
          </w:p>
        </w:tc>
      </w:tr>
      <w:tr w14:paraId="7BE5CCF9">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0" w:type="dxa"/>
            <w:bottom w:w="0" w:type="dxa"/>
            <w:right w:w="0" w:type="dxa"/>
          </w:tblCellMar>
        </w:tblPrEx>
        <w:trPr>
          <w:trHeight w:val="34" w:hRule="atLeast"/>
          <w:jc w:val="center"/>
        </w:trPr>
        <w:tc>
          <w:tcPr>
            <w:tcW w:w="2026" w:type="dxa"/>
            <w:gridSpan w:val="2"/>
            <w:tcMar>
              <w:top w:w="57" w:type="dxa"/>
              <w:left w:w="57" w:type="dxa"/>
              <w:bottom w:w="0" w:type="dxa"/>
              <w:right w:w="57" w:type="dxa"/>
            </w:tcMar>
            <w:vAlign w:val="center"/>
          </w:tcPr>
          <w:p w14:paraId="0C47F6F4">
            <w:pPr>
              <w:keepNext w:val="0"/>
              <w:keepLines w:val="0"/>
              <w:suppressLineNumbers w:val="0"/>
              <w:adjustRightInd w:val="0"/>
              <w:snapToGrid w:val="0"/>
              <w:spacing w:before="0" w:beforeAutospacing="0" w:after="0" w:afterAutospacing="0" w:line="276" w:lineRule="auto"/>
              <w:ind w:left="0" w:right="0"/>
              <w:jc w:val="center"/>
              <w:rPr>
                <w:rFonts w:hint="default"/>
                <w:sz w:val="21"/>
                <w:szCs w:val="21"/>
                <w:highlight w:val="none"/>
              </w:rPr>
            </w:pPr>
            <w:r>
              <w:rPr>
                <w:rFonts w:hint="eastAsia" w:hAnsi="宋体"/>
                <w:sz w:val="21"/>
                <w:szCs w:val="21"/>
                <w:highlight w:val="none"/>
              </w:rPr>
              <w:t>地理坐标</w:t>
            </w:r>
          </w:p>
        </w:tc>
        <w:tc>
          <w:tcPr>
            <w:tcW w:w="6844" w:type="dxa"/>
            <w:gridSpan w:val="3"/>
            <w:tcMar>
              <w:top w:w="57" w:type="dxa"/>
              <w:left w:w="57" w:type="dxa"/>
              <w:bottom w:w="0" w:type="dxa"/>
              <w:right w:w="57" w:type="dxa"/>
            </w:tcMar>
            <w:vAlign w:val="center"/>
          </w:tcPr>
          <w:p w14:paraId="722EFD80">
            <w:pPr>
              <w:keepNext w:val="0"/>
              <w:keepLines w:val="0"/>
              <w:suppressLineNumbers w:val="0"/>
              <w:snapToGrid w:val="0"/>
              <w:spacing w:before="0" w:beforeAutospacing="0" w:after="0" w:afterAutospacing="0" w:line="276" w:lineRule="auto"/>
              <w:ind w:left="0" w:right="0"/>
              <w:jc w:val="center"/>
              <w:rPr>
                <w:rFonts w:hint="default"/>
                <w:sz w:val="21"/>
                <w:szCs w:val="21"/>
                <w:highlight w:val="none"/>
              </w:rPr>
            </w:pPr>
            <w:r>
              <w:rPr>
                <w:rFonts w:hint="eastAsia" w:hAnsi="宋体"/>
                <w:sz w:val="21"/>
                <w:szCs w:val="21"/>
                <w:highlight w:val="none"/>
              </w:rPr>
              <w:t>（</w:t>
            </w:r>
            <w:r>
              <w:rPr>
                <w:rFonts w:hint="default"/>
                <w:sz w:val="21"/>
                <w:szCs w:val="21"/>
                <w:highlight w:val="none"/>
              </w:rPr>
              <w:t xml:space="preserve">E </w:t>
            </w:r>
            <w:r>
              <w:rPr>
                <w:rFonts w:hint="default"/>
                <w:sz w:val="21"/>
                <w:szCs w:val="21"/>
                <w:highlight w:val="none"/>
                <w:u w:val="single"/>
              </w:rPr>
              <w:t>1</w:t>
            </w:r>
            <w:r>
              <w:rPr>
                <w:rFonts w:hint="eastAsia"/>
                <w:sz w:val="21"/>
                <w:szCs w:val="21"/>
                <w:highlight w:val="none"/>
                <w:u w:val="single"/>
                <w:lang w:val="en-US" w:eastAsia="zh-CN"/>
              </w:rPr>
              <w:t>18</w:t>
            </w:r>
            <w:r>
              <w:rPr>
                <w:rFonts w:hint="default"/>
                <w:sz w:val="21"/>
                <w:szCs w:val="21"/>
                <w:highlight w:val="none"/>
                <w:u w:val="single"/>
              </w:rPr>
              <w:t xml:space="preserve"> </w:t>
            </w:r>
            <w:r>
              <w:rPr>
                <w:rFonts w:hint="eastAsia" w:hAnsi="宋体"/>
                <w:sz w:val="21"/>
                <w:szCs w:val="21"/>
                <w:highlight w:val="none"/>
              </w:rPr>
              <w:t>度</w:t>
            </w:r>
            <w:r>
              <w:rPr>
                <w:rFonts w:hint="default"/>
                <w:sz w:val="21"/>
                <w:szCs w:val="21"/>
                <w:highlight w:val="none"/>
                <w:u w:val="single"/>
              </w:rPr>
              <w:t xml:space="preserve"> </w:t>
            </w:r>
            <w:r>
              <w:rPr>
                <w:rFonts w:hint="eastAsia"/>
                <w:sz w:val="21"/>
                <w:szCs w:val="21"/>
                <w:highlight w:val="none"/>
                <w:u w:val="single"/>
                <w:lang w:val="en-US" w:eastAsia="zh-CN"/>
              </w:rPr>
              <w:t>49</w:t>
            </w:r>
            <w:r>
              <w:rPr>
                <w:rFonts w:hint="default"/>
                <w:sz w:val="21"/>
                <w:szCs w:val="21"/>
                <w:highlight w:val="none"/>
                <w:u w:val="single"/>
              </w:rPr>
              <w:t xml:space="preserve"> </w:t>
            </w:r>
            <w:r>
              <w:rPr>
                <w:rFonts w:hint="eastAsia" w:hAnsi="宋体"/>
                <w:sz w:val="21"/>
                <w:szCs w:val="21"/>
                <w:highlight w:val="none"/>
              </w:rPr>
              <w:t>分</w:t>
            </w:r>
            <w:r>
              <w:rPr>
                <w:rFonts w:hint="default"/>
                <w:sz w:val="21"/>
                <w:szCs w:val="21"/>
                <w:highlight w:val="none"/>
                <w:u w:val="single"/>
              </w:rPr>
              <w:t xml:space="preserve"> </w:t>
            </w:r>
            <w:r>
              <w:rPr>
                <w:rFonts w:hint="eastAsia"/>
                <w:sz w:val="21"/>
                <w:szCs w:val="21"/>
                <w:highlight w:val="none"/>
                <w:u w:val="single"/>
                <w:lang w:val="en-US" w:eastAsia="zh-CN"/>
              </w:rPr>
              <w:t>55</w:t>
            </w:r>
            <w:r>
              <w:rPr>
                <w:rFonts w:hint="eastAsia"/>
                <w:sz w:val="21"/>
                <w:szCs w:val="21"/>
                <w:highlight w:val="none"/>
                <w:u w:val="single"/>
              </w:rPr>
              <w:t>.9</w:t>
            </w:r>
            <w:r>
              <w:rPr>
                <w:rFonts w:hint="eastAsia"/>
                <w:sz w:val="21"/>
                <w:szCs w:val="21"/>
                <w:highlight w:val="none"/>
                <w:u w:val="single"/>
                <w:lang w:val="en-US" w:eastAsia="zh-CN"/>
              </w:rPr>
              <w:t>67</w:t>
            </w:r>
            <w:r>
              <w:rPr>
                <w:rFonts w:hint="default"/>
                <w:sz w:val="21"/>
                <w:szCs w:val="21"/>
                <w:highlight w:val="none"/>
                <w:u w:val="single"/>
              </w:rPr>
              <w:t xml:space="preserve"> </w:t>
            </w:r>
            <w:r>
              <w:rPr>
                <w:rFonts w:hint="eastAsia" w:hAnsi="宋体"/>
                <w:sz w:val="21"/>
                <w:szCs w:val="21"/>
                <w:highlight w:val="none"/>
              </w:rPr>
              <w:t>秒，</w:t>
            </w:r>
            <w:r>
              <w:rPr>
                <w:rFonts w:hint="default"/>
                <w:sz w:val="21"/>
                <w:szCs w:val="21"/>
                <w:highlight w:val="none"/>
              </w:rPr>
              <w:t>N</w:t>
            </w:r>
            <w:r>
              <w:rPr>
                <w:rFonts w:hint="default"/>
                <w:sz w:val="21"/>
                <w:szCs w:val="21"/>
                <w:highlight w:val="none"/>
                <w:u w:val="single"/>
              </w:rPr>
              <w:t xml:space="preserve"> </w:t>
            </w:r>
            <w:r>
              <w:rPr>
                <w:rFonts w:hint="eastAsia"/>
                <w:sz w:val="21"/>
                <w:szCs w:val="21"/>
                <w:highlight w:val="none"/>
                <w:u w:val="single"/>
                <w:lang w:val="en-US" w:eastAsia="zh-CN"/>
              </w:rPr>
              <w:t>28</w:t>
            </w:r>
            <w:r>
              <w:rPr>
                <w:rFonts w:hint="default"/>
                <w:sz w:val="21"/>
                <w:szCs w:val="21"/>
                <w:highlight w:val="none"/>
                <w:u w:val="single"/>
              </w:rPr>
              <w:t xml:space="preserve"> </w:t>
            </w:r>
            <w:r>
              <w:rPr>
                <w:rFonts w:hint="eastAsia" w:hAnsi="宋体"/>
                <w:sz w:val="21"/>
                <w:szCs w:val="21"/>
                <w:highlight w:val="none"/>
              </w:rPr>
              <w:t>度</w:t>
            </w:r>
            <w:r>
              <w:rPr>
                <w:rFonts w:hint="default"/>
                <w:sz w:val="21"/>
                <w:szCs w:val="21"/>
                <w:highlight w:val="none"/>
                <w:u w:val="single"/>
              </w:rPr>
              <w:t xml:space="preserve"> </w:t>
            </w:r>
            <w:r>
              <w:rPr>
                <w:rFonts w:hint="eastAsia"/>
                <w:sz w:val="21"/>
                <w:szCs w:val="21"/>
                <w:highlight w:val="none"/>
                <w:u w:val="single"/>
                <w:lang w:val="en-US" w:eastAsia="zh-CN"/>
              </w:rPr>
              <w:t>57</w:t>
            </w:r>
            <w:r>
              <w:rPr>
                <w:rFonts w:hint="default"/>
                <w:sz w:val="21"/>
                <w:szCs w:val="21"/>
                <w:highlight w:val="none"/>
                <w:u w:val="single"/>
              </w:rPr>
              <w:t xml:space="preserve"> </w:t>
            </w:r>
            <w:r>
              <w:rPr>
                <w:rFonts w:hint="eastAsia" w:hAnsi="宋体"/>
                <w:sz w:val="21"/>
                <w:szCs w:val="21"/>
                <w:highlight w:val="none"/>
              </w:rPr>
              <w:t>分</w:t>
            </w:r>
            <w:r>
              <w:rPr>
                <w:rFonts w:hint="default"/>
                <w:sz w:val="21"/>
                <w:szCs w:val="21"/>
                <w:highlight w:val="none"/>
                <w:u w:val="single"/>
              </w:rPr>
              <w:t xml:space="preserve"> </w:t>
            </w:r>
            <w:r>
              <w:rPr>
                <w:rFonts w:hint="eastAsia"/>
                <w:sz w:val="21"/>
                <w:szCs w:val="21"/>
                <w:highlight w:val="none"/>
                <w:u w:val="single"/>
                <w:lang w:val="en-US" w:eastAsia="zh-CN"/>
              </w:rPr>
              <w:t>7</w:t>
            </w:r>
            <w:r>
              <w:rPr>
                <w:rFonts w:hint="eastAsia"/>
                <w:sz w:val="21"/>
                <w:szCs w:val="21"/>
                <w:highlight w:val="none"/>
                <w:u w:val="single"/>
              </w:rPr>
              <w:t>.</w:t>
            </w:r>
            <w:r>
              <w:rPr>
                <w:rFonts w:hint="eastAsia"/>
                <w:sz w:val="21"/>
                <w:szCs w:val="21"/>
                <w:highlight w:val="none"/>
                <w:u w:val="single"/>
                <w:lang w:val="en-US" w:eastAsia="zh-CN"/>
              </w:rPr>
              <w:t>6</w:t>
            </w:r>
            <w:r>
              <w:rPr>
                <w:rFonts w:hint="eastAsia"/>
                <w:sz w:val="21"/>
                <w:szCs w:val="21"/>
                <w:highlight w:val="none"/>
                <w:u w:val="single"/>
              </w:rPr>
              <w:t>7</w:t>
            </w:r>
            <w:r>
              <w:rPr>
                <w:rFonts w:hint="eastAsia"/>
                <w:sz w:val="21"/>
                <w:szCs w:val="21"/>
                <w:highlight w:val="none"/>
                <w:u w:val="single"/>
                <w:lang w:val="en-US" w:eastAsia="zh-CN"/>
              </w:rPr>
              <w:t>0</w:t>
            </w:r>
            <w:r>
              <w:rPr>
                <w:rFonts w:hint="default"/>
                <w:sz w:val="21"/>
                <w:szCs w:val="21"/>
                <w:highlight w:val="none"/>
                <w:u w:val="single"/>
              </w:rPr>
              <w:t xml:space="preserve"> </w:t>
            </w:r>
            <w:r>
              <w:rPr>
                <w:rFonts w:hint="eastAsia" w:hAnsi="宋体"/>
                <w:sz w:val="21"/>
                <w:szCs w:val="21"/>
                <w:highlight w:val="none"/>
              </w:rPr>
              <w:t>秒）</w:t>
            </w:r>
          </w:p>
        </w:tc>
      </w:tr>
      <w:tr w14:paraId="62DAA42B">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0" w:type="dxa"/>
            <w:bottom w:w="0" w:type="dxa"/>
            <w:right w:w="0" w:type="dxa"/>
          </w:tblCellMar>
        </w:tblPrEx>
        <w:trPr>
          <w:trHeight w:val="90" w:hRule="atLeast"/>
          <w:jc w:val="center"/>
        </w:trPr>
        <w:tc>
          <w:tcPr>
            <w:tcW w:w="2026" w:type="dxa"/>
            <w:gridSpan w:val="2"/>
            <w:tcMar>
              <w:top w:w="57" w:type="dxa"/>
              <w:left w:w="57" w:type="dxa"/>
              <w:bottom w:w="0" w:type="dxa"/>
              <w:right w:w="57" w:type="dxa"/>
            </w:tcMar>
            <w:vAlign w:val="center"/>
          </w:tcPr>
          <w:p w14:paraId="7DB8A60D">
            <w:pPr>
              <w:keepNext w:val="0"/>
              <w:keepLines w:val="0"/>
              <w:suppressLineNumbers w:val="0"/>
              <w:adjustRightInd w:val="0"/>
              <w:snapToGrid w:val="0"/>
              <w:spacing w:before="0" w:beforeAutospacing="0" w:after="0" w:afterAutospacing="0" w:line="276" w:lineRule="auto"/>
              <w:ind w:left="0" w:right="0"/>
              <w:jc w:val="center"/>
              <w:rPr>
                <w:rFonts w:hint="default"/>
                <w:sz w:val="21"/>
                <w:szCs w:val="21"/>
                <w:highlight w:val="none"/>
              </w:rPr>
            </w:pPr>
            <w:r>
              <w:rPr>
                <w:rFonts w:hint="eastAsia" w:hAnsi="宋体"/>
                <w:sz w:val="21"/>
                <w:szCs w:val="21"/>
                <w:highlight w:val="none"/>
              </w:rPr>
              <w:t>国民经济</w:t>
            </w:r>
          </w:p>
          <w:p w14:paraId="58B58678">
            <w:pPr>
              <w:keepNext w:val="0"/>
              <w:keepLines w:val="0"/>
              <w:suppressLineNumbers w:val="0"/>
              <w:adjustRightInd w:val="0"/>
              <w:snapToGrid w:val="0"/>
              <w:spacing w:before="0" w:beforeAutospacing="0" w:after="0" w:afterAutospacing="0" w:line="276" w:lineRule="auto"/>
              <w:ind w:left="0" w:right="0"/>
              <w:jc w:val="center"/>
              <w:rPr>
                <w:rFonts w:hint="default"/>
                <w:sz w:val="21"/>
                <w:szCs w:val="21"/>
                <w:highlight w:val="none"/>
              </w:rPr>
            </w:pPr>
            <w:r>
              <w:rPr>
                <w:rFonts w:hint="eastAsia" w:hAnsi="宋体"/>
                <w:sz w:val="21"/>
                <w:szCs w:val="21"/>
                <w:highlight w:val="none"/>
              </w:rPr>
              <w:t>行业类别</w:t>
            </w:r>
          </w:p>
        </w:tc>
        <w:tc>
          <w:tcPr>
            <w:tcW w:w="2113" w:type="dxa"/>
            <w:tcMar>
              <w:top w:w="57" w:type="dxa"/>
              <w:left w:w="57" w:type="dxa"/>
              <w:bottom w:w="0" w:type="dxa"/>
              <w:right w:w="57" w:type="dxa"/>
            </w:tcMar>
            <w:vAlign w:val="center"/>
          </w:tcPr>
          <w:p w14:paraId="6307EC13">
            <w:pPr>
              <w:keepNext w:val="0"/>
              <w:keepLines w:val="0"/>
              <w:suppressLineNumbers w:val="0"/>
              <w:adjustRightInd w:val="0"/>
              <w:snapToGrid w:val="0"/>
              <w:spacing w:before="0" w:beforeAutospacing="0" w:after="0" w:afterAutospacing="0" w:line="276" w:lineRule="auto"/>
              <w:ind w:left="0" w:right="0"/>
              <w:rPr>
                <w:rFonts w:hint="default"/>
                <w:sz w:val="21"/>
                <w:szCs w:val="21"/>
                <w:highlight w:val="none"/>
              </w:rPr>
            </w:pPr>
            <w:r>
              <w:rPr>
                <w:rFonts w:hint="eastAsia" w:ascii="Times New Roman" w:hAnsi="Times New Roman" w:eastAsia="宋体" w:cs="Times New Roman"/>
                <w:sz w:val="21"/>
                <w:szCs w:val="21"/>
                <w:highlight w:val="none"/>
              </w:rPr>
              <w:t>医学研究和试验发展</w:t>
            </w:r>
            <w:r>
              <w:rPr>
                <w:rFonts w:hint="eastAsia"/>
                <w:sz w:val="21"/>
                <w:szCs w:val="21"/>
                <w:highlight w:val="none"/>
              </w:rPr>
              <w:t>（M73</w:t>
            </w:r>
            <w:r>
              <w:rPr>
                <w:rFonts w:hint="eastAsia"/>
                <w:sz w:val="21"/>
                <w:szCs w:val="21"/>
                <w:highlight w:val="none"/>
                <w:lang w:val="en-US" w:eastAsia="zh-CN"/>
              </w:rPr>
              <w:t>4</w:t>
            </w:r>
            <w:r>
              <w:rPr>
                <w:rFonts w:hint="eastAsia"/>
                <w:sz w:val="21"/>
                <w:szCs w:val="21"/>
                <w:highlight w:val="none"/>
              </w:rPr>
              <w:t>0）</w:t>
            </w:r>
          </w:p>
        </w:tc>
        <w:tc>
          <w:tcPr>
            <w:tcW w:w="1998" w:type="dxa"/>
            <w:tcMar>
              <w:top w:w="57" w:type="dxa"/>
              <w:left w:w="57" w:type="dxa"/>
              <w:bottom w:w="0" w:type="dxa"/>
              <w:right w:w="57" w:type="dxa"/>
            </w:tcMar>
            <w:vAlign w:val="center"/>
          </w:tcPr>
          <w:p w14:paraId="17BF53F2">
            <w:pPr>
              <w:keepNext w:val="0"/>
              <w:keepLines w:val="0"/>
              <w:suppressLineNumbers w:val="0"/>
              <w:adjustRightInd w:val="0"/>
              <w:snapToGrid w:val="0"/>
              <w:spacing w:before="0" w:beforeAutospacing="0" w:after="0" w:afterAutospacing="0" w:line="276" w:lineRule="auto"/>
              <w:ind w:left="0" w:right="0"/>
              <w:jc w:val="center"/>
              <w:rPr>
                <w:rFonts w:hint="default"/>
                <w:sz w:val="21"/>
                <w:szCs w:val="21"/>
                <w:highlight w:val="none"/>
              </w:rPr>
            </w:pPr>
            <w:bookmarkStart w:id="5" w:name="_Hlk49843745"/>
            <w:r>
              <w:rPr>
                <w:rFonts w:hint="eastAsia" w:hAnsi="宋体"/>
                <w:sz w:val="21"/>
                <w:szCs w:val="21"/>
                <w:highlight w:val="none"/>
              </w:rPr>
              <w:t>建设项目</w:t>
            </w:r>
          </w:p>
          <w:p w14:paraId="7FF6188A">
            <w:pPr>
              <w:keepNext w:val="0"/>
              <w:keepLines w:val="0"/>
              <w:suppressLineNumbers w:val="0"/>
              <w:adjustRightInd w:val="0"/>
              <w:snapToGrid w:val="0"/>
              <w:spacing w:before="0" w:beforeAutospacing="0" w:after="0" w:afterAutospacing="0" w:line="276" w:lineRule="auto"/>
              <w:ind w:left="0" w:right="0"/>
              <w:jc w:val="center"/>
              <w:rPr>
                <w:rFonts w:hint="default"/>
                <w:sz w:val="21"/>
                <w:szCs w:val="21"/>
                <w:highlight w:val="none"/>
              </w:rPr>
            </w:pPr>
            <w:r>
              <w:rPr>
                <w:rFonts w:hint="eastAsia" w:hAnsi="宋体"/>
                <w:sz w:val="21"/>
                <w:szCs w:val="21"/>
                <w:highlight w:val="none"/>
              </w:rPr>
              <w:t>行业类别</w:t>
            </w:r>
            <w:bookmarkEnd w:id="5"/>
          </w:p>
        </w:tc>
        <w:tc>
          <w:tcPr>
            <w:tcW w:w="2733" w:type="dxa"/>
            <w:tcMar>
              <w:top w:w="57" w:type="dxa"/>
              <w:left w:w="57" w:type="dxa"/>
              <w:bottom w:w="0" w:type="dxa"/>
              <w:right w:w="57" w:type="dxa"/>
            </w:tcMar>
            <w:vAlign w:val="center"/>
          </w:tcPr>
          <w:p w14:paraId="1874B63B">
            <w:pPr>
              <w:keepNext w:val="0"/>
              <w:keepLines w:val="0"/>
              <w:widowControl/>
              <w:suppressLineNumbers w:val="0"/>
              <w:spacing w:before="0" w:beforeAutospacing="0" w:after="0" w:afterAutospacing="0"/>
              <w:ind w:left="0" w:right="0"/>
              <w:jc w:val="left"/>
              <w:rPr>
                <w:rFonts w:hint="default"/>
                <w:sz w:val="21"/>
                <w:szCs w:val="21"/>
                <w:highlight w:val="none"/>
              </w:rPr>
            </w:pPr>
            <w:r>
              <w:rPr>
                <w:rFonts w:hint="eastAsia"/>
                <w:sz w:val="21"/>
                <w:szCs w:val="21"/>
                <w:highlight w:val="none"/>
              </w:rPr>
              <w:t>四十五、研究和试验发展</w:t>
            </w:r>
            <w:r>
              <w:rPr>
                <w:rFonts w:hint="default"/>
                <w:sz w:val="21"/>
                <w:szCs w:val="21"/>
                <w:highlight w:val="none"/>
              </w:rPr>
              <w:t xml:space="preserve"> </w:t>
            </w:r>
            <w:r>
              <w:rPr>
                <w:rFonts w:hint="eastAsia"/>
                <w:sz w:val="21"/>
                <w:szCs w:val="21"/>
                <w:highlight w:val="none"/>
              </w:rPr>
              <w:t>98；专业实验室、研发（试验）基地</w:t>
            </w:r>
          </w:p>
        </w:tc>
      </w:tr>
      <w:tr w14:paraId="41FF07E0">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0" w:type="dxa"/>
            <w:bottom w:w="0" w:type="dxa"/>
            <w:right w:w="0" w:type="dxa"/>
          </w:tblCellMar>
        </w:tblPrEx>
        <w:trPr>
          <w:trHeight w:val="744" w:hRule="atLeast"/>
          <w:jc w:val="center"/>
        </w:trPr>
        <w:tc>
          <w:tcPr>
            <w:tcW w:w="2026" w:type="dxa"/>
            <w:gridSpan w:val="2"/>
            <w:tcMar>
              <w:top w:w="57" w:type="dxa"/>
              <w:left w:w="57" w:type="dxa"/>
              <w:bottom w:w="0" w:type="dxa"/>
              <w:right w:w="57" w:type="dxa"/>
            </w:tcMar>
            <w:vAlign w:val="center"/>
          </w:tcPr>
          <w:p w14:paraId="30326588">
            <w:pPr>
              <w:keepNext w:val="0"/>
              <w:keepLines w:val="0"/>
              <w:suppressLineNumbers w:val="0"/>
              <w:adjustRightInd w:val="0"/>
              <w:snapToGrid w:val="0"/>
              <w:spacing w:before="0" w:beforeAutospacing="0" w:after="0" w:afterAutospacing="0" w:line="276" w:lineRule="auto"/>
              <w:ind w:left="0" w:right="0"/>
              <w:jc w:val="center"/>
              <w:rPr>
                <w:rFonts w:hint="default"/>
                <w:sz w:val="21"/>
                <w:szCs w:val="21"/>
                <w:highlight w:val="none"/>
              </w:rPr>
            </w:pPr>
            <w:r>
              <w:rPr>
                <w:rFonts w:hint="eastAsia" w:hAnsi="宋体"/>
                <w:sz w:val="21"/>
                <w:szCs w:val="21"/>
                <w:highlight w:val="none"/>
              </w:rPr>
              <w:t>建设性质</w:t>
            </w:r>
          </w:p>
        </w:tc>
        <w:tc>
          <w:tcPr>
            <w:tcW w:w="2113" w:type="dxa"/>
            <w:tcMar>
              <w:top w:w="57" w:type="dxa"/>
              <w:left w:w="57" w:type="dxa"/>
              <w:bottom w:w="0" w:type="dxa"/>
              <w:right w:w="57" w:type="dxa"/>
            </w:tcMar>
            <w:vAlign w:val="center"/>
          </w:tcPr>
          <w:p w14:paraId="0AEE2F8F">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76" w:lineRule="auto"/>
              <w:ind w:left="0" w:right="0"/>
              <w:textAlignment w:val="auto"/>
              <w:rPr>
                <w:rFonts w:hint="default" w:ascii="MS Mincho" w:eastAsia="MS Mincho" w:cs="MS Mincho"/>
                <w:sz w:val="21"/>
                <w:szCs w:val="21"/>
                <w:highlight w:val="none"/>
              </w:rPr>
            </w:pPr>
            <w:r>
              <w:rPr>
                <w:rFonts w:hint="eastAsia" w:ascii="MS Mincho" w:hAnsi="MS Mincho" w:eastAsia="MS Mincho" w:cs="MS Mincho"/>
                <w:sz w:val="21"/>
                <w:szCs w:val="21"/>
                <w:highlight w:val="none"/>
              </w:rPr>
              <w:t>☑</w:t>
            </w:r>
            <w:r>
              <w:rPr>
                <w:rFonts w:hint="eastAsia" w:ascii="MS Mincho" w:hAnsi="MS Mincho" w:cs="MS Mincho"/>
                <w:sz w:val="21"/>
                <w:szCs w:val="21"/>
                <w:highlight w:val="none"/>
              </w:rPr>
              <w:t>新建（迁建）</w:t>
            </w:r>
          </w:p>
          <w:p w14:paraId="2B271915">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76" w:lineRule="auto"/>
              <w:ind w:left="0" w:right="0"/>
              <w:textAlignment w:val="auto"/>
              <w:rPr>
                <w:rFonts w:hint="default" w:ascii="MS Mincho" w:eastAsia="MS Mincho" w:cs="MS Mincho"/>
                <w:sz w:val="21"/>
                <w:szCs w:val="21"/>
                <w:highlight w:val="none"/>
              </w:rPr>
            </w:pPr>
            <w:r>
              <w:rPr>
                <w:rFonts w:hint="eastAsia" w:ascii="MS Mincho" w:hAnsi="MS Mincho" w:cs="MS Mincho"/>
                <w:sz w:val="21"/>
                <w:szCs w:val="21"/>
                <w:highlight w:val="none"/>
              </w:rPr>
              <w:t>□改建</w:t>
            </w:r>
          </w:p>
          <w:p w14:paraId="6618745B">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76" w:lineRule="auto"/>
              <w:ind w:left="0" w:right="0"/>
              <w:textAlignment w:val="auto"/>
              <w:rPr>
                <w:rFonts w:hint="default" w:ascii="MS Mincho" w:eastAsia="MS Mincho" w:cs="MS Mincho"/>
                <w:sz w:val="21"/>
                <w:szCs w:val="21"/>
                <w:highlight w:val="none"/>
              </w:rPr>
            </w:pPr>
            <w:r>
              <w:rPr>
                <w:rFonts w:hint="eastAsia" w:ascii="MS Mincho" w:hAnsi="MS Mincho" w:cs="MS Mincho"/>
                <w:sz w:val="21"/>
                <w:szCs w:val="21"/>
                <w:highlight w:val="none"/>
              </w:rPr>
              <w:t>□扩建</w:t>
            </w:r>
          </w:p>
          <w:p w14:paraId="451EAA61">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76" w:lineRule="auto"/>
              <w:ind w:left="0" w:right="0"/>
              <w:textAlignment w:val="auto"/>
              <w:rPr>
                <w:rFonts w:hint="default"/>
                <w:sz w:val="21"/>
                <w:szCs w:val="21"/>
                <w:highlight w:val="none"/>
              </w:rPr>
            </w:pPr>
            <w:r>
              <w:rPr>
                <w:rFonts w:hint="eastAsia" w:ascii="MS Mincho" w:hAnsi="MS Mincho" w:cs="MS Mincho"/>
                <w:sz w:val="21"/>
                <w:szCs w:val="21"/>
                <w:highlight w:val="none"/>
              </w:rPr>
              <w:t>□技术改造</w:t>
            </w:r>
          </w:p>
        </w:tc>
        <w:tc>
          <w:tcPr>
            <w:tcW w:w="1998" w:type="dxa"/>
            <w:tcMar>
              <w:top w:w="57" w:type="dxa"/>
              <w:left w:w="57" w:type="dxa"/>
              <w:bottom w:w="0" w:type="dxa"/>
              <w:right w:w="57" w:type="dxa"/>
            </w:tcMar>
            <w:vAlign w:val="center"/>
          </w:tcPr>
          <w:p w14:paraId="44E09E68">
            <w:pPr>
              <w:keepNext w:val="0"/>
              <w:keepLines w:val="0"/>
              <w:suppressLineNumbers w:val="0"/>
              <w:adjustRightInd w:val="0"/>
              <w:snapToGrid w:val="0"/>
              <w:spacing w:before="0" w:beforeAutospacing="0" w:after="0" w:afterAutospacing="0" w:line="276" w:lineRule="auto"/>
              <w:ind w:left="0" w:right="0"/>
              <w:jc w:val="center"/>
              <w:rPr>
                <w:rFonts w:hint="default"/>
                <w:sz w:val="21"/>
                <w:szCs w:val="21"/>
                <w:highlight w:val="none"/>
              </w:rPr>
            </w:pPr>
            <w:r>
              <w:rPr>
                <w:rFonts w:hint="eastAsia" w:hAnsi="宋体"/>
                <w:sz w:val="21"/>
                <w:szCs w:val="21"/>
                <w:highlight w:val="none"/>
              </w:rPr>
              <w:t>建设项目</w:t>
            </w:r>
          </w:p>
          <w:p w14:paraId="31E6E9E0">
            <w:pPr>
              <w:keepNext w:val="0"/>
              <w:keepLines w:val="0"/>
              <w:suppressLineNumbers w:val="0"/>
              <w:adjustRightInd w:val="0"/>
              <w:snapToGrid w:val="0"/>
              <w:spacing w:before="0" w:beforeAutospacing="0" w:after="0" w:afterAutospacing="0" w:line="276" w:lineRule="auto"/>
              <w:ind w:left="0" w:right="0"/>
              <w:jc w:val="center"/>
              <w:rPr>
                <w:rFonts w:hint="default"/>
                <w:sz w:val="21"/>
                <w:szCs w:val="21"/>
                <w:highlight w:val="none"/>
              </w:rPr>
            </w:pPr>
            <w:r>
              <w:rPr>
                <w:rFonts w:hint="eastAsia" w:hAnsi="宋体"/>
                <w:sz w:val="21"/>
                <w:szCs w:val="21"/>
                <w:highlight w:val="none"/>
              </w:rPr>
              <w:t>申报情形</w:t>
            </w:r>
          </w:p>
        </w:tc>
        <w:tc>
          <w:tcPr>
            <w:tcW w:w="2733" w:type="dxa"/>
            <w:tcMar>
              <w:top w:w="57" w:type="dxa"/>
              <w:left w:w="57" w:type="dxa"/>
              <w:bottom w:w="0" w:type="dxa"/>
              <w:right w:w="57" w:type="dxa"/>
            </w:tcMar>
            <w:vAlign w:val="center"/>
          </w:tcPr>
          <w:p w14:paraId="37335DB9">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76" w:lineRule="auto"/>
              <w:ind w:left="0" w:right="0"/>
              <w:textAlignment w:val="auto"/>
              <w:rPr>
                <w:rFonts w:hint="default"/>
                <w:sz w:val="21"/>
                <w:szCs w:val="21"/>
                <w:highlight w:val="none"/>
              </w:rPr>
            </w:pPr>
            <w:r>
              <w:rPr>
                <w:rFonts w:hint="eastAsia" w:ascii="MS Mincho" w:hAnsi="MS Mincho" w:eastAsia="MS Mincho" w:cs="MS Mincho"/>
                <w:sz w:val="21"/>
                <w:szCs w:val="21"/>
                <w:highlight w:val="none"/>
              </w:rPr>
              <w:t>☑</w:t>
            </w:r>
            <w:r>
              <w:rPr>
                <w:rFonts w:hint="eastAsia" w:hAnsi="宋体"/>
                <w:sz w:val="21"/>
                <w:szCs w:val="21"/>
                <w:highlight w:val="none"/>
              </w:rPr>
              <w:t>首次申报项目</w:t>
            </w:r>
          </w:p>
          <w:p w14:paraId="4CF3AA4C">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76" w:lineRule="auto"/>
              <w:ind w:left="0" w:right="0"/>
              <w:textAlignment w:val="auto"/>
              <w:rPr>
                <w:rFonts w:hint="default"/>
                <w:sz w:val="21"/>
                <w:szCs w:val="21"/>
                <w:highlight w:val="none"/>
              </w:rPr>
            </w:pPr>
            <w:r>
              <w:rPr>
                <w:rFonts w:hint="eastAsia" w:ascii="MS Mincho" w:hAnsi="MS Mincho" w:cs="MS Mincho"/>
                <w:sz w:val="21"/>
                <w:szCs w:val="21"/>
                <w:highlight w:val="none"/>
              </w:rPr>
              <w:t>□</w:t>
            </w:r>
            <w:r>
              <w:rPr>
                <w:rFonts w:hint="eastAsia" w:hAnsi="宋体"/>
                <w:sz w:val="21"/>
                <w:szCs w:val="21"/>
                <w:highlight w:val="none"/>
              </w:rPr>
              <w:t>不予批准后再次申报项目</w:t>
            </w:r>
          </w:p>
          <w:p w14:paraId="24E25C50">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76" w:lineRule="auto"/>
              <w:ind w:left="0" w:right="0"/>
              <w:textAlignment w:val="auto"/>
              <w:rPr>
                <w:rFonts w:hint="default"/>
                <w:sz w:val="21"/>
                <w:szCs w:val="21"/>
                <w:highlight w:val="none"/>
              </w:rPr>
            </w:pPr>
            <w:r>
              <w:rPr>
                <w:rFonts w:hint="eastAsia" w:ascii="MS Mincho" w:hAnsi="MS Mincho" w:cs="MS Mincho"/>
                <w:sz w:val="21"/>
                <w:szCs w:val="21"/>
                <w:highlight w:val="none"/>
              </w:rPr>
              <w:t>□</w:t>
            </w:r>
            <w:r>
              <w:rPr>
                <w:rFonts w:hint="eastAsia" w:hAnsi="宋体"/>
                <w:sz w:val="21"/>
                <w:szCs w:val="21"/>
                <w:highlight w:val="none"/>
              </w:rPr>
              <w:t>超五年重新审核项目</w:t>
            </w:r>
          </w:p>
          <w:p w14:paraId="5F3B3B53">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76" w:lineRule="auto"/>
              <w:ind w:left="0" w:right="0"/>
              <w:textAlignment w:val="auto"/>
              <w:rPr>
                <w:rFonts w:hint="default"/>
                <w:sz w:val="21"/>
                <w:szCs w:val="21"/>
                <w:highlight w:val="none"/>
              </w:rPr>
            </w:pPr>
            <w:r>
              <w:rPr>
                <w:rFonts w:hint="eastAsia" w:ascii="MS Mincho" w:hAnsi="MS Mincho" w:cs="MS Mincho"/>
                <w:sz w:val="21"/>
                <w:szCs w:val="21"/>
                <w:highlight w:val="none"/>
              </w:rPr>
              <w:t>□</w:t>
            </w:r>
            <w:r>
              <w:rPr>
                <w:rFonts w:hint="eastAsia" w:hAnsi="宋体"/>
                <w:sz w:val="21"/>
                <w:szCs w:val="21"/>
                <w:highlight w:val="none"/>
              </w:rPr>
              <w:t>重大变动重新报批项目</w:t>
            </w:r>
          </w:p>
        </w:tc>
      </w:tr>
      <w:tr w14:paraId="63E79CCD">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0" w:type="dxa"/>
            <w:bottom w:w="0" w:type="dxa"/>
            <w:right w:w="0" w:type="dxa"/>
          </w:tblCellMar>
        </w:tblPrEx>
        <w:trPr>
          <w:trHeight w:val="485" w:hRule="atLeast"/>
          <w:jc w:val="center"/>
        </w:trPr>
        <w:tc>
          <w:tcPr>
            <w:tcW w:w="2026" w:type="dxa"/>
            <w:gridSpan w:val="2"/>
            <w:tcMar>
              <w:top w:w="57" w:type="dxa"/>
              <w:left w:w="57" w:type="dxa"/>
              <w:bottom w:w="0" w:type="dxa"/>
              <w:right w:w="57" w:type="dxa"/>
            </w:tcMar>
            <w:vAlign w:val="center"/>
          </w:tcPr>
          <w:p w14:paraId="7F46AEB1">
            <w:pPr>
              <w:keepNext w:val="0"/>
              <w:keepLines w:val="0"/>
              <w:suppressLineNumbers w:val="0"/>
              <w:adjustRightInd w:val="0"/>
              <w:snapToGrid w:val="0"/>
              <w:spacing w:before="0" w:beforeAutospacing="0" w:after="0" w:afterAutospacing="0" w:line="276" w:lineRule="auto"/>
              <w:ind w:left="0" w:right="0"/>
              <w:jc w:val="center"/>
              <w:rPr>
                <w:rFonts w:hint="default"/>
                <w:color w:val="auto"/>
                <w:sz w:val="21"/>
                <w:szCs w:val="21"/>
                <w:highlight w:val="none"/>
              </w:rPr>
            </w:pPr>
            <w:r>
              <w:rPr>
                <w:rFonts w:hint="eastAsia" w:hAnsi="宋体"/>
                <w:color w:val="auto"/>
                <w:sz w:val="21"/>
                <w:szCs w:val="21"/>
                <w:highlight w:val="none"/>
              </w:rPr>
              <w:t>项目审批（核准</w:t>
            </w:r>
            <w:r>
              <w:rPr>
                <w:rFonts w:hint="default"/>
                <w:color w:val="auto"/>
                <w:sz w:val="21"/>
                <w:szCs w:val="21"/>
                <w:highlight w:val="none"/>
              </w:rPr>
              <w:t>/</w:t>
            </w:r>
            <w:r>
              <w:rPr>
                <w:rFonts w:hint="eastAsia" w:hAnsi="宋体"/>
                <w:color w:val="auto"/>
                <w:sz w:val="21"/>
                <w:szCs w:val="21"/>
                <w:highlight w:val="none"/>
              </w:rPr>
              <w:t>备案）部门（选填）</w:t>
            </w:r>
          </w:p>
        </w:tc>
        <w:tc>
          <w:tcPr>
            <w:tcW w:w="2113" w:type="dxa"/>
            <w:tcMar>
              <w:top w:w="57" w:type="dxa"/>
              <w:left w:w="57" w:type="dxa"/>
              <w:bottom w:w="0" w:type="dxa"/>
              <w:right w:w="57" w:type="dxa"/>
            </w:tcMar>
            <w:vAlign w:val="center"/>
          </w:tcPr>
          <w:p w14:paraId="7036F152">
            <w:pPr>
              <w:keepNext w:val="0"/>
              <w:keepLines w:val="0"/>
              <w:suppressLineNumbers w:val="0"/>
              <w:adjustRightInd w:val="0"/>
              <w:snapToGrid w:val="0"/>
              <w:spacing w:before="0" w:beforeAutospacing="0" w:after="0" w:afterAutospacing="0" w:line="276" w:lineRule="auto"/>
              <w:ind w:left="0" w:right="0"/>
              <w:jc w:val="center"/>
              <w:rPr>
                <w:rFonts w:hint="default"/>
                <w:color w:val="auto"/>
                <w:sz w:val="21"/>
                <w:szCs w:val="21"/>
                <w:highlight w:val="none"/>
              </w:rPr>
            </w:pPr>
            <w:r>
              <w:rPr>
                <w:rFonts w:hint="eastAsia"/>
                <w:color w:val="auto"/>
                <w:sz w:val="21"/>
                <w:szCs w:val="21"/>
                <w:highlight w:val="none"/>
              </w:rPr>
              <w:t>衢州市发展和改革委员会</w:t>
            </w:r>
          </w:p>
        </w:tc>
        <w:tc>
          <w:tcPr>
            <w:tcW w:w="1998" w:type="dxa"/>
            <w:tcMar>
              <w:top w:w="57" w:type="dxa"/>
              <w:left w:w="57" w:type="dxa"/>
              <w:bottom w:w="0" w:type="dxa"/>
              <w:right w:w="57" w:type="dxa"/>
            </w:tcMar>
            <w:vAlign w:val="center"/>
          </w:tcPr>
          <w:p w14:paraId="2C80401E">
            <w:pPr>
              <w:keepNext w:val="0"/>
              <w:keepLines w:val="0"/>
              <w:suppressLineNumbers w:val="0"/>
              <w:adjustRightInd w:val="0"/>
              <w:snapToGrid w:val="0"/>
              <w:spacing w:before="0" w:beforeAutospacing="0" w:after="0" w:afterAutospacing="0" w:line="276" w:lineRule="auto"/>
              <w:ind w:left="0" w:right="0"/>
              <w:jc w:val="center"/>
              <w:rPr>
                <w:rFonts w:hint="default"/>
                <w:color w:val="auto"/>
                <w:sz w:val="21"/>
                <w:szCs w:val="21"/>
                <w:highlight w:val="none"/>
              </w:rPr>
            </w:pPr>
            <w:r>
              <w:rPr>
                <w:rFonts w:hint="eastAsia" w:hAnsi="宋体"/>
                <w:color w:val="auto"/>
                <w:sz w:val="21"/>
                <w:szCs w:val="21"/>
                <w:highlight w:val="none"/>
              </w:rPr>
              <w:t>项目审批（核准</w:t>
            </w:r>
            <w:r>
              <w:rPr>
                <w:rFonts w:hint="default"/>
                <w:color w:val="auto"/>
                <w:sz w:val="21"/>
                <w:szCs w:val="21"/>
                <w:highlight w:val="none"/>
              </w:rPr>
              <w:t>/</w:t>
            </w:r>
            <w:r>
              <w:rPr>
                <w:rFonts w:hint="eastAsia" w:hAnsi="宋体"/>
                <w:color w:val="auto"/>
                <w:sz w:val="21"/>
                <w:szCs w:val="21"/>
                <w:highlight w:val="none"/>
              </w:rPr>
              <w:t>备案）文号（选填）</w:t>
            </w:r>
          </w:p>
        </w:tc>
        <w:tc>
          <w:tcPr>
            <w:tcW w:w="2733" w:type="dxa"/>
            <w:tcMar>
              <w:top w:w="57" w:type="dxa"/>
              <w:left w:w="57" w:type="dxa"/>
              <w:bottom w:w="0" w:type="dxa"/>
              <w:right w:w="57" w:type="dxa"/>
            </w:tcMar>
            <w:vAlign w:val="center"/>
          </w:tcPr>
          <w:p w14:paraId="7B76B5CB">
            <w:pPr>
              <w:keepNext w:val="0"/>
              <w:keepLines w:val="0"/>
              <w:suppressLineNumbers w:val="0"/>
              <w:adjustRightInd w:val="0"/>
              <w:snapToGrid w:val="0"/>
              <w:spacing w:before="0" w:beforeAutospacing="0" w:after="0" w:afterAutospacing="0" w:line="276" w:lineRule="auto"/>
              <w:ind w:left="0" w:right="0"/>
              <w:jc w:val="center"/>
              <w:rPr>
                <w:rFonts w:hint="default"/>
                <w:color w:val="auto"/>
                <w:sz w:val="21"/>
                <w:szCs w:val="21"/>
                <w:highlight w:val="none"/>
              </w:rPr>
            </w:pPr>
            <w:r>
              <w:rPr>
                <w:rFonts w:hint="default"/>
                <w:color w:val="auto"/>
                <w:sz w:val="21"/>
                <w:szCs w:val="21"/>
                <w:highlight w:val="none"/>
              </w:rPr>
              <w:t>/</w:t>
            </w:r>
          </w:p>
        </w:tc>
      </w:tr>
      <w:tr w14:paraId="2F4AB824">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0" w:type="dxa"/>
            <w:bottom w:w="0" w:type="dxa"/>
            <w:right w:w="0" w:type="dxa"/>
          </w:tblCellMar>
        </w:tblPrEx>
        <w:trPr>
          <w:trHeight w:val="34" w:hRule="atLeast"/>
          <w:jc w:val="center"/>
        </w:trPr>
        <w:tc>
          <w:tcPr>
            <w:tcW w:w="2026" w:type="dxa"/>
            <w:gridSpan w:val="2"/>
            <w:tcMar>
              <w:top w:w="57" w:type="dxa"/>
              <w:left w:w="57" w:type="dxa"/>
              <w:bottom w:w="0" w:type="dxa"/>
              <w:right w:w="57" w:type="dxa"/>
            </w:tcMar>
            <w:vAlign w:val="center"/>
          </w:tcPr>
          <w:p w14:paraId="3AF4BFC2">
            <w:pPr>
              <w:keepNext w:val="0"/>
              <w:keepLines w:val="0"/>
              <w:suppressLineNumbers w:val="0"/>
              <w:adjustRightInd w:val="0"/>
              <w:snapToGrid w:val="0"/>
              <w:spacing w:before="0" w:beforeAutospacing="0" w:after="0" w:afterAutospacing="0" w:line="276" w:lineRule="auto"/>
              <w:ind w:left="0" w:right="0"/>
              <w:jc w:val="center"/>
              <w:rPr>
                <w:rFonts w:hint="default"/>
                <w:color w:val="auto"/>
                <w:sz w:val="21"/>
                <w:szCs w:val="21"/>
                <w:highlight w:val="none"/>
              </w:rPr>
            </w:pPr>
            <w:r>
              <w:rPr>
                <w:rFonts w:hint="eastAsia" w:hAnsi="宋体"/>
                <w:color w:val="auto"/>
                <w:sz w:val="21"/>
                <w:szCs w:val="21"/>
                <w:highlight w:val="none"/>
              </w:rPr>
              <w:t>总投资（万元）</w:t>
            </w:r>
          </w:p>
        </w:tc>
        <w:tc>
          <w:tcPr>
            <w:tcW w:w="2113" w:type="dxa"/>
            <w:tcMar>
              <w:top w:w="57" w:type="dxa"/>
              <w:left w:w="57" w:type="dxa"/>
              <w:bottom w:w="0" w:type="dxa"/>
              <w:right w:w="57" w:type="dxa"/>
            </w:tcMar>
            <w:vAlign w:val="center"/>
          </w:tcPr>
          <w:p w14:paraId="15E1997D">
            <w:pPr>
              <w:keepNext w:val="0"/>
              <w:keepLines w:val="0"/>
              <w:suppressLineNumbers w:val="0"/>
              <w:adjustRightInd w:val="0"/>
              <w:snapToGrid w:val="0"/>
              <w:spacing w:before="0" w:beforeAutospacing="0" w:after="0" w:afterAutospacing="0" w:line="276" w:lineRule="auto"/>
              <w:ind w:left="0" w:right="0"/>
              <w:jc w:val="center"/>
              <w:rPr>
                <w:rFonts w:hint="default"/>
                <w:color w:val="auto"/>
                <w:sz w:val="21"/>
                <w:szCs w:val="21"/>
                <w:highlight w:val="none"/>
              </w:rPr>
            </w:pPr>
            <w:r>
              <w:rPr>
                <w:rFonts w:hint="eastAsia"/>
                <w:color w:val="auto"/>
                <w:sz w:val="21"/>
                <w:szCs w:val="21"/>
                <w:highlight w:val="none"/>
              </w:rPr>
              <w:t>57585.6880</w:t>
            </w:r>
          </w:p>
        </w:tc>
        <w:tc>
          <w:tcPr>
            <w:tcW w:w="1998" w:type="dxa"/>
            <w:tcMar>
              <w:top w:w="57" w:type="dxa"/>
              <w:left w:w="57" w:type="dxa"/>
              <w:bottom w:w="0" w:type="dxa"/>
              <w:right w:w="57" w:type="dxa"/>
            </w:tcMar>
            <w:vAlign w:val="center"/>
          </w:tcPr>
          <w:p w14:paraId="4E1BE5DD">
            <w:pPr>
              <w:keepNext w:val="0"/>
              <w:keepLines w:val="0"/>
              <w:suppressLineNumbers w:val="0"/>
              <w:adjustRightInd w:val="0"/>
              <w:snapToGrid w:val="0"/>
              <w:spacing w:before="0" w:beforeAutospacing="0" w:after="0" w:afterAutospacing="0" w:line="276" w:lineRule="auto"/>
              <w:ind w:left="0" w:right="0"/>
              <w:jc w:val="center"/>
              <w:rPr>
                <w:rFonts w:hint="default"/>
                <w:color w:val="auto"/>
                <w:sz w:val="21"/>
                <w:szCs w:val="21"/>
                <w:highlight w:val="none"/>
              </w:rPr>
            </w:pPr>
            <w:r>
              <w:rPr>
                <w:rFonts w:hint="eastAsia" w:hAnsi="宋体"/>
                <w:color w:val="auto"/>
                <w:sz w:val="21"/>
                <w:szCs w:val="21"/>
                <w:highlight w:val="none"/>
              </w:rPr>
              <w:t>环保投资（万元）</w:t>
            </w:r>
          </w:p>
        </w:tc>
        <w:tc>
          <w:tcPr>
            <w:tcW w:w="2733" w:type="dxa"/>
            <w:tcMar>
              <w:top w:w="57" w:type="dxa"/>
              <w:left w:w="57" w:type="dxa"/>
              <w:bottom w:w="0" w:type="dxa"/>
              <w:right w:w="57" w:type="dxa"/>
            </w:tcMar>
            <w:vAlign w:val="center"/>
          </w:tcPr>
          <w:p w14:paraId="3A9F090E">
            <w:pPr>
              <w:keepNext w:val="0"/>
              <w:keepLines w:val="0"/>
              <w:suppressLineNumbers w:val="0"/>
              <w:adjustRightInd w:val="0"/>
              <w:snapToGrid w:val="0"/>
              <w:spacing w:before="0" w:beforeAutospacing="0" w:after="0" w:afterAutospacing="0" w:line="276" w:lineRule="auto"/>
              <w:ind w:left="0" w:right="0"/>
              <w:jc w:val="center"/>
              <w:rPr>
                <w:rFonts w:hint="default" w:eastAsia="宋体"/>
                <w:color w:val="auto"/>
                <w:sz w:val="21"/>
                <w:szCs w:val="21"/>
                <w:highlight w:val="none"/>
                <w:lang w:val="en-US" w:eastAsia="zh-CN"/>
              </w:rPr>
            </w:pPr>
            <w:r>
              <w:rPr>
                <w:rFonts w:hint="eastAsia"/>
                <w:color w:val="auto"/>
                <w:sz w:val="21"/>
                <w:szCs w:val="21"/>
                <w:highlight w:val="none"/>
                <w:lang w:val="en-US" w:eastAsia="zh-CN"/>
              </w:rPr>
              <w:t>317</w:t>
            </w:r>
          </w:p>
        </w:tc>
      </w:tr>
      <w:tr w14:paraId="5190B2C5">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0" w:type="dxa"/>
            <w:bottom w:w="0" w:type="dxa"/>
            <w:right w:w="0" w:type="dxa"/>
          </w:tblCellMar>
        </w:tblPrEx>
        <w:trPr>
          <w:trHeight w:val="90" w:hRule="atLeast"/>
          <w:jc w:val="center"/>
        </w:trPr>
        <w:tc>
          <w:tcPr>
            <w:tcW w:w="2026" w:type="dxa"/>
            <w:gridSpan w:val="2"/>
            <w:tcMar>
              <w:top w:w="57" w:type="dxa"/>
              <w:left w:w="57" w:type="dxa"/>
              <w:bottom w:w="0" w:type="dxa"/>
              <w:right w:w="57" w:type="dxa"/>
            </w:tcMar>
            <w:vAlign w:val="center"/>
          </w:tcPr>
          <w:p w14:paraId="262F0AC3">
            <w:pPr>
              <w:keepNext w:val="0"/>
              <w:keepLines w:val="0"/>
              <w:suppressLineNumbers w:val="0"/>
              <w:adjustRightInd w:val="0"/>
              <w:snapToGrid w:val="0"/>
              <w:spacing w:before="0" w:beforeAutospacing="0" w:after="0" w:afterAutospacing="0" w:line="276" w:lineRule="auto"/>
              <w:ind w:left="0" w:right="0"/>
              <w:jc w:val="center"/>
              <w:rPr>
                <w:rFonts w:hint="default"/>
                <w:sz w:val="21"/>
                <w:szCs w:val="21"/>
                <w:highlight w:val="none"/>
              </w:rPr>
            </w:pPr>
            <w:r>
              <w:rPr>
                <w:rFonts w:hint="eastAsia" w:hAnsi="宋体"/>
                <w:sz w:val="21"/>
                <w:szCs w:val="21"/>
                <w:highlight w:val="none"/>
              </w:rPr>
              <w:t>环保投资占比（</w:t>
            </w:r>
            <w:r>
              <w:rPr>
                <w:rFonts w:hint="default"/>
                <w:sz w:val="21"/>
                <w:szCs w:val="21"/>
                <w:highlight w:val="none"/>
              </w:rPr>
              <w:t>%</w:t>
            </w:r>
            <w:r>
              <w:rPr>
                <w:rFonts w:hint="eastAsia" w:hAnsi="宋体"/>
                <w:sz w:val="21"/>
                <w:szCs w:val="21"/>
                <w:highlight w:val="none"/>
              </w:rPr>
              <w:t>）</w:t>
            </w:r>
          </w:p>
        </w:tc>
        <w:tc>
          <w:tcPr>
            <w:tcW w:w="2113" w:type="dxa"/>
            <w:tcMar>
              <w:top w:w="57" w:type="dxa"/>
              <w:left w:w="57" w:type="dxa"/>
              <w:bottom w:w="0" w:type="dxa"/>
              <w:right w:w="57" w:type="dxa"/>
            </w:tcMar>
            <w:vAlign w:val="center"/>
          </w:tcPr>
          <w:p w14:paraId="73EFF24D">
            <w:pPr>
              <w:keepNext w:val="0"/>
              <w:keepLines w:val="0"/>
              <w:suppressLineNumbers w:val="0"/>
              <w:adjustRightInd w:val="0"/>
              <w:snapToGrid w:val="0"/>
              <w:spacing w:before="0" w:beforeAutospacing="0" w:after="0" w:afterAutospacing="0" w:line="276" w:lineRule="auto"/>
              <w:ind w:left="0" w:right="0"/>
              <w:jc w:val="center"/>
              <w:rPr>
                <w:rFonts w:hint="eastAsia" w:eastAsia="宋体"/>
                <w:color w:val="auto"/>
                <w:sz w:val="21"/>
                <w:szCs w:val="21"/>
                <w:highlight w:val="none"/>
                <w:lang w:val="en-US" w:eastAsia="zh-CN"/>
              </w:rPr>
            </w:pPr>
            <w:r>
              <w:rPr>
                <w:rFonts w:hint="eastAsia"/>
                <w:color w:val="auto"/>
                <w:sz w:val="21"/>
                <w:szCs w:val="21"/>
                <w:highlight w:val="none"/>
                <w:lang w:val="en-US" w:eastAsia="zh-CN"/>
              </w:rPr>
              <w:t>0</w:t>
            </w:r>
            <w:r>
              <w:rPr>
                <w:rFonts w:hint="eastAsia"/>
                <w:color w:val="auto"/>
                <w:sz w:val="21"/>
                <w:szCs w:val="21"/>
                <w:highlight w:val="none"/>
              </w:rPr>
              <w:t>.5</w:t>
            </w:r>
            <w:r>
              <w:rPr>
                <w:rFonts w:hint="eastAsia"/>
                <w:color w:val="auto"/>
                <w:sz w:val="21"/>
                <w:szCs w:val="21"/>
                <w:highlight w:val="none"/>
                <w:lang w:val="en-US" w:eastAsia="zh-CN"/>
              </w:rPr>
              <w:t>5</w:t>
            </w:r>
          </w:p>
        </w:tc>
        <w:tc>
          <w:tcPr>
            <w:tcW w:w="1998" w:type="dxa"/>
            <w:tcMar>
              <w:top w:w="57" w:type="dxa"/>
              <w:left w:w="57" w:type="dxa"/>
              <w:bottom w:w="0" w:type="dxa"/>
              <w:right w:w="57" w:type="dxa"/>
            </w:tcMar>
            <w:vAlign w:val="center"/>
          </w:tcPr>
          <w:p w14:paraId="252DF957">
            <w:pPr>
              <w:keepNext w:val="0"/>
              <w:keepLines w:val="0"/>
              <w:suppressLineNumbers w:val="0"/>
              <w:adjustRightInd w:val="0"/>
              <w:snapToGrid w:val="0"/>
              <w:spacing w:before="0" w:beforeAutospacing="0" w:after="0" w:afterAutospacing="0" w:line="276" w:lineRule="auto"/>
              <w:ind w:left="0" w:right="0"/>
              <w:jc w:val="center"/>
              <w:rPr>
                <w:rFonts w:hint="default"/>
                <w:color w:val="auto"/>
                <w:sz w:val="21"/>
                <w:szCs w:val="21"/>
                <w:highlight w:val="none"/>
              </w:rPr>
            </w:pPr>
            <w:r>
              <w:rPr>
                <w:rFonts w:hint="eastAsia" w:hAnsi="宋体"/>
                <w:color w:val="auto"/>
                <w:sz w:val="21"/>
                <w:szCs w:val="21"/>
                <w:highlight w:val="none"/>
              </w:rPr>
              <w:t>施工工期</w:t>
            </w:r>
          </w:p>
        </w:tc>
        <w:tc>
          <w:tcPr>
            <w:tcW w:w="2733" w:type="dxa"/>
            <w:tcMar>
              <w:top w:w="57" w:type="dxa"/>
              <w:left w:w="57" w:type="dxa"/>
              <w:bottom w:w="0" w:type="dxa"/>
              <w:right w:w="57" w:type="dxa"/>
            </w:tcMar>
            <w:vAlign w:val="center"/>
          </w:tcPr>
          <w:p w14:paraId="45A3FD10">
            <w:pPr>
              <w:keepNext w:val="0"/>
              <w:keepLines w:val="0"/>
              <w:suppressLineNumbers w:val="0"/>
              <w:adjustRightInd w:val="0"/>
              <w:snapToGrid w:val="0"/>
              <w:spacing w:before="0" w:beforeAutospacing="0" w:after="0" w:afterAutospacing="0" w:line="276" w:lineRule="auto"/>
              <w:ind w:left="0" w:right="0"/>
              <w:jc w:val="center"/>
              <w:rPr>
                <w:rFonts w:hint="default"/>
                <w:color w:val="auto"/>
                <w:sz w:val="21"/>
                <w:szCs w:val="21"/>
                <w:highlight w:val="none"/>
              </w:rPr>
            </w:pPr>
            <w:r>
              <w:rPr>
                <w:rFonts w:hint="eastAsia"/>
                <w:color w:val="auto"/>
                <w:sz w:val="21"/>
                <w:szCs w:val="21"/>
                <w:highlight w:val="none"/>
                <w:lang w:val="en-US" w:eastAsia="zh-CN"/>
              </w:rPr>
              <w:t>12</w:t>
            </w:r>
            <w:r>
              <w:rPr>
                <w:rFonts w:hint="eastAsia"/>
                <w:color w:val="auto"/>
                <w:sz w:val="21"/>
                <w:szCs w:val="21"/>
                <w:highlight w:val="none"/>
              </w:rPr>
              <w:t>个月</w:t>
            </w:r>
          </w:p>
        </w:tc>
      </w:tr>
      <w:tr w14:paraId="78CEAE14">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0" w:type="dxa"/>
            <w:bottom w:w="0" w:type="dxa"/>
            <w:right w:w="0" w:type="dxa"/>
          </w:tblCellMar>
        </w:tblPrEx>
        <w:trPr>
          <w:trHeight w:val="90" w:hRule="atLeast"/>
          <w:jc w:val="center"/>
        </w:trPr>
        <w:tc>
          <w:tcPr>
            <w:tcW w:w="2026" w:type="dxa"/>
            <w:gridSpan w:val="2"/>
            <w:tcMar>
              <w:top w:w="57" w:type="dxa"/>
              <w:left w:w="57" w:type="dxa"/>
              <w:bottom w:w="0" w:type="dxa"/>
              <w:right w:w="57" w:type="dxa"/>
            </w:tcMar>
            <w:vAlign w:val="center"/>
          </w:tcPr>
          <w:p w14:paraId="76F000FB">
            <w:pPr>
              <w:keepNext w:val="0"/>
              <w:keepLines w:val="0"/>
              <w:suppressLineNumbers w:val="0"/>
              <w:adjustRightInd w:val="0"/>
              <w:snapToGrid w:val="0"/>
              <w:spacing w:before="0" w:beforeAutospacing="0" w:after="0" w:afterAutospacing="0" w:line="276" w:lineRule="auto"/>
              <w:ind w:left="0" w:right="0"/>
              <w:jc w:val="center"/>
              <w:rPr>
                <w:rFonts w:hint="default"/>
                <w:sz w:val="21"/>
                <w:szCs w:val="21"/>
                <w:highlight w:val="none"/>
              </w:rPr>
            </w:pPr>
            <w:r>
              <w:rPr>
                <w:rFonts w:hint="eastAsia" w:hAnsi="宋体"/>
                <w:sz w:val="21"/>
                <w:szCs w:val="21"/>
                <w:highlight w:val="none"/>
              </w:rPr>
              <w:t>是否开工建设</w:t>
            </w:r>
          </w:p>
        </w:tc>
        <w:tc>
          <w:tcPr>
            <w:tcW w:w="2113" w:type="dxa"/>
            <w:tcMar>
              <w:top w:w="57" w:type="dxa"/>
              <w:left w:w="57" w:type="dxa"/>
              <w:bottom w:w="0" w:type="dxa"/>
              <w:right w:w="57" w:type="dxa"/>
            </w:tcMar>
            <w:vAlign w:val="center"/>
          </w:tcPr>
          <w:p w14:paraId="150E7950">
            <w:pPr>
              <w:keepNext w:val="0"/>
              <w:keepLines w:val="0"/>
              <w:suppressLineNumbers w:val="0"/>
              <w:adjustRightInd w:val="0"/>
              <w:snapToGrid w:val="0"/>
              <w:spacing w:before="0" w:beforeAutospacing="0" w:after="0" w:afterAutospacing="0" w:line="276" w:lineRule="auto"/>
              <w:ind w:left="0" w:right="0"/>
              <w:rPr>
                <w:rFonts w:hint="default"/>
                <w:sz w:val="21"/>
                <w:szCs w:val="21"/>
                <w:highlight w:val="none"/>
              </w:rPr>
            </w:pPr>
            <w:r>
              <w:rPr>
                <w:rFonts w:hint="eastAsia" w:ascii="MS Mincho" w:hAnsi="MS Mincho" w:eastAsia="MS Mincho" w:cs="MS Mincho"/>
                <w:sz w:val="21"/>
                <w:szCs w:val="21"/>
                <w:highlight w:val="none"/>
              </w:rPr>
              <w:t>☑</w:t>
            </w:r>
            <w:r>
              <w:rPr>
                <w:rFonts w:hint="eastAsia" w:hAnsi="宋体"/>
                <w:sz w:val="21"/>
                <w:szCs w:val="21"/>
                <w:highlight w:val="none"/>
              </w:rPr>
              <w:t>否</w:t>
            </w:r>
          </w:p>
          <w:p w14:paraId="5081311B">
            <w:pPr>
              <w:keepNext w:val="0"/>
              <w:keepLines w:val="0"/>
              <w:suppressLineNumbers w:val="0"/>
              <w:adjustRightInd w:val="0"/>
              <w:snapToGrid w:val="0"/>
              <w:spacing w:before="0" w:beforeAutospacing="0" w:after="0" w:afterAutospacing="0" w:line="276" w:lineRule="auto"/>
              <w:ind w:left="0" w:right="0"/>
              <w:rPr>
                <w:rFonts w:hint="default"/>
                <w:sz w:val="21"/>
                <w:szCs w:val="21"/>
                <w:highlight w:val="none"/>
              </w:rPr>
            </w:pPr>
            <w:r>
              <w:rPr>
                <w:rFonts w:hint="eastAsia" w:ascii="MS Mincho" w:hAnsi="MS Mincho" w:cs="MS Mincho"/>
                <w:sz w:val="21"/>
                <w:szCs w:val="21"/>
                <w:highlight w:val="none"/>
              </w:rPr>
              <w:t>□</w:t>
            </w:r>
            <w:r>
              <w:rPr>
                <w:rFonts w:hint="eastAsia" w:hAnsi="宋体"/>
                <w:sz w:val="21"/>
                <w:szCs w:val="21"/>
                <w:highlight w:val="none"/>
              </w:rPr>
              <w:t>是：</w:t>
            </w:r>
            <w:r>
              <w:rPr>
                <w:rFonts w:hint="default"/>
                <w:sz w:val="21"/>
                <w:szCs w:val="21"/>
                <w:highlight w:val="none"/>
                <w:u w:val="single"/>
              </w:rPr>
              <w:t xml:space="preserve">             </w:t>
            </w:r>
          </w:p>
        </w:tc>
        <w:tc>
          <w:tcPr>
            <w:tcW w:w="1998" w:type="dxa"/>
            <w:tcMar>
              <w:top w:w="57" w:type="dxa"/>
              <w:left w:w="57" w:type="dxa"/>
              <w:bottom w:w="0" w:type="dxa"/>
              <w:right w:w="57" w:type="dxa"/>
            </w:tcMar>
            <w:vAlign w:val="center"/>
          </w:tcPr>
          <w:p w14:paraId="6A975543">
            <w:pPr>
              <w:keepNext w:val="0"/>
              <w:keepLines w:val="0"/>
              <w:suppressLineNumbers w:val="0"/>
              <w:adjustRightInd w:val="0"/>
              <w:snapToGrid w:val="0"/>
              <w:spacing w:before="0" w:beforeAutospacing="0" w:after="0" w:afterAutospacing="0" w:line="276" w:lineRule="auto"/>
              <w:ind w:left="0" w:right="0"/>
              <w:jc w:val="center"/>
              <w:rPr>
                <w:rFonts w:hint="default"/>
                <w:sz w:val="21"/>
                <w:szCs w:val="21"/>
                <w:highlight w:val="none"/>
              </w:rPr>
            </w:pPr>
            <w:r>
              <w:rPr>
                <w:rFonts w:hint="eastAsia" w:hAnsi="宋体"/>
                <w:spacing w:val="-6"/>
                <w:sz w:val="21"/>
                <w:szCs w:val="21"/>
                <w:highlight w:val="none"/>
                <w:lang w:val="en-US" w:eastAsia="zh-CN"/>
              </w:rPr>
              <w:t>用地</w:t>
            </w:r>
            <w:r>
              <w:rPr>
                <w:rFonts w:hint="eastAsia" w:hAnsi="宋体"/>
                <w:spacing w:val="-6"/>
                <w:sz w:val="21"/>
                <w:szCs w:val="21"/>
                <w:highlight w:val="none"/>
              </w:rPr>
              <w:t>面积（</w:t>
            </w:r>
            <w:r>
              <w:rPr>
                <w:rFonts w:hint="default"/>
                <w:spacing w:val="-6"/>
                <w:sz w:val="21"/>
                <w:szCs w:val="21"/>
                <w:highlight w:val="none"/>
              </w:rPr>
              <w:t>m</w:t>
            </w:r>
            <w:r>
              <w:rPr>
                <w:rFonts w:hint="default"/>
                <w:spacing w:val="-6"/>
                <w:sz w:val="21"/>
                <w:szCs w:val="21"/>
                <w:highlight w:val="none"/>
                <w:vertAlign w:val="superscript"/>
              </w:rPr>
              <w:t>2</w:t>
            </w:r>
            <w:r>
              <w:rPr>
                <w:rFonts w:hint="eastAsia" w:hAnsi="宋体"/>
                <w:spacing w:val="-6"/>
                <w:sz w:val="21"/>
                <w:szCs w:val="21"/>
                <w:highlight w:val="none"/>
              </w:rPr>
              <w:t>）</w:t>
            </w:r>
          </w:p>
        </w:tc>
        <w:tc>
          <w:tcPr>
            <w:tcW w:w="2733" w:type="dxa"/>
            <w:tcMar>
              <w:top w:w="57" w:type="dxa"/>
              <w:left w:w="57" w:type="dxa"/>
              <w:bottom w:w="0" w:type="dxa"/>
              <w:right w:w="57" w:type="dxa"/>
            </w:tcMar>
            <w:vAlign w:val="center"/>
          </w:tcPr>
          <w:p w14:paraId="09082DAB">
            <w:pPr>
              <w:keepNext w:val="0"/>
              <w:keepLines w:val="0"/>
              <w:suppressLineNumbers w:val="0"/>
              <w:adjustRightInd w:val="0"/>
              <w:snapToGrid w:val="0"/>
              <w:spacing w:before="0" w:beforeAutospacing="0" w:after="0" w:afterAutospacing="0" w:line="276" w:lineRule="auto"/>
              <w:ind w:left="0" w:right="0"/>
              <w:jc w:val="center"/>
              <w:rPr>
                <w:rFonts w:hint="default" w:eastAsia="宋体"/>
                <w:sz w:val="21"/>
                <w:szCs w:val="21"/>
                <w:highlight w:val="none"/>
                <w:lang w:val="en-US" w:eastAsia="zh-CN"/>
              </w:rPr>
            </w:pPr>
            <w:r>
              <w:rPr>
                <w:rFonts w:hint="eastAsia"/>
                <w:sz w:val="21"/>
                <w:szCs w:val="21"/>
                <w:highlight w:val="none"/>
                <w:lang w:val="en-US" w:eastAsia="zh-CN"/>
              </w:rPr>
              <w:t>26666</w:t>
            </w:r>
          </w:p>
        </w:tc>
      </w:tr>
      <w:tr w14:paraId="5A687D56">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90" w:hRule="atLeast"/>
          <w:jc w:val="center"/>
        </w:trPr>
        <w:tc>
          <w:tcPr>
            <w:tcW w:w="1113" w:type="dxa"/>
            <w:tcMar>
              <w:top w:w="57" w:type="dxa"/>
              <w:left w:w="57" w:type="dxa"/>
              <w:bottom w:w="0" w:type="dxa"/>
              <w:right w:w="57" w:type="dxa"/>
            </w:tcMar>
            <w:vAlign w:val="center"/>
          </w:tcPr>
          <w:p w14:paraId="6F89B898">
            <w:pPr>
              <w:keepNext w:val="0"/>
              <w:keepLines w:val="0"/>
              <w:suppressLineNumbers w:val="0"/>
              <w:autoSpaceDE w:val="0"/>
              <w:autoSpaceDN w:val="0"/>
              <w:adjustRightInd w:val="0"/>
              <w:snapToGrid w:val="0"/>
              <w:spacing w:before="0" w:beforeAutospacing="0" w:after="0" w:afterAutospacing="0" w:line="276" w:lineRule="auto"/>
              <w:ind w:left="0" w:right="0"/>
              <w:jc w:val="center"/>
              <w:rPr>
                <w:rFonts w:hint="default" w:hAnsi="宋体"/>
                <w:kern w:val="0"/>
                <w:sz w:val="21"/>
                <w:szCs w:val="21"/>
                <w:highlight w:val="none"/>
              </w:rPr>
            </w:pPr>
            <w:r>
              <w:rPr>
                <w:rFonts w:hint="eastAsia" w:hAnsi="宋体"/>
                <w:kern w:val="0"/>
                <w:sz w:val="21"/>
                <w:szCs w:val="21"/>
                <w:highlight w:val="none"/>
              </w:rPr>
              <w:t>专项评价</w:t>
            </w:r>
          </w:p>
          <w:p w14:paraId="0175C753">
            <w:pPr>
              <w:keepNext w:val="0"/>
              <w:keepLines w:val="0"/>
              <w:suppressLineNumbers w:val="0"/>
              <w:autoSpaceDE w:val="0"/>
              <w:autoSpaceDN w:val="0"/>
              <w:adjustRightInd w:val="0"/>
              <w:snapToGrid w:val="0"/>
              <w:spacing w:before="0" w:beforeAutospacing="0" w:after="0" w:afterAutospacing="0" w:line="276" w:lineRule="auto"/>
              <w:ind w:left="0" w:right="0"/>
              <w:jc w:val="center"/>
              <w:rPr>
                <w:rFonts w:hint="default"/>
                <w:kern w:val="0"/>
                <w:sz w:val="21"/>
                <w:szCs w:val="21"/>
                <w:highlight w:val="none"/>
              </w:rPr>
            </w:pPr>
            <w:r>
              <w:rPr>
                <w:rFonts w:hint="eastAsia" w:hAnsi="宋体"/>
                <w:kern w:val="0"/>
                <w:sz w:val="21"/>
                <w:szCs w:val="21"/>
                <w:highlight w:val="none"/>
              </w:rPr>
              <w:t>设置情况</w:t>
            </w:r>
          </w:p>
        </w:tc>
        <w:tc>
          <w:tcPr>
            <w:tcW w:w="7757" w:type="dxa"/>
            <w:gridSpan w:val="4"/>
            <w:tcMar>
              <w:top w:w="57" w:type="dxa"/>
              <w:left w:w="57" w:type="dxa"/>
              <w:bottom w:w="0" w:type="dxa"/>
              <w:right w:w="57" w:type="dxa"/>
            </w:tcMar>
            <w:vAlign w:val="center"/>
          </w:tcPr>
          <w:p w14:paraId="4EABBA41">
            <w:pPr>
              <w:keepNext w:val="0"/>
              <w:keepLines w:val="0"/>
              <w:suppressLineNumbers w:val="0"/>
              <w:autoSpaceDE w:val="0"/>
              <w:autoSpaceDN w:val="0"/>
              <w:spacing w:before="0" w:beforeAutospacing="0" w:after="0" w:afterAutospacing="0" w:line="360" w:lineRule="auto"/>
              <w:ind w:left="0" w:right="0"/>
              <w:rPr>
                <w:rFonts w:hint="default"/>
                <w:kern w:val="0"/>
                <w:sz w:val="24"/>
                <w:szCs w:val="24"/>
                <w:highlight w:val="none"/>
              </w:rPr>
            </w:pPr>
            <w:r>
              <w:rPr>
                <w:rFonts w:hint="eastAsia"/>
                <w:kern w:val="0"/>
                <w:sz w:val="24"/>
                <w:szCs w:val="24"/>
                <w:highlight w:val="none"/>
              </w:rPr>
              <w:t>根据分析，本项目</w:t>
            </w:r>
            <w:r>
              <w:rPr>
                <w:rFonts w:hint="eastAsia"/>
                <w:kern w:val="0"/>
                <w:sz w:val="24"/>
                <w:szCs w:val="24"/>
                <w:highlight w:val="none"/>
                <w:lang w:val="en-US" w:eastAsia="zh-CN"/>
              </w:rPr>
              <w:t>需要</w:t>
            </w:r>
            <w:r>
              <w:rPr>
                <w:rFonts w:hint="eastAsia"/>
                <w:kern w:val="0"/>
                <w:sz w:val="24"/>
                <w:szCs w:val="24"/>
                <w:highlight w:val="none"/>
              </w:rPr>
              <w:t>设置专项评价。具体判别见下表。</w:t>
            </w:r>
          </w:p>
          <w:p w14:paraId="2758803B">
            <w:pPr>
              <w:keepNext w:val="0"/>
              <w:keepLines w:val="0"/>
              <w:suppressLineNumbers w:val="0"/>
              <w:autoSpaceDE w:val="0"/>
              <w:autoSpaceDN w:val="0"/>
              <w:spacing w:before="0" w:beforeAutospacing="0" w:after="0" w:afterAutospacing="0" w:line="360" w:lineRule="auto"/>
              <w:ind w:left="0" w:right="0"/>
              <w:jc w:val="center"/>
              <w:rPr>
                <w:rFonts w:hint="default"/>
                <w:sz w:val="21"/>
                <w:szCs w:val="21"/>
                <w:highlight w:val="none"/>
              </w:rPr>
            </w:pPr>
            <w:r>
              <w:rPr>
                <w:rFonts w:hint="eastAsia"/>
                <w:b/>
                <w:bCs/>
                <w:kern w:val="0"/>
                <w:sz w:val="24"/>
                <w:szCs w:val="24"/>
                <w:highlight w:val="none"/>
              </w:rPr>
              <w:t>表</w:t>
            </w:r>
            <w:r>
              <w:rPr>
                <w:rFonts w:hint="default"/>
                <w:b/>
                <w:bCs/>
                <w:kern w:val="0"/>
                <w:sz w:val="24"/>
                <w:szCs w:val="24"/>
                <w:highlight w:val="none"/>
              </w:rPr>
              <w:t>1-1</w:t>
            </w:r>
            <w:r>
              <w:rPr>
                <w:rFonts w:hint="eastAsia"/>
                <w:b/>
                <w:bCs/>
                <w:kern w:val="0"/>
                <w:sz w:val="24"/>
                <w:szCs w:val="24"/>
                <w:highlight w:val="none"/>
              </w:rPr>
              <w:t>专项评价设置原则表</w:t>
            </w:r>
          </w:p>
          <w:tbl>
            <w:tblPr>
              <w:tblStyle w:val="32"/>
              <w:tblW w:w="4998"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28" w:type="dxa"/>
                <w:bottom w:w="0" w:type="dxa"/>
                <w:right w:w="28" w:type="dxa"/>
              </w:tblCellMar>
            </w:tblPr>
            <w:tblGrid>
              <w:gridCol w:w="907"/>
              <w:gridCol w:w="3847"/>
              <w:gridCol w:w="2876"/>
            </w:tblGrid>
            <w:tr w14:paraId="2969E42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0" w:hRule="atLeast"/>
                <w:jc w:val="center"/>
              </w:trPr>
              <w:tc>
                <w:tcPr>
                  <w:tcW w:w="595" w:type="pct"/>
                  <w:tcBorders>
                    <w:top w:val="single" w:color="auto" w:sz="4" w:space="0"/>
                    <w:left w:val="single" w:color="auto" w:sz="4" w:space="0"/>
                    <w:bottom w:val="single" w:color="auto" w:sz="4" w:space="0"/>
                    <w:right w:val="single" w:color="auto" w:sz="4" w:space="0"/>
                  </w:tcBorders>
                  <w:vAlign w:val="center"/>
                </w:tcPr>
                <w:p w14:paraId="362A12E8">
                  <w:pPr>
                    <w:keepNext w:val="0"/>
                    <w:keepLines w:val="0"/>
                    <w:suppressLineNumbers w:val="0"/>
                    <w:autoSpaceDE w:val="0"/>
                    <w:autoSpaceDN w:val="0"/>
                    <w:spacing w:before="0" w:beforeAutospacing="0" w:after="0" w:afterAutospacing="0" w:line="276" w:lineRule="auto"/>
                    <w:ind w:left="0" w:right="0"/>
                    <w:jc w:val="center"/>
                    <w:rPr>
                      <w:rFonts w:hint="default"/>
                      <w:kern w:val="0"/>
                      <w:sz w:val="21"/>
                      <w:szCs w:val="21"/>
                      <w:highlight w:val="none"/>
                    </w:rPr>
                  </w:pPr>
                  <w:r>
                    <w:rPr>
                      <w:rFonts w:hint="eastAsia"/>
                      <w:kern w:val="0"/>
                      <w:sz w:val="21"/>
                      <w:szCs w:val="21"/>
                      <w:highlight w:val="none"/>
                    </w:rPr>
                    <w:t>专项评价的类别</w:t>
                  </w:r>
                </w:p>
              </w:tc>
              <w:tc>
                <w:tcPr>
                  <w:tcW w:w="2520" w:type="pct"/>
                  <w:tcBorders>
                    <w:top w:val="single" w:color="auto" w:sz="4" w:space="0"/>
                    <w:left w:val="single" w:color="auto" w:sz="4" w:space="0"/>
                    <w:bottom w:val="single" w:color="auto" w:sz="4" w:space="0"/>
                    <w:right w:val="single" w:color="auto" w:sz="4" w:space="0"/>
                  </w:tcBorders>
                  <w:vAlign w:val="center"/>
                </w:tcPr>
                <w:p w14:paraId="41013CC5">
                  <w:pPr>
                    <w:keepNext w:val="0"/>
                    <w:keepLines w:val="0"/>
                    <w:suppressLineNumbers w:val="0"/>
                    <w:autoSpaceDE w:val="0"/>
                    <w:autoSpaceDN w:val="0"/>
                    <w:spacing w:before="0" w:beforeAutospacing="0" w:after="0" w:afterAutospacing="0" w:line="276" w:lineRule="auto"/>
                    <w:ind w:left="0" w:right="0"/>
                    <w:jc w:val="center"/>
                    <w:rPr>
                      <w:rFonts w:hint="default"/>
                      <w:kern w:val="0"/>
                      <w:sz w:val="21"/>
                      <w:szCs w:val="21"/>
                      <w:highlight w:val="none"/>
                    </w:rPr>
                  </w:pPr>
                  <w:r>
                    <w:rPr>
                      <w:rFonts w:hint="eastAsia"/>
                      <w:kern w:val="0"/>
                      <w:sz w:val="21"/>
                      <w:szCs w:val="21"/>
                      <w:highlight w:val="none"/>
                    </w:rPr>
                    <w:t>设置原则</w:t>
                  </w:r>
                </w:p>
              </w:tc>
              <w:tc>
                <w:tcPr>
                  <w:tcW w:w="1884" w:type="pct"/>
                  <w:tcBorders>
                    <w:top w:val="single" w:color="auto" w:sz="4" w:space="0"/>
                    <w:left w:val="single" w:color="auto" w:sz="4" w:space="0"/>
                    <w:bottom w:val="single" w:color="auto" w:sz="4" w:space="0"/>
                    <w:right w:val="single" w:color="auto" w:sz="4" w:space="0"/>
                  </w:tcBorders>
                  <w:vAlign w:val="center"/>
                </w:tcPr>
                <w:p w14:paraId="07371A9A">
                  <w:pPr>
                    <w:keepNext w:val="0"/>
                    <w:keepLines w:val="0"/>
                    <w:suppressLineNumbers w:val="0"/>
                    <w:autoSpaceDE w:val="0"/>
                    <w:autoSpaceDN w:val="0"/>
                    <w:spacing w:before="0" w:beforeAutospacing="0" w:after="0" w:afterAutospacing="0" w:line="276" w:lineRule="auto"/>
                    <w:ind w:left="0" w:right="0"/>
                    <w:jc w:val="center"/>
                    <w:rPr>
                      <w:rFonts w:hint="default"/>
                      <w:kern w:val="0"/>
                      <w:sz w:val="21"/>
                      <w:szCs w:val="21"/>
                      <w:highlight w:val="none"/>
                    </w:rPr>
                  </w:pPr>
                  <w:r>
                    <w:rPr>
                      <w:rFonts w:hint="eastAsia"/>
                      <w:kern w:val="0"/>
                      <w:sz w:val="21"/>
                      <w:szCs w:val="21"/>
                      <w:highlight w:val="none"/>
                    </w:rPr>
                    <w:t>本项目情况</w:t>
                  </w:r>
                </w:p>
              </w:tc>
            </w:tr>
            <w:tr w14:paraId="5CF7ADC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0" w:hRule="atLeast"/>
                <w:jc w:val="center"/>
              </w:trPr>
              <w:tc>
                <w:tcPr>
                  <w:tcW w:w="595" w:type="pct"/>
                  <w:tcBorders>
                    <w:top w:val="single" w:color="auto" w:sz="4" w:space="0"/>
                    <w:left w:val="single" w:color="auto" w:sz="4" w:space="0"/>
                    <w:bottom w:val="single" w:color="auto" w:sz="4" w:space="0"/>
                    <w:right w:val="single" w:color="auto" w:sz="4" w:space="0"/>
                  </w:tcBorders>
                  <w:vAlign w:val="center"/>
                </w:tcPr>
                <w:p w14:paraId="4994B2E4">
                  <w:pPr>
                    <w:keepNext w:val="0"/>
                    <w:keepLines w:val="0"/>
                    <w:suppressLineNumbers w:val="0"/>
                    <w:autoSpaceDE w:val="0"/>
                    <w:autoSpaceDN w:val="0"/>
                    <w:spacing w:before="0" w:beforeAutospacing="0" w:after="0" w:afterAutospacing="0" w:line="276" w:lineRule="auto"/>
                    <w:ind w:left="0" w:right="0"/>
                    <w:jc w:val="center"/>
                    <w:rPr>
                      <w:rFonts w:hint="default"/>
                      <w:kern w:val="0"/>
                      <w:sz w:val="21"/>
                      <w:szCs w:val="21"/>
                      <w:highlight w:val="none"/>
                    </w:rPr>
                  </w:pPr>
                  <w:r>
                    <w:rPr>
                      <w:rFonts w:hint="eastAsia"/>
                      <w:kern w:val="0"/>
                      <w:sz w:val="21"/>
                      <w:szCs w:val="21"/>
                      <w:highlight w:val="none"/>
                    </w:rPr>
                    <w:t>大气</w:t>
                  </w:r>
                </w:p>
              </w:tc>
              <w:tc>
                <w:tcPr>
                  <w:tcW w:w="2520" w:type="pct"/>
                  <w:tcBorders>
                    <w:top w:val="single" w:color="auto" w:sz="4" w:space="0"/>
                    <w:left w:val="single" w:color="auto" w:sz="4" w:space="0"/>
                    <w:bottom w:val="single" w:color="auto" w:sz="4" w:space="0"/>
                    <w:right w:val="single" w:color="auto" w:sz="4" w:space="0"/>
                  </w:tcBorders>
                  <w:vAlign w:val="center"/>
                </w:tcPr>
                <w:p w14:paraId="30DC231B">
                  <w:pPr>
                    <w:keepNext w:val="0"/>
                    <w:keepLines w:val="0"/>
                    <w:suppressLineNumbers w:val="0"/>
                    <w:autoSpaceDE w:val="0"/>
                    <w:autoSpaceDN w:val="0"/>
                    <w:spacing w:before="0" w:beforeAutospacing="0" w:after="0" w:afterAutospacing="0" w:line="276" w:lineRule="auto"/>
                    <w:ind w:left="0" w:right="0"/>
                    <w:rPr>
                      <w:rFonts w:hint="default"/>
                      <w:kern w:val="0"/>
                      <w:sz w:val="21"/>
                      <w:szCs w:val="21"/>
                      <w:highlight w:val="none"/>
                    </w:rPr>
                  </w:pPr>
                  <w:r>
                    <w:rPr>
                      <w:rFonts w:hint="eastAsia"/>
                      <w:kern w:val="0"/>
                      <w:sz w:val="21"/>
                      <w:szCs w:val="21"/>
                      <w:highlight w:val="none"/>
                    </w:rPr>
                    <w:t>排放废气含有毒害污染物、二噁英、苯并</w:t>
                  </w:r>
                  <w:r>
                    <w:rPr>
                      <w:rFonts w:hint="default" w:ascii="宋体" w:hAnsi="宋体" w:cs="宋体"/>
                      <w:kern w:val="0"/>
                      <w:sz w:val="21"/>
                      <w:szCs w:val="21"/>
                      <w:highlight w:val="none"/>
                    </w:rPr>
                    <w:t>[a]</w:t>
                  </w:r>
                  <w:r>
                    <w:rPr>
                      <w:rFonts w:hint="eastAsia"/>
                      <w:kern w:val="0"/>
                      <w:sz w:val="21"/>
                      <w:szCs w:val="21"/>
                      <w:highlight w:val="none"/>
                    </w:rPr>
                    <w:t>芘、氰化物、氯气且厂界外</w:t>
                  </w:r>
                  <w:r>
                    <w:rPr>
                      <w:rFonts w:hint="default"/>
                      <w:kern w:val="0"/>
                      <w:sz w:val="21"/>
                      <w:szCs w:val="21"/>
                      <w:highlight w:val="none"/>
                    </w:rPr>
                    <w:t>500</w:t>
                  </w:r>
                  <w:r>
                    <w:rPr>
                      <w:rFonts w:hint="eastAsia"/>
                      <w:kern w:val="0"/>
                      <w:sz w:val="21"/>
                      <w:szCs w:val="21"/>
                      <w:highlight w:val="none"/>
                    </w:rPr>
                    <w:t>米范围内有环境空气保护目标的建设项目</w:t>
                  </w:r>
                </w:p>
              </w:tc>
              <w:tc>
                <w:tcPr>
                  <w:tcW w:w="1884" w:type="pct"/>
                  <w:tcBorders>
                    <w:top w:val="single" w:color="auto" w:sz="4" w:space="0"/>
                    <w:left w:val="single" w:color="auto" w:sz="4" w:space="0"/>
                    <w:bottom w:val="single" w:color="auto" w:sz="4" w:space="0"/>
                    <w:right w:val="single" w:color="auto" w:sz="4" w:space="0"/>
                  </w:tcBorders>
                  <w:vAlign w:val="center"/>
                </w:tcPr>
                <w:p w14:paraId="1B7AC0D4">
                  <w:pPr>
                    <w:keepNext w:val="0"/>
                    <w:keepLines w:val="0"/>
                    <w:suppressLineNumbers w:val="0"/>
                    <w:autoSpaceDE w:val="0"/>
                    <w:autoSpaceDN w:val="0"/>
                    <w:spacing w:before="0" w:beforeAutospacing="0" w:after="0" w:afterAutospacing="0" w:line="276" w:lineRule="auto"/>
                    <w:ind w:left="0" w:right="0"/>
                    <w:rPr>
                      <w:rFonts w:hint="default"/>
                      <w:kern w:val="0"/>
                      <w:sz w:val="21"/>
                      <w:szCs w:val="21"/>
                      <w:highlight w:val="none"/>
                    </w:rPr>
                  </w:pPr>
                  <w:r>
                    <w:rPr>
                      <w:rFonts w:hint="eastAsia"/>
                      <w:b/>
                      <w:bCs/>
                      <w:kern w:val="0"/>
                      <w:sz w:val="21"/>
                      <w:szCs w:val="21"/>
                      <w:highlight w:val="none"/>
                    </w:rPr>
                    <w:t>项目</w:t>
                  </w:r>
                  <w:r>
                    <w:rPr>
                      <w:rFonts w:hint="eastAsia"/>
                      <w:b/>
                      <w:bCs/>
                      <w:kern w:val="0"/>
                      <w:sz w:val="21"/>
                      <w:szCs w:val="21"/>
                      <w:highlight w:val="none"/>
                      <w:lang w:val="en-US" w:eastAsia="zh-CN"/>
                    </w:rPr>
                    <w:t>排放</w:t>
                  </w:r>
                  <w:r>
                    <w:rPr>
                      <w:rFonts w:hint="eastAsia"/>
                      <w:b/>
                      <w:bCs/>
                      <w:kern w:val="0"/>
                      <w:sz w:val="21"/>
                      <w:szCs w:val="21"/>
                      <w:highlight w:val="none"/>
                    </w:rPr>
                    <w:t>废气涉及氯气，</w:t>
                  </w:r>
                  <w:r>
                    <w:rPr>
                      <w:rFonts w:hint="eastAsia"/>
                      <w:b/>
                      <w:bCs/>
                      <w:kern w:val="0"/>
                      <w:sz w:val="21"/>
                      <w:szCs w:val="21"/>
                      <w:highlight w:val="none"/>
                      <w:lang w:val="en-US" w:eastAsia="zh-CN"/>
                    </w:rPr>
                    <w:t>甲醛等</w:t>
                  </w:r>
                  <w:r>
                    <w:rPr>
                      <w:rFonts w:hint="eastAsia"/>
                      <w:b/>
                      <w:bCs/>
                      <w:kern w:val="0"/>
                      <w:sz w:val="21"/>
                      <w:szCs w:val="21"/>
                      <w:highlight w:val="none"/>
                    </w:rPr>
                    <w:t>有毒</w:t>
                  </w:r>
                  <w:r>
                    <w:rPr>
                      <w:rFonts w:hint="eastAsia"/>
                      <w:b/>
                      <w:bCs/>
                      <w:kern w:val="0"/>
                      <w:sz w:val="21"/>
                      <w:szCs w:val="21"/>
                      <w:highlight w:val="none"/>
                      <w:lang w:val="en-US" w:eastAsia="zh-CN"/>
                    </w:rPr>
                    <w:t>有</w:t>
                  </w:r>
                  <w:r>
                    <w:rPr>
                      <w:rFonts w:hint="eastAsia"/>
                      <w:b/>
                      <w:bCs/>
                      <w:kern w:val="0"/>
                      <w:sz w:val="21"/>
                      <w:szCs w:val="21"/>
                      <w:highlight w:val="none"/>
                    </w:rPr>
                    <w:t>害污染物且厂界外500米范围内有环境空气保护目标，设专题评价。</w:t>
                  </w:r>
                </w:p>
              </w:tc>
            </w:tr>
            <w:tr w14:paraId="3F2B946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0" w:hRule="atLeast"/>
                <w:jc w:val="center"/>
              </w:trPr>
              <w:tc>
                <w:tcPr>
                  <w:tcW w:w="595" w:type="pct"/>
                  <w:tcBorders>
                    <w:top w:val="single" w:color="auto" w:sz="4" w:space="0"/>
                    <w:left w:val="single" w:color="auto" w:sz="4" w:space="0"/>
                    <w:bottom w:val="single" w:color="auto" w:sz="4" w:space="0"/>
                    <w:right w:val="single" w:color="auto" w:sz="4" w:space="0"/>
                  </w:tcBorders>
                  <w:vAlign w:val="center"/>
                </w:tcPr>
                <w:p w14:paraId="0260A539">
                  <w:pPr>
                    <w:keepNext w:val="0"/>
                    <w:keepLines w:val="0"/>
                    <w:suppressLineNumbers w:val="0"/>
                    <w:autoSpaceDE w:val="0"/>
                    <w:autoSpaceDN w:val="0"/>
                    <w:spacing w:before="0" w:beforeAutospacing="0" w:after="0" w:afterAutospacing="0" w:line="276" w:lineRule="auto"/>
                    <w:ind w:left="0" w:right="0"/>
                    <w:jc w:val="center"/>
                    <w:rPr>
                      <w:rFonts w:hint="default"/>
                      <w:kern w:val="0"/>
                      <w:sz w:val="21"/>
                      <w:szCs w:val="21"/>
                      <w:highlight w:val="none"/>
                    </w:rPr>
                  </w:pPr>
                  <w:r>
                    <w:rPr>
                      <w:rFonts w:hint="eastAsia"/>
                      <w:kern w:val="0"/>
                      <w:sz w:val="21"/>
                      <w:szCs w:val="21"/>
                      <w:highlight w:val="none"/>
                    </w:rPr>
                    <w:t>地表水</w:t>
                  </w:r>
                </w:p>
              </w:tc>
              <w:tc>
                <w:tcPr>
                  <w:tcW w:w="2520" w:type="pct"/>
                  <w:tcBorders>
                    <w:top w:val="single" w:color="auto" w:sz="4" w:space="0"/>
                    <w:left w:val="single" w:color="auto" w:sz="4" w:space="0"/>
                    <w:bottom w:val="single" w:color="auto" w:sz="4" w:space="0"/>
                    <w:right w:val="single" w:color="auto" w:sz="4" w:space="0"/>
                  </w:tcBorders>
                  <w:vAlign w:val="center"/>
                </w:tcPr>
                <w:p w14:paraId="7C87AFD9">
                  <w:pPr>
                    <w:keepNext w:val="0"/>
                    <w:keepLines w:val="0"/>
                    <w:suppressLineNumbers w:val="0"/>
                    <w:autoSpaceDE w:val="0"/>
                    <w:autoSpaceDN w:val="0"/>
                    <w:spacing w:before="0" w:beforeAutospacing="0" w:after="0" w:afterAutospacing="0" w:line="276" w:lineRule="auto"/>
                    <w:ind w:left="0" w:right="0"/>
                    <w:rPr>
                      <w:rFonts w:hint="default"/>
                      <w:sz w:val="21"/>
                      <w:szCs w:val="21"/>
                      <w:highlight w:val="none"/>
                    </w:rPr>
                  </w:pPr>
                  <w:r>
                    <w:rPr>
                      <w:rFonts w:hint="eastAsia"/>
                      <w:sz w:val="21"/>
                      <w:szCs w:val="21"/>
                      <w:highlight w:val="none"/>
                    </w:rPr>
                    <w:t>新增工业废水直排建设项目（槽罐车外送污水处理厂的除外）；</w:t>
                  </w:r>
                  <w:r>
                    <w:rPr>
                      <w:rFonts w:hint="eastAsia"/>
                      <w:kern w:val="0"/>
                      <w:sz w:val="21"/>
                      <w:szCs w:val="21"/>
                      <w:highlight w:val="none"/>
                    </w:rPr>
                    <w:t>新增废水直排的污水集中处理厂</w:t>
                  </w:r>
                </w:p>
              </w:tc>
              <w:tc>
                <w:tcPr>
                  <w:tcW w:w="1884" w:type="pct"/>
                  <w:tcBorders>
                    <w:top w:val="single" w:color="auto" w:sz="4" w:space="0"/>
                    <w:left w:val="single" w:color="auto" w:sz="4" w:space="0"/>
                    <w:bottom w:val="single" w:color="auto" w:sz="4" w:space="0"/>
                    <w:right w:val="single" w:color="auto" w:sz="4" w:space="0"/>
                  </w:tcBorders>
                  <w:vAlign w:val="center"/>
                </w:tcPr>
                <w:p w14:paraId="7138351F">
                  <w:pPr>
                    <w:keepNext w:val="0"/>
                    <w:keepLines w:val="0"/>
                    <w:suppressLineNumbers w:val="0"/>
                    <w:autoSpaceDE w:val="0"/>
                    <w:autoSpaceDN w:val="0"/>
                    <w:spacing w:before="0" w:beforeAutospacing="0" w:after="0" w:afterAutospacing="0" w:line="276" w:lineRule="auto"/>
                    <w:ind w:left="0" w:right="0"/>
                    <w:rPr>
                      <w:rFonts w:hint="default"/>
                      <w:kern w:val="0"/>
                      <w:sz w:val="21"/>
                      <w:szCs w:val="21"/>
                      <w:highlight w:val="none"/>
                    </w:rPr>
                  </w:pPr>
                  <w:r>
                    <w:rPr>
                      <w:rFonts w:hint="eastAsia"/>
                      <w:kern w:val="0"/>
                      <w:sz w:val="21"/>
                      <w:szCs w:val="21"/>
                      <w:highlight w:val="none"/>
                    </w:rPr>
                    <w:t>项目新增废水纳入市政污水管网</w:t>
                  </w:r>
                </w:p>
              </w:tc>
            </w:tr>
            <w:tr w14:paraId="03D8766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0" w:hRule="atLeast"/>
                <w:jc w:val="center"/>
              </w:trPr>
              <w:tc>
                <w:tcPr>
                  <w:tcW w:w="595" w:type="pct"/>
                  <w:tcBorders>
                    <w:top w:val="single" w:color="auto" w:sz="4" w:space="0"/>
                    <w:left w:val="single" w:color="auto" w:sz="4" w:space="0"/>
                    <w:bottom w:val="single" w:color="auto" w:sz="4" w:space="0"/>
                    <w:right w:val="single" w:color="auto" w:sz="4" w:space="0"/>
                  </w:tcBorders>
                  <w:vAlign w:val="center"/>
                </w:tcPr>
                <w:p w14:paraId="54746500">
                  <w:pPr>
                    <w:keepNext w:val="0"/>
                    <w:keepLines w:val="0"/>
                    <w:suppressLineNumbers w:val="0"/>
                    <w:autoSpaceDE w:val="0"/>
                    <w:autoSpaceDN w:val="0"/>
                    <w:spacing w:before="0" w:beforeAutospacing="0" w:after="0" w:afterAutospacing="0" w:line="276" w:lineRule="auto"/>
                    <w:ind w:left="0" w:right="0"/>
                    <w:jc w:val="center"/>
                    <w:rPr>
                      <w:rFonts w:hint="default"/>
                      <w:kern w:val="0"/>
                      <w:sz w:val="21"/>
                      <w:szCs w:val="21"/>
                      <w:highlight w:val="none"/>
                    </w:rPr>
                  </w:pPr>
                  <w:r>
                    <w:rPr>
                      <w:rFonts w:hint="eastAsia"/>
                      <w:kern w:val="0"/>
                      <w:sz w:val="21"/>
                      <w:szCs w:val="21"/>
                      <w:highlight w:val="none"/>
                    </w:rPr>
                    <w:t>环境风险</w:t>
                  </w:r>
                </w:p>
              </w:tc>
              <w:tc>
                <w:tcPr>
                  <w:tcW w:w="2520" w:type="pct"/>
                  <w:tcBorders>
                    <w:top w:val="single" w:color="auto" w:sz="4" w:space="0"/>
                    <w:left w:val="single" w:color="auto" w:sz="4" w:space="0"/>
                    <w:bottom w:val="single" w:color="auto" w:sz="4" w:space="0"/>
                    <w:right w:val="single" w:color="auto" w:sz="4" w:space="0"/>
                  </w:tcBorders>
                  <w:vAlign w:val="center"/>
                </w:tcPr>
                <w:p w14:paraId="24D3D887">
                  <w:pPr>
                    <w:keepNext w:val="0"/>
                    <w:keepLines w:val="0"/>
                    <w:suppressLineNumbers w:val="0"/>
                    <w:autoSpaceDE w:val="0"/>
                    <w:autoSpaceDN w:val="0"/>
                    <w:spacing w:before="0" w:beforeAutospacing="0" w:after="0" w:afterAutospacing="0" w:line="276" w:lineRule="auto"/>
                    <w:ind w:left="0" w:right="0"/>
                    <w:rPr>
                      <w:rFonts w:hint="default"/>
                      <w:kern w:val="0"/>
                      <w:sz w:val="21"/>
                      <w:szCs w:val="21"/>
                      <w:highlight w:val="none"/>
                    </w:rPr>
                  </w:pPr>
                  <w:r>
                    <w:rPr>
                      <w:rFonts w:hint="eastAsia"/>
                      <w:kern w:val="0"/>
                      <w:sz w:val="21"/>
                      <w:szCs w:val="21"/>
                      <w:highlight w:val="none"/>
                    </w:rPr>
                    <w:t>有毒有害和易燃易爆炸危险物质储存量超过临界量的建设项目</w:t>
                  </w:r>
                </w:p>
              </w:tc>
              <w:tc>
                <w:tcPr>
                  <w:tcW w:w="1884" w:type="pct"/>
                  <w:tcBorders>
                    <w:top w:val="single" w:color="auto" w:sz="4" w:space="0"/>
                    <w:left w:val="single" w:color="auto" w:sz="4" w:space="0"/>
                    <w:bottom w:val="single" w:color="auto" w:sz="4" w:space="0"/>
                    <w:right w:val="single" w:color="auto" w:sz="4" w:space="0"/>
                  </w:tcBorders>
                  <w:vAlign w:val="center"/>
                </w:tcPr>
                <w:p w14:paraId="4FCF097D">
                  <w:pPr>
                    <w:keepNext w:val="0"/>
                    <w:keepLines w:val="0"/>
                    <w:suppressLineNumbers w:val="0"/>
                    <w:autoSpaceDE w:val="0"/>
                    <w:autoSpaceDN w:val="0"/>
                    <w:spacing w:before="0" w:beforeAutospacing="0" w:after="0" w:afterAutospacing="0" w:line="276" w:lineRule="auto"/>
                    <w:ind w:left="0" w:right="0"/>
                    <w:rPr>
                      <w:rFonts w:hint="default"/>
                      <w:kern w:val="0"/>
                      <w:sz w:val="21"/>
                      <w:szCs w:val="21"/>
                      <w:highlight w:val="none"/>
                    </w:rPr>
                  </w:pPr>
                  <w:r>
                    <w:rPr>
                      <w:rFonts w:hint="eastAsia"/>
                      <w:kern w:val="0"/>
                      <w:sz w:val="21"/>
                      <w:szCs w:val="21"/>
                      <w:highlight w:val="none"/>
                    </w:rPr>
                    <w:t>项目所涉及危险物质储存量未超过临界量</w:t>
                  </w:r>
                </w:p>
              </w:tc>
            </w:tr>
            <w:tr w14:paraId="6C43882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0" w:hRule="atLeast"/>
                <w:jc w:val="center"/>
              </w:trPr>
              <w:tc>
                <w:tcPr>
                  <w:tcW w:w="595" w:type="pct"/>
                  <w:tcBorders>
                    <w:top w:val="single" w:color="auto" w:sz="4" w:space="0"/>
                    <w:left w:val="single" w:color="auto" w:sz="4" w:space="0"/>
                    <w:bottom w:val="single" w:color="auto" w:sz="4" w:space="0"/>
                    <w:right w:val="single" w:color="auto" w:sz="4" w:space="0"/>
                  </w:tcBorders>
                  <w:vAlign w:val="center"/>
                </w:tcPr>
                <w:p w14:paraId="4D6C2EF0">
                  <w:pPr>
                    <w:keepNext w:val="0"/>
                    <w:keepLines w:val="0"/>
                    <w:suppressLineNumbers w:val="0"/>
                    <w:autoSpaceDE w:val="0"/>
                    <w:autoSpaceDN w:val="0"/>
                    <w:spacing w:before="0" w:beforeAutospacing="0" w:after="0" w:afterAutospacing="0" w:line="276" w:lineRule="auto"/>
                    <w:ind w:left="0" w:right="0"/>
                    <w:jc w:val="center"/>
                    <w:rPr>
                      <w:rFonts w:hint="default"/>
                      <w:kern w:val="0"/>
                      <w:sz w:val="21"/>
                      <w:szCs w:val="21"/>
                      <w:highlight w:val="none"/>
                    </w:rPr>
                  </w:pPr>
                  <w:r>
                    <w:rPr>
                      <w:rFonts w:hint="eastAsia"/>
                      <w:kern w:val="0"/>
                      <w:sz w:val="21"/>
                      <w:szCs w:val="21"/>
                      <w:highlight w:val="none"/>
                    </w:rPr>
                    <w:t>生态</w:t>
                  </w:r>
                </w:p>
              </w:tc>
              <w:tc>
                <w:tcPr>
                  <w:tcW w:w="2520" w:type="pct"/>
                  <w:tcBorders>
                    <w:top w:val="single" w:color="auto" w:sz="4" w:space="0"/>
                    <w:left w:val="single" w:color="auto" w:sz="4" w:space="0"/>
                    <w:bottom w:val="single" w:color="auto" w:sz="4" w:space="0"/>
                    <w:right w:val="single" w:color="auto" w:sz="4" w:space="0"/>
                  </w:tcBorders>
                  <w:vAlign w:val="center"/>
                </w:tcPr>
                <w:p w14:paraId="3DA57F86">
                  <w:pPr>
                    <w:keepNext w:val="0"/>
                    <w:keepLines w:val="0"/>
                    <w:suppressLineNumbers w:val="0"/>
                    <w:autoSpaceDE w:val="0"/>
                    <w:autoSpaceDN w:val="0"/>
                    <w:spacing w:before="0" w:beforeAutospacing="0" w:after="0" w:afterAutospacing="0" w:line="276" w:lineRule="auto"/>
                    <w:ind w:left="0" w:right="0"/>
                    <w:rPr>
                      <w:rFonts w:hint="default"/>
                      <w:kern w:val="0"/>
                      <w:sz w:val="21"/>
                      <w:szCs w:val="21"/>
                      <w:highlight w:val="none"/>
                    </w:rPr>
                  </w:pPr>
                  <w:r>
                    <w:rPr>
                      <w:rFonts w:hint="eastAsia"/>
                      <w:kern w:val="0"/>
                      <w:sz w:val="21"/>
                      <w:szCs w:val="21"/>
                      <w:highlight w:val="none"/>
                    </w:rPr>
                    <w:t>取水口下游</w:t>
                  </w:r>
                  <w:r>
                    <w:rPr>
                      <w:rFonts w:hint="default"/>
                      <w:kern w:val="0"/>
                      <w:sz w:val="21"/>
                      <w:szCs w:val="21"/>
                      <w:highlight w:val="none"/>
                    </w:rPr>
                    <w:t>500</w:t>
                  </w:r>
                  <w:r>
                    <w:rPr>
                      <w:rFonts w:hint="eastAsia"/>
                      <w:kern w:val="0"/>
                      <w:sz w:val="21"/>
                      <w:szCs w:val="21"/>
                      <w:highlight w:val="none"/>
                    </w:rPr>
                    <w:t>米范围内有重要水生生物的自然产卵场、索饵场、越冬场和洄游通道的新增河道取水的污染类建设项目</w:t>
                  </w:r>
                </w:p>
              </w:tc>
              <w:tc>
                <w:tcPr>
                  <w:tcW w:w="1884" w:type="pct"/>
                  <w:tcBorders>
                    <w:top w:val="single" w:color="auto" w:sz="4" w:space="0"/>
                    <w:left w:val="single" w:color="auto" w:sz="4" w:space="0"/>
                    <w:bottom w:val="single" w:color="auto" w:sz="4" w:space="0"/>
                    <w:right w:val="single" w:color="auto" w:sz="4" w:space="0"/>
                  </w:tcBorders>
                  <w:vAlign w:val="center"/>
                </w:tcPr>
                <w:p w14:paraId="0394DDCA">
                  <w:pPr>
                    <w:keepNext w:val="0"/>
                    <w:keepLines w:val="0"/>
                    <w:suppressLineNumbers w:val="0"/>
                    <w:autoSpaceDE w:val="0"/>
                    <w:autoSpaceDN w:val="0"/>
                    <w:spacing w:before="0" w:beforeAutospacing="0" w:after="0" w:afterAutospacing="0" w:line="276" w:lineRule="auto"/>
                    <w:ind w:left="0" w:right="0"/>
                    <w:rPr>
                      <w:rFonts w:hint="default"/>
                      <w:kern w:val="0"/>
                      <w:sz w:val="21"/>
                      <w:szCs w:val="21"/>
                      <w:highlight w:val="none"/>
                    </w:rPr>
                  </w:pPr>
                  <w:r>
                    <w:rPr>
                      <w:rFonts w:hint="eastAsia"/>
                      <w:kern w:val="0"/>
                      <w:sz w:val="21"/>
                      <w:szCs w:val="21"/>
                      <w:highlight w:val="none"/>
                    </w:rPr>
                    <w:t>项目不涉及河道取水</w:t>
                  </w:r>
                </w:p>
              </w:tc>
            </w:tr>
            <w:tr w14:paraId="5D20467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0" w:hRule="atLeast"/>
                <w:jc w:val="center"/>
              </w:trPr>
              <w:tc>
                <w:tcPr>
                  <w:tcW w:w="595" w:type="pct"/>
                  <w:tcBorders>
                    <w:top w:val="single" w:color="auto" w:sz="4" w:space="0"/>
                    <w:left w:val="single" w:color="auto" w:sz="4" w:space="0"/>
                    <w:bottom w:val="single" w:color="auto" w:sz="4" w:space="0"/>
                    <w:right w:val="single" w:color="auto" w:sz="4" w:space="0"/>
                  </w:tcBorders>
                  <w:vAlign w:val="center"/>
                </w:tcPr>
                <w:p w14:paraId="540DC612">
                  <w:pPr>
                    <w:keepNext w:val="0"/>
                    <w:keepLines w:val="0"/>
                    <w:suppressLineNumbers w:val="0"/>
                    <w:autoSpaceDE w:val="0"/>
                    <w:autoSpaceDN w:val="0"/>
                    <w:spacing w:before="0" w:beforeAutospacing="0" w:after="0" w:afterAutospacing="0" w:line="276" w:lineRule="auto"/>
                    <w:ind w:left="0" w:right="0"/>
                    <w:jc w:val="center"/>
                    <w:rPr>
                      <w:rFonts w:hint="default"/>
                      <w:kern w:val="0"/>
                      <w:sz w:val="21"/>
                      <w:szCs w:val="21"/>
                      <w:highlight w:val="none"/>
                    </w:rPr>
                  </w:pPr>
                  <w:r>
                    <w:rPr>
                      <w:rFonts w:hint="eastAsia"/>
                      <w:kern w:val="0"/>
                      <w:sz w:val="21"/>
                      <w:szCs w:val="21"/>
                      <w:highlight w:val="none"/>
                    </w:rPr>
                    <w:t>海洋</w:t>
                  </w:r>
                </w:p>
              </w:tc>
              <w:tc>
                <w:tcPr>
                  <w:tcW w:w="2520" w:type="pct"/>
                  <w:tcBorders>
                    <w:top w:val="single" w:color="auto" w:sz="4" w:space="0"/>
                    <w:left w:val="single" w:color="auto" w:sz="4" w:space="0"/>
                    <w:bottom w:val="single" w:color="auto" w:sz="4" w:space="0"/>
                    <w:right w:val="single" w:color="auto" w:sz="4" w:space="0"/>
                  </w:tcBorders>
                  <w:vAlign w:val="center"/>
                </w:tcPr>
                <w:p w14:paraId="48EFE31B">
                  <w:pPr>
                    <w:keepNext w:val="0"/>
                    <w:keepLines w:val="0"/>
                    <w:suppressLineNumbers w:val="0"/>
                    <w:autoSpaceDE w:val="0"/>
                    <w:autoSpaceDN w:val="0"/>
                    <w:spacing w:before="0" w:beforeAutospacing="0" w:after="0" w:afterAutospacing="0" w:line="276" w:lineRule="auto"/>
                    <w:ind w:left="0" w:right="0"/>
                    <w:rPr>
                      <w:rFonts w:hint="default"/>
                      <w:kern w:val="0"/>
                      <w:sz w:val="21"/>
                      <w:szCs w:val="21"/>
                      <w:highlight w:val="none"/>
                    </w:rPr>
                  </w:pPr>
                  <w:r>
                    <w:rPr>
                      <w:rFonts w:hint="eastAsia"/>
                      <w:kern w:val="0"/>
                      <w:sz w:val="21"/>
                      <w:szCs w:val="21"/>
                      <w:highlight w:val="none"/>
                    </w:rPr>
                    <w:t>直接向海排放污染物的海洋工程建设项目</w:t>
                  </w:r>
                </w:p>
              </w:tc>
              <w:tc>
                <w:tcPr>
                  <w:tcW w:w="1884" w:type="pct"/>
                  <w:tcBorders>
                    <w:top w:val="single" w:color="auto" w:sz="4" w:space="0"/>
                    <w:left w:val="single" w:color="auto" w:sz="4" w:space="0"/>
                    <w:bottom w:val="single" w:color="auto" w:sz="4" w:space="0"/>
                    <w:right w:val="single" w:color="auto" w:sz="4" w:space="0"/>
                  </w:tcBorders>
                  <w:vAlign w:val="center"/>
                </w:tcPr>
                <w:p w14:paraId="5530AE6C">
                  <w:pPr>
                    <w:keepNext w:val="0"/>
                    <w:keepLines w:val="0"/>
                    <w:suppressLineNumbers w:val="0"/>
                    <w:autoSpaceDE w:val="0"/>
                    <w:autoSpaceDN w:val="0"/>
                    <w:spacing w:before="0" w:beforeAutospacing="0" w:after="0" w:afterAutospacing="0" w:line="276" w:lineRule="auto"/>
                    <w:ind w:left="0" w:right="0"/>
                    <w:rPr>
                      <w:rFonts w:hint="default"/>
                      <w:kern w:val="0"/>
                      <w:sz w:val="21"/>
                      <w:szCs w:val="21"/>
                      <w:highlight w:val="none"/>
                    </w:rPr>
                  </w:pPr>
                  <w:r>
                    <w:rPr>
                      <w:rFonts w:hint="eastAsia"/>
                      <w:kern w:val="0"/>
                      <w:sz w:val="21"/>
                      <w:szCs w:val="21"/>
                      <w:highlight w:val="none"/>
                    </w:rPr>
                    <w:t>项目不属于海洋工程建设项目</w:t>
                  </w:r>
                </w:p>
              </w:tc>
            </w:tr>
          </w:tbl>
          <w:p w14:paraId="0F98EB3E">
            <w:pPr>
              <w:keepNext w:val="0"/>
              <w:keepLines w:val="0"/>
              <w:suppressLineNumbers w:val="0"/>
              <w:autoSpaceDE w:val="0"/>
              <w:autoSpaceDN w:val="0"/>
              <w:adjustRightInd w:val="0"/>
              <w:snapToGrid w:val="0"/>
              <w:spacing w:before="0" w:beforeAutospacing="0" w:after="0" w:afterAutospacing="0" w:line="276" w:lineRule="auto"/>
              <w:ind w:left="0" w:right="0"/>
              <w:jc w:val="center"/>
              <w:rPr>
                <w:rFonts w:hint="default"/>
                <w:kern w:val="0"/>
                <w:sz w:val="21"/>
                <w:szCs w:val="21"/>
                <w:highlight w:val="none"/>
              </w:rPr>
            </w:pPr>
          </w:p>
        </w:tc>
      </w:tr>
      <w:tr w14:paraId="18B1CCBE">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161" w:hRule="atLeast"/>
          <w:jc w:val="center"/>
        </w:trPr>
        <w:tc>
          <w:tcPr>
            <w:tcW w:w="1113" w:type="dxa"/>
            <w:tcMar>
              <w:top w:w="57" w:type="dxa"/>
              <w:left w:w="57" w:type="dxa"/>
              <w:bottom w:w="0" w:type="dxa"/>
              <w:right w:w="57" w:type="dxa"/>
            </w:tcMar>
            <w:vAlign w:val="center"/>
          </w:tcPr>
          <w:p w14:paraId="7A55A152">
            <w:pPr>
              <w:keepNext w:val="0"/>
              <w:keepLines w:val="0"/>
              <w:suppressLineNumbers w:val="0"/>
              <w:autoSpaceDE w:val="0"/>
              <w:autoSpaceDN w:val="0"/>
              <w:adjustRightInd w:val="0"/>
              <w:snapToGrid w:val="0"/>
              <w:spacing w:before="0" w:beforeAutospacing="0" w:after="0" w:afterAutospacing="0" w:line="276" w:lineRule="auto"/>
              <w:ind w:left="0" w:right="0"/>
              <w:jc w:val="center"/>
              <w:rPr>
                <w:rFonts w:hint="default"/>
                <w:kern w:val="0"/>
                <w:sz w:val="21"/>
                <w:szCs w:val="21"/>
                <w:highlight w:val="none"/>
              </w:rPr>
            </w:pPr>
            <w:r>
              <w:rPr>
                <w:rFonts w:hint="eastAsia" w:hAnsi="宋体"/>
                <w:sz w:val="21"/>
                <w:szCs w:val="21"/>
                <w:highlight w:val="none"/>
              </w:rPr>
              <w:t>规划情况</w:t>
            </w:r>
          </w:p>
        </w:tc>
        <w:tc>
          <w:tcPr>
            <w:tcW w:w="7757" w:type="dxa"/>
            <w:gridSpan w:val="4"/>
            <w:tcMar>
              <w:top w:w="57" w:type="dxa"/>
              <w:left w:w="57" w:type="dxa"/>
              <w:bottom w:w="0" w:type="dxa"/>
              <w:right w:w="57" w:type="dxa"/>
            </w:tcMar>
            <w:vAlign w:val="center"/>
          </w:tcPr>
          <w:p w14:paraId="3840E837">
            <w:pPr>
              <w:keepNext w:val="0"/>
              <w:keepLines w:val="0"/>
              <w:suppressLineNumbers w:val="0"/>
              <w:adjustRightInd w:val="0"/>
              <w:snapToGrid w:val="0"/>
              <w:spacing w:before="0" w:beforeAutospacing="0" w:after="0" w:afterAutospacing="0" w:line="360" w:lineRule="auto"/>
              <w:ind w:left="0" w:right="0"/>
              <w:rPr>
                <w:rFonts w:hint="eastAsia" w:ascii="Times New Roman" w:hAnsi="Times New Roman" w:cs="Times New Roman"/>
                <w:color w:val="auto"/>
                <w:sz w:val="21"/>
                <w:szCs w:val="21"/>
                <w:highlight w:val="none"/>
              </w:rPr>
            </w:pPr>
            <w:r>
              <w:rPr>
                <w:rFonts w:hint="eastAsia" w:ascii="Times New Roman" w:hAnsi="Times New Roman" w:cs="Times New Roman"/>
                <w:color w:val="auto"/>
                <w:sz w:val="21"/>
                <w:szCs w:val="21"/>
                <w:highlight w:val="none"/>
              </w:rPr>
              <w:t>规划名称：</w:t>
            </w:r>
            <w:bookmarkStart w:id="6" w:name="_Toc79994207"/>
            <w:r>
              <w:rPr>
                <w:rFonts w:hint="eastAsia" w:ascii="Times New Roman" w:hAnsi="Times New Roman" w:cs="Times New Roman"/>
                <w:color w:val="auto"/>
                <w:sz w:val="21"/>
                <w:szCs w:val="21"/>
                <w:highlight w:val="none"/>
              </w:rPr>
              <w:t>《衢州市高铁新城控制性详细规划》</w:t>
            </w:r>
            <w:bookmarkEnd w:id="6"/>
          </w:p>
          <w:p w14:paraId="4994D38C">
            <w:pPr>
              <w:keepNext w:val="0"/>
              <w:keepLines w:val="0"/>
              <w:suppressLineNumbers w:val="0"/>
              <w:adjustRightInd w:val="0"/>
              <w:snapToGrid w:val="0"/>
              <w:spacing w:before="0" w:beforeAutospacing="0" w:after="0" w:afterAutospacing="0" w:line="360" w:lineRule="auto"/>
              <w:ind w:left="0" w:right="0"/>
              <w:rPr>
                <w:rFonts w:hint="default"/>
                <w:sz w:val="21"/>
                <w:szCs w:val="21"/>
                <w:highlight w:val="none"/>
              </w:rPr>
            </w:pPr>
            <w:r>
              <w:rPr>
                <w:rFonts w:hint="eastAsia" w:ascii="Times New Roman" w:hAnsi="Times New Roman" w:cs="Times New Roman"/>
                <w:color w:val="auto"/>
                <w:sz w:val="21"/>
                <w:szCs w:val="21"/>
                <w:highlight w:val="none"/>
              </w:rPr>
              <w:t>审批机关：衢州市人民政府</w:t>
            </w:r>
          </w:p>
        </w:tc>
      </w:tr>
      <w:tr w14:paraId="2D824922">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268" w:hRule="atLeast"/>
          <w:jc w:val="center"/>
        </w:trPr>
        <w:tc>
          <w:tcPr>
            <w:tcW w:w="1113" w:type="dxa"/>
            <w:tcMar>
              <w:top w:w="57" w:type="dxa"/>
              <w:left w:w="57" w:type="dxa"/>
              <w:bottom w:w="0" w:type="dxa"/>
              <w:right w:w="57" w:type="dxa"/>
            </w:tcMar>
            <w:vAlign w:val="center"/>
          </w:tcPr>
          <w:p w14:paraId="6A746F2B">
            <w:pPr>
              <w:keepNext w:val="0"/>
              <w:keepLines w:val="0"/>
              <w:suppressLineNumbers w:val="0"/>
              <w:adjustRightInd w:val="0"/>
              <w:snapToGrid w:val="0"/>
              <w:spacing w:before="0" w:beforeAutospacing="0" w:after="0" w:afterAutospacing="0" w:line="276" w:lineRule="auto"/>
              <w:ind w:left="0" w:right="0"/>
              <w:jc w:val="center"/>
              <w:rPr>
                <w:rFonts w:hint="default" w:hAnsi="宋体"/>
                <w:sz w:val="21"/>
                <w:szCs w:val="21"/>
                <w:highlight w:val="none"/>
              </w:rPr>
            </w:pPr>
            <w:r>
              <w:rPr>
                <w:rFonts w:hint="eastAsia" w:hAnsi="宋体"/>
                <w:sz w:val="21"/>
                <w:szCs w:val="21"/>
                <w:highlight w:val="none"/>
              </w:rPr>
              <w:t>规划环境影响评价情况</w:t>
            </w:r>
          </w:p>
        </w:tc>
        <w:tc>
          <w:tcPr>
            <w:tcW w:w="7757" w:type="dxa"/>
            <w:gridSpan w:val="4"/>
            <w:tcMar>
              <w:top w:w="57" w:type="dxa"/>
              <w:left w:w="57" w:type="dxa"/>
              <w:bottom w:w="0" w:type="dxa"/>
              <w:right w:w="57" w:type="dxa"/>
            </w:tcMar>
            <w:vAlign w:val="center"/>
          </w:tcPr>
          <w:p w14:paraId="05E3B0DA">
            <w:pPr>
              <w:keepNext w:val="0"/>
              <w:keepLines w:val="0"/>
              <w:suppressLineNumbers w:val="0"/>
              <w:tabs>
                <w:tab w:val="left" w:pos="820"/>
              </w:tabs>
              <w:adjustRightInd w:val="0"/>
              <w:snapToGrid w:val="0"/>
              <w:spacing w:before="0" w:beforeAutospacing="0" w:after="0" w:afterAutospacing="0" w:line="360" w:lineRule="auto"/>
              <w:ind w:left="0" w:right="0"/>
              <w:rPr>
                <w:rFonts w:hint="default" w:eastAsia="宋体"/>
                <w:kern w:val="0"/>
                <w:sz w:val="21"/>
                <w:szCs w:val="21"/>
                <w:highlight w:val="none"/>
                <w:lang w:val="en-US" w:eastAsia="zh-CN"/>
              </w:rPr>
            </w:pPr>
            <w:r>
              <w:rPr>
                <w:rFonts w:hint="eastAsia"/>
                <w:kern w:val="0"/>
                <w:sz w:val="21"/>
                <w:szCs w:val="21"/>
                <w:highlight w:val="none"/>
                <w:lang w:val="en-US" w:eastAsia="zh-CN"/>
              </w:rPr>
              <w:t>无</w:t>
            </w:r>
          </w:p>
        </w:tc>
      </w:tr>
    </w:tbl>
    <w:p w14:paraId="56DD5312">
      <w:pPr>
        <w:rPr>
          <w:highlight w:val="none"/>
        </w:rPr>
        <w:sectPr>
          <w:footerReference r:id="rId5" w:type="default"/>
          <w:pgSz w:w="11906" w:h="16838"/>
          <w:pgMar w:top="1701" w:right="1531" w:bottom="1701" w:left="1531" w:header="851" w:footer="1077" w:gutter="0"/>
          <w:pgBorders>
            <w:top w:val="none" w:sz="0" w:space="0"/>
            <w:left w:val="none" w:sz="0" w:space="0"/>
            <w:bottom w:val="none" w:sz="0" w:space="0"/>
            <w:right w:val="none" w:sz="0" w:space="0"/>
          </w:pgBorders>
          <w:pgNumType w:fmt="decimal" w:start="1"/>
          <w:cols w:space="720" w:num="1"/>
          <w:docGrid w:linePitch="312" w:charSpace="0"/>
        </w:sectPr>
      </w:pPr>
    </w:p>
    <w:tbl>
      <w:tblPr>
        <w:tblStyle w:val="32"/>
        <w:tblW w:w="8958" w:type="dxa"/>
        <w:jc w:val="center"/>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Layout w:type="autofit"/>
        <w:tblCellMar>
          <w:top w:w="0" w:type="dxa"/>
          <w:left w:w="108" w:type="dxa"/>
          <w:bottom w:w="0" w:type="dxa"/>
          <w:right w:w="108" w:type="dxa"/>
        </w:tblCellMar>
      </w:tblPr>
      <w:tblGrid>
        <w:gridCol w:w="654"/>
        <w:gridCol w:w="8304"/>
      </w:tblGrid>
      <w:tr w14:paraId="624FBDCD">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1398" w:hRule="atLeast"/>
          <w:jc w:val="center"/>
        </w:trPr>
        <w:tc>
          <w:tcPr>
            <w:tcW w:w="654" w:type="dxa"/>
            <w:tcMar>
              <w:top w:w="57" w:type="dxa"/>
              <w:left w:w="57" w:type="dxa"/>
              <w:bottom w:w="0" w:type="dxa"/>
              <w:right w:w="57" w:type="dxa"/>
            </w:tcMar>
            <w:vAlign w:val="center"/>
          </w:tcPr>
          <w:p w14:paraId="070F3FAE">
            <w:pPr>
              <w:keepNext w:val="0"/>
              <w:keepLines w:val="0"/>
              <w:suppressLineNumbers w:val="0"/>
              <w:adjustRightInd w:val="0"/>
              <w:snapToGrid w:val="0"/>
              <w:spacing w:before="0" w:beforeAutospacing="0" w:after="0" w:afterAutospacing="0" w:line="360" w:lineRule="auto"/>
              <w:ind w:left="0" w:right="0"/>
              <w:jc w:val="center"/>
              <w:rPr>
                <w:rFonts w:hint="default"/>
                <w:highlight w:val="none"/>
              </w:rPr>
            </w:pPr>
          </w:p>
          <w:p w14:paraId="7B3CEF15">
            <w:pPr>
              <w:keepNext w:val="0"/>
              <w:keepLines w:val="0"/>
              <w:suppressLineNumbers w:val="0"/>
              <w:adjustRightInd w:val="0"/>
              <w:snapToGrid w:val="0"/>
              <w:spacing w:before="0" w:beforeAutospacing="0" w:after="0" w:afterAutospacing="0" w:line="360" w:lineRule="auto"/>
              <w:ind w:left="0" w:right="0"/>
              <w:jc w:val="center"/>
              <w:rPr>
                <w:rFonts w:hint="default"/>
                <w:highlight w:val="none"/>
              </w:rPr>
            </w:pPr>
          </w:p>
          <w:p w14:paraId="029F309F">
            <w:pPr>
              <w:keepNext w:val="0"/>
              <w:keepLines w:val="0"/>
              <w:suppressLineNumbers w:val="0"/>
              <w:adjustRightInd w:val="0"/>
              <w:snapToGrid w:val="0"/>
              <w:spacing w:before="0" w:beforeAutospacing="0" w:after="0" w:afterAutospacing="0" w:line="360" w:lineRule="auto"/>
              <w:ind w:left="0" w:right="0"/>
              <w:jc w:val="center"/>
              <w:rPr>
                <w:rFonts w:hint="default"/>
                <w:highlight w:val="none"/>
              </w:rPr>
            </w:pPr>
          </w:p>
          <w:p w14:paraId="58D5835C">
            <w:pPr>
              <w:keepNext w:val="0"/>
              <w:keepLines w:val="0"/>
              <w:suppressLineNumbers w:val="0"/>
              <w:adjustRightInd w:val="0"/>
              <w:snapToGrid w:val="0"/>
              <w:spacing w:before="0" w:beforeAutospacing="0" w:after="0" w:afterAutospacing="0" w:line="360" w:lineRule="auto"/>
              <w:ind w:left="0" w:right="0"/>
              <w:jc w:val="center"/>
              <w:rPr>
                <w:rFonts w:hint="default"/>
                <w:highlight w:val="none"/>
              </w:rPr>
            </w:pPr>
          </w:p>
          <w:p w14:paraId="45979420">
            <w:pPr>
              <w:keepNext w:val="0"/>
              <w:keepLines w:val="0"/>
              <w:suppressLineNumbers w:val="0"/>
              <w:adjustRightInd w:val="0"/>
              <w:snapToGrid w:val="0"/>
              <w:spacing w:before="0" w:beforeAutospacing="0" w:after="0" w:afterAutospacing="0" w:line="360" w:lineRule="auto"/>
              <w:ind w:left="0" w:right="0"/>
              <w:jc w:val="center"/>
              <w:rPr>
                <w:rFonts w:hint="default"/>
                <w:highlight w:val="none"/>
              </w:rPr>
            </w:pPr>
          </w:p>
          <w:p w14:paraId="5AD2D7E3">
            <w:pPr>
              <w:keepNext w:val="0"/>
              <w:keepLines w:val="0"/>
              <w:suppressLineNumbers w:val="0"/>
              <w:adjustRightInd w:val="0"/>
              <w:snapToGrid w:val="0"/>
              <w:spacing w:before="0" w:beforeAutospacing="0" w:after="0" w:afterAutospacing="0" w:line="360" w:lineRule="auto"/>
              <w:ind w:left="0" w:right="0"/>
              <w:jc w:val="center"/>
              <w:rPr>
                <w:rFonts w:hint="default"/>
                <w:highlight w:val="none"/>
              </w:rPr>
            </w:pPr>
          </w:p>
          <w:p w14:paraId="0537C921">
            <w:pPr>
              <w:keepNext w:val="0"/>
              <w:keepLines w:val="0"/>
              <w:suppressLineNumbers w:val="0"/>
              <w:adjustRightInd w:val="0"/>
              <w:snapToGrid w:val="0"/>
              <w:spacing w:before="0" w:beforeAutospacing="0" w:after="0" w:afterAutospacing="0" w:line="360" w:lineRule="auto"/>
              <w:ind w:left="0" w:right="0"/>
              <w:jc w:val="center"/>
              <w:rPr>
                <w:rFonts w:hint="default"/>
                <w:highlight w:val="none"/>
              </w:rPr>
            </w:pPr>
          </w:p>
          <w:p w14:paraId="6666C30A">
            <w:pPr>
              <w:keepNext w:val="0"/>
              <w:keepLines w:val="0"/>
              <w:suppressLineNumbers w:val="0"/>
              <w:adjustRightInd w:val="0"/>
              <w:snapToGrid w:val="0"/>
              <w:spacing w:before="0" w:beforeAutospacing="0" w:after="0" w:afterAutospacing="0" w:line="360" w:lineRule="auto"/>
              <w:ind w:left="0" w:right="0"/>
              <w:jc w:val="center"/>
              <w:rPr>
                <w:rFonts w:hint="default"/>
                <w:highlight w:val="none"/>
              </w:rPr>
            </w:pPr>
          </w:p>
          <w:p w14:paraId="752394F7">
            <w:pPr>
              <w:keepNext w:val="0"/>
              <w:keepLines w:val="0"/>
              <w:suppressLineNumbers w:val="0"/>
              <w:adjustRightInd w:val="0"/>
              <w:snapToGrid w:val="0"/>
              <w:spacing w:before="0" w:beforeAutospacing="0" w:after="0" w:afterAutospacing="0" w:line="360" w:lineRule="auto"/>
              <w:ind w:left="0" w:right="0"/>
              <w:jc w:val="center"/>
              <w:rPr>
                <w:rFonts w:hint="default"/>
                <w:highlight w:val="none"/>
              </w:rPr>
            </w:pPr>
          </w:p>
          <w:p w14:paraId="20312EAE">
            <w:pPr>
              <w:keepNext w:val="0"/>
              <w:keepLines w:val="0"/>
              <w:suppressLineNumbers w:val="0"/>
              <w:adjustRightInd w:val="0"/>
              <w:snapToGrid w:val="0"/>
              <w:spacing w:before="0" w:beforeAutospacing="0" w:after="0" w:afterAutospacing="0" w:line="360" w:lineRule="auto"/>
              <w:ind w:left="0" w:right="0"/>
              <w:jc w:val="center"/>
              <w:rPr>
                <w:rFonts w:hint="default"/>
                <w:highlight w:val="none"/>
              </w:rPr>
            </w:pPr>
          </w:p>
          <w:p w14:paraId="32D9B28B">
            <w:pPr>
              <w:keepNext w:val="0"/>
              <w:keepLines w:val="0"/>
              <w:suppressLineNumbers w:val="0"/>
              <w:adjustRightInd w:val="0"/>
              <w:snapToGrid w:val="0"/>
              <w:spacing w:before="0" w:beforeAutospacing="0" w:after="0" w:afterAutospacing="0" w:line="360" w:lineRule="auto"/>
              <w:ind w:left="0" w:right="0"/>
              <w:jc w:val="center"/>
              <w:rPr>
                <w:rFonts w:hint="default"/>
                <w:highlight w:val="none"/>
              </w:rPr>
            </w:pPr>
          </w:p>
          <w:p w14:paraId="18ED8E54">
            <w:pPr>
              <w:keepNext w:val="0"/>
              <w:keepLines w:val="0"/>
              <w:suppressLineNumbers w:val="0"/>
              <w:adjustRightInd w:val="0"/>
              <w:snapToGrid w:val="0"/>
              <w:spacing w:before="0" w:beforeAutospacing="0" w:after="0" w:afterAutospacing="0" w:line="360" w:lineRule="auto"/>
              <w:ind w:left="0" w:right="0"/>
              <w:jc w:val="center"/>
              <w:rPr>
                <w:rFonts w:hint="default"/>
                <w:highlight w:val="none"/>
              </w:rPr>
            </w:pPr>
          </w:p>
          <w:p w14:paraId="3446AF1B">
            <w:pPr>
              <w:keepNext w:val="0"/>
              <w:keepLines w:val="0"/>
              <w:suppressLineNumbers w:val="0"/>
              <w:adjustRightInd w:val="0"/>
              <w:snapToGrid w:val="0"/>
              <w:spacing w:before="0" w:beforeAutospacing="0" w:after="0" w:afterAutospacing="0" w:line="360" w:lineRule="auto"/>
              <w:ind w:left="0" w:right="0"/>
              <w:jc w:val="center"/>
              <w:rPr>
                <w:rFonts w:hint="default"/>
                <w:highlight w:val="none"/>
              </w:rPr>
            </w:pPr>
            <w:r>
              <w:rPr>
                <w:rFonts w:hint="eastAsia"/>
                <w:highlight w:val="none"/>
              </w:rPr>
              <w:t>规划及规划环境影响评价符合性分析</w:t>
            </w:r>
          </w:p>
          <w:p w14:paraId="0307DFDE">
            <w:pPr>
              <w:keepNext w:val="0"/>
              <w:keepLines w:val="0"/>
              <w:suppressLineNumbers w:val="0"/>
              <w:adjustRightInd w:val="0"/>
              <w:snapToGrid w:val="0"/>
              <w:spacing w:before="0" w:beforeAutospacing="0" w:after="0" w:afterAutospacing="0" w:line="360" w:lineRule="auto"/>
              <w:ind w:left="0" w:right="0"/>
              <w:jc w:val="center"/>
              <w:rPr>
                <w:rFonts w:hint="default"/>
                <w:highlight w:val="none"/>
              </w:rPr>
            </w:pPr>
          </w:p>
          <w:p w14:paraId="3AA0B18A">
            <w:pPr>
              <w:keepNext w:val="0"/>
              <w:keepLines w:val="0"/>
              <w:suppressLineNumbers w:val="0"/>
              <w:adjustRightInd w:val="0"/>
              <w:snapToGrid w:val="0"/>
              <w:spacing w:before="0" w:beforeAutospacing="0" w:after="0" w:afterAutospacing="0" w:line="360" w:lineRule="auto"/>
              <w:ind w:left="0" w:right="0"/>
              <w:jc w:val="center"/>
              <w:rPr>
                <w:rFonts w:hint="default"/>
                <w:highlight w:val="none"/>
              </w:rPr>
            </w:pPr>
          </w:p>
          <w:p w14:paraId="368EAEF8">
            <w:pPr>
              <w:keepNext w:val="0"/>
              <w:keepLines w:val="0"/>
              <w:suppressLineNumbers w:val="0"/>
              <w:adjustRightInd w:val="0"/>
              <w:snapToGrid w:val="0"/>
              <w:spacing w:before="0" w:beforeAutospacing="0" w:after="0" w:afterAutospacing="0" w:line="360" w:lineRule="auto"/>
              <w:ind w:left="0" w:right="0"/>
              <w:jc w:val="center"/>
              <w:rPr>
                <w:rFonts w:hint="default"/>
                <w:highlight w:val="none"/>
              </w:rPr>
            </w:pPr>
          </w:p>
          <w:p w14:paraId="3E4ECF74">
            <w:pPr>
              <w:keepNext w:val="0"/>
              <w:keepLines w:val="0"/>
              <w:suppressLineNumbers w:val="0"/>
              <w:adjustRightInd w:val="0"/>
              <w:snapToGrid w:val="0"/>
              <w:spacing w:before="0" w:beforeAutospacing="0" w:after="0" w:afterAutospacing="0" w:line="360" w:lineRule="auto"/>
              <w:ind w:left="0" w:right="0"/>
              <w:jc w:val="center"/>
              <w:rPr>
                <w:rFonts w:hint="default"/>
                <w:highlight w:val="none"/>
              </w:rPr>
            </w:pPr>
          </w:p>
          <w:p w14:paraId="505760CA">
            <w:pPr>
              <w:keepNext w:val="0"/>
              <w:keepLines w:val="0"/>
              <w:suppressLineNumbers w:val="0"/>
              <w:adjustRightInd w:val="0"/>
              <w:snapToGrid w:val="0"/>
              <w:spacing w:before="0" w:beforeAutospacing="0" w:after="0" w:afterAutospacing="0" w:line="360" w:lineRule="auto"/>
              <w:ind w:left="0" w:right="0"/>
              <w:jc w:val="center"/>
              <w:rPr>
                <w:rFonts w:hint="default"/>
                <w:highlight w:val="none"/>
              </w:rPr>
            </w:pPr>
          </w:p>
          <w:p w14:paraId="3F6A7EA5">
            <w:pPr>
              <w:keepNext w:val="0"/>
              <w:keepLines w:val="0"/>
              <w:suppressLineNumbers w:val="0"/>
              <w:adjustRightInd w:val="0"/>
              <w:snapToGrid w:val="0"/>
              <w:spacing w:before="0" w:beforeAutospacing="0" w:after="0" w:afterAutospacing="0" w:line="360" w:lineRule="auto"/>
              <w:ind w:left="0" w:right="0"/>
              <w:jc w:val="center"/>
              <w:rPr>
                <w:rFonts w:hint="default"/>
                <w:highlight w:val="none"/>
              </w:rPr>
            </w:pPr>
          </w:p>
          <w:p w14:paraId="408C78ED">
            <w:pPr>
              <w:keepNext w:val="0"/>
              <w:keepLines w:val="0"/>
              <w:suppressLineNumbers w:val="0"/>
              <w:adjustRightInd w:val="0"/>
              <w:snapToGrid w:val="0"/>
              <w:spacing w:before="0" w:beforeAutospacing="0" w:after="0" w:afterAutospacing="0" w:line="360" w:lineRule="auto"/>
              <w:ind w:left="0" w:right="0"/>
              <w:jc w:val="center"/>
              <w:rPr>
                <w:rFonts w:hint="default"/>
                <w:highlight w:val="none"/>
              </w:rPr>
            </w:pPr>
          </w:p>
          <w:p w14:paraId="7C34DAD2">
            <w:pPr>
              <w:keepNext w:val="0"/>
              <w:keepLines w:val="0"/>
              <w:suppressLineNumbers w:val="0"/>
              <w:adjustRightInd w:val="0"/>
              <w:snapToGrid w:val="0"/>
              <w:spacing w:before="0" w:beforeAutospacing="0" w:after="0" w:afterAutospacing="0" w:line="360" w:lineRule="auto"/>
              <w:ind w:left="0" w:right="0"/>
              <w:jc w:val="center"/>
              <w:rPr>
                <w:rFonts w:hint="default"/>
                <w:highlight w:val="none"/>
              </w:rPr>
            </w:pPr>
          </w:p>
          <w:p w14:paraId="7FDE65A0">
            <w:pPr>
              <w:keepNext w:val="0"/>
              <w:keepLines w:val="0"/>
              <w:suppressLineNumbers w:val="0"/>
              <w:adjustRightInd w:val="0"/>
              <w:snapToGrid w:val="0"/>
              <w:spacing w:before="0" w:beforeAutospacing="0" w:after="0" w:afterAutospacing="0" w:line="360" w:lineRule="auto"/>
              <w:ind w:left="0" w:right="0"/>
              <w:jc w:val="center"/>
              <w:rPr>
                <w:rFonts w:hint="default"/>
                <w:highlight w:val="none"/>
              </w:rPr>
            </w:pPr>
          </w:p>
          <w:p w14:paraId="6E6DBC73">
            <w:pPr>
              <w:keepNext w:val="0"/>
              <w:keepLines w:val="0"/>
              <w:suppressLineNumbers w:val="0"/>
              <w:adjustRightInd w:val="0"/>
              <w:snapToGrid w:val="0"/>
              <w:spacing w:before="0" w:beforeAutospacing="0" w:after="0" w:afterAutospacing="0" w:line="360" w:lineRule="auto"/>
              <w:ind w:left="0" w:right="0"/>
              <w:jc w:val="center"/>
              <w:rPr>
                <w:rFonts w:hint="default"/>
                <w:highlight w:val="none"/>
              </w:rPr>
            </w:pPr>
          </w:p>
          <w:p w14:paraId="04ADADFA">
            <w:pPr>
              <w:keepNext w:val="0"/>
              <w:keepLines w:val="0"/>
              <w:suppressLineNumbers w:val="0"/>
              <w:adjustRightInd w:val="0"/>
              <w:snapToGrid w:val="0"/>
              <w:spacing w:before="0" w:beforeAutospacing="0" w:after="0" w:afterAutospacing="0" w:line="360" w:lineRule="auto"/>
              <w:ind w:left="0" w:right="0"/>
              <w:jc w:val="center"/>
              <w:rPr>
                <w:rFonts w:hint="default"/>
                <w:highlight w:val="none"/>
              </w:rPr>
            </w:pPr>
          </w:p>
          <w:p w14:paraId="040F086D">
            <w:pPr>
              <w:keepNext w:val="0"/>
              <w:keepLines w:val="0"/>
              <w:suppressLineNumbers w:val="0"/>
              <w:adjustRightInd w:val="0"/>
              <w:snapToGrid w:val="0"/>
              <w:spacing w:before="0" w:beforeAutospacing="0" w:after="0" w:afterAutospacing="0" w:line="360" w:lineRule="auto"/>
              <w:ind w:left="0" w:right="0"/>
              <w:jc w:val="center"/>
              <w:rPr>
                <w:rFonts w:hint="default"/>
                <w:highlight w:val="none"/>
              </w:rPr>
            </w:pPr>
          </w:p>
          <w:p w14:paraId="1D45D8C2">
            <w:pPr>
              <w:keepNext w:val="0"/>
              <w:keepLines w:val="0"/>
              <w:suppressLineNumbers w:val="0"/>
              <w:adjustRightInd w:val="0"/>
              <w:snapToGrid w:val="0"/>
              <w:spacing w:before="0" w:beforeAutospacing="0" w:after="0" w:afterAutospacing="0" w:line="360" w:lineRule="auto"/>
              <w:ind w:left="0" w:right="0"/>
              <w:jc w:val="center"/>
              <w:rPr>
                <w:rFonts w:hint="default"/>
                <w:highlight w:val="none"/>
              </w:rPr>
            </w:pPr>
          </w:p>
          <w:p w14:paraId="7312F56F">
            <w:pPr>
              <w:keepNext w:val="0"/>
              <w:keepLines w:val="0"/>
              <w:suppressLineNumbers w:val="0"/>
              <w:adjustRightInd w:val="0"/>
              <w:snapToGrid w:val="0"/>
              <w:spacing w:before="0" w:beforeAutospacing="0" w:after="0" w:afterAutospacing="0" w:line="360" w:lineRule="auto"/>
              <w:ind w:left="0" w:right="0"/>
              <w:jc w:val="center"/>
              <w:rPr>
                <w:rFonts w:hint="default"/>
                <w:highlight w:val="none"/>
              </w:rPr>
            </w:pPr>
          </w:p>
          <w:p w14:paraId="05579099">
            <w:pPr>
              <w:keepNext w:val="0"/>
              <w:keepLines w:val="0"/>
              <w:suppressLineNumbers w:val="0"/>
              <w:adjustRightInd w:val="0"/>
              <w:snapToGrid w:val="0"/>
              <w:spacing w:before="0" w:beforeAutospacing="0" w:after="0" w:afterAutospacing="0" w:line="360" w:lineRule="auto"/>
              <w:ind w:left="0" w:right="0"/>
              <w:jc w:val="center"/>
              <w:rPr>
                <w:rFonts w:hint="default"/>
                <w:highlight w:val="none"/>
              </w:rPr>
            </w:pPr>
          </w:p>
          <w:p w14:paraId="55737360">
            <w:pPr>
              <w:keepNext w:val="0"/>
              <w:keepLines w:val="0"/>
              <w:suppressLineNumbers w:val="0"/>
              <w:adjustRightInd w:val="0"/>
              <w:snapToGrid w:val="0"/>
              <w:spacing w:before="0" w:beforeAutospacing="0" w:after="0" w:afterAutospacing="0" w:line="360" w:lineRule="auto"/>
              <w:ind w:left="0" w:right="0"/>
              <w:jc w:val="center"/>
              <w:rPr>
                <w:rFonts w:hint="default"/>
                <w:highlight w:val="none"/>
              </w:rPr>
            </w:pPr>
          </w:p>
          <w:p w14:paraId="6D639E9B">
            <w:pPr>
              <w:keepNext w:val="0"/>
              <w:keepLines w:val="0"/>
              <w:suppressLineNumbers w:val="0"/>
              <w:adjustRightInd w:val="0"/>
              <w:snapToGrid w:val="0"/>
              <w:spacing w:before="0" w:beforeAutospacing="0" w:after="0" w:afterAutospacing="0" w:line="360" w:lineRule="auto"/>
              <w:ind w:left="0" w:right="0"/>
              <w:jc w:val="center"/>
              <w:rPr>
                <w:rFonts w:hint="default"/>
                <w:highlight w:val="none"/>
              </w:rPr>
            </w:pPr>
          </w:p>
          <w:p w14:paraId="615D384A">
            <w:pPr>
              <w:keepNext w:val="0"/>
              <w:keepLines w:val="0"/>
              <w:suppressLineNumbers w:val="0"/>
              <w:adjustRightInd w:val="0"/>
              <w:snapToGrid w:val="0"/>
              <w:spacing w:before="0" w:beforeAutospacing="0" w:after="0" w:afterAutospacing="0" w:line="360" w:lineRule="auto"/>
              <w:ind w:left="0" w:right="0"/>
              <w:jc w:val="center"/>
              <w:rPr>
                <w:rFonts w:hint="default"/>
                <w:highlight w:val="none"/>
              </w:rPr>
            </w:pPr>
          </w:p>
          <w:p w14:paraId="490C0C6F">
            <w:pPr>
              <w:keepNext w:val="0"/>
              <w:keepLines w:val="0"/>
              <w:suppressLineNumbers w:val="0"/>
              <w:adjustRightInd w:val="0"/>
              <w:snapToGrid w:val="0"/>
              <w:spacing w:before="0" w:beforeAutospacing="0" w:after="0" w:afterAutospacing="0" w:line="360" w:lineRule="auto"/>
              <w:ind w:left="0" w:right="0"/>
              <w:jc w:val="center"/>
              <w:rPr>
                <w:rFonts w:hint="default"/>
                <w:highlight w:val="none"/>
              </w:rPr>
            </w:pPr>
          </w:p>
          <w:p w14:paraId="63FF40C6">
            <w:pPr>
              <w:keepNext w:val="0"/>
              <w:keepLines w:val="0"/>
              <w:suppressLineNumbers w:val="0"/>
              <w:adjustRightInd w:val="0"/>
              <w:snapToGrid w:val="0"/>
              <w:spacing w:before="0" w:beforeAutospacing="0" w:after="0" w:afterAutospacing="0" w:line="360" w:lineRule="auto"/>
              <w:ind w:left="0" w:right="0"/>
              <w:jc w:val="center"/>
              <w:rPr>
                <w:rFonts w:hint="default"/>
                <w:highlight w:val="none"/>
              </w:rPr>
            </w:pPr>
          </w:p>
          <w:p w14:paraId="234D5B81">
            <w:pPr>
              <w:pStyle w:val="59"/>
              <w:keepNext w:val="0"/>
              <w:keepLines w:val="0"/>
              <w:suppressLineNumbers w:val="0"/>
              <w:spacing w:before="0" w:beforeAutospacing="0" w:after="0" w:afterAutospacing="0"/>
              <w:ind w:left="0" w:right="0" w:firstLine="0" w:firstLineChars="0"/>
              <w:jc w:val="center"/>
              <w:rPr>
                <w:rFonts w:hint="default"/>
                <w:highlight w:val="none"/>
              </w:rPr>
            </w:pPr>
          </w:p>
          <w:p w14:paraId="6822E67C">
            <w:pPr>
              <w:pStyle w:val="59"/>
              <w:keepNext w:val="0"/>
              <w:keepLines w:val="0"/>
              <w:suppressLineNumbers w:val="0"/>
              <w:spacing w:before="0" w:beforeAutospacing="0" w:after="0" w:afterAutospacing="0"/>
              <w:ind w:left="0" w:right="0" w:firstLine="0" w:firstLineChars="0"/>
              <w:jc w:val="center"/>
              <w:rPr>
                <w:rFonts w:hint="default"/>
                <w:highlight w:val="none"/>
              </w:rPr>
            </w:pPr>
          </w:p>
          <w:p w14:paraId="0A999E2F">
            <w:pPr>
              <w:keepNext w:val="0"/>
              <w:keepLines w:val="0"/>
              <w:suppressLineNumbers w:val="0"/>
              <w:adjustRightInd w:val="0"/>
              <w:snapToGrid w:val="0"/>
              <w:spacing w:before="0" w:beforeAutospacing="0" w:after="0" w:afterAutospacing="0" w:line="360" w:lineRule="auto"/>
              <w:ind w:left="0" w:right="0"/>
              <w:jc w:val="center"/>
              <w:rPr>
                <w:rFonts w:hint="default"/>
                <w:highlight w:val="none"/>
              </w:rPr>
            </w:pPr>
            <w:r>
              <w:rPr>
                <w:rFonts w:hint="eastAsia"/>
                <w:highlight w:val="none"/>
              </w:rPr>
              <w:t>规划及规划环境影响评价符合性分析</w:t>
            </w:r>
          </w:p>
          <w:p w14:paraId="4C4DCE4B">
            <w:pPr>
              <w:pStyle w:val="15"/>
              <w:keepNext w:val="0"/>
              <w:keepLines w:val="0"/>
              <w:suppressLineNumbers w:val="0"/>
              <w:spacing w:before="0" w:beforeAutospacing="0" w:after="0" w:afterAutospacing="0"/>
              <w:ind w:left="0" w:right="0"/>
              <w:jc w:val="center"/>
              <w:rPr>
                <w:rFonts w:hint="default"/>
                <w:highlight w:val="none"/>
              </w:rPr>
            </w:pPr>
          </w:p>
          <w:p w14:paraId="336F4CD4">
            <w:pPr>
              <w:pStyle w:val="15"/>
              <w:keepNext w:val="0"/>
              <w:keepLines w:val="0"/>
              <w:suppressLineNumbers w:val="0"/>
              <w:spacing w:before="0" w:beforeAutospacing="0" w:after="0" w:afterAutospacing="0"/>
              <w:ind w:left="0" w:right="0"/>
              <w:jc w:val="center"/>
              <w:rPr>
                <w:rFonts w:hint="default"/>
                <w:highlight w:val="none"/>
              </w:rPr>
            </w:pPr>
          </w:p>
          <w:p w14:paraId="49C527DB">
            <w:pPr>
              <w:pStyle w:val="15"/>
              <w:keepNext w:val="0"/>
              <w:keepLines w:val="0"/>
              <w:suppressLineNumbers w:val="0"/>
              <w:spacing w:before="0" w:beforeAutospacing="0" w:after="0" w:afterAutospacing="0"/>
              <w:ind w:left="0" w:right="0"/>
              <w:jc w:val="center"/>
              <w:rPr>
                <w:rFonts w:hint="default"/>
                <w:highlight w:val="none"/>
              </w:rPr>
            </w:pPr>
          </w:p>
          <w:p w14:paraId="5EACB63F">
            <w:pPr>
              <w:pStyle w:val="15"/>
              <w:keepNext w:val="0"/>
              <w:keepLines w:val="0"/>
              <w:suppressLineNumbers w:val="0"/>
              <w:spacing w:before="0" w:beforeAutospacing="0" w:after="0" w:afterAutospacing="0"/>
              <w:ind w:left="0" w:right="0"/>
              <w:jc w:val="center"/>
              <w:rPr>
                <w:rFonts w:hint="default"/>
                <w:highlight w:val="none"/>
              </w:rPr>
            </w:pPr>
          </w:p>
          <w:p w14:paraId="406ADDE0">
            <w:pPr>
              <w:pStyle w:val="15"/>
              <w:keepNext w:val="0"/>
              <w:keepLines w:val="0"/>
              <w:suppressLineNumbers w:val="0"/>
              <w:spacing w:before="0" w:beforeAutospacing="0" w:after="0" w:afterAutospacing="0"/>
              <w:ind w:left="0" w:right="0"/>
              <w:jc w:val="center"/>
              <w:rPr>
                <w:rFonts w:hint="default"/>
                <w:highlight w:val="none"/>
              </w:rPr>
            </w:pPr>
          </w:p>
          <w:p w14:paraId="69167B22">
            <w:pPr>
              <w:keepNext w:val="0"/>
              <w:keepLines w:val="0"/>
              <w:suppressLineNumbers w:val="0"/>
              <w:adjustRightInd w:val="0"/>
              <w:snapToGrid w:val="0"/>
              <w:spacing w:before="0" w:beforeAutospacing="0" w:after="0" w:afterAutospacing="0" w:line="360" w:lineRule="auto"/>
              <w:ind w:left="0" w:right="0"/>
              <w:jc w:val="center"/>
              <w:rPr>
                <w:rFonts w:hint="default"/>
                <w:highlight w:val="none"/>
              </w:rPr>
            </w:pPr>
          </w:p>
          <w:p w14:paraId="5C75F7B7">
            <w:pPr>
              <w:keepNext w:val="0"/>
              <w:keepLines w:val="0"/>
              <w:suppressLineNumbers w:val="0"/>
              <w:adjustRightInd w:val="0"/>
              <w:snapToGrid w:val="0"/>
              <w:spacing w:before="0" w:beforeAutospacing="0" w:after="0" w:afterAutospacing="0" w:line="360" w:lineRule="auto"/>
              <w:ind w:left="0" w:right="0"/>
              <w:jc w:val="center"/>
              <w:rPr>
                <w:rFonts w:hint="default"/>
                <w:highlight w:val="none"/>
              </w:rPr>
            </w:pPr>
          </w:p>
          <w:p w14:paraId="7508E7D9">
            <w:pPr>
              <w:keepNext w:val="0"/>
              <w:keepLines w:val="0"/>
              <w:suppressLineNumbers w:val="0"/>
              <w:adjustRightInd w:val="0"/>
              <w:snapToGrid w:val="0"/>
              <w:spacing w:before="0" w:beforeAutospacing="0" w:after="0" w:afterAutospacing="0" w:line="360" w:lineRule="auto"/>
              <w:ind w:left="0" w:right="0"/>
              <w:jc w:val="center"/>
              <w:rPr>
                <w:rFonts w:hint="default"/>
                <w:highlight w:val="none"/>
              </w:rPr>
            </w:pPr>
          </w:p>
          <w:p w14:paraId="1F04128F">
            <w:pPr>
              <w:keepNext w:val="0"/>
              <w:keepLines w:val="0"/>
              <w:suppressLineNumbers w:val="0"/>
              <w:adjustRightInd w:val="0"/>
              <w:snapToGrid w:val="0"/>
              <w:spacing w:before="0" w:beforeAutospacing="0" w:after="0" w:afterAutospacing="0" w:line="360" w:lineRule="auto"/>
              <w:ind w:left="0" w:right="0"/>
              <w:jc w:val="center"/>
              <w:rPr>
                <w:rFonts w:hint="default"/>
                <w:highlight w:val="none"/>
              </w:rPr>
            </w:pPr>
          </w:p>
          <w:p w14:paraId="6F2650A1">
            <w:pPr>
              <w:keepNext w:val="0"/>
              <w:keepLines w:val="0"/>
              <w:suppressLineNumbers w:val="0"/>
              <w:adjustRightInd w:val="0"/>
              <w:snapToGrid w:val="0"/>
              <w:spacing w:before="0" w:beforeAutospacing="0" w:after="0" w:afterAutospacing="0" w:line="360" w:lineRule="auto"/>
              <w:ind w:left="0" w:right="0"/>
              <w:jc w:val="center"/>
              <w:rPr>
                <w:rFonts w:hint="default"/>
                <w:highlight w:val="none"/>
              </w:rPr>
            </w:pPr>
          </w:p>
          <w:p w14:paraId="3C3E0E25">
            <w:pPr>
              <w:keepNext w:val="0"/>
              <w:keepLines w:val="0"/>
              <w:suppressLineNumbers w:val="0"/>
              <w:adjustRightInd w:val="0"/>
              <w:snapToGrid w:val="0"/>
              <w:spacing w:before="0" w:beforeAutospacing="0" w:after="0" w:afterAutospacing="0" w:line="360" w:lineRule="auto"/>
              <w:ind w:left="0" w:right="0"/>
              <w:jc w:val="center"/>
              <w:rPr>
                <w:rFonts w:hint="default"/>
                <w:highlight w:val="none"/>
              </w:rPr>
            </w:pPr>
          </w:p>
          <w:p w14:paraId="0EFCC60A">
            <w:pPr>
              <w:keepNext w:val="0"/>
              <w:keepLines w:val="0"/>
              <w:suppressLineNumbers w:val="0"/>
              <w:adjustRightInd w:val="0"/>
              <w:snapToGrid w:val="0"/>
              <w:spacing w:before="0" w:beforeAutospacing="0" w:after="0" w:afterAutospacing="0" w:line="360" w:lineRule="auto"/>
              <w:ind w:left="0" w:right="0"/>
              <w:jc w:val="center"/>
              <w:rPr>
                <w:rFonts w:hint="default"/>
                <w:highlight w:val="none"/>
              </w:rPr>
            </w:pPr>
          </w:p>
          <w:p w14:paraId="36709FBF">
            <w:pPr>
              <w:keepNext w:val="0"/>
              <w:keepLines w:val="0"/>
              <w:suppressLineNumbers w:val="0"/>
              <w:adjustRightInd w:val="0"/>
              <w:snapToGrid w:val="0"/>
              <w:spacing w:before="0" w:beforeAutospacing="0" w:after="0" w:afterAutospacing="0" w:line="360" w:lineRule="auto"/>
              <w:ind w:left="0" w:right="0"/>
              <w:jc w:val="center"/>
              <w:rPr>
                <w:rFonts w:hint="default"/>
                <w:highlight w:val="none"/>
              </w:rPr>
            </w:pPr>
          </w:p>
          <w:p w14:paraId="16728DBB">
            <w:pPr>
              <w:keepNext w:val="0"/>
              <w:keepLines w:val="0"/>
              <w:suppressLineNumbers w:val="0"/>
              <w:adjustRightInd w:val="0"/>
              <w:snapToGrid w:val="0"/>
              <w:spacing w:before="0" w:beforeAutospacing="0" w:after="0" w:afterAutospacing="0" w:line="360" w:lineRule="auto"/>
              <w:ind w:left="0" w:right="0"/>
              <w:jc w:val="center"/>
              <w:rPr>
                <w:rFonts w:hint="default"/>
                <w:highlight w:val="none"/>
              </w:rPr>
            </w:pPr>
          </w:p>
          <w:p w14:paraId="715AAA6A">
            <w:pPr>
              <w:keepNext w:val="0"/>
              <w:keepLines w:val="0"/>
              <w:suppressLineNumbers w:val="0"/>
              <w:adjustRightInd w:val="0"/>
              <w:snapToGrid w:val="0"/>
              <w:spacing w:before="0" w:beforeAutospacing="0" w:after="0" w:afterAutospacing="0" w:line="360" w:lineRule="auto"/>
              <w:ind w:left="0" w:right="0"/>
              <w:jc w:val="center"/>
              <w:rPr>
                <w:rFonts w:hint="default"/>
                <w:highlight w:val="none"/>
              </w:rPr>
            </w:pPr>
          </w:p>
          <w:p w14:paraId="6DD70682">
            <w:pPr>
              <w:keepNext w:val="0"/>
              <w:keepLines w:val="0"/>
              <w:suppressLineNumbers w:val="0"/>
              <w:adjustRightInd w:val="0"/>
              <w:snapToGrid w:val="0"/>
              <w:spacing w:before="0" w:beforeAutospacing="0" w:after="0" w:afterAutospacing="0" w:line="360" w:lineRule="auto"/>
              <w:ind w:left="0" w:right="0"/>
              <w:jc w:val="center"/>
              <w:rPr>
                <w:rFonts w:hint="default"/>
                <w:highlight w:val="none"/>
              </w:rPr>
            </w:pPr>
            <w:r>
              <w:rPr>
                <w:rFonts w:hint="eastAsia"/>
                <w:highlight w:val="none"/>
              </w:rPr>
              <w:t>规划及规划环境影响评价符合性分析</w:t>
            </w:r>
          </w:p>
        </w:tc>
        <w:tc>
          <w:tcPr>
            <w:tcW w:w="8304" w:type="dxa"/>
            <w:tcMar>
              <w:top w:w="57" w:type="dxa"/>
              <w:left w:w="57" w:type="dxa"/>
              <w:bottom w:w="0" w:type="dxa"/>
              <w:right w:w="57" w:type="dxa"/>
            </w:tcMar>
            <w:vAlign w:val="center"/>
          </w:tcPr>
          <w:p w14:paraId="7E4931B2">
            <w:pPr>
              <w:keepNext w:val="0"/>
              <w:keepLines w:val="0"/>
              <w:suppressLineNumbers w:val="0"/>
              <w:tabs>
                <w:tab w:val="left" w:pos="7905"/>
              </w:tabs>
              <w:spacing w:before="0" w:beforeAutospacing="0" w:after="0" w:afterAutospacing="0" w:line="360" w:lineRule="auto"/>
              <w:ind w:left="0" w:right="0"/>
              <w:rPr>
                <w:rFonts w:hint="default"/>
                <w:b/>
                <w:bCs/>
                <w:sz w:val="24"/>
                <w:highlight w:val="none"/>
              </w:rPr>
            </w:pPr>
            <w:r>
              <w:rPr>
                <w:rFonts w:hint="eastAsia"/>
                <w:b/>
                <w:bCs/>
                <w:sz w:val="24"/>
                <w:highlight w:val="none"/>
              </w:rPr>
              <w:t>一、《衢州市高铁新城控制性详细规划》符合性分析</w:t>
            </w:r>
          </w:p>
          <w:p w14:paraId="76A7A13D">
            <w:pPr>
              <w:keepNext w:val="0"/>
              <w:keepLines w:val="0"/>
              <w:suppressLineNumbers w:val="0"/>
              <w:tabs>
                <w:tab w:val="left" w:pos="0"/>
                <w:tab w:val="left" w:pos="870"/>
                <w:tab w:val="left" w:pos="3150"/>
              </w:tabs>
              <w:autoSpaceDE w:val="0"/>
              <w:autoSpaceDN w:val="0"/>
              <w:snapToGrid w:val="0"/>
              <w:spacing w:before="0" w:beforeAutospacing="0" w:after="0" w:afterAutospacing="0" w:line="360" w:lineRule="auto"/>
              <w:ind w:left="0" w:right="0" w:firstLine="482" w:firstLineChars="200"/>
              <w:rPr>
                <w:rFonts w:hint="default"/>
                <w:b/>
                <w:bCs/>
                <w:kern w:val="0"/>
                <w:sz w:val="24"/>
                <w:szCs w:val="20"/>
                <w:highlight w:val="none"/>
              </w:rPr>
            </w:pPr>
            <w:bookmarkStart w:id="7" w:name="_Toc79994208"/>
            <w:r>
              <w:rPr>
                <w:rFonts w:hint="eastAsia"/>
                <w:b/>
                <w:bCs/>
                <w:kern w:val="0"/>
                <w:sz w:val="24"/>
                <w:szCs w:val="20"/>
                <w:highlight w:val="none"/>
              </w:rPr>
              <w:t>1、规划范围</w:t>
            </w:r>
            <w:bookmarkEnd w:id="7"/>
          </w:p>
          <w:p w14:paraId="7B7B58E2">
            <w:pPr>
              <w:keepNext w:val="0"/>
              <w:keepLines w:val="0"/>
              <w:suppressLineNumbers w:val="0"/>
              <w:tabs>
                <w:tab w:val="left" w:pos="0"/>
                <w:tab w:val="left" w:pos="870"/>
                <w:tab w:val="left" w:pos="3150"/>
              </w:tabs>
              <w:autoSpaceDE w:val="0"/>
              <w:autoSpaceDN w:val="0"/>
              <w:snapToGrid w:val="0"/>
              <w:spacing w:before="0" w:beforeAutospacing="0" w:after="0" w:afterAutospacing="0" w:line="360" w:lineRule="auto"/>
              <w:ind w:left="0" w:right="0" w:firstLine="480" w:firstLineChars="200"/>
              <w:rPr>
                <w:rFonts w:hint="default"/>
                <w:kern w:val="0"/>
                <w:sz w:val="24"/>
                <w:szCs w:val="20"/>
                <w:highlight w:val="none"/>
              </w:rPr>
            </w:pPr>
            <w:r>
              <w:rPr>
                <w:rFonts w:hint="eastAsia"/>
                <w:kern w:val="0"/>
                <w:sz w:val="24"/>
                <w:szCs w:val="20"/>
                <w:highlight w:val="none"/>
              </w:rPr>
              <w:t>本次规划包括近期重点范围和远期协调范围两个层面。</w:t>
            </w:r>
          </w:p>
          <w:p w14:paraId="6FD10AB9">
            <w:pPr>
              <w:keepNext w:val="0"/>
              <w:keepLines w:val="0"/>
              <w:suppressLineNumbers w:val="0"/>
              <w:tabs>
                <w:tab w:val="left" w:pos="0"/>
                <w:tab w:val="left" w:pos="870"/>
                <w:tab w:val="left" w:pos="3150"/>
              </w:tabs>
              <w:autoSpaceDE w:val="0"/>
              <w:autoSpaceDN w:val="0"/>
              <w:snapToGrid w:val="0"/>
              <w:spacing w:before="0" w:beforeAutospacing="0" w:after="0" w:afterAutospacing="0" w:line="360" w:lineRule="auto"/>
              <w:ind w:left="0" w:right="0" w:firstLine="480" w:firstLineChars="200"/>
              <w:rPr>
                <w:rFonts w:hint="default"/>
                <w:kern w:val="0"/>
                <w:sz w:val="24"/>
                <w:szCs w:val="20"/>
                <w:highlight w:val="none"/>
              </w:rPr>
            </w:pPr>
            <w:r>
              <w:rPr>
                <w:rFonts w:hint="eastAsia"/>
                <w:kern w:val="0"/>
                <w:sz w:val="24"/>
                <w:szCs w:val="20"/>
                <w:highlight w:val="none"/>
              </w:rPr>
              <w:t>近期重点范围是本次控规的具体编制范围，也是高铁新城近期实施范围（以下简称“规划范围”）；东至智慧大道，西至石华线，北至柯城路、柯安一路以及六一水库北侧，南至320国道和常山港，用地面积约11.6平方千米。</w:t>
            </w:r>
          </w:p>
          <w:p w14:paraId="1FBDEB6B">
            <w:pPr>
              <w:pStyle w:val="42"/>
              <w:keepNext w:val="0"/>
              <w:keepLines w:val="0"/>
              <w:suppressLineNumbers w:val="0"/>
              <w:spacing w:before="0" w:beforeAutospacing="0" w:after="0" w:afterAutospacing="0"/>
              <w:ind w:left="0" w:right="0"/>
              <w:rPr>
                <w:rFonts w:hint="default"/>
                <w:highlight w:val="none"/>
              </w:rPr>
            </w:pPr>
            <w:r>
              <w:rPr>
                <w:rFonts w:hint="eastAsia"/>
                <w:kern w:val="0"/>
                <w:sz w:val="24"/>
                <w:szCs w:val="20"/>
                <w:highlight w:val="none"/>
              </w:rPr>
              <w:t>远期协调范围为整体协调范围，主要对重要道路、管线、水系等基础设施的整体考虑与协调，对远期开发进行规划控制预留（以下简称“协调范围”）；东至智慧大道，西至石华线，北至杭金衢高速，南至常山港及320国道，规划用地面积约16.6平方千米</w:t>
            </w:r>
            <w:r>
              <w:rPr>
                <w:rFonts w:hint="eastAsia"/>
                <w:kern w:val="0"/>
                <w:highlight w:val="none"/>
              </w:rPr>
              <w:t>。</w:t>
            </w:r>
          </w:p>
          <w:p w14:paraId="3C2628D5">
            <w:pPr>
              <w:keepNext w:val="0"/>
              <w:keepLines w:val="0"/>
              <w:suppressLineNumbers w:val="0"/>
              <w:adjustRightInd w:val="0"/>
              <w:snapToGrid w:val="0"/>
              <w:spacing w:before="0" w:beforeAutospacing="0" w:after="0" w:afterAutospacing="0" w:line="360" w:lineRule="auto"/>
              <w:ind w:left="0" w:right="0"/>
              <w:jc w:val="center"/>
              <w:rPr>
                <w:rFonts w:hint="default"/>
                <w:b/>
                <w:snapToGrid w:val="0"/>
                <w:highlight w:val="none"/>
              </w:rPr>
            </w:pPr>
            <w:r>
              <w:rPr>
                <w:rFonts w:hint="default"/>
                <w:highlight w:val="none"/>
              </w:rPr>
              <mc:AlternateContent>
                <mc:Choice Requires="wps">
                  <w:drawing>
                    <wp:anchor distT="0" distB="0" distL="114300" distR="114300" simplePos="0" relativeHeight="251661312" behindDoc="0" locked="0" layoutInCell="1" allowOverlap="1">
                      <wp:simplePos x="0" y="0"/>
                      <wp:positionH relativeFrom="column">
                        <wp:posOffset>2315210</wp:posOffset>
                      </wp:positionH>
                      <wp:positionV relativeFrom="paragraph">
                        <wp:posOffset>3310255</wp:posOffset>
                      </wp:positionV>
                      <wp:extent cx="739140" cy="264160"/>
                      <wp:effectExtent l="4445" t="518160" r="8890" b="8255"/>
                      <wp:wrapNone/>
                      <wp:docPr id="99" name="自选图形 212"/>
                      <wp:cNvGraphicFramePr/>
                      <a:graphic xmlns:a="http://schemas.openxmlformats.org/drawingml/2006/main">
                        <a:graphicData uri="http://schemas.microsoft.com/office/word/2010/wordprocessingShape">
                          <wps:wsp>
                            <wps:cNvSpPr/>
                            <wps:spPr>
                              <a:xfrm flipV="1">
                                <a:off x="0" y="0"/>
                                <a:ext cx="739140" cy="264160"/>
                              </a:xfrm>
                              <a:prstGeom prst="wedgeRectCallout">
                                <a:avLst>
                                  <a:gd name="adj1" fmla="val 41323"/>
                                  <a:gd name="adj2" fmla="val 236057"/>
                                </a:avLst>
                              </a:prstGeom>
                              <a:noFill/>
                              <a:ln w="9525" cap="flat" cmpd="sng">
                                <a:solidFill>
                                  <a:srgbClr val="FF0000"/>
                                </a:solidFill>
                                <a:prstDash val="solid"/>
                                <a:miter/>
                                <a:headEnd type="none" w="med" len="med"/>
                                <a:tailEnd type="none" w="med" len="med"/>
                              </a:ln>
                            </wps:spPr>
                            <wps:txbx>
                              <w:txbxContent>
                                <w:p w14:paraId="7A44D105">
                                  <w:pPr>
                                    <w:jc w:val="center"/>
                                    <w:rPr>
                                      <w:b/>
                                      <w:bCs/>
                                      <w:color w:val="FF0000"/>
                                      <w:sz w:val="18"/>
                                      <w:szCs w:val="18"/>
                                    </w:rPr>
                                  </w:pPr>
                                  <w:r>
                                    <w:rPr>
                                      <w:b/>
                                      <w:bCs/>
                                      <w:color w:val="FF0000"/>
                                      <w:sz w:val="18"/>
                                      <w:szCs w:val="18"/>
                                    </w:rPr>
                                    <w:t>项目位置</w:t>
                                  </w:r>
                                </w:p>
                              </w:txbxContent>
                            </wps:txbx>
                            <wps:bodyPr wrap="square" upright="1"/>
                          </wps:wsp>
                        </a:graphicData>
                      </a:graphic>
                    </wp:anchor>
                  </w:drawing>
                </mc:Choice>
                <mc:Fallback>
                  <w:pict>
                    <v:shape id="自选图形 212" o:spid="_x0000_s1026" o:spt="61" type="#_x0000_t61" style="position:absolute;left:0pt;flip:y;margin-left:182.3pt;margin-top:260.65pt;height:20.8pt;width:58.2pt;z-index:251661312;mso-width-relative:page;mso-height-relative:page;" filled="f" stroked="t" coordsize="21600,21600" o:gfxdata="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" adj="19726,61788">
                      <v:fill on="f" focussize="0,0"/>
                      <v:stroke color="#FF0000" joinstyle="miter"/>
                      <v:imagedata o:title=""/>
                      <o:lock v:ext="edit" aspectratio="f"/>
                      <v:textbox>
                        <w:txbxContent>
                          <w:p w14:paraId="7A44D105">
                            <w:pPr>
                              <w:jc w:val="center"/>
                              <w:rPr>
                                <w:b/>
                                <w:bCs/>
                                <w:color w:val="FF0000"/>
                                <w:sz w:val="18"/>
                                <w:szCs w:val="18"/>
                              </w:rPr>
                            </w:pPr>
                            <w:r>
                              <w:rPr>
                                <w:b/>
                                <w:bCs/>
                                <w:color w:val="FF0000"/>
                                <w:sz w:val="18"/>
                                <w:szCs w:val="18"/>
                              </w:rPr>
                              <w:t>项目位置</w:t>
                            </w:r>
                          </w:p>
                        </w:txbxContent>
                      </v:textbox>
                    </v:shape>
                  </w:pict>
                </mc:Fallback>
              </mc:AlternateContent>
            </w:r>
            <w:r>
              <w:rPr>
                <w:rFonts w:hint="default"/>
                <w:highlight w:val="none"/>
              </w:rPr>
              <w:drawing>
                <wp:inline distT="0" distB="0" distL="114300" distR="114300">
                  <wp:extent cx="4528820" cy="3973195"/>
                  <wp:effectExtent l="9525" t="9525" r="14605" b="17780"/>
                  <wp:docPr id="153" name="图片 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3" name="图片 24"/>
                          <pic:cNvPicPr>
                            <a:picLocks noChangeAspect="1"/>
                          </pic:cNvPicPr>
                        </pic:nvPicPr>
                        <pic:blipFill>
                          <a:blip r:embed="rId9"/>
                          <a:stretch>
                            <a:fillRect/>
                          </a:stretch>
                        </pic:blipFill>
                        <pic:spPr>
                          <a:xfrm>
                            <a:off x="0" y="0"/>
                            <a:ext cx="4528820" cy="3973195"/>
                          </a:xfrm>
                          <a:prstGeom prst="rect">
                            <a:avLst/>
                          </a:prstGeom>
                          <a:noFill/>
                          <a:ln>
                            <a:solidFill>
                              <a:schemeClr val="tx1"/>
                            </a:solidFill>
                          </a:ln>
                        </pic:spPr>
                      </pic:pic>
                    </a:graphicData>
                  </a:graphic>
                </wp:inline>
              </w:drawing>
            </w:r>
          </w:p>
          <w:p w14:paraId="7C344891">
            <w:pPr>
              <w:keepNext w:val="0"/>
              <w:keepLines w:val="0"/>
              <w:suppressLineNumbers w:val="0"/>
              <w:adjustRightInd w:val="0"/>
              <w:snapToGrid w:val="0"/>
              <w:spacing w:before="0" w:beforeAutospacing="0" w:after="0" w:afterAutospacing="0" w:line="360" w:lineRule="auto"/>
              <w:ind w:left="0" w:right="0"/>
              <w:jc w:val="center"/>
              <w:rPr>
                <w:rFonts w:hint="default"/>
                <w:b/>
                <w:snapToGrid w:val="0"/>
                <w:highlight w:val="none"/>
              </w:rPr>
            </w:pPr>
            <w:r>
              <w:rPr>
                <w:rFonts w:hint="eastAsia"/>
                <w:b/>
                <w:kern w:val="0"/>
                <w:szCs w:val="21"/>
                <w:highlight w:val="none"/>
              </w:rPr>
              <w:t>图1-</w:t>
            </w:r>
            <w:r>
              <w:rPr>
                <w:rFonts w:hint="default"/>
                <w:b/>
                <w:kern w:val="0"/>
                <w:szCs w:val="21"/>
                <w:highlight w:val="none"/>
              </w:rPr>
              <w:t xml:space="preserve">1 </w:t>
            </w:r>
            <w:r>
              <w:rPr>
                <w:rFonts w:hint="eastAsia"/>
                <w:b/>
                <w:kern w:val="0"/>
                <w:szCs w:val="21"/>
                <w:highlight w:val="none"/>
                <w:lang w:val="en-US" w:eastAsia="zh-CN"/>
              </w:rPr>
              <w:t>项目</w:t>
            </w:r>
            <w:r>
              <w:rPr>
                <w:rFonts w:hint="eastAsia"/>
                <w:b/>
                <w:kern w:val="0"/>
                <w:szCs w:val="21"/>
                <w:highlight w:val="none"/>
              </w:rPr>
              <w:t>规划范围图</w:t>
            </w:r>
          </w:p>
          <w:p w14:paraId="0BE489A1">
            <w:pPr>
              <w:keepNext w:val="0"/>
              <w:keepLines w:val="0"/>
              <w:suppressLineNumbers w:val="0"/>
              <w:tabs>
                <w:tab w:val="left" w:pos="0"/>
                <w:tab w:val="left" w:pos="870"/>
                <w:tab w:val="left" w:pos="3150"/>
              </w:tabs>
              <w:autoSpaceDE w:val="0"/>
              <w:autoSpaceDN w:val="0"/>
              <w:snapToGrid w:val="0"/>
              <w:spacing w:before="0" w:beforeAutospacing="0" w:after="0" w:afterAutospacing="0" w:line="360" w:lineRule="auto"/>
              <w:ind w:left="0" w:right="0" w:firstLine="482" w:firstLineChars="200"/>
              <w:rPr>
                <w:rFonts w:hint="default"/>
                <w:b/>
                <w:bCs/>
                <w:kern w:val="0"/>
                <w:sz w:val="24"/>
                <w:szCs w:val="20"/>
                <w:highlight w:val="none"/>
              </w:rPr>
            </w:pPr>
            <w:bookmarkStart w:id="8" w:name="_Toc79994209"/>
            <w:r>
              <w:rPr>
                <w:rFonts w:hint="eastAsia"/>
                <w:b/>
                <w:bCs/>
                <w:kern w:val="0"/>
                <w:sz w:val="24"/>
                <w:szCs w:val="20"/>
                <w:highlight w:val="none"/>
              </w:rPr>
              <w:t>2、功能定位</w:t>
            </w:r>
          </w:p>
          <w:p w14:paraId="77D59903">
            <w:pPr>
              <w:keepNext w:val="0"/>
              <w:keepLines w:val="0"/>
              <w:suppressLineNumbers w:val="0"/>
              <w:tabs>
                <w:tab w:val="left" w:pos="0"/>
                <w:tab w:val="left" w:pos="870"/>
                <w:tab w:val="left" w:pos="3150"/>
              </w:tabs>
              <w:autoSpaceDE w:val="0"/>
              <w:autoSpaceDN w:val="0"/>
              <w:snapToGrid w:val="0"/>
              <w:spacing w:before="0" w:beforeAutospacing="0" w:after="0" w:afterAutospacing="0" w:line="360" w:lineRule="auto"/>
              <w:ind w:left="0" w:right="0" w:firstLine="480" w:firstLineChars="200"/>
              <w:rPr>
                <w:rFonts w:hint="default"/>
                <w:kern w:val="0"/>
                <w:sz w:val="24"/>
                <w:szCs w:val="20"/>
                <w:highlight w:val="none"/>
              </w:rPr>
            </w:pPr>
            <w:r>
              <w:rPr>
                <w:rFonts w:hint="eastAsia"/>
                <w:kern w:val="0"/>
                <w:sz w:val="24"/>
                <w:szCs w:val="20"/>
                <w:highlight w:val="none"/>
              </w:rPr>
              <w:t>本单元的功能定位为“城市美好生活的高品质新社区，产业创新服务的综合体大平台，带动区域发展的新引擎发动机”。</w:t>
            </w:r>
          </w:p>
          <w:p w14:paraId="0EBDAD32">
            <w:pPr>
              <w:keepNext w:val="0"/>
              <w:keepLines w:val="0"/>
              <w:suppressLineNumbers w:val="0"/>
              <w:tabs>
                <w:tab w:val="left" w:pos="0"/>
                <w:tab w:val="left" w:pos="870"/>
                <w:tab w:val="left" w:pos="3150"/>
              </w:tabs>
              <w:autoSpaceDE w:val="0"/>
              <w:autoSpaceDN w:val="0"/>
              <w:snapToGrid w:val="0"/>
              <w:spacing w:before="0" w:beforeAutospacing="0" w:after="0" w:afterAutospacing="0" w:line="360" w:lineRule="auto"/>
              <w:ind w:left="0" w:right="0" w:firstLine="480" w:firstLineChars="200"/>
              <w:rPr>
                <w:rFonts w:hint="default"/>
                <w:kern w:val="0"/>
                <w:sz w:val="24"/>
                <w:szCs w:val="20"/>
                <w:highlight w:val="none"/>
              </w:rPr>
            </w:pPr>
            <w:r>
              <w:rPr>
                <w:rFonts w:hint="eastAsia"/>
                <w:kern w:val="0"/>
                <w:sz w:val="24"/>
                <w:szCs w:val="20"/>
                <w:highlight w:val="none"/>
              </w:rPr>
              <w:t>城市美好生活的高品质新社区：以生态绿色为基底，构建可达、多样的绿色空间网络，围绕各类人群的不同需求，完善城市公共服务设施体系，以未来社区理念全面提升人居品质，全面形成集产、城、人、文融合一体的生态花园城。</w:t>
            </w:r>
          </w:p>
          <w:p w14:paraId="3F2B33C4">
            <w:pPr>
              <w:keepNext w:val="0"/>
              <w:keepLines w:val="0"/>
              <w:suppressLineNumbers w:val="0"/>
              <w:tabs>
                <w:tab w:val="left" w:pos="0"/>
                <w:tab w:val="left" w:pos="870"/>
                <w:tab w:val="left" w:pos="3150"/>
              </w:tabs>
              <w:autoSpaceDE w:val="0"/>
              <w:autoSpaceDN w:val="0"/>
              <w:snapToGrid w:val="0"/>
              <w:spacing w:before="0" w:beforeAutospacing="0" w:after="0" w:afterAutospacing="0" w:line="360" w:lineRule="auto"/>
              <w:ind w:left="0" w:right="0" w:firstLine="480" w:firstLineChars="200"/>
              <w:rPr>
                <w:rFonts w:hint="default"/>
                <w:kern w:val="0"/>
                <w:sz w:val="24"/>
                <w:szCs w:val="20"/>
                <w:highlight w:val="none"/>
              </w:rPr>
            </w:pPr>
            <w:r>
              <w:rPr>
                <w:rFonts w:hint="eastAsia"/>
                <w:kern w:val="0"/>
                <w:sz w:val="24"/>
                <w:szCs w:val="20"/>
                <w:highlight w:val="none"/>
              </w:rPr>
              <w:t>产业创新服务的综合体大平台：围绕“高铁片区、快乐运动</w:t>
            </w:r>
            <w:r>
              <w:rPr>
                <w:rFonts w:hint="eastAsia"/>
                <w:b w:val="0"/>
                <w:bCs w:val="0"/>
                <w:kern w:val="0"/>
                <w:sz w:val="24"/>
                <w:szCs w:val="20"/>
                <w:highlight w:val="none"/>
              </w:rPr>
              <w:t>片区、教育片区、</w:t>
            </w:r>
            <w:r>
              <w:rPr>
                <w:rFonts w:hint="eastAsia"/>
                <w:b/>
                <w:bCs/>
                <w:kern w:val="0"/>
                <w:sz w:val="24"/>
                <w:szCs w:val="20"/>
                <w:highlight w:val="none"/>
              </w:rPr>
              <w:t>生命科学片区</w:t>
            </w:r>
            <w:r>
              <w:rPr>
                <w:rFonts w:hint="eastAsia"/>
                <w:b w:val="0"/>
                <w:bCs w:val="0"/>
                <w:kern w:val="0"/>
                <w:sz w:val="24"/>
                <w:szCs w:val="20"/>
                <w:highlight w:val="none"/>
              </w:rPr>
              <w:t>、科创金融片区、智慧片区”六大功能片区，形成产业</w:t>
            </w:r>
            <w:r>
              <w:rPr>
                <w:rFonts w:hint="eastAsia"/>
                <w:kern w:val="0"/>
                <w:sz w:val="24"/>
                <w:szCs w:val="20"/>
                <w:highlight w:val="none"/>
              </w:rPr>
              <w:t>链生态圈系统高效的创新大平台。</w:t>
            </w:r>
          </w:p>
          <w:p w14:paraId="48DEA7C7">
            <w:pPr>
              <w:keepNext w:val="0"/>
              <w:keepLines w:val="0"/>
              <w:suppressLineNumbers w:val="0"/>
              <w:tabs>
                <w:tab w:val="left" w:pos="0"/>
                <w:tab w:val="left" w:pos="870"/>
                <w:tab w:val="left" w:pos="3150"/>
              </w:tabs>
              <w:autoSpaceDE w:val="0"/>
              <w:autoSpaceDN w:val="0"/>
              <w:snapToGrid w:val="0"/>
              <w:spacing w:before="0" w:beforeAutospacing="0" w:after="0" w:afterAutospacing="0" w:line="360" w:lineRule="auto"/>
              <w:ind w:left="0" w:right="0" w:firstLine="480" w:firstLineChars="200"/>
              <w:rPr>
                <w:rFonts w:hint="default"/>
                <w:kern w:val="0"/>
                <w:sz w:val="24"/>
                <w:szCs w:val="20"/>
                <w:highlight w:val="none"/>
              </w:rPr>
            </w:pPr>
            <w:r>
              <w:rPr>
                <w:rFonts w:hint="eastAsia"/>
                <w:kern w:val="0"/>
                <w:sz w:val="24"/>
                <w:szCs w:val="20"/>
                <w:highlight w:val="none"/>
              </w:rPr>
              <w:t>带动区域发展的新引擎发动机：依托高铁衢州西站、体育中心、四省边际中心医院、电子科大智慧小镇等重大项目的带动，辐射周边，提升城市发展能级，带动四省边际区域整体发展。</w:t>
            </w:r>
          </w:p>
          <w:bookmarkEnd w:id="8"/>
          <w:p w14:paraId="526D203C">
            <w:pPr>
              <w:keepNext w:val="0"/>
              <w:keepLines w:val="0"/>
              <w:suppressLineNumbers w:val="0"/>
              <w:tabs>
                <w:tab w:val="left" w:pos="0"/>
                <w:tab w:val="left" w:pos="870"/>
                <w:tab w:val="left" w:pos="3150"/>
              </w:tabs>
              <w:autoSpaceDE w:val="0"/>
              <w:autoSpaceDN w:val="0"/>
              <w:snapToGrid w:val="0"/>
              <w:spacing w:before="0" w:beforeAutospacing="0" w:after="0" w:afterAutospacing="0" w:line="360" w:lineRule="auto"/>
              <w:ind w:left="0" w:right="0" w:firstLine="482" w:firstLineChars="200"/>
              <w:rPr>
                <w:rFonts w:hint="default"/>
                <w:b/>
                <w:bCs/>
                <w:kern w:val="0"/>
                <w:sz w:val="24"/>
                <w:szCs w:val="20"/>
                <w:highlight w:val="none"/>
              </w:rPr>
            </w:pPr>
            <w:r>
              <w:rPr>
                <w:rFonts w:hint="default"/>
                <w:b/>
                <w:bCs/>
                <w:kern w:val="0"/>
                <w:sz w:val="24"/>
                <w:szCs w:val="20"/>
                <w:highlight w:val="none"/>
              </w:rPr>
              <w:t>3</w:t>
            </w:r>
            <w:r>
              <w:rPr>
                <w:rFonts w:hint="eastAsia"/>
                <w:b/>
                <w:bCs/>
                <w:kern w:val="0"/>
                <w:sz w:val="24"/>
                <w:szCs w:val="20"/>
                <w:highlight w:val="none"/>
              </w:rPr>
              <w:t>、空间结构</w:t>
            </w:r>
          </w:p>
          <w:p w14:paraId="5B07F92A">
            <w:pPr>
              <w:keepNext w:val="0"/>
              <w:keepLines w:val="0"/>
              <w:suppressLineNumbers w:val="0"/>
              <w:tabs>
                <w:tab w:val="left" w:pos="0"/>
                <w:tab w:val="left" w:pos="870"/>
                <w:tab w:val="left" w:pos="3150"/>
              </w:tabs>
              <w:autoSpaceDE w:val="0"/>
              <w:autoSpaceDN w:val="0"/>
              <w:snapToGrid w:val="0"/>
              <w:spacing w:before="0" w:beforeAutospacing="0" w:after="0" w:afterAutospacing="0" w:line="360" w:lineRule="auto"/>
              <w:ind w:left="0" w:right="0" w:firstLine="480" w:firstLineChars="200"/>
              <w:rPr>
                <w:rFonts w:hint="default"/>
                <w:kern w:val="0"/>
                <w:sz w:val="24"/>
                <w:szCs w:val="20"/>
                <w:highlight w:val="none"/>
              </w:rPr>
            </w:pPr>
            <w:r>
              <w:rPr>
                <w:rFonts w:hint="eastAsia"/>
                <w:kern w:val="0"/>
                <w:sz w:val="24"/>
                <w:szCs w:val="20"/>
                <w:highlight w:val="none"/>
              </w:rPr>
              <w:t>整体形成“一轴、一带、四网、六区”的空间结构：</w:t>
            </w:r>
          </w:p>
          <w:p w14:paraId="2EA934B4">
            <w:pPr>
              <w:keepNext w:val="0"/>
              <w:keepLines w:val="0"/>
              <w:suppressLineNumbers w:val="0"/>
              <w:tabs>
                <w:tab w:val="left" w:pos="0"/>
                <w:tab w:val="left" w:pos="870"/>
                <w:tab w:val="left" w:pos="3150"/>
              </w:tabs>
              <w:autoSpaceDE w:val="0"/>
              <w:autoSpaceDN w:val="0"/>
              <w:snapToGrid w:val="0"/>
              <w:spacing w:before="0" w:beforeAutospacing="0" w:after="0" w:afterAutospacing="0" w:line="360" w:lineRule="auto"/>
              <w:ind w:left="0" w:right="0" w:firstLine="480" w:firstLineChars="200"/>
              <w:rPr>
                <w:rFonts w:hint="default"/>
                <w:kern w:val="0"/>
                <w:sz w:val="24"/>
                <w:szCs w:val="20"/>
                <w:highlight w:val="none"/>
              </w:rPr>
            </w:pPr>
            <w:r>
              <w:rPr>
                <w:rFonts w:hint="eastAsia"/>
                <w:kern w:val="0"/>
                <w:sz w:val="24"/>
                <w:szCs w:val="20"/>
                <w:highlight w:val="none"/>
              </w:rPr>
              <w:t>一轴：为联系高铁衢州西站与快乐运动小镇的东西向城市功能轴。</w:t>
            </w:r>
          </w:p>
          <w:p w14:paraId="1F85AB94">
            <w:pPr>
              <w:keepNext w:val="0"/>
              <w:keepLines w:val="0"/>
              <w:suppressLineNumbers w:val="0"/>
              <w:tabs>
                <w:tab w:val="left" w:pos="0"/>
                <w:tab w:val="left" w:pos="870"/>
                <w:tab w:val="left" w:pos="3150"/>
              </w:tabs>
              <w:autoSpaceDE w:val="0"/>
              <w:autoSpaceDN w:val="0"/>
              <w:snapToGrid w:val="0"/>
              <w:spacing w:before="0" w:beforeAutospacing="0" w:after="0" w:afterAutospacing="0" w:line="360" w:lineRule="auto"/>
              <w:ind w:left="0" w:right="0" w:firstLine="480" w:firstLineChars="200"/>
              <w:rPr>
                <w:rFonts w:hint="default"/>
                <w:kern w:val="0"/>
                <w:sz w:val="24"/>
                <w:szCs w:val="20"/>
                <w:highlight w:val="none"/>
              </w:rPr>
            </w:pPr>
            <w:r>
              <w:rPr>
                <w:rFonts w:hint="eastAsia"/>
                <w:kern w:val="0"/>
                <w:sz w:val="24"/>
                <w:szCs w:val="20"/>
                <w:highlight w:val="none"/>
              </w:rPr>
              <w:t>一带：为六一水库至常山港的中央生态带。</w:t>
            </w:r>
          </w:p>
          <w:p w14:paraId="51A7C51E">
            <w:pPr>
              <w:keepNext w:val="0"/>
              <w:keepLines w:val="0"/>
              <w:suppressLineNumbers w:val="0"/>
              <w:tabs>
                <w:tab w:val="left" w:pos="0"/>
                <w:tab w:val="left" w:pos="870"/>
                <w:tab w:val="left" w:pos="3150"/>
              </w:tabs>
              <w:autoSpaceDE w:val="0"/>
              <w:autoSpaceDN w:val="0"/>
              <w:snapToGrid w:val="0"/>
              <w:spacing w:before="0" w:beforeAutospacing="0" w:after="0" w:afterAutospacing="0" w:line="360" w:lineRule="auto"/>
              <w:ind w:left="0" w:right="0" w:firstLine="480" w:firstLineChars="200"/>
              <w:rPr>
                <w:rFonts w:hint="default"/>
                <w:kern w:val="0"/>
                <w:sz w:val="24"/>
                <w:szCs w:val="20"/>
                <w:highlight w:val="none"/>
              </w:rPr>
            </w:pPr>
            <w:r>
              <w:rPr>
                <w:rFonts w:hint="eastAsia"/>
                <w:kern w:val="0"/>
                <w:sz w:val="24"/>
                <w:szCs w:val="20"/>
                <w:highlight w:val="none"/>
              </w:rPr>
              <w:t>四网：为高铁新城范围内的路网、林网、水网、管网四大设施网络。</w:t>
            </w:r>
          </w:p>
          <w:p w14:paraId="2D729F1C">
            <w:pPr>
              <w:keepNext w:val="0"/>
              <w:keepLines w:val="0"/>
              <w:suppressLineNumbers w:val="0"/>
              <w:tabs>
                <w:tab w:val="left" w:pos="0"/>
                <w:tab w:val="left" w:pos="870"/>
                <w:tab w:val="left" w:pos="3150"/>
              </w:tabs>
              <w:autoSpaceDE w:val="0"/>
              <w:autoSpaceDN w:val="0"/>
              <w:snapToGrid w:val="0"/>
              <w:spacing w:before="0" w:beforeAutospacing="0" w:after="0" w:afterAutospacing="0" w:line="360" w:lineRule="auto"/>
              <w:ind w:left="0" w:right="0" w:firstLine="480" w:firstLineChars="200"/>
              <w:rPr>
                <w:rFonts w:hint="default"/>
                <w:kern w:val="0"/>
                <w:sz w:val="24"/>
                <w:szCs w:val="20"/>
                <w:highlight w:val="none"/>
              </w:rPr>
            </w:pPr>
            <w:r>
              <w:rPr>
                <w:rFonts w:hint="eastAsia"/>
                <w:kern w:val="0"/>
                <w:sz w:val="24"/>
                <w:szCs w:val="20"/>
                <w:highlight w:val="none"/>
              </w:rPr>
              <w:t>六区：为高铁片区、</w:t>
            </w:r>
            <w:r>
              <w:rPr>
                <w:rFonts w:hint="eastAsia"/>
                <w:b w:val="0"/>
                <w:bCs w:val="0"/>
                <w:kern w:val="0"/>
                <w:sz w:val="24"/>
                <w:szCs w:val="20"/>
                <w:highlight w:val="none"/>
              </w:rPr>
              <w:t>教育片区、快</w:t>
            </w:r>
            <w:r>
              <w:rPr>
                <w:rFonts w:hint="eastAsia"/>
                <w:kern w:val="0"/>
                <w:sz w:val="24"/>
                <w:szCs w:val="20"/>
                <w:highlight w:val="none"/>
              </w:rPr>
              <w:t>乐运动片区、</w:t>
            </w:r>
            <w:r>
              <w:rPr>
                <w:rFonts w:hint="eastAsia"/>
                <w:b/>
                <w:bCs/>
                <w:kern w:val="0"/>
                <w:sz w:val="24"/>
                <w:szCs w:val="20"/>
                <w:highlight w:val="none"/>
              </w:rPr>
              <w:t>生命科学片区</w:t>
            </w:r>
            <w:r>
              <w:rPr>
                <w:rFonts w:hint="eastAsia"/>
                <w:kern w:val="0"/>
                <w:sz w:val="24"/>
                <w:szCs w:val="20"/>
                <w:highlight w:val="none"/>
              </w:rPr>
              <w:t>、科创金融片区、智慧片区。</w:t>
            </w:r>
          </w:p>
          <w:p w14:paraId="3F81078E">
            <w:pPr>
              <w:keepNext w:val="0"/>
              <w:keepLines w:val="0"/>
              <w:suppressLineNumbers w:val="0"/>
              <w:tabs>
                <w:tab w:val="left" w:pos="0"/>
                <w:tab w:val="left" w:pos="870"/>
                <w:tab w:val="left" w:pos="3150"/>
              </w:tabs>
              <w:autoSpaceDE w:val="0"/>
              <w:autoSpaceDN w:val="0"/>
              <w:snapToGrid w:val="0"/>
              <w:spacing w:before="0" w:beforeAutospacing="0" w:after="0" w:afterAutospacing="0" w:line="360" w:lineRule="auto"/>
              <w:ind w:left="0" w:right="0" w:firstLine="482" w:firstLineChars="200"/>
              <w:rPr>
                <w:rFonts w:hint="default"/>
                <w:b/>
                <w:bCs/>
                <w:kern w:val="0"/>
                <w:sz w:val="24"/>
                <w:szCs w:val="20"/>
                <w:highlight w:val="none"/>
              </w:rPr>
            </w:pPr>
            <w:r>
              <w:rPr>
                <w:rFonts w:hint="default"/>
                <w:b/>
                <w:bCs/>
                <w:kern w:val="0"/>
                <w:sz w:val="24"/>
                <w:szCs w:val="20"/>
                <w:highlight w:val="none"/>
              </w:rPr>
              <w:t>4</w:t>
            </w:r>
            <w:r>
              <w:rPr>
                <w:rFonts w:hint="eastAsia"/>
                <w:b/>
                <w:bCs/>
                <w:kern w:val="0"/>
                <w:sz w:val="24"/>
                <w:szCs w:val="20"/>
                <w:highlight w:val="none"/>
              </w:rPr>
              <w:t>、六线控制</w:t>
            </w:r>
          </w:p>
          <w:p w14:paraId="3BC391C0">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60" w:lineRule="auto"/>
              <w:ind w:left="0" w:right="0" w:firstLine="480" w:firstLineChars="200"/>
              <w:textAlignment w:val="auto"/>
              <w:rPr>
                <w:rFonts w:hint="eastAsia" w:ascii="Times New Roman" w:hAnsi="Times New Roman" w:eastAsia="宋体" w:cs="Times New Roman"/>
                <w:highlight w:val="none"/>
              </w:rPr>
            </w:pPr>
            <w:r>
              <w:rPr>
                <w:rFonts w:hint="eastAsia" w:ascii="Times New Roman" w:hAnsi="Times New Roman" w:eastAsia="宋体" w:cs="Times New Roman"/>
                <w:highlight w:val="none"/>
              </w:rPr>
              <w:t>（1）城市红线：指城市道路用地等的控制线，包括城市快速路3条、主干路3条、次干路10条等，应按有关规定严格控制。</w:t>
            </w:r>
          </w:p>
          <w:p w14:paraId="590D8649">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60" w:lineRule="auto"/>
              <w:ind w:left="0" w:right="0" w:firstLine="480" w:firstLineChars="200"/>
              <w:textAlignment w:val="auto"/>
              <w:rPr>
                <w:rFonts w:hint="eastAsia" w:ascii="Times New Roman" w:hAnsi="Times New Roman" w:eastAsia="宋体" w:cs="Times New Roman"/>
                <w:highlight w:val="none"/>
              </w:rPr>
            </w:pPr>
            <w:r>
              <w:rPr>
                <w:rFonts w:hint="eastAsia" w:ascii="Times New Roman" w:hAnsi="Times New Roman" w:eastAsia="宋体" w:cs="Times New Roman"/>
                <w:highlight w:val="none"/>
              </w:rPr>
              <w:t>（2）城市蓝线：指城市地表水体保护和控制的地域界线，包括六一河、大扩溪、毛家溪、丰收溪、文礼湖、丰收湖、六一水库等，应按有关规定严格控制。</w:t>
            </w:r>
          </w:p>
          <w:p w14:paraId="3844B090">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60" w:lineRule="auto"/>
              <w:ind w:left="0" w:right="0" w:firstLine="480" w:firstLineChars="200"/>
              <w:textAlignment w:val="auto"/>
              <w:rPr>
                <w:rFonts w:hint="eastAsia" w:ascii="Times New Roman" w:hAnsi="Times New Roman" w:eastAsia="宋体" w:cs="Times New Roman"/>
                <w:highlight w:val="none"/>
              </w:rPr>
            </w:pPr>
            <w:r>
              <w:rPr>
                <w:rFonts w:hint="eastAsia" w:ascii="Times New Roman" w:hAnsi="Times New Roman" w:eastAsia="宋体" w:cs="Times New Roman"/>
                <w:highlight w:val="none"/>
              </w:rPr>
              <w:t>（3）城市绿线：指规划的各类公园绿地（G1）、防护绿地（G2）、广场用地（G3）的边界线，应按有关规定严格控制。</w:t>
            </w:r>
          </w:p>
          <w:p w14:paraId="706BA1AB">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60" w:lineRule="auto"/>
              <w:ind w:left="0" w:right="0" w:firstLine="480" w:firstLineChars="200"/>
              <w:textAlignment w:val="auto"/>
              <w:rPr>
                <w:rFonts w:hint="eastAsia" w:ascii="Times New Roman" w:hAnsi="Times New Roman" w:eastAsia="宋体" w:cs="Times New Roman"/>
                <w:highlight w:val="none"/>
              </w:rPr>
            </w:pPr>
            <w:r>
              <w:rPr>
                <w:rFonts w:hint="eastAsia" w:ascii="Times New Roman" w:hAnsi="Times New Roman" w:eastAsia="宋体" w:cs="Times New Roman"/>
                <w:highlight w:val="none"/>
              </w:rPr>
              <w:t>（4）城市黄线：指主要城市基础设施用地的控制界线，包括综合交通枢纽用地1处，公交首末站3处，消防站1处，变电站2处，公共加油加气站3处，应按相关规定严格控制。</w:t>
            </w:r>
          </w:p>
          <w:p w14:paraId="2B355875">
            <w:pPr>
              <w:keepNext w:val="0"/>
              <w:keepLines w:val="0"/>
              <w:suppressLineNumbers w:val="0"/>
              <w:adjustRightInd w:val="0"/>
              <w:snapToGrid w:val="0"/>
              <w:spacing w:before="0" w:beforeAutospacing="0" w:after="0" w:afterAutospacing="0" w:line="360" w:lineRule="auto"/>
              <w:ind w:left="0" w:right="0" w:firstLine="480" w:firstLineChars="200"/>
              <w:rPr>
                <w:rFonts w:hint="eastAsia"/>
                <w:highlight w:val="none"/>
                <w:lang w:eastAsia="zh-CN"/>
              </w:rPr>
            </w:pPr>
            <w:r>
              <w:rPr>
                <w:rFonts w:hint="eastAsia"/>
                <w:highlight w:val="none"/>
              </w:rPr>
              <w:t>（5）城市橙线：指基础教育、医疗卫生、文化、体育、社会福利、社区服务、行政办公等公益性服务设施用地的控制界线，包括：中学1所，小学1所，九年一贯制学校3所，幼儿园</w:t>
            </w:r>
            <w:r>
              <w:rPr>
                <w:rFonts w:hint="eastAsia"/>
                <w:b w:val="0"/>
                <w:bCs w:val="0"/>
                <w:highlight w:val="none"/>
              </w:rPr>
              <w:t>14所，高中2所，民营学</w:t>
            </w:r>
            <w:r>
              <w:rPr>
                <w:rFonts w:hint="eastAsia"/>
                <w:highlight w:val="none"/>
              </w:rPr>
              <w:t>校1所，城市级医疗设施（四省边际中心医院）1处，文化活动中心、社区服务中心（街道级）、街道办事处、社区卫生服务中心、门诊部、养老院、老年养护院联合形成的15分钟圈级综合服务中心3处，文化活动站、社区卫生站、社区服务站、残疾人日间照料托养服务机构联合形成的5分钟圈级综合服务站8处等，应按相关规定严格控制</w:t>
            </w:r>
            <w:r>
              <w:rPr>
                <w:rFonts w:hint="eastAsia"/>
                <w:highlight w:val="none"/>
                <w:lang w:eastAsia="zh-CN"/>
              </w:rPr>
              <w:t>。</w:t>
            </w:r>
          </w:p>
          <w:p w14:paraId="0DB32912">
            <w:pPr>
              <w:keepNext w:val="0"/>
              <w:keepLines w:val="0"/>
              <w:suppressLineNumbers w:val="0"/>
              <w:adjustRightInd w:val="0"/>
              <w:snapToGrid w:val="0"/>
              <w:spacing w:before="0" w:beforeAutospacing="0" w:after="0" w:afterAutospacing="0" w:line="360" w:lineRule="auto"/>
              <w:ind w:left="0" w:right="0" w:firstLine="482" w:firstLineChars="200"/>
              <w:rPr>
                <w:rFonts w:hint="eastAsia" w:eastAsia="宋体"/>
                <w:bCs/>
                <w:highlight w:val="none"/>
                <w:lang w:eastAsia="zh-CN"/>
              </w:rPr>
            </w:pPr>
            <w:r>
              <w:rPr>
                <w:rFonts w:hint="eastAsia"/>
                <w:b/>
                <w:bCs/>
                <w:kern w:val="0"/>
                <w:sz w:val="24"/>
                <w:szCs w:val="20"/>
                <w:highlight w:val="none"/>
              </w:rPr>
              <w:t>符合性分析：</w:t>
            </w:r>
            <w:r>
              <w:rPr>
                <w:rFonts w:hint="default"/>
                <w:kern w:val="0"/>
                <w:sz w:val="24"/>
                <w:szCs w:val="20"/>
                <w:highlight w:val="none"/>
              </w:rPr>
              <w:t>本项目</w:t>
            </w:r>
            <w:r>
              <w:rPr>
                <w:rFonts w:hint="eastAsia" w:ascii="Times New Roman" w:hAnsi="Times New Roman" w:eastAsia="宋体" w:cs="Times New Roman"/>
                <w:highlight w:val="none"/>
              </w:rPr>
              <w:t>为医学研究和试验发展</w:t>
            </w:r>
            <w:r>
              <w:rPr>
                <w:rFonts w:hint="eastAsia" w:ascii="Times New Roman" w:hAnsi="Times New Roman" w:eastAsia="宋体" w:cs="Times New Roman"/>
                <w:sz w:val="24"/>
                <w:szCs w:val="24"/>
                <w:highlight w:val="none"/>
              </w:rPr>
              <w:t>，位</w:t>
            </w:r>
            <w:r>
              <w:rPr>
                <w:rFonts w:hint="eastAsia"/>
                <w:kern w:val="0"/>
                <w:sz w:val="24"/>
                <w:szCs w:val="24"/>
                <w:highlight w:val="none"/>
              </w:rPr>
              <w:t>于</w:t>
            </w:r>
            <w:r>
              <w:rPr>
                <w:rFonts w:hint="eastAsia"/>
                <w:sz w:val="24"/>
                <w:szCs w:val="24"/>
                <w:highlight w:val="none"/>
                <w:lang w:val="en-US" w:eastAsia="zh-CN"/>
              </w:rPr>
              <w:t>衢州市高铁新城闽江大道以南、龙游路以西、常山港以北</w:t>
            </w:r>
            <w:r>
              <w:rPr>
                <w:rFonts w:hint="eastAsia"/>
                <w:kern w:val="0"/>
                <w:sz w:val="24"/>
                <w:szCs w:val="24"/>
                <w:highlight w:val="none"/>
              </w:rPr>
              <w:t>，属</w:t>
            </w:r>
            <w:r>
              <w:rPr>
                <w:rFonts w:hint="eastAsia"/>
                <w:b w:val="0"/>
                <w:bCs w:val="0"/>
                <w:kern w:val="0"/>
                <w:sz w:val="24"/>
                <w:szCs w:val="24"/>
                <w:highlight w:val="none"/>
              </w:rPr>
              <w:t>于</w:t>
            </w:r>
            <w:r>
              <w:rPr>
                <w:rFonts w:hint="eastAsia"/>
                <w:b w:val="0"/>
                <w:bCs w:val="0"/>
                <w:kern w:val="0"/>
                <w:sz w:val="24"/>
                <w:szCs w:val="20"/>
                <w:highlight w:val="none"/>
              </w:rPr>
              <w:t>生命科学片区</w:t>
            </w:r>
            <w:r>
              <w:rPr>
                <w:rFonts w:hint="eastAsia"/>
                <w:color w:val="auto"/>
                <w:kern w:val="0"/>
                <w:sz w:val="24"/>
                <w:szCs w:val="20"/>
                <w:highlight w:val="none"/>
              </w:rPr>
              <w:t>；根据衢州市高铁新城控制性详细规划用地规划图，</w:t>
            </w:r>
            <w:r>
              <w:rPr>
                <w:rFonts w:hint="eastAsia"/>
                <w:color w:val="auto"/>
                <w:kern w:val="0"/>
                <w:sz w:val="24"/>
                <w:szCs w:val="20"/>
                <w:highlight w:val="none"/>
                <w:lang w:val="en-US" w:eastAsia="zh-CN"/>
              </w:rPr>
              <w:t>项目所在</w:t>
            </w:r>
            <w:r>
              <w:rPr>
                <w:rFonts w:hint="eastAsia"/>
                <w:color w:val="auto"/>
                <w:kern w:val="0"/>
                <w:sz w:val="24"/>
                <w:szCs w:val="20"/>
                <w:highlight w:val="none"/>
              </w:rPr>
              <w:t>地块</w:t>
            </w:r>
            <w:r>
              <w:rPr>
                <w:rFonts w:hint="eastAsia"/>
                <w:color w:val="auto"/>
                <w:kern w:val="0"/>
                <w:sz w:val="24"/>
                <w:szCs w:val="20"/>
                <w:highlight w:val="none"/>
                <w:lang w:val="en-US" w:eastAsia="zh-CN"/>
              </w:rPr>
              <w:t>规划</w:t>
            </w:r>
            <w:r>
              <w:rPr>
                <w:rFonts w:hint="eastAsia"/>
                <w:color w:val="auto"/>
                <w:kern w:val="0"/>
                <w:sz w:val="24"/>
                <w:szCs w:val="20"/>
                <w:highlight w:val="none"/>
              </w:rPr>
              <w:t>用地性质为“</w:t>
            </w:r>
            <w:r>
              <w:rPr>
                <w:rFonts w:hint="eastAsia"/>
                <w:color w:val="auto"/>
                <w:kern w:val="0"/>
                <w:sz w:val="24"/>
                <w:szCs w:val="20"/>
                <w:highlight w:val="none"/>
                <w:lang w:val="en-US" w:eastAsia="zh-CN"/>
              </w:rPr>
              <w:t>科研</w:t>
            </w:r>
            <w:r>
              <w:rPr>
                <w:rFonts w:hint="eastAsia"/>
                <w:color w:val="auto"/>
                <w:kern w:val="0"/>
                <w:sz w:val="24"/>
                <w:szCs w:val="20"/>
                <w:highlight w:val="none"/>
              </w:rPr>
              <w:t>用地”。</w:t>
            </w:r>
            <w:r>
              <w:rPr>
                <w:rFonts w:hint="default"/>
                <w:color w:val="auto"/>
                <w:kern w:val="0"/>
                <w:sz w:val="24"/>
                <w:szCs w:val="20"/>
                <w:highlight w:val="none"/>
              </w:rPr>
              <w:t>因此</w:t>
            </w:r>
            <w:r>
              <w:rPr>
                <w:rFonts w:hint="eastAsia"/>
                <w:color w:val="auto"/>
                <w:kern w:val="0"/>
                <w:sz w:val="24"/>
                <w:szCs w:val="20"/>
                <w:highlight w:val="none"/>
              </w:rPr>
              <w:t>，</w:t>
            </w:r>
            <w:r>
              <w:rPr>
                <w:rFonts w:hint="default"/>
                <w:color w:val="auto"/>
                <w:kern w:val="0"/>
                <w:sz w:val="24"/>
                <w:szCs w:val="20"/>
                <w:highlight w:val="none"/>
              </w:rPr>
              <w:t>本项目</w:t>
            </w:r>
            <w:r>
              <w:rPr>
                <w:rFonts w:hint="eastAsia"/>
                <w:color w:val="auto"/>
                <w:kern w:val="0"/>
                <w:sz w:val="24"/>
                <w:szCs w:val="20"/>
                <w:highlight w:val="none"/>
              </w:rPr>
              <w:t>建设</w:t>
            </w:r>
            <w:r>
              <w:rPr>
                <w:rFonts w:hint="default"/>
                <w:color w:val="auto"/>
                <w:kern w:val="0"/>
                <w:sz w:val="24"/>
                <w:szCs w:val="20"/>
                <w:highlight w:val="none"/>
              </w:rPr>
              <w:t>符合</w:t>
            </w:r>
            <w:r>
              <w:rPr>
                <w:rFonts w:hint="eastAsia"/>
                <w:color w:val="auto"/>
                <w:kern w:val="0"/>
                <w:sz w:val="24"/>
                <w:szCs w:val="20"/>
                <w:highlight w:val="none"/>
              </w:rPr>
              <w:t>《衢州市高铁新城控制性详细规划》</w:t>
            </w:r>
            <w:r>
              <w:rPr>
                <w:rFonts w:hint="eastAsia"/>
                <w:color w:val="auto"/>
                <w:kern w:val="0"/>
                <w:sz w:val="24"/>
                <w:szCs w:val="20"/>
                <w:highlight w:val="none"/>
                <w:lang w:eastAsia="zh-CN"/>
              </w:rPr>
              <w:t>。</w:t>
            </w:r>
          </w:p>
        </w:tc>
      </w:tr>
      <w:tr w14:paraId="4D2DBE14">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7979" w:hRule="atLeast"/>
          <w:jc w:val="center"/>
        </w:trPr>
        <w:tc>
          <w:tcPr>
            <w:tcW w:w="654" w:type="dxa"/>
            <w:tcMar>
              <w:top w:w="57" w:type="dxa"/>
              <w:left w:w="57" w:type="dxa"/>
              <w:bottom w:w="0" w:type="dxa"/>
              <w:right w:w="57" w:type="dxa"/>
            </w:tcMar>
            <w:vAlign w:val="center"/>
          </w:tcPr>
          <w:p w14:paraId="2544AFA7">
            <w:pPr>
              <w:keepNext w:val="0"/>
              <w:keepLines w:val="0"/>
              <w:suppressLineNumbers w:val="0"/>
              <w:adjustRightInd w:val="0"/>
              <w:snapToGrid w:val="0"/>
              <w:spacing w:before="0" w:beforeAutospacing="0" w:after="0" w:afterAutospacing="0"/>
              <w:ind w:left="0" w:right="0"/>
              <w:jc w:val="center"/>
              <w:rPr>
                <w:rFonts w:hint="eastAsia" w:hAnsi="宋体"/>
                <w:szCs w:val="21"/>
                <w:highlight w:val="none"/>
              </w:rPr>
            </w:pPr>
          </w:p>
          <w:p w14:paraId="6FA7F6A0">
            <w:pPr>
              <w:keepNext w:val="0"/>
              <w:keepLines w:val="0"/>
              <w:suppressLineNumbers w:val="0"/>
              <w:adjustRightInd w:val="0"/>
              <w:snapToGrid w:val="0"/>
              <w:spacing w:before="0" w:beforeAutospacing="0" w:after="0" w:afterAutospacing="0"/>
              <w:ind w:left="0" w:right="0"/>
              <w:jc w:val="center"/>
              <w:rPr>
                <w:rFonts w:hint="eastAsia" w:hAnsi="宋体"/>
                <w:szCs w:val="21"/>
                <w:highlight w:val="none"/>
              </w:rPr>
            </w:pPr>
          </w:p>
          <w:p w14:paraId="544F8D32">
            <w:pPr>
              <w:keepNext w:val="0"/>
              <w:keepLines w:val="0"/>
              <w:suppressLineNumbers w:val="0"/>
              <w:adjustRightInd w:val="0"/>
              <w:snapToGrid w:val="0"/>
              <w:spacing w:before="0" w:beforeAutospacing="0" w:after="0" w:afterAutospacing="0"/>
              <w:ind w:left="0" w:right="0"/>
              <w:jc w:val="center"/>
              <w:rPr>
                <w:rFonts w:hint="eastAsia" w:hAnsi="宋体"/>
                <w:szCs w:val="21"/>
                <w:highlight w:val="none"/>
              </w:rPr>
            </w:pPr>
          </w:p>
          <w:p w14:paraId="5B2952A1">
            <w:pPr>
              <w:keepNext w:val="0"/>
              <w:keepLines w:val="0"/>
              <w:suppressLineNumbers w:val="0"/>
              <w:adjustRightInd w:val="0"/>
              <w:snapToGrid w:val="0"/>
              <w:spacing w:before="0" w:beforeAutospacing="0" w:after="0" w:afterAutospacing="0"/>
              <w:ind w:left="0" w:right="0"/>
              <w:jc w:val="center"/>
              <w:rPr>
                <w:rFonts w:hint="eastAsia" w:hAnsi="宋体"/>
                <w:szCs w:val="21"/>
                <w:highlight w:val="none"/>
              </w:rPr>
            </w:pPr>
          </w:p>
          <w:p w14:paraId="28256094">
            <w:pPr>
              <w:keepNext w:val="0"/>
              <w:keepLines w:val="0"/>
              <w:suppressLineNumbers w:val="0"/>
              <w:adjustRightInd w:val="0"/>
              <w:snapToGrid w:val="0"/>
              <w:spacing w:before="0" w:beforeAutospacing="0" w:after="0" w:afterAutospacing="0"/>
              <w:ind w:left="0" w:right="0"/>
              <w:jc w:val="center"/>
              <w:rPr>
                <w:rFonts w:hint="eastAsia" w:hAnsi="宋体"/>
                <w:szCs w:val="21"/>
                <w:highlight w:val="none"/>
              </w:rPr>
            </w:pPr>
          </w:p>
          <w:p w14:paraId="2C195E23">
            <w:pPr>
              <w:keepNext w:val="0"/>
              <w:keepLines w:val="0"/>
              <w:suppressLineNumbers w:val="0"/>
              <w:adjustRightInd w:val="0"/>
              <w:snapToGrid w:val="0"/>
              <w:spacing w:before="0" w:beforeAutospacing="0" w:after="0" w:afterAutospacing="0"/>
              <w:ind w:left="0" w:right="0"/>
              <w:jc w:val="center"/>
              <w:rPr>
                <w:rFonts w:hint="eastAsia" w:hAnsi="宋体"/>
                <w:szCs w:val="21"/>
                <w:highlight w:val="none"/>
              </w:rPr>
            </w:pPr>
          </w:p>
          <w:p w14:paraId="1382BC0C">
            <w:pPr>
              <w:keepNext w:val="0"/>
              <w:keepLines w:val="0"/>
              <w:suppressLineNumbers w:val="0"/>
              <w:adjustRightInd w:val="0"/>
              <w:snapToGrid w:val="0"/>
              <w:spacing w:before="0" w:beforeAutospacing="0" w:after="0" w:afterAutospacing="0"/>
              <w:ind w:left="0" w:right="0"/>
              <w:jc w:val="center"/>
              <w:rPr>
                <w:rFonts w:hint="eastAsia" w:hAnsi="宋体"/>
                <w:szCs w:val="21"/>
                <w:highlight w:val="none"/>
              </w:rPr>
            </w:pPr>
          </w:p>
          <w:p w14:paraId="45AC34DB">
            <w:pPr>
              <w:keepNext w:val="0"/>
              <w:keepLines w:val="0"/>
              <w:suppressLineNumbers w:val="0"/>
              <w:adjustRightInd w:val="0"/>
              <w:snapToGrid w:val="0"/>
              <w:spacing w:before="0" w:beforeAutospacing="0" w:after="0" w:afterAutospacing="0"/>
              <w:ind w:left="0" w:right="0"/>
              <w:jc w:val="center"/>
              <w:rPr>
                <w:rFonts w:hint="eastAsia" w:hAnsi="宋体"/>
                <w:szCs w:val="21"/>
                <w:highlight w:val="none"/>
              </w:rPr>
            </w:pPr>
          </w:p>
          <w:p w14:paraId="44DD094E">
            <w:pPr>
              <w:keepNext w:val="0"/>
              <w:keepLines w:val="0"/>
              <w:suppressLineNumbers w:val="0"/>
              <w:adjustRightInd w:val="0"/>
              <w:snapToGrid w:val="0"/>
              <w:spacing w:before="0" w:beforeAutospacing="0" w:after="0" w:afterAutospacing="0"/>
              <w:ind w:left="0" w:right="0"/>
              <w:jc w:val="center"/>
              <w:rPr>
                <w:rFonts w:hint="eastAsia" w:hAnsi="宋体"/>
                <w:szCs w:val="21"/>
                <w:highlight w:val="none"/>
              </w:rPr>
            </w:pPr>
          </w:p>
          <w:p w14:paraId="4AAE7D56">
            <w:pPr>
              <w:keepNext w:val="0"/>
              <w:keepLines w:val="0"/>
              <w:suppressLineNumbers w:val="0"/>
              <w:adjustRightInd w:val="0"/>
              <w:snapToGrid w:val="0"/>
              <w:spacing w:before="0" w:beforeAutospacing="0" w:after="0" w:afterAutospacing="0"/>
              <w:ind w:left="0" w:right="0"/>
              <w:jc w:val="center"/>
              <w:rPr>
                <w:rFonts w:hint="eastAsia" w:hAnsi="宋体"/>
                <w:szCs w:val="21"/>
                <w:highlight w:val="none"/>
              </w:rPr>
            </w:pPr>
          </w:p>
          <w:p w14:paraId="560E3268">
            <w:pPr>
              <w:keepNext w:val="0"/>
              <w:keepLines w:val="0"/>
              <w:suppressLineNumbers w:val="0"/>
              <w:adjustRightInd w:val="0"/>
              <w:snapToGrid w:val="0"/>
              <w:spacing w:before="0" w:beforeAutospacing="0" w:after="0" w:afterAutospacing="0"/>
              <w:ind w:left="0" w:right="0"/>
              <w:jc w:val="center"/>
              <w:rPr>
                <w:rFonts w:hint="eastAsia" w:hAnsi="宋体"/>
                <w:szCs w:val="21"/>
                <w:highlight w:val="none"/>
              </w:rPr>
            </w:pPr>
          </w:p>
          <w:p w14:paraId="0F9E703E">
            <w:pPr>
              <w:keepNext w:val="0"/>
              <w:keepLines w:val="0"/>
              <w:suppressLineNumbers w:val="0"/>
              <w:adjustRightInd w:val="0"/>
              <w:snapToGrid w:val="0"/>
              <w:spacing w:before="0" w:beforeAutospacing="0" w:after="0" w:afterAutospacing="0"/>
              <w:ind w:left="0" w:right="0"/>
              <w:jc w:val="center"/>
              <w:rPr>
                <w:rFonts w:hint="eastAsia" w:hAnsi="宋体"/>
                <w:szCs w:val="21"/>
                <w:highlight w:val="none"/>
              </w:rPr>
            </w:pPr>
          </w:p>
          <w:p w14:paraId="49708CFA">
            <w:pPr>
              <w:keepNext w:val="0"/>
              <w:keepLines w:val="0"/>
              <w:suppressLineNumbers w:val="0"/>
              <w:adjustRightInd w:val="0"/>
              <w:snapToGrid w:val="0"/>
              <w:spacing w:before="0" w:beforeAutospacing="0" w:after="0" w:afterAutospacing="0"/>
              <w:ind w:left="0" w:right="0"/>
              <w:jc w:val="center"/>
              <w:rPr>
                <w:rFonts w:hint="default" w:hAnsi="宋体"/>
                <w:szCs w:val="21"/>
                <w:highlight w:val="none"/>
              </w:rPr>
            </w:pPr>
            <w:r>
              <w:rPr>
                <w:rFonts w:hint="eastAsia" w:hAnsi="宋体"/>
                <w:szCs w:val="21"/>
                <w:highlight w:val="none"/>
              </w:rPr>
              <w:t>其他符合性分析</w:t>
            </w:r>
          </w:p>
          <w:p w14:paraId="356E5D24">
            <w:pPr>
              <w:keepNext w:val="0"/>
              <w:keepLines w:val="0"/>
              <w:suppressLineNumbers w:val="0"/>
              <w:adjustRightInd w:val="0"/>
              <w:snapToGrid w:val="0"/>
              <w:spacing w:before="0" w:beforeAutospacing="0" w:after="0" w:afterAutospacing="0"/>
              <w:ind w:left="0" w:right="0"/>
              <w:jc w:val="center"/>
              <w:rPr>
                <w:rFonts w:hint="default" w:hAnsi="宋体"/>
                <w:szCs w:val="21"/>
                <w:highlight w:val="none"/>
              </w:rPr>
            </w:pPr>
          </w:p>
          <w:p w14:paraId="06B72B63">
            <w:pPr>
              <w:keepNext w:val="0"/>
              <w:keepLines w:val="0"/>
              <w:suppressLineNumbers w:val="0"/>
              <w:adjustRightInd w:val="0"/>
              <w:snapToGrid w:val="0"/>
              <w:spacing w:before="0" w:beforeAutospacing="0" w:after="0" w:afterAutospacing="0"/>
              <w:ind w:left="0" w:right="0"/>
              <w:jc w:val="center"/>
              <w:rPr>
                <w:rFonts w:hint="default" w:hAnsi="宋体"/>
                <w:szCs w:val="21"/>
                <w:highlight w:val="none"/>
              </w:rPr>
            </w:pPr>
          </w:p>
          <w:p w14:paraId="78DD5B09">
            <w:pPr>
              <w:keepNext w:val="0"/>
              <w:keepLines w:val="0"/>
              <w:suppressLineNumbers w:val="0"/>
              <w:adjustRightInd w:val="0"/>
              <w:snapToGrid w:val="0"/>
              <w:spacing w:before="0" w:beforeAutospacing="0" w:after="0" w:afterAutospacing="0"/>
              <w:ind w:left="0" w:right="0"/>
              <w:jc w:val="center"/>
              <w:rPr>
                <w:rFonts w:hint="default" w:hAnsi="宋体"/>
                <w:szCs w:val="21"/>
                <w:highlight w:val="none"/>
              </w:rPr>
            </w:pPr>
          </w:p>
          <w:p w14:paraId="637618E3">
            <w:pPr>
              <w:keepNext w:val="0"/>
              <w:keepLines w:val="0"/>
              <w:suppressLineNumbers w:val="0"/>
              <w:adjustRightInd w:val="0"/>
              <w:snapToGrid w:val="0"/>
              <w:spacing w:before="0" w:beforeAutospacing="0" w:after="0" w:afterAutospacing="0"/>
              <w:ind w:left="0" w:right="0"/>
              <w:jc w:val="center"/>
              <w:rPr>
                <w:rFonts w:hint="default" w:hAnsi="宋体"/>
                <w:szCs w:val="21"/>
                <w:highlight w:val="none"/>
              </w:rPr>
            </w:pPr>
          </w:p>
          <w:p w14:paraId="17978FB8">
            <w:pPr>
              <w:keepNext w:val="0"/>
              <w:keepLines w:val="0"/>
              <w:suppressLineNumbers w:val="0"/>
              <w:adjustRightInd w:val="0"/>
              <w:snapToGrid w:val="0"/>
              <w:spacing w:before="0" w:beforeAutospacing="0" w:after="0" w:afterAutospacing="0"/>
              <w:ind w:left="0" w:right="0"/>
              <w:jc w:val="center"/>
              <w:rPr>
                <w:rFonts w:hint="default" w:hAnsi="宋体"/>
                <w:szCs w:val="21"/>
                <w:highlight w:val="none"/>
              </w:rPr>
            </w:pPr>
          </w:p>
          <w:p w14:paraId="608E26E7">
            <w:pPr>
              <w:keepNext w:val="0"/>
              <w:keepLines w:val="0"/>
              <w:suppressLineNumbers w:val="0"/>
              <w:adjustRightInd w:val="0"/>
              <w:snapToGrid w:val="0"/>
              <w:spacing w:before="0" w:beforeAutospacing="0" w:after="0" w:afterAutospacing="0"/>
              <w:ind w:left="0" w:right="0"/>
              <w:jc w:val="center"/>
              <w:rPr>
                <w:rFonts w:hint="default" w:hAnsi="宋体"/>
                <w:szCs w:val="21"/>
                <w:highlight w:val="none"/>
              </w:rPr>
            </w:pPr>
          </w:p>
          <w:p w14:paraId="57015FDA">
            <w:pPr>
              <w:keepNext w:val="0"/>
              <w:keepLines w:val="0"/>
              <w:suppressLineNumbers w:val="0"/>
              <w:adjustRightInd w:val="0"/>
              <w:snapToGrid w:val="0"/>
              <w:spacing w:before="0" w:beforeAutospacing="0" w:after="0" w:afterAutospacing="0"/>
              <w:ind w:left="0" w:right="0"/>
              <w:jc w:val="center"/>
              <w:rPr>
                <w:rFonts w:hint="default" w:hAnsi="宋体"/>
                <w:szCs w:val="21"/>
                <w:highlight w:val="none"/>
              </w:rPr>
            </w:pPr>
          </w:p>
          <w:p w14:paraId="0845E055">
            <w:pPr>
              <w:keepNext w:val="0"/>
              <w:keepLines w:val="0"/>
              <w:suppressLineNumbers w:val="0"/>
              <w:adjustRightInd w:val="0"/>
              <w:snapToGrid w:val="0"/>
              <w:spacing w:before="0" w:beforeAutospacing="0" w:after="0" w:afterAutospacing="0"/>
              <w:ind w:left="0" w:right="0"/>
              <w:jc w:val="center"/>
              <w:rPr>
                <w:rFonts w:hint="default" w:hAnsi="宋体"/>
                <w:szCs w:val="21"/>
                <w:highlight w:val="none"/>
              </w:rPr>
            </w:pPr>
          </w:p>
          <w:p w14:paraId="00D27DED">
            <w:pPr>
              <w:keepNext w:val="0"/>
              <w:keepLines w:val="0"/>
              <w:suppressLineNumbers w:val="0"/>
              <w:adjustRightInd w:val="0"/>
              <w:snapToGrid w:val="0"/>
              <w:spacing w:before="0" w:beforeAutospacing="0" w:after="0" w:afterAutospacing="0"/>
              <w:ind w:left="0" w:right="0"/>
              <w:jc w:val="center"/>
              <w:rPr>
                <w:rFonts w:hint="default" w:hAnsi="宋体"/>
                <w:szCs w:val="21"/>
                <w:highlight w:val="none"/>
              </w:rPr>
            </w:pPr>
          </w:p>
          <w:p w14:paraId="34F2E34E">
            <w:pPr>
              <w:keepNext w:val="0"/>
              <w:keepLines w:val="0"/>
              <w:suppressLineNumbers w:val="0"/>
              <w:adjustRightInd w:val="0"/>
              <w:snapToGrid w:val="0"/>
              <w:spacing w:before="0" w:beforeAutospacing="0" w:after="0" w:afterAutospacing="0"/>
              <w:ind w:left="0" w:right="0"/>
              <w:jc w:val="center"/>
              <w:rPr>
                <w:rFonts w:hint="default" w:hAnsi="宋体"/>
                <w:szCs w:val="21"/>
                <w:highlight w:val="none"/>
              </w:rPr>
            </w:pPr>
          </w:p>
          <w:p w14:paraId="66A64DE5">
            <w:pPr>
              <w:keepNext w:val="0"/>
              <w:keepLines w:val="0"/>
              <w:suppressLineNumbers w:val="0"/>
              <w:adjustRightInd w:val="0"/>
              <w:snapToGrid w:val="0"/>
              <w:spacing w:before="0" w:beforeAutospacing="0" w:after="0" w:afterAutospacing="0"/>
              <w:ind w:left="0" w:right="0"/>
              <w:jc w:val="center"/>
              <w:rPr>
                <w:rFonts w:hint="default" w:hAnsi="宋体"/>
                <w:szCs w:val="21"/>
                <w:highlight w:val="none"/>
              </w:rPr>
            </w:pPr>
          </w:p>
          <w:p w14:paraId="3985A0FB">
            <w:pPr>
              <w:keepNext w:val="0"/>
              <w:keepLines w:val="0"/>
              <w:suppressLineNumbers w:val="0"/>
              <w:adjustRightInd w:val="0"/>
              <w:snapToGrid w:val="0"/>
              <w:spacing w:before="0" w:beforeAutospacing="0" w:after="0" w:afterAutospacing="0"/>
              <w:ind w:left="0" w:right="0"/>
              <w:jc w:val="center"/>
              <w:rPr>
                <w:rFonts w:hint="default" w:hAnsi="宋体"/>
                <w:szCs w:val="21"/>
                <w:highlight w:val="none"/>
              </w:rPr>
            </w:pPr>
          </w:p>
          <w:p w14:paraId="0660EADF">
            <w:pPr>
              <w:keepNext w:val="0"/>
              <w:keepLines w:val="0"/>
              <w:suppressLineNumbers w:val="0"/>
              <w:adjustRightInd w:val="0"/>
              <w:snapToGrid w:val="0"/>
              <w:spacing w:before="0" w:beforeAutospacing="0" w:after="0" w:afterAutospacing="0"/>
              <w:ind w:left="0" w:right="0"/>
              <w:jc w:val="center"/>
              <w:rPr>
                <w:rFonts w:hint="default" w:hAnsi="宋体"/>
                <w:szCs w:val="21"/>
                <w:highlight w:val="none"/>
              </w:rPr>
            </w:pPr>
          </w:p>
          <w:p w14:paraId="6D86C27B">
            <w:pPr>
              <w:keepNext w:val="0"/>
              <w:keepLines w:val="0"/>
              <w:suppressLineNumbers w:val="0"/>
              <w:adjustRightInd w:val="0"/>
              <w:snapToGrid w:val="0"/>
              <w:spacing w:before="0" w:beforeAutospacing="0" w:after="0" w:afterAutospacing="0"/>
              <w:ind w:left="0" w:right="0"/>
              <w:jc w:val="center"/>
              <w:rPr>
                <w:rFonts w:hint="default" w:hAnsi="宋体"/>
                <w:szCs w:val="21"/>
                <w:highlight w:val="none"/>
              </w:rPr>
            </w:pPr>
          </w:p>
          <w:p w14:paraId="73B13E33">
            <w:pPr>
              <w:keepNext w:val="0"/>
              <w:keepLines w:val="0"/>
              <w:suppressLineNumbers w:val="0"/>
              <w:adjustRightInd w:val="0"/>
              <w:snapToGrid w:val="0"/>
              <w:spacing w:before="0" w:beforeAutospacing="0" w:after="0" w:afterAutospacing="0"/>
              <w:ind w:left="0" w:right="0"/>
              <w:jc w:val="center"/>
              <w:rPr>
                <w:rFonts w:hint="eastAsia" w:hAnsi="宋体"/>
                <w:szCs w:val="21"/>
                <w:highlight w:val="none"/>
              </w:rPr>
            </w:pPr>
          </w:p>
          <w:p w14:paraId="4A901907">
            <w:pPr>
              <w:keepNext w:val="0"/>
              <w:keepLines w:val="0"/>
              <w:suppressLineNumbers w:val="0"/>
              <w:adjustRightInd w:val="0"/>
              <w:snapToGrid w:val="0"/>
              <w:spacing w:before="0" w:beforeAutospacing="0" w:after="0" w:afterAutospacing="0"/>
              <w:ind w:left="0" w:right="0"/>
              <w:jc w:val="center"/>
              <w:rPr>
                <w:rFonts w:hint="eastAsia" w:hAnsi="宋体"/>
                <w:szCs w:val="21"/>
                <w:highlight w:val="none"/>
              </w:rPr>
            </w:pPr>
          </w:p>
          <w:p w14:paraId="2F83A384">
            <w:pPr>
              <w:keepNext w:val="0"/>
              <w:keepLines w:val="0"/>
              <w:suppressLineNumbers w:val="0"/>
              <w:adjustRightInd w:val="0"/>
              <w:snapToGrid w:val="0"/>
              <w:spacing w:before="0" w:beforeAutospacing="0" w:after="0" w:afterAutospacing="0"/>
              <w:ind w:left="0" w:right="0"/>
              <w:jc w:val="center"/>
              <w:rPr>
                <w:rFonts w:hint="eastAsia" w:hAnsi="宋体"/>
                <w:szCs w:val="21"/>
                <w:highlight w:val="none"/>
              </w:rPr>
            </w:pPr>
          </w:p>
          <w:p w14:paraId="6066AC50">
            <w:pPr>
              <w:keepNext w:val="0"/>
              <w:keepLines w:val="0"/>
              <w:suppressLineNumbers w:val="0"/>
              <w:adjustRightInd w:val="0"/>
              <w:snapToGrid w:val="0"/>
              <w:spacing w:before="0" w:beforeAutospacing="0" w:after="0" w:afterAutospacing="0"/>
              <w:ind w:left="0" w:right="0"/>
              <w:jc w:val="center"/>
              <w:rPr>
                <w:rFonts w:hint="eastAsia" w:hAnsi="宋体"/>
                <w:szCs w:val="21"/>
                <w:highlight w:val="none"/>
              </w:rPr>
            </w:pPr>
          </w:p>
          <w:p w14:paraId="26474916">
            <w:pPr>
              <w:keepNext w:val="0"/>
              <w:keepLines w:val="0"/>
              <w:suppressLineNumbers w:val="0"/>
              <w:adjustRightInd w:val="0"/>
              <w:snapToGrid w:val="0"/>
              <w:spacing w:before="0" w:beforeAutospacing="0" w:after="0" w:afterAutospacing="0"/>
              <w:ind w:left="0" w:right="0"/>
              <w:jc w:val="center"/>
              <w:rPr>
                <w:rFonts w:hint="eastAsia" w:hAnsi="宋体"/>
                <w:szCs w:val="21"/>
                <w:highlight w:val="none"/>
              </w:rPr>
            </w:pPr>
          </w:p>
          <w:p w14:paraId="4EC841F5">
            <w:pPr>
              <w:keepNext w:val="0"/>
              <w:keepLines w:val="0"/>
              <w:suppressLineNumbers w:val="0"/>
              <w:adjustRightInd w:val="0"/>
              <w:snapToGrid w:val="0"/>
              <w:spacing w:before="0" w:beforeAutospacing="0" w:after="0" w:afterAutospacing="0"/>
              <w:ind w:left="0" w:right="0"/>
              <w:jc w:val="center"/>
              <w:rPr>
                <w:rFonts w:hint="eastAsia" w:hAnsi="宋体"/>
                <w:szCs w:val="21"/>
                <w:highlight w:val="none"/>
              </w:rPr>
            </w:pPr>
          </w:p>
          <w:p w14:paraId="6609D866">
            <w:pPr>
              <w:keepNext w:val="0"/>
              <w:keepLines w:val="0"/>
              <w:suppressLineNumbers w:val="0"/>
              <w:adjustRightInd w:val="0"/>
              <w:snapToGrid w:val="0"/>
              <w:spacing w:before="0" w:beforeAutospacing="0" w:after="0" w:afterAutospacing="0"/>
              <w:ind w:left="0" w:right="0"/>
              <w:jc w:val="center"/>
              <w:rPr>
                <w:rFonts w:hint="default" w:hAnsi="宋体"/>
                <w:szCs w:val="21"/>
                <w:highlight w:val="none"/>
              </w:rPr>
            </w:pPr>
          </w:p>
          <w:p w14:paraId="353F9B36">
            <w:pPr>
              <w:keepNext w:val="0"/>
              <w:keepLines w:val="0"/>
              <w:suppressLineNumbers w:val="0"/>
              <w:adjustRightInd w:val="0"/>
              <w:snapToGrid w:val="0"/>
              <w:spacing w:before="0" w:beforeAutospacing="0" w:after="0" w:afterAutospacing="0"/>
              <w:ind w:left="0" w:right="0"/>
              <w:jc w:val="center"/>
              <w:rPr>
                <w:rFonts w:hint="default" w:hAnsi="宋体"/>
                <w:szCs w:val="21"/>
                <w:highlight w:val="none"/>
              </w:rPr>
            </w:pPr>
          </w:p>
          <w:p w14:paraId="6077506F">
            <w:pPr>
              <w:keepNext w:val="0"/>
              <w:keepLines w:val="0"/>
              <w:suppressLineNumbers w:val="0"/>
              <w:adjustRightInd w:val="0"/>
              <w:snapToGrid w:val="0"/>
              <w:spacing w:before="0" w:beforeAutospacing="0" w:after="0" w:afterAutospacing="0"/>
              <w:ind w:left="0" w:right="0"/>
              <w:jc w:val="center"/>
              <w:rPr>
                <w:rFonts w:hint="default" w:hAnsi="宋体"/>
                <w:szCs w:val="21"/>
                <w:highlight w:val="none"/>
              </w:rPr>
            </w:pPr>
          </w:p>
          <w:p w14:paraId="79A30C4C">
            <w:pPr>
              <w:keepNext w:val="0"/>
              <w:keepLines w:val="0"/>
              <w:suppressLineNumbers w:val="0"/>
              <w:adjustRightInd w:val="0"/>
              <w:snapToGrid w:val="0"/>
              <w:spacing w:before="0" w:beforeAutospacing="0" w:after="0" w:afterAutospacing="0"/>
              <w:ind w:left="0" w:right="0"/>
              <w:jc w:val="center"/>
              <w:rPr>
                <w:rFonts w:hint="default" w:hAnsi="宋体"/>
                <w:szCs w:val="21"/>
                <w:highlight w:val="none"/>
              </w:rPr>
            </w:pPr>
          </w:p>
          <w:p w14:paraId="1CBBED84">
            <w:pPr>
              <w:keepNext w:val="0"/>
              <w:keepLines w:val="0"/>
              <w:suppressLineNumbers w:val="0"/>
              <w:adjustRightInd w:val="0"/>
              <w:snapToGrid w:val="0"/>
              <w:spacing w:before="0" w:beforeAutospacing="0" w:after="0" w:afterAutospacing="0"/>
              <w:ind w:left="0" w:right="0"/>
              <w:jc w:val="center"/>
              <w:rPr>
                <w:rFonts w:hint="default" w:hAnsi="宋体"/>
                <w:szCs w:val="21"/>
                <w:highlight w:val="none"/>
              </w:rPr>
            </w:pPr>
          </w:p>
          <w:p w14:paraId="1DE80CC6">
            <w:pPr>
              <w:keepNext w:val="0"/>
              <w:keepLines w:val="0"/>
              <w:suppressLineNumbers w:val="0"/>
              <w:adjustRightInd w:val="0"/>
              <w:snapToGrid w:val="0"/>
              <w:spacing w:before="0" w:beforeAutospacing="0" w:after="0" w:afterAutospacing="0"/>
              <w:ind w:left="0" w:right="0"/>
              <w:jc w:val="center"/>
              <w:rPr>
                <w:rFonts w:hint="default" w:hAnsi="宋体"/>
                <w:szCs w:val="21"/>
                <w:highlight w:val="none"/>
              </w:rPr>
            </w:pPr>
          </w:p>
          <w:p w14:paraId="28F14B4E">
            <w:pPr>
              <w:keepNext w:val="0"/>
              <w:keepLines w:val="0"/>
              <w:suppressLineNumbers w:val="0"/>
              <w:adjustRightInd w:val="0"/>
              <w:snapToGrid w:val="0"/>
              <w:spacing w:before="0" w:beforeAutospacing="0" w:after="0" w:afterAutospacing="0"/>
              <w:ind w:left="0" w:right="0"/>
              <w:jc w:val="center"/>
              <w:rPr>
                <w:rFonts w:hint="default" w:hAnsi="宋体"/>
                <w:szCs w:val="21"/>
                <w:highlight w:val="none"/>
              </w:rPr>
            </w:pPr>
          </w:p>
          <w:p w14:paraId="3D294B68">
            <w:pPr>
              <w:keepNext w:val="0"/>
              <w:keepLines w:val="0"/>
              <w:suppressLineNumbers w:val="0"/>
              <w:adjustRightInd w:val="0"/>
              <w:snapToGrid w:val="0"/>
              <w:spacing w:before="0" w:beforeAutospacing="0" w:after="0" w:afterAutospacing="0"/>
              <w:ind w:left="0" w:right="0"/>
              <w:jc w:val="center"/>
              <w:rPr>
                <w:rFonts w:hint="eastAsia" w:hAnsi="宋体"/>
                <w:szCs w:val="21"/>
                <w:highlight w:val="none"/>
              </w:rPr>
            </w:pPr>
          </w:p>
          <w:p w14:paraId="6C5A82DB">
            <w:pPr>
              <w:keepNext w:val="0"/>
              <w:keepLines w:val="0"/>
              <w:suppressLineNumbers w:val="0"/>
              <w:adjustRightInd w:val="0"/>
              <w:snapToGrid w:val="0"/>
              <w:spacing w:before="0" w:beforeAutospacing="0" w:after="0" w:afterAutospacing="0"/>
              <w:ind w:left="0" w:right="0"/>
              <w:jc w:val="center"/>
              <w:rPr>
                <w:rFonts w:hint="eastAsia" w:hAnsi="宋体"/>
                <w:szCs w:val="21"/>
                <w:highlight w:val="none"/>
              </w:rPr>
            </w:pPr>
          </w:p>
          <w:p w14:paraId="19BBD1C6">
            <w:pPr>
              <w:keepNext w:val="0"/>
              <w:keepLines w:val="0"/>
              <w:suppressLineNumbers w:val="0"/>
              <w:adjustRightInd w:val="0"/>
              <w:snapToGrid w:val="0"/>
              <w:spacing w:before="0" w:beforeAutospacing="0" w:after="0" w:afterAutospacing="0"/>
              <w:ind w:left="0" w:right="0"/>
              <w:jc w:val="center"/>
              <w:rPr>
                <w:rFonts w:hint="eastAsia" w:hAnsi="宋体"/>
                <w:szCs w:val="21"/>
                <w:highlight w:val="none"/>
              </w:rPr>
            </w:pPr>
          </w:p>
          <w:p w14:paraId="2CE1DB9D">
            <w:pPr>
              <w:keepNext w:val="0"/>
              <w:keepLines w:val="0"/>
              <w:suppressLineNumbers w:val="0"/>
              <w:adjustRightInd w:val="0"/>
              <w:snapToGrid w:val="0"/>
              <w:spacing w:before="0" w:beforeAutospacing="0" w:after="0" w:afterAutospacing="0"/>
              <w:ind w:left="0" w:right="0"/>
              <w:jc w:val="center"/>
              <w:rPr>
                <w:rFonts w:hint="eastAsia" w:hAnsi="宋体"/>
                <w:szCs w:val="21"/>
                <w:highlight w:val="none"/>
              </w:rPr>
            </w:pPr>
          </w:p>
          <w:p w14:paraId="50B8CF1A">
            <w:pPr>
              <w:keepNext w:val="0"/>
              <w:keepLines w:val="0"/>
              <w:suppressLineNumbers w:val="0"/>
              <w:adjustRightInd w:val="0"/>
              <w:snapToGrid w:val="0"/>
              <w:spacing w:before="0" w:beforeAutospacing="0" w:after="0" w:afterAutospacing="0"/>
              <w:ind w:left="0" w:right="0"/>
              <w:jc w:val="center"/>
              <w:rPr>
                <w:rFonts w:hint="eastAsia" w:hAnsi="宋体"/>
                <w:szCs w:val="21"/>
                <w:highlight w:val="none"/>
              </w:rPr>
            </w:pPr>
          </w:p>
          <w:p w14:paraId="3F683446">
            <w:pPr>
              <w:keepNext w:val="0"/>
              <w:keepLines w:val="0"/>
              <w:suppressLineNumbers w:val="0"/>
              <w:adjustRightInd w:val="0"/>
              <w:snapToGrid w:val="0"/>
              <w:spacing w:before="0" w:beforeAutospacing="0" w:after="0" w:afterAutospacing="0"/>
              <w:ind w:left="0" w:right="0"/>
              <w:jc w:val="center"/>
              <w:rPr>
                <w:rFonts w:hint="default" w:hAnsi="宋体"/>
                <w:szCs w:val="21"/>
                <w:highlight w:val="none"/>
              </w:rPr>
            </w:pPr>
            <w:r>
              <w:rPr>
                <w:rFonts w:hint="eastAsia" w:hAnsi="宋体"/>
                <w:szCs w:val="21"/>
                <w:highlight w:val="none"/>
              </w:rPr>
              <w:t>其他符合性分析</w:t>
            </w:r>
          </w:p>
          <w:p w14:paraId="5627E47A">
            <w:pPr>
              <w:keepNext w:val="0"/>
              <w:keepLines w:val="0"/>
              <w:suppressLineNumbers w:val="0"/>
              <w:adjustRightInd w:val="0"/>
              <w:snapToGrid w:val="0"/>
              <w:spacing w:before="0" w:beforeAutospacing="0" w:after="0" w:afterAutospacing="0"/>
              <w:ind w:left="0" w:right="0"/>
              <w:jc w:val="center"/>
              <w:rPr>
                <w:rFonts w:hint="default" w:hAnsi="宋体"/>
                <w:szCs w:val="21"/>
                <w:highlight w:val="none"/>
              </w:rPr>
            </w:pPr>
          </w:p>
          <w:p w14:paraId="0DBC4460">
            <w:pPr>
              <w:keepNext w:val="0"/>
              <w:keepLines w:val="0"/>
              <w:suppressLineNumbers w:val="0"/>
              <w:adjustRightInd w:val="0"/>
              <w:snapToGrid w:val="0"/>
              <w:spacing w:before="0" w:beforeAutospacing="0" w:after="0" w:afterAutospacing="0"/>
              <w:ind w:left="0" w:right="0"/>
              <w:jc w:val="center"/>
              <w:rPr>
                <w:rFonts w:hint="default" w:hAnsi="宋体"/>
                <w:szCs w:val="21"/>
                <w:highlight w:val="none"/>
              </w:rPr>
            </w:pPr>
          </w:p>
          <w:p w14:paraId="27A4F59D">
            <w:pPr>
              <w:keepNext w:val="0"/>
              <w:keepLines w:val="0"/>
              <w:suppressLineNumbers w:val="0"/>
              <w:adjustRightInd w:val="0"/>
              <w:snapToGrid w:val="0"/>
              <w:spacing w:before="0" w:beforeAutospacing="0" w:after="0" w:afterAutospacing="0"/>
              <w:ind w:left="0" w:right="0"/>
              <w:jc w:val="center"/>
              <w:rPr>
                <w:rFonts w:hint="default" w:hAnsi="宋体"/>
                <w:szCs w:val="21"/>
                <w:highlight w:val="none"/>
              </w:rPr>
            </w:pPr>
          </w:p>
          <w:p w14:paraId="1A61BB95">
            <w:pPr>
              <w:keepNext w:val="0"/>
              <w:keepLines w:val="0"/>
              <w:suppressLineNumbers w:val="0"/>
              <w:adjustRightInd w:val="0"/>
              <w:snapToGrid w:val="0"/>
              <w:spacing w:before="0" w:beforeAutospacing="0" w:after="0" w:afterAutospacing="0"/>
              <w:ind w:left="0" w:right="0"/>
              <w:jc w:val="center"/>
              <w:rPr>
                <w:rFonts w:hint="default" w:hAnsi="宋体"/>
                <w:szCs w:val="21"/>
                <w:highlight w:val="none"/>
              </w:rPr>
            </w:pPr>
          </w:p>
          <w:p w14:paraId="4FA0D26D">
            <w:pPr>
              <w:keepNext w:val="0"/>
              <w:keepLines w:val="0"/>
              <w:suppressLineNumbers w:val="0"/>
              <w:adjustRightInd w:val="0"/>
              <w:snapToGrid w:val="0"/>
              <w:spacing w:before="0" w:beforeAutospacing="0" w:after="0" w:afterAutospacing="0"/>
              <w:ind w:left="0" w:right="0"/>
              <w:jc w:val="center"/>
              <w:rPr>
                <w:rFonts w:hint="default" w:hAnsi="宋体"/>
                <w:szCs w:val="21"/>
                <w:highlight w:val="none"/>
              </w:rPr>
            </w:pPr>
          </w:p>
          <w:p w14:paraId="0855FF81">
            <w:pPr>
              <w:keepNext w:val="0"/>
              <w:keepLines w:val="0"/>
              <w:suppressLineNumbers w:val="0"/>
              <w:adjustRightInd w:val="0"/>
              <w:snapToGrid w:val="0"/>
              <w:spacing w:before="0" w:beforeAutospacing="0" w:after="0" w:afterAutospacing="0"/>
              <w:ind w:left="0" w:right="0"/>
              <w:jc w:val="center"/>
              <w:rPr>
                <w:rFonts w:hint="default" w:hAnsi="宋体"/>
                <w:szCs w:val="21"/>
                <w:highlight w:val="none"/>
              </w:rPr>
            </w:pPr>
          </w:p>
          <w:p w14:paraId="7E0B2517">
            <w:pPr>
              <w:keepNext w:val="0"/>
              <w:keepLines w:val="0"/>
              <w:suppressLineNumbers w:val="0"/>
              <w:adjustRightInd w:val="0"/>
              <w:snapToGrid w:val="0"/>
              <w:spacing w:before="0" w:beforeAutospacing="0" w:after="0" w:afterAutospacing="0"/>
              <w:ind w:left="0" w:right="0"/>
              <w:jc w:val="center"/>
              <w:rPr>
                <w:rFonts w:hint="default" w:hAnsi="宋体"/>
                <w:szCs w:val="21"/>
                <w:highlight w:val="none"/>
              </w:rPr>
            </w:pPr>
          </w:p>
          <w:p w14:paraId="5E4FA7AC">
            <w:pPr>
              <w:keepNext w:val="0"/>
              <w:keepLines w:val="0"/>
              <w:suppressLineNumbers w:val="0"/>
              <w:adjustRightInd w:val="0"/>
              <w:snapToGrid w:val="0"/>
              <w:spacing w:before="0" w:beforeAutospacing="0" w:after="0" w:afterAutospacing="0"/>
              <w:ind w:left="0" w:right="0"/>
              <w:jc w:val="center"/>
              <w:rPr>
                <w:rFonts w:hint="default" w:hAnsi="宋体"/>
                <w:szCs w:val="21"/>
                <w:highlight w:val="none"/>
              </w:rPr>
            </w:pPr>
          </w:p>
          <w:p w14:paraId="00ED02D6">
            <w:pPr>
              <w:keepNext w:val="0"/>
              <w:keepLines w:val="0"/>
              <w:suppressLineNumbers w:val="0"/>
              <w:adjustRightInd w:val="0"/>
              <w:snapToGrid w:val="0"/>
              <w:spacing w:before="0" w:beforeAutospacing="0" w:after="0" w:afterAutospacing="0"/>
              <w:ind w:left="0" w:right="0"/>
              <w:jc w:val="center"/>
              <w:rPr>
                <w:rFonts w:hint="default" w:hAnsi="宋体"/>
                <w:szCs w:val="21"/>
                <w:highlight w:val="none"/>
              </w:rPr>
            </w:pPr>
          </w:p>
          <w:p w14:paraId="59336ADD">
            <w:pPr>
              <w:keepNext w:val="0"/>
              <w:keepLines w:val="0"/>
              <w:suppressLineNumbers w:val="0"/>
              <w:adjustRightInd w:val="0"/>
              <w:snapToGrid w:val="0"/>
              <w:spacing w:before="0" w:beforeAutospacing="0" w:after="0" w:afterAutospacing="0"/>
              <w:ind w:left="0" w:right="0"/>
              <w:jc w:val="center"/>
              <w:rPr>
                <w:rFonts w:hint="default" w:hAnsi="宋体"/>
                <w:szCs w:val="21"/>
                <w:highlight w:val="none"/>
              </w:rPr>
            </w:pPr>
          </w:p>
          <w:p w14:paraId="1FACD895">
            <w:pPr>
              <w:keepNext w:val="0"/>
              <w:keepLines w:val="0"/>
              <w:suppressLineNumbers w:val="0"/>
              <w:adjustRightInd w:val="0"/>
              <w:snapToGrid w:val="0"/>
              <w:spacing w:before="0" w:beforeAutospacing="0" w:after="0" w:afterAutospacing="0"/>
              <w:ind w:left="0" w:right="0"/>
              <w:jc w:val="center"/>
              <w:rPr>
                <w:rFonts w:hint="default" w:hAnsi="宋体"/>
                <w:szCs w:val="21"/>
                <w:highlight w:val="none"/>
              </w:rPr>
            </w:pPr>
          </w:p>
          <w:p w14:paraId="30CAD606">
            <w:pPr>
              <w:keepNext w:val="0"/>
              <w:keepLines w:val="0"/>
              <w:suppressLineNumbers w:val="0"/>
              <w:adjustRightInd w:val="0"/>
              <w:snapToGrid w:val="0"/>
              <w:spacing w:before="0" w:beforeAutospacing="0" w:after="0" w:afterAutospacing="0"/>
              <w:ind w:left="0" w:right="0"/>
              <w:jc w:val="center"/>
              <w:rPr>
                <w:rFonts w:hint="default" w:hAnsi="宋体"/>
                <w:szCs w:val="21"/>
                <w:highlight w:val="none"/>
              </w:rPr>
            </w:pPr>
          </w:p>
          <w:p w14:paraId="0C012B15">
            <w:pPr>
              <w:keepNext w:val="0"/>
              <w:keepLines w:val="0"/>
              <w:suppressLineNumbers w:val="0"/>
              <w:adjustRightInd w:val="0"/>
              <w:snapToGrid w:val="0"/>
              <w:spacing w:before="0" w:beforeAutospacing="0" w:after="0" w:afterAutospacing="0"/>
              <w:ind w:left="0" w:right="0"/>
              <w:jc w:val="center"/>
              <w:rPr>
                <w:rFonts w:hint="default" w:hAnsi="宋体"/>
                <w:szCs w:val="21"/>
                <w:highlight w:val="none"/>
              </w:rPr>
            </w:pPr>
          </w:p>
          <w:p w14:paraId="1B3D979C">
            <w:pPr>
              <w:keepNext w:val="0"/>
              <w:keepLines w:val="0"/>
              <w:suppressLineNumbers w:val="0"/>
              <w:adjustRightInd w:val="0"/>
              <w:snapToGrid w:val="0"/>
              <w:spacing w:before="0" w:beforeAutospacing="0" w:after="0" w:afterAutospacing="0"/>
              <w:ind w:left="0" w:right="0"/>
              <w:jc w:val="center"/>
              <w:rPr>
                <w:rFonts w:hint="default" w:hAnsi="宋体"/>
                <w:szCs w:val="21"/>
                <w:highlight w:val="none"/>
              </w:rPr>
            </w:pPr>
          </w:p>
          <w:p w14:paraId="76F0000C">
            <w:pPr>
              <w:keepNext w:val="0"/>
              <w:keepLines w:val="0"/>
              <w:suppressLineNumbers w:val="0"/>
              <w:adjustRightInd w:val="0"/>
              <w:snapToGrid w:val="0"/>
              <w:spacing w:before="0" w:beforeAutospacing="0" w:after="0" w:afterAutospacing="0"/>
              <w:ind w:left="0" w:right="0"/>
              <w:jc w:val="center"/>
              <w:rPr>
                <w:rFonts w:hint="default" w:hAnsi="宋体"/>
                <w:szCs w:val="21"/>
                <w:highlight w:val="none"/>
              </w:rPr>
            </w:pPr>
          </w:p>
          <w:p w14:paraId="48511888">
            <w:pPr>
              <w:keepNext w:val="0"/>
              <w:keepLines w:val="0"/>
              <w:suppressLineNumbers w:val="0"/>
              <w:adjustRightInd w:val="0"/>
              <w:snapToGrid w:val="0"/>
              <w:spacing w:before="0" w:beforeAutospacing="0" w:after="0" w:afterAutospacing="0"/>
              <w:ind w:left="0" w:right="0"/>
              <w:jc w:val="center"/>
              <w:rPr>
                <w:rFonts w:hint="default" w:hAnsi="宋体"/>
                <w:szCs w:val="21"/>
                <w:highlight w:val="none"/>
              </w:rPr>
            </w:pPr>
          </w:p>
          <w:p w14:paraId="16886D2B">
            <w:pPr>
              <w:keepNext w:val="0"/>
              <w:keepLines w:val="0"/>
              <w:suppressLineNumbers w:val="0"/>
              <w:adjustRightInd w:val="0"/>
              <w:snapToGrid w:val="0"/>
              <w:spacing w:before="0" w:beforeAutospacing="0" w:after="0" w:afterAutospacing="0"/>
              <w:ind w:left="0" w:right="0"/>
              <w:jc w:val="center"/>
              <w:rPr>
                <w:rFonts w:hint="default" w:hAnsi="宋体"/>
                <w:szCs w:val="21"/>
                <w:highlight w:val="none"/>
              </w:rPr>
            </w:pPr>
          </w:p>
          <w:p w14:paraId="27A8ADCE">
            <w:pPr>
              <w:keepNext w:val="0"/>
              <w:keepLines w:val="0"/>
              <w:suppressLineNumbers w:val="0"/>
              <w:adjustRightInd w:val="0"/>
              <w:snapToGrid w:val="0"/>
              <w:spacing w:before="0" w:beforeAutospacing="0" w:after="0" w:afterAutospacing="0"/>
              <w:ind w:left="0" w:right="0"/>
              <w:jc w:val="center"/>
              <w:rPr>
                <w:rFonts w:hint="default" w:hAnsi="宋体"/>
                <w:szCs w:val="21"/>
                <w:highlight w:val="none"/>
              </w:rPr>
            </w:pPr>
          </w:p>
          <w:p w14:paraId="245A7639">
            <w:pPr>
              <w:keepNext w:val="0"/>
              <w:keepLines w:val="0"/>
              <w:suppressLineNumbers w:val="0"/>
              <w:adjustRightInd w:val="0"/>
              <w:snapToGrid w:val="0"/>
              <w:spacing w:before="0" w:beforeAutospacing="0" w:after="0" w:afterAutospacing="0"/>
              <w:ind w:left="0" w:right="0"/>
              <w:jc w:val="center"/>
              <w:rPr>
                <w:rFonts w:hint="default" w:hAnsi="宋体"/>
                <w:szCs w:val="21"/>
                <w:highlight w:val="none"/>
              </w:rPr>
            </w:pPr>
          </w:p>
          <w:p w14:paraId="66F7C8DE">
            <w:pPr>
              <w:keepNext w:val="0"/>
              <w:keepLines w:val="0"/>
              <w:suppressLineNumbers w:val="0"/>
              <w:adjustRightInd w:val="0"/>
              <w:snapToGrid w:val="0"/>
              <w:spacing w:before="0" w:beforeAutospacing="0" w:after="0" w:afterAutospacing="0"/>
              <w:ind w:left="0" w:right="0"/>
              <w:jc w:val="center"/>
              <w:rPr>
                <w:rFonts w:hint="default" w:hAnsi="宋体"/>
                <w:szCs w:val="21"/>
                <w:highlight w:val="none"/>
              </w:rPr>
            </w:pPr>
          </w:p>
          <w:p w14:paraId="15E98690">
            <w:pPr>
              <w:keepNext w:val="0"/>
              <w:keepLines w:val="0"/>
              <w:suppressLineNumbers w:val="0"/>
              <w:adjustRightInd w:val="0"/>
              <w:snapToGrid w:val="0"/>
              <w:spacing w:before="0" w:beforeAutospacing="0" w:after="0" w:afterAutospacing="0"/>
              <w:ind w:left="0" w:right="0"/>
              <w:jc w:val="center"/>
              <w:rPr>
                <w:rFonts w:hint="default" w:hAnsi="宋体"/>
                <w:szCs w:val="21"/>
                <w:highlight w:val="none"/>
              </w:rPr>
            </w:pPr>
          </w:p>
          <w:p w14:paraId="2A0376FF">
            <w:pPr>
              <w:keepNext w:val="0"/>
              <w:keepLines w:val="0"/>
              <w:suppressLineNumbers w:val="0"/>
              <w:adjustRightInd w:val="0"/>
              <w:snapToGrid w:val="0"/>
              <w:spacing w:before="0" w:beforeAutospacing="0" w:after="0" w:afterAutospacing="0"/>
              <w:ind w:left="0" w:right="0"/>
              <w:jc w:val="center"/>
              <w:rPr>
                <w:rFonts w:hint="default" w:hAnsi="宋体"/>
                <w:szCs w:val="21"/>
                <w:highlight w:val="none"/>
              </w:rPr>
            </w:pPr>
          </w:p>
          <w:p w14:paraId="3F8B328C">
            <w:pPr>
              <w:keepNext w:val="0"/>
              <w:keepLines w:val="0"/>
              <w:suppressLineNumbers w:val="0"/>
              <w:adjustRightInd w:val="0"/>
              <w:snapToGrid w:val="0"/>
              <w:spacing w:before="0" w:beforeAutospacing="0" w:after="0" w:afterAutospacing="0"/>
              <w:ind w:left="0" w:right="0"/>
              <w:jc w:val="center"/>
              <w:rPr>
                <w:rFonts w:hint="default" w:hAnsi="宋体"/>
                <w:szCs w:val="21"/>
                <w:highlight w:val="none"/>
              </w:rPr>
            </w:pPr>
          </w:p>
          <w:p w14:paraId="5E75ECEE">
            <w:pPr>
              <w:keepNext w:val="0"/>
              <w:keepLines w:val="0"/>
              <w:suppressLineNumbers w:val="0"/>
              <w:adjustRightInd w:val="0"/>
              <w:snapToGrid w:val="0"/>
              <w:spacing w:before="0" w:beforeAutospacing="0" w:after="0" w:afterAutospacing="0"/>
              <w:ind w:left="0" w:right="0"/>
              <w:jc w:val="center"/>
              <w:rPr>
                <w:rFonts w:hint="default" w:hAnsi="宋体"/>
                <w:szCs w:val="21"/>
                <w:highlight w:val="none"/>
              </w:rPr>
            </w:pPr>
          </w:p>
          <w:p w14:paraId="253AF0E0">
            <w:pPr>
              <w:keepNext w:val="0"/>
              <w:keepLines w:val="0"/>
              <w:suppressLineNumbers w:val="0"/>
              <w:adjustRightInd w:val="0"/>
              <w:snapToGrid w:val="0"/>
              <w:spacing w:before="0" w:beforeAutospacing="0" w:after="0" w:afterAutospacing="0"/>
              <w:ind w:left="0" w:right="0"/>
              <w:jc w:val="center"/>
              <w:rPr>
                <w:rFonts w:hint="default" w:hAnsi="宋体"/>
                <w:szCs w:val="21"/>
                <w:highlight w:val="none"/>
              </w:rPr>
            </w:pPr>
          </w:p>
          <w:p w14:paraId="11489EAE">
            <w:pPr>
              <w:keepNext w:val="0"/>
              <w:keepLines w:val="0"/>
              <w:suppressLineNumbers w:val="0"/>
              <w:adjustRightInd w:val="0"/>
              <w:snapToGrid w:val="0"/>
              <w:spacing w:before="0" w:beforeAutospacing="0" w:after="0" w:afterAutospacing="0"/>
              <w:ind w:left="0" w:right="0"/>
              <w:jc w:val="center"/>
              <w:rPr>
                <w:rFonts w:hint="default" w:hAnsi="宋体"/>
                <w:szCs w:val="21"/>
                <w:highlight w:val="none"/>
              </w:rPr>
            </w:pPr>
          </w:p>
          <w:p w14:paraId="0BA31C5F">
            <w:pPr>
              <w:keepNext w:val="0"/>
              <w:keepLines w:val="0"/>
              <w:suppressLineNumbers w:val="0"/>
              <w:adjustRightInd w:val="0"/>
              <w:snapToGrid w:val="0"/>
              <w:spacing w:before="0" w:beforeAutospacing="0" w:after="0" w:afterAutospacing="0"/>
              <w:ind w:left="0" w:right="0"/>
              <w:jc w:val="center"/>
              <w:rPr>
                <w:rFonts w:hint="default" w:hAnsi="宋体"/>
                <w:szCs w:val="21"/>
                <w:highlight w:val="none"/>
              </w:rPr>
            </w:pPr>
          </w:p>
          <w:p w14:paraId="43227147">
            <w:pPr>
              <w:keepNext w:val="0"/>
              <w:keepLines w:val="0"/>
              <w:suppressLineNumbers w:val="0"/>
              <w:adjustRightInd w:val="0"/>
              <w:snapToGrid w:val="0"/>
              <w:spacing w:before="0" w:beforeAutospacing="0" w:after="0" w:afterAutospacing="0"/>
              <w:ind w:left="0" w:right="0"/>
              <w:jc w:val="center"/>
              <w:rPr>
                <w:rFonts w:hint="default" w:hAnsi="宋体"/>
                <w:szCs w:val="21"/>
                <w:highlight w:val="none"/>
              </w:rPr>
            </w:pPr>
          </w:p>
          <w:p w14:paraId="141AAFE4">
            <w:pPr>
              <w:keepNext w:val="0"/>
              <w:keepLines w:val="0"/>
              <w:suppressLineNumbers w:val="0"/>
              <w:adjustRightInd w:val="0"/>
              <w:snapToGrid w:val="0"/>
              <w:spacing w:before="0" w:beforeAutospacing="0" w:after="0" w:afterAutospacing="0"/>
              <w:ind w:left="0" w:right="0"/>
              <w:jc w:val="center"/>
              <w:rPr>
                <w:rFonts w:hint="default" w:hAnsi="宋体"/>
                <w:szCs w:val="21"/>
                <w:highlight w:val="none"/>
              </w:rPr>
            </w:pPr>
          </w:p>
          <w:p w14:paraId="0A4D364A">
            <w:pPr>
              <w:keepNext w:val="0"/>
              <w:keepLines w:val="0"/>
              <w:suppressLineNumbers w:val="0"/>
              <w:adjustRightInd w:val="0"/>
              <w:snapToGrid w:val="0"/>
              <w:spacing w:before="0" w:beforeAutospacing="0" w:after="0" w:afterAutospacing="0"/>
              <w:ind w:left="0" w:right="0"/>
              <w:jc w:val="center"/>
              <w:rPr>
                <w:rFonts w:hint="default" w:hAnsi="宋体"/>
                <w:szCs w:val="21"/>
                <w:highlight w:val="none"/>
              </w:rPr>
            </w:pPr>
          </w:p>
          <w:p w14:paraId="1EF676AB">
            <w:pPr>
              <w:keepNext w:val="0"/>
              <w:keepLines w:val="0"/>
              <w:suppressLineNumbers w:val="0"/>
              <w:adjustRightInd w:val="0"/>
              <w:snapToGrid w:val="0"/>
              <w:spacing w:before="0" w:beforeAutospacing="0" w:after="0" w:afterAutospacing="0"/>
              <w:ind w:left="0" w:right="0"/>
              <w:jc w:val="center"/>
              <w:rPr>
                <w:rFonts w:hint="default" w:hAnsi="宋体"/>
                <w:szCs w:val="21"/>
                <w:highlight w:val="none"/>
              </w:rPr>
            </w:pPr>
          </w:p>
          <w:p w14:paraId="0275B610">
            <w:pPr>
              <w:keepNext w:val="0"/>
              <w:keepLines w:val="0"/>
              <w:suppressLineNumbers w:val="0"/>
              <w:adjustRightInd w:val="0"/>
              <w:snapToGrid w:val="0"/>
              <w:spacing w:before="0" w:beforeAutospacing="0" w:after="0" w:afterAutospacing="0"/>
              <w:ind w:left="0" w:right="0"/>
              <w:jc w:val="center"/>
              <w:rPr>
                <w:rFonts w:hint="default" w:hAnsi="宋体"/>
                <w:szCs w:val="21"/>
                <w:highlight w:val="none"/>
              </w:rPr>
            </w:pPr>
          </w:p>
          <w:p w14:paraId="5D20BA27">
            <w:pPr>
              <w:keepNext w:val="0"/>
              <w:keepLines w:val="0"/>
              <w:suppressLineNumbers w:val="0"/>
              <w:adjustRightInd w:val="0"/>
              <w:snapToGrid w:val="0"/>
              <w:spacing w:before="0" w:beforeAutospacing="0" w:after="0" w:afterAutospacing="0"/>
              <w:ind w:left="0" w:right="0"/>
              <w:jc w:val="center"/>
              <w:rPr>
                <w:rFonts w:hint="default" w:hAnsi="宋体"/>
                <w:szCs w:val="21"/>
                <w:highlight w:val="none"/>
              </w:rPr>
            </w:pPr>
          </w:p>
          <w:p w14:paraId="37341E96">
            <w:pPr>
              <w:keepNext w:val="0"/>
              <w:keepLines w:val="0"/>
              <w:suppressLineNumbers w:val="0"/>
              <w:adjustRightInd w:val="0"/>
              <w:snapToGrid w:val="0"/>
              <w:spacing w:before="0" w:beforeAutospacing="0" w:after="0" w:afterAutospacing="0"/>
              <w:ind w:left="0" w:right="0"/>
              <w:jc w:val="center"/>
              <w:rPr>
                <w:rFonts w:hint="default" w:hAnsi="宋体"/>
                <w:szCs w:val="21"/>
                <w:highlight w:val="none"/>
              </w:rPr>
            </w:pPr>
          </w:p>
          <w:p w14:paraId="4232A81F">
            <w:pPr>
              <w:keepNext w:val="0"/>
              <w:keepLines w:val="0"/>
              <w:suppressLineNumbers w:val="0"/>
              <w:adjustRightInd w:val="0"/>
              <w:snapToGrid w:val="0"/>
              <w:spacing w:before="0" w:beforeAutospacing="0" w:after="0" w:afterAutospacing="0"/>
              <w:ind w:left="0" w:right="0"/>
              <w:jc w:val="center"/>
              <w:rPr>
                <w:rFonts w:hint="eastAsia" w:hAnsi="宋体"/>
                <w:szCs w:val="21"/>
                <w:highlight w:val="none"/>
              </w:rPr>
            </w:pPr>
          </w:p>
          <w:p w14:paraId="58A014A7">
            <w:pPr>
              <w:keepNext w:val="0"/>
              <w:keepLines w:val="0"/>
              <w:suppressLineNumbers w:val="0"/>
              <w:adjustRightInd w:val="0"/>
              <w:snapToGrid w:val="0"/>
              <w:spacing w:before="0" w:beforeAutospacing="0" w:after="0" w:afterAutospacing="0"/>
              <w:ind w:left="0" w:right="0"/>
              <w:jc w:val="center"/>
              <w:rPr>
                <w:rFonts w:hint="eastAsia" w:hAnsi="宋体"/>
                <w:szCs w:val="21"/>
                <w:highlight w:val="none"/>
              </w:rPr>
            </w:pPr>
          </w:p>
          <w:p w14:paraId="4915E16C">
            <w:pPr>
              <w:keepNext w:val="0"/>
              <w:keepLines w:val="0"/>
              <w:suppressLineNumbers w:val="0"/>
              <w:adjustRightInd w:val="0"/>
              <w:snapToGrid w:val="0"/>
              <w:spacing w:before="0" w:beforeAutospacing="0" w:after="0" w:afterAutospacing="0"/>
              <w:ind w:left="0" w:right="0"/>
              <w:jc w:val="center"/>
              <w:rPr>
                <w:rFonts w:hint="eastAsia" w:hAnsi="宋体"/>
                <w:szCs w:val="21"/>
                <w:highlight w:val="none"/>
              </w:rPr>
            </w:pPr>
          </w:p>
          <w:p w14:paraId="777BB443">
            <w:pPr>
              <w:keepNext w:val="0"/>
              <w:keepLines w:val="0"/>
              <w:suppressLineNumbers w:val="0"/>
              <w:adjustRightInd w:val="0"/>
              <w:snapToGrid w:val="0"/>
              <w:spacing w:before="0" w:beforeAutospacing="0" w:after="0" w:afterAutospacing="0"/>
              <w:ind w:left="0" w:right="0"/>
              <w:jc w:val="center"/>
              <w:rPr>
                <w:rFonts w:hint="default" w:hAnsi="宋体"/>
                <w:szCs w:val="21"/>
                <w:highlight w:val="none"/>
              </w:rPr>
            </w:pPr>
          </w:p>
          <w:p w14:paraId="2228ACCE">
            <w:pPr>
              <w:keepNext w:val="0"/>
              <w:keepLines w:val="0"/>
              <w:suppressLineNumbers w:val="0"/>
              <w:adjustRightInd w:val="0"/>
              <w:snapToGrid w:val="0"/>
              <w:spacing w:before="0" w:beforeAutospacing="0" w:after="0" w:afterAutospacing="0"/>
              <w:ind w:left="0" w:right="0"/>
              <w:jc w:val="center"/>
              <w:rPr>
                <w:rFonts w:hint="default" w:hAnsi="宋体"/>
                <w:szCs w:val="21"/>
                <w:highlight w:val="none"/>
              </w:rPr>
            </w:pPr>
          </w:p>
          <w:p w14:paraId="568CB968">
            <w:pPr>
              <w:keepNext w:val="0"/>
              <w:keepLines w:val="0"/>
              <w:suppressLineNumbers w:val="0"/>
              <w:adjustRightInd w:val="0"/>
              <w:snapToGrid w:val="0"/>
              <w:spacing w:before="0" w:beforeAutospacing="0" w:after="0" w:afterAutospacing="0"/>
              <w:ind w:left="0" w:right="0"/>
              <w:jc w:val="center"/>
              <w:rPr>
                <w:rFonts w:hint="default" w:hAnsi="宋体"/>
                <w:szCs w:val="21"/>
                <w:highlight w:val="none"/>
              </w:rPr>
            </w:pPr>
          </w:p>
          <w:p w14:paraId="3AEE40C4">
            <w:pPr>
              <w:keepNext w:val="0"/>
              <w:keepLines w:val="0"/>
              <w:suppressLineNumbers w:val="0"/>
              <w:adjustRightInd w:val="0"/>
              <w:snapToGrid w:val="0"/>
              <w:spacing w:before="0" w:beforeAutospacing="0" w:after="0" w:afterAutospacing="0"/>
              <w:ind w:left="0" w:right="0"/>
              <w:jc w:val="center"/>
              <w:rPr>
                <w:rFonts w:hint="default" w:hAnsi="宋体"/>
                <w:szCs w:val="21"/>
                <w:highlight w:val="none"/>
              </w:rPr>
            </w:pPr>
          </w:p>
          <w:p w14:paraId="52FAE9D3">
            <w:pPr>
              <w:keepNext w:val="0"/>
              <w:keepLines w:val="0"/>
              <w:suppressLineNumbers w:val="0"/>
              <w:adjustRightInd w:val="0"/>
              <w:snapToGrid w:val="0"/>
              <w:spacing w:before="0" w:beforeAutospacing="0" w:after="0" w:afterAutospacing="0"/>
              <w:ind w:left="0" w:right="0"/>
              <w:jc w:val="center"/>
              <w:rPr>
                <w:rFonts w:hint="default" w:hAnsi="宋体"/>
                <w:szCs w:val="21"/>
                <w:highlight w:val="none"/>
              </w:rPr>
            </w:pPr>
          </w:p>
          <w:p w14:paraId="66EB82D5">
            <w:pPr>
              <w:keepNext w:val="0"/>
              <w:keepLines w:val="0"/>
              <w:suppressLineNumbers w:val="0"/>
              <w:adjustRightInd w:val="0"/>
              <w:snapToGrid w:val="0"/>
              <w:spacing w:before="0" w:beforeAutospacing="0" w:after="0" w:afterAutospacing="0"/>
              <w:ind w:left="0" w:right="0"/>
              <w:jc w:val="center"/>
              <w:rPr>
                <w:rFonts w:hint="default" w:hAnsi="宋体"/>
                <w:szCs w:val="21"/>
                <w:highlight w:val="none"/>
              </w:rPr>
            </w:pPr>
          </w:p>
          <w:p w14:paraId="558DADC6">
            <w:pPr>
              <w:keepNext w:val="0"/>
              <w:keepLines w:val="0"/>
              <w:suppressLineNumbers w:val="0"/>
              <w:adjustRightInd w:val="0"/>
              <w:snapToGrid w:val="0"/>
              <w:spacing w:before="0" w:beforeAutospacing="0" w:after="0" w:afterAutospacing="0"/>
              <w:ind w:left="0" w:right="0"/>
              <w:jc w:val="center"/>
              <w:rPr>
                <w:rFonts w:hint="default" w:hAnsi="宋体"/>
                <w:szCs w:val="21"/>
                <w:highlight w:val="none"/>
              </w:rPr>
            </w:pPr>
          </w:p>
          <w:p w14:paraId="684095F5">
            <w:pPr>
              <w:keepNext w:val="0"/>
              <w:keepLines w:val="0"/>
              <w:suppressLineNumbers w:val="0"/>
              <w:adjustRightInd w:val="0"/>
              <w:snapToGrid w:val="0"/>
              <w:spacing w:before="0" w:beforeAutospacing="0" w:after="0" w:afterAutospacing="0"/>
              <w:ind w:left="0" w:right="0"/>
              <w:jc w:val="center"/>
              <w:rPr>
                <w:rFonts w:hint="default" w:hAnsi="宋体"/>
                <w:szCs w:val="21"/>
                <w:highlight w:val="none"/>
              </w:rPr>
            </w:pPr>
            <w:r>
              <w:rPr>
                <w:rFonts w:hint="eastAsia" w:hAnsi="宋体"/>
                <w:szCs w:val="21"/>
                <w:highlight w:val="none"/>
              </w:rPr>
              <w:t>其他符合性分析</w:t>
            </w:r>
          </w:p>
          <w:p w14:paraId="100B0287">
            <w:pPr>
              <w:keepNext w:val="0"/>
              <w:keepLines w:val="0"/>
              <w:suppressLineNumbers w:val="0"/>
              <w:adjustRightInd w:val="0"/>
              <w:snapToGrid w:val="0"/>
              <w:spacing w:before="0" w:beforeAutospacing="0" w:after="0" w:afterAutospacing="0"/>
              <w:ind w:left="0" w:right="0"/>
              <w:jc w:val="center"/>
              <w:rPr>
                <w:rFonts w:hint="default" w:hAnsi="宋体"/>
                <w:szCs w:val="21"/>
                <w:highlight w:val="none"/>
              </w:rPr>
            </w:pPr>
          </w:p>
          <w:p w14:paraId="561CC3E5">
            <w:pPr>
              <w:keepNext w:val="0"/>
              <w:keepLines w:val="0"/>
              <w:suppressLineNumbers w:val="0"/>
              <w:adjustRightInd w:val="0"/>
              <w:snapToGrid w:val="0"/>
              <w:spacing w:before="0" w:beforeAutospacing="0" w:after="0" w:afterAutospacing="0"/>
              <w:ind w:left="0" w:right="0"/>
              <w:jc w:val="center"/>
              <w:rPr>
                <w:rFonts w:hint="default" w:hAnsi="宋体"/>
                <w:szCs w:val="21"/>
                <w:highlight w:val="none"/>
              </w:rPr>
            </w:pPr>
          </w:p>
          <w:p w14:paraId="0653375D">
            <w:pPr>
              <w:keepNext w:val="0"/>
              <w:keepLines w:val="0"/>
              <w:suppressLineNumbers w:val="0"/>
              <w:adjustRightInd w:val="0"/>
              <w:snapToGrid w:val="0"/>
              <w:spacing w:before="0" w:beforeAutospacing="0" w:after="0" w:afterAutospacing="0"/>
              <w:ind w:left="0" w:right="0"/>
              <w:jc w:val="center"/>
              <w:rPr>
                <w:rFonts w:hint="default" w:hAnsi="宋体"/>
                <w:szCs w:val="21"/>
                <w:highlight w:val="none"/>
              </w:rPr>
            </w:pPr>
          </w:p>
          <w:p w14:paraId="6ED4195D">
            <w:pPr>
              <w:keepNext w:val="0"/>
              <w:keepLines w:val="0"/>
              <w:suppressLineNumbers w:val="0"/>
              <w:adjustRightInd w:val="0"/>
              <w:snapToGrid w:val="0"/>
              <w:spacing w:before="0" w:beforeAutospacing="0" w:after="0" w:afterAutospacing="0"/>
              <w:ind w:left="0" w:right="0"/>
              <w:jc w:val="center"/>
              <w:rPr>
                <w:rFonts w:hint="default" w:hAnsi="宋体"/>
                <w:szCs w:val="21"/>
                <w:highlight w:val="none"/>
              </w:rPr>
            </w:pPr>
          </w:p>
          <w:p w14:paraId="3CB45E84">
            <w:pPr>
              <w:keepNext w:val="0"/>
              <w:keepLines w:val="0"/>
              <w:suppressLineNumbers w:val="0"/>
              <w:adjustRightInd w:val="0"/>
              <w:snapToGrid w:val="0"/>
              <w:spacing w:before="0" w:beforeAutospacing="0" w:after="0" w:afterAutospacing="0"/>
              <w:ind w:left="0" w:right="0"/>
              <w:jc w:val="center"/>
              <w:rPr>
                <w:rFonts w:hint="default" w:hAnsi="宋体"/>
                <w:szCs w:val="21"/>
                <w:highlight w:val="none"/>
              </w:rPr>
            </w:pPr>
          </w:p>
          <w:p w14:paraId="35A6B1FE">
            <w:pPr>
              <w:keepNext w:val="0"/>
              <w:keepLines w:val="0"/>
              <w:suppressLineNumbers w:val="0"/>
              <w:adjustRightInd w:val="0"/>
              <w:snapToGrid w:val="0"/>
              <w:spacing w:before="0" w:beforeAutospacing="0" w:after="0" w:afterAutospacing="0"/>
              <w:ind w:left="0" w:right="0"/>
              <w:jc w:val="center"/>
              <w:rPr>
                <w:rFonts w:hint="default" w:hAnsi="宋体"/>
                <w:szCs w:val="21"/>
                <w:highlight w:val="none"/>
              </w:rPr>
            </w:pPr>
          </w:p>
          <w:p w14:paraId="21526762">
            <w:pPr>
              <w:keepNext w:val="0"/>
              <w:keepLines w:val="0"/>
              <w:suppressLineNumbers w:val="0"/>
              <w:adjustRightInd w:val="0"/>
              <w:snapToGrid w:val="0"/>
              <w:spacing w:before="0" w:beforeAutospacing="0" w:after="0" w:afterAutospacing="0"/>
              <w:ind w:left="0" w:right="0"/>
              <w:jc w:val="center"/>
              <w:rPr>
                <w:rFonts w:hint="default" w:hAnsi="宋体"/>
                <w:szCs w:val="21"/>
                <w:highlight w:val="none"/>
              </w:rPr>
            </w:pPr>
          </w:p>
          <w:p w14:paraId="5B022357">
            <w:pPr>
              <w:keepNext w:val="0"/>
              <w:keepLines w:val="0"/>
              <w:suppressLineNumbers w:val="0"/>
              <w:adjustRightInd w:val="0"/>
              <w:snapToGrid w:val="0"/>
              <w:spacing w:before="0" w:beforeAutospacing="0" w:after="0" w:afterAutospacing="0"/>
              <w:ind w:left="0" w:right="0"/>
              <w:jc w:val="center"/>
              <w:rPr>
                <w:rFonts w:hint="default" w:hAnsi="宋体"/>
                <w:szCs w:val="21"/>
                <w:highlight w:val="none"/>
              </w:rPr>
            </w:pPr>
          </w:p>
          <w:p w14:paraId="2C0E3031">
            <w:pPr>
              <w:keepNext w:val="0"/>
              <w:keepLines w:val="0"/>
              <w:suppressLineNumbers w:val="0"/>
              <w:adjustRightInd w:val="0"/>
              <w:snapToGrid w:val="0"/>
              <w:spacing w:before="0" w:beforeAutospacing="0" w:after="0" w:afterAutospacing="0"/>
              <w:ind w:left="0" w:right="0"/>
              <w:jc w:val="center"/>
              <w:rPr>
                <w:rFonts w:hint="default" w:hAnsi="宋体"/>
                <w:szCs w:val="21"/>
                <w:highlight w:val="none"/>
              </w:rPr>
            </w:pPr>
          </w:p>
          <w:p w14:paraId="3637E314">
            <w:pPr>
              <w:keepNext w:val="0"/>
              <w:keepLines w:val="0"/>
              <w:suppressLineNumbers w:val="0"/>
              <w:adjustRightInd w:val="0"/>
              <w:snapToGrid w:val="0"/>
              <w:spacing w:before="0" w:beforeAutospacing="0" w:after="0" w:afterAutospacing="0"/>
              <w:ind w:left="0" w:right="0"/>
              <w:jc w:val="center"/>
              <w:rPr>
                <w:rFonts w:hint="default" w:hAnsi="宋体"/>
                <w:szCs w:val="21"/>
                <w:highlight w:val="none"/>
              </w:rPr>
            </w:pPr>
          </w:p>
          <w:p w14:paraId="1FF74379">
            <w:pPr>
              <w:keepNext w:val="0"/>
              <w:keepLines w:val="0"/>
              <w:suppressLineNumbers w:val="0"/>
              <w:adjustRightInd w:val="0"/>
              <w:snapToGrid w:val="0"/>
              <w:spacing w:before="0" w:beforeAutospacing="0" w:after="0" w:afterAutospacing="0"/>
              <w:ind w:left="0" w:right="0"/>
              <w:jc w:val="center"/>
              <w:rPr>
                <w:rFonts w:hint="default" w:hAnsi="宋体"/>
                <w:szCs w:val="21"/>
                <w:highlight w:val="none"/>
              </w:rPr>
            </w:pPr>
          </w:p>
          <w:p w14:paraId="32868444">
            <w:pPr>
              <w:keepNext w:val="0"/>
              <w:keepLines w:val="0"/>
              <w:suppressLineNumbers w:val="0"/>
              <w:adjustRightInd w:val="0"/>
              <w:snapToGrid w:val="0"/>
              <w:spacing w:before="0" w:beforeAutospacing="0" w:after="0" w:afterAutospacing="0"/>
              <w:ind w:left="0" w:right="0"/>
              <w:jc w:val="center"/>
              <w:rPr>
                <w:rFonts w:hint="default" w:hAnsi="宋体"/>
                <w:szCs w:val="21"/>
                <w:highlight w:val="none"/>
              </w:rPr>
            </w:pPr>
          </w:p>
          <w:p w14:paraId="4E806E0B">
            <w:pPr>
              <w:keepNext w:val="0"/>
              <w:keepLines w:val="0"/>
              <w:suppressLineNumbers w:val="0"/>
              <w:adjustRightInd w:val="0"/>
              <w:snapToGrid w:val="0"/>
              <w:spacing w:before="0" w:beforeAutospacing="0" w:after="0" w:afterAutospacing="0"/>
              <w:ind w:left="0" w:right="0"/>
              <w:jc w:val="center"/>
              <w:rPr>
                <w:rFonts w:hint="default" w:hAnsi="宋体"/>
                <w:szCs w:val="21"/>
                <w:highlight w:val="none"/>
              </w:rPr>
            </w:pPr>
          </w:p>
          <w:p w14:paraId="57D8E6EB">
            <w:pPr>
              <w:keepNext w:val="0"/>
              <w:keepLines w:val="0"/>
              <w:suppressLineNumbers w:val="0"/>
              <w:adjustRightInd w:val="0"/>
              <w:snapToGrid w:val="0"/>
              <w:spacing w:before="0" w:beforeAutospacing="0" w:after="0" w:afterAutospacing="0"/>
              <w:ind w:left="0" w:right="0"/>
              <w:jc w:val="center"/>
              <w:rPr>
                <w:rFonts w:hint="default" w:hAnsi="宋体"/>
                <w:szCs w:val="21"/>
                <w:highlight w:val="none"/>
              </w:rPr>
            </w:pPr>
          </w:p>
          <w:p w14:paraId="277CF86F">
            <w:pPr>
              <w:keepNext w:val="0"/>
              <w:keepLines w:val="0"/>
              <w:suppressLineNumbers w:val="0"/>
              <w:adjustRightInd w:val="0"/>
              <w:snapToGrid w:val="0"/>
              <w:spacing w:before="0" w:beforeAutospacing="0" w:after="0" w:afterAutospacing="0"/>
              <w:ind w:left="0" w:right="0"/>
              <w:jc w:val="center"/>
              <w:rPr>
                <w:rFonts w:hint="default" w:hAnsi="宋体"/>
                <w:szCs w:val="21"/>
                <w:highlight w:val="none"/>
              </w:rPr>
            </w:pPr>
          </w:p>
          <w:p w14:paraId="4190E315">
            <w:pPr>
              <w:keepNext w:val="0"/>
              <w:keepLines w:val="0"/>
              <w:suppressLineNumbers w:val="0"/>
              <w:adjustRightInd w:val="0"/>
              <w:snapToGrid w:val="0"/>
              <w:spacing w:before="0" w:beforeAutospacing="0" w:after="0" w:afterAutospacing="0"/>
              <w:ind w:left="0" w:right="0"/>
              <w:jc w:val="center"/>
              <w:rPr>
                <w:rFonts w:hint="default" w:hAnsi="宋体"/>
                <w:szCs w:val="21"/>
                <w:highlight w:val="none"/>
              </w:rPr>
            </w:pPr>
          </w:p>
          <w:p w14:paraId="62B316E4">
            <w:pPr>
              <w:keepNext w:val="0"/>
              <w:keepLines w:val="0"/>
              <w:suppressLineNumbers w:val="0"/>
              <w:adjustRightInd w:val="0"/>
              <w:snapToGrid w:val="0"/>
              <w:spacing w:before="0" w:beforeAutospacing="0" w:after="0" w:afterAutospacing="0"/>
              <w:ind w:left="0" w:right="0"/>
              <w:jc w:val="center"/>
              <w:rPr>
                <w:rFonts w:hint="default" w:hAnsi="宋体"/>
                <w:szCs w:val="21"/>
                <w:highlight w:val="none"/>
              </w:rPr>
            </w:pPr>
          </w:p>
          <w:p w14:paraId="428F0D2A">
            <w:pPr>
              <w:keepNext w:val="0"/>
              <w:keepLines w:val="0"/>
              <w:suppressLineNumbers w:val="0"/>
              <w:adjustRightInd w:val="0"/>
              <w:snapToGrid w:val="0"/>
              <w:spacing w:before="0" w:beforeAutospacing="0" w:after="0" w:afterAutospacing="0"/>
              <w:ind w:left="0" w:right="0"/>
              <w:jc w:val="center"/>
              <w:rPr>
                <w:rFonts w:hint="default" w:hAnsi="宋体"/>
                <w:szCs w:val="21"/>
                <w:highlight w:val="none"/>
              </w:rPr>
            </w:pPr>
          </w:p>
          <w:p w14:paraId="709E49E6">
            <w:pPr>
              <w:keepNext w:val="0"/>
              <w:keepLines w:val="0"/>
              <w:suppressLineNumbers w:val="0"/>
              <w:adjustRightInd w:val="0"/>
              <w:snapToGrid w:val="0"/>
              <w:spacing w:before="0" w:beforeAutospacing="0" w:after="0" w:afterAutospacing="0"/>
              <w:ind w:left="0" w:right="0"/>
              <w:jc w:val="center"/>
              <w:rPr>
                <w:rFonts w:hint="default" w:hAnsi="宋体"/>
                <w:szCs w:val="21"/>
                <w:highlight w:val="none"/>
              </w:rPr>
            </w:pPr>
          </w:p>
          <w:p w14:paraId="71BC7314">
            <w:pPr>
              <w:keepNext w:val="0"/>
              <w:keepLines w:val="0"/>
              <w:suppressLineNumbers w:val="0"/>
              <w:adjustRightInd w:val="0"/>
              <w:snapToGrid w:val="0"/>
              <w:spacing w:before="0" w:beforeAutospacing="0" w:after="0" w:afterAutospacing="0"/>
              <w:ind w:left="0" w:right="0"/>
              <w:jc w:val="center"/>
              <w:rPr>
                <w:rFonts w:hint="default" w:hAnsi="宋体"/>
                <w:szCs w:val="21"/>
                <w:highlight w:val="none"/>
              </w:rPr>
            </w:pPr>
          </w:p>
          <w:p w14:paraId="5B3945C1">
            <w:pPr>
              <w:keepNext w:val="0"/>
              <w:keepLines w:val="0"/>
              <w:suppressLineNumbers w:val="0"/>
              <w:adjustRightInd w:val="0"/>
              <w:snapToGrid w:val="0"/>
              <w:spacing w:before="0" w:beforeAutospacing="0" w:after="0" w:afterAutospacing="0"/>
              <w:ind w:left="0" w:right="0"/>
              <w:jc w:val="center"/>
              <w:rPr>
                <w:rFonts w:hint="default" w:hAnsi="宋体"/>
                <w:szCs w:val="21"/>
                <w:highlight w:val="none"/>
              </w:rPr>
            </w:pPr>
          </w:p>
          <w:p w14:paraId="2ED1D1F1">
            <w:pPr>
              <w:keepNext w:val="0"/>
              <w:keepLines w:val="0"/>
              <w:suppressLineNumbers w:val="0"/>
              <w:adjustRightInd w:val="0"/>
              <w:snapToGrid w:val="0"/>
              <w:spacing w:before="0" w:beforeAutospacing="0" w:after="0" w:afterAutospacing="0"/>
              <w:ind w:left="0" w:right="0"/>
              <w:jc w:val="center"/>
              <w:rPr>
                <w:rFonts w:hint="default" w:hAnsi="宋体"/>
                <w:szCs w:val="21"/>
                <w:highlight w:val="none"/>
              </w:rPr>
            </w:pPr>
          </w:p>
          <w:p w14:paraId="30683546">
            <w:pPr>
              <w:keepNext w:val="0"/>
              <w:keepLines w:val="0"/>
              <w:suppressLineNumbers w:val="0"/>
              <w:adjustRightInd w:val="0"/>
              <w:snapToGrid w:val="0"/>
              <w:spacing w:before="0" w:beforeAutospacing="0" w:after="0" w:afterAutospacing="0"/>
              <w:ind w:left="0" w:right="0"/>
              <w:jc w:val="center"/>
              <w:rPr>
                <w:rFonts w:hint="default" w:hAnsi="宋体"/>
                <w:szCs w:val="21"/>
                <w:highlight w:val="none"/>
              </w:rPr>
            </w:pPr>
          </w:p>
          <w:p w14:paraId="0E01BB68">
            <w:pPr>
              <w:keepNext w:val="0"/>
              <w:keepLines w:val="0"/>
              <w:suppressLineNumbers w:val="0"/>
              <w:adjustRightInd w:val="0"/>
              <w:snapToGrid w:val="0"/>
              <w:spacing w:before="0" w:beforeAutospacing="0" w:after="0" w:afterAutospacing="0"/>
              <w:ind w:left="0" w:right="0"/>
              <w:jc w:val="center"/>
              <w:rPr>
                <w:rFonts w:hint="default" w:hAnsi="宋体"/>
                <w:szCs w:val="21"/>
                <w:highlight w:val="none"/>
              </w:rPr>
            </w:pPr>
          </w:p>
          <w:p w14:paraId="2B11B250">
            <w:pPr>
              <w:keepNext w:val="0"/>
              <w:keepLines w:val="0"/>
              <w:suppressLineNumbers w:val="0"/>
              <w:adjustRightInd w:val="0"/>
              <w:snapToGrid w:val="0"/>
              <w:spacing w:before="0" w:beforeAutospacing="0" w:after="0" w:afterAutospacing="0"/>
              <w:ind w:left="0" w:right="0"/>
              <w:jc w:val="center"/>
              <w:rPr>
                <w:rFonts w:hint="default" w:hAnsi="宋体"/>
                <w:szCs w:val="21"/>
                <w:highlight w:val="none"/>
              </w:rPr>
            </w:pPr>
          </w:p>
          <w:p w14:paraId="1EED6609">
            <w:pPr>
              <w:keepNext w:val="0"/>
              <w:keepLines w:val="0"/>
              <w:suppressLineNumbers w:val="0"/>
              <w:adjustRightInd w:val="0"/>
              <w:snapToGrid w:val="0"/>
              <w:spacing w:before="0" w:beforeAutospacing="0" w:after="0" w:afterAutospacing="0"/>
              <w:ind w:left="0" w:right="0"/>
              <w:jc w:val="center"/>
              <w:rPr>
                <w:rFonts w:hint="default" w:hAnsi="宋体"/>
                <w:szCs w:val="21"/>
                <w:highlight w:val="none"/>
              </w:rPr>
            </w:pPr>
          </w:p>
          <w:p w14:paraId="2CF91A0A">
            <w:pPr>
              <w:keepNext w:val="0"/>
              <w:keepLines w:val="0"/>
              <w:suppressLineNumbers w:val="0"/>
              <w:adjustRightInd w:val="0"/>
              <w:snapToGrid w:val="0"/>
              <w:spacing w:before="0" w:beforeAutospacing="0" w:after="0" w:afterAutospacing="0"/>
              <w:ind w:left="0" w:right="0"/>
              <w:jc w:val="center"/>
              <w:rPr>
                <w:rFonts w:hint="default" w:hAnsi="宋体"/>
                <w:szCs w:val="21"/>
                <w:highlight w:val="none"/>
              </w:rPr>
            </w:pPr>
          </w:p>
          <w:p w14:paraId="3217C57D">
            <w:pPr>
              <w:keepNext w:val="0"/>
              <w:keepLines w:val="0"/>
              <w:suppressLineNumbers w:val="0"/>
              <w:adjustRightInd w:val="0"/>
              <w:snapToGrid w:val="0"/>
              <w:spacing w:before="0" w:beforeAutospacing="0" w:after="0" w:afterAutospacing="0"/>
              <w:ind w:left="0" w:right="0"/>
              <w:jc w:val="center"/>
              <w:rPr>
                <w:rFonts w:hint="default" w:hAnsi="宋体"/>
                <w:szCs w:val="21"/>
                <w:highlight w:val="none"/>
              </w:rPr>
            </w:pPr>
          </w:p>
          <w:p w14:paraId="1C05D06C">
            <w:pPr>
              <w:keepNext w:val="0"/>
              <w:keepLines w:val="0"/>
              <w:suppressLineNumbers w:val="0"/>
              <w:adjustRightInd w:val="0"/>
              <w:snapToGrid w:val="0"/>
              <w:spacing w:before="0" w:beforeAutospacing="0" w:after="0" w:afterAutospacing="0"/>
              <w:ind w:left="0" w:right="0"/>
              <w:jc w:val="center"/>
              <w:rPr>
                <w:rFonts w:hint="default" w:hAnsi="宋体"/>
                <w:szCs w:val="21"/>
                <w:highlight w:val="none"/>
              </w:rPr>
            </w:pPr>
          </w:p>
          <w:p w14:paraId="366A8638">
            <w:pPr>
              <w:keepNext w:val="0"/>
              <w:keepLines w:val="0"/>
              <w:suppressLineNumbers w:val="0"/>
              <w:adjustRightInd w:val="0"/>
              <w:snapToGrid w:val="0"/>
              <w:spacing w:before="0" w:beforeAutospacing="0" w:after="0" w:afterAutospacing="0"/>
              <w:ind w:left="0" w:right="0"/>
              <w:jc w:val="center"/>
              <w:rPr>
                <w:rFonts w:hint="default" w:hAnsi="宋体"/>
                <w:szCs w:val="21"/>
                <w:highlight w:val="none"/>
              </w:rPr>
            </w:pPr>
          </w:p>
          <w:p w14:paraId="5912BC1C">
            <w:pPr>
              <w:keepNext w:val="0"/>
              <w:keepLines w:val="0"/>
              <w:suppressLineNumbers w:val="0"/>
              <w:adjustRightInd w:val="0"/>
              <w:snapToGrid w:val="0"/>
              <w:spacing w:before="0" w:beforeAutospacing="0" w:after="0" w:afterAutospacing="0"/>
              <w:ind w:left="0" w:right="0"/>
              <w:jc w:val="center"/>
              <w:rPr>
                <w:rFonts w:hint="default" w:hAnsi="宋体"/>
                <w:szCs w:val="21"/>
                <w:highlight w:val="none"/>
              </w:rPr>
            </w:pPr>
          </w:p>
          <w:p w14:paraId="2D426B38">
            <w:pPr>
              <w:keepNext w:val="0"/>
              <w:keepLines w:val="0"/>
              <w:suppressLineNumbers w:val="0"/>
              <w:adjustRightInd w:val="0"/>
              <w:snapToGrid w:val="0"/>
              <w:spacing w:before="0" w:beforeAutospacing="0" w:after="0" w:afterAutospacing="0"/>
              <w:ind w:left="0" w:right="0"/>
              <w:jc w:val="center"/>
              <w:rPr>
                <w:rFonts w:hint="default" w:hAnsi="宋体"/>
                <w:szCs w:val="21"/>
                <w:highlight w:val="none"/>
              </w:rPr>
            </w:pPr>
          </w:p>
          <w:p w14:paraId="725F4DC5">
            <w:pPr>
              <w:keepNext w:val="0"/>
              <w:keepLines w:val="0"/>
              <w:suppressLineNumbers w:val="0"/>
              <w:adjustRightInd w:val="0"/>
              <w:snapToGrid w:val="0"/>
              <w:spacing w:before="0" w:beforeAutospacing="0" w:after="0" w:afterAutospacing="0"/>
              <w:ind w:left="0" w:right="0"/>
              <w:jc w:val="center"/>
              <w:rPr>
                <w:rFonts w:hint="default" w:hAnsi="宋体"/>
                <w:szCs w:val="21"/>
                <w:highlight w:val="none"/>
              </w:rPr>
            </w:pPr>
          </w:p>
          <w:p w14:paraId="37928140">
            <w:pPr>
              <w:keepNext w:val="0"/>
              <w:keepLines w:val="0"/>
              <w:suppressLineNumbers w:val="0"/>
              <w:adjustRightInd w:val="0"/>
              <w:snapToGrid w:val="0"/>
              <w:spacing w:before="0" w:beforeAutospacing="0" w:after="0" w:afterAutospacing="0"/>
              <w:ind w:left="0" w:right="0"/>
              <w:jc w:val="center"/>
              <w:rPr>
                <w:rFonts w:hint="default" w:hAnsi="宋体"/>
                <w:szCs w:val="21"/>
                <w:highlight w:val="none"/>
              </w:rPr>
            </w:pPr>
          </w:p>
          <w:p w14:paraId="14D5C413">
            <w:pPr>
              <w:keepNext w:val="0"/>
              <w:keepLines w:val="0"/>
              <w:suppressLineNumbers w:val="0"/>
              <w:adjustRightInd w:val="0"/>
              <w:snapToGrid w:val="0"/>
              <w:spacing w:before="0" w:beforeAutospacing="0" w:after="0" w:afterAutospacing="0"/>
              <w:ind w:left="0" w:right="0"/>
              <w:jc w:val="center"/>
              <w:rPr>
                <w:rFonts w:hint="default" w:hAnsi="宋体"/>
                <w:szCs w:val="21"/>
                <w:highlight w:val="none"/>
              </w:rPr>
            </w:pPr>
          </w:p>
          <w:p w14:paraId="2DE74259">
            <w:pPr>
              <w:keepNext w:val="0"/>
              <w:keepLines w:val="0"/>
              <w:suppressLineNumbers w:val="0"/>
              <w:adjustRightInd w:val="0"/>
              <w:snapToGrid w:val="0"/>
              <w:spacing w:before="0" w:beforeAutospacing="0" w:after="0" w:afterAutospacing="0"/>
              <w:ind w:left="0" w:right="0"/>
              <w:jc w:val="center"/>
              <w:rPr>
                <w:rFonts w:hint="default" w:hAnsi="宋体"/>
                <w:szCs w:val="21"/>
                <w:highlight w:val="none"/>
              </w:rPr>
            </w:pPr>
          </w:p>
          <w:p w14:paraId="60738B20">
            <w:pPr>
              <w:keepNext w:val="0"/>
              <w:keepLines w:val="0"/>
              <w:suppressLineNumbers w:val="0"/>
              <w:adjustRightInd w:val="0"/>
              <w:snapToGrid w:val="0"/>
              <w:spacing w:before="0" w:beforeAutospacing="0" w:after="0" w:afterAutospacing="0"/>
              <w:ind w:left="0" w:right="0"/>
              <w:jc w:val="center"/>
              <w:rPr>
                <w:rFonts w:hint="default" w:hAnsi="宋体"/>
                <w:szCs w:val="21"/>
                <w:highlight w:val="none"/>
              </w:rPr>
            </w:pPr>
          </w:p>
          <w:p w14:paraId="6BB92B56">
            <w:pPr>
              <w:keepNext w:val="0"/>
              <w:keepLines w:val="0"/>
              <w:suppressLineNumbers w:val="0"/>
              <w:adjustRightInd w:val="0"/>
              <w:snapToGrid w:val="0"/>
              <w:spacing w:before="0" w:beforeAutospacing="0" w:after="0" w:afterAutospacing="0"/>
              <w:ind w:left="0" w:right="0"/>
              <w:jc w:val="center"/>
              <w:rPr>
                <w:rFonts w:hint="default" w:hAnsi="宋体"/>
                <w:szCs w:val="21"/>
                <w:highlight w:val="none"/>
              </w:rPr>
            </w:pPr>
          </w:p>
          <w:p w14:paraId="2EC25E69">
            <w:pPr>
              <w:keepNext w:val="0"/>
              <w:keepLines w:val="0"/>
              <w:suppressLineNumbers w:val="0"/>
              <w:adjustRightInd w:val="0"/>
              <w:snapToGrid w:val="0"/>
              <w:spacing w:before="0" w:beforeAutospacing="0" w:after="0" w:afterAutospacing="0"/>
              <w:ind w:left="0" w:right="0"/>
              <w:jc w:val="center"/>
              <w:rPr>
                <w:rFonts w:hint="default" w:hAnsi="宋体"/>
                <w:szCs w:val="21"/>
                <w:highlight w:val="none"/>
              </w:rPr>
            </w:pPr>
          </w:p>
          <w:p w14:paraId="62EB6E5D">
            <w:pPr>
              <w:keepNext w:val="0"/>
              <w:keepLines w:val="0"/>
              <w:suppressLineNumbers w:val="0"/>
              <w:adjustRightInd w:val="0"/>
              <w:snapToGrid w:val="0"/>
              <w:spacing w:before="0" w:beforeAutospacing="0" w:after="0" w:afterAutospacing="0"/>
              <w:ind w:left="0" w:right="0"/>
              <w:jc w:val="center"/>
              <w:rPr>
                <w:rFonts w:hint="default" w:hAnsi="宋体"/>
                <w:szCs w:val="21"/>
                <w:highlight w:val="none"/>
              </w:rPr>
            </w:pPr>
          </w:p>
          <w:p w14:paraId="18381E64">
            <w:pPr>
              <w:keepNext w:val="0"/>
              <w:keepLines w:val="0"/>
              <w:suppressLineNumbers w:val="0"/>
              <w:adjustRightInd w:val="0"/>
              <w:snapToGrid w:val="0"/>
              <w:spacing w:before="0" w:beforeAutospacing="0" w:after="0" w:afterAutospacing="0"/>
              <w:ind w:left="0" w:right="0"/>
              <w:jc w:val="center"/>
              <w:rPr>
                <w:rFonts w:hint="default" w:hAnsi="宋体"/>
                <w:szCs w:val="21"/>
                <w:highlight w:val="none"/>
              </w:rPr>
            </w:pPr>
          </w:p>
          <w:p w14:paraId="27B72EEB">
            <w:pPr>
              <w:keepNext w:val="0"/>
              <w:keepLines w:val="0"/>
              <w:suppressLineNumbers w:val="0"/>
              <w:adjustRightInd w:val="0"/>
              <w:snapToGrid w:val="0"/>
              <w:spacing w:before="0" w:beforeAutospacing="0" w:after="0" w:afterAutospacing="0"/>
              <w:ind w:left="0" w:right="0"/>
              <w:jc w:val="center"/>
              <w:rPr>
                <w:rFonts w:hint="default" w:hAnsi="宋体"/>
                <w:szCs w:val="21"/>
                <w:highlight w:val="none"/>
              </w:rPr>
            </w:pPr>
          </w:p>
          <w:p w14:paraId="1B203176">
            <w:pPr>
              <w:keepNext w:val="0"/>
              <w:keepLines w:val="0"/>
              <w:suppressLineNumbers w:val="0"/>
              <w:adjustRightInd w:val="0"/>
              <w:snapToGrid w:val="0"/>
              <w:spacing w:before="0" w:beforeAutospacing="0" w:after="0" w:afterAutospacing="0"/>
              <w:ind w:left="0" w:right="0"/>
              <w:jc w:val="center"/>
              <w:rPr>
                <w:rFonts w:hint="default" w:hAnsi="宋体"/>
                <w:szCs w:val="21"/>
                <w:highlight w:val="none"/>
              </w:rPr>
            </w:pPr>
          </w:p>
          <w:p w14:paraId="65FE48B6">
            <w:pPr>
              <w:keepNext w:val="0"/>
              <w:keepLines w:val="0"/>
              <w:suppressLineNumbers w:val="0"/>
              <w:adjustRightInd w:val="0"/>
              <w:snapToGrid w:val="0"/>
              <w:spacing w:before="0" w:beforeAutospacing="0" w:after="0" w:afterAutospacing="0"/>
              <w:ind w:left="0" w:right="0"/>
              <w:jc w:val="center"/>
              <w:rPr>
                <w:rFonts w:hint="default" w:hAnsi="宋体"/>
                <w:szCs w:val="21"/>
                <w:highlight w:val="none"/>
              </w:rPr>
            </w:pPr>
          </w:p>
          <w:p w14:paraId="46360AAE">
            <w:pPr>
              <w:keepNext w:val="0"/>
              <w:keepLines w:val="0"/>
              <w:suppressLineNumbers w:val="0"/>
              <w:adjustRightInd w:val="0"/>
              <w:snapToGrid w:val="0"/>
              <w:spacing w:before="0" w:beforeAutospacing="0" w:after="0" w:afterAutospacing="0"/>
              <w:ind w:left="0" w:right="0"/>
              <w:jc w:val="center"/>
              <w:rPr>
                <w:rFonts w:hint="default" w:hAnsi="宋体"/>
                <w:szCs w:val="21"/>
                <w:highlight w:val="none"/>
              </w:rPr>
            </w:pPr>
            <w:r>
              <w:rPr>
                <w:rFonts w:hint="eastAsia" w:hAnsi="宋体"/>
                <w:szCs w:val="21"/>
                <w:highlight w:val="none"/>
              </w:rPr>
              <w:t>其他符合性分析</w:t>
            </w:r>
          </w:p>
          <w:p w14:paraId="46EDA672">
            <w:pPr>
              <w:keepNext w:val="0"/>
              <w:keepLines w:val="0"/>
              <w:suppressLineNumbers w:val="0"/>
              <w:adjustRightInd w:val="0"/>
              <w:snapToGrid w:val="0"/>
              <w:spacing w:before="0" w:beforeAutospacing="0" w:after="0" w:afterAutospacing="0"/>
              <w:ind w:left="0" w:right="0"/>
              <w:jc w:val="center"/>
              <w:rPr>
                <w:rFonts w:hint="default" w:hAnsi="宋体"/>
                <w:szCs w:val="21"/>
                <w:highlight w:val="none"/>
              </w:rPr>
            </w:pPr>
          </w:p>
          <w:p w14:paraId="4CB8DF27">
            <w:pPr>
              <w:keepNext w:val="0"/>
              <w:keepLines w:val="0"/>
              <w:suppressLineNumbers w:val="0"/>
              <w:adjustRightInd w:val="0"/>
              <w:snapToGrid w:val="0"/>
              <w:spacing w:before="0" w:beforeAutospacing="0" w:after="0" w:afterAutospacing="0"/>
              <w:ind w:left="0" w:right="0"/>
              <w:jc w:val="center"/>
              <w:rPr>
                <w:rFonts w:hint="default" w:hAnsi="宋体"/>
                <w:szCs w:val="21"/>
                <w:highlight w:val="none"/>
              </w:rPr>
            </w:pPr>
          </w:p>
          <w:p w14:paraId="1375F3C7">
            <w:pPr>
              <w:keepNext w:val="0"/>
              <w:keepLines w:val="0"/>
              <w:suppressLineNumbers w:val="0"/>
              <w:adjustRightInd w:val="0"/>
              <w:snapToGrid w:val="0"/>
              <w:spacing w:before="0" w:beforeAutospacing="0" w:after="0" w:afterAutospacing="0"/>
              <w:ind w:left="0" w:right="0"/>
              <w:jc w:val="center"/>
              <w:rPr>
                <w:rFonts w:hint="default" w:hAnsi="宋体"/>
                <w:szCs w:val="21"/>
                <w:highlight w:val="none"/>
              </w:rPr>
            </w:pPr>
          </w:p>
          <w:p w14:paraId="652BF9E8">
            <w:pPr>
              <w:keepNext w:val="0"/>
              <w:keepLines w:val="0"/>
              <w:suppressLineNumbers w:val="0"/>
              <w:adjustRightInd w:val="0"/>
              <w:snapToGrid w:val="0"/>
              <w:spacing w:before="0" w:beforeAutospacing="0" w:after="0" w:afterAutospacing="0"/>
              <w:ind w:left="0" w:right="0"/>
              <w:jc w:val="center"/>
              <w:rPr>
                <w:rFonts w:hint="default" w:hAnsi="宋体"/>
                <w:szCs w:val="21"/>
                <w:highlight w:val="none"/>
              </w:rPr>
            </w:pPr>
          </w:p>
          <w:p w14:paraId="15D4E187">
            <w:pPr>
              <w:keepNext w:val="0"/>
              <w:keepLines w:val="0"/>
              <w:suppressLineNumbers w:val="0"/>
              <w:adjustRightInd w:val="0"/>
              <w:snapToGrid w:val="0"/>
              <w:spacing w:before="0" w:beforeAutospacing="0" w:after="0" w:afterAutospacing="0"/>
              <w:ind w:left="0" w:right="0"/>
              <w:jc w:val="center"/>
              <w:rPr>
                <w:rFonts w:hint="default" w:hAnsi="宋体"/>
                <w:szCs w:val="21"/>
                <w:highlight w:val="none"/>
              </w:rPr>
            </w:pPr>
          </w:p>
          <w:p w14:paraId="162A92FE">
            <w:pPr>
              <w:keepNext w:val="0"/>
              <w:keepLines w:val="0"/>
              <w:suppressLineNumbers w:val="0"/>
              <w:adjustRightInd w:val="0"/>
              <w:snapToGrid w:val="0"/>
              <w:spacing w:before="0" w:beforeAutospacing="0" w:after="0" w:afterAutospacing="0"/>
              <w:ind w:left="0" w:right="0"/>
              <w:jc w:val="center"/>
              <w:rPr>
                <w:rFonts w:hint="default" w:hAnsi="宋体"/>
                <w:szCs w:val="21"/>
                <w:highlight w:val="none"/>
              </w:rPr>
            </w:pPr>
          </w:p>
          <w:p w14:paraId="39252DA6">
            <w:pPr>
              <w:keepNext w:val="0"/>
              <w:keepLines w:val="0"/>
              <w:suppressLineNumbers w:val="0"/>
              <w:adjustRightInd w:val="0"/>
              <w:snapToGrid w:val="0"/>
              <w:spacing w:before="0" w:beforeAutospacing="0" w:after="0" w:afterAutospacing="0"/>
              <w:ind w:left="0" w:right="0"/>
              <w:jc w:val="center"/>
              <w:rPr>
                <w:rFonts w:hint="default" w:hAnsi="宋体"/>
                <w:szCs w:val="21"/>
                <w:highlight w:val="none"/>
              </w:rPr>
            </w:pPr>
          </w:p>
          <w:p w14:paraId="232135D9">
            <w:pPr>
              <w:keepNext w:val="0"/>
              <w:keepLines w:val="0"/>
              <w:suppressLineNumbers w:val="0"/>
              <w:adjustRightInd w:val="0"/>
              <w:snapToGrid w:val="0"/>
              <w:spacing w:before="0" w:beforeAutospacing="0" w:after="0" w:afterAutospacing="0"/>
              <w:ind w:left="0" w:right="0"/>
              <w:jc w:val="center"/>
              <w:rPr>
                <w:rFonts w:hint="default" w:hAnsi="宋体"/>
                <w:szCs w:val="21"/>
                <w:highlight w:val="none"/>
              </w:rPr>
            </w:pPr>
          </w:p>
          <w:p w14:paraId="24FBE131">
            <w:pPr>
              <w:keepNext w:val="0"/>
              <w:keepLines w:val="0"/>
              <w:suppressLineNumbers w:val="0"/>
              <w:adjustRightInd w:val="0"/>
              <w:snapToGrid w:val="0"/>
              <w:spacing w:before="0" w:beforeAutospacing="0" w:after="0" w:afterAutospacing="0"/>
              <w:ind w:left="0" w:right="0"/>
              <w:jc w:val="center"/>
              <w:rPr>
                <w:rFonts w:hint="default" w:hAnsi="宋体"/>
                <w:szCs w:val="21"/>
                <w:highlight w:val="none"/>
              </w:rPr>
            </w:pPr>
          </w:p>
          <w:p w14:paraId="1E8885B0">
            <w:pPr>
              <w:keepNext w:val="0"/>
              <w:keepLines w:val="0"/>
              <w:suppressLineNumbers w:val="0"/>
              <w:adjustRightInd w:val="0"/>
              <w:snapToGrid w:val="0"/>
              <w:spacing w:before="0" w:beforeAutospacing="0" w:after="0" w:afterAutospacing="0"/>
              <w:ind w:left="0" w:right="0"/>
              <w:jc w:val="center"/>
              <w:rPr>
                <w:rFonts w:hint="default" w:hAnsi="宋体"/>
                <w:szCs w:val="21"/>
                <w:highlight w:val="none"/>
              </w:rPr>
            </w:pPr>
          </w:p>
          <w:p w14:paraId="0A8BD432">
            <w:pPr>
              <w:keepNext w:val="0"/>
              <w:keepLines w:val="0"/>
              <w:suppressLineNumbers w:val="0"/>
              <w:adjustRightInd w:val="0"/>
              <w:snapToGrid w:val="0"/>
              <w:spacing w:before="0" w:beforeAutospacing="0" w:after="0" w:afterAutospacing="0"/>
              <w:ind w:left="0" w:right="0"/>
              <w:jc w:val="center"/>
              <w:rPr>
                <w:rFonts w:hint="default" w:hAnsi="宋体"/>
                <w:szCs w:val="21"/>
                <w:highlight w:val="none"/>
              </w:rPr>
            </w:pPr>
          </w:p>
          <w:p w14:paraId="7811A113">
            <w:pPr>
              <w:keepNext w:val="0"/>
              <w:keepLines w:val="0"/>
              <w:suppressLineNumbers w:val="0"/>
              <w:adjustRightInd w:val="0"/>
              <w:snapToGrid w:val="0"/>
              <w:spacing w:before="0" w:beforeAutospacing="0" w:after="0" w:afterAutospacing="0"/>
              <w:ind w:left="0" w:right="0"/>
              <w:jc w:val="center"/>
              <w:rPr>
                <w:rFonts w:hint="default" w:hAnsi="宋体"/>
                <w:szCs w:val="21"/>
                <w:highlight w:val="none"/>
              </w:rPr>
            </w:pPr>
          </w:p>
          <w:p w14:paraId="412CC559">
            <w:pPr>
              <w:keepNext w:val="0"/>
              <w:keepLines w:val="0"/>
              <w:suppressLineNumbers w:val="0"/>
              <w:adjustRightInd w:val="0"/>
              <w:snapToGrid w:val="0"/>
              <w:spacing w:before="0" w:beforeAutospacing="0" w:after="0" w:afterAutospacing="0"/>
              <w:ind w:left="0" w:right="0"/>
              <w:jc w:val="center"/>
              <w:rPr>
                <w:rFonts w:hint="default" w:hAnsi="宋体"/>
                <w:szCs w:val="21"/>
                <w:highlight w:val="none"/>
              </w:rPr>
            </w:pPr>
          </w:p>
          <w:p w14:paraId="19D465B1">
            <w:pPr>
              <w:keepNext w:val="0"/>
              <w:keepLines w:val="0"/>
              <w:suppressLineNumbers w:val="0"/>
              <w:adjustRightInd w:val="0"/>
              <w:snapToGrid w:val="0"/>
              <w:spacing w:before="0" w:beforeAutospacing="0" w:after="0" w:afterAutospacing="0"/>
              <w:ind w:left="0" w:right="0"/>
              <w:jc w:val="center"/>
              <w:rPr>
                <w:rFonts w:hint="default" w:hAnsi="宋体"/>
                <w:szCs w:val="21"/>
                <w:highlight w:val="none"/>
              </w:rPr>
            </w:pPr>
          </w:p>
          <w:p w14:paraId="6A39C066">
            <w:pPr>
              <w:keepNext w:val="0"/>
              <w:keepLines w:val="0"/>
              <w:suppressLineNumbers w:val="0"/>
              <w:adjustRightInd w:val="0"/>
              <w:snapToGrid w:val="0"/>
              <w:spacing w:before="0" w:beforeAutospacing="0" w:after="0" w:afterAutospacing="0"/>
              <w:ind w:left="0" w:right="0"/>
              <w:jc w:val="center"/>
              <w:rPr>
                <w:rFonts w:hint="default" w:hAnsi="宋体"/>
                <w:szCs w:val="21"/>
                <w:highlight w:val="none"/>
              </w:rPr>
            </w:pPr>
          </w:p>
          <w:p w14:paraId="3C55F24A">
            <w:pPr>
              <w:keepNext w:val="0"/>
              <w:keepLines w:val="0"/>
              <w:suppressLineNumbers w:val="0"/>
              <w:adjustRightInd w:val="0"/>
              <w:snapToGrid w:val="0"/>
              <w:spacing w:before="0" w:beforeAutospacing="0" w:after="0" w:afterAutospacing="0"/>
              <w:ind w:left="0" w:right="0"/>
              <w:jc w:val="center"/>
              <w:rPr>
                <w:rFonts w:hint="default" w:hAnsi="宋体"/>
                <w:szCs w:val="21"/>
                <w:highlight w:val="none"/>
              </w:rPr>
            </w:pPr>
          </w:p>
          <w:p w14:paraId="3961DA42">
            <w:pPr>
              <w:keepNext w:val="0"/>
              <w:keepLines w:val="0"/>
              <w:suppressLineNumbers w:val="0"/>
              <w:adjustRightInd w:val="0"/>
              <w:snapToGrid w:val="0"/>
              <w:spacing w:before="0" w:beforeAutospacing="0" w:after="0" w:afterAutospacing="0"/>
              <w:ind w:left="0" w:right="0"/>
              <w:jc w:val="center"/>
              <w:rPr>
                <w:rFonts w:hint="default" w:hAnsi="宋体"/>
                <w:szCs w:val="21"/>
                <w:highlight w:val="none"/>
              </w:rPr>
            </w:pPr>
          </w:p>
          <w:p w14:paraId="229B7030">
            <w:pPr>
              <w:keepNext w:val="0"/>
              <w:keepLines w:val="0"/>
              <w:suppressLineNumbers w:val="0"/>
              <w:adjustRightInd w:val="0"/>
              <w:snapToGrid w:val="0"/>
              <w:spacing w:before="0" w:beforeAutospacing="0" w:after="0" w:afterAutospacing="0"/>
              <w:ind w:left="0" w:right="0"/>
              <w:jc w:val="center"/>
              <w:rPr>
                <w:rFonts w:hint="default" w:hAnsi="宋体"/>
                <w:szCs w:val="21"/>
                <w:highlight w:val="none"/>
              </w:rPr>
            </w:pPr>
          </w:p>
          <w:p w14:paraId="0EB5120A">
            <w:pPr>
              <w:keepNext w:val="0"/>
              <w:keepLines w:val="0"/>
              <w:suppressLineNumbers w:val="0"/>
              <w:adjustRightInd w:val="0"/>
              <w:snapToGrid w:val="0"/>
              <w:spacing w:before="0" w:beforeAutospacing="0" w:after="0" w:afterAutospacing="0"/>
              <w:ind w:left="0" w:right="0"/>
              <w:jc w:val="center"/>
              <w:rPr>
                <w:rFonts w:hint="default" w:hAnsi="宋体"/>
                <w:szCs w:val="21"/>
                <w:highlight w:val="none"/>
              </w:rPr>
            </w:pPr>
          </w:p>
          <w:p w14:paraId="202F3CB7">
            <w:pPr>
              <w:keepNext w:val="0"/>
              <w:keepLines w:val="0"/>
              <w:suppressLineNumbers w:val="0"/>
              <w:adjustRightInd w:val="0"/>
              <w:snapToGrid w:val="0"/>
              <w:spacing w:before="0" w:beforeAutospacing="0" w:after="0" w:afterAutospacing="0"/>
              <w:ind w:left="0" w:right="0" w:firstLine="31680"/>
              <w:jc w:val="center"/>
              <w:rPr>
                <w:rFonts w:hint="default"/>
                <w:highlight w:val="none"/>
              </w:rPr>
            </w:pPr>
          </w:p>
          <w:p w14:paraId="397C045C">
            <w:pPr>
              <w:keepNext w:val="0"/>
              <w:keepLines w:val="0"/>
              <w:suppressLineNumbers w:val="0"/>
              <w:adjustRightInd w:val="0"/>
              <w:snapToGrid w:val="0"/>
              <w:spacing w:before="0" w:beforeAutospacing="0" w:after="0" w:afterAutospacing="0"/>
              <w:ind w:left="0" w:right="0"/>
              <w:jc w:val="center"/>
              <w:rPr>
                <w:rFonts w:hint="default" w:hAnsi="宋体"/>
                <w:szCs w:val="21"/>
                <w:highlight w:val="none"/>
              </w:rPr>
            </w:pPr>
          </w:p>
          <w:p w14:paraId="3BA96EEC">
            <w:pPr>
              <w:keepNext w:val="0"/>
              <w:keepLines w:val="0"/>
              <w:suppressLineNumbers w:val="0"/>
              <w:adjustRightInd w:val="0"/>
              <w:snapToGrid w:val="0"/>
              <w:spacing w:before="0" w:beforeAutospacing="0" w:after="0" w:afterAutospacing="0"/>
              <w:ind w:left="0" w:right="0"/>
              <w:jc w:val="center"/>
              <w:rPr>
                <w:rFonts w:hint="default" w:hAnsi="宋体"/>
                <w:szCs w:val="21"/>
                <w:highlight w:val="none"/>
              </w:rPr>
            </w:pPr>
          </w:p>
          <w:p w14:paraId="763D6D9A">
            <w:pPr>
              <w:keepNext w:val="0"/>
              <w:keepLines w:val="0"/>
              <w:suppressLineNumbers w:val="0"/>
              <w:adjustRightInd w:val="0"/>
              <w:snapToGrid w:val="0"/>
              <w:spacing w:before="0" w:beforeAutospacing="0" w:after="0" w:afterAutospacing="0"/>
              <w:ind w:left="0" w:right="0"/>
              <w:jc w:val="center"/>
              <w:rPr>
                <w:rFonts w:hint="default" w:hAnsi="宋体"/>
                <w:szCs w:val="21"/>
                <w:highlight w:val="none"/>
              </w:rPr>
            </w:pPr>
          </w:p>
          <w:p w14:paraId="2FC43AA2">
            <w:pPr>
              <w:keepNext w:val="0"/>
              <w:keepLines w:val="0"/>
              <w:suppressLineNumbers w:val="0"/>
              <w:adjustRightInd w:val="0"/>
              <w:snapToGrid w:val="0"/>
              <w:spacing w:before="0" w:beforeAutospacing="0" w:after="0" w:afterAutospacing="0"/>
              <w:ind w:left="0" w:right="0"/>
              <w:jc w:val="center"/>
              <w:rPr>
                <w:rFonts w:hint="default" w:hAnsi="宋体"/>
                <w:szCs w:val="21"/>
                <w:highlight w:val="none"/>
              </w:rPr>
            </w:pPr>
          </w:p>
          <w:p w14:paraId="025D7F4B">
            <w:pPr>
              <w:keepNext w:val="0"/>
              <w:keepLines w:val="0"/>
              <w:suppressLineNumbers w:val="0"/>
              <w:adjustRightInd w:val="0"/>
              <w:snapToGrid w:val="0"/>
              <w:spacing w:before="0" w:beforeAutospacing="0" w:after="0" w:afterAutospacing="0"/>
              <w:ind w:left="0" w:right="0"/>
              <w:jc w:val="center"/>
              <w:rPr>
                <w:rFonts w:hint="default" w:hAnsi="宋体"/>
                <w:szCs w:val="21"/>
                <w:highlight w:val="none"/>
              </w:rPr>
            </w:pPr>
          </w:p>
          <w:p w14:paraId="36B695CD">
            <w:pPr>
              <w:keepNext w:val="0"/>
              <w:keepLines w:val="0"/>
              <w:suppressLineNumbers w:val="0"/>
              <w:adjustRightInd w:val="0"/>
              <w:snapToGrid w:val="0"/>
              <w:spacing w:before="0" w:beforeAutospacing="0" w:after="0" w:afterAutospacing="0"/>
              <w:ind w:left="0" w:right="0"/>
              <w:jc w:val="center"/>
              <w:rPr>
                <w:rFonts w:hint="default" w:hAnsi="宋体"/>
                <w:szCs w:val="21"/>
                <w:highlight w:val="none"/>
              </w:rPr>
            </w:pPr>
          </w:p>
          <w:p w14:paraId="5B726610">
            <w:pPr>
              <w:keepNext w:val="0"/>
              <w:keepLines w:val="0"/>
              <w:suppressLineNumbers w:val="0"/>
              <w:adjustRightInd w:val="0"/>
              <w:snapToGrid w:val="0"/>
              <w:spacing w:before="0" w:beforeAutospacing="0" w:after="0" w:afterAutospacing="0"/>
              <w:ind w:left="0" w:right="0"/>
              <w:jc w:val="center"/>
              <w:rPr>
                <w:rFonts w:hint="default" w:hAnsi="宋体"/>
                <w:szCs w:val="21"/>
                <w:highlight w:val="none"/>
              </w:rPr>
            </w:pPr>
          </w:p>
          <w:p w14:paraId="78929E02">
            <w:pPr>
              <w:keepNext w:val="0"/>
              <w:keepLines w:val="0"/>
              <w:suppressLineNumbers w:val="0"/>
              <w:adjustRightInd w:val="0"/>
              <w:snapToGrid w:val="0"/>
              <w:spacing w:before="0" w:beforeAutospacing="0" w:after="0" w:afterAutospacing="0"/>
              <w:ind w:left="0" w:right="0"/>
              <w:jc w:val="center"/>
              <w:rPr>
                <w:rFonts w:hint="default" w:hAnsi="宋体"/>
                <w:szCs w:val="21"/>
                <w:highlight w:val="none"/>
              </w:rPr>
            </w:pPr>
          </w:p>
          <w:p w14:paraId="42ECC10B">
            <w:pPr>
              <w:keepNext w:val="0"/>
              <w:keepLines w:val="0"/>
              <w:suppressLineNumbers w:val="0"/>
              <w:adjustRightInd w:val="0"/>
              <w:snapToGrid w:val="0"/>
              <w:spacing w:before="0" w:beforeAutospacing="0" w:after="0" w:afterAutospacing="0"/>
              <w:ind w:left="0" w:right="0"/>
              <w:jc w:val="center"/>
              <w:rPr>
                <w:rFonts w:hint="default" w:hAnsi="宋体"/>
                <w:szCs w:val="21"/>
                <w:highlight w:val="none"/>
              </w:rPr>
            </w:pPr>
          </w:p>
          <w:p w14:paraId="31BAA995">
            <w:pPr>
              <w:keepNext w:val="0"/>
              <w:keepLines w:val="0"/>
              <w:suppressLineNumbers w:val="0"/>
              <w:adjustRightInd w:val="0"/>
              <w:snapToGrid w:val="0"/>
              <w:spacing w:before="0" w:beforeAutospacing="0" w:after="0" w:afterAutospacing="0"/>
              <w:ind w:left="0" w:right="0"/>
              <w:jc w:val="center"/>
              <w:rPr>
                <w:rFonts w:hint="default" w:hAnsi="宋体"/>
                <w:szCs w:val="21"/>
                <w:highlight w:val="none"/>
              </w:rPr>
            </w:pPr>
          </w:p>
          <w:p w14:paraId="5BF08DDF">
            <w:pPr>
              <w:keepNext w:val="0"/>
              <w:keepLines w:val="0"/>
              <w:suppressLineNumbers w:val="0"/>
              <w:adjustRightInd w:val="0"/>
              <w:snapToGrid w:val="0"/>
              <w:spacing w:before="0" w:beforeAutospacing="0" w:after="0" w:afterAutospacing="0"/>
              <w:ind w:left="0" w:right="0"/>
              <w:jc w:val="center"/>
              <w:rPr>
                <w:rFonts w:hint="default" w:hAnsi="宋体"/>
                <w:szCs w:val="21"/>
                <w:highlight w:val="none"/>
              </w:rPr>
            </w:pPr>
          </w:p>
          <w:p w14:paraId="28D9F748">
            <w:pPr>
              <w:keepNext w:val="0"/>
              <w:keepLines w:val="0"/>
              <w:suppressLineNumbers w:val="0"/>
              <w:adjustRightInd w:val="0"/>
              <w:snapToGrid w:val="0"/>
              <w:spacing w:before="0" w:beforeAutospacing="0" w:after="0" w:afterAutospacing="0"/>
              <w:ind w:left="0" w:right="0"/>
              <w:jc w:val="center"/>
              <w:rPr>
                <w:rFonts w:hint="default" w:hAnsi="宋体"/>
                <w:szCs w:val="21"/>
                <w:highlight w:val="none"/>
              </w:rPr>
            </w:pPr>
          </w:p>
          <w:p w14:paraId="2DAA1A9D">
            <w:pPr>
              <w:keepNext w:val="0"/>
              <w:keepLines w:val="0"/>
              <w:suppressLineNumbers w:val="0"/>
              <w:adjustRightInd w:val="0"/>
              <w:snapToGrid w:val="0"/>
              <w:spacing w:before="0" w:beforeAutospacing="0" w:after="0" w:afterAutospacing="0"/>
              <w:ind w:left="0" w:right="0"/>
              <w:jc w:val="center"/>
              <w:rPr>
                <w:rFonts w:hint="default" w:hAnsi="宋体"/>
                <w:szCs w:val="21"/>
                <w:highlight w:val="none"/>
              </w:rPr>
            </w:pPr>
          </w:p>
          <w:p w14:paraId="1E867EB7">
            <w:pPr>
              <w:keepNext w:val="0"/>
              <w:keepLines w:val="0"/>
              <w:suppressLineNumbers w:val="0"/>
              <w:adjustRightInd w:val="0"/>
              <w:snapToGrid w:val="0"/>
              <w:spacing w:before="0" w:beforeAutospacing="0" w:after="0" w:afterAutospacing="0"/>
              <w:ind w:left="0" w:right="0"/>
              <w:jc w:val="center"/>
              <w:rPr>
                <w:rFonts w:hint="default" w:hAnsi="宋体"/>
                <w:szCs w:val="21"/>
                <w:highlight w:val="none"/>
              </w:rPr>
            </w:pPr>
          </w:p>
          <w:p w14:paraId="243B784F">
            <w:pPr>
              <w:keepNext w:val="0"/>
              <w:keepLines w:val="0"/>
              <w:suppressLineNumbers w:val="0"/>
              <w:adjustRightInd w:val="0"/>
              <w:snapToGrid w:val="0"/>
              <w:spacing w:before="0" w:beforeAutospacing="0" w:after="0" w:afterAutospacing="0"/>
              <w:ind w:left="0" w:right="0"/>
              <w:jc w:val="center"/>
              <w:rPr>
                <w:rFonts w:hint="default" w:hAnsi="宋体"/>
                <w:szCs w:val="21"/>
                <w:highlight w:val="none"/>
              </w:rPr>
            </w:pPr>
          </w:p>
          <w:p w14:paraId="58419A78">
            <w:pPr>
              <w:keepNext w:val="0"/>
              <w:keepLines w:val="0"/>
              <w:suppressLineNumbers w:val="0"/>
              <w:adjustRightInd w:val="0"/>
              <w:snapToGrid w:val="0"/>
              <w:spacing w:before="0" w:beforeAutospacing="0" w:after="0" w:afterAutospacing="0"/>
              <w:ind w:left="0" w:right="0"/>
              <w:jc w:val="center"/>
              <w:rPr>
                <w:rFonts w:hint="default" w:hAnsi="宋体"/>
                <w:szCs w:val="21"/>
                <w:highlight w:val="none"/>
              </w:rPr>
            </w:pPr>
          </w:p>
          <w:p w14:paraId="614CBCC7">
            <w:pPr>
              <w:keepNext w:val="0"/>
              <w:keepLines w:val="0"/>
              <w:suppressLineNumbers w:val="0"/>
              <w:adjustRightInd w:val="0"/>
              <w:snapToGrid w:val="0"/>
              <w:spacing w:before="0" w:beforeAutospacing="0" w:after="0" w:afterAutospacing="0"/>
              <w:ind w:left="0" w:right="0"/>
              <w:jc w:val="center"/>
              <w:rPr>
                <w:rFonts w:hint="default" w:hAnsi="宋体"/>
                <w:szCs w:val="21"/>
                <w:highlight w:val="none"/>
              </w:rPr>
            </w:pPr>
          </w:p>
          <w:p w14:paraId="7A486928">
            <w:pPr>
              <w:keepNext w:val="0"/>
              <w:keepLines w:val="0"/>
              <w:suppressLineNumbers w:val="0"/>
              <w:adjustRightInd w:val="0"/>
              <w:snapToGrid w:val="0"/>
              <w:spacing w:before="0" w:beforeAutospacing="0" w:after="0" w:afterAutospacing="0"/>
              <w:ind w:left="0" w:right="0"/>
              <w:jc w:val="center"/>
              <w:rPr>
                <w:rFonts w:hint="default" w:hAnsi="宋体"/>
                <w:szCs w:val="21"/>
                <w:highlight w:val="none"/>
              </w:rPr>
            </w:pPr>
          </w:p>
          <w:p w14:paraId="0453C84C">
            <w:pPr>
              <w:keepNext w:val="0"/>
              <w:keepLines w:val="0"/>
              <w:suppressLineNumbers w:val="0"/>
              <w:adjustRightInd w:val="0"/>
              <w:snapToGrid w:val="0"/>
              <w:spacing w:before="0" w:beforeAutospacing="0" w:after="0" w:afterAutospacing="0"/>
              <w:ind w:left="0" w:right="0"/>
              <w:jc w:val="center"/>
              <w:rPr>
                <w:rFonts w:hint="default" w:hAnsi="宋体"/>
                <w:szCs w:val="21"/>
                <w:highlight w:val="none"/>
              </w:rPr>
            </w:pPr>
          </w:p>
          <w:p w14:paraId="48BA5B1F">
            <w:pPr>
              <w:keepNext w:val="0"/>
              <w:keepLines w:val="0"/>
              <w:suppressLineNumbers w:val="0"/>
              <w:adjustRightInd w:val="0"/>
              <w:snapToGrid w:val="0"/>
              <w:spacing w:before="0" w:beforeAutospacing="0" w:after="0" w:afterAutospacing="0"/>
              <w:ind w:left="0" w:right="0"/>
              <w:jc w:val="center"/>
              <w:rPr>
                <w:rFonts w:hint="default" w:hAnsi="宋体"/>
                <w:szCs w:val="21"/>
                <w:highlight w:val="none"/>
              </w:rPr>
            </w:pPr>
          </w:p>
          <w:p w14:paraId="015B28F2">
            <w:pPr>
              <w:keepNext w:val="0"/>
              <w:keepLines w:val="0"/>
              <w:suppressLineNumbers w:val="0"/>
              <w:adjustRightInd w:val="0"/>
              <w:snapToGrid w:val="0"/>
              <w:spacing w:before="0" w:beforeAutospacing="0" w:after="0" w:afterAutospacing="0"/>
              <w:ind w:left="0" w:right="0"/>
              <w:jc w:val="center"/>
              <w:rPr>
                <w:rFonts w:hint="default" w:hAnsi="宋体"/>
                <w:szCs w:val="21"/>
                <w:highlight w:val="none"/>
              </w:rPr>
            </w:pPr>
          </w:p>
          <w:p w14:paraId="3F70484F">
            <w:pPr>
              <w:keepNext w:val="0"/>
              <w:keepLines w:val="0"/>
              <w:suppressLineNumbers w:val="0"/>
              <w:adjustRightInd w:val="0"/>
              <w:snapToGrid w:val="0"/>
              <w:spacing w:before="0" w:beforeAutospacing="0" w:after="0" w:afterAutospacing="0"/>
              <w:ind w:left="0" w:right="0"/>
              <w:jc w:val="center"/>
              <w:rPr>
                <w:rFonts w:hint="default" w:hAnsi="宋体"/>
                <w:szCs w:val="21"/>
                <w:highlight w:val="none"/>
              </w:rPr>
            </w:pPr>
          </w:p>
          <w:p w14:paraId="7131EDC2">
            <w:pPr>
              <w:keepNext w:val="0"/>
              <w:keepLines w:val="0"/>
              <w:suppressLineNumbers w:val="0"/>
              <w:adjustRightInd w:val="0"/>
              <w:snapToGrid w:val="0"/>
              <w:spacing w:before="0" w:beforeAutospacing="0" w:after="0" w:afterAutospacing="0"/>
              <w:ind w:left="0" w:right="0"/>
              <w:jc w:val="center"/>
              <w:rPr>
                <w:rFonts w:hint="default" w:hAnsi="宋体"/>
                <w:szCs w:val="21"/>
                <w:highlight w:val="none"/>
              </w:rPr>
            </w:pPr>
            <w:r>
              <w:rPr>
                <w:rFonts w:hint="eastAsia" w:hAnsi="宋体"/>
                <w:szCs w:val="21"/>
                <w:highlight w:val="none"/>
              </w:rPr>
              <w:t>其他符合性分析</w:t>
            </w:r>
          </w:p>
          <w:p w14:paraId="4186155A">
            <w:pPr>
              <w:keepNext w:val="0"/>
              <w:keepLines w:val="0"/>
              <w:suppressLineNumbers w:val="0"/>
              <w:adjustRightInd w:val="0"/>
              <w:snapToGrid w:val="0"/>
              <w:spacing w:before="0" w:beforeAutospacing="0" w:after="0" w:afterAutospacing="0"/>
              <w:ind w:left="0" w:right="0"/>
              <w:jc w:val="center"/>
              <w:rPr>
                <w:rFonts w:hint="default" w:hAnsi="宋体"/>
                <w:szCs w:val="21"/>
                <w:highlight w:val="none"/>
              </w:rPr>
            </w:pPr>
          </w:p>
          <w:p w14:paraId="1F3E61B9">
            <w:pPr>
              <w:keepNext w:val="0"/>
              <w:keepLines w:val="0"/>
              <w:suppressLineNumbers w:val="0"/>
              <w:adjustRightInd w:val="0"/>
              <w:snapToGrid w:val="0"/>
              <w:spacing w:before="0" w:beforeAutospacing="0" w:after="0" w:afterAutospacing="0"/>
              <w:ind w:left="0" w:right="0"/>
              <w:jc w:val="center"/>
              <w:rPr>
                <w:rFonts w:hint="default" w:hAnsi="宋体"/>
                <w:szCs w:val="21"/>
                <w:highlight w:val="none"/>
              </w:rPr>
            </w:pPr>
          </w:p>
          <w:p w14:paraId="42D6FD32">
            <w:pPr>
              <w:keepNext w:val="0"/>
              <w:keepLines w:val="0"/>
              <w:suppressLineNumbers w:val="0"/>
              <w:adjustRightInd w:val="0"/>
              <w:snapToGrid w:val="0"/>
              <w:spacing w:before="0" w:beforeAutospacing="0" w:after="0" w:afterAutospacing="0"/>
              <w:ind w:left="0" w:right="0"/>
              <w:jc w:val="center"/>
              <w:rPr>
                <w:rFonts w:hint="default" w:hAnsi="宋体"/>
                <w:szCs w:val="21"/>
                <w:highlight w:val="none"/>
              </w:rPr>
            </w:pPr>
          </w:p>
          <w:p w14:paraId="20634E58">
            <w:pPr>
              <w:keepNext w:val="0"/>
              <w:keepLines w:val="0"/>
              <w:suppressLineNumbers w:val="0"/>
              <w:adjustRightInd w:val="0"/>
              <w:snapToGrid w:val="0"/>
              <w:spacing w:before="0" w:beforeAutospacing="0" w:after="0" w:afterAutospacing="0"/>
              <w:ind w:left="0" w:right="0"/>
              <w:jc w:val="center"/>
              <w:rPr>
                <w:rFonts w:hint="default" w:hAnsi="宋体"/>
                <w:szCs w:val="21"/>
                <w:highlight w:val="none"/>
              </w:rPr>
            </w:pPr>
          </w:p>
          <w:p w14:paraId="298AD1FF">
            <w:pPr>
              <w:keepNext w:val="0"/>
              <w:keepLines w:val="0"/>
              <w:suppressLineNumbers w:val="0"/>
              <w:adjustRightInd w:val="0"/>
              <w:snapToGrid w:val="0"/>
              <w:spacing w:before="0" w:beforeAutospacing="0" w:after="0" w:afterAutospacing="0"/>
              <w:ind w:left="0" w:right="0"/>
              <w:jc w:val="center"/>
              <w:rPr>
                <w:rFonts w:hint="default" w:hAnsi="宋体"/>
                <w:szCs w:val="21"/>
                <w:highlight w:val="none"/>
              </w:rPr>
            </w:pPr>
          </w:p>
          <w:p w14:paraId="682458B2">
            <w:pPr>
              <w:keepNext w:val="0"/>
              <w:keepLines w:val="0"/>
              <w:suppressLineNumbers w:val="0"/>
              <w:adjustRightInd w:val="0"/>
              <w:snapToGrid w:val="0"/>
              <w:spacing w:before="0" w:beforeAutospacing="0" w:after="0" w:afterAutospacing="0"/>
              <w:ind w:left="0" w:right="0"/>
              <w:jc w:val="center"/>
              <w:rPr>
                <w:rFonts w:hint="default" w:hAnsi="宋体"/>
                <w:szCs w:val="21"/>
                <w:highlight w:val="none"/>
              </w:rPr>
            </w:pPr>
          </w:p>
          <w:p w14:paraId="085302F5">
            <w:pPr>
              <w:keepNext w:val="0"/>
              <w:keepLines w:val="0"/>
              <w:suppressLineNumbers w:val="0"/>
              <w:adjustRightInd w:val="0"/>
              <w:snapToGrid w:val="0"/>
              <w:spacing w:before="0" w:beforeAutospacing="0" w:after="0" w:afterAutospacing="0"/>
              <w:ind w:left="0" w:right="0"/>
              <w:jc w:val="center"/>
              <w:rPr>
                <w:rFonts w:hint="default" w:hAnsi="宋体"/>
                <w:szCs w:val="21"/>
                <w:highlight w:val="none"/>
              </w:rPr>
            </w:pPr>
          </w:p>
          <w:p w14:paraId="2954E13E">
            <w:pPr>
              <w:keepNext w:val="0"/>
              <w:keepLines w:val="0"/>
              <w:suppressLineNumbers w:val="0"/>
              <w:adjustRightInd w:val="0"/>
              <w:snapToGrid w:val="0"/>
              <w:spacing w:before="0" w:beforeAutospacing="0" w:after="0" w:afterAutospacing="0"/>
              <w:ind w:left="0" w:right="0"/>
              <w:jc w:val="center"/>
              <w:rPr>
                <w:rFonts w:hint="default" w:hAnsi="宋体"/>
                <w:szCs w:val="21"/>
                <w:highlight w:val="none"/>
              </w:rPr>
            </w:pPr>
          </w:p>
          <w:p w14:paraId="297DB5F6">
            <w:pPr>
              <w:keepNext w:val="0"/>
              <w:keepLines w:val="0"/>
              <w:suppressLineNumbers w:val="0"/>
              <w:adjustRightInd w:val="0"/>
              <w:snapToGrid w:val="0"/>
              <w:spacing w:before="0" w:beforeAutospacing="0" w:after="0" w:afterAutospacing="0"/>
              <w:ind w:left="0" w:right="0"/>
              <w:jc w:val="center"/>
              <w:rPr>
                <w:rFonts w:hint="default" w:hAnsi="宋体"/>
                <w:szCs w:val="21"/>
                <w:highlight w:val="none"/>
              </w:rPr>
            </w:pPr>
          </w:p>
          <w:p w14:paraId="70646A33">
            <w:pPr>
              <w:keepNext w:val="0"/>
              <w:keepLines w:val="0"/>
              <w:suppressLineNumbers w:val="0"/>
              <w:adjustRightInd w:val="0"/>
              <w:snapToGrid w:val="0"/>
              <w:spacing w:before="0" w:beforeAutospacing="0" w:after="0" w:afterAutospacing="0"/>
              <w:ind w:left="0" w:right="0"/>
              <w:jc w:val="center"/>
              <w:rPr>
                <w:rFonts w:hint="default" w:hAnsi="宋体"/>
                <w:szCs w:val="21"/>
                <w:highlight w:val="none"/>
              </w:rPr>
            </w:pPr>
          </w:p>
          <w:p w14:paraId="571DEC9B">
            <w:pPr>
              <w:keepNext w:val="0"/>
              <w:keepLines w:val="0"/>
              <w:suppressLineNumbers w:val="0"/>
              <w:adjustRightInd w:val="0"/>
              <w:snapToGrid w:val="0"/>
              <w:spacing w:before="0" w:beforeAutospacing="0" w:after="0" w:afterAutospacing="0"/>
              <w:ind w:left="0" w:right="0"/>
              <w:jc w:val="center"/>
              <w:rPr>
                <w:rFonts w:hint="default" w:hAnsi="宋体"/>
                <w:szCs w:val="21"/>
                <w:highlight w:val="none"/>
              </w:rPr>
            </w:pPr>
          </w:p>
          <w:p w14:paraId="335C37D3">
            <w:pPr>
              <w:keepNext w:val="0"/>
              <w:keepLines w:val="0"/>
              <w:suppressLineNumbers w:val="0"/>
              <w:adjustRightInd w:val="0"/>
              <w:snapToGrid w:val="0"/>
              <w:spacing w:before="0" w:beforeAutospacing="0" w:after="0" w:afterAutospacing="0"/>
              <w:ind w:left="0" w:right="0"/>
              <w:jc w:val="center"/>
              <w:rPr>
                <w:rFonts w:hint="default" w:hAnsi="宋体"/>
                <w:szCs w:val="21"/>
                <w:highlight w:val="none"/>
              </w:rPr>
            </w:pPr>
          </w:p>
          <w:p w14:paraId="25287D1C">
            <w:pPr>
              <w:keepNext w:val="0"/>
              <w:keepLines w:val="0"/>
              <w:suppressLineNumbers w:val="0"/>
              <w:adjustRightInd w:val="0"/>
              <w:snapToGrid w:val="0"/>
              <w:spacing w:before="0" w:beforeAutospacing="0" w:after="0" w:afterAutospacing="0"/>
              <w:ind w:left="0" w:right="0"/>
              <w:jc w:val="center"/>
              <w:rPr>
                <w:rFonts w:hint="default" w:hAnsi="宋体"/>
                <w:szCs w:val="21"/>
                <w:highlight w:val="none"/>
              </w:rPr>
            </w:pPr>
          </w:p>
          <w:p w14:paraId="237EA7E7">
            <w:pPr>
              <w:keepNext w:val="0"/>
              <w:keepLines w:val="0"/>
              <w:suppressLineNumbers w:val="0"/>
              <w:adjustRightInd w:val="0"/>
              <w:snapToGrid w:val="0"/>
              <w:spacing w:before="0" w:beforeAutospacing="0" w:after="0" w:afterAutospacing="0"/>
              <w:ind w:left="0" w:right="0"/>
              <w:jc w:val="center"/>
              <w:rPr>
                <w:rFonts w:hint="default" w:hAnsi="宋体"/>
                <w:szCs w:val="21"/>
                <w:highlight w:val="none"/>
              </w:rPr>
            </w:pPr>
          </w:p>
          <w:p w14:paraId="5E168FAA">
            <w:pPr>
              <w:keepNext w:val="0"/>
              <w:keepLines w:val="0"/>
              <w:suppressLineNumbers w:val="0"/>
              <w:adjustRightInd w:val="0"/>
              <w:snapToGrid w:val="0"/>
              <w:spacing w:before="0" w:beforeAutospacing="0" w:after="0" w:afterAutospacing="0"/>
              <w:ind w:left="0" w:right="0"/>
              <w:jc w:val="center"/>
              <w:rPr>
                <w:rFonts w:hint="default" w:hAnsi="宋体"/>
                <w:szCs w:val="21"/>
                <w:highlight w:val="none"/>
              </w:rPr>
            </w:pPr>
          </w:p>
          <w:p w14:paraId="1B8B0132">
            <w:pPr>
              <w:keepNext w:val="0"/>
              <w:keepLines w:val="0"/>
              <w:suppressLineNumbers w:val="0"/>
              <w:adjustRightInd w:val="0"/>
              <w:snapToGrid w:val="0"/>
              <w:spacing w:before="0" w:beforeAutospacing="0" w:after="0" w:afterAutospacing="0"/>
              <w:ind w:left="0" w:right="0"/>
              <w:jc w:val="center"/>
              <w:rPr>
                <w:rFonts w:hint="default" w:hAnsi="宋体"/>
                <w:szCs w:val="21"/>
                <w:highlight w:val="none"/>
              </w:rPr>
            </w:pPr>
          </w:p>
          <w:p w14:paraId="33A0F9C1">
            <w:pPr>
              <w:keepNext w:val="0"/>
              <w:keepLines w:val="0"/>
              <w:suppressLineNumbers w:val="0"/>
              <w:adjustRightInd w:val="0"/>
              <w:snapToGrid w:val="0"/>
              <w:spacing w:before="0" w:beforeAutospacing="0" w:after="0" w:afterAutospacing="0"/>
              <w:ind w:left="0" w:right="0"/>
              <w:jc w:val="center"/>
              <w:rPr>
                <w:rFonts w:hint="default" w:hAnsi="宋体"/>
                <w:szCs w:val="21"/>
                <w:highlight w:val="none"/>
              </w:rPr>
            </w:pPr>
          </w:p>
          <w:p w14:paraId="79570546">
            <w:pPr>
              <w:keepNext w:val="0"/>
              <w:keepLines w:val="0"/>
              <w:suppressLineNumbers w:val="0"/>
              <w:adjustRightInd w:val="0"/>
              <w:snapToGrid w:val="0"/>
              <w:spacing w:before="0" w:beforeAutospacing="0" w:after="0" w:afterAutospacing="0"/>
              <w:ind w:left="0" w:right="0"/>
              <w:jc w:val="center"/>
              <w:rPr>
                <w:rFonts w:hint="default" w:hAnsi="宋体"/>
                <w:szCs w:val="21"/>
                <w:highlight w:val="none"/>
              </w:rPr>
            </w:pPr>
          </w:p>
          <w:p w14:paraId="22933816">
            <w:pPr>
              <w:keepNext w:val="0"/>
              <w:keepLines w:val="0"/>
              <w:suppressLineNumbers w:val="0"/>
              <w:adjustRightInd w:val="0"/>
              <w:snapToGrid w:val="0"/>
              <w:spacing w:before="0" w:beforeAutospacing="0" w:after="0" w:afterAutospacing="0"/>
              <w:ind w:left="0" w:right="0"/>
              <w:jc w:val="center"/>
              <w:rPr>
                <w:rFonts w:hint="default" w:hAnsi="宋体"/>
                <w:szCs w:val="21"/>
                <w:highlight w:val="none"/>
              </w:rPr>
            </w:pPr>
          </w:p>
          <w:p w14:paraId="54716A6A">
            <w:pPr>
              <w:keepNext w:val="0"/>
              <w:keepLines w:val="0"/>
              <w:suppressLineNumbers w:val="0"/>
              <w:adjustRightInd w:val="0"/>
              <w:snapToGrid w:val="0"/>
              <w:spacing w:before="0" w:beforeAutospacing="0" w:after="0" w:afterAutospacing="0"/>
              <w:ind w:left="0" w:right="0"/>
              <w:jc w:val="center"/>
              <w:rPr>
                <w:rFonts w:hint="default" w:hAnsi="宋体"/>
                <w:szCs w:val="21"/>
                <w:highlight w:val="none"/>
              </w:rPr>
            </w:pPr>
          </w:p>
          <w:p w14:paraId="4AF00471">
            <w:pPr>
              <w:keepNext w:val="0"/>
              <w:keepLines w:val="0"/>
              <w:suppressLineNumbers w:val="0"/>
              <w:adjustRightInd w:val="0"/>
              <w:snapToGrid w:val="0"/>
              <w:spacing w:before="0" w:beforeAutospacing="0" w:after="0" w:afterAutospacing="0"/>
              <w:ind w:left="0" w:right="0"/>
              <w:jc w:val="center"/>
              <w:rPr>
                <w:rFonts w:hint="default" w:hAnsi="宋体"/>
                <w:szCs w:val="21"/>
                <w:highlight w:val="none"/>
              </w:rPr>
            </w:pPr>
          </w:p>
          <w:p w14:paraId="2F4C2DC8">
            <w:pPr>
              <w:keepNext w:val="0"/>
              <w:keepLines w:val="0"/>
              <w:suppressLineNumbers w:val="0"/>
              <w:adjustRightInd w:val="0"/>
              <w:snapToGrid w:val="0"/>
              <w:spacing w:before="0" w:beforeAutospacing="0" w:after="0" w:afterAutospacing="0"/>
              <w:ind w:left="0" w:right="0"/>
              <w:jc w:val="center"/>
              <w:rPr>
                <w:rFonts w:hint="default" w:hAnsi="宋体"/>
                <w:szCs w:val="21"/>
                <w:highlight w:val="none"/>
              </w:rPr>
            </w:pPr>
          </w:p>
          <w:p w14:paraId="098937A4">
            <w:pPr>
              <w:keepNext w:val="0"/>
              <w:keepLines w:val="0"/>
              <w:suppressLineNumbers w:val="0"/>
              <w:adjustRightInd w:val="0"/>
              <w:snapToGrid w:val="0"/>
              <w:spacing w:before="0" w:beforeAutospacing="0" w:after="0" w:afterAutospacing="0"/>
              <w:ind w:left="0" w:right="0"/>
              <w:jc w:val="center"/>
              <w:rPr>
                <w:rFonts w:hint="default" w:hAnsi="宋体"/>
                <w:szCs w:val="21"/>
                <w:highlight w:val="none"/>
              </w:rPr>
            </w:pPr>
          </w:p>
          <w:p w14:paraId="579BAD03">
            <w:pPr>
              <w:keepNext w:val="0"/>
              <w:keepLines w:val="0"/>
              <w:suppressLineNumbers w:val="0"/>
              <w:adjustRightInd w:val="0"/>
              <w:snapToGrid w:val="0"/>
              <w:spacing w:before="0" w:beforeAutospacing="0" w:after="0" w:afterAutospacing="0"/>
              <w:ind w:left="0" w:right="0"/>
              <w:jc w:val="center"/>
              <w:rPr>
                <w:rFonts w:hint="default" w:hAnsi="宋体"/>
                <w:szCs w:val="21"/>
                <w:highlight w:val="none"/>
              </w:rPr>
            </w:pPr>
          </w:p>
          <w:p w14:paraId="47DF83F4">
            <w:pPr>
              <w:keepNext w:val="0"/>
              <w:keepLines w:val="0"/>
              <w:suppressLineNumbers w:val="0"/>
              <w:adjustRightInd w:val="0"/>
              <w:snapToGrid w:val="0"/>
              <w:spacing w:before="0" w:beforeAutospacing="0" w:after="0" w:afterAutospacing="0"/>
              <w:ind w:left="0" w:right="0"/>
              <w:jc w:val="center"/>
              <w:rPr>
                <w:rFonts w:hint="default" w:hAnsi="宋体"/>
                <w:szCs w:val="21"/>
                <w:highlight w:val="none"/>
              </w:rPr>
            </w:pPr>
          </w:p>
          <w:p w14:paraId="11F59D5D">
            <w:pPr>
              <w:keepNext w:val="0"/>
              <w:keepLines w:val="0"/>
              <w:suppressLineNumbers w:val="0"/>
              <w:adjustRightInd w:val="0"/>
              <w:snapToGrid w:val="0"/>
              <w:spacing w:before="0" w:beforeAutospacing="0" w:after="0" w:afterAutospacing="0"/>
              <w:ind w:left="0" w:right="0"/>
              <w:jc w:val="center"/>
              <w:rPr>
                <w:rFonts w:hint="default" w:hAnsi="宋体"/>
                <w:szCs w:val="21"/>
                <w:highlight w:val="none"/>
              </w:rPr>
            </w:pPr>
          </w:p>
          <w:p w14:paraId="2F12FAD7">
            <w:pPr>
              <w:keepNext w:val="0"/>
              <w:keepLines w:val="0"/>
              <w:suppressLineNumbers w:val="0"/>
              <w:adjustRightInd w:val="0"/>
              <w:snapToGrid w:val="0"/>
              <w:spacing w:before="0" w:beforeAutospacing="0" w:after="0" w:afterAutospacing="0"/>
              <w:ind w:left="0" w:right="0"/>
              <w:jc w:val="center"/>
              <w:rPr>
                <w:rFonts w:hint="default" w:hAnsi="宋体"/>
                <w:szCs w:val="21"/>
                <w:highlight w:val="none"/>
              </w:rPr>
            </w:pPr>
          </w:p>
          <w:p w14:paraId="7284FD26">
            <w:pPr>
              <w:keepNext w:val="0"/>
              <w:keepLines w:val="0"/>
              <w:suppressLineNumbers w:val="0"/>
              <w:adjustRightInd w:val="0"/>
              <w:snapToGrid w:val="0"/>
              <w:spacing w:before="0" w:beforeAutospacing="0" w:after="0" w:afterAutospacing="0"/>
              <w:ind w:left="0" w:right="0"/>
              <w:jc w:val="center"/>
              <w:rPr>
                <w:rFonts w:hint="default" w:hAnsi="宋体"/>
                <w:szCs w:val="21"/>
                <w:highlight w:val="none"/>
              </w:rPr>
            </w:pPr>
          </w:p>
          <w:p w14:paraId="7E5D28FF">
            <w:pPr>
              <w:keepNext w:val="0"/>
              <w:keepLines w:val="0"/>
              <w:suppressLineNumbers w:val="0"/>
              <w:adjustRightInd w:val="0"/>
              <w:snapToGrid w:val="0"/>
              <w:spacing w:before="0" w:beforeAutospacing="0" w:after="0" w:afterAutospacing="0"/>
              <w:ind w:left="0" w:right="0"/>
              <w:jc w:val="center"/>
              <w:rPr>
                <w:rFonts w:hint="default" w:hAnsi="宋体"/>
                <w:szCs w:val="21"/>
                <w:highlight w:val="none"/>
              </w:rPr>
            </w:pPr>
          </w:p>
          <w:p w14:paraId="57A0D4C1">
            <w:pPr>
              <w:keepNext w:val="0"/>
              <w:keepLines w:val="0"/>
              <w:suppressLineNumbers w:val="0"/>
              <w:adjustRightInd w:val="0"/>
              <w:snapToGrid w:val="0"/>
              <w:spacing w:before="0" w:beforeAutospacing="0" w:after="0" w:afterAutospacing="0"/>
              <w:ind w:left="0" w:right="0"/>
              <w:jc w:val="center"/>
              <w:rPr>
                <w:rFonts w:hint="default" w:hAnsi="宋体"/>
                <w:szCs w:val="21"/>
                <w:highlight w:val="none"/>
              </w:rPr>
            </w:pPr>
          </w:p>
          <w:p w14:paraId="1821D133">
            <w:pPr>
              <w:keepNext w:val="0"/>
              <w:keepLines w:val="0"/>
              <w:suppressLineNumbers w:val="0"/>
              <w:adjustRightInd w:val="0"/>
              <w:snapToGrid w:val="0"/>
              <w:spacing w:before="0" w:beforeAutospacing="0" w:after="0" w:afterAutospacing="0"/>
              <w:ind w:left="0" w:right="0"/>
              <w:jc w:val="center"/>
              <w:rPr>
                <w:rFonts w:hint="default" w:hAnsi="宋体"/>
                <w:szCs w:val="21"/>
                <w:highlight w:val="none"/>
              </w:rPr>
            </w:pPr>
          </w:p>
          <w:p w14:paraId="1BE82F02">
            <w:pPr>
              <w:keepNext w:val="0"/>
              <w:keepLines w:val="0"/>
              <w:suppressLineNumbers w:val="0"/>
              <w:adjustRightInd w:val="0"/>
              <w:snapToGrid w:val="0"/>
              <w:spacing w:before="0" w:beforeAutospacing="0" w:after="0" w:afterAutospacing="0"/>
              <w:ind w:left="0" w:right="0"/>
              <w:jc w:val="center"/>
              <w:rPr>
                <w:rFonts w:hint="default" w:hAnsi="宋体"/>
                <w:szCs w:val="21"/>
                <w:highlight w:val="none"/>
              </w:rPr>
            </w:pPr>
          </w:p>
          <w:p w14:paraId="42C05BD9">
            <w:pPr>
              <w:keepNext w:val="0"/>
              <w:keepLines w:val="0"/>
              <w:suppressLineNumbers w:val="0"/>
              <w:adjustRightInd w:val="0"/>
              <w:snapToGrid w:val="0"/>
              <w:spacing w:before="0" w:beforeAutospacing="0" w:after="0" w:afterAutospacing="0"/>
              <w:ind w:left="0" w:right="0"/>
              <w:jc w:val="center"/>
              <w:rPr>
                <w:rFonts w:hint="default" w:hAnsi="宋体"/>
                <w:szCs w:val="21"/>
                <w:highlight w:val="none"/>
              </w:rPr>
            </w:pPr>
          </w:p>
          <w:p w14:paraId="2C2F2D46">
            <w:pPr>
              <w:keepNext w:val="0"/>
              <w:keepLines w:val="0"/>
              <w:suppressLineNumbers w:val="0"/>
              <w:adjustRightInd w:val="0"/>
              <w:snapToGrid w:val="0"/>
              <w:spacing w:before="0" w:beforeAutospacing="0" w:after="0" w:afterAutospacing="0"/>
              <w:ind w:left="0" w:right="0"/>
              <w:jc w:val="center"/>
              <w:rPr>
                <w:rFonts w:hint="default" w:hAnsi="宋体"/>
                <w:szCs w:val="21"/>
                <w:highlight w:val="none"/>
              </w:rPr>
            </w:pPr>
          </w:p>
          <w:p w14:paraId="29C271F1">
            <w:pPr>
              <w:keepNext w:val="0"/>
              <w:keepLines w:val="0"/>
              <w:suppressLineNumbers w:val="0"/>
              <w:adjustRightInd w:val="0"/>
              <w:snapToGrid w:val="0"/>
              <w:spacing w:before="0" w:beforeAutospacing="0" w:after="0" w:afterAutospacing="0"/>
              <w:ind w:left="0" w:right="0"/>
              <w:jc w:val="center"/>
              <w:rPr>
                <w:rFonts w:hint="default" w:hAnsi="宋体"/>
                <w:szCs w:val="21"/>
                <w:highlight w:val="none"/>
              </w:rPr>
            </w:pPr>
          </w:p>
          <w:p w14:paraId="5289A385">
            <w:pPr>
              <w:keepNext w:val="0"/>
              <w:keepLines w:val="0"/>
              <w:suppressLineNumbers w:val="0"/>
              <w:adjustRightInd w:val="0"/>
              <w:snapToGrid w:val="0"/>
              <w:spacing w:before="0" w:beforeAutospacing="0" w:after="0" w:afterAutospacing="0"/>
              <w:ind w:left="0" w:right="0"/>
              <w:jc w:val="center"/>
              <w:rPr>
                <w:rFonts w:hint="default" w:hAnsi="宋体"/>
                <w:szCs w:val="21"/>
                <w:highlight w:val="none"/>
              </w:rPr>
            </w:pPr>
          </w:p>
          <w:p w14:paraId="0A381206">
            <w:pPr>
              <w:keepNext w:val="0"/>
              <w:keepLines w:val="0"/>
              <w:suppressLineNumbers w:val="0"/>
              <w:adjustRightInd w:val="0"/>
              <w:snapToGrid w:val="0"/>
              <w:spacing w:before="0" w:beforeAutospacing="0" w:after="0" w:afterAutospacing="0"/>
              <w:ind w:left="0" w:right="0"/>
              <w:jc w:val="center"/>
              <w:rPr>
                <w:rFonts w:hint="default" w:hAnsi="宋体"/>
                <w:szCs w:val="21"/>
                <w:highlight w:val="none"/>
              </w:rPr>
            </w:pPr>
          </w:p>
          <w:p w14:paraId="519EF285">
            <w:pPr>
              <w:keepNext w:val="0"/>
              <w:keepLines w:val="0"/>
              <w:suppressLineNumbers w:val="0"/>
              <w:adjustRightInd w:val="0"/>
              <w:snapToGrid w:val="0"/>
              <w:spacing w:before="0" w:beforeAutospacing="0" w:after="0" w:afterAutospacing="0"/>
              <w:ind w:left="0" w:right="0"/>
              <w:jc w:val="center"/>
              <w:rPr>
                <w:rFonts w:hint="default" w:hAnsi="宋体"/>
                <w:szCs w:val="21"/>
                <w:highlight w:val="none"/>
              </w:rPr>
            </w:pPr>
          </w:p>
          <w:p w14:paraId="6E18CE09">
            <w:pPr>
              <w:keepNext w:val="0"/>
              <w:keepLines w:val="0"/>
              <w:suppressLineNumbers w:val="0"/>
              <w:adjustRightInd w:val="0"/>
              <w:snapToGrid w:val="0"/>
              <w:spacing w:before="0" w:beforeAutospacing="0" w:after="0" w:afterAutospacing="0"/>
              <w:ind w:left="0" w:right="0"/>
              <w:jc w:val="center"/>
              <w:rPr>
                <w:rFonts w:hint="default" w:hAnsi="宋体"/>
                <w:szCs w:val="21"/>
                <w:highlight w:val="none"/>
              </w:rPr>
            </w:pPr>
          </w:p>
          <w:p w14:paraId="3866FC12">
            <w:pPr>
              <w:keepNext w:val="0"/>
              <w:keepLines w:val="0"/>
              <w:suppressLineNumbers w:val="0"/>
              <w:adjustRightInd w:val="0"/>
              <w:snapToGrid w:val="0"/>
              <w:spacing w:before="0" w:beforeAutospacing="0" w:after="0" w:afterAutospacing="0"/>
              <w:ind w:left="0" w:right="0"/>
              <w:jc w:val="center"/>
              <w:rPr>
                <w:rFonts w:hint="default" w:hAnsi="宋体"/>
                <w:szCs w:val="21"/>
                <w:highlight w:val="none"/>
              </w:rPr>
            </w:pPr>
          </w:p>
          <w:p w14:paraId="79F1102A">
            <w:pPr>
              <w:keepNext w:val="0"/>
              <w:keepLines w:val="0"/>
              <w:suppressLineNumbers w:val="0"/>
              <w:adjustRightInd w:val="0"/>
              <w:snapToGrid w:val="0"/>
              <w:spacing w:before="0" w:beforeAutospacing="0" w:after="0" w:afterAutospacing="0"/>
              <w:ind w:left="0" w:right="0"/>
              <w:jc w:val="center"/>
              <w:rPr>
                <w:rFonts w:hint="default" w:hAnsi="宋体"/>
                <w:szCs w:val="21"/>
                <w:highlight w:val="none"/>
              </w:rPr>
            </w:pPr>
          </w:p>
          <w:p w14:paraId="668FAD98">
            <w:pPr>
              <w:keepNext w:val="0"/>
              <w:keepLines w:val="0"/>
              <w:suppressLineNumbers w:val="0"/>
              <w:adjustRightInd w:val="0"/>
              <w:snapToGrid w:val="0"/>
              <w:spacing w:before="0" w:beforeAutospacing="0" w:after="0" w:afterAutospacing="0"/>
              <w:ind w:left="0" w:right="0"/>
              <w:jc w:val="center"/>
              <w:rPr>
                <w:rFonts w:hint="default" w:hAnsi="宋体"/>
                <w:szCs w:val="21"/>
                <w:highlight w:val="none"/>
              </w:rPr>
            </w:pPr>
          </w:p>
          <w:p w14:paraId="2E774FB9">
            <w:pPr>
              <w:keepNext w:val="0"/>
              <w:keepLines w:val="0"/>
              <w:suppressLineNumbers w:val="0"/>
              <w:adjustRightInd w:val="0"/>
              <w:snapToGrid w:val="0"/>
              <w:spacing w:before="0" w:beforeAutospacing="0" w:after="0" w:afterAutospacing="0"/>
              <w:ind w:left="0" w:right="0"/>
              <w:jc w:val="center"/>
              <w:rPr>
                <w:rFonts w:hint="default" w:hAnsi="宋体"/>
                <w:szCs w:val="21"/>
                <w:highlight w:val="none"/>
              </w:rPr>
            </w:pPr>
          </w:p>
          <w:p w14:paraId="381E6EA6">
            <w:pPr>
              <w:keepNext w:val="0"/>
              <w:keepLines w:val="0"/>
              <w:suppressLineNumbers w:val="0"/>
              <w:adjustRightInd w:val="0"/>
              <w:snapToGrid w:val="0"/>
              <w:spacing w:before="0" w:beforeAutospacing="0" w:after="0" w:afterAutospacing="0"/>
              <w:ind w:left="0" w:right="0"/>
              <w:jc w:val="center"/>
              <w:rPr>
                <w:rFonts w:hint="default" w:hAnsi="宋体"/>
                <w:szCs w:val="21"/>
                <w:highlight w:val="none"/>
              </w:rPr>
            </w:pPr>
            <w:r>
              <w:rPr>
                <w:rFonts w:hint="eastAsia" w:hAnsi="宋体"/>
                <w:szCs w:val="21"/>
                <w:highlight w:val="none"/>
              </w:rPr>
              <w:t>其他符合性分析</w:t>
            </w:r>
          </w:p>
          <w:p w14:paraId="76EC0D9C">
            <w:pPr>
              <w:keepNext w:val="0"/>
              <w:keepLines w:val="0"/>
              <w:suppressLineNumbers w:val="0"/>
              <w:adjustRightInd w:val="0"/>
              <w:snapToGrid w:val="0"/>
              <w:spacing w:before="0" w:beforeAutospacing="0" w:after="0" w:afterAutospacing="0"/>
              <w:ind w:left="0" w:right="0"/>
              <w:jc w:val="center"/>
              <w:rPr>
                <w:rFonts w:hint="default" w:hAnsi="宋体"/>
                <w:szCs w:val="21"/>
                <w:highlight w:val="none"/>
              </w:rPr>
            </w:pPr>
          </w:p>
          <w:p w14:paraId="5E154E94">
            <w:pPr>
              <w:keepNext w:val="0"/>
              <w:keepLines w:val="0"/>
              <w:suppressLineNumbers w:val="0"/>
              <w:adjustRightInd w:val="0"/>
              <w:snapToGrid w:val="0"/>
              <w:spacing w:before="0" w:beforeAutospacing="0" w:after="0" w:afterAutospacing="0"/>
              <w:ind w:left="0" w:right="0"/>
              <w:jc w:val="center"/>
              <w:rPr>
                <w:rFonts w:hint="default" w:hAnsi="宋体"/>
                <w:szCs w:val="21"/>
                <w:highlight w:val="none"/>
              </w:rPr>
            </w:pPr>
          </w:p>
          <w:p w14:paraId="38BF6F2A">
            <w:pPr>
              <w:keepNext w:val="0"/>
              <w:keepLines w:val="0"/>
              <w:suppressLineNumbers w:val="0"/>
              <w:adjustRightInd w:val="0"/>
              <w:snapToGrid w:val="0"/>
              <w:spacing w:before="0" w:beforeAutospacing="0" w:after="0" w:afterAutospacing="0"/>
              <w:ind w:left="0" w:right="0"/>
              <w:jc w:val="center"/>
              <w:rPr>
                <w:rFonts w:hint="default" w:hAnsi="宋体"/>
                <w:szCs w:val="21"/>
                <w:highlight w:val="none"/>
              </w:rPr>
            </w:pPr>
          </w:p>
          <w:p w14:paraId="547A8EC7">
            <w:pPr>
              <w:keepNext w:val="0"/>
              <w:keepLines w:val="0"/>
              <w:suppressLineNumbers w:val="0"/>
              <w:adjustRightInd w:val="0"/>
              <w:snapToGrid w:val="0"/>
              <w:spacing w:before="0" w:beforeAutospacing="0" w:after="0" w:afterAutospacing="0"/>
              <w:ind w:left="0" w:right="0"/>
              <w:jc w:val="center"/>
              <w:rPr>
                <w:rFonts w:hint="default" w:hAnsi="宋体"/>
                <w:szCs w:val="21"/>
                <w:highlight w:val="none"/>
              </w:rPr>
            </w:pPr>
          </w:p>
          <w:p w14:paraId="4BEA2311">
            <w:pPr>
              <w:keepNext w:val="0"/>
              <w:keepLines w:val="0"/>
              <w:suppressLineNumbers w:val="0"/>
              <w:adjustRightInd w:val="0"/>
              <w:snapToGrid w:val="0"/>
              <w:spacing w:before="0" w:beforeAutospacing="0" w:after="0" w:afterAutospacing="0"/>
              <w:ind w:left="0" w:right="0"/>
              <w:jc w:val="center"/>
              <w:rPr>
                <w:rFonts w:hint="default" w:hAnsi="宋体"/>
                <w:szCs w:val="21"/>
                <w:highlight w:val="none"/>
              </w:rPr>
            </w:pPr>
          </w:p>
          <w:p w14:paraId="4551773F">
            <w:pPr>
              <w:keepNext w:val="0"/>
              <w:keepLines w:val="0"/>
              <w:suppressLineNumbers w:val="0"/>
              <w:adjustRightInd w:val="0"/>
              <w:snapToGrid w:val="0"/>
              <w:spacing w:before="0" w:beforeAutospacing="0" w:after="0" w:afterAutospacing="0"/>
              <w:ind w:left="0" w:right="0"/>
              <w:jc w:val="center"/>
              <w:rPr>
                <w:rFonts w:hint="default" w:hAnsi="宋体"/>
                <w:szCs w:val="21"/>
                <w:highlight w:val="none"/>
              </w:rPr>
            </w:pPr>
          </w:p>
          <w:p w14:paraId="5ED2E5D8">
            <w:pPr>
              <w:keepNext w:val="0"/>
              <w:keepLines w:val="0"/>
              <w:suppressLineNumbers w:val="0"/>
              <w:adjustRightInd w:val="0"/>
              <w:snapToGrid w:val="0"/>
              <w:spacing w:before="0" w:beforeAutospacing="0" w:after="0" w:afterAutospacing="0"/>
              <w:ind w:left="0" w:right="0"/>
              <w:jc w:val="center"/>
              <w:rPr>
                <w:rFonts w:hint="default" w:hAnsi="宋体"/>
                <w:szCs w:val="21"/>
                <w:highlight w:val="none"/>
              </w:rPr>
            </w:pPr>
          </w:p>
          <w:p w14:paraId="391E8E29">
            <w:pPr>
              <w:keepNext w:val="0"/>
              <w:keepLines w:val="0"/>
              <w:suppressLineNumbers w:val="0"/>
              <w:adjustRightInd w:val="0"/>
              <w:snapToGrid w:val="0"/>
              <w:spacing w:before="0" w:beforeAutospacing="0" w:after="0" w:afterAutospacing="0"/>
              <w:ind w:left="0" w:right="0"/>
              <w:jc w:val="center"/>
              <w:rPr>
                <w:rFonts w:hint="default" w:hAnsi="宋体"/>
                <w:szCs w:val="21"/>
                <w:highlight w:val="none"/>
              </w:rPr>
            </w:pPr>
          </w:p>
          <w:p w14:paraId="580EE49E">
            <w:pPr>
              <w:keepNext w:val="0"/>
              <w:keepLines w:val="0"/>
              <w:suppressLineNumbers w:val="0"/>
              <w:adjustRightInd w:val="0"/>
              <w:snapToGrid w:val="0"/>
              <w:spacing w:before="0" w:beforeAutospacing="0" w:after="0" w:afterAutospacing="0"/>
              <w:ind w:left="0" w:right="0"/>
              <w:jc w:val="center"/>
              <w:rPr>
                <w:rFonts w:hint="default" w:hAnsi="宋体"/>
                <w:szCs w:val="21"/>
                <w:highlight w:val="none"/>
              </w:rPr>
            </w:pPr>
          </w:p>
          <w:p w14:paraId="7EE0F51A">
            <w:pPr>
              <w:keepNext w:val="0"/>
              <w:keepLines w:val="0"/>
              <w:suppressLineNumbers w:val="0"/>
              <w:adjustRightInd w:val="0"/>
              <w:snapToGrid w:val="0"/>
              <w:spacing w:before="0" w:beforeAutospacing="0" w:after="0" w:afterAutospacing="0"/>
              <w:ind w:left="0" w:right="0"/>
              <w:jc w:val="center"/>
              <w:rPr>
                <w:rFonts w:hint="default" w:hAnsi="宋体"/>
                <w:szCs w:val="21"/>
                <w:highlight w:val="none"/>
              </w:rPr>
            </w:pPr>
          </w:p>
          <w:p w14:paraId="1D8340DE">
            <w:pPr>
              <w:keepNext w:val="0"/>
              <w:keepLines w:val="0"/>
              <w:suppressLineNumbers w:val="0"/>
              <w:adjustRightInd w:val="0"/>
              <w:snapToGrid w:val="0"/>
              <w:spacing w:before="0" w:beforeAutospacing="0" w:after="0" w:afterAutospacing="0"/>
              <w:ind w:left="0" w:right="0"/>
              <w:jc w:val="center"/>
              <w:rPr>
                <w:rFonts w:hint="default" w:hAnsi="宋体"/>
                <w:szCs w:val="21"/>
                <w:highlight w:val="none"/>
              </w:rPr>
            </w:pPr>
          </w:p>
          <w:p w14:paraId="77BCA2B7">
            <w:pPr>
              <w:keepNext w:val="0"/>
              <w:keepLines w:val="0"/>
              <w:suppressLineNumbers w:val="0"/>
              <w:adjustRightInd w:val="0"/>
              <w:snapToGrid w:val="0"/>
              <w:spacing w:before="0" w:beforeAutospacing="0" w:after="0" w:afterAutospacing="0"/>
              <w:ind w:left="0" w:right="0"/>
              <w:jc w:val="center"/>
              <w:rPr>
                <w:rFonts w:hint="default" w:hAnsi="宋体"/>
                <w:szCs w:val="21"/>
                <w:highlight w:val="none"/>
              </w:rPr>
            </w:pPr>
          </w:p>
          <w:p w14:paraId="10821221">
            <w:pPr>
              <w:keepNext w:val="0"/>
              <w:keepLines w:val="0"/>
              <w:suppressLineNumbers w:val="0"/>
              <w:adjustRightInd w:val="0"/>
              <w:snapToGrid w:val="0"/>
              <w:spacing w:before="0" w:beforeAutospacing="0" w:after="0" w:afterAutospacing="0"/>
              <w:ind w:left="0" w:right="0"/>
              <w:jc w:val="center"/>
              <w:rPr>
                <w:rFonts w:hint="default" w:hAnsi="宋体"/>
                <w:szCs w:val="21"/>
                <w:highlight w:val="none"/>
              </w:rPr>
            </w:pPr>
          </w:p>
          <w:p w14:paraId="44E8501A">
            <w:pPr>
              <w:keepNext w:val="0"/>
              <w:keepLines w:val="0"/>
              <w:suppressLineNumbers w:val="0"/>
              <w:adjustRightInd w:val="0"/>
              <w:snapToGrid w:val="0"/>
              <w:spacing w:before="0" w:beforeAutospacing="0" w:after="0" w:afterAutospacing="0"/>
              <w:ind w:left="0" w:right="0"/>
              <w:jc w:val="center"/>
              <w:rPr>
                <w:rFonts w:hint="default" w:hAnsi="宋体"/>
                <w:szCs w:val="21"/>
                <w:highlight w:val="none"/>
              </w:rPr>
            </w:pPr>
          </w:p>
          <w:p w14:paraId="2BFF34BE">
            <w:pPr>
              <w:keepNext w:val="0"/>
              <w:keepLines w:val="0"/>
              <w:suppressLineNumbers w:val="0"/>
              <w:adjustRightInd w:val="0"/>
              <w:snapToGrid w:val="0"/>
              <w:spacing w:before="0" w:beforeAutospacing="0" w:after="0" w:afterAutospacing="0"/>
              <w:ind w:left="0" w:right="0"/>
              <w:jc w:val="center"/>
              <w:rPr>
                <w:rFonts w:hint="default" w:hAnsi="宋体"/>
                <w:szCs w:val="21"/>
                <w:highlight w:val="none"/>
              </w:rPr>
            </w:pPr>
          </w:p>
          <w:p w14:paraId="07F6874E">
            <w:pPr>
              <w:keepNext w:val="0"/>
              <w:keepLines w:val="0"/>
              <w:suppressLineNumbers w:val="0"/>
              <w:adjustRightInd w:val="0"/>
              <w:snapToGrid w:val="0"/>
              <w:spacing w:before="0" w:beforeAutospacing="0" w:after="0" w:afterAutospacing="0"/>
              <w:ind w:left="0" w:right="0"/>
              <w:jc w:val="center"/>
              <w:rPr>
                <w:rFonts w:hint="default" w:hAnsi="宋体"/>
                <w:szCs w:val="21"/>
                <w:highlight w:val="none"/>
              </w:rPr>
            </w:pPr>
          </w:p>
          <w:p w14:paraId="666CC8BC">
            <w:pPr>
              <w:keepNext w:val="0"/>
              <w:keepLines w:val="0"/>
              <w:suppressLineNumbers w:val="0"/>
              <w:adjustRightInd w:val="0"/>
              <w:snapToGrid w:val="0"/>
              <w:spacing w:before="0" w:beforeAutospacing="0" w:after="0" w:afterAutospacing="0"/>
              <w:ind w:left="0" w:right="0"/>
              <w:jc w:val="center"/>
              <w:rPr>
                <w:rFonts w:hint="default" w:hAnsi="宋体"/>
                <w:szCs w:val="21"/>
                <w:highlight w:val="none"/>
              </w:rPr>
            </w:pPr>
          </w:p>
          <w:p w14:paraId="3BFB15E7">
            <w:pPr>
              <w:keepNext w:val="0"/>
              <w:keepLines w:val="0"/>
              <w:suppressLineNumbers w:val="0"/>
              <w:adjustRightInd w:val="0"/>
              <w:snapToGrid w:val="0"/>
              <w:spacing w:before="0" w:beforeAutospacing="0" w:after="0" w:afterAutospacing="0"/>
              <w:ind w:left="0" w:right="0"/>
              <w:jc w:val="center"/>
              <w:rPr>
                <w:rFonts w:hint="default" w:hAnsi="宋体"/>
                <w:szCs w:val="21"/>
                <w:highlight w:val="none"/>
              </w:rPr>
            </w:pPr>
          </w:p>
          <w:p w14:paraId="7365438A">
            <w:pPr>
              <w:keepNext w:val="0"/>
              <w:keepLines w:val="0"/>
              <w:suppressLineNumbers w:val="0"/>
              <w:adjustRightInd w:val="0"/>
              <w:snapToGrid w:val="0"/>
              <w:spacing w:before="0" w:beforeAutospacing="0" w:after="0" w:afterAutospacing="0"/>
              <w:ind w:left="0" w:right="0"/>
              <w:jc w:val="center"/>
              <w:rPr>
                <w:rFonts w:hint="default" w:hAnsi="宋体"/>
                <w:szCs w:val="21"/>
                <w:highlight w:val="none"/>
              </w:rPr>
            </w:pPr>
          </w:p>
          <w:p w14:paraId="5705AE20">
            <w:pPr>
              <w:keepNext w:val="0"/>
              <w:keepLines w:val="0"/>
              <w:suppressLineNumbers w:val="0"/>
              <w:adjustRightInd w:val="0"/>
              <w:snapToGrid w:val="0"/>
              <w:spacing w:before="0" w:beforeAutospacing="0" w:after="0" w:afterAutospacing="0"/>
              <w:ind w:left="0" w:right="0"/>
              <w:jc w:val="center"/>
              <w:rPr>
                <w:rFonts w:hint="default" w:hAnsi="宋体"/>
                <w:szCs w:val="21"/>
                <w:highlight w:val="none"/>
              </w:rPr>
            </w:pPr>
          </w:p>
          <w:p w14:paraId="3044B34A">
            <w:pPr>
              <w:keepNext w:val="0"/>
              <w:keepLines w:val="0"/>
              <w:suppressLineNumbers w:val="0"/>
              <w:adjustRightInd w:val="0"/>
              <w:snapToGrid w:val="0"/>
              <w:spacing w:before="0" w:beforeAutospacing="0" w:after="0" w:afterAutospacing="0"/>
              <w:ind w:left="0" w:right="0"/>
              <w:jc w:val="center"/>
              <w:rPr>
                <w:rFonts w:hint="default" w:hAnsi="宋体"/>
                <w:szCs w:val="21"/>
                <w:highlight w:val="none"/>
              </w:rPr>
            </w:pPr>
          </w:p>
          <w:p w14:paraId="5BA2F205">
            <w:pPr>
              <w:keepNext w:val="0"/>
              <w:keepLines w:val="0"/>
              <w:suppressLineNumbers w:val="0"/>
              <w:adjustRightInd w:val="0"/>
              <w:snapToGrid w:val="0"/>
              <w:spacing w:before="0" w:beforeAutospacing="0" w:after="0" w:afterAutospacing="0"/>
              <w:ind w:left="0" w:right="0"/>
              <w:jc w:val="center"/>
              <w:rPr>
                <w:rFonts w:hint="default" w:hAnsi="宋体"/>
                <w:szCs w:val="21"/>
                <w:highlight w:val="none"/>
              </w:rPr>
            </w:pPr>
          </w:p>
          <w:p w14:paraId="64162603">
            <w:pPr>
              <w:keepNext w:val="0"/>
              <w:keepLines w:val="0"/>
              <w:suppressLineNumbers w:val="0"/>
              <w:adjustRightInd w:val="0"/>
              <w:snapToGrid w:val="0"/>
              <w:spacing w:before="0" w:beforeAutospacing="0" w:after="0" w:afterAutospacing="0"/>
              <w:ind w:left="0" w:right="0"/>
              <w:jc w:val="center"/>
              <w:rPr>
                <w:rFonts w:hint="default" w:hAnsi="宋体"/>
                <w:szCs w:val="21"/>
                <w:highlight w:val="none"/>
              </w:rPr>
            </w:pPr>
          </w:p>
          <w:p w14:paraId="0993F302">
            <w:pPr>
              <w:keepNext w:val="0"/>
              <w:keepLines w:val="0"/>
              <w:suppressLineNumbers w:val="0"/>
              <w:adjustRightInd w:val="0"/>
              <w:snapToGrid w:val="0"/>
              <w:spacing w:before="0" w:beforeAutospacing="0" w:after="0" w:afterAutospacing="0"/>
              <w:ind w:left="0" w:right="0"/>
              <w:jc w:val="center"/>
              <w:rPr>
                <w:rFonts w:hint="default" w:hAnsi="宋体"/>
                <w:szCs w:val="21"/>
                <w:highlight w:val="none"/>
              </w:rPr>
            </w:pPr>
          </w:p>
          <w:p w14:paraId="020150D1">
            <w:pPr>
              <w:keepNext w:val="0"/>
              <w:keepLines w:val="0"/>
              <w:suppressLineNumbers w:val="0"/>
              <w:adjustRightInd w:val="0"/>
              <w:snapToGrid w:val="0"/>
              <w:spacing w:before="0" w:beforeAutospacing="0" w:after="0" w:afterAutospacing="0"/>
              <w:ind w:left="0" w:right="0"/>
              <w:jc w:val="center"/>
              <w:rPr>
                <w:rFonts w:hint="default" w:hAnsi="宋体"/>
                <w:szCs w:val="21"/>
                <w:highlight w:val="none"/>
              </w:rPr>
            </w:pPr>
          </w:p>
          <w:p w14:paraId="4834C47E">
            <w:pPr>
              <w:keepNext w:val="0"/>
              <w:keepLines w:val="0"/>
              <w:suppressLineNumbers w:val="0"/>
              <w:adjustRightInd w:val="0"/>
              <w:snapToGrid w:val="0"/>
              <w:spacing w:before="0" w:beforeAutospacing="0" w:after="0" w:afterAutospacing="0"/>
              <w:ind w:left="0" w:right="0"/>
              <w:jc w:val="center"/>
              <w:rPr>
                <w:rFonts w:hint="default" w:hAnsi="宋体"/>
                <w:szCs w:val="21"/>
                <w:highlight w:val="none"/>
              </w:rPr>
            </w:pPr>
          </w:p>
          <w:p w14:paraId="77DA59B9">
            <w:pPr>
              <w:keepNext w:val="0"/>
              <w:keepLines w:val="0"/>
              <w:suppressLineNumbers w:val="0"/>
              <w:adjustRightInd w:val="0"/>
              <w:snapToGrid w:val="0"/>
              <w:spacing w:before="0" w:beforeAutospacing="0" w:after="0" w:afterAutospacing="0"/>
              <w:ind w:left="0" w:right="0"/>
              <w:jc w:val="center"/>
              <w:rPr>
                <w:rFonts w:hint="default" w:hAnsi="宋体"/>
                <w:szCs w:val="21"/>
                <w:highlight w:val="none"/>
              </w:rPr>
            </w:pPr>
          </w:p>
          <w:p w14:paraId="28396140">
            <w:pPr>
              <w:keepNext w:val="0"/>
              <w:keepLines w:val="0"/>
              <w:suppressLineNumbers w:val="0"/>
              <w:adjustRightInd w:val="0"/>
              <w:snapToGrid w:val="0"/>
              <w:spacing w:before="0" w:beforeAutospacing="0" w:after="0" w:afterAutospacing="0"/>
              <w:ind w:left="0" w:right="0"/>
              <w:jc w:val="center"/>
              <w:rPr>
                <w:rFonts w:hint="default" w:hAnsi="宋体"/>
                <w:szCs w:val="21"/>
                <w:highlight w:val="none"/>
              </w:rPr>
            </w:pPr>
          </w:p>
          <w:p w14:paraId="24072C15">
            <w:pPr>
              <w:keepNext w:val="0"/>
              <w:keepLines w:val="0"/>
              <w:suppressLineNumbers w:val="0"/>
              <w:adjustRightInd w:val="0"/>
              <w:snapToGrid w:val="0"/>
              <w:spacing w:before="0" w:beforeAutospacing="0" w:after="0" w:afterAutospacing="0"/>
              <w:ind w:left="0" w:right="0"/>
              <w:jc w:val="center"/>
              <w:rPr>
                <w:rFonts w:hint="default" w:hAnsi="宋体"/>
                <w:szCs w:val="21"/>
                <w:highlight w:val="none"/>
              </w:rPr>
            </w:pPr>
          </w:p>
          <w:p w14:paraId="3044A6BE">
            <w:pPr>
              <w:keepNext w:val="0"/>
              <w:keepLines w:val="0"/>
              <w:suppressLineNumbers w:val="0"/>
              <w:adjustRightInd w:val="0"/>
              <w:snapToGrid w:val="0"/>
              <w:spacing w:before="0" w:beforeAutospacing="0" w:after="0" w:afterAutospacing="0"/>
              <w:ind w:left="0" w:right="0"/>
              <w:jc w:val="center"/>
              <w:rPr>
                <w:rFonts w:hint="default" w:hAnsi="宋体"/>
                <w:szCs w:val="21"/>
                <w:highlight w:val="none"/>
              </w:rPr>
            </w:pPr>
          </w:p>
          <w:p w14:paraId="254BD686">
            <w:pPr>
              <w:keepNext w:val="0"/>
              <w:keepLines w:val="0"/>
              <w:suppressLineNumbers w:val="0"/>
              <w:adjustRightInd w:val="0"/>
              <w:snapToGrid w:val="0"/>
              <w:spacing w:before="0" w:beforeAutospacing="0" w:after="0" w:afterAutospacing="0"/>
              <w:ind w:left="0" w:right="0"/>
              <w:jc w:val="center"/>
              <w:rPr>
                <w:rFonts w:hint="default" w:hAnsi="宋体"/>
                <w:szCs w:val="21"/>
                <w:highlight w:val="none"/>
              </w:rPr>
            </w:pPr>
          </w:p>
          <w:p w14:paraId="4C8762DC">
            <w:pPr>
              <w:keepNext w:val="0"/>
              <w:keepLines w:val="0"/>
              <w:suppressLineNumbers w:val="0"/>
              <w:adjustRightInd w:val="0"/>
              <w:snapToGrid w:val="0"/>
              <w:spacing w:before="0" w:beforeAutospacing="0" w:after="0" w:afterAutospacing="0"/>
              <w:ind w:left="0" w:right="0"/>
              <w:jc w:val="center"/>
              <w:rPr>
                <w:rFonts w:hint="default" w:hAnsi="宋体"/>
                <w:szCs w:val="21"/>
                <w:highlight w:val="none"/>
              </w:rPr>
            </w:pPr>
          </w:p>
          <w:p w14:paraId="62E63F2F">
            <w:pPr>
              <w:keepNext w:val="0"/>
              <w:keepLines w:val="0"/>
              <w:suppressLineNumbers w:val="0"/>
              <w:adjustRightInd w:val="0"/>
              <w:snapToGrid w:val="0"/>
              <w:spacing w:before="0" w:beforeAutospacing="0" w:after="0" w:afterAutospacing="0"/>
              <w:ind w:left="0" w:right="0"/>
              <w:jc w:val="center"/>
              <w:rPr>
                <w:rFonts w:hint="default" w:hAnsi="宋体"/>
                <w:szCs w:val="21"/>
                <w:highlight w:val="none"/>
              </w:rPr>
            </w:pPr>
          </w:p>
          <w:p w14:paraId="16B10FAE">
            <w:pPr>
              <w:keepNext w:val="0"/>
              <w:keepLines w:val="0"/>
              <w:suppressLineNumbers w:val="0"/>
              <w:adjustRightInd w:val="0"/>
              <w:snapToGrid w:val="0"/>
              <w:spacing w:before="0" w:beforeAutospacing="0" w:after="0" w:afterAutospacing="0"/>
              <w:ind w:left="0" w:right="0"/>
              <w:jc w:val="center"/>
              <w:rPr>
                <w:rFonts w:hint="default" w:hAnsi="宋体"/>
                <w:szCs w:val="21"/>
                <w:highlight w:val="none"/>
              </w:rPr>
            </w:pPr>
          </w:p>
          <w:p w14:paraId="2C4F7D0B">
            <w:pPr>
              <w:keepNext w:val="0"/>
              <w:keepLines w:val="0"/>
              <w:suppressLineNumbers w:val="0"/>
              <w:adjustRightInd w:val="0"/>
              <w:snapToGrid w:val="0"/>
              <w:spacing w:before="0" w:beforeAutospacing="0" w:after="0" w:afterAutospacing="0"/>
              <w:ind w:left="0" w:right="0"/>
              <w:jc w:val="center"/>
              <w:rPr>
                <w:rFonts w:hint="default" w:hAnsi="宋体"/>
                <w:szCs w:val="21"/>
                <w:highlight w:val="none"/>
              </w:rPr>
            </w:pPr>
          </w:p>
          <w:p w14:paraId="3A9821E7">
            <w:pPr>
              <w:keepNext w:val="0"/>
              <w:keepLines w:val="0"/>
              <w:suppressLineNumbers w:val="0"/>
              <w:adjustRightInd w:val="0"/>
              <w:snapToGrid w:val="0"/>
              <w:spacing w:before="0" w:beforeAutospacing="0" w:after="0" w:afterAutospacing="0"/>
              <w:ind w:left="0" w:right="0"/>
              <w:jc w:val="center"/>
              <w:rPr>
                <w:rFonts w:hint="default" w:hAnsi="宋体"/>
                <w:szCs w:val="21"/>
                <w:highlight w:val="none"/>
              </w:rPr>
            </w:pPr>
          </w:p>
          <w:p w14:paraId="132C8A65">
            <w:pPr>
              <w:keepNext w:val="0"/>
              <w:keepLines w:val="0"/>
              <w:suppressLineNumbers w:val="0"/>
              <w:adjustRightInd w:val="0"/>
              <w:snapToGrid w:val="0"/>
              <w:spacing w:before="0" w:beforeAutospacing="0" w:after="0" w:afterAutospacing="0"/>
              <w:ind w:left="0" w:right="0"/>
              <w:jc w:val="center"/>
              <w:rPr>
                <w:rFonts w:hint="default" w:hAnsi="宋体"/>
                <w:szCs w:val="21"/>
                <w:highlight w:val="none"/>
              </w:rPr>
            </w:pPr>
          </w:p>
          <w:p w14:paraId="1CD6F392">
            <w:pPr>
              <w:keepNext w:val="0"/>
              <w:keepLines w:val="0"/>
              <w:suppressLineNumbers w:val="0"/>
              <w:adjustRightInd w:val="0"/>
              <w:snapToGrid w:val="0"/>
              <w:spacing w:before="0" w:beforeAutospacing="0" w:after="0" w:afterAutospacing="0"/>
              <w:ind w:left="0" w:right="0"/>
              <w:jc w:val="center"/>
              <w:rPr>
                <w:rFonts w:hint="default" w:hAnsi="宋体"/>
                <w:szCs w:val="21"/>
                <w:highlight w:val="none"/>
              </w:rPr>
            </w:pPr>
          </w:p>
          <w:p w14:paraId="05D51B27">
            <w:pPr>
              <w:keepNext w:val="0"/>
              <w:keepLines w:val="0"/>
              <w:suppressLineNumbers w:val="0"/>
              <w:adjustRightInd w:val="0"/>
              <w:snapToGrid w:val="0"/>
              <w:spacing w:before="0" w:beforeAutospacing="0" w:after="0" w:afterAutospacing="0"/>
              <w:ind w:left="0" w:right="0"/>
              <w:jc w:val="center"/>
              <w:rPr>
                <w:rFonts w:hint="default" w:hAnsi="宋体"/>
                <w:szCs w:val="21"/>
                <w:highlight w:val="none"/>
              </w:rPr>
            </w:pPr>
          </w:p>
          <w:p w14:paraId="4094455B">
            <w:pPr>
              <w:keepNext w:val="0"/>
              <w:keepLines w:val="0"/>
              <w:suppressLineNumbers w:val="0"/>
              <w:adjustRightInd w:val="0"/>
              <w:snapToGrid w:val="0"/>
              <w:spacing w:before="0" w:beforeAutospacing="0" w:after="0" w:afterAutospacing="0"/>
              <w:ind w:left="0" w:right="0"/>
              <w:jc w:val="center"/>
              <w:rPr>
                <w:rFonts w:hint="default" w:hAnsi="宋体"/>
                <w:szCs w:val="21"/>
                <w:highlight w:val="none"/>
              </w:rPr>
            </w:pPr>
          </w:p>
          <w:p w14:paraId="20E83691">
            <w:pPr>
              <w:keepNext w:val="0"/>
              <w:keepLines w:val="0"/>
              <w:suppressLineNumbers w:val="0"/>
              <w:adjustRightInd w:val="0"/>
              <w:snapToGrid w:val="0"/>
              <w:spacing w:before="0" w:beforeAutospacing="0" w:after="0" w:afterAutospacing="0"/>
              <w:ind w:left="0" w:right="0"/>
              <w:jc w:val="center"/>
              <w:rPr>
                <w:rFonts w:hint="default" w:hAnsi="宋体"/>
                <w:szCs w:val="21"/>
                <w:highlight w:val="none"/>
              </w:rPr>
            </w:pPr>
          </w:p>
          <w:p w14:paraId="79100261">
            <w:pPr>
              <w:keepNext w:val="0"/>
              <w:keepLines w:val="0"/>
              <w:suppressLineNumbers w:val="0"/>
              <w:adjustRightInd w:val="0"/>
              <w:snapToGrid w:val="0"/>
              <w:spacing w:before="0" w:beforeAutospacing="0" w:after="0" w:afterAutospacing="0"/>
              <w:ind w:left="0" w:right="0"/>
              <w:jc w:val="center"/>
              <w:rPr>
                <w:rFonts w:hint="default" w:hAnsi="宋体"/>
                <w:szCs w:val="21"/>
                <w:highlight w:val="none"/>
              </w:rPr>
            </w:pPr>
          </w:p>
          <w:p w14:paraId="717B2447">
            <w:pPr>
              <w:keepNext w:val="0"/>
              <w:keepLines w:val="0"/>
              <w:suppressLineNumbers w:val="0"/>
              <w:adjustRightInd w:val="0"/>
              <w:snapToGrid w:val="0"/>
              <w:spacing w:before="0" w:beforeAutospacing="0" w:after="0" w:afterAutospacing="0"/>
              <w:ind w:left="0" w:right="0"/>
              <w:jc w:val="center"/>
              <w:rPr>
                <w:rFonts w:hint="default" w:hAnsi="宋体"/>
                <w:szCs w:val="21"/>
                <w:highlight w:val="none"/>
              </w:rPr>
            </w:pPr>
          </w:p>
          <w:p w14:paraId="43B93F1D">
            <w:pPr>
              <w:keepNext w:val="0"/>
              <w:keepLines w:val="0"/>
              <w:suppressLineNumbers w:val="0"/>
              <w:adjustRightInd w:val="0"/>
              <w:snapToGrid w:val="0"/>
              <w:spacing w:before="0" w:beforeAutospacing="0" w:after="0" w:afterAutospacing="0"/>
              <w:ind w:left="0" w:right="0"/>
              <w:jc w:val="center"/>
              <w:rPr>
                <w:rFonts w:hint="default" w:hAnsi="宋体"/>
                <w:szCs w:val="21"/>
                <w:highlight w:val="none"/>
              </w:rPr>
            </w:pPr>
            <w:r>
              <w:rPr>
                <w:rFonts w:hint="eastAsia" w:hAnsi="宋体"/>
                <w:szCs w:val="21"/>
                <w:highlight w:val="none"/>
              </w:rPr>
              <w:t>其他符合性分析</w:t>
            </w:r>
          </w:p>
          <w:p w14:paraId="0C5A8783">
            <w:pPr>
              <w:keepNext w:val="0"/>
              <w:keepLines w:val="0"/>
              <w:suppressLineNumbers w:val="0"/>
              <w:adjustRightInd w:val="0"/>
              <w:snapToGrid w:val="0"/>
              <w:spacing w:before="0" w:beforeAutospacing="0" w:after="0" w:afterAutospacing="0"/>
              <w:ind w:left="0" w:right="0"/>
              <w:jc w:val="center"/>
              <w:rPr>
                <w:rFonts w:hint="default" w:hAnsi="宋体"/>
                <w:szCs w:val="21"/>
                <w:highlight w:val="none"/>
              </w:rPr>
            </w:pPr>
          </w:p>
          <w:p w14:paraId="0635D942">
            <w:pPr>
              <w:keepNext w:val="0"/>
              <w:keepLines w:val="0"/>
              <w:suppressLineNumbers w:val="0"/>
              <w:adjustRightInd w:val="0"/>
              <w:snapToGrid w:val="0"/>
              <w:spacing w:before="0" w:beforeAutospacing="0" w:after="0" w:afterAutospacing="0"/>
              <w:ind w:left="0" w:right="0"/>
              <w:jc w:val="center"/>
              <w:rPr>
                <w:rFonts w:hint="default" w:hAnsi="宋体"/>
                <w:szCs w:val="21"/>
                <w:highlight w:val="none"/>
              </w:rPr>
            </w:pPr>
          </w:p>
          <w:p w14:paraId="1B506560">
            <w:pPr>
              <w:keepNext w:val="0"/>
              <w:keepLines w:val="0"/>
              <w:suppressLineNumbers w:val="0"/>
              <w:adjustRightInd w:val="0"/>
              <w:snapToGrid w:val="0"/>
              <w:spacing w:before="0" w:beforeAutospacing="0" w:after="0" w:afterAutospacing="0"/>
              <w:ind w:left="0" w:right="0"/>
              <w:jc w:val="center"/>
              <w:rPr>
                <w:rFonts w:hint="default" w:hAnsi="宋体"/>
                <w:szCs w:val="21"/>
                <w:highlight w:val="none"/>
              </w:rPr>
            </w:pPr>
          </w:p>
          <w:p w14:paraId="583C46A2">
            <w:pPr>
              <w:keepNext w:val="0"/>
              <w:keepLines w:val="0"/>
              <w:suppressLineNumbers w:val="0"/>
              <w:adjustRightInd w:val="0"/>
              <w:snapToGrid w:val="0"/>
              <w:spacing w:before="0" w:beforeAutospacing="0" w:after="0" w:afterAutospacing="0"/>
              <w:ind w:left="0" w:right="0"/>
              <w:jc w:val="center"/>
              <w:rPr>
                <w:rFonts w:hint="default" w:hAnsi="宋体"/>
                <w:szCs w:val="21"/>
                <w:highlight w:val="none"/>
              </w:rPr>
            </w:pPr>
          </w:p>
          <w:p w14:paraId="5B53C8E9">
            <w:pPr>
              <w:keepNext w:val="0"/>
              <w:keepLines w:val="0"/>
              <w:suppressLineNumbers w:val="0"/>
              <w:adjustRightInd w:val="0"/>
              <w:snapToGrid w:val="0"/>
              <w:spacing w:before="0" w:beforeAutospacing="0" w:after="0" w:afterAutospacing="0"/>
              <w:ind w:left="0" w:right="0"/>
              <w:jc w:val="center"/>
              <w:rPr>
                <w:rFonts w:hint="default" w:hAnsi="宋体"/>
                <w:szCs w:val="21"/>
                <w:highlight w:val="none"/>
              </w:rPr>
            </w:pPr>
          </w:p>
          <w:p w14:paraId="49C2BA34">
            <w:pPr>
              <w:keepNext w:val="0"/>
              <w:keepLines w:val="0"/>
              <w:suppressLineNumbers w:val="0"/>
              <w:adjustRightInd w:val="0"/>
              <w:snapToGrid w:val="0"/>
              <w:spacing w:before="0" w:beforeAutospacing="0" w:after="0" w:afterAutospacing="0"/>
              <w:ind w:left="0" w:right="0"/>
              <w:jc w:val="center"/>
              <w:rPr>
                <w:rFonts w:hint="default" w:hAnsi="宋体"/>
                <w:szCs w:val="21"/>
                <w:highlight w:val="none"/>
              </w:rPr>
            </w:pPr>
          </w:p>
          <w:p w14:paraId="7C8AC0E3">
            <w:pPr>
              <w:keepNext w:val="0"/>
              <w:keepLines w:val="0"/>
              <w:suppressLineNumbers w:val="0"/>
              <w:adjustRightInd w:val="0"/>
              <w:snapToGrid w:val="0"/>
              <w:spacing w:before="0" w:beforeAutospacing="0" w:after="0" w:afterAutospacing="0"/>
              <w:ind w:left="0" w:right="0"/>
              <w:jc w:val="center"/>
              <w:rPr>
                <w:rFonts w:hint="default" w:hAnsi="宋体"/>
                <w:szCs w:val="21"/>
                <w:highlight w:val="none"/>
              </w:rPr>
            </w:pPr>
          </w:p>
          <w:p w14:paraId="5C8CB562">
            <w:pPr>
              <w:keepNext w:val="0"/>
              <w:keepLines w:val="0"/>
              <w:suppressLineNumbers w:val="0"/>
              <w:adjustRightInd w:val="0"/>
              <w:snapToGrid w:val="0"/>
              <w:spacing w:before="0" w:beforeAutospacing="0" w:after="0" w:afterAutospacing="0"/>
              <w:ind w:left="0" w:right="0"/>
              <w:jc w:val="center"/>
              <w:rPr>
                <w:rFonts w:hint="default" w:hAnsi="宋体"/>
                <w:szCs w:val="21"/>
                <w:highlight w:val="none"/>
              </w:rPr>
            </w:pPr>
          </w:p>
          <w:p w14:paraId="54A3EC1C">
            <w:pPr>
              <w:keepNext w:val="0"/>
              <w:keepLines w:val="0"/>
              <w:suppressLineNumbers w:val="0"/>
              <w:adjustRightInd w:val="0"/>
              <w:snapToGrid w:val="0"/>
              <w:spacing w:before="0" w:beforeAutospacing="0" w:after="0" w:afterAutospacing="0"/>
              <w:ind w:left="0" w:right="0"/>
              <w:jc w:val="center"/>
              <w:rPr>
                <w:rFonts w:hint="default" w:hAnsi="宋体"/>
                <w:szCs w:val="21"/>
                <w:highlight w:val="none"/>
              </w:rPr>
            </w:pPr>
          </w:p>
          <w:p w14:paraId="20EA615B">
            <w:pPr>
              <w:keepNext w:val="0"/>
              <w:keepLines w:val="0"/>
              <w:suppressLineNumbers w:val="0"/>
              <w:adjustRightInd w:val="0"/>
              <w:snapToGrid w:val="0"/>
              <w:spacing w:before="0" w:beforeAutospacing="0" w:after="0" w:afterAutospacing="0"/>
              <w:ind w:left="0" w:right="0"/>
              <w:jc w:val="center"/>
              <w:rPr>
                <w:rFonts w:hint="default" w:hAnsi="宋体"/>
                <w:szCs w:val="21"/>
                <w:highlight w:val="none"/>
              </w:rPr>
            </w:pPr>
          </w:p>
          <w:p w14:paraId="49F862B2">
            <w:pPr>
              <w:keepNext w:val="0"/>
              <w:keepLines w:val="0"/>
              <w:suppressLineNumbers w:val="0"/>
              <w:adjustRightInd w:val="0"/>
              <w:snapToGrid w:val="0"/>
              <w:spacing w:before="0" w:beforeAutospacing="0" w:after="0" w:afterAutospacing="0"/>
              <w:ind w:left="0" w:right="0"/>
              <w:jc w:val="center"/>
              <w:rPr>
                <w:rFonts w:hint="default" w:hAnsi="宋体"/>
                <w:szCs w:val="21"/>
                <w:highlight w:val="none"/>
              </w:rPr>
            </w:pPr>
          </w:p>
          <w:p w14:paraId="553AFACB">
            <w:pPr>
              <w:keepNext w:val="0"/>
              <w:keepLines w:val="0"/>
              <w:suppressLineNumbers w:val="0"/>
              <w:adjustRightInd w:val="0"/>
              <w:snapToGrid w:val="0"/>
              <w:spacing w:before="0" w:beforeAutospacing="0" w:after="0" w:afterAutospacing="0"/>
              <w:ind w:left="0" w:right="0"/>
              <w:jc w:val="center"/>
              <w:rPr>
                <w:rFonts w:hint="default" w:hAnsi="宋体"/>
                <w:szCs w:val="21"/>
                <w:highlight w:val="none"/>
              </w:rPr>
            </w:pPr>
          </w:p>
          <w:p w14:paraId="549E92E9">
            <w:pPr>
              <w:keepNext w:val="0"/>
              <w:keepLines w:val="0"/>
              <w:suppressLineNumbers w:val="0"/>
              <w:adjustRightInd w:val="0"/>
              <w:snapToGrid w:val="0"/>
              <w:spacing w:before="0" w:beforeAutospacing="0" w:after="0" w:afterAutospacing="0"/>
              <w:ind w:left="0" w:right="0"/>
              <w:jc w:val="center"/>
              <w:rPr>
                <w:rFonts w:hint="default" w:hAnsi="宋体"/>
                <w:szCs w:val="21"/>
                <w:highlight w:val="none"/>
              </w:rPr>
            </w:pPr>
          </w:p>
          <w:p w14:paraId="56F70B0E">
            <w:pPr>
              <w:keepNext w:val="0"/>
              <w:keepLines w:val="0"/>
              <w:suppressLineNumbers w:val="0"/>
              <w:adjustRightInd w:val="0"/>
              <w:snapToGrid w:val="0"/>
              <w:spacing w:before="0" w:beforeAutospacing="0" w:after="0" w:afterAutospacing="0"/>
              <w:ind w:left="0" w:right="0"/>
              <w:jc w:val="center"/>
              <w:rPr>
                <w:rFonts w:hint="default" w:hAnsi="宋体"/>
                <w:szCs w:val="21"/>
                <w:highlight w:val="none"/>
              </w:rPr>
            </w:pPr>
          </w:p>
          <w:p w14:paraId="30118189">
            <w:pPr>
              <w:keepNext w:val="0"/>
              <w:keepLines w:val="0"/>
              <w:suppressLineNumbers w:val="0"/>
              <w:adjustRightInd w:val="0"/>
              <w:snapToGrid w:val="0"/>
              <w:spacing w:before="0" w:beforeAutospacing="0" w:after="0" w:afterAutospacing="0"/>
              <w:ind w:left="0" w:right="0"/>
              <w:jc w:val="center"/>
              <w:rPr>
                <w:rFonts w:hint="default" w:hAnsi="宋体"/>
                <w:szCs w:val="21"/>
                <w:highlight w:val="none"/>
              </w:rPr>
            </w:pPr>
          </w:p>
          <w:p w14:paraId="1B25E04F">
            <w:pPr>
              <w:keepNext w:val="0"/>
              <w:keepLines w:val="0"/>
              <w:suppressLineNumbers w:val="0"/>
              <w:adjustRightInd w:val="0"/>
              <w:snapToGrid w:val="0"/>
              <w:spacing w:before="0" w:beforeAutospacing="0" w:after="0" w:afterAutospacing="0"/>
              <w:ind w:left="0" w:right="0"/>
              <w:jc w:val="center"/>
              <w:rPr>
                <w:rFonts w:hint="default" w:hAnsi="宋体"/>
                <w:szCs w:val="21"/>
                <w:highlight w:val="none"/>
              </w:rPr>
            </w:pPr>
          </w:p>
          <w:p w14:paraId="6A7E9E7F">
            <w:pPr>
              <w:keepNext w:val="0"/>
              <w:keepLines w:val="0"/>
              <w:suppressLineNumbers w:val="0"/>
              <w:adjustRightInd w:val="0"/>
              <w:snapToGrid w:val="0"/>
              <w:spacing w:before="0" w:beforeAutospacing="0" w:after="0" w:afterAutospacing="0"/>
              <w:ind w:left="0" w:right="0"/>
              <w:jc w:val="center"/>
              <w:rPr>
                <w:rFonts w:hint="default" w:hAnsi="宋体"/>
                <w:szCs w:val="21"/>
                <w:highlight w:val="none"/>
              </w:rPr>
            </w:pPr>
          </w:p>
          <w:p w14:paraId="51CE394D">
            <w:pPr>
              <w:keepNext w:val="0"/>
              <w:keepLines w:val="0"/>
              <w:suppressLineNumbers w:val="0"/>
              <w:adjustRightInd w:val="0"/>
              <w:snapToGrid w:val="0"/>
              <w:spacing w:before="0" w:beforeAutospacing="0" w:after="0" w:afterAutospacing="0"/>
              <w:ind w:left="0" w:right="0"/>
              <w:jc w:val="center"/>
              <w:rPr>
                <w:rFonts w:hint="default" w:hAnsi="宋体"/>
                <w:szCs w:val="21"/>
                <w:highlight w:val="none"/>
              </w:rPr>
            </w:pPr>
          </w:p>
          <w:p w14:paraId="5A08FD53">
            <w:pPr>
              <w:keepNext w:val="0"/>
              <w:keepLines w:val="0"/>
              <w:suppressLineNumbers w:val="0"/>
              <w:adjustRightInd w:val="0"/>
              <w:snapToGrid w:val="0"/>
              <w:spacing w:before="0" w:beforeAutospacing="0" w:after="0" w:afterAutospacing="0"/>
              <w:ind w:left="0" w:right="0"/>
              <w:jc w:val="center"/>
              <w:rPr>
                <w:rFonts w:hint="default" w:hAnsi="宋体"/>
                <w:szCs w:val="21"/>
                <w:highlight w:val="none"/>
              </w:rPr>
            </w:pPr>
          </w:p>
          <w:p w14:paraId="432BAA46">
            <w:pPr>
              <w:keepNext w:val="0"/>
              <w:keepLines w:val="0"/>
              <w:suppressLineNumbers w:val="0"/>
              <w:adjustRightInd w:val="0"/>
              <w:snapToGrid w:val="0"/>
              <w:spacing w:before="0" w:beforeAutospacing="0" w:after="0" w:afterAutospacing="0"/>
              <w:ind w:left="0" w:right="0"/>
              <w:jc w:val="center"/>
              <w:rPr>
                <w:rFonts w:hint="default" w:hAnsi="宋体"/>
                <w:szCs w:val="21"/>
                <w:highlight w:val="none"/>
              </w:rPr>
            </w:pPr>
          </w:p>
          <w:p w14:paraId="645B0480">
            <w:pPr>
              <w:keepNext w:val="0"/>
              <w:keepLines w:val="0"/>
              <w:suppressLineNumbers w:val="0"/>
              <w:adjustRightInd w:val="0"/>
              <w:snapToGrid w:val="0"/>
              <w:spacing w:before="0" w:beforeAutospacing="0" w:after="0" w:afterAutospacing="0"/>
              <w:ind w:left="0" w:right="0"/>
              <w:jc w:val="center"/>
              <w:rPr>
                <w:rFonts w:hint="default" w:hAnsi="宋体"/>
                <w:szCs w:val="21"/>
                <w:highlight w:val="none"/>
              </w:rPr>
            </w:pPr>
          </w:p>
          <w:p w14:paraId="4FBC045F">
            <w:pPr>
              <w:keepNext w:val="0"/>
              <w:keepLines w:val="0"/>
              <w:suppressLineNumbers w:val="0"/>
              <w:adjustRightInd w:val="0"/>
              <w:snapToGrid w:val="0"/>
              <w:spacing w:before="0" w:beforeAutospacing="0" w:after="0" w:afterAutospacing="0"/>
              <w:ind w:left="0" w:right="0"/>
              <w:jc w:val="center"/>
              <w:rPr>
                <w:rFonts w:hint="default" w:hAnsi="宋体"/>
                <w:szCs w:val="21"/>
                <w:highlight w:val="none"/>
              </w:rPr>
            </w:pPr>
          </w:p>
          <w:p w14:paraId="432325F6">
            <w:pPr>
              <w:keepNext w:val="0"/>
              <w:keepLines w:val="0"/>
              <w:suppressLineNumbers w:val="0"/>
              <w:adjustRightInd w:val="0"/>
              <w:snapToGrid w:val="0"/>
              <w:spacing w:before="0" w:beforeAutospacing="0" w:after="0" w:afterAutospacing="0"/>
              <w:ind w:left="0" w:right="0"/>
              <w:jc w:val="center"/>
              <w:rPr>
                <w:rFonts w:hint="default" w:hAnsi="宋体"/>
                <w:szCs w:val="21"/>
                <w:highlight w:val="none"/>
              </w:rPr>
            </w:pPr>
          </w:p>
          <w:p w14:paraId="453EFFFC">
            <w:pPr>
              <w:keepNext w:val="0"/>
              <w:keepLines w:val="0"/>
              <w:suppressLineNumbers w:val="0"/>
              <w:adjustRightInd w:val="0"/>
              <w:snapToGrid w:val="0"/>
              <w:spacing w:before="0" w:beforeAutospacing="0" w:after="0" w:afterAutospacing="0"/>
              <w:ind w:left="0" w:right="0"/>
              <w:jc w:val="center"/>
              <w:rPr>
                <w:rFonts w:hint="default" w:hAnsi="宋体"/>
                <w:szCs w:val="21"/>
                <w:highlight w:val="none"/>
              </w:rPr>
            </w:pPr>
          </w:p>
          <w:p w14:paraId="7E34FB2D">
            <w:pPr>
              <w:keepNext w:val="0"/>
              <w:keepLines w:val="0"/>
              <w:suppressLineNumbers w:val="0"/>
              <w:adjustRightInd w:val="0"/>
              <w:snapToGrid w:val="0"/>
              <w:spacing w:before="0" w:beforeAutospacing="0" w:after="0" w:afterAutospacing="0"/>
              <w:ind w:left="0" w:right="0"/>
              <w:jc w:val="center"/>
              <w:rPr>
                <w:rFonts w:hint="default" w:hAnsi="宋体"/>
                <w:szCs w:val="21"/>
                <w:highlight w:val="none"/>
              </w:rPr>
            </w:pPr>
          </w:p>
          <w:p w14:paraId="60A49EEE">
            <w:pPr>
              <w:keepNext w:val="0"/>
              <w:keepLines w:val="0"/>
              <w:suppressLineNumbers w:val="0"/>
              <w:adjustRightInd w:val="0"/>
              <w:snapToGrid w:val="0"/>
              <w:spacing w:before="0" w:beforeAutospacing="0" w:after="0" w:afterAutospacing="0"/>
              <w:ind w:left="0" w:right="0"/>
              <w:jc w:val="center"/>
              <w:rPr>
                <w:rFonts w:hint="default" w:hAnsi="宋体"/>
                <w:szCs w:val="21"/>
                <w:highlight w:val="none"/>
              </w:rPr>
            </w:pPr>
          </w:p>
          <w:p w14:paraId="088D7A87">
            <w:pPr>
              <w:keepNext w:val="0"/>
              <w:keepLines w:val="0"/>
              <w:suppressLineNumbers w:val="0"/>
              <w:adjustRightInd w:val="0"/>
              <w:snapToGrid w:val="0"/>
              <w:spacing w:before="0" w:beforeAutospacing="0" w:after="0" w:afterAutospacing="0"/>
              <w:ind w:left="0" w:right="0"/>
              <w:jc w:val="center"/>
              <w:rPr>
                <w:rFonts w:hint="default" w:hAnsi="宋体"/>
                <w:szCs w:val="21"/>
                <w:highlight w:val="none"/>
              </w:rPr>
            </w:pPr>
          </w:p>
          <w:p w14:paraId="1BED7294">
            <w:pPr>
              <w:keepNext w:val="0"/>
              <w:keepLines w:val="0"/>
              <w:suppressLineNumbers w:val="0"/>
              <w:adjustRightInd w:val="0"/>
              <w:snapToGrid w:val="0"/>
              <w:spacing w:before="0" w:beforeAutospacing="0" w:after="0" w:afterAutospacing="0"/>
              <w:ind w:left="0" w:right="0"/>
              <w:jc w:val="center"/>
              <w:rPr>
                <w:rFonts w:hint="default" w:hAnsi="宋体"/>
                <w:szCs w:val="21"/>
                <w:highlight w:val="none"/>
              </w:rPr>
            </w:pPr>
          </w:p>
          <w:p w14:paraId="390A93BF">
            <w:pPr>
              <w:keepNext w:val="0"/>
              <w:keepLines w:val="0"/>
              <w:suppressLineNumbers w:val="0"/>
              <w:adjustRightInd w:val="0"/>
              <w:snapToGrid w:val="0"/>
              <w:spacing w:before="0" w:beforeAutospacing="0" w:after="0" w:afterAutospacing="0"/>
              <w:ind w:left="0" w:right="0"/>
              <w:jc w:val="center"/>
              <w:rPr>
                <w:rFonts w:hint="default" w:hAnsi="宋体"/>
                <w:szCs w:val="21"/>
                <w:highlight w:val="none"/>
              </w:rPr>
            </w:pPr>
          </w:p>
          <w:p w14:paraId="7AB36024">
            <w:pPr>
              <w:keepNext w:val="0"/>
              <w:keepLines w:val="0"/>
              <w:suppressLineNumbers w:val="0"/>
              <w:adjustRightInd w:val="0"/>
              <w:snapToGrid w:val="0"/>
              <w:spacing w:before="0" w:beforeAutospacing="0" w:after="0" w:afterAutospacing="0"/>
              <w:ind w:left="0" w:right="0"/>
              <w:jc w:val="center"/>
              <w:rPr>
                <w:rFonts w:hint="default" w:hAnsi="宋体"/>
                <w:szCs w:val="21"/>
                <w:highlight w:val="none"/>
              </w:rPr>
            </w:pPr>
          </w:p>
          <w:p w14:paraId="11203E69">
            <w:pPr>
              <w:keepNext w:val="0"/>
              <w:keepLines w:val="0"/>
              <w:suppressLineNumbers w:val="0"/>
              <w:adjustRightInd w:val="0"/>
              <w:snapToGrid w:val="0"/>
              <w:spacing w:before="0" w:beforeAutospacing="0" w:after="0" w:afterAutospacing="0"/>
              <w:ind w:left="0" w:right="0"/>
              <w:jc w:val="center"/>
              <w:rPr>
                <w:rFonts w:hint="default" w:hAnsi="宋体"/>
                <w:szCs w:val="21"/>
                <w:highlight w:val="none"/>
              </w:rPr>
            </w:pPr>
          </w:p>
          <w:p w14:paraId="335139D0">
            <w:pPr>
              <w:keepNext w:val="0"/>
              <w:keepLines w:val="0"/>
              <w:suppressLineNumbers w:val="0"/>
              <w:adjustRightInd w:val="0"/>
              <w:snapToGrid w:val="0"/>
              <w:spacing w:before="0" w:beforeAutospacing="0" w:after="0" w:afterAutospacing="0"/>
              <w:ind w:left="0" w:right="0"/>
              <w:jc w:val="center"/>
              <w:rPr>
                <w:rFonts w:hint="default" w:hAnsi="宋体"/>
                <w:szCs w:val="21"/>
                <w:highlight w:val="none"/>
              </w:rPr>
            </w:pPr>
          </w:p>
          <w:p w14:paraId="4DA16501">
            <w:pPr>
              <w:keepNext w:val="0"/>
              <w:keepLines w:val="0"/>
              <w:suppressLineNumbers w:val="0"/>
              <w:adjustRightInd w:val="0"/>
              <w:snapToGrid w:val="0"/>
              <w:spacing w:before="0" w:beforeAutospacing="0" w:after="0" w:afterAutospacing="0"/>
              <w:ind w:left="0" w:right="0"/>
              <w:jc w:val="center"/>
              <w:rPr>
                <w:rFonts w:hint="default" w:hAnsi="宋体"/>
                <w:szCs w:val="21"/>
                <w:highlight w:val="none"/>
              </w:rPr>
            </w:pPr>
          </w:p>
          <w:p w14:paraId="14F9A950">
            <w:pPr>
              <w:keepNext w:val="0"/>
              <w:keepLines w:val="0"/>
              <w:suppressLineNumbers w:val="0"/>
              <w:adjustRightInd w:val="0"/>
              <w:snapToGrid w:val="0"/>
              <w:spacing w:before="0" w:beforeAutospacing="0" w:after="0" w:afterAutospacing="0"/>
              <w:ind w:left="0" w:right="0"/>
              <w:jc w:val="center"/>
              <w:rPr>
                <w:rFonts w:hint="default" w:hAnsi="宋体"/>
                <w:szCs w:val="21"/>
                <w:highlight w:val="none"/>
              </w:rPr>
            </w:pPr>
          </w:p>
          <w:p w14:paraId="58058385">
            <w:pPr>
              <w:keepNext w:val="0"/>
              <w:keepLines w:val="0"/>
              <w:suppressLineNumbers w:val="0"/>
              <w:adjustRightInd w:val="0"/>
              <w:snapToGrid w:val="0"/>
              <w:spacing w:before="0" w:beforeAutospacing="0" w:after="0" w:afterAutospacing="0"/>
              <w:ind w:left="0" w:right="0"/>
              <w:jc w:val="center"/>
              <w:rPr>
                <w:rFonts w:hint="default" w:hAnsi="宋体"/>
                <w:szCs w:val="21"/>
                <w:highlight w:val="none"/>
              </w:rPr>
            </w:pPr>
          </w:p>
          <w:p w14:paraId="643E18EB">
            <w:pPr>
              <w:keepNext w:val="0"/>
              <w:keepLines w:val="0"/>
              <w:suppressLineNumbers w:val="0"/>
              <w:adjustRightInd w:val="0"/>
              <w:snapToGrid w:val="0"/>
              <w:spacing w:before="0" w:beforeAutospacing="0" w:after="0" w:afterAutospacing="0"/>
              <w:ind w:left="0" w:right="0"/>
              <w:jc w:val="center"/>
              <w:rPr>
                <w:rFonts w:hint="default" w:hAnsi="宋体"/>
                <w:szCs w:val="21"/>
                <w:highlight w:val="none"/>
              </w:rPr>
            </w:pPr>
          </w:p>
          <w:p w14:paraId="650BC7CC">
            <w:pPr>
              <w:keepNext w:val="0"/>
              <w:keepLines w:val="0"/>
              <w:suppressLineNumbers w:val="0"/>
              <w:adjustRightInd w:val="0"/>
              <w:snapToGrid w:val="0"/>
              <w:spacing w:before="0" w:beforeAutospacing="0" w:after="0" w:afterAutospacing="0"/>
              <w:ind w:left="0" w:right="0"/>
              <w:jc w:val="center"/>
              <w:rPr>
                <w:rFonts w:hint="default" w:hAnsi="宋体"/>
                <w:szCs w:val="21"/>
                <w:highlight w:val="none"/>
              </w:rPr>
            </w:pPr>
          </w:p>
          <w:p w14:paraId="4585A027">
            <w:pPr>
              <w:keepNext w:val="0"/>
              <w:keepLines w:val="0"/>
              <w:suppressLineNumbers w:val="0"/>
              <w:adjustRightInd w:val="0"/>
              <w:snapToGrid w:val="0"/>
              <w:spacing w:before="0" w:beforeAutospacing="0" w:after="0" w:afterAutospacing="0"/>
              <w:ind w:left="0" w:right="0"/>
              <w:jc w:val="center"/>
              <w:rPr>
                <w:rFonts w:hint="default" w:hAnsi="宋体"/>
                <w:szCs w:val="21"/>
                <w:highlight w:val="none"/>
              </w:rPr>
            </w:pPr>
          </w:p>
          <w:p w14:paraId="4E031393">
            <w:pPr>
              <w:keepNext w:val="0"/>
              <w:keepLines w:val="0"/>
              <w:suppressLineNumbers w:val="0"/>
              <w:adjustRightInd w:val="0"/>
              <w:snapToGrid w:val="0"/>
              <w:spacing w:before="0" w:beforeAutospacing="0" w:after="0" w:afterAutospacing="0"/>
              <w:ind w:left="0" w:right="0"/>
              <w:jc w:val="center"/>
              <w:rPr>
                <w:rFonts w:hint="default" w:hAnsi="宋体"/>
                <w:szCs w:val="21"/>
                <w:highlight w:val="none"/>
              </w:rPr>
            </w:pPr>
          </w:p>
          <w:p w14:paraId="37705D82">
            <w:pPr>
              <w:keepNext w:val="0"/>
              <w:keepLines w:val="0"/>
              <w:suppressLineNumbers w:val="0"/>
              <w:adjustRightInd w:val="0"/>
              <w:snapToGrid w:val="0"/>
              <w:spacing w:before="0" w:beforeAutospacing="0" w:after="0" w:afterAutospacing="0"/>
              <w:ind w:left="0" w:right="0"/>
              <w:jc w:val="center"/>
              <w:rPr>
                <w:rFonts w:hint="default" w:hAnsi="宋体"/>
                <w:szCs w:val="21"/>
                <w:highlight w:val="none"/>
              </w:rPr>
            </w:pPr>
          </w:p>
          <w:p w14:paraId="49E97AAB">
            <w:pPr>
              <w:keepNext w:val="0"/>
              <w:keepLines w:val="0"/>
              <w:suppressLineNumbers w:val="0"/>
              <w:adjustRightInd w:val="0"/>
              <w:snapToGrid w:val="0"/>
              <w:spacing w:before="0" w:beforeAutospacing="0" w:after="0" w:afterAutospacing="0"/>
              <w:ind w:left="0" w:right="0"/>
              <w:jc w:val="center"/>
              <w:rPr>
                <w:rFonts w:hint="default" w:hAnsi="宋体"/>
                <w:szCs w:val="21"/>
                <w:highlight w:val="none"/>
              </w:rPr>
            </w:pPr>
          </w:p>
          <w:p w14:paraId="3A18E593">
            <w:pPr>
              <w:keepNext w:val="0"/>
              <w:keepLines w:val="0"/>
              <w:suppressLineNumbers w:val="0"/>
              <w:adjustRightInd w:val="0"/>
              <w:snapToGrid w:val="0"/>
              <w:spacing w:before="0" w:beforeAutospacing="0" w:after="0" w:afterAutospacing="0"/>
              <w:ind w:left="0" w:right="0"/>
              <w:jc w:val="center"/>
              <w:rPr>
                <w:rFonts w:hint="default" w:hAnsi="宋体"/>
                <w:szCs w:val="21"/>
                <w:highlight w:val="none"/>
              </w:rPr>
            </w:pPr>
          </w:p>
          <w:p w14:paraId="4591D588">
            <w:pPr>
              <w:keepNext w:val="0"/>
              <w:keepLines w:val="0"/>
              <w:suppressLineNumbers w:val="0"/>
              <w:adjustRightInd w:val="0"/>
              <w:snapToGrid w:val="0"/>
              <w:spacing w:before="0" w:beforeAutospacing="0" w:after="0" w:afterAutospacing="0"/>
              <w:ind w:left="0" w:right="0"/>
              <w:jc w:val="center"/>
              <w:rPr>
                <w:rFonts w:hint="default" w:hAnsi="宋体"/>
                <w:szCs w:val="21"/>
                <w:highlight w:val="none"/>
              </w:rPr>
            </w:pPr>
          </w:p>
          <w:p w14:paraId="6F8CEADB">
            <w:pPr>
              <w:keepNext w:val="0"/>
              <w:keepLines w:val="0"/>
              <w:suppressLineNumbers w:val="0"/>
              <w:adjustRightInd w:val="0"/>
              <w:snapToGrid w:val="0"/>
              <w:spacing w:before="0" w:beforeAutospacing="0" w:after="0" w:afterAutospacing="0"/>
              <w:ind w:left="0" w:right="0"/>
              <w:jc w:val="center"/>
              <w:rPr>
                <w:rFonts w:hint="default" w:hAnsi="宋体"/>
                <w:szCs w:val="21"/>
                <w:highlight w:val="none"/>
              </w:rPr>
            </w:pPr>
            <w:r>
              <w:rPr>
                <w:rFonts w:hint="eastAsia" w:hAnsi="宋体"/>
                <w:szCs w:val="21"/>
                <w:highlight w:val="none"/>
              </w:rPr>
              <w:t>其他符合性分析</w:t>
            </w:r>
          </w:p>
          <w:p w14:paraId="511C09B1">
            <w:pPr>
              <w:keepNext w:val="0"/>
              <w:keepLines w:val="0"/>
              <w:suppressLineNumbers w:val="0"/>
              <w:adjustRightInd w:val="0"/>
              <w:snapToGrid w:val="0"/>
              <w:spacing w:before="0" w:beforeAutospacing="0" w:after="0" w:afterAutospacing="0"/>
              <w:ind w:left="0" w:right="0"/>
              <w:jc w:val="center"/>
              <w:rPr>
                <w:rFonts w:hint="default" w:hAnsi="宋体"/>
                <w:szCs w:val="21"/>
                <w:highlight w:val="none"/>
              </w:rPr>
            </w:pPr>
          </w:p>
          <w:p w14:paraId="2D31DC40">
            <w:pPr>
              <w:keepNext w:val="0"/>
              <w:keepLines w:val="0"/>
              <w:suppressLineNumbers w:val="0"/>
              <w:adjustRightInd w:val="0"/>
              <w:snapToGrid w:val="0"/>
              <w:spacing w:before="0" w:beforeAutospacing="0" w:after="0" w:afterAutospacing="0"/>
              <w:ind w:left="0" w:right="0"/>
              <w:jc w:val="center"/>
              <w:rPr>
                <w:rFonts w:hint="default" w:hAnsi="宋体"/>
                <w:szCs w:val="21"/>
                <w:highlight w:val="none"/>
              </w:rPr>
            </w:pPr>
          </w:p>
          <w:p w14:paraId="521DAF12">
            <w:pPr>
              <w:keepNext w:val="0"/>
              <w:keepLines w:val="0"/>
              <w:suppressLineNumbers w:val="0"/>
              <w:adjustRightInd w:val="0"/>
              <w:snapToGrid w:val="0"/>
              <w:spacing w:before="0" w:beforeAutospacing="0" w:after="0" w:afterAutospacing="0"/>
              <w:ind w:left="0" w:right="0"/>
              <w:jc w:val="center"/>
              <w:rPr>
                <w:rFonts w:hint="default" w:hAnsi="宋体"/>
                <w:szCs w:val="21"/>
                <w:highlight w:val="none"/>
              </w:rPr>
            </w:pPr>
          </w:p>
          <w:p w14:paraId="5C793A17">
            <w:pPr>
              <w:keepNext w:val="0"/>
              <w:keepLines w:val="0"/>
              <w:suppressLineNumbers w:val="0"/>
              <w:adjustRightInd w:val="0"/>
              <w:snapToGrid w:val="0"/>
              <w:spacing w:before="0" w:beforeAutospacing="0" w:after="0" w:afterAutospacing="0"/>
              <w:ind w:left="0" w:right="0"/>
              <w:jc w:val="center"/>
              <w:rPr>
                <w:rFonts w:hint="default" w:hAnsi="宋体"/>
                <w:szCs w:val="21"/>
                <w:highlight w:val="none"/>
              </w:rPr>
            </w:pPr>
          </w:p>
          <w:p w14:paraId="55BC4AEA">
            <w:pPr>
              <w:keepNext w:val="0"/>
              <w:keepLines w:val="0"/>
              <w:suppressLineNumbers w:val="0"/>
              <w:adjustRightInd w:val="0"/>
              <w:snapToGrid w:val="0"/>
              <w:spacing w:before="0" w:beforeAutospacing="0" w:after="0" w:afterAutospacing="0"/>
              <w:ind w:left="0" w:right="0"/>
              <w:jc w:val="center"/>
              <w:rPr>
                <w:rFonts w:hint="default" w:hAnsi="宋体"/>
                <w:szCs w:val="21"/>
                <w:highlight w:val="none"/>
              </w:rPr>
            </w:pPr>
          </w:p>
          <w:p w14:paraId="3AE52D06">
            <w:pPr>
              <w:keepNext w:val="0"/>
              <w:keepLines w:val="0"/>
              <w:suppressLineNumbers w:val="0"/>
              <w:adjustRightInd w:val="0"/>
              <w:snapToGrid w:val="0"/>
              <w:spacing w:before="0" w:beforeAutospacing="0" w:after="0" w:afterAutospacing="0"/>
              <w:ind w:left="0" w:right="0"/>
              <w:jc w:val="center"/>
              <w:rPr>
                <w:rFonts w:hint="default" w:hAnsi="宋体"/>
                <w:szCs w:val="21"/>
                <w:highlight w:val="none"/>
              </w:rPr>
            </w:pPr>
          </w:p>
          <w:p w14:paraId="1221E362">
            <w:pPr>
              <w:keepNext w:val="0"/>
              <w:keepLines w:val="0"/>
              <w:suppressLineNumbers w:val="0"/>
              <w:adjustRightInd w:val="0"/>
              <w:snapToGrid w:val="0"/>
              <w:spacing w:before="0" w:beforeAutospacing="0" w:after="0" w:afterAutospacing="0"/>
              <w:ind w:left="0" w:right="0"/>
              <w:jc w:val="center"/>
              <w:rPr>
                <w:rFonts w:hint="default" w:hAnsi="宋体"/>
                <w:szCs w:val="21"/>
                <w:highlight w:val="none"/>
              </w:rPr>
            </w:pPr>
          </w:p>
          <w:p w14:paraId="1ED89BD2">
            <w:pPr>
              <w:keepNext w:val="0"/>
              <w:keepLines w:val="0"/>
              <w:suppressLineNumbers w:val="0"/>
              <w:adjustRightInd w:val="0"/>
              <w:snapToGrid w:val="0"/>
              <w:spacing w:before="0" w:beforeAutospacing="0" w:after="0" w:afterAutospacing="0"/>
              <w:ind w:left="0" w:right="0"/>
              <w:jc w:val="center"/>
              <w:rPr>
                <w:rFonts w:hint="default" w:hAnsi="宋体"/>
                <w:szCs w:val="21"/>
                <w:highlight w:val="none"/>
              </w:rPr>
            </w:pPr>
          </w:p>
          <w:p w14:paraId="0C5BF6A2">
            <w:pPr>
              <w:keepNext w:val="0"/>
              <w:keepLines w:val="0"/>
              <w:suppressLineNumbers w:val="0"/>
              <w:adjustRightInd w:val="0"/>
              <w:snapToGrid w:val="0"/>
              <w:spacing w:before="0" w:beforeAutospacing="0" w:after="0" w:afterAutospacing="0"/>
              <w:ind w:left="0" w:right="0"/>
              <w:jc w:val="center"/>
              <w:rPr>
                <w:rFonts w:hint="default" w:hAnsi="宋体"/>
                <w:szCs w:val="21"/>
                <w:highlight w:val="none"/>
              </w:rPr>
            </w:pPr>
          </w:p>
          <w:p w14:paraId="7E7AB921">
            <w:pPr>
              <w:keepNext w:val="0"/>
              <w:keepLines w:val="0"/>
              <w:suppressLineNumbers w:val="0"/>
              <w:adjustRightInd w:val="0"/>
              <w:snapToGrid w:val="0"/>
              <w:spacing w:before="0" w:beforeAutospacing="0" w:after="0" w:afterAutospacing="0"/>
              <w:ind w:left="0" w:right="0"/>
              <w:jc w:val="center"/>
              <w:rPr>
                <w:rFonts w:hint="default" w:hAnsi="宋体"/>
                <w:szCs w:val="21"/>
                <w:highlight w:val="none"/>
              </w:rPr>
            </w:pPr>
          </w:p>
          <w:p w14:paraId="0A6D1FE1">
            <w:pPr>
              <w:keepNext w:val="0"/>
              <w:keepLines w:val="0"/>
              <w:suppressLineNumbers w:val="0"/>
              <w:adjustRightInd w:val="0"/>
              <w:snapToGrid w:val="0"/>
              <w:spacing w:before="0" w:beforeAutospacing="0" w:after="0" w:afterAutospacing="0"/>
              <w:ind w:left="0" w:right="0"/>
              <w:jc w:val="center"/>
              <w:rPr>
                <w:rFonts w:hint="default" w:hAnsi="宋体"/>
                <w:szCs w:val="21"/>
                <w:highlight w:val="none"/>
              </w:rPr>
            </w:pPr>
          </w:p>
          <w:p w14:paraId="0B0D89DE">
            <w:pPr>
              <w:keepNext w:val="0"/>
              <w:keepLines w:val="0"/>
              <w:suppressLineNumbers w:val="0"/>
              <w:adjustRightInd w:val="0"/>
              <w:snapToGrid w:val="0"/>
              <w:spacing w:before="0" w:beforeAutospacing="0" w:after="0" w:afterAutospacing="0"/>
              <w:ind w:left="0" w:right="0"/>
              <w:jc w:val="center"/>
              <w:rPr>
                <w:rFonts w:hint="default" w:hAnsi="宋体"/>
                <w:szCs w:val="21"/>
                <w:highlight w:val="none"/>
              </w:rPr>
            </w:pPr>
          </w:p>
          <w:p w14:paraId="2E2D3241">
            <w:pPr>
              <w:keepNext w:val="0"/>
              <w:keepLines w:val="0"/>
              <w:suppressLineNumbers w:val="0"/>
              <w:adjustRightInd w:val="0"/>
              <w:snapToGrid w:val="0"/>
              <w:spacing w:before="0" w:beforeAutospacing="0" w:after="0" w:afterAutospacing="0"/>
              <w:ind w:left="0" w:right="0"/>
              <w:jc w:val="center"/>
              <w:rPr>
                <w:rFonts w:hint="default" w:hAnsi="宋体"/>
                <w:szCs w:val="21"/>
                <w:highlight w:val="none"/>
              </w:rPr>
            </w:pPr>
          </w:p>
          <w:p w14:paraId="7917079C">
            <w:pPr>
              <w:keepNext w:val="0"/>
              <w:keepLines w:val="0"/>
              <w:suppressLineNumbers w:val="0"/>
              <w:adjustRightInd w:val="0"/>
              <w:snapToGrid w:val="0"/>
              <w:spacing w:before="0" w:beforeAutospacing="0" w:after="0" w:afterAutospacing="0"/>
              <w:ind w:left="0" w:right="0"/>
              <w:jc w:val="center"/>
              <w:rPr>
                <w:rFonts w:hint="default" w:hAnsi="宋体"/>
                <w:szCs w:val="21"/>
                <w:highlight w:val="none"/>
              </w:rPr>
            </w:pPr>
          </w:p>
          <w:p w14:paraId="181A02C4">
            <w:pPr>
              <w:keepNext w:val="0"/>
              <w:keepLines w:val="0"/>
              <w:suppressLineNumbers w:val="0"/>
              <w:adjustRightInd w:val="0"/>
              <w:snapToGrid w:val="0"/>
              <w:spacing w:before="0" w:beforeAutospacing="0" w:after="0" w:afterAutospacing="0"/>
              <w:ind w:left="0" w:right="0"/>
              <w:jc w:val="center"/>
              <w:rPr>
                <w:rFonts w:hint="default" w:hAnsi="宋体"/>
                <w:szCs w:val="21"/>
                <w:highlight w:val="none"/>
              </w:rPr>
            </w:pPr>
          </w:p>
          <w:p w14:paraId="1BE3F5BD">
            <w:pPr>
              <w:keepNext w:val="0"/>
              <w:keepLines w:val="0"/>
              <w:suppressLineNumbers w:val="0"/>
              <w:adjustRightInd w:val="0"/>
              <w:snapToGrid w:val="0"/>
              <w:spacing w:before="0" w:beforeAutospacing="0" w:after="0" w:afterAutospacing="0"/>
              <w:ind w:left="0" w:right="0"/>
              <w:jc w:val="center"/>
              <w:rPr>
                <w:rFonts w:hint="default" w:hAnsi="宋体"/>
                <w:szCs w:val="21"/>
                <w:highlight w:val="none"/>
              </w:rPr>
            </w:pPr>
          </w:p>
          <w:p w14:paraId="24C83D54">
            <w:pPr>
              <w:keepNext w:val="0"/>
              <w:keepLines w:val="0"/>
              <w:suppressLineNumbers w:val="0"/>
              <w:adjustRightInd w:val="0"/>
              <w:snapToGrid w:val="0"/>
              <w:spacing w:before="0" w:beforeAutospacing="0" w:after="0" w:afterAutospacing="0"/>
              <w:ind w:left="0" w:right="0"/>
              <w:jc w:val="center"/>
              <w:rPr>
                <w:rFonts w:hint="default" w:hAnsi="宋体"/>
                <w:szCs w:val="21"/>
                <w:highlight w:val="none"/>
              </w:rPr>
            </w:pPr>
          </w:p>
          <w:p w14:paraId="02E1DFE5">
            <w:pPr>
              <w:keepNext w:val="0"/>
              <w:keepLines w:val="0"/>
              <w:suppressLineNumbers w:val="0"/>
              <w:adjustRightInd w:val="0"/>
              <w:snapToGrid w:val="0"/>
              <w:spacing w:before="0" w:beforeAutospacing="0" w:after="0" w:afterAutospacing="0"/>
              <w:ind w:left="0" w:right="0"/>
              <w:jc w:val="center"/>
              <w:rPr>
                <w:rFonts w:hint="default" w:hAnsi="宋体"/>
                <w:szCs w:val="21"/>
                <w:highlight w:val="none"/>
              </w:rPr>
            </w:pPr>
          </w:p>
          <w:p w14:paraId="1136446A">
            <w:pPr>
              <w:keepNext w:val="0"/>
              <w:keepLines w:val="0"/>
              <w:suppressLineNumbers w:val="0"/>
              <w:adjustRightInd w:val="0"/>
              <w:snapToGrid w:val="0"/>
              <w:spacing w:before="0" w:beforeAutospacing="0" w:after="0" w:afterAutospacing="0"/>
              <w:ind w:left="0" w:right="0"/>
              <w:jc w:val="center"/>
              <w:rPr>
                <w:rFonts w:hint="default" w:hAnsi="宋体"/>
                <w:szCs w:val="21"/>
                <w:highlight w:val="none"/>
              </w:rPr>
            </w:pPr>
          </w:p>
          <w:p w14:paraId="5EF62878">
            <w:pPr>
              <w:keepNext w:val="0"/>
              <w:keepLines w:val="0"/>
              <w:suppressLineNumbers w:val="0"/>
              <w:adjustRightInd w:val="0"/>
              <w:snapToGrid w:val="0"/>
              <w:spacing w:before="0" w:beforeAutospacing="0" w:after="0" w:afterAutospacing="0"/>
              <w:ind w:left="0" w:right="0"/>
              <w:jc w:val="center"/>
              <w:rPr>
                <w:rFonts w:hint="default" w:hAnsi="宋体"/>
                <w:szCs w:val="21"/>
                <w:highlight w:val="none"/>
              </w:rPr>
            </w:pPr>
          </w:p>
          <w:p w14:paraId="2AEBC599">
            <w:pPr>
              <w:keepNext w:val="0"/>
              <w:keepLines w:val="0"/>
              <w:suppressLineNumbers w:val="0"/>
              <w:adjustRightInd w:val="0"/>
              <w:snapToGrid w:val="0"/>
              <w:spacing w:before="0" w:beforeAutospacing="0" w:after="0" w:afterAutospacing="0"/>
              <w:ind w:left="0" w:right="0"/>
              <w:jc w:val="center"/>
              <w:rPr>
                <w:rFonts w:hint="default" w:hAnsi="宋体"/>
                <w:szCs w:val="21"/>
                <w:highlight w:val="none"/>
              </w:rPr>
            </w:pPr>
          </w:p>
        </w:tc>
        <w:tc>
          <w:tcPr>
            <w:tcW w:w="8304" w:type="dxa"/>
            <w:tcMar>
              <w:top w:w="57" w:type="dxa"/>
              <w:left w:w="57" w:type="dxa"/>
              <w:bottom w:w="0" w:type="dxa"/>
              <w:right w:w="57" w:type="dxa"/>
            </w:tcMar>
            <w:vAlign w:val="center"/>
          </w:tcPr>
          <w:p w14:paraId="737FE060">
            <w:pPr>
              <w:keepNext w:val="0"/>
              <w:keepLines w:val="0"/>
              <w:suppressLineNumbers w:val="0"/>
              <w:adjustRightInd w:val="0"/>
              <w:snapToGrid w:val="0"/>
              <w:spacing w:before="0" w:beforeAutospacing="0" w:after="0" w:afterAutospacing="0" w:line="360" w:lineRule="auto"/>
              <w:ind w:left="0" w:right="0"/>
              <w:rPr>
                <w:rFonts w:hint="default"/>
                <w:b/>
                <w:color w:val="auto"/>
                <w:sz w:val="24"/>
                <w:szCs w:val="24"/>
                <w:highlight w:val="none"/>
              </w:rPr>
            </w:pPr>
            <w:r>
              <w:rPr>
                <w:rFonts w:hint="default"/>
                <w:b/>
                <w:color w:val="auto"/>
                <w:sz w:val="24"/>
                <w:szCs w:val="24"/>
                <w:highlight w:val="none"/>
              </w:rPr>
              <w:t>1</w:t>
            </w:r>
            <w:r>
              <w:rPr>
                <w:rFonts w:hint="eastAsia"/>
                <w:b/>
                <w:color w:val="auto"/>
                <w:sz w:val="24"/>
                <w:szCs w:val="24"/>
                <w:highlight w:val="none"/>
              </w:rPr>
              <w:t>、“三线一单”符合性分析</w:t>
            </w:r>
          </w:p>
          <w:p w14:paraId="633981F9">
            <w:pPr>
              <w:keepNext w:val="0"/>
              <w:keepLines w:val="0"/>
              <w:suppressLineNumbers w:val="0"/>
              <w:adjustRightInd w:val="0"/>
              <w:snapToGrid w:val="0"/>
              <w:spacing w:before="0" w:beforeAutospacing="0" w:after="0" w:afterAutospacing="0" w:line="360" w:lineRule="auto"/>
              <w:ind w:left="0" w:right="0" w:firstLine="480" w:firstLineChars="200"/>
              <w:rPr>
                <w:rFonts w:hint="eastAsia" w:ascii="Times New Roman" w:hAnsi="Times New Roman" w:eastAsia="宋体" w:cs="Times New Roman"/>
                <w:sz w:val="24"/>
                <w:szCs w:val="24"/>
                <w:highlight w:val="none"/>
                <w:lang w:val="en-US" w:eastAsia="zh-CN"/>
              </w:rPr>
            </w:pPr>
            <w:r>
              <w:rPr>
                <w:rFonts w:hint="eastAsia" w:ascii="Times New Roman" w:hAnsi="Times New Roman" w:eastAsia="宋体" w:cs="Times New Roman"/>
                <w:sz w:val="24"/>
                <w:szCs w:val="24"/>
                <w:highlight w:val="none"/>
                <w:lang w:val="en-US" w:eastAsia="zh-CN"/>
              </w:rPr>
              <w:t>“三线一单”即生态保护红线、环境质量底线、资源利用上线和生态环境准入清单。</w:t>
            </w:r>
          </w:p>
          <w:p w14:paraId="56970577">
            <w:pPr>
              <w:keepNext w:val="0"/>
              <w:keepLines w:val="0"/>
              <w:suppressLineNumbers w:val="0"/>
              <w:adjustRightInd w:val="0"/>
              <w:snapToGrid w:val="0"/>
              <w:spacing w:before="0" w:beforeAutospacing="0" w:after="0" w:afterAutospacing="0" w:line="360" w:lineRule="auto"/>
              <w:ind w:left="0" w:right="0" w:firstLine="480" w:firstLineChars="200"/>
              <w:rPr>
                <w:rFonts w:hint="default" w:ascii="Times New Roman" w:hAnsi="Times New Roman" w:eastAsia="宋体" w:cs="Times New Roman"/>
                <w:sz w:val="24"/>
                <w:szCs w:val="24"/>
                <w:highlight w:val="none"/>
                <w:lang w:val="en-US" w:eastAsia="zh-CN"/>
              </w:rPr>
            </w:pPr>
            <w:r>
              <w:rPr>
                <w:rFonts w:hint="eastAsia" w:ascii="Times New Roman" w:hAnsi="Times New Roman" w:eastAsia="宋体" w:cs="Times New Roman"/>
                <w:sz w:val="24"/>
                <w:szCs w:val="24"/>
                <w:highlight w:val="none"/>
                <w:lang w:eastAsia="zh-CN"/>
              </w:rPr>
              <w:t>（</w:t>
            </w:r>
            <w:r>
              <w:rPr>
                <w:rFonts w:hint="eastAsia" w:ascii="Times New Roman" w:hAnsi="Times New Roman" w:eastAsia="宋体" w:cs="Times New Roman"/>
                <w:sz w:val="24"/>
                <w:szCs w:val="24"/>
                <w:highlight w:val="none"/>
                <w:lang w:val="en-US" w:eastAsia="zh-CN"/>
              </w:rPr>
              <w:t>1</w:t>
            </w:r>
            <w:r>
              <w:rPr>
                <w:rFonts w:hint="eastAsia" w:ascii="Times New Roman" w:hAnsi="Times New Roman" w:eastAsia="宋体" w:cs="Times New Roman"/>
                <w:sz w:val="24"/>
                <w:szCs w:val="24"/>
                <w:highlight w:val="none"/>
                <w:lang w:eastAsia="zh-CN"/>
              </w:rPr>
              <w:t>）</w:t>
            </w:r>
            <w:r>
              <w:rPr>
                <w:rFonts w:hint="eastAsia" w:ascii="Times New Roman" w:hAnsi="Times New Roman" w:eastAsia="宋体" w:cs="Times New Roman"/>
                <w:sz w:val="24"/>
                <w:szCs w:val="24"/>
                <w:highlight w:val="none"/>
                <w:lang w:val="en-US" w:eastAsia="zh-CN"/>
              </w:rPr>
              <w:t>生态保护红线</w:t>
            </w:r>
          </w:p>
          <w:p w14:paraId="7BE22974">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360" w:lineRule="auto"/>
              <w:ind w:left="0" w:right="0" w:firstLine="480" w:firstLineChars="200"/>
              <w:jc w:val="both"/>
              <w:textAlignment w:val="auto"/>
              <w:rPr>
                <w:rFonts w:hint="default" w:ascii="Times New Roman" w:hAnsi="Times New Roman" w:eastAsia="宋体" w:cs="Times New Roman"/>
                <w:sz w:val="24"/>
                <w:szCs w:val="24"/>
                <w:highlight w:val="none"/>
              </w:rPr>
            </w:pPr>
            <w:r>
              <w:rPr>
                <w:rFonts w:hint="default" w:ascii="Times New Roman" w:hAnsi="Times New Roman" w:eastAsia="宋体" w:cs="Times New Roman"/>
                <w:sz w:val="24"/>
                <w:szCs w:val="24"/>
                <w:highlight w:val="none"/>
                <w:lang w:val="en-US" w:eastAsia="zh-CN"/>
              </w:rPr>
              <w:t>本项目位于</w:t>
            </w:r>
            <w:r>
              <w:rPr>
                <w:rFonts w:hint="eastAsia"/>
                <w:sz w:val="24"/>
                <w:szCs w:val="24"/>
                <w:highlight w:val="none"/>
                <w:lang w:val="en-US" w:eastAsia="zh-CN"/>
              </w:rPr>
              <w:t>衢州市高铁新城闽江大道以南、龙游路以西、常山港以北</w:t>
            </w:r>
            <w:r>
              <w:rPr>
                <w:rFonts w:hint="default" w:ascii="Times New Roman" w:hAnsi="Times New Roman" w:eastAsia="宋体" w:cs="Times New Roman"/>
                <w:sz w:val="24"/>
                <w:szCs w:val="24"/>
                <w:highlight w:val="none"/>
                <w:lang w:val="en-US" w:eastAsia="zh-CN"/>
              </w:rPr>
              <w:t>，对照浙江省国土空间规</w:t>
            </w:r>
            <w:r>
              <w:rPr>
                <w:rFonts w:hint="eastAsia" w:ascii="宋体" w:hAnsi="宋体" w:eastAsia="宋体" w:cs="宋体"/>
                <w:sz w:val="24"/>
                <w:szCs w:val="24"/>
                <w:highlight w:val="none"/>
                <w:lang w:val="en-US" w:eastAsia="zh-CN"/>
              </w:rPr>
              <w:t>划“三区三线”划定</w:t>
            </w:r>
            <w:r>
              <w:rPr>
                <w:rFonts w:hint="default" w:ascii="Times New Roman" w:hAnsi="Times New Roman" w:eastAsia="宋体" w:cs="Times New Roman"/>
                <w:sz w:val="24"/>
                <w:szCs w:val="24"/>
                <w:highlight w:val="none"/>
                <w:lang w:val="en-US" w:eastAsia="zh-CN"/>
              </w:rPr>
              <w:t>成果，</w:t>
            </w:r>
            <w:r>
              <w:rPr>
                <w:rFonts w:hint="eastAsia" w:ascii="Times New Roman" w:hAnsi="Times New Roman" w:eastAsia="宋体" w:cs="Times New Roman"/>
                <w:sz w:val="24"/>
                <w:szCs w:val="24"/>
                <w:highlight w:val="none"/>
                <w:lang w:val="en-US" w:eastAsia="zh-CN"/>
              </w:rPr>
              <w:t>项目位于城镇开发边界范围内，</w:t>
            </w:r>
            <w:r>
              <w:rPr>
                <w:rFonts w:hint="default" w:ascii="Times New Roman" w:hAnsi="Times New Roman" w:eastAsia="宋体" w:cs="Times New Roman"/>
                <w:sz w:val="24"/>
                <w:szCs w:val="24"/>
                <w:highlight w:val="none"/>
                <w:lang w:val="en-US" w:eastAsia="zh-CN"/>
              </w:rPr>
              <w:t>不</w:t>
            </w:r>
            <w:r>
              <w:rPr>
                <w:rFonts w:hint="eastAsia" w:ascii="Times New Roman" w:hAnsi="Times New Roman" w:eastAsia="宋体" w:cs="Times New Roman"/>
                <w:sz w:val="24"/>
                <w:szCs w:val="24"/>
                <w:highlight w:val="none"/>
                <w:lang w:val="en-US" w:eastAsia="zh-CN"/>
              </w:rPr>
              <w:t>涉</w:t>
            </w:r>
            <w:r>
              <w:rPr>
                <w:rFonts w:hint="default" w:ascii="Times New Roman" w:hAnsi="Times New Roman" w:eastAsia="宋体" w:cs="Times New Roman"/>
                <w:sz w:val="24"/>
                <w:szCs w:val="24"/>
                <w:highlight w:val="none"/>
                <w:lang w:val="en-US" w:eastAsia="zh-CN"/>
              </w:rPr>
              <w:t>及</w:t>
            </w:r>
            <w:r>
              <w:rPr>
                <w:rFonts w:hint="eastAsia" w:ascii="Times New Roman" w:hAnsi="Times New Roman" w:eastAsia="宋体" w:cs="Times New Roman"/>
                <w:sz w:val="24"/>
                <w:szCs w:val="24"/>
                <w:highlight w:val="none"/>
                <w:lang w:val="en-US" w:eastAsia="zh-CN"/>
              </w:rPr>
              <w:t>生态保护红线和永久基本农田</w:t>
            </w:r>
            <w:r>
              <w:rPr>
                <w:rFonts w:hint="default" w:ascii="Times New Roman" w:hAnsi="Times New Roman" w:eastAsia="宋体" w:cs="Times New Roman"/>
                <w:sz w:val="24"/>
                <w:szCs w:val="24"/>
                <w:highlight w:val="none"/>
                <w:lang w:val="en-US" w:eastAsia="zh-CN"/>
              </w:rPr>
              <w:t>范围</w:t>
            </w:r>
            <w:r>
              <w:rPr>
                <w:rFonts w:hint="default" w:ascii="Times New Roman" w:hAnsi="Times New Roman" w:eastAsia="宋体" w:cs="Times New Roman"/>
                <w:sz w:val="24"/>
                <w:szCs w:val="24"/>
                <w:highlight w:val="none"/>
              </w:rPr>
              <w:t>。</w:t>
            </w:r>
          </w:p>
          <w:p w14:paraId="1BB41871">
            <w:pPr>
              <w:keepNext w:val="0"/>
              <w:keepLines w:val="0"/>
              <w:suppressLineNumbers w:val="0"/>
              <w:adjustRightInd w:val="0"/>
              <w:snapToGrid w:val="0"/>
              <w:spacing w:before="0" w:beforeAutospacing="0" w:after="0" w:afterAutospacing="0" w:line="360" w:lineRule="auto"/>
              <w:ind w:left="0" w:right="0" w:firstLine="480" w:firstLineChars="200"/>
              <w:rPr>
                <w:rFonts w:hint="default" w:ascii="Times New Roman" w:hAnsi="Times New Roman" w:eastAsia="宋体" w:cs="Times New Roman"/>
                <w:sz w:val="24"/>
                <w:szCs w:val="24"/>
                <w:highlight w:val="none"/>
                <w:lang w:val="en-US" w:eastAsia="zh-CN"/>
              </w:rPr>
            </w:pPr>
            <w:r>
              <w:rPr>
                <w:rFonts w:hint="default" w:ascii="Times New Roman" w:hAnsi="Times New Roman" w:eastAsia="宋体" w:cs="Times New Roman"/>
                <w:sz w:val="24"/>
                <w:szCs w:val="24"/>
                <w:highlight w:val="none"/>
                <w:lang w:eastAsia="zh-CN"/>
              </w:rPr>
              <w:t>（</w:t>
            </w:r>
            <w:r>
              <w:rPr>
                <w:rFonts w:hint="default" w:ascii="Times New Roman" w:hAnsi="Times New Roman" w:eastAsia="宋体" w:cs="Times New Roman"/>
                <w:sz w:val="24"/>
                <w:szCs w:val="24"/>
                <w:highlight w:val="none"/>
                <w:lang w:val="en-US" w:eastAsia="zh-CN"/>
              </w:rPr>
              <w:t>2</w:t>
            </w:r>
            <w:r>
              <w:rPr>
                <w:rFonts w:hint="default" w:ascii="Times New Roman" w:hAnsi="Times New Roman" w:eastAsia="宋体" w:cs="Times New Roman"/>
                <w:sz w:val="24"/>
                <w:szCs w:val="24"/>
                <w:highlight w:val="none"/>
                <w:lang w:eastAsia="zh-CN"/>
              </w:rPr>
              <w:t>）</w:t>
            </w:r>
            <w:r>
              <w:rPr>
                <w:rFonts w:hint="default" w:ascii="Times New Roman" w:hAnsi="Times New Roman" w:eastAsia="宋体" w:cs="Times New Roman"/>
                <w:sz w:val="24"/>
                <w:szCs w:val="24"/>
                <w:highlight w:val="none"/>
                <w:lang w:val="en-US" w:eastAsia="zh-CN"/>
              </w:rPr>
              <w:t>环境质量底线</w:t>
            </w:r>
          </w:p>
          <w:p w14:paraId="203CAB8D">
            <w:pPr>
              <w:keepNext w:val="0"/>
              <w:keepLines w:val="0"/>
              <w:suppressLineNumbers w:val="0"/>
              <w:adjustRightInd w:val="0"/>
              <w:snapToGrid w:val="0"/>
              <w:spacing w:before="0" w:beforeAutospacing="0" w:after="0" w:afterAutospacing="0" w:line="360" w:lineRule="auto"/>
              <w:ind w:left="0" w:right="0" w:firstLine="480" w:firstLineChars="200"/>
              <w:rPr>
                <w:rFonts w:hint="default" w:ascii="Times New Roman" w:hAnsi="Times New Roman" w:eastAsia="宋体" w:cs="Times New Roman"/>
                <w:sz w:val="24"/>
                <w:szCs w:val="24"/>
                <w:highlight w:val="none"/>
              </w:rPr>
            </w:pPr>
            <w:r>
              <w:rPr>
                <w:rFonts w:hint="default" w:ascii="Times New Roman" w:hAnsi="Times New Roman" w:eastAsia="宋体" w:cs="Times New Roman"/>
                <w:sz w:val="24"/>
                <w:szCs w:val="24"/>
                <w:highlight w:val="none"/>
              </w:rPr>
              <w:t>根据《</w:t>
            </w:r>
            <w:r>
              <w:rPr>
                <w:rFonts w:hint="eastAsia" w:ascii="Times New Roman" w:hAnsi="Times New Roman" w:eastAsia="宋体" w:cs="Times New Roman"/>
                <w:sz w:val="24"/>
                <w:szCs w:val="24"/>
                <w:highlight w:val="none"/>
                <w:lang w:val="en-US" w:eastAsia="zh-CN"/>
              </w:rPr>
              <w:t>衢州</w:t>
            </w:r>
            <w:r>
              <w:rPr>
                <w:rFonts w:hint="eastAsia" w:ascii="宋体" w:hAnsi="宋体" w:eastAsia="宋体" w:cs="宋体"/>
                <w:sz w:val="24"/>
                <w:szCs w:val="24"/>
                <w:highlight w:val="none"/>
              </w:rPr>
              <w:t>市</w:t>
            </w:r>
            <w:r>
              <w:rPr>
                <w:rFonts w:hint="eastAsia" w:ascii="宋体" w:hAnsi="宋体" w:eastAsia="宋体" w:cs="宋体"/>
                <w:sz w:val="24"/>
                <w:szCs w:val="24"/>
                <w:highlight w:val="none"/>
                <w:lang w:eastAsia="zh-CN"/>
              </w:rPr>
              <w:t>生态环境分区管控动态更新方案</w:t>
            </w:r>
            <w:r>
              <w:rPr>
                <w:rFonts w:hint="default" w:ascii="Times New Roman" w:hAnsi="Times New Roman" w:eastAsia="宋体" w:cs="Times New Roman"/>
                <w:sz w:val="24"/>
                <w:szCs w:val="24"/>
                <w:highlight w:val="none"/>
              </w:rPr>
              <w:t>》</w:t>
            </w:r>
            <w:r>
              <w:rPr>
                <w:rFonts w:hint="eastAsia"/>
                <w:kern w:val="0"/>
                <w:szCs w:val="20"/>
                <w:highlight w:val="none"/>
              </w:rPr>
              <w:t>（衢环发[2024]52号）</w:t>
            </w:r>
            <w:r>
              <w:rPr>
                <w:rFonts w:hint="default" w:ascii="Times New Roman" w:hAnsi="Times New Roman" w:eastAsia="宋体" w:cs="Times New Roman"/>
                <w:sz w:val="24"/>
                <w:szCs w:val="24"/>
                <w:highlight w:val="none"/>
              </w:rPr>
              <w:t>确定的环境质量底线目标，对照分析项目</w:t>
            </w:r>
            <w:r>
              <w:rPr>
                <w:rFonts w:hint="default" w:ascii="宋体" w:hAnsi="宋体" w:eastAsia="宋体" w:cs="宋体"/>
                <w:sz w:val="24"/>
                <w:szCs w:val="24"/>
                <w:highlight w:val="none"/>
              </w:rPr>
              <w:t>与“大气环境质量底线、水环境质量底线、土壤环境风险防控底线”的</w:t>
            </w:r>
            <w:r>
              <w:rPr>
                <w:rFonts w:hint="default" w:ascii="Times New Roman" w:hAnsi="Times New Roman" w:eastAsia="宋体" w:cs="Times New Roman"/>
                <w:sz w:val="24"/>
                <w:szCs w:val="24"/>
                <w:highlight w:val="none"/>
              </w:rPr>
              <w:t>符合性分析，见下表1-</w:t>
            </w:r>
            <w:r>
              <w:rPr>
                <w:rFonts w:hint="eastAsia" w:ascii="Times New Roman" w:hAnsi="Times New Roman" w:cs="Times New Roman"/>
                <w:sz w:val="24"/>
                <w:szCs w:val="24"/>
                <w:highlight w:val="none"/>
                <w:lang w:val="en-US" w:eastAsia="zh-CN"/>
              </w:rPr>
              <w:t>2</w:t>
            </w:r>
            <w:r>
              <w:rPr>
                <w:rFonts w:hint="default" w:ascii="Times New Roman" w:hAnsi="Times New Roman" w:eastAsia="宋体" w:cs="Times New Roman"/>
                <w:sz w:val="24"/>
                <w:szCs w:val="24"/>
                <w:highlight w:val="none"/>
              </w:rPr>
              <w:t>。</w:t>
            </w:r>
          </w:p>
          <w:p w14:paraId="3292B7B9">
            <w:pPr>
              <w:pStyle w:val="7"/>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60" w:lineRule="auto"/>
              <w:ind w:left="0" w:right="0" w:firstLine="0" w:firstLineChars="0"/>
              <w:jc w:val="center"/>
              <w:textAlignment w:val="auto"/>
              <w:rPr>
                <w:rFonts w:hint="default" w:ascii="Times New Roman" w:hAnsi="Times New Roman" w:eastAsia="宋体" w:cs="Times New Roman"/>
                <w:b/>
                <w:bCs/>
                <w:kern w:val="2"/>
                <w:sz w:val="24"/>
                <w:szCs w:val="24"/>
                <w:highlight w:val="none"/>
                <w:lang w:val="en-US" w:eastAsia="zh-CN" w:bidi="ar-SA"/>
              </w:rPr>
            </w:pPr>
            <w:r>
              <w:rPr>
                <w:rFonts w:hint="eastAsia" w:ascii="Times New Roman" w:hAnsi="Times New Roman" w:eastAsia="宋体" w:cs="Times New Roman"/>
                <w:b/>
                <w:bCs/>
                <w:kern w:val="2"/>
                <w:sz w:val="24"/>
                <w:szCs w:val="24"/>
                <w:highlight w:val="none"/>
                <w:lang w:val="en-US" w:eastAsia="zh-CN" w:bidi="ar-SA"/>
              </w:rPr>
              <w:t>表1-</w:t>
            </w:r>
            <w:r>
              <w:rPr>
                <w:rFonts w:hint="eastAsia" w:ascii="Times New Roman" w:hAnsi="Times New Roman" w:cs="Times New Roman"/>
                <w:b/>
                <w:bCs/>
                <w:kern w:val="2"/>
                <w:sz w:val="24"/>
                <w:szCs w:val="24"/>
                <w:highlight w:val="none"/>
                <w:lang w:val="en-US" w:eastAsia="zh-CN" w:bidi="ar-SA"/>
              </w:rPr>
              <w:t>2</w:t>
            </w:r>
            <w:r>
              <w:rPr>
                <w:rFonts w:hint="eastAsia" w:ascii="Times New Roman" w:hAnsi="Times New Roman" w:eastAsia="宋体" w:cs="Times New Roman"/>
                <w:b/>
                <w:bCs/>
                <w:kern w:val="2"/>
                <w:sz w:val="24"/>
                <w:szCs w:val="24"/>
                <w:highlight w:val="none"/>
                <w:lang w:val="en-US" w:eastAsia="zh-CN" w:bidi="ar-SA"/>
              </w:rPr>
              <w:t xml:space="preserve">  环境质量底线要求符合性分析</w:t>
            </w:r>
          </w:p>
          <w:tbl>
            <w:tblPr>
              <w:tblStyle w:val="33"/>
              <w:tblW w:w="8039"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28" w:type="dxa"/>
                <w:bottom w:w="0" w:type="dxa"/>
                <w:right w:w="28" w:type="dxa"/>
              </w:tblCellMar>
            </w:tblPr>
            <w:tblGrid>
              <w:gridCol w:w="534"/>
              <w:gridCol w:w="622"/>
              <w:gridCol w:w="3527"/>
              <w:gridCol w:w="2833"/>
              <w:gridCol w:w="523"/>
            </w:tblGrid>
            <w:tr w14:paraId="4307ECB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0" w:hRule="atLeast"/>
                <w:jc w:val="center"/>
              </w:trPr>
              <w:tc>
                <w:tcPr>
                  <w:tcW w:w="534" w:type="dxa"/>
                  <w:noWrap w:val="0"/>
                  <w:vAlign w:val="center"/>
                </w:tcPr>
                <w:p w14:paraId="199745F1">
                  <w:pPr>
                    <w:pStyle w:val="31"/>
                    <w:keepNext/>
                    <w:keepLines/>
                    <w:pageBreakBefore w:val="0"/>
                    <w:widowControl w:val="0"/>
                    <w:suppressLineNumbers w:val="0"/>
                    <w:kinsoku/>
                    <w:wordWrap/>
                    <w:overflowPunct/>
                    <w:topLinePunct w:val="0"/>
                    <w:autoSpaceDE/>
                    <w:autoSpaceDN/>
                    <w:bidi w:val="0"/>
                    <w:adjustRightInd/>
                    <w:snapToGrid/>
                    <w:spacing w:before="0" w:beforeAutospacing="0" w:after="0" w:afterAutospacing="0" w:line="288" w:lineRule="auto"/>
                    <w:ind w:left="0" w:leftChars="0" w:right="0" w:firstLine="0" w:firstLineChars="0"/>
                    <w:jc w:val="center"/>
                    <w:textAlignment w:val="auto"/>
                    <w:rPr>
                      <w:rFonts w:hint="default" w:ascii="Times New Roman" w:hAnsi="Times New Roman" w:eastAsia="宋体" w:cs="Times New Roman"/>
                      <w:b/>
                      <w:bCs/>
                      <w:kern w:val="2"/>
                      <w:sz w:val="21"/>
                      <w:szCs w:val="21"/>
                      <w:highlight w:val="none"/>
                      <w:vertAlign w:val="baseline"/>
                      <w:lang w:val="en-US" w:eastAsia="zh-CN" w:bidi="ar-SA"/>
                    </w:rPr>
                  </w:pPr>
                  <w:r>
                    <w:rPr>
                      <w:rFonts w:hint="eastAsia" w:ascii="Times New Roman" w:hAnsi="Times New Roman" w:eastAsia="宋体" w:cs="Times New Roman"/>
                      <w:b/>
                      <w:bCs/>
                      <w:kern w:val="2"/>
                      <w:sz w:val="21"/>
                      <w:szCs w:val="21"/>
                      <w:highlight w:val="none"/>
                      <w:vertAlign w:val="baseline"/>
                      <w:lang w:val="en-US" w:eastAsia="zh-CN" w:bidi="ar-SA"/>
                    </w:rPr>
                    <w:t>内容</w:t>
                  </w:r>
                </w:p>
              </w:tc>
              <w:tc>
                <w:tcPr>
                  <w:tcW w:w="4149" w:type="dxa"/>
                  <w:gridSpan w:val="2"/>
                  <w:noWrap w:val="0"/>
                  <w:vAlign w:val="center"/>
                </w:tcPr>
                <w:p w14:paraId="5B9EAE8D">
                  <w:pPr>
                    <w:pStyle w:val="31"/>
                    <w:keepNext/>
                    <w:keepLines/>
                    <w:pageBreakBefore w:val="0"/>
                    <w:widowControl w:val="0"/>
                    <w:suppressLineNumbers w:val="0"/>
                    <w:kinsoku/>
                    <w:wordWrap/>
                    <w:overflowPunct/>
                    <w:topLinePunct w:val="0"/>
                    <w:autoSpaceDE/>
                    <w:autoSpaceDN/>
                    <w:bidi w:val="0"/>
                    <w:adjustRightInd/>
                    <w:snapToGrid/>
                    <w:spacing w:before="0" w:beforeAutospacing="0" w:after="0" w:afterAutospacing="0" w:line="288" w:lineRule="auto"/>
                    <w:ind w:left="0" w:leftChars="0" w:right="0" w:firstLine="0" w:firstLineChars="0"/>
                    <w:jc w:val="center"/>
                    <w:textAlignment w:val="auto"/>
                    <w:rPr>
                      <w:rFonts w:hint="default" w:ascii="Times New Roman" w:hAnsi="Times New Roman" w:eastAsia="宋体" w:cs="Times New Roman"/>
                      <w:b/>
                      <w:bCs/>
                      <w:kern w:val="2"/>
                      <w:sz w:val="21"/>
                      <w:szCs w:val="21"/>
                      <w:highlight w:val="none"/>
                      <w:vertAlign w:val="baseline"/>
                      <w:lang w:val="en-US" w:eastAsia="zh-CN" w:bidi="ar-SA"/>
                    </w:rPr>
                  </w:pPr>
                  <w:r>
                    <w:rPr>
                      <w:rFonts w:hint="eastAsia" w:ascii="Times New Roman" w:hAnsi="Times New Roman" w:eastAsia="宋体" w:cs="Times New Roman"/>
                      <w:b/>
                      <w:bCs/>
                      <w:kern w:val="2"/>
                      <w:sz w:val="21"/>
                      <w:szCs w:val="21"/>
                      <w:highlight w:val="none"/>
                      <w:vertAlign w:val="baseline"/>
                      <w:lang w:val="en-US" w:eastAsia="zh-CN" w:bidi="ar-SA"/>
                    </w:rPr>
                    <w:t>管控目标</w:t>
                  </w:r>
                </w:p>
              </w:tc>
              <w:tc>
                <w:tcPr>
                  <w:tcW w:w="2833" w:type="dxa"/>
                  <w:noWrap w:val="0"/>
                  <w:vAlign w:val="center"/>
                </w:tcPr>
                <w:p w14:paraId="21371DCA">
                  <w:pPr>
                    <w:pStyle w:val="31"/>
                    <w:keepNext/>
                    <w:keepLines/>
                    <w:pageBreakBefore w:val="0"/>
                    <w:widowControl w:val="0"/>
                    <w:suppressLineNumbers w:val="0"/>
                    <w:kinsoku/>
                    <w:wordWrap/>
                    <w:overflowPunct/>
                    <w:topLinePunct w:val="0"/>
                    <w:autoSpaceDE/>
                    <w:autoSpaceDN/>
                    <w:bidi w:val="0"/>
                    <w:adjustRightInd/>
                    <w:snapToGrid/>
                    <w:spacing w:before="0" w:beforeAutospacing="0" w:after="0" w:afterAutospacing="0" w:line="288" w:lineRule="auto"/>
                    <w:ind w:left="0" w:leftChars="0" w:right="0" w:firstLine="0" w:firstLineChars="0"/>
                    <w:jc w:val="center"/>
                    <w:textAlignment w:val="auto"/>
                    <w:rPr>
                      <w:rFonts w:hint="default" w:ascii="Times New Roman" w:hAnsi="Times New Roman" w:eastAsia="宋体" w:cs="Times New Roman"/>
                      <w:b/>
                      <w:bCs/>
                      <w:kern w:val="2"/>
                      <w:sz w:val="21"/>
                      <w:szCs w:val="21"/>
                      <w:highlight w:val="none"/>
                      <w:vertAlign w:val="baseline"/>
                      <w:lang w:val="en-US" w:eastAsia="zh-CN" w:bidi="ar-SA"/>
                    </w:rPr>
                  </w:pPr>
                  <w:r>
                    <w:rPr>
                      <w:rFonts w:hint="eastAsia" w:ascii="Times New Roman" w:hAnsi="Times New Roman" w:eastAsia="宋体" w:cs="Times New Roman"/>
                      <w:b/>
                      <w:bCs/>
                      <w:kern w:val="2"/>
                      <w:sz w:val="21"/>
                      <w:szCs w:val="21"/>
                      <w:highlight w:val="none"/>
                      <w:vertAlign w:val="baseline"/>
                      <w:lang w:val="en-US" w:eastAsia="zh-CN" w:bidi="ar-SA"/>
                    </w:rPr>
                    <w:t>本项目情况</w:t>
                  </w:r>
                </w:p>
              </w:tc>
              <w:tc>
                <w:tcPr>
                  <w:tcW w:w="523" w:type="dxa"/>
                  <w:noWrap w:val="0"/>
                  <w:vAlign w:val="center"/>
                </w:tcPr>
                <w:p w14:paraId="01B1660D">
                  <w:pPr>
                    <w:pStyle w:val="31"/>
                    <w:keepNext/>
                    <w:keepLines/>
                    <w:pageBreakBefore w:val="0"/>
                    <w:widowControl w:val="0"/>
                    <w:suppressLineNumbers w:val="0"/>
                    <w:kinsoku/>
                    <w:wordWrap/>
                    <w:overflowPunct/>
                    <w:topLinePunct w:val="0"/>
                    <w:autoSpaceDE/>
                    <w:autoSpaceDN/>
                    <w:bidi w:val="0"/>
                    <w:adjustRightInd/>
                    <w:snapToGrid/>
                    <w:spacing w:before="0" w:beforeAutospacing="0" w:after="0" w:afterAutospacing="0" w:line="288" w:lineRule="auto"/>
                    <w:ind w:left="0" w:leftChars="0" w:right="0" w:firstLine="0" w:firstLineChars="0"/>
                    <w:jc w:val="center"/>
                    <w:textAlignment w:val="auto"/>
                    <w:rPr>
                      <w:rFonts w:hint="default" w:ascii="Times New Roman" w:hAnsi="Times New Roman" w:eastAsia="宋体" w:cs="Times New Roman"/>
                      <w:b/>
                      <w:bCs/>
                      <w:kern w:val="2"/>
                      <w:sz w:val="21"/>
                      <w:szCs w:val="21"/>
                      <w:highlight w:val="none"/>
                      <w:vertAlign w:val="baseline"/>
                      <w:lang w:val="en-US" w:eastAsia="zh-CN" w:bidi="ar-SA"/>
                    </w:rPr>
                  </w:pPr>
                  <w:r>
                    <w:rPr>
                      <w:rFonts w:hint="eastAsia" w:ascii="Times New Roman" w:hAnsi="Times New Roman" w:eastAsia="宋体" w:cs="Times New Roman"/>
                      <w:b/>
                      <w:bCs/>
                      <w:kern w:val="2"/>
                      <w:sz w:val="21"/>
                      <w:szCs w:val="21"/>
                      <w:highlight w:val="none"/>
                      <w:vertAlign w:val="baseline"/>
                      <w:lang w:val="en-US" w:eastAsia="zh-CN" w:bidi="ar-SA"/>
                    </w:rPr>
                    <w:t>是否符合</w:t>
                  </w:r>
                </w:p>
              </w:tc>
            </w:tr>
            <w:tr w14:paraId="00038B3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0" w:hRule="atLeast"/>
                <w:jc w:val="center"/>
              </w:trPr>
              <w:tc>
                <w:tcPr>
                  <w:tcW w:w="534" w:type="dxa"/>
                  <w:vMerge w:val="restart"/>
                  <w:noWrap w:val="0"/>
                  <w:vAlign w:val="center"/>
                </w:tcPr>
                <w:p w14:paraId="02500119">
                  <w:pPr>
                    <w:pStyle w:val="31"/>
                    <w:keepNext/>
                    <w:keepLines/>
                    <w:pageBreakBefore w:val="0"/>
                    <w:widowControl w:val="0"/>
                    <w:suppressLineNumbers w:val="0"/>
                    <w:kinsoku/>
                    <w:wordWrap/>
                    <w:overflowPunct/>
                    <w:topLinePunct w:val="0"/>
                    <w:autoSpaceDE/>
                    <w:autoSpaceDN/>
                    <w:bidi w:val="0"/>
                    <w:adjustRightInd/>
                    <w:snapToGrid/>
                    <w:spacing w:before="0" w:beforeAutospacing="0" w:after="0" w:afterAutospacing="0" w:line="288" w:lineRule="auto"/>
                    <w:ind w:left="0" w:leftChars="0" w:right="0" w:firstLine="0" w:firstLineChars="0"/>
                    <w:jc w:val="center"/>
                    <w:textAlignment w:val="auto"/>
                    <w:rPr>
                      <w:rFonts w:hint="default" w:ascii="Times New Roman" w:hAnsi="Times New Roman" w:eastAsia="宋体" w:cs="Times New Roman"/>
                      <w:b w:val="0"/>
                      <w:bCs w:val="0"/>
                      <w:kern w:val="2"/>
                      <w:sz w:val="21"/>
                      <w:szCs w:val="21"/>
                      <w:highlight w:val="none"/>
                      <w:vertAlign w:val="baseline"/>
                      <w:lang w:val="en-US" w:eastAsia="zh-CN" w:bidi="ar-SA"/>
                    </w:rPr>
                  </w:pPr>
                  <w:r>
                    <w:rPr>
                      <w:rFonts w:hint="eastAsia" w:ascii="Times New Roman" w:hAnsi="Times New Roman" w:eastAsia="宋体" w:cs="Times New Roman"/>
                      <w:b w:val="0"/>
                      <w:bCs w:val="0"/>
                      <w:kern w:val="2"/>
                      <w:sz w:val="21"/>
                      <w:szCs w:val="21"/>
                      <w:highlight w:val="none"/>
                      <w:vertAlign w:val="baseline"/>
                      <w:lang w:val="en-US" w:eastAsia="zh-CN" w:bidi="ar-SA"/>
                    </w:rPr>
                    <w:t>环境质量底线</w:t>
                  </w:r>
                </w:p>
              </w:tc>
              <w:tc>
                <w:tcPr>
                  <w:tcW w:w="622" w:type="dxa"/>
                  <w:noWrap w:val="0"/>
                  <w:vAlign w:val="center"/>
                </w:tcPr>
                <w:p w14:paraId="6EFB4939">
                  <w:pPr>
                    <w:pStyle w:val="31"/>
                    <w:keepNext/>
                    <w:keepLines/>
                    <w:pageBreakBefore w:val="0"/>
                    <w:widowControl w:val="0"/>
                    <w:suppressLineNumbers w:val="0"/>
                    <w:kinsoku/>
                    <w:wordWrap/>
                    <w:overflowPunct/>
                    <w:topLinePunct w:val="0"/>
                    <w:autoSpaceDE/>
                    <w:autoSpaceDN/>
                    <w:bidi w:val="0"/>
                    <w:adjustRightInd/>
                    <w:snapToGrid/>
                    <w:spacing w:before="0" w:beforeAutospacing="0" w:after="0" w:afterAutospacing="0" w:line="288" w:lineRule="auto"/>
                    <w:ind w:left="0" w:leftChars="0" w:right="0" w:firstLine="0" w:firstLineChars="0"/>
                    <w:jc w:val="center"/>
                    <w:textAlignment w:val="auto"/>
                    <w:rPr>
                      <w:rFonts w:hint="default" w:ascii="Times New Roman" w:hAnsi="Times New Roman" w:eastAsia="宋体" w:cs="Times New Roman"/>
                      <w:b w:val="0"/>
                      <w:bCs w:val="0"/>
                      <w:kern w:val="2"/>
                      <w:sz w:val="21"/>
                      <w:szCs w:val="21"/>
                      <w:highlight w:val="none"/>
                      <w:vertAlign w:val="baseline"/>
                      <w:lang w:val="en-US" w:eastAsia="zh-CN" w:bidi="ar-SA"/>
                    </w:rPr>
                  </w:pPr>
                  <w:r>
                    <w:rPr>
                      <w:rFonts w:hint="eastAsia" w:ascii="Times New Roman" w:hAnsi="Times New Roman" w:eastAsia="宋体" w:cs="Times New Roman"/>
                      <w:b w:val="0"/>
                      <w:bCs w:val="0"/>
                      <w:kern w:val="2"/>
                      <w:sz w:val="21"/>
                      <w:szCs w:val="21"/>
                      <w:highlight w:val="none"/>
                      <w:vertAlign w:val="baseline"/>
                      <w:lang w:val="en-US" w:eastAsia="zh-CN" w:bidi="ar-SA"/>
                    </w:rPr>
                    <w:t>大气环境质量底线</w:t>
                  </w:r>
                </w:p>
              </w:tc>
              <w:tc>
                <w:tcPr>
                  <w:tcW w:w="3527" w:type="dxa"/>
                  <w:noWrap w:val="0"/>
                  <w:vAlign w:val="center"/>
                </w:tcPr>
                <w:p w14:paraId="3E100F04">
                  <w:pPr>
                    <w:pStyle w:val="31"/>
                    <w:keepNext/>
                    <w:keepLines/>
                    <w:pageBreakBefore w:val="0"/>
                    <w:widowControl w:val="0"/>
                    <w:suppressLineNumbers w:val="0"/>
                    <w:kinsoku/>
                    <w:wordWrap/>
                    <w:overflowPunct/>
                    <w:topLinePunct w:val="0"/>
                    <w:autoSpaceDE/>
                    <w:autoSpaceDN/>
                    <w:bidi w:val="0"/>
                    <w:adjustRightInd/>
                    <w:snapToGrid/>
                    <w:spacing w:before="0" w:beforeAutospacing="0" w:after="0" w:afterAutospacing="0" w:line="288" w:lineRule="auto"/>
                    <w:ind w:left="0" w:leftChars="0" w:right="0" w:firstLine="0" w:firstLineChars="0"/>
                    <w:jc w:val="both"/>
                    <w:textAlignment w:val="auto"/>
                    <w:rPr>
                      <w:rFonts w:hint="eastAsia" w:ascii="Times New Roman" w:hAnsi="Times New Roman" w:eastAsia="宋体" w:cs="Times New Roman"/>
                      <w:b w:val="0"/>
                      <w:bCs w:val="0"/>
                      <w:kern w:val="2"/>
                      <w:sz w:val="21"/>
                      <w:szCs w:val="21"/>
                      <w:highlight w:val="none"/>
                      <w:vertAlign w:val="baseline"/>
                      <w:lang w:val="en-US" w:eastAsia="zh-CN" w:bidi="ar-SA"/>
                    </w:rPr>
                  </w:pPr>
                  <w:r>
                    <w:rPr>
                      <w:rFonts w:hint="eastAsia" w:ascii="Times New Roman" w:hAnsi="Times New Roman" w:eastAsia="宋体" w:cs="Times New Roman"/>
                      <w:b w:val="0"/>
                      <w:bCs w:val="0"/>
                      <w:kern w:val="2"/>
                      <w:sz w:val="21"/>
                      <w:szCs w:val="21"/>
                      <w:highlight w:val="none"/>
                      <w:vertAlign w:val="baseline"/>
                      <w:lang w:val="en-US" w:eastAsia="zh-CN" w:bidi="ar-SA"/>
                    </w:rPr>
                    <w:t>规划</w:t>
                  </w:r>
                  <w:r>
                    <w:rPr>
                      <w:rFonts w:hint="default" w:ascii="Times New Roman" w:hAnsi="Times New Roman" w:eastAsia="宋体" w:cs="Times New Roman"/>
                      <w:b w:val="0"/>
                      <w:bCs w:val="0"/>
                      <w:kern w:val="2"/>
                      <w:sz w:val="21"/>
                      <w:szCs w:val="21"/>
                      <w:highlight w:val="none"/>
                      <w:vertAlign w:val="baseline"/>
                      <w:lang w:val="en-US" w:eastAsia="zh-CN" w:bidi="ar-SA"/>
                    </w:rPr>
                    <w:t>到2020年，全市PM</w:t>
                  </w:r>
                  <w:r>
                    <w:rPr>
                      <w:rFonts w:hint="default" w:ascii="Times New Roman" w:hAnsi="Times New Roman" w:eastAsia="宋体" w:cs="Times New Roman"/>
                      <w:b w:val="0"/>
                      <w:bCs w:val="0"/>
                      <w:kern w:val="2"/>
                      <w:sz w:val="21"/>
                      <w:szCs w:val="21"/>
                      <w:highlight w:val="none"/>
                      <w:vertAlign w:val="subscript"/>
                      <w:lang w:val="en-US" w:eastAsia="zh-CN" w:bidi="ar-SA"/>
                    </w:rPr>
                    <w:t>2.5</w:t>
                  </w:r>
                  <w:r>
                    <w:rPr>
                      <w:rFonts w:hint="default" w:ascii="Times New Roman" w:hAnsi="Times New Roman" w:eastAsia="宋体" w:cs="Times New Roman"/>
                      <w:b w:val="0"/>
                      <w:bCs w:val="0"/>
                      <w:kern w:val="2"/>
                      <w:sz w:val="21"/>
                      <w:szCs w:val="21"/>
                      <w:highlight w:val="none"/>
                      <w:vertAlign w:val="baseline"/>
                      <w:lang w:val="en-US" w:eastAsia="zh-CN" w:bidi="ar-SA"/>
                    </w:rPr>
                    <w:t>年均浓度达到3</w:t>
                  </w:r>
                  <w:r>
                    <w:rPr>
                      <w:rFonts w:hint="eastAsia" w:ascii="Times New Roman" w:hAnsi="Times New Roman" w:eastAsia="宋体" w:cs="Times New Roman"/>
                      <w:b w:val="0"/>
                      <w:bCs w:val="0"/>
                      <w:kern w:val="2"/>
                      <w:sz w:val="21"/>
                      <w:szCs w:val="21"/>
                      <w:highlight w:val="none"/>
                      <w:vertAlign w:val="baseline"/>
                      <w:lang w:val="en-US" w:eastAsia="zh-CN" w:bidi="ar-SA"/>
                    </w:rPr>
                    <w:t>5</w:t>
                  </w:r>
                  <w:r>
                    <w:rPr>
                      <w:rFonts w:hint="default" w:ascii="Times New Roman" w:hAnsi="Times New Roman" w:eastAsia="宋体" w:cs="Times New Roman"/>
                      <w:b w:val="0"/>
                      <w:bCs w:val="0"/>
                      <w:kern w:val="2"/>
                      <w:sz w:val="21"/>
                      <w:szCs w:val="21"/>
                      <w:highlight w:val="none"/>
                      <w:vertAlign w:val="baseline"/>
                      <w:lang w:val="en-US" w:eastAsia="zh-CN" w:bidi="ar-SA"/>
                    </w:rPr>
                    <w:t>µg/m</w:t>
                  </w:r>
                  <w:r>
                    <w:rPr>
                      <w:rFonts w:hint="default" w:ascii="Times New Roman" w:hAnsi="Times New Roman" w:eastAsia="宋体" w:cs="Times New Roman"/>
                      <w:b w:val="0"/>
                      <w:bCs w:val="0"/>
                      <w:kern w:val="2"/>
                      <w:sz w:val="21"/>
                      <w:szCs w:val="21"/>
                      <w:highlight w:val="none"/>
                      <w:vertAlign w:val="superscript"/>
                      <w:lang w:val="en-US" w:eastAsia="zh-CN" w:bidi="ar-SA"/>
                    </w:rPr>
                    <w:t>3</w:t>
                  </w:r>
                  <w:r>
                    <w:rPr>
                      <w:rFonts w:hint="default" w:ascii="Times New Roman" w:hAnsi="Times New Roman" w:eastAsia="宋体" w:cs="Times New Roman"/>
                      <w:b w:val="0"/>
                      <w:bCs w:val="0"/>
                      <w:kern w:val="2"/>
                      <w:sz w:val="21"/>
                      <w:szCs w:val="21"/>
                      <w:highlight w:val="none"/>
                      <w:vertAlign w:val="baseline"/>
                      <w:lang w:val="en-US" w:eastAsia="zh-CN" w:bidi="ar-SA"/>
                    </w:rPr>
                    <w:t>以下，</w:t>
                  </w:r>
                  <w:r>
                    <w:rPr>
                      <w:rFonts w:hint="eastAsia" w:ascii="Times New Roman" w:hAnsi="Times New Roman" w:eastAsia="宋体" w:cs="Times New Roman"/>
                      <w:b w:val="0"/>
                      <w:bCs w:val="0"/>
                      <w:kern w:val="2"/>
                      <w:sz w:val="21"/>
                      <w:szCs w:val="21"/>
                      <w:highlight w:val="none"/>
                      <w:vertAlign w:val="baseline"/>
                      <w:lang w:val="en-US" w:eastAsia="zh-CN" w:bidi="ar-SA"/>
                    </w:rPr>
                    <w:t>二氧化硫、二氧化氮、一氧化碳和臭氧平均浓度达标，空气质量优良天数比例提高到88%以上，60%以上的县（市、区）建成清新</w:t>
                  </w:r>
                  <w:r>
                    <w:rPr>
                      <w:rFonts w:hint="default" w:ascii="Times New Roman" w:hAnsi="Times New Roman" w:eastAsia="宋体" w:cs="Times New Roman"/>
                      <w:b w:val="0"/>
                      <w:bCs w:val="0"/>
                      <w:kern w:val="2"/>
                      <w:sz w:val="21"/>
                      <w:szCs w:val="21"/>
                      <w:highlight w:val="none"/>
                      <w:vertAlign w:val="baseline"/>
                      <w:lang w:val="en-US" w:eastAsia="zh-CN" w:bidi="ar-SA"/>
                    </w:rPr>
                    <w:t>空气</w:t>
                  </w:r>
                  <w:r>
                    <w:rPr>
                      <w:rFonts w:hint="eastAsia" w:ascii="Times New Roman" w:hAnsi="Times New Roman" w:eastAsia="宋体" w:cs="Times New Roman"/>
                      <w:b w:val="0"/>
                      <w:bCs w:val="0"/>
                      <w:kern w:val="2"/>
                      <w:sz w:val="21"/>
                      <w:szCs w:val="21"/>
                      <w:highlight w:val="none"/>
                      <w:vertAlign w:val="baseline"/>
                      <w:lang w:val="en-US" w:eastAsia="zh-CN" w:bidi="ar-SA"/>
                    </w:rPr>
                    <w:t>示范区。</w:t>
                  </w:r>
                </w:p>
                <w:p w14:paraId="6B9B9F96">
                  <w:pPr>
                    <w:pStyle w:val="31"/>
                    <w:keepNext/>
                    <w:keepLines/>
                    <w:pageBreakBefore w:val="0"/>
                    <w:widowControl w:val="0"/>
                    <w:suppressLineNumbers w:val="0"/>
                    <w:kinsoku/>
                    <w:wordWrap/>
                    <w:overflowPunct/>
                    <w:topLinePunct w:val="0"/>
                    <w:autoSpaceDE/>
                    <w:autoSpaceDN/>
                    <w:bidi w:val="0"/>
                    <w:adjustRightInd/>
                    <w:snapToGrid/>
                    <w:spacing w:before="0" w:beforeAutospacing="0" w:after="0" w:afterAutospacing="0" w:line="288" w:lineRule="auto"/>
                    <w:ind w:left="0" w:leftChars="0" w:right="0" w:firstLine="0" w:firstLineChars="0"/>
                    <w:jc w:val="both"/>
                    <w:textAlignment w:val="auto"/>
                    <w:rPr>
                      <w:rFonts w:hint="default" w:ascii="Times New Roman" w:hAnsi="Times New Roman" w:eastAsia="宋体" w:cs="Times New Roman"/>
                      <w:b w:val="0"/>
                      <w:bCs w:val="0"/>
                      <w:kern w:val="2"/>
                      <w:sz w:val="21"/>
                      <w:szCs w:val="21"/>
                      <w:highlight w:val="none"/>
                      <w:vertAlign w:val="baseline"/>
                      <w:lang w:val="en-US" w:eastAsia="zh-CN" w:bidi="ar-SA"/>
                    </w:rPr>
                  </w:pPr>
                  <w:r>
                    <w:rPr>
                      <w:rFonts w:hint="default" w:ascii="Times New Roman" w:hAnsi="Times New Roman" w:eastAsia="宋体" w:cs="Times New Roman"/>
                      <w:b w:val="0"/>
                      <w:bCs w:val="0"/>
                      <w:kern w:val="2"/>
                      <w:sz w:val="21"/>
                      <w:szCs w:val="21"/>
                      <w:highlight w:val="none"/>
                      <w:vertAlign w:val="baseline"/>
                      <w:lang w:val="en-US" w:eastAsia="zh-CN" w:bidi="ar-SA"/>
                    </w:rPr>
                    <w:t>到2025年，</w:t>
                  </w:r>
                  <w:r>
                    <w:rPr>
                      <w:rFonts w:hint="eastAsia" w:ascii="Times New Roman" w:hAnsi="Times New Roman" w:eastAsia="宋体" w:cs="Times New Roman"/>
                      <w:b w:val="0"/>
                      <w:bCs w:val="0"/>
                      <w:kern w:val="2"/>
                      <w:sz w:val="21"/>
                      <w:szCs w:val="21"/>
                      <w:highlight w:val="none"/>
                      <w:vertAlign w:val="baseline"/>
                      <w:lang w:val="en-US" w:eastAsia="zh-CN" w:bidi="ar-SA"/>
                    </w:rPr>
                    <w:t>空气</w:t>
                  </w:r>
                  <w:r>
                    <w:rPr>
                      <w:rFonts w:hint="default" w:ascii="Times New Roman" w:hAnsi="Times New Roman" w:eastAsia="宋体" w:cs="Times New Roman"/>
                      <w:b w:val="0"/>
                      <w:bCs w:val="0"/>
                      <w:kern w:val="2"/>
                      <w:sz w:val="21"/>
                      <w:szCs w:val="21"/>
                      <w:highlight w:val="none"/>
                      <w:vertAlign w:val="baseline"/>
                      <w:lang w:val="en-US" w:eastAsia="zh-CN" w:bidi="ar-SA"/>
                    </w:rPr>
                    <w:t>环境</w:t>
                  </w:r>
                  <w:r>
                    <w:rPr>
                      <w:rFonts w:hint="eastAsia" w:ascii="Times New Roman" w:hAnsi="Times New Roman" w:eastAsia="宋体" w:cs="Times New Roman"/>
                      <w:b w:val="0"/>
                      <w:bCs w:val="0"/>
                      <w:kern w:val="2"/>
                      <w:sz w:val="21"/>
                      <w:szCs w:val="21"/>
                      <w:highlight w:val="none"/>
                      <w:vertAlign w:val="baseline"/>
                      <w:lang w:val="en-US" w:eastAsia="zh-CN" w:bidi="ar-SA"/>
                    </w:rPr>
                    <w:t>在全面稳定达标基础上持续改善，臭氧污染得到有效控制</w:t>
                  </w:r>
                  <w:r>
                    <w:rPr>
                      <w:rFonts w:hint="default" w:ascii="Times New Roman" w:hAnsi="Times New Roman" w:eastAsia="宋体" w:cs="Times New Roman"/>
                      <w:b w:val="0"/>
                      <w:bCs w:val="0"/>
                      <w:kern w:val="2"/>
                      <w:sz w:val="21"/>
                      <w:szCs w:val="21"/>
                      <w:highlight w:val="none"/>
                      <w:vertAlign w:val="baseline"/>
                      <w:lang w:val="en-US" w:eastAsia="zh-CN" w:bidi="ar-SA"/>
                    </w:rPr>
                    <w:t>。</w:t>
                  </w:r>
                </w:p>
              </w:tc>
              <w:tc>
                <w:tcPr>
                  <w:tcW w:w="2833" w:type="dxa"/>
                  <w:noWrap w:val="0"/>
                  <w:vAlign w:val="center"/>
                </w:tcPr>
                <w:p w14:paraId="2476878D">
                  <w:pPr>
                    <w:pStyle w:val="31"/>
                    <w:keepNext/>
                    <w:keepLines/>
                    <w:pageBreakBefore w:val="0"/>
                    <w:widowControl w:val="0"/>
                    <w:suppressLineNumbers w:val="0"/>
                    <w:kinsoku/>
                    <w:wordWrap/>
                    <w:overflowPunct/>
                    <w:topLinePunct w:val="0"/>
                    <w:autoSpaceDE/>
                    <w:autoSpaceDN/>
                    <w:bidi w:val="0"/>
                    <w:adjustRightInd/>
                    <w:snapToGrid/>
                    <w:spacing w:before="0" w:beforeAutospacing="0" w:after="0" w:afterAutospacing="0" w:line="288" w:lineRule="auto"/>
                    <w:ind w:left="0" w:leftChars="0" w:right="0" w:firstLine="0" w:firstLineChars="0"/>
                    <w:jc w:val="both"/>
                    <w:textAlignment w:val="auto"/>
                    <w:rPr>
                      <w:rFonts w:hint="default" w:ascii="Times New Roman" w:hAnsi="Times New Roman" w:eastAsia="宋体" w:cs="Times New Roman"/>
                      <w:b w:val="0"/>
                      <w:bCs w:val="0"/>
                      <w:kern w:val="2"/>
                      <w:sz w:val="21"/>
                      <w:szCs w:val="21"/>
                      <w:highlight w:val="none"/>
                      <w:vertAlign w:val="baseline"/>
                      <w:lang w:val="en-US" w:eastAsia="zh-CN" w:bidi="ar-SA"/>
                    </w:rPr>
                  </w:pPr>
                  <w:r>
                    <w:rPr>
                      <w:rFonts w:hint="eastAsia" w:ascii="Times New Roman" w:hAnsi="Times New Roman" w:eastAsia="宋体" w:cs="Times New Roman"/>
                      <w:b w:val="0"/>
                      <w:bCs w:val="0"/>
                      <w:kern w:val="2"/>
                      <w:sz w:val="21"/>
                      <w:szCs w:val="21"/>
                      <w:highlight w:val="none"/>
                      <w:vertAlign w:val="baseline"/>
                      <w:lang w:val="en-US" w:eastAsia="zh-CN" w:bidi="ar-SA"/>
                    </w:rPr>
                    <w:t>项目所在区域</w:t>
                  </w:r>
                  <w:r>
                    <w:rPr>
                      <w:rFonts w:hint="default" w:ascii="Times New Roman" w:hAnsi="Times New Roman" w:eastAsia="宋体" w:cs="Times New Roman"/>
                      <w:b w:val="0"/>
                      <w:bCs w:val="0"/>
                      <w:kern w:val="2"/>
                      <w:sz w:val="21"/>
                      <w:szCs w:val="21"/>
                      <w:highlight w:val="none"/>
                      <w:vertAlign w:val="baseline"/>
                      <w:lang w:val="en-US" w:eastAsia="zh-CN" w:bidi="ar-SA"/>
                    </w:rPr>
                    <w:t>属于环境空气达标区，</w:t>
                  </w:r>
                  <w:r>
                    <w:rPr>
                      <w:rFonts w:hint="eastAsia" w:ascii="Times New Roman" w:hAnsi="Times New Roman" w:eastAsia="宋体" w:cs="Times New Roman"/>
                      <w:b w:val="0"/>
                      <w:bCs w:val="0"/>
                      <w:kern w:val="2"/>
                      <w:sz w:val="21"/>
                      <w:szCs w:val="21"/>
                      <w:highlight w:val="none"/>
                      <w:vertAlign w:val="baseline"/>
                      <w:lang w:val="en-US" w:eastAsia="zh-CN" w:bidi="ar-SA"/>
                    </w:rPr>
                    <w:t>环境空气质量</w:t>
                  </w:r>
                  <w:r>
                    <w:rPr>
                      <w:rFonts w:hint="default" w:ascii="Times New Roman" w:hAnsi="Times New Roman" w:eastAsia="宋体" w:cs="Times New Roman"/>
                      <w:b w:val="0"/>
                      <w:bCs w:val="0"/>
                      <w:kern w:val="2"/>
                      <w:sz w:val="21"/>
                      <w:szCs w:val="21"/>
                      <w:highlight w:val="none"/>
                      <w:vertAlign w:val="baseline"/>
                      <w:lang w:val="en-US" w:eastAsia="zh-CN" w:bidi="ar-SA"/>
                    </w:rPr>
                    <w:t>满足《环境空气质量标准》（GB</w:t>
                  </w:r>
                  <w:r>
                    <w:rPr>
                      <w:rFonts w:hint="default" w:ascii="Times New Roman" w:hAnsi="Times New Roman" w:eastAsia="宋体" w:cs="Times New Roman"/>
                      <w:b w:val="0"/>
                      <w:bCs w:val="0"/>
                      <w:color w:val="auto"/>
                      <w:kern w:val="0"/>
                      <w:sz w:val="21"/>
                      <w:szCs w:val="21"/>
                      <w:highlight w:val="none"/>
                      <w:lang w:val="en-US" w:eastAsia="zh-CN" w:bidi="ar"/>
                    </w:rPr>
                    <w:t>3095-2012）二级标准及修改单要求。本项目废气采取了规范的处理、处置措施，在一定程度上减少了污染物的排放，污染物均能达标排放，排放量较小，对周边大气环境影响有限，可满足大气环境质量底线要求</w:t>
                  </w:r>
                  <w:r>
                    <w:rPr>
                      <w:rFonts w:hint="eastAsia" w:ascii="Times New Roman" w:hAnsi="Times New Roman" w:eastAsia="宋体" w:cs="Times New Roman"/>
                      <w:b w:val="0"/>
                      <w:bCs w:val="0"/>
                      <w:kern w:val="2"/>
                      <w:sz w:val="21"/>
                      <w:szCs w:val="21"/>
                      <w:highlight w:val="none"/>
                      <w:vertAlign w:val="baseline"/>
                      <w:lang w:val="en-US" w:eastAsia="zh-CN" w:bidi="ar-SA"/>
                    </w:rPr>
                    <w:t>。</w:t>
                  </w:r>
                  <w:r>
                    <w:rPr>
                      <w:rFonts w:hint="default" w:ascii="Times New Roman" w:hAnsi="Times New Roman" w:eastAsia="宋体" w:cs="Times New Roman"/>
                      <w:b w:val="0"/>
                      <w:bCs w:val="0"/>
                      <w:kern w:val="2"/>
                      <w:sz w:val="21"/>
                      <w:szCs w:val="21"/>
                      <w:highlight w:val="none"/>
                      <w:vertAlign w:val="baseline"/>
                      <w:lang w:val="en-US" w:eastAsia="zh-CN" w:bidi="ar-SA"/>
                    </w:rPr>
                    <w:t>项目营运过程中各类污染源均可得到有效控制并能做到达标排放，对当地环境质量影响不大。</w:t>
                  </w:r>
                </w:p>
              </w:tc>
              <w:tc>
                <w:tcPr>
                  <w:tcW w:w="523" w:type="dxa"/>
                  <w:noWrap w:val="0"/>
                  <w:vAlign w:val="center"/>
                </w:tcPr>
                <w:p w14:paraId="2F6B7F76">
                  <w:pPr>
                    <w:pStyle w:val="31"/>
                    <w:keepNext/>
                    <w:keepLines/>
                    <w:pageBreakBefore w:val="0"/>
                    <w:widowControl w:val="0"/>
                    <w:suppressLineNumbers w:val="0"/>
                    <w:kinsoku/>
                    <w:wordWrap/>
                    <w:overflowPunct/>
                    <w:topLinePunct w:val="0"/>
                    <w:autoSpaceDE/>
                    <w:autoSpaceDN/>
                    <w:bidi w:val="0"/>
                    <w:adjustRightInd/>
                    <w:snapToGrid/>
                    <w:spacing w:before="0" w:beforeAutospacing="0" w:after="0" w:afterAutospacing="0" w:line="288" w:lineRule="auto"/>
                    <w:ind w:left="0" w:leftChars="0" w:right="0" w:firstLine="0" w:firstLineChars="0"/>
                    <w:jc w:val="center"/>
                    <w:textAlignment w:val="auto"/>
                    <w:rPr>
                      <w:rFonts w:hint="default" w:ascii="Times New Roman" w:hAnsi="Times New Roman" w:eastAsia="宋体" w:cs="Times New Roman"/>
                      <w:b w:val="0"/>
                      <w:bCs w:val="0"/>
                      <w:kern w:val="2"/>
                      <w:sz w:val="21"/>
                      <w:szCs w:val="21"/>
                      <w:highlight w:val="none"/>
                      <w:vertAlign w:val="baseline"/>
                      <w:lang w:val="en-US" w:eastAsia="zh-CN" w:bidi="ar-SA"/>
                    </w:rPr>
                  </w:pPr>
                  <w:r>
                    <w:rPr>
                      <w:rFonts w:hint="eastAsia" w:ascii="Times New Roman" w:hAnsi="Times New Roman" w:eastAsia="宋体" w:cs="Times New Roman"/>
                      <w:b w:val="0"/>
                      <w:bCs w:val="0"/>
                      <w:kern w:val="2"/>
                      <w:sz w:val="21"/>
                      <w:szCs w:val="21"/>
                      <w:highlight w:val="none"/>
                      <w:vertAlign w:val="baseline"/>
                      <w:lang w:val="en-US" w:eastAsia="zh-CN" w:bidi="ar-SA"/>
                    </w:rPr>
                    <w:t>符合</w:t>
                  </w:r>
                </w:p>
              </w:tc>
            </w:tr>
            <w:tr w14:paraId="12445C4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0" w:hRule="atLeast"/>
                <w:jc w:val="center"/>
              </w:trPr>
              <w:tc>
                <w:tcPr>
                  <w:tcW w:w="534" w:type="dxa"/>
                  <w:vMerge w:val="continue"/>
                  <w:noWrap w:val="0"/>
                  <w:vAlign w:val="center"/>
                </w:tcPr>
                <w:p w14:paraId="2169E6C2">
                  <w:pPr>
                    <w:pStyle w:val="31"/>
                    <w:keepNext/>
                    <w:keepLines/>
                    <w:pageBreakBefore w:val="0"/>
                    <w:widowControl w:val="0"/>
                    <w:suppressLineNumbers w:val="0"/>
                    <w:kinsoku/>
                    <w:wordWrap/>
                    <w:overflowPunct/>
                    <w:topLinePunct w:val="0"/>
                    <w:autoSpaceDE/>
                    <w:autoSpaceDN/>
                    <w:bidi w:val="0"/>
                    <w:adjustRightInd/>
                    <w:snapToGrid/>
                    <w:spacing w:before="0" w:beforeAutospacing="0" w:after="0" w:afterAutospacing="0" w:line="288" w:lineRule="auto"/>
                    <w:ind w:left="0" w:leftChars="0" w:right="0" w:firstLine="0" w:firstLineChars="0"/>
                    <w:jc w:val="center"/>
                    <w:textAlignment w:val="auto"/>
                    <w:rPr>
                      <w:rFonts w:hint="default" w:ascii="Times New Roman" w:hAnsi="Times New Roman" w:eastAsia="宋体" w:cs="Times New Roman"/>
                      <w:b w:val="0"/>
                      <w:bCs w:val="0"/>
                      <w:kern w:val="2"/>
                      <w:sz w:val="21"/>
                      <w:szCs w:val="21"/>
                      <w:highlight w:val="none"/>
                      <w:vertAlign w:val="baseline"/>
                      <w:lang w:val="en-US" w:eastAsia="zh-CN" w:bidi="ar-SA"/>
                    </w:rPr>
                  </w:pPr>
                </w:p>
              </w:tc>
              <w:tc>
                <w:tcPr>
                  <w:tcW w:w="622" w:type="dxa"/>
                  <w:noWrap w:val="0"/>
                  <w:vAlign w:val="center"/>
                </w:tcPr>
                <w:p w14:paraId="56D694FC">
                  <w:pPr>
                    <w:pStyle w:val="31"/>
                    <w:keepNext/>
                    <w:keepLines/>
                    <w:pageBreakBefore w:val="0"/>
                    <w:widowControl w:val="0"/>
                    <w:suppressLineNumbers w:val="0"/>
                    <w:kinsoku/>
                    <w:wordWrap/>
                    <w:overflowPunct/>
                    <w:topLinePunct w:val="0"/>
                    <w:autoSpaceDE/>
                    <w:autoSpaceDN/>
                    <w:bidi w:val="0"/>
                    <w:adjustRightInd/>
                    <w:snapToGrid/>
                    <w:spacing w:before="0" w:beforeAutospacing="0" w:after="0" w:afterAutospacing="0" w:line="288" w:lineRule="auto"/>
                    <w:ind w:left="0" w:leftChars="0" w:right="0" w:firstLine="0" w:firstLineChars="0"/>
                    <w:jc w:val="center"/>
                    <w:textAlignment w:val="auto"/>
                    <w:rPr>
                      <w:rFonts w:hint="default" w:ascii="Times New Roman" w:hAnsi="Times New Roman" w:eastAsia="宋体" w:cs="Times New Roman"/>
                      <w:b w:val="0"/>
                      <w:bCs w:val="0"/>
                      <w:kern w:val="2"/>
                      <w:sz w:val="21"/>
                      <w:szCs w:val="21"/>
                      <w:highlight w:val="none"/>
                      <w:vertAlign w:val="baseline"/>
                      <w:lang w:val="en-US" w:eastAsia="zh-CN" w:bidi="ar-SA"/>
                    </w:rPr>
                  </w:pPr>
                  <w:r>
                    <w:rPr>
                      <w:rFonts w:hint="eastAsia" w:ascii="Times New Roman" w:hAnsi="Times New Roman" w:eastAsia="宋体" w:cs="Times New Roman"/>
                      <w:b w:val="0"/>
                      <w:bCs w:val="0"/>
                      <w:kern w:val="2"/>
                      <w:sz w:val="21"/>
                      <w:szCs w:val="21"/>
                      <w:highlight w:val="none"/>
                      <w:vertAlign w:val="baseline"/>
                      <w:lang w:val="en-US" w:eastAsia="zh-CN" w:bidi="ar-SA"/>
                    </w:rPr>
                    <w:t>水环境质量底线</w:t>
                  </w:r>
                </w:p>
              </w:tc>
              <w:tc>
                <w:tcPr>
                  <w:tcW w:w="3527" w:type="dxa"/>
                  <w:noWrap w:val="0"/>
                  <w:vAlign w:val="center"/>
                </w:tcPr>
                <w:p w14:paraId="20E369B3">
                  <w:pPr>
                    <w:pStyle w:val="31"/>
                    <w:keepNext/>
                    <w:keepLines/>
                    <w:pageBreakBefore w:val="0"/>
                    <w:widowControl w:val="0"/>
                    <w:suppressLineNumbers w:val="0"/>
                    <w:kinsoku/>
                    <w:wordWrap/>
                    <w:overflowPunct/>
                    <w:topLinePunct w:val="0"/>
                    <w:autoSpaceDE/>
                    <w:autoSpaceDN/>
                    <w:bidi w:val="0"/>
                    <w:adjustRightInd/>
                    <w:snapToGrid/>
                    <w:spacing w:before="0" w:beforeAutospacing="0" w:after="0" w:afterAutospacing="0" w:line="288" w:lineRule="auto"/>
                    <w:ind w:left="0" w:leftChars="0" w:right="0" w:firstLine="0" w:firstLineChars="0"/>
                    <w:jc w:val="both"/>
                    <w:textAlignment w:val="auto"/>
                    <w:rPr>
                      <w:rFonts w:hint="default" w:ascii="Times New Roman" w:hAnsi="Times New Roman" w:eastAsia="宋体" w:cs="Times New Roman"/>
                      <w:b w:val="0"/>
                      <w:bCs w:val="0"/>
                      <w:kern w:val="2"/>
                      <w:sz w:val="21"/>
                      <w:szCs w:val="21"/>
                      <w:highlight w:val="none"/>
                      <w:vertAlign w:val="baseline"/>
                      <w:lang w:val="en-US" w:eastAsia="zh-CN" w:bidi="ar-SA"/>
                    </w:rPr>
                  </w:pPr>
                  <w:r>
                    <w:rPr>
                      <w:rFonts w:hint="default" w:ascii="Times New Roman" w:hAnsi="Times New Roman" w:eastAsia="宋体" w:cs="Times New Roman"/>
                      <w:b w:val="0"/>
                      <w:bCs w:val="0"/>
                      <w:kern w:val="2"/>
                      <w:sz w:val="21"/>
                      <w:szCs w:val="21"/>
                      <w:highlight w:val="none"/>
                      <w:vertAlign w:val="baseline"/>
                      <w:lang w:val="en-US" w:eastAsia="zh-CN" w:bidi="ar-SA"/>
                    </w:rPr>
                    <w:t>到2020年，</w:t>
                  </w:r>
                  <w:r>
                    <w:rPr>
                      <w:rFonts w:hint="eastAsia" w:ascii="Times New Roman" w:hAnsi="Times New Roman" w:eastAsia="宋体" w:cs="Times New Roman"/>
                      <w:b w:val="0"/>
                      <w:bCs w:val="0"/>
                      <w:kern w:val="2"/>
                      <w:sz w:val="21"/>
                      <w:szCs w:val="21"/>
                      <w:highlight w:val="none"/>
                      <w:vertAlign w:val="baseline"/>
                      <w:lang w:val="en-US" w:eastAsia="zh-CN" w:bidi="ar-SA"/>
                    </w:rPr>
                    <w:t>衢州全市水环境质量进一步改善，浙江“水十条”中确定的全市9个地表水考核断</w:t>
                  </w:r>
                  <w:r>
                    <w:rPr>
                      <w:rFonts w:hint="default" w:ascii="Times New Roman" w:hAnsi="Times New Roman" w:eastAsia="宋体" w:cs="Times New Roman"/>
                      <w:b w:val="0"/>
                      <w:bCs w:val="0"/>
                      <w:kern w:val="2"/>
                      <w:sz w:val="21"/>
                      <w:szCs w:val="21"/>
                      <w:highlight w:val="none"/>
                      <w:vertAlign w:val="baseline"/>
                      <w:lang w:val="en-US" w:eastAsia="zh-CN" w:bidi="ar-SA"/>
                    </w:rPr>
                    <w:t>面</w:t>
                  </w:r>
                  <w:r>
                    <w:rPr>
                      <w:rFonts w:hint="default" w:ascii="Times New Roman" w:hAnsi="Times New Roman" w:eastAsia="微软雅黑" w:cs="Times New Roman"/>
                      <w:b w:val="0"/>
                      <w:bCs w:val="0"/>
                      <w:kern w:val="2"/>
                      <w:sz w:val="21"/>
                      <w:szCs w:val="21"/>
                      <w:highlight w:val="none"/>
                      <w:vertAlign w:val="baseline"/>
                      <w:lang w:val="en-US" w:eastAsia="zh-CN" w:bidi="ar-SA"/>
                    </w:rPr>
                    <w:t>Ⅰ</w:t>
                  </w:r>
                  <w:r>
                    <w:rPr>
                      <w:rFonts w:hint="default" w:ascii="Times New Roman" w:hAnsi="Times New Roman" w:eastAsia="宋体" w:cs="Times New Roman"/>
                      <w:b w:val="0"/>
                      <w:bCs w:val="0"/>
                      <w:kern w:val="2"/>
                      <w:sz w:val="21"/>
                      <w:szCs w:val="21"/>
                      <w:highlight w:val="none"/>
                      <w:vertAlign w:val="baseline"/>
                      <w:lang w:val="en-US" w:eastAsia="zh-CN" w:bidi="ar-SA"/>
                    </w:rPr>
                    <w:t>-</w:t>
                  </w:r>
                  <w:r>
                    <w:rPr>
                      <w:rFonts w:hint="default" w:ascii="Times New Roman" w:hAnsi="Times New Roman" w:eastAsia="微软雅黑" w:cs="Times New Roman"/>
                      <w:b w:val="0"/>
                      <w:bCs w:val="0"/>
                      <w:kern w:val="2"/>
                      <w:sz w:val="21"/>
                      <w:szCs w:val="21"/>
                      <w:highlight w:val="none"/>
                      <w:vertAlign w:val="baseline"/>
                      <w:lang w:val="en-US" w:eastAsia="zh-CN" w:bidi="ar-SA"/>
                    </w:rPr>
                    <w:t>Ⅲ</w:t>
                  </w:r>
                  <w:r>
                    <w:rPr>
                      <w:rFonts w:hint="default" w:ascii="Times New Roman" w:hAnsi="Times New Roman" w:eastAsia="宋体" w:cs="Times New Roman"/>
                      <w:b w:val="0"/>
                      <w:bCs w:val="0"/>
                      <w:kern w:val="2"/>
                      <w:sz w:val="21"/>
                      <w:szCs w:val="21"/>
                      <w:highlight w:val="none"/>
                      <w:vertAlign w:val="baseline"/>
                      <w:lang w:val="en-US" w:eastAsia="zh-CN" w:bidi="ar-SA"/>
                    </w:rPr>
                    <w:t>类</w:t>
                  </w:r>
                  <w:r>
                    <w:rPr>
                      <w:rFonts w:hint="eastAsia" w:ascii="Times New Roman" w:hAnsi="Times New Roman" w:eastAsia="宋体" w:cs="Times New Roman"/>
                      <w:b w:val="0"/>
                      <w:bCs w:val="0"/>
                      <w:kern w:val="2"/>
                      <w:sz w:val="21"/>
                      <w:szCs w:val="21"/>
                      <w:highlight w:val="none"/>
                      <w:vertAlign w:val="baseline"/>
                      <w:lang w:val="en-US" w:eastAsia="zh-CN" w:bidi="ar-SA"/>
                    </w:rPr>
                    <w:t>水质比例达到100</w:t>
                  </w:r>
                  <w:r>
                    <w:rPr>
                      <w:rFonts w:hint="default" w:ascii="Times New Roman" w:hAnsi="Times New Roman" w:eastAsia="宋体" w:cs="Times New Roman"/>
                      <w:b w:val="0"/>
                      <w:bCs w:val="0"/>
                      <w:kern w:val="2"/>
                      <w:sz w:val="21"/>
                      <w:szCs w:val="21"/>
                      <w:highlight w:val="none"/>
                      <w:vertAlign w:val="baseline"/>
                      <w:lang w:val="en-US" w:eastAsia="zh-CN" w:bidi="ar-SA"/>
                    </w:rPr>
                    <w:t>%</w:t>
                  </w:r>
                  <w:r>
                    <w:rPr>
                      <w:rFonts w:hint="eastAsia" w:ascii="Times New Roman" w:hAnsi="Times New Roman" w:eastAsia="宋体" w:cs="Times New Roman"/>
                      <w:b w:val="0"/>
                      <w:bCs w:val="0"/>
                      <w:kern w:val="2"/>
                      <w:sz w:val="21"/>
                      <w:szCs w:val="21"/>
                      <w:highlight w:val="none"/>
                      <w:vertAlign w:val="baseline"/>
                      <w:lang w:val="en-US" w:eastAsia="zh-CN" w:bidi="ar-SA"/>
                    </w:rPr>
                    <w:t>；饮用水安全保障水平持续提升，城市集中式饮用水水源地水质稳定达标，地下水水质保持稳定</w:t>
                  </w:r>
                  <w:r>
                    <w:rPr>
                      <w:rFonts w:hint="default" w:ascii="Times New Roman" w:hAnsi="Times New Roman" w:eastAsia="宋体" w:cs="Times New Roman"/>
                      <w:b w:val="0"/>
                      <w:bCs w:val="0"/>
                      <w:kern w:val="2"/>
                      <w:sz w:val="21"/>
                      <w:szCs w:val="21"/>
                      <w:highlight w:val="none"/>
                      <w:vertAlign w:val="baseline"/>
                      <w:lang w:val="en-US" w:eastAsia="zh-CN" w:bidi="ar-SA"/>
                    </w:rPr>
                    <w:t>。</w:t>
                  </w:r>
                </w:p>
                <w:p w14:paraId="10A97A0F">
                  <w:pPr>
                    <w:pStyle w:val="31"/>
                    <w:keepNext/>
                    <w:keepLines/>
                    <w:pageBreakBefore w:val="0"/>
                    <w:widowControl w:val="0"/>
                    <w:suppressLineNumbers w:val="0"/>
                    <w:kinsoku/>
                    <w:wordWrap/>
                    <w:overflowPunct/>
                    <w:topLinePunct w:val="0"/>
                    <w:autoSpaceDE/>
                    <w:autoSpaceDN/>
                    <w:bidi w:val="0"/>
                    <w:adjustRightInd/>
                    <w:snapToGrid/>
                    <w:spacing w:before="0" w:beforeAutospacing="0" w:after="0" w:afterAutospacing="0" w:line="288" w:lineRule="auto"/>
                    <w:ind w:left="0" w:leftChars="0" w:right="0" w:firstLine="0" w:firstLineChars="0"/>
                    <w:jc w:val="both"/>
                    <w:textAlignment w:val="auto"/>
                    <w:rPr>
                      <w:rFonts w:hint="default" w:ascii="Times New Roman" w:hAnsi="Times New Roman" w:eastAsia="宋体" w:cs="Times New Roman"/>
                      <w:b w:val="0"/>
                      <w:bCs w:val="0"/>
                      <w:kern w:val="2"/>
                      <w:sz w:val="21"/>
                      <w:szCs w:val="21"/>
                      <w:highlight w:val="none"/>
                      <w:vertAlign w:val="baseline"/>
                      <w:lang w:val="en-US" w:eastAsia="zh-CN" w:bidi="ar-SA"/>
                    </w:rPr>
                  </w:pPr>
                  <w:r>
                    <w:rPr>
                      <w:rFonts w:hint="default" w:ascii="Times New Roman" w:hAnsi="Times New Roman" w:eastAsia="宋体" w:cs="Times New Roman"/>
                      <w:b w:val="0"/>
                      <w:bCs w:val="0"/>
                      <w:kern w:val="2"/>
                      <w:sz w:val="21"/>
                      <w:szCs w:val="21"/>
                      <w:highlight w:val="none"/>
                      <w:vertAlign w:val="baseline"/>
                      <w:lang w:val="en-US" w:eastAsia="zh-CN" w:bidi="ar-SA"/>
                    </w:rPr>
                    <w:t>到2025年，</w:t>
                  </w:r>
                  <w:r>
                    <w:rPr>
                      <w:rFonts w:hint="eastAsia" w:ascii="Times New Roman" w:hAnsi="Times New Roman" w:eastAsia="宋体" w:cs="Times New Roman"/>
                      <w:b w:val="0"/>
                      <w:bCs w:val="0"/>
                      <w:kern w:val="2"/>
                      <w:sz w:val="21"/>
                      <w:szCs w:val="21"/>
                      <w:highlight w:val="none"/>
                      <w:vertAlign w:val="baseline"/>
                      <w:lang w:val="en-US" w:eastAsia="zh-CN" w:bidi="ar-SA"/>
                    </w:rPr>
                    <w:t>全市水环境质量总体改善，水生态系统功能基本恢复</w:t>
                  </w:r>
                  <w:r>
                    <w:rPr>
                      <w:rFonts w:hint="default" w:ascii="Times New Roman" w:hAnsi="Times New Roman" w:eastAsia="宋体" w:cs="Times New Roman"/>
                      <w:b w:val="0"/>
                      <w:bCs w:val="0"/>
                      <w:kern w:val="2"/>
                      <w:sz w:val="21"/>
                      <w:szCs w:val="21"/>
                      <w:highlight w:val="none"/>
                      <w:vertAlign w:val="baseline"/>
                      <w:lang w:val="en-US" w:eastAsia="zh-CN" w:bidi="ar-SA"/>
                    </w:rPr>
                    <w:t>。</w:t>
                  </w:r>
                </w:p>
                <w:p w14:paraId="6A4A29D2">
                  <w:pPr>
                    <w:pStyle w:val="31"/>
                    <w:keepNext/>
                    <w:keepLines/>
                    <w:pageBreakBefore w:val="0"/>
                    <w:widowControl w:val="0"/>
                    <w:suppressLineNumbers w:val="0"/>
                    <w:kinsoku/>
                    <w:wordWrap/>
                    <w:overflowPunct/>
                    <w:topLinePunct w:val="0"/>
                    <w:autoSpaceDE/>
                    <w:autoSpaceDN/>
                    <w:bidi w:val="0"/>
                    <w:adjustRightInd/>
                    <w:snapToGrid/>
                    <w:spacing w:before="0" w:beforeAutospacing="0" w:after="0" w:afterAutospacing="0" w:line="288" w:lineRule="auto"/>
                    <w:ind w:left="0" w:leftChars="0" w:right="0" w:firstLine="0" w:firstLineChars="0"/>
                    <w:jc w:val="both"/>
                    <w:textAlignment w:val="auto"/>
                    <w:rPr>
                      <w:rFonts w:hint="default" w:ascii="Times New Roman" w:hAnsi="Times New Roman" w:eastAsia="宋体" w:cs="Times New Roman"/>
                      <w:b w:val="0"/>
                      <w:bCs w:val="0"/>
                      <w:kern w:val="2"/>
                      <w:sz w:val="21"/>
                      <w:szCs w:val="21"/>
                      <w:highlight w:val="none"/>
                      <w:vertAlign w:val="baseline"/>
                      <w:lang w:val="en-US" w:eastAsia="zh-CN" w:bidi="ar-SA"/>
                    </w:rPr>
                  </w:pPr>
                  <w:r>
                    <w:rPr>
                      <w:rFonts w:hint="default" w:ascii="Times New Roman" w:hAnsi="Times New Roman" w:eastAsia="宋体" w:cs="Times New Roman"/>
                      <w:b w:val="0"/>
                      <w:bCs w:val="0"/>
                      <w:kern w:val="2"/>
                      <w:sz w:val="21"/>
                      <w:szCs w:val="21"/>
                      <w:highlight w:val="none"/>
                      <w:vertAlign w:val="baseline"/>
                      <w:lang w:val="en-US" w:eastAsia="zh-CN" w:bidi="ar-SA"/>
                    </w:rPr>
                    <w:t>到2035年，全市水环境质量</w:t>
                  </w:r>
                  <w:r>
                    <w:rPr>
                      <w:rFonts w:hint="eastAsia" w:ascii="Times New Roman" w:hAnsi="Times New Roman" w:eastAsia="宋体" w:cs="Times New Roman"/>
                      <w:b w:val="0"/>
                      <w:bCs w:val="0"/>
                      <w:kern w:val="2"/>
                      <w:sz w:val="21"/>
                      <w:szCs w:val="21"/>
                      <w:highlight w:val="none"/>
                      <w:vertAlign w:val="baseline"/>
                      <w:lang w:val="en-US" w:eastAsia="zh-CN" w:bidi="ar-SA"/>
                    </w:rPr>
                    <w:t>全面</w:t>
                  </w:r>
                  <w:r>
                    <w:rPr>
                      <w:rFonts w:hint="default" w:ascii="Times New Roman" w:hAnsi="Times New Roman" w:eastAsia="宋体" w:cs="Times New Roman"/>
                      <w:b w:val="0"/>
                      <w:bCs w:val="0"/>
                      <w:kern w:val="2"/>
                      <w:sz w:val="21"/>
                      <w:szCs w:val="21"/>
                      <w:highlight w:val="none"/>
                      <w:vertAlign w:val="baseline"/>
                      <w:lang w:val="en-US" w:eastAsia="zh-CN" w:bidi="ar-SA"/>
                    </w:rPr>
                    <w:t>改善，水生态系统</w:t>
                  </w:r>
                  <w:r>
                    <w:rPr>
                      <w:rFonts w:hint="eastAsia" w:ascii="Times New Roman" w:hAnsi="Times New Roman" w:eastAsia="宋体" w:cs="Times New Roman"/>
                      <w:b w:val="0"/>
                      <w:bCs w:val="0"/>
                      <w:kern w:val="2"/>
                      <w:sz w:val="21"/>
                      <w:szCs w:val="21"/>
                      <w:highlight w:val="none"/>
                      <w:vertAlign w:val="baseline"/>
                      <w:lang w:val="en-US" w:eastAsia="zh-CN" w:bidi="ar-SA"/>
                    </w:rPr>
                    <w:t>实现良性循环</w:t>
                  </w:r>
                  <w:r>
                    <w:rPr>
                      <w:rFonts w:hint="default" w:ascii="Times New Roman" w:hAnsi="Times New Roman" w:eastAsia="宋体" w:cs="Times New Roman"/>
                      <w:b w:val="0"/>
                      <w:bCs w:val="0"/>
                      <w:kern w:val="2"/>
                      <w:sz w:val="21"/>
                      <w:szCs w:val="21"/>
                      <w:highlight w:val="none"/>
                      <w:vertAlign w:val="baseline"/>
                      <w:lang w:val="en-US" w:eastAsia="zh-CN" w:bidi="ar-SA"/>
                    </w:rPr>
                    <w:t>。</w:t>
                  </w:r>
                </w:p>
              </w:tc>
              <w:tc>
                <w:tcPr>
                  <w:tcW w:w="2833" w:type="dxa"/>
                  <w:noWrap w:val="0"/>
                  <w:vAlign w:val="center"/>
                </w:tcPr>
                <w:p w14:paraId="643814DE">
                  <w:pPr>
                    <w:pStyle w:val="31"/>
                    <w:keepNext/>
                    <w:keepLines/>
                    <w:pageBreakBefore w:val="0"/>
                    <w:widowControl w:val="0"/>
                    <w:suppressLineNumbers w:val="0"/>
                    <w:kinsoku/>
                    <w:wordWrap/>
                    <w:overflowPunct/>
                    <w:topLinePunct w:val="0"/>
                    <w:autoSpaceDE/>
                    <w:autoSpaceDN/>
                    <w:bidi w:val="0"/>
                    <w:adjustRightInd/>
                    <w:snapToGrid/>
                    <w:spacing w:before="0" w:beforeAutospacing="0" w:after="0" w:afterAutospacing="0" w:line="288" w:lineRule="auto"/>
                    <w:ind w:left="0" w:leftChars="0" w:right="0" w:firstLine="0" w:firstLineChars="0"/>
                    <w:jc w:val="both"/>
                    <w:textAlignment w:val="auto"/>
                    <w:rPr>
                      <w:rFonts w:hint="default" w:ascii="Times New Roman" w:hAnsi="Times New Roman" w:eastAsia="宋体" w:cs="Times New Roman"/>
                      <w:b w:val="0"/>
                      <w:bCs w:val="0"/>
                      <w:kern w:val="2"/>
                      <w:sz w:val="21"/>
                      <w:szCs w:val="21"/>
                      <w:highlight w:val="none"/>
                      <w:vertAlign w:val="baseline"/>
                      <w:lang w:val="en-US" w:eastAsia="zh-CN" w:bidi="ar-SA"/>
                    </w:rPr>
                  </w:pPr>
                  <w:r>
                    <w:rPr>
                      <w:rFonts w:hint="default" w:ascii="Times New Roman" w:hAnsi="Times New Roman" w:eastAsia="宋体" w:cs="Times New Roman"/>
                      <w:b w:val="0"/>
                      <w:bCs w:val="0"/>
                      <w:kern w:val="2"/>
                      <w:sz w:val="21"/>
                      <w:szCs w:val="21"/>
                      <w:highlight w:val="none"/>
                      <w:vertAlign w:val="baseline"/>
                      <w:lang w:val="en-US" w:eastAsia="zh-CN" w:bidi="ar-SA"/>
                    </w:rPr>
                    <w:t>根据引用的监测数据，项目附近</w:t>
                  </w:r>
                  <w:r>
                    <w:rPr>
                      <w:rFonts w:hint="eastAsia" w:ascii="Times New Roman" w:hAnsi="Times New Roman" w:eastAsia="宋体" w:cs="Times New Roman"/>
                      <w:b w:val="0"/>
                      <w:bCs w:val="0"/>
                      <w:kern w:val="2"/>
                      <w:sz w:val="21"/>
                      <w:szCs w:val="21"/>
                      <w:highlight w:val="none"/>
                      <w:vertAlign w:val="baseline"/>
                      <w:lang w:val="en-US" w:eastAsia="zh-CN" w:bidi="ar-SA"/>
                    </w:rPr>
                    <w:t>地表</w:t>
                  </w:r>
                  <w:r>
                    <w:rPr>
                      <w:rFonts w:hint="default" w:ascii="Times New Roman" w:hAnsi="Times New Roman" w:eastAsia="宋体" w:cs="Times New Roman"/>
                      <w:b w:val="0"/>
                      <w:bCs w:val="0"/>
                      <w:kern w:val="2"/>
                      <w:sz w:val="21"/>
                      <w:szCs w:val="21"/>
                      <w:highlight w:val="none"/>
                      <w:vertAlign w:val="baseline"/>
                      <w:lang w:val="en-US" w:eastAsia="zh-CN" w:bidi="ar-SA"/>
                    </w:rPr>
                    <w:t>水体的现状水质指标稳定达到《地表水环境质量标准》（GB3838-2002）中的</w:t>
                  </w:r>
                  <w:r>
                    <w:rPr>
                      <w:rFonts w:hint="default" w:ascii="Times New Roman" w:hAnsi="Times New Roman" w:eastAsia="隶书" w:cs="Times New Roman"/>
                      <w:b w:val="0"/>
                      <w:bCs w:val="0"/>
                      <w:kern w:val="2"/>
                      <w:sz w:val="21"/>
                      <w:szCs w:val="21"/>
                      <w:highlight w:val="none"/>
                      <w:vertAlign w:val="baseline"/>
                      <w:lang w:val="en-US" w:eastAsia="zh-CN" w:bidi="ar-SA"/>
                    </w:rPr>
                    <w:t>Ⅲ</w:t>
                  </w:r>
                  <w:r>
                    <w:rPr>
                      <w:rFonts w:hint="default" w:ascii="Times New Roman" w:hAnsi="Times New Roman" w:eastAsia="宋体" w:cs="Times New Roman"/>
                      <w:b w:val="0"/>
                      <w:bCs w:val="0"/>
                      <w:kern w:val="2"/>
                      <w:sz w:val="21"/>
                      <w:szCs w:val="21"/>
                      <w:highlight w:val="none"/>
                      <w:vertAlign w:val="baseline"/>
                      <w:lang w:val="en-US" w:eastAsia="zh-CN" w:bidi="ar-SA"/>
                    </w:rPr>
                    <w:t>类标准，地表水环境质量现状较好。项目</w:t>
                  </w:r>
                  <w:r>
                    <w:rPr>
                      <w:rFonts w:hint="default" w:ascii="Times New Roman" w:hAnsi="Times New Roman" w:eastAsia="宋体" w:cs="Times New Roman"/>
                      <w:b w:val="0"/>
                      <w:bCs w:val="0"/>
                      <w:color w:val="auto"/>
                      <w:kern w:val="0"/>
                      <w:sz w:val="21"/>
                      <w:szCs w:val="21"/>
                      <w:highlight w:val="none"/>
                      <w:lang w:val="en-US" w:eastAsia="zh-CN" w:bidi="ar"/>
                    </w:rPr>
                    <w:t>废水纳管外排，对周边地表水体影响很小，不会造成现状水环境质量恶化，可满足水环境质量底线要求</w:t>
                  </w:r>
                  <w:r>
                    <w:rPr>
                      <w:rFonts w:hint="default" w:ascii="Times New Roman" w:hAnsi="Times New Roman" w:eastAsia="宋体" w:cs="Times New Roman"/>
                      <w:b w:val="0"/>
                      <w:bCs w:val="0"/>
                      <w:kern w:val="2"/>
                      <w:sz w:val="21"/>
                      <w:szCs w:val="21"/>
                      <w:highlight w:val="none"/>
                      <w:vertAlign w:val="baseline"/>
                      <w:lang w:val="en-US" w:eastAsia="zh-CN" w:bidi="ar-SA"/>
                    </w:rPr>
                    <w:t>。</w:t>
                  </w:r>
                </w:p>
              </w:tc>
              <w:tc>
                <w:tcPr>
                  <w:tcW w:w="523" w:type="dxa"/>
                  <w:noWrap w:val="0"/>
                  <w:vAlign w:val="center"/>
                </w:tcPr>
                <w:p w14:paraId="3A77BEEE">
                  <w:pPr>
                    <w:pStyle w:val="31"/>
                    <w:keepNext/>
                    <w:keepLines/>
                    <w:pageBreakBefore w:val="0"/>
                    <w:widowControl w:val="0"/>
                    <w:suppressLineNumbers w:val="0"/>
                    <w:kinsoku/>
                    <w:wordWrap/>
                    <w:overflowPunct/>
                    <w:topLinePunct w:val="0"/>
                    <w:autoSpaceDE/>
                    <w:autoSpaceDN/>
                    <w:bidi w:val="0"/>
                    <w:adjustRightInd/>
                    <w:snapToGrid/>
                    <w:spacing w:before="0" w:beforeAutospacing="0" w:after="0" w:afterAutospacing="0" w:line="288" w:lineRule="auto"/>
                    <w:ind w:left="0" w:leftChars="0" w:right="0" w:firstLine="0" w:firstLineChars="0"/>
                    <w:jc w:val="center"/>
                    <w:textAlignment w:val="auto"/>
                    <w:rPr>
                      <w:rFonts w:hint="default" w:ascii="Times New Roman" w:hAnsi="Times New Roman" w:eastAsia="宋体" w:cs="Times New Roman"/>
                      <w:b w:val="0"/>
                      <w:bCs w:val="0"/>
                      <w:kern w:val="2"/>
                      <w:sz w:val="21"/>
                      <w:szCs w:val="21"/>
                      <w:highlight w:val="none"/>
                      <w:vertAlign w:val="baseline"/>
                      <w:lang w:val="en-US" w:eastAsia="zh-CN" w:bidi="ar-SA"/>
                    </w:rPr>
                  </w:pPr>
                  <w:r>
                    <w:rPr>
                      <w:rFonts w:hint="eastAsia" w:ascii="Times New Roman" w:hAnsi="Times New Roman" w:eastAsia="宋体" w:cs="Times New Roman"/>
                      <w:b w:val="0"/>
                      <w:bCs w:val="0"/>
                      <w:kern w:val="2"/>
                      <w:sz w:val="21"/>
                      <w:szCs w:val="21"/>
                      <w:highlight w:val="none"/>
                      <w:vertAlign w:val="baseline"/>
                      <w:lang w:val="en-US" w:eastAsia="zh-CN" w:bidi="ar-SA"/>
                    </w:rPr>
                    <w:t>符合</w:t>
                  </w:r>
                </w:p>
              </w:tc>
            </w:tr>
            <w:tr w14:paraId="77E7BD6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0" w:hRule="atLeast"/>
                <w:jc w:val="center"/>
              </w:trPr>
              <w:tc>
                <w:tcPr>
                  <w:tcW w:w="534" w:type="dxa"/>
                  <w:vMerge w:val="continue"/>
                  <w:noWrap w:val="0"/>
                  <w:vAlign w:val="center"/>
                </w:tcPr>
                <w:p w14:paraId="3462DFBE">
                  <w:pPr>
                    <w:pStyle w:val="31"/>
                    <w:keepNext/>
                    <w:keepLines/>
                    <w:pageBreakBefore w:val="0"/>
                    <w:widowControl w:val="0"/>
                    <w:suppressLineNumbers w:val="0"/>
                    <w:kinsoku/>
                    <w:wordWrap/>
                    <w:overflowPunct/>
                    <w:topLinePunct w:val="0"/>
                    <w:autoSpaceDE/>
                    <w:autoSpaceDN/>
                    <w:bidi w:val="0"/>
                    <w:adjustRightInd/>
                    <w:snapToGrid/>
                    <w:spacing w:before="0" w:beforeAutospacing="0" w:after="0" w:afterAutospacing="0" w:line="288" w:lineRule="auto"/>
                    <w:ind w:left="0" w:leftChars="0" w:right="0" w:firstLine="0" w:firstLineChars="0"/>
                    <w:jc w:val="center"/>
                    <w:textAlignment w:val="auto"/>
                    <w:rPr>
                      <w:rFonts w:hint="default" w:ascii="Times New Roman" w:hAnsi="Times New Roman" w:eastAsia="宋体" w:cs="Times New Roman"/>
                      <w:b w:val="0"/>
                      <w:bCs w:val="0"/>
                      <w:kern w:val="2"/>
                      <w:sz w:val="21"/>
                      <w:szCs w:val="21"/>
                      <w:highlight w:val="none"/>
                      <w:vertAlign w:val="baseline"/>
                      <w:lang w:val="en-US" w:eastAsia="zh-CN" w:bidi="ar-SA"/>
                    </w:rPr>
                  </w:pPr>
                </w:p>
              </w:tc>
              <w:tc>
                <w:tcPr>
                  <w:tcW w:w="622" w:type="dxa"/>
                  <w:noWrap w:val="0"/>
                  <w:vAlign w:val="center"/>
                </w:tcPr>
                <w:p w14:paraId="038CFBAF">
                  <w:pPr>
                    <w:pStyle w:val="31"/>
                    <w:keepNext/>
                    <w:keepLines/>
                    <w:pageBreakBefore w:val="0"/>
                    <w:widowControl w:val="0"/>
                    <w:suppressLineNumbers w:val="0"/>
                    <w:kinsoku/>
                    <w:wordWrap/>
                    <w:overflowPunct/>
                    <w:topLinePunct w:val="0"/>
                    <w:autoSpaceDE/>
                    <w:autoSpaceDN/>
                    <w:bidi w:val="0"/>
                    <w:adjustRightInd/>
                    <w:snapToGrid/>
                    <w:spacing w:before="0" w:beforeAutospacing="0" w:after="0" w:afterAutospacing="0" w:line="288" w:lineRule="auto"/>
                    <w:ind w:left="0" w:leftChars="0" w:right="0" w:firstLine="0" w:firstLineChars="0"/>
                    <w:jc w:val="center"/>
                    <w:textAlignment w:val="auto"/>
                    <w:rPr>
                      <w:rFonts w:hint="default" w:ascii="Times New Roman" w:hAnsi="Times New Roman" w:eastAsia="宋体" w:cs="Times New Roman"/>
                      <w:b w:val="0"/>
                      <w:bCs w:val="0"/>
                      <w:kern w:val="2"/>
                      <w:sz w:val="21"/>
                      <w:szCs w:val="21"/>
                      <w:highlight w:val="none"/>
                      <w:vertAlign w:val="baseline"/>
                      <w:lang w:val="en-US" w:eastAsia="zh-CN" w:bidi="ar-SA"/>
                    </w:rPr>
                  </w:pPr>
                  <w:r>
                    <w:rPr>
                      <w:rFonts w:hint="eastAsia" w:ascii="Times New Roman" w:hAnsi="Times New Roman" w:eastAsia="宋体" w:cs="Times New Roman"/>
                      <w:b w:val="0"/>
                      <w:bCs w:val="0"/>
                      <w:kern w:val="2"/>
                      <w:sz w:val="21"/>
                      <w:szCs w:val="21"/>
                      <w:highlight w:val="none"/>
                      <w:vertAlign w:val="baseline"/>
                      <w:lang w:val="en-US" w:eastAsia="zh-CN" w:bidi="ar-SA"/>
                    </w:rPr>
                    <w:t>土壤环境风险防控底线</w:t>
                  </w:r>
                </w:p>
              </w:tc>
              <w:tc>
                <w:tcPr>
                  <w:tcW w:w="3527" w:type="dxa"/>
                  <w:noWrap w:val="0"/>
                  <w:vAlign w:val="center"/>
                </w:tcPr>
                <w:p w14:paraId="2B9F59CA">
                  <w:pPr>
                    <w:pStyle w:val="31"/>
                    <w:keepNext/>
                    <w:keepLines/>
                    <w:pageBreakBefore w:val="0"/>
                    <w:widowControl w:val="0"/>
                    <w:suppressLineNumbers w:val="0"/>
                    <w:kinsoku/>
                    <w:wordWrap/>
                    <w:overflowPunct/>
                    <w:topLinePunct w:val="0"/>
                    <w:autoSpaceDE/>
                    <w:autoSpaceDN/>
                    <w:bidi w:val="0"/>
                    <w:adjustRightInd/>
                    <w:snapToGrid/>
                    <w:spacing w:before="0" w:beforeAutospacing="0" w:after="0" w:afterAutospacing="0" w:line="288" w:lineRule="auto"/>
                    <w:ind w:left="0" w:leftChars="0" w:right="0" w:firstLine="0" w:firstLineChars="0"/>
                    <w:jc w:val="both"/>
                    <w:textAlignment w:val="auto"/>
                    <w:rPr>
                      <w:rFonts w:hint="default" w:ascii="Times New Roman" w:hAnsi="Times New Roman" w:eastAsia="宋体" w:cs="Times New Roman"/>
                      <w:b w:val="0"/>
                      <w:bCs w:val="0"/>
                      <w:kern w:val="2"/>
                      <w:sz w:val="21"/>
                      <w:szCs w:val="21"/>
                      <w:highlight w:val="none"/>
                      <w:vertAlign w:val="baseline"/>
                      <w:lang w:val="en-US" w:eastAsia="zh-CN" w:bidi="ar-SA"/>
                    </w:rPr>
                  </w:pPr>
                  <w:r>
                    <w:rPr>
                      <w:rFonts w:hint="default" w:ascii="Times New Roman" w:hAnsi="Times New Roman" w:eastAsia="宋体" w:cs="Times New Roman"/>
                      <w:b w:val="0"/>
                      <w:bCs w:val="0"/>
                      <w:kern w:val="2"/>
                      <w:sz w:val="21"/>
                      <w:szCs w:val="21"/>
                      <w:highlight w:val="none"/>
                      <w:vertAlign w:val="baseline"/>
                      <w:lang w:val="en-US" w:eastAsia="zh-CN" w:bidi="ar-SA"/>
                    </w:rPr>
                    <w:t>到2020年，全市土壤环境质量总体保持稳定，农用地和建设用地土壤环境安全得到基本保障，土壤环境风险得到基本管控，</w:t>
                  </w:r>
                  <w:r>
                    <w:rPr>
                      <w:rFonts w:hint="eastAsia" w:ascii="Times New Roman" w:hAnsi="Times New Roman" w:eastAsia="宋体" w:cs="Times New Roman"/>
                      <w:b w:val="0"/>
                      <w:bCs w:val="0"/>
                      <w:kern w:val="2"/>
                      <w:sz w:val="21"/>
                      <w:szCs w:val="21"/>
                      <w:highlight w:val="none"/>
                      <w:vertAlign w:val="baseline"/>
                      <w:lang w:val="en-US" w:eastAsia="zh-CN" w:bidi="ar-SA"/>
                    </w:rPr>
                    <w:t>完成轻度和中度污染耕地治理修复任务，</w:t>
                  </w:r>
                  <w:r>
                    <w:rPr>
                      <w:rFonts w:hint="default" w:ascii="Times New Roman" w:hAnsi="Times New Roman" w:eastAsia="宋体" w:cs="Times New Roman"/>
                      <w:b w:val="0"/>
                      <w:bCs w:val="0"/>
                      <w:kern w:val="2"/>
                      <w:sz w:val="21"/>
                      <w:szCs w:val="21"/>
                      <w:highlight w:val="none"/>
                      <w:vertAlign w:val="baseline"/>
                      <w:lang w:val="en-US" w:eastAsia="zh-CN" w:bidi="ar-SA"/>
                    </w:rPr>
                    <w:t>受污染耕地安全利用率达到92%左右，污染地块安全利用率达到9</w:t>
                  </w:r>
                  <w:r>
                    <w:rPr>
                      <w:rFonts w:hint="eastAsia" w:ascii="Times New Roman" w:hAnsi="Times New Roman" w:eastAsia="宋体" w:cs="Times New Roman"/>
                      <w:b w:val="0"/>
                      <w:bCs w:val="0"/>
                      <w:kern w:val="2"/>
                      <w:sz w:val="21"/>
                      <w:szCs w:val="21"/>
                      <w:highlight w:val="none"/>
                      <w:vertAlign w:val="baseline"/>
                      <w:lang w:val="en-US" w:eastAsia="zh-CN" w:bidi="ar-SA"/>
                    </w:rPr>
                    <w:t>2</w:t>
                  </w:r>
                  <w:r>
                    <w:rPr>
                      <w:rFonts w:hint="default" w:ascii="Times New Roman" w:hAnsi="Times New Roman" w:eastAsia="宋体" w:cs="Times New Roman"/>
                      <w:b w:val="0"/>
                      <w:bCs w:val="0"/>
                      <w:kern w:val="2"/>
                      <w:sz w:val="21"/>
                      <w:szCs w:val="21"/>
                      <w:highlight w:val="none"/>
                      <w:vertAlign w:val="baseline"/>
                      <w:lang w:val="en-US" w:eastAsia="zh-CN" w:bidi="ar-SA"/>
                    </w:rPr>
                    <w:t>%以上。</w:t>
                  </w:r>
                </w:p>
                <w:p w14:paraId="0FC668D2">
                  <w:pPr>
                    <w:pStyle w:val="31"/>
                    <w:keepNext/>
                    <w:keepLines/>
                    <w:pageBreakBefore w:val="0"/>
                    <w:widowControl w:val="0"/>
                    <w:suppressLineNumbers w:val="0"/>
                    <w:kinsoku/>
                    <w:wordWrap/>
                    <w:overflowPunct/>
                    <w:topLinePunct w:val="0"/>
                    <w:autoSpaceDE/>
                    <w:autoSpaceDN/>
                    <w:bidi w:val="0"/>
                    <w:adjustRightInd/>
                    <w:snapToGrid/>
                    <w:spacing w:before="0" w:beforeAutospacing="0" w:after="0" w:afterAutospacing="0" w:line="288" w:lineRule="auto"/>
                    <w:ind w:left="0" w:leftChars="0" w:right="0" w:firstLine="0" w:firstLineChars="0"/>
                    <w:jc w:val="both"/>
                    <w:textAlignment w:val="auto"/>
                    <w:rPr>
                      <w:rFonts w:hint="default" w:ascii="Times New Roman" w:hAnsi="Times New Roman" w:eastAsia="宋体" w:cs="Times New Roman"/>
                      <w:b w:val="0"/>
                      <w:bCs w:val="0"/>
                      <w:kern w:val="2"/>
                      <w:sz w:val="21"/>
                      <w:szCs w:val="21"/>
                      <w:highlight w:val="none"/>
                      <w:vertAlign w:val="baseline"/>
                      <w:lang w:val="en-US" w:eastAsia="zh-CN" w:bidi="ar-SA"/>
                    </w:rPr>
                  </w:pPr>
                  <w:r>
                    <w:rPr>
                      <w:rFonts w:hint="default" w:ascii="Times New Roman" w:hAnsi="Times New Roman" w:eastAsia="宋体" w:cs="Times New Roman"/>
                      <w:b w:val="0"/>
                      <w:bCs w:val="0"/>
                      <w:kern w:val="2"/>
                      <w:sz w:val="21"/>
                      <w:szCs w:val="21"/>
                      <w:highlight w:val="none"/>
                      <w:vertAlign w:val="baseline"/>
                      <w:lang w:val="en-US" w:eastAsia="zh-CN" w:bidi="ar-SA"/>
                    </w:rPr>
                    <w:t>到2025年，土壤环境质量稳中向好，受污染耕地安全利用率</w:t>
                  </w:r>
                  <w:r>
                    <w:rPr>
                      <w:rFonts w:hint="eastAsia" w:ascii="Times New Roman" w:hAnsi="Times New Roman" w:eastAsia="宋体" w:cs="Times New Roman"/>
                      <w:b w:val="0"/>
                      <w:bCs w:val="0"/>
                      <w:kern w:val="2"/>
                      <w:sz w:val="21"/>
                      <w:szCs w:val="21"/>
                      <w:highlight w:val="none"/>
                      <w:vertAlign w:val="baseline"/>
                      <w:lang w:val="en-US" w:eastAsia="zh-CN" w:bidi="ar-SA"/>
                    </w:rPr>
                    <w:t>、</w:t>
                  </w:r>
                  <w:r>
                    <w:rPr>
                      <w:rFonts w:hint="default" w:ascii="Times New Roman" w:hAnsi="Times New Roman" w:eastAsia="宋体" w:cs="Times New Roman"/>
                      <w:b w:val="0"/>
                      <w:bCs w:val="0"/>
                      <w:kern w:val="2"/>
                      <w:sz w:val="21"/>
                      <w:szCs w:val="21"/>
                      <w:highlight w:val="none"/>
                      <w:vertAlign w:val="baseline"/>
                      <w:lang w:val="en-US" w:eastAsia="zh-CN" w:bidi="ar-SA"/>
                    </w:rPr>
                    <w:t>污染地块安全利用率达到92%以上。</w:t>
                  </w:r>
                </w:p>
                <w:p w14:paraId="275C518B">
                  <w:pPr>
                    <w:pStyle w:val="31"/>
                    <w:keepNext/>
                    <w:keepLines/>
                    <w:pageBreakBefore w:val="0"/>
                    <w:widowControl w:val="0"/>
                    <w:suppressLineNumbers w:val="0"/>
                    <w:kinsoku/>
                    <w:wordWrap/>
                    <w:overflowPunct/>
                    <w:topLinePunct w:val="0"/>
                    <w:autoSpaceDE/>
                    <w:autoSpaceDN/>
                    <w:bidi w:val="0"/>
                    <w:adjustRightInd/>
                    <w:snapToGrid/>
                    <w:spacing w:before="0" w:beforeAutospacing="0" w:after="0" w:afterAutospacing="0" w:line="288" w:lineRule="auto"/>
                    <w:ind w:left="0" w:leftChars="0" w:right="0" w:firstLine="0" w:firstLineChars="0"/>
                    <w:jc w:val="both"/>
                    <w:textAlignment w:val="auto"/>
                    <w:rPr>
                      <w:rFonts w:hint="default" w:ascii="Times New Roman" w:hAnsi="Times New Roman" w:eastAsia="宋体" w:cs="Times New Roman"/>
                      <w:b w:val="0"/>
                      <w:bCs w:val="0"/>
                      <w:kern w:val="2"/>
                      <w:sz w:val="21"/>
                      <w:szCs w:val="21"/>
                      <w:highlight w:val="none"/>
                      <w:vertAlign w:val="baseline"/>
                      <w:lang w:val="en-US" w:eastAsia="zh-CN" w:bidi="ar-SA"/>
                    </w:rPr>
                  </w:pPr>
                  <w:r>
                    <w:rPr>
                      <w:rFonts w:hint="default" w:ascii="Times New Roman" w:hAnsi="Times New Roman" w:eastAsia="宋体" w:cs="Times New Roman"/>
                      <w:b w:val="0"/>
                      <w:bCs w:val="0"/>
                      <w:kern w:val="2"/>
                      <w:sz w:val="21"/>
                      <w:szCs w:val="21"/>
                      <w:highlight w:val="none"/>
                      <w:vertAlign w:val="baseline"/>
                      <w:lang w:val="en-US" w:eastAsia="zh-CN" w:bidi="ar-SA"/>
                    </w:rPr>
                    <w:t>到2035年，土壤环境质量明显改善，</w:t>
                  </w:r>
                  <w:r>
                    <w:rPr>
                      <w:rFonts w:hint="eastAsia" w:ascii="Times New Roman" w:hAnsi="Times New Roman" w:eastAsia="宋体" w:cs="Times New Roman"/>
                      <w:b w:val="0"/>
                      <w:bCs w:val="0"/>
                      <w:kern w:val="2"/>
                      <w:sz w:val="21"/>
                      <w:szCs w:val="21"/>
                      <w:highlight w:val="none"/>
                      <w:vertAlign w:val="baseline"/>
                      <w:lang w:val="en-US" w:eastAsia="zh-CN" w:bidi="ar-SA"/>
                    </w:rPr>
                    <w:t>生态系统基本实现良性循环</w:t>
                  </w:r>
                  <w:r>
                    <w:rPr>
                      <w:rFonts w:hint="default" w:ascii="Times New Roman" w:hAnsi="Times New Roman" w:eastAsia="宋体" w:cs="Times New Roman"/>
                      <w:b w:val="0"/>
                      <w:bCs w:val="0"/>
                      <w:kern w:val="2"/>
                      <w:sz w:val="21"/>
                      <w:szCs w:val="21"/>
                      <w:highlight w:val="none"/>
                      <w:vertAlign w:val="baseline"/>
                      <w:lang w:val="en-US" w:eastAsia="zh-CN" w:bidi="ar-SA"/>
                    </w:rPr>
                    <w:t>。</w:t>
                  </w:r>
                </w:p>
              </w:tc>
              <w:tc>
                <w:tcPr>
                  <w:tcW w:w="2833" w:type="dxa"/>
                  <w:noWrap w:val="0"/>
                  <w:vAlign w:val="center"/>
                </w:tcPr>
                <w:p w14:paraId="2DDD2022">
                  <w:pPr>
                    <w:pStyle w:val="31"/>
                    <w:keepNext/>
                    <w:keepLines/>
                    <w:pageBreakBefore w:val="0"/>
                    <w:widowControl w:val="0"/>
                    <w:suppressLineNumbers w:val="0"/>
                    <w:kinsoku/>
                    <w:wordWrap/>
                    <w:overflowPunct/>
                    <w:topLinePunct w:val="0"/>
                    <w:autoSpaceDE/>
                    <w:autoSpaceDN/>
                    <w:bidi w:val="0"/>
                    <w:adjustRightInd/>
                    <w:snapToGrid/>
                    <w:spacing w:before="0" w:beforeAutospacing="0" w:after="0" w:afterAutospacing="0" w:line="288" w:lineRule="auto"/>
                    <w:ind w:left="0" w:leftChars="0" w:right="0" w:firstLine="0" w:firstLineChars="0"/>
                    <w:jc w:val="both"/>
                    <w:textAlignment w:val="auto"/>
                    <w:rPr>
                      <w:rFonts w:hint="default" w:ascii="Times New Roman" w:hAnsi="Times New Roman" w:eastAsia="宋体" w:cs="Times New Roman"/>
                      <w:b w:val="0"/>
                      <w:bCs w:val="0"/>
                      <w:kern w:val="2"/>
                      <w:sz w:val="21"/>
                      <w:szCs w:val="21"/>
                      <w:highlight w:val="none"/>
                      <w:vertAlign w:val="baseline"/>
                      <w:lang w:val="en-US" w:eastAsia="zh-CN" w:bidi="ar-SA"/>
                    </w:rPr>
                  </w:pPr>
                  <w:r>
                    <w:rPr>
                      <w:rFonts w:hint="default" w:ascii="Times New Roman" w:hAnsi="Times New Roman" w:eastAsia="宋体" w:cs="Times New Roman"/>
                      <w:b w:val="0"/>
                      <w:bCs w:val="0"/>
                      <w:kern w:val="2"/>
                      <w:sz w:val="21"/>
                      <w:szCs w:val="21"/>
                      <w:highlight w:val="none"/>
                      <w:vertAlign w:val="baseline"/>
                      <w:lang w:val="en-US" w:eastAsia="zh-CN" w:bidi="ar-SA"/>
                    </w:rPr>
                    <w:t>本项目实施后废水废气均能达标排放，固体废物妥善处置，并做好分区防渗措施，在此基础上不会对土壤环境产生明显影响。</w:t>
                  </w:r>
                </w:p>
              </w:tc>
              <w:tc>
                <w:tcPr>
                  <w:tcW w:w="523" w:type="dxa"/>
                  <w:noWrap w:val="0"/>
                  <w:vAlign w:val="center"/>
                </w:tcPr>
                <w:p w14:paraId="1C963288">
                  <w:pPr>
                    <w:pStyle w:val="31"/>
                    <w:keepNext/>
                    <w:keepLines/>
                    <w:pageBreakBefore w:val="0"/>
                    <w:widowControl w:val="0"/>
                    <w:suppressLineNumbers w:val="0"/>
                    <w:kinsoku/>
                    <w:wordWrap/>
                    <w:overflowPunct/>
                    <w:topLinePunct w:val="0"/>
                    <w:autoSpaceDE/>
                    <w:autoSpaceDN/>
                    <w:bidi w:val="0"/>
                    <w:adjustRightInd/>
                    <w:snapToGrid/>
                    <w:spacing w:before="0" w:beforeAutospacing="0" w:after="0" w:afterAutospacing="0" w:line="288" w:lineRule="auto"/>
                    <w:ind w:left="0" w:leftChars="0" w:right="0" w:firstLine="0" w:firstLineChars="0"/>
                    <w:jc w:val="center"/>
                    <w:textAlignment w:val="auto"/>
                    <w:rPr>
                      <w:rFonts w:hint="default" w:ascii="Times New Roman" w:hAnsi="Times New Roman" w:eastAsia="宋体" w:cs="Times New Roman"/>
                      <w:b w:val="0"/>
                      <w:bCs w:val="0"/>
                      <w:kern w:val="2"/>
                      <w:sz w:val="21"/>
                      <w:szCs w:val="21"/>
                      <w:highlight w:val="none"/>
                      <w:vertAlign w:val="baseline"/>
                      <w:lang w:val="en-US" w:eastAsia="zh-CN" w:bidi="ar-SA"/>
                    </w:rPr>
                  </w:pPr>
                  <w:r>
                    <w:rPr>
                      <w:rFonts w:hint="eastAsia" w:ascii="Times New Roman" w:hAnsi="Times New Roman" w:eastAsia="宋体" w:cs="Times New Roman"/>
                      <w:b w:val="0"/>
                      <w:bCs w:val="0"/>
                      <w:kern w:val="2"/>
                      <w:sz w:val="21"/>
                      <w:szCs w:val="21"/>
                      <w:highlight w:val="none"/>
                      <w:vertAlign w:val="baseline"/>
                      <w:lang w:val="en-US" w:eastAsia="zh-CN" w:bidi="ar-SA"/>
                    </w:rPr>
                    <w:t>符合</w:t>
                  </w:r>
                </w:p>
              </w:tc>
            </w:tr>
          </w:tbl>
          <w:p w14:paraId="1A82C90C">
            <w:pPr>
              <w:pStyle w:val="31"/>
              <w:keepNext/>
              <w:keepLines/>
              <w:pageBreakBefore w:val="0"/>
              <w:widowControl w:val="0"/>
              <w:suppressLineNumbers w:val="0"/>
              <w:kinsoku/>
              <w:wordWrap/>
              <w:overflowPunct/>
              <w:topLinePunct w:val="0"/>
              <w:autoSpaceDE/>
              <w:autoSpaceDN/>
              <w:bidi w:val="0"/>
              <w:adjustRightInd/>
              <w:snapToGrid/>
              <w:spacing w:before="0" w:beforeAutospacing="0" w:after="0" w:afterAutospacing="0" w:line="360" w:lineRule="auto"/>
              <w:ind w:left="0" w:leftChars="0" w:right="0" w:firstLine="480" w:firstLineChars="200"/>
              <w:jc w:val="both"/>
              <w:textAlignment w:val="auto"/>
              <w:rPr>
                <w:rFonts w:hint="default" w:ascii="Times New Roman" w:hAnsi="Times New Roman" w:eastAsia="宋体" w:cs="Times New Roman"/>
                <w:b w:val="0"/>
                <w:bCs w:val="0"/>
                <w:kern w:val="2"/>
                <w:sz w:val="24"/>
                <w:szCs w:val="24"/>
                <w:highlight w:val="none"/>
                <w:lang w:val="en-US" w:eastAsia="zh-CN" w:bidi="ar-SA"/>
              </w:rPr>
            </w:pPr>
            <w:r>
              <w:rPr>
                <w:rFonts w:hint="eastAsia" w:ascii="Times New Roman" w:hAnsi="Times New Roman" w:eastAsia="宋体" w:cs="Times New Roman"/>
                <w:b w:val="0"/>
                <w:bCs w:val="0"/>
                <w:kern w:val="2"/>
                <w:sz w:val="24"/>
                <w:szCs w:val="24"/>
                <w:highlight w:val="none"/>
                <w:lang w:val="en-US" w:eastAsia="zh-CN" w:bidi="ar-SA"/>
              </w:rPr>
              <w:t>（3）资源利用上线</w:t>
            </w:r>
          </w:p>
          <w:p w14:paraId="7BAF59AA">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60" w:lineRule="auto"/>
              <w:ind w:left="0" w:right="0" w:firstLine="480" w:firstLineChars="200"/>
              <w:textAlignment w:val="auto"/>
              <w:rPr>
                <w:rFonts w:hint="default" w:ascii="Times New Roman" w:hAnsi="Times New Roman" w:eastAsia="宋体" w:cs="Times New Roman"/>
                <w:kern w:val="2"/>
                <w:sz w:val="24"/>
                <w:szCs w:val="24"/>
                <w:highlight w:val="none"/>
                <w:lang w:val="en-US" w:eastAsia="zh-CN" w:bidi="ar-SA"/>
              </w:rPr>
            </w:pPr>
            <w:r>
              <w:rPr>
                <w:rFonts w:hint="default" w:ascii="Times New Roman" w:hAnsi="Times New Roman" w:eastAsia="宋体" w:cs="Times New Roman"/>
                <w:kern w:val="2"/>
                <w:sz w:val="24"/>
                <w:szCs w:val="24"/>
                <w:highlight w:val="none"/>
                <w:lang w:val="en-US" w:eastAsia="zh-CN" w:bidi="ar-SA"/>
              </w:rPr>
              <w:t>根据《</w:t>
            </w:r>
            <w:r>
              <w:rPr>
                <w:rFonts w:hint="eastAsia" w:ascii="Times New Roman" w:hAnsi="Times New Roman" w:eastAsia="宋体" w:cs="Times New Roman"/>
                <w:kern w:val="2"/>
                <w:sz w:val="24"/>
                <w:szCs w:val="24"/>
                <w:highlight w:val="none"/>
                <w:lang w:val="en-US" w:eastAsia="zh-CN" w:bidi="ar-SA"/>
              </w:rPr>
              <w:t>衢州</w:t>
            </w:r>
            <w:r>
              <w:rPr>
                <w:rFonts w:hint="eastAsia" w:ascii="宋体" w:hAnsi="宋体" w:eastAsia="宋体" w:cs="宋体"/>
                <w:kern w:val="2"/>
                <w:sz w:val="24"/>
                <w:szCs w:val="24"/>
                <w:highlight w:val="none"/>
                <w:lang w:val="en-US" w:eastAsia="zh-CN" w:bidi="ar-SA"/>
              </w:rPr>
              <w:t>市生态环境分区管控动态更新方案</w:t>
            </w:r>
            <w:r>
              <w:rPr>
                <w:rFonts w:hint="default" w:ascii="Times New Roman" w:hAnsi="Times New Roman" w:eastAsia="宋体" w:cs="Times New Roman"/>
                <w:kern w:val="2"/>
                <w:sz w:val="24"/>
                <w:szCs w:val="24"/>
                <w:highlight w:val="none"/>
                <w:lang w:val="en-US" w:eastAsia="zh-CN" w:bidi="ar-SA"/>
              </w:rPr>
              <w:t>》</w:t>
            </w:r>
            <w:r>
              <w:rPr>
                <w:rFonts w:hint="eastAsia"/>
                <w:kern w:val="0"/>
                <w:szCs w:val="20"/>
                <w:highlight w:val="none"/>
              </w:rPr>
              <w:t>（衢环发</w:t>
            </w:r>
            <w:r>
              <w:rPr>
                <w:rFonts w:hint="eastAsia"/>
                <w:kern w:val="0"/>
                <w:szCs w:val="20"/>
                <w:highlight w:val="none"/>
                <w:lang w:eastAsia="zh-CN"/>
              </w:rPr>
              <w:t>〔2024〕52号</w:t>
            </w:r>
            <w:r>
              <w:rPr>
                <w:rFonts w:hint="eastAsia"/>
                <w:kern w:val="0"/>
                <w:szCs w:val="20"/>
                <w:highlight w:val="none"/>
              </w:rPr>
              <w:t>）</w:t>
            </w:r>
            <w:r>
              <w:rPr>
                <w:rFonts w:hint="default" w:ascii="Times New Roman" w:hAnsi="Times New Roman" w:eastAsia="宋体" w:cs="Times New Roman"/>
                <w:kern w:val="2"/>
                <w:sz w:val="24"/>
                <w:szCs w:val="24"/>
                <w:highlight w:val="none"/>
                <w:lang w:val="en-US" w:eastAsia="zh-CN" w:bidi="ar-SA"/>
              </w:rPr>
              <w:t>确定的资源利用上线目标，对照分析项目与</w:t>
            </w:r>
            <w:r>
              <w:rPr>
                <w:rFonts w:hint="eastAsia" w:ascii="Times New Roman" w:hAnsi="Times New Roman" w:eastAsia="宋体" w:cs="Times New Roman"/>
                <w:kern w:val="2"/>
                <w:sz w:val="24"/>
                <w:szCs w:val="24"/>
                <w:highlight w:val="none"/>
                <w:lang w:val="en-US" w:eastAsia="zh-CN" w:bidi="ar-SA"/>
              </w:rPr>
              <w:t>“</w:t>
            </w:r>
            <w:r>
              <w:rPr>
                <w:rFonts w:hint="default" w:ascii="Times New Roman" w:hAnsi="Times New Roman" w:eastAsia="宋体" w:cs="Times New Roman"/>
                <w:kern w:val="2"/>
                <w:sz w:val="24"/>
                <w:szCs w:val="24"/>
                <w:highlight w:val="none"/>
                <w:lang w:val="en-US" w:eastAsia="zh-CN" w:bidi="ar-SA"/>
              </w:rPr>
              <w:t>能源（煤炭）资源上线、水资源利用上线、土地资源利用上线</w:t>
            </w:r>
            <w:r>
              <w:rPr>
                <w:rFonts w:hint="eastAsia" w:ascii="Times New Roman" w:hAnsi="Times New Roman" w:eastAsia="宋体" w:cs="Times New Roman"/>
                <w:kern w:val="2"/>
                <w:sz w:val="24"/>
                <w:szCs w:val="24"/>
                <w:highlight w:val="none"/>
                <w:lang w:val="en-US" w:eastAsia="zh-CN" w:bidi="ar-SA"/>
              </w:rPr>
              <w:t>”</w:t>
            </w:r>
            <w:r>
              <w:rPr>
                <w:rFonts w:hint="default" w:ascii="Times New Roman" w:hAnsi="Times New Roman" w:eastAsia="宋体" w:cs="Times New Roman"/>
                <w:kern w:val="2"/>
                <w:sz w:val="24"/>
                <w:szCs w:val="24"/>
                <w:highlight w:val="none"/>
                <w:lang w:val="en-US" w:eastAsia="zh-CN" w:bidi="ar-SA"/>
              </w:rPr>
              <w:t>的符合性分析，见表1-</w:t>
            </w:r>
            <w:r>
              <w:rPr>
                <w:rFonts w:hint="eastAsia" w:ascii="Times New Roman" w:hAnsi="Times New Roman" w:cs="Times New Roman"/>
                <w:kern w:val="2"/>
                <w:sz w:val="24"/>
                <w:szCs w:val="24"/>
                <w:highlight w:val="none"/>
                <w:lang w:val="en-US" w:eastAsia="zh-CN" w:bidi="ar-SA"/>
              </w:rPr>
              <w:t>3</w:t>
            </w:r>
            <w:r>
              <w:rPr>
                <w:rFonts w:hint="default" w:ascii="Times New Roman" w:hAnsi="Times New Roman" w:eastAsia="宋体" w:cs="Times New Roman"/>
                <w:kern w:val="2"/>
                <w:sz w:val="24"/>
                <w:szCs w:val="24"/>
                <w:highlight w:val="none"/>
                <w:lang w:val="en-US" w:eastAsia="zh-CN" w:bidi="ar-SA"/>
              </w:rPr>
              <w:t>。</w:t>
            </w:r>
          </w:p>
          <w:p w14:paraId="6FE1DC0D">
            <w:pPr>
              <w:pStyle w:val="7"/>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60" w:lineRule="auto"/>
              <w:ind w:left="0" w:right="0" w:firstLine="482" w:firstLineChars="200"/>
              <w:jc w:val="center"/>
              <w:textAlignment w:val="auto"/>
              <w:rPr>
                <w:rFonts w:hint="eastAsia" w:ascii="Times New Roman" w:hAnsi="Times New Roman" w:eastAsia="宋体" w:cs="Times New Roman"/>
                <w:b/>
                <w:bCs/>
                <w:kern w:val="2"/>
                <w:sz w:val="24"/>
                <w:szCs w:val="24"/>
                <w:highlight w:val="none"/>
                <w:lang w:val="en-US" w:eastAsia="zh-CN" w:bidi="ar-SA"/>
              </w:rPr>
            </w:pPr>
          </w:p>
          <w:p w14:paraId="032F526F">
            <w:pPr>
              <w:pStyle w:val="7"/>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60" w:lineRule="auto"/>
              <w:ind w:left="0" w:right="0" w:firstLine="482" w:firstLineChars="200"/>
              <w:jc w:val="center"/>
              <w:textAlignment w:val="auto"/>
              <w:rPr>
                <w:rFonts w:hint="eastAsia" w:ascii="Times New Roman" w:hAnsi="Times New Roman" w:eastAsia="宋体" w:cs="Times New Roman"/>
                <w:b/>
                <w:bCs/>
                <w:kern w:val="2"/>
                <w:sz w:val="24"/>
                <w:szCs w:val="24"/>
                <w:highlight w:val="none"/>
                <w:lang w:val="en-US" w:eastAsia="zh-CN" w:bidi="ar-SA"/>
              </w:rPr>
            </w:pPr>
          </w:p>
          <w:p w14:paraId="3D41C3DF">
            <w:pPr>
              <w:pStyle w:val="7"/>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60" w:lineRule="auto"/>
              <w:ind w:left="0" w:right="0" w:firstLine="482" w:firstLineChars="200"/>
              <w:jc w:val="center"/>
              <w:textAlignment w:val="auto"/>
              <w:rPr>
                <w:rFonts w:hint="eastAsia" w:ascii="Times New Roman" w:hAnsi="Times New Roman" w:eastAsia="宋体" w:cs="Times New Roman"/>
                <w:b/>
                <w:bCs/>
                <w:kern w:val="2"/>
                <w:sz w:val="24"/>
                <w:szCs w:val="24"/>
                <w:highlight w:val="none"/>
                <w:lang w:val="en-US" w:eastAsia="zh-CN" w:bidi="ar-SA"/>
              </w:rPr>
            </w:pPr>
          </w:p>
          <w:p w14:paraId="38943CC6">
            <w:pPr>
              <w:pStyle w:val="7"/>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60" w:lineRule="auto"/>
              <w:ind w:left="0" w:right="0" w:firstLine="482" w:firstLineChars="200"/>
              <w:jc w:val="center"/>
              <w:textAlignment w:val="auto"/>
              <w:rPr>
                <w:rFonts w:hint="default" w:ascii="Times New Roman" w:hAnsi="Times New Roman" w:eastAsia="宋体" w:cs="Times New Roman"/>
                <w:b/>
                <w:bCs/>
                <w:kern w:val="2"/>
                <w:sz w:val="24"/>
                <w:szCs w:val="24"/>
                <w:highlight w:val="none"/>
                <w:lang w:val="en-US" w:eastAsia="zh-CN" w:bidi="ar-SA"/>
              </w:rPr>
            </w:pPr>
            <w:r>
              <w:rPr>
                <w:rFonts w:hint="eastAsia" w:ascii="Times New Roman" w:hAnsi="Times New Roman" w:eastAsia="宋体" w:cs="Times New Roman"/>
                <w:b/>
                <w:bCs/>
                <w:kern w:val="2"/>
                <w:sz w:val="24"/>
                <w:szCs w:val="24"/>
                <w:highlight w:val="none"/>
                <w:lang w:val="en-US" w:eastAsia="zh-CN" w:bidi="ar-SA"/>
              </w:rPr>
              <w:t>表1-</w:t>
            </w:r>
            <w:r>
              <w:rPr>
                <w:rFonts w:hint="eastAsia" w:ascii="Times New Roman" w:hAnsi="Times New Roman" w:cs="Times New Roman"/>
                <w:b/>
                <w:bCs/>
                <w:kern w:val="2"/>
                <w:sz w:val="24"/>
                <w:szCs w:val="24"/>
                <w:highlight w:val="none"/>
                <w:lang w:val="en-US" w:eastAsia="zh-CN" w:bidi="ar-SA"/>
              </w:rPr>
              <w:t>3</w:t>
            </w:r>
            <w:r>
              <w:rPr>
                <w:rFonts w:hint="eastAsia" w:ascii="Times New Roman" w:hAnsi="Times New Roman" w:eastAsia="宋体" w:cs="Times New Roman"/>
                <w:b/>
                <w:bCs/>
                <w:kern w:val="2"/>
                <w:sz w:val="24"/>
                <w:szCs w:val="24"/>
                <w:highlight w:val="none"/>
                <w:lang w:val="en-US" w:eastAsia="zh-CN" w:bidi="ar-SA"/>
              </w:rPr>
              <w:t xml:space="preserve"> 资源利用上线要求符合性分析</w:t>
            </w:r>
          </w:p>
          <w:tbl>
            <w:tblPr>
              <w:tblStyle w:val="33"/>
              <w:tblW w:w="8057"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28" w:type="dxa"/>
                <w:bottom w:w="0" w:type="dxa"/>
                <w:right w:w="28" w:type="dxa"/>
              </w:tblCellMar>
            </w:tblPr>
            <w:tblGrid>
              <w:gridCol w:w="528"/>
              <w:gridCol w:w="747"/>
              <w:gridCol w:w="4425"/>
              <w:gridCol w:w="1834"/>
              <w:gridCol w:w="523"/>
            </w:tblGrid>
            <w:tr w14:paraId="5066DC4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jc w:val="center"/>
              </w:trPr>
              <w:tc>
                <w:tcPr>
                  <w:tcW w:w="528" w:type="dxa"/>
                  <w:noWrap w:val="0"/>
                  <w:vAlign w:val="center"/>
                </w:tcPr>
                <w:p w14:paraId="1D6D99EB">
                  <w:pPr>
                    <w:pStyle w:val="31"/>
                    <w:keepNext/>
                    <w:keepLines/>
                    <w:pageBreakBefore w:val="0"/>
                    <w:widowControl w:val="0"/>
                    <w:suppressLineNumbers w:val="0"/>
                    <w:kinsoku/>
                    <w:wordWrap/>
                    <w:overflowPunct/>
                    <w:topLinePunct w:val="0"/>
                    <w:autoSpaceDE/>
                    <w:autoSpaceDN/>
                    <w:bidi w:val="0"/>
                    <w:adjustRightInd/>
                    <w:snapToGrid/>
                    <w:spacing w:before="0" w:beforeAutospacing="0" w:after="0" w:afterAutospacing="0" w:line="276" w:lineRule="auto"/>
                    <w:ind w:left="0" w:leftChars="0" w:right="0" w:firstLine="0" w:firstLineChars="0"/>
                    <w:jc w:val="center"/>
                    <w:textAlignment w:val="auto"/>
                    <w:rPr>
                      <w:rFonts w:hint="default" w:ascii="Times New Roman" w:hAnsi="Times New Roman" w:eastAsia="宋体" w:cs="Times New Roman"/>
                      <w:b/>
                      <w:bCs/>
                      <w:kern w:val="2"/>
                      <w:sz w:val="21"/>
                      <w:szCs w:val="21"/>
                      <w:highlight w:val="none"/>
                      <w:vertAlign w:val="baseline"/>
                      <w:lang w:val="en-US" w:eastAsia="zh-CN" w:bidi="ar-SA"/>
                    </w:rPr>
                  </w:pPr>
                  <w:r>
                    <w:rPr>
                      <w:rFonts w:hint="eastAsia" w:ascii="Times New Roman" w:hAnsi="Times New Roman" w:eastAsia="宋体" w:cs="Times New Roman"/>
                      <w:b/>
                      <w:bCs/>
                      <w:kern w:val="2"/>
                      <w:sz w:val="21"/>
                      <w:szCs w:val="21"/>
                      <w:highlight w:val="none"/>
                      <w:vertAlign w:val="baseline"/>
                      <w:lang w:val="en-US" w:eastAsia="zh-CN" w:bidi="ar-SA"/>
                    </w:rPr>
                    <w:t>内容</w:t>
                  </w:r>
                </w:p>
              </w:tc>
              <w:tc>
                <w:tcPr>
                  <w:tcW w:w="5172" w:type="dxa"/>
                  <w:gridSpan w:val="2"/>
                  <w:noWrap w:val="0"/>
                  <w:vAlign w:val="center"/>
                </w:tcPr>
                <w:p w14:paraId="0B3C5822">
                  <w:pPr>
                    <w:pStyle w:val="31"/>
                    <w:keepNext/>
                    <w:keepLines/>
                    <w:pageBreakBefore w:val="0"/>
                    <w:widowControl w:val="0"/>
                    <w:suppressLineNumbers w:val="0"/>
                    <w:kinsoku/>
                    <w:wordWrap/>
                    <w:overflowPunct/>
                    <w:topLinePunct w:val="0"/>
                    <w:autoSpaceDE/>
                    <w:autoSpaceDN/>
                    <w:bidi w:val="0"/>
                    <w:adjustRightInd/>
                    <w:snapToGrid/>
                    <w:spacing w:before="0" w:beforeAutospacing="0" w:after="0" w:afterAutospacing="0" w:line="276" w:lineRule="auto"/>
                    <w:ind w:left="0" w:leftChars="0" w:right="0" w:firstLine="0" w:firstLineChars="0"/>
                    <w:jc w:val="center"/>
                    <w:textAlignment w:val="auto"/>
                    <w:rPr>
                      <w:rFonts w:hint="default" w:ascii="Times New Roman" w:hAnsi="Times New Roman" w:eastAsia="宋体" w:cs="Times New Roman"/>
                      <w:b/>
                      <w:bCs/>
                      <w:kern w:val="2"/>
                      <w:sz w:val="21"/>
                      <w:szCs w:val="21"/>
                      <w:highlight w:val="none"/>
                      <w:vertAlign w:val="baseline"/>
                      <w:lang w:val="en-US" w:eastAsia="zh-CN" w:bidi="ar-SA"/>
                    </w:rPr>
                  </w:pPr>
                  <w:r>
                    <w:rPr>
                      <w:rFonts w:hint="eastAsia" w:ascii="Times New Roman" w:hAnsi="Times New Roman" w:eastAsia="宋体" w:cs="Times New Roman"/>
                      <w:b/>
                      <w:bCs/>
                      <w:kern w:val="2"/>
                      <w:sz w:val="21"/>
                      <w:szCs w:val="21"/>
                      <w:highlight w:val="none"/>
                      <w:vertAlign w:val="baseline"/>
                      <w:lang w:val="en-US" w:eastAsia="zh-CN" w:bidi="ar-SA"/>
                    </w:rPr>
                    <w:t>管控目标</w:t>
                  </w:r>
                </w:p>
              </w:tc>
              <w:tc>
                <w:tcPr>
                  <w:tcW w:w="1834" w:type="dxa"/>
                  <w:noWrap w:val="0"/>
                  <w:vAlign w:val="center"/>
                </w:tcPr>
                <w:p w14:paraId="682F3E8C">
                  <w:pPr>
                    <w:pStyle w:val="31"/>
                    <w:keepNext/>
                    <w:keepLines/>
                    <w:pageBreakBefore w:val="0"/>
                    <w:widowControl w:val="0"/>
                    <w:suppressLineNumbers w:val="0"/>
                    <w:kinsoku/>
                    <w:wordWrap/>
                    <w:overflowPunct/>
                    <w:topLinePunct w:val="0"/>
                    <w:autoSpaceDE/>
                    <w:autoSpaceDN/>
                    <w:bidi w:val="0"/>
                    <w:adjustRightInd/>
                    <w:snapToGrid/>
                    <w:spacing w:before="0" w:beforeAutospacing="0" w:after="0" w:afterAutospacing="0" w:line="276" w:lineRule="auto"/>
                    <w:ind w:left="0" w:leftChars="0" w:right="0" w:firstLine="0" w:firstLineChars="0"/>
                    <w:jc w:val="center"/>
                    <w:textAlignment w:val="auto"/>
                    <w:rPr>
                      <w:rFonts w:hint="default" w:ascii="Times New Roman" w:hAnsi="Times New Roman" w:eastAsia="宋体" w:cs="Times New Roman"/>
                      <w:b/>
                      <w:bCs/>
                      <w:kern w:val="2"/>
                      <w:sz w:val="21"/>
                      <w:szCs w:val="21"/>
                      <w:highlight w:val="none"/>
                      <w:vertAlign w:val="baseline"/>
                      <w:lang w:val="en-US" w:eastAsia="zh-CN" w:bidi="ar-SA"/>
                    </w:rPr>
                  </w:pPr>
                  <w:r>
                    <w:rPr>
                      <w:rFonts w:hint="eastAsia" w:ascii="Times New Roman" w:hAnsi="Times New Roman" w:eastAsia="宋体" w:cs="Times New Roman"/>
                      <w:b/>
                      <w:bCs/>
                      <w:kern w:val="2"/>
                      <w:sz w:val="21"/>
                      <w:szCs w:val="21"/>
                      <w:highlight w:val="none"/>
                      <w:vertAlign w:val="baseline"/>
                      <w:lang w:val="en-US" w:eastAsia="zh-CN" w:bidi="ar-SA"/>
                    </w:rPr>
                    <w:t>本项目情况</w:t>
                  </w:r>
                </w:p>
              </w:tc>
              <w:tc>
                <w:tcPr>
                  <w:tcW w:w="523" w:type="dxa"/>
                  <w:noWrap w:val="0"/>
                  <w:vAlign w:val="center"/>
                </w:tcPr>
                <w:p w14:paraId="5D107BB6">
                  <w:pPr>
                    <w:pStyle w:val="31"/>
                    <w:keepNext/>
                    <w:keepLines/>
                    <w:pageBreakBefore w:val="0"/>
                    <w:widowControl w:val="0"/>
                    <w:suppressLineNumbers w:val="0"/>
                    <w:kinsoku/>
                    <w:wordWrap/>
                    <w:overflowPunct/>
                    <w:topLinePunct w:val="0"/>
                    <w:autoSpaceDE/>
                    <w:autoSpaceDN/>
                    <w:bidi w:val="0"/>
                    <w:adjustRightInd/>
                    <w:snapToGrid/>
                    <w:spacing w:before="0" w:beforeAutospacing="0" w:after="0" w:afterAutospacing="0" w:line="276" w:lineRule="auto"/>
                    <w:ind w:left="0" w:leftChars="0" w:right="0" w:firstLine="0" w:firstLineChars="0"/>
                    <w:jc w:val="center"/>
                    <w:textAlignment w:val="auto"/>
                    <w:rPr>
                      <w:rFonts w:hint="default" w:ascii="Times New Roman" w:hAnsi="Times New Roman" w:eastAsia="宋体" w:cs="Times New Roman"/>
                      <w:b/>
                      <w:bCs/>
                      <w:kern w:val="2"/>
                      <w:sz w:val="21"/>
                      <w:szCs w:val="21"/>
                      <w:highlight w:val="none"/>
                      <w:vertAlign w:val="baseline"/>
                      <w:lang w:val="en-US" w:eastAsia="zh-CN" w:bidi="ar-SA"/>
                    </w:rPr>
                  </w:pPr>
                  <w:r>
                    <w:rPr>
                      <w:rFonts w:hint="eastAsia" w:ascii="Times New Roman" w:hAnsi="Times New Roman" w:eastAsia="宋体" w:cs="Times New Roman"/>
                      <w:b/>
                      <w:bCs/>
                      <w:kern w:val="2"/>
                      <w:sz w:val="21"/>
                      <w:szCs w:val="21"/>
                      <w:highlight w:val="none"/>
                      <w:vertAlign w:val="baseline"/>
                      <w:lang w:val="en-US" w:eastAsia="zh-CN" w:bidi="ar-SA"/>
                    </w:rPr>
                    <w:t>是否符合</w:t>
                  </w:r>
                </w:p>
              </w:tc>
            </w:tr>
            <w:tr w14:paraId="57D59F2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jc w:val="center"/>
              </w:trPr>
              <w:tc>
                <w:tcPr>
                  <w:tcW w:w="528" w:type="dxa"/>
                  <w:vMerge w:val="restart"/>
                  <w:noWrap w:val="0"/>
                  <w:vAlign w:val="center"/>
                </w:tcPr>
                <w:p w14:paraId="542AACDC">
                  <w:pPr>
                    <w:pStyle w:val="31"/>
                    <w:keepNext/>
                    <w:keepLines/>
                    <w:pageBreakBefore w:val="0"/>
                    <w:widowControl w:val="0"/>
                    <w:suppressLineNumbers w:val="0"/>
                    <w:kinsoku/>
                    <w:wordWrap/>
                    <w:overflowPunct/>
                    <w:topLinePunct w:val="0"/>
                    <w:autoSpaceDE/>
                    <w:autoSpaceDN/>
                    <w:bidi w:val="0"/>
                    <w:adjustRightInd/>
                    <w:snapToGrid/>
                    <w:spacing w:before="0" w:beforeAutospacing="0" w:after="0" w:afterAutospacing="0" w:line="276" w:lineRule="auto"/>
                    <w:ind w:left="0" w:leftChars="0" w:right="0" w:firstLine="0" w:firstLineChars="0"/>
                    <w:jc w:val="center"/>
                    <w:textAlignment w:val="auto"/>
                    <w:rPr>
                      <w:rFonts w:hint="default" w:ascii="Times New Roman" w:hAnsi="Times New Roman" w:eastAsia="宋体" w:cs="Times New Roman"/>
                      <w:b w:val="0"/>
                      <w:bCs w:val="0"/>
                      <w:kern w:val="2"/>
                      <w:sz w:val="21"/>
                      <w:szCs w:val="21"/>
                      <w:highlight w:val="none"/>
                      <w:vertAlign w:val="baseline"/>
                      <w:lang w:val="en-US" w:eastAsia="zh-CN" w:bidi="ar-SA"/>
                    </w:rPr>
                  </w:pPr>
                  <w:r>
                    <w:rPr>
                      <w:rFonts w:hint="eastAsia" w:ascii="Times New Roman" w:hAnsi="Times New Roman" w:eastAsia="宋体" w:cs="Times New Roman"/>
                      <w:b w:val="0"/>
                      <w:bCs w:val="0"/>
                      <w:kern w:val="2"/>
                      <w:sz w:val="21"/>
                      <w:szCs w:val="21"/>
                      <w:highlight w:val="none"/>
                      <w:vertAlign w:val="baseline"/>
                      <w:lang w:val="en-US" w:eastAsia="zh-CN" w:bidi="ar-SA"/>
                    </w:rPr>
                    <w:t>资源利用上线</w:t>
                  </w:r>
                </w:p>
              </w:tc>
              <w:tc>
                <w:tcPr>
                  <w:tcW w:w="747" w:type="dxa"/>
                  <w:noWrap w:val="0"/>
                  <w:vAlign w:val="center"/>
                </w:tcPr>
                <w:p w14:paraId="7BF318CA">
                  <w:pPr>
                    <w:pStyle w:val="31"/>
                    <w:keepNext/>
                    <w:keepLines/>
                    <w:pageBreakBefore w:val="0"/>
                    <w:widowControl w:val="0"/>
                    <w:suppressLineNumbers w:val="0"/>
                    <w:kinsoku/>
                    <w:wordWrap/>
                    <w:overflowPunct/>
                    <w:topLinePunct w:val="0"/>
                    <w:autoSpaceDE/>
                    <w:autoSpaceDN/>
                    <w:bidi w:val="0"/>
                    <w:adjustRightInd/>
                    <w:snapToGrid/>
                    <w:spacing w:before="0" w:beforeAutospacing="0" w:after="0" w:afterAutospacing="0" w:line="276" w:lineRule="auto"/>
                    <w:ind w:left="0" w:leftChars="0" w:right="0" w:firstLine="0" w:firstLineChars="0"/>
                    <w:jc w:val="center"/>
                    <w:textAlignment w:val="auto"/>
                    <w:rPr>
                      <w:rFonts w:hint="default" w:ascii="Times New Roman" w:hAnsi="Times New Roman" w:eastAsia="宋体" w:cs="Times New Roman"/>
                      <w:b w:val="0"/>
                      <w:bCs w:val="0"/>
                      <w:kern w:val="2"/>
                      <w:sz w:val="21"/>
                      <w:szCs w:val="21"/>
                      <w:highlight w:val="none"/>
                      <w:vertAlign w:val="baseline"/>
                      <w:lang w:val="en-US" w:eastAsia="zh-CN" w:bidi="ar-SA"/>
                    </w:rPr>
                  </w:pPr>
                  <w:r>
                    <w:rPr>
                      <w:rFonts w:hint="default" w:ascii="Times New Roman" w:hAnsi="Times New Roman" w:eastAsia="宋体" w:cs="Times New Roman"/>
                      <w:b w:val="0"/>
                      <w:bCs w:val="0"/>
                      <w:kern w:val="2"/>
                      <w:sz w:val="21"/>
                      <w:szCs w:val="21"/>
                      <w:highlight w:val="none"/>
                      <w:vertAlign w:val="baseline"/>
                      <w:lang w:val="en-US" w:eastAsia="zh-CN" w:bidi="ar-SA"/>
                    </w:rPr>
                    <w:t>能源（煤炭）资源上线</w:t>
                  </w:r>
                  <w:r>
                    <w:rPr>
                      <w:rFonts w:hint="eastAsia" w:ascii="Times New Roman" w:hAnsi="Times New Roman" w:eastAsia="宋体" w:cs="Times New Roman"/>
                      <w:b w:val="0"/>
                      <w:bCs w:val="0"/>
                      <w:kern w:val="2"/>
                      <w:sz w:val="21"/>
                      <w:szCs w:val="21"/>
                      <w:highlight w:val="none"/>
                      <w:vertAlign w:val="baseline"/>
                      <w:lang w:val="en-US" w:eastAsia="zh-CN" w:bidi="ar-SA"/>
                    </w:rPr>
                    <w:t>目标</w:t>
                  </w:r>
                </w:p>
              </w:tc>
              <w:tc>
                <w:tcPr>
                  <w:tcW w:w="4425" w:type="dxa"/>
                  <w:noWrap w:val="0"/>
                  <w:vAlign w:val="center"/>
                </w:tcPr>
                <w:p w14:paraId="03BAE1C7">
                  <w:pPr>
                    <w:pStyle w:val="31"/>
                    <w:keepNext/>
                    <w:keepLines/>
                    <w:pageBreakBefore w:val="0"/>
                    <w:widowControl w:val="0"/>
                    <w:suppressLineNumbers w:val="0"/>
                    <w:kinsoku/>
                    <w:wordWrap/>
                    <w:overflowPunct/>
                    <w:topLinePunct w:val="0"/>
                    <w:autoSpaceDE/>
                    <w:autoSpaceDN/>
                    <w:bidi w:val="0"/>
                    <w:adjustRightInd/>
                    <w:snapToGrid/>
                    <w:spacing w:before="0" w:beforeAutospacing="0" w:after="0" w:afterAutospacing="0" w:line="276" w:lineRule="auto"/>
                    <w:ind w:left="0" w:leftChars="0" w:right="0" w:firstLine="0" w:firstLineChars="0"/>
                    <w:jc w:val="both"/>
                    <w:textAlignment w:val="auto"/>
                    <w:rPr>
                      <w:rFonts w:hint="default" w:ascii="Times New Roman" w:hAnsi="Times New Roman" w:eastAsia="宋体" w:cs="Times New Roman"/>
                      <w:b w:val="0"/>
                      <w:bCs w:val="0"/>
                      <w:kern w:val="2"/>
                      <w:sz w:val="21"/>
                      <w:szCs w:val="21"/>
                      <w:highlight w:val="none"/>
                      <w:vertAlign w:val="baseline"/>
                      <w:lang w:val="en-US" w:eastAsia="zh-CN" w:bidi="ar-SA"/>
                    </w:rPr>
                  </w:pPr>
                  <w:r>
                    <w:rPr>
                      <w:rFonts w:hint="eastAsia" w:ascii="Times New Roman" w:hAnsi="Times New Roman" w:eastAsia="宋体" w:cs="Times New Roman"/>
                      <w:b w:val="0"/>
                      <w:bCs w:val="0"/>
                      <w:kern w:val="2"/>
                      <w:sz w:val="21"/>
                      <w:szCs w:val="21"/>
                      <w:highlight w:val="none"/>
                      <w:vertAlign w:val="baseline"/>
                      <w:lang w:val="en-US" w:eastAsia="zh-CN" w:bidi="ar-SA"/>
                    </w:rPr>
                    <w:t>深入推动能源绿色低碳发展，到2025年，全市单位GDP能耗累计下降15.5%以上；煤炭消费量完成省级下达目标；单位GDP二氧化碳降低率完成省级下达目标，推进能源总量和强度“双控”，逐步转向碳排放总量和强度“双控”</w:t>
                  </w:r>
                  <w:r>
                    <w:rPr>
                      <w:rFonts w:hint="default" w:ascii="Times New Roman" w:hAnsi="Times New Roman" w:eastAsia="宋体" w:cs="Times New Roman"/>
                      <w:b w:val="0"/>
                      <w:bCs w:val="0"/>
                      <w:kern w:val="2"/>
                      <w:sz w:val="21"/>
                      <w:szCs w:val="21"/>
                      <w:highlight w:val="none"/>
                      <w:vertAlign w:val="baseline"/>
                      <w:lang w:val="en-US" w:eastAsia="zh-CN" w:bidi="ar-SA"/>
                    </w:rPr>
                    <w:t>。</w:t>
                  </w:r>
                </w:p>
              </w:tc>
              <w:tc>
                <w:tcPr>
                  <w:tcW w:w="1834" w:type="dxa"/>
                  <w:noWrap w:val="0"/>
                  <w:vAlign w:val="center"/>
                </w:tcPr>
                <w:p w14:paraId="3ADA3D7A">
                  <w:pPr>
                    <w:pStyle w:val="31"/>
                    <w:keepNext/>
                    <w:keepLines/>
                    <w:pageBreakBefore w:val="0"/>
                    <w:widowControl w:val="0"/>
                    <w:suppressLineNumbers w:val="0"/>
                    <w:kinsoku/>
                    <w:wordWrap/>
                    <w:overflowPunct/>
                    <w:topLinePunct w:val="0"/>
                    <w:autoSpaceDE/>
                    <w:autoSpaceDN/>
                    <w:bidi w:val="0"/>
                    <w:adjustRightInd/>
                    <w:snapToGrid/>
                    <w:spacing w:before="0" w:beforeAutospacing="0" w:after="0" w:afterAutospacing="0" w:line="276" w:lineRule="auto"/>
                    <w:ind w:left="0" w:leftChars="0" w:right="0" w:firstLine="0" w:firstLineChars="0"/>
                    <w:jc w:val="both"/>
                    <w:textAlignment w:val="auto"/>
                    <w:rPr>
                      <w:rFonts w:hint="default" w:ascii="Times New Roman" w:hAnsi="Times New Roman" w:eastAsia="宋体" w:cs="Times New Roman"/>
                      <w:b w:val="0"/>
                      <w:bCs w:val="0"/>
                      <w:kern w:val="2"/>
                      <w:sz w:val="21"/>
                      <w:szCs w:val="21"/>
                      <w:highlight w:val="none"/>
                      <w:vertAlign w:val="baseline"/>
                      <w:lang w:val="en-US" w:eastAsia="zh-CN" w:bidi="ar-SA"/>
                    </w:rPr>
                  </w:pPr>
                  <w:r>
                    <w:rPr>
                      <w:rFonts w:hint="default" w:ascii="Times New Roman" w:hAnsi="Times New Roman" w:eastAsia="宋体" w:cs="Times New Roman"/>
                      <w:b w:val="0"/>
                      <w:bCs w:val="0"/>
                      <w:kern w:val="2"/>
                      <w:sz w:val="21"/>
                      <w:szCs w:val="21"/>
                      <w:highlight w:val="none"/>
                      <w:vertAlign w:val="baseline"/>
                      <w:lang w:val="en-US" w:eastAsia="zh-CN" w:bidi="ar-SA"/>
                    </w:rPr>
                    <w:t>项目不设锅炉，不属于高能耗项目，采用电能等清洁能源，选用节能设备，满足能源资源利用上线目标要求。</w:t>
                  </w:r>
                </w:p>
              </w:tc>
              <w:tc>
                <w:tcPr>
                  <w:tcW w:w="523" w:type="dxa"/>
                  <w:noWrap w:val="0"/>
                  <w:vAlign w:val="center"/>
                </w:tcPr>
                <w:p w14:paraId="01BCD95A">
                  <w:pPr>
                    <w:pStyle w:val="31"/>
                    <w:keepNext/>
                    <w:keepLines/>
                    <w:pageBreakBefore w:val="0"/>
                    <w:widowControl w:val="0"/>
                    <w:suppressLineNumbers w:val="0"/>
                    <w:kinsoku/>
                    <w:wordWrap/>
                    <w:overflowPunct/>
                    <w:topLinePunct w:val="0"/>
                    <w:autoSpaceDE/>
                    <w:autoSpaceDN/>
                    <w:bidi w:val="0"/>
                    <w:adjustRightInd/>
                    <w:snapToGrid/>
                    <w:spacing w:before="0" w:beforeAutospacing="0" w:after="0" w:afterAutospacing="0" w:line="276" w:lineRule="auto"/>
                    <w:ind w:left="0" w:leftChars="0" w:right="0" w:firstLine="0" w:firstLineChars="0"/>
                    <w:jc w:val="center"/>
                    <w:textAlignment w:val="auto"/>
                    <w:rPr>
                      <w:rFonts w:hint="default" w:ascii="Times New Roman" w:hAnsi="Times New Roman" w:eastAsia="宋体" w:cs="Times New Roman"/>
                      <w:b w:val="0"/>
                      <w:bCs w:val="0"/>
                      <w:kern w:val="2"/>
                      <w:sz w:val="21"/>
                      <w:szCs w:val="21"/>
                      <w:highlight w:val="none"/>
                      <w:vertAlign w:val="baseline"/>
                      <w:lang w:val="en-US" w:eastAsia="zh-CN" w:bidi="ar-SA"/>
                    </w:rPr>
                  </w:pPr>
                  <w:r>
                    <w:rPr>
                      <w:rFonts w:hint="eastAsia" w:ascii="Times New Roman" w:hAnsi="Times New Roman" w:eastAsia="宋体" w:cs="Times New Roman"/>
                      <w:b w:val="0"/>
                      <w:bCs w:val="0"/>
                      <w:kern w:val="2"/>
                      <w:sz w:val="21"/>
                      <w:szCs w:val="21"/>
                      <w:highlight w:val="none"/>
                      <w:vertAlign w:val="baseline"/>
                      <w:lang w:val="en-US" w:eastAsia="zh-CN" w:bidi="ar-SA"/>
                    </w:rPr>
                    <w:t>符合</w:t>
                  </w:r>
                </w:p>
              </w:tc>
            </w:tr>
            <w:tr w14:paraId="1DB09E9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jc w:val="center"/>
              </w:trPr>
              <w:tc>
                <w:tcPr>
                  <w:tcW w:w="528" w:type="dxa"/>
                  <w:vMerge w:val="continue"/>
                  <w:noWrap w:val="0"/>
                  <w:vAlign w:val="center"/>
                </w:tcPr>
                <w:p w14:paraId="650ED13F">
                  <w:pPr>
                    <w:pStyle w:val="31"/>
                    <w:keepNext/>
                    <w:keepLines/>
                    <w:pageBreakBefore w:val="0"/>
                    <w:widowControl w:val="0"/>
                    <w:suppressLineNumbers w:val="0"/>
                    <w:kinsoku/>
                    <w:wordWrap/>
                    <w:overflowPunct/>
                    <w:topLinePunct w:val="0"/>
                    <w:autoSpaceDE/>
                    <w:autoSpaceDN/>
                    <w:bidi w:val="0"/>
                    <w:adjustRightInd/>
                    <w:snapToGrid/>
                    <w:spacing w:before="0" w:beforeAutospacing="0" w:after="0" w:afterAutospacing="0" w:line="276" w:lineRule="auto"/>
                    <w:ind w:left="0" w:leftChars="0" w:right="0" w:firstLine="0" w:firstLineChars="0"/>
                    <w:jc w:val="center"/>
                    <w:textAlignment w:val="auto"/>
                    <w:rPr>
                      <w:rFonts w:hint="default" w:ascii="Times New Roman" w:hAnsi="Times New Roman" w:eastAsia="宋体" w:cs="Times New Roman"/>
                      <w:b w:val="0"/>
                      <w:bCs w:val="0"/>
                      <w:kern w:val="2"/>
                      <w:sz w:val="21"/>
                      <w:szCs w:val="21"/>
                      <w:highlight w:val="none"/>
                      <w:vertAlign w:val="baseline"/>
                      <w:lang w:val="en-US" w:eastAsia="zh-CN" w:bidi="ar-SA"/>
                    </w:rPr>
                  </w:pPr>
                </w:p>
              </w:tc>
              <w:tc>
                <w:tcPr>
                  <w:tcW w:w="747" w:type="dxa"/>
                  <w:noWrap w:val="0"/>
                  <w:vAlign w:val="center"/>
                </w:tcPr>
                <w:p w14:paraId="3447A7FC">
                  <w:pPr>
                    <w:pStyle w:val="31"/>
                    <w:keepNext/>
                    <w:keepLines/>
                    <w:pageBreakBefore w:val="0"/>
                    <w:widowControl w:val="0"/>
                    <w:suppressLineNumbers w:val="0"/>
                    <w:kinsoku/>
                    <w:wordWrap/>
                    <w:overflowPunct/>
                    <w:topLinePunct w:val="0"/>
                    <w:autoSpaceDE/>
                    <w:autoSpaceDN/>
                    <w:bidi w:val="0"/>
                    <w:adjustRightInd/>
                    <w:snapToGrid/>
                    <w:spacing w:before="0" w:beforeAutospacing="0" w:after="0" w:afterAutospacing="0" w:line="276" w:lineRule="auto"/>
                    <w:ind w:left="0" w:leftChars="0" w:right="0" w:firstLine="0" w:firstLineChars="0"/>
                    <w:jc w:val="center"/>
                    <w:textAlignment w:val="auto"/>
                    <w:rPr>
                      <w:rFonts w:hint="default" w:ascii="Times New Roman" w:hAnsi="Times New Roman" w:eastAsia="宋体" w:cs="Times New Roman"/>
                      <w:b w:val="0"/>
                      <w:bCs w:val="0"/>
                      <w:kern w:val="2"/>
                      <w:sz w:val="21"/>
                      <w:szCs w:val="21"/>
                      <w:highlight w:val="none"/>
                      <w:vertAlign w:val="baseline"/>
                      <w:lang w:val="en-US" w:eastAsia="zh-CN" w:bidi="ar-SA"/>
                    </w:rPr>
                  </w:pPr>
                  <w:r>
                    <w:rPr>
                      <w:rFonts w:hint="eastAsia" w:ascii="Times New Roman" w:hAnsi="Times New Roman" w:eastAsia="宋体" w:cs="Times New Roman"/>
                      <w:b w:val="0"/>
                      <w:bCs w:val="0"/>
                      <w:kern w:val="2"/>
                      <w:sz w:val="21"/>
                      <w:szCs w:val="21"/>
                      <w:highlight w:val="none"/>
                      <w:vertAlign w:val="baseline"/>
                      <w:lang w:val="en-US" w:eastAsia="zh-CN" w:bidi="ar-SA"/>
                    </w:rPr>
                    <w:t>水资源利用上线目标</w:t>
                  </w:r>
                </w:p>
              </w:tc>
              <w:tc>
                <w:tcPr>
                  <w:tcW w:w="4425" w:type="dxa"/>
                  <w:noWrap w:val="0"/>
                  <w:vAlign w:val="center"/>
                </w:tcPr>
                <w:p w14:paraId="587E84F6">
                  <w:pPr>
                    <w:pStyle w:val="31"/>
                    <w:keepNext/>
                    <w:keepLines/>
                    <w:pageBreakBefore w:val="0"/>
                    <w:widowControl w:val="0"/>
                    <w:suppressLineNumbers w:val="0"/>
                    <w:kinsoku/>
                    <w:wordWrap/>
                    <w:overflowPunct/>
                    <w:topLinePunct w:val="0"/>
                    <w:autoSpaceDE/>
                    <w:autoSpaceDN/>
                    <w:bidi w:val="0"/>
                    <w:adjustRightInd/>
                    <w:snapToGrid/>
                    <w:spacing w:before="0" w:beforeAutospacing="0" w:after="0" w:afterAutospacing="0" w:line="276" w:lineRule="auto"/>
                    <w:ind w:left="0" w:leftChars="0" w:right="0" w:firstLine="0" w:firstLineChars="0"/>
                    <w:jc w:val="both"/>
                    <w:textAlignment w:val="auto"/>
                    <w:rPr>
                      <w:rFonts w:hint="default" w:ascii="Times New Roman" w:hAnsi="Times New Roman" w:eastAsia="宋体" w:cs="Times New Roman"/>
                      <w:b w:val="0"/>
                      <w:bCs w:val="0"/>
                      <w:kern w:val="2"/>
                      <w:sz w:val="21"/>
                      <w:szCs w:val="21"/>
                      <w:highlight w:val="none"/>
                      <w:vertAlign w:val="baseline"/>
                      <w:lang w:val="en-US" w:eastAsia="zh-CN" w:bidi="ar-SA"/>
                    </w:rPr>
                  </w:pPr>
                  <w:r>
                    <w:rPr>
                      <w:rFonts w:hint="default" w:ascii="Times New Roman" w:hAnsi="Times New Roman" w:eastAsia="宋体" w:cs="Times New Roman"/>
                      <w:b w:val="0"/>
                      <w:bCs w:val="0"/>
                      <w:kern w:val="2"/>
                      <w:sz w:val="21"/>
                      <w:szCs w:val="21"/>
                      <w:highlight w:val="none"/>
                      <w:vertAlign w:val="baseline"/>
                      <w:lang w:val="en-US" w:eastAsia="zh-CN" w:bidi="ar-SA"/>
                    </w:rPr>
                    <w:t>到2025年，衢州市用水总量控制在11.91亿立方米，万元GDP用水量和万元工业增加值用水量比2020年下降17%和19%，农田灌溉水有效利用系数提高到0.570。</w:t>
                  </w:r>
                </w:p>
              </w:tc>
              <w:tc>
                <w:tcPr>
                  <w:tcW w:w="1834" w:type="dxa"/>
                  <w:noWrap w:val="0"/>
                  <w:vAlign w:val="center"/>
                </w:tcPr>
                <w:p w14:paraId="706917B3">
                  <w:pPr>
                    <w:pStyle w:val="31"/>
                    <w:keepNext/>
                    <w:keepLines/>
                    <w:pageBreakBefore w:val="0"/>
                    <w:widowControl w:val="0"/>
                    <w:suppressLineNumbers w:val="0"/>
                    <w:kinsoku/>
                    <w:wordWrap/>
                    <w:overflowPunct/>
                    <w:topLinePunct w:val="0"/>
                    <w:autoSpaceDE/>
                    <w:autoSpaceDN/>
                    <w:bidi w:val="0"/>
                    <w:adjustRightInd/>
                    <w:snapToGrid/>
                    <w:spacing w:before="0" w:beforeAutospacing="0" w:after="0" w:afterAutospacing="0" w:line="276" w:lineRule="auto"/>
                    <w:ind w:left="0" w:leftChars="0" w:right="0" w:firstLine="0" w:firstLineChars="0"/>
                    <w:jc w:val="both"/>
                    <w:textAlignment w:val="auto"/>
                    <w:rPr>
                      <w:rFonts w:hint="default" w:ascii="Times New Roman" w:hAnsi="Times New Roman" w:eastAsia="宋体" w:cs="Times New Roman"/>
                      <w:b w:val="0"/>
                      <w:bCs w:val="0"/>
                      <w:kern w:val="2"/>
                      <w:sz w:val="21"/>
                      <w:szCs w:val="21"/>
                      <w:highlight w:val="none"/>
                      <w:vertAlign w:val="baseline"/>
                      <w:lang w:val="en-US" w:eastAsia="zh-CN" w:bidi="ar-SA"/>
                    </w:rPr>
                  </w:pPr>
                  <w:r>
                    <w:rPr>
                      <w:rFonts w:hint="default" w:ascii="Times New Roman" w:hAnsi="Times New Roman" w:eastAsia="宋体" w:cs="Times New Roman"/>
                      <w:b w:val="0"/>
                      <w:bCs w:val="0"/>
                      <w:kern w:val="2"/>
                      <w:sz w:val="21"/>
                      <w:szCs w:val="21"/>
                      <w:highlight w:val="none"/>
                      <w:vertAlign w:val="baseline"/>
                      <w:lang w:val="en-US" w:eastAsia="zh-CN" w:bidi="ar-SA"/>
                    </w:rPr>
                    <w:t>项目不属高能耗用水项目，满足水资源利用上线目标要求。</w:t>
                  </w:r>
                </w:p>
              </w:tc>
              <w:tc>
                <w:tcPr>
                  <w:tcW w:w="523" w:type="dxa"/>
                  <w:noWrap w:val="0"/>
                  <w:vAlign w:val="center"/>
                </w:tcPr>
                <w:p w14:paraId="33889B42">
                  <w:pPr>
                    <w:pStyle w:val="31"/>
                    <w:keepNext/>
                    <w:keepLines/>
                    <w:pageBreakBefore w:val="0"/>
                    <w:widowControl w:val="0"/>
                    <w:suppressLineNumbers w:val="0"/>
                    <w:kinsoku/>
                    <w:wordWrap/>
                    <w:overflowPunct/>
                    <w:topLinePunct w:val="0"/>
                    <w:autoSpaceDE/>
                    <w:autoSpaceDN/>
                    <w:bidi w:val="0"/>
                    <w:adjustRightInd/>
                    <w:snapToGrid/>
                    <w:spacing w:before="0" w:beforeAutospacing="0" w:after="0" w:afterAutospacing="0" w:line="276" w:lineRule="auto"/>
                    <w:ind w:left="0" w:leftChars="0" w:right="0" w:firstLine="0" w:firstLineChars="0"/>
                    <w:jc w:val="center"/>
                    <w:textAlignment w:val="auto"/>
                    <w:rPr>
                      <w:rFonts w:hint="default" w:ascii="Times New Roman" w:hAnsi="Times New Roman" w:eastAsia="宋体" w:cs="Times New Roman"/>
                      <w:b w:val="0"/>
                      <w:bCs w:val="0"/>
                      <w:kern w:val="2"/>
                      <w:sz w:val="21"/>
                      <w:szCs w:val="21"/>
                      <w:highlight w:val="none"/>
                      <w:vertAlign w:val="baseline"/>
                      <w:lang w:val="en-US" w:eastAsia="zh-CN" w:bidi="ar-SA"/>
                    </w:rPr>
                  </w:pPr>
                  <w:r>
                    <w:rPr>
                      <w:rFonts w:hint="eastAsia" w:ascii="Times New Roman" w:hAnsi="Times New Roman" w:eastAsia="宋体" w:cs="Times New Roman"/>
                      <w:b w:val="0"/>
                      <w:bCs w:val="0"/>
                      <w:kern w:val="2"/>
                      <w:sz w:val="21"/>
                      <w:szCs w:val="21"/>
                      <w:highlight w:val="none"/>
                      <w:vertAlign w:val="baseline"/>
                      <w:lang w:val="en-US" w:eastAsia="zh-CN" w:bidi="ar-SA"/>
                    </w:rPr>
                    <w:t>符合</w:t>
                  </w:r>
                </w:p>
              </w:tc>
            </w:tr>
            <w:tr w14:paraId="132E95C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jc w:val="center"/>
              </w:trPr>
              <w:tc>
                <w:tcPr>
                  <w:tcW w:w="528" w:type="dxa"/>
                  <w:vMerge w:val="continue"/>
                  <w:noWrap w:val="0"/>
                  <w:vAlign w:val="center"/>
                </w:tcPr>
                <w:p w14:paraId="1669879D">
                  <w:pPr>
                    <w:pStyle w:val="31"/>
                    <w:keepNext/>
                    <w:keepLines/>
                    <w:pageBreakBefore w:val="0"/>
                    <w:widowControl w:val="0"/>
                    <w:suppressLineNumbers w:val="0"/>
                    <w:kinsoku/>
                    <w:wordWrap/>
                    <w:overflowPunct/>
                    <w:topLinePunct w:val="0"/>
                    <w:autoSpaceDE/>
                    <w:autoSpaceDN/>
                    <w:bidi w:val="0"/>
                    <w:adjustRightInd/>
                    <w:snapToGrid/>
                    <w:spacing w:before="0" w:beforeAutospacing="0" w:after="0" w:afterAutospacing="0" w:line="276" w:lineRule="auto"/>
                    <w:ind w:left="0" w:leftChars="0" w:right="0" w:firstLine="0" w:firstLineChars="0"/>
                    <w:jc w:val="center"/>
                    <w:textAlignment w:val="auto"/>
                    <w:rPr>
                      <w:rFonts w:hint="default" w:ascii="Times New Roman" w:hAnsi="Times New Roman" w:eastAsia="宋体" w:cs="Times New Roman"/>
                      <w:b w:val="0"/>
                      <w:bCs w:val="0"/>
                      <w:kern w:val="2"/>
                      <w:sz w:val="21"/>
                      <w:szCs w:val="21"/>
                      <w:highlight w:val="none"/>
                      <w:vertAlign w:val="baseline"/>
                      <w:lang w:val="en-US" w:eastAsia="zh-CN" w:bidi="ar-SA"/>
                    </w:rPr>
                  </w:pPr>
                </w:p>
              </w:tc>
              <w:tc>
                <w:tcPr>
                  <w:tcW w:w="747" w:type="dxa"/>
                  <w:noWrap w:val="0"/>
                  <w:vAlign w:val="center"/>
                </w:tcPr>
                <w:p w14:paraId="0C5ECB24">
                  <w:pPr>
                    <w:pStyle w:val="31"/>
                    <w:keepNext/>
                    <w:keepLines/>
                    <w:pageBreakBefore w:val="0"/>
                    <w:widowControl w:val="0"/>
                    <w:suppressLineNumbers w:val="0"/>
                    <w:kinsoku/>
                    <w:wordWrap/>
                    <w:overflowPunct/>
                    <w:topLinePunct w:val="0"/>
                    <w:autoSpaceDE/>
                    <w:autoSpaceDN/>
                    <w:bidi w:val="0"/>
                    <w:adjustRightInd/>
                    <w:snapToGrid/>
                    <w:spacing w:before="0" w:beforeAutospacing="0" w:after="0" w:afterAutospacing="0" w:line="276" w:lineRule="auto"/>
                    <w:ind w:left="0" w:leftChars="0" w:right="0" w:firstLine="0" w:firstLineChars="0"/>
                    <w:jc w:val="center"/>
                    <w:textAlignment w:val="auto"/>
                    <w:rPr>
                      <w:rFonts w:hint="default" w:ascii="Times New Roman" w:hAnsi="Times New Roman" w:eastAsia="宋体" w:cs="Times New Roman"/>
                      <w:b w:val="0"/>
                      <w:bCs w:val="0"/>
                      <w:kern w:val="2"/>
                      <w:sz w:val="21"/>
                      <w:szCs w:val="21"/>
                      <w:highlight w:val="none"/>
                      <w:vertAlign w:val="baseline"/>
                      <w:lang w:val="en-US" w:eastAsia="zh-CN" w:bidi="ar-SA"/>
                    </w:rPr>
                  </w:pPr>
                  <w:r>
                    <w:rPr>
                      <w:rFonts w:hint="eastAsia" w:ascii="Times New Roman" w:hAnsi="Times New Roman" w:eastAsia="宋体" w:cs="Times New Roman"/>
                      <w:b w:val="0"/>
                      <w:bCs w:val="0"/>
                      <w:kern w:val="2"/>
                      <w:sz w:val="21"/>
                      <w:szCs w:val="21"/>
                      <w:highlight w:val="none"/>
                      <w:vertAlign w:val="baseline"/>
                      <w:lang w:val="en-US" w:eastAsia="zh-CN" w:bidi="ar-SA"/>
                    </w:rPr>
                    <w:t>土地资源利用上线目标</w:t>
                  </w:r>
                </w:p>
              </w:tc>
              <w:tc>
                <w:tcPr>
                  <w:tcW w:w="4425" w:type="dxa"/>
                  <w:noWrap w:val="0"/>
                  <w:vAlign w:val="center"/>
                </w:tcPr>
                <w:p w14:paraId="133F0576">
                  <w:pPr>
                    <w:pStyle w:val="31"/>
                    <w:keepNext/>
                    <w:keepLines/>
                    <w:pageBreakBefore w:val="0"/>
                    <w:widowControl w:val="0"/>
                    <w:suppressLineNumbers w:val="0"/>
                    <w:kinsoku/>
                    <w:wordWrap/>
                    <w:overflowPunct/>
                    <w:topLinePunct w:val="0"/>
                    <w:autoSpaceDE/>
                    <w:autoSpaceDN/>
                    <w:bidi w:val="0"/>
                    <w:adjustRightInd/>
                    <w:snapToGrid/>
                    <w:spacing w:before="0" w:beforeAutospacing="0" w:after="0" w:afterAutospacing="0" w:line="276" w:lineRule="auto"/>
                    <w:ind w:left="0" w:leftChars="0" w:right="0" w:firstLine="0" w:firstLineChars="0"/>
                    <w:jc w:val="both"/>
                    <w:textAlignment w:val="auto"/>
                    <w:rPr>
                      <w:rFonts w:hint="default" w:ascii="Times New Roman" w:hAnsi="Times New Roman" w:eastAsia="宋体" w:cs="Times New Roman"/>
                      <w:b w:val="0"/>
                      <w:bCs w:val="0"/>
                      <w:kern w:val="2"/>
                      <w:sz w:val="21"/>
                      <w:szCs w:val="21"/>
                      <w:highlight w:val="none"/>
                      <w:vertAlign w:val="baseline"/>
                      <w:lang w:val="en-US" w:eastAsia="zh-CN" w:bidi="ar-SA"/>
                    </w:rPr>
                  </w:pPr>
                  <w:r>
                    <w:rPr>
                      <w:rFonts w:hint="default" w:ascii="Times New Roman" w:hAnsi="Times New Roman" w:eastAsia="宋体" w:cs="Times New Roman"/>
                      <w:b w:val="0"/>
                      <w:bCs w:val="0"/>
                      <w:kern w:val="2"/>
                      <w:sz w:val="21"/>
                      <w:szCs w:val="21"/>
                      <w:highlight w:val="none"/>
                      <w:vertAlign w:val="baseline"/>
                      <w:lang w:val="en-US" w:eastAsia="zh-CN" w:bidi="ar-SA"/>
                    </w:rPr>
                    <w:t>到2035年，衢州市耕地保有量不少于1028.24平方公里，永久基本农田保护面积不少于923.51平方公里，建设用地总规模控制在879.97平方公里，城乡建设用地规模控制在706.36平方公里，人均城镇建设用地控制在148平方米以内</w:t>
                  </w:r>
                  <w:r>
                    <w:rPr>
                      <w:rFonts w:hint="eastAsia" w:ascii="Times New Roman" w:hAnsi="Times New Roman" w:eastAsia="宋体" w:cs="Times New Roman"/>
                      <w:b w:val="0"/>
                      <w:bCs w:val="0"/>
                      <w:kern w:val="2"/>
                      <w:sz w:val="21"/>
                      <w:szCs w:val="21"/>
                      <w:highlight w:val="none"/>
                      <w:vertAlign w:val="baseline"/>
                      <w:lang w:val="en-US" w:eastAsia="zh-CN" w:bidi="ar-SA"/>
                    </w:rPr>
                    <w:t>。</w:t>
                  </w:r>
                </w:p>
              </w:tc>
              <w:tc>
                <w:tcPr>
                  <w:tcW w:w="1834" w:type="dxa"/>
                  <w:noWrap w:val="0"/>
                  <w:vAlign w:val="center"/>
                </w:tcPr>
                <w:p w14:paraId="0B877106">
                  <w:pPr>
                    <w:pStyle w:val="31"/>
                    <w:keepNext/>
                    <w:keepLines/>
                    <w:pageBreakBefore w:val="0"/>
                    <w:widowControl w:val="0"/>
                    <w:suppressLineNumbers w:val="0"/>
                    <w:kinsoku/>
                    <w:wordWrap/>
                    <w:overflowPunct/>
                    <w:topLinePunct w:val="0"/>
                    <w:autoSpaceDE/>
                    <w:autoSpaceDN/>
                    <w:bidi w:val="0"/>
                    <w:adjustRightInd/>
                    <w:snapToGrid/>
                    <w:spacing w:before="0" w:beforeAutospacing="0" w:after="0" w:afterAutospacing="0" w:line="276" w:lineRule="auto"/>
                    <w:ind w:left="0" w:leftChars="0" w:right="0" w:firstLine="0" w:firstLineChars="0"/>
                    <w:jc w:val="both"/>
                    <w:textAlignment w:val="auto"/>
                    <w:rPr>
                      <w:rFonts w:hint="default" w:ascii="Times New Roman" w:hAnsi="Times New Roman" w:eastAsia="宋体" w:cs="Times New Roman"/>
                      <w:b w:val="0"/>
                      <w:bCs w:val="0"/>
                      <w:kern w:val="2"/>
                      <w:sz w:val="21"/>
                      <w:szCs w:val="21"/>
                      <w:highlight w:val="none"/>
                      <w:vertAlign w:val="baseline"/>
                      <w:lang w:val="en-US" w:eastAsia="zh-CN" w:bidi="ar-SA"/>
                    </w:rPr>
                  </w:pPr>
                  <w:r>
                    <w:rPr>
                      <w:rFonts w:hint="default" w:ascii="Times New Roman" w:hAnsi="Times New Roman" w:eastAsia="宋体" w:cs="Times New Roman"/>
                      <w:b w:val="0"/>
                      <w:bCs w:val="0"/>
                      <w:kern w:val="2"/>
                      <w:sz w:val="21"/>
                      <w:szCs w:val="21"/>
                      <w:highlight w:val="none"/>
                      <w:vertAlign w:val="baseline"/>
                      <w:lang w:val="en-US" w:eastAsia="zh-CN" w:bidi="ar-SA"/>
                    </w:rPr>
                    <w:t>项目</w:t>
                  </w:r>
                  <w:r>
                    <w:rPr>
                      <w:rFonts w:hint="eastAsia" w:ascii="Times New Roman" w:hAnsi="Times New Roman" w:eastAsia="宋体" w:cs="Times New Roman"/>
                      <w:b w:val="0"/>
                      <w:bCs w:val="0"/>
                      <w:kern w:val="2"/>
                      <w:sz w:val="21"/>
                      <w:szCs w:val="21"/>
                      <w:highlight w:val="none"/>
                      <w:vertAlign w:val="baseline"/>
                      <w:lang w:val="en-US" w:eastAsia="zh-CN" w:bidi="ar-SA"/>
                    </w:rPr>
                    <w:t>用地符合相关要求，不触及资源利用上线</w:t>
                  </w:r>
                  <w:r>
                    <w:rPr>
                      <w:rFonts w:hint="default" w:ascii="Times New Roman" w:hAnsi="Times New Roman" w:eastAsia="宋体" w:cs="Times New Roman"/>
                      <w:b w:val="0"/>
                      <w:bCs w:val="0"/>
                      <w:kern w:val="2"/>
                      <w:sz w:val="21"/>
                      <w:szCs w:val="21"/>
                      <w:highlight w:val="none"/>
                      <w:vertAlign w:val="baseline"/>
                      <w:lang w:val="en-US" w:eastAsia="zh-CN" w:bidi="ar-SA"/>
                    </w:rPr>
                    <w:t>。</w:t>
                  </w:r>
                </w:p>
              </w:tc>
              <w:tc>
                <w:tcPr>
                  <w:tcW w:w="523" w:type="dxa"/>
                  <w:noWrap w:val="0"/>
                  <w:vAlign w:val="center"/>
                </w:tcPr>
                <w:p w14:paraId="677A505C">
                  <w:pPr>
                    <w:pStyle w:val="31"/>
                    <w:keepNext/>
                    <w:keepLines/>
                    <w:pageBreakBefore w:val="0"/>
                    <w:widowControl w:val="0"/>
                    <w:suppressLineNumbers w:val="0"/>
                    <w:kinsoku/>
                    <w:wordWrap/>
                    <w:overflowPunct/>
                    <w:topLinePunct w:val="0"/>
                    <w:autoSpaceDE/>
                    <w:autoSpaceDN/>
                    <w:bidi w:val="0"/>
                    <w:adjustRightInd/>
                    <w:snapToGrid/>
                    <w:spacing w:before="0" w:beforeAutospacing="0" w:after="0" w:afterAutospacing="0" w:line="276" w:lineRule="auto"/>
                    <w:ind w:left="0" w:leftChars="0" w:right="0" w:firstLine="0" w:firstLineChars="0"/>
                    <w:jc w:val="center"/>
                    <w:textAlignment w:val="auto"/>
                    <w:rPr>
                      <w:rFonts w:hint="default" w:ascii="Times New Roman" w:hAnsi="Times New Roman" w:eastAsia="宋体" w:cs="Times New Roman"/>
                      <w:b w:val="0"/>
                      <w:bCs w:val="0"/>
                      <w:kern w:val="2"/>
                      <w:sz w:val="21"/>
                      <w:szCs w:val="21"/>
                      <w:highlight w:val="none"/>
                      <w:vertAlign w:val="baseline"/>
                      <w:lang w:val="en-US" w:eastAsia="zh-CN" w:bidi="ar-SA"/>
                    </w:rPr>
                  </w:pPr>
                  <w:r>
                    <w:rPr>
                      <w:rFonts w:hint="eastAsia" w:ascii="Times New Roman" w:hAnsi="Times New Roman" w:eastAsia="宋体" w:cs="Times New Roman"/>
                      <w:b w:val="0"/>
                      <w:bCs w:val="0"/>
                      <w:kern w:val="2"/>
                      <w:sz w:val="21"/>
                      <w:szCs w:val="21"/>
                      <w:highlight w:val="none"/>
                      <w:vertAlign w:val="baseline"/>
                      <w:lang w:val="en-US" w:eastAsia="zh-CN" w:bidi="ar-SA"/>
                    </w:rPr>
                    <w:t>符合</w:t>
                  </w:r>
                </w:p>
              </w:tc>
            </w:tr>
          </w:tbl>
          <w:p w14:paraId="3C4FC82B">
            <w:pPr>
              <w:pStyle w:val="31"/>
              <w:keepNext/>
              <w:keepLines/>
              <w:pageBreakBefore w:val="0"/>
              <w:widowControl w:val="0"/>
              <w:suppressLineNumbers w:val="0"/>
              <w:kinsoku/>
              <w:wordWrap/>
              <w:overflowPunct/>
              <w:topLinePunct w:val="0"/>
              <w:autoSpaceDE/>
              <w:autoSpaceDN/>
              <w:bidi w:val="0"/>
              <w:adjustRightInd/>
              <w:snapToGrid/>
              <w:spacing w:before="0" w:beforeAutospacing="0" w:after="0" w:afterAutospacing="0" w:line="360" w:lineRule="auto"/>
              <w:ind w:left="0" w:leftChars="0" w:right="0" w:firstLine="480" w:firstLineChars="200"/>
              <w:jc w:val="both"/>
              <w:textAlignment w:val="auto"/>
              <w:rPr>
                <w:rFonts w:hint="default" w:ascii="Times New Roman" w:hAnsi="Times New Roman" w:eastAsia="宋体" w:cs="Times New Roman"/>
                <w:b w:val="0"/>
                <w:bCs w:val="0"/>
                <w:kern w:val="2"/>
                <w:sz w:val="24"/>
                <w:szCs w:val="24"/>
                <w:highlight w:val="none"/>
                <w:lang w:val="en-US" w:eastAsia="zh-CN" w:bidi="ar-SA"/>
              </w:rPr>
            </w:pPr>
            <w:r>
              <w:rPr>
                <w:rFonts w:hint="eastAsia" w:ascii="Times New Roman" w:hAnsi="Times New Roman" w:eastAsia="宋体" w:cs="Times New Roman"/>
                <w:b w:val="0"/>
                <w:bCs w:val="0"/>
                <w:kern w:val="2"/>
                <w:sz w:val="24"/>
                <w:szCs w:val="24"/>
                <w:highlight w:val="none"/>
                <w:lang w:val="en-US" w:eastAsia="zh-CN" w:bidi="ar-SA"/>
              </w:rPr>
              <w:t>（4）生态环境准入清单</w:t>
            </w:r>
          </w:p>
          <w:p w14:paraId="0342BEBE">
            <w:pPr>
              <w:keepNext w:val="0"/>
              <w:keepLines w:val="0"/>
              <w:suppressLineNumbers w:val="0"/>
              <w:tabs>
                <w:tab w:val="left" w:pos="0"/>
                <w:tab w:val="left" w:pos="870"/>
                <w:tab w:val="left" w:pos="3150"/>
              </w:tabs>
              <w:autoSpaceDE w:val="0"/>
              <w:autoSpaceDN w:val="0"/>
              <w:snapToGrid w:val="0"/>
              <w:spacing w:before="0" w:beforeAutospacing="0" w:after="0" w:afterAutospacing="0" w:line="360" w:lineRule="auto"/>
              <w:ind w:left="0" w:right="0" w:firstLine="480" w:firstLineChars="200"/>
              <w:rPr>
                <w:rFonts w:hint="default"/>
                <w:kern w:val="0"/>
                <w:highlight w:val="none"/>
              </w:rPr>
            </w:pPr>
            <w:r>
              <w:rPr>
                <w:rFonts w:hint="eastAsia"/>
                <w:kern w:val="0"/>
                <w:highlight w:val="none"/>
              </w:rPr>
              <w:t>衢州市划定环境管控单元119个。其中优先保护单元48个，面积</w:t>
            </w:r>
            <w:r>
              <w:rPr>
                <w:rFonts w:hint="default" w:eastAsia="仿宋_GB2312"/>
                <w:highlight w:val="none"/>
              </w:rPr>
              <w:t>5113.33</w:t>
            </w:r>
            <w:r>
              <w:rPr>
                <w:rFonts w:hint="eastAsia"/>
                <w:kern w:val="0"/>
                <w:highlight w:val="none"/>
              </w:rPr>
              <w:t>平方千米，占全市国土面积的57.79%，主要为自然保护区、风景名胜区、国家级森林公园、湿地公园及重要湿地、饮用水源保护区、国家级生态公益林等重要保护地，以及生态功能较重要的地区。重点管控单元65个，面积</w:t>
            </w:r>
            <w:r>
              <w:rPr>
                <w:rFonts w:hint="default" w:eastAsia="仿宋_GB2312"/>
                <w:highlight w:val="none"/>
              </w:rPr>
              <w:t>793.58</w:t>
            </w:r>
            <w:r>
              <w:rPr>
                <w:rFonts w:hint="eastAsia"/>
                <w:kern w:val="0"/>
                <w:highlight w:val="none"/>
              </w:rPr>
              <w:t>平方千米，占全市国土面积的</w:t>
            </w:r>
            <w:r>
              <w:rPr>
                <w:rFonts w:hint="default" w:eastAsia="仿宋_GB2312"/>
                <w:highlight w:val="none"/>
              </w:rPr>
              <w:t>8.97</w:t>
            </w:r>
            <w:r>
              <w:rPr>
                <w:rFonts w:hint="eastAsia"/>
                <w:kern w:val="0"/>
                <w:highlight w:val="none"/>
              </w:rPr>
              <w:t>%，主要为工业发展集中区域和城镇建设集中区域，其中，产业集聚重点管控单元35个，城镇生活重点管控单元30个。一般管控单元6个，面积</w:t>
            </w:r>
            <w:r>
              <w:rPr>
                <w:rFonts w:hint="default" w:eastAsia="仿宋_GB2312"/>
                <w:highlight w:val="none"/>
              </w:rPr>
              <w:t>2941.49</w:t>
            </w:r>
            <w:r>
              <w:rPr>
                <w:rFonts w:hint="eastAsia"/>
                <w:kern w:val="0"/>
                <w:highlight w:val="none"/>
              </w:rPr>
              <w:t>平方千米，占全市国土面积的</w:t>
            </w:r>
            <w:r>
              <w:rPr>
                <w:rFonts w:hint="default" w:eastAsia="仿宋_GB2312"/>
                <w:highlight w:val="none"/>
              </w:rPr>
              <w:t>33.24</w:t>
            </w:r>
            <w:r>
              <w:rPr>
                <w:rFonts w:hint="eastAsia"/>
                <w:kern w:val="0"/>
                <w:highlight w:val="none"/>
              </w:rPr>
              <w:t>%。</w:t>
            </w:r>
          </w:p>
          <w:p w14:paraId="303EBC02">
            <w:pPr>
              <w:pStyle w:val="119"/>
              <w:keepNext w:val="0"/>
              <w:keepLines w:val="0"/>
              <w:suppressLineNumbers w:val="0"/>
              <w:spacing w:before="0" w:beforeAutospacing="0" w:after="0" w:afterAutospacing="0"/>
              <w:ind w:left="0" w:right="0" w:firstLine="480" w:firstLineChars="200"/>
              <w:rPr>
                <w:rFonts w:hint="default" w:eastAsia="宋体"/>
                <w:b/>
                <w:bCs/>
                <w:szCs w:val="24"/>
                <w:highlight w:val="none"/>
                <w:lang w:val="en-US" w:eastAsia="zh-CN"/>
              </w:rPr>
            </w:pPr>
            <w:r>
              <w:rPr>
                <w:rFonts w:hint="default"/>
                <w:kern w:val="0"/>
                <w:szCs w:val="20"/>
                <w:highlight w:val="none"/>
              </w:rPr>
              <w:t>对照</w:t>
            </w:r>
            <w:r>
              <w:rPr>
                <w:rFonts w:hint="eastAsia"/>
                <w:kern w:val="0"/>
                <w:szCs w:val="20"/>
                <w:highlight w:val="none"/>
              </w:rPr>
              <w:t>《衢州市生态环境分区管控动态更新方案》（衢环发</w:t>
            </w:r>
            <w:r>
              <w:rPr>
                <w:rFonts w:hint="eastAsia"/>
                <w:kern w:val="0"/>
                <w:szCs w:val="20"/>
                <w:highlight w:val="none"/>
                <w:lang w:eastAsia="zh-CN"/>
              </w:rPr>
              <w:t>〔2024〕52号</w:t>
            </w:r>
            <w:r>
              <w:rPr>
                <w:rFonts w:hint="eastAsia"/>
                <w:kern w:val="0"/>
                <w:szCs w:val="20"/>
                <w:highlight w:val="none"/>
              </w:rPr>
              <w:t>）</w:t>
            </w:r>
            <w:r>
              <w:rPr>
                <w:rFonts w:hint="default"/>
                <w:kern w:val="0"/>
                <w:szCs w:val="20"/>
                <w:highlight w:val="none"/>
              </w:rPr>
              <w:t>，项目所在区域位于</w:t>
            </w:r>
            <w:r>
              <w:rPr>
                <w:rFonts w:hint="eastAsia"/>
                <w:kern w:val="0"/>
                <w:szCs w:val="20"/>
                <w:highlight w:val="none"/>
              </w:rPr>
              <w:t>“城镇</w:t>
            </w:r>
            <w:r>
              <w:rPr>
                <w:rFonts w:hint="default"/>
                <w:kern w:val="0"/>
                <w:szCs w:val="20"/>
                <w:highlight w:val="none"/>
              </w:rPr>
              <w:t>生活污染重点管控</w:t>
            </w:r>
            <w:r>
              <w:rPr>
                <w:rFonts w:hint="eastAsia"/>
                <w:kern w:val="0"/>
                <w:szCs w:val="20"/>
                <w:highlight w:val="none"/>
              </w:rPr>
              <w:t>区</w:t>
            </w:r>
            <w:r>
              <w:rPr>
                <w:rFonts w:hint="default"/>
                <w:kern w:val="0"/>
                <w:szCs w:val="20"/>
                <w:highlight w:val="none"/>
              </w:rPr>
              <w:t>ZH33080220002—浙江省衢州市柯城区主城区城镇生活重点管控区</w:t>
            </w:r>
            <w:r>
              <w:rPr>
                <w:rFonts w:hint="eastAsia"/>
                <w:kern w:val="0"/>
                <w:szCs w:val="20"/>
                <w:highlight w:val="none"/>
              </w:rPr>
              <w:t>”</w:t>
            </w:r>
            <w:r>
              <w:rPr>
                <w:rFonts w:hint="default"/>
                <w:kern w:val="0"/>
                <w:szCs w:val="20"/>
                <w:highlight w:val="none"/>
              </w:rPr>
              <w:t>。对照该管控单元生态准入清单要求，本项目可满足其要求</w:t>
            </w:r>
            <w:r>
              <w:rPr>
                <w:rFonts w:hint="eastAsia"/>
                <w:kern w:val="0"/>
                <w:szCs w:val="20"/>
                <w:highlight w:val="none"/>
              </w:rPr>
              <w:t>，</w:t>
            </w:r>
            <w:r>
              <w:rPr>
                <w:rFonts w:hint="default"/>
                <w:kern w:val="0"/>
                <w:szCs w:val="20"/>
                <w:highlight w:val="none"/>
              </w:rPr>
              <w:t>对照情况详见表1-</w:t>
            </w:r>
            <w:r>
              <w:rPr>
                <w:rFonts w:hint="eastAsia"/>
                <w:kern w:val="0"/>
                <w:szCs w:val="20"/>
                <w:highlight w:val="none"/>
                <w:lang w:val="en-US" w:eastAsia="zh-CN"/>
              </w:rPr>
              <w:t>4。</w:t>
            </w:r>
          </w:p>
          <w:p w14:paraId="47C7EBAC">
            <w:pPr>
              <w:keepNext w:val="0"/>
              <w:keepLines w:val="0"/>
              <w:suppressLineNumbers w:val="0"/>
              <w:snapToGrid w:val="0"/>
              <w:spacing w:before="0" w:beforeAutospacing="0" w:after="0" w:afterAutospacing="0"/>
              <w:ind w:left="0" w:right="0"/>
              <w:jc w:val="center"/>
              <w:rPr>
                <w:rFonts w:hint="default"/>
                <w:b/>
                <w:bCs/>
                <w:szCs w:val="21"/>
                <w:highlight w:val="none"/>
              </w:rPr>
            </w:pPr>
          </w:p>
          <w:p w14:paraId="40019B3F">
            <w:pPr>
              <w:keepNext w:val="0"/>
              <w:keepLines w:val="0"/>
              <w:suppressLineNumbers w:val="0"/>
              <w:snapToGrid w:val="0"/>
              <w:spacing w:before="0" w:beforeAutospacing="0" w:after="0" w:afterAutospacing="0"/>
              <w:ind w:left="0" w:right="0"/>
              <w:jc w:val="center"/>
              <w:rPr>
                <w:rFonts w:hint="default"/>
                <w:b/>
                <w:bCs/>
                <w:szCs w:val="21"/>
                <w:highlight w:val="none"/>
              </w:rPr>
            </w:pPr>
          </w:p>
          <w:p w14:paraId="6CBC06A0">
            <w:pPr>
              <w:keepNext w:val="0"/>
              <w:keepLines w:val="0"/>
              <w:suppressLineNumbers w:val="0"/>
              <w:snapToGrid w:val="0"/>
              <w:spacing w:before="0" w:beforeAutospacing="0" w:after="0" w:afterAutospacing="0"/>
              <w:ind w:left="0" w:right="0"/>
              <w:jc w:val="center"/>
              <w:rPr>
                <w:rFonts w:hint="default"/>
                <w:b/>
                <w:bCs/>
                <w:szCs w:val="21"/>
                <w:highlight w:val="none"/>
              </w:rPr>
            </w:pPr>
          </w:p>
          <w:p w14:paraId="3FF45170">
            <w:pPr>
              <w:keepNext w:val="0"/>
              <w:keepLines w:val="0"/>
              <w:suppressLineNumbers w:val="0"/>
              <w:snapToGrid w:val="0"/>
              <w:spacing w:before="0" w:beforeAutospacing="0" w:after="0" w:afterAutospacing="0"/>
              <w:ind w:left="0" w:right="0"/>
              <w:jc w:val="center"/>
              <w:rPr>
                <w:rFonts w:hint="default"/>
                <w:b/>
                <w:bCs/>
                <w:szCs w:val="21"/>
                <w:highlight w:val="none"/>
              </w:rPr>
            </w:pPr>
          </w:p>
          <w:p w14:paraId="5A3FED15">
            <w:pPr>
              <w:keepNext w:val="0"/>
              <w:keepLines w:val="0"/>
              <w:suppressLineNumbers w:val="0"/>
              <w:snapToGrid w:val="0"/>
              <w:spacing w:before="0" w:beforeAutospacing="0" w:after="0" w:afterAutospacing="0"/>
              <w:ind w:left="0" w:right="0"/>
              <w:jc w:val="center"/>
              <w:rPr>
                <w:rFonts w:hint="default"/>
                <w:b/>
                <w:bCs/>
                <w:szCs w:val="21"/>
                <w:highlight w:val="none"/>
              </w:rPr>
            </w:pPr>
          </w:p>
          <w:p w14:paraId="0647F264">
            <w:pPr>
              <w:keepNext w:val="0"/>
              <w:keepLines w:val="0"/>
              <w:suppressLineNumbers w:val="0"/>
              <w:snapToGrid w:val="0"/>
              <w:spacing w:before="0" w:beforeAutospacing="0" w:after="0" w:afterAutospacing="0"/>
              <w:ind w:left="0" w:right="0"/>
              <w:jc w:val="center"/>
              <w:rPr>
                <w:rFonts w:hint="default"/>
                <w:b/>
                <w:bCs/>
                <w:szCs w:val="21"/>
                <w:highlight w:val="none"/>
              </w:rPr>
            </w:pPr>
          </w:p>
          <w:p w14:paraId="39846766">
            <w:pPr>
              <w:pStyle w:val="7"/>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60" w:lineRule="auto"/>
              <w:ind w:left="0" w:right="0" w:firstLine="0" w:firstLineChars="0"/>
              <w:jc w:val="center"/>
              <w:textAlignment w:val="auto"/>
              <w:rPr>
                <w:rFonts w:hint="default" w:ascii="Times New Roman" w:hAnsi="Times New Roman" w:eastAsia="宋体" w:cs="Times New Roman"/>
                <w:b/>
                <w:bCs/>
                <w:kern w:val="2"/>
                <w:sz w:val="24"/>
                <w:szCs w:val="24"/>
                <w:highlight w:val="none"/>
                <w:lang w:val="en-US" w:eastAsia="zh-CN" w:bidi="ar-SA"/>
              </w:rPr>
            </w:pPr>
            <w:r>
              <w:rPr>
                <w:rFonts w:hint="default" w:ascii="Times New Roman" w:hAnsi="Times New Roman" w:eastAsia="宋体" w:cs="Times New Roman"/>
                <w:b/>
                <w:bCs/>
                <w:kern w:val="2"/>
                <w:sz w:val="24"/>
                <w:szCs w:val="24"/>
                <w:highlight w:val="none"/>
                <w:lang w:val="en-US" w:eastAsia="zh-CN" w:bidi="ar-SA"/>
              </w:rPr>
              <w:t>表1-</w:t>
            </w:r>
            <w:r>
              <w:rPr>
                <w:rFonts w:hint="eastAsia" w:ascii="Times New Roman" w:hAnsi="Times New Roman" w:eastAsia="宋体" w:cs="Times New Roman"/>
                <w:b/>
                <w:bCs/>
                <w:kern w:val="2"/>
                <w:sz w:val="24"/>
                <w:szCs w:val="24"/>
                <w:highlight w:val="none"/>
                <w:lang w:val="en-US" w:eastAsia="zh-CN" w:bidi="ar-SA"/>
              </w:rPr>
              <w:t xml:space="preserve">4 </w:t>
            </w:r>
            <w:r>
              <w:rPr>
                <w:rFonts w:hint="default" w:ascii="Times New Roman" w:hAnsi="Times New Roman" w:eastAsia="宋体" w:cs="Times New Roman"/>
                <w:b/>
                <w:bCs/>
                <w:kern w:val="2"/>
                <w:sz w:val="24"/>
                <w:szCs w:val="24"/>
                <w:highlight w:val="none"/>
                <w:lang w:val="en-US" w:eastAsia="zh-CN" w:bidi="ar-SA"/>
              </w:rPr>
              <w:t xml:space="preserve"> 环境管控单元准入清单符合性分析</w:t>
            </w:r>
          </w:p>
          <w:tbl>
            <w:tblPr>
              <w:tblStyle w:val="32"/>
              <w:tblW w:w="7938"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28" w:type="dxa"/>
                <w:bottom w:w="0" w:type="dxa"/>
                <w:right w:w="28" w:type="dxa"/>
              </w:tblCellMar>
            </w:tblPr>
            <w:tblGrid>
              <w:gridCol w:w="379"/>
              <w:gridCol w:w="790"/>
              <w:gridCol w:w="3213"/>
              <w:gridCol w:w="2912"/>
              <w:gridCol w:w="644"/>
            </w:tblGrid>
            <w:tr w14:paraId="34F9C55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340" w:hRule="atLeast"/>
                <w:jc w:val="center"/>
              </w:trPr>
              <w:tc>
                <w:tcPr>
                  <w:tcW w:w="379" w:type="dxa"/>
                  <w:vAlign w:val="center"/>
                </w:tcPr>
                <w:p w14:paraId="21BAB920">
                  <w:pPr>
                    <w:keepNext w:val="0"/>
                    <w:keepLines w:val="0"/>
                    <w:suppressLineNumbers w:val="0"/>
                    <w:snapToGrid w:val="0"/>
                    <w:spacing w:before="0" w:beforeAutospacing="0" w:after="0" w:afterAutospacing="0"/>
                    <w:ind w:left="0" w:right="0"/>
                    <w:jc w:val="center"/>
                    <w:rPr>
                      <w:rFonts w:hint="default"/>
                      <w:sz w:val="21"/>
                      <w:szCs w:val="21"/>
                      <w:highlight w:val="none"/>
                    </w:rPr>
                  </w:pPr>
                  <w:r>
                    <w:rPr>
                      <w:rFonts w:hint="default"/>
                      <w:sz w:val="21"/>
                      <w:szCs w:val="21"/>
                      <w:highlight w:val="none"/>
                    </w:rPr>
                    <w:t>序号</w:t>
                  </w:r>
                </w:p>
              </w:tc>
              <w:tc>
                <w:tcPr>
                  <w:tcW w:w="790" w:type="dxa"/>
                  <w:vAlign w:val="center"/>
                </w:tcPr>
                <w:p w14:paraId="1C9E2298">
                  <w:pPr>
                    <w:keepNext w:val="0"/>
                    <w:keepLines w:val="0"/>
                    <w:suppressLineNumbers w:val="0"/>
                    <w:snapToGrid w:val="0"/>
                    <w:spacing w:before="0" w:beforeAutospacing="0" w:after="0" w:afterAutospacing="0"/>
                    <w:ind w:left="0" w:right="0"/>
                    <w:jc w:val="center"/>
                    <w:rPr>
                      <w:rFonts w:hint="default"/>
                      <w:sz w:val="21"/>
                      <w:szCs w:val="21"/>
                      <w:highlight w:val="none"/>
                    </w:rPr>
                  </w:pPr>
                  <w:r>
                    <w:rPr>
                      <w:rFonts w:hint="default"/>
                      <w:sz w:val="21"/>
                      <w:szCs w:val="21"/>
                      <w:highlight w:val="none"/>
                    </w:rPr>
                    <w:t>类别</w:t>
                  </w:r>
                </w:p>
              </w:tc>
              <w:tc>
                <w:tcPr>
                  <w:tcW w:w="3213" w:type="dxa"/>
                  <w:vAlign w:val="center"/>
                </w:tcPr>
                <w:p w14:paraId="78D82A69">
                  <w:pPr>
                    <w:keepNext w:val="0"/>
                    <w:keepLines w:val="0"/>
                    <w:suppressLineNumbers w:val="0"/>
                    <w:snapToGrid w:val="0"/>
                    <w:spacing w:before="0" w:beforeAutospacing="0" w:after="0" w:afterAutospacing="0"/>
                    <w:ind w:left="0" w:right="0"/>
                    <w:jc w:val="center"/>
                    <w:rPr>
                      <w:rFonts w:hint="default"/>
                      <w:sz w:val="21"/>
                      <w:szCs w:val="21"/>
                      <w:highlight w:val="none"/>
                    </w:rPr>
                  </w:pPr>
                  <w:r>
                    <w:rPr>
                      <w:rFonts w:hint="default"/>
                      <w:sz w:val="21"/>
                      <w:szCs w:val="21"/>
                      <w:highlight w:val="none"/>
                    </w:rPr>
                    <w:t>要求</w:t>
                  </w:r>
                </w:p>
              </w:tc>
              <w:tc>
                <w:tcPr>
                  <w:tcW w:w="2912" w:type="dxa"/>
                  <w:vAlign w:val="center"/>
                </w:tcPr>
                <w:p w14:paraId="297867DC">
                  <w:pPr>
                    <w:keepNext w:val="0"/>
                    <w:keepLines w:val="0"/>
                    <w:suppressLineNumbers w:val="0"/>
                    <w:snapToGrid w:val="0"/>
                    <w:spacing w:before="0" w:beforeAutospacing="0" w:after="0" w:afterAutospacing="0"/>
                    <w:ind w:left="0" w:right="0"/>
                    <w:jc w:val="center"/>
                    <w:rPr>
                      <w:rFonts w:hint="default"/>
                      <w:sz w:val="21"/>
                      <w:szCs w:val="21"/>
                      <w:highlight w:val="none"/>
                    </w:rPr>
                  </w:pPr>
                  <w:r>
                    <w:rPr>
                      <w:rFonts w:hint="default"/>
                      <w:sz w:val="21"/>
                      <w:szCs w:val="21"/>
                      <w:highlight w:val="none"/>
                    </w:rPr>
                    <w:t>项目情况</w:t>
                  </w:r>
                </w:p>
              </w:tc>
              <w:tc>
                <w:tcPr>
                  <w:tcW w:w="644" w:type="dxa"/>
                  <w:vAlign w:val="center"/>
                </w:tcPr>
                <w:p w14:paraId="39D20BFE">
                  <w:pPr>
                    <w:keepNext w:val="0"/>
                    <w:keepLines w:val="0"/>
                    <w:suppressLineNumbers w:val="0"/>
                    <w:snapToGrid w:val="0"/>
                    <w:spacing w:before="0" w:beforeAutospacing="0" w:after="0" w:afterAutospacing="0"/>
                    <w:ind w:left="0" w:right="0"/>
                    <w:jc w:val="center"/>
                    <w:rPr>
                      <w:rFonts w:hint="default"/>
                      <w:sz w:val="21"/>
                      <w:szCs w:val="21"/>
                      <w:highlight w:val="none"/>
                    </w:rPr>
                  </w:pPr>
                  <w:r>
                    <w:rPr>
                      <w:rFonts w:hint="default"/>
                      <w:sz w:val="21"/>
                      <w:szCs w:val="21"/>
                      <w:highlight w:val="none"/>
                    </w:rPr>
                    <w:t>是否</w:t>
                  </w:r>
                </w:p>
                <w:p w14:paraId="58D2A094">
                  <w:pPr>
                    <w:keepNext w:val="0"/>
                    <w:keepLines w:val="0"/>
                    <w:suppressLineNumbers w:val="0"/>
                    <w:snapToGrid w:val="0"/>
                    <w:spacing w:before="0" w:beforeAutospacing="0" w:after="0" w:afterAutospacing="0"/>
                    <w:ind w:left="0" w:right="0"/>
                    <w:jc w:val="center"/>
                    <w:rPr>
                      <w:rFonts w:hint="default"/>
                      <w:sz w:val="21"/>
                      <w:szCs w:val="21"/>
                      <w:highlight w:val="none"/>
                    </w:rPr>
                  </w:pPr>
                  <w:r>
                    <w:rPr>
                      <w:rFonts w:hint="default"/>
                      <w:sz w:val="21"/>
                      <w:szCs w:val="21"/>
                      <w:highlight w:val="none"/>
                    </w:rPr>
                    <w:t>符合</w:t>
                  </w:r>
                </w:p>
              </w:tc>
            </w:tr>
            <w:tr w14:paraId="1F30995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4100" w:hRule="atLeast"/>
                <w:jc w:val="center"/>
              </w:trPr>
              <w:tc>
                <w:tcPr>
                  <w:tcW w:w="379" w:type="dxa"/>
                  <w:vAlign w:val="center"/>
                </w:tcPr>
                <w:p w14:paraId="19CC460E">
                  <w:pPr>
                    <w:keepNext w:val="0"/>
                    <w:keepLines w:val="0"/>
                    <w:suppressLineNumbers w:val="0"/>
                    <w:snapToGrid w:val="0"/>
                    <w:spacing w:before="0" w:beforeAutospacing="0" w:after="0" w:afterAutospacing="0"/>
                    <w:ind w:left="0" w:right="0"/>
                    <w:jc w:val="center"/>
                    <w:rPr>
                      <w:rFonts w:hint="default"/>
                      <w:sz w:val="21"/>
                      <w:szCs w:val="21"/>
                      <w:highlight w:val="none"/>
                    </w:rPr>
                  </w:pPr>
                  <w:r>
                    <w:rPr>
                      <w:rFonts w:hint="default"/>
                      <w:sz w:val="21"/>
                      <w:szCs w:val="21"/>
                      <w:highlight w:val="none"/>
                    </w:rPr>
                    <w:t>1</w:t>
                  </w:r>
                </w:p>
              </w:tc>
              <w:tc>
                <w:tcPr>
                  <w:tcW w:w="790" w:type="dxa"/>
                  <w:vAlign w:val="center"/>
                </w:tcPr>
                <w:p w14:paraId="389D60FE">
                  <w:pPr>
                    <w:keepNext w:val="0"/>
                    <w:keepLines w:val="0"/>
                    <w:suppressLineNumbers w:val="0"/>
                    <w:snapToGrid w:val="0"/>
                    <w:spacing w:before="0" w:beforeAutospacing="0" w:after="0" w:afterAutospacing="0"/>
                    <w:ind w:left="0" w:right="0"/>
                    <w:jc w:val="center"/>
                    <w:rPr>
                      <w:rFonts w:hint="default"/>
                      <w:sz w:val="21"/>
                      <w:szCs w:val="21"/>
                      <w:highlight w:val="none"/>
                    </w:rPr>
                  </w:pPr>
                  <w:r>
                    <w:rPr>
                      <w:rFonts w:hint="default"/>
                      <w:sz w:val="21"/>
                      <w:szCs w:val="21"/>
                      <w:highlight w:val="none"/>
                    </w:rPr>
                    <w:t>空间布局引导</w:t>
                  </w:r>
                </w:p>
              </w:tc>
              <w:tc>
                <w:tcPr>
                  <w:tcW w:w="3213" w:type="dxa"/>
                  <w:vAlign w:val="center"/>
                </w:tcPr>
                <w:p w14:paraId="4597F9BD">
                  <w:pPr>
                    <w:keepNext w:val="0"/>
                    <w:keepLines w:val="0"/>
                    <w:suppressLineNumbers w:val="0"/>
                    <w:snapToGrid w:val="0"/>
                    <w:spacing w:before="0" w:beforeAutospacing="0" w:after="0" w:afterAutospacing="0"/>
                    <w:ind w:left="0" w:right="0"/>
                    <w:jc w:val="both"/>
                    <w:rPr>
                      <w:rFonts w:hint="default" w:ascii="Times New Roman" w:hAnsi="Times New Roman" w:cs="Times New Roman"/>
                      <w:sz w:val="21"/>
                      <w:szCs w:val="21"/>
                      <w:highlight w:val="none"/>
                    </w:rPr>
                  </w:pPr>
                  <w:r>
                    <w:rPr>
                      <w:rFonts w:hint="eastAsia" w:ascii="Times New Roman" w:hAnsi="Times New Roman" w:cs="Times New Roman"/>
                      <w:sz w:val="21"/>
                      <w:szCs w:val="21"/>
                      <w:highlight w:val="none"/>
                    </w:rPr>
                    <w:t>禁止新建、扩建三类工业项目，现有三类工业项目改建不得增加污染物排放总量，鼓励现有三类工业项目搬迁关闭。禁止新建涉及一类重金属、重点行业重点重金属污染物、持久性有机污染物排放等环境健康风险较大的二类工业项目。除工业功能区（小微园区、工业集聚点）外，原则上禁止新建其他二类工业项目。现有二类工业项目改建、扩建，不得增加管控单元污染物排放总量。严格执行畜禽养殖禁养区规定。推进城镇绿廊建设，协同建设区域生态网络和绿道体系，建立城镇生态空间与区域生态空间的有机联系。推进既有建筑绿色化改造，高质量发展零碳低耗绿色建筑</w:t>
                  </w:r>
                  <w:r>
                    <w:rPr>
                      <w:rFonts w:hint="default" w:ascii="Times New Roman" w:hAnsi="Times New Roman" w:cs="Times New Roman"/>
                      <w:sz w:val="21"/>
                      <w:szCs w:val="21"/>
                      <w:highlight w:val="none"/>
                    </w:rPr>
                    <w:t>。</w:t>
                  </w:r>
                </w:p>
              </w:tc>
              <w:tc>
                <w:tcPr>
                  <w:tcW w:w="2912" w:type="dxa"/>
                  <w:vAlign w:val="center"/>
                </w:tcPr>
                <w:p w14:paraId="6849C688">
                  <w:pPr>
                    <w:keepNext w:val="0"/>
                    <w:keepLines w:val="0"/>
                    <w:suppressLineNumbers w:val="0"/>
                    <w:snapToGrid w:val="0"/>
                    <w:spacing w:before="0" w:beforeAutospacing="0" w:after="0" w:afterAutospacing="0"/>
                    <w:ind w:left="0" w:right="0"/>
                    <w:jc w:val="both"/>
                    <w:rPr>
                      <w:rFonts w:hint="default" w:ascii="Times New Roman" w:hAnsi="Times New Roman" w:cs="Times New Roman"/>
                      <w:sz w:val="21"/>
                      <w:szCs w:val="21"/>
                      <w:highlight w:val="none"/>
                    </w:rPr>
                  </w:pPr>
                  <w:r>
                    <w:rPr>
                      <w:rFonts w:hint="default" w:ascii="Times New Roman" w:hAnsi="Times New Roman" w:cs="Times New Roman"/>
                      <w:sz w:val="21"/>
                      <w:szCs w:val="21"/>
                      <w:highlight w:val="none"/>
                    </w:rPr>
                    <w:t>本项目</w:t>
                  </w:r>
                  <w:r>
                    <w:rPr>
                      <w:rFonts w:hint="eastAsia" w:ascii="Times New Roman" w:hAnsi="Times New Roman" w:cs="Times New Roman"/>
                      <w:sz w:val="21"/>
                      <w:szCs w:val="21"/>
                      <w:highlight w:val="none"/>
                    </w:rPr>
                    <w:t>为</w:t>
                  </w:r>
                  <w:r>
                    <w:rPr>
                      <w:rFonts w:hint="eastAsia" w:ascii="Times New Roman" w:hAnsi="Times New Roman" w:cs="Times New Roman"/>
                      <w:sz w:val="21"/>
                      <w:szCs w:val="21"/>
                      <w:highlight w:val="none"/>
                      <w:lang w:val="en-US" w:eastAsia="zh-CN"/>
                    </w:rPr>
                    <w:t>研究</w:t>
                  </w:r>
                  <w:r>
                    <w:rPr>
                      <w:rFonts w:hint="eastAsia" w:cs="Times New Roman"/>
                      <w:sz w:val="21"/>
                      <w:szCs w:val="21"/>
                      <w:highlight w:val="none"/>
                      <w:lang w:val="en-US" w:eastAsia="zh-CN"/>
                    </w:rPr>
                    <w:t>和</w:t>
                  </w:r>
                  <w:r>
                    <w:rPr>
                      <w:rFonts w:hint="eastAsia" w:ascii="Times New Roman" w:hAnsi="Times New Roman" w:cs="Times New Roman"/>
                      <w:sz w:val="21"/>
                      <w:szCs w:val="21"/>
                      <w:highlight w:val="none"/>
                      <w:lang w:val="en-US" w:eastAsia="zh-CN"/>
                    </w:rPr>
                    <w:t>试验</w:t>
                  </w:r>
                  <w:r>
                    <w:rPr>
                      <w:rFonts w:hint="eastAsia" w:ascii="Times New Roman" w:hAnsi="Times New Roman" w:cs="Times New Roman"/>
                      <w:sz w:val="21"/>
                      <w:szCs w:val="21"/>
                      <w:highlight w:val="none"/>
                    </w:rPr>
                    <w:t>项目</w:t>
                  </w:r>
                  <w:r>
                    <w:rPr>
                      <w:rFonts w:hint="default" w:ascii="Times New Roman" w:hAnsi="Times New Roman" w:cs="Times New Roman"/>
                      <w:sz w:val="21"/>
                      <w:szCs w:val="21"/>
                      <w:highlight w:val="none"/>
                    </w:rPr>
                    <w:t>，不属于工业项目</w:t>
                  </w:r>
                  <w:r>
                    <w:rPr>
                      <w:rFonts w:hint="eastAsia" w:ascii="Times New Roman" w:hAnsi="Times New Roman" w:cs="Times New Roman"/>
                      <w:sz w:val="21"/>
                      <w:szCs w:val="21"/>
                      <w:highlight w:val="none"/>
                    </w:rPr>
                    <w:t>，</w:t>
                  </w:r>
                  <w:r>
                    <w:rPr>
                      <w:rFonts w:hint="eastAsia" w:cs="Times New Roman"/>
                      <w:sz w:val="21"/>
                      <w:szCs w:val="21"/>
                      <w:highlight w:val="none"/>
                      <w:lang w:val="en-US" w:eastAsia="zh-CN"/>
                    </w:rPr>
                    <w:t>项目动物实验完成后即处死实验动物，主要饲养目的为科研，而非销售，故</w:t>
                  </w:r>
                  <w:r>
                    <w:rPr>
                      <w:rFonts w:hint="eastAsia" w:ascii="Times New Roman" w:hAnsi="Times New Roman" w:cs="Times New Roman"/>
                      <w:sz w:val="21"/>
                      <w:szCs w:val="21"/>
                      <w:highlight w:val="none"/>
                    </w:rPr>
                    <w:t>不</w:t>
                  </w:r>
                  <w:r>
                    <w:rPr>
                      <w:rFonts w:hint="eastAsia" w:cs="Times New Roman"/>
                      <w:sz w:val="21"/>
                      <w:szCs w:val="21"/>
                      <w:highlight w:val="none"/>
                      <w:lang w:val="en-US" w:eastAsia="zh-CN"/>
                    </w:rPr>
                    <w:t>属于</w:t>
                  </w:r>
                  <w:r>
                    <w:rPr>
                      <w:rFonts w:hint="eastAsia" w:ascii="Times New Roman" w:hAnsi="Times New Roman" w:cs="Times New Roman"/>
                      <w:sz w:val="21"/>
                      <w:szCs w:val="21"/>
                      <w:highlight w:val="none"/>
                    </w:rPr>
                    <w:t>畜禽养殖</w:t>
                  </w:r>
                  <w:r>
                    <w:rPr>
                      <w:rFonts w:hint="default" w:ascii="Times New Roman" w:hAnsi="Times New Roman" w:cs="Times New Roman"/>
                      <w:sz w:val="21"/>
                      <w:szCs w:val="21"/>
                      <w:highlight w:val="none"/>
                    </w:rPr>
                    <w:t>。</w:t>
                  </w:r>
                </w:p>
              </w:tc>
              <w:tc>
                <w:tcPr>
                  <w:tcW w:w="644" w:type="dxa"/>
                  <w:vAlign w:val="center"/>
                </w:tcPr>
                <w:p w14:paraId="08C2D951">
                  <w:pPr>
                    <w:keepNext w:val="0"/>
                    <w:keepLines w:val="0"/>
                    <w:suppressLineNumbers w:val="0"/>
                    <w:snapToGrid w:val="0"/>
                    <w:spacing w:before="0" w:beforeAutospacing="0" w:after="0" w:afterAutospacing="0"/>
                    <w:ind w:left="0" w:right="0"/>
                    <w:jc w:val="center"/>
                    <w:rPr>
                      <w:rFonts w:hint="default"/>
                      <w:sz w:val="21"/>
                      <w:szCs w:val="21"/>
                      <w:highlight w:val="none"/>
                    </w:rPr>
                  </w:pPr>
                  <w:r>
                    <w:rPr>
                      <w:rFonts w:hint="default"/>
                      <w:sz w:val="21"/>
                      <w:szCs w:val="21"/>
                      <w:highlight w:val="none"/>
                    </w:rPr>
                    <w:t>符合</w:t>
                  </w:r>
                </w:p>
              </w:tc>
            </w:tr>
            <w:tr w14:paraId="778EC87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3069" w:hRule="atLeast"/>
                <w:jc w:val="center"/>
              </w:trPr>
              <w:tc>
                <w:tcPr>
                  <w:tcW w:w="379" w:type="dxa"/>
                  <w:vAlign w:val="center"/>
                </w:tcPr>
                <w:p w14:paraId="0F40C45C">
                  <w:pPr>
                    <w:keepNext w:val="0"/>
                    <w:keepLines w:val="0"/>
                    <w:suppressLineNumbers w:val="0"/>
                    <w:snapToGrid w:val="0"/>
                    <w:spacing w:before="0" w:beforeAutospacing="0" w:after="0" w:afterAutospacing="0"/>
                    <w:ind w:left="0" w:right="0"/>
                    <w:jc w:val="center"/>
                    <w:rPr>
                      <w:rFonts w:hint="default"/>
                      <w:sz w:val="21"/>
                      <w:szCs w:val="21"/>
                      <w:highlight w:val="none"/>
                    </w:rPr>
                  </w:pPr>
                  <w:r>
                    <w:rPr>
                      <w:rFonts w:hint="default"/>
                      <w:sz w:val="21"/>
                      <w:szCs w:val="21"/>
                      <w:highlight w:val="none"/>
                    </w:rPr>
                    <w:t>2</w:t>
                  </w:r>
                </w:p>
              </w:tc>
              <w:tc>
                <w:tcPr>
                  <w:tcW w:w="790" w:type="dxa"/>
                  <w:vAlign w:val="center"/>
                </w:tcPr>
                <w:p w14:paraId="424CE656">
                  <w:pPr>
                    <w:keepNext w:val="0"/>
                    <w:keepLines w:val="0"/>
                    <w:suppressLineNumbers w:val="0"/>
                    <w:snapToGrid w:val="0"/>
                    <w:spacing w:before="0" w:beforeAutospacing="0" w:after="0" w:afterAutospacing="0"/>
                    <w:ind w:left="0" w:right="0"/>
                    <w:jc w:val="center"/>
                    <w:rPr>
                      <w:rFonts w:hint="default"/>
                      <w:sz w:val="21"/>
                      <w:szCs w:val="21"/>
                      <w:highlight w:val="none"/>
                    </w:rPr>
                  </w:pPr>
                  <w:r>
                    <w:rPr>
                      <w:rFonts w:hint="default"/>
                      <w:sz w:val="21"/>
                      <w:szCs w:val="21"/>
                      <w:highlight w:val="none"/>
                    </w:rPr>
                    <w:t>污染物排放管控</w:t>
                  </w:r>
                </w:p>
              </w:tc>
              <w:tc>
                <w:tcPr>
                  <w:tcW w:w="3213" w:type="dxa"/>
                  <w:vAlign w:val="center"/>
                </w:tcPr>
                <w:p w14:paraId="7C740912">
                  <w:pPr>
                    <w:keepNext w:val="0"/>
                    <w:keepLines w:val="0"/>
                    <w:suppressLineNumbers w:val="0"/>
                    <w:snapToGrid w:val="0"/>
                    <w:spacing w:before="0" w:beforeAutospacing="0" w:after="0" w:afterAutospacing="0"/>
                    <w:ind w:left="0" w:right="0"/>
                    <w:jc w:val="both"/>
                    <w:rPr>
                      <w:rFonts w:hint="eastAsia" w:ascii="Times New Roman" w:hAnsi="Times New Roman" w:cs="Times New Roman"/>
                      <w:sz w:val="21"/>
                      <w:szCs w:val="21"/>
                      <w:highlight w:val="none"/>
                    </w:rPr>
                  </w:pPr>
                  <w:r>
                    <w:rPr>
                      <w:rFonts w:hint="eastAsia" w:ascii="Times New Roman" w:hAnsi="Times New Roman" w:cs="Times New Roman"/>
                      <w:sz w:val="21"/>
                      <w:szCs w:val="21"/>
                      <w:highlight w:val="none"/>
                    </w:rPr>
                    <w:t>严格实施污染物总量控制制度，根据区域环境质量改善目标，削减污染物排放总量。污水收集管网范围内，禁止新建除城镇污水处理设施外的入河排污口，现有的入河排污口应限期拆除，但相关法律法规和标准规定必须单独设置排污口的除外。加快污水处理设施建设与提标改造，加快完善城乡污水管网，加强对现有雨污合流管网的分流改造，深化城镇“污水零直排区”建设。加强噪声和臭气异味防治，强化餐饮油烟治理，严格施工扬尘监管，依法严禁秸秆、垃圾等露天焚烧。加强土壤和地下水污染防治与修复。推动能源、工业、建筑、交通、居民生活等重点领域绿色低碳转型。</w:t>
                  </w:r>
                </w:p>
              </w:tc>
              <w:tc>
                <w:tcPr>
                  <w:tcW w:w="2912" w:type="dxa"/>
                  <w:vAlign w:val="center"/>
                </w:tcPr>
                <w:p w14:paraId="7106F217">
                  <w:pPr>
                    <w:keepNext w:val="0"/>
                    <w:keepLines w:val="0"/>
                    <w:suppressLineNumbers w:val="0"/>
                    <w:snapToGrid w:val="0"/>
                    <w:spacing w:before="0" w:beforeAutospacing="0" w:after="0" w:afterAutospacing="0"/>
                    <w:ind w:left="0" w:right="0"/>
                    <w:jc w:val="both"/>
                    <w:rPr>
                      <w:rFonts w:hint="eastAsia" w:ascii="Times New Roman" w:hAnsi="Times New Roman" w:cs="Times New Roman"/>
                      <w:sz w:val="21"/>
                      <w:szCs w:val="21"/>
                      <w:highlight w:val="none"/>
                    </w:rPr>
                  </w:pPr>
                  <w:r>
                    <w:rPr>
                      <w:rFonts w:hint="eastAsia" w:ascii="Times New Roman" w:hAnsi="Times New Roman" w:cs="Times New Roman"/>
                      <w:sz w:val="21"/>
                      <w:szCs w:val="21"/>
                      <w:highlight w:val="none"/>
                    </w:rPr>
                    <w:t>本项目为</w:t>
                  </w:r>
                  <w:r>
                    <w:rPr>
                      <w:rFonts w:hint="eastAsia" w:ascii="Times New Roman" w:hAnsi="Times New Roman" w:cs="Times New Roman"/>
                      <w:sz w:val="21"/>
                      <w:szCs w:val="21"/>
                      <w:highlight w:val="none"/>
                      <w:lang w:val="en-US" w:eastAsia="zh-CN"/>
                    </w:rPr>
                    <w:t>研究</w:t>
                  </w:r>
                  <w:r>
                    <w:rPr>
                      <w:rFonts w:hint="eastAsia" w:cs="Times New Roman"/>
                      <w:sz w:val="21"/>
                      <w:szCs w:val="21"/>
                      <w:highlight w:val="none"/>
                      <w:lang w:val="en-US" w:eastAsia="zh-CN"/>
                    </w:rPr>
                    <w:t>和</w:t>
                  </w:r>
                  <w:r>
                    <w:rPr>
                      <w:rFonts w:hint="eastAsia" w:ascii="Times New Roman" w:hAnsi="Times New Roman" w:cs="Times New Roman"/>
                      <w:sz w:val="21"/>
                      <w:szCs w:val="21"/>
                      <w:highlight w:val="none"/>
                      <w:lang w:val="en-US" w:eastAsia="zh-CN"/>
                    </w:rPr>
                    <w:t>试验</w:t>
                  </w:r>
                  <w:r>
                    <w:rPr>
                      <w:rFonts w:hint="eastAsia" w:ascii="Times New Roman" w:hAnsi="Times New Roman" w:cs="Times New Roman"/>
                      <w:sz w:val="21"/>
                      <w:szCs w:val="21"/>
                      <w:highlight w:val="none"/>
                    </w:rPr>
                    <w:t>项目，不属于工业项目，无需总量准入审核，无需进行区域替代削减；本项目实施后废水经预处理达标纳管进入高铁新城再生水厂处理达标后排放，在城区污水收集管网范围内，无入河排污口；实现雨污分流。项目实施后，</w:t>
                  </w:r>
                  <w:r>
                    <w:rPr>
                      <w:rFonts w:hint="eastAsia" w:ascii="Times New Roman" w:hAnsi="Times New Roman" w:cs="Times New Roman"/>
                      <w:color w:val="auto"/>
                      <w:sz w:val="21"/>
                      <w:szCs w:val="21"/>
                      <w:highlight w:val="none"/>
                    </w:rPr>
                    <w:t>合理规划垃圾暂存处的位置，及时清运，减少臭气产生；食堂油烟配备油烟净化器，可有效治理餐饮油烟；本项目施工时，采用洒水抑尘、堆场覆膜等措施，有效减少施工扬尘；本项目营运期废水纳管排放，地面均为硬化地面，正常情况下不会对土壤和地下水造成影响，要求</w:t>
                  </w:r>
                  <w:r>
                    <w:rPr>
                      <w:rFonts w:hint="eastAsia" w:cs="Times New Roman"/>
                      <w:color w:val="auto"/>
                      <w:sz w:val="21"/>
                      <w:szCs w:val="21"/>
                      <w:highlight w:val="none"/>
                      <w:lang w:val="en-US" w:eastAsia="zh-CN"/>
                    </w:rPr>
                    <w:t>企业</w:t>
                  </w:r>
                  <w:r>
                    <w:rPr>
                      <w:rFonts w:hint="eastAsia" w:ascii="Times New Roman" w:hAnsi="Times New Roman" w:cs="Times New Roman"/>
                      <w:color w:val="auto"/>
                      <w:sz w:val="21"/>
                      <w:szCs w:val="21"/>
                      <w:highlight w:val="none"/>
                    </w:rPr>
                    <w:t>加强运营时期的管理。</w:t>
                  </w:r>
                </w:p>
              </w:tc>
              <w:tc>
                <w:tcPr>
                  <w:tcW w:w="644" w:type="dxa"/>
                  <w:vAlign w:val="center"/>
                </w:tcPr>
                <w:p w14:paraId="467203F5">
                  <w:pPr>
                    <w:keepNext w:val="0"/>
                    <w:keepLines w:val="0"/>
                    <w:suppressLineNumbers w:val="0"/>
                    <w:snapToGrid w:val="0"/>
                    <w:spacing w:before="0" w:beforeAutospacing="0" w:after="0" w:afterAutospacing="0"/>
                    <w:ind w:left="0" w:right="0"/>
                    <w:jc w:val="center"/>
                    <w:rPr>
                      <w:rFonts w:hint="default"/>
                      <w:sz w:val="21"/>
                      <w:szCs w:val="21"/>
                      <w:highlight w:val="none"/>
                    </w:rPr>
                  </w:pPr>
                  <w:r>
                    <w:rPr>
                      <w:rFonts w:hint="default"/>
                      <w:sz w:val="21"/>
                      <w:szCs w:val="21"/>
                      <w:highlight w:val="none"/>
                    </w:rPr>
                    <w:t>符合</w:t>
                  </w:r>
                </w:p>
              </w:tc>
            </w:tr>
            <w:tr w14:paraId="0C796A8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340" w:hRule="atLeast"/>
                <w:jc w:val="center"/>
              </w:trPr>
              <w:tc>
                <w:tcPr>
                  <w:tcW w:w="379" w:type="dxa"/>
                  <w:vAlign w:val="center"/>
                </w:tcPr>
                <w:p w14:paraId="3821D4C8">
                  <w:pPr>
                    <w:keepNext w:val="0"/>
                    <w:keepLines w:val="0"/>
                    <w:suppressLineNumbers w:val="0"/>
                    <w:snapToGrid w:val="0"/>
                    <w:spacing w:before="0" w:beforeAutospacing="0" w:after="0" w:afterAutospacing="0"/>
                    <w:ind w:left="0" w:right="0"/>
                    <w:jc w:val="center"/>
                    <w:rPr>
                      <w:rFonts w:hint="default"/>
                      <w:sz w:val="21"/>
                      <w:szCs w:val="21"/>
                      <w:highlight w:val="none"/>
                    </w:rPr>
                  </w:pPr>
                  <w:r>
                    <w:rPr>
                      <w:rFonts w:hint="default"/>
                      <w:sz w:val="21"/>
                      <w:szCs w:val="21"/>
                      <w:highlight w:val="none"/>
                    </w:rPr>
                    <w:t>3</w:t>
                  </w:r>
                </w:p>
              </w:tc>
              <w:tc>
                <w:tcPr>
                  <w:tcW w:w="790" w:type="dxa"/>
                  <w:vAlign w:val="center"/>
                </w:tcPr>
                <w:p w14:paraId="05C429DF">
                  <w:pPr>
                    <w:keepNext w:val="0"/>
                    <w:keepLines w:val="0"/>
                    <w:suppressLineNumbers w:val="0"/>
                    <w:snapToGrid w:val="0"/>
                    <w:spacing w:before="0" w:beforeAutospacing="0" w:after="0" w:afterAutospacing="0"/>
                    <w:ind w:left="0" w:right="0"/>
                    <w:jc w:val="center"/>
                    <w:rPr>
                      <w:rFonts w:hint="default"/>
                      <w:sz w:val="21"/>
                      <w:szCs w:val="21"/>
                      <w:highlight w:val="none"/>
                    </w:rPr>
                  </w:pPr>
                  <w:r>
                    <w:rPr>
                      <w:rFonts w:hint="default"/>
                      <w:sz w:val="21"/>
                      <w:szCs w:val="21"/>
                      <w:highlight w:val="none"/>
                    </w:rPr>
                    <w:t>环境风险防控</w:t>
                  </w:r>
                </w:p>
              </w:tc>
              <w:tc>
                <w:tcPr>
                  <w:tcW w:w="3213" w:type="dxa"/>
                  <w:vAlign w:val="center"/>
                </w:tcPr>
                <w:p w14:paraId="043A3CE8">
                  <w:pPr>
                    <w:keepNext w:val="0"/>
                    <w:keepLines w:val="0"/>
                    <w:suppressLineNumbers w:val="0"/>
                    <w:snapToGrid w:val="0"/>
                    <w:spacing w:before="0" w:beforeAutospacing="0" w:after="0" w:afterAutospacing="0"/>
                    <w:ind w:left="0" w:right="0"/>
                    <w:jc w:val="both"/>
                    <w:rPr>
                      <w:rFonts w:hint="default"/>
                      <w:sz w:val="21"/>
                      <w:szCs w:val="21"/>
                      <w:highlight w:val="none"/>
                    </w:rPr>
                  </w:pPr>
                  <w:r>
                    <w:rPr>
                      <w:rFonts w:hint="default"/>
                      <w:kern w:val="0"/>
                      <w:sz w:val="21"/>
                      <w:szCs w:val="21"/>
                      <w:highlight w:val="none"/>
                    </w:rPr>
                    <w:t>合理布局工业、商业、居住、科教等功能区块，严格控制噪声、恶臭、油烟等污染排放较大的建设项目布局。</w:t>
                  </w:r>
                </w:p>
              </w:tc>
              <w:tc>
                <w:tcPr>
                  <w:tcW w:w="2912" w:type="dxa"/>
                  <w:vAlign w:val="center"/>
                </w:tcPr>
                <w:p w14:paraId="067D79B1">
                  <w:pPr>
                    <w:keepNext w:val="0"/>
                    <w:keepLines w:val="0"/>
                    <w:suppressLineNumbers w:val="0"/>
                    <w:snapToGrid w:val="0"/>
                    <w:spacing w:before="0" w:beforeAutospacing="0" w:after="0" w:afterAutospacing="0"/>
                    <w:ind w:left="0" w:right="0"/>
                    <w:jc w:val="both"/>
                    <w:rPr>
                      <w:rFonts w:hint="default"/>
                      <w:sz w:val="21"/>
                      <w:szCs w:val="21"/>
                      <w:highlight w:val="none"/>
                    </w:rPr>
                  </w:pPr>
                  <w:r>
                    <w:rPr>
                      <w:rFonts w:hint="default"/>
                      <w:sz w:val="21"/>
                      <w:szCs w:val="21"/>
                      <w:highlight w:val="none"/>
                    </w:rPr>
                    <w:t>本</w:t>
                  </w:r>
                  <w:r>
                    <w:rPr>
                      <w:rFonts w:hint="default"/>
                      <w:color w:val="auto"/>
                      <w:sz w:val="21"/>
                      <w:szCs w:val="21"/>
                      <w:highlight w:val="none"/>
                    </w:rPr>
                    <w:t>项目</w:t>
                  </w:r>
                  <w:r>
                    <w:rPr>
                      <w:rFonts w:hint="eastAsia"/>
                      <w:color w:val="auto"/>
                      <w:sz w:val="21"/>
                      <w:szCs w:val="21"/>
                      <w:highlight w:val="none"/>
                    </w:rPr>
                    <w:t>为</w:t>
                  </w:r>
                  <w:r>
                    <w:rPr>
                      <w:rFonts w:hint="eastAsia" w:ascii="Times New Roman" w:hAnsi="Times New Roman" w:cs="Times New Roman"/>
                      <w:sz w:val="21"/>
                      <w:szCs w:val="21"/>
                      <w:highlight w:val="none"/>
                      <w:lang w:val="en-US" w:eastAsia="zh-CN"/>
                    </w:rPr>
                    <w:t>医学研究和试验发展</w:t>
                  </w:r>
                  <w:r>
                    <w:rPr>
                      <w:rFonts w:hint="eastAsia" w:ascii="Times New Roman" w:hAnsi="Times New Roman" w:cs="Times New Roman"/>
                      <w:sz w:val="21"/>
                      <w:szCs w:val="21"/>
                      <w:highlight w:val="none"/>
                    </w:rPr>
                    <w:t>项目</w:t>
                  </w:r>
                  <w:r>
                    <w:rPr>
                      <w:rFonts w:hint="eastAsia"/>
                      <w:color w:val="auto"/>
                      <w:sz w:val="21"/>
                      <w:szCs w:val="21"/>
                      <w:highlight w:val="none"/>
                    </w:rPr>
                    <w:t>，</w:t>
                  </w:r>
                  <w:r>
                    <w:rPr>
                      <w:rFonts w:hint="default"/>
                      <w:color w:val="auto"/>
                      <w:kern w:val="0"/>
                      <w:sz w:val="21"/>
                      <w:szCs w:val="21"/>
                      <w:highlight w:val="none"/>
                    </w:rPr>
                    <w:t>土地用途为</w:t>
                  </w:r>
                  <w:r>
                    <w:rPr>
                      <w:rFonts w:hint="eastAsia"/>
                      <w:color w:val="auto"/>
                      <w:kern w:val="0"/>
                      <w:sz w:val="21"/>
                      <w:szCs w:val="21"/>
                      <w:highlight w:val="none"/>
                      <w:lang w:val="en-US" w:eastAsia="zh-CN"/>
                    </w:rPr>
                    <w:t>科研</w:t>
                  </w:r>
                  <w:r>
                    <w:rPr>
                      <w:rFonts w:hint="default"/>
                      <w:color w:val="auto"/>
                      <w:kern w:val="0"/>
                      <w:sz w:val="21"/>
                      <w:szCs w:val="21"/>
                      <w:highlight w:val="none"/>
                    </w:rPr>
                    <w:t>用地，</w:t>
                  </w:r>
                  <w:r>
                    <w:rPr>
                      <w:rFonts w:hint="eastAsia"/>
                      <w:color w:val="auto"/>
                      <w:sz w:val="21"/>
                      <w:szCs w:val="21"/>
                      <w:highlight w:val="none"/>
                    </w:rPr>
                    <w:t>不属于噪声、恶臭、油烟等污染排放较大的建设项目</w:t>
                  </w:r>
                  <w:r>
                    <w:rPr>
                      <w:rFonts w:hint="eastAsia"/>
                      <w:sz w:val="21"/>
                      <w:szCs w:val="21"/>
                      <w:highlight w:val="none"/>
                    </w:rPr>
                    <w:t>。</w:t>
                  </w:r>
                </w:p>
              </w:tc>
              <w:tc>
                <w:tcPr>
                  <w:tcW w:w="644" w:type="dxa"/>
                  <w:vAlign w:val="center"/>
                </w:tcPr>
                <w:p w14:paraId="7CF07D45">
                  <w:pPr>
                    <w:keepNext w:val="0"/>
                    <w:keepLines w:val="0"/>
                    <w:suppressLineNumbers w:val="0"/>
                    <w:snapToGrid w:val="0"/>
                    <w:spacing w:before="0" w:beforeAutospacing="0" w:after="0" w:afterAutospacing="0"/>
                    <w:ind w:left="0" w:right="0"/>
                    <w:jc w:val="center"/>
                    <w:rPr>
                      <w:rFonts w:hint="default"/>
                      <w:sz w:val="21"/>
                      <w:szCs w:val="21"/>
                      <w:highlight w:val="none"/>
                    </w:rPr>
                  </w:pPr>
                  <w:r>
                    <w:rPr>
                      <w:rFonts w:hint="default"/>
                      <w:sz w:val="21"/>
                      <w:szCs w:val="21"/>
                      <w:highlight w:val="none"/>
                    </w:rPr>
                    <w:t>符合</w:t>
                  </w:r>
                </w:p>
              </w:tc>
            </w:tr>
            <w:tr w14:paraId="2401C1E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340" w:hRule="atLeast"/>
                <w:jc w:val="center"/>
              </w:trPr>
              <w:tc>
                <w:tcPr>
                  <w:tcW w:w="379" w:type="dxa"/>
                  <w:vAlign w:val="center"/>
                </w:tcPr>
                <w:p w14:paraId="640E6B2A">
                  <w:pPr>
                    <w:keepNext w:val="0"/>
                    <w:keepLines w:val="0"/>
                    <w:suppressLineNumbers w:val="0"/>
                    <w:snapToGrid w:val="0"/>
                    <w:spacing w:before="0" w:beforeAutospacing="0" w:after="0" w:afterAutospacing="0"/>
                    <w:ind w:left="0" w:right="0"/>
                    <w:jc w:val="center"/>
                    <w:rPr>
                      <w:rFonts w:hint="default"/>
                      <w:sz w:val="21"/>
                      <w:szCs w:val="21"/>
                      <w:highlight w:val="none"/>
                    </w:rPr>
                  </w:pPr>
                  <w:r>
                    <w:rPr>
                      <w:rFonts w:hint="default"/>
                      <w:sz w:val="21"/>
                      <w:szCs w:val="21"/>
                      <w:highlight w:val="none"/>
                    </w:rPr>
                    <w:t>4</w:t>
                  </w:r>
                </w:p>
              </w:tc>
              <w:tc>
                <w:tcPr>
                  <w:tcW w:w="790" w:type="dxa"/>
                  <w:vAlign w:val="center"/>
                </w:tcPr>
                <w:p w14:paraId="6D3811B7">
                  <w:pPr>
                    <w:keepNext w:val="0"/>
                    <w:keepLines w:val="0"/>
                    <w:suppressLineNumbers w:val="0"/>
                    <w:snapToGrid w:val="0"/>
                    <w:spacing w:before="0" w:beforeAutospacing="0" w:after="0" w:afterAutospacing="0"/>
                    <w:ind w:left="0" w:right="0"/>
                    <w:jc w:val="center"/>
                    <w:rPr>
                      <w:rFonts w:hint="default"/>
                      <w:kern w:val="0"/>
                      <w:sz w:val="21"/>
                      <w:szCs w:val="21"/>
                      <w:highlight w:val="none"/>
                    </w:rPr>
                  </w:pPr>
                  <w:r>
                    <w:rPr>
                      <w:rFonts w:hint="default"/>
                      <w:kern w:val="0"/>
                      <w:sz w:val="21"/>
                      <w:szCs w:val="21"/>
                      <w:highlight w:val="none"/>
                    </w:rPr>
                    <w:t>资源开发效率要求</w:t>
                  </w:r>
                </w:p>
              </w:tc>
              <w:tc>
                <w:tcPr>
                  <w:tcW w:w="3213" w:type="dxa"/>
                  <w:vAlign w:val="center"/>
                </w:tcPr>
                <w:p w14:paraId="5765137C">
                  <w:pPr>
                    <w:keepNext w:val="0"/>
                    <w:keepLines w:val="0"/>
                    <w:suppressLineNumbers w:val="0"/>
                    <w:snapToGrid w:val="0"/>
                    <w:spacing w:before="0" w:beforeAutospacing="0" w:after="0" w:afterAutospacing="0"/>
                    <w:ind w:left="0" w:right="0"/>
                    <w:jc w:val="both"/>
                    <w:rPr>
                      <w:rFonts w:hint="default" w:ascii="Times New Roman" w:hAnsi="Times New Roman" w:cs="Times New Roman"/>
                      <w:kern w:val="0"/>
                      <w:sz w:val="21"/>
                      <w:szCs w:val="21"/>
                      <w:highlight w:val="none"/>
                    </w:rPr>
                  </w:pPr>
                  <w:r>
                    <w:rPr>
                      <w:rFonts w:hint="eastAsia" w:ascii="Times New Roman" w:hAnsi="Times New Roman" w:cs="Times New Roman"/>
                      <w:kern w:val="0"/>
                      <w:sz w:val="21"/>
                      <w:szCs w:val="21"/>
                      <w:highlight w:val="none"/>
                    </w:rPr>
                    <w:t>全面开展节水型社会建设，推进节水产品推广普及，限制高耗水服务业用水。到2025年，推进生活节水降损，实施城市供水管网优化改造，城市公共供水管网漏损率控制在9%以内</w:t>
                  </w:r>
                  <w:r>
                    <w:rPr>
                      <w:rFonts w:hint="default" w:ascii="Times New Roman" w:hAnsi="Times New Roman" w:cs="Times New Roman"/>
                      <w:kern w:val="0"/>
                      <w:sz w:val="21"/>
                      <w:szCs w:val="21"/>
                      <w:highlight w:val="none"/>
                    </w:rPr>
                    <w:t>。</w:t>
                  </w:r>
                </w:p>
              </w:tc>
              <w:tc>
                <w:tcPr>
                  <w:tcW w:w="2912" w:type="dxa"/>
                  <w:vAlign w:val="center"/>
                </w:tcPr>
                <w:p w14:paraId="4DB2A7D8">
                  <w:pPr>
                    <w:keepNext w:val="0"/>
                    <w:keepLines w:val="0"/>
                    <w:suppressLineNumbers w:val="0"/>
                    <w:snapToGrid w:val="0"/>
                    <w:spacing w:before="0" w:beforeAutospacing="0" w:after="0" w:afterAutospacing="0"/>
                    <w:ind w:left="0" w:right="0"/>
                    <w:jc w:val="both"/>
                    <w:rPr>
                      <w:rFonts w:hint="default" w:ascii="Times New Roman" w:hAnsi="Times New Roman" w:cs="Times New Roman"/>
                      <w:kern w:val="0"/>
                      <w:sz w:val="21"/>
                      <w:szCs w:val="21"/>
                      <w:highlight w:val="none"/>
                    </w:rPr>
                  </w:pPr>
                  <w:r>
                    <w:rPr>
                      <w:rFonts w:hint="eastAsia" w:ascii="Times New Roman" w:hAnsi="Times New Roman" w:cs="Times New Roman"/>
                      <w:kern w:val="0"/>
                      <w:sz w:val="21"/>
                      <w:szCs w:val="21"/>
                      <w:highlight w:val="none"/>
                    </w:rPr>
                    <w:t>本项目为</w:t>
                  </w:r>
                  <w:r>
                    <w:rPr>
                      <w:rFonts w:hint="eastAsia" w:ascii="Times New Roman" w:hAnsi="Times New Roman" w:cs="Times New Roman"/>
                      <w:sz w:val="21"/>
                      <w:szCs w:val="21"/>
                      <w:highlight w:val="none"/>
                      <w:lang w:val="en-US" w:eastAsia="zh-CN"/>
                    </w:rPr>
                    <w:t>医学研究和试验发展</w:t>
                  </w:r>
                  <w:r>
                    <w:rPr>
                      <w:rFonts w:hint="default" w:ascii="Times New Roman" w:hAnsi="Times New Roman" w:cs="Times New Roman"/>
                      <w:kern w:val="0"/>
                      <w:sz w:val="21"/>
                      <w:szCs w:val="21"/>
                      <w:highlight w:val="none"/>
                    </w:rPr>
                    <w:t>，</w:t>
                  </w:r>
                  <w:r>
                    <w:rPr>
                      <w:rFonts w:hint="eastAsia" w:ascii="Times New Roman" w:hAnsi="Times New Roman" w:cs="Times New Roman"/>
                      <w:kern w:val="0"/>
                      <w:sz w:val="21"/>
                      <w:szCs w:val="21"/>
                      <w:highlight w:val="none"/>
                    </w:rPr>
                    <w:t>不属于</w:t>
                  </w:r>
                  <w:r>
                    <w:rPr>
                      <w:rFonts w:hint="default" w:ascii="Times New Roman" w:hAnsi="Times New Roman" w:cs="Times New Roman"/>
                      <w:kern w:val="0"/>
                      <w:sz w:val="21"/>
                      <w:szCs w:val="21"/>
                      <w:highlight w:val="none"/>
                    </w:rPr>
                    <w:t>高耗水服务业</w:t>
                  </w:r>
                  <w:r>
                    <w:rPr>
                      <w:rFonts w:hint="eastAsia" w:ascii="Times New Roman" w:hAnsi="Times New Roman" w:cs="Times New Roman"/>
                      <w:kern w:val="0"/>
                      <w:sz w:val="21"/>
                      <w:szCs w:val="21"/>
                      <w:highlight w:val="none"/>
                    </w:rPr>
                    <w:t>。</w:t>
                  </w:r>
                </w:p>
              </w:tc>
              <w:tc>
                <w:tcPr>
                  <w:tcW w:w="644" w:type="dxa"/>
                  <w:vAlign w:val="center"/>
                </w:tcPr>
                <w:p w14:paraId="2A027DDB">
                  <w:pPr>
                    <w:keepNext w:val="0"/>
                    <w:keepLines w:val="0"/>
                    <w:suppressLineNumbers w:val="0"/>
                    <w:snapToGrid w:val="0"/>
                    <w:spacing w:before="0" w:beforeAutospacing="0" w:after="0" w:afterAutospacing="0"/>
                    <w:ind w:left="0" w:right="0"/>
                    <w:jc w:val="center"/>
                    <w:rPr>
                      <w:rFonts w:hint="default"/>
                      <w:sz w:val="21"/>
                      <w:szCs w:val="21"/>
                      <w:highlight w:val="none"/>
                    </w:rPr>
                  </w:pPr>
                  <w:r>
                    <w:rPr>
                      <w:rFonts w:hint="default"/>
                      <w:sz w:val="21"/>
                      <w:szCs w:val="21"/>
                      <w:highlight w:val="none"/>
                    </w:rPr>
                    <w:t>符合</w:t>
                  </w:r>
                </w:p>
              </w:tc>
            </w:tr>
          </w:tbl>
          <w:p w14:paraId="1A7632E9">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60" w:lineRule="auto"/>
              <w:ind w:left="0" w:right="0" w:firstLine="480" w:firstLineChars="200"/>
              <w:textAlignment w:val="auto"/>
              <w:rPr>
                <w:rFonts w:hint="default" w:ascii="Times New Roman" w:hAnsi="Times New Roman" w:eastAsia="宋体" w:cs="Times New Roman"/>
                <w:kern w:val="2"/>
                <w:sz w:val="24"/>
                <w:szCs w:val="24"/>
                <w:highlight w:val="none"/>
                <w:lang w:val="en-US" w:eastAsia="zh-CN" w:bidi="ar-SA"/>
              </w:rPr>
            </w:pPr>
            <w:bookmarkStart w:id="9" w:name="_Toc114041201"/>
            <w:r>
              <w:rPr>
                <w:rFonts w:hint="eastAsia" w:ascii="Times New Roman" w:hAnsi="Times New Roman" w:cs="Times New Roman"/>
                <w:kern w:val="2"/>
                <w:sz w:val="24"/>
                <w:szCs w:val="24"/>
                <w:highlight w:val="none"/>
                <w:lang w:val="en-US" w:eastAsia="zh-CN" w:bidi="ar-SA"/>
              </w:rPr>
              <w:t>综上所述</w:t>
            </w:r>
            <w:r>
              <w:rPr>
                <w:rFonts w:hint="default" w:ascii="Times New Roman" w:hAnsi="Times New Roman" w:eastAsia="宋体" w:cs="Times New Roman"/>
                <w:kern w:val="2"/>
                <w:sz w:val="24"/>
                <w:szCs w:val="24"/>
                <w:highlight w:val="none"/>
                <w:lang w:val="en-US" w:eastAsia="zh-CN" w:bidi="ar-SA"/>
              </w:rPr>
              <w:t>，项目符合《</w:t>
            </w:r>
            <w:r>
              <w:rPr>
                <w:rFonts w:hint="eastAsia" w:ascii="宋体" w:hAnsi="宋体" w:eastAsia="宋体" w:cs="宋体"/>
                <w:sz w:val="24"/>
                <w:szCs w:val="24"/>
                <w:highlight w:val="none"/>
                <w:lang w:val="en-US" w:eastAsia="zh-CN"/>
              </w:rPr>
              <w:t>衢州</w:t>
            </w:r>
            <w:r>
              <w:rPr>
                <w:rFonts w:hint="default" w:ascii="宋体" w:hAnsi="宋体" w:eastAsia="宋体" w:cs="宋体"/>
                <w:sz w:val="24"/>
                <w:szCs w:val="24"/>
                <w:highlight w:val="none"/>
              </w:rPr>
              <w:t>市</w:t>
            </w:r>
            <w:r>
              <w:rPr>
                <w:rFonts w:hint="eastAsia" w:ascii="宋体" w:hAnsi="宋体" w:eastAsia="宋体" w:cs="宋体"/>
                <w:sz w:val="24"/>
                <w:szCs w:val="24"/>
                <w:highlight w:val="none"/>
                <w:lang w:eastAsia="zh-CN"/>
              </w:rPr>
              <w:t>生态环境分区管控动态更新方案</w:t>
            </w:r>
            <w:r>
              <w:rPr>
                <w:rFonts w:hint="default" w:ascii="Times New Roman" w:hAnsi="Times New Roman" w:eastAsia="宋体" w:cs="Times New Roman"/>
                <w:kern w:val="2"/>
                <w:sz w:val="24"/>
                <w:szCs w:val="24"/>
                <w:highlight w:val="none"/>
                <w:lang w:val="en-US" w:eastAsia="zh-CN" w:bidi="ar-SA"/>
              </w:rPr>
              <w:t>》</w:t>
            </w:r>
            <w:r>
              <w:rPr>
                <w:rFonts w:hint="eastAsia"/>
                <w:kern w:val="0"/>
                <w:szCs w:val="20"/>
                <w:highlight w:val="none"/>
              </w:rPr>
              <w:t>（衢环发</w:t>
            </w:r>
            <w:r>
              <w:rPr>
                <w:rFonts w:hint="eastAsia"/>
                <w:kern w:val="0"/>
                <w:szCs w:val="20"/>
                <w:highlight w:val="none"/>
                <w:lang w:eastAsia="zh-CN"/>
              </w:rPr>
              <w:t>〔2024〕52号</w:t>
            </w:r>
            <w:r>
              <w:rPr>
                <w:rFonts w:hint="eastAsia"/>
                <w:kern w:val="0"/>
                <w:szCs w:val="20"/>
                <w:highlight w:val="none"/>
              </w:rPr>
              <w:t>）</w:t>
            </w:r>
            <w:r>
              <w:rPr>
                <w:rFonts w:hint="default" w:ascii="Times New Roman" w:hAnsi="Times New Roman" w:eastAsia="宋体" w:cs="Times New Roman"/>
                <w:kern w:val="2"/>
                <w:sz w:val="24"/>
                <w:szCs w:val="24"/>
                <w:highlight w:val="none"/>
                <w:lang w:val="en-US" w:eastAsia="zh-CN" w:bidi="ar-SA"/>
              </w:rPr>
              <w:t>中</w:t>
            </w:r>
            <w:r>
              <w:rPr>
                <w:rFonts w:hint="eastAsia" w:ascii="Times New Roman" w:hAnsi="Times New Roman" w:eastAsia="宋体" w:cs="Times New Roman"/>
                <w:kern w:val="2"/>
                <w:sz w:val="24"/>
                <w:szCs w:val="24"/>
                <w:highlight w:val="none"/>
                <w:lang w:val="en-US" w:eastAsia="zh-CN" w:bidi="ar-SA"/>
              </w:rPr>
              <w:t>“</w:t>
            </w:r>
            <w:r>
              <w:rPr>
                <w:rFonts w:hint="default" w:ascii="Times New Roman" w:hAnsi="Times New Roman" w:eastAsia="宋体" w:cs="Times New Roman"/>
                <w:kern w:val="2"/>
                <w:sz w:val="24"/>
                <w:szCs w:val="24"/>
                <w:highlight w:val="none"/>
                <w:lang w:val="en-US" w:eastAsia="zh-CN" w:bidi="ar-SA"/>
              </w:rPr>
              <w:t>三线一单</w:t>
            </w:r>
            <w:r>
              <w:rPr>
                <w:rFonts w:hint="eastAsia" w:ascii="Times New Roman" w:hAnsi="Times New Roman" w:eastAsia="宋体" w:cs="Times New Roman"/>
                <w:kern w:val="2"/>
                <w:sz w:val="24"/>
                <w:szCs w:val="24"/>
                <w:highlight w:val="none"/>
                <w:lang w:val="en-US" w:eastAsia="zh-CN" w:bidi="ar-SA"/>
              </w:rPr>
              <w:t>”</w:t>
            </w:r>
            <w:r>
              <w:rPr>
                <w:rFonts w:hint="default" w:ascii="Times New Roman" w:hAnsi="Times New Roman" w:eastAsia="宋体" w:cs="Times New Roman"/>
                <w:kern w:val="2"/>
                <w:sz w:val="24"/>
                <w:szCs w:val="24"/>
                <w:highlight w:val="none"/>
                <w:lang w:val="en-US" w:eastAsia="zh-CN" w:bidi="ar-SA"/>
              </w:rPr>
              <w:t>要求。</w:t>
            </w:r>
          </w:p>
          <w:p w14:paraId="566A3705">
            <w:pPr>
              <w:pStyle w:val="4"/>
              <w:keepNext w:val="0"/>
              <w:keepLines w:val="0"/>
              <w:suppressLineNumbers w:val="0"/>
              <w:adjustRightInd w:val="0"/>
              <w:snapToGrid w:val="0"/>
              <w:spacing w:before="0" w:beforeAutospacing="0" w:after="0" w:afterAutospacing="0" w:line="360" w:lineRule="auto"/>
              <w:ind w:left="0" w:right="0"/>
              <w:rPr>
                <w:rFonts w:hint="default"/>
                <w:sz w:val="24"/>
                <w:szCs w:val="24"/>
                <w:highlight w:val="none"/>
              </w:rPr>
            </w:pPr>
            <w:r>
              <w:rPr>
                <w:rFonts w:hint="eastAsia"/>
                <w:sz w:val="24"/>
                <w:szCs w:val="24"/>
                <w:highlight w:val="none"/>
                <w:lang w:val="en-US" w:eastAsia="zh-CN"/>
              </w:rPr>
              <w:t>2、</w:t>
            </w:r>
            <w:r>
              <w:rPr>
                <w:rFonts w:hint="eastAsia"/>
                <w:sz w:val="24"/>
                <w:szCs w:val="24"/>
                <w:highlight w:val="none"/>
              </w:rPr>
              <w:t>“三区三线”符合性分析</w:t>
            </w:r>
            <w:bookmarkEnd w:id="9"/>
          </w:p>
          <w:p w14:paraId="37900141">
            <w:pPr>
              <w:keepNext w:val="0"/>
              <w:keepLines w:val="0"/>
              <w:suppressLineNumbers w:val="0"/>
              <w:spacing w:before="0" w:beforeAutospacing="0" w:after="0" w:afterAutospacing="0" w:line="360" w:lineRule="auto"/>
              <w:ind w:left="0" w:right="0" w:firstLine="480" w:firstLineChars="200"/>
              <w:rPr>
                <w:rFonts w:hint="default"/>
                <w:sz w:val="24"/>
                <w:highlight w:val="none"/>
              </w:rPr>
            </w:pPr>
            <w:r>
              <w:rPr>
                <w:rFonts w:hint="default"/>
                <w:sz w:val="24"/>
                <w:highlight w:val="none"/>
              </w:rPr>
              <w:t>优先划定永久基本农田</w:t>
            </w:r>
            <w:r>
              <w:rPr>
                <w:rFonts w:hint="eastAsia"/>
                <w:sz w:val="24"/>
                <w:highlight w:val="none"/>
              </w:rPr>
              <w:t>：</w:t>
            </w:r>
            <w:r>
              <w:rPr>
                <w:rFonts w:hint="default"/>
                <w:sz w:val="24"/>
                <w:highlight w:val="none"/>
              </w:rPr>
              <w:t>落实最严格的耕地保护制度，保质保量划定永久基本农田。建立完善基本农田储备区</w:t>
            </w:r>
            <w:r>
              <w:rPr>
                <w:rFonts w:hint="eastAsia"/>
                <w:sz w:val="24"/>
                <w:highlight w:val="none"/>
              </w:rPr>
              <w:t>，</w:t>
            </w:r>
            <w:r>
              <w:rPr>
                <w:rFonts w:hint="default"/>
                <w:sz w:val="24"/>
                <w:highlight w:val="none"/>
              </w:rPr>
              <w:t>实施现有耕地提质改造，促进耕地规模化、集中化。</w:t>
            </w:r>
          </w:p>
          <w:p w14:paraId="3695EA06">
            <w:pPr>
              <w:keepNext w:val="0"/>
              <w:keepLines w:val="0"/>
              <w:suppressLineNumbers w:val="0"/>
              <w:spacing w:before="0" w:beforeAutospacing="0" w:after="0" w:afterAutospacing="0" w:line="360" w:lineRule="auto"/>
              <w:ind w:left="0" w:right="0" w:firstLine="480" w:firstLineChars="200"/>
              <w:rPr>
                <w:rFonts w:hint="default"/>
                <w:sz w:val="24"/>
                <w:highlight w:val="none"/>
              </w:rPr>
            </w:pPr>
            <w:r>
              <w:rPr>
                <w:rFonts w:hint="default"/>
                <w:sz w:val="24"/>
                <w:highlight w:val="none"/>
              </w:rPr>
              <w:t>科学划定生态保护红线</w:t>
            </w:r>
            <w:r>
              <w:rPr>
                <w:rFonts w:hint="eastAsia"/>
                <w:sz w:val="24"/>
                <w:highlight w:val="none"/>
              </w:rPr>
              <w:t>：</w:t>
            </w:r>
            <w:r>
              <w:rPr>
                <w:rFonts w:hint="default"/>
                <w:sz w:val="24"/>
                <w:highlight w:val="none"/>
              </w:rPr>
              <w:t>严格保护自然保护地、湿地公园、饮用水水源保护区等，划定全域生态保护红线范围内坚持严格保护、分级管控、损害追责、违法严惩原则。</w:t>
            </w:r>
          </w:p>
          <w:p w14:paraId="7611991F">
            <w:pPr>
              <w:keepNext w:val="0"/>
              <w:keepLines w:val="0"/>
              <w:suppressLineNumbers w:val="0"/>
              <w:spacing w:before="0" w:beforeAutospacing="0" w:after="0" w:afterAutospacing="0" w:line="360" w:lineRule="auto"/>
              <w:ind w:left="0" w:right="0" w:firstLine="480" w:firstLineChars="200"/>
              <w:rPr>
                <w:rFonts w:hint="default"/>
                <w:sz w:val="24"/>
                <w:highlight w:val="none"/>
              </w:rPr>
            </w:pPr>
            <w:r>
              <w:rPr>
                <w:rFonts w:hint="default"/>
                <w:sz w:val="24"/>
                <w:highlight w:val="none"/>
              </w:rPr>
              <w:t>合理划定城镇开发边界</w:t>
            </w:r>
            <w:r>
              <w:rPr>
                <w:rFonts w:hint="eastAsia"/>
                <w:sz w:val="24"/>
                <w:highlight w:val="none"/>
              </w:rPr>
              <w:t>：基于国土空间开发适宜性与资源环境承载力评价，优化城镇空间结构，划定城镇开发边界，作为在一定时期内允许开展城镇开发和集中建设的空间。</w:t>
            </w:r>
          </w:p>
          <w:p w14:paraId="09124306">
            <w:pPr>
              <w:keepNext w:val="0"/>
              <w:keepLines w:val="0"/>
              <w:suppressLineNumbers w:val="0"/>
              <w:adjustRightInd w:val="0"/>
              <w:snapToGrid w:val="0"/>
              <w:spacing w:before="0" w:beforeAutospacing="0" w:after="0" w:afterAutospacing="0" w:line="360" w:lineRule="auto"/>
              <w:ind w:left="0" w:right="0" w:firstLine="482" w:firstLineChars="200"/>
              <w:jc w:val="both"/>
              <w:rPr>
                <w:rFonts w:hint="eastAsia" w:eastAsia="宋体"/>
                <w:b/>
                <w:bCs/>
                <w:color w:val="auto"/>
                <w:highlight w:val="none"/>
                <w:lang w:eastAsia="zh-CN"/>
              </w:rPr>
            </w:pPr>
            <w:r>
              <w:rPr>
                <w:rFonts w:hint="eastAsia"/>
                <w:b/>
                <w:bCs/>
                <w:sz w:val="24"/>
                <w:highlight w:val="none"/>
              </w:rPr>
              <w:t>符合性分析：</w:t>
            </w:r>
            <w:r>
              <w:rPr>
                <w:rFonts w:hint="eastAsia"/>
                <w:sz w:val="24"/>
                <w:highlight w:val="none"/>
              </w:rPr>
              <w:t>本项目</w:t>
            </w:r>
            <w:r>
              <w:rPr>
                <w:rFonts w:hint="eastAsia"/>
                <w:sz w:val="24"/>
                <w:highlight w:val="none"/>
                <w:lang w:val="en-US" w:eastAsia="zh-CN"/>
              </w:rPr>
              <w:t>厂址</w:t>
            </w:r>
            <w:r>
              <w:rPr>
                <w:rFonts w:hint="eastAsia"/>
                <w:sz w:val="24"/>
                <w:highlight w:val="none"/>
              </w:rPr>
              <w:t>为</w:t>
            </w:r>
            <w:r>
              <w:rPr>
                <w:rFonts w:hint="default"/>
                <w:sz w:val="24"/>
                <w:highlight w:val="none"/>
              </w:rPr>
              <w:t>衢州市</w:t>
            </w:r>
            <w:r>
              <w:rPr>
                <w:rFonts w:hint="eastAsia"/>
                <w:sz w:val="24"/>
                <w:highlight w:val="none"/>
              </w:rPr>
              <w:t>高铁新城二期，项目不涉及</w:t>
            </w:r>
            <w:r>
              <w:rPr>
                <w:rFonts w:hint="default"/>
                <w:sz w:val="24"/>
                <w:highlight w:val="none"/>
              </w:rPr>
              <w:t>永久基本农田</w:t>
            </w:r>
            <w:r>
              <w:rPr>
                <w:rFonts w:hint="eastAsia"/>
                <w:sz w:val="24"/>
                <w:highlight w:val="none"/>
              </w:rPr>
              <w:t>、</w:t>
            </w:r>
            <w:r>
              <w:rPr>
                <w:rFonts w:hint="default"/>
                <w:sz w:val="24"/>
                <w:highlight w:val="none"/>
              </w:rPr>
              <w:t>生态保护红线</w:t>
            </w:r>
            <w:r>
              <w:rPr>
                <w:rFonts w:hint="eastAsia"/>
                <w:sz w:val="24"/>
                <w:highlight w:val="none"/>
              </w:rPr>
              <w:t>，位于</w:t>
            </w:r>
            <w:r>
              <w:rPr>
                <w:rFonts w:hint="default"/>
                <w:sz w:val="24"/>
                <w:highlight w:val="none"/>
              </w:rPr>
              <w:t>城镇开发边界</w:t>
            </w:r>
            <w:r>
              <w:rPr>
                <w:rFonts w:hint="eastAsia"/>
                <w:sz w:val="24"/>
                <w:highlight w:val="none"/>
              </w:rPr>
              <w:t>内，因此</w:t>
            </w:r>
            <w:r>
              <w:rPr>
                <w:rFonts w:hint="default"/>
                <w:sz w:val="24"/>
                <w:highlight w:val="none"/>
                <w:lang w:val="en-GB"/>
              </w:rPr>
              <w:t>项目建设</w:t>
            </w:r>
            <w:r>
              <w:rPr>
                <w:rFonts w:hint="eastAsia"/>
                <w:sz w:val="24"/>
                <w:highlight w:val="none"/>
                <w:lang w:val="en-GB"/>
              </w:rPr>
              <w:t>符合</w:t>
            </w:r>
            <w:r>
              <w:rPr>
                <w:rFonts w:hint="eastAsia"/>
                <w:sz w:val="24"/>
                <w:highlight w:val="none"/>
              </w:rPr>
              <w:t>衢州市柯城区</w:t>
            </w:r>
            <w:r>
              <w:rPr>
                <w:rFonts w:hint="eastAsia"/>
                <w:sz w:val="24"/>
                <w:highlight w:val="none"/>
                <w:lang w:val="en-GB"/>
              </w:rPr>
              <w:t>“</w:t>
            </w:r>
            <w:r>
              <w:rPr>
                <w:rFonts w:hint="eastAsia"/>
                <w:sz w:val="24"/>
                <w:highlight w:val="none"/>
              </w:rPr>
              <w:t>三区三线</w:t>
            </w:r>
            <w:r>
              <w:rPr>
                <w:rFonts w:hint="eastAsia"/>
                <w:sz w:val="24"/>
                <w:highlight w:val="none"/>
                <w:lang w:val="en-GB"/>
              </w:rPr>
              <w:t>”</w:t>
            </w:r>
            <w:r>
              <w:rPr>
                <w:rFonts w:hint="eastAsia"/>
                <w:sz w:val="24"/>
                <w:highlight w:val="none"/>
                <w:lang w:val="en-GB" w:eastAsia="zh-CN"/>
              </w:rPr>
              <w:t>。</w:t>
            </w:r>
          </w:p>
          <w:p w14:paraId="2FB6BF34">
            <w:pPr>
              <w:keepNext w:val="0"/>
              <w:keepLines w:val="0"/>
              <w:suppressLineNumbers w:val="0"/>
              <w:tabs>
                <w:tab w:val="left" w:pos="0"/>
                <w:tab w:val="left" w:pos="870"/>
                <w:tab w:val="left" w:pos="3150"/>
              </w:tabs>
              <w:autoSpaceDE w:val="0"/>
              <w:autoSpaceDN w:val="0"/>
              <w:snapToGrid w:val="0"/>
              <w:spacing w:before="0" w:beforeAutospacing="0" w:after="0" w:afterAutospacing="0" w:line="360" w:lineRule="auto"/>
              <w:ind w:left="0" w:right="0"/>
              <w:rPr>
                <w:rFonts w:hint="default"/>
                <w:b/>
                <w:kern w:val="0"/>
                <w:sz w:val="24"/>
                <w:szCs w:val="20"/>
                <w:highlight w:val="none"/>
              </w:rPr>
            </w:pPr>
            <w:r>
              <w:rPr>
                <w:rFonts w:hint="default"/>
                <w:b/>
                <w:kern w:val="0"/>
                <w:sz w:val="24"/>
                <w:szCs w:val="20"/>
                <w:highlight w:val="none"/>
              </w:rPr>
              <w:t>3、产业政策符合性判定</w:t>
            </w:r>
          </w:p>
          <w:p w14:paraId="7C9B5B52">
            <w:pPr>
              <w:keepNext w:val="0"/>
              <w:keepLines w:val="0"/>
              <w:suppressLineNumbers w:val="0"/>
              <w:adjustRightInd w:val="0"/>
              <w:snapToGrid w:val="0"/>
              <w:spacing w:before="0" w:beforeAutospacing="0" w:after="0" w:afterAutospacing="0" w:line="360" w:lineRule="auto"/>
              <w:ind w:left="0" w:right="0" w:firstLine="480" w:firstLineChars="200"/>
              <w:rPr>
                <w:rFonts w:hint="default"/>
                <w:sz w:val="24"/>
                <w:highlight w:val="none"/>
              </w:rPr>
            </w:pPr>
            <w:r>
              <w:rPr>
                <w:rFonts w:hint="eastAsia"/>
                <w:sz w:val="24"/>
                <w:highlight w:val="none"/>
              </w:rPr>
              <w:t>本</w:t>
            </w:r>
            <w:r>
              <w:rPr>
                <w:rFonts w:hint="default"/>
                <w:sz w:val="24"/>
                <w:highlight w:val="none"/>
              </w:rPr>
              <w:t>项目</w:t>
            </w:r>
            <w:r>
              <w:rPr>
                <w:rFonts w:hint="eastAsia"/>
                <w:sz w:val="24"/>
                <w:highlight w:val="none"/>
                <w:lang w:val="en-US" w:eastAsia="zh-CN"/>
              </w:rPr>
              <w:t>为</w:t>
            </w:r>
            <w:r>
              <w:rPr>
                <w:rFonts w:hint="eastAsia" w:ascii="Times New Roman" w:hAnsi="Times New Roman" w:cs="Times New Roman"/>
                <w:sz w:val="24"/>
                <w:szCs w:val="24"/>
                <w:highlight w:val="none"/>
                <w:lang w:val="en-US" w:eastAsia="zh-CN"/>
              </w:rPr>
              <w:t>研究</w:t>
            </w:r>
            <w:r>
              <w:rPr>
                <w:rFonts w:hint="eastAsia" w:cs="Times New Roman"/>
                <w:sz w:val="24"/>
                <w:szCs w:val="24"/>
                <w:highlight w:val="none"/>
                <w:lang w:val="en-US" w:eastAsia="zh-CN"/>
              </w:rPr>
              <w:t>和</w:t>
            </w:r>
            <w:r>
              <w:rPr>
                <w:rFonts w:hint="eastAsia" w:ascii="Times New Roman" w:hAnsi="Times New Roman" w:cs="Times New Roman"/>
                <w:sz w:val="24"/>
                <w:szCs w:val="24"/>
                <w:highlight w:val="none"/>
                <w:lang w:val="en-US" w:eastAsia="zh-CN"/>
              </w:rPr>
              <w:t>试验</w:t>
            </w:r>
            <w:r>
              <w:rPr>
                <w:rFonts w:hint="eastAsia" w:ascii="Times New Roman" w:hAnsi="Times New Roman" w:cs="Times New Roman"/>
                <w:sz w:val="24"/>
                <w:szCs w:val="24"/>
                <w:highlight w:val="none"/>
              </w:rPr>
              <w:t>项目</w:t>
            </w:r>
            <w:r>
              <w:rPr>
                <w:rFonts w:hint="default"/>
                <w:sz w:val="24"/>
                <w:szCs w:val="24"/>
                <w:highlight w:val="none"/>
              </w:rPr>
              <w:t>，</w:t>
            </w:r>
            <w:r>
              <w:rPr>
                <w:rFonts w:hint="eastAsia" w:ascii="Times New Roman" w:hAnsi="Times New Roman" w:eastAsia="宋体" w:cs="Times New Roman"/>
                <w:sz w:val="24"/>
                <w:szCs w:val="24"/>
                <w:highlight w:val="none"/>
                <w:lang w:val="en-US" w:eastAsia="zh-CN"/>
              </w:rPr>
              <w:t>属于医学研究和试验发展（</w:t>
            </w:r>
            <w:r>
              <w:rPr>
                <w:rFonts w:hint="eastAsia" w:cs="Times New Roman"/>
                <w:sz w:val="24"/>
                <w:szCs w:val="24"/>
                <w:highlight w:val="none"/>
                <w:lang w:val="en-US" w:eastAsia="zh-CN"/>
              </w:rPr>
              <w:t>M</w:t>
            </w:r>
            <w:r>
              <w:rPr>
                <w:rFonts w:hint="eastAsia" w:ascii="Times New Roman" w:hAnsi="Times New Roman" w:eastAsia="宋体" w:cs="Times New Roman"/>
                <w:sz w:val="24"/>
                <w:szCs w:val="24"/>
                <w:highlight w:val="none"/>
                <w:lang w:val="en-US" w:eastAsia="zh-CN"/>
              </w:rPr>
              <w:t>7340）。对</w:t>
            </w:r>
            <w:r>
              <w:rPr>
                <w:rFonts w:hint="eastAsia"/>
                <w:sz w:val="24"/>
                <w:highlight w:val="none"/>
              </w:rPr>
              <w:t>照《产业结构调整指导目录（2024年本）</w:t>
            </w:r>
            <w:r>
              <w:rPr>
                <w:rFonts w:hint="eastAsia"/>
                <w:sz w:val="24"/>
                <w:highlight w:val="none"/>
                <w:lang w:eastAsia="zh-CN"/>
              </w:rPr>
              <w:t>》、《</w:t>
            </w:r>
            <w:r>
              <w:rPr>
                <w:rFonts w:hint="eastAsia"/>
                <w:sz w:val="24"/>
                <w:highlight w:val="none"/>
              </w:rPr>
              <w:t>市场准入负面清单（2022年版）》等国家、地方产业政策文件查阅分析，判定本项目不属于限制发展和禁止发展项目</w:t>
            </w:r>
            <w:r>
              <w:rPr>
                <w:rFonts w:hint="eastAsia"/>
                <w:color w:val="auto"/>
                <w:sz w:val="24"/>
                <w:highlight w:val="none"/>
              </w:rPr>
              <w:t>。此外，本项目于2</w:t>
            </w:r>
            <w:r>
              <w:rPr>
                <w:rFonts w:hint="default"/>
                <w:color w:val="auto"/>
                <w:sz w:val="24"/>
                <w:highlight w:val="none"/>
              </w:rPr>
              <w:t>02</w:t>
            </w:r>
            <w:r>
              <w:rPr>
                <w:rFonts w:hint="eastAsia"/>
                <w:color w:val="auto"/>
                <w:sz w:val="24"/>
                <w:highlight w:val="none"/>
              </w:rPr>
              <w:t>4</w:t>
            </w:r>
            <w:r>
              <w:rPr>
                <w:rFonts w:hint="default"/>
                <w:color w:val="auto"/>
                <w:sz w:val="24"/>
                <w:highlight w:val="none"/>
              </w:rPr>
              <w:t>年</w:t>
            </w:r>
            <w:r>
              <w:rPr>
                <w:rFonts w:hint="eastAsia"/>
                <w:color w:val="auto"/>
                <w:sz w:val="24"/>
                <w:highlight w:val="none"/>
                <w:lang w:val="en-US" w:eastAsia="zh-CN"/>
              </w:rPr>
              <w:t>9</w:t>
            </w:r>
            <w:r>
              <w:rPr>
                <w:rFonts w:hint="default"/>
                <w:color w:val="auto"/>
                <w:sz w:val="24"/>
                <w:highlight w:val="none"/>
              </w:rPr>
              <w:t>月</w:t>
            </w:r>
            <w:r>
              <w:rPr>
                <w:rFonts w:hint="eastAsia"/>
                <w:color w:val="auto"/>
                <w:sz w:val="24"/>
                <w:highlight w:val="none"/>
                <w:lang w:val="en-US" w:eastAsia="zh-CN"/>
              </w:rPr>
              <w:t>30</w:t>
            </w:r>
            <w:r>
              <w:rPr>
                <w:rFonts w:hint="default"/>
                <w:color w:val="auto"/>
                <w:sz w:val="24"/>
                <w:highlight w:val="none"/>
              </w:rPr>
              <w:t>日</w:t>
            </w:r>
            <w:r>
              <w:rPr>
                <w:rFonts w:hint="eastAsia"/>
                <w:color w:val="auto"/>
                <w:sz w:val="24"/>
                <w:highlight w:val="none"/>
              </w:rPr>
              <w:t>取得</w:t>
            </w:r>
            <w:r>
              <w:rPr>
                <w:rFonts w:hint="default"/>
                <w:color w:val="auto"/>
                <w:sz w:val="24"/>
                <w:highlight w:val="none"/>
              </w:rPr>
              <w:t>衢州市发展和改革委员会</w:t>
            </w:r>
            <w:r>
              <w:rPr>
                <w:rFonts w:hint="eastAsia"/>
                <w:color w:val="auto"/>
                <w:sz w:val="24"/>
                <w:highlight w:val="none"/>
              </w:rPr>
              <w:t>《浙江省企业投资项目备案（赋码）信息表》，因此本项目的建设符合国家及地方产业政策。</w:t>
            </w:r>
          </w:p>
          <w:p w14:paraId="2CFC40CF">
            <w:pPr>
              <w:keepNext w:val="0"/>
              <w:keepLines w:val="0"/>
              <w:suppressLineNumbers w:val="0"/>
              <w:adjustRightInd w:val="0"/>
              <w:snapToGrid w:val="0"/>
              <w:spacing w:before="0" w:beforeAutospacing="0" w:after="0" w:afterAutospacing="0" w:line="360" w:lineRule="auto"/>
              <w:ind w:left="0" w:right="0"/>
              <w:rPr>
                <w:rFonts w:hint="default"/>
                <w:b/>
                <w:kern w:val="0"/>
                <w:sz w:val="24"/>
                <w:szCs w:val="20"/>
                <w:highlight w:val="none"/>
              </w:rPr>
            </w:pPr>
            <w:r>
              <w:rPr>
                <w:rFonts w:hint="eastAsia"/>
                <w:b/>
                <w:kern w:val="0"/>
                <w:sz w:val="24"/>
                <w:szCs w:val="20"/>
                <w:highlight w:val="none"/>
              </w:rPr>
              <w:t>4、选址符合性分析</w:t>
            </w:r>
          </w:p>
          <w:p w14:paraId="5FEEA754">
            <w:pPr>
              <w:keepNext w:val="0"/>
              <w:keepLines w:val="0"/>
              <w:suppressLineNumbers w:val="0"/>
              <w:adjustRightInd w:val="0"/>
              <w:snapToGrid w:val="0"/>
              <w:spacing w:before="0" w:beforeAutospacing="0" w:after="0" w:afterAutospacing="0" w:line="360" w:lineRule="auto"/>
              <w:ind w:left="0" w:right="0" w:firstLine="480" w:firstLineChars="200"/>
              <w:rPr>
                <w:rFonts w:hint="default"/>
                <w:bCs/>
                <w:sz w:val="24"/>
                <w:highlight w:val="none"/>
              </w:rPr>
            </w:pPr>
            <w:r>
              <w:rPr>
                <w:rFonts w:hint="default"/>
                <w:bCs/>
                <w:sz w:val="24"/>
                <w:highlight w:val="none"/>
              </w:rPr>
              <w:t>本项目拟</w:t>
            </w:r>
            <w:r>
              <w:rPr>
                <w:rFonts w:hint="eastAsia"/>
                <w:bCs/>
                <w:sz w:val="24"/>
                <w:highlight w:val="none"/>
              </w:rPr>
              <w:t>选址位于衢州市高铁新城闽江大道以南、龙游路以西、常山港以北，行业</w:t>
            </w:r>
            <w:r>
              <w:rPr>
                <w:rFonts w:hint="default"/>
                <w:bCs/>
                <w:sz w:val="24"/>
                <w:highlight w:val="none"/>
              </w:rPr>
              <w:t>属于</w:t>
            </w:r>
            <w:r>
              <w:rPr>
                <w:rFonts w:hint="default" w:ascii="宋体" w:hAnsi="宋体"/>
                <w:bCs/>
                <w:sz w:val="24"/>
                <w:highlight w:val="none"/>
              </w:rPr>
              <w:t>“</w:t>
            </w:r>
            <w:r>
              <w:rPr>
                <w:rFonts w:hint="eastAsia" w:ascii="Times New Roman" w:hAnsi="Times New Roman" w:eastAsia="宋体" w:cs="Times New Roman"/>
                <w:sz w:val="24"/>
                <w:szCs w:val="24"/>
                <w:highlight w:val="none"/>
                <w:lang w:val="en-US" w:eastAsia="zh-CN"/>
              </w:rPr>
              <w:t>M73</w:t>
            </w:r>
            <w:r>
              <w:rPr>
                <w:rFonts w:hint="eastAsia" w:cs="Times New Roman"/>
                <w:sz w:val="24"/>
                <w:szCs w:val="24"/>
                <w:highlight w:val="none"/>
                <w:lang w:val="en-US" w:eastAsia="zh-CN"/>
              </w:rPr>
              <w:t>4</w:t>
            </w:r>
            <w:r>
              <w:rPr>
                <w:rFonts w:hint="eastAsia" w:ascii="Times New Roman" w:hAnsi="Times New Roman" w:eastAsia="宋体" w:cs="Times New Roman"/>
                <w:sz w:val="24"/>
                <w:szCs w:val="24"/>
                <w:highlight w:val="none"/>
                <w:lang w:val="en-US" w:eastAsia="zh-CN"/>
              </w:rPr>
              <w:t>0医学研究和试验发展</w:t>
            </w:r>
            <w:r>
              <w:rPr>
                <w:rFonts w:hint="default" w:ascii="宋体" w:hAnsi="宋体"/>
                <w:bCs/>
                <w:sz w:val="24"/>
                <w:highlight w:val="none"/>
              </w:rPr>
              <w:t>”</w:t>
            </w:r>
            <w:r>
              <w:rPr>
                <w:rFonts w:hint="default"/>
                <w:bCs/>
                <w:sz w:val="24"/>
                <w:highlight w:val="none"/>
              </w:rPr>
              <w:t>。</w:t>
            </w:r>
            <w:r>
              <w:rPr>
                <w:rFonts w:hint="eastAsia"/>
                <w:bCs/>
                <w:sz w:val="24"/>
                <w:highlight w:val="none"/>
              </w:rPr>
              <w:t>项目用地类型为</w:t>
            </w:r>
            <w:r>
              <w:rPr>
                <w:rFonts w:hint="eastAsia"/>
                <w:bCs/>
                <w:sz w:val="24"/>
                <w:highlight w:val="none"/>
                <w:lang w:val="en-US" w:eastAsia="zh-CN"/>
              </w:rPr>
              <w:t>科研</w:t>
            </w:r>
            <w:r>
              <w:rPr>
                <w:rFonts w:hint="eastAsia"/>
                <w:bCs/>
                <w:color w:val="auto"/>
                <w:sz w:val="24"/>
                <w:highlight w:val="none"/>
              </w:rPr>
              <w:t>用地，并取得《建设项目用地预审与选址意见书</w:t>
            </w:r>
            <w:r>
              <w:rPr>
                <w:rFonts w:hint="eastAsia"/>
                <w:bCs/>
                <w:color w:val="auto"/>
                <w:sz w:val="24"/>
                <w:highlight w:val="none"/>
                <w:lang w:eastAsia="zh-CN"/>
              </w:rPr>
              <w:t>》</w:t>
            </w:r>
            <w:r>
              <w:rPr>
                <w:rFonts w:hint="eastAsia"/>
                <w:bCs/>
                <w:color w:val="auto"/>
                <w:sz w:val="24"/>
                <w:highlight w:val="none"/>
              </w:rPr>
              <w:t>。</w:t>
            </w:r>
            <w:r>
              <w:rPr>
                <w:rFonts w:hint="default"/>
                <w:bCs/>
                <w:color w:val="auto"/>
                <w:sz w:val="24"/>
                <w:highlight w:val="none"/>
              </w:rPr>
              <w:t>因</w:t>
            </w:r>
            <w:r>
              <w:rPr>
                <w:rFonts w:hint="default"/>
                <w:bCs/>
                <w:sz w:val="24"/>
                <w:highlight w:val="none"/>
              </w:rPr>
              <w:t>此，</w:t>
            </w:r>
            <w:r>
              <w:rPr>
                <w:rFonts w:hint="eastAsia"/>
                <w:bCs/>
                <w:sz w:val="24"/>
                <w:highlight w:val="none"/>
              </w:rPr>
              <w:t>项目建设符合选址要求</w:t>
            </w:r>
            <w:r>
              <w:rPr>
                <w:rFonts w:hint="default"/>
                <w:bCs/>
                <w:sz w:val="24"/>
                <w:highlight w:val="none"/>
              </w:rPr>
              <w:t>。</w:t>
            </w:r>
          </w:p>
          <w:p w14:paraId="0787BF9B">
            <w:pPr>
              <w:pStyle w:val="24"/>
              <w:keepNext w:val="0"/>
              <w:keepLines w:val="0"/>
              <w:suppressLineNumbers w:val="0"/>
              <w:adjustRightInd w:val="0"/>
              <w:snapToGrid w:val="0"/>
              <w:spacing w:before="0" w:beforeAutospacing="0" w:after="0" w:afterAutospacing="0"/>
              <w:ind w:left="0" w:leftChars="0" w:right="0" w:firstLine="0" w:firstLineChars="0"/>
              <w:rPr>
                <w:rFonts w:hint="default"/>
                <w:b/>
                <w:sz w:val="24"/>
                <w:highlight w:val="none"/>
              </w:rPr>
            </w:pPr>
            <w:r>
              <w:rPr>
                <w:rFonts w:hint="eastAsia"/>
                <w:b/>
                <w:sz w:val="24"/>
                <w:highlight w:val="none"/>
                <w:lang w:val="en-US" w:eastAsia="zh-CN"/>
              </w:rPr>
              <w:t>5</w:t>
            </w:r>
            <w:r>
              <w:rPr>
                <w:rFonts w:hint="eastAsia"/>
                <w:b/>
                <w:sz w:val="24"/>
                <w:highlight w:val="none"/>
              </w:rPr>
              <w:t>、</w:t>
            </w:r>
            <w:r>
              <w:rPr>
                <w:rFonts w:hint="eastAsia"/>
                <w:b/>
                <w:sz w:val="24"/>
                <w:highlight w:val="none"/>
                <w:lang w:val="en-US"/>
              </w:rPr>
              <w:t>与《浙江省臭氧污染防治攻坚三年行动方案》相关内容</w:t>
            </w:r>
            <w:r>
              <w:rPr>
                <w:rFonts w:hint="eastAsia"/>
                <w:b/>
                <w:sz w:val="24"/>
                <w:highlight w:val="none"/>
              </w:rPr>
              <w:t>符合性分析</w:t>
            </w:r>
          </w:p>
          <w:p w14:paraId="7A786051">
            <w:pPr>
              <w:pStyle w:val="7"/>
              <w:keepNext w:val="0"/>
              <w:keepLines w:val="0"/>
              <w:suppressLineNumbers w:val="0"/>
              <w:spacing w:before="0" w:beforeAutospacing="0" w:after="0" w:afterAutospacing="0" w:line="360" w:lineRule="auto"/>
              <w:ind w:left="0" w:right="0" w:firstLine="480"/>
              <w:rPr>
                <w:rFonts w:hint="default"/>
                <w:sz w:val="24"/>
                <w:szCs w:val="22"/>
                <w:highlight w:val="none"/>
              </w:rPr>
            </w:pPr>
            <w:r>
              <w:rPr>
                <w:rFonts w:hint="eastAsia"/>
                <w:sz w:val="24"/>
                <w:szCs w:val="22"/>
                <w:highlight w:val="none"/>
              </w:rPr>
              <w:t>根据《浙江省臭氧污染防治攻坚三年行动方案》中相关内容符合性分析，见表1-</w:t>
            </w:r>
            <w:r>
              <w:rPr>
                <w:rFonts w:hint="eastAsia"/>
                <w:sz w:val="24"/>
                <w:szCs w:val="22"/>
                <w:highlight w:val="none"/>
                <w:lang w:val="en-US" w:eastAsia="zh-CN"/>
              </w:rPr>
              <w:t>5</w:t>
            </w:r>
            <w:r>
              <w:rPr>
                <w:rFonts w:hint="default"/>
                <w:sz w:val="24"/>
                <w:szCs w:val="22"/>
                <w:highlight w:val="none"/>
              </w:rPr>
              <w:t>。</w:t>
            </w:r>
          </w:p>
          <w:p w14:paraId="2F37ADB6">
            <w:pPr>
              <w:pStyle w:val="7"/>
              <w:keepNext w:val="0"/>
              <w:keepLines w:val="0"/>
              <w:suppressLineNumbers w:val="0"/>
              <w:spacing w:before="0" w:beforeAutospacing="0" w:after="0" w:afterAutospacing="0" w:line="360" w:lineRule="auto"/>
              <w:ind w:left="0" w:right="0" w:firstLine="0" w:firstLineChars="0"/>
              <w:jc w:val="center"/>
              <w:rPr>
                <w:rFonts w:hint="default"/>
                <w:b/>
                <w:bCs/>
                <w:sz w:val="24"/>
                <w:szCs w:val="24"/>
                <w:highlight w:val="none"/>
              </w:rPr>
            </w:pPr>
            <w:r>
              <w:rPr>
                <w:rFonts w:hint="default"/>
                <w:b/>
                <w:bCs/>
                <w:sz w:val="24"/>
                <w:szCs w:val="24"/>
                <w:highlight w:val="none"/>
              </w:rPr>
              <w:t>表</w:t>
            </w:r>
            <w:r>
              <w:rPr>
                <w:rFonts w:hint="eastAsia"/>
                <w:b/>
                <w:bCs/>
                <w:sz w:val="24"/>
                <w:szCs w:val="24"/>
                <w:highlight w:val="none"/>
              </w:rPr>
              <w:t>1-</w:t>
            </w:r>
            <w:r>
              <w:rPr>
                <w:rFonts w:hint="eastAsia"/>
                <w:b/>
                <w:bCs/>
                <w:sz w:val="24"/>
                <w:szCs w:val="24"/>
                <w:highlight w:val="none"/>
                <w:lang w:val="en-US" w:eastAsia="zh-CN"/>
              </w:rPr>
              <w:t>5</w:t>
            </w:r>
            <w:r>
              <w:rPr>
                <w:rFonts w:hint="eastAsia"/>
                <w:b/>
                <w:bCs/>
                <w:sz w:val="24"/>
                <w:szCs w:val="24"/>
                <w:highlight w:val="none"/>
              </w:rPr>
              <w:t xml:space="preserve"> </w:t>
            </w:r>
            <w:r>
              <w:rPr>
                <w:rFonts w:hint="default"/>
                <w:b/>
                <w:bCs/>
                <w:sz w:val="24"/>
                <w:szCs w:val="24"/>
                <w:highlight w:val="none"/>
              </w:rPr>
              <w:t xml:space="preserve"> </w:t>
            </w:r>
            <w:r>
              <w:rPr>
                <w:rFonts w:hint="eastAsia"/>
                <w:b/>
                <w:bCs/>
                <w:sz w:val="24"/>
                <w:szCs w:val="24"/>
                <w:highlight w:val="none"/>
              </w:rPr>
              <w:t>与《</w:t>
            </w:r>
            <w:r>
              <w:rPr>
                <w:rFonts w:hint="default"/>
                <w:b/>
                <w:bCs/>
                <w:sz w:val="24"/>
                <w:szCs w:val="24"/>
                <w:highlight w:val="none"/>
              </w:rPr>
              <w:t>浙江省臭氧污染防治攻坚三年行动方案</w:t>
            </w:r>
            <w:r>
              <w:rPr>
                <w:rFonts w:hint="eastAsia"/>
                <w:b/>
                <w:bCs/>
                <w:sz w:val="24"/>
                <w:szCs w:val="24"/>
                <w:highlight w:val="none"/>
              </w:rPr>
              <w:t>》</w:t>
            </w:r>
            <w:r>
              <w:rPr>
                <w:rFonts w:hint="default"/>
                <w:b/>
                <w:bCs/>
                <w:sz w:val="24"/>
                <w:szCs w:val="24"/>
                <w:highlight w:val="none"/>
              </w:rPr>
              <w:t>符合性分析</w:t>
            </w:r>
          </w:p>
          <w:tbl>
            <w:tblPr>
              <w:tblStyle w:val="32"/>
              <w:tblW w:w="4995"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0" w:type="dxa"/>
                <w:bottom w:w="0" w:type="dxa"/>
                <w:right w:w="0" w:type="dxa"/>
              </w:tblCellMar>
            </w:tblPr>
            <w:tblGrid>
              <w:gridCol w:w="529"/>
              <w:gridCol w:w="6059"/>
              <w:gridCol w:w="1584"/>
            </w:tblGrid>
            <w:tr w14:paraId="4F2529B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jc w:val="center"/>
              </w:trPr>
              <w:tc>
                <w:tcPr>
                  <w:tcW w:w="324" w:type="pct"/>
                  <w:tcBorders>
                    <w:tl2br w:val="nil"/>
                    <w:tr2bl w:val="nil"/>
                  </w:tcBorders>
                  <w:vAlign w:val="center"/>
                </w:tcPr>
                <w:p w14:paraId="13442E7D">
                  <w:pPr>
                    <w:keepNext w:val="0"/>
                    <w:keepLines w:val="0"/>
                    <w:widowControl/>
                    <w:suppressLineNumbers w:val="0"/>
                    <w:adjustRightInd w:val="0"/>
                    <w:snapToGrid w:val="0"/>
                    <w:spacing w:before="0" w:beforeAutospacing="0" w:after="0" w:afterAutospacing="0" w:line="276" w:lineRule="auto"/>
                    <w:ind w:left="0" w:right="0"/>
                    <w:jc w:val="center"/>
                    <w:rPr>
                      <w:rFonts w:hint="default"/>
                      <w:kern w:val="0"/>
                      <w:sz w:val="18"/>
                      <w:szCs w:val="18"/>
                      <w:highlight w:val="none"/>
                    </w:rPr>
                  </w:pPr>
                  <w:r>
                    <w:rPr>
                      <w:rFonts w:hint="eastAsia"/>
                      <w:kern w:val="0"/>
                      <w:sz w:val="18"/>
                      <w:szCs w:val="18"/>
                      <w:highlight w:val="none"/>
                    </w:rPr>
                    <w:t>源项</w:t>
                  </w:r>
                </w:p>
              </w:tc>
              <w:tc>
                <w:tcPr>
                  <w:tcW w:w="3706" w:type="pct"/>
                  <w:tcBorders>
                    <w:tl2br w:val="nil"/>
                    <w:tr2bl w:val="nil"/>
                  </w:tcBorders>
                  <w:vAlign w:val="center"/>
                </w:tcPr>
                <w:p w14:paraId="7E2F64A8">
                  <w:pPr>
                    <w:keepNext w:val="0"/>
                    <w:keepLines w:val="0"/>
                    <w:widowControl/>
                    <w:suppressLineNumbers w:val="0"/>
                    <w:adjustRightInd w:val="0"/>
                    <w:snapToGrid w:val="0"/>
                    <w:spacing w:before="0" w:beforeAutospacing="0" w:after="0" w:afterAutospacing="0" w:line="276" w:lineRule="auto"/>
                    <w:ind w:left="0" w:right="0"/>
                    <w:jc w:val="center"/>
                    <w:rPr>
                      <w:rFonts w:hint="default"/>
                      <w:kern w:val="0"/>
                      <w:sz w:val="18"/>
                      <w:szCs w:val="18"/>
                      <w:highlight w:val="none"/>
                    </w:rPr>
                  </w:pPr>
                  <w:r>
                    <w:rPr>
                      <w:rFonts w:hint="default"/>
                      <w:kern w:val="0"/>
                      <w:sz w:val="18"/>
                      <w:szCs w:val="18"/>
                      <w:highlight w:val="none"/>
                    </w:rPr>
                    <w:t>环节</w:t>
                  </w:r>
                  <w:r>
                    <w:rPr>
                      <w:rFonts w:hint="eastAsia"/>
                      <w:kern w:val="0"/>
                      <w:sz w:val="18"/>
                      <w:szCs w:val="18"/>
                      <w:highlight w:val="none"/>
                    </w:rPr>
                    <w:t>及要点</w:t>
                  </w:r>
                </w:p>
              </w:tc>
              <w:tc>
                <w:tcPr>
                  <w:tcW w:w="969" w:type="pct"/>
                  <w:tcBorders>
                    <w:tl2br w:val="nil"/>
                    <w:tr2bl w:val="nil"/>
                  </w:tcBorders>
                  <w:vAlign w:val="center"/>
                </w:tcPr>
                <w:p w14:paraId="2020FA89">
                  <w:pPr>
                    <w:keepNext w:val="0"/>
                    <w:keepLines w:val="0"/>
                    <w:widowControl/>
                    <w:suppressLineNumbers w:val="0"/>
                    <w:adjustRightInd w:val="0"/>
                    <w:snapToGrid w:val="0"/>
                    <w:spacing w:before="0" w:beforeAutospacing="0" w:after="0" w:afterAutospacing="0" w:line="276" w:lineRule="auto"/>
                    <w:ind w:left="0" w:right="0"/>
                    <w:jc w:val="center"/>
                    <w:rPr>
                      <w:rFonts w:hint="default"/>
                      <w:kern w:val="0"/>
                      <w:sz w:val="18"/>
                      <w:szCs w:val="18"/>
                      <w:highlight w:val="none"/>
                    </w:rPr>
                  </w:pPr>
                  <w:r>
                    <w:rPr>
                      <w:rFonts w:hint="default"/>
                      <w:kern w:val="0"/>
                      <w:sz w:val="18"/>
                      <w:szCs w:val="18"/>
                      <w:highlight w:val="none"/>
                    </w:rPr>
                    <w:t>是否符合</w:t>
                  </w:r>
                </w:p>
              </w:tc>
            </w:tr>
            <w:tr w14:paraId="4A86ADB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jc w:val="center"/>
              </w:trPr>
              <w:tc>
                <w:tcPr>
                  <w:tcW w:w="324" w:type="pct"/>
                  <w:vMerge w:val="restart"/>
                  <w:tcBorders>
                    <w:tl2br w:val="nil"/>
                    <w:tr2bl w:val="nil"/>
                  </w:tcBorders>
                  <w:vAlign w:val="center"/>
                </w:tcPr>
                <w:p w14:paraId="70E3FD07">
                  <w:pPr>
                    <w:keepNext w:val="0"/>
                    <w:keepLines w:val="0"/>
                    <w:widowControl/>
                    <w:suppressLineNumbers w:val="0"/>
                    <w:adjustRightInd w:val="0"/>
                    <w:snapToGrid w:val="0"/>
                    <w:spacing w:before="0" w:beforeAutospacing="0" w:after="0" w:afterAutospacing="0" w:line="276" w:lineRule="auto"/>
                    <w:ind w:left="0" w:right="0"/>
                    <w:jc w:val="center"/>
                    <w:rPr>
                      <w:rFonts w:hint="default"/>
                      <w:sz w:val="18"/>
                      <w:szCs w:val="18"/>
                      <w:highlight w:val="none"/>
                    </w:rPr>
                  </w:pPr>
                  <w:r>
                    <w:rPr>
                      <w:rFonts w:hint="default"/>
                      <w:sz w:val="18"/>
                      <w:szCs w:val="18"/>
                      <w:highlight w:val="none"/>
                    </w:rPr>
                    <w:t>主要任务</w:t>
                  </w:r>
                </w:p>
              </w:tc>
              <w:tc>
                <w:tcPr>
                  <w:tcW w:w="3706" w:type="pct"/>
                  <w:tcBorders>
                    <w:tl2br w:val="nil"/>
                    <w:tr2bl w:val="nil"/>
                  </w:tcBorders>
                  <w:vAlign w:val="center"/>
                </w:tcPr>
                <w:p w14:paraId="7FB5B362">
                  <w:pPr>
                    <w:keepNext w:val="0"/>
                    <w:keepLines w:val="0"/>
                    <w:widowControl/>
                    <w:suppressLineNumbers w:val="0"/>
                    <w:adjustRightInd w:val="0"/>
                    <w:snapToGrid w:val="0"/>
                    <w:spacing w:before="0" w:beforeAutospacing="0" w:after="0" w:afterAutospacing="0" w:line="276" w:lineRule="auto"/>
                    <w:ind w:left="0" w:right="0"/>
                    <w:jc w:val="left"/>
                    <w:rPr>
                      <w:rFonts w:hint="default"/>
                      <w:sz w:val="18"/>
                      <w:szCs w:val="18"/>
                      <w:highlight w:val="none"/>
                    </w:rPr>
                  </w:pPr>
                  <w:r>
                    <w:rPr>
                      <w:rFonts w:hint="default"/>
                      <w:sz w:val="18"/>
                      <w:szCs w:val="18"/>
                      <w:highlight w:val="none"/>
                    </w:rPr>
                    <w:t>低效治理设施升级改造行动。各县（市、区）生态环境部门组织开展企业挥发性有机物（VOCs）治理设施排查，对涉及使用低温等离子、光氧化、光催化技术的废气治理设施，以及非水溶性VOCs废气采用单一喷淋吸收等治理技术的设施，逐一登记入册，2022年12月底前报所在设区市生态环境局备案。各地要着力解决中小微企业普遍采用低效设施治理VOCs废气的突出问题，对照《浙江省重点行业挥发性有机物污染防治技术指南》要求，加快推进升级改造。2023年8月底前，重点城市基本完成VOCs治理低效设施升级改造；2023年底前，全省完成升级改造。2024年6月底前，各地组织开展低温等离子、光氧化、光催化等低效设施升级改造情况</w:t>
                  </w:r>
                  <w:r>
                    <w:rPr>
                      <w:rFonts w:hint="eastAsia"/>
                      <w:sz w:val="18"/>
                      <w:szCs w:val="18"/>
                      <w:highlight w:val="none"/>
                      <w:lang w:eastAsia="zh-CN"/>
                    </w:rPr>
                    <w:t>“</w:t>
                  </w:r>
                  <w:r>
                    <w:rPr>
                      <w:rFonts w:hint="default"/>
                      <w:sz w:val="18"/>
                      <w:szCs w:val="18"/>
                      <w:highlight w:val="none"/>
                    </w:rPr>
                    <w:t>回头看</w:t>
                  </w:r>
                  <w:r>
                    <w:rPr>
                      <w:rFonts w:hint="eastAsia"/>
                      <w:sz w:val="18"/>
                      <w:szCs w:val="18"/>
                      <w:highlight w:val="none"/>
                      <w:lang w:eastAsia="zh-CN"/>
                    </w:rPr>
                    <w:t>”</w:t>
                  </w:r>
                  <w:r>
                    <w:rPr>
                      <w:rFonts w:hint="default"/>
                      <w:sz w:val="18"/>
                      <w:szCs w:val="18"/>
                      <w:highlight w:val="none"/>
                    </w:rPr>
                    <w:t>，各地建立VOCs治理低效设施（恶臭异味治理除外）动态清理机制，各市生态环境部门定期开展抽查，发现一例、整改一例。</w:t>
                  </w:r>
                </w:p>
              </w:tc>
              <w:tc>
                <w:tcPr>
                  <w:tcW w:w="969" w:type="pct"/>
                  <w:tcBorders>
                    <w:tl2br w:val="nil"/>
                    <w:tr2bl w:val="nil"/>
                  </w:tcBorders>
                  <w:vAlign w:val="center"/>
                </w:tcPr>
                <w:p w14:paraId="549D76A2">
                  <w:pPr>
                    <w:keepNext w:val="0"/>
                    <w:keepLines w:val="0"/>
                    <w:widowControl/>
                    <w:suppressLineNumbers w:val="0"/>
                    <w:adjustRightInd w:val="0"/>
                    <w:snapToGrid w:val="0"/>
                    <w:spacing w:before="0" w:beforeAutospacing="0" w:after="0" w:afterAutospacing="0" w:line="276" w:lineRule="auto"/>
                    <w:ind w:left="0" w:right="0"/>
                    <w:rPr>
                      <w:rFonts w:hint="default"/>
                      <w:kern w:val="0"/>
                      <w:sz w:val="18"/>
                      <w:szCs w:val="18"/>
                      <w:highlight w:val="none"/>
                    </w:rPr>
                  </w:pPr>
                  <w:r>
                    <w:rPr>
                      <w:rFonts w:hint="eastAsia"/>
                      <w:kern w:val="0"/>
                      <w:sz w:val="18"/>
                      <w:szCs w:val="18"/>
                      <w:highlight w:val="none"/>
                    </w:rPr>
                    <w:t>本项目</w:t>
                  </w:r>
                  <w:r>
                    <w:rPr>
                      <w:rFonts w:hint="eastAsia"/>
                      <w:kern w:val="0"/>
                      <w:sz w:val="18"/>
                      <w:szCs w:val="18"/>
                      <w:highlight w:val="none"/>
                      <w:lang w:val="en-US" w:eastAsia="zh-CN"/>
                    </w:rPr>
                    <w:t>实验动物中心消毒废气、解剖废气以及科创综合楼废气采用活性炭吸附</w:t>
                  </w:r>
                  <w:r>
                    <w:rPr>
                      <w:rFonts w:hint="eastAsia"/>
                      <w:kern w:val="0"/>
                      <w:sz w:val="18"/>
                      <w:szCs w:val="18"/>
                      <w:highlight w:val="none"/>
                    </w:rPr>
                    <w:t>装置处理，不属于低效治理措施。</w:t>
                  </w:r>
                  <w:r>
                    <w:rPr>
                      <w:rFonts w:hint="eastAsia"/>
                      <w:b/>
                      <w:bCs/>
                      <w:kern w:val="0"/>
                      <w:sz w:val="18"/>
                      <w:szCs w:val="18"/>
                      <w:highlight w:val="none"/>
                    </w:rPr>
                    <w:t>符合</w:t>
                  </w:r>
                </w:p>
              </w:tc>
            </w:tr>
            <w:tr w14:paraId="5FE2A90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228" w:hRule="atLeast"/>
                <w:jc w:val="center"/>
              </w:trPr>
              <w:tc>
                <w:tcPr>
                  <w:tcW w:w="324" w:type="pct"/>
                  <w:vMerge w:val="continue"/>
                  <w:tcBorders>
                    <w:tl2br w:val="nil"/>
                    <w:tr2bl w:val="nil"/>
                  </w:tcBorders>
                  <w:vAlign w:val="center"/>
                </w:tcPr>
                <w:p w14:paraId="6EC56FB2">
                  <w:pPr>
                    <w:keepNext w:val="0"/>
                    <w:keepLines w:val="0"/>
                    <w:widowControl/>
                    <w:suppressLineNumbers w:val="0"/>
                    <w:adjustRightInd w:val="0"/>
                    <w:snapToGrid w:val="0"/>
                    <w:spacing w:before="0" w:beforeAutospacing="0" w:after="0" w:afterAutospacing="0" w:line="276" w:lineRule="auto"/>
                    <w:ind w:left="0" w:right="0"/>
                    <w:jc w:val="center"/>
                    <w:rPr>
                      <w:rFonts w:hint="default"/>
                      <w:sz w:val="18"/>
                      <w:szCs w:val="18"/>
                      <w:highlight w:val="none"/>
                    </w:rPr>
                  </w:pPr>
                </w:p>
              </w:tc>
              <w:tc>
                <w:tcPr>
                  <w:tcW w:w="3706" w:type="pct"/>
                  <w:tcBorders>
                    <w:tl2br w:val="nil"/>
                    <w:tr2bl w:val="nil"/>
                  </w:tcBorders>
                  <w:vAlign w:val="center"/>
                </w:tcPr>
                <w:p w14:paraId="45F7A3C8">
                  <w:pPr>
                    <w:keepNext w:val="0"/>
                    <w:keepLines w:val="0"/>
                    <w:widowControl/>
                    <w:suppressLineNumbers w:val="0"/>
                    <w:adjustRightInd w:val="0"/>
                    <w:snapToGrid w:val="0"/>
                    <w:spacing w:before="0" w:beforeAutospacing="0" w:after="0" w:afterAutospacing="0" w:line="276" w:lineRule="auto"/>
                    <w:ind w:left="0" w:right="0"/>
                    <w:jc w:val="left"/>
                    <w:rPr>
                      <w:rFonts w:hint="default"/>
                      <w:sz w:val="18"/>
                      <w:szCs w:val="18"/>
                      <w:highlight w:val="none"/>
                    </w:rPr>
                  </w:pPr>
                  <w:r>
                    <w:rPr>
                      <w:rFonts w:hint="default"/>
                      <w:sz w:val="18"/>
                      <w:szCs w:val="18"/>
                      <w:highlight w:val="none"/>
                    </w:rPr>
                    <w:t>重点行业VOCs源头替代行动。各地结合产业特点和《低VOCs含量原辅材料源头替代指导目录》（浙环发〔2021〕10号文附件1），制定实施重点行业VOCs源头替代计划，确保本行政区域</w:t>
                  </w:r>
                  <w:r>
                    <w:rPr>
                      <w:rFonts w:hint="eastAsia"/>
                      <w:sz w:val="18"/>
                      <w:szCs w:val="18"/>
                      <w:highlight w:val="none"/>
                      <w:lang w:eastAsia="zh-CN"/>
                    </w:rPr>
                    <w:t>“</w:t>
                  </w:r>
                  <w:r>
                    <w:rPr>
                      <w:rFonts w:hint="default"/>
                      <w:sz w:val="18"/>
                      <w:szCs w:val="18"/>
                      <w:highlight w:val="none"/>
                    </w:rPr>
                    <w:t>到2025年，溶剂型工业涂料、油墨使用比例分别降低20个百分点、10个百分点，溶剂型胶粘剂使用量降低20%</w:t>
                  </w:r>
                  <w:r>
                    <w:rPr>
                      <w:rFonts w:hint="eastAsia"/>
                      <w:sz w:val="18"/>
                      <w:szCs w:val="18"/>
                      <w:highlight w:val="none"/>
                      <w:lang w:eastAsia="zh-CN"/>
                    </w:rPr>
                    <w:t>”</w:t>
                  </w:r>
                  <w:r>
                    <w:rPr>
                      <w:rFonts w:hint="default"/>
                      <w:sz w:val="18"/>
                      <w:szCs w:val="18"/>
                      <w:highlight w:val="none"/>
                    </w:rPr>
                    <w:t>。其中，涉及使用溶剂型工业涂料的汽车整车、工程机械整机、汽车零部件、木质家具、钢结构、船舶制造，涉及使用溶剂型油墨的吸收性承印物凹版印刷，以及涉及使用溶剂型胶粘剂的软包装复合、纺织品复合、家具胶粘等10个重点行业，到2025年底，原则上实现溶剂型工业涂料、油墨和胶粘剂“应替尽替”。（详见附件4）到2023年1月，各市上报辖区内含VOCs原辅材料使用情况和工业涂料、油墨、胶粘剂源头替代政企协商计划，无法替代的由各市严格把关并逐一说明。2024年三季度，各市对重点行业源头替代计划实施进度开展中期调度，对进度滞后的企业加大督促帮扶力度</w:t>
                  </w:r>
                  <w:r>
                    <w:rPr>
                      <w:rFonts w:hint="eastAsia"/>
                      <w:sz w:val="18"/>
                      <w:szCs w:val="18"/>
                      <w:highlight w:val="none"/>
                    </w:rPr>
                    <w:t>。</w:t>
                  </w:r>
                </w:p>
              </w:tc>
              <w:tc>
                <w:tcPr>
                  <w:tcW w:w="969" w:type="pct"/>
                  <w:tcBorders>
                    <w:tl2br w:val="nil"/>
                    <w:tr2bl w:val="nil"/>
                  </w:tcBorders>
                  <w:vAlign w:val="center"/>
                </w:tcPr>
                <w:p w14:paraId="3EB2E1EF">
                  <w:pPr>
                    <w:keepNext w:val="0"/>
                    <w:keepLines w:val="0"/>
                    <w:widowControl/>
                    <w:suppressLineNumbers w:val="0"/>
                    <w:adjustRightInd w:val="0"/>
                    <w:snapToGrid w:val="0"/>
                    <w:spacing w:before="0" w:beforeAutospacing="0" w:after="0" w:afterAutospacing="0" w:line="276" w:lineRule="auto"/>
                    <w:ind w:left="0" w:right="0"/>
                    <w:rPr>
                      <w:rFonts w:hint="default"/>
                      <w:kern w:val="0"/>
                      <w:sz w:val="18"/>
                      <w:szCs w:val="18"/>
                      <w:highlight w:val="none"/>
                    </w:rPr>
                  </w:pPr>
                  <w:r>
                    <w:rPr>
                      <w:rFonts w:hint="default"/>
                      <w:kern w:val="0"/>
                      <w:sz w:val="18"/>
                      <w:szCs w:val="18"/>
                      <w:highlight w:val="none"/>
                    </w:rPr>
                    <w:t>项目</w:t>
                  </w:r>
                  <w:r>
                    <w:rPr>
                      <w:rFonts w:hint="eastAsia"/>
                      <w:kern w:val="0"/>
                      <w:sz w:val="18"/>
                      <w:szCs w:val="18"/>
                      <w:highlight w:val="none"/>
                      <w:lang w:val="en-US" w:eastAsia="zh-CN"/>
                    </w:rPr>
                    <w:t>实验动物中心需采用消毒液（75%乙醇或10%次氯酸钠）对饲养间、实验器材、手术室等进行擦拭或喷洒消毒</w:t>
                  </w:r>
                  <w:r>
                    <w:rPr>
                      <w:rFonts w:hint="eastAsia"/>
                      <w:kern w:val="0"/>
                      <w:sz w:val="18"/>
                      <w:szCs w:val="18"/>
                      <w:highlight w:val="none"/>
                    </w:rPr>
                    <w:t>，项目为非工业项目且不涉及涂料、胶粘剂、油墨等原辅料。</w:t>
                  </w:r>
                  <w:r>
                    <w:rPr>
                      <w:rFonts w:hint="eastAsia"/>
                      <w:b/>
                      <w:bCs/>
                      <w:kern w:val="0"/>
                      <w:sz w:val="18"/>
                      <w:szCs w:val="18"/>
                      <w:highlight w:val="none"/>
                    </w:rPr>
                    <w:t>符合</w:t>
                  </w:r>
                </w:p>
              </w:tc>
            </w:tr>
            <w:tr w14:paraId="6FAAB99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jc w:val="center"/>
              </w:trPr>
              <w:tc>
                <w:tcPr>
                  <w:tcW w:w="324" w:type="pct"/>
                  <w:vMerge w:val="continue"/>
                  <w:tcBorders>
                    <w:tl2br w:val="nil"/>
                    <w:tr2bl w:val="nil"/>
                  </w:tcBorders>
                  <w:vAlign w:val="center"/>
                </w:tcPr>
                <w:p w14:paraId="362578CA">
                  <w:pPr>
                    <w:keepNext w:val="0"/>
                    <w:keepLines w:val="0"/>
                    <w:widowControl/>
                    <w:suppressLineNumbers w:val="0"/>
                    <w:adjustRightInd w:val="0"/>
                    <w:snapToGrid w:val="0"/>
                    <w:spacing w:before="0" w:beforeAutospacing="0" w:after="0" w:afterAutospacing="0" w:line="276" w:lineRule="auto"/>
                    <w:ind w:left="0" w:right="0"/>
                    <w:jc w:val="center"/>
                    <w:rPr>
                      <w:rFonts w:hint="default"/>
                      <w:sz w:val="18"/>
                      <w:szCs w:val="18"/>
                      <w:highlight w:val="none"/>
                    </w:rPr>
                  </w:pPr>
                </w:p>
              </w:tc>
              <w:tc>
                <w:tcPr>
                  <w:tcW w:w="3706" w:type="pct"/>
                  <w:tcBorders>
                    <w:tl2br w:val="nil"/>
                    <w:tr2bl w:val="nil"/>
                  </w:tcBorders>
                  <w:vAlign w:val="center"/>
                </w:tcPr>
                <w:p w14:paraId="217B2EC0">
                  <w:pPr>
                    <w:keepNext w:val="0"/>
                    <w:keepLines w:val="0"/>
                    <w:widowControl/>
                    <w:suppressLineNumbers w:val="0"/>
                    <w:adjustRightInd w:val="0"/>
                    <w:snapToGrid w:val="0"/>
                    <w:spacing w:before="0" w:beforeAutospacing="0" w:after="0" w:afterAutospacing="0" w:line="276" w:lineRule="auto"/>
                    <w:ind w:left="0" w:right="0"/>
                    <w:jc w:val="left"/>
                    <w:rPr>
                      <w:rFonts w:hint="default"/>
                      <w:sz w:val="18"/>
                      <w:szCs w:val="18"/>
                      <w:highlight w:val="none"/>
                    </w:rPr>
                  </w:pPr>
                  <w:r>
                    <w:rPr>
                      <w:rFonts w:hint="default"/>
                      <w:sz w:val="18"/>
                      <w:szCs w:val="18"/>
                      <w:highlight w:val="none"/>
                    </w:rPr>
                    <w:t>涉VOCs和氮氧化物排放的重点排污单位依据排污许可等管理要求安装自动监测设备，并与生态环境主管部门联网；2023年8月底前，重点城市推动一批废气排放量大、VOCs排放浓度高的企业安装在线监测设备，到2025年，全省污染源VOCs在线监测网络取得明显提升。加强废气治理设施旁路监管，2023年3月底前，各地生态环境部门组织开展备案旁路管理“回头看”，依法查处违规设置非应急类旁路行为。推动将用电监控模块作为废气治理设施的必备组件，2023年8月底前，重点城市全面推动涉气排污单位安装用电监管模块，到2025年，基本建成覆盖全省的废气收集治理用电监管网络。</w:t>
                  </w:r>
                </w:p>
              </w:tc>
              <w:tc>
                <w:tcPr>
                  <w:tcW w:w="969" w:type="pct"/>
                  <w:tcBorders>
                    <w:tl2br w:val="nil"/>
                    <w:tr2bl w:val="nil"/>
                  </w:tcBorders>
                  <w:vAlign w:val="center"/>
                </w:tcPr>
                <w:p w14:paraId="0C69892C">
                  <w:pPr>
                    <w:keepNext w:val="0"/>
                    <w:keepLines w:val="0"/>
                    <w:widowControl/>
                    <w:suppressLineNumbers w:val="0"/>
                    <w:adjustRightInd w:val="0"/>
                    <w:snapToGrid w:val="0"/>
                    <w:spacing w:before="0" w:beforeAutospacing="0" w:after="0" w:afterAutospacing="0" w:line="276" w:lineRule="auto"/>
                    <w:ind w:left="0" w:right="0"/>
                    <w:rPr>
                      <w:rFonts w:hint="default"/>
                      <w:kern w:val="0"/>
                      <w:sz w:val="18"/>
                      <w:szCs w:val="18"/>
                      <w:highlight w:val="none"/>
                    </w:rPr>
                  </w:pPr>
                  <w:r>
                    <w:rPr>
                      <w:rFonts w:hint="eastAsia"/>
                      <w:kern w:val="0"/>
                      <w:sz w:val="18"/>
                      <w:szCs w:val="18"/>
                      <w:highlight w:val="none"/>
                    </w:rPr>
                    <w:t>项目涉及VOCs排放，但不属于重点排污单位，项目建成后将按照环评监测计划要求落实自行监测。</w:t>
                  </w:r>
                  <w:r>
                    <w:rPr>
                      <w:rFonts w:hint="eastAsia"/>
                      <w:b/>
                      <w:bCs/>
                      <w:kern w:val="0"/>
                      <w:sz w:val="18"/>
                      <w:szCs w:val="18"/>
                      <w:highlight w:val="none"/>
                    </w:rPr>
                    <w:t>符合</w:t>
                  </w:r>
                </w:p>
              </w:tc>
            </w:tr>
          </w:tbl>
          <w:p w14:paraId="0F07C6CE">
            <w:pPr>
              <w:pStyle w:val="122"/>
              <w:keepNext w:val="0"/>
              <w:keepLines w:val="0"/>
              <w:suppressLineNumbers w:val="0"/>
              <w:spacing w:before="0" w:beforeAutospacing="0" w:after="0" w:afterAutospacing="0"/>
              <w:ind w:left="0" w:leftChars="0" w:right="0" w:firstLine="0" w:firstLineChars="0"/>
              <w:rPr>
                <w:rFonts w:hint="default"/>
                <w:b/>
                <w:bCs w:val="0"/>
                <w:highlight w:val="none"/>
              </w:rPr>
            </w:pPr>
            <w:r>
              <w:rPr>
                <w:rFonts w:hint="eastAsia"/>
                <w:b/>
                <w:bCs w:val="0"/>
                <w:highlight w:val="none"/>
                <w:lang w:val="en-US" w:eastAsia="zh-CN"/>
              </w:rPr>
              <w:t>6</w:t>
            </w:r>
            <w:r>
              <w:rPr>
                <w:rFonts w:hint="eastAsia"/>
                <w:b/>
                <w:bCs w:val="0"/>
                <w:highlight w:val="none"/>
              </w:rPr>
              <w:t>、与《实验动物 环境及设施》（</w:t>
            </w:r>
            <w:r>
              <w:rPr>
                <w:rFonts w:hint="default" w:ascii="TimesNewRomanPS-BoldMT" w:hAnsi="TimesNewRomanPS-BoldMT"/>
                <w:b/>
                <w:bCs w:val="0"/>
                <w:highlight w:val="none"/>
              </w:rPr>
              <w:t>GB14925-20</w:t>
            </w:r>
            <w:r>
              <w:rPr>
                <w:rFonts w:hint="eastAsia" w:ascii="TimesNewRomanPS-BoldMT" w:hAnsi="TimesNewRomanPS-BoldMT"/>
                <w:b/>
                <w:bCs w:val="0"/>
                <w:highlight w:val="none"/>
                <w:lang w:val="en-US" w:eastAsia="zh-CN"/>
              </w:rPr>
              <w:t>23</w:t>
            </w:r>
            <w:r>
              <w:rPr>
                <w:rFonts w:hint="eastAsia"/>
                <w:b/>
                <w:bCs w:val="0"/>
                <w:highlight w:val="none"/>
              </w:rPr>
              <w:t>）中设施</w:t>
            </w:r>
            <w:r>
              <w:rPr>
                <w:rFonts w:hint="eastAsia"/>
                <w:b/>
                <w:bCs w:val="0"/>
                <w:highlight w:val="none"/>
                <w:lang w:val="en-US" w:eastAsia="zh-CN"/>
              </w:rPr>
              <w:t>建筑</w:t>
            </w:r>
            <w:r>
              <w:rPr>
                <w:rFonts w:hint="eastAsia"/>
                <w:b/>
                <w:bCs w:val="0"/>
                <w:highlight w:val="none"/>
              </w:rPr>
              <w:t>要求相符性分析</w:t>
            </w:r>
          </w:p>
          <w:p w14:paraId="3B0CBFCA">
            <w:pPr>
              <w:pStyle w:val="128"/>
              <w:keepNext w:val="0"/>
              <w:keepLines w:val="0"/>
              <w:pageBreakBefore w:val="0"/>
              <w:widowControl w:val="0"/>
              <w:suppressLineNumbers w:val="0"/>
              <w:kinsoku/>
              <w:wordWrap/>
              <w:overflowPunct/>
              <w:topLinePunct w:val="0"/>
              <w:autoSpaceDE/>
              <w:autoSpaceDN/>
              <w:bidi w:val="0"/>
              <w:adjustRightInd w:val="0"/>
              <w:snapToGrid w:val="0"/>
              <w:spacing w:before="0" w:beforeLines="0" w:beforeAutospacing="0" w:after="0" w:afterAutospacing="0" w:line="360" w:lineRule="auto"/>
              <w:ind w:left="0" w:right="0"/>
              <w:textAlignment w:val="auto"/>
              <w:rPr>
                <w:rFonts w:hint="default"/>
                <w:color w:val="auto"/>
                <w:spacing w:val="-1"/>
                <w:highlight w:val="none"/>
              </w:rPr>
            </w:pPr>
            <w:r>
              <w:rPr>
                <w:rFonts w:hint="eastAsia"/>
                <w:color w:val="auto"/>
                <w:highlight w:val="none"/>
              </w:rPr>
              <w:t>表</w:t>
            </w:r>
            <w:r>
              <w:rPr>
                <w:rFonts w:hint="default"/>
                <w:color w:val="auto"/>
                <w:highlight w:val="none"/>
              </w:rPr>
              <w:t>1-</w:t>
            </w:r>
            <w:r>
              <w:rPr>
                <w:rFonts w:hint="eastAsia"/>
                <w:color w:val="auto"/>
                <w:highlight w:val="none"/>
                <w:lang w:val="en-US" w:eastAsia="zh-CN"/>
              </w:rPr>
              <w:t>6</w:t>
            </w:r>
            <w:r>
              <w:rPr>
                <w:rFonts w:hint="default"/>
                <w:color w:val="auto"/>
                <w:highlight w:val="none"/>
              </w:rPr>
              <w:t xml:space="preserve">  </w:t>
            </w:r>
            <w:r>
              <w:rPr>
                <w:rFonts w:hint="eastAsia"/>
                <w:color w:val="auto"/>
                <w:highlight w:val="none"/>
              </w:rPr>
              <w:t>与《实验动物 环境及设施》</w:t>
            </w:r>
            <w:r>
              <w:rPr>
                <w:rFonts w:hint="eastAsia"/>
                <w:color w:val="auto"/>
                <w:spacing w:val="-1"/>
                <w:highlight w:val="none"/>
              </w:rPr>
              <w:t>中设施</w:t>
            </w:r>
            <w:r>
              <w:rPr>
                <w:rFonts w:hint="eastAsia"/>
                <w:color w:val="auto"/>
                <w:spacing w:val="-1"/>
                <w:highlight w:val="none"/>
                <w:lang w:val="en-US" w:eastAsia="zh-CN"/>
              </w:rPr>
              <w:t>建筑</w:t>
            </w:r>
            <w:r>
              <w:rPr>
                <w:rFonts w:hint="eastAsia"/>
                <w:color w:val="auto"/>
                <w:spacing w:val="-1"/>
                <w:highlight w:val="none"/>
              </w:rPr>
              <w:t>要求相符性分析</w:t>
            </w:r>
          </w:p>
          <w:tbl>
            <w:tblPr>
              <w:tblStyle w:val="32"/>
              <w:tblW w:w="4995" w:type="pct"/>
              <w:tblInd w:w="-1"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autofit"/>
              <w:tblCellMar>
                <w:top w:w="0" w:type="dxa"/>
                <w:left w:w="17" w:type="dxa"/>
                <w:bottom w:w="0" w:type="dxa"/>
                <w:right w:w="17" w:type="dxa"/>
              </w:tblCellMar>
            </w:tblPr>
            <w:tblGrid>
              <w:gridCol w:w="459"/>
              <w:gridCol w:w="3096"/>
              <w:gridCol w:w="3991"/>
              <w:gridCol w:w="626"/>
            </w:tblGrid>
            <w:tr w14:paraId="646D6DB0">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7" w:type="dxa"/>
                  <w:bottom w:w="0" w:type="dxa"/>
                  <w:right w:w="17" w:type="dxa"/>
                </w:tblCellMar>
              </w:tblPrEx>
              <w:tc>
                <w:tcPr>
                  <w:tcW w:w="281" w:type="pct"/>
                  <w:tcBorders>
                    <w:tl2br w:val="nil"/>
                    <w:tr2bl w:val="nil"/>
                  </w:tcBorders>
                  <w:vAlign w:val="center"/>
                </w:tcPr>
                <w:p w14:paraId="02D3A671">
                  <w:pPr>
                    <w:pStyle w:val="120"/>
                    <w:keepNext w:val="0"/>
                    <w:keepLines w:val="0"/>
                    <w:pageBreakBefore w:val="0"/>
                    <w:framePr w:hSpace="0" w:wrap="auto" w:vAnchor="margin" w:hAnchor="text" w:xAlign="left" w:yAlign="inline"/>
                    <w:suppressLineNumbers w:val="0"/>
                    <w:kinsoku/>
                    <w:wordWrap/>
                    <w:overflowPunct/>
                    <w:topLinePunct w:val="0"/>
                    <w:bidi w:val="0"/>
                    <w:adjustRightInd w:val="0"/>
                    <w:snapToGrid w:val="0"/>
                    <w:spacing w:before="0" w:beforeAutospacing="0" w:after="0" w:afterAutospacing="0" w:line="276" w:lineRule="auto"/>
                    <w:ind w:left="0" w:right="0"/>
                    <w:textAlignment w:val="auto"/>
                    <w:rPr>
                      <w:rFonts w:hint="default" w:ascii="Times New Roman" w:hAnsi="Times New Roman" w:eastAsia="宋体" w:cs="Times New Roman"/>
                      <w:bCs w:val="0"/>
                      <w:color w:val="auto"/>
                      <w:kern w:val="2"/>
                      <w:sz w:val="18"/>
                      <w:szCs w:val="18"/>
                      <w:highlight w:val="none"/>
                      <w:lang w:val="en-US" w:eastAsia="zh-CN" w:bidi="ar-SA"/>
                    </w:rPr>
                  </w:pPr>
                  <w:r>
                    <w:rPr>
                      <w:rFonts w:hint="eastAsia" w:ascii="Times New Roman" w:hAnsi="Times New Roman" w:eastAsia="宋体" w:cs="Times New Roman"/>
                      <w:bCs w:val="0"/>
                      <w:color w:val="auto"/>
                      <w:kern w:val="2"/>
                      <w:sz w:val="18"/>
                      <w:szCs w:val="18"/>
                      <w:highlight w:val="none"/>
                      <w:lang w:val="en-US" w:eastAsia="zh-CN" w:bidi="ar-SA"/>
                    </w:rPr>
                    <w:t>序号</w:t>
                  </w:r>
                </w:p>
              </w:tc>
              <w:tc>
                <w:tcPr>
                  <w:tcW w:w="1894" w:type="pct"/>
                  <w:tcBorders>
                    <w:tl2br w:val="nil"/>
                    <w:tr2bl w:val="nil"/>
                  </w:tcBorders>
                  <w:vAlign w:val="center"/>
                </w:tcPr>
                <w:p w14:paraId="0986EBA2">
                  <w:pPr>
                    <w:pStyle w:val="120"/>
                    <w:keepNext w:val="0"/>
                    <w:keepLines w:val="0"/>
                    <w:pageBreakBefore w:val="0"/>
                    <w:framePr w:hSpace="0" w:wrap="auto" w:vAnchor="margin" w:hAnchor="text" w:xAlign="left" w:yAlign="inline"/>
                    <w:suppressLineNumbers w:val="0"/>
                    <w:kinsoku/>
                    <w:wordWrap/>
                    <w:overflowPunct/>
                    <w:topLinePunct w:val="0"/>
                    <w:bidi w:val="0"/>
                    <w:adjustRightInd w:val="0"/>
                    <w:snapToGrid w:val="0"/>
                    <w:spacing w:before="0" w:beforeAutospacing="0" w:after="0" w:afterAutospacing="0" w:line="276" w:lineRule="auto"/>
                    <w:ind w:left="0" w:right="0"/>
                    <w:textAlignment w:val="auto"/>
                    <w:rPr>
                      <w:rFonts w:hint="default" w:ascii="Times New Roman" w:hAnsi="Times New Roman" w:eastAsia="宋体" w:cs="Times New Roman"/>
                      <w:bCs w:val="0"/>
                      <w:color w:val="auto"/>
                      <w:kern w:val="2"/>
                      <w:sz w:val="18"/>
                      <w:szCs w:val="18"/>
                      <w:highlight w:val="none"/>
                      <w:lang w:val="en-US" w:eastAsia="zh-CN" w:bidi="ar-SA"/>
                    </w:rPr>
                  </w:pPr>
                  <w:r>
                    <w:rPr>
                      <w:rFonts w:hint="eastAsia" w:ascii="Times New Roman" w:hAnsi="Times New Roman" w:eastAsia="宋体" w:cs="Times New Roman"/>
                      <w:bCs w:val="0"/>
                      <w:color w:val="auto"/>
                      <w:kern w:val="2"/>
                      <w:sz w:val="18"/>
                      <w:szCs w:val="18"/>
                      <w:highlight w:val="none"/>
                      <w:lang w:val="en-US" w:eastAsia="zh-CN" w:bidi="ar-SA"/>
                    </w:rPr>
                    <w:t>文件要求</w:t>
                  </w:r>
                </w:p>
              </w:tc>
              <w:tc>
                <w:tcPr>
                  <w:tcW w:w="2441" w:type="pct"/>
                  <w:tcBorders>
                    <w:tl2br w:val="nil"/>
                    <w:tr2bl w:val="nil"/>
                  </w:tcBorders>
                  <w:vAlign w:val="center"/>
                </w:tcPr>
                <w:p w14:paraId="13E03E70">
                  <w:pPr>
                    <w:pStyle w:val="120"/>
                    <w:keepNext w:val="0"/>
                    <w:keepLines w:val="0"/>
                    <w:pageBreakBefore w:val="0"/>
                    <w:framePr w:hSpace="0" w:wrap="auto" w:vAnchor="margin" w:hAnchor="text" w:xAlign="left" w:yAlign="inline"/>
                    <w:suppressLineNumbers w:val="0"/>
                    <w:kinsoku/>
                    <w:wordWrap/>
                    <w:overflowPunct/>
                    <w:topLinePunct w:val="0"/>
                    <w:bidi w:val="0"/>
                    <w:adjustRightInd w:val="0"/>
                    <w:snapToGrid w:val="0"/>
                    <w:spacing w:before="0" w:beforeAutospacing="0" w:after="0" w:afterAutospacing="0" w:line="276" w:lineRule="auto"/>
                    <w:ind w:left="0" w:right="0"/>
                    <w:textAlignment w:val="auto"/>
                    <w:rPr>
                      <w:rFonts w:hint="default" w:ascii="Times New Roman" w:hAnsi="Times New Roman" w:eastAsia="宋体" w:cs="Times New Roman"/>
                      <w:bCs w:val="0"/>
                      <w:color w:val="auto"/>
                      <w:kern w:val="2"/>
                      <w:sz w:val="18"/>
                      <w:szCs w:val="18"/>
                      <w:highlight w:val="none"/>
                      <w:lang w:val="en-US" w:eastAsia="zh-CN" w:bidi="ar-SA"/>
                    </w:rPr>
                  </w:pPr>
                  <w:r>
                    <w:rPr>
                      <w:rFonts w:hint="eastAsia" w:ascii="Times New Roman" w:hAnsi="Times New Roman" w:eastAsia="宋体" w:cs="Times New Roman"/>
                      <w:bCs w:val="0"/>
                      <w:color w:val="auto"/>
                      <w:kern w:val="2"/>
                      <w:sz w:val="18"/>
                      <w:szCs w:val="18"/>
                      <w:highlight w:val="none"/>
                      <w:lang w:val="en-US" w:eastAsia="zh-CN" w:bidi="ar-SA"/>
                    </w:rPr>
                    <w:t>项目情况</w:t>
                  </w:r>
                </w:p>
              </w:tc>
              <w:tc>
                <w:tcPr>
                  <w:tcW w:w="383" w:type="pct"/>
                  <w:tcBorders>
                    <w:tl2br w:val="nil"/>
                    <w:tr2bl w:val="nil"/>
                  </w:tcBorders>
                  <w:vAlign w:val="center"/>
                </w:tcPr>
                <w:p w14:paraId="4202B9B4">
                  <w:pPr>
                    <w:pStyle w:val="120"/>
                    <w:keepNext w:val="0"/>
                    <w:keepLines w:val="0"/>
                    <w:pageBreakBefore w:val="0"/>
                    <w:framePr w:hSpace="0" w:wrap="auto" w:vAnchor="margin" w:hAnchor="text" w:xAlign="left" w:yAlign="inline"/>
                    <w:suppressLineNumbers w:val="0"/>
                    <w:kinsoku/>
                    <w:wordWrap/>
                    <w:overflowPunct/>
                    <w:topLinePunct w:val="0"/>
                    <w:bidi w:val="0"/>
                    <w:adjustRightInd w:val="0"/>
                    <w:snapToGrid w:val="0"/>
                    <w:spacing w:before="0" w:beforeAutospacing="0" w:after="0" w:afterAutospacing="0" w:line="276" w:lineRule="auto"/>
                    <w:ind w:left="0" w:right="0"/>
                    <w:textAlignment w:val="auto"/>
                    <w:rPr>
                      <w:rFonts w:hint="default" w:ascii="Times New Roman" w:hAnsi="Times New Roman" w:eastAsia="宋体" w:cs="Times New Roman"/>
                      <w:bCs w:val="0"/>
                      <w:color w:val="auto"/>
                      <w:kern w:val="2"/>
                      <w:sz w:val="18"/>
                      <w:szCs w:val="18"/>
                      <w:highlight w:val="none"/>
                      <w:lang w:val="en-US" w:eastAsia="zh-CN" w:bidi="ar-SA"/>
                    </w:rPr>
                  </w:pPr>
                  <w:r>
                    <w:rPr>
                      <w:rFonts w:hint="eastAsia" w:ascii="Times New Roman" w:hAnsi="Times New Roman" w:eastAsia="宋体" w:cs="Times New Roman"/>
                      <w:bCs w:val="0"/>
                      <w:color w:val="auto"/>
                      <w:kern w:val="2"/>
                      <w:sz w:val="18"/>
                      <w:szCs w:val="18"/>
                      <w:highlight w:val="none"/>
                      <w:lang w:val="en-US" w:eastAsia="zh-CN" w:bidi="ar-SA"/>
                    </w:rPr>
                    <w:t>相符性</w:t>
                  </w:r>
                </w:p>
              </w:tc>
            </w:tr>
            <w:tr w14:paraId="3AAF00CB">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7" w:type="dxa"/>
                  <w:bottom w:w="0" w:type="dxa"/>
                  <w:right w:w="17" w:type="dxa"/>
                </w:tblCellMar>
              </w:tblPrEx>
              <w:tc>
                <w:tcPr>
                  <w:tcW w:w="281" w:type="pct"/>
                  <w:tcBorders>
                    <w:tl2br w:val="nil"/>
                    <w:tr2bl w:val="nil"/>
                  </w:tcBorders>
                  <w:vAlign w:val="center"/>
                </w:tcPr>
                <w:p w14:paraId="5F9DE72D">
                  <w:pPr>
                    <w:pStyle w:val="120"/>
                    <w:keepNext w:val="0"/>
                    <w:keepLines w:val="0"/>
                    <w:pageBreakBefore w:val="0"/>
                    <w:framePr w:hSpace="0" w:wrap="auto" w:vAnchor="margin" w:hAnchor="text" w:xAlign="left" w:yAlign="inline"/>
                    <w:suppressLineNumbers w:val="0"/>
                    <w:kinsoku/>
                    <w:wordWrap/>
                    <w:overflowPunct/>
                    <w:topLinePunct w:val="0"/>
                    <w:bidi w:val="0"/>
                    <w:adjustRightInd w:val="0"/>
                    <w:snapToGrid w:val="0"/>
                    <w:spacing w:before="0" w:beforeAutospacing="0" w:after="0" w:afterAutospacing="0" w:line="276" w:lineRule="auto"/>
                    <w:ind w:left="0" w:right="0"/>
                    <w:textAlignment w:val="auto"/>
                    <w:rPr>
                      <w:rFonts w:hint="default" w:ascii="Times New Roman" w:hAnsi="Times New Roman" w:eastAsia="宋体" w:cs="Times New Roman"/>
                      <w:bCs w:val="0"/>
                      <w:color w:val="auto"/>
                      <w:kern w:val="2"/>
                      <w:sz w:val="18"/>
                      <w:szCs w:val="18"/>
                      <w:highlight w:val="none"/>
                      <w:lang w:val="en-US" w:eastAsia="zh-CN" w:bidi="ar-SA"/>
                    </w:rPr>
                  </w:pPr>
                  <w:r>
                    <w:rPr>
                      <w:rFonts w:hint="eastAsia" w:cs="Times New Roman"/>
                      <w:bCs w:val="0"/>
                      <w:color w:val="auto"/>
                      <w:kern w:val="2"/>
                      <w:sz w:val="18"/>
                      <w:szCs w:val="18"/>
                      <w:highlight w:val="none"/>
                      <w:lang w:val="en-US" w:eastAsia="zh-CN" w:bidi="ar-SA"/>
                    </w:rPr>
                    <w:t>1</w:t>
                  </w:r>
                </w:p>
              </w:tc>
              <w:tc>
                <w:tcPr>
                  <w:tcW w:w="1894" w:type="pct"/>
                  <w:tcBorders>
                    <w:tl2br w:val="nil"/>
                    <w:tr2bl w:val="nil"/>
                  </w:tcBorders>
                  <w:vAlign w:val="center"/>
                </w:tcPr>
                <w:p w14:paraId="47570152">
                  <w:pPr>
                    <w:pStyle w:val="120"/>
                    <w:keepNext w:val="0"/>
                    <w:keepLines w:val="0"/>
                    <w:pageBreakBefore w:val="0"/>
                    <w:framePr w:hSpace="0" w:wrap="auto" w:vAnchor="margin" w:hAnchor="text" w:xAlign="left" w:yAlign="inline"/>
                    <w:suppressLineNumbers w:val="0"/>
                    <w:kinsoku/>
                    <w:wordWrap/>
                    <w:overflowPunct/>
                    <w:topLinePunct w:val="0"/>
                    <w:bidi w:val="0"/>
                    <w:adjustRightInd w:val="0"/>
                    <w:snapToGrid w:val="0"/>
                    <w:spacing w:before="0" w:beforeAutospacing="0" w:after="0" w:afterAutospacing="0" w:line="276" w:lineRule="auto"/>
                    <w:ind w:left="0" w:right="0"/>
                    <w:jc w:val="both"/>
                    <w:textAlignment w:val="auto"/>
                    <w:rPr>
                      <w:rFonts w:hint="default" w:ascii="Times New Roman" w:hAnsi="Times New Roman" w:eastAsia="宋体" w:cs="Times New Roman"/>
                      <w:bCs w:val="0"/>
                      <w:color w:val="auto"/>
                      <w:kern w:val="2"/>
                      <w:sz w:val="18"/>
                      <w:szCs w:val="18"/>
                      <w:highlight w:val="none"/>
                      <w:lang w:val="en-US" w:eastAsia="zh-CN" w:bidi="ar-SA"/>
                    </w:rPr>
                  </w:pPr>
                  <w:r>
                    <w:rPr>
                      <w:rFonts w:hint="eastAsia" w:ascii="Times New Roman" w:hAnsi="Times New Roman" w:eastAsia="宋体" w:cs="Times New Roman"/>
                      <w:bCs w:val="0"/>
                      <w:color w:val="auto"/>
                      <w:kern w:val="2"/>
                      <w:sz w:val="18"/>
                      <w:szCs w:val="18"/>
                      <w:highlight w:val="none"/>
                      <w:lang w:val="en-US" w:eastAsia="zh-CN" w:bidi="ar-SA"/>
                    </w:rPr>
                    <w:t>实验动物设施选址应避开自然疫源地</w:t>
                  </w:r>
                  <w:r>
                    <w:rPr>
                      <w:rFonts w:hint="eastAsia" w:cs="Times New Roman"/>
                      <w:bCs w:val="0"/>
                      <w:color w:val="auto"/>
                      <w:kern w:val="2"/>
                      <w:sz w:val="18"/>
                      <w:szCs w:val="18"/>
                      <w:highlight w:val="none"/>
                      <w:lang w:val="en-US" w:eastAsia="zh-CN" w:bidi="ar-SA"/>
                    </w:rPr>
                    <w:t>，</w:t>
                  </w:r>
                  <w:r>
                    <w:rPr>
                      <w:rFonts w:hint="eastAsia" w:ascii="Times New Roman" w:hAnsi="Times New Roman" w:eastAsia="宋体" w:cs="Times New Roman"/>
                      <w:bCs w:val="0"/>
                      <w:color w:val="auto"/>
                      <w:kern w:val="2"/>
                      <w:sz w:val="18"/>
                      <w:szCs w:val="18"/>
                      <w:highlight w:val="none"/>
                      <w:lang w:val="en-US" w:eastAsia="zh-CN" w:bidi="ar-SA"/>
                    </w:rPr>
                    <w:t>远离易燃、易爆和易挥发性物品的生产和储存区、有振动或噪声干扰的设施及可能产生交叉感染的场所。</w:t>
                  </w:r>
                </w:p>
              </w:tc>
              <w:tc>
                <w:tcPr>
                  <w:tcW w:w="2441" w:type="pct"/>
                  <w:tcBorders>
                    <w:tl2br w:val="nil"/>
                    <w:tr2bl w:val="nil"/>
                  </w:tcBorders>
                  <w:vAlign w:val="center"/>
                </w:tcPr>
                <w:p w14:paraId="0333A5BA">
                  <w:pPr>
                    <w:pStyle w:val="120"/>
                    <w:keepNext w:val="0"/>
                    <w:keepLines w:val="0"/>
                    <w:pageBreakBefore w:val="0"/>
                    <w:framePr w:hSpace="0" w:wrap="auto" w:vAnchor="margin" w:hAnchor="text" w:xAlign="left" w:yAlign="inline"/>
                    <w:suppressLineNumbers w:val="0"/>
                    <w:kinsoku/>
                    <w:wordWrap/>
                    <w:overflowPunct/>
                    <w:topLinePunct w:val="0"/>
                    <w:bidi w:val="0"/>
                    <w:adjustRightInd w:val="0"/>
                    <w:snapToGrid w:val="0"/>
                    <w:spacing w:before="0" w:beforeAutospacing="0" w:after="0" w:afterAutospacing="0" w:line="276" w:lineRule="auto"/>
                    <w:ind w:left="0" w:right="0"/>
                    <w:jc w:val="both"/>
                    <w:textAlignment w:val="auto"/>
                    <w:rPr>
                      <w:rFonts w:hint="default" w:ascii="Times New Roman" w:hAnsi="Times New Roman" w:eastAsia="宋体" w:cs="Times New Roman"/>
                      <w:bCs w:val="0"/>
                      <w:color w:val="auto"/>
                      <w:kern w:val="2"/>
                      <w:sz w:val="18"/>
                      <w:szCs w:val="18"/>
                      <w:highlight w:val="none"/>
                      <w:lang w:val="en-US" w:eastAsia="zh-CN" w:bidi="ar-SA"/>
                    </w:rPr>
                  </w:pPr>
                  <w:r>
                    <w:rPr>
                      <w:rFonts w:hint="default" w:ascii="Times New Roman" w:hAnsi="Times New Roman" w:eastAsia="宋体" w:cs="Times New Roman"/>
                      <w:bCs w:val="0"/>
                      <w:color w:val="auto"/>
                      <w:kern w:val="2"/>
                      <w:sz w:val="18"/>
                      <w:szCs w:val="18"/>
                      <w:highlight w:val="none"/>
                      <w:lang w:val="en-US" w:eastAsia="zh-CN" w:bidi="ar-SA"/>
                    </w:rPr>
                    <w:t>本项目</w:t>
                  </w:r>
                  <w:r>
                    <w:rPr>
                      <w:rFonts w:hint="eastAsia" w:cs="Times New Roman"/>
                      <w:bCs w:val="0"/>
                      <w:color w:val="auto"/>
                      <w:kern w:val="2"/>
                      <w:sz w:val="18"/>
                      <w:szCs w:val="18"/>
                      <w:highlight w:val="none"/>
                      <w:lang w:val="en-US" w:eastAsia="zh-CN" w:bidi="ar-SA"/>
                    </w:rPr>
                    <w:t>位于生活重点管控单元，周边主要为居住区、高校研究院以及医院等等，</w:t>
                  </w:r>
                  <w:r>
                    <w:rPr>
                      <w:rFonts w:hint="default" w:ascii="Times New Roman" w:hAnsi="Times New Roman" w:eastAsia="宋体" w:cs="Times New Roman"/>
                      <w:bCs w:val="0"/>
                      <w:color w:val="auto"/>
                      <w:kern w:val="2"/>
                      <w:sz w:val="18"/>
                      <w:szCs w:val="18"/>
                      <w:highlight w:val="none"/>
                      <w:lang w:val="en-US" w:eastAsia="zh-CN" w:bidi="ar-SA"/>
                    </w:rPr>
                    <w:t>评价范围内无自然疫源地</w:t>
                  </w:r>
                  <w:r>
                    <w:rPr>
                      <w:rFonts w:hint="eastAsia" w:cs="Times New Roman"/>
                      <w:bCs w:val="0"/>
                      <w:color w:val="auto"/>
                      <w:kern w:val="2"/>
                      <w:sz w:val="18"/>
                      <w:szCs w:val="18"/>
                      <w:highlight w:val="none"/>
                      <w:lang w:val="en-US" w:eastAsia="zh-CN" w:bidi="ar-SA"/>
                    </w:rPr>
                    <w:t>，不涉及</w:t>
                  </w:r>
                  <w:r>
                    <w:rPr>
                      <w:rFonts w:hint="eastAsia" w:ascii="Times New Roman" w:hAnsi="Times New Roman" w:eastAsia="宋体" w:cs="Times New Roman"/>
                      <w:bCs w:val="0"/>
                      <w:color w:val="auto"/>
                      <w:kern w:val="2"/>
                      <w:sz w:val="18"/>
                      <w:szCs w:val="18"/>
                      <w:highlight w:val="none"/>
                      <w:lang w:val="en-US" w:eastAsia="zh-CN" w:bidi="ar-SA"/>
                    </w:rPr>
                    <w:t>易燃、易爆和易挥发性物品的生产和储存区</w:t>
                  </w:r>
                  <w:r>
                    <w:rPr>
                      <w:rFonts w:hint="eastAsia" w:cs="Times New Roman"/>
                      <w:bCs w:val="0"/>
                      <w:color w:val="auto"/>
                      <w:kern w:val="2"/>
                      <w:sz w:val="18"/>
                      <w:szCs w:val="18"/>
                      <w:highlight w:val="none"/>
                      <w:lang w:val="en-US" w:eastAsia="zh-CN" w:bidi="ar-SA"/>
                    </w:rPr>
                    <w:t>，无</w:t>
                  </w:r>
                  <w:r>
                    <w:rPr>
                      <w:rFonts w:hint="eastAsia" w:ascii="Times New Roman" w:hAnsi="Times New Roman" w:eastAsia="宋体" w:cs="Times New Roman"/>
                      <w:bCs w:val="0"/>
                      <w:color w:val="auto"/>
                      <w:kern w:val="2"/>
                      <w:sz w:val="18"/>
                      <w:szCs w:val="18"/>
                      <w:highlight w:val="none"/>
                      <w:lang w:val="en-US" w:eastAsia="zh-CN" w:bidi="ar-SA"/>
                    </w:rPr>
                    <w:t>振动或噪声干扰的设施及可能产生交叉感染的场所</w:t>
                  </w:r>
                  <w:r>
                    <w:rPr>
                      <w:rFonts w:hint="eastAsia" w:cs="Times New Roman"/>
                      <w:bCs w:val="0"/>
                      <w:color w:val="auto"/>
                      <w:kern w:val="2"/>
                      <w:sz w:val="18"/>
                      <w:szCs w:val="18"/>
                      <w:highlight w:val="none"/>
                      <w:lang w:val="en-US" w:eastAsia="zh-CN" w:bidi="ar-SA"/>
                    </w:rPr>
                    <w:t>。</w:t>
                  </w:r>
                </w:p>
              </w:tc>
              <w:tc>
                <w:tcPr>
                  <w:tcW w:w="383" w:type="pct"/>
                  <w:tcBorders>
                    <w:tl2br w:val="nil"/>
                    <w:tr2bl w:val="nil"/>
                  </w:tcBorders>
                  <w:vAlign w:val="center"/>
                </w:tcPr>
                <w:p w14:paraId="2EEA9BD8">
                  <w:pPr>
                    <w:pStyle w:val="120"/>
                    <w:keepNext w:val="0"/>
                    <w:keepLines w:val="0"/>
                    <w:pageBreakBefore w:val="0"/>
                    <w:framePr w:hSpace="0" w:wrap="auto" w:vAnchor="margin" w:hAnchor="text" w:xAlign="left" w:yAlign="inline"/>
                    <w:suppressLineNumbers w:val="0"/>
                    <w:kinsoku/>
                    <w:wordWrap/>
                    <w:overflowPunct/>
                    <w:topLinePunct w:val="0"/>
                    <w:bidi w:val="0"/>
                    <w:adjustRightInd w:val="0"/>
                    <w:snapToGrid w:val="0"/>
                    <w:spacing w:before="0" w:beforeAutospacing="0" w:after="0" w:afterAutospacing="0" w:line="276" w:lineRule="auto"/>
                    <w:ind w:left="0" w:right="0"/>
                    <w:textAlignment w:val="auto"/>
                    <w:rPr>
                      <w:rFonts w:hint="default" w:ascii="Times New Roman" w:hAnsi="Times New Roman" w:eastAsia="宋体" w:cs="Times New Roman"/>
                      <w:bCs w:val="0"/>
                      <w:color w:val="auto"/>
                      <w:kern w:val="2"/>
                      <w:sz w:val="18"/>
                      <w:szCs w:val="18"/>
                      <w:highlight w:val="none"/>
                      <w:lang w:val="en-US" w:eastAsia="zh-CN" w:bidi="ar-SA"/>
                    </w:rPr>
                  </w:pPr>
                  <w:r>
                    <w:rPr>
                      <w:rFonts w:hint="eastAsia" w:ascii="Times New Roman" w:hAnsi="Times New Roman" w:eastAsia="宋体" w:cs="Times New Roman"/>
                      <w:bCs w:val="0"/>
                      <w:color w:val="auto"/>
                      <w:kern w:val="2"/>
                      <w:sz w:val="18"/>
                      <w:szCs w:val="18"/>
                      <w:highlight w:val="none"/>
                      <w:lang w:val="en-US" w:eastAsia="zh-CN" w:bidi="ar-SA"/>
                    </w:rPr>
                    <w:t>相符</w:t>
                  </w:r>
                </w:p>
              </w:tc>
            </w:tr>
            <w:tr w14:paraId="54DB5313">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7" w:type="dxa"/>
                  <w:bottom w:w="0" w:type="dxa"/>
                  <w:right w:w="17" w:type="dxa"/>
                </w:tblCellMar>
              </w:tblPrEx>
              <w:tc>
                <w:tcPr>
                  <w:tcW w:w="281" w:type="pct"/>
                  <w:tcBorders>
                    <w:tl2br w:val="nil"/>
                    <w:tr2bl w:val="nil"/>
                  </w:tcBorders>
                  <w:vAlign w:val="center"/>
                </w:tcPr>
                <w:p w14:paraId="23315D95">
                  <w:pPr>
                    <w:pStyle w:val="120"/>
                    <w:keepNext w:val="0"/>
                    <w:keepLines w:val="0"/>
                    <w:pageBreakBefore w:val="0"/>
                    <w:framePr w:hSpace="0" w:wrap="auto" w:vAnchor="margin" w:hAnchor="text" w:xAlign="left" w:yAlign="inline"/>
                    <w:suppressLineNumbers w:val="0"/>
                    <w:kinsoku/>
                    <w:wordWrap/>
                    <w:overflowPunct/>
                    <w:topLinePunct w:val="0"/>
                    <w:bidi w:val="0"/>
                    <w:adjustRightInd w:val="0"/>
                    <w:snapToGrid w:val="0"/>
                    <w:spacing w:before="0" w:beforeAutospacing="0" w:after="0" w:afterAutospacing="0" w:line="276" w:lineRule="auto"/>
                    <w:ind w:left="0" w:right="0"/>
                    <w:textAlignment w:val="auto"/>
                    <w:rPr>
                      <w:rFonts w:hint="default" w:ascii="Times New Roman" w:hAnsi="Times New Roman" w:eastAsia="宋体" w:cs="Times New Roman"/>
                      <w:bCs w:val="0"/>
                      <w:color w:val="auto"/>
                      <w:kern w:val="2"/>
                      <w:sz w:val="18"/>
                      <w:szCs w:val="18"/>
                      <w:highlight w:val="none"/>
                      <w:lang w:val="en-US" w:eastAsia="zh-CN" w:bidi="ar-SA"/>
                    </w:rPr>
                  </w:pPr>
                  <w:r>
                    <w:rPr>
                      <w:rFonts w:hint="eastAsia" w:cs="Times New Roman"/>
                      <w:bCs w:val="0"/>
                      <w:color w:val="auto"/>
                      <w:kern w:val="2"/>
                      <w:sz w:val="18"/>
                      <w:szCs w:val="18"/>
                      <w:highlight w:val="none"/>
                      <w:lang w:val="en-US" w:eastAsia="zh-CN" w:bidi="ar-SA"/>
                    </w:rPr>
                    <w:t>2</w:t>
                  </w:r>
                </w:p>
              </w:tc>
              <w:tc>
                <w:tcPr>
                  <w:tcW w:w="1894" w:type="pct"/>
                  <w:tcBorders>
                    <w:tl2br w:val="nil"/>
                    <w:tr2bl w:val="nil"/>
                  </w:tcBorders>
                  <w:vAlign w:val="center"/>
                </w:tcPr>
                <w:p w14:paraId="3AC46D6C">
                  <w:pPr>
                    <w:keepNext w:val="0"/>
                    <w:keepLines w:val="0"/>
                    <w:pageBreakBefore w:val="0"/>
                    <w:widowControl/>
                    <w:suppressLineNumbers w:val="0"/>
                    <w:kinsoku/>
                    <w:wordWrap/>
                    <w:overflowPunct/>
                    <w:topLinePunct w:val="0"/>
                    <w:bidi w:val="0"/>
                    <w:adjustRightInd w:val="0"/>
                    <w:snapToGrid w:val="0"/>
                    <w:spacing w:before="0" w:beforeAutospacing="0" w:after="0" w:afterAutospacing="0" w:line="276" w:lineRule="auto"/>
                    <w:ind w:left="0" w:right="0"/>
                    <w:jc w:val="both"/>
                    <w:textAlignment w:val="auto"/>
                    <w:rPr>
                      <w:rFonts w:hint="default" w:ascii="Times New Roman" w:hAnsi="Times New Roman" w:eastAsia="宋体" w:cs="Times New Roman"/>
                      <w:bCs w:val="0"/>
                      <w:color w:val="auto"/>
                      <w:kern w:val="2"/>
                      <w:sz w:val="18"/>
                      <w:szCs w:val="18"/>
                      <w:highlight w:val="none"/>
                      <w:lang w:val="en-US" w:eastAsia="zh-CN" w:bidi="ar-SA"/>
                    </w:rPr>
                  </w:pPr>
                  <w:r>
                    <w:rPr>
                      <w:rFonts w:hint="default" w:ascii="Times New Roman" w:hAnsi="Times New Roman" w:eastAsia="宋体" w:cs="Times New Roman"/>
                      <w:bCs w:val="0"/>
                      <w:color w:val="auto"/>
                      <w:kern w:val="2"/>
                      <w:sz w:val="18"/>
                      <w:szCs w:val="18"/>
                      <w:highlight w:val="none"/>
                      <w:lang w:val="en-US" w:eastAsia="zh-CN" w:bidi="ar-SA"/>
                    </w:rPr>
                    <w:t>动物生物安全实验室与生活区的距离应符合 GB19489和 GB50346的要求。</w:t>
                  </w:r>
                </w:p>
              </w:tc>
              <w:tc>
                <w:tcPr>
                  <w:tcW w:w="2441" w:type="pct"/>
                  <w:tcBorders>
                    <w:tl2br w:val="nil"/>
                    <w:tr2bl w:val="nil"/>
                  </w:tcBorders>
                  <w:vAlign w:val="center"/>
                </w:tcPr>
                <w:p w14:paraId="0B2B66C7">
                  <w:pPr>
                    <w:pStyle w:val="120"/>
                    <w:keepNext w:val="0"/>
                    <w:keepLines w:val="0"/>
                    <w:pageBreakBefore w:val="0"/>
                    <w:framePr w:hSpace="0" w:wrap="auto" w:vAnchor="margin" w:hAnchor="text" w:xAlign="left" w:yAlign="inline"/>
                    <w:suppressLineNumbers w:val="0"/>
                    <w:kinsoku/>
                    <w:wordWrap/>
                    <w:overflowPunct/>
                    <w:topLinePunct w:val="0"/>
                    <w:bidi w:val="0"/>
                    <w:adjustRightInd w:val="0"/>
                    <w:snapToGrid w:val="0"/>
                    <w:spacing w:before="0" w:beforeAutospacing="0" w:after="0" w:afterAutospacing="0" w:line="276" w:lineRule="auto"/>
                    <w:ind w:left="0" w:right="0"/>
                    <w:jc w:val="both"/>
                    <w:textAlignment w:val="auto"/>
                    <w:rPr>
                      <w:rFonts w:hint="default" w:ascii="Times New Roman" w:hAnsi="Times New Roman" w:eastAsia="宋体" w:cs="Times New Roman"/>
                      <w:bCs w:val="0"/>
                      <w:color w:val="auto"/>
                      <w:kern w:val="2"/>
                      <w:sz w:val="18"/>
                      <w:szCs w:val="18"/>
                      <w:highlight w:val="none"/>
                      <w:lang w:val="en-US" w:eastAsia="zh-CN" w:bidi="ar-SA"/>
                    </w:rPr>
                  </w:pPr>
                  <w:r>
                    <w:rPr>
                      <w:rFonts w:hint="default" w:ascii="Times New Roman" w:hAnsi="Times New Roman" w:eastAsia="宋体" w:cs="Times New Roman"/>
                      <w:bCs w:val="0"/>
                      <w:color w:val="auto"/>
                      <w:kern w:val="2"/>
                      <w:sz w:val="18"/>
                      <w:szCs w:val="18"/>
                      <w:highlight w:val="none"/>
                      <w:lang w:val="en-US" w:eastAsia="zh-CN" w:bidi="ar-SA"/>
                    </w:rPr>
                    <w:t>项目动物生物安全实验室等级为ABSL-2。《生物安全实验室建筑技术规范》（GB50346-2011）4.1.1中对二级生物安全实验室平面位置提出与建筑物其他部分可相通，但应设置可自动关闭的带锁的门的要求，对选址和建筑间距无要求。本项目ABSL-2设有可自动关闭的带锁的门，满足GB19489和GB50346中实验室与生活区距离的要求。</w:t>
                  </w:r>
                </w:p>
              </w:tc>
              <w:tc>
                <w:tcPr>
                  <w:tcW w:w="383" w:type="pct"/>
                  <w:tcBorders>
                    <w:tl2br w:val="nil"/>
                    <w:tr2bl w:val="nil"/>
                  </w:tcBorders>
                  <w:vAlign w:val="center"/>
                </w:tcPr>
                <w:p w14:paraId="7E6B4E2C">
                  <w:pPr>
                    <w:pStyle w:val="120"/>
                    <w:keepNext w:val="0"/>
                    <w:keepLines w:val="0"/>
                    <w:pageBreakBefore w:val="0"/>
                    <w:framePr w:hSpace="0" w:wrap="auto" w:vAnchor="margin" w:hAnchor="text" w:xAlign="left" w:yAlign="inline"/>
                    <w:suppressLineNumbers w:val="0"/>
                    <w:kinsoku/>
                    <w:wordWrap/>
                    <w:overflowPunct/>
                    <w:topLinePunct w:val="0"/>
                    <w:bidi w:val="0"/>
                    <w:adjustRightInd w:val="0"/>
                    <w:snapToGrid w:val="0"/>
                    <w:spacing w:before="0" w:beforeAutospacing="0" w:after="0" w:afterAutospacing="0" w:line="276" w:lineRule="auto"/>
                    <w:ind w:left="0" w:right="0"/>
                    <w:textAlignment w:val="auto"/>
                    <w:rPr>
                      <w:rFonts w:hint="default" w:ascii="Times New Roman" w:hAnsi="Times New Roman" w:eastAsia="宋体" w:cs="Times New Roman"/>
                      <w:bCs w:val="0"/>
                      <w:color w:val="auto"/>
                      <w:kern w:val="2"/>
                      <w:sz w:val="18"/>
                      <w:szCs w:val="18"/>
                      <w:highlight w:val="none"/>
                      <w:lang w:val="en-US" w:eastAsia="zh-CN" w:bidi="ar-SA"/>
                    </w:rPr>
                  </w:pPr>
                  <w:r>
                    <w:rPr>
                      <w:rFonts w:hint="eastAsia" w:ascii="Times New Roman" w:hAnsi="Times New Roman" w:eastAsia="宋体" w:cs="Times New Roman"/>
                      <w:bCs w:val="0"/>
                      <w:color w:val="auto"/>
                      <w:kern w:val="2"/>
                      <w:sz w:val="18"/>
                      <w:szCs w:val="18"/>
                      <w:highlight w:val="none"/>
                      <w:lang w:val="en-US" w:eastAsia="zh-CN" w:bidi="ar-SA"/>
                    </w:rPr>
                    <w:t>相符</w:t>
                  </w:r>
                </w:p>
              </w:tc>
            </w:tr>
            <w:tr w14:paraId="400A645B">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7" w:type="dxa"/>
                  <w:bottom w:w="0" w:type="dxa"/>
                  <w:right w:w="17" w:type="dxa"/>
                </w:tblCellMar>
              </w:tblPrEx>
              <w:tc>
                <w:tcPr>
                  <w:tcW w:w="281" w:type="pct"/>
                  <w:tcBorders>
                    <w:tl2br w:val="nil"/>
                    <w:tr2bl w:val="nil"/>
                  </w:tcBorders>
                  <w:vAlign w:val="center"/>
                </w:tcPr>
                <w:p w14:paraId="49D77F4D">
                  <w:pPr>
                    <w:pStyle w:val="120"/>
                    <w:keepNext w:val="0"/>
                    <w:keepLines w:val="0"/>
                    <w:pageBreakBefore w:val="0"/>
                    <w:framePr w:hSpace="0" w:wrap="auto" w:vAnchor="margin" w:hAnchor="text" w:xAlign="left" w:yAlign="inline"/>
                    <w:suppressLineNumbers w:val="0"/>
                    <w:kinsoku/>
                    <w:wordWrap/>
                    <w:overflowPunct/>
                    <w:topLinePunct w:val="0"/>
                    <w:bidi w:val="0"/>
                    <w:adjustRightInd w:val="0"/>
                    <w:snapToGrid w:val="0"/>
                    <w:spacing w:before="0" w:beforeAutospacing="0" w:after="0" w:afterAutospacing="0" w:line="276" w:lineRule="auto"/>
                    <w:ind w:left="0" w:right="0"/>
                    <w:textAlignment w:val="auto"/>
                    <w:rPr>
                      <w:rFonts w:hint="default" w:ascii="Times New Roman" w:hAnsi="Times New Roman" w:eastAsia="宋体" w:cs="Times New Roman"/>
                      <w:bCs w:val="0"/>
                      <w:color w:val="auto"/>
                      <w:kern w:val="2"/>
                      <w:sz w:val="18"/>
                      <w:szCs w:val="18"/>
                      <w:highlight w:val="none"/>
                      <w:lang w:val="en-US" w:eastAsia="zh-CN" w:bidi="ar-SA"/>
                    </w:rPr>
                  </w:pPr>
                  <w:r>
                    <w:rPr>
                      <w:rFonts w:hint="eastAsia" w:cs="Times New Roman"/>
                      <w:bCs w:val="0"/>
                      <w:color w:val="auto"/>
                      <w:kern w:val="2"/>
                      <w:sz w:val="18"/>
                      <w:szCs w:val="18"/>
                      <w:highlight w:val="none"/>
                      <w:lang w:val="en-US" w:eastAsia="zh-CN" w:bidi="ar-SA"/>
                    </w:rPr>
                    <w:t>3</w:t>
                  </w:r>
                </w:p>
              </w:tc>
              <w:tc>
                <w:tcPr>
                  <w:tcW w:w="1894" w:type="pct"/>
                  <w:tcBorders>
                    <w:tl2br w:val="nil"/>
                    <w:tr2bl w:val="nil"/>
                  </w:tcBorders>
                  <w:vAlign w:val="center"/>
                </w:tcPr>
                <w:p w14:paraId="27202E10">
                  <w:pPr>
                    <w:keepNext w:val="0"/>
                    <w:keepLines w:val="0"/>
                    <w:pageBreakBefore w:val="0"/>
                    <w:widowControl/>
                    <w:suppressLineNumbers w:val="0"/>
                    <w:kinsoku/>
                    <w:wordWrap/>
                    <w:overflowPunct/>
                    <w:topLinePunct w:val="0"/>
                    <w:bidi w:val="0"/>
                    <w:adjustRightInd w:val="0"/>
                    <w:snapToGrid w:val="0"/>
                    <w:spacing w:before="0" w:beforeAutospacing="0" w:after="0" w:afterAutospacing="0" w:line="276" w:lineRule="auto"/>
                    <w:ind w:left="0" w:right="0"/>
                    <w:jc w:val="both"/>
                    <w:textAlignment w:val="auto"/>
                    <w:rPr>
                      <w:rFonts w:hint="default" w:ascii="Times New Roman" w:hAnsi="Times New Roman" w:eastAsia="宋体" w:cs="Times New Roman"/>
                      <w:bCs w:val="0"/>
                      <w:color w:val="auto"/>
                      <w:kern w:val="2"/>
                      <w:sz w:val="18"/>
                      <w:szCs w:val="18"/>
                      <w:highlight w:val="none"/>
                      <w:lang w:val="en-US" w:eastAsia="zh-CN" w:bidi="ar-SA"/>
                    </w:rPr>
                  </w:pPr>
                  <w:r>
                    <w:rPr>
                      <w:rFonts w:hint="default" w:ascii="Times New Roman" w:hAnsi="Times New Roman" w:eastAsia="宋体" w:cs="Times New Roman"/>
                      <w:bCs w:val="0"/>
                      <w:color w:val="auto"/>
                      <w:kern w:val="2"/>
                      <w:sz w:val="18"/>
                      <w:szCs w:val="18"/>
                      <w:highlight w:val="none"/>
                      <w:lang w:val="en-US" w:eastAsia="zh-CN" w:bidi="ar-SA"/>
                    </w:rPr>
                    <w:t>建筑物门、窗应具有良好的密闭性</w:t>
                  </w:r>
                  <w:r>
                    <w:rPr>
                      <w:rFonts w:hint="eastAsia" w:cs="Times New Roman"/>
                      <w:bCs w:val="0"/>
                      <w:color w:val="auto"/>
                      <w:kern w:val="2"/>
                      <w:sz w:val="18"/>
                      <w:szCs w:val="18"/>
                      <w:highlight w:val="none"/>
                      <w:lang w:val="en-US" w:eastAsia="zh-CN" w:bidi="ar-SA"/>
                    </w:rPr>
                    <w:t>，</w:t>
                  </w:r>
                  <w:r>
                    <w:rPr>
                      <w:rFonts w:hint="default" w:ascii="Times New Roman" w:hAnsi="Times New Roman" w:eastAsia="宋体" w:cs="Times New Roman"/>
                      <w:bCs w:val="0"/>
                      <w:color w:val="auto"/>
                      <w:kern w:val="2"/>
                      <w:sz w:val="18"/>
                      <w:szCs w:val="18"/>
                      <w:highlight w:val="none"/>
                      <w:lang w:val="en-US" w:eastAsia="zh-CN" w:bidi="ar-SA"/>
                    </w:rPr>
                    <w:t>屏障环境的门、窗应满足房间压力等要求。</w:t>
                  </w:r>
                </w:p>
              </w:tc>
              <w:tc>
                <w:tcPr>
                  <w:tcW w:w="2441" w:type="pct"/>
                  <w:tcBorders>
                    <w:tl2br w:val="nil"/>
                    <w:tr2bl w:val="nil"/>
                  </w:tcBorders>
                  <w:vAlign w:val="center"/>
                </w:tcPr>
                <w:p w14:paraId="5F0F9943">
                  <w:pPr>
                    <w:pStyle w:val="120"/>
                    <w:keepNext w:val="0"/>
                    <w:keepLines w:val="0"/>
                    <w:pageBreakBefore w:val="0"/>
                    <w:framePr w:hSpace="0" w:wrap="auto" w:vAnchor="margin" w:hAnchor="text" w:xAlign="left" w:yAlign="inline"/>
                    <w:suppressLineNumbers w:val="0"/>
                    <w:kinsoku/>
                    <w:wordWrap/>
                    <w:overflowPunct/>
                    <w:topLinePunct w:val="0"/>
                    <w:bidi w:val="0"/>
                    <w:adjustRightInd w:val="0"/>
                    <w:snapToGrid w:val="0"/>
                    <w:spacing w:before="0" w:beforeAutospacing="0" w:after="0" w:afterAutospacing="0" w:line="276" w:lineRule="auto"/>
                    <w:ind w:left="0" w:right="0"/>
                    <w:jc w:val="both"/>
                    <w:textAlignment w:val="auto"/>
                    <w:rPr>
                      <w:rFonts w:hint="default" w:ascii="Times New Roman" w:hAnsi="Times New Roman" w:eastAsia="宋体" w:cs="Times New Roman"/>
                      <w:bCs w:val="0"/>
                      <w:color w:val="auto"/>
                      <w:kern w:val="2"/>
                      <w:sz w:val="18"/>
                      <w:szCs w:val="18"/>
                      <w:highlight w:val="none"/>
                      <w:lang w:val="en-US" w:eastAsia="zh-CN" w:bidi="ar-SA"/>
                    </w:rPr>
                  </w:pPr>
                  <w:r>
                    <w:rPr>
                      <w:rFonts w:hint="eastAsia" w:cs="Times New Roman"/>
                      <w:bCs w:val="0"/>
                      <w:color w:val="auto"/>
                      <w:kern w:val="2"/>
                      <w:sz w:val="18"/>
                      <w:szCs w:val="18"/>
                      <w:highlight w:val="none"/>
                      <w:lang w:val="en-US" w:eastAsia="zh-CN" w:bidi="ar-SA"/>
                    </w:rPr>
                    <w:t>本项目实验室以及饲养区的</w:t>
                  </w:r>
                  <w:r>
                    <w:rPr>
                      <w:rFonts w:hint="default" w:ascii="Times New Roman" w:hAnsi="Times New Roman" w:eastAsia="宋体" w:cs="Times New Roman"/>
                      <w:bCs w:val="0"/>
                      <w:color w:val="auto"/>
                      <w:kern w:val="2"/>
                      <w:sz w:val="18"/>
                      <w:szCs w:val="18"/>
                      <w:highlight w:val="none"/>
                      <w:lang w:val="en-US" w:eastAsia="zh-CN" w:bidi="ar-SA"/>
                    </w:rPr>
                    <w:t>门、窗应具有良好的密闭性</w:t>
                  </w:r>
                  <w:r>
                    <w:rPr>
                      <w:rFonts w:hint="eastAsia" w:cs="Times New Roman"/>
                      <w:bCs w:val="0"/>
                      <w:color w:val="auto"/>
                      <w:kern w:val="2"/>
                      <w:sz w:val="18"/>
                      <w:szCs w:val="18"/>
                      <w:highlight w:val="none"/>
                      <w:lang w:val="en-US" w:eastAsia="zh-CN" w:bidi="ar-SA"/>
                    </w:rPr>
                    <w:t>，</w:t>
                  </w:r>
                  <w:r>
                    <w:rPr>
                      <w:rFonts w:hint="default" w:ascii="Times New Roman" w:hAnsi="Times New Roman" w:eastAsia="宋体" w:cs="Times New Roman"/>
                      <w:bCs w:val="0"/>
                      <w:color w:val="auto"/>
                      <w:kern w:val="2"/>
                      <w:sz w:val="18"/>
                      <w:szCs w:val="18"/>
                      <w:highlight w:val="none"/>
                      <w:lang w:val="en-US" w:eastAsia="zh-CN" w:bidi="ar-SA"/>
                    </w:rPr>
                    <w:t>屏障环境的门、窗满足房间压力</w:t>
                  </w:r>
                  <w:r>
                    <w:rPr>
                      <w:rFonts w:hint="eastAsia" w:cs="Times New Roman"/>
                      <w:bCs w:val="0"/>
                      <w:color w:val="auto"/>
                      <w:kern w:val="2"/>
                      <w:sz w:val="18"/>
                      <w:szCs w:val="18"/>
                      <w:highlight w:val="none"/>
                      <w:lang w:val="en-US" w:eastAsia="zh-CN" w:bidi="ar-SA"/>
                    </w:rPr>
                    <w:t>要求。</w:t>
                  </w:r>
                </w:p>
              </w:tc>
              <w:tc>
                <w:tcPr>
                  <w:tcW w:w="383" w:type="pct"/>
                  <w:tcBorders>
                    <w:tl2br w:val="nil"/>
                    <w:tr2bl w:val="nil"/>
                  </w:tcBorders>
                  <w:vAlign w:val="center"/>
                </w:tcPr>
                <w:p w14:paraId="753487E9">
                  <w:pPr>
                    <w:pStyle w:val="120"/>
                    <w:keepNext w:val="0"/>
                    <w:keepLines w:val="0"/>
                    <w:pageBreakBefore w:val="0"/>
                    <w:framePr w:hSpace="0" w:wrap="auto" w:vAnchor="margin" w:hAnchor="text" w:xAlign="left" w:yAlign="inline"/>
                    <w:suppressLineNumbers w:val="0"/>
                    <w:kinsoku/>
                    <w:wordWrap/>
                    <w:overflowPunct/>
                    <w:topLinePunct w:val="0"/>
                    <w:bidi w:val="0"/>
                    <w:adjustRightInd w:val="0"/>
                    <w:snapToGrid w:val="0"/>
                    <w:spacing w:before="0" w:beforeAutospacing="0" w:after="0" w:afterAutospacing="0" w:line="276" w:lineRule="auto"/>
                    <w:ind w:left="0" w:right="0"/>
                    <w:textAlignment w:val="auto"/>
                    <w:rPr>
                      <w:rFonts w:hint="default" w:ascii="Times New Roman" w:hAnsi="Times New Roman" w:eastAsia="宋体" w:cs="Times New Roman"/>
                      <w:bCs w:val="0"/>
                      <w:color w:val="auto"/>
                      <w:kern w:val="2"/>
                      <w:sz w:val="18"/>
                      <w:szCs w:val="18"/>
                      <w:highlight w:val="none"/>
                      <w:lang w:val="en-US" w:eastAsia="zh-CN" w:bidi="ar-SA"/>
                    </w:rPr>
                  </w:pPr>
                  <w:r>
                    <w:rPr>
                      <w:rFonts w:hint="eastAsia" w:ascii="Times New Roman" w:hAnsi="Times New Roman" w:eastAsia="宋体" w:cs="Times New Roman"/>
                      <w:bCs w:val="0"/>
                      <w:color w:val="auto"/>
                      <w:kern w:val="2"/>
                      <w:sz w:val="18"/>
                      <w:szCs w:val="18"/>
                      <w:highlight w:val="none"/>
                      <w:lang w:val="en-US" w:eastAsia="zh-CN" w:bidi="ar-SA"/>
                    </w:rPr>
                    <w:t>相符</w:t>
                  </w:r>
                </w:p>
              </w:tc>
            </w:tr>
            <w:tr w14:paraId="0AC9BA81">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7" w:type="dxa"/>
                  <w:bottom w:w="0" w:type="dxa"/>
                  <w:right w:w="17" w:type="dxa"/>
                </w:tblCellMar>
              </w:tblPrEx>
              <w:tc>
                <w:tcPr>
                  <w:tcW w:w="281" w:type="pct"/>
                  <w:tcBorders>
                    <w:tl2br w:val="nil"/>
                    <w:tr2bl w:val="nil"/>
                  </w:tcBorders>
                  <w:vAlign w:val="center"/>
                </w:tcPr>
                <w:p w14:paraId="1D8BB7D5">
                  <w:pPr>
                    <w:pStyle w:val="120"/>
                    <w:keepNext w:val="0"/>
                    <w:keepLines w:val="0"/>
                    <w:pageBreakBefore w:val="0"/>
                    <w:framePr w:hSpace="0" w:wrap="auto" w:vAnchor="margin" w:hAnchor="text" w:xAlign="left" w:yAlign="inline"/>
                    <w:suppressLineNumbers w:val="0"/>
                    <w:kinsoku/>
                    <w:wordWrap/>
                    <w:overflowPunct/>
                    <w:topLinePunct w:val="0"/>
                    <w:bidi w:val="0"/>
                    <w:adjustRightInd w:val="0"/>
                    <w:snapToGrid w:val="0"/>
                    <w:spacing w:before="0" w:beforeAutospacing="0" w:after="0" w:afterAutospacing="0" w:line="276" w:lineRule="auto"/>
                    <w:ind w:left="0" w:right="0"/>
                    <w:textAlignment w:val="auto"/>
                    <w:rPr>
                      <w:rFonts w:hint="default" w:ascii="Times New Roman" w:hAnsi="Times New Roman" w:eastAsia="宋体" w:cs="Times New Roman"/>
                      <w:bCs w:val="0"/>
                      <w:color w:val="auto"/>
                      <w:kern w:val="2"/>
                      <w:sz w:val="18"/>
                      <w:szCs w:val="18"/>
                      <w:highlight w:val="none"/>
                      <w:lang w:val="en-US" w:eastAsia="zh-CN" w:bidi="ar-SA"/>
                    </w:rPr>
                  </w:pPr>
                  <w:r>
                    <w:rPr>
                      <w:rFonts w:hint="eastAsia" w:cs="Times New Roman"/>
                      <w:bCs w:val="0"/>
                      <w:color w:val="auto"/>
                      <w:kern w:val="2"/>
                      <w:sz w:val="18"/>
                      <w:szCs w:val="18"/>
                      <w:highlight w:val="none"/>
                      <w:lang w:val="en-US" w:eastAsia="zh-CN" w:bidi="ar-SA"/>
                    </w:rPr>
                    <w:t>4</w:t>
                  </w:r>
                </w:p>
              </w:tc>
              <w:tc>
                <w:tcPr>
                  <w:tcW w:w="1894" w:type="pct"/>
                  <w:tcBorders>
                    <w:tl2br w:val="nil"/>
                    <w:tr2bl w:val="nil"/>
                  </w:tcBorders>
                  <w:vAlign w:val="center"/>
                </w:tcPr>
                <w:p w14:paraId="53DAC6A7">
                  <w:pPr>
                    <w:keepNext w:val="0"/>
                    <w:keepLines w:val="0"/>
                    <w:pageBreakBefore w:val="0"/>
                    <w:widowControl/>
                    <w:suppressLineNumbers w:val="0"/>
                    <w:kinsoku/>
                    <w:wordWrap/>
                    <w:overflowPunct/>
                    <w:topLinePunct w:val="0"/>
                    <w:bidi w:val="0"/>
                    <w:adjustRightInd w:val="0"/>
                    <w:snapToGrid w:val="0"/>
                    <w:spacing w:before="0" w:beforeAutospacing="0" w:after="0" w:afterAutospacing="0" w:line="276" w:lineRule="auto"/>
                    <w:ind w:left="0" w:right="0"/>
                    <w:jc w:val="both"/>
                    <w:textAlignment w:val="auto"/>
                    <w:rPr>
                      <w:rFonts w:hint="default" w:ascii="Times New Roman" w:hAnsi="Times New Roman" w:eastAsia="宋体" w:cs="Times New Roman"/>
                      <w:bCs w:val="0"/>
                      <w:color w:val="auto"/>
                      <w:kern w:val="2"/>
                      <w:sz w:val="18"/>
                      <w:szCs w:val="18"/>
                      <w:highlight w:val="none"/>
                      <w:lang w:val="en-US" w:eastAsia="zh-CN" w:bidi="ar-SA"/>
                    </w:rPr>
                  </w:pPr>
                  <w:r>
                    <w:rPr>
                      <w:rFonts w:hint="default" w:ascii="Times New Roman" w:hAnsi="Times New Roman" w:eastAsia="宋体" w:cs="Times New Roman"/>
                      <w:bCs w:val="0"/>
                      <w:color w:val="auto"/>
                      <w:kern w:val="2"/>
                      <w:sz w:val="18"/>
                      <w:szCs w:val="18"/>
                      <w:highlight w:val="none"/>
                      <w:lang w:val="en-US" w:eastAsia="zh-CN" w:bidi="ar-SA"/>
                    </w:rPr>
                    <w:t>走廊和门等的尺寸应满足设备进出和日常工作的需要。饲养大型动物的实验动物设施</w:t>
                  </w:r>
                  <w:r>
                    <w:rPr>
                      <w:rFonts w:hint="eastAsia" w:cs="Times New Roman"/>
                      <w:bCs w:val="0"/>
                      <w:color w:val="auto"/>
                      <w:kern w:val="2"/>
                      <w:sz w:val="18"/>
                      <w:szCs w:val="18"/>
                      <w:highlight w:val="none"/>
                      <w:lang w:val="en-US" w:eastAsia="zh-CN" w:bidi="ar-SA"/>
                    </w:rPr>
                    <w:t>，</w:t>
                  </w:r>
                  <w:r>
                    <w:rPr>
                      <w:rFonts w:hint="default" w:ascii="Times New Roman" w:hAnsi="Times New Roman" w:eastAsia="宋体" w:cs="Times New Roman"/>
                      <w:bCs w:val="0"/>
                      <w:color w:val="auto"/>
                      <w:kern w:val="2"/>
                      <w:sz w:val="18"/>
                      <w:szCs w:val="18"/>
                      <w:highlight w:val="none"/>
                      <w:lang w:val="en-US" w:eastAsia="zh-CN" w:bidi="ar-SA"/>
                    </w:rPr>
                    <w:t>其走廊和门的宽度和高度应根据实际需要确定。</w:t>
                  </w:r>
                </w:p>
              </w:tc>
              <w:tc>
                <w:tcPr>
                  <w:tcW w:w="2441" w:type="pct"/>
                  <w:tcBorders>
                    <w:tl2br w:val="nil"/>
                    <w:tr2bl w:val="nil"/>
                  </w:tcBorders>
                  <w:vAlign w:val="center"/>
                </w:tcPr>
                <w:p w14:paraId="4FDF538C">
                  <w:pPr>
                    <w:pStyle w:val="120"/>
                    <w:keepNext w:val="0"/>
                    <w:keepLines w:val="0"/>
                    <w:pageBreakBefore w:val="0"/>
                    <w:framePr w:hSpace="0" w:wrap="auto" w:vAnchor="margin" w:hAnchor="text" w:xAlign="left" w:yAlign="inline"/>
                    <w:suppressLineNumbers w:val="0"/>
                    <w:kinsoku/>
                    <w:wordWrap/>
                    <w:overflowPunct/>
                    <w:topLinePunct w:val="0"/>
                    <w:bidi w:val="0"/>
                    <w:adjustRightInd w:val="0"/>
                    <w:snapToGrid w:val="0"/>
                    <w:spacing w:before="0" w:beforeAutospacing="0" w:after="0" w:afterAutospacing="0" w:line="276" w:lineRule="auto"/>
                    <w:ind w:left="0" w:right="0"/>
                    <w:jc w:val="both"/>
                    <w:textAlignment w:val="auto"/>
                    <w:rPr>
                      <w:rFonts w:hint="default" w:ascii="Times New Roman" w:hAnsi="Times New Roman" w:eastAsia="宋体" w:cs="Times New Roman"/>
                      <w:bCs w:val="0"/>
                      <w:color w:val="auto"/>
                      <w:kern w:val="2"/>
                      <w:sz w:val="18"/>
                      <w:szCs w:val="18"/>
                      <w:highlight w:val="none"/>
                      <w:lang w:val="en-US" w:eastAsia="zh-CN" w:bidi="ar-SA"/>
                    </w:rPr>
                  </w:pPr>
                  <w:r>
                    <w:rPr>
                      <w:rFonts w:hint="eastAsia" w:cs="Times New Roman"/>
                      <w:bCs w:val="0"/>
                      <w:color w:val="auto"/>
                      <w:kern w:val="2"/>
                      <w:sz w:val="18"/>
                      <w:szCs w:val="18"/>
                      <w:highlight w:val="none"/>
                      <w:lang w:val="en-US" w:eastAsia="zh-CN" w:bidi="ar-SA"/>
                    </w:rPr>
                    <w:t>本项目平面图纸已委托专业设计单位进行设计，</w:t>
                  </w:r>
                  <w:r>
                    <w:rPr>
                      <w:rFonts w:hint="default" w:ascii="Times New Roman" w:hAnsi="Times New Roman" w:eastAsia="宋体" w:cs="Times New Roman"/>
                      <w:bCs w:val="0"/>
                      <w:color w:val="auto"/>
                      <w:kern w:val="2"/>
                      <w:sz w:val="18"/>
                      <w:szCs w:val="18"/>
                      <w:highlight w:val="none"/>
                      <w:lang w:val="en-US" w:eastAsia="zh-CN" w:bidi="ar-SA"/>
                    </w:rPr>
                    <w:t>走廊和门等的尺寸</w:t>
                  </w:r>
                  <w:r>
                    <w:rPr>
                      <w:rFonts w:hint="eastAsia" w:cs="Times New Roman"/>
                      <w:bCs w:val="0"/>
                      <w:color w:val="auto"/>
                      <w:kern w:val="2"/>
                      <w:sz w:val="18"/>
                      <w:szCs w:val="18"/>
                      <w:highlight w:val="none"/>
                      <w:lang w:val="en-US" w:eastAsia="zh-CN" w:bidi="ar-SA"/>
                    </w:rPr>
                    <w:t>能够</w:t>
                  </w:r>
                  <w:r>
                    <w:rPr>
                      <w:rFonts w:hint="default" w:ascii="Times New Roman" w:hAnsi="Times New Roman" w:eastAsia="宋体" w:cs="Times New Roman"/>
                      <w:bCs w:val="0"/>
                      <w:color w:val="auto"/>
                      <w:kern w:val="2"/>
                      <w:sz w:val="18"/>
                      <w:szCs w:val="18"/>
                      <w:highlight w:val="none"/>
                      <w:lang w:val="en-US" w:eastAsia="zh-CN" w:bidi="ar-SA"/>
                    </w:rPr>
                    <w:t>满足设备进出和日常工作的需要。饲养大型动物的实验动物设施</w:t>
                  </w:r>
                  <w:r>
                    <w:rPr>
                      <w:rFonts w:hint="eastAsia" w:cs="Times New Roman"/>
                      <w:bCs w:val="0"/>
                      <w:color w:val="auto"/>
                      <w:kern w:val="2"/>
                      <w:sz w:val="18"/>
                      <w:szCs w:val="18"/>
                      <w:highlight w:val="none"/>
                      <w:lang w:val="en-US" w:eastAsia="zh-CN" w:bidi="ar-SA"/>
                    </w:rPr>
                    <w:t>，</w:t>
                  </w:r>
                  <w:r>
                    <w:rPr>
                      <w:rFonts w:hint="default" w:ascii="Times New Roman" w:hAnsi="Times New Roman" w:eastAsia="宋体" w:cs="Times New Roman"/>
                      <w:bCs w:val="0"/>
                      <w:color w:val="auto"/>
                      <w:kern w:val="2"/>
                      <w:sz w:val="18"/>
                      <w:szCs w:val="18"/>
                      <w:highlight w:val="none"/>
                      <w:lang w:val="en-US" w:eastAsia="zh-CN" w:bidi="ar-SA"/>
                    </w:rPr>
                    <w:t>其走廊和门的宽度和高度根据实际需要确定</w:t>
                  </w:r>
                  <w:r>
                    <w:rPr>
                      <w:rFonts w:hint="eastAsia" w:cs="Times New Roman"/>
                      <w:bCs w:val="0"/>
                      <w:color w:val="auto"/>
                      <w:kern w:val="2"/>
                      <w:sz w:val="18"/>
                      <w:szCs w:val="18"/>
                      <w:highlight w:val="none"/>
                      <w:lang w:val="en-US" w:eastAsia="zh-CN" w:bidi="ar-SA"/>
                    </w:rPr>
                    <w:t>。</w:t>
                  </w:r>
                </w:p>
              </w:tc>
              <w:tc>
                <w:tcPr>
                  <w:tcW w:w="383" w:type="pct"/>
                  <w:tcBorders>
                    <w:tl2br w:val="nil"/>
                    <w:tr2bl w:val="nil"/>
                  </w:tcBorders>
                  <w:vAlign w:val="center"/>
                </w:tcPr>
                <w:p w14:paraId="77C7C9AC">
                  <w:pPr>
                    <w:pStyle w:val="120"/>
                    <w:keepNext w:val="0"/>
                    <w:keepLines w:val="0"/>
                    <w:pageBreakBefore w:val="0"/>
                    <w:framePr w:hSpace="0" w:wrap="auto" w:vAnchor="margin" w:hAnchor="text" w:xAlign="left" w:yAlign="inline"/>
                    <w:suppressLineNumbers w:val="0"/>
                    <w:kinsoku/>
                    <w:wordWrap/>
                    <w:overflowPunct/>
                    <w:topLinePunct w:val="0"/>
                    <w:bidi w:val="0"/>
                    <w:adjustRightInd w:val="0"/>
                    <w:snapToGrid w:val="0"/>
                    <w:spacing w:before="0" w:beforeAutospacing="0" w:after="0" w:afterAutospacing="0" w:line="276" w:lineRule="auto"/>
                    <w:ind w:left="0" w:right="0"/>
                    <w:textAlignment w:val="auto"/>
                    <w:rPr>
                      <w:rFonts w:hint="default" w:ascii="Times New Roman" w:hAnsi="Times New Roman" w:eastAsia="宋体" w:cs="Times New Roman"/>
                      <w:bCs w:val="0"/>
                      <w:color w:val="auto"/>
                      <w:kern w:val="2"/>
                      <w:sz w:val="18"/>
                      <w:szCs w:val="18"/>
                      <w:highlight w:val="none"/>
                      <w:lang w:val="en-US" w:eastAsia="zh-CN" w:bidi="ar-SA"/>
                    </w:rPr>
                  </w:pPr>
                  <w:r>
                    <w:rPr>
                      <w:rFonts w:hint="eastAsia" w:ascii="Times New Roman" w:hAnsi="Times New Roman" w:eastAsia="宋体" w:cs="Times New Roman"/>
                      <w:bCs w:val="0"/>
                      <w:color w:val="auto"/>
                      <w:kern w:val="2"/>
                      <w:sz w:val="18"/>
                      <w:szCs w:val="18"/>
                      <w:highlight w:val="none"/>
                      <w:lang w:val="en-US" w:eastAsia="zh-CN" w:bidi="ar-SA"/>
                    </w:rPr>
                    <w:t>相符</w:t>
                  </w:r>
                </w:p>
              </w:tc>
            </w:tr>
            <w:tr w14:paraId="600456D4">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7" w:type="dxa"/>
                  <w:bottom w:w="0" w:type="dxa"/>
                  <w:right w:w="17" w:type="dxa"/>
                </w:tblCellMar>
              </w:tblPrEx>
              <w:tc>
                <w:tcPr>
                  <w:tcW w:w="281" w:type="pct"/>
                  <w:tcBorders>
                    <w:tl2br w:val="nil"/>
                    <w:tr2bl w:val="nil"/>
                  </w:tcBorders>
                  <w:vAlign w:val="center"/>
                </w:tcPr>
                <w:p w14:paraId="28B6F7C7">
                  <w:pPr>
                    <w:pStyle w:val="120"/>
                    <w:keepNext w:val="0"/>
                    <w:keepLines w:val="0"/>
                    <w:pageBreakBefore w:val="0"/>
                    <w:framePr w:hSpace="0" w:wrap="auto" w:vAnchor="margin" w:hAnchor="text" w:xAlign="left" w:yAlign="inline"/>
                    <w:suppressLineNumbers w:val="0"/>
                    <w:kinsoku/>
                    <w:wordWrap/>
                    <w:overflowPunct/>
                    <w:topLinePunct w:val="0"/>
                    <w:bidi w:val="0"/>
                    <w:adjustRightInd w:val="0"/>
                    <w:snapToGrid w:val="0"/>
                    <w:spacing w:before="0" w:beforeAutospacing="0" w:after="0" w:afterAutospacing="0" w:line="276" w:lineRule="auto"/>
                    <w:ind w:left="0" w:right="0"/>
                    <w:textAlignment w:val="auto"/>
                    <w:rPr>
                      <w:rFonts w:hint="default" w:ascii="Times New Roman" w:hAnsi="Times New Roman" w:eastAsia="宋体" w:cs="Times New Roman"/>
                      <w:bCs w:val="0"/>
                      <w:color w:val="auto"/>
                      <w:kern w:val="2"/>
                      <w:sz w:val="18"/>
                      <w:szCs w:val="18"/>
                      <w:highlight w:val="none"/>
                      <w:lang w:val="en-US" w:eastAsia="zh-CN" w:bidi="ar-SA"/>
                    </w:rPr>
                  </w:pPr>
                  <w:r>
                    <w:rPr>
                      <w:rFonts w:hint="eastAsia" w:cs="Times New Roman"/>
                      <w:bCs w:val="0"/>
                      <w:color w:val="auto"/>
                      <w:kern w:val="2"/>
                      <w:sz w:val="18"/>
                      <w:szCs w:val="18"/>
                      <w:highlight w:val="none"/>
                      <w:lang w:val="en-US" w:eastAsia="zh-CN" w:bidi="ar-SA"/>
                    </w:rPr>
                    <w:t>5</w:t>
                  </w:r>
                </w:p>
              </w:tc>
              <w:tc>
                <w:tcPr>
                  <w:tcW w:w="1894" w:type="pct"/>
                  <w:tcBorders>
                    <w:tl2br w:val="nil"/>
                    <w:tr2bl w:val="nil"/>
                  </w:tcBorders>
                  <w:vAlign w:val="center"/>
                </w:tcPr>
                <w:p w14:paraId="4EC9DE04">
                  <w:pPr>
                    <w:keepNext w:val="0"/>
                    <w:keepLines w:val="0"/>
                    <w:pageBreakBefore w:val="0"/>
                    <w:widowControl/>
                    <w:suppressLineNumbers w:val="0"/>
                    <w:kinsoku/>
                    <w:wordWrap/>
                    <w:overflowPunct/>
                    <w:topLinePunct w:val="0"/>
                    <w:bidi w:val="0"/>
                    <w:adjustRightInd w:val="0"/>
                    <w:snapToGrid w:val="0"/>
                    <w:spacing w:before="0" w:beforeAutospacing="0" w:after="0" w:afterAutospacing="0" w:line="276" w:lineRule="auto"/>
                    <w:ind w:left="0" w:right="0"/>
                    <w:jc w:val="both"/>
                    <w:textAlignment w:val="auto"/>
                    <w:rPr>
                      <w:rFonts w:hint="default" w:ascii="Times New Roman" w:hAnsi="Times New Roman" w:eastAsia="宋体" w:cs="Times New Roman"/>
                      <w:bCs w:val="0"/>
                      <w:color w:val="auto"/>
                      <w:kern w:val="2"/>
                      <w:sz w:val="18"/>
                      <w:szCs w:val="18"/>
                      <w:highlight w:val="none"/>
                      <w:lang w:val="en-US" w:eastAsia="zh-CN" w:bidi="ar-SA"/>
                    </w:rPr>
                  </w:pPr>
                  <w:r>
                    <w:rPr>
                      <w:rFonts w:hint="default" w:ascii="Times New Roman" w:hAnsi="Times New Roman" w:eastAsia="宋体" w:cs="Times New Roman"/>
                      <w:bCs w:val="0"/>
                      <w:color w:val="auto"/>
                      <w:kern w:val="2"/>
                      <w:sz w:val="18"/>
                      <w:szCs w:val="18"/>
                      <w:highlight w:val="none"/>
                      <w:lang w:val="en-US" w:eastAsia="zh-CN" w:bidi="ar-SA"/>
                    </w:rPr>
                    <w:t>实验动物设施墙面应采用不易脱落、耐腐蚀、耐冲击的材料</w:t>
                  </w:r>
                  <w:r>
                    <w:rPr>
                      <w:rFonts w:hint="eastAsia" w:cs="Times New Roman"/>
                      <w:bCs w:val="0"/>
                      <w:color w:val="auto"/>
                      <w:kern w:val="2"/>
                      <w:sz w:val="18"/>
                      <w:szCs w:val="18"/>
                      <w:highlight w:val="none"/>
                      <w:lang w:val="en-US" w:eastAsia="zh-CN" w:bidi="ar-SA"/>
                    </w:rPr>
                    <w:t>，</w:t>
                  </w:r>
                  <w:r>
                    <w:rPr>
                      <w:rFonts w:hint="default" w:ascii="Times New Roman" w:hAnsi="Times New Roman" w:eastAsia="宋体" w:cs="Times New Roman"/>
                      <w:bCs w:val="0"/>
                      <w:color w:val="auto"/>
                      <w:kern w:val="2"/>
                      <w:sz w:val="18"/>
                      <w:szCs w:val="18"/>
                      <w:highlight w:val="none"/>
                      <w:lang w:val="en-US" w:eastAsia="zh-CN" w:bidi="ar-SA"/>
                    </w:rPr>
                    <w:t>且应光滑平整</w:t>
                  </w:r>
                  <w:r>
                    <w:rPr>
                      <w:rFonts w:hint="eastAsia" w:cs="Times New Roman"/>
                      <w:bCs w:val="0"/>
                      <w:color w:val="auto"/>
                      <w:kern w:val="2"/>
                      <w:sz w:val="18"/>
                      <w:szCs w:val="18"/>
                      <w:highlight w:val="none"/>
                      <w:lang w:val="en-US" w:eastAsia="zh-CN" w:bidi="ar-SA"/>
                    </w:rPr>
                    <w:t>，</w:t>
                  </w:r>
                  <w:r>
                    <w:rPr>
                      <w:rFonts w:hint="default" w:ascii="Times New Roman" w:hAnsi="Times New Roman" w:eastAsia="宋体" w:cs="Times New Roman"/>
                      <w:bCs w:val="0"/>
                      <w:color w:val="auto"/>
                      <w:kern w:val="2"/>
                      <w:sz w:val="18"/>
                      <w:szCs w:val="18"/>
                      <w:highlight w:val="none"/>
                      <w:lang w:val="en-US" w:eastAsia="zh-CN" w:bidi="ar-SA"/>
                    </w:rPr>
                    <w:t>易于清洗、消毒</w:t>
                  </w:r>
                  <w:r>
                    <w:rPr>
                      <w:rFonts w:hint="eastAsia" w:cs="Times New Roman"/>
                      <w:bCs w:val="0"/>
                      <w:color w:val="auto"/>
                      <w:kern w:val="2"/>
                      <w:sz w:val="18"/>
                      <w:szCs w:val="18"/>
                      <w:highlight w:val="none"/>
                      <w:lang w:val="en-US" w:eastAsia="zh-CN" w:bidi="ar-SA"/>
                    </w:rPr>
                    <w:t>；</w:t>
                  </w:r>
                  <w:r>
                    <w:rPr>
                      <w:rFonts w:hint="default" w:ascii="Times New Roman" w:hAnsi="Times New Roman" w:eastAsia="宋体" w:cs="Times New Roman"/>
                      <w:bCs w:val="0"/>
                      <w:color w:val="auto"/>
                      <w:kern w:val="2"/>
                      <w:sz w:val="18"/>
                      <w:szCs w:val="18"/>
                      <w:highlight w:val="none"/>
                      <w:lang w:val="en-US" w:eastAsia="zh-CN" w:bidi="ar-SA"/>
                    </w:rPr>
                    <w:t>地面应防滑、耐磨、无渗透</w:t>
                  </w:r>
                  <w:r>
                    <w:rPr>
                      <w:rFonts w:hint="eastAsia" w:cs="Times New Roman"/>
                      <w:bCs w:val="0"/>
                      <w:color w:val="auto"/>
                      <w:kern w:val="2"/>
                      <w:sz w:val="18"/>
                      <w:szCs w:val="18"/>
                      <w:highlight w:val="none"/>
                      <w:lang w:val="en-US" w:eastAsia="zh-CN" w:bidi="ar-SA"/>
                    </w:rPr>
                    <w:t>；</w:t>
                  </w:r>
                  <w:r>
                    <w:rPr>
                      <w:rFonts w:hint="default" w:ascii="Times New Roman" w:hAnsi="Times New Roman" w:eastAsia="宋体" w:cs="Times New Roman"/>
                      <w:bCs w:val="0"/>
                      <w:color w:val="auto"/>
                      <w:kern w:val="2"/>
                      <w:sz w:val="18"/>
                      <w:szCs w:val="18"/>
                      <w:highlight w:val="none"/>
                      <w:lang w:val="en-US" w:eastAsia="zh-CN" w:bidi="ar-SA"/>
                    </w:rPr>
                    <w:t>天花板应耐水、耐腐蚀。围护结构材料应无毒、无放射性等。</w:t>
                  </w:r>
                </w:p>
              </w:tc>
              <w:tc>
                <w:tcPr>
                  <w:tcW w:w="2441" w:type="pct"/>
                  <w:tcBorders>
                    <w:tl2br w:val="nil"/>
                    <w:tr2bl w:val="nil"/>
                  </w:tcBorders>
                  <w:vAlign w:val="center"/>
                </w:tcPr>
                <w:p w14:paraId="0F026F06">
                  <w:pPr>
                    <w:pStyle w:val="120"/>
                    <w:keepNext w:val="0"/>
                    <w:keepLines w:val="0"/>
                    <w:pageBreakBefore w:val="0"/>
                    <w:framePr w:hSpace="0" w:wrap="auto" w:vAnchor="margin" w:hAnchor="text" w:xAlign="left" w:yAlign="inline"/>
                    <w:suppressLineNumbers w:val="0"/>
                    <w:kinsoku/>
                    <w:wordWrap/>
                    <w:overflowPunct/>
                    <w:topLinePunct w:val="0"/>
                    <w:bidi w:val="0"/>
                    <w:adjustRightInd w:val="0"/>
                    <w:snapToGrid w:val="0"/>
                    <w:spacing w:before="0" w:beforeAutospacing="0" w:after="0" w:afterAutospacing="0" w:line="276" w:lineRule="auto"/>
                    <w:ind w:left="0" w:right="0"/>
                    <w:jc w:val="both"/>
                    <w:textAlignment w:val="auto"/>
                    <w:rPr>
                      <w:rFonts w:hint="default" w:ascii="Times New Roman" w:hAnsi="Times New Roman" w:eastAsia="宋体" w:cs="Times New Roman"/>
                      <w:bCs w:val="0"/>
                      <w:color w:val="auto"/>
                      <w:kern w:val="2"/>
                      <w:sz w:val="18"/>
                      <w:szCs w:val="18"/>
                      <w:highlight w:val="none"/>
                      <w:lang w:val="en-US" w:eastAsia="zh-CN" w:bidi="ar-SA"/>
                    </w:rPr>
                  </w:pPr>
                  <w:r>
                    <w:rPr>
                      <w:rFonts w:hint="default" w:ascii="Times New Roman" w:hAnsi="Times New Roman" w:eastAsia="宋体" w:cs="Times New Roman"/>
                      <w:bCs w:val="0"/>
                      <w:color w:val="auto"/>
                      <w:kern w:val="2"/>
                      <w:sz w:val="18"/>
                      <w:szCs w:val="18"/>
                      <w:highlight w:val="none"/>
                      <w:lang w:val="en-US" w:eastAsia="zh-CN" w:bidi="ar-SA"/>
                    </w:rPr>
                    <w:t>实验动物设施墙面</w:t>
                  </w:r>
                  <w:r>
                    <w:rPr>
                      <w:rFonts w:hint="eastAsia" w:cs="Times New Roman"/>
                      <w:bCs w:val="0"/>
                      <w:color w:val="auto"/>
                      <w:kern w:val="2"/>
                      <w:sz w:val="18"/>
                      <w:szCs w:val="18"/>
                      <w:highlight w:val="none"/>
                      <w:lang w:val="en-US" w:eastAsia="zh-CN" w:bidi="ar-SA"/>
                    </w:rPr>
                    <w:t>已</w:t>
                  </w:r>
                  <w:r>
                    <w:rPr>
                      <w:rFonts w:hint="default" w:ascii="Times New Roman" w:hAnsi="Times New Roman" w:eastAsia="宋体" w:cs="Times New Roman"/>
                      <w:bCs w:val="0"/>
                      <w:color w:val="auto"/>
                      <w:kern w:val="2"/>
                      <w:sz w:val="18"/>
                      <w:szCs w:val="18"/>
                      <w:highlight w:val="none"/>
                      <w:lang w:val="en-US" w:eastAsia="zh-CN" w:bidi="ar-SA"/>
                    </w:rPr>
                    <w:t>采用不易脱落、耐腐蚀、耐冲击的材料</w:t>
                  </w:r>
                  <w:r>
                    <w:rPr>
                      <w:rFonts w:hint="eastAsia" w:cs="Times New Roman"/>
                      <w:bCs w:val="0"/>
                      <w:color w:val="auto"/>
                      <w:kern w:val="2"/>
                      <w:sz w:val="18"/>
                      <w:szCs w:val="18"/>
                      <w:highlight w:val="none"/>
                      <w:lang w:val="en-US" w:eastAsia="zh-CN" w:bidi="ar-SA"/>
                    </w:rPr>
                    <w:t>，</w:t>
                  </w:r>
                  <w:r>
                    <w:rPr>
                      <w:rFonts w:hint="default" w:ascii="Times New Roman" w:hAnsi="Times New Roman" w:eastAsia="宋体" w:cs="Times New Roman"/>
                      <w:bCs w:val="0"/>
                      <w:color w:val="auto"/>
                      <w:kern w:val="2"/>
                      <w:sz w:val="18"/>
                      <w:szCs w:val="18"/>
                      <w:highlight w:val="none"/>
                      <w:lang w:val="en-US" w:eastAsia="zh-CN" w:bidi="ar-SA"/>
                    </w:rPr>
                    <w:t>且光滑平整</w:t>
                  </w:r>
                  <w:r>
                    <w:rPr>
                      <w:rFonts w:hint="eastAsia" w:cs="Times New Roman"/>
                      <w:bCs w:val="0"/>
                      <w:color w:val="auto"/>
                      <w:kern w:val="2"/>
                      <w:sz w:val="18"/>
                      <w:szCs w:val="18"/>
                      <w:highlight w:val="none"/>
                      <w:lang w:val="en-US" w:eastAsia="zh-CN" w:bidi="ar-SA"/>
                    </w:rPr>
                    <w:t>，</w:t>
                  </w:r>
                  <w:r>
                    <w:rPr>
                      <w:rFonts w:hint="default" w:ascii="Times New Roman" w:hAnsi="Times New Roman" w:eastAsia="宋体" w:cs="Times New Roman"/>
                      <w:bCs w:val="0"/>
                      <w:color w:val="auto"/>
                      <w:kern w:val="2"/>
                      <w:sz w:val="18"/>
                      <w:szCs w:val="18"/>
                      <w:highlight w:val="none"/>
                      <w:lang w:val="en-US" w:eastAsia="zh-CN" w:bidi="ar-SA"/>
                    </w:rPr>
                    <w:t>易于清洗、消毒</w:t>
                  </w:r>
                  <w:r>
                    <w:rPr>
                      <w:rFonts w:hint="eastAsia" w:cs="Times New Roman"/>
                      <w:bCs w:val="0"/>
                      <w:color w:val="auto"/>
                      <w:kern w:val="2"/>
                      <w:sz w:val="18"/>
                      <w:szCs w:val="18"/>
                      <w:highlight w:val="none"/>
                      <w:lang w:val="en-US" w:eastAsia="zh-CN" w:bidi="ar-SA"/>
                    </w:rPr>
                    <w:t>；</w:t>
                  </w:r>
                  <w:r>
                    <w:rPr>
                      <w:rFonts w:hint="default" w:ascii="Times New Roman" w:hAnsi="Times New Roman" w:eastAsia="宋体" w:cs="Times New Roman"/>
                      <w:bCs w:val="0"/>
                      <w:color w:val="auto"/>
                      <w:kern w:val="2"/>
                      <w:sz w:val="18"/>
                      <w:szCs w:val="18"/>
                      <w:highlight w:val="none"/>
                      <w:lang w:val="en-US" w:eastAsia="zh-CN" w:bidi="ar-SA"/>
                    </w:rPr>
                    <w:t>地面</w:t>
                  </w:r>
                  <w:r>
                    <w:rPr>
                      <w:rFonts w:hint="eastAsia" w:cs="Times New Roman"/>
                      <w:bCs w:val="0"/>
                      <w:color w:val="auto"/>
                      <w:kern w:val="2"/>
                      <w:sz w:val="18"/>
                      <w:szCs w:val="18"/>
                      <w:highlight w:val="none"/>
                      <w:lang w:val="en-US" w:eastAsia="zh-CN" w:bidi="ar-SA"/>
                    </w:rPr>
                    <w:t>能够做到</w:t>
                  </w:r>
                  <w:r>
                    <w:rPr>
                      <w:rFonts w:hint="default" w:ascii="Times New Roman" w:hAnsi="Times New Roman" w:eastAsia="宋体" w:cs="Times New Roman"/>
                      <w:bCs w:val="0"/>
                      <w:color w:val="auto"/>
                      <w:kern w:val="2"/>
                      <w:sz w:val="18"/>
                      <w:szCs w:val="18"/>
                      <w:highlight w:val="none"/>
                      <w:lang w:val="en-US" w:eastAsia="zh-CN" w:bidi="ar-SA"/>
                    </w:rPr>
                    <w:t>防滑、耐磨、无渗透</w:t>
                  </w:r>
                  <w:r>
                    <w:rPr>
                      <w:rFonts w:hint="eastAsia" w:cs="Times New Roman"/>
                      <w:bCs w:val="0"/>
                      <w:color w:val="auto"/>
                      <w:kern w:val="2"/>
                      <w:sz w:val="18"/>
                      <w:szCs w:val="18"/>
                      <w:highlight w:val="none"/>
                      <w:lang w:val="en-US" w:eastAsia="zh-CN" w:bidi="ar-SA"/>
                    </w:rPr>
                    <w:t>；</w:t>
                  </w:r>
                  <w:r>
                    <w:rPr>
                      <w:rFonts w:hint="default" w:ascii="Times New Roman" w:hAnsi="Times New Roman" w:eastAsia="宋体" w:cs="Times New Roman"/>
                      <w:bCs w:val="0"/>
                      <w:color w:val="auto"/>
                      <w:kern w:val="2"/>
                      <w:sz w:val="18"/>
                      <w:szCs w:val="18"/>
                      <w:highlight w:val="none"/>
                      <w:lang w:val="en-US" w:eastAsia="zh-CN" w:bidi="ar-SA"/>
                    </w:rPr>
                    <w:t>天花板</w:t>
                  </w:r>
                  <w:r>
                    <w:rPr>
                      <w:rFonts w:hint="eastAsia" w:cs="Times New Roman"/>
                      <w:bCs w:val="0"/>
                      <w:color w:val="auto"/>
                      <w:kern w:val="2"/>
                      <w:sz w:val="18"/>
                      <w:szCs w:val="18"/>
                      <w:highlight w:val="none"/>
                      <w:lang w:val="en-US" w:eastAsia="zh-CN" w:bidi="ar-SA"/>
                    </w:rPr>
                    <w:t>能够做到</w:t>
                  </w:r>
                  <w:r>
                    <w:rPr>
                      <w:rFonts w:hint="default" w:ascii="Times New Roman" w:hAnsi="Times New Roman" w:eastAsia="宋体" w:cs="Times New Roman"/>
                      <w:bCs w:val="0"/>
                      <w:color w:val="auto"/>
                      <w:kern w:val="2"/>
                      <w:sz w:val="18"/>
                      <w:szCs w:val="18"/>
                      <w:highlight w:val="none"/>
                      <w:lang w:val="en-US" w:eastAsia="zh-CN" w:bidi="ar-SA"/>
                    </w:rPr>
                    <w:t>耐水、耐腐蚀。围护结构材料</w:t>
                  </w:r>
                  <w:r>
                    <w:rPr>
                      <w:rFonts w:hint="eastAsia" w:cs="Times New Roman"/>
                      <w:bCs w:val="0"/>
                      <w:color w:val="auto"/>
                      <w:kern w:val="2"/>
                      <w:sz w:val="18"/>
                      <w:szCs w:val="18"/>
                      <w:highlight w:val="none"/>
                      <w:lang w:val="en-US" w:eastAsia="zh-CN" w:bidi="ar-SA"/>
                    </w:rPr>
                    <w:t>能够做到</w:t>
                  </w:r>
                  <w:r>
                    <w:rPr>
                      <w:rFonts w:hint="default" w:ascii="Times New Roman" w:hAnsi="Times New Roman" w:eastAsia="宋体" w:cs="Times New Roman"/>
                      <w:bCs w:val="0"/>
                      <w:color w:val="auto"/>
                      <w:kern w:val="2"/>
                      <w:sz w:val="18"/>
                      <w:szCs w:val="18"/>
                      <w:highlight w:val="none"/>
                      <w:lang w:val="en-US" w:eastAsia="zh-CN" w:bidi="ar-SA"/>
                    </w:rPr>
                    <w:t>无毒、无放射性等。</w:t>
                  </w:r>
                </w:p>
              </w:tc>
              <w:tc>
                <w:tcPr>
                  <w:tcW w:w="383" w:type="pct"/>
                  <w:tcBorders>
                    <w:tl2br w:val="nil"/>
                    <w:tr2bl w:val="nil"/>
                  </w:tcBorders>
                  <w:vAlign w:val="center"/>
                </w:tcPr>
                <w:p w14:paraId="3DBDA2E1">
                  <w:pPr>
                    <w:pStyle w:val="120"/>
                    <w:keepNext w:val="0"/>
                    <w:keepLines w:val="0"/>
                    <w:pageBreakBefore w:val="0"/>
                    <w:framePr w:hSpace="0" w:wrap="auto" w:vAnchor="margin" w:hAnchor="text" w:xAlign="left" w:yAlign="inline"/>
                    <w:suppressLineNumbers w:val="0"/>
                    <w:kinsoku/>
                    <w:wordWrap/>
                    <w:overflowPunct/>
                    <w:topLinePunct w:val="0"/>
                    <w:bidi w:val="0"/>
                    <w:adjustRightInd w:val="0"/>
                    <w:snapToGrid w:val="0"/>
                    <w:spacing w:before="0" w:beforeAutospacing="0" w:after="0" w:afterAutospacing="0" w:line="276" w:lineRule="auto"/>
                    <w:ind w:left="0" w:right="0"/>
                    <w:textAlignment w:val="auto"/>
                    <w:rPr>
                      <w:rFonts w:hint="eastAsia" w:ascii="Times New Roman" w:hAnsi="Times New Roman" w:eastAsia="宋体" w:cs="Times New Roman"/>
                      <w:bCs w:val="0"/>
                      <w:color w:val="auto"/>
                      <w:kern w:val="2"/>
                      <w:sz w:val="18"/>
                      <w:szCs w:val="18"/>
                      <w:highlight w:val="none"/>
                      <w:lang w:val="en-US" w:eastAsia="zh-CN" w:bidi="ar-SA"/>
                    </w:rPr>
                  </w:pPr>
                  <w:r>
                    <w:rPr>
                      <w:rFonts w:hint="eastAsia" w:ascii="Times New Roman" w:hAnsi="Times New Roman" w:eastAsia="宋体" w:cs="Times New Roman"/>
                      <w:bCs w:val="0"/>
                      <w:color w:val="auto"/>
                      <w:kern w:val="2"/>
                      <w:sz w:val="18"/>
                      <w:szCs w:val="18"/>
                      <w:highlight w:val="none"/>
                      <w:lang w:val="en-US" w:eastAsia="zh-CN" w:bidi="ar-SA"/>
                    </w:rPr>
                    <w:t>相符</w:t>
                  </w:r>
                </w:p>
              </w:tc>
            </w:tr>
            <w:tr w14:paraId="01C17727">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7" w:type="dxa"/>
                  <w:bottom w:w="0" w:type="dxa"/>
                  <w:right w:w="17" w:type="dxa"/>
                </w:tblCellMar>
              </w:tblPrEx>
              <w:tc>
                <w:tcPr>
                  <w:tcW w:w="281" w:type="pct"/>
                  <w:tcBorders>
                    <w:tl2br w:val="nil"/>
                    <w:tr2bl w:val="nil"/>
                  </w:tcBorders>
                  <w:vAlign w:val="center"/>
                </w:tcPr>
                <w:p w14:paraId="20EC75FB">
                  <w:pPr>
                    <w:pStyle w:val="120"/>
                    <w:keepNext w:val="0"/>
                    <w:keepLines w:val="0"/>
                    <w:pageBreakBefore w:val="0"/>
                    <w:framePr w:hSpace="0" w:wrap="auto" w:vAnchor="margin" w:hAnchor="text" w:xAlign="left" w:yAlign="inline"/>
                    <w:suppressLineNumbers w:val="0"/>
                    <w:kinsoku/>
                    <w:wordWrap/>
                    <w:overflowPunct/>
                    <w:topLinePunct w:val="0"/>
                    <w:bidi w:val="0"/>
                    <w:adjustRightInd w:val="0"/>
                    <w:snapToGrid w:val="0"/>
                    <w:spacing w:before="0" w:beforeAutospacing="0" w:after="0" w:afterAutospacing="0" w:line="276" w:lineRule="auto"/>
                    <w:ind w:left="0" w:right="0"/>
                    <w:textAlignment w:val="auto"/>
                    <w:rPr>
                      <w:rFonts w:hint="default" w:ascii="Times New Roman" w:hAnsi="Times New Roman" w:eastAsia="宋体" w:cs="Times New Roman"/>
                      <w:bCs w:val="0"/>
                      <w:color w:val="auto"/>
                      <w:kern w:val="2"/>
                      <w:sz w:val="18"/>
                      <w:szCs w:val="18"/>
                      <w:highlight w:val="none"/>
                      <w:lang w:val="en-US" w:eastAsia="zh-CN" w:bidi="ar-SA"/>
                    </w:rPr>
                  </w:pPr>
                  <w:r>
                    <w:rPr>
                      <w:rFonts w:hint="eastAsia" w:cs="Times New Roman"/>
                      <w:bCs w:val="0"/>
                      <w:color w:val="auto"/>
                      <w:kern w:val="2"/>
                      <w:sz w:val="18"/>
                      <w:szCs w:val="18"/>
                      <w:highlight w:val="none"/>
                      <w:lang w:val="en-US" w:eastAsia="zh-CN" w:bidi="ar-SA"/>
                    </w:rPr>
                    <w:t>6</w:t>
                  </w:r>
                </w:p>
              </w:tc>
              <w:tc>
                <w:tcPr>
                  <w:tcW w:w="1894" w:type="pct"/>
                  <w:tcBorders>
                    <w:tl2br w:val="nil"/>
                    <w:tr2bl w:val="nil"/>
                  </w:tcBorders>
                  <w:vAlign w:val="center"/>
                </w:tcPr>
                <w:p w14:paraId="1B7D9B83">
                  <w:pPr>
                    <w:keepNext w:val="0"/>
                    <w:keepLines w:val="0"/>
                    <w:pageBreakBefore w:val="0"/>
                    <w:widowControl/>
                    <w:suppressLineNumbers w:val="0"/>
                    <w:kinsoku/>
                    <w:wordWrap/>
                    <w:overflowPunct/>
                    <w:topLinePunct w:val="0"/>
                    <w:bidi w:val="0"/>
                    <w:adjustRightInd w:val="0"/>
                    <w:snapToGrid w:val="0"/>
                    <w:spacing w:before="0" w:beforeAutospacing="0" w:after="0" w:afterAutospacing="0" w:line="276" w:lineRule="auto"/>
                    <w:ind w:left="0" w:right="0"/>
                    <w:jc w:val="both"/>
                    <w:textAlignment w:val="auto"/>
                    <w:rPr>
                      <w:rFonts w:hint="default" w:ascii="Times New Roman" w:hAnsi="Times New Roman" w:eastAsia="宋体" w:cs="Times New Roman"/>
                      <w:bCs w:val="0"/>
                      <w:color w:val="auto"/>
                      <w:kern w:val="2"/>
                      <w:sz w:val="18"/>
                      <w:szCs w:val="18"/>
                      <w:highlight w:val="none"/>
                      <w:lang w:val="en-US" w:eastAsia="zh-CN" w:bidi="ar-SA"/>
                    </w:rPr>
                  </w:pPr>
                  <w:r>
                    <w:rPr>
                      <w:rFonts w:hint="default" w:ascii="Times New Roman" w:hAnsi="Times New Roman" w:eastAsia="宋体" w:cs="Times New Roman"/>
                      <w:bCs w:val="0"/>
                      <w:color w:val="auto"/>
                      <w:kern w:val="2"/>
                      <w:sz w:val="18"/>
                      <w:szCs w:val="18"/>
                      <w:highlight w:val="none"/>
                      <w:lang w:val="en-US" w:eastAsia="zh-CN" w:bidi="ar-SA"/>
                    </w:rPr>
                    <w:t>实验动物设施应保证结构安全性</w:t>
                  </w:r>
                  <w:r>
                    <w:rPr>
                      <w:rFonts w:hint="eastAsia" w:cs="Times New Roman"/>
                      <w:bCs w:val="0"/>
                      <w:color w:val="auto"/>
                      <w:kern w:val="2"/>
                      <w:sz w:val="18"/>
                      <w:szCs w:val="18"/>
                      <w:highlight w:val="none"/>
                      <w:lang w:val="en-US" w:eastAsia="zh-CN" w:bidi="ar-SA"/>
                    </w:rPr>
                    <w:t>，</w:t>
                  </w:r>
                  <w:r>
                    <w:rPr>
                      <w:rFonts w:hint="default" w:ascii="Times New Roman" w:hAnsi="Times New Roman" w:eastAsia="宋体" w:cs="Times New Roman"/>
                      <w:bCs w:val="0"/>
                      <w:color w:val="auto"/>
                      <w:kern w:val="2"/>
                      <w:sz w:val="18"/>
                      <w:szCs w:val="18"/>
                      <w:highlight w:val="none"/>
                      <w:lang w:val="en-US" w:eastAsia="zh-CN" w:bidi="ar-SA"/>
                    </w:rPr>
                    <w:t>实验动物笼器具、高压灭菌器、空调设备、清洗池和生物安全柜等设备的荷载应满足GB55002的规定</w:t>
                  </w:r>
                </w:p>
              </w:tc>
              <w:tc>
                <w:tcPr>
                  <w:tcW w:w="2441" w:type="pct"/>
                  <w:tcBorders>
                    <w:tl2br w:val="nil"/>
                    <w:tr2bl w:val="nil"/>
                  </w:tcBorders>
                  <w:vAlign w:val="center"/>
                </w:tcPr>
                <w:p w14:paraId="3BCB6D00">
                  <w:pPr>
                    <w:pStyle w:val="120"/>
                    <w:keepNext w:val="0"/>
                    <w:keepLines w:val="0"/>
                    <w:pageBreakBefore w:val="0"/>
                    <w:framePr w:hSpace="0" w:wrap="auto" w:vAnchor="margin" w:hAnchor="text" w:xAlign="left" w:yAlign="inline"/>
                    <w:suppressLineNumbers w:val="0"/>
                    <w:kinsoku/>
                    <w:wordWrap/>
                    <w:overflowPunct/>
                    <w:topLinePunct w:val="0"/>
                    <w:bidi w:val="0"/>
                    <w:adjustRightInd w:val="0"/>
                    <w:snapToGrid w:val="0"/>
                    <w:spacing w:before="0" w:beforeAutospacing="0" w:after="0" w:afterAutospacing="0" w:line="276" w:lineRule="auto"/>
                    <w:ind w:left="0" w:right="0"/>
                    <w:jc w:val="both"/>
                    <w:textAlignment w:val="auto"/>
                    <w:rPr>
                      <w:rFonts w:hint="default" w:ascii="Times New Roman" w:hAnsi="Times New Roman" w:eastAsia="宋体" w:cs="Times New Roman"/>
                      <w:bCs w:val="0"/>
                      <w:color w:val="auto"/>
                      <w:kern w:val="2"/>
                      <w:sz w:val="18"/>
                      <w:szCs w:val="18"/>
                      <w:highlight w:val="none"/>
                      <w:lang w:val="en-US" w:eastAsia="zh-CN" w:bidi="ar-SA"/>
                    </w:rPr>
                  </w:pPr>
                  <w:r>
                    <w:rPr>
                      <w:rFonts w:hint="default" w:ascii="Times New Roman" w:hAnsi="Times New Roman" w:eastAsia="宋体" w:cs="Times New Roman"/>
                      <w:bCs w:val="0"/>
                      <w:color w:val="auto"/>
                      <w:kern w:val="2"/>
                      <w:sz w:val="18"/>
                      <w:szCs w:val="18"/>
                      <w:highlight w:val="none"/>
                      <w:lang w:val="en-US" w:eastAsia="zh-CN" w:bidi="ar-SA"/>
                    </w:rPr>
                    <w:t>实验动物设施</w:t>
                  </w:r>
                  <w:r>
                    <w:rPr>
                      <w:rFonts w:hint="eastAsia" w:cs="Times New Roman"/>
                      <w:bCs w:val="0"/>
                      <w:color w:val="auto"/>
                      <w:kern w:val="2"/>
                      <w:sz w:val="18"/>
                      <w:szCs w:val="18"/>
                      <w:highlight w:val="none"/>
                      <w:lang w:val="en-US" w:eastAsia="zh-CN" w:bidi="ar-SA"/>
                    </w:rPr>
                    <w:t>中</w:t>
                  </w:r>
                  <w:r>
                    <w:rPr>
                      <w:rFonts w:hint="default" w:ascii="Times New Roman" w:hAnsi="Times New Roman" w:eastAsia="宋体" w:cs="Times New Roman"/>
                      <w:bCs w:val="0"/>
                      <w:color w:val="auto"/>
                      <w:kern w:val="2"/>
                      <w:sz w:val="18"/>
                      <w:szCs w:val="18"/>
                      <w:highlight w:val="none"/>
                      <w:lang w:val="en-US" w:eastAsia="zh-CN" w:bidi="ar-SA"/>
                    </w:rPr>
                    <w:t>实验动物笼器具、高压灭菌器、空调设备、清洗池和生物安全柜等设备的荷载</w:t>
                  </w:r>
                  <w:r>
                    <w:rPr>
                      <w:rFonts w:hint="eastAsia" w:cs="Times New Roman"/>
                      <w:bCs w:val="0"/>
                      <w:color w:val="auto"/>
                      <w:kern w:val="2"/>
                      <w:sz w:val="18"/>
                      <w:szCs w:val="18"/>
                      <w:highlight w:val="none"/>
                      <w:lang w:val="en-US" w:eastAsia="zh-CN" w:bidi="ar-SA"/>
                    </w:rPr>
                    <w:t>能够</w:t>
                  </w:r>
                  <w:r>
                    <w:rPr>
                      <w:rFonts w:hint="default" w:ascii="Times New Roman" w:hAnsi="Times New Roman" w:eastAsia="宋体" w:cs="Times New Roman"/>
                      <w:bCs w:val="0"/>
                      <w:color w:val="auto"/>
                      <w:kern w:val="2"/>
                      <w:sz w:val="18"/>
                      <w:szCs w:val="18"/>
                      <w:highlight w:val="none"/>
                      <w:lang w:val="en-US" w:eastAsia="zh-CN" w:bidi="ar-SA"/>
                    </w:rPr>
                    <w:t>满足GB55002的规定</w:t>
                  </w:r>
                </w:p>
              </w:tc>
              <w:tc>
                <w:tcPr>
                  <w:tcW w:w="383" w:type="pct"/>
                  <w:tcBorders>
                    <w:tl2br w:val="nil"/>
                    <w:tr2bl w:val="nil"/>
                  </w:tcBorders>
                  <w:vAlign w:val="center"/>
                </w:tcPr>
                <w:p w14:paraId="74B560DE">
                  <w:pPr>
                    <w:pStyle w:val="120"/>
                    <w:keepNext w:val="0"/>
                    <w:keepLines w:val="0"/>
                    <w:pageBreakBefore w:val="0"/>
                    <w:framePr w:hSpace="0" w:wrap="auto" w:vAnchor="margin" w:hAnchor="text" w:xAlign="left" w:yAlign="inline"/>
                    <w:suppressLineNumbers w:val="0"/>
                    <w:kinsoku/>
                    <w:wordWrap/>
                    <w:overflowPunct/>
                    <w:topLinePunct w:val="0"/>
                    <w:bidi w:val="0"/>
                    <w:adjustRightInd w:val="0"/>
                    <w:snapToGrid w:val="0"/>
                    <w:spacing w:before="0" w:beforeAutospacing="0" w:after="0" w:afterAutospacing="0" w:line="276" w:lineRule="auto"/>
                    <w:ind w:left="0" w:right="0"/>
                    <w:textAlignment w:val="auto"/>
                    <w:rPr>
                      <w:rFonts w:hint="eastAsia" w:ascii="Times New Roman" w:hAnsi="Times New Roman" w:eastAsia="宋体" w:cs="Times New Roman"/>
                      <w:bCs w:val="0"/>
                      <w:color w:val="auto"/>
                      <w:kern w:val="2"/>
                      <w:sz w:val="18"/>
                      <w:szCs w:val="18"/>
                      <w:highlight w:val="none"/>
                      <w:lang w:val="en-US" w:eastAsia="zh-CN" w:bidi="ar-SA"/>
                    </w:rPr>
                  </w:pPr>
                  <w:r>
                    <w:rPr>
                      <w:rFonts w:hint="eastAsia" w:ascii="Times New Roman" w:hAnsi="Times New Roman" w:eastAsia="宋体" w:cs="Times New Roman"/>
                      <w:bCs w:val="0"/>
                      <w:color w:val="auto"/>
                      <w:kern w:val="2"/>
                      <w:sz w:val="18"/>
                      <w:szCs w:val="18"/>
                      <w:highlight w:val="none"/>
                      <w:lang w:val="en-US" w:eastAsia="zh-CN" w:bidi="ar-SA"/>
                    </w:rPr>
                    <w:t>相符</w:t>
                  </w:r>
                </w:p>
              </w:tc>
            </w:tr>
            <w:tr w14:paraId="6AD08829">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7" w:type="dxa"/>
                  <w:bottom w:w="0" w:type="dxa"/>
                  <w:right w:w="17" w:type="dxa"/>
                </w:tblCellMar>
              </w:tblPrEx>
              <w:tc>
                <w:tcPr>
                  <w:tcW w:w="281" w:type="pct"/>
                  <w:tcBorders>
                    <w:tl2br w:val="nil"/>
                    <w:tr2bl w:val="nil"/>
                  </w:tcBorders>
                  <w:vAlign w:val="center"/>
                </w:tcPr>
                <w:p w14:paraId="2E6BC5C4">
                  <w:pPr>
                    <w:pStyle w:val="120"/>
                    <w:keepNext w:val="0"/>
                    <w:keepLines w:val="0"/>
                    <w:pageBreakBefore w:val="0"/>
                    <w:framePr w:hSpace="0" w:wrap="auto" w:vAnchor="margin" w:hAnchor="text" w:xAlign="left" w:yAlign="inline"/>
                    <w:suppressLineNumbers w:val="0"/>
                    <w:kinsoku/>
                    <w:wordWrap/>
                    <w:overflowPunct/>
                    <w:topLinePunct w:val="0"/>
                    <w:bidi w:val="0"/>
                    <w:adjustRightInd w:val="0"/>
                    <w:snapToGrid w:val="0"/>
                    <w:spacing w:before="0" w:beforeAutospacing="0" w:after="0" w:afterAutospacing="0" w:line="276" w:lineRule="auto"/>
                    <w:ind w:left="0" w:right="0"/>
                    <w:textAlignment w:val="auto"/>
                    <w:rPr>
                      <w:rFonts w:hint="default" w:ascii="Times New Roman" w:hAnsi="Times New Roman" w:eastAsia="宋体" w:cs="Times New Roman"/>
                      <w:bCs w:val="0"/>
                      <w:color w:val="auto"/>
                      <w:kern w:val="2"/>
                      <w:sz w:val="18"/>
                      <w:szCs w:val="18"/>
                      <w:highlight w:val="none"/>
                      <w:lang w:val="en-US" w:eastAsia="zh-CN" w:bidi="ar-SA"/>
                    </w:rPr>
                  </w:pPr>
                  <w:r>
                    <w:rPr>
                      <w:rFonts w:hint="eastAsia" w:cs="Times New Roman"/>
                      <w:bCs w:val="0"/>
                      <w:color w:val="auto"/>
                      <w:kern w:val="2"/>
                      <w:sz w:val="18"/>
                      <w:szCs w:val="18"/>
                      <w:highlight w:val="none"/>
                      <w:lang w:val="en-US" w:eastAsia="zh-CN" w:bidi="ar-SA"/>
                    </w:rPr>
                    <w:t>7</w:t>
                  </w:r>
                </w:p>
              </w:tc>
              <w:tc>
                <w:tcPr>
                  <w:tcW w:w="1894" w:type="pct"/>
                  <w:tcBorders>
                    <w:tl2br w:val="nil"/>
                    <w:tr2bl w:val="nil"/>
                  </w:tcBorders>
                  <w:vAlign w:val="center"/>
                </w:tcPr>
                <w:p w14:paraId="719A1C70">
                  <w:pPr>
                    <w:keepNext w:val="0"/>
                    <w:keepLines w:val="0"/>
                    <w:pageBreakBefore w:val="0"/>
                    <w:widowControl/>
                    <w:suppressLineNumbers w:val="0"/>
                    <w:kinsoku/>
                    <w:wordWrap/>
                    <w:overflowPunct/>
                    <w:topLinePunct w:val="0"/>
                    <w:bidi w:val="0"/>
                    <w:adjustRightInd w:val="0"/>
                    <w:snapToGrid w:val="0"/>
                    <w:spacing w:before="0" w:beforeAutospacing="0" w:after="0" w:afterAutospacing="0" w:line="276" w:lineRule="auto"/>
                    <w:ind w:left="0" w:right="0"/>
                    <w:jc w:val="both"/>
                    <w:textAlignment w:val="auto"/>
                    <w:rPr>
                      <w:rFonts w:hint="default" w:ascii="Times New Roman" w:hAnsi="Times New Roman" w:eastAsia="宋体" w:cs="Times New Roman"/>
                      <w:bCs w:val="0"/>
                      <w:color w:val="auto"/>
                      <w:kern w:val="2"/>
                      <w:sz w:val="18"/>
                      <w:szCs w:val="18"/>
                      <w:highlight w:val="none"/>
                      <w:lang w:val="en-US" w:eastAsia="zh-CN" w:bidi="ar-SA"/>
                    </w:rPr>
                  </w:pPr>
                  <w:r>
                    <w:rPr>
                      <w:rFonts w:hint="default" w:ascii="Times New Roman" w:hAnsi="Times New Roman" w:eastAsia="宋体" w:cs="Times New Roman"/>
                      <w:bCs w:val="0"/>
                      <w:color w:val="auto"/>
                      <w:kern w:val="2"/>
                      <w:sz w:val="18"/>
                      <w:szCs w:val="18"/>
                      <w:highlight w:val="none"/>
                      <w:lang w:val="en-US" w:eastAsia="zh-CN" w:bidi="ar-SA"/>
                    </w:rPr>
                    <w:t>新建实验动物设施时应给生物安全柜、动物隔离设备和高压灭菌器等大型设备预留进出通道</w:t>
                  </w:r>
                </w:p>
              </w:tc>
              <w:tc>
                <w:tcPr>
                  <w:tcW w:w="2441" w:type="pct"/>
                  <w:tcBorders>
                    <w:tl2br w:val="nil"/>
                    <w:tr2bl w:val="nil"/>
                  </w:tcBorders>
                  <w:vAlign w:val="center"/>
                </w:tcPr>
                <w:p w14:paraId="3E2CA9F2">
                  <w:pPr>
                    <w:pStyle w:val="120"/>
                    <w:keepNext w:val="0"/>
                    <w:keepLines w:val="0"/>
                    <w:pageBreakBefore w:val="0"/>
                    <w:framePr w:hSpace="0" w:wrap="auto" w:vAnchor="margin" w:hAnchor="text" w:xAlign="left" w:yAlign="inline"/>
                    <w:suppressLineNumbers w:val="0"/>
                    <w:kinsoku/>
                    <w:wordWrap/>
                    <w:overflowPunct/>
                    <w:topLinePunct w:val="0"/>
                    <w:bidi w:val="0"/>
                    <w:adjustRightInd w:val="0"/>
                    <w:snapToGrid w:val="0"/>
                    <w:spacing w:before="0" w:beforeAutospacing="0" w:after="0" w:afterAutospacing="0" w:line="276" w:lineRule="auto"/>
                    <w:ind w:left="0" w:right="0"/>
                    <w:jc w:val="both"/>
                    <w:textAlignment w:val="auto"/>
                    <w:rPr>
                      <w:rFonts w:hint="default" w:ascii="Times New Roman" w:hAnsi="Times New Roman" w:eastAsia="宋体" w:cs="Times New Roman"/>
                      <w:bCs w:val="0"/>
                      <w:color w:val="auto"/>
                      <w:kern w:val="2"/>
                      <w:sz w:val="18"/>
                      <w:szCs w:val="18"/>
                      <w:highlight w:val="none"/>
                      <w:lang w:val="en-US" w:eastAsia="zh-CN" w:bidi="ar-SA"/>
                    </w:rPr>
                  </w:pPr>
                  <w:r>
                    <w:rPr>
                      <w:rFonts w:hint="eastAsia" w:cs="Times New Roman"/>
                      <w:bCs w:val="0"/>
                      <w:color w:val="auto"/>
                      <w:kern w:val="2"/>
                      <w:sz w:val="18"/>
                      <w:szCs w:val="18"/>
                      <w:highlight w:val="none"/>
                      <w:lang w:val="en-US" w:eastAsia="zh-CN" w:bidi="ar-SA"/>
                    </w:rPr>
                    <w:t>本项目已</w:t>
                  </w:r>
                  <w:r>
                    <w:rPr>
                      <w:rFonts w:hint="default" w:ascii="Times New Roman" w:hAnsi="Times New Roman" w:eastAsia="宋体" w:cs="Times New Roman"/>
                      <w:bCs w:val="0"/>
                      <w:color w:val="auto"/>
                      <w:kern w:val="2"/>
                      <w:sz w:val="18"/>
                      <w:szCs w:val="18"/>
                      <w:highlight w:val="none"/>
                      <w:lang w:val="en-US" w:eastAsia="zh-CN" w:bidi="ar-SA"/>
                    </w:rPr>
                    <w:t>给生物安全柜、动物隔离设备和高压灭菌器等大型设备预留进出通道</w:t>
                  </w:r>
                </w:p>
              </w:tc>
              <w:tc>
                <w:tcPr>
                  <w:tcW w:w="383" w:type="pct"/>
                  <w:tcBorders>
                    <w:tl2br w:val="nil"/>
                    <w:tr2bl w:val="nil"/>
                  </w:tcBorders>
                  <w:vAlign w:val="center"/>
                </w:tcPr>
                <w:p w14:paraId="69A6715F">
                  <w:pPr>
                    <w:pStyle w:val="120"/>
                    <w:keepNext w:val="0"/>
                    <w:keepLines w:val="0"/>
                    <w:pageBreakBefore w:val="0"/>
                    <w:framePr w:hSpace="0" w:wrap="auto" w:vAnchor="margin" w:hAnchor="text" w:xAlign="left" w:yAlign="inline"/>
                    <w:suppressLineNumbers w:val="0"/>
                    <w:kinsoku/>
                    <w:wordWrap/>
                    <w:overflowPunct/>
                    <w:topLinePunct w:val="0"/>
                    <w:bidi w:val="0"/>
                    <w:adjustRightInd w:val="0"/>
                    <w:snapToGrid w:val="0"/>
                    <w:spacing w:before="0" w:beforeAutospacing="0" w:after="0" w:afterAutospacing="0" w:line="276" w:lineRule="auto"/>
                    <w:ind w:left="0" w:right="0"/>
                    <w:textAlignment w:val="auto"/>
                    <w:rPr>
                      <w:rFonts w:hint="eastAsia" w:ascii="Times New Roman" w:hAnsi="Times New Roman" w:eastAsia="宋体" w:cs="Times New Roman"/>
                      <w:bCs w:val="0"/>
                      <w:color w:val="auto"/>
                      <w:kern w:val="2"/>
                      <w:sz w:val="18"/>
                      <w:szCs w:val="18"/>
                      <w:highlight w:val="none"/>
                      <w:lang w:val="en-US" w:eastAsia="zh-CN" w:bidi="ar-SA"/>
                    </w:rPr>
                  </w:pPr>
                  <w:r>
                    <w:rPr>
                      <w:rFonts w:hint="eastAsia" w:ascii="Times New Roman" w:hAnsi="Times New Roman" w:eastAsia="宋体" w:cs="Times New Roman"/>
                      <w:bCs w:val="0"/>
                      <w:color w:val="auto"/>
                      <w:kern w:val="2"/>
                      <w:sz w:val="18"/>
                      <w:szCs w:val="18"/>
                      <w:highlight w:val="none"/>
                      <w:lang w:val="en-US" w:eastAsia="zh-CN" w:bidi="ar-SA"/>
                    </w:rPr>
                    <w:t>相符</w:t>
                  </w:r>
                </w:p>
              </w:tc>
            </w:tr>
            <w:tr w14:paraId="6F54CFE2">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7" w:type="dxa"/>
                  <w:bottom w:w="0" w:type="dxa"/>
                  <w:right w:w="17" w:type="dxa"/>
                </w:tblCellMar>
              </w:tblPrEx>
              <w:tc>
                <w:tcPr>
                  <w:tcW w:w="281" w:type="pct"/>
                  <w:tcBorders>
                    <w:tl2br w:val="nil"/>
                    <w:tr2bl w:val="nil"/>
                  </w:tcBorders>
                  <w:vAlign w:val="center"/>
                </w:tcPr>
                <w:p w14:paraId="51BC2336">
                  <w:pPr>
                    <w:pStyle w:val="120"/>
                    <w:keepNext w:val="0"/>
                    <w:keepLines w:val="0"/>
                    <w:pageBreakBefore w:val="0"/>
                    <w:framePr w:hSpace="0" w:wrap="auto" w:vAnchor="margin" w:hAnchor="text" w:xAlign="left" w:yAlign="inline"/>
                    <w:suppressLineNumbers w:val="0"/>
                    <w:kinsoku/>
                    <w:wordWrap/>
                    <w:overflowPunct/>
                    <w:topLinePunct w:val="0"/>
                    <w:bidi w:val="0"/>
                    <w:adjustRightInd w:val="0"/>
                    <w:snapToGrid w:val="0"/>
                    <w:spacing w:before="0" w:beforeAutospacing="0" w:after="0" w:afterAutospacing="0" w:line="276" w:lineRule="auto"/>
                    <w:ind w:left="0" w:right="0"/>
                    <w:textAlignment w:val="auto"/>
                    <w:rPr>
                      <w:rFonts w:hint="default" w:ascii="Times New Roman" w:hAnsi="Times New Roman" w:eastAsia="宋体" w:cs="Times New Roman"/>
                      <w:bCs w:val="0"/>
                      <w:color w:val="auto"/>
                      <w:kern w:val="2"/>
                      <w:sz w:val="18"/>
                      <w:szCs w:val="18"/>
                      <w:highlight w:val="none"/>
                      <w:lang w:val="en-US" w:eastAsia="zh-CN" w:bidi="ar-SA"/>
                    </w:rPr>
                  </w:pPr>
                  <w:r>
                    <w:rPr>
                      <w:rFonts w:hint="eastAsia" w:cs="Times New Roman"/>
                      <w:bCs w:val="0"/>
                      <w:color w:val="auto"/>
                      <w:kern w:val="2"/>
                      <w:sz w:val="18"/>
                      <w:szCs w:val="18"/>
                      <w:highlight w:val="none"/>
                      <w:lang w:val="en-US" w:eastAsia="zh-CN" w:bidi="ar-SA"/>
                    </w:rPr>
                    <w:t>8</w:t>
                  </w:r>
                </w:p>
              </w:tc>
              <w:tc>
                <w:tcPr>
                  <w:tcW w:w="1894" w:type="pct"/>
                  <w:tcBorders>
                    <w:tl2br w:val="nil"/>
                    <w:tr2bl w:val="nil"/>
                  </w:tcBorders>
                  <w:vAlign w:val="center"/>
                </w:tcPr>
                <w:p w14:paraId="7C9A6FB8">
                  <w:pPr>
                    <w:keepNext w:val="0"/>
                    <w:keepLines w:val="0"/>
                    <w:pageBreakBefore w:val="0"/>
                    <w:widowControl/>
                    <w:suppressLineNumbers w:val="0"/>
                    <w:kinsoku/>
                    <w:wordWrap/>
                    <w:overflowPunct/>
                    <w:topLinePunct w:val="0"/>
                    <w:bidi w:val="0"/>
                    <w:adjustRightInd w:val="0"/>
                    <w:snapToGrid w:val="0"/>
                    <w:spacing w:before="0" w:beforeAutospacing="0" w:after="0" w:afterAutospacing="0" w:line="276" w:lineRule="auto"/>
                    <w:ind w:left="0" w:right="0"/>
                    <w:jc w:val="both"/>
                    <w:textAlignment w:val="auto"/>
                    <w:rPr>
                      <w:rFonts w:hint="default" w:ascii="Times New Roman" w:hAnsi="Times New Roman" w:eastAsia="宋体" w:cs="Times New Roman"/>
                      <w:bCs w:val="0"/>
                      <w:color w:val="auto"/>
                      <w:kern w:val="2"/>
                      <w:sz w:val="18"/>
                      <w:szCs w:val="18"/>
                      <w:highlight w:val="none"/>
                      <w:lang w:val="en-US" w:eastAsia="zh-CN" w:bidi="ar-SA"/>
                    </w:rPr>
                  </w:pPr>
                  <w:r>
                    <w:rPr>
                      <w:rFonts w:hint="default" w:ascii="Times New Roman" w:hAnsi="Times New Roman" w:eastAsia="宋体" w:cs="Times New Roman"/>
                      <w:bCs w:val="0"/>
                      <w:color w:val="auto"/>
                      <w:kern w:val="2"/>
                      <w:sz w:val="18"/>
                      <w:szCs w:val="18"/>
                      <w:highlight w:val="none"/>
                      <w:lang w:val="en-US" w:eastAsia="zh-CN" w:bidi="ar-SA"/>
                    </w:rPr>
                    <w:t>实验动物设施的管道、机房等空间应满足使用和检修需求</w:t>
                  </w:r>
                </w:p>
              </w:tc>
              <w:tc>
                <w:tcPr>
                  <w:tcW w:w="2441" w:type="pct"/>
                  <w:tcBorders>
                    <w:tl2br w:val="nil"/>
                    <w:tr2bl w:val="nil"/>
                  </w:tcBorders>
                  <w:vAlign w:val="center"/>
                </w:tcPr>
                <w:p w14:paraId="4EC4372F">
                  <w:pPr>
                    <w:pStyle w:val="120"/>
                    <w:keepNext w:val="0"/>
                    <w:keepLines w:val="0"/>
                    <w:pageBreakBefore w:val="0"/>
                    <w:framePr w:hSpace="0" w:wrap="auto" w:vAnchor="margin" w:hAnchor="text" w:xAlign="left" w:yAlign="inline"/>
                    <w:suppressLineNumbers w:val="0"/>
                    <w:kinsoku/>
                    <w:wordWrap/>
                    <w:overflowPunct/>
                    <w:topLinePunct w:val="0"/>
                    <w:bidi w:val="0"/>
                    <w:adjustRightInd w:val="0"/>
                    <w:snapToGrid w:val="0"/>
                    <w:spacing w:before="0" w:beforeAutospacing="0" w:after="0" w:afterAutospacing="0" w:line="276" w:lineRule="auto"/>
                    <w:ind w:left="0" w:right="0"/>
                    <w:jc w:val="both"/>
                    <w:textAlignment w:val="auto"/>
                    <w:rPr>
                      <w:rFonts w:hint="default" w:ascii="Times New Roman" w:hAnsi="Times New Roman" w:eastAsia="宋体" w:cs="Times New Roman"/>
                      <w:bCs w:val="0"/>
                      <w:color w:val="auto"/>
                      <w:kern w:val="2"/>
                      <w:sz w:val="18"/>
                      <w:szCs w:val="18"/>
                      <w:highlight w:val="none"/>
                      <w:lang w:val="en-US" w:eastAsia="zh-CN" w:bidi="ar-SA"/>
                    </w:rPr>
                  </w:pPr>
                  <w:r>
                    <w:rPr>
                      <w:rFonts w:hint="default" w:ascii="Times New Roman" w:hAnsi="Times New Roman" w:eastAsia="宋体" w:cs="Times New Roman"/>
                      <w:bCs w:val="0"/>
                      <w:color w:val="auto"/>
                      <w:kern w:val="2"/>
                      <w:sz w:val="18"/>
                      <w:szCs w:val="18"/>
                      <w:highlight w:val="none"/>
                      <w:lang w:val="en-US" w:eastAsia="zh-CN" w:bidi="ar-SA"/>
                    </w:rPr>
                    <w:t>实验动物设施的管道、机房等空间</w:t>
                  </w:r>
                  <w:r>
                    <w:rPr>
                      <w:rFonts w:hint="eastAsia" w:cs="Times New Roman"/>
                      <w:bCs w:val="0"/>
                      <w:color w:val="auto"/>
                      <w:kern w:val="2"/>
                      <w:sz w:val="18"/>
                      <w:szCs w:val="18"/>
                      <w:highlight w:val="none"/>
                      <w:lang w:val="en-US" w:eastAsia="zh-CN" w:bidi="ar-SA"/>
                    </w:rPr>
                    <w:t>能够</w:t>
                  </w:r>
                  <w:r>
                    <w:rPr>
                      <w:rFonts w:hint="default" w:ascii="Times New Roman" w:hAnsi="Times New Roman" w:eastAsia="宋体" w:cs="Times New Roman"/>
                      <w:bCs w:val="0"/>
                      <w:color w:val="auto"/>
                      <w:kern w:val="2"/>
                      <w:sz w:val="18"/>
                      <w:szCs w:val="18"/>
                      <w:highlight w:val="none"/>
                      <w:lang w:val="en-US" w:eastAsia="zh-CN" w:bidi="ar-SA"/>
                    </w:rPr>
                    <w:t>满足使用和检修需求</w:t>
                  </w:r>
                </w:p>
              </w:tc>
              <w:tc>
                <w:tcPr>
                  <w:tcW w:w="383" w:type="pct"/>
                  <w:tcBorders>
                    <w:tl2br w:val="nil"/>
                    <w:tr2bl w:val="nil"/>
                  </w:tcBorders>
                  <w:vAlign w:val="center"/>
                </w:tcPr>
                <w:p w14:paraId="009D9718">
                  <w:pPr>
                    <w:pStyle w:val="120"/>
                    <w:keepNext w:val="0"/>
                    <w:keepLines w:val="0"/>
                    <w:pageBreakBefore w:val="0"/>
                    <w:framePr w:hSpace="0" w:wrap="auto" w:vAnchor="margin" w:hAnchor="text" w:xAlign="left" w:yAlign="inline"/>
                    <w:suppressLineNumbers w:val="0"/>
                    <w:kinsoku/>
                    <w:wordWrap/>
                    <w:overflowPunct/>
                    <w:topLinePunct w:val="0"/>
                    <w:bidi w:val="0"/>
                    <w:adjustRightInd w:val="0"/>
                    <w:snapToGrid w:val="0"/>
                    <w:spacing w:before="0" w:beforeAutospacing="0" w:after="0" w:afterAutospacing="0" w:line="276" w:lineRule="auto"/>
                    <w:ind w:left="0" w:right="0"/>
                    <w:textAlignment w:val="auto"/>
                    <w:rPr>
                      <w:rFonts w:hint="eastAsia" w:ascii="Times New Roman" w:hAnsi="Times New Roman" w:eastAsia="宋体" w:cs="Times New Roman"/>
                      <w:bCs w:val="0"/>
                      <w:color w:val="auto"/>
                      <w:kern w:val="2"/>
                      <w:sz w:val="18"/>
                      <w:szCs w:val="18"/>
                      <w:highlight w:val="none"/>
                      <w:lang w:val="en-US" w:eastAsia="zh-CN" w:bidi="ar-SA"/>
                    </w:rPr>
                  </w:pPr>
                  <w:r>
                    <w:rPr>
                      <w:rFonts w:hint="eastAsia" w:ascii="Times New Roman" w:hAnsi="Times New Roman" w:eastAsia="宋体" w:cs="Times New Roman"/>
                      <w:bCs w:val="0"/>
                      <w:color w:val="auto"/>
                      <w:kern w:val="2"/>
                      <w:sz w:val="18"/>
                      <w:szCs w:val="18"/>
                      <w:highlight w:val="none"/>
                      <w:lang w:val="en-US" w:eastAsia="zh-CN" w:bidi="ar-SA"/>
                    </w:rPr>
                    <w:t>相符</w:t>
                  </w:r>
                </w:p>
              </w:tc>
            </w:tr>
            <w:tr w14:paraId="2ACF1F24">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7" w:type="dxa"/>
                  <w:bottom w:w="0" w:type="dxa"/>
                  <w:right w:w="17" w:type="dxa"/>
                </w:tblCellMar>
              </w:tblPrEx>
              <w:tc>
                <w:tcPr>
                  <w:tcW w:w="281" w:type="pct"/>
                  <w:tcBorders>
                    <w:tl2br w:val="nil"/>
                    <w:tr2bl w:val="nil"/>
                  </w:tcBorders>
                  <w:vAlign w:val="center"/>
                </w:tcPr>
                <w:p w14:paraId="17D3D804">
                  <w:pPr>
                    <w:pStyle w:val="120"/>
                    <w:keepNext w:val="0"/>
                    <w:keepLines w:val="0"/>
                    <w:pageBreakBefore w:val="0"/>
                    <w:framePr w:hSpace="0" w:wrap="auto" w:vAnchor="margin" w:hAnchor="text" w:xAlign="left" w:yAlign="inline"/>
                    <w:suppressLineNumbers w:val="0"/>
                    <w:kinsoku/>
                    <w:wordWrap/>
                    <w:overflowPunct/>
                    <w:topLinePunct w:val="0"/>
                    <w:bidi w:val="0"/>
                    <w:adjustRightInd w:val="0"/>
                    <w:snapToGrid w:val="0"/>
                    <w:spacing w:before="0" w:beforeAutospacing="0" w:after="0" w:afterAutospacing="0" w:line="276" w:lineRule="auto"/>
                    <w:ind w:left="0" w:right="0"/>
                    <w:textAlignment w:val="auto"/>
                    <w:rPr>
                      <w:rFonts w:hint="default" w:ascii="Times New Roman" w:hAnsi="Times New Roman" w:eastAsia="宋体" w:cs="Times New Roman"/>
                      <w:bCs w:val="0"/>
                      <w:color w:val="auto"/>
                      <w:kern w:val="2"/>
                      <w:sz w:val="18"/>
                      <w:szCs w:val="18"/>
                      <w:highlight w:val="none"/>
                      <w:lang w:val="en-US" w:eastAsia="zh-CN" w:bidi="ar-SA"/>
                    </w:rPr>
                  </w:pPr>
                  <w:r>
                    <w:rPr>
                      <w:rFonts w:hint="eastAsia" w:cs="Times New Roman"/>
                      <w:bCs w:val="0"/>
                      <w:color w:val="auto"/>
                      <w:kern w:val="2"/>
                      <w:sz w:val="18"/>
                      <w:szCs w:val="18"/>
                      <w:highlight w:val="none"/>
                      <w:lang w:val="en-US" w:eastAsia="zh-CN" w:bidi="ar-SA"/>
                    </w:rPr>
                    <w:t>9</w:t>
                  </w:r>
                </w:p>
              </w:tc>
              <w:tc>
                <w:tcPr>
                  <w:tcW w:w="1894" w:type="pct"/>
                  <w:tcBorders>
                    <w:tl2br w:val="nil"/>
                    <w:tr2bl w:val="nil"/>
                  </w:tcBorders>
                  <w:vAlign w:val="center"/>
                </w:tcPr>
                <w:p w14:paraId="7EFCDACE">
                  <w:pPr>
                    <w:keepNext w:val="0"/>
                    <w:keepLines w:val="0"/>
                    <w:pageBreakBefore w:val="0"/>
                    <w:widowControl/>
                    <w:suppressLineNumbers w:val="0"/>
                    <w:kinsoku/>
                    <w:wordWrap/>
                    <w:overflowPunct/>
                    <w:topLinePunct w:val="0"/>
                    <w:bidi w:val="0"/>
                    <w:adjustRightInd w:val="0"/>
                    <w:snapToGrid w:val="0"/>
                    <w:spacing w:before="0" w:beforeAutospacing="0" w:after="0" w:afterAutospacing="0" w:line="276" w:lineRule="auto"/>
                    <w:ind w:left="0" w:right="0"/>
                    <w:jc w:val="both"/>
                    <w:textAlignment w:val="auto"/>
                    <w:rPr>
                      <w:rFonts w:hint="default" w:ascii="Times New Roman" w:hAnsi="Times New Roman" w:eastAsia="宋体" w:cs="Times New Roman"/>
                      <w:bCs w:val="0"/>
                      <w:color w:val="auto"/>
                      <w:kern w:val="2"/>
                      <w:sz w:val="18"/>
                      <w:szCs w:val="18"/>
                      <w:highlight w:val="none"/>
                      <w:lang w:val="en-US" w:eastAsia="zh-CN" w:bidi="ar-SA"/>
                    </w:rPr>
                  </w:pPr>
                  <w:r>
                    <w:rPr>
                      <w:rFonts w:hint="default" w:ascii="Times New Roman" w:hAnsi="Times New Roman" w:eastAsia="宋体" w:cs="Times New Roman"/>
                      <w:bCs w:val="0"/>
                      <w:color w:val="auto"/>
                      <w:kern w:val="2"/>
                      <w:sz w:val="18"/>
                      <w:szCs w:val="18"/>
                      <w:highlight w:val="none"/>
                      <w:lang w:val="en-US" w:eastAsia="zh-CN" w:bidi="ar-SA"/>
                    </w:rPr>
                    <w:t>应采取防止昆虫、野鼠等动物进入和实验动物逃逸的措施</w:t>
                  </w:r>
                </w:p>
              </w:tc>
              <w:tc>
                <w:tcPr>
                  <w:tcW w:w="2441" w:type="pct"/>
                  <w:tcBorders>
                    <w:tl2br w:val="nil"/>
                    <w:tr2bl w:val="nil"/>
                  </w:tcBorders>
                  <w:vAlign w:val="center"/>
                </w:tcPr>
                <w:p w14:paraId="7559B81F">
                  <w:pPr>
                    <w:pStyle w:val="120"/>
                    <w:keepNext w:val="0"/>
                    <w:keepLines w:val="0"/>
                    <w:pageBreakBefore w:val="0"/>
                    <w:framePr w:hSpace="0" w:wrap="auto" w:vAnchor="margin" w:hAnchor="text" w:xAlign="left" w:yAlign="inline"/>
                    <w:suppressLineNumbers w:val="0"/>
                    <w:kinsoku/>
                    <w:wordWrap/>
                    <w:overflowPunct/>
                    <w:topLinePunct w:val="0"/>
                    <w:bidi w:val="0"/>
                    <w:adjustRightInd w:val="0"/>
                    <w:snapToGrid w:val="0"/>
                    <w:spacing w:before="0" w:beforeAutospacing="0" w:after="0" w:afterAutospacing="0" w:line="276" w:lineRule="auto"/>
                    <w:ind w:left="0" w:right="0"/>
                    <w:jc w:val="both"/>
                    <w:textAlignment w:val="auto"/>
                    <w:rPr>
                      <w:rFonts w:hint="default" w:ascii="Times New Roman" w:hAnsi="Times New Roman" w:eastAsia="宋体" w:cs="Times New Roman"/>
                      <w:bCs w:val="0"/>
                      <w:color w:val="auto"/>
                      <w:kern w:val="2"/>
                      <w:sz w:val="18"/>
                      <w:szCs w:val="18"/>
                      <w:highlight w:val="none"/>
                      <w:lang w:val="en-US" w:eastAsia="zh-CN" w:bidi="ar-SA"/>
                    </w:rPr>
                  </w:pPr>
                  <w:r>
                    <w:rPr>
                      <w:rFonts w:hint="eastAsia" w:cs="Times New Roman"/>
                      <w:bCs w:val="0"/>
                      <w:color w:val="auto"/>
                      <w:kern w:val="2"/>
                      <w:sz w:val="18"/>
                      <w:szCs w:val="18"/>
                      <w:highlight w:val="none"/>
                      <w:lang w:val="en-US" w:eastAsia="zh-CN" w:bidi="ar-SA"/>
                    </w:rPr>
                    <w:t>本项目已</w:t>
                  </w:r>
                  <w:r>
                    <w:rPr>
                      <w:rFonts w:hint="default" w:ascii="Times New Roman" w:hAnsi="Times New Roman" w:eastAsia="宋体" w:cs="Times New Roman"/>
                      <w:bCs w:val="0"/>
                      <w:color w:val="auto"/>
                      <w:kern w:val="2"/>
                      <w:sz w:val="18"/>
                      <w:szCs w:val="18"/>
                      <w:highlight w:val="none"/>
                      <w:lang w:val="en-US" w:eastAsia="zh-CN" w:bidi="ar-SA"/>
                    </w:rPr>
                    <w:t>采取防止昆虫、野鼠等动物进入和实验动物逃逸的措施</w:t>
                  </w:r>
                </w:p>
              </w:tc>
              <w:tc>
                <w:tcPr>
                  <w:tcW w:w="383" w:type="pct"/>
                  <w:tcBorders>
                    <w:tl2br w:val="nil"/>
                    <w:tr2bl w:val="nil"/>
                  </w:tcBorders>
                  <w:vAlign w:val="center"/>
                </w:tcPr>
                <w:p w14:paraId="581A24F8">
                  <w:pPr>
                    <w:pStyle w:val="120"/>
                    <w:keepNext w:val="0"/>
                    <w:keepLines w:val="0"/>
                    <w:pageBreakBefore w:val="0"/>
                    <w:framePr w:hSpace="0" w:wrap="auto" w:vAnchor="margin" w:hAnchor="text" w:xAlign="left" w:yAlign="inline"/>
                    <w:suppressLineNumbers w:val="0"/>
                    <w:kinsoku/>
                    <w:wordWrap/>
                    <w:overflowPunct/>
                    <w:topLinePunct w:val="0"/>
                    <w:bidi w:val="0"/>
                    <w:adjustRightInd w:val="0"/>
                    <w:snapToGrid w:val="0"/>
                    <w:spacing w:before="0" w:beforeAutospacing="0" w:after="0" w:afterAutospacing="0" w:line="276" w:lineRule="auto"/>
                    <w:ind w:left="0" w:right="0"/>
                    <w:textAlignment w:val="auto"/>
                    <w:rPr>
                      <w:rFonts w:hint="eastAsia" w:ascii="Times New Roman" w:hAnsi="Times New Roman" w:eastAsia="宋体" w:cs="Times New Roman"/>
                      <w:bCs w:val="0"/>
                      <w:color w:val="auto"/>
                      <w:kern w:val="2"/>
                      <w:sz w:val="18"/>
                      <w:szCs w:val="18"/>
                      <w:highlight w:val="none"/>
                      <w:lang w:val="en-US" w:eastAsia="zh-CN" w:bidi="ar-SA"/>
                    </w:rPr>
                  </w:pPr>
                  <w:r>
                    <w:rPr>
                      <w:rFonts w:hint="eastAsia" w:ascii="Times New Roman" w:hAnsi="Times New Roman" w:eastAsia="宋体" w:cs="Times New Roman"/>
                      <w:bCs w:val="0"/>
                      <w:color w:val="auto"/>
                      <w:kern w:val="2"/>
                      <w:sz w:val="18"/>
                      <w:szCs w:val="18"/>
                      <w:highlight w:val="none"/>
                      <w:lang w:val="en-US" w:eastAsia="zh-CN" w:bidi="ar-SA"/>
                    </w:rPr>
                    <w:t>相符</w:t>
                  </w:r>
                </w:p>
              </w:tc>
            </w:tr>
          </w:tbl>
          <w:p w14:paraId="0BE63B3E">
            <w:pPr>
              <w:keepNext/>
              <w:keepLines/>
              <w:suppressLineNumbers w:val="0"/>
              <w:adjustRightInd w:val="0"/>
              <w:snapToGrid w:val="0"/>
              <w:spacing w:before="0" w:beforeAutospacing="0" w:after="0" w:afterAutospacing="0" w:line="360" w:lineRule="auto"/>
              <w:ind w:left="0" w:right="0" w:firstLine="480" w:firstLineChars="200"/>
              <w:outlineLvl w:val="1"/>
              <w:rPr>
                <w:rFonts w:hint="eastAsia" w:eastAsia="宋体"/>
                <w:b/>
                <w:sz w:val="24"/>
                <w:szCs w:val="21"/>
                <w:highlight w:val="none"/>
                <w:lang w:val="en-US" w:eastAsia="zh-CN"/>
              </w:rPr>
            </w:pPr>
            <w:r>
              <w:rPr>
                <w:rFonts w:hint="eastAsia"/>
                <w:highlight w:val="none"/>
              </w:rPr>
              <w:t>综上所述，本项目的选址与《实验动物 环境及设施》（</w:t>
            </w:r>
            <w:r>
              <w:rPr>
                <w:rFonts w:hint="default"/>
                <w:highlight w:val="none"/>
              </w:rPr>
              <w:t>GB14925-20</w:t>
            </w:r>
            <w:r>
              <w:rPr>
                <w:rFonts w:hint="eastAsia"/>
                <w:highlight w:val="none"/>
                <w:lang w:val="en-US" w:eastAsia="zh-CN"/>
              </w:rPr>
              <w:t>23</w:t>
            </w:r>
            <w:r>
              <w:rPr>
                <w:rFonts w:hint="eastAsia"/>
                <w:highlight w:val="none"/>
              </w:rPr>
              <w:t>）中设施</w:t>
            </w:r>
            <w:r>
              <w:rPr>
                <w:rFonts w:hint="eastAsia"/>
                <w:highlight w:val="none"/>
                <w:lang w:val="en-US" w:eastAsia="zh-CN"/>
              </w:rPr>
              <w:t>建设</w:t>
            </w:r>
            <w:r>
              <w:rPr>
                <w:rFonts w:hint="eastAsia"/>
                <w:highlight w:val="none"/>
              </w:rPr>
              <w:t>要求相符</w:t>
            </w:r>
            <w:r>
              <w:rPr>
                <w:rFonts w:hint="eastAsia"/>
                <w:highlight w:val="none"/>
                <w:lang w:eastAsia="zh-CN"/>
              </w:rPr>
              <w:t>。</w:t>
            </w:r>
          </w:p>
          <w:p w14:paraId="111C7357">
            <w:pPr>
              <w:pStyle w:val="122"/>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60" w:lineRule="auto"/>
              <w:ind w:left="0" w:leftChars="0" w:right="0" w:firstLine="0" w:firstLineChars="0"/>
              <w:textAlignment w:val="auto"/>
              <w:rPr>
                <w:rFonts w:hint="default"/>
                <w:b/>
                <w:bCs w:val="0"/>
                <w:highlight w:val="none"/>
              </w:rPr>
            </w:pPr>
            <w:r>
              <w:rPr>
                <w:rFonts w:hint="eastAsia"/>
                <w:b/>
                <w:bCs w:val="0"/>
                <w:highlight w:val="none"/>
                <w:lang w:val="en-US" w:eastAsia="zh-CN"/>
              </w:rPr>
              <w:t>7</w:t>
            </w:r>
            <w:r>
              <w:rPr>
                <w:rFonts w:hint="eastAsia"/>
                <w:b/>
                <w:bCs w:val="0"/>
                <w:highlight w:val="none"/>
              </w:rPr>
              <w:t>、与《实验室 生物安全通用要求》（GB19489-2008）相符性分析</w:t>
            </w:r>
          </w:p>
          <w:p w14:paraId="75757041">
            <w:pPr>
              <w:pStyle w:val="128"/>
              <w:keepNext w:val="0"/>
              <w:keepLines w:val="0"/>
              <w:pageBreakBefore w:val="0"/>
              <w:widowControl w:val="0"/>
              <w:suppressLineNumbers w:val="0"/>
              <w:kinsoku/>
              <w:wordWrap/>
              <w:overflowPunct/>
              <w:topLinePunct w:val="0"/>
              <w:autoSpaceDE/>
              <w:autoSpaceDN/>
              <w:bidi w:val="0"/>
              <w:adjustRightInd w:val="0"/>
              <w:snapToGrid w:val="0"/>
              <w:spacing w:before="0" w:beforeLines="0" w:beforeAutospacing="0" w:after="0" w:afterAutospacing="0" w:line="360" w:lineRule="auto"/>
              <w:ind w:left="0" w:right="0"/>
              <w:textAlignment w:val="auto"/>
              <w:rPr>
                <w:rFonts w:hint="eastAsia"/>
                <w:color w:val="auto"/>
                <w:highlight w:val="none"/>
              </w:rPr>
            </w:pPr>
            <w:r>
              <w:rPr>
                <w:rFonts w:hint="eastAsia"/>
                <w:color w:val="auto"/>
                <w:highlight w:val="none"/>
              </w:rPr>
              <w:t>表</w:t>
            </w:r>
            <w:r>
              <w:rPr>
                <w:rFonts w:hint="default"/>
                <w:color w:val="auto"/>
                <w:highlight w:val="none"/>
              </w:rPr>
              <w:t>1-</w:t>
            </w:r>
            <w:r>
              <w:rPr>
                <w:rFonts w:hint="eastAsia"/>
                <w:color w:val="auto"/>
                <w:highlight w:val="none"/>
                <w:lang w:val="en-US" w:eastAsia="zh-CN"/>
              </w:rPr>
              <w:t>7</w:t>
            </w:r>
            <w:r>
              <w:rPr>
                <w:rFonts w:hint="default"/>
                <w:color w:val="auto"/>
                <w:highlight w:val="none"/>
              </w:rPr>
              <w:t xml:space="preserve">  </w:t>
            </w:r>
            <w:r>
              <w:rPr>
                <w:rFonts w:hint="eastAsia"/>
                <w:color w:val="auto"/>
                <w:highlight w:val="none"/>
              </w:rPr>
              <w:t>与《实验室 生物安全通用要求》（</w:t>
            </w:r>
            <w:r>
              <w:rPr>
                <w:rFonts w:hint="default"/>
                <w:color w:val="auto"/>
                <w:highlight w:val="none"/>
              </w:rPr>
              <w:t>GB19489-2008</w:t>
            </w:r>
            <w:r>
              <w:rPr>
                <w:rFonts w:hint="eastAsia"/>
                <w:color w:val="auto"/>
                <w:highlight w:val="none"/>
              </w:rPr>
              <w:t>）相符性分析</w:t>
            </w:r>
          </w:p>
          <w:tbl>
            <w:tblPr>
              <w:tblStyle w:val="33"/>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675"/>
              <w:gridCol w:w="3210"/>
              <w:gridCol w:w="3495"/>
              <w:gridCol w:w="800"/>
            </w:tblGrid>
            <w:tr w14:paraId="5139831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75" w:type="dxa"/>
                  <w:shd w:val="clear" w:color="auto" w:fill="auto"/>
                  <w:tcMar>
                    <w:top w:w="0" w:type="dxa"/>
                    <w:left w:w="28" w:type="dxa"/>
                    <w:bottom w:w="0" w:type="dxa"/>
                    <w:right w:w="28" w:type="dxa"/>
                  </w:tcMar>
                  <w:vAlign w:val="center"/>
                </w:tcPr>
                <w:p w14:paraId="2F916603">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right="0"/>
                    <w:jc w:val="center"/>
                    <w:textAlignment w:val="auto"/>
                    <w:rPr>
                      <w:rFonts w:hint="eastAsia" w:ascii="Times New Roman" w:hAnsi="Times New Roman" w:eastAsia="宋体" w:cs="Times New Roman"/>
                      <w:b/>
                      <w:bCs/>
                      <w:color w:val="auto"/>
                      <w:kern w:val="2"/>
                      <w:sz w:val="18"/>
                      <w:szCs w:val="18"/>
                      <w:highlight w:val="none"/>
                      <w:lang w:val="en-US" w:eastAsia="zh-CN" w:bidi="ar-SA"/>
                    </w:rPr>
                  </w:pPr>
                  <w:r>
                    <w:rPr>
                      <w:rFonts w:hint="default" w:ascii="Times New Roman" w:hAnsi="Times New Roman" w:eastAsia="宋体" w:cs="Times New Roman"/>
                      <w:b/>
                      <w:bCs/>
                      <w:color w:val="auto"/>
                      <w:kern w:val="2"/>
                      <w:sz w:val="18"/>
                      <w:szCs w:val="18"/>
                      <w:highlight w:val="none"/>
                      <w:lang w:val="en-US" w:eastAsia="zh-CN" w:bidi="ar-SA"/>
                    </w:rPr>
                    <w:t>序号</w:t>
                  </w:r>
                </w:p>
              </w:tc>
              <w:tc>
                <w:tcPr>
                  <w:tcW w:w="3210" w:type="dxa"/>
                  <w:shd w:val="clear" w:color="auto" w:fill="auto"/>
                  <w:tcMar>
                    <w:top w:w="0" w:type="dxa"/>
                    <w:left w:w="28" w:type="dxa"/>
                    <w:bottom w:w="0" w:type="dxa"/>
                    <w:right w:w="28" w:type="dxa"/>
                  </w:tcMar>
                  <w:vAlign w:val="center"/>
                </w:tcPr>
                <w:p w14:paraId="4AF0FBF8">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right="0"/>
                    <w:jc w:val="center"/>
                    <w:textAlignment w:val="auto"/>
                    <w:rPr>
                      <w:rFonts w:hint="eastAsia" w:ascii="Times New Roman" w:hAnsi="Times New Roman" w:eastAsia="宋体" w:cs="Times New Roman"/>
                      <w:b/>
                      <w:bCs/>
                      <w:color w:val="auto"/>
                      <w:kern w:val="2"/>
                      <w:sz w:val="18"/>
                      <w:szCs w:val="18"/>
                      <w:highlight w:val="none"/>
                      <w:lang w:val="en-US" w:eastAsia="zh-CN" w:bidi="ar-SA"/>
                    </w:rPr>
                  </w:pPr>
                  <w:r>
                    <w:rPr>
                      <w:rFonts w:hint="eastAsia" w:ascii="Times New Roman" w:hAnsi="Times New Roman" w:eastAsia="宋体" w:cs="Times New Roman"/>
                      <w:b/>
                      <w:bCs/>
                      <w:color w:val="auto"/>
                      <w:kern w:val="2"/>
                      <w:sz w:val="18"/>
                      <w:szCs w:val="18"/>
                      <w:highlight w:val="none"/>
                      <w:lang w:val="en-US" w:eastAsia="zh-CN" w:bidi="ar-SA"/>
                    </w:rPr>
                    <w:t>文件要求</w:t>
                  </w:r>
                </w:p>
              </w:tc>
              <w:tc>
                <w:tcPr>
                  <w:tcW w:w="3495" w:type="dxa"/>
                  <w:shd w:val="clear" w:color="auto" w:fill="auto"/>
                  <w:tcMar>
                    <w:top w:w="0" w:type="dxa"/>
                    <w:left w:w="28" w:type="dxa"/>
                    <w:bottom w:w="0" w:type="dxa"/>
                    <w:right w:w="28" w:type="dxa"/>
                  </w:tcMar>
                  <w:vAlign w:val="center"/>
                </w:tcPr>
                <w:p w14:paraId="1799134B">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right="0"/>
                    <w:jc w:val="center"/>
                    <w:textAlignment w:val="auto"/>
                    <w:rPr>
                      <w:rFonts w:hint="eastAsia" w:ascii="Times New Roman" w:hAnsi="Times New Roman" w:eastAsia="宋体" w:cs="Times New Roman"/>
                      <w:b/>
                      <w:bCs/>
                      <w:color w:val="auto"/>
                      <w:kern w:val="2"/>
                      <w:sz w:val="18"/>
                      <w:szCs w:val="18"/>
                      <w:highlight w:val="none"/>
                      <w:lang w:val="en-US" w:eastAsia="zh-CN" w:bidi="ar-SA"/>
                    </w:rPr>
                  </w:pPr>
                  <w:r>
                    <w:rPr>
                      <w:rFonts w:hint="eastAsia" w:ascii="Times New Roman" w:hAnsi="Times New Roman" w:eastAsia="宋体" w:cs="Times New Roman"/>
                      <w:b/>
                      <w:bCs/>
                      <w:color w:val="auto"/>
                      <w:kern w:val="2"/>
                      <w:sz w:val="18"/>
                      <w:szCs w:val="18"/>
                      <w:highlight w:val="none"/>
                      <w:lang w:val="en-US" w:eastAsia="zh-CN" w:bidi="ar-SA"/>
                    </w:rPr>
                    <w:t>项目情况</w:t>
                  </w:r>
                </w:p>
              </w:tc>
              <w:tc>
                <w:tcPr>
                  <w:tcW w:w="800" w:type="dxa"/>
                  <w:tcMar>
                    <w:top w:w="0" w:type="dxa"/>
                    <w:left w:w="28" w:type="dxa"/>
                    <w:bottom w:w="0" w:type="dxa"/>
                    <w:right w:w="28" w:type="dxa"/>
                  </w:tcMar>
                  <w:vAlign w:val="center"/>
                </w:tcPr>
                <w:p w14:paraId="3EEBCA96">
                  <w:pPr>
                    <w:pStyle w:val="128"/>
                    <w:keepNext w:val="0"/>
                    <w:keepLines w:val="0"/>
                    <w:pageBreakBefore w:val="0"/>
                    <w:widowControl w:val="0"/>
                    <w:suppressLineNumbers w:val="0"/>
                    <w:kinsoku/>
                    <w:wordWrap/>
                    <w:overflowPunct/>
                    <w:topLinePunct w:val="0"/>
                    <w:autoSpaceDE/>
                    <w:autoSpaceDN/>
                    <w:bidi w:val="0"/>
                    <w:adjustRightInd/>
                    <w:snapToGrid/>
                    <w:spacing w:before="0" w:beforeLines="0" w:beforeAutospacing="0" w:after="0" w:afterAutospacing="0" w:line="240" w:lineRule="auto"/>
                    <w:ind w:left="0" w:right="0"/>
                    <w:jc w:val="center"/>
                    <w:textAlignment w:val="auto"/>
                    <w:rPr>
                      <w:rFonts w:hint="eastAsia"/>
                      <w:b/>
                      <w:bCs/>
                      <w:color w:val="auto"/>
                      <w:highlight w:val="none"/>
                      <w:vertAlign w:val="baseline"/>
                    </w:rPr>
                  </w:pPr>
                  <w:r>
                    <w:rPr>
                      <w:rFonts w:hint="eastAsia" w:ascii="Times New Roman" w:hAnsi="Times New Roman" w:eastAsia="宋体" w:cs="Times New Roman"/>
                      <w:b/>
                      <w:bCs/>
                      <w:color w:val="auto"/>
                      <w:kern w:val="2"/>
                      <w:sz w:val="18"/>
                      <w:szCs w:val="18"/>
                      <w:highlight w:val="none"/>
                      <w:lang w:val="en-US" w:eastAsia="zh-CN" w:bidi="ar-SA"/>
                    </w:rPr>
                    <w:t>相符性</w:t>
                  </w:r>
                </w:p>
              </w:tc>
            </w:tr>
            <w:tr w14:paraId="4CB6B45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180" w:type="dxa"/>
                  <w:gridSpan w:val="4"/>
                  <w:tcMar>
                    <w:top w:w="0" w:type="dxa"/>
                    <w:left w:w="28" w:type="dxa"/>
                    <w:bottom w:w="0" w:type="dxa"/>
                    <w:right w:w="28" w:type="dxa"/>
                  </w:tcMar>
                  <w:vAlign w:val="center"/>
                </w:tcPr>
                <w:p w14:paraId="2274387B">
                  <w:pPr>
                    <w:pStyle w:val="128"/>
                    <w:keepNext w:val="0"/>
                    <w:keepLines w:val="0"/>
                    <w:pageBreakBefore w:val="0"/>
                    <w:widowControl w:val="0"/>
                    <w:suppressLineNumbers w:val="0"/>
                    <w:kinsoku/>
                    <w:wordWrap/>
                    <w:overflowPunct/>
                    <w:topLinePunct w:val="0"/>
                    <w:autoSpaceDE/>
                    <w:autoSpaceDN/>
                    <w:bidi w:val="0"/>
                    <w:adjustRightInd/>
                    <w:snapToGrid/>
                    <w:spacing w:before="0" w:beforeLines="0" w:beforeAutospacing="0" w:after="0" w:afterAutospacing="0" w:line="240" w:lineRule="auto"/>
                    <w:ind w:left="0" w:right="0"/>
                    <w:jc w:val="center"/>
                    <w:textAlignment w:val="auto"/>
                    <w:rPr>
                      <w:rFonts w:hint="eastAsia"/>
                      <w:color w:val="auto"/>
                      <w:highlight w:val="none"/>
                      <w:vertAlign w:val="baseline"/>
                    </w:rPr>
                  </w:pPr>
                  <w:r>
                    <w:rPr>
                      <w:rFonts w:hint="default" w:ascii="Times New Roman" w:hAnsi="Times New Roman" w:eastAsia="宋体" w:cs="Times New Roman"/>
                      <w:b/>
                      <w:bCs/>
                      <w:color w:val="auto"/>
                      <w:kern w:val="2"/>
                      <w:sz w:val="18"/>
                      <w:szCs w:val="18"/>
                      <w:highlight w:val="none"/>
                      <w:lang w:val="en-US" w:eastAsia="zh-CN" w:bidi="ar-SA"/>
                    </w:rPr>
                    <w:t>6.5.1 ABSL-1实验室（</w:t>
                  </w:r>
                  <w:r>
                    <w:rPr>
                      <w:rFonts w:hint="eastAsia" w:ascii="Times New Roman" w:hAnsi="Times New Roman" w:eastAsia="宋体" w:cs="Times New Roman"/>
                      <w:b/>
                      <w:bCs/>
                      <w:color w:val="auto"/>
                      <w:kern w:val="2"/>
                      <w:sz w:val="18"/>
                      <w:szCs w:val="18"/>
                      <w:highlight w:val="none"/>
                      <w:lang w:val="en-US" w:eastAsia="zh-CN" w:bidi="ar-SA"/>
                    </w:rPr>
                    <w:t>包含</w:t>
                  </w:r>
                  <w:r>
                    <w:rPr>
                      <w:rFonts w:hint="default" w:ascii="Times New Roman" w:hAnsi="Times New Roman" w:eastAsia="宋体" w:cs="Times New Roman"/>
                      <w:b/>
                      <w:bCs/>
                      <w:color w:val="auto"/>
                      <w:kern w:val="2"/>
                      <w:sz w:val="18"/>
                      <w:szCs w:val="18"/>
                      <w:highlight w:val="none"/>
                      <w:lang w:val="en-US" w:eastAsia="zh-CN" w:bidi="ar-SA"/>
                    </w:rPr>
                    <w:t>ABSL-2</w:t>
                  </w:r>
                  <w:r>
                    <w:rPr>
                      <w:rFonts w:hint="eastAsia" w:ascii="Times New Roman" w:hAnsi="Times New Roman" w:eastAsia="宋体" w:cs="Times New Roman"/>
                      <w:b/>
                      <w:bCs/>
                      <w:color w:val="auto"/>
                      <w:kern w:val="2"/>
                      <w:sz w:val="18"/>
                      <w:szCs w:val="18"/>
                      <w:highlight w:val="none"/>
                      <w:lang w:val="en-US" w:eastAsia="zh-CN" w:bidi="ar-SA"/>
                    </w:rPr>
                    <w:t>实验室要求</w:t>
                  </w:r>
                  <w:r>
                    <w:rPr>
                      <w:rFonts w:hint="default" w:ascii="Times New Roman" w:hAnsi="Times New Roman" w:eastAsia="宋体" w:cs="Times New Roman"/>
                      <w:b/>
                      <w:bCs/>
                      <w:color w:val="auto"/>
                      <w:kern w:val="2"/>
                      <w:sz w:val="18"/>
                      <w:szCs w:val="18"/>
                      <w:highlight w:val="none"/>
                      <w:lang w:val="en-US" w:eastAsia="zh-CN" w:bidi="ar-SA"/>
                    </w:rPr>
                    <w:t>）</w:t>
                  </w:r>
                </w:p>
              </w:tc>
            </w:tr>
            <w:tr w14:paraId="47BE7DF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75" w:type="dxa"/>
                  <w:tcMar>
                    <w:top w:w="0" w:type="dxa"/>
                    <w:left w:w="28" w:type="dxa"/>
                    <w:bottom w:w="0" w:type="dxa"/>
                    <w:right w:w="28" w:type="dxa"/>
                  </w:tcMar>
                  <w:vAlign w:val="center"/>
                </w:tcPr>
                <w:p w14:paraId="1662799C">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right="0"/>
                    <w:jc w:val="center"/>
                    <w:textAlignment w:val="auto"/>
                    <w:rPr>
                      <w:rFonts w:hint="eastAsia"/>
                      <w:color w:val="auto"/>
                      <w:highlight w:val="none"/>
                      <w:vertAlign w:val="baseline"/>
                    </w:rPr>
                  </w:pPr>
                  <w:r>
                    <w:rPr>
                      <w:rFonts w:hint="default" w:ascii="Times New Roman" w:hAnsi="Times New Roman" w:eastAsia="宋体" w:cs="Times New Roman"/>
                      <w:bCs w:val="0"/>
                      <w:color w:val="auto"/>
                      <w:kern w:val="2"/>
                      <w:sz w:val="18"/>
                      <w:szCs w:val="18"/>
                      <w:highlight w:val="none"/>
                      <w:lang w:val="en-US" w:eastAsia="zh-CN" w:bidi="ar-SA"/>
                    </w:rPr>
                    <w:fldChar w:fldCharType="begin"/>
                  </w:r>
                  <w:r>
                    <w:rPr>
                      <w:rFonts w:hint="default" w:ascii="Times New Roman" w:hAnsi="Times New Roman" w:eastAsia="宋体" w:cs="Times New Roman"/>
                      <w:bCs w:val="0"/>
                      <w:color w:val="auto"/>
                      <w:kern w:val="2"/>
                      <w:sz w:val="18"/>
                      <w:szCs w:val="18"/>
                      <w:highlight w:val="none"/>
                      <w:lang w:val="en-US" w:eastAsia="zh-CN" w:bidi="ar-SA"/>
                    </w:rPr>
                    <w:instrText xml:space="preserve"> HYPERLINK "file:///\\\\文字文稿3\\6.5.1.1" </w:instrText>
                  </w:r>
                  <w:r>
                    <w:rPr>
                      <w:rFonts w:hint="default" w:ascii="Times New Roman" w:hAnsi="Times New Roman" w:eastAsia="宋体" w:cs="Times New Roman"/>
                      <w:bCs w:val="0"/>
                      <w:color w:val="auto"/>
                      <w:kern w:val="2"/>
                      <w:sz w:val="18"/>
                      <w:szCs w:val="18"/>
                      <w:highlight w:val="none"/>
                      <w:lang w:val="en-US" w:eastAsia="zh-CN" w:bidi="ar-SA"/>
                    </w:rPr>
                    <w:fldChar w:fldCharType="separate"/>
                  </w:r>
                  <w:r>
                    <w:rPr>
                      <w:rFonts w:hint="default" w:ascii="Times New Roman" w:hAnsi="Times New Roman" w:eastAsia="宋体" w:cs="Times New Roman"/>
                      <w:bCs w:val="0"/>
                      <w:color w:val="auto"/>
                      <w:kern w:val="2"/>
                      <w:sz w:val="18"/>
                      <w:szCs w:val="18"/>
                      <w:highlight w:val="none"/>
                      <w:lang w:val="en-US" w:eastAsia="zh-CN" w:bidi="ar-SA"/>
                    </w:rPr>
                    <w:t>6.5.1.1</w:t>
                  </w:r>
                  <w:r>
                    <w:rPr>
                      <w:rFonts w:hint="default" w:ascii="Times New Roman" w:hAnsi="Times New Roman" w:eastAsia="宋体" w:cs="Times New Roman"/>
                      <w:bCs w:val="0"/>
                      <w:color w:val="auto"/>
                      <w:kern w:val="2"/>
                      <w:sz w:val="18"/>
                      <w:szCs w:val="18"/>
                      <w:highlight w:val="none"/>
                      <w:lang w:val="en-US" w:eastAsia="zh-CN" w:bidi="ar-SA"/>
                    </w:rPr>
                    <w:fldChar w:fldCharType="end"/>
                  </w:r>
                </w:p>
              </w:tc>
              <w:tc>
                <w:tcPr>
                  <w:tcW w:w="3210" w:type="dxa"/>
                  <w:tcMar>
                    <w:top w:w="0" w:type="dxa"/>
                    <w:left w:w="28" w:type="dxa"/>
                    <w:bottom w:w="0" w:type="dxa"/>
                    <w:right w:w="28" w:type="dxa"/>
                  </w:tcMar>
                  <w:vAlign w:val="center"/>
                </w:tcPr>
                <w:p w14:paraId="17034E2F">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right="0"/>
                    <w:jc w:val="both"/>
                    <w:textAlignment w:val="auto"/>
                    <w:rPr>
                      <w:rFonts w:hint="eastAsia"/>
                      <w:color w:val="auto"/>
                      <w:highlight w:val="none"/>
                      <w:vertAlign w:val="baseline"/>
                    </w:rPr>
                  </w:pPr>
                  <w:r>
                    <w:rPr>
                      <w:rFonts w:hint="eastAsia" w:ascii="Times New Roman" w:hAnsi="Times New Roman" w:eastAsia="宋体" w:cs="Times New Roman"/>
                      <w:bCs w:val="0"/>
                      <w:color w:val="auto"/>
                      <w:kern w:val="2"/>
                      <w:sz w:val="18"/>
                      <w:szCs w:val="18"/>
                      <w:highlight w:val="none"/>
                      <w:lang w:val="en-US" w:eastAsia="zh-CN" w:bidi="ar-SA"/>
                    </w:rPr>
                    <w:t>动物饲养间应与建筑物内的其他区域隔离。</w:t>
                  </w:r>
                </w:p>
              </w:tc>
              <w:tc>
                <w:tcPr>
                  <w:tcW w:w="3495" w:type="dxa"/>
                  <w:tcMar>
                    <w:top w:w="0" w:type="dxa"/>
                    <w:left w:w="28" w:type="dxa"/>
                    <w:bottom w:w="0" w:type="dxa"/>
                    <w:right w:w="28" w:type="dxa"/>
                  </w:tcMar>
                  <w:vAlign w:val="center"/>
                </w:tcPr>
                <w:p w14:paraId="2C3F1955">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right="0"/>
                    <w:jc w:val="both"/>
                    <w:textAlignment w:val="auto"/>
                    <w:rPr>
                      <w:rFonts w:hint="eastAsia"/>
                      <w:color w:val="auto"/>
                      <w:highlight w:val="none"/>
                      <w:vertAlign w:val="baseline"/>
                    </w:rPr>
                  </w:pPr>
                  <w:r>
                    <w:rPr>
                      <w:rFonts w:hint="eastAsia" w:ascii="Times New Roman" w:hAnsi="Times New Roman" w:eastAsia="宋体" w:cs="Times New Roman"/>
                      <w:bCs w:val="0"/>
                      <w:color w:val="auto"/>
                      <w:kern w:val="2"/>
                      <w:sz w:val="18"/>
                      <w:szCs w:val="18"/>
                      <w:highlight w:val="none"/>
                      <w:lang w:val="en-US" w:eastAsia="zh-CN" w:bidi="ar-SA"/>
                    </w:rPr>
                    <w:t>项目动物饲养间与建筑物内其他区域隔离。</w:t>
                  </w:r>
                </w:p>
              </w:tc>
              <w:tc>
                <w:tcPr>
                  <w:tcW w:w="800" w:type="dxa"/>
                  <w:vMerge w:val="restart"/>
                  <w:tcMar>
                    <w:top w:w="0" w:type="dxa"/>
                    <w:left w:w="28" w:type="dxa"/>
                    <w:bottom w:w="0" w:type="dxa"/>
                    <w:right w:w="28" w:type="dxa"/>
                  </w:tcMar>
                  <w:vAlign w:val="center"/>
                </w:tcPr>
                <w:p w14:paraId="2F1E61CF">
                  <w:pPr>
                    <w:pStyle w:val="128"/>
                    <w:keepNext w:val="0"/>
                    <w:keepLines w:val="0"/>
                    <w:pageBreakBefore w:val="0"/>
                    <w:widowControl w:val="0"/>
                    <w:suppressLineNumbers w:val="0"/>
                    <w:kinsoku/>
                    <w:wordWrap/>
                    <w:overflowPunct/>
                    <w:topLinePunct w:val="0"/>
                    <w:autoSpaceDE/>
                    <w:autoSpaceDN/>
                    <w:bidi w:val="0"/>
                    <w:adjustRightInd/>
                    <w:snapToGrid/>
                    <w:spacing w:before="0" w:beforeLines="0" w:beforeAutospacing="0" w:after="0" w:afterAutospacing="0" w:line="240" w:lineRule="auto"/>
                    <w:ind w:left="0" w:right="0"/>
                    <w:jc w:val="center"/>
                    <w:textAlignment w:val="auto"/>
                    <w:rPr>
                      <w:rFonts w:hint="eastAsia" w:eastAsia="宋体"/>
                      <w:color w:val="auto"/>
                      <w:highlight w:val="none"/>
                      <w:vertAlign w:val="baseline"/>
                      <w:lang w:val="en-US" w:eastAsia="zh-CN"/>
                    </w:rPr>
                  </w:pPr>
                  <w:r>
                    <w:rPr>
                      <w:rFonts w:hint="eastAsia"/>
                      <w:b w:val="0"/>
                      <w:bCs w:val="0"/>
                      <w:color w:val="auto"/>
                      <w:sz w:val="18"/>
                      <w:szCs w:val="18"/>
                      <w:highlight w:val="none"/>
                      <w:vertAlign w:val="baseline"/>
                      <w:lang w:val="en-US" w:eastAsia="zh-CN"/>
                    </w:rPr>
                    <w:t>相符</w:t>
                  </w:r>
                </w:p>
              </w:tc>
            </w:tr>
            <w:tr w14:paraId="2302363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75" w:type="dxa"/>
                  <w:tcMar>
                    <w:top w:w="0" w:type="dxa"/>
                    <w:left w:w="28" w:type="dxa"/>
                    <w:bottom w:w="0" w:type="dxa"/>
                    <w:right w:w="28" w:type="dxa"/>
                  </w:tcMar>
                  <w:vAlign w:val="center"/>
                </w:tcPr>
                <w:p w14:paraId="35E6E855">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right="0"/>
                    <w:jc w:val="center"/>
                    <w:textAlignment w:val="auto"/>
                    <w:rPr>
                      <w:rFonts w:hint="eastAsia"/>
                      <w:color w:val="auto"/>
                      <w:highlight w:val="none"/>
                      <w:vertAlign w:val="baseline"/>
                    </w:rPr>
                  </w:pPr>
                  <w:r>
                    <w:rPr>
                      <w:rFonts w:hint="default" w:ascii="Times New Roman" w:hAnsi="Times New Roman" w:eastAsia="宋体" w:cs="Times New Roman"/>
                      <w:bCs w:val="0"/>
                      <w:color w:val="auto"/>
                      <w:kern w:val="2"/>
                      <w:sz w:val="18"/>
                      <w:szCs w:val="18"/>
                      <w:highlight w:val="none"/>
                      <w:lang w:val="en-US" w:eastAsia="zh-CN" w:bidi="ar-SA"/>
                    </w:rPr>
                    <w:fldChar w:fldCharType="begin"/>
                  </w:r>
                  <w:r>
                    <w:rPr>
                      <w:rFonts w:hint="default" w:ascii="Times New Roman" w:hAnsi="Times New Roman" w:eastAsia="宋体" w:cs="Times New Roman"/>
                      <w:bCs w:val="0"/>
                      <w:color w:val="auto"/>
                      <w:kern w:val="2"/>
                      <w:sz w:val="18"/>
                      <w:szCs w:val="18"/>
                      <w:highlight w:val="none"/>
                      <w:lang w:val="en-US" w:eastAsia="zh-CN" w:bidi="ar-SA"/>
                    </w:rPr>
                    <w:instrText xml:space="preserve"> HYPERLINK "file:///\\\\文字文稿3\\6.5.1.2" </w:instrText>
                  </w:r>
                  <w:r>
                    <w:rPr>
                      <w:rFonts w:hint="default" w:ascii="Times New Roman" w:hAnsi="Times New Roman" w:eastAsia="宋体" w:cs="Times New Roman"/>
                      <w:bCs w:val="0"/>
                      <w:color w:val="auto"/>
                      <w:kern w:val="2"/>
                      <w:sz w:val="18"/>
                      <w:szCs w:val="18"/>
                      <w:highlight w:val="none"/>
                      <w:lang w:val="en-US" w:eastAsia="zh-CN" w:bidi="ar-SA"/>
                    </w:rPr>
                    <w:fldChar w:fldCharType="separate"/>
                  </w:r>
                  <w:r>
                    <w:rPr>
                      <w:rFonts w:hint="default" w:ascii="Times New Roman" w:hAnsi="Times New Roman" w:eastAsia="宋体" w:cs="Times New Roman"/>
                      <w:bCs w:val="0"/>
                      <w:color w:val="auto"/>
                      <w:kern w:val="2"/>
                      <w:sz w:val="18"/>
                      <w:szCs w:val="18"/>
                      <w:highlight w:val="none"/>
                      <w:lang w:val="en-US" w:eastAsia="zh-CN" w:bidi="ar-SA"/>
                    </w:rPr>
                    <w:t>6.5.1.2</w:t>
                  </w:r>
                  <w:r>
                    <w:rPr>
                      <w:rFonts w:hint="default" w:ascii="Times New Roman" w:hAnsi="Times New Roman" w:eastAsia="宋体" w:cs="Times New Roman"/>
                      <w:bCs w:val="0"/>
                      <w:color w:val="auto"/>
                      <w:kern w:val="2"/>
                      <w:sz w:val="18"/>
                      <w:szCs w:val="18"/>
                      <w:highlight w:val="none"/>
                      <w:lang w:val="en-US" w:eastAsia="zh-CN" w:bidi="ar-SA"/>
                    </w:rPr>
                    <w:fldChar w:fldCharType="end"/>
                  </w:r>
                </w:p>
              </w:tc>
              <w:tc>
                <w:tcPr>
                  <w:tcW w:w="3210" w:type="dxa"/>
                  <w:tcMar>
                    <w:top w:w="0" w:type="dxa"/>
                    <w:left w:w="28" w:type="dxa"/>
                    <w:bottom w:w="0" w:type="dxa"/>
                    <w:right w:w="28" w:type="dxa"/>
                  </w:tcMar>
                  <w:vAlign w:val="center"/>
                </w:tcPr>
                <w:p w14:paraId="5F66A525">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right="0"/>
                    <w:jc w:val="both"/>
                    <w:textAlignment w:val="auto"/>
                    <w:rPr>
                      <w:rFonts w:hint="eastAsia"/>
                      <w:color w:val="auto"/>
                      <w:highlight w:val="none"/>
                      <w:vertAlign w:val="baseline"/>
                    </w:rPr>
                  </w:pPr>
                  <w:r>
                    <w:rPr>
                      <w:rFonts w:hint="eastAsia" w:ascii="Times New Roman" w:hAnsi="Times New Roman" w:eastAsia="宋体" w:cs="Times New Roman"/>
                      <w:bCs w:val="0"/>
                      <w:color w:val="auto"/>
                      <w:kern w:val="2"/>
                      <w:sz w:val="18"/>
                      <w:szCs w:val="18"/>
                      <w:highlight w:val="none"/>
                      <w:lang w:val="en-US" w:eastAsia="zh-CN" w:bidi="ar-SA"/>
                    </w:rPr>
                    <w:t>动物饲养间的门应有可视窗，向里开；打开的门应能够自动关闭，需要时，可以锁上。</w:t>
                  </w:r>
                </w:p>
              </w:tc>
              <w:tc>
                <w:tcPr>
                  <w:tcW w:w="3495" w:type="dxa"/>
                  <w:tcMar>
                    <w:top w:w="0" w:type="dxa"/>
                    <w:left w:w="28" w:type="dxa"/>
                    <w:bottom w:w="0" w:type="dxa"/>
                    <w:right w:w="28" w:type="dxa"/>
                  </w:tcMar>
                  <w:vAlign w:val="center"/>
                </w:tcPr>
                <w:p w14:paraId="63DD1489">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right="0"/>
                    <w:jc w:val="both"/>
                    <w:textAlignment w:val="auto"/>
                    <w:rPr>
                      <w:rFonts w:hint="eastAsia"/>
                      <w:color w:val="auto"/>
                      <w:highlight w:val="none"/>
                      <w:vertAlign w:val="baseline"/>
                    </w:rPr>
                  </w:pPr>
                  <w:r>
                    <w:rPr>
                      <w:rFonts w:hint="eastAsia" w:ascii="Times New Roman" w:hAnsi="Times New Roman" w:eastAsia="宋体" w:cs="Times New Roman"/>
                      <w:bCs w:val="0"/>
                      <w:color w:val="auto"/>
                      <w:kern w:val="2"/>
                      <w:sz w:val="18"/>
                      <w:szCs w:val="18"/>
                      <w:highlight w:val="none"/>
                      <w:lang w:val="en-US" w:eastAsia="zh-CN" w:bidi="ar-SA"/>
                    </w:rPr>
                    <w:t>本</w:t>
                  </w:r>
                  <w:r>
                    <w:rPr>
                      <w:rFonts w:hint="default" w:ascii="Times New Roman" w:hAnsi="Times New Roman" w:eastAsia="宋体" w:cs="Times New Roman"/>
                      <w:bCs w:val="0"/>
                      <w:color w:val="auto"/>
                      <w:kern w:val="2"/>
                      <w:sz w:val="18"/>
                      <w:szCs w:val="18"/>
                      <w:highlight w:val="none"/>
                      <w:lang w:val="en-US" w:eastAsia="zh-CN" w:bidi="ar-SA"/>
                    </w:rPr>
                    <w:t>项目动物饲养间的</w:t>
                  </w:r>
                  <w:r>
                    <w:rPr>
                      <w:rFonts w:hint="eastAsia" w:ascii="Times New Roman" w:hAnsi="Times New Roman" w:eastAsia="宋体" w:cs="Times New Roman"/>
                      <w:bCs w:val="0"/>
                      <w:color w:val="auto"/>
                      <w:kern w:val="2"/>
                      <w:sz w:val="18"/>
                      <w:szCs w:val="18"/>
                      <w:highlight w:val="none"/>
                      <w:lang w:val="en-US" w:eastAsia="zh-CN" w:bidi="ar-SA"/>
                    </w:rPr>
                    <w:t>门均有可视窗，向里开，可自动关闭并锁定。</w:t>
                  </w:r>
                </w:p>
              </w:tc>
              <w:tc>
                <w:tcPr>
                  <w:tcW w:w="800" w:type="dxa"/>
                  <w:vMerge w:val="continue"/>
                  <w:tcMar>
                    <w:top w:w="0" w:type="dxa"/>
                    <w:left w:w="28" w:type="dxa"/>
                    <w:bottom w:w="0" w:type="dxa"/>
                    <w:right w:w="28" w:type="dxa"/>
                  </w:tcMar>
                  <w:vAlign w:val="center"/>
                </w:tcPr>
                <w:p w14:paraId="0C39E531">
                  <w:pPr>
                    <w:pStyle w:val="128"/>
                    <w:keepNext w:val="0"/>
                    <w:keepLines w:val="0"/>
                    <w:pageBreakBefore w:val="0"/>
                    <w:widowControl w:val="0"/>
                    <w:suppressLineNumbers w:val="0"/>
                    <w:kinsoku/>
                    <w:wordWrap/>
                    <w:overflowPunct/>
                    <w:topLinePunct w:val="0"/>
                    <w:autoSpaceDE/>
                    <w:autoSpaceDN/>
                    <w:bidi w:val="0"/>
                    <w:adjustRightInd/>
                    <w:snapToGrid/>
                    <w:spacing w:before="0" w:beforeLines="0" w:beforeAutospacing="0" w:after="0" w:afterAutospacing="0" w:line="240" w:lineRule="auto"/>
                    <w:ind w:left="0" w:right="0"/>
                    <w:jc w:val="center"/>
                    <w:textAlignment w:val="auto"/>
                    <w:rPr>
                      <w:rFonts w:hint="eastAsia"/>
                      <w:color w:val="auto"/>
                      <w:highlight w:val="none"/>
                      <w:vertAlign w:val="baseline"/>
                    </w:rPr>
                  </w:pPr>
                </w:p>
              </w:tc>
            </w:tr>
            <w:tr w14:paraId="6137357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75" w:type="dxa"/>
                  <w:tcMar>
                    <w:top w:w="0" w:type="dxa"/>
                    <w:left w:w="28" w:type="dxa"/>
                    <w:bottom w:w="0" w:type="dxa"/>
                    <w:right w:w="28" w:type="dxa"/>
                  </w:tcMar>
                  <w:vAlign w:val="center"/>
                </w:tcPr>
                <w:p w14:paraId="2E6A9181">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right="0"/>
                    <w:jc w:val="center"/>
                    <w:textAlignment w:val="auto"/>
                    <w:rPr>
                      <w:rFonts w:hint="eastAsia"/>
                      <w:color w:val="auto"/>
                      <w:highlight w:val="none"/>
                      <w:vertAlign w:val="baseline"/>
                    </w:rPr>
                  </w:pPr>
                  <w:r>
                    <w:rPr>
                      <w:rFonts w:hint="default" w:ascii="Times New Roman" w:hAnsi="Times New Roman" w:eastAsia="宋体" w:cs="Times New Roman"/>
                      <w:bCs w:val="0"/>
                      <w:color w:val="auto"/>
                      <w:kern w:val="2"/>
                      <w:sz w:val="18"/>
                      <w:szCs w:val="18"/>
                      <w:highlight w:val="none"/>
                      <w:lang w:val="en-US" w:eastAsia="zh-CN" w:bidi="ar-SA"/>
                    </w:rPr>
                    <w:fldChar w:fldCharType="begin"/>
                  </w:r>
                  <w:r>
                    <w:rPr>
                      <w:rFonts w:hint="default" w:ascii="Times New Roman" w:hAnsi="Times New Roman" w:eastAsia="宋体" w:cs="Times New Roman"/>
                      <w:bCs w:val="0"/>
                      <w:color w:val="auto"/>
                      <w:kern w:val="2"/>
                      <w:sz w:val="18"/>
                      <w:szCs w:val="18"/>
                      <w:highlight w:val="none"/>
                      <w:lang w:val="en-US" w:eastAsia="zh-CN" w:bidi="ar-SA"/>
                    </w:rPr>
                    <w:instrText xml:space="preserve"> HYPERLINK "file:///\\\\文字文稿3\\6.5.1.3" </w:instrText>
                  </w:r>
                  <w:r>
                    <w:rPr>
                      <w:rFonts w:hint="default" w:ascii="Times New Roman" w:hAnsi="Times New Roman" w:eastAsia="宋体" w:cs="Times New Roman"/>
                      <w:bCs w:val="0"/>
                      <w:color w:val="auto"/>
                      <w:kern w:val="2"/>
                      <w:sz w:val="18"/>
                      <w:szCs w:val="18"/>
                      <w:highlight w:val="none"/>
                      <w:lang w:val="en-US" w:eastAsia="zh-CN" w:bidi="ar-SA"/>
                    </w:rPr>
                    <w:fldChar w:fldCharType="separate"/>
                  </w:r>
                  <w:r>
                    <w:rPr>
                      <w:rFonts w:hint="default" w:ascii="Times New Roman" w:hAnsi="Times New Roman" w:eastAsia="宋体" w:cs="Times New Roman"/>
                      <w:bCs w:val="0"/>
                      <w:color w:val="auto"/>
                      <w:kern w:val="2"/>
                      <w:sz w:val="18"/>
                      <w:szCs w:val="18"/>
                      <w:highlight w:val="none"/>
                      <w:lang w:val="en-US" w:eastAsia="zh-CN" w:bidi="ar-SA"/>
                    </w:rPr>
                    <w:t>6.5.1.3</w:t>
                  </w:r>
                  <w:r>
                    <w:rPr>
                      <w:rFonts w:hint="default" w:ascii="Times New Roman" w:hAnsi="Times New Roman" w:eastAsia="宋体" w:cs="Times New Roman"/>
                      <w:bCs w:val="0"/>
                      <w:color w:val="auto"/>
                      <w:kern w:val="2"/>
                      <w:sz w:val="18"/>
                      <w:szCs w:val="18"/>
                      <w:highlight w:val="none"/>
                      <w:lang w:val="en-US" w:eastAsia="zh-CN" w:bidi="ar-SA"/>
                    </w:rPr>
                    <w:fldChar w:fldCharType="end"/>
                  </w:r>
                </w:p>
              </w:tc>
              <w:tc>
                <w:tcPr>
                  <w:tcW w:w="3210" w:type="dxa"/>
                  <w:tcMar>
                    <w:top w:w="0" w:type="dxa"/>
                    <w:left w:w="28" w:type="dxa"/>
                    <w:bottom w:w="0" w:type="dxa"/>
                    <w:right w:w="28" w:type="dxa"/>
                  </w:tcMar>
                  <w:vAlign w:val="center"/>
                </w:tcPr>
                <w:p w14:paraId="7B752D47">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right="0"/>
                    <w:jc w:val="both"/>
                    <w:textAlignment w:val="auto"/>
                    <w:rPr>
                      <w:rFonts w:hint="eastAsia"/>
                      <w:color w:val="auto"/>
                      <w:highlight w:val="none"/>
                      <w:vertAlign w:val="baseline"/>
                    </w:rPr>
                  </w:pPr>
                  <w:r>
                    <w:rPr>
                      <w:rFonts w:hint="eastAsia" w:ascii="Times New Roman" w:hAnsi="Times New Roman" w:eastAsia="宋体" w:cs="Times New Roman"/>
                      <w:bCs w:val="0"/>
                      <w:color w:val="auto"/>
                      <w:kern w:val="2"/>
                      <w:sz w:val="18"/>
                      <w:szCs w:val="18"/>
                      <w:highlight w:val="none"/>
                      <w:lang w:val="en-US" w:eastAsia="zh-CN" w:bidi="ar-SA"/>
                    </w:rPr>
                    <w:t>动物饲养间的工作表面应防水和易于消毒灭菌。</w:t>
                  </w:r>
                </w:p>
              </w:tc>
              <w:tc>
                <w:tcPr>
                  <w:tcW w:w="3495" w:type="dxa"/>
                  <w:tcMar>
                    <w:top w:w="0" w:type="dxa"/>
                    <w:left w:w="28" w:type="dxa"/>
                    <w:bottom w:w="0" w:type="dxa"/>
                    <w:right w:w="28" w:type="dxa"/>
                  </w:tcMar>
                  <w:vAlign w:val="center"/>
                </w:tcPr>
                <w:p w14:paraId="7A2004E9">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right="0"/>
                    <w:jc w:val="both"/>
                    <w:textAlignment w:val="auto"/>
                    <w:rPr>
                      <w:rFonts w:hint="eastAsia"/>
                      <w:color w:val="auto"/>
                      <w:highlight w:val="none"/>
                      <w:vertAlign w:val="baseline"/>
                    </w:rPr>
                  </w:pPr>
                  <w:r>
                    <w:rPr>
                      <w:rFonts w:hint="eastAsia" w:ascii="Times New Roman" w:hAnsi="Times New Roman" w:eastAsia="宋体" w:cs="Times New Roman"/>
                      <w:bCs w:val="0"/>
                      <w:color w:val="auto"/>
                      <w:kern w:val="2"/>
                      <w:sz w:val="18"/>
                      <w:szCs w:val="18"/>
                      <w:highlight w:val="none"/>
                      <w:lang w:val="en-US" w:eastAsia="zh-CN" w:bidi="ar-SA"/>
                    </w:rPr>
                    <w:t>饲养间</w:t>
                  </w:r>
                  <w:r>
                    <w:rPr>
                      <w:rFonts w:hint="default" w:ascii="Times New Roman" w:hAnsi="Times New Roman" w:eastAsia="宋体" w:cs="Times New Roman"/>
                      <w:bCs w:val="0"/>
                      <w:color w:val="auto"/>
                      <w:kern w:val="2"/>
                      <w:sz w:val="18"/>
                      <w:szCs w:val="18"/>
                      <w:highlight w:val="none"/>
                      <w:lang w:val="en-US" w:eastAsia="zh-CN" w:bidi="ar-SA"/>
                    </w:rPr>
                    <w:t>的工作表面均放水和易于消毒灭菌</w:t>
                  </w:r>
                  <w:r>
                    <w:rPr>
                      <w:rFonts w:hint="eastAsia" w:cs="Times New Roman"/>
                      <w:bCs w:val="0"/>
                      <w:color w:val="auto"/>
                      <w:kern w:val="2"/>
                      <w:sz w:val="18"/>
                      <w:szCs w:val="18"/>
                      <w:highlight w:val="none"/>
                      <w:lang w:val="en-US" w:eastAsia="zh-CN" w:bidi="ar-SA"/>
                    </w:rPr>
                    <w:t>。</w:t>
                  </w:r>
                </w:p>
              </w:tc>
              <w:tc>
                <w:tcPr>
                  <w:tcW w:w="800" w:type="dxa"/>
                  <w:vMerge w:val="continue"/>
                  <w:tcMar>
                    <w:top w:w="0" w:type="dxa"/>
                    <w:left w:w="28" w:type="dxa"/>
                    <w:bottom w:w="0" w:type="dxa"/>
                    <w:right w:w="28" w:type="dxa"/>
                  </w:tcMar>
                  <w:vAlign w:val="center"/>
                </w:tcPr>
                <w:p w14:paraId="3D722A1A">
                  <w:pPr>
                    <w:pStyle w:val="128"/>
                    <w:keepNext w:val="0"/>
                    <w:keepLines w:val="0"/>
                    <w:pageBreakBefore w:val="0"/>
                    <w:widowControl w:val="0"/>
                    <w:suppressLineNumbers w:val="0"/>
                    <w:kinsoku/>
                    <w:wordWrap/>
                    <w:overflowPunct/>
                    <w:topLinePunct w:val="0"/>
                    <w:autoSpaceDE/>
                    <w:autoSpaceDN/>
                    <w:bidi w:val="0"/>
                    <w:adjustRightInd/>
                    <w:snapToGrid/>
                    <w:spacing w:before="0" w:beforeLines="0" w:beforeAutospacing="0" w:after="0" w:afterAutospacing="0" w:line="240" w:lineRule="auto"/>
                    <w:ind w:left="0" w:right="0"/>
                    <w:jc w:val="center"/>
                    <w:textAlignment w:val="auto"/>
                    <w:rPr>
                      <w:rFonts w:hint="eastAsia"/>
                      <w:color w:val="auto"/>
                      <w:highlight w:val="none"/>
                      <w:vertAlign w:val="baseline"/>
                    </w:rPr>
                  </w:pPr>
                </w:p>
              </w:tc>
            </w:tr>
            <w:tr w14:paraId="4844820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75" w:type="dxa"/>
                  <w:tcMar>
                    <w:top w:w="0" w:type="dxa"/>
                    <w:left w:w="28" w:type="dxa"/>
                    <w:bottom w:w="0" w:type="dxa"/>
                    <w:right w:w="28" w:type="dxa"/>
                  </w:tcMar>
                  <w:vAlign w:val="center"/>
                </w:tcPr>
                <w:p w14:paraId="3DD785DD">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right="0"/>
                    <w:jc w:val="center"/>
                    <w:textAlignment w:val="auto"/>
                    <w:rPr>
                      <w:rFonts w:hint="eastAsia"/>
                      <w:color w:val="auto"/>
                      <w:highlight w:val="none"/>
                      <w:vertAlign w:val="baseline"/>
                    </w:rPr>
                  </w:pPr>
                  <w:r>
                    <w:rPr>
                      <w:rFonts w:hint="default" w:ascii="Times New Roman" w:hAnsi="Times New Roman" w:eastAsia="宋体" w:cs="Times New Roman"/>
                      <w:bCs w:val="0"/>
                      <w:color w:val="auto"/>
                      <w:kern w:val="2"/>
                      <w:sz w:val="18"/>
                      <w:szCs w:val="18"/>
                      <w:highlight w:val="none"/>
                      <w:lang w:val="en-US" w:eastAsia="zh-CN" w:bidi="ar-SA"/>
                    </w:rPr>
                    <w:fldChar w:fldCharType="begin"/>
                  </w:r>
                  <w:r>
                    <w:rPr>
                      <w:rFonts w:hint="default" w:ascii="Times New Roman" w:hAnsi="Times New Roman" w:eastAsia="宋体" w:cs="Times New Roman"/>
                      <w:bCs w:val="0"/>
                      <w:color w:val="auto"/>
                      <w:kern w:val="2"/>
                      <w:sz w:val="18"/>
                      <w:szCs w:val="18"/>
                      <w:highlight w:val="none"/>
                      <w:lang w:val="en-US" w:eastAsia="zh-CN" w:bidi="ar-SA"/>
                    </w:rPr>
                    <w:instrText xml:space="preserve"> HYPERLINK "file:///\\\\文字文稿3\\6.5.1.4" </w:instrText>
                  </w:r>
                  <w:r>
                    <w:rPr>
                      <w:rFonts w:hint="default" w:ascii="Times New Roman" w:hAnsi="Times New Roman" w:eastAsia="宋体" w:cs="Times New Roman"/>
                      <w:bCs w:val="0"/>
                      <w:color w:val="auto"/>
                      <w:kern w:val="2"/>
                      <w:sz w:val="18"/>
                      <w:szCs w:val="18"/>
                      <w:highlight w:val="none"/>
                      <w:lang w:val="en-US" w:eastAsia="zh-CN" w:bidi="ar-SA"/>
                    </w:rPr>
                    <w:fldChar w:fldCharType="separate"/>
                  </w:r>
                  <w:r>
                    <w:rPr>
                      <w:rFonts w:hint="default" w:ascii="Times New Roman" w:hAnsi="Times New Roman" w:eastAsia="宋体" w:cs="Times New Roman"/>
                      <w:bCs w:val="0"/>
                      <w:color w:val="auto"/>
                      <w:kern w:val="2"/>
                      <w:sz w:val="18"/>
                      <w:szCs w:val="18"/>
                      <w:highlight w:val="none"/>
                      <w:lang w:val="en-US" w:eastAsia="zh-CN" w:bidi="ar-SA"/>
                    </w:rPr>
                    <w:t>6.5.1.4</w:t>
                  </w:r>
                  <w:r>
                    <w:rPr>
                      <w:rFonts w:hint="default" w:ascii="Times New Roman" w:hAnsi="Times New Roman" w:eastAsia="宋体" w:cs="Times New Roman"/>
                      <w:bCs w:val="0"/>
                      <w:color w:val="auto"/>
                      <w:kern w:val="2"/>
                      <w:sz w:val="18"/>
                      <w:szCs w:val="18"/>
                      <w:highlight w:val="none"/>
                      <w:lang w:val="en-US" w:eastAsia="zh-CN" w:bidi="ar-SA"/>
                    </w:rPr>
                    <w:fldChar w:fldCharType="end"/>
                  </w:r>
                </w:p>
              </w:tc>
              <w:tc>
                <w:tcPr>
                  <w:tcW w:w="3210" w:type="dxa"/>
                  <w:tcMar>
                    <w:top w:w="0" w:type="dxa"/>
                    <w:left w:w="28" w:type="dxa"/>
                    <w:bottom w:w="0" w:type="dxa"/>
                    <w:right w:w="28" w:type="dxa"/>
                  </w:tcMar>
                  <w:vAlign w:val="center"/>
                </w:tcPr>
                <w:p w14:paraId="3C213D09">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right="0"/>
                    <w:jc w:val="both"/>
                    <w:textAlignment w:val="auto"/>
                    <w:rPr>
                      <w:rFonts w:hint="eastAsia"/>
                      <w:color w:val="auto"/>
                      <w:highlight w:val="none"/>
                      <w:vertAlign w:val="baseline"/>
                    </w:rPr>
                  </w:pPr>
                  <w:r>
                    <w:rPr>
                      <w:rFonts w:hint="eastAsia" w:ascii="Times New Roman" w:hAnsi="Times New Roman" w:eastAsia="宋体" w:cs="Times New Roman"/>
                      <w:bCs w:val="0"/>
                      <w:color w:val="auto"/>
                      <w:kern w:val="2"/>
                      <w:sz w:val="18"/>
                      <w:szCs w:val="18"/>
                      <w:highlight w:val="none"/>
                      <w:lang w:val="en-US" w:eastAsia="zh-CN" w:bidi="ar-SA"/>
                    </w:rPr>
                    <w:t>不宜安装窗户。如果安装窗户，所有窗户应密闭；需要时，窗户外部应装防护网。</w:t>
                  </w:r>
                </w:p>
              </w:tc>
              <w:tc>
                <w:tcPr>
                  <w:tcW w:w="3495" w:type="dxa"/>
                  <w:tcMar>
                    <w:top w:w="0" w:type="dxa"/>
                    <w:left w:w="28" w:type="dxa"/>
                    <w:bottom w:w="0" w:type="dxa"/>
                    <w:right w:w="28" w:type="dxa"/>
                  </w:tcMar>
                  <w:vAlign w:val="center"/>
                </w:tcPr>
                <w:p w14:paraId="587611D8">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right="0"/>
                    <w:jc w:val="both"/>
                    <w:textAlignment w:val="auto"/>
                    <w:rPr>
                      <w:rFonts w:hint="eastAsia"/>
                      <w:color w:val="auto"/>
                      <w:highlight w:val="none"/>
                      <w:vertAlign w:val="baseline"/>
                    </w:rPr>
                  </w:pPr>
                  <w:r>
                    <w:rPr>
                      <w:rFonts w:hint="eastAsia" w:ascii="Times New Roman" w:hAnsi="Times New Roman" w:eastAsia="宋体" w:cs="Times New Roman"/>
                      <w:bCs w:val="0"/>
                      <w:color w:val="auto"/>
                      <w:kern w:val="2"/>
                      <w:sz w:val="18"/>
                      <w:szCs w:val="18"/>
                      <w:highlight w:val="none"/>
                      <w:lang w:val="en-US" w:eastAsia="zh-CN" w:bidi="ar-SA"/>
                    </w:rPr>
                    <w:t>实验室</w:t>
                  </w:r>
                  <w:r>
                    <w:rPr>
                      <w:rFonts w:hint="default" w:ascii="Times New Roman" w:hAnsi="Times New Roman" w:eastAsia="宋体" w:cs="Times New Roman"/>
                      <w:bCs w:val="0"/>
                      <w:color w:val="auto"/>
                      <w:kern w:val="2"/>
                      <w:sz w:val="18"/>
                      <w:szCs w:val="18"/>
                      <w:highlight w:val="none"/>
                      <w:lang w:val="en-US" w:eastAsia="zh-CN" w:bidi="ar-SA"/>
                    </w:rPr>
                    <w:t>窗口均密闭</w:t>
                  </w:r>
                  <w:r>
                    <w:rPr>
                      <w:rFonts w:hint="eastAsia" w:cs="Times New Roman"/>
                      <w:bCs w:val="0"/>
                      <w:color w:val="auto"/>
                      <w:kern w:val="2"/>
                      <w:sz w:val="18"/>
                      <w:szCs w:val="18"/>
                      <w:highlight w:val="none"/>
                      <w:lang w:val="en-US" w:eastAsia="zh-CN" w:bidi="ar-SA"/>
                    </w:rPr>
                    <w:t>。</w:t>
                  </w:r>
                </w:p>
              </w:tc>
              <w:tc>
                <w:tcPr>
                  <w:tcW w:w="800" w:type="dxa"/>
                  <w:vMerge w:val="continue"/>
                  <w:tcMar>
                    <w:top w:w="0" w:type="dxa"/>
                    <w:left w:w="28" w:type="dxa"/>
                    <w:bottom w:w="0" w:type="dxa"/>
                    <w:right w:w="28" w:type="dxa"/>
                  </w:tcMar>
                  <w:vAlign w:val="center"/>
                </w:tcPr>
                <w:p w14:paraId="1F6AE682">
                  <w:pPr>
                    <w:pStyle w:val="128"/>
                    <w:keepNext w:val="0"/>
                    <w:keepLines w:val="0"/>
                    <w:pageBreakBefore w:val="0"/>
                    <w:widowControl w:val="0"/>
                    <w:suppressLineNumbers w:val="0"/>
                    <w:kinsoku/>
                    <w:wordWrap/>
                    <w:overflowPunct/>
                    <w:topLinePunct w:val="0"/>
                    <w:autoSpaceDE/>
                    <w:autoSpaceDN/>
                    <w:bidi w:val="0"/>
                    <w:adjustRightInd/>
                    <w:snapToGrid/>
                    <w:spacing w:before="0" w:beforeLines="0" w:beforeAutospacing="0" w:after="0" w:afterAutospacing="0" w:line="240" w:lineRule="auto"/>
                    <w:ind w:left="0" w:right="0"/>
                    <w:jc w:val="center"/>
                    <w:textAlignment w:val="auto"/>
                    <w:rPr>
                      <w:rFonts w:hint="eastAsia"/>
                      <w:color w:val="auto"/>
                      <w:highlight w:val="none"/>
                      <w:vertAlign w:val="baseline"/>
                    </w:rPr>
                  </w:pPr>
                </w:p>
              </w:tc>
            </w:tr>
            <w:tr w14:paraId="1302951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75" w:type="dxa"/>
                  <w:tcMar>
                    <w:top w:w="0" w:type="dxa"/>
                    <w:left w:w="28" w:type="dxa"/>
                    <w:bottom w:w="0" w:type="dxa"/>
                    <w:right w:w="28" w:type="dxa"/>
                  </w:tcMar>
                  <w:vAlign w:val="center"/>
                </w:tcPr>
                <w:p w14:paraId="790226B5">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right="0"/>
                    <w:jc w:val="center"/>
                    <w:textAlignment w:val="auto"/>
                    <w:rPr>
                      <w:rFonts w:hint="eastAsia"/>
                      <w:color w:val="auto"/>
                      <w:highlight w:val="none"/>
                      <w:vertAlign w:val="baseline"/>
                    </w:rPr>
                  </w:pPr>
                  <w:r>
                    <w:rPr>
                      <w:rFonts w:hint="default" w:ascii="Times New Roman" w:hAnsi="Times New Roman" w:eastAsia="宋体" w:cs="Times New Roman"/>
                      <w:bCs w:val="0"/>
                      <w:color w:val="auto"/>
                      <w:kern w:val="2"/>
                      <w:sz w:val="18"/>
                      <w:szCs w:val="18"/>
                      <w:highlight w:val="none"/>
                      <w:lang w:val="en-US" w:eastAsia="zh-CN" w:bidi="ar-SA"/>
                    </w:rPr>
                    <w:fldChar w:fldCharType="begin"/>
                  </w:r>
                  <w:r>
                    <w:rPr>
                      <w:rFonts w:hint="default" w:ascii="Times New Roman" w:hAnsi="Times New Roman" w:eastAsia="宋体" w:cs="Times New Roman"/>
                      <w:bCs w:val="0"/>
                      <w:color w:val="auto"/>
                      <w:kern w:val="2"/>
                      <w:sz w:val="18"/>
                      <w:szCs w:val="18"/>
                      <w:highlight w:val="none"/>
                      <w:lang w:val="en-US" w:eastAsia="zh-CN" w:bidi="ar-SA"/>
                    </w:rPr>
                    <w:instrText xml:space="preserve"> HYPERLINK "file:///\\\\文字文稿3\\6.5.1.5" </w:instrText>
                  </w:r>
                  <w:r>
                    <w:rPr>
                      <w:rFonts w:hint="default" w:ascii="Times New Roman" w:hAnsi="Times New Roman" w:eastAsia="宋体" w:cs="Times New Roman"/>
                      <w:bCs w:val="0"/>
                      <w:color w:val="auto"/>
                      <w:kern w:val="2"/>
                      <w:sz w:val="18"/>
                      <w:szCs w:val="18"/>
                      <w:highlight w:val="none"/>
                      <w:lang w:val="en-US" w:eastAsia="zh-CN" w:bidi="ar-SA"/>
                    </w:rPr>
                    <w:fldChar w:fldCharType="separate"/>
                  </w:r>
                  <w:r>
                    <w:rPr>
                      <w:rFonts w:hint="default" w:ascii="Times New Roman" w:hAnsi="Times New Roman" w:eastAsia="宋体" w:cs="Times New Roman"/>
                      <w:bCs w:val="0"/>
                      <w:color w:val="auto"/>
                      <w:kern w:val="2"/>
                      <w:sz w:val="18"/>
                      <w:szCs w:val="18"/>
                      <w:highlight w:val="none"/>
                      <w:lang w:val="en-US" w:eastAsia="zh-CN" w:bidi="ar-SA"/>
                    </w:rPr>
                    <w:t>6.5.1.5</w:t>
                  </w:r>
                  <w:r>
                    <w:rPr>
                      <w:rFonts w:hint="default" w:ascii="Times New Roman" w:hAnsi="Times New Roman" w:eastAsia="宋体" w:cs="Times New Roman"/>
                      <w:bCs w:val="0"/>
                      <w:color w:val="auto"/>
                      <w:kern w:val="2"/>
                      <w:sz w:val="18"/>
                      <w:szCs w:val="18"/>
                      <w:highlight w:val="none"/>
                      <w:lang w:val="en-US" w:eastAsia="zh-CN" w:bidi="ar-SA"/>
                    </w:rPr>
                    <w:fldChar w:fldCharType="end"/>
                  </w:r>
                </w:p>
              </w:tc>
              <w:tc>
                <w:tcPr>
                  <w:tcW w:w="3210" w:type="dxa"/>
                  <w:tcMar>
                    <w:top w:w="0" w:type="dxa"/>
                    <w:left w:w="28" w:type="dxa"/>
                    <w:bottom w:w="0" w:type="dxa"/>
                    <w:right w:w="28" w:type="dxa"/>
                  </w:tcMar>
                  <w:vAlign w:val="center"/>
                </w:tcPr>
                <w:p w14:paraId="51355B14">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right="0"/>
                    <w:jc w:val="both"/>
                    <w:textAlignment w:val="auto"/>
                    <w:rPr>
                      <w:rFonts w:hint="eastAsia"/>
                      <w:color w:val="auto"/>
                      <w:highlight w:val="none"/>
                      <w:vertAlign w:val="baseline"/>
                    </w:rPr>
                  </w:pPr>
                  <w:r>
                    <w:rPr>
                      <w:rFonts w:hint="eastAsia" w:ascii="Times New Roman" w:hAnsi="Times New Roman" w:eastAsia="宋体" w:cs="Times New Roman"/>
                      <w:bCs w:val="0"/>
                      <w:color w:val="auto"/>
                      <w:kern w:val="2"/>
                      <w:sz w:val="18"/>
                      <w:szCs w:val="18"/>
                      <w:highlight w:val="none"/>
                      <w:lang w:val="en-US" w:eastAsia="zh-CN" w:bidi="ar-SA"/>
                    </w:rPr>
                    <w:t>围护结构的强度应与所饲养的动物种类相适应。</w:t>
                  </w:r>
                </w:p>
              </w:tc>
              <w:tc>
                <w:tcPr>
                  <w:tcW w:w="3495" w:type="dxa"/>
                  <w:tcMar>
                    <w:top w:w="0" w:type="dxa"/>
                    <w:left w:w="28" w:type="dxa"/>
                    <w:bottom w:w="0" w:type="dxa"/>
                    <w:right w:w="28" w:type="dxa"/>
                  </w:tcMar>
                  <w:vAlign w:val="center"/>
                </w:tcPr>
                <w:p w14:paraId="09024E46">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right="0"/>
                    <w:jc w:val="both"/>
                    <w:textAlignment w:val="auto"/>
                    <w:rPr>
                      <w:rFonts w:hint="eastAsia"/>
                      <w:color w:val="auto"/>
                      <w:highlight w:val="none"/>
                      <w:vertAlign w:val="baseline"/>
                    </w:rPr>
                  </w:pPr>
                  <w:r>
                    <w:rPr>
                      <w:rFonts w:hint="eastAsia" w:ascii="Times New Roman" w:hAnsi="Times New Roman" w:eastAsia="宋体" w:cs="Times New Roman"/>
                      <w:bCs w:val="0"/>
                      <w:color w:val="auto"/>
                      <w:kern w:val="2"/>
                      <w:sz w:val="18"/>
                      <w:szCs w:val="18"/>
                      <w:highlight w:val="none"/>
                      <w:lang w:val="en-US" w:eastAsia="zh-CN" w:bidi="ar-SA"/>
                    </w:rPr>
                    <w:t>围护结构强度满足对应饲养</w:t>
                  </w:r>
                  <w:r>
                    <w:rPr>
                      <w:rFonts w:hint="default" w:ascii="Times New Roman" w:hAnsi="Times New Roman" w:eastAsia="宋体" w:cs="Times New Roman"/>
                      <w:bCs w:val="0"/>
                      <w:color w:val="auto"/>
                      <w:kern w:val="2"/>
                      <w:sz w:val="18"/>
                      <w:szCs w:val="18"/>
                      <w:highlight w:val="none"/>
                      <w:lang w:val="en-US" w:eastAsia="zh-CN" w:bidi="ar-SA"/>
                    </w:rPr>
                    <w:t>动物</w:t>
                  </w:r>
                  <w:r>
                    <w:rPr>
                      <w:rFonts w:hint="eastAsia" w:ascii="Times New Roman" w:hAnsi="Times New Roman" w:eastAsia="宋体" w:cs="Times New Roman"/>
                      <w:bCs w:val="0"/>
                      <w:color w:val="auto"/>
                      <w:kern w:val="2"/>
                      <w:sz w:val="18"/>
                      <w:szCs w:val="18"/>
                      <w:highlight w:val="none"/>
                      <w:lang w:val="en-US" w:eastAsia="zh-CN" w:bidi="ar-SA"/>
                    </w:rPr>
                    <w:t>要求。</w:t>
                  </w:r>
                </w:p>
              </w:tc>
              <w:tc>
                <w:tcPr>
                  <w:tcW w:w="800" w:type="dxa"/>
                  <w:vMerge w:val="continue"/>
                  <w:tcMar>
                    <w:top w:w="0" w:type="dxa"/>
                    <w:left w:w="28" w:type="dxa"/>
                    <w:bottom w:w="0" w:type="dxa"/>
                    <w:right w:w="28" w:type="dxa"/>
                  </w:tcMar>
                  <w:vAlign w:val="center"/>
                </w:tcPr>
                <w:p w14:paraId="1DACB234">
                  <w:pPr>
                    <w:pStyle w:val="128"/>
                    <w:keepNext w:val="0"/>
                    <w:keepLines w:val="0"/>
                    <w:pageBreakBefore w:val="0"/>
                    <w:widowControl w:val="0"/>
                    <w:suppressLineNumbers w:val="0"/>
                    <w:kinsoku/>
                    <w:wordWrap/>
                    <w:overflowPunct/>
                    <w:topLinePunct w:val="0"/>
                    <w:autoSpaceDE/>
                    <w:autoSpaceDN/>
                    <w:bidi w:val="0"/>
                    <w:adjustRightInd/>
                    <w:snapToGrid/>
                    <w:spacing w:before="0" w:beforeLines="0" w:beforeAutospacing="0" w:after="0" w:afterAutospacing="0" w:line="240" w:lineRule="auto"/>
                    <w:ind w:left="0" w:right="0"/>
                    <w:jc w:val="center"/>
                    <w:textAlignment w:val="auto"/>
                    <w:rPr>
                      <w:rFonts w:hint="eastAsia"/>
                      <w:color w:val="auto"/>
                      <w:highlight w:val="none"/>
                      <w:vertAlign w:val="baseline"/>
                    </w:rPr>
                  </w:pPr>
                </w:p>
              </w:tc>
            </w:tr>
            <w:tr w14:paraId="7A46904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75" w:type="dxa"/>
                  <w:tcMar>
                    <w:top w:w="0" w:type="dxa"/>
                    <w:left w:w="28" w:type="dxa"/>
                    <w:bottom w:w="0" w:type="dxa"/>
                    <w:right w:w="28" w:type="dxa"/>
                  </w:tcMar>
                  <w:vAlign w:val="center"/>
                </w:tcPr>
                <w:p w14:paraId="10BCDD38">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right="0"/>
                    <w:jc w:val="center"/>
                    <w:textAlignment w:val="auto"/>
                    <w:rPr>
                      <w:rFonts w:hint="eastAsia"/>
                      <w:color w:val="auto"/>
                      <w:highlight w:val="none"/>
                      <w:vertAlign w:val="baseline"/>
                    </w:rPr>
                  </w:pPr>
                  <w:r>
                    <w:rPr>
                      <w:rFonts w:hint="default" w:ascii="Times New Roman" w:hAnsi="Times New Roman" w:eastAsia="宋体" w:cs="Times New Roman"/>
                      <w:bCs w:val="0"/>
                      <w:color w:val="auto"/>
                      <w:kern w:val="2"/>
                      <w:sz w:val="18"/>
                      <w:szCs w:val="18"/>
                      <w:highlight w:val="none"/>
                      <w:lang w:val="en-US" w:eastAsia="zh-CN" w:bidi="ar-SA"/>
                    </w:rPr>
                    <w:fldChar w:fldCharType="begin"/>
                  </w:r>
                  <w:r>
                    <w:rPr>
                      <w:rFonts w:hint="default" w:ascii="Times New Roman" w:hAnsi="Times New Roman" w:eastAsia="宋体" w:cs="Times New Roman"/>
                      <w:bCs w:val="0"/>
                      <w:color w:val="auto"/>
                      <w:kern w:val="2"/>
                      <w:sz w:val="18"/>
                      <w:szCs w:val="18"/>
                      <w:highlight w:val="none"/>
                      <w:lang w:val="en-US" w:eastAsia="zh-CN" w:bidi="ar-SA"/>
                    </w:rPr>
                    <w:instrText xml:space="preserve"> HYPERLINK "file:///\\\\文字文稿3\\6.5.1.6" </w:instrText>
                  </w:r>
                  <w:r>
                    <w:rPr>
                      <w:rFonts w:hint="default" w:ascii="Times New Roman" w:hAnsi="Times New Roman" w:eastAsia="宋体" w:cs="Times New Roman"/>
                      <w:bCs w:val="0"/>
                      <w:color w:val="auto"/>
                      <w:kern w:val="2"/>
                      <w:sz w:val="18"/>
                      <w:szCs w:val="18"/>
                      <w:highlight w:val="none"/>
                      <w:lang w:val="en-US" w:eastAsia="zh-CN" w:bidi="ar-SA"/>
                    </w:rPr>
                    <w:fldChar w:fldCharType="separate"/>
                  </w:r>
                  <w:r>
                    <w:rPr>
                      <w:rFonts w:hint="default" w:ascii="Times New Roman" w:hAnsi="Times New Roman" w:eastAsia="宋体" w:cs="Times New Roman"/>
                      <w:bCs w:val="0"/>
                      <w:color w:val="auto"/>
                      <w:kern w:val="2"/>
                      <w:sz w:val="18"/>
                      <w:szCs w:val="18"/>
                      <w:highlight w:val="none"/>
                      <w:lang w:val="en-US" w:eastAsia="zh-CN" w:bidi="ar-SA"/>
                    </w:rPr>
                    <w:t>6.5.1.6</w:t>
                  </w:r>
                  <w:r>
                    <w:rPr>
                      <w:rFonts w:hint="default" w:ascii="Times New Roman" w:hAnsi="Times New Roman" w:eastAsia="宋体" w:cs="Times New Roman"/>
                      <w:bCs w:val="0"/>
                      <w:color w:val="auto"/>
                      <w:kern w:val="2"/>
                      <w:sz w:val="18"/>
                      <w:szCs w:val="18"/>
                      <w:highlight w:val="none"/>
                      <w:lang w:val="en-US" w:eastAsia="zh-CN" w:bidi="ar-SA"/>
                    </w:rPr>
                    <w:fldChar w:fldCharType="end"/>
                  </w:r>
                </w:p>
              </w:tc>
              <w:tc>
                <w:tcPr>
                  <w:tcW w:w="3210" w:type="dxa"/>
                  <w:tcMar>
                    <w:top w:w="0" w:type="dxa"/>
                    <w:left w:w="28" w:type="dxa"/>
                    <w:bottom w:w="0" w:type="dxa"/>
                    <w:right w:w="28" w:type="dxa"/>
                  </w:tcMar>
                  <w:vAlign w:val="center"/>
                </w:tcPr>
                <w:p w14:paraId="32068104">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right="0"/>
                    <w:jc w:val="both"/>
                    <w:textAlignment w:val="auto"/>
                    <w:rPr>
                      <w:rFonts w:hint="eastAsia"/>
                      <w:color w:val="auto"/>
                      <w:highlight w:val="none"/>
                      <w:vertAlign w:val="baseline"/>
                    </w:rPr>
                  </w:pPr>
                  <w:r>
                    <w:rPr>
                      <w:rFonts w:hint="eastAsia" w:ascii="Times New Roman" w:hAnsi="Times New Roman" w:eastAsia="宋体" w:cs="Times New Roman"/>
                      <w:bCs w:val="0"/>
                      <w:color w:val="auto"/>
                      <w:kern w:val="2"/>
                      <w:sz w:val="18"/>
                      <w:szCs w:val="18"/>
                      <w:highlight w:val="none"/>
                      <w:lang w:val="en-US" w:eastAsia="zh-CN" w:bidi="ar-SA"/>
                    </w:rPr>
                    <w:t>如果有地面液体收集系统，应设防液体回流装置，存水弯应有足够的深度。</w:t>
                  </w:r>
                </w:p>
              </w:tc>
              <w:tc>
                <w:tcPr>
                  <w:tcW w:w="3495" w:type="dxa"/>
                  <w:tcMar>
                    <w:top w:w="0" w:type="dxa"/>
                    <w:left w:w="28" w:type="dxa"/>
                    <w:bottom w:w="0" w:type="dxa"/>
                    <w:right w:w="28" w:type="dxa"/>
                  </w:tcMar>
                  <w:vAlign w:val="center"/>
                </w:tcPr>
                <w:p w14:paraId="57F7E5F3">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right="0"/>
                    <w:jc w:val="both"/>
                    <w:textAlignment w:val="auto"/>
                    <w:rPr>
                      <w:rFonts w:hint="eastAsia"/>
                      <w:color w:val="auto"/>
                      <w:highlight w:val="none"/>
                      <w:vertAlign w:val="baseline"/>
                    </w:rPr>
                  </w:pPr>
                  <w:r>
                    <w:rPr>
                      <w:rFonts w:hint="eastAsia" w:ascii="Times New Roman" w:hAnsi="Times New Roman" w:eastAsia="宋体" w:cs="Times New Roman"/>
                      <w:bCs w:val="0"/>
                      <w:color w:val="auto"/>
                      <w:kern w:val="2"/>
                      <w:sz w:val="18"/>
                      <w:szCs w:val="18"/>
                      <w:highlight w:val="none"/>
                      <w:lang w:val="en-US" w:eastAsia="zh-CN" w:bidi="ar-SA"/>
                    </w:rPr>
                    <w:t>动物</w:t>
                  </w:r>
                  <w:r>
                    <w:rPr>
                      <w:rFonts w:hint="default" w:ascii="Times New Roman" w:hAnsi="Times New Roman" w:eastAsia="宋体" w:cs="Times New Roman"/>
                      <w:bCs w:val="0"/>
                      <w:color w:val="auto"/>
                      <w:kern w:val="2"/>
                      <w:sz w:val="18"/>
                      <w:szCs w:val="18"/>
                      <w:highlight w:val="none"/>
                      <w:lang w:val="en-US" w:eastAsia="zh-CN" w:bidi="ar-SA"/>
                    </w:rPr>
                    <w:t>饲养间地面液体收集系统</w:t>
                  </w:r>
                  <w:r>
                    <w:rPr>
                      <w:rFonts w:hint="eastAsia" w:ascii="Times New Roman" w:hAnsi="Times New Roman" w:eastAsia="宋体" w:cs="Times New Roman"/>
                      <w:bCs w:val="0"/>
                      <w:color w:val="auto"/>
                      <w:kern w:val="2"/>
                      <w:sz w:val="18"/>
                      <w:szCs w:val="18"/>
                      <w:highlight w:val="none"/>
                      <w:lang w:val="en-US" w:eastAsia="zh-CN" w:bidi="ar-SA"/>
                    </w:rPr>
                    <w:t>设有</w:t>
                  </w:r>
                  <w:r>
                    <w:rPr>
                      <w:rFonts w:hint="default" w:ascii="Times New Roman" w:hAnsi="Times New Roman" w:eastAsia="宋体" w:cs="Times New Roman"/>
                      <w:bCs w:val="0"/>
                      <w:color w:val="auto"/>
                      <w:kern w:val="2"/>
                      <w:sz w:val="18"/>
                      <w:szCs w:val="18"/>
                      <w:highlight w:val="none"/>
                      <w:lang w:val="en-US" w:eastAsia="zh-CN" w:bidi="ar-SA"/>
                    </w:rPr>
                    <w:t>防液体</w:t>
                  </w:r>
                  <w:r>
                    <w:rPr>
                      <w:rFonts w:hint="eastAsia" w:ascii="Times New Roman" w:hAnsi="Times New Roman" w:eastAsia="宋体" w:cs="Times New Roman"/>
                      <w:bCs w:val="0"/>
                      <w:color w:val="auto"/>
                      <w:kern w:val="2"/>
                      <w:sz w:val="18"/>
                      <w:szCs w:val="18"/>
                      <w:highlight w:val="none"/>
                      <w:lang w:val="en-US" w:eastAsia="zh-CN" w:bidi="ar-SA"/>
                    </w:rPr>
                    <w:t>回流</w:t>
                  </w:r>
                  <w:r>
                    <w:rPr>
                      <w:rFonts w:hint="default" w:ascii="Times New Roman" w:hAnsi="Times New Roman" w:eastAsia="宋体" w:cs="Times New Roman"/>
                      <w:bCs w:val="0"/>
                      <w:color w:val="auto"/>
                      <w:kern w:val="2"/>
                      <w:sz w:val="18"/>
                      <w:szCs w:val="18"/>
                      <w:highlight w:val="none"/>
                      <w:lang w:val="en-US" w:eastAsia="zh-CN" w:bidi="ar-SA"/>
                    </w:rPr>
                    <w:t>装置，存水弯有足够的深度</w:t>
                  </w:r>
                  <w:r>
                    <w:rPr>
                      <w:rFonts w:hint="eastAsia" w:cs="Times New Roman"/>
                      <w:bCs w:val="0"/>
                      <w:color w:val="auto"/>
                      <w:kern w:val="2"/>
                      <w:sz w:val="18"/>
                      <w:szCs w:val="18"/>
                      <w:highlight w:val="none"/>
                      <w:lang w:val="en-US" w:eastAsia="zh-CN" w:bidi="ar-SA"/>
                    </w:rPr>
                    <w:t>。</w:t>
                  </w:r>
                </w:p>
              </w:tc>
              <w:tc>
                <w:tcPr>
                  <w:tcW w:w="800" w:type="dxa"/>
                  <w:vMerge w:val="continue"/>
                  <w:tcMar>
                    <w:top w:w="0" w:type="dxa"/>
                    <w:left w:w="28" w:type="dxa"/>
                    <w:bottom w:w="0" w:type="dxa"/>
                    <w:right w:w="28" w:type="dxa"/>
                  </w:tcMar>
                  <w:vAlign w:val="center"/>
                </w:tcPr>
                <w:p w14:paraId="760FE50F">
                  <w:pPr>
                    <w:pStyle w:val="128"/>
                    <w:keepNext w:val="0"/>
                    <w:keepLines w:val="0"/>
                    <w:pageBreakBefore w:val="0"/>
                    <w:widowControl w:val="0"/>
                    <w:suppressLineNumbers w:val="0"/>
                    <w:kinsoku/>
                    <w:wordWrap/>
                    <w:overflowPunct/>
                    <w:topLinePunct w:val="0"/>
                    <w:autoSpaceDE/>
                    <w:autoSpaceDN/>
                    <w:bidi w:val="0"/>
                    <w:adjustRightInd/>
                    <w:snapToGrid/>
                    <w:spacing w:before="0" w:beforeLines="0" w:beforeAutospacing="0" w:after="0" w:afterAutospacing="0" w:line="240" w:lineRule="auto"/>
                    <w:ind w:left="0" w:right="0"/>
                    <w:jc w:val="center"/>
                    <w:textAlignment w:val="auto"/>
                    <w:rPr>
                      <w:rFonts w:hint="eastAsia"/>
                      <w:color w:val="auto"/>
                      <w:highlight w:val="none"/>
                      <w:vertAlign w:val="baseline"/>
                    </w:rPr>
                  </w:pPr>
                </w:p>
              </w:tc>
            </w:tr>
            <w:tr w14:paraId="59CA271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75" w:type="dxa"/>
                  <w:tcMar>
                    <w:top w:w="0" w:type="dxa"/>
                    <w:left w:w="28" w:type="dxa"/>
                    <w:bottom w:w="0" w:type="dxa"/>
                    <w:right w:w="28" w:type="dxa"/>
                  </w:tcMar>
                  <w:vAlign w:val="center"/>
                </w:tcPr>
                <w:p w14:paraId="18FD9E48">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right="0"/>
                    <w:jc w:val="center"/>
                    <w:textAlignment w:val="auto"/>
                    <w:rPr>
                      <w:rFonts w:hint="eastAsia"/>
                      <w:color w:val="auto"/>
                      <w:highlight w:val="none"/>
                      <w:vertAlign w:val="baseline"/>
                    </w:rPr>
                  </w:pPr>
                  <w:r>
                    <w:rPr>
                      <w:rFonts w:hint="default" w:ascii="Times New Roman" w:hAnsi="Times New Roman" w:eastAsia="宋体" w:cs="Times New Roman"/>
                      <w:bCs w:val="0"/>
                      <w:color w:val="auto"/>
                      <w:kern w:val="2"/>
                      <w:sz w:val="18"/>
                      <w:szCs w:val="18"/>
                      <w:highlight w:val="none"/>
                      <w:lang w:val="en-US" w:eastAsia="zh-CN" w:bidi="ar-SA"/>
                    </w:rPr>
                    <w:fldChar w:fldCharType="begin"/>
                  </w:r>
                  <w:r>
                    <w:rPr>
                      <w:rFonts w:hint="default" w:ascii="Times New Roman" w:hAnsi="Times New Roman" w:eastAsia="宋体" w:cs="Times New Roman"/>
                      <w:bCs w:val="0"/>
                      <w:color w:val="auto"/>
                      <w:kern w:val="2"/>
                      <w:sz w:val="18"/>
                      <w:szCs w:val="18"/>
                      <w:highlight w:val="none"/>
                      <w:lang w:val="en-US" w:eastAsia="zh-CN" w:bidi="ar-SA"/>
                    </w:rPr>
                    <w:instrText xml:space="preserve"> HYPERLINK "file:///\\\\文字文稿3\\6.5.1.7" </w:instrText>
                  </w:r>
                  <w:r>
                    <w:rPr>
                      <w:rFonts w:hint="default" w:ascii="Times New Roman" w:hAnsi="Times New Roman" w:eastAsia="宋体" w:cs="Times New Roman"/>
                      <w:bCs w:val="0"/>
                      <w:color w:val="auto"/>
                      <w:kern w:val="2"/>
                      <w:sz w:val="18"/>
                      <w:szCs w:val="18"/>
                      <w:highlight w:val="none"/>
                      <w:lang w:val="en-US" w:eastAsia="zh-CN" w:bidi="ar-SA"/>
                    </w:rPr>
                    <w:fldChar w:fldCharType="separate"/>
                  </w:r>
                  <w:r>
                    <w:rPr>
                      <w:rFonts w:hint="default" w:ascii="Times New Roman" w:hAnsi="Times New Roman" w:eastAsia="宋体" w:cs="Times New Roman"/>
                      <w:bCs w:val="0"/>
                      <w:color w:val="auto"/>
                      <w:kern w:val="2"/>
                      <w:sz w:val="18"/>
                      <w:szCs w:val="18"/>
                      <w:highlight w:val="none"/>
                      <w:lang w:val="en-US" w:eastAsia="zh-CN" w:bidi="ar-SA"/>
                    </w:rPr>
                    <w:t>6.5.1.7</w:t>
                  </w:r>
                  <w:r>
                    <w:rPr>
                      <w:rFonts w:hint="default" w:ascii="Times New Roman" w:hAnsi="Times New Roman" w:eastAsia="宋体" w:cs="Times New Roman"/>
                      <w:bCs w:val="0"/>
                      <w:color w:val="auto"/>
                      <w:kern w:val="2"/>
                      <w:sz w:val="18"/>
                      <w:szCs w:val="18"/>
                      <w:highlight w:val="none"/>
                      <w:lang w:val="en-US" w:eastAsia="zh-CN" w:bidi="ar-SA"/>
                    </w:rPr>
                    <w:fldChar w:fldCharType="end"/>
                  </w:r>
                </w:p>
              </w:tc>
              <w:tc>
                <w:tcPr>
                  <w:tcW w:w="3210" w:type="dxa"/>
                  <w:tcMar>
                    <w:top w:w="0" w:type="dxa"/>
                    <w:left w:w="28" w:type="dxa"/>
                    <w:bottom w:w="0" w:type="dxa"/>
                    <w:right w:w="28" w:type="dxa"/>
                  </w:tcMar>
                  <w:vAlign w:val="center"/>
                </w:tcPr>
                <w:p w14:paraId="316EBAC6">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right="0"/>
                    <w:jc w:val="both"/>
                    <w:textAlignment w:val="auto"/>
                    <w:rPr>
                      <w:rFonts w:hint="eastAsia"/>
                      <w:color w:val="auto"/>
                      <w:highlight w:val="none"/>
                      <w:vertAlign w:val="baseline"/>
                    </w:rPr>
                  </w:pPr>
                  <w:r>
                    <w:rPr>
                      <w:rFonts w:hint="eastAsia" w:ascii="Times New Roman" w:hAnsi="Times New Roman" w:eastAsia="宋体" w:cs="Times New Roman"/>
                      <w:bCs w:val="0"/>
                      <w:color w:val="auto"/>
                      <w:kern w:val="2"/>
                      <w:sz w:val="18"/>
                      <w:szCs w:val="18"/>
                      <w:highlight w:val="none"/>
                      <w:lang w:val="en-US" w:eastAsia="zh-CN" w:bidi="ar-SA"/>
                    </w:rPr>
                    <w:t>不得循环使用动物实验室排出的空气。</w:t>
                  </w:r>
                </w:p>
              </w:tc>
              <w:tc>
                <w:tcPr>
                  <w:tcW w:w="3495" w:type="dxa"/>
                  <w:tcMar>
                    <w:top w:w="0" w:type="dxa"/>
                    <w:left w:w="28" w:type="dxa"/>
                    <w:bottom w:w="0" w:type="dxa"/>
                    <w:right w:w="28" w:type="dxa"/>
                  </w:tcMar>
                  <w:vAlign w:val="center"/>
                </w:tcPr>
                <w:p w14:paraId="4E57CDB4">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right="0"/>
                    <w:jc w:val="both"/>
                    <w:textAlignment w:val="auto"/>
                    <w:rPr>
                      <w:rFonts w:hint="eastAsia"/>
                      <w:color w:val="auto"/>
                      <w:highlight w:val="none"/>
                      <w:vertAlign w:val="baseline"/>
                    </w:rPr>
                  </w:pPr>
                  <w:r>
                    <w:rPr>
                      <w:rFonts w:hint="eastAsia" w:ascii="Times New Roman" w:hAnsi="Times New Roman" w:eastAsia="宋体" w:cs="Times New Roman"/>
                      <w:bCs w:val="0"/>
                      <w:color w:val="auto"/>
                      <w:kern w:val="2"/>
                      <w:sz w:val="18"/>
                      <w:szCs w:val="18"/>
                      <w:highlight w:val="none"/>
                      <w:lang w:val="en-US" w:eastAsia="zh-CN" w:bidi="ar-SA"/>
                    </w:rPr>
                    <w:t>动物</w:t>
                  </w:r>
                  <w:r>
                    <w:rPr>
                      <w:rFonts w:hint="default" w:ascii="Times New Roman" w:hAnsi="Times New Roman" w:eastAsia="宋体" w:cs="Times New Roman"/>
                      <w:bCs w:val="0"/>
                      <w:color w:val="auto"/>
                      <w:kern w:val="2"/>
                      <w:sz w:val="18"/>
                      <w:szCs w:val="18"/>
                      <w:highlight w:val="none"/>
                      <w:lang w:val="en-US" w:eastAsia="zh-CN" w:bidi="ar-SA"/>
                    </w:rPr>
                    <w:t>实验室的</w:t>
                  </w:r>
                  <w:r>
                    <w:rPr>
                      <w:rFonts w:hint="eastAsia" w:ascii="Times New Roman" w:hAnsi="Times New Roman" w:eastAsia="宋体" w:cs="Times New Roman"/>
                      <w:bCs w:val="0"/>
                      <w:color w:val="auto"/>
                      <w:kern w:val="2"/>
                      <w:sz w:val="18"/>
                      <w:szCs w:val="18"/>
                      <w:highlight w:val="none"/>
                      <w:lang w:val="en-US" w:eastAsia="zh-CN" w:bidi="ar-SA"/>
                    </w:rPr>
                    <w:t>排气不循环使用</w:t>
                  </w:r>
                  <w:r>
                    <w:rPr>
                      <w:rFonts w:hint="eastAsia" w:cs="Times New Roman"/>
                      <w:bCs w:val="0"/>
                      <w:color w:val="auto"/>
                      <w:kern w:val="2"/>
                      <w:sz w:val="18"/>
                      <w:szCs w:val="18"/>
                      <w:highlight w:val="none"/>
                      <w:lang w:val="en-US" w:eastAsia="zh-CN" w:bidi="ar-SA"/>
                    </w:rPr>
                    <w:t>。</w:t>
                  </w:r>
                </w:p>
              </w:tc>
              <w:tc>
                <w:tcPr>
                  <w:tcW w:w="800" w:type="dxa"/>
                  <w:vMerge w:val="continue"/>
                  <w:tcMar>
                    <w:top w:w="0" w:type="dxa"/>
                    <w:left w:w="28" w:type="dxa"/>
                    <w:bottom w:w="0" w:type="dxa"/>
                    <w:right w:w="28" w:type="dxa"/>
                  </w:tcMar>
                  <w:vAlign w:val="center"/>
                </w:tcPr>
                <w:p w14:paraId="1BD52B1A">
                  <w:pPr>
                    <w:pStyle w:val="128"/>
                    <w:keepNext w:val="0"/>
                    <w:keepLines w:val="0"/>
                    <w:pageBreakBefore w:val="0"/>
                    <w:widowControl w:val="0"/>
                    <w:suppressLineNumbers w:val="0"/>
                    <w:kinsoku/>
                    <w:wordWrap/>
                    <w:overflowPunct/>
                    <w:topLinePunct w:val="0"/>
                    <w:autoSpaceDE/>
                    <w:autoSpaceDN/>
                    <w:bidi w:val="0"/>
                    <w:adjustRightInd/>
                    <w:snapToGrid/>
                    <w:spacing w:before="0" w:beforeLines="0" w:beforeAutospacing="0" w:after="0" w:afterAutospacing="0" w:line="240" w:lineRule="auto"/>
                    <w:ind w:left="0" w:right="0"/>
                    <w:jc w:val="center"/>
                    <w:textAlignment w:val="auto"/>
                    <w:rPr>
                      <w:rFonts w:hint="eastAsia"/>
                      <w:color w:val="auto"/>
                      <w:highlight w:val="none"/>
                      <w:vertAlign w:val="baseline"/>
                    </w:rPr>
                  </w:pPr>
                </w:p>
              </w:tc>
            </w:tr>
            <w:tr w14:paraId="2F10C67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75" w:type="dxa"/>
                  <w:tcMar>
                    <w:top w:w="0" w:type="dxa"/>
                    <w:left w:w="28" w:type="dxa"/>
                    <w:bottom w:w="0" w:type="dxa"/>
                    <w:right w:w="28" w:type="dxa"/>
                  </w:tcMar>
                  <w:vAlign w:val="center"/>
                </w:tcPr>
                <w:p w14:paraId="0AA8CCA9">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right="0"/>
                    <w:jc w:val="center"/>
                    <w:textAlignment w:val="auto"/>
                    <w:rPr>
                      <w:rFonts w:hint="eastAsia"/>
                      <w:color w:val="auto"/>
                      <w:highlight w:val="none"/>
                      <w:vertAlign w:val="baseline"/>
                    </w:rPr>
                  </w:pPr>
                  <w:r>
                    <w:rPr>
                      <w:rFonts w:hint="default" w:ascii="Times New Roman" w:hAnsi="Times New Roman" w:eastAsia="宋体" w:cs="Times New Roman"/>
                      <w:bCs w:val="0"/>
                      <w:color w:val="auto"/>
                      <w:kern w:val="2"/>
                      <w:sz w:val="18"/>
                      <w:szCs w:val="18"/>
                      <w:highlight w:val="none"/>
                      <w:lang w:val="en-US" w:eastAsia="zh-CN" w:bidi="ar-SA"/>
                    </w:rPr>
                    <w:fldChar w:fldCharType="begin"/>
                  </w:r>
                  <w:r>
                    <w:rPr>
                      <w:rFonts w:hint="default" w:ascii="Times New Roman" w:hAnsi="Times New Roman" w:eastAsia="宋体" w:cs="Times New Roman"/>
                      <w:bCs w:val="0"/>
                      <w:color w:val="auto"/>
                      <w:kern w:val="2"/>
                      <w:sz w:val="18"/>
                      <w:szCs w:val="18"/>
                      <w:highlight w:val="none"/>
                      <w:lang w:val="en-US" w:eastAsia="zh-CN" w:bidi="ar-SA"/>
                    </w:rPr>
                    <w:instrText xml:space="preserve"> HYPERLINK "file:///\\\\文字文稿3\\6.5.1.8" </w:instrText>
                  </w:r>
                  <w:r>
                    <w:rPr>
                      <w:rFonts w:hint="default" w:ascii="Times New Roman" w:hAnsi="Times New Roman" w:eastAsia="宋体" w:cs="Times New Roman"/>
                      <w:bCs w:val="0"/>
                      <w:color w:val="auto"/>
                      <w:kern w:val="2"/>
                      <w:sz w:val="18"/>
                      <w:szCs w:val="18"/>
                      <w:highlight w:val="none"/>
                      <w:lang w:val="en-US" w:eastAsia="zh-CN" w:bidi="ar-SA"/>
                    </w:rPr>
                    <w:fldChar w:fldCharType="separate"/>
                  </w:r>
                  <w:r>
                    <w:rPr>
                      <w:rFonts w:hint="default" w:ascii="Times New Roman" w:hAnsi="Times New Roman" w:eastAsia="宋体" w:cs="Times New Roman"/>
                      <w:bCs w:val="0"/>
                      <w:color w:val="auto"/>
                      <w:kern w:val="2"/>
                      <w:sz w:val="18"/>
                      <w:szCs w:val="18"/>
                      <w:highlight w:val="none"/>
                      <w:lang w:val="en-US" w:eastAsia="zh-CN" w:bidi="ar-SA"/>
                    </w:rPr>
                    <w:t>6.5.1.8</w:t>
                  </w:r>
                  <w:r>
                    <w:rPr>
                      <w:rFonts w:hint="default" w:ascii="Times New Roman" w:hAnsi="Times New Roman" w:eastAsia="宋体" w:cs="Times New Roman"/>
                      <w:bCs w:val="0"/>
                      <w:color w:val="auto"/>
                      <w:kern w:val="2"/>
                      <w:sz w:val="18"/>
                      <w:szCs w:val="18"/>
                      <w:highlight w:val="none"/>
                      <w:lang w:val="en-US" w:eastAsia="zh-CN" w:bidi="ar-SA"/>
                    </w:rPr>
                    <w:fldChar w:fldCharType="end"/>
                  </w:r>
                </w:p>
              </w:tc>
              <w:tc>
                <w:tcPr>
                  <w:tcW w:w="3210" w:type="dxa"/>
                  <w:tcMar>
                    <w:top w:w="0" w:type="dxa"/>
                    <w:left w:w="28" w:type="dxa"/>
                    <w:bottom w:w="0" w:type="dxa"/>
                    <w:right w:w="28" w:type="dxa"/>
                  </w:tcMar>
                  <w:vAlign w:val="center"/>
                </w:tcPr>
                <w:p w14:paraId="7B397DF6">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right="0"/>
                    <w:jc w:val="both"/>
                    <w:textAlignment w:val="auto"/>
                    <w:rPr>
                      <w:rFonts w:hint="eastAsia"/>
                      <w:color w:val="auto"/>
                      <w:highlight w:val="none"/>
                      <w:vertAlign w:val="baseline"/>
                    </w:rPr>
                  </w:pPr>
                  <w:r>
                    <w:rPr>
                      <w:rFonts w:hint="eastAsia" w:ascii="Times New Roman" w:hAnsi="Times New Roman" w:eastAsia="宋体" w:cs="Times New Roman"/>
                      <w:bCs w:val="0"/>
                      <w:color w:val="auto"/>
                      <w:kern w:val="2"/>
                      <w:sz w:val="18"/>
                      <w:szCs w:val="18"/>
                      <w:highlight w:val="none"/>
                      <w:lang w:val="en-US" w:eastAsia="zh-CN" w:bidi="ar-SA"/>
                    </w:rPr>
                    <w:t>应设置洗手池或手部清洁装置，宜设置在出口处。</w:t>
                  </w:r>
                </w:p>
              </w:tc>
              <w:tc>
                <w:tcPr>
                  <w:tcW w:w="3495" w:type="dxa"/>
                  <w:tcMar>
                    <w:top w:w="0" w:type="dxa"/>
                    <w:left w:w="28" w:type="dxa"/>
                    <w:bottom w:w="0" w:type="dxa"/>
                    <w:right w:w="28" w:type="dxa"/>
                  </w:tcMar>
                  <w:vAlign w:val="center"/>
                </w:tcPr>
                <w:p w14:paraId="3A11641D">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right="0"/>
                    <w:jc w:val="both"/>
                    <w:textAlignment w:val="auto"/>
                    <w:rPr>
                      <w:rFonts w:hint="eastAsia"/>
                      <w:color w:val="auto"/>
                      <w:highlight w:val="none"/>
                      <w:vertAlign w:val="baseline"/>
                    </w:rPr>
                  </w:pPr>
                  <w:r>
                    <w:rPr>
                      <w:rFonts w:hint="eastAsia" w:ascii="Times New Roman" w:hAnsi="Times New Roman" w:eastAsia="宋体" w:cs="Times New Roman"/>
                      <w:bCs w:val="0"/>
                      <w:color w:val="auto"/>
                      <w:kern w:val="2"/>
                      <w:sz w:val="18"/>
                      <w:szCs w:val="18"/>
                      <w:highlight w:val="none"/>
                      <w:lang w:val="en-US" w:eastAsia="zh-CN" w:bidi="ar-SA"/>
                    </w:rPr>
                    <w:t>项目实验室内和出口处设有自动洗手池。</w:t>
                  </w:r>
                </w:p>
              </w:tc>
              <w:tc>
                <w:tcPr>
                  <w:tcW w:w="800" w:type="dxa"/>
                  <w:vMerge w:val="continue"/>
                  <w:tcMar>
                    <w:top w:w="0" w:type="dxa"/>
                    <w:left w:w="28" w:type="dxa"/>
                    <w:bottom w:w="0" w:type="dxa"/>
                    <w:right w:w="28" w:type="dxa"/>
                  </w:tcMar>
                  <w:vAlign w:val="center"/>
                </w:tcPr>
                <w:p w14:paraId="7C9B689B">
                  <w:pPr>
                    <w:pStyle w:val="128"/>
                    <w:keepNext w:val="0"/>
                    <w:keepLines w:val="0"/>
                    <w:pageBreakBefore w:val="0"/>
                    <w:widowControl w:val="0"/>
                    <w:suppressLineNumbers w:val="0"/>
                    <w:kinsoku/>
                    <w:wordWrap/>
                    <w:overflowPunct/>
                    <w:topLinePunct w:val="0"/>
                    <w:autoSpaceDE/>
                    <w:autoSpaceDN/>
                    <w:bidi w:val="0"/>
                    <w:adjustRightInd/>
                    <w:snapToGrid/>
                    <w:spacing w:before="0" w:beforeLines="0" w:beforeAutospacing="0" w:after="0" w:afterAutospacing="0" w:line="240" w:lineRule="auto"/>
                    <w:ind w:left="0" w:right="0"/>
                    <w:jc w:val="center"/>
                    <w:textAlignment w:val="auto"/>
                    <w:rPr>
                      <w:rFonts w:hint="eastAsia"/>
                      <w:color w:val="auto"/>
                      <w:highlight w:val="none"/>
                      <w:vertAlign w:val="baseline"/>
                    </w:rPr>
                  </w:pPr>
                </w:p>
              </w:tc>
            </w:tr>
            <w:tr w14:paraId="182EACC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75" w:type="dxa"/>
                  <w:tcMar>
                    <w:top w:w="0" w:type="dxa"/>
                    <w:left w:w="28" w:type="dxa"/>
                    <w:bottom w:w="0" w:type="dxa"/>
                    <w:right w:w="28" w:type="dxa"/>
                  </w:tcMar>
                  <w:vAlign w:val="center"/>
                </w:tcPr>
                <w:p w14:paraId="3E45025D">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right="0"/>
                    <w:jc w:val="center"/>
                    <w:textAlignment w:val="auto"/>
                    <w:rPr>
                      <w:rFonts w:hint="eastAsia"/>
                      <w:color w:val="auto"/>
                      <w:highlight w:val="none"/>
                      <w:vertAlign w:val="baseline"/>
                    </w:rPr>
                  </w:pPr>
                  <w:r>
                    <w:rPr>
                      <w:rFonts w:hint="default" w:ascii="Times New Roman" w:hAnsi="Times New Roman" w:eastAsia="宋体" w:cs="Times New Roman"/>
                      <w:bCs w:val="0"/>
                      <w:color w:val="auto"/>
                      <w:kern w:val="2"/>
                      <w:sz w:val="18"/>
                      <w:szCs w:val="18"/>
                      <w:highlight w:val="none"/>
                      <w:lang w:val="en-US" w:eastAsia="zh-CN" w:bidi="ar-SA"/>
                    </w:rPr>
                    <w:fldChar w:fldCharType="begin"/>
                  </w:r>
                  <w:r>
                    <w:rPr>
                      <w:rFonts w:hint="default" w:ascii="Times New Roman" w:hAnsi="Times New Roman" w:eastAsia="宋体" w:cs="Times New Roman"/>
                      <w:bCs w:val="0"/>
                      <w:color w:val="auto"/>
                      <w:kern w:val="2"/>
                      <w:sz w:val="18"/>
                      <w:szCs w:val="18"/>
                      <w:highlight w:val="none"/>
                      <w:lang w:val="en-US" w:eastAsia="zh-CN" w:bidi="ar-SA"/>
                    </w:rPr>
                    <w:instrText xml:space="preserve"> HYPERLINK "file:///\\\\文字文稿3\\6.5.1.9" </w:instrText>
                  </w:r>
                  <w:r>
                    <w:rPr>
                      <w:rFonts w:hint="default" w:ascii="Times New Roman" w:hAnsi="Times New Roman" w:eastAsia="宋体" w:cs="Times New Roman"/>
                      <w:bCs w:val="0"/>
                      <w:color w:val="auto"/>
                      <w:kern w:val="2"/>
                      <w:sz w:val="18"/>
                      <w:szCs w:val="18"/>
                      <w:highlight w:val="none"/>
                      <w:lang w:val="en-US" w:eastAsia="zh-CN" w:bidi="ar-SA"/>
                    </w:rPr>
                    <w:fldChar w:fldCharType="separate"/>
                  </w:r>
                  <w:r>
                    <w:rPr>
                      <w:rFonts w:hint="default" w:ascii="Times New Roman" w:hAnsi="Times New Roman" w:eastAsia="宋体" w:cs="Times New Roman"/>
                      <w:bCs w:val="0"/>
                      <w:color w:val="auto"/>
                      <w:kern w:val="2"/>
                      <w:sz w:val="18"/>
                      <w:szCs w:val="18"/>
                      <w:highlight w:val="none"/>
                      <w:lang w:val="en-US" w:eastAsia="zh-CN" w:bidi="ar-SA"/>
                    </w:rPr>
                    <w:t>6.5.1.9</w:t>
                  </w:r>
                  <w:r>
                    <w:rPr>
                      <w:rFonts w:hint="default" w:ascii="Times New Roman" w:hAnsi="Times New Roman" w:eastAsia="宋体" w:cs="Times New Roman"/>
                      <w:bCs w:val="0"/>
                      <w:color w:val="auto"/>
                      <w:kern w:val="2"/>
                      <w:sz w:val="18"/>
                      <w:szCs w:val="18"/>
                      <w:highlight w:val="none"/>
                      <w:lang w:val="en-US" w:eastAsia="zh-CN" w:bidi="ar-SA"/>
                    </w:rPr>
                    <w:fldChar w:fldCharType="end"/>
                  </w:r>
                </w:p>
              </w:tc>
              <w:tc>
                <w:tcPr>
                  <w:tcW w:w="3210" w:type="dxa"/>
                  <w:tcMar>
                    <w:top w:w="0" w:type="dxa"/>
                    <w:left w:w="28" w:type="dxa"/>
                    <w:bottom w:w="0" w:type="dxa"/>
                    <w:right w:w="28" w:type="dxa"/>
                  </w:tcMar>
                  <w:vAlign w:val="center"/>
                </w:tcPr>
                <w:p w14:paraId="05D28973">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right="0"/>
                    <w:jc w:val="both"/>
                    <w:textAlignment w:val="auto"/>
                    <w:rPr>
                      <w:rFonts w:hint="eastAsia"/>
                      <w:color w:val="auto"/>
                      <w:highlight w:val="none"/>
                      <w:vertAlign w:val="baseline"/>
                    </w:rPr>
                  </w:pPr>
                  <w:r>
                    <w:rPr>
                      <w:rFonts w:hint="eastAsia" w:ascii="Times New Roman" w:hAnsi="Times New Roman" w:eastAsia="宋体" w:cs="Times New Roman"/>
                      <w:bCs w:val="0"/>
                      <w:color w:val="auto"/>
                      <w:kern w:val="2"/>
                      <w:sz w:val="18"/>
                      <w:szCs w:val="18"/>
                      <w:highlight w:val="none"/>
                      <w:lang w:val="en-US" w:eastAsia="zh-CN" w:bidi="ar-SA"/>
                    </w:rPr>
                    <w:t>宜将动物饲养间的室内气压控制为负压。</w:t>
                  </w:r>
                </w:p>
              </w:tc>
              <w:tc>
                <w:tcPr>
                  <w:tcW w:w="3495" w:type="dxa"/>
                  <w:tcMar>
                    <w:top w:w="0" w:type="dxa"/>
                    <w:left w:w="28" w:type="dxa"/>
                    <w:bottom w:w="0" w:type="dxa"/>
                    <w:right w:w="28" w:type="dxa"/>
                  </w:tcMar>
                  <w:vAlign w:val="center"/>
                </w:tcPr>
                <w:p w14:paraId="4F61E0E7">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right="0"/>
                    <w:jc w:val="both"/>
                    <w:textAlignment w:val="auto"/>
                    <w:rPr>
                      <w:rFonts w:hint="eastAsia"/>
                      <w:color w:val="auto"/>
                      <w:highlight w:val="none"/>
                      <w:vertAlign w:val="baseline"/>
                    </w:rPr>
                  </w:pPr>
                  <w:r>
                    <w:rPr>
                      <w:rFonts w:hint="eastAsia" w:ascii="Times New Roman" w:hAnsi="Times New Roman" w:eastAsia="宋体" w:cs="Times New Roman"/>
                      <w:bCs w:val="0"/>
                      <w:color w:val="auto"/>
                      <w:kern w:val="2"/>
                      <w:sz w:val="18"/>
                      <w:szCs w:val="18"/>
                      <w:highlight w:val="none"/>
                      <w:lang w:val="en-US" w:eastAsia="zh-CN" w:bidi="ar-SA"/>
                    </w:rPr>
                    <w:t>动物</w:t>
                  </w:r>
                  <w:r>
                    <w:rPr>
                      <w:rFonts w:hint="default" w:ascii="Times New Roman" w:hAnsi="Times New Roman" w:eastAsia="宋体" w:cs="Times New Roman"/>
                      <w:bCs w:val="0"/>
                      <w:color w:val="auto"/>
                      <w:kern w:val="2"/>
                      <w:sz w:val="18"/>
                      <w:szCs w:val="18"/>
                      <w:highlight w:val="none"/>
                      <w:lang w:val="en-US" w:eastAsia="zh-CN" w:bidi="ar-SA"/>
                    </w:rPr>
                    <w:t>饲养间的室内</w:t>
                  </w:r>
                  <w:r>
                    <w:rPr>
                      <w:rFonts w:hint="eastAsia" w:ascii="Times New Roman" w:hAnsi="Times New Roman" w:eastAsia="宋体" w:cs="Times New Roman"/>
                      <w:bCs w:val="0"/>
                      <w:color w:val="auto"/>
                      <w:kern w:val="2"/>
                      <w:sz w:val="18"/>
                      <w:szCs w:val="18"/>
                      <w:highlight w:val="none"/>
                      <w:lang w:val="en-US" w:eastAsia="zh-CN" w:bidi="ar-SA"/>
                    </w:rPr>
                    <w:t>气压</w:t>
                  </w:r>
                  <w:r>
                    <w:rPr>
                      <w:rFonts w:hint="default" w:ascii="Times New Roman" w:hAnsi="Times New Roman" w:eastAsia="宋体" w:cs="Times New Roman"/>
                      <w:bCs w:val="0"/>
                      <w:color w:val="auto"/>
                      <w:kern w:val="2"/>
                      <w:sz w:val="18"/>
                      <w:szCs w:val="18"/>
                      <w:highlight w:val="none"/>
                      <w:lang w:val="en-US" w:eastAsia="zh-CN" w:bidi="ar-SA"/>
                    </w:rPr>
                    <w:t>均控制为负压</w:t>
                  </w:r>
                  <w:r>
                    <w:rPr>
                      <w:rFonts w:hint="eastAsia" w:cs="Times New Roman"/>
                      <w:bCs w:val="0"/>
                      <w:color w:val="auto"/>
                      <w:kern w:val="2"/>
                      <w:sz w:val="18"/>
                      <w:szCs w:val="18"/>
                      <w:highlight w:val="none"/>
                      <w:lang w:val="en-US" w:eastAsia="zh-CN" w:bidi="ar-SA"/>
                    </w:rPr>
                    <w:t>。</w:t>
                  </w:r>
                </w:p>
              </w:tc>
              <w:tc>
                <w:tcPr>
                  <w:tcW w:w="800" w:type="dxa"/>
                  <w:vMerge w:val="continue"/>
                  <w:tcMar>
                    <w:top w:w="0" w:type="dxa"/>
                    <w:left w:w="28" w:type="dxa"/>
                    <w:bottom w:w="0" w:type="dxa"/>
                    <w:right w:w="28" w:type="dxa"/>
                  </w:tcMar>
                  <w:vAlign w:val="center"/>
                </w:tcPr>
                <w:p w14:paraId="586B8E46">
                  <w:pPr>
                    <w:pStyle w:val="128"/>
                    <w:keepNext w:val="0"/>
                    <w:keepLines w:val="0"/>
                    <w:pageBreakBefore w:val="0"/>
                    <w:widowControl w:val="0"/>
                    <w:suppressLineNumbers w:val="0"/>
                    <w:kinsoku/>
                    <w:wordWrap/>
                    <w:overflowPunct/>
                    <w:topLinePunct w:val="0"/>
                    <w:autoSpaceDE/>
                    <w:autoSpaceDN/>
                    <w:bidi w:val="0"/>
                    <w:adjustRightInd/>
                    <w:snapToGrid/>
                    <w:spacing w:before="0" w:beforeLines="0" w:beforeAutospacing="0" w:after="0" w:afterAutospacing="0" w:line="240" w:lineRule="auto"/>
                    <w:ind w:left="0" w:right="0"/>
                    <w:jc w:val="center"/>
                    <w:textAlignment w:val="auto"/>
                    <w:rPr>
                      <w:rFonts w:hint="eastAsia"/>
                      <w:color w:val="auto"/>
                      <w:highlight w:val="none"/>
                      <w:vertAlign w:val="baseline"/>
                    </w:rPr>
                  </w:pPr>
                </w:p>
              </w:tc>
            </w:tr>
            <w:tr w14:paraId="69F4D46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75" w:type="dxa"/>
                  <w:tcMar>
                    <w:top w:w="0" w:type="dxa"/>
                    <w:left w:w="28" w:type="dxa"/>
                    <w:bottom w:w="0" w:type="dxa"/>
                    <w:right w:w="28" w:type="dxa"/>
                  </w:tcMar>
                  <w:vAlign w:val="center"/>
                </w:tcPr>
                <w:p w14:paraId="61B8A188">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right="0"/>
                    <w:jc w:val="center"/>
                    <w:textAlignment w:val="auto"/>
                    <w:rPr>
                      <w:rFonts w:hint="eastAsia"/>
                      <w:color w:val="auto"/>
                      <w:highlight w:val="none"/>
                      <w:vertAlign w:val="baseline"/>
                    </w:rPr>
                  </w:pPr>
                  <w:r>
                    <w:rPr>
                      <w:rFonts w:hint="default" w:ascii="Times New Roman" w:hAnsi="Times New Roman" w:eastAsia="宋体" w:cs="Times New Roman"/>
                      <w:bCs w:val="0"/>
                      <w:color w:val="auto"/>
                      <w:kern w:val="2"/>
                      <w:sz w:val="18"/>
                      <w:szCs w:val="18"/>
                      <w:highlight w:val="none"/>
                      <w:lang w:val="en-US" w:eastAsia="zh-CN" w:bidi="ar-SA"/>
                    </w:rPr>
                    <w:fldChar w:fldCharType="begin"/>
                  </w:r>
                  <w:r>
                    <w:rPr>
                      <w:rFonts w:hint="default" w:ascii="Times New Roman" w:hAnsi="Times New Roman" w:eastAsia="宋体" w:cs="Times New Roman"/>
                      <w:bCs w:val="0"/>
                      <w:color w:val="auto"/>
                      <w:kern w:val="2"/>
                      <w:sz w:val="18"/>
                      <w:szCs w:val="18"/>
                      <w:highlight w:val="none"/>
                      <w:lang w:val="en-US" w:eastAsia="zh-CN" w:bidi="ar-SA"/>
                    </w:rPr>
                    <w:instrText xml:space="preserve"> HYPERLINK "file:///\\\\文字文稿3\\6.5.1.10" </w:instrText>
                  </w:r>
                  <w:r>
                    <w:rPr>
                      <w:rFonts w:hint="default" w:ascii="Times New Roman" w:hAnsi="Times New Roman" w:eastAsia="宋体" w:cs="Times New Roman"/>
                      <w:bCs w:val="0"/>
                      <w:color w:val="auto"/>
                      <w:kern w:val="2"/>
                      <w:sz w:val="18"/>
                      <w:szCs w:val="18"/>
                      <w:highlight w:val="none"/>
                      <w:lang w:val="en-US" w:eastAsia="zh-CN" w:bidi="ar-SA"/>
                    </w:rPr>
                    <w:fldChar w:fldCharType="separate"/>
                  </w:r>
                  <w:r>
                    <w:rPr>
                      <w:rFonts w:hint="default" w:ascii="Times New Roman" w:hAnsi="Times New Roman" w:eastAsia="宋体" w:cs="Times New Roman"/>
                      <w:bCs w:val="0"/>
                      <w:color w:val="auto"/>
                      <w:kern w:val="2"/>
                      <w:sz w:val="18"/>
                      <w:szCs w:val="18"/>
                      <w:highlight w:val="none"/>
                      <w:lang w:val="en-US" w:eastAsia="zh-CN" w:bidi="ar-SA"/>
                    </w:rPr>
                    <w:t>6.5.1.10</w:t>
                  </w:r>
                  <w:r>
                    <w:rPr>
                      <w:rFonts w:hint="default" w:ascii="Times New Roman" w:hAnsi="Times New Roman" w:eastAsia="宋体" w:cs="Times New Roman"/>
                      <w:bCs w:val="0"/>
                      <w:color w:val="auto"/>
                      <w:kern w:val="2"/>
                      <w:sz w:val="18"/>
                      <w:szCs w:val="18"/>
                      <w:highlight w:val="none"/>
                      <w:lang w:val="en-US" w:eastAsia="zh-CN" w:bidi="ar-SA"/>
                    </w:rPr>
                    <w:fldChar w:fldCharType="end"/>
                  </w:r>
                </w:p>
              </w:tc>
              <w:tc>
                <w:tcPr>
                  <w:tcW w:w="3210" w:type="dxa"/>
                  <w:tcMar>
                    <w:top w:w="0" w:type="dxa"/>
                    <w:left w:w="28" w:type="dxa"/>
                    <w:bottom w:w="0" w:type="dxa"/>
                    <w:right w:w="28" w:type="dxa"/>
                  </w:tcMar>
                  <w:vAlign w:val="center"/>
                </w:tcPr>
                <w:p w14:paraId="78F305AC">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right="0"/>
                    <w:jc w:val="both"/>
                    <w:textAlignment w:val="auto"/>
                    <w:rPr>
                      <w:rFonts w:hint="eastAsia"/>
                      <w:color w:val="auto"/>
                      <w:highlight w:val="none"/>
                      <w:vertAlign w:val="baseline"/>
                    </w:rPr>
                  </w:pPr>
                  <w:r>
                    <w:rPr>
                      <w:rFonts w:hint="eastAsia" w:ascii="Times New Roman" w:hAnsi="Times New Roman" w:eastAsia="宋体" w:cs="Times New Roman"/>
                      <w:bCs w:val="0"/>
                      <w:color w:val="auto"/>
                      <w:kern w:val="2"/>
                      <w:sz w:val="18"/>
                      <w:szCs w:val="18"/>
                      <w:highlight w:val="none"/>
                      <w:lang w:val="en-US" w:eastAsia="zh-CN" w:bidi="ar-SA"/>
                    </w:rPr>
                    <w:t>可以对动物笼具清洗和消毒灭菌。</w:t>
                  </w:r>
                </w:p>
              </w:tc>
              <w:tc>
                <w:tcPr>
                  <w:tcW w:w="3495" w:type="dxa"/>
                  <w:tcMar>
                    <w:top w:w="0" w:type="dxa"/>
                    <w:left w:w="28" w:type="dxa"/>
                    <w:bottom w:w="0" w:type="dxa"/>
                    <w:right w:w="28" w:type="dxa"/>
                  </w:tcMar>
                  <w:vAlign w:val="center"/>
                </w:tcPr>
                <w:p w14:paraId="3963B01D">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right="0"/>
                    <w:jc w:val="both"/>
                    <w:textAlignment w:val="auto"/>
                    <w:rPr>
                      <w:rFonts w:hint="eastAsia"/>
                      <w:color w:val="auto"/>
                      <w:highlight w:val="none"/>
                      <w:vertAlign w:val="baseline"/>
                    </w:rPr>
                  </w:pPr>
                  <w:r>
                    <w:rPr>
                      <w:rFonts w:hint="eastAsia" w:ascii="Times New Roman" w:hAnsi="Times New Roman" w:eastAsia="宋体" w:cs="Times New Roman"/>
                      <w:bCs w:val="0"/>
                      <w:color w:val="auto"/>
                      <w:kern w:val="2"/>
                      <w:sz w:val="18"/>
                      <w:szCs w:val="18"/>
                      <w:highlight w:val="none"/>
                      <w:lang w:val="en-US" w:eastAsia="zh-CN" w:bidi="ar-SA"/>
                    </w:rPr>
                    <w:t>动物</w:t>
                  </w:r>
                  <w:r>
                    <w:rPr>
                      <w:rFonts w:hint="default" w:ascii="Times New Roman" w:hAnsi="Times New Roman" w:eastAsia="宋体" w:cs="Times New Roman"/>
                      <w:bCs w:val="0"/>
                      <w:color w:val="auto"/>
                      <w:kern w:val="2"/>
                      <w:sz w:val="18"/>
                      <w:szCs w:val="18"/>
                      <w:highlight w:val="none"/>
                      <w:lang w:val="en-US" w:eastAsia="zh-CN" w:bidi="ar-SA"/>
                    </w:rPr>
                    <w:t>中心</w:t>
                  </w:r>
                  <w:r>
                    <w:rPr>
                      <w:rFonts w:hint="eastAsia" w:ascii="Times New Roman" w:hAnsi="Times New Roman" w:eastAsia="宋体" w:cs="Times New Roman"/>
                      <w:bCs w:val="0"/>
                      <w:color w:val="auto"/>
                      <w:kern w:val="2"/>
                      <w:sz w:val="18"/>
                      <w:szCs w:val="18"/>
                      <w:highlight w:val="none"/>
                      <w:lang w:val="en-US" w:eastAsia="zh-CN" w:bidi="ar-SA"/>
                    </w:rPr>
                    <w:t>配有高压蒸汽灭菌装置和洗笼机。</w:t>
                  </w:r>
                </w:p>
              </w:tc>
              <w:tc>
                <w:tcPr>
                  <w:tcW w:w="800" w:type="dxa"/>
                  <w:vMerge w:val="continue"/>
                  <w:tcMar>
                    <w:top w:w="0" w:type="dxa"/>
                    <w:left w:w="28" w:type="dxa"/>
                    <w:bottom w:w="0" w:type="dxa"/>
                    <w:right w:w="28" w:type="dxa"/>
                  </w:tcMar>
                  <w:vAlign w:val="center"/>
                </w:tcPr>
                <w:p w14:paraId="4B8FA864">
                  <w:pPr>
                    <w:pStyle w:val="128"/>
                    <w:keepNext w:val="0"/>
                    <w:keepLines w:val="0"/>
                    <w:pageBreakBefore w:val="0"/>
                    <w:widowControl w:val="0"/>
                    <w:suppressLineNumbers w:val="0"/>
                    <w:kinsoku/>
                    <w:wordWrap/>
                    <w:overflowPunct/>
                    <w:topLinePunct w:val="0"/>
                    <w:autoSpaceDE/>
                    <w:autoSpaceDN/>
                    <w:bidi w:val="0"/>
                    <w:adjustRightInd/>
                    <w:snapToGrid/>
                    <w:spacing w:before="0" w:beforeLines="0" w:beforeAutospacing="0" w:after="0" w:afterAutospacing="0" w:line="240" w:lineRule="auto"/>
                    <w:ind w:left="0" w:right="0"/>
                    <w:jc w:val="center"/>
                    <w:textAlignment w:val="auto"/>
                    <w:rPr>
                      <w:rFonts w:hint="eastAsia"/>
                      <w:color w:val="auto"/>
                      <w:highlight w:val="none"/>
                      <w:vertAlign w:val="baseline"/>
                    </w:rPr>
                  </w:pPr>
                </w:p>
              </w:tc>
            </w:tr>
            <w:tr w14:paraId="63A6D84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75" w:type="dxa"/>
                  <w:tcMar>
                    <w:top w:w="0" w:type="dxa"/>
                    <w:left w:w="28" w:type="dxa"/>
                    <w:bottom w:w="0" w:type="dxa"/>
                    <w:right w:w="28" w:type="dxa"/>
                  </w:tcMar>
                  <w:vAlign w:val="center"/>
                </w:tcPr>
                <w:p w14:paraId="4473DFCB">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right="0"/>
                    <w:jc w:val="center"/>
                    <w:textAlignment w:val="auto"/>
                    <w:rPr>
                      <w:rFonts w:hint="eastAsia"/>
                      <w:color w:val="auto"/>
                      <w:highlight w:val="none"/>
                      <w:vertAlign w:val="baseline"/>
                    </w:rPr>
                  </w:pPr>
                  <w:r>
                    <w:rPr>
                      <w:rFonts w:hint="default" w:ascii="Times New Roman" w:hAnsi="Times New Roman" w:eastAsia="宋体" w:cs="Times New Roman"/>
                      <w:bCs w:val="0"/>
                      <w:color w:val="auto"/>
                      <w:kern w:val="2"/>
                      <w:sz w:val="18"/>
                      <w:szCs w:val="18"/>
                      <w:highlight w:val="none"/>
                      <w:lang w:val="en-US" w:eastAsia="zh-CN" w:bidi="ar-SA"/>
                    </w:rPr>
                    <w:fldChar w:fldCharType="begin"/>
                  </w:r>
                  <w:r>
                    <w:rPr>
                      <w:rFonts w:hint="default" w:ascii="Times New Roman" w:hAnsi="Times New Roman" w:eastAsia="宋体" w:cs="Times New Roman"/>
                      <w:bCs w:val="0"/>
                      <w:color w:val="auto"/>
                      <w:kern w:val="2"/>
                      <w:sz w:val="18"/>
                      <w:szCs w:val="18"/>
                      <w:highlight w:val="none"/>
                      <w:lang w:val="en-US" w:eastAsia="zh-CN" w:bidi="ar-SA"/>
                    </w:rPr>
                    <w:instrText xml:space="preserve"> HYPERLINK "file:///\\\\文字文稿3\\6.5.1.11" </w:instrText>
                  </w:r>
                  <w:r>
                    <w:rPr>
                      <w:rFonts w:hint="default" w:ascii="Times New Roman" w:hAnsi="Times New Roman" w:eastAsia="宋体" w:cs="Times New Roman"/>
                      <w:bCs w:val="0"/>
                      <w:color w:val="auto"/>
                      <w:kern w:val="2"/>
                      <w:sz w:val="18"/>
                      <w:szCs w:val="18"/>
                      <w:highlight w:val="none"/>
                      <w:lang w:val="en-US" w:eastAsia="zh-CN" w:bidi="ar-SA"/>
                    </w:rPr>
                    <w:fldChar w:fldCharType="separate"/>
                  </w:r>
                  <w:r>
                    <w:rPr>
                      <w:rFonts w:hint="default" w:ascii="Times New Roman" w:hAnsi="Times New Roman" w:eastAsia="宋体" w:cs="Times New Roman"/>
                      <w:bCs w:val="0"/>
                      <w:color w:val="auto"/>
                      <w:kern w:val="2"/>
                      <w:sz w:val="18"/>
                      <w:szCs w:val="18"/>
                      <w:highlight w:val="none"/>
                      <w:lang w:val="en-US" w:eastAsia="zh-CN" w:bidi="ar-SA"/>
                    </w:rPr>
                    <w:t>6.5.1.11</w:t>
                  </w:r>
                  <w:r>
                    <w:rPr>
                      <w:rFonts w:hint="default" w:ascii="Times New Roman" w:hAnsi="Times New Roman" w:eastAsia="宋体" w:cs="Times New Roman"/>
                      <w:bCs w:val="0"/>
                      <w:color w:val="auto"/>
                      <w:kern w:val="2"/>
                      <w:sz w:val="18"/>
                      <w:szCs w:val="18"/>
                      <w:highlight w:val="none"/>
                      <w:lang w:val="en-US" w:eastAsia="zh-CN" w:bidi="ar-SA"/>
                    </w:rPr>
                    <w:fldChar w:fldCharType="end"/>
                  </w:r>
                </w:p>
              </w:tc>
              <w:tc>
                <w:tcPr>
                  <w:tcW w:w="3210" w:type="dxa"/>
                  <w:tcMar>
                    <w:top w:w="0" w:type="dxa"/>
                    <w:left w:w="28" w:type="dxa"/>
                    <w:bottom w:w="0" w:type="dxa"/>
                    <w:right w:w="28" w:type="dxa"/>
                  </w:tcMar>
                  <w:vAlign w:val="center"/>
                </w:tcPr>
                <w:p w14:paraId="2FF29CBC">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right="0"/>
                    <w:jc w:val="both"/>
                    <w:textAlignment w:val="auto"/>
                    <w:rPr>
                      <w:rFonts w:hint="eastAsia"/>
                      <w:color w:val="auto"/>
                      <w:highlight w:val="none"/>
                      <w:vertAlign w:val="baseline"/>
                    </w:rPr>
                  </w:pPr>
                  <w:r>
                    <w:rPr>
                      <w:rFonts w:hint="eastAsia" w:ascii="Times New Roman" w:hAnsi="Times New Roman" w:eastAsia="宋体" w:cs="Times New Roman"/>
                      <w:bCs w:val="0"/>
                      <w:color w:val="auto"/>
                      <w:kern w:val="2"/>
                      <w:sz w:val="18"/>
                      <w:szCs w:val="18"/>
                      <w:highlight w:val="none"/>
                      <w:lang w:val="en-US" w:eastAsia="zh-CN" w:bidi="ar-SA"/>
                    </w:rPr>
                    <w:t>应设置实验动物饲养笼具或护栏，除考虑安全要求外还应考虑对动物福利的要求。</w:t>
                  </w:r>
                </w:p>
              </w:tc>
              <w:tc>
                <w:tcPr>
                  <w:tcW w:w="3495" w:type="dxa"/>
                  <w:tcMar>
                    <w:top w:w="0" w:type="dxa"/>
                    <w:left w:w="28" w:type="dxa"/>
                    <w:bottom w:w="0" w:type="dxa"/>
                    <w:right w:w="28" w:type="dxa"/>
                  </w:tcMar>
                  <w:vAlign w:val="center"/>
                </w:tcPr>
                <w:p w14:paraId="1A50827D">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right="0"/>
                    <w:jc w:val="both"/>
                    <w:textAlignment w:val="auto"/>
                    <w:rPr>
                      <w:rFonts w:hint="eastAsia"/>
                      <w:color w:val="auto"/>
                      <w:highlight w:val="none"/>
                      <w:vertAlign w:val="baseline"/>
                    </w:rPr>
                  </w:pPr>
                  <w:r>
                    <w:rPr>
                      <w:rFonts w:hint="eastAsia" w:ascii="Times New Roman" w:hAnsi="Times New Roman" w:eastAsia="宋体" w:cs="Times New Roman"/>
                      <w:bCs w:val="0"/>
                      <w:color w:val="auto"/>
                      <w:kern w:val="2"/>
                      <w:sz w:val="18"/>
                      <w:szCs w:val="18"/>
                      <w:highlight w:val="none"/>
                      <w:lang w:val="en-US" w:eastAsia="zh-CN" w:bidi="ar-SA"/>
                    </w:rPr>
                    <w:t>本</w:t>
                  </w:r>
                  <w:r>
                    <w:rPr>
                      <w:rFonts w:hint="default" w:ascii="Times New Roman" w:hAnsi="Times New Roman" w:eastAsia="宋体" w:cs="Times New Roman"/>
                      <w:bCs w:val="0"/>
                      <w:color w:val="auto"/>
                      <w:kern w:val="2"/>
                      <w:sz w:val="18"/>
                      <w:szCs w:val="18"/>
                      <w:highlight w:val="none"/>
                      <w:lang w:val="en-US" w:eastAsia="zh-CN" w:bidi="ar-SA"/>
                    </w:rPr>
                    <w:t>项目设置有动物饲养笼具和护栏</w:t>
                  </w:r>
                  <w:r>
                    <w:rPr>
                      <w:rFonts w:hint="eastAsia" w:ascii="Times New Roman" w:hAnsi="Times New Roman" w:eastAsia="宋体" w:cs="Times New Roman"/>
                      <w:bCs w:val="0"/>
                      <w:color w:val="auto"/>
                      <w:kern w:val="2"/>
                      <w:sz w:val="18"/>
                      <w:szCs w:val="18"/>
                      <w:highlight w:val="none"/>
                      <w:lang w:val="en-US" w:eastAsia="zh-CN" w:bidi="ar-SA"/>
                    </w:rPr>
                    <w:t>。</w:t>
                  </w:r>
                </w:p>
              </w:tc>
              <w:tc>
                <w:tcPr>
                  <w:tcW w:w="800" w:type="dxa"/>
                  <w:vMerge w:val="continue"/>
                  <w:tcMar>
                    <w:top w:w="0" w:type="dxa"/>
                    <w:left w:w="28" w:type="dxa"/>
                    <w:bottom w:w="0" w:type="dxa"/>
                    <w:right w:w="28" w:type="dxa"/>
                  </w:tcMar>
                  <w:vAlign w:val="center"/>
                </w:tcPr>
                <w:p w14:paraId="790AECEC">
                  <w:pPr>
                    <w:pStyle w:val="128"/>
                    <w:keepNext w:val="0"/>
                    <w:keepLines w:val="0"/>
                    <w:pageBreakBefore w:val="0"/>
                    <w:widowControl w:val="0"/>
                    <w:suppressLineNumbers w:val="0"/>
                    <w:kinsoku/>
                    <w:wordWrap/>
                    <w:overflowPunct/>
                    <w:topLinePunct w:val="0"/>
                    <w:autoSpaceDE/>
                    <w:autoSpaceDN/>
                    <w:bidi w:val="0"/>
                    <w:adjustRightInd/>
                    <w:snapToGrid/>
                    <w:spacing w:before="0" w:beforeLines="0" w:beforeAutospacing="0" w:after="0" w:afterAutospacing="0" w:line="240" w:lineRule="auto"/>
                    <w:ind w:left="0" w:right="0"/>
                    <w:jc w:val="center"/>
                    <w:textAlignment w:val="auto"/>
                    <w:rPr>
                      <w:rFonts w:hint="eastAsia"/>
                      <w:color w:val="auto"/>
                      <w:highlight w:val="none"/>
                      <w:vertAlign w:val="baseline"/>
                    </w:rPr>
                  </w:pPr>
                </w:p>
              </w:tc>
            </w:tr>
            <w:tr w14:paraId="6A907EE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75" w:type="dxa"/>
                  <w:shd w:val="clear" w:color="auto" w:fill="auto"/>
                  <w:tcMar>
                    <w:top w:w="0" w:type="dxa"/>
                    <w:left w:w="28" w:type="dxa"/>
                    <w:bottom w:w="0" w:type="dxa"/>
                    <w:right w:w="28" w:type="dxa"/>
                  </w:tcMar>
                  <w:vAlign w:val="center"/>
                </w:tcPr>
                <w:p w14:paraId="589B376F">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right="0"/>
                    <w:jc w:val="center"/>
                    <w:textAlignment w:val="auto"/>
                    <w:rPr>
                      <w:rFonts w:hint="eastAsia" w:ascii="Times New Roman" w:hAnsi="Times New Roman" w:eastAsia="宋体" w:cs="Times New Roman"/>
                      <w:bCs w:val="0"/>
                      <w:color w:val="auto"/>
                      <w:kern w:val="2"/>
                      <w:sz w:val="18"/>
                      <w:szCs w:val="18"/>
                      <w:highlight w:val="none"/>
                      <w:lang w:val="en-US" w:eastAsia="zh-CN" w:bidi="ar-SA"/>
                    </w:rPr>
                  </w:pPr>
                  <w:r>
                    <w:rPr>
                      <w:rFonts w:hint="default" w:ascii="Times New Roman" w:hAnsi="Times New Roman" w:eastAsia="宋体" w:cs="Times New Roman"/>
                      <w:bCs w:val="0"/>
                      <w:color w:val="auto"/>
                      <w:kern w:val="2"/>
                      <w:sz w:val="18"/>
                      <w:szCs w:val="18"/>
                      <w:highlight w:val="none"/>
                      <w:lang w:val="en-US" w:eastAsia="zh-CN" w:bidi="ar-SA"/>
                    </w:rPr>
                    <w:fldChar w:fldCharType="begin"/>
                  </w:r>
                  <w:r>
                    <w:rPr>
                      <w:rFonts w:hint="default" w:ascii="Times New Roman" w:hAnsi="Times New Roman" w:eastAsia="宋体" w:cs="Times New Roman"/>
                      <w:bCs w:val="0"/>
                      <w:color w:val="auto"/>
                      <w:kern w:val="2"/>
                      <w:sz w:val="18"/>
                      <w:szCs w:val="18"/>
                      <w:highlight w:val="none"/>
                      <w:lang w:val="en-US" w:eastAsia="zh-CN" w:bidi="ar-SA"/>
                    </w:rPr>
                    <w:instrText xml:space="preserve"> HYPERLINK "file:///\\\\文字文稿3\\6.5.1.12" </w:instrText>
                  </w:r>
                  <w:r>
                    <w:rPr>
                      <w:rFonts w:hint="default" w:ascii="Times New Roman" w:hAnsi="Times New Roman" w:eastAsia="宋体" w:cs="Times New Roman"/>
                      <w:bCs w:val="0"/>
                      <w:color w:val="auto"/>
                      <w:kern w:val="2"/>
                      <w:sz w:val="18"/>
                      <w:szCs w:val="18"/>
                      <w:highlight w:val="none"/>
                      <w:lang w:val="en-US" w:eastAsia="zh-CN" w:bidi="ar-SA"/>
                    </w:rPr>
                    <w:fldChar w:fldCharType="separate"/>
                  </w:r>
                  <w:r>
                    <w:rPr>
                      <w:rFonts w:hint="default" w:ascii="Times New Roman" w:hAnsi="Times New Roman" w:eastAsia="宋体" w:cs="Times New Roman"/>
                      <w:bCs w:val="0"/>
                      <w:color w:val="auto"/>
                      <w:kern w:val="2"/>
                      <w:sz w:val="18"/>
                      <w:szCs w:val="18"/>
                      <w:highlight w:val="none"/>
                      <w:lang w:val="en-US" w:eastAsia="zh-CN" w:bidi="ar-SA"/>
                    </w:rPr>
                    <w:t>6.5.1.12</w:t>
                  </w:r>
                  <w:r>
                    <w:rPr>
                      <w:rFonts w:hint="default" w:ascii="Times New Roman" w:hAnsi="Times New Roman" w:eastAsia="宋体" w:cs="Times New Roman"/>
                      <w:bCs w:val="0"/>
                      <w:color w:val="auto"/>
                      <w:kern w:val="2"/>
                      <w:sz w:val="18"/>
                      <w:szCs w:val="18"/>
                      <w:highlight w:val="none"/>
                      <w:lang w:val="en-US" w:eastAsia="zh-CN" w:bidi="ar-SA"/>
                    </w:rPr>
                    <w:fldChar w:fldCharType="end"/>
                  </w:r>
                </w:p>
              </w:tc>
              <w:tc>
                <w:tcPr>
                  <w:tcW w:w="3210" w:type="dxa"/>
                  <w:shd w:val="clear" w:color="auto" w:fill="auto"/>
                  <w:tcMar>
                    <w:top w:w="0" w:type="dxa"/>
                    <w:left w:w="28" w:type="dxa"/>
                    <w:bottom w:w="0" w:type="dxa"/>
                    <w:right w:w="28" w:type="dxa"/>
                  </w:tcMar>
                  <w:vAlign w:val="center"/>
                </w:tcPr>
                <w:p w14:paraId="6004528C">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right="0"/>
                    <w:jc w:val="both"/>
                    <w:textAlignment w:val="auto"/>
                    <w:rPr>
                      <w:rFonts w:hint="eastAsia" w:ascii="Times New Roman" w:hAnsi="Times New Roman" w:eastAsia="宋体" w:cs="Times New Roman"/>
                      <w:bCs w:val="0"/>
                      <w:color w:val="auto"/>
                      <w:kern w:val="2"/>
                      <w:sz w:val="18"/>
                      <w:szCs w:val="18"/>
                      <w:highlight w:val="none"/>
                      <w:lang w:val="en-US" w:eastAsia="zh-CN" w:bidi="ar-SA"/>
                    </w:rPr>
                  </w:pPr>
                  <w:r>
                    <w:rPr>
                      <w:rFonts w:hint="eastAsia" w:ascii="Times New Roman" w:hAnsi="Times New Roman" w:eastAsia="宋体" w:cs="Times New Roman"/>
                      <w:bCs w:val="0"/>
                      <w:color w:val="auto"/>
                      <w:kern w:val="2"/>
                      <w:sz w:val="18"/>
                      <w:szCs w:val="18"/>
                      <w:highlight w:val="none"/>
                      <w:lang w:val="en-US" w:eastAsia="zh-CN" w:bidi="ar-SA"/>
                    </w:rPr>
                    <w:t>动物尸体及相关废物的处置设施和设备应符合国家相关规定的要求。</w:t>
                  </w:r>
                </w:p>
              </w:tc>
              <w:tc>
                <w:tcPr>
                  <w:tcW w:w="3495" w:type="dxa"/>
                  <w:shd w:val="clear" w:color="auto" w:fill="auto"/>
                  <w:tcMar>
                    <w:top w:w="0" w:type="dxa"/>
                    <w:left w:w="28" w:type="dxa"/>
                    <w:bottom w:w="0" w:type="dxa"/>
                    <w:right w:w="28" w:type="dxa"/>
                  </w:tcMar>
                  <w:vAlign w:val="center"/>
                </w:tcPr>
                <w:p w14:paraId="4E43031F">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right="0"/>
                    <w:jc w:val="both"/>
                    <w:textAlignment w:val="auto"/>
                    <w:rPr>
                      <w:rFonts w:hint="eastAsia" w:ascii="Times New Roman" w:hAnsi="Times New Roman" w:eastAsia="宋体" w:cs="Times New Roman"/>
                      <w:bCs w:val="0"/>
                      <w:color w:val="auto"/>
                      <w:kern w:val="2"/>
                      <w:sz w:val="18"/>
                      <w:szCs w:val="18"/>
                      <w:highlight w:val="none"/>
                      <w:lang w:val="en-US" w:eastAsia="zh-CN" w:bidi="ar-SA"/>
                    </w:rPr>
                  </w:pPr>
                  <w:r>
                    <w:rPr>
                      <w:rFonts w:hint="eastAsia" w:ascii="Times New Roman" w:hAnsi="Times New Roman" w:eastAsia="宋体" w:cs="Times New Roman"/>
                      <w:bCs w:val="0"/>
                      <w:color w:val="auto"/>
                      <w:kern w:val="2"/>
                      <w:sz w:val="18"/>
                      <w:szCs w:val="18"/>
                      <w:highlight w:val="none"/>
                      <w:lang w:val="en-US" w:eastAsia="zh-CN" w:bidi="ar-SA"/>
                    </w:rPr>
                    <w:t>动物尸体和相关废物处理方式符合《实验动物</w:t>
                  </w:r>
                  <w:r>
                    <w:rPr>
                      <w:rFonts w:hint="default" w:ascii="Times New Roman" w:hAnsi="Times New Roman" w:eastAsia="宋体" w:cs="Times New Roman"/>
                      <w:bCs w:val="0"/>
                      <w:color w:val="auto"/>
                      <w:kern w:val="2"/>
                      <w:sz w:val="18"/>
                      <w:szCs w:val="18"/>
                      <w:highlight w:val="none"/>
                      <w:lang w:val="en-US" w:eastAsia="zh-CN" w:bidi="ar-SA"/>
                    </w:rPr>
                    <w:t xml:space="preserve"> </w:t>
                  </w:r>
                  <w:r>
                    <w:rPr>
                      <w:rFonts w:hint="eastAsia" w:ascii="Times New Roman" w:hAnsi="Times New Roman" w:eastAsia="宋体" w:cs="Times New Roman"/>
                      <w:bCs w:val="0"/>
                      <w:color w:val="auto"/>
                      <w:kern w:val="2"/>
                      <w:sz w:val="18"/>
                      <w:szCs w:val="18"/>
                      <w:highlight w:val="none"/>
                      <w:lang w:val="en-US" w:eastAsia="zh-CN" w:bidi="ar-SA"/>
                    </w:rPr>
                    <w:t>动物实验通用要求》（</w:t>
                  </w:r>
                  <w:r>
                    <w:rPr>
                      <w:rFonts w:hint="default" w:ascii="Times New Roman" w:hAnsi="Times New Roman" w:eastAsia="宋体" w:cs="Times New Roman"/>
                      <w:bCs w:val="0"/>
                      <w:color w:val="auto"/>
                      <w:kern w:val="2"/>
                      <w:sz w:val="18"/>
                      <w:szCs w:val="18"/>
                      <w:highlight w:val="none"/>
                      <w:lang w:val="en-US" w:eastAsia="zh-CN" w:bidi="ar-SA"/>
                    </w:rPr>
                    <w:t>GB/T 35823-2018</w:t>
                  </w:r>
                  <w:r>
                    <w:rPr>
                      <w:rFonts w:hint="eastAsia" w:ascii="Times New Roman" w:hAnsi="Times New Roman" w:eastAsia="宋体" w:cs="Times New Roman"/>
                      <w:bCs w:val="0"/>
                      <w:color w:val="auto"/>
                      <w:kern w:val="2"/>
                      <w:sz w:val="18"/>
                      <w:szCs w:val="18"/>
                      <w:highlight w:val="none"/>
                      <w:lang w:val="en-US" w:eastAsia="zh-CN" w:bidi="ar-SA"/>
                    </w:rPr>
                    <w:t>）要求。</w:t>
                  </w:r>
                </w:p>
              </w:tc>
              <w:tc>
                <w:tcPr>
                  <w:tcW w:w="800" w:type="dxa"/>
                  <w:vMerge w:val="continue"/>
                  <w:tcMar>
                    <w:top w:w="0" w:type="dxa"/>
                    <w:left w:w="28" w:type="dxa"/>
                    <w:bottom w:w="0" w:type="dxa"/>
                    <w:right w:w="28" w:type="dxa"/>
                  </w:tcMar>
                  <w:vAlign w:val="center"/>
                </w:tcPr>
                <w:p w14:paraId="68DA5000">
                  <w:pPr>
                    <w:pStyle w:val="128"/>
                    <w:keepNext w:val="0"/>
                    <w:keepLines w:val="0"/>
                    <w:pageBreakBefore w:val="0"/>
                    <w:widowControl w:val="0"/>
                    <w:suppressLineNumbers w:val="0"/>
                    <w:kinsoku/>
                    <w:wordWrap/>
                    <w:overflowPunct/>
                    <w:topLinePunct w:val="0"/>
                    <w:autoSpaceDE/>
                    <w:autoSpaceDN/>
                    <w:bidi w:val="0"/>
                    <w:adjustRightInd/>
                    <w:snapToGrid/>
                    <w:spacing w:before="0" w:beforeLines="0" w:beforeAutospacing="0" w:after="0" w:afterAutospacing="0" w:line="240" w:lineRule="auto"/>
                    <w:ind w:left="0" w:right="0"/>
                    <w:jc w:val="center"/>
                    <w:textAlignment w:val="auto"/>
                    <w:rPr>
                      <w:rFonts w:hint="eastAsia"/>
                      <w:color w:val="auto"/>
                      <w:highlight w:val="none"/>
                      <w:vertAlign w:val="baseline"/>
                    </w:rPr>
                  </w:pPr>
                </w:p>
              </w:tc>
            </w:tr>
            <w:tr w14:paraId="70B015C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180" w:type="dxa"/>
                  <w:gridSpan w:val="4"/>
                  <w:tcMar>
                    <w:top w:w="0" w:type="dxa"/>
                    <w:left w:w="28" w:type="dxa"/>
                    <w:bottom w:w="0" w:type="dxa"/>
                    <w:right w:w="28" w:type="dxa"/>
                  </w:tcMar>
                  <w:vAlign w:val="center"/>
                </w:tcPr>
                <w:p w14:paraId="6FFD6BA6">
                  <w:pPr>
                    <w:pStyle w:val="128"/>
                    <w:keepNext w:val="0"/>
                    <w:keepLines w:val="0"/>
                    <w:pageBreakBefore w:val="0"/>
                    <w:widowControl w:val="0"/>
                    <w:suppressLineNumbers w:val="0"/>
                    <w:kinsoku/>
                    <w:wordWrap/>
                    <w:overflowPunct/>
                    <w:topLinePunct w:val="0"/>
                    <w:autoSpaceDE/>
                    <w:autoSpaceDN/>
                    <w:bidi w:val="0"/>
                    <w:adjustRightInd/>
                    <w:snapToGrid/>
                    <w:spacing w:before="0" w:beforeLines="0" w:beforeAutospacing="0" w:after="0" w:afterAutospacing="0" w:line="240" w:lineRule="auto"/>
                    <w:ind w:left="0" w:right="0"/>
                    <w:jc w:val="center"/>
                    <w:textAlignment w:val="auto"/>
                    <w:rPr>
                      <w:rFonts w:hint="eastAsia"/>
                      <w:color w:val="auto"/>
                      <w:highlight w:val="none"/>
                      <w:vertAlign w:val="baseline"/>
                    </w:rPr>
                  </w:pPr>
                  <w:r>
                    <w:rPr>
                      <w:rFonts w:hint="default" w:ascii="Times New Roman" w:hAnsi="Times New Roman" w:eastAsia="宋体" w:cs="Times New Roman"/>
                      <w:bCs w:val="0"/>
                      <w:color w:val="auto"/>
                      <w:kern w:val="2"/>
                      <w:sz w:val="18"/>
                      <w:szCs w:val="18"/>
                      <w:highlight w:val="none"/>
                      <w:lang w:val="en-US" w:eastAsia="zh-CN" w:bidi="ar-SA"/>
                    </w:rPr>
                    <w:t xml:space="preserve">6.5.2ABSL-2 </w:t>
                  </w:r>
                  <w:r>
                    <w:rPr>
                      <w:rFonts w:hint="eastAsia" w:ascii="Times New Roman" w:hAnsi="Times New Roman" w:eastAsia="宋体" w:cs="Times New Roman"/>
                      <w:bCs w:val="0"/>
                      <w:color w:val="auto"/>
                      <w:kern w:val="2"/>
                      <w:sz w:val="18"/>
                      <w:szCs w:val="18"/>
                      <w:highlight w:val="none"/>
                      <w:lang w:val="en-US" w:eastAsia="zh-CN" w:bidi="ar-SA"/>
                    </w:rPr>
                    <w:t>实验室</w:t>
                  </w:r>
                </w:p>
              </w:tc>
            </w:tr>
            <w:tr w14:paraId="17054B2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75" w:type="dxa"/>
                  <w:tcMar>
                    <w:top w:w="0" w:type="dxa"/>
                    <w:left w:w="28" w:type="dxa"/>
                    <w:bottom w:w="0" w:type="dxa"/>
                    <w:right w:w="28" w:type="dxa"/>
                  </w:tcMar>
                  <w:vAlign w:val="center"/>
                </w:tcPr>
                <w:p w14:paraId="5130BE8D">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right="0"/>
                    <w:jc w:val="center"/>
                    <w:textAlignment w:val="auto"/>
                    <w:rPr>
                      <w:rFonts w:hint="eastAsia"/>
                      <w:color w:val="auto"/>
                      <w:highlight w:val="none"/>
                      <w:vertAlign w:val="baseline"/>
                    </w:rPr>
                  </w:pPr>
                  <w:r>
                    <w:rPr>
                      <w:rFonts w:hint="default" w:ascii="Times New Roman" w:hAnsi="Times New Roman" w:eastAsia="宋体" w:cs="Times New Roman"/>
                      <w:bCs w:val="0"/>
                      <w:color w:val="auto"/>
                      <w:kern w:val="2"/>
                      <w:sz w:val="18"/>
                      <w:szCs w:val="18"/>
                      <w:highlight w:val="none"/>
                      <w:lang w:val="en-US" w:eastAsia="zh-CN" w:bidi="ar-SA"/>
                    </w:rPr>
                    <w:fldChar w:fldCharType="begin"/>
                  </w:r>
                  <w:r>
                    <w:rPr>
                      <w:rFonts w:hint="default" w:ascii="Times New Roman" w:hAnsi="Times New Roman" w:eastAsia="宋体" w:cs="Times New Roman"/>
                      <w:bCs w:val="0"/>
                      <w:color w:val="auto"/>
                      <w:kern w:val="2"/>
                      <w:sz w:val="18"/>
                      <w:szCs w:val="18"/>
                      <w:highlight w:val="none"/>
                      <w:lang w:val="en-US" w:eastAsia="zh-CN" w:bidi="ar-SA"/>
                    </w:rPr>
                    <w:instrText xml:space="preserve"> HYPERLINK "file:///\\\\文字文稿3\\6.5.2.1" </w:instrText>
                  </w:r>
                  <w:r>
                    <w:rPr>
                      <w:rFonts w:hint="default" w:ascii="Times New Roman" w:hAnsi="Times New Roman" w:eastAsia="宋体" w:cs="Times New Roman"/>
                      <w:bCs w:val="0"/>
                      <w:color w:val="auto"/>
                      <w:kern w:val="2"/>
                      <w:sz w:val="18"/>
                      <w:szCs w:val="18"/>
                      <w:highlight w:val="none"/>
                      <w:lang w:val="en-US" w:eastAsia="zh-CN" w:bidi="ar-SA"/>
                    </w:rPr>
                    <w:fldChar w:fldCharType="separate"/>
                  </w:r>
                  <w:r>
                    <w:rPr>
                      <w:rFonts w:hint="default" w:ascii="Times New Roman" w:hAnsi="Times New Roman" w:eastAsia="宋体" w:cs="Times New Roman"/>
                      <w:bCs w:val="0"/>
                      <w:color w:val="auto"/>
                      <w:kern w:val="2"/>
                      <w:sz w:val="18"/>
                      <w:szCs w:val="18"/>
                      <w:highlight w:val="none"/>
                      <w:lang w:val="en-US" w:eastAsia="zh-CN" w:bidi="ar-SA"/>
                    </w:rPr>
                    <w:t>6.5.2.1</w:t>
                  </w:r>
                  <w:r>
                    <w:rPr>
                      <w:rFonts w:hint="default" w:ascii="Times New Roman" w:hAnsi="Times New Roman" w:eastAsia="宋体" w:cs="Times New Roman"/>
                      <w:bCs w:val="0"/>
                      <w:color w:val="auto"/>
                      <w:kern w:val="2"/>
                      <w:sz w:val="18"/>
                      <w:szCs w:val="18"/>
                      <w:highlight w:val="none"/>
                      <w:lang w:val="en-US" w:eastAsia="zh-CN" w:bidi="ar-SA"/>
                    </w:rPr>
                    <w:fldChar w:fldCharType="end"/>
                  </w:r>
                </w:p>
              </w:tc>
              <w:tc>
                <w:tcPr>
                  <w:tcW w:w="3210" w:type="dxa"/>
                  <w:tcMar>
                    <w:top w:w="0" w:type="dxa"/>
                    <w:left w:w="28" w:type="dxa"/>
                    <w:bottom w:w="0" w:type="dxa"/>
                    <w:right w:w="28" w:type="dxa"/>
                  </w:tcMar>
                  <w:vAlign w:val="center"/>
                </w:tcPr>
                <w:p w14:paraId="55685FD8">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right="0"/>
                    <w:jc w:val="both"/>
                    <w:textAlignment w:val="auto"/>
                    <w:rPr>
                      <w:rFonts w:hint="eastAsia"/>
                      <w:color w:val="auto"/>
                      <w:highlight w:val="none"/>
                      <w:vertAlign w:val="baseline"/>
                    </w:rPr>
                  </w:pPr>
                  <w:r>
                    <w:rPr>
                      <w:rFonts w:hint="eastAsia" w:ascii="Times New Roman" w:hAnsi="Times New Roman" w:eastAsia="宋体" w:cs="Times New Roman"/>
                      <w:bCs w:val="0"/>
                      <w:color w:val="auto"/>
                      <w:kern w:val="2"/>
                      <w:sz w:val="18"/>
                      <w:szCs w:val="18"/>
                      <w:highlight w:val="none"/>
                      <w:lang w:val="en-US" w:eastAsia="zh-CN" w:bidi="ar-SA"/>
                    </w:rPr>
                    <w:t>适用时，应符合</w:t>
                  </w:r>
                  <w:r>
                    <w:rPr>
                      <w:rFonts w:hint="default" w:ascii="Times New Roman" w:hAnsi="Times New Roman" w:eastAsia="宋体" w:cs="Times New Roman"/>
                      <w:bCs w:val="0"/>
                      <w:color w:val="auto"/>
                      <w:kern w:val="2"/>
                      <w:sz w:val="18"/>
                      <w:szCs w:val="18"/>
                      <w:highlight w:val="none"/>
                      <w:lang w:val="en-US" w:eastAsia="zh-CN" w:bidi="ar-SA"/>
                    </w:rPr>
                    <w:t>6.5.1</w:t>
                  </w:r>
                  <w:r>
                    <w:rPr>
                      <w:rFonts w:hint="eastAsia" w:ascii="Times New Roman" w:hAnsi="Times New Roman" w:eastAsia="宋体" w:cs="Times New Roman"/>
                      <w:bCs w:val="0"/>
                      <w:color w:val="auto"/>
                      <w:kern w:val="2"/>
                      <w:sz w:val="18"/>
                      <w:szCs w:val="18"/>
                      <w:highlight w:val="none"/>
                      <w:lang w:val="en-US" w:eastAsia="zh-CN" w:bidi="ar-SA"/>
                    </w:rPr>
                    <w:t>的要求。</w:t>
                  </w:r>
                </w:p>
              </w:tc>
              <w:tc>
                <w:tcPr>
                  <w:tcW w:w="3495" w:type="dxa"/>
                  <w:tcMar>
                    <w:top w:w="0" w:type="dxa"/>
                    <w:left w:w="28" w:type="dxa"/>
                    <w:bottom w:w="0" w:type="dxa"/>
                    <w:right w:w="28" w:type="dxa"/>
                  </w:tcMar>
                  <w:vAlign w:val="center"/>
                </w:tcPr>
                <w:p w14:paraId="7E010E40">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right="0"/>
                    <w:jc w:val="both"/>
                    <w:textAlignment w:val="auto"/>
                    <w:rPr>
                      <w:rFonts w:hint="eastAsia"/>
                      <w:color w:val="auto"/>
                      <w:highlight w:val="none"/>
                      <w:vertAlign w:val="baseline"/>
                    </w:rPr>
                  </w:pPr>
                  <w:r>
                    <w:rPr>
                      <w:rFonts w:hint="eastAsia" w:ascii="Times New Roman" w:hAnsi="Times New Roman" w:eastAsia="宋体" w:cs="Times New Roman"/>
                      <w:bCs w:val="0"/>
                      <w:color w:val="auto"/>
                      <w:kern w:val="2"/>
                      <w:sz w:val="18"/>
                      <w:szCs w:val="18"/>
                      <w:highlight w:val="none"/>
                      <w:lang w:val="en-US" w:eastAsia="zh-CN" w:bidi="ar-SA"/>
                    </w:rPr>
                    <w:t>项目</w:t>
                  </w:r>
                  <w:r>
                    <w:rPr>
                      <w:rFonts w:hint="default" w:ascii="Times New Roman" w:hAnsi="Times New Roman" w:eastAsia="宋体" w:cs="Times New Roman"/>
                      <w:bCs w:val="0"/>
                      <w:color w:val="auto"/>
                      <w:kern w:val="2"/>
                      <w:sz w:val="18"/>
                      <w:szCs w:val="18"/>
                      <w:highlight w:val="none"/>
                      <w:lang w:val="en-US" w:eastAsia="zh-CN" w:bidi="ar-SA"/>
                    </w:rPr>
                    <w:t>ABSL-2</w:t>
                  </w:r>
                  <w:r>
                    <w:rPr>
                      <w:rFonts w:hint="eastAsia" w:ascii="Times New Roman" w:hAnsi="Times New Roman" w:eastAsia="宋体" w:cs="Times New Roman"/>
                      <w:bCs w:val="0"/>
                      <w:color w:val="auto"/>
                      <w:kern w:val="2"/>
                      <w:sz w:val="18"/>
                      <w:szCs w:val="18"/>
                      <w:highlight w:val="none"/>
                      <w:lang w:val="en-US" w:eastAsia="zh-CN" w:bidi="ar-SA"/>
                    </w:rPr>
                    <w:t>实验区符合</w:t>
                  </w:r>
                  <w:r>
                    <w:rPr>
                      <w:rFonts w:hint="default" w:ascii="Times New Roman" w:hAnsi="Times New Roman" w:eastAsia="宋体" w:cs="Times New Roman"/>
                      <w:bCs w:val="0"/>
                      <w:color w:val="auto"/>
                      <w:kern w:val="2"/>
                      <w:sz w:val="18"/>
                      <w:szCs w:val="18"/>
                      <w:highlight w:val="none"/>
                      <w:lang w:val="en-US" w:eastAsia="zh-CN" w:bidi="ar-SA"/>
                    </w:rPr>
                    <w:t>6.5.1</w:t>
                  </w:r>
                  <w:r>
                    <w:rPr>
                      <w:rFonts w:hint="eastAsia" w:ascii="Times New Roman" w:hAnsi="Times New Roman" w:eastAsia="宋体" w:cs="Times New Roman"/>
                      <w:bCs w:val="0"/>
                      <w:color w:val="auto"/>
                      <w:kern w:val="2"/>
                      <w:sz w:val="18"/>
                      <w:szCs w:val="18"/>
                      <w:highlight w:val="none"/>
                      <w:lang w:val="en-US" w:eastAsia="zh-CN" w:bidi="ar-SA"/>
                    </w:rPr>
                    <w:t>中要求。</w:t>
                  </w:r>
                </w:p>
              </w:tc>
              <w:tc>
                <w:tcPr>
                  <w:tcW w:w="800" w:type="dxa"/>
                  <w:vMerge w:val="restart"/>
                  <w:tcMar>
                    <w:top w:w="0" w:type="dxa"/>
                    <w:left w:w="28" w:type="dxa"/>
                    <w:bottom w:w="0" w:type="dxa"/>
                    <w:right w:w="28" w:type="dxa"/>
                  </w:tcMar>
                  <w:vAlign w:val="center"/>
                </w:tcPr>
                <w:p w14:paraId="6D1E666D">
                  <w:pPr>
                    <w:pStyle w:val="128"/>
                    <w:keepNext w:val="0"/>
                    <w:keepLines w:val="0"/>
                    <w:pageBreakBefore w:val="0"/>
                    <w:widowControl w:val="0"/>
                    <w:suppressLineNumbers w:val="0"/>
                    <w:kinsoku/>
                    <w:wordWrap/>
                    <w:overflowPunct/>
                    <w:topLinePunct w:val="0"/>
                    <w:autoSpaceDE/>
                    <w:autoSpaceDN/>
                    <w:bidi w:val="0"/>
                    <w:adjustRightInd/>
                    <w:snapToGrid/>
                    <w:spacing w:before="0" w:beforeLines="0" w:beforeAutospacing="0" w:after="0" w:afterAutospacing="0" w:line="240" w:lineRule="auto"/>
                    <w:ind w:left="0" w:right="0"/>
                    <w:jc w:val="center"/>
                    <w:textAlignment w:val="auto"/>
                    <w:rPr>
                      <w:rFonts w:hint="eastAsia"/>
                      <w:color w:val="auto"/>
                      <w:highlight w:val="none"/>
                      <w:vertAlign w:val="baseline"/>
                    </w:rPr>
                  </w:pPr>
                  <w:r>
                    <w:rPr>
                      <w:rFonts w:hint="eastAsia"/>
                      <w:b w:val="0"/>
                      <w:bCs w:val="0"/>
                      <w:color w:val="auto"/>
                      <w:sz w:val="18"/>
                      <w:szCs w:val="18"/>
                      <w:highlight w:val="none"/>
                      <w:vertAlign w:val="baseline"/>
                      <w:lang w:val="en-US" w:eastAsia="zh-CN"/>
                    </w:rPr>
                    <w:t>相符</w:t>
                  </w:r>
                </w:p>
              </w:tc>
            </w:tr>
            <w:tr w14:paraId="06EF7E3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75" w:type="dxa"/>
                  <w:tcMar>
                    <w:top w:w="0" w:type="dxa"/>
                    <w:left w:w="28" w:type="dxa"/>
                    <w:bottom w:w="0" w:type="dxa"/>
                    <w:right w:w="28" w:type="dxa"/>
                  </w:tcMar>
                  <w:vAlign w:val="center"/>
                </w:tcPr>
                <w:p w14:paraId="416DAA0E">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right="0"/>
                    <w:jc w:val="center"/>
                    <w:textAlignment w:val="auto"/>
                    <w:rPr>
                      <w:rFonts w:hint="eastAsia"/>
                      <w:color w:val="auto"/>
                      <w:highlight w:val="none"/>
                      <w:vertAlign w:val="baseline"/>
                    </w:rPr>
                  </w:pPr>
                  <w:r>
                    <w:rPr>
                      <w:rFonts w:hint="default" w:ascii="Times New Roman" w:hAnsi="Times New Roman" w:eastAsia="宋体" w:cs="Times New Roman"/>
                      <w:bCs w:val="0"/>
                      <w:color w:val="auto"/>
                      <w:kern w:val="2"/>
                      <w:sz w:val="18"/>
                      <w:szCs w:val="18"/>
                      <w:highlight w:val="none"/>
                      <w:lang w:val="en-US" w:eastAsia="zh-CN" w:bidi="ar-SA"/>
                    </w:rPr>
                    <w:fldChar w:fldCharType="begin"/>
                  </w:r>
                  <w:r>
                    <w:rPr>
                      <w:rFonts w:hint="default" w:ascii="Times New Roman" w:hAnsi="Times New Roman" w:eastAsia="宋体" w:cs="Times New Roman"/>
                      <w:bCs w:val="0"/>
                      <w:color w:val="auto"/>
                      <w:kern w:val="2"/>
                      <w:sz w:val="18"/>
                      <w:szCs w:val="18"/>
                      <w:highlight w:val="none"/>
                      <w:lang w:val="en-US" w:eastAsia="zh-CN" w:bidi="ar-SA"/>
                    </w:rPr>
                    <w:instrText xml:space="preserve"> HYPERLINK "file:///\\\\文字文稿3\\6.5.2.2" </w:instrText>
                  </w:r>
                  <w:r>
                    <w:rPr>
                      <w:rFonts w:hint="default" w:ascii="Times New Roman" w:hAnsi="Times New Roman" w:eastAsia="宋体" w:cs="Times New Roman"/>
                      <w:bCs w:val="0"/>
                      <w:color w:val="auto"/>
                      <w:kern w:val="2"/>
                      <w:sz w:val="18"/>
                      <w:szCs w:val="18"/>
                      <w:highlight w:val="none"/>
                      <w:lang w:val="en-US" w:eastAsia="zh-CN" w:bidi="ar-SA"/>
                    </w:rPr>
                    <w:fldChar w:fldCharType="separate"/>
                  </w:r>
                  <w:r>
                    <w:rPr>
                      <w:rFonts w:hint="default" w:ascii="Times New Roman" w:hAnsi="Times New Roman" w:eastAsia="宋体" w:cs="Times New Roman"/>
                      <w:bCs w:val="0"/>
                      <w:color w:val="auto"/>
                      <w:kern w:val="2"/>
                      <w:sz w:val="18"/>
                      <w:szCs w:val="18"/>
                      <w:highlight w:val="none"/>
                      <w:lang w:val="en-US" w:eastAsia="zh-CN" w:bidi="ar-SA"/>
                    </w:rPr>
                    <w:t>6.5.2.2</w:t>
                  </w:r>
                  <w:r>
                    <w:rPr>
                      <w:rFonts w:hint="default" w:ascii="Times New Roman" w:hAnsi="Times New Roman" w:eastAsia="宋体" w:cs="Times New Roman"/>
                      <w:bCs w:val="0"/>
                      <w:color w:val="auto"/>
                      <w:kern w:val="2"/>
                      <w:sz w:val="18"/>
                      <w:szCs w:val="18"/>
                      <w:highlight w:val="none"/>
                      <w:lang w:val="en-US" w:eastAsia="zh-CN" w:bidi="ar-SA"/>
                    </w:rPr>
                    <w:fldChar w:fldCharType="end"/>
                  </w:r>
                </w:p>
              </w:tc>
              <w:tc>
                <w:tcPr>
                  <w:tcW w:w="3210" w:type="dxa"/>
                  <w:tcMar>
                    <w:top w:w="0" w:type="dxa"/>
                    <w:left w:w="28" w:type="dxa"/>
                    <w:bottom w:w="0" w:type="dxa"/>
                    <w:right w:w="28" w:type="dxa"/>
                  </w:tcMar>
                  <w:vAlign w:val="center"/>
                </w:tcPr>
                <w:p w14:paraId="1844C4C4">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right="0"/>
                    <w:jc w:val="both"/>
                    <w:textAlignment w:val="auto"/>
                    <w:rPr>
                      <w:rFonts w:hint="eastAsia"/>
                      <w:color w:val="auto"/>
                      <w:highlight w:val="none"/>
                      <w:vertAlign w:val="baseline"/>
                    </w:rPr>
                  </w:pPr>
                  <w:r>
                    <w:rPr>
                      <w:rFonts w:hint="eastAsia" w:ascii="Times New Roman" w:hAnsi="Times New Roman" w:eastAsia="宋体" w:cs="Times New Roman"/>
                      <w:bCs w:val="0"/>
                      <w:color w:val="auto"/>
                      <w:kern w:val="2"/>
                      <w:sz w:val="18"/>
                      <w:szCs w:val="18"/>
                      <w:highlight w:val="none"/>
                      <w:lang w:val="en-US" w:eastAsia="zh-CN" w:bidi="ar-SA"/>
                    </w:rPr>
                    <w:t>动物饲养间应在出入口处设置缓冲间。</w:t>
                  </w:r>
                </w:p>
              </w:tc>
              <w:tc>
                <w:tcPr>
                  <w:tcW w:w="3495" w:type="dxa"/>
                  <w:tcMar>
                    <w:top w:w="0" w:type="dxa"/>
                    <w:left w:w="28" w:type="dxa"/>
                    <w:bottom w:w="0" w:type="dxa"/>
                    <w:right w:w="28" w:type="dxa"/>
                  </w:tcMar>
                  <w:vAlign w:val="center"/>
                </w:tcPr>
                <w:p w14:paraId="11F97797">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right="0"/>
                    <w:jc w:val="both"/>
                    <w:textAlignment w:val="auto"/>
                    <w:rPr>
                      <w:rFonts w:hint="eastAsia"/>
                      <w:color w:val="auto"/>
                      <w:highlight w:val="none"/>
                      <w:vertAlign w:val="baseline"/>
                    </w:rPr>
                  </w:pPr>
                  <w:r>
                    <w:rPr>
                      <w:rFonts w:hint="eastAsia" w:ascii="Times New Roman" w:hAnsi="Times New Roman" w:eastAsia="宋体" w:cs="Times New Roman"/>
                      <w:bCs w:val="0"/>
                      <w:color w:val="auto"/>
                      <w:kern w:val="2"/>
                      <w:sz w:val="18"/>
                      <w:szCs w:val="18"/>
                      <w:highlight w:val="none"/>
                      <w:lang w:val="en-US" w:eastAsia="zh-CN" w:bidi="ar-SA"/>
                    </w:rPr>
                    <w:t>项目</w:t>
                  </w:r>
                  <w:r>
                    <w:rPr>
                      <w:rFonts w:hint="default" w:ascii="Times New Roman" w:hAnsi="Times New Roman" w:eastAsia="宋体" w:cs="Times New Roman"/>
                      <w:bCs w:val="0"/>
                      <w:color w:val="auto"/>
                      <w:kern w:val="2"/>
                      <w:sz w:val="18"/>
                      <w:szCs w:val="18"/>
                      <w:highlight w:val="none"/>
                      <w:lang w:val="en-US" w:eastAsia="zh-CN" w:bidi="ar-SA"/>
                    </w:rPr>
                    <w:t>ABSL-2</w:t>
                  </w:r>
                  <w:r>
                    <w:rPr>
                      <w:rFonts w:hint="eastAsia" w:ascii="Times New Roman" w:hAnsi="Times New Roman" w:eastAsia="宋体" w:cs="Times New Roman"/>
                      <w:bCs w:val="0"/>
                      <w:color w:val="auto"/>
                      <w:kern w:val="2"/>
                      <w:sz w:val="18"/>
                      <w:szCs w:val="18"/>
                      <w:highlight w:val="none"/>
                      <w:lang w:val="en-US" w:eastAsia="zh-CN" w:bidi="ar-SA"/>
                    </w:rPr>
                    <w:t>动物</w:t>
                  </w:r>
                  <w:r>
                    <w:rPr>
                      <w:rFonts w:hint="default" w:ascii="Times New Roman" w:hAnsi="Times New Roman" w:eastAsia="宋体" w:cs="Times New Roman"/>
                      <w:bCs w:val="0"/>
                      <w:color w:val="auto"/>
                      <w:kern w:val="2"/>
                      <w:sz w:val="18"/>
                      <w:szCs w:val="18"/>
                      <w:highlight w:val="none"/>
                      <w:lang w:val="en-US" w:eastAsia="zh-CN" w:bidi="ar-SA"/>
                    </w:rPr>
                    <w:t>饲养间</w:t>
                  </w:r>
                  <w:r>
                    <w:rPr>
                      <w:rFonts w:hint="eastAsia" w:ascii="Times New Roman" w:hAnsi="Times New Roman" w:eastAsia="宋体" w:cs="Times New Roman"/>
                      <w:bCs w:val="0"/>
                      <w:color w:val="auto"/>
                      <w:kern w:val="2"/>
                      <w:sz w:val="18"/>
                      <w:szCs w:val="18"/>
                      <w:highlight w:val="none"/>
                      <w:lang w:val="en-US" w:eastAsia="zh-CN" w:bidi="ar-SA"/>
                    </w:rPr>
                    <w:t>入口处设有缓冲间。</w:t>
                  </w:r>
                </w:p>
              </w:tc>
              <w:tc>
                <w:tcPr>
                  <w:tcW w:w="800" w:type="dxa"/>
                  <w:vMerge w:val="continue"/>
                  <w:tcMar>
                    <w:top w:w="0" w:type="dxa"/>
                    <w:left w:w="28" w:type="dxa"/>
                    <w:bottom w:w="0" w:type="dxa"/>
                    <w:right w:w="28" w:type="dxa"/>
                  </w:tcMar>
                  <w:vAlign w:val="center"/>
                </w:tcPr>
                <w:p w14:paraId="211A31BB">
                  <w:pPr>
                    <w:pStyle w:val="128"/>
                    <w:keepNext w:val="0"/>
                    <w:keepLines w:val="0"/>
                    <w:pageBreakBefore w:val="0"/>
                    <w:widowControl w:val="0"/>
                    <w:suppressLineNumbers w:val="0"/>
                    <w:kinsoku/>
                    <w:wordWrap/>
                    <w:overflowPunct/>
                    <w:topLinePunct w:val="0"/>
                    <w:autoSpaceDE/>
                    <w:autoSpaceDN/>
                    <w:bidi w:val="0"/>
                    <w:adjustRightInd/>
                    <w:snapToGrid/>
                    <w:spacing w:before="0" w:beforeLines="0" w:beforeAutospacing="0" w:after="0" w:afterAutospacing="0" w:line="240" w:lineRule="auto"/>
                    <w:ind w:left="0" w:right="0"/>
                    <w:jc w:val="center"/>
                    <w:textAlignment w:val="auto"/>
                    <w:rPr>
                      <w:rFonts w:hint="eastAsia"/>
                      <w:color w:val="auto"/>
                      <w:highlight w:val="none"/>
                      <w:vertAlign w:val="baseline"/>
                    </w:rPr>
                  </w:pPr>
                </w:p>
              </w:tc>
            </w:tr>
            <w:tr w14:paraId="216FA97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75" w:type="dxa"/>
                  <w:tcMar>
                    <w:top w:w="0" w:type="dxa"/>
                    <w:left w:w="28" w:type="dxa"/>
                    <w:bottom w:w="0" w:type="dxa"/>
                    <w:right w:w="28" w:type="dxa"/>
                  </w:tcMar>
                  <w:vAlign w:val="center"/>
                </w:tcPr>
                <w:p w14:paraId="13FE24B1">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right="0"/>
                    <w:jc w:val="center"/>
                    <w:textAlignment w:val="auto"/>
                    <w:rPr>
                      <w:rFonts w:hint="eastAsia"/>
                      <w:color w:val="auto"/>
                      <w:highlight w:val="none"/>
                      <w:vertAlign w:val="baseline"/>
                    </w:rPr>
                  </w:pPr>
                  <w:r>
                    <w:rPr>
                      <w:rFonts w:hint="default" w:ascii="Times New Roman" w:hAnsi="Times New Roman" w:eastAsia="宋体" w:cs="Times New Roman"/>
                      <w:bCs w:val="0"/>
                      <w:color w:val="auto"/>
                      <w:kern w:val="2"/>
                      <w:sz w:val="18"/>
                      <w:szCs w:val="18"/>
                      <w:highlight w:val="none"/>
                      <w:lang w:val="en-US" w:eastAsia="zh-CN" w:bidi="ar-SA"/>
                    </w:rPr>
                    <w:fldChar w:fldCharType="begin"/>
                  </w:r>
                  <w:r>
                    <w:rPr>
                      <w:rFonts w:hint="default" w:ascii="Times New Roman" w:hAnsi="Times New Roman" w:eastAsia="宋体" w:cs="Times New Roman"/>
                      <w:bCs w:val="0"/>
                      <w:color w:val="auto"/>
                      <w:kern w:val="2"/>
                      <w:sz w:val="18"/>
                      <w:szCs w:val="18"/>
                      <w:highlight w:val="none"/>
                      <w:lang w:val="en-US" w:eastAsia="zh-CN" w:bidi="ar-SA"/>
                    </w:rPr>
                    <w:instrText xml:space="preserve"> HYPERLINK "file:///\\\\文字文稿3\\6.5.2.3" </w:instrText>
                  </w:r>
                  <w:r>
                    <w:rPr>
                      <w:rFonts w:hint="default" w:ascii="Times New Roman" w:hAnsi="Times New Roman" w:eastAsia="宋体" w:cs="Times New Roman"/>
                      <w:bCs w:val="0"/>
                      <w:color w:val="auto"/>
                      <w:kern w:val="2"/>
                      <w:sz w:val="18"/>
                      <w:szCs w:val="18"/>
                      <w:highlight w:val="none"/>
                      <w:lang w:val="en-US" w:eastAsia="zh-CN" w:bidi="ar-SA"/>
                    </w:rPr>
                    <w:fldChar w:fldCharType="separate"/>
                  </w:r>
                  <w:r>
                    <w:rPr>
                      <w:rFonts w:hint="default" w:ascii="Times New Roman" w:hAnsi="Times New Roman" w:eastAsia="宋体" w:cs="Times New Roman"/>
                      <w:bCs w:val="0"/>
                      <w:color w:val="auto"/>
                      <w:kern w:val="2"/>
                      <w:sz w:val="18"/>
                      <w:szCs w:val="18"/>
                      <w:highlight w:val="none"/>
                      <w:lang w:val="en-US" w:eastAsia="zh-CN" w:bidi="ar-SA"/>
                    </w:rPr>
                    <w:t>6.5.2.3</w:t>
                  </w:r>
                  <w:r>
                    <w:rPr>
                      <w:rFonts w:hint="default" w:ascii="Times New Roman" w:hAnsi="Times New Roman" w:eastAsia="宋体" w:cs="Times New Roman"/>
                      <w:bCs w:val="0"/>
                      <w:color w:val="auto"/>
                      <w:kern w:val="2"/>
                      <w:sz w:val="18"/>
                      <w:szCs w:val="18"/>
                      <w:highlight w:val="none"/>
                      <w:lang w:val="en-US" w:eastAsia="zh-CN" w:bidi="ar-SA"/>
                    </w:rPr>
                    <w:fldChar w:fldCharType="end"/>
                  </w:r>
                </w:p>
              </w:tc>
              <w:tc>
                <w:tcPr>
                  <w:tcW w:w="3210" w:type="dxa"/>
                  <w:tcMar>
                    <w:top w:w="0" w:type="dxa"/>
                    <w:left w:w="28" w:type="dxa"/>
                    <w:bottom w:w="0" w:type="dxa"/>
                    <w:right w:w="28" w:type="dxa"/>
                  </w:tcMar>
                  <w:vAlign w:val="center"/>
                </w:tcPr>
                <w:p w14:paraId="7D3D3407">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right="0"/>
                    <w:jc w:val="both"/>
                    <w:textAlignment w:val="auto"/>
                    <w:rPr>
                      <w:rFonts w:hint="eastAsia"/>
                      <w:color w:val="auto"/>
                      <w:highlight w:val="none"/>
                      <w:vertAlign w:val="baseline"/>
                    </w:rPr>
                  </w:pPr>
                  <w:r>
                    <w:rPr>
                      <w:rFonts w:hint="eastAsia" w:ascii="Times New Roman" w:hAnsi="Times New Roman" w:eastAsia="宋体" w:cs="Times New Roman"/>
                      <w:bCs w:val="0"/>
                      <w:color w:val="auto"/>
                      <w:kern w:val="2"/>
                      <w:sz w:val="18"/>
                      <w:szCs w:val="18"/>
                      <w:highlight w:val="none"/>
                      <w:lang w:val="en-US" w:eastAsia="zh-CN" w:bidi="ar-SA"/>
                    </w:rPr>
                    <w:t>应设置非手动洗手池或手部清洁装置，宜设置在出口处。</w:t>
                  </w:r>
                </w:p>
              </w:tc>
              <w:tc>
                <w:tcPr>
                  <w:tcW w:w="3495" w:type="dxa"/>
                  <w:tcMar>
                    <w:top w:w="0" w:type="dxa"/>
                    <w:left w:w="28" w:type="dxa"/>
                    <w:bottom w:w="0" w:type="dxa"/>
                    <w:right w:w="28" w:type="dxa"/>
                  </w:tcMar>
                  <w:vAlign w:val="center"/>
                </w:tcPr>
                <w:p w14:paraId="27B2458D">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right="0"/>
                    <w:jc w:val="both"/>
                    <w:textAlignment w:val="auto"/>
                    <w:rPr>
                      <w:rFonts w:hint="eastAsia"/>
                      <w:color w:val="auto"/>
                      <w:highlight w:val="none"/>
                      <w:vertAlign w:val="baseline"/>
                    </w:rPr>
                  </w:pPr>
                  <w:r>
                    <w:rPr>
                      <w:rFonts w:hint="eastAsia" w:ascii="Times New Roman" w:hAnsi="Times New Roman" w:eastAsia="宋体" w:cs="Times New Roman"/>
                      <w:bCs w:val="0"/>
                      <w:color w:val="auto"/>
                      <w:kern w:val="2"/>
                      <w:sz w:val="18"/>
                      <w:szCs w:val="18"/>
                      <w:highlight w:val="none"/>
                      <w:lang w:val="en-US" w:eastAsia="zh-CN" w:bidi="ar-SA"/>
                    </w:rPr>
                    <w:t>项目</w:t>
                  </w:r>
                  <w:r>
                    <w:rPr>
                      <w:rFonts w:hint="default" w:ascii="Times New Roman" w:hAnsi="Times New Roman" w:eastAsia="宋体" w:cs="Times New Roman"/>
                      <w:bCs w:val="0"/>
                      <w:color w:val="auto"/>
                      <w:kern w:val="2"/>
                      <w:sz w:val="18"/>
                      <w:szCs w:val="18"/>
                      <w:highlight w:val="none"/>
                      <w:lang w:val="en-US" w:eastAsia="zh-CN" w:bidi="ar-SA"/>
                    </w:rPr>
                    <w:t>ABSL-2</w:t>
                  </w:r>
                  <w:r>
                    <w:rPr>
                      <w:rFonts w:hint="eastAsia" w:ascii="Times New Roman" w:hAnsi="Times New Roman" w:eastAsia="宋体" w:cs="Times New Roman"/>
                      <w:bCs w:val="0"/>
                      <w:color w:val="auto"/>
                      <w:kern w:val="2"/>
                      <w:sz w:val="18"/>
                      <w:szCs w:val="18"/>
                      <w:highlight w:val="none"/>
                      <w:lang w:val="en-US" w:eastAsia="zh-CN" w:bidi="ar-SA"/>
                    </w:rPr>
                    <w:t>实验室内和出口处设有自动洗手池。</w:t>
                  </w:r>
                </w:p>
              </w:tc>
              <w:tc>
                <w:tcPr>
                  <w:tcW w:w="800" w:type="dxa"/>
                  <w:vMerge w:val="continue"/>
                  <w:tcMar>
                    <w:top w:w="0" w:type="dxa"/>
                    <w:left w:w="28" w:type="dxa"/>
                    <w:bottom w:w="0" w:type="dxa"/>
                    <w:right w:w="28" w:type="dxa"/>
                  </w:tcMar>
                  <w:vAlign w:val="center"/>
                </w:tcPr>
                <w:p w14:paraId="6EC1B2B8">
                  <w:pPr>
                    <w:pStyle w:val="128"/>
                    <w:keepNext w:val="0"/>
                    <w:keepLines w:val="0"/>
                    <w:pageBreakBefore w:val="0"/>
                    <w:widowControl w:val="0"/>
                    <w:suppressLineNumbers w:val="0"/>
                    <w:kinsoku/>
                    <w:wordWrap/>
                    <w:overflowPunct/>
                    <w:topLinePunct w:val="0"/>
                    <w:autoSpaceDE/>
                    <w:autoSpaceDN/>
                    <w:bidi w:val="0"/>
                    <w:adjustRightInd/>
                    <w:snapToGrid/>
                    <w:spacing w:before="0" w:beforeLines="0" w:beforeAutospacing="0" w:after="0" w:afterAutospacing="0" w:line="240" w:lineRule="auto"/>
                    <w:ind w:left="0" w:right="0"/>
                    <w:jc w:val="center"/>
                    <w:textAlignment w:val="auto"/>
                    <w:rPr>
                      <w:rFonts w:hint="eastAsia"/>
                      <w:color w:val="auto"/>
                      <w:highlight w:val="none"/>
                      <w:vertAlign w:val="baseline"/>
                    </w:rPr>
                  </w:pPr>
                </w:p>
              </w:tc>
            </w:tr>
            <w:tr w14:paraId="3A8CE7E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75" w:type="dxa"/>
                  <w:tcMar>
                    <w:top w:w="0" w:type="dxa"/>
                    <w:left w:w="28" w:type="dxa"/>
                    <w:bottom w:w="0" w:type="dxa"/>
                    <w:right w:w="28" w:type="dxa"/>
                  </w:tcMar>
                  <w:vAlign w:val="center"/>
                </w:tcPr>
                <w:p w14:paraId="61C0FD56">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right="0"/>
                    <w:jc w:val="center"/>
                    <w:textAlignment w:val="auto"/>
                    <w:rPr>
                      <w:rFonts w:hint="eastAsia"/>
                      <w:color w:val="auto"/>
                      <w:highlight w:val="none"/>
                      <w:vertAlign w:val="baseline"/>
                    </w:rPr>
                  </w:pPr>
                  <w:r>
                    <w:rPr>
                      <w:rFonts w:hint="default" w:ascii="Times New Roman" w:hAnsi="Times New Roman" w:eastAsia="宋体" w:cs="Times New Roman"/>
                      <w:bCs w:val="0"/>
                      <w:color w:val="auto"/>
                      <w:kern w:val="2"/>
                      <w:sz w:val="18"/>
                      <w:szCs w:val="18"/>
                      <w:highlight w:val="none"/>
                      <w:lang w:val="en-US" w:eastAsia="zh-CN" w:bidi="ar-SA"/>
                    </w:rPr>
                    <w:fldChar w:fldCharType="begin"/>
                  </w:r>
                  <w:r>
                    <w:rPr>
                      <w:rFonts w:hint="default" w:ascii="Times New Roman" w:hAnsi="Times New Roman" w:eastAsia="宋体" w:cs="Times New Roman"/>
                      <w:bCs w:val="0"/>
                      <w:color w:val="auto"/>
                      <w:kern w:val="2"/>
                      <w:sz w:val="18"/>
                      <w:szCs w:val="18"/>
                      <w:highlight w:val="none"/>
                      <w:lang w:val="en-US" w:eastAsia="zh-CN" w:bidi="ar-SA"/>
                    </w:rPr>
                    <w:instrText xml:space="preserve"> HYPERLINK "file:///\\\\文字文稿3\\6.5.2.4" </w:instrText>
                  </w:r>
                  <w:r>
                    <w:rPr>
                      <w:rFonts w:hint="default" w:ascii="Times New Roman" w:hAnsi="Times New Roman" w:eastAsia="宋体" w:cs="Times New Roman"/>
                      <w:bCs w:val="0"/>
                      <w:color w:val="auto"/>
                      <w:kern w:val="2"/>
                      <w:sz w:val="18"/>
                      <w:szCs w:val="18"/>
                      <w:highlight w:val="none"/>
                      <w:lang w:val="en-US" w:eastAsia="zh-CN" w:bidi="ar-SA"/>
                    </w:rPr>
                    <w:fldChar w:fldCharType="separate"/>
                  </w:r>
                  <w:r>
                    <w:rPr>
                      <w:rFonts w:hint="default" w:ascii="Times New Roman" w:hAnsi="Times New Roman" w:eastAsia="宋体" w:cs="Times New Roman"/>
                      <w:bCs w:val="0"/>
                      <w:color w:val="auto"/>
                      <w:kern w:val="2"/>
                      <w:sz w:val="18"/>
                      <w:szCs w:val="18"/>
                      <w:highlight w:val="none"/>
                      <w:lang w:val="en-US" w:eastAsia="zh-CN" w:bidi="ar-SA"/>
                    </w:rPr>
                    <w:t>6.5.2.4</w:t>
                  </w:r>
                  <w:r>
                    <w:rPr>
                      <w:rFonts w:hint="default" w:ascii="Times New Roman" w:hAnsi="Times New Roman" w:eastAsia="宋体" w:cs="Times New Roman"/>
                      <w:bCs w:val="0"/>
                      <w:color w:val="auto"/>
                      <w:kern w:val="2"/>
                      <w:sz w:val="18"/>
                      <w:szCs w:val="18"/>
                      <w:highlight w:val="none"/>
                      <w:lang w:val="en-US" w:eastAsia="zh-CN" w:bidi="ar-SA"/>
                    </w:rPr>
                    <w:fldChar w:fldCharType="end"/>
                  </w:r>
                </w:p>
              </w:tc>
              <w:tc>
                <w:tcPr>
                  <w:tcW w:w="3210" w:type="dxa"/>
                  <w:tcMar>
                    <w:top w:w="0" w:type="dxa"/>
                    <w:left w:w="28" w:type="dxa"/>
                    <w:bottom w:w="0" w:type="dxa"/>
                    <w:right w:w="28" w:type="dxa"/>
                  </w:tcMar>
                  <w:vAlign w:val="center"/>
                </w:tcPr>
                <w:p w14:paraId="00FDE29B">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right="0"/>
                    <w:jc w:val="both"/>
                    <w:textAlignment w:val="auto"/>
                    <w:rPr>
                      <w:rFonts w:hint="eastAsia"/>
                      <w:color w:val="auto"/>
                      <w:highlight w:val="none"/>
                      <w:vertAlign w:val="baseline"/>
                    </w:rPr>
                  </w:pPr>
                  <w:r>
                    <w:rPr>
                      <w:rFonts w:hint="eastAsia" w:ascii="Times New Roman" w:hAnsi="Times New Roman" w:eastAsia="宋体" w:cs="Times New Roman"/>
                      <w:bCs w:val="0"/>
                      <w:color w:val="auto"/>
                      <w:kern w:val="2"/>
                      <w:sz w:val="18"/>
                      <w:szCs w:val="18"/>
                      <w:highlight w:val="none"/>
                      <w:lang w:val="en-US" w:eastAsia="zh-CN" w:bidi="ar-SA"/>
                    </w:rPr>
                    <w:t>应在邻近区域配备高压蒸汽灭菌器。</w:t>
                  </w:r>
                </w:p>
              </w:tc>
              <w:tc>
                <w:tcPr>
                  <w:tcW w:w="3495" w:type="dxa"/>
                  <w:tcMar>
                    <w:top w:w="0" w:type="dxa"/>
                    <w:left w:w="28" w:type="dxa"/>
                    <w:bottom w:w="0" w:type="dxa"/>
                    <w:right w:w="28" w:type="dxa"/>
                  </w:tcMar>
                  <w:vAlign w:val="center"/>
                </w:tcPr>
                <w:p w14:paraId="78CCBD1E">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right="0"/>
                    <w:jc w:val="both"/>
                    <w:textAlignment w:val="auto"/>
                    <w:rPr>
                      <w:rFonts w:hint="eastAsia"/>
                      <w:color w:val="auto"/>
                      <w:highlight w:val="none"/>
                      <w:vertAlign w:val="baseline"/>
                    </w:rPr>
                  </w:pPr>
                  <w:r>
                    <w:rPr>
                      <w:rFonts w:hint="eastAsia" w:ascii="Times New Roman" w:hAnsi="Times New Roman" w:eastAsia="宋体" w:cs="Times New Roman"/>
                      <w:bCs w:val="0"/>
                      <w:color w:val="auto"/>
                      <w:kern w:val="2"/>
                      <w:sz w:val="18"/>
                      <w:szCs w:val="18"/>
                      <w:highlight w:val="none"/>
                      <w:lang w:val="en-US" w:eastAsia="zh-CN" w:bidi="ar-SA"/>
                    </w:rPr>
                    <w:t>项目</w:t>
                  </w:r>
                  <w:r>
                    <w:rPr>
                      <w:rFonts w:hint="default" w:ascii="Times New Roman" w:hAnsi="Times New Roman" w:eastAsia="宋体" w:cs="Times New Roman"/>
                      <w:bCs w:val="0"/>
                      <w:color w:val="auto"/>
                      <w:kern w:val="2"/>
                      <w:sz w:val="18"/>
                      <w:szCs w:val="18"/>
                      <w:highlight w:val="none"/>
                      <w:lang w:val="en-US" w:eastAsia="zh-CN" w:bidi="ar-SA"/>
                    </w:rPr>
                    <w:t>ABSL-2</w:t>
                  </w:r>
                  <w:r>
                    <w:rPr>
                      <w:rFonts w:hint="eastAsia" w:ascii="Times New Roman" w:hAnsi="Times New Roman" w:eastAsia="宋体" w:cs="Times New Roman"/>
                      <w:bCs w:val="0"/>
                      <w:color w:val="auto"/>
                      <w:kern w:val="2"/>
                      <w:sz w:val="18"/>
                      <w:szCs w:val="18"/>
                      <w:highlight w:val="none"/>
                      <w:lang w:val="en-US" w:eastAsia="zh-CN" w:bidi="ar-SA"/>
                    </w:rPr>
                    <w:t>实验室邻近</w:t>
                  </w:r>
                  <w:r>
                    <w:rPr>
                      <w:rFonts w:hint="default" w:ascii="Times New Roman" w:hAnsi="Times New Roman" w:eastAsia="宋体" w:cs="Times New Roman"/>
                      <w:bCs w:val="0"/>
                      <w:color w:val="auto"/>
                      <w:kern w:val="2"/>
                      <w:sz w:val="18"/>
                      <w:szCs w:val="18"/>
                      <w:highlight w:val="none"/>
                      <w:lang w:val="en-US" w:eastAsia="zh-CN" w:bidi="ar-SA"/>
                    </w:rPr>
                    <w:t>区域</w:t>
                  </w:r>
                  <w:r>
                    <w:rPr>
                      <w:rFonts w:hint="eastAsia" w:ascii="Times New Roman" w:hAnsi="Times New Roman" w:eastAsia="宋体" w:cs="Times New Roman"/>
                      <w:bCs w:val="0"/>
                      <w:color w:val="auto"/>
                      <w:kern w:val="2"/>
                      <w:sz w:val="18"/>
                      <w:szCs w:val="18"/>
                      <w:highlight w:val="none"/>
                      <w:lang w:val="en-US" w:eastAsia="zh-CN" w:bidi="ar-SA"/>
                    </w:rPr>
                    <w:t>配有高压蒸汽灭菌装置。</w:t>
                  </w:r>
                </w:p>
              </w:tc>
              <w:tc>
                <w:tcPr>
                  <w:tcW w:w="800" w:type="dxa"/>
                  <w:vMerge w:val="continue"/>
                  <w:tcMar>
                    <w:top w:w="0" w:type="dxa"/>
                    <w:left w:w="28" w:type="dxa"/>
                    <w:bottom w:w="0" w:type="dxa"/>
                    <w:right w:w="28" w:type="dxa"/>
                  </w:tcMar>
                  <w:vAlign w:val="center"/>
                </w:tcPr>
                <w:p w14:paraId="10F1092D">
                  <w:pPr>
                    <w:pStyle w:val="128"/>
                    <w:keepNext w:val="0"/>
                    <w:keepLines w:val="0"/>
                    <w:pageBreakBefore w:val="0"/>
                    <w:widowControl w:val="0"/>
                    <w:suppressLineNumbers w:val="0"/>
                    <w:kinsoku/>
                    <w:wordWrap/>
                    <w:overflowPunct/>
                    <w:topLinePunct w:val="0"/>
                    <w:autoSpaceDE/>
                    <w:autoSpaceDN/>
                    <w:bidi w:val="0"/>
                    <w:adjustRightInd/>
                    <w:snapToGrid/>
                    <w:spacing w:before="0" w:beforeLines="0" w:beforeAutospacing="0" w:after="0" w:afterAutospacing="0" w:line="240" w:lineRule="auto"/>
                    <w:ind w:left="0" w:right="0"/>
                    <w:jc w:val="center"/>
                    <w:textAlignment w:val="auto"/>
                    <w:rPr>
                      <w:rFonts w:hint="eastAsia"/>
                      <w:color w:val="auto"/>
                      <w:highlight w:val="none"/>
                      <w:vertAlign w:val="baseline"/>
                    </w:rPr>
                  </w:pPr>
                </w:p>
              </w:tc>
            </w:tr>
            <w:tr w14:paraId="3AF9971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75" w:type="dxa"/>
                  <w:tcMar>
                    <w:top w:w="0" w:type="dxa"/>
                    <w:left w:w="28" w:type="dxa"/>
                    <w:bottom w:w="0" w:type="dxa"/>
                    <w:right w:w="28" w:type="dxa"/>
                  </w:tcMar>
                  <w:vAlign w:val="center"/>
                </w:tcPr>
                <w:p w14:paraId="6E461B8E">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right="0"/>
                    <w:jc w:val="center"/>
                    <w:textAlignment w:val="auto"/>
                    <w:rPr>
                      <w:rFonts w:hint="eastAsia"/>
                      <w:color w:val="auto"/>
                      <w:highlight w:val="none"/>
                      <w:vertAlign w:val="baseline"/>
                    </w:rPr>
                  </w:pPr>
                  <w:r>
                    <w:rPr>
                      <w:rFonts w:hint="default" w:ascii="Times New Roman" w:hAnsi="Times New Roman" w:eastAsia="宋体" w:cs="Times New Roman"/>
                      <w:bCs w:val="0"/>
                      <w:color w:val="auto"/>
                      <w:kern w:val="2"/>
                      <w:sz w:val="18"/>
                      <w:szCs w:val="18"/>
                      <w:highlight w:val="none"/>
                      <w:lang w:val="en-US" w:eastAsia="zh-CN" w:bidi="ar-SA"/>
                    </w:rPr>
                    <w:fldChar w:fldCharType="begin"/>
                  </w:r>
                  <w:r>
                    <w:rPr>
                      <w:rFonts w:hint="default" w:ascii="Times New Roman" w:hAnsi="Times New Roman" w:eastAsia="宋体" w:cs="Times New Roman"/>
                      <w:bCs w:val="0"/>
                      <w:color w:val="auto"/>
                      <w:kern w:val="2"/>
                      <w:sz w:val="18"/>
                      <w:szCs w:val="18"/>
                      <w:highlight w:val="none"/>
                      <w:lang w:val="en-US" w:eastAsia="zh-CN" w:bidi="ar-SA"/>
                    </w:rPr>
                    <w:instrText xml:space="preserve"> HYPERLINK "file:///\\\\文字文稿3\\6.5.2.5" </w:instrText>
                  </w:r>
                  <w:r>
                    <w:rPr>
                      <w:rFonts w:hint="default" w:ascii="Times New Roman" w:hAnsi="Times New Roman" w:eastAsia="宋体" w:cs="Times New Roman"/>
                      <w:bCs w:val="0"/>
                      <w:color w:val="auto"/>
                      <w:kern w:val="2"/>
                      <w:sz w:val="18"/>
                      <w:szCs w:val="18"/>
                      <w:highlight w:val="none"/>
                      <w:lang w:val="en-US" w:eastAsia="zh-CN" w:bidi="ar-SA"/>
                    </w:rPr>
                    <w:fldChar w:fldCharType="separate"/>
                  </w:r>
                  <w:r>
                    <w:rPr>
                      <w:rFonts w:hint="default" w:ascii="Times New Roman" w:hAnsi="Times New Roman" w:eastAsia="宋体" w:cs="Times New Roman"/>
                      <w:bCs w:val="0"/>
                      <w:color w:val="auto"/>
                      <w:kern w:val="2"/>
                      <w:sz w:val="18"/>
                      <w:szCs w:val="18"/>
                      <w:highlight w:val="none"/>
                      <w:lang w:val="en-US" w:eastAsia="zh-CN" w:bidi="ar-SA"/>
                    </w:rPr>
                    <w:t>6.5.2.5</w:t>
                  </w:r>
                  <w:r>
                    <w:rPr>
                      <w:rFonts w:hint="default" w:ascii="Times New Roman" w:hAnsi="Times New Roman" w:eastAsia="宋体" w:cs="Times New Roman"/>
                      <w:bCs w:val="0"/>
                      <w:color w:val="auto"/>
                      <w:kern w:val="2"/>
                      <w:sz w:val="18"/>
                      <w:szCs w:val="18"/>
                      <w:highlight w:val="none"/>
                      <w:lang w:val="en-US" w:eastAsia="zh-CN" w:bidi="ar-SA"/>
                    </w:rPr>
                    <w:fldChar w:fldCharType="end"/>
                  </w:r>
                </w:p>
              </w:tc>
              <w:tc>
                <w:tcPr>
                  <w:tcW w:w="3210" w:type="dxa"/>
                  <w:tcMar>
                    <w:top w:w="0" w:type="dxa"/>
                    <w:left w:w="28" w:type="dxa"/>
                    <w:bottom w:w="0" w:type="dxa"/>
                    <w:right w:w="28" w:type="dxa"/>
                  </w:tcMar>
                  <w:vAlign w:val="center"/>
                </w:tcPr>
                <w:p w14:paraId="07820295">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right="0"/>
                    <w:jc w:val="both"/>
                    <w:textAlignment w:val="auto"/>
                    <w:rPr>
                      <w:rFonts w:hint="eastAsia"/>
                      <w:color w:val="auto"/>
                      <w:highlight w:val="none"/>
                      <w:vertAlign w:val="baseline"/>
                    </w:rPr>
                  </w:pPr>
                  <w:r>
                    <w:rPr>
                      <w:rFonts w:hint="eastAsia" w:ascii="Times New Roman" w:hAnsi="Times New Roman" w:eastAsia="宋体" w:cs="Times New Roman"/>
                      <w:bCs w:val="0"/>
                      <w:color w:val="auto"/>
                      <w:kern w:val="2"/>
                      <w:sz w:val="18"/>
                      <w:szCs w:val="18"/>
                      <w:highlight w:val="none"/>
                      <w:lang w:val="en-US" w:eastAsia="zh-CN" w:bidi="ar-SA"/>
                    </w:rPr>
                    <w:t>使用时，应在安全隔离装置内从事可能产生有害气溶胶的活动；排气应经</w:t>
                  </w:r>
                  <w:r>
                    <w:rPr>
                      <w:rFonts w:hint="default" w:ascii="Times New Roman" w:hAnsi="Times New Roman" w:eastAsia="宋体" w:cs="Times New Roman"/>
                      <w:bCs w:val="0"/>
                      <w:color w:val="auto"/>
                      <w:kern w:val="2"/>
                      <w:sz w:val="18"/>
                      <w:szCs w:val="18"/>
                      <w:highlight w:val="none"/>
                      <w:lang w:val="en-US" w:eastAsia="zh-CN" w:bidi="ar-SA"/>
                    </w:rPr>
                    <w:t>HEPA</w:t>
                  </w:r>
                  <w:r>
                    <w:rPr>
                      <w:rFonts w:hint="eastAsia" w:ascii="Times New Roman" w:hAnsi="Times New Roman" w:eastAsia="宋体" w:cs="Times New Roman"/>
                      <w:bCs w:val="0"/>
                      <w:color w:val="auto"/>
                      <w:kern w:val="2"/>
                      <w:sz w:val="18"/>
                      <w:szCs w:val="18"/>
                      <w:highlight w:val="none"/>
                      <w:lang w:val="en-US" w:eastAsia="zh-CN" w:bidi="ar-SA"/>
                    </w:rPr>
                    <w:t>过滤器的过滤后排出。</w:t>
                  </w:r>
                </w:p>
              </w:tc>
              <w:tc>
                <w:tcPr>
                  <w:tcW w:w="3495" w:type="dxa"/>
                  <w:tcMar>
                    <w:top w:w="0" w:type="dxa"/>
                    <w:left w:w="28" w:type="dxa"/>
                    <w:bottom w:w="0" w:type="dxa"/>
                    <w:right w:w="28" w:type="dxa"/>
                  </w:tcMar>
                  <w:vAlign w:val="center"/>
                </w:tcPr>
                <w:p w14:paraId="7B78454C">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right="0"/>
                    <w:jc w:val="both"/>
                    <w:textAlignment w:val="auto"/>
                    <w:rPr>
                      <w:rFonts w:hint="eastAsia"/>
                      <w:color w:val="auto"/>
                      <w:highlight w:val="none"/>
                      <w:vertAlign w:val="baseline"/>
                    </w:rPr>
                  </w:pPr>
                  <w:r>
                    <w:rPr>
                      <w:rFonts w:hint="eastAsia" w:ascii="Times New Roman" w:hAnsi="Times New Roman" w:eastAsia="宋体" w:cs="Times New Roman"/>
                      <w:bCs w:val="0"/>
                      <w:color w:val="auto"/>
                      <w:kern w:val="2"/>
                      <w:sz w:val="18"/>
                      <w:szCs w:val="18"/>
                      <w:highlight w:val="none"/>
                      <w:lang w:val="en-US" w:eastAsia="zh-CN" w:bidi="ar-SA"/>
                    </w:rPr>
                    <w:t>项目</w:t>
                  </w:r>
                  <w:r>
                    <w:rPr>
                      <w:rFonts w:hint="default" w:ascii="Times New Roman" w:hAnsi="Times New Roman" w:eastAsia="宋体" w:cs="Times New Roman"/>
                      <w:bCs w:val="0"/>
                      <w:color w:val="auto"/>
                      <w:kern w:val="2"/>
                      <w:sz w:val="18"/>
                      <w:szCs w:val="18"/>
                      <w:highlight w:val="none"/>
                      <w:lang w:val="en-US" w:eastAsia="zh-CN" w:bidi="ar-SA"/>
                    </w:rPr>
                    <w:t>ABSL-2</w:t>
                  </w:r>
                  <w:r>
                    <w:rPr>
                      <w:rFonts w:hint="eastAsia" w:ascii="Times New Roman" w:hAnsi="Times New Roman" w:eastAsia="宋体" w:cs="Times New Roman"/>
                      <w:bCs w:val="0"/>
                      <w:color w:val="auto"/>
                      <w:kern w:val="2"/>
                      <w:sz w:val="18"/>
                      <w:szCs w:val="18"/>
                      <w:highlight w:val="none"/>
                      <w:lang w:val="en-US" w:eastAsia="zh-CN" w:bidi="ar-SA"/>
                    </w:rPr>
                    <w:t>实验室中涉及致病微生物的活动均在生物安全柜中进行，产生的废气经</w:t>
                  </w:r>
                  <w:r>
                    <w:rPr>
                      <w:rFonts w:hint="default" w:ascii="Times New Roman" w:hAnsi="Times New Roman" w:eastAsia="宋体" w:cs="Times New Roman"/>
                      <w:bCs w:val="0"/>
                      <w:color w:val="auto"/>
                      <w:kern w:val="2"/>
                      <w:sz w:val="18"/>
                      <w:szCs w:val="18"/>
                      <w:highlight w:val="none"/>
                      <w:lang w:val="en-US" w:eastAsia="zh-CN" w:bidi="ar-SA"/>
                    </w:rPr>
                    <w:t>HEPA</w:t>
                  </w:r>
                  <w:r>
                    <w:rPr>
                      <w:rFonts w:hint="eastAsia" w:ascii="Times New Roman" w:hAnsi="Times New Roman" w:eastAsia="宋体" w:cs="Times New Roman"/>
                      <w:bCs w:val="0"/>
                      <w:color w:val="auto"/>
                      <w:kern w:val="2"/>
                      <w:sz w:val="18"/>
                      <w:szCs w:val="18"/>
                      <w:highlight w:val="none"/>
                      <w:lang w:val="en-US" w:eastAsia="zh-CN" w:bidi="ar-SA"/>
                    </w:rPr>
                    <w:t>高效过滤器过滤后排放。</w:t>
                  </w:r>
                </w:p>
              </w:tc>
              <w:tc>
                <w:tcPr>
                  <w:tcW w:w="800" w:type="dxa"/>
                  <w:vMerge w:val="continue"/>
                  <w:tcMar>
                    <w:top w:w="0" w:type="dxa"/>
                    <w:left w:w="28" w:type="dxa"/>
                    <w:bottom w:w="0" w:type="dxa"/>
                    <w:right w:w="28" w:type="dxa"/>
                  </w:tcMar>
                  <w:vAlign w:val="center"/>
                </w:tcPr>
                <w:p w14:paraId="710BA8D5">
                  <w:pPr>
                    <w:pStyle w:val="128"/>
                    <w:keepNext w:val="0"/>
                    <w:keepLines w:val="0"/>
                    <w:pageBreakBefore w:val="0"/>
                    <w:widowControl w:val="0"/>
                    <w:suppressLineNumbers w:val="0"/>
                    <w:kinsoku/>
                    <w:wordWrap/>
                    <w:overflowPunct/>
                    <w:topLinePunct w:val="0"/>
                    <w:autoSpaceDE/>
                    <w:autoSpaceDN/>
                    <w:bidi w:val="0"/>
                    <w:adjustRightInd/>
                    <w:snapToGrid/>
                    <w:spacing w:before="0" w:beforeLines="0" w:beforeAutospacing="0" w:after="0" w:afterAutospacing="0" w:line="240" w:lineRule="auto"/>
                    <w:ind w:left="0" w:right="0"/>
                    <w:jc w:val="center"/>
                    <w:textAlignment w:val="auto"/>
                    <w:rPr>
                      <w:rFonts w:hint="eastAsia"/>
                      <w:color w:val="auto"/>
                      <w:highlight w:val="none"/>
                      <w:vertAlign w:val="baseline"/>
                    </w:rPr>
                  </w:pPr>
                </w:p>
              </w:tc>
            </w:tr>
            <w:tr w14:paraId="5FBA43D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75" w:type="dxa"/>
                  <w:tcMar>
                    <w:top w:w="0" w:type="dxa"/>
                    <w:left w:w="28" w:type="dxa"/>
                    <w:bottom w:w="0" w:type="dxa"/>
                    <w:right w:w="28" w:type="dxa"/>
                  </w:tcMar>
                  <w:vAlign w:val="center"/>
                </w:tcPr>
                <w:p w14:paraId="02C30972">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right="0"/>
                    <w:jc w:val="center"/>
                    <w:textAlignment w:val="auto"/>
                    <w:rPr>
                      <w:rFonts w:hint="eastAsia"/>
                      <w:color w:val="auto"/>
                      <w:highlight w:val="none"/>
                      <w:vertAlign w:val="baseline"/>
                    </w:rPr>
                  </w:pPr>
                  <w:r>
                    <w:rPr>
                      <w:rFonts w:hint="default" w:ascii="Times New Roman" w:hAnsi="Times New Roman" w:eastAsia="宋体" w:cs="Times New Roman"/>
                      <w:bCs w:val="0"/>
                      <w:color w:val="auto"/>
                      <w:kern w:val="2"/>
                      <w:sz w:val="18"/>
                      <w:szCs w:val="18"/>
                      <w:highlight w:val="none"/>
                      <w:lang w:val="en-US" w:eastAsia="zh-CN" w:bidi="ar-SA"/>
                    </w:rPr>
                    <w:fldChar w:fldCharType="begin"/>
                  </w:r>
                  <w:r>
                    <w:rPr>
                      <w:rFonts w:hint="default" w:ascii="Times New Roman" w:hAnsi="Times New Roman" w:eastAsia="宋体" w:cs="Times New Roman"/>
                      <w:bCs w:val="0"/>
                      <w:color w:val="auto"/>
                      <w:kern w:val="2"/>
                      <w:sz w:val="18"/>
                      <w:szCs w:val="18"/>
                      <w:highlight w:val="none"/>
                      <w:lang w:val="en-US" w:eastAsia="zh-CN" w:bidi="ar-SA"/>
                    </w:rPr>
                    <w:instrText xml:space="preserve"> HYPERLINK "file:///\\\\文字文稿3\\6.5.2.6" </w:instrText>
                  </w:r>
                  <w:r>
                    <w:rPr>
                      <w:rFonts w:hint="default" w:ascii="Times New Roman" w:hAnsi="Times New Roman" w:eastAsia="宋体" w:cs="Times New Roman"/>
                      <w:bCs w:val="0"/>
                      <w:color w:val="auto"/>
                      <w:kern w:val="2"/>
                      <w:sz w:val="18"/>
                      <w:szCs w:val="18"/>
                      <w:highlight w:val="none"/>
                      <w:lang w:val="en-US" w:eastAsia="zh-CN" w:bidi="ar-SA"/>
                    </w:rPr>
                    <w:fldChar w:fldCharType="separate"/>
                  </w:r>
                  <w:r>
                    <w:rPr>
                      <w:rFonts w:hint="default" w:ascii="Times New Roman" w:hAnsi="Times New Roman" w:eastAsia="宋体" w:cs="Times New Roman"/>
                      <w:bCs w:val="0"/>
                      <w:color w:val="auto"/>
                      <w:kern w:val="2"/>
                      <w:sz w:val="18"/>
                      <w:szCs w:val="18"/>
                      <w:highlight w:val="none"/>
                      <w:lang w:val="en-US" w:eastAsia="zh-CN" w:bidi="ar-SA"/>
                    </w:rPr>
                    <w:t>6.5.2.6</w:t>
                  </w:r>
                  <w:r>
                    <w:rPr>
                      <w:rFonts w:hint="default" w:ascii="Times New Roman" w:hAnsi="Times New Roman" w:eastAsia="宋体" w:cs="Times New Roman"/>
                      <w:bCs w:val="0"/>
                      <w:color w:val="auto"/>
                      <w:kern w:val="2"/>
                      <w:sz w:val="18"/>
                      <w:szCs w:val="18"/>
                      <w:highlight w:val="none"/>
                      <w:lang w:val="en-US" w:eastAsia="zh-CN" w:bidi="ar-SA"/>
                    </w:rPr>
                    <w:fldChar w:fldCharType="end"/>
                  </w:r>
                </w:p>
              </w:tc>
              <w:tc>
                <w:tcPr>
                  <w:tcW w:w="3210" w:type="dxa"/>
                  <w:tcMar>
                    <w:top w:w="0" w:type="dxa"/>
                    <w:left w:w="28" w:type="dxa"/>
                    <w:bottom w:w="0" w:type="dxa"/>
                    <w:right w:w="28" w:type="dxa"/>
                  </w:tcMar>
                  <w:vAlign w:val="center"/>
                </w:tcPr>
                <w:p w14:paraId="2A32EC70">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right="0"/>
                    <w:jc w:val="both"/>
                    <w:textAlignment w:val="auto"/>
                    <w:rPr>
                      <w:rFonts w:hint="eastAsia"/>
                      <w:color w:val="auto"/>
                      <w:highlight w:val="none"/>
                      <w:vertAlign w:val="baseline"/>
                    </w:rPr>
                  </w:pPr>
                  <w:r>
                    <w:rPr>
                      <w:rFonts w:hint="eastAsia" w:ascii="Times New Roman" w:hAnsi="Times New Roman" w:eastAsia="宋体" w:cs="Times New Roman"/>
                      <w:bCs w:val="0"/>
                      <w:color w:val="auto"/>
                      <w:kern w:val="2"/>
                      <w:sz w:val="18"/>
                      <w:szCs w:val="18"/>
                      <w:highlight w:val="none"/>
                      <w:lang w:val="en-US" w:eastAsia="zh-CN" w:bidi="ar-SA"/>
                    </w:rPr>
                    <w:t>应将动物饲养间的室内气压控制为负压，气体应直接排放到其所在的建筑物外。</w:t>
                  </w:r>
                </w:p>
              </w:tc>
              <w:tc>
                <w:tcPr>
                  <w:tcW w:w="3495" w:type="dxa"/>
                  <w:tcMar>
                    <w:top w:w="0" w:type="dxa"/>
                    <w:left w:w="28" w:type="dxa"/>
                    <w:bottom w:w="0" w:type="dxa"/>
                    <w:right w:w="28" w:type="dxa"/>
                  </w:tcMar>
                  <w:vAlign w:val="center"/>
                </w:tcPr>
                <w:p w14:paraId="16C7C10C">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right="0"/>
                    <w:jc w:val="both"/>
                    <w:textAlignment w:val="auto"/>
                    <w:rPr>
                      <w:rFonts w:hint="eastAsia"/>
                      <w:color w:val="auto"/>
                      <w:highlight w:val="none"/>
                      <w:vertAlign w:val="baseline"/>
                    </w:rPr>
                  </w:pPr>
                  <w:r>
                    <w:rPr>
                      <w:rFonts w:hint="eastAsia" w:ascii="Times New Roman" w:hAnsi="Times New Roman" w:eastAsia="宋体" w:cs="Times New Roman"/>
                      <w:bCs w:val="0"/>
                      <w:color w:val="auto"/>
                      <w:kern w:val="2"/>
                      <w:sz w:val="18"/>
                      <w:szCs w:val="18"/>
                      <w:highlight w:val="none"/>
                      <w:lang w:val="en-US" w:eastAsia="zh-CN" w:bidi="ar-SA"/>
                    </w:rPr>
                    <w:t>项目</w:t>
                  </w:r>
                  <w:r>
                    <w:rPr>
                      <w:rFonts w:hint="default" w:ascii="Times New Roman" w:hAnsi="Times New Roman" w:eastAsia="宋体" w:cs="Times New Roman"/>
                      <w:bCs w:val="0"/>
                      <w:color w:val="auto"/>
                      <w:kern w:val="2"/>
                      <w:sz w:val="18"/>
                      <w:szCs w:val="18"/>
                      <w:highlight w:val="none"/>
                      <w:lang w:val="en-US" w:eastAsia="zh-CN" w:bidi="ar-SA"/>
                    </w:rPr>
                    <w:t>ABSL-2</w:t>
                  </w:r>
                  <w:r>
                    <w:rPr>
                      <w:rFonts w:hint="eastAsia" w:ascii="Times New Roman" w:hAnsi="Times New Roman" w:eastAsia="宋体" w:cs="Times New Roman"/>
                      <w:bCs w:val="0"/>
                      <w:color w:val="auto"/>
                      <w:kern w:val="2"/>
                      <w:sz w:val="18"/>
                      <w:szCs w:val="18"/>
                      <w:highlight w:val="none"/>
                      <w:lang w:val="en-US" w:eastAsia="zh-CN" w:bidi="ar-SA"/>
                    </w:rPr>
                    <w:t>实验室位于</w:t>
                  </w:r>
                  <w:r>
                    <w:rPr>
                      <w:rFonts w:hint="eastAsia" w:cs="Times New Roman"/>
                      <w:bCs w:val="0"/>
                      <w:color w:val="auto"/>
                      <w:kern w:val="2"/>
                      <w:sz w:val="18"/>
                      <w:szCs w:val="18"/>
                      <w:highlight w:val="none"/>
                      <w:lang w:val="en-US" w:eastAsia="zh-CN" w:bidi="ar-SA"/>
                    </w:rPr>
                    <w:t>实验动物中心</w:t>
                  </w:r>
                  <w:r>
                    <w:rPr>
                      <w:rFonts w:hint="eastAsia" w:ascii="Times New Roman" w:hAnsi="Times New Roman" w:eastAsia="宋体" w:cs="Times New Roman"/>
                      <w:bCs w:val="0"/>
                      <w:color w:val="auto"/>
                      <w:kern w:val="2"/>
                      <w:sz w:val="18"/>
                      <w:szCs w:val="18"/>
                      <w:highlight w:val="none"/>
                      <w:lang w:val="en-US" w:eastAsia="zh-CN" w:bidi="ar-SA"/>
                    </w:rPr>
                    <w:t>屏障环境</w:t>
                  </w:r>
                  <w:r>
                    <w:rPr>
                      <w:rFonts w:hint="eastAsia" w:cs="Times New Roman"/>
                      <w:bCs w:val="0"/>
                      <w:color w:val="auto"/>
                      <w:kern w:val="2"/>
                      <w:sz w:val="18"/>
                      <w:szCs w:val="18"/>
                      <w:highlight w:val="none"/>
                      <w:lang w:val="en-US" w:eastAsia="zh-CN" w:bidi="ar-SA"/>
                    </w:rPr>
                    <w:t>内以及科创综合楼7层</w:t>
                  </w:r>
                  <w:r>
                    <w:rPr>
                      <w:rFonts w:hint="eastAsia" w:ascii="Times New Roman" w:hAnsi="Times New Roman" w:eastAsia="宋体" w:cs="Times New Roman"/>
                      <w:bCs w:val="0"/>
                      <w:color w:val="auto"/>
                      <w:kern w:val="2"/>
                      <w:sz w:val="18"/>
                      <w:szCs w:val="18"/>
                      <w:highlight w:val="none"/>
                      <w:lang w:val="en-US" w:eastAsia="zh-CN" w:bidi="ar-SA"/>
                    </w:rPr>
                    <w:t>，为负压环境，废气经处理后由楼顶排气筒排放至室外。</w:t>
                  </w:r>
                </w:p>
              </w:tc>
              <w:tc>
                <w:tcPr>
                  <w:tcW w:w="800" w:type="dxa"/>
                  <w:vMerge w:val="continue"/>
                  <w:tcMar>
                    <w:top w:w="0" w:type="dxa"/>
                    <w:left w:w="28" w:type="dxa"/>
                    <w:bottom w:w="0" w:type="dxa"/>
                    <w:right w:w="28" w:type="dxa"/>
                  </w:tcMar>
                  <w:vAlign w:val="center"/>
                </w:tcPr>
                <w:p w14:paraId="37A5CE2F">
                  <w:pPr>
                    <w:pStyle w:val="128"/>
                    <w:keepNext w:val="0"/>
                    <w:keepLines w:val="0"/>
                    <w:pageBreakBefore w:val="0"/>
                    <w:widowControl w:val="0"/>
                    <w:suppressLineNumbers w:val="0"/>
                    <w:kinsoku/>
                    <w:wordWrap/>
                    <w:overflowPunct/>
                    <w:topLinePunct w:val="0"/>
                    <w:autoSpaceDE/>
                    <w:autoSpaceDN/>
                    <w:bidi w:val="0"/>
                    <w:adjustRightInd/>
                    <w:snapToGrid/>
                    <w:spacing w:before="0" w:beforeLines="0" w:beforeAutospacing="0" w:after="0" w:afterAutospacing="0" w:line="240" w:lineRule="auto"/>
                    <w:ind w:left="0" w:right="0"/>
                    <w:jc w:val="center"/>
                    <w:textAlignment w:val="auto"/>
                    <w:rPr>
                      <w:rFonts w:hint="eastAsia"/>
                      <w:color w:val="auto"/>
                      <w:highlight w:val="none"/>
                      <w:vertAlign w:val="baseline"/>
                    </w:rPr>
                  </w:pPr>
                </w:p>
              </w:tc>
            </w:tr>
            <w:tr w14:paraId="73BDD81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75" w:type="dxa"/>
                  <w:tcMar>
                    <w:top w:w="0" w:type="dxa"/>
                    <w:left w:w="28" w:type="dxa"/>
                    <w:bottom w:w="0" w:type="dxa"/>
                    <w:right w:w="28" w:type="dxa"/>
                  </w:tcMar>
                  <w:vAlign w:val="center"/>
                </w:tcPr>
                <w:p w14:paraId="425E197C">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right="0"/>
                    <w:jc w:val="center"/>
                    <w:textAlignment w:val="auto"/>
                    <w:rPr>
                      <w:rFonts w:hint="eastAsia"/>
                      <w:color w:val="auto"/>
                      <w:highlight w:val="none"/>
                      <w:vertAlign w:val="baseline"/>
                    </w:rPr>
                  </w:pPr>
                  <w:r>
                    <w:rPr>
                      <w:rFonts w:hint="default" w:ascii="Times New Roman" w:hAnsi="Times New Roman" w:eastAsia="宋体" w:cs="Times New Roman"/>
                      <w:bCs w:val="0"/>
                      <w:color w:val="auto"/>
                      <w:kern w:val="2"/>
                      <w:sz w:val="18"/>
                      <w:szCs w:val="18"/>
                      <w:highlight w:val="none"/>
                      <w:lang w:val="en-US" w:eastAsia="zh-CN" w:bidi="ar-SA"/>
                    </w:rPr>
                    <w:fldChar w:fldCharType="begin"/>
                  </w:r>
                  <w:r>
                    <w:rPr>
                      <w:rFonts w:hint="default" w:ascii="Times New Roman" w:hAnsi="Times New Roman" w:eastAsia="宋体" w:cs="Times New Roman"/>
                      <w:bCs w:val="0"/>
                      <w:color w:val="auto"/>
                      <w:kern w:val="2"/>
                      <w:sz w:val="18"/>
                      <w:szCs w:val="18"/>
                      <w:highlight w:val="none"/>
                      <w:lang w:val="en-US" w:eastAsia="zh-CN" w:bidi="ar-SA"/>
                    </w:rPr>
                    <w:instrText xml:space="preserve"> HYPERLINK "file:///\\\\文字文稿3\\6.5.2.7" </w:instrText>
                  </w:r>
                  <w:r>
                    <w:rPr>
                      <w:rFonts w:hint="default" w:ascii="Times New Roman" w:hAnsi="Times New Roman" w:eastAsia="宋体" w:cs="Times New Roman"/>
                      <w:bCs w:val="0"/>
                      <w:color w:val="auto"/>
                      <w:kern w:val="2"/>
                      <w:sz w:val="18"/>
                      <w:szCs w:val="18"/>
                      <w:highlight w:val="none"/>
                      <w:lang w:val="en-US" w:eastAsia="zh-CN" w:bidi="ar-SA"/>
                    </w:rPr>
                    <w:fldChar w:fldCharType="separate"/>
                  </w:r>
                  <w:r>
                    <w:rPr>
                      <w:rFonts w:hint="default" w:ascii="Times New Roman" w:hAnsi="Times New Roman" w:eastAsia="宋体" w:cs="Times New Roman"/>
                      <w:bCs w:val="0"/>
                      <w:color w:val="auto"/>
                      <w:kern w:val="2"/>
                      <w:sz w:val="18"/>
                      <w:szCs w:val="18"/>
                      <w:highlight w:val="none"/>
                      <w:lang w:val="en-US" w:eastAsia="zh-CN" w:bidi="ar-SA"/>
                    </w:rPr>
                    <w:t>6.5.2.7</w:t>
                  </w:r>
                  <w:r>
                    <w:rPr>
                      <w:rFonts w:hint="default" w:ascii="Times New Roman" w:hAnsi="Times New Roman" w:eastAsia="宋体" w:cs="Times New Roman"/>
                      <w:bCs w:val="0"/>
                      <w:color w:val="auto"/>
                      <w:kern w:val="2"/>
                      <w:sz w:val="18"/>
                      <w:szCs w:val="18"/>
                      <w:highlight w:val="none"/>
                      <w:lang w:val="en-US" w:eastAsia="zh-CN" w:bidi="ar-SA"/>
                    </w:rPr>
                    <w:fldChar w:fldCharType="end"/>
                  </w:r>
                </w:p>
              </w:tc>
              <w:tc>
                <w:tcPr>
                  <w:tcW w:w="3210" w:type="dxa"/>
                  <w:tcMar>
                    <w:top w:w="0" w:type="dxa"/>
                    <w:left w:w="28" w:type="dxa"/>
                    <w:bottom w:w="0" w:type="dxa"/>
                    <w:right w:w="28" w:type="dxa"/>
                  </w:tcMar>
                  <w:vAlign w:val="center"/>
                </w:tcPr>
                <w:p w14:paraId="286FC12F">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right="0"/>
                    <w:jc w:val="both"/>
                    <w:textAlignment w:val="auto"/>
                    <w:rPr>
                      <w:rFonts w:hint="eastAsia"/>
                      <w:color w:val="auto"/>
                      <w:highlight w:val="none"/>
                      <w:vertAlign w:val="baseline"/>
                    </w:rPr>
                  </w:pPr>
                  <w:r>
                    <w:rPr>
                      <w:rFonts w:hint="eastAsia" w:ascii="Times New Roman" w:hAnsi="Times New Roman" w:eastAsia="宋体" w:cs="Times New Roman"/>
                      <w:bCs w:val="0"/>
                      <w:color w:val="auto"/>
                      <w:kern w:val="2"/>
                      <w:sz w:val="18"/>
                      <w:szCs w:val="18"/>
                      <w:highlight w:val="none"/>
                      <w:lang w:val="en-US" w:eastAsia="zh-CN" w:bidi="ar-SA"/>
                    </w:rPr>
                    <w:t>应根据风险评估的结果，确定是否需要使用</w:t>
                  </w:r>
                  <w:r>
                    <w:rPr>
                      <w:rFonts w:hint="default" w:ascii="Times New Roman" w:hAnsi="Times New Roman" w:eastAsia="宋体" w:cs="Times New Roman"/>
                      <w:bCs w:val="0"/>
                      <w:color w:val="auto"/>
                      <w:kern w:val="2"/>
                      <w:sz w:val="18"/>
                      <w:szCs w:val="18"/>
                      <w:highlight w:val="none"/>
                      <w:lang w:val="en-US" w:eastAsia="zh-CN" w:bidi="ar-SA"/>
                    </w:rPr>
                    <w:t>HEPA</w:t>
                  </w:r>
                  <w:r>
                    <w:rPr>
                      <w:rFonts w:hint="eastAsia" w:ascii="Times New Roman" w:hAnsi="Times New Roman" w:eastAsia="宋体" w:cs="Times New Roman"/>
                      <w:bCs w:val="0"/>
                      <w:color w:val="auto"/>
                      <w:kern w:val="2"/>
                      <w:sz w:val="18"/>
                      <w:szCs w:val="18"/>
                      <w:highlight w:val="none"/>
                      <w:lang w:val="en-US" w:eastAsia="zh-CN" w:bidi="ar-SA"/>
                    </w:rPr>
                    <w:t>过滤器过滤动物饲养间排出的气体。</w:t>
                  </w:r>
                </w:p>
              </w:tc>
              <w:tc>
                <w:tcPr>
                  <w:tcW w:w="3495" w:type="dxa"/>
                  <w:tcMar>
                    <w:top w:w="0" w:type="dxa"/>
                    <w:left w:w="28" w:type="dxa"/>
                    <w:bottom w:w="0" w:type="dxa"/>
                    <w:right w:w="28" w:type="dxa"/>
                  </w:tcMar>
                  <w:vAlign w:val="center"/>
                </w:tcPr>
                <w:p w14:paraId="7358B683">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right="0"/>
                    <w:jc w:val="both"/>
                    <w:textAlignment w:val="auto"/>
                    <w:rPr>
                      <w:rFonts w:hint="eastAsia"/>
                      <w:color w:val="auto"/>
                      <w:highlight w:val="none"/>
                      <w:vertAlign w:val="baseline"/>
                    </w:rPr>
                  </w:pPr>
                  <w:r>
                    <w:rPr>
                      <w:rFonts w:hint="eastAsia" w:ascii="Times New Roman" w:hAnsi="Times New Roman" w:eastAsia="宋体" w:cs="Times New Roman"/>
                      <w:bCs w:val="0"/>
                      <w:color w:val="auto"/>
                      <w:kern w:val="2"/>
                      <w:sz w:val="18"/>
                      <w:szCs w:val="18"/>
                      <w:highlight w:val="none"/>
                      <w:lang w:val="en-US" w:eastAsia="zh-CN" w:bidi="ar-SA"/>
                    </w:rPr>
                    <w:t>项目</w:t>
                  </w:r>
                  <w:r>
                    <w:rPr>
                      <w:rFonts w:hint="default" w:ascii="Times New Roman" w:hAnsi="Times New Roman" w:eastAsia="宋体" w:cs="Times New Roman"/>
                      <w:bCs w:val="0"/>
                      <w:color w:val="auto"/>
                      <w:kern w:val="2"/>
                      <w:sz w:val="18"/>
                      <w:szCs w:val="18"/>
                      <w:highlight w:val="none"/>
                      <w:lang w:val="en-US" w:eastAsia="zh-CN" w:bidi="ar-SA"/>
                    </w:rPr>
                    <w:t>ABSL-2</w:t>
                  </w:r>
                  <w:r>
                    <w:rPr>
                      <w:rFonts w:hint="eastAsia" w:ascii="Times New Roman" w:hAnsi="Times New Roman" w:eastAsia="宋体" w:cs="Times New Roman"/>
                      <w:bCs w:val="0"/>
                      <w:color w:val="auto"/>
                      <w:kern w:val="2"/>
                      <w:sz w:val="18"/>
                      <w:szCs w:val="18"/>
                      <w:highlight w:val="none"/>
                      <w:lang w:val="en-US" w:eastAsia="zh-CN" w:bidi="ar-SA"/>
                    </w:rPr>
                    <w:t>实验室中涉及致病微生物的活动均在生物安全柜中进行，产生的废气经</w:t>
                  </w:r>
                  <w:r>
                    <w:rPr>
                      <w:rFonts w:hint="default" w:ascii="Times New Roman" w:hAnsi="Times New Roman" w:eastAsia="宋体" w:cs="Times New Roman"/>
                      <w:bCs w:val="0"/>
                      <w:color w:val="auto"/>
                      <w:kern w:val="2"/>
                      <w:sz w:val="18"/>
                      <w:szCs w:val="18"/>
                      <w:highlight w:val="none"/>
                      <w:lang w:val="en-US" w:eastAsia="zh-CN" w:bidi="ar-SA"/>
                    </w:rPr>
                    <w:t>HEPA</w:t>
                  </w:r>
                  <w:r>
                    <w:rPr>
                      <w:rFonts w:hint="eastAsia" w:ascii="Times New Roman" w:hAnsi="Times New Roman" w:eastAsia="宋体" w:cs="Times New Roman"/>
                      <w:bCs w:val="0"/>
                      <w:color w:val="auto"/>
                      <w:kern w:val="2"/>
                      <w:sz w:val="18"/>
                      <w:szCs w:val="18"/>
                      <w:highlight w:val="none"/>
                      <w:lang w:val="en-US" w:eastAsia="zh-CN" w:bidi="ar-SA"/>
                    </w:rPr>
                    <w:t>高效过滤器过滤后排放。</w:t>
                  </w:r>
                </w:p>
              </w:tc>
              <w:tc>
                <w:tcPr>
                  <w:tcW w:w="800" w:type="dxa"/>
                  <w:vMerge w:val="continue"/>
                  <w:tcMar>
                    <w:top w:w="0" w:type="dxa"/>
                    <w:left w:w="28" w:type="dxa"/>
                    <w:bottom w:w="0" w:type="dxa"/>
                    <w:right w:w="28" w:type="dxa"/>
                  </w:tcMar>
                  <w:vAlign w:val="center"/>
                </w:tcPr>
                <w:p w14:paraId="5FC30AF9">
                  <w:pPr>
                    <w:pStyle w:val="128"/>
                    <w:keepNext w:val="0"/>
                    <w:keepLines w:val="0"/>
                    <w:pageBreakBefore w:val="0"/>
                    <w:widowControl w:val="0"/>
                    <w:suppressLineNumbers w:val="0"/>
                    <w:kinsoku/>
                    <w:wordWrap/>
                    <w:overflowPunct/>
                    <w:topLinePunct w:val="0"/>
                    <w:autoSpaceDE/>
                    <w:autoSpaceDN/>
                    <w:bidi w:val="0"/>
                    <w:adjustRightInd/>
                    <w:snapToGrid/>
                    <w:spacing w:before="0" w:beforeLines="0" w:beforeAutospacing="0" w:after="0" w:afterAutospacing="0" w:line="240" w:lineRule="auto"/>
                    <w:ind w:left="0" w:right="0"/>
                    <w:jc w:val="center"/>
                    <w:textAlignment w:val="auto"/>
                    <w:rPr>
                      <w:rFonts w:hint="eastAsia"/>
                      <w:color w:val="auto"/>
                      <w:highlight w:val="none"/>
                      <w:vertAlign w:val="baseline"/>
                    </w:rPr>
                  </w:pPr>
                </w:p>
              </w:tc>
            </w:tr>
            <w:tr w14:paraId="6172B50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75" w:type="dxa"/>
                  <w:tcMar>
                    <w:top w:w="0" w:type="dxa"/>
                    <w:left w:w="28" w:type="dxa"/>
                    <w:bottom w:w="0" w:type="dxa"/>
                    <w:right w:w="28" w:type="dxa"/>
                  </w:tcMar>
                  <w:vAlign w:val="center"/>
                </w:tcPr>
                <w:p w14:paraId="3D12761D">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right="0"/>
                    <w:jc w:val="center"/>
                    <w:textAlignment w:val="auto"/>
                    <w:rPr>
                      <w:rFonts w:hint="eastAsia"/>
                      <w:color w:val="auto"/>
                      <w:highlight w:val="none"/>
                      <w:vertAlign w:val="baseline"/>
                    </w:rPr>
                  </w:pPr>
                  <w:r>
                    <w:rPr>
                      <w:rFonts w:hint="default" w:ascii="Times New Roman" w:hAnsi="Times New Roman" w:eastAsia="宋体" w:cs="Times New Roman"/>
                      <w:bCs w:val="0"/>
                      <w:color w:val="auto"/>
                      <w:kern w:val="2"/>
                      <w:sz w:val="18"/>
                      <w:szCs w:val="18"/>
                      <w:highlight w:val="none"/>
                      <w:lang w:val="en-US" w:eastAsia="zh-CN" w:bidi="ar-SA"/>
                    </w:rPr>
                    <w:fldChar w:fldCharType="begin"/>
                  </w:r>
                  <w:r>
                    <w:rPr>
                      <w:rFonts w:hint="default" w:ascii="Times New Roman" w:hAnsi="Times New Roman" w:eastAsia="宋体" w:cs="Times New Roman"/>
                      <w:bCs w:val="0"/>
                      <w:color w:val="auto"/>
                      <w:kern w:val="2"/>
                      <w:sz w:val="18"/>
                      <w:szCs w:val="18"/>
                      <w:highlight w:val="none"/>
                      <w:lang w:val="en-US" w:eastAsia="zh-CN" w:bidi="ar-SA"/>
                    </w:rPr>
                    <w:instrText xml:space="preserve"> HYPERLINK "file:///\\\\文字文稿3\\6.5.2.8" </w:instrText>
                  </w:r>
                  <w:r>
                    <w:rPr>
                      <w:rFonts w:hint="default" w:ascii="Times New Roman" w:hAnsi="Times New Roman" w:eastAsia="宋体" w:cs="Times New Roman"/>
                      <w:bCs w:val="0"/>
                      <w:color w:val="auto"/>
                      <w:kern w:val="2"/>
                      <w:sz w:val="18"/>
                      <w:szCs w:val="18"/>
                      <w:highlight w:val="none"/>
                      <w:lang w:val="en-US" w:eastAsia="zh-CN" w:bidi="ar-SA"/>
                    </w:rPr>
                    <w:fldChar w:fldCharType="separate"/>
                  </w:r>
                  <w:r>
                    <w:rPr>
                      <w:rFonts w:hint="default" w:ascii="Times New Roman" w:hAnsi="Times New Roman" w:eastAsia="宋体" w:cs="Times New Roman"/>
                      <w:bCs w:val="0"/>
                      <w:color w:val="auto"/>
                      <w:kern w:val="2"/>
                      <w:sz w:val="18"/>
                      <w:szCs w:val="18"/>
                      <w:highlight w:val="none"/>
                      <w:lang w:val="en-US" w:eastAsia="zh-CN" w:bidi="ar-SA"/>
                    </w:rPr>
                    <w:t>6.5.2.8</w:t>
                  </w:r>
                  <w:r>
                    <w:rPr>
                      <w:rFonts w:hint="default" w:ascii="Times New Roman" w:hAnsi="Times New Roman" w:eastAsia="宋体" w:cs="Times New Roman"/>
                      <w:bCs w:val="0"/>
                      <w:color w:val="auto"/>
                      <w:kern w:val="2"/>
                      <w:sz w:val="18"/>
                      <w:szCs w:val="18"/>
                      <w:highlight w:val="none"/>
                      <w:lang w:val="en-US" w:eastAsia="zh-CN" w:bidi="ar-SA"/>
                    </w:rPr>
                    <w:fldChar w:fldCharType="end"/>
                  </w:r>
                </w:p>
              </w:tc>
              <w:tc>
                <w:tcPr>
                  <w:tcW w:w="3210" w:type="dxa"/>
                  <w:tcMar>
                    <w:top w:w="0" w:type="dxa"/>
                    <w:left w:w="28" w:type="dxa"/>
                    <w:bottom w:w="0" w:type="dxa"/>
                    <w:right w:w="28" w:type="dxa"/>
                  </w:tcMar>
                  <w:vAlign w:val="center"/>
                </w:tcPr>
                <w:p w14:paraId="76F5C7AA">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right="0"/>
                    <w:jc w:val="both"/>
                    <w:textAlignment w:val="auto"/>
                    <w:rPr>
                      <w:rFonts w:hint="eastAsia"/>
                      <w:color w:val="auto"/>
                      <w:highlight w:val="none"/>
                      <w:vertAlign w:val="baseline"/>
                    </w:rPr>
                  </w:pPr>
                  <w:r>
                    <w:rPr>
                      <w:rFonts w:hint="eastAsia" w:ascii="Times New Roman" w:hAnsi="Times New Roman" w:eastAsia="宋体" w:cs="Times New Roman"/>
                      <w:bCs w:val="0"/>
                      <w:color w:val="auto"/>
                      <w:kern w:val="2"/>
                      <w:sz w:val="18"/>
                      <w:szCs w:val="18"/>
                      <w:highlight w:val="none"/>
                      <w:lang w:val="en-US" w:eastAsia="zh-CN" w:bidi="ar-SA"/>
                    </w:rPr>
                    <w:t>当不能满足</w:t>
                  </w:r>
                  <w:r>
                    <w:rPr>
                      <w:rFonts w:hint="default" w:ascii="Times New Roman" w:hAnsi="Times New Roman" w:eastAsia="宋体" w:cs="Times New Roman"/>
                      <w:bCs w:val="0"/>
                      <w:color w:val="auto"/>
                      <w:kern w:val="2"/>
                      <w:sz w:val="18"/>
                      <w:szCs w:val="18"/>
                      <w:highlight w:val="none"/>
                      <w:lang w:val="en-US" w:eastAsia="zh-CN" w:bidi="ar-SA"/>
                    </w:rPr>
                    <w:fldChar w:fldCharType="begin"/>
                  </w:r>
                  <w:r>
                    <w:rPr>
                      <w:rFonts w:hint="default" w:ascii="Times New Roman" w:hAnsi="Times New Roman" w:eastAsia="宋体" w:cs="Times New Roman"/>
                      <w:bCs w:val="0"/>
                      <w:color w:val="auto"/>
                      <w:kern w:val="2"/>
                      <w:sz w:val="18"/>
                      <w:szCs w:val="18"/>
                      <w:highlight w:val="none"/>
                      <w:lang w:val="en-US" w:eastAsia="zh-CN" w:bidi="ar-SA"/>
                    </w:rPr>
                    <w:instrText xml:space="preserve"> HYPERLINK "file:///\\\\文字文稿3\\6.5.2.5" </w:instrText>
                  </w:r>
                  <w:r>
                    <w:rPr>
                      <w:rFonts w:hint="default" w:ascii="Times New Roman" w:hAnsi="Times New Roman" w:eastAsia="宋体" w:cs="Times New Roman"/>
                      <w:bCs w:val="0"/>
                      <w:color w:val="auto"/>
                      <w:kern w:val="2"/>
                      <w:sz w:val="18"/>
                      <w:szCs w:val="18"/>
                      <w:highlight w:val="none"/>
                      <w:lang w:val="en-US" w:eastAsia="zh-CN" w:bidi="ar-SA"/>
                    </w:rPr>
                    <w:fldChar w:fldCharType="separate"/>
                  </w:r>
                  <w:r>
                    <w:rPr>
                      <w:rFonts w:hint="default" w:ascii="Times New Roman" w:hAnsi="Times New Roman" w:eastAsia="宋体" w:cs="Times New Roman"/>
                      <w:bCs w:val="0"/>
                      <w:color w:val="auto"/>
                      <w:kern w:val="2"/>
                      <w:sz w:val="18"/>
                      <w:szCs w:val="18"/>
                      <w:highlight w:val="none"/>
                      <w:lang w:val="en-US" w:eastAsia="zh-CN" w:bidi="ar-SA"/>
                    </w:rPr>
                    <w:t>6.5.2.5</w:t>
                  </w:r>
                  <w:r>
                    <w:rPr>
                      <w:rFonts w:hint="default" w:ascii="Times New Roman" w:hAnsi="Times New Roman" w:eastAsia="宋体" w:cs="Times New Roman"/>
                      <w:bCs w:val="0"/>
                      <w:color w:val="auto"/>
                      <w:kern w:val="2"/>
                      <w:sz w:val="18"/>
                      <w:szCs w:val="18"/>
                      <w:highlight w:val="none"/>
                      <w:lang w:val="en-US" w:eastAsia="zh-CN" w:bidi="ar-SA"/>
                    </w:rPr>
                    <w:fldChar w:fldCharType="end"/>
                  </w:r>
                  <w:r>
                    <w:rPr>
                      <w:rFonts w:hint="eastAsia" w:ascii="Times New Roman" w:hAnsi="Times New Roman" w:eastAsia="宋体" w:cs="Times New Roman"/>
                      <w:bCs w:val="0"/>
                      <w:color w:val="auto"/>
                      <w:kern w:val="2"/>
                      <w:sz w:val="18"/>
                      <w:szCs w:val="18"/>
                      <w:highlight w:val="none"/>
                      <w:lang w:val="en-US" w:eastAsia="zh-CN" w:bidi="ar-SA"/>
                    </w:rPr>
                    <w:t>时，应使用</w:t>
                  </w:r>
                  <w:r>
                    <w:rPr>
                      <w:rFonts w:hint="default" w:ascii="Times New Roman" w:hAnsi="Times New Roman" w:eastAsia="宋体" w:cs="Times New Roman"/>
                      <w:bCs w:val="0"/>
                      <w:color w:val="auto"/>
                      <w:kern w:val="2"/>
                      <w:sz w:val="18"/>
                      <w:szCs w:val="18"/>
                      <w:highlight w:val="none"/>
                      <w:lang w:val="en-US" w:eastAsia="zh-CN" w:bidi="ar-SA"/>
                    </w:rPr>
                    <w:t>HEPA</w:t>
                  </w:r>
                  <w:r>
                    <w:rPr>
                      <w:rFonts w:hint="eastAsia" w:ascii="Times New Roman" w:hAnsi="Times New Roman" w:eastAsia="宋体" w:cs="Times New Roman"/>
                      <w:bCs w:val="0"/>
                      <w:color w:val="auto"/>
                      <w:kern w:val="2"/>
                      <w:sz w:val="18"/>
                      <w:szCs w:val="18"/>
                      <w:highlight w:val="none"/>
                      <w:lang w:val="en-US" w:eastAsia="zh-CN" w:bidi="ar-SA"/>
                    </w:rPr>
                    <w:t>过滤器过滤动物饲养间排出的气体。</w:t>
                  </w:r>
                </w:p>
              </w:tc>
              <w:tc>
                <w:tcPr>
                  <w:tcW w:w="3495" w:type="dxa"/>
                  <w:tcMar>
                    <w:top w:w="0" w:type="dxa"/>
                    <w:left w:w="28" w:type="dxa"/>
                    <w:bottom w:w="0" w:type="dxa"/>
                    <w:right w:w="28" w:type="dxa"/>
                  </w:tcMar>
                  <w:vAlign w:val="center"/>
                </w:tcPr>
                <w:p w14:paraId="1499BDB4">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right="0"/>
                    <w:jc w:val="both"/>
                    <w:textAlignment w:val="auto"/>
                    <w:rPr>
                      <w:rFonts w:hint="eastAsia"/>
                      <w:color w:val="auto"/>
                      <w:highlight w:val="none"/>
                      <w:vertAlign w:val="baseline"/>
                    </w:rPr>
                  </w:pPr>
                  <w:r>
                    <w:rPr>
                      <w:rFonts w:hint="eastAsia" w:ascii="Times New Roman" w:hAnsi="Times New Roman" w:eastAsia="宋体" w:cs="Times New Roman"/>
                      <w:bCs w:val="0"/>
                      <w:color w:val="auto"/>
                      <w:kern w:val="2"/>
                      <w:sz w:val="18"/>
                      <w:szCs w:val="18"/>
                      <w:highlight w:val="none"/>
                      <w:lang w:val="en-US" w:eastAsia="zh-CN" w:bidi="ar-SA"/>
                    </w:rPr>
                    <w:t>/</w:t>
                  </w:r>
                </w:p>
              </w:tc>
              <w:tc>
                <w:tcPr>
                  <w:tcW w:w="800" w:type="dxa"/>
                  <w:vMerge w:val="continue"/>
                  <w:tcMar>
                    <w:top w:w="0" w:type="dxa"/>
                    <w:left w:w="28" w:type="dxa"/>
                    <w:bottom w:w="0" w:type="dxa"/>
                    <w:right w:w="28" w:type="dxa"/>
                  </w:tcMar>
                  <w:vAlign w:val="center"/>
                </w:tcPr>
                <w:p w14:paraId="51F2B1D4">
                  <w:pPr>
                    <w:pStyle w:val="128"/>
                    <w:keepNext w:val="0"/>
                    <w:keepLines w:val="0"/>
                    <w:pageBreakBefore w:val="0"/>
                    <w:widowControl w:val="0"/>
                    <w:suppressLineNumbers w:val="0"/>
                    <w:kinsoku/>
                    <w:wordWrap/>
                    <w:overflowPunct/>
                    <w:topLinePunct w:val="0"/>
                    <w:autoSpaceDE/>
                    <w:autoSpaceDN/>
                    <w:bidi w:val="0"/>
                    <w:adjustRightInd/>
                    <w:snapToGrid/>
                    <w:spacing w:before="0" w:beforeLines="0" w:beforeAutospacing="0" w:after="0" w:afterAutospacing="0" w:line="240" w:lineRule="auto"/>
                    <w:ind w:left="0" w:right="0"/>
                    <w:jc w:val="center"/>
                    <w:textAlignment w:val="auto"/>
                    <w:rPr>
                      <w:rFonts w:hint="eastAsia"/>
                      <w:color w:val="auto"/>
                      <w:highlight w:val="none"/>
                      <w:vertAlign w:val="baseline"/>
                    </w:rPr>
                  </w:pPr>
                </w:p>
              </w:tc>
            </w:tr>
            <w:tr w14:paraId="160F62C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75" w:type="dxa"/>
                  <w:tcMar>
                    <w:top w:w="0" w:type="dxa"/>
                    <w:left w:w="28" w:type="dxa"/>
                    <w:bottom w:w="0" w:type="dxa"/>
                    <w:right w:w="28" w:type="dxa"/>
                  </w:tcMar>
                  <w:vAlign w:val="center"/>
                </w:tcPr>
                <w:p w14:paraId="017E86EE">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right="0"/>
                    <w:jc w:val="center"/>
                    <w:textAlignment w:val="auto"/>
                    <w:rPr>
                      <w:rFonts w:hint="eastAsia"/>
                      <w:color w:val="auto"/>
                      <w:highlight w:val="none"/>
                      <w:vertAlign w:val="baseline"/>
                    </w:rPr>
                  </w:pPr>
                  <w:r>
                    <w:rPr>
                      <w:rFonts w:hint="default" w:ascii="Times New Roman" w:hAnsi="Times New Roman" w:eastAsia="宋体" w:cs="Times New Roman"/>
                      <w:bCs w:val="0"/>
                      <w:color w:val="auto"/>
                      <w:kern w:val="2"/>
                      <w:sz w:val="18"/>
                      <w:szCs w:val="18"/>
                      <w:highlight w:val="none"/>
                      <w:lang w:val="en-US" w:eastAsia="zh-CN" w:bidi="ar-SA"/>
                    </w:rPr>
                    <w:fldChar w:fldCharType="begin"/>
                  </w:r>
                  <w:r>
                    <w:rPr>
                      <w:rFonts w:hint="default" w:ascii="Times New Roman" w:hAnsi="Times New Roman" w:eastAsia="宋体" w:cs="Times New Roman"/>
                      <w:bCs w:val="0"/>
                      <w:color w:val="auto"/>
                      <w:kern w:val="2"/>
                      <w:sz w:val="18"/>
                      <w:szCs w:val="18"/>
                      <w:highlight w:val="none"/>
                      <w:lang w:val="en-US" w:eastAsia="zh-CN" w:bidi="ar-SA"/>
                    </w:rPr>
                    <w:instrText xml:space="preserve"> HYPERLINK "file:///\\\\文字文稿3\\6.5.2.9" </w:instrText>
                  </w:r>
                  <w:r>
                    <w:rPr>
                      <w:rFonts w:hint="default" w:ascii="Times New Roman" w:hAnsi="Times New Roman" w:eastAsia="宋体" w:cs="Times New Roman"/>
                      <w:bCs w:val="0"/>
                      <w:color w:val="auto"/>
                      <w:kern w:val="2"/>
                      <w:sz w:val="18"/>
                      <w:szCs w:val="18"/>
                      <w:highlight w:val="none"/>
                      <w:lang w:val="en-US" w:eastAsia="zh-CN" w:bidi="ar-SA"/>
                    </w:rPr>
                    <w:fldChar w:fldCharType="separate"/>
                  </w:r>
                  <w:r>
                    <w:rPr>
                      <w:rFonts w:hint="default" w:ascii="Times New Roman" w:hAnsi="Times New Roman" w:eastAsia="宋体" w:cs="Times New Roman"/>
                      <w:bCs w:val="0"/>
                      <w:color w:val="auto"/>
                      <w:kern w:val="2"/>
                      <w:sz w:val="18"/>
                      <w:szCs w:val="18"/>
                      <w:highlight w:val="none"/>
                      <w:lang w:val="en-US" w:eastAsia="zh-CN" w:bidi="ar-SA"/>
                    </w:rPr>
                    <w:t>6.5.2.9</w:t>
                  </w:r>
                  <w:r>
                    <w:rPr>
                      <w:rFonts w:hint="default" w:ascii="Times New Roman" w:hAnsi="Times New Roman" w:eastAsia="宋体" w:cs="Times New Roman"/>
                      <w:bCs w:val="0"/>
                      <w:color w:val="auto"/>
                      <w:kern w:val="2"/>
                      <w:sz w:val="18"/>
                      <w:szCs w:val="18"/>
                      <w:highlight w:val="none"/>
                      <w:lang w:val="en-US" w:eastAsia="zh-CN" w:bidi="ar-SA"/>
                    </w:rPr>
                    <w:fldChar w:fldCharType="end"/>
                  </w:r>
                </w:p>
              </w:tc>
              <w:tc>
                <w:tcPr>
                  <w:tcW w:w="3210" w:type="dxa"/>
                  <w:tcMar>
                    <w:top w:w="0" w:type="dxa"/>
                    <w:left w:w="28" w:type="dxa"/>
                    <w:bottom w:w="0" w:type="dxa"/>
                    <w:right w:w="28" w:type="dxa"/>
                  </w:tcMar>
                  <w:vAlign w:val="center"/>
                </w:tcPr>
                <w:p w14:paraId="7C08AF23">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right="0"/>
                    <w:jc w:val="both"/>
                    <w:textAlignment w:val="auto"/>
                    <w:rPr>
                      <w:rFonts w:hint="eastAsia"/>
                      <w:color w:val="auto"/>
                      <w:highlight w:val="none"/>
                      <w:vertAlign w:val="baseline"/>
                    </w:rPr>
                  </w:pPr>
                  <w:r>
                    <w:rPr>
                      <w:rFonts w:hint="eastAsia" w:ascii="Times New Roman" w:hAnsi="Times New Roman" w:eastAsia="宋体" w:cs="Times New Roman"/>
                      <w:bCs w:val="0"/>
                      <w:color w:val="auto"/>
                      <w:kern w:val="2"/>
                      <w:sz w:val="18"/>
                      <w:szCs w:val="18"/>
                      <w:highlight w:val="none"/>
                      <w:lang w:val="en-US" w:eastAsia="zh-CN" w:bidi="ar-SA"/>
                    </w:rPr>
                    <w:t>实验室的外部排风口应至少高出本实验室所在建筑的顶部</w:t>
                  </w:r>
                  <w:r>
                    <w:rPr>
                      <w:rFonts w:hint="default" w:ascii="Times New Roman" w:hAnsi="Times New Roman" w:eastAsia="宋体" w:cs="Times New Roman"/>
                      <w:bCs w:val="0"/>
                      <w:color w:val="auto"/>
                      <w:kern w:val="2"/>
                      <w:sz w:val="18"/>
                      <w:szCs w:val="18"/>
                      <w:highlight w:val="none"/>
                      <w:lang w:val="en-US" w:eastAsia="zh-CN" w:bidi="ar-SA"/>
                    </w:rPr>
                    <w:t>2m</w:t>
                  </w:r>
                  <w:r>
                    <w:rPr>
                      <w:rFonts w:hint="eastAsia" w:ascii="Times New Roman" w:hAnsi="Times New Roman" w:eastAsia="宋体" w:cs="Times New Roman"/>
                      <w:bCs w:val="0"/>
                      <w:color w:val="auto"/>
                      <w:kern w:val="2"/>
                      <w:sz w:val="18"/>
                      <w:szCs w:val="18"/>
                      <w:highlight w:val="none"/>
                      <w:lang w:val="en-US" w:eastAsia="zh-CN" w:bidi="ar-SA"/>
                    </w:rPr>
                    <w:t>，应有防风、防雨、防鼠、防虫设计，但不应影响气体向上空排放。</w:t>
                  </w:r>
                </w:p>
              </w:tc>
              <w:tc>
                <w:tcPr>
                  <w:tcW w:w="3495" w:type="dxa"/>
                  <w:tcMar>
                    <w:top w:w="0" w:type="dxa"/>
                    <w:left w:w="28" w:type="dxa"/>
                    <w:bottom w:w="0" w:type="dxa"/>
                    <w:right w:w="28" w:type="dxa"/>
                  </w:tcMar>
                  <w:vAlign w:val="center"/>
                </w:tcPr>
                <w:p w14:paraId="7CCFA53E">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right="0"/>
                    <w:jc w:val="both"/>
                    <w:textAlignment w:val="auto"/>
                    <w:rPr>
                      <w:rFonts w:hint="eastAsia"/>
                      <w:color w:val="auto"/>
                      <w:highlight w:val="none"/>
                      <w:vertAlign w:val="baseline"/>
                    </w:rPr>
                  </w:pPr>
                  <w:r>
                    <w:rPr>
                      <w:rFonts w:hint="eastAsia" w:ascii="Times New Roman" w:hAnsi="Times New Roman" w:eastAsia="宋体" w:cs="Times New Roman"/>
                      <w:bCs w:val="0"/>
                      <w:color w:val="auto"/>
                      <w:kern w:val="2"/>
                      <w:sz w:val="18"/>
                      <w:szCs w:val="18"/>
                      <w:highlight w:val="none"/>
                      <w:lang w:val="en-US" w:eastAsia="zh-CN" w:bidi="ar-SA"/>
                    </w:rPr>
                    <w:t>项目</w:t>
                  </w:r>
                  <w:r>
                    <w:rPr>
                      <w:rFonts w:hint="default" w:ascii="Times New Roman" w:hAnsi="Times New Roman" w:eastAsia="宋体" w:cs="Times New Roman"/>
                      <w:bCs w:val="0"/>
                      <w:color w:val="auto"/>
                      <w:kern w:val="2"/>
                      <w:sz w:val="18"/>
                      <w:szCs w:val="18"/>
                      <w:highlight w:val="none"/>
                      <w:lang w:val="en-US" w:eastAsia="zh-CN" w:bidi="ar-SA"/>
                    </w:rPr>
                    <w:t>ABSL-2</w:t>
                  </w:r>
                  <w:r>
                    <w:rPr>
                      <w:rFonts w:hint="eastAsia" w:ascii="Times New Roman" w:hAnsi="Times New Roman" w:eastAsia="宋体" w:cs="Times New Roman"/>
                      <w:bCs w:val="0"/>
                      <w:color w:val="auto"/>
                      <w:kern w:val="2"/>
                      <w:sz w:val="18"/>
                      <w:szCs w:val="18"/>
                      <w:highlight w:val="none"/>
                      <w:lang w:val="en-US" w:eastAsia="zh-CN" w:bidi="ar-SA"/>
                    </w:rPr>
                    <w:t>实验室废气经处理后由楼顶排气筒排放至室外，排气筒高于实验动物中心大楼</w:t>
                  </w:r>
                  <w:r>
                    <w:rPr>
                      <w:rFonts w:hint="eastAsia" w:cs="Times New Roman"/>
                      <w:bCs w:val="0"/>
                      <w:color w:val="auto"/>
                      <w:kern w:val="2"/>
                      <w:sz w:val="18"/>
                      <w:szCs w:val="18"/>
                      <w:highlight w:val="none"/>
                      <w:lang w:val="en-US" w:eastAsia="zh-CN" w:bidi="ar-SA"/>
                    </w:rPr>
                    <w:t>以及科创综合楼</w:t>
                  </w:r>
                  <w:r>
                    <w:rPr>
                      <w:rFonts w:hint="eastAsia" w:ascii="Times New Roman" w:hAnsi="Times New Roman" w:eastAsia="宋体" w:cs="Times New Roman"/>
                      <w:bCs w:val="0"/>
                      <w:color w:val="auto"/>
                      <w:kern w:val="2"/>
                      <w:sz w:val="18"/>
                      <w:szCs w:val="18"/>
                      <w:highlight w:val="none"/>
                      <w:lang w:val="en-US" w:eastAsia="zh-CN" w:bidi="ar-SA"/>
                    </w:rPr>
                    <w:t>高度</w:t>
                  </w:r>
                  <w:r>
                    <w:rPr>
                      <w:rFonts w:hint="default" w:ascii="Times New Roman" w:hAnsi="Times New Roman" w:eastAsia="宋体" w:cs="Times New Roman"/>
                      <w:bCs w:val="0"/>
                      <w:color w:val="auto"/>
                      <w:kern w:val="2"/>
                      <w:sz w:val="18"/>
                      <w:szCs w:val="18"/>
                      <w:highlight w:val="none"/>
                      <w:lang w:val="en-US" w:eastAsia="zh-CN" w:bidi="ar-SA"/>
                    </w:rPr>
                    <w:t>2m</w:t>
                  </w:r>
                  <w:r>
                    <w:rPr>
                      <w:rFonts w:hint="eastAsia" w:ascii="Times New Roman" w:hAnsi="Times New Roman" w:eastAsia="宋体" w:cs="Times New Roman"/>
                      <w:bCs w:val="0"/>
                      <w:color w:val="auto"/>
                      <w:kern w:val="2"/>
                      <w:sz w:val="18"/>
                      <w:szCs w:val="18"/>
                      <w:highlight w:val="none"/>
                      <w:lang w:val="en-US" w:eastAsia="zh-CN" w:bidi="ar-SA"/>
                    </w:rPr>
                    <w:t>以上，有防风、防雨、防鼠、防虫设计。</w:t>
                  </w:r>
                </w:p>
              </w:tc>
              <w:tc>
                <w:tcPr>
                  <w:tcW w:w="800" w:type="dxa"/>
                  <w:vMerge w:val="continue"/>
                  <w:tcMar>
                    <w:top w:w="0" w:type="dxa"/>
                    <w:left w:w="28" w:type="dxa"/>
                    <w:bottom w:w="0" w:type="dxa"/>
                    <w:right w:w="28" w:type="dxa"/>
                  </w:tcMar>
                  <w:vAlign w:val="center"/>
                </w:tcPr>
                <w:p w14:paraId="4BB25B65">
                  <w:pPr>
                    <w:pStyle w:val="128"/>
                    <w:keepNext w:val="0"/>
                    <w:keepLines w:val="0"/>
                    <w:pageBreakBefore w:val="0"/>
                    <w:widowControl w:val="0"/>
                    <w:suppressLineNumbers w:val="0"/>
                    <w:kinsoku/>
                    <w:wordWrap/>
                    <w:overflowPunct/>
                    <w:topLinePunct w:val="0"/>
                    <w:autoSpaceDE/>
                    <w:autoSpaceDN/>
                    <w:bidi w:val="0"/>
                    <w:adjustRightInd/>
                    <w:snapToGrid/>
                    <w:spacing w:before="0" w:beforeLines="0" w:beforeAutospacing="0" w:after="0" w:afterAutospacing="0" w:line="240" w:lineRule="auto"/>
                    <w:ind w:left="0" w:right="0"/>
                    <w:jc w:val="center"/>
                    <w:textAlignment w:val="auto"/>
                    <w:rPr>
                      <w:rFonts w:hint="eastAsia"/>
                      <w:color w:val="auto"/>
                      <w:highlight w:val="none"/>
                      <w:vertAlign w:val="baseline"/>
                    </w:rPr>
                  </w:pPr>
                </w:p>
              </w:tc>
            </w:tr>
            <w:tr w14:paraId="23DC976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75" w:type="dxa"/>
                  <w:tcMar>
                    <w:top w:w="0" w:type="dxa"/>
                    <w:left w:w="28" w:type="dxa"/>
                    <w:bottom w:w="0" w:type="dxa"/>
                    <w:right w:w="28" w:type="dxa"/>
                  </w:tcMar>
                  <w:vAlign w:val="center"/>
                </w:tcPr>
                <w:p w14:paraId="777A0322">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right="0"/>
                    <w:jc w:val="center"/>
                    <w:textAlignment w:val="auto"/>
                    <w:rPr>
                      <w:rFonts w:hint="eastAsia"/>
                      <w:color w:val="auto"/>
                      <w:highlight w:val="none"/>
                      <w:vertAlign w:val="baseline"/>
                    </w:rPr>
                  </w:pPr>
                  <w:r>
                    <w:rPr>
                      <w:rFonts w:hint="default" w:ascii="Times New Roman" w:hAnsi="Times New Roman" w:eastAsia="宋体" w:cs="Times New Roman"/>
                      <w:bCs w:val="0"/>
                      <w:color w:val="auto"/>
                      <w:kern w:val="2"/>
                      <w:sz w:val="18"/>
                      <w:szCs w:val="18"/>
                      <w:highlight w:val="none"/>
                      <w:lang w:val="en-US" w:eastAsia="zh-CN" w:bidi="ar-SA"/>
                    </w:rPr>
                    <w:fldChar w:fldCharType="begin"/>
                  </w:r>
                  <w:r>
                    <w:rPr>
                      <w:rFonts w:hint="default" w:ascii="Times New Roman" w:hAnsi="Times New Roman" w:eastAsia="宋体" w:cs="Times New Roman"/>
                      <w:bCs w:val="0"/>
                      <w:color w:val="auto"/>
                      <w:kern w:val="2"/>
                      <w:sz w:val="18"/>
                      <w:szCs w:val="18"/>
                      <w:highlight w:val="none"/>
                      <w:lang w:val="en-US" w:eastAsia="zh-CN" w:bidi="ar-SA"/>
                    </w:rPr>
                    <w:instrText xml:space="preserve"> HYPERLINK "file:///\\\\文字文稿3\\6.5.2.10" </w:instrText>
                  </w:r>
                  <w:r>
                    <w:rPr>
                      <w:rFonts w:hint="default" w:ascii="Times New Roman" w:hAnsi="Times New Roman" w:eastAsia="宋体" w:cs="Times New Roman"/>
                      <w:bCs w:val="0"/>
                      <w:color w:val="auto"/>
                      <w:kern w:val="2"/>
                      <w:sz w:val="18"/>
                      <w:szCs w:val="18"/>
                      <w:highlight w:val="none"/>
                      <w:lang w:val="en-US" w:eastAsia="zh-CN" w:bidi="ar-SA"/>
                    </w:rPr>
                    <w:fldChar w:fldCharType="separate"/>
                  </w:r>
                  <w:r>
                    <w:rPr>
                      <w:rFonts w:hint="default" w:ascii="Times New Roman" w:hAnsi="Times New Roman" w:eastAsia="宋体" w:cs="Times New Roman"/>
                      <w:bCs w:val="0"/>
                      <w:color w:val="auto"/>
                      <w:kern w:val="2"/>
                      <w:sz w:val="18"/>
                      <w:szCs w:val="18"/>
                      <w:highlight w:val="none"/>
                      <w:lang w:val="en-US" w:eastAsia="zh-CN" w:bidi="ar-SA"/>
                    </w:rPr>
                    <w:t>6.5.2.10</w:t>
                  </w:r>
                  <w:r>
                    <w:rPr>
                      <w:rFonts w:hint="default" w:ascii="Times New Roman" w:hAnsi="Times New Roman" w:eastAsia="宋体" w:cs="Times New Roman"/>
                      <w:bCs w:val="0"/>
                      <w:color w:val="auto"/>
                      <w:kern w:val="2"/>
                      <w:sz w:val="18"/>
                      <w:szCs w:val="18"/>
                      <w:highlight w:val="none"/>
                      <w:lang w:val="en-US" w:eastAsia="zh-CN" w:bidi="ar-SA"/>
                    </w:rPr>
                    <w:fldChar w:fldCharType="end"/>
                  </w:r>
                </w:p>
              </w:tc>
              <w:tc>
                <w:tcPr>
                  <w:tcW w:w="3210" w:type="dxa"/>
                  <w:tcMar>
                    <w:top w:w="0" w:type="dxa"/>
                    <w:left w:w="28" w:type="dxa"/>
                    <w:bottom w:w="0" w:type="dxa"/>
                    <w:right w:w="28" w:type="dxa"/>
                  </w:tcMar>
                  <w:vAlign w:val="center"/>
                </w:tcPr>
                <w:p w14:paraId="6AFF09A0">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right="0"/>
                    <w:jc w:val="both"/>
                    <w:textAlignment w:val="auto"/>
                    <w:rPr>
                      <w:rFonts w:hint="eastAsia"/>
                      <w:color w:val="auto"/>
                      <w:highlight w:val="none"/>
                      <w:vertAlign w:val="baseline"/>
                    </w:rPr>
                  </w:pPr>
                  <w:r>
                    <w:rPr>
                      <w:rFonts w:hint="eastAsia" w:ascii="Times New Roman" w:hAnsi="Times New Roman" w:eastAsia="宋体" w:cs="Times New Roman"/>
                      <w:bCs w:val="0"/>
                      <w:color w:val="auto"/>
                      <w:kern w:val="2"/>
                      <w:sz w:val="18"/>
                      <w:szCs w:val="18"/>
                      <w:highlight w:val="none"/>
                      <w:lang w:val="en-US" w:eastAsia="zh-CN" w:bidi="ar-SA"/>
                    </w:rPr>
                    <w:t>污水（包括污物）应消毒灭菌处理，并应对消毒灭菌效果进行监测，以确保达到排放要求。</w:t>
                  </w:r>
                </w:p>
              </w:tc>
              <w:tc>
                <w:tcPr>
                  <w:tcW w:w="3495" w:type="dxa"/>
                  <w:tcMar>
                    <w:top w:w="0" w:type="dxa"/>
                    <w:left w:w="28" w:type="dxa"/>
                    <w:bottom w:w="0" w:type="dxa"/>
                    <w:right w:w="28" w:type="dxa"/>
                  </w:tcMar>
                  <w:vAlign w:val="center"/>
                </w:tcPr>
                <w:p w14:paraId="28643D88">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right="0"/>
                    <w:jc w:val="both"/>
                    <w:textAlignment w:val="auto"/>
                    <w:rPr>
                      <w:rFonts w:hint="eastAsia"/>
                      <w:color w:val="auto"/>
                      <w:highlight w:val="none"/>
                      <w:vertAlign w:val="baseline"/>
                    </w:rPr>
                  </w:pPr>
                  <w:r>
                    <w:rPr>
                      <w:rFonts w:hint="eastAsia" w:ascii="Times New Roman" w:hAnsi="Times New Roman" w:eastAsia="宋体" w:cs="Times New Roman"/>
                      <w:bCs w:val="0"/>
                      <w:color w:val="auto"/>
                      <w:kern w:val="2"/>
                      <w:sz w:val="18"/>
                      <w:szCs w:val="18"/>
                      <w:highlight w:val="none"/>
                      <w:lang w:val="en-US" w:eastAsia="zh-CN" w:bidi="ar-SA"/>
                    </w:rPr>
                    <w:t>项目</w:t>
                  </w:r>
                  <w:r>
                    <w:rPr>
                      <w:rFonts w:hint="default" w:ascii="Times New Roman" w:hAnsi="Times New Roman" w:eastAsia="宋体" w:cs="Times New Roman"/>
                      <w:bCs w:val="0"/>
                      <w:color w:val="auto"/>
                      <w:kern w:val="2"/>
                      <w:sz w:val="18"/>
                      <w:szCs w:val="18"/>
                      <w:highlight w:val="none"/>
                      <w:lang w:val="en-US" w:eastAsia="zh-CN" w:bidi="ar-SA"/>
                    </w:rPr>
                    <w:t>污水</w:t>
                  </w:r>
                  <w:r>
                    <w:rPr>
                      <w:rFonts w:hint="eastAsia" w:ascii="Times New Roman" w:hAnsi="Times New Roman" w:eastAsia="宋体" w:cs="Times New Roman"/>
                      <w:bCs w:val="0"/>
                      <w:color w:val="auto"/>
                      <w:kern w:val="2"/>
                      <w:sz w:val="18"/>
                      <w:szCs w:val="18"/>
                      <w:highlight w:val="none"/>
                      <w:lang w:val="en-US" w:eastAsia="zh-CN" w:bidi="ar-SA"/>
                    </w:rPr>
                    <w:t>均</w:t>
                  </w:r>
                  <w:r>
                    <w:rPr>
                      <w:rFonts w:hint="default" w:ascii="Times New Roman" w:hAnsi="Times New Roman" w:eastAsia="宋体" w:cs="Times New Roman"/>
                      <w:bCs w:val="0"/>
                      <w:color w:val="auto"/>
                      <w:kern w:val="2"/>
                      <w:sz w:val="18"/>
                      <w:szCs w:val="18"/>
                      <w:highlight w:val="none"/>
                      <w:lang w:val="en-US" w:eastAsia="zh-CN" w:bidi="ar-SA"/>
                    </w:rPr>
                    <w:t>消毒灭菌处理，并对消毒灭菌效果进行监测，以确保达到排放要求。</w:t>
                  </w:r>
                </w:p>
              </w:tc>
              <w:tc>
                <w:tcPr>
                  <w:tcW w:w="800" w:type="dxa"/>
                  <w:vMerge w:val="continue"/>
                  <w:tcMar>
                    <w:top w:w="0" w:type="dxa"/>
                    <w:left w:w="28" w:type="dxa"/>
                    <w:bottom w:w="0" w:type="dxa"/>
                    <w:right w:w="28" w:type="dxa"/>
                  </w:tcMar>
                  <w:vAlign w:val="center"/>
                </w:tcPr>
                <w:p w14:paraId="11A464E5">
                  <w:pPr>
                    <w:pStyle w:val="128"/>
                    <w:keepNext w:val="0"/>
                    <w:keepLines w:val="0"/>
                    <w:pageBreakBefore w:val="0"/>
                    <w:widowControl w:val="0"/>
                    <w:suppressLineNumbers w:val="0"/>
                    <w:kinsoku/>
                    <w:wordWrap/>
                    <w:overflowPunct/>
                    <w:topLinePunct w:val="0"/>
                    <w:autoSpaceDE/>
                    <w:autoSpaceDN/>
                    <w:bidi w:val="0"/>
                    <w:adjustRightInd/>
                    <w:snapToGrid/>
                    <w:spacing w:before="0" w:beforeLines="0" w:beforeAutospacing="0" w:after="0" w:afterAutospacing="0" w:line="240" w:lineRule="auto"/>
                    <w:ind w:left="0" w:right="0"/>
                    <w:jc w:val="center"/>
                    <w:textAlignment w:val="auto"/>
                    <w:rPr>
                      <w:rFonts w:hint="eastAsia"/>
                      <w:color w:val="auto"/>
                      <w:highlight w:val="none"/>
                      <w:vertAlign w:val="baseline"/>
                    </w:rPr>
                  </w:pPr>
                </w:p>
              </w:tc>
            </w:tr>
          </w:tbl>
          <w:p w14:paraId="5497D412">
            <w:pPr>
              <w:keepNext w:val="0"/>
              <w:keepLines w:val="0"/>
              <w:suppressLineNumbers w:val="0"/>
              <w:topLinePunct/>
              <w:adjustRightInd w:val="0"/>
              <w:snapToGrid w:val="0"/>
              <w:spacing w:before="0" w:beforeAutospacing="0" w:after="0" w:afterAutospacing="0" w:line="360" w:lineRule="auto"/>
              <w:ind w:left="0" w:right="0"/>
              <w:rPr>
                <w:rFonts w:hint="eastAsia" w:ascii="Times New Roman" w:hAnsi="Times New Roman" w:eastAsia="宋体" w:cs="Times New Roman"/>
                <w:b/>
                <w:bCs/>
                <w:snapToGrid w:val="0"/>
                <w:color w:val="auto"/>
                <w:kern w:val="0"/>
                <w:sz w:val="24"/>
                <w:szCs w:val="24"/>
                <w:highlight w:val="none"/>
                <w:lang w:val="en-US" w:eastAsia="zh-CN"/>
              </w:rPr>
            </w:pPr>
            <w:r>
              <w:rPr>
                <w:rFonts w:hint="eastAsia" w:cs="Times New Roman"/>
                <w:b/>
                <w:bCs/>
                <w:snapToGrid w:val="0"/>
                <w:color w:val="auto"/>
                <w:kern w:val="0"/>
                <w:sz w:val="24"/>
                <w:szCs w:val="24"/>
                <w:highlight w:val="none"/>
                <w:lang w:val="en-US" w:eastAsia="zh-CN"/>
              </w:rPr>
              <w:t>8</w:t>
            </w:r>
            <w:r>
              <w:rPr>
                <w:rFonts w:hint="eastAsia" w:ascii="Times New Roman" w:hAnsi="Times New Roman" w:eastAsia="宋体" w:cs="Times New Roman"/>
                <w:b/>
                <w:bCs/>
                <w:snapToGrid w:val="0"/>
                <w:color w:val="auto"/>
                <w:kern w:val="0"/>
                <w:sz w:val="24"/>
                <w:szCs w:val="24"/>
                <w:highlight w:val="none"/>
                <w:lang w:val="en-US" w:eastAsia="zh-CN"/>
              </w:rPr>
              <w:t>、与《生物安全实验室建筑技术规范》（GB50346-2011）相符性分析</w:t>
            </w:r>
          </w:p>
          <w:p w14:paraId="30D8AABB">
            <w:pPr>
              <w:keepNext w:val="0"/>
              <w:keepLines w:val="0"/>
              <w:suppressLineNumbers w:val="0"/>
              <w:topLinePunct/>
              <w:adjustRightInd w:val="0"/>
              <w:snapToGrid w:val="0"/>
              <w:spacing w:before="0" w:beforeAutospacing="0" w:after="0" w:afterAutospacing="0" w:line="360" w:lineRule="auto"/>
              <w:ind w:left="0" w:right="0" w:firstLine="480" w:firstLineChars="200"/>
              <w:rPr>
                <w:rFonts w:hint="eastAsia" w:ascii="Times New Roman" w:hAnsi="Times New Roman" w:eastAsia="宋体" w:cs="Times New Roman"/>
                <w:snapToGrid w:val="0"/>
                <w:color w:val="auto"/>
                <w:kern w:val="0"/>
                <w:sz w:val="24"/>
                <w:szCs w:val="24"/>
                <w:highlight w:val="none"/>
                <w:lang w:val="en-US" w:eastAsia="zh-CN"/>
              </w:rPr>
            </w:pPr>
            <w:r>
              <w:rPr>
                <w:rFonts w:hint="eastAsia" w:ascii="Times New Roman" w:hAnsi="Times New Roman" w:eastAsia="宋体" w:cs="Times New Roman"/>
                <w:snapToGrid w:val="0"/>
                <w:color w:val="auto"/>
                <w:kern w:val="0"/>
                <w:sz w:val="24"/>
                <w:szCs w:val="24"/>
                <w:highlight w:val="none"/>
                <w:lang w:val="en-US" w:eastAsia="zh-CN"/>
              </w:rPr>
              <w:t>项目与《生物安全实验室建筑技术规范》（GB50346-2011）中有关要求的相符性详见下表1-</w:t>
            </w:r>
            <w:r>
              <w:rPr>
                <w:rFonts w:hint="eastAsia" w:cs="Times New Roman"/>
                <w:snapToGrid w:val="0"/>
                <w:color w:val="auto"/>
                <w:kern w:val="0"/>
                <w:sz w:val="24"/>
                <w:szCs w:val="24"/>
                <w:highlight w:val="none"/>
                <w:lang w:val="en-US" w:eastAsia="zh-CN"/>
              </w:rPr>
              <w:t>8</w:t>
            </w:r>
            <w:r>
              <w:rPr>
                <w:rFonts w:hint="eastAsia" w:ascii="Times New Roman" w:hAnsi="Times New Roman" w:eastAsia="宋体" w:cs="Times New Roman"/>
                <w:snapToGrid w:val="0"/>
                <w:color w:val="auto"/>
                <w:kern w:val="0"/>
                <w:sz w:val="24"/>
                <w:szCs w:val="24"/>
                <w:highlight w:val="none"/>
                <w:lang w:val="en-US" w:eastAsia="zh-CN"/>
              </w:rPr>
              <w:t>。</w:t>
            </w:r>
          </w:p>
          <w:p w14:paraId="68E880EA">
            <w:pPr>
              <w:keepNext/>
              <w:keepLines/>
              <w:suppressLineNumbers w:val="0"/>
              <w:adjustRightInd w:val="0"/>
              <w:snapToGrid w:val="0"/>
              <w:spacing w:before="0" w:beforeAutospacing="0" w:after="0" w:afterAutospacing="0" w:line="360" w:lineRule="auto"/>
              <w:ind w:left="0" w:right="0"/>
              <w:jc w:val="center"/>
              <w:outlineLvl w:val="1"/>
              <w:rPr>
                <w:rFonts w:hint="eastAsia" w:ascii="Times New Roman" w:hAnsi="Times New Roman" w:eastAsia="宋体" w:cs="Times New Roman"/>
                <w:b/>
                <w:bCs/>
                <w:color w:val="auto"/>
                <w:kern w:val="2"/>
                <w:sz w:val="24"/>
                <w:szCs w:val="24"/>
                <w:highlight w:val="none"/>
                <w:lang w:val="en-US" w:eastAsia="zh-CN" w:bidi="ar-SA"/>
              </w:rPr>
            </w:pPr>
            <w:r>
              <w:rPr>
                <w:rFonts w:hint="eastAsia" w:ascii="Times New Roman" w:hAnsi="Times New Roman" w:eastAsia="宋体" w:cs="Times New Roman"/>
                <w:b/>
                <w:bCs/>
                <w:color w:val="auto"/>
                <w:kern w:val="2"/>
                <w:sz w:val="24"/>
                <w:szCs w:val="24"/>
                <w:highlight w:val="none"/>
                <w:lang w:val="en-US" w:eastAsia="zh-CN" w:bidi="ar-SA"/>
              </w:rPr>
              <w:t>表1-</w:t>
            </w:r>
            <w:r>
              <w:rPr>
                <w:rFonts w:hint="eastAsia" w:cs="Times New Roman"/>
                <w:b/>
                <w:bCs/>
                <w:color w:val="auto"/>
                <w:kern w:val="2"/>
                <w:sz w:val="24"/>
                <w:szCs w:val="24"/>
                <w:highlight w:val="none"/>
                <w:lang w:val="en-US" w:eastAsia="zh-CN" w:bidi="ar-SA"/>
              </w:rPr>
              <w:t>8</w:t>
            </w:r>
            <w:r>
              <w:rPr>
                <w:rFonts w:hint="eastAsia" w:ascii="Times New Roman" w:hAnsi="Times New Roman" w:eastAsia="宋体" w:cs="Times New Roman"/>
                <w:b/>
                <w:bCs/>
                <w:color w:val="auto"/>
                <w:kern w:val="2"/>
                <w:sz w:val="24"/>
                <w:szCs w:val="24"/>
                <w:highlight w:val="none"/>
                <w:lang w:val="en-US" w:eastAsia="zh-CN" w:bidi="ar-SA"/>
              </w:rPr>
              <w:t xml:space="preserve"> 项目与《生物安全实验室建筑技术规范》（GB50346-2011）</w:t>
            </w:r>
          </w:p>
          <w:p w14:paraId="6AC8FEC0">
            <w:pPr>
              <w:keepNext/>
              <w:keepLines/>
              <w:suppressLineNumbers w:val="0"/>
              <w:adjustRightInd w:val="0"/>
              <w:snapToGrid w:val="0"/>
              <w:spacing w:before="0" w:beforeAutospacing="0" w:after="0" w:afterAutospacing="0" w:line="360" w:lineRule="auto"/>
              <w:ind w:left="0" w:right="0"/>
              <w:jc w:val="center"/>
              <w:outlineLvl w:val="1"/>
              <w:rPr>
                <w:rFonts w:hint="eastAsia" w:ascii="Times New Roman" w:hAnsi="Times New Roman" w:eastAsia="宋体" w:cs="Times New Roman"/>
                <w:b/>
                <w:bCs/>
                <w:color w:val="auto"/>
                <w:kern w:val="2"/>
                <w:sz w:val="24"/>
                <w:szCs w:val="24"/>
                <w:highlight w:val="none"/>
                <w:lang w:val="en-US" w:eastAsia="zh-CN" w:bidi="ar-SA"/>
              </w:rPr>
            </w:pPr>
            <w:r>
              <w:rPr>
                <w:rFonts w:hint="eastAsia" w:ascii="Times New Roman" w:hAnsi="Times New Roman" w:eastAsia="宋体" w:cs="Times New Roman"/>
                <w:b/>
                <w:bCs/>
                <w:color w:val="auto"/>
                <w:kern w:val="2"/>
                <w:sz w:val="24"/>
                <w:szCs w:val="24"/>
                <w:highlight w:val="none"/>
                <w:lang w:val="en-US" w:eastAsia="zh-CN" w:bidi="ar-SA"/>
              </w:rPr>
              <w:t>符合性分析表</w:t>
            </w:r>
          </w:p>
          <w:tbl>
            <w:tblPr>
              <w:tblStyle w:val="125"/>
              <w:tblW w:w="4998" w:type="pct"/>
              <w:tblInd w:w="0"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autofit"/>
              <w:tblCellMar>
                <w:top w:w="0" w:type="dxa"/>
                <w:left w:w="0" w:type="dxa"/>
                <w:bottom w:w="0" w:type="dxa"/>
                <w:right w:w="0" w:type="dxa"/>
              </w:tblCellMar>
            </w:tblPr>
            <w:tblGrid>
              <w:gridCol w:w="670"/>
              <w:gridCol w:w="3424"/>
              <w:gridCol w:w="3342"/>
              <w:gridCol w:w="741"/>
            </w:tblGrid>
            <w:tr w14:paraId="74D52FB0">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0" w:hRule="atLeast"/>
              </w:trPr>
              <w:tc>
                <w:tcPr>
                  <w:tcW w:w="410" w:type="pct"/>
                  <w:vAlign w:val="center"/>
                </w:tcPr>
                <w:p w14:paraId="424DE785">
                  <w:pPr>
                    <w:keepNext w:val="0"/>
                    <w:keepLines w:val="0"/>
                    <w:widowControl/>
                    <w:suppressLineNumbers w:val="0"/>
                    <w:jc w:val="center"/>
                    <w:rPr>
                      <w:rFonts w:hint="eastAsia" w:ascii="Times New Roman" w:hAnsi="Times New Roman" w:eastAsia="宋体" w:cs="Times New Roman"/>
                      <w:bCs w:val="0"/>
                      <w:color w:val="auto"/>
                      <w:kern w:val="2"/>
                      <w:sz w:val="21"/>
                      <w:szCs w:val="21"/>
                      <w:highlight w:val="none"/>
                      <w:lang w:val="en-US" w:eastAsia="zh-CN" w:bidi="ar-SA"/>
                    </w:rPr>
                  </w:pPr>
                  <w:r>
                    <w:rPr>
                      <w:rFonts w:hint="eastAsia" w:ascii="Times New Roman" w:hAnsi="Times New Roman" w:eastAsia="宋体" w:cs="Times New Roman"/>
                      <w:bCs w:val="0"/>
                      <w:color w:val="auto"/>
                      <w:kern w:val="2"/>
                      <w:sz w:val="21"/>
                      <w:szCs w:val="21"/>
                      <w:highlight w:val="none"/>
                      <w:lang w:val="en-US" w:eastAsia="zh-CN" w:bidi="ar-SA"/>
                    </w:rPr>
                    <w:t>项目</w:t>
                  </w:r>
                </w:p>
              </w:tc>
              <w:tc>
                <w:tcPr>
                  <w:tcW w:w="2093" w:type="pct"/>
                  <w:vAlign w:val="center"/>
                </w:tcPr>
                <w:p w14:paraId="7A84D248">
                  <w:pPr>
                    <w:keepNext w:val="0"/>
                    <w:keepLines w:val="0"/>
                    <w:widowControl/>
                    <w:suppressLineNumbers w:val="0"/>
                    <w:jc w:val="center"/>
                    <w:rPr>
                      <w:rFonts w:hint="eastAsia" w:ascii="Times New Roman" w:hAnsi="Times New Roman" w:eastAsia="宋体" w:cs="Times New Roman"/>
                      <w:bCs w:val="0"/>
                      <w:color w:val="auto"/>
                      <w:kern w:val="2"/>
                      <w:sz w:val="21"/>
                      <w:szCs w:val="21"/>
                      <w:highlight w:val="none"/>
                      <w:lang w:val="en-US" w:eastAsia="zh-CN" w:bidi="ar-SA"/>
                    </w:rPr>
                  </w:pPr>
                  <w:r>
                    <w:rPr>
                      <w:rFonts w:hint="eastAsia" w:ascii="Times New Roman" w:hAnsi="Times New Roman" w:eastAsia="宋体" w:cs="Times New Roman"/>
                      <w:bCs w:val="0"/>
                      <w:color w:val="auto"/>
                      <w:kern w:val="2"/>
                      <w:sz w:val="21"/>
                      <w:szCs w:val="21"/>
                      <w:highlight w:val="none"/>
                      <w:lang w:val="en-US" w:eastAsia="zh-CN" w:bidi="ar-SA"/>
                    </w:rPr>
                    <w:t>要求</w:t>
                  </w:r>
                </w:p>
              </w:tc>
              <w:tc>
                <w:tcPr>
                  <w:tcW w:w="2043" w:type="pct"/>
                  <w:vAlign w:val="center"/>
                </w:tcPr>
                <w:p w14:paraId="6DCC7B49">
                  <w:pPr>
                    <w:keepNext w:val="0"/>
                    <w:keepLines w:val="0"/>
                    <w:widowControl/>
                    <w:suppressLineNumbers w:val="0"/>
                    <w:jc w:val="center"/>
                    <w:rPr>
                      <w:rFonts w:hint="eastAsia" w:ascii="Times New Roman" w:hAnsi="Times New Roman" w:eastAsia="宋体" w:cs="Times New Roman"/>
                      <w:bCs w:val="0"/>
                      <w:color w:val="auto"/>
                      <w:kern w:val="2"/>
                      <w:sz w:val="21"/>
                      <w:szCs w:val="21"/>
                      <w:highlight w:val="none"/>
                      <w:lang w:val="en-US" w:eastAsia="zh-CN" w:bidi="ar-SA"/>
                    </w:rPr>
                  </w:pPr>
                  <w:r>
                    <w:rPr>
                      <w:rFonts w:hint="eastAsia" w:ascii="Times New Roman" w:hAnsi="Times New Roman" w:eastAsia="宋体" w:cs="Times New Roman"/>
                      <w:bCs w:val="0"/>
                      <w:color w:val="auto"/>
                      <w:kern w:val="2"/>
                      <w:sz w:val="21"/>
                      <w:szCs w:val="21"/>
                      <w:highlight w:val="none"/>
                      <w:lang w:val="en-US" w:eastAsia="zh-CN" w:bidi="ar-SA"/>
                    </w:rPr>
                    <w:t>本项目情况</w:t>
                  </w:r>
                </w:p>
              </w:tc>
              <w:tc>
                <w:tcPr>
                  <w:tcW w:w="453" w:type="pct"/>
                  <w:vAlign w:val="center"/>
                </w:tcPr>
                <w:p w14:paraId="3C908F18">
                  <w:pPr>
                    <w:keepNext w:val="0"/>
                    <w:keepLines w:val="0"/>
                    <w:widowControl/>
                    <w:suppressLineNumbers w:val="0"/>
                    <w:jc w:val="center"/>
                    <w:rPr>
                      <w:rFonts w:hint="default" w:ascii="Times New Roman" w:hAnsi="Times New Roman" w:eastAsia="宋体" w:cs="Times New Roman"/>
                      <w:bCs w:val="0"/>
                      <w:color w:val="auto"/>
                      <w:kern w:val="2"/>
                      <w:sz w:val="21"/>
                      <w:szCs w:val="21"/>
                      <w:highlight w:val="none"/>
                      <w:lang w:val="en-US" w:eastAsia="zh-CN" w:bidi="ar-SA"/>
                    </w:rPr>
                  </w:pPr>
                  <w:r>
                    <w:rPr>
                      <w:rFonts w:hint="eastAsia" w:ascii="Times New Roman" w:hAnsi="Times New Roman" w:eastAsia="宋体" w:cs="Times New Roman"/>
                      <w:bCs w:val="0"/>
                      <w:color w:val="auto"/>
                      <w:kern w:val="2"/>
                      <w:sz w:val="21"/>
                      <w:szCs w:val="21"/>
                      <w:highlight w:val="none"/>
                      <w:lang w:val="en-US" w:eastAsia="zh-CN" w:bidi="ar-SA"/>
                    </w:rPr>
                    <w:t>符合性</w:t>
                  </w:r>
                </w:p>
              </w:tc>
            </w:tr>
            <w:tr w14:paraId="53405A5C">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0" w:hRule="atLeast"/>
              </w:trPr>
              <w:tc>
                <w:tcPr>
                  <w:tcW w:w="410" w:type="pct"/>
                  <w:vMerge w:val="restart"/>
                  <w:tcBorders>
                    <w:bottom w:val="nil"/>
                  </w:tcBorders>
                  <w:vAlign w:val="center"/>
                </w:tcPr>
                <w:p w14:paraId="6E782CAC">
                  <w:pPr>
                    <w:keepNext w:val="0"/>
                    <w:keepLines w:val="0"/>
                    <w:widowControl/>
                    <w:suppressLineNumbers w:val="0"/>
                    <w:jc w:val="center"/>
                    <w:rPr>
                      <w:rFonts w:hint="eastAsia" w:ascii="Times New Roman" w:hAnsi="Times New Roman" w:eastAsia="宋体" w:cs="Times New Roman"/>
                      <w:bCs w:val="0"/>
                      <w:color w:val="auto"/>
                      <w:kern w:val="2"/>
                      <w:sz w:val="21"/>
                      <w:szCs w:val="21"/>
                      <w:highlight w:val="none"/>
                      <w:lang w:val="en-US" w:eastAsia="zh-CN" w:bidi="ar-SA"/>
                    </w:rPr>
                  </w:pPr>
                  <w:r>
                    <w:rPr>
                      <w:rFonts w:hint="eastAsia" w:ascii="Times New Roman" w:hAnsi="Times New Roman" w:eastAsia="宋体" w:cs="Times New Roman"/>
                      <w:bCs w:val="0"/>
                      <w:color w:val="auto"/>
                      <w:kern w:val="2"/>
                      <w:sz w:val="21"/>
                      <w:szCs w:val="21"/>
                      <w:highlight w:val="none"/>
                      <w:lang w:val="en-US" w:eastAsia="zh-CN" w:bidi="ar-SA"/>
                    </w:rPr>
                    <w:t>建筑要求</w:t>
                  </w:r>
                </w:p>
              </w:tc>
              <w:tc>
                <w:tcPr>
                  <w:tcW w:w="2093" w:type="pct"/>
                  <w:vAlign w:val="center"/>
                </w:tcPr>
                <w:p w14:paraId="4B2BA492">
                  <w:pPr>
                    <w:keepNext w:val="0"/>
                    <w:keepLines w:val="0"/>
                    <w:widowControl/>
                    <w:suppressLineNumbers w:val="0"/>
                    <w:jc w:val="both"/>
                    <w:rPr>
                      <w:rFonts w:hint="eastAsia" w:ascii="Times New Roman" w:hAnsi="Times New Roman" w:eastAsia="宋体" w:cs="Times New Roman"/>
                      <w:bCs w:val="0"/>
                      <w:color w:val="auto"/>
                      <w:kern w:val="2"/>
                      <w:sz w:val="21"/>
                      <w:szCs w:val="21"/>
                      <w:highlight w:val="none"/>
                      <w:lang w:val="en-US" w:eastAsia="zh-CN" w:bidi="ar-SA"/>
                    </w:rPr>
                  </w:pPr>
                  <w:r>
                    <w:rPr>
                      <w:rFonts w:hint="eastAsia" w:ascii="Times New Roman" w:hAnsi="Times New Roman" w:eastAsia="宋体" w:cs="Times New Roman"/>
                      <w:bCs w:val="0"/>
                      <w:color w:val="auto"/>
                      <w:kern w:val="2"/>
                      <w:sz w:val="21"/>
                      <w:szCs w:val="21"/>
                      <w:highlight w:val="none"/>
                      <w:lang w:val="en-US" w:eastAsia="zh-CN" w:bidi="ar-SA"/>
                    </w:rPr>
                    <w:t>可共用建筑物，与建筑物其他部分可相通，但应设可自动关闭的带锁的门。</w:t>
                  </w:r>
                </w:p>
              </w:tc>
              <w:tc>
                <w:tcPr>
                  <w:tcW w:w="2043" w:type="pct"/>
                  <w:vAlign w:val="center"/>
                </w:tcPr>
                <w:p w14:paraId="41AB117E">
                  <w:pPr>
                    <w:keepNext w:val="0"/>
                    <w:keepLines w:val="0"/>
                    <w:widowControl/>
                    <w:suppressLineNumbers w:val="0"/>
                    <w:jc w:val="both"/>
                    <w:rPr>
                      <w:rFonts w:hint="eastAsia" w:ascii="Times New Roman" w:hAnsi="Times New Roman" w:eastAsia="宋体" w:cs="Times New Roman"/>
                      <w:bCs w:val="0"/>
                      <w:color w:val="auto"/>
                      <w:kern w:val="2"/>
                      <w:sz w:val="21"/>
                      <w:szCs w:val="21"/>
                      <w:highlight w:val="none"/>
                      <w:lang w:val="en-US" w:eastAsia="zh-CN" w:bidi="ar-SA"/>
                    </w:rPr>
                  </w:pPr>
                  <w:r>
                    <w:rPr>
                      <w:rFonts w:hint="eastAsia" w:ascii="Times New Roman" w:hAnsi="Times New Roman" w:eastAsia="宋体" w:cs="Times New Roman"/>
                      <w:bCs w:val="0"/>
                      <w:color w:val="auto"/>
                      <w:kern w:val="2"/>
                      <w:sz w:val="21"/>
                      <w:szCs w:val="21"/>
                      <w:highlight w:val="none"/>
                      <w:lang w:val="en-US" w:eastAsia="zh-CN" w:bidi="ar-SA"/>
                    </w:rPr>
                    <w:t>本项目各实验室</w:t>
                  </w:r>
                  <w:r>
                    <w:rPr>
                      <w:rFonts w:hint="eastAsia" w:cs="Times New Roman"/>
                      <w:bCs w:val="0"/>
                      <w:color w:val="auto"/>
                      <w:kern w:val="2"/>
                      <w:sz w:val="21"/>
                      <w:szCs w:val="21"/>
                      <w:highlight w:val="none"/>
                      <w:lang w:val="en-US" w:eastAsia="zh-CN" w:bidi="ar-SA"/>
                    </w:rPr>
                    <w:t>分布于科创综合楼以及实验动物中心</w:t>
                  </w:r>
                  <w:r>
                    <w:rPr>
                      <w:rFonts w:hint="eastAsia" w:ascii="Times New Roman" w:hAnsi="Times New Roman" w:eastAsia="宋体" w:cs="Times New Roman"/>
                      <w:bCs w:val="0"/>
                      <w:color w:val="auto"/>
                      <w:kern w:val="2"/>
                      <w:sz w:val="21"/>
                      <w:szCs w:val="21"/>
                      <w:highlight w:val="none"/>
                      <w:lang w:val="en-US" w:eastAsia="zh-CN" w:bidi="ar-SA"/>
                    </w:rPr>
                    <w:t>，各实验室及检测区均分区设置，且实验室入口均设置独立的可自动关闭的带锁的门，设有门禁控制</w:t>
                  </w:r>
                  <w:r>
                    <w:rPr>
                      <w:rFonts w:hint="eastAsia" w:cs="Times New Roman"/>
                      <w:bCs w:val="0"/>
                      <w:color w:val="auto"/>
                      <w:kern w:val="2"/>
                      <w:sz w:val="21"/>
                      <w:szCs w:val="21"/>
                      <w:highlight w:val="none"/>
                      <w:lang w:val="en-US" w:eastAsia="zh-CN" w:bidi="ar-SA"/>
                    </w:rPr>
                    <w:t>。</w:t>
                  </w:r>
                </w:p>
              </w:tc>
              <w:tc>
                <w:tcPr>
                  <w:tcW w:w="453" w:type="pct"/>
                  <w:vAlign w:val="center"/>
                </w:tcPr>
                <w:p w14:paraId="49272EDC">
                  <w:pPr>
                    <w:keepNext w:val="0"/>
                    <w:keepLines w:val="0"/>
                    <w:widowControl/>
                    <w:suppressLineNumbers w:val="0"/>
                    <w:jc w:val="center"/>
                    <w:rPr>
                      <w:rFonts w:hint="default" w:ascii="Times New Roman" w:hAnsi="Times New Roman" w:eastAsia="宋体" w:cs="Times New Roman"/>
                      <w:bCs w:val="0"/>
                      <w:color w:val="auto"/>
                      <w:kern w:val="2"/>
                      <w:sz w:val="21"/>
                      <w:szCs w:val="21"/>
                      <w:highlight w:val="none"/>
                      <w:lang w:val="en-US" w:eastAsia="zh-CN" w:bidi="ar-SA"/>
                    </w:rPr>
                  </w:pPr>
                  <w:r>
                    <w:rPr>
                      <w:rFonts w:hint="eastAsia" w:ascii="Times New Roman" w:hAnsi="Times New Roman" w:eastAsia="宋体" w:cs="Times New Roman"/>
                      <w:bCs w:val="0"/>
                      <w:color w:val="auto"/>
                      <w:kern w:val="2"/>
                      <w:sz w:val="21"/>
                      <w:szCs w:val="21"/>
                      <w:highlight w:val="none"/>
                      <w:lang w:val="en-US" w:eastAsia="zh-CN" w:bidi="ar-SA"/>
                    </w:rPr>
                    <w:t>符合</w:t>
                  </w:r>
                </w:p>
              </w:tc>
            </w:tr>
            <w:tr w14:paraId="6A74D7DB">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0" w:hRule="atLeast"/>
              </w:trPr>
              <w:tc>
                <w:tcPr>
                  <w:tcW w:w="410" w:type="pct"/>
                  <w:vMerge w:val="continue"/>
                  <w:tcBorders>
                    <w:top w:val="nil"/>
                  </w:tcBorders>
                  <w:vAlign w:val="center"/>
                </w:tcPr>
                <w:p w14:paraId="520C9E03">
                  <w:pPr>
                    <w:keepNext w:val="0"/>
                    <w:keepLines w:val="0"/>
                    <w:widowControl/>
                    <w:suppressLineNumbers w:val="0"/>
                    <w:jc w:val="center"/>
                    <w:rPr>
                      <w:rFonts w:hint="eastAsia" w:ascii="Times New Roman" w:hAnsi="Times New Roman" w:eastAsia="宋体" w:cs="Times New Roman"/>
                      <w:bCs w:val="0"/>
                      <w:color w:val="auto"/>
                      <w:kern w:val="2"/>
                      <w:sz w:val="21"/>
                      <w:szCs w:val="21"/>
                      <w:highlight w:val="none"/>
                      <w:lang w:val="en-US" w:eastAsia="zh-CN" w:bidi="ar-SA"/>
                    </w:rPr>
                  </w:pPr>
                </w:p>
              </w:tc>
              <w:tc>
                <w:tcPr>
                  <w:tcW w:w="2093" w:type="pct"/>
                  <w:vAlign w:val="center"/>
                </w:tcPr>
                <w:p w14:paraId="1BD5AE87">
                  <w:pPr>
                    <w:keepNext w:val="0"/>
                    <w:keepLines w:val="0"/>
                    <w:widowControl/>
                    <w:suppressLineNumbers w:val="0"/>
                    <w:jc w:val="both"/>
                    <w:rPr>
                      <w:rFonts w:hint="eastAsia" w:ascii="Times New Roman" w:hAnsi="Times New Roman" w:eastAsia="宋体" w:cs="Times New Roman"/>
                      <w:bCs w:val="0"/>
                      <w:color w:val="auto"/>
                      <w:kern w:val="2"/>
                      <w:sz w:val="21"/>
                      <w:szCs w:val="21"/>
                      <w:highlight w:val="none"/>
                      <w:lang w:val="en-US" w:eastAsia="zh-CN" w:bidi="ar-SA"/>
                    </w:rPr>
                  </w:pPr>
                  <w:r>
                    <w:rPr>
                      <w:rFonts w:hint="eastAsia" w:ascii="Times New Roman" w:hAnsi="Times New Roman" w:eastAsia="宋体" w:cs="Times New Roman"/>
                      <w:bCs w:val="0"/>
                      <w:color w:val="auto"/>
                      <w:kern w:val="2"/>
                      <w:sz w:val="21"/>
                      <w:szCs w:val="21"/>
                      <w:highlight w:val="none"/>
                      <w:lang w:val="en-US" w:eastAsia="zh-CN" w:bidi="ar-SA"/>
                    </w:rPr>
                    <w:t>应在实验室或实验室所在建筑内配备高压灭菌器或其他消毒灭菌设备。</w:t>
                  </w:r>
                </w:p>
              </w:tc>
              <w:tc>
                <w:tcPr>
                  <w:tcW w:w="2043" w:type="pct"/>
                  <w:vAlign w:val="center"/>
                </w:tcPr>
                <w:p w14:paraId="6CA35291">
                  <w:pPr>
                    <w:keepNext w:val="0"/>
                    <w:keepLines w:val="0"/>
                    <w:widowControl/>
                    <w:suppressLineNumbers w:val="0"/>
                    <w:jc w:val="both"/>
                    <w:rPr>
                      <w:rFonts w:hint="eastAsia" w:ascii="Times New Roman" w:hAnsi="Times New Roman" w:eastAsia="宋体" w:cs="Times New Roman"/>
                      <w:bCs w:val="0"/>
                      <w:color w:val="auto"/>
                      <w:kern w:val="2"/>
                      <w:sz w:val="21"/>
                      <w:szCs w:val="21"/>
                      <w:highlight w:val="none"/>
                      <w:lang w:val="en-US" w:eastAsia="zh-CN" w:bidi="ar-SA"/>
                    </w:rPr>
                  </w:pPr>
                  <w:r>
                    <w:rPr>
                      <w:rFonts w:hint="eastAsia" w:ascii="Times New Roman" w:hAnsi="Times New Roman" w:eastAsia="宋体" w:cs="Times New Roman"/>
                      <w:bCs w:val="0"/>
                      <w:color w:val="auto"/>
                      <w:kern w:val="2"/>
                      <w:sz w:val="21"/>
                      <w:szCs w:val="21"/>
                      <w:highlight w:val="none"/>
                      <w:lang w:val="en-US" w:eastAsia="zh-CN" w:bidi="ar-SA"/>
                    </w:rPr>
                    <w:t>本项目</w:t>
                  </w:r>
                  <w:r>
                    <w:rPr>
                      <w:rFonts w:hint="eastAsia" w:cs="Times New Roman"/>
                      <w:bCs w:val="0"/>
                      <w:color w:val="auto"/>
                      <w:kern w:val="2"/>
                      <w:sz w:val="21"/>
                      <w:szCs w:val="21"/>
                      <w:highlight w:val="none"/>
                      <w:lang w:val="en-US" w:eastAsia="zh-CN" w:bidi="ar-SA"/>
                    </w:rPr>
                    <w:t>拟</w:t>
                  </w:r>
                  <w:r>
                    <w:rPr>
                      <w:rFonts w:hint="eastAsia" w:ascii="Times New Roman" w:hAnsi="Times New Roman" w:eastAsia="宋体" w:cs="Times New Roman"/>
                      <w:bCs w:val="0"/>
                      <w:color w:val="auto"/>
                      <w:kern w:val="2"/>
                      <w:sz w:val="21"/>
                      <w:szCs w:val="21"/>
                      <w:highlight w:val="none"/>
                      <w:lang w:val="en-US" w:eastAsia="zh-CN" w:bidi="ar-SA"/>
                    </w:rPr>
                    <w:t>使用高压蒸汽灭菌锅作为消毒灭菌设备</w:t>
                  </w:r>
                  <w:r>
                    <w:rPr>
                      <w:rFonts w:hint="eastAsia" w:cs="Times New Roman"/>
                      <w:bCs w:val="0"/>
                      <w:color w:val="auto"/>
                      <w:kern w:val="2"/>
                      <w:sz w:val="21"/>
                      <w:szCs w:val="21"/>
                      <w:highlight w:val="none"/>
                      <w:lang w:val="en-US" w:eastAsia="zh-CN" w:bidi="ar-SA"/>
                    </w:rPr>
                    <w:t>。</w:t>
                  </w:r>
                </w:p>
              </w:tc>
              <w:tc>
                <w:tcPr>
                  <w:tcW w:w="453" w:type="pct"/>
                  <w:vAlign w:val="center"/>
                </w:tcPr>
                <w:p w14:paraId="47FF3163">
                  <w:pPr>
                    <w:keepNext w:val="0"/>
                    <w:keepLines w:val="0"/>
                    <w:widowControl/>
                    <w:suppressLineNumbers w:val="0"/>
                    <w:jc w:val="center"/>
                    <w:rPr>
                      <w:rFonts w:hint="eastAsia" w:ascii="Times New Roman" w:hAnsi="Times New Roman" w:eastAsia="宋体" w:cs="Times New Roman"/>
                      <w:bCs w:val="0"/>
                      <w:color w:val="auto"/>
                      <w:kern w:val="2"/>
                      <w:sz w:val="21"/>
                      <w:szCs w:val="21"/>
                      <w:highlight w:val="none"/>
                      <w:lang w:val="en-US" w:eastAsia="zh-CN" w:bidi="ar-SA"/>
                    </w:rPr>
                  </w:pPr>
                  <w:r>
                    <w:rPr>
                      <w:rFonts w:hint="eastAsia" w:ascii="Times New Roman" w:hAnsi="Times New Roman" w:eastAsia="宋体" w:cs="Times New Roman"/>
                      <w:bCs w:val="0"/>
                      <w:color w:val="auto"/>
                      <w:kern w:val="2"/>
                      <w:sz w:val="21"/>
                      <w:szCs w:val="21"/>
                      <w:highlight w:val="none"/>
                      <w:lang w:val="en-US" w:eastAsia="zh-CN" w:bidi="ar-SA"/>
                    </w:rPr>
                    <w:t>符合</w:t>
                  </w:r>
                </w:p>
              </w:tc>
            </w:tr>
            <w:tr w14:paraId="0E7E6F6D">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0" w:hRule="atLeast"/>
              </w:trPr>
              <w:tc>
                <w:tcPr>
                  <w:tcW w:w="410" w:type="pct"/>
                  <w:vAlign w:val="center"/>
                </w:tcPr>
                <w:p w14:paraId="073ABB43">
                  <w:pPr>
                    <w:keepNext w:val="0"/>
                    <w:keepLines w:val="0"/>
                    <w:widowControl/>
                    <w:suppressLineNumbers w:val="0"/>
                    <w:jc w:val="center"/>
                    <w:rPr>
                      <w:rFonts w:hint="eastAsia" w:ascii="Times New Roman" w:hAnsi="Times New Roman" w:eastAsia="宋体" w:cs="Times New Roman"/>
                      <w:bCs w:val="0"/>
                      <w:color w:val="auto"/>
                      <w:kern w:val="2"/>
                      <w:sz w:val="21"/>
                      <w:szCs w:val="21"/>
                      <w:highlight w:val="none"/>
                      <w:lang w:val="en-US" w:eastAsia="zh-CN" w:bidi="ar-SA"/>
                    </w:rPr>
                  </w:pPr>
                  <w:r>
                    <w:rPr>
                      <w:rFonts w:hint="eastAsia" w:ascii="Times New Roman" w:hAnsi="Times New Roman" w:eastAsia="宋体" w:cs="Times New Roman"/>
                      <w:bCs w:val="0"/>
                      <w:color w:val="auto"/>
                      <w:kern w:val="2"/>
                      <w:sz w:val="21"/>
                      <w:szCs w:val="21"/>
                      <w:highlight w:val="none"/>
                      <w:lang w:val="en-US" w:eastAsia="zh-CN" w:bidi="ar-SA"/>
                    </w:rPr>
                    <w:t>给水</w:t>
                  </w:r>
                </w:p>
              </w:tc>
              <w:tc>
                <w:tcPr>
                  <w:tcW w:w="2093" w:type="pct"/>
                  <w:vAlign w:val="center"/>
                </w:tcPr>
                <w:p w14:paraId="3E4DAEF8">
                  <w:pPr>
                    <w:keepNext w:val="0"/>
                    <w:keepLines w:val="0"/>
                    <w:widowControl/>
                    <w:suppressLineNumbers w:val="0"/>
                    <w:jc w:val="both"/>
                    <w:rPr>
                      <w:rFonts w:hint="eastAsia" w:ascii="Times New Roman" w:hAnsi="Times New Roman" w:eastAsia="宋体" w:cs="Times New Roman"/>
                      <w:bCs w:val="0"/>
                      <w:color w:val="auto"/>
                      <w:kern w:val="2"/>
                      <w:sz w:val="21"/>
                      <w:szCs w:val="21"/>
                      <w:highlight w:val="none"/>
                      <w:lang w:val="en-US" w:eastAsia="zh-CN" w:bidi="ar-SA"/>
                    </w:rPr>
                  </w:pPr>
                  <w:r>
                    <w:rPr>
                      <w:rFonts w:hint="eastAsia" w:ascii="Times New Roman" w:hAnsi="Times New Roman" w:eastAsia="宋体" w:cs="Times New Roman"/>
                      <w:bCs w:val="0"/>
                      <w:color w:val="auto"/>
                      <w:kern w:val="2"/>
                      <w:sz w:val="21"/>
                      <w:szCs w:val="21"/>
                      <w:highlight w:val="none"/>
                      <w:lang w:val="en-US" w:eastAsia="zh-CN" w:bidi="ar-SA"/>
                    </w:rPr>
                    <w:t>二级生物安全实验室应设洗手装置，并宜设置在靠近实验室的出口处。</w:t>
                  </w:r>
                </w:p>
              </w:tc>
              <w:tc>
                <w:tcPr>
                  <w:tcW w:w="2043" w:type="pct"/>
                  <w:vAlign w:val="center"/>
                </w:tcPr>
                <w:p w14:paraId="0A5C7F78">
                  <w:pPr>
                    <w:keepNext w:val="0"/>
                    <w:keepLines w:val="0"/>
                    <w:widowControl/>
                    <w:suppressLineNumbers w:val="0"/>
                    <w:jc w:val="both"/>
                    <w:rPr>
                      <w:rFonts w:hint="eastAsia" w:ascii="Times New Roman" w:hAnsi="Times New Roman" w:eastAsia="宋体" w:cs="Times New Roman"/>
                      <w:bCs w:val="0"/>
                      <w:color w:val="auto"/>
                      <w:kern w:val="2"/>
                      <w:sz w:val="21"/>
                      <w:szCs w:val="21"/>
                      <w:highlight w:val="none"/>
                      <w:lang w:val="en-US" w:eastAsia="zh-CN" w:bidi="ar-SA"/>
                    </w:rPr>
                  </w:pPr>
                  <w:r>
                    <w:rPr>
                      <w:rFonts w:hint="eastAsia" w:ascii="Times New Roman" w:hAnsi="Times New Roman" w:eastAsia="宋体" w:cs="Times New Roman"/>
                      <w:bCs w:val="0"/>
                      <w:color w:val="auto"/>
                      <w:kern w:val="2"/>
                      <w:sz w:val="21"/>
                      <w:szCs w:val="21"/>
                      <w:highlight w:val="none"/>
                      <w:lang w:val="en-US" w:eastAsia="zh-CN" w:bidi="ar-SA"/>
                    </w:rPr>
                    <w:t>本项目P2实验室设置有洗手装置，并设置在靠近出口处</w:t>
                  </w:r>
                  <w:r>
                    <w:rPr>
                      <w:rFonts w:hint="eastAsia" w:cs="Times New Roman"/>
                      <w:bCs w:val="0"/>
                      <w:color w:val="auto"/>
                      <w:kern w:val="2"/>
                      <w:sz w:val="21"/>
                      <w:szCs w:val="21"/>
                      <w:highlight w:val="none"/>
                      <w:lang w:val="en-US" w:eastAsia="zh-CN" w:bidi="ar-SA"/>
                    </w:rPr>
                    <w:t>。</w:t>
                  </w:r>
                </w:p>
              </w:tc>
              <w:tc>
                <w:tcPr>
                  <w:tcW w:w="453" w:type="pct"/>
                  <w:vAlign w:val="center"/>
                </w:tcPr>
                <w:p w14:paraId="14EFC019">
                  <w:pPr>
                    <w:keepNext w:val="0"/>
                    <w:keepLines w:val="0"/>
                    <w:widowControl/>
                    <w:suppressLineNumbers w:val="0"/>
                    <w:jc w:val="center"/>
                    <w:rPr>
                      <w:rFonts w:hint="eastAsia" w:ascii="Times New Roman" w:hAnsi="Times New Roman" w:eastAsia="宋体" w:cs="Times New Roman"/>
                      <w:bCs w:val="0"/>
                      <w:color w:val="auto"/>
                      <w:kern w:val="2"/>
                      <w:sz w:val="21"/>
                      <w:szCs w:val="21"/>
                      <w:highlight w:val="none"/>
                      <w:lang w:val="en-US" w:eastAsia="zh-CN" w:bidi="ar-SA"/>
                    </w:rPr>
                  </w:pPr>
                  <w:r>
                    <w:rPr>
                      <w:rFonts w:hint="eastAsia" w:ascii="Times New Roman" w:hAnsi="Times New Roman" w:eastAsia="宋体" w:cs="Times New Roman"/>
                      <w:bCs w:val="0"/>
                      <w:color w:val="auto"/>
                      <w:kern w:val="2"/>
                      <w:sz w:val="21"/>
                      <w:szCs w:val="21"/>
                      <w:highlight w:val="none"/>
                      <w:lang w:val="en-US" w:eastAsia="zh-CN" w:bidi="ar-SA"/>
                    </w:rPr>
                    <w:t>符合</w:t>
                  </w:r>
                </w:p>
              </w:tc>
            </w:tr>
            <w:tr w14:paraId="5EEB08E6">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0" w:hRule="atLeast"/>
              </w:trPr>
              <w:tc>
                <w:tcPr>
                  <w:tcW w:w="410" w:type="pct"/>
                  <w:vAlign w:val="center"/>
                </w:tcPr>
                <w:p w14:paraId="010F3C50">
                  <w:pPr>
                    <w:keepNext w:val="0"/>
                    <w:keepLines w:val="0"/>
                    <w:widowControl/>
                    <w:suppressLineNumbers w:val="0"/>
                    <w:jc w:val="center"/>
                    <w:rPr>
                      <w:rFonts w:hint="default" w:ascii="Times New Roman" w:hAnsi="Times New Roman" w:eastAsia="宋体" w:cs="Times New Roman"/>
                      <w:bCs w:val="0"/>
                      <w:color w:val="auto"/>
                      <w:kern w:val="2"/>
                      <w:sz w:val="21"/>
                      <w:szCs w:val="21"/>
                      <w:highlight w:val="none"/>
                      <w:lang w:val="en-US" w:eastAsia="zh-CN" w:bidi="ar-SA"/>
                    </w:rPr>
                  </w:pPr>
                  <w:r>
                    <w:rPr>
                      <w:rFonts w:hint="eastAsia" w:ascii="Times New Roman" w:hAnsi="Times New Roman" w:eastAsia="宋体" w:cs="Times New Roman"/>
                      <w:bCs w:val="0"/>
                      <w:color w:val="auto"/>
                      <w:kern w:val="2"/>
                      <w:sz w:val="21"/>
                      <w:szCs w:val="21"/>
                      <w:highlight w:val="none"/>
                      <w:lang w:val="en-US" w:eastAsia="zh-CN" w:bidi="ar-SA"/>
                    </w:rPr>
                    <w:t>空调通风和净化</w:t>
                  </w:r>
                </w:p>
              </w:tc>
              <w:tc>
                <w:tcPr>
                  <w:tcW w:w="2093" w:type="pct"/>
                  <w:vAlign w:val="center"/>
                </w:tcPr>
                <w:p w14:paraId="57652905">
                  <w:pPr>
                    <w:keepNext w:val="0"/>
                    <w:keepLines w:val="0"/>
                    <w:widowControl/>
                    <w:suppressLineNumbers w:val="0"/>
                    <w:jc w:val="both"/>
                    <w:rPr>
                      <w:rFonts w:hint="eastAsia" w:ascii="Times New Roman" w:hAnsi="Times New Roman" w:eastAsia="宋体" w:cs="Times New Roman"/>
                      <w:bCs w:val="0"/>
                      <w:color w:val="auto"/>
                      <w:kern w:val="2"/>
                      <w:sz w:val="21"/>
                      <w:szCs w:val="21"/>
                      <w:highlight w:val="none"/>
                      <w:lang w:val="en-US" w:eastAsia="zh-CN" w:bidi="ar-SA"/>
                    </w:rPr>
                  </w:pPr>
                  <w:r>
                    <w:rPr>
                      <w:rFonts w:hint="eastAsia" w:ascii="Times New Roman" w:hAnsi="Times New Roman" w:eastAsia="宋体" w:cs="Times New Roman"/>
                      <w:bCs w:val="0"/>
                      <w:color w:val="auto"/>
                      <w:kern w:val="2"/>
                      <w:sz w:val="21"/>
                      <w:szCs w:val="21"/>
                      <w:highlight w:val="none"/>
                      <w:lang w:val="en-US" w:eastAsia="zh-CN" w:bidi="ar-SA"/>
                    </w:rPr>
                    <w:t>二级生物安全实验室中a类和b1类实验室可采用带循环风的空调系统。b2类实验室宜采用全新风系统。</w:t>
                  </w:r>
                </w:p>
              </w:tc>
              <w:tc>
                <w:tcPr>
                  <w:tcW w:w="2043" w:type="pct"/>
                  <w:vAlign w:val="center"/>
                </w:tcPr>
                <w:p w14:paraId="361B206E">
                  <w:pPr>
                    <w:keepNext w:val="0"/>
                    <w:keepLines w:val="0"/>
                    <w:widowControl/>
                    <w:suppressLineNumbers w:val="0"/>
                    <w:jc w:val="both"/>
                    <w:rPr>
                      <w:rFonts w:hint="default" w:ascii="Times New Roman" w:hAnsi="Times New Roman" w:eastAsia="宋体" w:cs="Times New Roman"/>
                      <w:bCs w:val="0"/>
                      <w:color w:val="auto"/>
                      <w:kern w:val="2"/>
                      <w:sz w:val="21"/>
                      <w:szCs w:val="21"/>
                      <w:highlight w:val="none"/>
                      <w:lang w:val="en-US" w:eastAsia="zh-CN" w:bidi="ar-SA"/>
                    </w:rPr>
                  </w:pPr>
                  <w:r>
                    <w:rPr>
                      <w:rFonts w:hint="eastAsia" w:ascii="Times New Roman" w:hAnsi="Times New Roman" w:eastAsia="宋体" w:cs="Times New Roman"/>
                      <w:bCs w:val="0"/>
                      <w:color w:val="auto"/>
                      <w:kern w:val="2"/>
                      <w:sz w:val="21"/>
                      <w:szCs w:val="21"/>
                      <w:highlight w:val="none"/>
                      <w:lang w:val="en-US" w:eastAsia="zh-CN" w:bidi="ar-SA"/>
                    </w:rPr>
                    <w:t>本项目采用空调通风系统；b2类实验室采用全新风系统</w:t>
                  </w:r>
                  <w:r>
                    <w:rPr>
                      <w:rFonts w:hint="eastAsia" w:cs="Times New Roman"/>
                      <w:bCs w:val="0"/>
                      <w:color w:val="auto"/>
                      <w:kern w:val="2"/>
                      <w:sz w:val="21"/>
                      <w:szCs w:val="21"/>
                      <w:highlight w:val="none"/>
                      <w:lang w:val="en-US" w:eastAsia="zh-CN" w:bidi="ar-SA"/>
                    </w:rPr>
                    <w:t>，采用75%酒精消毒。</w:t>
                  </w:r>
                </w:p>
              </w:tc>
              <w:tc>
                <w:tcPr>
                  <w:tcW w:w="453" w:type="pct"/>
                  <w:vAlign w:val="center"/>
                </w:tcPr>
                <w:p w14:paraId="23FA533C">
                  <w:pPr>
                    <w:keepNext w:val="0"/>
                    <w:keepLines w:val="0"/>
                    <w:widowControl/>
                    <w:suppressLineNumbers w:val="0"/>
                    <w:jc w:val="center"/>
                    <w:rPr>
                      <w:rFonts w:hint="eastAsia" w:ascii="Times New Roman" w:hAnsi="Times New Roman" w:eastAsia="宋体" w:cs="Times New Roman"/>
                      <w:bCs w:val="0"/>
                      <w:color w:val="auto"/>
                      <w:kern w:val="2"/>
                      <w:sz w:val="21"/>
                      <w:szCs w:val="21"/>
                      <w:highlight w:val="none"/>
                      <w:lang w:val="en-US" w:eastAsia="zh-CN" w:bidi="ar-SA"/>
                    </w:rPr>
                  </w:pPr>
                  <w:r>
                    <w:rPr>
                      <w:rFonts w:hint="eastAsia" w:ascii="Times New Roman" w:hAnsi="Times New Roman" w:eastAsia="宋体" w:cs="Times New Roman"/>
                      <w:bCs w:val="0"/>
                      <w:color w:val="auto"/>
                      <w:kern w:val="2"/>
                      <w:sz w:val="21"/>
                      <w:szCs w:val="21"/>
                      <w:highlight w:val="none"/>
                      <w:lang w:val="en-US" w:eastAsia="zh-CN" w:bidi="ar-SA"/>
                    </w:rPr>
                    <w:t>符合</w:t>
                  </w:r>
                </w:p>
              </w:tc>
            </w:tr>
          </w:tbl>
          <w:p w14:paraId="38BC28E4">
            <w:pPr>
              <w:keepNext/>
              <w:keepLines/>
              <w:suppressLineNumbers w:val="0"/>
              <w:adjustRightInd w:val="0"/>
              <w:snapToGrid w:val="0"/>
              <w:spacing w:before="0" w:beforeAutospacing="0" w:after="0" w:afterAutospacing="0" w:line="360" w:lineRule="auto"/>
              <w:ind w:left="0" w:right="0"/>
              <w:outlineLvl w:val="1"/>
              <w:rPr>
                <w:rFonts w:hint="eastAsia"/>
                <w:b/>
                <w:bCs w:val="0"/>
                <w:sz w:val="24"/>
                <w:szCs w:val="21"/>
                <w:highlight w:val="none"/>
                <w:lang w:val="en-US" w:eastAsia="zh-CN"/>
              </w:rPr>
            </w:pPr>
            <w:r>
              <w:rPr>
                <w:rFonts w:hint="eastAsia"/>
                <w:b/>
                <w:bCs w:val="0"/>
                <w:sz w:val="24"/>
                <w:szCs w:val="21"/>
                <w:highlight w:val="none"/>
                <w:lang w:val="en-US" w:eastAsia="zh-CN"/>
              </w:rPr>
              <w:t>9、与《病原微生物实验室生物安全通用准则》（WS233-2017）相符性分析符合性分析</w:t>
            </w:r>
          </w:p>
          <w:p w14:paraId="4BB823F6">
            <w:pPr>
              <w:keepNext/>
              <w:keepLines/>
              <w:suppressLineNumbers w:val="0"/>
              <w:adjustRightInd w:val="0"/>
              <w:snapToGrid w:val="0"/>
              <w:spacing w:before="0" w:beforeAutospacing="0" w:after="0" w:afterAutospacing="0" w:line="360" w:lineRule="auto"/>
              <w:ind w:left="0" w:right="0" w:firstLine="480" w:firstLineChars="200"/>
              <w:outlineLvl w:val="1"/>
              <w:rPr>
                <w:rFonts w:hint="eastAsia"/>
                <w:b w:val="0"/>
                <w:bCs/>
                <w:sz w:val="24"/>
                <w:szCs w:val="21"/>
                <w:highlight w:val="none"/>
                <w:lang w:val="en-US" w:eastAsia="zh-CN"/>
              </w:rPr>
            </w:pPr>
            <w:r>
              <w:rPr>
                <w:rFonts w:hint="eastAsia"/>
                <w:b w:val="0"/>
                <w:bCs/>
                <w:sz w:val="24"/>
                <w:szCs w:val="21"/>
                <w:highlight w:val="none"/>
                <w:lang w:val="en-US" w:eastAsia="zh-CN"/>
              </w:rPr>
              <w:t>项目与《病原微生物实验室生物安全通用准则》（WS233-2017）中有关要求的相符性，详见下表1-9。</w:t>
            </w:r>
          </w:p>
          <w:p w14:paraId="236E908B">
            <w:pPr>
              <w:keepNext/>
              <w:keepLines/>
              <w:suppressLineNumbers w:val="0"/>
              <w:adjustRightInd w:val="0"/>
              <w:snapToGrid w:val="0"/>
              <w:spacing w:before="0" w:beforeAutospacing="0" w:after="0" w:afterAutospacing="0" w:line="360" w:lineRule="auto"/>
              <w:ind w:left="0" w:right="0"/>
              <w:jc w:val="center"/>
              <w:outlineLvl w:val="1"/>
              <w:rPr>
                <w:rFonts w:hint="eastAsia"/>
                <w:b/>
                <w:sz w:val="24"/>
                <w:szCs w:val="21"/>
                <w:highlight w:val="none"/>
                <w:lang w:val="en-US" w:eastAsia="zh-CN"/>
              </w:rPr>
            </w:pPr>
            <w:r>
              <w:rPr>
                <w:rFonts w:hint="eastAsia"/>
                <w:b/>
                <w:sz w:val="24"/>
                <w:szCs w:val="21"/>
                <w:highlight w:val="none"/>
                <w:lang w:val="en-US" w:eastAsia="zh-CN"/>
              </w:rPr>
              <w:t>表1-9 项目与《病</w:t>
            </w:r>
            <w:r>
              <w:rPr>
                <w:rFonts w:hint="eastAsia"/>
                <w:b/>
                <w:bCs w:val="0"/>
                <w:sz w:val="24"/>
                <w:szCs w:val="21"/>
                <w:highlight w:val="none"/>
                <w:lang w:val="en-US" w:eastAsia="zh-CN"/>
              </w:rPr>
              <w:t>原</w:t>
            </w:r>
            <w:r>
              <w:rPr>
                <w:rFonts w:hint="eastAsia"/>
                <w:b/>
                <w:sz w:val="24"/>
                <w:szCs w:val="21"/>
                <w:highlight w:val="none"/>
                <w:lang w:val="en-US" w:eastAsia="zh-CN"/>
              </w:rPr>
              <w:t>微生物实验室生物安全通用准则》符合性分析表</w:t>
            </w:r>
          </w:p>
          <w:tbl>
            <w:tblPr>
              <w:tblStyle w:val="125"/>
              <w:tblW w:w="4998" w:type="pct"/>
              <w:tblInd w:w="0"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autofit"/>
              <w:tblCellMar>
                <w:top w:w="0" w:type="dxa"/>
                <w:left w:w="0" w:type="dxa"/>
                <w:bottom w:w="0" w:type="dxa"/>
                <w:right w:w="0" w:type="dxa"/>
              </w:tblCellMar>
            </w:tblPr>
            <w:tblGrid>
              <w:gridCol w:w="4080"/>
              <w:gridCol w:w="3328"/>
              <w:gridCol w:w="769"/>
            </w:tblGrid>
            <w:tr w14:paraId="7EF112D4">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90" w:hRule="atLeast"/>
              </w:trPr>
              <w:tc>
                <w:tcPr>
                  <w:tcW w:w="2494" w:type="pct"/>
                  <w:vAlign w:val="center"/>
                </w:tcPr>
                <w:p w14:paraId="7D01DE34">
                  <w:pPr>
                    <w:keepNext w:val="0"/>
                    <w:keepLines w:val="0"/>
                    <w:widowControl/>
                    <w:suppressLineNumbers w:val="0"/>
                    <w:jc w:val="center"/>
                    <w:rPr>
                      <w:rFonts w:hint="eastAsia" w:ascii="Times New Roman" w:hAnsi="Times New Roman" w:eastAsia="宋体" w:cs="Times New Roman"/>
                      <w:bCs w:val="0"/>
                      <w:color w:val="auto"/>
                      <w:kern w:val="2"/>
                      <w:sz w:val="21"/>
                      <w:szCs w:val="21"/>
                      <w:highlight w:val="none"/>
                      <w:lang w:val="en-US" w:eastAsia="zh-CN" w:bidi="ar-SA"/>
                    </w:rPr>
                  </w:pPr>
                  <w:r>
                    <w:rPr>
                      <w:rFonts w:hint="eastAsia" w:ascii="Times New Roman" w:hAnsi="Times New Roman" w:eastAsia="宋体" w:cs="Times New Roman"/>
                      <w:bCs w:val="0"/>
                      <w:color w:val="auto"/>
                      <w:kern w:val="2"/>
                      <w:sz w:val="21"/>
                      <w:szCs w:val="21"/>
                      <w:highlight w:val="none"/>
                      <w:lang w:val="en-US" w:eastAsia="zh-CN" w:bidi="ar-SA"/>
                    </w:rPr>
                    <w:t>实验室设施设备要求</w:t>
                  </w:r>
                  <w:r>
                    <w:rPr>
                      <w:rFonts w:hint="eastAsia" w:cs="Times New Roman"/>
                      <w:bCs w:val="0"/>
                      <w:color w:val="auto"/>
                      <w:kern w:val="2"/>
                      <w:sz w:val="21"/>
                      <w:szCs w:val="21"/>
                      <w:highlight w:val="none"/>
                      <w:lang w:val="en-US" w:eastAsia="zh-CN" w:bidi="ar-SA"/>
                    </w:rPr>
                    <w:t>（</w:t>
                  </w:r>
                  <w:r>
                    <w:rPr>
                      <w:rFonts w:hint="eastAsia" w:ascii="Times New Roman" w:hAnsi="Times New Roman" w:eastAsia="宋体" w:cs="Times New Roman"/>
                      <w:bCs w:val="0"/>
                      <w:color w:val="auto"/>
                      <w:kern w:val="2"/>
                      <w:sz w:val="21"/>
                      <w:szCs w:val="21"/>
                      <w:highlight w:val="none"/>
                      <w:lang w:val="en-US" w:eastAsia="zh-CN" w:bidi="ar-SA"/>
                    </w:rPr>
                    <w:t>BSL-2实验室6.3</w:t>
                  </w:r>
                  <w:r>
                    <w:rPr>
                      <w:rFonts w:hint="eastAsia" w:cs="Times New Roman"/>
                      <w:bCs w:val="0"/>
                      <w:color w:val="auto"/>
                      <w:kern w:val="2"/>
                      <w:sz w:val="21"/>
                      <w:szCs w:val="21"/>
                      <w:highlight w:val="none"/>
                      <w:lang w:val="en-US" w:eastAsia="zh-CN" w:bidi="ar-SA"/>
                    </w:rPr>
                    <w:t>）</w:t>
                  </w:r>
                </w:p>
              </w:tc>
              <w:tc>
                <w:tcPr>
                  <w:tcW w:w="2034" w:type="pct"/>
                  <w:vAlign w:val="center"/>
                </w:tcPr>
                <w:p w14:paraId="737D60B9">
                  <w:pPr>
                    <w:keepNext w:val="0"/>
                    <w:keepLines w:val="0"/>
                    <w:widowControl/>
                    <w:suppressLineNumbers w:val="0"/>
                    <w:jc w:val="center"/>
                    <w:rPr>
                      <w:rFonts w:hint="eastAsia" w:ascii="Times New Roman" w:hAnsi="Times New Roman" w:eastAsia="宋体" w:cs="Times New Roman"/>
                      <w:bCs w:val="0"/>
                      <w:color w:val="auto"/>
                      <w:kern w:val="2"/>
                      <w:sz w:val="21"/>
                      <w:szCs w:val="21"/>
                      <w:highlight w:val="none"/>
                      <w:lang w:val="en-US" w:eastAsia="zh-CN" w:bidi="ar-SA"/>
                    </w:rPr>
                  </w:pPr>
                  <w:r>
                    <w:rPr>
                      <w:rFonts w:hint="eastAsia" w:ascii="Times New Roman" w:hAnsi="Times New Roman" w:eastAsia="宋体" w:cs="Times New Roman"/>
                      <w:bCs w:val="0"/>
                      <w:color w:val="auto"/>
                      <w:kern w:val="2"/>
                      <w:sz w:val="21"/>
                      <w:szCs w:val="21"/>
                      <w:highlight w:val="none"/>
                      <w:lang w:val="en-US" w:eastAsia="zh-CN" w:bidi="ar-SA"/>
                    </w:rPr>
                    <w:t>本项目情况</w:t>
                  </w:r>
                </w:p>
              </w:tc>
              <w:tc>
                <w:tcPr>
                  <w:tcW w:w="470" w:type="pct"/>
                  <w:vAlign w:val="center"/>
                </w:tcPr>
                <w:p w14:paraId="419B1A87">
                  <w:pPr>
                    <w:keepNext w:val="0"/>
                    <w:keepLines w:val="0"/>
                    <w:widowControl/>
                    <w:suppressLineNumbers w:val="0"/>
                    <w:jc w:val="center"/>
                    <w:rPr>
                      <w:rFonts w:hint="eastAsia" w:ascii="Times New Roman" w:hAnsi="Times New Roman" w:eastAsia="宋体" w:cs="Times New Roman"/>
                      <w:bCs w:val="0"/>
                      <w:color w:val="auto"/>
                      <w:kern w:val="2"/>
                      <w:sz w:val="21"/>
                      <w:szCs w:val="21"/>
                      <w:highlight w:val="none"/>
                      <w:lang w:val="en-US" w:eastAsia="zh-CN" w:bidi="ar-SA"/>
                    </w:rPr>
                  </w:pPr>
                  <w:r>
                    <w:rPr>
                      <w:rFonts w:hint="eastAsia" w:ascii="Times New Roman" w:hAnsi="Times New Roman" w:eastAsia="宋体" w:cs="Times New Roman"/>
                      <w:bCs w:val="0"/>
                      <w:color w:val="auto"/>
                      <w:kern w:val="2"/>
                      <w:sz w:val="21"/>
                      <w:szCs w:val="21"/>
                      <w:highlight w:val="none"/>
                      <w:lang w:val="en-US" w:eastAsia="zh-CN" w:bidi="ar-SA"/>
                    </w:rPr>
                    <w:t>符合性</w:t>
                  </w:r>
                </w:p>
              </w:tc>
            </w:tr>
            <w:tr w14:paraId="3AF34919">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884" w:hRule="atLeast"/>
              </w:trPr>
              <w:tc>
                <w:tcPr>
                  <w:tcW w:w="2494" w:type="pct"/>
                  <w:vAlign w:val="center"/>
                </w:tcPr>
                <w:p w14:paraId="5E176F25">
                  <w:pPr>
                    <w:keepNext w:val="0"/>
                    <w:keepLines w:val="0"/>
                    <w:widowControl/>
                    <w:suppressLineNumbers w:val="0"/>
                    <w:jc w:val="both"/>
                    <w:rPr>
                      <w:rFonts w:hint="eastAsia" w:ascii="Times New Roman" w:hAnsi="Times New Roman" w:eastAsia="宋体" w:cs="Times New Roman"/>
                      <w:bCs w:val="0"/>
                      <w:color w:val="auto"/>
                      <w:kern w:val="2"/>
                      <w:sz w:val="21"/>
                      <w:szCs w:val="21"/>
                      <w:highlight w:val="none"/>
                      <w:lang w:val="en-US" w:eastAsia="zh-CN" w:bidi="ar-SA"/>
                    </w:rPr>
                  </w:pPr>
                  <w:r>
                    <w:rPr>
                      <w:rFonts w:hint="eastAsia" w:ascii="Times New Roman" w:hAnsi="Times New Roman" w:eastAsia="宋体" w:cs="Times New Roman"/>
                      <w:bCs w:val="0"/>
                      <w:color w:val="auto"/>
                      <w:kern w:val="2"/>
                      <w:sz w:val="21"/>
                      <w:szCs w:val="21"/>
                      <w:highlight w:val="none"/>
                      <w:lang w:val="en-US" w:eastAsia="zh-CN" w:bidi="ar-SA"/>
                    </w:rPr>
                    <w:t>实验室主入口的门、放置生物安全柜实验间的门应可自动关闭；实验室主入口的门应有进入控制措施。</w:t>
                  </w:r>
                </w:p>
              </w:tc>
              <w:tc>
                <w:tcPr>
                  <w:tcW w:w="2034" w:type="pct"/>
                  <w:vAlign w:val="center"/>
                </w:tcPr>
                <w:p w14:paraId="40AF992B">
                  <w:pPr>
                    <w:keepNext w:val="0"/>
                    <w:keepLines w:val="0"/>
                    <w:widowControl/>
                    <w:suppressLineNumbers w:val="0"/>
                    <w:jc w:val="both"/>
                    <w:rPr>
                      <w:rFonts w:hint="eastAsia" w:ascii="Times New Roman" w:hAnsi="Times New Roman" w:eastAsia="宋体" w:cs="Times New Roman"/>
                      <w:bCs w:val="0"/>
                      <w:color w:val="auto"/>
                      <w:kern w:val="2"/>
                      <w:sz w:val="21"/>
                      <w:szCs w:val="21"/>
                      <w:highlight w:val="none"/>
                      <w:lang w:val="en-US" w:eastAsia="zh-CN" w:bidi="ar-SA"/>
                    </w:rPr>
                  </w:pPr>
                  <w:r>
                    <w:rPr>
                      <w:rFonts w:hint="eastAsia" w:ascii="Times New Roman" w:hAnsi="Times New Roman" w:eastAsia="宋体" w:cs="Times New Roman"/>
                      <w:bCs w:val="0"/>
                      <w:color w:val="auto"/>
                      <w:kern w:val="2"/>
                      <w:sz w:val="21"/>
                      <w:szCs w:val="21"/>
                      <w:highlight w:val="none"/>
                      <w:lang w:val="en-US" w:eastAsia="zh-CN" w:bidi="ar-SA"/>
                    </w:rPr>
                    <w:t>本项目各实验室入口均设置独立的可自动关闭的带锁的门，设有门禁控制</w:t>
                  </w:r>
                  <w:r>
                    <w:rPr>
                      <w:rFonts w:hint="eastAsia" w:cs="Times New Roman"/>
                      <w:bCs w:val="0"/>
                      <w:color w:val="auto"/>
                      <w:kern w:val="2"/>
                      <w:sz w:val="21"/>
                      <w:szCs w:val="21"/>
                      <w:highlight w:val="none"/>
                      <w:lang w:val="en-US" w:eastAsia="zh-CN" w:bidi="ar-SA"/>
                    </w:rPr>
                    <w:t>。</w:t>
                  </w:r>
                </w:p>
              </w:tc>
              <w:tc>
                <w:tcPr>
                  <w:tcW w:w="470" w:type="pct"/>
                  <w:vAlign w:val="center"/>
                </w:tcPr>
                <w:p w14:paraId="12132438">
                  <w:pPr>
                    <w:keepNext w:val="0"/>
                    <w:keepLines w:val="0"/>
                    <w:widowControl/>
                    <w:suppressLineNumbers w:val="0"/>
                    <w:jc w:val="center"/>
                    <w:rPr>
                      <w:rFonts w:hint="eastAsia" w:ascii="Times New Roman" w:hAnsi="Times New Roman" w:eastAsia="宋体" w:cs="Times New Roman"/>
                      <w:bCs w:val="0"/>
                      <w:color w:val="auto"/>
                      <w:kern w:val="2"/>
                      <w:sz w:val="21"/>
                      <w:szCs w:val="21"/>
                      <w:highlight w:val="none"/>
                      <w:lang w:val="en-US" w:eastAsia="zh-CN" w:bidi="ar-SA"/>
                    </w:rPr>
                  </w:pPr>
                  <w:r>
                    <w:rPr>
                      <w:rFonts w:hint="eastAsia" w:ascii="Times New Roman" w:hAnsi="Times New Roman" w:eastAsia="宋体" w:cs="Times New Roman"/>
                      <w:bCs w:val="0"/>
                      <w:color w:val="auto"/>
                      <w:kern w:val="2"/>
                      <w:sz w:val="21"/>
                      <w:szCs w:val="21"/>
                      <w:highlight w:val="none"/>
                      <w:lang w:val="en-US" w:eastAsia="zh-CN" w:bidi="ar-SA"/>
                    </w:rPr>
                    <w:t>符合</w:t>
                  </w:r>
                </w:p>
              </w:tc>
            </w:tr>
            <w:tr w14:paraId="752E27F0">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90" w:hRule="atLeast"/>
              </w:trPr>
              <w:tc>
                <w:tcPr>
                  <w:tcW w:w="2494" w:type="pct"/>
                  <w:vAlign w:val="center"/>
                </w:tcPr>
                <w:p w14:paraId="6A295EA6">
                  <w:pPr>
                    <w:keepNext w:val="0"/>
                    <w:keepLines w:val="0"/>
                    <w:widowControl/>
                    <w:suppressLineNumbers w:val="0"/>
                    <w:jc w:val="both"/>
                    <w:rPr>
                      <w:rFonts w:hint="eastAsia" w:ascii="Times New Roman" w:hAnsi="Times New Roman" w:eastAsia="宋体" w:cs="Times New Roman"/>
                      <w:bCs w:val="0"/>
                      <w:color w:val="auto"/>
                      <w:kern w:val="2"/>
                      <w:sz w:val="21"/>
                      <w:szCs w:val="21"/>
                      <w:highlight w:val="none"/>
                      <w:lang w:val="en-US" w:eastAsia="zh-CN" w:bidi="ar-SA"/>
                    </w:rPr>
                  </w:pPr>
                  <w:r>
                    <w:rPr>
                      <w:rFonts w:hint="eastAsia" w:ascii="Times New Roman" w:hAnsi="Times New Roman" w:eastAsia="宋体" w:cs="Times New Roman"/>
                      <w:bCs w:val="0"/>
                      <w:color w:val="auto"/>
                      <w:kern w:val="2"/>
                      <w:sz w:val="21"/>
                      <w:szCs w:val="21"/>
                      <w:highlight w:val="none"/>
                      <w:lang w:val="en-US" w:eastAsia="zh-CN" w:bidi="ar-SA"/>
                    </w:rPr>
                    <w:t>应在实验室或其所在的建筑内配备压力蒸汽灭菌器或其他适当的消毒、灭菌设备，所配备的消毒、灭菌设备应以风险评估为依据</w:t>
                  </w:r>
                  <w:r>
                    <w:rPr>
                      <w:rFonts w:hint="eastAsia" w:cs="Times New Roman"/>
                      <w:bCs w:val="0"/>
                      <w:color w:val="auto"/>
                      <w:kern w:val="2"/>
                      <w:sz w:val="21"/>
                      <w:szCs w:val="21"/>
                      <w:highlight w:val="none"/>
                      <w:lang w:val="en-US" w:eastAsia="zh-CN" w:bidi="ar-SA"/>
                    </w:rPr>
                    <w:t>。</w:t>
                  </w:r>
                </w:p>
              </w:tc>
              <w:tc>
                <w:tcPr>
                  <w:tcW w:w="2034" w:type="pct"/>
                  <w:vAlign w:val="center"/>
                </w:tcPr>
                <w:p w14:paraId="6AF1B193">
                  <w:pPr>
                    <w:keepNext w:val="0"/>
                    <w:keepLines w:val="0"/>
                    <w:widowControl/>
                    <w:suppressLineNumbers w:val="0"/>
                    <w:jc w:val="both"/>
                    <w:rPr>
                      <w:rFonts w:hint="eastAsia" w:ascii="Times New Roman" w:hAnsi="Times New Roman" w:eastAsia="宋体" w:cs="Times New Roman"/>
                      <w:bCs w:val="0"/>
                      <w:color w:val="auto"/>
                      <w:kern w:val="2"/>
                      <w:sz w:val="21"/>
                      <w:szCs w:val="21"/>
                      <w:highlight w:val="none"/>
                      <w:lang w:val="en-US" w:eastAsia="zh-CN" w:bidi="ar-SA"/>
                    </w:rPr>
                  </w:pPr>
                  <w:r>
                    <w:rPr>
                      <w:rFonts w:hint="eastAsia" w:ascii="Times New Roman" w:hAnsi="Times New Roman" w:eastAsia="宋体" w:cs="Times New Roman"/>
                      <w:bCs w:val="0"/>
                      <w:color w:val="auto"/>
                      <w:kern w:val="2"/>
                      <w:sz w:val="21"/>
                      <w:szCs w:val="21"/>
                      <w:highlight w:val="none"/>
                      <w:lang w:val="en-US" w:eastAsia="zh-CN" w:bidi="ar-SA"/>
                    </w:rPr>
                    <w:t>本项目</w:t>
                  </w:r>
                  <w:r>
                    <w:rPr>
                      <w:rFonts w:hint="eastAsia" w:cs="Times New Roman"/>
                      <w:bCs w:val="0"/>
                      <w:color w:val="auto"/>
                      <w:kern w:val="2"/>
                      <w:sz w:val="21"/>
                      <w:szCs w:val="21"/>
                      <w:highlight w:val="none"/>
                      <w:lang w:val="en-US" w:eastAsia="zh-CN" w:bidi="ar-SA"/>
                    </w:rPr>
                    <w:t>拟</w:t>
                  </w:r>
                  <w:r>
                    <w:rPr>
                      <w:rFonts w:hint="eastAsia" w:ascii="Times New Roman" w:hAnsi="Times New Roman" w:eastAsia="宋体" w:cs="Times New Roman"/>
                      <w:bCs w:val="0"/>
                      <w:color w:val="auto"/>
                      <w:kern w:val="2"/>
                      <w:sz w:val="21"/>
                      <w:szCs w:val="21"/>
                      <w:highlight w:val="none"/>
                      <w:lang w:val="en-US" w:eastAsia="zh-CN" w:bidi="ar-SA"/>
                    </w:rPr>
                    <w:t>使用高压蒸汽灭菌锅作为消毒灭菌设备</w:t>
                  </w:r>
                  <w:r>
                    <w:rPr>
                      <w:rFonts w:hint="eastAsia" w:cs="Times New Roman"/>
                      <w:bCs w:val="0"/>
                      <w:color w:val="auto"/>
                      <w:kern w:val="2"/>
                      <w:sz w:val="21"/>
                      <w:szCs w:val="21"/>
                      <w:highlight w:val="none"/>
                      <w:lang w:val="en-US" w:eastAsia="zh-CN" w:bidi="ar-SA"/>
                    </w:rPr>
                    <w:t>。</w:t>
                  </w:r>
                </w:p>
              </w:tc>
              <w:tc>
                <w:tcPr>
                  <w:tcW w:w="470" w:type="pct"/>
                  <w:vAlign w:val="center"/>
                </w:tcPr>
                <w:p w14:paraId="25D57E42">
                  <w:pPr>
                    <w:keepNext w:val="0"/>
                    <w:keepLines w:val="0"/>
                    <w:widowControl/>
                    <w:suppressLineNumbers w:val="0"/>
                    <w:jc w:val="center"/>
                    <w:rPr>
                      <w:rFonts w:hint="eastAsia" w:ascii="Times New Roman" w:hAnsi="Times New Roman" w:eastAsia="宋体" w:cs="Times New Roman"/>
                      <w:bCs w:val="0"/>
                      <w:color w:val="auto"/>
                      <w:kern w:val="2"/>
                      <w:sz w:val="21"/>
                      <w:szCs w:val="21"/>
                      <w:highlight w:val="none"/>
                      <w:lang w:val="en-US" w:eastAsia="zh-CN" w:bidi="ar-SA"/>
                    </w:rPr>
                  </w:pPr>
                  <w:r>
                    <w:rPr>
                      <w:rFonts w:hint="eastAsia" w:ascii="Times New Roman" w:hAnsi="Times New Roman" w:eastAsia="宋体" w:cs="Times New Roman"/>
                      <w:bCs w:val="0"/>
                      <w:color w:val="auto"/>
                      <w:kern w:val="2"/>
                      <w:sz w:val="21"/>
                      <w:szCs w:val="21"/>
                      <w:highlight w:val="none"/>
                      <w:lang w:val="en-US" w:eastAsia="zh-CN" w:bidi="ar-SA"/>
                    </w:rPr>
                    <w:t>符合</w:t>
                  </w:r>
                </w:p>
              </w:tc>
            </w:tr>
            <w:tr w14:paraId="1DBB2B34">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90" w:hRule="atLeast"/>
              </w:trPr>
              <w:tc>
                <w:tcPr>
                  <w:tcW w:w="2494" w:type="pct"/>
                  <w:vAlign w:val="center"/>
                </w:tcPr>
                <w:p w14:paraId="6F11DD25">
                  <w:pPr>
                    <w:keepNext w:val="0"/>
                    <w:keepLines w:val="0"/>
                    <w:widowControl/>
                    <w:suppressLineNumbers w:val="0"/>
                    <w:jc w:val="both"/>
                    <w:rPr>
                      <w:rFonts w:hint="eastAsia" w:ascii="Times New Roman" w:hAnsi="Times New Roman" w:eastAsia="宋体" w:cs="Times New Roman"/>
                      <w:bCs w:val="0"/>
                      <w:color w:val="auto"/>
                      <w:kern w:val="2"/>
                      <w:sz w:val="21"/>
                      <w:szCs w:val="21"/>
                      <w:highlight w:val="none"/>
                      <w:lang w:val="en-US" w:eastAsia="zh-CN" w:bidi="ar-SA"/>
                    </w:rPr>
                  </w:pPr>
                  <w:r>
                    <w:rPr>
                      <w:rFonts w:hint="eastAsia" w:ascii="Times New Roman" w:hAnsi="Times New Roman" w:eastAsia="宋体" w:cs="Times New Roman"/>
                      <w:bCs w:val="0"/>
                      <w:color w:val="auto"/>
                      <w:kern w:val="2"/>
                      <w:sz w:val="21"/>
                      <w:szCs w:val="21"/>
                      <w:highlight w:val="none"/>
                      <w:lang w:val="en-US" w:eastAsia="zh-CN" w:bidi="ar-SA"/>
                    </w:rPr>
                    <w:t>应在操作病原微生物及样本的实验区内配备二级生物安全柜。</w:t>
                  </w:r>
                </w:p>
              </w:tc>
              <w:tc>
                <w:tcPr>
                  <w:tcW w:w="2034" w:type="pct"/>
                  <w:vAlign w:val="center"/>
                </w:tcPr>
                <w:p w14:paraId="59198444">
                  <w:pPr>
                    <w:keepNext w:val="0"/>
                    <w:keepLines w:val="0"/>
                    <w:widowControl/>
                    <w:suppressLineNumbers w:val="0"/>
                    <w:jc w:val="both"/>
                    <w:rPr>
                      <w:rFonts w:hint="eastAsia" w:ascii="Times New Roman" w:hAnsi="Times New Roman" w:eastAsia="宋体" w:cs="Times New Roman"/>
                      <w:bCs w:val="0"/>
                      <w:color w:val="auto"/>
                      <w:kern w:val="2"/>
                      <w:sz w:val="21"/>
                      <w:szCs w:val="21"/>
                      <w:highlight w:val="none"/>
                      <w:lang w:val="en-US" w:eastAsia="zh-CN" w:bidi="ar-SA"/>
                    </w:rPr>
                  </w:pPr>
                  <w:r>
                    <w:rPr>
                      <w:rFonts w:hint="eastAsia" w:ascii="Times New Roman" w:hAnsi="Times New Roman" w:eastAsia="宋体" w:cs="Times New Roman"/>
                      <w:bCs w:val="0"/>
                      <w:color w:val="auto"/>
                      <w:kern w:val="2"/>
                      <w:sz w:val="21"/>
                      <w:szCs w:val="21"/>
                      <w:highlight w:val="none"/>
                      <w:lang w:val="en-US" w:eastAsia="zh-CN" w:bidi="ar-SA"/>
                    </w:rPr>
                    <w:t>本项目P2实验室内均设置生物安全柜，涉及含病原微生物的操作均在生物安全柜内进行</w:t>
                  </w:r>
                  <w:r>
                    <w:rPr>
                      <w:rFonts w:hint="eastAsia" w:cs="Times New Roman"/>
                      <w:bCs w:val="0"/>
                      <w:color w:val="auto"/>
                      <w:kern w:val="2"/>
                      <w:sz w:val="21"/>
                      <w:szCs w:val="21"/>
                      <w:highlight w:val="none"/>
                      <w:lang w:val="en-US" w:eastAsia="zh-CN" w:bidi="ar-SA"/>
                    </w:rPr>
                    <w:t>。</w:t>
                  </w:r>
                </w:p>
              </w:tc>
              <w:tc>
                <w:tcPr>
                  <w:tcW w:w="470" w:type="pct"/>
                  <w:vAlign w:val="center"/>
                </w:tcPr>
                <w:p w14:paraId="0A82395B">
                  <w:pPr>
                    <w:keepNext w:val="0"/>
                    <w:keepLines w:val="0"/>
                    <w:widowControl/>
                    <w:suppressLineNumbers w:val="0"/>
                    <w:jc w:val="center"/>
                    <w:rPr>
                      <w:rFonts w:hint="eastAsia" w:ascii="Times New Roman" w:hAnsi="Times New Roman" w:eastAsia="宋体" w:cs="Times New Roman"/>
                      <w:bCs w:val="0"/>
                      <w:color w:val="auto"/>
                      <w:kern w:val="2"/>
                      <w:sz w:val="21"/>
                      <w:szCs w:val="21"/>
                      <w:highlight w:val="none"/>
                      <w:lang w:val="en-US" w:eastAsia="zh-CN" w:bidi="ar-SA"/>
                    </w:rPr>
                  </w:pPr>
                  <w:r>
                    <w:rPr>
                      <w:rFonts w:hint="eastAsia" w:ascii="Times New Roman" w:hAnsi="Times New Roman" w:eastAsia="宋体" w:cs="Times New Roman"/>
                      <w:bCs w:val="0"/>
                      <w:color w:val="auto"/>
                      <w:kern w:val="2"/>
                      <w:sz w:val="21"/>
                      <w:szCs w:val="21"/>
                      <w:highlight w:val="none"/>
                      <w:lang w:val="en-US" w:eastAsia="zh-CN" w:bidi="ar-SA"/>
                    </w:rPr>
                    <w:t>符合</w:t>
                  </w:r>
                </w:p>
              </w:tc>
            </w:tr>
            <w:tr w14:paraId="18264A47">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90" w:hRule="atLeast"/>
              </w:trPr>
              <w:tc>
                <w:tcPr>
                  <w:tcW w:w="2494" w:type="pct"/>
                  <w:vAlign w:val="center"/>
                </w:tcPr>
                <w:p w14:paraId="44698BFB">
                  <w:pPr>
                    <w:keepNext w:val="0"/>
                    <w:keepLines w:val="0"/>
                    <w:widowControl/>
                    <w:suppressLineNumbers w:val="0"/>
                    <w:jc w:val="both"/>
                    <w:rPr>
                      <w:rFonts w:hint="eastAsia" w:ascii="Times New Roman" w:hAnsi="Times New Roman" w:eastAsia="宋体" w:cs="Times New Roman"/>
                      <w:bCs w:val="0"/>
                      <w:color w:val="auto"/>
                      <w:kern w:val="2"/>
                      <w:sz w:val="21"/>
                      <w:szCs w:val="21"/>
                      <w:highlight w:val="none"/>
                      <w:lang w:val="en-US" w:eastAsia="zh-CN" w:bidi="ar-SA"/>
                    </w:rPr>
                  </w:pPr>
                  <w:r>
                    <w:rPr>
                      <w:rFonts w:hint="eastAsia" w:ascii="Times New Roman" w:hAnsi="Times New Roman" w:eastAsia="宋体" w:cs="Times New Roman"/>
                      <w:bCs w:val="0"/>
                      <w:color w:val="auto"/>
                      <w:kern w:val="2"/>
                      <w:sz w:val="21"/>
                      <w:szCs w:val="21"/>
                      <w:highlight w:val="none"/>
                      <w:lang w:val="en-US" w:eastAsia="zh-CN" w:bidi="ar-SA"/>
                    </w:rPr>
                    <w:t>加强型BSL-2实验室应包含缓冲间和核心工作间。缓冲间可兼作防护服更换间。必要时，可设置准备间和洗消间等。</w:t>
                  </w:r>
                </w:p>
              </w:tc>
              <w:tc>
                <w:tcPr>
                  <w:tcW w:w="2034" w:type="pct"/>
                  <w:vMerge w:val="restart"/>
                  <w:tcBorders>
                    <w:bottom w:val="nil"/>
                  </w:tcBorders>
                  <w:vAlign w:val="center"/>
                </w:tcPr>
                <w:p w14:paraId="18079B9B">
                  <w:pPr>
                    <w:keepNext w:val="0"/>
                    <w:keepLines w:val="0"/>
                    <w:widowControl/>
                    <w:suppressLineNumbers w:val="0"/>
                    <w:jc w:val="both"/>
                    <w:rPr>
                      <w:rFonts w:hint="eastAsia" w:ascii="Times New Roman" w:hAnsi="Times New Roman" w:eastAsia="宋体" w:cs="Times New Roman"/>
                      <w:bCs w:val="0"/>
                      <w:color w:val="auto"/>
                      <w:kern w:val="2"/>
                      <w:sz w:val="21"/>
                      <w:szCs w:val="21"/>
                      <w:highlight w:val="none"/>
                      <w:lang w:val="en-US" w:eastAsia="zh-CN" w:bidi="ar-SA"/>
                    </w:rPr>
                  </w:pPr>
                  <w:r>
                    <w:rPr>
                      <w:rFonts w:hint="eastAsia" w:ascii="Times New Roman" w:hAnsi="Times New Roman" w:eastAsia="宋体" w:cs="Times New Roman"/>
                      <w:bCs w:val="0"/>
                      <w:color w:val="auto"/>
                      <w:kern w:val="2"/>
                      <w:sz w:val="21"/>
                      <w:szCs w:val="21"/>
                      <w:highlight w:val="none"/>
                      <w:lang w:val="en-US" w:eastAsia="zh-CN" w:bidi="ar-SA"/>
                    </w:rPr>
                    <w:t>本项目生物实验室均设置负压缓冲间，兼</w:t>
                  </w:r>
                  <w:r>
                    <w:rPr>
                      <w:rFonts w:hint="eastAsia" w:cs="Times New Roman"/>
                      <w:bCs w:val="0"/>
                      <w:color w:val="auto"/>
                      <w:kern w:val="2"/>
                      <w:sz w:val="21"/>
                      <w:szCs w:val="21"/>
                      <w:highlight w:val="none"/>
                      <w:lang w:val="en-US" w:eastAsia="zh-CN" w:bidi="ar-SA"/>
                    </w:rPr>
                    <w:t>作</w:t>
                  </w:r>
                  <w:r>
                    <w:rPr>
                      <w:rFonts w:hint="eastAsia" w:ascii="Times New Roman" w:hAnsi="Times New Roman" w:eastAsia="宋体" w:cs="Times New Roman"/>
                      <w:bCs w:val="0"/>
                      <w:color w:val="auto"/>
                      <w:kern w:val="2"/>
                      <w:sz w:val="21"/>
                      <w:szCs w:val="21"/>
                      <w:highlight w:val="none"/>
                      <w:lang w:val="en-US" w:eastAsia="zh-CN" w:bidi="ar-SA"/>
                    </w:rPr>
                    <w:t>防护服更换间；核心工作间均为负压，并设有显示房间负压状况的显示装置</w:t>
                  </w:r>
                  <w:r>
                    <w:rPr>
                      <w:rFonts w:hint="eastAsia" w:cs="Times New Roman"/>
                      <w:bCs w:val="0"/>
                      <w:color w:val="auto"/>
                      <w:kern w:val="2"/>
                      <w:sz w:val="21"/>
                      <w:szCs w:val="21"/>
                      <w:highlight w:val="none"/>
                      <w:lang w:val="en-US" w:eastAsia="zh-CN" w:bidi="ar-SA"/>
                    </w:rPr>
                    <w:t>。</w:t>
                  </w:r>
                </w:p>
              </w:tc>
              <w:tc>
                <w:tcPr>
                  <w:tcW w:w="470" w:type="pct"/>
                  <w:vAlign w:val="center"/>
                </w:tcPr>
                <w:p w14:paraId="219E45B6">
                  <w:pPr>
                    <w:keepNext w:val="0"/>
                    <w:keepLines w:val="0"/>
                    <w:widowControl/>
                    <w:suppressLineNumbers w:val="0"/>
                    <w:jc w:val="center"/>
                    <w:rPr>
                      <w:rFonts w:hint="eastAsia" w:ascii="Times New Roman" w:hAnsi="Times New Roman" w:eastAsia="宋体" w:cs="Times New Roman"/>
                      <w:bCs w:val="0"/>
                      <w:color w:val="auto"/>
                      <w:kern w:val="2"/>
                      <w:sz w:val="21"/>
                      <w:szCs w:val="21"/>
                      <w:highlight w:val="none"/>
                      <w:lang w:val="en-US" w:eastAsia="zh-CN" w:bidi="ar-SA"/>
                    </w:rPr>
                  </w:pPr>
                  <w:r>
                    <w:rPr>
                      <w:rFonts w:hint="eastAsia" w:ascii="Times New Roman" w:hAnsi="Times New Roman" w:eastAsia="宋体" w:cs="Times New Roman"/>
                      <w:bCs w:val="0"/>
                      <w:color w:val="auto"/>
                      <w:kern w:val="2"/>
                      <w:sz w:val="21"/>
                      <w:szCs w:val="21"/>
                      <w:highlight w:val="none"/>
                      <w:lang w:val="en-US" w:eastAsia="zh-CN" w:bidi="ar-SA"/>
                    </w:rPr>
                    <w:t>符合</w:t>
                  </w:r>
                </w:p>
              </w:tc>
            </w:tr>
            <w:tr w14:paraId="08D82415">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90" w:hRule="atLeast"/>
              </w:trPr>
              <w:tc>
                <w:tcPr>
                  <w:tcW w:w="2494" w:type="pct"/>
                  <w:vAlign w:val="center"/>
                </w:tcPr>
                <w:p w14:paraId="1F65FD24">
                  <w:pPr>
                    <w:keepNext w:val="0"/>
                    <w:keepLines w:val="0"/>
                    <w:widowControl/>
                    <w:suppressLineNumbers w:val="0"/>
                    <w:jc w:val="both"/>
                    <w:rPr>
                      <w:rFonts w:hint="eastAsia" w:ascii="Times New Roman" w:hAnsi="Times New Roman" w:eastAsia="宋体" w:cs="Times New Roman"/>
                      <w:bCs w:val="0"/>
                      <w:color w:val="auto"/>
                      <w:kern w:val="2"/>
                      <w:sz w:val="21"/>
                      <w:szCs w:val="21"/>
                      <w:highlight w:val="none"/>
                      <w:lang w:val="en-US" w:eastAsia="zh-CN" w:bidi="ar-SA"/>
                    </w:rPr>
                  </w:pPr>
                  <w:r>
                    <w:rPr>
                      <w:rFonts w:hint="eastAsia" w:ascii="Times New Roman" w:hAnsi="Times New Roman" w:eastAsia="宋体" w:cs="Times New Roman"/>
                      <w:bCs w:val="0"/>
                      <w:color w:val="auto"/>
                      <w:kern w:val="2"/>
                      <w:sz w:val="21"/>
                      <w:szCs w:val="21"/>
                      <w:highlight w:val="none"/>
                      <w:lang w:val="en-US" w:eastAsia="zh-CN" w:bidi="ar-SA"/>
                    </w:rPr>
                    <w:t>核心工作间气压相对于相邻区域应为负压，压差宜不低于10Pa。在核心工作间入口的显著位置，应安装显示房间负压状况的压力显示装置。</w:t>
                  </w:r>
                </w:p>
              </w:tc>
              <w:tc>
                <w:tcPr>
                  <w:tcW w:w="2034" w:type="pct"/>
                  <w:vMerge w:val="continue"/>
                  <w:tcBorders>
                    <w:top w:val="nil"/>
                  </w:tcBorders>
                  <w:vAlign w:val="center"/>
                </w:tcPr>
                <w:p w14:paraId="7172B832">
                  <w:pPr>
                    <w:keepNext w:val="0"/>
                    <w:keepLines w:val="0"/>
                    <w:widowControl/>
                    <w:suppressLineNumbers w:val="0"/>
                    <w:jc w:val="both"/>
                    <w:rPr>
                      <w:rFonts w:hint="eastAsia" w:ascii="Times New Roman" w:hAnsi="Times New Roman" w:eastAsia="宋体" w:cs="Times New Roman"/>
                      <w:bCs w:val="0"/>
                      <w:color w:val="auto"/>
                      <w:kern w:val="2"/>
                      <w:sz w:val="21"/>
                      <w:szCs w:val="21"/>
                      <w:highlight w:val="none"/>
                      <w:lang w:val="en-US" w:eastAsia="zh-CN" w:bidi="ar-SA"/>
                    </w:rPr>
                  </w:pPr>
                </w:p>
              </w:tc>
              <w:tc>
                <w:tcPr>
                  <w:tcW w:w="470" w:type="pct"/>
                  <w:vAlign w:val="center"/>
                </w:tcPr>
                <w:p w14:paraId="0ECC1B9F">
                  <w:pPr>
                    <w:keepNext w:val="0"/>
                    <w:keepLines w:val="0"/>
                    <w:widowControl/>
                    <w:suppressLineNumbers w:val="0"/>
                    <w:jc w:val="center"/>
                    <w:rPr>
                      <w:rFonts w:hint="eastAsia" w:ascii="Times New Roman" w:hAnsi="Times New Roman" w:eastAsia="宋体" w:cs="Times New Roman"/>
                      <w:bCs w:val="0"/>
                      <w:color w:val="auto"/>
                      <w:kern w:val="2"/>
                      <w:sz w:val="21"/>
                      <w:szCs w:val="21"/>
                      <w:highlight w:val="none"/>
                      <w:lang w:val="en-US" w:eastAsia="zh-CN" w:bidi="ar-SA"/>
                    </w:rPr>
                  </w:pPr>
                  <w:r>
                    <w:rPr>
                      <w:rFonts w:hint="eastAsia" w:ascii="Times New Roman" w:hAnsi="Times New Roman" w:eastAsia="宋体" w:cs="Times New Roman"/>
                      <w:bCs w:val="0"/>
                      <w:color w:val="auto"/>
                      <w:kern w:val="2"/>
                      <w:sz w:val="21"/>
                      <w:szCs w:val="21"/>
                      <w:highlight w:val="none"/>
                      <w:lang w:val="en-US" w:eastAsia="zh-CN" w:bidi="ar-SA"/>
                    </w:rPr>
                    <w:t>符合</w:t>
                  </w:r>
                </w:p>
              </w:tc>
            </w:tr>
            <w:tr w14:paraId="4FC12BB8">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985" w:hRule="atLeast"/>
              </w:trPr>
              <w:tc>
                <w:tcPr>
                  <w:tcW w:w="2494" w:type="pct"/>
                  <w:vAlign w:val="center"/>
                </w:tcPr>
                <w:p w14:paraId="24413FDF">
                  <w:pPr>
                    <w:keepNext w:val="0"/>
                    <w:keepLines w:val="0"/>
                    <w:widowControl/>
                    <w:suppressLineNumbers w:val="0"/>
                    <w:jc w:val="both"/>
                    <w:rPr>
                      <w:rFonts w:hint="eastAsia" w:ascii="Times New Roman" w:hAnsi="Times New Roman" w:eastAsia="宋体" w:cs="Times New Roman"/>
                      <w:bCs w:val="0"/>
                      <w:color w:val="auto"/>
                      <w:kern w:val="2"/>
                      <w:sz w:val="21"/>
                      <w:szCs w:val="21"/>
                      <w:highlight w:val="none"/>
                      <w:lang w:val="en-US" w:eastAsia="zh-CN" w:bidi="ar-SA"/>
                    </w:rPr>
                  </w:pPr>
                  <w:r>
                    <w:rPr>
                      <w:rFonts w:hint="eastAsia" w:ascii="Times New Roman" w:hAnsi="Times New Roman" w:eastAsia="宋体" w:cs="Times New Roman"/>
                      <w:bCs w:val="0"/>
                      <w:color w:val="auto"/>
                      <w:kern w:val="2"/>
                      <w:sz w:val="21"/>
                      <w:szCs w:val="21"/>
                      <w:highlight w:val="none"/>
                      <w:lang w:val="en-US" w:eastAsia="zh-CN" w:bidi="ar-SA"/>
                    </w:rPr>
                    <w:t>如果使用管道排风的生物安全柜，应通过独立于建筑物其他公共通风系统的管道排出。</w:t>
                  </w:r>
                </w:p>
              </w:tc>
              <w:tc>
                <w:tcPr>
                  <w:tcW w:w="2034" w:type="pct"/>
                  <w:vAlign w:val="center"/>
                </w:tcPr>
                <w:p w14:paraId="573ABF1F">
                  <w:pPr>
                    <w:keepNext w:val="0"/>
                    <w:keepLines w:val="0"/>
                    <w:widowControl/>
                    <w:suppressLineNumbers w:val="0"/>
                    <w:jc w:val="both"/>
                    <w:rPr>
                      <w:rFonts w:hint="eastAsia" w:ascii="Times New Roman" w:hAnsi="Times New Roman" w:eastAsia="宋体" w:cs="Times New Roman"/>
                      <w:bCs w:val="0"/>
                      <w:color w:val="auto"/>
                      <w:kern w:val="2"/>
                      <w:sz w:val="21"/>
                      <w:szCs w:val="21"/>
                      <w:highlight w:val="none"/>
                      <w:lang w:val="en-US" w:eastAsia="zh-CN" w:bidi="ar-SA"/>
                    </w:rPr>
                  </w:pPr>
                  <w:r>
                    <w:rPr>
                      <w:rFonts w:hint="eastAsia" w:ascii="Times New Roman" w:hAnsi="Times New Roman" w:eastAsia="宋体" w:cs="Times New Roman"/>
                      <w:bCs w:val="0"/>
                      <w:color w:val="auto"/>
                      <w:kern w:val="2"/>
                      <w:sz w:val="21"/>
                      <w:szCs w:val="21"/>
                      <w:highlight w:val="none"/>
                      <w:lang w:val="en-US" w:eastAsia="zh-CN" w:bidi="ar-SA"/>
                    </w:rPr>
                    <w:t>本项目生物安全柜废气经高效过滤器过滤后，与其他</w:t>
                  </w:r>
                  <w:r>
                    <w:rPr>
                      <w:rFonts w:hint="eastAsia" w:cs="Times New Roman"/>
                      <w:bCs w:val="0"/>
                      <w:color w:val="auto"/>
                      <w:kern w:val="2"/>
                      <w:sz w:val="21"/>
                      <w:szCs w:val="21"/>
                      <w:highlight w:val="none"/>
                      <w:lang w:val="en-US" w:eastAsia="zh-CN" w:bidi="ar-SA"/>
                    </w:rPr>
                    <w:t>楼层</w:t>
                  </w:r>
                  <w:r>
                    <w:rPr>
                      <w:rFonts w:hint="eastAsia" w:ascii="Times New Roman" w:hAnsi="Times New Roman" w:eastAsia="宋体" w:cs="Times New Roman"/>
                      <w:bCs w:val="0"/>
                      <w:color w:val="auto"/>
                      <w:kern w:val="2"/>
                      <w:sz w:val="21"/>
                      <w:szCs w:val="21"/>
                      <w:highlight w:val="none"/>
                      <w:lang w:val="en-US" w:eastAsia="zh-CN" w:bidi="ar-SA"/>
                    </w:rPr>
                    <w:t>实验废气</w:t>
                  </w:r>
                  <w:r>
                    <w:rPr>
                      <w:rFonts w:hint="eastAsia" w:cs="Times New Roman"/>
                      <w:bCs w:val="0"/>
                      <w:color w:val="auto"/>
                      <w:kern w:val="2"/>
                      <w:sz w:val="21"/>
                      <w:szCs w:val="21"/>
                      <w:highlight w:val="none"/>
                      <w:lang w:val="en-US" w:eastAsia="zh-CN" w:bidi="ar-SA"/>
                    </w:rPr>
                    <w:t>（</w:t>
                  </w:r>
                  <w:r>
                    <w:rPr>
                      <w:rFonts w:hint="eastAsia" w:ascii="Times New Roman" w:hAnsi="Times New Roman" w:eastAsia="宋体" w:cs="Times New Roman"/>
                      <w:bCs w:val="0"/>
                      <w:color w:val="auto"/>
                      <w:kern w:val="2"/>
                      <w:sz w:val="21"/>
                      <w:szCs w:val="21"/>
                      <w:highlight w:val="none"/>
                      <w:lang w:val="en-US" w:eastAsia="zh-CN" w:bidi="ar-SA"/>
                    </w:rPr>
                    <w:t>无机废气、有机废气</w:t>
                  </w:r>
                  <w:r>
                    <w:rPr>
                      <w:rFonts w:hint="eastAsia" w:cs="Times New Roman"/>
                      <w:bCs w:val="0"/>
                      <w:color w:val="auto"/>
                      <w:kern w:val="2"/>
                      <w:sz w:val="21"/>
                      <w:szCs w:val="21"/>
                      <w:highlight w:val="none"/>
                      <w:lang w:val="en-US" w:eastAsia="zh-CN" w:bidi="ar-SA"/>
                    </w:rPr>
                    <w:t>）</w:t>
                  </w:r>
                  <w:r>
                    <w:rPr>
                      <w:rFonts w:hint="eastAsia" w:ascii="Times New Roman" w:hAnsi="Times New Roman" w:eastAsia="宋体" w:cs="Times New Roman"/>
                      <w:bCs w:val="0"/>
                      <w:color w:val="auto"/>
                      <w:kern w:val="2"/>
                      <w:sz w:val="21"/>
                      <w:szCs w:val="21"/>
                      <w:highlight w:val="none"/>
                      <w:lang w:val="en-US" w:eastAsia="zh-CN" w:bidi="ar-SA"/>
                    </w:rPr>
                    <w:t>一起经废气处理装置</w:t>
                  </w:r>
                  <w:r>
                    <w:rPr>
                      <w:rFonts w:hint="eastAsia" w:cs="Times New Roman"/>
                      <w:bCs w:val="0"/>
                      <w:color w:val="auto"/>
                      <w:kern w:val="2"/>
                      <w:sz w:val="21"/>
                      <w:szCs w:val="21"/>
                      <w:highlight w:val="none"/>
                      <w:lang w:val="en-US" w:eastAsia="zh-CN" w:bidi="ar-SA"/>
                    </w:rPr>
                    <w:t>（</w:t>
                  </w:r>
                  <w:r>
                    <w:rPr>
                      <w:rFonts w:hint="eastAsia" w:ascii="Times New Roman" w:hAnsi="Times New Roman" w:eastAsia="宋体" w:cs="Times New Roman"/>
                      <w:bCs w:val="0"/>
                      <w:color w:val="auto"/>
                      <w:kern w:val="2"/>
                      <w:sz w:val="21"/>
                      <w:szCs w:val="21"/>
                      <w:highlight w:val="none"/>
                      <w:lang w:val="en-US" w:eastAsia="zh-CN" w:bidi="ar-SA"/>
                    </w:rPr>
                    <w:t>活性炭过滤装置</w:t>
                  </w:r>
                  <w:r>
                    <w:rPr>
                      <w:rFonts w:hint="eastAsia" w:cs="Times New Roman"/>
                      <w:bCs w:val="0"/>
                      <w:color w:val="auto"/>
                      <w:kern w:val="2"/>
                      <w:sz w:val="21"/>
                      <w:szCs w:val="21"/>
                      <w:highlight w:val="none"/>
                      <w:lang w:val="en-US" w:eastAsia="zh-CN" w:bidi="ar-SA"/>
                    </w:rPr>
                    <w:t>）</w:t>
                  </w:r>
                  <w:r>
                    <w:rPr>
                      <w:rFonts w:hint="eastAsia" w:ascii="Times New Roman" w:hAnsi="Times New Roman" w:eastAsia="宋体" w:cs="Times New Roman"/>
                      <w:bCs w:val="0"/>
                      <w:color w:val="auto"/>
                      <w:kern w:val="2"/>
                      <w:sz w:val="21"/>
                      <w:szCs w:val="21"/>
                      <w:highlight w:val="none"/>
                      <w:lang w:val="en-US" w:eastAsia="zh-CN" w:bidi="ar-SA"/>
                    </w:rPr>
                    <w:t>处理后经楼顶排气筒排放，不与项目所在建筑物其他公共通风系统共用。</w:t>
                  </w:r>
                </w:p>
              </w:tc>
              <w:tc>
                <w:tcPr>
                  <w:tcW w:w="470" w:type="pct"/>
                  <w:vAlign w:val="center"/>
                </w:tcPr>
                <w:p w14:paraId="7C6CABAE">
                  <w:pPr>
                    <w:keepNext w:val="0"/>
                    <w:keepLines w:val="0"/>
                    <w:widowControl/>
                    <w:suppressLineNumbers w:val="0"/>
                    <w:jc w:val="center"/>
                    <w:rPr>
                      <w:rFonts w:hint="eastAsia" w:ascii="Times New Roman" w:hAnsi="Times New Roman" w:eastAsia="宋体" w:cs="Times New Roman"/>
                      <w:bCs w:val="0"/>
                      <w:color w:val="auto"/>
                      <w:kern w:val="2"/>
                      <w:sz w:val="21"/>
                      <w:szCs w:val="21"/>
                      <w:highlight w:val="none"/>
                      <w:lang w:val="en-US" w:eastAsia="zh-CN" w:bidi="ar-SA"/>
                    </w:rPr>
                  </w:pPr>
                  <w:r>
                    <w:rPr>
                      <w:rFonts w:hint="eastAsia" w:ascii="Times New Roman" w:hAnsi="Times New Roman" w:eastAsia="宋体" w:cs="Times New Roman"/>
                      <w:bCs w:val="0"/>
                      <w:color w:val="auto"/>
                      <w:kern w:val="2"/>
                      <w:sz w:val="21"/>
                      <w:szCs w:val="21"/>
                      <w:highlight w:val="none"/>
                      <w:lang w:val="en-US" w:eastAsia="zh-CN" w:bidi="ar-SA"/>
                    </w:rPr>
                    <w:t>符合</w:t>
                  </w:r>
                </w:p>
              </w:tc>
            </w:tr>
            <w:tr w14:paraId="4B086834">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90" w:hRule="atLeast"/>
              </w:trPr>
              <w:tc>
                <w:tcPr>
                  <w:tcW w:w="2494" w:type="pct"/>
                  <w:vAlign w:val="center"/>
                </w:tcPr>
                <w:p w14:paraId="141BFE23">
                  <w:pPr>
                    <w:keepNext w:val="0"/>
                    <w:keepLines w:val="0"/>
                    <w:widowControl/>
                    <w:suppressLineNumbers w:val="0"/>
                    <w:jc w:val="both"/>
                    <w:rPr>
                      <w:rFonts w:hint="eastAsia" w:ascii="Times New Roman" w:hAnsi="Times New Roman" w:eastAsia="宋体" w:cs="Times New Roman"/>
                      <w:bCs w:val="0"/>
                      <w:color w:val="auto"/>
                      <w:kern w:val="2"/>
                      <w:sz w:val="21"/>
                      <w:szCs w:val="21"/>
                      <w:highlight w:val="none"/>
                      <w:lang w:val="en-US" w:eastAsia="zh-CN" w:bidi="ar-SA"/>
                    </w:rPr>
                  </w:pPr>
                  <w:r>
                    <w:rPr>
                      <w:rFonts w:hint="eastAsia" w:ascii="Times New Roman" w:hAnsi="Times New Roman" w:eastAsia="宋体" w:cs="Times New Roman"/>
                      <w:bCs w:val="0"/>
                      <w:color w:val="auto"/>
                      <w:kern w:val="2"/>
                      <w:sz w:val="21"/>
                      <w:szCs w:val="21"/>
                      <w:highlight w:val="none"/>
                      <w:lang w:val="en-US" w:eastAsia="zh-CN" w:bidi="ar-SA"/>
                    </w:rPr>
                    <w:t>应在实验室工作区配备洗眼装置，必要时，应在每个工作间配备洗眼装置。</w:t>
                  </w:r>
                </w:p>
              </w:tc>
              <w:tc>
                <w:tcPr>
                  <w:tcW w:w="2034" w:type="pct"/>
                  <w:vAlign w:val="center"/>
                </w:tcPr>
                <w:p w14:paraId="429DBD0D">
                  <w:pPr>
                    <w:keepNext w:val="0"/>
                    <w:keepLines w:val="0"/>
                    <w:widowControl/>
                    <w:suppressLineNumbers w:val="0"/>
                    <w:jc w:val="both"/>
                    <w:rPr>
                      <w:rFonts w:hint="eastAsia" w:ascii="Times New Roman" w:hAnsi="Times New Roman" w:eastAsia="宋体" w:cs="Times New Roman"/>
                      <w:bCs w:val="0"/>
                      <w:color w:val="auto"/>
                      <w:kern w:val="2"/>
                      <w:sz w:val="21"/>
                      <w:szCs w:val="21"/>
                      <w:highlight w:val="none"/>
                      <w:lang w:val="en-US" w:eastAsia="zh-CN" w:bidi="ar-SA"/>
                    </w:rPr>
                  </w:pPr>
                  <w:r>
                    <w:rPr>
                      <w:rFonts w:hint="eastAsia" w:ascii="Times New Roman" w:hAnsi="Times New Roman" w:eastAsia="宋体" w:cs="Times New Roman"/>
                      <w:bCs w:val="0"/>
                      <w:color w:val="auto"/>
                      <w:kern w:val="2"/>
                      <w:sz w:val="21"/>
                      <w:szCs w:val="21"/>
                      <w:highlight w:val="none"/>
                      <w:lang w:val="en-US" w:eastAsia="zh-CN" w:bidi="ar-SA"/>
                    </w:rPr>
                    <w:t>本项目实验室工作区配备紧急冲淋洗眼装置</w:t>
                  </w:r>
                  <w:r>
                    <w:rPr>
                      <w:rFonts w:hint="eastAsia" w:cs="Times New Roman"/>
                      <w:bCs w:val="0"/>
                      <w:color w:val="auto"/>
                      <w:kern w:val="2"/>
                      <w:sz w:val="21"/>
                      <w:szCs w:val="21"/>
                      <w:highlight w:val="none"/>
                      <w:lang w:val="en-US" w:eastAsia="zh-CN" w:bidi="ar-SA"/>
                    </w:rPr>
                    <w:t>。</w:t>
                  </w:r>
                </w:p>
              </w:tc>
              <w:tc>
                <w:tcPr>
                  <w:tcW w:w="470" w:type="pct"/>
                  <w:vAlign w:val="center"/>
                </w:tcPr>
                <w:p w14:paraId="4B7F294A">
                  <w:pPr>
                    <w:keepNext w:val="0"/>
                    <w:keepLines w:val="0"/>
                    <w:widowControl/>
                    <w:suppressLineNumbers w:val="0"/>
                    <w:jc w:val="center"/>
                    <w:rPr>
                      <w:rFonts w:hint="eastAsia" w:ascii="Times New Roman" w:hAnsi="Times New Roman" w:eastAsia="宋体" w:cs="Times New Roman"/>
                      <w:bCs w:val="0"/>
                      <w:color w:val="auto"/>
                      <w:kern w:val="2"/>
                      <w:sz w:val="21"/>
                      <w:szCs w:val="21"/>
                      <w:highlight w:val="none"/>
                      <w:lang w:val="en-US" w:eastAsia="zh-CN" w:bidi="ar-SA"/>
                    </w:rPr>
                  </w:pPr>
                  <w:r>
                    <w:rPr>
                      <w:rFonts w:hint="eastAsia" w:ascii="Times New Roman" w:hAnsi="Times New Roman" w:eastAsia="宋体" w:cs="Times New Roman"/>
                      <w:bCs w:val="0"/>
                      <w:color w:val="auto"/>
                      <w:kern w:val="2"/>
                      <w:sz w:val="21"/>
                      <w:szCs w:val="21"/>
                      <w:highlight w:val="none"/>
                      <w:lang w:val="en-US" w:eastAsia="zh-CN" w:bidi="ar-SA"/>
                    </w:rPr>
                    <w:t>符合</w:t>
                  </w:r>
                </w:p>
              </w:tc>
            </w:tr>
          </w:tbl>
          <w:p w14:paraId="6CCE24AD">
            <w:pPr>
              <w:keepNext/>
              <w:keepLines/>
              <w:suppressLineNumbers w:val="0"/>
              <w:adjustRightInd w:val="0"/>
              <w:snapToGrid w:val="0"/>
              <w:spacing w:before="0" w:beforeAutospacing="0" w:after="0" w:afterAutospacing="0" w:line="360" w:lineRule="auto"/>
              <w:ind w:left="0" w:right="0"/>
              <w:outlineLvl w:val="1"/>
              <w:rPr>
                <w:rFonts w:hint="default" w:ascii="Times New Roman" w:hAnsi="Times New Roman" w:eastAsia="宋体" w:cs="Times New Roman"/>
                <w:b/>
                <w:bCs/>
                <w:color w:val="auto"/>
                <w:kern w:val="0"/>
                <w:sz w:val="24"/>
                <w:szCs w:val="24"/>
                <w:highlight w:val="none"/>
                <w:lang w:eastAsia="zh-CN"/>
              </w:rPr>
            </w:pPr>
            <w:r>
              <w:rPr>
                <w:rFonts w:hint="eastAsia"/>
                <w:b/>
                <w:sz w:val="24"/>
                <w:szCs w:val="21"/>
                <w:highlight w:val="none"/>
                <w:lang w:val="en-US" w:eastAsia="zh-CN"/>
              </w:rPr>
              <w:t>10、</w:t>
            </w:r>
            <w:r>
              <w:rPr>
                <w:rFonts w:hint="default" w:ascii="Times New Roman" w:hAnsi="Times New Roman" w:eastAsia="宋体" w:cs="Times New Roman"/>
                <w:b/>
                <w:bCs/>
                <w:color w:val="auto"/>
                <w:kern w:val="0"/>
                <w:sz w:val="24"/>
                <w:szCs w:val="24"/>
                <w:highlight w:val="none"/>
              </w:rPr>
              <w:t>浙江省工业企业恶臭异味管控技术指南</w:t>
            </w:r>
            <w:r>
              <w:rPr>
                <w:rFonts w:hint="default" w:ascii="Times New Roman" w:hAnsi="Times New Roman" w:eastAsia="宋体" w:cs="Times New Roman"/>
                <w:b/>
                <w:bCs/>
                <w:color w:val="auto"/>
                <w:kern w:val="0"/>
                <w:sz w:val="24"/>
                <w:szCs w:val="24"/>
                <w:highlight w:val="none"/>
                <w:lang w:eastAsia="zh-CN"/>
              </w:rPr>
              <w:t>（</w:t>
            </w:r>
            <w:r>
              <w:rPr>
                <w:rFonts w:hint="default" w:ascii="Times New Roman" w:hAnsi="Times New Roman" w:eastAsia="宋体" w:cs="Times New Roman"/>
                <w:b/>
                <w:bCs/>
                <w:color w:val="auto"/>
                <w:kern w:val="0"/>
                <w:sz w:val="24"/>
                <w:szCs w:val="24"/>
                <w:highlight w:val="none"/>
                <w:lang w:val="en-US" w:eastAsia="zh-CN"/>
              </w:rPr>
              <w:t>试行</w:t>
            </w:r>
            <w:r>
              <w:rPr>
                <w:rFonts w:hint="default" w:ascii="Times New Roman" w:hAnsi="Times New Roman" w:eastAsia="宋体" w:cs="Times New Roman"/>
                <w:b/>
                <w:bCs/>
                <w:color w:val="auto"/>
                <w:kern w:val="0"/>
                <w:sz w:val="24"/>
                <w:szCs w:val="24"/>
                <w:highlight w:val="none"/>
                <w:lang w:eastAsia="zh-CN"/>
              </w:rPr>
              <w:t>）</w:t>
            </w:r>
          </w:p>
          <w:p w14:paraId="008FA6B9">
            <w:pPr>
              <w:keepNext w:val="0"/>
              <w:keepLines w:val="0"/>
              <w:suppressLineNumbers w:val="0"/>
              <w:topLinePunct/>
              <w:adjustRightInd w:val="0"/>
              <w:snapToGrid w:val="0"/>
              <w:spacing w:before="0" w:beforeAutospacing="0" w:after="0" w:afterAutospacing="0" w:line="360" w:lineRule="auto"/>
              <w:ind w:left="0" w:right="0" w:firstLine="480" w:firstLineChars="200"/>
              <w:rPr>
                <w:rFonts w:hint="default"/>
                <w:color w:val="auto"/>
                <w:highlight w:val="none"/>
              </w:rPr>
            </w:pPr>
            <w:r>
              <w:rPr>
                <w:rFonts w:hint="eastAsia" w:eastAsia="宋体"/>
                <w:snapToGrid w:val="0"/>
                <w:color w:val="auto"/>
                <w:kern w:val="0"/>
                <w:sz w:val="24"/>
                <w:szCs w:val="24"/>
                <w:highlight w:val="none"/>
                <w:lang w:val="en-US" w:eastAsia="zh-CN"/>
              </w:rPr>
              <w:t>参照</w:t>
            </w:r>
            <w:r>
              <w:rPr>
                <w:rFonts w:hint="default" w:ascii="Times New Roman" w:hAnsi="Times New Roman" w:eastAsia="宋体" w:cs="Times New Roman"/>
                <w:snapToGrid w:val="0"/>
                <w:color w:val="auto"/>
                <w:kern w:val="0"/>
                <w:sz w:val="24"/>
                <w:szCs w:val="24"/>
                <w:highlight w:val="none"/>
              </w:rPr>
              <w:t>《浙江省工业企业恶臭异味管控技术指南</w:t>
            </w:r>
            <w:r>
              <w:rPr>
                <w:rFonts w:hint="default" w:ascii="Times New Roman" w:hAnsi="Times New Roman" w:eastAsia="宋体" w:cs="Times New Roman"/>
                <w:snapToGrid w:val="0"/>
                <w:color w:val="auto"/>
                <w:kern w:val="0"/>
                <w:sz w:val="24"/>
                <w:szCs w:val="24"/>
                <w:highlight w:val="none"/>
                <w:lang w:eastAsia="zh-CN"/>
              </w:rPr>
              <w:t>（</w:t>
            </w:r>
            <w:r>
              <w:rPr>
                <w:rFonts w:hint="default" w:ascii="Times New Roman" w:hAnsi="Times New Roman" w:eastAsia="宋体" w:cs="Times New Roman"/>
                <w:snapToGrid w:val="0"/>
                <w:color w:val="auto"/>
                <w:kern w:val="0"/>
                <w:sz w:val="24"/>
                <w:szCs w:val="24"/>
                <w:highlight w:val="none"/>
                <w:lang w:val="en-US" w:eastAsia="zh-CN"/>
              </w:rPr>
              <w:t>试行</w:t>
            </w:r>
            <w:r>
              <w:rPr>
                <w:rFonts w:hint="default" w:ascii="Times New Roman" w:hAnsi="Times New Roman" w:eastAsia="宋体" w:cs="Times New Roman"/>
                <w:snapToGrid w:val="0"/>
                <w:color w:val="auto"/>
                <w:kern w:val="0"/>
                <w:sz w:val="24"/>
                <w:szCs w:val="24"/>
                <w:highlight w:val="none"/>
                <w:lang w:eastAsia="zh-CN"/>
              </w:rPr>
              <w:t>）</w:t>
            </w:r>
            <w:r>
              <w:rPr>
                <w:rFonts w:hint="default" w:ascii="Times New Roman" w:hAnsi="Times New Roman" w:eastAsia="宋体" w:cs="Times New Roman"/>
                <w:snapToGrid w:val="0"/>
                <w:color w:val="auto"/>
                <w:kern w:val="0"/>
                <w:sz w:val="24"/>
                <w:szCs w:val="24"/>
                <w:highlight w:val="none"/>
              </w:rPr>
              <w:t>》</w:t>
            </w:r>
            <w:r>
              <w:rPr>
                <w:rFonts w:hint="default"/>
                <w:snapToGrid w:val="0"/>
                <w:color w:val="auto"/>
                <w:kern w:val="0"/>
                <w:sz w:val="24"/>
                <w:szCs w:val="24"/>
                <w:highlight w:val="none"/>
              </w:rPr>
              <w:t>文件相关要求，项目</w:t>
            </w:r>
            <w:r>
              <w:rPr>
                <w:rFonts w:hint="default"/>
                <w:snapToGrid w:val="0"/>
                <w:color w:val="auto"/>
                <w:kern w:val="0"/>
                <w:sz w:val="24"/>
                <w:szCs w:val="24"/>
                <w:highlight w:val="none"/>
                <w:lang w:val="en-US" w:eastAsia="zh-CN"/>
              </w:rPr>
              <w:t>涉及</w:t>
            </w:r>
            <w:r>
              <w:rPr>
                <w:rFonts w:hint="eastAsia"/>
                <w:snapToGrid w:val="0"/>
                <w:color w:val="auto"/>
                <w:kern w:val="0"/>
                <w:sz w:val="24"/>
                <w:szCs w:val="24"/>
                <w:highlight w:val="none"/>
                <w:lang w:val="en-US" w:eastAsia="zh-CN"/>
              </w:rPr>
              <w:t>恶臭异味产生，</w:t>
            </w:r>
            <w:r>
              <w:rPr>
                <w:rFonts w:hint="default"/>
                <w:snapToGrid w:val="0"/>
                <w:color w:val="auto"/>
                <w:kern w:val="0"/>
                <w:sz w:val="24"/>
                <w:szCs w:val="24"/>
                <w:highlight w:val="none"/>
              </w:rPr>
              <w:t>符合相关要求，具体符合性分析见表</w:t>
            </w:r>
            <w:r>
              <w:rPr>
                <w:rFonts w:hint="default"/>
                <w:snapToGrid w:val="0"/>
                <w:color w:val="auto"/>
                <w:kern w:val="0"/>
                <w:sz w:val="24"/>
                <w:szCs w:val="24"/>
                <w:highlight w:val="none"/>
                <w:lang w:val="en-US" w:eastAsia="zh-CN"/>
              </w:rPr>
              <w:t>1-</w:t>
            </w:r>
            <w:r>
              <w:rPr>
                <w:rFonts w:hint="eastAsia"/>
                <w:snapToGrid w:val="0"/>
                <w:color w:val="auto"/>
                <w:kern w:val="0"/>
                <w:sz w:val="24"/>
                <w:szCs w:val="24"/>
                <w:highlight w:val="none"/>
                <w:lang w:val="en-US" w:eastAsia="zh-CN"/>
              </w:rPr>
              <w:t>10</w:t>
            </w:r>
            <w:r>
              <w:rPr>
                <w:rFonts w:hint="default"/>
                <w:snapToGrid w:val="0"/>
                <w:color w:val="auto"/>
                <w:kern w:val="0"/>
                <w:sz w:val="24"/>
                <w:szCs w:val="24"/>
                <w:highlight w:val="none"/>
              </w:rPr>
              <w:t>。</w:t>
            </w:r>
          </w:p>
          <w:p w14:paraId="690F6A50">
            <w:pPr>
              <w:keepNext w:val="0"/>
              <w:keepLines w:val="0"/>
              <w:suppressLineNumbers w:val="0"/>
              <w:snapToGrid w:val="0"/>
              <w:spacing w:before="0" w:beforeAutospacing="0" w:after="0" w:afterAutospacing="0" w:line="360" w:lineRule="auto"/>
              <w:ind w:left="0" w:right="0"/>
              <w:jc w:val="center"/>
              <w:rPr>
                <w:rFonts w:hint="default"/>
                <w:b/>
                <w:color w:val="auto"/>
                <w:sz w:val="24"/>
                <w:szCs w:val="24"/>
                <w:highlight w:val="none"/>
              </w:rPr>
            </w:pPr>
            <w:r>
              <w:rPr>
                <w:rFonts w:hint="default"/>
                <w:b/>
                <w:color w:val="auto"/>
                <w:sz w:val="24"/>
                <w:szCs w:val="24"/>
                <w:highlight w:val="none"/>
              </w:rPr>
              <w:t>表</w:t>
            </w:r>
            <w:r>
              <w:rPr>
                <w:rFonts w:hint="default"/>
                <w:b/>
                <w:color w:val="auto"/>
                <w:sz w:val="24"/>
                <w:szCs w:val="24"/>
                <w:highlight w:val="none"/>
                <w:lang w:val="en-US" w:eastAsia="zh-CN"/>
              </w:rPr>
              <w:t>1-</w:t>
            </w:r>
            <w:r>
              <w:rPr>
                <w:rFonts w:hint="eastAsia"/>
                <w:b/>
                <w:color w:val="auto"/>
                <w:sz w:val="24"/>
                <w:szCs w:val="24"/>
                <w:highlight w:val="none"/>
                <w:lang w:val="en-US" w:eastAsia="zh-CN"/>
              </w:rPr>
              <w:t>10</w:t>
            </w:r>
            <w:r>
              <w:rPr>
                <w:rFonts w:hint="default"/>
                <w:b/>
                <w:color w:val="auto"/>
                <w:sz w:val="24"/>
                <w:szCs w:val="24"/>
                <w:highlight w:val="none"/>
              </w:rPr>
              <w:t xml:space="preserve"> 《浙江省工业企业恶臭异味管控技术指南（试行）》符合性分析</w:t>
            </w:r>
          </w:p>
          <w:tbl>
            <w:tblPr>
              <w:tblStyle w:val="33"/>
              <w:tblW w:w="7922"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28" w:type="dxa"/>
                <w:bottom w:w="0" w:type="dxa"/>
                <w:right w:w="28" w:type="dxa"/>
              </w:tblCellMar>
            </w:tblPr>
            <w:tblGrid>
              <w:gridCol w:w="627"/>
              <w:gridCol w:w="4554"/>
              <w:gridCol w:w="2741"/>
            </w:tblGrid>
            <w:tr w14:paraId="67087BB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0" w:hRule="atLeast"/>
                <w:jc w:val="center"/>
              </w:trPr>
              <w:tc>
                <w:tcPr>
                  <w:tcW w:w="627" w:type="dxa"/>
                  <w:noWrap w:val="0"/>
                  <w:vAlign w:val="center"/>
                </w:tcPr>
                <w:p w14:paraId="017928EE">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76" w:lineRule="auto"/>
                    <w:ind w:left="0" w:right="0"/>
                    <w:jc w:val="center"/>
                    <w:textAlignment w:val="auto"/>
                    <w:rPr>
                      <w:rFonts w:hint="default" w:ascii="Times New Roman" w:hAnsi="Times New Roman" w:eastAsia="宋体" w:cs="Times New Roman"/>
                      <w:color w:val="auto"/>
                      <w:kern w:val="2"/>
                      <w:sz w:val="18"/>
                      <w:szCs w:val="18"/>
                      <w:highlight w:val="none"/>
                      <w:lang w:val="en-US" w:eastAsia="zh-CN" w:bidi="ar-SA"/>
                    </w:rPr>
                  </w:pPr>
                  <w:r>
                    <w:rPr>
                      <w:rFonts w:hint="default"/>
                      <w:color w:val="auto"/>
                      <w:spacing w:val="6"/>
                      <w:kern w:val="0"/>
                      <w:sz w:val="18"/>
                      <w:szCs w:val="18"/>
                      <w:highlight w:val="none"/>
                    </w:rPr>
                    <w:t>环节</w:t>
                  </w:r>
                </w:p>
              </w:tc>
              <w:tc>
                <w:tcPr>
                  <w:tcW w:w="4554" w:type="dxa"/>
                  <w:noWrap w:val="0"/>
                  <w:vAlign w:val="center"/>
                </w:tcPr>
                <w:p w14:paraId="35B591A5">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76" w:lineRule="auto"/>
                    <w:ind w:left="0" w:right="0"/>
                    <w:jc w:val="center"/>
                    <w:textAlignment w:val="auto"/>
                    <w:rPr>
                      <w:rFonts w:hint="default" w:ascii="Times New Roman" w:hAnsi="Times New Roman" w:eastAsia="宋体" w:cs="Times New Roman"/>
                      <w:color w:val="auto"/>
                      <w:kern w:val="2"/>
                      <w:sz w:val="18"/>
                      <w:szCs w:val="18"/>
                      <w:highlight w:val="none"/>
                      <w:lang w:val="en-US" w:eastAsia="zh-CN" w:bidi="ar-SA"/>
                    </w:rPr>
                  </w:pPr>
                  <w:r>
                    <w:rPr>
                      <w:rFonts w:hint="default"/>
                      <w:color w:val="auto"/>
                      <w:spacing w:val="6"/>
                      <w:kern w:val="0"/>
                      <w:sz w:val="18"/>
                      <w:szCs w:val="18"/>
                      <w:highlight w:val="none"/>
                    </w:rPr>
                    <w:t>要点</w:t>
                  </w:r>
                </w:p>
              </w:tc>
              <w:tc>
                <w:tcPr>
                  <w:tcW w:w="2741" w:type="dxa"/>
                  <w:noWrap w:val="0"/>
                  <w:vAlign w:val="center"/>
                </w:tcPr>
                <w:p w14:paraId="7CB5F4A4">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76" w:lineRule="auto"/>
                    <w:ind w:left="0" w:right="0"/>
                    <w:jc w:val="center"/>
                    <w:textAlignment w:val="auto"/>
                    <w:rPr>
                      <w:rFonts w:hint="default" w:ascii="Times New Roman" w:hAnsi="Times New Roman" w:eastAsia="宋体" w:cs="Times New Roman"/>
                      <w:color w:val="auto"/>
                      <w:spacing w:val="6"/>
                      <w:kern w:val="0"/>
                      <w:sz w:val="18"/>
                      <w:szCs w:val="18"/>
                      <w:highlight w:val="none"/>
                      <w:lang w:val="en-US" w:eastAsia="zh-CN" w:bidi="ar-SA"/>
                    </w:rPr>
                  </w:pPr>
                  <w:r>
                    <w:rPr>
                      <w:rFonts w:hint="default"/>
                      <w:color w:val="auto"/>
                      <w:spacing w:val="6"/>
                      <w:kern w:val="0"/>
                      <w:sz w:val="18"/>
                      <w:szCs w:val="18"/>
                      <w:highlight w:val="none"/>
                    </w:rPr>
                    <w:t>是否符合</w:t>
                  </w:r>
                </w:p>
              </w:tc>
            </w:tr>
            <w:tr w14:paraId="2781686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0" w:hRule="atLeast"/>
                <w:jc w:val="center"/>
              </w:trPr>
              <w:tc>
                <w:tcPr>
                  <w:tcW w:w="627" w:type="dxa"/>
                  <w:noWrap w:val="0"/>
                  <w:vAlign w:val="center"/>
                </w:tcPr>
                <w:p w14:paraId="1401C571">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76" w:lineRule="auto"/>
                    <w:ind w:left="0" w:right="0"/>
                    <w:jc w:val="center"/>
                    <w:textAlignment w:val="auto"/>
                    <w:rPr>
                      <w:rFonts w:hint="default" w:ascii="Times New Roman" w:hAnsi="Times New Roman" w:eastAsia="宋体" w:cs="Times New Roman"/>
                      <w:color w:val="auto"/>
                      <w:kern w:val="2"/>
                      <w:sz w:val="18"/>
                      <w:szCs w:val="18"/>
                      <w:highlight w:val="none"/>
                      <w:lang w:val="en-US" w:eastAsia="zh-CN" w:bidi="ar-SA"/>
                    </w:rPr>
                  </w:pPr>
                  <w:r>
                    <w:rPr>
                      <w:rFonts w:hint="default"/>
                      <w:color w:val="auto"/>
                      <w:sz w:val="18"/>
                      <w:szCs w:val="18"/>
                      <w:highlight w:val="none"/>
                    </w:rPr>
                    <w:t>原辅料替代</w:t>
                  </w:r>
                </w:p>
              </w:tc>
              <w:tc>
                <w:tcPr>
                  <w:tcW w:w="4554" w:type="dxa"/>
                  <w:noWrap w:val="0"/>
                  <w:vAlign w:val="center"/>
                </w:tcPr>
                <w:p w14:paraId="180B52F9">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76" w:lineRule="auto"/>
                    <w:ind w:left="0" w:right="0"/>
                    <w:jc w:val="left"/>
                    <w:textAlignment w:val="auto"/>
                    <w:rPr>
                      <w:rFonts w:hint="default" w:ascii="Times New Roman" w:hAnsi="Times New Roman" w:eastAsia="宋体" w:cs="Times New Roman"/>
                      <w:color w:val="auto"/>
                      <w:kern w:val="2"/>
                      <w:sz w:val="18"/>
                      <w:szCs w:val="18"/>
                      <w:highlight w:val="none"/>
                      <w:lang w:val="en-US" w:eastAsia="zh-CN" w:bidi="ar-SA"/>
                    </w:rPr>
                  </w:pPr>
                  <w:r>
                    <w:rPr>
                      <w:rFonts w:hint="default"/>
                      <w:color w:val="auto"/>
                      <w:sz w:val="18"/>
                      <w:szCs w:val="18"/>
                      <w:highlight w:val="none"/>
                    </w:rPr>
                    <w:t>企业依据自身情况、行业特征、现有技术，对涉异味的原辅材料开展源头替代，采用低挥发性、异味影响较低的物料，从源头上减少自身异味排放。</w:t>
                  </w:r>
                </w:p>
              </w:tc>
              <w:tc>
                <w:tcPr>
                  <w:tcW w:w="2741" w:type="dxa"/>
                  <w:noWrap w:val="0"/>
                  <w:vAlign w:val="center"/>
                </w:tcPr>
                <w:p w14:paraId="52277039">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76" w:lineRule="auto"/>
                    <w:ind w:left="0" w:right="0"/>
                    <w:textAlignment w:val="auto"/>
                    <w:rPr>
                      <w:rFonts w:hint="default" w:ascii="Times New Roman" w:hAnsi="Times New Roman" w:eastAsia="宋体" w:cs="Times New Roman"/>
                      <w:color w:val="auto"/>
                      <w:kern w:val="0"/>
                      <w:sz w:val="18"/>
                      <w:szCs w:val="18"/>
                      <w:highlight w:val="none"/>
                      <w:lang w:val="en-US" w:eastAsia="zh-CN" w:bidi="ar-SA"/>
                    </w:rPr>
                  </w:pPr>
                  <w:r>
                    <w:rPr>
                      <w:rFonts w:hint="default"/>
                      <w:color w:val="auto"/>
                      <w:kern w:val="0"/>
                      <w:sz w:val="18"/>
                      <w:szCs w:val="18"/>
                      <w:highlight w:val="none"/>
                    </w:rPr>
                    <w:t>本项目</w:t>
                  </w:r>
                  <w:r>
                    <w:rPr>
                      <w:rFonts w:hint="default"/>
                      <w:color w:val="auto"/>
                      <w:kern w:val="0"/>
                      <w:sz w:val="18"/>
                      <w:szCs w:val="18"/>
                      <w:highlight w:val="none"/>
                      <w:lang w:val="en-US" w:eastAsia="zh-CN"/>
                    </w:rPr>
                    <w:t>异味</w:t>
                  </w:r>
                  <w:r>
                    <w:rPr>
                      <w:rFonts w:hint="eastAsia"/>
                      <w:color w:val="auto"/>
                      <w:kern w:val="0"/>
                      <w:sz w:val="18"/>
                      <w:szCs w:val="18"/>
                      <w:highlight w:val="none"/>
                      <w:lang w:val="en-US" w:eastAsia="zh-CN"/>
                    </w:rPr>
                    <w:t>主要来源于动物饲养、危废暂存，无需开展原辅料替代</w:t>
                  </w:r>
                  <w:r>
                    <w:rPr>
                      <w:rFonts w:hint="default"/>
                      <w:color w:val="auto"/>
                      <w:kern w:val="0"/>
                      <w:sz w:val="18"/>
                      <w:szCs w:val="18"/>
                      <w:highlight w:val="none"/>
                      <w:lang w:val="en-US" w:eastAsia="zh-CN"/>
                    </w:rPr>
                    <w:t>。</w:t>
                  </w:r>
                  <w:r>
                    <w:rPr>
                      <w:rFonts w:hint="default"/>
                      <w:b/>
                      <w:color w:val="auto"/>
                      <w:kern w:val="0"/>
                      <w:sz w:val="18"/>
                      <w:szCs w:val="18"/>
                      <w:highlight w:val="none"/>
                    </w:rPr>
                    <w:t>符合</w:t>
                  </w:r>
                </w:p>
              </w:tc>
            </w:tr>
            <w:tr w14:paraId="3C3EA86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0" w:hRule="atLeast"/>
                <w:jc w:val="center"/>
              </w:trPr>
              <w:tc>
                <w:tcPr>
                  <w:tcW w:w="627" w:type="dxa"/>
                  <w:noWrap w:val="0"/>
                  <w:vAlign w:val="center"/>
                </w:tcPr>
                <w:p w14:paraId="04EF496D">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76" w:lineRule="auto"/>
                    <w:ind w:left="0" w:right="0"/>
                    <w:jc w:val="center"/>
                    <w:textAlignment w:val="auto"/>
                    <w:rPr>
                      <w:rFonts w:hint="default" w:ascii="Times New Roman" w:hAnsi="Times New Roman" w:eastAsia="宋体" w:cs="Times New Roman"/>
                      <w:color w:val="auto"/>
                      <w:kern w:val="2"/>
                      <w:sz w:val="18"/>
                      <w:szCs w:val="18"/>
                      <w:highlight w:val="none"/>
                      <w:lang w:val="en-US" w:eastAsia="zh-CN" w:bidi="ar-SA"/>
                    </w:rPr>
                  </w:pPr>
                  <w:r>
                    <w:rPr>
                      <w:rFonts w:hint="default"/>
                      <w:color w:val="auto"/>
                      <w:sz w:val="18"/>
                      <w:szCs w:val="18"/>
                      <w:highlight w:val="none"/>
                    </w:rPr>
                    <w:t>过程控制</w:t>
                  </w:r>
                </w:p>
              </w:tc>
              <w:tc>
                <w:tcPr>
                  <w:tcW w:w="4554" w:type="dxa"/>
                  <w:noWrap w:val="0"/>
                  <w:vAlign w:val="center"/>
                </w:tcPr>
                <w:p w14:paraId="2622ED7E">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76" w:lineRule="auto"/>
                    <w:ind w:left="0" w:right="0"/>
                    <w:jc w:val="both"/>
                    <w:textAlignment w:val="auto"/>
                    <w:rPr>
                      <w:rFonts w:hint="default" w:ascii="Times New Roman" w:hAnsi="Times New Roman" w:eastAsia="宋体" w:cs="Times New Roman"/>
                      <w:color w:val="auto"/>
                      <w:kern w:val="2"/>
                      <w:sz w:val="18"/>
                      <w:szCs w:val="18"/>
                      <w:highlight w:val="none"/>
                      <w:lang w:val="en-US" w:eastAsia="zh-CN" w:bidi="ar-SA"/>
                    </w:rPr>
                  </w:pPr>
                  <w:r>
                    <w:rPr>
                      <w:rFonts w:hint="default"/>
                      <w:color w:val="auto"/>
                      <w:sz w:val="18"/>
                      <w:szCs w:val="18"/>
                      <w:highlight w:val="none"/>
                    </w:rPr>
                    <w:t>企业优先对储存、运输、生产设施等异味产生单元进行密闭，封闭不必要的开口。由于生产工艺需求及安全因素无法密闭的，可采用局部集气措施，确保废气收集风量最小化、处理效果最优化。有条件的企业可通过废气循环化利用实现异味气体</w:t>
                  </w:r>
                  <w:r>
                    <w:rPr>
                      <w:rFonts w:hint="eastAsia"/>
                      <w:color w:val="auto"/>
                      <w:sz w:val="18"/>
                      <w:szCs w:val="18"/>
                      <w:highlight w:val="none"/>
                      <w:lang w:eastAsia="zh-CN"/>
                    </w:rPr>
                    <w:t>“</w:t>
                  </w:r>
                  <w:r>
                    <w:rPr>
                      <w:rFonts w:hint="default"/>
                      <w:color w:val="auto"/>
                      <w:sz w:val="18"/>
                      <w:szCs w:val="18"/>
                      <w:highlight w:val="none"/>
                    </w:rPr>
                    <w:t>减风增浓</w:t>
                  </w:r>
                  <w:r>
                    <w:rPr>
                      <w:rFonts w:hint="eastAsia"/>
                      <w:color w:val="auto"/>
                      <w:sz w:val="18"/>
                      <w:szCs w:val="18"/>
                      <w:highlight w:val="none"/>
                      <w:lang w:eastAsia="zh-CN"/>
                    </w:rPr>
                    <w:t>”</w:t>
                  </w:r>
                  <w:r>
                    <w:rPr>
                      <w:rFonts w:hint="default"/>
                      <w:color w:val="auto"/>
                      <w:sz w:val="18"/>
                      <w:szCs w:val="18"/>
                      <w:highlight w:val="none"/>
                    </w:rPr>
                    <w:t>。对异味影响较大的污水处理系统实施加盖或密闭措施，使用合理的废气管网设计，密闭区域实现微负压，确保异味气体不外泄。</w:t>
                  </w:r>
                </w:p>
              </w:tc>
              <w:tc>
                <w:tcPr>
                  <w:tcW w:w="2741" w:type="dxa"/>
                  <w:noWrap w:val="0"/>
                  <w:vAlign w:val="center"/>
                </w:tcPr>
                <w:p w14:paraId="186A5CD5">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76" w:lineRule="auto"/>
                    <w:ind w:left="0" w:right="0"/>
                    <w:textAlignment w:val="auto"/>
                    <w:rPr>
                      <w:rFonts w:hint="default" w:ascii="Times New Roman" w:hAnsi="Times New Roman" w:eastAsia="宋体" w:cs="Times New Roman"/>
                      <w:color w:val="auto"/>
                      <w:kern w:val="0"/>
                      <w:sz w:val="18"/>
                      <w:szCs w:val="18"/>
                      <w:highlight w:val="none"/>
                      <w:lang w:val="en-US" w:eastAsia="zh-CN" w:bidi="ar-SA"/>
                    </w:rPr>
                  </w:pPr>
                  <w:r>
                    <w:rPr>
                      <w:rFonts w:hint="default"/>
                      <w:color w:val="auto"/>
                      <w:kern w:val="0"/>
                      <w:sz w:val="18"/>
                      <w:szCs w:val="18"/>
                      <w:highlight w:val="none"/>
                      <w:lang w:val="en-US" w:eastAsia="zh-CN"/>
                    </w:rPr>
                    <w:t>本项目</w:t>
                  </w:r>
                  <w:r>
                    <w:rPr>
                      <w:rFonts w:hint="eastAsia"/>
                      <w:color w:val="auto"/>
                      <w:kern w:val="0"/>
                      <w:sz w:val="18"/>
                      <w:szCs w:val="18"/>
                      <w:highlight w:val="none"/>
                      <w:lang w:val="en-US" w:eastAsia="zh-CN"/>
                    </w:rPr>
                    <w:t>饲养间、动物实验室、污水处理设施、危废暂存间等异味产生单元按相关要求进行封闭及换气、集气</w:t>
                  </w:r>
                  <w:r>
                    <w:rPr>
                      <w:rFonts w:hint="eastAsia"/>
                      <w:kern w:val="0"/>
                      <w:sz w:val="18"/>
                      <w:szCs w:val="18"/>
                      <w:highlight w:val="none"/>
                      <w:lang w:val="en-US" w:eastAsia="zh-CN"/>
                    </w:rPr>
                    <w:t>，</w:t>
                  </w:r>
                  <w:r>
                    <w:rPr>
                      <w:rFonts w:hint="default"/>
                      <w:color w:val="auto"/>
                      <w:sz w:val="18"/>
                      <w:szCs w:val="18"/>
                      <w:highlight w:val="none"/>
                    </w:rPr>
                    <w:t>确保废气收集风量最小化、处理效果最优化</w:t>
                  </w:r>
                  <w:r>
                    <w:rPr>
                      <w:rFonts w:hint="eastAsia"/>
                      <w:color w:val="auto"/>
                      <w:kern w:val="0"/>
                      <w:sz w:val="18"/>
                      <w:szCs w:val="18"/>
                      <w:highlight w:val="none"/>
                      <w:lang w:val="en-US" w:eastAsia="zh-CN"/>
                    </w:rPr>
                    <w:t>，</w:t>
                  </w:r>
                  <w:r>
                    <w:rPr>
                      <w:rFonts w:hint="default"/>
                      <w:b/>
                      <w:color w:val="auto"/>
                      <w:kern w:val="0"/>
                      <w:sz w:val="18"/>
                      <w:szCs w:val="18"/>
                      <w:highlight w:val="none"/>
                    </w:rPr>
                    <w:t>符合</w:t>
                  </w:r>
                </w:p>
              </w:tc>
            </w:tr>
            <w:tr w14:paraId="0BA6EA8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0" w:hRule="atLeast"/>
                <w:jc w:val="center"/>
              </w:trPr>
              <w:tc>
                <w:tcPr>
                  <w:tcW w:w="627" w:type="dxa"/>
                  <w:noWrap w:val="0"/>
                  <w:vAlign w:val="center"/>
                </w:tcPr>
                <w:p w14:paraId="7A623615">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76" w:lineRule="auto"/>
                    <w:ind w:left="0" w:right="0"/>
                    <w:jc w:val="center"/>
                    <w:textAlignment w:val="auto"/>
                    <w:rPr>
                      <w:rFonts w:hint="default" w:ascii="Times New Roman" w:hAnsi="Times New Roman" w:eastAsia="宋体" w:cs="Times New Roman"/>
                      <w:color w:val="auto"/>
                      <w:kern w:val="2"/>
                      <w:sz w:val="18"/>
                      <w:szCs w:val="18"/>
                      <w:highlight w:val="none"/>
                      <w:lang w:val="en-US" w:eastAsia="zh-CN" w:bidi="ar-SA"/>
                    </w:rPr>
                  </w:pPr>
                  <w:r>
                    <w:rPr>
                      <w:rFonts w:hint="default"/>
                      <w:color w:val="auto"/>
                      <w:sz w:val="18"/>
                      <w:szCs w:val="18"/>
                      <w:highlight w:val="none"/>
                    </w:rPr>
                    <w:t>末端高效治理</w:t>
                  </w:r>
                </w:p>
              </w:tc>
              <w:tc>
                <w:tcPr>
                  <w:tcW w:w="4554" w:type="dxa"/>
                  <w:noWrap w:val="0"/>
                  <w:vAlign w:val="center"/>
                </w:tcPr>
                <w:p w14:paraId="36A14EA2">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76" w:lineRule="auto"/>
                    <w:ind w:left="0" w:right="0"/>
                    <w:jc w:val="left"/>
                    <w:textAlignment w:val="auto"/>
                    <w:rPr>
                      <w:rFonts w:hint="default" w:ascii="Times New Roman" w:hAnsi="Times New Roman" w:eastAsia="宋体" w:cs="Times New Roman"/>
                      <w:color w:val="auto"/>
                      <w:kern w:val="2"/>
                      <w:sz w:val="18"/>
                      <w:szCs w:val="18"/>
                      <w:highlight w:val="none"/>
                      <w:lang w:val="en-US" w:eastAsia="zh-CN" w:bidi="ar-SA"/>
                    </w:rPr>
                  </w:pPr>
                  <w:r>
                    <w:rPr>
                      <w:rFonts w:hint="default"/>
                      <w:color w:val="auto"/>
                      <w:sz w:val="18"/>
                      <w:szCs w:val="18"/>
                      <w:highlight w:val="none"/>
                    </w:rPr>
                    <w:t>企业实现异味气体</w:t>
                  </w:r>
                  <w:r>
                    <w:rPr>
                      <w:rFonts w:hint="eastAsia"/>
                      <w:color w:val="auto"/>
                      <w:sz w:val="18"/>
                      <w:szCs w:val="18"/>
                      <w:highlight w:val="none"/>
                      <w:lang w:eastAsia="zh-CN"/>
                    </w:rPr>
                    <w:t>“</w:t>
                  </w:r>
                  <w:r>
                    <w:rPr>
                      <w:rFonts w:hint="default"/>
                      <w:color w:val="auto"/>
                      <w:sz w:val="18"/>
                      <w:szCs w:val="18"/>
                      <w:highlight w:val="none"/>
                    </w:rPr>
                    <w:t>分质分类</w:t>
                  </w:r>
                  <w:r>
                    <w:rPr>
                      <w:rFonts w:hint="eastAsia"/>
                      <w:color w:val="auto"/>
                      <w:sz w:val="18"/>
                      <w:szCs w:val="18"/>
                      <w:highlight w:val="none"/>
                      <w:lang w:eastAsia="zh-CN"/>
                    </w:rPr>
                    <w:t>”</w:t>
                  </w:r>
                  <w:r>
                    <w:rPr>
                      <w:rFonts w:hint="default"/>
                      <w:color w:val="auto"/>
                      <w:sz w:val="18"/>
                      <w:szCs w:val="18"/>
                      <w:highlight w:val="none"/>
                    </w:rPr>
                    <w:t>治理。氨、硫化氢、酸雾等无机废气采用吸收等工艺处理，水溶性有机废气采用氧化吸收、吸附等工艺处理，非水溶性有机废气采用冷凝、吸附、燃烧等工艺处理，实现废气末端治理水平进一步提升。</w:t>
                  </w:r>
                </w:p>
              </w:tc>
              <w:tc>
                <w:tcPr>
                  <w:tcW w:w="2741" w:type="dxa"/>
                  <w:noWrap w:val="0"/>
                  <w:vAlign w:val="center"/>
                </w:tcPr>
                <w:p w14:paraId="5A61AD9A">
                  <w:pPr>
                    <w:keepNext w:val="0"/>
                    <w:keepLines w:val="0"/>
                    <w:pageBreakBefore w:val="0"/>
                    <w:suppressLineNumbers w:val="0"/>
                    <w:kinsoku/>
                    <w:wordWrap/>
                    <w:overflowPunct/>
                    <w:topLinePunct w:val="0"/>
                    <w:autoSpaceDE/>
                    <w:autoSpaceDN/>
                    <w:bidi w:val="0"/>
                    <w:adjustRightInd w:val="0"/>
                    <w:snapToGrid w:val="0"/>
                    <w:spacing w:before="0" w:beforeAutospacing="0" w:after="0" w:afterAutospacing="0" w:line="276" w:lineRule="auto"/>
                    <w:ind w:left="0" w:right="0"/>
                    <w:textAlignment w:val="auto"/>
                    <w:rPr>
                      <w:rFonts w:hint="default" w:ascii="Times New Roman" w:hAnsi="Times New Roman" w:eastAsia="宋体" w:cs="Times New Roman"/>
                      <w:color w:val="auto"/>
                      <w:kern w:val="0"/>
                      <w:sz w:val="18"/>
                      <w:szCs w:val="18"/>
                      <w:highlight w:val="none"/>
                      <w:lang w:val="en-US" w:eastAsia="zh-CN" w:bidi="ar-SA"/>
                    </w:rPr>
                  </w:pPr>
                  <w:r>
                    <w:rPr>
                      <w:rFonts w:hint="eastAsia"/>
                      <w:kern w:val="0"/>
                      <w:sz w:val="18"/>
                      <w:szCs w:val="18"/>
                      <w:highlight w:val="none"/>
                      <w:lang w:val="en-US" w:eastAsia="zh-CN"/>
                    </w:rPr>
                    <w:t>实验动物中心</w:t>
                  </w:r>
                  <w:r>
                    <w:rPr>
                      <w:rFonts w:hint="eastAsia"/>
                      <w:kern w:val="0"/>
                      <w:sz w:val="18"/>
                      <w:szCs w:val="18"/>
                      <w:highlight w:val="none"/>
                    </w:rPr>
                    <w:t>收集的</w:t>
                  </w:r>
                  <w:r>
                    <w:rPr>
                      <w:rFonts w:hint="eastAsia"/>
                      <w:kern w:val="0"/>
                      <w:sz w:val="18"/>
                      <w:szCs w:val="18"/>
                      <w:highlight w:val="none"/>
                      <w:lang w:val="en-US" w:eastAsia="zh-CN"/>
                    </w:rPr>
                    <w:t>动物饲养异味采用喷淋除臭，消毒有机</w:t>
                  </w:r>
                  <w:r>
                    <w:rPr>
                      <w:rFonts w:hint="eastAsia"/>
                      <w:kern w:val="0"/>
                      <w:sz w:val="18"/>
                      <w:szCs w:val="18"/>
                      <w:highlight w:val="none"/>
                    </w:rPr>
                    <w:t>废气</w:t>
                  </w:r>
                  <w:r>
                    <w:rPr>
                      <w:rFonts w:hint="eastAsia"/>
                      <w:kern w:val="0"/>
                      <w:sz w:val="18"/>
                      <w:szCs w:val="18"/>
                      <w:highlight w:val="none"/>
                      <w:lang w:eastAsia="zh-CN"/>
                    </w:rPr>
                    <w:t>、</w:t>
                  </w:r>
                  <w:r>
                    <w:rPr>
                      <w:rFonts w:hint="eastAsia"/>
                      <w:kern w:val="0"/>
                      <w:sz w:val="18"/>
                      <w:szCs w:val="18"/>
                      <w:highlight w:val="none"/>
                      <w:lang w:val="en-US" w:eastAsia="zh-CN"/>
                    </w:rPr>
                    <w:t>解剖废气、危废暂存废气采用活性炭吸附</w:t>
                  </w:r>
                  <w:r>
                    <w:rPr>
                      <w:rFonts w:hint="eastAsia"/>
                      <w:snapToGrid w:val="0"/>
                      <w:color w:val="auto"/>
                      <w:sz w:val="18"/>
                      <w:szCs w:val="18"/>
                      <w:highlight w:val="none"/>
                      <w:lang w:eastAsia="zh-CN"/>
                    </w:rPr>
                    <w:t>，</w:t>
                  </w:r>
                  <w:r>
                    <w:rPr>
                      <w:rFonts w:hint="default" w:ascii="Times New Roman" w:hAnsi="Times New Roman" w:eastAsia="宋体" w:cs="Times New Roman"/>
                      <w:color w:val="auto"/>
                      <w:sz w:val="18"/>
                      <w:szCs w:val="18"/>
                      <w:highlight w:val="none"/>
                    </w:rPr>
                    <w:t>能确保废气达标排放</w:t>
                  </w:r>
                  <w:r>
                    <w:rPr>
                      <w:rFonts w:hint="default"/>
                      <w:color w:val="auto"/>
                      <w:kern w:val="0"/>
                      <w:sz w:val="18"/>
                      <w:szCs w:val="18"/>
                      <w:highlight w:val="none"/>
                    </w:rPr>
                    <w:t>。</w:t>
                  </w:r>
                  <w:r>
                    <w:rPr>
                      <w:rFonts w:hint="default"/>
                      <w:b/>
                      <w:color w:val="auto"/>
                      <w:kern w:val="0"/>
                      <w:sz w:val="18"/>
                      <w:szCs w:val="18"/>
                      <w:highlight w:val="none"/>
                    </w:rPr>
                    <w:t>符合</w:t>
                  </w:r>
                </w:p>
              </w:tc>
            </w:tr>
            <w:tr w14:paraId="0FF01EC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0" w:hRule="atLeast"/>
                <w:jc w:val="center"/>
              </w:trPr>
              <w:tc>
                <w:tcPr>
                  <w:tcW w:w="627" w:type="dxa"/>
                  <w:noWrap w:val="0"/>
                  <w:vAlign w:val="center"/>
                </w:tcPr>
                <w:p w14:paraId="7F573D7B">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76" w:lineRule="auto"/>
                    <w:ind w:left="0" w:right="0"/>
                    <w:jc w:val="center"/>
                    <w:textAlignment w:val="auto"/>
                    <w:rPr>
                      <w:rFonts w:hint="default" w:ascii="Times New Roman" w:hAnsi="Times New Roman" w:eastAsia="宋体" w:cs="Times New Roman"/>
                      <w:color w:val="auto"/>
                      <w:kern w:val="2"/>
                      <w:sz w:val="18"/>
                      <w:szCs w:val="18"/>
                      <w:highlight w:val="none"/>
                      <w:lang w:val="en-US" w:eastAsia="zh-CN" w:bidi="ar-SA"/>
                    </w:rPr>
                  </w:pPr>
                  <w:r>
                    <w:rPr>
                      <w:rFonts w:hint="default"/>
                      <w:color w:val="auto"/>
                      <w:sz w:val="18"/>
                      <w:szCs w:val="18"/>
                      <w:highlight w:val="none"/>
                    </w:rPr>
                    <w:t>治理设施运行管理</w:t>
                  </w:r>
                </w:p>
              </w:tc>
              <w:tc>
                <w:tcPr>
                  <w:tcW w:w="4554" w:type="dxa"/>
                  <w:noWrap w:val="0"/>
                  <w:vAlign w:val="center"/>
                </w:tcPr>
                <w:p w14:paraId="189462DE">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76" w:lineRule="auto"/>
                    <w:ind w:left="0" w:right="0"/>
                    <w:jc w:val="left"/>
                    <w:textAlignment w:val="auto"/>
                    <w:rPr>
                      <w:rFonts w:hint="default" w:ascii="Times New Roman" w:hAnsi="Times New Roman" w:eastAsia="宋体" w:cs="Times New Roman"/>
                      <w:color w:val="auto"/>
                      <w:kern w:val="2"/>
                      <w:sz w:val="18"/>
                      <w:szCs w:val="18"/>
                      <w:highlight w:val="none"/>
                      <w:lang w:val="en-US" w:eastAsia="zh-CN" w:bidi="ar-SA"/>
                    </w:rPr>
                  </w:pPr>
                  <w:r>
                    <w:rPr>
                      <w:rFonts w:hint="default"/>
                      <w:color w:val="auto"/>
                      <w:sz w:val="18"/>
                      <w:szCs w:val="18"/>
                      <w:highlight w:val="none"/>
                    </w:rPr>
                    <w:t>企业对废气治理设施进行有效的运行管理，定期检查设施工作状态，吸收类治理设施需定期更换循环液并添加药剂，吸附类治理设施需定期更换或再生吸附剂，燃烧类治理设施需设定有效的氧化温度和停留时间，确保设施运行效果。重点企业运用在线监测系统、视频监控等智慧化手段管理废气治理设施。</w:t>
                  </w:r>
                </w:p>
              </w:tc>
              <w:tc>
                <w:tcPr>
                  <w:tcW w:w="2741" w:type="dxa"/>
                  <w:noWrap w:val="0"/>
                  <w:vAlign w:val="center"/>
                </w:tcPr>
                <w:p w14:paraId="19F2EA55">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76" w:lineRule="auto"/>
                    <w:ind w:left="0" w:right="0"/>
                    <w:textAlignment w:val="auto"/>
                    <w:rPr>
                      <w:rFonts w:hint="default" w:ascii="Times New Roman" w:hAnsi="Times New Roman" w:eastAsia="宋体" w:cs="Times New Roman"/>
                      <w:color w:val="auto"/>
                      <w:kern w:val="0"/>
                      <w:sz w:val="18"/>
                      <w:szCs w:val="18"/>
                      <w:highlight w:val="none"/>
                      <w:lang w:val="en-US" w:eastAsia="zh-CN" w:bidi="ar-SA"/>
                    </w:rPr>
                  </w:pPr>
                  <w:r>
                    <w:rPr>
                      <w:rFonts w:hint="default"/>
                      <w:color w:val="auto"/>
                      <w:kern w:val="0"/>
                      <w:sz w:val="18"/>
                      <w:szCs w:val="18"/>
                      <w:highlight w:val="none"/>
                    </w:rPr>
                    <w:t>本项目</w:t>
                  </w:r>
                  <w:r>
                    <w:rPr>
                      <w:rFonts w:hint="eastAsia"/>
                      <w:color w:val="auto"/>
                      <w:kern w:val="0"/>
                      <w:sz w:val="18"/>
                      <w:szCs w:val="18"/>
                      <w:highlight w:val="none"/>
                      <w:lang w:val="en-US" w:eastAsia="zh-CN"/>
                    </w:rPr>
                    <w:t>喷淋液定期检查液位并添加药剂，</w:t>
                  </w:r>
                  <w:r>
                    <w:rPr>
                      <w:rFonts w:hint="default" w:ascii="Times New Roman" w:hAnsi="Times New Roman" w:eastAsia="宋体" w:cs="Times New Roman"/>
                      <w:color w:val="auto"/>
                      <w:kern w:val="0"/>
                      <w:sz w:val="18"/>
                      <w:szCs w:val="18"/>
                      <w:highlight w:val="none"/>
                      <w:lang w:val="en-US" w:eastAsia="zh-CN"/>
                    </w:rPr>
                    <w:t>喷淋废水每</w:t>
                  </w:r>
                  <w:r>
                    <w:rPr>
                      <w:rFonts w:hint="eastAsia" w:ascii="Times New Roman" w:hAnsi="Times New Roman" w:eastAsia="宋体" w:cs="Times New Roman"/>
                      <w:color w:val="auto"/>
                      <w:kern w:val="0"/>
                      <w:sz w:val="18"/>
                      <w:szCs w:val="18"/>
                      <w:highlight w:val="none"/>
                      <w:lang w:val="en-US" w:eastAsia="zh-CN"/>
                    </w:rPr>
                    <w:t>月</w:t>
                  </w:r>
                  <w:r>
                    <w:rPr>
                      <w:rFonts w:hint="default" w:ascii="Times New Roman" w:hAnsi="Times New Roman" w:eastAsia="宋体" w:cs="Times New Roman"/>
                      <w:color w:val="auto"/>
                      <w:kern w:val="0"/>
                      <w:sz w:val="18"/>
                      <w:szCs w:val="18"/>
                      <w:highlight w:val="none"/>
                      <w:lang w:val="en-US" w:eastAsia="zh-CN"/>
                    </w:rPr>
                    <w:t>更换一次、单次更换量</w:t>
                  </w:r>
                  <w:r>
                    <w:rPr>
                      <w:rFonts w:hint="eastAsia" w:cs="Times New Roman"/>
                      <w:color w:val="auto"/>
                      <w:kern w:val="0"/>
                      <w:sz w:val="18"/>
                      <w:szCs w:val="18"/>
                      <w:highlight w:val="none"/>
                      <w:lang w:val="en-US" w:eastAsia="zh-CN"/>
                    </w:rPr>
                    <w:t>5</w:t>
                  </w:r>
                  <w:r>
                    <w:rPr>
                      <w:rFonts w:hint="default" w:ascii="Times New Roman" w:hAnsi="Times New Roman" w:eastAsia="宋体" w:cs="Times New Roman"/>
                      <w:color w:val="auto"/>
                      <w:kern w:val="0"/>
                      <w:sz w:val="18"/>
                      <w:szCs w:val="18"/>
                      <w:highlight w:val="none"/>
                      <w:lang w:val="en-US" w:eastAsia="zh-CN"/>
                    </w:rPr>
                    <w:t>t</w:t>
                  </w:r>
                  <w:r>
                    <w:rPr>
                      <w:rFonts w:hint="eastAsia" w:ascii="Times New Roman" w:hAnsi="Times New Roman" w:eastAsia="宋体" w:cs="Times New Roman"/>
                      <w:color w:val="auto"/>
                      <w:kern w:val="0"/>
                      <w:sz w:val="18"/>
                      <w:szCs w:val="18"/>
                      <w:highlight w:val="none"/>
                      <w:lang w:val="en-US" w:eastAsia="zh-CN"/>
                    </w:rPr>
                    <w:t>；因项目有机废气初始浓度较低，活性炭吸附</w:t>
                  </w:r>
                  <w:r>
                    <w:rPr>
                      <w:rFonts w:hint="eastAsia"/>
                      <w:color w:val="auto"/>
                      <w:kern w:val="0"/>
                      <w:sz w:val="18"/>
                      <w:szCs w:val="18"/>
                      <w:highlight w:val="none"/>
                      <w:lang w:val="en-US" w:eastAsia="zh-CN"/>
                    </w:rPr>
                    <w:t>装置中活性炭半年更换1次，一次更换量为23t</w:t>
                  </w:r>
                  <w:r>
                    <w:rPr>
                      <w:rFonts w:hint="eastAsia" w:cs="Times New Roman"/>
                      <w:color w:val="auto"/>
                      <w:sz w:val="18"/>
                      <w:szCs w:val="18"/>
                      <w:highlight w:val="none"/>
                      <w:lang w:val="en-US" w:eastAsia="zh-CN"/>
                    </w:rPr>
                    <w:t>。</w:t>
                  </w:r>
                  <w:r>
                    <w:rPr>
                      <w:rFonts w:hint="default"/>
                      <w:b/>
                      <w:color w:val="auto"/>
                      <w:kern w:val="0"/>
                      <w:sz w:val="18"/>
                      <w:szCs w:val="18"/>
                      <w:highlight w:val="none"/>
                    </w:rPr>
                    <w:t>符合</w:t>
                  </w:r>
                </w:p>
              </w:tc>
            </w:tr>
            <w:tr w14:paraId="2F6B846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0" w:hRule="atLeast"/>
                <w:jc w:val="center"/>
              </w:trPr>
              <w:tc>
                <w:tcPr>
                  <w:tcW w:w="627" w:type="dxa"/>
                  <w:noWrap w:val="0"/>
                  <w:vAlign w:val="center"/>
                </w:tcPr>
                <w:p w14:paraId="0186F25C">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76" w:lineRule="auto"/>
                    <w:ind w:left="0" w:right="0"/>
                    <w:jc w:val="center"/>
                    <w:textAlignment w:val="auto"/>
                    <w:rPr>
                      <w:rFonts w:hint="default" w:ascii="Times New Roman" w:hAnsi="Times New Roman" w:eastAsia="宋体" w:cs="Times New Roman"/>
                      <w:color w:val="auto"/>
                      <w:kern w:val="2"/>
                      <w:sz w:val="18"/>
                      <w:szCs w:val="18"/>
                      <w:highlight w:val="none"/>
                      <w:lang w:val="en-US" w:eastAsia="zh-CN" w:bidi="ar-SA"/>
                    </w:rPr>
                  </w:pPr>
                  <w:r>
                    <w:rPr>
                      <w:rFonts w:hint="default"/>
                      <w:color w:val="auto"/>
                      <w:sz w:val="18"/>
                      <w:szCs w:val="18"/>
                      <w:highlight w:val="none"/>
                    </w:rPr>
                    <w:t>排气筒设置</w:t>
                  </w:r>
                </w:p>
              </w:tc>
              <w:tc>
                <w:tcPr>
                  <w:tcW w:w="4554" w:type="dxa"/>
                  <w:noWrap w:val="0"/>
                  <w:vAlign w:val="center"/>
                </w:tcPr>
                <w:p w14:paraId="71B0E60B">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76" w:lineRule="auto"/>
                    <w:ind w:left="0" w:right="0"/>
                    <w:jc w:val="left"/>
                    <w:textAlignment w:val="auto"/>
                    <w:rPr>
                      <w:rFonts w:hint="default" w:ascii="Times New Roman" w:hAnsi="Times New Roman" w:eastAsia="宋体" w:cs="Times New Roman"/>
                      <w:color w:val="auto"/>
                      <w:kern w:val="2"/>
                      <w:sz w:val="18"/>
                      <w:szCs w:val="18"/>
                      <w:highlight w:val="none"/>
                      <w:lang w:val="en-US" w:eastAsia="zh-CN" w:bidi="ar-SA"/>
                    </w:rPr>
                  </w:pPr>
                  <w:r>
                    <w:rPr>
                      <w:rFonts w:hint="default"/>
                      <w:color w:val="auto"/>
                      <w:sz w:val="18"/>
                      <w:szCs w:val="18"/>
                      <w:highlight w:val="none"/>
                    </w:rPr>
                    <w:t>企业合理设置异味气体排气筒的位置、高度等参数，降低异味对周边区域影响。</w:t>
                  </w:r>
                </w:p>
              </w:tc>
              <w:tc>
                <w:tcPr>
                  <w:tcW w:w="2741" w:type="dxa"/>
                  <w:noWrap w:val="0"/>
                  <w:vAlign w:val="center"/>
                </w:tcPr>
                <w:p w14:paraId="755A5FB6">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76" w:lineRule="auto"/>
                    <w:ind w:left="0" w:right="0"/>
                    <w:textAlignment w:val="auto"/>
                    <w:rPr>
                      <w:rFonts w:hint="default" w:ascii="Times New Roman" w:hAnsi="Times New Roman" w:eastAsia="宋体" w:cs="Times New Roman"/>
                      <w:color w:val="auto"/>
                      <w:kern w:val="0"/>
                      <w:sz w:val="18"/>
                      <w:szCs w:val="18"/>
                      <w:highlight w:val="none"/>
                      <w:lang w:val="en-US" w:eastAsia="zh-CN" w:bidi="ar-SA"/>
                    </w:rPr>
                  </w:pPr>
                  <w:r>
                    <w:rPr>
                      <w:rFonts w:hint="eastAsia"/>
                      <w:color w:val="auto"/>
                      <w:kern w:val="0"/>
                      <w:sz w:val="18"/>
                      <w:szCs w:val="18"/>
                      <w:highlight w:val="none"/>
                      <w:lang w:val="en-US" w:eastAsia="zh-CN"/>
                    </w:rPr>
                    <w:t>本项目将</w:t>
                  </w:r>
                  <w:r>
                    <w:rPr>
                      <w:rFonts w:hint="default"/>
                      <w:color w:val="auto"/>
                      <w:sz w:val="18"/>
                      <w:szCs w:val="18"/>
                      <w:highlight w:val="none"/>
                    </w:rPr>
                    <w:t>合理设置异味气体排气筒的位置、高度等参数</w:t>
                  </w:r>
                  <w:r>
                    <w:rPr>
                      <w:rFonts w:hint="eastAsia"/>
                      <w:color w:val="auto"/>
                      <w:kern w:val="0"/>
                      <w:sz w:val="18"/>
                      <w:szCs w:val="18"/>
                      <w:highlight w:val="none"/>
                      <w:lang w:eastAsia="zh-CN"/>
                    </w:rPr>
                    <w:t>。</w:t>
                  </w:r>
                  <w:r>
                    <w:rPr>
                      <w:rFonts w:hint="default"/>
                      <w:b/>
                      <w:color w:val="auto"/>
                      <w:kern w:val="0"/>
                      <w:sz w:val="18"/>
                      <w:szCs w:val="18"/>
                      <w:highlight w:val="none"/>
                    </w:rPr>
                    <w:t>符合</w:t>
                  </w:r>
                </w:p>
              </w:tc>
            </w:tr>
            <w:tr w14:paraId="59A1B7C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0" w:hRule="atLeast"/>
                <w:jc w:val="center"/>
              </w:trPr>
              <w:tc>
                <w:tcPr>
                  <w:tcW w:w="627" w:type="dxa"/>
                  <w:noWrap w:val="0"/>
                  <w:vAlign w:val="center"/>
                </w:tcPr>
                <w:p w14:paraId="5004F4FA">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76" w:lineRule="auto"/>
                    <w:ind w:left="0" w:right="0"/>
                    <w:jc w:val="center"/>
                    <w:textAlignment w:val="auto"/>
                    <w:rPr>
                      <w:rFonts w:hint="default" w:ascii="Times New Roman" w:hAnsi="Times New Roman" w:eastAsia="宋体" w:cs="Times New Roman"/>
                      <w:color w:val="auto"/>
                      <w:kern w:val="2"/>
                      <w:sz w:val="18"/>
                      <w:szCs w:val="18"/>
                      <w:highlight w:val="none"/>
                      <w:lang w:val="en-US" w:eastAsia="zh-CN" w:bidi="ar-SA"/>
                    </w:rPr>
                  </w:pPr>
                  <w:r>
                    <w:rPr>
                      <w:rFonts w:hint="default"/>
                      <w:color w:val="auto"/>
                      <w:sz w:val="18"/>
                      <w:szCs w:val="18"/>
                      <w:highlight w:val="none"/>
                    </w:rPr>
                    <w:t>异味管理措施</w:t>
                  </w:r>
                </w:p>
              </w:tc>
              <w:tc>
                <w:tcPr>
                  <w:tcW w:w="4554" w:type="dxa"/>
                  <w:noWrap w:val="0"/>
                  <w:vAlign w:val="center"/>
                </w:tcPr>
                <w:p w14:paraId="5A530BE3">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76" w:lineRule="auto"/>
                    <w:ind w:left="0" w:right="0"/>
                    <w:jc w:val="left"/>
                    <w:textAlignment w:val="auto"/>
                    <w:rPr>
                      <w:rFonts w:hint="default" w:ascii="Times New Roman" w:hAnsi="Times New Roman" w:eastAsia="宋体" w:cs="Times New Roman"/>
                      <w:color w:val="auto"/>
                      <w:kern w:val="2"/>
                      <w:sz w:val="18"/>
                      <w:szCs w:val="18"/>
                      <w:highlight w:val="none"/>
                      <w:lang w:val="en-US" w:eastAsia="zh-CN" w:bidi="ar-SA"/>
                    </w:rPr>
                  </w:pPr>
                  <w:r>
                    <w:rPr>
                      <w:rFonts w:hint="default"/>
                      <w:color w:val="auto"/>
                      <w:sz w:val="18"/>
                      <w:szCs w:val="18"/>
                      <w:highlight w:val="none"/>
                    </w:rPr>
                    <w:t>企业设置专业环保管理人员，并建立完善的环保管理制度，对产生异味的重点环节加强管理，按照HJ 944、HJ 861 的要求建立台账。</w:t>
                  </w:r>
                </w:p>
              </w:tc>
              <w:tc>
                <w:tcPr>
                  <w:tcW w:w="2741" w:type="dxa"/>
                  <w:noWrap w:val="0"/>
                  <w:vAlign w:val="center"/>
                </w:tcPr>
                <w:p w14:paraId="2D7E99C8">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76" w:lineRule="auto"/>
                    <w:ind w:left="0" w:right="0"/>
                    <w:textAlignment w:val="auto"/>
                    <w:rPr>
                      <w:rFonts w:hint="default" w:ascii="Times New Roman" w:hAnsi="Times New Roman" w:eastAsia="宋体" w:cs="Times New Roman"/>
                      <w:color w:val="auto"/>
                      <w:kern w:val="0"/>
                      <w:sz w:val="18"/>
                      <w:szCs w:val="18"/>
                      <w:highlight w:val="none"/>
                      <w:lang w:val="en-US" w:eastAsia="zh-CN" w:bidi="ar-SA"/>
                    </w:rPr>
                  </w:pPr>
                  <w:r>
                    <w:rPr>
                      <w:rFonts w:hint="default"/>
                      <w:color w:val="auto"/>
                      <w:kern w:val="0"/>
                      <w:sz w:val="18"/>
                      <w:szCs w:val="18"/>
                      <w:highlight w:val="none"/>
                    </w:rPr>
                    <w:t>本项目</w:t>
                  </w:r>
                  <w:r>
                    <w:rPr>
                      <w:rFonts w:hint="default"/>
                      <w:color w:val="auto"/>
                      <w:kern w:val="0"/>
                      <w:sz w:val="18"/>
                      <w:szCs w:val="18"/>
                      <w:highlight w:val="none"/>
                      <w:lang w:val="en-US" w:eastAsia="zh-CN"/>
                    </w:rPr>
                    <w:t>将设置专业环保管理人员，建立完善的环保管理制度，对产生异味的重点环节加强管理，按照HJ 944、HJ861的要求建立台账</w:t>
                  </w:r>
                  <w:r>
                    <w:rPr>
                      <w:rFonts w:hint="default"/>
                      <w:color w:val="auto"/>
                      <w:kern w:val="0"/>
                      <w:sz w:val="18"/>
                      <w:szCs w:val="18"/>
                      <w:highlight w:val="none"/>
                    </w:rPr>
                    <w:t>。</w:t>
                  </w:r>
                  <w:r>
                    <w:rPr>
                      <w:rFonts w:hint="default"/>
                      <w:b/>
                      <w:color w:val="auto"/>
                      <w:kern w:val="0"/>
                      <w:sz w:val="18"/>
                      <w:szCs w:val="18"/>
                      <w:highlight w:val="none"/>
                    </w:rPr>
                    <w:t>符合</w:t>
                  </w:r>
                </w:p>
              </w:tc>
            </w:tr>
          </w:tbl>
          <w:p w14:paraId="3E815C20">
            <w:pPr>
              <w:pStyle w:val="24"/>
              <w:keepNext w:val="0"/>
              <w:keepLines w:val="0"/>
              <w:suppressLineNumbers w:val="0"/>
              <w:adjustRightInd w:val="0"/>
              <w:snapToGrid w:val="0"/>
              <w:spacing w:before="0" w:beforeAutospacing="0" w:after="0" w:afterAutospacing="0"/>
              <w:ind w:left="0" w:leftChars="0" w:right="0"/>
              <w:rPr>
                <w:rFonts w:hint="default" w:eastAsia="宋体"/>
                <w:b/>
                <w:snapToGrid w:val="0"/>
                <w:kern w:val="0"/>
                <w:sz w:val="24"/>
                <w:szCs w:val="24"/>
                <w:highlight w:val="none"/>
                <w:lang w:val="en-US" w:eastAsia="zh-CN"/>
              </w:rPr>
            </w:pPr>
            <w:r>
              <w:rPr>
                <w:rFonts w:hint="eastAsia"/>
                <w:b/>
                <w:snapToGrid w:val="0"/>
                <w:kern w:val="0"/>
                <w:sz w:val="24"/>
                <w:szCs w:val="24"/>
                <w:highlight w:val="none"/>
                <w:lang w:val="en-US" w:eastAsia="zh-CN"/>
              </w:rPr>
              <w:t>11</w:t>
            </w:r>
            <w:r>
              <w:rPr>
                <w:rFonts w:hint="eastAsia"/>
                <w:b/>
                <w:snapToGrid w:val="0"/>
                <w:kern w:val="0"/>
                <w:sz w:val="24"/>
                <w:szCs w:val="24"/>
                <w:highlight w:val="none"/>
                <w:lang w:val="en-US"/>
              </w:rPr>
              <w:t>、</w:t>
            </w:r>
            <w:r>
              <w:rPr>
                <w:rFonts w:hint="eastAsia"/>
                <w:b/>
                <w:snapToGrid w:val="0"/>
                <w:kern w:val="0"/>
                <w:sz w:val="24"/>
                <w:szCs w:val="24"/>
                <w:highlight w:val="none"/>
                <w:lang w:val="en-US" w:eastAsia="zh-CN"/>
              </w:rPr>
              <w:t>《浙江省实验动物管理办法》符合性分析</w:t>
            </w:r>
          </w:p>
          <w:p w14:paraId="36D25836">
            <w:pPr>
              <w:keepNext w:val="0"/>
              <w:keepLines w:val="0"/>
              <w:suppressLineNumbers w:val="0"/>
              <w:autoSpaceDE w:val="0"/>
              <w:autoSpaceDN w:val="0"/>
              <w:adjustRightInd w:val="0"/>
              <w:snapToGrid w:val="0"/>
              <w:spacing w:before="0" w:beforeAutospacing="0" w:after="0" w:afterAutospacing="0" w:line="360" w:lineRule="auto"/>
              <w:ind w:left="0" w:right="0" w:firstLine="480" w:firstLineChars="200"/>
              <w:rPr>
                <w:rFonts w:hint="default"/>
                <w:highlight w:val="none"/>
                <w:lang w:val="en-US"/>
              </w:rPr>
            </w:pPr>
            <w:r>
              <w:rPr>
                <w:rFonts w:hint="eastAsia"/>
                <w:b w:val="0"/>
                <w:bCs w:val="0"/>
                <w:snapToGrid w:val="0"/>
                <w:sz w:val="24"/>
                <w:szCs w:val="24"/>
                <w:highlight w:val="none"/>
                <w:lang w:val="en-US" w:eastAsia="zh-CN"/>
              </w:rPr>
              <w:t>根据2017年9月22日浙江省人民政府令第357号修订的《浙江省实验动物管理办法》，实验动物是指经人工饲养、繁育，对其携带的微生物及寄生虫实行控制，遗传背景明确或者来源清楚，用于科学研究、教学、生产、检定和其他科学实验的动物。因此，项目饲养动物属于实验动物，主管部门属于省科技部门。</w:t>
            </w:r>
          </w:p>
          <w:p w14:paraId="563F566C">
            <w:pPr>
              <w:keepNext w:val="0"/>
              <w:keepLines w:val="0"/>
              <w:suppressLineNumbers w:val="0"/>
              <w:autoSpaceDE w:val="0"/>
              <w:autoSpaceDN w:val="0"/>
              <w:adjustRightInd w:val="0"/>
              <w:snapToGrid w:val="0"/>
              <w:spacing w:before="0" w:beforeAutospacing="0" w:after="0" w:afterAutospacing="0" w:line="360" w:lineRule="auto"/>
              <w:ind w:left="0" w:right="0" w:firstLine="480" w:firstLineChars="200"/>
              <w:rPr>
                <w:rFonts w:hint="default" w:eastAsia="宋体"/>
                <w:highlight w:val="none"/>
                <w:lang w:val="en-US" w:eastAsia="zh-CN"/>
              </w:rPr>
            </w:pPr>
            <w:r>
              <w:rPr>
                <w:rFonts w:hint="eastAsia"/>
                <w:highlight w:val="none"/>
                <w:lang w:val="en-US" w:eastAsia="zh-CN"/>
              </w:rPr>
              <w:t>根据该管理办法，项目在从事实验动物前应当取得实验动物使用许可证；应当根据不同的实验目的，使用符合相应等级标准的实验动物、实验设施设备及饲料、笼具等相关产品；使用的实验动物应当来源于具有实验动物生产许可证的单位和个人，并附有质量合格证明；应当按照国家有关规定和实验动物的特殊要求，做好实验动物疫病预防工作；一旦发现实验动物染疫、疑似染疫或者染有人畜共患疾病的，应当按照动物防疫法律、法规的规定，立即向当地兽医主管部门、动物卫生监督机构、卫生行政主管部门和科技部门报告，并采取隔离等控制措施，防止疫情扩散；发生重大实验动物疫情的，应当按照国家和省有关规定，立即启动相应的应急预案；应当按照国家有关生物安全管理的规定，建立健全安全管理制度，采取有效措施，预防和控制实验室感染，防止可能危及人体健康、公共卫生安全和生态安全的实验动物流失及病原体泄漏；病原体感染、化学染毒动物实验，应当在符合安全标准的实验设施和设备内进行，并按照生物安全等级和其他有关规定进行分类管理；实验动物尸体及废弃物等应当经无害化处理，防止污染环境；不得将使用后的实验动物流入消费市场；应当善待实验动物，维护动物福利，不得戏弄、虐待实验动物；按照科学、合理、人道的要求，尽量减少实验动物使用量，减轻被处置动物的痛苦；鼓励开展动物实验替代方法的研究与使用；动物实验涉及具体伦理问题的，应当按照国家有关规定执行。</w:t>
            </w:r>
          </w:p>
          <w:p w14:paraId="203C7E37">
            <w:pPr>
              <w:keepNext w:val="0"/>
              <w:keepLines w:val="0"/>
              <w:suppressLineNumbers w:val="0"/>
              <w:autoSpaceDE w:val="0"/>
              <w:autoSpaceDN w:val="0"/>
              <w:adjustRightInd w:val="0"/>
              <w:snapToGrid w:val="0"/>
              <w:spacing w:before="0" w:beforeAutospacing="0" w:after="0" w:afterAutospacing="0" w:line="360" w:lineRule="auto"/>
              <w:ind w:left="0" w:right="0" w:firstLine="480" w:firstLineChars="200"/>
              <w:rPr>
                <w:rFonts w:hint="default" w:eastAsia="宋体"/>
                <w:highlight w:val="none"/>
                <w:lang w:val="en-US" w:eastAsia="zh-CN"/>
              </w:rPr>
            </w:pPr>
            <w:r>
              <w:rPr>
                <w:rFonts w:hint="eastAsia"/>
                <w:highlight w:val="none"/>
                <w:lang w:val="en-US" w:eastAsia="zh-CN"/>
              </w:rPr>
              <w:t>在落实上述措施的基础上，项目建设符合《浙江省实验动物管理办法》。</w:t>
            </w:r>
          </w:p>
          <w:p w14:paraId="488DB803">
            <w:pPr>
              <w:pStyle w:val="24"/>
              <w:keepNext w:val="0"/>
              <w:keepLines w:val="0"/>
              <w:suppressLineNumbers w:val="0"/>
              <w:adjustRightInd w:val="0"/>
              <w:snapToGrid w:val="0"/>
              <w:spacing w:before="0" w:beforeAutospacing="0" w:after="0" w:afterAutospacing="0"/>
              <w:ind w:left="0" w:leftChars="0" w:right="0"/>
              <w:rPr>
                <w:rFonts w:hint="default"/>
                <w:b/>
                <w:snapToGrid w:val="0"/>
                <w:kern w:val="0"/>
                <w:sz w:val="24"/>
                <w:szCs w:val="24"/>
                <w:highlight w:val="none"/>
                <w:lang w:val="en-US"/>
              </w:rPr>
            </w:pPr>
            <w:r>
              <w:rPr>
                <w:rFonts w:hint="eastAsia"/>
                <w:b/>
                <w:snapToGrid w:val="0"/>
                <w:kern w:val="0"/>
                <w:sz w:val="24"/>
                <w:szCs w:val="24"/>
                <w:highlight w:val="none"/>
                <w:lang w:val="en-US" w:eastAsia="zh-CN"/>
              </w:rPr>
              <w:t>12、</w:t>
            </w:r>
            <w:r>
              <w:rPr>
                <w:rFonts w:hint="eastAsia"/>
                <w:b/>
                <w:snapToGrid w:val="0"/>
                <w:kern w:val="0"/>
                <w:sz w:val="24"/>
                <w:szCs w:val="24"/>
                <w:highlight w:val="none"/>
                <w:lang w:val="en-US"/>
              </w:rPr>
              <w:t>《建设项目环境保护管理条例》“四性五不批”符合性分析</w:t>
            </w:r>
          </w:p>
          <w:p w14:paraId="7EDF2506">
            <w:pPr>
              <w:keepNext w:val="0"/>
              <w:keepLines w:val="0"/>
              <w:suppressLineNumbers w:val="0"/>
              <w:autoSpaceDE w:val="0"/>
              <w:autoSpaceDN w:val="0"/>
              <w:adjustRightInd w:val="0"/>
              <w:snapToGrid w:val="0"/>
              <w:spacing w:before="0" w:beforeAutospacing="0" w:after="0" w:afterAutospacing="0" w:line="360" w:lineRule="auto"/>
              <w:ind w:left="0" w:right="0" w:firstLine="480" w:firstLineChars="200"/>
              <w:rPr>
                <w:rFonts w:hint="default"/>
                <w:highlight w:val="none"/>
              </w:rPr>
            </w:pPr>
            <w:r>
              <w:rPr>
                <w:rFonts w:hint="eastAsia"/>
                <w:highlight w:val="none"/>
              </w:rPr>
              <w:t>根据《建设项目环境保护管理条例》（</w:t>
            </w:r>
            <w:r>
              <w:rPr>
                <w:rFonts w:hint="default"/>
                <w:highlight w:val="none"/>
              </w:rPr>
              <w:t>2017</w:t>
            </w:r>
            <w:r>
              <w:rPr>
                <w:rFonts w:hint="eastAsia"/>
                <w:highlight w:val="none"/>
              </w:rPr>
              <w:t>年修订版），《建设项目环境保护管理条例》</w:t>
            </w:r>
            <w:r>
              <w:rPr>
                <w:rFonts w:hint="eastAsia" w:ascii="宋体" w:hAnsi="宋体" w:cs="宋体"/>
                <w:highlight w:val="none"/>
              </w:rPr>
              <w:t>“四性五不批”符</w:t>
            </w:r>
            <w:r>
              <w:rPr>
                <w:rFonts w:hint="eastAsia"/>
                <w:highlight w:val="none"/>
              </w:rPr>
              <w:t>合性分析详见表</w:t>
            </w:r>
            <w:r>
              <w:rPr>
                <w:rFonts w:hint="default"/>
                <w:highlight w:val="none"/>
              </w:rPr>
              <w:t>1-</w:t>
            </w:r>
            <w:r>
              <w:rPr>
                <w:rFonts w:hint="eastAsia"/>
                <w:highlight w:val="none"/>
                <w:lang w:val="en-US" w:eastAsia="zh-CN"/>
              </w:rPr>
              <w:t>11</w:t>
            </w:r>
            <w:r>
              <w:rPr>
                <w:rFonts w:hint="eastAsia"/>
                <w:highlight w:val="none"/>
              </w:rPr>
              <w:t>。</w:t>
            </w:r>
          </w:p>
          <w:p w14:paraId="035DAF28">
            <w:pPr>
              <w:pStyle w:val="59"/>
              <w:keepNext w:val="0"/>
              <w:keepLines w:val="0"/>
              <w:suppressLineNumbers w:val="0"/>
              <w:spacing w:before="0" w:beforeAutospacing="0" w:after="0" w:afterAutospacing="0" w:line="360" w:lineRule="auto"/>
              <w:ind w:left="0" w:right="0" w:firstLine="0" w:firstLineChars="0"/>
              <w:jc w:val="center"/>
              <w:rPr>
                <w:rFonts w:hint="default" w:eastAsia="宋体"/>
                <w:b/>
                <w:bCs/>
                <w:highlight w:val="none"/>
              </w:rPr>
            </w:pPr>
            <w:r>
              <w:rPr>
                <w:rFonts w:hint="eastAsia" w:eastAsia="宋体"/>
                <w:b/>
                <w:bCs/>
                <w:highlight w:val="none"/>
              </w:rPr>
              <w:t>表</w:t>
            </w:r>
            <w:r>
              <w:rPr>
                <w:rFonts w:hint="default" w:eastAsia="宋体"/>
                <w:b/>
                <w:bCs/>
                <w:highlight w:val="none"/>
              </w:rPr>
              <w:t>1-</w:t>
            </w:r>
            <w:r>
              <w:rPr>
                <w:rFonts w:hint="eastAsia" w:eastAsia="宋体"/>
                <w:b/>
                <w:bCs/>
                <w:highlight w:val="none"/>
                <w:lang w:val="en-US" w:eastAsia="zh-CN"/>
              </w:rPr>
              <w:t>11</w:t>
            </w:r>
            <w:r>
              <w:rPr>
                <w:rFonts w:hint="default" w:eastAsia="宋体"/>
                <w:b/>
                <w:bCs/>
                <w:highlight w:val="none"/>
              </w:rPr>
              <w:t xml:space="preserve">  </w:t>
            </w:r>
            <w:r>
              <w:rPr>
                <w:rFonts w:hint="eastAsia" w:ascii="宋体" w:hAnsi="宋体" w:eastAsia="宋体" w:cs="宋体"/>
                <w:b/>
                <w:bCs/>
                <w:highlight w:val="none"/>
              </w:rPr>
              <w:t>“四性五不批”符</w:t>
            </w:r>
            <w:r>
              <w:rPr>
                <w:rFonts w:hint="eastAsia" w:eastAsia="宋体"/>
                <w:b/>
                <w:bCs/>
                <w:highlight w:val="none"/>
              </w:rPr>
              <w:t>合性分析</w:t>
            </w:r>
          </w:p>
          <w:tbl>
            <w:tblPr>
              <w:tblStyle w:val="32"/>
              <w:tblW w:w="8180"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28" w:type="dxa"/>
                <w:bottom w:w="0" w:type="dxa"/>
                <w:right w:w="28" w:type="dxa"/>
              </w:tblCellMar>
            </w:tblPr>
            <w:tblGrid>
              <w:gridCol w:w="517"/>
              <w:gridCol w:w="2770"/>
              <w:gridCol w:w="4229"/>
              <w:gridCol w:w="664"/>
            </w:tblGrid>
            <w:tr w14:paraId="7671A57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310" w:hRule="atLeast"/>
                <w:jc w:val="center"/>
              </w:trPr>
              <w:tc>
                <w:tcPr>
                  <w:tcW w:w="517" w:type="dxa"/>
                  <w:tcBorders>
                    <w:top w:val="single" w:color="auto" w:sz="4" w:space="0"/>
                    <w:left w:val="single" w:color="auto" w:sz="4" w:space="0"/>
                    <w:bottom w:val="single" w:color="auto" w:sz="4" w:space="0"/>
                    <w:right w:val="single" w:color="auto" w:sz="4" w:space="0"/>
                  </w:tcBorders>
                  <w:vAlign w:val="center"/>
                </w:tcPr>
                <w:p w14:paraId="64488073">
                  <w:pPr>
                    <w:keepNext w:val="0"/>
                    <w:keepLines w:val="0"/>
                    <w:suppressLineNumbers w:val="0"/>
                    <w:adjustRightInd w:val="0"/>
                    <w:snapToGrid w:val="0"/>
                    <w:spacing w:before="0" w:beforeAutospacing="0" w:after="0" w:afterAutospacing="0" w:line="264" w:lineRule="auto"/>
                    <w:ind w:left="0" w:right="0"/>
                    <w:jc w:val="center"/>
                    <w:rPr>
                      <w:rFonts w:hint="default" w:ascii="宋体" w:cs="宋体"/>
                      <w:sz w:val="18"/>
                      <w:szCs w:val="18"/>
                      <w:highlight w:val="none"/>
                    </w:rPr>
                  </w:pPr>
                  <w:r>
                    <w:rPr>
                      <w:rFonts w:hint="eastAsia" w:ascii="宋体" w:hAnsi="宋体" w:cs="宋体"/>
                      <w:sz w:val="18"/>
                      <w:szCs w:val="18"/>
                      <w:highlight w:val="none"/>
                    </w:rPr>
                    <w:t>序号</w:t>
                  </w:r>
                </w:p>
              </w:tc>
              <w:tc>
                <w:tcPr>
                  <w:tcW w:w="2770" w:type="dxa"/>
                  <w:tcBorders>
                    <w:top w:val="single" w:color="auto" w:sz="4" w:space="0"/>
                    <w:left w:val="single" w:color="auto" w:sz="4" w:space="0"/>
                    <w:bottom w:val="single" w:color="auto" w:sz="4" w:space="0"/>
                    <w:right w:val="single" w:color="auto" w:sz="4" w:space="0"/>
                  </w:tcBorders>
                  <w:vAlign w:val="center"/>
                </w:tcPr>
                <w:p w14:paraId="2FAE2FF9">
                  <w:pPr>
                    <w:keepNext w:val="0"/>
                    <w:keepLines w:val="0"/>
                    <w:suppressLineNumbers w:val="0"/>
                    <w:adjustRightInd w:val="0"/>
                    <w:snapToGrid w:val="0"/>
                    <w:spacing w:before="0" w:beforeAutospacing="0" w:after="0" w:afterAutospacing="0" w:line="264" w:lineRule="auto"/>
                    <w:ind w:left="0" w:right="0"/>
                    <w:jc w:val="center"/>
                    <w:rPr>
                      <w:rFonts w:hint="default" w:ascii="宋体" w:cs="宋体"/>
                      <w:sz w:val="18"/>
                      <w:szCs w:val="18"/>
                      <w:highlight w:val="none"/>
                    </w:rPr>
                  </w:pPr>
                  <w:r>
                    <w:rPr>
                      <w:rFonts w:hint="eastAsia"/>
                      <w:bCs/>
                      <w:kern w:val="0"/>
                      <w:sz w:val="18"/>
                      <w:szCs w:val="18"/>
                      <w:highlight w:val="none"/>
                      <w:lang w:eastAsia="zh-CN"/>
                    </w:rPr>
                    <w:t>“</w:t>
                  </w:r>
                  <w:r>
                    <w:rPr>
                      <w:rFonts w:hint="eastAsia"/>
                      <w:bCs/>
                      <w:kern w:val="0"/>
                      <w:sz w:val="18"/>
                      <w:szCs w:val="18"/>
                      <w:highlight w:val="none"/>
                    </w:rPr>
                    <w:t>四性五不批</w:t>
                  </w:r>
                  <w:r>
                    <w:rPr>
                      <w:rFonts w:hint="eastAsia"/>
                      <w:bCs/>
                      <w:kern w:val="0"/>
                      <w:sz w:val="18"/>
                      <w:szCs w:val="18"/>
                      <w:highlight w:val="none"/>
                      <w:lang w:eastAsia="zh-CN"/>
                    </w:rPr>
                    <w:t>”</w:t>
                  </w:r>
                  <w:r>
                    <w:rPr>
                      <w:rFonts w:hint="eastAsia"/>
                      <w:bCs/>
                      <w:kern w:val="0"/>
                      <w:sz w:val="18"/>
                      <w:szCs w:val="18"/>
                      <w:highlight w:val="none"/>
                    </w:rPr>
                    <w:t>内容</w:t>
                  </w:r>
                </w:p>
              </w:tc>
              <w:tc>
                <w:tcPr>
                  <w:tcW w:w="4229" w:type="dxa"/>
                  <w:tcBorders>
                    <w:top w:val="single" w:color="auto" w:sz="4" w:space="0"/>
                    <w:left w:val="single" w:color="auto" w:sz="4" w:space="0"/>
                    <w:bottom w:val="single" w:color="auto" w:sz="4" w:space="0"/>
                    <w:right w:val="single" w:color="auto" w:sz="4" w:space="0"/>
                  </w:tcBorders>
                  <w:vAlign w:val="center"/>
                </w:tcPr>
                <w:p w14:paraId="0BF95774">
                  <w:pPr>
                    <w:keepNext w:val="0"/>
                    <w:keepLines w:val="0"/>
                    <w:suppressLineNumbers w:val="0"/>
                    <w:adjustRightInd w:val="0"/>
                    <w:snapToGrid w:val="0"/>
                    <w:spacing w:before="0" w:beforeAutospacing="0" w:after="0" w:afterAutospacing="0" w:line="264" w:lineRule="auto"/>
                    <w:ind w:left="0" w:right="0"/>
                    <w:jc w:val="center"/>
                    <w:rPr>
                      <w:rFonts w:hint="default" w:ascii="宋体" w:cs="宋体"/>
                      <w:sz w:val="18"/>
                      <w:szCs w:val="18"/>
                      <w:highlight w:val="none"/>
                    </w:rPr>
                  </w:pPr>
                  <w:r>
                    <w:rPr>
                      <w:rFonts w:hint="eastAsia" w:ascii="宋体" w:hAnsi="宋体" w:cs="宋体"/>
                      <w:sz w:val="18"/>
                      <w:szCs w:val="18"/>
                      <w:highlight w:val="none"/>
                    </w:rPr>
                    <w:t>项目符合性分析</w:t>
                  </w:r>
                </w:p>
              </w:tc>
              <w:tc>
                <w:tcPr>
                  <w:tcW w:w="664" w:type="dxa"/>
                  <w:tcBorders>
                    <w:top w:val="single" w:color="auto" w:sz="4" w:space="0"/>
                    <w:left w:val="single" w:color="auto" w:sz="4" w:space="0"/>
                    <w:bottom w:val="single" w:color="auto" w:sz="4" w:space="0"/>
                    <w:right w:val="single" w:color="auto" w:sz="4" w:space="0"/>
                  </w:tcBorders>
                  <w:vAlign w:val="center"/>
                </w:tcPr>
                <w:p w14:paraId="5BB6CD0D">
                  <w:pPr>
                    <w:keepNext w:val="0"/>
                    <w:keepLines w:val="0"/>
                    <w:suppressLineNumbers w:val="0"/>
                    <w:adjustRightInd w:val="0"/>
                    <w:snapToGrid w:val="0"/>
                    <w:spacing w:before="0" w:beforeAutospacing="0" w:after="0" w:afterAutospacing="0" w:line="264" w:lineRule="auto"/>
                    <w:ind w:left="0" w:right="0"/>
                    <w:jc w:val="center"/>
                    <w:rPr>
                      <w:rFonts w:hint="default" w:ascii="宋体" w:cs="宋体"/>
                      <w:sz w:val="18"/>
                      <w:szCs w:val="18"/>
                      <w:highlight w:val="none"/>
                    </w:rPr>
                  </w:pPr>
                  <w:r>
                    <w:rPr>
                      <w:rFonts w:hint="eastAsia" w:ascii="宋体" w:hAnsi="宋体" w:cs="宋体"/>
                      <w:sz w:val="18"/>
                      <w:szCs w:val="18"/>
                      <w:highlight w:val="none"/>
                    </w:rPr>
                    <w:t>符合性</w:t>
                  </w:r>
                </w:p>
              </w:tc>
            </w:tr>
            <w:tr w14:paraId="3410A3C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797" w:hRule="atLeast"/>
                <w:jc w:val="center"/>
              </w:trPr>
              <w:tc>
                <w:tcPr>
                  <w:tcW w:w="517" w:type="dxa"/>
                  <w:vMerge w:val="restart"/>
                  <w:tcBorders>
                    <w:top w:val="single" w:color="auto" w:sz="4" w:space="0"/>
                    <w:left w:val="single" w:color="auto" w:sz="4" w:space="0"/>
                    <w:bottom w:val="single" w:color="auto" w:sz="4" w:space="0"/>
                    <w:right w:val="single" w:color="auto" w:sz="4" w:space="0"/>
                  </w:tcBorders>
                  <w:vAlign w:val="center"/>
                </w:tcPr>
                <w:p w14:paraId="2CB6D0C4">
                  <w:pPr>
                    <w:keepNext w:val="0"/>
                    <w:keepLines w:val="0"/>
                    <w:suppressLineNumbers w:val="0"/>
                    <w:adjustRightInd w:val="0"/>
                    <w:snapToGrid w:val="0"/>
                    <w:spacing w:before="0" w:beforeAutospacing="0" w:after="0" w:afterAutospacing="0" w:line="264" w:lineRule="auto"/>
                    <w:ind w:left="0" w:right="0"/>
                    <w:jc w:val="center"/>
                    <w:rPr>
                      <w:rFonts w:hint="default"/>
                      <w:sz w:val="18"/>
                      <w:szCs w:val="18"/>
                      <w:highlight w:val="none"/>
                    </w:rPr>
                  </w:pPr>
                  <w:r>
                    <w:rPr>
                      <w:rFonts w:hint="eastAsia"/>
                      <w:kern w:val="0"/>
                      <w:sz w:val="18"/>
                      <w:szCs w:val="18"/>
                      <w:highlight w:val="none"/>
                    </w:rPr>
                    <w:t>四性</w:t>
                  </w:r>
                </w:p>
              </w:tc>
              <w:tc>
                <w:tcPr>
                  <w:tcW w:w="2770" w:type="dxa"/>
                  <w:tcBorders>
                    <w:top w:val="single" w:color="auto" w:sz="4" w:space="0"/>
                    <w:left w:val="single" w:color="auto" w:sz="4" w:space="0"/>
                    <w:bottom w:val="single" w:color="auto" w:sz="4" w:space="0"/>
                    <w:right w:val="single" w:color="auto" w:sz="4" w:space="0"/>
                  </w:tcBorders>
                  <w:vAlign w:val="center"/>
                </w:tcPr>
                <w:p w14:paraId="35B00FCF">
                  <w:pPr>
                    <w:keepNext w:val="0"/>
                    <w:keepLines w:val="0"/>
                    <w:widowControl/>
                    <w:suppressLineNumbers w:val="0"/>
                    <w:adjustRightInd w:val="0"/>
                    <w:snapToGrid w:val="0"/>
                    <w:spacing w:before="0" w:beforeAutospacing="0" w:after="0" w:afterAutospacing="0" w:line="264" w:lineRule="auto"/>
                    <w:ind w:left="0" w:right="0"/>
                    <w:rPr>
                      <w:rFonts w:hint="default" w:ascii="宋体" w:cs="宋体"/>
                      <w:sz w:val="18"/>
                      <w:szCs w:val="18"/>
                      <w:highlight w:val="none"/>
                    </w:rPr>
                  </w:pPr>
                  <w:r>
                    <w:rPr>
                      <w:rFonts w:hint="eastAsia" w:ascii="宋体" w:hAnsi="宋体" w:cs="宋体"/>
                      <w:kern w:val="0"/>
                      <w:sz w:val="18"/>
                      <w:szCs w:val="18"/>
                      <w:highlight w:val="none"/>
                    </w:rPr>
                    <w:t>建设项目的环境可行性</w:t>
                  </w:r>
                </w:p>
              </w:tc>
              <w:tc>
                <w:tcPr>
                  <w:tcW w:w="4229" w:type="dxa"/>
                  <w:tcBorders>
                    <w:top w:val="single" w:color="auto" w:sz="4" w:space="0"/>
                    <w:left w:val="single" w:color="auto" w:sz="4" w:space="0"/>
                    <w:bottom w:val="single" w:color="auto" w:sz="4" w:space="0"/>
                    <w:right w:val="single" w:color="auto" w:sz="4" w:space="0"/>
                  </w:tcBorders>
                  <w:vAlign w:val="center"/>
                </w:tcPr>
                <w:p w14:paraId="249A314A">
                  <w:pPr>
                    <w:pStyle w:val="7"/>
                    <w:keepNext w:val="0"/>
                    <w:keepLines w:val="0"/>
                    <w:numPr>
                      <w:ilvl w:val="0"/>
                      <w:numId w:val="1"/>
                    </w:numPr>
                    <w:suppressLineNumbers w:val="0"/>
                    <w:adjustRightInd w:val="0"/>
                    <w:snapToGrid w:val="0"/>
                    <w:spacing w:before="0" w:beforeAutospacing="0" w:after="0" w:afterAutospacing="0" w:line="264" w:lineRule="auto"/>
                    <w:ind w:left="0" w:right="0" w:firstLine="0" w:firstLineChars="0"/>
                    <w:rPr>
                      <w:rFonts w:hint="default"/>
                      <w:sz w:val="18"/>
                      <w:szCs w:val="18"/>
                      <w:highlight w:val="none"/>
                    </w:rPr>
                  </w:pPr>
                  <w:r>
                    <w:rPr>
                      <w:rFonts w:hint="eastAsia" w:ascii="宋体" w:hAnsi="宋体" w:cs="宋体"/>
                      <w:sz w:val="18"/>
                      <w:szCs w:val="18"/>
                      <w:highlight w:val="none"/>
                    </w:rPr>
                    <w:t>项目</w:t>
                  </w:r>
                  <w:r>
                    <w:rPr>
                      <w:rFonts w:hint="eastAsia"/>
                      <w:sz w:val="18"/>
                      <w:szCs w:val="18"/>
                      <w:highlight w:val="none"/>
                    </w:rPr>
                    <w:t>符合“三线一单”的要求。</w:t>
                  </w:r>
                </w:p>
                <w:p w14:paraId="06132DD7">
                  <w:pPr>
                    <w:pStyle w:val="7"/>
                    <w:keepNext w:val="0"/>
                    <w:keepLines w:val="0"/>
                    <w:numPr>
                      <w:ilvl w:val="0"/>
                      <w:numId w:val="1"/>
                    </w:numPr>
                    <w:suppressLineNumbers w:val="0"/>
                    <w:adjustRightInd w:val="0"/>
                    <w:snapToGrid w:val="0"/>
                    <w:spacing w:before="0" w:beforeAutospacing="0" w:after="0" w:afterAutospacing="0" w:line="264" w:lineRule="auto"/>
                    <w:ind w:left="0" w:right="0" w:firstLine="0" w:firstLineChars="0"/>
                    <w:rPr>
                      <w:rFonts w:hint="default"/>
                      <w:sz w:val="18"/>
                      <w:szCs w:val="18"/>
                      <w:highlight w:val="none"/>
                    </w:rPr>
                  </w:pPr>
                  <w:r>
                    <w:rPr>
                      <w:rFonts w:hint="eastAsia" w:ascii="宋体" w:hAnsi="宋体" w:cs="宋体"/>
                      <w:sz w:val="18"/>
                      <w:szCs w:val="18"/>
                      <w:highlight w:val="none"/>
                    </w:rPr>
                    <w:t>项目</w:t>
                  </w:r>
                  <w:r>
                    <w:rPr>
                      <w:rFonts w:hint="eastAsia" w:ascii="宋体" w:hAnsi="宋体" w:cs="宋体"/>
                      <w:sz w:val="18"/>
                      <w:szCs w:val="18"/>
                      <w:highlight w:val="none"/>
                      <w:lang w:val="en-US" w:eastAsia="zh-CN"/>
                    </w:rPr>
                    <w:t>运营</w:t>
                  </w:r>
                  <w:r>
                    <w:rPr>
                      <w:rFonts w:hint="eastAsia"/>
                      <w:sz w:val="18"/>
                      <w:szCs w:val="18"/>
                      <w:highlight w:val="none"/>
                    </w:rPr>
                    <w:t>过程中产生的污染物均能达标排放。</w:t>
                  </w:r>
                </w:p>
                <w:p w14:paraId="69F65BCC">
                  <w:pPr>
                    <w:keepNext w:val="0"/>
                    <w:keepLines w:val="0"/>
                    <w:suppressLineNumbers w:val="0"/>
                    <w:adjustRightInd w:val="0"/>
                    <w:snapToGrid w:val="0"/>
                    <w:spacing w:before="0" w:beforeAutospacing="0" w:after="0" w:afterAutospacing="0" w:line="264" w:lineRule="auto"/>
                    <w:ind w:left="0" w:right="0"/>
                    <w:rPr>
                      <w:rFonts w:hint="default"/>
                      <w:bCs/>
                      <w:sz w:val="18"/>
                      <w:szCs w:val="18"/>
                      <w:highlight w:val="none"/>
                    </w:rPr>
                  </w:pPr>
                  <w:r>
                    <w:rPr>
                      <w:rFonts w:hint="default"/>
                      <w:sz w:val="18"/>
                      <w:szCs w:val="18"/>
                      <w:highlight w:val="none"/>
                    </w:rPr>
                    <w:t>3</w:t>
                  </w:r>
                  <w:r>
                    <w:rPr>
                      <w:rFonts w:hint="eastAsia"/>
                      <w:sz w:val="18"/>
                      <w:szCs w:val="18"/>
                      <w:highlight w:val="none"/>
                    </w:rPr>
                    <w:t>、</w:t>
                  </w:r>
                  <w:r>
                    <w:rPr>
                      <w:rFonts w:hint="eastAsia" w:ascii="宋体" w:hAnsi="宋体" w:cs="宋体"/>
                      <w:sz w:val="18"/>
                      <w:szCs w:val="18"/>
                      <w:highlight w:val="none"/>
                    </w:rPr>
                    <w:t>项目为非工业项目，</w:t>
                  </w:r>
                  <w:r>
                    <w:rPr>
                      <w:rFonts w:hint="eastAsia"/>
                      <w:bCs/>
                      <w:sz w:val="18"/>
                      <w:szCs w:val="18"/>
                      <w:highlight w:val="none"/>
                    </w:rPr>
                    <w:t>实施后新增污染物排放按总量控制要求无需进行区域平衡削减替代，符合总量控制要求。</w:t>
                  </w:r>
                </w:p>
                <w:p w14:paraId="485A5EDD">
                  <w:pPr>
                    <w:pStyle w:val="116"/>
                    <w:keepNext w:val="0"/>
                    <w:keepLines w:val="0"/>
                    <w:suppressLineNumbers w:val="0"/>
                    <w:adjustRightInd w:val="0"/>
                    <w:snapToGrid w:val="0"/>
                    <w:spacing w:before="0" w:beforeAutospacing="0" w:after="0" w:afterAutospacing="0" w:line="264" w:lineRule="auto"/>
                    <w:ind w:left="0" w:right="0"/>
                    <w:rPr>
                      <w:rFonts w:hint="default"/>
                      <w:sz w:val="18"/>
                      <w:szCs w:val="18"/>
                      <w:highlight w:val="none"/>
                    </w:rPr>
                  </w:pPr>
                  <w:r>
                    <w:rPr>
                      <w:rFonts w:hint="default"/>
                      <w:bCs/>
                      <w:sz w:val="18"/>
                      <w:szCs w:val="18"/>
                      <w:highlight w:val="none"/>
                    </w:rPr>
                    <w:t>4</w:t>
                  </w:r>
                  <w:r>
                    <w:rPr>
                      <w:rFonts w:hint="eastAsia"/>
                      <w:bCs/>
                      <w:sz w:val="18"/>
                      <w:szCs w:val="18"/>
                      <w:highlight w:val="none"/>
                    </w:rPr>
                    <w:t>、项目符合国家和省产业政策的要求。</w:t>
                  </w:r>
                </w:p>
              </w:tc>
              <w:tc>
                <w:tcPr>
                  <w:tcW w:w="664" w:type="dxa"/>
                  <w:tcBorders>
                    <w:top w:val="single" w:color="auto" w:sz="4" w:space="0"/>
                    <w:left w:val="single" w:color="auto" w:sz="4" w:space="0"/>
                    <w:bottom w:val="single" w:color="auto" w:sz="4" w:space="0"/>
                    <w:right w:val="single" w:color="auto" w:sz="4" w:space="0"/>
                  </w:tcBorders>
                  <w:vAlign w:val="center"/>
                </w:tcPr>
                <w:p w14:paraId="1BBA41BA">
                  <w:pPr>
                    <w:keepNext w:val="0"/>
                    <w:keepLines w:val="0"/>
                    <w:suppressLineNumbers w:val="0"/>
                    <w:adjustRightInd w:val="0"/>
                    <w:snapToGrid w:val="0"/>
                    <w:spacing w:before="0" w:beforeAutospacing="0" w:after="0" w:afterAutospacing="0" w:line="264" w:lineRule="auto"/>
                    <w:ind w:left="0" w:right="0"/>
                    <w:jc w:val="center"/>
                    <w:rPr>
                      <w:rFonts w:hint="default" w:ascii="宋体" w:cs="宋体"/>
                      <w:sz w:val="18"/>
                      <w:szCs w:val="18"/>
                      <w:highlight w:val="none"/>
                    </w:rPr>
                  </w:pPr>
                  <w:r>
                    <w:rPr>
                      <w:rFonts w:hint="eastAsia" w:ascii="宋体" w:hAnsi="宋体" w:cs="宋体"/>
                      <w:sz w:val="18"/>
                      <w:szCs w:val="18"/>
                      <w:highlight w:val="none"/>
                    </w:rPr>
                    <w:t>符合</w:t>
                  </w:r>
                </w:p>
              </w:tc>
            </w:tr>
            <w:tr w14:paraId="42961D2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797" w:hRule="atLeast"/>
                <w:jc w:val="center"/>
              </w:trPr>
              <w:tc>
                <w:tcPr>
                  <w:tcW w:w="517" w:type="dxa"/>
                  <w:vMerge w:val="continue"/>
                  <w:tcBorders>
                    <w:top w:val="single" w:color="auto" w:sz="4" w:space="0"/>
                    <w:left w:val="single" w:color="auto" w:sz="4" w:space="0"/>
                    <w:bottom w:val="single" w:color="auto" w:sz="4" w:space="0"/>
                    <w:right w:val="single" w:color="auto" w:sz="4" w:space="0"/>
                  </w:tcBorders>
                  <w:vAlign w:val="center"/>
                </w:tcPr>
                <w:p w14:paraId="580031B9">
                  <w:pPr>
                    <w:keepNext w:val="0"/>
                    <w:keepLines w:val="0"/>
                    <w:suppressLineNumbers w:val="0"/>
                    <w:adjustRightInd w:val="0"/>
                    <w:snapToGrid w:val="0"/>
                    <w:spacing w:before="0" w:beforeAutospacing="0" w:after="0" w:afterAutospacing="0" w:line="264" w:lineRule="auto"/>
                    <w:ind w:left="0" w:right="0"/>
                    <w:jc w:val="center"/>
                    <w:rPr>
                      <w:rFonts w:hint="default"/>
                      <w:sz w:val="18"/>
                      <w:szCs w:val="18"/>
                      <w:highlight w:val="none"/>
                    </w:rPr>
                  </w:pPr>
                </w:p>
              </w:tc>
              <w:tc>
                <w:tcPr>
                  <w:tcW w:w="2770" w:type="dxa"/>
                  <w:tcBorders>
                    <w:top w:val="single" w:color="auto" w:sz="4" w:space="0"/>
                    <w:left w:val="single" w:color="auto" w:sz="4" w:space="0"/>
                    <w:bottom w:val="single" w:color="auto" w:sz="4" w:space="0"/>
                    <w:right w:val="single" w:color="auto" w:sz="4" w:space="0"/>
                  </w:tcBorders>
                  <w:vAlign w:val="center"/>
                </w:tcPr>
                <w:p w14:paraId="74A64214">
                  <w:pPr>
                    <w:keepNext w:val="0"/>
                    <w:keepLines w:val="0"/>
                    <w:widowControl/>
                    <w:suppressLineNumbers w:val="0"/>
                    <w:adjustRightInd w:val="0"/>
                    <w:snapToGrid w:val="0"/>
                    <w:spacing w:before="0" w:beforeAutospacing="0" w:after="0" w:afterAutospacing="0" w:line="264" w:lineRule="auto"/>
                    <w:ind w:left="0" w:right="0"/>
                    <w:rPr>
                      <w:rFonts w:hint="default" w:ascii="宋体" w:cs="宋体"/>
                      <w:sz w:val="18"/>
                      <w:szCs w:val="18"/>
                      <w:highlight w:val="none"/>
                    </w:rPr>
                  </w:pPr>
                  <w:r>
                    <w:rPr>
                      <w:rFonts w:hint="eastAsia" w:ascii="宋体" w:hAnsi="宋体" w:cs="宋体"/>
                      <w:kern w:val="0"/>
                      <w:sz w:val="18"/>
                      <w:szCs w:val="18"/>
                      <w:highlight w:val="none"/>
                    </w:rPr>
                    <w:t>环境影响分析预测评估的可靠性</w:t>
                  </w:r>
                </w:p>
              </w:tc>
              <w:tc>
                <w:tcPr>
                  <w:tcW w:w="4229" w:type="dxa"/>
                  <w:tcBorders>
                    <w:top w:val="single" w:color="auto" w:sz="4" w:space="0"/>
                    <w:left w:val="single" w:color="auto" w:sz="4" w:space="0"/>
                    <w:bottom w:val="single" w:color="auto" w:sz="4" w:space="0"/>
                    <w:right w:val="single" w:color="auto" w:sz="4" w:space="0"/>
                  </w:tcBorders>
                  <w:vAlign w:val="center"/>
                </w:tcPr>
                <w:p w14:paraId="3767A436">
                  <w:pPr>
                    <w:keepNext w:val="0"/>
                    <w:keepLines w:val="0"/>
                    <w:widowControl/>
                    <w:suppressLineNumbers w:val="0"/>
                    <w:adjustRightInd w:val="0"/>
                    <w:snapToGrid w:val="0"/>
                    <w:spacing w:before="0" w:beforeAutospacing="0" w:after="0" w:afterAutospacing="0" w:line="264" w:lineRule="auto"/>
                    <w:ind w:left="0" w:right="0"/>
                    <w:rPr>
                      <w:rFonts w:hint="default"/>
                      <w:sz w:val="18"/>
                      <w:szCs w:val="18"/>
                      <w:highlight w:val="none"/>
                    </w:rPr>
                  </w:pPr>
                  <w:r>
                    <w:rPr>
                      <w:rFonts w:hint="default"/>
                      <w:kern w:val="0"/>
                      <w:sz w:val="18"/>
                      <w:szCs w:val="18"/>
                      <w:highlight w:val="none"/>
                    </w:rPr>
                    <w:t>1</w:t>
                  </w:r>
                  <w:r>
                    <w:rPr>
                      <w:rFonts w:hint="eastAsia"/>
                      <w:kern w:val="0"/>
                      <w:sz w:val="18"/>
                      <w:szCs w:val="18"/>
                      <w:highlight w:val="none"/>
                    </w:rPr>
                    <w:t>、</w:t>
                  </w:r>
                  <w:r>
                    <w:rPr>
                      <w:rFonts w:hint="eastAsia" w:ascii="宋体" w:hAnsi="宋体" w:cs="宋体"/>
                      <w:color w:val="000000"/>
                      <w:kern w:val="0"/>
                      <w:sz w:val="18"/>
                      <w:szCs w:val="18"/>
                      <w:highlight w:val="none"/>
                    </w:rPr>
                    <w:t>项目</w:t>
                  </w:r>
                  <w:r>
                    <w:rPr>
                      <w:rFonts w:hint="eastAsia" w:ascii="宋体" w:hAnsi="宋体" w:cs="宋体"/>
                      <w:color w:val="000000"/>
                      <w:kern w:val="0"/>
                      <w:sz w:val="18"/>
                      <w:szCs w:val="18"/>
                      <w:highlight w:val="none"/>
                      <w:lang w:val="en-US" w:eastAsia="zh-CN"/>
                    </w:rPr>
                    <w:t>已</w:t>
                  </w:r>
                  <w:r>
                    <w:rPr>
                      <w:rFonts w:hint="eastAsia" w:ascii="Times New Roman" w:hAnsi="Times New Roman" w:eastAsia="宋体" w:cs="Times New Roman"/>
                      <w:kern w:val="2"/>
                      <w:sz w:val="18"/>
                      <w:szCs w:val="18"/>
                      <w:highlight w:val="none"/>
                      <w:lang w:val="en-US" w:eastAsia="zh-CN" w:bidi="ar-SA"/>
                    </w:rPr>
                    <w:t>设置废气专项评价，大气评价等级为</w:t>
                  </w:r>
                  <w:r>
                    <w:rPr>
                      <w:rFonts w:hint="eastAsia" w:cs="Times New Roman"/>
                      <w:kern w:val="2"/>
                      <w:sz w:val="18"/>
                      <w:szCs w:val="18"/>
                      <w:highlight w:val="none"/>
                      <w:lang w:val="en-US" w:eastAsia="zh-CN" w:bidi="ar-SA"/>
                    </w:rPr>
                    <w:t>二</w:t>
                  </w:r>
                  <w:r>
                    <w:rPr>
                      <w:rFonts w:hint="eastAsia" w:ascii="Times New Roman" w:hAnsi="Times New Roman" w:eastAsia="宋体" w:cs="Times New Roman"/>
                      <w:kern w:val="2"/>
                      <w:sz w:val="18"/>
                      <w:szCs w:val="18"/>
                      <w:highlight w:val="none"/>
                      <w:lang w:val="en-US" w:eastAsia="zh-CN" w:bidi="ar-SA"/>
                    </w:rPr>
                    <w:t>级评价。</w:t>
                  </w:r>
                </w:p>
                <w:p w14:paraId="1FAF10DE">
                  <w:pPr>
                    <w:keepNext w:val="0"/>
                    <w:keepLines w:val="0"/>
                    <w:widowControl/>
                    <w:suppressLineNumbers w:val="0"/>
                    <w:adjustRightInd w:val="0"/>
                    <w:snapToGrid w:val="0"/>
                    <w:spacing w:before="0" w:beforeAutospacing="0" w:after="0" w:afterAutospacing="0" w:line="264" w:lineRule="auto"/>
                    <w:ind w:left="0" w:right="0"/>
                    <w:rPr>
                      <w:rFonts w:hint="default" w:ascii="宋体" w:cs="宋体"/>
                      <w:sz w:val="18"/>
                      <w:szCs w:val="18"/>
                      <w:highlight w:val="none"/>
                    </w:rPr>
                  </w:pPr>
                  <w:r>
                    <w:rPr>
                      <w:rFonts w:hint="default"/>
                      <w:kern w:val="0"/>
                      <w:sz w:val="18"/>
                      <w:szCs w:val="18"/>
                      <w:highlight w:val="none"/>
                    </w:rPr>
                    <w:t>2</w:t>
                  </w:r>
                  <w:r>
                    <w:rPr>
                      <w:rFonts w:hint="eastAsia" w:ascii="宋体" w:hAnsi="宋体" w:cs="宋体"/>
                      <w:kern w:val="0"/>
                      <w:sz w:val="18"/>
                      <w:szCs w:val="18"/>
                      <w:highlight w:val="none"/>
                    </w:rPr>
                    <w:t>、本环评根据项目原辅料消耗量及其成分组成等进行废气、废水、固废分析；经预测，本项目实施后企业厂界噪声</w:t>
                  </w:r>
                  <w:r>
                    <w:rPr>
                      <w:rFonts w:hint="eastAsia" w:ascii="宋体" w:hAnsi="宋体" w:cs="宋体"/>
                      <w:kern w:val="0"/>
                      <w:sz w:val="18"/>
                      <w:szCs w:val="18"/>
                      <w:highlight w:val="none"/>
                      <w:lang w:val="en-US" w:eastAsia="zh-CN"/>
                    </w:rPr>
                    <w:t>以及废气均</w:t>
                  </w:r>
                  <w:r>
                    <w:rPr>
                      <w:rFonts w:hint="eastAsia" w:ascii="宋体" w:hAnsi="宋体" w:cs="宋体"/>
                      <w:kern w:val="0"/>
                      <w:sz w:val="18"/>
                      <w:szCs w:val="18"/>
                      <w:highlight w:val="none"/>
                    </w:rPr>
                    <w:t>能</w:t>
                  </w:r>
                  <w:r>
                    <w:rPr>
                      <w:rFonts w:hint="eastAsia" w:ascii="宋体" w:hAnsi="宋体" w:cs="宋体"/>
                      <w:kern w:val="0"/>
                      <w:sz w:val="18"/>
                      <w:szCs w:val="18"/>
                      <w:highlight w:val="none"/>
                      <w:lang w:val="en-US" w:eastAsia="zh-CN"/>
                    </w:rPr>
                    <w:t>满足</w:t>
                  </w:r>
                  <w:r>
                    <w:rPr>
                      <w:rFonts w:hint="eastAsia" w:ascii="宋体" w:hAnsi="宋体" w:cs="宋体"/>
                      <w:kern w:val="0"/>
                      <w:sz w:val="18"/>
                      <w:szCs w:val="18"/>
                      <w:highlight w:val="none"/>
                    </w:rPr>
                    <w:t>达标</w:t>
                  </w:r>
                  <w:r>
                    <w:rPr>
                      <w:rFonts w:hint="eastAsia" w:ascii="宋体" w:hAnsi="宋体" w:cs="宋体"/>
                      <w:kern w:val="0"/>
                      <w:sz w:val="18"/>
                      <w:szCs w:val="18"/>
                      <w:highlight w:val="none"/>
                      <w:lang w:val="en-US" w:eastAsia="zh-CN"/>
                    </w:rPr>
                    <w:t>排放要求</w:t>
                  </w:r>
                  <w:r>
                    <w:rPr>
                      <w:rFonts w:hint="eastAsia" w:ascii="宋体" w:hAnsi="宋体" w:cs="宋体"/>
                      <w:kern w:val="0"/>
                      <w:sz w:val="18"/>
                      <w:szCs w:val="18"/>
                      <w:highlight w:val="none"/>
                    </w:rPr>
                    <w:t>。项目环境影响分析预测评估具有可靠性。</w:t>
                  </w:r>
                </w:p>
              </w:tc>
              <w:tc>
                <w:tcPr>
                  <w:tcW w:w="664" w:type="dxa"/>
                  <w:tcBorders>
                    <w:top w:val="single" w:color="auto" w:sz="4" w:space="0"/>
                    <w:left w:val="single" w:color="auto" w:sz="4" w:space="0"/>
                    <w:bottom w:val="single" w:color="auto" w:sz="4" w:space="0"/>
                    <w:right w:val="single" w:color="auto" w:sz="4" w:space="0"/>
                  </w:tcBorders>
                  <w:vAlign w:val="center"/>
                </w:tcPr>
                <w:p w14:paraId="24828D54">
                  <w:pPr>
                    <w:keepNext w:val="0"/>
                    <w:keepLines w:val="0"/>
                    <w:suppressLineNumbers w:val="0"/>
                    <w:adjustRightInd w:val="0"/>
                    <w:snapToGrid w:val="0"/>
                    <w:spacing w:before="0" w:beforeAutospacing="0" w:after="0" w:afterAutospacing="0" w:line="264" w:lineRule="auto"/>
                    <w:ind w:left="0" w:right="0"/>
                    <w:jc w:val="center"/>
                    <w:rPr>
                      <w:rFonts w:hint="default" w:ascii="宋体" w:cs="宋体"/>
                      <w:sz w:val="18"/>
                      <w:szCs w:val="18"/>
                      <w:highlight w:val="none"/>
                    </w:rPr>
                  </w:pPr>
                  <w:r>
                    <w:rPr>
                      <w:rFonts w:hint="eastAsia" w:ascii="宋体" w:hAnsi="宋体" w:cs="宋体"/>
                      <w:sz w:val="18"/>
                      <w:szCs w:val="18"/>
                      <w:highlight w:val="none"/>
                    </w:rPr>
                    <w:t>符合</w:t>
                  </w:r>
                </w:p>
              </w:tc>
            </w:tr>
            <w:tr w14:paraId="4BD218A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269" w:hRule="atLeast"/>
                <w:jc w:val="center"/>
              </w:trPr>
              <w:tc>
                <w:tcPr>
                  <w:tcW w:w="517" w:type="dxa"/>
                  <w:vMerge w:val="continue"/>
                  <w:tcBorders>
                    <w:top w:val="single" w:color="auto" w:sz="4" w:space="0"/>
                    <w:left w:val="single" w:color="auto" w:sz="4" w:space="0"/>
                    <w:bottom w:val="single" w:color="auto" w:sz="4" w:space="0"/>
                    <w:right w:val="single" w:color="auto" w:sz="4" w:space="0"/>
                  </w:tcBorders>
                  <w:vAlign w:val="center"/>
                </w:tcPr>
                <w:p w14:paraId="0290F2DF">
                  <w:pPr>
                    <w:keepNext w:val="0"/>
                    <w:keepLines w:val="0"/>
                    <w:suppressLineNumbers w:val="0"/>
                    <w:adjustRightInd w:val="0"/>
                    <w:snapToGrid w:val="0"/>
                    <w:spacing w:before="0" w:beforeAutospacing="0" w:after="0" w:afterAutospacing="0" w:line="264" w:lineRule="auto"/>
                    <w:ind w:left="0" w:right="0"/>
                    <w:jc w:val="center"/>
                    <w:rPr>
                      <w:rFonts w:hint="default"/>
                      <w:sz w:val="18"/>
                      <w:szCs w:val="18"/>
                      <w:highlight w:val="none"/>
                    </w:rPr>
                  </w:pPr>
                </w:p>
              </w:tc>
              <w:tc>
                <w:tcPr>
                  <w:tcW w:w="2770" w:type="dxa"/>
                  <w:tcBorders>
                    <w:top w:val="single" w:color="auto" w:sz="4" w:space="0"/>
                    <w:left w:val="single" w:color="auto" w:sz="4" w:space="0"/>
                    <w:bottom w:val="single" w:color="auto" w:sz="4" w:space="0"/>
                    <w:right w:val="single" w:color="auto" w:sz="4" w:space="0"/>
                  </w:tcBorders>
                  <w:vAlign w:val="center"/>
                </w:tcPr>
                <w:p w14:paraId="142B8B8D">
                  <w:pPr>
                    <w:keepNext w:val="0"/>
                    <w:keepLines w:val="0"/>
                    <w:widowControl/>
                    <w:suppressLineNumbers w:val="0"/>
                    <w:adjustRightInd w:val="0"/>
                    <w:snapToGrid w:val="0"/>
                    <w:spacing w:before="0" w:beforeAutospacing="0" w:after="0" w:afterAutospacing="0" w:line="264" w:lineRule="auto"/>
                    <w:ind w:left="0" w:right="0"/>
                    <w:rPr>
                      <w:rFonts w:hint="default" w:ascii="宋体" w:cs="宋体"/>
                      <w:sz w:val="18"/>
                      <w:szCs w:val="18"/>
                      <w:highlight w:val="none"/>
                    </w:rPr>
                  </w:pPr>
                  <w:r>
                    <w:rPr>
                      <w:rFonts w:hint="eastAsia" w:ascii="宋体" w:hAnsi="宋体" w:cs="宋体"/>
                      <w:kern w:val="0"/>
                      <w:sz w:val="18"/>
                      <w:szCs w:val="18"/>
                      <w:highlight w:val="none"/>
                    </w:rPr>
                    <w:t>环境保护措施的有效性</w:t>
                  </w:r>
                </w:p>
              </w:tc>
              <w:tc>
                <w:tcPr>
                  <w:tcW w:w="4229" w:type="dxa"/>
                  <w:tcBorders>
                    <w:top w:val="single" w:color="auto" w:sz="4" w:space="0"/>
                    <w:left w:val="single" w:color="auto" w:sz="4" w:space="0"/>
                    <w:bottom w:val="single" w:color="auto" w:sz="4" w:space="0"/>
                    <w:right w:val="single" w:color="auto" w:sz="4" w:space="0"/>
                  </w:tcBorders>
                  <w:vAlign w:val="center"/>
                </w:tcPr>
                <w:p w14:paraId="7EB9DF92">
                  <w:pPr>
                    <w:keepNext w:val="0"/>
                    <w:keepLines w:val="0"/>
                    <w:widowControl/>
                    <w:suppressLineNumbers w:val="0"/>
                    <w:adjustRightInd w:val="0"/>
                    <w:snapToGrid w:val="0"/>
                    <w:spacing w:before="0" w:beforeAutospacing="0" w:after="0" w:afterAutospacing="0" w:line="264" w:lineRule="auto"/>
                    <w:ind w:left="0" w:right="0"/>
                    <w:rPr>
                      <w:rFonts w:hint="default"/>
                      <w:sz w:val="18"/>
                      <w:szCs w:val="18"/>
                      <w:highlight w:val="none"/>
                    </w:rPr>
                  </w:pPr>
                  <w:r>
                    <w:rPr>
                      <w:rFonts w:hint="default"/>
                      <w:kern w:val="0"/>
                      <w:sz w:val="18"/>
                      <w:szCs w:val="18"/>
                      <w:highlight w:val="none"/>
                    </w:rPr>
                    <w:t>1</w:t>
                  </w:r>
                  <w:r>
                    <w:rPr>
                      <w:rFonts w:hint="eastAsia"/>
                      <w:kern w:val="0"/>
                      <w:sz w:val="18"/>
                      <w:szCs w:val="18"/>
                      <w:highlight w:val="none"/>
                    </w:rPr>
                    <w:t>、项目废水经预处理达标后纳入市政污水管网。</w:t>
                  </w:r>
                </w:p>
                <w:p w14:paraId="01FC3EDF">
                  <w:pPr>
                    <w:keepNext w:val="0"/>
                    <w:keepLines w:val="0"/>
                    <w:widowControl/>
                    <w:suppressLineNumbers w:val="0"/>
                    <w:adjustRightInd w:val="0"/>
                    <w:snapToGrid w:val="0"/>
                    <w:spacing w:before="0" w:beforeAutospacing="0" w:after="0" w:afterAutospacing="0" w:line="264" w:lineRule="auto"/>
                    <w:ind w:left="0" w:right="0"/>
                    <w:rPr>
                      <w:rFonts w:hint="default"/>
                      <w:kern w:val="0"/>
                      <w:sz w:val="18"/>
                      <w:szCs w:val="18"/>
                      <w:highlight w:val="none"/>
                    </w:rPr>
                  </w:pPr>
                  <w:r>
                    <w:rPr>
                      <w:rFonts w:hint="default"/>
                      <w:kern w:val="0"/>
                      <w:sz w:val="18"/>
                      <w:szCs w:val="18"/>
                      <w:highlight w:val="none"/>
                    </w:rPr>
                    <w:t>2</w:t>
                  </w:r>
                  <w:r>
                    <w:rPr>
                      <w:rFonts w:hint="eastAsia"/>
                      <w:kern w:val="0"/>
                      <w:sz w:val="18"/>
                      <w:szCs w:val="18"/>
                      <w:highlight w:val="none"/>
                    </w:rPr>
                    <w:t>、项目</w:t>
                  </w:r>
                  <w:r>
                    <w:rPr>
                      <w:rFonts w:hint="eastAsia"/>
                      <w:kern w:val="0"/>
                      <w:sz w:val="18"/>
                      <w:szCs w:val="18"/>
                      <w:highlight w:val="none"/>
                      <w:lang w:val="en-US" w:eastAsia="zh-CN"/>
                    </w:rPr>
                    <w:t>实验动物中心动物饲养</w:t>
                  </w:r>
                  <w:r>
                    <w:rPr>
                      <w:rFonts w:hint="eastAsia"/>
                      <w:kern w:val="0"/>
                      <w:sz w:val="18"/>
                      <w:szCs w:val="18"/>
                      <w:highlight w:val="none"/>
                    </w:rPr>
                    <w:t>产生的废气采用</w:t>
                  </w:r>
                  <w:r>
                    <w:rPr>
                      <w:rFonts w:hint="eastAsia"/>
                      <w:kern w:val="0"/>
                      <w:sz w:val="18"/>
                      <w:szCs w:val="18"/>
                      <w:highlight w:val="none"/>
                      <w:lang w:val="en-US" w:eastAsia="zh-CN"/>
                    </w:rPr>
                    <w:t>喷淋除臭，消毒有机</w:t>
                  </w:r>
                  <w:r>
                    <w:rPr>
                      <w:rFonts w:hint="eastAsia"/>
                      <w:kern w:val="0"/>
                      <w:sz w:val="18"/>
                      <w:szCs w:val="18"/>
                      <w:highlight w:val="none"/>
                    </w:rPr>
                    <w:t>废气</w:t>
                  </w:r>
                  <w:r>
                    <w:rPr>
                      <w:rFonts w:hint="eastAsia"/>
                      <w:kern w:val="0"/>
                      <w:sz w:val="18"/>
                      <w:szCs w:val="18"/>
                      <w:highlight w:val="none"/>
                      <w:lang w:eastAsia="zh-CN"/>
                    </w:rPr>
                    <w:t>、</w:t>
                  </w:r>
                  <w:r>
                    <w:rPr>
                      <w:rFonts w:hint="eastAsia"/>
                      <w:kern w:val="0"/>
                      <w:sz w:val="18"/>
                      <w:szCs w:val="18"/>
                      <w:highlight w:val="none"/>
                      <w:lang w:val="en-US" w:eastAsia="zh-CN"/>
                    </w:rPr>
                    <w:t>解剖废气、危废暂存废气采用活性炭吸附；科创综合楼废气采用活性炭吸附</w:t>
                  </w:r>
                  <w:r>
                    <w:rPr>
                      <w:rFonts w:hint="eastAsia"/>
                      <w:kern w:val="0"/>
                      <w:sz w:val="18"/>
                      <w:szCs w:val="18"/>
                      <w:highlight w:val="none"/>
                    </w:rPr>
                    <w:t>，经净化后的有机废气和异味均能达到废气净化的</w:t>
                  </w:r>
                  <w:r>
                    <w:rPr>
                      <w:rFonts w:hint="eastAsia"/>
                      <w:kern w:val="0"/>
                      <w:sz w:val="18"/>
                      <w:szCs w:val="18"/>
                      <w:highlight w:val="none"/>
                      <w:lang w:val="en-US" w:eastAsia="zh-CN"/>
                    </w:rPr>
                    <w:t>效果</w:t>
                  </w:r>
                  <w:r>
                    <w:rPr>
                      <w:rFonts w:hint="eastAsia"/>
                      <w:kern w:val="0"/>
                      <w:sz w:val="18"/>
                      <w:szCs w:val="18"/>
                      <w:highlight w:val="none"/>
                    </w:rPr>
                    <w:t>，处理效果达标，净化后的废气均能达标排放。</w:t>
                  </w:r>
                </w:p>
                <w:p w14:paraId="745D2EA1">
                  <w:pPr>
                    <w:keepNext w:val="0"/>
                    <w:keepLines w:val="0"/>
                    <w:widowControl/>
                    <w:suppressLineNumbers w:val="0"/>
                    <w:adjustRightInd w:val="0"/>
                    <w:snapToGrid w:val="0"/>
                    <w:spacing w:before="0" w:beforeAutospacing="0" w:after="0" w:afterAutospacing="0" w:line="264" w:lineRule="auto"/>
                    <w:ind w:left="0" w:right="0"/>
                    <w:rPr>
                      <w:rFonts w:hint="default"/>
                      <w:sz w:val="18"/>
                      <w:szCs w:val="18"/>
                      <w:highlight w:val="none"/>
                    </w:rPr>
                  </w:pPr>
                  <w:r>
                    <w:rPr>
                      <w:rFonts w:hint="default"/>
                      <w:kern w:val="0"/>
                      <w:sz w:val="18"/>
                      <w:szCs w:val="18"/>
                      <w:highlight w:val="none"/>
                    </w:rPr>
                    <w:t>3</w:t>
                  </w:r>
                  <w:r>
                    <w:rPr>
                      <w:rFonts w:hint="eastAsia"/>
                      <w:kern w:val="0"/>
                      <w:sz w:val="18"/>
                      <w:szCs w:val="18"/>
                      <w:highlight w:val="none"/>
                    </w:rPr>
                    <w:t>、厂区内设有符合《中华人民共和国固体废物污染环境防治法》要求</w:t>
                  </w:r>
                  <w:r>
                    <w:rPr>
                      <w:rFonts w:hint="eastAsia"/>
                      <w:kern w:val="0"/>
                      <w:sz w:val="18"/>
                      <w:szCs w:val="18"/>
                      <w:highlight w:val="none"/>
                      <w:lang w:val="en-US" w:eastAsia="zh-CN"/>
                    </w:rPr>
                    <w:t>固废</w:t>
                  </w:r>
                  <w:r>
                    <w:rPr>
                      <w:rFonts w:hint="eastAsia"/>
                      <w:kern w:val="0"/>
                      <w:sz w:val="18"/>
                      <w:szCs w:val="18"/>
                      <w:highlight w:val="none"/>
                    </w:rPr>
                    <w:t>的暂存库。</w:t>
                  </w:r>
                </w:p>
                <w:p w14:paraId="3EBFD1F7">
                  <w:pPr>
                    <w:keepNext w:val="0"/>
                    <w:keepLines w:val="0"/>
                    <w:widowControl/>
                    <w:suppressLineNumbers w:val="0"/>
                    <w:adjustRightInd w:val="0"/>
                    <w:snapToGrid w:val="0"/>
                    <w:spacing w:before="0" w:beforeAutospacing="0" w:after="0" w:afterAutospacing="0" w:line="264" w:lineRule="auto"/>
                    <w:ind w:left="0" w:right="0"/>
                    <w:rPr>
                      <w:rFonts w:hint="default" w:ascii="宋体" w:cs="宋体"/>
                      <w:sz w:val="18"/>
                      <w:szCs w:val="18"/>
                      <w:highlight w:val="none"/>
                    </w:rPr>
                  </w:pPr>
                  <w:r>
                    <w:rPr>
                      <w:rFonts w:hint="default"/>
                      <w:kern w:val="0"/>
                      <w:sz w:val="18"/>
                      <w:szCs w:val="18"/>
                      <w:highlight w:val="none"/>
                    </w:rPr>
                    <w:t>4</w:t>
                  </w:r>
                  <w:r>
                    <w:rPr>
                      <w:rFonts w:hint="eastAsia"/>
                      <w:kern w:val="0"/>
                      <w:sz w:val="18"/>
                      <w:szCs w:val="18"/>
                      <w:highlight w:val="none"/>
                    </w:rPr>
                    <w:t>、通过对高噪</w:t>
                  </w:r>
                  <w:r>
                    <w:rPr>
                      <w:rFonts w:hint="eastAsia"/>
                      <w:kern w:val="0"/>
                      <w:sz w:val="18"/>
                      <w:szCs w:val="18"/>
                      <w:highlight w:val="none"/>
                      <w:lang w:val="en-US" w:eastAsia="zh-CN"/>
                    </w:rPr>
                    <w:t>声</w:t>
                  </w:r>
                  <w:r>
                    <w:rPr>
                      <w:rFonts w:hint="eastAsia"/>
                      <w:kern w:val="0"/>
                      <w:sz w:val="18"/>
                      <w:szCs w:val="18"/>
                      <w:highlight w:val="none"/>
                    </w:rPr>
                    <w:t>设备基础设置减震、隔振措施，</w:t>
                  </w:r>
                  <w:r>
                    <w:rPr>
                      <w:rFonts w:hint="eastAsia"/>
                      <w:sz w:val="18"/>
                      <w:szCs w:val="18"/>
                      <w:highlight w:val="none"/>
                    </w:rPr>
                    <w:t>加强设备维护保养等措施减少设备噪声对环境的影响。</w:t>
                  </w:r>
                </w:p>
              </w:tc>
              <w:tc>
                <w:tcPr>
                  <w:tcW w:w="664" w:type="dxa"/>
                  <w:tcBorders>
                    <w:top w:val="single" w:color="auto" w:sz="4" w:space="0"/>
                    <w:left w:val="single" w:color="auto" w:sz="4" w:space="0"/>
                    <w:bottom w:val="single" w:color="auto" w:sz="4" w:space="0"/>
                    <w:right w:val="single" w:color="auto" w:sz="4" w:space="0"/>
                  </w:tcBorders>
                  <w:vAlign w:val="center"/>
                </w:tcPr>
                <w:p w14:paraId="3A6AA577">
                  <w:pPr>
                    <w:keepNext w:val="0"/>
                    <w:keepLines w:val="0"/>
                    <w:suppressLineNumbers w:val="0"/>
                    <w:adjustRightInd w:val="0"/>
                    <w:snapToGrid w:val="0"/>
                    <w:spacing w:before="0" w:beforeAutospacing="0" w:after="0" w:afterAutospacing="0" w:line="264" w:lineRule="auto"/>
                    <w:ind w:left="0" w:right="0"/>
                    <w:jc w:val="center"/>
                    <w:rPr>
                      <w:rFonts w:hint="default" w:ascii="宋体" w:cs="宋体"/>
                      <w:sz w:val="18"/>
                      <w:szCs w:val="18"/>
                      <w:highlight w:val="none"/>
                    </w:rPr>
                  </w:pPr>
                  <w:r>
                    <w:rPr>
                      <w:rFonts w:hint="eastAsia" w:ascii="宋体" w:hAnsi="宋体" w:cs="宋体"/>
                      <w:sz w:val="18"/>
                      <w:szCs w:val="18"/>
                      <w:highlight w:val="none"/>
                    </w:rPr>
                    <w:t>符合</w:t>
                  </w:r>
                </w:p>
              </w:tc>
            </w:tr>
            <w:tr w14:paraId="5589D4F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157" w:hRule="atLeast"/>
                <w:jc w:val="center"/>
              </w:trPr>
              <w:tc>
                <w:tcPr>
                  <w:tcW w:w="517" w:type="dxa"/>
                  <w:vMerge w:val="continue"/>
                  <w:tcBorders>
                    <w:top w:val="single" w:color="auto" w:sz="4" w:space="0"/>
                    <w:left w:val="single" w:color="auto" w:sz="4" w:space="0"/>
                    <w:bottom w:val="single" w:color="auto" w:sz="4" w:space="0"/>
                    <w:right w:val="single" w:color="auto" w:sz="4" w:space="0"/>
                  </w:tcBorders>
                  <w:vAlign w:val="center"/>
                </w:tcPr>
                <w:p w14:paraId="02CBA1D3">
                  <w:pPr>
                    <w:keepNext w:val="0"/>
                    <w:keepLines w:val="0"/>
                    <w:suppressLineNumbers w:val="0"/>
                    <w:adjustRightInd w:val="0"/>
                    <w:snapToGrid w:val="0"/>
                    <w:spacing w:before="0" w:beforeAutospacing="0" w:after="0" w:afterAutospacing="0" w:line="264" w:lineRule="auto"/>
                    <w:ind w:left="0" w:right="0"/>
                    <w:jc w:val="center"/>
                    <w:rPr>
                      <w:rFonts w:hint="default"/>
                      <w:sz w:val="18"/>
                      <w:szCs w:val="18"/>
                      <w:highlight w:val="none"/>
                    </w:rPr>
                  </w:pPr>
                </w:p>
              </w:tc>
              <w:tc>
                <w:tcPr>
                  <w:tcW w:w="2770" w:type="dxa"/>
                  <w:tcBorders>
                    <w:top w:val="single" w:color="auto" w:sz="4" w:space="0"/>
                    <w:left w:val="single" w:color="auto" w:sz="4" w:space="0"/>
                    <w:bottom w:val="single" w:color="auto" w:sz="4" w:space="0"/>
                    <w:right w:val="single" w:color="auto" w:sz="4" w:space="0"/>
                  </w:tcBorders>
                  <w:vAlign w:val="center"/>
                </w:tcPr>
                <w:p w14:paraId="718BBA84">
                  <w:pPr>
                    <w:keepNext w:val="0"/>
                    <w:keepLines w:val="0"/>
                    <w:widowControl/>
                    <w:suppressLineNumbers w:val="0"/>
                    <w:adjustRightInd w:val="0"/>
                    <w:snapToGrid w:val="0"/>
                    <w:spacing w:before="0" w:beforeAutospacing="0" w:after="0" w:afterAutospacing="0" w:line="264" w:lineRule="auto"/>
                    <w:ind w:left="0" w:right="0"/>
                    <w:rPr>
                      <w:rFonts w:hint="default" w:ascii="宋体" w:cs="宋体"/>
                      <w:sz w:val="18"/>
                      <w:szCs w:val="18"/>
                      <w:highlight w:val="none"/>
                    </w:rPr>
                  </w:pPr>
                  <w:r>
                    <w:rPr>
                      <w:rFonts w:hint="eastAsia" w:ascii="宋体" w:hAnsi="宋体" w:cs="宋体"/>
                      <w:kern w:val="0"/>
                      <w:sz w:val="18"/>
                      <w:szCs w:val="18"/>
                      <w:highlight w:val="none"/>
                    </w:rPr>
                    <w:t>环境影响评价结论的科学性</w:t>
                  </w:r>
                </w:p>
              </w:tc>
              <w:tc>
                <w:tcPr>
                  <w:tcW w:w="4229" w:type="dxa"/>
                  <w:tcBorders>
                    <w:top w:val="single" w:color="auto" w:sz="4" w:space="0"/>
                    <w:left w:val="single" w:color="auto" w:sz="4" w:space="0"/>
                    <w:bottom w:val="single" w:color="auto" w:sz="4" w:space="0"/>
                    <w:right w:val="single" w:color="auto" w:sz="4" w:space="0"/>
                  </w:tcBorders>
                  <w:vAlign w:val="center"/>
                </w:tcPr>
                <w:p w14:paraId="0AFB01B9">
                  <w:pPr>
                    <w:keepNext w:val="0"/>
                    <w:keepLines w:val="0"/>
                    <w:widowControl/>
                    <w:suppressLineNumbers w:val="0"/>
                    <w:adjustRightInd w:val="0"/>
                    <w:snapToGrid w:val="0"/>
                    <w:spacing w:before="0" w:beforeAutospacing="0" w:after="0" w:afterAutospacing="0" w:line="264" w:lineRule="auto"/>
                    <w:ind w:left="0" w:right="0"/>
                    <w:rPr>
                      <w:rFonts w:hint="default" w:ascii="宋体" w:cs="宋体"/>
                      <w:sz w:val="18"/>
                      <w:szCs w:val="18"/>
                      <w:highlight w:val="none"/>
                    </w:rPr>
                  </w:pPr>
                  <w:r>
                    <w:rPr>
                      <w:rFonts w:hint="eastAsia" w:ascii="宋体" w:hAnsi="宋体" w:cs="宋体"/>
                      <w:kern w:val="0"/>
                      <w:sz w:val="18"/>
                      <w:szCs w:val="18"/>
                      <w:highlight w:val="none"/>
                    </w:rPr>
                    <w:t>环评结论客观、过程公开、评价公正，并综合考虑建设项目实施后对各种环境因素可能造成的影响，并提出相应的可行措施，环评结论科学。</w:t>
                  </w:r>
                </w:p>
              </w:tc>
              <w:tc>
                <w:tcPr>
                  <w:tcW w:w="664" w:type="dxa"/>
                  <w:tcBorders>
                    <w:top w:val="single" w:color="auto" w:sz="4" w:space="0"/>
                    <w:left w:val="single" w:color="auto" w:sz="4" w:space="0"/>
                    <w:bottom w:val="single" w:color="auto" w:sz="4" w:space="0"/>
                    <w:right w:val="single" w:color="auto" w:sz="4" w:space="0"/>
                  </w:tcBorders>
                  <w:vAlign w:val="center"/>
                </w:tcPr>
                <w:p w14:paraId="7F179974">
                  <w:pPr>
                    <w:keepNext w:val="0"/>
                    <w:keepLines w:val="0"/>
                    <w:suppressLineNumbers w:val="0"/>
                    <w:adjustRightInd w:val="0"/>
                    <w:snapToGrid w:val="0"/>
                    <w:spacing w:before="0" w:beforeAutospacing="0" w:after="0" w:afterAutospacing="0" w:line="264" w:lineRule="auto"/>
                    <w:ind w:left="0" w:right="0"/>
                    <w:jc w:val="center"/>
                    <w:rPr>
                      <w:rFonts w:hint="default" w:ascii="宋体" w:cs="宋体"/>
                      <w:sz w:val="18"/>
                      <w:szCs w:val="18"/>
                      <w:highlight w:val="none"/>
                    </w:rPr>
                  </w:pPr>
                  <w:r>
                    <w:rPr>
                      <w:rFonts w:hint="eastAsia" w:ascii="宋体" w:hAnsi="宋体" w:cs="宋体"/>
                      <w:sz w:val="18"/>
                      <w:szCs w:val="18"/>
                      <w:highlight w:val="none"/>
                    </w:rPr>
                    <w:t>符合</w:t>
                  </w:r>
                </w:p>
              </w:tc>
            </w:tr>
            <w:tr w14:paraId="53CD087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238" w:hRule="atLeast"/>
                <w:jc w:val="center"/>
              </w:trPr>
              <w:tc>
                <w:tcPr>
                  <w:tcW w:w="517" w:type="dxa"/>
                  <w:vMerge w:val="restart"/>
                  <w:tcBorders>
                    <w:top w:val="single" w:color="auto" w:sz="4" w:space="0"/>
                    <w:left w:val="single" w:color="auto" w:sz="4" w:space="0"/>
                    <w:bottom w:val="single" w:color="auto" w:sz="4" w:space="0"/>
                    <w:right w:val="single" w:color="auto" w:sz="4" w:space="0"/>
                  </w:tcBorders>
                  <w:vAlign w:val="center"/>
                </w:tcPr>
                <w:p w14:paraId="63200FF1">
                  <w:pPr>
                    <w:keepNext w:val="0"/>
                    <w:keepLines w:val="0"/>
                    <w:suppressLineNumbers w:val="0"/>
                    <w:adjustRightInd w:val="0"/>
                    <w:snapToGrid w:val="0"/>
                    <w:spacing w:before="0" w:beforeAutospacing="0" w:after="0" w:afterAutospacing="0" w:line="264" w:lineRule="auto"/>
                    <w:ind w:left="0" w:right="0"/>
                    <w:jc w:val="center"/>
                    <w:rPr>
                      <w:rFonts w:hint="default" w:ascii="宋体" w:cs="宋体"/>
                      <w:sz w:val="18"/>
                      <w:szCs w:val="18"/>
                      <w:highlight w:val="none"/>
                    </w:rPr>
                  </w:pPr>
                  <w:r>
                    <w:rPr>
                      <w:rFonts w:hint="eastAsia" w:ascii="宋体" w:hAnsi="宋体" w:cs="宋体"/>
                      <w:sz w:val="18"/>
                      <w:szCs w:val="18"/>
                      <w:highlight w:val="none"/>
                    </w:rPr>
                    <w:t>五不批</w:t>
                  </w:r>
                </w:p>
              </w:tc>
              <w:tc>
                <w:tcPr>
                  <w:tcW w:w="2770" w:type="dxa"/>
                  <w:tcBorders>
                    <w:top w:val="single" w:color="auto" w:sz="4" w:space="0"/>
                    <w:left w:val="single" w:color="auto" w:sz="4" w:space="0"/>
                    <w:bottom w:val="single" w:color="auto" w:sz="4" w:space="0"/>
                    <w:right w:val="single" w:color="auto" w:sz="4" w:space="0"/>
                  </w:tcBorders>
                  <w:vAlign w:val="center"/>
                </w:tcPr>
                <w:p w14:paraId="43E792BA">
                  <w:pPr>
                    <w:keepNext w:val="0"/>
                    <w:keepLines w:val="0"/>
                    <w:widowControl/>
                    <w:suppressLineNumbers w:val="0"/>
                    <w:adjustRightInd w:val="0"/>
                    <w:snapToGrid w:val="0"/>
                    <w:spacing w:before="0" w:beforeAutospacing="0" w:after="0" w:afterAutospacing="0" w:line="264" w:lineRule="auto"/>
                    <w:ind w:left="0" w:right="0"/>
                    <w:rPr>
                      <w:rFonts w:hint="default" w:ascii="宋体" w:cs="宋体"/>
                      <w:sz w:val="18"/>
                      <w:szCs w:val="18"/>
                      <w:highlight w:val="none"/>
                    </w:rPr>
                  </w:pPr>
                  <w:r>
                    <w:rPr>
                      <w:rFonts w:hint="eastAsia" w:ascii="宋体" w:hAnsi="宋体" w:cs="宋体"/>
                      <w:kern w:val="0"/>
                      <w:sz w:val="18"/>
                      <w:szCs w:val="18"/>
                      <w:highlight w:val="none"/>
                    </w:rPr>
                    <w:t>建设项目类型及其选址、布局、规模等不符合环境保护法律法规和相关法定规划。</w:t>
                  </w:r>
                </w:p>
              </w:tc>
              <w:tc>
                <w:tcPr>
                  <w:tcW w:w="4229" w:type="dxa"/>
                  <w:tcBorders>
                    <w:top w:val="single" w:color="auto" w:sz="4" w:space="0"/>
                    <w:left w:val="single" w:color="auto" w:sz="4" w:space="0"/>
                    <w:bottom w:val="single" w:color="auto" w:sz="4" w:space="0"/>
                    <w:right w:val="single" w:color="auto" w:sz="4" w:space="0"/>
                  </w:tcBorders>
                  <w:vAlign w:val="center"/>
                </w:tcPr>
                <w:p w14:paraId="14FC9812">
                  <w:pPr>
                    <w:keepNext w:val="0"/>
                    <w:keepLines w:val="0"/>
                    <w:widowControl/>
                    <w:suppressLineNumbers w:val="0"/>
                    <w:adjustRightInd w:val="0"/>
                    <w:snapToGrid w:val="0"/>
                    <w:spacing w:before="0" w:beforeAutospacing="0" w:after="0" w:afterAutospacing="0" w:line="264" w:lineRule="auto"/>
                    <w:ind w:left="0" w:right="0"/>
                    <w:rPr>
                      <w:rFonts w:hint="default" w:ascii="宋体" w:cs="宋体"/>
                      <w:sz w:val="18"/>
                      <w:szCs w:val="18"/>
                      <w:highlight w:val="none"/>
                    </w:rPr>
                  </w:pPr>
                  <w:r>
                    <w:rPr>
                      <w:rFonts w:hint="eastAsia" w:ascii="宋体" w:hAnsi="宋体" w:cs="宋体"/>
                      <w:kern w:val="0"/>
                      <w:sz w:val="18"/>
                      <w:szCs w:val="18"/>
                      <w:highlight w:val="none"/>
                    </w:rPr>
                    <w:t>建设项目类型及其选址布局、规模等符合环境保护法律法规，并且也符合</w:t>
                  </w:r>
                  <w:r>
                    <w:rPr>
                      <w:rFonts w:hint="eastAsia" w:ascii="宋体" w:hAnsi="宋体" w:cs="宋体"/>
                      <w:kern w:val="0"/>
                      <w:sz w:val="18"/>
                      <w:szCs w:val="18"/>
                      <w:highlight w:val="none"/>
                      <w:lang w:eastAsia="zh-CN"/>
                    </w:rPr>
                    <w:t>“</w:t>
                  </w:r>
                  <w:r>
                    <w:rPr>
                      <w:rFonts w:hint="eastAsia" w:ascii="宋体" w:hAnsi="宋体" w:cs="宋体"/>
                      <w:kern w:val="0"/>
                      <w:sz w:val="18"/>
                      <w:szCs w:val="18"/>
                      <w:highlight w:val="none"/>
                    </w:rPr>
                    <w:t>三线一单</w:t>
                  </w:r>
                  <w:r>
                    <w:rPr>
                      <w:rFonts w:hint="eastAsia" w:ascii="宋体" w:hAnsi="宋体" w:cs="宋体"/>
                      <w:kern w:val="0"/>
                      <w:sz w:val="18"/>
                      <w:szCs w:val="18"/>
                      <w:highlight w:val="none"/>
                      <w:lang w:eastAsia="zh-CN"/>
                    </w:rPr>
                    <w:t>”</w:t>
                  </w:r>
                  <w:r>
                    <w:rPr>
                      <w:rFonts w:hint="eastAsia" w:ascii="宋体" w:hAnsi="宋体" w:cs="宋体"/>
                      <w:kern w:val="0"/>
                      <w:sz w:val="18"/>
                      <w:szCs w:val="18"/>
                      <w:highlight w:val="none"/>
                    </w:rPr>
                    <w:t>的要求。</w:t>
                  </w:r>
                </w:p>
              </w:tc>
              <w:tc>
                <w:tcPr>
                  <w:tcW w:w="664" w:type="dxa"/>
                  <w:vMerge w:val="restart"/>
                  <w:tcBorders>
                    <w:top w:val="single" w:color="auto" w:sz="4" w:space="0"/>
                    <w:left w:val="single" w:color="auto" w:sz="4" w:space="0"/>
                    <w:bottom w:val="single" w:color="auto" w:sz="4" w:space="0"/>
                    <w:right w:val="single" w:color="auto" w:sz="4" w:space="0"/>
                  </w:tcBorders>
                  <w:vAlign w:val="center"/>
                </w:tcPr>
                <w:p w14:paraId="6E277CC1">
                  <w:pPr>
                    <w:keepNext w:val="0"/>
                    <w:keepLines w:val="0"/>
                    <w:suppressLineNumbers w:val="0"/>
                    <w:adjustRightInd w:val="0"/>
                    <w:snapToGrid w:val="0"/>
                    <w:spacing w:before="0" w:beforeAutospacing="0" w:after="0" w:afterAutospacing="0" w:line="264" w:lineRule="auto"/>
                    <w:ind w:left="0" w:right="0"/>
                    <w:jc w:val="center"/>
                    <w:rPr>
                      <w:rFonts w:hint="default" w:ascii="宋体" w:cs="宋体"/>
                      <w:sz w:val="18"/>
                      <w:szCs w:val="18"/>
                      <w:highlight w:val="none"/>
                    </w:rPr>
                  </w:pPr>
                  <w:r>
                    <w:rPr>
                      <w:rFonts w:hint="eastAsia" w:ascii="宋体" w:hAnsi="宋体" w:cs="宋体"/>
                      <w:sz w:val="18"/>
                      <w:szCs w:val="18"/>
                      <w:highlight w:val="none"/>
                    </w:rPr>
                    <w:t>不属于不批准情形</w:t>
                  </w:r>
                </w:p>
              </w:tc>
            </w:tr>
            <w:tr w14:paraId="6EB3EBE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90" w:hRule="atLeast"/>
                <w:jc w:val="center"/>
              </w:trPr>
              <w:tc>
                <w:tcPr>
                  <w:tcW w:w="517" w:type="dxa"/>
                  <w:vMerge w:val="continue"/>
                  <w:tcBorders>
                    <w:top w:val="single" w:color="auto" w:sz="4" w:space="0"/>
                    <w:left w:val="single" w:color="auto" w:sz="4" w:space="0"/>
                    <w:bottom w:val="single" w:color="auto" w:sz="4" w:space="0"/>
                    <w:right w:val="single" w:color="auto" w:sz="4" w:space="0"/>
                  </w:tcBorders>
                  <w:vAlign w:val="center"/>
                </w:tcPr>
                <w:p w14:paraId="7CBD9858">
                  <w:pPr>
                    <w:keepNext w:val="0"/>
                    <w:keepLines w:val="0"/>
                    <w:suppressLineNumbers w:val="0"/>
                    <w:adjustRightInd w:val="0"/>
                    <w:snapToGrid w:val="0"/>
                    <w:spacing w:before="0" w:beforeAutospacing="0" w:after="0" w:afterAutospacing="0" w:line="264" w:lineRule="auto"/>
                    <w:ind w:left="0" w:right="0"/>
                    <w:rPr>
                      <w:rFonts w:hint="default"/>
                      <w:sz w:val="18"/>
                      <w:szCs w:val="18"/>
                      <w:highlight w:val="none"/>
                    </w:rPr>
                  </w:pPr>
                </w:p>
              </w:tc>
              <w:tc>
                <w:tcPr>
                  <w:tcW w:w="2770" w:type="dxa"/>
                  <w:tcBorders>
                    <w:top w:val="single" w:color="auto" w:sz="4" w:space="0"/>
                    <w:left w:val="single" w:color="auto" w:sz="4" w:space="0"/>
                    <w:bottom w:val="single" w:color="auto" w:sz="4" w:space="0"/>
                    <w:right w:val="single" w:color="auto" w:sz="4" w:space="0"/>
                  </w:tcBorders>
                  <w:vAlign w:val="center"/>
                </w:tcPr>
                <w:p w14:paraId="67AF039F">
                  <w:pPr>
                    <w:keepNext w:val="0"/>
                    <w:keepLines w:val="0"/>
                    <w:widowControl/>
                    <w:suppressLineNumbers w:val="0"/>
                    <w:adjustRightInd w:val="0"/>
                    <w:snapToGrid w:val="0"/>
                    <w:spacing w:before="0" w:beforeAutospacing="0" w:after="0" w:afterAutospacing="0" w:line="264" w:lineRule="auto"/>
                    <w:ind w:left="0" w:right="0"/>
                    <w:rPr>
                      <w:rFonts w:hint="default" w:ascii="宋体" w:cs="宋体"/>
                      <w:kern w:val="0"/>
                      <w:sz w:val="18"/>
                      <w:szCs w:val="18"/>
                      <w:highlight w:val="none"/>
                    </w:rPr>
                  </w:pPr>
                  <w:r>
                    <w:rPr>
                      <w:rFonts w:hint="eastAsia" w:ascii="宋体" w:hAnsi="宋体" w:cs="宋体"/>
                      <w:kern w:val="0"/>
                      <w:sz w:val="18"/>
                      <w:szCs w:val="18"/>
                      <w:highlight w:val="none"/>
                    </w:rPr>
                    <w:t>所在区域环境质量未达到国家或者地方环境质量标准，且建设项目拟采取的措施不能满足区域环境质量改善目标管理要求。</w:t>
                  </w:r>
                </w:p>
              </w:tc>
              <w:tc>
                <w:tcPr>
                  <w:tcW w:w="4229" w:type="dxa"/>
                  <w:tcBorders>
                    <w:top w:val="single" w:color="auto" w:sz="4" w:space="0"/>
                    <w:left w:val="single" w:color="auto" w:sz="4" w:space="0"/>
                    <w:bottom w:val="single" w:color="auto" w:sz="4" w:space="0"/>
                    <w:right w:val="single" w:color="auto" w:sz="4" w:space="0"/>
                  </w:tcBorders>
                  <w:vAlign w:val="center"/>
                </w:tcPr>
                <w:p w14:paraId="7820B82F">
                  <w:pPr>
                    <w:keepNext w:val="0"/>
                    <w:keepLines w:val="0"/>
                    <w:widowControl/>
                    <w:suppressLineNumbers w:val="0"/>
                    <w:adjustRightInd w:val="0"/>
                    <w:snapToGrid w:val="0"/>
                    <w:spacing w:before="0" w:beforeAutospacing="0" w:after="0" w:afterAutospacing="0" w:line="264" w:lineRule="auto"/>
                    <w:ind w:left="0" w:right="0"/>
                    <w:rPr>
                      <w:rFonts w:hint="default" w:ascii="宋体" w:cs="宋体"/>
                      <w:kern w:val="0"/>
                      <w:sz w:val="18"/>
                      <w:szCs w:val="18"/>
                      <w:highlight w:val="none"/>
                    </w:rPr>
                  </w:pPr>
                  <w:r>
                    <w:rPr>
                      <w:rFonts w:hint="eastAsia" w:ascii="宋体" w:hAnsi="宋体" w:cs="宋体"/>
                      <w:kern w:val="0"/>
                      <w:sz w:val="18"/>
                      <w:szCs w:val="18"/>
                      <w:highlight w:val="none"/>
                    </w:rPr>
                    <w:t>项目所在地大气环境、声环境、土壤环境现状较好，均能达到相应环境质量标准。项目废水经预处理后纳管，建设项目拟采取的措施可满足区域环境质量改善目标管理要求。</w:t>
                  </w:r>
                </w:p>
              </w:tc>
              <w:tc>
                <w:tcPr>
                  <w:tcW w:w="664" w:type="dxa"/>
                  <w:vMerge w:val="continue"/>
                  <w:tcBorders>
                    <w:top w:val="single" w:color="auto" w:sz="4" w:space="0"/>
                    <w:left w:val="single" w:color="auto" w:sz="4" w:space="0"/>
                    <w:bottom w:val="single" w:color="auto" w:sz="4" w:space="0"/>
                    <w:right w:val="single" w:color="auto" w:sz="4" w:space="0"/>
                  </w:tcBorders>
                  <w:vAlign w:val="center"/>
                </w:tcPr>
                <w:p w14:paraId="2D1F3D99">
                  <w:pPr>
                    <w:keepNext w:val="0"/>
                    <w:keepLines w:val="0"/>
                    <w:suppressLineNumbers w:val="0"/>
                    <w:adjustRightInd w:val="0"/>
                    <w:snapToGrid w:val="0"/>
                    <w:spacing w:before="0" w:beforeAutospacing="0" w:after="0" w:afterAutospacing="0" w:line="264" w:lineRule="auto"/>
                    <w:ind w:left="0" w:right="0"/>
                    <w:jc w:val="center"/>
                    <w:rPr>
                      <w:rFonts w:hint="default" w:ascii="宋体" w:cs="宋体"/>
                      <w:kern w:val="0"/>
                      <w:sz w:val="18"/>
                      <w:szCs w:val="18"/>
                      <w:highlight w:val="none"/>
                    </w:rPr>
                  </w:pPr>
                </w:p>
              </w:tc>
            </w:tr>
            <w:tr w14:paraId="2650A2B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91" w:hRule="atLeast"/>
                <w:jc w:val="center"/>
              </w:trPr>
              <w:tc>
                <w:tcPr>
                  <w:tcW w:w="517" w:type="dxa"/>
                  <w:vMerge w:val="continue"/>
                  <w:tcBorders>
                    <w:top w:val="single" w:color="auto" w:sz="4" w:space="0"/>
                    <w:left w:val="single" w:color="auto" w:sz="4" w:space="0"/>
                    <w:bottom w:val="single" w:color="auto" w:sz="4" w:space="0"/>
                    <w:right w:val="single" w:color="auto" w:sz="4" w:space="0"/>
                  </w:tcBorders>
                  <w:vAlign w:val="center"/>
                </w:tcPr>
                <w:p w14:paraId="53B0CB43">
                  <w:pPr>
                    <w:keepNext w:val="0"/>
                    <w:keepLines w:val="0"/>
                    <w:suppressLineNumbers w:val="0"/>
                    <w:adjustRightInd w:val="0"/>
                    <w:snapToGrid w:val="0"/>
                    <w:spacing w:before="0" w:beforeAutospacing="0" w:after="0" w:afterAutospacing="0" w:line="264" w:lineRule="auto"/>
                    <w:ind w:left="0" w:right="0"/>
                    <w:rPr>
                      <w:rFonts w:hint="default" w:ascii="宋体" w:cs="宋体"/>
                      <w:kern w:val="0"/>
                      <w:sz w:val="18"/>
                      <w:szCs w:val="18"/>
                      <w:highlight w:val="none"/>
                    </w:rPr>
                  </w:pPr>
                </w:p>
              </w:tc>
              <w:tc>
                <w:tcPr>
                  <w:tcW w:w="2770" w:type="dxa"/>
                  <w:tcBorders>
                    <w:top w:val="single" w:color="auto" w:sz="4" w:space="0"/>
                    <w:left w:val="single" w:color="auto" w:sz="4" w:space="0"/>
                    <w:bottom w:val="single" w:color="auto" w:sz="4" w:space="0"/>
                    <w:right w:val="single" w:color="auto" w:sz="4" w:space="0"/>
                  </w:tcBorders>
                  <w:vAlign w:val="center"/>
                </w:tcPr>
                <w:p w14:paraId="29980E60">
                  <w:pPr>
                    <w:keepNext w:val="0"/>
                    <w:keepLines w:val="0"/>
                    <w:widowControl/>
                    <w:suppressLineNumbers w:val="0"/>
                    <w:adjustRightInd w:val="0"/>
                    <w:snapToGrid w:val="0"/>
                    <w:spacing w:before="0" w:beforeAutospacing="0" w:after="0" w:afterAutospacing="0" w:line="264" w:lineRule="auto"/>
                    <w:ind w:left="0" w:right="0"/>
                    <w:rPr>
                      <w:rFonts w:hint="default" w:ascii="宋体" w:cs="宋体"/>
                      <w:kern w:val="0"/>
                      <w:sz w:val="18"/>
                      <w:szCs w:val="18"/>
                      <w:highlight w:val="none"/>
                    </w:rPr>
                  </w:pPr>
                  <w:r>
                    <w:rPr>
                      <w:rFonts w:hint="eastAsia" w:ascii="宋体" w:hAnsi="宋体" w:cs="宋体"/>
                      <w:kern w:val="0"/>
                      <w:sz w:val="18"/>
                      <w:szCs w:val="18"/>
                      <w:highlight w:val="none"/>
                    </w:rPr>
                    <w:t>建设项目采取的污染防治措施无法确保污染物排放达到国家和地方排放标准，或者未采取必要措施预防和控制生态破坏。</w:t>
                  </w:r>
                </w:p>
              </w:tc>
              <w:tc>
                <w:tcPr>
                  <w:tcW w:w="4229" w:type="dxa"/>
                  <w:tcBorders>
                    <w:top w:val="single" w:color="auto" w:sz="4" w:space="0"/>
                    <w:left w:val="single" w:color="auto" w:sz="4" w:space="0"/>
                    <w:bottom w:val="single" w:color="auto" w:sz="4" w:space="0"/>
                    <w:right w:val="single" w:color="auto" w:sz="4" w:space="0"/>
                  </w:tcBorders>
                  <w:vAlign w:val="center"/>
                </w:tcPr>
                <w:p w14:paraId="3EDC69C9">
                  <w:pPr>
                    <w:keepNext w:val="0"/>
                    <w:keepLines w:val="0"/>
                    <w:widowControl/>
                    <w:suppressLineNumbers w:val="0"/>
                    <w:adjustRightInd w:val="0"/>
                    <w:snapToGrid w:val="0"/>
                    <w:spacing w:before="0" w:beforeAutospacing="0" w:after="0" w:afterAutospacing="0" w:line="264" w:lineRule="auto"/>
                    <w:ind w:left="0" w:right="0"/>
                    <w:rPr>
                      <w:rFonts w:hint="default" w:ascii="宋体" w:cs="宋体"/>
                      <w:kern w:val="0"/>
                      <w:sz w:val="18"/>
                      <w:szCs w:val="18"/>
                      <w:highlight w:val="none"/>
                    </w:rPr>
                  </w:pPr>
                  <w:r>
                    <w:rPr>
                      <w:rFonts w:hint="eastAsia" w:ascii="宋体" w:hAnsi="宋体" w:cs="宋体"/>
                      <w:kern w:val="0"/>
                      <w:sz w:val="18"/>
                      <w:szCs w:val="18"/>
                      <w:highlight w:val="none"/>
                    </w:rPr>
                    <w:t>项目运营过程中各类污染源均可得到有效控制并能做到达标排放。</w:t>
                  </w:r>
                </w:p>
              </w:tc>
              <w:tc>
                <w:tcPr>
                  <w:tcW w:w="664" w:type="dxa"/>
                  <w:vMerge w:val="continue"/>
                  <w:tcBorders>
                    <w:top w:val="single" w:color="auto" w:sz="4" w:space="0"/>
                    <w:left w:val="single" w:color="auto" w:sz="4" w:space="0"/>
                    <w:bottom w:val="single" w:color="auto" w:sz="4" w:space="0"/>
                    <w:right w:val="single" w:color="auto" w:sz="4" w:space="0"/>
                  </w:tcBorders>
                  <w:vAlign w:val="center"/>
                </w:tcPr>
                <w:p w14:paraId="339F878A">
                  <w:pPr>
                    <w:keepNext w:val="0"/>
                    <w:keepLines w:val="0"/>
                    <w:suppressLineNumbers w:val="0"/>
                    <w:adjustRightInd w:val="0"/>
                    <w:snapToGrid w:val="0"/>
                    <w:spacing w:before="0" w:beforeAutospacing="0" w:after="0" w:afterAutospacing="0" w:line="264" w:lineRule="auto"/>
                    <w:ind w:left="0" w:right="0"/>
                    <w:jc w:val="center"/>
                    <w:rPr>
                      <w:rFonts w:hint="default" w:ascii="宋体" w:cs="宋体"/>
                      <w:kern w:val="0"/>
                      <w:sz w:val="18"/>
                      <w:szCs w:val="18"/>
                      <w:highlight w:val="none"/>
                    </w:rPr>
                  </w:pPr>
                </w:p>
              </w:tc>
            </w:tr>
            <w:tr w14:paraId="3DD28F8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488" w:hRule="atLeast"/>
                <w:jc w:val="center"/>
              </w:trPr>
              <w:tc>
                <w:tcPr>
                  <w:tcW w:w="517" w:type="dxa"/>
                  <w:vMerge w:val="continue"/>
                  <w:tcBorders>
                    <w:top w:val="single" w:color="auto" w:sz="4" w:space="0"/>
                    <w:left w:val="single" w:color="auto" w:sz="4" w:space="0"/>
                    <w:bottom w:val="single" w:color="auto" w:sz="4" w:space="0"/>
                    <w:right w:val="single" w:color="auto" w:sz="4" w:space="0"/>
                  </w:tcBorders>
                  <w:vAlign w:val="center"/>
                </w:tcPr>
                <w:p w14:paraId="746F6ADB">
                  <w:pPr>
                    <w:keepNext w:val="0"/>
                    <w:keepLines w:val="0"/>
                    <w:suppressLineNumbers w:val="0"/>
                    <w:adjustRightInd w:val="0"/>
                    <w:snapToGrid w:val="0"/>
                    <w:spacing w:before="0" w:beforeAutospacing="0" w:after="0" w:afterAutospacing="0" w:line="264" w:lineRule="auto"/>
                    <w:ind w:left="0" w:right="0"/>
                    <w:rPr>
                      <w:rFonts w:hint="default" w:ascii="宋体" w:cs="宋体"/>
                      <w:kern w:val="0"/>
                      <w:sz w:val="18"/>
                      <w:szCs w:val="18"/>
                      <w:highlight w:val="none"/>
                    </w:rPr>
                  </w:pPr>
                </w:p>
              </w:tc>
              <w:tc>
                <w:tcPr>
                  <w:tcW w:w="2770" w:type="dxa"/>
                  <w:tcBorders>
                    <w:top w:val="single" w:color="auto" w:sz="4" w:space="0"/>
                    <w:left w:val="single" w:color="auto" w:sz="4" w:space="0"/>
                    <w:bottom w:val="single" w:color="auto" w:sz="4" w:space="0"/>
                    <w:right w:val="single" w:color="auto" w:sz="4" w:space="0"/>
                  </w:tcBorders>
                  <w:vAlign w:val="center"/>
                </w:tcPr>
                <w:p w14:paraId="2B27EF40">
                  <w:pPr>
                    <w:keepNext w:val="0"/>
                    <w:keepLines w:val="0"/>
                    <w:widowControl/>
                    <w:suppressLineNumbers w:val="0"/>
                    <w:adjustRightInd w:val="0"/>
                    <w:snapToGrid w:val="0"/>
                    <w:spacing w:before="0" w:beforeAutospacing="0" w:after="0" w:afterAutospacing="0" w:line="264" w:lineRule="auto"/>
                    <w:ind w:left="0" w:right="0"/>
                    <w:rPr>
                      <w:rFonts w:hint="default" w:ascii="宋体" w:cs="宋体"/>
                      <w:kern w:val="0"/>
                      <w:sz w:val="18"/>
                      <w:szCs w:val="18"/>
                      <w:highlight w:val="none"/>
                    </w:rPr>
                  </w:pPr>
                  <w:r>
                    <w:rPr>
                      <w:rFonts w:hint="eastAsia" w:ascii="宋体" w:hAnsi="宋体" w:cs="宋体"/>
                      <w:kern w:val="0"/>
                      <w:sz w:val="18"/>
                      <w:szCs w:val="18"/>
                      <w:highlight w:val="none"/>
                    </w:rPr>
                    <w:t>改建、扩建和技术改造项目，未针对项目原有环境污染和生态破坏提出有效防治措施。</w:t>
                  </w:r>
                </w:p>
              </w:tc>
              <w:tc>
                <w:tcPr>
                  <w:tcW w:w="4229" w:type="dxa"/>
                  <w:tcBorders>
                    <w:top w:val="single" w:color="auto" w:sz="4" w:space="0"/>
                    <w:left w:val="single" w:color="auto" w:sz="4" w:space="0"/>
                    <w:bottom w:val="single" w:color="auto" w:sz="4" w:space="0"/>
                    <w:right w:val="single" w:color="auto" w:sz="4" w:space="0"/>
                  </w:tcBorders>
                  <w:vAlign w:val="center"/>
                </w:tcPr>
                <w:p w14:paraId="685A5F0A">
                  <w:pPr>
                    <w:keepNext w:val="0"/>
                    <w:keepLines w:val="0"/>
                    <w:suppressLineNumbers w:val="0"/>
                    <w:adjustRightInd w:val="0"/>
                    <w:snapToGrid w:val="0"/>
                    <w:spacing w:before="0" w:beforeAutospacing="0" w:after="0" w:afterAutospacing="0" w:line="264" w:lineRule="auto"/>
                    <w:ind w:left="0" w:right="0"/>
                    <w:rPr>
                      <w:rFonts w:hint="default" w:ascii="宋体" w:cs="宋体"/>
                      <w:kern w:val="0"/>
                      <w:sz w:val="18"/>
                      <w:szCs w:val="18"/>
                      <w:highlight w:val="none"/>
                    </w:rPr>
                  </w:pPr>
                  <w:r>
                    <w:rPr>
                      <w:rFonts w:hint="eastAsia" w:ascii="宋体" w:hAnsi="宋体" w:cs="宋体"/>
                      <w:kern w:val="0"/>
                      <w:sz w:val="18"/>
                      <w:szCs w:val="18"/>
                      <w:highlight w:val="none"/>
                    </w:rPr>
                    <w:t>本项目为新建项目，不存在原有环境污染和生态破坏问题。</w:t>
                  </w:r>
                </w:p>
              </w:tc>
              <w:tc>
                <w:tcPr>
                  <w:tcW w:w="664" w:type="dxa"/>
                  <w:vMerge w:val="continue"/>
                  <w:tcBorders>
                    <w:top w:val="single" w:color="auto" w:sz="4" w:space="0"/>
                    <w:left w:val="single" w:color="auto" w:sz="4" w:space="0"/>
                    <w:bottom w:val="single" w:color="auto" w:sz="4" w:space="0"/>
                    <w:right w:val="single" w:color="auto" w:sz="4" w:space="0"/>
                  </w:tcBorders>
                  <w:vAlign w:val="center"/>
                </w:tcPr>
                <w:p w14:paraId="29A6800E">
                  <w:pPr>
                    <w:keepNext w:val="0"/>
                    <w:keepLines w:val="0"/>
                    <w:suppressLineNumbers w:val="0"/>
                    <w:adjustRightInd w:val="0"/>
                    <w:snapToGrid w:val="0"/>
                    <w:spacing w:before="0" w:beforeAutospacing="0" w:after="0" w:afterAutospacing="0" w:line="264" w:lineRule="auto"/>
                    <w:ind w:left="0" w:right="0"/>
                    <w:jc w:val="center"/>
                    <w:rPr>
                      <w:rFonts w:hint="default" w:ascii="宋体" w:cs="宋体"/>
                      <w:kern w:val="0"/>
                      <w:sz w:val="18"/>
                      <w:szCs w:val="18"/>
                      <w:highlight w:val="none"/>
                    </w:rPr>
                  </w:pPr>
                </w:p>
              </w:tc>
            </w:tr>
            <w:tr w14:paraId="30E96F9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488" w:hRule="atLeast"/>
                <w:jc w:val="center"/>
              </w:trPr>
              <w:tc>
                <w:tcPr>
                  <w:tcW w:w="517" w:type="dxa"/>
                  <w:vMerge w:val="continue"/>
                  <w:tcBorders>
                    <w:top w:val="single" w:color="auto" w:sz="4" w:space="0"/>
                    <w:left w:val="single" w:color="auto" w:sz="4" w:space="0"/>
                    <w:bottom w:val="single" w:color="auto" w:sz="4" w:space="0"/>
                    <w:right w:val="single" w:color="auto" w:sz="4" w:space="0"/>
                  </w:tcBorders>
                  <w:vAlign w:val="center"/>
                </w:tcPr>
                <w:p w14:paraId="53F4921E">
                  <w:pPr>
                    <w:keepNext w:val="0"/>
                    <w:keepLines w:val="0"/>
                    <w:suppressLineNumbers w:val="0"/>
                    <w:adjustRightInd w:val="0"/>
                    <w:snapToGrid w:val="0"/>
                    <w:spacing w:before="0" w:beforeAutospacing="0" w:after="0" w:afterAutospacing="0" w:line="264" w:lineRule="auto"/>
                    <w:ind w:left="0" w:right="0"/>
                    <w:rPr>
                      <w:rFonts w:hint="default" w:ascii="宋体" w:cs="宋体"/>
                      <w:kern w:val="0"/>
                      <w:sz w:val="18"/>
                      <w:szCs w:val="18"/>
                      <w:highlight w:val="none"/>
                    </w:rPr>
                  </w:pPr>
                </w:p>
              </w:tc>
              <w:tc>
                <w:tcPr>
                  <w:tcW w:w="2770" w:type="dxa"/>
                  <w:tcBorders>
                    <w:top w:val="single" w:color="auto" w:sz="4" w:space="0"/>
                    <w:left w:val="single" w:color="auto" w:sz="4" w:space="0"/>
                    <w:bottom w:val="single" w:color="auto" w:sz="4" w:space="0"/>
                    <w:right w:val="single" w:color="auto" w:sz="4" w:space="0"/>
                  </w:tcBorders>
                  <w:vAlign w:val="center"/>
                </w:tcPr>
                <w:p w14:paraId="39DBB0E9">
                  <w:pPr>
                    <w:keepNext w:val="0"/>
                    <w:keepLines w:val="0"/>
                    <w:suppressLineNumbers w:val="0"/>
                    <w:adjustRightInd w:val="0"/>
                    <w:snapToGrid w:val="0"/>
                    <w:spacing w:before="0" w:beforeAutospacing="0" w:after="0" w:afterAutospacing="0" w:line="264" w:lineRule="auto"/>
                    <w:ind w:left="0" w:right="0"/>
                    <w:rPr>
                      <w:rFonts w:hint="default" w:ascii="宋体" w:cs="宋体"/>
                      <w:kern w:val="0"/>
                      <w:sz w:val="18"/>
                      <w:szCs w:val="18"/>
                      <w:highlight w:val="none"/>
                    </w:rPr>
                  </w:pPr>
                  <w:r>
                    <w:rPr>
                      <w:rFonts w:hint="eastAsia" w:ascii="宋体" w:hAnsi="宋体" w:cs="宋体"/>
                      <w:kern w:val="0"/>
                      <w:sz w:val="18"/>
                      <w:szCs w:val="18"/>
                      <w:highlight w:val="none"/>
                    </w:rPr>
                    <w:t>建设项目的环境影响报告书、环境影响报告表的基础资料数据明显不实，内容存在重大缺陷、遗漏，或者环境影响评价结论不明确、不合理。</w:t>
                  </w:r>
                </w:p>
              </w:tc>
              <w:tc>
                <w:tcPr>
                  <w:tcW w:w="4229" w:type="dxa"/>
                  <w:tcBorders>
                    <w:top w:val="single" w:color="auto" w:sz="4" w:space="0"/>
                    <w:left w:val="single" w:color="auto" w:sz="4" w:space="0"/>
                    <w:bottom w:val="single" w:color="auto" w:sz="4" w:space="0"/>
                    <w:right w:val="single" w:color="auto" w:sz="4" w:space="0"/>
                  </w:tcBorders>
                  <w:vAlign w:val="center"/>
                </w:tcPr>
                <w:p w14:paraId="779B1E63">
                  <w:pPr>
                    <w:keepNext w:val="0"/>
                    <w:keepLines w:val="0"/>
                    <w:widowControl/>
                    <w:suppressLineNumbers w:val="0"/>
                    <w:adjustRightInd w:val="0"/>
                    <w:snapToGrid w:val="0"/>
                    <w:spacing w:before="0" w:beforeAutospacing="0" w:after="0" w:afterAutospacing="0" w:line="264" w:lineRule="auto"/>
                    <w:ind w:left="0" w:right="0"/>
                    <w:rPr>
                      <w:rFonts w:hint="default" w:ascii="宋体" w:cs="宋体"/>
                      <w:kern w:val="0"/>
                      <w:sz w:val="18"/>
                      <w:szCs w:val="18"/>
                      <w:highlight w:val="none"/>
                    </w:rPr>
                  </w:pPr>
                  <w:r>
                    <w:rPr>
                      <w:rFonts w:hint="eastAsia" w:ascii="宋体" w:hAnsi="宋体" w:cs="宋体"/>
                      <w:kern w:val="0"/>
                      <w:sz w:val="18"/>
                      <w:szCs w:val="18"/>
                      <w:highlight w:val="none"/>
                    </w:rPr>
                    <w:t>环评报告采用的基础资料数据均采用项目方实际建设申报内容，环境监测数据均引用规范文件。根据内部审核，不存在重大缺陷和遗漏。</w:t>
                  </w:r>
                </w:p>
              </w:tc>
              <w:tc>
                <w:tcPr>
                  <w:tcW w:w="664" w:type="dxa"/>
                  <w:vMerge w:val="continue"/>
                  <w:tcBorders>
                    <w:top w:val="single" w:color="auto" w:sz="4" w:space="0"/>
                    <w:left w:val="single" w:color="auto" w:sz="4" w:space="0"/>
                    <w:bottom w:val="single" w:color="auto" w:sz="4" w:space="0"/>
                    <w:right w:val="single" w:color="auto" w:sz="4" w:space="0"/>
                  </w:tcBorders>
                  <w:vAlign w:val="center"/>
                </w:tcPr>
                <w:p w14:paraId="49F5A7A9">
                  <w:pPr>
                    <w:keepNext w:val="0"/>
                    <w:keepLines w:val="0"/>
                    <w:suppressLineNumbers w:val="0"/>
                    <w:adjustRightInd w:val="0"/>
                    <w:snapToGrid w:val="0"/>
                    <w:spacing w:before="0" w:beforeAutospacing="0" w:after="0" w:afterAutospacing="0" w:line="264" w:lineRule="auto"/>
                    <w:ind w:left="0" w:right="0"/>
                    <w:jc w:val="center"/>
                    <w:rPr>
                      <w:rFonts w:hint="default" w:ascii="宋体" w:cs="宋体"/>
                      <w:kern w:val="0"/>
                      <w:sz w:val="18"/>
                      <w:szCs w:val="18"/>
                      <w:highlight w:val="none"/>
                    </w:rPr>
                  </w:pPr>
                </w:p>
              </w:tc>
            </w:tr>
          </w:tbl>
          <w:p w14:paraId="301196FF">
            <w:pPr>
              <w:keepNext w:val="0"/>
              <w:keepLines w:val="0"/>
              <w:suppressLineNumbers w:val="0"/>
              <w:adjustRightInd w:val="0"/>
              <w:snapToGrid w:val="0"/>
              <w:spacing w:before="0" w:beforeAutospacing="0" w:after="0" w:afterAutospacing="0" w:line="360" w:lineRule="auto"/>
              <w:ind w:left="0" w:right="0" w:firstLine="480" w:firstLineChars="200"/>
              <w:rPr>
                <w:rFonts w:hint="eastAsia"/>
                <w:highlight w:val="none"/>
              </w:rPr>
            </w:pPr>
            <w:r>
              <w:rPr>
                <w:rFonts w:hint="eastAsia"/>
                <w:sz w:val="24"/>
                <w:highlight w:val="none"/>
              </w:rPr>
              <w:t>由表</w:t>
            </w:r>
            <w:r>
              <w:rPr>
                <w:rFonts w:hint="default"/>
                <w:sz w:val="24"/>
                <w:highlight w:val="none"/>
              </w:rPr>
              <w:t>1-</w:t>
            </w:r>
            <w:r>
              <w:rPr>
                <w:rFonts w:hint="eastAsia"/>
                <w:sz w:val="24"/>
                <w:highlight w:val="none"/>
                <w:lang w:val="en-US" w:eastAsia="zh-CN"/>
              </w:rPr>
              <w:t>11</w:t>
            </w:r>
            <w:r>
              <w:rPr>
                <w:rFonts w:hint="eastAsia"/>
                <w:sz w:val="24"/>
                <w:highlight w:val="none"/>
              </w:rPr>
              <w:t>可知，项目符合《建设项目环境保护管理条例》“四性五不批”相关要求。</w:t>
            </w:r>
          </w:p>
          <w:p w14:paraId="27152276">
            <w:pPr>
              <w:keepNext w:val="0"/>
              <w:keepLines w:val="0"/>
              <w:suppressLineNumbers w:val="0"/>
              <w:adjustRightInd w:val="0"/>
              <w:snapToGrid w:val="0"/>
              <w:spacing w:before="0" w:beforeAutospacing="0" w:after="0" w:afterAutospacing="0" w:line="360" w:lineRule="auto"/>
              <w:ind w:left="0" w:right="0" w:firstLine="480" w:firstLineChars="200"/>
              <w:rPr>
                <w:rFonts w:hint="eastAsia"/>
                <w:highlight w:val="none"/>
              </w:rPr>
            </w:pPr>
          </w:p>
          <w:p w14:paraId="2E290E0B">
            <w:pPr>
              <w:keepNext w:val="0"/>
              <w:keepLines w:val="0"/>
              <w:suppressLineNumbers w:val="0"/>
              <w:adjustRightInd w:val="0"/>
              <w:snapToGrid w:val="0"/>
              <w:spacing w:before="0" w:beforeAutospacing="0" w:after="0" w:afterAutospacing="0" w:line="360" w:lineRule="auto"/>
              <w:ind w:left="0" w:right="0" w:firstLine="480" w:firstLineChars="200"/>
              <w:rPr>
                <w:rFonts w:hint="eastAsia"/>
                <w:highlight w:val="none"/>
              </w:rPr>
            </w:pPr>
          </w:p>
          <w:p w14:paraId="3901C990">
            <w:pPr>
              <w:keepNext w:val="0"/>
              <w:keepLines w:val="0"/>
              <w:suppressLineNumbers w:val="0"/>
              <w:adjustRightInd w:val="0"/>
              <w:snapToGrid w:val="0"/>
              <w:spacing w:before="0" w:beforeAutospacing="0" w:after="0" w:afterAutospacing="0" w:line="360" w:lineRule="auto"/>
              <w:ind w:left="0" w:right="0" w:firstLine="480" w:firstLineChars="200"/>
              <w:rPr>
                <w:rFonts w:hint="eastAsia"/>
                <w:highlight w:val="none"/>
              </w:rPr>
            </w:pPr>
          </w:p>
          <w:p w14:paraId="44F82315">
            <w:pPr>
              <w:pStyle w:val="7"/>
              <w:keepNext w:val="0"/>
              <w:keepLines w:val="0"/>
              <w:suppressLineNumbers w:val="0"/>
              <w:spacing w:before="0" w:beforeAutospacing="0" w:after="0" w:afterAutospacing="0" w:line="360" w:lineRule="auto"/>
              <w:ind w:left="0" w:leftChars="0" w:right="0" w:firstLine="0" w:firstLineChars="0"/>
              <w:rPr>
                <w:rFonts w:hint="default"/>
                <w:szCs w:val="21"/>
                <w:highlight w:val="none"/>
              </w:rPr>
            </w:pPr>
          </w:p>
        </w:tc>
      </w:tr>
    </w:tbl>
    <w:p w14:paraId="184E0BB4">
      <w:pPr>
        <w:rPr>
          <w:highlight w:val="none"/>
        </w:rPr>
        <w:sectPr>
          <w:footerReference r:id="rId6" w:type="default"/>
          <w:pgSz w:w="11906" w:h="16838"/>
          <w:pgMar w:top="1701" w:right="1531" w:bottom="1701" w:left="1531" w:header="851" w:footer="1077" w:gutter="0"/>
          <w:pgBorders>
            <w:top w:val="none" w:sz="0" w:space="0"/>
            <w:left w:val="none" w:sz="0" w:space="0"/>
            <w:bottom w:val="none" w:sz="0" w:space="0"/>
            <w:right w:val="none" w:sz="0" w:space="0"/>
          </w:pgBorders>
          <w:pgNumType w:fmt="decimal"/>
          <w:cols w:space="720" w:num="1"/>
          <w:docGrid w:linePitch="312" w:charSpace="0"/>
        </w:sectPr>
      </w:pPr>
    </w:p>
    <w:p w14:paraId="5E91ACAE">
      <w:pPr>
        <w:pStyle w:val="2"/>
        <w:keepLines/>
        <w:widowControl/>
        <w:overflowPunct/>
        <w:adjustRightInd w:val="0"/>
        <w:spacing w:before="240" w:beforeLines="100" w:after="240" w:afterLines="100" w:line="240" w:lineRule="auto"/>
        <w:ind w:left="0" w:firstLine="0"/>
        <w:jc w:val="center"/>
        <w:rPr>
          <w:rFonts w:eastAsia="宋体"/>
          <w:b w:val="0"/>
          <w:color w:val="auto"/>
          <w:highlight w:val="none"/>
          <w:lang w:val="zh-CN"/>
        </w:rPr>
      </w:pPr>
      <w:bookmarkStart w:id="10" w:name="_Toc28697"/>
      <w:bookmarkStart w:id="11" w:name="_Toc66538118"/>
      <w:r>
        <w:rPr>
          <w:rFonts w:hint="eastAsia" w:eastAsia="宋体"/>
          <w:b w:val="0"/>
          <w:color w:val="auto"/>
          <w:highlight w:val="none"/>
          <w:lang w:val="zh-CN"/>
        </w:rPr>
        <w:t>二、建设项目工程分析</w:t>
      </w:r>
      <w:bookmarkEnd w:id="10"/>
      <w:bookmarkEnd w:id="11"/>
    </w:p>
    <w:tbl>
      <w:tblPr>
        <w:tblStyle w:val="32"/>
        <w:tblW w:w="9060" w:type="dxa"/>
        <w:jc w:val="center"/>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Layout w:type="fixed"/>
        <w:tblCellMar>
          <w:top w:w="0" w:type="dxa"/>
          <w:left w:w="28" w:type="dxa"/>
          <w:bottom w:w="0" w:type="dxa"/>
          <w:right w:w="28" w:type="dxa"/>
        </w:tblCellMar>
      </w:tblPr>
      <w:tblGrid>
        <w:gridCol w:w="542"/>
        <w:gridCol w:w="8518"/>
      </w:tblGrid>
      <w:tr w14:paraId="402DE292">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28" w:type="dxa"/>
            <w:bottom w:w="0" w:type="dxa"/>
            <w:right w:w="28" w:type="dxa"/>
          </w:tblCellMar>
        </w:tblPrEx>
        <w:trPr>
          <w:trHeight w:val="2701" w:hRule="atLeast"/>
          <w:jc w:val="center"/>
        </w:trPr>
        <w:tc>
          <w:tcPr>
            <w:tcW w:w="542" w:type="dxa"/>
            <w:vAlign w:val="center"/>
          </w:tcPr>
          <w:p w14:paraId="31C5D4A2">
            <w:pPr>
              <w:pStyle w:val="27"/>
              <w:keepNext w:val="0"/>
              <w:keepLines w:val="0"/>
              <w:suppressLineNumbers w:val="0"/>
              <w:adjustRightInd w:val="0"/>
              <w:snapToGrid w:val="0"/>
              <w:spacing w:before="0" w:beforeAutospacing="0" w:after="0" w:afterAutospacing="0"/>
              <w:ind w:left="0" w:right="0"/>
              <w:jc w:val="center"/>
              <w:rPr>
                <w:rFonts w:hint="default" w:ascii="Times New Roman"/>
                <w:color w:val="FF0000"/>
                <w:sz w:val="21"/>
                <w:szCs w:val="21"/>
                <w:highlight w:val="none"/>
              </w:rPr>
            </w:pPr>
          </w:p>
          <w:p w14:paraId="3C51A391">
            <w:pPr>
              <w:pStyle w:val="27"/>
              <w:keepNext w:val="0"/>
              <w:keepLines w:val="0"/>
              <w:suppressLineNumbers w:val="0"/>
              <w:adjustRightInd w:val="0"/>
              <w:snapToGrid w:val="0"/>
              <w:spacing w:before="0" w:beforeAutospacing="0" w:after="0" w:afterAutospacing="0"/>
              <w:ind w:left="0" w:right="0"/>
              <w:jc w:val="center"/>
              <w:rPr>
                <w:rFonts w:hint="default" w:ascii="Times New Roman"/>
                <w:color w:val="FF0000"/>
                <w:sz w:val="21"/>
                <w:szCs w:val="21"/>
                <w:highlight w:val="none"/>
              </w:rPr>
            </w:pPr>
          </w:p>
          <w:p w14:paraId="0285AF4A">
            <w:pPr>
              <w:pStyle w:val="27"/>
              <w:keepNext w:val="0"/>
              <w:keepLines w:val="0"/>
              <w:suppressLineNumbers w:val="0"/>
              <w:adjustRightInd w:val="0"/>
              <w:snapToGrid w:val="0"/>
              <w:spacing w:before="0" w:beforeAutospacing="0" w:after="0" w:afterAutospacing="0"/>
              <w:ind w:left="0" w:right="0"/>
              <w:jc w:val="center"/>
              <w:rPr>
                <w:rFonts w:hint="default" w:ascii="Times New Roman"/>
                <w:color w:val="FF0000"/>
                <w:sz w:val="21"/>
                <w:szCs w:val="21"/>
                <w:highlight w:val="none"/>
              </w:rPr>
            </w:pPr>
          </w:p>
          <w:p w14:paraId="2E7A4DA3">
            <w:pPr>
              <w:pStyle w:val="27"/>
              <w:keepNext w:val="0"/>
              <w:keepLines w:val="0"/>
              <w:suppressLineNumbers w:val="0"/>
              <w:adjustRightInd w:val="0"/>
              <w:snapToGrid w:val="0"/>
              <w:spacing w:before="0" w:beforeAutospacing="0" w:after="0" w:afterAutospacing="0"/>
              <w:ind w:left="0" w:right="0"/>
              <w:jc w:val="center"/>
              <w:rPr>
                <w:rFonts w:hint="default" w:ascii="Times New Roman"/>
                <w:color w:val="FF0000"/>
                <w:sz w:val="21"/>
                <w:szCs w:val="21"/>
                <w:highlight w:val="none"/>
              </w:rPr>
            </w:pPr>
          </w:p>
          <w:p w14:paraId="0308553D">
            <w:pPr>
              <w:pStyle w:val="27"/>
              <w:keepNext w:val="0"/>
              <w:keepLines w:val="0"/>
              <w:suppressLineNumbers w:val="0"/>
              <w:adjustRightInd w:val="0"/>
              <w:snapToGrid w:val="0"/>
              <w:spacing w:before="0" w:beforeAutospacing="0" w:after="0" w:afterAutospacing="0"/>
              <w:ind w:left="0" w:right="0"/>
              <w:jc w:val="center"/>
              <w:rPr>
                <w:rFonts w:hint="default" w:ascii="Times New Roman"/>
                <w:color w:val="FF0000"/>
                <w:sz w:val="21"/>
                <w:szCs w:val="21"/>
                <w:highlight w:val="none"/>
              </w:rPr>
            </w:pPr>
          </w:p>
          <w:p w14:paraId="3AC3BEA1">
            <w:pPr>
              <w:pStyle w:val="27"/>
              <w:keepNext w:val="0"/>
              <w:keepLines w:val="0"/>
              <w:suppressLineNumbers w:val="0"/>
              <w:adjustRightInd w:val="0"/>
              <w:snapToGrid w:val="0"/>
              <w:spacing w:before="0" w:beforeAutospacing="0" w:after="0" w:afterAutospacing="0"/>
              <w:ind w:left="0" w:right="0"/>
              <w:jc w:val="center"/>
              <w:rPr>
                <w:rFonts w:hint="default" w:ascii="Times New Roman"/>
                <w:color w:val="FF0000"/>
                <w:sz w:val="21"/>
                <w:szCs w:val="21"/>
                <w:highlight w:val="none"/>
              </w:rPr>
            </w:pPr>
          </w:p>
          <w:p w14:paraId="3CC6CEFB">
            <w:pPr>
              <w:pStyle w:val="27"/>
              <w:keepNext w:val="0"/>
              <w:keepLines w:val="0"/>
              <w:suppressLineNumbers w:val="0"/>
              <w:adjustRightInd w:val="0"/>
              <w:snapToGrid w:val="0"/>
              <w:spacing w:before="0" w:beforeAutospacing="0" w:after="0" w:afterAutospacing="0"/>
              <w:ind w:left="0" w:right="0"/>
              <w:jc w:val="center"/>
              <w:rPr>
                <w:rFonts w:hint="default" w:ascii="Times New Roman"/>
                <w:color w:val="FF0000"/>
                <w:sz w:val="21"/>
                <w:szCs w:val="21"/>
                <w:highlight w:val="none"/>
              </w:rPr>
            </w:pPr>
          </w:p>
          <w:p w14:paraId="58BFA2E8">
            <w:pPr>
              <w:pStyle w:val="27"/>
              <w:keepNext w:val="0"/>
              <w:keepLines w:val="0"/>
              <w:suppressLineNumbers w:val="0"/>
              <w:adjustRightInd w:val="0"/>
              <w:snapToGrid w:val="0"/>
              <w:spacing w:before="0" w:beforeAutospacing="0" w:after="0" w:afterAutospacing="0"/>
              <w:ind w:left="0" w:right="0"/>
              <w:jc w:val="center"/>
              <w:rPr>
                <w:rFonts w:hint="default" w:ascii="Times New Roman"/>
                <w:color w:val="FF0000"/>
                <w:sz w:val="21"/>
                <w:szCs w:val="21"/>
                <w:highlight w:val="none"/>
              </w:rPr>
            </w:pPr>
          </w:p>
          <w:p w14:paraId="3FCFC0FD">
            <w:pPr>
              <w:pStyle w:val="27"/>
              <w:keepNext w:val="0"/>
              <w:keepLines w:val="0"/>
              <w:suppressLineNumbers w:val="0"/>
              <w:adjustRightInd w:val="0"/>
              <w:snapToGrid w:val="0"/>
              <w:spacing w:before="0" w:beforeAutospacing="0" w:after="0" w:afterAutospacing="0"/>
              <w:ind w:left="0" w:right="0"/>
              <w:jc w:val="center"/>
              <w:rPr>
                <w:rFonts w:hint="default" w:ascii="Times New Roman"/>
                <w:color w:val="FF0000"/>
                <w:sz w:val="21"/>
                <w:szCs w:val="21"/>
                <w:highlight w:val="none"/>
              </w:rPr>
            </w:pPr>
          </w:p>
          <w:p w14:paraId="2627AC6B">
            <w:pPr>
              <w:pStyle w:val="27"/>
              <w:keepNext w:val="0"/>
              <w:keepLines w:val="0"/>
              <w:suppressLineNumbers w:val="0"/>
              <w:adjustRightInd w:val="0"/>
              <w:snapToGrid w:val="0"/>
              <w:spacing w:before="0" w:beforeAutospacing="0" w:after="0" w:afterAutospacing="0"/>
              <w:ind w:left="0" w:right="0"/>
              <w:jc w:val="center"/>
              <w:rPr>
                <w:rFonts w:hint="default" w:ascii="Times New Roman"/>
                <w:color w:val="FF0000"/>
                <w:sz w:val="21"/>
                <w:szCs w:val="21"/>
                <w:highlight w:val="none"/>
              </w:rPr>
            </w:pPr>
          </w:p>
          <w:p w14:paraId="01531189">
            <w:pPr>
              <w:pStyle w:val="27"/>
              <w:keepNext w:val="0"/>
              <w:keepLines w:val="0"/>
              <w:suppressLineNumbers w:val="0"/>
              <w:adjustRightInd w:val="0"/>
              <w:snapToGrid w:val="0"/>
              <w:spacing w:before="0" w:beforeAutospacing="0" w:after="0" w:afterAutospacing="0"/>
              <w:ind w:left="0" w:right="0"/>
              <w:jc w:val="center"/>
              <w:rPr>
                <w:rFonts w:hint="default" w:ascii="Times New Roman"/>
                <w:color w:val="FF0000"/>
                <w:sz w:val="21"/>
                <w:szCs w:val="21"/>
                <w:highlight w:val="none"/>
              </w:rPr>
            </w:pPr>
          </w:p>
          <w:p w14:paraId="626A3A1F">
            <w:pPr>
              <w:pStyle w:val="27"/>
              <w:keepNext w:val="0"/>
              <w:keepLines w:val="0"/>
              <w:suppressLineNumbers w:val="0"/>
              <w:adjustRightInd w:val="0"/>
              <w:snapToGrid w:val="0"/>
              <w:spacing w:before="0" w:beforeAutospacing="0" w:after="0" w:afterAutospacing="0"/>
              <w:ind w:left="0" w:right="0"/>
              <w:jc w:val="center"/>
              <w:rPr>
                <w:rFonts w:hint="default" w:ascii="Times New Roman"/>
                <w:color w:val="FF0000"/>
                <w:sz w:val="21"/>
                <w:szCs w:val="21"/>
                <w:highlight w:val="none"/>
              </w:rPr>
            </w:pPr>
          </w:p>
          <w:p w14:paraId="5AD17C5E">
            <w:pPr>
              <w:pStyle w:val="27"/>
              <w:keepNext w:val="0"/>
              <w:keepLines w:val="0"/>
              <w:suppressLineNumbers w:val="0"/>
              <w:adjustRightInd w:val="0"/>
              <w:snapToGrid w:val="0"/>
              <w:spacing w:before="0" w:beforeAutospacing="0" w:after="0" w:afterAutospacing="0"/>
              <w:ind w:left="0" w:right="0"/>
              <w:jc w:val="center"/>
              <w:rPr>
                <w:rFonts w:hint="default" w:ascii="Times New Roman"/>
                <w:color w:val="FF0000"/>
                <w:sz w:val="21"/>
                <w:szCs w:val="21"/>
                <w:highlight w:val="none"/>
              </w:rPr>
            </w:pPr>
          </w:p>
          <w:p w14:paraId="5047E61C">
            <w:pPr>
              <w:pStyle w:val="27"/>
              <w:keepNext w:val="0"/>
              <w:keepLines w:val="0"/>
              <w:suppressLineNumbers w:val="0"/>
              <w:adjustRightInd w:val="0"/>
              <w:snapToGrid w:val="0"/>
              <w:spacing w:before="0" w:beforeAutospacing="0" w:after="0" w:afterAutospacing="0"/>
              <w:ind w:left="0" w:right="0"/>
              <w:jc w:val="center"/>
              <w:rPr>
                <w:rFonts w:hint="default" w:ascii="Times New Roman"/>
                <w:color w:val="FF0000"/>
                <w:sz w:val="21"/>
                <w:szCs w:val="21"/>
                <w:highlight w:val="none"/>
              </w:rPr>
            </w:pPr>
          </w:p>
          <w:p w14:paraId="4E7E602B">
            <w:pPr>
              <w:pStyle w:val="27"/>
              <w:keepNext w:val="0"/>
              <w:keepLines w:val="0"/>
              <w:suppressLineNumbers w:val="0"/>
              <w:adjustRightInd w:val="0"/>
              <w:snapToGrid w:val="0"/>
              <w:spacing w:before="0" w:beforeAutospacing="0" w:after="0" w:afterAutospacing="0"/>
              <w:ind w:left="0" w:right="0"/>
              <w:jc w:val="center"/>
              <w:rPr>
                <w:rFonts w:hint="default" w:ascii="Times New Roman"/>
                <w:color w:val="FF0000"/>
                <w:sz w:val="21"/>
                <w:szCs w:val="21"/>
                <w:highlight w:val="none"/>
              </w:rPr>
            </w:pPr>
          </w:p>
          <w:p w14:paraId="396DBD79">
            <w:pPr>
              <w:pStyle w:val="27"/>
              <w:keepNext w:val="0"/>
              <w:keepLines w:val="0"/>
              <w:suppressLineNumbers w:val="0"/>
              <w:adjustRightInd w:val="0"/>
              <w:snapToGrid w:val="0"/>
              <w:spacing w:before="0" w:beforeAutospacing="0" w:after="0" w:afterAutospacing="0"/>
              <w:ind w:left="0" w:right="0"/>
              <w:jc w:val="center"/>
              <w:rPr>
                <w:rFonts w:hint="default" w:ascii="Times New Roman"/>
                <w:color w:val="FF0000"/>
                <w:sz w:val="21"/>
                <w:szCs w:val="21"/>
                <w:highlight w:val="none"/>
              </w:rPr>
            </w:pPr>
          </w:p>
          <w:p w14:paraId="77B03902">
            <w:pPr>
              <w:pStyle w:val="27"/>
              <w:keepNext w:val="0"/>
              <w:keepLines w:val="0"/>
              <w:suppressLineNumbers w:val="0"/>
              <w:adjustRightInd w:val="0"/>
              <w:snapToGrid w:val="0"/>
              <w:spacing w:before="0" w:beforeAutospacing="0" w:after="0" w:afterAutospacing="0"/>
              <w:ind w:left="0" w:right="0"/>
              <w:jc w:val="center"/>
              <w:rPr>
                <w:rFonts w:hint="default" w:ascii="Times New Roman"/>
                <w:color w:val="FF0000"/>
                <w:sz w:val="21"/>
                <w:szCs w:val="21"/>
                <w:highlight w:val="none"/>
              </w:rPr>
            </w:pPr>
          </w:p>
          <w:p w14:paraId="03CFD9FB">
            <w:pPr>
              <w:pStyle w:val="27"/>
              <w:keepNext w:val="0"/>
              <w:keepLines w:val="0"/>
              <w:suppressLineNumbers w:val="0"/>
              <w:adjustRightInd w:val="0"/>
              <w:snapToGrid w:val="0"/>
              <w:spacing w:before="0" w:beforeAutospacing="0" w:after="0" w:afterAutospacing="0"/>
              <w:ind w:left="0" w:right="0"/>
              <w:jc w:val="center"/>
              <w:rPr>
                <w:rFonts w:hint="default" w:ascii="Times New Roman"/>
                <w:color w:val="FF0000"/>
                <w:sz w:val="21"/>
                <w:szCs w:val="21"/>
                <w:highlight w:val="none"/>
              </w:rPr>
            </w:pPr>
          </w:p>
          <w:p w14:paraId="5DCF6318">
            <w:pPr>
              <w:pStyle w:val="27"/>
              <w:keepNext w:val="0"/>
              <w:keepLines w:val="0"/>
              <w:suppressLineNumbers w:val="0"/>
              <w:adjustRightInd w:val="0"/>
              <w:snapToGrid w:val="0"/>
              <w:spacing w:before="0" w:beforeAutospacing="0" w:after="0" w:afterAutospacing="0"/>
              <w:ind w:left="0" w:right="0"/>
              <w:jc w:val="center"/>
              <w:rPr>
                <w:rFonts w:hint="default" w:ascii="Times New Roman"/>
                <w:color w:val="FF0000"/>
                <w:sz w:val="21"/>
                <w:szCs w:val="21"/>
                <w:highlight w:val="none"/>
              </w:rPr>
            </w:pPr>
          </w:p>
          <w:p w14:paraId="6BE423F2">
            <w:pPr>
              <w:pStyle w:val="27"/>
              <w:keepNext w:val="0"/>
              <w:keepLines w:val="0"/>
              <w:suppressLineNumbers w:val="0"/>
              <w:adjustRightInd w:val="0"/>
              <w:snapToGrid w:val="0"/>
              <w:spacing w:before="0" w:beforeAutospacing="0" w:after="0" w:afterAutospacing="0"/>
              <w:ind w:left="0" w:right="0"/>
              <w:jc w:val="center"/>
              <w:rPr>
                <w:rFonts w:hint="default" w:ascii="Times New Roman"/>
                <w:color w:val="FF0000"/>
                <w:sz w:val="21"/>
                <w:szCs w:val="21"/>
                <w:highlight w:val="none"/>
              </w:rPr>
            </w:pPr>
          </w:p>
          <w:p w14:paraId="6FBBBD9A">
            <w:pPr>
              <w:pStyle w:val="27"/>
              <w:keepNext w:val="0"/>
              <w:keepLines w:val="0"/>
              <w:suppressLineNumbers w:val="0"/>
              <w:adjustRightInd w:val="0"/>
              <w:snapToGrid w:val="0"/>
              <w:spacing w:before="0" w:beforeAutospacing="0" w:after="0" w:afterAutospacing="0"/>
              <w:ind w:left="0" w:right="0"/>
              <w:jc w:val="center"/>
              <w:rPr>
                <w:rFonts w:hint="default" w:ascii="Times New Roman"/>
                <w:color w:val="FF0000"/>
                <w:sz w:val="21"/>
                <w:szCs w:val="21"/>
                <w:highlight w:val="none"/>
              </w:rPr>
            </w:pPr>
          </w:p>
          <w:p w14:paraId="5A7ADFF2">
            <w:pPr>
              <w:pStyle w:val="27"/>
              <w:keepNext w:val="0"/>
              <w:keepLines w:val="0"/>
              <w:suppressLineNumbers w:val="0"/>
              <w:adjustRightInd w:val="0"/>
              <w:snapToGrid w:val="0"/>
              <w:spacing w:before="0" w:beforeAutospacing="0" w:after="0" w:afterAutospacing="0"/>
              <w:ind w:left="0" w:right="0"/>
              <w:jc w:val="center"/>
              <w:rPr>
                <w:rFonts w:hint="default" w:ascii="Times New Roman"/>
                <w:sz w:val="21"/>
                <w:szCs w:val="21"/>
                <w:highlight w:val="none"/>
              </w:rPr>
            </w:pPr>
          </w:p>
          <w:p w14:paraId="2DD4F068">
            <w:pPr>
              <w:pStyle w:val="27"/>
              <w:keepNext w:val="0"/>
              <w:keepLines w:val="0"/>
              <w:suppressLineNumbers w:val="0"/>
              <w:adjustRightInd w:val="0"/>
              <w:snapToGrid w:val="0"/>
              <w:spacing w:before="0" w:beforeAutospacing="0" w:after="0" w:afterAutospacing="0"/>
              <w:ind w:left="0" w:right="0"/>
              <w:jc w:val="center"/>
              <w:rPr>
                <w:rFonts w:hint="default" w:ascii="Times New Roman"/>
                <w:sz w:val="21"/>
                <w:szCs w:val="21"/>
                <w:highlight w:val="none"/>
              </w:rPr>
            </w:pPr>
          </w:p>
          <w:p w14:paraId="33CB14A9">
            <w:pPr>
              <w:pStyle w:val="27"/>
              <w:keepNext w:val="0"/>
              <w:keepLines w:val="0"/>
              <w:suppressLineNumbers w:val="0"/>
              <w:adjustRightInd w:val="0"/>
              <w:snapToGrid w:val="0"/>
              <w:spacing w:before="0" w:beforeAutospacing="0" w:after="0" w:afterAutospacing="0"/>
              <w:ind w:left="0" w:right="0"/>
              <w:jc w:val="center"/>
              <w:rPr>
                <w:rFonts w:hint="default" w:ascii="Times New Roman"/>
                <w:sz w:val="21"/>
                <w:szCs w:val="21"/>
                <w:highlight w:val="none"/>
              </w:rPr>
            </w:pPr>
          </w:p>
          <w:p w14:paraId="510081AB">
            <w:pPr>
              <w:pStyle w:val="27"/>
              <w:keepNext w:val="0"/>
              <w:keepLines w:val="0"/>
              <w:suppressLineNumbers w:val="0"/>
              <w:adjustRightInd w:val="0"/>
              <w:snapToGrid w:val="0"/>
              <w:spacing w:before="0" w:beforeAutospacing="0" w:after="0" w:afterAutospacing="0"/>
              <w:ind w:left="0" w:right="0"/>
              <w:jc w:val="center"/>
              <w:rPr>
                <w:rFonts w:hint="default" w:ascii="Times New Roman"/>
                <w:sz w:val="21"/>
                <w:szCs w:val="21"/>
                <w:highlight w:val="none"/>
              </w:rPr>
            </w:pPr>
          </w:p>
          <w:p w14:paraId="0F22DBE3">
            <w:pPr>
              <w:pStyle w:val="27"/>
              <w:keepNext w:val="0"/>
              <w:keepLines w:val="0"/>
              <w:suppressLineNumbers w:val="0"/>
              <w:adjustRightInd w:val="0"/>
              <w:snapToGrid w:val="0"/>
              <w:spacing w:before="0" w:beforeAutospacing="0" w:after="0" w:afterAutospacing="0"/>
              <w:ind w:left="0" w:right="0"/>
              <w:jc w:val="center"/>
              <w:rPr>
                <w:rFonts w:hint="default" w:ascii="Times New Roman"/>
                <w:sz w:val="21"/>
                <w:szCs w:val="21"/>
                <w:highlight w:val="none"/>
              </w:rPr>
            </w:pPr>
          </w:p>
          <w:p w14:paraId="0B770F08">
            <w:pPr>
              <w:pStyle w:val="27"/>
              <w:keepNext w:val="0"/>
              <w:keepLines w:val="0"/>
              <w:suppressLineNumbers w:val="0"/>
              <w:adjustRightInd w:val="0"/>
              <w:snapToGrid w:val="0"/>
              <w:spacing w:before="0" w:beforeAutospacing="0" w:after="0" w:afterAutospacing="0"/>
              <w:ind w:left="0" w:right="0"/>
              <w:jc w:val="center"/>
              <w:rPr>
                <w:rFonts w:hint="default" w:ascii="Times New Roman"/>
                <w:sz w:val="21"/>
                <w:szCs w:val="21"/>
                <w:highlight w:val="none"/>
              </w:rPr>
            </w:pPr>
            <w:r>
              <w:rPr>
                <w:rFonts w:hint="eastAsia" w:ascii="Times New Roman"/>
                <w:sz w:val="21"/>
                <w:szCs w:val="21"/>
                <w:highlight w:val="none"/>
              </w:rPr>
              <w:t>建设内容</w:t>
            </w:r>
          </w:p>
          <w:p w14:paraId="62A1F700">
            <w:pPr>
              <w:pStyle w:val="27"/>
              <w:keepNext w:val="0"/>
              <w:keepLines w:val="0"/>
              <w:suppressLineNumbers w:val="0"/>
              <w:adjustRightInd w:val="0"/>
              <w:snapToGrid w:val="0"/>
              <w:spacing w:before="0" w:beforeAutospacing="0" w:after="0" w:afterAutospacing="0"/>
              <w:ind w:left="0" w:right="0"/>
              <w:jc w:val="center"/>
              <w:rPr>
                <w:rFonts w:hint="default" w:ascii="Times New Roman"/>
                <w:sz w:val="21"/>
                <w:szCs w:val="21"/>
                <w:highlight w:val="none"/>
              </w:rPr>
            </w:pPr>
          </w:p>
          <w:p w14:paraId="5A616A88">
            <w:pPr>
              <w:pStyle w:val="27"/>
              <w:keepNext w:val="0"/>
              <w:keepLines w:val="0"/>
              <w:suppressLineNumbers w:val="0"/>
              <w:adjustRightInd w:val="0"/>
              <w:snapToGrid w:val="0"/>
              <w:spacing w:before="0" w:beforeAutospacing="0" w:after="0" w:afterAutospacing="0"/>
              <w:ind w:left="0" w:right="0"/>
              <w:jc w:val="center"/>
              <w:rPr>
                <w:rFonts w:hint="default" w:ascii="Times New Roman"/>
                <w:sz w:val="21"/>
                <w:szCs w:val="21"/>
                <w:highlight w:val="none"/>
              </w:rPr>
            </w:pPr>
          </w:p>
          <w:p w14:paraId="2C3D3969">
            <w:pPr>
              <w:pStyle w:val="27"/>
              <w:keepNext w:val="0"/>
              <w:keepLines w:val="0"/>
              <w:suppressLineNumbers w:val="0"/>
              <w:adjustRightInd w:val="0"/>
              <w:snapToGrid w:val="0"/>
              <w:spacing w:before="0" w:beforeAutospacing="0" w:after="0" w:afterAutospacing="0"/>
              <w:ind w:left="0" w:right="0"/>
              <w:jc w:val="center"/>
              <w:rPr>
                <w:rFonts w:hint="default" w:ascii="Times New Roman"/>
                <w:sz w:val="21"/>
                <w:szCs w:val="21"/>
                <w:highlight w:val="none"/>
              </w:rPr>
            </w:pPr>
          </w:p>
          <w:p w14:paraId="339DFDEC">
            <w:pPr>
              <w:pStyle w:val="27"/>
              <w:keepNext w:val="0"/>
              <w:keepLines w:val="0"/>
              <w:suppressLineNumbers w:val="0"/>
              <w:adjustRightInd w:val="0"/>
              <w:snapToGrid w:val="0"/>
              <w:spacing w:before="0" w:beforeAutospacing="0" w:after="0" w:afterAutospacing="0"/>
              <w:ind w:left="0" w:right="0"/>
              <w:jc w:val="center"/>
              <w:rPr>
                <w:rFonts w:hint="default" w:ascii="Times New Roman"/>
                <w:color w:val="FF0000"/>
                <w:sz w:val="21"/>
                <w:szCs w:val="21"/>
                <w:highlight w:val="none"/>
              </w:rPr>
            </w:pPr>
          </w:p>
          <w:p w14:paraId="601054FE">
            <w:pPr>
              <w:pStyle w:val="27"/>
              <w:keepNext w:val="0"/>
              <w:keepLines w:val="0"/>
              <w:suppressLineNumbers w:val="0"/>
              <w:adjustRightInd w:val="0"/>
              <w:snapToGrid w:val="0"/>
              <w:spacing w:before="0" w:beforeAutospacing="0" w:after="0" w:afterAutospacing="0"/>
              <w:ind w:left="0" w:right="0"/>
              <w:jc w:val="center"/>
              <w:rPr>
                <w:rFonts w:hint="default" w:ascii="Times New Roman"/>
                <w:color w:val="FF0000"/>
                <w:sz w:val="21"/>
                <w:szCs w:val="21"/>
                <w:highlight w:val="none"/>
              </w:rPr>
            </w:pPr>
          </w:p>
          <w:p w14:paraId="428E64F8">
            <w:pPr>
              <w:pStyle w:val="27"/>
              <w:keepNext w:val="0"/>
              <w:keepLines w:val="0"/>
              <w:suppressLineNumbers w:val="0"/>
              <w:adjustRightInd w:val="0"/>
              <w:snapToGrid w:val="0"/>
              <w:spacing w:before="0" w:beforeAutospacing="0" w:after="0" w:afterAutospacing="0"/>
              <w:ind w:left="0" w:right="0"/>
              <w:jc w:val="center"/>
              <w:rPr>
                <w:rFonts w:hint="default" w:ascii="Times New Roman"/>
                <w:color w:val="FF0000"/>
                <w:sz w:val="21"/>
                <w:szCs w:val="21"/>
                <w:highlight w:val="none"/>
              </w:rPr>
            </w:pPr>
          </w:p>
          <w:p w14:paraId="3ED6123C">
            <w:pPr>
              <w:pStyle w:val="27"/>
              <w:keepNext w:val="0"/>
              <w:keepLines w:val="0"/>
              <w:suppressLineNumbers w:val="0"/>
              <w:adjustRightInd w:val="0"/>
              <w:snapToGrid w:val="0"/>
              <w:spacing w:before="0" w:beforeAutospacing="0" w:after="0" w:afterAutospacing="0"/>
              <w:ind w:left="0" w:right="0"/>
              <w:jc w:val="center"/>
              <w:rPr>
                <w:rFonts w:hint="default" w:ascii="Times New Roman"/>
                <w:color w:val="FF0000"/>
                <w:sz w:val="21"/>
                <w:szCs w:val="21"/>
                <w:highlight w:val="none"/>
              </w:rPr>
            </w:pPr>
          </w:p>
          <w:p w14:paraId="704492BD">
            <w:pPr>
              <w:pStyle w:val="27"/>
              <w:keepNext w:val="0"/>
              <w:keepLines w:val="0"/>
              <w:suppressLineNumbers w:val="0"/>
              <w:adjustRightInd w:val="0"/>
              <w:snapToGrid w:val="0"/>
              <w:spacing w:before="0" w:beforeAutospacing="0" w:after="0" w:afterAutospacing="0"/>
              <w:ind w:left="0" w:right="0"/>
              <w:jc w:val="center"/>
              <w:rPr>
                <w:rFonts w:hint="default" w:ascii="Times New Roman"/>
                <w:color w:val="FF0000"/>
                <w:sz w:val="21"/>
                <w:szCs w:val="21"/>
                <w:highlight w:val="none"/>
              </w:rPr>
            </w:pPr>
          </w:p>
          <w:p w14:paraId="3AA1CEBC">
            <w:pPr>
              <w:pStyle w:val="27"/>
              <w:keepNext w:val="0"/>
              <w:keepLines w:val="0"/>
              <w:suppressLineNumbers w:val="0"/>
              <w:adjustRightInd w:val="0"/>
              <w:snapToGrid w:val="0"/>
              <w:spacing w:before="0" w:beforeAutospacing="0" w:after="0" w:afterAutospacing="0"/>
              <w:ind w:left="0" w:right="0"/>
              <w:jc w:val="center"/>
              <w:rPr>
                <w:rFonts w:hint="default" w:ascii="Times New Roman"/>
                <w:color w:val="FF0000"/>
                <w:sz w:val="21"/>
                <w:szCs w:val="21"/>
                <w:highlight w:val="none"/>
              </w:rPr>
            </w:pPr>
          </w:p>
          <w:p w14:paraId="173257B4">
            <w:pPr>
              <w:pStyle w:val="27"/>
              <w:keepNext w:val="0"/>
              <w:keepLines w:val="0"/>
              <w:suppressLineNumbers w:val="0"/>
              <w:adjustRightInd w:val="0"/>
              <w:snapToGrid w:val="0"/>
              <w:spacing w:before="0" w:beforeAutospacing="0" w:after="0" w:afterAutospacing="0"/>
              <w:ind w:left="0" w:right="0"/>
              <w:jc w:val="center"/>
              <w:rPr>
                <w:rFonts w:hint="default" w:ascii="Times New Roman"/>
                <w:color w:val="FF0000"/>
                <w:sz w:val="21"/>
                <w:szCs w:val="21"/>
                <w:highlight w:val="none"/>
              </w:rPr>
            </w:pPr>
          </w:p>
          <w:p w14:paraId="3F0B61D8">
            <w:pPr>
              <w:pStyle w:val="27"/>
              <w:keepNext w:val="0"/>
              <w:keepLines w:val="0"/>
              <w:suppressLineNumbers w:val="0"/>
              <w:adjustRightInd w:val="0"/>
              <w:snapToGrid w:val="0"/>
              <w:spacing w:before="0" w:beforeAutospacing="0" w:after="0" w:afterAutospacing="0"/>
              <w:ind w:left="0" w:right="0"/>
              <w:jc w:val="center"/>
              <w:rPr>
                <w:rFonts w:hint="default" w:ascii="Times New Roman"/>
                <w:color w:val="FF0000"/>
                <w:sz w:val="21"/>
                <w:szCs w:val="21"/>
                <w:highlight w:val="none"/>
              </w:rPr>
            </w:pPr>
          </w:p>
          <w:p w14:paraId="4F538366">
            <w:pPr>
              <w:pStyle w:val="27"/>
              <w:keepNext w:val="0"/>
              <w:keepLines w:val="0"/>
              <w:suppressLineNumbers w:val="0"/>
              <w:adjustRightInd w:val="0"/>
              <w:snapToGrid w:val="0"/>
              <w:spacing w:before="0" w:beforeAutospacing="0" w:after="0" w:afterAutospacing="0"/>
              <w:ind w:left="0" w:right="0"/>
              <w:jc w:val="center"/>
              <w:rPr>
                <w:rFonts w:hint="default" w:ascii="Times New Roman"/>
                <w:color w:val="FF0000"/>
                <w:sz w:val="21"/>
                <w:szCs w:val="21"/>
                <w:highlight w:val="none"/>
              </w:rPr>
            </w:pPr>
          </w:p>
          <w:p w14:paraId="265D99EF">
            <w:pPr>
              <w:pStyle w:val="27"/>
              <w:keepNext w:val="0"/>
              <w:keepLines w:val="0"/>
              <w:suppressLineNumbers w:val="0"/>
              <w:adjustRightInd w:val="0"/>
              <w:snapToGrid w:val="0"/>
              <w:spacing w:before="0" w:beforeAutospacing="0" w:after="0" w:afterAutospacing="0"/>
              <w:ind w:left="0" w:right="0"/>
              <w:jc w:val="center"/>
              <w:rPr>
                <w:rFonts w:hint="default" w:ascii="Times New Roman"/>
                <w:color w:val="FF0000"/>
                <w:sz w:val="21"/>
                <w:szCs w:val="21"/>
                <w:highlight w:val="none"/>
              </w:rPr>
            </w:pPr>
          </w:p>
          <w:p w14:paraId="15361921">
            <w:pPr>
              <w:pStyle w:val="27"/>
              <w:keepNext w:val="0"/>
              <w:keepLines w:val="0"/>
              <w:suppressLineNumbers w:val="0"/>
              <w:adjustRightInd w:val="0"/>
              <w:snapToGrid w:val="0"/>
              <w:spacing w:before="0" w:beforeAutospacing="0" w:after="0" w:afterAutospacing="0"/>
              <w:ind w:left="0" w:right="0"/>
              <w:jc w:val="center"/>
              <w:rPr>
                <w:rFonts w:hint="default" w:ascii="Times New Roman"/>
                <w:color w:val="FF0000"/>
                <w:sz w:val="21"/>
                <w:szCs w:val="21"/>
                <w:highlight w:val="none"/>
              </w:rPr>
            </w:pPr>
          </w:p>
          <w:p w14:paraId="39DFE5F9">
            <w:pPr>
              <w:pStyle w:val="27"/>
              <w:keepNext w:val="0"/>
              <w:keepLines w:val="0"/>
              <w:suppressLineNumbers w:val="0"/>
              <w:adjustRightInd w:val="0"/>
              <w:snapToGrid w:val="0"/>
              <w:spacing w:before="0" w:beforeAutospacing="0" w:after="0" w:afterAutospacing="0"/>
              <w:ind w:left="0" w:right="0"/>
              <w:jc w:val="center"/>
              <w:rPr>
                <w:rFonts w:hint="default" w:ascii="Times New Roman"/>
                <w:color w:val="FF0000"/>
                <w:sz w:val="21"/>
                <w:szCs w:val="21"/>
                <w:highlight w:val="none"/>
              </w:rPr>
            </w:pPr>
          </w:p>
          <w:p w14:paraId="1E26FE94">
            <w:pPr>
              <w:pStyle w:val="27"/>
              <w:keepNext w:val="0"/>
              <w:keepLines w:val="0"/>
              <w:suppressLineNumbers w:val="0"/>
              <w:adjustRightInd w:val="0"/>
              <w:snapToGrid w:val="0"/>
              <w:spacing w:before="0" w:beforeAutospacing="0" w:after="0" w:afterAutospacing="0"/>
              <w:ind w:left="0" w:right="0"/>
              <w:jc w:val="center"/>
              <w:rPr>
                <w:rFonts w:hint="default" w:ascii="Times New Roman"/>
                <w:color w:val="FF0000"/>
                <w:sz w:val="21"/>
                <w:szCs w:val="21"/>
                <w:highlight w:val="none"/>
              </w:rPr>
            </w:pPr>
          </w:p>
          <w:p w14:paraId="761D2D49">
            <w:pPr>
              <w:pStyle w:val="27"/>
              <w:keepNext w:val="0"/>
              <w:keepLines w:val="0"/>
              <w:suppressLineNumbers w:val="0"/>
              <w:adjustRightInd w:val="0"/>
              <w:snapToGrid w:val="0"/>
              <w:spacing w:before="0" w:beforeAutospacing="0" w:after="0" w:afterAutospacing="0"/>
              <w:ind w:left="0" w:right="0"/>
              <w:jc w:val="center"/>
              <w:rPr>
                <w:rFonts w:hint="default" w:ascii="Times New Roman"/>
                <w:color w:val="FF0000"/>
                <w:sz w:val="21"/>
                <w:szCs w:val="21"/>
                <w:highlight w:val="none"/>
              </w:rPr>
            </w:pPr>
          </w:p>
          <w:p w14:paraId="3E5C472B">
            <w:pPr>
              <w:pStyle w:val="27"/>
              <w:keepNext w:val="0"/>
              <w:keepLines w:val="0"/>
              <w:suppressLineNumbers w:val="0"/>
              <w:adjustRightInd w:val="0"/>
              <w:snapToGrid w:val="0"/>
              <w:spacing w:before="0" w:beforeAutospacing="0" w:after="0" w:afterAutospacing="0"/>
              <w:ind w:left="0" w:right="0"/>
              <w:jc w:val="center"/>
              <w:rPr>
                <w:rFonts w:hint="default" w:ascii="Times New Roman"/>
                <w:color w:val="FF0000"/>
                <w:sz w:val="21"/>
                <w:szCs w:val="21"/>
                <w:highlight w:val="none"/>
              </w:rPr>
            </w:pPr>
          </w:p>
          <w:p w14:paraId="7CD5C009">
            <w:pPr>
              <w:pStyle w:val="27"/>
              <w:keepNext w:val="0"/>
              <w:keepLines w:val="0"/>
              <w:suppressLineNumbers w:val="0"/>
              <w:adjustRightInd w:val="0"/>
              <w:snapToGrid w:val="0"/>
              <w:spacing w:before="0" w:beforeAutospacing="0" w:after="0" w:afterAutospacing="0"/>
              <w:ind w:left="0" w:right="0"/>
              <w:jc w:val="center"/>
              <w:rPr>
                <w:rFonts w:hint="default" w:ascii="Times New Roman"/>
                <w:color w:val="FF0000"/>
                <w:sz w:val="21"/>
                <w:szCs w:val="21"/>
                <w:highlight w:val="none"/>
              </w:rPr>
            </w:pPr>
          </w:p>
          <w:p w14:paraId="5D093899">
            <w:pPr>
              <w:pStyle w:val="27"/>
              <w:keepNext w:val="0"/>
              <w:keepLines w:val="0"/>
              <w:suppressLineNumbers w:val="0"/>
              <w:adjustRightInd w:val="0"/>
              <w:snapToGrid w:val="0"/>
              <w:spacing w:before="0" w:beforeAutospacing="0" w:after="0" w:afterAutospacing="0"/>
              <w:ind w:left="0" w:right="0"/>
              <w:jc w:val="center"/>
              <w:rPr>
                <w:rFonts w:hint="default" w:ascii="Times New Roman"/>
                <w:color w:val="FF0000"/>
                <w:sz w:val="21"/>
                <w:szCs w:val="21"/>
                <w:highlight w:val="none"/>
              </w:rPr>
            </w:pPr>
          </w:p>
          <w:p w14:paraId="3820B4AA">
            <w:pPr>
              <w:pStyle w:val="27"/>
              <w:keepNext w:val="0"/>
              <w:keepLines w:val="0"/>
              <w:suppressLineNumbers w:val="0"/>
              <w:adjustRightInd w:val="0"/>
              <w:snapToGrid w:val="0"/>
              <w:spacing w:before="0" w:beforeAutospacing="0" w:after="0" w:afterAutospacing="0"/>
              <w:ind w:left="0" w:right="0"/>
              <w:jc w:val="center"/>
              <w:rPr>
                <w:rFonts w:hint="default" w:ascii="Times New Roman"/>
                <w:color w:val="FF0000"/>
                <w:sz w:val="21"/>
                <w:szCs w:val="21"/>
                <w:highlight w:val="none"/>
              </w:rPr>
            </w:pPr>
          </w:p>
          <w:p w14:paraId="4B1F0CA5">
            <w:pPr>
              <w:pStyle w:val="27"/>
              <w:keepNext w:val="0"/>
              <w:keepLines w:val="0"/>
              <w:suppressLineNumbers w:val="0"/>
              <w:adjustRightInd w:val="0"/>
              <w:snapToGrid w:val="0"/>
              <w:spacing w:before="0" w:beforeAutospacing="0" w:after="0" w:afterAutospacing="0"/>
              <w:ind w:left="0" w:right="0"/>
              <w:jc w:val="center"/>
              <w:rPr>
                <w:rFonts w:hint="default" w:ascii="Times New Roman"/>
                <w:color w:val="FF0000"/>
                <w:sz w:val="21"/>
                <w:szCs w:val="21"/>
                <w:highlight w:val="none"/>
              </w:rPr>
            </w:pPr>
          </w:p>
          <w:p w14:paraId="0D8F0B94">
            <w:pPr>
              <w:pStyle w:val="27"/>
              <w:keepNext w:val="0"/>
              <w:keepLines w:val="0"/>
              <w:suppressLineNumbers w:val="0"/>
              <w:adjustRightInd w:val="0"/>
              <w:snapToGrid w:val="0"/>
              <w:spacing w:before="0" w:beforeAutospacing="0" w:after="0" w:afterAutospacing="0"/>
              <w:ind w:left="0" w:right="0"/>
              <w:jc w:val="center"/>
              <w:rPr>
                <w:rFonts w:hint="default" w:ascii="Times New Roman" w:hAnsi="Times New Roman"/>
                <w:color w:val="FF0000"/>
                <w:sz w:val="21"/>
                <w:szCs w:val="21"/>
                <w:highlight w:val="none"/>
              </w:rPr>
            </w:pPr>
          </w:p>
          <w:p w14:paraId="0FFC80E4">
            <w:pPr>
              <w:pStyle w:val="27"/>
              <w:keepNext w:val="0"/>
              <w:keepLines w:val="0"/>
              <w:suppressLineNumbers w:val="0"/>
              <w:adjustRightInd w:val="0"/>
              <w:snapToGrid w:val="0"/>
              <w:spacing w:before="0" w:beforeAutospacing="0" w:after="0" w:afterAutospacing="0"/>
              <w:ind w:left="0" w:right="0"/>
              <w:jc w:val="center"/>
              <w:rPr>
                <w:rFonts w:hint="default" w:ascii="Times New Roman" w:hAnsi="Times New Roman"/>
                <w:color w:val="FF0000"/>
                <w:sz w:val="21"/>
                <w:szCs w:val="21"/>
                <w:highlight w:val="none"/>
              </w:rPr>
            </w:pPr>
          </w:p>
          <w:p w14:paraId="16AE1063">
            <w:pPr>
              <w:pStyle w:val="27"/>
              <w:keepNext w:val="0"/>
              <w:keepLines w:val="0"/>
              <w:suppressLineNumbers w:val="0"/>
              <w:adjustRightInd w:val="0"/>
              <w:snapToGrid w:val="0"/>
              <w:spacing w:before="0" w:beforeAutospacing="0" w:after="0" w:afterAutospacing="0"/>
              <w:ind w:left="0" w:right="0"/>
              <w:jc w:val="center"/>
              <w:rPr>
                <w:rFonts w:hint="default" w:ascii="Times New Roman"/>
                <w:color w:val="FF0000"/>
                <w:sz w:val="21"/>
                <w:szCs w:val="21"/>
                <w:highlight w:val="none"/>
              </w:rPr>
            </w:pPr>
          </w:p>
          <w:p w14:paraId="0275961F">
            <w:pPr>
              <w:pStyle w:val="27"/>
              <w:keepNext w:val="0"/>
              <w:keepLines w:val="0"/>
              <w:suppressLineNumbers w:val="0"/>
              <w:adjustRightInd w:val="0"/>
              <w:snapToGrid w:val="0"/>
              <w:spacing w:before="0" w:beforeAutospacing="0" w:after="0" w:afterAutospacing="0"/>
              <w:ind w:left="0" w:right="0"/>
              <w:jc w:val="center"/>
              <w:rPr>
                <w:rFonts w:hint="default" w:ascii="Times New Roman"/>
                <w:color w:val="FF0000"/>
                <w:sz w:val="21"/>
                <w:szCs w:val="21"/>
                <w:highlight w:val="none"/>
              </w:rPr>
            </w:pPr>
          </w:p>
          <w:p w14:paraId="62876A58">
            <w:pPr>
              <w:pStyle w:val="27"/>
              <w:keepNext w:val="0"/>
              <w:keepLines w:val="0"/>
              <w:suppressLineNumbers w:val="0"/>
              <w:adjustRightInd w:val="0"/>
              <w:snapToGrid w:val="0"/>
              <w:spacing w:before="0" w:beforeAutospacing="0" w:after="0" w:afterAutospacing="0"/>
              <w:ind w:left="0" w:right="0"/>
              <w:jc w:val="center"/>
              <w:rPr>
                <w:rFonts w:hint="default" w:ascii="Times New Roman"/>
                <w:color w:val="FF0000"/>
                <w:sz w:val="21"/>
                <w:szCs w:val="21"/>
                <w:highlight w:val="none"/>
              </w:rPr>
            </w:pPr>
          </w:p>
          <w:p w14:paraId="0FF9E91E">
            <w:pPr>
              <w:pStyle w:val="27"/>
              <w:keepNext w:val="0"/>
              <w:keepLines w:val="0"/>
              <w:suppressLineNumbers w:val="0"/>
              <w:adjustRightInd w:val="0"/>
              <w:snapToGrid w:val="0"/>
              <w:spacing w:before="0" w:beforeAutospacing="0" w:after="0" w:afterAutospacing="0"/>
              <w:ind w:left="0" w:right="0"/>
              <w:jc w:val="center"/>
              <w:rPr>
                <w:rFonts w:hint="default" w:ascii="Times New Roman"/>
                <w:color w:val="FF0000"/>
                <w:sz w:val="21"/>
                <w:szCs w:val="21"/>
                <w:highlight w:val="none"/>
              </w:rPr>
            </w:pPr>
          </w:p>
          <w:p w14:paraId="10A01C58">
            <w:pPr>
              <w:pStyle w:val="27"/>
              <w:keepNext w:val="0"/>
              <w:keepLines w:val="0"/>
              <w:suppressLineNumbers w:val="0"/>
              <w:adjustRightInd w:val="0"/>
              <w:snapToGrid w:val="0"/>
              <w:spacing w:before="0" w:beforeAutospacing="0" w:after="0" w:afterAutospacing="0"/>
              <w:ind w:left="0" w:right="0"/>
              <w:jc w:val="center"/>
              <w:rPr>
                <w:rFonts w:hint="default" w:ascii="Times New Roman"/>
                <w:color w:val="FF0000"/>
                <w:sz w:val="21"/>
                <w:szCs w:val="21"/>
                <w:highlight w:val="none"/>
              </w:rPr>
            </w:pPr>
          </w:p>
          <w:p w14:paraId="1AD18F3F">
            <w:pPr>
              <w:pStyle w:val="27"/>
              <w:keepNext w:val="0"/>
              <w:keepLines w:val="0"/>
              <w:suppressLineNumbers w:val="0"/>
              <w:adjustRightInd w:val="0"/>
              <w:snapToGrid w:val="0"/>
              <w:spacing w:before="0" w:beforeAutospacing="0" w:after="0" w:afterAutospacing="0"/>
              <w:ind w:left="0" w:right="0"/>
              <w:jc w:val="center"/>
              <w:rPr>
                <w:rFonts w:hint="default" w:ascii="Times New Roman"/>
                <w:color w:val="FF0000"/>
                <w:sz w:val="21"/>
                <w:szCs w:val="21"/>
                <w:highlight w:val="none"/>
              </w:rPr>
            </w:pPr>
          </w:p>
          <w:p w14:paraId="7EB14BB2">
            <w:pPr>
              <w:pStyle w:val="27"/>
              <w:keepNext w:val="0"/>
              <w:keepLines w:val="0"/>
              <w:suppressLineNumbers w:val="0"/>
              <w:adjustRightInd w:val="0"/>
              <w:snapToGrid w:val="0"/>
              <w:spacing w:before="0" w:beforeAutospacing="0" w:after="0" w:afterAutospacing="0"/>
              <w:ind w:left="0" w:right="0"/>
              <w:jc w:val="center"/>
              <w:rPr>
                <w:rFonts w:hint="default" w:ascii="Times New Roman"/>
                <w:color w:val="FF0000"/>
                <w:sz w:val="21"/>
                <w:szCs w:val="21"/>
                <w:highlight w:val="none"/>
              </w:rPr>
            </w:pPr>
          </w:p>
          <w:p w14:paraId="3F25B46E">
            <w:pPr>
              <w:pStyle w:val="27"/>
              <w:keepNext w:val="0"/>
              <w:keepLines w:val="0"/>
              <w:suppressLineNumbers w:val="0"/>
              <w:adjustRightInd w:val="0"/>
              <w:snapToGrid w:val="0"/>
              <w:spacing w:before="0" w:beforeAutospacing="0" w:after="0" w:afterAutospacing="0"/>
              <w:ind w:left="0" w:right="0"/>
              <w:jc w:val="center"/>
              <w:rPr>
                <w:rFonts w:hint="default" w:ascii="Times New Roman"/>
                <w:color w:val="FF0000"/>
                <w:sz w:val="21"/>
                <w:szCs w:val="21"/>
                <w:highlight w:val="none"/>
              </w:rPr>
            </w:pPr>
          </w:p>
          <w:p w14:paraId="3DF2F049">
            <w:pPr>
              <w:pStyle w:val="27"/>
              <w:keepNext w:val="0"/>
              <w:keepLines w:val="0"/>
              <w:suppressLineNumbers w:val="0"/>
              <w:adjustRightInd w:val="0"/>
              <w:snapToGrid w:val="0"/>
              <w:spacing w:before="0" w:beforeAutospacing="0" w:after="0" w:afterAutospacing="0"/>
              <w:ind w:left="0" w:right="0"/>
              <w:jc w:val="center"/>
              <w:rPr>
                <w:rFonts w:hint="default" w:ascii="Times New Roman"/>
                <w:color w:val="FF0000"/>
                <w:sz w:val="21"/>
                <w:szCs w:val="21"/>
                <w:highlight w:val="none"/>
              </w:rPr>
            </w:pPr>
          </w:p>
          <w:p w14:paraId="226E9945">
            <w:pPr>
              <w:pStyle w:val="27"/>
              <w:keepNext w:val="0"/>
              <w:keepLines w:val="0"/>
              <w:suppressLineNumbers w:val="0"/>
              <w:adjustRightInd w:val="0"/>
              <w:snapToGrid w:val="0"/>
              <w:spacing w:before="0" w:beforeAutospacing="0" w:after="0" w:afterAutospacing="0"/>
              <w:ind w:left="0" w:right="0"/>
              <w:jc w:val="center"/>
              <w:rPr>
                <w:rFonts w:hint="default" w:ascii="Times New Roman"/>
                <w:color w:val="FF0000"/>
                <w:sz w:val="21"/>
                <w:szCs w:val="21"/>
                <w:highlight w:val="none"/>
              </w:rPr>
            </w:pPr>
          </w:p>
          <w:p w14:paraId="0DA5BC2E">
            <w:pPr>
              <w:pStyle w:val="27"/>
              <w:keepNext w:val="0"/>
              <w:keepLines w:val="0"/>
              <w:suppressLineNumbers w:val="0"/>
              <w:adjustRightInd w:val="0"/>
              <w:snapToGrid w:val="0"/>
              <w:spacing w:before="0" w:beforeAutospacing="0" w:after="0" w:afterAutospacing="0"/>
              <w:ind w:left="0" w:right="0"/>
              <w:jc w:val="center"/>
              <w:rPr>
                <w:rFonts w:hint="default" w:ascii="Times New Roman"/>
                <w:color w:val="FF0000"/>
                <w:sz w:val="21"/>
                <w:szCs w:val="21"/>
                <w:highlight w:val="none"/>
              </w:rPr>
            </w:pPr>
          </w:p>
          <w:p w14:paraId="31526CA5">
            <w:pPr>
              <w:pStyle w:val="27"/>
              <w:keepNext w:val="0"/>
              <w:keepLines w:val="0"/>
              <w:suppressLineNumbers w:val="0"/>
              <w:adjustRightInd w:val="0"/>
              <w:snapToGrid w:val="0"/>
              <w:spacing w:before="0" w:beforeAutospacing="0" w:after="0" w:afterAutospacing="0"/>
              <w:ind w:left="0" w:right="0"/>
              <w:jc w:val="center"/>
              <w:rPr>
                <w:rFonts w:hint="default" w:ascii="Times New Roman"/>
                <w:color w:val="FF0000"/>
                <w:sz w:val="21"/>
                <w:szCs w:val="21"/>
                <w:highlight w:val="none"/>
              </w:rPr>
            </w:pPr>
          </w:p>
          <w:p w14:paraId="4078E19B">
            <w:pPr>
              <w:pStyle w:val="27"/>
              <w:keepNext w:val="0"/>
              <w:keepLines w:val="0"/>
              <w:suppressLineNumbers w:val="0"/>
              <w:adjustRightInd w:val="0"/>
              <w:snapToGrid w:val="0"/>
              <w:spacing w:before="0" w:beforeAutospacing="0" w:after="0" w:afterAutospacing="0"/>
              <w:ind w:left="0" w:right="0"/>
              <w:jc w:val="center"/>
              <w:rPr>
                <w:rFonts w:hint="default" w:ascii="Times New Roman"/>
                <w:color w:val="FF0000"/>
                <w:sz w:val="21"/>
                <w:szCs w:val="21"/>
                <w:highlight w:val="none"/>
              </w:rPr>
            </w:pPr>
          </w:p>
          <w:p w14:paraId="7433FB22">
            <w:pPr>
              <w:pStyle w:val="27"/>
              <w:keepNext w:val="0"/>
              <w:keepLines w:val="0"/>
              <w:suppressLineNumbers w:val="0"/>
              <w:adjustRightInd w:val="0"/>
              <w:snapToGrid w:val="0"/>
              <w:spacing w:before="0" w:beforeAutospacing="0" w:after="0" w:afterAutospacing="0"/>
              <w:ind w:left="0" w:right="0"/>
              <w:jc w:val="center"/>
              <w:rPr>
                <w:rFonts w:hint="default" w:ascii="Times New Roman"/>
                <w:color w:val="FF0000"/>
                <w:sz w:val="21"/>
                <w:szCs w:val="21"/>
                <w:highlight w:val="none"/>
              </w:rPr>
            </w:pPr>
          </w:p>
          <w:p w14:paraId="33C4FA57">
            <w:pPr>
              <w:pStyle w:val="27"/>
              <w:keepNext w:val="0"/>
              <w:keepLines w:val="0"/>
              <w:suppressLineNumbers w:val="0"/>
              <w:adjustRightInd w:val="0"/>
              <w:snapToGrid w:val="0"/>
              <w:spacing w:before="0" w:beforeAutospacing="0" w:after="0" w:afterAutospacing="0"/>
              <w:ind w:left="0" w:right="0"/>
              <w:jc w:val="center"/>
              <w:rPr>
                <w:rFonts w:hint="default" w:ascii="Times New Roman"/>
                <w:color w:val="FF0000"/>
                <w:sz w:val="21"/>
                <w:szCs w:val="21"/>
                <w:highlight w:val="none"/>
              </w:rPr>
            </w:pPr>
          </w:p>
          <w:p w14:paraId="41FD469D">
            <w:pPr>
              <w:pStyle w:val="27"/>
              <w:keepNext w:val="0"/>
              <w:keepLines w:val="0"/>
              <w:suppressLineNumbers w:val="0"/>
              <w:adjustRightInd w:val="0"/>
              <w:snapToGrid w:val="0"/>
              <w:spacing w:before="0" w:beforeAutospacing="0" w:after="0" w:afterAutospacing="0"/>
              <w:ind w:left="0" w:right="0"/>
              <w:jc w:val="center"/>
              <w:rPr>
                <w:rFonts w:hint="default" w:ascii="Times New Roman"/>
                <w:color w:val="FF0000"/>
                <w:sz w:val="21"/>
                <w:szCs w:val="21"/>
                <w:highlight w:val="none"/>
              </w:rPr>
            </w:pPr>
          </w:p>
          <w:p w14:paraId="5D91468A">
            <w:pPr>
              <w:pStyle w:val="27"/>
              <w:keepNext w:val="0"/>
              <w:keepLines w:val="0"/>
              <w:suppressLineNumbers w:val="0"/>
              <w:adjustRightInd w:val="0"/>
              <w:snapToGrid w:val="0"/>
              <w:spacing w:before="0" w:beforeAutospacing="0" w:after="0" w:afterAutospacing="0"/>
              <w:ind w:left="0" w:right="0"/>
              <w:jc w:val="center"/>
              <w:rPr>
                <w:rFonts w:hint="default" w:ascii="Times New Roman"/>
                <w:color w:val="FF0000"/>
                <w:sz w:val="21"/>
                <w:szCs w:val="21"/>
                <w:highlight w:val="none"/>
              </w:rPr>
            </w:pPr>
          </w:p>
          <w:p w14:paraId="5A43D82B">
            <w:pPr>
              <w:pStyle w:val="27"/>
              <w:keepNext w:val="0"/>
              <w:keepLines w:val="0"/>
              <w:suppressLineNumbers w:val="0"/>
              <w:adjustRightInd w:val="0"/>
              <w:snapToGrid w:val="0"/>
              <w:spacing w:before="0" w:beforeAutospacing="0" w:after="0" w:afterAutospacing="0"/>
              <w:ind w:left="0" w:right="0"/>
              <w:jc w:val="center"/>
              <w:rPr>
                <w:rFonts w:hint="default" w:ascii="Times New Roman"/>
                <w:color w:val="FF0000"/>
                <w:sz w:val="21"/>
                <w:szCs w:val="21"/>
                <w:highlight w:val="none"/>
              </w:rPr>
            </w:pPr>
          </w:p>
          <w:p w14:paraId="584591B8">
            <w:pPr>
              <w:pStyle w:val="27"/>
              <w:keepNext w:val="0"/>
              <w:keepLines w:val="0"/>
              <w:suppressLineNumbers w:val="0"/>
              <w:adjustRightInd w:val="0"/>
              <w:snapToGrid w:val="0"/>
              <w:spacing w:before="0" w:beforeAutospacing="0" w:after="0" w:afterAutospacing="0"/>
              <w:ind w:left="0" w:right="0"/>
              <w:jc w:val="center"/>
              <w:rPr>
                <w:rFonts w:hint="default" w:ascii="Times New Roman"/>
                <w:color w:val="FF0000"/>
                <w:sz w:val="21"/>
                <w:szCs w:val="21"/>
                <w:highlight w:val="none"/>
              </w:rPr>
            </w:pPr>
          </w:p>
          <w:p w14:paraId="7092A1BA">
            <w:pPr>
              <w:pStyle w:val="27"/>
              <w:keepNext w:val="0"/>
              <w:keepLines w:val="0"/>
              <w:suppressLineNumbers w:val="0"/>
              <w:adjustRightInd w:val="0"/>
              <w:snapToGrid w:val="0"/>
              <w:spacing w:before="0" w:beforeAutospacing="0" w:after="0" w:afterAutospacing="0"/>
              <w:ind w:left="0" w:right="0"/>
              <w:jc w:val="center"/>
              <w:rPr>
                <w:rFonts w:hint="default" w:ascii="Times New Roman"/>
                <w:color w:val="FF0000"/>
                <w:sz w:val="21"/>
                <w:szCs w:val="21"/>
                <w:highlight w:val="none"/>
              </w:rPr>
            </w:pPr>
          </w:p>
          <w:p w14:paraId="4207B020">
            <w:pPr>
              <w:pStyle w:val="27"/>
              <w:keepNext w:val="0"/>
              <w:keepLines w:val="0"/>
              <w:suppressLineNumbers w:val="0"/>
              <w:adjustRightInd w:val="0"/>
              <w:snapToGrid w:val="0"/>
              <w:spacing w:before="0" w:beforeAutospacing="0" w:after="0" w:afterAutospacing="0"/>
              <w:ind w:left="0" w:right="0"/>
              <w:jc w:val="center"/>
              <w:rPr>
                <w:rFonts w:hint="default" w:ascii="Times New Roman"/>
                <w:sz w:val="21"/>
                <w:szCs w:val="21"/>
                <w:highlight w:val="none"/>
              </w:rPr>
            </w:pPr>
          </w:p>
          <w:p w14:paraId="25F53DD2">
            <w:pPr>
              <w:pStyle w:val="27"/>
              <w:keepNext w:val="0"/>
              <w:keepLines w:val="0"/>
              <w:suppressLineNumbers w:val="0"/>
              <w:adjustRightInd w:val="0"/>
              <w:snapToGrid w:val="0"/>
              <w:spacing w:before="0" w:beforeAutospacing="0" w:after="0" w:afterAutospacing="0"/>
              <w:ind w:left="0" w:right="0"/>
              <w:jc w:val="center"/>
              <w:rPr>
                <w:rFonts w:hint="default" w:ascii="Times New Roman"/>
                <w:sz w:val="21"/>
                <w:szCs w:val="21"/>
                <w:highlight w:val="none"/>
              </w:rPr>
            </w:pPr>
          </w:p>
          <w:p w14:paraId="275A7EAE">
            <w:pPr>
              <w:pStyle w:val="27"/>
              <w:keepNext w:val="0"/>
              <w:keepLines w:val="0"/>
              <w:suppressLineNumbers w:val="0"/>
              <w:adjustRightInd w:val="0"/>
              <w:snapToGrid w:val="0"/>
              <w:spacing w:before="0" w:beforeAutospacing="0" w:after="0" w:afterAutospacing="0"/>
              <w:ind w:left="0" w:right="0"/>
              <w:jc w:val="center"/>
              <w:rPr>
                <w:rFonts w:hint="default" w:ascii="Times New Roman"/>
                <w:sz w:val="21"/>
                <w:szCs w:val="21"/>
                <w:highlight w:val="none"/>
              </w:rPr>
            </w:pPr>
          </w:p>
          <w:p w14:paraId="555A913F">
            <w:pPr>
              <w:pStyle w:val="27"/>
              <w:keepNext w:val="0"/>
              <w:keepLines w:val="0"/>
              <w:suppressLineNumbers w:val="0"/>
              <w:adjustRightInd w:val="0"/>
              <w:snapToGrid w:val="0"/>
              <w:spacing w:before="0" w:beforeAutospacing="0" w:after="0" w:afterAutospacing="0"/>
              <w:ind w:left="0" w:right="0"/>
              <w:jc w:val="center"/>
              <w:rPr>
                <w:rFonts w:hint="default" w:ascii="Times New Roman"/>
                <w:sz w:val="21"/>
                <w:szCs w:val="21"/>
                <w:highlight w:val="none"/>
              </w:rPr>
            </w:pPr>
            <w:r>
              <w:rPr>
                <w:rFonts w:hint="eastAsia" w:ascii="Times New Roman"/>
                <w:sz w:val="21"/>
                <w:szCs w:val="21"/>
                <w:highlight w:val="none"/>
              </w:rPr>
              <w:t>建设内容</w:t>
            </w:r>
          </w:p>
          <w:p w14:paraId="74845BE8">
            <w:pPr>
              <w:pStyle w:val="27"/>
              <w:keepNext w:val="0"/>
              <w:keepLines w:val="0"/>
              <w:suppressLineNumbers w:val="0"/>
              <w:adjustRightInd w:val="0"/>
              <w:snapToGrid w:val="0"/>
              <w:spacing w:before="0" w:beforeAutospacing="0" w:after="0" w:afterAutospacing="0"/>
              <w:ind w:left="0" w:right="0"/>
              <w:jc w:val="center"/>
              <w:rPr>
                <w:rFonts w:hint="default" w:ascii="Times New Roman"/>
                <w:sz w:val="21"/>
                <w:szCs w:val="21"/>
                <w:highlight w:val="none"/>
              </w:rPr>
            </w:pPr>
          </w:p>
          <w:p w14:paraId="0B00D0A9">
            <w:pPr>
              <w:pStyle w:val="27"/>
              <w:keepNext w:val="0"/>
              <w:keepLines w:val="0"/>
              <w:suppressLineNumbers w:val="0"/>
              <w:adjustRightInd w:val="0"/>
              <w:snapToGrid w:val="0"/>
              <w:spacing w:before="0" w:beforeAutospacing="0" w:after="0" w:afterAutospacing="0"/>
              <w:ind w:left="0" w:right="0"/>
              <w:jc w:val="center"/>
              <w:rPr>
                <w:rFonts w:hint="default" w:ascii="Times New Roman"/>
                <w:sz w:val="21"/>
                <w:szCs w:val="21"/>
                <w:highlight w:val="none"/>
              </w:rPr>
            </w:pPr>
          </w:p>
          <w:p w14:paraId="3C0166F1">
            <w:pPr>
              <w:pStyle w:val="27"/>
              <w:keepNext w:val="0"/>
              <w:keepLines w:val="0"/>
              <w:suppressLineNumbers w:val="0"/>
              <w:adjustRightInd w:val="0"/>
              <w:snapToGrid w:val="0"/>
              <w:spacing w:before="0" w:beforeAutospacing="0" w:after="0" w:afterAutospacing="0"/>
              <w:ind w:left="0" w:right="0"/>
              <w:jc w:val="center"/>
              <w:rPr>
                <w:rFonts w:hint="default" w:ascii="Times New Roman"/>
                <w:sz w:val="21"/>
                <w:szCs w:val="21"/>
                <w:highlight w:val="none"/>
              </w:rPr>
            </w:pPr>
          </w:p>
          <w:p w14:paraId="71C1996B">
            <w:pPr>
              <w:pStyle w:val="27"/>
              <w:keepNext w:val="0"/>
              <w:keepLines w:val="0"/>
              <w:suppressLineNumbers w:val="0"/>
              <w:adjustRightInd w:val="0"/>
              <w:snapToGrid w:val="0"/>
              <w:spacing w:before="0" w:beforeAutospacing="0" w:after="0" w:afterAutospacing="0"/>
              <w:ind w:left="0" w:right="0"/>
              <w:jc w:val="center"/>
              <w:rPr>
                <w:rFonts w:hint="default" w:ascii="Times New Roman"/>
                <w:sz w:val="21"/>
                <w:szCs w:val="21"/>
                <w:highlight w:val="none"/>
              </w:rPr>
            </w:pPr>
          </w:p>
          <w:p w14:paraId="33AB5211">
            <w:pPr>
              <w:pStyle w:val="27"/>
              <w:keepNext w:val="0"/>
              <w:keepLines w:val="0"/>
              <w:suppressLineNumbers w:val="0"/>
              <w:adjustRightInd w:val="0"/>
              <w:snapToGrid w:val="0"/>
              <w:spacing w:before="0" w:beforeAutospacing="0" w:after="0" w:afterAutospacing="0"/>
              <w:ind w:left="0" w:right="0"/>
              <w:jc w:val="center"/>
              <w:rPr>
                <w:rFonts w:hint="default" w:ascii="Times New Roman"/>
                <w:sz w:val="21"/>
                <w:szCs w:val="21"/>
                <w:highlight w:val="none"/>
              </w:rPr>
            </w:pPr>
          </w:p>
          <w:p w14:paraId="137A763F">
            <w:pPr>
              <w:pStyle w:val="27"/>
              <w:keepNext w:val="0"/>
              <w:keepLines w:val="0"/>
              <w:suppressLineNumbers w:val="0"/>
              <w:adjustRightInd w:val="0"/>
              <w:snapToGrid w:val="0"/>
              <w:spacing w:before="0" w:beforeAutospacing="0" w:after="0" w:afterAutospacing="0"/>
              <w:ind w:left="0" w:right="0"/>
              <w:jc w:val="center"/>
              <w:rPr>
                <w:rFonts w:hint="default" w:ascii="Times New Roman"/>
                <w:sz w:val="21"/>
                <w:szCs w:val="21"/>
                <w:highlight w:val="none"/>
              </w:rPr>
            </w:pPr>
          </w:p>
          <w:p w14:paraId="340E8B1A">
            <w:pPr>
              <w:pStyle w:val="27"/>
              <w:keepNext w:val="0"/>
              <w:keepLines w:val="0"/>
              <w:suppressLineNumbers w:val="0"/>
              <w:adjustRightInd w:val="0"/>
              <w:snapToGrid w:val="0"/>
              <w:spacing w:before="0" w:beforeAutospacing="0" w:after="0" w:afterAutospacing="0"/>
              <w:ind w:left="0" w:right="0"/>
              <w:jc w:val="center"/>
              <w:rPr>
                <w:rFonts w:hint="default" w:ascii="Times New Roman"/>
                <w:sz w:val="21"/>
                <w:szCs w:val="21"/>
                <w:highlight w:val="none"/>
              </w:rPr>
            </w:pPr>
          </w:p>
          <w:p w14:paraId="7717A469">
            <w:pPr>
              <w:pStyle w:val="27"/>
              <w:keepNext w:val="0"/>
              <w:keepLines w:val="0"/>
              <w:suppressLineNumbers w:val="0"/>
              <w:adjustRightInd w:val="0"/>
              <w:snapToGrid w:val="0"/>
              <w:spacing w:before="0" w:beforeAutospacing="0" w:after="0" w:afterAutospacing="0"/>
              <w:ind w:left="0" w:right="0"/>
              <w:jc w:val="center"/>
              <w:rPr>
                <w:rFonts w:hint="default" w:ascii="Times New Roman"/>
                <w:color w:val="FF0000"/>
                <w:sz w:val="21"/>
                <w:szCs w:val="21"/>
                <w:highlight w:val="none"/>
              </w:rPr>
            </w:pPr>
          </w:p>
          <w:p w14:paraId="0754CB17">
            <w:pPr>
              <w:pStyle w:val="27"/>
              <w:keepNext w:val="0"/>
              <w:keepLines w:val="0"/>
              <w:suppressLineNumbers w:val="0"/>
              <w:adjustRightInd w:val="0"/>
              <w:snapToGrid w:val="0"/>
              <w:spacing w:before="0" w:beforeAutospacing="0" w:after="0" w:afterAutospacing="0"/>
              <w:ind w:left="0" w:right="0"/>
              <w:jc w:val="center"/>
              <w:rPr>
                <w:rFonts w:hint="default" w:ascii="Times New Roman"/>
                <w:color w:val="FF0000"/>
                <w:sz w:val="21"/>
                <w:szCs w:val="21"/>
                <w:highlight w:val="none"/>
              </w:rPr>
            </w:pPr>
          </w:p>
          <w:p w14:paraId="577AF62D">
            <w:pPr>
              <w:pStyle w:val="27"/>
              <w:keepNext w:val="0"/>
              <w:keepLines w:val="0"/>
              <w:suppressLineNumbers w:val="0"/>
              <w:adjustRightInd w:val="0"/>
              <w:snapToGrid w:val="0"/>
              <w:spacing w:before="0" w:beforeAutospacing="0" w:after="0" w:afterAutospacing="0"/>
              <w:ind w:left="0" w:right="0"/>
              <w:jc w:val="center"/>
              <w:rPr>
                <w:rFonts w:hint="default" w:ascii="Times New Roman"/>
                <w:color w:val="FF0000"/>
                <w:sz w:val="21"/>
                <w:szCs w:val="21"/>
                <w:highlight w:val="none"/>
              </w:rPr>
            </w:pPr>
          </w:p>
          <w:p w14:paraId="043F2F6A">
            <w:pPr>
              <w:pStyle w:val="27"/>
              <w:keepNext w:val="0"/>
              <w:keepLines w:val="0"/>
              <w:suppressLineNumbers w:val="0"/>
              <w:adjustRightInd w:val="0"/>
              <w:snapToGrid w:val="0"/>
              <w:spacing w:before="0" w:beforeAutospacing="0" w:after="0" w:afterAutospacing="0"/>
              <w:ind w:left="0" w:right="0"/>
              <w:jc w:val="center"/>
              <w:rPr>
                <w:rFonts w:hint="default" w:ascii="Times New Roman"/>
                <w:color w:val="FF0000"/>
                <w:sz w:val="21"/>
                <w:szCs w:val="21"/>
                <w:highlight w:val="none"/>
              </w:rPr>
            </w:pPr>
          </w:p>
          <w:p w14:paraId="364EDEB3">
            <w:pPr>
              <w:pStyle w:val="27"/>
              <w:keepNext w:val="0"/>
              <w:keepLines w:val="0"/>
              <w:suppressLineNumbers w:val="0"/>
              <w:adjustRightInd w:val="0"/>
              <w:snapToGrid w:val="0"/>
              <w:spacing w:before="0" w:beforeAutospacing="0" w:after="0" w:afterAutospacing="0"/>
              <w:ind w:left="0" w:right="0"/>
              <w:jc w:val="center"/>
              <w:rPr>
                <w:rFonts w:hint="default" w:ascii="Times New Roman"/>
                <w:color w:val="FF0000"/>
                <w:sz w:val="21"/>
                <w:szCs w:val="21"/>
                <w:highlight w:val="none"/>
              </w:rPr>
            </w:pPr>
          </w:p>
          <w:p w14:paraId="56C88DC4">
            <w:pPr>
              <w:pStyle w:val="27"/>
              <w:keepNext w:val="0"/>
              <w:keepLines w:val="0"/>
              <w:suppressLineNumbers w:val="0"/>
              <w:adjustRightInd w:val="0"/>
              <w:snapToGrid w:val="0"/>
              <w:spacing w:before="0" w:beforeAutospacing="0" w:after="0" w:afterAutospacing="0"/>
              <w:ind w:left="0" w:right="0"/>
              <w:jc w:val="center"/>
              <w:rPr>
                <w:rFonts w:hint="default" w:ascii="Times New Roman"/>
                <w:color w:val="FF0000"/>
                <w:sz w:val="21"/>
                <w:szCs w:val="21"/>
                <w:highlight w:val="none"/>
              </w:rPr>
            </w:pPr>
          </w:p>
          <w:p w14:paraId="29989B9B">
            <w:pPr>
              <w:pStyle w:val="27"/>
              <w:keepNext w:val="0"/>
              <w:keepLines w:val="0"/>
              <w:suppressLineNumbers w:val="0"/>
              <w:adjustRightInd w:val="0"/>
              <w:snapToGrid w:val="0"/>
              <w:spacing w:before="0" w:beforeAutospacing="0" w:after="0" w:afterAutospacing="0"/>
              <w:ind w:left="0" w:right="0"/>
              <w:jc w:val="center"/>
              <w:rPr>
                <w:rFonts w:hint="default" w:ascii="Times New Roman"/>
                <w:color w:val="FF0000"/>
                <w:sz w:val="21"/>
                <w:szCs w:val="21"/>
                <w:highlight w:val="none"/>
              </w:rPr>
            </w:pPr>
          </w:p>
          <w:p w14:paraId="5A19BF43">
            <w:pPr>
              <w:pStyle w:val="27"/>
              <w:keepNext w:val="0"/>
              <w:keepLines w:val="0"/>
              <w:suppressLineNumbers w:val="0"/>
              <w:adjustRightInd w:val="0"/>
              <w:snapToGrid w:val="0"/>
              <w:spacing w:before="0" w:beforeAutospacing="0" w:after="0" w:afterAutospacing="0"/>
              <w:ind w:left="0" w:right="0"/>
              <w:jc w:val="center"/>
              <w:rPr>
                <w:rFonts w:hint="default" w:ascii="Times New Roman"/>
                <w:color w:val="FF0000"/>
                <w:sz w:val="21"/>
                <w:szCs w:val="21"/>
                <w:highlight w:val="none"/>
              </w:rPr>
            </w:pPr>
          </w:p>
          <w:p w14:paraId="31C6C224">
            <w:pPr>
              <w:pStyle w:val="27"/>
              <w:keepNext w:val="0"/>
              <w:keepLines w:val="0"/>
              <w:suppressLineNumbers w:val="0"/>
              <w:adjustRightInd w:val="0"/>
              <w:snapToGrid w:val="0"/>
              <w:spacing w:before="0" w:beforeAutospacing="0" w:after="0" w:afterAutospacing="0"/>
              <w:ind w:left="0" w:right="0"/>
              <w:jc w:val="center"/>
              <w:rPr>
                <w:rFonts w:hint="default" w:ascii="Times New Roman"/>
                <w:color w:val="FF0000"/>
                <w:sz w:val="21"/>
                <w:szCs w:val="21"/>
                <w:highlight w:val="none"/>
              </w:rPr>
            </w:pPr>
          </w:p>
          <w:p w14:paraId="1EC4A7C2">
            <w:pPr>
              <w:pStyle w:val="27"/>
              <w:keepNext w:val="0"/>
              <w:keepLines w:val="0"/>
              <w:suppressLineNumbers w:val="0"/>
              <w:adjustRightInd w:val="0"/>
              <w:snapToGrid w:val="0"/>
              <w:spacing w:before="0" w:beforeAutospacing="0" w:after="0" w:afterAutospacing="0"/>
              <w:ind w:left="0" w:right="0"/>
              <w:jc w:val="center"/>
              <w:rPr>
                <w:rFonts w:hint="default" w:ascii="Times New Roman"/>
                <w:color w:val="FF0000"/>
                <w:sz w:val="21"/>
                <w:szCs w:val="21"/>
                <w:highlight w:val="none"/>
              </w:rPr>
            </w:pPr>
          </w:p>
          <w:p w14:paraId="055D978D">
            <w:pPr>
              <w:pStyle w:val="27"/>
              <w:keepNext w:val="0"/>
              <w:keepLines w:val="0"/>
              <w:suppressLineNumbers w:val="0"/>
              <w:adjustRightInd w:val="0"/>
              <w:snapToGrid w:val="0"/>
              <w:spacing w:before="0" w:beforeAutospacing="0" w:after="0" w:afterAutospacing="0"/>
              <w:ind w:left="0" w:right="0"/>
              <w:jc w:val="center"/>
              <w:rPr>
                <w:rFonts w:hint="default" w:ascii="Times New Roman"/>
                <w:color w:val="FF0000"/>
                <w:sz w:val="21"/>
                <w:szCs w:val="21"/>
                <w:highlight w:val="none"/>
              </w:rPr>
            </w:pPr>
          </w:p>
          <w:p w14:paraId="0C2C93B5">
            <w:pPr>
              <w:pStyle w:val="27"/>
              <w:keepNext w:val="0"/>
              <w:keepLines w:val="0"/>
              <w:suppressLineNumbers w:val="0"/>
              <w:adjustRightInd w:val="0"/>
              <w:snapToGrid w:val="0"/>
              <w:spacing w:before="0" w:beforeAutospacing="0" w:after="0" w:afterAutospacing="0"/>
              <w:ind w:left="0" w:right="0"/>
              <w:jc w:val="center"/>
              <w:rPr>
                <w:rFonts w:hint="default" w:ascii="Times New Roman"/>
                <w:color w:val="FF0000"/>
                <w:sz w:val="21"/>
                <w:szCs w:val="21"/>
                <w:highlight w:val="none"/>
              </w:rPr>
            </w:pPr>
          </w:p>
          <w:p w14:paraId="7F448610">
            <w:pPr>
              <w:pStyle w:val="27"/>
              <w:keepNext w:val="0"/>
              <w:keepLines w:val="0"/>
              <w:suppressLineNumbers w:val="0"/>
              <w:adjustRightInd w:val="0"/>
              <w:snapToGrid w:val="0"/>
              <w:spacing w:before="0" w:beforeAutospacing="0" w:after="0" w:afterAutospacing="0"/>
              <w:ind w:left="0" w:right="0"/>
              <w:jc w:val="center"/>
              <w:rPr>
                <w:rFonts w:hint="default" w:ascii="Times New Roman"/>
                <w:color w:val="FF0000"/>
                <w:sz w:val="21"/>
                <w:szCs w:val="21"/>
                <w:highlight w:val="none"/>
              </w:rPr>
            </w:pPr>
          </w:p>
          <w:p w14:paraId="09E0B4CD">
            <w:pPr>
              <w:pStyle w:val="27"/>
              <w:keepNext w:val="0"/>
              <w:keepLines w:val="0"/>
              <w:suppressLineNumbers w:val="0"/>
              <w:adjustRightInd w:val="0"/>
              <w:snapToGrid w:val="0"/>
              <w:spacing w:before="0" w:beforeAutospacing="0" w:after="0" w:afterAutospacing="0"/>
              <w:ind w:left="0" w:right="0"/>
              <w:jc w:val="center"/>
              <w:rPr>
                <w:rFonts w:hint="default" w:ascii="Times New Roman"/>
                <w:color w:val="FF0000"/>
                <w:sz w:val="21"/>
                <w:szCs w:val="21"/>
                <w:highlight w:val="none"/>
              </w:rPr>
            </w:pPr>
          </w:p>
          <w:p w14:paraId="68988D2C">
            <w:pPr>
              <w:pStyle w:val="27"/>
              <w:keepNext w:val="0"/>
              <w:keepLines w:val="0"/>
              <w:suppressLineNumbers w:val="0"/>
              <w:adjustRightInd w:val="0"/>
              <w:snapToGrid w:val="0"/>
              <w:spacing w:before="0" w:beforeAutospacing="0" w:after="0" w:afterAutospacing="0"/>
              <w:ind w:left="0" w:right="0"/>
              <w:jc w:val="center"/>
              <w:rPr>
                <w:rFonts w:hint="default" w:ascii="Times New Roman"/>
                <w:color w:val="FF0000"/>
                <w:sz w:val="21"/>
                <w:szCs w:val="21"/>
                <w:highlight w:val="none"/>
              </w:rPr>
            </w:pPr>
          </w:p>
          <w:p w14:paraId="54070DF6">
            <w:pPr>
              <w:pStyle w:val="27"/>
              <w:keepNext w:val="0"/>
              <w:keepLines w:val="0"/>
              <w:suppressLineNumbers w:val="0"/>
              <w:adjustRightInd w:val="0"/>
              <w:snapToGrid w:val="0"/>
              <w:spacing w:before="0" w:beforeAutospacing="0" w:after="0" w:afterAutospacing="0"/>
              <w:ind w:left="0" w:right="0"/>
              <w:jc w:val="center"/>
              <w:rPr>
                <w:rFonts w:hint="default" w:ascii="Times New Roman" w:hAnsi="Times New Roman"/>
                <w:color w:val="FF0000"/>
                <w:sz w:val="21"/>
                <w:szCs w:val="21"/>
                <w:highlight w:val="none"/>
              </w:rPr>
            </w:pPr>
          </w:p>
          <w:p w14:paraId="1397F23E">
            <w:pPr>
              <w:pStyle w:val="27"/>
              <w:keepNext w:val="0"/>
              <w:keepLines w:val="0"/>
              <w:suppressLineNumbers w:val="0"/>
              <w:adjustRightInd w:val="0"/>
              <w:snapToGrid w:val="0"/>
              <w:spacing w:before="0" w:beforeAutospacing="0" w:after="0" w:afterAutospacing="0"/>
              <w:ind w:left="0" w:right="0"/>
              <w:jc w:val="center"/>
              <w:rPr>
                <w:rFonts w:hint="default" w:ascii="Times New Roman"/>
                <w:color w:val="FF0000"/>
                <w:sz w:val="21"/>
                <w:szCs w:val="21"/>
                <w:highlight w:val="none"/>
              </w:rPr>
            </w:pPr>
          </w:p>
          <w:p w14:paraId="27EEDAFD">
            <w:pPr>
              <w:pStyle w:val="27"/>
              <w:keepNext w:val="0"/>
              <w:keepLines w:val="0"/>
              <w:suppressLineNumbers w:val="0"/>
              <w:adjustRightInd w:val="0"/>
              <w:snapToGrid w:val="0"/>
              <w:spacing w:before="0" w:beforeAutospacing="0" w:after="0" w:afterAutospacing="0"/>
              <w:ind w:left="0" w:right="0"/>
              <w:jc w:val="center"/>
              <w:rPr>
                <w:rFonts w:hint="default" w:ascii="Times New Roman"/>
                <w:color w:val="FF0000"/>
                <w:sz w:val="21"/>
                <w:szCs w:val="21"/>
                <w:highlight w:val="none"/>
              </w:rPr>
            </w:pPr>
          </w:p>
          <w:p w14:paraId="55F9859B">
            <w:pPr>
              <w:pStyle w:val="27"/>
              <w:keepNext w:val="0"/>
              <w:keepLines w:val="0"/>
              <w:suppressLineNumbers w:val="0"/>
              <w:adjustRightInd w:val="0"/>
              <w:snapToGrid w:val="0"/>
              <w:spacing w:before="0" w:beforeAutospacing="0" w:after="0" w:afterAutospacing="0"/>
              <w:ind w:left="0" w:right="0"/>
              <w:jc w:val="center"/>
              <w:rPr>
                <w:rFonts w:hint="default" w:ascii="Times New Roman"/>
                <w:color w:val="FF0000"/>
                <w:sz w:val="21"/>
                <w:szCs w:val="21"/>
                <w:highlight w:val="none"/>
              </w:rPr>
            </w:pPr>
          </w:p>
          <w:p w14:paraId="60B778AB">
            <w:pPr>
              <w:pStyle w:val="27"/>
              <w:keepNext w:val="0"/>
              <w:keepLines w:val="0"/>
              <w:suppressLineNumbers w:val="0"/>
              <w:adjustRightInd w:val="0"/>
              <w:snapToGrid w:val="0"/>
              <w:spacing w:before="0" w:beforeAutospacing="0" w:after="0" w:afterAutospacing="0"/>
              <w:ind w:left="0" w:right="0"/>
              <w:jc w:val="center"/>
              <w:rPr>
                <w:rFonts w:hint="default" w:ascii="Times New Roman"/>
                <w:color w:val="FF0000"/>
                <w:sz w:val="21"/>
                <w:szCs w:val="21"/>
                <w:highlight w:val="none"/>
              </w:rPr>
            </w:pPr>
          </w:p>
          <w:p w14:paraId="2320EF9B">
            <w:pPr>
              <w:pStyle w:val="27"/>
              <w:keepNext w:val="0"/>
              <w:keepLines w:val="0"/>
              <w:suppressLineNumbers w:val="0"/>
              <w:adjustRightInd w:val="0"/>
              <w:snapToGrid w:val="0"/>
              <w:spacing w:before="0" w:beforeAutospacing="0" w:after="0" w:afterAutospacing="0"/>
              <w:ind w:left="0" w:right="0"/>
              <w:jc w:val="center"/>
              <w:rPr>
                <w:rFonts w:hint="default" w:ascii="Times New Roman"/>
                <w:color w:val="FF0000"/>
                <w:sz w:val="21"/>
                <w:szCs w:val="21"/>
                <w:highlight w:val="none"/>
              </w:rPr>
            </w:pPr>
          </w:p>
          <w:p w14:paraId="4F88FD85">
            <w:pPr>
              <w:pStyle w:val="27"/>
              <w:keepNext w:val="0"/>
              <w:keepLines w:val="0"/>
              <w:suppressLineNumbers w:val="0"/>
              <w:adjustRightInd w:val="0"/>
              <w:snapToGrid w:val="0"/>
              <w:spacing w:before="0" w:beforeAutospacing="0" w:after="0" w:afterAutospacing="0"/>
              <w:ind w:left="0" w:right="0"/>
              <w:jc w:val="center"/>
              <w:rPr>
                <w:rFonts w:hint="default" w:ascii="Times New Roman"/>
                <w:color w:val="FF0000"/>
                <w:sz w:val="21"/>
                <w:szCs w:val="21"/>
                <w:highlight w:val="none"/>
              </w:rPr>
            </w:pPr>
          </w:p>
          <w:p w14:paraId="4B9D5DFE">
            <w:pPr>
              <w:pStyle w:val="27"/>
              <w:keepNext w:val="0"/>
              <w:keepLines w:val="0"/>
              <w:suppressLineNumbers w:val="0"/>
              <w:adjustRightInd w:val="0"/>
              <w:snapToGrid w:val="0"/>
              <w:spacing w:before="0" w:beforeAutospacing="0" w:after="0" w:afterAutospacing="0"/>
              <w:ind w:left="0" w:right="0"/>
              <w:jc w:val="center"/>
              <w:rPr>
                <w:rFonts w:hint="default" w:ascii="Times New Roman"/>
                <w:color w:val="FF0000"/>
                <w:sz w:val="21"/>
                <w:szCs w:val="21"/>
                <w:highlight w:val="none"/>
              </w:rPr>
            </w:pPr>
          </w:p>
          <w:p w14:paraId="05BE9B08">
            <w:pPr>
              <w:pStyle w:val="27"/>
              <w:keepNext w:val="0"/>
              <w:keepLines w:val="0"/>
              <w:suppressLineNumbers w:val="0"/>
              <w:adjustRightInd w:val="0"/>
              <w:snapToGrid w:val="0"/>
              <w:spacing w:before="0" w:beforeAutospacing="0" w:after="0" w:afterAutospacing="0"/>
              <w:ind w:left="0" w:right="0"/>
              <w:jc w:val="center"/>
              <w:rPr>
                <w:rFonts w:hint="default" w:ascii="Times New Roman"/>
                <w:color w:val="FF0000"/>
                <w:sz w:val="21"/>
                <w:szCs w:val="21"/>
                <w:highlight w:val="none"/>
              </w:rPr>
            </w:pPr>
          </w:p>
          <w:p w14:paraId="5E7134BE">
            <w:pPr>
              <w:pStyle w:val="27"/>
              <w:keepNext w:val="0"/>
              <w:keepLines w:val="0"/>
              <w:suppressLineNumbers w:val="0"/>
              <w:adjustRightInd w:val="0"/>
              <w:snapToGrid w:val="0"/>
              <w:spacing w:before="0" w:beforeAutospacing="0" w:after="0" w:afterAutospacing="0"/>
              <w:ind w:left="0" w:right="0"/>
              <w:jc w:val="center"/>
              <w:rPr>
                <w:rFonts w:hint="default" w:ascii="Times New Roman"/>
                <w:color w:val="FF0000"/>
                <w:sz w:val="21"/>
                <w:szCs w:val="21"/>
                <w:highlight w:val="none"/>
              </w:rPr>
            </w:pPr>
          </w:p>
          <w:p w14:paraId="639251DA">
            <w:pPr>
              <w:pStyle w:val="27"/>
              <w:keepNext w:val="0"/>
              <w:keepLines w:val="0"/>
              <w:suppressLineNumbers w:val="0"/>
              <w:adjustRightInd w:val="0"/>
              <w:snapToGrid w:val="0"/>
              <w:spacing w:before="0" w:beforeAutospacing="0" w:after="0" w:afterAutospacing="0"/>
              <w:ind w:left="0" w:right="0"/>
              <w:jc w:val="center"/>
              <w:rPr>
                <w:rFonts w:hint="default" w:ascii="Times New Roman"/>
                <w:color w:val="FF0000"/>
                <w:sz w:val="21"/>
                <w:szCs w:val="21"/>
                <w:highlight w:val="none"/>
              </w:rPr>
            </w:pPr>
          </w:p>
          <w:p w14:paraId="0C6F187E">
            <w:pPr>
              <w:pStyle w:val="27"/>
              <w:keepNext w:val="0"/>
              <w:keepLines w:val="0"/>
              <w:suppressLineNumbers w:val="0"/>
              <w:adjustRightInd w:val="0"/>
              <w:snapToGrid w:val="0"/>
              <w:spacing w:before="0" w:beforeAutospacing="0" w:after="0" w:afterAutospacing="0"/>
              <w:ind w:left="0" w:right="0"/>
              <w:jc w:val="center"/>
              <w:rPr>
                <w:rFonts w:hint="default" w:ascii="Times New Roman"/>
                <w:color w:val="FF0000"/>
                <w:sz w:val="21"/>
                <w:szCs w:val="21"/>
                <w:highlight w:val="none"/>
              </w:rPr>
            </w:pPr>
          </w:p>
          <w:p w14:paraId="4E858381">
            <w:pPr>
              <w:pStyle w:val="27"/>
              <w:keepNext w:val="0"/>
              <w:keepLines w:val="0"/>
              <w:suppressLineNumbers w:val="0"/>
              <w:adjustRightInd w:val="0"/>
              <w:snapToGrid w:val="0"/>
              <w:spacing w:before="0" w:beforeAutospacing="0" w:after="0" w:afterAutospacing="0"/>
              <w:ind w:left="0" w:right="0"/>
              <w:jc w:val="center"/>
              <w:rPr>
                <w:rFonts w:hint="default" w:ascii="Times New Roman"/>
                <w:color w:val="FF0000"/>
                <w:sz w:val="21"/>
                <w:szCs w:val="21"/>
                <w:highlight w:val="none"/>
              </w:rPr>
            </w:pPr>
          </w:p>
          <w:p w14:paraId="5FA5A721">
            <w:pPr>
              <w:pStyle w:val="27"/>
              <w:keepNext w:val="0"/>
              <w:keepLines w:val="0"/>
              <w:suppressLineNumbers w:val="0"/>
              <w:adjustRightInd w:val="0"/>
              <w:snapToGrid w:val="0"/>
              <w:spacing w:before="0" w:beforeAutospacing="0" w:after="0" w:afterAutospacing="0"/>
              <w:ind w:left="0" w:right="0"/>
              <w:jc w:val="center"/>
              <w:rPr>
                <w:rFonts w:hint="default" w:ascii="Times New Roman"/>
                <w:color w:val="FF0000"/>
                <w:sz w:val="21"/>
                <w:szCs w:val="21"/>
                <w:highlight w:val="none"/>
              </w:rPr>
            </w:pPr>
          </w:p>
          <w:p w14:paraId="127FF585">
            <w:pPr>
              <w:pStyle w:val="27"/>
              <w:keepNext w:val="0"/>
              <w:keepLines w:val="0"/>
              <w:suppressLineNumbers w:val="0"/>
              <w:adjustRightInd w:val="0"/>
              <w:snapToGrid w:val="0"/>
              <w:spacing w:before="0" w:beforeAutospacing="0" w:after="0" w:afterAutospacing="0"/>
              <w:ind w:left="0" w:right="0"/>
              <w:jc w:val="center"/>
              <w:rPr>
                <w:rFonts w:hint="default" w:ascii="Times New Roman"/>
                <w:color w:val="FF0000"/>
                <w:sz w:val="21"/>
                <w:szCs w:val="21"/>
                <w:highlight w:val="none"/>
              </w:rPr>
            </w:pPr>
          </w:p>
          <w:p w14:paraId="083AFECE">
            <w:pPr>
              <w:pStyle w:val="27"/>
              <w:keepNext w:val="0"/>
              <w:keepLines w:val="0"/>
              <w:suppressLineNumbers w:val="0"/>
              <w:adjustRightInd w:val="0"/>
              <w:snapToGrid w:val="0"/>
              <w:spacing w:before="0" w:beforeAutospacing="0" w:after="0" w:afterAutospacing="0"/>
              <w:ind w:left="0" w:right="0"/>
              <w:jc w:val="center"/>
              <w:rPr>
                <w:rFonts w:hint="default" w:ascii="Times New Roman"/>
                <w:color w:val="FF0000"/>
                <w:sz w:val="21"/>
                <w:szCs w:val="21"/>
                <w:highlight w:val="none"/>
              </w:rPr>
            </w:pPr>
          </w:p>
          <w:p w14:paraId="2C657968">
            <w:pPr>
              <w:pStyle w:val="27"/>
              <w:keepNext w:val="0"/>
              <w:keepLines w:val="0"/>
              <w:suppressLineNumbers w:val="0"/>
              <w:adjustRightInd w:val="0"/>
              <w:snapToGrid w:val="0"/>
              <w:spacing w:before="0" w:beforeAutospacing="0" w:after="0" w:afterAutospacing="0"/>
              <w:ind w:left="0" w:right="0"/>
              <w:jc w:val="center"/>
              <w:rPr>
                <w:rFonts w:hint="default" w:ascii="Times New Roman"/>
                <w:color w:val="FF0000"/>
                <w:sz w:val="21"/>
                <w:szCs w:val="21"/>
                <w:highlight w:val="none"/>
              </w:rPr>
            </w:pPr>
          </w:p>
          <w:p w14:paraId="6816A9BB">
            <w:pPr>
              <w:pStyle w:val="27"/>
              <w:keepNext w:val="0"/>
              <w:keepLines w:val="0"/>
              <w:suppressLineNumbers w:val="0"/>
              <w:adjustRightInd w:val="0"/>
              <w:snapToGrid w:val="0"/>
              <w:spacing w:before="0" w:beforeAutospacing="0" w:after="0" w:afterAutospacing="0"/>
              <w:ind w:left="0" w:right="0"/>
              <w:jc w:val="center"/>
              <w:rPr>
                <w:rFonts w:hint="default" w:ascii="Times New Roman"/>
                <w:color w:val="FF0000"/>
                <w:sz w:val="21"/>
                <w:szCs w:val="21"/>
                <w:highlight w:val="none"/>
              </w:rPr>
            </w:pPr>
          </w:p>
          <w:p w14:paraId="49F1C5B7">
            <w:pPr>
              <w:pStyle w:val="27"/>
              <w:keepNext w:val="0"/>
              <w:keepLines w:val="0"/>
              <w:suppressLineNumbers w:val="0"/>
              <w:adjustRightInd w:val="0"/>
              <w:snapToGrid w:val="0"/>
              <w:spacing w:before="0" w:beforeAutospacing="0" w:after="0" w:afterAutospacing="0"/>
              <w:ind w:left="0" w:right="0"/>
              <w:jc w:val="center"/>
              <w:rPr>
                <w:rFonts w:hint="default" w:ascii="Times New Roman"/>
                <w:color w:val="FF0000"/>
                <w:sz w:val="21"/>
                <w:szCs w:val="21"/>
                <w:highlight w:val="none"/>
              </w:rPr>
            </w:pPr>
          </w:p>
          <w:p w14:paraId="49792611">
            <w:pPr>
              <w:pStyle w:val="27"/>
              <w:keepNext w:val="0"/>
              <w:keepLines w:val="0"/>
              <w:suppressLineNumbers w:val="0"/>
              <w:adjustRightInd w:val="0"/>
              <w:snapToGrid w:val="0"/>
              <w:spacing w:before="0" w:beforeAutospacing="0" w:after="0" w:afterAutospacing="0"/>
              <w:ind w:left="0" w:right="0"/>
              <w:jc w:val="center"/>
              <w:rPr>
                <w:rFonts w:hint="default" w:ascii="Times New Roman"/>
                <w:color w:val="FF0000"/>
                <w:sz w:val="21"/>
                <w:szCs w:val="21"/>
                <w:highlight w:val="none"/>
              </w:rPr>
            </w:pPr>
          </w:p>
          <w:p w14:paraId="17C30D45">
            <w:pPr>
              <w:pStyle w:val="27"/>
              <w:keepNext w:val="0"/>
              <w:keepLines w:val="0"/>
              <w:suppressLineNumbers w:val="0"/>
              <w:adjustRightInd w:val="0"/>
              <w:snapToGrid w:val="0"/>
              <w:spacing w:before="0" w:beforeAutospacing="0" w:after="0" w:afterAutospacing="0"/>
              <w:ind w:left="0" w:right="0"/>
              <w:jc w:val="center"/>
              <w:rPr>
                <w:rFonts w:hint="default" w:ascii="Times New Roman"/>
                <w:color w:val="FF0000"/>
                <w:sz w:val="21"/>
                <w:szCs w:val="21"/>
                <w:highlight w:val="none"/>
              </w:rPr>
            </w:pPr>
          </w:p>
          <w:p w14:paraId="15588FE1">
            <w:pPr>
              <w:pStyle w:val="27"/>
              <w:keepNext w:val="0"/>
              <w:keepLines w:val="0"/>
              <w:suppressLineNumbers w:val="0"/>
              <w:adjustRightInd w:val="0"/>
              <w:snapToGrid w:val="0"/>
              <w:spacing w:before="0" w:beforeAutospacing="0" w:after="0" w:afterAutospacing="0"/>
              <w:ind w:left="0" w:right="0"/>
              <w:jc w:val="center"/>
              <w:rPr>
                <w:rFonts w:hint="default" w:ascii="Times New Roman"/>
                <w:color w:val="FF0000"/>
                <w:sz w:val="21"/>
                <w:szCs w:val="21"/>
                <w:highlight w:val="none"/>
              </w:rPr>
            </w:pPr>
          </w:p>
          <w:p w14:paraId="074C63EA">
            <w:pPr>
              <w:pStyle w:val="27"/>
              <w:keepNext w:val="0"/>
              <w:keepLines w:val="0"/>
              <w:suppressLineNumbers w:val="0"/>
              <w:adjustRightInd w:val="0"/>
              <w:snapToGrid w:val="0"/>
              <w:spacing w:before="0" w:beforeAutospacing="0" w:after="0" w:afterAutospacing="0"/>
              <w:ind w:left="0" w:right="0"/>
              <w:jc w:val="center"/>
              <w:rPr>
                <w:rFonts w:hint="default" w:ascii="Times New Roman"/>
                <w:color w:val="FF0000"/>
                <w:sz w:val="21"/>
                <w:szCs w:val="21"/>
                <w:highlight w:val="none"/>
              </w:rPr>
            </w:pPr>
          </w:p>
          <w:p w14:paraId="018B6280">
            <w:pPr>
              <w:pStyle w:val="27"/>
              <w:keepNext w:val="0"/>
              <w:keepLines w:val="0"/>
              <w:suppressLineNumbers w:val="0"/>
              <w:adjustRightInd w:val="0"/>
              <w:snapToGrid w:val="0"/>
              <w:spacing w:before="0" w:beforeAutospacing="0" w:after="0" w:afterAutospacing="0"/>
              <w:ind w:left="0" w:right="0"/>
              <w:jc w:val="center"/>
              <w:rPr>
                <w:rFonts w:hint="default" w:ascii="Times New Roman"/>
                <w:color w:val="FF0000"/>
                <w:sz w:val="21"/>
                <w:szCs w:val="21"/>
                <w:highlight w:val="none"/>
              </w:rPr>
            </w:pPr>
          </w:p>
          <w:p w14:paraId="5DBC7895">
            <w:pPr>
              <w:pStyle w:val="27"/>
              <w:keepNext w:val="0"/>
              <w:keepLines w:val="0"/>
              <w:suppressLineNumbers w:val="0"/>
              <w:adjustRightInd w:val="0"/>
              <w:snapToGrid w:val="0"/>
              <w:spacing w:before="0" w:beforeAutospacing="0" w:after="0" w:afterAutospacing="0"/>
              <w:ind w:left="0" w:right="0"/>
              <w:jc w:val="center"/>
              <w:rPr>
                <w:rFonts w:hint="default" w:ascii="Times New Roman"/>
                <w:color w:val="FF0000"/>
                <w:sz w:val="21"/>
                <w:szCs w:val="21"/>
                <w:highlight w:val="none"/>
              </w:rPr>
            </w:pPr>
          </w:p>
          <w:p w14:paraId="7C3111B4">
            <w:pPr>
              <w:pStyle w:val="27"/>
              <w:keepNext w:val="0"/>
              <w:keepLines w:val="0"/>
              <w:suppressLineNumbers w:val="0"/>
              <w:adjustRightInd w:val="0"/>
              <w:snapToGrid w:val="0"/>
              <w:spacing w:before="0" w:beforeAutospacing="0" w:after="0" w:afterAutospacing="0"/>
              <w:ind w:left="0" w:right="0"/>
              <w:jc w:val="center"/>
              <w:rPr>
                <w:rFonts w:hint="default" w:ascii="Times New Roman"/>
                <w:color w:val="FF0000"/>
                <w:sz w:val="21"/>
                <w:szCs w:val="21"/>
                <w:highlight w:val="none"/>
              </w:rPr>
            </w:pPr>
          </w:p>
          <w:p w14:paraId="0D6510F8">
            <w:pPr>
              <w:pStyle w:val="27"/>
              <w:keepNext w:val="0"/>
              <w:keepLines w:val="0"/>
              <w:suppressLineNumbers w:val="0"/>
              <w:adjustRightInd w:val="0"/>
              <w:snapToGrid w:val="0"/>
              <w:spacing w:before="0" w:beforeAutospacing="0" w:after="0" w:afterAutospacing="0"/>
              <w:ind w:left="0" w:right="0"/>
              <w:jc w:val="center"/>
              <w:rPr>
                <w:rFonts w:hint="default" w:ascii="Times New Roman"/>
                <w:color w:val="FF0000"/>
                <w:sz w:val="21"/>
                <w:szCs w:val="21"/>
                <w:highlight w:val="none"/>
              </w:rPr>
            </w:pPr>
          </w:p>
          <w:p w14:paraId="6CE47159">
            <w:pPr>
              <w:pStyle w:val="27"/>
              <w:keepNext w:val="0"/>
              <w:keepLines w:val="0"/>
              <w:suppressLineNumbers w:val="0"/>
              <w:adjustRightInd w:val="0"/>
              <w:snapToGrid w:val="0"/>
              <w:spacing w:before="0" w:beforeAutospacing="0" w:after="0" w:afterAutospacing="0"/>
              <w:ind w:left="0" w:right="0"/>
              <w:jc w:val="center"/>
              <w:rPr>
                <w:rFonts w:hint="default" w:ascii="Times New Roman"/>
                <w:color w:val="FF0000"/>
                <w:sz w:val="21"/>
                <w:szCs w:val="21"/>
                <w:highlight w:val="none"/>
              </w:rPr>
            </w:pPr>
          </w:p>
          <w:p w14:paraId="7B63FE47">
            <w:pPr>
              <w:pStyle w:val="27"/>
              <w:keepNext w:val="0"/>
              <w:keepLines w:val="0"/>
              <w:suppressLineNumbers w:val="0"/>
              <w:adjustRightInd w:val="0"/>
              <w:snapToGrid w:val="0"/>
              <w:spacing w:before="0" w:beforeAutospacing="0" w:after="0" w:afterAutospacing="0"/>
              <w:ind w:left="0" w:right="0"/>
              <w:jc w:val="center"/>
              <w:rPr>
                <w:rFonts w:hint="default" w:ascii="Times New Roman"/>
                <w:sz w:val="21"/>
                <w:szCs w:val="21"/>
                <w:highlight w:val="none"/>
              </w:rPr>
            </w:pPr>
          </w:p>
          <w:p w14:paraId="1376F396">
            <w:pPr>
              <w:pStyle w:val="27"/>
              <w:keepNext w:val="0"/>
              <w:keepLines w:val="0"/>
              <w:suppressLineNumbers w:val="0"/>
              <w:adjustRightInd w:val="0"/>
              <w:snapToGrid w:val="0"/>
              <w:spacing w:before="0" w:beforeAutospacing="0" w:after="0" w:afterAutospacing="0"/>
              <w:ind w:left="0" w:right="0"/>
              <w:jc w:val="center"/>
              <w:rPr>
                <w:rFonts w:hint="default" w:ascii="Times New Roman"/>
                <w:sz w:val="21"/>
                <w:szCs w:val="21"/>
                <w:highlight w:val="none"/>
              </w:rPr>
            </w:pPr>
          </w:p>
          <w:p w14:paraId="58F9E6F4">
            <w:pPr>
              <w:pStyle w:val="27"/>
              <w:keepNext w:val="0"/>
              <w:keepLines w:val="0"/>
              <w:suppressLineNumbers w:val="0"/>
              <w:adjustRightInd w:val="0"/>
              <w:snapToGrid w:val="0"/>
              <w:spacing w:before="0" w:beforeAutospacing="0" w:after="0" w:afterAutospacing="0"/>
              <w:ind w:left="0" w:right="0"/>
              <w:jc w:val="center"/>
              <w:rPr>
                <w:rFonts w:hint="default" w:ascii="Times New Roman"/>
                <w:sz w:val="21"/>
                <w:szCs w:val="21"/>
                <w:highlight w:val="none"/>
              </w:rPr>
            </w:pPr>
          </w:p>
          <w:p w14:paraId="5B003C24">
            <w:pPr>
              <w:pStyle w:val="27"/>
              <w:keepNext w:val="0"/>
              <w:keepLines w:val="0"/>
              <w:suppressLineNumbers w:val="0"/>
              <w:adjustRightInd w:val="0"/>
              <w:snapToGrid w:val="0"/>
              <w:spacing w:before="0" w:beforeAutospacing="0" w:after="0" w:afterAutospacing="0"/>
              <w:ind w:left="0" w:right="0"/>
              <w:jc w:val="center"/>
              <w:rPr>
                <w:rFonts w:hint="default" w:ascii="Times New Roman"/>
                <w:sz w:val="21"/>
                <w:szCs w:val="21"/>
                <w:highlight w:val="none"/>
              </w:rPr>
            </w:pPr>
            <w:r>
              <w:rPr>
                <w:rFonts w:hint="eastAsia" w:ascii="Times New Roman"/>
                <w:sz w:val="21"/>
                <w:szCs w:val="21"/>
                <w:highlight w:val="none"/>
              </w:rPr>
              <w:t>建设内容</w:t>
            </w:r>
          </w:p>
          <w:p w14:paraId="65D66B9A">
            <w:pPr>
              <w:pStyle w:val="27"/>
              <w:keepNext w:val="0"/>
              <w:keepLines w:val="0"/>
              <w:suppressLineNumbers w:val="0"/>
              <w:adjustRightInd w:val="0"/>
              <w:snapToGrid w:val="0"/>
              <w:spacing w:before="0" w:beforeAutospacing="0" w:after="0" w:afterAutospacing="0"/>
              <w:ind w:left="0" w:right="0"/>
              <w:jc w:val="center"/>
              <w:rPr>
                <w:rFonts w:hint="default" w:ascii="Times New Roman"/>
                <w:sz w:val="21"/>
                <w:szCs w:val="21"/>
                <w:highlight w:val="none"/>
              </w:rPr>
            </w:pPr>
          </w:p>
          <w:p w14:paraId="0A0B791F">
            <w:pPr>
              <w:pStyle w:val="27"/>
              <w:keepNext w:val="0"/>
              <w:keepLines w:val="0"/>
              <w:suppressLineNumbers w:val="0"/>
              <w:adjustRightInd w:val="0"/>
              <w:snapToGrid w:val="0"/>
              <w:spacing w:before="0" w:beforeAutospacing="0" w:after="0" w:afterAutospacing="0"/>
              <w:ind w:left="0" w:right="0"/>
              <w:jc w:val="center"/>
              <w:rPr>
                <w:rFonts w:hint="default" w:ascii="Times New Roman"/>
                <w:sz w:val="21"/>
                <w:szCs w:val="21"/>
                <w:highlight w:val="none"/>
              </w:rPr>
            </w:pPr>
          </w:p>
          <w:p w14:paraId="4762B678">
            <w:pPr>
              <w:pStyle w:val="27"/>
              <w:keepNext w:val="0"/>
              <w:keepLines w:val="0"/>
              <w:suppressLineNumbers w:val="0"/>
              <w:adjustRightInd w:val="0"/>
              <w:snapToGrid w:val="0"/>
              <w:spacing w:before="0" w:beforeAutospacing="0" w:after="0" w:afterAutospacing="0"/>
              <w:ind w:left="0" w:right="0"/>
              <w:jc w:val="center"/>
              <w:rPr>
                <w:rFonts w:hint="default" w:ascii="Times New Roman"/>
                <w:sz w:val="21"/>
                <w:szCs w:val="21"/>
                <w:highlight w:val="none"/>
              </w:rPr>
            </w:pPr>
          </w:p>
          <w:p w14:paraId="7D2BFA44">
            <w:pPr>
              <w:pStyle w:val="27"/>
              <w:keepNext w:val="0"/>
              <w:keepLines w:val="0"/>
              <w:suppressLineNumbers w:val="0"/>
              <w:adjustRightInd w:val="0"/>
              <w:snapToGrid w:val="0"/>
              <w:spacing w:before="0" w:beforeAutospacing="0" w:after="0" w:afterAutospacing="0"/>
              <w:ind w:left="0" w:right="0"/>
              <w:jc w:val="center"/>
              <w:rPr>
                <w:rFonts w:hint="default" w:ascii="Times New Roman"/>
                <w:sz w:val="21"/>
                <w:szCs w:val="21"/>
                <w:highlight w:val="none"/>
              </w:rPr>
            </w:pPr>
          </w:p>
          <w:p w14:paraId="327D5FBA">
            <w:pPr>
              <w:pStyle w:val="27"/>
              <w:keepNext w:val="0"/>
              <w:keepLines w:val="0"/>
              <w:suppressLineNumbers w:val="0"/>
              <w:adjustRightInd w:val="0"/>
              <w:snapToGrid w:val="0"/>
              <w:spacing w:before="0" w:beforeAutospacing="0" w:after="0" w:afterAutospacing="0"/>
              <w:ind w:left="0" w:right="0"/>
              <w:jc w:val="center"/>
              <w:rPr>
                <w:rFonts w:hint="default" w:ascii="Times New Roman"/>
                <w:sz w:val="21"/>
                <w:szCs w:val="21"/>
                <w:highlight w:val="none"/>
              </w:rPr>
            </w:pPr>
          </w:p>
          <w:p w14:paraId="4C7BBB01">
            <w:pPr>
              <w:pStyle w:val="27"/>
              <w:keepNext w:val="0"/>
              <w:keepLines w:val="0"/>
              <w:suppressLineNumbers w:val="0"/>
              <w:adjustRightInd w:val="0"/>
              <w:snapToGrid w:val="0"/>
              <w:spacing w:before="0" w:beforeAutospacing="0" w:after="0" w:afterAutospacing="0"/>
              <w:ind w:left="0" w:right="0"/>
              <w:jc w:val="center"/>
              <w:rPr>
                <w:rFonts w:hint="default" w:ascii="Times New Roman"/>
                <w:sz w:val="21"/>
                <w:szCs w:val="21"/>
                <w:highlight w:val="none"/>
              </w:rPr>
            </w:pPr>
          </w:p>
          <w:p w14:paraId="0F5C9EA6">
            <w:pPr>
              <w:pStyle w:val="27"/>
              <w:keepNext w:val="0"/>
              <w:keepLines w:val="0"/>
              <w:suppressLineNumbers w:val="0"/>
              <w:adjustRightInd w:val="0"/>
              <w:snapToGrid w:val="0"/>
              <w:spacing w:before="0" w:beforeAutospacing="0" w:after="0" w:afterAutospacing="0"/>
              <w:ind w:left="0" w:right="0"/>
              <w:jc w:val="center"/>
              <w:rPr>
                <w:rFonts w:hint="default" w:ascii="Times New Roman"/>
                <w:sz w:val="21"/>
                <w:szCs w:val="21"/>
                <w:highlight w:val="none"/>
              </w:rPr>
            </w:pPr>
          </w:p>
          <w:p w14:paraId="2ABE09CB">
            <w:pPr>
              <w:pStyle w:val="27"/>
              <w:keepNext w:val="0"/>
              <w:keepLines w:val="0"/>
              <w:suppressLineNumbers w:val="0"/>
              <w:adjustRightInd w:val="0"/>
              <w:snapToGrid w:val="0"/>
              <w:spacing w:before="0" w:beforeAutospacing="0" w:after="0" w:afterAutospacing="0"/>
              <w:ind w:left="0" w:right="0"/>
              <w:jc w:val="center"/>
              <w:rPr>
                <w:rFonts w:hint="default" w:ascii="Times New Roman"/>
                <w:color w:val="FF0000"/>
                <w:sz w:val="21"/>
                <w:szCs w:val="21"/>
                <w:highlight w:val="none"/>
              </w:rPr>
            </w:pPr>
          </w:p>
          <w:p w14:paraId="4B9CFFF6">
            <w:pPr>
              <w:pStyle w:val="27"/>
              <w:keepNext w:val="0"/>
              <w:keepLines w:val="0"/>
              <w:suppressLineNumbers w:val="0"/>
              <w:adjustRightInd w:val="0"/>
              <w:snapToGrid w:val="0"/>
              <w:spacing w:before="0" w:beforeAutospacing="0" w:after="0" w:afterAutospacing="0"/>
              <w:ind w:left="0" w:right="0"/>
              <w:jc w:val="center"/>
              <w:rPr>
                <w:rFonts w:hint="default" w:ascii="Times New Roman"/>
                <w:color w:val="FF0000"/>
                <w:sz w:val="21"/>
                <w:szCs w:val="21"/>
                <w:highlight w:val="none"/>
              </w:rPr>
            </w:pPr>
          </w:p>
          <w:p w14:paraId="31789E56">
            <w:pPr>
              <w:pStyle w:val="27"/>
              <w:keepNext w:val="0"/>
              <w:keepLines w:val="0"/>
              <w:suppressLineNumbers w:val="0"/>
              <w:adjustRightInd w:val="0"/>
              <w:snapToGrid w:val="0"/>
              <w:spacing w:before="0" w:beforeAutospacing="0" w:after="0" w:afterAutospacing="0"/>
              <w:ind w:left="0" w:right="0"/>
              <w:jc w:val="center"/>
              <w:rPr>
                <w:rFonts w:hint="default" w:ascii="Times New Roman"/>
                <w:color w:val="FF0000"/>
                <w:sz w:val="21"/>
                <w:szCs w:val="21"/>
                <w:highlight w:val="none"/>
              </w:rPr>
            </w:pPr>
          </w:p>
          <w:p w14:paraId="3618D500">
            <w:pPr>
              <w:pStyle w:val="27"/>
              <w:keepNext w:val="0"/>
              <w:keepLines w:val="0"/>
              <w:suppressLineNumbers w:val="0"/>
              <w:adjustRightInd w:val="0"/>
              <w:snapToGrid w:val="0"/>
              <w:spacing w:before="0" w:beforeAutospacing="0" w:after="0" w:afterAutospacing="0"/>
              <w:ind w:left="0" w:right="0"/>
              <w:jc w:val="center"/>
              <w:rPr>
                <w:rFonts w:hint="default" w:ascii="Times New Roman"/>
                <w:color w:val="FF0000"/>
                <w:sz w:val="21"/>
                <w:szCs w:val="21"/>
                <w:highlight w:val="none"/>
              </w:rPr>
            </w:pPr>
          </w:p>
          <w:p w14:paraId="22F55934">
            <w:pPr>
              <w:pStyle w:val="27"/>
              <w:keepNext w:val="0"/>
              <w:keepLines w:val="0"/>
              <w:suppressLineNumbers w:val="0"/>
              <w:adjustRightInd w:val="0"/>
              <w:snapToGrid w:val="0"/>
              <w:spacing w:before="0" w:beforeAutospacing="0" w:after="0" w:afterAutospacing="0"/>
              <w:ind w:left="0" w:right="0"/>
              <w:jc w:val="center"/>
              <w:rPr>
                <w:rFonts w:hint="default" w:ascii="Times New Roman"/>
                <w:color w:val="FF0000"/>
                <w:sz w:val="21"/>
                <w:szCs w:val="21"/>
                <w:highlight w:val="none"/>
              </w:rPr>
            </w:pPr>
          </w:p>
          <w:p w14:paraId="27D8BD29">
            <w:pPr>
              <w:pStyle w:val="27"/>
              <w:keepNext w:val="0"/>
              <w:keepLines w:val="0"/>
              <w:suppressLineNumbers w:val="0"/>
              <w:adjustRightInd w:val="0"/>
              <w:snapToGrid w:val="0"/>
              <w:spacing w:before="0" w:beforeAutospacing="0" w:after="0" w:afterAutospacing="0"/>
              <w:ind w:left="0" w:right="0"/>
              <w:jc w:val="center"/>
              <w:rPr>
                <w:rFonts w:hint="default" w:ascii="Times New Roman"/>
                <w:color w:val="FF0000"/>
                <w:sz w:val="21"/>
                <w:szCs w:val="21"/>
                <w:highlight w:val="none"/>
              </w:rPr>
            </w:pPr>
          </w:p>
          <w:p w14:paraId="31252E0C">
            <w:pPr>
              <w:pStyle w:val="27"/>
              <w:keepNext w:val="0"/>
              <w:keepLines w:val="0"/>
              <w:suppressLineNumbers w:val="0"/>
              <w:adjustRightInd w:val="0"/>
              <w:snapToGrid w:val="0"/>
              <w:spacing w:before="0" w:beforeAutospacing="0" w:after="0" w:afterAutospacing="0"/>
              <w:ind w:left="0" w:right="0"/>
              <w:jc w:val="center"/>
              <w:rPr>
                <w:rFonts w:hint="default" w:ascii="Times New Roman"/>
                <w:color w:val="FF0000"/>
                <w:sz w:val="21"/>
                <w:szCs w:val="21"/>
                <w:highlight w:val="none"/>
              </w:rPr>
            </w:pPr>
          </w:p>
          <w:p w14:paraId="562B1BEA">
            <w:pPr>
              <w:pStyle w:val="27"/>
              <w:keepNext w:val="0"/>
              <w:keepLines w:val="0"/>
              <w:suppressLineNumbers w:val="0"/>
              <w:adjustRightInd w:val="0"/>
              <w:snapToGrid w:val="0"/>
              <w:spacing w:before="0" w:beforeAutospacing="0" w:after="0" w:afterAutospacing="0"/>
              <w:ind w:left="0" w:right="0"/>
              <w:jc w:val="center"/>
              <w:rPr>
                <w:rFonts w:hint="default" w:ascii="Times New Roman"/>
                <w:color w:val="FF0000"/>
                <w:sz w:val="21"/>
                <w:szCs w:val="21"/>
                <w:highlight w:val="none"/>
              </w:rPr>
            </w:pPr>
          </w:p>
          <w:p w14:paraId="5D67385A">
            <w:pPr>
              <w:pStyle w:val="27"/>
              <w:keepNext w:val="0"/>
              <w:keepLines w:val="0"/>
              <w:suppressLineNumbers w:val="0"/>
              <w:adjustRightInd w:val="0"/>
              <w:snapToGrid w:val="0"/>
              <w:spacing w:before="0" w:beforeAutospacing="0" w:after="0" w:afterAutospacing="0"/>
              <w:ind w:left="0" w:right="0"/>
              <w:jc w:val="center"/>
              <w:rPr>
                <w:rFonts w:hint="default" w:ascii="Times New Roman"/>
                <w:color w:val="FF0000"/>
                <w:sz w:val="21"/>
                <w:szCs w:val="21"/>
                <w:highlight w:val="none"/>
              </w:rPr>
            </w:pPr>
          </w:p>
          <w:p w14:paraId="78028E98">
            <w:pPr>
              <w:pStyle w:val="27"/>
              <w:keepNext w:val="0"/>
              <w:keepLines w:val="0"/>
              <w:suppressLineNumbers w:val="0"/>
              <w:adjustRightInd w:val="0"/>
              <w:snapToGrid w:val="0"/>
              <w:spacing w:before="0" w:beforeAutospacing="0" w:after="0" w:afterAutospacing="0"/>
              <w:ind w:left="0" w:right="0"/>
              <w:jc w:val="center"/>
              <w:rPr>
                <w:rFonts w:hint="default" w:ascii="Times New Roman"/>
                <w:color w:val="FF0000"/>
                <w:sz w:val="21"/>
                <w:szCs w:val="21"/>
                <w:highlight w:val="none"/>
              </w:rPr>
            </w:pPr>
          </w:p>
          <w:p w14:paraId="6F03002E">
            <w:pPr>
              <w:pStyle w:val="27"/>
              <w:keepNext w:val="0"/>
              <w:keepLines w:val="0"/>
              <w:suppressLineNumbers w:val="0"/>
              <w:adjustRightInd w:val="0"/>
              <w:snapToGrid w:val="0"/>
              <w:spacing w:before="0" w:beforeAutospacing="0" w:after="0" w:afterAutospacing="0"/>
              <w:ind w:left="0" w:right="0"/>
              <w:jc w:val="center"/>
              <w:rPr>
                <w:rFonts w:hint="default" w:ascii="Times New Roman"/>
                <w:color w:val="FF0000"/>
                <w:sz w:val="21"/>
                <w:szCs w:val="21"/>
                <w:highlight w:val="none"/>
              </w:rPr>
            </w:pPr>
          </w:p>
          <w:p w14:paraId="16389EED">
            <w:pPr>
              <w:pStyle w:val="27"/>
              <w:keepNext w:val="0"/>
              <w:keepLines w:val="0"/>
              <w:suppressLineNumbers w:val="0"/>
              <w:adjustRightInd w:val="0"/>
              <w:snapToGrid w:val="0"/>
              <w:spacing w:before="0" w:beforeAutospacing="0" w:after="0" w:afterAutospacing="0"/>
              <w:ind w:left="0" w:right="0"/>
              <w:jc w:val="center"/>
              <w:rPr>
                <w:rFonts w:hint="default" w:ascii="Times New Roman"/>
                <w:color w:val="FF0000"/>
                <w:sz w:val="21"/>
                <w:szCs w:val="21"/>
                <w:highlight w:val="none"/>
              </w:rPr>
            </w:pPr>
          </w:p>
          <w:p w14:paraId="0A6CA4DB">
            <w:pPr>
              <w:pStyle w:val="27"/>
              <w:keepNext w:val="0"/>
              <w:keepLines w:val="0"/>
              <w:suppressLineNumbers w:val="0"/>
              <w:adjustRightInd w:val="0"/>
              <w:snapToGrid w:val="0"/>
              <w:spacing w:before="0" w:beforeAutospacing="0" w:after="0" w:afterAutospacing="0"/>
              <w:ind w:left="0" w:right="0"/>
              <w:jc w:val="center"/>
              <w:rPr>
                <w:rFonts w:hint="default" w:ascii="Times New Roman"/>
                <w:color w:val="FF0000"/>
                <w:sz w:val="21"/>
                <w:szCs w:val="21"/>
                <w:highlight w:val="none"/>
              </w:rPr>
            </w:pPr>
          </w:p>
          <w:p w14:paraId="6FC0DD10">
            <w:pPr>
              <w:pStyle w:val="27"/>
              <w:keepNext w:val="0"/>
              <w:keepLines w:val="0"/>
              <w:suppressLineNumbers w:val="0"/>
              <w:adjustRightInd w:val="0"/>
              <w:snapToGrid w:val="0"/>
              <w:spacing w:before="0" w:beforeAutospacing="0" w:after="0" w:afterAutospacing="0"/>
              <w:ind w:left="0" w:right="0"/>
              <w:jc w:val="center"/>
              <w:rPr>
                <w:rFonts w:hint="default" w:ascii="Times New Roman"/>
                <w:sz w:val="21"/>
                <w:szCs w:val="21"/>
                <w:highlight w:val="none"/>
              </w:rPr>
            </w:pPr>
          </w:p>
          <w:p w14:paraId="511BEFEA">
            <w:pPr>
              <w:pStyle w:val="27"/>
              <w:keepNext w:val="0"/>
              <w:keepLines w:val="0"/>
              <w:suppressLineNumbers w:val="0"/>
              <w:adjustRightInd w:val="0"/>
              <w:snapToGrid w:val="0"/>
              <w:spacing w:before="0" w:beforeAutospacing="0" w:after="0" w:afterAutospacing="0"/>
              <w:ind w:left="0" w:right="0"/>
              <w:jc w:val="center"/>
              <w:rPr>
                <w:rFonts w:hint="default" w:ascii="Times New Roman" w:hAnsi="Times New Roman"/>
                <w:color w:val="FF0000"/>
                <w:sz w:val="21"/>
                <w:szCs w:val="21"/>
                <w:highlight w:val="none"/>
              </w:rPr>
            </w:pPr>
          </w:p>
          <w:p w14:paraId="19EF5271">
            <w:pPr>
              <w:pStyle w:val="27"/>
              <w:keepNext w:val="0"/>
              <w:keepLines w:val="0"/>
              <w:suppressLineNumbers w:val="0"/>
              <w:adjustRightInd w:val="0"/>
              <w:snapToGrid w:val="0"/>
              <w:spacing w:before="0" w:beforeAutospacing="0" w:after="0" w:afterAutospacing="0"/>
              <w:ind w:left="0" w:right="0"/>
              <w:jc w:val="center"/>
              <w:rPr>
                <w:rFonts w:hint="default" w:ascii="Times New Roman" w:hAnsi="Times New Roman"/>
                <w:color w:val="FF0000"/>
                <w:sz w:val="21"/>
                <w:szCs w:val="21"/>
                <w:highlight w:val="none"/>
              </w:rPr>
            </w:pPr>
          </w:p>
          <w:p w14:paraId="0F72D01A">
            <w:pPr>
              <w:pStyle w:val="27"/>
              <w:keepNext w:val="0"/>
              <w:keepLines w:val="0"/>
              <w:suppressLineNumbers w:val="0"/>
              <w:adjustRightInd w:val="0"/>
              <w:snapToGrid w:val="0"/>
              <w:spacing w:before="0" w:beforeAutospacing="0" w:after="0" w:afterAutospacing="0"/>
              <w:ind w:left="0" w:right="0"/>
              <w:jc w:val="center"/>
              <w:rPr>
                <w:rFonts w:hint="default" w:ascii="Times New Roman" w:hAnsi="Times New Roman"/>
                <w:color w:val="FF0000"/>
                <w:sz w:val="21"/>
                <w:szCs w:val="21"/>
                <w:highlight w:val="none"/>
              </w:rPr>
            </w:pPr>
          </w:p>
          <w:p w14:paraId="549FDA98">
            <w:pPr>
              <w:pStyle w:val="27"/>
              <w:keepNext w:val="0"/>
              <w:keepLines w:val="0"/>
              <w:suppressLineNumbers w:val="0"/>
              <w:adjustRightInd w:val="0"/>
              <w:snapToGrid w:val="0"/>
              <w:spacing w:before="0" w:beforeAutospacing="0" w:after="0" w:afterAutospacing="0"/>
              <w:ind w:left="0" w:right="0"/>
              <w:jc w:val="center"/>
              <w:rPr>
                <w:rFonts w:hint="default" w:ascii="Times New Roman" w:hAnsi="Times New Roman"/>
                <w:color w:val="FF0000"/>
                <w:sz w:val="21"/>
                <w:szCs w:val="21"/>
                <w:highlight w:val="none"/>
              </w:rPr>
            </w:pPr>
          </w:p>
          <w:p w14:paraId="02A35E53">
            <w:pPr>
              <w:pStyle w:val="27"/>
              <w:keepNext w:val="0"/>
              <w:keepLines w:val="0"/>
              <w:suppressLineNumbers w:val="0"/>
              <w:adjustRightInd w:val="0"/>
              <w:snapToGrid w:val="0"/>
              <w:spacing w:before="0" w:beforeAutospacing="0" w:after="0" w:afterAutospacing="0"/>
              <w:ind w:left="0" w:right="0"/>
              <w:jc w:val="center"/>
              <w:rPr>
                <w:rFonts w:hint="default" w:ascii="Times New Roman" w:hAnsi="Times New Roman"/>
                <w:color w:val="FF0000"/>
                <w:sz w:val="21"/>
                <w:szCs w:val="21"/>
                <w:highlight w:val="none"/>
              </w:rPr>
            </w:pPr>
          </w:p>
          <w:p w14:paraId="1B014E43">
            <w:pPr>
              <w:pStyle w:val="27"/>
              <w:keepNext w:val="0"/>
              <w:keepLines w:val="0"/>
              <w:suppressLineNumbers w:val="0"/>
              <w:adjustRightInd w:val="0"/>
              <w:snapToGrid w:val="0"/>
              <w:spacing w:before="0" w:beforeAutospacing="0" w:after="0" w:afterAutospacing="0"/>
              <w:ind w:left="0" w:right="0"/>
              <w:jc w:val="center"/>
              <w:rPr>
                <w:rFonts w:hint="default" w:ascii="Times New Roman" w:hAnsi="Times New Roman"/>
                <w:color w:val="FF0000"/>
                <w:sz w:val="21"/>
                <w:szCs w:val="21"/>
                <w:highlight w:val="none"/>
              </w:rPr>
            </w:pPr>
          </w:p>
          <w:p w14:paraId="37B3A2AF">
            <w:pPr>
              <w:pStyle w:val="27"/>
              <w:keepNext w:val="0"/>
              <w:keepLines w:val="0"/>
              <w:suppressLineNumbers w:val="0"/>
              <w:adjustRightInd w:val="0"/>
              <w:snapToGrid w:val="0"/>
              <w:spacing w:before="0" w:beforeAutospacing="0" w:after="0" w:afterAutospacing="0"/>
              <w:ind w:left="0" w:right="0"/>
              <w:jc w:val="center"/>
              <w:rPr>
                <w:rFonts w:hint="default" w:ascii="Times New Roman"/>
                <w:color w:val="FF0000"/>
                <w:sz w:val="21"/>
                <w:szCs w:val="21"/>
                <w:highlight w:val="none"/>
              </w:rPr>
            </w:pPr>
          </w:p>
          <w:p w14:paraId="4C998A38">
            <w:pPr>
              <w:pStyle w:val="27"/>
              <w:keepNext w:val="0"/>
              <w:keepLines w:val="0"/>
              <w:suppressLineNumbers w:val="0"/>
              <w:adjustRightInd w:val="0"/>
              <w:snapToGrid w:val="0"/>
              <w:spacing w:before="0" w:beforeAutospacing="0" w:after="0" w:afterAutospacing="0"/>
              <w:ind w:left="0" w:right="0"/>
              <w:jc w:val="center"/>
              <w:rPr>
                <w:rFonts w:hint="default" w:ascii="Times New Roman"/>
                <w:color w:val="FF0000"/>
                <w:sz w:val="21"/>
                <w:szCs w:val="21"/>
                <w:highlight w:val="none"/>
              </w:rPr>
            </w:pPr>
          </w:p>
          <w:p w14:paraId="521DF7C1">
            <w:pPr>
              <w:pStyle w:val="27"/>
              <w:keepNext w:val="0"/>
              <w:keepLines w:val="0"/>
              <w:suppressLineNumbers w:val="0"/>
              <w:adjustRightInd w:val="0"/>
              <w:snapToGrid w:val="0"/>
              <w:spacing w:before="0" w:beforeAutospacing="0" w:after="0" w:afterAutospacing="0"/>
              <w:ind w:left="0" w:right="0"/>
              <w:jc w:val="center"/>
              <w:rPr>
                <w:rFonts w:hint="default" w:ascii="Times New Roman"/>
                <w:color w:val="FF0000"/>
                <w:sz w:val="21"/>
                <w:szCs w:val="21"/>
                <w:highlight w:val="none"/>
              </w:rPr>
            </w:pPr>
          </w:p>
          <w:p w14:paraId="67A514F9">
            <w:pPr>
              <w:pStyle w:val="27"/>
              <w:keepNext w:val="0"/>
              <w:keepLines w:val="0"/>
              <w:suppressLineNumbers w:val="0"/>
              <w:adjustRightInd w:val="0"/>
              <w:snapToGrid w:val="0"/>
              <w:spacing w:before="0" w:beforeAutospacing="0" w:after="0" w:afterAutospacing="0"/>
              <w:ind w:left="0" w:right="0"/>
              <w:jc w:val="center"/>
              <w:rPr>
                <w:rFonts w:hint="default" w:ascii="Times New Roman"/>
                <w:color w:val="FF0000"/>
                <w:sz w:val="21"/>
                <w:szCs w:val="21"/>
                <w:highlight w:val="none"/>
              </w:rPr>
            </w:pPr>
          </w:p>
          <w:p w14:paraId="2F285660">
            <w:pPr>
              <w:pStyle w:val="27"/>
              <w:keepNext w:val="0"/>
              <w:keepLines w:val="0"/>
              <w:suppressLineNumbers w:val="0"/>
              <w:adjustRightInd w:val="0"/>
              <w:snapToGrid w:val="0"/>
              <w:spacing w:before="0" w:beforeAutospacing="0" w:after="0" w:afterAutospacing="0"/>
              <w:ind w:left="0" w:right="0"/>
              <w:jc w:val="center"/>
              <w:rPr>
                <w:rFonts w:hint="default" w:ascii="Times New Roman"/>
                <w:color w:val="FF0000"/>
                <w:sz w:val="21"/>
                <w:szCs w:val="21"/>
                <w:highlight w:val="none"/>
              </w:rPr>
            </w:pPr>
          </w:p>
          <w:p w14:paraId="6632FB44">
            <w:pPr>
              <w:pStyle w:val="27"/>
              <w:keepNext w:val="0"/>
              <w:keepLines w:val="0"/>
              <w:suppressLineNumbers w:val="0"/>
              <w:adjustRightInd w:val="0"/>
              <w:snapToGrid w:val="0"/>
              <w:spacing w:before="0" w:beforeAutospacing="0" w:after="0" w:afterAutospacing="0"/>
              <w:ind w:left="0" w:right="0"/>
              <w:jc w:val="center"/>
              <w:rPr>
                <w:rFonts w:hint="default" w:ascii="Times New Roman"/>
                <w:color w:val="FF0000"/>
                <w:sz w:val="21"/>
                <w:szCs w:val="21"/>
                <w:highlight w:val="none"/>
              </w:rPr>
            </w:pPr>
          </w:p>
          <w:p w14:paraId="0FF7F1ED">
            <w:pPr>
              <w:pStyle w:val="27"/>
              <w:keepNext w:val="0"/>
              <w:keepLines w:val="0"/>
              <w:suppressLineNumbers w:val="0"/>
              <w:adjustRightInd w:val="0"/>
              <w:snapToGrid w:val="0"/>
              <w:spacing w:before="0" w:beforeAutospacing="0" w:after="0" w:afterAutospacing="0"/>
              <w:ind w:left="0" w:right="0"/>
              <w:jc w:val="center"/>
              <w:rPr>
                <w:rFonts w:hint="default" w:ascii="Times New Roman"/>
                <w:color w:val="FF0000"/>
                <w:sz w:val="21"/>
                <w:szCs w:val="21"/>
                <w:highlight w:val="none"/>
              </w:rPr>
            </w:pPr>
          </w:p>
          <w:p w14:paraId="5579F957">
            <w:pPr>
              <w:pStyle w:val="27"/>
              <w:keepNext w:val="0"/>
              <w:keepLines w:val="0"/>
              <w:suppressLineNumbers w:val="0"/>
              <w:adjustRightInd w:val="0"/>
              <w:snapToGrid w:val="0"/>
              <w:spacing w:before="0" w:beforeAutospacing="0" w:after="0" w:afterAutospacing="0"/>
              <w:ind w:left="0" w:right="0"/>
              <w:jc w:val="center"/>
              <w:rPr>
                <w:rFonts w:hint="default" w:ascii="Times New Roman"/>
                <w:color w:val="FF0000"/>
                <w:sz w:val="21"/>
                <w:szCs w:val="21"/>
                <w:highlight w:val="none"/>
              </w:rPr>
            </w:pPr>
          </w:p>
          <w:p w14:paraId="37DB96B6">
            <w:pPr>
              <w:pStyle w:val="27"/>
              <w:keepNext w:val="0"/>
              <w:keepLines w:val="0"/>
              <w:suppressLineNumbers w:val="0"/>
              <w:adjustRightInd w:val="0"/>
              <w:snapToGrid w:val="0"/>
              <w:spacing w:before="0" w:beforeAutospacing="0" w:after="0" w:afterAutospacing="0"/>
              <w:ind w:left="0" w:right="0"/>
              <w:jc w:val="center"/>
              <w:rPr>
                <w:rFonts w:hint="default" w:ascii="Times New Roman"/>
                <w:color w:val="FF0000"/>
                <w:sz w:val="21"/>
                <w:szCs w:val="21"/>
                <w:highlight w:val="none"/>
              </w:rPr>
            </w:pPr>
          </w:p>
          <w:p w14:paraId="69E54715">
            <w:pPr>
              <w:pStyle w:val="27"/>
              <w:keepNext w:val="0"/>
              <w:keepLines w:val="0"/>
              <w:suppressLineNumbers w:val="0"/>
              <w:adjustRightInd w:val="0"/>
              <w:snapToGrid w:val="0"/>
              <w:spacing w:before="0" w:beforeAutospacing="0" w:after="0" w:afterAutospacing="0"/>
              <w:ind w:left="0" w:right="0"/>
              <w:jc w:val="center"/>
              <w:rPr>
                <w:rFonts w:hint="default" w:ascii="Times New Roman"/>
                <w:color w:val="FF0000"/>
                <w:sz w:val="21"/>
                <w:szCs w:val="21"/>
                <w:highlight w:val="none"/>
              </w:rPr>
            </w:pPr>
          </w:p>
          <w:p w14:paraId="348D0D98">
            <w:pPr>
              <w:pStyle w:val="27"/>
              <w:keepNext w:val="0"/>
              <w:keepLines w:val="0"/>
              <w:suppressLineNumbers w:val="0"/>
              <w:adjustRightInd w:val="0"/>
              <w:snapToGrid w:val="0"/>
              <w:spacing w:before="0" w:beforeAutospacing="0" w:after="0" w:afterAutospacing="0"/>
              <w:ind w:left="0" w:right="0"/>
              <w:jc w:val="center"/>
              <w:rPr>
                <w:rFonts w:hint="default" w:ascii="Times New Roman"/>
                <w:color w:val="FF0000"/>
                <w:sz w:val="21"/>
                <w:szCs w:val="21"/>
                <w:highlight w:val="none"/>
              </w:rPr>
            </w:pPr>
          </w:p>
          <w:p w14:paraId="307D1603">
            <w:pPr>
              <w:pStyle w:val="27"/>
              <w:keepNext w:val="0"/>
              <w:keepLines w:val="0"/>
              <w:suppressLineNumbers w:val="0"/>
              <w:adjustRightInd w:val="0"/>
              <w:snapToGrid w:val="0"/>
              <w:spacing w:before="0" w:beforeAutospacing="0" w:after="0" w:afterAutospacing="0"/>
              <w:ind w:left="0" w:right="0"/>
              <w:jc w:val="center"/>
              <w:rPr>
                <w:rFonts w:hint="default" w:ascii="Times New Roman"/>
                <w:color w:val="FF0000"/>
                <w:sz w:val="21"/>
                <w:szCs w:val="21"/>
                <w:highlight w:val="none"/>
              </w:rPr>
            </w:pPr>
          </w:p>
          <w:p w14:paraId="023EFA34">
            <w:pPr>
              <w:pStyle w:val="27"/>
              <w:keepNext w:val="0"/>
              <w:keepLines w:val="0"/>
              <w:suppressLineNumbers w:val="0"/>
              <w:adjustRightInd w:val="0"/>
              <w:snapToGrid w:val="0"/>
              <w:spacing w:before="0" w:beforeAutospacing="0" w:after="0" w:afterAutospacing="0"/>
              <w:ind w:left="0" w:right="0"/>
              <w:jc w:val="center"/>
              <w:rPr>
                <w:rFonts w:hint="default" w:ascii="Times New Roman"/>
                <w:color w:val="FF0000"/>
                <w:sz w:val="21"/>
                <w:szCs w:val="21"/>
                <w:highlight w:val="none"/>
              </w:rPr>
            </w:pPr>
          </w:p>
          <w:p w14:paraId="464E949C">
            <w:pPr>
              <w:pStyle w:val="27"/>
              <w:keepNext w:val="0"/>
              <w:keepLines w:val="0"/>
              <w:suppressLineNumbers w:val="0"/>
              <w:adjustRightInd w:val="0"/>
              <w:snapToGrid w:val="0"/>
              <w:spacing w:before="0" w:beforeAutospacing="0" w:after="0" w:afterAutospacing="0"/>
              <w:ind w:left="0" w:right="0"/>
              <w:jc w:val="center"/>
              <w:rPr>
                <w:rFonts w:hint="default" w:ascii="Times New Roman"/>
                <w:color w:val="FF0000"/>
                <w:sz w:val="21"/>
                <w:szCs w:val="21"/>
                <w:highlight w:val="none"/>
              </w:rPr>
            </w:pPr>
          </w:p>
          <w:p w14:paraId="4B1097BB">
            <w:pPr>
              <w:pStyle w:val="27"/>
              <w:keepNext w:val="0"/>
              <w:keepLines w:val="0"/>
              <w:suppressLineNumbers w:val="0"/>
              <w:adjustRightInd w:val="0"/>
              <w:snapToGrid w:val="0"/>
              <w:spacing w:before="0" w:beforeAutospacing="0" w:after="0" w:afterAutospacing="0"/>
              <w:ind w:left="0" w:right="0"/>
              <w:jc w:val="center"/>
              <w:rPr>
                <w:rFonts w:hint="default" w:ascii="Times New Roman"/>
                <w:color w:val="FF0000"/>
                <w:sz w:val="21"/>
                <w:szCs w:val="21"/>
                <w:highlight w:val="none"/>
              </w:rPr>
            </w:pPr>
          </w:p>
          <w:p w14:paraId="249F09EA">
            <w:pPr>
              <w:pStyle w:val="27"/>
              <w:keepNext w:val="0"/>
              <w:keepLines w:val="0"/>
              <w:suppressLineNumbers w:val="0"/>
              <w:adjustRightInd w:val="0"/>
              <w:snapToGrid w:val="0"/>
              <w:spacing w:before="0" w:beforeAutospacing="0" w:after="0" w:afterAutospacing="0"/>
              <w:ind w:left="0" w:right="0"/>
              <w:jc w:val="center"/>
              <w:rPr>
                <w:rFonts w:hint="default" w:ascii="Times New Roman"/>
                <w:color w:val="FF0000"/>
                <w:sz w:val="21"/>
                <w:szCs w:val="21"/>
                <w:highlight w:val="none"/>
              </w:rPr>
            </w:pPr>
          </w:p>
          <w:p w14:paraId="20894457">
            <w:pPr>
              <w:pStyle w:val="27"/>
              <w:keepNext w:val="0"/>
              <w:keepLines w:val="0"/>
              <w:suppressLineNumbers w:val="0"/>
              <w:adjustRightInd w:val="0"/>
              <w:snapToGrid w:val="0"/>
              <w:spacing w:before="0" w:beforeAutospacing="0" w:after="0" w:afterAutospacing="0"/>
              <w:ind w:left="0" w:right="0"/>
              <w:jc w:val="center"/>
              <w:rPr>
                <w:rFonts w:hint="default" w:ascii="Times New Roman"/>
                <w:color w:val="FF0000"/>
                <w:sz w:val="21"/>
                <w:szCs w:val="21"/>
                <w:highlight w:val="none"/>
              </w:rPr>
            </w:pPr>
          </w:p>
          <w:p w14:paraId="5196E8F1">
            <w:pPr>
              <w:pStyle w:val="27"/>
              <w:keepNext w:val="0"/>
              <w:keepLines w:val="0"/>
              <w:suppressLineNumbers w:val="0"/>
              <w:adjustRightInd w:val="0"/>
              <w:snapToGrid w:val="0"/>
              <w:spacing w:before="0" w:beforeAutospacing="0" w:after="0" w:afterAutospacing="0"/>
              <w:ind w:left="0" w:right="0"/>
              <w:jc w:val="center"/>
              <w:rPr>
                <w:rFonts w:hint="default" w:ascii="Times New Roman"/>
                <w:color w:val="FF0000"/>
                <w:sz w:val="21"/>
                <w:szCs w:val="21"/>
                <w:highlight w:val="none"/>
              </w:rPr>
            </w:pPr>
          </w:p>
          <w:p w14:paraId="600C495B">
            <w:pPr>
              <w:pStyle w:val="27"/>
              <w:keepNext w:val="0"/>
              <w:keepLines w:val="0"/>
              <w:suppressLineNumbers w:val="0"/>
              <w:adjustRightInd w:val="0"/>
              <w:snapToGrid w:val="0"/>
              <w:spacing w:before="0" w:beforeAutospacing="0" w:after="0" w:afterAutospacing="0"/>
              <w:ind w:left="0" w:right="0"/>
              <w:jc w:val="center"/>
              <w:rPr>
                <w:rFonts w:hint="default" w:ascii="Times New Roman"/>
                <w:color w:val="FF0000"/>
                <w:sz w:val="21"/>
                <w:szCs w:val="21"/>
                <w:highlight w:val="none"/>
              </w:rPr>
            </w:pPr>
          </w:p>
          <w:p w14:paraId="7E9E64AD">
            <w:pPr>
              <w:pStyle w:val="27"/>
              <w:keepNext w:val="0"/>
              <w:keepLines w:val="0"/>
              <w:suppressLineNumbers w:val="0"/>
              <w:adjustRightInd w:val="0"/>
              <w:snapToGrid w:val="0"/>
              <w:spacing w:before="0" w:beforeAutospacing="0" w:after="0" w:afterAutospacing="0"/>
              <w:ind w:left="0" w:right="0"/>
              <w:jc w:val="center"/>
              <w:rPr>
                <w:rFonts w:hint="default" w:ascii="Times New Roman"/>
                <w:color w:val="FF0000"/>
                <w:sz w:val="21"/>
                <w:szCs w:val="21"/>
                <w:highlight w:val="none"/>
              </w:rPr>
            </w:pPr>
          </w:p>
          <w:p w14:paraId="10494910">
            <w:pPr>
              <w:pStyle w:val="27"/>
              <w:keepNext w:val="0"/>
              <w:keepLines w:val="0"/>
              <w:suppressLineNumbers w:val="0"/>
              <w:adjustRightInd w:val="0"/>
              <w:snapToGrid w:val="0"/>
              <w:spacing w:before="0" w:beforeAutospacing="0" w:after="0" w:afterAutospacing="0"/>
              <w:ind w:left="0" w:right="0"/>
              <w:jc w:val="center"/>
              <w:rPr>
                <w:rFonts w:hint="default" w:ascii="Times New Roman"/>
                <w:color w:val="FF0000"/>
                <w:sz w:val="21"/>
                <w:szCs w:val="21"/>
                <w:highlight w:val="none"/>
              </w:rPr>
            </w:pPr>
          </w:p>
          <w:p w14:paraId="1992DF52">
            <w:pPr>
              <w:pStyle w:val="27"/>
              <w:keepNext w:val="0"/>
              <w:keepLines w:val="0"/>
              <w:suppressLineNumbers w:val="0"/>
              <w:adjustRightInd w:val="0"/>
              <w:snapToGrid w:val="0"/>
              <w:spacing w:before="0" w:beforeAutospacing="0" w:after="0" w:afterAutospacing="0"/>
              <w:ind w:left="0" w:right="0"/>
              <w:jc w:val="center"/>
              <w:rPr>
                <w:rFonts w:hint="default" w:ascii="Times New Roman"/>
                <w:color w:val="FF0000"/>
                <w:sz w:val="21"/>
                <w:szCs w:val="21"/>
                <w:highlight w:val="none"/>
              </w:rPr>
            </w:pPr>
          </w:p>
          <w:p w14:paraId="22D0C859">
            <w:pPr>
              <w:pStyle w:val="27"/>
              <w:keepNext w:val="0"/>
              <w:keepLines w:val="0"/>
              <w:suppressLineNumbers w:val="0"/>
              <w:adjustRightInd w:val="0"/>
              <w:snapToGrid w:val="0"/>
              <w:spacing w:before="0" w:beforeAutospacing="0" w:after="0" w:afterAutospacing="0"/>
              <w:ind w:left="0" w:right="0"/>
              <w:jc w:val="center"/>
              <w:rPr>
                <w:rFonts w:hint="default" w:ascii="Times New Roman"/>
                <w:color w:val="FF0000"/>
                <w:sz w:val="21"/>
                <w:szCs w:val="21"/>
                <w:highlight w:val="none"/>
              </w:rPr>
            </w:pPr>
          </w:p>
          <w:p w14:paraId="18E02714">
            <w:pPr>
              <w:pStyle w:val="27"/>
              <w:keepNext w:val="0"/>
              <w:keepLines w:val="0"/>
              <w:suppressLineNumbers w:val="0"/>
              <w:adjustRightInd w:val="0"/>
              <w:snapToGrid w:val="0"/>
              <w:spacing w:before="0" w:beforeAutospacing="0" w:after="0" w:afterAutospacing="0"/>
              <w:ind w:left="0" w:right="0"/>
              <w:jc w:val="center"/>
              <w:rPr>
                <w:rFonts w:hint="default" w:ascii="Times New Roman"/>
                <w:sz w:val="21"/>
                <w:szCs w:val="21"/>
                <w:highlight w:val="none"/>
              </w:rPr>
            </w:pPr>
          </w:p>
          <w:p w14:paraId="7DF247D7">
            <w:pPr>
              <w:pStyle w:val="27"/>
              <w:keepNext w:val="0"/>
              <w:keepLines w:val="0"/>
              <w:suppressLineNumbers w:val="0"/>
              <w:adjustRightInd w:val="0"/>
              <w:snapToGrid w:val="0"/>
              <w:spacing w:before="0" w:beforeAutospacing="0" w:after="0" w:afterAutospacing="0"/>
              <w:ind w:left="0" w:right="0"/>
              <w:jc w:val="center"/>
              <w:rPr>
                <w:rFonts w:hint="default" w:ascii="Times New Roman"/>
                <w:sz w:val="21"/>
                <w:szCs w:val="21"/>
                <w:highlight w:val="none"/>
              </w:rPr>
            </w:pPr>
          </w:p>
          <w:p w14:paraId="75F11369">
            <w:pPr>
              <w:pStyle w:val="27"/>
              <w:keepNext w:val="0"/>
              <w:keepLines w:val="0"/>
              <w:suppressLineNumbers w:val="0"/>
              <w:adjustRightInd w:val="0"/>
              <w:snapToGrid w:val="0"/>
              <w:spacing w:before="0" w:beforeAutospacing="0" w:after="0" w:afterAutospacing="0"/>
              <w:ind w:left="0" w:right="0"/>
              <w:jc w:val="center"/>
              <w:rPr>
                <w:rFonts w:hint="default" w:ascii="Times New Roman"/>
                <w:sz w:val="21"/>
                <w:szCs w:val="21"/>
                <w:highlight w:val="none"/>
              </w:rPr>
            </w:pPr>
          </w:p>
          <w:p w14:paraId="60535047">
            <w:pPr>
              <w:pStyle w:val="27"/>
              <w:keepNext w:val="0"/>
              <w:keepLines w:val="0"/>
              <w:suppressLineNumbers w:val="0"/>
              <w:adjustRightInd w:val="0"/>
              <w:snapToGrid w:val="0"/>
              <w:spacing w:before="0" w:beforeAutospacing="0" w:after="0" w:afterAutospacing="0"/>
              <w:ind w:left="0" w:right="0"/>
              <w:jc w:val="center"/>
              <w:rPr>
                <w:rFonts w:hint="default" w:ascii="Times New Roman"/>
                <w:sz w:val="21"/>
                <w:szCs w:val="21"/>
                <w:highlight w:val="none"/>
              </w:rPr>
            </w:pPr>
            <w:r>
              <w:rPr>
                <w:rFonts w:hint="eastAsia" w:ascii="Times New Roman"/>
                <w:sz w:val="21"/>
                <w:szCs w:val="21"/>
                <w:highlight w:val="none"/>
              </w:rPr>
              <w:t>建设内容</w:t>
            </w:r>
          </w:p>
          <w:p w14:paraId="62FC2D42">
            <w:pPr>
              <w:pStyle w:val="27"/>
              <w:keepNext w:val="0"/>
              <w:keepLines w:val="0"/>
              <w:suppressLineNumbers w:val="0"/>
              <w:adjustRightInd w:val="0"/>
              <w:snapToGrid w:val="0"/>
              <w:spacing w:before="0" w:beforeAutospacing="0" w:after="0" w:afterAutospacing="0"/>
              <w:ind w:left="0" w:right="0"/>
              <w:jc w:val="center"/>
              <w:rPr>
                <w:rFonts w:hint="default" w:ascii="Times New Roman"/>
                <w:sz w:val="21"/>
                <w:szCs w:val="21"/>
                <w:highlight w:val="none"/>
              </w:rPr>
            </w:pPr>
          </w:p>
          <w:p w14:paraId="533FC0E2">
            <w:pPr>
              <w:pStyle w:val="27"/>
              <w:keepNext w:val="0"/>
              <w:keepLines w:val="0"/>
              <w:suppressLineNumbers w:val="0"/>
              <w:adjustRightInd w:val="0"/>
              <w:snapToGrid w:val="0"/>
              <w:spacing w:before="0" w:beforeAutospacing="0" w:after="0" w:afterAutospacing="0"/>
              <w:ind w:left="0" w:right="0"/>
              <w:jc w:val="center"/>
              <w:rPr>
                <w:rFonts w:hint="default" w:ascii="Times New Roman"/>
                <w:sz w:val="21"/>
                <w:szCs w:val="21"/>
                <w:highlight w:val="none"/>
              </w:rPr>
            </w:pPr>
          </w:p>
          <w:p w14:paraId="437747C0">
            <w:pPr>
              <w:pStyle w:val="27"/>
              <w:keepNext w:val="0"/>
              <w:keepLines w:val="0"/>
              <w:suppressLineNumbers w:val="0"/>
              <w:adjustRightInd w:val="0"/>
              <w:snapToGrid w:val="0"/>
              <w:spacing w:before="0" w:beforeAutospacing="0" w:after="0" w:afterAutospacing="0"/>
              <w:ind w:left="0" w:right="0"/>
              <w:jc w:val="center"/>
              <w:rPr>
                <w:rFonts w:hint="default" w:ascii="Times New Roman"/>
                <w:sz w:val="21"/>
                <w:szCs w:val="21"/>
                <w:highlight w:val="none"/>
              </w:rPr>
            </w:pPr>
          </w:p>
          <w:p w14:paraId="213CB654">
            <w:pPr>
              <w:pStyle w:val="27"/>
              <w:keepNext w:val="0"/>
              <w:keepLines w:val="0"/>
              <w:suppressLineNumbers w:val="0"/>
              <w:adjustRightInd w:val="0"/>
              <w:snapToGrid w:val="0"/>
              <w:spacing w:before="0" w:beforeAutospacing="0" w:after="0" w:afterAutospacing="0"/>
              <w:ind w:left="0" w:right="0"/>
              <w:jc w:val="center"/>
              <w:rPr>
                <w:rFonts w:hint="default" w:ascii="Times New Roman"/>
                <w:sz w:val="21"/>
                <w:szCs w:val="21"/>
                <w:highlight w:val="none"/>
              </w:rPr>
            </w:pPr>
          </w:p>
          <w:p w14:paraId="2E94808A">
            <w:pPr>
              <w:pStyle w:val="27"/>
              <w:keepNext w:val="0"/>
              <w:keepLines w:val="0"/>
              <w:suppressLineNumbers w:val="0"/>
              <w:adjustRightInd w:val="0"/>
              <w:snapToGrid w:val="0"/>
              <w:spacing w:before="0" w:beforeAutospacing="0" w:after="0" w:afterAutospacing="0"/>
              <w:ind w:left="0" w:right="0"/>
              <w:jc w:val="center"/>
              <w:rPr>
                <w:rFonts w:hint="default" w:ascii="Times New Roman"/>
                <w:sz w:val="21"/>
                <w:szCs w:val="21"/>
                <w:highlight w:val="none"/>
              </w:rPr>
            </w:pPr>
          </w:p>
          <w:p w14:paraId="409709E7">
            <w:pPr>
              <w:pStyle w:val="27"/>
              <w:keepNext w:val="0"/>
              <w:keepLines w:val="0"/>
              <w:suppressLineNumbers w:val="0"/>
              <w:adjustRightInd w:val="0"/>
              <w:snapToGrid w:val="0"/>
              <w:spacing w:before="0" w:beforeAutospacing="0" w:after="0" w:afterAutospacing="0"/>
              <w:ind w:left="0" w:right="0"/>
              <w:jc w:val="center"/>
              <w:rPr>
                <w:rFonts w:hint="default" w:ascii="Times New Roman"/>
                <w:sz w:val="21"/>
                <w:szCs w:val="21"/>
                <w:highlight w:val="none"/>
              </w:rPr>
            </w:pPr>
          </w:p>
          <w:p w14:paraId="2F4897BF">
            <w:pPr>
              <w:pStyle w:val="27"/>
              <w:keepNext w:val="0"/>
              <w:keepLines w:val="0"/>
              <w:suppressLineNumbers w:val="0"/>
              <w:adjustRightInd w:val="0"/>
              <w:snapToGrid w:val="0"/>
              <w:spacing w:before="0" w:beforeAutospacing="0" w:after="0" w:afterAutospacing="0"/>
              <w:ind w:left="0" w:right="0"/>
              <w:jc w:val="center"/>
              <w:rPr>
                <w:rFonts w:hint="default" w:ascii="Times New Roman"/>
                <w:sz w:val="21"/>
                <w:szCs w:val="21"/>
                <w:highlight w:val="none"/>
              </w:rPr>
            </w:pPr>
          </w:p>
          <w:p w14:paraId="06F79876">
            <w:pPr>
              <w:pStyle w:val="27"/>
              <w:keepNext w:val="0"/>
              <w:keepLines w:val="0"/>
              <w:suppressLineNumbers w:val="0"/>
              <w:adjustRightInd w:val="0"/>
              <w:snapToGrid w:val="0"/>
              <w:spacing w:before="0" w:beforeAutospacing="0" w:after="0" w:afterAutospacing="0"/>
              <w:ind w:left="0" w:right="0"/>
              <w:jc w:val="center"/>
              <w:rPr>
                <w:rFonts w:hint="default" w:ascii="Times New Roman"/>
                <w:color w:val="FF0000"/>
                <w:sz w:val="21"/>
                <w:szCs w:val="21"/>
                <w:highlight w:val="none"/>
              </w:rPr>
            </w:pPr>
          </w:p>
          <w:p w14:paraId="4515481C">
            <w:pPr>
              <w:pStyle w:val="27"/>
              <w:keepNext w:val="0"/>
              <w:keepLines w:val="0"/>
              <w:suppressLineNumbers w:val="0"/>
              <w:adjustRightInd w:val="0"/>
              <w:snapToGrid w:val="0"/>
              <w:spacing w:before="0" w:beforeAutospacing="0" w:after="0" w:afterAutospacing="0"/>
              <w:ind w:left="0" w:right="0"/>
              <w:jc w:val="center"/>
              <w:rPr>
                <w:rFonts w:hint="default" w:ascii="Times New Roman"/>
                <w:color w:val="FF0000"/>
                <w:sz w:val="21"/>
                <w:szCs w:val="21"/>
                <w:highlight w:val="none"/>
              </w:rPr>
            </w:pPr>
          </w:p>
          <w:p w14:paraId="4B52D9B7">
            <w:pPr>
              <w:pStyle w:val="27"/>
              <w:keepNext w:val="0"/>
              <w:keepLines w:val="0"/>
              <w:suppressLineNumbers w:val="0"/>
              <w:adjustRightInd w:val="0"/>
              <w:snapToGrid w:val="0"/>
              <w:spacing w:before="0" w:beforeAutospacing="0" w:after="0" w:afterAutospacing="0"/>
              <w:ind w:left="0" w:right="0"/>
              <w:jc w:val="center"/>
              <w:rPr>
                <w:rFonts w:hint="default" w:ascii="Times New Roman"/>
                <w:color w:val="FF0000"/>
                <w:sz w:val="21"/>
                <w:szCs w:val="21"/>
                <w:highlight w:val="none"/>
              </w:rPr>
            </w:pPr>
          </w:p>
          <w:p w14:paraId="649132BC">
            <w:pPr>
              <w:pStyle w:val="27"/>
              <w:keepNext w:val="0"/>
              <w:keepLines w:val="0"/>
              <w:suppressLineNumbers w:val="0"/>
              <w:adjustRightInd w:val="0"/>
              <w:snapToGrid w:val="0"/>
              <w:spacing w:before="0" w:beforeAutospacing="0" w:after="0" w:afterAutospacing="0"/>
              <w:ind w:left="0" w:right="0"/>
              <w:jc w:val="center"/>
              <w:rPr>
                <w:rFonts w:hint="default" w:ascii="Times New Roman"/>
                <w:color w:val="FF0000"/>
                <w:sz w:val="21"/>
                <w:szCs w:val="21"/>
                <w:highlight w:val="none"/>
              </w:rPr>
            </w:pPr>
          </w:p>
          <w:p w14:paraId="5C192315">
            <w:pPr>
              <w:pStyle w:val="27"/>
              <w:keepNext w:val="0"/>
              <w:keepLines w:val="0"/>
              <w:suppressLineNumbers w:val="0"/>
              <w:adjustRightInd w:val="0"/>
              <w:snapToGrid w:val="0"/>
              <w:spacing w:before="0" w:beforeAutospacing="0" w:after="0" w:afterAutospacing="0"/>
              <w:ind w:left="0" w:right="0"/>
              <w:jc w:val="center"/>
              <w:rPr>
                <w:rFonts w:hint="default" w:ascii="Times New Roman"/>
                <w:color w:val="FF0000"/>
                <w:sz w:val="21"/>
                <w:szCs w:val="21"/>
                <w:highlight w:val="none"/>
              </w:rPr>
            </w:pPr>
          </w:p>
          <w:p w14:paraId="420D41AC">
            <w:pPr>
              <w:pStyle w:val="27"/>
              <w:keepNext w:val="0"/>
              <w:keepLines w:val="0"/>
              <w:suppressLineNumbers w:val="0"/>
              <w:adjustRightInd w:val="0"/>
              <w:snapToGrid w:val="0"/>
              <w:spacing w:before="0" w:beforeAutospacing="0" w:after="0" w:afterAutospacing="0"/>
              <w:ind w:left="0" w:right="0"/>
              <w:jc w:val="center"/>
              <w:rPr>
                <w:rFonts w:hint="default" w:ascii="Times New Roman"/>
                <w:color w:val="FF0000"/>
                <w:sz w:val="21"/>
                <w:szCs w:val="21"/>
                <w:highlight w:val="none"/>
              </w:rPr>
            </w:pPr>
          </w:p>
          <w:p w14:paraId="6AF1DFBD">
            <w:pPr>
              <w:pStyle w:val="27"/>
              <w:keepNext w:val="0"/>
              <w:keepLines w:val="0"/>
              <w:suppressLineNumbers w:val="0"/>
              <w:adjustRightInd w:val="0"/>
              <w:snapToGrid w:val="0"/>
              <w:spacing w:before="0" w:beforeAutospacing="0" w:after="0" w:afterAutospacing="0"/>
              <w:ind w:left="0" w:right="0"/>
              <w:jc w:val="center"/>
              <w:rPr>
                <w:rFonts w:hint="default" w:ascii="Times New Roman"/>
                <w:color w:val="FF0000"/>
                <w:sz w:val="21"/>
                <w:szCs w:val="21"/>
                <w:highlight w:val="none"/>
              </w:rPr>
            </w:pPr>
          </w:p>
          <w:p w14:paraId="18EAAFCC">
            <w:pPr>
              <w:pStyle w:val="27"/>
              <w:keepNext w:val="0"/>
              <w:keepLines w:val="0"/>
              <w:suppressLineNumbers w:val="0"/>
              <w:adjustRightInd w:val="0"/>
              <w:snapToGrid w:val="0"/>
              <w:spacing w:before="0" w:beforeAutospacing="0" w:after="0" w:afterAutospacing="0"/>
              <w:ind w:left="0" w:right="0"/>
              <w:jc w:val="center"/>
              <w:rPr>
                <w:rFonts w:hint="default" w:ascii="Times New Roman"/>
                <w:color w:val="FF0000"/>
                <w:sz w:val="21"/>
                <w:szCs w:val="21"/>
                <w:highlight w:val="none"/>
              </w:rPr>
            </w:pPr>
          </w:p>
          <w:p w14:paraId="47F349A3">
            <w:pPr>
              <w:pStyle w:val="27"/>
              <w:keepNext w:val="0"/>
              <w:keepLines w:val="0"/>
              <w:suppressLineNumbers w:val="0"/>
              <w:adjustRightInd w:val="0"/>
              <w:snapToGrid w:val="0"/>
              <w:spacing w:before="0" w:beforeAutospacing="0" w:after="0" w:afterAutospacing="0"/>
              <w:ind w:left="0" w:right="0"/>
              <w:jc w:val="center"/>
              <w:rPr>
                <w:rFonts w:hint="default" w:ascii="Times New Roman"/>
                <w:color w:val="FF0000"/>
                <w:sz w:val="21"/>
                <w:szCs w:val="21"/>
                <w:highlight w:val="none"/>
              </w:rPr>
            </w:pPr>
          </w:p>
          <w:p w14:paraId="5E3645E7">
            <w:pPr>
              <w:pStyle w:val="27"/>
              <w:keepNext w:val="0"/>
              <w:keepLines w:val="0"/>
              <w:suppressLineNumbers w:val="0"/>
              <w:adjustRightInd w:val="0"/>
              <w:snapToGrid w:val="0"/>
              <w:spacing w:before="0" w:beforeAutospacing="0" w:after="0" w:afterAutospacing="0"/>
              <w:ind w:left="0" w:right="0"/>
              <w:jc w:val="center"/>
              <w:rPr>
                <w:rFonts w:hint="default" w:ascii="Times New Roman"/>
                <w:color w:val="FF0000"/>
                <w:sz w:val="21"/>
                <w:szCs w:val="21"/>
                <w:highlight w:val="none"/>
              </w:rPr>
            </w:pPr>
          </w:p>
          <w:p w14:paraId="6ACB0C8D">
            <w:pPr>
              <w:pStyle w:val="27"/>
              <w:keepNext w:val="0"/>
              <w:keepLines w:val="0"/>
              <w:suppressLineNumbers w:val="0"/>
              <w:adjustRightInd w:val="0"/>
              <w:snapToGrid w:val="0"/>
              <w:spacing w:before="0" w:beforeAutospacing="0" w:after="0" w:afterAutospacing="0"/>
              <w:ind w:left="0" w:right="0"/>
              <w:jc w:val="center"/>
              <w:rPr>
                <w:rFonts w:hint="default" w:ascii="Times New Roman"/>
                <w:color w:val="FF0000"/>
                <w:sz w:val="21"/>
                <w:szCs w:val="21"/>
                <w:highlight w:val="none"/>
              </w:rPr>
            </w:pPr>
          </w:p>
          <w:p w14:paraId="63F67059">
            <w:pPr>
              <w:pStyle w:val="27"/>
              <w:keepNext w:val="0"/>
              <w:keepLines w:val="0"/>
              <w:suppressLineNumbers w:val="0"/>
              <w:adjustRightInd w:val="0"/>
              <w:snapToGrid w:val="0"/>
              <w:spacing w:before="0" w:beforeAutospacing="0" w:after="0" w:afterAutospacing="0"/>
              <w:ind w:left="0" w:right="0"/>
              <w:jc w:val="center"/>
              <w:rPr>
                <w:rFonts w:hint="default" w:ascii="Times New Roman"/>
                <w:color w:val="FF0000"/>
                <w:sz w:val="21"/>
                <w:szCs w:val="21"/>
                <w:highlight w:val="none"/>
              </w:rPr>
            </w:pPr>
          </w:p>
          <w:p w14:paraId="3E19BC5A">
            <w:pPr>
              <w:pStyle w:val="27"/>
              <w:keepNext w:val="0"/>
              <w:keepLines w:val="0"/>
              <w:suppressLineNumbers w:val="0"/>
              <w:adjustRightInd w:val="0"/>
              <w:snapToGrid w:val="0"/>
              <w:spacing w:before="0" w:beforeAutospacing="0" w:after="0" w:afterAutospacing="0"/>
              <w:ind w:left="0" w:right="0"/>
              <w:jc w:val="center"/>
              <w:rPr>
                <w:rFonts w:hint="default" w:ascii="Times New Roman"/>
                <w:color w:val="FF0000"/>
                <w:sz w:val="21"/>
                <w:szCs w:val="21"/>
                <w:highlight w:val="none"/>
              </w:rPr>
            </w:pPr>
          </w:p>
          <w:p w14:paraId="34F849ED">
            <w:pPr>
              <w:pStyle w:val="27"/>
              <w:keepNext w:val="0"/>
              <w:keepLines w:val="0"/>
              <w:suppressLineNumbers w:val="0"/>
              <w:adjustRightInd w:val="0"/>
              <w:snapToGrid w:val="0"/>
              <w:spacing w:before="0" w:beforeAutospacing="0" w:after="0" w:afterAutospacing="0"/>
              <w:ind w:left="0" w:right="0"/>
              <w:jc w:val="center"/>
              <w:rPr>
                <w:rFonts w:hint="default" w:ascii="Times New Roman"/>
                <w:sz w:val="21"/>
                <w:szCs w:val="21"/>
                <w:highlight w:val="none"/>
              </w:rPr>
            </w:pPr>
          </w:p>
          <w:p w14:paraId="032ECE89">
            <w:pPr>
              <w:pStyle w:val="27"/>
              <w:keepNext w:val="0"/>
              <w:keepLines w:val="0"/>
              <w:suppressLineNumbers w:val="0"/>
              <w:adjustRightInd w:val="0"/>
              <w:snapToGrid w:val="0"/>
              <w:spacing w:before="0" w:beforeAutospacing="0" w:after="0" w:afterAutospacing="0"/>
              <w:ind w:left="0" w:right="0"/>
              <w:jc w:val="center"/>
              <w:rPr>
                <w:rFonts w:hint="default" w:ascii="Times New Roman" w:hAnsi="Times New Roman"/>
                <w:color w:val="FF0000"/>
                <w:sz w:val="21"/>
                <w:szCs w:val="21"/>
                <w:highlight w:val="none"/>
              </w:rPr>
            </w:pPr>
          </w:p>
          <w:p w14:paraId="17BC7E6E">
            <w:pPr>
              <w:pStyle w:val="27"/>
              <w:keepNext w:val="0"/>
              <w:keepLines w:val="0"/>
              <w:suppressLineNumbers w:val="0"/>
              <w:adjustRightInd w:val="0"/>
              <w:snapToGrid w:val="0"/>
              <w:spacing w:before="0" w:beforeAutospacing="0" w:after="0" w:afterAutospacing="0"/>
              <w:ind w:left="0" w:right="0"/>
              <w:jc w:val="center"/>
              <w:rPr>
                <w:rFonts w:hint="default" w:ascii="Times New Roman"/>
                <w:color w:val="FF0000"/>
                <w:sz w:val="21"/>
                <w:szCs w:val="21"/>
                <w:highlight w:val="none"/>
              </w:rPr>
            </w:pPr>
          </w:p>
          <w:p w14:paraId="7F18DD1E">
            <w:pPr>
              <w:pStyle w:val="27"/>
              <w:keepNext w:val="0"/>
              <w:keepLines w:val="0"/>
              <w:suppressLineNumbers w:val="0"/>
              <w:adjustRightInd w:val="0"/>
              <w:snapToGrid w:val="0"/>
              <w:spacing w:before="0" w:beforeAutospacing="0" w:after="0" w:afterAutospacing="0"/>
              <w:ind w:left="0" w:right="0"/>
              <w:jc w:val="center"/>
              <w:rPr>
                <w:rFonts w:hint="default" w:ascii="Times New Roman"/>
                <w:color w:val="FF0000"/>
                <w:sz w:val="21"/>
                <w:szCs w:val="21"/>
                <w:highlight w:val="none"/>
              </w:rPr>
            </w:pPr>
          </w:p>
          <w:p w14:paraId="61855DC3">
            <w:pPr>
              <w:pStyle w:val="27"/>
              <w:keepNext w:val="0"/>
              <w:keepLines w:val="0"/>
              <w:suppressLineNumbers w:val="0"/>
              <w:adjustRightInd w:val="0"/>
              <w:snapToGrid w:val="0"/>
              <w:spacing w:before="0" w:beforeAutospacing="0" w:after="0" w:afterAutospacing="0"/>
              <w:ind w:left="0" w:right="0"/>
              <w:jc w:val="center"/>
              <w:rPr>
                <w:rFonts w:hint="default" w:ascii="Times New Roman"/>
                <w:color w:val="FF0000"/>
                <w:sz w:val="21"/>
                <w:szCs w:val="21"/>
                <w:highlight w:val="none"/>
              </w:rPr>
            </w:pPr>
          </w:p>
          <w:p w14:paraId="3C2A52DC">
            <w:pPr>
              <w:pStyle w:val="27"/>
              <w:keepNext w:val="0"/>
              <w:keepLines w:val="0"/>
              <w:suppressLineNumbers w:val="0"/>
              <w:adjustRightInd w:val="0"/>
              <w:snapToGrid w:val="0"/>
              <w:spacing w:before="0" w:beforeAutospacing="0" w:after="0" w:afterAutospacing="0"/>
              <w:ind w:left="0" w:right="0"/>
              <w:jc w:val="center"/>
              <w:rPr>
                <w:rFonts w:hint="default" w:ascii="Times New Roman"/>
                <w:color w:val="FF0000"/>
                <w:sz w:val="21"/>
                <w:szCs w:val="21"/>
                <w:highlight w:val="none"/>
              </w:rPr>
            </w:pPr>
          </w:p>
          <w:p w14:paraId="01ABE2A4">
            <w:pPr>
              <w:pStyle w:val="27"/>
              <w:keepNext w:val="0"/>
              <w:keepLines w:val="0"/>
              <w:suppressLineNumbers w:val="0"/>
              <w:adjustRightInd w:val="0"/>
              <w:snapToGrid w:val="0"/>
              <w:spacing w:before="0" w:beforeAutospacing="0" w:after="0" w:afterAutospacing="0"/>
              <w:ind w:left="0" w:right="0"/>
              <w:jc w:val="center"/>
              <w:rPr>
                <w:rFonts w:hint="default" w:ascii="Times New Roman"/>
                <w:color w:val="FF0000"/>
                <w:sz w:val="21"/>
                <w:szCs w:val="21"/>
                <w:highlight w:val="none"/>
              </w:rPr>
            </w:pPr>
          </w:p>
          <w:p w14:paraId="24CB6FFF">
            <w:pPr>
              <w:pStyle w:val="27"/>
              <w:keepNext w:val="0"/>
              <w:keepLines w:val="0"/>
              <w:suppressLineNumbers w:val="0"/>
              <w:adjustRightInd w:val="0"/>
              <w:snapToGrid w:val="0"/>
              <w:spacing w:before="0" w:beforeAutospacing="0" w:after="0" w:afterAutospacing="0"/>
              <w:ind w:left="0" w:right="0"/>
              <w:jc w:val="center"/>
              <w:rPr>
                <w:rFonts w:hint="default" w:ascii="Times New Roman"/>
                <w:color w:val="FF0000"/>
                <w:sz w:val="21"/>
                <w:szCs w:val="21"/>
                <w:highlight w:val="none"/>
              </w:rPr>
            </w:pPr>
          </w:p>
          <w:p w14:paraId="497C9D95">
            <w:pPr>
              <w:pStyle w:val="27"/>
              <w:keepNext w:val="0"/>
              <w:keepLines w:val="0"/>
              <w:suppressLineNumbers w:val="0"/>
              <w:adjustRightInd w:val="0"/>
              <w:snapToGrid w:val="0"/>
              <w:spacing w:before="0" w:beforeAutospacing="0" w:after="0" w:afterAutospacing="0"/>
              <w:ind w:left="0" w:right="0"/>
              <w:jc w:val="center"/>
              <w:rPr>
                <w:rFonts w:hint="default" w:ascii="Times New Roman"/>
                <w:sz w:val="21"/>
                <w:szCs w:val="21"/>
                <w:highlight w:val="none"/>
              </w:rPr>
            </w:pPr>
          </w:p>
          <w:p w14:paraId="3D707C18">
            <w:pPr>
              <w:pStyle w:val="27"/>
              <w:keepNext w:val="0"/>
              <w:keepLines w:val="0"/>
              <w:suppressLineNumbers w:val="0"/>
              <w:adjustRightInd w:val="0"/>
              <w:snapToGrid w:val="0"/>
              <w:spacing w:before="0" w:beforeAutospacing="0" w:after="0" w:afterAutospacing="0"/>
              <w:ind w:left="0" w:right="0"/>
              <w:jc w:val="center"/>
              <w:rPr>
                <w:rFonts w:hint="default" w:ascii="Times New Roman"/>
                <w:sz w:val="21"/>
                <w:szCs w:val="21"/>
                <w:highlight w:val="none"/>
              </w:rPr>
            </w:pPr>
          </w:p>
          <w:p w14:paraId="0E69C35C">
            <w:pPr>
              <w:pStyle w:val="27"/>
              <w:keepNext w:val="0"/>
              <w:keepLines w:val="0"/>
              <w:suppressLineNumbers w:val="0"/>
              <w:adjustRightInd w:val="0"/>
              <w:snapToGrid w:val="0"/>
              <w:spacing w:before="0" w:beforeAutospacing="0" w:after="0" w:afterAutospacing="0"/>
              <w:ind w:left="0" w:right="0"/>
              <w:jc w:val="center"/>
              <w:rPr>
                <w:rFonts w:hint="default" w:ascii="Times New Roman"/>
                <w:sz w:val="21"/>
                <w:szCs w:val="21"/>
                <w:highlight w:val="none"/>
              </w:rPr>
            </w:pPr>
          </w:p>
          <w:p w14:paraId="4A119096">
            <w:pPr>
              <w:pStyle w:val="27"/>
              <w:keepNext w:val="0"/>
              <w:keepLines w:val="0"/>
              <w:suppressLineNumbers w:val="0"/>
              <w:adjustRightInd w:val="0"/>
              <w:snapToGrid w:val="0"/>
              <w:spacing w:before="0" w:beforeAutospacing="0" w:after="0" w:afterAutospacing="0"/>
              <w:ind w:left="0" w:right="0"/>
              <w:jc w:val="center"/>
              <w:rPr>
                <w:rFonts w:hint="default" w:ascii="Times New Roman"/>
                <w:sz w:val="21"/>
                <w:szCs w:val="21"/>
                <w:highlight w:val="none"/>
              </w:rPr>
            </w:pPr>
          </w:p>
          <w:p w14:paraId="7052BA9F">
            <w:pPr>
              <w:pStyle w:val="27"/>
              <w:keepNext w:val="0"/>
              <w:keepLines w:val="0"/>
              <w:suppressLineNumbers w:val="0"/>
              <w:adjustRightInd w:val="0"/>
              <w:snapToGrid w:val="0"/>
              <w:spacing w:before="0" w:beforeAutospacing="0" w:after="0" w:afterAutospacing="0"/>
              <w:ind w:left="0" w:right="0"/>
              <w:jc w:val="center"/>
              <w:rPr>
                <w:rFonts w:hint="default" w:ascii="Times New Roman"/>
                <w:sz w:val="21"/>
                <w:szCs w:val="21"/>
                <w:highlight w:val="none"/>
              </w:rPr>
            </w:pPr>
          </w:p>
          <w:p w14:paraId="26AD0902">
            <w:pPr>
              <w:pStyle w:val="27"/>
              <w:keepNext w:val="0"/>
              <w:keepLines w:val="0"/>
              <w:suppressLineNumbers w:val="0"/>
              <w:adjustRightInd w:val="0"/>
              <w:snapToGrid w:val="0"/>
              <w:spacing w:before="0" w:beforeAutospacing="0" w:after="0" w:afterAutospacing="0"/>
              <w:ind w:left="0" w:right="0"/>
              <w:jc w:val="center"/>
              <w:rPr>
                <w:rFonts w:hint="default" w:ascii="Times New Roman"/>
                <w:sz w:val="21"/>
                <w:szCs w:val="21"/>
                <w:highlight w:val="none"/>
              </w:rPr>
            </w:pPr>
          </w:p>
          <w:p w14:paraId="451F5E84">
            <w:pPr>
              <w:pStyle w:val="27"/>
              <w:keepNext w:val="0"/>
              <w:keepLines w:val="0"/>
              <w:suppressLineNumbers w:val="0"/>
              <w:adjustRightInd w:val="0"/>
              <w:snapToGrid w:val="0"/>
              <w:spacing w:before="0" w:beforeAutospacing="0" w:after="0" w:afterAutospacing="0"/>
              <w:ind w:left="0" w:right="0"/>
              <w:jc w:val="center"/>
              <w:rPr>
                <w:rFonts w:hint="default" w:ascii="Times New Roman"/>
                <w:sz w:val="21"/>
                <w:szCs w:val="21"/>
                <w:highlight w:val="none"/>
              </w:rPr>
            </w:pPr>
          </w:p>
          <w:p w14:paraId="3F49A6CD">
            <w:pPr>
              <w:pStyle w:val="27"/>
              <w:keepNext w:val="0"/>
              <w:keepLines w:val="0"/>
              <w:suppressLineNumbers w:val="0"/>
              <w:adjustRightInd w:val="0"/>
              <w:snapToGrid w:val="0"/>
              <w:spacing w:before="0" w:beforeAutospacing="0" w:after="0" w:afterAutospacing="0"/>
              <w:ind w:left="0" w:right="0"/>
              <w:jc w:val="center"/>
              <w:rPr>
                <w:rFonts w:hint="default" w:ascii="Times New Roman"/>
                <w:sz w:val="21"/>
                <w:szCs w:val="21"/>
                <w:highlight w:val="none"/>
              </w:rPr>
            </w:pPr>
          </w:p>
          <w:p w14:paraId="6E782E55">
            <w:pPr>
              <w:pStyle w:val="27"/>
              <w:keepNext w:val="0"/>
              <w:keepLines w:val="0"/>
              <w:suppressLineNumbers w:val="0"/>
              <w:adjustRightInd w:val="0"/>
              <w:snapToGrid w:val="0"/>
              <w:spacing w:before="0" w:beforeAutospacing="0" w:after="0" w:afterAutospacing="0"/>
              <w:ind w:left="0" w:right="0"/>
              <w:jc w:val="center"/>
              <w:rPr>
                <w:rFonts w:hint="default" w:ascii="Times New Roman"/>
                <w:sz w:val="21"/>
                <w:szCs w:val="21"/>
                <w:highlight w:val="none"/>
              </w:rPr>
            </w:pPr>
          </w:p>
          <w:p w14:paraId="05664966">
            <w:pPr>
              <w:pStyle w:val="27"/>
              <w:keepNext w:val="0"/>
              <w:keepLines w:val="0"/>
              <w:suppressLineNumbers w:val="0"/>
              <w:adjustRightInd w:val="0"/>
              <w:snapToGrid w:val="0"/>
              <w:spacing w:before="0" w:beforeAutospacing="0" w:after="0" w:afterAutospacing="0"/>
              <w:ind w:left="0" w:right="0"/>
              <w:jc w:val="center"/>
              <w:rPr>
                <w:rFonts w:hint="default" w:ascii="Times New Roman" w:hAnsi="Times New Roman"/>
                <w:color w:val="FF0000"/>
                <w:sz w:val="21"/>
                <w:szCs w:val="21"/>
                <w:highlight w:val="none"/>
              </w:rPr>
            </w:pPr>
          </w:p>
          <w:p w14:paraId="06B52D67">
            <w:pPr>
              <w:pStyle w:val="27"/>
              <w:keepNext w:val="0"/>
              <w:keepLines w:val="0"/>
              <w:suppressLineNumbers w:val="0"/>
              <w:adjustRightInd w:val="0"/>
              <w:snapToGrid w:val="0"/>
              <w:spacing w:before="0" w:beforeAutospacing="0" w:after="0" w:afterAutospacing="0"/>
              <w:ind w:left="0" w:right="0"/>
              <w:jc w:val="center"/>
              <w:rPr>
                <w:rFonts w:hint="default" w:ascii="Times New Roman"/>
                <w:sz w:val="21"/>
                <w:szCs w:val="21"/>
                <w:highlight w:val="none"/>
              </w:rPr>
            </w:pPr>
          </w:p>
          <w:p w14:paraId="2A8ED613">
            <w:pPr>
              <w:pStyle w:val="27"/>
              <w:keepNext w:val="0"/>
              <w:keepLines w:val="0"/>
              <w:suppressLineNumbers w:val="0"/>
              <w:adjustRightInd w:val="0"/>
              <w:snapToGrid w:val="0"/>
              <w:spacing w:before="0" w:beforeAutospacing="0" w:after="0" w:afterAutospacing="0"/>
              <w:ind w:left="0" w:right="0"/>
              <w:jc w:val="center"/>
              <w:rPr>
                <w:rFonts w:hint="default" w:ascii="Times New Roman"/>
                <w:sz w:val="21"/>
                <w:szCs w:val="21"/>
                <w:highlight w:val="none"/>
              </w:rPr>
            </w:pPr>
          </w:p>
          <w:p w14:paraId="432D7913">
            <w:pPr>
              <w:pStyle w:val="27"/>
              <w:keepNext w:val="0"/>
              <w:keepLines w:val="0"/>
              <w:suppressLineNumbers w:val="0"/>
              <w:adjustRightInd w:val="0"/>
              <w:snapToGrid w:val="0"/>
              <w:spacing w:before="0" w:beforeAutospacing="0" w:after="0" w:afterAutospacing="0"/>
              <w:ind w:left="0" w:right="0"/>
              <w:jc w:val="center"/>
              <w:rPr>
                <w:rFonts w:hint="default" w:ascii="Times New Roman"/>
                <w:sz w:val="21"/>
                <w:szCs w:val="21"/>
                <w:highlight w:val="none"/>
              </w:rPr>
            </w:pPr>
          </w:p>
          <w:p w14:paraId="0B5C0840">
            <w:pPr>
              <w:pStyle w:val="27"/>
              <w:keepNext w:val="0"/>
              <w:keepLines w:val="0"/>
              <w:suppressLineNumbers w:val="0"/>
              <w:adjustRightInd w:val="0"/>
              <w:snapToGrid w:val="0"/>
              <w:spacing w:before="0" w:beforeAutospacing="0" w:after="0" w:afterAutospacing="0"/>
              <w:ind w:left="0" w:right="0"/>
              <w:jc w:val="center"/>
              <w:rPr>
                <w:rFonts w:hint="default" w:ascii="Times New Roman"/>
                <w:sz w:val="21"/>
                <w:szCs w:val="21"/>
                <w:highlight w:val="none"/>
              </w:rPr>
            </w:pPr>
          </w:p>
          <w:p w14:paraId="7BB5007D">
            <w:pPr>
              <w:pStyle w:val="27"/>
              <w:keepNext w:val="0"/>
              <w:keepLines w:val="0"/>
              <w:suppressLineNumbers w:val="0"/>
              <w:adjustRightInd w:val="0"/>
              <w:snapToGrid w:val="0"/>
              <w:spacing w:before="0" w:beforeAutospacing="0" w:after="0" w:afterAutospacing="0"/>
              <w:ind w:left="0" w:right="0"/>
              <w:jc w:val="center"/>
              <w:rPr>
                <w:rFonts w:hint="default" w:ascii="Times New Roman"/>
                <w:sz w:val="21"/>
                <w:szCs w:val="21"/>
                <w:highlight w:val="none"/>
              </w:rPr>
            </w:pPr>
          </w:p>
          <w:p w14:paraId="6D6519D7">
            <w:pPr>
              <w:pStyle w:val="27"/>
              <w:keepNext w:val="0"/>
              <w:keepLines w:val="0"/>
              <w:suppressLineNumbers w:val="0"/>
              <w:adjustRightInd w:val="0"/>
              <w:snapToGrid w:val="0"/>
              <w:spacing w:before="0" w:beforeAutospacing="0" w:after="0" w:afterAutospacing="0"/>
              <w:ind w:left="0" w:right="0"/>
              <w:jc w:val="center"/>
              <w:rPr>
                <w:rFonts w:hint="default" w:ascii="Times New Roman"/>
                <w:sz w:val="21"/>
                <w:szCs w:val="21"/>
                <w:highlight w:val="none"/>
              </w:rPr>
            </w:pPr>
          </w:p>
          <w:p w14:paraId="161FE055">
            <w:pPr>
              <w:pStyle w:val="27"/>
              <w:keepNext w:val="0"/>
              <w:keepLines w:val="0"/>
              <w:suppressLineNumbers w:val="0"/>
              <w:adjustRightInd w:val="0"/>
              <w:snapToGrid w:val="0"/>
              <w:spacing w:before="0" w:beforeAutospacing="0" w:after="0" w:afterAutospacing="0"/>
              <w:ind w:left="0" w:right="0"/>
              <w:jc w:val="center"/>
              <w:rPr>
                <w:rFonts w:hint="default" w:ascii="Times New Roman"/>
                <w:sz w:val="21"/>
                <w:szCs w:val="21"/>
                <w:highlight w:val="none"/>
              </w:rPr>
            </w:pPr>
          </w:p>
          <w:p w14:paraId="5076FC23">
            <w:pPr>
              <w:pStyle w:val="27"/>
              <w:keepNext w:val="0"/>
              <w:keepLines w:val="0"/>
              <w:suppressLineNumbers w:val="0"/>
              <w:adjustRightInd w:val="0"/>
              <w:snapToGrid w:val="0"/>
              <w:spacing w:before="0" w:beforeAutospacing="0" w:after="0" w:afterAutospacing="0"/>
              <w:ind w:left="0" w:right="0"/>
              <w:jc w:val="center"/>
              <w:rPr>
                <w:rFonts w:hint="default" w:ascii="Times New Roman" w:hAnsi="Times New Roman"/>
                <w:color w:val="FF0000"/>
                <w:sz w:val="21"/>
                <w:szCs w:val="21"/>
                <w:highlight w:val="none"/>
              </w:rPr>
            </w:pPr>
          </w:p>
          <w:p w14:paraId="2D2F65E7">
            <w:pPr>
              <w:pStyle w:val="27"/>
              <w:keepNext w:val="0"/>
              <w:keepLines w:val="0"/>
              <w:suppressLineNumbers w:val="0"/>
              <w:adjustRightInd w:val="0"/>
              <w:snapToGrid w:val="0"/>
              <w:spacing w:before="0" w:beforeAutospacing="0" w:after="0" w:afterAutospacing="0"/>
              <w:ind w:left="0" w:right="0"/>
              <w:jc w:val="center"/>
              <w:rPr>
                <w:rFonts w:hint="default" w:ascii="Times New Roman" w:hAnsi="Times New Roman"/>
                <w:color w:val="FF0000"/>
                <w:sz w:val="21"/>
                <w:szCs w:val="21"/>
                <w:highlight w:val="none"/>
              </w:rPr>
            </w:pPr>
          </w:p>
          <w:p w14:paraId="18D57342">
            <w:pPr>
              <w:pStyle w:val="27"/>
              <w:keepNext w:val="0"/>
              <w:keepLines w:val="0"/>
              <w:suppressLineNumbers w:val="0"/>
              <w:adjustRightInd w:val="0"/>
              <w:snapToGrid w:val="0"/>
              <w:spacing w:before="0" w:beforeAutospacing="0" w:after="0" w:afterAutospacing="0"/>
              <w:ind w:left="0" w:right="0"/>
              <w:jc w:val="center"/>
              <w:rPr>
                <w:rFonts w:hint="default" w:ascii="Times New Roman" w:hAnsi="Times New Roman"/>
                <w:color w:val="FF0000"/>
                <w:sz w:val="21"/>
                <w:szCs w:val="21"/>
                <w:highlight w:val="none"/>
              </w:rPr>
            </w:pPr>
          </w:p>
          <w:p w14:paraId="14C7331F">
            <w:pPr>
              <w:pStyle w:val="27"/>
              <w:keepNext w:val="0"/>
              <w:keepLines w:val="0"/>
              <w:suppressLineNumbers w:val="0"/>
              <w:adjustRightInd w:val="0"/>
              <w:snapToGrid w:val="0"/>
              <w:spacing w:before="0" w:beforeAutospacing="0" w:after="0" w:afterAutospacing="0"/>
              <w:ind w:left="0" w:right="0"/>
              <w:jc w:val="center"/>
              <w:rPr>
                <w:rFonts w:hint="default" w:ascii="Times New Roman"/>
                <w:sz w:val="21"/>
                <w:szCs w:val="21"/>
                <w:highlight w:val="none"/>
              </w:rPr>
            </w:pPr>
            <w:r>
              <w:rPr>
                <w:rFonts w:hint="eastAsia" w:ascii="Times New Roman"/>
                <w:sz w:val="21"/>
                <w:szCs w:val="21"/>
                <w:highlight w:val="none"/>
              </w:rPr>
              <w:t>建设内容</w:t>
            </w:r>
          </w:p>
          <w:p w14:paraId="1D4C55A8">
            <w:pPr>
              <w:pStyle w:val="27"/>
              <w:keepNext w:val="0"/>
              <w:keepLines w:val="0"/>
              <w:suppressLineNumbers w:val="0"/>
              <w:adjustRightInd w:val="0"/>
              <w:snapToGrid w:val="0"/>
              <w:spacing w:before="0" w:beforeAutospacing="0" w:after="0" w:afterAutospacing="0"/>
              <w:ind w:left="0" w:right="0"/>
              <w:jc w:val="center"/>
              <w:rPr>
                <w:rFonts w:hint="default" w:ascii="Times New Roman" w:hAnsi="Times New Roman"/>
                <w:color w:val="FF0000"/>
                <w:sz w:val="21"/>
                <w:szCs w:val="21"/>
                <w:highlight w:val="none"/>
              </w:rPr>
            </w:pPr>
          </w:p>
          <w:p w14:paraId="17C27890">
            <w:pPr>
              <w:pStyle w:val="27"/>
              <w:keepNext w:val="0"/>
              <w:keepLines w:val="0"/>
              <w:suppressLineNumbers w:val="0"/>
              <w:adjustRightInd w:val="0"/>
              <w:snapToGrid w:val="0"/>
              <w:spacing w:before="0" w:beforeAutospacing="0" w:after="0" w:afterAutospacing="0"/>
              <w:ind w:left="0" w:right="0"/>
              <w:jc w:val="center"/>
              <w:rPr>
                <w:rFonts w:hint="default" w:ascii="Times New Roman" w:hAnsi="Times New Roman"/>
                <w:color w:val="FF0000"/>
                <w:sz w:val="21"/>
                <w:szCs w:val="21"/>
                <w:highlight w:val="none"/>
              </w:rPr>
            </w:pPr>
          </w:p>
          <w:p w14:paraId="5FFD18E3">
            <w:pPr>
              <w:pStyle w:val="27"/>
              <w:keepNext w:val="0"/>
              <w:keepLines w:val="0"/>
              <w:suppressLineNumbers w:val="0"/>
              <w:adjustRightInd w:val="0"/>
              <w:snapToGrid w:val="0"/>
              <w:spacing w:before="0" w:beforeAutospacing="0" w:after="0" w:afterAutospacing="0"/>
              <w:ind w:left="0" w:right="0"/>
              <w:jc w:val="center"/>
              <w:rPr>
                <w:rFonts w:hint="default" w:ascii="Times New Roman" w:hAnsi="Times New Roman"/>
                <w:color w:val="FF0000"/>
                <w:sz w:val="21"/>
                <w:szCs w:val="21"/>
                <w:highlight w:val="none"/>
              </w:rPr>
            </w:pPr>
          </w:p>
        </w:tc>
        <w:tc>
          <w:tcPr>
            <w:tcW w:w="8518" w:type="dxa"/>
          </w:tcPr>
          <w:p w14:paraId="425A77A6">
            <w:pPr>
              <w:pStyle w:val="4"/>
              <w:pageBreakBefore w:val="0"/>
              <w:widowControl w:val="0"/>
              <w:suppressLineNumbers w:val="0"/>
              <w:kinsoku/>
              <w:wordWrap/>
              <w:overflowPunct/>
              <w:topLinePunct w:val="0"/>
              <w:autoSpaceDE/>
              <w:autoSpaceDN/>
              <w:bidi w:val="0"/>
              <w:snapToGrid w:val="0"/>
              <w:spacing w:before="0" w:beforeAutospacing="0" w:after="0" w:afterAutospacing="0" w:line="356" w:lineRule="auto"/>
              <w:ind w:left="0" w:right="0"/>
              <w:textAlignment w:val="auto"/>
              <w:rPr>
                <w:rFonts w:hint="default"/>
                <w:b w:val="0"/>
                <w:bCs w:val="0"/>
                <w:snapToGrid w:val="0"/>
                <w:sz w:val="24"/>
                <w:szCs w:val="24"/>
                <w:highlight w:val="none"/>
              </w:rPr>
            </w:pPr>
            <w:r>
              <w:rPr>
                <w:rFonts w:hint="default"/>
                <w:snapToGrid w:val="0"/>
                <w:sz w:val="24"/>
                <w:szCs w:val="24"/>
                <w:highlight w:val="none"/>
              </w:rPr>
              <w:t>1</w:t>
            </w:r>
            <w:r>
              <w:rPr>
                <w:rFonts w:hint="eastAsia"/>
                <w:snapToGrid w:val="0"/>
                <w:sz w:val="24"/>
                <w:szCs w:val="24"/>
                <w:highlight w:val="none"/>
              </w:rPr>
              <w:t>、环境影响评价分类</w:t>
            </w:r>
          </w:p>
          <w:p w14:paraId="3C95FEC6">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356" w:lineRule="auto"/>
              <w:ind w:left="0" w:right="0" w:firstLine="482" w:firstLineChars="200"/>
              <w:textAlignment w:val="auto"/>
              <w:rPr>
                <w:rFonts w:hint="default" w:ascii="Times New Roman" w:hAnsi="Times New Roman" w:eastAsia="宋体" w:cs="Times New Roman"/>
                <w:b/>
                <w:color w:val="000000"/>
                <w:kern w:val="0"/>
                <w:highlight w:val="none"/>
              </w:rPr>
            </w:pPr>
            <w:r>
              <w:rPr>
                <w:rFonts w:hint="eastAsia" w:ascii="Times New Roman" w:hAnsi="Times New Roman" w:eastAsia="宋体" w:cs="Times New Roman"/>
                <w:b/>
                <w:color w:val="000000"/>
                <w:kern w:val="0"/>
                <w:highlight w:val="none"/>
              </w:rPr>
              <w:t>（</w:t>
            </w:r>
            <w:r>
              <w:rPr>
                <w:rFonts w:hint="default" w:ascii="Times New Roman" w:hAnsi="Times New Roman" w:eastAsia="宋体" w:cs="Times New Roman"/>
                <w:b/>
                <w:color w:val="000000"/>
                <w:kern w:val="0"/>
                <w:highlight w:val="none"/>
              </w:rPr>
              <w:t>1</w:t>
            </w:r>
            <w:r>
              <w:rPr>
                <w:rFonts w:hint="eastAsia" w:ascii="Times New Roman" w:hAnsi="Times New Roman" w:eastAsia="宋体" w:cs="Times New Roman"/>
                <w:b/>
                <w:color w:val="000000"/>
                <w:kern w:val="0"/>
                <w:highlight w:val="none"/>
              </w:rPr>
              <w:t>）环评类别</w:t>
            </w:r>
          </w:p>
          <w:p w14:paraId="1C35401D">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356" w:lineRule="auto"/>
              <w:ind w:left="0" w:right="0" w:firstLine="480" w:firstLineChars="200"/>
              <w:textAlignment w:val="auto"/>
              <w:rPr>
                <w:rFonts w:hint="default"/>
                <w:kern w:val="0"/>
                <w:highlight w:val="none"/>
              </w:rPr>
            </w:pPr>
            <w:r>
              <w:rPr>
                <w:rFonts w:hint="eastAsia"/>
                <w:color w:val="000000"/>
                <w:kern w:val="0"/>
                <w:highlight w:val="none"/>
              </w:rPr>
              <w:t>对照《建设项目环境影响评价分类管理名录（</w:t>
            </w:r>
            <w:r>
              <w:rPr>
                <w:rFonts w:hint="default"/>
                <w:color w:val="000000"/>
                <w:kern w:val="0"/>
                <w:highlight w:val="none"/>
              </w:rPr>
              <w:t>2021</w:t>
            </w:r>
            <w:r>
              <w:rPr>
                <w:rFonts w:hint="eastAsia"/>
                <w:color w:val="000000"/>
                <w:kern w:val="0"/>
                <w:highlight w:val="none"/>
              </w:rPr>
              <w:t>）》</w:t>
            </w:r>
            <w:r>
              <w:rPr>
                <w:rFonts w:hint="eastAsia"/>
                <w:kern w:val="0"/>
                <w:highlight w:val="none"/>
              </w:rPr>
              <w:t>，项目具体分类详见表</w:t>
            </w:r>
            <w:r>
              <w:rPr>
                <w:rFonts w:hint="default"/>
                <w:kern w:val="0"/>
                <w:highlight w:val="none"/>
              </w:rPr>
              <w:t>2-1</w:t>
            </w:r>
            <w:r>
              <w:rPr>
                <w:rFonts w:hint="eastAsia"/>
                <w:kern w:val="0"/>
                <w:highlight w:val="none"/>
              </w:rPr>
              <w:t>。</w:t>
            </w:r>
          </w:p>
          <w:p w14:paraId="487C4D0B">
            <w:pPr>
              <w:keepNext w:val="0"/>
              <w:keepLines w:val="0"/>
              <w:suppressLineNumbers w:val="0"/>
              <w:adjustRightInd w:val="0"/>
              <w:snapToGrid w:val="0"/>
              <w:spacing w:before="0" w:beforeAutospacing="0" w:after="0" w:afterAutospacing="0" w:line="276" w:lineRule="auto"/>
              <w:ind w:left="0" w:right="0"/>
              <w:jc w:val="center"/>
              <w:rPr>
                <w:rFonts w:hint="default"/>
                <w:b/>
                <w:highlight w:val="none"/>
              </w:rPr>
            </w:pPr>
            <w:r>
              <w:rPr>
                <w:rFonts w:hint="eastAsia"/>
                <w:b/>
                <w:highlight w:val="none"/>
              </w:rPr>
              <w:t>表</w:t>
            </w:r>
            <w:r>
              <w:rPr>
                <w:rFonts w:hint="default"/>
                <w:b/>
                <w:highlight w:val="none"/>
              </w:rPr>
              <w:t xml:space="preserve">2-1  </w:t>
            </w:r>
            <w:r>
              <w:rPr>
                <w:rFonts w:hint="eastAsia"/>
                <w:b/>
                <w:highlight w:val="none"/>
              </w:rPr>
              <w:t>环境影响评价分类表</w:t>
            </w:r>
          </w:p>
          <w:tbl>
            <w:tblPr>
              <w:tblStyle w:val="32"/>
              <w:tblW w:w="8159"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564"/>
              <w:gridCol w:w="1953"/>
              <w:gridCol w:w="2195"/>
              <w:gridCol w:w="2369"/>
              <w:gridCol w:w="1078"/>
            </w:tblGrid>
            <w:tr w14:paraId="01B19BA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517" w:type="dxa"/>
                  <w:gridSpan w:val="2"/>
                  <w:tcBorders>
                    <w:top w:val="single" w:color="auto" w:sz="4" w:space="0"/>
                    <w:left w:val="single" w:color="auto" w:sz="4" w:space="0"/>
                    <w:bottom w:val="single" w:color="auto" w:sz="4" w:space="0"/>
                    <w:right w:val="single" w:color="auto" w:sz="4" w:space="0"/>
                    <w:tl2br w:val="single" w:color="auto" w:sz="4" w:space="0"/>
                  </w:tcBorders>
                  <w:vAlign w:val="center"/>
                </w:tcPr>
                <w:p w14:paraId="27CEE754">
                  <w:pPr>
                    <w:keepNext w:val="0"/>
                    <w:keepLines w:val="0"/>
                    <w:suppressLineNumbers w:val="0"/>
                    <w:adjustRightInd w:val="0"/>
                    <w:snapToGrid w:val="0"/>
                    <w:spacing w:before="0" w:beforeAutospacing="0" w:after="0" w:afterAutospacing="0" w:line="240" w:lineRule="auto"/>
                    <w:ind w:left="0" w:right="0"/>
                    <w:jc w:val="right"/>
                    <w:rPr>
                      <w:rFonts w:hint="default"/>
                      <w:color w:val="000000"/>
                      <w:sz w:val="21"/>
                      <w:szCs w:val="21"/>
                      <w:highlight w:val="none"/>
                    </w:rPr>
                  </w:pPr>
                  <w:r>
                    <w:rPr>
                      <w:rFonts w:hint="eastAsia"/>
                      <w:color w:val="000000"/>
                      <w:sz w:val="21"/>
                      <w:szCs w:val="21"/>
                      <w:highlight w:val="none"/>
                    </w:rPr>
                    <w:t>环评类别</w:t>
                  </w:r>
                </w:p>
                <w:p w14:paraId="10229AFE">
                  <w:pPr>
                    <w:keepNext w:val="0"/>
                    <w:keepLines w:val="0"/>
                    <w:suppressLineNumbers w:val="0"/>
                    <w:adjustRightInd w:val="0"/>
                    <w:snapToGrid w:val="0"/>
                    <w:spacing w:before="0" w:beforeAutospacing="0" w:after="0" w:afterAutospacing="0" w:line="240" w:lineRule="auto"/>
                    <w:ind w:left="0" w:right="0"/>
                    <w:rPr>
                      <w:rFonts w:hint="default"/>
                      <w:color w:val="000000"/>
                      <w:sz w:val="21"/>
                      <w:szCs w:val="21"/>
                      <w:highlight w:val="none"/>
                    </w:rPr>
                  </w:pPr>
                  <w:r>
                    <w:rPr>
                      <w:rFonts w:hint="eastAsia"/>
                      <w:color w:val="000000"/>
                      <w:sz w:val="21"/>
                      <w:szCs w:val="21"/>
                      <w:highlight w:val="none"/>
                    </w:rPr>
                    <w:t>项目类别</w:t>
                  </w:r>
                </w:p>
              </w:tc>
              <w:tc>
                <w:tcPr>
                  <w:tcW w:w="2195" w:type="dxa"/>
                  <w:tcBorders>
                    <w:top w:val="single" w:color="auto" w:sz="4" w:space="0"/>
                    <w:left w:val="single" w:color="auto" w:sz="4" w:space="0"/>
                    <w:bottom w:val="single" w:color="auto" w:sz="4" w:space="0"/>
                    <w:right w:val="single" w:color="auto" w:sz="4" w:space="0"/>
                  </w:tcBorders>
                  <w:vAlign w:val="center"/>
                </w:tcPr>
                <w:p w14:paraId="30200581">
                  <w:pPr>
                    <w:keepNext w:val="0"/>
                    <w:keepLines w:val="0"/>
                    <w:suppressLineNumbers w:val="0"/>
                    <w:adjustRightInd w:val="0"/>
                    <w:snapToGrid w:val="0"/>
                    <w:spacing w:before="0" w:beforeAutospacing="0" w:after="0" w:afterAutospacing="0" w:line="240" w:lineRule="auto"/>
                    <w:ind w:left="0" w:right="0"/>
                    <w:jc w:val="center"/>
                    <w:rPr>
                      <w:rFonts w:hint="default"/>
                      <w:color w:val="000000"/>
                      <w:sz w:val="21"/>
                      <w:szCs w:val="21"/>
                      <w:highlight w:val="none"/>
                    </w:rPr>
                  </w:pPr>
                  <w:r>
                    <w:rPr>
                      <w:rFonts w:hint="eastAsia"/>
                      <w:color w:val="000000"/>
                      <w:sz w:val="21"/>
                      <w:szCs w:val="21"/>
                      <w:highlight w:val="none"/>
                    </w:rPr>
                    <w:t>报告书</w:t>
                  </w:r>
                </w:p>
              </w:tc>
              <w:tc>
                <w:tcPr>
                  <w:tcW w:w="2369" w:type="dxa"/>
                  <w:tcBorders>
                    <w:top w:val="single" w:color="auto" w:sz="4" w:space="0"/>
                    <w:left w:val="single" w:color="auto" w:sz="4" w:space="0"/>
                    <w:bottom w:val="single" w:color="auto" w:sz="4" w:space="0"/>
                    <w:right w:val="single" w:color="auto" w:sz="4" w:space="0"/>
                  </w:tcBorders>
                  <w:vAlign w:val="center"/>
                </w:tcPr>
                <w:p w14:paraId="178CE9B7">
                  <w:pPr>
                    <w:keepNext w:val="0"/>
                    <w:keepLines w:val="0"/>
                    <w:suppressLineNumbers w:val="0"/>
                    <w:adjustRightInd w:val="0"/>
                    <w:snapToGrid w:val="0"/>
                    <w:spacing w:before="0" w:beforeAutospacing="0" w:after="0" w:afterAutospacing="0" w:line="240" w:lineRule="auto"/>
                    <w:ind w:left="0" w:right="0"/>
                    <w:jc w:val="center"/>
                    <w:rPr>
                      <w:rFonts w:hint="default"/>
                      <w:color w:val="000000"/>
                      <w:sz w:val="21"/>
                      <w:szCs w:val="21"/>
                      <w:highlight w:val="none"/>
                    </w:rPr>
                  </w:pPr>
                  <w:r>
                    <w:rPr>
                      <w:rFonts w:hint="eastAsia"/>
                      <w:color w:val="000000"/>
                      <w:sz w:val="21"/>
                      <w:szCs w:val="21"/>
                      <w:highlight w:val="none"/>
                    </w:rPr>
                    <w:t>报告表</w:t>
                  </w:r>
                </w:p>
              </w:tc>
              <w:tc>
                <w:tcPr>
                  <w:tcW w:w="1078" w:type="dxa"/>
                  <w:tcBorders>
                    <w:top w:val="single" w:color="auto" w:sz="4" w:space="0"/>
                    <w:left w:val="single" w:color="auto" w:sz="4" w:space="0"/>
                    <w:bottom w:val="single" w:color="auto" w:sz="4" w:space="0"/>
                    <w:right w:val="single" w:color="auto" w:sz="4" w:space="0"/>
                  </w:tcBorders>
                  <w:vAlign w:val="center"/>
                </w:tcPr>
                <w:p w14:paraId="57BF5F73">
                  <w:pPr>
                    <w:keepNext w:val="0"/>
                    <w:keepLines w:val="0"/>
                    <w:suppressLineNumbers w:val="0"/>
                    <w:adjustRightInd w:val="0"/>
                    <w:snapToGrid w:val="0"/>
                    <w:spacing w:before="0" w:beforeAutospacing="0" w:after="0" w:afterAutospacing="0" w:line="240" w:lineRule="auto"/>
                    <w:ind w:left="0" w:right="0"/>
                    <w:jc w:val="center"/>
                    <w:rPr>
                      <w:rFonts w:hint="default"/>
                      <w:color w:val="000000"/>
                      <w:sz w:val="21"/>
                      <w:szCs w:val="21"/>
                      <w:highlight w:val="none"/>
                    </w:rPr>
                  </w:pPr>
                  <w:r>
                    <w:rPr>
                      <w:rFonts w:hint="eastAsia"/>
                      <w:color w:val="000000"/>
                      <w:sz w:val="21"/>
                      <w:szCs w:val="21"/>
                      <w:highlight w:val="none"/>
                    </w:rPr>
                    <w:t>登记表</w:t>
                  </w:r>
                </w:p>
              </w:tc>
            </w:tr>
            <w:tr w14:paraId="0431187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159" w:type="dxa"/>
                  <w:gridSpan w:val="5"/>
                  <w:tcBorders>
                    <w:top w:val="single" w:color="auto" w:sz="4" w:space="0"/>
                    <w:left w:val="single" w:color="auto" w:sz="4" w:space="0"/>
                    <w:bottom w:val="single" w:color="auto" w:sz="4" w:space="0"/>
                    <w:right w:val="single" w:color="auto" w:sz="4" w:space="0"/>
                  </w:tcBorders>
                  <w:vAlign w:val="center"/>
                </w:tcPr>
                <w:p w14:paraId="326C230E">
                  <w:pPr>
                    <w:keepNext w:val="0"/>
                    <w:keepLines w:val="0"/>
                    <w:widowControl/>
                    <w:suppressLineNumbers w:val="0"/>
                    <w:adjustRightInd w:val="0"/>
                    <w:snapToGrid w:val="0"/>
                    <w:spacing w:before="0" w:beforeAutospacing="0" w:after="0" w:afterAutospacing="0" w:line="240" w:lineRule="auto"/>
                    <w:ind w:left="0" w:right="0"/>
                    <w:jc w:val="left"/>
                    <w:rPr>
                      <w:rFonts w:hint="default"/>
                      <w:color w:val="000000"/>
                      <w:kern w:val="0"/>
                      <w:sz w:val="21"/>
                      <w:szCs w:val="21"/>
                      <w:highlight w:val="none"/>
                    </w:rPr>
                  </w:pPr>
                  <w:r>
                    <w:rPr>
                      <w:rFonts w:hint="eastAsia"/>
                      <w:color w:val="000000"/>
                      <w:kern w:val="0"/>
                      <w:sz w:val="21"/>
                      <w:szCs w:val="21"/>
                      <w:highlight w:val="none"/>
                    </w:rPr>
                    <w:t>四十五、研究和试验发展</w:t>
                  </w:r>
                </w:p>
              </w:tc>
            </w:tr>
            <w:tr w14:paraId="01B8E9E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564" w:type="dxa"/>
                  <w:tcBorders>
                    <w:top w:val="single" w:color="auto" w:sz="4" w:space="0"/>
                    <w:left w:val="single" w:color="auto" w:sz="4" w:space="0"/>
                    <w:bottom w:val="single" w:color="auto" w:sz="4" w:space="0"/>
                    <w:right w:val="single" w:color="auto" w:sz="4" w:space="0"/>
                  </w:tcBorders>
                  <w:vAlign w:val="center"/>
                </w:tcPr>
                <w:p w14:paraId="0D92E8A8">
                  <w:pPr>
                    <w:keepNext w:val="0"/>
                    <w:keepLines w:val="0"/>
                    <w:widowControl/>
                    <w:suppressLineNumbers w:val="0"/>
                    <w:adjustRightInd w:val="0"/>
                    <w:snapToGrid w:val="0"/>
                    <w:spacing w:before="0" w:beforeAutospacing="0" w:after="0" w:afterAutospacing="0" w:line="240" w:lineRule="auto"/>
                    <w:ind w:left="0" w:right="0"/>
                    <w:jc w:val="center"/>
                    <w:rPr>
                      <w:rFonts w:hint="default"/>
                      <w:color w:val="000000"/>
                      <w:kern w:val="0"/>
                      <w:sz w:val="21"/>
                      <w:szCs w:val="21"/>
                      <w:highlight w:val="none"/>
                    </w:rPr>
                  </w:pPr>
                  <w:r>
                    <w:rPr>
                      <w:rFonts w:hint="eastAsia"/>
                      <w:color w:val="000000"/>
                      <w:kern w:val="0"/>
                      <w:sz w:val="21"/>
                      <w:szCs w:val="21"/>
                      <w:highlight w:val="none"/>
                    </w:rPr>
                    <w:t>98</w:t>
                  </w:r>
                </w:p>
              </w:tc>
              <w:tc>
                <w:tcPr>
                  <w:tcW w:w="1953" w:type="dxa"/>
                  <w:tcBorders>
                    <w:top w:val="single" w:color="auto" w:sz="4" w:space="0"/>
                    <w:left w:val="single" w:color="auto" w:sz="4" w:space="0"/>
                    <w:bottom w:val="single" w:color="auto" w:sz="4" w:space="0"/>
                    <w:right w:val="single" w:color="auto" w:sz="4" w:space="0"/>
                  </w:tcBorders>
                  <w:vAlign w:val="center"/>
                </w:tcPr>
                <w:p w14:paraId="46869EAB">
                  <w:pPr>
                    <w:keepNext w:val="0"/>
                    <w:keepLines w:val="0"/>
                    <w:widowControl/>
                    <w:suppressLineNumbers w:val="0"/>
                    <w:adjustRightInd w:val="0"/>
                    <w:snapToGrid w:val="0"/>
                    <w:spacing w:before="0" w:beforeAutospacing="0" w:after="0" w:afterAutospacing="0" w:line="240" w:lineRule="auto"/>
                    <w:ind w:left="0" w:right="0"/>
                    <w:rPr>
                      <w:rFonts w:hint="default"/>
                      <w:color w:val="000000"/>
                      <w:kern w:val="0"/>
                      <w:sz w:val="21"/>
                      <w:szCs w:val="21"/>
                      <w:highlight w:val="none"/>
                    </w:rPr>
                  </w:pPr>
                  <w:r>
                    <w:rPr>
                      <w:rFonts w:hint="eastAsia"/>
                      <w:color w:val="000000"/>
                      <w:kern w:val="0"/>
                      <w:sz w:val="21"/>
                      <w:szCs w:val="21"/>
                      <w:highlight w:val="none"/>
                    </w:rPr>
                    <w:t>专业实验室、研发（试验）基地</w:t>
                  </w:r>
                </w:p>
              </w:tc>
              <w:tc>
                <w:tcPr>
                  <w:tcW w:w="2195" w:type="dxa"/>
                  <w:tcBorders>
                    <w:top w:val="single" w:color="auto" w:sz="4" w:space="0"/>
                    <w:left w:val="single" w:color="auto" w:sz="4" w:space="0"/>
                    <w:bottom w:val="single" w:color="auto" w:sz="4" w:space="0"/>
                    <w:right w:val="single" w:color="auto" w:sz="4" w:space="0"/>
                  </w:tcBorders>
                  <w:vAlign w:val="center"/>
                </w:tcPr>
                <w:p w14:paraId="54A00BF6">
                  <w:pPr>
                    <w:keepNext w:val="0"/>
                    <w:keepLines w:val="0"/>
                    <w:widowControl/>
                    <w:suppressLineNumbers w:val="0"/>
                    <w:adjustRightInd w:val="0"/>
                    <w:snapToGrid w:val="0"/>
                    <w:spacing w:before="0" w:beforeAutospacing="0" w:after="0" w:afterAutospacing="0" w:line="240" w:lineRule="auto"/>
                    <w:ind w:left="0" w:right="0"/>
                    <w:rPr>
                      <w:rFonts w:hint="default"/>
                      <w:color w:val="000000"/>
                      <w:kern w:val="0"/>
                      <w:sz w:val="21"/>
                      <w:szCs w:val="21"/>
                      <w:highlight w:val="none"/>
                    </w:rPr>
                  </w:pPr>
                  <w:r>
                    <w:rPr>
                      <w:rFonts w:hint="eastAsia"/>
                      <w:color w:val="000000"/>
                      <w:kern w:val="0"/>
                      <w:sz w:val="21"/>
                      <w:szCs w:val="21"/>
                      <w:highlight w:val="none"/>
                    </w:rPr>
                    <w:t>P3、P4生物安全实验室；转基因实验室</w:t>
                  </w:r>
                </w:p>
              </w:tc>
              <w:tc>
                <w:tcPr>
                  <w:tcW w:w="2369" w:type="dxa"/>
                  <w:tcBorders>
                    <w:top w:val="single" w:color="auto" w:sz="4" w:space="0"/>
                    <w:left w:val="single" w:color="auto" w:sz="4" w:space="0"/>
                    <w:bottom w:val="single" w:color="auto" w:sz="4" w:space="0"/>
                    <w:right w:val="single" w:color="auto" w:sz="4" w:space="0"/>
                  </w:tcBorders>
                  <w:vAlign w:val="center"/>
                </w:tcPr>
                <w:p w14:paraId="4DA64944">
                  <w:pPr>
                    <w:keepNext w:val="0"/>
                    <w:keepLines w:val="0"/>
                    <w:widowControl/>
                    <w:suppressLineNumbers w:val="0"/>
                    <w:adjustRightInd w:val="0"/>
                    <w:snapToGrid w:val="0"/>
                    <w:spacing w:before="0" w:beforeAutospacing="0" w:after="0" w:afterAutospacing="0" w:line="240" w:lineRule="auto"/>
                    <w:ind w:left="0" w:right="0"/>
                    <w:rPr>
                      <w:rFonts w:hint="default"/>
                      <w:color w:val="000000"/>
                      <w:kern w:val="0"/>
                      <w:sz w:val="21"/>
                      <w:szCs w:val="21"/>
                      <w:highlight w:val="none"/>
                    </w:rPr>
                  </w:pPr>
                  <w:r>
                    <w:rPr>
                      <w:rFonts w:hint="eastAsia"/>
                      <w:color w:val="000000"/>
                      <w:kern w:val="0"/>
                      <w:sz w:val="21"/>
                      <w:szCs w:val="21"/>
                      <w:highlight w:val="none"/>
                    </w:rPr>
                    <w:t>其他（不产生实验废气、废水、危险废物的除外）</w:t>
                  </w:r>
                </w:p>
              </w:tc>
              <w:tc>
                <w:tcPr>
                  <w:tcW w:w="1078" w:type="dxa"/>
                  <w:tcBorders>
                    <w:top w:val="single" w:color="auto" w:sz="4" w:space="0"/>
                    <w:left w:val="single" w:color="auto" w:sz="4" w:space="0"/>
                    <w:bottom w:val="single" w:color="auto" w:sz="4" w:space="0"/>
                    <w:right w:val="single" w:color="auto" w:sz="4" w:space="0"/>
                  </w:tcBorders>
                  <w:vAlign w:val="center"/>
                </w:tcPr>
                <w:p w14:paraId="641D5544">
                  <w:pPr>
                    <w:keepNext w:val="0"/>
                    <w:keepLines w:val="0"/>
                    <w:widowControl/>
                    <w:suppressLineNumbers w:val="0"/>
                    <w:adjustRightInd w:val="0"/>
                    <w:snapToGrid w:val="0"/>
                    <w:spacing w:before="0" w:beforeAutospacing="0" w:after="0" w:afterAutospacing="0" w:line="240" w:lineRule="auto"/>
                    <w:ind w:left="0" w:right="0"/>
                    <w:jc w:val="center"/>
                    <w:rPr>
                      <w:rFonts w:hint="default"/>
                      <w:color w:val="000000"/>
                      <w:kern w:val="0"/>
                      <w:sz w:val="21"/>
                      <w:szCs w:val="21"/>
                      <w:highlight w:val="none"/>
                    </w:rPr>
                  </w:pPr>
                  <w:r>
                    <w:rPr>
                      <w:rFonts w:hint="default"/>
                      <w:color w:val="000000"/>
                      <w:sz w:val="21"/>
                      <w:szCs w:val="21"/>
                      <w:highlight w:val="none"/>
                    </w:rPr>
                    <w:t>/</w:t>
                  </w:r>
                </w:p>
              </w:tc>
            </w:tr>
          </w:tbl>
          <w:p w14:paraId="6E0157BF">
            <w:pPr>
              <w:keepNext w:val="0"/>
              <w:keepLines w:val="0"/>
              <w:pageBreakBefore w:val="0"/>
              <w:widowControl w:val="0"/>
              <w:suppressLineNumbers w:val="0"/>
              <w:kinsoku/>
              <w:wordWrap/>
              <w:overflowPunct/>
              <w:topLinePunct w:val="0"/>
              <w:autoSpaceDE/>
              <w:autoSpaceDN/>
              <w:bidi w:val="0"/>
              <w:adjustRightInd w:val="0"/>
              <w:snapToGrid w:val="0"/>
              <w:spacing w:before="60" w:beforeAutospacing="0" w:after="0" w:afterAutospacing="0" w:line="351" w:lineRule="auto"/>
              <w:ind w:left="0" w:right="0" w:firstLine="480" w:firstLineChars="200"/>
              <w:textAlignment w:val="auto"/>
              <w:rPr>
                <w:rFonts w:hint="default"/>
                <w:snapToGrid w:val="0"/>
                <w:color w:val="000000"/>
                <w:highlight w:val="none"/>
              </w:rPr>
            </w:pPr>
            <w:r>
              <w:rPr>
                <w:rStyle w:val="39"/>
                <w:rFonts w:hint="eastAsia"/>
                <w:sz w:val="24"/>
                <w:highlight w:val="none"/>
              </w:rPr>
              <w:t>经对照，本项目实施过程中不涉及P3、P4生物安全实验室和转基因实验室，属于其他类，应编制报告表。</w:t>
            </w:r>
            <w:r>
              <w:rPr>
                <w:rStyle w:val="39"/>
                <w:rFonts w:hint="eastAsia"/>
                <w:sz w:val="24"/>
                <w:highlight w:val="none"/>
                <w:lang w:eastAsia="zh-CN"/>
              </w:rPr>
              <w:t>浙江和澄环境科技有限公司</w:t>
            </w:r>
            <w:r>
              <w:rPr>
                <w:rFonts w:hint="eastAsia"/>
                <w:snapToGrid w:val="0"/>
                <w:color w:val="000000"/>
                <w:highlight w:val="none"/>
              </w:rPr>
              <w:t>受建设单位的委托，承担本项目的环境影响评价工作，在现场踏勘、基础资料收集的基础上，编制了项目环境影响报告表，以作为管理部门决策和管理的参考。</w:t>
            </w:r>
          </w:p>
          <w:p w14:paraId="0BA79501">
            <w:pPr>
              <w:pStyle w:val="9"/>
              <w:keepNext w:val="0"/>
              <w:keepLines w:val="0"/>
              <w:pageBreakBefore w:val="0"/>
              <w:suppressLineNumbers w:val="0"/>
              <w:kinsoku/>
              <w:wordWrap/>
              <w:overflowPunct/>
              <w:topLinePunct w:val="0"/>
              <w:autoSpaceDE/>
              <w:autoSpaceDN/>
              <w:bidi w:val="0"/>
              <w:adjustRightInd w:val="0"/>
              <w:snapToGrid w:val="0"/>
              <w:spacing w:before="0" w:beforeAutospacing="0" w:after="0" w:afterAutospacing="0" w:line="351" w:lineRule="auto"/>
              <w:ind w:left="0" w:right="0" w:firstLine="480"/>
              <w:textAlignment w:val="auto"/>
              <w:rPr>
                <w:rFonts w:hint="default" w:ascii="Times New Roman" w:hAnsi="Times New Roman" w:eastAsia="宋体" w:cs="Times New Roman"/>
                <w:b/>
                <w:szCs w:val="24"/>
                <w:highlight w:val="none"/>
                <w:lang w:val="zh-CN"/>
              </w:rPr>
            </w:pPr>
            <w:r>
              <w:rPr>
                <w:rFonts w:hint="eastAsia" w:ascii="Times New Roman" w:hAnsi="Times New Roman" w:eastAsia="宋体" w:cs="Times New Roman"/>
                <w:b/>
                <w:szCs w:val="24"/>
                <w:highlight w:val="none"/>
                <w:lang w:val="zh-CN"/>
              </w:rPr>
              <w:t>（</w:t>
            </w:r>
            <w:r>
              <w:rPr>
                <w:rFonts w:hint="default" w:ascii="Times New Roman" w:hAnsi="Times New Roman" w:eastAsia="宋体" w:cs="Times New Roman"/>
                <w:b/>
                <w:szCs w:val="24"/>
                <w:highlight w:val="none"/>
                <w:lang w:val="zh-CN"/>
              </w:rPr>
              <w:t>2</w:t>
            </w:r>
            <w:r>
              <w:rPr>
                <w:rFonts w:hint="eastAsia" w:ascii="Times New Roman" w:hAnsi="Times New Roman" w:eastAsia="宋体" w:cs="Times New Roman"/>
                <w:b/>
                <w:szCs w:val="24"/>
                <w:highlight w:val="none"/>
                <w:lang w:val="zh-CN"/>
              </w:rPr>
              <w:t>）排污许可</w:t>
            </w:r>
            <w:bookmarkStart w:id="38" w:name="_GoBack"/>
            <w:bookmarkEnd w:id="38"/>
            <w:r>
              <w:rPr>
                <w:rFonts w:hint="eastAsia" w:ascii="Times New Roman" w:hAnsi="Times New Roman" w:eastAsia="宋体" w:cs="Times New Roman"/>
                <w:b/>
                <w:szCs w:val="24"/>
                <w:highlight w:val="none"/>
                <w:lang w:val="zh-CN"/>
              </w:rPr>
              <w:t>类别</w:t>
            </w:r>
          </w:p>
          <w:p w14:paraId="25883AF7">
            <w:pPr>
              <w:pStyle w:val="9"/>
              <w:keepNext w:val="0"/>
              <w:keepLines w:val="0"/>
              <w:pageBreakBefore w:val="0"/>
              <w:suppressLineNumbers w:val="0"/>
              <w:kinsoku/>
              <w:wordWrap/>
              <w:overflowPunct/>
              <w:topLinePunct w:val="0"/>
              <w:autoSpaceDE/>
              <w:autoSpaceDN/>
              <w:bidi w:val="0"/>
              <w:adjustRightInd w:val="0"/>
              <w:snapToGrid w:val="0"/>
              <w:spacing w:before="0" w:beforeAutospacing="0" w:after="0" w:afterAutospacing="0" w:line="351" w:lineRule="auto"/>
              <w:ind w:left="0" w:right="0" w:firstLine="480"/>
              <w:textAlignment w:val="auto"/>
              <w:rPr>
                <w:rFonts w:hint="default" w:ascii="Times New Roman" w:hAnsi="Times New Roman" w:eastAsia="宋体" w:cs="Times New Roman"/>
                <w:b/>
                <w:highlight w:val="none"/>
              </w:rPr>
            </w:pPr>
            <w:r>
              <w:rPr>
                <w:rFonts w:hint="eastAsia" w:ascii="Times New Roman" w:hAnsi="Times New Roman" w:eastAsia="宋体" w:cs="Times New Roman"/>
                <w:szCs w:val="24"/>
                <w:highlight w:val="none"/>
                <w:lang w:val="zh-CN"/>
              </w:rPr>
              <w:t>本项目属于专业实验室、研发（试验）基地，对照《固定污染源排污许可分类管理名录》（</w:t>
            </w:r>
            <w:r>
              <w:rPr>
                <w:rFonts w:hint="default" w:ascii="Times New Roman" w:hAnsi="Times New Roman" w:eastAsia="宋体" w:cs="Times New Roman"/>
                <w:szCs w:val="24"/>
                <w:highlight w:val="none"/>
                <w:lang w:val="zh-CN"/>
              </w:rPr>
              <w:t>2019</w:t>
            </w:r>
            <w:r>
              <w:rPr>
                <w:rFonts w:hint="eastAsia" w:ascii="Times New Roman" w:hAnsi="Times New Roman" w:eastAsia="宋体" w:cs="Times New Roman"/>
                <w:szCs w:val="24"/>
                <w:highlight w:val="none"/>
                <w:lang w:val="zh-CN"/>
              </w:rPr>
              <w:t>年版），</w:t>
            </w:r>
            <w:r>
              <w:rPr>
                <w:rFonts w:hint="eastAsia" w:ascii="Times New Roman" w:hAnsi="Times New Roman" w:eastAsia="宋体" w:cs="Times New Roman"/>
                <w:szCs w:val="24"/>
                <w:highlight w:val="none"/>
                <w:lang w:val="en-US" w:eastAsia="zh-CN"/>
              </w:rPr>
              <w:t>项目不在名录中，故无需申领排污许可证</w:t>
            </w:r>
            <w:r>
              <w:rPr>
                <w:rFonts w:hint="eastAsia" w:ascii="Times New Roman" w:hAnsi="Times New Roman" w:eastAsia="宋体" w:cs="Times New Roman"/>
                <w:szCs w:val="24"/>
                <w:highlight w:val="none"/>
                <w:lang w:val="zh-CN"/>
              </w:rPr>
              <w:t>。</w:t>
            </w:r>
          </w:p>
          <w:p w14:paraId="4795E983">
            <w:pPr>
              <w:pStyle w:val="4"/>
              <w:pageBreakBefore w:val="0"/>
              <w:suppressLineNumbers w:val="0"/>
              <w:kinsoku/>
              <w:wordWrap/>
              <w:overflowPunct/>
              <w:topLinePunct w:val="0"/>
              <w:autoSpaceDE/>
              <w:autoSpaceDN/>
              <w:bidi w:val="0"/>
              <w:snapToGrid w:val="0"/>
              <w:spacing w:before="0" w:beforeAutospacing="0" w:after="0" w:afterAutospacing="0" w:line="351" w:lineRule="auto"/>
              <w:ind w:left="0" w:right="0"/>
              <w:textAlignment w:val="auto"/>
              <w:rPr>
                <w:rFonts w:hint="default"/>
                <w:b w:val="0"/>
                <w:bCs w:val="0"/>
                <w:snapToGrid w:val="0"/>
                <w:sz w:val="24"/>
                <w:szCs w:val="24"/>
                <w:highlight w:val="none"/>
              </w:rPr>
            </w:pPr>
            <w:r>
              <w:rPr>
                <w:rFonts w:hint="default"/>
                <w:snapToGrid w:val="0"/>
                <w:sz w:val="24"/>
                <w:szCs w:val="24"/>
                <w:highlight w:val="none"/>
              </w:rPr>
              <w:t>2</w:t>
            </w:r>
            <w:r>
              <w:rPr>
                <w:rFonts w:hint="eastAsia"/>
                <w:snapToGrid w:val="0"/>
                <w:sz w:val="24"/>
                <w:szCs w:val="24"/>
                <w:highlight w:val="none"/>
              </w:rPr>
              <w:t>、建设规模</w:t>
            </w:r>
          </w:p>
          <w:p w14:paraId="7829971E">
            <w:pPr>
              <w:keepNext w:val="0"/>
              <w:keepLines w:val="0"/>
              <w:pageBreakBefore w:val="0"/>
              <w:widowControl/>
              <w:suppressLineNumbers w:val="0"/>
              <w:kinsoku/>
              <w:wordWrap/>
              <w:overflowPunct/>
              <w:topLinePunct w:val="0"/>
              <w:autoSpaceDE/>
              <w:autoSpaceDN/>
              <w:bidi w:val="0"/>
              <w:spacing w:before="0" w:beforeAutospacing="0" w:after="0" w:afterAutospacing="0" w:line="351" w:lineRule="auto"/>
              <w:ind w:left="0" w:right="0" w:firstLine="480" w:firstLineChars="200"/>
              <w:textAlignment w:val="auto"/>
              <w:rPr>
                <w:rFonts w:hint="default"/>
                <w:color w:val="auto"/>
                <w:kern w:val="0"/>
                <w:highlight w:val="none"/>
              </w:rPr>
            </w:pPr>
            <w:r>
              <w:rPr>
                <w:rFonts w:hint="eastAsia"/>
                <w:color w:val="auto"/>
                <w:highlight w:val="none"/>
              </w:rPr>
              <w:t>项目</w:t>
            </w:r>
            <w:r>
              <w:rPr>
                <w:rFonts w:hint="eastAsia"/>
                <w:color w:val="auto"/>
                <w:highlight w:val="none"/>
                <w:lang w:val="en-US" w:eastAsia="zh-CN"/>
              </w:rPr>
              <w:t>位于衢州市高铁新城闽江大道以南、龙游路以西、常山港以北，用地面积26666平方米，总建筑面积约60860平方米，总投资为57585.688万元，建设内容主要包括科创综合楼、实验动物中心、人才宿舍楼、地下室、室外景观配套等</w:t>
            </w:r>
            <w:r>
              <w:rPr>
                <w:rFonts w:hint="eastAsia"/>
                <w:color w:val="auto"/>
                <w:highlight w:val="none"/>
              </w:rPr>
              <w:t>。</w:t>
            </w:r>
          </w:p>
          <w:p w14:paraId="5761FEB3">
            <w:pPr>
              <w:pStyle w:val="7"/>
              <w:keepNext w:val="0"/>
              <w:keepLines w:val="0"/>
              <w:pageBreakBefore w:val="0"/>
              <w:numPr>
                <w:ilvl w:val="0"/>
                <w:numId w:val="1"/>
              </w:numPr>
              <w:suppressLineNumbers w:val="0"/>
              <w:kinsoku/>
              <w:wordWrap/>
              <w:overflowPunct/>
              <w:topLinePunct w:val="0"/>
              <w:autoSpaceDE/>
              <w:autoSpaceDN/>
              <w:bidi w:val="0"/>
              <w:adjustRightInd w:val="0"/>
              <w:snapToGrid w:val="0"/>
              <w:spacing w:before="0" w:beforeAutospacing="0" w:after="0" w:afterAutospacing="0" w:line="351" w:lineRule="auto"/>
              <w:ind w:left="0" w:leftChars="0" w:right="0" w:firstLine="0" w:firstLineChars="0"/>
              <w:textAlignment w:val="auto"/>
              <w:rPr>
                <w:rFonts w:hint="eastAsia"/>
                <w:b/>
                <w:snapToGrid w:val="0"/>
                <w:sz w:val="24"/>
                <w:szCs w:val="24"/>
                <w:highlight w:val="none"/>
                <w:lang w:val="zh-CN"/>
              </w:rPr>
            </w:pPr>
            <w:r>
              <w:rPr>
                <w:rFonts w:hint="eastAsia"/>
                <w:b/>
                <w:snapToGrid w:val="0"/>
                <w:sz w:val="24"/>
                <w:szCs w:val="24"/>
                <w:highlight w:val="none"/>
                <w:lang w:val="zh-CN"/>
              </w:rPr>
              <w:t>产品方案</w:t>
            </w:r>
          </w:p>
          <w:p w14:paraId="12093707">
            <w:pPr>
              <w:keepNext w:val="0"/>
              <w:keepLines w:val="0"/>
              <w:numPr>
                <w:ilvl w:val="0"/>
                <w:numId w:val="0"/>
              </w:numPr>
              <w:suppressLineNumbers w:val="0"/>
              <w:spacing w:before="0" w:beforeAutospacing="0" w:after="0" w:afterAutospacing="0" w:line="360" w:lineRule="auto"/>
              <w:ind w:left="0" w:leftChars="0" w:right="0" w:firstLine="480" w:firstLineChars="200"/>
              <w:rPr>
                <w:rFonts w:hint="eastAsia"/>
                <w:highlight w:val="none"/>
                <w:lang w:val="en-US" w:eastAsia="zh-CN"/>
              </w:rPr>
            </w:pPr>
            <w:r>
              <w:rPr>
                <w:rFonts w:hint="eastAsia"/>
                <w:highlight w:val="none"/>
                <w:lang w:val="en-US" w:eastAsia="zh-CN"/>
              </w:rPr>
              <w:t>本项目实验规模详见下表2-2。</w:t>
            </w:r>
          </w:p>
          <w:p w14:paraId="67F1276B">
            <w:pPr>
              <w:keepNext w:val="0"/>
              <w:keepLines w:val="0"/>
              <w:suppressLineNumbers w:val="0"/>
              <w:adjustRightInd w:val="0"/>
              <w:snapToGrid w:val="0"/>
              <w:spacing w:before="0" w:beforeAutospacing="0" w:after="0" w:afterAutospacing="0" w:line="360" w:lineRule="auto"/>
              <w:ind w:left="0" w:right="0"/>
              <w:jc w:val="center"/>
              <w:rPr>
                <w:rFonts w:hint="default"/>
                <w:b/>
                <w:highlight w:val="none"/>
              </w:rPr>
            </w:pPr>
            <w:r>
              <w:rPr>
                <w:rFonts w:hint="eastAsia"/>
                <w:b/>
                <w:highlight w:val="none"/>
              </w:rPr>
              <w:t>表</w:t>
            </w:r>
            <w:r>
              <w:rPr>
                <w:rFonts w:hint="default"/>
                <w:b/>
                <w:highlight w:val="none"/>
              </w:rPr>
              <w:t>2-</w:t>
            </w:r>
            <w:r>
              <w:rPr>
                <w:rFonts w:hint="eastAsia"/>
                <w:b/>
                <w:highlight w:val="none"/>
                <w:lang w:val="en-US" w:eastAsia="zh-CN"/>
              </w:rPr>
              <w:t>2</w:t>
            </w:r>
            <w:r>
              <w:rPr>
                <w:rFonts w:hint="default"/>
                <w:b/>
                <w:highlight w:val="none"/>
              </w:rPr>
              <w:t xml:space="preserve">  </w:t>
            </w:r>
            <w:r>
              <w:rPr>
                <w:rFonts w:hint="eastAsia"/>
                <w:b/>
                <w:highlight w:val="none"/>
                <w:lang w:val="en-US" w:eastAsia="zh-CN"/>
              </w:rPr>
              <w:t>项目实验规模一览</w:t>
            </w:r>
            <w:r>
              <w:rPr>
                <w:rFonts w:hint="eastAsia"/>
                <w:b/>
                <w:highlight w:val="none"/>
              </w:rPr>
              <w:t>表</w:t>
            </w:r>
          </w:p>
          <w:tbl>
            <w:tblPr>
              <w:tblStyle w:val="33"/>
              <w:tblW w:w="4998"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28" w:type="dxa"/>
                <w:bottom w:w="0" w:type="dxa"/>
                <w:right w:w="28" w:type="dxa"/>
              </w:tblCellMar>
            </w:tblPr>
            <w:tblGrid>
              <w:gridCol w:w="551"/>
              <w:gridCol w:w="1670"/>
              <w:gridCol w:w="1185"/>
              <w:gridCol w:w="744"/>
              <w:gridCol w:w="744"/>
              <w:gridCol w:w="745"/>
              <w:gridCol w:w="700"/>
              <w:gridCol w:w="700"/>
              <w:gridCol w:w="700"/>
              <w:gridCol w:w="708"/>
            </w:tblGrid>
            <w:tr w14:paraId="3D9225E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0" w:hRule="atLeast"/>
              </w:trPr>
              <w:tc>
                <w:tcPr>
                  <w:tcW w:w="327" w:type="pct"/>
                  <w:vMerge w:val="restart"/>
                  <w:vAlign w:val="center"/>
                </w:tcPr>
                <w:p w14:paraId="28DA0BAB">
                  <w:pPr>
                    <w:keepNext w:val="0"/>
                    <w:keepLines w:val="0"/>
                    <w:pageBreakBefore w:val="0"/>
                    <w:widowControl w:val="0"/>
                    <w:numPr>
                      <w:ilvl w:val="0"/>
                      <w:numId w:val="0"/>
                    </w:numPr>
                    <w:suppressLineNumbers w:val="0"/>
                    <w:kinsoku/>
                    <w:wordWrap/>
                    <w:overflowPunct/>
                    <w:topLinePunct w:val="0"/>
                    <w:autoSpaceDE/>
                    <w:autoSpaceDN/>
                    <w:bidi w:val="0"/>
                    <w:adjustRightInd/>
                    <w:snapToGrid/>
                    <w:spacing w:before="0" w:beforeAutospacing="0" w:after="0" w:afterAutospacing="0" w:line="276" w:lineRule="auto"/>
                    <w:ind w:left="0" w:right="0"/>
                    <w:jc w:val="center"/>
                    <w:textAlignment w:val="auto"/>
                    <w:rPr>
                      <w:rFonts w:hint="default"/>
                      <w:sz w:val="21"/>
                      <w:szCs w:val="21"/>
                      <w:highlight w:val="none"/>
                      <w:vertAlign w:val="baseline"/>
                      <w:lang w:val="en-US" w:eastAsia="zh-CN"/>
                    </w:rPr>
                  </w:pPr>
                  <w:r>
                    <w:rPr>
                      <w:rFonts w:hint="eastAsia"/>
                      <w:sz w:val="21"/>
                      <w:szCs w:val="21"/>
                      <w:highlight w:val="none"/>
                      <w:vertAlign w:val="baseline"/>
                      <w:lang w:val="en-US" w:eastAsia="zh-CN"/>
                    </w:rPr>
                    <w:t>序号</w:t>
                  </w:r>
                </w:p>
              </w:tc>
              <w:tc>
                <w:tcPr>
                  <w:tcW w:w="988" w:type="pct"/>
                  <w:vMerge w:val="restart"/>
                  <w:vAlign w:val="center"/>
                </w:tcPr>
                <w:p w14:paraId="0596EA62">
                  <w:pPr>
                    <w:keepNext w:val="0"/>
                    <w:keepLines w:val="0"/>
                    <w:pageBreakBefore w:val="0"/>
                    <w:widowControl w:val="0"/>
                    <w:numPr>
                      <w:ilvl w:val="0"/>
                      <w:numId w:val="0"/>
                    </w:numPr>
                    <w:suppressLineNumbers w:val="0"/>
                    <w:kinsoku/>
                    <w:wordWrap/>
                    <w:overflowPunct/>
                    <w:topLinePunct w:val="0"/>
                    <w:autoSpaceDE/>
                    <w:autoSpaceDN/>
                    <w:bidi w:val="0"/>
                    <w:adjustRightInd/>
                    <w:snapToGrid/>
                    <w:spacing w:before="0" w:beforeAutospacing="0" w:after="0" w:afterAutospacing="0" w:line="276" w:lineRule="auto"/>
                    <w:ind w:left="0" w:right="0"/>
                    <w:jc w:val="center"/>
                    <w:textAlignment w:val="auto"/>
                    <w:rPr>
                      <w:rFonts w:hint="default"/>
                      <w:sz w:val="21"/>
                      <w:szCs w:val="21"/>
                      <w:highlight w:val="none"/>
                      <w:vertAlign w:val="baseline"/>
                      <w:lang w:val="en-US" w:eastAsia="zh-CN"/>
                    </w:rPr>
                  </w:pPr>
                  <w:r>
                    <w:rPr>
                      <w:rFonts w:hint="eastAsia"/>
                      <w:sz w:val="21"/>
                      <w:szCs w:val="21"/>
                      <w:highlight w:val="none"/>
                      <w:vertAlign w:val="baseline"/>
                      <w:lang w:val="en-US" w:eastAsia="zh-CN"/>
                    </w:rPr>
                    <w:t>实验类型</w:t>
                  </w:r>
                </w:p>
              </w:tc>
              <w:tc>
                <w:tcPr>
                  <w:tcW w:w="701" w:type="pct"/>
                  <w:vMerge w:val="restart"/>
                  <w:vAlign w:val="center"/>
                </w:tcPr>
                <w:p w14:paraId="39AEE045">
                  <w:pPr>
                    <w:keepNext w:val="0"/>
                    <w:keepLines w:val="0"/>
                    <w:pageBreakBefore w:val="0"/>
                    <w:widowControl w:val="0"/>
                    <w:numPr>
                      <w:ilvl w:val="0"/>
                      <w:numId w:val="0"/>
                    </w:numPr>
                    <w:suppressLineNumbers w:val="0"/>
                    <w:kinsoku/>
                    <w:wordWrap/>
                    <w:overflowPunct/>
                    <w:topLinePunct w:val="0"/>
                    <w:autoSpaceDE/>
                    <w:autoSpaceDN/>
                    <w:bidi w:val="0"/>
                    <w:adjustRightInd/>
                    <w:snapToGrid/>
                    <w:spacing w:before="0" w:beforeAutospacing="0" w:after="0" w:afterAutospacing="0" w:line="276" w:lineRule="auto"/>
                    <w:ind w:left="0" w:right="0"/>
                    <w:jc w:val="center"/>
                    <w:textAlignment w:val="auto"/>
                    <w:rPr>
                      <w:rFonts w:hint="default"/>
                      <w:sz w:val="21"/>
                      <w:szCs w:val="21"/>
                      <w:highlight w:val="none"/>
                      <w:vertAlign w:val="baseline"/>
                      <w:lang w:val="en-US" w:eastAsia="zh-CN"/>
                    </w:rPr>
                  </w:pPr>
                  <w:r>
                    <w:rPr>
                      <w:rFonts w:hint="eastAsia"/>
                      <w:sz w:val="21"/>
                      <w:szCs w:val="21"/>
                      <w:highlight w:val="none"/>
                      <w:vertAlign w:val="baseline"/>
                      <w:lang w:val="en-US" w:eastAsia="zh-CN"/>
                    </w:rPr>
                    <w:t>实验数量（批次/年）</w:t>
                  </w:r>
                </w:p>
              </w:tc>
              <w:tc>
                <w:tcPr>
                  <w:tcW w:w="2982" w:type="pct"/>
                  <w:gridSpan w:val="7"/>
                  <w:vAlign w:val="center"/>
                </w:tcPr>
                <w:p w14:paraId="47114236">
                  <w:pPr>
                    <w:keepNext w:val="0"/>
                    <w:keepLines w:val="0"/>
                    <w:pageBreakBefore w:val="0"/>
                    <w:widowControl w:val="0"/>
                    <w:numPr>
                      <w:ilvl w:val="0"/>
                      <w:numId w:val="0"/>
                    </w:numPr>
                    <w:suppressLineNumbers w:val="0"/>
                    <w:kinsoku/>
                    <w:wordWrap/>
                    <w:overflowPunct/>
                    <w:topLinePunct w:val="0"/>
                    <w:autoSpaceDE/>
                    <w:autoSpaceDN/>
                    <w:bidi w:val="0"/>
                    <w:adjustRightInd/>
                    <w:snapToGrid/>
                    <w:spacing w:before="0" w:beforeAutospacing="0" w:after="0" w:afterAutospacing="0" w:line="276" w:lineRule="auto"/>
                    <w:ind w:left="0" w:right="0"/>
                    <w:jc w:val="center"/>
                    <w:textAlignment w:val="auto"/>
                    <w:rPr>
                      <w:rFonts w:hint="eastAsia"/>
                      <w:sz w:val="21"/>
                      <w:szCs w:val="21"/>
                      <w:highlight w:val="none"/>
                      <w:vertAlign w:val="baseline"/>
                      <w:lang w:val="en-US" w:eastAsia="zh-CN"/>
                    </w:rPr>
                  </w:pPr>
                  <w:r>
                    <w:rPr>
                      <w:rFonts w:hint="eastAsia"/>
                      <w:sz w:val="21"/>
                      <w:szCs w:val="21"/>
                      <w:highlight w:val="none"/>
                      <w:vertAlign w:val="baseline"/>
                      <w:lang w:val="en-US" w:eastAsia="zh-CN"/>
                    </w:rPr>
                    <w:t>实验动物（只/年）</w:t>
                  </w:r>
                </w:p>
              </w:tc>
            </w:tr>
            <w:tr w14:paraId="627D5A8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0" w:hRule="atLeast"/>
              </w:trPr>
              <w:tc>
                <w:tcPr>
                  <w:tcW w:w="327" w:type="pct"/>
                  <w:vMerge w:val="continue"/>
                  <w:vAlign w:val="center"/>
                </w:tcPr>
                <w:p w14:paraId="71C12BDE">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76" w:lineRule="auto"/>
                    <w:ind w:left="0" w:right="0"/>
                    <w:jc w:val="center"/>
                    <w:textAlignment w:val="auto"/>
                    <w:rPr>
                      <w:rFonts w:hint="default"/>
                      <w:sz w:val="21"/>
                      <w:szCs w:val="21"/>
                      <w:highlight w:val="none"/>
                    </w:rPr>
                  </w:pPr>
                </w:p>
              </w:tc>
              <w:tc>
                <w:tcPr>
                  <w:tcW w:w="988" w:type="pct"/>
                  <w:vMerge w:val="continue"/>
                  <w:vAlign w:val="center"/>
                </w:tcPr>
                <w:p w14:paraId="22ED0E0D">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76" w:lineRule="auto"/>
                    <w:ind w:left="0" w:right="0"/>
                    <w:jc w:val="center"/>
                    <w:textAlignment w:val="auto"/>
                    <w:rPr>
                      <w:rFonts w:hint="default"/>
                      <w:sz w:val="21"/>
                      <w:szCs w:val="21"/>
                      <w:highlight w:val="none"/>
                    </w:rPr>
                  </w:pPr>
                </w:p>
              </w:tc>
              <w:tc>
                <w:tcPr>
                  <w:tcW w:w="701" w:type="pct"/>
                  <w:vMerge w:val="continue"/>
                  <w:vAlign w:val="center"/>
                </w:tcPr>
                <w:p w14:paraId="3E2A9723">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76" w:lineRule="auto"/>
                    <w:ind w:left="0" w:right="0"/>
                    <w:jc w:val="center"/>
                    <w:textAlignment w:val="auto"/>
                    <w:rPr>
                      <w:rFonts w:hint="default"/>
                      <w:sz w:val="21"/>
                      <w:szCs w:val="21"/>
                      <w:highlight w:val="none"/>
                    </w:rPr>
                  </w:pPr>
                </w:p>
              </w:tc>
              <w:tc>
                <w:tcPr>
                  <w:tcW w:w="440" w:type="pct"/>
                  <w:shd w:val="clear" w:color="auto" w:fill="auto"/>
                  <w:vAlign w:val="center"/>
                </w:tcPr>
                <w:p w14:paraId="05C3A691">
                  <w:pPr>
                    <w:keepNext w:val="0"/>
                    <w:keepLines w:val="0"/>
                    <w:pageBreakBefore w:val="0"/>
                    <w:widowControl w:val="0"/>
                    <w:numPr>
                      <w:ilvl w:val="0"/>
                      <w:numId w:val="0"/>
                    </w:numPr>
                    <w:suppressLineNumbers w:val="0"/>
                    <w:kinsoku/>
                    <w:wordWrap/>
                    <w:overflowPunct/>
                    <w:topLinePunct w:val="0"/>
                    <w:autoSpaceDE/>
                    <w:autoSpaceDN/>
                    <w:bidi w:val="0"/>
                    <w:adjustRightInd/>
                    <w:snapToGrid/>
                    <w:spacing w:before="0" w:beforeAutospacing="0" w:after="0" w:afterAutospacing="0" w:line="276" w:lineRule="auto"/>
                    <w:ind w:left="0" w:leftChars="0" w:right="0" w:rightChars="0" w:firstLine="0" w:firstLineChars="0"/>
                    <w:jc w:val="center"/>
                    <w:textAlignment w:val="auto"/>
                    <w:rPr>
                      <w:rFonts w:hint="eastAsia" w:ascii="Times New Roman" w:hAnsi="Times New Roman" w:eastAsia="宋体" w:cs="Times New Roman"/>
                      <w:kern w:val="2"/>
                      <w:sz w:val="21"/>
                      <w:szCs w:val="21"/>
                      <w:highlight w:val="none"/>
                      <w:vertAlign w:val="baseline"/>
                      <w:lang w:val="en-US" w:eastAsia="zh-CN" w:bidi="ar-SA"/>
                    </w:rPr>
                  </w:pPr>
                  <w:r>
                    <w:rPr>
                      <w:rFonts w:hint="eastAsia"/>
                      <w:sz w:val="21"/>
                      <w:szCs w:val="21"/>
                      <w:highlight w:val="none"/>
                      <w:vertAlign w:val="baseline"/>
                      <w:lang w:val="en-US" w:eastAsia="zh-CN"/>
                    </w:rPr>
                    <w:t>小鼠</w:t>
                  </w:r>
                </w:p>
              </w:tc>
              <w:tc>
                <w:tcPr>
                  <w:tcW w:w="440" w:type="pct"/>
                  <w:shd w:val="clear" w:color="auto" w:fill="auto"/>
                  <w:vAlign w:val="center"/>
                </w:tcPr>
                <w:p w14:paraId="0E6EFA88">
                  <w:pPr>
                    <w:keepNext w:val="0"/>
                    <w:keepLines w:val="0"/>
                    <w:pageBreakBefore w:val="0"/>
                    <w:widowControl w:val="0"/>
                    <w:numPr>
                      <w:ilvl w:val="0"/>
                      <w:numId w:val="0"/>
                    </w:numPr>
                    <w:suppressLineNumbers w:val="0"/>
                    <w:kinsoku/>
                    <w:wordWrap/>
                    <w:overflowPunct/>
                    <w:topLinePunct w:val="0"/>
                    <w:autoSpaceDE/>
                    <w:autoSpaceDN/>
                    <w:bidi w:val="0"/>
                    <w:adjustRightInd/>
                    <w:snapToGrid/>
                    <w:spacing w:before="0" w:beforeAutospacing="0" w:after="0" w:afterAutospacing="0" w:line="276" w:lineRule="auto"/>
                    <w:ind w:left="0" w:leftChars="0" w:right="0" w:rightChars="0" w:firstLine="0" w:firstLineChars="0"/>
                    <w:jc w:val="center"/>
                    <w:textAlignment w:val="auto"/>
                    <w:rPr>
                      <w:rFonts w:hint="eastAsia" w:ascii="Times New Roman" w:hAnsi="Times New Roman" w:eastAsia="宋体" w:cs="Times New Roman"/>
                      <w:kern w:val="2"/>
                      <w:sz w:val="21"/>
                      <w:szCs w:val="21"/>
                      <w:highlight w:val="none"/>
                      <w:vertAlign w:val="baseline"/>
                      <w:lang w:val="en-US" w:eastAsia="zh-CN" w:bidi="ar-SA"/>
                    </w:rPr>
                  </w:pPr>
                  <w:r>
                    <w:rPr>
                      <w:rFonts w:hint="eastAsia"/>
                      <w:sz w:val="21"/>
                      <w:szCs w:val="21"/>
                      <w:highlight w:val="none"/>
                      <w:vertAlign w:val="baseline"/>
                      <w:lang w:val="en-US" w:eastAsia="zh-CN"/>
                    </w:rPr>
                    <w:t>大鼠</w:t>
                  </w:r>
                </w:p>
              </w:tc>
              <w:tc>
                <w:tcPr>
                  <w:tcW w:w="441" w:type="pct"/>
                  <w:shd w:val="clear" w:color="auto" w:fill="auto"/>
                  <w:vAlign w:val="center"/>
                </w:tcPr>
                <w:p w14:paraId="5EE83473">
                  <w:pPr>
                    <w:keepNext w:val="0"/>
                    <w:keepLines w:val="0"/>
                    <w:pageBreakBefore w:val="0"/>
                    <w:widowControl w:val="0"/>
                    <w:numPr>
                      <w:ilvl w:val="0"/>
                      <w:numId w:val="0"/>
                    </w:numPr>
                    <w:suppressLineNumbers w:val="0"/>
                    <w:kinsoku/>
                    <w:wordWrap/>
                    <w:overflowPunct/>
                    <w:topLinePunct w:val="0"/>
                    <w:autoSpaceDE/>
                    <w:autoSpaceDN/>
                    <w:bidi w:val="0"/>
                    <w:adjustRightInd/>
                    <w:snapToGrid/>
                    <w:spacing w:before="0" w:beforeAutospacing="0" w:after="0" w:afterAutospacing="0" w:line="276" w:lineRule="auto"/>
                    <w:ind w:left="0" w:leftChars="0" w:right="0" w:rightChars="0" w:firstLine="0" w:firstLineChars="0"/>
                    <w:jc w:val="center"/>
                    <w:textAlignment w:val="auto"/>
                    <w:rPr>
                      <w:rFonts w:hint="eastAsia" w:ascii="Times New Roman" w:hAnsi="Times New Roman" w:eastAsia="宋体" w:cs="Times New Roman"/>
                      <w:kern w:val="2"/>
                      <w:sz w:val="21"/>
                      <w:szCs w:val="21"/>
                      <w:highlight w:val="none"/>
                      <w:vertAlign w:val="baseline"/>
                      <w:lang w:val="en-US" w:eastAsia="zh-CN" w:bidi="ar-SA"/>
                    </w:rPr>
                  </w:pPr>
                  <w:r>
                    <w:rPr>
                      <w:rFonts w:hint="eastAsia"/>
                      <w:sz w:val="21"/>
                      <w:szCs w:val="21"/>
                      <w:highlight w:val="none"/>
                      <w:vertAlign w:val="baseline"/>
                      <w:lang w:val="en-US" w:eastAsia="zh-CN"/>
                    </w:rPr>
                    <w:t>豚鼠</w:t>
                  </w:r>
                </w:p>
              </w:tc>
              <w:tc>
                <w:tcPr>
                  <w:tcW w:w="414" w:type="pct"/>
                  <w:shd w:val="clear" w:color="auto" w:fill="auto"/>
                  <w:vAlign w:val="center"/>
                </w:tcPr>
                <w:p w14:paraId="4E3575B3">
                  <w:pPr>
                    <w:keepNext w:val="0"/>
                    <w:keepLines w:val="0"/>
                    <w:pageBreakBefore w:val="0"/>
                    <w:widowControl w:val="0"/>
                    <w:numPr>
                      <w:ilvl w:val="0"/>
                      <w:numId w:val="0"/>
                    </w:numPr>
                    <w:suppressLineNumbers w:val="0"/>
                    <w:kinsoku/>
                    <w:wordWrap/>
                    <w:overflowPunct/>
                    <w:topLinePunct w:val="0"/>
                    <w:autoSpaceDE/>
                    <w:autoSpaceDN/>
                    <w:bidi w:val="0"/>
                    <w:adjustRightInd/>
                    <w:snapToGrid/>
                    <w:spacing w:before="0" w:beforeAutospacing="0" w:after="0" w:afterAutospacing="0" w:line="276" w:lineRule="auto"/>
                    <w:ind w:left="0" w:leftChars="0" w:right="0" w:rightChars="0" w:firstLine="0" w:firstLineChars="0"/>
                    <w:jc w:val="center"/>
                    <w:textAlignment w:val="auto"/>
                    <w:rPr>
                      <w:rFonts w:hint="eastAsia" w:ascii="Times New Roman" w:hAnsi="Times New Roman" w:eastAsia="宋体" w:cs="Times New Roman"/>
                      <w:kern w:val="2"/>
                      <w:sz w:val="21"/>
                      <w:szCs w:val="21"/>
                      <w:highlight w:val="none"/>
                      <w:vertAlign w:val="baseline"/>
                      <w:lang w:val="en-US" w:eastAsia="zh-CN" w:bidi="ar-SA"/>
                    </w:rPr>
                  </w:pPr>
                  <w:r>
                    <w:rPr>
                      <w:rFonts w:hint="eastAsia"/>
                      <w:sz w:val="21"/>
                      <w:szCs w:val="21"/>
                      <w:highlight w:val="none"/>
                      <w:vertAlign w:val="baseline"/>
                      <w:lang w:val="en-US" w:eastAsia="zh-CN"/>
                    </w:rPr>
                    <w:t>兔</w:t>
                  </w:r>
                </w:p>
              </w:tc>
              <w:tc>
                <w:tcPr>
                  <w:tcW w:w="414" w:type="pct"/>
                  <w:shd w:val="clear" w:color="auto" w:fill="auto"/>
                  <w:vAlign w:val="center"/>
                </w:tcPr>
                <w:p w14:paraId="42391BE5">
                  <w:pPr>
                    <w:keepNext w:val="0"/>
                    <w:keepLines w:val="0"/>
                    <w:pageBreakBefore w:val="0"/>
                    <w:widowControl w:val="0"/>
                    <w:numPr>
                      <w:ilvl w:val="0"/>
                      <w:numId w:val="0"/>
                    </w:numPr>
                    <w:suppressLineNumbers w:val="0"/>
                    <w:kinsoku/>
                    <w:wordWrap/>
                    <w:overflowPunct/>
                    <w:topLinePunct w:val="0"/>
                    <w:autoSpaceDE/>
                    <w:autoSpaceDN/>
                    <w:bidi w:val="0"/>
                    <w:adjustRightInd/>
                    <w:snapToGrid/>
                    <w:spacing w:before="0" w:beforeAutospacing="0" w:after="0" w:afterAutospacing="0" w:line="276" w:lineRule="auto"/>
                    <w:ind w:left="0" w:leftChars="0" w:right="0" w:rightChars="0" w:firstLine="0" w:firstLineChars="0"/>
                    <w:jc w:val="center"/>
                    <w:textAlignment w:val="auto"/>
                    <w:rPr>
                      <w:rFonts w:hint="eastAsia" w:ascii="Times New Roman" w:hAnsi="Times New Roman" w:eastAsia="宋体" w:cs="Times New Roman"/>
                      <w:kern w:val="2"/>
                      <w:sz w:val="21"/>
                      <w:szCs w:val="21"/>
                      <w:highlight w:val="none"/>
                      <w:vertAlign w:val="baseline"/>
                      <w:lang w:val="en-US" w:eastAsia="zh-CN" w:bidi="ar-SA"/>
                    </w:rPr>
                  </w:pPr>
                  <w:r>
                    <w:rPr>
                      <w:rFonts w:hint="eastAsia"/>
                      <w:sz w:val="21"/>
                      <w:szCs w:val="21"/>
                      <w:highlight w:val="none"/>
                      <w:vertAlign w:val="baseline"/>
                      <w:lang w:val="en-US" w:eastAsia="zh-CN"/>
                    </w:rPr>
                    <w:t>犬</w:t>
                  </w:r>
                </w:p>
              </w:tc>
              <w:tc>
                <w:tcPr>
                  <w:tcW w:w="414" w:type="pct"/>
                  <w:shd w:val="clear" w:color="auto" w:fill="auto"/>
                  <w:vAlign w:val="center"/>
                </w:tcPr>
                <w:p w14:paraId="1A86F4DC">
                  <w:pPr>
                    <w:keepNext w:val="0"/>
                    <w:keepLines w:val="0"/>
                    <w:pageBreakBefore w:val="0"/>
                    <w:widowControl w:val="0"/>
                    <w:numPr>
                      <w:ilvl w:val="0"/>
                      <w:numId w:val="0"/>
                    </w:numPr>
                    <w:suppressLineNumbers w:val="0"/>
                    <w:kinsoku/>
                    <w:wordWrap/>
                    <w:overflowPunct/>
                    <w:topLinePunct w:val="0"/>
                    <w:autoSpaceDE/>
                    <w:autoSpaceDN/>
                    <w:bidi w:val="0"/>
                    <w:adjustRightInd/>
                    <w:snapToGrid/>
                    <w:spacing w:before="0" w:beforeAutospacing="0" w:after="0" w:afterAutospacing="0" w:line="276" w:lineRule="auto"/>
                    <w:ind w:left="0" w:leftChars="0" w:right="0" w:rightChars="0" w:firstLine="0" w:firstLineChars="0"/>
                    <w:jc w:val="center"/>
                    <w:textAlignment w:val="auto"/>
                    <w:rPr>
                      <w:rFonts w:hint="eastAsia" w:ascii="Times New Roman" w:hAnsi="Times New Roman" w:eastAsia="宋体" w:cs="Times New Roman"/>
                      <w:kern w:val="2"/>
                      <w:sz w:val="21"/>
                      <w:szCs w:val="21"/>
                      <w:highlight w:val="none"/>
                      <w:vertAlign w:val="baseline"/>
                      <w:lang w:val="en-US" w:eastAsia="zh-CN" w:bidi="ar-SA"/>
                    </w:rPr>
                  </w:pPr>
                  <w:r>
                    <w:rPr>
                      <w:rFonts w:hint="eastAsia"/>
                      <w:sz w:val="21"/>
                      <w:szCs w:val="21"/>
                      <w:highlight w:val="none"/>
                      <w:vertAlign w:val="baseline"/>
                      <w:lang w:val="en-US" w:eastAsia="zh-CN"/>
                    </w:rPr>
                    <w:t>猪</w:t>
                  </w:r>
                </w:p>
              </w:tc>
              <w:tc>
                <w:tcPr>
                  <w:tcW w:w="417" w:type="pct"/>
                  <w:shd w:val="clear" w:color="auto" w:fill="auto"/>
                  <w:vAlign w:val="center"/>
                </w:tcPr>
                <w:p w14:paraId="2D5C7F48">
                  <w:pPr>
                    <w:keepNext w:val="0"/>
                    <w:keepLines w:val="0"/>
                    <w:pageBreakBefore w:val="0"/>
                    <w:widowControl w:val="0"/>
                    <w:numPr>
                      <w:ilvl w:val="0"/>
                      <w:numId w:val="0"/>
                    </w:numPr>
                    <w:suppressLineNumbers w:val="0"/>
                    <w:kinsoku/>
                    <w:wordWrap/>
                    <w:overflowPunct/>
                    <w:topLinePunct w:val="0"/>
                    <w:autoSpaceDE/>
                    <w:autoSpaceDN/>
                    <w:bidi w:val="0"/>
                    <w:adjustRightInd/>
                    <w:snapToGrid/>
                    <w:spacing w:before="0" w:beforeAutospacing="0" w:after="0" w:afterAutospacing="0" w:line="276" w:lineRule="auto"/>
                    <w:ind w:left="0" w:leftChars="0" w:right="0" w:rightChars="0" w:firstLine="0" w:firstLineChars="0"/>
                    <w:jc w:val="center"/>
                    <w:textAlignment w:val="auto"/>
                    <w:rPr>
                      <w:rFonts w:hint="eastAsia" w:ascii="Times New Roman" w:hAnsi="Times New Roman" w:eastAsia="宋体" w:cs="Times New Roman"/>
                      <w:kern w:val="2"/>
                      <w:sz w:val="21"/>
                      <w:szCs w:val="21"/>
                      <w:highlight w:val="none"/>
                      <w:vertAlign w:val="baseline"/>
                      <w:lang w:val="en-US" w:eastAsia="zh-CN" w:bidi="ar-SA"/>
                    </w:rPr>
                  </w:pPr>
                  <w:r>
                    <w:rPr>
                      <w:rFonts w:hint="eastAsia"/>
                      <w:sz w:val="21"/>
                      <w:szCs w:val="21"/>
                      <w:highlight w:val="none"/>
                      <w:vertAlign w:val="baseline"/>
                      <w:lang w:val="en-US" w:eastAsia="zh-CN"/>
                    </w:rPr>
                    <w:t>猴</w:t>
                  </w:r>
                </w:p>
              </w:tc>
            </w:tr>
            <w:tr w14:paraId="7E08217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0" w:hRule="atLeast"/>
              </w:trPr>
              <w:tc>
                <w:tcPr>
                  <w:tcW w:w="327" w:type="pct"/>
                  <w:vAlign w:val="center"/>
                </w:tcPr>
                <w:p w14:paraId="21877D69">
                  <w:pPr>
                    <w:keepNext w:val="0"/>
                    <w:keepLines w:val="0"/>
                    <w:pageBreakBefore w:val="0"/>
                    <w:widowControl w:val="0"/>
                    <w:numPr>
                      <w:ilvl w:val="0"/>
                      <w:numId w:val="0"/>
                    </w:numPr>
                    <w:suppressLineNumbers w:val="0"/>
                    <w:kinsoku/>
                    <w:wordWrap/>
                    <w:overflowPunct/>
                    <w:topLinePunct w:val="0"/>
                    <w:autoSpaceDE/>
                    <w:autoSpaceDN/>
                    <w:bidi w:val="0"/>
                    <w:adjustRightInd/>
                    <w:snapToGrid/>
                    <w:spacing w:before="0" w:beforeAutospacing="0" w:after="0" w:afterAutospacing="0" w:line="276" w:lineRule="auto"/>
                    <w:ind w:left="0" w:right="0"/>
                    <w:jc w:val="center"/>
                    <w:textAlignment w:val="auto"/>
                    <w:rPr>
                      <w:rFonts w:hint="default"/>
                      <w:sz w:val="21"/>
                      <w:szCs w:val="21"/>
                      <w:highlight w:val="none"/>
                      <w:vertAlign w:val="baseline"/>
                      <w:lang w:val="en-US" w:eastAsia="zh-CN"/>
                    </w:rPr>
                  </w:pPr>
                  <w:r>
                    <w:rPr>
                      <w:rFonts w:hint="eastAsia"/>
                      <w:sz w:val="21"/>
                      <w:szCs w:val="21"/>
                      <w:highlight w:val="none"/>
                      <w:vertAlign w:val="baseline"/>
                      <w:lang w:val="en-US" w:eastAsia="zh-CN"/>
                    </w:rPr>
                    <w:t>1</w:t>
                  </w:r>
                </w:p>
              </w:tc>
              <w:tc>
                <w:tcPr>
                  <w:tcW w:w="988" w:type="pct"/>
                  <w:vAlign w:val="center"/>
                </w:tcPr>
                <w:p w14:paraId="2AA55C3F">
                  <w:pPr>
                    <w:keepNext w:val="0"/>
                    <w:keepLines w:val="0"/>
                    <w:pageBreakBefore w:val="0"/>
                    <w:widowControl w:val="0"/>
                    <w:numPr>
                      <w:ilvl w:val="0"/>
                      <w:numId w:val="0"/>
                    </w:numPr>
                    <w:suppressLineNumbers w:val="0"/>
                    <w:kinsoku/>
                    <w:wordWrap/>
                    <w:overflowPunct/>
                    <w:topLinePunct w:val="0"/>
                    <w:autoSpaceDE/>
                    <w:autoSpaceDN/>
                    <w:bidi w:val="0"/>
                    <w:adjustRightInd/>
                    <w:snapToGrid/>
                    <w:spacing w:before="0" w:beforeAutospacing="0" w:after="0" w:afterAutospacing="0" w:line="276" w:lineRule="auto"/>
                    <w:ind w:left="0" w:right="0"/>
                    <w:jc w:val="center"/>
                    <w:textAlignment w:val="auto"/>
                    <w:rPr>
                      <w:rFonts w:hint="eastAsia"/>
                      <w:sz w:val="21"/>
                      <w:szCs w:val="21"/>
                      <w:highlight w:val="none"/>
                      <w:vertAlign w:val="baseline"/>
                      <w:lang w:val="en-US" w:eastAsia="zh-CN"/>
                    </w:rPr>
                  </w:pPr>
                  <w:r>
                    <w:rPr>
                      <w:rFonts w:hint="eastAsia"/>
                      <w:sz w:val="21"/>
                      <w:szCs w:val="21"/>
                      <w:highlight w:val="none"/>
                      <w:vertAlign w:val="baseline"/>
                      <w:lang w:val="en-US" w:eastAsia="zh-CN"/>
                    </w:rPr>
                    <w:t>急性毒性实验</w:t>
                  </w:r>
                </w:p>
              </w:tc>
              <w:tc>
                <w:tcPr>
                  <w:tcW w:w="701" w:type="pct"/>
                  <w:vAlign w:val="center"/>
                </w:tcPr>
                <w:p w14:paraId="3F2799BD">
                  <w:pPr>
                    <w:keepNext w:val="0"/>
                    <w:keepLines w:val="0"/>
                    <w:pageBreakBefore w:val="0"/>
                    <w:widowControl w:val="0"/>
                    <w:numPr>
                      <w:ilvl w:val="0"/>
                      <w:numId w:val="0"/>
                    </w:numPr>
                    <w:suppressLineNumbers w:val="0"/>
                    <w:kinsoku/>
                    <w:wordWrap/>
                    <w:overflowPunct/>
                    <w:topLinePunct w:val="0"/>
                    <w:autoSpaceDE/>
                    <w:autoSpaceDN/>
                    <w:bidi w:val="0"/>
                    <w:adjustRightInd/>
                    <w:snapToGrid/>
                    <w:spacing w:before="0" w:beforeAutospacing="0" w:after="0" w:afterAutospacing="0" w:line="276" w:lineRule="auto"/>
                    <w:ind w:left="0" w:right="0"/>
                    <w:jc w:val="center"/>
                    <w:textAlignment w:val="auto"/>
                    <w:rPr>
                      <w:rFonts w:hint="default"/>
                      <w:sz w:val="21"/>
                      <w:szCs w:val="21"/>
                      <w:highlight w:val="none"/>
                      <w:vertAlign w:val="baseline"/>
                      <w:lang w:val="en-US" w:eastAsia="zh-CN"/>
                    </w:rPr>
                  </w:pPr>
                  <w:r>
                    <w:rPr>
                      <w:rFonts w:hint="eastAsia"/>
                      <w:sz w:val="21"/>
                      <w:szCs w:val="21"/>
                      <w:highlight w:val="none"/>
                      <w:vertAlign w:val="baseline"/>
                      <w:lang w:val="en-US" w:eastAsia="zh-CN"/>
                    </w:rPr>
                    <w:t>662</w:t>
                  </w:r>
                </w:p>
              </w:tc>
              <w:tc>
                <w:tcPr>
                  <w:tcW w:w="440" w:type="pct"/>
                  <w:vAlign w:val="center"/>
                </w:tcPr>
                <w:p w14:paraId="71B5925C">
                  <w:pPr>
                    <w:keepNext w:val="0"/>
                    <w:keepLines w:val="0"/>
                    <w:pageBreakBefore w:val="0"/>
                    <w:widowControl w:val="0"/>
                    <w:numPr>
                      <w:ilvl w:val="0"/>
                      <w:numId w:val="0"/>
                    </w:numPr>
                    <w:suppressLineNumbers w:val="0"/>
                    <w:kinsoku/>
                    <w:wordWrap/>
                    <w:overflowPunct/>
                    <w:topLinePunct w:val="0"/>
                    <w:autoSpaceDE/>
                    <w:autoSpaceDN/>
                    <w:bidi w:val="0"/>
                    <w:adjustRightInd/>
                    <w:snapToGrid/>
                    <w:spacing w:before="0" w:beforeAutospacing="0" w:after="0" w:afterAutospacing="0" w:line="276" w:lineRule="auto"/>
                    <w:ind w:left="0" w:right="0"/>
                    <w:jc w:val="center"/>
                    <w:textAlignment w:val="auto"/>
                    <w:rPr>
                      <w:rFonts w:hint="default"/>
                      <w:sz w:val="21"/>
                      <w:szCs w:val="21"/>
                      <w:highlight w:val="none"/>
                      <w:vertAlign w:val="baseline"/>
                      <w:lang w:val="en-US" w:eastAsia="zh-CN"/>
                    </w:rPr>
                  </w:pPr>
                  <w:r>
                    <w:rPr>
                      <w:rFonts w:hint="eastAsia"/>
                      <w:sz w:val="21"/>
                      <w:szCs w:val="21"/>
                      <w:highlight w:val="none"/>
                      <w:vertAlign w:val="baseline"/>
                      <w:lang w:val="en-US" w:eastAsia="zh-CN"/>
                    </w:rPr>
                    <w:t>10000</w:t>
                  </w:r>
                </w:p>
              </w:tc>
              <w:tc>
                <w:tcPr>
                  <w:tcW w:w="440" w:type="pct"/>
                  <w:vAlign w:val="center"/>
                </w:tcPr>
                <w:p w14:paraId="04F3719F">
                  <w:pPr>
                    <w:keepNext w:val="0"/>
                    <w:keepLines w:val="0"/>
                    <w:pageBreakBefore w:val="0"/>
                    <w:widowControl w:val="0"/>
                    <w:numPr>
                      <w:ilvl w:val="0"/>
                      <w:numId w:val="0"/>
                    </w:numPr>
                    <w:suppressLineNumbers w:val="0"/>
                    <w:kinsoku/>
                    <w:wordWrap/>
                    <w:overflowPunct/>
                    <w:topLinePunct w:val="0"/>
                    <w:autoSpaceDE/>
                    <w:autoSpaceDN/>
                    <w:bidi w:val="0"/>
                    <w:adjustRightInd/>
                    <w:snapToGrid/>
                    <w:spacing w:before="0" w:beforeAutospacing="0" w:after="0" w:afterAutospacing="0" w:line="276" w:lineRule="auto"/>
                    <w:ind w:left="0" w:right="0"/>
                    <w:jc w:val="center"/>
                    <w:textAlignment w:val="auto"/>
                    <w:rPr>
                      <w:rFonts w:hint="default"/>
                      <w:sz w:val="21"/>
                      <w:szCs w:val="21"/>
                      <w:highlight w:val="none"/>
                      <w:vertAlign w:val="baseline"/>
                      <w:lang w:val="en-US" w:eastAsia="zh-CN"/>
                    </w:rPr>
                  </w:pPr>
                  <w:r>
                    <w:rPr>
                      <w:rFonts w:hint="eastAsia"/>
                      <w:sz w:val="21"/>
                      <w:szCs w:val="21"/>
                      <w:highlight w:val="none"/>
                      <w:vertAlign w:val="baseline"/>
                      <w:lang w:val="en-US" w:eastAsia="zh-CN"/>
                    </w:rPr>
                    <w:t>4000</w:t>
                  </w:r>
                </w:p>
              </w:tc>
              <w:tc>
                <w:tcPr>
                  <w:tcW w:w="441" w:type="pct"/>
                  <w:vAlign w:val="center"/>
                </w:tcPr>
                <w:p w14:paraId="71A75540">
                  <w:pPr>
                    <w:keepNext w:val="0"/>
                    <w:keepLines w:val="0"/>
                    <w:pageBreakBefore w:val="0"/>
                    <w:widowControl w:val="0"/>
                    <w:numPr>
                      <w:ilvl w:val="0"/>
                      <w:numId w:val="0"/>
                    </w:numPr>
                    <w:suppressLineNumbers w:val="0"/>
                    <w:kinsoku/>
                    <w:wordWrap/>
                    <w:overflowPunct/>
                    <w:topLinePunct w:val="0"/>
                    <w:autoSpaceDE/>
                    <w:autoSpaceDN/>
                    <w:bidi w:val="0"/>
                    <w:adjustRightInd/>
                    <w:snapToGrid/>
                    <w:spacing w:before="0" w:beforeAutospacing="0" w:after="0" w:afterAutospacing="0" w:line="276" w:lineRule="auto"/>
                    <w:ind w:left="0" w:right="0"/>
                    <w:jc w:val="center"/>
                    <w:textAlignment w:val="auto"/>
                    <w:rPr>
                      <w:rFonts w:hint="default"/>
                      <w:sz w:val="21"/>
                      <w:szCs w:val="21"/>
                      <w:highlight w:val="none"/>
                      <w:vertAlign w:val="baseline"/>
                      <w:lang w:val="en-US" w:eastAsia="zh-CN"/>
                    </w:rPr>
                  </w:pPr>
                  <w:r>
                    <w:rPr>
                      <w:rFonts w:hint="eastAsia"/>
                      <w:sz w:val="21"/>
                      <w:szCs w:val="21"/>
                      <w:highlight w:val="none"/>
                      <w:vertAlign w:val="baseline"/>
                      <w:lang w:val="en-US" w:eastAsia="zh-CN"/>
                    </w:rPr>
                    <w:t>0</w:t>
                  </w:r>
                </w:p>
              </w:tc>
              <w:tc>
                <w:tcPr>
                  <w:tcW w:w="414" w:type="pct"/>
                  <w:vAlign w:val="center"/>
                </w:tcPr>
                <w:p w14:paraId="511B9D5E">
                  <w:pPr>
                    <w:keepNext w:val="0"/>
                    <w:keepLines w:val="0"/>
                    <w:pageBreakBefore w:val="0"/>
                    <w:widowControl w:val="0"/>
                    <w:numPr>
                      <w:ilvl w:val="0"/>
                      <w:numId w:val="0"/>
                    </w:numPr>
                    <w:suppressLineNumbers w:val="0"/>
                    <w:kinsoku/>
                    <w:wordWrap/>
                    <w:overflowPunct/>
                    <w:topLinePunct w:val="0"/>
                    <w:autoSpaceDE/>
                    <w:autoSpaceDN/>
                    <w:bidi w:val="0"/>
                    <w:adjustRightInd/>
                    <w:snapToGrid/>
                    <w:spacing w:before="0" w:beforeAutospacing="0" w:after="0" w:afterAutospacing="0" w:line="276" w:lineRule="auto"/>
                    <w:ind w:left="0" w:right="0"/>
                    <w:jc w:val="center"/>
                    <w:textAlignment w:val="auto"/>
                    <w:rPr>
                      <w:rFonts w:hint="eastAsia"/>
                      <w:sz w:val="21"/>
                      <w:szCs w:val="21"/>
                      <w:highlight w:val="none"/>
                      <w:vertAlign w:val="baseline"/>
                      <w:lang w:val="en-US" w:eastAsia="zh-CN"/>
                    </w:rPr>
                  </w:pPr>
                  <w:r>
                    <w:rPr>
                      <w:rFonts w:hint="eastAsia"/>
                      <w:sz w:val="21"/>
                      <w:szCs w:val="21"/>
                      <w:highlight w:val="none"/>
                      <w:vertAlign w:val="baseline"/>
                      <w:lang w:val="en-US" w:eastAsia="zh-CN"/>
                    </w:rPr>
                    <w:t>0</w:t>
                  </w:r>
                </w:p>
              </w:tc>
              <w:tc>
                <w:tcPr>
                  <w:tcW w:w="414" w:type="pct"/>
                  <w:vAlign w:val="center"/>
                </w:tcPr>
                <w:p w14:paraId="70A7AE3F">
                  <w:pPr>
                    <w:keepNext w:val="0"/>
                    <w:keepLines w:val="0"/>
                    <w:pageBreakBefore w:val="0"/>
                    <w:widowControl w:val="0"/>
                    <w:numPr>
                      <w:ilvl w:val="0"/>
                      <w:numId w:val="0"/>
                    </w:numPr>
                    <w:suppressLineNumbers w:val="0"/>
                    <w:kinsoku/>
                    <w:wordWrap/>
                    <w:overflowPunct/>
                    <w:topLinePunct w:val="0"/>
                    <w:autoSpaceDE/>
                    <w:autoSpaceDN/>
                    <w:bidi w:val="0"/>
                    <w:adjustRightInd/>
                    <w:snapToGrid/>
                    <w:spacing w:before="0" w:beforeAutospacing="0" w:after="0" w:afterAutospacing="0" w:line="276" w:lineRule="auto"/>
                    <w:ind w:left="0" w:right="0"/>
                    <w:jc w:val="center"/>
                    <w:textAlignment w:val="auto"/>
                    <w:rPr>
                      <w:rFonts w:hint="default"/>
                      <w:sz w:val="21"/>
                      <w:szCs w:val="21"/>
                      <w:highlight w:val="none"/>
                      <w:vertAlign w:val="baseline"/>
                      <w:lang w:val="en-US" w:eastAsia="zh-CN"/>
                    </w:rPr>
                  </w:pPr>
                  <w:r>
                    <w:rPr>
                      <w:rFonts w:hint="eastAsia"/>
                      <w:sz w:val="21"/>
                      <w:szCs w:val="21"/>
                      <w:highlight w:val="none"/>
                      <w:vertAlign w:val="baseline"/>
                      <w:lang w:val="en-US" w:eastAsia="zh-CN"/>
                    </w:rPr>
                    <w:t>600</w:t>
                  </w:r>
                </w:p>
              </w:tc>
              <w:tc>
                <w:tcPr>
                  <w:tcW w:w="414" w:type="pct"/>
                  <w:vAlign w:val="center"/>
                </w:tcPr>
                <w:p w14:paraId="2D339EEE">
                  <w:pPr>
                    <w:keepNext w:val="0"/>
                    <w:keepLines w:val="0"/>
                    <w:pageBreakBefore w:val="0"/>
                    <w:widowControl w:val="0"/>
                    <w:numPr>
                      <w:ilvl w:val="0"/>
                      <w:numId w:val="0"/>
                    </w:numPr>
                    <w:suppressLineNumbers w:val="0"/>
                    <w:kinsoku/>
                    <w:wordWrap/>
                    <w:overflowPunct/>
                    <w:topLinePunct w:val="0"/>
                    <w:autoSpaceDE/>
                    <w:autoSpaceDN/>
                    <w:bidi w:val="0"/>
                    <w:adjustRightInd/>
                    <w:snapToGrid/>
                    <w:spacing w:before="0" w:beforeAutospacing="0" w:after="0" w:afterAutospacing="0" w:line="276" w:lineRule="auto"/>
                    <w:ind w:left="0" w:right="0"/>
                    <w:jc w:val="center"/>
                    <w:textAlignment w:val="auto"/>
                    <w:rPr>
                      <w:rFonts w:hint="eastAsia"/>
                      <w:sz w:val="21"/>
                      <w:szCs w:val="21"/>
                      <w:highlight w:val="none"/>
                      <w:vertAlign w:val="baseline"/>
                      <w:lang w:val="en-US" w:eastAsia="zh-CN"/>
                    </w:rPr>
                  </w:pPr>
                  <w:r>
                    <w:rPr>
                      <w:rFonts w:hint="eastAsia"/>
                      <w:sz w:val="21"/>
                      <w:szCs w:val="21"/>
                      <w:highlight w:val="none"/>
                      <w:vertAlign w:val="baseline"/>
                      <w:lang w:val="en-US" w:eastAsia="zh-CN"/>
                    </w:rPr>
                    <w:t>0</w:t>
                  </w:r>
                </w:p>
              </w:tc>
              <w:tc>
                <w:tcPr>
                  <w:tcW w:w="417" w:type="pct"/>
                  <w:vAlign w:val="center"/>
                </w:tcPr>
                <w:p w14:paraId="31FEF7BC">
                  <w:pPr>
                    <w:keepNext w:val="0"/>
                    <w:keepLines w:val="0"/>
                    <w:pageBreakBefore w:val="0"/>
                    <w:widowControl w:val="0"/>
                    <w:numPr>
                      <w:ilvl w:val="0"/>
                      <w:numId w:val="0"/>
                    </w:numPr>
                    <w:suppressLineNumbers w:val="0"/>
                    <w:kinsoku/>
                    <w:wordWrap/>
                    <w:overflowPunct/>
                    <w:topLinePunct w:val="0"/>
                    <w:autoSpaceDE/>
                    <w:autoSpaceDN/>
                    <w:bidi w:val="0"/>
                    <w:adjustRightInd/>
                    <w:snapToGrid/>
                    <w:spacing w:before="0" w:beforeAutospacing="0" w:after="0" w:afterAutospacing="0" w:line="276" w:lineRule="auto"/>
                    <w:ind w:left="0" w:right="0"/>
                    <w:jc w:val="center"/>
                    <w:textAlignment w:val="auto"/>
                    <w:rPr>
                      <w:rFonts w:hint="default"/>
                      <w:sz w:val="21"/>
                      <w:szCs w:val="21"/>
                      <w:highlight w:val="none"/>
                      <w:vertAlign w:val="baseline"/>
                      <w:lang w:val="en-US" w:eastAsia="zh-CN"/>
                    </w:rPr>
                  </w:pPr>
                  <w:r>
                    <w:rPr>
                      <w:rFonts w:hint="eastAsia"/>
                      <w:sz w:val="21"/>
                      <w:szCs w:val="21"/>
                      <w:highlight w:val="none"/>
                      <w:vertAlign w:val="baseline"/>
                      <w:lang w:val="en-US" w:eastAsia="zh-CN"/>
                    </w:rPr>
                    <w:t>36</w:t>
                  </w:r>
                </w:p>
              </w:tc>
            </w:tr>
            <w:tr w14:paraId="22AB136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0" w:hRule="atLeast"/>
              </w:trPr>
              <w:tc>
                <w:tcPr>
                  <w:tcW w:w="327" w:type="pct"/>
                  <w:vAlign w:val="center"/>
                </w:tcPr>
                <w:p w14:paraId="10E796B5">
                  <w:pPr>
                    <w:keepNext w:val="0"/>
                    <w:keepLines w:val="0"/>
                    <w:pageBreakBefore w:val="0"/>
                    <w:widowControl w:val="0"/>
                    <w:numPr>
                      <w:ilvl w:val="0"/>
                      <w:numId w:val="0"/>
                    </w:numPr>
                    <w:suppressLineNumbers w:val="0"/>
                    <w:kinsoku/>
                    <w:wordWrap/>
                    <w:overflowPunct/>
                    <w:topLinePunct w:val="0"/>
                    <w:autoSpaceDE/>
                    <w:autoSpaceDN/>
                    <w:bidi w:val="0"/>
                    <w:adjustRightInd/>
                    <w:snapToGrid/>
                    <w:spacing w:before="0" w:beforeAutospacing="0" w:after="0" w:afterAutospacing="0" w:line="276" w:lineRule="auto"/>
                    <w:ind w:left="0" w:right="0"/>
                    <w:jc w:val="center"/>
                    <w:textAlignment w:val="auto"/>
                    <w:rPr>
                      <w:rFonts w:hint="default"/>
                      <w:sz w:val="21"/>
                      <w:szCs w:val="21"/>
                      <w:highlight w:val="none"/>
                      <w:vertAlign w:val="baseline"/>
                      <w:lang w:val="en-US" w:eastAsia="zh-CN"/>
                    </w:rPr>
                  </w:pPr>
                  <w:r>
                    <w:rPr>
                      <w:rFonts w:hint="eastAsia"/>
                      <w:sz w:val="21"/>
                      <w:szCs w:val="21"/>
                      <w:highlight w:val="none"/>
                      <w:vertAlign w:val="baseline"/>
                      <w:lang w:val="en-US" w:eastAsia="zh-CN"/>
                    </w:rPr>
                    <w:t>2</w:t>
                  </w:r>
                </w:p>
              </w:tc>
              <w:tc>
                <w:tcPr>
                  <w:tcW w:w="988" w:type="pct"/>
                  <w:vAlign w:val="center"/>
                </w:tcPr>
                <w:p w14:paraId="155610C6">
                  <w:pPr>
                    <w:keepNext w:val="0"/>
                    <w:keepLines w:val="0"/>
                    <w:pageBreakBefore w:val="0"/>
                    <w:widowControl w:val="0"/>
                    <w:numPr>
                      <w:ilvl w:val="0"/>
                      <w:numId w:val="0"/>
                    </w:numPr>
                    <w:suppressLineNumbers w:val="0"/>
                    <w:kinsoku/>
                    <w:wordWrap/>
                    <w:overflowPunct/>
                    <w:topLinePunct w:val="0"/>
                    <w:autoSpaceDE/>
                    <w:autoSpaceDN/>
                    <w:bidi w:val="0"/>
                    <w:adjustRightInd/>
                    <w:snapToGrid/>
                    <w:spacing w:before="0" w:beforeAutospacing="0" w:after="0" w:afterAutospacing="0" w:line="276" w:lineRule="auto"/>
                    <w:ind w:left="0" w:right="0"/>
                    <w:jc w:val="center"/>
                    <w:textAlignment w:val="auto"/>
                    <w:rPr>
                      <w:rFonts w:hint="eastAsia"/>
                      <w:sz w:val="21"/>
                      <w:szCs w:val="21"/>
                      <w:highlight w:val="none"/>
                      <w:vertAlign w:val="baseline"/>
                      <w:lang w:val="en-US" w:eastAsia="zh-CN"/>
                    </w:rPr>
                  </w:pPr>
                  <w:r>
                    <w:rPr>
                      <w:rFonts w:hint="eastAsia"/>
                      <w:sz w:val="21"/>
                      <w:szCs w:val="21"/>
                      <w:highlight w:val="none"/>
                      <w:vertAlign w:val="baseline"/>
                      <w:lang w:val="en-US" w:eastAsia="zh-CN"/>
                    </w:rPr>
                    <w:t>慢性毒性实验</w:t>
                  </w:r>
                </w:p>
              </w:tc>
              <w:tc>
                <w:tcPr>
                  <w:tcW w:w="701" w:type="pct"/>
                  <w:vAlign w:val="center"/>
                </w:tcPr>
                <w:p w14:paraId="4BFA8F3A">
                  <w:pPr>
                    <w:keepNext w:val="0"/>
                    <w:keepLines w:val="0"/>
                    <w:pageBreakBefore w:val="0"/>
                    <w:widowControl w:val="0"/>
                    <w:numPr>
                      <w:ilvl w:val="0"/>
                      <w:numId w:val="0"/>
                    </w:numPr>
                    <w:suppressLineNumbers w:val="0"/>
                    <w:kinsoku/>
                    <w:wordWrap/>
                    <w:overflowPunct/>
                    <w:topLinePunct w:val="0"/>
                    <w:autoSpaceDE/>
                    <w:autoSpaceDN/>
                    <w:bidi w:val="0"/>
                    <w:adjustRightInd/>
                    <w:snapToGrid/>
                    <w:spacing w:before="0" w:beforeAutospacing="0" w:after="0" w:afterAutospacing="0" w:line="276" w:lineRule="auto"/>
                    <w:ind w:left="0" w:right="0"/>
                    <w:jc w:val="center"/>
                    <w:textAlignment w:val="auto"/>
                    <w:rPr>
                      <w:rFonts w:hint="default"/>
                      <w:sz w:val="21"/>
                      <w:szCs w:val="21"/>
                      <w:highlight w:val="none"/>
                      <w:vertAlign w:val="baseline"/>
                      <w:lang w:val="en-US" w:eastAsia="zh-CN"/>
                    </w:rPr>
                  </w:pPr>
                  <w:r>
                    <w:rPr>
                      <w:rFonts w:hint="eastAsia"/>
                      <w:sz w:val="21"/>
                      <w:szCs w:val="21"/>
                      <w:highlight w:val="none"/>
                      <w:vertAlign w:val="baseline"/>
                      <w:lang w:val="en-US" w:eastAsia="zh-CN"/>
                    </w:rPr>
                    <w:t>262</w:t>
                  </w:r>
                </w:p>
              </w:tc>
              <w:tc>
                <w:tcPr>
                  <w:tcW w:w="440" w:type="pct"/>
                  <w:vAlign w:val="center"/>
                </w:tcPr>
                <w:p w14:paraId="0424A171">
                  <w:pPr>
                    <w:keepNext w:val="0"/>
                    <w:keepLines w:val="0"/>
                    <w:pageBreakBefore w:val="0"/>
                    <w:widowControl w:val="0"/>
                    <w:numPr>
                      <w:ilvl w:val="0"/>
                      <w:numId w:val="0"/>
                    </w:numPr>
                    <w:suppressLineNumbers w:val="0"/>
                    <w:kinsoku/>
                    <w:wordWrap/>
                    <w:overflowPunct/>
                    <w:topLinePunct w:val="0"/>
                    <w:autoSpaceDE/>
                    <w:autoSpaceDN/>
                    <w:bidi w:val="0"/>
                    <w:adjustRightInd/>
                    <w:snapToGrid/>
                    <w:spacing w:before="0" w:beforeAutospacing="0" w:after="0" w:afterAutospacing="0" w:line="276" w:lineRule="auto"/>
                    <w:ind w:left="0" w:right="0"/>
                    <w:jc w:val="center"/>
                    <w:textAlignment w:val="auto"/>
                    <w:rPr>
                      <w:rFonts w:hint="default"/>
                      <w:sz w:val="21"/>
                      <w:szCs w:val="21"/>
                      <w:highlight w:val="none"/>
                      <w:vertAlign w:val="baseline"/>
                      <w:lang w:val="en-US" w:eastAsia="zh-CN"/>
                    </w:rPr>
                  </w:pPr>
                  <w:r>
                    <w:rPr>
                      <w:rFonts w:hint="eastAsia"/>
                      <w:sz w:val="21"/>
                      <w:szCs w:val="21"/>
                      <w:highlight w:val="none"/>
                      <w:vertAlign w:val="baseline"/>
                      <w:lang w:val="en-US" w:eastAsia="zh-CN"/>
                    </w:rPr>
                    <w:t>16000</w:t>
                  </w:r>
                </w:p>
              </w:tc>
              <w:tc>
                <w:tcPr>
                  <w:tcW w:w="440" w:type="pct"/>
                  <w:vAlign w:val="center"/>
                </w:tcPr>
                <w:p w14:paraId="0C45D308">
                  <w:pPr>
                    <w:keepNext w:val="0"/>
                    <w:keepLines w:val="0"/>
                    <w:pageBreakBefore w:val="0"/>
                    <w:widowControl w:val="0"/>
                    <w:numPr>
                      <w:ilvl w:val="0"/>
                      <w:numId w:val="0"/>
                    </w:numPr>
                    <w:suppressLineNumbers w:val="0"/>
                    <w:kinsoku/>
                    <w:wordWrap/>
                    <w:overflowPunct/>
                    <w:topLinePunct w:val="0"/>
                    <w:autoSpaceDE/>
                    <w:autoSpaceDN/>
                    <w:bidi w:val="0"/>
                    <w:adjustRightInd/>
                    <w:snapToGrid/>
                    <w:spacing w:before="0" w:beforeAutospacing="0" w:after="0" w:afterAutospacing="0" w:line="276" w:lineRule="auto"/>
                    <w:ind w:left="0" w:right="0"/>
                    <w:jc w:val="center"/>
                    <w:textAlignment w:val="auto"/>
                    <w:rPr>
                      <w:rFonts w:hint="eastAsia"/>
                      <w:sz w:val="21"/>
                      <w:szCs w:val="21"/>
                      <w:highlight w:val="none"/>
                      <w:vertAlign w:val="baseline"/>
                      <w:lang w:val="en-US" w:eastAsia="zh-CN"/>
                    </w:rPr>
                  </w:pPr>
                  <w:r>
                    <w:rPr>
                      <w:rFonts w:hint="eastAsia"/>
                      <w:sz w:val="21"/>
                      <w:szCs w:val="21"/>
                      <w:highlight w:val="none"/>
                      <w:vertAlign w:val="baseline"/>
                      <w:lang w:val="en-US" w:eastAsia="zh-CN"/>
                    </w:rPr>
                    <w:t>4000</w:t>
                  </w:r>
                </w:p>
              </w:tc>
              <w:tc>
                <w:tcPr>
                  <w:tcW w:w="441" w:type="pct"/>
                  <w:vAlign w:val="center"/>
                </w:tcPr>
                <w:p w14:paraId="5F511D7A">
                  <w:pPr>
                    <w:keepNext w:val="0"/>
                    <w:keepLines w:val="0"/>
                    <w:pageBreakBefore w:val="0"/>
                    <w:widowControl w:val="0"/>
                    <w:numPr>
                      <w:ilvl w:val="0"/>
                      <w:numId w:val="0"/>
                    </w:numPr>
                    <w:suppressLineNumbers w:val="0"/>
                    <w:kinsoku/>
                    <w:wordWrap/>
                    <w:overflowPunct/>
                    <w:topLinePunct w:val="0"/>
                    <w:autoSpaceDE/>
                    <w:autoSpaceDN/>
                    <w:bidi w:val="0"/>
                    <w:adjustRightInd/>
                    <w:snapToGrid/>
                    <w:spacing w:before="0" w:beforeAutospacing="0" w:after="0" w:afterAutospacing="0" w:line="276" w:lineRule="auto"/>
                    <w:ind w:left="0" w:right="0"/>
                    <w:jc w:val="center"/>
                    <w:textAlignment w:val="auto"/>
                    <w:rPr>
                      <w:rFonts w:hint="eastAsia"/>
                      <w:sz w:val="21"/>
                      <w:szCs w:val="21"/>
                      <w:highlight w:val="none"/>
                      <w:vertAlign w:val="baseline"/>
                      <w:lang w:val="en-US" w:eastAsia="zh-CN"/>
                    </w:rPr>
                  </w:pPr>
                  <w:r>
                    <w:rPr>
                      <w:rFonts w:hint="eastAsia"/>
                      <w:sz w:val="21"/>
                      <w:szCs w:val="21"/>
                      <w:highlight w:val="none"/>
                      <w:vertAlign w:val="baseline"/>
                      <w:lang w:val="en-US" w:eastAsia="zh-CN"/>
                    </w:rPr>
                    <w:t>0</w:t>
                  </w:r>
                </w:p>
              </w:tc>
              <w:tc>
                <w:tcPr>
                  <w:tcW w:w="414" w:type="pct"/>
                  <w:vAlign w:val="center"/>
                </w:tcPr>
                <w:p w14:paraId="20BB267D">
                  <w:pPr>
                    <w:keepNext w:val="0"/>
                    <w:keepLines w:val="0"/>
                    <w:pageBreakBefore w:val="0"/>
                    <w:widowControl w:val="0"/>
                    <w:numPr>
                      <w:ilvl w:val="0"/>
                      <w:numId w:val="0"/>
                    </w:numPr>
                    <w:suppressLineNumbers w:val="0"/>
                    <w:kinsoku/>
                    <w:wordWrap/>
                    <w:overflowPunct/>
                    <w:topLinePunct w:val="0"/>
                    <w:autoSpaceDE/>
                    <w:autoSpaceDN/>
                    <w:bidi w:val="0"/>
                    <w:adjustRightInd/>
                    <w:snapToGrid/>
                    <w:spacing w:before="0" w:beforeAutospacing="0" w:after="0" w:afterAutospacing="0" w:line="276" w:lineRule="auto"/>
                    <w:ind w:left="0" w:right="0"/>
                    <w:jc w:val="center"/>
                    <w:textAlignment w:val="auto"/>
                    <w:rPr>
                      <w:rFonts w:hint="eastAsia"/>
                      <w:sz w:val="21"/>
                      <w:szCs w:val="21"/>
                      <w:highlight w:val="none"/>
                      <w:vertAlign w:val="baseline"/>
                      <w:lang w:val="en-US" w:eastAsia="zh-CN"/>
                    </w:rPr>
                  </w:pPr>
                  <w:r>
                    <w:rPr>
                      <w:rFonts w:hint="eastAsia"/>
                      <w:sz w:val="21"/>
                      <w:szCs w:val="21"/>
                      <w:highlight w:val="none"/>
                      <w:vertAlign w:val="baseline"/>
                      <w:lang w:val="en-US" w:eastAsia="zh-CN"/>
                    </w:rPr>
                    <w:t>0</w:t>
                  </w:r>
                </w:p>
              </w:tc>
              <w:tc>
                <w:tcPr>
                  <w:tcW w:w="414" w:type="pct"/>
                  <w:vAlign w:val="center"/>
                </w:tcPr>
                <w:p w14:paraId="48531B0B">
                  <w:pPr>
                    <w:keepNext w:val="0"/>
                    <w:keepLines w:val="0"/>
                    <w:pageBreakBefore w:val="0"/>
                    <w:widowControl w:val="0"/>
                    <w:numPr>
                      <w:ilvl w:val="0"/>
                      <w:numId w:val="0"/>
                    </w:numPr>
                    <w:suppressLineNumbers w:val="0"/>
                    <w:kinsoku/>
                    <w:wordWrap/>
                    <w:overflowPunct/>
                    <w:topLinePunct w:val="0"/>
                    <w:autoSpaceDE/>
                    <w:autoSpaceDN/>
                    <w:bidi w:val="0"/>
                    <w:adjustRightInd/>
                    <w:snapToGrid/>
                    <w:spacing w:before="0" w:beforeAutospacing="0" w:after="0" w:afterAutospacing="0" w:line="276" w:lineRule="auto"/>
                    <w:ind w:left="0" w:right="0"/>
                    <w:jc w:val="center"/>
                    <w:textAlignment w:val="auto"/>
                    <w:rPr>
                      <w:rFonts w:hint="default"/>
                      <w:sz w:val="21"/>
                      <w:szCs w:val="21"/>
                      <w:highlight w:val="none"/>
                      <w:vertAlign w:val="baseline"/>
                      <w:lang w:val="en-US" w:eastAsia="zh-CN"/>
                    </w:rPr>
                  </w:pPr>
                  <w:r>
                    <w:rPr>
                      <w:rFonts w:hint="eastAsia"/>
                      <w:sz w:val="21"/>
                      <w:szCs w:val="21"/>
                      <w:highlight w:val="none"/>
                      <w:vertAlign w:val="baseline"/>
                      <w:lang w:val="en-US" w:eastAsia="zh-CN"/>
                    </w:rPr>
                    <w:t>120</w:t>
                  </w:r>
                </w:p>
              </w:tc>
              <w:tc>
                <w:tcPr>
                  <w:tcW w:w="414" w:type="pct"/>
                  <w:vAlign w:val="center"/>
                </w:tcPr>
                <w:p w14:paraId="19A1502D">
                  <w:pPr>
                    <w:keepNext w:val="0"/>
                    <w:keepLines w:val="0"/>
                    <w:pageBreakBefore w:val="0"/>
                    <w:widowControl w:val="0"/>
                    <w:numPr>
                      <w:ilvl w:val="0"/>
                      <w:numId w:val="0"/>
                    </w:numPr>
                    <w:suppressLineNumbers w:val="0"/>
                    <w:kinsoku/>
                    <w:wordWrap/>
                    <w:overflowPunct/>
                    <w:topLinePunct w:val="0"/>
                    <w:autoSpaceDE/>
                    <w:autoSpaceDN/>
                    <w:bidi w:val="0"/>
                    <w:adjustRightInd/>
                    <w:snapToGrid/>
                    <w:spacing w:before="0" w:beforeAutospacing="0" w:after="0" w:afterAutospacing="0" w:line="276" w:lineRule="auto"/>
                    <w:ind w:left="0" w:right="0"/>
                    <w:jc w:val="center"/>
                    <w:textAlignment w:val="auto"/>
                    <w:rPr>
                      <w:rFonts w:hint="eastAsia"/>
                      <w:sz w:val="21"/>
                      <w:szCs w:val="21"/>
                      <w:highlight w:val="none"/>
                      <w:vertAlign w:val="baseline"/>
                      <w:lang w:val="en-US" w:eastAsia="zh-CN"/>
                    </w:rPr>
                  </w:pPr>
                  <w:r>
                    <w:rPr>
                      <w:rFonts w:hint="eastAsia"/>
                      <w:sz w:val="21"/>
                      <w:szCs w:val="21"/>
                      <w:highlight w:val="none"/>
                      <w:vertAlign w:val="baseline"/>
                      <w:lang w:val="en-US" w:eastAsia="zh-CN"/>
                    </w:rPr>
                    <w:t>0</w:t>
                  </w:r>
                </w:p>
              </w:tc>
              <w:tc>
                <w:tcPr>
                  <w:tcW w:w="417" w:type="pct"/>
                  <w:vAlign w:val="center"/>
                </w:tcPr>
                <w:p w14:paraId="575768DC">
                  <w:pPr>
                    <w:keepNext w:val="0"/>
                    <w:keepLines w:val="0"/>
                    <w:pageBreakBefore w:val="0"/>
                    <w:widowControl w:val="0"/>
                    <w:numPr>
                      <w:ilvl w:val="0"/>
                      <w:numId w:val="0"/>
                    </w:numPr>
                    <w:suppressLineNumbers w:val="0"/>
                    <w:kinsoku/>
                    <w:wordWrap/>
                    <w:overflowPunct/>
                    <w:topLinePunct w:val="0"/>
                    <w:autoSpaceDE/>
                    <w:autoSpaceDN/>
                    <w:bidi w:val="0"/>
                    <w:adjustRightInd/>
                    <w:snapToGrid/>
                    <w:spacing w:before="0" w:beforeAutospacing="0" w:after="0" w:afterAutospacing="0" w:line="276" w:lineRule="auto"/>
                    <w:ind w:left="0" w:right="0"/>
                    <w:jc w:val="center"/>
                    <w:textAlignment w:val="auto"/>
                    <w:rPr>
                      <w:rFonts w:hint="default"/>
                      <w:sz w:val="21"/>
                      <w:szCs w:val="21"/>
                      <w:highlight w:val="none"/>
                      <w:vertAlign w:val="baseline"/>
                      <w:lang w:val="en-US" w:eastAsia="zh-CN"/>
                    </w:rPr>
                  </w:pPr>
                  <w:r>
                    <w:rPr>
                      <w:rFonts w:hint="eastAsia"/>
                      <w:sz w:val="21"/>
                      <w:szCs w:val="21"/>
                      <w:highlight w:val="none"/>
                      <w:vertAlign w:val="baseline"/>
                      <w:lang w:val="en-US" w:eastAsia="zh-CN"/>
                    </w:rPr>
                    <w:t>12</w:t>
                  </w:r>
                </w:p>
              </w:tc>
            </w:tr>
            <w:tr w14:paraId="06A584E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0" w:hRule="atLeast"/>
              </w:trPr>
              <w:tc>
                <w:tcPr>
                  <w:tcW w:w="327" w:type="pct"/>
                  <w:vAlign w:val="center"/>
                </w:tcPr>
                <w:p w14:paraId="1B9239BD">
                  <w:pPr>
                    <w:keepNext w:val="0"/>
                    <w:keepLines w:val="0"/>
                    <w:pageBreakBefore w:val="0"/>
                    <w:widowControl w:val="0"/>
                    <w:numPr>
                      <w:ilvl w:val="0"/>
                      <w:numId w:val="0"/>
                    </w:numPr>
                    <w:suppressLineNumbers w:val="0"/>
                    <w:kinsoku/>
                    <w:wordWrap/>
                    <w:overflowPunct/>
                    <w:topLinePunct w:val="0"/>
                    <w:autoSpaceDE/>
                    <w:autoSpaceDN/>
                    <w:bidi w:val="0"/>
                    <w:adjustRightInd/>
                    <w:snapToGrid/>
                    <w:spacing w:before="0" w:beforeAutospacing="0" w:after="0" w:afterAutospacing="0" w:line="276" w:lineRule="auto"/>
                    <w:ind w:left="0" w:right="0"/>
                    <w:jc w:val="center"/>
                    <w:textAlignment w:val="auto"/>
                    <w:rPr>
                      <w:rFonts w:hint="default"/>
                      <w:sz w:val="21"/>
                      <w:szCs w:val="21"/>
                      <w:highlight w:val="none"/>
                      <w:vertAlign w:val="baseline"/>
                      <w:lang w:val="en-US" w:eastAsia="zh-CN"/>
                    </w:rPr>
                  </w:pPr>
                  <w:r>
                    <w:rPr>
                      <w:rFonts w:hint="eastAsia"/>
                      <w:sz w:val="21"/>
                      <w:szCs w:val="21"/>
                      <w:highlight w:val="none"/>
                      <w:vertAlign w:val="baseline"/>
                      <w:lang w:val="en-US" w:eastAsia="zh-CN"/>
                    </w:rPr>
                    <w:t>3</w:t>
                  </w:r>
                </w:p>
              </w:tc>
              <w:tc>
                <w:tcPr>
                  <w:tcW w:w="988" w:type="pct"/>
                  <w:vAlign w:val="center"/>
                </w:tcPr>
                <w:p w14:paraId="37DC00DC">
                  <w:pPr>
                    <w:keepNext w:val="0"/>
                    <w:keepLines w:val="0"/>
                    <w:pageBreakBefore w:val="0"/>
                    <w:widowControl w:val="0"/>
                    <w:numPr>
                      <w:ilvl w:val="0"/>
                      <w:numId w:val="0"/>
                    </w:numPr>
                    <w:suppressLineNumbers w:val="0"/>
                    <w:kinsoku/>
                    <w:wordWrap/>
                    <w:overflowPunct/>
                    <w:topLinePunct w:val="0"/>
                    <w:autoSpaceDE/>
                    <w:autoSpaceDN/>
                    <w:bidi w:val="0"/>
                    <w:adjustRightInd/>
                    <w:snapToGrid/>
                    <w:spacing w:before="0" w:beforeAutospacing="0" w:after="0" w:afterAutospacing="0" w:line="276" w:lineRule="auto"/>
                    <w:ind w:left="0" w:right="0"/>
                    <w:jc w:val="center"/>
                    <w:textAlignment w:val="auto"/>
                    <w:rPr>
                      <w:rFonts w:hint="eastAsia"/>
                      <w:sz w:val="21"/>
                      <w:szCs w:val="21"/>
                      <w:highlight w:val="none"/>
                      <w:vertAlign w:val="baseline"/>
                      <w:lang w:val="en-US" w:eastAsia="zh-CN"/>
                    </w:rPr>
                  </w:pPr>
                  <w:r>
                    <w:rPr>
                      <w:rFonts w:hint="eastAsia"/>
                      <w:sz w:val="21"/>
                      <w:szCs w:val="21"/>
                      <w:highlight w:val="none"/>
                      <w:vertAlign w:val="baseline"/>
                      <w:lang w:val="en-US" w:eastAsia="zh-CN"/>
                    </w:rPr>
                    <w:t>长期毒性实验</w:t>
                  </w:r>
                </w:p>
              </w:tc>
              <w:tc>
                <w:tcPr>
                  <w:tcW w:w="701" w:type="pct"/>
                  <w:vAlign w:val="center"/>
                </w:tcPr>
                <w:p w14:paraId="2DBED2A2">
                  <w:pPr>
                    <w:keepNext w:val="0"/>
                    <w:keepLines w:val="0"/>
                    <w:pageBreakBefore w:val="0"/>
                    <w:widowControl w:val="0"/>
                    <w:numPr>
                      <w:ilvl w:val="0"/>
                      <w:numId w:val="0"/>
                    </w:numPr>
                    <w:suppressLineNumbers w:val="0"/>
                    <w:kinsoku/>
                    <w:wordWrap/>
                    <w:overflowPunct/>
                    <w:topLinePunct w:val="0"/>
                    <w:autoSpaceDE/>
                    <w:autoSpaceDN/>
                    <w:bidi w:val="0"/>
                    <w:adjustRightInd/>
                    <w:snapToGrid/>
                    <w:spacing w:before="0" w:beforeAutospacing="0" w:after="0" w:afterAutospacing="0" w:line="276" w:lineRule="auto"/>
                    <w:ind w:left="0" w:right="0"/>
                    <w:jc w:val="center"/>
                    <w:textAlignment w:val="auto"/>
                    <w:rPr>
                      <w:rFonts w:hint="default"/>
                      <w:sz w:val="21"/>
                      <w:szCs w:val="21"/>
                      <w:highlight w:val="none"/>
                      <w:vertAlign w:val="baseline"/>
                      <w:lang w:val="en-US" w:eastAsia="zh-CN"/>
                    </w:rPr>
                  </w:pPr>
                  <w:r>
                    <w:rPr>
                      <w:rFonts w:hint="eastAsia"/>
                      <w:sz w:val="21"/>
                      <w:szCs w:val="21"/>
                      <w:highlight w:val="none"/>
                      <w:vertAlign w:val="baseline"/>
                      <w:lang w:val="en-US" w:eastAsia="zh-CN"/>
                    </w:rPr>
                    <w:t>13</w:t>
                  </w:r>
                </w:p>
              </w:tc>
              <w:tc>
                <w:tcPr>
                  <w:tcW w:w="440" w:type="pct"/>
                  <w:vAlign w:val="center"/>
                </w:tcPr>
                <w:p w14:paraId="3EABA56B">
                  <w:pPr>
                    <w:keepNext w:val="0"/>
                    <w:keepLines w:val="0"/>
                    <w:pageBreakBefore w:val="0"/>
                    <w:widowControl w:val="0"/>
                    <w:numPr>
                      <w:ilvl w:val="0"/>
                      <w:numId w:val="0"/>
                    </w:numPr>
                    <w:suppressLineNumbers w:val="0"/>
                    <w:kinsoku/>
                    <w:wordWrap/>
                    <w:overflowPunct/>
                    <w:topLinePunct w:val="0"/>
                    <w:autoSpaceDE/>
                    <w:autoSpaceDN/>
                    <w:bidi w:val="0"/>
                    <w:adjustRightInd/>
                    <w:snapToGrid/>
                    <w:spacing w:before="0" w:beforeAutospacing="0" w:after="0" w:afterAutospacing="0" w:line="276" w:lineRule="auto"/>
                    <w:ind w:left="0" w:right="0"/>
                    <w:jc w:val="center"/>
                    <w:textAlignment w:val="auto"/>
                    <w:rPr>
                      <w:rFonts w:hint="eastAsia"/>
                      <w:sz w:val="21"/>
                      <w:szCs w:val="21"/>
                      <w:highlight w:val="none"/>
                      <w:vertAlign w:val="baseline"/>
                      <w:lang w:val="en-US" w:eastAsia="zh-CN"/>
                    </w:rPr>
                  </w:pPr>
                  <w:r>
                    <w:rPr>
                      <w:rFonts w:hint="eastAsia"/>
                      <w:sz w:val="21"/>
                      <w:szCs w:val="21"/>
                      <w:highlight w:val="none"/>
                      <w:vertAlign w:val="baseline"/>
                      <w:lang w:val="en-US" w:eastAsia="zh-CN"/>
                    </w:rPr>
                    <w:t>0</w:t>
                  </w:r>
                </w:p>
              </w:tc>
              <w:tc>
                <w:tcPr>
                  <w:tcW w:w="440" w:type="pct"/>
                  <w:vAlign w:val="center"/>
                </w:tcPr>
                <w:p w14:paraId="5B30DAEA">
                  <w:pPr>
                    <w:keepNext w:val="0"/>
                    <w:keepLines w:val="0"/>
                    <w:pageBreakBefore w:val="0"/>
                    <w:widowControl w:val="0"/>
                    <w:numPr>
                      <w:ilvl w:val="0"/>
                      <w:numId w:val="0"/>
                    </w:numPr>
                    <w:suppressLineNumbers w:val="0"/>
                    <w:kinsoku/>
                    <w:wordWrap/>
                    <w:overflowPunct/>
                    <w:topLinePunct w:val="0"/>
                    <w:autoSpaceDE/>
                    <w:autoSpaceDN/>
                    <w:bidi w:val="0"/>
                    <w:adjustRightInd/>
                    <w:snapToGrid/>
                    <w:spacing w:before="0" w:beforeAutospacing="0" w:after="0" w:afterAutospacing="0" w:line="276" w:lineRule="auto"/>
                    <w:ind w:left="0" w:right="0"/>
                    <w:jc w:val="center"/>
                    <w:textAlignment w:val="auto"/>
                    <w:rPr>
                      <w:rFonts w:hint="default"/>
                      <w:sz w:val="21"/>
                      <w:szCs w:val="21"/>
                      <w:highlight w:val="none"/>
                      <w:vertAlign w:val="baseline"/>
                      <w:lang w:val="en-US" w:eastAsia="zh-CN"/>
                    </w:rPr>
                  </w:pPr>
                  <w:r>
                    <w:rPr>
                      <w:rFonts w:hint="eastAsia"/>
                      <w:sz w:val="21"/>
                      <w:szCs w:val="21"/>
                      <w:highlight w:val="none"/>
                      <w:vertAlign w:val="baseline"/>
                      <w:lang w:val="en-US" w:eastAsia="zh-CN"/>
                    </w:rPr>
                    <w:t>1600</w:t>
                  </w:r>
                </w:p>
              </w:tc>
              <w:tc>
                <w:tcPr>
                  <w:tcW w:w="441" w:type="pct"/>
                  <w:vAlign w:val="center"/>
                </w:tcPr>
                <w:p w14:paraId="6E772D43">
                  <w:pPr>
                    <w:keepNext w:val="0"/>
                    <w:keepLines w:val="0"/>
                    <w:pageBreakBefore w:val="0"/>
                    <w:widowControl w:val="0"/>
                    <w:numPr>
                      <w:ilvl w:val="0"/>
                      <w:numId w:val="0"/>
                    </w:numPr>
                    <w:suppressLineNumbers w:val="0"/>
                    <w:kinsoku/>
                    <w:wordWrap/>
                    <w:overflowPunct/>
                    <w:topLinePunct w:val="0"/>
                    <w:autoSpaceDE/>
                    <w:autoSpaceDN/>
                    <w:bidi w:val="0"/>
                    <w:adjustRightInd/>
                    <w:snapToGrid/>
                    <w:spacing w:before="0" w:beforeAutospacing="0" w:after="0" w:afterAutospacing="0" w:line="276" w:lineRule="auto"/>
                    <w:ind w:left="0" w:right="0"/>
                    <w:jc w:val="center"/>
                    <w:textAlignment w:val="auto"/>
                    <w:rPr>
                      <w:rFonts w:hint="eastAsia"/>
                      <w:sz w:val="21"/>
                      <w:szCs w:val="21"/>
                      <w:highlight w:val="none"/>
                      <w:vertAlign w:val="baseline"/>
                      <w:lang w:val="en-US" w:eastAsia="zh-CN"/>
                    </w:rPr>
                  </w:pPr>
                  <w:r>
                    <w:rPr>
                      <w:rFonts w:hint="eastAsia"/>
                      <w:sz w:val="21"/>
                      <w:szCs w:val="21"/>
                      <w:highlight w:val="none"/>
                      <w:vertAlign w:val="baseline"/>
                      <w:lang w:val="en-US" w:eastAsia="zh-CN"/>
                    </w:rPr>
                    <w:t>0</w:t>
                  </w:r>
                </w:p>
              </w:tc>
              <w:tc>
                <w:tcPr>
                  <w:tcW w:w="414" w:type="pct"/>
                  <w:vAlign w:val="center"/>
                </w:tcPr>
                <w:p w14:paraId="47D98A53">
                  <w:pPr>
                    <w:keepNext w:val="0"/>
                    <w:keepLines w:val="0"/>
                    <w:pageBreakBefore w:val="0"/>
                    <w:widowControl w:val="0"/>
                    <w:numPr>
                      <w:ilvl w:val="0"/>
                      <w:numId w:val="0"/>
                    </w:numPr>
                    <w:suppressLineNumbers w:val="0"/>
                    <w:kinsoku/>
                    <w:wordWrap/>
                    <w:overflowPunct/>
                    <w:topLinePunct w:val="0"/>
                    <w:autoSpaceDE/>
                    <w:autoSpaceDN/>
                    <w:bidi w:val="0"/>
                    <w:adjustRightInd/>
                    <w:snapToGrid/>
                    <w:spacing w:before="0" w:beforeAutospacing="0" w:after="0" w:afterAutospacing="0" w:line="276" w:lineRule="auto"/>
                    <w:ind w:left="0" w:right="0"/>
                    <w:jc w:val="center"/>
                    <w:textAlignment w:val="auto"/>
                    <w:rPr>
                      <w:rFonts w:hint="eastAsia"/>
                      <w:sz w:val="21"/>
                      <w:szCs w:val="21"/>
                      <w:highlight w:val="none"/>
                      <w:vertAlign w:val="baseline"/>
                      <w:lang w:val="en-US" w:eastAsia="zh-CN"/>
                    </w:rPr>
                  </w:pPr>
                  <w:r>
                    <w:rPr>
                      <w:rFonts w:hint="eastAsia"/>
                      <w:sz w:val="21"/>
                      <w:szCs w:val="21"/>
                      <w:highlight w:val="none"/>
                      <w:vertAlign w:val="baseline"/>
                      <w:lang w:val="en-US" w:eastAsia="zh-CN"/>
                    </w:rPr>
                    <w:t>0</w:t>
                  </w:r>
                </w:p>
              </w:tc>
              <w:tc>
                <w:tcPr>
                  <w:tcW w:w="414" w:type="pct"/>
                  <w:vAlign w:val="center"/>
                </w:tcPr>
                <w:p w14:paraId="7C197C18">
                  <w:pPr>
                    <w:keepNext w:val="0"/>
                    <w:keepLines w:val="0"/>
                    <w:pageBreakBefore w:val="0"/>
                    <w:widowControl w:val="0"/>
                    <w:numPr>
                      <w:ilvl w:val="0"/>
                      <w:numId w:val="0"/>
                    </w:numPr>
                    <w:suppressLineNumbers w:val="0"/>
                    <w:kinsoku/>
                    <w:wordWrap/>
                    <w:overflowPunct/>
                    <w:topLinePunct w:val="0"/>
                    <w:autoSpaceDE/>
                    <w:autoSpaceDN/>
                    <w:bidi w:val="0"/>
                    <w:adjustRightInd/>
                    <w:snapToGrid/>
                    <w:spacing w:before="0" w:beforeAutospacing="0" w:after="0" w:afterAutospacing="0" w:line="276" w:lineRule="auto"/>
                    <w:ind w:left="0" w:right="0"/>
                    <w:jc w:val="center"/>
                    <w:textAlignment w:val="auto"/>
                    <w:rPr>
                      <w:rFonts w:hint="default"/>
                      <w:sz w:val="21"/>
                      <w:szCs w:val="21"/>
                      <w:highlight w:val="none"/>
                      <w:vertAlign w:val="baseline"/>
                      <w:lang w:val="en-US" w:eastAsia="zh-CN"/>
                    </w:rPr>
                  </w:pPr>
                  <w:r>
                    <w:rPr>
                      <w:rFonts w:hint="eastAsia"/>
                      <w:sz w:val="21"/>
                      <w:szCs w:val="21"/>
                      <w:highlight w:val="none"/>
                      <w:vertAlign w:val="baseline"/>
                      <w:lang w:val="en-US" w:eastAsia="zh-CN"/>
                    </w:rPr>
                    <w:t>120</w:t>
                  </w:r>
                </w:p>
              </w:tc>
              <w:tc>
                <w:tcPr>
                  <w:tcW w:w="414" w:type="pct"/>
                  <w:vAlign w:val="center"/>
                </w:tcPr>
                <w:p w14:paraId="0773DCC2">
                  <w:pPr>
                    <w:keepNext w:val="0"/>
                    <w:keepLines w:val="0"/>
                    <w:pageBreakBefore w:val="0"/>
                    <w:widowControl w:val="0"/>
                    <w:numPr>
                      <w:ilvl w:val="0"/>
                      <w:numId w:val="0"/>
                    </w:numPr>
                    <w:suppressLineNumbers w:val="0"/>
                    <w:kinsoku/>
                    <w:wordWrap/>
                    <w:overflowPunct/>
                    <w:topLinePunct w:val="0"/>
                    <w:autoSpaceDE/>
                    <w:autoSpaceDN/>
                    <w:bidi w:val="0"/>
                    <w:adjustRightInd/>
                    <w:snapToGrid/>
                    <w:spacing w:before="0" w:beforeAutospacing="0" w:after="0" w:afterAutospacing="0" w:line="276" w:lineRule="auto"/>
                    <w:ind w:left="0" w:right="0"/>
                    <w:jc w:val="center"/>
                    <w:textAlignment w:val="auto"/>
                    <w:rPr>
                      <w:rFonts w:hint="eastAsia"/>
                      <w:sz w:val="21"/>
                      <w:szCs w:val="21"/>
                      <w:highlight w:val="none"/>
                      <w:vertAlign w:val="baseline"/>
                      <w:lang w:val="en-US" w:eastAsia="zh-CN"/>
                    </w:rPr>
                  </w:pPr>
                  <w:r>
                    <w:rPr>
                      <w:rFonts w:hint="eastAsia"/>
                      <w:sz w:val="21"/>
                      <w:szCs w:val="21"/>
                      <w:highlight w:val="none"/>
                      <w:vertAlign w:val="baseline"/>
                      <w:lang w:val="en-US" w:eastAsia="zh-CN"/>
                    </w:rPr>
                    <w:t>0</w:t>
                  </w:r>
                </w:p>
              </w:tc>
              <w:tc>
                <w:tcPr>
                  <w:tcW w:w="417" w:type="pct"/>
                  <w:vAlign w:val="center"/>
                </w:tcPr>
                <w:p w14:paraId="55260780">
                  <w:pPr>
                    <w:keepNext w:val="0"/>
                    <w:keepLines w:val="0"/>
                    <w:pageBreakBefore w:val="0"/>
                    <w:widowControl w:val="0"/>
                    <w:numPr>
                      <w:ilvl w:val="0"/>
                      <w:numId w:val="0"/>
                    </w:numPr>
                    <w:suppressLineNumbers w:val="0"/>
                    <w:kinsoku/>
                    <w:wordWrap/>
                    <w:overflowPunct/>
                    <w:topLinePunct w:val="0"/>
                    <w:autoSpaceDE/>
                    <w:autoSpaceDN/>
                    <w:bidi w:val="0"/>
                    <w:adjustRightInd/>
                    <w:snapToGrid/>
                    <w:spacing w:before="0" w:beforeAutospacing="0" w:after="0" w:afterAutospacing="0" w:line="276" w:lineRule="auto"/>
                    <w:ind w:left="0" w:right="0"/>
                    <w:jc w:val="center"/>
                    <w:textAlignment w:val="auto"/>
                    <w:rPr>
                      <w:rFonts w:hint="default"/>
                      <w:sz w:val="21"/>
                      <w:szCs w:val="21"/>
                      <w:highlight w:val="none"/>
                      <w:vertAlign w:val="baseline"/>
                      <w:lang w:val="en-US" w:eastAsia="zh-CN"/>
                    </w:rPr>
                  </w:pPr>
                  <w:r>
                    <w:rPr>
                      <w:rFonts w:hint="eastAsia"/>
                      <w:sz w:val="21"/>
                      <w:szCs w:val="21"/>
                      <w:highlight w:val="none"/>
                      <w:vertAlign w:val="baseline"/>
                      <w:lang w:val="en-US" w:eastAsia="zh-CN"/>
                    </w:rPr>
                    <w:t>32</w:t>
                  </w:r>
                </w:p>
              </w:tc>
            </w:tr>
            <w:tr w14:paraId="38EB7D4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0" w:hRule="atLeast"/>
              </w:trPr>
              <w:tc>
                <w:tcPr>
                  <w:tcW w:w="327" w:type="pct"/>
                  <w:vAlign w:val="center"/>
                </w:tcPr>
                <w:p w14:paraId="3B14940B">
                  <w:pPr>
                    <w:keepNext w:val="0"/>
                    <w:keepLines w:val="0"/>
                    <w:pageBreakBefore w:val="0"/>
                    <w:widowControl w:val="0"/>
                    <w:numPr>
                      <w:ilvl w:val="0"/>
                      <w:numId w:val="0"/>
                    </w:numPr>
                    <w:suppressLineNumbers w:val="0"/>
                    <w:kinsoku/>
                    <w:wordWrap/>
                    <w:overflowPunct/>
                    <w:topLinePunct w:val="0"/>
                    <w:autoSpaceDE/>
                    <w:autoSpaceDN/>
                    <w:bidi w:val="0"/>
                    <w:adjustRightInd/>
                    <w:snapToGrid/>
                    <w:spacing w:before="0" w:beforeAutospacing="0" w:after="0" w:afterAutospacing="0" w:line="276" w:lineRule="auto"/>
                    <w:ind w:left="0" w:right="0"/>
                    <w:jc w:val="center"/>
                    <w:textAlignment w:val="auto"/>
                    <w:rPr>
                      <w:rFonts w:hint="default"/>
                      <w:sz w:val="21"/>
                      <w:szCs w:val="21"/>
                      <w:highlight w:val="none"/>
                      <w:vertAlign w:val="baseline"/>
                      <w:lang w:val="en-US" w:eastAsia="zh-CN"/>
                    </w:rPr>
                  </w:pPr>
                  <w:r>
                    <w:rPr>
                      <w:rFonts w:hint="eastAsia"/>
                      <w:sz w:val="21"/>
                      <w:szCs w:val="21"/>
                      <w:highlight w:val="none"/>
                      <w:vertAlign w:val="baseline"/>
                      <w:lang w:val="en-US" w:eastAsia="zh-CN"/>
                    </w:rPr>
                    <w:t>4</w:t>
                  </w:r>
                </w:p>
              </w:tc>
              <w:tc>
                <w:tcPr>
                  <w:tcW w:w="988" w:type="pct"/>
                  <w:vAlign w:val="center"/>
                </w:tcPr>
                <w:p w14:paraId="608114AB">
                  <w:pPr>
                    <w:keepNext w:val="0"/>
                    <w:keepLines w:val="0"/>
                    <w:pageBreakBefore w:val="0"/>
                    <w:widowControl w:val="0"/>
                    <w:numPr>
                      <w:ilvl w:val="0"/>
                      <w:numId w:val="0"/>
                    </w:numPr>
                    <w:suppressLineNumbers w:val="0"/>
                    <w:kinsoku/>
                    <w:wordWrap/>
                    <w:overflowPunct/>
                    <w:topLinePunct w:val="0"/>
                    <w:autoSpaceDE/>
                    <w:autoSpaceDN/>
                    <w:bidi w:val="0"/>
                    <w:adjustRightInd/>
                    <w:snapToGrid/>
                    <w:spacing w:before="0" w:beforeAutospacing="0" w:after="0" w:afterAutospacing="0" w:line="276" w:lineRule="auto"/>
                    <w:ind w:left="0" w:right="0"/>
                    <w:jc w:val="center"/>
                    <w:textAlignment w:val="auto"/>
                    <w:rPr>
                      <w:rFonts w:hint="eastAsia"/>
                      <w:sz w:val="21"/>
                      <w:szCs w:val="21"/>
                      <w:highlight w:val="none"/>
                      <w:vertAlign w:val="baseline"/>
                      <w:lang w:val="en-US" w:eastAsia="zh-CN"/>
                    </w:rPr>
                  </w:pPr>
                  <w:r>
                    <w:rPr>
                      <w:rFonts w:hint="eastAsia"/>
                      <w:sz w:val="21"/>
                      <w:szCs w:val="21"/>
                      <w:highlight w:val="none"/>
                      <w:vertAlign w:val="baseline"/>
                      <w:lang w:val="en-US" w:eastAsia="zh-CN"/>
                    </w:rPr>
                    <w:t>药代动力学实验</w:t>
                  </w:r>
                </w:p>
              </w:tc>
              <w:tc>
                <w:tcPr>
                  <w:tcW w:w="701" w:type="pct"/>
                  <w:vAlign w:val="center"/>
                </w:tcPr>
                <w:p w14:paraId="377B6018">
                  <w:pPr>
                    <w:keepNext w:val="0"/>
                    <w:keepLines w:val="0"/>
                    <w:pageBreakBefore w:val="0"/>
                    <w:widowControl w:val="0"/>
                    <w:numPr>
                      <w:ilvl w:val="0"/>
                      <w:numId w:val="0"/>
                    </w:numPr>
                    <w:suppressLineNumbers w:val="0"/>
                    <w:kinsoku/>
                    <w:wordWrap/>
                    <w:overflowPunct/>
                    <w:topLinePunct w:val="0"/>
                    <w:autoSpaceDE/>
                    <w:autoSpaceDN/>
                    <w:bidi w:val="0"/>
                    <w:adjustRightInd/>
                    <w:snapToGrid/>
                    <w:spacing w:before="0" w:beforeAutospacing="0" w:after="0" w:afterAutospacing="0" w:line="276" w:lineRule="auto"/>
                    <w:ind w:left="0" w:right="0"/>
                    <w:jc w:val="center"/>
                    <w:textAlignment w:val="auto"/>
                    <w:rPr>
                      <w:rFonts w:hint="default"/>
                      <w:sz w:val="21"/>
                      <w:szCs w:val="21"/>
                      <w:highlight w:val="none"/>
                      <w:vertAlign w:val="baseline"/>
                      <w:lang w:val="en-US" w:eastAsia="zh-CN"/>
                    </w:rPr>
                  </w:pPr>
                  <w:r>
                    <w:rPr>
                      <w:rFonts w:hint="eastAsia"/>
                      <w:sz w:val="21"/>
                      <w:szCs w:val="21"/>
                      <w:highlight w:val="none"/>
                      <w:vertAlign w:val="baseline"/>
                      <w:lang w:val="en-US" w:eastAsia="zh-CN"/>
                    </w:rPr>
                    <w:t>1125</w:t>
                  </w:r>
                </w:p>
              </w:tc>
              <w:tc>
                <w:tcPr>
                  <w:tcW w:w="440" w:type="pct"/>
                  <w:vAlign w:val="center"/>
                </w:tcPr>
                <w:p w14:paraId="49F4F2BD">
                  <w:pPr>
                    <w:keepNext w:val="0"/>
                    <w:keepLines w:val="0"/>
                    <w:pageBreakBefore w:val="0"/>
                    <w:widowControl w:val="0"/>
                    <w:numPr>
                      <w:ilvl w:val="0"/>
                      <w:numId w:val="0"/>
                    </w:numPr>
                    <w:suppressLineNumbers w:val="0"/>
                    <w:kinsoku/>
                    <w:wordWrap/>
                    <w:overflowPunct/>
                    <w:topLinePunct w:val="0"/>
                    <w:autoSpaceDE/>
                    <w:autoSpaceDN/>
                    <w:bidi w:val="0"/>
                    <w:adjustRightInd/>
                    <w:snapToGrid/>
                    <w:spacing w:before="0" w:beforeAutospacing="0" w:after="0" w:afterAutospacing="0" w:line="276" w:lineRule="auto"/>
                    <w:ind w:left="0" w:right="0"/>
                    <w:jc w:val="center"/>
                    <w:textAlignment w:val="auto"/>
                    <w:rPr>
                      <w:rFonts w:hint="default"/>
                      <w:sz w:val="21"/>
                      <w:szCs w:val="21"/>
                      <w:highlight w:val="none"/>
                      <w:vertAlign w:val="baseline"/>
                      <w:lang w:val="en-US" w:eastAsia="zh-CN"/>
                    </w:rPr>
                  </w:pPr>
                  <w:r>
                    <w:rPr>
                      <w:rFonts w:hint="eastAsia"/>
                      <w:sz w:val="21"/>
                      <w:szCs w:val="21"/>
                      <w:highlight w:val="none"/>
                      <w:vertAlign w:val="baseline"/>
                      <w:lang w:val="en-US" w:eastAsia="zh-CN"/>
                    </w:rPr>
                    <w:t>20000</w:t>
                  </w:r>
                </w:p>
              </w:tc>
              <w:tc>
                <w:tcPr>
                  <w:tcW w:w="440" w:type="pct"/>
                  <w:vAlign w:val="center"/>
                </w:tcPr>
                <w:p w14:paraId="083B8F1A">
                  <w:pPr>
                    <w:keepNext w:val="0"/>
                    <w:keepLines w:val="0"/>
                    <w:pageBreakBefore w:val="0"/>
                    <w:widowControl w:val="0"/>
                    <w:numPr>
                      <w:ilvl w:val="0"/>
                      <w:numId w:val="0"/>
                    </w:numPr>
                    <w:suppressLineNumbers w:val="0"/>
                    <w:kinsoku/>
                    <w:wordWrap/>
                    <w:overflowPunct/>
                    <w:topLinePunct w:val="0"/>
                    <w:autoSpaceDE/>
                    <w:autoSpaceDN/>
                    <w:bidi w:val="0"/>
                    <w:adjustRightInd/>
                    <w:snapToGrid/>
                    <w:spacing w:before="0" w:beforeAutospacing="0" w:after="0" w:afterAutospacing="0" w:line="276" w:lineRule="auto"/>
                    <w:ind w:left="0" w:right="0"/>
                    <w:jc w:val="center"/>
                    <w:textAlignment w:val="auto"/>
                    <w:rPr>
                      <w:rFonts w:hint="default"/>
                      <w:sz w:val="21"/>
                      <w:szCs w:val="21"/>
                      <w:highlight w:val="none"/>
                      <w:vertAlign w:val="baseline"/>
                      <w:lang w:val="en-US" w:eastAsia="zh-CN"/>
                    </w:rPr>
                  </w:pPr>
                  <w:r>
                    <w:rPr>
                      <w:rFonts w:hint="eastAsia"/>
                      <w:sz w:val="21"/>
                      <w:szCs w:val="21"/>
                      <w:highlight w:val="none"/>
                      <w:vertAlign w:val="baseline"/>
                      <w:lang w:val="en-US" w:eastAsia="zh-CN"/>
                    </w:rPr>
                    <w:t>4000</w:t>
                  </w:r>
                </w:p>
              </w:tc>
              <w:tc>
                <w:tcPr>
                  <w:tcW w:w="441" w:type="pct"/>
                  <w:vAlign w:val="center"/>
                </w:tcPr>
                <w:p w14:paraId="02D9005F">
                  <w:pPr>
                    <w:keepNext w:val="0"/>
                    <w:keepLines w:val="0"/>
                    <w:pageBreakBefore w:val="0"/>
                    <w:widowControl w:val="0"/>
                    <w:numPr>
                      <w:ilvl w:val="0"/>
                      <w:numId w:val="0"/>
                    </w:numPr>
                    <w:suppressLineNumbers w:val="0"/>
                    <w:kinsoku/>
                    <w:wordWrap/>
                    <w:overflowPunct/>
                    <w:topLinePunct w:val="0"/>
                    <w:autoSpaceDE/>
                    <w:autoSpaceDN/>
                    <w:bidi w:val="0"/>
                    <w:adjustRightInd/>
                    <w:snapToGrid/>
                    <w:spacing w:before="0" w:beforeAutospacing="0" w:after="0" w:afterAutospacing="0" w:line="276" w:lineRule="auto"/>
                    <w:ind w:left="0" w:right="0"/>
                    <w:jc w:val="center"/>
                    <w:textAlignment w:val="auto"/>
                    <w:rPr>
                      <w:rFonts w:hint="eastAsia"/>
                      <w:sz w:val="21"/>
                      <w:szCs w:val="21"/>
                      <w:highlight w:val="none"/>
                      <w:vertAlign w:val="baseline"/>
                      <w:lang w:val="en-US" w:eastAsia="zh-CN"/>
                    </w:rPr>
                  </w:pPr>
                  <w:r>
                    <w:rPr>
                      <w:rFonts w:hint="eastAsia"/>
                      <w:sz w:val="21"/>
                      <w:szCs w:val="21"/>
                      <w:highlight w:val="none"/>
                      <w:vertAlign w:val="baseline"/>
                      <w:lang w:val="en-US" w:eastAsia="zh-CN"/>
                    </w:rPr>
                    <w:t>0</w:t>
                  </w:r>
                </w:p>
              </w:tc>
              <w:tc>
                <w:tcPr>
                  <w:tcW w:w="414" w:type="pct"/>
                  <w:vAlign w:val="center"/>
                </w:tcPr>
                <w:p w14:paraId="67CDB0F4">
                  <w:pPr>
                    <w:keepNext w:val="0"/>
                    <w:keepLines w:val="0"/>
                    <w:pageBreakBefore w:val="0"/>
                    <w:widowControl w:val="0"/>
                    <w:numPr>
                      <w:ilvl w:val="0"/>
                      <w:numId w:val="0"/>
                    </w:numPr>
                    <w:suppressLineNumbers w:val="0"/>
                    <w:kinsoku/>
                    <w:wordWrap/>
                    <w:overflowPunct/>
                    <w:topLinePunct w:val="0"/>
                    <w:autoSpaceDE/>
                    <w:autoSpaceDN/>
                    <w:bidi w:val="0"/>
                    <w:adjustRightInd/>
                    <w:snapToGrid/>
                    <w:spacing w:before="0" w:beforeAutospacing="0" w:after="0" w:afterAutospacing="0" w:line="276" w:lineRule="auto"/>
                    <w:ind w:left="0" w:right="0"/>
                    <w:jc w:val="center"/>
                    <w:textAlignment w:val="auto"/>
                    <w:rPr>
                      <w:rFonts w:hint="eastAsia"/>
                      <w:sz w:val="21"/>
                      <w:szCs w:val="21"/>
                      <w:highlight w:val="none"/>
                      <w:vertAlign w:val="baseline"/>
                      <w:lang w:val="en-US" w:eastAsia="zh-CN"/>
                    </w:rPr>
                  </w:pPr>
                  <w:r>
                    <w:rPr>
                      <w:rFonts w:hint="eastAsia"/>
                      <w:sz w:val="21"/>
                      <w:szCs w:val="21"/>
                      <w:highlight w:val="none"/>
                      <w:vertAlign w:val="baseline"/>
                      <w:lang w:val="en-US" w:eastAsia="zh-CN"/>
                    </w:rPr>
                    <w:t>0</w:t>
                  </w:r>
                </w:p>
              </w:tc>
              <w:tc>
                <w:tcPr>
                  <w:tcW w:w="414" w:type="pct"/>
                  <w:vAlign w:val="center"/>
                </w:tcPr>
                <w:p w14:paraId="6D1CDAAE">
                  <w:pPr>
                    <w:keepNext w:val="0"/>
                    <w:keepLines w:val="0"/>
                    <w:pageBreakBefore w:val="0"/>
                    <w:widowControl w:val="0"/>
                    <w:numPr>
                      <w:ilvl w:val="0"/>
                      <w:numId w:val="0"/>
                    </w:numPr>
                    <w:suppressLineNumbers w:val="0"/>
                    <w:kinsoku/>
                    <w:wordWrap/>
                    <w:overflowPunct/>
                    <w:topLinePunct w:val="0"/>
                    <w:autoSpaceDE/>
                    <w:autoSpaceDN/>
                    <w:bidi w:val="0"/>
                    <w:adjustRightInd/>
                    <w:snapToGrid/>
                    <w:spacing w:before="0" w:beforeAutospacing="0" w:after="0" w:afterAutospacing="0" w:line="276" w:lineRule="auto"/>
                    <w:ind w:left="0" w:right="0"/>
                    <w:jc w:val="center"/>
                    <w:textAlignment w:val="auto"/>
                    <w:rPr>
                      <w:rFonts w:hint="default"/>
                      <w:sz w:val="21"/>
                      <w:szCs w:val="21"/>
                      <w:highlight w:val="none"/>
                      <w:vertAlign w:val="baseline"/>
                      <w:lang w:val="en-US" w:eastAsia="zh-CN"/>
                    </w:rPr>
                  </w:pPr>
                  <w:r>
                    <w:rPr>
                      <w:rFonts w:hint="eastAsia"/>
                      <w:sz w:val="21"/>
                      <w:szCs w:val="21"/>
                      <w:highlight w:val="none"/>
                      <w:vertAlign w:val="baseline"/>
                      <w:lang w:val="en-US" w:eastAsia="zh-CN"/>
                    </w:rPr>
                    <w:t>120</w:t>
                  </w:r>
                </w:p>
              </w:tc>
              <w:tc>
                <w:tcPr>
                  <w:tcW w:w="414" w:type="pct"/>
                  <w:vAlign w:val="center"/>
                </w:tcPr>
                <w:p w14:paraId="0EA845FF">
                  <w:pPr>
                    <w:keepNext w:val="0"/>
                    <w:keepLines w:val="0"/>
                    <w:pageBreakBefore w:val="0"/>
                    <w:widowControl w:val="0"/>
                    <w:numPr>
                      <w:ilvl w:val="0"/>
                      <w:numId w:val="0"/>
                    </w:numPr>
                    <w:suppressLineNumbers w:val="0"/>
                    <w:kinsoku/>
                    <w:wordWrap/>
                    <w:overflowPunct/>
                    <w:topLinePunct w:val="0"/>
                    <w:autoSpaceDE/>
                    <w:autoSpaceDN/>
                    <w:bidi w:val="0"/>
                    <w:adjustRightInd/>
                    <w:snapToGrid/>
                    <w:spacing w:before="0" w:beforeAutospacing="0" w:after="0" w:afterAutospacing="0" w:line="276" w:lineRule="auto"/>
                    <w:ind w:left="0" w:right="0"/>
                    <w:jc w:val="center"/>
                    <w:textAlignment w:val="auto"/>
                    <w:rPr>
                      <w:rFonts w:hint="eastAsia"/>
                      <w:sz w:val="21"/>
                      <w:szCs w:val="21"/>
                      <w:highlight w:val="none"/>
                      <w:vertAlign w:val="baseline"/>
                      <w:lang w:val="en-US" w:eastAsia="zh-CN"/>
                    </w:rPr>
                  </w:pPr>
                  <w:r>
                    <w:rPr>
                      <w:rFonts w:hint="eastAsia"/>
                      <w:sz w:val="21"/>
                      <w:szCs w:val="21"/>
                      <w:highlight w:val="none"/>
                      <w:vertAlign w:val="baseline"/>
                      <w:lang w:val="en-US" w:eastAsia="zh-CN"/>
                    </w:rPr>
                    <w:t>0</w:t>
                  </w:r>
                </w:p>
              </w:tc>
              <w:tc>
                <w:tcPr>
                  <w:tcW w:w="417" w:type="pct"/>
                  <w:vAlign w:val="center"/>
                </w:tcPr>
                <w:p w14:paraId="0A0999E0">
                  <w:pPr>
                    <w:keepNext w:val="0"/>
                    <w:keepLines w:val="0"/>
                    <w:pageBreakBefore w:val="0"/>
                    <w:widowControl w:val="0"/>
                    <w:numPr>
                      <w:ilvl w:val="0"/>
                      <w:numId w:val="0"/>
                    </w:numPr>
                    <w:suppressLineNumbers w:val="0"/>
                    <w:kinsoku/>
                    <w:wordWrap/>
                    <w:overflowPunct/>
                    <w:topLinePunct w:val="0"/>
                    <w:autoSpaceDE/>
                    <w:autoSpaceDN/>
                    <w:bidi w:val="0"/>
                    <w:adjustRightInd/>
                    <w:snapToGrid/>
                    <w:spacing w:before="0" w:beforeAutospacing="0" w:after="0" w:afterAutospacing="0" w:line="276" w:lineRule="auto"/>
                    <w:ind w:left="0" w:right="0"/>
                    <w:jc w:val="center"/>
                    <w:textAlignment w:val="auto"/>
                    <w:rPr>
                      <w:rFonts w:hint="default"/>
                      <w:sz w:val="21"/>
                      <w:szCs w:val="21"/>
                      <w:highlight w:val="none"/>
                      <w:vertAlign w:val="baseline"/>
                      <w:lang w:val="en-US" w:eastAsia="zh-CN"/>
                    </w:rPr>
                  </w:pPr>
                  <w:r>
                    <w:rPr>
                      <w:rFonts w:hint="eastAsia"/>
                      <w:sz w:val="21"/>
                      <w:szCs w:val="21"/>
                      <w:highlight w:val="none"/>
                      <w:vertAlign w:val="baseline"/>
                      <w:lang w:val="en-US" w:eastAsia="zh-CN"/>
                    </w:rPr>
                    <w:t>32</w:t>
                  </w:r>
                </w:p>
              </w:tc>
            </w:tr>
            <w:tr w14:paraId="385F779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0" w:hRule="atLeast"/>
              </w:trPr>
              <w:tc>
                <w:tcPr>
                  <w:tcW w:w="327" w:type="pct"/>
                  <w:vAlign w:val="center"/>
                </w:tcPr>
                <w:p w14:paraId="1AA38B50">
                  <w:pPr>
                    <w:keepNext w:val="0"/>
                    <w:keepLines w:val="0"/>
                    <w:pageBreakBefore w:val="0"/>
                    <w:widowControl w:val="0"/>
                    <w:numPr>
                      <w:ilvl w:val="0"/>
                      <w:numId w:val="0"/>
                    </w:numPr>
                    <w:suppressLineNumbers w:val="0"/>
                    <w:kinsoku/>
                    <w:wordWrap/>
                    <w:overflowPunct/>
                    <w:topLinePunct w:val="0"/>
                    <w:autoSpaceDE/>
                    <w:autoSpaceDN/>
                    <w:bidi w:val="0"/>
                    <w:adjustRightInd/>
                    <w:snapToGrid/>
                    <w:spacing w:before="0" w:beforeAutospacing="0" w:after="0" w:afterAutospacing="0" w:line="276" w:lineRule="auto"/>
                    <w:ind w:left="0" w:right="0"/>
                    <w:jc w:val="center"/>
                    <w:textAlignment w:val="auto"/>
                    <w:rPr>
                      <w:rFonts w:hint="default"/>
                      <w:sz w:val="21"/>
                      <w:szCs w:val="21"/>
                      <w:highlight w:val="none"/>
                      <w:vertAlign w:val="baseline"/>
                      <w:lang w:val="en-US" w:eastAsia="zh-CN"/>
                    </w:rPr>
                  </w:pPr>
                  <w:r>
                    <w:rPr>
                      <w:rFonts w:hint="eastAsia"/>
                      <w:sz w:val="21"/>
                      <w:szCs w:val="21"/>
                      <w:highlight w:val="none"/>
                      <w:vertAlign w:val="baseline"/>
                      <w:lang w:val="en-US" w:eastAsia="zh-CN"/>
                    </w:rPr>
                    <w:t>5</w:t>
                  </w:r>
                </w:p>
              </w:tc>
              <w:tc>
                <w:tcPr>
                  <w:tcW w:w="988" w:type="pct"/>
                  <w:vAlign w:val="center"/>
                </w:tcPr>
                <w:p w14:paraId="005933D6">
                  <w:pPr>
                    <w:keepNext w:val="0"/>
                    <w:keepLines w:val="0"/>
                    <w:pageBreakBefore w:val="0"/>
                    <w:widowControl w:val="0"/>
                    <w:numPr>
                      <w:ilvl w:val="0"/>
                      <w:numId w:val="0"/>
                    </w:numPr>
                    <w:suppressLineNumbers w:val="0"/>
                    <w:kinsoku/>
                    <w:wordWrap/>
                    <w:overflowPunct/>
                    <w:topLinePunct w:val="0"/>
                    <w:autoSpaceDE/>
                    <w:autoSpaceDN/>
                    <w:bidi w:val="0"/>
                    <w:adjustRightInd/>
                    <w:snapToGrid/>
                    <w:spacing w:before="0" w:beforeAutospacing="0" w:after="0" w:afterAutospacing="0" w:line="276" w:lineRule="auto"/>
                    <w:ind w:left="0" w:right="0"/>
                    <w:jc w:val="center"/>
                    <w:textAlignment w:val="auto"/>
                    <w:rPr>
                      <w:rFonts w:hint="eastAsia"/>
                      <w:sz w:val="21"/>
                      <w:szCs w:val="21"/>
                      <w:highlight w:val="none"/>
                      <w:vertAlign w:val="baseline"/>
                      <w:lang w:val="en-US" w:eastAsia="zh-CN"/>
                    </w:rPr>
                  </w:pPr>
                  <w:r>
                    <w:rPr>
                      <w:rFonts w:hint="eastAsia"/>
                      <w:sz w:val="21"/>
                      <w:szCs w:val="21"/>
                      <w:highlight w:val="none"/>
                      <w:vertAlign w:val="baseline"/>
                      <w:lang w:val="en-US" w:eastAsia="zh-CN"/>
                    </w:rPr>
                    <w:t>药效试验</w:t>
                  </w:r>
                </w:p>
              </w:tc>
              <w:tc>
                <w:tcPr>
                  <w:tcW w:w="701" w:type="pct"/>
                  <w:vAlign w:val="center"/>
                </w:tcPr>
                <w:p w14:paraId="39E43CB0">
                  <w:pPr>
                    <w:keepNext w:val="0"/>
                    <w:keepLines w:val="0"/>
                    <w:pageBreakBefore w:val="0"/>
                    <w:widowControl w:val="0"/>
                    <w:numPr>
                      <w:ilvl w:val="0"/>
                      <w:numId w:val="0"/>
                    </w:numPr>
                    <w:suppressLineNumbers w:val="0"/>
                    <w:kinsoku/>
                    <w:wordWrap/>
                    <w:overflowPunct/>
                    <w:topLinePunct w:val="0"/>
                    <w:autoSpaceDE/>
                    <w:autoSpaceDN/>
                    <w:bidi w:val="0"/>
                    <w:adjustRightInd/>
                    <w:snapToGrid/>
                    <w:spacing w:before="0" w:beforeAutospacing="0" w:after="0" w:afterAutospacing="0" w:line="276" w:lineRule="auto"/>
                    <w:ind w:left="0" w:right="0"/>
                    <w:jc w:val="center"/>
                    <w:textAlignment w:val="auto"/>
                    <w:rPr>
                      <w:rFonts w:hint="default"/>
                      <w:sz w:val="21"/>
                      <w:szCs w:val="21"/>
                      <w:highlight w:val="none"/>
                      <w:vertAlign w:val="baseline"/>
                      <w:lang w:val="en-US" w:eastAsia="zh-CN"/>
                    </w:rPr>
                  </w:pPr>
                  <w:r>
                    <w:rPr>
                      <w:rFonts w:hint="eastAsia"/>
                      <w:sz w:val="21"/>
                      <w:szCs w:val="21"/>
                      <w:highlight w:val="none"/>
                      <w:vertAlign w:val="baseline"/>
                      <w:lang w:val="en-US" w:eastAsia="zh-CN"/>
                    </w:rPr>
                    <w:t>110</w:t>
                  </w:r>
                </w:p>
              </w:tc>
              <w:tc>
                <w:tcPr>
                  <w:tcW w:w="440" w:type="pct"/>
                  <w:vAlign w:val="center"/>
                </w:tcPr>
                <w:p w14:paraId="332AE930">
                  <w:pPr>
                    <w:keepNext w:val="0"/>
                    <w:keepLines w:val="0"/>
                    <w:pageBreakBefore w:val="0"/>
                    <w:widowControl w:val="0"/>
                    <w:numPr>
                      <w:ilvl w:val="0"/>
                      <w:numId w:val="0"/>
                    </w:numPr>
                    <w:suppressLineNumbers w:val="0"/>
                    <w:kinsoku/>
                    <w:wordWrap/>
                    <w:overflowPunct/>
                    <w:topLinePunct w:val="0"/>
                    <w:autoSpaceDE/>
                    <w:autoSpaceDN/>
                    <w:bidi w:val="0"/>
                    <w:adjustRightInd/>
                    <w:snapToGrid/>
                    <w:spacing w:before="0" w:beforeAutospacing="0" w:after="0" w:afterAutospacing="0" w:line="276" w:lineRule="auto"/>
                    <w:ind w:left="0" w:right="0"/>
                    <w:jc w:val="center"/>
                    <w:textAlignment w:val="auto"/>
                    <w:rPr>
                      <w:rFonts w:hint="default"/>
                      <w:sz w:val="21"/>
                      <w:szCs w:val="21"/>
                      <w:highlight w:val="none"/>
                      <w:vertAlign w:val="baseline"/>
                      <w:lang w:val="en-US" w:eastAsia="zh-CN"/>
                    </w:rPr>
                  </w:pPr>
                  <w:r>
                    <w:rPr>
                      <w:rFonts w:hint="eastAsia"/>
                      <w:sz w:val="21"/>
                      <w:szCs w:val="21"/>
                      <w:highlight w:val="none"/>
                      <w:vertAlign w:val="baseline"/>
                      <w:lang w:val="en-US" w:eastAsia="zh-CN"/>
                    </w:rPr>
                    <w:t>8000</w:t>
                  </w:r>
                </w:p>
              </w:tc>
              <w:tc>
                <w:tcPr>
                  <w:tcW w:w="440" w:type="pct"/>
                  <w:vAlign w:val="center"/>
                </w:tcPr>
                <w:p w14:paraId="151E5677">
                  <w:pPr>
                    <w:keepNext w:val="0"/>
                    <w:keepLines w:val="0"/>
                    <w:pageBreakBefore w:val="0"/>
                    <w:widowControl w:val="0"/>
                    <w:numPr>
                      <w:ilvl w:val="0"/>
                      <w:numId w:val="0"/>
                    </w:numPr>
                    <w:suppressLineNumbers w:val="0"/>
                    <w:kinsoku/>
                    <w:wordWrap/>
                    <w:overflowPunct/>
                    <w:topLinePunct w:val="0"/>
                    <w:autoSpaceDE/>
                    <w:autoSpaceDN/>
                    <w:bidi w:val="0"/>
                    <w:adjustRightInd/>
                    <w:snapToGrid/>
                    <w:spacing w:before="0" w:beforeAutospacing="0" w:after="0" w:afterAutospacing="0" w:line="276" w:lineRule="auto"/>
                    <w:ind w:left="0" w:right="0"/>
                    <w:jc w:val="center"/>
                    <w:textAlignment w:val="auto"/>
                    <w:rPr>
                      <w:rFonts w:hint="default"/>
                      <w:sz w:val="21"/>
                      <w:szCs w:val="21"/>
                      <w:highlight w:val="none"/>
                      <w:vertAlign w:val="baseline"/>
                      <w:lang w:val="en-US" w:eastAsia="zh-CN"/>
                    </w:rPr>
                  </w:pPr>
                  <w:r>
                    <w:rPr>
                      <w:rFonts w:hint="eastAsia"/>
                      <w:sz w:val="21"/>
                      <w:szCs w:val="21"/>
                      <w:highlight w:val="none"/>
                      <w:vertAlign w:val="baseline"/>
                      <w:lang w:val="en-US" w:eastAsia="zh-CN"/>
                    </w:rPr>
                    <w:t>800</w:t>
                  </w:r>
                </w:p>
              </w:tc>
              <w:tc>
                <w:tcPr>
                  <w:tcW w:w="441" w:type="pct"/>
                  <w:vAlign w:val="center"/>
                </w:tcPr>
                <w:p w14:paraId="508531B6">
                  <w:pPr>
                    <w:keepNext w:val="0"/>
                    <w:keepLines w:val="0"/>
                    <w:pageBreakBefore w:val="0"/>
                    <w:widowControl w:val="0"/>
                    <w:numPr>
                      <w:ilvl w:val="0"/>
                      <w:numId w:val="0"/>
                    </w:numPr>
                    <w:suppressLineNumbers w:val="0"/>
                    <w:kinsoku/>
                    <w:wordWrap/>
                    <w:overflowPunct/>
                    <w:topLinePunct w:val="0"/>
                    <w:autoSpaceDE/>
                    <w:autoSpaceDN/>
                    <w:bidi w:val="0"/>
                    <w:adjustRightInd/>
                    <w:snapToGrid/>
                    <w:spacing w:before="0" w:beforeAutospacing="0" w:after="0" w:afterAutospacing="0" w:line="276" w:lineRule="auto"/>
                    <w:ind w:left="0" w:right="0"/>
                    <w:jc w:val="center"/>
                    <w:textAlignment w:val="auto"/>
                    <w:rPr>
                      <w:rFonts w:hint="eastAsia"/>
                      <w:sz w:val="21"/>
                      <w:szCs w:val="21"/>
                      <w:highlight w:val="none"/>
                      <w:vertAlign w:val="baseline"/>
                      <w:lang w:val="en-US" w:eastAsia="zh-CN"/>
                    </w:rPr>
                  </w:pPr>
                  <w:r>
                    <w:rPr>
                      <w:rFonts w:hint="eastAsia"/>
                      <w:sz w:val="21"/>
                      <w:szCs w:val="21"/>
                      <w:highlight w:val="none"/>
                      <w:vertAlign w:val="baseline"/>
                      <w:lang w:val="en-US" w:eastAsia="zh-CN"/>
                    </w:rPr>
                    <w:t>0</w:t>
                  </w:r>
                </w:p>
              </w:tc>
              <w:tc>
                <w:tcPr>
                  <w:tcW w:w="414" w:type="pct"/>
                  <w:vAlign w:val="center"/>
                </w:tcPr>
                <w:p w14:paraId="6E841428">
                  <w:pPr>
                    <w:keepNext w:val="0"/>
                    <w:keepLines w:val="0"/>
                    <w:pageBreakBefore w:val="0"/>
                    <w:widowControl w:val="0"/>
                    <w:numPr>
                      <w:ilvl w:val="0"/>
                      <w:numId w:val="0"/>
                    </w:numPr>
                    <w:suppressLineNumbers w:val="0"/>
                    <w:kinsoku/>
                    <w:wordWrap/>
                    <w:overflowPunct/>
                    <w:topLinePunct w:val="0"/>
                    <w:autoSpaceDE/>
                    <w:autoSpaceDN/>
                    <w:bidi w:val="0"/>
                    <w:adjustRightInd/>
                    <w:snapToGrid/>
                    <w:spacing w:before="0" w:beforeAutospacing="0" w:after="0" w:afterAutospacing="0" w:line="276" w:lineRule="auto"/>
                    <w:ind w:left="0" w:right="0"/>
                    <w:jc w:val="center"/>
                    <w:textAlignment w:val="auto"/>
                    <w:rPr>
                      <w:rFonts w:hint="eastAsia"/>
                      <w:sz w:val="21"/>
                      <w:szCs w:val="21"/>
                      <w:highlight w:val="none"/>
                      <w:vertAlign w:val="baseline"/>
                      <w:lang w:val="en-US" w:eastAsia="zh-CN"/>
                    </w:rPr>
                  </w:pPr>
                  <w:r>
                    <w:rPr>
                      <w:rFonts w:hint="eastAsia"/>
                      <w:sz w:val="21"/>
                      <w:szCs w:val="21"/>
                      <w:highlight w:val="none"/>
                      <w:vertAlign w:val="baseline"/>
                      <w:lang w:val="en-US" w:eastAsia="zh-CN"/>
                    </w:rPr>
                    <w:t>0</w:t>
                  </w:r>
                </w:p>
              </w:tc>
              <w:tc>
                <w:tcPr>
                  <w:tcW w:w="414" w:type="pct"/>
                  <w:vAlign w:val="center"/>
                </w:tcPr>
                <w:p w14:paraId="5042FCB6">
                  <w:pPr>
                    <w:keepNext w:val="0"/>
                    <w:keepLines w:val="0"/>
                    <w:pageBreakBefore w:val="0"/>
                    <w:widowControl w:val="0"/>
                    <w:numPr>
                      <w:ilvl w:val="0"/>
                      <w:numId w:val="0"/>
                    </w:numPr>
                    <w:suppressLineNumbers w:val="0"/>
                    <w:kinsoku/>
                    <w:wordWrap/>
                    <w:overflowPunct/>
                    <w:topLinePunct w:val="0"/>
                    <w:autoSpaceDE/>
                    <w:autoSpaceDN/>
                    <w:bidi w:val="0"/>
                    <w:adjustRightInd/>
                    <w:snapToGrid/>
                    <w:spacing w:before="0" w:beforeAutospacing="0" w:after="0" w:afterAutospacing="0" w:line="276" w:lineRule="auto"/>
                    <w:ind w:left="0" w:right="0"/>
                    <w:jc w:val="center"/>
                    <w:textAlignment w:val="auto"/>
                    <w:rPr>
                      <w:rFonts w:hint="eastAsia"/>
                      <w:sz w:val="21"/>
                      <w:szCs w:val="21"/>
                      <w:highlight w:val="none"/>
                      <w:vertAlign w:val="baseline"/>
                      <w:lang w:val="en-US" w:eastAsia="zh-CN"/>
                    </w:rPr>
                  </w:pPr>
                  <w:r>
                    <w:rPr>
                      <w:rFonts w:hint="eastAsia"/>
                      <w:sz w:val="21"/>
                      <w:szCs w:val="21"/>
                      <w:highlight w:val="none"/>
                      <w:vertAlign w:val="baseline"/>
                      <w:lang w:val="en-US" w:eastAsia="zh-CN"/>
                    </w:rPr>
                    <w:t>0</w:t>
                  </w:r>
                </w:p>
              </w:tc>
              <w:tc>
                <w:tcPr>
                  <w:tcW w:w="414" w:type="pct"/>
                  <w:vAlign w:val="center"/>
                </w:tcPr>
                <w:p w14:paraId="27BBC030">
                  <w:pPr>
                    <w:keepNext w:val="0"/>
                    <w:keepLines w:val="0"/>
                    <w:pageBreakBefore w:val="0"/>
                    <w:widowControl w:val="0"/>
                    <w:numPr>
                      <w:ilvl w:val="0"/>
                      <w:numId w:val="0"/>
                    </w:numPr>
                    <w:suppressLineNumbers w:val="0"/>
                    <w:kinsoku/>
                    <w:wordWrap/>
                    <w:overflowPunct/>
                    <w:topLinePunct w:val="0"/>
                    <w:autoSpaceDE/>
                    <w:autoSpaceDN/>
                    <w:bidi w:val="0"/>
                    <w:adjustRightInd/>
                    <w:snapToGrid/>
                    <w:spacing w:before="0" w:beforeAutospacing="0" w:after="0" w:afterAutospacing="0" w:line="276" w:lineRule="auto"/>
                    <w:ind w:left="0" w:right="0"/>
                    <w:jc w:val="center"/>
                    <w:textAlignment w:val="auto"/>
                    <w:rPr>
                      <w:rFonts w:hint="eastAsia"/>
                      <w:sz w:val="21"/>
                      <w:szCs w:val="21"/>
                      <w:highlight w:val="none"/>
                      <w:vertAlign w:val="baseline"/>
                      <w:lang w:val="en-US" w:eastAsia="zh-CN"/>
                    </w:rPr>
                  </w:pPr>
                  <w:r>
                    <w:rPr>
                      <w:rFonts w:hint="eastAsia"/>
                      <w:sz w:val="21"/>
                      <w:szCs w:val="21"/>
                      <w:highlight w:val="none"/>
                      <w:vertAlign w:val="baseline"/>
                      <w:lang w:val="en-US" w:eastAsia="zh-CN"/>
                    </w:rPr>
                    <w:t>0</w:t>
                  </w:r>
                </w:p>
              </w:tc>
              <w:tc>
                <w:tcPr>
                  <w:tcW w:w="417" w:type="pct"/>
                  <w:vAlign w:val="center"/>
                </w:tcPr>
                <w:p w14:paraId="4F321E70">
                  <w:pPr>
                    <w:keepNext w:val="0"/>
                    <w:keepLines w:val="0"/>
                    <w:pageBreakBefore w:val="0"/>
                    <w:widowControl w:val="0"/>
                    <w:numPr>
                      <w:ilvl w:val="0"/>
                      <w:numId w:val="0"/>
                    </w:numPr>
                    <w:suppressLineNumbers w:val="0"/>
                    <w:kinsoku/>
                    <w:wordWrap/>
                    <w:overflowPunct/>
                    <w:topLinePunct w:val="0"/>
                    <w:autoSpaceDE/>
                    <w:autoSpaceDN/>
                    <w:bidi w:val="0"/>
                    <w:adjustRightInd/>
                    <w:snapToGrid/>
                    <w:spacing w:before="0" w:beforeAutospacing="0" w:after="0" w:afterAutospacing="0" w:line="276" w:lineRule="auto"/>
                    <w:ind w:left="0" w:right="0"/>
                    <w:jc w:val="center"/>
                    <w:textAlignment w:val="auto"/>
                    <w:rPr>
                      <w:rFonts w:hint="eastAsia"/>
                      <w:sz w:val="21"/>
                      <w:szCs w:val="21"/>
                      <w:highlight w:val="none"/>
                      <w:vertAlign w:val="baseline"/>
                      <w:lang w:val="en-US" w:eastAsia="zh-CN"/>
                    </w:rPr>
                  </w:pPr>
                  <w:r>
                    <w:rPr>
                      <w:rFonts w:hint="eastAsia"/>
                      <w:sz w:val="21"/>
                      <w:szCs w:val="21"/>
                      <w:highlight w:val="none"/>
                      <w:vertAlign w:val="baseline"/>
                      <w:lang w:val="en-US" w:eastAsia="zh-CN"/>
                    </w:rPr>
                    <w:t>0</w:t>
                  </w:r>
                </w:p>
              </w:tc>
            </w:tr>
            <w:tr w14:paraId="1D7737E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0" w:hRule="atLeast"/>
              </w:trPr>
              <w:tc>
                <w:tcPr>
                  <w:tcW w:w="327" w:type="pct"/>
                  <w:vAlign w:val="center"/>
                </w:tcPr>
                <w:p w14:paraId="4657C347">
                  <w:pPr>
                    <w:keepNext w:val="0"/>
                    <w:keepLines w:val="0"/>
                    <w:pageBreakBefore w:val="0"/>
                    <w:widowControl w:val="0"/>
                    <w:numPr>
                      <w:ilvl w:val="0"/>
                      <w:numId w:val="0"/>
                    </w:numPr>
                    <w:suppressLineNumbers w:val="0"/>
                    <w:kinsoku/>
                    <w:wordWrap/>
                    <w:overflowPunct/>
                    <w:topLinePunct w:val="0"/>
                    <w:autoSpaceDE/>
                    <w:autoSpaceDN/>
                    <w:bidi w:val="0"/>
                    <w:adjustRightInd/>
                    <w:snapToGrid/>
                    <w:spacing w:before="0" w:beforeAutospacing="0" w:after="0" w:afterAutospacing="0" w:line="276" w:lineRule="auto"/>
                    <w:ind w:left="0" w:right="0"/>
                    <w:jc w:val="center"/>
                    <w:textAlignment w:val="auto"/>
                    <w:rPr>
                      <w:rFonts w:hint="default"/>
                      <w:sz w:val="21"/>
                      <w:szCs w:val="21"/>
                      <w:highlight w:val="none"/>
                      <w:vertAlign w:val="baseline"/>
                      <w:lang w:val="en-US" w:eastAsia="zh-CN"/>
                    </w:rPr>
                  </w:pPr>
                  <w:r>
                    <w:rPr>
                      <w:rFonts w:hint="eastAsia"/>
                      <w:sz w:val="21"/>
                      <w:szCs w:val="21"/>
                      <w:highlight w:val="none"/>
                      <w:vertAlign w:val="baseline"/>
                      <w:lang w:val="en-US" w:eastAsia="zh-CN"/>
                    </w:rPr>
                    <w:t>6</w:t>
                  </w:r>
                </w:p>
              </w:tc>
              <w:tc>
                <w:tcPr>
                  <w:tcW w:w="988" w:type="pct"/>
                  <w:vAlign w:val="center"/>
                </w:tcPr>
                <w:p w14:paraId="44E01405">
                  <w:pPr>
                    <w:keepNext w:val="0"/>
                    <w:keepLines w:val="0"/>
                    <w:pageBreakBefore w:val="0"/>
                    <w:widowControl w:val="0"/>
                    <w:numPr>
                      <w:ilvl w:val="0"/>
                      <w:numId w:val="0"/>
                    </w:numPr>
                    <w:suppressLineNumbers w:val="0"/>
                    <w:kinsoku/>
                    <w:wordWrap/>
                    <w:overflowPunct/>
                    <w:topLinePunct w:val="0"/>
                    <w:autoSpaceDE/>
                    <w:autoSpaceDN/>
                    <w:bidi w:val="0"/>
                    <w:adjustRightInd/>
                    <w:snapToGrid/>
                    <w:spacing w:before="0" w:beforeAutospacing="0" w:after="0" w:afterAutospacing="0" w:line="276" w:lineRule="auto"/>
                    <w:ind w:left="0" w:right="0"/>
                    <w:jc w:val="center"/>
                    <w:textAlignment w:val="auto"/>
                    <w:rPr>
                      <w:rFonts w:hint="default"/>
                      <w:sz w:val="21"/>
                      <w:szCs w:val="21"/>
                      <w:highlight w:val="none"/>
                      <w:vertAlign w:val="baseline"/>
                      <w:lang w:val="en-US" w:eastAsia="zh-CN"/>
                    </w:rPr>
                  </w:pPr>
                  <w:r>
                    <w:rPr>
                      <w:rFonts w:hint="eastAsia"/>
                      <w:sz w:val="21"/>
                      <w:szCs w:val="21"/>
                      <w:highlight w:val="none"/>
                      <w:vertAlign w:val="baseline"/>
                      <w:lang w:val="en-US" w:eastAsia="zh-CN"/>
                    </w:rPr>
                    <w:t>其他科研项目</w:t>
                  </w:r>
                </w:p>
              </w:tc>
              <w:tc>
                <w:tcPr>
                  <w:tcW w:w="701" w:type="pct"/>
                  <w:vAlign w:val="center"/>
                </w:tcPr>
                <w:p w14:paraId="07C27FF4">
                  <w:pPr>
                    <w:keepNext w:val="0"/>
                    <w:keepLines w:val="0"/>
                    <w:pageBreakBefore w:val="0"/>
                    <w:widowControl w:val="0"/>
                    <w:numPr>
                      <w:ilvl w:val="0"/>
                      <w:numId w:val="0"/>
                    </w:numPr>
                    <w:suppressLineNumbers w:val="0"/>
                    <w:kinsoku/>
                    <w:wordWrap/>
                    <w:overflowPunct/>
                    <w:topLinePunct w:val="0"/>
                    <w:autoSpaceDE/>
                    <w:autoSpaceDN/>
                    <w:bidi w:val="0"/>
                    <w:adjustRightInd/>
                    <w:snapToGrid/>
                    <w:spacing w:before="0" w:beforeAutospacing="0" w:after="0" w:afterAutospacing="0" w:line="276" w:lineRule="auto"/>
                    <w:ind w:left="0" w:right="0"/>
                    <w:jc w:val="center"/>
                    <w:textAlignment w:val="auto"/>
                    <w:rPr>
                      <w:rFonts w:hint="default"/>
                      <w:sz w:val="21"/>
                      <w:szCs w:val="21"/>
                      <w:highlight w:val="none"/>
                      <w:vertAlign w:val="baseline"/>
                      <w:lang w:val="en-US" w:eastAsia="zh-CN"/>
                    </w:rPr>
                  </w:pPr>
                  <w:r>
                    <w:rPr>
                      <w:rFonts w:hint="eastAsia"/>
                      <w:sz w:val="21"/>
                      <w:szCs w:val="21"/>
                      <w:highlight w:val="none"/>
                      <w:vertAlign w:val="baseline"/>
                      <w:lang w:val="en-US" w:eastAsia="zh-CN"/>
                    </w:rPr>
                    <w:t>242</w:t>
                  </w:r>
                </w:p>
              </w:tc>
              <w:tc>
                <w:tcPr>
                  <w:tcW w:w="440" w:type="pct"/>
                  <w:vAlign w:val="center"/>
                </w:tcPr>
                <w:p w14:paraId="50D4B2D9">
                  <w:pPr>
                    <w:keepNext w:val="0"/>
                    <w:keepLines w:val="0"/>
                    <w:pageBreakBefore w:val="0"/>
                    <w:widowControl w:val="0"/>
                    <w:numPr>
                      <w:ilvl w:val="0"/>
                      <w:numId w:val="0"/>
                    </w:numPr>
                    <w:suppressLineNumbers w:val="0"/>
                    <w:kinsoku/>
                    <w:wordWrap/>
                    <w:overflowPunct/>
                    <w:topLinePunct w:val="0"/>
                    <w:autoSpaceDE/>
                    <w:autoSpaceDN/>
                    <w:bidi w:val="0"/>
                    <w:adjustRightInd/>
                    <w:snapToGrid/>
                    <w:spacing w:before="0" w:beforeAutospacing="0" w:after="0" w:afterAutospacing="0" w:line="276" w:lineRule="auto"/>
                    <w:ind w:left="0" w:right="0"/>
                    <w:jc w:val="center"/>
                    <w:textAlignment w:val="auto"/>
                    <w:rPr>
                      <w:rFonts w:hint="default"/>
                      <w:sz w:val="21"/>
                      <w:szCs w:val="21"/>
                      <w:highlight w:val="none"/>
                      <w:vertAlign w:val="baseline"/>
                      <w:lang w:val="en-US" w:eastAsia="zh-CN"/>
                    </w:rPr>
                  </w:pPr>
                  <w:r>
                    <w:rPr>
                      <w:rFonts w:hint="eastAsia"/>
                      <w:sz w:val="21"/>
                      <w:szCs w:val="21"/>
                      <w:highlight w:val="none"/>
                      <w:vertAlign w:val="baseline"/>
                      <w:lang w:val="en-US" w:eastAsia="zh-CN"/>
                    </w:rPr>
                    <w:t>4000</w:t>
                  </w:r>
                </w:p>
              </w:tc>
              <w:tc>
                <w:tcPr>
                  <w:tcW w:w="440" w:type="pct"/>
                  <w:vAlign w:val="center"/>
                </w:tcPr>
                <w:p w14:paraId="2A20633B">
                  <w:pPr>
                    <w:keepNext w:val="0"/>
                    <w:keepLines w:val="0"/>
                    <w:pageBreakBefore w:val="0"/>
                    <w:widowControl w:val="0"/>
                    <w:numPr>
                      <w:ilvl w:val="0"/>
                      <w:numId w:val="0"/>
                    </w:numPr>
                    <w:suppressLineNumbers w:val="0"/>
                    <w:kinsoku/>
                    <w:wordWrap/>
                    <w:overflowPunct/>
                    <w:topLinePunct w:val="0"/>
                    <w:autoSpaceDE/>
                    <w:autoSpaceDN/>
                    <w:bidi w:val="0"/>
                    <w:adjustRightInd/>
                    <w:snapToGrid/>
                    <w:spacing w:before="0" w:beforeAutospacing="0" w:after="0" w:afterAutospacing="0" w:line="276" w:lineRule="auto"/>
                    <w:ind w:left="0" w:right="0"/>
                    <w:jc w:val="center"/>
                    <w:textAlignment w:val="auto"/>
                    <w:rPr>
                      <w:rFonts w:hint="default"/>
                      <w:sz w:val="21"/>
                      <w:szCs w:val="21"/>
                      <w:highlight w:val="none"/>
                      <w:vertAlign w:val="baseline"/>
                      <w:lang w:val="en-US" w:eastAsia="zh-CN"/>
                    </w:rPr>
                  </w:pPr>
                  <w:r>
                    <w:rPr>
                      <w:rFonts w:hint="eastAsia"/>
                      <w:sz w:val="21"/>
                      <w:szCs w:val="21"/>
                      <w:highlight w:val="none"/>
                      <w:vertAlign w:val="baseline"/>
                      <w:lang w:val="en-US" w:eastAsia="zh-CN"/>
                    </w:rPr>
                    <w:t>700</w:t>
                  </w:r>
                </w:p>
              </w:tc>
              <w:tc>
                <w:tcPr>
                  <w:tcW w:w="441" w:type="pct"/>
                  <w:vAlign w:val="center"/>
                </w:tcPr>
                <w:p w14:paraId="0411F3C3">
                  <w:pPr>
                    <w:keepNext w:val="0"/>
                    <w:keepLines w:val="0"/>
                    <w:pageBreakBefore w:val="0"/>
                    <w:widowControl w:val="0"/>
                    <w:numPr>
                      <w:ilvl w:val="0"/>
                      <w:numId w:val="0"/>
                    </w:numPr>
                    <w:suppressLineNumbers w:val="0"/>
                    <w:kinsoku/>
                    <w:wordWrap/>
                    <w:overflowPunct/>
                    <w:topLinePunct w:val="0"/>
                    <w:autoSpaceDE/>
                    <w:autoSpaceDN/>
                    <w:bidi w:val="0"/>
                    <w:adjustRightInd/>
                    <w:snapToGrid/>
                    <w:spacing w:before="0" w:beforeAutospacing="0" w:after="0" w:afterAutospacing="0" w:line="276" w:lineRule="auto"/>
                    <w:ind w:left="0" w:right="0"/>
                    <w:jc w:val="center"/>
                    <w:textAlignment w:val="auto"/>
                    <w:rPr>
                      <w:rFonts w:hint="default"/>
                      <w:sz w:val="21"/>
                      <w:szCs w:val="21"/>
                      <w:highlight w:val="none"/>
                      <w:vertAlign w:val="baseline"/>
                      <w:lang w:val="en-US" w:eastAsia="zh-CN"/>
                    </w:rPr>
                  </w:pPr>
                  <w:r>
                    <w:rPr>
                      <w:rFonts w:hint="eastAsia"/>
                      <w:sz w:val="21"/>
                      <w:szCs w:val="21"/>
                      <w:highlight w:val="none"/>
                      <w:vertAlign w:val="baseline"/>
                      <w:lang w:val="en-US" w:eastAsia="zh-CN"/>
                    </w:rPr>
                    <w:t>3600</w:t>
                  </w:r>
                </w:p>
              </w:tc>
              <w:tc>
                <w:tcPr>
                  <w:tcW w:w="414" w:type="pct"/>
                  <w:vAlign w:val="center"/>
                </w:tcPr>
                <w:p w14:paraId="76E3FF90">
                  <w:pPr>
                    <w:keepNext w:val="0"/>
                    <w:keepLines w:val="0"/>
                    <w:pageBreakBefore w:val="0"/>
                    <w:widowControl w:val="0"/>
                    <w:numPr>
                      <w:ilvl w:val="0"/>
                      <w:numId w:val="0"/>
                    </w:numPr>
                    <w:suppressLineNumbers w:val="0"/>
                    <w:kinsoku/>
                    <w:wordWrap/>
                    <w:overflowPunct/>
                    <w:topLinePunct w:val="0"/>
                    <w:autoSpaceDE/>
                    <w:autoSpaceDN/>
                    <w:bidi w:val="0"/>
                    <w:adjustRightInd/>
                    <w:snapToGrid/>
                    <w:spacing w:before="0" w:beforeAutospacing="0" w:after="0" w:afterAutospacing="0" w:line="276" w:lineRule="auto"/>
                    <w:ind w:left="0" w:right="0"/>
                    <w:jc w:val="center"/>
                    <w:textAlignment w:val="auto"/>
                    <w:rPr>
                      <w:rFonts w:hint="default"/>
                      <w:sz w:val="21"/>
                      <w:szCs w:val="21"/>
                      <w:highlight w:val="none"/>
                      <w:vertAlign w:val="baseline"/>
                      <w:lang w:val="en-US" w:eastAsia="zh-CN"/>
                    </w:rPr>
                  </w:pPr>
                  <w:r>
                    <w:rPr>
                      <w:rFonts w:hint="eastAsia"/>
                      <w:sz w:val="21"/>
                      <w:szCs w:val="21"/>
                      <w:highlight w:val="none"/>
                      <w:vertAlign w:val="baseline"/>
                      <w:lang w:val="en-US" w:eastAsia="zh-CN"/>
                    </w:rPr>
                    <w:t>600</w:t>
                  </w:r>
                </w:p>
              </w:tc>
              <w:tc>
                <w:tcPr>
                  <w:tcW w:w="414" w:type="pct"/>
                  <w:vAlign w:val="center"/>
                </w:tcPr>
                <w:p w14:paraId="4D378EA0">
                  <w:pPr>
                    <w:keepNext w:val="0"/>
                    <w:keepLines w:val="0"/>
                    <w:pageBreakBefore w:val="0"/>
                    <w:widowControl w:val="0"/>
                    <w:numPr>
                      <w:ilvl w:val="0"/>
                      <w:numId w:val="0"/>
                    </w:numPr>
                    <w:suppressLineNumbers w:val="0"/>
                    <w:kinsoku/>
                    <w:wordWrap/>
                    <w:overflowPunct/>
                    <w:topLinePunct w:val="0"/>
                    <w:autoSpaceDE/>
                    <w:autoSpaceDN/>
                    <w:bidi w:val="0"/>
                    <w:adjustRightInd/>
                    <w:snapToGrid/>
                    <w:spacing w:before="0" w:beforeAutospacing="0" w:after="0" w:afterAutospacing="0" w:line="276" w:lineRule="auto"/>
                    <w:ind w:left="0" w:right="0"/>
                    <w:jc w:val="center"/>
                    <w:textAlignment w:val="auto"/>
                    <w:rPr>
                      <w:rFonts w:hint="default"/>
                      <w:sz w:val="21"/>
                      <w:szCs w:val="21"/>
                      <w:highlight w:val="none"/>
                      <w:vertAlign w:val="baseline"/>
                      <w:lang w:val="en-US" w:eastAsia="zh-CN"/>
                    </w:rPr>
                  </w:pPr>
                  <w:r>
                    <w:rPr>
                      <w:rFonts w:hint="eastAsia"/>
                      <w:sz w:val="21"/>
                      <w:szCs w:val="21"/>
                      <w:highlight w:val="none"/>
                      <w:vertAlign w:val="baseline"/>
                      <w:lang w:val="en-US" w:eastAsia="zh-CN"/>
                    </w:rPr>
                    <w:t>120</w:t>
                  </w:r>
                </w:p>
              </w:tc>
              <w:tc>
                <w:tcPr>
                  <w:tcW w:w="414" w:type="pct"/>
                  <w:vAlign w:val="center"/>
                </w:tcPr>
                <w:p w14:paraId="1128921B">
                  <w:pPr>
                    <w:keepNext w:val="0"/>
                    <w:keepLines w:val="0"/>
                    <w:pageBreakBefore w:val="0"/>
                    <w:widowControl w:val="0"/>
                    <w:numPr>
                      <w:ilvl w:val="0"/>
                      <w:numId w:val="0"/>
                    </w:numPr>
                    <w:suppressLineNumbers w:val="0"/>
                    <w:kinsoku/>
                    <w:wordWrap/>
                    <w:overflowPunct/>
                    <w:topLinePunct w:val="0"/>
                    <w:autoSpaceDE/>
                    <w:autoSpaceDN/>
                    <w:bidi w:val="0"/>
                    <w:adjustRightInd/>
                    <w:snapToGrid/>
                    <w:spacing w:before="0" w:beforeAutospacing="0" w:after="0" w:afterAutospacing="0" w:line="276" w:lineRule="auto"/>
                    <w:ind w:left="0" w:right="0"/>
                    <w:jc w:val="center"/>
                    <w:textAlignment w:val="auto"/>
                    <w:rPr>
                      <w:rFonts w:hint="default"/>
                      <w:sz w:val="21"/>
                      <w:szCs w:val="21"/>
                      <w:highlight w:val="none"/>
                      <w:vertAlign w:val="baseline"/>
                      <w:lang w:val="en-US" w:eastAsia="zh-CN"/>
                    </w:rPr>
                  </w:pPr>
                  <w:r>
                    <w:rPr>
                      <w:rFonts w:hint="eastAsia"/>
                      <w:sz w:val="21"/>
                      <w:szCs w:val="21"/>
                      <w:highlight w:val="none"/>
                      <w:vertAlign w:val="baseline"/>
                      <w:lang w:val="en-US" w:eastAsia="zh-CN"/>
                    </w:rPr>
                    <w:t>144</w:t>
                  </w:r>
                </w:p>
              </w:tc>
              <w:tc>
                <w:tcPr>
                  <w:tcW w:w="417" w:type="pct"/>
                  <w:vAlign w:val="center"/>
                </w:tcPr>
                <w:p w14:paraId="432C52A4">
                  <w:pPr>
                    <w:keepNext w:val="0"/>
                    <w:keepLines w:val="0"/>
                    <w:pageBreakBefore w:val="0"/>
                    <w:widowControl w:val="0"/>
                    <w:numPr>
                      <w:ilvl w:val="0"/>
                      <w:numId w:val="0"/>
                    </w:numPr>
                    <w:suppressLineNumbers w:val="0"/>
                    <w:kinsoku/>
                    <w:wordWrap/>
                    <w:overflowPunct/>
                    <w:topLinePunct w:val="0"/>
                    <w:autoSpaceDE/>
                    <w:autoSpaceDN/>
                    <w:bidi w:val="0"/>
                    <w:adjustRightInd/>
                    <w:snapToGrid/>
                    <w:spacing w:before="0" w:beforeAutospacing="0" w:after="0" w:afterAutospacing="0" w:line="276" w:lineRule="auto"/>
                    <w:ind w:left="0" w:right="0"/>
                    <w:jc w:val="center"/>
                    <w:textAlignment w:val="auto"/>
                    <w:rPr>
                      <w:rFonts w:hint="eastAsia"/>
                      <w:sz w:val="21"/>
                      <w:szCs w:val="21"/>
                      <w:highlight w:val="none"/>
                      <w:vertAlign w:val="baseline"/>
                      <w:lang w:val="en-US" w:eastAsia="zh-CN"/>
                    </w:rPr>
                  </w:pPr>
                  <w:r>
                    <w:rPr>
                      <w:rFonts w:hint="eastAsia"/>
                      <w:sz w:val="21"/>
                      <w:szCs w:val="21"/>
                      <w:highlight w:val="none"/>
                      <w:vertAlign w:val="baseline"/>
                      <w:lang w:val="en-US" w:eastAsia="zh-CN"/>
                    </w:rPr>
                    <w:t>0</w:t>
                  </w:r>
                </w:p>
              </w:tc>
            </w:tr>
            <w:tr w14:paraId="4293D3A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0" w:hRule="atLeast"/>
              </w:trPr>
              <w:tc>
                <w:tcPr>
                  <w:tcW w:w="327" w:type="pct"/>
                  <w:vAlign w:val="center"/>
                </w:tcPr>
                <w:p w14:paraId="498925D9">
                  <w:pPr>
                    <w:keepNext w:val="0"/>
                    <w:keepLines w:val="0"/>
                    <w:pageBreakBefore w:val="0"/>
                    <w:widowControl w:val="0"/>
                    <w:numPr>
                      <w:ilvl w:val="0"/>
                      <w:numId w:val="0"/>
                    </w:numPr>
                    <w:suppressLineNumbers w:val="0"/>
                    <w:kinsoku/>
                    <w:wordWrap/>
                    <w:overflowPunct/>
                    <w:topLinePunct w:val="0"/>
                    <w:autoSpaceDE/>
                    <w:autoSpaceDN/>
                    <w:bidi w:val="0"/>
                    <w:adjustRightInd/>
                    <w:snapToGrid/>
                    <w:spacing w:before="0" w:beforeAutospacing="0" w:after="0" w:afterAutospacing="0" w:line="276" w:lineRule="auto"/>
                    <w:ind w:left="0" w:right="0"/>
                    <w:jc w:val="center"/>
                    <w:textAlignment w:val="auto"/>
                    <w:rPr>
                      <w:rFonts w:hint="default"/>
                      <w:sz w:val="21"/>
                      <w:szCs w:val="21"/>
                      <w:highlight w:val="none"/>
                      <w:vertAlign w:val="baseline"/>
                      <w:lang w:val="en-US" w:eastAsia="zh-CN"/>
                    </w:rPr>
                  </w:pPr>
                  <w:r>
                    <w:rPr>
                      <w:rFonts w:hint="eastAsia"/>
                      <w:sz w:val="21"/>
                      <w:szCs w:val="21"/>
                      <w:highlight w:val="none"/>
                      <w:vertAlign w:val="baseline"/>
                      <w:lang w:val="en-US" w:eastAsia="zh-CN"/>
                    </w:rPr>
                    <w:t>7</w:t>
                  </w:r>
                </w:p>
              </w:tc>
              <w:tc>
                <w:tcPr>
                  <w:tcW w:w="988" w:type="pct"/>
                  <w:vAlign w:val="center"/>
                </w:tcPr>
                <w:p w14:paraId="29DA0AB9">
                  <w:pPr>
                    <w:keepNext w:val="0"/>
                    <w:keepLines w:val="0"/>
                    <w:pageBreakBefore w:val="0"/>
                    <w:widowControl w:val="0"/>
                    <w:numPr>
                      <w:ilvl w:val="0"/>
                      <w:numId w:val="0"/>
                    </w:numPr>
                    <w:suppressLineNumbers w:val="0"/>
                    <w:kinsoku/>
                    <w:wordWrap/>
                    <w:overflowPunct/>
                    <w:topLinePunct w:val="0"/>
                    <w:autoSpaceDE/>
                    <w:autoSpaceDN/>
                    <w:bidi w:val="0"/>
                    <w:adjustRightInd/>
                    <w:snapToGrid/>
                    <w:spacing w:before="0" w:beforeAutospacing="0" w:after="0" w:afterAutospacing="0" w:line="276" w:lineRule="auto"/>
                    <w:ind w:left="0" w:right="0"/>
                    <w:jc w:val="center"/>
                    <w:textAlignment w:val="auto"/>
                    <w:rPr>
                      <w:rFonts w:hint="eastAsia"/>
                      <w:sz w:val="21"/>
                      <w:szCs w:val="21"/>
                      <w:highlight w:val="none"/>
                      <w:vertAlign w:val="baseline"/>
                      <w:lang w:val="en-US" w:eastAsia="zh-CN"/>
                    </w:rPr>
                  </w:pPr>
                  <w:r>
                    <w:rPr>
                      <w:rFonts w:hint="eastAsia"/>
                      <w:sz w:val="21"/>
                      <w:szCs w:val="21"/>
                      <w:highlight w:val="none"/>
                      <w:vertAlign w:val="baseline"/>
                      <w:lang w:val="en-US" w:eastAsia="zh-CN"/>
                    </w:rPr>
                    <w:t>基因鼠繁育</w:t>
                  </w:r>
                </w:p>
              </w:tc>
              <w:tc>
                <w:tcPr>
                  <w:tcW w:w="701" w:type="pct"/>
                  <w:vAlign w:val="center"/>
                </w:tcPr>
                <w:p w14:paraId="760E8771">
                  <w:pPr>
                    <w:keepNext w:val="0"/>
                    <w:keepLines w:val="0"/>
                    <w:pageBreakBefore w:val="0"/>
                    <w:widowControl w:val="0"/>
                    <w:numPr>
                      <w:ilvl w:val="0"/>
                      <w:numId w:val="0"/>
                    </w:numPr>
                    <w:suppressLineNumbers w:val="0"/>
                    <w:kinsoku/>
                    <w:wordWrap/>
                    <w:overflowPunct/>
                    <w:topLinePunct w:val="0"/>
                    <w:autoSpaceDE/>
                    <w:autoSpaceDN/>
                    <w:bidi w:val="0"/>
                    <w:adjustRightInd/>
                    <w:snapToGrid/>
                    <w:spacing w:before="0" w:beforeAutospacing="0" w:after="0" w:afterAutospacing="0" w:line="276" w:lineRule="auto"/>
                    <w:ind w:left="0" w:right="0"/>
                    <w:jc w:val="center"/>
                    <w:textAlignment w:val="auto"/>
                    <w:rPr>
                      <w:rFonts w:hint="default"/>
                      <w:sz w:val="21"/>
                      <w:szCs w:val="21"/>
                      <w:highlight w:val="none"/>
                      <w:vertAlign w:val="baseline"/>
                      <w:lang w:val="en-US" w:eastAsia="zh-CN"/>
                    </w:rPr>
                  </w:pPr>
                  <w:r>
                    <w:rPr>
                      <w:rFonts w:hint="eastAsia"/>
                      <w:sz w:val="21"/>
                      <w:szCs w:val="21"/>
                      <w:highlight w:val="none"/>
                      <w:vertAlign w:val="baseline"/>
                      <w:lang w:val="en-US" w:eastAsia="zh-CN"/>
                    </w:rPr>
                    <w:t>30</w:t>
                  </w:r>
                </w:p>
              </w:tc>
              <w:tc>
                <w:tcPr>
                  <w:tcW w:w="440" w:type="pct"/>
                  <w:vAlign w:val="center"/>
                </w:tcPr>
                <w:p w14:paraId="4E0C2C56">
                  <w:pPr>
                    <w:keepNext w:val="0"/>
                    <w:keepLines w:val="0"/>
                    <w:pageBreakBefore w:val="0"/>
                    <w:widowControl w:val="0"/>
                    <w:numPr>
                      <w:ilvl w:val="0"/>
                      <w:numId w:val="0"/>
                    </w:numPr>
                    <w:suppressLineNumbers w:val="0"/>
                    <w:kinsoku/>
                    <w:wordWrap/>
                    <w:overflowPunct/>
                    <w:topLinePunct w:val="0"/>
                    <w:autoSpaceDE/>
                    <w:autoSpaceDN/>
                    <w:bidi w:val="0"/>
                    <w:adjustRightInd/>
                    <w:snapToGrid/>
                    <w:spacing w:before="0" w:beforeAutospacing="0" w:after="0" w:afterAutospacing="0" w:line="276" w:lineRule="auto"/>
                    <w:ind w:left="0" w:right="0"/>
                    <w:jc w:val="center"/>
                    <w:textAlignment w:val="auto"/>
                    <w:rPr>
                      <w:rFonts w:hint="default"/>
                      <w:sz w:val="21"/>
                      <w:szCs w:val="21"/>
                      <w:highlight w:val="none"/>
                      <w:vertAlign w:val="baseline"/>
                      <w:lang w:val="en-US" w:eastAsia="zh-CN"/>
                    </w:rPr>
                  </w:pPr>
                  <w:r>
                    <w:rPr>
                      <w:rFonts w:hint="eastAsia"/>
                      <w:sz w:val="21"/>
                      <w:szCs w:val="21"/>
                      <w:highlight w:val="none"/>
                      <w:vertAlign w:val="baseline"/>
                      <w:lang w:val="en-US" w:eastAsia="zh-CN"/>
                    </w:rPr>
                    <w:t>12000</w:t>
                  </w:r>
                </w:p>
              </w:tc>
              <w:tc>
                <w:tcPr>
                  <w:tcW w:w="440" w:type="pct"/>
                  <w:vAlign w:val="center"/>
                </w:tcPr>
                <w:p w14:paraId="5F37915A">
                  <w:pPr>
                    <w:keepNext w:val="0"/>
                    <w:keepLines w:val="0"/>
                    <w:pageBreakBefore w:val="0"/>
                    <w:widowControl w:val="0"/>
                    <w:numPr>
                      <w:ilvl w:val="0"/>
                      <w:numId w:val="0"/>
                    </w:numPr>
                    <w:suppressLineNumbers w:val="0"/>
                    <w:kinsoku/>
                    <w:wordWrap/>
                    <w:overflowPunct/>
                    <w:topLinePunct w:val="0"/>
                    <w:autoSpaceDE/>
                    <w:autoSpaceDN/>
                    <w:bidi w:val="0"/>
                    <w:adjustRightInd/>
                    <w:snapToGrid/>
                    <w:spacing w:before="0" w:beforeAutospacing="0" w:after="0" w:afterAutospacing="0" w:line="276" w:lineRule="auto"/>
                    <w:ind w:left="0" w:right="0"/>
                    <w:jc w:val="center"/>
                    <w:textAlignment w:val="auto"/>
                    <w:rPr>
                      <w:rFonts w:hint="eastAsia"/>
                      <w:sz w:val="21"/>
                      <w:szCs w:val="21"/>
                      <w:highlight w:val="none"/>
                      <w:vertAlign w:val="baseline"/>
                      <w:lang w:val="en-US" w:eastAsia="zh-CN"/>
                    </w:rPr>
                  </w:pPr>
                  <w:r>
                    <w:rPr>
                      <w:rFonts w:hint="eastAsia"/>
                      <w:sz w:val="21"/>
                      <w:szCs w:val="21"/>
                      <w:highlight w:val="none"/>
                      <w:vertAlign w:val="baseline"/>
                      <w:lang w:val="en-US" w:eastAsia="zh-CN"/>
                    </w:rPr>
                    <w:t>0</w:t>
                  </w:r>
                </w:p>
              </w:tc>
              <w:tc>
                <w:tcPr>
                  <w:tcW w:w="441" w:type="pct"/>
                  <w:vAlign w:val="center"/>
                </w:tcPr>
                <w:p w14:paraId="7205489D">
                  <w:pPr>
                    <w:keepNext w:val="0"/>
                    <w:keepLines w:val="0"/>
                    <w:pageBreakBefore w:val="0"/>
                    <w:widowControl w:val="0"/>
                    <w:numPr>
                      <w:ilvl w:val="0"/>
                      <w:numId w:val="0"/>
                    </w:numPr>
                    <w:suppressLineNumbers w:val="0"/>
                    <w:kinsoku/>
                    <w:wordWrap/>
                    <w:overflowPunct/>
                    <w:topLinePunct w:val="0"/>
                    <w:autoSpaceDE/>
                    <w:autoSpaceDN/>
                    <w:bidi w:val="0"/>
                    <w:adjustRightInd/>
                    <w:snapToGrid/>
                    <w:spacing w:before="0" w:beforeAutospacing="0" w:after="0" w:afterAutospacing="0" w:line="276" w:lineRule="auto"/>
                    <w:ind w:left="0" w:right="0"/>
                    <w:jc w:val="center"/>
                    <w:textAlignment w:val="auto"/>
                    <w:rPr>
                      <w:rFonts w:hint="eastAsia"/>
                      <w:sz w:val="21"/>
                      <w:szCs w:val="21"/>
                      <w:highlight w:val="none"/>
                      <w:vertAlign w:val="baseline"/>
                      <w:lang w:val="en-US" w:eastAsia="zh-CN"/>
                    </w:rPr>
                  </w:pPr>
                  <w:r>
                    <w:rPr>
                      <w:rFonts w:hint="eastAsia"/>
                      <w:sz w:val="21"/>
                      <w:szCs w:val="21"/>
                      <w:highlight w:val="none"/>
                      <w:vertAlign w:val="baseline"/>
                      <w:lang w:val="en-US" w:eastAsia="zh-CN"/>
                    </w:rPr>
                    <w:t>0</w:t>
                  </w:r>
                </w:p>
              </w:tc>
              <w:tc>
                <w:tcPr>
                  <w:tcW w:w="414" w:type="pct"/>
                  <w:vAlign w:val="center"/>
                </w:tcPr>
                <w:p w14:paraId="37E944C3">
                  <w:pPr>
                    <w:keepNext w:val="0"/>
                    <w:keepLines w:val="0"/>
                    <w:pageBreakBefore w:val="0"/>
                    <w:widowControl w:val="0"/>
                    <w:numPr>
                      <w:ilvl w:val="0"/>
                      <w:numId w:val="0"/>
                    </w:numPr>
                    <w:suppressLineNumbers w:val="0"/>
                    <w:kinsoku/>
                    <w:wordWrap/>
                    <w:overflowPunct/>
                    <w:topLinePunct w:val="0"/>
                    <w:autoSpaceDE/>
                    <w:autoSpaceDN/>
                    <w:bidi w:val="0"/>
                    <w:adjustRightInd/>
                    <w:snapToGrid/>
                    <w:spacing w:before="0" w:beforeAutospacing="0" w:after="0" w:afterAutospacing="0" w:line="276" w:lineRule="auto"/>
                    <w:ind w:left="0" w:right="0"/>
                    <w:jc w:val="center"/>
                    <w:textAlignment w:val="auto"/>
                    <w:rPr>
                      <w:rFonts w:hint="eastAsia"/>
                      <w:sz w:val="21"/>
                      <w:szCs w:val="21"/>
                      <w:highlight w:val="none"/>
                      <w:vertAlign w:val="baseline"/>
                      <w:lang w:val="en-US" w:eastAsia="zh-CN"/>
                    </w:rPr>
                  </w:pPr>
                  <w:r>
                    <w:rPr>
                      <w:rFonts w:hint="eastAsia"/>
                      <w:sz w:val="21"/>
                      <w:szCs w:val="21"/>
                      <w:highlight w:val="none"/>
                      <w:vertAlign w:val="baseline"/>
                      <w:lang w:val="en-US" w:eastAsia="zh-CN"/>
                    </w:rPr>
                    <w:t>0</w:t>
                  </w:r>
                </w:p>
              </w:tc>
              <w:tc>
                <w:tcPr>
                  <w:tcW w:w="414" w:type="pct"/>
                  <w:vAlign w:val="center"/>
                </w:tcPr>
                <w:p w14:paraId="280A1574">
                  <w:pPr>
                    <w:keepNext w:val="0"/>
                    <w:keepLines w:val="0"/>
                    <w:pageBreakBefore w:val="0"/>
                    <w:widowControl w:val="0"/>
                    <w:numPr>
                      <w:ilvl w:val="0"/>
                      <w:numId w:val="0"/>
                    </w:numPr>
                    <w:suppressLineNumbers w:val="0"/>
                    <w:kinsoku/>
                    <w:wordWrap/>
                    <w:overflowPunct/>
                    <w:topLinePunct w:val="0"/>
                    <w:autoSpaceDE/>
                    <w:autoSpaceDN/>
                    <w:bidi w:val="0"/>
                    <w:adjustRightInd/>
                    <w:snapToGrid/>
                    <w:spacing w:before="0" w:beforeAutospacing="0" w:after="0" w:afterAutospacing="0" w:line="276" w:lineRule="auto"/>
                    <w:ind w:left="0" w:right="0"/>
                    <w:jc w:val="center"/>
                    <w:textAlignment w:val="auto"/>
                    <w:rPr>
                      <w:rFonts w:hint="eastAsia"/>
                      <w:sz w:val="21"/>
                      <w:szCs w:val="21"/>
                      <w:highlight w:val="none"/>
                      <w:vertAlign w:val="baseline"/>
                      <w:lang w:val="en-US" w:eastAsia="zh-CN"/>
                    </w:rPr>
                  </w:pPr>
                  <w:r>
                    <w:rPr>
                      <w:rFonts w:hint="eastAsia"/>
                      <w:sz w:val="21"/>
                      <w:szCs w:val="21"/>
                      <w:highlight w:val="none"/>
                      <w:vertAlign w:val="baseline"/>
                      <w:lang w:val="en-US" w:eastAsia="zh-CN"/>
                    </w:rPr>
                    <w:t>0</w:t>
                  </w:r>
                </w:p>
              </w:tc>
              <w:tc>
                <w:tcPr>
                  <w:tcW w:w="414" w:type="pct"/>
                  <w:vAlign w:val="center"/>
                </w:tcPr>
                <w:p w14:paraId="0F7970FD">
                  <w:pPr>
                    <w:keepNext w:val="0"/>
                    <w:keepLines w:val="0"/>
                    <w:pageBreakBefore w:val="0"/>
                    <w:widowControl w:val="0"/>
                    <w:numPr>
                      <w:ilvl w:val="0"/>
                      <w:numId w:val="0"/>
                    </w:numPr>
                    <w:suppressLineNumbers w:val="0"/>
                    <w:kinsoku/>
                    <w:wordWrap/>
                    <w:overflowPunct/>
                    <w:topLinePunct w:val="0"/>
                    <w:autoSpaceDE/>
                    <w:autoSpaceDN/>
                    <w:bidi w:val="0"/>
                    <w:adjustRightInd/>
                    <w:snapToGrid/>
                    <w:spacing w:before="0" w:beforeAutospacing="0" w:after="0" w:afterAutospacing="0" w:line="276" w:lineRule="auto"/>
                    <w:ind w:left="0" w:right="0"/>
                    <w:jc w:val="center"/>
                    <w:textAlignment w:val="auto"/>
                    <w:rPr>
                      <w:rFonts w:hint="eastAsia"/>
                      <w:sz w:val="21"/>
                      <w:szCs w:val="21"/>
                      <w:highlight w:val="none"/>
                      <w:vertAlign w:val="baseline"/>
                      <w:lang w:val="en-US" w:eastAsia="zh-CN"/>
                    </w:rPr>
                  </w:pPr>
                  <w:r>
                    <w:rPr>
                      <w:rFonts w:hint="eastAsia"/>
                      <w:sz w:val="21"/>
                      <w:szCs w:val="21"/>
                      <w:highlight w:val="none"/>
                      <w:vertAlign w:val="baseline"/>
                      <w:lang w:val="en-US" w:eastAsia="zh-CN"/>
                    </w:rPr>
                    <w:t>0</w:t>
                  </w:r>
                </w:p>
              </w:tc>
              <w:tc>
                <w:tcPr>
                  <w:tcW w:w="417" w:type="pct"/>
                  <w:vAlign w:val="center"/>
                </w:tcPr>
                <w:p w14:paraId="0D2B4628">
                  <w:pPr>
                    <w:keepNext w:val="0"/>
                    <w:keepLines w:val="0"/>
                    <w:pageBreakBefore w:val="0"/>
                    <w:widowControl w:val="0"/>
                    <w:numPr>
                      <w:ilvl w:val="0"/>
                      <w:numId w:val="0"/>
                    </w:numPr>
                    <w:suppressLineNumbers w:val="0"/>
                    <w:kinsoku/>
                    <w:wordWrap/>
                    <w:overflowPunct/>
                    <w:topLinePunct w:val="0"/>
                    <w:autoSpaceDE/>
                    <w:autoSpaceDN/>
                    <w:bidi w:val="0"/>
                    <w:adjustRightInd/>
                    <w:snapToGrid/>
                    <w:spacing w:before="0" w:beforeAutospacing="0" w:after="0" w:afterAutospacing="0" w:line="276" w:lineRule="auto"/>
                    <w:ind w:left="0" w:right="0"/>
                    <w:jc w:val="center"/>
                    <w:textAlignment w:val="auto"/>
                    <w:rPr>
                      <w:rFonts w:hint="eastAsia"/>
                      <w:sz w:val="21"/>
                      <w:szCs w:val="21"/>
                      <w:highlight w:val="none"/>
                      <w:vertAlign w:val="baseline"/>
                      <w:lang w:val="en-US" w:eastAsia="zh-CN"/>
                    </w:rPr>
                  </w:pPr>
                  <w:r>
                    <w:rPr>
                      <w:rFonts w:hint="eastAsia"/>
                      <w:sz w:val="21"/>
                      <w:szCs w:val="21"/>
                      <w:highlight w:val="none"/>
                      <w:vertAlign w:val="baseline"/>
                      <w:lang w:val="en-US" w:eastAsia="zh-CN"/>
                    </w:rPr>
                    <w:t>0</w:t>
                  </w:r>
                </w:p>
              </w:tc>
            </w:tr>
            <w:tr w14:paraId="2F2E3AB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0" w:hRule="atLeast"/>
              </w:trPr>
              <w:tc>
                <w:tcPr>
                  <w:tcW w:w="327" w:type="pct"/>
                  <w:vAlign w:val="center"/>
                </w:tcPr>
                <w:p w14:paraId="73CA6216">
                  <w:pPr>
                    <w:keepNext w:val="0"/>
                    <w:keepLines w:val="0"/>
                    <w:pageBreakBefore w:val="0"/>
                    <w:widowControl w:val="0"/>
                    <w:numPr>
                      <w:ilvl w:val="0"/>
                      <w:numId w:val="0"/>
                    </w:numPr>
                    <w:suppressLineNumbers w:val="0"/>
                    <w:kinsoku/>
                    <w:wordWrap/>
                    <w:overflowPunct/>
                    <w:topLinePunct w:val="0"/>
                    <w:autoSpaceDE/>
                    <w:autoSpaceDN/>
                    <w:bidi w:val="0"/>
                    <w:adjustRightInd/>
                    <w:snapToGrid/>
                    <w:spacing w:before="0" w:beforeAutospacing="0" w:after="0" w:afterAutospacing="0" w:line="276" w:lineRule="auto"/>
                    <w:ind w:left="0" w:right="0"/>
                    <w:jc w:val="center"/>
                    <w:textAlignment w:val="auto"/>
                    <w:rPr>
                      <w:rFonts w:hint="default"/>
                      <w:sz w:val="21"/>
                      <w:szCs w:val="21"/>
                      <w:highlight w:val="none"/>
                      <w:vertAlign w:val="baseline"/>
                      <w:lang w:val="en-US" w:eastAsia="zh-CN"/>
                    </w:rPr>
                  </w:pPr>
                  <w:r>
                    <w:rPr>
                      <w:rFonts w:hint="eastAsia"/>
                      <w:sz w:val="21"/>
                      <w:szCs w:val="21"/>
                      <w:highlight w:val="none"/>
                      <w:vertAlign w:val="baseline"/>
                      <w:lang w:val="en-US" w:eastAsia="zh-CN"/>
                    </w:rPr>
                    <w:t>8</w:t>
                  </w:r>
                </w:p>
              </w:tc>
              <w:tc>
                <w:tcPr>
                  <w:tcW w:w="988" w:type="pct"/>
                  <w:vAlign w:val="center"/>
                </w:tcPr>
                <w:p w14:paraId="20F34939">
                  <w:pPr>
                    <w:keepNext w:val="0"/>
                    <w:keepLines w:val="0"/>
                    <w:pageBreakBefore w:val="0"/>
                    <w:widowControl w:val="0"/>
                    <w:numPr>
                      <w:ilvl w:val="0"/>
                      <w:numId w:val="0"/>
                    </w:numPr>
                    <w:suppressLineNumbers w:val="0"/>
                    <w:kinsoku/>
                    <w:wordWrap/>
                    <w:overflowPunct/>
                    <w:topLinePunct w:val="0"/>
                    <w:autoSpaceDE/>
                    <w:autoSpaceDN/>
                    <w:bidi w:val="0"/>
                    <w:adjustRightInd/>
                    <w:snapToGrid/>
                    <w:spacing w:before="0" w:beforeAutospacing="0" w:after="0" w:afterAutospacing="0" w:line="276" w:lineRule="auto"/>
                    <w:ind w:left="0" w:right="0"/>
                    <w:jc w:val="center"/>
                    <w:textAlignment w:val="auto"/>
                    <w:rPr>
                      <w:rFonts w:hint="default"/>
                      <w:sz w:val="21"/>
                      <w:szCs w:val="21"/>
                      <w:highlight w:val="none"/>
                      <w:vertAlign w:val="baseline"/>
                      <w:lang w:val="en-US" w:eastAsia="zh-CN"/>
                    </w:rPr>
                  </w:pPr>
                  <w:r>
                    <w:rPr>
                      <w:rFonts w:hint="eastAsia"/>
                      <w:sz w:val="21"/>
                      <w:szCs w:val="21"/>
                      <w:highlight w:val="none"/>
                      <w:vertAlign w:val="baseline"/>
                      <w:lang w:val="en-US" w:eastAsia="zh-CN"/>
                    </w:rPr>
                    <w:t>合计</w:t>
                  </w:r>
                </w:p>
              </w:tc>
              <w:tc>
                <w:tcPr>
                  <w:tcW w:w="701" w:type="pct"/>
                  <w:vAlign w:val="center"/>
                </w:tcPr>
                <w:p w14:paraId="403E510D">
                  <w:pPr>
                    <w:keepNext w:val="0"/>
                    <w:keepLines w:val="0"/>
                    <w:pageBreakBefore w:val="0"/>
                    <w:widowControl w:val="0"/>
                    <w:numPr>
                      <w:ilvl w:val="0"/>
                      <w:numId w:val="0"/>
                    </w:numPr>
                    <w:suppressLineNumbers w:val="0"/>
                    <w:kinsoku/>
                    <w:wordWrap/>
                    <w:overflowPunct/>
                    <w:topLinePunct w:val="0"/>
                    <w:autoSpaceDE/>
                    <w:autoSpaceDN/>
                    <w:bidi w:val="0"/>
                    <w:adjustRightInd/>
                    <w:snapToGrid/>
                    <w:spacing w:before="0" w:beforeAutospacing="0" w:after="0" w:afterAutospacing="0" w:line="276" w:lineRule="auto"/>
                    <w:ind w:left="0" w:right="0"/>
                    <w:jc w:val="center"/>
                    <w:textAlignment w:val="auto"/>
                    <w:rPr>
                      <w:rFonts w:hint="default"/>
                      <w:sz w:val="21"/>
                      <w:szCs w:val="21"/>
                      <w:highlight w:val="none"/>
                      <w:vertAlign w:val="baseline"/>
                      <w:lang w:val="en-US" w:eastAsia="zh-CN"/>
                    </w:rPr>
                  </w:pPr>
                  <w:r>
                    <w:rPr>
                      <w:rFonts w:hint="eastAsia"/>
                      <w:sz w:val="21"/>
                      <w:szCs w:val="21"/>
                      <w:highlight w:val="none"/>
                      <w:vertAlign w:val="baseline"/>
                      <w:lang w:val="en-US" w:eastAsia="zh-CN"/>
                    </w:rPr>
                    <w:t>2444</w:t>
                  </w:r>
                </w:p>
              </w:tc>
              <w:tc>
                <w:tcPr>
                  <w:tcW w:w="440" w:type="pct"/>
                  <w:vAlign w:val="center"/>
                </w:tcPr>
                <w:p w14:paraId="3189ED2C">
                  <w:pPr>
                    <w:keepNext w:val="0"/>
                    <w:keepLines w:val="0"/>
                    <w:pageBreakBefore w:val="0"/>
                    <w:widowControl w:val="0"/>
                    <w:numPr>
                      <w:ilvl w:val="0"/>
                      <w:numId w:val="0"/>
                    </w:numPr>
                    <w:suppressLineNumbers w:val="0"/>
                    <w:kinsoku/>
                    <w:wordWrap/>
                    <w:overflowPunct/>
                    <w:topLinePunct w:val="0"/>
                    <w:autoSpaceDE/>
                    <w:autoSpaceDN/>
                    <w:bidi w:val="0"/>
                    <w:adjustRightInd/>
                    <w:snapToGrid/>
                    <w:spacing w:before="0" w:beforeAutospacing="0" w:after="0" w:afterAutospacing="0" w:line="276" w:lineRule="auto"/>
                    <w:ind w:left="0" w:right="0"/>
                    <w:jc w:val="center"/>
                    <w:textAlignment w:val="auto"/>
                    <w:rPr>
                      <w:rFonts w:hint="eastAsia"/>
                      <w:sz w:val="21"/>
                      <w:szCs w:val="21"/>
                      <w:highlight w:val="none"/>
                      <w:vertAlign w:val="baseline"/>
                      <w:lang w:val="en-US" w:eastAsia="zh-CN"/>
                    </w:rPr>
                  </w:pPr>
                  <w:r>
                    <w:rPr>
                      <w:rFonts w:hint="eastAsia"/>
                      <w:sz w:val="21"/>
                      <w:szCs w:val="21"/>
                      <w:highlight w:val="none"/>
                      <w:vertAlign w:val="baseline"/>
                      <w:lang w:val="en-US" w:eastAsia="zh-CN"/>
                    </w:rPr>
                    <w:t>70000</w:t>
                  </w:r>
                </w:p>
              </w:tc>
              <w:tc>
                <w:tcPr>
                  <w:tcW w:w="440" w:type="pct"/>
                  <w:vAlign w:val="center"/>
                </w:tcPr>
                <w:p w14:paraId="7C1480AD">
                  <w:pPr>
                    <w:keepNext w:val="0"/>
                    <w:keepLines w:val="0"/>
                    <w:pageBreakBefore w:val="0"/>
                    <w:widowControl w:val="0"/>
                    <w:numPr>
                      <w:ilvl w:val="0"/>
                      <w:numId w:val="0"/>
                    </w:numPr>
                    <w:suppressLineNumbers w:val="0"/>
                    <w:kinsoku/>
                    <w:wordWrap/>
                    <w:overflowPunct/>
                    <w:topLinePunct w:val="0"/>
                    <w:autoSpaceDE/>
                    <w:autoSpaceDN/>
                    <w:bidi w:val="0"/>
                    <w:adjustRightInd/>
                    <w:snapToGrid/>
                    <w:spacing w:before="0" w:beforeAutospacing="0" w:after="0" w:afterAutospacing="0" w:line="276" w:lineRule="auto"/>
                    <w:ind w:left="0" w:right="0"/>
                    <w:jc w:val="center"/>
                    <w:textAlignment w:val="auto"/>
                    <w:rPr>
                      <w:rFonts w:hint="eastAsia"/>
                      <w:sz w:val="21"/>
                      <w:szCs w:val="21"/>
                      <w:highlight w:val="none"/>
                      <w:vertAlign w:val="baseline"/>
                      <w:lang w:val="en-US" w:eastAsia="zh-CN"/>
                    </w:rPr>
                  </w:pPr>
                  <w:r>
                    <w:rPr>
                      <w:rFonts w:hint="eastAsia"/>
                      <w:sz w:val="21"/>
                      <w:szCs w:val="21"/>
                      <w:highlight w:val="none"/>
                      <w:vertAlign w:val="baseline"/>
                      <w:lang w:val="en-US" w:eastAsia="zh-CN"/>
                    </w:rPr>
                    <w:t>15100</w:t>
                  </w:r>
                </w:p>
              </w:tc>
              <w:tc>
                <w:tcPr>
                  <w:tcW w:w="441" w:type="pct"/>
                  <w:vAlign w:val="center"/>
                </w:tcPr>
                <w:p w14:paraId="3EAD1A79">
                  <w:pPr>
                    <w:keepNext w:val="0"/>
                    <w:keepLines w:val="0"/>
                    <w:pageBreakBefore w:val="0"/>
                    <w:widowControl w:val="0"/>
                    <w:numPr>
                      <w:ilvl w:val="0"/>
                      <w:numId w:val="0"/>
                    </w:numPr>
                    <w:suppressLineNumbers w:val="0"/>
                    <w:kinsoku/>
                    <w:wordWrap/>
                    <w:overflowPunct/>
                    <w:topLinePunct w:val="0"/>
                    <w:autoSpaceDE/>
                    <w:autoSpaceDN/>
                    <w:bidi w:val="0"/>
                    <w:adjustRightInd/>
                    <w:snapToGrid/>
                    <w:spacing w:before="0" w:beforeAutospacing="0" w:after="0" w:afterAutospacing="0" w:line="276" w:lineRule="auto"/>
                    <w:ind w:left="0" w:right="0"/>
                    <w:jc w:val="center"/>
                    <w:textAlignment w:val="auto"/>
                    <w:rPr>
                      <w:rFonts w:hint="eastAsia"/>
                      <w:sz w:val="21"/>
                      <w:szCs w:val="21"/>
                      <w:highlight w:val="none"/>
                      <w:vertAlign w:val="baseline"/>
                      <w:lang w:val="en-US" w:eastAsia="zh-CN"/>
                    </w:rPr>
                  </w:pPr>
                  <w:r>
                    <w:rPr>
                      <w:rFonts w:hint="eastAsia"/>
                      <w:sz w:val="21"/>
                      <w:szCs w:val="21"/>
                      <w:highlight w:val="none"/>
                      <w:vertAlign w:val="baseline"/>
                      <w:lang w:val="en-US" w:eastAsia="zh-CN"/>
                    </w:rPr>
                    <w:t>3600</w:t>
                  </w:r>
                </w:p>
              </w:tc>
              <w:tc>
                <w:tcPr>
                  <w:tcW w:w="414" w:type="pct"/>
                  <w:vAlign w:val="center"/>
                </w:tcPr>
                <w:p w14:paraId="237E3BB2">
                  <w:pPr>
                    <w:keepNext w:val="0"/>
                    <w:keepLines w:val="0"/>
                    <w:pageBreakBefore w:val="0"/>
                    <w:widowControl w:val="0"/>
                    <w:numPr>
                      <w:ilvl w:val="0"/>
                      <w:numId w:val="0"/>
                    </w:numPr>
                    <w:suppressLineNumbers w:val="0"/>
                    <w:kinsoku/>
                    <w:wordWrap/>
                    <w:overflowPunct/>
                    <w:topLinePunct w:val="0"/>
                    <w:autoSpaceDE/>
                    <w:autoSpaceDN/>
                    <w:bidi w:val="0"/>
                    <w:adjustRightInd/>
                    <w:snapToGrid/>
                    <w:spacing w:before="0" w:beforeAutospacing="0" w:after="0" w:afterAutospacing="0" w:line="276" w:lineRule="auto"/>
                    <w:ind w:left="0" w:right="0"/>
                    <w:jc w:val="center"/>
                    <w:textAlignment w:val="auto"/>
                    <w:rPr>
                      <w:rFonts w:hint="eastAsia"/>
                      <w:sz w:val="21"/>
                      <w:szCs w:val="21"/>
                      <w:highlight w:val="none"/>
                      <w:vertAlign w:val="baseline"/>
                      <w:lang w:val="en-US" w:eastAsia="zh-CN"/>
                    </w:rPr>
                  </w:pPr>
                  <w:r>
                    <w:rPr>
                      <w:rFonts w:hint="eastAsia"/>
                      <w:sz w:val="21"/>
                      <w:szCs w:val="21"/>
                      <w:highlight w:val="none"/>
                      <w:vertAlign w:val="baseline"/>
                      <w:lang w:val="en-US" w:eastAsia="zh-CN"/>
                    </w:rPr>
                    <w:t>600</w:t>
                  </w:r>
                </w:p>
              </w:tc>
              <w:tc>
                <w:tcPr>
                  <w:tcW w:w="414" w:type="pct"/>
                  <w:vAlign w:val="center"/>
                </w:tcPr>
                <w:p w14:paraId="236D9D51">
                  <w:pPr>
                    <w:keepNext w:val="0"/>
                    <w:keepLines w:val="0"/>
                    <w:pageBreakBefore w:val="0"/>
                    <w:widowControl w:val="0"/>
                    <w:numPr>
                      <w:ilvl w:val="0"/>
                      <w:numId w:val="0"/>
                    </w:numPr>
                    <w:suppressLineNumbers w:val="0"/>
                    <w:kinsoku/>
                    <w:wordWrap/>
                    <w:overflowPunct/>
                    <w:topLinePunct w:val="0"/>
                    <w:autoSpaceDE/>
                    <w:autoSpaceDN/>
                    <w:bidi w:val="0"/>
                    <w:adjustRightInd/>
                    <w:snapToGrid/>
                    <w:spacing w:before="0" w:beforeAutospacing="0" w:after="0" w:afterAutospacing="0" w:line="276" w:lineRule="auto"/>
                    <w:ind w:left="0" w:right="0"/>
                    <w:jc w:val="center"/>
                    <w:textAlignment w:val="auto"/>
                    <w:rPr>
                      <w:rFonts w:hint="eastAsia"/>
                      <w:sz w:val="21"/>
                      <w:szCs w:val="21"/>
                      <w:highlight w:val="none"/>
                      <w:vertAlign w:val="baseline"/>
                      <w:lang w:val="en-US" w:eastAsia="zh-CN"/>
                    </w:rPr>
                  </w:pPr>
                  <w:r>
                    <w:rPr>
                      <w:rFonts w:hint="eastAsia"/>
                      <w:sz w:val="21"/>
                      <w:szCs w:val="21"/>
                      <w:highlight w:val="none"/>
                      <w:vertAlign w:val="baseline"/>
                      <w:lang w:val="en-US" w:eastAsia="zh-CN"/>
                    </w:rPr>
                    <w:t>1080</w:t>
                  </w:r>
                </w:p>
              </w:tc>
              <w:tc>
                <w:tcPr>
                  <w:tcW w:w="414" w:type="pct"/>
                  <w:vAlign w:val="center"/>
                </w:tcPr>
                <w:p w14:paraId="497B27CD">
                  <w:pPr>
                    <w:keepNext w:val="0"/>
                    <w:keepLines w:val="0"/>
                    <w:pageBreakBefore w:val="0"/>
                    <w:widowControl w:val="0"/>
                    <w:numPr>
                      <w:ilvl w:val="0"/>
                      <w:numId w:val="0"/>
                    </w:numPr>
                    <w:suppressLineNumbers w:val="0"/>
                    <w:kinsoku/>
                    <w:wordWrap/>
                    <w:overflowPunct/>
                    <w:topLinePunct w:val="0"/>
                    <w:autoSpaceDE/>
                    <w:autoSpaceDN/>
                    <w:bidi w:val="0"/>
                    <w:adjustRightInd/>
                    <w:snapToGrid/>
                    <w:spacing w:before="0" w:beforeAutospacing="0" w:after="0" w:afterAutospacing="0" w:line="276" w:lineRule="auto"/>
                    <w:ind w:left="0" w:right="0"/>
                    <w:jc w:val="center"/>
                    <w:textAlignment w:val="auto"/>
                    <w:rPr>
                      <w:rFonts w:hint="eastAsia"/>
                      <w:sz w:val="21"/>
                      <w:szCs w:val="21"/>
                      <w:highlight w:val="none"/>
                      <w:vertAlign w:val="baseline"/>
                      <w:lang w:val="en-US" w:eastAsia="zh-CN"/>
                    </w:rPr>
                  </w:pPr>
                  <w:r>
                    <w:rPr>
                      <w:rFonts w:hint="eastAsia"/>
                      <w:sz w:val="21"/>
                      <w:szCs w:val="21"/>
                      <w:highlight w:val="none"/>
                      <w:vertAlign w:val="baseline"/>
                      <w:lang w:val="en-US" w:eastAsia="zh-CN"/>
                    </w:rPr>
                    <w:t>144</w:t>
                  </w:r>
                </w:p>
              </w:tc>
              <w:tc>
                <w:tcPr>
                  <w:tcW w:w="417" w:type="pct"/>
                  <w:vAlign w:val="center"/>
                </w:tcPr>
                <w:p w14:paraId="6917A83F">
                  <w:pPr>
                    <w:keepNext w:val="0"/>
                    <w:keepLines w:val="0"/>
                    <w:pageBreakBefore w:val="0"/>
                    <w:widowControl w:val="0"/>
                    <w:numPr>
                      <w:ilvl w:val="0"/>
                      <w:numId w:val="0"/>
                    </w:numPr>
                    <w:suppressLineNumbers w:val="0"/>
                    <w:kinsoku/>
                    <w:wordWrap/>
                    <w:overflowPunct/>
                    <w:topLinePunct w:val="0"/>
                    <w:autoSpaceDE/>
                    <w:autoSpaceDN/>
                    <w:bidi w:val="0"/>
                    <w:adjustRightInd/>
                    <w:snapToGrid/>
                    <w:spacing w:before="0" w:beforeAutospacing="0" w:after="0" w:afterAutospacing="0" w:line="276" w:lineRule="auto"/>
                    <w:ind w:left="0" w:right="0"/>
                    <w:jc w:val="center"/>
                    <w:textAlignment w:val="auto"/>
                    <w:rPr>
                      <w:rFonts w:hint="eastAsia"/>
                      <w:sz w:val="21"/>
                      <w:szCs w:val="21"/>
                      <w:highlight w:val="none"/>
                      <w:vertAlign w:val="baseline"/>
                      <w:lang w:val="en-US" w:eastAsia="zh-CN"/>
                    </w:rPr>
                  </w:pPr>
                  <w:r>
                    <w:rPr>
                      <w:rFonts w:hint="eastAsia"/>
                      <w:sz w:val="21"/>
                      <w:szCs w:val="21"/>
                      <w:highlight w:val="none"/>
                      <w:vertAlign w:val="baseline"/>
                      <w:lang w:val="en-US" w:eastAsia="zh-CN"/>
                    </w:rPr>
                    <w:t>112</w:t>
                  </w:r>
                </w:p>
              </w:tc>
            </w:tr>
          </w:tbl>
          <w:p w14:paraId="0AD01D61">
            <w:pPr>
              <w:pStyle w:val="4"/>
              <w:suppressLineNumbers w:val="0"/>
              <w:snapToGrid w:val="0"/>
              <w:spacing w:before="0" w:beforeAutospacing="0" w:after="0" w:afterAutospacing="0" w:line="360" w:lineRule="auto"/>
              <w:ind w:left="0" w:right="0"/>
              <w:rPr>
                <w:rFonts w:hint="default"/>
                <w:snapToGrid w:val="0"/>
                <w:sz w:val="24"/>
                <w:szCs w:val="24"/>
                <w:highlight w:val="none"/>
              </w:rPr>
            </w:pPr>
            <w:r>
              <w:rPr>
                <w:rFonts w:hint="default"/>
                <w:snapToGrid w:val="0"/>
                <w:sz w:val="24"/>
                <w:szCs w:val="24"/>
                <w:highlight w:val="none"/>
              </w:rPr>
              <w:t>4</w:t>
            </w:r>
            <w:r>
              <w:rPr>
                <w:rFonts w:hint="eastAsia"/>
                <w:snapToGrid w:val="0"/>
                <w:sz w:val="24"/>
                <w:szCs w:val="24"/>
                <w:highlight w:val="none"/>
              </w:rPr>
              <w:t>、主要工程内容</w:t>
            </w:r>
          </w:p>
          <w:p w14:paraId="20927357">
            <w:pPr>
              <w:keepNext w:val="0"/>
              <w:keepLines w:val="0"/>
              <w:suppressLineNumbers w:val="0"/>
              <w:adjustRightInd w:val="0"/>
              <w:snapToGrid w:val="0"/>
              <w:spacing w:before="0" w:beforeAutospacing="0" w:after="0" w:afterAutospacing="0" w:line="360" w:lineRule="auto"/>
              <w:ind w:left="0" w:right="0" w:firstLine="480" w:firstLineChars="200"/>
              <w:jc w:val="left"/>
              <w:rPr>
                <w:rFonts w:hint="default"/>
                <w:highlight w:val="none"/>
              </w:rPr>
            </w:pPr>
            <w:r>
              <w:rPr>
                <w:rFonts w:hint="eastAsia"/>
                <w:kern w:val="0"/>
                <w:highlight w:val="none"/>
              </w:rPr>
              <w:t>企业</w:t>
            </w:r>
            <w:r>
              <w:rPr>
                <w:rFonts w:hint="eastAsia"/>
                <w:highlight w:val="none"/>
              </w:rPr>
              <w:t>主要建设内容见表</w:t>
            </w:r>
            <w:r>
              <w:rPr>
                <w:rFonts w:hint="default"/>
                <w:highlight w:val="none"/>
              </w:rPr>
              <w:t>2-</w:t>
            </w:r>
            <w:r>
              <w:rPr>
                <w:rFonts w:hint="eastAsia"/>
                <w:highlight w:val="none"/>
                <w:lang w:val="en-US" w:eastAsia="zh-CN"/>
              </w:rPr>
              <w:t>3</w:t>
            </w:r>
            <w:r>
              <w:rPr>
                <w:rFonts w:hint="eastAsia"/>
                <w:highlight w:val="none"/>
              </w:rPr>
              <w:t>。</w:t>
            </w:r>
          </w:p>
          <w:p w14:paraId="670F2427">
            <w:pPr>
              <w:keepNext w:val="0"/>
              <w:keepLines w:val="0"/>
              <w:suppressLineNumbers w:val="0"/>
              <w:wordWrap w:val="0"/>
              <w:snapToGrid w:val="0"/>
              <w:spacing w:before="0" w:beforeAutospacing="0" w:after="0" w:afterAutospacing="0" w:line="360" w:lineRule="auto"/>
              <w:ind w:left="0" w:right="0"/>
              <w:jc w:val="center"/>
              <w:rPr>
                <w:rFonts w:hint="default"/>
                <w:b/>
                <w:highlight w:val="none"/>
              </w:rPr>
            </w:pPr>
            <w:r>
              <w:rPr>
                <w:rFonts w:hint="eastAsia"/>
                <w:b/>
                <w:highlight w:val="none"/>
              </w:rPr>
              <w:t>表</w:t>
            </w:r>
            <w:r>
              <w:rPr>
                <w:rFonts w:hint="default"/>
                <w:b/>
                <w:highlight w:val="none"/>
              </w:rPr>
              <w:t>2-</w:t>
            </w:r>
            <w:r>
              <w:rPr>
                <w:rFonts w:hint="eastAsia"/>
                <w:b/>
                <w:highlight w:val="none"/>
                <w:lang w:val="en-US" w:eastAsia="zh-CN"/>
              </w:rPr>
              <w:t>3</w:t>
            </w:r>
            <w:r>
              <w:rPr>
                <w:rFonts w:hint="default"/>
                <w:b/>
                <w:highlight w:val="none"/>
              </w:rPr>
              <w:t xml:space="preserve">  </w:t>
            </w:r>
            <w:r>
              <w:rPr>
                <w:rFonts w:hint="eastAsia"/>
                <w:b/>
                <w:highlight w:val="none"/>
              </w:rPr>
              <w:t>主要建设内容一览表</w:t>
            </w:r>
          </w:p>
          <w:tbl>
            <w:tblPr>
              <w:tblStyle w:val="32"/>
              <w:tblW w:w="4998"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596"/>
              <w:gridCol w:w="576"/>
              <w:gridCol w:w="581"/>
              <w:gridCol w:w="989"/>
              <w:gridCol w:w="2025"/>
              <w:gridCol w:w="3682"/>
            </w:tblGrid>
            <w:tr w14:paraId="7439E27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blHeader/>
              </w:trPr>
              <w:tc>
                <w:tcPr>
                  <w:tcW w:w="353" w:type="pct"/>
                  <w:tcBorders>
                    <w:top w:val="single" w:color="auto" w:sz="4" w:space="0"/>
                    <w:left w:val="single" w:color="auto" w:sz="4" w:space="0"/>
                    <w:bottom w:val="single" w:color="auto" w:sz="4" w:space="0"/>
                    <w:right w:val="single" w:color="auto" w:sz="4" w:space="0"/>
                  </w:tcBorders>
                  <w:tcMar>
                    <w:top w:w="28" w:type="dxa"/>
                    <w:left w:w="28" w:type="dxa"/>
                    <w:bottom w:w="28" w:type="dxa"/>
                    <w:right w:w="28" w:type="dxa"/>
                  </w:tcMar>
                  <w:vAlign w:val="center"/>
                </w:tcPr>
                <w:p w14:paraId="60E75CEB">
                  <w:pPr>
                    <w:keepNext w:val="0"/>
                    <w:keepLines w:val="0"/>
                    <w:suppressLineNumbers w:val="0"/>
                    <w:spacing w:before="0" w:beforeAutospacing="0" w:after="0" w:afterAutospacing="0" w:line="276" w:lineRule="auto"/>
                    <w:ind w:left="0" w:right="0"/>
                    <w:jc w:val="center"/>
                    <w:rPr>
                      <w:rFonts w:hint="default" w:ascii="Times New Roman" w:hAnsi="Times New Roman" w:eastAsia="宋体" w:cs="Times New Roman"/>
                      <w:sz w:val="21"/>
                      <w:szCs w:val="21"/>
                      <w:highlight w:val="none"/>
                    </w:rPr>
                  </w:pPr>
                  <w:r>
                    <w:rPr>
                      <w:rFonts w:hint="eastAsia" w:ascii="Times New Roman" w:hAnsi="Times New Roman" w:eastAsia="宋体" w:cs="Times New Roman"/>
                      <w:sz w:val="21"/>
                      <w:szCs w:val="21"/>
                      <w:highlight w:val="none"/>
                    </w:rPr>
                    <w:t>工程类别</w:t>
                  </w:r>
                </w:p>
              </w:tc>
              <w:tc>
                <w:tcPr>
                  <w:tcW w:w="4646" w:type="pct"/>
                  <w:gridSpan w:val="5"/>
                  <w:tcBorders>
                    <w:top w:val="single" w:color="auto" w:sz="4" w:space="0"/>
                    <w:left w:val="single" w:color="auto" w:sz="4" w:space="0"/>
                    <w:bottom w:val="single" w:color="auto" w:sz="4" w:space="0"/>
                    <w:right w:val="single" w:color="auto" w:sz="4" w:space="0"/>
                  </w:tcBorders>
                  <w:tcMar>
                    <w:top w:w="28" w:type="dxa"/>
                    <w:left w:w="28" w:type="dxa"/>
                    <w:bottom w:w="28" w:type="dxa"/>
                    <w:right w:w="28" w:type="dxa"/>
                  </w:tcMar>
                  <w:vAlign w:val="center"/>
                </w:tcPr>
                <w:p w14:paraId="2ED26415">
                  <w:pPr>
                    <w:keepNext w:val="0"/>
                    <w:keepLines w:val="0"/>
                    <w:suppressLineNumbers w:val="0"/>
                    <w:spacing w:before="0" w:beforeAutospacing="0" w:after="0" w:afterAutospacing="0" w:line="276" w:lineRule="auto"/>
                    <w:ind w:left="0" w:right="0"/>
                    <w:jc w:val="center"/>
                    <w:rPr>
                      <w:rFonts w:hint="default" w:ascii="Times New Roman" w:hAnsi="Times New Roman" w:eastAsia="宋体" w:cs="Times New Roman"/>
                      <w:sz w:val="21"/>
                      <w:szCs w:val="21"/>
                      <w:highlight w:val="none"/>
                    </w:rPr>
                  </w:pPr>
                  <w:r>
                    <w:rPr>
                      <w:rFonts w:hint="eastAsia" w:ascii="Times New Roman" w:hAnsi="Times New Roman" w:eastAsia="宋体" w:cs="Times New Roman"/>
                      <w:sz w:val="21"/>
                      <w:szCs w:val="21"/>
                      <w:highlight w:val="none"/>
                    </w:rPr>
                    <w:t>主要功能</w:t>
                  </w:r>
                </w:p>
              </w:tc>
            </w:tr>
            <w:tr w14:paraId="2381D61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32" w:hRule="atLeast"/>
              </w:trPr>
              <w:tc>
                <w:tcPr>
                  <w:tcW w:w="353" w:type="pct"/>
                  <w:vMerge w:val="restart"/>
                  <w:tcBorders>
                    <w:top w:val="single" w:color="auto" w:sz="4" w:space="0"/>
                    <w:left w:val="single" w:color="auto" w:sz="4" w:space="0"/>
                    <w:right w:val="single" w:color="auto" w:sz="4" w:space="0"/>
                  </w:tcBorders>
                  <w:tcMar>
                    <w:top w:w="28" w:type="dxa"/>
                    <w:left w:w="28" w:type="dxa"/>
                    <w:bottom w:w="28" w:type="dxa"/>
                    <w:right w:w="28" w:type="dxa"/>
                  </w:tcMar>
                  <w:vAlign w:val="center"/>
                </w:tcPr>
                <w:p w14:paraId="30470D81">
                  <w:pPr>
                    <w:keepNext w:val="0"/>
                    <w:keepLines w:val="0"/>
                    <w:suppressLineNumbers w:val="0"/>
                    <w:spacing w:before="0" w:beforeAutospacing="0" w:after="0" w:afterAutospacing="0" w:line="276" w:lineRule="auto"/>
                    <w:ind w:left="0" w:right="0"/>
                    <w:jc w:val="center"/>
                    <w:rPr>
                      <w:rFonts w:hint="default" w:ascii="Times New Roman" w:hAnsi="Times New Roman" w:eastAsia="宋体" w:cs="Times New Roman"/>
                      <w:sz w:val="21"/>
                      <w:szCs w:val="21"/>
                      <w:highlight w:val="none"/>
                    </w:rPr>
                  </w:pPr>
                  <w:r>
                    <w:rPr>
                      <w:rFonts w:hint="eastAsia" w:ascii="Times New Roman" w:hAnsi="Times New Roman" w:eastAsia="宋体" w:cs="Times New Roman"/>
                      <w:sz w:val="21"/>
                      <w:szCs w:val="21"/>
                      <w:highlight w:val="none"/>
                    </w:rPr>
                    <w:t>主体工程</w:t>
                  </w:r>
                </w:p>
              </w:tc>
              <w:tc>
                <w:tcPr>
                  <w:tcW w:w="341" w:type="pct"/>
                  <w:vMerge w:val="restart"/>
                  <w:tcBorders>
                    <w:top w:val="single" w:color="auto" w:sz="4" w:space="0"/>
                    <w:left w:val="single" w:color="auto" w:sz="4" w:space="0"/>
                    <w:right w:val="single" w:color="auto" w:sz="4" w:space="0"/>
                  </w:tcBorders>
                  <w:tcMar>
                    <w:top w:w="28" w:type="dxa"/>
                    <w:left w:w="28" w:type="dxa"/>
                    <w:bottom w:w="28" w:type="dxa"/>
                    <w:right w:w="28" w:type="dxa"/>
                  </w:tcMar>
                  <w:vAlign w:val="center"/>
                </w:tcPr>
                <w:p w14:paraId="4AD47C6D">
                  <w:pPr>
                    <w:keepNext w:val="0"/>
                    <w:keepLines w:val="0"/>
                    <w:suppressLineNumbers w:val="0"/>
                    <w:spacing w:before="0" w:beforeAutospacing="0" w:after="0" w:afterAutospacing="0" w:line="276" w:lineRule="auto"/>
                    <w:ind w:left="0" w:right="0"/>
                    <w:jc w:val="center"/>
                    <w:rPr>
                      <w:rFonts w:hint="default" w:ascii="Times New Roman" w:hAnsi="Times New Roman" w:eastAsia="宋体" w:cs="Times New Roman"/>
                      <w:sz w:val="21"/>
                      <w:szCs w:val="21"/>
                      <w:highlight w:val="none"/>
                      <w:lang w:val="en-US" w:eastAsia="zh-CN"/>
                    </w:rPr>
                  </w:pPr>
                  <w:r>
                    <w:rPr>
                      <w:rFonts w:hint="eastAsia" w:ascii="Times New Roman" w:hAnsi="Times New Roman" w:eastAsia="宋体" w:cs="Times New Roman"/>
                      <w:sz w:val="21"/>
                      <w:szCs w:val="21"/>
                      <w:highlight w:val="none"/>
                      <w:lang w:val="en-US" w:eastAsia="zh-CN"/>
                    </w:rPr>
                    <w:t>实验动物中心</w:t>
                  </w:r>
                </w:p>
              </w:tc>
              <w:tc>
                <w:tcPr>
                  <w:tcW w:w="4305" w:type="pct"/>
                  <w:gridSpan w:val="4"/>
                  <w:tcBorders>
                    <w:top w:val="single" w:color="auto" w:sz="4" w:space="0"/>
                    <w:left w:val="single" w:color="auto" w:sz="4" w:space="0"/>
                    <w:bottom w:val="single" w:color="auto" w:sz="4" w:space="0"/>
                    <w:right w:val="single" w:color="auto" w:sz="4" w:space="0"/>
                  </w:tcBorders>
                  <w:tcMar>
                    <w:top w:w="28" w:type="dxa"/>
                    <w:left w:w="28" w:type="dxa"/>
                    <w:bottom w:w="28" w:type="dxa"/>
                    <w:right w:w="28" w:type="dxa"/>
                  </w:tcMar>
                  <w:vAlign w:val="center"/>
                </w:tcPr>
                <w:p w14:paraId="7DD853E3">
                  <w:pPr>
                    <w:keepNext w:val="0"/>
                    <w:keepLines w:val="0"/>
                    <w:suppressLineNumbers w:val="0"/>
                    <w:spacing w:before="0" w:beforeAutospacing="0" w:after="0" w:afterAutospacing="0" w:line="276" w:lineRule="auto"/>
                    <w:ind w:left="0" w:right="0"/>
                    <w:jc w:val="left"/>
                    <w:rPr>
                      <w:rFonts w:hint="default" w:ascii="Times New Roman" w:hAnsi="Times New Roman" w:eastAsia="宋体" w:cs="Times New Roman"/>
                      <w:sz w:val="21"/>
                      <w:szCs w:val="21"/>
                      <w:highlight w:val="none"/>
                      <w:lang w:val="en-US" w:eastAsia="zh-CN"/>
                    </w:rPr>
                  </w:pPr>
                  <w:r>
                    <w:rPr>
                      <w:rFonts w:hint="eastAsia" w:ascii="Times New Roman" w:hAnsi="Times New Roman" w:eastAsia="宋体" w:cs="Times New Roman"/>
                      <w:sz w:val="21"/>
                      <w:szCs w:val="21"/>
                      <w:highlight w:val="none"/>
                      <w:lang w:val="en-US" w:eastAsia="zh-CN"/>
                    </w:rPr>
                    <w:t>1F，主要布置1个兔饲养间、1个豚鼠饲养间、2个猪饲养间、1个猴饲养间、3个犬饲养间；1个兔、豚鼠检疫室（兔和豚鼠</w:t>
                  </w:r>
                  <w:r>
                    <w:rPr>
                      <w:rFonts w:hint="eastAsia" w:cs="Times New Roman"/>
                      <w:sz w:val="21"/>
                      <w:szCs w:val="21"/>
                      <w:highlight w:val="none"/>
                      <w:lang w:val="en-US" w:eastAsia="zh-CN"/>
                    </w:rPr>
                    <w:t>共</w:t>
                  </w:r>
                  <w:r>
                    <w:rPr>
                      <w:rFonts w:hint="eastAsia" w:ascii="Times New Roman" w:hAnsi="Times New Roman" w:eastAsia="宋体" w:cs="Times New Roman"/>
                      <w:sz w:val="21"/>
                      <w:szCs w:val="21"/>
                      <w:highlight w:val="none"/>
                      <w:lang w:val="en-US" w:eastAsia="zh-CN"/>
                    </w:rPr>
                    <w:t>用）、1个猪检疫室、1个犬检疫室、1个猴检疫室；1个解剖室；3个清洗间；1间复苏室、1间手术室；其余为办公室、会议室等辅助用房。</w:t>
                  </w:r>
                </w:p>
              </w:tc>
            </w:tr>
            <w:tr w14:paraId="4D80311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32" w:hRule="atLeast"/>
              </w:trPr>
              <w:tc>
                <w:tcPr>
                  <w:tcW w:w="353" w:type="pct"/>
                  <w:vMerge w:val="continue"/>
                  <w:tcBorders>
                    <w:left w:val="single" w:color="auto" w:sz="4" w:space="0"/>
                    <w:right w:val="single" w:color="auto" w:sz="4" w:space="0"/>
                  </w:tcBorders>
                  <w:tcMar>
                    <w:top w:w="28" w:type="dxa"/>
                    <w:left w:w="28" w:type="dxa"/>
                    <w:bottom w:w="28" w:type="dxa"/>
                    <w:right w:w="28" w:type="dxa"/>
                  </w:tcMar>
                  <w:vAlign w:val="center"/>
                </w:tcPr>
                <w:p w14:paraId="028F0E9E">
                  <w:pPr>
                    <w:keepNext w:val="0"/>
                    <w:keepLines w:val="0"/>
                    <w:suppressLineNumbers w:val="0"/>
                    <w:spacing w:before="0" w:beforeAutospacing="0" w:after="0" w:afterAutospacing="0" w:line="276" w:lineRule="auto"/>
                    <w:ind w:left="0" w:right="0"/>
                    <w:jc w:val="left"/>
                    <w:rPr>
                      <w:rFonts w:hint="default" w:ascii="Times New Roman" w:hAnsi="Times New Roman" w:eastAsia="宋体" w:cs="Times New Roman"/>
                      <w:sz w:val="21"/>
                      <w:szCs w:val="21"/>
                      <w:highlight w:val="none"/>
                    </w:rPr>
                  </w:pPr>
                </w:p>
              </w:tc>
              <w:tc>
                <w:tcPr>
                  <w:tcW w:w="341" w:type="pct"/>
                  <w:vMerge w:val="continue"/>
                  <w:tcBorders>
                    <w:left w:val="single" w:color="auto" w:sz="4" w:space="0"/>
                    <w:right w:val="single" w:color="auto" w:sz="4" w:space="0"/>
                  </w:tcBorders>
                  <w:tcMar>
                    <w:top w:w="28" w:type="dxa"/>
                    <w:left w:w="28" w:type="dxa"/>
                    <w:bottom w:w="28" w:type="dxa"/>
                    <w:right w:w="28" w:type="dxa"/>
                  </w:tcMar>
                  <w:vAlign w:val="center"/>
                </w:tcPr>
                <w:p w14:paraId="65847B47">
                  <w:pPr>
                    <w:keepNext w:val="0"/>
                    <w:keepLines w:val="0"/>
                    <w:suppressLineNumbers w:val="0"/>
                    <w:spacing w:before="0" w:beforeAutospacing="0" w:after="0" w:afterAutospacing="0" w:line="276" w:lineRule="auto"/>
                    <w:ind w:left="0" w:right="0"/>
                    <w:jc w:val="left"/>
                    <w:rPr>
                      <w:rFonts w:hint="default" w:ascii="Times New Roman" w:hAnsi="Times New Roman" w:eastAsia="宋体" w:cs="Times New Roman"/>
                      <w:sz w:val="21"/>
                      <w:szCs w:val="21"/>
                      <w:highlight w:val="none"/>
                    </w:rPr>
                  </w:pPr>
                </w:p>
              </w:tc>
              <w:tc>
                <w:tcPr>
                  <w:tcW w:w="4305" w:type="pct"/>
                  <w:gridSpan w:val="4"/>
                  <w:tcBorders>
                    <w:top w:val="single" w:color="auto" w:sz="4" w:space="0"/>
                    <w:left w:val="single" w:color="auto" w:sz="4" w:space="0"/>
                    <w:bottom w:val="single" w:color="auto" w:sz="4" w:space="0"/>
                    <w:right w:val="single" w:color="auto" w:sz="4" w:space="0"/>
                  </w:tcBorders>
                  <w:tcMar>
                    <w:top w:w="28" w:type="dxa"/>
                    <w:left w:w="28" w:type="dxa"/>
                    <w:bottom w:w="28" w:type="dxa"/>
                    <w:right w:w="28" w:type="dxa"/>
                  </w:tcMar>
                  <w:vAlign w:val="center"/>
                </w:tcPr>
                <w:p w14:paraId="21969B70">
                  <w:pPr>
                    <w:keepNext w:val="0"/>
                    <w:keepLines w:val="0"/>
                    <w:suppressLineNumbers w:val="0"/>
                    <w:spacing w:before="0" w:beforeAutospacing="0" w:after="0" w:afterAutospacing="0" w:line="276" w:lineRule="auto"/>
                    <w:ind w:left="0" w:right="0"/>
                    <w:jc w:val="left"/>
                    <w:rPr>
                      <w:rFonts w:hint="default" w:ascii="Times New Roman" w:hAnsi="Times New Roman" w:eastAsia="宋体" w:cs="Times New Roman"/>
                      <w:sz w:val="21"/>
                      <w:szCs w:val="21"/>
                      <w:highlight w:val="none"/>
                      <w:lang w:val="en-US" w:eastAsia="zh-CN"/>
                    </w:rPr>
                  </w:pPr>
                  <w:r>
                    <w:rPr>
                      <w:rFonts w:hint="eastAsia" w:ascii="Times New Roman" w:hAnsi="Times New Roman" w:eastAsia="宋体" w:cs="Times New Roman"/>
                      <w:sz w:val="21"/>
                      <w:szCs w:val="21"/>
                      <w:highlight w:val="none"/>
                      <w:lang w:val="en-US" w:eastAsia="zh-CN"/>
                    </w:rPr>
                    <w:t>2F，主要布置11个小鼠饲养间、3个大鼠饲养间、2间实验室、1个手术室、2间仪器室、2个内准备间、2个外准备间、1间解剖室、1间检疫室、1间后室。</w:t>
                  </w:r>
                </w:p>
              </w:tc>
            </w:tr>
            <w:tr w14:paraId="4AB6DBA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32" w:hRule="atLeast"/>
              </w:trPr>
              <w:tc>
                <w:tcPr>
                  <w:tcW w:w="353" w:type="pct"/>
                  <w:vMerge w:val="continue"/>
                  <w:tcBorders>
                    <w:left w:val="single" w:color="auto" w:sz="4" w:space="0"/>
                    <w:right w:val="single" w:color="auto" w:sz="4" w:space="0"/>
                  </w:tcBorders>
                  <w:tcMar>
                    <w:top w:w="28" w:type="dxa"/>
                    <w:left w:w="28" w:type="dxa"/>
                    <w:bottom w:w="28" w:type="dxa"/>
                    <w:right w:w="28" w:type="dxa"/>
                  </w:tcMar>
                  <w:vAlign w:val="center"/>
                </w:tcPr>
                <w:p w14:paraId="6DDF027C">
                  <w:pPr>
                    <w:keepNext w:val="0"/>
                    <w:keepLines w:val="0"/>
                    <w:suppressLineNumbers w:val="0"/>
                    <w:spacing w:before="0" w:beforeAutospacing="0" w:after="0" w:afterAutospacing="0" w:line="276" w:lineRule="auto"/>
                    <w:ind w:left="0" w:right="0"/>
                    <w:jc w:val="left"/>
                    <w:rPr>
                      <w:rFonts w:hint="eastAsia" w:ascii="Times New Roman" w:hAnsi="Times New Roman" w:eastAsia="宋体" w:cs="Times New Roman"/>
                      <w:sz w:val="21"/>
                      <w:szCs w:val="21"/>
                      <w:highlight w:val="none"/>
                    </w:rPr>
                  </w:pPr>
                </w:p>
              </w:tc>
              <w:tc>
                <w:tcPr>
                  <w:tcW w:w="341" w:type="pct"/>
                  <w:vMerge w:val="continue"/>
                  <w:tcBorders>
                    <w:left w:val="single" w:color="auto" w:sz="4" w:space="0"/>
                    <w:bottom w:val="single" w:color="auto" w:sz="4" w:space="0"/>
                    <w:right w:val="single" w:color="auto" w:sz="4" w:space="0"/>
                  </w:tcBorders>
                  <w:tcMar>
                    <w:top w:w="28" w:type="dxa"/>
                    <w:left w:w="28" w:type="dxa"/>
                    <w:bottom w:w="28" w:type="dxa"/>
                    <w:right w:w="28" w:type="dxa"/>
                  </w:tcMar>
                  <w:vAlign w:val="center"/>
                </w:tcPr>
                <w:p w14:paraId="672C9932">
                  <w:pPr>
                    <w:keepNext w:val="0"/>
                    <w:keepLines w:val="0"/>
                    <w:suppressLineNumbers w:val="0"/>
                    <w:spacing w:before="0" w:beforeAutospacing="0" w:after="0" w:afterAutospacing="0" w:line="276" w:lineRule="auto"/>
                    <w:ind w:left="0" w:right="0"/>
                    <w:jc w:val="left"/>
                    <w:rPr>
                      <w:rFonts w:hint="eastAsia" w:ascii="Times New Roman" w:hAnsi="Times New Roman" w:eastAsia="宋体" w:cs="Times New Roman"/>
                      <w:sz w:val="21"/>
                      <w:szCs w:val="21"/>
                      <w:highlight w:val="none"/>
                    </w:rPr>
                  </w:pPr>
                </w:p>
              </w:tc>
              <w:tc>
                <w:tcPr>
                  <w:tcW w:w="4305" w:type="pct"/>
                  <w:gridSpan w:val="4"/>
                  <w:tcBorders>
                    <w:top w:val="single" w:color="auto" w:sz="4" w:space="0"/>
                    <w:left w:val="single" w:color="auto" w:sz="4" w:space="0"/>
                    <w:bottom w:val="single" w:color="auto" w:sz="4" w:space="0"/>
                    <w:right w:val="single" w:color="auto" w:sz="4" w:space="0"/>
                  </w:tcBorders>
                  <w:tcMar>
                    <w:top w:w="28" w:type="dxa"/>
                    <w:left w:w="28" w:type="dxa"/>
                    <w:bottom w:w="28" w:type="dxa"/>
                    <w:right w:w="28" w:type="dxa"/>
                  </w:tcMar>
                  <w:vAlign w:val="center"/>
                </w:tcPr>
                <w:p w14:paraId="5A4B492C">
                  <w:pPr>
                    <w:keepNext w:val="0"/>
                    <w:keepLines w:val="0"/>
                    <w:suppressLineNumbers w:val="0"/>
                    <w:spacing w:before="0" w:beforeAutospacing="0" w:after="0" w:afterAutospacing="0" w:line="276" w:lineRule="auto"/>
                    <w:ind w:left="0" w:right="0"/>
                    <w:jc w:val="left"/>
                    <w:rPr>
                      <w:rFonts w:hint="default" w:ascii="Times New Roman" w:hAnsi="Times New Roman" w:eastAsia="宋体" w:cs="Times New Roman"/>
                      <w:sz w:val="21"/>
                      <w:szCs w:val="21"/>
                      <w:highlight w:val="none"/>
                      <w:lang w:val="en-US" w:eastAsia="zh-CN"/>
                    </w:rPr>
                  </w:pPr>
                  <w:r>
                    <w:rPr>
                      <w:rFonts w:hint="eastAsia" w:ascii="Times New Roman" w:hAnsi="Times New Roman" w:eastAsia="宋体" w:cs="Times New Roman"/>
                      <w:sz w:val="21"/>
                      <w:szCs w:val="21"/>
                      <w:highlight w:val="none"/>
                      <w:lang w:val="en-US" w:eastAsia="zh-CN"/>
                    </w:rPr>
                    <w:t>3F，主要布置6个小鼠饲养间、2个大鼠饲养间、2间实验室、1间微生物实验室、2间仪器室、4间细胞仪器室、1间无菌饲养间、2个内准备间、2个外准备间、1间解剖室、1间污物灭菌前室、1间污物灭菌后室、1间检疫室、1</w:t>
                  </w:r>
                  <w:r>
                    <w:rPr>
                      <w:rFonts w:hint="eastAsia" w:cs="Times New Roman"/>
                      <w:sz w:val="21"/>
                      <w:szCs w:val="21"/>
                      <w:highlight w:val="none"/>
                      <w:lang w:val="en-US" w:eastAsia="zh-CN"/>
                    </w:rPr>
                    <w:t>间</w:t>
                  </w:r>
                  <w:r>
                    <w:rPr>
                      <w:rFonts w:hint="eastAsia" w:ascii="Times New Roman" w:hAnsi="Times New Roman" w:eastAsia="宋体" w:cs="Times New Roman"/>
                      <w:sz w:val="21"/>
                      <w:szCs w:val="21"/>
                      <w:highlight w:val="none"/>
                      <w:lang w:val="en-US" w:eastAsia="zh-CN"/>
                    </w:rPr>
                    <w:t>手术室。</w:t>
                  </w:r>
                </w:p>
              </w:tc>
            </w:tr>
            <w:tr w14:paraId="111F644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96" w:hRule="atLeast"/>
              </w:trPr>
              <w:tc>
                <w:tcPr>
                  <w:tcW w:w="353" w:type="pct"/>
                  <w:vMerge w:val="continue"/>
                  <w:tcBorders>
                    <w:left w:val="single" w:color="auto" w:sz="4" w:space="0"/>
                    <w:right w:val="single" w:color="auto" w:sz="4" w:space="0"/>
                  </w:tcBorders>
                  <w:tcMar>
                    <w:top w:w="28" w:type="dxa"/>
                    <w:left w:w="28" w:type="dxa"/>
                    <w:bottom w:w="28" w:type="dxa"/>
                    <w:right w:w="28" w:type="dxa"/>
                  </w:tcMar>
                  <w:vAlign w:val="center"/>
                </w:tcPr>
                <w:p w14:paraId="16735EFC">
                  <w:pPr>
                    <w:keepNext w:val="0"/>
                    <w:keepLines w:val="0"/>
                    <w:suppressLineNumbers w:val="0"/>
                    <w:spacing w:before="0" w:beforeAutospacing="0" w:after="0" w:afterAutospacing="0" w:line="276" w:lineRule="auto"/>
                    <w:ind w:left="0" w:right="0"/>
                    <w:jc w:val="center"/>
                    <w:rPr>
                      <w:rFonts w:hint="default" w:ascii="Times New Roman" w:hAnsi="Times New Roman" w:eastAsia="宋体" w:cs="Times New Roman"/>
                      <w:sz w:val="21"/>
                      <w:szCs w:val="21"/>
                      <w:highlight w:val="none"/>
                    </w:rPr>
                  </w:pPr>
                </w:p>
              </w:tc>
              <w:tc>
                <w:tcPr>
                  <w:tcW w:w="341" w:type="pct"/>
                  <w:vMerge w:val="restart"/>
                  <w:tcBorders>
                    <w:top w:val="single" w:color="auto" w:sz="4" w:space="0"/>
                    <w:left w:val="single" w:color="auto" w:sz="4" w:space="0"/>
                    <w:right w:val="single" w:color="auto" w:sz="4" w:space="0"/>
                  </w:tcBorders>
                  <w:tcMar>
                    <w:top w:w="28" w:type="dxa"/>
                    <w:left w:w="28" w:type="dxa"/>
                    <w:bottom w:w="28" w:type="dxa"/>
                    <w:right w:w="28" w:type="dxa"/>
                  </w:tcMar>
                  <w:vAlign w:val="center"/>
                </w:tcPr>
                <w:p w14:paraId="48883023">
                  <w:pPr>
                    <w:keepNext w:val="0"/>
                    <w:keepLines w:val="0"/>
                    <w:suppressLineNumbers w:val="0"/>
                    <w:spacing w:before="0" w:beforeAutospacing="0" w:after="0" w:afterAutospacing="0" w:line="276" w:lineRule="auto"/>
                    <w:ind w:left="0" w:right="0"/>
                    <w:jc w:val="center"/>
                    <w:rPr>
                      <w:rFonts w:hint="default" w:ascii="Times New Roman" w:hAnsi="Times New Roman" w:eastAsia="宋体" w:cs="Times New Roman"/>
                      <w:sz w:val="21"/>
                      <w:szCs w:val="21"/>
                      <w:highlight w:val="none"/>
                      <w:lang w:val="en-US" w:eastAsia="zh-CN"/>
                    </w:rPr>
                  </w:pPr>
                  <w:r>
                    <w:rPr>
                      <w:rFonts w:hint="eastAsia" w:ascii="Times New Roman" w:hAnsi="Times New Roman" w:eastAsia="宋体" w:cs="Times New Roman"/>
                      <w:sz w:val="21"/>
                      <w:szCs w:val="21"/>
                      <w:highlight w:val="none"/>
                      <w:lang w:val="en-US" w:eastAsia="zh-CN"/>
                    </w:rPr>
                    <w:t>科创综合楼</w:t>
                  </w:r>
                </w:p>
              </w:tc>
              <w:tc>
                <w:tcPr>
                  <w:tcW w:w="4305" w:type="pct"/>
                  <w:gridSpan w:val="4"/>
                  <w:tcBorders>
                    <w:top w:val="single" w:color="auto" w:sz="4" w:space="0"/>
                    <w:left w:val="single" w:color="auto" w:sz="4" w:space="0"/>
                    <w:bottom w:val="single" w:color="auto" w:sz="4" w:space="0"/>
                    <w:right w:val="single" w:color="auto" w:sz="4" w:space="0"/>
                  </w:tcBorders>
                  <w:tcMar>
                    <w:top w:w="28" w:type="dxa"/>
                    <w:left w:w="28" w:type="dxa"/>
                    <w:bottom w:w="28" w:type="dxa"/>
                    <w:right w:w="28" w:type="dxa"/>
                  </w:tcMar>
                  <w:vAlign w:val="center"/>
                </w:tcPr>
                <w:p w14:paraId="1FB5F3F7">
                  <w:pPr>
                    <w:keepNext w:val="0"/>
                    <w:keepLines w:val="0"/>
                    <w:suppressLineNumbers w:val="0"/>
                    <w:spacing w:before="0" w:beforeAutospacing="0" w:after="0" w:afterAutospacing="0" w:line="276" w:lineRule="auto"/>
                    <w:ind w:left="0" w:right="0"/>
                    <w:jc w:val="left"/>
                    <w:rPr>
                      <w:rFonts w:hint="default" w:ascii="Times New Roman" w:hAnsi="Times New Roman" w:eastAsia="宋体" w:cs="Times New Roman"/>
                      <w:sz w:val="21"/>
                      <w:szCs w:val="21"/>
                      <w:highlight w:val="none"/>
                      <w:lang w:val="en-US" w:eastAsia="zh-CN"/>
                    </w:rPr>
                  </w:pPr>
                  <w:r>
                    <w:rPr>
                      <w:rFonts w:hint="eastAsia" w:ascii="Times New Roman" w:hAnsi="Times New Roman" w:eastAsia="宋体" w:cs="Times New Roman"/>
                      <w:sz w:val="21"/>
                      <w:szCs w:val="21"/>
                      <w:highlight w:val="none"/>
                      <w:lang w:val="en-US" w:eastAsia="zh-CN"/>
                    </w:rPr>
                    <w:t>1F，主要布置2个钢瓶间、废弃物处理实验室、显微成像实验室、细胞生物实验室、分子生物实验室、2间前处理间实验室、色谱光谱区实验室、质谱区。</w:t>
                  </w:r>
                </w:p>
              </w:tc>
            </w:tr>
            <w:tr w14:paraId="6279B0F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96" w:hRule="atLeast"/>
              </w:trPr>
              <w:tc>
                <w:tcPr>
                  <w:tcW w:w="353" w:type="pct"/>
                  <w:vMerge w:val="continue"/>
                  <w:tcBorders>
                    <w:left w:val="single" w:color="auto" w:sz="4" w:space="0"/>
                    <w:right w:val="single" w:color="auto" w:sz="4" w:space="0"/>
                  </w:tcBorders>
                  <w:tcMar>
                    <w:top w:w="28" w:type="dxa"/>
                    <w:left w:w="28" w:type="dxa"/>
                    <w:bottom w:w="28" w:type="dxa"/>
                    <w:right w:w="28" w:type="dxa"/>
                  </w:tcMar>
                  <w:vAlign w:val="center"/>
                </w:tcPr>
                <w:p w14:paraId="3C174B4B">
                  <w:pPr>
                    <w:keepNext w:val="0"/>
                    <w:keepLines w:val="0"/>
                    <w:suppressLineNumbers w:val="0"/>
                    <w:spacing w:before="0" w:beforeAutospacing="0" w:after="0" w:afterAutospacing="0" w:line="276" w:lineRule="auto"/>
                    <w:ind w:left="0" w:right="0"/>
                    <w:jc w:val="left"/>
                    <w:rPr>
                      <w:rFonts w:hint="default" w:ascii="Times New Roman" w:hAnsi="Times New Roman" w:eastAsia="宋体" w:cs="Times New Roman"/>
                      <w:sz w:val="21"/>
                      <w:szCs w:val="21"/>
                      <w:highlight w:val="none"/>
                    </w:rPr>
                  </w:pPr>
                </w:p>
              </w:tc>
              <w:tc>
                <w:tcPr>
                  <w:tcW w:w="341" w:type="pct"/>
                  <w:vMerge w:val="continue"/>
                  <w:tcBorders>
                    <w:left w:val="single" w:color="auto" w:sz="4" w:space="0"/>
                    <w:right w:val="single" w:color="auto" w:sz="4" w:space="0"/>
                  </w:tcBorders>
                  <w:tcMar>
                    <w:top w:w="28" w:type="dxa"/>
                    <w:left w:w="28" w:type="dxa"/>
                    <w:bottom w:w="28" w:type="dxa"/>
                    <w:right w:w="28" w:type="dxa"/>
                  </w:tcMar>
                  <w:vAlign w:val="center"/>
                </w:tcPr>
                <w:p w14:paraId="2AA89CB4">
                  <w:pPr>
                    <w:keepNext w:val="0"/>
                    <w:keepLines w:val="0"/>
                    <w:suppressLineNumbers w:val="0"/>
                    <w:spacing w:before="0" w:beforeAutospacing="0" w:after="0" w:afterAutospacing="0" w:line="276" w:lineRule="auto"/>
                    <w:ind w:left="0" w:right="0"/>
                    <w:jc w:val="left"/>
                    <w:rPr>
                      <w:rFonts w:hint="default" w:ascii="Times New Roman" w:hAnsi="Times New Roman" w:eastAsia="宋体" w:cs="Times New Roman"/>
                      <w:sz w:val="21"/>
                      <w:szCs w:val="21"/>
                      <w:highlight w:val="none"/>
                    </w:rPr>
                  </w:pPr>
                </w:p>
              </w:tc>
              <w:tc>
                <w:tcPr>
                  <w:tcW w:w="4305" w:type="pct"/>
                  <w:gridSpan w:val="4"/>
                  <w:tcBorders>
                    <w:top w:val="single" w:color="auto" w:sz="4" w:space="0"/>
                    <w:left w:val="single" w:color="auto" w:sz="4" w:space="0"/>
                    <w:bottom w:val="single" w:color="auto" w:sz="4" w:space="0"/>
                    <w:right w:val="single" w:color="auto" w:sz="4" w:space="0"/>
                  </w:tcBorders>
                  <w:tcMar>
                    <w:top w:w="28" w:type="dxa"/>
                    <w:left w:w="28" w:type="dxa"/>
                    <w:bottom w:w="28" w:type="dxa"/>
                    <w:right w:w="28" w:type="dxa"/>
                  </w:tcMar>
                  <w:vAlign w:val="center"/>
                </w:tcPr>
                <w:p w14:paraId="78ECE6BF">
                  <w:pPr>
                    <w:keepNext w:val="0"/>
                    <w:keepLines w:val="0"/>
                    <w:suppressLineNumbers w:val="0"/>
                    <w:spacing w:before="0" w:beforeAutospacing="0" w:after="0" w:afterAutospacing="0" w:line="276" w:lineRule="auto"/>
                    <w:ind w:left="0" w:right="0"/>
                    <w:jc w:val="left"/>
                    <w:rPr>
                      <w:rFonts w:hint="default" w:ascii="Times New Roman" w:hAnsi="Times New Roman" w:eastAsia="宋体" w:cs="Times New Roman"/>
                      <w:sz w:val="21"/>
                      <w:szCs w:val="21"/>
                      <w:highlight w:val="none"/>
                      <w:lang w:val="en-US" w:eastAsia="zh-CN"/>
                    </w:rPr>
                  </w:pPr>
                  <w:r>
                    <w:rPr>
                      <w:rFonts w:hint="eastAsia" w:ascii="Times New Roman" w:hAnsi="Times New Roman" w:eastAsia="宋体" w:cs="Times New Roman"/>
                      <w:sz w:val="21"/>
                      <w:szCs w:val="21"/>
                      <w:highlight w:val="none"/>
                      <w:lang w:val="en-US" w:eastAsia="zh-CN"/>
                    </w:rPr>
                    <w:t>2F，主要布置5个储藏间（含1个废液间、1个钢瓶间）、8个细胞间、2间合成实验室、1间开放实验室、2个分子生物实验室、1个灭菌间、2间药物制剂实验室；其余为办公室、会议室等辅助用房。</w:t>
                  </w:r>
                </w:p>
              </w:tc>
            </w:tr>
            <w:tr w14:paraId="5FD8D27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96" w:hRule="atLeast"/>
              </w:trPr>
              <w:tc>
                <w:tcPr>
                  <w:tcW w:w="353" w:type="pct"/>
                  <w:vMerge w:val="continue"/>
                  <w:tcBorders>
                    <w:left w:val="single" w:color="auto" w:sz="4" w:space="0"/>
                    <w:right w:val="single" w:color="auto" w:sz="4" w:space="0"/>
                  </w:tcBorders>
                  <w:tcMar>
                    <w:top w:w="28" w:type="dxa"/>
                    <w:left w:w="28" w:type="dxa"/>
                    <w:bottom w:w="28" w:type="dxa"/>
                    <w:right w:w="28" w:type="dxa"/>
                  </w:tcMar>
                  <w:vAlign w:val="center"/>
                </w:tcPr>
                <w:p w14:paraId="6DC6029A">
                  <w:pPr>
                    <w:keepNext w:val="0"/>
                    <w:keepLines w:val="0"/>
                    <w:suppressLineNumbers w:val="0"/>
                    <w:spacing w:before="0" w:beforeAutospacing="0" w:after="0" w:afterAutospacing="0" w:line="276" w:lineRule="auto"/>
                    <w:ind w:left="0" w:right="0"/>
                    <w:jc w:val="left"/>
                    <w:rPr>
                      <w:rFonts w:hint="default" w:ascii="Times New Roman" w:hAnsi="Times New Roman" w:eastAsia="宋体" w:cs="Times New Roman"/>
                      <w:sz w:val="21"/>
                      <w:szCs w:val="21"/>
                      <w:highlight w:val="none"/>
                    </w:rPr>
                  </w:pPr>
                </w:p>
              </w:tc>
              <w:tc>
                <w:tcPr>
                  <w:tcW w:w="341" w:type="pct"/>
                  <w:vMerge w:val="continue"/>
                  <w:tcBorders>
                    <w:left w:val="single" w:color="auto" w:sz="4" w:space="0"/>
                    <w:right w:val="single" w:color="auto" w:sz="4" w:space="0"/>
                  </w:tcBorders>
                  <w:tcMar>
                    <w:top w:w="28" w:type="dxa"/>
                    <w:left w:w="28" w:type="dxa"/>
                    <w:bottom w:w="28" w:type="dxa"/>
                    <w:right w:w="28" w:type="dxa"/>
                  </w:tcMar>
                  <w:vAlign w:val="center"/>
                </w:tcPr>
                <w:p w14:paraId="25792552">
                  <w:pPr>
                    <w:keepNext w:val="0"/>
                    <w:keepLines w:val="0"/>
                    <w:suppressLineNumbers w:val="0"/>
                    <w:spacing w:before="0" w:beforeAutospacing="0" w:after="0" w:afterAutospacing="0" w:line="276" w:lineRule="auto"/>
                    <w:ind w:left="0" w:right="0"/>
                    <w:jc w:val="left"/>
                    <w:rPr>
                      <w:rFonts w:hint="default" w:ascii="Times New Roman" w:hAnsi="Times New Roman" w:eastAsia="宋体" w:cs="Times New Roman"/>
                      <w:sz w:val="21"/>
                      <w:szCs w:val="21"/>
                      <w:highlight w:val="none"/>
                    </w:rPr>
                  </w:pPr>
                </w:p>
              </w:tc>
              <w:tc>
                <w:tcPr>
                  <w:tcW w:w="4305" w:type="pct"/>
                  <w:gridSpan w:val="4"/>
                  <w:tcBorders>
                    <w:top w:val="single" w:color="auto" w:sz="4" w:space="0"/>
                    <w:left w:val="single" w:color="auto" w:sz="4" w:space="0"/>
                    <w:bottom w:val="single" w:color="auto" w:sz="4" w:space="0"/>
                    <w:right w:val="single" w:color="auto" w:sz="4" w:space="0"/>
                  </w:tcBorders>
                  <w:tcMar>
                    <w:top w:w="28" w:type="dxa"/>
                    <w:left w:w="28" w:type="dxa"/>
                    <w:bottom w:w="28" w:type="dxa"/>
                    <w:right w:w="28" w:type="dxa"/>
                  </w:tcMar>
                  <w:vAlign w:val="center"/>
                </w:tcPr>
                <w:p w14:paraId="241FD657">
                  <w:pPr>
                    <w:keepNext w:val="0"/>
                    <w:keepLines w:val="0"/>
                    <w:suppressLineNumbers w:val="0"/>
                    <w:spacing w:before="0" w:beforeAutospacing="0" w:after="0" w:afterAutospacing="0" w:line="276" w:lineRule="auto"/>
                    <w:ind w:left="0" w:right="0"/>
                    <w:jc w:val="left"/>
                    <w:rPr>
                      <w:rFonts w:hint="default" w:ascii="Times New Roman" w:hAnsi="Times New Roman" w:eastAsia="宋体" w:cs="Times New Roman"/>
                      <w:sz w:val="21"/>
                      <w:szCs w:val="21"/>
                      <w:highlight w:val="none"/>
                    </w:rPr>
                  </w:pPr>
                  <w:r>
                    <w:rPr>
                      <w:rFonts w:hint="eastAsia" w:ascii="Times New Roman" w:hAnsi="Times New Roman" w:eastAsia="宋体" w:cs="Times New Roman"/>
                      <w:sz w:val="21"/>
                      <w:szCs w:val="21"/>
                      <w:highlight w:val="none"/>
                      <w:lang w:val="en-US" w:eastAsia="zh-CN"/>
                    </w:rPr>
                    <w:t>3F，主要布置3个储藏间（</w:t>
                  </w:r>
                  <w:r>
                    <w:rPr>
                      <w:rFonts w:hint="eastAsia" w:ascii="Times New Roman" w:hAnsi="Times New Roman" w:eastAsia="宋体" w:cs="Times New Roman"/>
                      <w:color w:val="auto"/>
                      <w:sz w:val="21"/>
                      <w:szCs w:val="21"/>
                      <w:highlight w:val="none"/>
                      <w:lang w:val="en-US" w:eastAsia="zh-CN"/>
                    </w:rPr>
                    <w:t>含1个废液间）</w:t>
                  </w:r>
                  <w:r>
                    <w:rPr>
                      <w:rFonts w:hint="eastAsia" w:ascii="Times New Roman" w:hAnsi="Times New Roman" w:eastAsia="宋体" w:cs="Times New Roman"/>
                      <w:sz w:val="21"/>
                      <w:szCs w:val="21"/>
                      <w:highlight w:val="none"/>
                      <w:lang w:val="en-US" w:eastAsia="zh-CN"/>
                    </w:rPr>
                    <w:t>、2个仪器室、2间合成实验室、4间药物制剂实验室、2间生物实验室、1个灭菌间、4个细胞间；其余为办公室、会议室等辅助用房。</w:t>
                  </w:r>
                </w:p>
              </w:tc>
            </w:tr>
            <w:tr w14:paraId="2A9500D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96" w:hRule="atLeast"/>
              </w:trPr>
              <w:tc>
                <w:tcPr>
                  <w:tcW w:w="353" w:type="pct"/>
                  <w:vMerge w:val="continue"/>
                  <w:tcBorders>
                    <w:left w:val="single" w:color="auto" w:sz="4" w:space="0"/>
                    <w:right w:val="single" w:color="auto" w:sz="4" w:space="0"/>
                  </w:tcBorders>
                  <w:tcMar>
                    <w:top w:w="28" w:type="dxa"/>
                    <w:left w:w="28" w:type="dxa"/>
                    <w:bottom w:w="28" w:type="dxa"/>
                    <w:right w:w="28" w:type="dxa"/>
                  </w:tcMar>
                  <w:vAlign w:val="center"/>
                </w:tcPr>
                <w:p w14:paraId="6F9DCB7A">
                  <w:pPr>
                    <w:keepNext w:val="0"/>
                    <w:keepLines w:val="0"/>
                    <w:suppressLineNumbers w:val="0"/>
                    <w:spacing w:before="0" w:beforeAutospacing="0" w:after="0" w:afterAutospacing="0" w:line="276" w:lineRule="auto"/>
                    <w:ind w:left="0" w:right="0"/>
                    <w:jc w:val="left"/>
                    <w:rPr>
                      <w:rFonts w:hint="default" w:ascii="Times New Roman" w:hAnsi="Times New Roman" w:eastAsia="宋体" w:cs="Times New Roman"/>
                      <w:sz w:val="21"/>
                      <w:szCs w:val="21"/>
                      <w:highlight w:val="none"/>
                    </w:rPr>
                  </w:pPr>
                </w:p>
              </w:tc>
              <w:tc>
                <w:tcPr>
                  <w:tcW w:w="341" w:type="pct"/>
                  <w:vMerge w:val="continue"/>
                  <w:tcBorders>
                    <w:left w:val="single" w:color="auto" w:sz="4" w:space="0"/>
                    <w:right w:val="single" w:color="auto" w:sz="4" w:space="0"/>
                  </w:tcBorders>
                  <w:tcMar>
                    <w:top w:w="28" w:type="dxa"/>
                    <w:left w:w="28" w:type="dxa"/>
                    <w:bottom w:w="28" w:type="dxa"/>
                    <w:right w:w="28" w:type="dxa"/>
                  </w:tcMar>
                  <w:vAlign w:val="center"/>
                </w:tcPr>
                <w:p w14:paraId="44FDF35A">
                  <w:pPr>
                    <w:keepNext w:val="0"/>
                    <w:keepLines w:val="0"/>
                    <w:suppressLineNumbers w:val="0"/>
                    <w:spacing w:before="0" w:beforeAutospacing="0" w:after="0" w:afterAutospacing="0" w:line="276" w:lineRule="auto"/>
                    <w:ind w:left="0" w:right="0"/>
                    <w:jc w:val="left"/>
                    <w:rPr>
                      <w:rFonts w:hint="default" w:ascii="Times New Roman" w:hAnsi="Times New Roman" w:eastAsia="宋体" w:cs="Times New Roman"/>
                      <w:sz w:val="21"/>
                      <w:szCs w:val="21"/>
                      <w:highlight w:val="none"/>
                    </w:rPr>
                  </w:pPr>
                </w:p>
              </w:tc>
              <w:tc>
                <w:tcPr>
                  <w:tcW w:w="4305" w:type="pct"/>
                  <w:gridSpan w:val="4"/>
                  <w:tcBorders>
                    <w:top w:val="single" w:color="auto" w:sz="4" w:space="0"/>
                    <w:left w:val="single" w:color="auto" w:sz="4" w:space="0"/>
                    <w:bottom w:val="single" w:color="auto" w:sz="4" w:space="0"/>
                    <w:right w:val="single" w:color="auto" w:sz="4" w:space="0"/>
                  </w:tcBorders>
                  <w:tcMar>
                    <w:top w:w="28" w:type="dxa"/>
                    <w:left w:w="28" w:type="dxa"/>
                    <w:bottom w:w="28" w:type="dxa"/>
                    <w:right w:w="28" w:type="dxa"/>
                  </w:tcMar>
                  <w:vAlign w:val="center"/>
                </w:tcPr>
                <w:p w14:paraId="2214C642">
                  <w:pPr>
                    <w:keepNext w:val="0"/>
                    <w:keepLines w:val="0"/>
                    <w:suppressLineNumbers w:val="0"/>
                    <w:spacing w:before="0" w:beforeAutospacing="0" w:after="0" w:afterAutospacing="0" w:line="276" w:lineRule="auto"/>
                    <w:ind w:left="0" w:right="0"/>
                    <w:jc w:val="left"/>
                    <w:rPr>
                      <w:rFonts w:hint="default" w:ascii="Times New Roman" w:hAnsi="Times New Roman" w:eastAsia="宋体" w:cs="Times New Roman"/>
                      <w:sz w:val="21"/>
                      <w:szCs w:val="21"/>
                      <w:highlight w:val="none"/>
                    </w:rPr>
                  </w:pPr>
                  <w:r>
                    <w:rPr>
                      <w:rFonts w:hint="eastAsia" w:ascii="Times New Roman" w:hAnsi="Times New Roman" w:eastAsia="宋体" w:cs="Times New Roman"/>
                      <w:sz w:val="21"/>
                      <w:szCs w:val="21"/>
                      <w:highlight w:val="none"/>
                      <w:lang w:val="en-US" w:eastAsia="zh-CN"/>
                    </w:rPr>
                    <w:t>4F，主要布</w:t>
                  </w:r>
                  <w:r>
                    <w:rPr>
                      <w:rFonts w:hint="eastAsia" w:ascii="Times New Roman" w:hAnsi="Times New Roman" w:eastAsia="宋体" w:cs="Times New Roman"/>
                      <w:color w:val="auto"/>
                      <w:sz w:val="21"/>
                      <w:szCs w:val="21"/>
                      <w:highlight w:val="none"/>
                      <w:lang w:val="en-US" w:eastAsia="zh-CN"/>
                    </w:rPr>
                    <w:t>置4个储藏间（含1个废液间、2个备用储藏间）、2间仪器室、4间合成实验室、4间药物制剂实验室、2间生物实验室、1个灭菌间、6个细胞间、2间细胞室；其余为</w:t>
                  </w:r>
                  <w:r>
                    <w:rPr>
                      <w:rFonts w:hint="eastAsia" w:ascii="Times New Roman" w:hAnsi="Times New Roman" w:eastAsia="宋体" w:cs="Times New Roman"/>
                      <w:sz w:val="21"/>
                      <w:szCs w:val="21"/>
                      <w:highlight w:val="none"/>
                      <w:lang w:val="en-US" w:eastAsia="zh-CN"/>
                    </w:rPr>
                    <w:t>办公室、会议室等辅助用房。</w:t>
                  </w:r>
                </w:p>
              </w:tc>
            </w:tr>
            <w:tr w14:paraId="2A4ECD8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96" w:hRule="atLeast"/>
              </w:trPr>
              <w:tc>
                <w:tcPr>
                  <w:tcW w:w="353" w:type="pct"/>
                  <w:vMerge w:val="continue"/>
                  <w:tcBorders>
                    <w:left w:val="single" w:color="auto" w:sz="4" w:space="0"/>
                    <w:right w:val="single" w:color="auto" w:sz="4" w:space="0"/>
                  </w:tcBorders>
                  <w:tcMar>
                    <w:top w:w="28" w:type="dxa"/>
                    <w:left w:w="28" w:type="dxa"/>
                    <w:bottom w:w="28" w:type="dxa"/>
                    <w:right w:w="28" w:type="dxa"/>
                  </w:tcMar>
                  <w:vAlign w:val="center"/>
                </w:tcPr>
                <w:p w14:paraId="31EED7C4">
                  <w:pPr>
                    <w:keepNext w:val="0"/>
                    <w:keepLines w:val="0"/>
                    <w:suppressLineNumbers w:val="0"/>
                    <w:spacing w:before="0" w:beforeAutospacing="0" w:after="0" w:afterAutospacing="0" w:line="276" w:lineRule="auto"/>
                    <w:ind w:left="0" w:right="0"/>
                    <w:jc w:val="left"/>
                    <w:rPr>
                      <w:rFonts w:hint="default" w:ascii="Times New Roman" w:hAnsi="Times New Roman" w:eastAsia="宋体" w:cs="Times New Roman"/>
                      <w:sz w:val="21"/>
                      <w:szCs w:val="21"/>
                      <w:highlight w:val="none"/>
                    </w:rPr>
                  </w:pPr>
                </w:p>
              </w:tc>
              <w:tc>
                <w:tcPr>
                  <w:tcW w:w="341" w:type="pct"/>
                  <w:vMerge w:val="continue"/>
                  <w:tcBorders>
                    <w:left w:val="single" w:color="auto" w:sz="4" w:space="0"/>
                    <w:right w:val="single" w:color="auto" w:sz="4" w:space="0"/>
                  </w:tcBorders>
                  <w:tcMar>
                    <w:top w:w="28" w:type="dxa"/>
                    <w:left w:w="28" w:type="dxa"/>
                    <w:bottom w:w="28" w:type="dxa"/>
                    <w:right w:w="28" w:type="dxa"/>
                  </w:tcMar>
                  <w:vAlign w:val="center"/>
                </w:tcPr>
                <w:p w14:paraId="0F5E209D">
                  <w:pPr>
                    <w:keepNext w:val="0"/>
                    <w:keepLines w:val="0"/>
                    <w:suppressLineNumbers w:val="0"/>
                    <w:spacing w:before="0" w:beforeAutospacing="0" w:after="0" w:afterAutospacing="0" w:line="276" w:lineRule="auto"/>
                    <w:ind w:left="0" w:right="0"/>
                    <w:jc w:val="left"/>
                    <w:rPr>
                      <w:rFonts w:hint="default" w:ascii="Times New Roman" w:hAnsi="Times New Roman" w:eastAsia="宋体" w:cs="Times New Roman"/>
                      <w:sz w:val="21"/>
                      <w:szCs w:val="21"/>
                      <w:highlight w:val="none"/>
                    </w:rPr>
                  </w:pPr>
                </w:p>
              </w:tc>
              <w:tc>
                <w:tcPr>
                  <w:tcW w:w="4305" w:type="pct"/>
                  <w:gridSpan w:val="4"/>
                  <w:tcBorders>
                    <w:top w:val="single" w:color="auto" w:sz="4" w:space="0"/>
                    <w:left w:val="single" w:color="auto" w:sz="4" w:space="0"/>
                    <w:bottom w:val="single" w:color="auto" w:sz="4" w:space="0"/>
                    <w:right w:val="single" w:color="auto" w:sz="4" w:space="0"/>
                  </w:tcBorders>
                  <w:tcMar>
                    <w:top w:w="28" w:type="dxa"/>
                    <w:left w:w="28" w:type="dxa"/>
                    <w:bottom w:w="28" w:type="dxa"/>
                    <w:right w:w="28" w:type="dxa"/>
                  </w:tcMar>
                  <w:vAlign w:val="center"/>
                </w:tcPr>
                <w:p w14:paraId="50D05720">
                  <w:pPr>
                    <w:keepNext w:val="0"/>
                    <w:keepLines w:val="0"/>
                    <w:suppressLineNumbers w:val="0"/>
                    <w:spacing w:before="0" w:beforeAutospacing="0" w:after="0" w:afterAutospacing="0" w:line="276" w:lineRule="auto"/>
                    <w:ind w:left="0" w:right="0"/>
                    <w:jc w:val="left"/>
                    <w:rPr>
                      <w:rFonts w:hint="default" w:ascii="Times New Roman" w:hAnsi="Times New Roman" w:eastAsia="宋体" w:cs="Times New Roman"/>
                      <w:sz w:val="21"/>
                      <w:szCs w:val="21"/>
                      <w:highlight w:val="none"/>
                      <w:lang w:val="en-US" w:eastAsia="zh-CN"/>
                    </w:rPr>
                  </w:pPr>
                  <w:r>
                    <w:rPr>
                      <w:rFonts w:hint="eastAsia" w:ascii="Times New Roman" w:hAnsi="Times New Roman" w:eastAsia="宋体" w:cs="Times New Roman"/>
                      <w:color w:val="auto"/>
                      <w:sz w:val="21"/>
                      <w:szCs w:val="21"/>
                      <w:highlight w:val="none"/>
                      <w:lang w:val="en-US" w:eastAsia="zh-CN"/>
                    </w:rPr>
                    <w:t>5F，主要布置4个储藏间（含1个废液间、2个备用储藏间）、2间仪器室、3间合成实验室、4间药物制剂实验室、2间生物实验室、1个灭菌间、8个细胞间；其余为办公室、会议室等辅助用房。</w:t>
                  </w:r>
                </w:p>
              </w:tc>
            </w:tr>
            <w:tr w14:paraId="3D8BCEF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96" w:hRule="atLeast"/>
              </w:trPr>
              <w:tc>
                <w:tcPr>
                  <w:tcW w:w="353" w:type="pct"/>
                  <w:vMerge w:val="continue"/>
                  <w:tcBorders>
                    <w:left w:val="single" w:color="auto" w:sz="4" w:space="0"/>
                    <w:right w:val="single" w:color="auto" w:sz="4" w:space="0"/>
                  </w:tcBorders>
                  <w:tcMar>
                    <w:top w:w="28" w:type="dxa"/>
                    <w:left w:w="28" w:type="dxa"/>
                    <w:bottom w:w="28" w:type="dxa"/>
                    <w:right w:w="28" w:type="dxa"/>
                  </w:tcMar>
                  <w:vAlign w:val="center"/>
                </w:tcPr>
                <w:p w14:paraId="574F1606">
                  <w:pPr>
                    <w:keepNext w:val="0"/>
                    <w:keepLines w:val="0"/>
                    <w:suppressLineNumbers w:val="0"/>
                    <w:spacing w:before="0" w:beforeAutospacing="0" w:after="0" w:afterAutospacing="0" w:line="276" w:lineRule="auto"/>
                    <w:ind w:left="0" w:right="0"/>
                    <w:jc w:val="left"/>
                    <w:rPr>
                      <w:rFonts w:hint="default" w:ascii="Times New Roman" w:hAnsi="Times New Roman" w:eastAsia="宋体" w:cs="Times New Roman"/>
                      <w:sz w:val="21"/>
                      <w:szCs w:val="21"/>
                      <w:highlight w:val="none"/>
                    </w:rPr>
                  </w:pPr>
                </w:p>
              </w:tc>
              <w:tc>
                <w:tcPr>
                  <w:tcW w:w="341" w:type="pct"/>
                  <w:vMerge w:val="continue"/>
                  <w:tcBorders>
                    <w:left w:val="single" w:color="auto" w:sz="4" w:space="0"/>
                    <w:right w:val="single" w:color="auto" w:sz="4" w:space="0"/>
                  </w:tcBorders>
                  <w:tcMar>
                    <w:top w:w="28" w:type="dxa"/>
                    <w:left w:w="28" w:type="dxa"/>
                    <w:bottom w:w="28" w:type="dxa"/>
                    <w:right w:w="28" w:type="dxa"/>
                  </w:tcMar>
                  <w:vAlign w:val="center"/>
                </w:tcPr>
                <w:p w14:paraId="72D2B844">
                  <w:pPr>
                    <w:keepNext w:val="0"/>
                    <w:keepLines w:val="0"/>
                    <w:suppressLineNumbers w:val="0"/>
                    <w:spacing w:before="0" w:beforeAutospacing="0" w:after="0" w:afterAutospacing="0" w:line="276" w:lineRule="auto"/>
                    <w:ind w:left="0" w:right="0"/>
                    <w:jc w:val="left"/>
                    <w:rPr>
                      <w:rFonts w:hint="default" w:ascii="Times New Roman" w:hAnsi="Times New Roman" w:eastAsia="宋体" w:cs="Times New Roman"/>
                      <w:sz w:val="21"/>
                      <w:szCs w:val="21"/>
                      <w:highlight w:val="none"/>
                    </w:rPr>
                  </w:pPr>
                </w:p>
              </w:tc>
              <w:tc>
                <w:tcPr>
                  <w:tcW w:w="4305" w:type="pct"/>
                  <w:gridSpan w:val="4"/>
                  <w:tcBorders>
                    <w:top w:val="single" w:color="auto" w:sz="4" w:space="0"/>
                    <w:left w:val="single" w:color="auto" w:sz="4" w:space="0"/>
                    <w:bottom w:val="single" w:color="auto" w:sz="4" w:space="0"/>
                    <w:right w:val="single" w:color="auto" w:sz="4" w:space="0"/>
                  </w:tcBorders>
                  <w:tcMar>
                    <w:top w:w="28" w:type="dxa"/>
                    <w:left w:w="28" w:type="dxa"/>
                    <w:bottom w:w="28" w:type="dxa"/>
                    <w:right w:w="28" w:type="dxa"/>
                  </w:tcMar>
                  <w:vAlign w:val="center"/>
                </w:tcPr>
                <w:p w14:paraId="71012BFA">
                  <w:pPr>
                    <w:keepNext w:val="0"/>
                    <w:keepLines w:val="0"/>
                    <w:suppressLineNumbers w:val="0"/>
                    <w:spacing w:before="0" w:beforeAutospacing="0" w:after="0" w:afterAutospacing="0" w:line="276" w:lineRule="auto"/>
                    <w:ind w:left="0" w:right="0"/>
                    <w:jc w:val="left"/>
                    <w:rPr>
                      <w:rFonts w:hint="default" w:ascii="Times New Roman" w:hAnsi="Times New Roman" w:eastAsia="宋体" w:cs="Times New Roman"/>
                      <w:sz w:val="21"/>
                      <w:szCs w:val="21"/>
                      <w:highlight w:val="none"/>
                    </w:rPr>
                  </w:pPr>
                  <w:r>
                    <w:rPr>
                      <w:rFonts w:hint="eastAsia" w:ascii="Times New Roman" w:hAnsi="Times New Roman" w:eastAsia="宋体" w:cs="Times New Roman"/>
                      <w:color w:val="auto"/>
                      <w:sz w:val="21"/>
                      <w:szCs w:val="21"/>
                      <w:highlight w:val="none"/>
                      <w:lang w:val="en-US" w:eastAsia="zh-CN"/>
                    </w:rPr>
                    <w:t>6F，主要布置3个储藏间（含1个废液间、1个试剂间）、2间仪器室、3间合成实验室、4间药物制剂实验室、2间生物实验室、1个灭菌间、6个细胞间；其余为办公室、会议室等辅助用房。</w:t>
                  </w:r>
                </w:p>
              </w:tc>
            </w:tr>
            <w:tr w14:paraId="03DD969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96" w:hRule="atLeast"/>
              </w:trPr>
              <w:tc>
                <w:tcPr>
                  <w:tcW w:w="353" w:type="pct"/>
                  <w:vMerge w:val="continue"/>
                  <w:tcBorders>
                    <w:left w:val="single" w:color="auto" w:sz="4" w:space="0"/>
                    <w:right w:val="single" w:color="auto" w:sz="4" w:space="0"/>
                  </w:tcBorders>
                  <w:tcMar>
                    <w:top w:w="28" w:type="dxa"/>
                    <w:left w:w="28" w:type="dxa"/>
                    <w:bottom w:w="28" w:type="dxa"/>
                    <w:right w:w="28" w:type="dxa"/>
                  </w:tcMar>
                  <w:vAlign w:val="center"/>
                </w:tcPr>
                <w:p w14:paraId="1213CE6E">
                  <w:pPr>
                    <w:keepNext w:val="0"/>
                    <w:keepLines w:val="0"/>
                    <w:suppressLineNumbers w:val="0"/>
                    <w:spacing w:before="0" w:beforeAutospacing="0" w:after="0" w:afterAutospacing="0" w:line="276" w:lineRule="auto"/>
                    <w:ind w:left="0" w:right="0"/>
                    <w:jc w:val="left"/>
                    <w:rPr>
                      <w:rFonts w:hint="default" w:ascii="Times New Roman" w:hAnsi="Times New Roman" w:eastAsia="宋体" w:cs="Times New Roman"/>
                      <w:sz w:val="21"/>
                      <w:szCs w:val="21"/>
                      <w:highlight w:val="none"/>
                    </w:rPr>
                  </w:pPr>
                </w:p>
              </w:tc>
              <w:tc>
                <w:tcPr>
                  <w:tcW w:w="341" w:type="pct"/>
                  <w:vMerge w:val="continue"/>
                  <w:tcBorders>
                    <w:left w:val="single" w:color="auto" w:sz="4" w:space="0"/>
                    <w:bottom w:val="single" w:color="auto" w:sz="4" w:space="0"/>
                    <w:right w:val="single" w:color="auto" w:sz="4" w:space="0"/>
                  </w:tcBorders>
                  <w:tcMar>
                    <w:top w:w="28" w:type="dxa"/>
                    <w:left w:w="28" w:type="dxa"/>
                    <w:bottom w:w="28" w:type="dxa"/>
                    <w:right w:w="28" w:type="dxa"/>
                  </w:tcMar>
                  <w:vAlign w:val="center"/>
                </w:tcPr>
                <w:p w14:paraId="0230B7D6">
                  <w:pPr>
                    <w:keepNext w:val="0"/>
                    <w:keepLines w:val="0"/>
                    <w:suppressLineNumbers w:val="0"/>
                    <w:spacing w:before="0" w:beforeAutospacing="0" w:after="0" w:afterAutospacing="0" w:line="276" w:lineRule="auto"/>
                    <w:ind w:left="0" w:right="0"/>
                    <w:jc w:val="left"/>
                    <w:rPr>
                      <w:rFonts w:hint="default" w:ascii="Times New Roman" w:hAnsi="Times New Roman" w:eastAsia="宋体" w:cs="Times New Roman"/>
                      <w:sz w:val="21"/>
                      <w:szCs w:val="21"/>
                      <w:highlight w:val="none"/>
                    </w:rPr>
                  </w:pPr>
                </w:p>
              </w:tc>
              <w:tc>
                <w:tcPr>
                  <w:tcW w:w="4305" w:type="pct"/>
                  <w:gridSpan w:val="4"/>
                  <w:tcBorders>
                    <w:top w:val="single" w:color="auto" w:sz="4" w:space="0"/>
                    <w:left w:val="single" w:color="auto" w:sz="4" w:space="0"/>
                    <w:bottom w:val="single" w:color="auto" w:sz="4" w:space="0"/>
                    <w:right w:val="single" w:color="auto" w:sz="4" w:space="0"/>
                  </w:tcBorders>
                  <w:tcMar>
                    <w:top w:w="28" w:type="dxa"/>
                    <w:left w:w="28" w:type="dxa"/>
                    <w:bottom w:w="28" w:type="dxa"/>
                    <w:right w:w="28" w:type="dxa"/>
                  </w:tcMar>
                  <w:vAlign w:val="center"/>
                </w:tcPr>
                <w:p w14:paraId="1405D50E">
                  <w:pPr>
                    <w:keepNext w:val="0"/>
                    <w:keepLines w:val="0"/>
                    <w:suppressLineNumbers w:val="0"/>
                    <w:spacing w:before="0" w:beforeAutospacing="0" w:after="0" w:afterAutospacing="0" w:line="276" w:lineRule="auto"/>
                    <w:ind w:left="0" w:right="0"/>
                    <w:jc w:val="left"/>
                    <w:rPr>
                      <w:rFonts w:hint="default" w:ascii="Times New Roman" w:hAnsi="Times New Roman" w:eastAsia="宋体" w:cs="Times New Roman"/>
                      <w:sz w:val="21"/>
                      <w:szCs w:val="21"/>
                      <w:highlight w:val="none"/>
                      <w:lang w:val="en-US" w:eastAsia="zh-CN"/>
                    </w:rPr>
                  </w:pPr>
                  <w:r>
                    <w:rPr>
                      <w:rFonts w:hint="eastAsia" w:ascii="Times New Roman" w:hAnsi="Times New Roman" w:eastAsia="宋体" w:cs="Times New Roman"/>
                      <w:sz w:val="21"/>
                      <w:szCs w:val="21"/>
                      <w:highlight w:val="none"/>
                      <w:lang w:val="en-US" w:eastAsia="zh-CN"/>
                    </w:rPr>
                    <w:t>7F，</w:t>
                  </w:r>
                  <w:r>
                    <w:rPr>
                      <w:rFonts w:hint="eastAsia" w:ascii="Times New Roman" w:hAnsi="Times New Roman" w:eastAsia="宋体" w:cs="Times New Roman"/>
                      <w:color w:val="auto"/>
                      <w:sz w:val="21"/>
                      <w:szCs w:val="21"/>
                      <w:highlight w:val="none"/>
                      <w:lang w:val="en-US" w:eastAsia="zh-CN"/>
                    </w:rPr>
                    <w:t>主要布置</w:t>
                  </w:r>
                  <w:r>
                    <w:rPr>
                      <w:rFonts w:hint="eastAsia" w:cs="Times New Roman"/>
                      <w:color w:val="auto"/>
                      <w:sz w:val="21"/>
                      <w:szCs w:val="21"/>
                      <w:highlight w:val="none"/>
                      <w:lang w:val="en-US" w:eastAsia="zh-CN"/>
                    </w:rPr>
                    <w:t>3</w:t>
                  </w:r>
                  <w:r>
                    <w:rPr>
                      <w:rFonts w:hint="eastAsia" w:ascii="Times New Roman" w:hAnsi="Times New Roman" w:eastAsia="宋体" w:cs="Times New Roman"/>
                      <w:color w:val="auto"/>
                      <w:sz w:val="21"/>
                      <w:szCs w:val="21"/>
                      <w:highlight w:val="none"/>
                      <w:lang w:val="en-US" w:eastAsia="zh-CN"/>
                    </w:rPr>
                    <w:t>间合成实验室、3个储藏间（含1个废液间、1个试剂间）、2间仪器室、4间药物制剂实验室、2个细胞间、2个细菌室、2个灭菌室、2个灭活暂存间、2间病毒室、2个清洗间</w:t>
                  </w:r>
                </w:p>
              </w:tc>
            </w:tr>
            <w:tr w14:paraId="5F27EDB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96" w:hRule="atLeast"/>
              </w:trPr>
              <w:tc>
                <w:tcPr>
                  <w:tcW w:w="353" w:type="pct"/>
                  <w:vMerge w:val="continue"/>
                  <w:tcBorders>
                    <w:left w:val="single" w:color="auto" w:sz="4" w:space="0"/>
                    <w:bottom w:val="single" w:color="auto" w:sz="4" w:space="0"/>
                    <w:right w:val="single" w:color="auto" w:sz="4" w:space="0"/>
                  </w:tcBorders>
                  <w:tcMar>
                    <w:top w:w="28" w:type="dxa"/>
                    <w:left w:w="28" w:type="dxa"/>
                    <w:bottom w:w="28" w:type="dxa"/>
                    <w:right w:w="28" w:type="dxa"/>
                  </w:tcMar>
                  <w:vAlign w:val="center"/>
                </w:tcPr>
                <w:p w14:paraId="164743AB">
                  <w:pPr>
                    <w:keepNext w:val="0"/>
                    <w:keepLines w:val="0"/>
                    <w:suppressLineNumbers w:val="0"/>
                    <w:spacing w:before="0" w:beforeAutospacing="0" w:after="0" w:afterAutospacing="0" w:line="276" w:lineRule="auto"/>
                    <w:ind w:left="0" w:right="0"/>
                    <w:jc w:val="left"/>
                    <w:rPr>
                      <w:rFonts w:hint="default" w:ascii="Times New Roman" w:hAnsi="Times New Roman" w:eastAsia="宋体" w:cs="Times New Roman"/>
                      <w:sz w:val="21"/>
                      <w:szCs w:val="21"/>
                      <w:highlight w:val="none"/>
                    </w:rPr>
                  </w:pPr>
                </w:p>
              </w:tc>
              <w:tc>
                <w:tcPr>
                  <w:tcW w:w="341" w:type="pct"/>
                  <w:tcBorders>
                    <w:left w:val="single" w:color="auto" w:sz="4" w:space="0"/>
                    <w:bottom w:val="single" w:color="auto" w:sz="4" w:space="0"/>
                    <w:right w:val="single" w:color="auto" w:sz="4" w:space="0"/>
                  </w:tcBorders>
                  <w:tcMar>
                    <w:top w:w="28" w:type="dxa"/>
                    <w:left w:w="28" w:type="dxa"/>
                    <w:bottom w:w="28" w:type="dxa"/>
                    <w:right w:w="28" w:type="dxa"/>
                  </w:tcMar>
                  <w:vAlign w:val="center"/>
                </w:tcPr>
                <w:p w14:paraId="310FC8E4">
                  <w:pPr>
                    <w:keepNext w:val="0"/>
                    <w:keepLines w:val="0"/>
                    <w:suppressLineNumbers w:val="0"/>
                    <w:spacing w:before="0" w:beforeAutospacing="0" w:after="0" w:afterAutospacing="0" w:line="276" w:lineRule="auto"/>
                    <w:ind w:left="0" w:right="0"/>
                    <w:jc w:val="center"/>
                    <w:rPr>
                      <w:rFonts w:hint="default" w:ascii="Times New Roman" w:hAnsi="Times New Roman" w:eastAsia="宋体" w:cs="Times New Roman"/>
                      <w:sz w:val="21"/>
                      <w:szCs w:val="21"/>
                      <w:highlight w:val="none"/>
                      <w:lang w:val="en-US" w:eastAsia="zh-CN"/>
                    </w:rPr>
                  </w:pPr>
                  <w:r>
                    <w:rPr>
                      <w:rFonts w:hint="eastAsia" w:ascii="Times New Roman" w:hAnsi="Times New Roman" w:eastAsia="宋体" w:cs="Times New Roman"/>
                      <w:sz w:val="21"/>
                      <w:szCs w:val="21"/>
                      <w:highlight w:val="none"/>
                      <w:lang w:val="en-US" w:eastAsia="zh-CN"/>
                    </w:rPr>
                    <w:t>人才宿舍楼</w:t>
                  </w:r>
                </w:p>
              </w:tc>
              <w:tc>
                <w:tcPr>
                  <w:tcW w:w="4305" w:type="pct"/>
                  <w:gridSpan w:val="4"/>
                  <w:tcBorders>
                    <w:top w:val="single" w:color="auto" w:sz="4" w:space="0"/>
                    <w:left w:val="single" w:color="auto" w:sz="4" w:space="0"/>
                    <w:bottom w:val="single" w:color="auto" w:sz="4" w:space="0"/>
                    <w:right w:val="single" w:color="auto" w:sz="4" w:space="0"/>
                  </w:tcBorders>
                  <w:tcMar>
                    <w:top w:w="28" w:type="dxa"/>
                    <w:left w:w="28" w:type="dxa"/>
                    <w:bottom w:w="28" w:type="dxa"/>
                    <w:right w:w="28" w:type="dxa"/>
                  </w:tcMar>
                  <w:vAlign w:val="center"/>
                </w:tcPr>
                <w:p w14:paraId="14FD7D95">
                  <w:pPr>
                    <w:keepNext w:val="0"/>
                    <w:keepLines w:val="0"/>
                    <w:suppressLineNumbers w:val="0"/>
                    <w:spacing w:before="0" w:beforeAutospacing="0" w:after="0" w:afterAutospacing="0" w:line="276" w:lineRule="auto"/>
                    <w:ind w:left="0" w:right="0"/>
                    <w:jc w:val="left"/>
                    <w:rPr>
                      <w:rFonts w:hint="default" w:ascii="Times New Roman" w:hAnsi="Times New Roman" w:eastAsia="宋体" w:cs="Times New Roman"/>
                      <w:sz w:val="21"/>
                      <w:szCs w:val="21"/>
                      <w:highlight w:val="none"/>
                      <w:lang w:val="en-US" w:eastAsia="zh-CN"/>
                    </w:rPr>
                  </w:pPr>
                  <w:r>
                    <w:rPr>
                      <w:rFonts w:hint="eastAsia" w:ascii="Times New Roman" w:hAnsi="Times New Roman" w:eastAsia="宋体" w:cs="Times New Roman"/>
                      <w:sz w:val="21"/>
                      <w:szCs w:val="21"/>
                      <w:highlight w:val="none"/>
                      <w:lang w:val="en-US" w:eastAsia="zh-CN"/>
                    </w:rPr>
                    <w:t>共7层，1层为餐厅、厨房，2~7层为宿舍套间</w:t>
                  </w:r>
                </w:p>
              </w:tc>
            </w:tr>
            <w:tr w14:paraId="34B0109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32" w:hRule="atLeast"/>
              </w:trPr>
              <w:tc>
                <w:tcPr>
                  <w:tcW w:w="353" w:type="pct"/>
                  <w:vMerge w:val="restart"/>
                  <w:tcBorders>
                    <w:top w:val="single" w:color="auto" w:sz="4" w:space="0"/>
                    <w:left w:val="single" w:color="auto" w:sz="4" w:space="0"/>
                    <w:right w:val="single" w:color="auto" w:sz="4" w:space="0"/>
                  </w:tcBorders>
                  <w:tcMar>
                    <w:top w:w="28" w:type="dxa"/>
                    <w:left w:w="28" w:type="dxa"/>
                    <w:bottom w:w="28" w:type="dxa"/>
                    <w:right w:w="28" w:type="dxa"/>
                  </w:tcMar>
                  <w:vAlign w:val="center"/>
                </w:tcPr>
                <w:p w14:paraId="4BA2EFC4">
                  <w:pPr>
                    <w:keepNext w:val="0"/>
                    <w:keepLines w:val="0"/>
                    <w:suppressLineNumbers w:val="0"/>
                    <w:spacing w:before="0" w:beforeAutospacing="0" w:after="0" w:afterAutospacing="0" w:line="276" w:lineRule="auto"/>
                    <w:ind w:left="0" w:right="0"/>
                    <w:jc w:val="center"/>
                    <w:rPr>
                      <w:rFonts w:hint="default" w:ascii="Times New Roman" w:hAnsi="Times New Roman" w:eastAsia="宋体" w:cs="Times New Roman"/>
                      <w:sz w:val="21"/>
                      <w:szCs w:val="21"/>
                      <w:highlight w:val="none"/>
                    </w:rPr>
                  </w:pPr>
                  <w:r>
                    <w:rPr>
                      <w:rFonts w:hint="eastAsia" w:ascii="Times New Roman" w:hAnsi="Times New Roman" w:eastAsia="宋体" w:cs="Times New Roman"/>
                      <w:sz w:val="21"/>
                      <w:szCs w:val="21"/>
                      <w:highlight w:val="none"/>
                    </w:rPr>
                    <w:t>储运工程</w:t>
                  </w:r>
                </w:p>
              </w:tc>
              <w:tc>
                <w:tcPr>
                  <w:tcW w:w="341" w:type="pct"/>
                  <w:vMerge w:val="restart"/>
                  <w:tcBorders>
                    <w:top w:val="single" w:color="auto" w:sz="4" w:space="0"/>
                    <w:left w:val="single" w:color="auto" w:sz="4" w:space="0"/>
                    <w:right w:val="single" w:color="auto" w:sz="4" w:space="0"/>
                  </w:tcBorders>
                  <w:tcMar>
                    <w:top w:w="28" w:type="dxa"/>
                    <w:left w:w="28" w:type="dxa"/>
                    <w:bottom w:w="28" w:type="dxa"/>
                    <w:right w:w="28" w:type="dxa"/>
                  </w:tcMar>
                  <w:vAlign w:val="center"/>
                </w:tcPr>
                <w:p w14:paraId="025B191B">
                  <w:pPr>
                    <w:keepNext w:val="0"/>
                    <w:keepLines w:val="0"/>
                    <w:suppressLineNumbers w:val="0"/>
                    <w:spacing w:before="0" w:beforeAutospacing="0" w:after="0" w:afterAutospacing="0" w:line="276" w:lineRule="auto"/>
                    <w:ind w:left="0" w:right="0"/>
                    <w:jc w:val="center"/>
                    <w:rPr>
                      <w:rFonts w:hint="default" w:ascii="Times New Roman" w:hAnsi="Times New Roman" w:eastAsia="宋体" w:cs="Times New Roman"/>
                      <w:color w:val="auto"/>
                      <w:sz w:val="21"/>
                      <w:szCs w:val="21"/>
                      <w:highlight w:val="none"/>
                    </w:rPr>
                  </w:pPr>
                  <w:r>
                    <w:rPr>
                      <w:rFonts w:hint="eastAsia" w:ascii="Times New Roman" w:hAnsi="Times New Roman" w:eastAsia="宋体" w:cs="Times New Roman"/>
                      <w:color w:val="auto"/>
                      <w:sz w:val="21"/>
                      <w:szCs w:val="21"/>
                      <w:highlight w:val="none"/>
                    </w:rPr>
                    <w:t>原辅料储存间</w:t>
                  </w:r>
                </w:p>
              </w:tc>
              <w:tc>
                <w:tcPr>
                  <w:tcW w:w="344" w:type="pct"/>
                  <w:vMerge w:val="restart"/>
                  <w:tcBorders>
                    <w:top w:val="single" w:color="auto" w:sz="4" w:space="0"/>
                    <w:left w:val="single" w:color="auto" w:sz="4" w:space="0"/>
                    <w:right w:val="single" w:color="auto" w:sz="4" w:space="0"/>
                  </w:tcBorders>
                  <w:tcMar>
                    <w:top w:w="28" w:type="dxa"/>
                    <w:left w:w="28" w:type="dxa"/>
                    <w:bottom w:w="28" w:type="dxa"/>
                    <w:right w:w="28" w:type="dxa"/>
                  </w:tcMar>
                  <w:vAlign w:val="center"/>
                </w:tcPr>
                <w:p w14:paraId="3DF52442">
                  <w:pPr>
                    <w:keepNext w:val="0"/>
                    <w:keepLines w:val="0"/>
                    <w:suppressLineNumbers w:val="0"/>
                    <w:spacing w:before="0" w:beforeAutospacing="0" w:after="0" w:afterAutospacing="0" w:line="276" w:lineRule="auto"/>
                    <w:ind w:left="0" w:right="0"/>
                    <w:jc w:val="center"/>
                    <w:rPr>
                      <w:rFonts w:hint="default" w:ascii="Times New Roman" w:hAnsi="Times New Roman" w:eastAsia="宋体" w:cs="Times New Roman"/>
                      <w:color w:val="auto"/>
                      <w:sz w:val="21"/>
                      <w:szCs w:val="21"/>
                      <w:highlight w:val="none"/>
                    </w:rPr>
                  </w:pPr>
                  <w:r>
                    <w:rPr>
                      <w:rFonts w:hint="eastAsia" w:ascii="Times New Roman" w:hAnsi="Times New Roman" w:eastAsia="宋体" w:cs="Times New Roman"/>
                      <w:color w:val="auto"/>
                      <w:sz w:val="21"/>
                      <w:szCs w:val="21"/>
                      <w:highlight w:val="none"/>
                      <w:lang w:val="en-US" w:eastAsia="zh-CN"/>
                    </w:rPr>
                    <w:t>实验动物中心</w:t>
                  </w:r>
                </w:p>
              </w:tc>
              <w:tc>
                <w:tcPr>
                  <w:tcW w:w="584" w:type="pct"/>
                  <w:tcBorders>
                    <w:top w:val="single" w:color="auto" w:sz="4" w:space="0"/>
                    <w:left w:val="single" w:color="auto" w:sz="4" w:space="0"/>
                    <w:bottom w:val="single" w:color="auto" w:sz="4" w:space="0"/>
                    <w:right w:val="single" w:color="auto" w:sz="4" w:space="0"/>
                  </w:tcBorders>
                  <w:tcMar>
                    <w:top w:w="28" w:type="dxa"/>
                    <w:left w:w="28" w:type="dxa"/>
                    <w:bottom w:w="28" w:type="dxa"/>
                    <w:right w:w="28" w:type="dxa"/>
                  </w:tcMar>
                  <w:vAlign w:val="center"/>
                </w:tcPr>
                <w:p w14:paraId="2FE9F40D">
                  <w:pPr>
                    <w:keepNext w:val="0"/>
                    <w:keepLines w:val="0"/>
                    <w:suppressLineNumbers w:val="0"/>
                    <w:spacing w:before="0" w:beforeAutospacing="0" w:after="0" w:afterAutospacing="0" w:line="276" w:lineRule="auto"/>
                    <w:ind w:left="0" w:right="0"/>
                    <w:jc w:val="center"/>
                    <w:rPr>
                      <w:rFonts w:hint="default" w:ascii="Times New Roman" w:hAnsi="Times New Roman" w:eastAsia="宋体" w:cs="Times New Roman"/>
                      <w:color w:val="auto"/>
                      <w:sz w:val="21"/>
                      <w:szCs w:val="21"/>
                      <w:highlight w:val="none"/>
                      <w:lang w:val="en-US" w:eastAsia="zh-CN"/>
                    </w:rPr>
                  </w:pPr>
                  <w:r>
                    <w:rPr>
                      <w:rFonts w:hint="eastAsia" w:ascii="Times New Roman" w:hAnsi="Times New Roman" w:eastAsia="宋体" w:cs="Times New Roman"/>
                      <w:color w:val="auto"/>
                      <w:sz w:val="21"/>
                      <w:szCs w:val="21"/>
                      <w:highlight w:val="none"/>
                      <w:lang w:val="en-US" w:eastAsia="zh-CN"/>
                    </w:rPr>
                    <w:t>1F</w:t>
                  </w:r>
                </w:p>
              </w:tc>
              <w:tc>
                <w:tcPr>
                  <w:tcW w:w="3376" w:type="pct"/>
                  <w:gridSpan w:val="2"/>
                  <w:tcBorders>
                    <w:top w:val="single" w:color="auto" w:sz="4" w:space="0"/>
                    <w:left w:val="single" w:color="auto" w:sz="4" w:space="0"/>
                    <w:right w:val="single" w:color="auto" w:sz="4" w:space="0"/>
                  </w:tcBorders>
                  <w:tcMar>
                    <w:top w:w="28" w:type="dxa"/>
                    <w:left w:w="28" w:type="dxa"/>
                    <w:bottom w:w="28" w:type="dxa"/>
                    <w:right w:w="28" w:type="dxa"/>
                  </w:tcMar>
                  <w:vAlign w:val="center"/>
                </w:tcPr>
                <w:p w14:paraId="677F0BF6">
                  <w:pPr>
                    <w:keepNext w:val="0"/>
                    <w:keepLines w:val="0"/>
                    <w:suppressLineNumbers w:val="0"/>
                    <w:spacing w:before="0" w:beforeAutospacing="0" w:after="0" w:afterAutospacing="0" w:line="276" w:lineRule="auto"/>
                    <w:ind w:left="0" w:right="0"/>
                    <w:jc w:val="left"/>
                    <w:rPr>
                      <w:rFonts w:hint="eastAsia" w:ascii="Times New Roman" w:hAnsi="Times New Roman" w:eastAsia="宋体" w:cs="Times New Roman"/>
                      <w:color w:val="auto"/>
                      <w:sz w:val="21"/>
                      <w:szCs w:val="21"/>
                      <w:highlight w:val="none"/>
                      <w:lang w:val="en-US" w:eastAsia="zh-CN"/>
                    </w:rPr>
                  </w:pPr>
                  <w:r>
                    <w:rPr>
                      <w:rFonts w:hint="eastAsia" w:ascii="Times New Roman" w:hAnsi="Times New Roman" w:eastAsia="宋体" w:cs="Times New Roman"/>
                      <w:color w:val="auto"/>
                      <w:sz w:val="21"/>
                      <w:szCs w:val="21"/>
                      <w:highlight w:val="none"/>
                      <w:lang w:val="en-US" w:eastAsia="zh-CN"/>
                    </w:rPr>
                    <w:t>设置了3</w:t>
                  </w:r>
                  <w:r>
                    <w:rPr>
                      <w:rFonts w:hint="eastAsia" w:cs="Times New Roman"/>
                      <w:color w:val="auto"/>
                      <w:sz w:val="21"/>
                      <w:szCs w:val="21"/>
                      <w:highlight w:val="none"/>
                      <w:lang w:val="en-US" w:eastAsia="zh-CN"/>
                    </w:rPr>
                    <w:t>个</w:t>
                  </w:r>
                  <w:r>
                    <w:rPr>
                      <w:rFonts w:hint="eastAsia" w:ascii="Times New Roman" w:hAnsi="Times New Roman" w:eastAsia="宋体" w:cs="Times New Roman"/>
                      <w:color w:val="auto"/>
                      <w:sz w:val="21"/>
                      <w:szCs w:val="21"/>
                      <w:highlight w:val="none"/>
                      <w:lang w:val="en-US" w:eastAsia="zh-CN"/>
                    </w:rPr>
                    <w:t>饲料间（25m</w:t>
                  </w:r>
                  <w:r>
                    <w:rPr>
                      <w:rFonts w:hint="eastAsia" w:ascii="Times New Roman" w:hAnsi="Times New Roman" w:eastAsia="宋体" w:cs="Times New Roman"/>
                      <w:color w:val="auto"/>
                      <w:sz w:val="21"/>
                      <w:szCs w:val="21"/>
                      <w:highlight w:val="none"/>
                      <w:vertAlign w:val="superscript"/>
                      <w:lang w:val="en-US" w:eastAsia="zh-CN"/>
                    </w:rPr>
                    <w:t>2</w:t>
                  </w:r>
                  <w:r>
                    <w:rPr>
                      <w:rFonts w:hint="eastAsia" w:ascii="Times New Roman" w:hAnsi="Times New Roman" w:eastAsia="宋体" w:cs="Times New Roman"/>
                      <w:color w:val="auto"/>
                      <w:sz w:val="21"/>
                      <w:szCs w:val="21"/>
                      <w:highlight w:val="none"/>
                      <w:lang w:val="en-US" w:eastAsia="zh-CN"/>
                    </w:rPr>
                    <w:t>，8m</w:t>
                  </w:r>
                  <w:r>
                    <w:rPr>
                      <w:rFonts w:hint="eastAsia" w:ascii="Times New Roman" w:hAnsi="Times New Roman" w:eastAsia="宋体" w:cs="Times New Roman"/>
                      <w:color w:val="auto"/>
                      <w:sz w:val="21"/>
                      <w:szCs w:val="21"/>
                      <w:highlight w:val="none"/>
                      <w:vertAlign w:val="superscript"/>
                      <w:lang w:val="en-US" w:eastAsia="zh-CN"/>
                    </w:rPr>
                    <w:t>2</w:t>
                  </w:r>
                  <w:r>
                    <w:rPr>
                      <w:rFonts w:hint="eastAsia" w:ascii="Times New Roman" w:hAnsi="Times New Roman" w:eastAsia="宋体" w:cs="Times New Roman"/>
                      <w:color w:val="auto"/>
                      <w:sz w:val="21"/>
                      <w:szCs w:val="21"/>
                      <w:highlight w:val="none"/>
                      <w:lang w:val="en-US" w:eastAsia="zh-CN"/>
                    </w:rPr>
                    <w:t>，8m</w:t>
                  </w:r>
                  <w:r>
                    <w:rPr>
                      <w:rFonts w:hint="eastAsia" w:ascii="Times New Roman" w:hAnsi="Times New Roman" w:eastAsia="宋体" w:cs="Times New Roman"/>
                      <w:color w:val="auto"/>
                      <w:sz w:val="21"/>
                      <w:szCs w:val="21"/>
                      <w:highlight w:val="none"/>
                      <w:vertAlign w:val="superscript"/>
                      <w:lang w:val="en-US" w:eastAsia="zh-CN"/>
                    </w:rPr>
                    <w:t>2</w:t>
                  </w:r>
                  <w:r>
                    <w:rPr>
                      <w:rFonts w:hint="eastAsia" w:ascii="Times New Roman" w:hAnsi="Times New Roman" w:eastAsia="宋体" w:cs="Times New Roman"/>
                      <w:color w:val="auto"/>
                      <w:sz w:val="21"/>
                      <w:szCs w:val="21"/>
                      <w:highlight w:val="none"/>
                      <w:lang w:val="en-US" w:eastAsia="zh-CN"/>
                    </w:rPr>
                    <w:t>），其中25m</w:t>
                  </w:r>
                  <w:r>
                    <w:rPr>
                      <w:rFonts w:hint="eastAsia" w:ascii="Times New Roman" w:hAnsi="Times New Roman" w:eastAsia="宋体" w:cs="Times New Roman"/>
                      <w:color w:val="auto"/>
                      <w:sz w:val="21"/>
                      <w:szCs w:val="21"/>
                      <w:highlight w:val="none"/>
                      <w:vertAlign w:val="superscript"/>
                      <w:lang w:val="en-US" w:eastAsia="zh-CN"/>
                    </w:rPr>
                    <w:t>2</w:t>
                  </w:r>
                  <w:r>
                    <w:rPr>
                      <w:rFonts w:hint="eastAsia" w:ascii="Times New Roman" w:hAnsi="Times New Roman" w:eastAsia="宋体" w:cs="Times New Roman"/>
                      <w:color w:val="auto"/>
                      <w:sz w:val="21"/>
                      <w:szCs w:val="21"/>
                      <w:highlight w:val="none"/>
                      <w:lang w:val="en-US" w:eastAsia="zh-CN"/>
                    </w:rPr>
                    <w:t>饲料间位于西南侧，2间8m</w:t>
                  </w:r>
                  <w:r>
                    <w:rPr>
                      <w:rFonts w:hint="eastAsia" w:ascii="Times New Roman" w:hAnsi="Times New Roman" w:eastAsia="宋体" w:cs="Times New Roman"/>
                      <w:color w:val="auto"/>
                      <w:sz w:val="21"/>
                      <w:szCs w:val="21"/>
                      <w:highlight w:val="none"/>
                      <w:vertAlign w:val="superscript"/>
                      <w:lang w:val="en-US" w:eastAsia="zh-CN"/>
                    </w:rPr>
                    <w:t>2</w:t>
                  </w:r>
                  <w:r>
                    <w:rPr>
                      <w:rFonts w:hint="eastAsia" w:ascii="Times New Roman" w:hAnsi="Times New Roman" w:eastAsia="宋体" w:cs="Times New Roman"/>
                      <w:color w:val="auto"/>
                      <w:sz w:val="21"/>
                      <w:szCs w:val="21"/>
                      <w:highlight w:val="none"/>
                      <w:lang w:val="en-US" w:eastAsia="zh-CN"/>
                    </w:rPr>
                    <w:t>饲料间位于东北侧；设置了1间垫料间（24m</w:t>
                  </w:r>
                  <w:r>
                    <w:rPr>
                      <w:rFonts w:hint="eastAsia" w:ascii="Times New Roman" w:hAnsi="Times New Roman" w:eastAsia="宋体" w:cs="Times New Roman"/>
                      <w:color w:val="auto"/>
                      <w:sz w:val="21"/>
                      <w:szCs w:val="21"/>
                      <w:highlight w:val="none"/>
                      <w:vertAlign w:val="superscript"/>
                      <w:lang w:val="en-US" w:eastAsia="zh-CN"/>
                    </w:rPr>
                    <w:t>2</w:t>
                  </w:r>
                  <w:r>
                    <w:rPr>
                      <w:rFonts w:hint="eastAsia" w:ascii="Times New Roman" w:hAnsi="Times New Roman" w:eastAsia="宋体" w:cs="Times New Roman"/>
                      <w:color w:val="auto"/>
                      <w:sz w:val="21"/>
                      <w:szCs w:val="21"/>
                      <w:highlight w:val="none"/>
                      <w:lang w:val="en-US" w:eastAsia="zh-CN"/>
                    </w:rPr>
                    <w:t>），位于西南侧</w:t>
                  </w:r>
                </w:p>
              </w:tc>
            </w:tr>
            <w:tr w14:paraId="5AF8C48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32" w:hRule="atLeast"/>
              </w:trPr>
              <w:tc>
                <w:tcPr>
                  <w:tcW w:w="353" w:type="pct"/>
                  <w:vMerge w:val="continue"/>
                  <w:tcBorders>
                    <w:left w:val="single" w:color="auto" w:sz="4" w:space="0"/>
                    <w:right w:val="single" w:color="auto" w:sz="4" w:space="0"/>
                  </w:tcBorders>
                  <w:tcMar>
                    <w:top w:w="28" w:type="dxa"/>
                    <w:left w:w="28" w:type="dxa"/>
                    <w:bottom w:w="28" w:type="dxa"/>
                    <w:right w:w="28" w:type="dxa"/>
                  </w:tcMar>
                  <w:vAlign w:val="center"/>
                </w:tcPr>
                <w:p w14:paraId="127D5FF4">
                  <w:pPr>
                    <w:keepNext w:val="0"/>
                    <w:keepLines w:val="0"/>
                    <w:suppressLineNumbers w:val="0"/>
                    <w:spacing w:before="0" w:beforeAutospacing="0" w:after="0" w:afterAutospacing="0" w:line="276" w:lineRule="auto"/>
                    <w:ind w:left="0" w:right="0"/>
                    <w:jc w:val="left"/>
                    <w:rPr>
                      <w:rFonts w:hint="default" w:ascii="Times New Roman" w:hAnsi="Times New Roman" w:eastAsia="宋体" w:cs="Times New Roman"/>
                      <w:sz w:val="21"/>
                      <w:szCs w:val="21"/>
                      <w:highlight w:val="none"/>
                    </w:rPr>
                  </w:pPr>
                </w:p>
              </w:tc>
              <w:tc>
                <w:tcPr>
                  <w:tcW w:w="341" w:type="pct"/>
                  <w:vMerge w:val="continue"/>
                  <w:tcBorders>
                    <w:left w:val="single" w:color="auto" w:sz="4" w:space="0"/>
                    <w:right w:val="single" w:color="auto" w:sz="4" w:space="0"/>
                  </w:tcBorders>
                  <w:tcMar>
                    <w:top w:w="28" w:type="dxa"/>
                    <w:left w:w="28" w:type="dxa"/>
                    <w:bottom w:w="28" w:type="dxa"/>
                    <w:right w:w="28" w:type="dxa"/>
                  </w:tcMar>
                  <w:vAlign w:val="center"/>
                </w:tcPr>
                <w:p w14:paraId="4CA8F1CC">
                  <w:pPr>
                    <w:keepNext w:val="0"/>
                    <w:keepLines w:val="0"/>
                    <w:suppressLineNumbers w:val="0"/>
                    <w:spacing w:before="0" w:beforeAutospacing="0" w:after="0" w:afterAutospacing="0" w:line="276" w:lineRule="auto"/>
                    <w:ind w:left="0" w:right="0"/>
                    <w:jc w:val="left"/>
                    <w:rPr>
                      <w:rFonts w:hint="default" w:ascii="Times New Roman" w:hAnsi="Times New Roman" w:eastAsia="宋体" w:cs="Times New Roman"/>
                      <w:color w:val="auto"/>
                      <w:sz w:val="21"/>
                      <w:szCs w:val="21"/>
                      <w:highlight w:val="none"/>
                    </w:rPr>
                  </w:pPr>
                </w:p>
              </w:tc>
              <w:tc>
                <w:tcPr>
                  <w:tcW w:w="344" w:type="pct"/>
                  <w:vMerge w:val="continue"/>
                  <w:tcBorders>
                    <w:left w:val="single" w:color="auto" w:sz="4" w:space="0"/>
                    <w:right w:val="single" w:color="auto" w:sz="4" w:space="0"/>
                  </w:tcBorders>
                  <w:tcMar>
                    <w:top w:w="28" w:type="dxa"/>
                    <w:left w:w="28" w:type="dxa"/>
                    <w:bottom w:w="28" w:type="dxa"/>
                    <w:right w:w="28" w:type="dxa"/>
                  </w:tcMar>
                  <w:vAlign w:val="center"/>
                </w:tcPr>
                <w:p w14:paraId="37C63617">
                  <w:pPr>
                    <w:keepNext w:val="0"/>
                    <w:keepLines w:val="0"/>
                    <w:suppressLineNumbers w:val="0"/>
                    <w:spacing w:before="0" w:beforeAutospacing="0" w:after="0" w:afterAutospacing="0" w:line="276" w:lineRule="auto"/>
                    <w:ind w:left="0" w:right="0"/>
                    <w:jc w:val="center"/>
                    <w:rPr>
                      <w:rFonts w:hint="default" w:ascii="Times New Roman" w:hAnsi="Times New Roman" w:eastAsia="宋体" w:cs="Times New Roman"/>
                      <w:color w:val="auto"/>
                      <w:sz w:val="21"/>
                      <w:szCs w:val="21"/>
                      <w:highlight w:val="none"/>
                    </w:rPr>
                  </w:pPr>
                </w:p>
              </w:tc>
              <w:tc>
                <w:tcPr>
                  <w:tcW w:w="584" w:type="pct"/>
                  <w:tcBorders>
                    <w:top w:val="single" w:color="auto" w:sz="4" w:space="0"/>
                    <w:left w:val="single" w:color="auto" w:sz="4" w:space="0"/>
                    <w:bottom w:val="single" w:color="auto" w:sz="4" w:space="0"/>
                    <w:right w:val="single" w:color="auto" w:sz="4" w:space="0"/>
                  </w:tcBorders>
                  <w:tcMar>
                    <w:top w:w="28" w:type="dxa"/>
                    <w:left w:w="28" w:type="dxa"/>
                    <w:bottom w:w="28" w:type="dxa"/>
                    <w:right w:w="28" w:type="dxa"/>
                  </w:tcMar>
                  <w:vAlign w:val="center"/>
                </w:tcPr>
                <w:p w14:paraId="335FFBFA">
                  <w:pPr>
                    <w:keepNext w:val="0"/>
                    <w:keepLines w:val="0"/>
                    <w:suppressLineNumbers w:val="0"/>
                    <w:spacing w:before="0" w:beforeAutospacing="0" w:after="0" w:afterAutospacing="0" w:line="276" w:lineRule="auto"/>
                    <w:ind w:left="0" w:right="0"/>
                    <w:jc w:val="center"/>
                    <w:rPr>
                      <w:rFonts w:hint="default" w:ascii="Times New Roman" w:hAnsi="Times New Roman" w:eastAsia="宋体" w:cs="Times New Roman"/>
                      <w:color w:val="auto"/>
                      <w:sz w:val="21"/>
                      <w:szCs w:val="21"/>
                      <w:highlight w:val="none"/>
                      <w:lang w:val="en-US" w:eastAsia="zh-CN"/>
                    </w:rPr>
                  </w:pPr>
                  <w:r>
                    <w:rPr>
                      <w:rFonts w:hint="eastAsia" w:ascii="Times New Roman" w:hAnsi="Times New Roman" w:eastAsia="宋体" w:cs="Times New Roman"/>
                      <w:color w:val="auto"/>
                      <w:sz w:val="21"/>
                      <w:szCs w:val="21"/>
                      <w:highlight w:val="none"/>
                      <w:lang w:val="en-US" w:eastAsia="zh-CN"/>
                    </w:rPr>
                    <w:t>2F</w:t>
                  </w:r>
                </w:p>
              </w:tc>
              <w:tc>
                <w:tcPr>
                  <w:tcW w:w="3376" w:type="pct"/>
                  <w:gridSpan w:val="2"/>
                  <w:tcBorders>
                    <w:left w:val="single" w:color="auto" w:sz="4" w:space="0"/>
                    <w:right w:val="single" w:color="auto" w:sz="4" w:space="0"/>
                  </w:tcBorders>
                  <w:tcMar>
                    <w:top w:w="28" w:type="dxa"/>
                    <w:left w:w="28" w:type="dxa"/>
                    <w:bottom w:w="28" w:type="dxa"/>
                    <w:right w:w="28" w:type="dxa"/>
                  </w:tcMar>
                  <w:vAlign w:val="center"/>
                </w:tcPr>
                <w:p w14:paraId="13ECF72F">
                  <w:pPr>
                    <w:keepNext w:val="0"/>
                    <w:keepLines w:val="0"/>
                    <w:suppressLineNumbers w:val="0"/>
                    <w:spacing w:before="0" w:beforeAutospacing="0" w:after="0" w:afterAutospacing="0" w:line="276" w:lineRule="auto"/>
                    <w:ind w:left="0" w:right="0"/>
                    <w:jc w:val="left"/>
                    <w:rPr>
                      <w:rFonts w:hint="default" w:ascii="Times New Roman" w:hAnsi="Times New Roman" w:eastAsia="宋体" w:cs="Times New Roman"/>
                      <w:color w:val="auto"/>
                      <w:sz w:val="21"/>
                      <w:szCs w:val="21"/>
                      <w:highlight w:val="none"/>
                      <w:lang w:val="en-US" w:eastAsia="zh-CN"/>
                    </w:rPr>
                  </w:pPr>
                  <w:r>
                    <w:rPr>
                      <w:rFonts w:hint="eastAsia" w:ascii="Times New Roman" w:hAnsi="Times New Roman" w:eastAsia="宋体" w:cs="Times New Roman"/>
                      <w:color w:val="auto"/>
                      <w:sz w:val="21"/>
                      <w:szCs w:val="21"/>
                      <w:highlight w:val="none"/>
                      <w:lang w:val="en-US" w:eastAsia="zh-CN"/>
                    </w:rPr>
                    <w:t>设置了1间原辅料仓库（17m</w:t>
                  </w:r>
                  <w:r>
                    <w:rPr>
                      <w:rFonts w:hint="eastAsia" w:ascii="Times New Roman" w:hAnsi="Times New Roman" w:eastAsia="宋体" w:cs="Times New Roman"/>
                      <w:color w:val="auto"/>
                      <w:sz w:val="21"/>
                      <w:szCs w:val="21"/>
                      <w:highlight w:val="none"/>
                      <w:vertAlign w:val="superscript"/>
                      <w:lang w:val="en-US" w:eastAsia="zh-CN"/>
                    </w:rPr>
                    <w:t>2</w:t>
                  </w:r>
                  <w:r>
                    <w:rPr>
                      <w:rFonts w:hint="eastAsia" w:ascii="Times New Roman" w:hAnsi="Times New Roman" w:eastAsia="宋体" w:cs="Times New Roman"/>
                      <w:color w:val="auto"/>
                      <w:sz w:val="21"/>
                      <w:szCs w:val="21"/>
                      <w:highlight w:val="none"/>
                      <w:lang w:val="en-US" w:eastAsia="zh-CN"/>
                    </w:rPr>
                    <w:t>），</w:t>
                  </w:r>
                  <w:r>
                    <w:rPr>
                      <w:rFonts w:hint="eastAsia" w:cs="Times New Roman"/>
                      <w:color w:val="auto"/>
                      <w:sz w:val="21"/>
                      <w:szCs w:val="21"/>
                      <w:highlight w:val="none"/>
                      <w:lang w:val="en-US" w:eastAsia="zh-CN"/>
                    </w:rPr>
                    <w:t>用</w:t>
                  </w:r>
                  <w:r>
                    <w:rPr>
                      <w:rFonts w:hint="eastAsia" w:ascii="Times New Roman" w:hAnsi="Times New Roman" w:eastAsia="宋体" w:cs="Times New Roman"/>
                      <w:color w:val="auto"/>
                      <w:sz w:val="21"/>
                      <w:szCs w:val="21"/>
                      <w:highlight w:val="none"/>
                      <w:lang w:val="en-US" w:eastAsia="zh-CN"/>
                    </w:rPr>
                    <w:t>于存放饲料以及垫料</w:t>
                  </w:r>
                </w:p>
              </w:tc>
            </w:tr>
            <w:tr w14:paraId="108645D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32" w:hRule="atLeast"/>
              </w:trPr>
              <w:tc>
                <w:tcPr>
                  <w:tcW w:w="353" w:type="pct"/>
                  <w:vMerge w:val="continue"/>
                  <w:tcBorders>
                    <w:left w:val="single" w:color="auto" w:sz="4" w:space="0"/>
                    <w:right w:val="single" w:color="auto" w:sz="4" w:space="0"/>
                  </w:tcBorders>
                  <w:tcMar>
                    <w:top w:w="28" w:type="dxa"/>
                    <w:left w:w="28" w:type="dxa"/>
                    <w:bottom w:w="28" w:type="dxa"/>
                    <w:right w:w="28" w:type="dxa"/>
                  </w:tcMar>
                  <w:vAlign w:val="center"/>
                </w:tcPr>
                <w:p w14:paraId="3FCA0E8D">
                  <w:pPr>
                    <w:keepNext w:val="0"/>
                    <w:keepLines w:val="0"/>
                    <w:suppressLineNumbers w:val="0"/>
                    <w:spacing w:before="0" w:beforeAutospacing="0" w:after="0" w:afterAutospacing="0" w:line="276" w:lineRule="auto"/>
                    <w:ind w:left="0" w:right="0"/>
                    <w:jc w:val="left"/>
                    <w:rPr>
                      <w:rFonts w:hint="default" w:ascii="Times New Roman" w:hAnsi="Times New Roman" w:eastAsia="宋体" w:cs="Times New Roman"/>
                      <w:sz w:val="21"/>
                      <w:szCs w:val="21"/>
                      <w:highlight w:val="none"/>
                    </w:rPr>
                  </w:pPr>
                </w:p>
              </w:tc>
              <w:tc>
                <w:tcPr>
                  <w:tcW w:w="341" w:type="pct"/>
                  <w:vMerge w:val="continue"/>
                  <w:tcBorders>
                    <w:left w:val="single" w:color="auto" w:sz="4" w:space="0"/>
                    <w:right w:val="single" w:color="auto" w:sz="4" w:space="0"/>
                  </w:tcBorders>
                  <w:tcMar>
                    <w:top w:w="28" w:type="dxa"/>
                    <w:left w:w="28" w:type="dxa"/>
                    <w:bottom w:w="28" w:type="dxa"/>
                    <w:right w:w="28" w:type="dxa"/>
                  </w:tcMar>
                  <w:vAlign w:val="center"/>
                </w:tcPr>
                <w:p w14:paraId="2830103F">
                  <w:pPr>
                    <w:keepNext w:val="0"/>
                    <w:keepLines w:val="0"/>
                    <w:suppressLineNumbers w:val="0"/>
                    <w:spacing w:before="0" w:beforeAutospacing="0" w:after="0" w:afterAutospacing="0" w:line="276" w:lineRule="auto"/>
                    <w:ind w:left="0" w:right="0"/>
                    <w:jc w:val="left"/>
                    <w:rPr>
                      <w:rFonts w:hint="default" w:ascii="Times New Roman" w:hAnsi="Times New Roman" w:eastAsia="宋体" w:cs="Times New Roman"/>
                      <w:color w:val="auto"/>
                      <w:sz w:val="21"/>
                      <w:szCs w:val="21"/>
                      <w:highlight w:val="none"/>
                    </w:rPr>
                  </w:pPr>
                </w:p>
              </w:tc>
              <w:tc>
                <w:tcPr>
                  <w:tcW w:w="344" w:type="pct"/>
                  <w:vMerge w:val="continue"/>
                  <w:tcBorders>
                    <w:left w:val="single" w:color="auto" w:sz="4" w:space="0"/>
                    <w:bottom w:val="single" w:color="auto" w:sz="4" w:space="0"/>
                    <w:right w:val="single" w:color="auto" w:sz="4" w:space="0"/>
                  </w:tcBorders>
                  <w:tcMar>
                    <w:top w:w="28" w:type="dxa"/>
                    <w:left w:w="28" w:type="dxa"/>
                    <w:bottom w:w="28" w:type="dxa"/>
                    <w:right w:w="28" w:type="dxa"/>
                  </w:tcMar>
                  <w:vAlign w:val="center"/>
                </w:tcPr>
                <w:p w14:paraId="2BEA41F5">
                  <w:pPr>
                    <w:keepNext w:val="0"/>
                    <w:keepLines w:val="0"/>
                    <w:suppressLineNumbers w:val="0"/>
                    <w:spacing w:before="0" w:beforeAutospacing="0" w:after="0" w:afterAutospacing="0" w:line="276" w:lineRule="auto"/>
                    <w:ind w:left="0" w:right="0"/>
                    <w:jc w:val="center"/>
                    <w:rPr>
                      <w:rFonts w:hint="default" w:ascii="Times New Roman" w:hAnsi="Times New Roman" w:eastAsia="宋体" w:cs="Times New Roman"/>
                      <w:color w:val="auto"/>
                      <w:sz w:val="21"/>
                      <w:szCs w:val="21"/>
                      <w:highlight w:val="none"/>
                    </w:rPr>
                  </w:pPr>
                </w:p>
              </w:tc>
              <w:tc>
                <w:tcPr>
                  <w:tcW w:w="584" w:type="pct"/>
                  <w:tcBorders>
                    <w:top w:val="single" w:color="auto" w:sz="4" w:space="0"/>
                    <w:left w:val="single" w:color="auto" w:sz="4" w:space="0"/>
                    <w:bottom w:val="single" w:color="auto" w:sz="4" w:space="0"/>
                    <w:right w:val="single" w:color="auto" w:sz="4" w:space="0"/>
                  </w:tcBorders>
                  <w:tcMar>
                    <w:top w:w="28" w:type="dxa"/>
                    <w:left w:w="28" w:type="dxa"/>
                    <w:bottom w:w="28" w:type="dxa"/>
                    <w:right w:w="28" w:type="dxa"/>
                  </w:tcMar>
                  <w:vAlign w:val="center"/>
                </w:tcPr>
                <w:p w14:paraId="29187189">
                  <w:pPr>
                    <w:keepNext w:val="0"/>
                    <w:keepLines w:val="0"/>
                    <w:suppressLineNumbers w:val="0"/>
                    <w:spacing w:before="0" w:beforeAutospacing="0" w:after="0" w:afterAutospacing="0" w:line="276" w:lineRule="auto"/>
                    <w:ind w:left="0" w:right="0"/>
                    <w:jc w:val="center"/>
                    <w:rPr>
                      <w:rFonts w:hint="default" w:ascii="Times New Roman" w:hAnsi="Times New Roman" w:eastAsia="宋体" w:cs="Times New Roman"/>
                      <w:color w:val="auto"/>
                      <w:sz w:val="21"/>
                      <w:szCs w:val="21"/>
                      <w:highlight w:val="none"/>
                      <w:lang w:val="en-US" w:eastAsia="zh-CN"/>
                    </w:rPr>
                  </w:pPr>
                  <w:r>
                    <w:rPr>
                      <w:rFonts w:hint="eastAsia" w:ascii="Times New Roman" w:hAnsi="Times New Roman" w:eastAsia="宋体" w:cs="Times New Roman"/>
                      <w:color w:val="auto"/>
                      <w:sz w:val="21"/>
                      <w:szCs w:val="21"/>
                      <w:highlight w:val="none"/>
                      <w:lang w:val="en-US" w:eastAsia="zh-CN"/>
                    </w:rPr>
                    <w:t>3F</w:t>
                  </w:r>
                </w:p>
              </w:tc>
              <w:tc>
                <w:tcPr>
                  <w:tcW w:w="3376" w:type="pct"/>
                  <w:gridSpan w:val="2"/>
                  <w:tcBorders>
                    <w:left w:val="single" w:color="auto" w:sz="4" w:space="0"/>
                    <w:bottom w:val="single" w:color="auto" w:sz="4" w:space="0"/>
                    <w:right w:val="single" w:color="auto" w:sz="4" w:space="0"/>
                  </w:tcBorders>
                  <w:tcMar>
                    <w:top w:w="28" w:type="dxa"/>
                    <w:left w:w="28" w:type="dxa"/>
                    <w:bottom w:w="28" w:type="dxa"/>
                    <w:right w:w="28" w:type="dxa"/>
                  </w:tcMar>
                  <w:vAlign w:val="center"/>
                </w:tcPr>
                <w:p w14:paraId="7451CFC9">
                  <w:pPr>
                    <w:keepNext w:val="0"/>
                    <w:keepLines w:val="0"/>
                    <w:suppressLineNumbers w:val="0"/>
                    <w:spacing w:before="0" w:beforeAutospacing="0" w:after="0" w:afterAutospacing="0" w:line="276" w:lineRule="auto"/>
                    <w:ind w:left="0" w:right="0"/>
                    <w:jc w:val="left"/>
                    <w:rPr>
                      <w:rFonts w:hint="default" w:ascii="Times New Roman" w:hAnsi="Times New Roman" w:eastAsia="宋体" w:cs="Times New Roman"/>
                      <w:color w:val="auto"/>
                      <w:sz w:val="21"/>
                      <w:szCs w:val="21"/>
                      <w:highlight w:val="none"/>
                      <w:lang w:val="en-US"/>
                    </w:rPr>
                  </w:pPr>
                  <w:r>
                    <w:rPr>
                      <w:rFonts w:hint="eastAsia" w:ascii="Times New Roman" w:hAnsi="Times New Roman" w:eastAsia="宋体" w:cs="Times New Roman"/>
                      <w:color w:val="auto"/>
                      <w:sz w:val="21"/>
                      <w:szCs w:val="21"/>
                      <w:highlight w:val="none"/>
                      <w:lang w:val="en-US" w:eastAsia="zh-CN"/>
                    </w:rPr>
                    <w:t>设置了2间原辅料仓库（20m</w:t>
                  </w:r>
                  <w:r>
                    <w:rPr>
                      <w:rFonts w:hint="eastAsia" w:ascii="Times New Roman" w:hAnsi="Times New Roman" w:eastAsia="宋体" w:cs="Times New Roman"/>
                      <w:color w:val="auto"/>
                      <w:sz w:val="21"/>
                      <w:szCs w:val="21"/>
                      <w:highlight w:val="none"/>
                      <w:vertAlign w:val="superscript"/>
                      <w:lang w:val="en-US" w:eastAsia="zh-CN"/>
                    </w:rPr>
                    <w:t>2</w:t>
                  </w:r>
                  <w:r>
                    <w:rPr>
                      <w:rFonts w:hint="eastAsia" w:ascii="Times New Roman" w:hAnsi="Times New Roman" w:eastAsia="宋体" w:cs="Times New Roman"/>
                      <w:color w:val="auto"/>
                      <w:sz w:val="21"/>
                      <w:szCs w:val="21"/>
                      <w:highlight w:val="none"/>
                      <w:lang w:val="en-US" w:eastAsia="zh-CN"/>
                    </w:rPr>
                    <w:t>、21m</w:t>
                  </w:r>
                  <w:r>
                    <w:rPr>
                      <w:rFonts w:hint="eastAsia" w:ascii="Times New Roman" w:hAnsi="Times New Roman" w:eastAsia="宋体" w:cs="Times New Roman"/>
                      <w:color w:val="auto"/>
                      <w:sz w:val="21"/>
                      <w:szCs w:val="21"/>
                      <w:highlight w:val="none"/>
                      <w:vertAlign w:val="superscript"/>
                      <w:lang w:val="en-US" w:eastAsia="zh-CN"/>
                    </w:rPr>
                    <w:t>2</w:t>
                  </w:r>
                  <w:r>
                    <w:rPr>
                      <w:rFonts w:hint="eastAsia" w:ascii="Times New Roman" w:hAnsi="Times New Roman" w:eastAsia="宋体" w:cs="Times New Roman"/>
                      <w:color w:val="auto"/>
                      <w:sz w:val="21"/>
                      <w:szCs w:val="21"/>
                      <w:highlight w:val="none"/>
                      <w:lang w:val="en-US" w:eastAsia="zh-CN"/>
                    </w:rPr>
                    <w:t>），</w:t>
                  </w:r>
                  <w:r>
                    <w:rPr>
                      <w:rFonts w:hint="eastAsia" w:cs="Times New Roman"/>
                      <w:color w:val="auto"/>
                      <w:sz w:val="21"/>
                      <w:szCs w:val="21"/>
                      <w:highlight w:val="none"/>
                      <w:lang w:val="en-US" w:eastAsia="zh-CN"/>
                    </w:rPr>
                    <w:t>用</w:t>
                  </w:r>
                  <w:r>
                    <w:rPr>
                      <w:rFonts w:hint="eastAsia" w:ascii="Times New Roman" w:hAnsi="Times New Roman" w:eastAsia="宋体" w:cs="Times New Roman"/>
                      <w:color w:val="auto"/>
                      <w:sz w:val="21"/>
                      <w:szCs w:val="21"/>
                      <w:highlight w:val="none"/>
                      <w:lang w:val="en-US" w:eastAsia="zh-CN"/>
                    </w:rPr>
                    <w:t>于存放饲料以及垫料；同时，设置1间</w:t>
                  </w:r>
                  <w:r>
                    <w:rPr>
                      <w:rFonts w:hint="eastAsia" w:ascii="Times New Roman" w:hAnsi="Times New Roman" w:eastAsia="宋体" w:cs="Times New Roman"/>
                      <w:color w:val="auto"/>
                      <w:sz w:val="21"/>
                      <w:szCs w:val="21"/>
                      <w:highlight w:val="none"/>
                    </w:rPr>
                    <w:t>原辅料</w:t>
                  </w:r>
                  <w:r>
                    <w:rPr>
                      <w:rFonts w:hint="eastAsia" w:ascii="Times New Roman" w:hAnsi="Times New Roman" w:eastAsia="宋体" w:cs="Times New Roman"/>
                      <w:color w:val="auto"/>
                      <w:sz w:val="21"/>
                      <w:szCs w:val="21"/>
                      <w:highlight w:val="none"/>
                      <w:lang w:val="en-US" w:eastAsia="zh-CN"/>
                    </w:rPr>
                    <w:t>仓库（25m</w:t>
                  </w:r>
                  <w:r>
                    <w:rPr>
                      <w:rFonts w:hint="eastAsia" w:ascii="Times New Roman" w:hAnsi="Times New Roman" w:eastAsia="宋体" w:cs="Times New Roman"/>
                      <w:color w:val="auto"/>
                      <w:sz w:val="21"/>
                      <w:szCs w:val="21"/>
                      <w:highlight w:val="none"/>
                      <w:vertAlign w:val="superscript"/>
                      <w:lang w:val="en-US" w:eastAsia="zh-CN"/>
                    </w:rPr>
                    <w:t>2</w:t>
                  </w:r>
                  <w:r>
                    <w:rPr>
                      <w:rFonts w:hint="eastAsia" w:ascii="Times New Roman" w:hAnsi="Times New Roman" w:eastAsia="宋体" w:cs="Times New Roman"/>
                      <w:color w:val="auto"/>
                      <w:sz w:val="21"/>
                      <w:szCs w:val="21"/>
                      <w:highlight w:val="none"/>
                      <w:lang w:val="en-US" w:eastAsia="zh-CN"/>
                    </w:rPr>
                    <w:t>），</w:t>
                  </w:r>
                  <w:r>
                    <w:rPr>
                      <w:rFonts w:hint="eastAsia" w:ascii="Times New Roman" w:hAnsi="Times New Roman" w:eastAsia="宋体" w:cs="Times New Roman"/>
                      <w:color w:val="auto"/>
                      <w:sz w:val="21"/>
                      <w:szCs w:val="21"/>
                      <w:highlight w:val="none"/>
                    </w:rPr>
                    <w:t>用于存放实验试剂、手套、口罩等实验所需材料，位于东侧</w:t>
                  </w:r>
                  <w:r>
                    <w:rPr>
                      <w:rFonts w:hint="eastAsia" w:ascii="Times New Roman" w:hAnsi="Times New Roman" w:eastAsia="宋体" w:cs="Times New Roman"/>
                      <w:color w:val="auto"/>
                      <w:sz w:val="21"/>
                      <w:szCs w:val="21"/>
                      <w:highlight w:val="none"/>
                      <w:lang w:val="en-US" w:eastAsia="zh-CN"/>
                    </w:rPr>
                    <w:t>准备间内</w:t>
                  </w:r>
                </w:p>
              </w:tc>
            </w:tr>
            <w:tr w14:paraId="25C6649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76" w:hRule="atLeast"/>
              </w:trPr>
              <w:tc>
                <w:tcPr>
                  <w:tcW w:w="353" w:type="pct"/>
                  <w:vMerge w:val="continue"/>
                  <w:tcBorders>
                    <w:left w:val="single" w:color="auto" w:sz="4" w:space="0"/>
                    <w:bottom w:val="single" w:color="auto" w:sz="4" w:space="0"/>
                    <w:right w:val="single" w:color="auto" w:sz="4" w:space="0"/>
                  </w:tcBorders>
                  <w:tcMar>
                    <w:top w:w="28" w:type="dxa"/>
                    <w:left w:w="28" w:type="dxa"/>
                    <w:bottom w:w="28" w:type="dxa"/>
                    <w:right w:w="28" w:type="dxa"/>
                  </w:tcMar>
                  <w:vAlign w:val="center"/>
                </w:tcPr>
                <w:p w14:paraId="7B6D5761">
                  <w:pPr>
                    <w:keepNext w:val="0"/>
                    <w:keepLines w:val="0"/>
                    <w:suppressLineNumbers w:val="0"/>
                    <w:spacing w:before="0" w:beforeAutospacing="0" w:after="0" w:afterAutospacing="0" w:line="276" w:lineRule="auto"/>
                    <w:ind w:left="0" w:right="0"/>
                    <w:jc w:val="left"/>
                    <w:rPr>
                      <w:rFonts w:hint="default" w:ascii="Times New Roman" w:hAnsi="Times New Roman" w:eastAsia="宋体" w:cs="Times New Roman"/>
                      <w:sz w:val="21"/>
                      <w:szCs w:val="21"/>
                      <w:highlight w:val="none"/>
                    </w:rPr>
                  </w:pPr>
                </w:p>
              </w:tc>
              <w:tc>
                <w:tcPr>
                  <w:tcW w:w="341" w:type="pct"/>
                  <w:vMerge w:val="continue"/>
                  <w:tcBorders>
                    <w:left w:val="single" w:color="auto" w:sz="4" w:space="0"/>
                    <w:bottom w:val="single" w:color="auto" w:sz="4" w:space="0"/>
                    <w:right w:val="single" w:color="auto" w:sz="4" w:space="0"/>
                  </w:tcBorders>
                  <w:tcMar>
                    <w:top w:w="28" w:type="dxa"/>
                    <w:left w:w="28" w:type="dxa"/>
                    <w:bottom w:w="28" w:type="dxa"/>
                    <w:right w:w="28" w:type="dxa"/>
                  </w:tcMar>
                  <w:vAlign w:val="center"/>
                </w:tcPr>
                <w:p w14:paraId="3ABB67A7">
                  <w:pPr>
                    <w:keepNext w:val="0"/>
                    <w:keepLines w:val="0"/>
                    <w:suppressLineNumbers w:val="0"/>
                    <w:spacing w:before="0" w:beforeAutospacing="0" w:after="0" w:afterAutospacing="0" w:line="276" w:lineRule="auto"/>
                    <w:ind w:left="0" w:right="0"/>
                    <w:jc w:val="left"/>
                    <w:rPr>
                      <w:rFonts w:hint="default" w:ascii="Times New Roman" w:hAnsi="Times New Roman" w:eastAsia="宋体" w:cs="Times New Roman"/>
                      <w:color w:val="auto"/>
                      <w:sz w:val="21"/>
                      <w:szCs w:val="21"/>
                      <w:highlight w:val="none"/>
                    </w:rPr>
                  </w:pPr>
                </w:p>
              </w:tc>
              <w:tc>
                <w:tcPr>
                  <w:tcW w:w="344" w:type="pct"/>
                  <w:vMerge w:val="restart"/>
                  <w:tcBorders>
                    <w:top w:val="single" w:color="auto" w:sz="4" w:space="0"/>
                    <w:left w:val="single" w:color="auto" w:sz="4" w:space="0"/>
                    <w:right w:val="single" w:color="auto" w:sz="4" w:space="0"/>
                  </w:tcBorders>
                  <w:tcMar>
                    <w:top w:w="28" w:type="dxa"/>
                    <w:left w:w="28" w:type="dxa"/>
                    <w:bottom w:w="28" w:type="dxa"/>
                    <w:right w:w="28" w:type="dxa"/>
                  </w:tcMar>
                  <w:vAlign w:val="center"/>
                </w:tcPr>
                <w:p w14:paraId="2AF161B3">
                  <w:pPr>
                    <w:keepNext w:val="0"/>
                    <w:keepLines w:val="0"/>
                    <w:suppressLineNumbers w:val="0"/>
                    <w:spacing w:before="0" w:beforeAutospacing="0" w:after="0" w:afterAutospacing="0" w:line="276" w:lineRule="auto"/>
                    <w:ind w:left="0" w:right="0"/>
                    <w:jc w:val="center"/>
                    <w:rPr>
                      <w:rFonts w:hint="eastAsia" w:ascii="Times New Roman" w:hAnsi="Times New Roman" w:eastAsia="宋体" w:cs="Times New Roman"/>
                      <w:color w:val="auto"/>
                      <w:sz w:val="21"/>
                      <w:szCs w:val="21"/>
                      <w:highlight w:val="none"/>
                      <w:lang w:val="en-US" w:eastAsia="zh-CN"/>
                    </w:rPr>
                  </w:pPr>
                  <w:r>
                    <w:rPr>
                      <w:rFonts w:hint="eastAsia" w:ascii="Times New Roman" w:hAnsi="Times New Roman" w:eastAsia="宋体" w:cs="Times New Roman"/>
                      <w:color w:val="auto"/>
                      <w:sz w:val="21"/>
                      <w:szCs w:val="21"/>
                      <w:highlight w:val="none"/>
                      <w:lang w:val="en-US" w:eastAsia="zh-CN"/>
                    </w:rPr>
                    <w:t>科创综合楼</w:t>
                  </w:r>
                </w:p>
              </w:tc>
              <w:tc>
                <w:tcPr>
                  <w:tcW w:w="584" w:type="pct"/>
                  <w:tcBorders>
                    <w:top w:val="single" w:color="auto" w:sz="4" w:space="0"/>
                    <w:left w:val="single" w:color="auto" w:sz="4" w:space="0"/>
                    <w:right w:val="single" w:color="auto" w:sz="4" w:space="0"/>
                  </w:tcBorders>
                  <w:tcMar>
                    <w:top w:w="28" w:type="dxa"/>
                    <w:left w:w="28" w:type="dxa"/>
                    <w:bottom w:w="28" w:type="dxa"/>
                    <w:right w:w="28" w:type="dxa"/>
                  </w:tcMar>
                  <w:vAlign w:val="center"/>
                </w:tcPr>
                <w:p w14:paraId="36324D21">
                  <w:pPr>
                    <w:keepNext w:val="0"/>
                    <w:keepLines w:val="0"/>
                    <w:suppressLineNumbers w:val="0"/>
                    <w:spacing w:before="0" w:beforeAutospacing="0" w:after="0" w:afterAutospacing="0" w:line="276" w:lineRule="auto"/>
                    <w:ind w:left="0" w:right="0"/>
                    <w:jc w:val="center"/>
                    <w:rPr>
                      <w:rFonts w:hint="eastAsia" w:ascii="Times New Roman" w:hAnsi="Times New Roman" w:eastAsia="宋体" w:cs="Times New Roman"/>
                      <w:color w:val="auto"/>
                      <w:sz w:val="21"/>
                      <w:szCs w:val="21"/>
                      <w:highlight w:val="none"/>
                      <w:lang w:val="en-US" w:eastAsia="zh-CN"/>
                    </w:rPr>
                  </w:pPr>
                  <w:r>
                    <w:rPr>
                      <w:rFonts w:hint="eastAsia" w:ascii="Times New Roman" w:hAnsi="Times New Roman" w:eastAsia="宋体" w:cs="Times New Roman"/>
                      <w:color w:val="auto"/>
                      <w:sz w:val="21"/>
                      <w:szCs w:val="21"/>
                      <w:highlight w:val="none"/>
                      <w:lang w:val="en-US" w:eastAsia="zh-CN"/>
                    </w:rPr>
                    <w:t>1F</w:t>
                  </w:r>
                </w:p>
              </w:tc>
              <w:tc>
                <w:tcPr>
                  <w:tcW w:w="3376" w:type="pct"/>
                  <w:gridSpan w:val="2"/>
                  <w:tcBorders>
                    <w:top w:val="single" w:color="auto" w:sz="4" w:space="0"/>
                    <w:left w:val="single" w:color="auto" w:sz="4" w:space="0"/>
                    <w:bottom w:val="single" w:color="auto" w:sz="4" w:space="0"/>
                    <w:right w:val="single" w:color="auto" w:sz="4" w:space="0"/>
                  </w:tcBorders>
                  <w:tcMar>
                    <w:top w:w="28" w:type="dxa"/>
                    <w:left w:w="28" w:type="dxa"/>
                    <w:bottom w:w="28" w:type="dxa"/>
                    <w:right w:w="28" w:type="dxa"/>
                  </w:tcMar>
                  <w:vAlign w:val="center"/>
                </w:tcPr>
                <w:p w14:paraId="30DC4BD0">
                  <w:pPr>
                    <w:keepNext w:val="0"/>
                    <w:keepLines w:val="0"/>
                    <w:suppressLineNumbers w:val="0"/>
                    <w:spacing w:before="0" w:beforeAutospacing="0" w:after="0" w:afterAutospacing="0" w:line="276" w:lineRule="auto"/>
                    <w:ind w:left="0" w:right="0"/>
                    <w:jc w:val="left"/>
                    <w:rPr>
                      <w:rFonts w:hint="default" w:ascii="Times New Roman" w:hAnsi="Times New Roman" w:eastAsia="宋体" w:cs="Times New Roman"/>
                      <w:color w:val="auto"/>
                      <w:sz w:val="21"/>
                      <w:szCs w:val="21"/>
                      <w:highlight w:val="none"/>
                      <w:lang w:val="en-US" w:eastAsia="zh-CN"/>
                    </w:rPr>
                  </w:pPr>
                  <w:r>
                    <w:rPr>
                      <w:rFonts w:hint="eastAsia" w:ascii="Times New Roman" w:hAnsi="Times New Roman" w:eastAsia="宋体" w:cs="Times New Roman"/>
                      <w:color w:val="auto"/>
                      <w:sz w:val="21"/>
                      <w:szCs w:val="21"/>
                      <w:highlight w:val="none"/>
                      <w:lang w:val="en-US" w:eastAsia="zh-CN"/>
                    </w:rPr>
                    <w:t>设置了2个储藏间（钢瓶间）、1个废液间</w:t>
                  </w:r>
                </w:p>
              </w:tc>
            </w:tr>
            <w:tr w14:paraId="34E60F9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76" w:hRule="atLeast"/>
              </w:trPr>
              <w:tc>
                <w:tcPr>
                  <w:tcW w:w="353" w:type="pct"/>
                  <w:vMerge w:val="continue"/>
                  <w:tcBorders>
                    <w:left w:val="single" w:color="auto" w:sz="4" w:space="0"/>
                    <w:bottom w:val="single" w:color="auto" w:sz="4" w:space="0"/>
                    <w:right w:val="single" w:color="auto" w:sz="4" w:space="0"/>
                  </w:tcBorders>
                  <w:tcMar>
                    <w:top w:w="28" w:type="dxa"/>
                    <w:left w:w="28" w:type="dxa"/>
                    <w:bottom w:w="28" w:type="dxa"/>
                    <w:right w:w="28" w:type="dxa"/>
                  </w:tcMar>
                  <w:vAlign w:val="center"/>
                </w:tcPr>
                <w:p w14:paraId="56095383">
                  <w:pPr>
                    <w:keepNext w:val="0"/>
                    <w:keepLines w:val="0"/>
                    <w:suppressLineNumbers w:val="0"/>
                    <w:spacing w:before="0" w:beforeAutospacing="0" w:after="0" w:afterAutospacing="0" w:line="276" w:lineRule="auto"/>
                    <w:ind w:left="0" w:right="0"/>
                    <w:jc w:val="left"/>
                    <w:rPr>
                      <w:rFonts w:hint="default" w:ascii="Times New Roman" w:hAnsi="Times New Roman" w:eastAsia="宋体" w:cs="Times New Roman"/>
                      <w:sz w:val="21"/>
                      <w:szCs w:val="21"/>
                      <w:highlight w:val="none"/>
                    </w:rPr>
                  </w:pPr>
                </w:p>
              </w:tc>
              <w:tc>
                <w:tcPr>
                  <w:tcW w:w="341" w:type="pct"/>
                  <w:vMerge w:val="continue"/>
                  <w:tcBorders>
                    <w:left w:val="single" w:color="auto" w:sz="4" w:space="0"/>
                    <w:bottom w:val="single" w:color="auto" w:sz="4" w:space="0"/>
                    <w:right w:val="single" w:color="auto" w:sz="4" w:space="0"/>
                  </w:tcBorders>
                  <w:tcMar>
                    <w:top w:w="28" w:type="dxa"/>
                    <w:left w:w="28" w:type="dxa"/>
                    <w:bottom w:w="28" w:type="dxa"/>
                    <w:right w:w="28" w:type="dxa"/>
                  </w:tcMar>
                  <w:vAlign w:val="center"/>
                </w:tcPr>
                <w:p w14:paraId="40BF47FE">
                  <w:pPr>
                    <w:keepNext w:val="0"/>
                    <w:keepLines w:val="0"/>
                    <w:suppressLineNumbers w:val="0"/>
                    <w:spacing w:before="0" w:beforeAutospacing="0" w:after="0" w:afterAutospacing="0" w:line="276" w:lineRule="auto"/>
                    <w:ind w:left="0" w:right="0"/>
                    <w:jc w:val="left"/>
                    <w:rPr>
                      <w:rFonts w:hint="default" w:ascii="Times New Roman" w:hAnsi="Times New Roman" w:eastAsia="宋体" w:cs="Times New Roman"/>
                      <w:color w:val="auto"/>
                      <w:sz w:val="21"/>
                      <w:szCs w:val="21"/>
                      <w:highlight w:val="none"/>
                    </w:rPr>
                  </w:pPr>
                </w:p>
              </w:tc>
              <w:tc>
                <w:tcPr>
                  <w:tcW w:w="344" w:type="pct"/>
                  <w:vMerge w:val="continue"/>
                  <w:tcBorders>
                    <w:left w:val="single" w:color="auto" w:sz="4" w:space="0"/>
                    <w:right w:val="single" w:color="auto" w:sz="4" w:space="0"/>
                  </w:tcBorders>
                  <w:tcMar>
                    <w:top w:w="28" w:type="dxa"/>
                    <w:left w:w="28" w:type="dxa"/>
                    <w:bottom w:w="28" w:type="dxa"/>
                    <w:right w:w="28" w:type="dxa"/>
                  </w:tcMar>
                  <w:vAlign w:val="center"/>
                </w:tcPr>
                <w:p w14:paraId="3BF35EB4">
                  <w:pPr>
                    <w:keepNext w:val="0"/>
                    <w:keepLines w:val="0"/>
                    <w:suppressLineNumbers w:val="0"/>
                    <w:spacing w:before="0" w:beforeAutospacing="0" w:after="0" w:afterAutospacing="0" w:line="276" w:lineRule="auto"/>
                    <w:ind w:left="0" w:right="0"/>
                    <w:jc w:val="left"/>
                    <w:rPr>
                      <w:rFonts w:hint="default" w:ascii="Times New Roman" w:hAnsi="Times New Roman" w:eastAsia="宋体" w:cs="Times New Roman"/>
                      <w:color w:val="auto"/>
                      <w:sz w:val="21"/>
                      <w:szCs w:val="21"/>
                      <w:highlight w:val="none"/>
                    </w:rPr>
                  </w:pPr>
                </w:p>
              </w:tc>
              <w:tc>
                <w:tcPr>
                  <w:tcW w:w="584" w:type="pct"/>
                  <w:tcBorders>
                    <w:left w:val="single" w:color="auto" w:sz="4" w:space="0"/>
                    <w:right w:val="single" w:color="auto" w:sz="4" w:space="0"/>
                  </w:tcBorders>
                  <w:tcMar>
                    <w:top w:w="28" w:type="dxa"/>
                    <w:left w:w="28" w:type="dxa"/>
                    <w:bottom w:w="28" w:type="dxa"/>
                    <w:right w:w="28" w:type="dxa"/>
                  </w:tcMar>
                  <w:vAlign w:val="center"/>
                </w:tcPr>
                <w:p w14:paraId="25002183">
                  <w:pPr>
                    <w:keepNext w:val="0"/>
                    <w:keepLines w:val="0"/>
                    <w:suppressLineNumbers w:val="0"/>
                    <w:spacing w:before="0" w:beforeAutospacing="0" w:after="0" w:afterAutospacing="0" w:line="276" w:lineRule="auto"/>
                    <w:ind w:left="0" w:right="0"/>
                    <w:jc w:val="center"/>
                    <w:rPr>
                      <w:rFonts w:hint="default" w:ascii="Times New Roman" w:hAnsi="Times New Roman" w:eastAsia="宋体" w:cs="Times New Roman"/>
                      <w:color w:val="auto"/>
                      <w:sz w:val="21"/>
                      <w:szCs w:val="21"/>
                      <w:highlight w:val="none"/>
                    </w:rPr>
                  </w:pPr>
                  <w:r>
                    <w:rPr>
                      <w:rFonts w:hint="eastAsia" w:ascii="Times New Roman" w:hAnsi="Times New Roman" w:eastAsia="宋体" w:cs="Times New Roman"/>
                      <w:color w:val="auto"/>
                      <w:sz w:val="21"/>
                      <w:szCs w:val="21"/>
                      <w:highlight w:val="none"/>
                      <w:lang w:val="en-US" w:eastAsia="zh-CN"/>
                    </w:rPr>
                    <w:t>2F</w:t>
                  </w:r>
                </w:p>
              </w:tc>
              <w:tc>
                <w:tcPr>
                  <w:tcW w:w="3376" w:type="pct"/>
                  <w:gridSpan w:val="2"/>
                  <w:tcBorders>
                    <w:top w:val="single" w:color="auto" w:sz="4" w:space="0"/>
                    <w:left w:val="single" w:color="auto" w:sz="4" w:space="0"/>
                    <w:bottom w:val="single" w:color="auto" w:sz="4" w:space="0"/>
                    <w:right w:val="single" w:color="auto" w:sz="4" w:space="0"/>
                  </w:tcBorders>
                  <w:tcMar>
                    <w:top w:w="28" w:type="dxa"/>
                    <w:left w:w="28" w:type="dxa"/>
                    <w:bottom w:w="28" w:type="dxa"/>
                    <w:right w:w="28" w:type="dxa"/>
                  </w:tcMar>
                  <w:vAlign w:val="center"/>
                </w:tcPr>
                <w:p w14:paraId="2FCB3136">
                  <w:pPr>
                    <w:keepNext w:val="0"/>
                    <w:keepLines w:val="0"/>
                    <w:suppressLineNumbers w:val="0"/>
                    <w:spacing w:before="0" w:beforeAutospacing="0" w:after="0" w:afterAutospacing="0" w:line="276" w:lineRule="auto"/>
                    <w:ind w:left="0" w:right="0"/>
                    <w:jc w:val="left"/>
                    <w:rPr>
                      <w:rFonts w:hint="eastAsia" w:ascii="Times New Roman" w:hAnsi="Times New Roman" w:eastAsia="宋体" w:cs="Times New Roman"/>
                      <w:color w:val="auto"/>
                      <w:sz w:val="21"/>
                      <w:szCs w:val="21"/>
                      <w:highlight w:val="none"/>
                      <w:lang w:val="en-US" w:eastAsia="zh-CN"/>
                    </w:rPr>
                  </w:pPr>
                  <w:r>
                    <w:rPr>
                      <w:rFonts w:hint="eastAsia" w:ascii="Times New Roman" w:hAnsi="Times New Roman" w:eastAsia="宋体" w:cs="Times New Roman"/>
                      <w:color w:val="auto"/>
                      <w:sz w:val="21"/>
                      <w:szCs w:val="21"/>
                      <w:highlight w:val="none"/>
                      <w:lang w:val="en-US" w:eastAsia="zh-CN"/>
                    </w:rPr>
                    <w:t>设置了5个储藏间（含1个废液间、1个钢瓶间）</w:t>
                  </w:r>
                </w:p>
              </w:tc>
            </w:tr>
            <w:tr w14:paraId="366B70D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76" w:hRule="atLeast"/>
              </w:trPr>
              <w:tc>
                <w:tcPr>
                  <w:tcW w:w="353" w:type="pct"/>
                  <w:vMerge w:val="continue"/>
                  <w:tcBorders>
                    <w:left w:val="single" w:color="auto" w:sz="4" w:space="0"/>
                    <w:bottom w:val="single" w:color="auto" w:sz="4" w:space="0"/>
                    <w:right w:val="single" w:color="auto" w:sz="4" w:space="0"/>
                  </w:tcBorders>
                  <w:tcMar>
                    <w:top w:w="28" w:type="dxa"/>
                    <w:left w:w="28" w:type="dxa"/>
                    <w:bottom w:w="28" w:type="dxa"/>
                    <w:right w:w="28" w:type="dxa"/>
                  </w:tcMar>
                  <w:vAlign w:val="center"/>
                </w:tcPr>
                <w:p w14:paraId="6B210747">
                  <w:pPr>
                    <w:keepNext w:val="0"/>
                    <w:keepLines w:val="0"/>
                    <w:suppressLineNumbers w:val="0"/>
                    <w:spacing w:before="0" w:beforeAutospacing="0" w:after="0" w:afterAutospacing="0" w:line="276" w:lineRule="auto"/>
                    <w:ind w:left="0" w:right="0"/>
                    <w:jc w:val="left"/>
                    <w:rPr>
                      <w:rFonts w:hint="eastAsia" w:ascii="Times New Roman" w:hAnsi="Times New Roman" w:eastAsia="宋体" w:cs="Times New Roman"/>
                      <w:color w:val="FF0000"/>
                      <w:sz w:val="21"/>
                      <w:szCs w:val="21"/>
                      <w:highlight w:val="none"/>
                      <w:lang w:val="en-US" w:eastAsia="zh-CN"/>
                    </w:rPr>
                  </w:pPr>
                </w:p>
              </w:tc>
              <w:tc>
                <w:tcPr>
                  <w:tcW w:w="341" w:type="pct"/>
                  <w:vMerge w:val="continue"/>
                  <w:tcBorders>
                    <w:left w:val="single" w:color="auto" w:sz="4" w:space="0"/>
                    <w:bottom w:val="single" w:color="auto" w:sz="4" w:space="0"/>
                    <w:right w:val="single" w:color="auto" w:sz="4" w:space="0"/>
                  </w:tcBorders>
                  <w:tcMar>
                    <w:top w:w="28" w:type="dxa"/>
                    <w:left w:w="28" w:type="dxa"/>
                    <w:bottom w:w="28" w:type="dxa"/>
                    <w:right w:w="28" w:type="dxa"/>
                  </w:tcMar>
                  <w:vAlign w:val="center"/>
                </w:tcPr>
                <w:p w14:paraId="4B5D935A">
                  <w:pPr>
                    <w:keepNext w:val="0"/>
                    <w:keepLines w:val="0"/>
                    <w:suppressLineNumbers w:val="0"/>
                    <w:spacing w:before="0" w:beforeAutospacing="0" w:after="0" w:afterAutospacing="0" w:line="276" w:lineRule="auto"/>
                    <w:ind w:left="0" w:right="0"/>
                    <w:jc w:val="left"/>
                    <w:rPr>
                      <w:rFonts w:hint="eastAsia" w:ascii="Times New Roman" w:hAnsi="Times New Roman" w:eastAsia="宋体" w:cs="Times New Roman"/>
                      <w:color w:val="auto"/>
                      <w:sz w:val="21"/>
                      <w:szCs w:val="21"/>
                      <w:highlight w:val="none"/>
                      <w:lang w:val="en-US" w:eastAsia="zh-CN"/>
                    </w:rPr>
                  </w:pPr>
                </w:p>
              </w:tc>
              <w:tc>
                <w:tcPr>
                  <w:tcW w:w="344" w:type="pct"/>
                  <w:vMerge w:val="continue"/>
                  <w:tcBorders>
                    <w:left w:val="single" w:color="auto" w:sz="4" w:space="0"/>
                    <w:right w:val="single" w:color="auto" w:sz="4" w:space="0"/>
                  </w:tcBorders>
                  <w:tcMar>
                    <w:top w:w="28" w:type="dxa"/>
                    <w:left w:w="28" w:type="dxa"/>
                    <w:bottom w:w="28" w:type="dxa"/>
                    <w:right w:w="28" w:type="dxa"/>
                  </w:tcMar>
                  <w:vAlign w:val="center"/>
                </w:tcPr>
                <w:p w14:paraId="31D54167">
                  <w:pPr>
                    <w:keepNext w:val="0"/>
                    <w:keepLines w:val="0"/>
                    <w:suppressLineNumbers w:val="0"/>
                    <w:spacing w:before="0" w:beforeAutospacing="0" w:after="0" w:afterAutospacing="0" w:line="276" w:lineRule="auto"/>
                    <w:ind w:left="0" w:right="0"/>
                    <w:jc w:val="left"/>
                    <w:rPr>
                      <w:rFonts w:hint="eastAsia" w:ascii="Times New Roman" w:hAnsi="Times New Roman" w:eastAsia="宋体" w:cs="Times New Roman"/>
                      <w:color w:val="auto"/>
                      <w:sz w:val="21"/>
                      <w:szCs w:val="21"/>
                      <w:highlight w:val="none"/>
                      <w:lang w:val="en-US" w:eastAsia="zh-CN"/>
                    </w:rPr>
                  </w:pPr>
                </w:p>
              </w:tc>
              <w:tc>
                <w:tcPr>
                  <w:tcW w:w="584" w:type="pct"/>
                  <w:tcBorders>
                    <w:left w:val="single" w:color="auto" w:sz="4" w:space="0"/>
                    <w:right w:val="single" w:color="auto" w:sz="4" w:space="0"/>
                  </w:tcBorders>
                  <w:tcMar>
                    <w:top w:w="28" w:type="dxa"/>
                    <w:left w:w="28" w:type="dxa"/>
                    <w:bottom w:w="28" w:type="dxa"/>
                    <w:right w:w="28" w:type="dxa"/>
                  </w:tcMar>
                  <w:vAlign w:val="center"/>
                </w:tcPr>
                <w:p w14:paraId="7ECE3532">
                  <w:pPr>
                    <w:keepNext w:val="0"/>
                    <w:keepLines w:val="0"/>
                    <w:suppressLineNumbers w:val="0"/>
                    <w:spacing w:before="0" w:beforeAutospacing="0" w:after="0" w:afterAutospacing="0" w:line="276" w:lineRule="auto"/>
                    <w:ind w:left="0" w:right="0"/>
                    <w:jc w:val="center"/>
                    <w:rPr>
                      <w:rFonts w:hint="eastAsia" w:ascii="Times New Roman" w:hAnsi="Times New Roman" w:eastAsia="宋体" w:cs="Times New Roman"/>
                      <w:color w:val="auto"/>
                      <w:sz w:val="21"/>
                      <w:szCs w:val="21"/>
                      <w:highlight w:val="none"/>
                      <w:lang w:val="en-US" w:eastAsia="zh-CN"/>
                    </w:rPr>
                  </w:pPr>
                  <w:r>
                    <w:rPr>
                      <w:rFonts w:hint="eastAsia" w:ascii="Times New Roman" w:hAnsi="Times New Roman" w:eastAsia="宋体" w:cs="Times New Roman"/>
                      <w:color w:val="auto"/>
                      <w:sz w:val="21"/>
                      <w:szCs w:val="21"/>
                      <w:highlight w:val="none"/>
                      <w:lang w:val="en-US" w:eastAsia="zh-CN"/>
                    </w:rPr>
                    <w:t>3F</w:t>
                  </w:r>
                </w:p>
              </w:tc>
              <w:tc>
                <w:tcPr>
                  <w:tcW w:w="3376" w:type="pct"/>
                  <w:gridSpan w:val="2"/>
                  <w:tcBorders>
                    <w:top w:val="single" w:color="auto" w:sz="4" w:space="0"/>
                    <w:left w:val="single" w:color="auto" w:sz="4" w:space="0"/>
                    <w:bottom w:val="single" w:color="auto" w:sz="4" w:space="0"/>
                    <w:right w:val="single" w:color="auto" w:sz="4" w:space="0"/>
                  </w:tcBorders>
                  <w:tcMar>
                    <w:top w:w="28" w:type="dxa"/>
                    <w:left w:w="28" w:type="dxa"/>
                    <w:bottom w:w="28" w:type="dxa"/>
                    <w:right w:w="28" w:type="dxa"/>
                  </w:tcMar>
                  <w:vAlign w:val="center"/>
                </w:tcPr>
                <w:p w14:paraId="0913D6F5">
                  <w:pPr>
                    <w:keepNext w:val="0"/>
                    <w:keepLines w:val="0"/>
                    <w:suppressLineNumbers w:val="0"/>
                    <w:spacing w:before="0" w:beforeAutospacing="0" w:after="0" w:afterAutospacing="0" w:line="276" w:lineRule="auto"/>
                    <w:ind w:left="0" w:right="0"/>
                    <w:jc w:val="left"/>
                    <w:rPr>
                      <w:rFonts w:hint="eastAsia" w:ascii="Times New Roman" w:hAnsi="Times New Roman" w:eastAsia="宋体" w:cs="Times New Roman"/>
                      <w:color w:val="auto"/>
                      <w:sz w:val="21"/>
                      <w:szCs w:val="21"/>
                      <w:highlight w:val="none"/>
                      <w:lang w:val="en-US" w:eastAsia="zh-CN"/>
                    </w:rPr>
                  </w:pPr>
                  <w:r>
                    <w:rPr>
                      <w:rFonts w:hint="eastAsia" w:ascii="Times New Roman" w:hAnsi="Times New Roman" w:eastAsia="宋体" w:cs="Times New Roman"/>
                      <w:color w:val="auto"/>
                      <w:sz w:val="21"/>
                      <w:szCs w:val="21"/>
                      <w:highlight w:val="none"/>
                      <w:lang w:val="en-US" w:eastAsia="zh-CN"/>
                    </w:rPr>
                    <w:t>3个储藏间（含1个废液间）</w:t>
                  </w:r>
                </w:p>
              </w:tc>
            </w:tr>
            <w:tr w14:paraId="2AECDA0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76" w:hRule="atLeast"/>
              </w:trPr>
              <w:tc>
                <w:tcPr>
                  <w:tcW w:w="353" w:type="pct"/>
                  <w:vMerge w:val="continue"/>
                  <w:tcBorders>
                    <w:left w:val="single" w:color="auto" w:sz="4" w:space="0"/>
                    <w:bottom w:val="single" w:color="auto" w:sz="4" w:space="0"/>
                    <w:right w:val="single" w:color="auto" w:sz="4" w:space="0"/>
                  </w:tcBorders>
                  <w:tcMar>
                    <w:top w:w="28" w:type="dxa"/>
                    <w:left w:w="28" w:type="dxa"/>
                    <w:bottom w:w="28" w:type="dxa"/>
                    <w:right w:w="28" w:type="dxa"/>
                  </w:tcMar>
                  <w:vAlign w:val="center"/>
                </w:tcPr>
                <w:p w14:paraId="0582215E">
                  <w:pPr>
                    <w:keepNext w:val="0"/>
                    <w:keepLines w:val="0"/>
                    <w:suppressLineNumbers w:val="0"/>
                    <w:spacing w:before="0" w:beforeAutospacing="0" w:after="0" w:afterAutospacing="0" w:line="276" w:lineRule="auto"/>
                    <w:ind w:left="0" w:right="0"/>
                    <w:jc w:val="left"/>
                    <w:rPr>
                      <w:rFonts w:hint="eastAsia" w:ascii="Times New Roman" w:hAnsi="Times New Roman" w:eastAsia="宋体" w:cs="Times New Roman"/>
                      <w:color w:val="FF0000"/>
                      <w:sz w:val="21"/>
                      <w:szCs w:val="21"/>
                      <w:highlight w:val="none"/>
                      <w:lang w:val="en-US" w:eastAsia="zh-CN"/>
                    </w:rPr>
                  </w:pPr>
                </w:p>
              </w:tc>
              <w:tc>
                <w:tcPr>
                  <w:tcW w:w="341" w:type="pct"/>
                  <w:vMerge w:val="continue"/>
                  <w:tcBorders>
                    <w:left w:val="single" w:color="auto" w:sz="4" w:space="0"/>
                    <w:bottom w:val="single" w:color="auto" w:sz="4" w:space="0"/>
                    <w:right w:val="single" w:color="auto" w:sz="4" w:space="0"/>
                  </w:tcBorders>
                  <w:tcMar>
                    <w:top w:w="28" w:type="dxa"/>
                    <w:left w:w="28" w:type="dxa"/>
                    <w:bottom w:w="28" w:type="dxa"/>
                    <w:right w:w="28" w:type="dxa"/>
                  </w:tcMar>
                  <w:vAlign w:val="center"/>
                </w:tcPr>
                <w:p w14:paraId="5A7DCE2D">
                  <w:pPr>
                    <w:keepNext w:val="0"/>
                    <w:keepLines w:val="0"/>
                    <w:suppressLineNumbers w:val="0"/>
                    <w:spacing w:before="0" w:beforeAutospacing="0" w:after="0" w:afterAutospacing="0" w:line="276" w:lineRule="auto"/>
                    <w:ind w:left="0" w:right="0"/>
                    <w:jc w:val="left"/>
                    <w:rPr>
                      <w:rFonts w:hint="eastAsia" w:ascii="Times New Roman" w:hAnsi="Times New Roman" w:eastAsia="宋体" w:cs="Times New Roman"/>
                      <w:color w:val="auto"/>
                      <w:sz w:val="21"/>
                      <w:szCs w:val="21"/>
                      <w:highlight w:val="none"/>
                      <w:lang w:val="en-US" w:eastAsia="zh-CN"/>
                    </w:rPr>
                  </w:pPr>
                </w:p>
              </w:tc>
              <w:tc>
                <w:tcPr>
                  <w:tcW w:w="344" w:type="pct"/>
                  <w:vMerge w:val="continue"/>
                  <w:tcBorders>
                    <w:left w:val="single" w:color="auto" w:sz="4" w:space="0"/>
                    <w:right w:val="single" w:color="auto" w:sz="4" w:space="0"/>
                  </w:tcBorders>
                  <w:tcMar>
                    <w:top w:w="28" w:type="dxa"/>
                    <w:left w:w="28" w:type="dxa"/>
                    <w:bottom w:w="28" w:type="dxa"/>
                    <w:right w:w="28" w:type="dxa"/>
                  </w:tcMar>
                  <w:vAlign w:val="center"/>
                </w:tcPr>
                <w:p w14:paraId="53EF14CC">
                  <w:pPr>
                    <w:keepNext w:val="0"/>
                    <w:keepLines w:val="0"/>
                    <w:suppressLineNumbers w:val="0"/>
                    <w:spacing w:before="0" w:beforeAutospacing="0" w:after="0" w:afterAutospacing="0" w:line="276" w:lineRule="auto"/>
                    <w:ind w:left="0" w:right="0"/>
                    <w:jc w:val="left"/>
                    <w:rPr>
                      <w:rFonts w:hint="eastAsia" w:ascii="Times New Roman" w:hAnsi="Times New Roman" w:eastAsia="宋体" w:cs="Times New Roman"/>
                      <w:color w:val="auto"/>
                      <w:sz w:val="21"/>
                      <w:szCs w:val="21"/>
                      <w:highlight w:val="none"/>
                      <w:lang w:val="en-US" w:eastAsia="zh-CN"/>
                    </w:rPr>
                  </w:pPr>
                </w:p>
              </w:tc>
              <w:tc>
                <w:tcPr>
                  <w:tcW w:w="584" w:type="pct"/>
                  <w:tcBorders>
                    <w:left w:val="single" w:color="auto" w:sz="4" w:space="0"/>
                    <w:right w:val="single" w:color="auto" w:sz="4" w:space="0"/>
                  </w:tcBorders>
                  <w:tcMar>
                    <w:top w:w="28" w:type="dxa"/>
                    <w:left w:w="28" w:type="dxa"/>
                    <w:bottom w:w="28" w:type="dxa"/>
                    <w:right w:w="28" w:type="dxa"/>
                  </w:tcMar>
                  <w:vAlign w:val="center"/>
                </w:tcPr>
                <w:p w14:paraId="5A9308E0">
                  <w:pPr>
                    <w:keepNext w:val="0"/>
                    <w:keepLines w:val="0"/>
                    <w:suppressLineNumbers w:val="0"/>
                    <w:spacing w:before="0" w:beforeAutospacing="0" w:after="0" w:afterAutospacing="0" w:line="276" w:lineRule="auto"/>
                    <w:ind w:left="0" w:right="0"/>
                    <w:jc w:val="center"/>
                    <w:rPr>
                      <w:rFonts w:hint="default" w:ascii="Times New Roman" w:hAnsi="Times New Roman" w:eastAsia="宋体" w:cs="Times New Roman"/>
                      <w:color w:val="auto"/>
                      <w:sz w:val="21"/>
                      <w:szCs w:val="21"/>
                      <w:highlight w:val="none"/>
                      <w:lang w:val="en-US" w:eastAsia="zh-CN"/>
                    </w:rPr>
                  </w:pPr>
                  <w:r>
                    <w:rPr>
                      <w:rFonts w:hint="eastAsia" w:ascii="Times New Roman" w:hAnsi="Times New Roman" w:eastAsia="宋体" w:cs="Times New Roman"/>
                      <w:color w:val="auto"/>
                      <w:sz w:val="21"/>
                      <w:szCs w:val="21"/>
                      <w:highlight w:val="none"/>
                      <w:lang w:val="en-US" w:eastAsia="zh-CN"/>
                    </w:rPr>
                    <w:t>4F</w:t>
                  </w:r>
                </w:p>
              </w:tc>
              <w:tc>
                <w:tcPr>
                  <w:tcW w:w="3376" w:type="pct"/>
                  <w:gridSpan w:val="2"/>
                  <w:tcBorders>
                    <w:top w:val="single" w:color="auto" w:sz="4" w:space="0"/>
                    <w:left w:val="single" w:color="auto" w:sz="4" w:space="0"/>
                    <w:bottom w:val="single" w:color="auto" w:sz="4" w:space="0"/>
                    <w:right w:val="single" w:color="auto" w:sz="4" w:space="0"/>
                  </w:tcBorders>
                  <w:tcMar>
                    <w:top w:w="28" w:type="dxa"/>
                    <w:left w:w="28" w:type="dxa"/>
                    <w:bottom w:w="28" w:type="dxa"/>
                    <w:right w:w="28" w:type="dxa"/>
                  </w:tcMar>
                  <w:vAlign w:val="center"/>
                </w:tcPr>
                <w:p w14:paraId="664751ED">
                  <w:pPr>
                    <w:keepNext w:val="0"/>
                    <w:keepLines w:val="0"/>
                    <w:suppressLineNumbers w:val="0"/>
                    <w:spacing w:before="0" w:beforeAutospacing="0" w:after="0" w:afterAutospacing="0" w:line="276" w:lineRule="auto"/>
                    <w:ind w:left="0" w:right="0"/>
                    <w:jc w:val="left"/>
                    <w:rPr>
                      <w:rFonts w:hint="eastAsia" w:ascii="Times New Roman" w:hAnsi="Times New Roman" w:eastAsia="宋体" w:cs="Times New Roman"/>
                      <w:color w:val="auto"/>
                      <w:sz w:val="21"/>
                      <w:szCs w:val="21"/>
                      <w:highlight w:val="none"/>
                      <w:lang w:val="en-US" w:eastAsia="zh-CN"/>
                    </w:rPr>
                  </w:pPr>
                  <w:r>
                    <w:rPr>
                      <w:rFonts w:hint="eastAsia" w:ascii="Times New Roman" w:hAnsi="Times New Roman" w:eastAsia="宋体" w:cs="Times New Roman"/>
                      <w:color w:val="auto"/>
                      <w:sz w:val="21"/>
                      <w:szCs w:val="21"/>
                      <w:highlight w:val="none"/>
                      <w:lang w:val="en-US" w:eastAsia="zh-CN"/>
                    </w:rPr>
                    <w:t>4个储藏间（含1个废液间、2个备用储藏间）</w:t>
                  </w:r>
                </w:p>
              </w:tc>
            </w:tr>
            <w:tr w14:paraId="073B312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76" w:hRule="atLeast"/>
              </w:trPr>
              <w:tc>
                <w:tcPr>
                  <w:tcW w:w="353" w:type="pct"/>
                  <w:vMerge w:val="continue"/>
                  <w:tcBorders>
                    <w:left w:val="single" w:color="auto" w:sz="4" w:space="0"/>
                    <w:bottom w:val="single" w:color="auto" w:sz="4" w:space="0"/>
                    <w:right w:val="single" w:color="auto" w:sz="4" w:space="0"/>
                  </w:tcBorders>
                  <w:tcMar>
                    <w:top w:w="28" w:type="dxa"/>
                    <w:left w:w="28" w:type="dxa"/>
                    <w:bottom w:w="28" w:type="dxa"/>
                    <w:right w:w="28" w:type="dxa"/>
                  </w:tcMar>
                  <w:vAlign w:val="center"/>
                </w:tcPr>
                <w:p w14:paraId="686B0427">
                  <w:pPr>
                    <w:keepNext w:val="0"/>
                    <w:keepLines w:val="0"/>
                    <w:suppressLineNumbers w:val="0"/>
                    <w:spacing w:before="0" w:beforeAutospacing="0" w:after="0" w:afterAutospacing="0" w:line="276" w:lineRule="auto"/>
                    <w:ind w:left="0" w:right="0"/>
                    <w:jc w:val="left"/>
                    <w:rPr>
                      <w:rFonts w:hint="eastAsia" w:ascii="Times New Roman" w:hAnsi="Times New Roman" w:eastAsia="宋体" w:cs="Times New Roman"/>
                      <w:color w:val="FF0000"/>
                      <w:sz w:val="21"/>
                      <w:szCs w:val="21"/>
                      <w:highlight w:val="none"/>
                      <w:lang w:val="en-US" w:eastAsia="zh-CN"/>
                    </w:rPr>
                  </w:pPr>
                </w:p>
              </w:tc>
              <w:tc>
                <w:tcPr>
                  <w:tcW w:w="341" w:type="pct"/>
                  <w:vMerge w:val="continue"/>
                  <w:tcBorders>
                    <w:left w:val="single" w:color="auto" w:sz="4" w:space="0"/>
                    <w:bottom w:val="single" w:color="auto" w:sz="4" w:space="0"/>
                    <w:right w:val="single" w:color="auto" w:sz="4" w:space="0"/>
                  </w:tcBorders>
                  <w:tcMar>
                    <w:top w:w="28" w:type="dxa"/>
                    <w:left w:w="28" w:type="dxa"/>
                    <w:bottom w:w="28" w:type="dxa"/>
                    <w:right w:w="28" w:type="dxa"/>
                  </w:tcMar>
                  <w:vAlign w:val="center"/>
                </w:tcPr>
                <w:p w14:paraId="506C629B">
                  <w:pPr>
                    <w:keepNext w:val="0"/>
                    <w:keepLines w:val="0"/>
                    <w:suppressLineNumbers w:val="0"/>
                    <w:spacing w:before="0" w:beforeAutospacing="0" w:after="0" w:afterAutospacing="0" w:line="276" w:lineRule="auto"/>
                    <w:ind w:left="0" w:right="0"/>
                    <w:jc w:val="left"/>
                    <w:rPr>
                      <w:rFonts w:hint="eastAsia" w:ascii="Times New Roman" w:hAnsi="Times New Roman" w:eastAsia="宋体" w:cs="Times New Roman"/>
                      <w:color w:val="auto"/>
                      <w:sz w:val="21"/>
                      <w:szCs w:val="21"/>
                      <w:highlight w:val="none"/>
                      <w:lang w:val="en-US" w:eastAsia="zh-CN"/>
                    </w:rPr>
                  </w:pPr>
                </w:p>
              </w:tc>
              <w:tc>
                <w:tcPr>
                  <w:tcW w:w="344" w:type="pct"/>
                  <w:vMerge w:val="continue"/>
                  <w:tcBorders>
                    <w:left w:val="single" w:color="auto" w:sz="4" w:space="0"/>
                    <w:right w:val="single" w:color="auto" w:sz="4" w:space="0"/>
                  </w:tcBorders>
                  <w:tcMar>
                    <w:top w:w="28" w:type="dxa"/>
                    <w:left w:w="28" w:type="dxa"/>
                    <w:bottom w:w="28" w:type="dxa"/>
                    <w:right w:w="28" w:type="dxa"/>
                  </w:tcMar>
                  <w:vAlign w:val="center"/>
                </w:tcPr>
                <w:p w14:paraId="4A180727">
                  <w:pPr>
                    <w:keepNext w:val="0"/>
                    <w:keepLines w:val="0"/>
                    <w:suppressLineNumbers w:val="0"/>
                    <w:spacing w:before="0" w:beforeAutospacing="0" w:after="0" w:afterAutospacing="0" w:line="276" w:lineRule="auto"/>
                    <w:ind w:left="0" w:right="0"/>
                    <w:jc w:val="left"/>
                    <w:rPr>
                      <w:rFonts w:hint="eastAsia" w:ascii="Times New Roman" w:hAnsi="Times New Roman" w:eastAsia="宋体" w:cs="Times New Roman"/>
                      <w:color w:val="auto"/>
                      <w:sz w:val="21"/>
                      <w:szCs w:val="21"/>
                      <w:highlight w:val="none"/>
                      <w:lang w:val="en-US" w:eastAsia="zh-CN"/>
                    </w:rPr>
                  </w:pPr>
                </w:p>
              </w:tc>
              <w:tc>
                <w:tcPr>
                  <w:tcW w:w="584" w:type="pct"/>
                  <w:tcBorders>
                    <w:left w:val="single" w:color="auto" w:sz="4" w:space="0"/>
                    <w:right w:val="single" w:color="auto" w:sz="4" w:space="0"/>
                  </w:tcBorders>
                  <w:tcMar>
                    <w:top w:w="28" w:type="dxa"/>
                    <w:left w:w="28" w:type="dxa"/>
                    <w:bottom w:w="28" w:type="dxa"/>
                    <w:right w:w="28" w:type="dxa"/>
                  </w:tcMar>
                  <w:vAlign w:val="center"/>
                </w:tcPr>
                <w:p w14:paraId="23BA2612">
                  <w:pPr>
                    <w:keepNext w:val="0"/>
                    <w:keepLines w:val="0"/>
                    <w:suppressLineNumbers w:val="0"/>
                    <w:spacing w:before="0" w:beforeAutospacing="0" w:after="0" w:afterAutospacing="0" w:line="276" w:lineRule="auto"/>
                    <w:ind w:left="0" w:right="0"/>
                    <w:jc w:val="center"/>
                    <w:rPr>
                      <w:rFonts w:hint="default" w:ascii="Times New Roman" w:hAnsi="Times New Roman" w:eastAsia="宋体" w:cs="Times New Roman"/>
                      <w:color w:val="auto"/>
                      <w:sz w:val="21"/>
                      <w:szCs w:val="21"/>
                      <w:highlight w:val="none"/>
                      <w:lang w:val="en-US" w:eastAsia="zh-CN"/>
                    </w:rPr>
                  </w:pPr>
                  <w:r>
                    <w:rPr>
                      <w:rFonts w:hint="eastAsia" w:ascii="Times New Roman" w:hAnsi="Times New Roman" w:eastAsia="宋体" w:cs="Times New Roman"/>
                      <w:color w:val="auto"/>
                      <w:sz w:val="21"/>
                      <w:szCs w:val="21"/>
                      <w:highlight w:val="none"/>
                      <w:lang w:val="en-US" w:eastAsia="zh-CN"/>
                    </w:rPr>
                    <w:t>5F</w:t>
                  </w:r>
                </w:p>
              </w:tc>
              <w:tc>
                <w:tcPr>
                  <w:tcW w:w="3376" w:type="pct"/>
                  <w:gridSpan w:val="2"/>
                  <w:tcBorders>
                    <w:top w:val="single" w:color="auto" w:sz="4" w:space="0"/>
                    <w:left w:val="single" w:color="auto" w:sz="4" w:space="0"/>
                    <w:bottom w:val="single" w:color="auto" w:sz="4" w:space="0"/>
                    <w:right w:val="single" w:color="auto" w:sz="4" w:space="0"/>
                  </w:tcBorders>
                  <w:tcMar>
                    <w:top w:w="28" w:type="dxa"/>
                    <w:left w:w="28" w:type="dxa"/>
                    <w:bottom w:w="28" w:type="dxa"/>
                    <w:right w:w="28" w:type="dxa"/>
                  </w:tcMar>
                  <w:vAlign w:val="center"/>
                </w:tcPr>
                <w:p w14:paraId="65A06A5A">
                  <w:pPr>
                    <w:keepNext w:val="0"/>
                    <w:keepLines w:val="0"/>
                    <w:suppressLineNumbers w:val="0"/>
                    <w:spacing w:before="0" w:beforeAutospacing="0" w:after="0" w:afterAutospacing="0" w:line="276" w:lineRule="auto"/>
                    <w:ind w:left="0" w:right="0"/>
                    <w:jc w:val="left"/>
                    <w:rPr>
                      <w:rFonts w:hint="eastAsia" w:ascii="Times New Roman" w:hAnsi="Times New Roman" w:eastAsia="宋体" w:cs="Times New Roman"/>
                      <w:color w:val="auto"/>
                      <w:sz w:val="21"/>
                      <w:szCs w:val="21"/>
                      <w:highlight w:val="none"/>
                      <w:lang w:val="en-US" w:eastAsia="zh-CN"/>
                    </w:rPr>
                  </w:pPr>
                  <w:r>
                    <w:rPr>
                      <w:rFonts w:hint="eastAsia" w:ascii="Times New Roman" w:hAnsi="Times New Roman" w:eastAsia="宋体" w:cs="Times New Roman"/>
                      <w:color w:val="auto"/>
                      <w:sz w:val="21"/>
                      <w:szCs w:val="21"/>
                      <w:highlight w:val="none"/>
                      <w:lang w:val="en-US" w:eastAsia="zh-CN"/>
                    </w:rPr>
                    <w:t>4个储藏间（含1个废液间、2个备用储藏间）</w:t>
                  </w:r>
                </w:p>
              </w:tc>
            </w:tr>
            <w:tr w14:paraId="735436C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76" w:hRule="atLeast"/>
              </w:trPr>
              <w:tc>
                <w:tcPr>
                  <w:tcW w:w="353" w:type="pct"/>
                  <w:vMerge w:val="continue"/>
                  <w:tcBorders>
                    <w:left w:val="single" w:color="auto" w:sz="4" w:space="0"/>
                    <w:bottom w:val="single" w:color="auto" w:sz="4" w:space="0"/>
                    <w:right w:val="single" w:color="auto" w:sz="4" w:space="0"/>
                  </w:tcBorders>
                  <w:tcMar>
                    <w:top w:w="28" w:type="dxa"/>
                    <w:left w:w="28" w:type="dxa"/>
                    <w:bottom w:w="28" w:type="dxa"/>
                    <w:right w:w="28" w:type="dxa"/>
                  </w:tcMar>
                  <w:vAlign w:val="center"/>
                </w:tcPr>
                <w:p w14:paraId="6B7B1E50">
                  <w:pPr>
                    <w:keepNext w:val="0"/>
                    <w:keepLines w:val="0"/>
                    <w:suppressLineNumbers w:val="0"/>
                    <w:spacing w:before="0" w:beforeAutospacing="0" w:after="0" w:afterAutospacing="0" w:line="276" w:lineRule="auto"/>
                    <w:ind w:left="0" w:right="0"/>
                    <w:jc w:val="left"/>
                    <w:rPr>
                      <w:rFonts w:hint="eastAsia" w:ascii="Times New Roman" w:hAnsi="Times New Roman" w:eastAsia="宋体" w:cs="Times New Roman"/>
                      <w:color w:val="FF0000"/>
                      <w:sz w:val="21"/>
                      <w:szCs w:val="21"/>
                      <w:highlight w:val="none"/>
                      <w:lang w:val="en-US" w:eastAsia="zh-CN"/>
                    </w:rPr>
                  </w:pPr>
                </w:p>
              </w:tc>
              <w:tc>
                <w:tcPr>
                  <w:tcW w:w="341" w:type="pct"/>
                  <w:vMerge w:val="continue"/>
                  <w:tcBorders>
                    <w:left w:val="single" w:color="auto" w:sz="4" w:space="0"/>
                    <w:bottom w:val="single" w:color="auto" w:sz="4" w:space="0"/>
                    <w:right w:val="single" w:color="auto" w:sz="4" w:space="0"/>
                  </w:tcBorders>
                  <w:tcMar>
                    <w:top w:w="28" w:type="dxa"/>
                    <w:left w:w="28" w:type="dxa"/>
                    <w:bottom w:w="28" w:type="dxa"/>
                    <w:right w:w="28" w:type="dxa"/>
                  </w:tcMar>
                  <w:vAlign w:val="center"/>
                </w:tcPr>
                <w:p w14:paraId="4F943EC1">
                  <w:pPr>
                    <w:keepNext w:val="0"/>
                    <w:keepLines w:val="0"/>
                    <w:suppressLineNumbers w:val="0"/>
                    <w:spacing w:before="0" w:beforeAutospacing="0" w:after="0" w:afterAutospacing="0" w:line="276" w:lineRule="auto"/>
                    <w:ind w:left="0" w:right="0"/>
                    <w:jc w:val="left"/>
                    <w:rPr>
                      <w:rFonts w:hint="eastAsia" w:ascii="Times New Roman" w:hAnsi="Times New Roman" w:eastAsia="宋体" w:cs="Times New Roman"/>
                      <w:color w:val="auto"/>
                      <w:sz w:val="21"/>
                      <w:szCs w:val="21"/>
                      <w:highlight w:val="none"/>
                      <w:lang w:val="en-US" w:eastAsia="zh-CN"/>
                    </w:rPr>
                  </w:pPr>
                </w:p>
              </w:tc>
              <w:tc>
                <w:tcPr>
                  <w:tcW w:w="344" w:type="pct"/>
                  <w:vMerge w:val="continue"/>
                  <w:tcBorders>
                    <w:left w:val="single" w:color="auto" w:sz="4" w:space="0"/>
                    <w:right w:val="single" w:color="auto" w:sz="4" w:space="0"/>
                  </w:tcBorders>
                  <w:tcMar>
                    <w:top w:w="28" w:type="dxa"/>
                    <w:left w:w="28" w:type="dxa"/>
                    <w:bottom w:w="28" w:type="dxa"/>
                    <w:right w:w="28" w:type="dxa"/>
                  </w:tcMar>
                  <w:vAlign w:val="center"/>
                </w:tcPr>
                <w:p w14:paraId="34137D83">
                  <w:pPr>
                    <w:keepNext w:val="0"/>
                    <w:keepLines w:val="0"/>
                    <w:suppressLineNumbers w:val="0"/>
                    <w:spacing w:before="0" w:beforeAutospacing="0" w:after="0" w:afterAutospacing="0" w:line="276" w:lineRule="auto"/>
                    <w:ind w:left="0" w:right="0"/>
                    <w:jc w:val="left"/>
                    <w:rPr>
                      <w:rFonts w:hint="eastAsia" w:ascii="Times New Roman" w:hAnsi="Times New Roman" w:eastAsia="宋体" w:cs="Times New Roman"/>
                      <w:color w:val="auto"/>
                      <w:sz w:val="21"/>
                      <w:szCs w:val="21"/>
                      <w:highlight w:val="none"/>
                      <w:lang w:val="en-US" w:eastAsia="zh-CN"/>
                    </w:rPr>
                  </w:pPr>
                </w:p>
              </w:tc>
              <w:tc>
                <w:tcPr>
                  <w:tcW w:w="584" w:type="pct"/>
                  <w:tcBorders>
                    <w:left w:val="single" w:color="auto" w:sz="4" w:space="0"/>
                    <w:right w:val="single" w:color="auto" w:sz="4" w:space="0"/>
                  </w:tcBorders>
                  <w:tcMar>
                    <w:top w:w="28" w:type="dxa"/>
                    <w:left w:w="28" w:type="dxa"/>
                    <w:bottom w:w="28" w:type="dxa"/>
                    <w:right w:w="28" w:type="dxa"/>
                  </w:tcMar>
                  <w:vAlign w:val="center"/>
                </w:tcPr>
                <w:p w14:paraId="737E7E0D">
                  <w:pPr>
                    <w:keepNext w:val="0"/>
                    <w:keepLines w:val="0"/>
                    <w:suppressLineNumbers w:val="0"/>
                    <w:spacing w:before="0" w:beforeAutospacing="0" w:after="0" w:afterAutospacing="0" w:line="276" w:lineRule="auto"/>
                    <w:ind w:left="0" w:right="0"/>
                    <w:jc w:val="center"/>
                    <w:rPr>
                      <w:rFonts w:hint="default" w:ascii="Times New Roman" w:hAnsi="Times New Roman" w:eastAsia="宋体" w:cs="Times New Roman"/>
                      <w:color w:val="auto"/>
                      <w:sz w:val="21"/>
                      <w:szCs w:val="21"/>
                      <w:highlight w:val="none"/>
                      <w:lang w:val="en-US" w:eastAsia="zh-CN"/>
                    </w:rPr>
                  </w:pPr>
                  <w:r>
                    <w:rPr>
                      <w:rFonts w:hint="eastAsia" w:ascii="Times New Roman" w:hAnsi="Times New Roman" w:eastAsia="宋体" w:cs="Times New Roman"/>
                      <w:color w:val="auto"/>
                      <w:sz w:val="21"/>
                      <w:szCs w:val="21"/>
                      <w:highlight w:val="none"/>
                      <w:lang w:val="en-US" w:eastAsia="zh-CN"/>
                    </w:rPr>
                    <w:t>6F</w:t>
                  </w:r>
                </w:p>
              </w:tc>
              <w:tc>
                <w:tcPr>
                  <w:tcW w:w="3376" w:type="pct"/>
                  <w:gridSpan w:val="2"/>
                  <w:tcBorders>
                    <w:top w:val="single" w:color="auto" w:sz="4" w:space="0"/>
                    <w:left w:val="single" w:color="auto" w:sz="4" w:space="0"/>
                    <w:bottom w:val="single" w:color="auto" w:sz="4" w:space="0"/>
                    <w:right w:val="single" w:color="auto" w:sz="4" w:space="0"/>
                  </w:tcBorders>
                  <w:tcMar>
                    <w:top w:w="28" w:type="dxa"/>
                    <w:left w:w="28" w:type="dxa"/>
                    <w:bottom w:w="28" w:type="dxa"/>
                    <w:right w:w="28" w:type="dxa"/>
                  </w:tcMar>
                  <w:vAlign w:val="center"/>
                </w:tcPr>
                <w:p w14:paraId="516A4357">
                  <w:pPr>
                    <w:keepNext w:val="0"/>
                    <w:keepLines w:val="0"/>
                    <w:suppressLineNumbers w:val="0"/>
                    <w:spacing w:before="0" w:beforeAutospacing="0" w:after="0" w:afterAutospacing="0" w:line="276" w:lineRule="auto"/>
                    <w:ind w:left="0" w:right="0"/>
                    <w:jc w:val="left"/>
                    <w:rPr>
                      <w:rFonts w:hint="eastAsia" w:ascii="Times New Roman" w:hAnsi="Times New Roman" w:eastAsia="宋体" w:cs="Times New Roman"/>
                      <w:color w:val="auto"/>
                      <w:sz w:val="21"/>
                      <w:szCs w:val="21"/>
                      <w:highlight w:val="none"/>
                      <w:lang w:val="en-US" w:eastAsia="zh-CN"/>
                    </w:rPr>
                  </w:pPr>
                  <w:r>
                    <w:rPr>
                      <w:rFonts w:hint="eastAsia" w:ascii="Times New Roman" w:hAnsi="Times New Roman" w:eastAsia="宋体" w:cs="Times New Roman"/>
                      <w:color w:val="auto"/>
                      <w:sz w:val="21"/>
                      <w:szCs w:val="21"/>
                      <w:highlight w:val="none"/>
                      <w:lang w:val="en-US" w:eastAsia="zh-CN"/>
                    </w:rPr>
                    <w:t>3个储藏间（含1个废液间、1个试剂间）</w:t>
                  </w:r>
                </w:p>
              </w:tc>
            </w:tr>
            <w:tr w14:paraId="7F91C72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76" w:hRule="atLeast"/>
              </w:trPr>
              <w:tc>
                <w:tcPr>
                  <w:tcW w:w="353" w:type="pct"/>
                  <w:vMerge w:val="continue"/>
                  <w:tcBorders>
                    <w:left w:val="single" w:color="auto" w:sz="4" w:space="0"/>
                    <w:bottom w:val="single" w:color="auto" w:sz="4" w:space="0"/>
                    <w:right w:val="single" w:color="auto" w:sz="4" w:space="0"/>
                  </w:tcBorders>
                  <w:tcMar>
                    <w:top w:w="28" w:type="dxa"/>
                    <w:left w:w="28" w:type="dxa"/>
                    <w:bottom w:w="28" w:type="dxa"/>
                    <w:right w:w="28" w:type="dxa"/>
                  </w:tcMar>
                  <w:vAlign w:val="center"/>
                </w:tcPr>
                <w:p w14:paraId="6871B8BA">
                  <w:pPr>
                    <w:keepNext w:val="0"/>
                    <w:keepLines w:val="0"/>
                    <w:suppressLineNumbers w:val="0"/>
                    <w:spacing w:before="0" w:beforeAutospacing="0" w:after="0" w:afterAutospacing="0" w:line="276" w:lineRule="auto"/>
                    <w:ind w:left="0" w:right="0"/>
                    <w:jc w:val="left"/>
                    <w:rPr>
                      <w:rFonts w:hint="eastAsia" w:ascii="Times New Roman" w:hAnsi="Times New Roman" w:eastAsia="宋体" w:cs="Times New Roman"/>
                      <w:color w:val="FF0000"/>
                      <w:sz w:val="21"/>
                      <w:szCs w:val="21"/>
                      <w:highlight w:val="none"/>
                      <w:lang w:val="en-US" w:eastAsia="zh-CN"/>
                    </w:rPr>
                  </w:pPr>
                </w:p>
              </w:tc>
              <w:tc>
                <w:tcPr>
                  <w:tcW w:w="341" w:type="pct"/>
                  <w:vMerge w:val="continue"/>
                  <w:tcBorders>
                    <w:left w:val="single" w:color="auto" w:sz="4" w:space="0"/>
                    <w:bottom w:val="single" w:color="auto" w:sz="4" w:space="0"/>
                    <w:right w:val="single" w:color="auto" w:sz="4" w:space="0"/>
                  </w:tcBorders>
                  <w:tcMar>
                    <w:top w:w="28" w:type="dxa"/>
                    <w:left w:w="28" w:type="dxa"/>
                    <w:bottom w:w="28" w:type="dxa"/>
                    <w:right w:w="28" w:type="dxa"/>
                  </w:tcMar>
                  <w:vAlign w:val="center"/>
                </w:tcPr>
                <w:p w14:paraId="05A50FC9">
                  <w:pPr>
                    <w:keepNext w:val="0"/>
                    <w:keepLines w:val="0"/>
                    <w:suppressLineNumbers w:val="0"/>
                    <w:spacing w:before="0" w:beforeAutospacing="0" w:after="0" w:afterAutospacing="0" w:line="276" w:lineRule="auto"/>
                    <w:ind w:left="0" w:right="0"/>
                    <w:jc w:val="left"/>
                    <w:rPr>
                      <w:rFonts w:hint="eastAsia" w:ascii="Times New Roman" w:hAnsi="Times New Roman" w:eastAsia="宋体" w:cs="Times New Roman"/>
                      <w:color w:val="auto"/>
                      <w:sz w:val="21"/>
                      <w:szCs w:val="21"/>
                      <w:highlight w:val="none"/>
                      <w:lang w:val="en-US" w:eastAsia="zh-CN"/>
                    </w:rPr>
                  </w:pPr>
                </w:p>
              </w:tc>
              <w:tc>
                <w:tcPr>
                  <w:tcW w:w="344" w:type="pct"/>
                  <w:vMerge w:val="continue"/>
                  <w:tcBorders>
                    <w:left w:val="single" w:color="auto" w:sz="4" w:space="0"/>
                    <w:bottom w:val="single" w:color="auto" w:sz="4" w:space="0"/>
                    <w:right w:val="single" w:color="auto" w:sz="4" w:space="0"/>
                  </w:tcBorders>
                  <w:tcMar>
                    <w:top w:w="28" w:type="dxa"/>
                    <w:left w:w="28" w:type="dxa"/>
                    <w:bottom w:w="28" w:type="dxa"/>
                    <w:right w:w="28" w:type="dxa"/>
                  </w:tcMar>
                  <w:vAlign w:val="center"/>
                </w:tcPr>
                <w:p w14:paraId="598BBC02">
                  <w:pPr>
                    <w:keepNext w:val="0"/>
                    <w:keepLines w:val="0"/>
                    <w:suppressLineNumbers w:val="0"/>
                    <w:spacing w:before="0" w:beforeAutospacing="0" w:after="0" w:afterAutospacing="0" w:line="276" w:lineRule="auto"/>
                    <w:ind w:left="0" w:right="0"/>
                    <w:jc w:val="left"/>
                    <w:rPr>
                      <w:rFonts w:hint="eastAsia" w:ascii="Times New Roman" w:hAnsi="Times New Roman" w:eastAsia="宋体" w:cs="Times New Roman"/>
                      <w:color w:val="auto"/>
                      <w:sz w:val="21"/>
                      <w:szCs w:val="21"/>
                      <w:highlight w:val="none"/>
                      <w:lang w:val="en-US" w:eastAsia="zh-CN"/>
                    </w:rPr>
                  </w:pPr>
                </w:p>
              </w:tc>
              <w:tc>
                <w:tcPr>
                  <w:tcW w:w="584" w:type="pct"/>
                  <w:tcBorders>
                    <w:left w:val="single" w:color="auto" w:sz="4" w:space="0"/>
                    <w:bottom w:val="single" w:color="auto" w:sz="4" w:space="0"/>
                    <w:right w:val="single" w:color="auto" w:sz="4" w:space="0"/>
                  </w:tcBorders>
                  <w:tcMar>
                    <w:top w:w="28" w:type="dxa"/>
                    <w:left w:w="28" w:type="dxa"/>
                    <w:bottom w:w="28" w:type="dxa"/>
                    <w:right w:w="28" w:type="dxa"/>
                  </w:tcMar>
                  <w:vAlign w:val="center"/>
                </w:tcPr>
                <w:p w14:paraId="6B4C2148">
                  <w:pPr>
                    <w:keepNext w:val="0"/>
                    <w:keepLines w:val="0"/>
                    <w:suppressLineNumbers w:val="0"/>
                    <w:spacing w:before="0" w:beforeAutospacing="0" w:after="0" w:afterAutospacing="0" w:line="276" w:lineRule="auto"/>
                    <w:ind w:left="0" w:right="0"/>
                    <w:jc w:val="center"/>
                    <w:rPr>
                      <w:rFonts w:hint="default" w:ascii="Times New Roman" w:hAnsi="Times New Roman" w:eastAsia="宋体" w:cs="Times New Roman"/>
                      <w:color w:val="auto"/>
                      <w:sz w:val="21"/>
                      <w:szCs w:val="21"/>
                      <w:highlight w:val="none"/>
                      <w:lang w:val="en-US" w:eastAsia="zh-CN"/>
                    </w:rPr>
                  </w:pPr>
                  <w:r>
                    <w:rPr>
                      <w:rFonts w:hint="eastAsia" w:ascii="Times New Roman" w:hAnsi="Times New Roman" w:eastAsia="宋体" w:cs="Times New Roman"/>
                      <w:color w:val="auto"/>
                      <w:sz w:val="21"/>
                      <w:szCs w:val="21"/>
                      <w:highlight w:val="none"/>
                      <w:lang w:val="en-US" w:eastAsia="zh-CN"/>
                    </w:rPr>
                    <w:t>7F</w:t>
                  </w:r>
                </w:p>
              </w:tc>
              <w:tc>
                <w:tcPr>
                  <w:tcW w:w="3376" w:type="pct"/>
                  <w:gridSpan w:val="2"/>
                  <w:tcBorders>
                    <w:top w:val="single" w:color="auto" w:sz="4" w:space="0"/>
                    <w:left w:val="single" w:color="auto" w:sz="4" w:space="0"/>
                    <w:bottom w:val="single" w:color="auto" w:sz="4" w:space="0"/>
                    <w:right w:val="single" w:color="auto" w:sz="4" w:space="0"/>
                  </w:tcBorders>
                  <w:tcMar>
                    <w:top w:w="28" w:type="dxa"/>
                    <w:left w:w="28" w:type="dxa"/>
                    <w:bottom w:w="28" w:type="dxa"/>
                    <w:right w:w="28" w:type="dxa"/>
                  </w:tcMar>
                  <w:vAlign w:val="center"/>
                </w:tcPr>
                <w:p w14:paraId="0E540E3B">
                  <w:pPr>
                    <w:keepNext w:val="0"/>
                    <w:keepLines w:val="0"/>
                    <w:suppressLineNumbers w:val="0"/>
                    <w:spacing w:before="0" w:beforeAutospacing="0" w:after="0" w:afterAutospacing="0" w:line="276" w:lineRule="auto"/>
                    <w:ind w:left="0" w:right="0"/>
                    <w:jc w:val="left"/>
                    <w:rPr>
                      <w:rFonts w:hint="eastAsia" w:ascii="Times New Roman" w:hAnsi="Times New Roman" w:eastAsia="宋体" w:cs="Times New Roman"/>
                      <w:color w:val="auto"/>
                      <w:sz w:val="21"/>
                      <w:szCs w:val="21"/>
                      <w:highlight w:val="none"/>
                      <w:lang w:val="en-US" w:eastAsia="zh-CN"/>
                    </w:rPr>
                  </w:pPr>
                  <w:r>
                    <w:rPr>
                      <w:rFonts w:hint="eastAsia" w:ascii="Times New Roman" w:hAnsi="Times New Roman" w:eastAsia="宋体" w:cs="Times New Roman"/>
                      <w:color w:val="auto"/>
                      <w:sz w:val="21"/>
                      <w:szCs w:val="21"/>
                      <w:highlight w:val="none"/>
                      <w:lang w:val="en-US" w:eastAsia="zh-CN"/>
                    </w:rPr>
                    <w:t>3个储藏间（含1个废液间、1个试剂间）</w:t>
                  </w:r>
                </w:p>
              </w:tc>
            </w:tr>
            <w:tr w14:paraId="26EDC08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90" w:hRule="atLeast"/>
              </w:trPr>
              <w:tc>
                <w:tcPr>
                  <w:tcW w:w="353" w:type="pct"/>
                  <w:vMerge w:val="restart"/>
                  <w:tcBorders>
                    <w:top w:val="single" w:color="auto" w:sz="4" w:space="0"/>
                    <w:left w:val="single" w:color="auto" w:sz="4" w:space="0"/>
                    <w:bottom w:val="single" w:color="auto" w:sz="4" w:space="0"/>
                    <w:right w:val="single" w:color="auto" w:sz="4" w:space="0"/>
                  </w:tcBorders>
                  <w:tcMar>
                    <w:top w:w="28" w:type="dxa"/>
                    <w:left w:w="28" w:type="dxa"/>
                    <w:bottom w:w="28" w:type="dxa"/>
                    <w:right w:w="28" w:type="dxa"/>
                  </w:tcMar>
                  <w:vAlign w:val="center"/>
                </w:tcPr>
                <w:p w14:paraId="12C953C0">
                  <w:pPr>
                    <w:keepNext w:val="0"/>
                    <w:keepLines w:val="0"/>
                    <w:suppressLineNumbers w:val="0"/>
                    <w:spacing w:before="0" w:beforeAutospacing="0" w:after="0" w:afterAutospacing="0" w:line="276" w:lineRule="auto"/>
                    <w:ind w:left="0" w:right="0"/>
                    <w:jc w:val="center"/>
                    <w:rPr>
                      <w:rFonts w:hint="default" w:ascii="Times New Roman" w:hAnsi="Times New Roman" w:eastAsia="宋体" w:cs="Times New Roman"/>
                      <w:sz w:val="21"/>
                      <w:szCs w:val="21"/>
                      <w:highlight w:val="none"/>
                    </w:rPr>
                  </w:pPr>
                  <w:r>
                    <w:rPr>
                      <w:rFonts w:hint="eastAsia" w:ascii="Times New Roman" w:hAnsi="Times New Roman" w:eastAsia="宋体" w:cs="Times New Roman"/>
                      <w:sz w:val="21"/>
                      <w:szCs w:val="21"/>
                      <w:highlight w:val="none"/>
                    </w:rPr>
                    <w:t>公用工程</w:t>
                  </w:r>
                </w:p>
              </w:tc>
              <w:tc>
                <w:tcPr>
                  <w:tcW w:w="341" w:type="pct"/>
                  <w:tcBorders>
                    <w:top w:val="single" w:color="auto" w:sz="4" w:space="0"/>
                    <w:left w:val="single" w:color="auto" w:sz="4" w:space="0"/>
                    <w:bottom w:val="single" w:color="auto" w:sz="4" w:space="0"/>
                    <w:right w:val="single" w:color="auto" w:sz="4" w:space="0"/>
                  </w:tcBorders>
                  <w:tcMar>
                    <w:top w:w="28" w:type="dxa"/>
                    <w:left w:w="28" w:type="dxa"/>
                    <w:bottom w:w="28" w:type="dxa"/>
                    <w:right w:w="28" w:type="dxa"/>
                  </w:tcMar>
                  <w:vAlign w:val="center"/>
                </w:tcPr>
                <w:p w14:paraId="7C3CCE08">
                  <w:pPr>
                    <w:keepNext w:val="0"/>
                    <w:keepLines w:val="0"/>
                    <w:suppressLineNumbers w:val="0"/>
                    <w:spacing w:before="0" w:beforeAutospacing="0" w:after="0" w:afterAutospacing="0" w:line="276" w:lineRule="auto"/>
                    <w:ind w:left="0" w:right="0"/>
                    <w:jc w:val="center"/>
                    <w:rPr>
                      <w:rFonts w:hint="default" w:ascii="Times New Roman" w:hAnsi="Times New Roman" w:eastAsia="宋体" w:cs="Times New Roman"/>
                      <w:sz w:val="21"/>
                      <w:szCs w:val="21"/>
                      <w:highlight w:val="none"/>
                    </w:rPr>
                  </w:pPr>
                  <w:r>
                    <w:rPr>
                      <w:rFonts w:hint="eastAsia" w:ascii="Times New Roman" w:hAnsi="Times New Roman" w:eastAsia="宋体" w:cs="Times New Roman"/>
                      <w:sz w:val="21"/>
                      <w:szCs w:val="21"/>
                      <w:highlight w:val="none"/>
                    </w:rPr>
                    <w:t>给水</w:t>
                  </w:r>
                </w:p>
              </w:tc>
              <w:tc>
                <w:tcPr>
                  <w:tcW w:w="4305" w:type="pct"/>
                  <w:gridSpan w:val="4"/>
                  <w:tcBorders>
                    <w:top w:val="single" w:color="auto" w:sz="4" w:space="0"/>
                    <w:left w:val="single" w:color="auto" w:sz="4" w:space="0"/>
                    <w:bottom w:val="single" w:color="auto" w:sz="4" w:space="0"/>
                    <w:right w:val="single" w:color="auto" w:sz="4" w:space="0"/>
                  </w:tcBorders>
                  <w:tcMar>
                    <w:top w:w="28" w:type="dxa"/>
                    <w:left w:w="28" w:type="dxa"/>
                    <w:bottom w:w="28" w:type="dxa"/>
                    <w:right w:w="28" w:type="dxa"/>
                  </w:tcMar>
                  <w:vAlign w:val="center"/>
                </w:tcPr>
                <w:p w14:paraId="4C6780D8">
                  <w:pPr>
                    <w:keepNext w:val="0"/>
                    <w:keepLines w:val="0"/>
                    <w:suppressLineNumbers w:val="0"/>
                    <w:spacing w:before="0" w:beforeAutospacing="0" w:after="0" w:afterAutospacing="0" w:line="276" w:lineRule="auto"/>
                    <w:ind w:left="0" w:right="0"/>
                    <w:jc w:val="left"/>
                    <w:rPr>
                      <w:rFonts w:hint="default" w:ascii="Times New Roman" w:hAnsi="Times New Roman" w:eastAsia="宋体" w:cs="Times New Roman"/>
                      <w:sz w:val="21"/>
                      <w:szCs w:val="21"/>
                      <w:highlight w:val="none"/>
                    </w:rPr>
                  </w:pPr>
                  <w:r>
                    <w:rPr>
                      <w:rFonts w:hint="eastAsia" w:ascii="Times New Roman" w:hAnsi="Times New Roman" w:eastAsia="宋体" w:cs="Times New Roman"/>
                      <w:sz w:val="21"/>
                      <w:szCs w:val="21"/>
                      <w:highlight w:val="none"/>
                    </w:rPr>
                    <w:t>由市政自来水公司供水。</w:t>
                  </w:r>
                </w:p>
              </w:tc>
            </w:tr>
            <w:tr w14:paraId="60F894B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Pr>
              <w:tc>
                <w:tcPr>
                  <w:tcW w:w="353" w:type="pct"/>
                  <w:vMerge w:val="continue"/>
                  <w:tcBorders>
                    <w:top w:val="single" w:color="auto" w:sz="4" w:space="0"/>
                    <w:left w:val="single" w:color="auto" w:sz="4" w:space="0"/>
                    <w:bottom w:val="single" w:color="auto" w:sz="4" w:space="0"/>
                    <w:right w:val="single" w:color="auto" w:sz="4" w:space="0"/>
                  </w:tcBorders>
                  <w:tcMar>
                    <w:top w:w="28" w:type="dxa"/>
                    <w:left w:w="28" w:type="dxa"/>
                    <w:bottom w:w="28" w:type="dxa"/>
                    <w:right w:w="28" w:type="dxa"/>
                  </w:tcMar>
                  <w:vAlign w:val="center"/>
                </w:tcPr>
                <w:p w14:paraId="4C9FE71F">
                  <w:pPr>
                    <w:keepNext w:val="0"/>
                    <w:keepLines w:val="0"/>
                    <w:suppressLineNumbers w:val="0"/>
                    <w:spacing w:before="0" w:beforeAutospacing="0" w:after="0" w:afterAutospacing="0" w:line="276" w:lineRule="auto"/>
                    <w:ind w:left="0" w:right="0"/>
                    <w:jc w:val="center"/>
                    <w:rPr>
                      <w:rFonts w:hint="default" w:ascii="Times New Roman" w:hAnsi="Times New Roman" w:eastAsia="宋体" w:cs="Times New Roman"/>
                      <w:sz w:val="21"/>
                      <w:szCs w:val="21"/>
                      <w:highlight w:val="none"/>
                    </w:rPr>
                  </w:pPr>
                </w:p>
              </w:tc>
              <w:tc>
                <w:tcPr>
                  <w:tcW w:w="341" w:type="pct"/>
                  <w:tcBorders>
                    <w:top w:val="single" w:color="auto" w:sz="4" w:space="0"/>
                    <w:left w:val="single" w:color="auto" w:sz="4" w:space="0"/>
                    <w:bottom w:val="single" w:color="auto" w:sz="4" w:space="0"/>
                    <w:right w:val="single" w:color="auto" w:sz="4" w:space="0"/>
                  </w:tcBorders>
                  <w:tcMar>
                    <w:top w:w="28" w:type="dxa"/>
                    <w:left w:w="28" w:type="dxa"/>
                    <w:bottom w:w="28" w:type="dxa"/>
                    <w:right w:w="28" w:type="dxa"/>
                  </w:tcMar>
                  <w:vAlign w:val="center"/>
                </w:tcPr>
                <w:p w14:paraId="1FE33782">
                  <w:pPr>
                    <w:keepNext w:val="0"/>
                    <w:keepLines w:val="0"/>
                    <w:suppressLineNumbers w:val="0"/>
                    <w:spacing w:before="0" w:beforeAutospacing="0" w:after="0" w:afterAutospacing="0" w:line="276" w:lineRule="auto"/>
                    <w:ind w:left="0" w:right="0"/>
                    <w:jc w:val="center"/>
                    <w:rPr>
                      <w:rFonts w:hint="default" w:ascii="Times New Roman" w:hAnsi="Times New Roman" w:eastAsia="宋体" w:cs="Times New Roman"/>
                      <w:sz w:val="21"/>
                      <w:szCs w:val="21"/>
                      <w:highlight w:val="none"/>
                    </w:rPr>
                  </w:pPr>
                  <w:r>
                    <w:rPr>
                      <w:rFonts w:hint="eastAsia" w:ascii="Times New Roman" w:hAnsi="Times New Roman" w:eastAsia="宋体" w:cs="Times New Roman"/>
                      <w:sz w:val="21"/>
                      <w:szCs w:val="21"/>
                      <w:highlight w:val="none"/>
                    </w:rPr>
                    <w:t>排水</w:t>
                  </w:r>
                </w:p>
              </w:tc>
              <w:tc>
                <w:tcPr>
                  <w:tcW w:w="4305" w:type="pct"/>
                  <w:gridSpan w:val="4"/>
                  <w:tcBorders>
                    <w:top w:val="single" w:color="auto" w:sz="4" w:space="0"/>
                    <w:left w:val="single" w:color="auto" w:sz="4" w:space="0"/>
                    <w:bottom w:val="single" w:color="auto" w:sz="4" w:space="0"/>
                    <w:right w:val="single" w:color="auto" w:sz="4" w:space="0"/>
                  </w:tcBorders>
                  <w:tcMar>
                    <w:top w:w="28" w:type="dxa"/>
                    <w:left w:w="28" w:type="dxa"/>
                    <w:bottom w:w="28" w:type="dxa"/>
                    <w:right w:w="28" w:type="dxa"/>
                  </w:tcMar>
                  <w:vAlign w:val="center"/>
                </w:tcPr>
                <w:p w14:paraId="3A8E25CC">
                  <w:pPr>
                    <w:keepNext w:val="0"/>
                    <w:keepLines w:val="0"/>
                    <w:suppressLineNumbers w:val="0"/>
                    <w:spacing w:before="0" w:beforeAutospacing="0" w:after="0" w:afterAutospacing="0" w:line="276" w:lineRule="auto"/>
                    <w:ind w:left="0" w:right="0"/>
                    <w:rPr>
                      <w:rFonts w:hint="eastAsia" w:ascii="Times New Roman" w:hAnsi="Times New Roman" w:eastAsia="宋体" w:cs="Times New Roman"/>
                      <w:sz w:val="21"/>
                      <w:szCs w:val="21"/>
                      <w:highlight w:val="none"/>
                      <w:lang w:eastAsia="zh-CN"/>
                    </w:rPr>
                  </w:pPr>
                  <w:r>
                    <w:rPr>
                      <w:rFonts w:hint="eastAsia" w:ascii="Times New Roman" w:hAnsi="Times New Roman" w:eastAsia="宋体" w:cs="Times New Roman"/>
                      <w:sz w:val="21"/>
                      <w:szCs w:val="21"/>
                      <w:highlight w:val="none"/>
                    </w:rPr>
                    <w:t>排水采用雨污分流制。项目外排废水主要为员工生活污水、饲养</w:t>
                  </w:r>
                  <w:r>
                    <w:rPr>
                      <w:rFonts w:hint="eastAsia" w:ascii="Times New Roman" w:hAnsi="Times New Roman" w:eastAsia="宋体" w:cs="Times New Roman"/>
                      <w:sz w:val="21"/>
                      <w:szCs w:val="21"/>
                      <w:highlight w:val="none"/>
                      <w:lang w:val="en-US" w:eastAsia="zh-CN"/>
                    </w:rPr>
                    <w:t>间</w:t>
                  </w:r>
                  <w:r>
                    <w:rPr>
                      <w:rFonts w:hint="eastAsia" w:ascii="Times New Roman" w:hAnsi="Times New Roman" w:eastAsia="宋体" w:cs="Times New Roman"/>
                      <w:sz w:val="21"/>
                      <w:szCs w:val="21"/>
                      <w:highlight w:val="none"/>
                    </w:rPr>
                    <w:t>清洗废水、</w:t>
                  </w:r>
                  <w:r>
                    <w:rPr>
                      <w:rFonts w:hint="eastAsia" w:ascii="Times New Roman" w:hAnsi="Times New Roman" w:eastAsia="宋体" w:cs="Times New Roman"/>
                      <w:sz w:val="21"/>
                      <w:szCs w:val="21"/>
                      <w:highlight w:val="none"/>
                      <w:lang w:val="en-US" w:eastAsia="zh-CN"/>
                    </w:rPr>
                    <w:t>洗笼及动物洗烘废水、实验室设备</w:t>
                  </w:r>
                  <w:r>
                    <w:rPr>
                      <w:rFonts w:hint="eastAsia" w:ascii="Times New Roman" w:hAnsi="Times New Roman" w:eastAsia="宋体" w:cs="Times New Roman"/>
                      <w:sz w:val="21"/>
                      <w:szCs w:val="21"/>
                      <w:highlight w:val="none"/>
                    </w:rPr>
                    <w:t>清洗废水、</w:t>
                  </w:r>
                  <w:r>
                    <w:rPr>
                      <w:rFonts w:hint="eastAsia" w:cs="Times New Roman"/>
                      <w:sz w:val="21"/>
                      <w:szCs w:val="21"/>
                      <w:highlight w:val="none"/>
                      <w:lang w:val="en-US" w:eastAsia="zh-CN"/>
                    </w:rPr>
                    <w:t>动物尿液、</w:t>
                  </w:r>
                  <w:r>
                    <w:rPr>
                      <w:rFonts w:hint="eastAsia" w:ascii="Times New Roman" w:hAnsi="Times New Roman" w:eastAsia="宋体" w:cs="Times New Roman"/>
                      <w:sz w:val="21"/>
                      <w:szCs w:val="21"/>
                      <w:highlight w:val="none"/>
                    </w:rPr>
                    <w:t>洗衣废水、</w:t>
                  </w:r>
                  <w:r>
                    <w:rPr>
                      <w:rFonts w:hint="eastAsia" w:ascii="Times New Roman" w:hAnsi="Times New Roman" w:eastAsia="宋体" w:cs="Times New Roman"/>
                      <w:sz w:val="21"/>
                      <w:szCs w:val="21"/>
                      <w:highlight w:val="none"/>
                      <w:lang w:val="en-US" w:eastAsia="zh-CN"/>
                    </w:rPr>
                    <w:t>废气</w:t>
                  </w:r>
                  <w:r>
                    <w:rPr>
                      <w:rFonts w:hint="eastAsia" w:ascii="Times New Roman" w:hAnsi="Times New Roman" w:eastAsia="宋体" w:cs="Times New Roman"/>
                      <w:sz w:val="21"/>
                      <w:szCs w:val="21"/>
                      <w:highlight w:val="none"/>
                    </w:rPr>
                    <w:t>喷淋废水、灭菌废水</w:t>
                  </w:r>
                  <w:r>
                    <w:rPr>
                      <w:rFonts w:hint="eastAsia" w:ascii="Times New Roman" w:hAnsi="Times New Roman" w:eastAsia="宋体" w:cs="Times New Roman"/>
                      <w:sz w:val="21"/>
                      <w:szCs w:val="21"/>
                      <w:highlight w:val="none"/>
                      <w:lang w:eastAsia="zh-CN"/>
                    </w:rPr>
                    <w:t>（</w:t>
                  </w:r>
                  <w:r>
                    <w:rPr>
                      <w:rFonts w:hint="eastAsia" w:ascii="Times New Roman" w:hAnsi="Times New Roman" w:eastAsia="宋体" w:cs="Times New Roman"/>
                      <w:sz w:val="21"/>
                      <w:szCs w:val="21"/>
                      <w:highlight w:val="none"/>
                      <w:lang w:val="en-US" w:eastAsia="zh-CN"/>
                    </w:rPr>
                    <w:t>包括一般实验室灭菌废水、P2实验室灭菌废水</w:t>
                  </w:r>
                  <w:r>
                    <w:rPr>
                      <w:rFonts w:hint="eastAsia" w:ascii="Times New Roman" w:hAnsi="Times New Roman" w:eastAsia="宋体" w:cs="Times New Roman"/>
                      <w:sz w:val="21"/>
                      <w:szCs w:val="21"/>
                      <w:highlight w:val="none"/>
                      <w:lang w:eastAsia="zh-CN"/>
                    </w:rPr>
                    <w:t>）</w:t>
                  </w:r>
                  <w:r>
                    <w:rPr>
                      <w:rFonts w:hint="eastAsia" w:ascii="Times New Roman" w:hAnsi="Times New Roman" w:eastAsia="宋体" w:cs="Times New Roman"/>
                      <w:sz w:val="21"/>
                      <w:szCs w:val="21"/>
                      <w:highlight w:val="none"/>
                    </w:rPr>
                    <w:t>、纯水</w:t>
                  </w:r>
                  <w:r>
                    <w:rPr>
                      <w:rFonts w:hint="eastAsia" w:ascii="Times New Roman" w:hAnsi="Times New Roman" w:eastAsia="宋体" w:cs="Times New Roman"/>
                      <w:sz w:val="21"/>
                      <w:szCs w:val="21"/>
                      <w:highlight w:val="none"/>
                      <w:lang w:val="en-US" w:eastAsia="zh-CN"/>
                    </w:rPr>
                    <w:t>/软水</w:t>
                  </w:r>
                  <w:r>
                    <w:rPr>
                      <w:rFonts w:hint="eastAsia" w:ascii="Times New Roman" w:hAnsi="Times New Roman" w:eastAsia="宋体" w:cs="Times New Roman"/>
                      <w:sz w:val="21"/>
                      <w:szCs w:val="21"/>
                      <w:highlight w:val="none"/>
                    </w:rPr>
                    <w:t>制备浓水</w:t>
                  </w:r>
                  <w:r>
                    <w:rPr>
                      <w:rFonts w:hint="eastAsia" w:ascii="Times New Roman" w:hAnsi="Times New Roman" w:eastAsia="宋体" w:cs="Times New Roman"/>
                      <w:sz w:val="21"/>
                      <w:szCs w:val="21"/>
                      <w:highlight w:val="none"/>
                      <w:lang w:eastAsia="zh-CN"/>
                    </w:rPr>
                    <w:t>、</w:t>
                  </w:r>
                  <w:r>
                    <w:rPr>
                      <w:rFonts w:hint="eastAsia" w:ascii="Times New Roman" w:hAnsi="Times New Roman" w:eastAsia="宋体" w:cs="Times New Roman"/>
                      <w:sz w:val="21"/>
                      <w:szCs w:val="21"/>
                      <w:highlight w:val="none"/>
                      <w:lang w:val="en-US" w:eastAsia="zh-CN"/>
                    </w:rPr>
                    <w:t>反冲洗废水</w:t>
                  </w:r>
                  <w:r>
                    <w:rPr>
                      <w:rFonts w:hint="eastAsia" w:ascii="Times New Roman" w:hAnsi="Times New Roman" w:eastAsia="宋体" w:cs="Times New Roman"/>
                      <w:sz w:val="21"/>
                      <w:szCs w:val="21"/>
                      <w:highlight w:val="none"/>
                      <w:lang w:eastAsia="zh-CN"/>
                    </w:rPr>
                    <w:t>、</w:t>
                  </w:r>
                  <w:r>
                    <w:rPr>
                      <w:rFonts w:hint="eastAsia" w:ascii="Times New Roman" w:hAnsi="Times New Roman" w:eastAsia="宋体" w:cs="Times New Roman"/>
                      <w:sz w:val="21"/>
                      <w:szCs w:val="21"/>
                      <w:highlight w:val="none"/>
                      <w:lang w:val="en-US" w:eastAsia="zh-CN"/>
                    </w:rPr>
                    <w:t>地面清洗废水。其中，</w:t>
                  </w:r>
                  <w:r>
                    <w:rPr>
                      <w:rFonts w:hint="eastAsia" w:ascii="Times New Roman" w:hAnsi="Times New Roman" w:eastAsia="宋体" w:cs="Times New Roman"/>
                      <w:sz w:val="21"/>
                      <w:szCs w:val="21"/>
                      <w:highlight w:val="none"/>
                    </w:rPr>
                    <w:t>生活污水经</w:t>
                  </w:r>
                  <w:r>
                    <w:rPr>
                      <w:rFonts w:hint="eastAsia" w:ascii="Times New Roman" w:hAnsi="Times New Roman" w:eastAsia="宋体" w:cs="Times New Roman"/>
                      <w:sz w:val="21"/>
                      <w:szCs w:val="21"/>
                      <w:highlight w:val="none"/>
                      <w:lang w:val="en-US" w:eastAsia="zh-CN"/>
                    </w:rPr>
                    <w:t>隔油池、</w:t>
                  </w:r>
                  <w:r>
                    <w:rPr>
                      <w:rFonts w:hint="eastAsia" w:ascii="Times New Roman" w:hAnsi="Times New Roman" w:eastAsia="宋体" w:cs="Times New Roman"/>
                      <w:sz w:val="21"/>
                      <w:szCs w:val="21"/>
                      <w:highlight w:val="none"/>
                    </w:rPr>
                    <w:t>化粪池处理</w:t>
                  </w:r>
                  <w:r>
                    <w:rPr>
                      <w:rFonts w:hint="eastAsia" w:cs="Times New Roman"/>
                      <w:sz w:val="21"/>
                      <w:szCs w:val="21"/>
                      <w:highlight w:val="none"/>
                      <w:lang w:val="en-US" w:eastAsia="zh-CN"/>
                    </w:rPr>
                    <w:t>后单独纳管排放；</w:t>
                  </w:r>
                  <w:r>
                    <w:rPr>
                      <w:rFonts w:hint="eastAsia" w:ascii="Times New Roman" w:hAnsi="Times New Roman" w:eastAsia="宋体" w:cs="Times New Roman"/>
                      <w:sz w:val="21"/>
                      <w:szCs w:val="21"/>
                      <w:highlight w:val="none"/>
                    </w:rPr>
                    <w:t>纯水</w:t>
                  </w:r>
                  <w:r>
                    <w:rPr>
                      <w:rFonts w:hint="eastAsia" w:ascii="Times New Roman" w:hAnsi="Times New Roman" w:eastAsia="宋体" w:cs="Times New Roman"/>
                      <w:sz w:val="21"/>
                      <w:szCs w:val="21"/>
                      <w:highlight w:val="none"/>
                      <w:lang w:val="en-US" w:eastAsia="zh-CN"/>
                    </w:rPr>
                    <w:t>/软水</w:t>
                  </w:r>
                  <w:r>
                    <w:rPr>
                      <w:rFonts w:hint="eastAsia" w:ascii="Times New Roman" w:hAnsi="Times New Roman" w:eastAsia="宋体" w:cs="Times New Roman"/>
                      <w:sz w:val="21"/>
                      <w:szCs w:val="21"/>
                      <w:highlight w:val="none"/>
                    </w:rPr>
                    <w:t>制备浓水</w:t>
                  </w:r>
                  <w:r>
                    <w:rPr>
                      <w:rFonts w:hint="eastAsia" w:ascii="Times New Roman" w:hAnsi="Times New Roman" w:eastAsia="宋体" w:cs="Times New Roman"/>
                      <w:sz w:val="21"/>
                      <w:szCs w:val="21"/>
                      <w:highlight w:val="none"/>
                      <w:lang w:eastAsia="zh-CN"/>
                    </w:rPr>
                    <w:t>、</w:t>
                  </w:r>
                  <w:r>
                    <w:rPr>
                      <w:rFonts w:hint="eastAsia" w:ascii="Times New Roman" w:hAnsi="Times New Roman" w:eastAsia="宋体" w:cs="Times New Roman"/>
                      <w:sz w:val="21"/>
                      <w:szCs w:val="21"/>
                      <w:highlight w:val="none"/>
                      <w:lang w:val="en-US" w:eastAsia="zh-CN"/>
                    </w:rPr>
                    <w:t>反冲洗废水及一般实验室灭菌废水</w:t>
                  </w:r>
                  <w:r>
                    <w:rPr>
                      <w:rFonts w:hint="eastAsia" w:ascii="Times New Roman" w:hAnsi="Times New Roman" w:eastAsia="宋体" w:cs="Times New Roman"/>
                      <w:sz w:val="21"/>
                      <w:szCs w:val="21"/>
                      <w:highlight w:val="none"/>
                    </w:rPr>
                    <w:t>水质简单，可直接纳入市政污水管网</w:t>
                  </w:r>
                  <w:r>
                    <w:rPr>
                      <w:rFonts w:hint="eastAsia" w:ascii="Times New Roman" w:hAnsi="Times New Roman" w:eastAsia="宋体" w:cs="Times New Roman"/>
                      <w:sz w:val="21"/>
                      <w:szCs w:val="21"/>
                      <w:highlight w:val="none"/>
                      <w:lang w:eastAsia="zh-CN"/>
                    </w:rPr>
                    <w:t>，</w:t>
                  </w:r>
                  <w:r>
                    <w:rPr>
                      <w:rFonts w:hint="eastAsia" w:ascii="Times New Roman" w:hAnsi="Times New Roman" w:eastAsia="宋体" w:cs="Times New Roman"/>
                      <w:sz w:val="21"/>
                      <w:szCs w:val="21"/>
                      <w:highlight w:val="none"/>
                    </w:rPr>
                    <w:t>其余废水</w:t>
                  </w:r>
                  <w:r>
                    <w:rPr>
                      <w:rFonts w:hint="eastAsia" w:ascii="Times New Roman" w:hAnsi="Times New Roman" w:eastAsia="宋体" w:cs="Times New Roman"/>
                      <w:sz w:val="21"/>
                      <w:szCs w:val="21"/>
                      <w:highlight w:val="none"/>
                      <w:lang w:eastAsia="zh-CN"/>
                    </w:rPr>
                    <w:t>经</w:t>
                  </w:r>
                  <w:r>
                    <w:rPr>
                      <w:rFonts w:hint="eastAsia" w:ascii="Times New Roman" w:hAnsi="Times New Roman" w:eastAsia="宋体" w:cs="Times New Roman"/>
                      <w:sz w:val="21"/>
                      <w:szCs w:val="21"/>
                      <w:highlight w:val="none"/>
                    </w:rPr>
                    <w:t>污水处理设施预处理达</w:t>
                  </w:r>
                  <w:r>
                    <w:rPr>
                      <w:rFonts w:hint="eastAsia" w:ascii="Times New Roman" w:hAnsi="Times New Roman" w:eastAsia="宋体" w:cs="Times New Roman"/>
                      <w:sz w:val="21"/>
                      <w:szCs w:val="21"/>
                      <w:highlight w:val="none"/>
                      <w:lang w:eastAsia="zh-CN"/>
                    </w:rPr>
                    <w:t>标</w:t>
                  </w:r>
                  <w:r>
                    <w:rPr>
                      <w:rFonts w:hint="eastAsia" w:ascii="Times New Roman" w:hAnsi="Times New Roman" w:eastAsia="宋体" w:cs="Times New Roman"/>
                      <w:sz w:val="21"/>
                      <w:szCs w:val="21"/>
                      <w:highlight w:val="none"/>
                    </w:rPr>
                    <w:t>后</w:t>
                  </w:r>
                  <w:r>
                    <w:rPr>
                      <w:rFonts w:hint="eastAsia" w:ascii="Times New Roman" w:hAnsi="Times New Roman" w:eastAsia="宋体" w:cs="Times New Roman"/>
                      <w:sz w:val="21"/>
                      <w:szCs w:val="21"/>
                      <w:highlight w:val="none"/>
                      <w:lang w:val="en-US" w:eastAsia="zh-CN"/>
                    </w:rPr>
                    <w:t>一并</w:t>
                  </w:r>
                  <w:r>
                    <w:rPr>
                      <w:rFonts w:hint="eastAsia" w:ascii="Times New Roman" w:hAnsi="Times New Roman" w:eastAsia="宋体" w:cs="Times New Roman"/>
                      <w:sz w:val="21"/>
                      <w:szCs w:val="21"/>
                      <w:highlight w:val="none"/>
                    </w:rPr>
                    <w:t>排入市政污水管网</w:t>
                  </w:r>
                  <w:r>
                    <w:rPr>
                      <w:rFonts w:hint="eastAsia" w:ascii="Times New Roman" w:hAnsi="Times New Roman" w:eastAsia="宋体" w:cs="Times New Roman"/>
                      <w:sz w:val="21"/>
                      <w:szCs w:val="21"/>
                      <w:highlight w:val="none"/>
                      <w:lang w:eastAsia="zh-CN"/>
                    </w:rPr>
                    <w:t>。</w:t>
                  </w:r>
                  <w:r>
                    <w:rPr>
                      <w:rFonts w:hint="eastAsia" w:ascii="Times New Roman" w:hAnsi="Times New Roman" w:eastAsia="宋体" w:cs="Times New Roman"/>
                      <w:sz w:val="21"/>
                      <w:szCs w:val="21"/>
                      <w:highlight w:val="none"/>
                    </w:rPr>
                    <w:t>项目废水最终由高铁新城再生水厂处理后，COD</w:t>
                  </w:r>
                  <w:r>
                    <w:rPr>
                      <w:rFonts w:hint="eastAsia" w:ascii="Times New Roman" w:hAnsi="Times New Roman" w:eastAsia="宋体" w:cs="Times New Roman"/>
                      <w:sz w:val="21"/>
                      <w:szCs w:val="21"/>
                      <w:highlight w:val="none"/>
                      <w:vertAlign w:val="subscript"/>
                    </w:rPr>
                    <w:t>Cr</w:t>
                  </w:r>
                  <w:r>
                    <w:rPr>
                      <w:rFonts w:hint="eastAsia" w:ascii="Times New Roman" w:hAnsi="Times New Roman" w:eastAsia="宋体" w:cs="Times New Roman"/>
                      <w:sz w:val="21"/>
                      <w:szCs w:val="21"/>
                      <w:highlight w:val="none"/>
                    </w:rPr>
                    <w:t>、NH</w:t>
                  </w:r>
                  <w:r>
                    <w:rPr>
                      <w:rFonts w:hint="eastAsia" w:ascii="Times New Roman" w:hAnsi="Times New Roman" w:eastAsia="宋体" w:cs="Times New Roman"/>
                      <w:sz w:val="21"/>
                      <w:szCs w:val="21"/>
                      <w:highlight w:val="none"/>
                      <w:vertAlign w:val="subscript"/>
                    </w:rPr>
                    <w:t>3</w:t>
                  </w:r>
                  <w:r>
                    <w:rPr>
                      <w:rFonts w:hint="eastAsia" w:ascii="Times New Roman" w:hAnsi="Times New Roman" w:eastAsia="宋体" w:cs="Times New Roman"/>
                      <w:sz w:val="21"/>
                      <w:szCs w:val="21"/>
                      <w:highlight w:val="none"/>
                    </w:rPr>
                    <w:t>-N、TN、TP达到《城镇污水处理厂主要水污染物排放标准》（DB33/2169-2018）表</w:t>
                  </w:r>
                  <w:r>
                    <w:rPr>
                      <w:rFonts w:hint="eastAsia" w:cs="Times New Roman"/>
                      <w:sz w:val="21"/>
                      <w:szCs w:val="21"/>
                      <w:highlight w:val="none"/>
                      <w:lang w:val="en-US" w:eastAsia="zh-CN"/>
                    </w:rPr>
                    <w:t>2</w:t>
                  </w:r>
                  <w:r>
                    <w:rPr>
                      <w:rFonts w:hint="eastAsia" w:ascii="Times New Roman" w:hAnsi="Times New Roman" w:eastAsia="宋体" w:cs="Times New Roman"/>
                      <w:sz w:val="21"/>
                      <w:szCs w:val="21"/>
                      <w:highlight w:val="none"/>
                    </w:rPr>
                    <w:t>，其余污染因子达到《城镇污水处理厂污染物排放标准（GB18918-2002）一级A标准后排放</w:t>
                  </w:r>
                  <w:r>
                    <w:rPr>
                      <w:rFonts w:hint="eastAsia" w:ascii="Times New Roman" w:hAnsi="Times New Roman" w:eastAsia="宋体" w:cs="Times New Roman"/>
                      <w:sz w:val="21"/>
                      <w:szCs w:val="21"/>
                      <w:highlight w:val="none"/>
                      <w:lang w:eastAsia="zh-CN"/>
                    </w:rPr>
                    <w:t>。</w:t>
                  </w:r>
                </w:p>
              </w:tc>
            </w:tr>
            <w:tr w14:paraId="07920E7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03" w:hRule="atLeast"/>
              </w:trPr>
              <w:tc>
                <w:tcPr>
                  <w:tcW w:w="353" w:type="pct"/>
                  <w:vMerge w:val="continue"/>
                  <w:tcBorders>
                    <w:top w:val="single" w:color="auto" w:sz="4" w:space="0"/>
                    <w:left w:val="single" w:color="auto" w:sz="4" w:space="0"/>
                    <w:bottom w:val="single" w:color="auto" w:sz="4" w:space="0"/>
                    <w:right w:val="single" w:color="auto" w:sz="4" w:space="0"/>
                  </w:tcBorders>
                  <w:tcMar>
                    <w:top w:w="28" w:type="dxa"/>
                    <w:left w:w="28" w:type="dxa"/>
                    <w:bottom w:w="28" w:type="dxa"/>
                    <w:right w:w="28" w:type="dxa"/>
                  </w:tcMar>
                  <w:vAlign w:val="center"/>
                </w:tcPr>
                <w:p w14:paraId="2AA19EE4">
                  <w:pPr>
                    <w:keepNext w:val="0"/>
                    <w:keepLines w:val="0"/>
                    <w:suppressLineNumbers w:val="0"/>
                    <w:spacing w:before="0" w:beforeAutospacing="0" w:after="0" w:afterAutospacing="0" w:line="276" w:lineRule="auto"/>
                    <w:ind w:left="0" w:right="0"/>
                    <w:jc w:val="center"/>
                    <w:rPr>
                      <w:rFonts w:hint="default" w:ascii="Times New Roman" w:hAnsi="Times New Roman" w:eastAsia="宋体" w:cs="Times New Roman"/>
                      <w:sz w:val="21"/>
                      <w:szCs w:val="21"/>
                      <w:highlight w:val="none"/>
                    </w:rPr>
                  </w:pPr>
                </w:p>
              </w:tc>
              <w:tc>
                <w:tcPr>
                  <w:tcW w:w="341" w:type="pct"/>
                  <w:tcBorders>
                    <w:top w:val="single" w:color="auto" w:sz="4" w:space="0"/>
                    <w:left w:val="single" w:color="auto" w:sz="4" w:space="0"/>
                    <w:bottom w:val="single" w:color="auto" w:sz="4" w:space="0"/>
                    <w:right w:val="single" w:color="auto" w:sz="4" w:space="0"/>
                  </w:tcBorders>
                  <w:tcMar>
                    <w:top w:w="28" w:type="dxa"/>
                    <w:left w:w="28" w:type="dxa"/>
                    <w:bottom w:w="28" w:type="dxa"/>
                    <w:right w:w="28" w:type="dxa"/>
                  </w:tcMar>
                  <w:vAlign w:val="center"/>
                </w:tcPr>
                <w:p w14:paraId="0F656271">
                  <w:pPr>
                    <w:keepNext w:val="0"/>
                    <w:keepLines w:val="0"/>
                    <w:suppressLineNumbers w:val="0"/>
                    <w:spacing w:before="0" w:beforeAutospacing="0" w:after="0" w:afterAutospacing="0" w:line="276" w:lineRule="auto"/>
                    <w:ind w:left="0" w:right="0"/>
                    <w:jc w:val="center"/>
                    <w:rPr>
                      <w:rFonts w:hint="default" w:ascii="Times New Roman" w:hAnsi="Times New Roman" w:eastAsia="宋体" w:cs="Times New Roman"/>
                      <w:sz w:val="21"/>
                      <w:szCs w:val="21"/>
                      <w:highlight w:val="none"/>
                    </w:rPr>
                  </w:pPr>
                  <w:r>
                    <w:rPr>
                      <w:rFonts w:hint="eastAsia" w:ascii="Times New Roman" w:hAnsi="Times New Roman" w:eastAsia="宋体" w:cs="Times New Roman"/>
                      <w:sz w:val="21"/>
                      <w:szCs w:val="21"/>
                      <w:highlight w:val="none"/>
                    </w:rPr>
                    <w:t>供电</w:t>
                  </w:r>
                </w:p>
              </w:tc>
              <w:tc>
                <w:tcPr>
                  <w:tcW w:w="4305" w:type="pct"/>
                  <w:gridSpan w:val="4"/>
                  <w:tcBorders>
                    <w:top w:val="single" w:color="auto" w:sz="4" w:space="0"/>
                    <w:left w:val="single" w:color="auto" w:sz="4" w:space="0"/>
                    <w:bottom w:val="single" w:color="auto" w:sz="4" w:space="0"/>
                    <w:right w:val="single" w:color="auto" w:sz="4" w:space="0"/>
                  </w:tcBorders>
                  <w:tcMar>
                    <w:top w:w="28" w:type="dxa"/>
                    <w:left w:w="28" w:type="dxa"/>
                    <w:bottom w:w="28" w:type="dxa"/>
                    <w:right w:w="28" w:type="dxa"/>
                  </w:tcMar>
                  <w:vAlign w:val="center"/>
                </w:tcPr>
                <w:p w14:paraId="2B0ADD8A">
                  <w:pPr>
                    <w:keepNext w:val="0"/>
                    <w:keepLines w:val="0"/>
                    <w:suppressLineNumbers w:val="0"/>
                    <w:spacing w:before="0" w:beforeAutospacing="0" w:after="0" w:afterAutospacing="0" w:line="276" w:lineRule="auto"/>
                    <w:ind w:left="0" w:right="0"/>
                    <w:jc w:val="left"/>
                    <w:rPr>
                      <w:rFonts w:hint="default" w:ascii="Times New Roman" w:hAnsi="Times New Roman" w:eastAsia="宋体" w:cs="Times New Roman"/>
                      <w:sz w:val="21"/>
                      <w:szCs w:val="21"/>
                      <w:highlight w:val="none"/>
                    </w:rPr>
                  </w:pPr>
                  <w:r>
                    <w:rPr>
                      <w:rFonts w:hint="eastAsia" w:ascii="Times New Roman" w:hAnsi="Times New Roman" w:eastAsia="宋体" w:cs="Times New Roman"/>
                      <w:sz w:val="21"/>
                      <w:szCs w:val="21"/>
                      <w:highlight w:val="none"/>
                    </w:rPr>
                    <w:t>由市政电网供电。</w:t>
                  </w:r>
                </w:p>
              </w:tc>
            </w:tr>
            <w:tr w14:paraId="7991952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76" w:hRule="atLeast"/>
              </w:trPr>
              <w:tc>
                <w:tcPr>
                  <w:tcW w:w="353" w:type="pct"/>
                  <w:vMerge w:val="continue"/>
                  <w:tcBorders>
                    <w:left w:val="single" w:color="auto" w:sz="4" w:space="0"/>
                    <w:bottom w:val="single" w:color="auto" w:sz="4" w:space="0"/>
                    <w:right w:val="single" w:color="auto" w:sz="4" w:space="0"/>
                  </w:tcBorders>
                  <w:tcMar>
                    <w:top w:w="28" w:type="dxa"/>
                    <w:left w:w="28" w:type="dxa"/>
                    <w:bottom w:w="28" w:type="dxa"/>
                    <w:right w:w="28" w:type="dxa"/>
                  </w:tcMar>
                  <w:vAlign w:val="center"/>
                </w:tcPr>
                <w:p w14:paraId="2DCF736F">
                  <w:pPr>
                    <w:keepNext w:val="0"/>
                    <w:keepLines w:val="0"/>
                    <w:suppressLineNumbers w:val="0"/>
                    <w:spacing w:before="0" w:beforeAutospacing="0" w:after="0" w:afterAutospacing="0" w:line="276" w:lineRule="auto"/>
                    <w:ind w:left="0" w:right="0"/>
                    <w:jc w:val="center"/>
                    <w:rPr>
                      <w:rFonts w:hint="default" w:ascii="Times New Roman" w:hAnsi="Times New Roman" w:eastAsia="宋体" w:cs="Times New Roman"/>
                      <w:sz w:val="21"/>
                      <w:szCs w:val="21"/>
                      <w:highlight w:val="none"/>
                    </w:rPr>
                  </w:pPr>
                </w:p>
              </w:tc>
              <w:tc>
                <w:tcPr>
                  <w:tcW w:w="341" w:type="pct"/>
                  <w:tcBorders>
                    <w:top w:val="single" w:color="auto" w:sz="4" w:space="0"/>
                    <w:left w:val="single" w:color="auto" w:sz="4" w:space="0"/>
                    <w:bottom w:val="single" w:color="auto" w:sz="4" w:space="0"/>
                    <w:right w:val="single" w:color="auto" w:sz="4" w:space="0"/>
                  </w:tcBorders>
                  <w:tcMar>
                    <w:top w:w="28" w:type="dxa"/>
                    <w:left w:w="28" w:type="dxa"/>
                    <w:bottom w:w="28" w:type="dxa"/>
                    <w:right w:w="28" w:type="dxa"/>
                  </w:tcMar>
                  <w:vAlign w:val="center"/>
                </w:tcPr>
                <w:p w14:paraId="028F86AC">
                  <w:pPr>
                    <w:keepNext w:val="0"/>
                    <w:keepLines w:val="0"/>
                    <w:suppressLineNumbers w:val="0"/>
                    <w:spacing w:before="0" w:beforeAutospacing="0" w:after="0" w:afterAutospacing="0" w:line="276" w:lineRule="auto"/>
                    <w:ind w:left="0" w:right="0"/>
                    <w:jc w:val="center"/>
                    <w:rPr>
                      <w:rFonts w:hint="eastAsia" w:ascii="Times New Roman" w:hAnsi="Times New Roman" w:eastAsia="宋体" w:cs="Times New Roman"/>
                      <w:sz w:val="21"/>
                      <w:szCs w:val="21"/>
                      <w:highlight w:val="none"/>
                      <w:lang w:eastAsia="zh-CN"/>
                    </w:rPr>
                  </w:pPr>
                  <w:r>
                    <w:rPr>
                      <w:rFonts w:hint="eastAsia" w:ascii="Times New Roman" w:hAnsi="Times New Roman" w:eastAsia="宋体" w:cs="Times New Roman"/>
                      <w:sz w:val="21"/>
                      <w:szCs w:val="21"/>
                      <w:highlight w:val="none"/>
                      <w:lang w:eastAsia="zh-CN"/>
                    </w:rPr>
                    <w:t>通风系统</w:t>
                  </w:r>
                </w:p>
              </w:tc>
              <w:tc>
                <w:tcPr>
                  <w:tcW w:w="4305" w:type="pct"/>
                  <w:gridSpan w:val="4"/>
                  <w:tcBorders>
                    <w:top w:val="single" w:color="auto" w:sz="4" w:space="0"/>
                    <w:left w:val="single" w:color="auto" w:sz="4" w:space="0"/>
                    <w:bottom w:val="single" w:color="auto" w:sz="4" w:space="0"/>
                    <w:right w:val="single" w:color="auto" w:sz="4" w:space="0"/>
                  </w:tcBorders>
                  <w:tcMar>
                    <w:top w:w="28" w:type="dxa"/>
                    <w:left w:w="28" w:type="dxa"/>
                    <w:bottom w:w="28" w:type="dxa"/>
                    <w:right w:w="28" w:type="dxa"/>
                  </w:tcMar>
                  <w:vAlign w:val="center"/>
                </w:tcPr>
                <w:p w14:paraId="1BE16E9A">
                  <w:pPr>
                    <w:keepNext w:val="0"/>
                    <w:keepLines w:val="0"/>
                    <w:suppressLineNumbers w:val="0"/>
                    <w:spacing w:before="0" w:beforeAutospacing="0" w:after="0" w:afterAutospacing="0" w:line="276" w:lineRule="auto"/>
                    <w:ind w:left="0" w:right="0"/>
                    <w:jc w:val="left"/>
                    <w:rPr>
                      <w:rFonts w:hint="default" w:ascii="Times New Roman" w:hAnsi="Times New Roman" w:eastAsia="宋体" w:cs="Times New Roman"/>
                      <w:sz w:val="21"/>
                      <w:szCs w:val="21"/>
                      <w:highlight w:val="none"/>
                      <w:lang w:val="en-US" w:eastAsia="zh-CN"/>
                    </w:rPr>
                  </w:pPr>
                  <w:r>
                    <w:rPr>
                      <w:rFonts w:hint="eastAsia" w:ascii="Times New Roman" w:hAnsi="Times New Roman" w:eastAsia="宋体" w:cs="Times New Roman"/>
                      <w:sz w:val="21"/>
                      <w:szCs w:val="21"/>
                      <w:highlight w:val="none"/>
                      <w:lang w:val="en-US" w:eastAsia="zh-CN"/>
                    </w:rPr>
                    <w:t>项目</w:t>
                  </w:r>
                  <w:r>
                    <w:rPr>
                      <w:rFonts w:hint="eastAsia" w:cs="Times New Roman"/>
                      <w:sz w:val="21"/>
                      <w:szCs w:val="21"/>
                      <w:highlight w:val="none"/>
                      <w:lang w:val="en-US" w:eastAsia="zh-CN"/>
                    </w:rPr>
                    <w:t>小鼠、大鼠饲养区域</w:t>
                  </w:r>
                  <w:r>
                    <w:rPr>
                      <w:rFonts w:hint="eastAsia" w:ascii="Times New Roman" w:hAnsi="Times New Roman" w:eastAsia="宋体" w:cs="Times New Roman"/>
                      <w:sz w:val="21"/>
                      <w:szCs w:val="21"/>
                      <w:highlight w:val="none"/>
                      <w:lang w:val="en-US" w:eastAsia="zh-CN"/>
                    </w:rPr>
                    <w:t>设立独立通风饲养系统（IVC），其中饲养笼为全封闭结构，设进风口与排风口，排风口通过管道与排风系统相连；各饲养笼放置于饲养架上，饲养架设置于全封闭的饲养观察室内，观察室内设有新风及排风系统，排风系统包括饲养笼排气及饲养观察室整体通风排气。</w:t>
                  </w:r>
                </w:p>
              </w:tc>
            </w:tr>
            <w:tr w14:paraId="1955A1F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77" w:hRule="atLeast"/>
              </w:trPr>
              <w:tc>
                <w:tcPr>
                  <w:tcW w:w="353" w:type="pct"/>
                  <w:vMerge w:val="restart"/>
                  <w:tcBorders>
                    <w:top w:val="single" w:color="auto" w:sz="4" w:space="0"/>
                    <w:left w:val="single" w:color="auto" w:sz="4" w:space="0"/>
                    <w:bottom w:val="single" w:color="auto" w:sz="4" w:space="0"/>
                    <w:right w:val="single" w:color="auto" w:sz="4" w:space="0"/>
                  </w:tcBorders>
                  <w:tcMar>
                    <w:top w:w="28" w:type="dxa"/>
                    <w:left w:w="28" w:type="dxa"/>
                    <w:bottom w:w="28" w:type="dxa"/>
                    <w:right w:w="28" w:type="dxa"/>
                  </w:tcMar>
                  <w:vAlign w:val="center"/>
                </w:tcPr>
                <w:p w14:paraId="42AFAB79">
                  <w:pPr>
                    <w:keepNext w:val="0"/>
                    <w:keepLines w:val="0"/>
                    <w:suppressLineNumbers w:val="0"/>
                    <w:spacing w:before="0" w:beforeAutospacing="0" w:after="0" w:afterAutospacing="0" w:line="276" w:lineRule="auto"/>
                    <w:ind w:left="0" w:right="0"/>
                    <w:jc w:val="center"/>
                    <w:rPr>
                      <w:rFonts w:hint="default" w:ascii="Times New Roman" w:hAnsi="Times New Roman" w:eastAsia="宋体" w:cs="Times New Roman"/>
                      <w:sz w:val="21"/>
                      <w:szCs w:val="21"/>
                      <w:highlight w:val="none"/>
                    </w:rPr>
                  </w:pPr>
                  <w:r>
                    <w:rPr>
                      <w:rFonts w:hint="eastAsia" w:ascii="Times New Roman" w:hAnsi="Times New Roman" w:eastAsia="宋体" w:cs="Times New Roman"/>
                      <w:sz w:val="21"/>
                      <w:szCs w:val="21"/>
                      <w:highlight w:val="none"/>
                    </w:rPr>
                    <w:t>环保工程</w:t>
                  </w:r>
                </w:p>
              </w:tc>
              <w:tc>
                <w:tcPr>
                  <w:tcW w:w="341" w:type="pct"/>
                  <w:tcBorders>
                    <w:top w:val="single" w:color="auto" w:sz="4" w:space="0"/>
                    <w:left w:val="single" w:color="auto" w:sz="4" w:space="0"/>
                    <w:bottom w:val="single" w:color="auto" w:sz="4" w:space="0"/>
                    <w:right w:val="single" w:color="auto" w:sz="4" w:space="0"/>
                  </w:tcBorders>
                  <w:tcMar>
                    <w:top w:w="28" w:type="dxa"/>
                    <w:left w:w="28" w:type="dxa"/>
                    <w:bottom w:w="28" w:type="dxa"/>
                    <w:right w:w="28" w:type="dxa"/>
                  </w:tcMar>
                  <w:vAlign w:val="center"/>
                </w:tcPr>
                <w:p w14:paraId="313C9319">
                  <w:pPr>
                    <w:keepNext w:val="0"/>
                    <w:keepLines w:val="0"/>
                    <w:suppressLineNumbers w:val="0"/>
                    <w:spacing w:before="0" w:beforeAutospacing="0" w:after="0" w:afterAutospacing="0" w:line="276" w:lineRule="auto"/>
                    <w:ind w:left="0" w:right="0"/>
                    <w:jc w:val="center"/>
                    <w:rPr>
                      <w:rFonts w:hint="default" w:ascii="Times New Roman" w:hAnsi="Times New Roman" w:eastAsia="宋体" w:cs="Times New Roman"/>
                      <w:sz w:val="21"/>
                      <w:szCs w:val="21"/>
                      <w:highlight w:val="none"/>
                    </w:rPr>
                  </w:pPr>
                  <w:r>
                    <w:rPr>
                      <w:rFonts w:hint="eastAsia" w:ascii="Times New Roman" w:hAnsi="Times New Roman" w:eastAsia="宋体" w:cs="Times New Roman"/>
                      <w:sz w:val="21"/>
                      <w:szCs w:val="21"/>
                      <w:highlight w:val="none"/>
                    </w:rPr>
                    <w:t>废水治理</w:t>
                  </w:r>
                </w:p>
              </w:tc>
              <w:tc>
                <w:tcPr>
                  <w:tcW w:w="4305" w:type="pct"/>
                  <w:gridSpan w:val="4"/>
                  <w:tcBorders>
                    <w:top w:val="single" w:color="auto" w:sz="4" w:space="0"/>
                    <w:left w:val="single" w:color="auto" w:sz="4" w:space="0"/>
                    <w:bottom w:val="single" w:color="auto" w:sz="4" w:space="0"/>
                    <w:right w:val="single" w:color="auto" w:sz="4" w:space="0"/>
                  </w:tcBorders>
                  <w:tcMar>
                    <w:top w:w="28" w:type="dxa"/>
                    <w:left w:w="28" w:type="dxa"/>
                    <w:bottom w:w="28" w:type="dxa"/>
                    <w:right w:w="28" w:type="dxa"/>
                  </w:tcMar>
                  <w:vAlign w:val="center"/>
                </w:tcPr>
                <w:p w14:paraId="55DBA4DE">
                  <w:pPr>
                    <w:keepNext w:val="0"/>
                    <w:keepLines w:val="0"/>
                    <w:suppressLineNumbers w:val="0"/>
                    <w:spacing w:before="0" w:beforeAutospacing="0" w:after="0" w:afterAutospacing="0" w:line="276" w:lineRule="auto"/>
                    <w:ind w:left="0" w:right="0"/>
                    <w:rPr>
                      <w:rFonts w:hint="default" w:ascii="Times New Roman" w:hAnsi="Times New Roman" w:eastAsia="宋体" w:cs="Times New Roman"/>
                      <w:sz w:val="21"/>
                      <w:szCs w:val="21"/>
                      <w:highlight w:val="none"/>
                    </w:rPr>
                  </w:pPr>
                  <w:r>
                    <w:rPr>
                      <w:rFonts w:hint="eastAsia" w:ascii="Times New Roman" w:hAnsi="Times New Roman" w:eastAsia="宋体" w:cs="Times New Roman"/>
                      <w:sz w:val="21"/>
                      <w:szCs w:val="21"/>
                      <w:highlight w:val="none"/>
                    </w:rPr>
                    <w:t>本项目生活污水采用</w:t>
                  </w:r>
                  <w:r>
                    <w:rPr>
                      <w:rFonts w:hint="eastAsia" w:ascii="Times New Roman" w:hAnsi="Times New Roman" w:eastAsia="宋体" w:cs="Times New Roman"/>
                      <w:sz w:val="21"/>
                      <w:szCs w:val="21"/>
                      <w:highlight w:val="none"/>
                      <w:lang w:val="en-US" w:eastAsia="zh-CN"/>
                    </w:rPr>
                    <w:t>隔油池、</w:t>
                  </w:r>
                  <w:r>
                    <w:rPr>
                      <w:rFonts w:hint="eastAsia" w:ascii="Times New Roman" w:hAnsi="Times New Roman" w:eastAsia="宋体" w:cs="Times New Roman"/>
                      <w:sz w:val="21"/>
                      <w:szCs w:val="21"/>
                      <w:highlight w:val="none"/>
                    </w:rPr>
                    <w:t>化粪池处理</w:t>
                  </w:r>
                  <w:r>
                    <w:rPr>
                      <w:rFonts w:hint="eastAsia" w:ascii="Times New Roman" w:hAnsi="Times New Roman" w:eastAsia="宋体" w:cs="Times New Roman"/>
                      <w:sz w:val="21"/>
                      <w:szCs w:val="21"/>
                      <w:highlight w:val="none"/>
                      <w:lang w:eastAsia="zh-CN"/>
                    </w:rPr>
                    <w:t>；</w:t>
                  </w:r>
                  <w:r>
                    <w:rPr>
                      <w:rFonts w:hint="eastAsia" w:ascii="Times New Roman" w:hAnsi="Times New Roman" w:eastAsia="宋体" w:cs="Times New Roman"/>
                      <w:sz w:val="21"/>
                      <w:szCs w:val="21"/>
                      <w:highlight w:val="none"/>
                    </w:rPr>
                    <w:t>饲养</w:t>
                  </w:r>
                  <w:r>
                    <w:rPr>
                      <w:rFonts w:hint="eastAsia" w:ascii="Times New Roman" w:hAnsi="Times New Roman" w:eastAsia="宋体" w:cs="Times New Roman"/>
                      <w:sz w:val="21"/>
                      <w:szCs w:val="21"/>
                      <w:highlight w:val="none"/>
                      <w:lang w:val="en-US" w:eastAsia="zh-CN"/>
                    </w:rPr>
                    <w:t>间</w:t>
                  </w:r>
                  <w:r>
                    <w:rPr>
                      <w:rFonts w:hint="eastAsia" w:ascii="Times New Roman" w:hAnsi="Times New Roman" w:eastAsia="宋体" w:cs="Times New Roman"/>
                      <w:sz w:val="21"/>
                      <w:szCs w:val="21"/>
                      <w:highlight w:val="none"/>
                    </w:rPr>
                    <w:t>清洗废水、</w:t>
                  </w:r>
                  <w:r>
                    <w:rPr>
                      <w:rFonts w:hint="eastAsia" w:ascii="Times New Roman" w:hAnsi="Times New Roman" w:eastAsia="宋体" w:cs="Times New Roman"/>
                      <w:sz w:val="21"/>
                      <w:szCs w:val="21"/>
                      <w:highlight w:val="none"/>
                      <w:lang w:val="en-US" w:eastAsia="zh-CN"/>
                    </w:rPr>
                    <w:t>洗笼及动物洗烘废水、</w:t>
                  </w:r>
                  <w:r>
                    <w:rPr>
                      <w:rFonts w:hint="eastAsia" w:ascii="Times New Roman" w:hAnsi="Times New Roman" w:eastAsia="宋体" w:cs="Times New Roman"/>
                      <w:sz w:val="21"/>
                      <w:szCs w:val="21"/>
                      <w:highlight w:val="none"/>
                    </w:rPr>
                    <w:t>实验</w:t>
                  </w:r>
                  <w:r>
                    <w:rPr>
                      <w:rFonts w:hint="eastAsia" w:ascii="Times New Roman" w:hAnsi="Times New Roman" w:eastAsia="宋体" w:cs="Times New Roman"/>
                      <w:sz w:val="21"/>
                      <w:szCs w:val="21"/>
                      <w:highlight w:val="none"/>
                      <w:lang w:val="en-US" w:eastAsia="zh-CN"/>
                    </w:rPr>
                    <w:t>室设备</w:t>
                  </w:r>
                  <w:r>
                    <w:rPr>
                      <w:rFonts w:hint="eastAsia" w:ascii="Times New Roman" w:hAnsi="Times New Roman" w:eastAsia="宋体" w:cs="Times New Roman"/>
                      <w:sz w:val="21"/>
                      <w:szCs w:val="21"/>
                      <w:highlight w:val="none"/>
                    </w:rPr>
                    <w:t>清洗废水、动物尿液</w:t>
                  </w:r>
                  <w:r>
                    <w:rPr>
                      <w:rFonts w:hint="eastAsia" w:cs="Times New Roman"/>
                      <w:sz w:val="21"/>
                      <w:szCs w:val="21"/>
                      <w:highlight w:val="none"/>
                      <w:lang w:eastAsia="zh-CN"/>
                    </w:rPr>
                    <w:t>、</w:t>
                  </w:r>
                  <w:r>
                    <w:rPr>
                      <w:rFonts w:hint="eastAsia" w:ascii="Times New Roman" w:hAnsi="Times New Roman" w:eastAsia="宋体" w:cs="Times New Roman"/>
                      <w:sz w:val="21"/>
                      <w:szCs w:val="21"/>
                      <w:highlight w:val="none"/>
                    </w:rPr>
                    <w:t>洗衣废水、</w:t>
                  </w:r>
                  <w:r>
                    <w:rPr>
                      <w:rFonts w:hint="eastAsia" w:ascii="Times New Roman" w:hAnsi="Times New Roman" w:eastAsia="宋体" w:cs="Times New Roman"/>
                      <w:sz w:val="21"/>
                      <w:szCs w:val="21"/>
                      <w:highlight w:val="none"/>
                      <w:lang w:val="en-US" w:eastAsia="zh-CN"/>
                    </w:rPr>
                    <w:t>废气</w:t>
                  </w:r>
                  <w:r>
                    <w:rPr>
                      <w:rFonts w:hint="eastAsia" w:ascii="Times New Roman" w:hAnsi="Times New Roman" w:eastAsia="宋体" w:cs="Times New Roman"/>
                      <w:sz w:val="21"/>
                      <w:szCs w:val="21"/>
                      <w:highlight w:val="none"/>
                    </w:rPr>
                    <w:t>喷淋废水</w:t>
                  </w:r>
                  <w:r>
                    <w:rPr>
                      <w:rFonts w:hint="eastAsia" w:ascii="Times New Roman" w:hAnsi="Times New Roman" w:eastAsia="宋体" w:cs="Times New Roman"/>
                      <w:sz w:val="21"/>
                      <w:szCs w:val="21"/>
                      <w:highlight w:val="none"/>
                      <w:lang w:eastAsia="zh-CN"/>
                    </w:rPr>
                    <w:t>、</w:t>
                  </w:r>
                  <w:r>
                    <w:rPr>
                      <w:rFonts w:hint="eastAsia" w:ascii="Times New Roman" w:hAnsi="Times New Roman" w:eastAsia="宋体" w:cs="Times New Roman"/>
                      <w:sz w:val="21"/>
                      <w:szCs w:val="21"/>
                      <w:highlight w:val="none"/>
                      <w:lang w:val="en-US" w:eastAsia="zh-CN"/>
                    </w:rPr>
                    <w:t>P2实验室</w:t>
                  </w:r>
                  <w:r>
                    <w:rPr>
                      <w:rFonts w:hint="eastAsia" w:ascii="Times New Roman" w:hAnsi="Times New Roman" w:eastAsia="宋体" w:cs="Times New Roman"/>
                      <w:sz w:val="21"/>
                      <w:szCs w:val="21"/>
                      <w:highlight w:val="none"/>
                    </w:rPr>
                    <w:t>灭菌</w:t>
                  </w:r>
                  <w:r>
                    <w:rPr>
                      <w:rFonts w:hint="eastAsia" w:ascii="Times New Roman" w:hAnsi="Times New Roman" w:eastAsia="宋体" w:cs="Times New Roman"/>
                      <w:sz w:val="21"/>
                      <w:szCs w:val="21"/>
                      <w:highlight w:val="none"/>
                      <w:lang w:val="en-US" w:eastAsia="zh-CN"/>
                    </w:rPr>
                    <w:t>废水、地面清洗废水</w:t>
                  </w:r>
                  <w:r>
                    <w:rPr>
                      <w:rFonts w:hint="eastAsia" w:ascii="Times New Roman" w:hAnsi="Times New Roman" w:eastAsia="宋体" w:cs="Times New Roman"/>
                      <w:sz w:val="21"/>
                      <w:szCs w:val="21"/>
                      <w:highlight w:val="none"/>
                    </w:rPr>
                    <w:t>采用污水处理设施处理达到</w:t>
                  </w:r>
                  <w:r>
                    <w:rPr>
                      <w:rFonts w:hint="eastAsia"/>
                      <w:sz w:val="21"/>
                      <w:szCs w:val="21"/>
                      <w:highlight w:val="none"/>
                    </w:rPr>
                    <w:t>《污水综合排放标准》（GB8978-1996）中的三级标准和高铁新城再生水厂设计进水水质标准</w:t>
                  </w:r>
                  <w:r>
                    <w:rPr>
                      <w:rFonts w:hint="eastAsia" w:ascii="Times New Roman" w:hAnsi="Times New Roman" w:eastAsia="宋体" w:cs="Times New Roman"/>
                      <w:sz w:val="21"/>
                      <w:szCs w:val="21"/>
                      <w:highlight w:val="none"/>
                    </w:rPr>
                    <w:t>排入市政污水管网</w:t>
                  </w:r>
                  <w:r>
                    <w:rPr>
                      <w:rFonts w:hint="eastAsia" w:ascii="Times New Roman" w:hAnsi="Times New Roman" w:eastAsia="宋体" w:cs="Times New Roman"/>
                      <w:sz w:val="21"/>
                      <w:szCs w:val="21"/>
                      <w:highlight w:val="none"/>
                      <w:lang w:eastAsia="zh-CN"/>
                    </w:rPr>
                    <w:t>；</w:t>
                  </w:r>
                  <w:r>
                    <w:rPr>
                      <w:rFonts w:hint="eastAsia" w:ascii="Times New Roman" w:hAnsi="Times New Roman" w:eastAsia="宋体" w:cs="Times New Roman"/>
                      <w:sz w:val="21"/>
                      <w:szCs w:val="21"/>
                      <w:highlight w:val="none"/>
                    </w:rPr>
                    <w:t>纯水</w:t>
                  </w:r>
                  <w:r>
                    <w:rPr>
                      <w:rFonts w:hint="eastAsia" w:ascii="Times New Roman" w:hAnsi="Times New Roman" w:eastAsia="宋体" w:cs="Times New Roman"/>
                      <w:sz w:val="21"/>
                      <w:szCs w:val="21"/>
                      <w:highlight w:val="none"/>
                      <w:lang w:val="en-US" w:eastAsia="zh-CN"/>
                    </w:rPr>
                    <w:t>/软水</w:t>
                  </w:r>
                  <w:r>
                    <w:rPr>
                      <w:rFonts w:hint="eastAsia" w:ascii="Times New Roman" w:hAnsi="Times New Roman" w:eastAsia="宋体" w:cs="Times New Roman"/>
                      <w:sz w:val="21"/>
                      <w:szCs w:val="21"/>
                      <w:highlight w:val="none"/>
                    </w:rPr>
                    <w:t>制备浓水</w:t>
                  </w:r>
                  <w:r>
                    <w:rPr>
                      <w:rFonts w:hint="eastAsia" w:ascii="Times New Roman" w:hAnsi="Times New Roman" w:eastAsia="宋体" w:cs="Times New Roman"/>
                      <w:sz w:val="21"/>
                      <w:szCs w:val="21"/>
                      <w:highlight w:val="none"/>
                      <w:lang w:eastAsia="zh-CN"/>
                    </w:rPr>
                    <w:t>、</w:t>
                  </w:r>
                  <w:r>
                    <w:rPr>
                      <w:rFonts w:hint="eastAsia" w:ascii="Times New Roman" w:hAnsi="Times New Roman" w:eastAsia="宋体" w:cs="Times New Roman"/>
                      <w:sz w:val="21"/>
                      <w:szCs w:val="21"/>
                      <w:highlight w:val="none"/>
                      <w:lang w:val="en-US" w:eastAsia="zh-CN"/>
                    </w:rPr>
                    <w:t>反冲洗废水以及一般实验室</w:t>
                  </w:r>
                  <w:r>
                    <w:rPr>
                      <w:rFonts w:hint="eastAsia" w:ascii="Times New Roman" w:hAnsi="Times New Roman" w:eastAsia="宋体" w:cs="Times New Roman"/>
                      <w:sz w:val="21"/>
                      <w:szCs w:val="21"/>
                      <w:highlight w:val="none"/>
                    </w:rPr>
                    <w:t>灭菌</w:t>
                  </w:r>
                  <w:r>
                    <w:rPr>
                      <w:rFonts w:hint="eastAsia" w:ascii="Times New Roman" w:hAnsi="Times New Roman" w:eastAsia="宋体" w:cs="Times New Roman"/>
                      <w:sz w:val="21"/>
                      <w:szCs w:val="21"/>
                      <w:highlight w:val="none"/>
                      <w:lang w:val="en-US" w:eastAsia="zh-CN"/>
                    </w:rPr>
                    <w:t>废水</w:t>
                  </w:r>
                  <w:r>
                    <w:rPr>
                      <w:rFonts w:hint="eastAsia" w:ascii="Times New Roman" w:hAnsi="Times New Roman" w:eastAsia="宋体" w:cs="Times New Roman"/>
                      <w:sz w:val="21"/>
                      <w:szCs w:val="21"/>
                      <w:highlight w:val="none"/>
                    </w:rPr>
                    <w:t>水质简单，可直接纳入市政污水管网。</w:t>
                  </w:r>
                </w:p>
              </w:tc>
            </w:tr>
            <w:tr w14:paraId="6EDA69F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567" w:hRule="atLeast"/>
              </w:trPr>
              <w:tc>
                <w:tcPr>
                  <w:tcW w:w="353" w:type="pct"/>
                  <w:vMerge w:val="continue"/>
                  <w:tcBorders>
                    <w:top w:val="single" w:color="auto" w:sz="4" w:space="0"/>
                    <w:left w:val="single" w:color="auto" w:sz="4" w:space="0"/>
                    <w:bottom w:val="single" w:color="auto" w:sz="4" w:space="0"/>
                    <w:right w:val="single" w:color="auto" w:sz="4" w:space="0"/>
                  </w:tcBorders>
                  <w:tcMar>
                    <w:top w:w="28" w:type="dxa"/>
                    <w:left w:w="28" w:type="dxa"/>
                    <w:bottom w:w="28" w:type="dxa"/>
                    <w:right w:w="28" w:type="dxa"/>
                  </w:tcMar>
                  <w:vAlign w:val="center"/>
                </w:tcPr>
                <w:p w14:paraId="4C71170B">
                  <w:pPr>
                    <w:keepNext w:val="0"/>
                    <w:keepLines w:val="0"/>
                    <w:suppressLineNumbers w:val="0"/>
                    <w:spacing w:before="0" w:beforeAutospacing="0" w:after="0" w:afterAutospacing="0" w:line="276" w:lineRule="auto"/>
                    <w:ind w:left="0" w:right="0"/>
                    <w:jc w:val="center"/>
                    <w:rPr>
                      <w:rFonts w:hint="default" w:ascii="Times New Roman" w:hAnsi="Times New Roman" w:eastAsia="宋体" w:cs="Times New Roman"/>
                      <w:sz w:val="21"/>
                      <w:szCs w:val="21"/>
                      <w:highlight w:val="none"/>
                    </w:rPr>
                  </w:pPr>
                </w:p>
              </w:tc>
              <w:tc>
                <w:tcPr>
                  <w:tcW w:w="341" w:type="pct"/>
                  <w:vMerge w:val="restart"/>
                  <w:tcBorders>
                    <w:top w:val="single" w:color="auto" w:sz="4" w:space="0"/>
                    <w:left w:val="single" w:color="auto" w:sz="4" w:space="0"/>
                    <w:right w:val="single" w:color="auto" w:sz="4" w:space="0"/>
                  </w:tcBorders>
                  <w:tcMar>
                    <w:top w:w="28" w:type="dxa"/>
                    <w:left w:w="28" w:type="dxa"/>
                    <w:bottom w:w="28" w:type="dxa"/>
                    <w:right w:w="28" w:type="dxa"/>
                  </w:tcMar>
                  <w:vAlign w:val="center"/>
                </w:tcPr>
                <w:p w14:paraId="3BDA4699">
                  <w:pPr>
                    <w:keepNext w:val="0"/>
                    <w:keepLines w:val="0"/>
                    <w:suppressLineNumbers w:val="0"/>
                    <w:spacing w:before="0" w:beforeAutospacing="0" w:after="0" w:afterAutospacing="0" w:line="276" w:lineRule="auto"/>
                    <w:ind w:left="0" w:right="0"/>
                    <w:jc w:val="center"/>
                    <w:rPr>
                      <w:rFonts w:hint="default" w:ascii="Times New Roman" w:hAnsi="Times New Roman" w:eastAsia="宋体" w:cs="Times New Roman"/>
                      <w:sz w:val="21"/>
                      <w:szCs w:val="21"/>
                      <w:highlight w:val="none"/>
                    </w:rPr>
                  </w:pPr>
                  <w:r>
                    <w:rPr>
                      <w:rFonts w:hint="eastAsia" w:ascii="Times New Roman" w:hAnsi="Times New Roman" w:eastAsia="宋体" w:cs="Times New Roman"/>
                      <w:sz w:val="21"/>
                      <w:szCs w:val="21"/>
                      <w:highlight w:val="none"/>
                    </w:rPr>
                    <w:t>废气治理</w:t>
                  </w:r>
                </w:p>
              </w:tc>
              <w:tc>
                <w:tcPr>
                  <w:tcW w:w="344" w:type="pct"/>
                  <w:vMerge w:val="restart"/>
                  <w:tcBorders>
                    <w:top w:val="single" w:color="auto" w:sz="4" w:space="0"/>
                    <w:left w:val="single" w:color="auto" w:sz="4" w:space="0"/>
                    <w:right w:val="single" w:color="auto" w:sz="4" w:space="0"/>
                  </w:tcBorders>
                  <w:tcMar>
                    <w:top w:w="28" w:type="dxa"/>
                    <w:left w:w="28" w:type="dxa"/>
                    <w:bottom w:w="28" w:type="dxa"/>
                    <w:right w:w="28" w:type="dxa"/>
                  </w:tcMar>
                  <w:vAlign w:val="center"/>
                </w:tcPr>
                <w:p w14:paraId="74C6FDD9">
                  <w:pPr>
                    <w:keepNext w:val="0"/>
                    <w:keepLines w:val="0"/>
                    <w:suppressLineNumbers w:val="0"/>
                    <w:spacing w:before="0" w:beforeAutospacing="0" w:after="0" w:afterAutospacing="0" w:line="276" w:lineRule="auto"/>
                    <w:ind w:left="0" w:right="0"/>
                    <w:jc w:val="center"/>
                    <w:rPr>
                      <w:rFonts w:hint="default" w:ascii="Times New Roman" w:hAnsi="Times New Roman" w:eastAsia="宋体" w:cs="Times New Roman"/>
                      <w:sz w:val="21"/>
                      <w:szCs w:val="21"/>
                      <w:highlight w:val="none"/>
                    </w:rPr>
                  </w:pPr>
                  <w:r>
                    <w:rPr>
                      <w:rFonts w:hint="eastAsia" w:ascii="Times New Roman" w:hAnsi="Times New Roman" w:eastAsia="宋体" w:cs="Times New Roman"/>
                      <w:color w:val="auto"/>
                      <w:sz w:val="21"/>
                      <w:szCs w:val="21"/>
                      <w:highlight w:val="none"/>
                      <w:lang w:val="en-US" w:eastAsia="zh-CN"/>
                    </w:rPr>
                    <w:t>实验动物中心</w:t>
                  </w:r>
                </w:p>
              </w:tc>
              <w:tc>
                <w:tcPr>
                  <w:tcW w:w="584" w:type="pct"/>
                  <w:tcBorders>
                    <w:top w:val="single" w:color="auto" w:sz="4" w:space="0"/>
                    <w:left w:val="single" w:color="auto" w:sz="4" w:space="0"/>
                    <w:right w:val="single" w:color="auto" w:sz="4" w:space="0"/>
                  </w:tcBorders>
                  <w:tcMar>
                    <w:top w:w="28" w:type="dxa"/>
                    <w:left w:w="28" w:type="dxa"/>
                    <w:bottom w:w="28" w:type="dxa"/>
                    <w:right w:w="28" w:type="dxa"/>
                  </w:tcMar>
                  <w:vAlign w:val="center"/>
                </w:tcPr>
                <w:p w14:paraId="24823D04">
                  <w:pPr>
                    <w:keepNext w:val="0"/>
                    <w:keepLines w:val="0"/>
                    <w:suppressLineNumbers w:val="0"/>
                    <w:spacing w:before="0" w:beforeAutospacing="0" w:after="0" w:afterAutospacing="0" w:line="276" w:lineRule="auto"/>
                    <w:ind w:left="0" w:right="0"/>
                    <w:jc w:val="center"/>
                    <w:rPr>
                      <w:rFonts w:hint="default" w:ascii="Times New Roman" w:hAnsi="Times New Roman" w:eastAsia="宋体" w:cs="Times New Roman"/>
                      <w:b w:val="0"/>
                      <w:bCs w:val="0"/>
                      <w:color w:val="auto"/>
                      <w:sz w:val="21"/>
                      <w:szCs w:val="21"/>
                      <w:highlight w:val="none"/>
                      <w:lang w:val="en-US" w:eastAsia="zh-CN"/>
                    </w:rPr>
                  </w:pPr>
                  <w:r>
                    <w:rPr>
                      <w:rFonts w:hint="eastAsia" w:ascii="Times New Roman" w:hAnsi="Times New Roman" w:eastAsia="宋体" w:cs="Times New Roman"/>
                      <w:sz w:val="21"/>
                      <w:szCs w:val="21"/>
                      <w:highlight w:val="none"/>
                      <w:lang w:val="en-US" w:eastAsia="zh-CN"/>
                    </w:rPr>
                    <w:t>动物饲养</w:t>
                  </w:r>
                  <w:r>
                    <w:rPr>
                      <w:rFonts w:hint="eastAsia" w:ascii="Times New Roman" w:hAnsi="Times New Roman" w:eastAsia="宋体" w:cs="Times New Roman"/>
                      <w:sz w:val="21"/>
                      <w:szCs w:val="21"/>
                      <w:highlight w:val="none"/>
                    </w:rPr>
                    <w:t>废气</w:t>
                  </w:r>
                  <w:r>
                    <w:rPr>
                      <w:rFonts w:hint="eastAsia" w:cs="Times New Roman"/>
                      <w:sz w:val="21"/>
                      <w:szCs w:val="21"/>
                      <w:highlight w:val="none"/>
                      <w:lang w:eastAsia="zh-CN"/>
                    </w:rPr>
                    <w:t>、</w:t>
                  </w:r>
                  <w:r>
                    <w:rPr>
                      <w:rFonts w:hint="eastAsia" w:cs="Times New Roman"/>
                      <w:sz w:val="21"/>
                      <w:szCs w:val="21"/>
                      <w:highlight w:val="none"/>
                      <w:lang w:val="en-US" w:eastAsia="zh-CN"/>
                    </w:rPr>
                    <w:t>污水处理站废气</w:t>
                  </w:r>
                </w:p>
              </w:tc>
              <w:tc>
                <w:tcPr>
                  <w:tcW w:w="3376" w:type="pct"/>
                  <w:gridSpan w:val="2"/>
                  <w:tcBorders>
                    <w:top w:val="single" w:color="auto" w:sz="4" w:space="0"/>
                    <w:left w:val="single" w:color="auto" w:sz="4" w:space="0"/>
                    <w:bottom w:val="single" w:color="auto" w:sz="4" w:space="0"/>
                    <w:right w:val="single" w:color="auto" w:sz="4" w:space="0"/>
                  </w:tcBorders>
                  <w:tcMar>
                    <w:top w:w="28" w:type="dxa"/>
                    <w:left w:w="28" w:type="dxa"/>
                    <w:bottom w:w="28" w:type="dxa"/>
                    <w:right w:w="28" w:type="dxa"/>
                  </w:tcMar>
                  <w:vAlign w:val="center"/>
                </w:tcPr>
                <w:p w14:paraId="2DA20F68">
                  <w:pPr>
                    <w:keepNext w:val="0"/>
                    <w:keepLines w:val="0"/>
                    <w:suppressLineNumbers w:val="0"/>
                    <w:spacing w:before="0" w:beforeAutospacing="0" w:after="0" w:afterAutospacing="0" w:line="276" w:lineRule="auto"/>
                    <w:ind w:left="0" w:right="0"/>
                    <w:rPr>
                      <w:rFonts w:hint="default" w:ascii="Times New Roman" w:hAnsi="Times New Roman" w:eastAsia="宋体" w:cs="Times New Roman"/>
                      <w:sz w:val="21"/>
                      <w:szCs w:val="21"/>
                      <w:highlight w:val="none"/>
                      <w:lang w:val="en-US" w:eastAsia="zh-CN"/>
                    </w:rPr>
                  </w:pPr>
                  <w:r>
                    <w:rPr>
                      <w:rFonts w:hint="eastAsia" w:cs="Times New Roman"/>
                      <w:bCs/>
                      <w:sz w:val="21"/>
                      <w:szCs w:val="21"/>
                      <w:highlight w:val="none"/>
                      <w:lang w:val="en-US" w:eastAsia="zh-CN"/>
                    </w:rPr>
                    <w:t>一层</w:t>
                  </w:r>
                  <w:r>
                    <w:rPr>
                      <w:rFonts w:hint="default" w:ascii="Times New Roman" w:hAnsi="Times New Roman" w:eastAsia="宋体" w:cs="Times New Roman"/>
                      <w:bCs/>
                      <w:sz w:val="21"/>
                      <w:szCs w:val="21"/>
                      <w:highlight w:val="none"/>
                    </w:rPr>
                    <w:t>动物饲养</w:t>
                  </w:r>
                  <w:r>
                    <w:rPr>
                      <w:rFonts w:hint="eastAsia" w:ascii="Times New Roman" w:hAnsi="Times New Roman" w:eastAsia="宋体" w:cs="Times New Roman"/>
                      <w:bCs/>
                      <w:sz w:val="21"/>
                      <w:szCs w:val="21"/>
                      <w:highlight w:val="none"/>
                    </w:rPr>
                    <w:t>区域</w:t>
                  </w:r>
                  <w:r>
                    <w:rPr>
                      <w:rFonts w:hint="eastAsia" w:ascii="Times New Roman" w:hAnsi="Times New Roman" w:eastAsia="宋体" w:cs="Times New Roman"/>
                      <w:bCs/>
                      <w:sz w:val="21"/>
                      <w:szCs w:val="21"/>
                      <w:highlight w:val="none"/>
                      <w:lang w:val="en-US" w:eastAsia="zh-CN"/>
                    </w:rPr>
                    <w:t>恶臭气体</w:t>
                  </w:r>
                  <w:r>
                    <w:rPr>
                      <w:rFonts w:hint="eastAsia" w:ascii="Times New Roman" w:hAnsi="Times New Roman" w:eastAsia="宋体" w:cs="Times New Roman"/>
                      <w:color w:val="auto"/>
                      <w:sz w:val="21"/>
                      <w:szCs w:val="21"/>
                      <w:highlight w:val="none"/>
                      <w:lang w:val="en-US" w:eastAsia="zh-CN"/>
                    </w:rPr>
                    <w:t>与污水处理站废气</w:t>
                  </w:r>
                  <w:r>
                    <w:rPr>
                      <w:rFonts w:hint="eastAsia" w:ascii="Times New Roman" w:hAnsi="Times New Roman" w:eastAsia="宋体" w:cs="Times New Roman"/>
                      <w:bCs/>
                      <w:sz w:val="21"/>
                      <w:szCs w:val="21"/>
                      <w:highlight w:val="none"/>
                      <w:lang w:val="en-US" w:eastAsia="zh-CN"/>
                    </w:rPr>
                    <w:t>经收集后引入</w:t>
                  </w:r>
                  <w:r>
                    <w:rPr>
                      <w:rFonts w:hint="eastAsia" w:cs="Times New Roman"/>
                      <w:bCs/>
                      <w:sz w:val="21"/>
                      <w:szCs w:val="21"/>
                      <w:highlight w:val="none"/>
                      <w:lang w:val="en-US" w:eastAsia="zh-CN"/>
                    </w:rPr>
                    <w:t>1套</w:t>
                  </w:r>
                  <w:r>
                    <w:rPr>
                      <w:rFonts w:hint="eastAsia" w:ascii="Times New Roman" w:hAnsi="Times New Roman" w:eastAsia="宋体" w:cs="Times New Roman"/>
                      <w:bCs/>
                      <w:sz w:val="21"/>
                      <w:szCs w:val="21"/>
                      <w:highlight w:val="none"/>
                      <w:lang w:val="en-US" w:eastAsia="zh-CN"/>
                    </w:rPr>
                    <w:t>溶液空调自带喷淋除臭装置</w:t>
                  </w:r>
                  <w:r>
                    <w:rPr>
                      <w:rFonts w:hint="eastAsia" w:eastAsia="宋体" w:cs="Times New Roman"/>
                      <w:bCs/>
                      <w:sz w:val="21"/>
                      <w:szCs w:val="21"/>
                      <w:highlight w:val="none"/>
                      <w:lang w:val="en-US" w:eastAsia="zh-CN"/>
                    </w:rPr>
                    <w:t>处理后</w:t>
                  </w:r>
                  <w:r>
                    <w:rPr>
                      <w:rFonts w:hint="eastAsia" w:ascii="Times New Roman" w:hAnsi="Times New Roman" w:eastAsia="宋体" w:cs="Times New Roman"/>
                      <w:bCs/>
                      <w:sz w:val="21"/>
                      <w:szCs w:val="21"/>
                      <w:highlight w:val="none"/>
                      <w:lang w:val="en-US" w:eastAsia="zh-CN"/>
                    </w:rPr>
                    <w:t>通过30m高排气筒（DA001）高空排放，废气风量为2</w:t>
                  </w:r>
                  <w:r>
                    <w:rPr>
                      <w:rFonts w:hint="eastAsia" w:cs="Times New Roman"/>
                      <w:bCs/>
                      <w:sz w:val="21"/>
                      <w:szCs w:val="21"/>
                      <w:highlight w:val="none"/>
                      <w:lang w:val="en-US" w:eastAsia="zh-CN"/>
                    </w:rPr>
                    <w:t>12</w:t>
                  </w:r>
                  <w:r>
                    <w:rPr>
                      <w:rFonts w:hint="eastAsia" w:ascii="Times New Roman" w:hAnsi="Times New Roman" w:eastAsia="宋体" w:cs="Times New Roman"/>
                      <w:bCs/>
                      <w:sz w:val="21"/>
                      <w:szCs w:val="21"/>
                      <w:highlight w:val="none"/>
                      <w:lang w:val="en-US" w:eastAsia="zh-CN"/>
                    </w:rPr>
                    <w:t>8</w:t>
                  </w:r>
                  <w:r>
                    <w:rPr>
                      <w:rFonts w:hint="eastAsia" w:cs="Times New Roman"/>
                      <w:bCs/>
                      <w:sz w:val="21"/>
                      <w:szCs w:val="21"/>
                      <w:highlight w:val="none"/>
                      <w:lang w:val="en-US" w:eastAsia="zh-CN"/>
                    </w:rPr>
                    <w:t>3</w:t>
                  </w:r>
                  <w:r>
                    <w:rPr>
                      <w:rFonts w:hint="eastAsia" w:ascii="Times New Roman" w:hAnsi="Times New Roman" w:eastAsia="宋体" w:cs="Times New Roman"/>
                      <w:bCs/>
                      <w:sz w:val="21"/>
                      <w:szCs w:val="21"/>
                      <w:highlight w:val="none"/>
                      <w:lang w:val="en-US" w:eastAsia="zh-CN"/>
                    </w:rPr>
                    <w:t>m</w:t>
                  </w:r>
                  <w:r>
                    <w:rPr>
                      <w:rFonts w:hint="eastAsia" w:ascii="Times New Roman" w:hAnsi="Times New Roman" w:eastAsia="宋体" w:cs="Times New Roman"/>
                      <w:bCs/>
                      <w:sz w:val="21"/>
                      <w:szCs w:val="21"/>
                      <w:highlight w:val="none"/>
                      <w:vertAlign w:val="superscript"/>
                      <w:lang w:val="en-US" w:eastAsia="zh-CN"/>
                    </w:rPr>
                    <w:t>3</w:t>
                  </w:r>
                  <w:r>
                    <w:rPr>
                      <w:rFonts w:hint="eastAsia" w:ascii="Times New Roman" w:hAnsi="Times New Roman" w:eastAsia="宋体" w:cs="Times New Roman"/>
                      <w:bCs/>
                      <w:sz w:val="21"/>
                      <w:szCs w:val="21"/>
                      <w:highlight w:val="none"/>
                      <w:lang w:val="en-US" w:eastAsia="zh-CN"/>
                    </w:rPr>
                    <w:t>/h；</w:t>
                  </w:r>
                  <w:r>
                    <w:rPr>
                      <w:rFonts w:hint="eastAsia" w:cs="Times New Roman"/>
                      <w:bCs/>
                      <w:sz w:val="21"/>
                      <w:szCs w:val="21"/>
                      <w:highlight w:val="none"/>
                      <w:lang w:val="en-US" w:eastAsia="zh-CN"/>
                    </w:rPr>
                    <w:t>其他楼层</w:t>
                  </w:r>
                  <w:r>
                    <w:rPr>
                      <w:rFonts w:hint="default" w:ascii="Times New Roman" w:hAnsi="Times New Roman" w:eastAsia="宋体" w:cs="Times New Roman"/>
                      <w:bCs/>
                      <w:sz w:val="21"/>
                      <w:szCs w:val="21"/>
                      <w:highlight w:val="none"/>
                    </w:rPr>
                    <w:t>动物饲养</w:t>
                  </w:r>
                  <w:r>
                    <w:rPr>
                      <w:rFonts w:hint="eastAsia" w:ascii="Times New Roman" w:hAnsi="Times New Roman" w:eastAsia="宋体" w:cs="Times New Roman"/>
                      <w:bCs/>
                      <w:sz w:val="21"/>
                      <w:szCs w:val="21"/>
                      <w:highlight w:val="none"/>
                    </w:rPr>
                    <w:t>区域</w:t>
                  </w:r>
                  <w:r>
                    <w:rPr>
                      <w:rFonts w:hint="eastAsia" w:ascii="Times New Roman" w:hAnsi="Times New Roman" w:eastAsia="宋体" w:cs="Times New Roman"/>
                      <w:bCs/>
                      <w:sz w:val="21"/>
                      <w:szCs w:val="21"/>
                      <w:highlight w:val="none"/>
                      <w:lang w:val="en-US" w:eastAsia="zh-CN"/>
                    </w:rPr>
                    <w:t>恶臭气体经收集后引入</w:t>
                  </w:r>
                  <w:r>
                    <w:rPr>
                      <w:rFonts w:hint="eastAsia" w:cs="Times New Roman"/>
                      <w:bCs/>
                      <w:sz w:val="21"/>
                      <w:szCs w:val="21"/>
                      <w:highlight w:val="none"/>
                      <w:lang w:val="en-US" w:eastAsia="zh-CN"/>
                    </w:rPr>
                    <w:t>2</w:t>
                  </w:r>
                  <w:r>
                    <w:rPr>
                      <w:rFonts w:hint="eastAsia" w:ascii="Times New Roman" w:hAnsi="Times New Roman" w:eastAsia="宋体" w:cs="Times New Roman"/>
                      <w:bCs/>
                      <w:sz w:val="21"/>
                      <w:szCs w:val="21"/>
                      <w:highlight w:val="none"/>
                      <w:lang w:val="en-US" w:eastAsia="zh-CN"/>
                    </w:rPr>
                    <w:t>套溶液空调自带喷淋除臭装置和2套一体扰流喷淋除臭装置处理后分别通过</w:t>
                  </w:r>
                  <w:r>
                    <w:rPr>
                      <w:rFonts w:hint="eastAsia" w:cs="Times New Roman"/>
                      <w:bCs/>
                      <w:sz w:val="21"/>
                      <w:szCs w:val="21"/>
                      <w:highlight w:val="none"/>
                      <w:lang w:val="en-US" w:eastAsia="zh-CN"/>
                    </w:rPr>
                    <w:t>4</w:t>
                  </w:r>
                  <w:r>
                    <w:rPr>
                      <w:rFonts w:hint="eastAsia" w:ascii="Times New Roman" w:hAnsi="Times New Roman" w:eastAsia="宋体" w:cs="Times New Roman"/>
                      <w:bCs/>
                      <w:sz w:val="21"/>
                      <w:szCs w:val="21"/>
                      <w:highlight w:val="none"/>
                      <w:lang w:val="en-US" w:eastAsia="zh-CN"/>
                    </w:rPr>
                    <w:t>根30m高排气筒（DA00</w:t>
                  </w:r>
                  <w:r>
                    <w:rPr>
                      <w:rFonts w:hint="eastAsia" w:cs="Times New Roman"/>
                      <w:bCs/>
                      <w:sz w:val="21"/>
                      <w:szCs w:val="21"/>
                      <w:highlight w:val="none"/>
                      <w:lang w:val="en-US" w:eastAsia="zh-CN"/>
                    </w:rPr>
                    <w:t>2</w:t>
                  </w:r>
                  <w:r>
                    <w:rPr>
                      <w:rFonts w:hint="eastAsia" w:ascii="Times New Roman" w:hAnsi="Times New Roman" w:eastAsia="宋体" w:cs="Times New Roman"/>
                      <w:bCs/>
                      <w:sz w:val="21"/>
                      <w:szCs w:val="21"/>
                      <w:highlight w:val="none"/>
                      <w:lang w:val="en-US" w:eastAsia="zh-CN"/>
                    </w:rPr>
                    <w:t>~DA005）高空排放，废气风量分别为4860m</w:t>
                  </w:r>
                  <w:r>
                    <w:rPr>
                      <w:rFonts w:hint="eastAsia" w:ascii="Times New Roman" w:hAnsi="Times New Roman" w:eastAsia="宋体" w:cs="Times New Roman"/>
                      <w:bCs/>
                      <w:sz w:val="21"/>
                      <w:szCs w:val="21"/>
                      <w:highlight w:val="none"/>
                      <w:vertAlign w:val="superscript"/>
                      <w:lang w:val="en-US" w:eastAsia="zh-CN"/>
                    </w:rPr>
                    <w:t>3</w:t>
                  </w:r>
                  <w:r>
                    <w:rPr>
                      <w:rFonts w:hint="eastAsia" w:ascii="Times New Roman" w:hAnsi="Times New Roman" w:eastAsia="宋体" w:cs="Times New Roman"/>
                      <w:bCs/>
                      <w:sz w:val="21"/>
                      <w:szCs w:val="21"/>
                      <w:highlight w:val="none"/>
                      <w:lang w:val="en-US" w:eastAsia="zh-CN"/>
                    </w:rPr>
                    <w:t>/h、21375m</w:t>
                  </w:r>
                  <w:r>
                    <w:rPr>
                      <w:rFonts w:hint="eastAsia" w:ascii="Times New Roman" w:hAnsi="Times New Roman" w:eastAsia="宋体" w:cs="Times New Roman"/>
                      <w:bCs/>
                      <w:sz w:val="21"/>
                      <w:szCs w:val="21"/>
                      <w:highlight w:val="none"/>
                      <w:vertAlign w:val="superscript"/>
                      <w:lang w:val="en-US" w:eastAsia="zh-CN"/>
                    </w:rPr>
                    <w:t>3</w:t>
                  </w:r>
                  <w:r>
                    <w:rPr>
                      <w:rFonts w:hint="eastAsia" w:ascii="Times New Roman" w:hAnsi="Times New Roman" w:eastAsia="宋体" w:cs="Times New Roman"/>
                      <w:bCs/>
                      <w:sz w:val="21"/>
                      <w:szCs w:val="21"/>
                      <w:highlight w:val="none"/>
                      <w:lang w:val="en-US" w:eastAsia="zh-CN"/>
                    </w:rPr>
                    <w:t>/h、6809m</w:t>
                  </w:r>
                  <w:r>
                    <w:rPr>
                      <w:rFonts w:hint="eastAsia" w:ascii="Times New Roman" w:hAnsi="Times New Roman" w:eastAsia="宋体" w:cs="Times New Roman"/>
                      <w:bCs/>
                      <w:sz w:val="21"/>
                      <w:szCs w:val="21"/>
                      <w:highlight w:val="none"/>
                      <w:vertAlign w:val="superscript"/>
                      <w:lang w:val="en-US" w:eastAsia="zh-CN"/>
                    </w:rPr>
                    <w:t>3</w:t>
                  </w:r>
                  <w:r>
                    <w:rPr>
                      <w:rFonts w:hint="eastAsia" w:ascii="Times New Roman" w:hAnsi="Times New Roman" w:eastAsia="宋体" w:cs="Times New Roman"/>
                      <w:bCs/>
                      <w:sz w:val="21"/>
                      <w:szCs w:val="21"/>
                      <w:highlight w:val="none"/>
                      <w:lang w:val="en-US" w:eastAsia="zh-CN"/>
                    </w:rPr>
                    <w:t>/h、19080m</w:t>
                  </w:r>
                  <w:r>
                    <w:rPr>
                      <w:rFonts w:hint="eastAsia" w:ascii="Times New Roman" w:hAnsi="Times New Roman" w:eastAsia="宋体" w:cs="Times New Roman"/>
                      <w:bCs/>
                      <w:sz w:val="21"/>
                      <w:szCs w:val="21"/>
                      <w:highlight w:val="none"/>
                      <w:vertAlign w:val="superscript"/>
                      <w:lang w:val="en-US" w:eastAsia="zh-CN"/>
                    </w:rPr>
                    <w:t>3</w:t>
                  </w:r>
                  <w:r>
                    <w:rPr>
                      <w:rFonts w:hint="eastAsia" w:ascii="Times New Roman" w:hAnsi="Times New Roman" w:eastAsia="宋体" w:cs="Times New Roman"/>
                      <w:bCs/>
                      <w:sz w:val="21"/>
                      <w:szCs w:val="21"/>
                      <w:highlight w:val="none"/>
                      <w:lang w:val="en-US" w:eastAsia="zh-CN"/>
                    </w:rPr>
                    <w:t>/h</w:t>
                  </w:r>
                  <w:r>
                    <w:rPr>
                      <w:rFonts w:hint="eastAsia" w:ascii="Times New Roman" w:hAnsi="Times New Roman" w:eastAsia="宋体" w:cs="Times New Roman"/>
                      <w:sz w:val="21"/>
                      <w:szCs w:val="21"/>
                      <w:highlight w:val="none"/>
                      <w:lang w:val="en-US" w:eastAsia="zh-CN"/>
                    </w:rPr>
                    <w:t>。</w:t>
                  </w:r>
                </w:p>
              </w:tc>
            </w:tr>
            <w:tr w14:paraId="7903BE7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729" w:hRule="atLeast"/>
              </w:trPr>
              <w:tc>
                <w:tcPr>
                  <w:tcW w:w="353" w:type="pct"/>
                  <w:vMerge w:val="continue"/>
                  <w:tcBorders>
                    <w:top w:val="single" w:color="auto" w:sz="4" w:space="0"/>
                    <w:left w:val="single" w:color="auto" w:sz="4" w:space="0"/>
                    <w:bottom w:val="single" w:color="auto" w:sz="4" w:space="0"/>
                    <w:right w:val="single" w:color="auto" w:sz="4" w:space="0"/>
                  </w:tcBorders>
                  <w:tcMar>
                    <w:top w:w="28" w:type="dxa"/>
                    <w:left w:w="28" w:type="dxa"/>
                    <w:bottom w:w="28" w:type="dxa"/>
                    <w:right w:w="28" w:type="dxa"/>
                  </w:tcMar>
                  <w:vAlign w:val="center"/>
                </w:tcPr>
                <w:p w14:paraId="0F95285D">
                  <w:pPr>
                    <w:keepNext w:val="0"/>
                    <w:keepLines w:val="0"/>
                    <w:suppressLineNumbers w:val="0"/>
                    <w:spacing w:before="0" w:beforeAutospacing="0" w:after="0" w:afterAutospacing="0" w:line="276" w:lineRule="auto"/>
                    <w:ind w:left="0" w:right="0"/>
                    <w:jc w:val="center"/>
                    <w:rPr>
                      <w:rFonts w:hint="default" w:ascii="Times New Roman" w:hAnsi="Times New Roman" w:eastAsia="宋体" w:cs="Times New Roman"/>
                      <w:sz w:val="21"/>
                      <w:szCs w:val="21"/>
                      <w:highlight w:val="none"/>
                    </w:rPr>
                  </w:pPr>
                </w:p>
              </w:tc>
              <w:tc>
                <w:tcPr>
                  <w:tcW w:w="341" w:type="pct"/>
                  <w:vMerge w:val="continue"/>
                  <w:tcBorders>
                    <w:left w:val="single" w:color="auto" w:sz="4" w:space="0"/>
                    <w:right w:val="single" w:color="auto" w:sz="4" w:space="0"/>
                  </w:tcBorders>
                  <w:tcMar>
                    <w:top w:w="28" w:type="dxa"/>
                    <w:left w:w="28" w:type="dxa"/>
                    <w:bottom w:w="28" w:type="dxa"/>
                    <w:right w:w="28" w:type="dxa"/>
                  </w:tcMar>
                  <w:vAlign w:val="center"/>
                </w:tcPr>
                <w:p w14:paraId="43CB6B80">
                  <w:pPr>
                    <w:keepNext w:val="0"/>
                    <w:keepLines w:val="0"/>
                    <w:suppressLineNumbers w:val="0"/>
                    <w:spacing w:before="0" w:beforeAutospacing="0" w:after="0" w:afterAutospacing="0" w:line="276" w:lineRule="auto"/>
                    <w:ind w:left="0" w:right="0"/>
                    <w:jc w:val="center"/>
                    <w:rPr>
                      <w:rFonts w:hint="eastAsia" w:ascii="Times New Roman" w:hAnsi="Times New Roman" w:eastAsia="宋体" w:cs="Times New Roman"/>
                      <w:sz w:val="21"/>
                      <w:szCs w:val="21"/>
                      <w:highlight w:val="none"/>
                    </w:rPr>
                  </w:pPr>
                </w:p>
              </w:tc>
              <w:tc>
                <w:tcPr>
                  <w:tcW w:w="344" w:type="pct"/>
                  <w:vMerge w:val="continue"/>
                  <w:tcBorders>
                    <w:left w:val="single" w:color="auto" w:sz="4" w:space="0"/>
                    <w:right w:val="single" w:color="auto" w:sz="4" w:space="0"/>
                  </w:tcBorders>
                  <w:tcMar>
                    <w:top w:w="28" w:type="dxa"/>
                    <w:left w:w="28" w:type="dxa"/>
                    <w:bottom w:w="28" w:type="dxa"/>
                    <w:right w:w="28" w:type="dxa"/>
                  </w:tcMar>
                  <w:vAlign w:val="center"/>
                </w:tcPr>
                <w:p w14:paraId="42818B2D">
                  <w:pPr>
                    <w:keepNext w:val="0"/>
                    <w:keepLines w:val="0"/>
                    <w:suppressLineNumbers w:val="0"/>
                    <w:spacing w:before="0" w:beforeAutospacing="0" w:after="0" w:afterAutospacing="0" w:line="276" w:lineRule="auto"/>
                    <w:ind w:left="0" w:right="0"/>
                    <w:jc w:val="center"/>
                    <w:rPr>
                      <w:rFonts w:hint="eastAsia" w:ascii="Times New Roman" w:hAnsi="Times New Roman" w:eastAsia="宋体" w:cs="Times New Roman"/>
                      <w:color w:val="auto"/>
                      <w:sz w:val="21"/>
                      <w:szCs w:val="21"/>
                      <w:highlight w:val="none"/>
                      <w:lang w:val="en-US" w:eastAsia="zh-CN"/>
                    </w:rPr>
                  </w:pPr>
                </w:p>
              </w:tc>
              <w:tc>
                <w:tcPr>
                  <w:tcW w:w="584" w:type="pct"/>
                  <w:tcBorders>
                    <w:top w:val="single" w:color="auto" w:sz="4" w:space="0"/>
                    <w:left w:val="single" w:color="auto" w:sz="4" w:space="0"/>
                    <w:right w:val="single" w:color="auto" w:sz="4" w:space="0"/>
                  </w:tcBorders>
                  <w:tcMar>
                    <w:top w:w="28" w:type="dxa"/>
                    <w:left w:w="28" w:type="dxa"/>
                    <w:bottom w:w="28" w:type="dxa"/>
                    <w:right w:w="28" w:type="dxa"/>
                  </w:tcMar>
                  <w:vAlign w:val="center"/>
                </w:tcPr>
                <w:p w14:paraId="39FD8CF5">
                  <w:pPr>
                    <w:keepNext w:val="0"/>
                    <w:keepLines w:val="0"/>
                    <w:suppressLineNumbers w:val="0"/>
                    <w:adjustRightInd w:val="0"/>
                    <w:snapToGrid w:val="0"/>
                    <w:spacing w:before="0" w:beforeAutospacing="0" w:after="0" w:afterAutospacing="0" w:line="276" w:lineRule="auto"/>
                    <w:ind w:left="0" w:right="0"/>
                    <w:rPr>
                      <w:rFonts w:hint="eastAsia" w:ascii="Times New Roman" w:hAnsi="Times New Roman" w:eastAsia="宋体" w:cs="Times New Roman"/>
                      <w:sz w:val="21"/>
                      <w:szCs w:val="21"/>
                      <w:highlight w:val="none"/>
                      <w:lang w:val="en-US" w:eastAsia="zh-CN"/>
                    </w:rPr>
                  </w:pPr>
                  <w:r>
                    <w:rPr>
                      <w:rFonts w:hint="eastAsia"/>
                      <w:sz w:val="21"/>
                      <w:szCs w:val="21"/>
                      <w:highlight w:val="none"/>
                      <w:lang w:val="en-US" w:eastAsia="zh-CN"/>
                    </w:rPr>
                    <w:t>一层消毒废气</w:t>
                  </w:r>
                </w:p>
              </w:tc>
              <w:tc>
                <w:tcPr>
                  <w:tcW w:w="3376" w:type="pct"/>
                  <w:gridSpan w:val="2"/>
                  <w:tcBorders>
                    <w:top w:val="single" w:color="auto" w:sz="4" w:space="0"/>
                    <w:left w:val="single" w:color="auto" w:sz="4" w:space="0"/>
                    <w:bottom w:val="single" w:color="auto" w:sz="4" w:space="0"/>
                    <w:right w:val="single" w:color="auto" w:sz="4" w:space="0"/>
                  </w:tcBorders>
                  <w:tcMar>
                    <w:top w:w="28" w:type="dxa"/>
                    <w:left w:w="28" w:type="dxa"/>
                    <w:bottom w:w="28" w:type="dxa"/>
                    <w:right w:w="28" w:type="dxa"/>
                  </w:tcMar>
                  <w:vAlign w:val="center"/>
                </w:tcPr>
                <w:p w14:paraId="579A45EF">
                  <w:pPr>
                    <w:keepNext w:val="0"/>
                    <w:keepLines w:val="0"/>
                    <w:suppressLineNumbers w:val="0"/>
                    <w:spacing w:before="0" w:beforeAutospacing="0" w:after="0" w:afterAutospacing="0" w:line="276" w:lineRule="auto"/>
                    <w:ind w:left="0" w:right="0"/>
                    <w:rPr>
                      <w:rFonts w:hint="eastAsia" w:cs="Times New Roman"/>
                      <w:bCs/>
                      <w:sz w:val="21"/>
                      <w:szCs w:val="21"/>
                      <w:highlight w:val="none"/>
                      <w:lang w:val="en-US" w:eastAsia="zh-CN"/>
                    </w:rPr>
                  </w:pPr>
                  <w:r>
                    <w:rPr>
                      <w:rFonts w:hint="eastAsia" w:cs="Times New Roman"/>
                      <w:bCs/>
                      <w:sz w:val="21"/>
                      <w:szCs w:val="21"/>
                      <w:highlight w:val="none"/>
                      <w:lang w:val="en-US" w:eastAsia="zh-CN"/>
                    </w:rPr>
                    <w:t>实验动物中心一层复苏室、准备室、手术室等区域消毒废气经收集后引入活性炭吸附装置处理后通过30m高排气筒（DA006）高空排放，废气风量为2453</w:t>
                  </w:r>
                  <w:r>
                    <w:rPr>
                      <w:rFonts w:hint="eastAsia" w:ascii="Times New Roman" w:hAnsi="Times New Roman" w:eastAsia="宋体" w:cs="Times New Roman"/>
                      <w:bCs/>
                      <w:sz w:val="21"/>
                      <w:szCs w:val="21"/>
                      <w:highlight w:val="none"/>
                      <w:lang w:val="en-US" w:eastAsia="zh-CN"/>
                    </w:rPr>
                    <w:t>m</w:t>
                  </w:r>
                  <w:r>
                    <w:rPr>
                      <w:rFonts w:hint="eastAsia" w:ascii="Times New Roman" w:hAnsi="Times New Roman" w:eastAsia="宋体" w:cs="Times New Roman"/>
                      <w:bCs/>
                      <w:sz w:val="21"/>
                      <w:szCs w:val="21"/>
                      <w:highlight w:val="none"/>
                      <w:vertAlign w:val="superscript"/>
                      <w:lang w:val="en-US" w:eastAsia="zh-CN"/>
                    </w:rPr>
                    <w:t>3</w:t>
                  </w:r>
                  <w:r>
                    <w:rPr>
                      <w:rFonts w:hint="eastAsia" w:cs="Times New Roman"/>
                      <w:bCs/>
                      <w:sz w:val="21"/>
                      <w:szCs w:val="21"/>
                      <w:highlight w:val="none"/>
                      <w:lang w:val="en-US" w:eastAsia="zh-CN"/>
                    </w:rPr>
                    <w:t>/h。</w:t>
                  </w:r>
                </w:p>
              </w:tc>
            </w:tr>
            <w:tr w14:paraId="3FBC988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963" w:hRule="atLeast"/>
              </w:trPr>
              <w:tc>
                <w:tcPr>
                  <w:tcW w:w="353" w:type="pct"/>
                  <w:vMerge w:val="continue"/>
                  <w:tcBorders>
                    <w:top w:val="single" w:color="auto" w:sz="4" w:space="0"/>
                    <w:left w:val="single" w:color="auto" w:sz="4" w:space="0"/>
                    <w:bottom w:val="single" w:color="auto" w:sz="4" w:space="0"/>
                    <w:right w:val="single" w:color="auto" w:sz="4" w:space="0"/>
                  </w:tcBorders>
                  <w:tcMar>
                    <w:top w:w="28" w:type="dxa"/>
                    <w:left w:w="28" w:type="dxa"/>
                    <w:bottom w:w="28" w:type="dxa"/>
                    <w:right w:w="28" w:type="dxa"/>
                  </w:tcMar>
                  <w:vAlign w:val="center"/>
                </w:tcPr>
                <w:p w14:paraId="205E5BAA">
                  <w:pPr>
                    <w:keepNext w:val="0"/>
                    <w:keepLines w:val="0"/>
                    <w:suppressLineNumbers w:val="0"/>
                    <w:spacing w:before="0" w:beforeAutospacing="0" w:after="0" w:afterAutospacing="0" w:line="276" w:lineRule="auto"/>
                    <w:ind w:left="0" w:right="0"/>
                    <w:jc w:val="center"/>
                    <w:rPr>
                      <w:rFonts w:hint="default" w:ascii="Times New Roman" w:hAnsi="Times New Roman" w:eastAsia="宋体" w:cs="Times New Roman"/>
                      <w:sz w:val="21"/>
                      <w:szCs w:val="21"/>
                      <w:highlight w:val="none"/>
                    </w:rPr>
                  </w:pPr>
                </w:p>
              </w:tc>
              <w:tc>
                <w:tcPr>
                  <w:tcW w:w="341" w:type="pct"/>
                  <w:vMerge w:val="continue"/>
                  <w:tcBorders>
                    <w:left w:val="single" w:color="auto" w:sz="4" w:space="0"/>
                    <w:right w:val="single" w:color="auto" w:sz="4" w:space="0"/>
                  </w:tcBorders>
                  <w:tcMar>
                    <w:top w:w="28" w:type="dxa"/>
                    <w:left w:w="28" w:type="dxa"/>
                    <w:bottom w:w="28" w:type="dxa"/>
                    <w:right w:w="28" w:type="dxa"/>
                  </w:tcMar>
                  <w:vAlign w:val="center"/>
                </w:tcPr>
                <w:p w14:paraId="0E9910A2">
                  <w:pPr>
                    <w:keepNext w:val="0"/>
                    <w:keepLines w:val="0"/>
                    <w:suppressLineNumbers w:val="0"/>
                    <w:spacing w:before="0" w:beforeAutospacing="0" w:after="0" w:afterAutospacing="0" w:line="276" w:lineRule="auto"/>
                    <w:ind w:left="0" w:right="0"/>
                    <w:jc w:val="center"/>
                    <w:rPr>
                      <w:rFonts w:hint="eastAsia" w:ascii="Times New Roman" w:hAnsi="Times New Roman" w:eastAsia="宋体" w:cs="Times New Roman"/>
                      <w:sz w:val="21"/>
                      <w:szCs w:val="21"/>
                      <w:highlight w:val="none"/>
                    </w:rPr>
                  </w:pPr>
                </w:p>
              </w:tc>
              <w:tc>
                <w:tcPr>
                  <w:tcW w:w="344" w:type="pct"/>
                  <w:vMerge w:val="continue"/>
                  <w:tcBorders>
                    <w:left w:val="single" w:color="auto" w:sz="4" w:space="0"/>
                    <w:right w:val="single" w:color="auto" w:sz="4" w:space="0"/>
                  </w:tcBorders>
                  <w:tcMar>
                    <w:top w:w="28" w:type="dxa"/>
                    <w:left w:w="28" w:type="dxa"/>
                    <w:bottom w:w="28" w:type="dxa"/>
                    <w:right w:w="28" w:type="dxa"/>
                  </w:tcMar>
                  <w:vAlign w:val="center"/>
                </w:tcPr>
                <w:p w14:paraId="448CFABD">
                  <w:pPr>
                    <w:keepNext w:val="0"/>
                    <w:keepLines w:val="0"/>
                    <w:suppressLineNumbers w:val="0"/>
                    <w:spacing w:before="0" w:beforeAutospacing="0" w:after="0" w:afterAutospacing="0" w:line="276" w:lineRule="auto"/>
                    <w:ind w:left="0" w:right="0"/>
                    <w:jc w:val="center"/>
                    <w:rPr>
                      <w:rFonts w:hint="eastAsia" w:ascii="Times New Roman" w:hAnsi="Times New Roman" w:eastAsia="宋体" w:cs="Times New Roman"/>
                      <w:color w:val="auto"/>
                      <w:sz w:val="21"/>
                      <w:szCs w:val="21"/>
                      <w:highlight w:val="none"/>
                      <w:lang w:val="en-US" w:eastAsia="zh-CN"/>
                    </w:rPr>
                  </w:pPr>
                </w:p>
              </w:tc>
              <w:tc>
                <w:tcPr>
                  <w:tcW w:w="584" w:type="pct"/>
                  <w:tcBorders>
                    <w:top w:val="single" w:color="auto" w:sz="4" w:space="0"/>
                    <w:left w:val="single" w:color="auto" w:sz="4" w:space="0"/>
                    <w:right w:val="single" w:color="auto" w:sz="4" w:space="0"/>
                  </w:tcBorders>
                  <w:tcMar>
                    <w:top w:w="28" w:type="dxa"/>
                    <w:left w:w="28" w:type="dxa"/>
                    <w:bottom w:w="28" w:type="dxa"/>
                    <w:right w:w="28" w:type="dxa"/>
                  </w:tcMar>
                  <w:vAlign w:val="center"/>
                </w:tcPr>
                <w:p w14:paraId="0EE2977C">
                  <w:pPr>
                    <w:keepNext w:val="0"/>
                    <w:keepLines w:val="0"/>
                    <w:suppressLineNumbers w:val="0"/>
                    <w:adjustRightInd w:val="0"/>
                    <w:snapToGrid w:val="0"/>
                    <w:spacing w:before="0" w:beforeAutospacing="0" w:after="0" w:afterAutospacing="0" w:line="276" w:lineRule="auto"/>
                    <w:ind w:left="0" w:right="0"/>
                    <w:rPr>
                      <w:rFonts w:hint="eastAsia" w:ascii="Times New Roman" w:hAnsi="Times New Roman" w:eastAsia="宋体" w:cs="Times New Roman"/>
                      <w:sz w:val="21"/>
                      <w:szCs w:val="21"/>
                      <w:highlight w:val="none"/>
                      <w:lang w:val="en-US" w:eastAsia="zh-CN"/>
                    </w:rPr>
                  </w:pPr>
                  <w:r>
                    <w:rPr>
                      <w:rFonts w:hint="eastAsia"/>
                      <w:sz w:val="21"/>
                      <w:szCs w:val="21"/>
                      <w:highlight w:val="none"/>
                      <w:lang w:val="en-US" w:eastAsia="zh-CN"/>
                    </w:rPr>
                    <w:t>二层消毒废气、</w:t>
                  </w:r>
                  <w:r>
                    <w:rPr>
                      <w:rFonts w:hint="eastAsia"/>
                      <w:bCs/>
                      <w:kern w:val="0"/>
                      <w:sz w:val="21"/>
                      <w:szCs w:val="21"/>
                      <w:highlight w:val="none"/>
                      <w:lang w:val="en-US" w:eastAsia="zh-CN"/>
                    </w:rPr>
                    <w:t>解剖废气</w:t>
                  </w:r>
                </w:p>
              </w:tc>
              <w:tc>
                <w:tcPr>
                  <w:tcW w:w="3376" w:type="pct"/>
                  <w:gridSpan w:val="2"/>
                  <w:tcBorders>
                    <w:top w:val="single" w:color="auto" w:sz="4" w:space="0"/>
                    <w:left w:val="single" w:color="auto" w:sz="4" w:space="0"/>
                    <w:bottom w:val="single" w:color="auto" w:sz="4" w:space="0"/>
                    <w:right w:val="single" w:color="auto" w:sz="4" w:space="0"/>
                  </w:tcBorders>
                  <w:tcMar>
                    <w:top w:w="28" w:type="dxa"/>
                    <w:left w:w="28" w:type="dxa"/>
                    <w:bottom w:w="28" w:type="dxa"/>
                    <w:right w:w="28" w:type="dxa"/>
                  </w:tcMar>
                  <w:vAlign w:val="center"/>
                </w:tcPr>
                <w:p w14:paraId="6E7F3EB2">
                  <w:pPr>
                    <w:keepNext w:val="0"/>
                    <w:keepLines w:val="0"/>
                    <w:suppressLineNumbers w:val="0"/>
                    <w:spacing w:before="0" w:beforeAutospacing="0" w:after="0" w:afterAutospacing="0" w:line="276" w:lineRule="auto"/>
                    <w:ind w:left="0" w:right="0"/>
                    <w:rPr>
                      <w:rFonts w:hint="eastAsia" w:cs="Times New Roman"/>
                      <w:bCs/>
                      <w:sz w:val="21"/>
                      <w:szCs w:val="21"/>
                      <w:highlight w:val="none"/>
                      <w:lang w:val="en-US" w:eastAsia="zh-CN"/>
                    </w:rPr>
                  </w:pPr>
                  <w:r>
                    <w:rPr>
                      <w:rFonts w:hint="eastAsia" w:cs="Times New Roman"/>
                      <w:bCs/>
                      <w:sz w:val="21"/>
                      <w:szCs w:val="21"/>
                      <w:highlight w:val="none"/>
                      <w:lang w:val="en-US" w:eastAsia="zh-CN"/>
                    </w:rPr>
                    <w:t>二层洗消室、准备间、解剖室等区域消毒废气以及二层解剖室解剖废气经活性炭吸附装置处理后通过30m高排气筒（DA007）高空排放，废气风量为14900</w:t>
                  </w:r>
                  <w:r>
                    <w:rPr>
                      <w:rFonts w:hint="eastAsia" w:ascii="Times New Roman" w:hAnsi="Times New Roman" w:eastAsia="宋体" w:cs="Times New Roman"/>
                      <w:bCs/>
                      <w:sz w:val="21"/>
                      <w:szCs w:val="21"/>
                      <w:highlight w:val="none"/>
                      <w:lang w:val="en-US" w:eastAsia="zh-CN"/>
                    </w:rPr>
                    <w:t>m</w:t>
                  </w:r>
                  <w:r>
                    <w:rPr>
                      <w:rFonts w:hint="eastAsia" w:ascii="Times New Roman" w:hAnsi="Times New Roman" w:eastAsia="宋体" w:cs="Times New Roman"/>
                      <w:bCs/>
                      <w:sz w:val="21"/>
                      <w:szCs w:val="21"/>
                      <w:highlight w:val="none"/>
                      <w:vertAlign w:val="superscript"/>
                      <w:lang w:val="en-US" w:eastAsia="zh-CN"/>
                    </w:rPr>
                    <w:t>3</w:t>
                  </w:r>
                  <w:r>
                    <w:rPr>
                      <w:rFonts w:hint="eastAsia" w:cs="Times New Roman"/>
                      <w:bCs/>
                      <w:sz w:val="21"/>
                      <w:szCs w:val="21"/>
                      <w:highlight w:val="none"/>
                      <w:lang w:val="en-US" w:eastAsia="zh-CN"/>
                    </w:rPr>
                    <w:t>/h。</w:t>
                  </w:r>
                </w:p>
              </w:tc>
            </w:tr>
            <w:tr w14:paraId="2F65B36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90" w:hRule="atLeast"/>
              </w:trPr>
              <w:tc>
                <w:tcPr>
                  <w:tcW w:w="353" w:type="pct"/>
                  <w:vMerge w:val="continue"/>
                  <w:tcBorders>
                    <w:top w:val="single" w:color="auto" w:sz="4" w:space="0"/>
                    <w:left w:val="single" w:color="auto" w:sz="4" w:space="0"/>
                    <w:bottom w:val="single" w:color="auto" w:sz="4" w:space="0"/>
                    <w:right w:val="single" w:color="auto" w:sz="4" w:space="0"/>
                  </w:tcBorders>
                  <w:tcMar>
                    <w:top w:w="28" w:type="dxa"/>
                    <w:left w:w="28" w:type="dxa"/>
                    <w:bottom w:w="28" w:type="dxa"/>
                    <w:right w:w="28" w:type="dxa"/>
                  </w:tcMar>
                  <w:vAlign w:val="center"/>
                </w:tcPr>
                <w:p w14:paraId="298CC1F1">
                  <w:pPr>
                    <w:keepNext w:val="0"/>
                    <w:keepLines w:val="0"/>
                    <w:suppressLineNumbers w:val="0"/>
                    <w:spacing w:before="0" w:beforeAutospacing="0" w:after="0" w:afterAutospacing="0" w:line="276" w:lineRule="auto"/>
                    <w:ind w:left="0" w:right="0"/>
                    <w:jc w:val="center"/>
                    <w:rPr>
                      <w:rFonts w:hint="default" w:ascii="Times New Roman" w:hAnsi="Times New Roman" w:eastAsia="宋体" w:cs="Times New Roman"/>
                      <w:sz w:val="21"/>
                      <w:szCs w:val="21"/>
                      <w:highlight w:val="none"/>
                    </w:rPr>
                  </w:pPr>
                </w:p>
              </w:tc>
              <w:tc>
                <w:tcPr>
                  <w:tcW w:w="341" w:type="pct"/>
                  <w:vMerge w:val="continue"/>
                  <w:tcBorders>
                    <w:left w:val="single" w:color="auto" w:sz="4" w:space="0"/>
                    <w:right w:val="single" w:color="auto" w:sz="4" w:space="0"/>
                  </w:tcBorders>
                  <w:tcMar>
                    <w:top w:w="28" w:type="dxa"/>
                    <w:left w:w="28" w:type="dxa"/>
                    <w:bottom w:w="28" w:type="dxa"/>
                    <w:right w:w="28" w:type="dxa"/>
                  </w:tcMar>
                  <w:vAlign w:val="center"/>
                </w:tcPr>
                <w:p w14:paraId="5DE622F2">
                  <w:pPr>
                    <w:keepNext w:val="0"/>
                    <w:keepLines w:val="0"/>
                    <w:suppressLineNumbers w:val="0"/>
                    <w:spacing w:before="0" w:beforeAutospacing="0" w:after="0" w:afterAutospacing="0" w:line="276" w:lineRule="auto"/>
                    <w:ind w:left="0" w:right="0"/>
                    <w:jc w:val="center"/>
                    <w:rPr>
                      <w:rFonts w:hint="eastAsia" w:ascii="Times New Roman" w:hAnsi="Times New Roman" w:eastAsia="宋体" w:cs="Times New Roman"/>
                      <w:sz w:val="21"/>
                      <w:szCs w:val="21"/>
                      <w:highlight w:val="none"/>
                    </w:rPr>
                  </w:pPr>
                </w:p>
              </w:tc>
              <w:tc>
                <w:tcPr>
                  <w:tcW w:w="344" w:type="pct"/>
                  <w:vMerge w:val="continue"/>
                  <w:tcBorders>
                    <w:left w:val="single" w:color="auto" w:sz="4" w:space="0"/>
                    <w:right w:val="single" w:color="auto" w:sz="4" w:space="0"/>
                  </w:tcBorders>
                  <w:tcMar>
                    <w:top w:w="28" w:type="dxa"/>
                    <w:left w:w="28" w:type="dxa"/>
                    <w:bottom w:w="28" w:type="dxa"/>
                    <w:right w:w="28" w:type="dxa"/>
                  </w:tcMar>
                  <w:vAlign w:val="center"/>
                </w:tcPr>
                <w:p w14:paraId="1DCE948F">
                  <w:pPr>
                    <w:keepNext w:val="0"/>
                    <w:keepLines w:val="0"/>
                    <w:suppressLineNumbers w:val="0"/>
                    <w:spacing w:before="0" w:beforeAutospacing="0" w:after="0" w:afterAutospacing="0" w:line="276" w:lineRule="auto"/>
                    <w:ind w:left="0" w:right="0"/>
                    <w:jc w:val="center"/>
                    <w:rPr>
                      <w:rFonts w:hint="eastAsia" w:ascii="Times New Roman" w:hAnsi="Times New Roman" w:eastAsia="宋体" w:cs="Times New Roman"/>
                      <w:color w:val="auto"/>
                      <w:sz w:val="21"/>
                      <w:szCs w:val="21"/>
                      <w:highlight w:val="none"/>
                      <w:lang w:val="en-US" w:eastAsia="zh-CN"/>
                    </w:rPr>
                  </w:pPr>
                </w:p>
              </w:tc>
              <w:tc>
                <w:tcPr>
                  <w:tcW w:w="584" w:type="pct"/>
                  <w:tcBorders>
                    <w:top w:val="single" w:color="auto" w:sz="4" w:space="0"/>
                    <w:left w:val="single" w:color="auto" w:sz="4" w:space="0"/>
                    <w:right w:val="single" w:color="auto" w:sz="4" w:space="0"/>
                  </w:tcBorders>
                  <w:tcMar>
                    <w:top w:w="28" w:type="dxa"/>
                    <w:left w:w="28" w:type="dxa"/>
                    <w:bottom w:w="28" w:type="dxa"/>
                    <w:right w:w="28" w:type="dxa"/>
                  </w:tcMar>
                  <w:vAlign w:val="center"/>
                </w:tcPr>
                <w:p w14:paraId="0F01ECE7">
                  <w:pPr>
                    <w:keepNext w:val="0"/>
                    <w:keepLines w:val="0"/>
                    <w:suppressLineNumbers w:val="0"/>
                    <w:adjustRightInd w:val="0"/>
                    <w:snapToGrid w:val="0"/>
                    <w:spacing w:before="0" w:beforeAutospacing="0" w:after="0" w:afterAutospacing="0" w:line="276" w:lineRule="auto"/>
                    <w:ind w:left="0" w:right="0"/>
                    <w:rPr>
                      <w:rFonts w:hint="eastAsia" w:ascii="Times New Roman" w:hAnsi="Times New Roman" w:eastAsia="宋体" w:cs="Times New Roman"/>
                      <w:sz w:val="21"/>
                      <w:szCs w:val="21"/>
                      <w:highlight w:val="none"/>
                      <w:lang w:val="en-US" w:eastAsia="zh-CN"/>
                    </w:rPr>
                  </w:pPr>
                  <w:r>
                    <w:rPr>
                      <w:rFonts w:hint="eastAsia"/>
                      <w:sz w:val="21"/>
                      <w:szCs w:val="21"/>
                      <w:highlight w:val="none"/>
                      <w:lang w:val="en-US" w:eastAsia="zh-CN"/>
                    </w:rPr>
                    <w:t>三层消毒废气</w:t>
                  </w:r>
                </w:p>
              </w:tc>
              <w:tc>
                <w:tcPr>
                  <w:tcW w:w="3376" w:type="pct"/>
                  <w:gridSpan w:val="2"/>
                  <w:tcBorders>
                    <w:top w:val="single" w:color="auto" w:sz="4" w:space="0"/>
                    <w:left w:val="single" w:color="auto" w:sz="4" w:space="0"/>
                    <w:bottom w:val="single" w:color="auto" w:sz="4" w:space="0"/>
                    <w:right w:val="single" w:color="auto" w:sz="4" w:space="0"/>
                  </w:tcBorders>
                  <w:tcMar>
                    <w:top w:w="28" w:type="dxa"/>
                    <w:left w:w="28" w:type="dxa"/>
                    <w:bottom w:w="28" w:type="dxa"/>
                    <w:right w:w="28" w:type="dxa"/>
                  </w:tcMar>
                  <w:vAlign w:val="center"/>
                </w:tcPr>
                <w:p w14:paraId="5DB19071">
                  <w:pPr>
                    <w:keepNext w:val="0"/>
                    <w:keepLines w:val="0"/>
                    <w:suppressLineNumbers w:val="0"/>
                    <w:spacing w:before="0" w:beforeAutospacing="0" w:after="0" w:afterAutospacing="0" w:line="276" w:lineRule="auto"/>
                    <w:ind w:left="0" w:right="0"/>
                    <w:rPr>
                      <w:rFonts w:hint="eastAsia" w:cs="Times New Roman"/>
                      <w:bCs/>
                      <w:sz w:val="21"/>
                      <w:szCs w:val="21"/>
                      <w:highlight w:val="none"/>
                      <w:lang w:val="en-US" w:eastAsia="zh-CN"/>
                    </w:rPr>
                  </w:pPr>
                  <w:r>
                    <w:rPr>
                      <w:rFonts w:hint="eastAsia" w:cs="Times New Roman"/>
                      <w:bCs/>
                      <w:sz w:val="21"/>
                      <w:szCs w:val="21"/>
                      <w:highlight w:val="none"/>
                      <w:lang w:val="en-US" w:eastAsia="zh-CN"/>
                    </w:rPr>
                    <w:t>三层普通实验区域消毒废气经活性炭吸附装置处理后通过30m高排气筒（DA008）高空排放，废气风量为8370</w:t>
                  </w:r>
                  <w:r>
                    <w:rPr>
                      <w:rFonts w:hint="eastAsia" w:ascii="Times New Roman" w:hAnsi="Times New Roman" w:eastAsia="宋体" w:cs="Times New Roman"/>
                      <w:bCs/>
                      <w:sz w:val="21"/>
                      <w:szCs w:val="21"/>
                      <w:highlight w:val="none"/>
                      <w:lang w:val="en-US" w:eastAsia="zh-CN"/>
                    </w:rPr>
                    <w:t>m</w:t>
                  </w:r>
                  <w:r>
                    <w:rPr>
                      <w:rFonts w:hint="eastAsia" w:ascii="Times New Roman" w:hAnsi="Times New Roman" w:eastAsia="宋体" w:cs="Times New Roman"/>
                      <w:bCs/>
                      <w:sz w:val="21"/>
                      <w:szCs w:val="21"/>
                      <w:highlight w:val="none"/>
                      <w:vertAlign w:val="superscript"/>
                      <w:lang w:val="en-US" w:eastAsia="zh-CN"/>
                    </w:rPr>
                    <w:t>3</w:t>
                  </w:r>
                  <w:r>
                    <w:rPr>
                      <w:rFonts w:hint="eastAsia" w:cs="Times New Roman"/>
                      <w:bCs/>
                      <w:sz w:val="21"/>
                      <w:szCs w:val="21"/>
                      <w:highlight w:val="none"/>
                      <w:lang w:val="en-US" w:eastAsia="zh-CN"/>
                    </w:rPr>
                    <w:t>/h。</w:t>
                  </w:r>
                </w:p>
              </w:tc>
            </w:tr>
            <w:tr w14:paraId="0D88E9A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44" w:hRule="atLeast"/>
              </w:trPr>
              <w:tc>
                <w:tcPr>
                  <w:tcW w:w="353" w:type="pct"/>
                  <w:vMerge w:val="continue"/>
                  <w:tcBorders>
                    <w:top w:val="single" w:color="auto" w:sz="4" w:space="0"/>
                    <w:left w:val="single" w:color="auto" w:sz="4" w:space="0"/>
                    <w:bottom w:val="single" w:color="auto" w:sz="4" w:space="0"/>
                    <w:right w:val="single" w:color="auto" w:sz="4" w:space="0"/>
                  </w:tcBorders>
                  <w:tcMar>
                    <w:top w:w="28" w:type="dxa"/>
                    <w:left w:w="28" w:type="dxa"/>
                    <w:bottom w:w="28" w:type="dxa"/>
                    <w:right w:w="28" w:type="dxa"/>
                  </w:tcMar>
                  <w:vAlign w:val="center"/>
                </w:tcPr>
                <w:p w14:paraId="2E6AFC27">
                  <w:pPr>
                    <w:keepNext w:val="0"/>
                    <w:keepLines w:val="0"/>
                    <w:suppressLineNumbers w:val="0"/>
                    <w:spacing w:before="0" w:beforeAutospacing="0" w:after="0" w:afterAutospacing="0" w:line="276" w:lineRule="auto"/>
                    <w:ind w:left="0" w:right="0"/>
                    <w:jc w:val="center"/>
                    <w:rPr>
                      <w:rFonts w:hint="default" w:ascii="Times New Roman" w:hAnsi="Times New Roman" w:eastAsia="宋体" w:cs="Times New Roman"/>
                      <w:sz w:val="21"/>
                      <w:szCs w:val="21"/>
                      <w:highlight w:val="none"/>
                    </w:rPr>
                  </w:pPr>
                </w:p>
              </w:tc>
              <w:tc>
                <w:tcPr>
                  <w:tcW w:w="341" w:type="pct"/>
                  <w:vMerge w:val="continue"/>
                  <w:tcBorders>
                    <w:left w:val="single" w:color="auto" w:sz="4" w:space="0"/>
                    <w:right w:val="single" w:color="auto" w:sz="4" w:space="0"/>
                  </w:tcBorders>
                  <w:tcMar>
                    <w:top w:w="28" w:type="dxa"/>
                    <w:left w:w="28" w:type="dxa"/>
                    <w:bottom w:w="28" w:type="dxa"/>
                    <w:right w:w="28" w:type="dxa"/>
                  </w:tcMar>
                  <w:vAlign w:val="center"/>
                </w:tcPr>
                <w:p w14:paraId="40C6C0A6">
                  <w:pPr>
                    <w:keepNext w:val="0"/>
                    <w:keepLines w:val="0"/>
                    <w:suppressLineNumbers w:val="0"/>
                    <w:spacing w:before="0" w:beforeAutospacing="0" w:after="0" w:afterAutospacing="0" w:line="276" w:lineRule="auto"/>
                    <w:ind w:left="0" w:right="0"/>
                    <w:jc w:val="center"/>
                    <w:rPr>
                      <w:rFonts w:hint="eastAsia" w:ascii="Times New Roman" w:hAnsi="Times New Roman" w:eastAsia="宋体" w:cs="Times New Roman"/>
                      <w:sz w:val="21"/>
                      <w:szCs w:val="21"/>
                      <w:highlight w:val="none"/>
                    </w:rPr>
                  </w:pPr>
                </w:p>
              </w:tc>
              <w:tc>
                <w:tcPr>
                  <w:tcW w:w="344" w:type="pct"/>
                  <w:vMerge w:val="continue"/>
                  <w:tcBorders>
                    <w:left w:val="single" w:color="auto" w:sz="4" w:space="0"/>
                    <w:right w:val="single" w:color="auto" w:sz="4" w:space="0"/>
                  </w:tcBorders>
                  <w:tcMar>
                    <w:top w:w="28" w:type="dxa"/>
                    <w:left w:w="28" w:type="dxa"/>
                    <w:bottom w:w="28" w:type="dxa"/>
                    <w:right w:w="28" w:type="dxa"/>
                  </w:tcMar>
                  <w:vAlign w:val="center"/>
                </w:tcPr>
                <w:p w14:paraId="174186CD">
                  <w:pPr>
                    <w:keepNext w:val="0"/>
                    <w:keepLines w:val="0"/>
                    <w:suppressLineNumbers w:val="0"/>
                    <w:spacing w:before="0" w:beforeAutospacing="0" w:after="0" w:afterAutospacing="0" w:line="276" w:lineRule="auto"/>
                    <w:ind w:left="0" w:right="0"/>
                    <w:jc w:val="center"/>
                    <w:rPr>
                      <w:rFonts w:hint="eastAsia" w:ascii="Times New Roman" w:hAnsi="Times New Roman" w:eastAsia="宋体" w:cs="Times New Roman"/>
                      <w:color w:val="auto"/>
                      <w:sz w:val="21"/>
                      <w:szCs w:val="21"/>
                      <w:highlight w:val="none"/>
                      <w:lang w:val="en-US" w:eastAsia="zh-CN"/>
                    </w:rPr>
                  </w:pPr>
                </w:p>
              </w:tc>
              <w:tc>
                <w:tcPr>
                  <w:tcW w:w="584" w:type="pct"/>
                  <w:tcBorders>
                    <w:top w:val="single" w:color="auto" w:sz="4" w:space="0"/>
                    <w:left w:val="single" w:color="auto" w:sz="4" w:space="0"/>
                    <w:right w:val="single" w:color="auto" w:sz="4" w:space="0"/>
                  </w:tcBorders>
                  <w:tcMar>
                    <w:top w:w="28" w:type="dxa"/>
                    <w:left w:w="28" w:type="dxa"/>
                    <w:bottom w:w="28" w:type="dxa"/>
                    <w:right w:w="28" w:type="dxa"/>
                  </w:tcMar>
                  <w:vAlign w:val="center"/>
                </w:tcPr>
                <w:p w14:paraId="5B928C9A">
                  <w:pPr>
                    <w:keepNext w:val="0"/>
                    <w:keepLines w:val="0"/>
                    <w:suppressLineNumbers w:val="0"/>
                    <w:adjustRightInd w:val="0"/>
                    <w:snapToGrid w:val="0"/>
                    <w:spacing w:before="0" w:beforeAutospacing="0" w:after="0" w:afterAutospacing="0" w:line="276" w:lineRule="auto"/>
                    <w:ind w:left="0" w:right="0"/>
                    <w:rPr>
                      <w:rFonts w:hint="eastAsia" w:ascii="Times New Roman" w:hAnsi="Times New Roman" w:eastAsia="宋体" w:cs="Times New Roman"/>
                      <w:sz w:val="21"/>
                      <w:szCs w:val="21"/>
                      <w:highlight w:val="none"/>
                      <w:lang w:val="en-US" w:eastAsia="zh-CN"/>
                    </w:rPr>
                  </w:pPr>
                  <w:r>
                    <w:rPr>
                      <w:rFonts w:hint="eastAsia"/>
                      <w:bCs/>
                      <w:kern w:val="0"/>
                      <w:sz w:val="21"/>
                      <w:szCs w:val="21"/>
                      <w:highlight w:val="none"/>
                      <w:lang w:val="en-US" w:eastAsia="zh-CN"/>
                    </w:rPr>
                    <w:t>三层</w:t>
                  </w:r>
                  <w:r>
                    <w:rPr>
                      <w:rFonts w:hint="eastAsia"/>
                      <w:sz w:val="21"/>
                      <w:szCs w:val="21"/>
                      <w:highlight w:val="none"/>
                      <w:lang w:val="en-US" w:eastAsia="zh-CN"/>
                    </w:rPr>
                    <w:t>消毒废气、</w:t>
                  </w:r>
                  <w:r>
                    <w:rPr>
                      <w:rFonts w:hint="eastAsia"/>
                      <w:bCs/>
                      <w:kern w:val="0"/>
                      <w:sz w:val="21"/>
                      <w:szCs w:val="21"/>
                      <w:highlight w:val="none"/>
                      <w:lang w:val="en-US" w:eastAsia="zh-CN"/>
                    </w:rPr>
                    <w:t>解剖废气</w:t>
                  </w:r>
                </w:p>
              </w:tc>
              <w:tc>
                <w:tcPr>
                  <w:tcW w:w="3376" w:type="pct"/>
                  <w:gridSpan w:val="2"/>
                  <w:tcBorders>
                    <w:top w:val="single" w:color="auto" w:sz="4" w:space="0"/>
                    <w:left w:val="single" w:color="auto" w:sz="4" w:space="0"/>
                    <w:bottom w:val="single" w:color="auto" w:sz="4" w:space="0"/>
                    <w:right w:val="single" w:color="auto" w:sz="4" w:space="0"/>
                  </w:tcBorders>
                  <w:tcMar>
                    <w:top w:w="28" w:type="dxa"/>
                    <w:left w:w="28" w:type="dxa"/>
                    <w:bottom w:w="28" w:type="dxa"/>
                    <w:right w:w="28" w:type="dxa"/>
                  </w:tcMar>
                  <w:vAlign w:val="center"/>
                </w:tcPr>
                <w:p w14:paraId="3449A2ED">
                  <w:pPr>
                    <w:keepNext w:val="0"/>
                    <w:keepLines w:val="0"/>
                    <w:suppressLineNumbers w:val="0"/>
                    <w:spacing w:before="0" w:beforeAutospacing="0" w:after="0" w:afterAutospacing="0" w:line="276" w:lineRule="auto"/>
                    <w:ind w:left="0" w:right="0"/>
                    <w:rPr>
                      <w:rFonts w:hint="eastAsia" w:cs="Times New Roman"/>
                      <w:bCs/>
                      <w:sz w:val="21"/>
                      <w:szCs w:val="21"/>
                      <w:highlight w:val="none"/>
                      <w:lang w:val="en-US" w:eastAsia="zh-CN"/>
                    </w:rPr>
                  </w:pPr>
                  <w:r>
                    <w:rPr>
                      <w:rFonts w:hint="eastAsia" w:cs="Times New Roman"/>
                      <w:bCs/>
                      <w:sz w:val="21"/>
                      <w:szCs w:val="21"/>
                      <w:highlight w:val="none"/>
                      <w:lang w:val="en-US" w:eastAsia="zh-CN"/>
                    </w:rPr>
                    <w:t>三层外准备间、解剖室等区域消毒废气以及解剖废气经活性炭吸附装置处理后通过30m高排气筒（DA009）高空排放，废气风量为7820</w:t>
                  </w:r>
                  <w:r>
                    <w:rPr>
                      <w:rFonts w:hint="eastAsia" w:ascii="Times New Roman" w:hAnsi="Times New Roman" w:eastAsia="宋体" w:cs="Times New Roman"/>
                      <w:bCs/>
                      <w:sz w:val="21"/>
                      <w:szCs w:val="21"/>
                      <w:highlight w:val="none"/>
                      <w:lang w:val="en-US" w:eastAsia="zh-CN"/>
                    </w:rPr>
                    <w:t>m</w:t>
                  </w:r>
                  <w:r>
                    <w:rPr>
                      <w:rFonts w:hint="eastAsia" w:ascii="Times New Roman" w:hAnsi="Times New Roman" w:eastAsia="宋体" w:cs="Times New Roman"/>
                      <w:bCs/>
                      <w:sz w:val="21"/>
                      <w:szCs w:val="21"/>
                      <w:highlight w:val="none"/>
                      <w:vertAlign w:val="superscript"/>
                      <w:lang w:val="en-US" w:eastAsia="zh-CN"/>
                    </w:rPr>
                    <w:t>3</w:t>
                  </w:r>
                  <w:r>
                    <w:rPr>
                      <w:rFonts w:hint="eastAsia" w:cs="Times New Roman"/>
                      <w:bCs/>
                      <w:sz w:val="21"/>
                      <w:szCs w:val="21"/>
                      <w:highlight w:val="none"/>
                      <w:lang w:val="en-US" w:eastAsia="zh-CN"/>
                    </w:rPr>
                    <w:t>/h。</w:t>
                  </w:r>
                </w:p>
              </w:tc>
            </w:tr>
            <w:tr w14:paraId="7915D72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05" w:hRule="atLeast"/>
              </w:trPr>
              <w:tc>
                <w:tcPr>
                  <w:tcW w:w="353" w:type="pct"/>
                  <w:vMerge w:val="continue"/>
                  <w:tcBorders>
                    <w:top w:val="single" w:color="auto" w:sz="4" w:space="0"/>
                    <w:left w:val="single" w:color="auto" w:sz="4" w:space="0"/>
                    <w:bottom w:val="single" w:color="auto" w:sz="4" w:space="0"/>
                    <w:right w:val="single" w:color="auto" w:sz="4" w:space="0"/>
                  </w:tcBorders>
                  <w:tcMar>
                    <w:top w:w="28" w:type="dxa"/>
                    <w:left w:w="28" w:type="dxa"/>
                    <w:bottom w:w="28" w:type="dxa"/>
                    <w:right w:w="28" w:type="dxa"/>
                  </w:tcMar>
                  <w:vAlign w:val="center"/>
                </w:tcPr>
                <w:p w14:paraId="4F23BC3A">
                  <w:pPr>
                    <w:keepNext w:val="0"/>
                    <w:keepLines w:val="0"/>
                    <w:suppressLineNumbers w:val="0"/>
                    <w:spacing w:before="0" w:beforeAutospacing="0" w:after="0" w:afterAutospacing="0" w:line="276" w:lineRule="auto"/>
                    <w:ind w:left="0" w:right="0"/>
                    <w:jc w:val="center"/>
                    <w:rPr>
                      <w:rFonts w:hint="default" w:ascii="Times New Roman" w:hAnsi="Times New Roman" w:eastAsia="宋体" w:cs="Times New Roman"/>
                      <w:sz w:val="21"/>
                      <w:szCs w:val="21"/>
                      <w:highlight w:val="none"/>
                    </w:rPr>
                  </w:pPr>
                </w:p>
              </w:tc>
              <w:tc>
                <w:tcPr>
                  <w:tcW w:w="341" w:type="pct"/>
                  <w:vMerge w:val="continue"/>
                  <w:tcBorders>
                    <w:left w:val="single" w:color="auto" w:sz="4" w:space="0"/>
                    <w:right w:val="single" w:color="auto" w:sz="4" w:space="0"/>
                  </w:tcBorders>
                  <w:tcMar>
                    <w:top w:w="28" w:type="dxa"/>
                    <w:left w:w="28" w:type="dxa"/>
                    <w:bottom w:w="28" w:type="dxa"/>
                    <w:right w:w="28" w:type="dxa"/>
                  </w:tcMar>
                  <w:vAlign w:val="center"/>
                </w:tcPr>
                <w:p w14:paraId="6F9FF3E8">
                  <w:pPr>
                    <w:keepNext w:val="0"/>
                    <w:keepLines w:val="0"/>
                    <w:suppressLineNumbers w:val="0"/>
                    <w:spacing w:before="0" w:beforeAutospacing="0" w:after="0" w:afterAutospacing="0" w:line="276" w:lineRule="auto"/>
                    <w:ind w:left="0" w:right="0"/>
                    <w:jc w:val="center"/>
                    <w:rPr>
                      <w:rFonts w:hint="eastAsia" w:ascii="Times New Roman" w:hAnsi="Times New Roman" w:eastAsia="宋体" w:cs="Times New Roman"/>
                      <w:sz w:val="21"/>
                      <w:szCs w:val="21"/>
                      <w:highlight w:val="none"/>
                    </w:rPr>
                  </w:pPr>
                </w:p>
              </w:tc>
              <w:tc>
                <w:tcPr>
                  <w:tcW w:w="344" w:type="pct"/>
                  <w:vMerge w:val="continue"/>
                  <w:tcBorders>
                    <w:left w:val="single" w:color="auto" w:sz="4" w:space="0"/>
                    <w:right w:val="single" w:color="auto" w:sz="4" w:space="0"/>
                  </w:tcBorders>
                  <w:tcMar>
                    <w:top w:w="28" w:type="dxa"/>
                    <w:left w:w="28" w:type="dxa"/>
                    <w:bottom w:w="28" w:type="dxa"/>
                    <w:right w:w="28" w:type="dxa"/>
                  </w:tcMar>
                  <w:vAlign w:val="center"/>
                </w:tcPr>
                <w:p w14:paraId="0820F10A">
                  <w:pPr>
                    <w:keepNext w:val="0"/>
                    <w:keepLines w:val="0"/>
                    <w:suppressLineNumbers w:val="0"/>
                    <w:spacing w:before="0" w:beforeAutospacing="0" w:after="0" w:afterAutospacing="0" w:line="276" w:lineRule="auto"/>
                    <w:ind w:left="0" w:right="0"/>
                    <w:jc w:val="center"/>
                    <w:rPr>
                      <w:rFonts w:hint="eastAsia" w:ascii="Times New Roman" w:hAnsi="Times New Roman" w:eastAsia="宋体" w:cs="Times New Roman"/>
                      <w:color w:val="auto"/>
                      <w:sz w:val="21"/>
                      <w:szCs w:val="21"/>
                      <w:highlight w:val="none"/>
                      <w:lang w:val="en-US" w:eastAsia="zh-CN"/>
                    </w:rPr>
                  </w:pPr>
                </w:p>
              </w:tc>
              <w:tc>
                <w:tcPr>
                  <w:tcW w:w="584" w:type="pct"/>
                  <w:tcBorders>
                    <w:top w:val="single" w:color="auto" w:sz="4" w:space="0"/>
                    <w:left w:val="single" w:color="auto" w:sz="4" w:space="0"/>
                    <w:right w:val="single" w:color="auto" w:sz="4" w:space="0"/>
                  </w:tcBorders>
                  <w:tcMar>
                    <w:top w:w="28" w:type="dxa"/>
                    <w:left w:w="28" w:type="dxa"/>
                    <w:bottom w:w="28" w:type="dxa"/>
                    <w:right w:w="28" w:type="dxa"/>
                  </w:tcMar>
                  <w:vAlign w:val="center"/>
                </w:tcPr>
                <w:p w14:paraId="486EE3D6">
                  <w:pPr>
                    <w:keepNext w:val="0"/>
                    <w:keepLines w:val="0"/>
                    <w:suppressLineNumbers w:val="0"/>
                    <w:adjustRightInd w:val="0"/>
                    <w:snapToGrid w:val="0"/>
                    <w:spacing w:before="0" w:beforeAutospacing="0" w:after="0" w:afterAutospacing="0" w:line="276" w:lineRule="auto"/>
                    <w:ind w:left="0" w:right="0"/>
                    <w:rPr>
                      <w:rFonts w:hint="eastAsia" w:ascii="Times New Roman" w:hAnsi="Times New Roman" w:eastAsia="宋体" w:cs="Times New Roman"/>
                      <w:sz w:val="21"/>
                      <w:szCs w:val="21"/>
                      <w:highlight w:val="none"/>
                      <w:lang w:val="en-US" w:eastAsia="zh-CN"/>
                    </w:rPr>
                  </w:pPr>
                  <w:r>
                    <w:rPr>
                      <w:rFonts w:hint="eastAsia"/>
                      <w:bCs/>
                      <w:kern w:val="0"/>
                      <w:sz w:val="21"/>
                      <w:szCs w:val="21"/>
                      <w:highlight w:val="none"/>
                      <w:lang w:val="en-US" w:eastAsia="zh-CN"/>
                    </w:rPr>
                    <w:t>一层解剖废气、危废暂存间废气</w:t>
                  </w:r>
                </w:p>
              </w:tc>
              <w:tc>
                <w:tcPr>
                  <w:tcW w:w="3376" w:type="pct"/>
                  <w:gridSpan w:val="2"/>
                  <w:tcBorders>
                    <w:top w:val="single" w:color="auto" w:sz="4" w:space="0"/>
                    <w:left w:val="single" w:color="auto" w:sz="4" w:space="0"/>
                    <w:bottom w:val="single" w:color="auto" w:sz="4" w:space="0"/>
                    <w:right w:val="single" w:color="auto" w:sz="4" w:space="0"/>
                  </w:tcBorders>
                  <w:tcMar>
                    <w:top w:w="28" w:type="dxa"/>
                    <w:left w:w="28" w:type="dxa"/>
                    <w:bottom w:w="28" w:type="dxa"/>
                    <w:right w:w="28" w:type="dxa"/>
                  </w:tcMar>
                  <w:vAlign w:val="center"/>
                </w:tcPr>
                <w:p w14:paraId="45B38231">
                  <w:pPr>
                    <w:keepNext w:val="0"/>
                    <w:keepLines w:val="0"/>
                    <w:suppressLineNumbers w:val="0"/>
                    <w:spacing w:before="0" w:beforeAutospacing="0" w:after="0" w:afterAutospacing="0" w:line="276" w:lineRule="auto"/>
                    <w:ind w:left="0" w:right="0"/>
                    <w:rPr>
                      <w:rFonts w:hint="eastAsia" w:cs="Times New Roman"/>
                      <w:bCs/>
                      <w:sz w:val="21"/>
                      <w:szCs w:val="21"/>
                      <w:highlight w:val="none"/>
                      <w:lang w:val="en-US" w:eastAsia="zh-CN"/>
                    </w:rPr>
                  </w:pPr>
                  <w:r>
                    <w:rPr>
                      <w:rFonts w:hint="eastAsia" w:cs="Times New Roman"/>
                      <w:bCs/>
                      <w:sz w:val="21"/>
                      <w:szCs w:val="21"/>
                      <w:highlight w:val="none"/>
                      <w:lang w:val="en-US" w:eastAsia="zh-CN"/>
                    </w:rPr>
                    <w:t>一层危废暂存间、一般固废暂存间废气以及一层解剖室解剖废气经活性炭吸附装置处理后通过30m高排气筒（DA010）高空排放，废气风量为6000</w:t>
                  </w:r>
                  <w:r>
                    <w:rPr>
                      <w:rFonts w:hint="eastAsia" w:ascii="Times New Roman" w:hAnsi="Times New Roman" w:eastAsia="宋体" w:cs="Times New Roman"/>
                      <w:bCs/>
                      <w:sz w:val="21"/>
                      <w:szCs w:val="21"/>
                      <w:highlight w:val="none"/>
                      <w:lang w:val="en-US" w:eastAsia="zh-CN"/>
                    </w:rPr>
                    <w:t>m</w:t>
                  </w:r>
                  <w:r>
                    <w:rPr>
                      <w:rFonts w:hint="eastAsia" w:ascii="Times New Roman" w:hAnsi="Times New Roman" w:eastAsia="宋体" w:cs="Times New Roman"/>
                      <w:bCs/>
                      <w:sz w:val="21"/>
                      <w:szCs w:val="21"/>
                      <w:highlight w:val="none"/>
                      <w:vertAlign w:val="superscript"/>
                      <w:lang w:val="en-US" w:eastAsia="zh-CN"/>
                    </w:rPr>
                    <w:t>3</w:t>
                  </w:r>
                  <w:r>
                    <w:rPr>
                      <w:rFonts w:hint="eastAsia" w:cs="Times New Roman"/>
                      <w:bCs/>
                      <w:sz w:val="21"/>
                      <w:szCs w:val="21"/>
                      <w:highlight w:val="none"/>
                      <w:lang w:val="en-US" w:eastAsia="zh-CN"/>
                    </w:rPr>
                    <w:t>/h。</w:t>
                  </w:r>
                </w:p>
              </w:tc>
            </w:tr>
            <w:tr w14:paraId="21C499A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98" w:hRule="atLeast"/>
              </w:trPr>
              <w:tc>
                <w:tcPr>
                  <w:tcW w:w="353" w:type="pct"/>
                  <w:vMerge w:val="continue"/>
                  <w:tcBorders>
                    <w:left w:val="single" w:color="auto" w:sz="4" w:space="0"/>
                    <w:bottom w:val="single" w:color="auto" w:sz="4" w:space="0"/>
                    <w:right w:val="single" w:color="auto" w:sz="4" w:space="0"/>
                  </w:tcBorders>
                  <w:tcMar>
                    <w:top w:w="28" w:type="dxa"/>
                    <w:left w:w="28" w:type="dxa"/>
                    <w:bottom w:w="28" w:type="dxa"/>
                    <w:right w:w="28" w:type="dxa"/>
                  </w:tcMar>
                  <w:vAlign w:val="center"/>
                </w:tcPr>
                <w:p w14:paraId="2CD7EA38">
                  <w:pPr>
                    <w:keepNext w:val="0"/>
                    <w:keepLines w:val="0"/>
                    <w:suppressLineNumbers w:val="0"/>
                    <w:spacing w:before="0" w:beforeAutospacing="0" w:after="0" w:afterAutospacing="0" w:line="276" w:lineRule="auto"/>
                    <w:ind w:left="0" w:right="0"/>
                    <w:rPr>
                      <w:rFonts w:hint="eastAsia" w:ascii="Times New Roman" w:hAnsi="Times New Roman" w:eastAsia="宋体" w:cs="Times New Roman"/>
                      <w:sz w:val="21"/>
                      <w:szCs w:val="21"/>
                      <w:highlight w:val="none"/>
                    </w:rPr>
                  </w:pPr>
                </w:p>
              </w:tc>
              <w:tc>
                <w:tcPr>
                  <w:tcW w:w="341" w:type="pct"/>
                  <w:vMerge w:val="continue"/>
                  <w:tcBorders>
                    <w:left w:val="single" w:color="auto" w:sz="4" w:space="0"/>
                    <w:right w:val="single" w:color="auto" w:sz="4" w:space="0"/>
                  </w:tcBorders>
                  <w:tcMar>
                    <w:top w:w="28" w:type="dxa"/>
                    <w:left w:w="28" w:type="dxa"/>
                    <w:bottom w:w="28" w:type="dxa"/>
                    <w:right w:w="28" w:type="dxa"/>
                  </w:tcMar>
                  <w:vAlign w:val="center"/>
                </w:tcPr>
                <w:p w14:paraId="0EDB1BDE">
                  <w:pPr>
                    <w:keepNext w:val="0"/>
                    <w:keepLines w:val="0"/>
                    <w:suppressLineNumbers w:val="0"/>
                    <w:spacing w:before="0" w:beforeAutospacing="0" w:after="0" w:afterAutospacing="0" w:line="276" w:lineRule="auto"/>
                    <w:ind w:left="0" w:right="0"/>
                    <w:rPr>
                      <w:rFonts w:hint="eastAsia" w:ascii="Times New Roman" w:hAnsi="Times New Roman" w:eastAsia="宋体" w:cs="Times New Roman"/>
                      <w:sz w:val="21"/>
                      <w:szCs w:val="21"/>
                      <w:highlight w:val="none"/>
                    </w:rPr>
                  </w:pPr>
                </w:p>
              </w:tc>
              <w:tc>
                <w:tcPr>
                  <w:tcW w:w="344" w:type="pct"/>
                  <w:tcBorders>
                    <w:left w:val="single" w:color="auto" w:sz="4" w:space="0"/>
                    <w:bottom w:val="single" w:color="auto" w:sz="4" w:space="0"/>
                    <w:right w:val="single" w:color="auto" w:sz="4" w:space="0"/>
                  </w:tcBorders>
                  <w:tcMar>
                    <w:top w:w="28" w:type="dxa"/>
                    <w:left w:w="28" w:type="dxa"/>
                    <w:bottom w:w="28" w:type="dxa"/>
                    <w:right w:w="28" w:type="dxa"/>
                  </w:tcMar>
                  <w:vAlign w:val="center"/>
                </w:tcPr>
                <w:p w14:paraId="423AE543">
                  <w:pPr>
                    <w:keepNext w:val="0"/>
                    <w:keepLines w:val="0"/>
                    <w:suppressLineNumbers w:val="0"/>
                    <w:spacing w:before="0" w:beforeAutospacing="0" w:after="0" w:afterAutospacing="0" w:line="276" w:lineRule="auto"/>
                    <w:ind w:left="0" w:right="0"/>
                    <w:jc w:val="center"/>
                    <w:rPr>
                      <w:rFonts w:hint="eastAsia" w:ascii="Times New Roman" w:hAnsi="Times New Roman" w:eastAsia="宋体" w:cs="Times New Roman"/>
                      <w:b w:val="0"/>
                      <w:bCs w:val="0"/>
                      <w:sz w:val="21"/>
                      <w:szCs w:val="21"/>
                      <w:highlight w:val="none"/>
                      <w:lang w:val="en-US" w:eastAsia="zh-CN"/>
                    </w:rPr>
                  </w:pPr>
                  <w:r>
                    <w:rPr>
                      <w:rFonts w:hint="eastAsia" w:ascii="Times New Roman" w:hAnsi="Times New Roman" w:eastAsia="宋体" w:cs="Times New Roman"/>
                      <w:b w:val="0"/>
                      <w:bCs w:val="0"/>
                      <w:sz w:val="21"/>
                      <w:szCs w:val="21"/>
                      <w:highlight w:val="none"/>
                      <w:lang w:val="en-US" w:eastAsia="zh-CN"/>
                    </w:rPr>
                    <w:t>科创综合楼</w:t>
                  </w:r>
                </w:p>
              </w:tc>
              <w:tc>
                <w:tcPr>
                  <w:tcW w:w="584" w:type="pct"/>
                  <w:tcBorders>
                    <w:left w:val="single" w:color="auto" w:sz="4" w:space="0"/>
                    <w:bottom w:val="single" w:color="auto" w:sz="4" w:space="0"/>
                    <w:right w:val="single" w:color="auto" w:sz="4" w:space="0"/>
                  </w:tcBorders>
                  <w:tcMar>
                    <w:top w:w="28" w:type="dxa"/>
                    <w:left w:w="28" w:type="dxa"/>
                    <w:bottom w:w="28" w:type="dxa"/>
                    <w:right w:w="28" w:type="dxa"/>
                  </w:tcMar>
                  <w:vAlign w:val="center"/>
                </w:tcPr>
                <w:p w14:paraId="3ADCCA30">
                  <w:pPr>
                    <w:keepNext w:val="0"/>
                    <w:keepLines w:val="0"/>
                    <w:suppressLineNumbers w:val="0"/>
                    <w:spacing w:before="0" w:beforeAutospacing="0" w:after="0" w:afterAutospacing="0" w:line="276" w:lineRule="auto"/>
                    <w:ind w:left="0" w:right="0"/>
                    <w:jc w:val="center"/>
                    <w:rPr>
                      <w:rFonts w:hint="default" w:ascii="Times New Roman" w:hAnsi="Times New Roman" w:eastAsia="宋体" w:cs="Times New Roman"/>
                      <w:b w:val="0"/>
                      <w:bCs w:val="0"/>
                      <w:sz w:val="21"/>
                      <w:szCs w:val="21"/>
                      <w:highlight w:val="none"/>
                      <w:lang w:val="en-US" w:eastAsia="zh-CN"/>
                    </w:rPr>
                  </w:pPr>
                  <w:r>
                    <w:rPr>
                      <w:rFonts w:hint="eastAsia" w:ascii="Times New Roman" w:hAnsi="Times New Roman" w:eastAsia="宋体" w:cs="Times New Roman"/>
                      <w:b w:val="0"/>
                      <w:bCs w:val="0"/>
                      <w:sz w:val="21"/>
                      <w:szCs w:val="21"/>
                      <w:highlight w:val="none"/>
                      <w:lang w:val="en-US" w:eastAsia="zh-CN"/>
                    </w:rPr>
                    <w:t>实验室废气</w:t>
                  </w:r>
                </w:p>
              </w:tc>
              <w:tc>
                <w:tcPr>
                  <w:tcW w:w="3376" w:type="pct"/>
                  <w:gridSpan w:val="2"/>
                  <w:tcBorders>
                    <w:top w:val="single" w:color="auto" w:sz="4" w:space="0"/>
                    <w:left w:val="single" w:color="auto" w:sz="4" w:space="0"/>
                    <w:bottom w:val="single" w:color="auto" w:sz="4" w:space="0"/>
                    <w:right w:val="single" w:color="auto" w:sz="4" w:space="0"/>
                  </w:tcBorders>
                  <w:tcMar>
                    <w:top w:w="28" w:type="dxa"/>
                    <w:left w:w="28" w:type="dxa"/>
                    <w:bottom w:w="28" w:type="dxa"/>
                    <w:right w:w="28" w:type="dxa"/>
                  </w:tcMar>
                  <w:vAlign w:val="center"/>
                </w:tcPr>
                <w:p w14:paraId="51140306">
                  <w:pPr>
                    <w:keepNext w:val="0"/>
                    <w:keepLines w:val="0"/>
                    <w:suppressLineNumbers w:val="0"/>
                    <w:spacing w:before="0" w:beforeAutospacing="0" w:after="0" w:afterAutospacing="0" w:line="276" w:lineRule="auto"/>
                    <w:ind w:left="0" w:right="0"/>
                    <w:rPr>
                      <w:rFonts w:hint="default" w:ascii="Times New Roman" w:hAnsi="Times New Roman" w:eastAsia="宋体" w:cs="Times New Roman"/>
                      <w:sz w:val="21"/>
                      <w:szCs w:val="21"/>
                      <w:highlight w:val="none"/>
                      <w:lang w:val="en-US" w:eastAsia="zh-CN"/>
                    </w:rPr>
                  </w:pPr>
                  <w:r>
                    <w:rPr>
                      <w:rFonts w:hint="eastAsia" w:ascii="Times New Roman" w:hAnsi="Times New Roman" w:eastAsia="宋体" w:cs="Times New Roman"/>
                      <w:sz w:val="21"/>
                      <w:szCs w:val="21"/>
                      <w:highlight w:val="none"/>
                      <w:lang w:val="en-US" w:eastAsia="zh-CN"/>
                    </w:rPr>
                    <w:t>实验室废气收集后经9套活性炭吸附装置处理后</w:t>
                  </w:r>
                  <w:r>
                    <w:rPr>
                      <w:rFonts w:hint="eastAsia" w:cs="Times New Roman"/>
                      <w:sz w:val="21"/>
                      <w:szCs w:val="21"/>
                      <w:highlight w:val="none"/>
                      <w:lang w:val="en-US" w:eastAsia="zh-CN"/>
                    </w:rPr>
                    <w:t>分别</w:t>
                  </w:r>
                  <w:r>
                    <w:rPr>
                      <w:rFonts w:hint="eastAsia" w:ascii="Times New Roman" w:hAnsi="Times New Roman" w:eastAsia="宋体" w:cs="Times New Roman"/>
                      <w:sz w:val="21"/>
                      <w:szCs w:val="21"/>
                      <w:highlight w:val="none"/>
                      <w:lang w:val="en-US" w:eastAsia="zh-CN"/>
                    </w:rPr>
                    <w:t>设置</w:t>
                  </w:r>
                  <w:r>
                    <w:rPr>
                      <w:rFonts w:hint="eastAsia" w:cs="Times New Roman"/>
                      <w:sz w:val="21"/>
                      <w:szCs w:val="21"/>
                      <w:highlight w:val="none"/>
                      <w:lang w:val="en-US" w:eastAsia="zh-CN"/>
                    </w:rPr>
                    <w:t>9根</w:t>
                  </w:r>
                  <w:r>
                    <w:rPr>
                      <w:rFonts w:hint="eastAsia" w:ascii="Times New Roman" w:hAnsi="Times New Roman" w:eastAsia="宋体" w:cs="Times New Roman"/>
                      <w:sz w:val="21"/>
                      <w:szCs w:val="21"/>
                      <w:highlight w:val="none"/>
                      <w:lang w:val="en-US" w:eastAsia="zh-CN"/>
                    </w:rPr>
                    <w:t>40m高排气筒（DA011~DA019）高空排放，废气风量分别为</w:t>
                  </w:r>
                  <w:r>
                    <w:rPr>
                      <w:rFonts w:hint="eastAsia" w:cs="Times New Roman"/>
                      <w:sz w:val="21"/>
                      <w:szCs w:val="21"/>
                      <w:highlight w:val="none"/>
                      <w:lang w:val="en-US" w:eastAsia="zh-CN"/>
                    </w:rPr>
                    <w:t>1505</w:t>
                  </w:r>
                  <w:r>
                    <w:rPr>
                      <w:rFonts w:hint="eastAsia" w:ascii="Times New Roman" w:hAnsi="Times New Roman" w:eastAsia="宋体" w:cs="Times New Roman"/>
                      <w:sz w:val="21"/>
                      <w:szCs w:val="21"/>
                      <w:highlight w:val="none"/>
                      <w:lang w:val="en-US" w:eastAsia="zh-CN"/>
                    </w:rPr>
                    <w:t>0</w:t>
                  </w:r>
                  <w:r>
                    <w:rPr>
                      <w:rFonts w:hint="eastAsia" w:ascii="Times New Roman" w:hAnsi="Times New Roman" w:eastAsia="宋体" w:cs="Times New Roman"/>
                      <w:color w:val="auto"/>
                      <w:sz w:val="21"/>
                      <w:szCs w:val="21"/>
                      <w:highlight w:val="none"/>
                      <w:lang w:val="en-US" w:eastAsia="zh-CN"/>
                    </w:rPr>
                    <w:t>m</w:t>
                  </w:r>
                  <w:r>
                    <w:rPr>
                      <w:rFonts w:hint="eastAsia" w:ascii="Times New Roman" w:hAnsi="Times New Roman" w:eastAsia="宋体" w:cs="Times New Roman"/>
                      <w:color w:val="auto"/>
                      <w:sz w:val="21"/>
                      <w:szCs w:val="21"/>
                      <w:highlight w:val="none"/>
                      <w:vertAlign w:val="superscript"/>
                      <w:lang w:val="en-US" w:eastAsia="zh-CN"/>
                    </w:rPr>
                    <w:t>3</w:t>
                  </w:r>
                  <w:r>
                    <w:rPr>
                      <w:rFonts w:hint="eastAsia" w:ascii="Times New Roman" w:hAnsi="Times New Roman" w:eastAsia="宋体" w:cs="Times New Roman"/>
                      <w:color w:val="auto"/>
                      <w:sz w:val="21"/>
                      <w:szCs w:val="21"/>
                      <w:highlight w:val="none"/>
                      <w:lang w:val="en-US" w:eastAsia="zh-CN"/>
                    </w:rPr>
                    <w:t>/h</w:t>
                  </w:r>
                  <w:r>
                    <w:rPr>
                      <w:rFonts w:hint="eastAsia" w:ascii="Times New Roman" w:hAnsi="Times New Roman" w:eastAsia="宋体" w:cs="Times New Roman"/>
                      <w:sz w:val="21"/>
                      <w:szCs w:val="21"/>
                      <w:highlight w:val="none"/>
                      <w:lang w:val="en-US" w:eastAsia="zh-CN"/>
                    </w:rPr>
                    <w:t>、5</w:t>
                  </w:r>
                  <w:r>
                    <w:rPr>
                      <w:rFonts w:hint="eastAsia" w:cs="Times New Roman"/>
                      <w:sz w:val="21"/>
                      <w:szCs w:val="21"/>
                      <w:highlight w:val="none"/>
                      <w:lang w:val="en-US" w:eastAsia="zh-CN"/>
                    </w:rPr>
                    <w:t>9</w:t>
                  </w:r>
                  <w:r>
                    <w:rPr>
                      <w:rFonts w:hint="eastAsia" w:ascii="Times New Roman" w:hAnsi="Times New Roman" w:eastAsia="宋体" w:cs="Times New Roman"/>
                      <w:sz w:val="21"/>
                      <w:szCs w:val="21"/>
                      <w:highlight w:val="none"/>
                      <w:lang w:val="en-US" w:eastAsia="zh-CN"/>
                    </w:rPr>
                    <w:t>8</w:t>
                  </w:r>
                  <w:r>
                    <w:rPr>
                      <w:rFonts w:hint="eastAsia" w:cs="Times New Roman"/>
                      <w:sz w:val="21"/>
                      <w:szCs w:val="21"/>
                      <w:highlight w:val="none"/>
                      <w:lang w:val="en-US" w:eastAsia="zh-CN"/>
                    </w:rPr>
                    <w:t>00</w:t>
                  </w:r>
                  <w:r>
                    <w:rPr>
                      <w:rFonts w:hint="eastAsia" w:ascii="Times New Roman" w:hAnsi="Times New Roman" w:eastAsia="宋体" w:cs="Times New Roman"/>
                      <w:color w:val="auto"/>
                      <w:sz w:val="21"/>
                      <w:szCs w:val="21"/>
                      <w:highlight w:val="none"/>
                      <w:lang w:val="en-US" w:eastAsia="zh-CN"/>
                    </w:rPr>
                    <w:t>m</w:t>
                  </w:r>
                  <w:r>
                    <w:rPr>
                      <w:rFonts w:hint="eastAsia" w:ascii="Times New Roman" w:hAnsi="Times New Roman" w:eastAsia="宋体" w:cs="Times New Roman"/>
                      <w:color w:val="auto"/>
                      <w:sz w:val="21"/>
                      <w:szCs w:val="21"/>
                      <w:highlight w:val="none"/>
                      <w:vertAlign w:val="superscript"/>
                      <w:lang w:val="en-US" w:eastAsia="zh-CN"/>
                    </w:rPr>
                    <w:t>3</w:t>
                  </w:r>
                  <w:r>
                    <w:rPr>
                      <w:rFonts w:hint="eastAsia" w:ascii="Times New Roman" w:hAnsi="Times New Roman" w:eastAsia="宋体" w:cs="Times New Roman"/>
                      <w:color w:val="auto"/>
                      <w:sz w:val="21"/>
                      <w:szCs w:val="21"/>
                      <w:highlight w:val="none"/>
                      <w:lang w:val="en-US" w:eastAsia="zh-CN"/>
                    </w:rPr>
                    <w:t>/h</w:t>
                  </w:r>
                  <w:r>
                    <w:rPr>
                      <w:rFonts w:hint="eastAsia" w:ascii="Times New Roman" w:hAnsi="Times New Roman" w:eastAsia="宋体" w:cs="Times New Roman"/>
                      <w:sz w:val="21"/>
                      <w:szCs w:val="21"/>
                      <w:highlight w:val="none"/>
                      <w:lang w:val="en-US" w:eastAsia="zh-CN"/>
                    </w:rPr>
                    <w:t>、</w:t>
                  </w:r>
                  <w:r>
                    <w:rPr>
                      <w:rFonts w:hint="eastAsia" w:cs="Times New Roman"/>
                      <w:sz w:val="21"/>
                      <w:szCs w:val="21"/>
                      <w:highlight w:val="none"/>
                      <w:lang w:val="en-US" w:eastAsia="zh-CN"/>
                    </w:rPr>
                    <w:t>89</w:t>
                  </w:r>
                  <w:r>
                    <w:rPr>
                      <w:rFonts w:hint="eastAsia" w:ascii="Times New Roman" w:hAnsi="Times New Roman" w:eastAsia="宋体" w:cs="Times New Roman"/>
                      <w:sz w:val="21"/>
                      <w:szCs w:val="21"/>
                      <w:highlight w:val="none"/>
                      <w:lang w:val="en-US" w:eastAsia="zh-CN"/>
                    </w:rPr>
                    <w:t>30</w:t>
                  </w:r>
                  <w:r>
                    <w:rPr>
                      <w:rFonts w:hint="eastAsia" w:cs="Times New Roman"/>
                      <w:sz w:val="21"/>
                      <w:szCs w:val="21"/>
                      <w:highlight w:val="none"/>
                      <w:lang w:val="en-US" w:eastAsia="zh-CN"/>
                    </w:rPr>
                    <w:t>0</w:t>
                  </w:r>
                  <w:r>
                    <w:rPr>
                      <w:rFonts w:hint="eastAsia" w:ascii="Times New Roman" w:hAnsi="Times New Roman" w:eastAsia="宋体" w:cs="Times New Roman"/>
                      <w:color w:val="auto"/>
                      <w:sz w:val="21"/>
                      <w:szCs w:val="21"/>
                      <w:highlight w:val="none"/>
                      <w:lang w:val="en-US" w:eastAsia="zh-CN"/>
                    </w:rPr>
                    <w:t>m</w:t>
                  </w:r>
                  <w:r>
                    <w:rPr>
                      <w:rFonts w:hint="eastAsia" w:ascii="Times New Roman" w:hAnsi="Times New Roman" w:eastAsia="宋体" w:cs="Times New Roman"/>
                      <w:color w:val="auto"/>
                      <w:sz w:val="21"/>
                      <w:szCs w:val="21"/>
                      <w:highlight w:val="none"/>
                      <w:vertAlign w:val="superscript"/>
                      <w:lang w:val="en-US" w:eastAsia="zh-CN"/>
                    </w:rPr>
                    <w:t>3</w:t>
                  </w:r>
                  <w:r>
                    <w:rPr>
                      <w:rFonts w:hint="eastAsia" w:ascii="Times New Roman" w:hAnsi="Times New Roman" w:eastAsia="宋体" w:cs="Times New Roman"/>
                      <w:color w:val="auto"/>
                      <w:sz w:val="21"/>
                      <w:szCs w:val="21"/>
                      <w:highlight w:val="none"/>
                      <w:lang w:val="en-US" w:eastAsia="zh-CN"/>
                    </w:rPr>
                    <w:t>/h</w:t>
                  </w:r>
                  <w:r>
                    <w:rPr>
                      <w:rFonts w:hint="eastAsia" w:ascii="Times New Roman" w:hAnsi="Times New Roman" w:eastAsia="宋体" w:cs="Times New Roman"/>
                      <w:sz w:val="21"/>
                      <w:szCs w:val="21"/>
                      <w:highlight w:val="none"/>
                      <w:lang w:val="en-US" w:eastAsia="zh-CN"/>
                    </w:rPr>
                    <w:t>、</w:t>
                  </w:r>
                  <w:r>
                    <w:rPr>
                      <w:rFonts w:hint="eastAsia" w:cs="Times New Roman"/>
                      <w:sz w:val="21"/>
                      <w:szCs w:val="21"/>
                      <w:highlight w:val="none"/>
                      <w:lang w:val="en-US" w:eastAsia="zh-CN"/>
                    </w:rPr>
                    <w:t>8</w:t>
                  </w:r>
                  <w:r>
                    <w:rPr>
                      <w:rFonts w:hint="eastAsia" w:ascii="Times New Roman" w:hAnsi="Times New Roman" w:eastAsia="宋体" w:cs="Times New Roman"/>
                      <w:sz w:val="21"/>
                      <w:szCs w:val="21"/>
                      <w:highlight w:val="none"/>
                      <w:lang w:val="en-US" w:eastAsia="zh-CN"/>
                    </w:rPr>
                    <w:t>0</w:t>
                  </w:r>
                  <w:r>
                    <w:rPr>
                      <w:rFonts w:hint="eastAsia" w:cs="Times New Roman"/>
                      <w:sz w:val="21"/>
                      <w:szCs w:val="21"/>
                      <w:highlight w:val="none"/>
                      <w:lang w:val="en-US" w:eastAsia="zh-CN"/>
                    </w:rPr>
                    <w:t>700</w:t>
                  </w:r>
                  <w:r>
                    <w:rPr>
                      <w:rFonts w:hint="eastAsia" w:ascii="Times New Roman" w:hAnsi="Times New Roman" w:eastAsia="宋体" w:cs="Times New Roman"/>
                      <w:color w:val="auto"/>
                      <w:sz w:val="21"/>
                      <w:szCs w:val="21"/>
                      <w:highlight w:val="none"/>
                      <w:lang w:val="en-US" w:eastAsia="zh-CN"/>
                    </w:rPr>
                    <w:t>m</w:t>
                  </w:r>
                  <w:r>
                    <w:rPr>
                      <w:rFonts w:hint="eastAsia" w:ascii="Times New Roman" w:hAnsi="Times New Roman" w:eastAsia="宋体" w:cs="Times New Roman"/>
                      <w:color w:val="auto"/>
                      <w:sz w:val="21"/>
                      <w:szCs w:val="21"/>
                      <w:highlight w:val="none"/>
                      <w:vertAlign w:val="superscript"/>
                      <w:lang w:val="en-US" w:eastAsia="zh-CN"/>
                    </w:rPr>
                    <w:t>3</w:t>
                  </w:r>
                  <w:r>
                    <w:rPr>
                      <w:rFonts w:hint="eastAsia" w:ascii="Times New Roman" w:hAnsi="Times New Roman" w:eastAsia="宋体" w:cs="Times New Roman"/>
                      <w:color w:val="auto"/>
                      <w:sz w:val="21"/>
                      <w:szCs w:val="21"/>
                      <w:highlight w:val="none"/>
                      <w:lang w:val="en-US" w:eastAsia="zh-CN"/>
                    </w:rPr>
                    <w:t>/h</w:t>
                  </w:r>
                  <w:r>
                    <w:rPr>
                      <w:rFonts w:hint="eastAsia" w:ascii="Times New Roman" w:hAnsi="Times New Roman" w:eastAsia="宋体" w:cs="Times New Roman"/>
                      <w:sz w:val="21"/>
                      <w:szCs w:val="21"/>
                      <w:highlight w:val="none"/>
                      <w:lang w:val="en-US" w:eastAsia="zh-CN"/>
                    </w:rPr>
                    <w:t>、</w:t>
                  </w:r>
                  <w:r>
                    <w:rPr>
                      <w:rFonts w:hint="eastAsia" w:cs="Times New Roman"/>
                      <w:sz w:val="21"/>
                      <w:szCs w:val="21"/>
                      <w:highlight w:val="none"/>
                      <w:lang w:val="en-US" w:eastAsia="zh-CN"/>
                    </w:rPr>
                    <w:t>882</w:t>
                  </w:r>
                  <w:r>
                    <w:rPr>
                      <w:rFonts w:hint="eastAsia" w:ascii="Times New Roman" w:hAnsi="Times New Roman" w:eastAsia="宋体" w:cs="Times New Roman"/>
                      <w:sz w:val="21"/>
                      <w:szCs w:val="21"/>
                      <w:highlight w:val="none"/>
                      <w:lang w:val="en-US" w:eastAsia="zh-CN"/>
                    </w:rPr>
                    <w:t>0</w:t>
                  </w:r>
                  <w:r>
                    <w:rPr>
                      <w:rFonts w:hint="eastAsia" w:cs="Times New Roman"/>
                      <w:sz w:val="21"/>
                      <w:szCs w:val="21"/>
                      <w:highlight w:val="none"/>
                      <w:lang w:val="en-US" w:eastAsia="zh-CN"/>
                    </w:rPr>
                    <w:t>0</w:t>
                  </w:r>
                  <w:r>
                    <w:rPr>
                      <w:rFonts w:hint="eastAsia" w:ascii="Times New Roman" w:hAnsi="Times New Roman" w:eastAsia="宋体" w:cs="Times New Roman"/>
                      <w:color w:val="auto"/>
                      <w:sz w:val="21"/>
                      <w:szCs w:val="21"/>
                      <w:highlight w:val="none"/>
                      <w:lang w:val="en-US" w:eastAsia="zh-CN"/>
                    </w:rPr>
                    <w:t>m</w:t>
                  </w:r>
                  <w:r>
                    <w:rPr>
                      <w:rFonts w:hint="eastAsia" w:ascii="Times New Roman" w:hAnsi="Times New Roman" w:eastAsia="宋体" w:cs="Times New Roman"/>
                      <w:color w:val="auto"/>
                      <w:sz w:val="21"/>
                      <w:szCs w:val="21"/>
                      <w:highlight w:val="none"/>
                      <w:vertAlign w:val="superscript"/>
                      <w:lang w:val="en-US" w:eastAsia="zh-CN"/>
                    </w:rPr>
                    <w:t>3</w:t>
                  </w:r>
                  <w:r>
                    <w:rPr>
                      <w:rFonts w:hint="eastAsia" w:ascii="Times New Roman" w:hAnsi="Times New Roman" w:eastAsia="宋体" w:cs="Times New Roman"/>
                      <w:color w:val="auto"/>
                      <w:sz w:val="21"/>
                      <w:szCs w:val="21"/>
                      <w:highlight w:val="none"/>
                      <w:lang w:val="en-US" w:eastAsia="zh-CN"/>
                    </w:rPr>
                    <w:t>/h</w:t>
                  </w:r>
                  <w:r>
                    <w:rPr>
                      <w:rFonts w:hint="eastAsia" w:ascii="Times New Roman" w:hAnsi="Times New Roman" w:eastAsia="宋体" w:cs="Times New Roman"/>
                      <w:sz w:val="21"/>
                      <w:szCs w:val="21"/>
                      <w:highlight w:val="none"/>
                      <w:lang w:val="en-US" w:eastAsia="zh-CN"/>
                    </w:rPr>
                    <w:t>、</w:t>
                  </w:r>
                  <w:r>
                    <w:rPr>
                      <w:rFonts w:hint="eastAsia" w:cs="Times New Roman"/>
                      <w:sz w:val="21"/>
                      <w:szCs w:val="21"/>
                      <w:highlight w:val="none"/>
                      <w:lang w:val="en-US" w:eastAsia="zh-CN"/>
                    </w:rPr>
                    <w:t>56850</w:t>
                  </w:r>
                  <w:r>
                    <w:rPr>
                      <w:rFonts w:hint="eastAsia" w:ascii="Times New Roman" w:hAnsi="Times New Roman" w:eastAsia="宋体" w:cs="Times New Roman"/>
                      <w:color w:val="auto"/>
                      <w:sz w:val="21"/>
                      <w:szCs w:val="21"/>
                      <w:highlight w:val="none"/>
                      <w:lang w:val="en-US" w:eastAsia="zh-CN"/>
                    </w:rPr>
                    <w:t>m</w:t>
                  </w:r>
                  <w:r>
                    <w:rPr>
                      <w:rFonts w:hint="eastAsia" w:ascii="Times New Roman" w:hAnsi="Times New Roman" w:eastAsia="宋体" w:cs="Times New Roman"/>
                      <w:color w:val="auto"/>
                      <w:sz w:val="21"/>
                      <w:szCs w:val="21"/>
                      <w:highlight w:val="none"/>
                      <w:vertAlign w:val="superscript"/>
                      <w:lang w:val="en-US" w:eastAsia="zh-CN"/>
                    </w:rPr>
                    <w:t>3</w:t>
                  </w:r>
                  <w:r>
                    <w:rPr>
                      <w:rFonts w:hint="eastAsia" w:ascii="Times New Roman" w:hAnsi="Times New Roman" w:eastAsia="宋体" w:cs="Times New Roman"/>
                      <w:color w:val="auto"/>
                      <w:sz w:val="21"/>
                      <w:szCs w:val="21"/>
                      <w:highlight w:val="none"/>
                      <w:lang w:val="en-US" w:eastAsia="zh-CN"/>
                    </w:rPr>
                    <w:t>/h</w:t>
                  </w:r>
                  <w:r>
                    <w:rPr>
                      <w:rFonts w:hint="eastAsia" w:ascii="Times New Roman" w:hAnsi="Times New Roman" w:eastAsia="宋体" w:cs="Times New Roman"/>
                      <w:sz w:val="21"/>
                      <w:szCs w:val="21"/>
                      <w:highlight w:val="none"/>
                      <w:lang w:val="en-US" w:eastAsia="zh-CN"/>
                    </w:rPr>
                    <w:t>、</w:t>
                  </w:r>
                  <w:r>
                    <w:rPr>
                      <w:rFonts w:hint="eastAsia" w:cs="Times New Roman"/>
                      <w:sz w:val="21"/>
                      <w:szCs w:val="21"/>
                      <w:highlight w:val="none"/>
                      <w:lang w:val="en-US" w:eastAsia="zh-CN"/>
                    </w:rPr>
                    <w:t>33800</w:t>
                  </w:r>
                  <w:r>
                    <w:rPr>
                      <w:rFonts w:hint="eastAsia" w:ascii="Times New Roman" w:hAnsi="Times New Roman" w:eastAsia="宋体" w:cs="Times New Roman"/>
                      <w:color w:val="auto"/>
                      <w:sz w:val="21"/>
                      <w:szCs w:val="21"/>
                      <w:highlight w:val="none"/>
                      <w:lang w:val="en-US" w:eastAsia="zh-CN"/>
                    </w:rPr>
                    <w:t>m</w:t>
                  </w:r>
                  <w:r>
                    <w:rPr>
                      <w:rFonts w:hint="eastAsia" w:ascii="Times New Roman" w:hAnsi="Times New Roman" w:eastAsia="宋体" w:cs="Times New Roman"/>
                      <w:color w:val="auto"/>
                      <w:sz w:val="21"/>
                      <w:szCs w:val="21"/>
                      <w:highlight w:val="none"/>
                      <w:vertAlign w:val="superscript"/>
                      <w:lang w:val="en-US" w:eastAsia="zh-CN"/>
                    </w:rPr>
                    <w:t>3</w:t>
                  </w:r>
                  <w:r>
                    <w:rPr>
                      <w:rFonts w:hint="eastAsia" w:ascii="Times New Roman" w:hAnsi="Times New Roman" w:eastAsia="宋体" w:cs="Times New Roman"/>
                      <w:color w:val="auto"/>
                      <w:sz w:val="21"/>
                      <w:szCs w:val="21"/>
                      <w:highlight w:val="none"/>
                      <w:lang w:val="en-US" w:eastAsia="zh-CN"/>
                    </w:rPr>
                    <w:t>/h</w:t>
                  </w:r>
                  <w:r>
                    <w:rPr>
                      <w:rFonts w:hint="eastAsia" w:ascii="Times New Roman" w:hAnsi="Times New Roman" w:eastAsia="宋体" w:cs="Times New Roman"/>
                      <w:sz w:val="21"/>
                      <w:szCs w:val="21"/>
                      <w:highlight w:val="none"/>
                      <w:lang w:val="en-US" w:eastAsia="zh-CN"/>
                    </w:rPr>
                    <w:t>、</w:t>
                  </w:r>
                  <w:r>
                    <w:rPr>
                      <w:rFonts w:hint="eastAsia" w:cs="Times New Roman"/>
                      <w:sz w:val="21"/>
                      <w:szCs w:val="21"/>
                      <w:highlight w:val="none"/>
                      <w:lang w:val="en-US" w:eastAsia="zh-CN"/>
                    </w:rPr>
                    <w:t>50800</w:t>
                  </w:r>
                  <w:r>
                    <w:rPr>
                      <w:rFonts w:hint="eastAsia" w:ascii="Times New Roman" w:hAnsi="Times New Roman" w:eastAsia="宋体" w:cs="Times New Roman"/>
                      <w:color w:val="auto"/>
                      <w:sz w:val="21"/>
                      <w:szCs w:val="21"/>
                      <w:highlight w:val="none"/>
                      <w:lang w:val="en-US" w:eastAsia="zh-CN"/>
                    </w:rPr>
                    <w:t>m</w:t>
                  </w:r>
                  <w:r>
                    <w:rPr>
                      <w:rFonts w:hint="eastAsia" w:ascii="Times New Roman" w:hAnsi="Times New Roman" w:eastAsia="宋体" w:cs="Times New Roman"/>
                      <w:color w:val="auto"/>
                      <w:sz w:val="21"/>
                      <w:szCs w:val="21"/>
                      <w:highlight w:val="none"/>
                      <w:vertAlign w:val="superscript"/>
                      <w:lang w:val="en-US" w:eastAsia="zh-CN"/>
                    </w:rPr>
                    <w:t>3</w:t>
                  </w:r>
                  <w:r>
                    <w:rPr>
                      <w:rFonts w:hint="eastAsia" w:ascii="Times New Roman" w:hAnsi="Times New Roman" w:eastAsia="宋体" w:cs="Times New Roman"/>
                      <w:color w:val="auto"/>
                      <w:sz w:val="21"/>
                      <w:szCs w:val="21"/>
                      <w:highlight w:val="none"/>
                      <w:lang w:val="en-US" w:eastAsia="zh-CN"/>
                    </w:rPr>
                    <w:t>/h</w:t>
                  </w:r>
                  <w:r>
                    <w:rPr>
                      <w:rFonts w:hint="eastAsia" w:ascii="Times New Roman" w:hAnsi="Times New Roman" w:eastAsia="宋体" w:cs="Times New Roman"/>
                      <w:sz w:val="21"/>
                      <w:szCs w:val="21"/>
                      <w:highlight w:val="none"/>
                      <w:lang w:val="en-US" w:eastAsia="zh-CN"/>
                    </w:rPr>
                    <w:t>、</w:t>
                  </w:r>
                  <w:r>
                    <w:rPr>
                      <w:rFonts w:hint="eastAsia" w:cs="Times New Roman"/>
                      <w:sz w:val="21"/>
                      <w:szCs w:val="21"/>
                      <w:highlight w:val="none"/>
                      <w:lang w:val="en-US" w:eastAsia="zh-CN"/>
                    </w:rPr>
                    <w:t>34350</w:t>
                  </w:r>
                  <w:r>
                    <w:rPr>
                      <w:rFonts w:hint="eastAsia" w:ascii="Times New Roman" w:hAnsi="Times New Roman" w:eastAsia="宋体" w:cs="Times New Roman"/>
                      <w:color w:val="auto"/>
                      <w:sz w:val="21"/>
                      <w:szCs w:val="21"/>
                      <w:highlight w:val="none"/>
                      <w:lang w:val="en-US" w:eastAsia="zh-CN"/>
                    </w:rPr>
                    <w:t>m</w:t>
                  </w:r>
                  <w:r>
                    <w:rPr>
                      <w:rFonts w:hint="eastAsia" w:ascii="Times New Roman" w:hAnsi="Times New Roman" w:eastAsia="宋体" w:cs="Times New Roman"/>
                      <w:color w:val="auto"/>
                      <w:sz w:val="21"/>
                      <w:szCs w:val="21"/>
                      <w:highlight w:val="none"/>
                      <w:vertAlign w:val="superscript"/>
                      <w:lang w:val="en-US" w:eastAsia="zh-CN"/>
                    </w:rPr>
                    <w:t>3</w:t>
                  </w:r>
                  <w:r>
                    <w:rPr>
                      <w:rFonts w:hint="eastAsia" w:ascii="Times New Roman" w:hAnsi="Times New Roman" w:eastAsia="宋体" w:cs="Times New Roman"/>
                      <w:color w:val="auto"/>
                      <w:sz w:val="21"/>
                      <w:szCs w:val="21"/>
                      <w:highlight w:val="none"/>
                      <w:lang w:val="en-US" w:eastAsia="zh-CN"/>
                    </w:rPr>
                    <w:t>/h。</w:t>
                  </w:r>
                </w:p>
              </w:tc>
            </w:tr>
            <w:tr w14:paraId="34DE07E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78" w:hRule="atLeast"/>
              </w:trPr>
              <w:tc>
                <w:tcPr>
                  <w:tcW w:w="353" w:type="pct"/>
                  <w:vMerge w:val="continue"/>
                  <w:tcBorders>
                    <w:left w:val="single" w:color="auto" w:sz="4" w:space="0"/>
                    <w:bottom w:val="single" w:color="auto" w:sz="4" w:space="0"/>
                    <w:right w:val="single" w:color="auto" w:sz="4" w:space="0"/>
                  </w:tcBorders>
                  <w:tcMar>
                    <w:top w:w="28" w:type="dxa"/>
                    <w:left w:w="28" w:type="dxa"/>
                    <w:bottom w:w="28" w:type="dxa"/>
                    <w:right w:w="28" w:type="dxa"/>
                  </w:tcMar>
                  <w:vAlign w:val="center"/>
                </w:tcPr>
                <w:p w14:paraId="6BB736A7">
                  <w:pPr>
                    <w:keepNext w:val="0"/>
                    <w:keepLines w:val="0"/>
                    <w:suppressLineNumbers w:val="0"/>
                    <w:spacing w:before="0" w:beforeAutospacing="0" w:after="0" w:afterAutospacing="0" w:line="276" w:lineRule="auto"/>
                    <w:ind w:left="0" w:right="0"/>
                    <w:rPr>
                      <w:rFonts w:hint="eastAsia" w:ascii="Times New Roman" w:hAnsi="Times New Roman" w:eastAsia="宋体" w:cs="Times New Roman"/>
                      <w:sz w:val="21"/>
                      <w:szCs w:val="21"/>
                      <w:highlight w:val="none"/>
                    </w:rPr>
                  </w:pPr>
                </w:p>
              </w:tc>
              <w:tc>
                <w:tcPr>
                  <w:tcW w:w="341" w:type="pct"/>
                  <w:vMerge w:val="continue"/>
                  <w:tcBorders>
                    <w:left w:val="single" w:color="auto" w:sz="4" w:space="0"/>
                    <w:bottom w:val="single" w:color="auto" w:sz="4" w:space="0"/>
                    <w:right w:val="single" w:color="auto" w:sz="4" w:space="0"/>
                  </w:tcBorders>
                  <w:tcMar>
                    <w:top w:w="28" w:type="dxa"/>
                    <w:left w:w="28" w:type="dxa"/>
                    <w:bottom w:w="28" w:type="dxa"/>
                    <w:right w:w="28" w:type="dxa"/>
                  </w:tcMar>
                  <w:vAlign w:val="center"/>
                </w:tcPr>
                <w:p w14:paraId="1CEA672C">
                  <w:pPr>
                    <w:keepNext w:val="0"/>
                    <w:keepLines w:val="0"/>
                    <w:suppressLineNumbers w:val="0"/>
                    <w:spacing w:before="0" w:beforeAutospacing="0" w:after="0" w:afterAutospacing="0" w:line="276" w:lineRule="auto"/>
                    <w:ind w:left="0" w:right="0"/>
                    <w:rPr>
                      <w:rFonts w:hint="eastAsia" w:ascii="Times New Roman" w:hAnsi="Times New Roman" w:eastAsia="宋体" w:cs="Times New Roman"/>
                      <w:sz w:val="21"/>
                      <w:szCs w:val="21"/>
                      <w:highlight w:val="none"/>
                    </w:rPr>
                  </w:pPr>
                </w:p>
              </w:tc>
              <w:tc>
                <w:tcPr>
                  <w:tcW w:w="344" w:type="pct"/>
                  <w:tcBorders>
                    <w:left w:val="single" w:color="auto" w:sz="4" w:space="0"/>
                    <w:bottom w:val="single" w:color="auto" w:sz="4" w:space="0"/>
                    <w:right w:val="single" w:color="auto" w:sz="4" w:space="0"/>
                  </w:tcBorders>
                  <w:tcMar>
                    <w:top w:w="28" w:type="dxa"/>
                    <w:left w:w="28" w:type="dxa"/>
                    <w:bottom w:w="28" w:type="dxa"/>
                    <w:right w:w="28" w:type="dxa"/>
                  </w:tcMar>
                  <w:vAlign w:val="center"/>
                </w:tcPr>
                <w:p w14:paraId="2F4B9006">
                  <w:pPr>
                    <w:keepNext w:val="0"/>
                    <w:keepLines w:val="0"/>
                    <w:suppressLineNumbers w:val="0"/>
                    <w:spacing w:before="0" w:beforeAutospacing="0" w:after="0" w:afterAutospacing="0" w:line="276" w:lineRule="auto"/>
                    <w:ind w:left="0" w:right="0"/>
                    <w:jc w:val="center"/>
                    <w:rPr>
                      <w:rFonts w:hint="default" w:cs="Times New Roman"/>
                      <w:b w:val="0"/>
                      <w:bCs w:val="0"/>
                      <w:sz w:val="21"/>
                      <w:szCs w:val="21"/>
                      <w:highlight w:val="none"/>
                      <w:lang w:val="en-US" w:eastAsia="zh-CN"/>
                    </w:rPr>
                  </w:pPr>
                  <w:r>
                    <w:rPr>
                      <w:rFonts w:hint="eastAsia" w:cs="Times New Roman"/>
                      <w:b w:val="0"/>
                      <w:bCs w:val="0"/>
                      <w:sz w:val="21"/>
                      <w:szCs w:val="21"/>
                      <w:highlight w:val="none"/>
                      <w:lang w:val="en-US" w:eastAsia="zh-CN"/>
                    </w:rPr>
                    <w:t>人才宿舍楼</w:t>
                  </w:r>
                </w:p>
              </w:tc>
              <w:tc>
                <w:tcPr>
                  <w:tcW w:w="584" w:type="pct"/>
                  <w:tcBorders>
                    <w:left w:val="single" w:color="auto" w:sz="4" w:space="0"/>
                    <w:bottom w:val="single" w:color="auto" w:sz="4" w:space="0"/>
                    <w:right w:val="single" w:color="auto" w:sz="4" w:space="0"/>
                  </w:tcBorders>
                  <w:tcMar>
                    <w:top w:w="28" w:type="dxa"/>
                    <w:left w:w="28" w:type="dxa"/>
                    <w:bottom w:w="28" w:type="dxa"/>
                    <w:right w:w="28" w:type="dxa"/>
                  </w:tcMar>
                  <w:vAlign w:val="center"/>
                </w:tcPr>
                <w:p w14:paraId="1455438C">
                  <w:pPr>
                    <w:keepNext w:val="0"/>
                    <w:keepLines w:val="0"/>
                    <w:suppressLineNumbers w:val="0"/>
                    <w:spacing w:before="0" w:beforeAutospacing="0" w:after="0" w:afterAutospacing="0" w:line="276" w:lineRule="auto"/>
                    <w:ind w:left="0" w:right="0"/>
                    <w:jc w:val="center"/>
                    <w:rPr>
                      <w:rFonts w:hint="default" w:cs="Times New Roman"/>
                      <w:b w:val="0"/>
                      <w:bCs w:val="0"/>
                      <w:sz w:val="21"/>
                      <w:szCs w:val="21"/>
                      <w:highlight w:val="none"/>
                      <w:lang w:val="en-US" w:eastAsia="zh-CN"/>
                    </w:rPr>
                  </w:pPr>
                  <w:r>
                    <w:rPr>
                      <w:rFonts w:hint="eastAsia" w:cs="Times New Roman"/>
                      <w:b w:val="0"/>
                      <w:bCs w:val="0"/>
                      <w:sz w:val="21"/>
                      <w:szCs w:val="21"/>
                      <w:highlight w:val="none"/>
                      <w:lang w:val="en-US" w:eastAsia="zh-CN"/>
                    </w:rPr>
                    <w:t>油烟</w:t>
                  </w:r>
                </w:p>
              </w:tc>
              <w:tc>
                <w:tcPr>
                  <w:tcW w:w="3376" w:type="pct"/>
                  <w:gridSpan w:val="2"/>
                  <w:tcBorders>
                    <w:top w:val="single" w:color="auto" w:sz="4" w:space="0"/>
                    <w:left w:val="single" w:color="auto" w:sz="4" w:space="0"/>
                    <w:bottom w:val="single" w:color="auto" w:sz="4" w:space="0"/>
                    <w:right w:val="single" w:color="auto" w:sz="4" w:space="0"/>
                  </w:tcBorders>
                  <w:tcMar>
                    <w:top w:w="28" w:type="dxa"/>
                    <w:left w:w="28" w:type="dxa"/>
                    <w:bottom w:w="28" w:type="dxa"/>
                    <w:right w:w="28" w:type="dxa"/>
                  </w:tcMar>
                  <w:vAlign w:val="center"/>
                </w:tcPr>
                <w:p w14:paraId="367EAD12">
                  <w:pPr>
                    <w:keepNext w:val="0"/>
                    <w:keepLines w:val="0"/>
                    <w:suppressLineNumbers w:val="0"/>
                    <w:spacing w:before="0" w:beforeAutospacing="0" w:after="0" w:afterAutospacing="0" w:line="276" w:lineRule="auto"/>
                    <w:ind w:left="0" w:right="0"/>
                    <w:rPr>
                      <w:rFonts w:hint="eastAsia" w:ascii="Times New Roman" w:hAnsi="Times New Roman" w:eastAsia="宋体" w:cs="Times New Roman"/>
                      <w:color w:val="auto"/>
                      <w:sz w:val="21"/>
                      <w:szCs w:val="21"/>
                      <w:highlight w:val="none"/>
                      <w:lang w:val="en-US" w:eastAsia="zh-CN"/>
                    </w:rPr>
                  </w:pPr>
                  <w:r>
                    <w:rPr>
                      <w:rFonts w:hint="eastAsia"/>
                      <w:sz w:val="21"/>
                      <w:szCs w:val="21"/>
                      <w:highlight w:val="none"/>
                    </w:rPr>
                    <w:t>食堂油烟经风机收集引至所在建筑屋顶，经油烟净化器处理后高空排放（DA02</w:t>
                  </w:r>
                  <w:r>
                    <w:rPr>
                      <w:rFonts w:hint="eastAsia"/>
                      <w:sz w:val="21"/>
                      <w:szCs w:val="21"/>
                      <w:highlight w:val="none"/>
                      <w:lang w:val="en-US" w:eastAsia="zh-CN"/>
                    </w:rPr>
                    <w:t>0</w:t>
                  </w:r>
                  <w:r>
                    <w:rPr>
                      <w:rFonts w:hint="eastAsia"/>
                      <w:sz w:val="21"/>
                      <w:szCs w:val="21"/>
                      <w:highlight w:val="none"/>
                    </w:rPr>
                    <w:t>），净化器风机风量约</w:t>
                  </w:r>
                  <w:r>
                    <w:rPr>
                      <w:rFonts w:hint="eastAsia"/>
                      <w:sz w:val="21"/>
                      <w:szCs w:val="21"/>
                      <w:highlight w:val="none"/>
                      <w:lang w:val="en-US" w:eastAsia="zh-CN"/>
                    </w:rPr>
                    <w:t>14</w:t>
                  </w:r>
                  <w:r>
                    <w:rPr>
                      <w:rFonts w:hint="eastAsia"/>
                      <w:sz w:val="21"/>
                      <w:szCs w:val="21"/>
                      <w:highlight w:val="none"/>
                    </w:rPr>
                    <w:t>000m</w:t>
                  </w:r>
                  <w:r>
                    <w:rPr>
                      <w:rFonts w:hint="eastAsia"/>
                      <w:sz w:val="21"/>
                      <w:szCs w:val="21"/>
                      <w:highlight w:val="none"/>
                      <w:vertAlign w:val="superscript"/>
                    </w:rPr>
                    <w:t>3</w:t>
                  </w:r>
                  <w:r>
                    <w:rPr>
                      <w:rFonts w:hint="eastAsia"/>
                      <w:sz w:val="21"/>
                      <w:szCs w:val="21"/>
                      <w:highlight w:val="none"/>
                    </w:rPr>
                    <w:t>/h（设置</w:t>
                  </w:r>
                  <w:r>
                    <w:rPr>
                      <w:rFonts w:hint="eastAsia"/>
                      <w:sz w:val="21"/>
                      <w:szCs w:val="21"/>
                      <w:highlight w:val="none"/>
                      <w:lang w:val="en-US" w:eastAsia="zh-CN"/>
                    </w:rPr>
                    <w:t>7</w:t>
                  </w:r>
                  <w:r>
                    <w:rPr>
                      <w:rFonts w:hint="eastAsia"/>
                      <w:sz w:val="21"/>
                      <w:szCs w:val="21"/>
                      <w:highlight w:val="none"/>
                    </w:rPr>
                    <w:t>个基准灶头，每个基准灶头风量约为2000m</w:t>
                  </w:r>
                  <w:r>
                    <w:rPr>
                      <w:rFonts w:hint="eastAsia"/>
                      <w:sz w:val="21"/>
                      <w:szCs w:val="21"/>
                      <w:highlight w:val="none"/>
                      <w:vertAlign w:val="superscript"/>
                    </w:rPr>
                    <w:t>3</w:t>
                  </w:r>
                  <w:r>
                    <w:rPr>
                      <w:rFonts w:hint="eastAsia"/>
                      <w:sz w:val="21"/>
                      <w:szCs w:val="21"/>
                      <w:highlight w:val="none"/>
                    </w:rPr>
                    <w:t>/h）</w:t>
                  </w:r>
                </w:p>
              </w:tc>
            </w:tr>
            <w:tr w14:paraId="0CC378C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92" w:hRule="atLeast"/>
              </w:trPr>
              <w:tc>
                <w:tcPr>
                  <w:tcW w:w="353" w:type="pct"/>
                  <w:vMerge w:val="continue"/>
                  <w:tcBorders>
                    <w:top w:val="single" w:color="auto" w:sz="4" w:space="0"/>
                    <w:left w:val="single" w:color="auto" w:sz="4" w:space="0"/>
                    <w:bottom w:val="single" w:color="auto" w:sz="4" w:space="0"/>
                    <w:right w:val="single" w:color="auto" w:sz="4" w:space="0"/>
                  </w:tcBorders>
                  <w:tcMar>
                    <w:top w:w="28" w:type="dxa"/>
                    <w:left w:w="28" w:type="dxa"/>
                    <w:bottom w:w="28" w:type="dxa"/>
                    <w:right w:w="28" w:type="dxa"/>
                  </w:tcMar>
                  <w:vAlign w:val="center"/>
                </w:tcPr>
                <w:p w14:paraId="131706D2">
                  <w:pPr>
                    <w:keepNext w:val="0"/>
                    <w:keepLines w:val="0"/>
                    <w:suppressLineNumbers w:val="0"/>
                    <w:spacing w:before="0" w:beforeAutospacing="0" w:after="0" w:afterAutospacing="0" w:line="276" w:lineRule="auto"/>
                    <w:ind w:left="0" w:right="0"/>
                    <w:jc w:val="center"/>
                    <w:rPr>
                      <w:rFonts w:hint="default" w:ascii="Times New Roman" w:hAnsi="Times New Roman" w:eastAsia="宋体" w:cs="Times New Roman"/>
                      <w:sz w:val="21"/>
                      <w:szCs w:val="21"/>
                      <w:highlight w:val="none"/>
                    </w:rPr>
                  </w:pPr>
                </w:p>
              </w:tc>
              <w:tc>
                <w:tcPr>
                  <w:tcW w:w="341" w:type="pct"/>
                  <w:vMerge w:val="restart"/>
                  <w:tcBorders>
                    <w:top w:val="single" w:color="auto" w:sz="4" w:space="0"/>
                    <w:left w:val="single" w:color="auto" w:sz="4" w:space="0"/>
                    <w:right w:val="single" w:color="auto" w:sz="4" w:space="0"/>
                  </w:tcBorders>
                  <w:tcMar>
                    <w:top w:w="28" w:type="dxa"/>
                    <w:left w:w="28" w:type="dxa"/>
                    <w:bottom w:w="28" w:type="dxa"/>
                    <w:right w:w="28" w:type="dxa"/>
                  </w:tcMar>
                  <w:vAlign w:val="center"/>
                </w:tcPr>
                <w:p w14:paraId="5B1BB57A">
                  <w:pPr>
                    <w:keepNext w:val="0"/>
                    <w:keepLines w:val="0"/>
                    <w:suppressLineNumbers w:val="0"/>
                    <w:spacing w:before="0" w:beforeAutospacing="0" w:after="0" w:afterAutospacing="0" w:line="276" w:lineRule="auto"/>
                    <w:ind w:left="0" w:right="0"/>
                    <w:jc w:val="center"/>
                    <w:rPr>
                      <w:rFonts w:hint="default" w:ascii="Times New Roman" w:hAnsi="Times New Roman" w:eastAsia="宋体" w:cs="Times New Roman"/>
                      <w:sz w:val="21"/>
                      <w:szCs w:val="21"/>
                      <w:highlight w:val="none"/>
                    </w:rPr>
                  </w:pPr>
                  <w:r>
                    <w:rPr>
                      <w:rFonts w:hint="eastAsia" w:ascii="Times New Roman" w:hAnsi="Times New Roman" w:eastAsia="宋体" w:cs="Times New Roman"/>
                      <w:sz w:val="21"/>
                      <w:szCs w:val="21"/>
                      <w:highlight w:val="none"/>
                    </w:rPr>
                    <w:t>固废治理</w:t>
                  </w:r>
                </w:p>
              </w:tc>
              <w:tc>
                <w:tcPr>
                  <w:tcW w:w="928" w:type="pct"/>
                  <w:gridSpan w:val="2"/>
                  <w:vMerge w:val="restart"/>
                  <w:tcBorders>
                    <w:top w:val="single" w:color="auto" w:sz="4" w:space="0"/>
                    <w:left w:val="single" w:color="auto" w:sz="4" w:space="0"/>
                    <w:right w:val="single" w:color="auto" w:sz="4" w:space="0"/>
                  </w:tcBorders>
                  <w:tcMar>
                    <w:top w:w="28" w:type="dxa"/>
                    <w:left w:w="28" w:type="dxa"/>
                    <w:bottom w:w="28" w:type="dxa"/>
                    <w:right w:w="28" w:type="dxa"/>
                  </w:tcMar>
                  <w:vAlign w:val="center"/>
                </w:tcPr>
                <w:p w14:paraId="33D5AF46">
                  <w:pPr>
                    <w:keepNext w:val="0"/>
                    <w:keepLines w:val="0"/>
                    <w:suppressLineNumbers w:val="0"/>
                    <w:spacing w:before="0" w:beforeAutospacing="0" w:after="0" w:afterAutospacing="0" w:line="276" w:lineRule="auto"/>
                    <w:ind w:left="0" w:right="0"/>
                    <w:jc w:val="center"/>
                    <w:rPr>
                      <w:rFonts w:hint="eastAsia" w:ascii="Times New Roman" w:hAnsi="Times New Roman" w:eastAsia="宋体" w:cs="Times New Roman"/>
                      <w:sz w:val="21"/>
                      <w:szCs w:val="21"/>
                      <w:highlight w:val="none"/>
                    </w:rPr>
                  </w:pPr>
                  <w:r>
                    <w:rPr>
                      <w:rFonts w:hint="eastAsia" w:ascii="Times New Roman" w:hAnsi="Times New Roman" w:eastAsia="宋体" w:cs="Times New Roman"/>
                      <w:sz w:val="21"/>
                      <w:szCs w:val="21"/>
                      <w:highlight w:val="none"/>
                      <w:lang w:val="en-US" w:eastAsia="zh-CN"/>
                    </w:rPr>
                    <w:t>实验动物中心</w:t>
                  </w:r>
                </w:p>
              </w:tc>
              <w:tc>
                <w:tcPr>
                  <w:tcW w:w="1198" w:type="pct"/>
                  <w:tcBorders>
                    <w:top w:val="single" w:color="auto" w:sz="4" w:space="0"/>
                    <w:left w:val="single" w:color="auto" w:sz="4" w:space="0"/>
                    <w:right w:val="single" w:color="auto" w:sz="4" w:space="0"/>
                  </w:tcBorders>
                  <w:tcMar>
                    <w:top w:w="28" w:type="dxa"/>
                    <w:left w:w="28" w:type="dxa"/>
                    <w:bottom w:w="28" w:type="dxa"/>
                    <w:right w:w="28" w:type="dxa"/>
                  </w:tcMar>
                  <w:vAlign w:val="center"/>
                </w:tcPr>
                <w:p w14:paraId="6160FCBA">
                  <w:pPr>
                    <w:keepNext w:val="0"/>
                    <w:keepLines w:val="0"/>
                    <w:suppressLineNumbers w:val="0"/>
                    <w:spacing w:before="0" w:beforeAutospacing="0" w:after="0" w:afterAutospacing="0" w:line="276" w:lineRule="auto"/>
                    <w:ind w:left="0" w:right="0"/>
                    <w:jc w:val="left"/>
                    <w:rPr>
                      <w:rFonts w:hint="eastAsia" w:ascii="Times New Roman" w:hAnsi="Times New Roman" w:eastAsia="宋体" w:cs="Times New Roman"/>
                      <w:sz w:val="21"/>
                      <w:szCs w:val="21"/>
                      <w:highlight w:val="none"/>
                      <w:lang w:val="en-US" w:eastAsia="zh-CN"/>
                    </w:rPr>
                  </w:pPr>
                  <w:r>
                    <w:rPr>
                      <w:rFonts w:hint="eastAsia" w:cs="Times New Roman"/>
                      <w:sz w:val="21"/>
                      <w:szCs w:val="21"/>
                      <w:highlight w:val="none"/>
                      <w:lang w:val="en-US" w:eastAsia="zh-CN"/>
                    </w:rPr>
                    <w:t>危废暂存间</w:t>
                  </w:r>
                </w:p>
              </w:tc>
              <w:tc>
                <w:tcPr>
                  <w:tcW w:w="2177" w:type="pct"/>
                  <w:tcBorders>
                    <w:top w:val="single" w:color="auto" w:sz="4" w:space="0"/>
                    <w:left w:val="single" w:color="auto" w:sz="4" w:space="0"/>
                    <w:right w:val="single" w:color="auto" w:sz="4" w:space="0"/>
                  </w:tcBorders>
                  <w:tcMar>
                    <w:top w:w="28" w:type="dxa"/>
                    <w:left w:w="28" w:type="dxa"/>
                    <w:bottom w:w="28" w:type="dxa"/>
                    <w:right w:w="28" w:type="dxa"/>
                  </w:tcMar>
                  <w:vAlign w:val="center"/>
                </w:tcPr>
                <w:p w14:paraId="6A2857C8">
                  <w:pPr>
                    <w:keepNext w:val="0"/>
                    <w:keepLines w:val="0"/>
                    <w:suppressLineNumbers w:val="0"/>
                    <w:spacing w:before="0" w:beforeAutospacing="0" w:after="0" w:afterAutospacing="0" w:line="276" w:lineRule="auto"/>
                    <w:ind w:left="0" w:right="0"/>
                    <w:jc w:val="left"/>
                    <w:rPr>
                      <w:rFonts w:hint="eastAsia" w:ascii="Times New Roman" w:hAnsi="Times New Roman" w:eastAsia="宋体" w:cs="Times New Roman"/>
                      <w:sz w:val="21"/>
                      <w:szCs w:val="21"/>
                      <w:highlight w:val="none"/>
                      <w:lang w:val="en-US" w:eastAsia="zh-CN"/>
                    </w:rPr>
                  </w:pPr>
                  <w:r>
                    <w:rPr>
                      <w:rFonts w:hint="eastAsia" w:ascii="Times New Roman" w:hAnsi="Times New Roman" w:eastAsia="宋体" w:cs="Times New Roman"/>
                      <w:sz w:val="21"/>
                      <w:szCs w:val="21"/>
                      <w:highlight w:val="none"/>
                      <w:lang w:val="en-US" w:eastAsia="zh-CN"/>
                    </w:rPr>
                    <w:t>实验动物中心一层</w:t>
                  </w:r>
                  <w:r>
                    <w:rPr>
                      <w:rFonts w:hint="eastAsia" w:cs="Times New Roman"/>
                      <w:sz w:val="21"/>
                      <w:szCs w:val="21"/>
                      <w:highlight w:val="none"/>
                      <w:lang w:val="en-US" w:eastAsia="zh-CN"/>
                    </w:rPr>
                    <w:t>西</w:t>
                  </w:r>
                  <w:r>
                    <w:rPr>
                      <w:rFonts w:hint="eastAsia" w:ascii="Times New Roman" w:hAnsi="Times New Roman" w:eastAsia="宋体" w:cs="Times New Roman"/>
                      <w:sz w:val="21"/>
                      <w:szCs w:val="21"/>
                      <w:highlight w:val="none"/>
                      <w:lang w:val="en-US" w:eastAsia="zh-CN"/>
                    </w:rPr>
                    <w:t>北侧设置了</w:t>
                  </w:r>
                  <w:r>
                    <w:rPr>
                      <w:rFonts w:hint="eastAsia" w:cs="Times New Roman"/>
                      <w:sz w:val="21"/>
                      <w:szCs w:val="21"/>
                      <w:highlight w:val="none"/>
                      <w:lang w:val="en-US" w:eastAsia="zh-CN"/>
                    </w:rPr>
                    <w:t>2</w:t>
                  </w:r>
                  <w:r>
                    <w:rPr>
                      <w:rFonts w:hint="eastAsia" w:ascii="Times New Roman" w:hAnsi="Times New Roman" w:eastAsia="宋体" w:cs="Times New Roman"/>
                      <w:sz w:val="21"/>
                      <w:szCs w:val="21"/>
                      <w:highlight w:val="none"/>
                      <w:lang w:val="en-US" w:eastAsia="zh-CN"/>
                    </w:rPr>
                    <w:t>间危废暂存</w:t>
                  </w:r>
                  <w:r>
                    <w:rPr>
                      <w:rFonts w:hint="eastAsia" w:cs="Times New Roman"/>
                      <w:sz w:val="21"/>
                      <w:szCs w:val="21"/>
                      <w:highlight w:val="none"/>
                      <w:lang w:val="en-US" w:eastAsia="zh-CN"/>
                    </w:rPr>
                    <w:t>间</w:t>
                  </w:r>
                  <w:r>
                    <w:rPr>
                      <w:rFonts w:hint="eastAsia" w:ascii="Times New Roman" w:hAnsi="Times New Roman" w:eastAsia="宋体" w:cs="Times New Roman"/>
                      <w:sz w:val="21"/>
                      <w:szCs w:val="21"/>
                      <w:highlight w:val="none"/>
                      <w:lang w:val="en-US" w:eastAsia="zh-CN"/>
                    </w:rPr>
                    <w:t>（占地面积分别为</w:t>
                  </w:r>
                  <w:r>
                    <w:rPr>
                      <w:rFonts w:hint="eastAsia" w:cs="Times New Roman"/>
                      <w:sz w:val="21"/>
                      <w:szCs w:val="21"/>
                      <w:highlight w:val="none"/>
                      <w:lang w:val="en-US" w:eastAsia="zh-CN"/>
                    </w:rPr>
                    <w:t>20</w:t>
                  </w:r>
                  <w:r>
                    <w:rPr>
                      <w:rFonts w:hint="eastAsia" w:ascii="Times New Roman" w:hAnsi="Times New Roman" w:eastAsia="宋体" w:cs="Times New Roman"/>
                      <w:sz w:val="21"/>
                      <w:szCs w:val="21"/>
                      <w:highlight w:val="none"/>
                      <w:lang w:val="en-US" w:eastAsia="zh-CN"/>
                    </w:rPr>
                    <w:t>m</w:t>
                  </w:r>
                  <w:r>
                    <w:rPr>
                      <w:rFonts w:hint="eastAsia" w:ascii="Times New Roman" w:hAnsi="Times New Roman" w:eastAsia="宋体" w:cs="Times New Roman"/>
                      <w:sz w:val="21"/>
                      <w:szCs w:val="21"/>
                      <w:highlight w:val="none"/>
                      <w:vertAlign w:val="superscript"/>
                      <w:lang w:val="en-US" w:eastAsia="zh-CN"/>
                    </w:rPr>
                    <w:t>2</w:t>
                  </w:r>
                  <w:r>
                    <w:rPr>
                      <w:rFonts w:hint="eastAsia" w:ascii="Times New Roman" w:hAnsi="Times New Roman" w:eastAsia="宋体" w:cs="Times New Roman"/>
                      <w:sz w:val="21"/>
                      <w:szCs w:val="21"/>
                      <w:highlight w:val="none"/>
                      <w:lang w:val="en-US" w:eastAsia="zh-CN"/>
                    </w:rPr>
                    <w:t>、1</w:t>
                  </w:r>
                  <w:r>
                    <w:rPr>
                      <w:rFonts w:hint="eastAsia" w:cs="Times New Roman"/>
                      <w:sz w:val="21"/>
                      <w:szCs w:val="21"/>
                      <w:highlight w:val="none"/>
                      <w:lang w:val="en-US" w:eastAsia="zh-CN"/>
                    </w:rPr>
                    <w:t>5</w:t>
                  </w:r>
                  <w:r>
                    <w:rPr>
                      <w:rFonts w:hint="eastAsia" w:ascii="Times New Roman" w:hAnsi="Times New Roman" w:eastAsia="宋体" w:cs="Times New Roman"/>
                      <w:sz w:val="21"/>
                      <w:szCs w:val="21"/>
                      <w:highlight w:val="none"/>
                      <w:lang w:val="en-US" w:eastAsia="zh-CN"/>
                    </w:rPr>
                    <w:t>m</w:t>
                  </w:r>
                  <w:r>
                    <w:rPr>
                      <w:rFonts w:hint="eastAsia" w:ascii="Times New Roman" w:hAnsi="Times New Roman" w:eastAsia="宋体" w:cs="Times New Roman"/>
                      <w:sz w:val="21"/>
                      <w:szCs w:val="21"/>
                      <w:highlight w:val="none"/>
                      <w:vertAlign w:val="superscript"/>
                      <w:lang w:val="en-US" w:eastAsia="zh-CN"/>
                    </w:rPr>
                    <w:t>2</w:t>
                  </w:r>
                  <w:r>
                    <w:rPr>
                      <w:rFonts w:hint="eastAsia" w:cs="Times New Roman"/>
                      <w:sz w:val="21"/>
                      <w:szCs w:val="21"/>
                      <w:highlight w:val="none"/>
                      <w:lang w:val="en-US" w:eastAsia="zh-CN"/>
                    </w:rPr>
                    <w:t>）</w:t>
                  </w:r>
                </w:p>
              </w:tc>
            </w:tr>
            <w:tr w14:paraId="34B5D1B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92" w:hRule="atLeast"/>
              </w:trPr>
              <w:tc>
                <w:tcPr>
                  <w:tcW w:w="353" w:type="pct"/>
                  <w:vMerge w:val="continue"/>
                  <w:tcBorders>
                    <w:left w:val="single" w:color="auto" w:sz="4" w:space="0"/>
                    <w:bottom w:val="single" w:color="auto" w:sz="4" w:space="0"/>
                    <w:right w:val="single" w:color="auto" w:sz="4" w:space="0"/>
                  </w:tcBorders>
                  <w:tcMar>
                    <w:top w:w="28" w:type="dxa"/>
                    <w:left w:w="28" w:type="dxa"/>
                    <w:bottom w:w="28" w:type="dxa"/>
                    <w:right w:w="28" w:type="dxa"/>
                  </w:tcMar>
                  <w:vAlign w:val="center"/>
                </w:tcPr>
                <w:p w14:paraId="767D8E91">
                  <w:pPr>
                    <w:keepNext w:val="0"/>
                    <w:keepLines w:val="0"/>
                    <w:suppressLineNumbers w:val="0"/>
                    <w:spacing w:before="0" w:beforeAutospacing="0" w:after="0" w:afterAutospacing="0" w:line="276" w:lineRule="auto"/>
                    <w:ind w:left="0" w:right="0"/>
                    <w:jc w:val="left"/>
                    <w:rPr>
                      <w:rFonts w:hint="default"/>
                      <w:highlight w:val="none"/>
                    </w:rPr>
                  </w:pPr>
                </w:p>
              </w:tc>
              <w:tc>
                <w:tcPr>
                  <w:tcW w:w="341" w:type="pct"/>
                  <w:vMerge w:val="continue"/>
                  <w:tcBorders>
                    <w:left w:val="single" w:color="auto" w:sz="4" w:space="0"/>
                    <w:right w:val="single" w:color="auto" w:sz="4" w:space="0"/>
                  </w:tcBorders>
                  <w:tcMar>
                    <w:top w:w="28" w:type="dxa"/>
                    <w:left w:w="28" w:type="dxa"/>
                    <w:bottom w:w="28" w:type="dxa"/>
                    <w:right w:w="28" w:type="dxa"/>
                  </w:tcMar>
                  <w:vAlign w:val="center"/>
                </w:tcPr>
                <w:p w14:paraId="0CBFA6C6">
                  <w:pPr>
                    <w:keepNext w:val="0"/>
                    <w:keepLines w:val="0"/>
                    <w:suppressLineNumbers w:val="0"/>
                    <w:spacing w:before="0" w:beforeAutospacing="0" w:after="0" w:afterAutospacing="0" w:line="276" w:lineRule="auto"/>
                    <w:ind w:left="0" w:right="0"/>
                    <w:jc w:val="left"/>
                    <w:rPr>
                      <w:rFonts w:hint="default"/>
                      <w:highlight w:val="none"/>
                    </w:rPr>
                  </w:pPr>
                </w:p>
              </w:tc>
              <w:tc>
                <w:tcPr>
                  <w:tcW w:w="928" w:type="pct"/>
                  <w:gridSpan w:val="2"/>
                  <w:vMerge w:val="continue"/>
                  <w:tcBorders>
                    <w:left w:val="single" w:color="auto" w:sz="4" w:space="0"/>
                    <w:bottom w:val="single" w:color="auto" w:sz="4" w:space="0"/>
                    <w:right w:val="single" w:color="auto" w:sz="4" w:space="0"/>
                  </w:tcBorders>
                  <w:tcMar>
                    <w:top w:w="28" w:type="dxa"/>
                    <w:left w:w="28" w:type="dxa"/>
                    <w:bottom w:w="28" w:type="dxa"/>
                    <w:right w:w="28" w:type="dxa"/>
                  </w:tcMar>
                  <w:vAlign w:val="center"/>
                </w:tcPr>
                <w:p w14:paraId="455C5442">
                  <w:pPr>
                    <w:keepNext w:val="0"/>
                    <w:keepLines w:val="0"/>
                    <w:suppressLineNumbers w:val="0"/>
                    <w:spacing w:before="0" w:beforeAutospacing="0" w:after="0" w:afterAutospacing="0" w:line="276" w:lineRule="auto"/>
                    <w:ind w:left="0" w:right="0"/>
                    <w:jc w:val="left"/>
                    <w:rPr>
                      <w:rFonts w:hint="default"/>
                      <w:highlight w:val="none"/>
                    </w:rPr>
                  </w:pPr>
                </w:p>
              </w:tc>
              <w:tc>
                <w:tcPr>
                  <w:tcW w:w="1198" w:type="pct"/>
                  <w:tcBorders>
                    <w:top w:val="single" w:color="auto" w:sz="4" w:space="0"/>
                    <w:left w:val="single" w:color="auto" w:sz="4" w:space="0"/>
                    <w:right w:val="single" w:color="auto" w:sz="4" w:space="0"/>
                  </w:tcBorders>
                  <w:tcMar>
                    <w:top w:w="28" w:type="dxa"/>
                    <w:left w:w="28" w:type="dxa"/>
                    <w:bottom w:w="28" w:type="dxa"/>
                    <w:right w:w="28" w:type="dxa"/>
                  </w:tcMar>
                  <w:vAlign w:val="center"/>
                </w:tcPr>
                <w:p w14:paraId="10855443">
                  <w:pPr>
                    <w:keepNext w:val="0"/>
                    <w:keepLines w:val="0"/>
                    <w:suppressLineNumbers w:val="0"/>
                    <w:spacing w:before="0" w:beforeAutospacing="0" w:after="0" w:afterAutospacing="0" w:line="276" w:lineRule="auto"/>
                    <w:ind w:left="0" w:right="0"/>
                    <w:jc w:val="left"/>
                    <w:rPr>
                      <w:rFonts w:hint="eastAsia" w:ascii="Times New Roman" w:hAnsi="Times New Roman" w:eastAsia="宋体" w:cs="Times New Roman"/>
                      <w:sz w:val="21"/>
                      <w:szCs w:val="21"/>
                      <w:highlight w:val="none"/>
                      <w:lang w:val="en-US" w:eastAsia="zh-CN"/>
                    </w:rPr>
                  </w:pPr>
                  <w:r>
                    <w:rPr>
                      <w:rFonts w:hint="eastAsia" w:cs="Times New Roman"/>
                      <w:sz w:val="21"/>
                      <w:szCs w:val="21"/>
                      <w:highlight w:val="none"/>
                      <w:lang w:val="en-US" w:eastAsia="zh-CN"/>
                    </w:rPr>
                    <w:t>一般固废暂存间</w:t>
                  </w:r>
                </w:p>
              </w:tc>
              <w:tc>
                <w:tcPr>
                  <w:tcW w:w="2177" w:type="pct"/>
                  <w:tcBorders>
                    <w:top w:val="single" w:color="auto" w:sz="4" w:space="0"/>
                    <w:left w:val="single" w:color="auto" w:sz="4" w:space="0"/>
                    <w:right w:val="single" w:color="auto" w:sz="4" w:space="0"/>
                  </w:tcBorders>
                  <w:tcMar>
                    <w:top w:w="28" w:type="dxa"/>
                    <w:left w:w="28" w:type="dxa"/>
                    <w:bottom w:w="28" w:type="dxa"/>
                    <w:right w:w="28" w:type="dxa"/>
                  </w:tcMar>
                  <w:vAlign w:val="center"/>
                </w:tcPr>
                <w:p w14:paraId="0FD4ECDB">
                  <w:pPr>
                    <w:keepNext w:val="0"/>
                    <w:keepLines w:val="0"/>
                    <w:suppressLineNumbers w:val="0"/>
                    <w:spacing w:before="0" w:beforeAutospacing="0" w:after="0" w:afterAutospacing="0" w:line="276" w:lineRule="auto"/>
                    <w:ind w:left="0" w:right="0"/>
                    <w:jc w:val="left"/>
                    <w:rPr>
                      <w:rFonts w:hint="default" w:ascii="Times New Roman" w:hAnsi="Times New Roman" w:eastAsia="宋体" w:cs="Times New Roman"/>
                      <w:sz w:val="21"/>
                      <w:szCs w:val="21"/>
                      <w:highlight w:val="none"/>
                      <w:lang w:val="en-US" w:eastAsia="zh-CN"/>
                    </w:rPr>
                  </w:pPr>
                  <w:r>
                    <w:rPr>
                      <w:rFonts w:hint="eastAsia" w:ascii="Times New Roman" w:hAnsi="Times New Roman" w:eastAsia="宋体" w:cs="Times New Roman"/>
                      <w:sz w:val="21"/>
                      <w:szCs w:val="21"/>
                      <w:highlight w:val="none"/>
                      <w:lang w:val="en-US" w:eastAsia="zh-CN"/>
                    </w:rPr>
                    <w:t>实验动物中心一层</w:t>
                  </w:r>
                  <w:r>
                    <w:rPr>
                      <w:rFonts w:hint="eastAsia" w:cs="Times New Roman"/>
                      <w:sz w:val="21"/>
                      <w:szCs w:val="21"/>
                      <w:highlight w:val="none"/>
                      <w:lang w:val="en-US" w:eastAsia="zh-CN"/>
                    </w:rPr>
                    <w:t>西</w:t>
                  </w:r>
                  <w:r>
                    <w:rPr>
                      <w:rFonts w:hint="eastAsia" w:ascii="Times New Roman" w:hAnsi="Times New Roman" w:eastAsia="宋体" w:cs="Times New Roman"/>
                      <w:sz w:val="21"/>
                      <w:szCs w:val="21"/>
                      <w:highlight w:val="none"/>
                      <w:lang w:val="en-US" w:eastAsia="zh-CN"/>
                    </w:rPr>
                    <w:t>北侧设置了</w:t>
                  </w:r>
                  <w:r>
                    <w:rPr>
                      <w:rFonts w:hint="eastAsia" w:cs="Times New Roman"/>
                      <w:sz w:val="21"/>
                      <w:szCs w:val="21"/>
                      <w:highlight w:val="none"/>
                      <w:lang w:val="en-US" w:eastAsia="zh-CN"/>
                    </w:rPr>
                    <w:t>2</w:t>
                  </w:r>
                  <w:r>
                    <w:rPr>
                      <w:rFonts w:hint="eastAsia" w:ascii="Times New Roman" w:hAnsi="Times New Roman" w:eastAsia="宋体" w:cs="Times New Roman"/>
                      <w:sz w:val="21"/>
                      <w:szCs w:val="21"/>
                      <w:highlight w:val="none"/>
                      <w:lang w:val="en-US" w:eastAsia="zh-CN"/>
                    </w:rPr>
                    <w:t>间</w:t>
                  </w:r>
                  <w:r>
                    <w:rPr>
                      <w:rFonts w:hint="eastAsia" w:cs="Times New Roman"/>
                      <w:sz w:val="21"/>
                      <w:szCs w:val="21"/>
                      <w:highlight w:val="none"/>
                      <w:lang w:val="en-US" w:eastAsia="zh-CN"/>
                    </w:rPr>
                    <w:t>一般固废</w:t>
                  </w:r>
                  <w:r>
                    <w:rPr>
                      <w:rFonts w:hint="eastAsia" w:ascii="Times New Roman" w:hAnsi="Times New Roman" w:eastAsia="宋体" w:cs="Times New Roman"/>
                      <w:sz w:val="21"/>
                      <w:szCs w:val="21"/>
                      <w:highlight w:val="none"/>
                      <w:lang w:val="en-US" w:eastAsia="zh-CN"/>
                    </w:rPr>
                    <w:t>暂存库（占地面积分别为7.5m</w:t>
                  </w:r>
                  <w:r>
                    <w:rPr>
                      <w:rFonts w:hint="eastAsia" w:ascii="Times New Roman" w:hAnsi="Times New Roman" w:eastAsia="宋体" w:cs="Times New Roman"/>
                      <w:sz w:val="21"/>
                      <w:szCs w:val="21"/>
                      <w:highlight w:val="none"/>
                      <w:vertAlign w:val="superscript"/>
                      <w:lang w:val="en-US" w:eastAsia="zh-CN"/>
                    </w:rPr>
                    <w:t>2</w:t>
                  </w:r>
                  <w:r>
                    <w:rPr>
                      <w:rFonts w:hint="eastAsia" w:ascii="Times New Roman" w:hAnsi="Times New Roman" w:eastAsia="宋体" w:cs="Times New Roman"/>
                      <w:sz w:val="21"/>
                      <w:szCs w:val="21"/>
                      <w:highlight w:val="none"/>
                      <w:lang w:val="en-US" w:eastAsia="zh-CN"/>
                    </w:rPr>
                    <w:t>、23m</w:t>
                  </w:r>
                  <w:r>
                    <w:rPr>
                      <w:rFonts w:hint="eastAsia" w:ascii="Times New Roman" w:hAnsi="Times New Roman" w:eastAsia="宋体" w:cs="Times New Roman"/>
                      <w:sz w:val="21"/>
                      <w:szCs w:val="21"/>
                      <w:highlight w:val="none"/>
                      <w:vertAlign w:val="superscript"/>
                      <w:lang w:val="en-US" w:eastAsia="zh-CN"/>
                    </w:rPr>
                    <w:t>2</w:t>
                  </w:r>
                  <w:r>
                    <w:rPr>
                      <w:rFonts w:hint="eastAsia" w:cs="Times New Roman"/>
                      <w:sz w:val="21"/>
                      <w:szCs w:val="21"/>
                      <w:highlight w:val="none"/>
                      <w:lang w:val="en-US" w:eastAsia="zh-CN"/>
                    </w:rPr>
                    <w:t>），</w:t>
                  </w:r>
                  <w:r>
                    <w:rPr>
                      <w:rFonts w:hint="eastAsia" w:ascii="Times New Roman" w:hAnsi="Times New Roman" w:eastAsia="宋体" w:cs="Times New Roman"/>
                      <w:sz w:val="21"/>
                      <w:szCs w:val="21"/>
                      <w:highlight w:val="none"/>
                      <w:lang w:val="en-US" w:eastAsia="zh-CN"/>
                    </w:rPr>
                    <w:t>专门用</w:t>
                  </w:r>
                  <w:r>
                    <w:rPr>
                      <w:rFonts w:hint="eastAsia" w:cs="Times New Roman"/>
                      <w:sz w:val="21"/>
                      <w:szCs w:val="21"/>
                      <w:highlight w:val="none"/>
                      <w:lang w:val="en-US" w:eastAsia="zh-CN"/>
                    </w:rPr>
                    <w:t>于</w:t>
                  </w:r>
                  <w:r>
                    <w:rPr>
                      <w:rFonts w:hint="eastAsia" w:ascii="Times New Roman" w:hAnsi="Times New Roman" w:eastAsia="宋体" w:cs="Times New Roman"/>
                      <w:sz w:val="21"/>
                      <w:szCs w:val="21"/>
                      <w:highlight w:val="none"/>
                      <w:lang w:val="en-US" w:eastAsia="zh-CN"/>
                    </w:rPr>
                    <w:t>存放</w:t>
                  </w:r>
                  <w:r>
                    <w:rPr>
                      <w:rFonts w:hint="eastAsia" w:cs="Times New Roman"/>
                      <w:sz w:val="21"/>
                      <w:szCs w:val="21"/>
                      <w:highlight w:val="none"/>
                      <w:lang w:val="en-US" w:eastAsia="zh-CN"/>
                    </w:rPr>
                    <w:t>一般废垫料、动物粪便。</w:t>
                  </w:r>
                </w:p>
              </w:tc>
            </w:tr>
            <w:tr w14:paraId="74815F3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32" w:hRule="atLeast"/>
              </w:trPr>
              <w:tc>
                <w:tcPr>
                  <w:tcW w:w="353" w:type="pct"/>
                  <w:vMerge w:val="continue"/>
                  <w:tcBorders>
                    <w:left w:val="single" w:color="auto" w:sz="4" w:space="0"/>
                    <w:bottom w:val="single" w:color="auto" w:sz="4" w:space="0"/>
                    <w:right w:val="single" w:color="auto" w:sz="4" w:space="0"/>
                  </w:tcBorders>
                  <w:tcMar>
                    <w:top w:w="28" w:type="dxa"/>
                    <w:left w:w="28" w:type="dxa"/>
                    <w:bottom w:w="28" w:type="dxa"/>
                    <w:right w:w="28" w:type="dxa"/>
                  </w:tcMar>
                  <w:vAlign w:val="center"/>
                </w:tcPr>
                <w:p w14:paraId="206A74C4">
                  <w:pPr>
                    <w:keepNext w:val="0"/>
                    <w:keepLines w:val="0"/>
                    <w:suppressLineNumbers w:val="0"/>
                    <w:spacing w:before="0" w:beforeAutospacing="0" w:after="0" w:afterAutospacing="0" w:line="276" w:lineRule="auto"/>
                    <w:ind w:left="0" w:right="0"/>
                    <w:jc w:val="center"/>
                    <w:rPr>
                      <w:rFonts w:hint="default" w:ascii="Times New Roman" w:hAnsi="Times New Roman" w:eastAsia="宋体" w:cs="Times New Roman"/>
                      <w:sz w:val="21"/>
                      <w:szCs w:val="21"/>
                      <w:highlight w:val="none"/>
                    </w:rPr>
                  </w:pPr>
                </w:p>
              </w:tc>
              <w:tc>
                <w:tcPr>
                  <w:tcW w:w="341" w:type="pct"/>
                  <w:vMerge w:val="continue"/>
                  <w:tcBorders>
                    <w:left w:val="single" w:color="auto" w:sz="4" w:space="0"/>
                    <w:bottom w:val="single" w:color="auto" w:sz="4" w:space="0"/>
                    <w:right w:val="single" w:color="auto" w:sz="4" w:space="0"/>
                  </w:tcBorders>
                  <w:tcMar>
                    <w:top w:w="28" w:type="dxa"/>
                    <w:left w:w="28" w:type="dxa"/>
                    <w:bottom w:w="28" w:type="dxa"/>
                    <w:right w:w="28" w:type="dxa"/>
                  </w:tcMar>
                  <w:vAlign w:val="center"/>
                </w:tcPr>
                <w:p w14:paraId="2A5EDB1D">
                  <w:pPr>
                    <w:keepNext w:val="0"/>
                    <w:keepLines w:val="0"/>
                    <w:suppressLineNumbers w:val="0"/>
                    <w:spacing w:before="0" w:beforeAutospacing="0" w:after="0" w:afterAutospacing="0" w:line="276" w:lineRule="auto"/>
                    <w:ind w:left="0" w:right="0"/>
                    <w:jc w:val="center"/>
                    <w:rPr>
                      <w:rFonts w:hint="default" w:ascii="Times New Roman" w:hAnsi="Times New Roman" w:eastAsia="宋体" w:cs="Times New Roman"/>
                      <w:sz w:val="21"/>
                      <w:szCs w:val="21"/>
                      <w:highlight w:val="none"/>
                    </w:rPr>
                  </w:pPr>
                </w:p>
              </w:tc>
              <w:tc>
                <w:tcPr>
                  <w:tcW w:w="928" w:type="pct"/>
                  <w:gridSpan w:val="2"/>
                  <w:tcBorders>
                    <w:top w:val="single" w:color="auto" w:sz="4" w:space="0"/>
                    <w:left w:val="single" w:color="auto" w:sz="4" w:space="0"/>
                    <w:bottom w:val="single" w:color="auto" w:sz="4" w:space="0"/>
                    <w:right w:val="single" w:color="auto" w:sz="4" w:space="0"/>
                  </w:tcBorders>
                  <w:tcMar>
                    <w:top w:w="28" w:type="dxa"/>
                    <w:left w:w="28" w:type="dxa"/>
                    <w:bottom w:w="28" w:type="dxa"/>
                    <w:right w:w="28" w:type="dxa"/>
                  </w:tcMar>
                  <w:vAlign w:val="center"/>
                </w:tcPr>
                <w:p w14:paraId="3AF59A75">
                  <w:pPr>
                    <w:keepNext w:val="0"/>
                    <w:keepLines w:val="0"/>
                    <w:suppressLineNumbers w:val="0"/>
                    <w:spacing w:before="0" w:beforeAutospacing="0" w:after="0" w:afterAutospacing="0" w:line="276" w:lineRule="auto"/>
                    <w:ind w:left="0" w:right="0"/>
                    <w:jc w:val="center"/>
                    <w:rPr>
                      <w:rFonts w:hint="eastAsia" w:ascii="Times New Roman" w:hAnsi="Times New Roman" w:eastAsia="宋体" w:cs="Times New Roman"/>
                      <w:sz w:val="21"/>
                      <w:szCs w:val="21"/>
                      <w:highlight w:val="none"/>
                      <w:lang w:val="en-US" w:eastAsia="zh-CN"/>
                    </w:rPr>
                  </w:pPr>
                  <w:r>
                    <w:rPr>
                      <w:rFonts w:hint="eastAsia" w:ascii="Times New Roman" w:hAnsi="Times New Roman" w:eastAsia="宋体" w:cs="Times New Roman"/>
                      <w:sz w:val="21"/>
                      <w:szCs w:val="21"/>
                      <w:highlight w:val="none"/>
                      <w:lang w:val="en-US" w:eastAsia="zh-CN"/>
                    </w:rPr>
                    <w:t>科创</w:t>
                  </w:r>
                  <w:r>
                    <w:rPr>
                      <w:rFonts w:hint="eastAsia"/>
                      <w:kern w:val="0"/>
                      <w:sz w:val="21"/>
                      <w:szCs w:val="21"/>
                      <w:highlight w:val="none"/>
                      <w:lang w:val="en-US" w:eastAsia="zh-CN"/>
                    </w:rPr>
                    <w:t>综合</w:t>
                  </w:r>
                  <w:r>
                    <w:rPr>
                      <w:rFonts w:hint="eastAsia" w:ascii="Times New Roman" w:hAnsi="Times New Roman" w:eastAsia="宋体" w:cs="Times New Roman"/>
                      <w:sz w:val="21"/>
                      <w:szCs w:val="21"/>
                      <w:highlight w:val="none"/>
                      <w:lang w:val="en-US" w:eastAsia="zh-CN"/>
                    </w:rPr>
                    <w:t>楼</w:t>
                  </w:r>
                </w:p>
              </w:tc>
              <w:tc>
                <w:tcPr>
                  <w:tcW w:w="3376" w:type="pct"/>
                  <w:gridSpan w:val="2"/>
                  <w:tcBorders>
                    <w:left w:val="single" w:color="auto" w:sz="4" w:space="0"/>
                    <w:bottom w:val="single" w:color="auto" w:sz="4" w:space="0"/>
                    <w:right w:val="single" w:color="auto" w:sz="4" w:space="0"/>
                  </w:tcBorders>
                  <w:tcMar>
                    <w:top w:w="28" w:type="dxa"/>
                    <w:left w:w="28" w:type="dxa"/>
                    <w:bottom w:w="28" w:type="dxa"/>
                    <w:right w:w="28" w:type="dxa"/>
                  </w:tcMar>
                  <w:vAlign w:val="center"/>
                </w:tcPr>
                <w:p w14:paraId="1C3DB846">
                  <w:pPr>
                    <w:keepNext w:val="0"/>
                    <w:keepLines w:val="0"/>
                    <w:suppressLineNumbers w:val="0"/>
                    <w:spacing w:before="0" w:beforeAutospacing="0" w:after="0" w:afterAutospacing="0" w:line="276" w:lineRule="auto"/>
                    <w:ind w:left="0" w:right="0"/>
                    <w:jc w:val="left"/>
                    <w:rPr>
                      <w:rFonts w:hint="eastAsia" w:ascii="Times New Roman" w:hAnsi="Times New Roman" w:eastAsia="宋体" w:cs="Times New Roman"/>
                      <w:sz w:val="21"/>
                      <w:szCs w:val="21"/>
                      <w:highlight w:val="none"/>
                      <w:lang w:val="en-US" w:eastAsia="zh-CN"/>
                    </w:rPr>
                  </w:pPr>
                  <w:r>
                    <w:rPr>
                      <w:rFonts w:hint="eastAsia" w:ascii="Times New Roman" w:hAnsi="Times New Roman" w:eastAsia="宋体" w:cs="Times New Roman"/>
                      <w:sz w:val="21"/>
                      <w:szCs w:val="21"/>
                      <w:highlight w:val="none"/>
                      <w:lang w:val="en-US" w:eastAsia="zh-CN"/>
                    </w:rPr>
                    <w:t>各层楼均设有1间危废暂存间</w:t>
                  </w:r>
                  <w:r>
                    <w:rPr>
                      <w:rFonts w:hint="eastAsia" w:ascii="Times New Roman" w:hAnsi="Times New Roman" w:eastAsia="宋体" w:cs="Times New Roman"/>
                      <w:color w:val="auto"/>
                      <w:sz w:val="21"/>
                      <w:szCs w:val="21"/>
                      <w:highlight w:val="none"/>
                      <w:lang w:eastAsia="zh-CN"/>
                    </w:rPr>
                    <w:t>（</w:t>
                  </w:r>
                  <w:r>
                    <w:rPr>
                      <w:rFonts w:hint="eastAsia" w:ascii="Times New Roman" w:hAnsi="Times New Roman" w:eastAsia="宋体" w:cs="Times New Roman"/>
                      <w:color w:val="auto"/>
                      <w:sz w:val="21"/>
                      <w:szCs w:val="21"/>
                      <w:highlight w:val="none"/>
                      <w:lang w:val="en-US" w:eastAsia="zh-CN"/>
                    </w:rPr>
                    <w:t>即废液间，每间约30m</w:t>
                  </w:r>
                  <w:r>
                    <w:rPr>
                      <w:rFonts w:hint="eastAsia" w:ascii="Times New Roman" w:hAnsi="Times New Roman" w:eastAsia="宋体" w:cs="Times New Roman"/>
                      <w:color w:val="auto"/>
                      <w:sz w:val="21"/>
                      <w:szCs w:val="21"/>
                      <w:highlight w:val="none"/>
                      <w:vertAlign w:val="superscript"/>
                      <w:lang w:val="en-US" w:eastAsia="zh-CN"/>
                    </w:rPr>
                    <w:t>2</w:t>
                  </w:r>
                  <w:r>
                    <w:rPr>
                      <w:rFonts w:hint="eastAsia" w:ascii="Times New Roman" w:hAnsi="Times New Roman" w:eastAsia="宋体" w:cs="Times New Roman"/>
                      <w:color w:val="auto"/>
                      <w:sz w:val="21"/>
                      <w:szCs w:val="21"/>
                      <w:highlight w:val="none"/>
                      <w:lang w:eastAsia="zh-CN"/>
                    </w:rPr>
                    <w:t>）</w:t>
                  </w:r>
                  <w:r>
                    <w:rPr>
                      <w:rFonts w:hint="eastAsia" w:ascii="Times New Roman" w:hAnsi="Times New Roman" w:eastAsia="宋体" w:cs="Times New Roman"/>
                      <w:sz w:val="21"/>
                      <w:szCs w:val="21"/>
                      <w:highlight w:val="none"/>
                      <w:lang w:val="en-US" w:eastAsia="zh-CN"/>
                    </w:rPr>
                    <w:t>，共7间，210m</w:t>
                  </w:r>
                  <w:r>
                    <w:rPr>
                      <w:rFonts w:hint="eastAsia" w:ascii="Times New Roman" w:hAnsi="Times New Roman" w:eastAsia="宋体" w:cs="Times New Roman"/>
                      <w:sz w:val="21"/>
                      <w:szCs w:val="21"/>
                      <w:highlight w:val="none"/>
                      <w:vertAlign w:val="superscript"/>
                      <w:lang w:val="en-US" w:eastAsia="zh-CN"/>
                    </w:rPr>
                    <w:t>2</w:t>
                  </w:r>
                  <w:r>
                    <w:rPr>
                      <w:rFonts w:hint="eastAsia" w:ascii="Times New Roman" w:hAnsi="Times New Roman" w:eastAsia="宋体" w:cs="Times New Roman"/>
                      <w:sz w:val="21"/>
                      <w:szCs w:val="21"/>
                      <w:highlight w:val="none"/>
                      <w:vertAlign w:val="baseline"/>
                      <w:lang w:val="en-US" w:eastAsia="zh-CN"/>
                    </w:rPr>
                    <w:t>。</w:t>
                  </w:r>
                </w:p>
              </w:tc>
            </w:tr>
            <w:tr w14:paraId="12A4BBB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Pr>
              <w:tc>
                <w:tcPr>
                  <w:tcW w:w="353" w:type="pct"/>
                  <w:vMerge w:val="continue"/>
                  <w:tcBorders>
                    <w:top w:val="single" w:color="auto" w:sz="4" w:space="0"/>
                    <w:left w:val="single" w:color="auto" w:sz="4" w:space="0"/>
                    <w:bottom w:val="single" w:color="auto" w:sz="4" w:space="0"/>
                    <w:right w:val="single" w:color="auto" w:sz="4" w:space="0"/>
                  </w:tcBorders>
                  <w:tcMar>
                    <w:top w:w="28" w:type="dxa"/>
                    <w:left w:w="28" w:type="dxa"/>
                    <w:bottom w:w="28" w:type="dxa"/>
                    <w:right w:w="28" w:type="dxa"/>
                  </w:tcMar>
                  <w:vAlign w:val="center"/>
                </w:tcPr>
                <w:p w14:paraId="05D983BC">
                  <w:pPr>
                    <w:keepNext w:val="0"/>
                    <w:keepLines w:val="0"/>
                    <w:suppressLineNumbers w:val="0"/>
                    <w:spacing w:before="0" w:beforeAutospacing="0" w:after="0" w:afterAutospacing="0" w:line="276" w:lineRule="auto"/>
                    <w:ind w:left="0" w:right="0"/>
                    <w:jc w:val="center"/>
                    <w:rPr>
                      <w:rFonts w:hint="default" w:ascii="Times New Roman" w:hAnsi="Times New Roman" w:eastAsia="宋体" w:cs="Times New Roman"/>
                      <w:sz w:val="21"/>
                      <w:szCs w:val="21"/>
                      <w:highlight w:val="none"/>
                    </w:rPr>
                  </w:pPr>
                </w:p>
              </w:tc>
              <w:tc>
                <w:tcPr>
                  <w:tcW w:w="1270" w:type="pct"/>
                  <w:gridSpan w:val="3"/>
                  <w:tcBorders>
                    <w:top w:val="single" w:color="auto" w:sz="4" w:space="0"/>
                    <w:left w:val="single" w:color="auto" w:sz="4" w:space="0"/>
                    <w:bottom w:val="single" w:color="auto" w:sz="4" w:space="0"/>
                    <w:right w:val="single" w:color="auto" w:sz="4" w:space="0"/>
                  </w:tcBorders>
                  <w:tcMar>
                    <w:top w:w="28" w:type="dxa"/>
                    <w:left w:w="28" w:type="dxa"/>
                    <w:bottom w:w="28" w:type="dxa"/>
                    <w:right w:w="28" w:type="dxa"/>
                  </w:tcMar>
                  <w:vAlign w:val="center"/>
                </w:tcPr>
                <w:p w14:paraId="726F1257">
                  <w:pPr>
                    <w:keepNext w:val="0"/>
                    <w:keepLines w:val="0"/>
                    <w:suppressLineNumbers w:val="0"/>
                    <w:spacing w:before="0" w:beforeAutospacing="0" w:after="0" w:afterAutospacing="0" w:line="276" w:lineRule="auto"/>
                    <w:ind w:left="0" w:right="0"/>
                    <w:jc w:val="center"/>
                    <w:rPr>
                      <w:rFonts w:hint="default" w:ascii="Times New Roman" w:hAnsi="Times New Roman" w:eastAsia="宋体" w:cs="Times New Roman"/>
                      <w:sz w:val="21"/>
                      <w:szCs w:val="21"/>
                      <w:highlight w:val="none"/>
                    </w:rPr>
                  </w:pPr>
                  <w:r>
                    <w:rPr>
                      <w:rFonts w:hint="eastAsia" w:ascii="Times New Roman" w:hAnsi="Times New Roman" w:eastAsia="宋体" w:cs="Times New Roman"/>
                      <w:sz w:val="21"/>
                      <w:szCs w:val="21"/>
                      <w:highlight w:val="none"/>
                    </w:rPr>
                    <w:t>噪声</w:t>
                  </w:r>
                </w:p>
              </w:tc>
              <w:tc>
                <w:tcPr>
                  <w:tcW w:w="3376" w:type="pct"/>
                  <w:gridSpan w:val="2"/>
                  <w:tcBorders>
                    <w:top w:val="single" w:color="auto" w:sz="4" w:space="0"/>
                    <w:left w:val="single" w:color="auto" w:sz="4" w:space="0"/>
                    <w:bottom w:val="single" w:color="auto" w:sz="4" w:space="0"/>
                    <w:right w:val="single" w:color="auto" w:sz="4" w:space="0"/>
                  </w:tcBorders>
                  <w:tcMar>
                    <w:top w:w="28" w:type="dxa"/>
                    <w:left w:w="28" w:type="dxa"/>
                    <w:bottom w:w="28" w:type="dxa"/>
                    <w:right w:w="28" w:type="dxa"/>
                  </w:tcMar>
                  <w:vAlign w:val="center"/>
                </w:tcPr>
                <w:p w14:paraId="7BE636C1">
                  <w:pPr>
                    <w:keepNext w:val="0"/>
                    <w:keepLines w:val="0"/>
                    <w:suppressLineNumbers w:val="0"/>
                    <w:spacing w:before="0" w:beforeAutospacing="0" w:after="0" w:afterAutospacing="0" w:line="276" w:lineRule="auto"/>
                    <w:ind w:left="0" w:right="0"/>
                    <w:jc w:val="left"/>
                    <w:rPr>
                      <w:rFonts w:hint="default" w:ascii="Times New Roman" w:hAnsi="Times New Roman" w:eastAsia="宋体" w:cs="Times New Roman"/>
                      <w:sz w:val="21"/>
                      <w:szCs w:val="21"/>
                      <w:highlight w:val="none"/>
                    </w:rPr>
                  </w:pPr>
                  <w:r>
                    <w:rPr>
                      <w:rFonts w:hint="eastAsia" w:ascii="Times New Roman" w:hAnsi="Times New Roman" w:eastAsia="宋体" w:cs="Times New Roman"/>
                      <w:sz w:val="21"/>
                      <w:szCs w:val="21"/>
                      <w:highlight w:val="none"/>
                    </w:rPr>
                    <w:t>对实验室内设备进行合理布局；设备选用低噪声型号，并采取隔声减振措施；加强对设备的维护，确保设备处于良好的运行状态，防止因故障产生的噪声。</w:t>
                  </w:r>
                </w:p>
              </w:tc>
            </w:tr>
          </w:tbl>
          <w:p w14:paraId="73BB2A83">
            <w:pPr>
              <w:pStyle w:val="4"/>
              <w:suppressLineNumbers w:val="0"/>
              <w:snapToGrid w:val="0"/>
              <w:spacing w:before="0" w:beforeAutospacing="0" w:after="0" w:afterAutospacing="0" w:line="360" w:lineRule="auto"/>
              <w:ind w:left="0" w:right="0"/>
              <w:rPr>
                <w:rFonts w:hint="default"/>
                <w:snapToGrid w:val="0"/>
                <w:sz w:val="24"/>
                <w:szCs w:val="24"/>
                <w:highlight w:val="none"/>
              </w:rPr>
            </w:pPr>
            <w:r>
              <w:rPr>
                <w:rFonts w:hint="default"/>
                <w:snapToGrid w:val="0"/>
                <w:sz w:val="24"/>
                <w:szCs w:val="24"/>
                <w:highlight w:val="none"/>
              </w:rPr>
              <w:t>5</w:t>
            </w:r>
            <w:r>
              <w:rPr>
                <w:rFonts w:hint="eastAsia"/>
                <w:snapToGrid w:val="0"/>
                <w:sz w:val="24"/>
                <w:szCs w:val="24"/>
                <w:highlight w:val="none"/>
              </w:rPr>
              <w:t>、厂区总平面布置</w:t>
            </w:r>
          </w:p>
          <w:p w14:paraId="63D67BB0">
            <w:pPr>
              <w:keepNext w:val="0"/>
              <w:keepLines w:val="0"/>
              <w:suppressLineNumbers w:val="0"/>
              <w:adjustRightInd w:val="0"/>
              <w:snapToGrid w:val="0"/>
              <w:spacing w:before="0" w:beforeAutospacing="0" w:after="0" w:afterAutospacing="0" w:line="360" w:lineRule="auto"/>
              <w:ind w:left="0" w:right="0" w:firstLine="480" w:firstLineChars="200"/>
              <w:rPr>
                <w:rFonts w:hint="default"/>
                <w:color w:val="auto"/>
                <w:kern w:val="0"/>
                <w:highlight w:val="none"/>
                <w:vertAlign w:val="baseline"/>
                <w:lang w:val="en-US" w:eastAsia="zh-CN"/>
              </w:rPr>
            </w:pPr>
            <w:r>
              <w:rPr>
                <w:rFonts w:hint="eastAsia"/>
                <w:color w:val="auto"/>
                <w:kern w:val="0"/>
                <w:highlight w:val="none"/>
              </w:rPr>
              <w:t>本项目</w:t>
            </w:r>
            <w:r>
              <w:rPr>
                <w:rFonts w:hint="eastAsia"/>
                <w:color w:val="auto"/>
                <w:kern w:val="0"/>
                <w:highlight w:val="none"/>
                <w:lang w:val="en-US" w:eastAsia="zh-CN"/>
              </w:rPr>
              <w:t>位于衢州市高铁新城闽江大道以南、龙游路以西、常山港以北，占地面积为26666</w:t>
            </w:r>
            <w:r>
              <w:rPr>
                <w:rFonts w:hint="eastAsia"/>
                <w:color w:val="auto"/>
                <w:kern w:val="0"/>
                <w:highlight w:val="none"/>
              </w:rPr>
              <w:t>m</w:t>
            </w:r>
            <w:r>
              <w:rPr>
                <w:rFonts w:hint="eastAsia"/>
                <w:color w:val="auto"/>
                <w:kern w:val="0"/>
                <w:highlight w:val="none"/>
                <w:vertAlign w:val="superscript"/>
              </w:rPr>
              <w:t>2</w:t>
            </w:r>
            <w:r>
              <w:rPr>
                <w:rFonts w:hint="eastAsia"/>
                <w:color w:val="auto"/>
                <w:kern w:val="0"/>
                <w:highlight w:val="none"/>
                <w:vertAlign w:val="baseline"/>
                <w:lang w:eastAsia="zh-CN"/>
              </w:rPr>
              <w:t>，共设置1栋科创综合楼，1栋实验动物中心，1栋人才宿舍楼，1座室外运动场，以及2条串联3栋楼的户外连廊。基地建设实行统一规划建设，功能分区布置，相对独立又紧密联系，</w:t>
            </w:r>
            <w:r>
              <w:rPr>
                <w:rFonts w:hint="eastAsia"/>
                <w:color w:val="auto"/>
                <w:kern w:val="0"/>
                <w:highlight w:val="none"/>
                <w:vertAlign w:val="baseline"/>
                <w:lang w:val="en-US" w:eastAsia="zh-CN"/>
              </w:rPr>
              <w:t>主出入口位于项目南侧。</w:t>
            </w:r>
          </w:p>
          <w:p w14:paraId="7C24EB73">
            <w:pPr>
              <w:keepNext w:val="0"/>
              <w:keepLines w:val="0"/>
              <w:suppressLineNumbers w:val="0"/>
              <w:adjustRightInd w:val="0"/>
              <w:snapToGrid w:val="0"/>
              <w:spacing w:before="0" w:beforeAutospacing="0" w:after="0" w:afterAutospacing="0" w:line="360" w:lineRule="auto"/>
              <w:ind w:left="0" w:right="0" w:firstLine="480" w:firstLineChars="200"/>
              <w:rPr>
                <w:rFonts w:hint="eastAsia"/>
                <w:color w:val="auto"/>
                <w:kern w:val="0"/>
                <w:highlight w:val="none"/>
                <w:vertAlign w:val="baseline"/>
                <w:lang w:eastAsia="zh-CN"/>
              </w:rPr>
            </w:pPr>
            <w:r>
              <w:rPr>
                <w:rFonts w:hint="eastAsia"/>
                <w:color w:val="auto"/>
                <w:kern w:val="0"/>
                <w:highlight w:val="none"/>
                <w:vertAlign w:val="baseline"/>
                <w:lang w:eastAsia="zh-CN"/>
              </w:rPr>
              <w:t>科创综合楼位于基地中心，共7层，规划建筑高度36.00m，建筑面积约26200m</w:t>
            </w:r>
            <w:r>
              <w:rPr>
                <w:rFonts w:hint="eastAsia"/>
                <w:color w:val="auto"/>
                <w:kern w:val="0"/>
                <w:highlight w:val="none"/>
                <w:vertAlign w:val="superscript"/>
                <w:lang w:eastAsia="zh-CN"/>
              </w:rPr>
              <w:t>2</w:t>
            </w:r>
            <w:r>
              <w:rPr>
                <w:rFonts w:hint="eastAsia"/>
                <w:color w:val="auto"/>
                <w:kern w:val="0"/>
                <w:highlight w:val="none"/>
                <w:vertAlign w:val="baseline"/>
                <w:lang w:eastAsia="zh-CN"/>
              </w:rPr>
              <w:t>。实验动物中心位于基地西北角，紧邻二期，共3层，规划建筑高度23.15m，建筑面积约4500m</w:t>
            </w:r>
            <w:r>
              <w:rPr>
                <w:rFonts w:hint="eastAsia"/>
                <w:color w:val="auto"/>
                <w:kern w:val="0"/>
                <w:highlight w:val="none"/>
                <w:vertAlign w:val="superscript"/>
                <w:lang w:eastAsia="zh-CN"/>
              </w:rPr>
              <w:t>2</w:t>
            </w:r>
            <w:r>
              <w:rPr>
                <w:rFonts w:hint="eastAsia"/>
                <w:color w:val="auto"/>
                <w:kern w:val="0"/>
                <w:highlight w:val="none"/>
                <w:vertAlign w:val="baseline"/>
                <w:lang w:eastAsia="zh-CN"/>
              </w:rPr>
              <w:t>。人才宿舍楼位于基地南侧，南眺常山港，共7层，规划建筑高度23.95m，建筑面积约10800m</w:t>
            </w:r>
            <w:r>
              <w:rPr>
                <w:rFonts w:hint="eastAsia"/>
                <w:color w:val="auto"/>
                <w:kern w:val="0"/>
                <w:highlight w:val="none"/>
                <w:vertAlign w:val="superscript"/>
                <w:lang w:eastAsia="zh-CN"/>
              </w:rPr>
              <w:t>2</w:t>
            </w:r>
            <w:r>
              <w:rPr>
                <w:rFonts w:hint="eastAsia"/>
                <w:color w:val="auto"/>
                <w:kern w:val="0"/>
                <w:highlight w:val="none"/>
                <w:vertAlign w:val="baseline"/>
                <w:lang w:eastAsia="zh-CN"/>
              </w:rPr>
              <w:t>。运动区位于基地东北角侧。设置200米环形塑胶跑道和2片篮球场。</w:t>
            </w:r>
          </w:p>
          <w:p w14:paraId="61EC5DAC">
            <w:pPr>
              <w:keepNext w:val="0"/>
              <w:keepLines w:val="0"/>
              <w:suppressLineNumbers w:val="0"/>
              <w:adjustRightInd w:val="0"/>
              <w:snapToGrid w:val="0"/>
              <w:spacing w:before="0" w:beforeAutospacing="0" w:after="0" w:afterAutospacing="0" w:line="360" w:lineRule="auto"/>
              <w:ind w:left="0" w:right="0" w:firstLine="480" w:firstLineChars="200"/>
              <w:rPr>
                <w:rFonts w:hint="default"/>
                <w:kern w:val="0"/>
                <w:highlight w:val="none"/>
                <w:lang w:val="en-US" w:eastAsia="zh-CN"/>
              </w:rPr>
            </w:pPr>
            <w:r>
              <w:rPr>
                <w:rFonts w:hint="eastAsia"/>
                <w:kern w:val="0"/>
                <w:highlight w:val="none"/>
                <w:lang w:val="en-US" w:eastAsia="zh-CN"/>
              </w:rPr>
              <w:t>项目</w:t>
            </w:r>
            <w:r>
              <w:rPr>
                <w:rFonts w:hint="eastAsia"/>
                <w:color w:val="auto"/>
                <w:kern w:val="0"/>
                <w:highlight w:val="none"/>
                <w:vertAlign w:val="baseline"/>
                <w:lang w:eastAsia="zh-CN"/>
              </w:rPr>
              <w:t>实验动物中心</w:t>
            </w:r>
            <w:r>
              <w:rPr>
                <w:rFonts w:hint="eastAsia"/>
                <w:kern w:val="0"/>
                <w:highlight w:val="none"/>
                <w:lang w:val="en-US" w:eastAsia="zh-CN"/>
              </w:rPr>
              <w:t>所在区域不属于自然疫源地，且离易燃、易爆和易挥发性物品的生产和储存区；环境空气质量指标均满足相关标准规定要求，属于环境空气质量达标区；周边无严重空气污染、振动或噪声干扰的区域，因此，项目选址符合《</w:t>
            </w:r>
            <w:r>
              <w:rPr>
                <w:rFonts w:hint="eastAsia" w:cs="宋体"/>
                <w:sz w:val="24"/>
                <w:highlight w:val="none"/>
              </w:rPr>
              <w:t>实验动物环境</w:t>
            </w:r>
            <w:r>
              <w:rPr>
                <w:rFonts w:hint="eastAsia" w:cs="宋体"/>
                <w:sz w:val="24"/>
                <w:highlight w:val="none"/>
                <w:lang w:val="en-US" w:eastAsia="zh-CN"/>
              </w:rPr>
              <w:t>及</w:t>
            </w:r>
            <w:r>
              <w:rPr>
                <w:rFonts w:hint="eastAsia" w:cs="宋体"/>
                <w:sz w:val="24"/>
                <w:highlight w:val="none"/>
              </w:rPr>
              <w:t>设施</w:t>
            </w:r>
            <w:r>
              <w:rPr>
                <w:rFonts w:hint="eastAsia"/>
                <w:kern w:val="0"/>
                <w:highlight w:val="none"/>
                <w:lang w:val="en-US" w:eastAsia="zh-CN"/>
              </w:rPr>
              <w:t>》（</w:t>
            </w:r>
            <w:r>
              <w:rPr>
                <w:rFonts w:hint="eastAsia" w:cs="宋体"/>
                <w:sz w:val="24"/>
                <w:highlight w:val="none"/>
              </w:rPr>
              <w:t>GB14925-20</w:t>
            </w:r>
            <w:r>
              <w:rPr>
                <w:rFonts w:hint="eastAsia" w:cs="宋体"/>
                <w:sz w:val="24"/>
                <w:highlight w:val="none"/>
                <w:lang w:val="en-US" w:eastAsia="zh-CN"/>
              </w:rPr>
              <w:t>23</w:t>
            </w:r>
            <w:r>
              <w:rPr>
                <w:rFonts w:hint="eastAsia"/>
                <w:kern w:val="0"/>
                <w:highlight w:val="none"/>
                <w:lang w:val="en-US" w:eastAsia="zh-CN"/>
              </w:rPr>
              <w:t>）要求。项目动物实验设施与动物生产设施位于不同区域房间，满足《</w:t>
            </w:r>
            <w:r>
              <w:rPr>
                <w:rFonts w:hint="eastAsia" w:cs="宋体"/>
                <w:sz w:val="24"/>
                <w:highlight w:val="none"/>
              </w:rPr>
              <w:t>实验动物环境</w:t>
            </w:r>
            <w:r>
              <w:rPr>
                <w:rFonts w:hint="eastAsia" w:cs="宋体"/>
                <w:sz w:val="24"/>
                <w:highlight w:val="none"/>
                <w:lang w:val="en-US" w:eastAsia="zh-CN"/>
              </w:rPr>
              <w:t>及</w:t>
            </w:r>
            <w:r>
              <w:rPr>
                <w:rFonts w:hint="eastAsia" w:cs="宋体"/>
                <w:sz w:val="24"/>
                <w:highlight w:val="none"/>
              </w:rPr>
              <w:t>设施</w:t>
            </w:r>
            <w:r>
              <w:rPr>
                <w:rFonts w:hint="eastAsia"/>
                <w:kern w:val="0"/>
                <w:highlight w:val="none"/>
                <w:lang w:val="en-US" w:eastAsia="zh-CN"/>
              </w:rPr>
              <w:t>》（</w:t>
            </w:r>
            <w:r>
              <w:rPr>
                <w:rFonts w:hint="eastAsia" w:cs="宋体"/>
                <w:sz w:val="24"/>
                <w:highlight w:val="none"/>
              </w:rPr>
              <w:t>GB14925-20</w:t>
            </w:r>
            <w:r>
              <w:rPr>
                <w:rFonts w:hint="eastAsia" w:cs="宋体"/>
                <w:sz w:val="24"/>
                <w:highlight w:val="none"/>
                <w:lang w:val="en-US" w:eastAsia="zh-CN"/>
              </w:rPr>
              <w:t>23</w:t>
            </w:r>
            <w:r>
              <w:rPr>
                <w:rFonts w:hint="eastAsia"/>
                <w:kern w:val="0"/>
                <w:highlight w:val="none"/>
                <w:lang w:val="en-US" w:eastAsia="zh-CN"/>
              </w:rPr>
              <w:t>）分开设置要求。</w:t>
            </w:r>
          </w:p>
          <w:p w14:paraId="776A441E">
            <w:pPr>
              <w:keepNext w:val="0"/>
              <w:keepLines w:val="0"/>
              <w:suppressLineNumbers w:val="0"/>
              <w:adjustRightInd w:val="0"/>
              <w:snapToGrid w:val="0"/>
              <w:spacing w:before="0" w:beforeAutospacing="0" w:after="0" w:afterAutospacing="0" w:line="360" w:lineRule="auto"/>
              <w:ind w:left="0" w:right="0" w:firstLine="480" w:firstLineChars="200"/>
              <w:rPr>
                <w:rFonts w:hint="eastAsia"/>
                <w:color w:val="auto"/>
                <w:kern w:val="0"/>
                <w:highlight w:val="none"/>
              </w:rPr>
            </w:pPr>
            <w:r>
              <w:rPr>
                <w:rFonts w:hint="eastAsia"/>
                <w:color w:val="auto"/>
                <w:kern w:val="0"/>
                <w:highlight w:val="none"/>
              </w:rPr>
              <w:t>本项目</w:t>
            </w:r>
            <w:r>
              <w:rPr>
                <w:rFonts w:hint="eastAsia"/>
                <w:color w:val="auto"/>
                <w:kern w:val="0"/>
                <w:highlight w:val="none"/>
                <w:lang w:val="en-US" w:eastAsia="zh-CN"/>
              </w:rPr>
              <w:t>科创综合楼</w:t>
            </w:r>
            <w:r>
              <w:rPr>
                <w:rFonts w:hint="eastAsia"/>
                <w:color w:val="auto"/>
                <w:kern w:val="0"/>
                <w:highlight w:val="none"/>
              </w:rPr>
              <w:t>布局将办公区域与实验区域分隔开，可将实验过程中污染物对人体的危害降到最低，避免了日常办公区与实验区的混杂和相互影响。实验室废气均通过实验室内生物安全柜、通风橱、万向集气罩</w:t>
            </w:r>
            <w:r>
              <w:rPr>
                <w:rFonts w:hint="eastAsia"/>
                <w:color w:val="auto"/>
                <w:kern w:val="0"/>
                <w:highlight w:val="none"/>
                <w:lang w:val="en-US" w:eastAsia="zh-CN"/>
              </w:rPr>
              <w:t>等废气收集措施</w:t>
            </w:r>
            <w:r>
              <w:rPr>
                <w:rFonts w:hint="eastAsia"/>
                <w:color w:val="auto"/>
                <w:kern w:val="0"/>
                <w:highlight w:val="none"/>
              </w:rPr>
              <w:t>收集后由专门废气处理装置处理达标后，引至楼顶排放，可降低实验废气对附近环境影响。项目功能分区明确，总平面布局合理可行。</w:t>
            </w:r>
          </w:p>
          <w:p w14:paraId="1BB2BB00">
            <w:pPr>
              <w:keepNext w:val="0"/>
              <w:keepLines w:val="0"/>
              <w:suppressLineNumbers w:val="0"/>
              <w:adjustRightInd w:val="0"/>
              <w:snapToGrid w:val="0"/>
              <w:spacing w:before="0" w:beforeAutospacing="0" w:after="0" w:afterAutospacing="0" w:line="360" w:lineRule="auto"/>
              <w:ind w:left="0" w:right="0" w:firstLine="480" w:firstLineChars="200"/>
              <w:rPr>
                <w:rFonts w:hint="default"/>
                <w:color w:val="auto"/>
                <w:kern w:val="0"/>
                <w:highlight w:val="none"/>
              </w:rPr>
            </w:pPr>
            <w:r>
              <w:rPr>
                <w:rFonts w:hint="eastAsia"/>
                <w:color w:val="auto"/>
                <w:kern w:val="0"/>
                <w:highlight w:val="none"/>
              </w:rPr>
              <w:t>项目具体平面布置见附图</w:t>
            </w:r>
            <w:r>
              <w:rPr>
                <w:rFonts w:hint="default"/>
                <w:color w:val="auto"/>
                <w:kern w:val="0"/>
                <w:highlight w:val="none"/>
              </w:rPr>
              <w:t>3</w:t>
            </w:r>
            <w:r>
              <w:rPr>
                <w:rFonts w:hint="eastAsia"/>
                <w:color w:val="auto"/>
                <w:kern w:val="0"/>
                <w:highlight w:val="none"/>
                <w:lang w:eastAsia="zh-CN"/>
              </w:rPr>
              <w:t>、</w:t>
            </w:r>
            <w:r>
              <w:rPr>
                <w:rFonts w:hint="eastAsia"/>
                <w:color w:val="auto"/>
                <w:kern w:val="0"/>
                <w:highlight w:val="none"/>
                <w:lang w:val="en-US" w:eastAsia="zh-CN"/>
              </w:rPr>
              <w:t>附图4</w:t>
            </w:r>
            <w:r>
              <w:rPr>
                <w:rFonts w:hint="eastAsia"/>
                <w:color w:val="auto"/>
                <w:kern w:val="0"/>
                <w:highlight w:val="none"/>
              </w:rPr>
              <w:t>。</w:t>
            </w:r>
          </w:p>
          <w:p w14:paraId="1E539562">
            <w:pPr>
              <w:pStyle w:val="4"/>
              <w:numPr>
                <w:ilvl w:val="0"/>
                <w:numId w:val="2"/>
              </w:numPr>
              <w:suppressLineNumbers w:val="0"/>
              <w:snapToGrid w:val="0"/>
              <w:spacing w:before="0" w:beforeAutospacing="0" w:after="0" w:afterAutospacing="0" w:line="360" w:lineRule="auto"/>
              <w:ind w:left="0" w:right="0" w:firstLine="480" w:firstLineChars="200"/>
              <w:rPr>
                <w:rFonts w:hint="eastAsia" w:ascii="Times New Roman" w:hAnsi="Times New Roman" w:eastAsia="宋体" w:cs="Times New Roman"/>
                <w:b w:val="0"/>
                <w:bCs w:val="0"/>
                <w:color w:val="auto"/>
                <w:kern w:val="0"/>
                <w:sz w:val="24"/>
                <w:szCs w:val="24"/>
                <w:highlight w:val="none"/>
                <w:lang w:val="en-US" w:eastAsia="zh-CN" w:bidi="ar-SA"/>
              </w:rPr>
            </w:pPr>
            <w:r>
              <w:rPr>
                <w:rFonts w:hint="eastAsia" w:ascii="Times New Roman" w:hAnsi="Times New Roman" w:eastAsia="宋体" w:cs="Times New Roman"/>
                <w:b w:val="0"/>
                <w:bCs w:val="0"/>
                <w:color w:val="auto"/>
                <w:kern w:val="0"/>
                <w:sz w:val="24"/>
                <w:szCs w:val="24"/>
                <w:highlight w:val="none"/>
                <w:lang w:val="en-US" w:eastAsia="zh-CN" w:bidi="ar-SA"/>
              </w:rPr>
              <w:t>实验动物中心洁净度要求</w:t>
            </w:r>
          </w:p>
          <w:p w14:paraId="4E42CC7F">
            <w:pPr>
              <w:pStyle w:val="4"/>
              <w:numPr>
                <w:ilvl w:val="0"/>
                <w:numId w:val="0"/>
              </w:numPr>
              <w:suppressLineNumbers w:val="0"/>
              <w:snapToGrid w:val="0"/>
              <w:spacing w:before="0" w:beforeAutospacing="0" w:after="0" w:afterAutospacing="0" w:line="360" w:lineRule="auto"/>
              <w:ind w:left="0" w:right="0" w:firstLine="480" w:firstLineChars="200"/>
              <w:rPr>
                <w:rFonts w:hint="eastAsia" w:ascii="Times New Roman" w:hAnsi="Times New Roman" w:eastAsia="宋体" w:cs="Times New Roman"/>
                <w:b w:val="0"/>
                <w:bCs w:val="0"/>
                <w:color w:val="auto"/>
                <w:kern w:val="0"/>
                <w:sz w:val="24"/>
                <w:szCs w:val="24"/>
                <w:highlight w:val="none"/>
                <w:lang w:val="en-US" w:eastAsia="zh-CN" w:bidi="ar-SA"/>
              </w:rPr>
            </w:pPr>
            <w:r>
              <w:rPr>
                <w:rFonts w:hint="eastAsia" w:ascii="Times New Roman" w:hAnsi="Times New Roman" w:eastAsia="宋体" w:cs="Times New Roman"/>
                <w:b w:val="0"/>
                <w:bCs w:val="0"/>
                <w:color w:val="auto"/>
                <w:kern w:val="0"/>
                <w:sz w:val="24"/>
                <w:szCs w:val="24"/>
                <w:highlight w:val="none"/>
                <w:lang w:val="en-US" w:eastAsia="zh-CN" w:bidi="ar-SA"/>
              </w:rPr>
              <w:t>根据《实验动物 环境及设施》（GB14925-2023）要求，屏障环境动物房洁净度要求为7级，即进入屏障区的物品均需要灭菌或消毒，人员需要更换洁净隔离服，并且按要求进行个人消洗；新风系统采取房间和饲养笼具全新风送排的方式，即由净化空调将空气经初效过滤器、中效过滤器、高效过滤器三级过滤后送入房间或笼盒。再由房间排风口或笼具排风管排出，经尾气处理系统处理后排入大气。房间换气次数为≥15次/h。本项目实验动物中心</w:t>
            </w:r>
            <w:r>
              <w:rPr>
                <w:rFonts w:hint="eastAsia" w:cs="Times New Roman"/>
                <w:b w:val="0"/>
                <w:bCs w:val="0"/>
                <w:color w:val="auto"/>
                <w:kern w:val="0"/>
                <w:sz w:val="24"/>
                <w:szCs w:val="24"/>
                <w:highlight w:val="none"/>
                <w:lang w:val="en-US" w:eastAsia="zh-CN" w:bidi="ar-SA"/>
              </w:rPr>
              <w:t>二层、三层</w:t>
            </w:r>
            <w:r>
              <w:rPr>
                <w:rFonts w:hint="eastAsia" w:ascii="Times New Roman" w:hAnsi="Times New Roman" w:eastAsia="宋体" w:cs="Times New Roman"/>
                <w:b w:val="0"/>
                <w:bCs w:val="0"/>
                <w:color w:val="auto"/>
                <w:kern w:val="0"/>
                <w:sz w:val="24"/>
                <w:szCs w:val="24"/>
                <w:highlight w:val="none"/>
                <w:lang w:val="en-US" w:eastAsia="zh-CN" w:bidi="ar-SA"/>
              </w:rPr>
              <w:t>饲养区</w:t>
            </w:r>
            <w:r>
              <w:rPr>
                <w:rFonts w:hint="eastAsia" w:cs="Times New Roman"/>
                <w:b w:val="0"/>
                <w:bCs w:val="0"/>
                <w:color w:val="auto"/>
                <w:kern w:val="0"/>
                <w:sz w:val="24"/>
                <w:szCs w:val="24"/>
                <w:highlight w:val="none"/>
                <w:lang w:val="en-US" w:eastAsia="zh-CN" w:bidi="ar-SA"/>
              </w:rPr>
              <w:t>，</w:t>
            </w:r>
            <w:r>
              <w:rPr>
                <w:rFonts w:hint="eastAsia" w:ascii="Times New Roman" w:hAnsi="Times New Roman" w:eastAsia="宋体" w:cs="Times New Roman"/>
                <w:b w:val="0"/>
                <w:bCs w:val="0"/>
                <w:color w:val="auto"/>
                <w:kern w:val="0"/>
                <w:sz w:val="24"/>
                <w:szCs w:val="24"/>
                <w:highlight w:val="none"/>
                <w:lang w:val="en-US" w:eastAsia="zh-CN" w:bidi="ar-SA"/>
              </w:rPr>
              <w:t>一层7级手术室</w:t>
            </w:r>
            <w:r>
              <w:rPr>
                <w:rFonts w:hint="eastAsia" w:cs="Times New Roman"/>
                <w:b w:val="0"/>
                <w:bCs w:val="0"/>
                <w:color w:val="auto"/>
                <w:kern w:val="0"/>
                <w:sz w:val="24"/>
                <w:szCs w:val="24"/>
                <w:highlight w:val="none"/>
                <w:lang w:val="en-US" w:eastAsia="zh-CN" w:bidi="ar-SA"/>
              </w:rPr>
              <w:t>以及三层微生物实验室</w:t>
            </w:r>
            <w:r>
              <w:rPr>
                <w:rFonts w:hint="eastAsia" w:ascii="Times New Roman" w:hAnsi="Times New Roman" w:eastAsia="宋体" w:cs="Times New Roman"/>
                <w:b w:val="0"/>
                <w:bCs w:val="0"/>
                <w:color w:val="auto"/>
                <w:kern w:val="0"/>
                <w:sz w:val="24"/>
                <w:szCs w:val="24"/>
                <w:highlight w:val="none"/>
                <w:lang w:val="en-US" w:eastAsia="zh-CN" w:bidi="ar-SA"/>
              </w:rPr>
              <w:t>均为屏障环境，换气次数按18次计。</w:t>
            </w:r>
          </w:p>
          <w:p w14:paraId="393A443B">
            <w:pPr>
              <w:pStyle w:val="4"/>
              <w:numPr>
                <w:ilvl w:val="0"/>
                <w:numId w:val="0"/>
              </w:numPr>
              <w:suppressLineNumbers w:val="0"/>
              <w:snapToGrid w:val="0"/>
              <w:spacing w:before="0" w:beforeAutospacing="0" w:after="0" w:afterAutospacing="0" w:line="360" w:lineRule="auto"/>
              <w:ind w:left="0" w:right="0" w:firstLine="480" w:firstLineChars="200"/>
              <w:rPr>
                <w:rFonts w:hint="default" w:ascii="Times New Roman" w:hAnsi="Times New Roman" w:eastAsia="宋体" w:cs="Times New Roman"/>
                <w:b w:val="0"/>
                <w:bCs w:val="0"/>
                <w:color w:val="auto"/>
                <w:kern w:val="0"/>
                <w:sz w:val="24"/>
                <w:szCs w:val="24"/>
                <w:highlight w:val="none"/>
                <w:lang w:val="en-US" w:eastAsia="zh-CN" w:bidi="ar-SA"/>
              </w:rPr>
            </w:pPr>
            <w:r>
              <w:rPr>
                <w:rFonts w:hint="eastAsia" w:ascii="Times New Roman" w:hAnsi="Times New Roman" w:eastAsia="宋体" w:cs="Times New Roman"/>
                <w:b w:val="0"/>
                <w:bCs w:val="0"/>
                <w:color w:val="auto"/>
                <w:kern w:val="0"/>
                <w:sz w:val="24"/>
                <w:szCs w:val="24"/>
                <w:highlight w:val="none"/>
                <w:lang w:val="en-US" w:eastAsia="zh-CN" w:bidi="ar-SA"/>
              </w:rPr>
              <w:t>本项目普通环境动物房无洁净度要求，房间换气次数为≥8次/h。本项目除实验动物中心</w:t>
            </w:r>
            <w:r>
              <w:rPr>
                <w:rFonts w:hint="eastAsia" w:cs="Times New Roman"/>
                <w:b w:val="0"/>
                <w:bCs w:val="0"/>
                <w:color w:val="auto"/>
                <w:kern w:val="0"/>
                <w:sz w:val="24"/>
                <w:szCs w:val="24"/>
                <w:highlight w:val="none"/>
                <w:lang w:val="en-US" w:eastAsia="zh-CN" w:bidi="ar-SA"/>
              </w:rPr>
              <w:t>二层、三层</w:t>
            </w:r>
            <w:r>
              <w:rPr>
                <w:rFonts w:hint="eastAsia" w:ascii="Times New Roman" w:hAnsi="Times New Roman" w:eastAsia="宋体" w:cs="Times New Roman"/>
                <w:b w:val="0"/>
                <w:bCs w:val="0"/>
                <w:color w:val="auto"/>
                <w:kern w:val="0"/>
                <w:sz w:val="24"/>
                <w:szCs w:val="24"/>
                <w:highlight w:val="none"/>
                <w:lang w:val="en-US" w:eastAsia="zh-CN" w:bidi="ar-SA"/>
              </w:rPr>
              <w:t>饲养区</w:t>
            </w:r>
            <w:r>
              <w:rPr>
                <w:rFonts w:hint="eastAsia" w:cs="Times New Roman"/>
                <w:b w:val="0"/>
                <w:bCs w:val="0"/>
                <w:color w:val="auto"/>
                <w:kern w:val="0"/>
                <w:sz w:val="24"/>
                <w:szCs w:val="24"/>
                <w:highlight w:val="none"/>
                <w:lang w:val="en-US" w:eastAsia="zh-CN" w:bidi="ar-SA"/>
              </w:rPr>
              <w:t>、</w:t>
            </w:r>
            <w:r>
              <w:rPr>
                <w:rFonts w:hint="eastAsia" w:ascii="Times New Roman" w:hAnsi="Times New Roman" w:eastAsia="宋体" w:cs="Times New Roman"/>
                <w:b w:val="0"/>
                <w:bCs w:val="0"/>
                <w:color w:val="auto"/>
                <w:kern w:val="0"/>
                <w:sz w:val="24"/>
                <w:szCs w:val="24"/>
                <w:highlight w:val="none"/>
                <w:lang w:val="en-US" w:eastAsia="zh-CN" w:bidi="ar-SA"/>
              </w:rPr>
              <w:t>一层7级手术室</w:t>
            </w:r>
            <w:r>
              <w:rPr>
                <w:rFonts w:hint="eastAsia" w:cs="Times New Roman"/>
                <w:b w:val="0"/>
                <w:bCs w:val="0"/>
                <w:color w:val="auto"/>
                <w:kern w:val="0"/>
                <w:sz w:val="24"/>
                <w:szCs w:val="24"/>
                <w:highlight w:val="none"/>
                <w:lang w:val="en-US" w:eastAsia="zh-CN" w:bidi="ar-SA"/>
              </w:rPr>
              <w:t>以及三层微生物实验室</w:t>
            </w:r>
            <w:r>
              <w:rPr>
                <w:rFonts w:hint="eastAsia" w:ascii="Times New Roman" w:hAnsi="Times New Roman" w:eastAsia="宋体" w:cs="Times New Roman"/>
                <w:b w:val="0"/>
                <w:bCs w:val="0"/>
                <w:color w:val="auto"/>
                <w:kern w:val="0"/>
                <w:sz w:val="24"/>
                <w:szCs w:val="24"/>
                <w:highlight w:val="none"/>
                <w:lang w:val="en-US" w:eastAsia="zh-CN" w:bidi="ar-SA"/>
              </w:rPr>
              <w:t>之外其他环境均为普通环境，换气次数按12次计。</w:t>
            </w:r>
          </w:p>
          <w:p w14:paraId="3891EB34">
            <w:pPr>
              <w:pStyle w:val="4"/>
              <w:numPr>
                <w:ilvl w:val="0"/>
                <w:numId w:val="2"/>
              </w:numPr>
              <w:suppressLineNumbers w:val="0"/>
              <w:snapToGrid w:val="0"/>
              <w:spacing w:before="0" w:beforeAutospacing="0" w:after="0" w:afterAutospacing="0" w:line="360" w:lineRule="auto"/>
              <w:ind w:left="0" w:leftChars="0" w:right="0" w:firstLine="480" w:firstLineChars="200"/>
              <w:rPr>
                <w:rFonts w:hint="eastAsia" w:ascii="Times New Roman" w:hAnsi="Times New Roman" w:eastAsia="宋体" w:cs="Times New Roman"/>
                <w:b w:val="0"/>
                <w:bCs w:val="0"/>
                <w:color w:val="auto"/>
                <w:kern w:val="0"/>
                <w:sz w:val="24"/>
                <w:szCs w:val="24"/>
                <w:highlight w:val="none"/>
                <w:lang w:val="en-US" w:eastAsia="zh-CN" w:bidi="ar-SA"/>
              </w:rPr>
            </w:pPr>
            <w:r>
              <w:rPr>
                <w:rFonts w:hint="eastAsia" w:ascii="Times New Roman" w:hAnsi="Times New Roman" w:eastAsia="宋体" w:cs="Times New Roman"/>
                <w:b w:val="0"/>
                <w:bCs w:val="0"/>
                <w:color w:val="auto"/>
                <w:kern w:val="0"/>
                <w:sz w:val="24"/>
                <w:szCs w:val="24"/>
                <w:highlight w:val="none"/>
                <w:lang w:val="en-US" w:eastAsia="zh-CN" w:bidi="ar-SA"/>
              </w:rPr>
              <w:t xml:space="preserve">实验动物来源及去向 </w:t>
            </w:r>
          </w:p>
          <w:p w14:paraId="79B909FF">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60" w:lineRule="auto"/>
              <w:ind w:left="0" w:right="0" w:firstLine="480" w:firstLineChars="200"/>
              <w:textAlignment w:val="auto"/>
              <w:rPr>
                <w:rFonts w:hint="eastAsia" w:ascii="Times New Roman" w:hAnsi="Times New Roman" w:eastAsia="宋体" w:cs="Times New Roman"/>
                <w:b w:val="0"/>
                <w:bCs w:val="0"/>
                <w:color w:val="auto"/>
                <w:kern w:val="0"/>
                <w:sz w:val="24"/>
                <w:szCs w:val="24"/>
                <w:highlight w:val="none"/>
                <w:lang w:val="en-US" w:eastAsia="zh-CN" w:bidi="ar-SA"/>
              </w:rPr>
            </w:pPr>
            <w:r>
              <w:rPr>
                <w:rFonts w:hint="eastAsia" w:ascii="Times New Roman" w:hAnsi="Times New Roman" w:eastAsia="宋体" w:cs="Times New Roman"/>
                <w:b w:val="0"/>
                <w:bCs w:val="0"/>
                <w:color w:val="auto"/>
                <w:kern w:val="0"/>
                <w:sz w:val="24"/>
                <w:szCs w:val="24"/>
                <w:highlight w:val="none"/>
                <w:lang w:val="en-US" w:eastAsia="zh-CN" w:bidi="ar-SA"/>
              </w:rPr>
              <w:t>①来源：本项目实验动物采用盒装运输，由动物供应商用专门的包装盒包装，配送至动物房门口，由工作人员接收后，经动物传递窗传递进入动物检疫间，在检疫间中拆包，放入笼盒，检疫结束后放入指定笼位。本项目实验动物进入时必须同时有检疫证明和鼠源地的实验动物使用许可证。②去向：本项目饲养的实验动物均用于本项目楼内教学实验使用，实验后处死。实验动物尸体暂存于危废暂存间，定期交由有资质的单位处置。</w:t>
            </w:r>
          </w:p>
          <w:p w14:paraId="65C9FBFD">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60" w:lineRule="auto"/>
              <w:ind w:left="0" w:right="0" w:firstLine="480" w:firstLineChars="200"/>
              <w:textAlignment w:val="auto"/>
              <w:rPr>
                <w:rFonts w:hint="eastAsia" w:ascii="Times New Roman" w:hAnsi="Times New Roman" w:eastAsia="宋体" w:cs="Times New Roman"/>
                <w:b w:val="0"/>
                <w:bCs w:val="0"/>
                <w:color w:val="auto"/>
                <w:kern w:val="0"/>
                <w:sz w:val="24"/>
                <w:szCs w:val="24"/>
                <w:highlight w:val="none"/>
                <w:lang w:val="en-US" w:eastAsia="zh-CN" w:bidi="ar-SA"/>
              </w:rPr>
            </w:pPr>
            <w:r>
              <w:rPr>
                <w:rFonts w:hint="eastAsia" w:ascii="Times New Roman" w:hAnsi="Times New Roman" w:eastAsia="宋体" w:cs="Times New Roman"/>
                <w:b w:val="0"/>
                <w:bCs w:val="0"/>
                <w:color w:val="auto"/>
                <w:kern w:val="0"/>
                <w:sz w:val="24"/>
                <w:szCs w:val="24"/>
                <w:highlight w:val="none"/>
                <w:lang w:val="en-US" w:eastAsia="zh-CN" w:bidi="ar-SA"/>
              </w:rPr>
              <w:t xml:space="preserve">（7）消毒方式：本项目饲养间内有活体饲养的时候不能做空气消杀，会用酒精对物体表面进行消杀，地板每日使用消毒液消毒，饲养间外会定期做消杀。        </w:t>
            </w:r>
          </w:p>
          <w:p w14:paraId="4B1383C4">
            <w:pPr>
              <w:pStyle w:val="4"/>
              <w:suppressLineNumbers w:val="0"/>
              <w:snapToGrid w:val="0"/>
              <w:spacing w:before="0" w:beforeAutospacing="0" w:after="0" w:afterAutospacing="0" w:line="360" w:lineRule="auto"/>
              <w:ind w:left="0" w:right="0" w:firstLine="480" w:firstLineChars="200"/>
              <w:rPr>
                <w:rFonts w:hint="default"/>
                <w:snapToGrid w:val="0"/>
                <w:sz w:val="24"/>
                <w:szCs w:val="24"/>
                <w:highlight w:val="none"/>
              </w:rPr>
            </w:pPr>
            <w:r>
              <w:rPr>
                <w:rFonts w:hint="eastAsia" w:cs="Times New Roman"/>
                <w:b w:val="0"/>
                <w:bCs w:val="0"/>
                <w:color w:val="auto"/>
                <w:kern w:val="0"/>
                <w:sz w:val="24"/>
                <w:szCs w:val="24"/>
                <w:highlight w:val="none"/>
                <w:lang w:val="en-US" w:eastAsia="zh-CN" w:bidi="ar-SA"/>
              </w:rPr>
              <w:t>（8）科创综合楼微生物实验室</w:t>
            </w:r>
            <w:r>
              <w:rPr>
                <w:rFonts w:hint="eastAsia" w:ascii="Times New Roman" w:hAnsi="Times New Roman" w:eastAsia="宋体" w:cs="Times New Roman"/>
                <w:b w:val="0"/>
                <w:bCs w:val="0"/>
                <w:color w:val="auto"/>
                <w:kern w:val="0"/>
                <w:sz w:val="24"/>
                <w:szCs w:val="24"/>
                <w:highlight w:val="none"/>
                <w:lang w:val="en-US" w:eastAsia="zh-CN" w:bidi="ar-SA"/>
              </w:rPr>
              <w:t>洁净度要求</w:t>
            </w:r>
          </w:p>
          <w:p w14:paraId="002C94A6">
            <w:pPr>
              <w:pStyle w:val="4"/>
              <w:suppressLineNumbers w:val="0"/>
              <w:snapToGrid w:val="0"/>
              <w:spacing w:before="0" w:beforeAutospacing="0" w:after="0" w:afterAutospacing="0" w:line="360" w:lineRule="auto"/>
              <w:ind w:left="0" w:right="0" w:firstLine="480"/>
              <w:rPr>
                <w:rFonts w:hint="default" w:ascii="Times New Roman" w:hAnsi="Times New Roman" w:eastAsia="宋体" w:cs="Times New Roman"/>
                <w:b w:val="0"/>
                <w:bCs w:val="0"/>
                <w:color w:val="auto"/>
                <w:kern w:val="0"/>
                <w:sz w:val="24"/>
                <w:szCs w:val="24"/>
                <w:highlight w:val="none"/>
                <w:lang w:val="en-US" w:eastAsia="zh-CN" w:bidi="ar-SA"/>
              </w:rPr>
            </w:pPr>
            <w:r>
              <w:rPr>
                <w:rFonts w:hint="eastAsia" w:ascii="Times New Roman" w:hAnsi="Times New Roman" w:eastAsia="宋体" w:cs="Times New Roman"/>
                <w:b w:val="0"/>
                <w:bCs w:val="0"/>
                <w:color w:val="auto"/>
                <w:kern w:val="0"/>
                <w:sz w:val="24"/>
                <w:szCs w:val="24"/>
                <w:highlight w:val="none"/>
                <w:lang w:val="en-US" w:eastAsia="zh-CN" w:bidi="ar-SA"/>
              </w:rPr>
              <w:t>本项目</w:t>
            </w:r>
            <w:r>
              <w:rPr>
                <w:rFonts w:hint="eastAsia" w:cs="Times New Roman"/>
                <w:b w:val="0"/>
                <w:bCs w:val="0"/>
                <w:color w:val="auto"/>
                <w:kern w:val="0"/>
                <w:sz w:val="24"/>
                <w:szCs w:val="24"/>
                <w:highlight w:val="none"/>
                <w:lang w:val="en-US" w:eastAsia="zh-CN" w:bidi="ar-SA"/>
              </w:rPr>
              <w:t>科创综合楼微生物实验室</w:t>
            </w:r>
            <w:r>
              <w:rPr>
                <w:rFonts w:hint="eastAsia" w:ascii="Times New Roman" w:hAnsi="Times New Roman" w:eastAsia="宋体" w:cs="Times New Roman"/>
                <w:b w:val="0"/>
                <w:bCs w:val="0"/>
                <w:color w:val="auto"/>
                <w:kern w:val="0"/>
                <w:sz w:val="24"/>
                <w:szCs w:val="24"/>
                <w:highlight w:val="none"/>
                <w:lang w:val="en-US" w:eastAsia="zh-CN" w:bidi="ar-SA"/>
              </w:rPr>
              <w:t>无洁净度要求</w:t>
            </w:r>
            <w:r>
              <w:rPr>
                <w:rFonts w:hint="eastAsia" w:cs="Times New Roman"/>
                <w:b w:val="0"/>
                <w:bCs w:val="0"/>
                <w:color w:val="auto"/>
                <w:kern w:val="0"/>
                <w:sz w:val="24"/>
                <w:szCs w:val="24"/>
                <w:highlight w:val="none"/>
                <w:lang w:val="en-US" w:eastAsia="zh-CN" w:bidi="ar-SA"/>
              </w:rPr>
              <w:t>，参照《化工实验室化验室供暖通风与空气调节设计规范》（HG/T20711-2019）5.2.1小节“处于工作状态的有污染物产生的实验室、化验室，最小换气次数不应低于6次/h”，本项目科创综合楼微生物实验室换气次数取8次/h。</w:t>
            </w:r>
          </w:p>
          <w:p w14:paraId="31AD1EA5">
            <w:pPr>
              <w:pStyle w:val="4"/>
              <w:suppressLineNumbers w:val="0"/>
              <w:snapToGrid w:val="0"/>
              <w:spacing w:before="0" w:beforeAutospacing="0" w:after="0" w:afterAutospacing="0" w:line="360" w:lineRule="auto"/>
              <w:ind w:left="0" w:right="0"/>
              <w:rPr>
                <w:rFonts w:hint="default"/>
                <w:snapToGrid w:val="0"/>
                <w:sz w:val="24"/>
                <w:szCs w:val="24"/>
                <w:highlight w:val="none"/>
              </w:rPr>
            </w:pPr>
            <w:r>
              <w:rPr>
                <w:rFonts w:hint="default"/>
                <w:snapToGrid w:val="0"/>
                <w:sz w:val="24"/>
                <w:szCs w:val="24"/>
                <w:highlight w:val="none"/>
              </w:rPr>
              <w:t>6</w:t>
            </w:r>
            <w:r>
              <w:rPr>
                <w:rFonts w:hint="eastAsia"/>
                <w:snapToGrid w:val="0"/>
                <w:sz w:val="24"/>
                <w:szCs w:val="24"/>
                <w:highlight w:val="none"/>
              </w:rPr>
              <w:t>、主要设备</w:t>
            </w:r>
          </w:p>
          <w:p w14:paraId="7904DC91">
            <w:pPr>
              <w:pStyle w:val="7"/>
              <w:keepNext w:val="0"/>
              <w:keepLines w:val="0"/>
              <w:suppressLineNumbers w:val="0"/>
              <w:adjustRightInd w:val="0"/>
              <w:snapToGrid w:val="0"/>
              <w:spacing w:before="0" w:beforeAutospacing="0" w:after="0" w:afterAutospacing="0" w:line="360" w:lineRule="auto"/>
              <w:ind w:left="0" w:right="0" w:firstLine="480"/>
              <w:rPr>
                <w:rFonts w:hint="default"/>
                <w:snapToGrid w:val="0"/>
                <w:sz w:val="24"/>
                <w:szCs w:val="24"/>
                <w:highlight w:val="none"/>
              </w:rPr>
            </w:pPr>
            <w:r>
              <w:rPr>
                <w:rFonts w:hint="eastAsia"/>
                <w:snapToGrid w:val="0"/>
                <w:sz w:val="24"/>
                <w:szCs w:val="24"/>
                <w:highlight w:val="none"/>
              </w:rPr>
              <w:t>企业主要设备清单见表</w:t>
            </w:r>
            <w:r>
              <w:rPr>
                <w:rFonts w:hint="default"/>
                <w:snapToGrid w:val="0"/>
                <w:sz w:val="24"/>
                <w:szCs w:val="24"/>
                <w:highlight w:val="none"/>
              </w:rPr>
              <w:t>2-</w:t>
            </w:r>
            <w:r>
              <w:rPr>
                <w:rFonts w:hint="eastAsia"/>
                <w:snapToGrid w:val="0"/>
                <w:sz w:val="24"/>
                <w:szCs w:val="24"/>
                <w:highlight w:val="none"/>
                <w:lang w:val="en-US" w:eastAsia="zh-CN"/>
              </w:rPr>
              <w:t>4</w:t>
            </w:r>
            <w:r>
              <w:rPr>
                <w:rFonts w:hint="eastAsia"/>
                <w:snapToGrid w:val="0"/>
                <w:sz w:val="24"/>
                <w:szCs w:val="24"/>
                <w:highlight w:val="none"/>
              </w:rPr>
              <w:t>。</w:t>
            </w:r>
          </w:p>
          <w:p w14:paraId="7BB95A70">
            <w:pPr>
              <w:keepNext w:val="0"/>
              <w:keepLines w:val="0"/>
              <w:suppressLineNumbers w:val="0"/>
              <w:adjustRightInd w:val="0"/>
              <w:snapToGrid w:val="0"/>
              <w:spacing w:before="0" w:beforeAutospacing="0" w:after="0" w:afterAutospacing="0" w:line="360" w:lineRule="auto"/>
              <w:ind w:left="0" w:right="0"/>
              <w:jc w:val="center"/>
              <w:rPr>
                <w:rFonts w:hint="eastAsia"/>
                <w:b/>
                <w:highlight w:val="none"/>
              </w:rPr>
            </w:pPr>
            <w:r>
              <w:rPr>
                <w:rFonts w:hint="eastAsia"/>
                <w:b/>
                <w:highlight w:val="none"/>
              </w:rPr>
              <w:t>表</w:t>
            </w:r>
            <w:r>
              <w:rPr>
                <w:rFonts w:hint="default"/>
                <w:b/>
                <w:highlight w:val="none"/>
              </w:rPr>
              <w:t>2-</w:t>
            </w:r>
            <w:r>
              <w:rPr>
                <w:rFonts w:hint="eastAsia"/>
                <w:b/>
                <w:highlight w:val="none"/>
                <w:lang w:val="en-US" w:eastAsia="zh-CN"/>
              </w:rPr>
              <w:t>4</w:t>
            </w:r>
            <w:r>
              <w:rPr>
                <w:rFonts w:hint="default"/>
                <w:b/>
                <w:highlight w:val="none"/>
              </w:rPr>
              <w:t xml:space="preserve">  </w:t>
            </w:r>
            <w:r>
              <w:rPr>
                <w:rFonts w:hint="eastAsia"/>
                <w:b/>
                <w:highlight w:val="none"/>
              </w:rPr>
              <w:t>企业主要设备清单</w:t>
            </w:r>
          </w:p>
          <w:tbl>
            <w:tblPr>
              <w:tblStyle w:val="32"/>
              <w:tblW w:w="5000"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FFFFFF"/>
              <w:tblLayout w:type="fixed"/>
              <w:tblCellMar>
                <w:top w:w="0" w:type="dxa"/>
                <w:left w:w="28" w:type="dxa"/>
                <w:bottom w:w="0" w:type="dxa"/>
                <w:right w:w="28" w:type="dxa"/>
              </w:tblCellMar>
            </w:tblPr>
            <w:tblGrid>
              <w:gridCol w:w="398"/>
              <w:gridCol w:w="591"/>
              <w:gridCol w:w="1716"/>
              <w:gridCol w:w="2428"/>
              <w:gridCol w:w="481"/>
              <w:gridCol w:w="2838"/>
            </w:tblGrid>
            <w:tr w14:paraId="3981A75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0" w:hRule="atLeast"/>
              </w:trPr>
              <w:tc>
                <w:tcPr>
                  <w:tcW w:w="235" w:type="pct"/>
                  <w:tcBorders>
                    <w:tl2br w:val="nil"/>
                    <w:tr2bl w:val="nil"/>
                  </w:tcBorders>
                  <w:shd w:val="clear" w:color="auto" w:fill="FFFFFF"/>
                  <w:noWrap/>
                  <w:vAlign w:val="center"/>
                </w:tcPr>
                <w:p w14:paraId="07EA0934">
                  <w:pPr>
                    <w:pStyle w:val="120"/>
                    <w:keepNext w:val="0"/>
                    <w:keepLines w:val="0"/>
                    <w:pageBreakBefore w:val="0"/>
                    <w:framePr w:hSpace="0" w:wrap="auto" w:vAnchor="margin" w:hAnchor="text" w:xAlign="left" w:yAlign="inline"/>
                    <w:suppressLineNumbers w:val="0"/>
                    <w:kinsoku/>
                    <w:wordWrap/>
                    <w:overflowPunct/>
                    <w:topLinePunct w:val="0"/>
                    <w:bidi w:val="0"/>
                    <w:adjustRightInd w:val="0"/>
                    <w:snapToGrid w:val="0"/>
                    <w:spacing w:before="0" w:beforeAutospacing="0" w:after="0" w:afterAutospacing="0" w:line="276" w:lineRule="auto"/>
                    <w:ind w:left="0" w:right="0"/>
                    <w:jc w:val="center"/>
                    <w:rPr>
                      <w:rFonts w:hint="default" w:ascii="Times New Roman" w:hAnsi="Times New Roman" w:eastAsia="宋体" w:cs="Times New Roman"/>
                      <w:b w:val="0"/>
                      <w:bCs w:val="0"/>
                      <w:color w:val="auto"/>
                      <w:sz w:val="18"/>
                      <w:szCs w:val="18"/>
                      <w:highlight w:val="none"/>
                    </w:rPr>
                  </w:pPr>
                  <w:r>
                    <w:rPr>
                      <w:rFonts w:hint="default" w:ascii="Times New Roman" w:hAnsi="Times New Roman" w:eastAsia="宋体" w:cs="Times New Roman"/>
                      <w:b w:val="0"/>
                      <w:bCs w:val="0"/>
                      <w:color w:val="auto"/>
                      <w:sz w:val="18"/>
                      <w:szCs w:val="18"/>
                      <w:highlight w:val="none"/>
                    </w:rPr>
                    <w:t>序号</w:t>
                  </w:r>
                </w:p>
              </w:tc>
              <w:tc>
                <w:tcPr>
                  <w:tcW w:w="349" w:type="pct"/>
                  <w:tcBorders>
                    <w:tl2br w:val="nil"/>
                    <w:tr2bl w:val="nil"/>
                  </w:tcBorders>
                  <w:shd w:val="clear" w:color="auto" w:fill="FFFFFF"/>
                  <w:noWrap/>
                  <w:vAlign w:val="center"/>
                </w:tcPr>
                <w:p w14:paraId="5E6C7F18">
                  <w:pPr>
                    <w:pStyle w:val="120"/>
                    <w:keepNext w:val="0"/>
                    <w:keepLines w:val="0"/>
                    <w:pageBreakBefore w:val="0"/>
                    <w:framePr w:hSpace="0" w:wrap="auto" w:vAnchor="margin" w:hAnchor="text" w:xAlign="left" w:yAlign="inline"/>
                    <w:suppressLineNumbers w:val="0"/>
                    <w:kinsoku/>
                    <w:wordWrap/>
                    <w:overflowPunct/>
                    <w:topLinePunct w:val="0"/>
                    <w:bidi w:val="0"/>
                    <w:adjustRightInd w:val="0"/>
                    <w:snapToGrid w:val="0"/>
                    <w:spacing w:before="0" w:beforeAutospacing="0" w:after="0" w:afterAutospacing="0" w:line="276" w:lineRule="auto"/>
                    <w:ind w:left="0" w:right="0"/>
                    <w:jc w:val="center"/>
                    <w:rPr>
                      <w:rFonts w:hint="default" w:ascii="Times New Roman" w:hAnsi="Times New Roman" w:eastAsia="宋体" w:cs="Times New Roman"/>
                      <w:b w:val="0"/>
                      <w:bCs w:val="0"/>
                      <w:color w:val="auto"/>
                      <w:sz w:val="18"/>
                      <w:szCs w:val="18"/>
                      <w:highlight w:val="none"/>
                      <w:lang w:val="en-US" w:eastAsia="zh-CN"/>
                    </w:rPr>
                  </w:pPr>
                  <w:r>
                    <w:rPr>
                      <w:rFonts w:hint="default" w:ascii="Times New Roman" w:hAnsi="Times New Roman" w:eastAsia="宋体" w:cs="Times New Roman"/>
                      <w:b w:val="0"/>
                      <w:bCs w:val="0"/>
                      <w:color w:val="auto"/>
                      <w:sz w:val="18"/>
                      <w:szCs w:val="18"/>
                      <w:highlight w:val="none"/>
                      <w:lang w:val="en-US" w:eastAsia="zh-CN"/>
                    </w:rPr>
                    <w:t>实验类型</w:t>
                  </w:r>
                </w:p>
              </w:tc>
              <w:tc>
                <w:tcPr>
                  <w:tcW w:w="1015" w:type="pct"/>
                  <w:tcBorders>
                    <w:tl2br w:val="nil"/>
                    <w:tr2bl w:val="nil"/>
                  </w:tcBorders>
                  <w:shd w:val="clear" w:color="auto" w:fill="FFFFFF"/>
                  <w:noWrap/>
                  <w:vAlign w:val="center"/>
                </w:tcPr>
                <w:p w14:paraId="41106AE2">
                  <w:pPr>
                    <w:pStyle w:val="120"/>
                    <w:keepNext w:val="0"/>
                    <w:keepLines w:val="0"/>
                    <w:pageBreakBefore w:val="0"/>
                    <w:framePr w:hSpace="0" w:wrap="auto" w:vAnchor="margin" w:hAnchor="text" w:xAlign="left" w:yAlign="inline"/>
                    <w:suppressLineNumbers w:val="0"/>
                    <w:kinsoku/>
                    <w:wordWrap/>
                    <w:overflowPunct/>
                    <w:topLinePunct w:val="0"/>
                    <w:bidi w:val="0"/>
                    <w:adjustRightInd w:val="0"/>
                    <w:snapToGrid w:val="0"/>
                    <w:spacing w:before="0" w:beforeAutospacing="0" w:after="0" w:afterAutospacing="0" w:line="276" w:lineRule="auto"/>
                    <w:ind w:left="0" w:right="0"/>
                    <w:jc w:val="center"/>
                    <w:rPr>
                      <w:rFonts w:hint="default" w:ascii="Times New Roman" w:hAnsi="Times New Roman" w:eastAsia="宋体" w:cs="Times New Roman"/>
                      <w:b w:val="0"/>
                      <w:bCs w:val="0"/>
                      <w:color w:val="auto"/>
                      <w:sz w:val="18"/>
                      <w:szCs w:val="18"/>
                      <w:highlight w:val="none"/>
                    </w:rPr>
                  </w:pPr>
                  <w:r>
                    <w:rPr>
                      <w:rFonts w:hint="default" w:ascii="Times New Roman" w:hAnsi="Times New Roman" w:eastAsia="宋体" w:cs="Times New Roman"/>
                      <w:b w:val="0"/>
                      <w:bCs w:val="0"/>
                      <w:color w:val="auto"/>
                      <w:sz w:val="18"/>
                      <w:szCs w:val="18"/>
                      <w:highlight w:val="none"/>
                    </w:rPr>
                    <w:t>设备名称</w:t>
                  </w:r>
                </w:p>
              </w:tc>
              <w:tc>
                <w:tcPr>
                  <w:tcW w:w="1436" w:type="pct"/>
                  <w:tcBorders>
                    <w:tl2br w:val="nil"/>
                    <w:tr2bl w:val="nil"/>
                  </w:tcBorders>
                  <w:shd w:val="clear" w:color="auto" w:fill="FFFFFF"/>
                  <w:noWrap/>
                  <w:vAlign w:val="center"/>
                </w:tcPr>
                <w:p w14:paraId="1B313EE9">
                  <w:pPr>
                    <w:pStyle w:val="120"/>
                    <w:keepNext w:val="0"/>
                    <w:keepLines w:val="0"/>
                    <w:pageBreakBefore w:val="0"/>
                    <w:framePr w:hSpace="0" w:wrap="auto" w:vAnchor="margin" w:hAnchor="text" w:xAlign="left" w:yAlign="inline"/>
                    <w:suppressLineNumbers w:val="0"/>
                    <w:kinsoku/>
                    <w:wordWrap/>
                    <w:overflowPunct/>
                    <w:topLinePunct w:val="0"/>
                    <w:bidi w:val="0"/>
                    <w:adjustRightInd w:val="0"/>
                    <w:snapToGrid w:val="0"/>
                    <w:spacing w:before="0" w:beforeAutospacing="0" w:after="0" w:afterAutospacing="0" w:line="276" w:lineRule="auto"/>
                    <w:ind w:left="0" w:right="0"/>
                    <w:jc w:val="center"/>
                    <w:rPr>
                      <w:rFonts w:hint="default" w:ascii="Times New Roman" w:hAnsi="Times New Roman" w:eastAsia="宋体" w:cs="Times New Roman"/>
                      <w:b w:val="0"/>
                      <w:bCs w:val="0"/>
                      <w:color w:val="auto"/>
                      <w:sz w:val="18"/>
                      <w:szCs w:val="18"/>
                      <w:highlight w:val="none"/>
                    </w:rPr>
                  </w:pPr>
                  <w:r>
                    <w:rPr>
                      <w:rFonts w:hint="default" w:ascii="Times New Roman" w:hAnsi="Times New Roman" w:eastAsia="宋体" w:cs="Times New Roman"/>
                      <w:b w:val="0"/>
                      <w:bCs w:val="0"/>
                      <w:color w:val="auto"/>
                      <w:sz w:val="18"/>
                      <w:szCs w:val="18"/>
                      <w:highlight w:val="none"/>
                    </w:rPr>
                    <w:t>主要规格</w:t>
                  </w:r>
                  <w:r>
                    <w:rPr>
                      <w:rFonts w:hint="default" w:ascii="Times New Roman" w:hAnsi="Times New Roman" w:cs="Times New Roman"/>
                      <w:b w:val="0"/>
                      <w:bCs w:val="0"/>
                      <w:color w:val="auto"/>
                      <w:sz w:val="18"/>
                      <w:szCs w:val="18"/>
                      <w:highlight w:val="none"/>
                      <w:lang w:eastAsia="zh-CN"/>
                    </w:rPr>
                    <w:t>、</w:t>
                  </w:r>
                  <w:r>
                    <w:rPr>
                      <w:rFonts w:hint="default" w:ascii="Times New Roman" w:hAnsi="Times New Roman" w:eastAsia="宋体" w:cs="Times New Roman"/>
                      <w:b w:val="0"/>
                      <w:bCs w:val="0"/>
                      <w:color w:val="auto"/>
                      <w:sz w:val="18"/>
                      <w:szCs w:val="18"/>
                      <w:highlight w:val="none"/>
                    </w:rPr>
                    <w:t>型号</w:t>
                  </w:r>
                </w:p>
              </w:tc>
              <w:tc>
                <w:tcPr>
                  <w:tcW w:w="284" w:type="pct"/>
                  <w:tcBorders>
                    <w:tl2br w:val="nil"/>
                    <w:tr2bl w:val="nil"/>
                  </w:tcBorders>
                  <w:shd w:val="clear" w:color="auto" w:fill="FFFFFF"/>
                  <w:noWrap/>
                  <w:vAlign w:val="center"/>
                </w:tcPr>
                <w:p w14:paraId="4FA8FBDD">
                  <w:pPr>
                    <w:pStyle w:val="120"/>
                    <w:keepNext w:val="0"/>
                    <w:keepLines w:val="0"/>
                    <w:pageBreakBefore w:val="0"/>
                    <w:framePr w:hSpace="0" w:wrap="auto" w:vAnchor="margin" w:hAnchor="text" w:xAlign="left" w:yAlign="inline"/>
                    <w:suppressLineNumbers w:val="0"/>
                    <w:kinsoku/>
                    <w:wordWrap/>
                    <w:overflowPunct/>
                    <w:topLinePunct w:val="0"/>
                    <w:bidi w:val="0"/>
                    <w:adjustRightInd w:val="0"/>
                    <w:snapToGrid w:val="0"/>
                    <w:spacing w:before="0" w:beforeAutospacing="0" w:after="0" w:afterAutospacing="0" w:line="276" w:lineRule="auto"/>
                    <w:ind w:left="0" w:right="0"/>
                    <w:jc w:val="center"/>
                    <w:rPr>
                      <w:rFonts w:hint="default" w:ascii="Times New Roman" w:hAnsi="Times New Roman" w:eastAsia="宋体" w:cs="Times New Roman"/>
                      <w:b w:val="0"/>
                      <w:bCs w:val="0"/>
                      <w:color w:val="auto"/>
                      <w:sz w:val="18"/>
                      <w:szCs w:val="18"/>
                      <w:highlight w:val="none"/>
                    </w:rPr>
                  </w:pPr>
                  <w:r>
                    <w:rPr>
                      <w:rFonts w:hint="default" w:ascii="Times New Roman" w:hAnsi="Times New Roman" w:eastAsia="宋体" w:cs="Times New Roman"/>
                      <w:b w:val="0"/>
                      <w:bCs w:val="0"/>
                      <w:color w:val="auto"/>
                      <w:sz w:val="18"/>
                      <w:szCs w:val="18"/>
                      <w:highlight w:val="none"/>
                    </w:rPr>
                    <w:t>数量</w:t>
                  </w:r>
                </w:p>
              </w:tc>
              <w:tc>
                <w:tcPr>
                  <w:tcW w:w="1678" w:type="pct"/>
                  <w:tcBorders>
                    <w:tl2br w:val="nil"/>
                    <w:tr2bl w:val="nil"/>
                  </w:tcBorders>
                  <w:shd w:val="clear" w:color="auto" w:fill="FFFFFF"/>
                  <w:noWrap/>
                  <w:vAlign w:val="center"/>
                </w:tcPr>
                <w:p w14:paraId="0106BEEA">
                  <w:pPr>
                    <w:pStyle w:val="120"/>
                    <w:keepNext w:val="0"/>
                    <w:keepLines w:val="0"/>
                    <w:pageBreakBefore w:val="0"/>
                    <w:framePr w:hSpace="0" w:wrap="auto" w:vAnchor="margin" w:hAnchor="text" w:xAlign="left" w:yAlign="inline"/>
                    <w:suppressLineNumbers w:val="0"/>
                    <w:kinsoku/>
                    <w:wordWrap/>
                    <w:overflowPunct/>
                    <w:topLinePunct w:val="0"/>
                    <w:bidi w:val="0"/>
                    <w:adjustRightInd w:val="0"/>
                    <w:snapToGrid w:val="0"/>
                    <w:spacing w:before="0" w:beforeAutospacing="0" w:after="0" w:afterAutospacing="0" w:line="276" w:lineRule="auto"/>
                    <w:ind w:left="0" w:right="0"/>
                    <w:jc w:val="center"/>
                    <w:rPr>
                      <w:rFonts w:hint="default" w:ascii="Times New Roman" w:hAnsi="Times New Roman" w:eastAsia="宋体" w:cs="Times New Roman"/>
                      <w:b w:val="0"/>
                      <w:bCs w:val="0"/>
                      <w:color w:val="auto"/>
                      <w:sz w:val="18"/>
                      <w:szCs w:val="18"/>
                      <w:highlight w:val="none"/>
                      <w:lang w:val="en-US" w:eastAsia="zh-CN"/>
                    </w:rPr>
                  </w:pPr>
                  <w:r>
                    <w:rPr>
                      <w:rFonts w:hint="default" w:ascii="Times New Roman" w:hAnsi="Times New Roman" w:eastAsia="宋体" w:cs="Times New Roman"/>
                      <w:b w:val="0"/>
                      <w:bCs w:val="0"/>
                      <w:color w:val="auto"/>
                      <w:sz w:val="18"/>
                      <w:szCs w:val="18"/>
                      <w:highlight w:val="none"/>
                      <w:lang w:val="en-US" w:eastAsia="zh-CN"/>
                    </w:rPr>
                    <w:t>位置</w:t>
                  </w:r>
                  <w:r>
                    <w:rPr>
                      <w:rFonts w:hint="default" w:ascii="Times New Roman" w:hAnsi="Times New Roman" w:cs="Times New Roman"/>
                      <w:b w:val="0"/>
                      <w:bCs w:val="0"/>
                      <w:color w:val="auto"/>
                      <w:sz w:val="18"/>
                      <w:szCs w:val="18"/>
                      <w:highlight w:val="none"/>
                      <w:lang w:val="en-US" w:eastAsia="zh-CN"/>
                    </w:rPr>
                    <w:t>（用途）</w:t>
                  </w:r>
                </w:p>
              </w:tc>
            </w:tr>
            <w:tr w14:paraId="129E24B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0" w:hRule="atLeast"/>
              </w:trPr>
              <w:tc>
                <w:tcPr>
                  <w:tcW w:w="5000" w:type="pct"/>
                  <w:gridSpan w:val="6"/>
                  <w:tcBorders>
                    <w:tl2br w:val="nil"/>
                    <w:tr2bl w:val="nil"/>
                  </w:tcBorders>
                  <w:shd w:val="clear" w:color="auto" w:fill="FFFFFF"/>
                  <w:noWrap/>
                  <w:vAlign w:val="center"/>
                </w:tcPr>
                <w:p w14:paraId="4DF5BC00">
                  <w:pPr>
                    <w:pStyle w:val="120"/>
                    <w:keepNext w:val="0"/>
                    <w:keepLines w:val="0"/>
                    <w:pageBreakBefore w:val="0"/>
                    <w:framePr w:hSpace="0" w:wrap="auto" w:vAnchor="margin" w:hAnchor="text" w:xAlign="left" w:yAlign="inline"/>
                    <w:suppressLineNumbers w:val="0"/>
                    <w:kinsoku/>
                    <w:wordWrap/>
                    <w:overflowPunct/>
                    <w:topLinePunct w:val="0"/>
                    <w:bidi w:val="0"/>
                    <w:adjustRightInd w:val="0"/>
                    <w:snapToGrid w:val="0"/>
                    <w:spacing w:before="0" w:beforeAutospacing="0" w:after="0" w:afterAutospacing="0" w:line="276" w:lineRule="auto"/>
                    <w:ind w:left="0" w:right="0"/>
                    <w:jc w:val="center"/>
                    <w:rPr>
                      <w:rFonts w:hint="default" w:ascii="Times New Roman" w:hAnsi="Times New Roman" w:eastAsia="宋体" w:cs="Times New Roman"/>
                      <w:b/>
                      <w:color w:val="auto"/>
                      <w:sz w:val="18"/>
                      <w:szCs w:val="18"/>
                      <w:highlight w:val="none"/>
                      <w:lang w:val="en-US" w:eastAsia="zh-CN"/>
                    </w:rPr>
                  </w:pPr>
                  <w:r>
                    <w:rPr>
                      <w:rFonts w:hint="default" w:ascii="Times New Roman" w:hAnsi="Times New Roman" w:eastAsia="宋体" w:cs="Times New Roman"/>
                      <w:b/>
                      <w:color w:val="auto"/>
                      <w:sz w:val="18"/>
                      <w:szCs w:val="18"/>
                      <w:highlight w:val="none"/>
                      <w:lang w:val="en-US" w:eastAsia="zh-CN"/>
                    </w:rPr>
                    <w:t>实验动物中心负一层</w:t>
                  </w:r>
                </w:p>
              </w:tc>
            </w:tr>
            <w:tr w14:paraId="246BCB5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FFFFFF"/>
                <w:tblCellMar>
                  <w:top w:w="0" w:type="dxa"/>
                  <w:left w:w="28" w:type="dxa"/>
                  <w:bottom w:w="0" w:type="dxa"/>
                  <w:right w:w="28" w:type="dxa"/>
                </w:tblCellMar>
              </w:tblPrEx>
              <w:trPr>
                <w:trHeight w:val="0" w:hRule="atLeast"/>
              </w:trPr>
              <w:tc>
                <w:tcPr>
                  <w:tcW w:w="235" w:type="pct"/>
                  <w:tcBorders>
                    <w:tl2br w:val="nil"/>
                    <w:tr2bl w:val="nil"/>
                  </w:tcBorders>
                  <w:shd w:val="clear" w:color="auto" w:fill="FFFFFF"/>
                  <w:noWrap/>
                  <w:vAlign w:val="center"/>
                </w:tcPr>
                <w:p w14:paraId="54D2D7CD">
                  <w:pPr>
                    <w:pStyle w:val="120"/>
                    <w:keepNext w:val="0"/>
                    <w:keepLines w:val="0"/>
                    <w:pageBreakBefore w:val="0"/>
                    <w:framePr w:hSpace="0" w:wrap="auto" w:vAnchor="margin" w:hAnchor="text" w:xAlign="left" w:yAlign="inline"/>
                    <w:suppressLineNumbers w:val="0"/>
                    <w:kinsoku/>
                    <w:wordWrap/>
                    <w:overflowPunct/>
                    <w:topLinePunct w:val="0"/>
                    <w:bidi w:val="0"/>
                    <w:adjustRightInd w:val="0"/>
                    <w:snapToGrid w:val="0"/>
                    <w:spacing w:before="0" w:beforeAutospacing="0" w:after="0" w:afterAutospacing="0" w:line="276" w:lineRule="auto"/>
                    <w:ind w:left="0" w:right="0"/>
                    <w:jc w:val="center"/>
                    <w:rPr>
                      <w:rFonts w:hint="default" w:ascii="Times New Roman" w:hAnsi="Times New Roman" w:eastAsia="宋体" w:cs="Times New Roman"/>
                      <w:color w:val="auto"/>
                      <w:sz w:val="18"/>
                      <w:szCs w:val="18"/>
                      <w:highlight w:val="none"/>
                      <w:lang w:val="en-US" w:eastAsia="zh-CN"/>
                    </w:rPr>
                  </w:pPr>
                  <w:r>
                    <w:rPr>
                      <w:rFonts w:hint="default" w:ascii="Times New Roman" w:hAnsi="Times New Roman" w:eastAsia="宋体" w:cs="Times New Roman"/>
                      <w:color w:val="auto"/>
                      <w:sz w:val="18"/>
                      <w:szCs w:val="18"/>
                      <w:highlight w:val="none"/>
                      <w:lang w:val="en-US" w:eastAsia="zh-CN"/>
                    </w:rPr>
                    <w:t>1</w:t>
                  </w:r>
                </w:p>
              </w:tc>
              <w:tc>
                <w:tcPr>
                  <w:tcW w:w="349" w:type="pct"/>
                  <w:vMerge w:val="restart"/>
                  <w:tcBorders>
                    <w:tl2br w:val="nil"/>
                    <w:tr2bl w:val="nil"/>
                  </w:tcBorders>
                  <w:shd w:val="clear" w:color="auto" w:fill="FFFFFF"/>
                  <w:vAlign w:val="center"/>
                </w:tcPr>
                <w:p w14:paraId="64B31286">
                  <w:pPr>
                    <w:pStyle w:val="120"/>
                    <w:keepNext w:val="0"/>
                    <w:keepLines w:val="0"/>
                    <w:pageBreakBefore w:val="0"/>
                    <w:framePr w:hSpace="0" w:wrap="auto" w:vAnchor="margin" w:hAnchor="text" w:xAlign="left" w:yAlign="inline"/>
                    <w:suppressLineNumbers w:val="0"/>
                    <w:kinsoku/>
                    <w:wordWrap/>
                    <w:overflowPunct/>
                    <w:topLinePunct w:val="0"/>
                    <w:bidi w:val="0"/>
                    <w:adjustRightInd w:val="0"/>
                    <w:snapToGrid w:val="0"/>
                    <w:spacing w:before="0" w:beforeAutospacing="0" w:after="0" w:afterAutospacing="0" w:line="276" w:lineRule="auto"/>
                    <w:ind w:left="0" w:right="0"/>
                    <w:jc w:val="center"/>
                    <w:rPr>
                      <w:rFonts w:hint="default" w:ascii="Times New Roman" w:hAnsi="Times New Roman" w:eastAsia="宋体" w:cs="Times New Roman"/>
                      <w:color w:val="auto"/>
                      <w:sz w:val="18"/>
                      <w:szCs w:val="18"/>
                      <w:highlight w:val="none"/>
                      <w:lang w:val="en-US" w:eastAsia="zh-CN"/>
                    </w:rPr>
                  </w:pPr>
                  <w:r>
                    <w:rPr>
                      <w:rFonts w:hint="default" w:ascii="Times New Roman" w:hAnsi="Times New Roman" w:cs="Times New Roman"/>
                      <w:color w:val="auto"/>
                      <w:sz w:val="18"/>
                      <w:szCs w:val="18"/>
                      <w:highlight w:val="none"/>
                      <w:lang w:val="en-US" w:eastAsia="zh-CN"/>
                    </w:rPr>
                    <w:t>公用单元</w:t>
                  </w:r>
                </w:p>
              </w:tc>
              <w:tc>
                <w:tcPr>
                  <w:tcW w:w="1015" w:type="pct"/>
                  <w:tcBorders>
                    <w:tl2br w:val="nil"/>
                    <w:tr2bl w:val="nil"/>
                  </w:tcBorders>
                  <w:shd w:val="clear" w:color="auto" w:fill="FFFFFF"/>
                  <w:vAlign w:val="center"/>
                </w:tcPr>
                <w:p w14:paraId="674AF35D">
                  <w:pPr>
                    <w:pStyle w:val="120"/>
                    <w:keepNext w:val="0"/>
                    <w:keepLines w:val="0"/>
                    <w:pageBreakBefore w:val="0"/>
                    <w:framePr w:hSpace="0" w:wrap="auto" w:vAnchor="margin" w:hAnchor="text" w:xAlign="left" w:yAlign="inline"/>
                    <w:suppressLineNumbers w:val="0"/>
                    <w:kinsoku/>
                    <w:wordWrap/>
                    <w:overflowPunct/>
                    <w:topLinePunct w:val="0"/>
                    <w:bidi w:val="0"/>
                    <w:adjustRightInd w:val="0"/>
                    <w:snapToGrid w:val="0"/>
                    <w:spacing w:before="0" w:beforeAutospacing="0" w:after="0" w:afterAutospacing="0" w:line="276" w:lineRule="auto"/>
                    <w:ind w:left="0" w:right="0"/>
                    <w:jc w:val="center"/>
                    <w:rPr>
                      <w:rFonts w:hint="default" w:ascii="Times New Roman" w:hAnsi="Times New Roman" w:eastAsia="宋体" w:cs="Times New Roman"/>
                      <w:color w:val="auto"/>
                      <w:sz w:val="18"/>
                      <w:szCs w:val="18"/>
                      <w:highlight w:val="none"/>
                      <w:lang w:eastAsia="zh-CN"/>
                    </w:rPr>
                  </w:pPr>
                  <w:r>
                    <w:rPr>
                      <w:rFonts w:hint="default" w:ascii="Times New Roman" w:hAnsi="Times New Roman" w:eastAsia="宋体" w:cs="Times New Roman"/>
                      <w:color w:val="auto"/>
                      <w:sz w:val="18"/>
                      <w:szCs w:val="18"/>
                      <w:highlight w:val="none"/>
                      <w:lang w:val="en-US" w:eastAsia="zh-CN"/>
                    </w:rPr>
                    <w:t>空气压缩机</w:t>
                  </w:r>
                </w:p>
              </w:tc>
              <w:tc>
                <w:tcPr>
                  <w:tcW w:w="1436" w:type="pct"/>
                  <w:tcBorders>
                    <w:tl2br w:val="nil"/>
                    <w:tr2bl w:val="nil"/>
                  </w:tcBorders>
                  <w:shd w:val="clear" w:color="auto" w:fill="FFFFFF"/>
                  <w:noWrap/>
                  <w:vAlign w:val="center"/>
                </w:tcPr>
                <w:p w14:paraId="4E7466F2">
                  <w:pPr>
                    <w:pStyle w:val="120"/>
                    <w:keepNext w:val="0"/>
                    <w:keepLines w:val="0"/>
                    <w:pageBreakBefore w:val="0"/>
                    <w:framePr w:hSpace="0" w:wrap="auto" w:vAnchor="margin" w:hAnchor="text" w:xAlign="left" w:yAlign="inline"/>
                    <w:suppressLineNumbers w:val="0"/>
                    <w:kinsoku/>
                    <w:wordWrap/>
                    <w:overflowPunct/>
                    <w:topLinePunct w:val="0"/>
                    <w:bidi w:val="0"/>
                    <w:adjustRightInd w:val="0"/>
                    <w:snapToGrid w:val="0"/>
                    <w:spacing w:before="0" w:beforeAutospacing="0" w:after="0" w:afterAutospacing="0" w:line="276" w:lineRule="auto"/>
                    <w:ind w:left="0" w:right="0"/>
                    <w:jc w:val="center"/>
                    <w:rPr>
                      <w:rFonts w:hint="default" w:ascii="Times New Roman" w:hAnsi="Times New Roman" w:eastAsia="宋体" w:cs="Times New Roman"/>
                      <w:color w:val="auto"/>
                      <w:sz w:val="18"/>
                      <w:szCs w:val="18"/>
                      <w:highlight w:val="none"/>
                      <w:lang w:val="en-US" w:eastAsia="zh-CN"/>
                    </w:rPr>
                  </w:pPr>
                  <w:r>
                    <w:rPr>
                      <w:rFonts w:hint="default" w:ascii="Times New Roman" w:hAnsi="Times New Roman" w:eastAsia="宋体" w:cs="Times New Roman"/>
                      <w:color w:val="auto"/>
                      <w:sz w:val="18"/>
                      <w:szCs w:val="18"/>
                      <w:highlight w:val="none"/>
                      <w:lang w:val="en-US" w:eastAsia="zh-CN"/>
                    </w:rPr>
                    <w:t>排气量：1m</w:t>
                  </w:r>
                  <w:r>
                    <w:rPr>
                      <w:rFonts w:hint="default" w:ascii="Times New Roman" w:hAnsi="Times New Roman" w:eastAsia="宋体" w:cs="Times New Roman"/>
                      <w:color w:val="auto"/>
                      <w:sz w:val="18"/>
                      <w:szCs w:val="18"/>
                      <w:highlight w:val="none"/>
                      <w:vertAlign w:val="superscript"/>
                      <w:lang w:val="en-US" w:eastAsia="zh-CN"/>
                    </w:rPr>
                    <w:t>3</w:t>
                  </w:r>
                  <w:r>
                    <w:rPr>
                      <w:rFonts w:hint="default" w:ascii="Times New Roman" w:hAnsi="Times New Roman" w:eastAsia="宋体" w:cs="Times New Roman"/>
                      <w:color w:val="auto"/>
                      <w:sz w:val="18"/>
                      <w:szCs w:val="18"/>
                      <w:highlight w:val="none"/>
                      <w:lang w:val="en-US" w:eastAsia="zh-CN"/>
                    </w:rPr>
                    <w:t>/h</w:t>
                  </w:r>
                </w:p>
              </w:tc>
              <w:tc>
                <w:tcPr>
                  <w:tcW w:w="284" w:type="pct"/>
                  <w:tcBorders>
                    <w:tl2br w:val="nil"/>
                    <w:tr2bl w:val="nil"/>
                  </w:tcBorders>
                  <w:shd w:val="clear" w:color="auto" w:fill="FFFFFF"/>
                  <w:vAlign w:val="center"/>
                </w:tcPr>
                <w:p w14:paraId="528C2828">
                  <w:pPr>
                    <w:pStyle w:val="120"/>
                    <w:keepNext w:val="0"/>
                    <w:keepLines w:val="0"/>
                    <w:pageBreakBefore w:val="0"/>
                    <w:framePr w:hSpace="0" w:wrap="auto" w:vAnchor="margin" w:hAnchor="text" w:xAlign="left" w:yAlign="inline"/>
                    <w:suppressLineNumbers w:val="0"/>
                    <w:kinsoku/>
                    <w:wordWrap/>
                    <w:overflowPunct/>
                    <w:topLinePunct w:val="0"/>
                    <w:bidi w:val="0"/>
                    <w:adjustRightInd w:val="0"/>
                    <w:snapToGrid w:val="0"/>
                    <w:spacing w:before="0" w:beforeAutospacing="0" w:after="0" w:afterAutospacing="0" w:line="276" w:lineRule="auto"/>
                    <w:ind w:left="0" w:right="0"/>
                    <w:jc w:val="center"/>
                    <w:rPr>
                      <w:rFonts w:hint="default" w:ascii="Times New Roman" w:hAnsi="Times New Roman" w:eastAsia="宋体" w:cs="Times New Roman"/>
                      <w:color w:val="auto"/>
                      <w:sz w:val="18"/>
                      <w:szCs w:val="18"/>
                      <w:highlight w:val="none"/>
                      <w:lang w:val="en-US" w:eastAsia="zh-CN"/>
                    </w:rPr>
                  </w:pPr>
                  <w:r>
                    <w:rPr>
                      <w:rFonts w:hint="default" w:ascii="Times New Roman" w:hAnsi="Times New Roman" w:eastAsia="宋体" w:cs="Times New Roman"/>
                      <w:color w:val="auto"/>
                      <w:sz w:val="18"/>
                      <w:szCs w:val="18"/>
                      <w:highlight w:val="none"/>
                      <w:lang w:val="en-US" w:eastAsia="zh-CN"/>
                    </w:rPr>
                    <w:t>2</w:t>
                  </w:r>
                </w:p>
              </w:tc>
              <w:tc>
                <w:tcPr>
                  <w:tcW w:w="1678" w:type="pct"/>
                  <w:tcBorders>
                    <w:tl2br w:val="nil"/>
                    <w:tr2bl w:val="nil"/>
                  </w:tcBorders>
                  <w:shd w:val="clear" w:color="auto" w:fill="FFFFFF"/>
                  <w:vAlign w:val="center"/>
                </w:tcPr>
                <w:p w14:paraId="017F61AA">
                  <w:pPr>
                    <w:pStyle w:val="120"/>
                    <w:keepNext w:val="0"/>
                    <w:keepLines w:val="0"/>
                    <w:pageBreakBefore w:val="0"/>
                    <w:framePr w:hSpace="0" w:wrap="auto" w:vAnchor="margin" w:hAnchor="text" w:xAlign="left" w:yAlign="inline"/>
                    <w:suppressLineNumbers w:val="0"/>
                    <w:kinsoku/>
                    <w:wordWrap/>
                    <w:overflowPunct/>
                    <w:topLinePunct w:val="0"/>
                    <w:bidi w:val="0"/>
                    <w:adjustRightInd w:val="0"/>
                    <w:snapToGrid w:val="0"/>
                    <w:spacing w:before="0" w:beforeAutospacing="0" w:after="0" w:afterAutospacing="0" w:line="276" w:lineRule="auto"/>
                    <w:ind w:left="0" w:right="0"/>
                    <w:jc w:val="center"/>
                    <w:rPr>
                      <w:rFonts w:hint="default" w:ascii="Times New Roman" w:hAnsi="Times New Roman" w:eastAsia="宋体" w:cs="Times New Roman"/>
                      <w:color w:val="auto"/>
                      <w:sz w:val="18"/>
                      <w:szCs w:val="18"/>
                      <w:highlight w:val="none"/>
                      <w:lang w:val="en-US" w:eastAsia="zh-CN"/>
                    </w:rPr>
                  </w:pPr>
                  <w:r>
                    <w:rPr>
                      <w:rFonts w:hint="default" w:ascii="Times New Roman" w:hAnsi="Times New Roman" w:eastAsia="宋体" w:cs="Times New Roman"/>
                      <w:color w:val="auto"/>
                      <w:sz w:val="18"/>
                      <w:szCs w:val="18"/>
                      <w:highlight w:val="none"/>
                      <w:lang w:val="en-US" w:eastAsia="zh-CN"/>
                    </w:rPr>
                    <w:t>气源间</w:t>
                  </w:r>
                </w:p>
              </w:tc>
            </w:tr>
            <w:tr w14:paraId="54F891E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0" w:hRule="atLeast"/>
              </w:trPr>
              <w:tc>
                <w:tcPr>
                  <w:tcW w:w="235" w:type="pct"/>
                  <w:tcBorders>
                    <w:tl2br w:val="nil"/>
                    <w:tr2bl w:val="nil"/>
                  </w:tcBorders>
                  <w:shd w:val="clear" w:color="auto" w:fill="FFFFFF"/>
                  <w:noWrap/>
                  <w:vAlign w:val="center"/>
                </w:tcPr>
                <w:p w14:paraId="703AE5C5">
                  <w:pPr>
                    <w:pStyle w:val="120"/>
                    <w:keepNext w:val="0"/>
                    <w:keepLines w:val="0"/>
                    <w:pageBreakBefore w:val="0"/>
                    <w:framePr w:hSpace="0" w:wrap="auto" w:vAnchor="margin" w:hAnchor="text" w:xAlign="left" w:yAlign="inline"/>
                    <w:suppressLineNumbers w:val="0"/>
                    <w:kinsoku/>
                    <w:wordWrap/>
                    <w:overflowPunct/>
                    <w:topLinePunct w:val="0"/>
                    <w:bidi w:val="0"/>
                    <w:adjustRightInd w:val="0"/>
                    <w:snapToGrid w:val="0"/>
                    <w:spacing w:before="0" w:beforeAutospacing="0" w:after="0" w:afterAutospacing="0" w:line="276" w:lineRule="auto"/>
                    <w:ind w:left="0" w:right="0"/>
                    <w:jc w:val="center"/>
                    <w:rPr>
                      <w:rFonts w:hint="default" w:ascii="Times New Roman" w:hAnsi="Times New Roman" w:eastAsia="宋体" w:cs="Times New Roman"/>
                      <w:color w:val="auto"/>
                      <w:sz w:val="18"/>
                      <w:szCs w:val="18"/>
                      <w:highlight w:val="none"/>
                      <w:lang w:val="en-US" w:eastAsia="zh-CN"/>
                    </w:rPr>
                  </w:pPr>
                  <w:r>
                    <w:rPr>
                      <w:rFonts w:hint="default" w:ascii="Times New Roman" w:hAnsi="Times New Roman" w:eastAsia="宋体" w:cs="Times New Roman"/>
                      <w:color w:val="auto"/>
                      <w:sz w:val="18"/>
                      <w:szCs w:val="18"/>
                      <w:highlight w:val="none"/>
                      <w:lang w:val="en-US" w:eastAsia="zh-CN"/>
                    </w:rPr>
                    <w:t>2</w:t>
                  </w:r>
                </w:p>
              </w:tc>
              <w:tc>
                <w:tcPr>
                  <w:tcW w:w="349" w:type="pct"/>
                  <w:vMerge w:val="continue"/>
                  <w:tcBorders>
                    <w:tl2br w:val="nil"/>
                    <w:tr2bl w:val="nil"/>
                  </w:tcBorders>
                  <w:shd w:val="clear" w:color="auto" w:fill="FFFFFF"/>
                  <w:vAlign w:val="center"/>
                </w:tcPr>
                <w:p w14:paraId="61C84253">
                  <w:pPr>
                    <w:pStyle w:val="120"/>
                    <w:keepNext w:val="0"/>
                    <w:keepLines w:val="0"/>
                    <w:pageBreakBefore w:val="0"/>
                    <w:framePr w:hSpace="0" w:wrap="auto" w:vAnchor="margin" w:hAnchor="text" w:xAlign="left" w:yAlign="inline"/>
                    <w:suppressLineNumbers w:val="0"/>
                    <w:kinsoku/>
                    <w:wordWrap/>
                    <w:overflowPunct/>
                    <w:topLinePunct w:val="0"/>
                    <w:bidi w:val="0"/>
                    <w:adjustRightInd w:val="0"/>
                    <w:snapToGrid w:val="0"/>
                    <w:spacing w:before="0" w:beforeAutospacing="0" w:after="0" w:afterAutospacing="0" w:line="276" w:lineRule="auto"/>
                    <w:ind w:left="0" w:right="0"/>
                    <w:jc w:val="center"/>
                    <w:rPr>
                      <w:rFonts w:hint="default" w:ascii="Times New Roman" w:hAnsi="Times New Roman" w:eastAsia="宋体" w:cs="Times New Roman"/>
                      <w:color w:val="auto"/>
                      <w:sz w:val="18"/>
                      <w:szCs w:val="18"/>
                      <w:highlight w:val="none"/>
                      <w:lang w:val="en-US" w:eastAsia="zh-CN"/>
                    </w:rPr>
                  </w:pPr>
                </w:p>
              </w:tc>
              <w:tc>
                <w:tcPr>
                  <w:tcW w:w="1015" w:type="pct"/>
                  <w:tcBorders>
                    <w:tl2br w:val="nil"/>
                    <w:tr2bl w:val="nil"/>
                  </w:tcBorders>
                  <w:shd w:val="clear" w:color="auto" w:fill="FFFFFF"/>
                  <w:vAlign w:val="center"/>
                </w:tcPr>
                <w:p w14:paraId="32E634E6">
                  <w:pPr>
                    <w:pStyle w:val="120"/>
                    <w:keepNext w:val="0"/>
                    <w:keepLines w:val="0"/>
                    <w:pageBreakBefore w:val="0"/>
                    <w:framePr w:hSpace="0" w:wrap="auto" w:vAnchor="margin" w:hAnchor="text" w:xAlign="left" w:yAlign="inline"/>
                    <w:suppressLineNumbers w:val="0"/>
                    <w:kinsoku/>
                    <w:wordWrap/>
                    <w:overflowPunct/>
                    <w:topLinePunct w:val="0"/>
                    <w:bidi w:val="0"/>
                    <w:adjustRightInd w:val="0"/>
                    <w:snapToGrid w:val="0"/>
                    <w:spacing w:before="0" w:beforeAutospacing="0" w:after="0" w:afterAutospacing="0" w:line="276" w:lineRule="auto"/>
                    <w:ind w:left="0" w:right="0"/>
                    <w:jc w:val="center"/>
                    <w:rPr>
                      <w:rFonts w:hint="default" w:ascii="Times New Roman" w:hAnsi="Times New Roman" w:eastAsia="宋体" w:cs="Times New Roman"/>
                      <w:color w:val="auto"/>
                      <w:sz w:val="18"/>
                      <w:szCs w:val="18"/>
                      <w:highlight w:val="none"/>
                      <w:lang w:val="en-US" w:eastAsia="zh-CN"/>
                    </w:rPr>
                  </w:pPr>
                  <w:r>
                    <w:rPr>
                      <w:rFonts w:hint="default" w:ascii="Times New Roman" w:hAnsi="Times New Roman" w:eastAsia="宋体" w:cs="Times New Roman"/>
                      <w:color w:val="auto"/>
                      <w:sz w:val="18"/>
                      <w:szCs w:val="18"/>
                      <w:highlight w:val="none"/>
                      <w:lang w:val="en-US" w:eastAsia="zh-CN"/>
                    </w:rPr>
                    <w:t>纯水制备设备</w:t>
                  </w:r>
                </w:p>
              </w:tc>
              <w:tc>
                <w:tcPr>
                  <w:tcW w:w="1436" w:type="pct"/>
                  <w:tcBorders>
                    <w:tl2br w:val="nil"/>
                    <w:tr2bl w:val="nil"/>
                  </w:tcBorders>
                  <w:shd w:val="clear" w:color="auto" w:fill="FFFFFF"/>
                  <w:noWrap/>
                  <w:vAlign w:val="center"/>
                </w:tcPr>
                <w:p w14:paraId="4EF8D56A">
                  <w:pPr>
                    <w:pStyle w:val="120"/>
                    <w:keepNext w:val="0"/>
                    <w:keepLines w:val="0"/>
                    <w:pageBreakBefore w:val="0"/>
                    <w:framePr w:hSpace="0" w:wrap="auto" w:vAnchor="margin" w:hAnchor="text" w:xAlign="left" w:yAlign="inline"/>
                    <w:suppressLineNumbers w:val="0"/>
                    <w:kinsoku/>
                    <w:wordWrap/>
                    <w:overflowPunct/>
                    <w:topLinePunct w:val="0"/>
                    <w:bidi w:val="0"/>
                    <w:adjustRightInd w:val="0"/>
                    <w:snapToGrid w:val="0"/>
                    <w:spacing w:before="0" w:beforeAutospacing="0" w:after="0" w:afterAutospacing="0" w:line="276" w:lineRule="auto"/>
                    <w:ind w:left="0" w:right="0"/>
                    <w:jc w:val="center"/>
                    <w:rPr>
                      <w:rFonts w:hint="default" w:ascii="Times New Roman" w:hAnsi="Times New Roman" w:eastAsia="宋体" w:cs="Times New Roman"/>
                      <w:color w:val="auto"/>
                      <w:sz w:val="18"/>
                      <w:szCs w:val="18"/>
                      <w:highlight w:val="none"/>
                      <w:lang w:val="en-US" w:eastAsia="zh-CN"/>
                    </w:rPr>
                  </w:pPr>
                  <w:r>
                    <w:rPr>
                      <w:rFonts w:hint="default" w:ascii="Times New Roman" w:hAnsi="Times New Roman" w:eastAsia="宋体" w:cs="Times New Roman"/>
                      <w:color w:val="auto"/>
                      <w:sz w:val="18"/>
                      <w:szCs w:val="18"/>
                      <w:highlight w:val="none"/>
                      <w:lang w:val="en-US" w:eastAsia="zh-CN"/>
                    </w:rPr>
                    <w:t>制备能力：4t/h</w:t>
                  </w:r>
                </w:p>
              </w:tc>
              <w:tc>
                <w:tcPr>
                  <w:tcW w:w="284" w:type="pct"/>
                  <w:tcBorders>
                    <w:tl2br w:val="nil"/>
                    <w:tr2bl w:val="nil"/>
                  </w:tcBorders>
                  <w:shd w:val="clear" w:color="auto" w:fill="FFFFFF"/>
                  <w:vAlign w:val="center"/>
                </w:tcPr>
                <w:p w14:paraId="4F69A339">
                  <w:pPr>
                    <w:pStyle w:val="120"/>
                    <w:keepNext w:val="0"/>
                    <w:keepLines w:val="0"/>
                    <w:pageBreakBefore w:val="0"/>
                    <w:framePr w:hSpace="0" w:wrap="auto" w:vAnchor="margin" w:hAnchor="text" w:xAlign="left" w:yAlign="inline"/>
                    <w:suppressLineNumbers w:val="0"/>
                    <w:kinsoku/>
                    <w:wordWrap/>
                    <w:overflowPunct/>
                    <w:topLinePunct w:val="0"/>
                    <w:bidi w:val="0"/>
                    <w:adjustRightInd w:val="0"/>
                    <w:snapToGrid w:val="0"/>
                    <w:spacing w:before="0" w:beforeAutospacing="0" w:after="0" w:afterAutospacing="0" w:line="276" w:lineRule="auto"/>
                    <w:ind w:left="0" w:right="0"/>
                    <w:jc w:val="center"/>
                    <w:rPr>
                      <w:rFonts w:hint="default" w:ascii="Times New Roman" w:hAnsi="Times New Roman" w:eastAsia="宋体" w:cs="Times New Roman"/>
                      <w:color w:val="auto"/>
                      <w:sz w:val="18"/>
                      <w:szCs w:val="18"/>
                      <w:highlight w:val="none"/>
                      <w:lang w:val="en-US" w:eastAsia="zh-CN"/>
                    </w:rPr>
                  </w:pPr>
                  <w:r>
                    <w:rPr>
                      <w:rFonts w:hint="default" w:ascii="Times New Roman" w:hAnsi="Times New Roman" w:eastAsia="宋体" w:cs="Times New Roman"/>
                      <w:color w:val="auto"/>
                      <w:sz w:val="18"/>
                      <w:szCs w:val="18"/>
                      <w:highlight w:val="none"/>
                      <w:lang w:val="en-US" w:eastAsia="zh-CN"/>
                    </w:rPr>
                    <w:t>1</w:t>
                  </w:r>
                </w:p>
              </w:tc>
              <w:tc>
                <w:tcPr>
                  <w:tcW w:w="1678" w:type="pct"/>
                  <w:tcBorders>
                    <w:tl2br w:val="nil"/>
                    <w:tr2bl w:val="nil"/>
                  </w:tcBorders>
                  <w:shd w:val="clear" w:color="auto" w:fill="FFFFFF"/>
                  <w:vAlign w:val="center"/>
                </w:tcPr>
                <w:p w14:paraId="4BBF68C4">
                  <w:pPr>
                    <w:pStyle w:val="120"/>
                    <w:keepNext w:val="0"/>
                    <w:keepLines w:val="0"/>
                    <w:pageBreakBefore w:val="0"/>
                    <w:framePr w:hSpace="0" w:wrap="auto" w:vAnchor="margin" w:hAnchor="text" w:xAlign="left" w:yAlign="inline"/>
                    <w:suppressLineNumbers w:val="0"/>
                    <w:kinsoku/>
                    <w:wordWrap/>
                    <w:overflowPunct/>
                    <w:topLinePunct w:val="0"/>
                    <w:bidi w:val="0"/>
                    <w:adjustRightInd w:val="0"/>
                    <w:snapToGrid w:val="0"/>
                    <w:spacing w:before="0" w:beforeAutospacing="0" w:after="0" w:afterAutospacing="0" w:line="276" w:lineRule="auto"/>
                    <w:ind w:left="0" w:right="0"/>
                    <w:jc w:val="center"/>
                    <w:rPr>
                      <w:rFonts w:hint="default" w:ascii="Times New Roman" w:hAnsi="Times New Roman" w:eastAsia="宋体" w:cs="Times New Roman"/>
                      <w:color w:val="auto"/>
                      <w:sz w:val="18"/>
                      <w:szCs w:val="18"/>
                      <w:highlight w:val="none"/>
                      <w:lang w:val="en-US" w:eastAsia="zh-CN"/>
                    </w:rPr>
                  </w:pPr>
                  <w:r>
                    <w:rPr>
                      <w:rFonts w:hint="default" w:ascii="Times New Roman" w:hAnsi="Times New Roman" w:eastAsia="宋体" w:cs="Times New Roman"/>
                      <w:color w:val="auto"/>
                      <w:sz w:val="18"/>
                      <w:szCs w:val="18"/>
                      <w:highlight w:val="none"/>
                      <w:lang w:val="en-US" w:eastAsia="zh-CN"/>
                    </w:rPr>
                    <w:t>制水间</w:t>
                  </w:r>
                </w:p>
              </w:tc>
            </w:tr>
            <w:tr w14:paraId="044A400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0" w:hRule="atLeast"/>
              </w:trPr>
              <w:tc>
                <w:tcPr>
                  <w:tcW w:w="5000" w:type="pct"/>
                  <w:gridSpan w:val="6"/>
                  <w:tcBorders>
                    <w:tl2br w:val="nil"/>
                    <w:tr2bl w:val="nil"/>
                  </w:tcBorders>
                  <w:shd w:val="clear" w:color="auto" w:fill="FFFFFF"/>
                  <w:noWrap/>
                  <w:vAlign w:val="center"/>
                </w:tcPr>
                <w:p w14:paraId="6C798C1F">
                  <w:pPr>
                    <w:pStyle w:val="120"/>
                    <w:keepNext w:val="0"/>
                    <w:keepLines w:val="0"/>
                    <w:pageBreakBefore w:val="0"/>
                    <w:framePr w:hSpace="0" w:wrap="auto" w:vAnchor="margin" w:hAnchor="text" w:xAlign="left" w:yAlign="inline"/>
                    <w:suppressLineNumbers w:val="0"/>
                    <w:kinsoku/>
                    <w:wordWrap/>
                    <w:overflowPunct/>
                    <w:topLinePunct w:val="0"/>
                    <w:bidi w:val="0"/>
                    <w:adjustRightInd w:val="0"/>
                    <w:snapToGrid w:val="0"/>
                    <w:spacing w:before="0" w:beforeAutospacing="0" w:after="0" w:afterAutospacing="0" w:line="276" w:lineRule="auto"/>
                    <w:ind w:left="0" w:right="0"/>
                    <w:jc w:val="center"/>
                    <w:rPr>
                      <w:rFonts w:hint="default" w:ascii="Times New Roman" w:hAnsi="Times New Roman" w:eastAsia="宋体" w:cs="Times New Roman"/>
                      <w:b/>
                      <w:color w:val="auto"/>
                      <w:sz w:val="18"/>
                      <w:szCs w:val="18"/>
                      <w:highlight w:val="none"/>
                      <w:lang w:val="en-US" w:eastAsia="zh-CN"/>
                    </w:rPr>
                  </w:pPr>
                  <w:r>
                    <w:rPr>
                      <w:rFonts w:hint="default" w:ascii="Times New Roman" w:hAnsi="Times New Roman" w:eastAsia="宋体" w:cs="Times New Roman"/>
                      <w:b/>
                      <w:color w:val="auto"/>
                      <w:sz w:val="18"/>
                      <w:szCs w:val="18"/>
                      <w:highlight w:val="none"/>
                      <w:lang w:val="en-US" w:eastAsia="zh-CN"/>
                    </w:rPr>
                    <w:t>实</w:t>
                  </w:r>
                  <w:r>
                    <w:rPr>
                      <w:rFonts w:hint="default" w:ascii="Times New Roman" w:hAnsi="Times New Roman" w:eastAsia="宋体" w:cs="Times New Roman"/>
                      <w:b/>
                      <w:bCs/>
                      <w:color w:val="auto"/>
                      <w:sz w:val="18"/>
                      <w:szCs w:val="18"/>
                      <w:highlight w:val="none"/>
                      <w:lang w:val="en-US" w:eastAsia="zh-CN"/>
                    </w:rPr>
                    <w:t>验动物中心一层</w:t>
                  </w:r>
                </w:p>
              </w:tc>
            </w:tr>
            <w:tr w14:paraId="708DB43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FFFFFF"/>
                <w:tblCellMar>
                  <w:top w:w="0" w:type="dxa"/>
                  <w:left w:w="28" w:type="dxa"/>
                  <w:bottom w:w="0" w:type="dxa"/>
                  <w:right w:w="28" w:type="dxa"/>
                </w:tblCellMar>
              </w:tblPrEx>
              <w:trPr>
                <w:trHeight w:val="0" w:hRule="atLeast"/>
              </w:trPr>
              <w:tc>
                <w:tcPr>
                  <w:tcW w:w="235" w:type="pct"/>
                  <w:tcBorders>
                    <w:tl2br w:val="nil"/>
                    <w:tr2bl w:val="nil"/>
                  </w:tcBorders>
                  <w:shd w:val="clear" w:color="auto" w:fill="FFFFFF"/>
                  <w:noWrap/>
                  <w:vAlign w:val="center"/>
                </w:tcPr>
                <w:p w14:paraId="38B645C7">
                  <w:pPr>
                    <w:pStyle w:val="120"/>
                    <w:keepNext w:val="0"/>
                    <w:keepLines w:val="0"/>
                    <w:pageBreakBefore w:val="0"/>
                    <w:framePr w:hSpace="0" w:wrap="auto" w:vAnchor="margin" w:hAnchor="text" w:xAlign="left" w:yAlign="inline"/>
                    <w:suppressLineNumbers w:val="0"/>
                    <w:kinsoku/>
                    <w:wordWrap/>
                    <w:overflowPunct/>
                    <w:topLinePunct w:val="0"/>
                    <w:bidi w:val="0"/>
                    <w:adjustRightInd w:val="0"/>
                    <w:snapToGrid w:val="0"/>
                    <w:spacing w:before="0" w:beforeAutospacing="0" w:after="0" w:afterAutospacing="0" w:line="276" w:lineRule="auto"/>
                    <w:ind w:left="0" w:right="0"/>
                    <w:jc w:val="center"/>
                    <w:rPr>
                      <w:rFonts w:hint="default" w:ascii="Times New Roman" w:hAnsi="Times New Roman" w:eastAsia="宋体" w:cs="Times New Roman"/>
                      <w:color w:val="auto"/>
                      <w:sz w:val="18"/>
                      <w:szCs w:val="18"/>
                      <w:highlight w:val="none"/>
                      <w:lang w:val="en-US" w:eastAsia="zh-CN"/>
                    </w:rPr>
                  </w:pPr>
                  <w:r>
                    <w:rPr>
                      <w:rFonts w:hint="default" w:ascii="Times New Roman" w:hAnsi="Times New Roman" w:eastAsia="宋体" w:cs="Times New Roman"/>
                      <w:color w:val="auto"/>
                      <w:sz w:val="18"/>
                      <w:szCs w:val="18"/>
                      <w:highlight w:val="none"/>
                      <w:lang w:val="en-US" w:eastAsia="zh-CN"/>
                    </w:rPr>
                    <w:t>3</w:t>
                  </w:r>
                </w:p>
              </w:tc>
              <w:tc>
                <w:tcPr>
                  <w:tcW w:w="349" w:type="pct"/>
                  <w:vMerge w:val="restart"/>
                  <w:tcBorders>
                    <w:tl2br w:val="nil"/>
                    <w:tr2bl w:val="nil"/>
                  </w:tcBorders>
                  <w:shd w:val="clear" w:color="auto" w:fill="FFFFFF"/>
                  <w:vAlign w:val="center"/>
                </w:tcPr>
                <w:p w14:paraId="4A8E7EDA">
                  <w:pPr>
                    <w:pStyle w:val="120"/>
                    <w:keepNext w:val="0"/>
                    <w:keepLines w:val="0"/>
                    <w:pageBreakBefore w:val="0"/>
                    <w:framePr w:hSpace="0" w:wrap="auto" w:vAnchor="margin" w:hAnchor="text" w:xAlign="left" w:yAlign="inline"/>
                    <w:suppressLineNumbers w:val="0"/>
                    <w:kinsoku/>
                    <w:wordWrap/>
                    <w:overflowPunct/>
                    <w:topLinePunct w:val="0"/>
                    <w:bidi w:val="0"/>
                    <w:adjustRightInd w:val="0"/>
                    <w:snapToGrid w:val="0"/>
                    <w:spacing w:before="0" w:beforeAutospacing="0" w:after="0" w:afterAutospacing="0" w:line="276" w:lineRule="auto"/>
                    <w:ind w:left="0" w:right="0"/>
                    <w:jc w:val="center"/>
                    <w:rPr>
                      <w:rFonts w:hint="default" w:ascii="Times New Roman" w:hAnsi="Times New Roman" w:eastAsia="宋体" w:cs="Times New Roman"/>
                      <w:color w:val="auto"/>
                      <w:sz w:val="18"/>
                      <w:szCs w:val="18"/>
                      <w:highlight w:val="none"/>
                      <w:lang w:val="en-US" w:eastAsia="zh-CN"/>
                    </w:rPr>
                  </w:pPr>
                  <w:r>
                    <w:rPr>
                      <w:rFonts w:hint="default" w:ascii="Times New Roman" w:hAnsi="Times New Roman" w:eastAsia="宋体" w:cs="Times New Roman"/>
                      <w:color w:val="auto"/>
                      <w:sz w:val="18"/>
                      <w:szCs w:val="18"/>
                      <w:highlight w:val="none"/>
                      <w:lang w:val="en-US" w:eastAsia="zh-CN"/>
                    </w:rPr>
                    <w:t>动物实验</w:t>
                  </w:r>
                </w:p>
              </w:tc>
              <w:tc>
                <w:tcPr>
                  <w:tcW w:w="1015" w:type="pct"/>
                  <w:tcBorders>
                    <w:tl2br w:val="nil"/>
                    <w:tr2bl w:val="nil"/>
                  </w:tcBorders>
                  <w:shd w:val="clear" w:color="auto" w:fill="FFFFFF"/>
                  <w:vAlign w:val="center"/>
                </w:tcPr>
                <w:p w14:paraId="1A831E74">
                  <w:pPr>
                    <w:keepNext w:val="0"/>
                    <w:keepLines w:val="0"/>
                    <w:pageBreakBefore w:val="0"/>
                    <w:widowControl/>
                    <w:suppressLineNumbers w:val="0"/>
                    <w:kinsoku/>
                    <w:wordWrap/>
                    <w:overflowPunct/>
                    <w:topLinePunct w:val="0"/>
                    <w:bidi w:val="0"/>
                    <w:adjustRightInd w:val="0"/>
                    <w:snapToGrid w:val="0"/>
                    <w:spacing w:before="0" w:beforeAutospacing="0" w:after="0" w:afterAutospacing="0" w:line="276" w:lineRule="auto"/>
                    <w:ind w:left="0" w:right="0"/>
                    <w:jc w:val="center"/>
                    <w:textAlignment w:val="center"/>
                    <w:rPr>
                      <w:rFonts w:hint="default" w:ascii="Times New Roman" w:hAnsi="Times New Roman" w:eastAsia="宋体" w:cs="Times New Roman"/>
                      <w:color w:val="auto"/>
                      <w:sz w:val="18"/>
                      <w:szCs w:val="18"/>
                      <w:highlight w:val="none"/>
                      <w:lang w:val="en-US" w:eastAsia="zh-CN"/>
                    </w:rPr>
                  </w:pPr>
                  <w:r>
                    <w:rPr>
                      <w:rFonts w:hint="default" w:ascii="Times New Roman" w:hAnsi="Times New Roman" w:eastAsia="宋体" w:cs="Times New Roman"/>
                      <w:i w:val="0"/>
                      <w:iCs w:val="0"/>
                      <w:color w:val="000000"/>
                      <w:kern w:val="0"/>
                      <w:sz w:val="18"/>
                      <w:szCs w:val="18"/>
                      <w:highlight w:val="none"/>
                      <w:u w:val="none"/>
                      <w:lang w:val="en-US" w:eastAsia="zh-CN" w:bidi="ar"/>
                    </w:rPr>
                    <w:t>大型多功能清洗机</w:t>
                  </w:r>
                </w:p>
              </w:tc>
              <w:tc>
                <w:tcPr>
                  <w:tcW w:w="1436" w:type="pct"/>
                  <w:tcBorders>
                    <w:tl2br w:val="nil"/>
                    <w:tr2bl w:val="nil"/>
                  </w:tcBorders>
                  <w:shd w:val="clear" w:color="auto" w:fill="FFFFFF"/>
                  <w:noWrap/>
                  <w:vAlign w:val="center"/>
                </w:tcPr>
                <w:p w14:paraId="78CE4F2A">
                  <w:pPr>
                    <w:pStyle w:val="120"/>
                    <w:keepNext w:val="0"/>
                    <w:keepLines w:val="0"/>
                    <w:pageBreakBefore w:val="0"/>
                    <w:framePr w:hSpace="0" w:wrap="auto" w:vAnchor="margin" w:hAnchor="text" w:xAlign="left" w:yAlign="inline"/>
                    <w:suppressLineNumbers w:val="0"/>
                    <w:kinsoku/>
                    <w:wordWrap/>
                    <w:overflowPunct/>
                    <w:topLinePunct w:val="0"/>
                    <w:bidi w:val="0"/>
                    <w:adjustRightInd w:val="0"/>
                    <w:snapToGrid w:val="0"/>
                    <w:spacing w:before="0" w:beforeAutospacing="0" w:after="0" w:afterAutospacing="0" w:line="276" w:lineRule="auto"/>
                    <w:ind w:left="0" w:right="0"/>
                    <w:jc w:val="center"/>
                    <w:rPr>
                      <w:rFonts w:hint="default" w:ascii="Times New Roman" w:hAnsi="Times New Roman" w:eastAsia="宋体" w:cs="Times New Roman"/>
                      <w:color w:val="auto"/>
                      <w:sz w:val="18"/>
                      <w:szCs w:val="18"/>
                      <w:highlight w:val="none"/>
                      <w:lang w:val="en-US" w:eastAsia="zh-CN"/>
                    </w:rPr>
                  </w:pPr>
                  <w:r>
                    <w:rPr>
                      <w:rFonts w:hint="default" w:ascii="Times New Roman" w:hAnsi="Times New Roman" w:eastAsia="宋体" w:cs="Times New Roman"/>
                      <w:color w:val="auto"/>
                      <w:sz w:val="18"/>
                      <w:szCs w:val="18"/>
                      <w:highlight w:val="none"/>
                      <w:lang w:val="en-US" w:eastAsia="zh-CN"/>
                    </w:rPr>
                    <w:t>2850mm×2750mm×2874mm</w:t>
                  </w:r>
                </w:p>
              </w:tc>
              <w:tc>
                <w:tcPr>
                  <w:tcW w:w="284" w:type="pct"/>
                  <w:tcBorders>
                    <w:tl2br w:val="nil"/>
                    <w:tr2bl w:val="nil"/>
                  </w:tcBorders>
                  <w:shd w:val="clear" w:color="auto" w:fill="FFFFFF"/>
                  <w:vAlign w:val="center"/>
                </w:tcPr>
                <w:p w14:paraId="3D5003BC">
                  <w:pPr>
                    <w:keepNext w:val="0"/>
                    <w:keepLines w:val="0"/>
                    <w:pageBreakBefore w:val="0"/>
                    <w:widowControl/>
                    <w:suppressLineNumbers w:val="0"/>
                    <w:kinsoku/>
                    <w:wordWrap/>
                    <w:overflowPunct/>
                    <w:topLinePunct w:val="0"/>
                    <w:bidi w:val="0"/>
                    <w:adjustRightInd w:val="0"/>
                    <w:snapToGrid w:val="0"/>
                    <w:spacing w:before="0" w:beforeAutospacing="0" w:after="0" w:afterAutospacing="0" w:line="276" w:lineRule="auto"/>
                    <w:ind w:left="0" w:right="0"/>
                    <w:jc w:val="center"/>
                    <w:textAlignment w:val="center"/>
                    <w:rPr>
                      <w:rFonts w:hint="default" w:ascii="Times New Roman" w:hAnsi="Times New Roman" w:eastAsia="宋体" w:cs="Times New Roman"/>
                      <w:color w:val="auto"/>
                      <w:sz w:val="18"/>
                      <w:szCs w:val="18"/>
                      <w:highlight w:val="none"/>
                      <w:lang w:val="en-US" w:eastAsia="zh-CN"/>
                    </w:rPr>
                  </w:pPr>
                  <w:r>
                    <w:rPr>
                      <w:rFonts w:hint="default" w:ascii="Times New Roman" w:hAnsi="Times New Roman" w:eastAsia="宋体" w:cs="Times New Roman"/>
                      <w:color w:val="auto"/>
                      <w:sz w:val="18"/>
                      <w:szCs w:val="18"/>
                      <w:highlight w:val="none"/>
                      <w:lang w:val="en-US" w:eastAsia="zh-CN"/>
                    </w:rPr>
                    <w:t>1</w:t>
                  </w:r>
                </w:p>
              </w:tc>
              <w:tc>
                <w:tcPr>
                  <w:tcW w:w="1678" w:type="pct"/>
                  <w:tcBorders>
                    <w:tl2br w:val="nil"/>
                    <w:tr2bl w:val="nil"/>
                  </w:tcBorders>
                  <w:shd w:val="clear" w:color="auto" w:fill="FFFFFF"/>
                  <w:vAlign w:val="center"/>
                </w:tcPr>
                <w:p w14:paraId="2276AFF8">
                  <w:pPr>
                    <w:keepNext w:val="0"/>
                    <w:keepLines w:val="0"/>
                    <w:pageBreakBefore w:val="0"/>
                    <w:widowControl/>
                    <w:suppressLineNumbers w:val="0"/>
                    <w:kinsoku/>
                    <w:wordWrap/>
                    <w:overflowPunct/>
                    <w:topLinePunct w:val="0"/>
                    <w:bidi w:val="0"/>
                    <w:adjustRightInd w:val="0"/>
                    <w:snapToGrid w:val="0"/>
                    <w:spacing w:before="0" w:beforeAutospacing="0" w:after="0" w:afterAutospacing="0" w:line="276" w:lineRule="auto"/>
                    <w:ind w:left="0" w:right="0"/>
                    <w:jc w:val="center"/>
                    <w:textAlignment w:val="center"/>
                    <w:rPr>
                      <w:rFonts w:hint="default" w:ascii="Times New Roman" w:hAnsi="Times New Roman" w:eastAsia="宋体" w:cs="Times New Roman"/>
                      <w:color w:val="auto"/>
                      <w:sz w:val="18"/>
                      <w:szCs w:val="18"/>
                      <w:highlight w:val="none"/>
                      <w:lang w:val="en-US" w:eastAsia="zh-CN"/>
                    </w:rPr>
                  </w:pPr>
                  <w:r>
                    <w:rPr>
                      <w:rFonts w:hint="default" w:ascii="Times New Roman" w:hAnsi="Times New Roman" w:eastAsia="宋体" w:cs="Times New Roman"/>
                      <w:i w:val="0"/>
                      <w:iCs w:val="0"/>
                      <w:color w:val="000000"/>
                      <w:kern w:val="0"/>
                      <w:sz w:val="18"/>
                      <w:szCs w:val="18"/>
                      <w:highlight w:val="none"/>
                      <w:u w:val="none"/>
                      <w:lang w:val="en-US" w:eastAsia="zh-CN" w:bidi="ar"/>
                    </w:rPr>
                    <w:t>洗消间</w:t>
                  </w:r>
                </w:p>
              </w:tc>
            </w:tr>
            <w:tr w14:paraId="7DE3324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0" w:hRule="atLeast"/>
              </w:trPr>
              <w:tc>
                <w:tcPr>
                  <w:tcW w:w="235" w:type="pct"/>
                  <w:tcBorders>
                    <w:tl2br w:val="nil"/>
                    <w:tr2bl w:val="nil"/>
                  </w:tcBorders>
                  <w:shd w:val="clear" w:color="auto" w:fill="FFFFFF"/>
                  <w:noWrap/>
                  <w:vAlign w:val="center"/>
                </w:tcPr>
                <w:p w14:paraId="005F6724">
                  <w:pPr>
                    <w:pStyle w:val="120"/>
                    <w:keepNext w:val="0"/>
                    <w:keepLines w:val="0"/>
                    <w:pageBreakBefore w:val="0"/>
                    <w:framePr w:hSpace="0" w:wrap="auto" w:vAnchor="margin" w:hAnchor="text" w:xAlign="left" w:yAlign="inline"/>
                    <w:suppressLineNumbers w:val="0"/>
                    <w:kinsoku/>
                    <w:wordWrap/>
                    <w:overflowPunct/>
                    <w:topLinePunct w:val="0"/>
                    <w:bidi w:val="0"/>
                    <w:adjustRightInd w:val="0"/>
                    <w:snapToGrid w:val="0"/>
                    <w:spacing w:before="0" w:beforeAutospacing="0" w:after="0" w:afterAutospacing="0" w:line="276" w:lineRule="auto"/>
                    <w:ind w:left="0" w:right="0"/>
                    <w:jc w:val="center"/>
                    <w:rPr>
                      <w:rFonts w:hint="default" w:ascii="Times New Roman" w:hAnsi="Times New Roman" w:eastAsia="宋体" w:cs="Times New Roman"/>
                      <w:color w:val="auto"/>
                      <w:sz w:val="18"/>
                      <w:szCs w:val="18"/>
                      <w:highlight w:val="none"/>
                      <w:lang w:val="en-US" w:eastAsia="zh-CN"/>
                    </w:rPr>
                  </w:pPr>
                  <w:r>
                    <w:rPr>
                      <w:rFonts w:hint="default" w:ascii="Times New Roman" w:hAnsi="Times New Roman" w:eastAsia="宋体" w:cs="Times New Roman"/>
                      <w:color w:val="auto"/>
                      <w:sz w:val="18"/>
                      <w:szCs w:val="18"/>
                      <w:highlight w:val="none"/>
                      <w:lang w:val="en-US" w:eastAsia="zh-CN"/>
                    </w:rPr>
                    <w:t>4</w:t>
                  </w:r>
                </w:p>
              </w:tc>
              <w:tc>
                <w:tcPr>
                  <w:tcW w:w="349" w:type="pct"/>
                  <w:vMerge w:val="continue"/>
                  <w:tcBorders>
                    <w:tl2br w:val="nil"/>
                    <w:tr2bl w:val="nil"/>
                  </w:tcBorders>
                  <w:shd w:val="clear" w:color="auto" w:fill="FFFFFF"/>
                  <w:vAlign w:val="center"/>
                </w:tcPr>
                <w:p w14:paraId="32F6FB17">
                  <w:pPr>
                    <w:pStyle w:val="120"/>
                    <w:keepNext w:val="0"/>
                    <w:keepLines w:val="0"/>
                    <w:pageBreakBefore w:val="0"/>
                    <w:framePr w:hSpace="0" w:wrap="auto" w:vAnchor="margin" w:hAnchor="text" w:xAlign="left" w:yAlign="inline"/>
                    <w:suppressLineNumbers w:val="0"/>
                    <w:kinsoku/>
                    <w:wordWrap/>
                    <w:overflowPunct/>
                    <w:topLinePunct w:val="0"/>
                    <w:bidi w:val="0"/>
                    <w:adjustRightInd w:val="0"/>
                    <w:snapToGrid w:val="0"/>
                    <w:spacing w:before="0" w:beforeAutospacing="0" w:after="0" w:afterAutospacing="0" w:line="276" w:lineRule="auto"/>
                    <w:ind w:left="0" w:right="0"/>
                    <w:jc w:val="center"/>
                    <w:rPr>
                      <w:rFonts w:hint="default" w:ascii="Times New Roman" w:hAnsi="Times New Roman" w:eastAsia="宋体" w:cs="Times New Roman"/>
                      <w:color w:val="auto"/>
                      <w:sz w:val="18"/>
                      <w:szCs w:val="18"/>
                      <w:highlight w:val="none"/>
                      <w:lang w:val="en-US" w:eastAsia="zh-CN"/>
                    </w:rPr>
                  </w:pPr>
                </w:p>
              </w:tc>
              <w:tc>
                <w:tcPr>
                  <w:tcW w:w="1015" w:type="pct"/>
                  <w:tcBorders>
                    <w:tl2br w:val="nil"/>
                    <w:tr2bl w:val="nil"/>
                  </w:tcBorders>
                  <w:shd w:val="clear" w:color="auto" w:fill="FFFFFF"/>
                  <w:vAlign w:val="center"/>
                </w:tcPr>
                <w:p w14:paraId="001C8C20">
                  <w:pPr>
                    <w:keepNext w:val="0"/>
                    <w:keepLines w:val="0"/>
                    <w:pageBreakBefore w:val="0"/>
                    <w:widowControl/>
                    <w:suppressLineNumbers w:val="0"/>
                    <w:kinsoku/>
                    <w:wordWrap/>
                    <w:overflowPunct/>
                    <w:topLinePunct w:val="0"/>
                    <w:bidi w:val="0"/>
                    <w:adjustRightInd w:val="0"/>
                    <w:snapToGrid w:val="0"/>
                    <w:spacing w:before="0" w:beforeAutospacing="0" w:after="0" w:afterAutospacing="0" w:line="276" w:lineRule="auto"/>
                    <w:ind w:left="0" w:right="0"/>
                    <w:jc w:val="center"/>
                    <w:textAlignment w:val="center"/>
                    <w:rPr>
                      <w:rFonts w:hint="default" w:ascii="Times New Roman" w:hAnsi="Times New Roman" w:eastAsia="宋体" w:cs="Times New Roman"/>
                      <w:color w:val="auto"/>
                      <w:sz w:val="18"/>
                      <w:szCs w:val="18"/>
                      <w:highlight w:val="none"/>
                      <w:lang w:val="en-US" w:eastAsia="zh-CN"/>
                    </w:rPr>
                  </w:pPr>
                  <w:r>
                    <w:rPr>
                      <w:rFonts w:hint="default" w:ascii="Times New Roman" w:hAnsi="Times New Roman" w:eastAsia="宋体" w:cs="Times New Roman"/>
                      <w:i w:val="0"/>
                      <w:iCs w:val="0"/>
                      <w:color w:val="000000"/>
                      <w:kern w:val="0"/>
                      <w:sz w:val="18"/>
                      <w:szCs w:val="18"/>
                      <w:highlight w:val="none"/>
                      <w:u w:val="none"/>
                      <w:lang w:val="en-US" w:eastAsia="zh-CN" w:bidi="ar"/>
                    </w:rPr>
                    <w:t>不锈钢猪笼</w:t>
                  </w:r>
                </w:p>
              </w:tc>
              <w:tc>
                <w:tcPr>
                  <w:tcW w:w="1436" w:type="pct"/>
                  <w:tcBorders>
                    <w:tl2br w:val="nil"/>
                    <w:tr2bl w:val="nil"/>
                  </w:tcBorders>
                  <w:shd w:val="clear" w:color="auto" w:fill="FFFFFF"/>
                  <w:noWrap/>
                  <w:vAlign w:val="center"/>
                </w:tcPr>
                <w:p w14:paraId="455909AB">
                  <w:pPr>
                    <w:pStyle w:val="120"/>
                    <w:keepNext w:val="0"/>
                    <w:keepLines w:val="0"/>
                    <w:pageBreakBefore w:val="0"/>
                    <w:framePr w:hSpace="0" w:wrap="auto" w:vAnchor="margin" w:hAnchor="text" w:xAlign="left" w:yAlign="inline"/>
                    <w:suppressLineNumbers w:val="0"/>
                    <w:kinsoku/>
                    <w:wordWrap/>
                    <w:overflowPunct/>
                    <w:topLinePunct w:val="0"/>
                    <w:bidi w:val="0"/>
                    <w:adjustRightInd w:val="0"/>
                    <w:snapToGrid w:val="0"/>
                    <w:spacing w:before="0" w:beforeAutospacing="0" w:after="0" w:afterAutospacing="0" w:line="276" w:lineRule="auto"/>
                    <w:ind w:left="0" w:right="0"/>
                    <w:jc w:val="center"/>
                    <w:rPr>
                      <w:rFonts w:hint="default" w:ascii="Times New Roman" w:hAnsi="Times New Roman" w:eastAsia="宋体" w:cs="Times New Roman"/>
                      <w:color w:val="auto"/>
                      <w:sz w:val="18"/>
                      <w:szCs w:val="18"/>
                      <w:highlight w:val="none"/>
                      <w:lang w:val="en-US" w:eastAsia="zh-CN"/>
                    </w:rPr>
                  </w:pPr>
                  <w:r>
                    <w:rPr>
                      <w:rFonts w:hint="default" w:ascii="Times New Roman" w:hAnsi="Times New Roman" w:eastAsia="宋体" w:cs="Times New Roman"/>
                      <w:color w:val="auto"/>
                      <w:sz w:val="18"/>
                      <w:szCs w:val="18"/>
                      <w:highlight w:val="none"/>
                      <w:lang w:val="en-US" w:eastAsia="zh-CN"/>
                    </w:rPr>
                    <w:t>1000mm×1000mm×1300mm</w:t>
                  </w:r>
                </w:p>
              </w:tc>
              <w:tc>
                <w:tcPr>
                  <w:tcW w:w="284" w:type="pct"/>
                  <w:tcBorders>
                    <w:tl2br w:val="nil"/>
                    <w:tr2bl w:val="nil"/>
                  </w:tcBorders>
                  <w:shd w:val="clear" w:color="auto" w:fill="FFFFFF"/>
                  <w:vAlign w:val="center"/>
                </w:tcPr>
                <w:p w14:paraId="226DF406">
                  <w:pPr>
                    <w:keepNext w:val="0"/>
                    <w:keepLines w:val="0"/>
                    <w:pageBreakBefore w:val="0"/>
                    <w:widowControl/>
                    <w:suppressLineNumbers w:val="0"/>
                    <w:kinsoku/>
                    <w:wordWrap/>
                    <w:overflowPunct/>
                    <w:topLinePunct w:val="0"/>
                    <w:bidi w:val="0"/>
                    <w:adjustRightInd w:val="0"/>
                    <w:snapToGrid w:val="0"/>
                    <w:spacing w:before="0" w:beforeAutospacing="0" w:after="0" w:afterAutospacing="0" w:line="276" w:lineRule="auto"/>
                    <w:ind w:left="0" w:right="0"/>
                    <w:jc w:val="center"/>
                    <w:textAlignment w:val="center"/>
                    <w:rPr>
                      <w:rFonts w:hint="default" w:ascii="Times New Roman" w:hAnsi="Times New Roman" w:eastAsia="宋体" w:cs="Times New Roman"/>
                      <w:color w:val="auto"/>
                      <w:kern w:val="2"/>
                      <w:sz w:val="18"/>
                      <w:szCs w:val="18"/>
                      <w:highlight w:val="none"/>
                      <w:lang w:val="en-US" w:eastAsia="zh-CN" w:bidi="ar-SA"/>
                    </w:rPr>
                  </w:pPr>
                  <w:r>
                    <w:rPr>
                      <w:rFonts w:hint="default" w:ascii="Times New Roman" w:hAnsi="Times New Roman" w:eastAsia="宋体" w:cs="Times New Roman"/>
                      <w:i w:val="0"/>
                      <w:iCs w:val="0"/>
                      <w:color w:val="000000"/>
                      <w:kern w:val="0"/>
                      <w:sz w:val="18"/>
                      <w:szCs w:val="18"/>
                      <w:highlight w:val="none"/>
                      <w:u w:val="none"/>
                      <w:lang w:val="en-US" w:eastAsia="zh-CN" w:bidi="ar"/>
                    </w:rPr>
                    <w:t>22</w:t>
                  </w:r>
                </w:p>
              </w:tc>
              <w:tc>
                <w:tcPr>
                  <w:tcW w:w="1678" w:type="pct"/>
                  <w:tcBorders>
                    <w:tl2br w:val="nil"/>
                    <w:tr2bl w:val="nil"/>
                  </w:tcBorders>
                  <w:shd w:val="clear" w:color="auto" w:fill="FFFFFF"/>
                  <w:vAlign w:val="center"/>
                </w:tcPr>
                <w:p w14:paraId="0D06692D">
                  <w:pPr>
                    <w:keepNext w:val="0"/>
                    <w:keepLines w:val="0"/>
                    <w:pageBreakBefore w:val="0"/>
                    <w:widowControl/>
                    <w:suppressLineNumbers w:val="0"/>
                    <w:kinsoku/>
                    <w:wordWrap/>
                    <w:overflowPunct/>
                    <w:topLinePunct w:val="0"/>
                    <w:bidi w:val="0"/>
                    <w:adjustRightInd w:val="0"/>
                    <w:snapToGrid w:val="0"/>
                    <w:spacing w:before="0" w:beforeAutospacing="0" w:after="0" w:afterAutospacing="0" w:line="276" w:lineRule="auto"/>
                    <w:ind w:left="0" w:right="0"/>
                    <w:jc w:val="center"/>
                    <w:textAlignment w:val="center"/>
                    <w:rPr>
                      <w:rFonts w:hint="default" w:ascii="Times New Roman" w:hAnsi="Times New Roman" w:eastAsia="宋体" w:cs="Times New Roman"/>
                      <w:color w:val="auto"/>
                      <w:sz w:val="18"/>
                      <w:szCs w:val="18"/>
                      <w:highlight w:val="none"/>
                      <w:lang w:val="en-US" w:eastAsia="zh-CN"/>
                    </w:rPr>
                  </w:pPr>
                  <w:r>
                    <w:rPr>
                      <w:rFonts w:hint="default" w:ascii="Times New Roman" w:hAnsi="Times New Roman" w:eastAsia="宋体" w:cs="Times New Roman"/>
                      <w:i w:val="0"/>
                      <w:iCs w:val="0"/>
                      <w:color w:val="000000"/>
                      <w:kern w:val="0"/>
                      <w:sz w:val="18"/>
                      <w:szCs w:val="18"/>
                      <w:highlight w:val="none"/>
                      <w:u w:val="none"/>
                      <w:lang w:val="en-US" w:eastAsia="zh-CN" w:bidi="ar"/>
                    </w:rPr>
                    <w:t>猪检疫室、猪饲养间、隔离治疗室</w:t>
                  </w:r>
                </w:p>
              </w:tc>
            </w:tr>
            <w:tr w14:paraId="317084F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0" w:hRule="atLeast"/>
              </w:trPr>
              <w:tc>
                <w:tcPr>
                  <w:tcW w:w="235" w:type="pct"/>
                  <w:tcBorders>
                    <w:tl2br w:val="nil"/>
                    <w:tr2bl w:val="nil"/>
                  </w:tcBorders>
                  <w:shd w:val="clear" w:color="auto" w:fill="FFFFFF"/>
                  <w:noWrap/>
                  <w:vAlign w:val="center"/>
                </w:tcPr>
                <w:p w14:paraId="25CD91E0">
                  <w:pPr>
                    <w:pStyle w:val="120"/>
                    <w:keepNext w:val="0"/>
                    <w:keepLines w:val="0"/>
                    <w:pageBreakBefore w:val="0"/>
                    <w:framePr w:hSpace="0" w:wrap="auto" w:vAnchor="margin" w:hAnchor="text" w:xAlign="left" w:yAlign="inline"/>
                    <w:suppressLineNumbers w:val="0"/>
                    <w:kinsoku/>
                    <w:wordWrap/>
                    <w:overflowPunct/>
                    <w:topLinePunct w:val="0"/>
                    <w:bidi w:val="0"/>
                    <w:adjustRightInd w:val="0"/>
                    <w:snapToGrid w:val="0"/>
                    <w:spacing w:before="0" w:beforeAutospacing="0" w:after="0" w:afterAutospacing="0" w:line="276" w:lineRule="auto"/>
                    <w:ind w:left="0" w:right="0"/>
                    <w:jc w:val="center"/>
                    <w:rPr>
                      <w:rFonts w:hint="default" w:ascii="Times New Roman" w:hAnsi="Times New Roman" w:eastAsia="宋体" w:cs="Times New Roman"/>
                      <w:color w:val="auto"/>
                      <w:sz w:val="18"/>
                      <w:szCs w:val="18"/>
                      <w:highlight w:val="none"/>
                      <w:lang w:val="en-US" w:eastAsia="zh-CN"/>
                    </w:rPr>
                  </w:pPr>
                  <w:r>
                    <w:rPr>
                      <w:rFonts w:hint="default" w:ascii="Times New Roman" w:hAnsi="Times New Roman" w:eastAsia="宋体" w:cs="Times New Roman"/>
                      <w:color w:val="auto"/>
                      <w:sz w:val="18"/>
                      <w:szCs w:val="18"/>
                      <w:highlight w:val="none"/>
                      <w:lang w:val="en-US" w:eastAsia="zh-CN"/>
                    </w:rPr>
                    <w:t>5</w:t>
                  </w:r>
                </w:p>
              </w:tc>
              <w:tc>
                <w:tcPr>
                  <w:tcW w:w="349" w:type="pct"/>
                  <w:vMerge w:val="continue"/>
                  <w:tcBorders>
                    <w:tl2br w:val="nil"/>
                    <w:tr2bl w:val="nil"/>
                  </w:tcBorders>
                  <w:shd w:val="clear" w:color="auto" w:fill="FFFFFF"/>
                  <w:vAlign w:val="center"/>
                </w:tcPr>
                <w:p w14:paraId="22608E0B">
                  <w:pPr>
                    <w:pStyle w:val="120"/>
                    <w:keepNext w:val="0"/>
                    <w:keepLines w:val="0"/>
                    <w:pageBreakBefore w:val="0"/>
                    <w:framePr w:hSpace="0" w:wrap="auto" w:vAnchor="margin" w:hAnchor="text" w:xAlign="left" w:yAlign="inline"/>
                    <w:suppressLineNumbers w:val="0"/>
                    <w:kinsoku/>
                    <w:wordWrap/>
                    <w:overflowPunct/>
                    <w:topLinePunct w:val="0"/>
                    <w:bidi w:val="0"/>
                    <w:adjustRightInd w:val="0"/>
                    <w:snapToGrid w:val="0"/>
                    <w:spacing w:before="0" w:beforeAutospacing="0" w:after="0" w:afterAutospacing="0" w:line="276" w:lineRule="auto"/>
                    <w:ind w:left="0" w:right="0"/>
                    <w:jc w:val="center"/>
                    <w:rPr>
                      <w:rFonts w:hint="default" w:ascii="Times New Roman" w:hAnsi="Times New Roman" w:eastAsia="宋体" w:cs="Times New Roman"/>
                      <w:color w:val="auto"/>
                      <w:sz w:val="18"/>
                      <w:szCs w:val="18"/>
                      <w:highlight w:val="none"/>
                      <w:lang w:val="en-US" w:eastAsia="zh-CN"/>
                    </w:rPr>
                  </w:pPr>
                </w:p>
              </w:tc>
              <w:tc>
                <w:tcPr>
                  <w:tcW w:w="1015" w:type="pct"/>
                  <w:tcBorders>
                    <w:tl2br w:val="nil"/>
                    <w:tr2bl w:val="nil"/>
                  </w:tcBorders>
                  <w:shd w:val="clear" w:color="auto" w:fill="FFFFFF"/>
                  <w:vAlign w:val="center"/>
                </w:tcPr>
                <w:p w14:paraId="1C1D82E8">
                  <w:pPr>
                    <w:keepNext w:val="0"/>
                    <w:keepLines w:val="0"/>
                    <w:pageBreakBefore w:val="0"/>
                    <w:widowControl/>
                    <w:suppressLineNumbers w:val="0"/>
                    <w:kinsoku/>
                    <w:wordWrap/>
                    <w:overflowPunct/>
                    <w:topLinePunct w:val="0"/>
                    <w:bidi w:val="0"/>
                    <w:adjustRightInd w:val="0"/>
                    <w:snapToGrid w:val="0"/>
                    <w:spacing w:before="0" w:beforeAutospacing="0" w:after="0" w:afterAutospacing="0" w:line="276" w:lineRule="auto"/>
                    <w:ind w:left="0" w:right="0"/>
                    <w:jc w:val="center"/>
                    <w:textAlignment w:val="center"/>
                    <w:rPr>
                      <w:rFonts w:hint="default" w:ascii="Times New Roman" w:hAnsi="Times New Roman" w:eastAsia="宋体" w:cs="Times New Roman"/>
                      <w:color w:val="auto"/>
                      <w:sz w:val="18"/>
                      <w:szCs w:val="18"/>
                      <w:highlight w:val="none"/>
                      <w:lang w:val="en-US" w:eastAsia="zh-CN"/>
                    </w:rPr>
                  </w:pPr>
                  <w:r>
                    <w:rPr>
                      <w:rFonts w:hint="default" w:ascii="Times New Roman" w:hAnsi="Times New Roman" w:eastAsia="宋体" w:cs="Times New Roman"/>
                      <w:i w:val="0"/>
                      <w:iCs w:val="0"/>
                      <w:color w:val="000000"/>
                      <w:kern w:val="0"/>
                      <w:sz w:val="18"/>
                      <w:szCs w:val="18"/>
                      <w:highlight w:val="none"/>
                      <w:u w:val="none"/>
                      <w:lang w:val="en-US" w:eastAsia="zh-CN" w:bidi="ar"/>
                    </w:rPr>
                    <w:t>不锈钢水冲洗式双层猴笼</w:t>
                  </w:r>
                </w:p>
              </w:tc>
              <w:tc>
                <w:tcPr>
                  <w:tcW w:w="1436" w:type="pct"/>
                  <w:tcBorders>
                    <w:tl2br w:val="nil"/>
                    <w:tr2bl w:val="nil"/>
                  </w:tcBorders>
                  <w:shd w:val="clear" w:color="auto" w:fill="FFFFFF"/>
                  <w:noWrap/>
                  <w:vAlign w:val="center"/>
                </w:tcPr>
                <w:p w14:paraId="3312CC71">
                  <w:pPr>
                    <w:pStyle w:val="120"/>
                    <w:keepNext w:val="0"/>
                    <w:keepLines w:val="0"/>
                    <w:pageBreakBefore w:val="0"/>
                    <w:framePr w:hSpace="0" w:wrap="auto" w:vAnchor="margin" w:hAnchor="text" w:xAlign="left" w:yAlign="inline"/>
                    <w:suppressLineNumbers w:val="0"/>
                    <w:kinsoku/>
                    <w:wordWrap/>
                    <w:overflowPunct/>
                    <w:topLinePunct w:val="0"/>
                    <w:bidi w:val="0"/>
                    <w:adjustRightInd w:val="0"/>
                    <w:snapToGrid w:val="0"/>
                    <w:spacing w:before="0" w:beforeAutospacing="0" w:after="0" w:afterAutospacing="0" w:line="276" w:lineRule="auto"/>
                    <w:ind w:left="0" w:right="0"/>
                    <w:jc w:val="center"/>
                    <w:rPr>
                      <w:rFonts w:hint="default" w:ascii="Times New Roman" w:hAnsi="Times New Roman" w:eastAsia="宋体" w:cs="Times New Roman"/>
                      <w:color w:val="auto"/>
                      <w:sz w:val="18"/>
                      <w:szCs w:val="18"/>
                      <w:highlight w:val="none"/>
                      <w:lang w:val="en-US" w:eastAsia="zh-CN"/>
                    </w:rPr>
                  </w:pPr>
                  <w:r>
                    <w:rPr>
                      <w:rFonts w:hint="default" w:ascii="Times New Roman" w:hAnsi="Times New Roman" w:eastAsia="宋体" w:cs="Times New Roman"/>
                      <w:color w:val="auto"/>
                      <w:sz w:val="18"/>
                      <w:szCs w:val="18"/>
                      <w:highlight w:val="none"/>
                      <w:lang w:val="en-US" w:eastAsia="zh-CN"/>
                    </w:rPr>
                    <w:t>850mm×1000mm×2130mm</w:t>
                  </w:r>
                </w:p>
              </w:tc>
              <w:tc>
                <w:tcPr>
                  <w:tcW w:w="284" w:type="pct"/>
                  <w:tcBorders>
                    <w:tl2br w:val="nil"/>
                    <w:tr2bl w:val="nil"/>
                  </w:tcBorders>
                  <w:shd w:val="clear" w:color="auto" w:fill="FFFFFF"/>
                  <w:vAlign w:val="center"/>
                </w:tcPr>
                <w:p w14:paraId="734274FD">
                  <w:pPr>
                    <w:keepNext w:val="0"/>
                    <w:keepLines w:val="0"/>
                    <w:pageBreakBefore w:val="0"/>
                    <w:widowControl/>
                    <w:suppressLineNumbers w:val="0"/>
                    <w:kinsoku/>
                    <w:wordWrap/>
                    <w:overflowPunct/>
                    <w:topLinePunct w:val="0"/>
                    <w:bidi w:val="0"/>
                    <w:adjustRightInd w:val="0"/>
                    <w:snapToGrid w:val="0"/>
                    <w:spacing w:before="0" w:beforeAutospacing="0" w:after="0" w:afterAutospacing="0" w:line="276" w:lineRule="auto"/>
                    <w:ind w:left="0" w:right="0"/>
                    <w:jc w:val="center"/>
                    <w:textAlignment w:val="center"/>
                    <w:rPr>
                      <w:rFonts w:hint="default" w:ascii="Times New Roman" w:hAnsi="Times New Roman" w:eastAsia="宋体" w:cs="Times New Roman"/>
                      <w:color w:val="auto"/>
                      <w:kern w:val="2"/>
                      <w:sz w:val="18"/>
                      <w:szCs w:val="18"/>
                      <w:highlight w:val="none"/>
                      <w:lang w:val="en-US" w:eastAsia="zh-CN" w:bidi="ar-SA"/>
                    </w:rPr>
                  </w:pPr>
                  <w:r>
                    <w:rPr>
                      <w:rFonts w:hint="default" w:ascii="Times New Roman" w:hAnsi="Times New Roman" w:eastAsia="宋体" w:cs="Times New Roman"/>
                      <w:i w:val="0"/>
                      <w:iCs w:val="0"/>
                      <w:color w:val="000000"/>
                      <w:kern w:val="0"/>
                      <w:sz w:val="18"/>
                      <w:szCs w:val="18"/>
                      <w:highlight w:val="none"/>
                      <w:u w:val="none"/>
                      <w:lang w:val="en-US" w:eastAsia="zh-CN" w:bidi="ar"/>
                    </w:rPr>
                    <w:t>11</w:t>
                  </w:r>
                </w:p>
              </w:tc>
              <w:tc>
                <w:tcPr>
                  <w:tcW w:w="1678" w:type="pct"/>
                  <w:tcBorders>
                    <w:tl2br w:val="nil"/>
                    <w:tr2bl w:val="nil"/>
                  </w:tcBorders>
                  <w:shd w:val="clear" w:color="auto" w:fill="FFFFFF"/>
                  <w:vAlign w:val="center"/>
                </w:tcPr>
                <w:p w14:paraId="49D42F2F">
                  <w:pPr>
                    <w:keepNext w:val="0"/>
                    <w:keepLines w:val="0"/>
                    <w:pageBreakBefore w:val="0"/>
                    <w:widowControl/>
                    <w:suppressLineNumbers w:val="0"/>
                    <w:kinsoku/>
                    <w:wordWrap/>
                    <w:overflowPunct/>
                    <w:topLinePunct w:val="0"/>
                    <w:bidi w:val="0"/>
                    <w:adjustRightInd w:val="0"/>
                    <w:snapToGrid w:val="0"/>
                    <w:spacing w:before="0" w:beforeAutospacing="0" w:after="0" w:afterAutospacing="0" w:line="276" w:lineRule="auto"/>
                    <w:ind w:left="0" w:right="0"/>
                    <w:jc w:val="center"/>
                    <w:textAlignment w:val="center"/>
                    <w:rPr>
                      <w:rFonts w:hint="default" w:ascii="Times New Roman" w:hAnsi="Times New Roman" w:eastAsia="宋体" w:cs="Times New Roman"/>
                      <w:color w:val="auto"/>
                      <w:sz w:val="18"/>
                      <w:szCs w:val="18"/>
                      <w:highlight w:val="none"/>
                      <w:lang w:val="en-US" w:eastAsia="zh-CN"/>
                    </w:rPr>
                  </w:pPr>
                  <w:r>
                    <w:rPr>
                      <w:rFonts w:hint="default" w:ascii="Times New Roman" w:hAnsi="Times New Roman" w:eastAsia="宋体" w:cs="Times New Roman"/>
                      <w:i w:val="0"/>
                      <w:iCs w:val="0"/>
                      <w:color w:val="000000"/>
                      <w:kern w:val="0"/>
                      <w:sz w:val="18"/>
                      <w:szCs w:val="18"/>
                      <w:highlight w:val="none"/>
                      <w:u w:val="none"/>
                      <w:lang w:val="en-US" w:eastAsia="zh-CN" w:bidi="ar"/>
                    </w:rPr>
                    <w:t>猴饲养间、猴检疫间、隔离治疗间</w:t>
                  </w:r>
                </w:p>
              </w:tc>
            </w:tr>
            <w:tr w14:paraId="63C231D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0" w:hRule="atLeast"/>
              </w:trPr>
              <w:tc>
                <w:tcPr>
                  <w:tcW w:w="235" w:type="pct"/>
                  <w:tcBorders>
                    <w:tl2br w:val="nil"/>
                    <w:tr2bl w:val="nil"/>
                  </w:tcBorders>
                  <w:shd w:val="clear" w:color="auto" w:fill="FFFFFF"/>
                  <w:noWrap/>
                  <w:vAlign w:val="center"/>
                </w:tcPr>
                <w:p w14:paraId="2253548B">
                  <w:pPr>
                    <w:pStyle w:val="120"/>
                    <w:keepNext w:val="0"/>
                    <w:keepLines w:val="0"/>
                    <w:pageBreakBefore w:val="0"/>
                    <w:framePr w:hSpace="0" w:wrap="auto" w:vAnchor="margin" w:hAnchor="text" w:xAlign="left" w:yAlign="inline"/>
                    <w:suppressLineNumbers w:val="0"/>
                    <w:kinsoku/>
                    <w:wordWrap/>
                    <w:overflowPunct/>
                    <w:topLinePunct w:val="0"/>
                    <w:bidi w:val="0"/>
                    <w:adjustRightInd w:val="0"/>
                    <w:snapToGrid w:val="0"/>
                    <w:spacing w:before="0" w:beforeAutospacing="0" w:after="0" w:afterAutospacing="0" w:line="276" w:lineRule="auto"/>
                    <w:ind w:left="0" w:right="0"/>
                    <w:jc w:val="center"/>
                    <w:rPr>
                      <w:rFonts w:hint="default" w:ascii="Times New Roman" w:hAnsi="Times New Roman" w:eastAsia="宋体" w:cs="Times New Roman"/>
                      <w:color w:val="auto"/>
                      <w:sz w:val="18"/>
                      <w:szCs w:val="18"/>
                      <w:highlight w:val="none"/>
                      <w:lang w:val="en-US" w:eastAsia="zh-CN"/>
                    </w:rPr>
                  </w:pPr>
                  <w:r>
                    <w:rPr>
                      <w:rFonts w:hint="default" w:ascii="Times New Roman" w:hAnsi="Times New Roman" w:eastAsia="宋体" w:cs="Times New Roman"/>
                      <w:color w:val="auto"/>
                      <w:sz w:val="18"/>
                      <w:szCs w:val="18"/>
                      <w:highlight w:val="none"/>
                      <w:lang w:val="en-US" w:eastAsia="zh-CN"/>
                    </w:rPr>
                    <w:t>6</w:t>
                  </w:r>
                </w:p>
              </w:tc>
              <w:tc>
                <w:tcPr>
                  <w:tcW w:w="349" w:type="pct"/>
                  <w:vMerge w:val="continue"/>
                  <w:tcBorders>
                    <w:tl2br w:val="nil"/>
                    <w:tr2bl w:val="nil"/>
                  </w:tcBorders>
                  <w:shd w:val="clear" w:color="auto" w:fill="FFFFFF"/>
                  <w:vAlign w:val="center"/>
                </w:tcPr>
                <w:p w14:paraId="0B0B91C2">
                  <w:pPr>
                    <w:pStyle w:val="120"/>
                    <w:keepNext w:val="0"/>
                    <w:keepLines w:val="0"/>
                    <w:pageBreakBefore w:val="0"/>
                    <w:framePr w:hSpace="0" w:wrap="auto" w:vAnchor="margin" w:hAnchor="text" w:xAlign="left" w:yAlign="inline"/>
                    <w:suppressLineNumbers w:val="0"/>
                    <w:kinsoku/>
                    <w:wordWrap/>
                    <w:overflowPunct/>
                    <w:topLinePunct w:val="0"/>
                    <w:bidi w:val="0"/>
                    <w:adjustRightInd w:val="0"/>
                    <w:snapToGrid w:val="0"/>
                    <w:spacing w:before="0" w:beforeAutospacing="0" w:after="0" w:afterAutospacing="0" w:line="276" w:lineRule="auto"/>
                    <w:ind w:left="0" w:right="0"/>
                    <w:jc w:val="center"/>
                    <w:rPr>
                      <w:rFonts w:hint="default" w:ascii="Times New Roman" w:hAnsi="Times New Roman" w:eastAsia="宋体" w:cs="Times New Roman"/>
                      <w:color w:val="auto"/>
                      <w:sz w:val="18"/>
                      <w:szCs w:val="18"/>
                      <w:highlight w:val="none"/>
                      <w:lang w:val="en-US" w:eastAsia="zh-CN"/>
                    </w:rPr>
                  </w:pPr>
                </w:p>
              </w:tc>
              <w:tc>
                <w:tcPr>
                  <w:tcW w:w="1015" w:type="pct"/>
                  <w:tcBorders>
                    <w:tl2br w:val="nil"/>
                    <w:tr2bl w:val="nil"/>
                  </w:tcBorders>
                  <w:shd w:val="clear" w:color="auto" w:fill="FFFFFF"/>
                  <w:vAlign w:val="center"/>
                </w:tcPr>
                <w:p w14:paraId="43D57B60">
                  <w:pPr>
                    <w:keepNext w:val="0"/>
                    <w:keepLines w:val="0"/>
                    <w:pageBreakBefore w:val="0"/>
                    <w:widowControl/>
                    <w:suppressLineNumbers w:val="0"/>
                    <w:kinsoku/>
                    <w:wordWrap/>
                    <w:overflowPunct/>
                    <w:topLinePunct w:val="0"/>
                    <w:bidi w:val="0"/>
                    <w:adjustRightInd w:val="0"/>
                    <w:snapToGrid w:val="0"/>
                    <w:spacing w:before="0" w:beforeAutospacing="0" w:after="0" w:afterAutospacing="0" w:line="276" w:lineRule="auto"/>
                    <w:ind w:left="0" w:right="0"/>
                    <w:jc w:val="center"/>
                    <w:textAlignment w:val="center"/>
                    <w:rPr>
                      <w:rFonts w:hint="default" w:ascii="Times New Roman" w:hAnsi="Times New Roman" w:eastAsia="宋体" w:cs="Times New Roman"/>
                      <w:color w:val="auto"/>
                      <w:sz w:val="18"/>
                      <w:szCs w:val="18"/>
                      <w:highlight w:val="none"/>
                      <w:lang w:val="en-US" w:eastAsia="zh-CN"/>
                    </w:rPr>
                  </w:pPr>
                  <w:r>
                    <w:rPr>
                      <w:rFonts w:hint="default" w:ascii="Times New Roman" w:hAnsi="Times New Roman" w:eastAsia="宋体" w:cs="Times New Roman"/>
                      <w:i w:val="0"/>
                      <w:iCs w:val="0"/>
                      <w:color w:val="000000"/>
                      <w:kern w:val="0"/>
                      <w:sz w:val="18"/>
                      <w:szCs w:val="18"/>
                      <w:highlight w:val="none"/>
                      <w:u w:val="none"/>
                      <w:lang w:val="en-US" w:eastAsia="zh-CN" w:bidi="ar"/>
                    </w:rPr>
                    <w:t>不锈钢水冲洗式双层犬笼</w:t>
                  </w:r>
                </w:p>
              </w:tc>
              <w:tc>
                <w:tcPr>
                  <w:tcW w:w="1436" w:type="pct"/>
                  <w:tcBorders>
                    <w:tl2br w:val="nil"/>
                    <w:tr2bl w:val="nil"/>
                  </w:tcBorders>
                  <w:shd w:val="clear" w:color="auto" w:fill="FFFFFF"/>
                  <w:noWrap/>
                  <w:vAlign w:val="center"/>
                </w:tcPr>
                <w:p w14:paraId="1845AA53">
                  <w:pPr>
                    <w:keepNext w:val="0"/>
                    <w:keepLines w:val="0"/>
                    <w:pageBreakBefore w:val="0"/>
                    <w:widowControl/>
                    <w:suppressLineNumbers w:val="0"/>
                    <w:kinsoku/>
                    <w:wordWrap/>
                    <w:overflowPunct/>
                    <w:topLinePunct w:val="0"/>
                    <w:bidi w:val="0"/>
                    <w:adjustRightInd w:val="0"/>
                    <w:snapToGrid w:val="0"/>
                    <w:spacing w:before="0" w:beforeAutospacing="0" w:after="0" w:afterAutospacing="0" w:line="276" w:lineRule="auto"/>
                    <w:ind w:left="0" w:right="0"/>
                    <w:jc w:val="center"/>
                    <w:textAlignment w:val="center"/>
                    <w:rPr>
                      <w:rFonts w:hint="default" w:ascii="Times New Roman" w:hAnsi="Times New Roman" w:eastAsia="宋体" w:cs="Times New Roman"/>
                      <w:color w:val="auto"/>
                      <w:sz w:val="18"/>
                      <w:szCs w:val="18"/>
                      <w:highlight w:val="none"/>
                      <w:lang w:val="en-US" w:eastAsia="zh-CN"/>
                    </w:rPr>
                  </w:pPr>
                  <w:r>
                    <w:rPr>
                      <w:rFonts w:hint="default" w:ascii="Times New Roman" w:hAnsi="Times New Roman" w:eastAsia="宋体" w:cs="Times New Roman"/>
                      <w:i w:val="0"/>
                      <w:iCs w:val="0"/>
                      <w:color w:val="000000"/>
                      <w:kern w:val="0"/>
                      <w:sz w:val="18"/>
                      <w:szCs w:val="18"/>
                      <w:highlight w:val="none"/>
                      <w:u w:val="none"/>
                      <w:lang w:val="en-US" w:eastAsia="zh-CN" w:bidi="ar"/>
                    </w:rPr>
                    <w:t>1000</w:t>
                  </w:r>
                  <w:r>
                    <w:rPr>
                      <w:rFonts w:hint="default" w:ascii="Times New Roman" w:hAnsi="Times New Roman" w:eastAsia="宋体" w:cs="Times New Roman"/>
                      <w:color w:val="auto"/>
                      <w:sz w:val="18"/>
                      <w:szCs w:val="18"/>
                      <w:highlight w:val="none"/>
                      <w:lang w:val="en-US" w:eastAsia="zh-CN"/>
                    </w:rPr>
                    <w:t>mm</w:t>
                  </w:r>
                  <w:r>
                    <w:rPr>
                      <w:rFonts w:hint="default" w:ascii="Times New Roman" w:hAnsi="Times New Roman" w:eastAsia="宋体" w:cs="Times New Roman"/>
                      <w:i w:val="0"/>
                      <w:iCs w:val="0"/>
                      <w:color w:val="000000"/>
                      <w:kern w:val="0"/>
                      <w:sz w:val="18"/>
                      <w:szCs w:val="18"/>
                      <w:highlight w:val="none"/>
                      <w:u w:val="none"/>
                      <w:lang w:val="en-US" w:eastAsia="zh-CN" w:bidi="ar"/>
                    </w:rPr>
                    <w:t>×850</w:t>
                  </w:r>
                  <w:r>
                    <w:rPr>
                      <w:rFonts w:hint="default" w:ascii="Times New Roman" w:hAnsi="Times New Roman" w:eastAsia="宋体" w:cs="Times New Roman"/>
                      <w:color w:val="auto"/>
                      <w:sz w:val="18"/>
                      <w:szCs w:val="18"/>
                      <w:highlight w:val="none"/>
                      <w:lang w:val="en-US" w:eastAsia="zh-CN"/>
                    </w:rPr>
                    <w:t>mm</w:t>
                  </w:r>
                  <w:r>
                    <w:rPr>
                      <w:rFonts w:hint="default" w:ascii="Times New Roman" w:hAnsi="Times New Roman" w:eastAsia="宋体" w:cs="Times New Roman"/>
                      <w:i w:val="0"/>
                      <w:iCs w:val="0"/>
                      <w:color w:val="000000"/>
                      <w:kern w:val="0"/>
                      <w:sz w:val="18"/>
                      <w:szCs w:val="18"/>
                      <w:highlight w:val="none"/>
                      <w:u w:val="none"/>
                      <w:lang w:val="en-US" w:eastAsia="zh-CN" w:bidi="ar"/>
                    </w:rPr>
                    <w:t>×2130</w:t>
                  </w:r>
                  <w:r>
                    <w:rPr>
                      <w:rFonts w:hint="default" w:ascii="Times New Roman" w:hAnsi="Times New Roman" w:eastAsia="宋体" w:cs="Times New Roman"/>
                      <w:color w:val="auto"/>
                      <w:sz w:val="18"/>
                      <w:szCs w:val="18"/>
                      <w:highlight w:val="none"/>
                      <w:lang w:val="en-US" w:eastAsia="zh-CN"/>
                    </w:rPr>
                    <w:t>mm</w:t>
                  </w:r>
                </w:p>
              </w:tc>
              <w:tc>
                <w:tcPr>
                  <w:tcW w:w="284" w:type="pct"/>
                  <w:tcBorders>
                    <w:tl2br w:val="nil"/>
                    <w:tr2bl w:val="nil"/>
                  </w:tcBorders>
                  <w:shd w:val="clear" w:color="auto" w:fill="FFFFFF"/>
                  <w:vAlign w:val="center"/>
                </w:tcPr>
                <w:p w14:paraId="6F6D54B5">
                  <w:pPr>
                    <w:keepNext w:val="0"/>
                    <w:keepLines w:val="0"/>
                    <w:pageBreakBefore w:val="0"/>
                    <w:widowControl/>
                    <w:suppressLineNumbers w:val="0"/>
                    <w:kinsoku/>
                    <w:wordWrap/>
                    <w:overflowPunct/>
                    <w:topLinePunct w:val="0"/>
                    <w:bidi w:val="0"/>
                    <w:adjustRightInd w:val="0"/>
                    <w:snapToGrid w:val="0"/>
                    <w:spacing w:before="0" w:beforeAutospacing="0" w:after="0" w:afterAutospacing="0" w:line="276" w:lineRule="auto"/>
                    <w:ind w:left="0" w:right="0"/>
                    <w:jc w:val="center"/>
                    <w:textAlignment w:val="center"/>
                    <w:rPr>
                      <w:rFonts w:hint="default" w:ascii="Times New Roman" w:hAnsi="Times New Roman" w:eastAsia="宋体" w:cs="Times New Roman"/>
                      <w:color w:val="auto"/>
                      <w:kern w:val="2"/>
                      <w:sz w:val="18"/>
                      <w:szCs w:val="18"/>
                      <w:highlight w:val="none"/>
                      <w:lang w:val="en-US" w:eastAsia="zh-CN" w:bidi="ar-SA"/>
                    </w:rPr>
                  </w:pPr>
                  <w:r>
                    <w:rPr>
                      <w:rFonts w:hint="default" w:ascii="Times New Roman" w:hAnsi="Times New Roman" w:eastAsia="宋体" w:cs="Times New Roman"/>
                      <w:i w:val="0"/>
                      <w:iCs w:val="0"/>
                      <w:color w:val="000000"/>
                      <w:kern w:val="0"/>
                      <w:sz w:val="18"/>
                      <w:szCs w:val="18"/>
                      <w:highlight w:val="none"/>
                      <w:u w:val="none"/>
                      <w:lang w:val="en-US" w:eastAsia="zh-CN" w:bidi="ar"/>
                    </w:rPr>
                    <w:t>40</w:t>
                  </w:r>
                </w:p>
              </w:tc>
              <w:tc>
                <w:tcPr>
                  <w:tcW w:w="1678" w:type="pct"/>
                  <w:tcBorders>
                    <w:tl2br w:val="nil"/>
                    <w:tr2bl w:val="nil"/>
                  </w:tcBorders>
                  <w:shd w:val="clear" w:color="auto" w:fill="FFFFFF"/>
                  <w:vAlign w:val="center"/>
                </w:tcPr>
                <w:p w14:paraId="29A3F343">
                  <w:pPr>
                    <w:keepNext w:val="0"/>
                    <w:keepLines w:val="0"/>
                    <w:pageBreakBefore w:val="0"/>
                    <w:widowControl/>
                    <w:suppressLineNumbers w:val="0"/>
                    <w:kinsoku/>
                    <w:wordWrap/>
                    <w:overflowPunct/>
                    <w:topLinePunct w:val="0"/>
                    <w:bidi w:val="0"/>
                    <w:adjustRightInd w:val="0"/>
                    <w:snapToGrid w:val="0"/>
                    <w:spacing w:before="0" w:beforeAutospacing="0" w:after="0" w:afterAutospacing="0" w:line="276" w:lineRule="auto"/>
                    <w:ind w:left="0" w:right="0"/>
                    <w:jc w:val="center"/>
                    <w:textAlignment w:val="center"/>
                    <w:rPr>
                      <w:rFonts w:hint="default" w:ascii="Times New Roman" w:hAnsi="Times New Roman" w:eastAsia="宋体" w:cs="Times New Roman"/>
                      <w:color w:val="auto"/>
                      <w:sz w:val="18"/>
                      <w:szCs w:val="18"/>
                      <w:highlight w:val="none"/>
                      <w:lang w:val="en-US" w:eastAsia="zh-CN"/>
                    </w:rPr>
                  </w:pPr>
                  <w:r>
                    <w:rPr>
                      <w:rFonts w:hint="default" w:ascii="Times New Roman" w:hAnsi="Times New Roman" w:eastAsia="宋体" w:cs="Times New Roman"/>
                      <w:i w:val="0"/>
                      <w:iCs w:val="0"/>
                      <w:color w:val="000000"/>
                      <w:kern w:val="0"/>
                      <w:sz w:val="18"/>
                      <w:szCs w:val="18"/>
                      <w:highlight w:val="none"/>
                      <w:u w:val="none"/>
                      <w:lang w:val="en-US" w:eastAsia="zh-CN" w:bidi="ar"/>
                    </w:rPr>
                    <w:t>犬饲养间、犬检疫间</w:t>
                  </w:r>
                </w:p>
              </w:tc>
            </w:tr>
            <w:tr w14:paraId="700C46B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FFFFFF"/>
                <w:tblCellMar>
                  <w:top w:w="0" w:type="dxa"/>
                  <w:left w:w="28" w:type="dxa"/>
                  <w:bottom w:w="0" w:type="dxa"/>
                  <w:right w:w="28" w:type="dxa"/>
                </w:tblCellMar>
              </w:tblPrEx>
              <w:trPr>
                <w:trHeight w:val="0" w:hRule="atLeast"/>
              </w:trPr>
              <w:tc>
                <w:tcPr>
                  <w:tcW w:w="235" w:type="pct"/>
                  <w:tcBorders>
                    <w:tl2br w:val="nil"/>
                    <w:tr2bl w:val="nil"/>
                  </w:tcBorders>
                  <w:shd w:val="clear" w:color="auto" w:fill="FFFFFF"/>
                  <w:noWrap/>
                  <w:vAlign w:val="center"/>
                </w:tcPr>
                <w:p w14:paraId="114E8564">
                  <w:pPr>
                    <w:pStyle w:val="120"/>
                    <w:keepNext w:val="0"/>
                    <w:keepLines w:val="0"/>
                    <w:pageBreakBefore w:val="0"/>
                    <w:framePr w:hSpace="0" w:wrap="auto" w:vAnchor="margin" w:hAnchor="text" w:xAlign="left" w:yAlign="inline"/>
                    <w:suppressLineNumbers w:val="0"/>
                    <w:kinsoku/>
                    <w:wordWrap/>
                    <w:overflowPunct/>
                    <w:topLinePunct w:val="0"/>
                    <w:bidi w:val="0"/>
                    <w:adjustRightInd w:val="0"/>
                    <w:snapToGrid w:val="0"/>
                    <w:spacing w:before="0" w:beforeAutospacing="0" w:after="0" w:afterAutospacing="0" w:line="276" w:lineRule="auto"/>
                    <w:ind w:left="0" w:right="0"/>
                    <w:jc w:val="center"/>
                    <w:rPr>
                      <w:rFonts w:hint="default" w:ascii="Times New Roman" w:hAnsi="Times New Roman" w:eastAsia="宋体" w:cs="Times New Roman"/>
                      <w:color w:val="auto"/>
                      <w:sz w:val="18"/>
                      <w:szCs w:val="18"/>
                      <w:highlight w:val="none"/>
                      <w:lang w:val="en-US" w:eastAsia="zh-CN"/>
                    </w:rPr>
                  </w:pPr>
                  <w:r>
                    <w:rPr>
                      <w:rFonts w:hint="default" w:ascii="Times New Roman" w:hAnsi="Times New Roman" w:eastAsia="宋体" w:cs="Times New Roman"/>
                      <w:color w:val="auto"/>
                      <w:sz w:val="18"/>
                      <w:szCs w:val="18"/>
                      <w:highlight w:val="none"/>
                      <w:lang w:val="en-US" w:eastAsia="zh-CN"/>
                    </w:rPr>
                    <w:t>7</w:t>
                  </w:r>
                </w:p>
              </w:tc>
              <w:tc>
                <w:tcPr>
                  <w:tcW w:w="349" w:type="pct"/>
                  <w:vMerge w:val="continue"/>
                  <w:tcBorders>
                    <w:tl2br w:val="nil"/>
                    <w:tr2bl w:val="nil"/>
                  </w:tcBorders>
                  <w:shd w:val="clear" w:color="auto" w:fill="FFFFFF"/>
                  <w:vAlign w:val="center"/>
                </w:tcPr>
                <w:p w14:paraId="506F91DD">
                  <w:pPr>
                    <w:pStyle w:val="120"/>
                    <w:keepNext w:val="0"/>
                    <w:keepLines w:val="0"/>
                    <w:pageBreakBefore w:val="0"/>
                    <w:framePr w:hSpace="0" w:wrap="auto" w:vAnchor="margin" w:hAnchor="text" w:xAlign="left" w:yAlign="inline"/>
                    <w:suppressLineNumbers w:val="0"/>
                    <w:kinsoku/>
                    <w:wordWrap/>
                    <w:overflowPunct/>
                    <w:topLinePunct w:val="0"/>
                    <w:bidi w:val="0"/>
                    <w:adjustRightInd w:val="0"/>
                    <w:snapToGrid w:val="0"/>
                    <w:spacing w:before="0" w:beforeAutospacing="0" w:after="0" w:afterAutospacing="0" w:line="276" w:lineRule="auto"/>
                    <w:ind w:left="0" w:right="0"/>
                    <w:jc w:val="center"/>
                    <w:rPr>
                      <w:rFonts w:hint="default" w:ascii="Times New Roman" w:hAnsi="Times New Roman" w:eastAsia="宋体" w:cs="Times New Roman"/>
                      <w:color w:val="auto"/>
                      <w:sz w:val="18"/>
                      <w:szCs w:val="18"/>
                      <w:highlight w:val="none"/>
                      <w:lang w:val="en-US" w:eastAsia="zh-CN"/>
                    </w:rPr>
                  </w:pPr>
                </w:p>
              </w:tc>
              <w:tc>
                <w:tcPr>
                  <w:tcW w:w="1015" w:type="pct"/>
                  <w:tcBorders>
                    <w:tl2br w:val="nil"/>
                    <w:tr2bl w:val="nil"/>
                  </w:tcBorders>
                  <w:shd w:val="clear" w:color="auto" w:fill="FFFFFF"/>
                  <w:vAlign w:val="center"/>
                </w:tcPr>
                <w:p w14:paraId="1E2E9B64">
                  <w:pPr>
                    <w:keepNext w:val="0"/>
                    <w:keepLines w:val="0"/>
                    <w:pageBreakBefore w:val="0"/>
                    <w:widowControl/>
                    <w:suppressLineNumbers w:val="0"/>
                    <w:kinsoku/>
                    <w:wordWrap/>
                    <w:overflowPunct/>
                    <w:topLinePunct w:val="0"/>
                    <w:bidi w:val="0"/>
                    <w:adjustRightInd w:val="0"/>
                    <w:snapToGrid w:val="0"/>
                    <w:spacing w:before="0" w:beforeAutospacing="0" w:after="0" w:afterAutospacing="0" w:line="276" w:lineRule="auto"/>
                    <w:ind w:left="0" w:right="0"/>
                    <w:jc w:val="center"/>
                    <w:textAlignment w:val="center"/>
                    <w:rPr>
                      <w:rFonts w:hint="default" w:ascii="Times New Roman" w:hAnsi="Times New Roman" w:eastAsia="宋体" w:cs="Times New Roman"/>
                      <w:color w:val="auto"/>
                      <w:sz w:val="18"/>
                      <w:szCs w:val="18"/>
                      <w:highlight w:val="none"/>
                      <w:lang w:val="en-US" w:eastAsia="zh-CN"/>
                    </w:rPr>
                  </w:pPr>
                  <w:r>
                    <w:rPr>
                      <w:rFonts w:hint="default" w:ascii="Times New Roman" w:hAnsi="Times New Roman" w:eastAsia="宋体" w:cs="Times New Roman"/>
                      <w:i w:val="0"/>
                      <w:iCs w:val="0"/>
                      <w:color w:val="000000"/>
                      <w:kern w:val="0"/>
                      <w:sz w:val="18"/>
                      <w:szCs w:val="18"/>
                      <w:highlight w:val="none"/>
                      <w:u w:val="none"/>
                      <w:lang w:val="en-US" w:eastAsia="zh-CN" w:bidi="ar"/>
                    </w:rPr>
                    <w:t>水冲洗式豚鼠笼</w:t>
                  </w:r>
                </w:p>
              </w:tc>
              <w:tc>
                <w:tcPr>
                  <w:tcW w:w="1436" w:type="pct"/>
                  <w:tcBorders>
                    <w:tl2br w:val="nil"/>
                    <w:tr2bl w:val="nil"/>
                  </w:tcBorders>
                  <w:shd w:val="clear" w:color="auto" w:fill="FFFFFF"/>
                  <w:noWrap/>
                  <w:vAlign w:val="center"/>
                </w:tcPr>
                <w:p w14:paraId="3E2E3399">
                  <w:pPr>
                    <w:keepNext w:val="0"/>
                    <w:keepLines w:val="0"/>
                    <w:pageBreakBefore w:val="0"/>
                    <w:widowControl/>
                    <w:suppressLineNumbers w:val="0"/>
                    <w:kinsoku/>
                    <w:wordWrap/>
                    <w:overflowPunct/>
                    <w:topLinePunct w:val="0"/>
                    <w:bidi w:val="0"/>
                    <w:adjustRightInd w:val="0"/>
                    <w:snapToGrid w:val="0"/>
                    <w:spacing w:before="0" w:beforeAutospacing="0" w:after="0" w:afterAutospacing="0" w:line="276" w:lineRule="auto"/>
                    <w:ind w:left="0" w:right="0"/>
                    <w:jc w:val="center"/>
                    <w:textAlignment w:val="center"/>
                    <w:rPr>
                      <w:rFonts w:hint="default" w:ascii="Times New Roman" w:hAnsi="Times New Roman" w:eastAsia="宋体" w:cs="Times New Roman"/>
                      <w:color w:val="auto"/>
                      <w:sz w:val="18"/>
                      <w:szCs w:val="18"/>
                      <w:highlight w:val="none"/>
                      <w:lang w:val="en-US" w:eastAsia="zh-CN"/>
                    </w:rPr>
                  </w:pPr>
                  <w:r>
                    <w:rPr>
                      <w:rFonts w:hint="default" w:ascii="Times New Roman" w:hAnsi="Times New Roman" w:eastAsia="宋体" w:cs="Times New Roman"/>
                      <w:i w:val="0"/>
                      <w:iCs w:val="0"/>
                      <w:color w:val="000000"/>
                      <w:kern w:val="0"/>
                      <w:sz w:val="18"/>
                      <w:szCs w:val="18"/>
                      <w:highlight w:val="none"/>
                      <w:u w:val="none"/>
                      <w:lang w:val="en-US" w:eastAsia="zh-CN" w:bidi="ar"/>
                    </w:rPr>
                    <w:t>2030</w:t>
                  </w:r>
                  <w:r>
                    <w:rPr>
                      <w:rFonts w:hint="default" w:ascii="Times New Roman" w:hAnsi="Times New Roman" w:eastAsia="宋体" w:cs="Times New Roman"/>
                      <w:color w:val="auto"/>
                      <w:sz w:val="18"/>
                      <w:szCs w:val="18"/>
                      <w:highlight w:val="none"/>
                      <w:lang w:val="en-US" w:eastAsia="zh-CN"/>
                    </w:rPr>
                    <w:t>mm</w:t>
                  </w:r>
                  <w:r>
                    <w:rPr>
                      <w:rFonts w:hint="default" w:ascii="Times New Roman" w:hAnsi="Times New Roman" w:eastAsia="宋体" w:cs="Times New Roman"/>
                      <w:i w:val="0"/>
                      <w:iCs w:val="0"/>
                      <w:color w:val="000000"/>
                      <w:kern w:val="0"/>
                      <w:sz w:val="18"/>
                      <w:szCs w:val="18"/>
                      <w:highlight w:val="none"/>
                      <w:u w:val="none"/>
                      <w:lang w:val="en-US" w:eastAsia="zh-CN" w:bidi="ar"/>
                    </w:rPr>
                    <w:t>×650</w:t>
                  </w:r>
                  <w:r>
                    <w:rPr>
                      <w:rFonts w:hint="default" w:ascii="Times New Roman" w:hAnsi="Times New Roman" w:eastAsia="宋体" w:cs="Times New Roman"/>
                      <w:color w:val="auto"/>
                      <w:sz w:val="18"/>
                      <w:szCs w:val="18"/>
                      <w:highlight w:val="none"/>
                      <w:lang w:val="en-US" w:eastAsia="zh-CN"/>
                    </w:rPr>
                    <w:t>mm</w:t>
                  </w:r>
                  <w:r>
                    <w:rPr>
                      <w:rFonts w:hint="default" w:ascii="Times New Roman" w:hAnsi="Times New Roman" w:eastAsia="宋体" w:cs="Times New Roman"/>
                      <w:i w:val="0"/>
                      <w:iCs w:val="0"/>
                      <w:color w:val="000000"/>
                      <w:kern w:val="0"/>
                      <w:sz w:val="18"/>
                      <w:szCs w:val="18"/>
                      <w:highlight w:val="none"/>
                      <w:u w:val="none"/>
                      <w:lang w:val="en-US" w:eastAsia="zh-CN" w:bidi="ar"/>
                    </w:rPr>
                    <w:t>×1820</w:t>
                  </w:r>
                  <w:r>
                    <w:rPr>
                      <w:rFonts w:hint="default" w:ascii="Times New Roman" w:hAnsi="Times New Roman" w:eastAsia="宋体" w:cs="Times New Roman"/>
                      <w:color w:val="auto"/>
                      <w:sz w:val="18"/>
                      <w:szCs w:val="18"/>
                      <w:highlight w:val="none"/>
                      <w:lang w:val="en-US" w:eastAsia="zh-CN"/>
                    </w:rPr>
                    <w:t>mm</w:t>
                  </w:r>
                </w:p>
              </w:tc>
              <w:tc>
                <w:tcPr>
                  <w:tcW w:w="284" w:type="pct"/>
                  <w:tcBorders>
                    <w:tl2br w:val="nil"/>
                    <w:tr2bl w:val="nil"/>
                  </w:tcBorders>
                  <w:shd w:val="clear" w:color="auto" w:fill="FFFFFF"/>
                  <w:vAlign w:val="center"/>
                </w:tcPr>
                <w:p w14:paraId="0871EC0B">
                  <w:pPr>
                    <w:keepNext w:val="0"/>
                    <w:keepLines w:val="0"/>
                    <w:pageBreakBefore w:val="0"/>
                    <w:widowControl/>
                    <w:suppressLineNumbers w:val="0"/>
                    <w:kinsoku/>
                    <w:wordWrap/>
                    <w:overflowPunct/>
                    <w:topLinePunct w:val="0"/>
                    <w:bidi w:val="0"/>
                    <w:adjustRightInd w:val="0"/>
                    <w:snapToGrid w:val="0"/>
                    <w:spacing w:before="0" w:beforeAutospacing="0" w:after="0" w:afterAutospacing="0" w:line="276" w:lineRule="auto"/>
                    <w:ind w:left="0" w:right="0"/>
                    <w:jc w:val="center"/>
                    <w:textAlignment w:val="center"/>
                    <w:rPr>
                      <w:rFonts w:hint="default" w:ascii="Times New Roman" w:hAnsi="Times New Roman" w:eastAsia="宋体" w:cs="Times New Roman"/>
                      <w:color w:val="auto"/>
                      <w:kern w:val="2"/>
                      <w:sz w:val="18"/>
                      <w:szCs w:val="18"/>
                      <w:highlight w:val="none"/>
                      <w:lang w:val="en-US" w:eastAsia="zh-CN" w:bidi="ar-SA"/>
                    </w:rPr>
                  </w:pPr>
                  <w:r>
                    <w:rPr>
                      <w:rFonts w:hint="default" w:ascii="Times New Roman" w:hAnsi="Times New Roman" w:eastAsia="宋体" w:cs="Times New Roman"/>
                      <w:i w:val="0"/>
                      <w:iCs w:val="0"/>
                      <w:color w:val="000000"/>
                      <w:kern w:val="0"/>
                      <w:sz w:val="18"/>
                      <w:szCs w:val="18"/>
                      <w:highlight w:val="none"/>
                      <w:u w:val="none"/>
                      <w:lang w:val="en-US" w:eastAsia="zh-CN" w:bidi="ar"/>
                    </w:rPr>
                    <w:t>6</w:t>
                  </w:r>
                </w:p>
              </w:tc>
              <w:tc>
                <w:tcPr>
                  <w:tcW w:w="1678" w:type="pct"/>
                  <w:tcBorders>
                    <w:tl2br w:val="nil"/>
                    <w:tr2bl w:val="nil"/>
                  </w:tcBorders>
                  <w:shd w:val="clear" w:color="auto" w:fill="FFFFFF"/>
                  <w:vAlign w:val="center"/>
                </w:tcPr>
                <w:p w14:paraId="1C9CD662">
                  <w:pPr>
                    <w:keepNext w:val="0"/>
                    <w:keepLines w:val="0"/>
                    <w:pageBreakBefore w:val="0"/>
                    <w:widowControl/>
                    <w:suppressLineNumbers w:val="0"/>
                    <w:kinsoku/>
                    <w:wordWrap/>
                    <w:overflowPunct/>
                    <w:topLinePunct w:val="0"/>
                    <w:bidi w:val="0"/>
                    <w:adjustRightInd w:val="0"/>
                    <w:snapToGrid w:val="0"/>
                    <w:spacing w:before="0" w:beforeAutospacing="0" w:after="0" w:afterAutospacing="0" w:line="276" w:lineRule="auto"/>
                    <w:ind w:left="0" w:right="0"/>
                    <w:jc w:val="center"/>
                    <w:textAlignment w:val="center"/>
                    <w:rPr>
                      <w:rFonts w:hint="default" w:ascii="Times New Roman" w:hAnsi="Times New Roman" w:eastAsia="宋体" w:cs="Times New Roman"/>
                      <w:color w:val="auto"/>
                      <w:sz w:val="18"/>
                      <w:szCs w:val="18"/>
                      <w:highlight w:val="none"/>
                      <w:lang w:val="en-US" w:eastAsia="zh-CN"/>
                    </w:rPr>
                  </w:pPr>
                  <w:r>
                    <w:rPr>
                      <w:rFonts w:hint="default" w:ascii="Times New Roman" w:hAnsi="Times New Roman" w:eastAsia="宋体" w:cs="Times New Roman"/>
                      <w:i w:val="0"/>
                      <w:iCs w:val="0"/>
                      <w:color w:val="000000"/>
                      <w:kern w:val="0"/>
                      <w:sz w:val="18"/>
                      <w:szCs w:val="18"/>
                      <w:highlight w:val="none"/>
                      <w:u w:val="none"/>
                      <w:lang w:val="en-US" w:eastAsia="zh-CN" w:bidi="ar"/>
                    </w:rPr>
                    <w:t>豚鼠饲养间、检疫室</w:t>
                  </w:r>
                </w:p>
              </w:tc>
            </w:tr>
            <w:tr w14:paraId="13B682D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FFFFFF"/>
                <w:tblCellMar>
                  <w:top w:w="0" w:type="dxa"/>
                  <w:left w:w="28" w:type="dxa"/>
                  <w:bottom w:w="0" w:type="dxa"/>
                  <w:right w:w="28" w:type="dxa"/>
                </w:tblCellMar>
              </w:tblPrEx>
              <w:trPr>
                <w:trHeight w:val="0" w:hRule="atLeast"/>
              </w:trPr>
              <w:tc>
                <w:tcPr>
                  <w:tcW w:w="235" w:type="pct"/>
                  <w:tcBorders>
                    <w:tl2br w:val="nil"/>
                    <w:tr2bl w:val="nil"/>
                  </w:tcBorders>
                  <w:shd w:val="clear" w:color="auto" w:fill="FFFFFF"/>
                  <w:noWrap/>
                  <w:vAlign w:val="center"/>
                </w:tcPr>
                <w:p w14:paraId="14326883">
                  <w:pPr>
                    <w:pStyle w:val="120"/>
                    <w:keepNext w:val="0"/>
                    <w:keepLines w:val="0"/>
                    <w:pageBreakBefore w:val="0"/>
                    <w:framePr w:hSpace="0" w:wrap="auto" w:vAnchor="margin" w:hAnchor="text" w:xAlign="left" w:yAlign="inline"/>
                    <w:suppressLineNumbers w:val="0"/>
                    <w:kinsoku/>
                    <w:wordWrap/>
                    <w:overflowPunct/>
                    <w:topLinePunct w:val="0"/>
                    <w:bidi w:val="0"/>
                    <w:adjustRightInd w:val="0"/>
                    <w:snapToGrid w:val="0"/>
                    <w:spacing w:before="0" w:beforeAutospacing="0" w:after="0" w:afterAutospacing="0" w:line="276" w:lineRule="auto"/>
                    <w:ind w:left="0" w:right="0"/>
                    <w:jc w:val="center"/>
                    <w:rPr>
                      <w:rFonts w:hint="default" w:ascii="Times New Roman" w:hAnsi="Times New Roman" w:eastAsia="宋体" w:cs="Times New Roman"/>
                      <w:color w:val="auto"/>
                      <w:sz w:val="18"/>
                      <w:szCs w:val="18"/>
                      <w:highlight w:val="none"/>
                      <w:lang w:val="en-US" w:eastAsia="zh-CN"/>
                    </w:rPr>
                  </w:pPr>
                  <w:r>
                    <w:rPr>
                      <w:rFonts w:hint="default" w:ascii="Times New Roman" w:hAnsi="Times New Roman" w:eastAsia="宋体" w:cs="Times New Roman"/>
                      <w:color w:val="auto"/>
                      <w:sz w:val="18"/>
                      <w:szCs w:val="18"/>
                      <w:highlight w:val="none"/>
                      <w:lang w:val="en-US" w:eastAsia="zh-CN"/>
                    </w:rPr>
                    <w:t>8</w:t>
                  </w:r>
                </w:p>
              </w:tc>
              <w:tc>
                <w:tcPr>
                  <w:tcW w:w="349" w:type="pct"/>
                  <w:vMerge w:val="continue"/>
                  <w:tcBorders>
                    <w:tl2br w:val="nil"/>
                    <w:tr2bl w:val="nil"/>
                  </w:tcBorders>
                  <w:shd w:val="clear" w:color="auto" w:fill="FFFFFF"/>
                  <w:vAlign w:val="center"/>
                </w:tcPr>
                <w:p w14:paraId="5E4D5A4C">
                  <w:pPr>
                    <w:pStyle w:val="120"/>
                    <w:keepNext w:val="0"/>
                    <w:keepLines w:val="0"/>
                    <w:pageBreakBefore w:val="0"/>
                    <w:framePr w:hSpace="0" w:wrap="auto" w:vAnchor="margin" w:hAnchor="text" w:xAlign="left" w:yAlign="inline"/>
                    <w:suppressLineNumbers w:val="0"/>
                    <w:kinsoku/>
                    <w:wordWrap/>
                    <w:overflowPunct/>
                    <w:topLinePunct w:val="0"/>
                    <w:bidi w:val="0"/>
                    <w:adjustRightInd w:val="0"/>
                    <w:snapToGrid w:val="0"/>
                    <w:spacing w:before="0" w:beforeAutospacing="0" w:after="0" w:afterAutospacing="0" w:line="276" w:lineRule="auto"/>
                    <w:ind w:left="0" w:right="0"/>
                    <w:jc w:val="center"/>
                    <w:rPr>
                      <w:rFonts w:hint="default" w:ascii="Times New Roman" w:hAnsi="Times New Roman" w:eastAsia="宋体" w:cs="Times New Roman"/>
                      <w:color w:val="auto"/>
                      <w:sz w:val="18"/>
                      <w:szCs w:val="18"/>
                      <w:highlight w:val="none"/>
                      <w:lang w:val="en-US" w:eastAsia="zh-CN"/>
                    </w:rPr>
                  </w:pPr>
                </w:p>
              </w:tc>
              <w:tc>
                <w:tcPr>
                  <w:tcW w:w="1015" w:type="pct"/>
                  <w:tcBorders>
                    <w:tl2br w:val="nil"/>
                    <w:tr2bl w:val="nil"/>
                  </w:tcBorders>
                  <w:shd w:val="clear" w:color="auto" w:fill="FFFFFF"/>
                  <w:vAlign w:val="center"/>
                </w:tcPr>
                <w:p w14:paraId="0E3260D1">
                  <w:pPr>
                    <w:keepNext w:val="0"/>
                    <w:keepLines w:val="0"/>
                    <w:pageBreakBefore w:val="0"/>
                    <w:widowControl/>
                    <w:suppressLineNumbers w:val="0"/>
                    <w:kinsoku/>
                    <w:wordWrap/>
                    <w:overflowPunct/>
                    <w:topLinePunct w:val="0"/>
                    <w:bidi w:val="0"/>
                    <w:adjustRightInd w:val="0"/>
                    <w:snapToGrid w:val="0"/>
                    <w:spacing w:before="0" w:beforeAutospacing="0" w:after="0" w:afterAutospacing="0" w:line="276" w:lineRule="auto"/>
                    <w:ind w:left="0" w:right="0"/>
                    <w:jc w:val="center"/>
                    <w:textAlignment w:val="center"/>
                    <w:rPr>
                      <w:rFonts w:hint="default" w:ascii="Times New Roman" w:hAnsi="Times New Roman" w:eastAsia="宋体" w:cs="Times New Roman"/>
                      <w:color w:val="auto"/>
                      <w:sz w:val="18"/>
                      <w:szCs w:val="18"/>
                      <w:highlight w:val="none"/>
                      <w:lang w:val="en-US" w:eastAsia="zh-CN"/>
                    </w:rPr>
                  </w:pPr>
                  <w:r>
                    <w:rPr>
                      <w:rFonts w:hint="default" w:ascii="Times New Roman" w:hAnsi="Times New Roman" w:eastAsia="宋体" w:cs="Times New Roman"/>
                      <w:i w:val="0"/>
                      <w:iCs w:val="0"/>
                      <w:color w:val="000000"/>
                      <w:kern w:val="0"/>
                      <w:sz w:val="18"/>
                      <w:szCs w:val="18"/>
                      <w:highlight w:val="none"/>
                      <w:u w:val="none"/>
                      <w:lang w:val="en-US" w:eastAsia="zh-CN" w:bidi="ar"/>
                    </w:rPr>
                    <w:t>6位干式兔笼</w:t>
                  </w:r>
                </w:p>
              </w:tc>
              <w:tc>
                <w:tcPr>
                  <w:tcW w:w="1436" w:type="pct"/>
                  <w:tcBorders>
                    <w:tl2br w:val="nil"/>
                    <w:tr2bl w:val="nil"/>
                  </w:tcBorders>
                  <w:shd w:val="clear" w:color="auto" w:fill="FFFFFF"/>
                  <w:noWrap/>
                  <w:vAlign w:val="center"/>
                </w:tcPr>
                <w:p w14:paraId="0132B5EB">
                  <w:pPr>
                    <w:keepNext w:val="0"/>
                    <w:keepLines w:val="0"/>
                    <w:pageBreakBefore w:val="0"/>
                    <w:widowControl/>
                    <w:suppressLineNumbers w:val="0"/>
                    <w:kinsoku/>
                    <w:wordWrap/>
                    <w:overflowPunct/>
                    <w:topLinePunct w:val="0"/>
                    <w:bidi w:val="0"/>
                    <w:adjustRightInd w:val="0"/>
                    <w:snapToGrid w:val="0"/>
                    <w:spacing w:before="0" w:beforeAutospacing="0" w:after="0" w:afterAutospacing="0" w:line="276" w:lineRule="auto"/>
                    <w:ind w:left="0" w:right="0"/>
                    <w:jc w:val="center"/>
                    <w:textAlignment w:val="center"/>
                    <w:rPr>
                      <w:rFonts w:hint="default" w:ascii="Times New Roman" w:hAnsi="Times New Roman" w:eastAsia="宋体" w:cs="Times New Roman"/>
                      <w:color w:val="auto"/>
                      <w:sz w:val="18"/>
                      <w:szCs w:val="18"/>
                      <w:highlight w:val="none"/>
                      <w:lang w:val="en-US" w:eastAsia="zh-CN"/>
                    </w:rPr>
                  </w:pPr>
                  <w:r>
                    <w:rPr>
                      <w:rFonts w:hint="default" w:ascii="Times New Roman" w:hAnsi="Times New Roman" w:eastAsia="宋体" w:cs="Times New Roman"/>
                      <w:i w:val="0"/>
                      <w:iCs w:val="0"/>
                      <w:color w:val="000000"/>
                      <w:kern w:val="0"/>
                      <w:sz w:val="18"/>
                      <w:szCs w:val="18"/>
                      <w:highlight w:val="none"/>
                      <w:u w:val="none"/>
                      <w:lang w:val="en-US" w:eastAsia="zh-CN" w:bidi="ar"/>
                    </w:rPr>
                    <w:t>1600</w:t>
                  </w:r>
                  <w:r>
                    <w:rPr>
                      <w:rFonts w:hint="default" w:ascii="Times New Roman" w:hAnsi="Times New Roman" w:eastAsia="宋体" w:cs="Times New Roman"/>
                      <w:color w:val="auto"/>
                      <w:sz w:val="18"/>
                      <w:szCs w:val="18"/>
                      <w:highlight w:val="none"/>
                      <w:lang w:val="en-US" w:eastAsia="zh-CN"/>
                    </w:rPr>
                    <w:t>mm</w:t>
                  </w:r>
                  <w:r>
                    <w:rPr>
                      <w:rFonts w:hint="default" w:ascii="Times New Roman" w:hAnsi="Times New Roman" w:eastAsia="宋体" w:cs="Times New Roman"/>
                      <w:i w:val="0"/>
                      <w:iCs w:val="0"/>
                      <w:color w:val="000000"/>
                      <w:kern w:val="0"/>
                      <w:sz w:val="18"/>
                      <w:szCs w:val="18"/>
                      <w:highlight w:val="none"/>
                      <w:u w:val="none"/>
                      <w:lang w:val="en-US" w:eastAsia="zh-CN" w:bidi="ar"/>
                    </w:rPr>
                    <w:t>×650</w:t>
                  </w:r>
                  <w:r>
                    <w:rPr>
                      <w:rFonts w:hint="default" w:ascii="Times New Roman" w:hAnsi="Times New Roman" w:eastAsia="宋体" w:cs="Times New Roman"/>
                      <w:color w:val="auto"/>
                      <w:sz w:val="18"/>
                      <w:szCs w:val="18"/>
                      <w:highlight w:val="none"/>
                      <w:lang w:val="en-US" w:eastAsia="zh-CN"/>
                    </w:rPr>
                    <w:t>mm</w:t>
                  </w:r>
                  <w:r>
                    <w:rPr>
                      <w:rFonts w:hint="default" w:ascii="Times New Roman" w:hAnsi="Times New Roman" w:eastAsia="宋体" w:cs="Times New Roman"/>
                      <w:i w:val="0"/>
                      <w:iCs w:val="0"/>
                      <w:color w:val="000000"/>
                      <w:kern w:val="0"/>
                      <w:sz w:val="18"/>
                      <w:szCs w:val="18"/>
                      <w:highlight w:val="none"/>
                      <w:u w:val="none"/>
                      <w:lang w:val="en-US" w:eastAsia="zh-CN" w:bidi="ar"/>
                    </w:rPr>
                    <w:t>×1800</w:t>
                  </w:r>
                  <w:r>
                    <w:rPr>
                      <w:rFonts w:hint="default" w:ascii="Times New Roman" w:hAnsi="Times New Roman" w:eastAsia="宋体" w:cs="Times New Roman"/>
                      <w:color w:val="auto"/>
                      <w:sz w:val="18"/>
                      <w:szCs w:val="18"/>
                      <w:highlight w:val="none"/>
                      <w:lang w:val="en-US" w:eastAsia="zh-CN"/>
                    </w:rPr>
                    <w:t>mm</w:t>
                  </w:r>
                </w:p>
              </w:tc>
              <w:tc>
                <w:tcPr>
                  <w:tcW w:w="284" w:type="pct"/>
                  <w:tcBorders>
                    <w:tl2br w:val="nil"/>
                    <w:tr2bl w:val="nil"/>
                  </w:tcBorders>
                  <w:shd w:val="clear" w:color="auto" w:fill="FFFFFF"/>
                  <w:vAlign w:val="center"/>
                </w:tcPr>
                <w:p w14:paraId="2DA4402F">
                  <w:pPr>
                    <w:keepNext w:val="0"/>
                    <w:keepLines w:val="0"/>
                    <w:pageBreakBefore w:val="0"/>
                    <w:widowControl/>
                    <w:suppressLineNumbers w:val="0"/>
                    <w:kinsoku/>
                    <w:wordWrap/>
                    <w:overflowPunct/>
                    <w:topLinePunct w:val="0"/>
                    <w:bidi w:val="0"/>
                    <w:adjustRightInd w:val="0"/>
                    <w:snapToGrid w:val="0"/>
                    <w:spacing w:before="0" w:beforeAutospacing="0" w:after="0" w:afterAutospacing="0" w:line="276" w:lineRule="auto"/>
                    <w:ind w:left="0" w:right="0"/>
                    <w:jc w:val="center"/>
                    <w:textAlignment w:val="center"/>
                    <w:rPr>
                      <w:rFonts w:hint="default" w:ascii="Times New Roman" w:hAnsi="Times New Roman" w:eastAsia="宋体" w:cs="Times New Roman"/>
                      <w:color w:val="auto"/>
                      <w:kern w:val="2"/>
                      <w:sz w:val="18"/>
                      <w:szCs w:val="18"/>
                      <w:highlight w:val="none"/>
                      <w:lang w:val="en-US" w:eastAsia="zh-CN" w:bidi="ar-SA"/>
                    </w:rPr>
                  </w:pPr>
                  <w:r>
                    <w:rPr>
                      <w:rFonts w:hint="default" w:ascii="Times New Roman" w:hAnsi="Times New Roman" w:eastAsia="宋体" w:cs="Times New Roman"/>
                      <w:i w:val="0"/>
                      <w:iCs w:val="0"/>
                      <w:color w:val="000000"/>
                      <w:kern w:val="0"/>
                      <w:sz w:val="18"/>
                      <w:szCs w:val="18"/>
                      <w:highlight w:val="none"/>
                      <w:u w:val="none"/>
                      <w:lang w:val="en-US" w:eastAsia="zh-CN" w:bidi="ar"/>
                    </w:rPr>
                    <w:t>6</w:t>
                  </w:r>
                </w:p>
              </w:tc>
              <w:tc>
                <w:tcPr>
                  <w:tcW w:w="1678" w:type="pct"/>
                  <w:tcBorders>
                    <w:tl2br w:val="nil"/>
                    <w:tr2bl w:val="nil"/>
                  </w:tcBorders>
                  <w:shd w:val="clear" w:color="auto" w:fill="FFFFFF"/>
                  <w:vAlign w:val="center"/>
                </w:tcPr>
                <w:p w14:paraId="41E3B01B">
                  <w:pPr>
                    <w:keepNext w:val="0"/>
                    <w:keepLines w:val="0"/>
                    <w:pageBreakBefore w:val="0"/>
                    <w:widowControl/>
                    <w:suppressLineNumbers w:val="0"/>
                    <w:kinsoku/>
                    <w:wordWrap/>
                    <w:overflowPunct/>
                    <w:topLinePunct w:val="0"/>
                    <w:bidi w:val="0"/>
                    <w:adjustRightInd w:val="0"/>
                    <w:snapToGrid w:val="0"/>
                    <w:spacing w:before="0" w:beforeAutospacing="0" w:after="0" w:afterAutospacing="0" w:line="276" w:lineRule="auto"/>
                    <w:ind w:left="0" w:right="0"/>
                    <w:jc w:val="center"/>
                    <w:textAlignment w:val="center"/>
                    <w:rPr>
                      <w:rFonts w:hint="default" w:ascii="Times New Roman" w:hAnsi="Times New Roman" w:eastAsia="宋体" w:cs="Times New Roman"/>
                      <w:color w:val="auto"/>
                      <w:sz w:val="18"/>
                      <w:szCs w:val="18"/>
                      <w:highlight w:val="none"/>
                      <w:lang w:val="en-US" w:eastAsia="zh-CN"/>
                    </w:rPr>
                  </w:pPr>
                  <w:r>
                    <w:rPr>
                      <w:rFonts w:hint="default" w:ascii="Times New Roman" w:hAnsi="Times New Roman" w:eastAsia="宋体" w:cs="Times New Roman"/>
                      <w:i w:val="0"/>
                      <w:iCs w:val="0"/>
                      <w:color w:val="000000"/>
                      <w:kern w:val="0"/>
                      <w:sz w:val="18"/>
                      <w:szCs w:val="18"/>
                      <w:highlight w:val="none"/>
                      <w:u w:val="none"/>
                      <w:lang w:val="en-US" w:eastAsia="zh-CN" w:bidi="ar"/>
                    </w:rPr>
                    <w:t>检疫室、兔饲养室</w:t>
                  </w:r>
                </w:p>
              </w:tc>
            </w:tr>
            <w:tr w14:paraId="0AC0DC6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FFFFFF"/>
                <w:tblCellMar>
                  <w:top w:w="0" w:type="dxa"/>
                  <w:left w:w="28" w:type="dxa"/>
                  <w:bottom w:w="0" w:type="dxa"/>
                  <w:right w:w="28" w:type="dxa"/>
                </w:tblCellMar>
              </w:tblPrEx>
              <w:trPr>
                <w:trHeight w:val="0" w:hRule="atLeast"/>
              </w:trPr>
              <w:tc>
                <w:tcPr>
                  <w:tcW w:w="235" w:type="pct"/>
                  <w:tcBorders>
                    <w:tl2br w:val="nil"/>
                    <w:tr2bl w:val="nil"/>
                  </w:tcBorders>
                  <w:shd w:val="clear" w:color="auto" w:fill="FFFFFF"/>
                  <w:noWrap/>
                  <w:vAlign w:val="center"/>
                </w:tcPr>
                <w:p w14:paraId="2F5D16AB">
                  <w:pPr>
                    <w:pStyle w:val="120"/>
                    <w:keepNext w:val="0"/>
                    <w:keepLines w:val="0"/>
                    <w:pageBreakBefore w:val="0"/>
                    <w:framePr w:hSpace="0" w:wrap="auto" w:vAnchor="margin" w:hAnchor="text" w:xAlign="left" w:yAlign="inline"/>
                    <w:suppressLineNumbers w:val="0"/>
                    <w:kinsoku/>
                    <w:wordWrap/>
                    <w:overflowPunct/>
                    <w:topLinePunct w:val="0"/>
                    <w:bidi w:val="0"/>
                    <w:adjustRightInd w:val="0"/>
                    <w:snapToGrid w:val="0"/>
                    <w:spacing w:before="0" w:beforeAutospacing="0" w:after="0" w:afterAutospacing="0" w:line="276" w:lineRule="auto"/>
                    <w:ind w:left="0" w:right="0"/>
                    <w:jc w:val="center"/>
                    <w:rPr>
                      <w:rFonts w:hint="default" w:ascii="Times New Roman" w:hAnsi="Times New Roman" w:eastAsia="宋体" w:cs="Times New Roman"/>
                      <w:color w:val="auto"/>
                      <w:sz w:val="18"/>
                      <w:szCs w:val="18"/>
                      <w:highlight w:val="none"/>
                      <w:lang w:val="en-US" w:eastAsia="zh-CN"/>
                    </w:rPr>
                  </w:pPr>
                  <w:r>
                    <w:rPr>
                      <w:rFonts w:hint="default" w:ascii="Times New Roman" w:hAnsi="Times New Roman" w:eastAsia="宋体" w:cs="Times New Roman"/>
                      <w:color w:val="auto"/>
                      <w:sz w:val="18"/>
                      <w:szCs w:val="18"/>
                      <w:highlight w:val="none"/>
                      <w:lang w:val="en-US" w:eastAsia="zh-CN"/>
                    </w:rPr>
                    <w:t>9</w:t>
                  </w:r>
                </w:p>
              </w:tc>
              <w:tc>
                <w:tcPr>
                  <w:tcW w:w="349" w:type="pct"/>
                  <w:vMerge w:val="continue"/>
                  <w:tcBorders>
                    <w:tl2br w:val="nil"/>
                    <w:tr2bl w:val="nil"/>
                  </w:tcBorders>
                  <w:shd w:val="clear" w:color="auto" w:fill="FFFFFF"/>
                  <w:vAlign w:val="center"/>
                </w:tcPr>
                <w:p w14:paraId="5255C9D7">
                  <w:pPr>
                    <w:pStyle w:val="120"/>
                    <w:keepNext w:val="0"/>
                    <w:keepLines w:val="0"/>
                    <w:pageBreakBefore w:val="0"/>
                    <w:framePr w:hSpace="0" w:wrap="auto" w:vAnchor="margin" w:hAnchor="text" w:xAlign="left" w:yAlign="inline"/>
                    <w:suppressLineNumbers w:val="0"/>
                    <w:kinsoku/>
                    <w:wordWrap/>
                    <w:overflowPunct/>
                    <w:topLinePunct w:val="0"/>
                    <w:bidi w:val="0"/>
                    <w:adjustRightInd w:val="0"/>
                    <w:snapToGrid w:val="0"/>
                    <w:spacing w:before="0" w:beforeAutospacing="0" w:after="0" w:afterAutospacing="0" w:line="276" w:lineRule="auto"/>
                    <w:ind w:left="0" w:right="0"/>
                    <w:jc w:val="center"/>
                    <w:rPr>
                      <w:rFonts w:hint="default" w:ascii="Times New Roman" w:hAnsi="Times New Roman" w:eastAsia="宋体" w:cs="Times New Roman"/>
                      <w:color w:val="auto"/>
                      <w:sz w:val="18"/>
                      <w:szCs w:val="18"/>
                      <w:highlight w:val="none"/>
                      <w:lang w:val="en-US" w:eastAsia="zh-CN"/>
                    </w:rPr>
                  </w:pPr>
                </w:p>
              </w:tc>
              <w:tc>
                <w:tcPr>
                  <w:tcW w:w="1015" w:type="pct"/>
                  <w:tcBorders>
                    <w:tl2br w:val="nil"/>
                    <w:tr2bl w:val="nil"/>
                  </w:tcBorders>
                  <w:shd w:val="clear" w:color="auto" w:fill="FFFFFF"/>
                  <w:vAlign w:val="center"/>
                </w:tcPr>
                <w:p w14:paraId="62CDF631">
                  <w:pPr>
                    <w:keepNext w:val="0"/>
                    <w:keepLines w:val="0"/>
                    <w:pageBreakBefore w:val="0"/>
                    <w:widowControl/>
                    <w:suppressLineNumbers w:val="0"/>
                    <w:kinsoku/>
                    <w:wordWrap/>
                    <w:overflowPunct/>
                    <w:topLinePunct w:val="0"/>
                    <w:bidi w:val="0"/>
                    <w:adjustRightInd w:val="0"/>
                    <w:snapToGrid w:val="0"/>
                    <w:spacing w:before="0" w:beforeAutospacing="0" w:after="0" w:afterAutospacing="0" w:line="276" w:lineRule="auto"/>
                    <w:ind w:left="0" w:right="0"/>
                    <w:jc w:val="center"/>
                    <w:textAlignment w:val="center"/>
                    <w:rPr>
                      <w:rFonts w:hint="default" w:ascii="Times New Roman" w:hAnsi="Times New Roman" w:eastAsia="宋体" w:cs="Times New Roman"/>
                      <w:color w:val="auto"/>
                      <w:sz w:val="18"/>
                      <w:szCs w:val="18"/>
                      <w:highlight w:val="none"/>
                      <w:lang w:val="en-US" w:eastAsia="zh-CN"/>
                    </w:rPr>
                  </w:pPr>
                  <w:r>
                    <w:rPr>
                      <w:rFonts w:hint="default" w:ascii="Times New Roman" w:hAnsi="Times New Roman" w:eastAsia="宋体" w:cs="Times New Roman"/>
                      <w:i w:val="0"/>
                      <w:iCs w:val="0"/>
                      <w:color w:val="000000"/>
                      <w:kern w:val="0"/>
                      <w:sz w:val="18"/>
                      <w:szCs w:val="18"/>
                      <w:highlight w:val="none"/>
                      <w:u w:val="none"/>
                      <w:lang w:val="en-US" w:eastAsia="zh-CN" w:bidi="ar"/>
                    </w:rPr>
                    <w:t>工业洗烘一体机</w:t>
                  </w:r>
                </w:p>
              </w:tc>
              <w:tc>
                <w:tcPr>
                  <w:tcW w:w="1436" w:type="pct"/>
                  <w:tcBorders>
                    <w:tl2br w:val="nil"/>
                    <w:tr2bl w:val="nil"/>
                  </w:tcBorders>
                  <w:shd w:val="clear" w:color="auto" w:fill="FFFFFF"/>
                  <w:noWrap/>
                  <w:vAlign w:val="center"/>
                </w:tcPr>
                <w:p w14:paraId="33C0E9B6">
                  <w:pPr>
                    <w:keepNext w:val="0"/>
                    <w:keepLines w:val="0"/>
                    <w:pageBreakBefore w:val="0"/>
                    <w:widowControl/>
                    <w:suppressLineNumbers w:val="0"/>
                    <w:kinsoku/>
                    <w:wordWrap/>
                    <w:overflowPunct/>
                    <w:topLinePunct w:val="0"/>
                    <w:bidi w:val="0"/>
                    <w:adjustRightInd w:val="0"/>
                    <w:snapToGrid w:val="0"/>
                    <w:spacing w:before="0" w:beforeAutospacing="0" w:after="0" w:afterAutospacing="0" w:line="276" w:lineRule="auto"/>
                    <w:ind w:left="0" w:right="0"/>
                    <w:jc w:val="center"/>
                    <w:textAlignment w:val="center"/>
                    <w:rPr>
                      <w:rFonts w:hint="default" w:ascii="Times New Roman" w:hAnsi="Times New Roman" w:eastAsia="宋体" w:cs="Times New Roman"/>
                      <w:color w:val="auto"/>
                      <w:sz w:val="18"/>
                      <w:szCs w:val="18"/>
                      <w:highlight w:val="none"/>
                      <w:lang w:val="en-US" w:eastAsia="zh-CN"/>
                    </w:rPr>
                  </w:pPr>
                  <w:r>
                    <w:rPr>
                      <w:rFonts w:hint="default" w:ascii="Times New Roman" w:hAnsi="Times New Roman" w:eastAsia="宋体" w:cs="Times New Roman"/>
                      <w:i w:val="0"/>
                      <w:iCs w:val="0"/>
                      <w:color w:val="000000"/>
                      <w:kern w:val="0"/>
                      <w:sz w:val="18"/>
                      <w:szCs w:val="18"/>
                      <w:highlight w:val="none"/>
                      <w:u w:val="none"/>
                      <w:lang w:val="en-US" w:eastAsia="zh-CN" w:bidi="ar"/>
                    </w:rPr>
                    <w:t>950</w:t>
                  </w:r>
                  <w:r>
                    <w:rPr>
                      <w:rFonts w:hint="default" w:ascii="Times New Roman" w:hAnsi="Times New Roman" w:eastAsia="宋体" w:cs="Times New Roman"/>
                      <w:color w:val="auto"/>
                      <w:sz w:val="18"/>
                      <w:szCs w:val="18"/>
                      <w:highlight w:val="none"/>
                      <w:lang w:val="en-US" w:eastAsia="zh-CN"/>
                    </w:rPr>
                    <w:t>mm</w:t>
                  </w:r>
                  <w:r>
                    <w:rPr>
                      <w:rFonts w:hint="default" w:ascii="Times New Roman" w:hAnsi="Times New Roman" w:eastAsia="宋体" w:cs="Times New Roman"/>
                      <w:i w:val="0"/>
                      <w:iCs w:val="0"/>
                      <w:color w:val="000000"/>
                      <w:kern w:val="0"/>
                      <w:sz w:val="18"/>
                      <w:szCs w:val="18"/>
                      <w:highlight w:val="none"/>
                      <w:u w:val="none"/>
                      <w:lang w:val="en-US" w:eastAsia="zh-CN" w:bidi="ar"/>
                    </w:rPr>
                    <w:t>×975</w:t>
                  </w:r>
                  <w:r>
                    <w:rPr>
                      <w:rFonts w:hint="default" w:ascii="Times New Roman" w:hAnsi="Times New Roman" w:eastAsia="宋体" w:cs="Times New Roman"/>
                      <w:color w:val="auto"/>
                      <w:sz w:val="18"/>
                      <w:szCs w:val="18"/>
                      <w:highlight w:val="none"/>
                      <w:lang w:val="en-US" w:eastAsia="zh-CN"/>
                    </w:rPr>
                    <w:t>mm</w:t>
                  </w:r>
                  <w:r>
                    <w:rPr>
                      <w:rFonts w:hint="default" w:ascii="Times New Roman" w:hAnsi="Times New Roman" w:eastAsia="宋体" w:cs="Times New Roman"/>
                      <w:i w:val="0"/>
                      <w:iCs w:val="0"/>
                      <w:color w:val="000000"/>
                      <w:kern w:val="0"/>
                      <w:sz w:val="18"/>
                      <w:szCs w:val="18"/>
                      <w:highlight w:val="none"/>
                      <w:u w:val="none"/>
                      <w:lang w:val="en-US" w:eastAsia="zh-CN" w:bidi="ar"/>
                    </w:rPr>
                    <w:t>×2027mm</w:t>
                  </w:r>
                </w:p>
              </w:tc>
              <w:tc>
                <w:tcPr>
                  <w:tcW w:w="284" w:type="pct"/>
                  <w:tcBorders>
                    <w:tl2br w:val="nil"/>
                    <w:tr2bl w:val="nil"/>
                  </w:tcBorders>
                  <w:shd w:val="clear" w:color="auto" w:fill="FFFFFF"/>
                  <w:vAlign w:val="center"/>
                </w:tcPr>
                <w:p w14:paraId="38F052F3">
                  <w:pPr>
                    <w:pStyle w:val="120"/>
                    <w:keepNext w:val="0"/>
                    <w:keepLines w:val="0"/>
                    <w:pageBreakBefore w:val="0"/>
                    <w:framePr w:hSpace="0" w:wrap="auto" w:vAnchor="margin" w:hAnchor="text" w:xAlign="left" w:yAlign="inline"/>
                    <w:suppressLineNumbers w:val="0"/>
                    <w:kinsoku/>
                    <w:wordWrap/>
                    <w:overflowPunct/>
                    <w:topLinePunct w:val="0"/>
                    <w:bidi w:val="0"/>
                    <w:adjustRightInd w:val="0"/>
                    <w:snapToGrid w:val="0"/>
                    <w:spacing w:before="0" w:beforeAutospacing="0" w:after="0" w:afterAutospacing="0" w:line="276" w:lineRule="auto"/>
                    <w:ind w:left="0" w:right="0"/>
                    <w:jc w:val="center"/>
                    <w:rPr>
                      <w:rFonts w:hint="default" w:ascii="Times New Roman" w:hAnsi="Times New Roman" w:eastAsia="宋体" w:cs="Times New Roman"/>
                      <w:color w:val="auto"/>
                      <w:sz w:val="18"/>
                      <w:szCs w:val="18"/>
                      <w:highlight w:val="none"/>
                      <w:lang w:val="en-US" w:eastAsia="zh-CN"/>
                    </w:rPr>
                  </w:pPr>
                  <w:r>
                    <w:rPr>
                      <w:rFonts w:hint="default" w:ascii="Times New Roman" w:hAnsi="Times New Roman" w:eastAsia="宋体" w:cs="Times New Roman"/>
                      <w:color w:val="auto"/>
                      <w:sz w:val="18"/>
                      <w:szCs w:val="18"/>
                      <w:highlight w:val="none"/>
                      <w:lang w:val="en-US" w:eastAsia="zh-CN"/>
                    </w:rPr>
                    <w:t>2</w:t>
                  </w:r>
                </w:p>
              </w:tc>
              <w:tc>
                <w:tcPr>
                  <w:tcW w:w="1678" w:type="pct"/>
                  <w:tcBorders>
                    <w:tl2br w:val="nil"/>
                    <w:tr2bl w:val="nil"/>
                  </w:tcBorders>
                  <w:shd w:val="clear" w:color="auto" w:fill="FFFFFF"/>
                  <w:vAlign w:val="center"/>
                </w:tcPr>
                <w:p w14:paraId="5615BB2B">
                  <w:pPr>
                    <w:keepNext w:val="0"/>
                    <w:keepLines w:val="0"/>
                    <w:pageBreakBefore w:val="0"/>
                    <w:widowControl/>
                    <w:suppressLineNumbers w:val="0"/>
                    <w:kinsoku/>
                    <w:wordWrap/>
                    <w:overflowPunct/>
                    <w:topLinePunct w:val="0"/>
                    <w:bidi w:val="0"/>
                    <w:adjustRightInd w:val="0"/>
                    <w:snapToGrid w:val="0"/>
                    <w:spacing w:before="0" w:beforeAutospacing="0" w:after="0" w:afterAutospacing="0" w:line="276" w:lineRule="auto"/>
                    <w:ind w:left="0" w:right="0"/>
                    <w:jc w:val="center"/>
                    <w:textAlignment w:val="center"/>
                    <w:rPr>
                      <w:rFonts w:hint="default" w:ascii="Times New Roman" w:hAnsi="Times New Roman" w:eastAsia="宋体" w:cs="Times New Roman"/>
                      <w:color w:val="auto"/>
                      <w:sz w:val="18"/>
                      <w:szCs w:val="18"/>
                      <w:highlight w:val="none"/>
                      <w:lang w:val="en-US" w:eastAsia="zh-CN"/>
                    </w:rPr>
                  </w:pPr>
                  <w:r>
                    <w:rPr>
                      <w:rFonts w:hint="default" w:ascii="Times New Roman" w:hAnsi="Times New Roman" w:eastAsia="宋体" w:cs="Times New Roman"/>
                      <w:i w:val="0"/>
                      <w:iCs w:val="0"/>
                      <w:color w:val="000000"/>
                      <w:kern w:val="0"/>
                      <w:sz w:val="18"/>
                      <w:szCs w:val="18"/>
                      <w:highlight w:val="none"/>
                      <w:u w:val="none"/>
                      <w:lang w:val="en-US" w:eastAsia="zh-CN" w:bidi="ar"/>
                    </w:rPr>
                    <w:t>洗衣间</w:t>
                  </w:r>
                </w:p>
              </w:tc>
            </w:tr>
            <w:tr w14:paraId="44A623A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FFFFFF"/>
                <w:tblCellMar>
                  <w:top w:w="0" w:type="dxa"/>
                  <w:left w:w="28" w:type="dxa"/>
                  <w:bottom w:w="0" w:type="dxa"/>
                  <w:right w:w="28" w:type="dxa"/>
                </w:tblCellMar>
              </w:tblPrEx>
              <w:trPr>
                <w:trHeight w:val="0" w:hRule="atLeast"/>
              </w:trPr>
              <w:tc>
                <w:tcPr>
                  <w:tcW w:w="5000" w:type="pct"/>
                  <w:gridSpan w:val="6"/>
                  <w:tcBorders>
                    <w:tl2br w:val="nil"/>
                    <w:tr2bl w:val="nil"/>
                  </w:tcBorders>
                  <w:shd w:val="clear" w:color="auto" w:fill="FFFFFF"/>
                  <w:noWrap/>
                  <w:vAlign w:val="center"/>
                </w:tcPr>
                <w:p w14:paraId="69A58AF7">
                  <w:pPr>
                    <w:pStyle w:val="120"/>
                    <w:keepNext w:val="0"/>
                    <w:keepLines w:val="0"/>
                    <w:pageBreakBefore w:val="0"/>
                    <w:framePr w:hSpace="0" w:wrap="auto" w:vAnchor="margin" w:hAnchor="text" w:xAlign="left" w:yAlign="inline"/>
                    <w:suppressLineNumbers w:val="0"/>
                    <w:kinsoku/>
                    <w:wordWrap/>
                    <w:overflowPunct/>
                    <w:topLinePunct w:val="0"/>
                    <w:bidi w:val="0"/>
                    <w:adjustRightInd w:val="0"/>
                    <w:snapToGrid w:val="0"/>
                    <w:spacing w:before="0" w:beforeAutospacing="0" w:after="0" w:afterAutospacing="0" w:line="276" w:lineRule="auto"/>
                    <w:ind w:left="0" w:right="0"/>
                    <w:jc w:val="center"/>
                    <w:rPr>
                      <w:rFonts w:hint="default" w:ascii="Times New Roman" w:hAnsi="Times New Roman" w:eastAsia="宋体" w:cs="Times New Roman"/>
                      <w:b/>
                      <w:color w:val="auto"/>
                      <w:sz w:val="18"/>
                      <w:szCs w:val="18"/>
                      <w:highlight w:val="none"/>
                      <w:lang w:val="en-US" w:eastAsia="zh-CN"/>
                    </w:rPr>
                  </w:pPr>
                  <w:r>
                    <w:rPr>
                      <w:rFonts w:hint="default" w:ascii="Times New Roman" w:hAnsi="Times New Roman" w:eastAsia="宋体" w:cs="Times New Roman"/>
                      <w:b/>
                      <w:color w:val="auto"/>
                      <w:sz w:val="18"/>
                      <w:szCs w:val="18"/>
                      <w:highlight w:val="none"/>
                      <w:lang w:val="en-US" w:eastAsia="zh-CN"/>
                    </w:rPr>
                    <w:t>实验动物中心二层</w:t>
                  </w:r>
                </w:p>
              </w:tc>
            </w:tr>
            <w:tr w14:paraId="052671C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0" w:hRule="atLeast"/>
              </w:trPr>
              <w:tc>
                <w:tcPr>
                  <w:tcW w:w="235" w:type="pct"/>
                  <w:tcBorders>
                    <w:tl2br w:val="nil"/>
                    <w:tr2bl w:val="nil"/>
                  </w:tcBorders>
                  <w:shd w:val="clear" w:color="auto" w:fill="FFFFFF"/>
                  <w:noWrap/>
                  <w:vAlign w:val="center"/>
                </w:tcPr>
                <w:p w14:paraId="481249D4">
                  <w:pPr>
                    <w:pStyle w:val="120"/>
                    <w:keepNext w:val="0"/>
                    <w:keepLines w:val="0"/>
                    <w:pageBreakBefore w:val="0"/>
                    <w:framePr w:hSpace="0" w:wrap="auto" w:vAnchor="margin" w:hAnchor="text" w:xAlign="left" w:yAlign="inline"/>
                    <w:suppressLineNumbers w:val="0"/>
                    <w:kinsoku/>
                    <w:wordWrap/>
                    <w:overflowPunct/>
                    <w:topLinePunct w:val="0"/>
                    <w:bidi w:val="0"/>
                    <w:adjustRightInd w:val="0"/>
                    <w:snapToGrid w:val="0"/>
                    <w:spacing w:before="0" w:beforeAutospacing="0" w:after="0" w:afterAutospacing="0" w:line="276" w:lineRule="auto"/>
                    <w:ind w:left="0" w:right="0"/>
                    <w:jc w:val="center"/>
                    <w:rPr>
                      <w:rFonts w:hint="default" w:ascii="Times New Roman" w:hAnsi="Times New Roman" w:eastAsia="宋体" w:cs="Times New Roman"/>
                      <w:color w:val="auto"/>
                      <w:sz w:val="18"/>
                      <w:szCs w:val="18"/>
                      <w:highlight w:val="none"/>
                      <w:lang w:val="en-US" w:eastAsia="zh-CN"/>
                    </w:rPr>
                  </w:pPr>
                  <w:r>
                    <w:rPr>
                      <w:rFonts w:hint="default" w:ascii="Times New Roman" w:hAnsi="Times New Roman" w:eastAsia="宋体" w:cs="Times New Roman"/>
                      <w:color w:val="auto"/>
                      <w:sz w:val="18"/>
                      <w:szCs w:val="18"/>
                      <w:highlight w:val="none"/>
                      <w:lang w:val="en-US" w:eastAsia="zh-CN"/>
                    </w:rPr>
                    <w:t>10</w:t>
                  </w:r>
                </w:p>
              </w:tc>
              <w:tc>
                <w:tcPr>
                  <w:tcW w:w="349" w:type="pct"/>
                  <w:vMerge w:val="restart"/>
                  <w:tcBorders>
                    <w:tl2br w:val="nil"/>
                    <w:tr2bl w:val="nil"/>
                  </w:tcBorders>
                  <w:shd w:val="clear" w:color="auto" w:fill="FFFFFF"/>
                  <w:vAlign w:val="center"/>
                </w:tcPr>
                <w:p w14:paraId="7045DDE1">
                  <w:pPr>
                    <w:pStyle w:val="120"/>
                    <w:keepNext w:val="0"/>
                    <w:keepLines w:val="0"/>
                    <w:pageBreakBefore w:val="0"/>
                    <w:framePr w:hSpace="0" w:wrap="auto" w:vAnchor="margin" w:hAnchor="text" w:xAlign="left" w:yAlign="inline"/>
                    <w:suppressLineNumbers w:val="0"/>
                    <w:kinsoku/>
                    <w:wordWrap/>
                    <w:overflowPunct/>
                    <w:topLinePunct w:val="0"/>
                    <w:bidi w:val="0"/>
                    <w:adjustRightInd w:val="0"/>
                    <w:snapToGrid w:val="0"/>
                    <w:spacing w:before="0" w:beforeAutospacing="0" w:after="0" w:afterAutospacing="0" w:line="276" w:lineRule="auto"/>
                    <w:ind w:left="0" w:right="0"/>
                    <w:jc w:val="center"/>
                    <w:rPr>
                      <w:rFonts w:hint="default" w:ascii="Times New Roman" w:hAnsi="Times New Roman" w:eastAsia="宋体" w:cs="Times New Roman"/>
                      <w:color w:val="auto"/>
                      <w:sz w:val="18"/>
                      <w:szCs w:val="18"/>
                      <w:highlight w:val="none"/>
                      <w:lang w:val="en-US" w:eastAsia="zh-CN"/>
                    </w:rPr>
                  </w:pPr>
                  <w:r>
                    <w:rPr>
                      <w:rFonts w:hint="default" w:ascii="Times New Roman" w:hAnsi="Times New Roman" w:eastAsia="宋体" w:cs="Times New Roman"/>
                      <w:color w:val="auto"/>
                      <w:sz w:val="18"/>
                      <w:szCs w:val="18"/>
                      <w:highlight w:val="none"/>
                      <w:lang w:val="en-US" w:eastAsia="zh-CN"/>
                    </w:rPr>
                    <w:t>动物实验</w:t>
                  </w:r>
                </w:p>
              </w:tc>
              <w:tc>
                <w:tcPr>
                  <w:tcW w:w="1015" w:type="pct"/>
                  <w:vMerge w:val="restart"/>
                  <w:tcBorders>
                    <w:tl2br w:val="nil"/>
                    <w:tr2bl w:val="nil"/>
                  </w:tcBorders>
                  <w:shd w:val="clear" w:color="auto" w:fill="FFFFFF"/>
                  <w:vAlign w:val="center"/>
                </w:tcPr>
                <w:p w14:paraId="03E2DFFB">
                  <w:pPr>
                    <w:pStyle w:val="120"/>
                    <w:keepNext w:val="0"/>
                    <w:keepLines w:val="0"/>
                    <w:pageBreakBefore w:val="0"/>
                    <w:framePr w:hSpace="0" w:wrap="auto" w:vAnchor="margin" w:hAnchor="text" w:xAlign="left" w:yAlign="inline"/>
                    <w:suppressLineNumbers w:val="0"/>
                    <w:kinsoku/>
                    <w:wordWrap/>
                    <w:overflowPunct/>
                    <w:topLinePunct w:val="0"/>
                    <w:bidi w:val="0"/>
                    <w:adjustRightInd w:val="0"/>
                    <w:snapToGrid w:val="0"/>
                    <w:spacing w:before="0" w:beforeAutospacing="0" w:after="0" w:afterAutospacing="0" w:line="276" w:lineRule="auto"/>
                    <w:ind w:left="0" w:right="0"/>
                    <w:jc w:val="center"/>
                    <w:rPr>
                      <w:rFonts w:hint="default" w:ascii="Times New Roman" w:hAnsi="Times New Roman" w:eastAsia="宋体" w:cs="Times New Roman"/>
                      <w:color w:val="auto"/>
                      <w:sz w:val="18"/>
                      <w:szCs w:val="18"/>
                      <w:highlight w:val="none"/>
                      <w:lang w:val="en-US" w:eastAsia="zh-CN"/>
                    </w:rPr>
                  </w:pPr>
                  <w:r>
                    <w:rPr>
                      <w:rFonts w:hint="default" w:ascii="Times New Roman" w:hAnsi="Times New Roman" w:eastAsia="宋体" w:cs="Times New Roman"/>
                      <w:color w:val="auto"/>
                      <w:sz w:val="18"/>
                      <w:szCs w:val="18"/>
                      <w:highlight w:val="none"/>
                      <w:lang w:val="en-US" w:eastAsia="zh-CN"/>
                    </w:rPr>
                    <w:t>脉动真空灭菌器</w:t>
                  </w:r>
                </w:p>
              </w:tc>
              <w:tc>
                <w:tcPr>
                  <w:tcW w:w="1436" w:type="pct"/>
                  <w:tcBorders>
                    <w:tl2br w:val="nil"/>
                    <w:tr2bl w:val="nil"/>
                  </w:tcBorders>
                  <w:shd w:val="clear" w:color="auto" w:fill="FFFFFF"/>
                  <w:noWrap/>
                  <w:vAlign w:val="center"/>
                </w:tcPr>
                <w:p w14:paraId="6993A33B">
                  <w:pPr>
                    <w:keepNext w:val="0"/>
                    <w:keepLines w:val="0"/>
                    <w:pageBreakBefore w:val="0"/>
                    <w:widowControl/>
                    <w:suppressLineNumbers w:val="0"/>
                    <w:kinsoku/>
                    <w:wordWrap/>
                    <w:overflowPunct/>
                    <w:topLinePunct w:val="0"/>
                    <w:bidi w:val="0"/>
                    <w:adjustRightInd w:val="0"/>
                    <w:snapToGrid w:val="0"/>
                    <w:spacing w:before="0" w:beforeAutospacing="0" w:after="0" w:afterAutospacing="0" w:line="276" w:lineRule="auto"/>
                    <w:ind w:left="0" w:right="0"/>
                    <w:jc w:val="center"/>
                    <w:textAlignment w:val="center"/>
                    <w:rPr>
                      <w:rFonts w:hint="default" w:ascii="Times New Roman" w:hAnsi="Times New Roman" w:eastAsia="宋体" w:cs="Times New Roman"/>
                      <w:color w:val="auto"/>
                      <w:sz w:val="18"/>
                      <w:szCs w:val="18"/>
                      <w:highlight w:val="none"/>
                      <w:lang w:val="en-US" w:eastAsia="zh-CN"/>
                    </w:rPr>
                  </w:pPr>
                  <w:r>
                    <w:rPr>
                      <w:rFonts w:hint="default" w:ascii="Times New Roman" w:hAnsi="Times New Roman" w:eastAsia="宋体" w:cs="Times New Roman"/>
                      <w:i w:val="0"/>
                      <w:iCs w:val="0"/>
                      <w:color w:val="000000"/>
                      <w:kern w:val="0"/>
                      <w:sz w:val="18"/>
                      <w:szCs w:val="18"/>
                      <w:highlight w:val="none"/>
                      <w:u w:val="none"/>
                      <w:lang w:val="en-US" w:eastAsia="zh-CN" w:bidi="ar"/>
                    </w:rPr>
                    <w:t>1568</w:t>
                  </w:r>
                  <w:r>
                    <w:rPr>
                      <w:rFonts w:hint="default" w:ascii="Times New Roman" w:hAnsi="Times New Roman" w:eastAsia="宋体" w:cs="Times New Roman"/>
                      <w:color w:val="auto"/>
                      <w:sz w:val="18"/>
                      <w:szCs w:val="18"/>
                      <w:highlight w:val="none"/>
                      <w:lang w:val="en-US" w:eastAsia="zh-CN"/>
                    </w:rPr>
                    <w:t>mm</w:t>
                  </w:r>
                  <w:r>
                    <w:rPr>
                      <w:rFonts w:hint="default" w:ascii="Times New Roman" w:hAnsi="Times New Roman" w:eastAsia="宋体" w:cs="Times New Roman"/>
                      <w:i w:val="0"/>
                      <w:iCs w:val="0"/>
                      <w:color w:val="000000"/>
                      <w:kern w:val="0"/>
                      <w:sz w:val="18"/>
                      <w:szCs w:val="18"/>
                      <w:highlight w:val="none"/>
                      <w:u w:val="none"/>
                      <w:lang w:val="en-US" w:eastAsia="zh-CN" w:bidi="ar"/>
                    </w:rPr>
                    <w:t>×1744</w:t>
                  </w:r>
                  <w:r>
                    <w:rPr>
                      <w:rFonts w:hint="default" w:ascii="Times New Roman" w:hAnsi="Times New Roman" w:eastAsia="宋体" w:cs="Times New Roman"/>
                      <w:color w:val="auto"/>
                      <w:sz w:val="18"/>
                      <w:szCs w:val="18"/>
                      <w:highlight w:val="none"/>
                      <w:lang w:val="en-US" w:eastAsia="zh-CN"/>
                    </w:rPr>
                    <w:t>mm</w:t>
                  </w:r>
                  <w:r>
                    <w:rPr>
                      <w:rFonts w:hint="default" w:ascii="Times New Roman" w:hAnsi="Times New Roman" w:eastAsia="宋体" w:cs="Times New Roman"/>
                      <w:i w:val="0"/>
                      <w:iCs w:val="0"/>
                      <w:color w:val="000000"/>
                      <w:kern w:val="0"/>
                      <w:sz w:val="18"/>
                      <w:szCs w:val="18"/>
                      <w:highlight w:val="none"/>
                      <w:u w:val="none"/>
                      <w:lang w:val="en-US" w:eastAsia="zh-CN" w:bidi="ar"/>
                    </w:rPr>
                    <w:t>×2012</w:t>
                  </w:r>
                  <w:r>
                    <w:rPr>
                      <w:rFonts w:hint="default" w:ascii="Times New Roman" w:hAnsi="Times New Roman" w:eastAsia="宋体" w:cs="Times New Roman"/>
                      <w:color w:val="auto"/>
                      <w:sz w:val="18"/>
                      <w:szCs w:val="18"/>
                      <w:highlight w:val="none"/>
                      <w:lang w:val="en-US" w:eastAsia="zh-CN"/>
                    </w:rPr>
                    <w:t>mm</w:t>
                  </w:r>
                </w:p>
              </w:tc>
              <w:tc>
                <w:tcPr>
                  <w:tcW w:w="284" w:type="pct"/>
                  <w:tcBorders>
                    <w:tl2br w:val="nil"/>
                    <w:tr2bl w:val="nil"/>
                  </w:tcBorders>
                  <w:shd w:val="clear" w:color="auto" w:fill="FFFFFF"/>
                  <w:vAlign w:val="center"/>
                </w:tcPr>
                <w:p w14:paraId="70A6BAFB">
                  <w:pPr>
                    <w:keepNext w:val="0"/>
                    <w:keepLines w:val="0"/>
                    <w:pageBreakBefore w:val="0"/>
                    <w:widowControl/>
                    <w:suppressLineNumbers w:val="0"/>
                    <w:kinsoku/>
                    <w:wordWrap/>
                    <w:overflowPunct/>
                    <w:topLinePunct w:val="0"/>
                    <w:bidi w:val="0"/>
                    <w:adjustRightInd w:val="0"/>
                    <w:snapToGrid w:val="0"/>
                    <w:spacing w:before="0" w:beforeAutospacing="0" w:after="0" w:afterAutospacing="0" w:line="276" w:lineRule="auto"/>
                    <w:ind w:left="0" w:right="0"/>
                    <w:jc w:val="center"/>
                    <w:textAlignment w:val="center"/>
                    <w:rPr>
                      <w:rFonts w:hint="default" w:ascii="Times New Roman" w:hAnsi="Times New Roman" w:eastAsia="宋体" w:cs="Times New Roman"/>
                      <w:color w:val="auto"/>
                      <w:kern w:val="2"/>
                      <w:sz w:val="18"/>
                      <w:szCs w:val="18"/>
                      <w:highlight w:val="none"/>
                      <w:lang w:val="en-US" w:eastAsia="zh-CN" w:bidi="ar-SA"/>
                    </w:rPr>
                  </w:pPr>
                  <w:r>
                    <w:rPr>
                      <w:rFonts w:hint="default" w:ascii="Times New Roman" w:hAnsi="Times New Roman" w:eastAsia="宋体" w:cs="Times New Roman"/>
                      <w:i w:val="0"/>
                      <w:iCs w:val="0"/>
                      <w:color w:val="000000"/>
                      <w:kern w:val="0"/>
                      <w:sz w:val="18"/>
                      <w:szCs w:val="18"/>
                      <w:highlight w:val="none"/>
                      <w:u w:val="none"/>
                      <w:lang w:val="en-US" w:eastAsia="zh-CN" w:bidi="ar"/>
                    </w:rPr>
                    <w:t>1</w:t>
                  </w:r>
                </w:p>
              </w:tc>
              <w:tc>
                <w:tcPr>
                  <w:tcW w:w="1678" w:type="pct"/>
                  <w:tcBorders>
                    <w:tl2br w:val="nil"/>
                    <w:tr2bl w:val="nil"/>
                  </w:tcBorders>
                  <w:shd w:val="clear" w:color="auto" w:fill="FFFFFF"/>
                  <w:vAlign w:val="center"/>
                </w:tcPr>
                <w:p w14:paraId="042CAFAC">
                  <w:pPr>
                    <w:keepNext w:val="0"/>
                    <w:keepLines w:val="0"/>
                    <w:pageBreakBefore w:val="0"/>
                    <w:widowControl/>
                    <w:suppressLineNumbers w:val="0"/>
                    <w:kinsoku/>
                    <w:wordWrap/>
                    <w:overflowPunct/>
                    <w:topLinePunct w:val="0"/>
                    <w:bidi w:val="0"/>
                    <w:adjustRightInd w:val="0"/>
                    <w:snapToGrid w:val="0"/>
                    <w:spacing w:before="0" w:beforeAutospacing="0" w:after="0" w:afterAutospacing="0" w:line="276" w:lineRule="auto"/>
                    <w:ind w:left="0" w:right="0"/>
                    <w:jc w:val="center"/>
                    <w:textAlignment w:val="center"/>
                    <w:rPr>
                      <w:rFonts w:hint="default" w:ascii="Times New Roman" w:hAnsi="Times New Roman" w:eastAsia="宋体" w:cs="Times New Roman"/>
                      <w:color w:val="auto"/>
                      <w:sz w:val="18"/>
                      <w:szCs w:val="18"/>
                      <w:highlight w:val="none"/>
                      <w:lang w:val="en-US" w:eastAsia="zh-CN"/>
                    </w:rPr>
                  </w:pPr>
                  <w:r>
                    <w:rPr>
                      <w:rFonts w:hint="default" w:ascii="Times New Roman" w:hAnsi="Times New Roman" w:eastAsia="宋体" w:cs="Times New Roman"/>
                      <w:i w:val="0"/>
                      <w:iCs w:val="0"/>
                      <w:color w:val="000000"/>
                      <w:kern w:val="0"/>
                      <w:sz w:val="18"/>
                      <w:szCs w:val="18"/>
                      <w:highlight w:val="none"/>
                      <w:u w:val="none"/>
                      <w:lang w:val="en-US" w:eastAsia="zh-CN" w:bidi="ar"/>
                    </w:rPr>
                    <w:t>外准备间（上面）</w:t>
                  </w:r>
                </w:p>
              </w:tc>
            </w:tr>
            <w:tr w14:paraId="55D1990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FFFFFF"/>
                <w:tblCellMar>
                  <w:top w:w="0" w:type="dxa"/>
                  <w:left w:w="28" w:type="dxa"/>
                  <w:bottom w:w="0" w:type="dxa"/>
                  <w:right w:w="28" w:type="dxa"/>
                </w:tblCellMar>
              </w:tblPrEx>
              <w:trPr>
                <w:trHeight w:val="0" w:hRule="atLeast"/>
              </w:trPr>
              <w:tc>
                <w:tcPr>
                  <w:tcW w:w="235" w:type="pct"/>
                  <w:tcBorders>
                    <w:tl2br w:val="nil"/>
                    <w:tr2bl w:val="nil"/>
                  </w:tcBorders>
                  <w:shd w:val="clear" w:color="auto" w:fill="FFFFFF"/>
                  <w:noWrap/>
                  <w:vAlign w:val="center"/>
                </w:tcPr>
                <w:p w14:paraId="5C73E4C0">
                  <w:pPr>
                    <w:pStyle w:val="120"/>
                    <w:keepNext w:val="0"/>
                    <w:keepLines w:val="0"/>
                    <w:pageBreakBefore w:val="0"/>
                    <w:framePr w:hSpace="0" w:wrap="auto" w:vAnchor="margin" w:hAnchor="text" w:xAlign="left" w:yAlign="inline"/>
                    <w:suppressLineNumbers w:val="0"/>
                    <w:kinsoku/>
                    <w:wordWrap/>
                    <w:overflowPunct/>
                    <w:topLinePunct w:val="0"/>
                    <w:bidi w:val="0"/>
                    <w:adjustRightInd w:val="0"/>
                    <w:snapToGrid w:val="0"/>
                    <w:spacing w:before="0" w:beforeAutospacing="0" w:after="0" w:afterAutospacing="0" w:line="276" w:lineRule="auto"/>
                    <w:ind w:left="0" w:right="0"/>
                    <w:jc w:val="center"/>
                    <w:rPr>
                      <w:rFonts w:hint="default" w:ascii="Times New Roman" w:hAnsi="Times New Roman" w:eastAsia="宋体" w:cs="Times New Roman"/>
                      <w:color w:val="auto"/>
                      <w:sz w:val="18"/>
                      <w:szCs w:val="18"/>
                      <w:highlight w:val="none"/>
                      <w:lang w:val="en-US" w:eastAsia="zh-CN"/>
                    </w:rPr>
                  </w:pPr>
                  <w:r>
                    <w:rPr>
                      <w:rFonts w:hint="default" w:ascii="Times New Roman" w:hAnsi="Times New Roman" w:eastAsia="宋体" w:cs="Times New Roman"/>
                      <w:color w:val="auto"/>
                      <w:sz w:val="18"/>
                      <w:szCs w:val="18"/>
                      <w:highlight w:val="none"/>
                      <w:lang w:val="en-US" w:eastAsia="zh-CN"/>
                    </w:rPr>
                    <w:t>11</w:t>
                  </w:r>
                </w:p>
              </w:tc>
              <w:tc>
                <w:tcPr>
                  <w:tcW w:w="349" w:type="pct"/>
                  <w:vMerge w:val="continue"/>
                  <w:tcBorders>
                    <w:tl2br w:val="nil"/>
                    <w:tr2bl w:val="nil"/>
                  </w:tcBorders>
                  <w:shd w:val="clear" w:color="auto" w:fill="FFFFFF"/>
                  <w:vAlign w:val="center"/>
                </w:tcPr>
                <w:p w14:paraId="1B05E833">
                  <w:pPr>
                    <w:pStyle w:val="120"/>
                    <w:keepNext w:val="0"/>
                    <w:keepLines w:val="0"/>
                    <w:pageBreakBefore w:val="0"/>
                    <w:framePr w:hSpace="0" w:wrap="auto" w:vAnchor="margin" w:hAnchor="text" w:xAlign="left" w:yAlign="inline"/>
                    <w:suppressLineNumbers w:val="0"/>
                    <w:kinsoku/>
                    <w:wordWrap/>
                    <w:overflowPunct/>
                    <w:topLinePunct w:val="0"/>
                    <w:bidi w:val="0"/>
                    <w:adjustRightInd w:val="0"/>
                    <w:snapToGrid w:val="0"/>
                    <w:spacing w:before="0" w:beforeAutospacing="0" w:after="0" w:afterAutospacing="0" w:line="276" w:lineRule="auto"/>
                    <w:ind w:left="0" w:right="0"/>
                    <w:jc w:val="center"/>
                    <w:rPr>
                      <w:rFonts w:hint="default" w:ascii="Times New Roman" w:hAnsi="Times New Roman" w:eastAsia="宋体" w:cs="Times New Roman"/>
                      <w:color w:val="auto"/>
                      <w:sz w:val="18"/>
                      <w:szCs w:val="18"/>
                      <w:highlight w:val="none"/>
                      <w:lang w:val="en-US" w:eastAsia="zh-CN"/>
                    </w:rPr>
                  </w:pPr>
                </w:p>
              </w:tc>
              <w:tc>
                <w:tcPr>
                  <w:tcW w:w="1015" w:type="pct"/>
                  <w:vMerge w:val="continue"/>
                  <w:tcBorders>
                    <w:tl2br w:val="nil"/>
                    <w:tr2bl w:val="nil"/>
                  </w:tcBorders>
                  <w:shd w:val="clear" w:color="auto" w:fill="FFFFFF"/>
                  <w:vAlign w:val="center"/>
                </w:tcPr>
                <w:p w14:paraId="0D279CCB">
                  <w:pPr>
                    <w:pStyle w:val="120"/>
                    <w:keepNext w:val="0"/>
                    <w:keepLines w:val="0"/>
                    <w:pageBreakBefore w:val="0"/>
                    <w:framePr w:hSpace="0" w:wrap="auto" w:vAnchor="margin" w:hAnchor="text" w:xAlign="left" w:yAlign="inline"/>
                    <w:suppressLineNumbers w:val="0"/>
                    <w:kinsoku/>
                    <w:wordWrap/>
                    <w:overflowPunct/>
                    <w:topLinePunct w:val="0"/>
                    <w:bidi w:val="0"/>
                    <w:adjustRightInd w:val="0"/>
                    <w:snapToGrid w:val="0"/>
                    <w:spacing w:before="0" w:beforeAutospacing="0" w:after="0" w:afterAutospacing="0" w:line="276" w:lineRule="auto"/>
                    <w:ind w:left="0" w:right="0"/>
                    <w:jc w:val="center"/>
                    <w:rPr>
                      <w:rFonts w:hint="default" w:ascii="Times New Roman" w:hAnsi="Times New Roman" w:eastAsia="宋体" w:cs="Times New Roman"/>
                      <w:color w:val="auto"/>
                      <w:sz w:val="18"/>
                      <w:szCs w:val="18"/>
                      <w:highlight w:val="none"/>
                      <w:lang w:val="en-US" w:eastAsia="zh-CN"/>
                    </w:rPr>
                  </w:pPr>
                </w:p>
              </w:tc>
              <w:tc>
                <w:tcPr>
                  <w:tcW w:w="1436" w:type="pct"/>
                  <w:tcBorders>
                    <w:tl2br w:val="nil"/>
                    <w:tr2bl w:val="nil"/>
                  </w:tcBorders>
                  <w:shd w:val="clear" w:color="auto" w:fill="FFFFFF"/>
                  <w:noWrap/>
                  <w:vAlign w:val="center"/>
                </w:tcPr>
                <w:p w14:paraId="706B47F9">
                  <w:pPr>
                    <w:keepNext w:val="0"/>
                    <w:keepLines w:val="0"/>
                    <w:pageBreakBefore w:val="0"/>
                    <w:widowControl/>
                    <w:suppressLineNumbers w:val="0"/>
                    <w:kinsoku/>
                    <w:wordWrap/>
                    <w:overflowPunct/>
                    <w:topLinePunct w:val="0"/>
                    <w:bidi w:val="0"/>
                    <w:adjustRightInd w:val="0"/>
                    <w:snapToGrid w:val="0"/>
                    <w:spacing w:before="0" w:beforeAutospacing="0" w:after="0" w:afterAutospacing="0" w:line="276" w:lineRule="auto"/>
                    <w:ind w:left="0" w:right="0"/>
                    <w:jc w:val="center"/>
                    <w:textAlignment w:val="center"/>
                    <w:rPr>
                      <w:rFonts w:hint="default" w:ascii="Times New Roman" w:hAnsi="Times New Roman" w:eastAsia="宋体" w:cs="Times New Roman"/>
                      <w:color w:val="auto"/>
                      <w:sz w:val="18"/>
                      <w:szCs w:val="18"/>
                      <w:highlight w:val="none"/>
                      <w:lang w:val="en-US" w:eastAsia="zh-CN"/>
                    </w:rPr>
                  </w:pPr>
                  <w:r>
                    <w:rPr>
                      <w:rFonts w:hint="default" w:ascii="Times New Roman" w:hAnsi="Times New Roman" w:eastAsia="宋体" w:cs="Times New Roman"/>
                      <w:i w:val="0"/>
                      <w:iCs w:val="0"/>
                      <w:color w:val="000000"/>
                      <w:kern w:val="0"/>
                      <w:sz w:val="18"/>
                      <w:szCs w:val="18"/>
                      <w:highlight w:val="none"/>
                      <w:u w:val="none"/>
                      <w:lang w:val="en-US" w:eastAsia="zh-CN" w:bidi="ar"/>
                    </w:rPr>
                    <w:t>1609</w:t>
                  </w:r>
                  <w:r>
                    <w:rPr>
                      <w:rFonts w:hint="default" w:ascii="Times New Roman" w:hAnsi="Times New Roman" w:eastAsia="宋体" w:cs="Times New Roman"/>
                      <w:color w:val="auto"/>
                      <w:sz w:val="18"/>
                      <w:szCs w:val="18"/>
                      <w:highlight w:val="none"/>
                      <w:lang w:val="en-US" w:eastAsia="zh-CN"/>
                    </w:rPr>
                    <w:t>mm</w:t>
                  </w:r>
                  <w:r>
                    <w:rPr>
                      <w:rFonts w:hint="default" w:ascii="Times New Roman" w:hAnsi="Times New Roman" w:eastAsia="宋体" w:cs="Times New Roman"/>
                      <w:i w:val="0"/>
                      <w:iCs w:val="0"/>
                      <w:color w:val="000000"/>
                      <w:kern w:val="0"/>
                      <w:sz w:val="18"/>
                      <w:szCs w:val="18"/>
                      <w:highlight w:val="none"/>
                      <w:u w:val="none"/>
                      <w:lang w:val="en-US" w:eastAsia="zh-CN" w:bidi="ar"/>
                    </w:rPr>
                    <w:t>×2132</w:t>
                  </w:r>
                  <w:r>
                    <w:rPr>
                      <w:rFonts w:hint="default" w:ascii="Times New Roman" w:hAnsi="Times New Roman" w:eastAsia="宋体" w:cs="Times New Roman"/>
                      <w:color w:val="auto"/>
                      <w:sz w:val="18"/>
                      <w:szCs w:val="18"/>
                      <w:highlight w:val="none"/>
                      <w:lang w:val="en-US" w:eastAsia="zh-CN"/>
                    </w:rPr>
                    <w:t>mm</w:t>
                  </w:r>
                  <w:r>
                    <w:rPr>
                      <w:rFonts w:hint="default" w:ascii="Times New Roman" w:hAnsi="Times New Roman" w:eastAsia="宋体" w:cs="Times New Roman"/>
                      <w:i w:val="0"/>
                      <w:iCs w:val="0"/>
                      <w:color w:val="000000"/>
                      <w:kern w:val="0"/>
                      <w:sz w:val="18"/>
                      <w:szCs w:val="18"/>
                      <w:highlight w:val="none"/>
                      <w:u w:val="none"/>
                      <w:lang w:val="en-US" w:eastAsia="zh-CN" w:bidi="ar"/>
                    </w:rPr>
                    <w:t>×2005</w:t>
                  </w:r>
                  <w:r>
                    <w:rPr>
                      <w:rFonts w:hint="default" w:ascii="Times New Roman" w:hAnsi="Times New Roman" w:eastAsia="宋体" w:cs="Times New Roman"/>
                      <w:color w:val="auto"/>
                      <w:sz w:val="18"/>
                      <w:szCs w:val="18"/>
                      <w:highlight w:val="none"/>
                      <w:lang w:val="en-US" w:eastAsia="zh-CN"/>
                    </w:rPr>
                    <w:t>mm</w:t>
                  </w:r>
                </w:p>
              </w:tc>
              <w:tc>
                <w:tcPr>
                  <w:tcW w:w="284" w:type="pct"/>
                  <w:tcBorders>
                    <w:tl2br w:val="nil"/>
                    <w:tr2bl w:val="nil"/>
                  </w:tcBorders>
                  <w:shd w:val="clear" w:color="auto" w:fill="FFFFFF"/>
                  <w:vAlign w:val="center"/>
                </w:tcPr>
                <w:p w14:paraId="3A2268C9">
                  <w:pPr>
                    <w:keepNext w:val="0"/>
                    <w:keepLines w:val="0"/>
                    <w:pageBreakBefore w:val="0"/>
                    <w:widowControl/>
                    <w:suppressLineNumbers w:val="0"/>
                    <w:kinsoku/>
                    <w:wordWrap/>
                    <w:overflowPunct/>
                    <w:topLinePunct w:val="0"/>
                    <w:bidi w:val="0"/>
                    <w:adjustRightInd w:val="0"/>
                    <w:snapToGrid w:val="0"/>
                    <w:spacing w:before="0" w:beforeAutospacing="0" w:after="0" w:afterAutospacing="0" w:line="276" w:lineRule="auto"/>
                    <w:ind w:left="0" w:right="0"/>
                    <w:jc w:val="center"/>
                    <w:textAlignment w:val="center"/>
                    <w:rPr>
                      <w:rFonts w:hint="default" w:ascii="Times New Roman" w:hAnsi="Times New Roman" w:eastAsia="宋体" w:cs="Times New Roman"/>
                      <w:color w:val="auto"/>
                      <w:kern w:val="2"/>
                      <w:sz w:val="18"/>
                      <w:szCs w:val="18"/>
                      <w:highlight w:val="none"/>
                      <w:lang w:val="en-US" w:eastAsia="zh-CN" w:bidi="ar-SA"/>
                    </w:rPr>
                  </w:pPr>
                  <w:r>
                    <w:rPr>
                      <w:rFonts w:hint="default" w:ascii="Times New Roman" w:hAnsi="Times New Roman" w:eastAsia="宋体" w:cs="Times New Roman"/>
                      <w:i w:val="0"/>
                      <w:iCs w:val="0"/>
                      <w:color w:val="000000"/>
                      <w:kern w:val="0"/>
                      <w:sz w:val="18"/>
                      <w:szCs w:val="18"/>
                      <w:highlight w:val="none"/>
                      <w:u w:val="none"/>
                      <w:lang w:val="en-US" w:eastAsia="zh-CN" w:bidi="ar"/>
                    </w:rPr>
                    <w:t>2</w:t>
                  </w:r>
                </w:p>
              </w:tc>
              <w:tc>
                <w:tcPr>
                  <w:tcW w:w="1678" w:type="pct"/>
                  <w:tcBorders>
                    <w:tl2br w:val="nil"/>
                    <w:tr2bl w:val="nil"/>
                  </w:tcBorders>
                  <w:shd w:val="clear" w:color="auto" w:fill="FFFFFF"/>
                  <w:vAlign w:val="center"/>
                </w:tcPr>
                <w:p w14:paraId="662D55F0">
                  <w:pPr>
                    <w:keepNext w:val="0"/>
                    <w:keepLines w:val="0"/>
                    <w:pageBreakBefore w:val="0"/>
                    <w:widowControl/>
                    <w:suppressLineNumbers w:val="0"/>
                    <w:kinsoku/>
                    <w:wordWrap/>
                    <w:overflowPunct/>
                    <w:topLinePunct w:val="0"/>
                    <w:bidi w:val="0"/>
                    <w:adjustRightInd w:val="0"/>
                    <w:snapToGrid w:val="0"/>
                    <w:spacing w:before="0" w:beforeAutospacing="0" w:after="0" w:afterAutospacing="0" w:line="276" w:lineRule="auto"/>
                    <w:ind w:left="0" w:right="0"/>
                    <w:jc w:val="center"/>
                    <w:textAlignment w:val="center"/>
                    <w:rPr>
                      <w:rFonts w:hint="default" w:ascii="Times New Roman" w:hAnsi="Times New Roman" w:eastAsia="宋体" w:cs="Times New Roman"/>
                      <w:color w:val="auto"/>
                      <w:sz w:val="18"/>
                      <w:szCs w:val="18"/>
                      <w:highlight w:val="none"/>
                      <w:lang w:val="en-US" w:eastAsia="zh-CN"/>
                    </w:rPr>
                  </w:pPr>
                  <w:r>
                    <w:rPr>
                      <w:rFonts w:hint="default" w:ascii="Times New Roman" w:hAnsi="Times New Roman" w:eastAsia="宋体" w:cs="Times New Roman"/>
                      <w:i w:val="0"/>
                      <w:iCs w:val="0"/>
                      <w:color w:val="000000"/>
                      <w:kern w:val="0"/>
                      <w:sz w:val="18"/>
                      <w:szCs w:val="18"/>
                      <w:highlight w:val="none"/>
                      <w:u w:val="none"/>
                      <w:lang w:val="en-US" w:eastAsia="zh-CN" w:bidi="ar"/>
                    </w:rPr>
                    <w:t>外准备间（下面）</w:t>
                  </w:r>
                </w:p>
              </w:tc>
            </w:tr>
            <w:tr w14:paraId="5E7EBA8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FFFFFF"/>
                <w:tblCellMar>
                  <w:top w:w="0" w:type="dxa"/>
                  <w:left w:w="28" w:type="dxa"/>
                  <w:bottom w:w="0" w:type="dxa"/>
                  <w:right w:w="28" w:type="dxa"/>
                </w:tblCellMar>
              </w:tblPrEx>
              <w:trPr>
                <w:trHeight w:val="0" w:hRule="atLeast"/>
              </w:trPr>
              <w:tc>
                <w:tcPr>
                  <w:tcW w:w="235" w:type="pct"/>
                  <w:tcBorders>
                    <w:tl2br w:val="nil"/>
                    <w:tr2bl w:val="nil"/>
                  </w:tcBorders>
                  <w:shd w:val="clear" w:color="auto" w:fill="FFFFFF"/>
                  <w:noWrap/>
                  <w:vAlign w:val="center"/>
                </w:tcPr>
                <w:p w14:paraId="789C6549">
                  <w:pPr>
                    <w:pStyle w:val="120"/>
                    <w:keepNext w:val="0"/>
                    <w:keepLines w:val="0"/>
                    <w:pageBreakBefore w:val="0"/>
                    <w:framePr w:hSpace="0" w:wrap="auto" w:vAnchor="margin" w:hAnchor="text" w:xAlign="left" w:yAlign="inline"/>
                    <w:suppressLineNumbers w:val="0"/>
                    <w:kinsoku/>
                    <w:wordWrap/>
                    <w:overflowPunct/>
                    <w:topLinePunct w:val="0"/>
                    <w:bidi w:val="0"/>
                    <w:adjustRightInd w:val="0"/>
                    <w:snapToGrid w:val="0"/>
                    <w:spacing w:before="0" w:beforeAutospacing="0" w:after="0" w:afterAutospacing="0" w:line="276" w:lineRule="auto"/>
                    <w:ind w:left="0" w:right="0"/>
                    <w:jc w:val="center"/>
                    <w:rPr>
                      <w:rFonts w:hint="default" w:ascii="Times New Roman" w:hAnsi="Times New Roman" w:eastAsia="宋体" w:cs="Times New Roman"/>
                      <w:color w:val="auto"/>
                      <w:sz w:val="18"/>
                      <w:szCs w:val="18"/>
                      <w:highlight w:val="none"/>
                      <w:lang w:val="en-US" w:eastAsia="zh-CN"/>
                    </w:rPr>
                  </w:pPr>
                  <w:r>
                    <w:rPr>
                      <w:rFonts w:hint="default" w:ascii="Times New Roman" w:hAnsi="Times New Roman" w:eastAsia="宋体" w:cs="Times New Roman"/>
                      <w:color w:val="auto"/>
                      <w:sz w:val="18"/>
                      <w:szCs w:val="18"/>
                      <w:highlight w:val="none"/>
                      <w:lang w:val="en-US" w:eastAsia="zh-CN"/>
                    </w:rPr>
                    <w:t>12</w:t>
                  </w:r>
                </w:p>
              </w:tc>
              <w:tc>
                <w:tcPr>
                  <w:tcW w:w="349" w:type="pct"/>
                  <w:vMerge w:val="continue"/>
                  <w:tcBorders>
                    <w:tl2br w:val="nil"/>
                    <w:tr2bl w:val="nil"/>
                  </w:tcBorders>
                  <w:shd w:val="clear" w:color="auto" w:fill="FFFFFF"/>
                  <w:vAlign w:val="center"/>
                </w:tcPr>
                <w:p w14:paraId="04099787">
                  <w:pPr>
                    <w:pStyle w:val="120"/>
                    <w:keepNext w:val="0"/>
                    <w:keepLines w:val="0"/>
                    <w:pageBreakBefore w:val="0"/>
                    <w:framePr w:hSpace="0" w:wrap="auto" w:vAnchor="margin" w:hAnchor="text" w:xAlign="left" w:yAlign="inline"/>
                    <w:suppressLineNumbers w:val="0"/>
                    <w:kinsoku/>
                    <w:wordWrap/>
                    <w:overflowPunct/>
                    <w:topLinePunct w:val="0"/>
                    <w:bidi w:val="0"/>
                    <w:adjustRightInd w:val="0"/>
                    <w:snapToGrid w:val="0"/>
                    <w:spacing w:before="0" w:beforeAutospacing="0" w:after="0" w:afterAutospacing="0" w:line="276" w:lineRule="auto"/>
                    <w:ind w:left="0" w:right="0"/>
                    <w:jc w:val="center"/>
                    <w:rPr>
                      <w:rFonts w:hint="default" w:ascii="Times New Roman" w:hAnsi="Times New Roman" w:eastAsia="宋体" w:cs="Times New Roman"/>
                      <w:color w:val="auto"/>
                      <w:sz w:val="18"/>
                      <w:szCs w:val="18"/>
                      <w:highlight w:val="none"/>
                      <w:lang w:val="en-US" w:eastAsia="zh-CN"/>
                    </w:rPr>
                  </w:pPr>
                </w:p>
              </w:tc>
              <w:tc>
                <w:tcPr>
                  <w:tcW w:w="1015" w:type="pct"/>
                  <w:tcBorders>
                    <w:tl2br w:val="nil"/>
                    <w:tr2bl w:val="nil"/>
                  </w:tcBorders>
                  <w:shd w:val="clear" w:color="auto" w:fill="FFFFFF"/>
                  <w:vAlign w:val="center"/>
                </w:tcPr>
                <w:p w14:paraId="499B4E13">
                  <w:pPr>
                    <w:keepNext w:val="0"/>
                    <w:keepLines w:val="0"/>
                    <w:pageBreakBefore w:val="0"/>
                    <w:widowControl/>
                    <w:suppressLineNumbers w:val="0"/>
                    <w:kinsoku/>
                    <w:wordWrap/>
                    <w:overflowPunct/>
                    <w:topLinePunct w:val="0"/>
                    <w:bidi w:val="0"/>
                    <w:adjustRightInd w:val="0"/>
                    <w:snapToGrid w:val="0"/>
                    <w:spacing w:before="0" w:beforeAutospacing="0" w:after="0" w:afterAutospacing="0" w:line="276" w:lineRule="auto"/>
                    <w:ind w:left="0" w:right="0"/>
                    <w:jc w:val="center"/>
                    <w:textAlignment w:val="center"/>
                    <w:rPr>
                      <w:rFonts w:hint="default" w:ascii="Times New Roman" w:hAnsi="Times New Roman" w:eastAsia="宋体" w:cs="Times New Roman"/>
                      <w:color w:val="auto"/>
                      <w:sz w:val="18"/>
                      <w:szCs w:val="18"/>
                      <w:highlight w:val="none"/>
                      <w:lang w:val="en-US" w:eastAsia="zh-CN"/>
                    </w:rPr>
                  </w:pPr>
                  <w:r>
                    <w:rPr>
                      <w:rFonts w:hint="default" w:ascii="Times New Roman" w:hAnsi="Times New Roman" w:eastAsia="宋体" w:cs="Times New Roman"/>
                      <w:i w:val="0"/>
                      <w:iCs w:val="0"/>
                      <w:color w:val="000000"/>
                      <w:kern w:val="0"/>
                      <w:sz w:val="18"/>
                      <w:szCs w:val="18"/>
                      <w:highlight w:val="none"/>
                      <w:u w:val="none"/>
                      <w:lang w:val="en-US" w:eastAsia="zh-CN" w:bidi="ar"/>
                    </w:rPr>
                    <w:t>大型多功能消毒传递舱</w:t>
                  </w:r>
                </w:p>
              </w:tc>
              <w:tc>
                <w:tcPr>
                  <w:tcW w:w="1436" w:type="pct"/>
                  <w:tcBorders>
                    <w:tl2br w:val="nil"/>
                    <w:tr2bl w:val="nil"/>
                  </w:tcBorders>
                  <w:shd w:val="clear" w:color="auto" w:fill="FFFFFF"/>
                  <w:noWrap/>
                  <w:vAlign w:val="center"/>
                </w:tcPr>
                <w:p w14:paraId="562DFD8F">
                  <w:pPr>
                    <w:keepNext w:val="0"/>
                    <w:keepLines w:val="0"/>
                    <w:pageBreakBefore w:val="0"/>
                    <w:widowControl/>
                    <w:suppressLineNumbers w:val="0"/>
                    <w:kinsoku/>
                    <w:wordWrap/>
                    <w:overflowPunct/>
                    <w:topLinePunct w:val="0"/>
                    <w:bidi w:val="0"/>
                    <w:adjustRightInd w:val="0"/>
                    <w:snapToGrid w:val="0"/>
                    <w:spacing w:before="0" w:beforeAutospacing="0" w:after="0" w:afterAutospacing="0" w:line="276" w:lineRule="auto"/>
                    <w:ind w:left="0" w:right="0"/>
                    <w:jc w:val="center"/>
                    <w:textAlignment w:val="center"/>
                    <w:rPr>
                      <w:rFonts w:hint="default" w:ascii="Times New Roman" w:hAnsi="Times New Roman" w:eastAsia="宋体" w:cs="Times New Roman"/>
                      <w:color w:val="auto"/>
                      <w:sz w:val="18"/>
                      <w:szCs w:val="18"/>
                      <w:highlight w:val="none"/>
                      <w:lang w:val="en-US" w:eastAsia="zh-CN"/>
                    </w:rPr>
                  </w:pPr>
                  <w:r>
                    <w:rPr>
                      <w:rFonts w:hint="default" w:ascii="Times New Roman" w:hAnsi="Times New Roman" w:eastAsia="宋体" w:cs="Times New Roman"/>
                      <w:i w:val="0"/>
                      <w:iCs w:val="0"/>
                      <w:color w:val="000000"/>
                      <w:kern w:val="0"/>
                      <w:sz w:val="18"/>
                      <w:szCs w:val="18"/>
                      <w:highlight w:val="none"/>
                      <w:u w:val="none"/>
                      <w:lang w:val="en-US" w:eastAsia="zh-CN" w:bidi="ar"/>
                    </w:rPr>
                    <w:t>1845</w:t>
                  </w:r>
                  <w:r>
                    <w:rPr>
                      <w:rFonts w:hint="default" w:ascii="Times New Roman" w:hAnsi="Times New Roman" w:eastAsia="宋体" w:cs="Times New Roman"/>
                      <w:color w:val="auto"/>
                      <w:sz w:val="18"/>
                      <w:szCs w:val="18"/>
                      <w:highlight w:val="none"/>
                      <w:lang w:val="en-US" w:eastAsia="zh-CN"/>
                    </w:rPr>
                    <w:t>mm</w:t>
                  </w:r>
                  <w:r>
                    <w:rPr>
                      <w:rFonts w:hint="default" w:ascii="Times New Roman" w:hAnsi="Times New Roman" w:eastAsia="宋体" w:cs="Times New Roman"/>
                      <w:i w:val="0"/>
                      <w:iCs w:val="0"/>
                      <w:color w:val="000000"/>
                      <w:kern w:val="0"/>
                      <w:sz w:val="18"/>
                      <w:szCs w:val="18"/>
                      <w:highlight w:val="none"/>
                      <w:u w:val="none"/>
                      <w:lang w:val="en-US" w:eastAsia="zh-CN" w:bidi="ar"/>
                    </w:rPr>
                    <w:t>×2416</w:t>
                  </w:r>
                  <w:r>
                    <w:rPr>
                      <w:rFonts w:hint="default" w:ascii="Times New Roman" w:hAnsi="Times New Roman" w:eastAsia="宋体" w:cs="Times New Roman"/>
                      <w:color w:val="auto"/>
                      <w:sz w:val="18"/>
                      <w:szCs w:val="18"/>
                      <w:highlight w:val="none"/>
                      <w:lang w:val="en-US" w:eastAsia="zh-CN"/>
                    </w:rPr>
                    <w:t>mm</w:t>
                  </w:r>
                  <w:r>
                    <w:rPr>
                      <w:rFonts w:hint="default" w:ascii="Times New Roman" w:hAnsi="Times New Roman" w:eastAsia="宋体" w:cs="Times New Roman"/>
                      <w:i w:val="0"/>
                      <w:iCs w:val="0"/>
                      <w:color w:val="000000"/>
                      <w:kern w:val="0"/>
                      <w:sz w:val="18"/>
                      <w:szCs w:val="18"/>
                      <w:highlight w:val="none"/>
                      <w:u w:val="none"/>
                      <w:lang w:val="en-US" w:eastAsia="zh-CN" w:bidi="ar"/>
                    </w:rPr>
                    <w:t>×2354</w:t>
                  </w:r>
                  <w:r>
                    <w:rPr>
                      <w:rFonts w:hint="default" w:ascii="Times New Roman" w:hAnsi="Times New Roman" w:eastAsia="宋体" w:cs="Times New Roman"/>
                      <w:color w:val="auto"/>
                      <w:sz w:val="18"/>
                      <w:szCs w:val="18"/>
                      <w:highlight w:val="none"/>
                      <w:lang w:val="en-US" w:eastAsia="zh-CN"/>
                    </w:rPr>
                    <w:t>mm</w:t>
                  </w:r>
                </w:p>
              </w:tc>
              <w:tc>
                <w:tcPr>
                  <w:tcW w:w="284" w:type="pct"/>
                  <w:tcBorders>
                    <w:tl2br w:val="nil"/>
                    <w:tr2bl w:val="nil"/>
                  </w:tcBorders>
                  <w:shd w:val="clear" w:color="auto" w:fill="FFFFFF"/>
                  <w:vAlign w:val="center"/>
                </w:tcPr>
                <w:p w14:paraId="0DE9275E">
                  <w:pPr>
                    <w:keepNext w:val="0"/>
                    <w:keepLines w:val="0"/>
                    <w:pageBreakBefore w:val="0"/>
                    <w:widowControl/>
                    <w:suppressLineNumbers w:val="0"/>
                    <w:kinsoku/>
                    <w:wordWrap/>
                    <w:overflowPunct/>
                    <w:topLinePunct w:val="0"/>
                    <w:bidi w:val="0"/>
                    <w:adjustRightInd w:val="0"/>
                    <w:snapToGrid w:val="0"/>
                    <w:spacing w:before="0" w:beforeAutospacing="0" w:after="0" w:afterAutospacing="0" w:line="276" w:lineRule="auto"/>
                    <w:ind w:left="0" w:right="0"/>
                    <w:jc w:val="center"/>
                    <w:textAlignment w:val="center"/>
                    <w:rPr>
                      <w:rFonts w:hint="default" w:ascii="Times New Roman" w:hAnsi="Times New Roman" w:eastAsia="宋体" w:cs="Times New Roman"/>
                      <w:color w:val="auto"/>
                      <w:kern w:val="2"/>
                      <w:sz w:val="18"/>
                      <w:szCs w:val="18"/>
                      <w:highlight w:val="none"/>
                      <w:lang w:val="en-US" w:eastAsia="zh-CN" w:bidi="ar-SA"/>
                    </w:rPr>
                  </w:pPr>
                  <w:r>
                    <w:rPr>
                      <w:rFonts w:hint="default" w:ascii="Times New Roman" w:hAnsi="Times New Roman" w:eastAsia="宋体" w:cs="Times New Roman"/>
                      <w:i w:val="0"/>
                      <w:iCs w:val="0"/>
                      <w:color w:val="000000"/>
                      <w:kern w:val="0"/>
                      <w:sz w:val="18"/>
                      <w:szCs w:val="18"/>
                      <w:highlight w:val="none"/>
                      <w:u w:val="none"/>
                      <w:lang w:val="en-US" w:eastAsia="zh-CN" w:bidi="ar"/>
                    </w:rPr>
                    <w:t>1</w:t>
                  </w:r>
                </w:p>
              </w:tc>
              <w:tc>
                <w:tcPr>
                  <w:tcW w:w="1678" w:type="pct"/>
                  <w:tcBorders>
                    <w:tl2br w:val="nil"/>
                    <w:tr2bl w:val="nil"/>
                  </w:tcBorders>
                  <w:shd w:val="clear" w:color="auto" w:fill="FFFFFF"/>
                  <w:vAlign w:val="center"/>
                </w:tcPr>
                <w:p w14:paraId="70DD1E3E">
                  <w:pPr>
                    <w:keepNext w:val="0"/>
                    <w:keepLines w:val="0"/>
                    <w:pageBreakBefore w:val="0"/>
                    <w:widowControl/>
                    <w:suppressLineNumbers w:val="0"/>
                    <w:kinsoku/>
                    <w:wordWrap/>
                    <w:overflowPunct/>
                    <w:topLinePunct w:val="0"/>
                    <w:bidi w:val="0"/>
                    <w:adjustRightInd w:val="0"/>
                    <w:snapToGrid w:val="0"/>
                    <w:spacing w:before="0" w:beforeAutospacing="0" w:after="0" w:afterAutospacing="0" w:line="276" w:lineRule="auto"/>
                    <w:ind w:left="0" w:right="0"/>
                    <w:jc w:val="center"/>
                    <w:textAlignment w:val="center"/>
                    <w:rPr>
                      <w:rFonts w:hint="default" w:ascii="Times New Roman" w:hAnsi="Times New Roman" w:eastAsia="宋体" w:cs="Times New Roman"/>
                      <w:color w:val="auto"/>
                      <w:sz w:val="18"/>
                      <w:szCs w:val="18"/>
                      <w:highlight w:val="none"/>
                    </w:rPr>
                  </w:pPr>
                  <w:r>
                    <w:rPr>
                      <w:rFonts w:hint="default" w:ascii="Times New Roman" w:hAnsi="Times New Roman" w:eastAsia="宋体" w:cs="Times New Roman"/>
                      <w:i w:val="0"/>
                      <w:iCs w:val="0"/>
                      <w:color w:val="000000"/>
                      <w:kern w:val="0"/>
                      <w:sz w:val="18"/>
                      <w:szCs w:val="18"/>
                      <w:highlight w:val="none"/>
                      <w:u w:val="none"/>
                      <w:lang w:val="en-US" w:eastAsia="zh-CN" w:bidi="ar"/>
                    </w:rPr>
                    <w:t>外准备间</w:t>
                  </w:r>
                </w:p>
              </w:tc>
            </w:tr>
            <w:tr w14:paraId="6BEBAAD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0" w:hRule="atLeast"/>
              </w:trPr>
              <w:tc>
                <w:tcPr>
                  <w:tcW w:w="235" w:type="pct"/>
                  <w:tcBorders>
                    <w:tl2br w:val="nil"/>
                    <w:tr2bl w:val="nil"/>
                  </w:tcBorders>
                  <w:shd w:val="clear" w:color="auto" w:fill="FFFFFF"/>
                  <w:noWrap/>
                  <w:vAlign w:val="center"/>
                </w:tcPr>
                <w:p w14:paraId="0FB96180">
                  <w:pPr>
                    <w:keepNext w:val="0"/>
                    <w:keepLines w:val="0"/>
                    <w:pageBreakBefore w:val="0"/>
                    <w:widowControl/>
                    <w:suppressLineNumbers w:val="0"/>
                    <w:kinsoku/>
                    <w:wordWrap/>
                    <w:overflowPunct/>
                    <w:topLinePunct w:val="0"/>
                    <w:bidi w:val="0"/>
                    <w:adjustRightInd w:val="0"/>
                    <w:snapToGrid w:val="0"/>
                    <w:spacing w:before="0" w:beforeAutospacing="0" w:after="0" w:afterAutospacing="0" w:line="276" w:lineRule="auto"/>
                    <w:ind w:left="0" w:right="0"/>
                    <w:jc w:val="center"/>
                    <w:textAlignment w:val="center"/>
                    <w:rPr>
                      <w:rFonts w:hint="default" w:ascii="Times New Roman" w:hAnsi="Times New Roman" w:eastAsia="宋体" w:cs="Times New Roman"/>
                      <w:color w:val="auto"/>
                      <w:sz w:val="18"/>
                      <w:szCs w:val="18"/>
                      <w:highlight w:val="none"/>
                      <w:lang w:val="en-US" w:eastAsia="zh-CN"/>
                    </w:rPr>
                  </w:pPr>
                  <w:r>
                    <w:rPr>
                      <w:rFonts w:hint="default" w:ascii="Times New Roman" w:hAnsi="Times New Roman" w:eastAsia="宋体" w:cs="Times New Roman"/>
                      <w:i w:val="0"/>
                      <w:iCs w:val="0"/>
                      <w:color w:val="000000"/>
                      <w:kern w:val="0"/>
                      <w:sz w:val="18"/>
                      <w:szCs w:val="18"/>
                      <w:highlight w:val="none"/>
                      <w:u w:val="none"/>
                      <w:lang w:val="en-US" w:eastAsia="zh-CN" w:bidi="ar"/>
                    </w:rPr>
                    <w:t>13</w:t>
                  </w:r>
                </w:p>
              </w:tc>
              <w:tc>
                <w:tcPr>
                  <w:tcW w:w="349" w:type="pct"/>
                  <w:vMerge w:val="continue"/>
                  <w:tcBorders>
                    <w:tl2br w:val="nil"/>
                    <w:tr2bl w:val="nil"/>
                  </w:tcBorders>
                  <w:shd w:val="clear" w:color="auto" w:fill="FFFFFF"/>
                  <w:noWrap/>
                  <w:vAlign w:val="center"/>
                </w:tcPr>
                <w:p w14:paraId="529D0826">
                  <w:pPr>
                    <w:pStyle w:val="120"/>
                    <w:keepNext w:val="0"/>
                    <w:keepLines w:val="0"/>
                    <w:pageBreakBefore w:val="0"/>
                    <w:framePr w:hSpace="0" w:wrap="auto" w:vAnchor="margin" w:hAnchor="text" w:xAlign="left" w:yAlign="inline"/>
                    <w:suppressLineNumbers w:val="0"/>
                    <w:kinsoku/>
                    <w:wordWrap/>
                    <w:overflowPunct/>
                    <w:topLinePunct w:val="0"/>
                    <w:bidi w:val="0"/>
                    <w:adjustRightInd w:val="0"/>
                    <w:snapToGrid w:val="0"/>
                    <w:spacing w:before="0" w:beforeAutospacing="0" w:after="0" w:afterAutospacing="0" w:line="276" w:lineRule="auto"/>
                    <w:ind w:left="0" w:right="0"/>
                    <w:jc w:val="center"/>
                    <w:rPr>
                      <w:rFonts w:hint="default" w:ascii="Times New Roman" w:hAnsi="Times New Roman" w:eastAsia="宋体" w:cs="Times New Roman"/>
                      <w:color w:val="auto"/>
                      <w:sz w:val="18"/>
                      <w:szCs w:val="18"/>
                      <w:highlight w:val="none"/>
                      <w:lang w:val="en-US" w:eastAsia="zh-CN"/>
                    </w:rPr>
                  </w:pPr>
                </w:p>
              </w:tc>
              <w:tc>
                <w:tcPr>
                  <w:tcW w:w="1015" w:type="pct"/>
                  <w:tcBorders>
                    <w:tl2br w:val="nil"/>
                    <w:tr2bl w:val="nil"/>
                  </w:tcBorders>
                  <w:shd w:val="clear" w:color="auto" w:fill="FFFFFF"/>
                  <w:noWrap/>
                  <w:vAlign w:val="center"/>
                </w:tcPr>
                <w:p w14:paraId="2C1A3DE1">
                  <w:pPr>
                    <w:keepNext w:val="0"/>
                    <w:keepLines w:val="0"/>
                    <w:pageBreakBefore w:val="0"/>
                    <w:widowControl/>
                    <w:suppressLineNumbers w:val="0"/>
                    <w:kinsoku/>
                    <w:wordWrap/>
                    <w:overflowPunct/>
                    <w:topLinePunct w:val="0"/>
                    <w:bidi w:val="0"/>
                    <w:adjustRightInd w:val="0"/>
                    <w:snapToGrid w:val="0"/>
                    <w:spacing w:before="0" w:beforeAutospacing="0" w:after="0" w:afterAutospacing="0" w:line="276" w:lineRule="auto"/>
                    <w:ind w:left="0" w:right="0"/>
                    <w:jc w:val="center"/>
                    <w:textAlignment w:val="center"/>
                    <w:rPr>
                      <w:rFonts w:hint="default" w:ascii="Times New Roman" w:hAnsi="Times New Roman" w:eastAsia="宋体" w:cs="Times New Roman"/>
                      <w:color w:val="auto"/>
                      <w:sz w:val="18"/>
                      <w:szCs w:val="18"/>
                      <w:highlight w:val="none"/>
                    </w:rPr>
                  </w:pPr>
                  <w:r>
                    <w:rPr>
                      <w:rFonts w:hint="default" w:ascii="Times New Roman" w:hAnsi="Times New Roman" w:eastAsia="宋体" w:cs="Times New Roman"/>
                      <w:i w:val="0"/>
                      <w:iCs w:val="0"/>
                      <w:color w:val="000000"/>
                      <w:kern w:val="0"/>
                      <w:sz w:val="18"/>
                      <w:szCs w:val="18"/>
                      <w:highlight w:val="none"/>
                      <w:u w:val="none"/>
                      <w:lang w:val="en-US" w:eastAsia="zh-CN" w:bidi="ar"/>
                    </w:rPr>
                    <w:t>消毒传递窗</w:t>
                  </w:r>
                </w:p>
              </w:tc>
              <w:tc>
                <w:tcPr>
                  <w:tcW w:w="1436" w:type="pct"/>
                  <w:tcBorders>
                    <w:tl2br w:val="nil"/>
                    <w:tr2bl w:val="nil"/>
                  </w:tcBorders>
                  <w:shd w:val="clear" w:color="auto" w:fill="FFFFFF"/>
                  <w:noWrap/>
                  <w:vAlign w:val="center"/>
                </w:tcPr>
                <w:p w14:paraId="41B9FA54">
                  <w:pPr>
                    <w:keepNext w:val="0"/>
                    <w:keepLines w:val="0"/>
                    <w:pageBreakBefore w:val="0"/>
                    <w:widowControl/>
                    <w:suppressLineNumbers w:val="0"/>
                    <w:kinsoku/>
                    <w:wordWrap/>
                    <w:overflowPunct/>
                    <w:topLinePunct w:val="0"/>
                    <w:bidi w:val="0"/>
                    <w:adjustRightInd w:val="0"/>
                    <w:snapToGrid w:val="0"/>
                    <w:spacing w:before="0" w:beforeAutospacing="0" w:after="0" w:afterAutospacing="0" w:line="276" w:lineRule="auto"/>
                    <w:ind w:left="0" w:right="0"/>
                    <w:jc w:val="center"/>
                    <w:textAlignment w:val="center"/>
                    <w:rPr>
                      <w:rFonts w:hint="default" w:ascii="Times New Roman" w:hAnsi="Times New Roman" w:eastAsia="宋体" w:cs="Times New Roman"/>
                      <w:color w:val="auto"/>
                      <w:sz w:val="18"/>
                      <w:szCs w:val="18"/>
                      <w:highlight w:val="none"/>
                    </w:rPr>
                  </w:pPr>
                  <w:r>
                    <w:rPr>
                      <w:rFonts w:hint="default" w:ascii="Times New Roman" w:hAnsi="Times New Roman" w:eastAsia="宋体" w:cs="Times New Roman"/>
                      <w:i w:val="0"/>
                      <w:iCs w:val="0"/>
                      <w:color w:val="000000"/>
                      <w:kern w:val="0"/>
                      <w:sz w:val="18"/>
                      <w:szCs w:val="18"/>
                      <w:highlight w:val="none"/>
                      <w:u w:val="none"/>
                      <w:lang w:val="en-US" w:eastAsia="zh-CN" w:bidi="ar"/>
                    </w:rPr>
                    <w:t>900</w:t>
                  </w:r>
                  <w:r>
                    <w:rPr>
                      <w:rFonts w:hint="default" w:ascii="Times New Roman" w:hAnsi="Times New Roman" w:eastAsia="宋体" w:cs="Times New Roman"/>
                      <w:color w:val="auto"/>
                      <w:sz w:val="18"/>
                      <w:szCs w:val="18"/>
                      <w:highlight w:val="none"/>
                      <w:lang w:val="en-US" w:eastAsia="zh-CN"/>
                    </w:rPr>
                    <w:t>mm</w:t>
                  </w:r>
                  <w:r>
                    <w:rPr>
                      <w:rFonts w:hint="default" w:ascii="Times New Roman" w:hAnsi="Times New Roman" w:eastAsia="宋体" w:cs="Times New Roman"/>
                      <w:i w:val="0"/>
                      <w:iCs w:val="0"/>
                      <w:color w:val="000000"/>
                      <w:kern w:val="0"/>
                      <w:sz w:val="18"/>
                      <w:szCs w:val="18"/>
                      <w:highlight w:val="none"/>
                      <w:u w:val="none"/>
                      <w:lang w:val="en-US" w:eastAsia="zh-CN" w:bidi="ar"/>
                    </w:rPr>
                    <w:t>×664</w:t>
                  </w:r>
                  <w:r>
                    <w:rPr>
                      <w:rFonts w:hint="default" w:ascii="Times New Roman" w:hAnsi="Times New Roman" w:eastAsia="宋体" w:cs="Times New Roman"/>
                      <w:color w:val="auto"/>
                      <w:sz w:val="18"/>
                      <w:szCs w:val="18"/>
                      <w:highlight w:val="none"/>
                      <w:lang w:val="en-US" w:eastAsia="zh-CN"/>
                    </w:rPr>
                    <w:t>mm</w:t>
                  </w:r>
                  <w:r>
                    <w:rPr>
                      <w:rFonts w:hint="default" w:ascii="Times New Roman" w:hAnsi="Times New Roman" w:eastAsia="宋体" w:cs="Times New Roman"/>
                      <w:i w:val="0"/>
                      <w:iCs w:val="0"/>
                      <w:color w:val="000000"/>
                      <w:kern w:val="0"/>
                      <w:sz w:val="18"/>
                      <w:szCs w:val="18"/>
                      <w:highlight w:val="none"/>
                      <w:u w:val="none"/>
                      <w:lang w:val="en-US" w:eastAsia="zh-CN" w:bidi="ar"/>
                    </w:rPr>
                    <w:t>×900</w:t>
                  </w:r>
                  <w:r>
                    <w:rPr>
                      <w:rFonts w:hint="default" w:ascii="Times New Roman" w:hAnsi="Times New Roman" w:eastAsia="宋体" w:cs="Times New Roman"/>
                      <w:color w:val="auto"/>
                      <w:sz w:val="18"/>
                      <w:szCs w:val="18"/>
                      <w:highlight w:val="none"/>
                      <w:lang w:val="en-US" w:eastAsia="zh-CN"/>
                    </w:rPr>
                    <w:t>mm</w:t>
                  </w:r>
                </w:p>
              </w:tc>
              <w:tc>
                <w:tcPr>
                  <w:tcW w:w="284" w:type="pct"/>
                  <w:tcBorders>
                    <w:tl2br w:val="nil"/>
                    <w:tr2bl w:val="nil"/>
                  </w:tcBorders>
                  <w:shd w:val="clear" w:color="auto" w:fill="FFFFFF"/>
                  <w:noWrap/>
                  <w:vAlign w:val="center"/>
                </w:tcPr>
                <w:p w14:paraId="7FC6642F">
                  <w:pPr>
                    <w:keepNext w:val="0"/>
                    <w:keepLines w:val="0"/>
                    <w:pageBreakBefore w:val="0"/>
                    <w:widowControl/>
                    <w:suppressLineNumbers w:val="0"/>
                    <w:kinsoku/>
                    <w:wordWrap/>
                    <w:overflowPunct/>
                    <w:topLinePunct w:val="0"/>
                    <w:bidi w:val="0"/>
                    <w:adjustRightInd w:val="0"/>
                    <w:snapToGrid w:val="0"/>
                    <w:spacing w:before="0" w:beforeAutospacing="0" w:after="0" w:afterAutospacing="0" w:line="276" w:lineRule="auto"/>
                    <w:ind w:left="0" w:right="0"/>
                    <w:jc w:val="center"/>
                    <w:textAlignment w:val="center"/>
                    <w:rPr>
                      <w:rFonts w:hint="default" w:ascii="Times New Roman" w:hAnsi="Times New Roman" w:eastAsia="宋体" w:cs="Times New Roman"/>
                      <w:color w:val="auto"/>
                      <w:kern w:val="2"/>
                      <w:sz w:val="18"/>
                      <w:szCs w:val="18"/>
                      <w:highlight w:val="none"/>
                      <w:lang w:val="en-US" w:eastAsia="zh-CN" w:bidi="ar-SA"/>
                    </w:rPr>
                  </w:pPr>
                  <w:r>
                    <w:rPr>
                      <w:rFonts w:hint="default" w:ascii="Times New Roman" w:hAnsi="Times New Roman" w:eastAsia="宋体" w:cs="Times New Roman"/>
                      <w:i w:val="0"/>
                      <w:iCs w:val="0"/>
                      <w:color w:val="000000"/>
                      <w:kern w:val="0"/>
                      <w:sz w:val="18"/>
                      <w:szCs w:val="18"/>
                      <w:highlight w:val="none"/>
                      <w:u w:val="none"/>
                      <w:lang w:val="en-US" w:eastAsia="zh-CN" w:bidi="ar"/>
                    </w:rPr>
                    <w:t>4</w:t>
                  </w:r>
                </w:p>
              </w:tc>
              <w:tc>
                <w:tcPr>
                  <w:tcW w:w="1678" w:type="pct"/>
                  <w:tcBorders>
                    <w:tl2br w:val="nil"/>
                    <w:tr2bl w:val="nil"/>
                  </w:tcBorders>
                  <w:shd w:val="clear" w:color="auto" w:fill="FFFFFF"/>
                  <w:noWrap/>
                  <w:vAlign w:val="center"/>
                </w:tcPr>
                <w:p w14:paraId="6B98117D">
                  <w:pPr>
                    <w:keepNext w:val="0"/>
                    <w:keepLines w:val="0"/>
                    <w:pageBreakBefore w:val="0"/>
                    <w:widowControl/>
                    <w:suppressLineNumbers w:val="0"/>
                    <w:kinsoku/>
                    <w:wordWrap/>
                    <w:overflowPunct/>
                    <w:topLinePunct w:val="0"/>
                    <w:bidi w:val="0"/>
                    <w:adjustRightInd w:val="0"/>
                    <w:snapToGrid w:val="0"/>
                    <w:spacing w:before="0" w:beforeAutospacing="0" w:after="0" w:afterAutospacing="0" w:line="276" w:lineRule="auto"/>
                    <w:ind w:left="0" w:right="0"/>
                    <w:jc w:val="center"/>
                    <w:textAlignment w:val="center"/>
                    <w:rPr>
                      <w:rFonts w:hint="default" w:ascii="Times New Roman" w:hAnsi="Times New Roman" w:eastAsia="宋体" w:cs="Times New Roman"/>
                      <w:color w:val="auto"/>
                      <w:sz w:val="18"/>
                      <w:szCs w:val="18"/>
                      <w:highlight w:val="none"/>
                    </w:rPr>
                  </w:pPr>
                  <w:r>
                    <w:rPr>
                      <w:rFonts w:hint="default" w:ascii="Times New Roman" w:hAnsi="Times New Roman" w:eastAsia="宋体" w:cs="Times New Roman"/>
                      <w:i w:val="0"/>
                      <w:iCs w:val="0"/>
                      <w:color w:val="000000"/>
                      <w:kern w:val="0"/>
                      <w:sz w:val="18"/>
                      <w:szCs w:val="18"/>
                      <w:highlight w:val="none"/>
                      <w:u w:val="none"/>
                      <w:lang w:val="en-US" w:eastAsia="zh-CN" w:bidi="ar"/>
                    </w:rPr>
                    <w:t>外准备间、脱包室</w:t>
                  </w:r>
                </w:p>
              </w:tc>
            </w:tr>
            <w:tr w14:paraId="56E4A43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FFFFFF"/>
                <w:tblCellMar>
                  <w:top w:w="0" w:type="dxa"/>
                  <w:left w:w="28" w:type="dxa"/>
                  <w:bottom w:w="0" w:type="dxa"/>
                  <w:right w:w="28" w:type="dxa"/>
                </w:tblCellMar>
              </w:tblPrEx>
              <w:trPr>
                <w:trHeight w:val="0" w:hRule="atLeast"/>
              </w:trPr>
              <w:tc>
                <w:tcPr>
                  <w:tcW w:w="235" w:type="pct"/>
                  <w:tcBorders>
                    <w:tl2br w:val="nil"/>
                    <w:tr2bl w:val="nil"/>
                  </w:tcBorders>
                  <w:shd w:val="clear" w:color="auto" w:fill="FFFFFF"/>
                  <w:noWrap/>
                  <w:vAlign w:val="center"/>
                </w:tcPr>
                <w:p w14:paraId="676A1000">
                  <w:pPr>
                    <w:keepNext w:val="0"/>
                    <w:keepLines w:val="0"/>
                    <w:pageBreakBefore w:val="0"/>
                    <w:widowControl/>
                    <w:suppressLineNumbers w:val="0"/>
                    <w:kinsoku/>
                    <w:wordWrap/>
                    <w:overflowPunct/>
                    <w:topLinePunct w:val="0"/>
                    <w:bidi w:val="0"/>
                    <w:adjustRightInd w:val="0"/>
                    <w:snapToGrid w:val="0"/>
                    <w:spacing w:before="0" w:beforeAutospacing="0" w:after="0" w:afterAutospacing="0" w:line="276" w:lineRule="auto"/>
                    <w:ind w:left="0" w:right="0"/>
                    <w:jc w:val="center"/>
                    <w:textAlignment w:val="center"/>
                    <w:rPr>
                      <w:rFonts w:hint="default" w:ascii="Times New Roman" w:hAnsi="Times New Roman" w:eastAsia="宋体" w:cs="Times New Roman"/>
                      <w:color w:val="auto"/>
                      <w:sz w:val="18"/>
                      <w:szCs w:val="18"/>
                      <w:highlight w:val="none"/>
                      <w:lang w:val="en-US" w:eastAsia="zh-CN"/>
                    </w:rPr>
                  </w:pPr>
                  <w:r>
                    <w:rPr>
                      <w:rFonts w:hint="default" w:ascii="Times New Roman" w:hAnsi="Times New Roman" w:eastAsia="宋体" w:cs="Times New Roman"/>
                      <w:i w:val="0"/>
                      <w:iCs w:val="0"/>
                      <w:color w:val="000000"/>
                      <w:kern w:val="0"/>
                      <w:sz w:val="18"/>
                      <w:szCs w:val="18"/>
                      <w:highlight w:val="none"/>
                      <w:u w:val="none"/>
                      <w:lang w:val="en-US" w:eastAsia="zh-CN" w:bidi="ar"/>
                    </w:rPr>
                    <w:t>14</w:t>
                  </w:r>
                </w:p>
              </w:tc>
              <w:tc>
                <w:tcPr>
                  <w:tcW w:w="349" w:type="pct"/>
                  <w:vMerge w:val="continue"/>
                  <w:tcBorders>
                    <w:tl2br w:val="nil"/>
                    <w:tr2bl w:val="nil"/>
                  </w:tcBorders>
                  <w:shd w:val="clear" w:color="auto" w:fill="FFFFFF"/>
                  <w:vAlign w:val="center"/>
                </w:tcPr>
                <w:p w14:paraId="4844EB3D">
                  <w:pPr>
                    <w:pStyle w:val="120"/>
                    <w:keepNext w:val="0"/>
                    <w:keepLines w:val="0"/>
                    <w:pageBreakBefore w:val="0"/>
                    <w:framePr w:hSpace="0" w:wrap="auto" w:vAnchor="margin" w:hAnchor="text" w:xAlign="left" w:yAlign="inline"/>
                    <w:suppressLineNumbers w:val="0"/>
                    <w:kinsoku/>
                    <w:wordWrap/>
                    <w:overflowPunct/>
                    <w:topLinePunct w:val="0"/>
                    <w:bidi w:val="0"/>
                    <w:adjustRightInd w:val="0"/>
                    <w:snapToGrid w:val="0"/>
                    <w:spacing w:before="0" w:beforeAutospacing="0" w:after="0" w:afterAutospacing="0" w:line="276" w:lineRule="auto"/>
                    <w:ind w:left="0" w:right="0"/>
                    <w:jc w:val="center"/>
                    <w:rPr>
                      <w:rFonts w:hint="default" w:ascii="Times New Roman" w:hAnsi="Times New Roman" w:eastAsia="宋体" w:cs="Times New Roman"/>
                      <w:color w:val="auto"/>
                      <w:sz w:val="18"/>
                      <w:szCs w:val="18"/>
                      <w:highlight w:val="none"/>
                    </w:rPr>
                  </w:pPr>
                </w:p>
              </w:tc>
              <w:tc>
                <w:tcPr>
                  <w:tcW w:w="1015" w:type="pct"/>
                  <w:tcBorders>
                    <w:tl2br w:val="nil"/>
                    <w:tr2bl w:val="nil"/>
                  </w:tcBorders>
                  <w:shd w:val="clear" w:color="auto" w:fill="FFFFFF"/>
                  <w:vAlign w:val="center"/>
                </w:tcPr>
                <w:p w14:paraId="6B449509">
                  <w:pPr>
                    <w:keepNext w:val="0"/>
                    <w:keepLines w:val="0"/>
                    <w:pageBreakBefore w:val="0"/>
                    <w:widowControl/>
                    <w:suppressLineNumbers w:val="0"/>
                    <w:kinsoku/>
                    <w:wordWrap/>
                    <w:overflowPunct/>
                    <w:topLinePunct w:val="0"/>
                    <w:bidi w:val="0"/>
                    <w:adjustRightInd w:val="0"/>
                    <w:snapToGrid w:val="0"/>
                    <w:spacing w:before="0" w:beforeAutospacing="0" w:after="0" w:afterAutospacing="0" w:line="276" w:lineRule="auto"/>
                    <w:ind w:left="0" w:right="0"/>
                    <w:jc w:val="center"/>
                    <w:textAlignment w:val="center"/>
                    <w:rPr>
                      <w:rFonts w:hint="default" w:ascii="Times New Roman" w:hAnsi="Times New Roman" w:eastAsia="宋体" w:cs="Times New Roman"/>
                      <w:color w:val="auto"/>
                      <w:sz w:val="18"/>
                      <w:szCs w:val="18"/>
                      <w:highlight w:val="none"/>
                    </w:rPr>
                  </w:pPr>
                  <w:r>
                    <w:rPr>
                      <w:rFonts w:hint="default" w:ascii="Times New Roman" w:hAnsi="Times New Roman" w:eastAsia="宋体" w:cs="Times New Roman"/>
                      <w:i w:val="0"/>
                      <w:iCs w:val="0"/>
                      <w:color w:val="000000"/>
                      <w:kern w:val="0"/>
                      <w:sz w:val="18"/>
                      <w:szCs w:val="18"/>
                      <w:highlight w:val="none"/>
                      <w:u w:val="none"/>
                      <w:lang w:val="en-US" w:eastAsia="zh-CN" w:bidi="ar"/>
                    </w:rPr>
                    <w:t>饮水瓶全自动灌装机</w:t>
                  </w:r>
                </w:p>
              </w:tc>
              <w:tc>
                <w:tcPr>
                  <w:tcW w:w="1436" w:type="pct"/>
                  <w:tcBorders>
                    <w:tl2br w:val="nil"/>
                    <w:tr2bl w:val="nil"/>
                  </w:tcBorders>
                  <w:shd w:val="clear" w:color="auto" w:fill="FFFFFF"/>
                  <w:noWrap/>
                  <w:vAlign w:val="center"/>
                </w:tcPr>
                <w:p w14:paraId="2439F757">
                  <w:pPr>
                    <w:keepNext w:val="0"/>
                    <w:keepLines w:val="0"/>
                    <w:pageBreakBefore w:val="0"/>
                    <w:widowControl/>
                    <w:suppressLineNumbers w:val="0"/>
                    <w:kinsoku/>
                    <w:wordWrap/>
                    <w:overflowPunct/>
                    <w:topLinePunct w:val="0"/>
                    <w:bidi w:val="0"/>
                    <w:adjustRightInd w:val="0"/>
                    <w:snapToGrid w:val="0"/>
                    <w:spacing w:before="0" w:beforeAutospacing="0" w:after="0" w:afterAutospacing="0" w:line="276" w:lineRule="auto"/>
                    <w:ind w:left="0" w:right="0"/>
                    <w:jc w:val="center"/>
                    <w:textAlignment w:val="center"/>
                    <w:rPr>
                      <w:rFonts w:hint="default" w:ascii="Times New Roman" w:hAnsi="Times New Roman" w:eastAsia="宋体" w:cs="Times New Roman"/>
                      <w:color w:val="auto"/>
                      <w:sz w:val="18"/>
                      <w:szCs w:val="18"/>
                      <w:highlight w:val="none"/>
                      <w:lang w:val="en-US"/>
                    </w:rPr>
                  </w:pPr>
                  <w:r>
                    <w:rPr>
                      <w:rFonts w:hint="default" w:ascii="Times New Roman" w:hAnsi="Times New Roman" w:eastAsia="宋体" w:cs="Times New Roman"/>
                      <w:i w:val="0"/>
                      <w:iCs w:val="0"/>
                      <w:color w:val="000000"/>
                      <w:kern w:val="0"/>
                      <w:sz w:val="18"/>
                      <w:szCs w:val="18"/>
                      <w:highlight w:val="none"/>
                      <w:u w:val="none"/>
                      <w:lang w:val="en-US" w:eastAsia="zh-CN" w:bidi="ar"/>
                    </w:rPr>
                    <w:t>750</w:t>
                  </w:r>
                  <w:r>
                    <w:rPr>
                      <w:rFonts w:hint="default" w:ascii="Times New Roman" w:hAnsi="Times New Roman" w:eastAsia="宋体" w:cs="Times New Roman"/>
                      <w:color w:val="auto"/>
                      <w:sz w:val="18"/>
                      <w:szCs w:val="18"/>
                      <w:highlight w:val="none"/>
                      <w:lang w:val="en-US" w:eastAsia="zh-CN"/>
                    </w:rPr>
                    <w:t>mm</w:t>
                  </w:r>
                  <w:r>
                    <w:rPr>
                      <w:rFonts w:hint="default" w:ascii="Times New Roman" w:hAnsi="Times New Roman" w:eastAsia="宋体" w:cs="Times New Roman"/>
                      <w:i w:val="0"/>
                      <w:iCs w:val="0"/>
                      <w:color w:val="000000"/>
                      <w:kern w:val="0"/>
                      <w:sz w:val="18"/>
                      <w:szCs w:val="18"/>
                      <w:highlight w:val="none"/>
                      <w:u w:val="none"/>
                      <w:lang w:val="en-US" w:eastAsia="zh-CN" w:bidi="ar"/>
                    </w:rPr>
                    <w:t>×770</w:t>
                  </w:r>
                  <w:r>
                    <w:rPr>
                      <w:rFonts w:hint="default" w:ascii="Times New Roman" w:hAnsi="Times New Roman" w:eastAsia="宋体" w:cs="Times New Roman"/>
                      <w:color w:val="auto"/>
                      <w:sz w:val="18"/>
                      <w:szCs w:val="18"/>
                      <w:highlight w:val="none"/>
                      <w:lang w:val="en-US" w:eastAsia="zh-CN"/>
                    </w:rPr>
                    <w:t>mm</w:t>
                  </w:r>
                  <w:r>
                    <w:rPr>
                      <w:rFonts w:hint="default" w:ascii="Times New Roman" w:hAnsi="Times New Roman" w:eastAsia="宋体" w:cs="Times New Roman"/>
                      <w:i w:val="0"/>
                      <w:iCs w:val="0"/>
                      <w:color w:val="000000"/>
                      <w:kern w:val="0"/>
                      <w:sz w:val="18"/>
                      <w:szCs w:val="18"/>
                      <w:highlight w:val="none"/>
                      <w:u w:val="none"/>
                      <w:lang w:val="en-US" w:eastAsia="zh-CN" w:bidi="ar"/>
                    </w:rPr>
                    <w:t>×1536</w:t>
                  </w:r>
                  <w:r>
                    <w:rPr>
                      <w:rFonts w:hint="default" w:ascii="Times New Roman" w:hAnsi="Times New Roman" w:eastAsia="宋体" w:cs="Times New Roman"/>
                      <w:color w:val="auto"/>
                      <w:sz w:val="18"/>
                      <w:szCs w:val="18"/>
                      <w:highlight w:val="none"/>
                      <w:lang w:val="en-US" w:eastAsia="zh-CN"/>
                    </w:rPr>
                    <w:t>mm</w:t>
                  </w:r>
                </w:p>
              </w:tc>
              <w:tc>
                <w:tcPr>
                  <w:tcW w:w="284" w:type="pct"/>
                  <w:tcBorders>
                    <w:tl2br w:val="nil"/>
                    <w:tr2bl w:val="nil"/>
                  </w:tcBorders>
                  <w:shd w:val="clear" w:color="auto" w:fill="FFFFFF"/>
                  <w:vAlign w:val="center"/>
                </w:tcPr>
                <w:p w14:paraId="21978553">
                  <w:pPr>
                    <w:keepNext w:val="0"/>
                    <w:keepLines w:val="0"/>
                    <w:pageBreakBefore w:val="0"/>
                    <w:widowControl/>
                    <w:suppressLineNumbers w:val="0"/>
                    <w:kinsoku/>
                    <w:wordWrap/>
                    <w:overflowPunct/>
                    <w:topLinePunct w:val="0"/>
                    <w:bidi w:val="0"/>
                    <w:adjustRightInd w:val="0"/>
                    <w:snapToGrid w:val="0"/>
                    <w:spacing w:before="0" w:beforeAutospacing="0" w:after="0" w:afterAutospacing="0" w:line="276" w:lineRule="auto"/>
                    <w:ind w:left="0" w:right="0"/>
                    <w:jc w:val="center"/>
                    <w:textAlignment w:val="center"/>
                    <w:rPr>
                      <w:rFonts w:hint="default" w:ascii="Times New Roman" w:hAnsi="Times New Roman" w:eastAsia="宋体" w:cs="Times New Roman"/>
                      <w:color w:val="auto"/>
                      <w:kern w:val="2"/>
                      <w:sz w:val="18"/>
                      <w:szCs w:val="18"/>
                      <w:highlight w:val="none"/>
                      <w:lang w:val="en-US" w:eastAsia="zh-CN" w:bidi="ar-SA"/>
                    </w:rPr>
                  </w:pPr>
                  <w:r>
                    <w:rPr>
                      <w:rFonts w:hint="default" w:ascii="Times New Roman" w:hAnsi="Times New Roman" w:eastAsia="宋体" w:cs="Times New Roman"/>
                      <w:i w:val="0"/>
                      <w:iCs w:val="0"/>
                      <w:color w:val="000000"/>
                      <w:kern w:val="0"/>
                      <w:sz w:val="18"/>
                      <w:szCs w:val="18"/>
                      <w:highlight w:val="none"/>
                      <w:u w:val="none"/>
                      <w:lang w:val="en-US" w:eastAsia="zh-CN" w:bidi="ar"/>
                    </w:rPr>
                    <w:t>1</w:t>
                  </w:r>
                </w:p>
              </w:tc>
              <w:tc>
                <w:tcPr>
                  <w:tcW w:w="1678" w:type="pct"/>
                  <w:tcBorders>
                    <w:tl2br w:val="nil"/>
                    <w:tr2bl w:val="nil"/>
                  </w:tcBorders>
                  <w:shd w:val="clear" w:color="auto" w:fill="FFFFFF"/>
                  <w:vAlign w:val="center"/>
                </w:tcPr>
                <w:p w14:paraId="2D8FDFAA">
                  <w:pPr>
                    <w:keepNext w:val="0"/>
                    <w:keepLines w:val="0"/>
                    <w:pageBreakBefore w:val="0"/>
                    <w:widowControl/>
                    <w:suppressLineNumbers w:val="0"/>
                    <w:kinsoku/>
                    <w:wordWrap/>
                    <w:overflowPunct/>
                    <w:topLinePunct w:val="0"/>
                    <w:bidi w:val="0"/>
                    <w:adjustRightInd w:val="0"/>
                    <w:snapToGrid w:val="0"/>
                    <w:spacing w:before="0" w:beforeAutospacing="0" w:after="0" w:afterAutospacing="0" w:line="276" w:lineRule="auto"/>
                    <w:ind w:left="0" w:right="0"/>
                    <w:jc w:val="center"/>
                    <w:textAlignment w:val="center"/>
                    <w:rPr>
                      <w:rFonts w:hint="default" w:ascii="Times New Roman" w:hAnsi="Times New Roman" w:eastAsia="宋体" w:cs="Times New Roman"/>
                      <w:color w:val="auto"/>
                      <w:sz w:val="18"/>
                      <w:szCs w:val="18"/>
                      <w:highlight w:val="none"/>
                      <w:lang w:val="en-US" w:eastAsia="zh-CN"/>
                    </w:rPr>
                  </w:pPr>
                  <w:r>
                    <w:rPr>
                      <w:rFonts w:hint="default" w:ascii="Times New Roman" w:hAnsi="Times New Roman" w:eastAsia="宋体" w:cs="Times New Roman"/>
                      <w:i w:val="0"/>
                      <w:iCs w:val="0"/>
                      <w:color w:val="000000"/>
                      <w:kern w:val="0"/>
                      <w:sz w:val="18"/>
                      <w:szCs w:val="18"/>
                      <w:highlight w:val="none"/>
                      <w:u w:val="none"/>
                      <w:lang w:val="en-US" w:eastAsia="zh-CN" w:bidi="ar"/>
                    </w:rPr>
                    <w:t>内准备间</w:t>
                  </w:r>
                </w:p>
              </w:tc>
            </w:tr>
            <w:tr w14:paraId="3B2B9B8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FFFFFF"/>
                <w:tblCellMar>
                  <w:top w:w="0" w:type="dxa"/>
                  <w:left w:w="28" w:type="dxa"/>
                  <w:bottom w:w="0" w:type="dxa"/>
                  <w:right w:w="28" w:type="dxa"/>
                </w:tblCellMar>
              </w:tblPrEx>
              <w:trPr>
                <w:trHeight w:val="0" w:hRule="atLeast"/>
              </w:trPr>
              <w:tc>
                <w:tcPr>
                  <w:tcW w:w="235" w:type="pct"/>
                  <w:tcBorders>
                    <w:tl2br w:val="nil"/>
                    <w:tr2bl w:val="nil"/>
                  </w:tcBorders>
                  <w:shd w:val="clear" w:color="auto" w:fill="FFFFFF"/>
                  <w:noWrap/>
                  <w:vAlign w:val="center"/>
                </w:tcPr>
                <w:p w14:paraId="0DE073E9">
                  <w:pPr>
                    <w:keepNext w:val="0"/>
                    <w:keepLines w:val="0"/>
                    <w:pageBreakBefore w:val="0"/>
                    <w:widowControl/>
                    <w:suppressLineNumbers w:val="0"/>
                    <w:kinsoku/>
                    <w:wordWrap/>
                    <w:overflowPunct/>
                    <w:topLinePunct w:val="0"/>
                    <w:bidi w:val="0"/>
                    <w:adjustRightInd w:val="0"/>
                    <w:snapToGrid w:val="0"/>
                    <w:spacing w:before="0" w:beforeAutospacing="0" w:after="0" w:afterAutospacing="0" w:line="276" w:lineRule="auto"/>
                    <w:ind w:left="0" w:right="0"/>
                    <w:jc w:val="center"/>
                    <w:textAlignment w:val="center"/>
                    <w:rPr>
                      <w:rFonts w:hint="default" w:ascii="Times New Roman" w:hAnsi="Times New Roman" w:eastAsia="宋体" w:cs="Times New Roman"/>
                      <w:color w:val="auto"/>
                      <w:sz w:val="18"/>
                      <w:szCs w:val="18"/>
                      <w:highlight w:val="none"/>
                      <w:lang w:val="en-US" w:eastAsia="zh-CN"/>
                    </w:rPr>
                  </w:pPr>
                  <w:r>
                    <w:rPr>
                      <w:rFonts w:hint="default" w:ascii="Times New Roman" w:hAnsi="Times New Roman" w:eastAsia="宋体" w:cs="Times New Roman"/>
                      <w:i w:val="0"/>
                      <w:iCs w:val="0"/>
                      <w:color w:val="000000"/>
                      <w:kern w:val="0"/>
                      <w:sz w:val="18"/>
                      <w:szCs w:val="18"/>
                      <w:highlight w:val="none"/>
                      <w:u w:val="none"/>
                      <w:lang w:val="en-US" w:eastAsia="zh-CN" w:bidi="ar"/>
                    </w:rPr>
                    <w:t>15</w:t>
                  </w:r>
                </w:p>
              </w:tc>
              <w:tc>
                <w:tcPr>
                  <w:tcW w:w="349" w:type="pct"/>
                  <w:vMerge w:val="continue"/>
                  <w:tcBorders>
                    <w:tl2br w:val="nil"/>
                    <w:tr2bl w:val="nil"/>
                  </w:tcBorders>
                  <w:shd w:val="clear" w:color="auto" w:fill="FFFFFF"/>
                  <w:vAlign w:val="center"/>
                </w:tcPr>
                <w:p w14:paraId="1D535F08">
                  <w:pPr>
                    <w:pStyle w:val="120"/>
                    <w:keepNext w:val="0"/>
                    <w:keepLines w:val="0"/>
                    <w:pageBreakBefore w:val="0"/>
                    <w:framePr w:hSpace="0" w:wrap="auto" w:vAnchor="margin" w:hAnchor="text" w:xAlign="left" w:yAlign="inline"/>
                    <w:suppressLineNumbers w:val="0"/>
                    <w:kinsoku/>
                    <w:wordWrap/>
                    <w:overflowPunct/>
                    <w:topLinePunct w:val="0"/>
                    <w:bidi w:val="0"/>
                    <w:adjustRightInd w:val="0"/>
                    <w:snapToGrid w:val="0"/>
                    <w:spacing w:before="0" w:beforeAutospacing="0" w:after="0" w:afterAutospacing="0" w:line="276" w:lineRule="auto"/>
                    <w:ind w:left="0" w:right="0"/>
                    <w:jc w:val="center"/>
                    <w:rPr>
                      <w:rFonts w:hint="default" w:ascii="Times New Roman" w:hAnsi="Times New Roman" w:eastAsia="宋体" w:cs="Times New Roman"/>
                      <w:color w:val="auto"/>
                      <w:sz w:val="18"/>
                      <w:szCs w:val="18"/>
                      <w:highlight w:val="none"/>
                    </w:rPr>
                  </w:pPr>
                </w:p>
              </w:tc>
              <w:tc>
                <w:tcPr>
                  <w:tcW w:w="1015" w:type="pct"/>
                  <w:tcBorders>
                    <w:tl2br w:val="nil"/>
                    <w:tr2bl w:val="nil"/>
                  </w:tcBorders>
                  <w:shd w:val="clear" w:color="auto" w:fill="FFFFFF"/>
                  <w:vAlign w:val="center"/>
                </w:tcPr>
                <w:p w14:paraId="7A559897">
                  <w:pPr>
                    <w:keepNext w:val="0"/>
                    <w:keepLines w:val="0"/>
                    <w:pageBreakBefore w:val="0"/>
                    <w:widowControl/>
                    <w:suppressLineNumbers w:val="0"/>
                    <w:kinsoku/>
                    <w:wordWrap/>
                    <w:overflowPunct/>
                    <w:topLinePunct w:val="0"/>
                    <w:bidi w:val="0"/>
                    <w:adjustRightInd w:val="0"/>
                    <w:snapToGrid w:val="0"/>
                    <w:spacing w:before="0" w:beforeAutospacing="0" w:after="0" w:afterAutospacing="0" w:line="276" w:lineRule="auto"/>
                    <w:ind w:left="0" w:right="0"/>
                    <w:jc w:val="center"/>
                    <w:textAlignment w:val="center"/>
                    <w:rPr>
                      <w:rFonts w:hint="default" w:ascii="Times New Roman" w:hAnsi="Times New Roman" w:eastAsia="宋体" w:cs="Times New Roman"/>
                      <w:color w:val="auto"/>
                      <w:sz w:val="18"/>
                      <w:szCs w:val="18"/>
                      <w:highlight w:val="none"/>
                    </w:rPr>
                  </w:pPr>
                  <w:r>
                    <w:rPr>
                      <w:rFonts w:hint="default" w:ascii="Times New Roman" w:hAnsi="Times New Roman" w:eastAsia="宋体" w:cs="Times New Roman"/>
                      <w:i w:val="0"/>
                      <w:iCs w:val="0"/>
                      <w:color w:val="000000"/>
                      <w:kern w:val="0"/>
                      <w:sz w:val="18"/>
                      <w:szCs w:val="18"/>
                      <w:highlight w:val="none"/>
                      <w:u w:val="none"/>
                      <w:lang w:val="en-US" w:eastAsia="zh-CN" w:bidi="ar"/>
                    </w:rPr>
                    <w:t>大型多功能清洗机</w:t>
                  </w:r>
                </w:p>
              </w:tc>
              <w:tc>
                <w:tcPr>
                  <w:tcW w:w="1436" w:type="pct"/>
                  <w:tcBorders>
                    <w:tl2br w:val="nil"/>
                    <w:tr2bl w:val="nil"/>
                  </w:tcBorders>
                  <w:shd w:val="clear" w:color="auto" w:fill="FFFFFF"/>
                  <w:vAlign w:val="center"/>
                </w:tcPr>
                <w:p w14:paraId="1AF0FD60">
                  <w:pPr>
                    <w:keepNext w:val="0"/>
                    <w:keepLines w:val="0"/>
                    <w:pageBreakBefore w:val="0"/>
                    <w:widowControl/>
                    <w:suppressLineNumbers w:val="0"/>
                    <w:kinsoku/>
                    <w:wordWrap/>
                    <w:overflowPunct/>
                    <w:topLinePunct w:val="0"/>
                    <w:bidi w:val="0"/>
                    <w:adjustRightInd w:val="0"/>
                    <w:snapToGrid w:val="0"/>
                    <w:spacing w:before="0" w:beforeAutospacing="0" w:after="0" w:afterAutospacing="0" w:line="276" w:lineRule="auto"/>
                    <w:ind w:left="0" w:right="0"/>
                    <w:jc w:val="center"/>
                    <w:textAlignment w:val="center"/>
                    <w:rPr>
                      <w:rFonts w:hint="default" w:ascii="Times New Roman" w:hAnsi="Times New Roman" w:eastAsia="宋体" w:cs="Times New Roman"/>
                      <w:color w:val="auto"/>
                      <w:sz w:val="18"/>
                      <w:szCs w:val="18"/>
                      <w:highlight w:val="none"/>
                    </w:rPr>
                  </w:pPr>
                  <w:r>
                    <w:rPr>
                      <w:rFonts w:hint="default" w:ascii="Times New Roman" w:hAnsi="Times New Roman" w:eastAsia="宋体" w:cs="Times New Roman"/>
                      <w:i w:val="0"/>
                      <w:iCs w:val="0"/>
                      <w:color w:val="000000"/>
                      <w:kern w:val="0"/>
                      <w:sz w:val="18"/>
                      <w:szCs w:val="18"/>
                      <w:highlight w:val="none"/>
                      <w:u w:val="none"/>
                      <w:lang w:val="en-US" w:eastAsia="zh-CN" w:bidi="ar"/>
                    </w:rPr>
                    <w:t>2330</w:t>
                  </w:r>
                  <w:r>
                    <w:rPr>
                      <w:rFonts w:hint="default" w:ascii="Times New Roman" w:hAnsi="Times New Roman" w:eastAsia="宋体" w:cs="Times New Roman"/>
                      <w:color w:val="auto"/>
                      <w:sz w:val="18"/>
                      <w:szCs w:val="18"/>
                      <w:highlight w:val="none"/>
                      <w:lang w:val="en-US" w:eastAsia="zh-CN"/>
                    </w:rPr>
                    <w:t>mm</w:t>
                  </w:r>
                  <w:r>
                    <w:rPr>
                      <w:rFonts w:hint="default" w:ascii="Times New Roman" w:hAnsi="Times New Roman" w:eastAsia="宋体" w:cs="Times New Roman"/>
                      <w:i w:val="0"/>
                      <w:iCs w:val="0"/>
                      <w:color w:val="000000"/>
                      <w:kern w:val="0"/>
                      <w:sz w:val="18"/>
                      <w:szCs w:val="18"/>
                      <w:highlight w:val="none"/>
                      <w:u w:val="none"/>
                      <w:lang w:val="en-US" w:eastAsia="zh-CN" w:bidi="ar"/>
                    </w:rPr>
                    <w:t>×2510</w:t>
                  </w:r>
                  <w:r>
                    <w:rPr>
                      <w:rFonts w:hint="default" w:ascii="Times New Roman" w:hAnsi="Times New Roman" w:eastAsia="宋体" w:cs="Times New Roman"/>
                      <w:color w:val="auto"/>
                      <w:sz w:val="18"/>
                      <w:szCs w:val="18"/>
                      <w:highlight w:val="none"/>
                      <w:lang w:val="en-US" w:eastAsia="zh-CN"/>
                    </w:rPr>
                    <w:t>mm</w:t>
                  </w:r>
                  <w:r>
                    <w:rPr>
                      <w:rFonts w:hint="default" w:ascii="Times New Roman" w:hAnsi="Times New Roman" w:eastAsia="宋体" w:cs="Times New Roman"/>
                      <w:i w:val="0"/>
                      <w:iCs w:val="0"/>
                      <w:color w:val="000000"/>
                      <w:kern w:val="0"/>
                      <w:sz w:val="18"/>
                      <w:szCs w:val="18"/>
                      <w:highlight w:val="none"/>
                      <w:u w:val="none"/>
                      <w:lang w:val="en-US" w:eastAsia="zh-CN" w:bidi="ar"/>
                    </w:rPr>
                    <w:t>×2664</w:t>
                  </w:r>
                  <w:r>
                    <w:rPr>
                      <w:rFonts w:hint="default" w:ascii="Times New Roman" w:hAnsi="Times New Roman" w:eastAsia="宋体" w:cs="Times New Roman"/>
                      <w:color w:val="auto"/>
                      <w:sz w:val="18"/>
                      <w:szCs w:val="18"/>
                      <w:highlight w:val="none"/>
                      <w:lang w:val="en-US" w:eastAsia="zh-CN"/>
                    </w:rPr>
                    <w:t>mm</w:t>
                  </w:r>
                </w:p>
              </w:tc>
              <w:tc>
                <w:tcPr>
                  <w:tcW w:w="284" w:type="pct"/>
                  <w:tcBorders>
                    <w:tl2br w:val="nil"/>
                    <w:tr2bl w:val="nil"/>
                  </w:tcBorders>
                  <w:shd w:val="clear" w:color="auto" w:fill="FFFFFF"/>
                  <w:vAlign w:val="center"/>
                </w:tcPr>
                <w:p w14:paraId="106C8CD3">
                  <w:pPr>
                    <w:keepNext w:val="0"/>
                    <w:keepLines w:val="0"/>
                    <w:pageBreakBefore w:val="0"/>
                    <w:widowControl/>
                    <w:suppressLineNumbers w:val="0"/>
                    <w:kinsoku/>
                    <w:wordWrap/>
                    <w:overflowPunct/>
                    <w:topLinePunct w:val="0"/>
                    <w:bidi w:val="0"/>
                    <w:adjustRightInd w:val="0"/>
                    <w:snapToGrid w:val="0"/>
                    <w:spacing w:before="0" w:beforeAutospacing="0" w:after="0" w:afterAutospacing="0" w:line="276" w:lineRule="auto"/>
                    <w:ind w:left="0" w:right="0"/>
                    <w:jc w:val="center"/>
                    <w:textAlignment w:val="center"/>
                    <w:rPr>
                      <w:rFonts w:hint="default" w:ascii="Times New Roman" w:hAnsi="Times New Roman" w:eastAsia="宋体" w:cs="Times New Roman"/>
                      <w:color w:val="auto"/>
                      <w:kern w:val="2"/>
                      <w:sz w:val="18"/>
                      <w:szCs w:val="18"/>
                      <w:highlight w:val="none"/>
                      <w:lang w:val="en-US" w:eastAsia="zh-CN" w:bidi="ar-SA"/>
                    </w:rPr>
                  </w:pPr>
                  <w:r>
                    <w:rPr>
                      <w:rFonts w:hint="default" w:ascii="Times New Roman" w:hAnsi="Times New Roman" w:eastAsia="宋体" w:cs="Times New Roman"/>
                      <w:i w:val="0"/>
                      <w:iCs w:val="0"/>
                      <w:color w:val="000000"/>
                      <w:kern w:val="0"/>
                      <w:sz w:val="18"/>
                      <w:szCs w:val="18"/>
                      <w:highlight w:val="none"/>
                      <w:u w:val="none"/>
                      <w:lang w:val="en-US" w:eastAsia="zh-CN" w:bidi="ar"/>
                    </w:rPr>
                    <w:t>1</w:t>
                  </w:r>
                </w:p>
              </w:tc>
              <w:tc>
                <w:tcPr>
                  <w:tcW w:w="1678" w:type="pct"/>
                  <w:tcBorders>
                    <w:tl2br w:val="nil"/>
                    <w:tr2bl w:val="nil"/>
                  </w:tcBorders>
                  <w:shd w:val="clear" w:color="auto" w:fill="FFFFFF"/>
                  <w:vAlign w:val="center"/>
                </w:tcPr>
                <w:p w14:paraId="55FD473C">
                  <w:pPr>
                    <w:keepNext w:val="0"/>
                    <w:keepLines w:val="0"/>
                    <w:pageBreakBefore w:val="0"/>
                    <w:widowControl/>
                    <w:suppressLineNumbers w:val="0"/>
                    <w:kinsoku/>
                    <w:wordWrap/>
                    <w:overflowPunct/>
                    <w:topLinePunct w:val="0"/>
                    <w:bidi w:val="0"/>
                    <w:adjustRightInd w:val="0"/>
                    <w:snapToGrid w:val="0"/>
                    <w:spacing w:before="0" w:beforeAutospacing="0" w:after="0" w:afterAutospacing="0" w:line="276" w:lineRule="auto"/>
                    <w:ind w:left="0" w:right="0"/>
                    <w:jc w:val="center"/>
                    <w:textAlignment w:val="center"/>
                    <w:rPr>
                      <w:rFonts w:hint="default" w:ascii="Times New Roman" w:hAnsi="Times New Roman" w:eastAsia="宋体" w:cs="Times New Roman"/>
                      <w:color w:val="auto"/>
                      <w:sz w:val="18"/>
                      <w:szCs w:val="18"/>
                      <w:highlight w:val="none"/>
                      <w:lang w:val="en-US" w:eastAsia="zh-CN"/>
                    </w:rPr>
                  </w:pPr>
                  <w:r>
                    <w:rPr>
                      <w:rFonts w:hint="default" w:ascii="Times New Roman" w:hAnsi="Times New Roman" w:eastAsia="宋体" w:cs="Times New Roman"/>
                      <w:i w:val="0"/>
                      <w:iCs w:val="0"/>
                      <w:color w:val="000000"/>
                      <w:kern w:val="0"/>
                      <w:sz w:val="18"/>
                      <w:szCs w:val="18"/>
                      <w:highlight w:val="none"/>
                      <w:u w:val="none"/>
                      <w:lang w:val="en-US" w:eastAsia="zh-CN" w:bidi="ar"/>
                    </w:rPr>
                    <w:t>洗消前室</w:t>
                  </w:r>
                </w:p>
              </w:tc>
            </w:tr>
            <w:tr w14:paraId="23F9ABA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0" w:hRule="atLeast"/>
              </w:trPr>
              <w:tc>
                <w:tcPr>
                  <w:tcW w:w="235" w:type="pct"/>
                  <w:tcBorders>
                    <w:tl2br w:val="nil"/>
                    <w:tr2bl w:val="nil"/>
                  </w:tcBorders>
                  <w:shd w:val="clear" w:color="auto" w:fill="FFFFFF"/>
                  <w:noWrap/>
                  <w:vAlign w:val="center"/>
                </w:tcPr>
                <w:p w14:paraId="02021D84">
                  <w:pPr>
                    <w:keepNext w:val="0"/>
                    <w:keepLines w:val="0"/>
                    <w:pageBreakBefore w:val="0"/>
                    <w:widowControl/>
                    <w:suppressLineNumbers w:val="0"/>
                    <w:kinsoku/>
                    <w:wordWrap/>
                    <w:overflowPunct/>
                    <w:topLinePunct w:val="0"/>
                    <w:bidi w:val="0"/>
                    <w:adjustRightInd w:val="0"/>
                    <w:snapToGrid w:val="0"/>
                    <w:spacing w:before="0" w:beforeAutospacing="0" w:after="0" w:afterAutospacing="0" w:line="276" w:lineRule="auto"/>
                    <w:ind w:left="0" w:right="0"/>
                    <w:jc w:val="center"/>
                    <w:textAlignment w:val="center"/>
                    <w:rPr>
                      <w:rFonts w:hint="default" w:ascii="Times New Roman" w:hAnsi="Times New Roman" w:eastAsia="宋体" w:cs="Times New Roman"/>
                      <w:color w:val="auto"/>
                      <w:sz w:val="18"/>
                      <w:szCs w:val="18"/>
                      <w:highlight w:val="none"/>
                      <w:lang w:val="en-US" w:eastAsia="zh-CN"/>
                    </w:rPr>
                  </w:pPr>
                  <w:r>
                    <w:rPr>
                      <w:rFonts w:hint="default" w:ascii="Times New Roman" w:hAnsi="Times New Roman" w:eastAsia="宋体" w:cs="Times New Roman"/>
                      <w:i w:val="0"/>
                      <w:iCs w:val="0"/>
                      <w:color w:val="000000"/>
                      <w:kern w:val="0"/>
                      <w:sz w:val="18"/>
                      <w:szCs w:val="18"/>
                      <w:highlight w:val="none"/>
                      <w:u w:val="none"/>
                      <w:lang w:val="en-US" w:eastAsia="zh-CN" w:bidi="ar"/>
                    </w:rPr>
                    <w:t>16</w:t>
                  </w:r>
                </w:p>
              </w:tc>
              <w:tc>
                <w:tcPr>
                  <w:tcW w:w="349" w:type="pct"/>
                  <w:vMerge w:val="continue"/>
                  <w:tcBorders>
                    <w:tl2br w:val="nil"/>
                    <w:tr2bl w:val="nil"/>
                  </w:tcBorders>
                  <w:shd w:val="clear" w:color="auto" w:fill="FFFFFF"/>
                  <w:noWrap/>
                  <w:vAlign w:val="center"/>
                </w:tcPr>
                <w:p w14:paraId="20A9918C">
                  <w:pPr>
                    <w:pStyle w:val="120"/>
                    <w:keepNext w:val="0"/>
                    <w:keepLines w:val="0"/>
                    <w:pageBreakBefore w:val="0"/>
                    <w:framePr w:hSpace="0" w:wrap="auto" w:vAnchor="margin" w:hAnchor="text" w:xAlign="left" w:yAlign="inline"/>
                    <w:suppressLineNumbers w:val="0"/>
                    <w:kinsoku/>
                    <w:wordWrap/>
                    <w:overflowPunct/>
                    <w:topLinePunct w:val="0"/>
                    <w:bidi w:val="0"/>
                    <w:adjustRightInd w:val="0"/>
                    <w:snapToGrid w:val="0"/>
                    <w:spacing w:before="0" w:beforeAutospacing="0" w:after="0" w:afterAutospacing="0" w:line="276" w:lineRule="auto"/>
                    <w:ind w:left="0" w:right="0"/>
                    <w:jc w:val="center"/>
                    <w:rPr>
                      <w:rFonts w:hint="default" w:ascii="Times New Roman" w:hAnsi="Times New Roman" w:eastAsia="宋体" w:cs="Times New Roman"/>
                      <w:color w:val="auto"/>
                      <w:sz w:val="18"/>
                      <w:szCs w:val="18"/>
                      <w:highlight w:val="none"/>
                    </w:rPr>
                  </w:pPr>
                </w:p>
              </w:tc>
              <w:tc>
                <w:tcPr>
                  <w:tcW w:w="1015" w:type="pct"/>
                  <w:tcBorders>
                    <w:tl2br w:val="nil"/>
                    <w:tr2bl w:val="nil"/>
                  </w:tcBorders>
                  <w:shd w:val="clear" w:color="auto" w:fill="FFFFFF"/>
                  <w:noWrap/>
                  <w:vAlign w:val="center"/>
                </w:tcPr>
                <w:p w14:paraId="7D32D31F">
                  <w:pPr>
                    <w:keepNext w:val="0"/>
                    <w:keepLines w:val="0"/>
                    <w:pageBreakBefore w:val="0"/>
                    <w:widowControl/>
                    <w:suppressLineNumbers w:val="0"/>
                    <w:kinsoku/>
                    <w:wordWrap/>
                    <w:overflowPunct/>
                    <w:topLinePunct w:val="0"/>
                    <w:bidi w:val="0"/>
                    <w:adjustRightInd w:val="0"/>
                    <w:snapToGrid w:val="0"/>
                    <w:spacing w:before="0" w:beforeAutospacing="0" w:after="0" w:afterAutospacing="0" w:line="276" w:lineRule="auto"/>
                    <w:ind w:left="0" w:right="0"/>
                    <w:jc w:val="center"/>
                    <w:textAlignment w:val="center"/>
                    <w:rPr>
                      <w:rFonts w:hint="default" w:ascii="Times New Roman" w:hAnsi="Times New Roman" w:eastAsia="宋体" w:cs="Times New Roman"/>
                      <w:color w:val="auto"/>
                      <w:sz w:val="18"/>
                      <w:szCs w:val="18"/>
                      <w:highlight w:val="none"/>
                    </w:rPr>
                  </w:pPr>
                  <w:r>
                    <w:rPr>
                      <w:rFonts w:hint="default" w:ascii="Times New Roman" w:hAnsi="Times New Roman" w:eastAsia="宋体" w:cs="Times New Roman"/>
                      <w:i w:val="0"/>
                      <w:iCs w:val="0"/>
                      <w:color w:val="000000"/>
                      <w:kern w:val="0"/>
                      <w:sz w:val="18"/>
                      <w:szCs w:val="18"/>
                      <w:highlight w:val="none"/>
                      <w:u w:val="none"/>
                      <w:lang w:val="en-US" w:eastAsia="zh-CN" w:bidi="ar"/>
                    </w:rPr>
                    <w:t>隧道式连续清洗机</w:t>
                  </w:r>
                </w:p>
              </w:tc>
              <w:tc>
                <w:tcPr>
                  <w:tcW w:w="1436" w:type="pct"/>
                  <w:tcBorders>
                    <w:tl2br w:val="nil"/>
                    <w:tr2bl w:val="nil"/>
                  </w:tcBorders>
                  <w:shd w:val="clear" w:color="auto" w:fill="FFFFFF"/>
                  <w:vAlign w:val="center"/>
                </w:tcPr>
                <w:p w14:paraId="223BD03F">
                  <w:pPr>
                    <w:keepNext w:val="0"/>
                    <w:keepLines w:val="0"/>
                    <w:pageBreakBefore w:val="0"/>
                    <w:widowControl/>
                    <w:suppressLineNumbers w:val="0"/>
                    <w:kinsoku/>
                    <w:wordWrap/>
                    <w:overflowPunct/>
                    <w:topLinePunct w:val="0"/>
                    <w:bidi w:val="0"/>
                    <w:adjustRightInd w:val="0"/>
                    <w:snapToGrid w:val="0"/>
                    <w:spacing w:before="0" w:beforeAutospacing="0" w:after="0" w:afterAutospacing="0" w:line="276" w:lineRule="auto"/>
                    <w:ind w:left="0" w:right="0"/>
                    <w:jc w:val="center"/>
                    <w:textAlignment w:val="center"/>
                    <w:rPr>
                      <w:rFonts w:hint="default" w:ascii="Times New Roman" w:hAnsi="Times New Roman" w:eastAsia="宋体" w:cs="Times New Roman"/>
                      <w:color w:val="auto"/>
                      <w:sz w:val="18"/>
                      <w:szCs w:val="18"/>
                      <w:highlight w:val="none"/>
                    </w:rPr>
                  </w:pPr>
                  <w:r>
                    <w:rPr>
                      <w:rFonts w:hint="default" w:ascii="Times New Roman" w:hAnsi="Times New Roman" w:eastAsia="宋体" w:cs="Times New Roman"/>
                      <w:i w:val="0"/>
                      <w:iCs w:val="0"/>
                      <w:color w:val="000000"/>
                      <w:kern w:val="0"/>
                      <w:sz w:val="18"/>
                      <w:szCs w:val="18"/>
                      <w:highlight w:val="none"/>
                      <w:u w:val="none"/>
                      <w:lang w:val="en-US" w:eastAsia="zh-CN" w:bidi="ar"/>
                    </w:rPr>
                    <w:t>7498</w:t>
                  </w:r>
                  <w:r>
                    <w:rPr>
                      <w:rFonts w:hint="default" w:ascii="Times New Roman" w:hAnsi="Times New Roman" w:eastAsia="宋体" w:cs="Times New Roman"/>
                      <w:color w:val="auto"/>
                      <w:sz w:val="18"/>
                      <w:szCs w:val="18"/>
                      <w:highlight w:val="none"/>
                      <w:lang w:val="en-US" w:eastAsia="zh-CN"/>
                    </w:rPr>
                    <w:t>mm</w:t>
                  </w:r>
                  <w:r>
                    <w:rPr>
                      <w:rFonts w:hint="default" w:ascii="Times New Roman" w:hAnsi="Times New Roman" w:eastAsia="宋体" w:cs="Times New Roman"/>
                      <w:i w:val="0"/>
                      <w:iCs w:val="0"/>
                      <w:color w:val="000000"/>
                      <w:kern w:val="0"/>
                      <w:sz w:val="18"/>
                      <w:szCs w:val="18"/>
                      <w:highlight w:val="none"/>
                      <w:u w:val="none"/>
                      <w:lang w:val="en-US" w:eastAsia="zh-CN" w:bidi="ar"/>
                    </w:rPr>
                    <w:t>×1370</w:t>
                  </w:r>
                  <w:r>
                    <w:rPr>
                      <w:rFonts w:hint="default" w:ascii="Times New Roman" w:hAnsi="Times New Roman" w:eastAsia="宋体" w:cs="Times New Roman"/>
                      <w:color w:val="auto"/>
                      <w:sz w:val="18"/>
                      <w:szCs w:val="18"/>
                      <w:highlight w:val="none"/>
                      <w:lang w:val="en-US" w:eastAsia="zh-CN"/>
                    </w:rPr>
                    <w:t>mm</w:t>
                  </w:r>
                  <w:r>
                    <w:rPr>
                      <w:rFonts w:hint="default" w:ascii="Times New Roman" w:hAnsi="Times New Roman" w:eastAsia="宋体" w:cs="Times New Roman"/>
                      <w:i w:val="0"/>
                      <w:iCs w:val="0"/>
                      <w:color w:val="000000"/>
                      <w:kern w:val="0"/>
                      <w:sz w:val="18"/>
                      <w:szCs w:val="18"/>
                      <w:highlight w:val="none"/>
                      <w:u w:val="none"/>
                      <w:lang w:val="en-US" w:eastAsia="zh-CN" w:bidi="ar"/>
                    </w:rPr>
                    <w:t>×2395</w:t>
                  </w:r>
                  <w:r>
                    <w:rPr>
                      <w:rFonts w:hint="default" w:ascii="Times New Roman" w:hAnsi="Times New Roman" w:eastAsia="宋体" w:cs="Times New Roman"/>
                      <w:color w:val="auto"/>
                      <w:sz w:val="18"/>
                      <w:szCs w:val="18"/>
                      <w:highlight w:val="none"/>
                      <w:lang w:val="en-US" w:eastAsia="zh-CN"/>
                    </w:rPr>
                    <w:t>mm</w:t>
                  </w:r>
                </w:p>
              </w:tc>
              <w:tc>
                <w:tcPr>
                  <w:tcW w:w="284" w:type="pct"/>
                  <w:tcBorders>
                    <w:tl2br w:val="nil"/>
                    <w:tr2bl w:val="nil"/>
                  </w:tcBorders>
                  <w:shd w:val="clear" w:color="auto" w:fill="FFFFFF"/>
                  <w:noWrap/>
                  <w:vAlign w:val="center"/>
                </w:tcPr>
                <w:p w14:paraId="554F7C00">
                  <w:pPr>
                    <w:keepNext w:val="0"/>
                    <w:keepLines w:val="0"/>
                    <w:pageBreakBefore w:val="0"/>
                    <w:widowControl/>
                    <w:suppressLineNumbers w:val="0"/>
                    <w:kinsoku/>
                    <w:wordWrap/>
                    <w:overflowPunct/>
                    <w:topLinePunct w:val="0"/>
                    <w:bidi w:val="0"/>
                    <w:adjustRightInd w:val="0"/>
                    <w:snapToGrid w:val="0"/>
                    <w:spacing w:before="0" w:beforeAutospacing="0" w:after="0" w:afterAutospacing="0" w:line="276" w:lineRule="auto"/>
                    <w:ind w:left="0" w:right="0"/>
                    <w:jc w:val="center"/>
                    <w:textAlignment w:val="center"/>
                    <w:rPr>
                      <w:rFonts w:hint="default" w:ascii="Times New Roman" w:hAnsi="Times New Roman" w:eastAsia="宋体" w:cs="Times New Roman"/>
                      <w:color w:val="auto"/>
                      <w:kern w:val="2"/>
                      <w:sz w:val="18"/>
                      <w:szCs w:val="18"/>
                      <w:highlight w:val="none"/>
                      <w:lang w:val="en-US" w:eastAsia="zh-CN" w:bidi="ar-SA"/>
                    </w:rPr>
                  </w:pPr>
                  <w:r>
                    <w:rPr>
                      <w:rFonts w:hint="default" w:ascii="Times New Roman" w:hAnsi="Times New Roman" w:eastAsia="宋体" w:cs="Times New Roman"/>
                      <w:i w:val="0"/>
                      <w:iCs w:val="0"/>
                      <w:color w:val="000000"/>
                      <w:kern w:val="0"/>
                      <w:sz w:val="18"/>
                      <w:szCs w:val="18"/>
                      <w:highlight w:val="none"/>
                      <w:u w:val="none"/>
                      <w:lang w:val="en-US" w:eastAsia="zh-CN" w:bidi="ar"/>
                    </w:rPr>
                    <w:t>1</w:t>
                  </w:r>
                </w:p>
              </w:tc>
              <w:tc>
                <w:tcPr>
                  <w:tcW w:w="1678" w:type="pct"/>
                  <w:tcBorders>
                    <w:tl2br w:val="nil"/>
                    <w:tr2bl w:val="nil"/>
                  </w:tcBorders>
                  <w:shd w:val="clear" w:color="auto" w:fill="FFFFFF"/>
                  <w:noWrap/>
                  <w:vAlign w:val="center"/>
                </w:tcPr>
                <w:p w14:paraId="1F4CF2FB">
                  <w:pPr>
                    <w:keepNext w:val="0"/>
                    <w:keepLines w:val="0"/>
                    <w:pageBreakBefore w:val="0"/>
                    <w:widowControl/>
                    <w:suppressLineNumbers w:val="0"/>
                    <w:kinsoku/>
                    <w:wordWrap/>
                    <w:overflowPunct/>
                    <w:topLinePunct w:val="0"/>
                    <w:bidi w:val="0"/>
                    <w:adjustRightInd w:val="0"/>
                    <w:snapToGrid w:val="0"/>
                    <w:spacing w:before="0" w:beforeAutospacing="0" w:after="0" w:afterAutospacing="0" w:line="276" w:lineRule="auto"/>
                    <w:ind w:left="0" w:right="0"/>
                    <w:jc w:val="center"/>
                    <w:textAlignment w:val="center"/>
                    <w:rPr>
                      <w:rFonts w:hint="default" w:ascii="Times New Roman" w:hAnsi="Times New Roman" w:eastAsia="宋体" w:cs="Times New Roman"/>
                      <w:color w:val="auto"/>
                      <w:sz w:val="18"/>
                      <w:szCs w:val="18"/>
                      <w:highlight w:val="none"/>
                      <w:lang w:val="en-US" w:eastAsia="zh-CN"/>
                    </w:rPr>
                  </w:pPr>
                  <w:r>
                    <w:rPr>
                      <w:rFonts w:hint="default" w:ascii="Times New Roman" w:hAnsi="Times New Roman" w:eastAsia="宋体" w:cs="Times New Roman"/>
                      <w:i w:val="0"/>
                      <w:iCs w:val="0"/>
                      <w:color w:val="000000"/>
                      <w:kern w:val="0"/>
                      <w:sz w:val="18"/>
                      <w:szCs w:val="18"/>
                      <w:highlight w:val="none"/>
                      <w:u w:val="none"/>
                      <w:lang w:val="en-US" w:eastAsia="zh-CN" w:bidi="ar"/>
                    </w:rPr>
                    <w:t>洗消前室</w:t>
                  </w:r>
                </w:p>
              </w:tc>
            </w:tr>
            <w:tr w14:paraId="300E581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FFFFFF"/>
                <w:tblCellMar>
                  <w:top w:w="0" w:type="dxa"/>
                  <w:left w:w="28" w:type="dxa"/>
                  <w:bottom w:w="0" w:type="dxa"/>
                  <w:right w:w="28" w:type="dxa"/>
                </w:tblCellMar>
              </w:tblPrEx>
              <w:trPr>
                <w:trHeight w:val="0" w:hRule="atLeast"/>
              </w:trPr>
              <w:tc>
                <w:tcPr>
                  <w:tcW w:w="235" w:type="pct"/>
                  <w:tcBorders>
                    <w:tl2br w:val="nil"/>
                    <w:tr2bl w:val="nil"/>
                  </w:tcBorders>
                  <w:shd w:val="clear" w:color="auto" w:fill="FFFFFF"/>
                  <w:noWrap/>
                  <w:vAlign w:val="center"/>
                </w:tcPr>
                <w:p w14:paraId="644FD366">
                  <w:pPr>
                    <w:keepNext w:val="0"/>
                    <w:keepLines w:val="0"/>
                    <w:pageBreakBefore w:val="0"/>
                    <w:widowControl/>
                    <w:suppressLineNumbers w:val="0"/>
                    <w:kinsoku/>
                    <w:wordWrap/>
                    <w:overflowPunct/>
                    <w:topLinePunct w:val="0"/>
                    <w:bidi w:val="0"/>
                    <w:adjustRightInd w:val="0"/>
                    <w:snapToGrid w:val="0"/>
                    <w:spacing w:before="0" w:beforeAutospacing="0" w:after="0" w:afterAutospacing="0" w:line="276" w:lineRule="auto"/>
                    <w:ind w:left="0" w:right="0"/>
                    <w:jc w:val="center"/>
                    <w:textAlignment w:val="center"/>
                    <w:rPr>
                      <w:rFonts w:hint="default" w:ascii="Times New Roman" w:hAnsi="Times New Roman" w:eastAsia="宋体" w:cs="Times New Roman"/>
                      <w:color w:val="auto"/>
                      <w:sz w:val="18"/>
                      <w:szCs w:val="18"/>
                      <w:highlight w:val="none"/>
                      <w:lang w:val="en-US" w:eastAsia="zh-CN"/>
                    </w:rPr>
                  </w:pPr>
                  <w:r>
                    <w:rPr>
                      <w:rFonts w:hint="default" w:ascii="Times New Roman" w:hAnsi="Times New Roman" w:eastAsia="宋体" w:cs="Times New Roman"/>
                      <w:i w:val="0"/>
                      <w:iCs w:val="0"/>
                      <w:color w:val="000000"/>
                      <w:kern w:val="0"/>
                      <w:sz w:val="18"/>
                      <w:szCs w:val="18"/>
                      <w:highlight w:val="none"/>
                      <w:u w:val="none"/>
                      <w:lang w:val="en-US" w:eastAsia="zh-CN" w:bidi="ar"/>
                    </w:rPr>
                    <w:t>17</w:t>
                  </w:r>
                </w:p>
              </w:tc>
              <w:tc>
                <w:tcPr>
                  <w:tcW w:w="349" w:type="pct"/>
                  <w:vMerge w:val="continue"/>
                  <w:tcBorders>
                    <w:tl2br w:val="nil"/>
                    <w:tr2bl w:val="nil"/>
                  </w:tcBorders>
                  <w:shd w:val="clear" w:color="auto" w:fill="FFFFFF"/>
                  <w:noWrap/>
                  <w:vAlign w:val="center"/>
                </w:tcPr>
                <w:p w14:paraId="372F594D">
                  <w:pPr>
                    <w:pStyle w:val="120"/>
                    <w:keepNext w:val="0"/>
                    <w:keepLines w:val="0"/>
                    <w:pageBreakBefore w:val="0"/>
                    <w:framePr w:hSpace="0" w:wrap="auto" w:vAnchor="margin" w:hAnchor="text" w:xAlign="left" w:yAlign="inline"/>
                    <w:suppressLineNumbers w:val="0"/>
                    <w:kinsoku/>
                    <w:wordWrap/>
                    <w:overflowPunct/>
                    <w:topLinePunct w:val="0"/>
                    <w:bidi w:val="0"/>
                    <w:adjustRightInd w:val="0"/>
                    <w:snapToGrid w:val="0"/>
                    <w:spacing w:before="0" w:beforeAutospacing="0" w:after="0" w:afterAutospacing="0" w:line="276" w:lineRule="auto"/>
                    <w:ind w:left="0" w:right="0"/>
                    <w:jc w:val="center"/>
                    <w:rPr>
                      <w:rFonts w:hint="default" w:ascii="Times New Roman" w:hAnsi="Times New Roman" w:eastAsia="宋体" w:cs="Times New Roman"/>
                      <w:color w:val="auto"/>
                      <w:sz w:val="18"/>
                      <w:szCs w:val="18"/>
                      <w:highlight w:val="none"/>
                    </w:rPr>
                  </w:pPr>
                </w:p>
              </w:tc>
              <w:tc>
                <w:tcPr>
                  <w:tcW w:w="1015" w:type="pct"/>
                  <w:tcBorders>
                    <w:tl2br w:val="nil"/>
                    <w:tr2bl w:val="nil"/>
                  </w:tcBorders>
                  <w:shd w:val="clear" w:color="auto" w:fill="FFFFFF"/>
                  <w:noWrap/>
                  <w:vAlign w:val="center"/>
                </w:tcPr>
                <w:p w14:paraId="6C5751AB">
                  <w:pPr>
                    <w:keepNext w:val="0"/>
                    <w:keepLines w:val="0"/>
                    <w:pageBreakBefore w:val="0"/>
                    <w:widowControl/>
                    <w:suppressLineNumbers w:val="0"/>
                    <w:kinsoku/>
                    <w:wordWrap/>
                    <w:overflowPunct/>
                    <w:topLinePunct w:val="0"/>
                    <w:bidi w:val="0"/>
                    <w:adjustRightInd w:val="0"/>
                    <w:snapToGrid w:val="0"/>
                    <w:spacing w:before="0" w:beforeAutospacing="0" w:after="0" w:afterAutospacing="0" w:line="276" w:lineRule="auto"/>
                    <w:ind w:left="0" w:right="0"/>
                    <w:jc w:val="center"/>
                    <w:textAlignment w:val="center"/>
                    <w:rPr>
                      <w:rFonts w:hint="default" w:ascii="Times New Roman" w:hAnsi="Times New Roman" w:eastAsia="宋体" w:cs="Times New Roman"/>
                      <w:color w:val="auto"/>
                      <w:sz w:val="18"/>
                      <w:szCs w:val="18"/>
                      <w:highlight w:val="none"/>
                    </w:rPr>
                  </w:pPr>
                  <w:r>
                    <w:rPr>
                      <w:rFonts w:hint="default" w:ascii="Times New Roman" w:hAnsi="Times New Roman" w:eastAsia="宋体" w:cs="Times New Roman"/>
                      <w:i w:val="0"/>
                      <w:iCs w:val="0"/>
                      <w:color w:val="000000"/>
                      <w:kern w:val="0"/>
                      <w:sz w:val="18"/>
                      <w:szCs w:val="18"/>
                      <w:highlight w:val="none"/>
                      <w:u w:val="none"/>
                      <w:lang w:val="en-US" w:eastAsia="zh-CN" w:bidi="ar"/>
                    </w:rPr>
                    <w:t>垫料收集台</w:t>
                  </w:r>
                </w:p>
              </w:tc>
              <w:tc>
                <w:tcPr>
                  <w:tcW w:w="1436" w:type="pct"/>
                  <w:tcBorders>
                    <w:tl2br w:val="nil"/>
                    <w:tr2bl w:val="nil"/>
                  </w:tcBorders>
                  <w:shd w:val="clear" w:color="auto" w:fill="FFFFFF"/>
                  <w:vAlign w:val="center"/>
                </w:tcPr>
                <w:p w14:paraId="43108EE6">
                  <w:pPr>
                    <w:keepNext w:val="0"/>
                    <w:keepLines w:val="0"/>
                    <w:pageBreakBefore w:val="0"/>
                    <w:widowControl/>
                    <w:suppressLineNumbers w:val="0"/>
                    <w:kinsoku/>
                    <w:wordWrap/>
                    <w:overflowPunct/>
                    <w:topLinePunct w:val="0"/>
                    <w:bidi w:val="0"/>
                    <w:adjustRightInd w:val="0"/>
                    <w:snapToGrid w:val="0"/>
                    <w:spacing w:before="0" w:beforeAutospacing="0" w:after="0" w:afterAutospacing="0" w:line="276" w:lineRule="auto"/>
                    <w:ind w:left="0" w:right="0"/>
                    <w:jc w:val="center"/>
                    <w:textAlignment w:val="center"/>
                    <w:rPr>
                      <w:rFonts w:hint="default" w:ascii="Times New Roman" w:hAnsi="Times New Roman" w:eastAsia="宋体" w:cs="Times New Roman"/>
                      <w:color w:val="auto"/>
                      <w:sz w:val="18"/>
                      <w:szCs w:val="18"/>
                      <w:highlight w:val="none"/>
                    </w:rPr>
                  </w:pPr>
                  <w:r>
                    <w:rPr>
                      <w:rFonts w:hint="default" w:ascii="Times New Roman" w:hAnsi="Times New Roman" w:eastAsia="宋体" w:cs="Times New Roman"/>
                      <w:i w:val="0"/>
                      <w:iCs w:val="0"/>
                      <w:color w:val="000000"/>
                      <w:kern w:val="0"/>
                      <w:sz w:val="18"/>
                      <w:szCs w:val="18"/>
                      <w:highlight w:val="none"/>
                      <w:u w:val="none"/>
                      <w:lang w:val="en-US" w:eastAsia="zh-CN" w:bidi="ar"/>
                    </w:rPr>
                    <w:t>1100</w:t>
                  </w:r>
                  <w:r>
                    <w:rPr>
                      <w:rFonts w:hint="default" w:ascii="Times New Roman" w:hAnsi="Times New Roman" w:eastAsia="宋体" w:cs="Times New Roman"/>
                      <w:color w:val="auto"/>
                      <w:sz w:val="18"/>
                      <w:szCs w:val="18"/>
                      <w:highlight w:val="none"/>
                      <w:lang w:val="en-US" w:eastAsia="zh-CN"/>
                    </w:rPr>
                    <w:t>mm</w:t>
                  </w:r>
                  <w:r>
                    <w:rPr>
                      <w:rFonts w:hint="default" w:ascii="Times New Roman" w:hAnsi="Times New Roman" w:eastAsia="宋体" w:cs="Times New Roman"/>
                      <w:i w:val="0"/>
                      <w:iCs w:val="0"/>
                      <w:color w:val="000000"/>
                      <w:kern w:val="0"/>
                      <w:sz w:val="18"/>
                      <w:szCs w:val="18"/>
                      <w:highlight w:val="none"/>
                      <w:u w:val="none"/>
                      <w:lang w:val="en-US" w:eastAsia="zh-CN" w:bidi="ar"/>
                    </w:rPr>
                    <w:t>×880</w:t>
                  </w:r>
                  <w:r>
                    <w:rPr>
                      <w:rFonts w:hint="default" w:ascii="Times New Roman" w:hAnsi="Times New Roman" w:eastAsia="宋体" w:cs="Times New Roman"/>
                      <w:color w:val="auto"/>
                      <w:sz w:val="18"/>
                      <w:szCs w:val="18"/>
                      <w:highlight w:val="none"/>
                      <w:lang w:val="en-US" w:eastAsia="zh-CN"/>
                    </w:rPr>
                    <w:t>mm</w:t>
                  </w:r>
                  <w:r>
                    <w:rPr>
                      <w:rFonts w:hint="default" w:ascii="Times New Roman" w:hAnsi="Times New Roman" w:eastAsia="宋体" w:cs="Times New Roman"/>
                      <w:i w:val="0"/>
                      <w:iCs w:val="0"/>
                      <w:color w:val="000000"/>
                      <w:kern w:val="0"/>
                      <w:sz w:val="18"/>
                      <w:szCs w:val="18"/>
                      <w:highlight w:val="none"/>
                      <w:u w:val="none"/>
                      <w:lang w:val="en-US" w:eastAsia="zh-CN" w:bidi="ar"/>
                    </w:rPr>
                    <w:t>×1910</w:t>
                  </w:r>
                  <w:r>
                    <w:rPr>
                      <w:rFonts w:hint="default" w:ascii="Times New Roman" w:hAnsi="Times New Roman" w:eastAsia="宋体" w:cs="Times New Roman"/>
                      <w:color w:val="auto"/>
                      <w:sz w:val="18"/>
                      <w:szCs w:val="18"/>
                      <w:highlight w:val="none"/>
                      <w:lang w:val="en-US" w:eastAsia="zh-CN"/>
                    </w:rPr>
                    <w:t>mm</w:t>
                  </w:r>
                </w:p>
              </w:tc>
              <w:tc>
                <w:tcPr>
                  <w:tcW w:w="284" w:type="pct"/>
                  <w:tcBorders>
                    <w:tl2br w:val="nil"/>
                    <w:tr2bl w:val="nil"/>
                  </w:tcBorders>
                  <w:shd w:val="clear" w:color="auto" w:fill="FFFFFF"/>
                  <w:noWrap/>
                  <w:vAlign w:val="center"/>
                </w:tcPr>
                <w:p w14:paraId="5B12ABB3">
                  <w:pPr>
                    <w:keepNext w:val="0"/>
                    <w:keepLines w:val="0"/>
                    <w:pageBreakBefore w:val="0"/>
                    <w:widowControl/>
                    <w:suppressLineNumbers w:val="0"/>
                    <w:kinsoku/>
                    <w:wordWrap/>
                    <w:overflowPunct/>
                    <w:topLinePunct w:val="0"/>
                    <w:bidi w:val="0"/>
                    <w:adjustRightInd w:val="0"/>
                    <w:snapToGrid w:val="0"/>
                    <w:spacing w:before="0" w:beforeAutospacing="0" w:after="0" w:afterAutospacing="0" w:line="276" w:lineRule="auto"/>
                    <w:ind w:left="0" w:right="0"/>
                    <w:jc w:val="center"/>
                    <w:textAlignment w:val="center"/>
                    <w:rPr>
                      <w:rFonts w:hint="default" w:ascii="Times New Roman" w:hAnsi="Times New Roman" w:eastAsia="宋体" w:cs="Times New Roman"/>
                      <w:color w:val="auto"/>
                      <w:kern w:val="2"/>
                      <w:sz w:val="18"/>
                      <w:szCs w:val="18"/>
                      <w:highlight w:val="none"/>
                      <w:lang w:val="en-US" w:eastAsia="zh-CN" w:bidi="ar-SA"/>
                    </w:rPr>
                  </w:pPr>
                  <w:r>
                    <w:rPr>
                      <w:rFonts w:hint="default" w:ascii="Times New Roman" w:hAnsi="Times New Roman" w:eastAsia="宋体" w:cs="Times New Roman"/>
                      <w:i w:val="0"/>
                      <w:iCs w:val="0"/>
                      <w:color w:val="000000"/>
                      <w:kern w:val="0"/>
                      <w:sz w:val="18"/>
                      <w:szCs w:val="18"/>
                      <w:highlight w:val="none"/>
                      <w:u w:val="none"/>
                      <w:lang w:val="en-US" w:eastAsia="zh-CN" w:bidi="ar"/>
                    </w:rPr>
                    <w:t>1</w:t>
                  </w:r>
                </w:p>
              </w:tc>
              <w:tc>
                <w:tcPr>
                  <w:tcW w:w="1678" w:type="pct"/>
                  <w:tcBorders>
                    <w:tl2br w:val="nil"/>
                    <w:tr2bl w:val="nil"/>
                  </w:tcBorders>
                  <w:shd w:val="clear" w:color="auto" w:fill="FFFFFF"/>
                  <w:noWrap/>
                  <w:vAlign w:val="center"/>
                </w:tcPr>
                <w:p w14:paraId="418D5608">
                  <w:pPr>
                    <w:keepNext w:val="0"/>
                    <w:keepLines w:val="0"/>
                    <w:pageBreakBefore w:val="0"/>
                    <w:widowControl/>
                    <w:suppressLineNumbers w:val="0"/>
                    <w:kinsoku/>
                    <w:wordWrap/>
                    <w:overflowPunct/>
                    <w:topLinePunct w:val="0"/>
                    <w:bidi w:val="0"/>
                    <w:adjustRightInd w:val="0"/>
                    <w:snapToGrid w:val="0"/>
                    <w:spacing w:before="0" w:beforeAutospacing="0" w:after="0" w:afterAutospacing="0" w:line="276" w:lineRule="auto"/>
                    <w:ind w:left="0" w:right="0"/>
                    <w:jc w:val="center"/>
                    <w:textAlignment w:val="center"/>
                    <w:rPr>
                      <w:rFonts w:hint="default" w:ascii="Times New Roman" w:hAnsi="Times New Roman" w:eastAsia="宋体" w:cs="Times New Roman"/>
                      <w:color w:val="auto"/>
                      <w:sz w:val="18"/>
                      <w:szCs w:val="18"/>
                      <w:highlight w:val="none"/>
                      <w:lang w:val="en-US" w:eastAsia="zh-CN"/>
                    </w:rPr>
                  </w:pPr>
                  <w:r>
                    <w:rPr>
                      <w:rFonts w:hint="default" w:ascii="Times New Roman" w:hAnsi="Times New Roman" w:eastAsia="宋体" w:cs="Times New Roman"/>
                      <w:i w:val="0"/>
                      <w:iCs w:val="0"/>
                      <w:color w:val="000000"/>
                      <w:kern w:val="0"/>
                      <w:sz w:val="18"/>
                      <w:szCs w:val="18"/>
                      <w:highlight w:val="none"/>
                      <w:u w:val="none"/>
                      <w:lang w:val="en-US" w:eastAsia="zh-CN" w:bidi="ar"/>
                    </w:rPr>
                    <w:t>清洗前室</w:t>
                  </w:r>
                </w:p>
              </w:tc>
            </w:tr>
            <w:tr w14:paraId="7E8BF4F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0" w:hRule="atLeast"/>
              </w:trPr>
              <w:tc>
                <w:tcPr>
                  <w:tcW w:w="235" w:type="pct"/>
                  <w:tcBorders>
                    <w:tl2br w:val="nil"/>
                    <w:tr2bl w:val="nil"/>
                  </w:tcBorders>
                  <w:shd w:val="clear" w:color="auto" w:fill="FFFFFF"/>
                  <w:noWrap/>
                  <w:vAlign w:val="center"/>
                </w:tcPr>
                <w:p w14:paraId="3906BFB8">
                  <w:pPr>
                    <w:keepNext w:val="0"/>
                    <w:keepLines w:val="0"/>
                    <w:pageBreakBefore w:val="0"/>
                    <w:widowControl/>
                    <w:suppressLineNumbers w:val="0"/>
                    <w:kinsoku/>
                    <w:wordWrap/>
                    <w:overflowPunct/>
                    <w:topLinePunct w:val="0"/>
                    <w:bidi w:val="0"/>
                    <w:adjustRightInd w:val="0"/>
                    <w:snapToGrid w:val="0"/>
                    <w:spacing w:before="0" w:beforeAutospacing="0" w:after="0" w:afterAutospacing="0" w:line="276" w:lineRule="auto"/>
                    <w:ind w:left="0" w:right="0"/>
                    <w:jc w:val="center"/>
                    <w:textAlignment w:val="center"/>
                    <w:rPr>
                      <w:rFonts w:hint="default" w:ascii="Times New Roman" w:hAnsi="Times New Roman" w:eastAsia="宋体" w:cs="Times New Roman"/>
                      <w:color w:val="auto"/>
                      <w:sz w:val="18"/>
                      <w:szCs w:val="18"/>
                      <w:highlight w:val="none"/>
                      <w:lang w:val="en-US" w:eastAsia="zh-CN"/>
                    </w:rPr>
                  </w:pPr>
                  <w:r>
                    <w:rPr>
                      <w:rFonts w:hint="default" w:ascii="Times New Roman" w:hAnsi="Times New Roman" w:eastAsia="宋体" w:cs="Times New Roman"/>
                      <w:i w:val="0"/>
                      <w:iCs w:val="0"/>
                      <w:color w:val="000000"/>
                      <w:kern w:val="0"/>
                      <w:sz w:val="18"/>
                      <w:szCs w:val="18"/>
                      <w:highlight w:val="none"/>
                      <w:u w:val="none"/>
                      <w:lang w:val="en-US" w:eastAsia="zh-CN" w:bidi="ar"/>
                    </w:rPr>
                    <w:t>18</w:t>
                  </w:r>
                </w:p>
              </w:tc>
              <w:tc>
                <w:tcPr>
                  <w:tcW w:w="349" w:type="pct"/>
                  <w:vMerge w:val="continue"/>
                  <w:tcBorders>
                    <w:tl2br w:val="nil"/>
                    <w:tr2bl w:val="nil"/>
                  </w:tcBorders>
                  <w:shd w:val="clear" w:color="auto" w:fill="FFFFFF"/>
                  <w:noWrap/>
                  <w:vAlign w:val="center"/>
                </w:tcPr>
                <w:p w14:paraId="540B8A15">
                  <w:pPr>
                    <w:pStyle w:val="120"/>
                    <w:keepNext w:val="0"/>
                    <w:keepLines w:val="0"/>
                    <w:pageBreakBefore w:val="0"/>
                    <w:framePr w:hSpace="0" w:wrap="auto" w:vAnchor="margin" w:hAnchor="text" w:xAlign="left" w:yAlign="inline"/>
                    <w:suppressLineNumbers w:val="0"/>
                    <w:kinsoku/>
                    <w:wordWrap/>
                    <w:overflowPunct/>
                    <w:topLinePunct w:val="0"/>
                    <w:bidi w:val="0"/>
                    <w:adjustRightInd w:val="0"/>
                    <w:snapToGrid w:val="0"/>
                    <w:spacing w:before="0" w:beforeAutospacing="0" w:after="0" w:afterAutospacing="0" w:line="276" w:lineRule="auto"/>
                    <w:ind w:left="0" w:right="0"/>
                    <w:jc w:val="center"/>
                    <w:rPr>
                      <w:rFonts w:hint="default" w:ascii="Times New Roman" w:hAnsi="Times New Roman" w:eastAsia="宋体" w:cs="Times New Roman"/>
                      <w:color w:val="auto"/>
                      <w:sz w:val="18"/>
                      <w:szCs w:val="18"/>
                      <w:highlight w:val="none"/>
                      <w:lang w:val="en-US" w:eastAsia="zh-CN"/>
                    </w:rPr>
                  </w:pPr>
                </w:p>
              </w:tc>
              <w:tc>
                <w:tcPr>
                  <w:tcW w:w="1015" w:type="pct"/>
                  <w:tcBorders>
                    <w:tl2br w:val="nil"/>
                    <w:tr2bl w:val="nil"/>
                  </w:tcBorders>
                  <w:shd w:val="clear" w:color="auto" w:fill="FFFFFF"/>
                  <w:noWrap/>
                  <w:vAlign w:val="center"/>
                </w:tcPr>
                <w:p w14:paraId="784E1C68">
                  <w:pPr>
                    <w:keepNext w:val="0"/>
                    <w:keepLines w:val="0"/>
                    <w:pageBreakBefore w:val="0"/>
                    <w:widowControl/>
                    <w:suppressLineNumbers w:val="0"/>
                    <w:kinsoku/>
                    <w:wordWrap/>
                    <w:overflowPunct/>
                    <w:topLinePunct w:val="0"/>
                    <w:bidi w:val="0"/>
                    <w:adjustRightInd w:val="0"/>
                    <w:snapToGrid w:val="0"/>
                    <w:spacing w:before="0" w:beforeAutospacing="0" w:after="0" w:afterAutospacing="0" w:line="276" w:lineRule="auto"/>
                    <w:ind w:left="0" w:right="0"/>
                    <w:jc w:val="center"/>
                    <w:textAlignment w:val="center"/>
                    <w:rPr>
                      <w:rFonts w:hint="default" w:ascii="Times New Roman" w:hAnsi="Times New Roman" w:eastAsia="宋体" w:cs="Times New Roman"/>
                      <w:color w:val="auto"/>
                      <w:sz w:val="18"/>
                      <w:szCs w:val="18"/>
                      <w:highlight w:val="none"/>
                      <w:lang w:val="en-US" w:eastAsia="zh-CN"/>
                    </w:rPr>
                  </w:pPr>
                  <w:r>
                    <w:rPr>
                      <w:rFonts w:hint="default" w:ascii="Times New Roman" w:hAnsi="Times New Roman" w:eastAsia="宋体" w:cs="Times New Roman"/>
                      <w:i w:val="0"/>
                      <w:iCs w:val="0"/>
                      <w:color w:val="000000"/>
                      <w:kern w:val="0"/>
                      <w:sz w:val="18"/>
                      <w:szCs w:val="18"/>
                      <w:highlight w:val="none"/>
                      <w:u w:val="none"/>
                      <w:lang w:val="en-US" w:eastAsia="zh-CN" w:bidi="ar"/>
                    </w:rPr>
                    <w:t>单机式垫料添加机</w:t>
                  </w:r>
                </w:p>
              </w:tc>
              <w:tc>
                <w:tcPr>
                  <w:tcW w:w="1436" w:type="pct"/>
                  <w:tcBorders>
                    <w:tl2br w:val="nil"/>
                    <w:tr2bl w:val="nil"/>
                  </w:tcBorders>
                  <w:shd w:val="clear" w:color="auto" w:fill="FFFFFF"/>
                  <w:noWrap/>
                  <w:vAlign w:val="center"/>
                </w:tcPr>
                <w:p w14:paraId="03F516E4">
                  <w:pPr>
                    <w:keepNext w:val="0"/>
                    <w:keepLines w:val="0"/>
                    <w:pageBreakBefore w:val="0"/>
                    <w:widowControl/>
                    <w:suppressLineNumbers w:val="0"/>
                    <w:kinsoku/>
                    <w:wordWrap/>
                    <w:overflowPunct/>
                    <w:topLinePunct w:val="0"/>
                    <w:bidi w:val="0"/>
                    <w:adjustRightInd w:val="0"/>
                    <w:snapToGrid w:val="0"/>
                    <w:spacing w:before="0" w:beforeAutospacing="0" w:after="0" w:afterAutospacing="0" w:line="276" w:lineRule="auto"/>
                    <w:ind w:left="0" w:right="0"/>
                    <w:jc w:val="center"/>
                    <w:textAlignment w:val="center"/>
                    <w:rPr>
                      <w:rFonts w:hint="default" w:ascii="Times New Roman" w:hAnsi="Times New Roman" w:eastAsia="宋体" w:cs="Times New Roman"/>
                      <w:color w:val="auto"/>
                      <w:sz w:val="18"/>
                      <w:szCs w:val="18"/>
                      <w:highlight w:val="none"/>
                    </w:rPr>
                  </w:pPr>
                  <w:r>
                    <w:rPr>
                      <w:rFonts w:hint="default" w:ascii="Times New Roman" w:hAnsi="Times New Roman" w:eastAsia="宋体" w:cs="Times New Roman"/>
                      <w:i w:val="0"/>
                      <w:iCs w:val="0"/>
                      <w:color w:val="000000"/>
                      <w:kern w:val="0"/>
                      <w:sz w:val="18"/>
                      <w:szCs w:val="18"/>
                      <w:highlight w:val="none"/>
                      <w:u w:val="none"/>
                      <w:lang w:val="en-US" w:eastAsia="zh-CN" w:bidi="ar"/>
                    </w:rPr>
                    <w:t>1160</w:t>
                  </w:r>
                  <w:r>
                    <w:rPr>
                      <w:rFonts w:hint="default" w:ascii="Times New Roman" w:hAnsi="Times New Roman" w:eastAsia="宋体" w:cs="Times New Roman"/>
                      <w:color w:val="auto"/>
                      <w:sz w:val="18"/>
                      <w:szCs w:val="18"/>
                      <w:highlight w:val="none"/>
                      <w:lang w:val="en-US" w:eastAsia="zh-CN"/>
                    </w:rPr>
                    <w:t>mm</w:t>
                  </w:r>
                  <w:r>
                    <w:rPr>
                      <w:rFonts w:hint="default" w:ascii="Times New Roman" w:hAnsi="Times New Roman" w:eastAsia="宋体" w:cs="Times New Roman"/>
                      <w:i w:val="0"/>
                      <w:iCs w:val="0"/>
                      <w:color w:val="000000"/>
                      <w:kern w:val="0"/>
                      <w:sz w:val="18"/>
                      <w:szCs w:val="18"/>
                      <w:highlight w:val="none"/>
                      <w:u w:val="none"/>
                      <w:lang w:val="en-US" w:eastAsia="zh-CN" w:bidi="ar"/>
                    </w:rPr>
                    <w:t>×800</w:t>
                  </w:r>
                  <w:r>
                    <w:rPr>
                      <w:rFonts w:hint="default" w:ascii="Times New Roman" w:hAnsi="Times New Roman" w:eastAsia="宋体" w:cs="Times New Roman"/>
                      <w:color w:val="auto"/>
                      <w:sz w:val="18"/>
                      <w:szCs w:val="18"/>
                      <w:highlight w:val="none"/>
                      <w:lang w:val="en-US" w:eastAsia="zh-CN"/>
                    </w:rPr>
                    <w:t>mm</w:t>
                  </w:r>
                  <w:r>
                    <w:rPr>
                      <w:rFonts w:hint="default" w:ascii="Times New Roman" w:hAnsi="Times New Roman" w:eastAsia="宋体" w:cs="Times New Roman"/>
                      <w:i w:val="0"/>
                      <w:iCs w:val="0"/>
                      <w:color w:val="000000"/>
                      <w:kern w:val="0"/>
                      <w:sz w:val="18"/>
                      <w:szCs w:val="18"/>
                      <w:highlight w:val="none"/>
                      <w:u w:val="none"/>
                      <w:lang w:val="en-US" w:eastAsia="zh-CN" w:bidi="ar"/>
                    </w:rPr>
                    <w:t>×1980</w:t>
                  </w:r>
                  <w:r>
                    <w:rPr>
                      <w:rFonts w:hint="default" w:ascii="Times New Roman" w:hAnsi="Times New Roman" w:eastAsia="宋体" w:cs="Times New Roman"/>
                      <w:color w:val="auto"/>
                      <w:sz w:val="18"/>
                      <w:szCs w:val="18"/>
                      <w:highlight w:val="none"/>
                      <w:lang w:val="en-US" w:eastAsia="zh-CN"/>
                    </w:rPr>
                    <w:t>mm</w:t>
                  </w:r>
                </w:p>
              </w:tc>
              <w:tc>
                <w:tcPr>
                  <w:tcW w:w="284" w:type="pct"/>
                  <w:tcBorders>
                    <w:tl2br w:val="nil"/>
                    <w:tr2bl w:val="nil"/>
                  </w:tcBorders>
                  <w:shd w:val="clear" w:color="auto" w:fill="FFFFFF"/>
                  <w:noWrap/>
                  <w:vAlign w:val="center"/>
                </w:tcPr>
                <w:p w14:paraId="3BAA7FDC">
                  <w:pPr>
                    <w:keepNext w:val="0"/>
                    <w:keepLines w:val="0"/>
                    <w:pageBreakBefore w:val="0"/>
                    <w:widowControl/>
                    <w:suppressLineNumbers w:val="0"/>
                    <w:kinsoku/>
                    <w:wordWrap/>
                    <w:overflowPunct/>
                    <w:topLinePunct w:val="0"/>
                    <w:bidi w:val="0"/>
                    <w:adjustRightInd w:val="0"/>
                    <w:snapToGrid w:val="0"/>
                    <w:spacing w:before="0" w:beforeAutospacing="0" w:after="0" w:afterAutospacing="0" w:line="276" w:lineRule="auto"/>
                    <w:ind w:left="0" w:right="0"/>
                    <w:jc w:val="center"/>
                    <w:textAlignment w:val="center"/>
                    <w:rPr>
                      <w:rFonts w:hint="default" w:ascii="Times New Roman" w:hAnsi="Times New Roman" w:eastAsia="宋体" w:cs="Times New Roman"/>
                      <w:color w:val="auto"/>
                      <w:kern w:val="2"/>
                      <w:sz w:val="18"/>
                      <w:szCs w:val="18"/>
                      <w:highlight w:val="none"/>
                      <w:lang w:val="en-US" w:eastAsia="zh-CN" w:bidi="ar-SA"/>
                    </w:rPr>
                  </w:pPr>
                  <w:r>
                    <w:rPr>
                      <w:rFonts w:hint="default" w:ascii="Times New Roman" w:hAnsi="Times New Roman" w:eastAsia="宋体" w:cs="Times New Roman"/>
                      <w:i w:val="0"/>
                      <w:iCs w:val="0"/>
                      <w:color w:val="000000"/>
                      <w:kern w:val="0"/>
                      <w:sz w:val="18"/>
                      <w:szCs w:val="18"/>
                      <w:highlight w:val="none"/>
                      <w:u w:val="none"/>
                      <w:lang w:val="en-US" w:eastAsia="zh-CN" w:bidi="ar"/>
                    </w:rPr>
                    <w:t>1</w:t>
                  </w:r>
                </w:p>
              </w:tc>
              <w:tc>
                <w:tcPr>
                  <w:tcW w:w="1678" w:type="pct"/>
                  <w:tcBorders>
                    <w:tl2br w:val="nil"/>
                    <w:tr2bl w:val="nil"/>
                  </w:tcBorders>
                  <w:shd w:val="clear" w:color="auto" w:fill="FFFFFF"/>
                  <w:noWrap/>
                  <w:vAlign w:val="center"/>
                </w:tcPr>
                <w:p w14:paraId="3BC20085">
                  <w:pPr>
                    <w:keepNext w:val="0"/>
                    <w:keepLines w:val="0"/>
                    <w:pageBreakBefore w:val="0"/>
                    <w:widowControl/>
                    <w:suppressLineNumbers w:val="0"/>
                    <w:kinsoku/>
                    <w:wordWrap/>
                    <w:overflowPunct/>
                    <w:topLinePunct w:val="0"/>
                    <w:bidi w:val="0"/>
                    <w:adjustRightInd w:val="0"/>
                    <w:snapToGrid w:val="0"/>
                    <w:spacing w:before="0" w:beforeAutospacing="0" w:after="0" w:afterAutospacing="0" w:line="276" w:lineRule="auto"/>
                    <w:ind w:left="0" w:right="0"/>
                    <w:jc w:val="center"/>
                    <w:textAlignment w:val="center"/>
                    <w:rPr>
                      <w:rFonts w:hint="default" w:ascii="Times New Roman" w:hAnsi="Times New Roman" w:eastAsia="宋体" w:cs="Times New Roman"/>
                      <w:color w:val="auto"/>
                      <w:sz w:val="18"/>
                      <w:szCs w:val="18"/>
                      <w:highlight w:val="none"/>
                      <w:lang w:val="en-US" w:eastAsia="zh-CN"/>
                    </w:rPr>
                  </w:pPr>
                  <w:r>
                    <w:rPr>
                      <w:rFonts w:hint="default" w:ascii="Times New Roman" w:hAnsi="Times New Roman" w:eastAsia="宋体" w:cs="Times New Roman"/>
                      <w:i w:val="0"/>
                      <w:iCs w:val="0"/>
                      <w:color w:val="000000"/>
                      <w:kern w:val="0"/>
                      <w:sz w:val="18"/>
                      <w:szCs w:val="18"/>
                      <w:highlight w:val="none"/>
                      <w:u w:val="none"/>
                      <w:lang w:val="en-US" w:eastAsia="zh-CN" w:bidi="ar"/>
                    </w:rPr>
                    <w:t>清洗后室</w:t>
                  </w:r>
                </w:p>
              </w:tc>
            </w:tr>
            <w:tr w14:paraId="7A505D6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FFFFFF"/>
                <w:tblCellMar>
                  <w:top w:w="0" w:type="dxa"/>
                  <w:left w:w="28" w:type="dxa"/>
                  <w:bottom w:w="0" w:type="dxa"/>
                  <w:right w:w="28" w:type="dxa"/>
                </w:tblCellMar>
              </w:tblPrEx>
              <w:trPr>
                <w:trHeight w:val="0" w:hRule="atLeast"/>
              </w:trPr>
              <w:tc>
                <w:tcPr>
                  <w:tcW w:w="235" w:type="pct"/>
                  <w:tcBorders>
                    <w:tl2br w:val="nil"/>
                    <w:tr2bl w:val="nil"/>
                  </w:tcBorders>
                  <w:shd w:val="clear" w:color="auto" w:fill="FFFFFF"/>
                  <w:noWrap/>
                  <w:vAlign w:val="center"/>
                </w:tcPr>
                <w:p w14:paraId="6FBF5F8A">
                  <w:pPr>
                    <w:keepNext w:val="0"/>
                    <w:keepLines w:val="0"/>
                    <w:pageBreakBefore w:val="0"/>
                    <w:widowControl/>
                    <w:suppressLineNumbers w:val="0"/>
                    <w:kinsoku/>
                    <w:wordWrap/>
                    <w:overflowPunct/>
                    <w:topLinePunct w:val="0"/>
                    <w:bidi w:val="0"/>
                    <w:adjustRightInd w:val="0"/>
                    <w:snapToGrid w:val="0"/>
                    <w:spacing w:before="0" w:beforeAutospacing="0" w:after="0" w:afterAutospacing="0" w:line="276" w:lineRule="auto"/>
                    <w:ind w:left="0" w:right="0"/>
                    <w:jc w:val="center"/>
                    <w:textAlignment w:val="center"/>
                    <w:rPr>
                      <w:rFonts w:hint="default" w:ascii="Times New Roman" w:hAnsi="Times New Roman" w:eastAsia="宋体" w:cs="Times New Roman"/>
                      <w:color w:val="auto"/>
                      <w:sz w:val="18"/>
                      <w:szCs w:val="18"/>
                      <w:highlight w:val="none"/>
                      <w:lang w:val="en-US" w:eastAsia="zh-CN"/>
                    </w:rPr>
                  </w:pPr>
                  <w:r>
                    <w:rPr>
                      <w:rFonts w:hint="default" w:ascii="Times New Roman" w:hAnsi="Times New Roman" w:eastAsia="宋体" w:cs="Times New Roman"/>
                      <w:i w:val="0"/>
                      <w:iCs w:val="0"/>
                      <w:color w:val="000000"/>
                      <w:kern w:val="0"/>
                      <w:sz w:val="18"/>
                      <w:szCs w:val="18"/>
                      <w:highlight w:val="none"/>
                      <w:u w:val="none"/>
                      <w:lang w:val="en-US" w:eastAsia="zh-CN" w:bidi="ar"/>
                    </w:rPr>
                    <w:t>19</w:t>
                  </w:r>
                </w:p>
              </w:tc>
              <w:tc>
                <w:tcPr>
                  <w:tcW w:w="349" w:type="pct"/>
                  <w:vMerge w:val="continue"/>
                  <w:tcBorders>
                    <w:tl2br w:val="nil"/>
                    <w:tr2bl w:val="nil"/>
                  </w:tcBorders>
                  <w:shd w:val="clear" w:color="auto" w:fill="FFFFFF"/>
                  <w:vAlign w:val="center"/>
                </w:tcPr>
                <w:p w14:paraId="17646FC3">
                  <w:pPr>
                    <w:pStyle w:val="120"/>
                    <w:keepNext w:val="0"/>
                    <w:keepLines w:val="0"/>
                    <w:pageBreakBefore w:val="0"/>
                    <w:framePr w:hSpace="0" w:wrap="auto" w:vAnchor="margin" w:hAnchor="text" w:xAlign="left" w:yAlign="inline"/>
                    <w:suppressLineNumbers w:val="0"/>
                    <w:kinsoku/>
                    <w:wordWrap/>
                    <w:overflowPunct/>
                    <w:topLinePunct w:val="0"/>
                    <w:bidi w:val="0"/>
                    <w:adjustRightInd w:val="0"/>
                    <w:snapToGrid w:val="0"/>
                    <w:spacing w:before="0" w:beforeAutospacing="0" w:after="0" w:afterAutospacing="0" w:line="276" w:lineRule="auto"/>
                    <w:ind w:left="0" w:right="0"/>
                    <w:jc w:val="center"/>
                    <w:rPr>
                      <w:rFonts w:hint="default" w:ascii="Times New Roman" w:hAnsi="Times New Roman" w:eastAsia="宋体" w:cs="Times New Roman"/>
                      <w:color w:val="auto"/>
                      <w:sz w:val="18"/>
                      <w:szCs w:val="18"/>
                      <w:highlight w:val="none"/>
                      <w:lang w:val="en-US" w:eastAsia="zh-CN"/>
                    </w:rPr>
                  </w:pPr>
                </w:p>
              </w:tc>
              <w:tc>
                <w:tcPr>
                  <w:tcW w:w="1015" w:type="pct"/>
                  <w:tcBorders>
                    <w:tl2br w:val="nil"/>
                    <w:tr2bl w:val="nil"/>
                  </w:tcBorders>
                  <w:shd w:val="clear" w:color="auto" w:fill="FFFFFF"/>
                  <w:vAlign w:val="center"/>
                </w:tcPr>
                <w:p w14:paraId="12E5A927">
                  <w:pPr>
                    <w:keepNext w:val="0"/>
                    <w:keepLines w:val="0"/>
                    <w:pageBreakBefore w:val="0"/>
                    <w:widowControl/>
                    <w:suppressLineNumbers w:val="0"/>
                    <w:kinsoku/>
                    <w:wordWrap/>
                    <w:overflowPunct/>
                    <w:topLinePunct w:val="0"/>
                    <w:bidi w:val="0"/>
                    <w:adjustRightInd w:val="0"/>
                    <w:snapToGrid w:val="0"/>
                    <w:spacing w:before="0" w:beforeAutospacing="0" w:after="0" w:afterAutospacing="0" w:line="276" w:lineRule="auto"/>
                    <w:ind w:left="0" w:right="0"/>
                    <w:jc w:val="center"/>
                    <w:textAlignment w:val="center"/>
                    <w:rPr>
                      <w:rFonts w:hint="default" w:ascii="Times New Roman" w:hAnsi="Times New Roman" w:eastAsia="宋体" w:cs="Times New Roman"/>
                      <w:color w:val="auto"/>
                      <w:sz w:val="18"/>
                      <w:szCs w:val="18"/>
                      <w:highlight w:val="none"/>
                    </w:rPr>
                  </w:pPr>
                  <w:r>
                    <w:rPr>
                      <w:rFonts w:hint="default" w:ascii="Times New Roman" w:hAnsi="Times New Roman" w:eastAsia="宋体" w:cs="Times New Roman"/>
                      <w:i w:val="0"/>
                      <w:iCs w:val="0"/>
                      <w:color w:val="000000"/>
                      <w:kern w:val="0"/>
                      <w:sz w:val="18"/>
                      <w:szCs w:val="18"/>
                      <w:highlight w:val="none"/>
                      <w:u w:val="none"/>
                      <w:lang w:val="en-US" w:eastAsia="zh-CN" w:bidi="ar"/>
                    </w:rPr>
                    <w:t>超声波清洗机</w:t>
                  </w:r>
                </w:p>
              </w:tc>
              <w:tc>
                <w:tcPr>
                  <w:tcW w:w="1436" w:type="pct"/>
                  <w:tcBorders>
                    <w:tl2br w:val="nil"/>
                    <w:tr2bl w:val="nil"/>
                  </w:tcBorders>
                  <w:shd w:val="clear" w:color="auto" w:fill="FFFFFF"/>
                  <w:noWrap/>
                  <w:vAlign w:val="center"/>
                </w:tcPr>
                <w:p w14:paraId="6855DD54">
                  <w:pPr>
                    <w:keepNext w:val="0"/>
                    <w:keepLines w:val="0"/>
                    <w:pageBreakBefore w:val="0"/>
                    <w:widowControl/>
                    <w:suppressLineNumbers w:val="0"/>
                    <w:kinsoku/>
                    <w:wordWrap/>
                    <w:overflowPunct/>
                    <w:topLinePunct w:val="0"/>
                    <w:bidi w:val="0"/>
                    <w:adjustRightInd w:val="0"/>
                    <w:snapToGrid w:val="0"/>
                    <w:spacing w:before="0" w:beforeAutospacing="0" w:after="0" w:afterAutospacing="0" w:line="276" w:lineRule="auto"/>
                    <w:ind w:left="0" w:right="0"/>
                    <w:jc w:val="center"/>
                    <w:textAlignment w:val="center"/>
                    <w:rPr>
                      <w:rFonts w:hint="default" w:ascii="Times New Roman" w:hAnsi="Times New Roman" w:eastAsia="宋体" w:cs="Times New Roman"/>
                      <w:color w:val="auto"/>
                      <w:sz w:val="18"/>
                      <w:szCs w:val="18"/>
                      <w:highlight w:val="none"/>
                    </w:rPr>
                  </w:pPr>
                  <w:r>
                    <w:rPr>
                      <w:rFonts w:hint="default" w:ascii="Times New Roman" w:hAnsi="Times New Roman" w:eastAsia="宋体" w:cs="Times New Roman"/>
                      <w:i w:val="0"/>
                      <w:iCs w:val="0"/>
                      <w:color w:val="000000"/>
                      <w:kern w:val="0"/>
                      <w:sz w:val="18"/>
                      <w:szCs w:val="18"/>
                      <w:highlight w:val="none"/>
                      <w:u w:val="none"/>
                      <w:lang w:val="en-US" w:eastAsia="zh-CN" w:bidi="ar"/>
                    </w:rPr>
                    <w:t>800</w:t>
                  </w:r>
                  <w:r>
                    <w:rPr>
                      <w:rFonts w:hint="default" w:ascii="Times New Roman" w:hAnsi="Times New Roman" w:eastAsia="宋体" w:cs="Times New Roman"/>
                      <w:color w:val="auto"/>
                      <w:sz w:val="18"/>
                      <w:szCs w:val="18"/>
                      <w:highlight w:val="none"/>
                      <w:lang w:val="en-US" w:eastAsia="zh-CN"/>
                    </w:rPr>
                    <w:t>mm</w:t>
                  </w:r>
                  <w:r>
                    <w:rPr>
                      <w:rFonts w:hint="default" w:ascii="Times New Roman" w:hAnsi="Times New Roman" w:eastAsia="宋体" w:cs="Times New Roman"/>
                      <w:i w:val="0"/>
                      <w:iCs w:val="0"/>
                      <w:color w:val="000000"/>
                      <w:kern w:val="0"/>
                      <w:sz w:val="18"/>
                      <w:szCs w:val="18"/>
                      <w:highlight w:val="none"/>
                      <w:u w:val="none"/>
                      <w:lang w:val="en-US" w:eastAsia="zh-CN" w:bidi="ar"/>
                    </w:rPr>
                    <w:t>×640</w:t>
                  </w:r>
                  <w:r>
                    <w:rPr>
                      <w:rFonts w:hint="default" w:ascii="Times New Roman" w:hAnsi="Times New Roman" w:eastAsia="宋体" w:cs="Times New Roman"/>
                      <w:color w:val="auto"/>
                      <w:sz w:val="18"/>
                      <w:szCs w:val="18"/>
                      <w:highlight w:val="none"/>
                      <w:lang w:val="en-US" w:eastAsia="zh-CN"/>
                    </w:rPr>
                    <w:t>mm</w:t>
                  </w:r>
                  <w:r>
                    <w:rPr>
                      <w:rFonts w:hint="default" w:ascii="Times New Roman" w:hAnsi="Times New Roman" w:eastAsia="宋体" w:cs="Times New Roman"/>
                      <w:i w:val="0"/>
                      <w:iCs w:val="0"/>
                      <w:color w:val="000000"/>
                      <w:kern w:val="0"/>
                      <w:sz w:val="18"/>
                      <w:szCs w:val="18"/>
                      <w:highlight w:val="none"/>
                      <w:u w:val="none"/>
                      <w:lang w:val="en-US" w:eastAsia="zh-CN" w:bidi="ar"/>
                    </w:rPr>
                    <w:t>×830</w:t>
                  </w:r>
                  <w:r>
                    <w:rPr>
                      <w:rFonts w:hint="default" w:ascii="Times New Roman" w:hAnsi="Times New Roman" w:eastAsia="宋体" w:cs="Times New Roman"/>
                      <w:color w:val="auto"/>
                      <w:sz w:val="18"/>
                      <w:szCs w:val="18"/>
                      <w:highlight w:val="none"/>
                      <w:lang w:val="en-US" w:eastAsia="zh-CN"/>
                    </w:rPr>
                    <w:t>mm</w:t>
                  </w:r>
                </w:p>
              </w:tc>
              <w:tc>
                <w:tcPr>
                  <w:tcW w:w="284" w:type="pct"/>
                  <w:tcBorders>
                    <w:tl2br w:val="nil"/>
                    <w:tr2bl w:val="nil"/>
                  </w:tcBorders>
                  <w:shd w:val="clear" w:color="auto" w:fill="FFFFFF"/>
                  <w:vAlign w:val="center"/>
                </w:tcPr>
                <w:p w14:paraId="666DB6D4">
                  <w:pPr>
                    <w:keepNext w:val="0"/>
                    <w:keepLines w:val="0"/>
                    <w:pageBreakBefore w:val="0"/>
                    <w:widowControl/>
                    <w:suppressLineNumbers w:val="0"/>
                    <w:kinsoku/>
                    <w:wordWrap/>
                    <w:overflowPunct/>
                    <w:topLinePunct w:val="0"/>
                    <w:bidi w:val="0"/>
                    <w:adjustRightInd w:val="0"/>
                    <w:snapToGrid w:val="0"/>
                    <w:spacing w:before="0" w:beforeAutospacing="0" w:after="0" w:afterAutospacing="0" w:line="276" w:lineRule="auto"/>
                    <w:ind w:left="0" w:right="0"/>
                    <w:jc w:val="center"/>
                    <w:textAlignment w:val="center"/>
                    <w:rPr>
                      <w:rFonts w:hint="default" w:ascii="Times New Roman" w:hAnsi="Times New Roman" w:eastAsia="宋体" w:cs="Times New Roman"/>
                      <w:color w:val="auto"/>
                      <w:kern w:val="2"/>
                      <w:sz w:val="18"/>
                      <w:szCs w:val="18"/>
                      <w:highlight w:val="none"/>
                      <w:lang w:val="en-US" w:eastAsia="zh-CN" w:bidi="ar-SA"/>
                    </w:rPr>
                  </w:pPr>
                  <w:r>
                    <w:rPr>
                      <w:rFonts w:hint="default" w:ascii="Times New Roman" w:hAnsi="Times New Roman" w:eastAsia="宋体" w:cs="Times New Roman"/>
                      <w:i w:val="0"/>
                      <w:iCs w:val="0"/>
                      <w:color w:val="000000"/>
                      <w:kern w:val="0"/>
                      <w:sz w:val="18"/>
                      <w:szCs w:val="18"/>
                      <w:highlight w:val="none"/>
                      <w:u w:val="none"/>
                      <w:lang w:val="en-US" w:eastAsia="zh-CN" w:bidi="ar"/>
                    </w:rPr>
                    <w:t>1</w:t>
                  </w:r>
                </w:p>
              </w:tc>
              <w:tc>
                <w:tcPr>
                  <w:tcW w:w="1678" w:type="pct"/>
                  <w:tcBorders>
                    <w:tl2br w:val="nil"/>
                    <w:tr2bl w:val="nil"/>
                  </w:tcBorders>
                  <w:shd w:val="clear" w:color="auto" w:fill="FFFFFF"/>
                  <w:vAlign w:val="center"/>
                </w:tcPr>
                <w:p w14:paraId="5978DD81">
                  <w:pPr>
                    <w:keepNext w:val="0"/>
                    <w:keepLines w:val="0"/>
                    <w:pageBreakBefore w:val="0"/>
                    <w:widowControl/>
                    <w:suppressLineNumbers w:val="0"/>
                    <w:kinsoku/>
                    <w:wordWrap/>
                    <w:overflowPunct/>
                    <w:topLinePunct w:val="0"/>
                    <w:bidi w:val="0"/>
                    <w:adjustRightInd w:val="0"/>
                    <w:snapToGrid w:val="0"/>
                    <w:spacing w:before="0" w:beforeAutospacing="0" w:after="0" w:afterAutospacing="0" w:line="276" w:lineRule="auto"/>
                    <w:ind w:left="0" w:right="0"/>
                    <w:jc w:val="center"/>
                    <w:textAlignment w:val="center"/>
                    <w:rPr>
                      <w:rFonts w:hint="default" w:ascii="Times New Roman" w:hAnsi="Times New Roman" w:eastAsia="宋体" w:cs="Times New Roman"/>
                      <w:color w:val="auto"/>
                      <w:sz w:val="18"/>
                      <w:szCs w:val="18"/>
                      <w:highlight w:val="none"/>
                      <w:lang w:val="en-US" w:eastAsia="zh-CN"/>
                    </w:rPr>
                  </w:pPr>
                  <w:r>
                    <w:rPr>
                      <w:rFonts w:hint="default" w:ascii="Times New Roman" w:hAnsi="Times New Roman" w:eastAsia="宋体" w:cs="Times New Roman"/>
                      <w:i w:val="0"/>
                      <w:iCs w:val="0"/>
                      <w:color w:val="000000"/>
                      <w:kern w:val="0"/>
                      <w:sz w:val="18"/>
                      <w:szCs w:val="18"/>
                      <w:highlight w:val="none"/>
                      <w:u w:val="none"/>
                      <w:lang w:val="en-US" w:eastAsia="zh-CN" w:bidi="ar"/>
                    </w:rPr>
                    <w:t>清洗前室</w:t>
                  </w:r>
                </w:p>
              </w:tc>
            </w:tr>
            <w:tr w14:paraId="1655BFF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0" w:hRule="atLeast"/>
              </w:trPr>
              <w:tc>
                <w:tcPr>
                  <w:tcW w:w="235" w:type="pct"/>
                  <w:tcBorders>
                    <w:tl2br w:val="nil"/>
                    <w:tr2bl w:val="nil"/>
                  </w:tcBorders>
                  <w:shd w:val="clear" w:color="auto" w:fill="FFFFFF"/>
                  <w:noWrap/>
                  <w:vAlign w:val="center"/>
                </w:tcPr>
                <w:p w14:paraId="4C756781">
                  <w:pPr>
                    <w:keepNext w:val="0"/>
                    <w:keepLines w:val="0"/>
                    <w:pageBreakBefore w:val="0"/>
                    <w:widowControl/>
                    <w:suppressLineNumbers w:val="0"/>
                    <w:kinsoku/>
                    <w:wordWrap/>
                    <w:overflowPunct/>
                    <w:topLinePunct w:val="0"/>
                    <w:bidi w:val="0"/>
                    <w:adjustRightInd w:val="0"/>
                    <w:snapToGrid w:val="0"/>
                    <w:spacing w:before="0" w:beforeAutospacing="0" w:after="0" w:afterAutospacing="0" w:line="276" w:lineRule="auto"/>
                    <w:ind w:left="0" w:right="0"/>
                    <w:jc w:val="center"/>
                    <w:textAlignment w:val="center"/>
                    <w:rPr>
                      <w:rFonts w:hint="default" w:ascii="Times New Roman" w:hAnsi="Times New Roman" w:eastAsia="宋体" w:cs="Times New Roman"/>
                      <w:color w:val="auto"/>
                      <w:sz w:val="18"/>
                      <w:szCs w:val="18"/>
                      <w:highlight w:val="none"/>
                      <w:lang w:val="en-US" w:eastAsia="zh-CN"/>
                    </w:rPr>
                  </w:pPr>
                  <w:r>
                    <w:rPr>
                      <w:rFonts w:hint="default" w:ascii="Times New Roman" w:hAnsi="Times New Roman" w:eastAsia="宋体" w:cs="Times New Roman"/>
                      <w:i w:val="0"/>
                      <w:iCs w:val="0"/>
                      <w:color w:val="000000"/>
                      <w:kern w:val="0"/>
                      <w:sz w:val="18"/>
                      <w:szCs w:val="18"/>
                      <w:highlight w:val="none"/>
                      <w:u w:val="none"/>
                      <w:lang w:val="en-US" w:eastAsia="zh-CN" w:bidi="ar"/>
                    </w:rPr>
                    <w:t>20</w:t>
                  </w:r>
                </w:p>
              </w:tc>
              <w:tc>
                <w:tcPr>
                  <w:tcW w:w="349" w:type="pct"/>
                  <w:vMerge w:val="continue"/>
                  <w:tcBorders>
                    <w:tl2br w:val="nil"/>
                    <w:tr2bl w:val="nil"/>
                  </w:tcBorders>
                  <w:shd w:val="clear" w:color="auto" w:fill="FFFFFF"/>
                  <w:vAlign w:val="center"/>
                </w:tcPr>
                <w:p w14:paraId="03805A1A">
                  <w:pPr>
                    <w:pStyle w:val="120"/>
                    <w:keepNext w:val="0"/>
                    <w:keepLines w:val="0"/>
                    <w:pageBreakBefore w:val="0"/>
                    <w:framePr w:hSpace="0" w:wrap="auto" w:vAnchor="margin" w:hAnchor="text" w:xAlign="left" w:yAlign="inline"/>
                    <w:suppressLineNumbers w:val="0"/>
                    <w:kinsoku/>
                    <w:wordWrap/>
                    <w:overflowPunct/>
                    <w:topLinePunct w:val="0"/>
                    <w:bidi w:val="0"/>
                    <w:adjustRightInd w:val="0"/>
                    <w:snapToGrid w:val="0"/>
                    <w:spacing w:before="0" w:beforeAutospacing="0" w:after="0" w:afterAutospacing="0" w:line="276" w:lineRule="auto"/>
                    <w:ind w:left="0" w:right="0"/>
                    <w:jc w:val="center"/>
                    <w:rPr>
                      <w:rFonts w:hint="default" w:ascii="Times New Roman" w:hAnsi="Times New Roman" w:eastAsia="宋体" w:cs="Times New Roman"/>
                      <w:color w:val="auto"/>
                      <w:sz w:val="18"/>
                      <w:szCs w:val="18"/>
                      <w:highlight w:val="none"/>
                      <w:lang w:val="en-US" w:eastAsia="zh-CN"/>
                    </w:rPr>
                  </w:pPr>
                </w:p>
              </w:tc>
              <w:tc>
                <w:tcPr>
                  <w:tcW w:w="1015" w:type="pct"/>
                  <w:vMerge w:val="restart"/>
                  <w:tcBorders>
                    <w:tl2br w:val="nil"/>
                    <w:tr2bl w:val="nil"/>
                  </w:tcBorders>
                  <w:shd w:val="clear" w:color="auto" w:fill="FFFFFF"/>
                  <w:vAlign w:val="center"/>
                </w:tcPr>
                <w:p w14:paraId="3A6D19C5">
                  <w:pPr>
                    <w:keepNext w:val="0"/>
                    <w:keepLines w:val="0"/>
                    <w:pageBreakBefore w:val="0"/>
                    <w:widowControl/>
                    <w:suppressLineNumbers w:val="0"/>
                    <w:kinsoku/>
                    <w:wordWrap/>
                    <w:overflowPunct/>
                    <w:topLinePunct w:val="0"/>
                    <w:bidi w:val="0"/>
                    <w:adjustRightInd w:val="0"/>
                    <w:snapToGrid w:val="0"/>
                    <w:spacing w:before="0" w:beforeAutospacing="0" w:after="0" w:afterAutospacing="0" w:line="276" w:lineRule="auto"/>
                    <w:ind w:left="0" w:right="0"/>
                    <w:jc w:val="center"/>
                    <w:textAlignment w:val="center"/>
                    <w:rPr>
                      <w:rFonts w:hint="default" w:ascii="Times New Roman" w:hAnsi="Times New Roman" w:eastAsia="宋体" w:cs="Times New Roman"/>
                      <w:i w:val="0"/>
                      <w:iCs w:val="0"/>
                      <w:color w:val="000000"/>
                      <w:kern w:val="0"/>
                      <w:sz w:val="18"/>
                      <w:szCs w:val="18"/>
                      <w:highlight w:val="none"/>
                      <w:u w:val="none"/>
                      <w:lang w:val="en-US" w:eastAsia="zh-CN" w:bidi="ar"/>
                    </w:rPr>
                  </w:pPr>
                  <w:r>
                    <w:rPr>
                      <w:rFonts w:hint="default" w:ascii="Times New Roman" w:hAnsi="Times New Roman" w:eastAsia="宋体" w:cs="Times New Roman"/>
                      <w:i w:val="0"/>
                      <w:iCs w:val="0"/>
                      <w:color w:val="000000"/>
                      <w:kern w:val="0"/>
                      <w:sz w:val="18"/>
                      <w:szCs w:val="18"/>
                      <w:highlight w:val="none"/>
                      <w:u w:val="none"/>
                      <w:lang w:val="en-US" w:eastAsia="zh-CN" w:bidi="ar"/>
                    </w:rPr>
                    <w:t>小鼠独立通风笼具</w:t>
                  </w:r>
                </w:p>
              </w:tc>
              <w:tc>
                <w:tcPr>
                  <w:tcW w:w="1436" w:type="pct"/>
                  <w:tcBorders>
                    <w:tl2br w:val="nil"/>
                    <w:tr2bl w:val="nil"/>
                  </w:tcBorders>
                  <w:shd w:val="clear" w:color="auto" w:fill="FFFFFF"/>
                  <w:noWrap/>
                  <w:vAlign w:val="center"/>
                </w:tcPr>
                <w:p w14:paraId="707C1A99">
                  <w:pPr>
                    <w:keepNext w:val="0"/>
                    <w:keepLines w:val="0"/>
                    <w:pageBreakBefore w:val="0"/>
                    <w:widowControl/>
                    <w:suppressLineNumbers w:val="0"/>
                    <w:kinsoku/>
                    <w:wordWrap/>
                    <w:overflowPunct/>
                    <w:topLinePunct w:val="0"/>
                    <w:bidi w:val="0"/>
                    <w:adjustRightInd w:val="0"/>
                    <w:snapToGrid w:val="0"/>
                    <w:spacing w:before="0" w:beforeAutospacing="0" w:after="0" w:afterAutospacing="0" w:line="276" w:lineRule="auto"/>
                    <w:ind w:left="0" w:right="0"/>
                    <w:jc w:val="center"/>
                    <w:textAlignment w:val="center"/>
                    <w:rPr>
                      <w:rFonts w:hint="default" w:ascii="Times New Roman" w:hAnsi="Times New Roman" w:eastAsia="宋体" w:cs="Times New Roman"/>
                      <w:i w:val="0"/>
                      <w:iCs w:val="0"/>
                      <w:color w:val="000000"/>
                      <w:kern w:val="0"/>
                      <w:sz w:val="18"/>
                      <w:szCs w:val="18"/>
                      <w:highlight w:val="none"/>
                      <w:u w:val="none"/>
                      <w:lang w:val="en-US" w:eastAsia="zh-CN" w:bidi="ar"/>
                    </w:rPr>
                  </w:pPr>
                  <w:r>
                    <w:rPr>
                      <w:rFonts w:hint="default" w:ascii="Times New Roman" w:hAnsi="Times New Roman" w:eastAsia="宋体" w:cs="Times New Roman"/>
                      <w:i w:val="0"/>
                      <w:iCs w:val="0"/>
                      <w:color w:val="000000"/>
                      <w:kern w:val="0"/>
                      <w:sz w:val="18"/>
                      <w:szCs w:val="18"/>
                      <w:highlight w:val="none"/>
                      <w:u w:val="none"/>
                      <w:lang w:val="en-US" w:eastAsia="zh-CN" w:bidi="ar"/>
                    </w:rPr>
                    <w:t>3222mm×1903mm×680mm</w:t>
                  </w:r>
                </w:p>
              </w:tc>
              <w:tc>
                <w:tcPr>
                  <w:tcW w:w="284" w:type="pct"/>
                  <w:tcBorders>
                    <w:tl2br w:val="nil"/>
                    <w:tr2bl w:val="nil"/>
                  </w:tcBorders>
                  <w:shd w:val="clear" w:color="auto" w:fill="FFFFFF"/>
                  <w:vAlign w:val="center"/>
                </w:tcPr>
                <w:p w14:paraId="0077DDF0">
                  <w:pPr>
                    <w:keepNext w:val="0"/>
                    <w:keepLines w:val="0"/>
                    <w:pageBreakBefore w:val="0"/>
                    <w:widowControl/>
                    <w:suppressLineNumbers w:val="0"/>
                    <w:kinsoku/>
                    <w:wordWrap/>
                    <w:overflowPunct/>
                    <w:topLinePunct w:val="0"/>
                    <w:bidi w:val="0"/>
                    <w:adjustRightInd w:val="0"/>
                    <w:snapToGrid w:val="0"/>
                    <w:spacing w:before="0" w:beforeAutospacing="0" w:after="0" w:afterAutospacing="0" w:line="276" w:lineRule="auto"/>
                    <w:ind w:left="0" w:right="0"/>
                    <w:jc w:val="center"/>
                    <w:textAlignment w:val="center"/>
                    <w:rPr>
                      <w:rFonts w:hint="default" w:ascii="Times New Roman" w:hAnsi="Times New Roman" w:eastAsia="宋体" w:cs="Times New Roman"/>
                      <w:color w:val="auto"/>
                      <w:kern w:val="2"/>
                      <w:sz w:val="18"/>
                      <w:szCs w:val="18"/>
                      <w:highlight w:val="none"/>
                      <w:lang w:val="en-US" w:eastAsia="zh-CN" w:bidi="ar-SA"/>
                    </w:rPr>
                  </w:pPr>
                  <w:r>
                    <w:rPr>
                      <w:rFonts w:hint="default" w:ascii="Times New Roman" w:hAnsi="Times New Roman" w:eastAsia="宋体" w:cs="Times New Roman"/>
                      <w:i w:val="0"/>
                      <w:iCs w:val="0"/>
                      <w:color w:val="000000"/>
                      <w:kern w:val="0"/>
                      <w:sz w:val="18"/>
                      <w:szCs w:val="18"/>
                      <w:highlight w:val="none"/>
                      <w:u w:val="none"/>
                      <w:lang w:val="en-US" w:eastAsia="zh-CN" w:bidi="ar"/>
                    </w:rPr>
                    <w:t>1</w:t>
                  </w:r>
                </w:p>
              </w:tc>
              <w:tc>
                <w:tcPr>
                  <w:tcW w:w="1678" w:type="pct"/>
                  <w:tcBorders>
                    <w:tl2br w:val="nil"/>
                    <w:tr2bl w:val="nil"/>
                  </w:tcBorders>
                  <w:shd w:val="clear" w:color="auto" w:fill="FFFFFF"/>
                  <w:vAlign w:val="center"/>
                </w:tcPr>
                <w:p w14:paraId="0F78B728">
                  <w:pPr>
                    <w:keepNext w:val="0"/>
                    <w:keepLines w:val="0"/>
                    <w:pageBreakBefore w:val="0"/>
                    <w:widowControl/>
                    <w:suppressLineNumbers w:val="0"/>
                    <w:kinsoku/>
                    <w:wordWrap/>
                    <w:overflowPunct/>
                    <w:topLinePunct w:val="0"/>
                    <w:bidi w:val="0"/>
                    <w:adjustRightInd w:val="0"/>
                    <w:snapToGrid w:val="0"/>
                    <w:spacing w:before="0" w:beforeAutospacing="0" w:after="0" w:afterAutospacing="0" w:line="276" w:lineRule="auto"/>
                    <w:ind w:left="0" w:right="0"/>
                    <w:jc w:val="center"/>
                    <w:textAlignment w:val="center"/>
                    <w:rPr>
                      <w:rFonts w:hint="default" w:ascii="Times New Roman" w:hAnsi="Times New Roman" w:eastAsia="宋体" w:cs="Times New Roman"/>
                      <w:color w:val="auto"/>
                      <w:kern w:val="2"/>
                      <w:sz w:val="18"/>
                      <w:szCs w:val="18"/>
                      <w:highlight w:val="none"/>
                      <w:lang w:val="en-US" w:eastAsia="zh-CN" w:bidi="ar-SA"/>
                    </w:rPr>
                  </w:pPr>
                  <w:r>
                    <w:rPr>
                      <w:rFonts w:hint="default" w:ascii="Times New Roman" w:hAnsi="Times New Roman" w:eastAsia="宋体" w:cs="Times New Roman"/>
                      <w:i w:val="0"/>
                      <w:iCs w:val="0"/>
                      <w:color w:val="000000"/>
                      <w:kern w:val="0"/>
                      <w:sz w:val="18"/>
                      <w:szCs w:val="18"/>
                      <w:highlight w:val="none"/>
                      <w:u w:val="none"/>
                      <w:lang w:val="en-US" w:eastAsia="zh-CN" w:bidi="ar"/>
                    </w:rPr>
                    <w:t>小鼠饲养间11</w:t>
                  </w:r>
                </w:p>
              </w:tc>
            </w:tr>
            <w:tr w14:paraId="1E11C3E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FFFFFF"/>
                <w:tblCellMar>
                  <w:top w:w="0" w:type="dxa"/>
                  <w:left w:w="28" w:type="dxa"/>
                  <w:bottom w:w="0" w:type="dxa"/>
                  <w:right w:w="28" w:type="dxa"/>
                </w:tblCellMar>
              </w:tblPrEx>
              <w:trPr>
                <w:trHeight w:val="0" w:hRule="atLeast"/>
              </w:trPr>
              <w:tc>
                <w:tcPr>
                  <w:tcW w:w="235" w:type="pct"/>
                  <w:tcBorders>
                    <w:tl2br w:val="nil"/>
                    <w:tr2bl w:val="nil"/>
                  </w:tcBorders>
                  <w:shd w:val="clear" w:color="auto" w:fill="FFFFFF"/>
                  <w:noWrap/>
                  <w:vAlign w:val="center"/>
                </w:tcPr>
                <w:p w14:paraId="2BA0F8E6">
                  <w:pPr>
                    <w:keepNext w:val="0"/>
                    <w:keepLines w:val="0"/>
                    <w:pageBreakBefore w:val="0"/>
                    <w:widowControl/>
                    <w:suppressLineNumbers w:val="0"/>
                    <w:kinsoku/>
                    <w:wordWrap/>
                    <w:overflowPunct/>
                    <w:topLinePunct w:val="0"/>
                    <w:bidi w:val="0"/>
                    <w:adjustRightInd w:val="0"/>
                    <w:snapToGrid w:val="0"/>
                    <w:spacing w:before="0" w:beforeAutospacing="0" w:after="0" w:afterAutospacing="0" w:line="276" w:lineRule="auto"/>
                    <w:ind w:left="0" w:right="0"/>
                    <w:jc w:val="center"/>
                    <w:textAlignment w:val="center"/>
                    <w:rPr>
                      <w:rFonts w:hint="default" w:ascii="Times New Roman" w:hAnsi="Times New Roman" w:eastAsia="宋体" w:cs="Times New Roman"/>
                      <w:color w:val="auto"/>
                      <w:sz w:val="18"/>
                      <w:szCs w:val="18"/>
                      <w:highlight w:val="none"/>
                      <w:lang w:val="en-US" w:eastAsia="zh-CN"/>
                    </w:rPr>
                  </w:pPr>
                  <w:r>
                    <w:rPr>
                      <w:rFonts w:hint="default" w:ascii="Times New Roman" w:hAnsi="Times New Roman" w:eastAsia="宋体" w:cs="Times New Roman"/>
                      <w:i w:val="0"/>
                      <w:iCs w:val="0"/>
                      <w:color w:val="000000"/>
                      <w:kern w:val="0"/>
                      <w:sz w:val="18"/>
                      <w:szCs w:val="18"/>
                      <w:highlight w:val="none"/>
                      <w:u w:val="none"/>
                      <w:lang w:val="en-US" w:eastAsia="zh-CN" w:bidi="ar"/>
                    </w:rPr>
                    <w:t>21</w:t>
                  </w:r>
                </w:p>
              </w:tc>
              <w:tc>
                <w:tcPr>
                  <w:tcW w:w="349" w:type="pct"/>
                  <w:vMerge w:val="continue"/>
                  <w:tcBorders>
                    <w:tl2br w:val="nil"/>
                    <w:tr2bl w:val="nil"/>
                  </w:tcBorders>
                  <w:shd w:val="clear" w:color="auto" w:fill="FFFFFF"/>
                  <w:noWrap/>
                  <w:vAlign w:val="center"/>
                </w:tcPr>
                <w:p w14:paraId="122382B4">
                  <w:pPr>
                    <w:pStyle w:val="120"/>
                    <w:keepNext w:val="0"/>
                    <w:keepLines w:val="0"/>
                    <w:pageBreakBefore w:val="0"/>
                    <w:framePr w:hSpace="0" w:wrap="auto" w:vAnchor="margin" w:hAnchor="text" w:xAlign="left" w:yAlign="inline"/>
                    <w:suppressLineNumbers w:val="0"/>
                    <w:kinsoku/>
                    <w:wordWrap/>
                    <w:overflowPunct/>
                    <w:topLinePunct w:val="0"/>
                    <w:bidi w:val="0"/>
                    <w:adjustRightInd w:val="0"/>
                    <w:snapToGrid w:val="0"/>
                    <w:spacing w:before="0" w:beforeAutospacing="0" w:after="0" w:afterAutospacing="0" w:line="276" w:lineRule="auto"/>
                    <w:ind w:left="0" w:right="0"/>
                    <w:jc w:val="center"/>
                    <w:rPr>
                      <w:rFonts w:hint="default" w:ascii="Times New Roman" w:hAnsi="Times New Roman" w:eastAsia="宋体" w:cs="Times New Roman"/>
                      <w:color w:val="auto"/>
                      <w:sz w:val="18"/>
                      <w:szCs w:val="18"/>
                      <w:highlight w:val="none"/>
                      <w:lang w:val="en-US" w:eastAsia="zh-CN"/>
                    </w:rPr>
                  </w:pPr>
                </w:p>
              </w:tc>
              <w:tc>
                <w:tcPr>
                  <w:tcW w:w="1015" w:type="pct"/>
                  <w:vMerge w:val="continue"/>
                  <w:tcBorders>
                    <w:tl2br w:val="nil"/>
                    <w:tr2bl w:val="nil"/>
                  </w:tcBorders>
                  <w:shd w:val="clear" w:color="auto" w:fill="FFFFFF"/>
                  <w:noWrap/>
                  <w:vAlign w:val="center"/>
                </w:tcPr>
                <w:p w14:paraId="209B6835">
                  <w:pPr>
                    <w:keepNext w:val="0"/>
                    <w:keepLines w:val="0"/>
                    <w:pageBreakBefore w:val="0"/>
                    <w:widowControl/>
                    <w:suppressLineNumbers w:val="0"/>
                    <w:kinsoku/>
                    <w:wordWrap/>
                    <w:overflowPunct/>
                    <w:topLinePunct w:val="0"/>
                    <w:bidi w:val="0"/>
                    <w:adjustRightInd w:val="0"/>
                    <w:snapToGrid w:val="0"/>
                    <w:spacing w:before="0" w:beforeAutospacing="0" w:after="0" w:afterAutospacing="0" w:line="276" w:lineRule="auto"/>
                    <w:ind w:left="0" w:right="0"/>
                    <w:jc w:val="center"/>
                    <w:textAlignment w:val="center"/>
                    <w:rPr>
                      <w:rFonts w:hint="default" w:ascii="Times New Roman" w:hAnsi="Times New Roman" w:eastAsia="宋体" w:cs="Times New Roman"/>
                      <w:i w:val="0"/>
                      <w:iCs w:val="0"/>
                      <w:color w:val="000000"/>
                      <w:kern w:val="0"/>
                      <w:sz w:val="18"/>
                      <w:szCs w:val="18"/>
                      <w:highlight w:val="none"/>
                      <w:u w:val="none"/>
                      <w:lang w:val="en-US" w:eastAsia="zh-CN" w:bidi="ar"/>
                    </w:rPr>
                  </w:pPr>
                </w:p>
              </w:tc>
              <w:tc>
                <w:tcPr>
                  <w:tcW w:w="1436" w:type="pct"/>
                  <w:tcBorders>
                    <w:tl2br w:val="nil"/>
                    <w:tr2bl w:val="nil"/>
                  </w:tcBorders>
                  <w:shd w:val="clear" w:color="auto" w:fill="FFFFFF"/>
                  <w:noWrap/>
                  <w:vAlign w:val="center"/>
                </w:tcPr>
                <w:p w14:paraId="3F3476EF">
                  <w:pPr>
                    <w:keepNext w:val="0"/>
                    <w:keepLines w:val="0"/>
                    <w:pageBreakBefore w:val="0"/>
                    <w:widowControl/>
                    <w:suppressLineNumbers w:val="0"/>
                    <w:kinsoku/>
                    <w:wordWrap/>
                    <w:overflowPunct/>
                    <w:topLinePunct w:val="0"/>
                    <w:bidi w:val="0"/>
                    <w:adjustRightInd w:val="0"/>
                    <w:snapToGrid w:val="0"/>
                    <w:spacing w:before="0" w:beforeAutospacing="0" w:after="0" w:afterAutospacing="0" w:line="276" w:lineRule="auto"/>
                    <w:ind w:left="0" w:right="0"/>
                    <w:jc w:val="center"/>
                    <w:textAlignment w:val="center"/>
                    <w:rPr>
                      <w:rFonts w:hint="default" w:ascii="Times New Roman" w:hAnsi="Times New Roman" w:eastAsia="宋体" w:cs="Times New Roman"/>
                      <w:i w:val="0"/>
                      <w:iCs w:val="0"/>
                      <w:color w:val="000000"/>
                      <w:kern w:val="0"/>
                      <w:sz w:val="18"/>
                      <w:szCs w:val="18"/>
                      <w:highlight w:val="none"/>
                      <w:u w:val="none"/>
                      <w:lang w:val="en-US" w:eastAsia="zh-CN" w:bidi="ar"/>
                    </w:rPr>
                  </w:pPr>
                  <w:r>
                    <w:rPr>
                      <w:rFonts w:hint="default" w:ascii="Times New Roman" w:hAnsi="Times New Roman" w:eastAsia="宋体" w:cs="Times New Roman"/>
                      <w:i w:val="0"/>
                      <w:iCs w:val="0"/>
                      <w:color w:val="000000"/>
                      <w:kern w:val="0"/>
                      <w:sz w:val="18"/>
                      <w:szCs w:val="18"/>
                      <w:highlight w:val="none"/>
                      <w:u w:val="none"/>
                      <w:lang w:val="en-US" w:eastAsia="zh-CN" w:bidi="ar"/>
                    </w:rPr>
                    <w:t>5900mm×1903mm×680mm</w:t>
                  </w:r>
                </w:p>
              </w:tc>
              <w:tc>
                <w:tcPr>
                  <w:tcW w:w="284" w:type="pct"/>
                  <w:tcBorders>
                    <w:tl2br w:val="nil"/>
                    <w:tr2bl w:val="nil"/>
                  </w:tcBorders>
                  <w:shd w:val="clear" w:color="auto" w:fill="FFFFFF"/>
                  <w:noWrap/>
                  <w:vAlign w:val="center"/>
                </w:tcPr>
                <w:p w14:paraId="48C5125B">
                  <w:pPr>
                    <w:keepNext w:val="0"/>
                    <w:keepLines w:val="0"/>
                    <w:pageBreakBefore w:val="0"/>
                    <w:widowControl/>
                    <w:suppressLineNumbers w:val="0"/>
                    <w:kinsoku/>
                    <w:wordWrap/>
                    <w:overflowPunct/>
                    <w:topLinePunct w:val="0"/>
                    <w:bidi w:val="0"/>
                    <w:adjustRightInd w:val="0"/>
                    <w:snapToGrid w:val="0"/>
                    <w:spacing w:before="0" w:beforeAutospacing="0" w:after="0" w:afterAutospacing="0" w:line="276" w:lineRule="auto"/>
                    <w:ind w:left="0" w:right="0"/>
                    <w:jc w:val="center"/>
                    <w:textAlignment w:val="center"/>
                    <w:rPr>
                      <w:rFonts w:hint="default" w:ascii="Times New Roman" w:hAnsi="Times New Roman" w:eastAsia="宋体" w:cs="Times New Roman"/>
                      <w:bCs/>
                      <w:color w:val="auto"/>
                      <w:kern w:val="2"/>
                      <w:sz w:val="18"/>
                      <w:szCs w:val="18"/>
                      <w:highlight w:val="none"/>
                      <w:lang w:val="en-US" w:eastAsia="zh-CN" w:bidi="ar-SA"/>
                    </w:rPr>
                  </w:pPr>
                  <w:r>
                    <w:rPr>
                      <w:rFonts w:hint="default" w:ascii="Times New Roman" w:hAnsi="Times New Roman" w:eastAsia="宋体" w:cs="Times New Roman"/>
                      <w:i w:val="0"/>
                      <w:iCs w:val="0"/>
                      <w:color w:val="000000"/>
                      <w:kern w:val="0"/>
                      <w:sz w:val="18"/>
                      <w:szCs w:val="18"/>
                      <w:highlight w:val="none"/>
                      <w:u w:val="none"/>
                      <w:lang w:val="en-US" w:eastAsia="zh-CN" w:bidi="ar"/>
                    </w:rPr>
                    <w:t>8</w:t>
                  </w:r>
                </w:p>
              </w:tc>
              <w:tc>
                <w:tcPr>
                  <w:tcW w:w="1678" w:type="pct"/>
                  <w:tcBorders>
                    <w:tl2br w:val="nil"/>
                    <w:tr2bl w:val="nil"/>
                  </w:tcBorders>
                  <w:shd w:val="clear" w:color="auto" w:fill="FFFFFF"/>
                  <w:noWrap/>
                  <w:vAlign w:val="center"/>
                </w:tcPr>
                <w:p w14:paraId="2BEF4FF9">
                  <w:pPr>
                    <w:keepNext w:val="0"/>
                    <w:keepLines w:val="0"/>
                    <w:pageBreakBefore w:val="0"/>
                    <w:widowControl/>
                    <w:suppressLineNumbers w:val="0"/>
                    <w:kinsoku/>
                    <w:wordWrap/>
                    <w:overflowPunct/>
                    <w:topLinePunct w:val="0"/>
                    <w:bidi w:val="0"/>
                    <w:adjustRightInd w:val="0"/>
                    <w:snapToGrid w:val="0"/>
                    <w:spacing w:before="0" w:beforeAutospacing="0" w:after="0" w:afterAutospacing="0" w:line="276" w:lineRule="auto"/>
                    <w:ind w:left="0" w:right="0"/>
                    <w:jc w:val="center"/>
                    <w:textAlignment w:val="center"/>
                    <w:rPr>
                      <w:rFonts w:hint="default" w:ascii="Times New Roman" w:hAnsi="Times New Roman" w:eastAsia="宋体" w:cs="Times New Roman"/>
                      <w:bCs/>
                      <w:color w:val="auto"/>
                      <w:kern w:val="2"/>
                      <w:sz w:val="18"/>
                      <w:szCs w:val="18"/>
                      <w:highlight w:val="none"/>
                      <w:lang w:val="en-US" w:eastAsia="zh-CN" w:bidi="ar-SA"/>
                    </w:rPr>
                  </w:pPr>
                  <w:r>
                    <w:rPr>
                      <w:rFonts w:hint="default" w:ascii="Times New Roman" w:hAnsi="Times New Roman" w:eastAsia="宋体" w:cs="Times New Roman"/>
                      <w:i w:val="0"/>
                      <w:iCs w:val="0"/>
                      <w:color w:val="000000"/>
                      <w:kern w:val="0"/>
                      <w:sz w:val="18"/>
                      <w:szCs w:val="18"/>
                      <w:highlight w:val="none"/>
                      <w:u w:val="none"/>
                      <w:lang w:val="en-US" w:eastAsia="zh-CN" w:bidi="ar"/>
                    </w:rPr>
                    <w:t>小鼠饲养间2、3、4、5、6、7、8、10</w:t>
                  </w:r>
                </w:p>
              </w:tc>
            </w:tr>
            <w:tr w14:paraId="3B925F5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FFFFFF"/>
                <w:tblCellMar>
                  <w:top w:w="0" w:type="dxa"/>
                  <w:left w:w="28" w:type="dxa"/>
                  <w:bottom w:w="0" w:type="dxa"/>
                  <w:right w:w="28" w:type="dxa"/>
                </w:tblCellMar>
              </w:tblPrEx>
              <w:trPr>
                <w:trHeight w:val="0" w:hRule="atLeast"/>
              </w:trPr>
              <w:tc>
                <w:tcPr>
                  <w:tcW w:w="235" w:type="pct"/>
                  <w:tcBorders>
                    <w:tl2br w:val="nil"/>
                    <w:tr2bl w:val="nil"/>
                  </w:tcBorders>
                  <w:shd w:val="clear" w:color="auto" w:fill="FFFFFF"/>
                  <w:noWrap/>
                  <w:vAlign w:val="center"/>
                </w:tcPr>
                <w:p w14:paraId="738ABFFF">
                  <w:pPr>
                    <w:keepNext w:val="0"/>
                    <w:keepLines w:val="0"/>
                    <w:pageBreakBefore w:val="0"/>
                    <w:widowControl/>
                    <w:suppressLineNumbers w:val="0"/>
                    <w:kinsoku/>
                    <w:wordWrap/>
                    <w:overflowPunct/>
                    <w:topLinePunct w:val="0"/>
                    <w:bidi w:val="0"/>
                    <w:adjustRightInd w:val="0"/>
                    <w:snapToGrid w:val="0"/>
                    <w:spacing w:before="0" w:beforeAutospacing="0" w:after="0" w:afterAutospacing="0" w:line="276" w:lineRule="auto"/>
                    <w:ind w:left="0" w:right="0"/>
                    <w:jc w:val="center"/>
                    <w:textAlignment w:val="center"/>
                    <w:rPr>
                      <w:rFonts w:hint="default" w:ascii="Times New Roman" w:hAnsi="Times New Roman" w:eastAsia="宋体" w:cs="Times New Roman"/>
                      <w:color w:val="auto"/>
                      <w:sz w:val="18"/>
                      <w:szCs w:val="18"/>
                      <w:highlight w:val="none"/>
                      <w:lang w:val="en-US" w:eastAsia="zh-CN"/>
                    </w:rPr>
                  </w:pPr>
                  <w:r>
                    <w:rPr>
                      <w:rFonts w:hint="default" w:ascii="Times New Roman" w:hAnsi="Times New Roman" w:eastAsia="宋体" w:cs="Times New Roman"/>
                      <w:i w:val="0"/>
                      <w:iCs w:val="0"/>
                      <w:color w:val="000000"/>
                      <w:kern w:val="0"/>
                      <w:sz w:val="18"/>
                      <w:szCs w:val="18"/>
                      <w:highlight w:val="none"/>
                      <w:u w:val="none"/>
                      <w:lang w:val="en-US" w:eastAsia="zh-CN" w:bidi="ar"/>
                    </w:rPr>
                    <w:t>22</w:t>
                  </w:r>
                </w:p>
              </w:tc>
              <w:tc>
                <w:tcPr>
                  <w:tcW w:w="349" w:type="pct"/>
                  <w:vMerge w:val="continue"/>
                  <w:tcBorders>
                    <w:tl2br w:val="nil"/>
                    <w:tr2bl w:val="nil"/>
                  </w:tcBorders>
                  <w:shd w:val="clear" w:color="auto" w:fill="FFFFFF"/>
                  <w:vAlign w:val="center"/>
                </w:tcPr>
                <w:p w14:paraId="4C7C4B80">
                  <w:pPr>
                    <w:pStyle w:val="120"/>
                    <w:keepNext w:val="0"/>
                    <w:keepLines w:val="0"/>
                    <w:pageBreakBefore w:val="0"/>
                    <w:framePr w:hSpace="0" w:wrap="auto" w:vAnchor="margin" w:hAnchor="text" w:xAlign="left" w:yAlign="inline"/>
                    <w:suppressLineNumbers w:val="0"/>
                    <w:kinsoku/>
                    <w:wordWrap/>
                    <w:overflowPunct/>
                    <w:topLinePunct w:val="0"/>
                    <w:bidi w:val="0"/>
                    <w:adjustRightInd w:val="0"/>
                    <w:snapToGrid w:val="0"/>
                    <w:spacing w:before="0" w:beforeAutospacing="0" w:after="0" w:afterAutospacing="0" w:line="276" w:lineRule="auto"/>
                    <w:ind w:left="0" w:right="0"/>
                    <w:jc w:val="center"/>
                    <w:rPr>
                      <w:rFonts w:hint="default" w:ascii="Times New Roman" w:hAnsi="Times New Roman" w:eastAsia="宋体" w:cs="Times New Roman"/>
                      <w:color w:val="auto"/>
                      <w:sz w:val="18"/>
                      <w:szCs w:val="18"/>
                      <w:highlight w:val="none"/>
                      <w:lang w:val="en-US" w:eastAsia="zh-CN"/>
                    </w:rPr>
                  </w:pPr>
                </w:p>
              </w:tc>
              <w:tc>
                <w:tcPr>
                  <w:tcW w:w="1015" w:type="pct"/>
                  <w:vMerge w:val="continue"/>
                  <w:tcBorders>
                    <w:tl2br w:val="nil"/>
                    <w:tr2bl w:val="nil"/>
                  </w:tcBorders>
                  <w:shd w:val="clear" w:color="auto" w:fill="FFFFFF"/>
                  <w:vAlign w:val="center"/>
                </w:tcPr>
                <w:p w14:paraId="7E84E826">
                  <w:pPr>
                    <w:keepNext w:val="0"/>
                    <w:keepLines w:val="0"/>
                    <w:pageBreakBefore w:val="0"/>
                    <w:widowControl/>
                    <w:suppressLineNumbers w:val="0"/>
                    <w:kinsoku/>
                    <w:wordWrap/>
                    <w:overflowPunct/>
                    <w:topLinePunct w:val="0"/>
                    <w:bidi w:val="0"/>
                    <w:adjustRightInd w:val="0"/>
                    <w:snapToGrid w:val="0"/>
                    <w:spacing w:before="0" w:beforeAutospacing="0" w:after="0" w:afterAutospacing="0" w:line="276" w:lineRule="auto"/>
                    <w:ind w:left="0" w:right="0"/>
                    <w:jc w:val="center"/>
                    <w:textAlignment w:val="center"/>
                    <w:rPr>
                      <w:rFonts w:hint="default" w:ascii="Times New Roman" w:hAnsi="Times New Roman" w:eastAsia="宋体" w:cs="Times New Roman"/>
                      <w:i w:val="0"/>
                      <w:iCs w:val="0"/>
                      <w:color w:val="000000"/>
                      <w:kern w:val="0"/>
                      <w:sz w:val="18"/>
                      <w:szCs w:val="18"/>
                      <w:highlight w:val="none"/>
                      <w:u w:val="none"/>
                      <w:lang w:val="en-US" w:eastAsia="zh-CN" w:bidi="ar"/>
                    </w:rPr>
                  </w:pPr>
                </w:p>
              </w:tc>
              <w:tc>
                <w:tcPr>
                  <w:tcW w:w="1436" w:type="pct"/>
                  <w:tcBorders>
                    <w:tl2br w:val="nil"/>
                    <w:tr2bl w:val="nil"/>
                  </w:tcBorders>
                  <w:shd w:val="clear" w:color="auto" w:fill="FFFFFF"/>
                  <w:noWrap/>
                  <w:vAlign w:val="center"/>
                </w:tcPr>
                <w:p w14:paraId="10B30EDA">
                  <w:pPr>
                    <w:keepNext w:val="0"/>
                    <w:keepLines w:val="0"/>
                    <w:pageBreakBefore w:val="0"/>
                    <w:widowControl/>
                    <w:suppressLineNumbers w:val="0"/>
                    <w:kinsoku/>
                    <w:wordWrap/>
                    <w:overflowPunct/>
                    <w:topLinePunct w:val="0"/>
                    <w:bidi w:val="0"/>
                    <w:adjustRightInd w:val="0"/>
                    <w:snapToGrid w:val="0"/>
                    <w:spacing w:before="0" w:beforeAutospacing="0" w:after="0" w:afterAutospacing="0" w:line="276" w:lineRule="auto"/>
                    <w:ind w:left="0" w:right="0"/>
                    <w:jc w:val="center"/>
                    <w:textAlignment w:val="center"/>
                    <w:rPr>
                      <w:rFonts w:hint="default" w:ascii="Times New Roman" w:hAnsi="Times New Roman" w:eastAsia="宋体" w:cs="Times New Roman"/>
                      <w:i w:val="0"/>
                      <w:iCs w:val="0"/>
                      <w:color w:val="000000"/>
                      <w:kern w:val="0"/>
                      <w:sz w:val="18"/>
                      <w:szCs w:val="18"/>
                      <w:highlight w:val="none"/>
                      <w:u w:val="none"/>
                      <w:lang w:val="en-US" w:eastAsia="zh-CN" w:bidi="ar"/>
                    </w:rPr>
                  </w:pPr>
                  <w:r>
                    <w:rPr>
                      <w:rFonts w:hint="default" w:ascii="Times New Roman" w:hAnsi="Times New Roman" w:eastAsia="宋体" w:cs="Times New Roman"/>
                      <w:i w:val="0"/>
                      <w:iCs w:val="0"/>
                      <w:color w:val="000000"/>
                      <w:kern w:val="0"/>
                      <w:sz w:val="18"/>
                      <w:szCs w:val="18"/>
                      <w:highlight w:val="none"/>
                      <w:u w:val="none"/>
                      <w:lang w:val="en-US" w:eastAsia="zh-CN" w:bidi="ar"/>
                    </w:rPr>
                    <w:t>2440mm×1903mm×680mm</w:t>
                  </w:r>
                </w:p>
              </w:tc>
              <w:tc>
                <w:tcPr>
                  <w:tcW w:w="284" w:type="pct"/>
                  <w:tcBorders>
                    <w:tl2br w:val="nil"/>
                    <w:tr2bl w:val="nil"/>
                  </w:tcBorders>
                  <w:shd w:val="clear" w:color="auto" w:fill="FFFFFF"/>
                  <w:vAlign w:val="center"/>
                </w:tcPr>
                <w:p w14:paraId="0F1A1BBB">
                  <w:pPr>
                    <w:keepNext w:val="0"/>
                    <w:keepLines w:val="0"/>
                    <w:pageBreakBefore w:val="0"/>
                    <w:widowControl/>
                    <w:suppressLineNumbers w:val="0"/>
                    <w:kinsoku/>
                    <w:wordWrap/>
                    <w:overflowPunct/>
                    <w:topLinePunct w:val="0"/>
                    <w:bidi w:val="0"/>
                    <w:adjustRightInd w:val="0"/>
                    <w:snapToGrid w:val="0"/>
                    <w:spacing w:before="0" w:beforeAutospacing="0" w:after="0" w:afterAutospacing="0" w:line="276" w:lineRule="auto"/>
                    <w:ind w:left="0" w:right="0"/>
                    <w:jc w:val="center"/>
                    <w:textAlignment w:val="center"/>
                    <w:rPr>
                      <w:rFonts w:hint="default" w:ascii="Times New Roman" w:hAnsi="Times New Roman" w:eastAsia="宋体" w:cs="Times New Roman"/>
                      <w:color w:val="auto"/>
                      <w:kern w:val="2"/>
                      <w:sz w:val="18"/>
                      <w:szCs w:val="18"/>
                      <w:highlight w:val="none"/>
                      <w:lang w:val="en-US" w:eastAsia="zh-CN" w:bidi="ar-SA"/>
                    </w:rPr>
                  </w:pPr>
                  <w:r>
                    <w:rPr>
                      <w:rFonts w:hint="default" w:ascii="Times New Roman" w:hAnsi="Times New Roman" w:eastAsia="宋体" w:cs="Times New Roman"/>
                      <w:i w:val="0"/>
                      <w:iCs w:val="0"/>
                      <w:color w:val="000000"/>
                      <w:kern w:val="0"/>
                      <w:sz w:val="18"/>
                      <w:szCs w:val="18"/>
                      <w:highlight w:val="none"/>
                      <w:u w:val="none"/>
                      <w:lang w:val="en-US" w:eastAsia="zh-CN" w:bidi="ar"/>
                    </w:rPr>
                    <w:t>2</w:t>
                  </w:r>
                </w:p>
              </w:tc>
              <w:tc>
                <w:tcPr>
                  <w:tcW w:w="1678" w:type="pct"/>
                  <w:tcBorders>
                    <w:tl2br w:val="nil"/>
                    <w:tr2bl w:val="nil"/>
                  </w:tcBorders>
                  <w:shd w:val="clear" w:color="auto" w:fill="FFFFFF"/>
                  <w:vAlign w:val="center"/>
                </w:tcPr>
                <w:p w14:paraId="7D753D1E">
                  <w:pPr>
                    <w:keepNext w:val="0"/>
                    <w:keepLines w:val="0"/>
                    <w:pageBreakBefore w:val="0"/>
                    <w:widowControl/>
                    <w:suppressLineNumbers w:val="0"/>
                    <w:kinsoku/>
                    <w:wordWrap/>
                    <w:overflowPunct/>
                    <w:topLinePunct w:val="0"/>
                    <w:bidi w:val="0"/>
                    <w:adjustRightInd w:val="0"/>
                    <w:snapToGrid w:val="0"/>
                    <w:spacing w:before="0" w:beforeAutospacing="0" w:after="0" w:afterAutospacing="0" w:line="276" w:lineRule="auto"/>
                    <w:ind w:left="0" w:right="0"/>
                    <w:jc w:val="center"/>
                    <w:textAlignment w:val="center"/>
                    <w:rPr>
                      <w:rFonts w:hint="default" w:ascii="Times New Roman" w:hAnsi="Times New Roman" w:eastAsia="宋体" w:cs="Times New Roman"/>
                      <w:color w:val="auto"/>
                      <w:sz w:val="18"/>
                      <w:szCs w:val="18"/>
                      <w:highlight w:val="none"/>
                      <w:lang w:val="en-US" w:eastAsia="zh-CN"/>
                    </w:rPr>
                  </w:pPr>
                  <w:r>
                    <w:rPr>
                      <w:rFonts w:hint="default" w:ascii="Times New Roman" w:hAnsi="Times New Roman" w:eastAsia="宋体" w:cs="Times New Roman"/>
                      <w:i w:val="0"/>
                      <w:iCs w:val="0"/>
                      <w:color w:val="000000"/>
                      <w:kern w:val="0"/>
                      <w:sz w:val="18"/>
                      <w:szCs w:val="18"/>
                      <w:highlight w:val="none"/>
                      <w:u w:val="none"/>
                      <w:lang w:val="en-US" w:eastAsia="zh-CN" w:bidi="ar"/>
                    </w:rPr>
                    <w:t>小鼠饲养间10、11</w:t>
                  </w:r>
                </w:p>
              </w:tc>
            </w:tr>
            <w:tr w14:paraId="5C081D4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0" w:hRule="atLeast"/>
              </w:trPr>
              <w:tc>
                <w:tcPr>
                  <w:tcW w:w="235" w:type="pct"/>
                  <w:tcBorders>
                    <w:tl2br w:val="nil"/>
                    <w:tr2bl w:val="nil"/>
                  </w:tcBorders>
                  <w:shd w:val="clear" w:color="auto" w:fill="FFFFFF"/>
                  <w:noWrap/>
                  <w:vAlign w:val="center"/>
                </w:tcPr>
                <w:p w14:paraId="746884AB">
                  <w:pPr>
                    <w:keepNext w:val="0"/>
                    <w:keepLines w:val="0"/>
                    <w:pageBreakBefore w:val="0"/>
                    <w:widowControl/>
                    <w:suppressLineNumbers w:val="0"/>
                    <w:kinsoku/>
                    <w:wordWrap/>
                    <w:overflowPunct/>
                    <w:topLinePunct w:val="0"/>
                    <w:bidi w:val="0"/>
                    <w:adjustRightInd w:val="0"/>
                    <w:snapToGrid w:val="0"/>
                    <w:spacing w:before="0" w:beforeAutospacing="0" w:after="0" w:afterAutospacing="0" w:line="276" w:lineRule="auto"/>
                    <w:ind w:left="0" w:right="0"/>
                    <w:jc w:val="center"/>
                    <w:textAlignment w:val="center"/>
                    <w:rPr>
                      <w:rFonts w:hint="default" w:ascii="Times New Roman" w:hAnsi="Times New Roman" w:eastAsia="宋体" w:cs="Times New Roman"/>
                      <w:color w:val="auto"/>
                      <w:sz w:val="18"/>
                      <w:szCs w:val="18"/>
                      <w:highlight w:val="none"/>
                      <w:lang w:val="en-US" w:eastAsia="zh-CN"/>
                    </w:rPr>
                  </w:pPr>
                  <w:r>
                    <w:rPr>
                      <w:rFonts w:hint="default" w:ascii="Times New Roman" w:hAnsi="Times New Roman" w:eastAsia="宋体" w:cs="Times New Roman"/>
                      <w:i w:val="0"/>
                      <w:iCs w:val="0"/>
                      <w:color w:val="000000"/>
                      <w:kern w:val="0"/>
                      <w:sz w:val="18"/>
                      <w:szCs w:val="18"/>
                      <w:highlight w:val="none"/>
                      <w:u w:val="none"/>
                      <w:lang w:val="en-US" w:eastAsia="zh-CN" w:bidi="ar"/>
                    </w:rPr>
                    <w:t>23</w:t>
                  </w:r>
                </w:p>
              </w:tc>
              <w:tc>
                <w:tcPr>
                  <w:tcW w:w="349" w:type="pct"/>
                  <w:vMerge w:val="continue"/>
                  <w:tcBorders>
                    <w:tl2br w:val="nil"/>
                    <w:tr2bl w:val="nil"/>
                  </w:tcBorders>
                  <w:shd w:val="clear" w:color="auto" w:fill="FFFFFF"/>
                  <w:vAlign w:val="center"/>
                </w:tcPr>
                <w:p w14:paraId="20FCE2A8">
                  <w:pPr>
                    <w:pStyle w:val="120"/>
                    <w:keepNext w:val="0"/>
                    <w:keepLines w:val="0"/>
                    <w:pageBreakBefore w:val="0"/>
                    <w:framePr w:hSpace="0" w:wrap="auto" w:vAnchor="margin" w:hAnchor="text" w:xAlign="left" w:yAlign="inline"/>
                    <w:suppressLineNumbers w:val="0"/>
                    <w:kinsoku/>
                    <w:wordWrap/>
                    <w:overflowPunct/>
                    <w:topLinePunct w:val="0"/>
                    <w:bidi w:val="0"/>
                    <w:adjustRightInd w:val="0"/>
                    <w:snapToGrid w:val="0"/>
                    <w:spacing w:before="0" w:beforeAutospacing="0" w:after="0" w:afterAutospacing="0" w:line="276" w:lineRule="auto"/>
                    <w:ind w:left="0" w:right="0"/>
                    <w:jc w:val="center"/>
                    <w:rPr>
                      <w:rFonts w:hint="default" w:ascii="Times New Roman" w:hAnsi="Times New Roman" w:eastAsia="宋体" w:cs="Times New Roman"/>
                      <w:color w:val="auto"/>
                      <w:sz w:val="18"/>
                      <w:szCs w:val="18"/>
                      <w:highlight w:val="none"/>
                      <w:lang w:val="en-US" w:eastAsia="zh-CN"/>
                    </w:rPr>
                  </w:pPr>
                </w:p>
              </w:tc>
              <w:tc>
                <w:tcPr>
                  <w:tcW w:w="1015" w:type="pct"/>
                  <w:vMerge w:val="continue"/>
                  <w:tcBorders>
                    <w:tl2br w:val="nil"/>
                    <w:tr2bl w:val="nil"/>
                  </w:tcBorders>
                  <w:shd w:val="clear" w:color="auto" w:fill="FFFFFF"/>
                  <w:vAlign w:val="center"/>
                </w:tcPr>
                <w:p w14:paraId="61DA668C">
                  <w:pPr>
                    <w:keepNext w:val="0"/>
                    <w:keepLines w:val="0"/>
                    <w:pageBreakBefore w:val="0"/>
                    <w:widowControl/>
                    <w:suppressLineNumbers w:val="0"/>
                    <w:kinsoku/>
                    <w:wordWrap/>
                    <w:overflowPunct/>
                    <w:topLinePunct w:val="0"/>
                    <w:bidi w:val="0"/>
                    <w:adjustRightInd w:val="0"/>
                    <w:snapToGrid w:val="0"/>
                    <w:spacing w:before="0" w:beforeAutospacing="0" w:after="0" w:afterAutospacing="0" w:line="276" w:lineRule="auto"/>
                    <w:ind w:left="0" w:right="0"/>
                    <w:jc w:val="center"/>
                    <w:textAlignment w:val="center"/>
                    <w:rPr>
                      <w:rFonts w:hint="default" w:ascii="Times New Roman" w:hAnsi="Times New Roman" w:eastAsia="宋体" w:cs="Times New Roman"/>
                      <w:i w:val="0"/>
                      <w:iCs w:val="0"/>
                      <w:color w:val="000000"/>
                      <w:kern w:val="0"/>
                      <w:sz w:val="18"/>
                      <w:szCs w:val="18"/>
                      <w:highlight w:val="none"/>
                      <w:u w:val="none"/>
                      <w:lang w:val="en-US" w:eastAsia="zh-CN" w:bidi="ar"/>
                    </w:rPr>
                  </w:pPr>
                </w:p>
              </w:tc>
              <w:tc>
                <w:tcPr>
                  <w:tcW w:w="1436" w:type="pct"/>
                  <w:tcBorders>
                    <w:tl2br w:val="nil"/>
                    <w:tr2bl w:val="nil"/>
                  </w:tcBorders>
                  <w:shd w:val="clear" w:color="auto" w:fill="FFFFFF"/>
                  <w:noWrap/>
                  <w:vAlign w:val="center"/>
                </w:tcPr>
                <w:p w14:paraId="21530099">
                  <w:pPr>
                    <w:keepNext w:val="0"/>
                    <w:keepLines w:val="0"/>
                    <w:pageBreakBefore w:val="0"/>
                    <w:widowControl/>
                    <w:suppressLineNumbers w:val="0"/>
                    <w:kinsoku/>
                    <w:wordWrap/>
                    <w:overflowPunct/>
                    <w:topLinePunct w:val="0"/>
                    <w:bidi w:val="0"/>
                    <w:adjustRightInd w:val="0"/>
                    <w:snapToGrid w:val="0"/>
                    <w:spacing w:before="0" w:beforeAutospacing="0" w:after="0" w:afterAutospacing="0" w:line="276" w:lineRule="auto"/>
                    <w:ind w:left="0" w:right="0"/>
                    <w:jc w:val="center"/>
                    <w:textAlignment w:val="center"/>
                    <w:rPr>
                      <w:rFonts w:hint="default" w:ascii="Times New Roman" w:hAnsi="Times New Roman" w:eastAsia="宋体" w:cs="Times New Roman"/>
                      <w:i w:val="0"/>
                      <w:iCs w:val="0"/>
                      <w:color w:val="000000"/>
                      <w:kern w:val="0"/>
                      <w:sz w:val="18"/>
                      <w:szCs w:val="18"/>
                      <w:highlight w:val="none"/>
                      <w:u w:val="none"/>
                      <w:lang w:val="en-US" w:eastAsia="zh-CN" w:bidi="ar"/>
                    </w:rPr>
                  </w:pPr>
                  <w:r>
                    <w:rPr>
                      <w:rFonts w:hint="default" w:ascii="Times New Roman" w:hAnsi="Times New Roman" w:eastAsia="宋体" w:cs="Times New Roman"/>
                      <w:i w:val="0"/>
                      <w:iCs w:val="0"/>
                      <w:color w:val="000000"/>
                      <w:kern w:val="0"/>
                      <w:sz w:val="18"/>
                      <w:szCs w:val="18"/>
                      <w:highlight w:val="none"/>
                      <w:u w:val="none"/>
                      <w:lang w:val="en-US" w:eastAsia="zh-CN" w:bidi="ar"/>
                    </w:rPr>
                    <w:t>4406mm×1903mm×680mm</w:t>
                  </w:r>
                </w:p>
              </w:tc>
              <w:tc>
                <w:tcPr>
                  <w:tcW w:w="284" w:type="pct"/>
                  <w:tcBorders>
                    <w:tl2br w:val="nil"/>
                    <w:tr2bl w:val="nil"/>
                  </w:tcBorders>
                  <w:shd w:val="clear" w:color="auto" w:fill="FFFFFF"/>
                  <w:vAlign w:val="center"/>
                </w:tcPr>
                <w:p w14:paraId="6A8DAC5B">
                  <w:pPr>
                    <w:keepNext w:val="0"/>
                    <w:keepLines w:val="0"/>
                    <w:pageBreakBefore w:val="0"/>
                    <w:widowControl/>
                    <w:suppressLineNumbers w:val="0"/>
                    <w:kinsoku/>
                    <w:wordWrap/>
                    <w:overflowPunct/>
                    <w:topLinePunct w:val="0"/>
                    <w:bidi w:val="0"/>
                    <w:adjustRightInd w:val="0"/>
                    <w:snapToGrid w:val="0"/>
                    <w:spacing w:before="0" w:beforeAutospacing="0" w:after="0" w:afterAutospacing="0" w:line="276" w:lineRule="auto"/>
                    <w:ind w:left="0" w:right="0"/>
                    <w:jc w:val="center"/>
                    <w:textAlignment w:val="center"/>
                    <w:rPr>
                      <w:rFonts w:hint="default" w:ascii="Times New Roman" w:hAnsi="Times New Roman" w:eastAsia="宋体" w:cs="Times New Roman"/>
                      <w:color w:val="auto"/>
                      <w:kern w:val="2"/>
                      <w:sz w:val="18"/>
                      <w:szCs w:val="18"/>
                      <w:highlight w:val="none"/>
                      <w:lang w:val="en-US" w:eastAsia="zh-CN" w:bidi="ar-SA"/>
                    </w:rPr>
                  </w:pPr>
                  <w:r>
                    <w:rPr>
                      <w:rFonts w:hint="default" w:ascii="Times New Roman" w:hAnsi="Times New Roman" w:eastAsia="宋体" w:cs="Times New Roman"/>
                      <w:i w:val="0"/>
                      <w:iCs w:val="0"/>
                      <w:color w:val="000000"/>
                      <w:kern w:val="0"/>
                      <w:sz w:val="18"/>
                      <w:szCs w:val="18"/>
                      <w:highlight w:val="none"/>
                      <w:u w:val="none"/>
                      <w:lang w:val="en-US" w:eastAsia="zh-CN" w:bidi="ar"/>
                    </w:rPr>
                    <w:t>12</w:t>
                  </w:r>
                </w:p>
              </w:tc>
              <w:tc>
                <w:tcPr>
                  <w:tcW w:w="1678" w:type="pct"/>
                  <w:tcBorders>
                    <w:tl2br w:val="nil"/>
                    <w:tr2bl w:val="nil"/>
                  </w:tcBorders>
                  <w:shd w:val="clear" w:color="auto" w:fill="FFFFFF"/>
                  <w:vAlign w:val="center"/>
                </w:tcPr>
                <w:p w14:paraId="7E675990">
                  <w:pPr>
                    <w:keepNext w:val="0"/>
                    <w:keepLines w:val="0"/>
                    <w:pageBreakBefore w:val="0"/>
                    <w:widowControl/>
                    <w:suppressLineNumbers w:val="0"/>
                    <w:kinsoku/>
                    <w:wordWrap/>
                    <w:overflowPunct/>
                    <w:topLinePunct w:val="0"/>
                    <w:bidi w:val="0"/>
                    <w:adjustRightInd w:val="0"/>
                    <w:snapToGrid w:val="0"/>
                    <w:spacing w:before="0" w:beforeAutospacing="0" w:after="0" w:afterAutospacing="0" w:line="276" w:lineRule="auto"/>
                    <w:ind w:left="0" w:right="0"/>
                    <w:jc w:val="center"/>
                    <w:textAlignment w:val="center"/>
                    <w:rPr>
                      <w:rFonts w:hint="default" w:ascii="Times New Roman" w:hAnsi="Times New Roman" w:eastAsia="宋体" w:cs="Times New Roman"/>
                      <w:color w:val="auto"/>
                      <w:sz w:val="18"/>
                      <w:szCs w:val="18"/>
                      <w:highlight w:val="none"/>
                    </w:rPr>
                  </w:pPr>
                  <w:r>
                    <w:rPr>
                      <w:rFonts w:hint="default" w:ascii="Times New Roman" w:hAnsi="Times New Roman" w:eastAsia="宋体" w:cs="Times New Roman"/>
                      <w:i w:val="0"/>
                      <w:iCs w:val="0"/>
                      <w:color w:val="000000"/>
                      <w:kern w:val="0"/>
                      <w:sz w:val="18"/>
                      <w:szCs w:val="18"/>
                      <w:highlight w:val="none"/>
                      <w:u w:val="none"/>
                      <w:lang w:val="en-US" w:eastAsia="zh-CN" w:bidi="ar"/>
                    </w:rPr>
                    <w:t>小鼠饲养间1、2、3、4、5、6、7、8、9、10、11、检疫室</w:t>
                  </w:r>
                </w:p>
              </w:tc>
            </w:tr>
            <w:tr w14:paraId="2158B83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FFFFFF"/>
                <w:tblCellMar>
                  <w:top w:w="0" w:type="dxa"/>
                  <w:left w:w="28" w:type="dxa"/>
                  <w:bottom w:w="0" w:type="dxa"/>
                  <w:right w:w="28" w:type="dxa"/>
                </w:tblCellMar>
              </w:tblPrEx>
              <w:trPr>
                <w:trHeight w:val="0" w:hRule="atLeast"/>
              </w:trPr>
              <w:tc>
                <w:tcPr>
                  <w:tcW w:w="235" w:type="pct"/>
                  <w:tcBorders>
                    <w:tl2br w:val="nil"/>
                    <w:tr2bl w:val="nil"/>
                  </w:tcBorders>
                  <w:shd w:val="clear" w:color="auto" w:fill="FFFFFF"/>
                  <w:noWrap/>
                  <w:vAlign w:val="center"/>
                </w:tcPr>
                <w:p w14:paraId="7A6E13FD">
                  <w:pPr>
                    <w:keepNext w:val="0"/>
                    <w:keepLines w:val="0"/>
                    <w:pageBreakBefore w:val="0"/>
                    <w:widowControl/>
                    <w:suppressLineNumbers w:val="0"/>
                    <w:kinsoku/>
                    <w:wordWrap/>
                    <w:overflowPunct/>
                    <w:topLinePunct w:val="0"/>
                    <w:bidi w:val="0"/>
                    <w:adjustRightInd w:val="0"/>
                    <w:snapToGrid w:val="0"/>
                    <w:spacing w:before="0" w:beforeAutospacing="0" w:after="0" w:afterAutospacing="0" w:line="276" w:lineRule="auto"/>
                    <w:ind w:left="0" w:right="0"/>
                    <w:jc w:val="center"/>
                    <w:textAlignment w:val="center"/>
                    <w:rPr>
                      <w:rFonts w:hint="default" w:ascii="Times New Roman" w:hAnsi="Times New Roman" w:eastAsia="宋体" w:cs="Times New Roman"/>
                      <w:color w:val="auto"/>
                      <w:sz w:val="18"/>
                      <w:szCs w:val="18"/>
                      <w:highlight w:val="none"/>
                      <w:lang w:val="en-US" w:eastAsia="zh-CN"/>
                    </w:rPr>
                  </w:pPr>
                  <w:r>
                    <w:rPr>
                      <w:rFonts w:hint="default" w:ascii="Times New Roman" w:hAnsi="Times New Roman" w:eastAsia="宋体" w:cs="Times New Roman"/>
                      <w:i w:val="0"/>
                      <w:iCs w:val="0"/>
                      <w:color w:val="000000"/>
                      <w:kern w:val="0"/>
                      <w:sz w:val="18"/>
                      <w:szCs w:val="18"/>
                      <w:highlight w:val="none"/>
                      <w:u w:val="none"/>
                      <w:lang w:val="en-US" w:eastAsia="zh-CN" w:bidi="ar"/>
                    </w:rPr>
                    <w:t>24</w:t>
                  </w:r>
                </w:p>
              </w:tc>
              <w:tc>
                <w:tcPr>
                  <w:tcW w:w="349" w:type="pct"/>
                  <w:vMerge w:val="continue"/>
                  <w:tcBorders>
                    <w:tl2br w:val="nil"/>
                    <w:tr2bl w:val="nil"/>
                  </w:tcBorders>
                  <w:shd w:val="clear" w:color="auto" w:fill="FFFFFF"/>
                  <w:vAlign w:val="center"/>
                </w:tcPr>
                <w:p w14:paraId="1BA7C672">
                  <w:pPr>
                    <w:pStyle w:val="120"/>
                    <w:keepNext w:val="0"/>
                    <w:keepLines w:val="0"/>
                    <w:pageBreakBefore w:val="0"/>
                    <w:framePr w:hSpace="0" w:wrap="auto" w:vAnchor="margin" w:hAnchor="text" w:xAlign="left" w:yAlign="inline"/>
                    <w:suppressLineNumbers w:val="0"/>
                    <w:kinsoku/>
                    <w:wordWrap/>
                    <w:overflowPunct/>
                    <w:topLinePunct w:val="0"/>
                    <w:bidi w:val="0"/>
                    <w:adjustRightInd w:val="0"/>
                    <w:snapToGrid w:val="0"/>
                    <w:spacing w:before="0" w:beforeAutospacing="0" w:after="0" w:afterAutospacing="0" w:line="276" w:lineRule="auto"/>
                    <w:ind w:left="0" w:right="0"/>
                    <w:jc w:val="center"/>
                    <w:rPr>
                      <w:rFonts w:hint="default" w:ascii="Times New Roman" w:hAnsi="Times New Roman" w:eastAsia="宋体" w:cs="Times New Roman"/>
                      <w:color w:val="auto"/>
                      <w:sz w:val="18"/>
                      <w:szCs w:val="18"/>
                      <w:highlight w:val="none"/>
                      <w:lang w:val="en-US" w:eastAsia="zh-CN"/>
                    </w:rPr>
                  </w:pPr>
                </w:p>
              </w:tc>
              <w:tc>
                <w:tcPr>
                  <w:tcW w:w="1015" w:type="pct"/>
                  <w:vMerge w:val="continue"/>
                  <w:tcBorders>
                    <w:tl2br w:val="nil"/>
                    <w:tr2bl w:val="nil"/>
                  </w:tcBorders>
                  <w:shd w:val="clear" w:color="auto" w:fill="FFFFFF"/>
                  <w:vAlign w:val="center"/>
                </w:tcPr>
                <w:p w14:paraId="08F122B7">
                  <w:pPr>
                    <w:keepNext w:val="0"/>
                    <w:keepLines w:val="0"/>
                    <w:pageBreakBefore w:val="0"/>
                    <w:widowControl/>
                    <w:suppressLineNumbers w:val="0"/>
                    <w:kinsoku/>
                    <w:wordWrap/>
                    <w:overflowPunct/>
                    <w:topLinePunct w:val="0"/>
                    <w:bidi w:val="0"/>
                    <w:adjustRightInd w:val="0"/>
                    <w:snapToGrid w:val="0"/>
                    <w:spacing w:before="0" w:beforeAutospacing="0" w:after="0" w:afterAutospacing="0" w:line="276" w:lineRule="auto"/>
                    <w:ind w:left="0" w:right="0"/>
                    <w:jc w:val="center"/>
                    <w:textAlignment w:val="center"/>
                    <w:rPr>
                      <w:rFonts w:hint="default" w:ascii="Times New Roman" w:hAnsi="Times New Roman" w:eastAsia="宋体" w:cs="Times New Roman"/>
                      <w:i w:val="0"/>
                      <w:iCs w:val="0"/>
                      <w:color w:val="000000"/>
                      <w:kern w:val="0"/>
                      <w:sz w:val="18"/>
                      <w:szCs w:val="18"/>
                      <w:highlight w:val="none"/>
                      <w:u w:val="none"/>
                      <w:lang w:val="en-US" w:eastAsia="zh-CN" w:bidi="ar"/>
                    </w:rPr>
                  </w:pPr>
                </w:p>
              </w:tc>
              <w:tc>
                <w:tcPr>
                  <w:tcW w:w="1436" w:type="pct"/>
                  <w:tcBorders>
                    <w:tl2br w:val="nil"/>
                    <w:tr2bl w:val="nil"/>
                  </w:tcBorders>
                  <w:shd w:val="clear" w:color="auto" w:fill="FFFFFF"/>
                  <w:noWrap/>
                  <w:vAlign w:val="center"/>
                </w:tcPr>
                <w:p w14:paraId="4C17C57D">
                  <w:pPr>
                    <w:keepNext w:val="0"/>
                    <w:keepLines w:val="0"/>
                    <w:pageBreakBefore w:val="0"/>
                    <w:widowControl/>
                    <w:suppressLineNumbers w:val="0"/>
                    <w:kinsoku/>
                    <w:wordWrap/>
                    <w:overflowPunct/>
                    <w:topLinePunct w:val="0"/>
                    <w:bidi w:val="0"/>
                    <w:adjustRightInd w:val="0"/>
                    <w:snapToGrid w:val="0"/>
                    <w:spacing w:before="0" w:beforeAutospacing="0" w:after="0" w:afterAutospacing="0" w:line="276" w:lineRule="auto"/>
                    <w:ind w:left="0" w:right="0"/>
                    <w:jc w:val="center"/>
                    <w:textAlignment w:val="center"/>
                    <w:rPr>
                      <w:rFonts w:hint="default" w:ascii="Times New Roman" w:hAnsi="Times New Roman" w:eastAsia="宋体" w:cs="Times New Roman"/>
                      <w:i w:val="0"/>
                      <w:iCs w:val="0"/>
                      <w:color w:val="000000"/>
                      <w:kern w:val="0"/>
                      <w:sz w:val="18"/>
                      <w:szCs w:val="18"/>
                      <w:highlight w:val="none"/>
                      <w:u w:val="none"/>
                      <w:lang w:val="en-US" w:eastAsia="zh-CN" w:bidi="ar"/>
                    </w:rPr>
                  </w:pPr>
                  <w:r>
                    <w:rPr>
                      <w:rFonts w:hint="default" w:ascii="Times New Roman" w:hAnsi="Times New Roman" w:eastAsia="宋体" w:cs="Times New Roman"/>
                      <w:i w:val="0"/>
                      <w:iCs w:val="0"/>
                      <w:color w:val="000000"/>
                      <w:kern w:val="0"/>
                      <w:sz w:val="18"/>
                      <w:szCs w:val="18"/>
                      <w:highlight w:val="none"/>
                      <w:u w:val="none"/>
                      <w:lang w:val="en-US" w:eastAsia="zh-CN" w:bidi="ar"/>
                    </w:rPr>
                    <w:t>2440mm×1903mm×1015mm</w:t>
                  </w:r>
                </w:p>
              </w:tc>
              <w:tc>
                <w:tcPr>
                  <w:tcW w:w="284" w:type="pct"/>
                  <w:tcBorders>
                    <w:tl2br w:val="nil"/>
                    <w:tr2bl w:val="nil"/>
                  </w:tcBorders>
                  <w:shd w:val="clear" w:color="auto" w:fill="FFFFFF"/>
                  <w:vAlign w:val="center"/>
                </w:tcPr>
                <w:p w14:paraId="3559D143">
                  <w:pPr>
                    <w:keepNext w:val="0"/>
                    <w:keepLines w:val="0"/>
                    <w:pageBreakBefore w:val="0"/>
                    <w:widowControl/>
                    <w:suppressLineNumbers w:val="0"/>
                    <w:kinsoku/>
                    <w:wordWrap/>
                    <w:overflowPunct/>
                    <w:topLinePunct w:val="0"/>
                    <w:bidi w:val="0"/>
                    <w:adjustRightInd w:val="0"/>
                    <w:snapToGrid w:val="0"/>
                    <w:spacing w:before="0" w:beforeAutospacing="0" w:after="0" w:afterAutospacing="0" w:line="276" w:lineRule="auto"/>
                    <w:ind w:left="0" w:right="0"/>
                    <w:jc w:val="center"/>
                    <w:textAlignment w:val="center"/>
                    <w:rPr>
                      <w:rFonts w:hint="default" w:ascii="Times New Roman" w:hAnsi="Times New Roman" w:eastAsia="宋体" w:cs="Times New Roman"/>
                      <w:color w:val="auto"/>
                      <w:kern w:val="2"/>
                      <w:sz w:val="18"/>
                      <w:szCs w:val="18"/>
                      <w:highlight w:val="none"/>
                      <w:lang w:val="en-US" w:eastAsia="zh-CN" w:bidi="ar-SA"/>
                    </w:rPr>
                  </w:pPr>
                  <w:r>
                    <w:rPr>
                      <w:rFonts w:hint="default" w:ascii="Times New Roman" w:hAnsi="Times New Roman" w:eastAsia="宋体" w:cs="Times New Roman"/>
                      <w:i w:val="0"/>
                      <w:iCs w:val="0"/>
                      <w:color w:val="000000"/>
                      <w:kern w:val="0"/>
                      <w:sz w:val="18"/>
                      <w:szCs w:val="18"/>
                      <w:highlight w:val="none"/>
                      <w:u w:val="none"/>
                      <w:lang w:val="en-US" w:eastAsia="zh-CN" w:bidi="ar"/>
                    </w:rPr>
                    <w:t>3</w:t>
                  </w:r>
                </w:p>
              </w:tc>
              <w:tc>
                <w:tcPr>
                  <w:tcW w:w="1678" w:type="pct"/>
                  <w:tcBorders>
                    <w:tl2br w:val="nil"/>
                    <w:tr2bl w:val="nil"/>
                  </w:tcBorders>
                  <w:shd w:val="clear" w:color="auto" w:fill="FFFFFF"/>
                  <w:vAlign w:val="center"/>
                </w:tcPr>
                <w:p w14:paraId="69E1CA18">
                  <w:pPr>
                    <w:keepNext w:val="0"/>
                    <w:keepLines w:val="0"/>
                    <w:pageBreakBefore w:val="0"/>
                    <w:widowControl/>
                    <w:suppressLineNumbers w:val="0"/>
                    <w:kinsoku/>
                    <w:wordWrap/>
                    <w:overflowPunct/>
                    <w:topLinePunct w:val="0"/>
                    <w:bidi w:val="0"/>
                    <w:adjustRightInd w:val="0"/>
                    <w:snapToGrid w:val="0"/>
                    <w:spacing w:before="0" w:beforeAutospacing="0" w:after="0" w:afterAutospacing="0" w:line="276" w:lineRule="auto"/>
                    <w:ind w:left="0" w:right="0"/>
                    <w:jc w:val="center"/>
                    <w:textAlignment w:val="center"/>
                    <w:rPr>
                      <w:rFonts w:hint="default" w:ascii="Times New Roman" w:hAnsi="Times New Roman" w:eastAsia="宋体" w:cs="Times New Roman"/>
                      <w:color w:val="auto"/>
                      <w:sz w:val="18"/>
                      <w:szCs w:val="18"/>
                      <w:highlight w:val="none"/>
                    </w:rPr>
                  </w:pPr>
                  <w:r>
                    <w:rPr>
                      <w:rFonts w:hint="default" w:ascii="Times New Roman" w:hAnsi="Times New Roman" w:eastAsia="宋体" w:cs="Times New Roman"/>
                      <w:i w:val="0"/>
                      <w:iCs w:val="0"/>
                      <w:color w:val="000000"/>
                      <w:kern w:val="0"/>
                      <w:sz w:val="18"/>
                      <w:szCs w:val="18"/>
                      <w:highlight w:val="none"/>
                      <w:u w:val="none"/>
                      <w:lang w:val="en-US" w:eastAsia="zh-CN" w:bidi="ar"/>
                    </w:rPr>
                    <w:t>小鼠饲养间11</w:t>
                  </w:r>
                </w:p>
              </w:tc>
            </w:tr>
            <w:tr w14:paraId="6426037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FFFFFF"/>
                <w:tblCellMar>
                  <w:top w:w="0" w:type="dxa"/>
                  <w:left w:w="28" w:type="dxa"/>
                  <w:bottom w:w="0" w:type="dxa"/>
                  <w:right w:w="28" w:type="dxa"/>
                </w:tblCellMar>
              </w:tblPrEx>
              <w:trPr>
                <w:trHeight w:val="0" w:hRule="atLeast"/>
              </w:trPr>
              <w:tc>
                <w:tcPr>
                  <w:tcW w:w="235" w:type="pct"/>
                  <w:tcBorders>
                    <w:tl2br w:val="nil"/>
                    <w:tr2bl w:val="nil"/>
                  </w:tcBorders>
                  <w:shd w:val="clear" w:color="auto" w:fill="FFFFFF"/>
                  <w:noWrap/>
                  <w:vAlign w:val="center"/>
                </w:tcPr>
                <w:p w14:paraId="3DDCFA98">
                  <w:pPr>
                    <w:keepNext w:val="0"/>
                    <w:keepLines w:val="0"/>
                    <w:pageBreakBefore w:val="0"/>
                    <w:widowControl/>
                    <w:suppressLineNumbers w:val="0"/>
                    <w:kinsoku/>
                    <w:wordWrap/>
                    <w:overflowPunct/>
                    <w:topLinePunct w:val="0"/>
                    <w:bidi w:val="0"/>
                    <w:adjustRightInd w:val="0"/>
                    <w:snapToGrid w:val="0"/>
                    <w:spacing w:before="0" w:beforeAutospacing="0" w:after="0" w:afterAutospacing="0" w:line="276" w:lineRule="auto"/>
                    <w:ind w:left="0" w:right="0"/>
                    <w:jc w:val="center"/>
                    <w:textAlignment w:val="center"/>
                    <w:rPr>
                      <w:rFonts w:hint="default" w:ascii="Times New Roman" w:hAnsi="Times New Roman" w:eastAsia="宋体" w:cs="Times New Roman"/>
                      <w:color w:val="auto"/>
                      <w:sz w:val="18"/>
                      <w:szCs w:val="18"/>
                      <w:highlight w:val="none"/>
                      <w:lang w:val="en-US" w:eastAsia="zh-CN"/>
                    </w:rPr>
                  </w:pPr>
                  <w:r>
                    <w:rPr>
                      <w:rFonts w:hint="default" w:ascii="Times New Roman" w:hAnsi="Times New Roman" w:eastAsia="宋体" w:cs="Times New Roman"/>
                      <w:i w:val="0"/>
                      <w:iCs w:val="0"/>
                      <w:color w:val="000000"/>
                      <w:kern w:val="0"/>
                      <w:sz w:val="18"/>
                      <w:szCs w:val="18"/>
                      <w:highlight w:val="none"/>
                      <w:u w:val="none"/>
                      <w:lang w:val="en-US" w:eastAsia="zh-CN" w:bidi="ar"/>
                    </w:rPr>
                    <w:t>25</w:t>
                  </w:r>
                </w:p>
              </w:tc>
              <w:tc>
                <w:tcPr>
                  <w:tcW w:w="349" w:type="pct"/>
                  <w:vMerge w:val="continue"/>
                  <w:tcBorders>
                    <w:tl2br w:val="nil"/>
                    <w:tr2bl w:val="nil"/>
                  </w:tcBorders>
                  <w:shd w:val="clear" w:color="auto" w:fill="FFFFFF"/>
                  <w:vAlign w:val="center"/>
                </w:tcPr>
                <w:p w14:paraId="3A4B9213">
                  <w:pPr>
                    <w:pStyle w:val="120"/>
                    <w:keepNext w:val="0"/>
                    <w:keepLines w:val="0"/>
                    <w:pageBreakBefore w:val="0"/>
                    <w:framePr w:hSpace="0" w:wrap="auto" w:vAnchor="margin" w:hAnchor="text" w:xAlign="left" w:yAlign="inline"/>
                    <w:suppressLineNumbers w:val="0"/>
                    <w:kinsoku/>
                    <w:wordWrap/>
                    <w:overflowPunct/>
                    <w:topLinePunct w:val="0"/>
                    <w:bidi w:val="0"/>
                    <w:adjustRightInd w:val="0"/>
                    <w:snapToGrid w:val="0"/>
                    <w:spacing w:before="0" w:beforeAutospacing="0" w:after="0" w:afterAutospacing="0" w:line="276" w:lineRule="auto"/>
                    <w:ind w:left="0" w:right="0"/>
                    <w:jc w:val="center"/>
                    <w:rPr>
                      <w:rFonts w:hint="default" w:ascii="Times New Roman" w:hAnsi="Times New Roman" w:eastAsia="宋体" w:cs="Times New Roman"/>
                      <w:color w:val="auto"/>
                      <w:sz w:val="18"/>
                      <w:szCs w:val="18"/>
                      <w:highlight w:val="none"/>
                      <w:lang w:val="en-US" w:eastAsia="zh-CN"/>
                    </w:rPr>
                  </w:pPr>
                </w:p>
              </w:tc>
              <w:tc>
                <w:tcPr>
                  <w:tcW w:w="1015" w:type="pct"/>
                  <w:vMerge w:val="continue"/>
                  <w:tcBorders>
                    <w:tl2br w:val="nil"/>
                    <w:tr2bl w:val="nil"/>
                  </w:tcBorders>
                  <w:shd w:val="clear" w:color="auto" w:fill="FFFFFF"/>
                  <w:vAlign w:val="center"/>
                </w:tcPr>
                <w:p w14:paraId="2F8163BB">
                  <w:pPr>
                    <w:keepNext w:val="0"/>
                    <w:keepLines w:val="0"/>
                    <w:pageBreakBefore w:val="0"/>
                    <w:widowControl/>
                    <w:suppressLineNumbers w:val="0"/>
                    <w:kinsoku/>
                    <w:wordWrap/>
                    <w:overflowPunct/>
                    <w:topLinePunct w:val="0"/>
                    <w:bidi w:val="0"/>
                    <w:adjustRightInd w:val="0"/>
                    <w:snapToGrid w:val="0"/>
                    <w:spacing w:before="0" w:beforeAutospacing="0" w:after="0" w:afterAutospacing="0" w:line="276" w:lineRule="auto"/>
                    <w:ind w:left="0" w:right="0"/>
                    <w:jc w:val="center"/>
                    <w:textAlignment w:val="center"/>
                    <w:rPr>
                      <w:rFonts w:hint="default" w:ascii="Times New Roman" w:hAnsi="Times New Roman" w:eastAsia="宋体" w:cs="Times New Roman"/>
                      <w:i w:val="0"/>
                      <w:iCs w:val="0"/>
                      <w:color w:val="000000"/>
                      <w:kern w:val="0"/>
                      <w:sz w:val="18"/>
                      <w:szCs w:val="18"/>
                      <w:highlight w:val="none"/>
                      <w:u w:val="none"/>
                      <w:lang w:val="en-US" w:eastAsia="zh-CN" w:bidi="ar"/>
                    </w:rPr>
                  </w:pPr>
                </w:p>
              </w:tc>
              <w:tc>
                <w:tcPr>
                  <w:tcW w:w="1436" w:type="pct"/>
                  <w:tcBorders>
                    <w:tl2br w:val="nil"/>
                    <w:tr2bl w:val="nil"/>
                  </w:tcBorders>
                  <w:shd w:val="clear" w:color="auto" w:fill="FFFFFF"/>
                  <w:noWrap/>
                  <w:vAlign w:val="center"/>
                </w:tcPr>
                <w:p w14:paraId="2C78C095">
                  <w:pPr>
                    <w:keepNext w:val="0"/>
                    <w:keepLines w:val="0"/>
                    <w:pageBreakBefore w:val="0"/>
                    <w:widowControl/>
                    <w:suppressLineNumbers w:val="0"/>
                    <w:kinsoku/>
                    <w:wordWrap/>
                    <w:overflowPunct/>
                    <w:topLinePunct w:val="0"/>
                    <w:bidi w:val="0"/>
                    <w:adjustRightInd w:val="0"/>
                    <w:snapToGrid w:val="0"/>
                    <w:spacing w:before="0" w:beforeAutospacing="0" w:after="0" w:afterAutospacing="0" w:line="276" w:lineRule="auto"/>
                    <w:ind w:left="0" w:right="0"/>
                    <w:jc w:val="center"/>
                    <w:textAlignment w:val="center"/>
                    <w:rPr>
                      <w:rFonts w:hint="default" w:ascii="Times New Roman" w:hAnsi="Times New Roman" w:eastAsia="宋体" w:cs="Times New Roman"/>
                      <w:i w:val="0"/>
                      <w:iCs w:val="0"/>
                      <w:color w:val="000000"/>
                      <w:kern w:val="0"/>
                      <w:sz w:val="18"/>
                      <w:szCs w:val="18"/>
                      <w:highlight w:val="none"/>
                      <w:u w:val="none"/>
                      <w:lang w:val="en-US" w:eastAsia="zh-CN" w:bidi="ar"/>
                    </w:rPr>
                  </w:pPr>
                  <w:r>
                    <w:rPr>
                      <w:rFonts w:hint="default" w:ascii="Times New Roman" w:hAnsi="Times New Roman" w:eastAsia="宋体" w:cs="Times New Roman"/>
                      <w:i w:val="0"/>
                      <w:iCs w:val="0"/>
                      <w:color w:val="000000"/>
                      <w:kern w:val="0"/>
                      <w:sz w:val="18"/>
                      <w:szCs w:val="18"/>
                      <w:highlight w:val="none"/>
                      <w:u w:val="none"/>
                      <w:lang w:val="en-US" w:eastAsia="zh-CN" w:bidi="ar"/>
                    </w:rPr>
                    <w:t>4406mm×1903mm×1015mm</w:t>
                  </w:r>
                </w:p>
              </w:tc>
              <w:tc>
                <w:tcPr>
                  <w:tcW w:w="284" w:type="pct"/>
                  <w:tcBorders>
                    <w:tl2br w:val="nil"/>
                    <w:tr2bl w:val="nil"/>
                  </w:tcBorders>
                  <w:shd w:val="clear" w:color="auto" w:fill="FFFFFF"/>
                  <w:vAlign w:val="center"/>
                </w:tcPr>
                <w:p w14:paraId="4E0BA249">
                  <w:pPr>
                    <w:keepNext w:val="0"/>
                    <w:keepLines w:val="0"/>
                    <w:pageBreakBefore w:val="0"/>
                    <w:widowControl/>
                    <w:suppressLineNumbers w:val="0"/>
                    <w:kinsoku/>
                    <w:wordWrap/>
                    <w:overflowPunct/>
                    <w:topLinePunct w:val="0"/>
                    <w:bidi w:val="0"/>
                    <w:adjustRightInd w:val="0"/>
                    <w:snapToGrid w:val="0"/>
                    <w:spacing w:before="0" w:beforeAutospacing="0" w:after="0" w:afterAutospacing="0" w:line="276" w:lineRule="auto"/>
                    <w:ind w:left="0" w:right="0"/>
                    <w:jc w:val="center"/>
                    <w:textAlignment w:val="center"/>
                    <w:rPr>
                      <w:rFonts w:hint="default" w:ascii="Times New Roman" w:hAnsi="Times New Roman" w:eastAsia="宋体" w:cs="Times New Roman"/>
                      <w:color w:val="auto"/>
                      <w:kern w:val="2"/>
                      <w:sz w:val="18"/>
                      <w:szCs w:val="18"/>
                      <w:highlight w:val="none"/>
                      <w:lang w:val="en-US" w:eastAsia="zh-CN" w:bidi="ar-SA"/>
                    </w:rPr>
                  </w:pPr>
                  <w:r>
                    <w:rPr>
                      <w:rFonts w:hint="default" w:ascii="Times New Roman" w:hAnsi="Times New Roman" w:eastAsia="宋体" w:cs="Times New Roman"/>
                      <w:i w:val="0"/>
                      <w:iCs w:val="0"/>
                      <w:color w:val="000000"/>
                      <w:kern w:val="0"/>
                      <w:sz w:val="18"/>
                      <w:szCs w:val="18"/>
                      <w:highlight w:val="none"/>
                      <w:u w:val="none"/>
                      <w:lang w:val="en-US" w:eastAsia="zh-CN" w:bidi="ar"/>
                    </w:rPr>
                    <w:t>1</w:t>
                  </w:r>
                </w:p>
              </w:tc>
              <w:tc>
                <w:tcPr>
                  <w:tcW w:w="1678" w:type="pct"/>
                  <w:tcBorders>
                    <w:tl2br w:val="nil"/>
                    <w:tr2bl w:val="nil"/>
                  </w:tcBorders>
                  <w:shd w:val="clear" w:color="auto" w:fill="FFFFFF"/>
                  <w:vAlign w:val="center"/>
                </w:tcPr>
                <w:p w14:paraId="0DD9E44A">
                  <w:pPr>
                    <w:keepNext w:val="0"/>
                    <w:keepLines w:val="0"/>
                    <w:pageBreakBefore w:val="0"/>
                    <w:widowControl/>
                    <w:suppressLineNumbers w:val="0"/>
                    <w:kinsoku/>
                    <w:wordWrap/>
                    <w:overflowPunct/>
                    <w:topLinePunct w:val="0"/>
                    <w:bidi w:val="0"/>
                    <w:adjustRightInd w:val="0"/>
                    <w:snapToGrid w:val="0"/>
                    <w:spacing w:before="0" w:beforeAutospacing="0" w:after="0" w:afterAutospacing="0" w:line="276" w:lineRule="auto"/>
                    <w:ind w:left="0" w:right="0"/>
                    <w:jc w:val="center"/>
                    <w:textAlignment w:val="center"/>
                    <w:rPr>
                      <w:rFonts w:hint="default" w:ascii="Times New Roman" w:hAnsi="Times New Roman" w:eastAsia="宋体" w:cs="Times New Roman"/>
                      <w:color w:val="auto"/>
                      <w:sz w:val="18"/>
                      <w:szCs w:val="18"/>
                      <w:highlight w:val="none"/>
                    </w:rPr>
                  </w:pPr>
                  <w:r>
                    <w:rPr>
                      <w:rFonts w:hint="default" w:ascii="Times New Roman" w:hAnsi="Times New Roman" w:eastAsia="宋体" w:cs="Times New Roman"/>
                      <w:i w:val="0"/>
                      <w:iCs w:val="0"/>
                      <w:color w:val="000000"/>
                      <w:kern w:val="0"/>
                      <w:sz w:val="18"/>
                      <w:szCs w:val="18"/>
                      <w:highlight w:val="none"/>
                      <w:u w:val="none"/>
                      <w:lang w:val="en-US" w:eastAsia="zh-CN" w:bidi="ar"/>
                    </w:rPr>
                    <w:t>小鼠饲养间1</w:t>
                  </w:r>
                </w:p>
              </w:tc>
            </w:tr>
            <w:tr w14:paraId="37270D7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FFFFFF"/>
                <w:tblCellMar>
                  <w:top w:w="0" w:type="dxa"/>
                  <w:left w:w="28" w:type="dxa"/>
                  <w:bottom w:w="0" w:type="dxa"/>
                  <w:right w:w="28" w:type="dxa"/>
                </w:tblCellMar>
              </w:tblPrEx>
              <w:trPr>
                <w:trHeight w:val="0" w:hRule="atLeast"/>
              </w:trPr>
              <w:tc>
                <w:tcPr>
                  <w:tcW w:w="235" w:type="pct"/>
                  <w:tcBorders>
                    <w:tl2br w:val="nil"/>
                    <w:tr2bl w:val="nil"/>
                  </w:tcBorders>
                  <w:shd w:val="clear" w:color="auto" w:fill="FFFFFF"/>
                  <w:noWrap/>
                  <w:vAlign w:val="center"/>
                </w:tcPr>
                <w:p w14:paraId="76CEB149">
                  <w:pPr>
                    <w:keepNext w:val="0"/>
                    <w:keepLines w:val="0"/>
                    <w:pageBreakBefore w:val="0"/>
                    <w:widowControl/>
                    <w:suppressLineNumbers w:val="0"/>
                    <w:kinsoku/>
                    <w:wordWrap/>
                    <w:overflowPunct/>
                    <w:topLinePunct w:val="0"/>
                    <w:bidi w:val="0"/>
                    <w:adjustRightInd w:val="0"/>
                    <w:snapToGrid w:val="0"/>
                    <w:spacing w:before="0" w:beforeAutospacing="0" w:after="0" w:afterAutospacing="0" w:line="276" w:lineRule="auto"/>
                    <w:ind w:left="0" w:right="0"/>
                    <w:jc w:val="center"/>
                    <w:textAlignment w:val="center"/>
                    <w:rPr>
                      <w:rFonts w:hint="default" w:ascii="Times New Roman" w:hAnsi="Times New Roman" w:eastAsia="宋体" w:cs="Times New Roman"/>
                      <w:color w:val="auto"/>
                      <w:sz w:val="18"/>
                      <w:szCs w:val="18"/>
                      <w:highlight w:val="none"/>
                      <w:lang w:val="en-US" w:eastAsia="zh-CN"/>
                    </w:rPr>
                  </w:pPr>
                  <w:r>
                    <w:rPr>
                      <w:rFonts w:hint="default" w:ascii="Times New Roman" w:hAnsi="Times New Roman" w:eastAsia="宋体" w:cs="Times New Roman"/>
                      <w:i w:val="0"/>
                      <w:iCs w:val="0"/>
                      <w:color w:val="000000"/>
                      <w:kern w:val="0"/>
                      <w:sz w:val="18"/>
                      <w:szCs w:val="18"/>
                      <w:highlight w:val="none"/>
                      <w:u w:val="none"/>
                      <w:lang w:val="en-US" w:eastAsia="zh-CN" w:bidi="ar"/>
                    </w:rPr>
                    <w:t>26</w:t>
                  </w:r>
                </w:p>
              </w:tc>
              <w:tc>
                <w:tcPr>
                  <w:tcW w:w="349" w:type="pct"/>
                  <w:vMerge w:val="continue"/>
                  <w:tcBorders>
                    <w:tl2br w:val="nil"/>
                    <w:tr2bl w:val="nil"/>
                  </w:tcBorders>
                  <w:shd w:val="clear" w:color="auto" w:fill="FFFFFF"/>
                  <w:vAlign w:val="center"/>
                </w:tcPr>
                <w:p w14:paraId="04A18056">
                  <w:pPr>
                    <w:pStyle w:val="120"/>
                    <w:keepNext w:val="0"/>
                    <w:keepLines w:val="0"/>
                    <w:pageBreakBefore w:val="0"/>
                    <w:framePr w:hSpace="0" w:wrap="auto" w:vAnchor="margin" w:hAnchor="text" w:xAlign="left" w:yAlign="inline"/>
                    <w:suppressLineNumbers w:val="0"/>
                    <w:kinsoku/>
                    <w:wordWrap/>
                    <w:overflowPunct/>
                    <w:topLinePunct w:val="0"/>
                    <w:bidi w:val="0"/>
                    <w:adjustRightInd w:val="0"/>
                    <w:snapToGrid w:val="0"/>
                    <w:spacing w:before="0" w:beforeAutospacing="0" w:after="0" w:afterAutospacing="0" w:line="276" w:lineRule="auto"/>
                    <w:ind w:left="0" w:right="0"/>
                    <w:jc w:val="center"/>
                    <w:rPr>
                      <w:rFonts w:hint="default" w:ascii="Times New Roman" w:hAnsi="Times New Roman" w:eastAsia="宋体" w:cs="Times New Roman"/>
                      <w:color w:val="auto"/>
                      <w:sz w:val="18"/>
                      <w:szCs w:val="18"/>
                      <w:highlight w:val="none"/>
                      <w:lang w:val="en-US" w:eastAsia="zh-CN"/>
                    </w:rPr>
                  </w:pPr>
                </w:p>
              </w:tc>
              <w:tc>
                <w:tcPr>
                  <w:tcW w:w="1015" w:type="pct"/>
                  <w:vMerge w:val="restart"/>
                  <w:tcBorders>
                    <w:tl2br w:val="nil"/>
                    <w:tr2bl w:val="nil"/>
                  </w:tcBorders>
                  <w:shd w:val="clear" w:color="auto" w:fill="FFFFFF"/>
                  <w:vAlign w:val="center"/>
                </w:tcPr>
                <w:p w14:paraId="50A775B4">
                  <w:pPr>
                    <w:keepNext w:val="0"/>
                    <w:keepLines w:val="0"/>
                    <w:pageBreakBefore w:val="0"/>
                    <w:widowControl/>
                    <w:suppressLineNumbers w:val="0"/>
                    <w:kinsoku/>
                    <w:wordWrap/>
                    <w:overflowPunct/>
                    <w:topLinePunct w:val="0"/>
                    <w:bidi w:val="0"/>
                    <w:adjustRightInd w:val="0"/>
                    <w:snapToGrid w:val="0"/>
                    <w:spacing w:before="0" w:beforeAutospacing="0" w:after="0" w:afterAutospacing="0" w:line="276" w:lineRule="auto"/>
                    <w:ind w:left="0" w:right="0"/>
                    <w:jc w:val="center"/>
                    <w:textAlignment w:val="center"/>
                    <w:rPr>
                      <w:rFonts w:hint="default" w:ascii="Times New Roman" w:hAnsi="Times New Roman" w:eastAsia="宋体" w:cs="Times New Roman"/>
                      <w:i w:val="0"/>
                      <w:iCs w:val="0"/>
                      <w:color w:val="000000"/>
                      <w:kern w:val="0"/>
                      <w:sz w:val="18"/>
                      <w:szCs w:val="18"/>
                      <w:highlight w:val="none"/>
                      <w:u w:val="none"/>
                      <w:lang w:val="en-US" w:eastAsia="zh-CN" w:bidi="ar"/>
                    </w:rPr>
                  </w:pPr>
                  <w:r>
                    <w:rPr>
                      <w:rFonts w:hint="default" w:ascii="Times New Roman" w:hAnsi="Times New Roman" w:eastAsia="宋体" w:cs="Times New Roman"/>
                      <w:i w:val="0"/>
                      <w:iCs w:val="0"/>
                      <w:color w:val="000000"/>
                      <w:kern w:val="0"/>
                      <w:sz w:val="18"/>
                      <w:szCs w:val="18"/>
                      <w:highlight w:val="none"/>
                      <w:u w:val="none"/>
                      <w:lang w:val="en-US" w:eastAsia="zh-CN" w:bidi="ar"/>
                    </w:rPr>
                    <w:t>大鼠独立通风笼具</w:t>
                  </w:r>
                </w:p>
              </w:tc>
              <w:tc>
                <w:tcPr>
                  <w:tcW w:w="1436" w:type="pct"/>
                  <w:tcBorders>
                    <w:tl2br w:val="nil"/>
                    <w:tr2bl w:val="nil"/>
                  </w:tcBorders>
                  <w:shd w:val="clear" w:color="auto" w:fill="FFFFFF"/>
                  <w:noWrap/>
                  <w:vAlign w:val="center"/>
                </w:tcPr>
                <w:p w14:paraId="12B39FC6">
                  <w:pPr>
                    <w:keepNext w:val="0"/>
                    <w:keepLines w:val="0"/>
                    <w:pageBreakBefore w:val="0"/>
                    <w:widowControl/>
                    <w:suppressLineNumbers w:val="0"/>
                    <w:kinsoku/>
                    <w:wordWrap/>
                    <w:overflowPunct/>
                    <w:topLinePunct w:val="0"/>
                    <w:bidi w:val="0"/>
                    <w:adjustRightInd w:val="0"/>
                    <w:snapToGrid w:val="0"/>
                    <w:spacing w:before="0" w:beforeAutospacing="0" w:after="0" w:afterAutospacing="0" w:line="276" w:lineRule="auto"/>
                    <w:ind w:left="0" w:right="0"/>
                    <w:jc w:val="center"/>
                    <w:textAlignment w:val="center"/>
                    <w:rPr>
                      <w:rFonts w:hint="default" w:ascii="Times New Roman" w:hAnsi="Times New Roman" w:eastAsia="宋体" w:cs="Times New Roman"/>
                      <w:i w:val="0"/>
                      <w:iCs w:val="0"/>
                      <w:color w:val="000000"/>
                      <w:kern w:val="0"/>
                      <w:sz w:val="18"/>
                      <w:szCs w:val="18"/>
                      <w:highlight w:val="none"/>
                      <w:u w:val="none"/>
                      <w:lang w:val="en-US" w:eastAsia="zh-CN" w:bidi="ar"/>
                    </w:rPr>
                  </w:pPr>
                  <w:r>
                    <w:rPr>
                      <w:rFonts w:hint="default" w:ascii="Times New Roman" w:hAnsi="Times New Roman" w:eastAsia="宋体" w:cs="Times New Roman"/>
                      <w:i w:val="0"/>
                      <w:iCs w:val="0"/>
                      <w:color w:val="000000"/>
                      <w:kern w:val="0"/>
                      <w:sz w:val="18"/>
                      <w:szCs w:val="18"/>
                      <w:highlight w:val="none"/>
                      <w:u w:val="none"/>
                      <w:lang w:val="en-US" w:eastAsia="zh-CN" w:bidi="ar"/>
                    </w:rPr>
                    <w:t>4104mm×680mm×1833mm</w:t>
                  </w:r>
                </w:p>
              </w:tc>
              <w:tc>
                <w:tcPr>
                  <w:tcW w:w="284" w:type="pct"/>
                  <w:tcBorders>
                    <w:tl2br w:val="nil"/>
                    <w:tr2bl w:val="nil"/>
                  </w:tcBorders>
                  <w:shd w:val="clear" w:color="auto" w:fill="FFFFFF"/>
                  <w:vAlign w:val="center"/>
                </w:tcPr>
                <w:p w14:paraId="0313AF90">
                  <w:pPr>
                    <w:keepNext w:val="0"/>
                    <w:keepLines w:val="0"/>
                    <w:pageBreakBefore w:val="0"/>
                    <w:widowControl/>
                    <w:suppressLineNumbers w:val="0"/>
                    <w:kinsoku/>
                    <w:wordWrap/>
                    <w:overflowPunct/>
                    <w:topLinePunct w:val="0"/>
                    <w:bidi w:val="0"/>
                    <w:adjustRightInd w:val="0"/>
                    <w:snapToGrid w:val="0"/>
                    <w:spacing w:before="0" w:beforeAutospacing="0" w:after="0" w:afterAutospacing="0" w:line="276" w:lineRule="auto"/>
                    <w:ind w:left="0" w:right="0"/>
                    <w:jc w:val="center"/>
                    <w:textAlignment w:val="center"/>
                    <w:rPr>
                      <w:rFonts w:hint="default" w:ascii="Times New Roman" w:hAnsi="Times New Roman" w:eastAsia="宋体" w:cs="Times New Roman"/>
                      <w:color w:val="auto"/>
                      <w:kern w:val="2"/>
                      <w:sz w:val="18"/>
                      <w:szCs w:val="18"/>
                      <w:highlight w:val="none"/>
                      <w:lang w:val="en-US" w:eastAsia="zh-CN" w:bidi="ar-SA"/>
                    </w:rPr>
                  </w:pPr>
                  <w:r>
                    <w:rPr>
                      <w:rFonts w:hint="default" w:ascii="Times New Roman" w:hAnsi="Times New Roman" w:eastAsia="宋体" w:cs="Times New Roman"/>
                      <w:i w:val="0"/>
                      <w:iCs w:val="0"/>
                      <w:color w:val="000000"/>
                      <w:kern w:val="0"/>
                      <w:sz w:val="18"/>
                      <w:szCs w:val="18"/>
                      <w:highlight w:val="none"/>
                      <w:u w:val="none"/>
                      <w:lang w:val="en-US" w:eastAsia="zh-CN" w:bidi="ar"/>
                    </w:rPr>
                    <w:t>2</w:t>
                  </w:r>
                </w:p>
              </w:tc>
              <w:tc>
                <w:tcPr>
                  <w:tcW w:w="1678" w:type="pct"/>
                  <w:tcBorders>
                    <w:tl2br w:val="nil"/>
                    <w:tr2bl w:val="nil"/>
                  </w:tcBorders>
                  <w:shd w:val="clear" w:color="auto" w:fill="FFFFFF"/>
                  <w:vAlign w:val="center"/>
                </w:tcPr>
                <w:p w14:paraId="36663878">
                  <w:pPr>
                    <w:keepNext w:val="0"/>
                    <w:keepLines w:val="0"/>
                    <w:pageBreakBefore w:val="0"/>
                    <w:widowControl/>
                    <w:suppressLineNumbers w:val="0"/>
                    <w:kinsoku/>
                    <w:wordWrap/>
                    <w:overflowPunct/>
                    <w:topLinePunct w:val="0"/>
                    <w:bidi w:val="0"/>
                    <w:adjustRightInd w:val="0"/>
                    <w:snapToGrid w:val="0"/>
                    <w:spacing w:before="0" w:beforeAutospacing="0" w:after="0" w:afterAutospacing="0" w:line="276" w:lineRule="auto"/>
                    <w:ind w:left="0" w:right="0"/>
                    <w:jc w:val="center"/>
                    <w:textAlignment w:val="center"/>
                    <w:rPr>
                      <w:rFonts w:hint="default" w:ascii="Times New Roman" w:hAnsi="Times New Roman" w:eastAsia="宋体" w:cs="Times New Roman"/>
                      <w:color w:val="auto"/>
                      <w:sz w:val="18"/>
                      <w:szCs w:val="18"/>
                      <w:highlight w:val="none"/>
                    </w:rPr>
                  </w:pPr>
                  <w:r>
                    <w:rPr>
                      <w:rFonts w:hint="default" w:ascii="Times New Roman" w:hAnsi="Times New Roman" w:eastAsia="宋体" w:cs="Times New Roman"/>
                      <w:i w:val="0"/>
                      <w:iCs w:val="0"/>
                      <w:color w:val="000000"/>
                      <w:kern w:val="0"/>
                      <w:sz w:val="18"/>
                      <w:szCs w:val="18"/>
                      <w:highlight w:val="none"/>
                      <w:u w:val="none"/>
                      <w:lang w:val="en-US" w:eastAsia="zh-CN" w:bidi="ar"/>
                    </w:rPr>
                    <w:t>检疫室、大鼠饲养间2</w:t>
                  </w:r>
                </w:p>
              </w:tc>
            </w:tr>
            <w:tr w14:paraId="782582E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0" w:hRule="atLeast"/>
              </w:trPr>
              <w:tc>
                <w:tcPr>
                  <w:tcW w:w="235" w:type="pct"/>
                  <w:tcBorders>
                    <w:tl2br w:val="nil"/>
                    <w:tr2bl w:val="nil"/>
                  </w:tcBorders>
                  <w:shd w:val="clear" w:color="auto" w:fill="FFFFFF"/>
                  <w:noWrap/>
                  <w:vAlign w:val="center"/>
                </w:tcPr>
                <w:p w14:paraId="3157EDAC">
                  <w:pPr>
                    <w:keepNext w:val="0"/>
                    <w:keepLines w:val="0"/>
                    <w:pageBreakBefore w:val="0"/>
                    <w:widowControl/>
                    <w:suppressLineNumbers w:val="0"/>
                    <w:kinsoku/>
                    <w:wordWrap/>
                    <w:overflowPunct/>
                    <w:topLinePunct w:val="0"/>
                    <w:bidi w:val="0"/>
                    <w:adjustRightInd w:val="0"/>
                    <w:snapToGrid w:val="0"/>
                    <w:spacing w:before="0" w:beforeAutospacing="0" w:after="0" w:afterAutospacing="0" w:line="276" w:lineRule="auto"/>
                    <w:ind w:left="0" w:right="0"/>
                    <w:jc w:val="center"/>
                    <w:textAlignment w:val="center"/>
                    <w:rPr>
                      <w:rFonts w:hint="default" w:ascii="Times New Roman" w:hAnsi="Times New Roman" w:eastAsia="宋体" w:cs="Times New Roman"/>
                      <w:color w:val="auto"/>
                      <w:sz w:val="18"/>
                      <w:szCs w:val="18"/>
                      <w:highlight w:val="none"/>
                      <w:lang w:val="en-US" w:eastAsia="zh-CN"/>
                    </w:rPr>
                  </w:pPr>
                  <w:r>
                    <w:rPr>
                      <w:rFonts w:hint="default" w:ascii="Times New Roman" w:hAnsi="Times New Roman" w:eastAsia="宋体" w:cs="Times New Roman"/>
                      <w:i w:val="0"/>
                      <w:iCs w:val="0"/>
                      <w:color w:val="000000"/>
                      <w:kern w:val="0"/>
                      <w:sz w:val="18"/>
                      <w:szCs w:val="18"/>
                      <w:highlight w:val="none"/>
                      <w:u w:val="none"/>
                      <w:lang w:val="en-US" w:eastAsia="zh-CN" w:bidi="ar"/>
                    </w:rPr>
                    <w:t>27</w:t>
                  </w:r>
                </w:p>
              </w:tc>
              <w:tc>
                <w:tcPr>
                  <w:tcW w:w="349" w:type="pct"/>
                  <w:vMerge w:val="continue"/>
                  <w:tcBorders>
                    <w:tl2br w:val="nil"/>
                    <w:tr2bl w:val="nil"/>
                  </w:tcBorders>
                  <w:shd w:val="clear" w:color="auto" w:fill="FFFFFF"/>
                  <w:vAlign w:val="center"/>
                </w:tcPr>
                <w:p w14:paraId="44224EAF">
                  <w:pPr>
                    <w:pStyle w:val="120"/>
                    <w:keepNext w:val="0"/>
                    <w:keepLines w:val="0"/>
                    <w:pageBreakBefore w:val="0"/>
                    <w:framePr w:hSpace="0" w:wrap="auto" w:vAnchor="margin" w:hAnchor="text" w:xAlign="left" w:yAlign="inline"/>
                    <w:suppressLineNumbers w:val="0"/>
                    <w:kinsoku/>
                    <w:wordWrap/>
                    <w:overflowPunct/>
                    <w:topLinePunct w:val="0"/>
                    <w:bidi w:val="0"/>
                    <w:adjustRightInd w:val="0"/>
                    <w:snapToGrid w:val="0"/>
                    <w:spacing w:before="0" w:beforeAutospacing="0" w:after="0" w:afterAutospacing="0" w:line="276" w:lineRule="auto"/>
                    <w:ind w:left="0" w:right="0"/>
                    <w:jc w:val="center"/>
                    <w:rPr>
                      <w:rFonts w:hint="default" w:ascii="Times New Roman" w:hAnsi="Times New Roman" w:eastAsia="宋体" w:cs="Times New Roman"/>
                      <w:color w:val="auto"/>
                      <w:sz w:val="18"/>
                      <w:szCs w:val="18"/>
                      <w:highlight w:val="none"/>
                      <w:lang w:val="en-US" w:eastAsia="zh-CN"/>
                    </w:rPr>
                  </w:pPr>
                </w:p>
              </w:tc>
              <w:tc>
                <w:tcPr>
                  <w:tcW w:w="1015" w:type="pct"/>
                  <w:vMerge w:val="continue"/>
                  <w:tcBorders>
                    <w:tl2br w:val="nil"/>
                    <w:tr2bl w:val="nil"/>
                  </w:tcBorders>
                  <w:shd w:val="clear" w:color="auto" w:fill="FFFFFF"/>
                  <w:vAlign w:val="center"/>
                </w:tcPr>
                <w:p w14:paraId="5C10FFC7">
                  <w:pPr>
                    <w:keepNext w:val="0"/>
                    <w:keepLines w:val="0"/>
                    <w:pageBreakBefore w:val="0"/>
                    <w:widowControl/>
                    <w:suppressLineNumbers w:val="0"/>
                    <w:kinsoku/>
                    <w:wordWrap/>
                    <w:overflowPunct/>
                    <w:topLinePunct w:val="0"/>
                    <w:bidi w:val="0"/>
                    <w:adjustRightInd w:val="0"/>
                    <w:snapToGrid w:val="0"/>
                    <w:spacing w:before="0" w:beforeAutospacing="0" w:after="0" w:afterAutospacing="0" w:line="276" w:lineRule="auto"/>
                    <w:ind w:left="0" w:right="0"/>
                    <w:jc w:val="center"/>
                    <w:textAlignment w:val="center"/>
                    <w:rPr>
                      <w:rFonts w:hint="default" w:ascii="Times New Roman" w:hAnsi="Times New Roman" w:eastAsia="宋体" w:cs="Times New Roman"/>
                      <w:i w:val="0"/>
                      <w:iCs w:val="0"/>
                      <w:color w:val="000000"/>
                      <w:kern w:val="0"/>
                      <w:sz w:val="18"/>
                      <w:szCs w:val="18"/>
                      <w:highlight w:val="none"/>
                      <w:u w:val="none"/>
                      <w:lang w:val="en-US" w:eastAsia="zh-CN" w:bidi="ar"/>
                    </w:rPr>
                  </w:pPr>
                </w:p>
              </w:tc>
              <w:tc>
                <w:tcPr>
                  <w:tcW w:w="1436" w:type="pct"/>
                  <w:tcBorders>
                    <w:tl2br w:val="nil"/>
                    <w:tr2bl w:val="nil"/>
                  </w:tcBorders>
                  <w:shd w:val="clear" w:color="auto" w:fill="FFFFFF"/>
                  <w:noWrap/>
                  <w:vAlign w:val="center"/>
                </w:tcPr>
                <w:p w14:paraId="72443C74">
                  <w:pPr>
                    <w:keepNext w:val="0"/>
                    <w:keepLines w:val="0"/>
                    <w:pageBreakBefore w:val="0"/>
                    <w:widowControl/>
                    <w:suppressLineNumbers w:val="0"/>
                    <w:kinsoku/>
                    <w:wordWrap/>
                    <w:overflowPunct/>
                    <w:topLinePunct w:val="0"/>
                    <w:bidi w:val="0"/>
                    <w:adjustRightInd w:val="0"/>
                    <w:snapToGrid w:val="0"/>
                    <w:spacing w:before="0" w:beforeAutospacing="0" w:after="0" w:afterAutospacing="0" w:line="276" w:lineRule="auto"/>
                    <w:ind w:left="0" w:right="0"/>
                    <w:jc w:val="center"/>
                    <w:textAlignment w:val="center"/>
                    <w:rPr>
                      <w:rFonts w:hint="default" w:ascii="Times New Roman" w:hAnsi="Times New Roman" w:eastAsia="宋体" w:cs="Times New Roman"/>
                      <w:i w:val="0"/>
                      <w:iCs w:val="0"/>
                      <w:color w:val="000000"/>
                      <w:kern w:val="0"/>
                      <w:sz w:val="18"/>
                      <w:szCs w:val="18"/>
                      <w:highlight w:val="none"/>
                      <w:u w:val="none"/>
                      <w:lang w:val="en-US" w:eastAsia="zh-CN" w:bidi="ar"/>
                    </w:rPr>
                  </w:pPr>
                  <w:r>
                    <w:rPr>
                      <w:rFonts w:hint="default" w:ascii="Times New Roman" w:hAnsi="Times New Roman" w:eastAsia="宋体" w:cs="Times New Roman"/>
                      <w:i w:val="0"/>
                      <w:iCs w:val="0"/>
                      <w:color w:val="000000"/>
                      <w:kern w:val="0"/>
                      <w:sz w:val="18"/>
                      <w:szCs w:val="18"/>
                      <w:highlight w:val="none"/>
                      <w:u w:val="none"/>
                      <w:lang w:val="en-US" w:eastAsia="zh-CN" w:bidi="ar"/>
                    </w:rPr>
                    <w:t>4104mm×680mm×1833mm</w:t>
                  </w:r>
                </w:p>
              </w:tc>
              <w:tc>
                <w:tcPr>
                  <w:tcW w:w="284" w:type="pct"/>
                  <w:tcBorders>
                    <w:tl2br w:val="nil"/>
                    <w:tr2bl w:val="nil"/>
                  </w:tcBorders>
                  <w:shd w:val="clear" w:color="auto" w:fill="FFFFFF"/>
                  <w:vAlign w:val="center"/>
                </w:tcPr>
                <w:p w14:paraId="49BDB729">
                  <w:pPr>
                    <w:keepNext w:val="0"/>
                    <w:keepLines w:val="0"/>
                    <w:pageBreakBefore w:val="0"/>
                    <w:widowControl/>
                    <w:suppressLineNumbers w:val="0"/>
                    <w:kinsoku/>
                    <w:wordWrap/>
                    <w:overflowPunct/>
                    <w:topLinePunct w:val="0"/>
                    <w:bidi w:val="0"/>
                    <w:adjustRightInd w:val="0"/>
                    <w:snapToGrid w:val="0"/>
                    <w:spacing w:before="0" w:beforeAutospacing="0" w:after="0" w:afterAutospacing="0" w:line="276" w:lineRule="auto"/>
                    <w:ind w:left="0" w:right="0"/>
                    <w:jc w:val="center"/>
                    <w:textAlignment w:val="center"/>
                    <w:rPr>
                      <w:rFonts w:hint="default" w:ascii="Times New Roman" w:hAnsi="Times New Roman" w:eastAsia="宋体" w:cs="Times New Roman"/>
                      <w:color w:val="auto"/>
                      <w:kern w:val="2"/>
                      <w:sz w:val="18"/>
                      <w:szCs w:val="18"/>
                      <w:highlight w:val="none"/>
                      <w:lang w:val="en-US" w:eastAsia="zh-CN" w:bidi="ar-SA"/>
                    </w:rPr>
                  </w:pPr>
                  <w:r>
                    <w:rPr>
                      <w:rFonts w:hint="default" w:ascii="Times New Roman" w:hAnsi="Times New Roman" w:eastAsia="宋体" w:cs="Times New Roman"/>
                      <w:i w:val="0"/>
                      <w:iCs w:val="0"/>
                      <w:color w:val="000000"/>
                      <w:kern w:val="0"/>
                      <w:sz w:val="18"/>
                      <w:szCs w:val="18"/>
                      <w:highlight w:val="none"/>
                      <w:u w:val="none"/>
                      <w:lang w:val="en-US" w:eastAsia="zh-CN" w:bidi="ar"/>
                    </w:rPr>
                    <w:t>1</w:t>
                  </w:r>
                </w:p>
              </w:tc>
              <w:tc>
                <w:tcPr>
                  <w:tcW w:w="1678" w:type="pct"/>
                  <w:tcBorders>
                    <w:tl2br w:val="nil"/>
                    <w:tr2bl w:val="nil"/>
                  </w:tcBorders>
                  <w:shd w:val="clear" w:color="auto" w:fill="FFFFFF"/>
                  <w:vAlign w:val="center"/>
                </w:tcPr>
                <w:p w14:paraId="55CCAE1C">
                  <w:pPr>
                    <w:keepNext w:val="0"/>
                    <w:keepLines w:val="0"/>
                    <w:pageBreakBefore w:val="0"/>
                    <w:widowControl/>
                    <w:suppressLineNumbers w:val="0"/>
                    <w:kinsoku/>
                    <w:wordWrap/>
                    <w:overflowPunct/>
                    <w:topLinePunct w:val="0"/>
                    <w:bidi w:val="0"/>
                    <w:adjustRightInd w:val="0"/>
                    <w:snapToGrid w:val="0"/>
                    <w:spacing w:before="0" w:beforeAutospacing="0" w:after="0" w:afterAutospacing="0" w:line="276" w:lineRule="auto"/>
                    <w:ind w:left="0" w:right="0"/>
                    <w:jc w:val="center"/>
                    <w:textAlignment w:val="center"/>
                    <w:rPr>
                      <w:rFonts w:hint="default" w:ascii="Times New Roman" w:hAnsi="Times New Roman" w:eastAsia="宋体" w:cs="Times New Roman"/>
                      <w:color w:val="auto"/>
                      <w:sz w:val="18"/>
                      <w:szCs w:val="18"/>
                      <w:highlight w:val="none"/>
                    </w:rPr>
                  </w:pPr>
                  <w:r>
                    <w:rPr>
                      <w:rFonts w:hint="default" w:ascii="Times New Roman" w:hAnsi="Times New Roman" w:eastAsia="宋体" w:cs="Times New Roman"/>
                      <w:i w:val="0"/>
                      <w:iCs w:val="0"/>
                      <w:color w:val="000000"/>
                      <w:kern w:val="0"/>
                      <w:sz w:val="18"/>
                      <w:szCs w:val="18"/>
                      <w:highlight w:val="none"/>
                      <w:u w:val="none"/>
                      <w:lang w:val="en-US" w:eastAsia="zh-CN" w:bidi="ar"/>
                    </w:rPr>
                    <w:t>小鼠饲养间1</w:t>
                  </w:r>
                </w:p>
              </w:tc>
            </w:tr>
            <w:tr w14:paraId="069C881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FFFFFF"/>
                <w:tblCellMar>
                  <w:top w:w="0" w:type="dxa"/>
                  <w:left w:w="28" w:type="dxa"/>
                  <w:bottom w:w="0" w:type="dxa"/>
                  <w:right w:w="28" w:type="dxa"/>
                </w:tblCellMar>
              </w:tblPrEx>
              <w:trPr>
                <w:trHeight w:val="0" w:hRule="atLeast"/>
              </w:trPr>
              <w:tc>
                <w:tcPr>
                  <w:tcW w:w="235" w:type="pct"/>
                  <w:tcBorders>
                    <w:tl2br w:val="nil"/>
                    <w:tr2bl w:val="nil"/>
                  </w:tcBorders>
                  <w:shd w:val="clear" w:color="auto" w:fill="FFFFFF"/>
                  <w:noWrap/>
                  <w:vAlign w:val="center"/>
                </w:tcPr>
                <w:p w14:paraId="728B311D">
                  <w:pPr>
                    <w:keepNext w:val="0"/>
                    <w:keepLines w:val="0"/>
                    <w:pageBreakBefore w:val="0"/>
                    <w:widowControl/>
                    <w:suppressLineNumbers w:val="0"/>
                    <w:kinsoku/>
                    <w:wordWrap/>
                    <w:overflowPunct/>
                    <w:topLinePunct w:val="0"/>
                    <w:bidi w:val="0"/>
                    <w:adjustRightInd w:val="0"/>
                    <w:snapToGrid w:val="0"/>
                    <w:spacing w:before="0" w:beforeAutospacing="0" w:after="0" w:afterAutospacing="0" w:line="276" w:lineRule="auto"/>
                    <w:ind w:left="0" w:right="0"/>
                    <w:jc w:val="center"/>
                    <w:textAlignment w:val="center"/>
                    <w:rPr>
                      <w:rFonts w:hint="default" w:ascii="Times New Roman" w:hAnsi="Times New Roman" w:eastAsia="宋体" w:cs="Times New Roman"/>
                      <w:color w:val="auto"/>
                      <w:sz w:val="18"/>
                      <w:szCs w:val="18"/>
                      <w:highlight w:val="none"/>
                      <w:lang w:val="en-US" w:eastAsia="zh-CN"/>
                    </w:rPr>
                  </w:pPr>
                  <w:r>
                    <w:rPr>
                      <w:rFonts w:hint="default" w:ascii="Times New Roman" w:hAnsi="Times New Roman" w:eastAsia="宋体" w:cs="Times New Roman"/>
                      <w:color w:val="auto"/>
                      <w:sz w:val="18"/>
                      <w:szCs w:val="18"/>
                      <w:highlight w:val="none"/>
                      <w:lang w:val="en-US" w:eastAsia="zh-CN"/>
                    </w:rPr>
                    <w:t>28</w:t>
                  </w:r>
                </w:p>
              </w:tc>
              <w:tc>
                <w:tcPr>
                  <w:tcW w:w="349" w:type="pct"/>
                  <w:vMerge w:val="continue"/>
                  <w:tcBorders>
                    <w:tl2br w:val="nil"/>
                    <w:tr2bl w:val="nil"/>
                  </w:tcBorders>
                  <w:shd w:val="clear" w:color="auto" w:fill="FFFFFF"/>
                  <w:vAlign w:val="center"/>
                </w:tcPr>
                <w:p w14:paraId="65F9936B">
                  <w:pPr>
                    <w:pStyle w:val="120"/>
                    <w:keepNext w:val="0"/>
                    <w:keepLines w:val="0"/>
                    <w:pageBreakBefore w:val="0"/>
                    <w:framePr w:hSpace="0" w:wrap="auto" w:vAnchor="margin" w:hAnchor="text" w:xAlign="left" w:yAlign="inline"/>
                    <w:suppressLineNumbers w:val="0"/>
                    <w:kinsoku/>
                    <w:wordWrap/>
                    <w:overflowPunct/>
                    <w:topLinePunct w:val="0"/>
                    <w:bidi w:val="0"/>
                    <w:adjustRightInd w:val="0"/>
                    <w:snapToGrid w:val="0"/>
                    <w:spacing w:before="0" w:beforeAutospacing="0" w:after="0" w:afterAutospacing="0" w:line="276" w:lineRule="auto"/>
                    <w:ind w:left="0" w:right="0"/>
                    <w:jc w:val="center"/>
                    <w:rPr>
                      <w:rFonts w:hint="default" w:ascii="Times New Roman" w:hAnsi="Times New Roman" w:eastAsia="宋体" w:cs="Times New Roman"/>
                      <w:color w:val="auto"/>
                      <w:sz w:val="18"/>
                      <w:szCs w:val="18"/>
                      <w:highlight w:val="none"/>
                      <w:lang w:val="en-US" w:eastAsia="zh-CN"/>
                    </w:rPr>
                  </w:pPr>
                </w:p>
              </w:tc>
              <w:tc>
                <w:tcPr>
                  <w:tcW w:w="1015" w:type="pct"/>
                  <w:vMerge w:val="continue"/>
                  <w:tcBorders>
                    <w:tl2br w:val="nil"/>
                    <w:tr2bl w:val="nil"/>
                  </w:tcBorders>
                  <w:shd w:val="clear" w:color="auto" w:fill="FFFFFF"/>
                  <w:vAlign w:val="center"/>
                </w:tcPr>
                <w:p w14:paraId="558508EE">
                  <w:pPr>
                    <w:keepNext w:val="0"/>
                    <w:keepLines w:val="0"/>
                    <w:pageBreakBefore w:val="0"/>
                    <w:widowControl/>
                    <w:suppressLineNumbers w:val="0"/>
                    <w:kinsoku/>
                    <w:wordWrap/>
                    <w:overflowPunct/>
                    <w:topLinePunct w:val="0"/>
                    <w:bidi w:val="0"/>
                    <w:adjustRightInd w:val="0"/>
                    <w:snapToGrid w:val="0"/>
                    <w:spacing w:before="0" w:beforeAutospacing="0" w:after="0" w:afterAutospacing="0" w:line="276" w:lineRule="auto"/>
                    <w:ind w:left="0" w:right="0"/>
                    <w:jc w:val="center"/>
                    <w:textAlignment w:val="center"/>
                    <w:rPr>
                      <w:rFonts w:hint="default" w:ascii="Times New Roman" w:hAnsi="Times New Roman" w:eastAsia="宋体" w:cs="Times New Roman"/>
                      <w:i w:val="0"/>
                      <w:iCs w:val="0"/>
                      <w:color w:val="000000"/>
                      <w:kern w:val="0"/>
                      <w:sz w:val="18"/>
                      <w:szCs w:val="18"/>
                      <w:highlight w:val="none"/>
                      <w:u w:val="none"/>
                      <w:lang w:val="en-US" w:eastAsia="zh-CN" w:bidi="ar"/>
                    </w:rPr>
                  </w:pPr>
                </w:p>
              </w:tc>
              <w:tc>
                <w:tcPr>
                  <w:tcW w:w="1436" w:type="pct"/>
                  <w:tcBorders>
                    <w:tl2br w:val="nil"/>
                    <w:tr2bl w:val="nil"/>
                  </w:tcBorders>
                  <w:shd w:val="clear" w:color="auto" w:fill="FFFFFF"/>
                  <w:noWrap/>
                  <w:vAlign w:val="center"/>
                </w:tcPr>
                <w:p w14:paraId="5A35C45E">
                  <w:pPr>
                    <w:keepNext w:val="0"/>
                    <w:keepLines w:val="0"/>
                    <w:pageBreakBefore w:val="0"/>
                    <w:widowControl/>
                    <w:suppressLineNumbers w:val="0"/>
                    <w:kinsoku/>
                    <w:wordWrap/>
                    <w:overflowPunct/>
                    <w:topLinePunct w:val="0"/>
                    <w:bidi w:val="0"/>
                    <w:adjustRightInd w:val="0"/>
                    <w:snapToGrid w:val="0"/>
                    <w:spacing w:before="0" w:beforeAutospacing="0" w:after="0" w:afterAutospacing="0" w:line="276" w:lineRule="auto"/>
                    <w:ind w:left="0" w:right="0"/>
                    <w:jc w:val="center"/>
                    <w:textAlignment w:val="center"/>
                    <w:rPr>
                      <w:rFonts w:hint="default" w:ascii="Times New Roman" w:hAnsi="Times New Roman" w:eastAsia="宋体" w:cs="Times New Roman"/>
                      <w:i w:val="0"/>
                      <w:iCs w:val="0"/>
                      <w:color w:val="000000"/>
                      <w:kern w:val="0"/>
                      <w:sz w:val="18"/>
                      <w:szCs w:val="18"/>
                      <w:highlight w:val="none"/>
                      <w:u w:val="none"/>
                      <w:lang w:val="en-US" w:eastAsia="zh-CN" w:bidi="ar"/>
                    </w:rPr>
                  </w:pPr>
                  <w:r>
                    <w:rPr>
                      <w:rFonts w:hint="default" w:ascii="Times New Roman" w:hAnsi="Times New Roman" w:eastAsia="宋体" w:cs="Times New Roman"/>
                      <w:i w:val="0"/>
                      <w:iCs w:val="0"/>
                      <w:color w:val="000000"/>
                      <w:kern w:val="0"/>
                      <w:sz w:val="18"/>
                      <w:szCs w:val="18"/>
                      <w:highlight w:val="none"/>
                      <w:u w:val="none"/>
                      <w:lang w:val="en-US" w:eastAsia="zh-CN" w:bidi="ar"/>
                    </w:rPr>
                    <w:t>2176mm×500mm×1822mm</w:t>
                  </w:r>
                </w:p>
              </w:tc>
              <w:tc>
                <w:tcPr>
                  <w:tcW w:w="284" w:type="pct"/>
                  <w:tcBorders>
                    <w:tl2br w:val="nil"/>
                    <w:tr2bl w:val="nil"/>
                  </w:tcBorders>
                  <w:shd w:val="clear" w:color="auto" w:fill="FFFFFF"/>
                  <w:vAlign w:val="center"/>
                </w:tcPr>
                <w:p w14:paraId="2AC1CD9F">
                  <w:pPr>
                    <w:keepNext w:val="0"/>
                    <w:keepLines w:val="0"/>
                    <w:pageBreakBefore w:val="0"/>
                    <w:widowControl/>
                    <w:suppressLineNumbers w:val="0"/>
                    <w:kinsoku/>
                    <w:wordWrap/>
                    <w:overflowPunct/>
                    <w:topLinePunct w:val="0"/>
                    <w:bidi w:val="0"/>
                    <w:adjustRightInd w:val="0"/>
                    <w:snapToGrid w:val="0"/>
                    <w:spacing w:before="0" w:beforeAutospacing="0" w:after="0" w:afterAutospacing="0" w:line="276" w:lineRule="auto"/>
                    <w:ind w:left="0" w:right="0"/>
                    <w:jc w:val="center"/>
                    <w:textAlignment w:val="center"/>
                    <w:rPr>
                      <w:rFonts w:hint="default" w:ascii="Times New Roman" w:hAnsi="Times New Roman" w:eastAsia="宋体" w:cs="Times New Roman"/>
                      <w:color w:val="auto"/>
                      <w:kern w:val="2"/>
                      <w:sz w:val="18"/>
                      <w:szCs w:val="18"/>
                      <w:highlight w:val="none"/>
                      <w:lang w:val="en-US" w:eastAsia="zh-CN" w:bidi="ar-SA"/>
                    </w:rPr>
                  </w:pPr>
                  <w:r>
                    <w:rPr>
                      <w:rFonts w:hint="default" w:ascii="Times New Roman" w:hAnsi="Times New Roman" w:eastAsia="宋体" w:cs="Times New Roman"/>
                      <w:i w:val="0"/>
                      <w:iCs w:val="0"/>
                      <w:color w:val="000000"/>
                      <w:kern w:val="0"/>
                      <w:sz w:val="18"/>
                      <w:szCs w:val="18"/>
                      <w:highlight w:val="none"/>
                      <w:u w:val="none"/>
                      <w:lang w:val="en-US" w:eastAsia="zh-CN" w:bidi="ar"/>
                    </w:rPr>
                    <w:t>2</w:t>
                  </w:r>
                </w:p>
              </w:tc>
              <w:tc>
                <w:tcPr>
                  <w:tcW w:w="1678" w:type="pct"/>
                  <w:tcBorders>
                    <w:tl2br w:val="nil"/>
                    <w:tr2bl w:val="nil"/>
                  </w:tcBorders>
                  <w:shd w:val="clear" w:color="auto" w:fill="FFFFFF"/>
                  <w:vAlign w:val="center"/>
                </w:tcPr>
                <w:p w14:paraId="4CE7216E">
                  <w:pPr>
                    <w:keepNext w:val="0"/>
                    <w:keepLines w:val="0"/>
                    <w:pageBreakBefore w:val="0"/>
                    <w:widowControl/>
                    <w:suppressLineNumbers w:val="0"/>
                    <w:kinsoku/>
                    <w:wordWrap/>
                    <w:overflowPunct/>
                    <w:topLinePunct w:val="0"/>
                    <w:bidi w:val="0"/>
                    <w:adjustRightInd w:val="0"/>
                    <w:snapToGrid w:val="0"/>
                    <w:spacing w:before="0" w:beforeAutospacing="0" w:after="0" w:afterAutospacing="0" w:line="276" w:lineRule="auto"/>
                    <w:ind w:left="0" w:right="0"/>
                    <w:jc w:val="center"/>
                    <w:textAlignment w:val="center"/>
                    <w:rPr>
                      <w:rFonts w:hint="default" w:ascii="Times New Roman" w:hAnsi="Times New Roman" w:eastAsia="宋体" w:cs="Times New Roman"/>
                      <w:color w:val="auto"/>
                      <w:sz w:val="18"/>
                      <w:szCs w:val="18"/>
                      <w:highlight w:val="none"/>
                    </w:rPr>
                  </w:pPr>
                  <w:r>
                    <w:rPr>
                      <w:rFonts w:hint="default" w:ascii="Times New Roman" w:hAnsi="Times New Roman" w:eastAsia="宋体" w:cs="Times New Roman"/>
                      <w:i w:val="0"/>
                      <w:iCs w:val="0"/>
                      <w:color w:val="000000"/>
                      <w:kern w:val="0"/>
                      <w:sz w:val="18"/>
                      <w:szCs w:val="18"/>
                      <w:highlight w:val="none"/>
                      <w:u w:val="none"/>
                      <w:lang w:val="en-US" w:eastAsia="zh-CN" w:bidi="ar"/>
                    </w:rPr>
                    <w:t>大鼠饲养间1、2</w:t>
                  </w:r>
                </w:p>
              </w:tc>
            </w:tr>
            <w:tr w14:paraId="1B2AE02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0" w:hRule="atLeast"/>
              </w:trPr>
              <w:tc>
                <w:tcPr>
                  <w:tcW w:w="5000" w:type="pct"/>
                  <w:gridSpan w:val="6"/>
                  <w:tcBorders>
                    <w:tl2br w:val="nil"/>
                    <w:tr2bl w:val="nil"/>
                  </w:tcBorders>
                  <w:shd w:val="clear" w:color="auto" w:fill="FFFFFF"/>
                  <w:noWrap/>
                  <w:vAlign w:val="center"/>
                </w:tcPr>
                <w:p w14:paraId="24F7A339">
                  <w:pPr>
                    <w:pStyle w:val="120"/>
                    <w:keepNext w:val="0"/>
                    <w:keepLines w:val="0"/>
                    <w:pageBreakBefore w:val="0"/>
                    <w:framePr w:hSpace="0" w:wrap="auto" w:vAnchor="margin" w:hAnchor="text" w:xAlign="left" w:yAlign="inline"/>
                    <w:suppressLineNumbers w:val="0"/>
                    <w:kinsoku/>
                    <w:wordWrap/>
                    <w:overflowPunct/>
                    <w:topLinePunct w:val="0"/>
                    <w:bidi w:val="0"/>
                    <w:adjustRightInd w:val="0"/>
                    <w:snapToGrid w:val="0"/>
                    <w:spacing w:before="0" w:beforeAutospacing="0" w:after="0" w:afterAutospacing="0" w:line="276" w:lineRule="auto"/>
                    <w:ind w:left="0" w:right="0"/>
                    <w:jc w:val="center"/>
                    <w:rPr>
                      <w:rFonts w:hint="default" w:ascii="Times New Roman" w:hAnsi="Times New Roman" w:eastAsia="宋体" w:cs="Times New Roman"/>
                      <w:b/>
                      <w:bCs/>
                      <w:color w:val="auto"/>
                      <w:sz w:val="18"/>
                      <w:szCs w:val="18"/>
                      <w:highlight w:val="none"/>
                      <w:lang w:val="en-US" w:eastAsia="zh-CN"/>
                    </w:rPr>
                  </w:pPr>
                  <w:r>
                    <w:rPr>
                      <w:rFonts w:hint="default" w:ascii="Times New Roman" w:hAnsi="Times New Roman" w:eastAsia="宋体" w:cs="Times New Roman"/>
                      <w:b/>
                      <w:bCs/>
                      <w:color w:val="auto"/>
                      <w:sz w:val="18"/>
                      <w:szCs w:val="18"/>
                      <w:highlight w:val="none"/>
                      <w:lang w:val="en-US" w:eastAsia="zh-CN"/>
                    </w:rPr>
                    <w:t>实验动物中心三层</w:t>
                  </w:r>
                </w:p>
              </w:tc>
            </w:tr>
            <w:tr w14:paraId="556E6E0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0" w:hRule="atLeast"/>
              </w:trPr>
              <w:tc>
                <w:tcPr>
                  <w:tcW w:w="235" w:type="pct"/>
                  <w:tcBorders>
                    <w:tl2br w:val="nil"/>
                    <w:tr2bl w:val="nil"/>
                  </w:tcBorders>
                  <w:shd w:val="clear" w:color="auto" w:fill="FFFFFF"/>
                  <w:noWrap/>
                  <w:vAlign w:val="center"/>
                </w:tcPr>
                <w:p w14:paraId="71129B40">
                  <w:pPr>
                    <w:keepNext w:val="0"/>
                    <w:keepLines w:val="0"/>
                    <w:pageBreakBefore w:val="0"/>
                    <w:widowControl/>
                    <w:suppressLineNumbers w:val="0"/>
                    <w:kinsoku/>
                    <w:wordWrap/>
                    <w:overflowPunct/>
                    <w:topLinePunct w:val="0"/>
                    <w:bidi w:val="0"/>
                    <w:adjustRightInd w:val="0"/>
                    <w:snapToGrid w:val="0"/>
                    <w:spacing w:before="0" w:beforeAutospacing="0" w:after="0" w:afterAutospacing="0" w:line="276" w:lineRule="auto"/>
                    <w:ind w:left="0" w:right="0"/>
                    <w:jc w:val="center"/>
                    <w:textAlignment w:val="center"/>
                    <w:rPr>
                      <w:rFonts w:hint="default" w:ascii="Times New Roman" w:hAnsi="Times New Roman" w:eastAsia="宋体" w:cs="Times New Roman"/>
                      <w:color w:val="auto"/>
                      <w:sz w:val="18"/>
                      <w:szCs w:val="18"/>
                      <w:highlight w:val="none"/>
                      <w:lang w:val="en-US" w:eastAsia="zh-CN"/>
                    </w:rPr>
                  </w:pPr>
                  <w:r>
                    <w:rPr>
                      <w:rFonts w:hint="default" w:ascii="Times New Roman" w:hAnsi="Times New Roman" w:eastAsia="宋体" w:cs="Times New Roman"/>
                      <w:i w:val="0"/>
                      <w:iCs w:val="0"/>
                      <w:color w:val="000000"/>
                      <w:kern w:val="0"/>
                      <w:sz w:val="18"/>
                      <w:szCs w:val="18"/>
                      <w:highlight w:val="none"/>
                      <w:u w:val="none"/>
                      <w:lang w:val="en-US" w:eastAsia="zh-CN" w:bidi="ar"/>
                    </w:rPr>
                    <w:t>29</w:t>
                  </w:r>
                </w:p>
              </w:tc>
              <w:tc>
                <w:tcPr>
                  <w:tcW w:w="349" w:type="pct"/>
                  <w:vMerge w:val="restart"/>
                  <w:tcBorders>
                    <w:tl2br w:val="nil"/>
                    <w:tr2bl w:val="nil"/>
                  </w:tcBorders>
                  <w:shd w:val="clear" w:color="auto" w:fill="FFFFFF"/>
                  <w:vAlign w:val="center"/>
                </w:tcPr>
                <w:p w14:paraId="7BCBFF12">
                  <w:pPr>
                    <w:keepNext w:val="0"/>
                    <w:keepLines w:val="0"/>
                    <w:pageBreakBefore w:val="0"/>
                    <w:widowControl/>
                    <w:suppressLineNumbers w:val="0"/>
                    <w:kinsoku/>
                    <w:wordWrap/>
                    <w:overflowPunct/>
                    <w:topLinePunct w:val="0"/>
                    <w:bidi w:val="0"/>
                    <w:adjustRightInd w:val="0"/>
                    <w:snapToGrid w:val="0"/>
                    <w:spacing w:before="0" w:beforeAutospacing="0" w:after="0" w:afterAutospacing="0" w:line="276" w:lineRule="auto"/>
                    <w:ind w:left="0" w:right="0"/>
                    <w:jc w:val="center"/>
                    <w:textAlignment w:val="center"/>
                    <w:rPr>
                      <w:rFonts w:hint="default" w:ascii="Times New Roman" w:hAnsi="Times New Roman" w:eastAsia="宋体" w:cs="Times New Roman"/>
                      <w:color w:val="auto"/>
                      <w:sz w:val="18"/>
                      <w:szCs w:val="18"/>
                      <w:highlight w:val="none"/>
                      <w:lang w:val="en-US" w:eastAsia="zh-CN"/>
                    </w:rPr>
                  </w:pPr>
                  <w:r>
                    <w:rPr>
                      <w:rFonts w:hint="default" w:ascii="Times New Roman" w:hAnsi="Times New Roman" w:eastAsia="宋体" w:cs="Times New Roman"/>
                      <w:color w:val="auto"/>
                      <w:sz w:val="18"/>
                      <w:szCs w:val="18"/>
                      <w:highlight w:val="none"/>
                      <w:lang w:val="en-US" w:eastAsia="zh-CN"/>
                    </w:rPr>
                    <w:t>动物实验</w:t>
                  </w:r>
                </w:p>
              </w:tc>
              <w:tc>
                <w:tcPr>
                  <w:tcW w:w="1015" w:type="pct"/>
                  <w:tcBorders>
                    <w:tl2br w:val="nil"/>
                    <w:tr2bl w:val="nil"/>
                  </w:tcBorders>
                  <w:shd w:val="clear" w:color="auto" w:fill="FFFFFF"/>
                  <w:vAlign w:val="center"/>
                </w:tcPr>
                <w:p w14:paraId="32F02BC4">
                  <w:pPr>
                    <w:keepNext w:val="0"/>
                    <w:keepLines w:val="0"/>
                    <w:pageBreakBefore w:val="0"/>
                    <w:widowControl/>
                    <w:suppressLineNumbers w:val="0"/>
                    <w:kinsoku/>
                    <w:wordWrap/>
                    <w:overflowPunct/>
                    <w:topLinePunct w:val="0"/>
                    <w:bidi w:val="0"/>
                    <w:adjustRightInd w:val="0"/>
                    <w:snapToGrid w:val="0"/>
                    <w:spacing w:before="0" w:beforeAutospacing="0" w:after="0" w:afterAutospacing="0" w:line="276" w:lineRule="auto"/>
                    <w:ind w:left="0" w:right="0"/>
                    <w:jc w:val="center"/>
                    <w:textAlignment w:val="center"/>
                    <w:rPr>
                      <w:rFonts w:hint="default" w:ascii="Times New Roman" w:hAnsi="Times New Roman" w:eastAsia="宋体" w:cs="Times New Roman"/>
                      <w:i w:val="0"/>
                      <w:iCs w:val="0"/>
                      <w:color w:val="000000"/>
                      <w:kern w:val="0"/>
                      <w:sz w:val="18"/>
                      <w:szCs w:val="18"/>
                      <w:highlight w:val="none"/>
                      <w:u w:val="none"/>
                      <w:lang w:val="en-US" w:eastAsia="zh-CN" w:bidi="ar"/>
                    </w:rPr>
                  </w:pPr>
                  <w:r>
                    <w:rPr>
                      <w:rFonts w:hint="default" w:ascii="Times New Roman" w:hAnsi="Times New Roman" w:eastAsia="宋体" w:cs="Times New Roman"/>
                      <w:i w:val="0"/>
                      <w:iCs w:val="0"/>
                      <w:color w:val="000000"/>
                      <w:kern w:val="0"/>
                      <w:sz w:val="18"/>
                      <w:szCs w:val="18"/>
                      <w:highlight w:val="none"/>
                      <w:u w:val="none"/>
                      <w:lang w:val="en-US" w:eastAsia="zh-CN" w:bidi="ar"/>
                    </w:rPr>
                    <w:t>生物安全型脉动真空灭菌器</w:t>
                  </w:r>
                </w:p>
              </w:tc>
              <w:tc>
                <w:tcPr>
                  <w:tcW w:w="1436" w:type="pct"/>
                  <w:tcBorders>
                    <w:tl2br w:val="nil"/>
                    <w:tr2bl w:val="nil"/>
                  </w:tcBorders>
                  <w:shd w:val="clear" w:color="auto" w:fill="FFFFFF"/>
                  <w:noWrap/>
                  <w:vAlign w:val="center"/>
                </w:tcPr>
                <w:p w14:paraId="5CAD512B">
                  <w:pPr>
                    <w:keepNext w:val="0"/>
                    <w:keepLines w:val="0"/>
                    <w:pageBreakBefore w:val="0"/>
                    <w:widowControl/>
                    <w:suppressLineNumbers w:val="0"/>
                    <w:kinsoku/>
                    <w:wordWrap/>
                    <w:overflowPunct/>
                    <w:topLinePunct w:val="0"/>
                    <w:bidi w:val="0"/>
                    <w:adjustRightInd w:val="0"/>
                    <w:snapToGrid w:val="0"/>
                    <w:spacing w:before="0" w:beforeAutospacing="0" w:after="0" w:afterAutospacing="0" w:line="276" w:lineRule="auto"/>
                    <w:ind w:left="0" w:right="0"/>
                    <w:jc w:val="center"/>
                    <w:textAlignment w:val="center"/>
                    <w:rPr>
                      <w:rFonts w:hint="default" w:ascii="Times New Roman" w:hAnsi="Times New Roman" w:eastAsia="宋体" w:cs="Times New Roman"/>
                      <w:i w:val="0"/>
                      <w:iCs w:val="0"/>
                      <w:color w:val="000000"/>
                      <w:kern w:val="0"/>
                      <w:sz w:val="18"/>
                      <w:szCs w:val="18"/>
                      <w:highlight w:val="none"/>
                      <w:u w:val="none"/>
                      <w:lang w:val="en-US" w:eastAsia="zh-CN" w:bidi="ar"/>
                    </w:rPr>
                  </w:pPr>
                  <w:r>
                    <w:rPr>
                      <w:rFonts w:hint="default" w:ascii="Times New Roman" w:hAnsi="Times New Roman" w:eastAsia="宋体" w:cs="Times New Roman"/>
                      <w:i w:val="0"/>
                      <w:iCs w:val="0"/>
                      <w:color w:val="000000"/>
                      <w:kern w:val="0"/>
                      <w:sz w:val="18"/>
                      <w:szCs w:val="18"/>
                      <w:highlight w:val="none"/>
                      <w:u w:val="none"/>
                      <w:lang w:val="en-US" w:eastAsia="zh-CN" w:bidi="ar"/>
                    </w:rPr>
                    <w:t>1420mm×1675mm×1850mm</w:t>
                  </w:r>
                </w:p>
              </w:tc>
              <w:tc>
                <w:tcPr>
                  <w:tcW w:w="284" w:type="pct"/>
                  <w:tcBorders>
                    <w:tl2br w:val="nil"/>
                    <w:tr2bl w:val="nil"/>
                  </w:tcBorders>
                  <w:shd w:val="clear" w:color="auto" w:fill="FFFFFF"/>
                  <w:vAlign w:val="center"/>
                </w:tcPr>
                <w:p w14:paraId="26411682">
                  <w:pPr>
                    <w:keepNext w:val="0"/>
                    <w:keepLines w:val="0"/>
                    <w:pageBreakBefore w:val="0"/>
                    <w:widowControl/>
                    <w:suppressLineNumbers w:val="0"/>
                    <w:kinsoku/>
                    <w:wordWrap/>
                    <w:overflowPunct/>
                    <w:topLinePunct w:val="0"/>
                    <w:bidi w:val="0"/>
                    <w:adjustRightInd w:val="0"/>
                    <w:snapToGrid w:val="0"/>
                    <w:spacing w:before="0" w:beforeAutospacing="0" w:after="0" w:afterAutospacing="0" w:line="276" w:lineRule="auto"/>
                    <w:ind w:left="0" w:right="0"/>
                    <w:jc w:val="center"/>
                    <w:textAlignment w:val="center"/>
                    <w:rPr>
                      <w:rFonts w:hint="default" w:ascii="Times New Roman" w:hAnsi="Times New Roman" w:eastAsia="宋体" w:cs="Times New Roman"/>
                      <w:color w:val="auto"/>
                      <w:sz w:val="18"/>
                      <w:szCs w:val="18"/>
                      <w:highlight w:val="none"/>
                    </w:rPr>
                  </w:pPr>
                  <w:r>
                    <w:rPr>
                      <w:rFonts w:hint="default" w:ascii="Times New Roman" w:hAnsi="Times New Roman" w:eastAsia="宋体" w:cs="Times New Roman"/>
                      <w:i w:val="0"/>
                      <w:iCs w:val="0"/>
                      <w:color w:val="000000"/>
                      <w:kern w:val="0"/>
                      <w:sz w:val="18"/>
                      <w:szCs w:val="18"/>
                      <w:highlight w:val="none"/>
                      <w:u w:val="none"/>
                      <w:lang w:val="en-US" w:eastAsia="zh-CN" w:bidi="ar"/>
                    </w:rPr>
                    <w:t>2</w:t>
                  </w:r>
                </w:p>
              </w:tc>
              <w:tc>
                <w:tcPr>
                  <w:tcW w:w="1678" w:type="pct"/>
                  <w:tcBorders>
                    <w:tl2br w:val="nil"/>
                    <w:tr2bl w:val="nil"/>
                  </w:tcBorders>
                  <w:shd w:val="clear" w:color="auto" w:fill="FFFFFF"/>
                  <w:vAlign w:val="center"/>
                </w:tcPr>
                <w:p w14:paraId="69E5FAAF">
                  <w:pPr>
                    <w:keepNext w:val="0"/>
                    <w:keepLines w:val="0"/>
                    <w:pageBreakBefore w:val="0"/>
                    <w:widowControl/>
                    <w:suppressLineNumbers w:val="0"/>
                    <w:kinsoku/>
                    <w:wordWrap/>
                    <w:overflowPunct/>
                    <w:topLinePunct w:val="0"/>
                    <w:bidi w:val="0"/>
                    <w:adjustRightInd w:val="0"/>
                    <w:snapToGrid w:val="0"/>
                    <w:spacing w:before="0" w:beforeAutospacing="0" w:after="0" w:afterAutospacing="0" w:line="276" w:lineRule="auto"/>
                    <w:ind w:left="0" w:right="0"/>
                    <w:jc w:val="center"/>
                    <w:textAlignment w:val="center"/>
                    <w:rPr>
                      <w:rFonts w:hint="default" w:ascii="Times New Roman" w:hAnsi="Times New Roman" w:eastAsia="宋体" w:cs="Times New Roman"/>
                      <w:color w:val="auto"/>
                      <w:sz w:val="18"/>
                      <w:szCs w:val="18"/>
                      <w:highlight w:val="none"/>
                    </w:rPr>
                  </w:pPr>
                  <w:r>
                    <w:rPr>
                      <w:rFonts w:hint="default" w:ascii="Times New Roman" w:hAnsi="Times New Roman" w:eastAsia="宋体" w:cs="Times New Roman"/>
                      <w:i w:val="0"/>
                      <w:iCs w:val="0"/>
                      <w:color w:val="000000"/>
                      <w:kern w:val="0"/>
                      <w:sz w:val="18"/>
                      <w:szCs w:val="18"/>
                      <w:highlight w:val="none"/>
                      <w:u w:val="none"/>
                      <w:lang w:val="en-US" w:eastAsia="zh-CN" w:bidi="ar"/>
                    </w:rPr>
                    <w:t>外准备间（上面）、污物灭菌后室</w:t>
                  </w:r>
                </w:p>
              </w:tc>
            </w:tr>
            <w:tr w14:paraId="72AEC9A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0" w:hRule="atLeast"/>
              </w:trPr>
              <w:tc>
                <w:tcPr>
                  <w:tcW w:w="235" w:type="pct"/>
                  <w:tcBorders>
                    <w:tl2br w:val="nil"/>
                    <w:tr2bl w:val="nil"/>
                  </w:tcBorders>
                  <w:shd w:val="clear" w:color="auto" w:fill="FFFFFF"/>
                  <w:noWrap/>
                  <w:vAlign w:val="center"/>
                </w:tcPr>
                <w:p w14:paraId="6B567221">
                  <w:pPr>
                    <w:keepNext w:val="0"/>
                    <w:keepLines w:val="0"/>
                    <w:pageBreakBefore w:val="0"/>
                    <w:widowControl/>
                    <w:suppressLineNumbers w:val="0"/>
                    <w:kinsoku/>
                    <w:wordWrap/>
                    <w:overflowPunct/>
                    <w:topLinePunct w:val="0"/>
                    <w:bidi w:val="0"/>
                    <w:adjustRightInd w:val="0"/>
                    <w:snapToGrid w:val="0"/>
                    <w:spacing w:before="0" w:beforeAutospacing="0" w:after="0" w:afterAutospacing="0" w:line="276" w:lineRule="auto"/>
                    <w:ind w:left="0" w:right="0"/>
                    <w:jc w:val="center"/>
                    <w:textAlignment w:val="center"/>
                    <w:rPr>
                      <w:rFonts w:hint="default" w:ascii="Times New Roman" w:hAnsi="Times New Roman" w:eastAsia="宋体" w:cs="Times New Roman"/>
                      <w:color w:val="auto"/>
                      <w:sz w:val="18"/>
                      <w:szCs w:val="18"/>
                      <w:highlight w:val="none"/>
                      <w:lang w:val="en-US" w:eastAsia="zh-CN"/>
                    </w:rPr>
                  </w:pPr>
                  <w:r>
                    <w:rPr>
                      <w:rFonts w:hint="default" w:ascii="Times New Roman" w:hAnsi="Times New Roman" w:eastAsia="宋体" w:cs="Times New Roman"/>
                      <w:i w:val="0"/>
                      <w:iCs w:val="0"/>
                      <w:color w:val="000000"/>
                      <w:kern w:val="0"/>
                      <w:sz w:val="18"/>
                      <w:szCs w:val="18"/>
                      <w:highlight w:val="none"/>
                      <w:u w:val="none"/>
                      <w:lang w:val="en-US" w:eastAsia="zh-CN" w:bidi="ar"/>
                    </w:rPr>
                    <w:t>30</w:t>
                  </w:r>
                </w:p>
              </w:tc>
              <w:tc>
                <w:tcPr>
                  <w:tcW w:w="349" w:type="pct"/>
                  <w:vMerge w:val="continue"/>
                  <w:tcBorders>
                    <w:tl2br w:val="nil"/>
                    <w:tr2bl w:val="nil"/>
                  </w:tcBorders>
                  <w:shd w:val="clear" w:color="auto" w:fill="FFFFFF"/>
                  <w:vAlign w:val="center"/>
                </w:tcPr>
                <w:p w14:paraId="601619F6">
                  <w:pPr>
                    <w:keepNext w:val="0"/>
                    <w:keepLines w:val="0"/>
                    <w:pageBreakBefore w:val="0"/>
                    <w:widowControl/>
                    <w:suppressLineNumbers w:val="0"/>
                    <w:kinsoku/>
                    <w:wordWrap/>
                    <w:overflowPunct/>
                    <w:topLinePunct w:val="0"/>
                    <w:bidi w:val="0"/>
                    <w:adjustRightInd w:val="0"/>
                    <w:snapToGrid w:val="0"/>
                    <w:spacing w:before="0" w:beforeAutospacing="0" w:after="0" w:afterAutospacing="0" w:line="276" w:lineRule="auto"/>
                    <w:ind w:left="0" w:right="0"/>
                    <w:jc w:val="center"/>
                    <w:textAlignment w:val="center"/>
                    <w:rPr>
                      <w:rFonts w:hint="default" w:ascii="Times New Roman" w:hAnsi="Times New Roman" w:eastAsia="宋体" w:cs="Times New Roman"/>
                      <w:color w:val="auto"/>
                      <w:sz w:val="18"/>
                      <w:szCs w:val="18"/>
                      <w:highlight w:val="none"/>
                      <w:lang w:val="en-US" w:eastAsia="zh-CN"/>
                    </w:rPr>
                  </w:pPr>
                </w:p>
              </w:tc>
              <w:tc>
                <w:tcPr>
                  <w:tcW w:w="1015" w:type="pct"/>
                  <w:tcBorders>
                    <w:tl2br w:val="nil"/>
                    <w:tr2bl w:val="nil"/>
                  </w:tcBorders>
                  <w:shd w:val="clear" w:color="auto" w:fill="FFFFFF"/>
                  <w:vAlign w:val="center"/>
                </w:tcPr>
                <w:p w14:paraId="4C504016">
                  <w:pPr>
                    <w:pStyle w:val="120"/>
                    <w:keepNext w:val="0"/>
                    <w:keepLines w:val="0"/>
                    <w:pageBreakBefore w:val="0"/>
                    <w:framePr w:hSpace="0" w:wrap="auto" w:vAnchor="margin" w:hAnchor="text" w:xAlign="left" w:yAlign="inline"/>
                    <w:suppressLineNumbers w:val="0"/>
                    <w:kinsoku/>
                    <w:wordWrap/>
                    <w:overflowPunct/>
                    <w:topLinePunct w:val="0"/>
                    <w:bidi w:val="0"/>
                    <w:adjustRightInd w:val="0"/>
                    <w:snapToGrid w:val="0"/>
                    <w:spacing w:before="0" w:beforeAutospacing="0" w:after="0" w:afterAutospacing="0" w:line="276" w:lineRule="auto"/>
                    <w:ind w:left="0" w:right="0"/>
                    <w:jc w:val="center"/>
                    <w:rPr>
                      <w:rFonts w:hint="default" w:ascii="Times New Roman" w:hAnsi="Times New Roman" w:eastAsia="宋体" w:cs="Times New Roman"/>
                      <w:color w:val="auto"/>
                      <w:sz w:val="18"/>
                      <w:szCs w:val="18"/>
                      <w:highlight w:val="none"/>
                      <w:lang w:val="en-US" w:eastAsia="zh-CN"/>
                    </w:rPr>
                  </w:pPr>
                  <w:r>
                    <w:rPr>
                      <w:rFonts w:hint="default" w:ascii="Times New Roman" w:hAnsi="Times New Roman" w:eastAsia="宋体" w:cs="Times New Roman"/>
                      <w:color w:val="auto"/>
                      <w:sz w:val="18"/>
                      <w:szCs w:val="18"/>
                      <w:highlight w:val="none"/>
                      <w:lang w:val="en-US" w:eastAsia="zh-CN"/>
                    </w:rPr>
                    <w:t>小鼠生物安全型独立通风笼具</w:t>
                  </w:r>
                </w:p>
              </w:tc>
              <w:tc>
                <w:tcPr>
                  <w:tcW w:w="1436" w:type="pct"/>
                  <w:tcBorders>
                    <w:tl2br w:val="nil"/>
                    <w:tr2bl w:val="nil"/>
                  </w:tcBorders>
                  <w:shd w:val="clear" w:color="auto" w:fill="FFFFFF"/>
                  <w:noWrap/>
                  <w:vAlign w:val="center"/>
                </w:tcPr>
                <w:p w14:paraId="42B57FBF">
                  <w:pPr>
                    <w:pStyle w:val="120"/>
                    <w:keepNext w:val="0"/>
                    <w:keepLines w:val="0"/>
                    <w:pageBreakBefore w:val="0"/>
                    <w:framePr w:hSpace="0" w:wrap="auto" w:vAnchor="margin" w:hAnchor="text" w:xAlign="left" w:yAlign="inline"/>
                    <w:suppressLineNumbers w:val="0"/>
                    <w:kinsoku/>
                    <w:wordWrap/>
                    <w:overflowPunct/>
                    <w:topLinePunct w:val="0"/>
                    <w:bidi w:val="0"/>
                    <w:adjustRightInd w:val="0"/>
                    <w:snapToGrid w:val="0"/>
                    <w:spacing w:before="0" w:beforeAutospacing="0" w:after="0" w:afterAutospacing="0" w:line="276" w:lineRule="auto"/>
                    <w:ind w:left="0" w:right="0"/>
                    <w:jc w:val="center"/>
                    <w:rPr>
                      <w:rFonts w:hint="default" w:ascii="Times New Roman" w:hAnsi="Times New Roman" w:eastAsia="宋体" w:cs="Times New Roman"/>
                      <w:color w:val="auto"/>
                      <w:sz w:val="18"/>
                      <w:szCs w:val="18"/>
                      <w:highlight w:val="none"/>
                      <w:lang w:val="en-US" w:eastAsia="zh-CN"/>
                    </w:rPr>
                  </w:pPr>
                  <w:r>
                    <w:rPr>
                      <w:rFonts w:hint="default" w:ascii="Times New Roman" w:hAnsi="Times New Roman" w:eastAsia="宋体" w:cs="Times New Roman"/>
                      <w:color w:val="auto"/>
                      <w:sz w:val="18"/>
                      <w:szCs w:val="18"/>
                      <w:highlight w:val="none"/>
                      <w:lang w:val="en-US" w:eastAsia="zh-CN"/>
                    </w:rPr>
                    <w:t>1480</w:t>
                  </w:r>
                  <w:r>
                    <w:rPr>
                      <w:rFonts w:hint="default" w:ascii="Times New Roman" w:hAnsi="Times New Roman" w:eastAsia="宋体" w:cs="Times New Roman"/>
                      <w:i w:val="0"/>
                      <w:iCs w:val="0"/>
                      <w:color w:val="000000"/>
                      <w:kern w:val="0"/>
                      <w:sz w:val="18"/>
                      <w:szCs w:val="18"/>
                      <w:highlight w:val="none"/>
                      <w:u w:val="none"/>
                      <w:lang w:val="en-US" w:eastAsia="zh-CN" w:bidi="ar"/>
                    </w:rPr>
                    <w:t>mm</w:t>
                  </w:r>
                  <w:r>
                    <w:rPr>
                      <w:rFonts w:hint="default" w:ascii="Times New Roman" w:hAnsi="Times New Roman" w:eastAsia="宋体" w:cs="Times New Roman"/>
                      <w:color w:val="auto"/>
                      <w:sz w:val="18"/>
                      <w:szCs w:val="18"/>
                      <w:highlight w:val="none"/>
                      <w:lang w:val="en-US" w:eastAsia="zh-CN"/>
                    </w:rPr>
                    <w:t>×500</w:t>
                  </w:r>
                  <w:r>
                    <w:rPr>
                      <w:rFonts w:hint="default" w:ascii="Times New Roman" w:hAnsi="Times New Roman" w:eastAsia="宋体" w:cs="Times New Roman"/>
                      <w:i w:val="0"/>
                      <w:iCs w:val="0"/>
                      <w:color w:val="000000"/>
                      <w:kern w:val="0"/>
                      <w:sz w:val="18"/>
                      <w:szCs w:val="18"/>
                      <w:highlight w:val="none"/>
                      <w:u w:val="none"/>
                      <w:lang w:val="en-US" w:eastAsia="zh-CN" w:bidi="ar"/>
                    </w:rPr>
                    <w:t>mm</w:t>
                  </w:r>
                  <w:r>
                    <w:rPr>
                      <w:rFonts w:hint="default" w:ascii="Times New Roman" w:hAnsi="Times New Roman" w:eastAsia="宋体" w:cs="Times New Roman"/>
                      <w:color w:val="auto"/>
                      <w:sz w:val="18"/>
                      <w:szCs w:val="18"/>
                      <w:highlight w:val="none"/>
                      <w:lang w:val="en-US" w:eastAsia="zh-CN"/>
                    </w:rPr>
                    <w:t>×1823</w:t>
                  </w:r>
                  <w:r>
                    <w:rPr>
                      <w:rFonts w:hint="default" w:ascii="Times New Roman" w:hAnsi="Times New Roman" w:eastAsia="宋体" w:cs="Times New Roman"/>
                      <w:i w:val="0"/>
                      <w:iCs w:val="0"/>
                      <w:color w:val="000000"/>
                      <w:kern w:val="0"/>
                      <w:sz w:val="18"/>
                      <w:szCs w:val="18"/>
                      <w:highlight w:val="none"/>
                      <w:u w:val="none"/>
                      <w:lang w:val="en-US" w:eastAsia="zh-CN" w:bidi="ar"/>
                    </w:rPr>
                    <w:t>mm</w:t>
                  </w:r>
                </w:p>
              </w:tc>
              <w:tc>
                <w:tcPr>
                  <w:tcW w:w="284" w:type="pct"/>
                  <w:tcBorders>
                    <w:tl2br w:val="nil"/>
                    <w:tr2bl w:val="nil"/>
                  </w:tcBorders>
                  <w:shd w:val="clear" w:color="auto" w:fill="FFFFFF"/>
                  <w:vAlign w:val="center"/>
                </w:tcPr>
                <w:p w14:paraId="4195B9BB">
                  <w:pPr>
                    <w:keepNext w:val="0"/>
                    <w:keepLines w:val="0"/>
                    <w:pageBreakBefore w:val="0"/>
                    <w:widowControl/>
                    <w:suppressLineNumbers w:val="0"/>
                    <w:kinsoku/>
                    <w:wordWrap/>
                    <w:overflowPunct/>
                    <w:topLinePunct w:val="0"/>
                    <w:bidi w:val="0"/>
                    <w:adjustRightInd w:val="0"/>
                    <w:snapToGrid w:val="0"/>
                    <w:spacing w:before="0" w:beforeAutospacing="0" w:after="0" w:afterAutospacing="0" w:line="276" w:lineRule="auto"/>
                    <w:ind w:left="0" w:right="0"/>
                    <w:jc w:val="center"/>
                    <w:textAlignment w:val="center"/>
                    <w:rPr>
                      <w:rFonts w:hint="default" w:ascii="Times New Roman" w:hAnsi="Times New Roman" w:eastAsia="宋体" w:cs="Times New Roman"/>
                      <w:color w:val="auto"/>
                      <w:sz w:val="18"/>
                      <w:szCs w:val="18"/>
                      <w:highlight w:val="none"/>
                    </w:rPr>
                  </w:pPr>
                  <w:r>
                    <w:rPr>
                      <w:rFonts w:hint="default" w:ascii="Times New Roman" w:hAnsi="Times New Roman" w:eastAsia="宋体" w:cs="Times New Roman"/>
                      <w:i w:val="0"/>
                      <w:iCs w:val="0"/>
                      <w:color w:val="000000"/>
                      <w:kern w:val="0"/>
                      <w:sz w:val="18"/>
                      <w:szCs w:val="18"/>
                      <w:highlight w:val="none"/>
                      <w:u w:val="none"/>
                      <w:lang w:val="en-US" w:eastAsia="zh-CN" w:bidi="ar"/>
                    </w:rPr>
                    <w:t>1</w:t>
                  </w:r>
                </w:p>
              </w:tc>
              <w:tc>
                <w:tcPr>
                  <w:tcW w:w="1678" w:type="pct"/>
                  <w:tcBorders>
                    <w:tl2br w:val="nil"/>
                    <w:tr2bl w:val="nil"/>
                  </w:tcBorders>
                  <w:shd w:val="clear" w:color="auto" w:fill="FFFFFF"/>
                  <w:vAlign w:val="center"/>
                </w:tcPr>
                <w:p w14:paraId="48B0BA78">
                  <w:pPr>
                    <w:keepNext w:val="0"/>
                    <w:keepLines w:val="0"/>
                    <w:pageBreakBefore w:val="0"/>
                    <w:widowControl/>
                    <w:suppressLineNumbers w:val="0"/>
                    <w:kinsoku/>
                    <w:wordWrap/>
                    <w:overflowPunct/>
                    <w:topLinePunct w:val="0"/>
                    <w:bidi w:val="0"/>
                    <w:adjustRightInd w:val="0"/>
                    <w:snapToGrid w:val="0"/>
                    <w:spacing w:before="0" w:beforeAutospacing="0" w:after="0" w:afterAutospacing="0" w:line="276" w:lineRule="auto"/>
                    <w:ind w:left="0" w:right="0"/>
                    <w:jc w:val="center"/>
                    <w:textAlignment w:val="center"/>
                    <w:rPr>
                      <w:rFonts w:hint="default" w:ascii="Times New Roman" w:hAnsi="Times New Roman" w:eastAsia="宋体" w:cs="Times New Roman"/>
                      <w:color w:val="auto"/>
                      <w:sz w:val="18"/>
                      <w:szCs w:val="18"/>
                      <w:highlight w:val="none"/>
                    </w:rPr>
                  </w:pPr>
                  <w:r>
                    <w:rPr>
                      <w:rFonts w:hint="default" w:ascii="Times New Roman" w:hAnsi="Times New Roman" w:eastAsia="宋体" w:cs="Times New Roman"/>
                      <w:i w:val="0"/>
                      <w:iCs w:val="0"/>
                      <w:color w:val="000000"/>
                      <w:kern w:val="0"/>
                      <w:sz w:val="18"/>
                      <w:szCs w:val="18"/>
                      <w:highlight w:val="none"/>
                      <w:u w:val="none"/>
                      <w:lang w:val="en-US" w:eastAsia="zh-CN" w:bidi="ar"/>
                    </w:rPr>
                    <w:t>P2小鼠饲养间</w:t>
                  </w:r>
                </w:p>
              </w:tc>
            </w:tr>
            <w:tr w14:paraId="56EFAA3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FFFFFF"/>
                <w:tblCellMar>
                  <w:top w:w="0" w:type="dxa"/>
                  <w:left w:w="28" w:type="dxa"/>
                  <w:bottom w:w="0" w:type="dxa"/>
                  <w:right w:w="28" w:type="dxa"/>
                </w:tblCellMar>
              </w:tblPrEx>
              <w:trPr>
                <w:trHeight w:val="0" w:hRule="atLeast"/>
              </w:trPr>
              <w:tc>
                <w:tcPr>
                  <w:tcW w:w="235" w:type="pct"/>
                  <w:tcBorders>
                    <w:tl2br w:val="nil"/>
                    <w:tr2bl w:val="nil"/>
                  </w:tcBorders>
                  <w:shd w:val="clear" w:color="auto" w:fill="FFFFFF"/>
                  <w:noWrap/>
                  <w:vAlign w:val="center"/>
                </w:tcPr>
                <w:p w14:paraId="4895C669">
                  <w:pPr>
                    <w:keepNext w:val="0"/>
                    <w:keepLines w:val="0"/>
                    <w:pageBreakBefore w:val="0"/>
                    <w:widowControl/>
                    <w:suppressLineNumbers w:val="0"/>
                    <w:kinsoku/>
                    <w:wordWrap/>
                    <w:overflowPunct/>
                    <w:topLinePunct w:val="0"/>
                    <w:bidi w:val="0"/>
                    <w:adjustRightInd w:val="0"/>
                    <w:snapToGrid w:val="0"/>
                    <w:spacing w:before="0" w:beforeAutospacing="0" w:after="0" w:afterAutospacing="0" w:line="276" w:lineRule="auto"/>
                    <w:ind w:left="0" w:right="0"/>
                    <w:jc w:val="center"/>
                    <w:textAlignment w:val="center"/>
                    <w:rPr>
                      <w:rFonts w:hint="default" w:ascii="Times New Roman" w:hAnsi="Times New Roman" w:eastAsia="宋体" w:cs="Times New Roman"/>
                      <w:color w:val="auto"/>
                      <w:sz w:val="18"/>
                      <w:szCs w:val="18"/>
                      <w:highlight w:val="none"/>
                      <w:lang w:val="en-US" w:eastAsia="zh-CN"/>
                    </w:rPr>
                  </w:pPr>
                  <w:r>
                    <w:rPr>
                      <w:rFonts w:hint="default" w:ascii="Times New Roman" w:hAnsi="Times New Roman" w:eastAsia="宋体" w:cs="Times New Roman"/>
                      <w:i w:val="0"/>
                      <w:iCs w:val="0"/>
                      <w:color w:val="000000"/>
                      <w:kern w:val="0"/>
                      <w:sz w:val="18"/>
                      <w:szCs w:val="18"/>
                      <w:highlight w:val="none"/>
                      <w:u w:val="none"/>
                      <w:lang w:val="en-US" w:eastAsia="zh-CN" w:bidi="ar"/>
                    </w:rPr>
                    <w:t>31</w:t>
                  </w:r>
                </w:p>
              </w:tc>
              <w:tc>
                <w:tcPr>
                  <w:tcW w:w="349" w:type="pct"/>
                  <w:vMerge w:val="continue"/>
                  <w:tcBorders>
                    <w:tl2br w:val="nil"/>
                    <w:tr2bl w:val="nil"/>
                  </w:tcBorders>
                  <w:shd w:val="clear" w:color="auto" w:fill="FFFFFF"/>
                  <w:vAlign w:val="center"/>
                </w:tcPr>
                <w:p w14:paraId="016635C8">
                  <w:pPr>
                    <w:keepNext w:val="0"/>
                    <w:keepLines w:val="0"/>
                    <w:pageBreakBefore w:val="0"/>
                    <w:widowControl/>
                    <w:suppressLineNumbers w:val="0"/>
                    <w:kinsoku/>
                    <w:wordWrap/>
                    <w:overflowPunct/>
                    <w:topLinePunct w:val="0"/>
                    <w:bidi w:val="0"/>
                    <w:adjustRightInd w:val="0"/>
                    <w:snapToGrid w:val="0"/>
                    <w:spacing w:before="0" w:beforeAutospacing="0" w:after="0" w:afterAutospacing="0" w:line="276" w:lineRule="auto"/>
                    <w:ind w:left="0" w:right="0"/>
                    <w:jc w:val="center"/>
                    <w:textAlignment w:val="center"/>
                    <w:rPr>
                      <w:rFonts w:hint="default" w:ascii="Times New Roman" w:hAnsi="Times New Roman" w:eastAsia="宋体" w:cs="Times New Roman"/>
                      <w:color w:val="auto"/>
                      <w:sz w:val="18"/>
                      <w:szCs w:val="18"/>
                      <w:highlight w:val="none"/>
                      <w:lang w:val="en-US" w:eastAsia="zh-CN"/>
                    </w:rPr>
                  </w:pPr>
                </w:p>
              </w:tc>
              <w:tc>
                <w:tcPr>
                  <w:tcW w:w="1015" w:type="pct"/>
                  <w:tcBorders>
                    <w:tl2br w:val="nil"/>
                    <w:tr2bl w:val="nil"/>
                  </w:tcBorders>
                  <w:shd w:val="clear" w:color="auto" w:fill="FFFFFF"/>
                  <w:vAlign w:val="center"/>
                </w:tcPr>
                <w:p w14:paraId="37FF7B8B">
                  <w:pPr>
                    <w:pStyle w:val="120"/>
                    <w:keepNext w:val="0"/>
                    <w:keepLines w:val="0"/>
                    <w:pageBreakBefore w:val="0"/>
                    <w:framePr w:hSpace="0" w:wrap="auto" w:vAnchor="margin" w:hAnchor="text" w:xAlign="left" w:yAlign="inline"/>
                    <w:suppressLineNumbers w:val="0"/>
                    <w:kinsoku/>
                    <w:wordWrap/>
                    <w:overflowPunct/>
                    <w:topLinePunct w:val="0"/>
                    <w:bidi w:val="0"/>
                    <w:adjustRightInd w:val="0"/>
                    <w:snapToGrid w:val="0"/>
                    <w:spacing w:before="0" w:beforeAutospacing="0" w:after="0" w:afterAutospacing="0" w:line="276" w:lineRule="auto"/>
                    <w:ind w:left="0" w:right="0"/>
                    <w:jc w:val="center"/>
                    <w:rPr>
                      <w:rFonts w:hint="default" w:ascii="Times New Roman" w:hAnsi="Times New Roman" w:eastAsia="宋体" w:cs="Times New Roman"/>
                      <w:color w:val="auto"/>
                      <w:sz w:val="18"/>
                      <w:szCs w:val="18"/>
                      <w:highlight w:val="none"/>
                      <w:lang w:val="en-US" w:eastAsia="zh-CN"/>
                    </w:rPr>
                  </w:pPr>
                  <w:r>
                    <w:rPr>
                      <w:rFonts w:hint="default" w:ascii="Times New Roman" w:hAnsi="Times New Roman" w:eastAsia="宋体" w:cs="Times New Roman"/>
                      <w:color w:val="auto"/>
                      <w:sz w:val="18"/>
                      <w:szCs w:val="18"/>
                      <w:highlight w:val="none"/>
                      <w:lang w:val="en-US" w:eastAsia="zh-CN"/>
                    </w:rPr>
                    <w:t>大鼠生物安全型独立通风笼具</w:t>
                  </w:r>
                </w:p>
              </w:tc>
              <w:tc>
                <w:tcPr>
                  <w:tcW w:w="1436" w:type="pct"/>
                  <w:tcBorders>
                    <w:tl2br w:val="nil"/>
                    <w:tr2bl w:val="nil"/>
                  </w:tcBorders>
                  <w:shd w:val="clear" w:color="auto" w:fill="FFFFFF"/>
                  <w:noWrap/>
                  <w:vAlign w:val="center"/>
                </w:tcPr>
                <w:p w14:paraId="6C7D8249">
                  <w:pPr>
                    <w:pStyle w:val="120"/>
                    <w:keepNext w:val="0"/>
                    <w:keepLines w:val="0"/>
                    <w:pageBreakBefore w:val="0"/>
                    <w:framePr w:hSpace="0" w:wrap="auto" w:vAnchor="margin" w:hAnchor="text" w:xAlign="left" w:yAlign="inline"/>
                    <w:suppressLineNumbers w:val="0"/>
                    <w:kinsoku/>
                    <w:wordWrap/>
                    <w:overflowPunct/>
                    <w:topLinePunct w:val="0"/>
                    <w:bidi w:val="0"/>
                    <w:adjustRightInd w:val="0"/>
                    <w:snapToGrid w:val="0"/>
                    <w:spacing w:before="0" w:beforeAutospacing="0" w:after="0" w:afterAutospacing="0" w:line="276" w:lineRule="auto"/>
                    <w:ind w:left="0" w:right="0"/>
                    <w:jc w:val="center"/>
                    <w:rPr>
                      <w:rFonts w:hint="default" w:ascii="Times New Roman" w:hAnsi="Times New Roman" w:eastAsia="宋体" w:cs="Times New Roman"/>
                      <w:color w:val="auto"/>
                      <w:sz w:val="18"/>
                      <w:szCs w:val="18"/>
                      <w:highlight w:val="none"/>
                      <w:lang w:val="en-US" w:eastAsia="zh-CN"/>
                    </w:rPr>
                  </w:pPr>
                  <w:r>
                    <w:rPr>
                      <w:rFonts w:hint="default" w:ascii="Times New Roman" w:hAnsi="Times New Roman" w:eastAsia="宋体" w:cs="Times New Roman"/>
                      <w:color w:val="auto"/>
                      <w:sz w:val="18"/>
                      <w:szCs w:val="18"/>
                      <w:highlight w:val="none"/>
                      <w:lang w:val="en-US" w:eastAsia="zh-CN"/>
                    </w:rPr>
                    <w:t>1480</w:t>
                  </w:r>
                  <w:r>
                    <w:rPr>
                      <w:rFonts w:hint="default" w:ascii="Times New Roman" w:hAnsi="Times New Roman" w:eastAsia="宋体" w:cs="Times New Roman"/>
                      <w:i w:val="0"/>
                      <w:iCs w:val="0"/>
                      <w:color w:val="000000"/>
                      <w:kern w:val="0"/>
                      <w:sz w:val="18"/>
                      <w:szCs w:val="18"/>
                      <w:highlight w:val="none"/>
                      <w:u w:val="none"/>
                      <w:lang w:val="en-US" w:eastAsia="zh-CN" w:bidi="ar"/>
                    </w:rPr>
                    <w:t>mm</w:t>
                  </w:r>
                  <w:r>
                    <w:rPr>
                      <w:rFonts w:hint="default" w:ascii="Times New Roman" w:hAnsi="Times New Roman" w:eastAsia="宋体" w:cs="Times New Roman"/>
                      <w:color w:val="auto"/>
                      <w:sz w:val="18"/>
                      <w:szCs w:val="18"/>
                      <w:highlight w:val="none"/>
                      <w:lang w:val="en-US" w:eastAsia="zh-CN"/>
                    </w:rPr>
                    <w:t>×500</w:t>
                  </w:r>
                  <w:r>
                    <w:rPr>
                      <w:rFonts w:hint="default" w:ascii="Times New Roman" w:hAnsi="Times New Roman" w:eastAsia="宋体" w:cs="Times New Roman"/>
                      <w:i w:val="0"/>
                      <w:iCs w:val="0"/>
                      <w:color w:val="000000"/>
                      <w:kern w:val="0"/>
                      <w:sz w:val="18"/>
                      <w:szCs w:val="18"/>
                      <w:highlight w:val="none"/>
                      <w:u w:val="none"/>
                      <w:lang w:val="en-US" w:eastAsia="zh-CN" w:bidi="ar"/>
                    </w:rPr>
                    <w:t>mm</w:t>
                  </w:r>
                  <w:r>
                    <w:rPr>
                      <w:rFonts w:hint="default" w:ascii="Times New Roman" w:hAnsi="Times New Roman" w:eastAsia="宋体" w:cs="Times New Roman"/>
                      <w:color w:val="auto"/>
                      <w:sz w:val="18"/>
                      <w:szCs w:val="18"/>
                      <w:highlight w:val="none"/>
                      <w:lang w:val="en-US" w:eastAsia="zh-CN"/>
                    </w:rPr>
                    <w:t>×1823</w:t>
                  </w:r>
                  <w:r>
                    <w:rPr>
                      <w:rFonts w:hint="default" w:ascii="Times New Roman" w:hAnsi="Times New Roman" w:eastAsia="宋体" w:cs="Times New Roman"/>
                      <w:i w:val="0"/>
                      <w:iCs w:val="0"/>
                      <w:color w:val="000000"/>
                      <w:kern w:val="0"/>
                      <w:sz w:val="18"/>
                      <w:szCs w:val="18"/>
                      <w:highlight w:val="none"/>
                      <w:u w:val="none"/>
                      <w:lang w:val="en-US" w:eastAsia="zh-CN" w:bidi="ar"/>
                    </w:rPr>
                    <w:t>mm</w:t>
                  </w:r>
                </w:p>
              </w:tc>
              <w:tc>
                <w:tcPr>
                  <w:tcW w:w="284" w:type="pct"/>
                  <w:tcBorders>
                    <w:tl2br w:val="nil"/>
                    <w:tr2bl w:val="nil"/>
                  </w:tcBorders>
                  <w:shd w:val="clear" w:color="auto" w:fill="FFFFFF"/>
                  <w:vAlign w:val="center"/>
                </w:tcPr>
                <w:p w14:paraId="3917DB25">
                  <w:pPr>
                    <w:keepNext w:val="0"/>
                    <w:keepLines w:val="0"/>
                    <w:pageBreakBefore w:val="0"/>
                    <w:widowControl/>
                    <w:suppressLineNumbers w:val="0"/>
                    <w:kinsoku/>
                    <w:wordWrap/>
                    <w:overflowPunct/>
                    <w:topLinePunct w:val="0"/>
                    <w:bidi w:val="0"/>
                    <w:adjustRightInd w:val="0"/>
                    <w:snapToGrid w:val="0"/>
                    <w:spacing w:before="0" w:beforeAutospacing="0" w:after="0" w:afterAutospacing="0" w:line="276" w:lineRule="auto"/>
                    <w:ind w:left="0" w:right="0"/>
                    <w:jc w:val="center"/>
                    <w:textAlignment w:val="center"/>
                    <w:rPr>
                      <w:rFonts w:hint="default" w:ascii="Times New Roman" w:hAnsi="Times New Roman" w:eastAsia="宋体" w:cs="Times New Roman"/>
                      <w:color w:val="auto"/>
                      <w:sz w:val="18"/>
                      <w:szCs w:val="18"/>
                      <w:highlight w:val="none"/>
                    </w:rPr>
                  </w:pPr>
                  <w:r>
                    <w:rPr>
                      <w:rFonts w:hint="default" w:ascii="Times New Roman" w:hAnsi="Times New Roman" w:eastAsia="宋体" w:cs="Times New Roman"/>
                      <w:i w:val="0"/>
                      <w:iCs w:val="0"/>
                      <w:color w:val="000000"/>
                      <w:kern w:val="0"/>
                      <w:sz w:val="18"/>
                      <w:szCs w:val="18"/>
                      <w:highlight w:val="none"/>
                      <w:u w:val="none"/>
                      <w:lang w:val="en-US" w:eastAsia="zh-CN" w:bidi="ar"/>
                    </w:rPr>
                    <w:t>1</w:t>
                  </w:r>
                </w:p>
              </w:tc>
              <w:tc>
                <w:tcPr>
                  <w:tcW w:w="1678" w:type="pct"/>
                  <w:tcBorders>
                    <w:tl2br w:val="nil"/>
                    <w:tr2bl w:val="nil"/>
                  </w:tcBorders>
                  <w:shd w:val="clear" w:color="auto" w:fill="FFFFFF"/>
                  <w:vAlign w:val="center"/>
                </w:tcPr>
                <w:p w14:paraId="1A57E84A">
                  <w:pPr>
                    <w:keepNext w:val="0"/>
                    <w:keepLines w:val="0"/>
                    <w:pageBreakBefore w:val="0"/>
                    <w:widowControl/>
                    <w:suppressLineNumbers w:val="0"/>
                    <w:kinsoku/>
                    <w:wordWrap/>
                    <w:overflowPunct/>
                    <w:topLinePunct w:val="0"/>
                    <w:bidi w:val="0"/>
                    <w:adjustRightInd w:val="0"/>
                    <w:snapToGrid w:val="0"/>
                    <w:spacing w:before="0" w:beforeAutospacing="0" w:after="0" w:afterAutospacing="0" w:line="276" w:lineRule="auto"/>
                    <w:ind w:left="0" w:right="0"/>
                    <w:jc w:val="center"/>
                    <w:textAlignment w:val="center"/>
                    <w:rPr>
                      <w:rFonts w:hint="default" w:ascii="Times New Roman" w:hAnsi="Times New Roman" w:eastAsia="宋体" w:cs="Times New Roman"/>
                      <w:color w:val="auto"/>
                      <w:sz w:val="18"/>
                      <w:szCs w:val="18"/>
                      <w:highlight w:val="none"/>
                    </w:rPr>
                  </w:pPr>
                  <w:r>
                    <w:rPr>
                      <w:rFonts w:hint="default" w:ascii="Times New Roman" w:hAnsi="Times New Roman" w:eastAsia="宋体" w:cs="Times New Roman"/>
                      <w:i w:val="0"/>
                      <w:iCs w:val="0"/>
                      <w:color w:val="000000"/>
                      <w:kern w:val="0"/>
                      <w:sz w:val="18"/>
                      <w:szCs w:val="18"/>
                      <w:highlight w:val="none"/>
                      <w:u w:val="none"/>
                      <w:lang w:val="en-US" w:eastAsia="zh-CN" w:bidi="ar"/>
                    </w:rPr>
                    <w:t>P2大鼠饲养间</w:t>
                  </w:r>
                </w:p>
              </w:tc>
            </w:tr>
            <w:tr w14:paraId="60934F2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0" w:hRule="atLeast"/>
              </w:trPr>
              <w:tc>
                <w:tcPr>
                  <w:tcW w:w="235" w:type="pct"/>
                  <w:tcBorders>
                    <w:tl2br w:val="nil"/>
                    <w:tr2bl w:val="nil"/>
                  </w:tcBorders>
                  <w:shd w:val="clear" w:color="auto" w:fill="FFFFFF"/>
                  <w:noWrap/>
                  <w:vAlign w:val="center"/>
                </w:tcPr>
                <w:p w14:paraId="2E1DD55B">
                  <w:pPr>
                    <w:keepNext w:val="0"/>
                    <w:keepLines w:val="0"/>
                    <w:pageBreakBefore w:val="0"/>
                    <w:widowControl/>
                    <w:suppressLineNumbers w:val="0"/>
                    <w:kinsoku/>
                    <w:wordWrap/>
                    <w:overflowPunct/>
                    <w:topLinePunct w:val="0"/>
                    <w:bidi w:val="0"/>
                    <w:adjustRightInd w:val="0"/>
                    <w:snapToGrid w:val="0"/>
                    <w:spacing w:before="0" w:beforeAutospacing="0" w:after="0" w:afterAutospacing="0" w:line="276" w:lineRule="auto"/>
                    <w:ind w:left="0" w:right="0"/>
                    <w:jc w:val="center"/>
                    <w:textAlignment w:val="center"/>
                    <w:rPr>
                      <w:rFonts w:hint="default" w:ascii="Times New Roman" w:hAnsi="Times New Roman" w:eastAsia="宋体" w:cs="Times New Roman"/>
                      <w:color w:val="auto"/>
                      <w:sz w:val="18"/>
                      <w:szCs w:val="18"/>
                      <w:highlight w:val="none"/>
                      <w:lang w:val="en-US" w:eastAsia="zh-CN"/>
                    </w:rPr>
                  </w:pPr>
                  <w:r>
                    <w:rPr>
                      <w:rFonts w:hint="default" w:ascii="Times New Roman" w:hAnsi="Times New Roman" w:eastAsia="宋体" w:cs="Times New Roman"/>
                      <w:i w:val="0"/>
                      <w:iCs w:val="0"/>
                      <w:color w:val="000000"/>
                      <w:kern w:val="0"/>
                      <w:sz w:val="18"/>
                      <w:szCs w:val="18"/>
                      <w:highlight w:val="none"/>
                      <w:u w:val="none"/>
                      <w:lang w:val="en-US" w:eastAsia="zh-CN" w:bidi="ar"/>
                    </w:rPr>
                    <w:t>32</w:t>
                  </w:r>
                </w:p>
              </w:tc>
              <w:tc>
                <w:tcPr>
                  <w:tcW w:w="349" w:type="pct"/>
                  <w:vMerge w:val="continue"/>
                  <w:tcBorders>
                    <w:tl2br w:val="nil"/>
                    <w:tr2bl w:val="nil"/>
                  </w:tcBorders>
                  <w:shd w:val="clear" w:color="auto" w:fill="FFFFFF"/>
                  <w:vAlign w:val="center"/>
                </w:tcPr>
                <w:p w14:paraId="14EA8FD0">
                  <w:pPr>
                    <w:keepNext w:val="0"/>
                    <w:keepLines w:val="0"/>
                    <w:pageBreakBefore w:val="0"/>
                    <w:widowControl/>
                    <w:suppressLineNumbers w:val="0"/>
                    <w:kinsoku/>
                    <w:wordWrap/>
                    <w:overflowPunct/>
                    <w:topLinePunct w:val="0"/>
                    <w:bidi w:val="0"/>
                    <w:adjustRightInd w:val="0"/>
                    <w:snapToGrid w:val="0"/>
                    <w:spacing w:before="0" w:beforeAutospacing="0" w:after="0" w:afterAutospacing="0" w:line="276" w:lineRule="auto"/>
                    <w:ind w:left="0" w:right="0"/>
                    <w:jc w:val="center"/>
                    <w:textAlignment w:val="center"/>
                    <w:rPr>
                      <w:rFonts w:hint="default" w:ascii="Times New Roman" w:hAnsi="Times New Roman" w:eastAsia="宋体" w:cs="Times New Roman"/>
                      <w:color w:val="auto"/>
                      <w:sz w:val="18"/>
                      <w:szCs w:val="18"/>
                      <w:highlight w:val="none"/>
                      <w:lang w:val="en-US" w:eastAsia="zh-CN"/>
                    </w:rPr>
                  </w:pPr>
                </w:p>
              </w:tc>
              <w:tc>
                <w:tcPr>
                  <w:tcW w:w="1015" w:type="pct"/>
                  <w:tcBorders>
                    <w:tl2br w:val="nil"/>
                    <w:tr2bl w:val="nil"/>
                  </w:tcBorders>
                  <w:shd w:val="clear" w:color="auto" w:fill="FFFFFF"/>
                  <w:vAlign w:val="center"/>
                </w:tcPr>
                <w:p w14:paraId="598BE464">
                  <w:pPr>
                    <w:keepNext w:val="0"/>
                    <w:keepLines w:val="0"/>
                    <w:pageBreakBefore w:val="0"/>
                    <w:widowControl/>
                    <w:suppressLineNumbers w:val="0"/>
                    <w:kinsoku/>
                    <w:wordWrap/>
                    <w:overflowPunct/>
                    <w:topLinePunct w:val="0"/>
                    <w:bidi w:val="0"/>
                    <w:adjustRightInd w:val="0"/>
                    <w:snapToGrid w:val="0"/>
                    <w:spacing w:before="0" w:beforeAutospacing="0" w:after="0" w:afterAutospacing="0" w:line="276" w:lineRule="auto"/>
                    <w:ind w:left="0" w:right="0"/>
                    <w:jc w:val="center"/>
                    <w:textAlignment w:val="center"/>
                    <w:rPr>
                      <w:rFonts w:hint="default" w:ascii="Times New Roman" w:hAnsi="Times New Roman" w:eastAsia="宋体" w:cs="Times New Roman"/>
                      <w:color w:val="auto"/>
                      <w:kern w:val="2"/>
                      <w:sz w:val="18"/>
                      <w:szCs w:val="18"/>
                      <w:highlight w:val="none"/>
                      <w:lang w:val="en-US" w:eastAsia="zh-CN" w:bidi="ar-SA"/>
                    </w:rPr>
                  </w:pPr>
                  <w:r>
                    <w:rPr>
                      <w:rFonts w:hint="default" w:ascii="Times New Roman" w:hAnsi="Times New Roman" w:eastAsia="宋体" w:cs="Times New Roman"/>
                      <w:i w:val="0"/>
                      <w:iCs w:val="0"/>
                      <w:color w:val="000000"/>
                      <w:kern w:val="0"/>
                      <w:sz w:val="18"/>
                      <w:szCs w:val="18"/>
                      <w:highlight w:val="none"/>
                      <w:u w:val="none"/>
                      <w:lang w:val="en-US" w:eastAsia="zh-CN" w:bidi="ar"/>
                    </w:rPr>
                    <w:t>消毒传递窗</w:t>
                  </w:r>
                </w:p>
              </w:tc>
              <w:tc>
                <w:tcPr>
                  <w:tcW w:w="1436" w:type="pct"/>
                  <w:tcBorders>
                    <w:tl2br w:val="nil"/>
                    <w:tr2bl w:val="nil"/>
                  </w:tcBorders>
                  <w:shd w:val="clear" w:color="auto" w:fill="FFFFFF"/>
                  <w:noWrap/>
                  <w:vAlign w:val="center"/>
                </w:tcPr>
                <w:p w14:paraId="083B3CA0">
                  <w:pPr>
                    <w:keepNext w:val="0"/>
                    <w:keepLines w:val="0"/>
                    <w:pageBreakBefore w:val="0"/>
                    <w:widowControl/>
                    <w:suppressLineNumbers w:val="0"/>
                    <w:kinsoku/>
                    <w:wordWrap/>
                    <w:overflowPunct/>
                    <w:topLinePunct w:val="0"/>
                    <w:bidi w:val="0"/>
                    <w:adjustRightInd w:val="0"/>
                    <w:snapToGrid w:val="0"/>
                    <w:spacing w:before="0" w:beforeAutospacing="0" w:after="0" w:afterAutospacing="0" w:line="276" w:lineRule="auto"/>
                    <w:ind w:left="0" w:right="0"/>
                    <w:jc w:val="center"/>
                    <w:textAlignment w:val="center"/>
                    <w:rPr>
                      <w:rFonts w:hint="default" w:ascii="Times New Roman" w:hAnsi="Times New Roman" w:eastAsia="宋体" w:cs="Times New Roman"/>
                      <w:color w:val="auto"/>
                      <w:sz w:val="18"/>
                      <w:szCs w:val="18"/>
                      <w:highlight w:val="none"/>
                      <w:lang w:val="en-US" w:eastAsia="zh-CN"/>
                    </w:rPr>
                  </w:pPr>
                  <w:r>
                    <w:rPr>
                      <w:rFonts w:hint="default" w:ascii="Times New Roman" w:hAnsi="Times New Roman" w:eastAsia="宋体" w:cs="Times New Roman"/>
                      <w:i w:val="0"/>
                      <w:iCs w:val="0"/>
                      <w:color w:val="000000"/>
                      <w:kern w:val="0"/>
                      <w:sz w:val="18"/>
                      <w:szCs w:val="18"/>
                      <w:highlight w:val="none"/>
                      <w:u w:val="none"/>
                      <w:lang w:val="en-US" w:eastAsia="zh-CN" w:bidi="ar"/>
                    </w:rPr>
                    <w:t>600</w:t>
                  </w:r>
                  <w:r>
                    <w:rPr>
                      <w:rFonts w:hint="default" w:ascii="Times New Roman" w:hAnsi="Times New Roman" w:eastAsia="宋体" w:cs="Times New Roman"/>
                      <w:color w:val="auto"/>
                      <w:sz w:val="18"/>
                      <w:szCs w:val="18"/>
                      <w:highlight w:val="none"/>
                      <w:lang w:val="en-US" w:eastAsia="zh-CN"/>
                    </w:rPr>
                    <w:t>mm</w:t>
                  </w:r>
                  <w:r>
                    <w:rPr>
                      <w:rFonts w:hint="default" w:ascii="Times New Roman" w:hAnsi="Times New Roman" w:eastAsia="宋体" w:cs="Times New Roman"/>
                      <w:i w:val="0"/>
                      <w:iCs w:val="0"/>
                      <w:color w:val="000000"/>
                      <w:kern w:val="0"/>
                      <w:sz w:val="18"/>
                      <w:szCs w:val="18"/>
                      <w:highlight w:val="none"/>
                      <w:u w:val="none"/>
                      <w:lang w:val="en-US" w:eastAsia="zh-CN" w:bidi="ar"/>
                    </w:rPr>
                    <w:t>×600</w:t>
                  </w:r>
                  <w:r>
                    <w:rPr>
                      <w:rFonts w:hint="default" w:ascii="Times New Roman" w:hAnsi="Times New Roman" w:eastAsia="宋体" w:cs="Times New Roman"/>
                      <w:color w:val="auto"/>
                      <w:sz w:val="18"/>
                      <w:szCs w:val="18"/>
                      <w:highlight w:val="none"/>
                      <w:lang w:val="en-US" w:eastAsia="zh-CN"/>
                    </w:rPr>
                    <w:t>mm</w:t>
                  </w:r>
                  <w:r>
                    <w:rPr>
                      <w:rFonts w:hint="default" w:ascii="Times New Roman" w:hAnsi="Times New Roman" w:eastAsia="宋体" w:cs="Times New Roman"/>
                      <w:i w:val="0"/>
                      <w:iCs w:val="0"/>
                      <w:color w:val="000000"/>
                      <w:kern w:val="0"/>
                      <w:sz w:val="18"/>
                      <w:szCs w:val="18"/>
                      <w:highlight w:val="none"/>
                      <w:u w:val="none"/>
                      <w:lang w:val="en-US" w:eastAsia="zh-CN" w:bidi="ar"/>
                    </w:rPr>
                    <w:t>×600</w:t>
                  </w:r>
                  <w:r>
                    <w:rPr>
                      <w:rFonts w:hint="default" w:ascii="Times New Roman" w:hAnsi="Times New Roman" w:eastAsia="宋体" w:cs="Times New Roman"/>
                      <w:color w:val="auto"/>
                      <w:sz w:val="18"/>
                      <w:szCs w:val="18"/>
                      <w:highlight w:val="none"/>
                      <w:lang w:val="en-US" w:eastAsia="zh-CN"/>
                    </w:rPr>
                    <w:t>mm</w:t>
                  </w:r>
                </w:p>
              </w:tc>
              <w:tc>
                <w:tcPr>
                  <w:tcW w:w="284" w:type="pct"/>
                  <w:tcBorders>
                    <w:tl2br w:val="nil"/>
                    <w:tr2bl w:val="nil"/>
                  </w:tcBorders>
                  <w:shd w:val="clear" w:color="auto" w:fill="FFFFFF"/>
                  <w:vAlign w:val="center"/>
                </w:tcPr>
                <w:p w14:paraId="1ABDA286">
                  <w:pPr>
                    <w:keepNext w:val="0"/>
                    <w:keepLines w:val="0"/>
                    <w:pageBreakBefore w:val="0"/>
                    <w:widowControl/>
                    <w:suppressLineNumbers w:val="0"/>
                    <w:kinsoku/>
                    <w:wordWrap/>
                    <w:overflowPunct/>
                    <w:topLinePunct w:val="0"/>
                    <w:bidi w:val="0"/>
                    <w:adjustRightInd w:val="0"/>
                    <w:snapToGrid w:val="0"/>
                    <w:spacing w:before="0" w:beforeAutospacing="0" w:after="0" w:afterAutospacing="0" w:line="276" w:lineRule="auto"/>
                    <w:ind w:left="0" w:right="0"/>
                    <w:jc w:val="center"/>
                    <w:textAlignment w:val="center"/>
                    <w:rPr>
                      <w:rFonts w:hint="default" w:ascii="Times New Roman" w:hAnsi="Times New Roman" w:eastAsia="宋体" w:cs="Times New Roman"/>
                      <w:color w:val="auto"/>
                      <w:sz w:val="18"/>
                      <w:szCs w:val="18"/>
                      <w:highlight w:val="none"/>
                    </w:rPr>
                  </w:pPr>
                  <w:r>
                    <w:rPr>
                      <w:rFonts w:hint="default" w:ascii="Times New Roman" w:hAnsi="Times New Roman" w:eastAsia="宋体" w:cs="Times New Roman"/>
                      <w:i w:val="0"/>
                      <w:iCs w:val="0"/>
                      <w:color w:val="000000"/>
                      <w:kern w:val="0"/>
                      <w:sz w:val="18"/>
                      <w:szCs w:val="18"/>
                      <w:highlight w:val="none"/>
                      <w:u w:val="none"/>
                      <w:lang w:val="en-US" w:eastAsia="zh-CN" w:bidi="ar"/>
                    </w:rPr>
                    <w:t>2</w:t>
                  </w:r>
                </w:p>
              </w:tc>
              <w:tc>
                <w:tcPr>
                  <w:tcW w:w="1678" w:type="pct"/>
                  <w:tcBorders>
                    <w:tl2br w:val="nil"/>
                    <w:tr2bl w:val="nil"/>
                  </w:tcBorders>
                  <w:shd w:val="clear" w:color="auto" w:fill="FFFFFF"/>
                  <w:vAlign w:val="center"/>
                </w:tcPr>
                <w:p w14:paraId="6F690931">
                  <w:pPr>
                    <w:keepNext w:val="0"/>
                    <w:keepLines w:val="0"/>
                    <w:pageBreakBefore w:val="0"/>
                    <w:widowControl/>
                    <w:suppressLineNumbers w:val="0"/>
                    <w:kinsoku/>
                    <w:wordWrap/>
                    <w:overflowPunct/>
                    <w:topLinePunct w:val="0"/>
                    <w:bidi w:val="0"/>
                    <w:adjustRightInd w:val="0"/>
                    <w:snapToGrid w:val="0"/>
                    <w:spacing w:before="0" w:beforeAutospacing="0" w:after="0" w:afterAutospacing="0" w:line="276" w:lineRule="auto"/>
                    <w:ind w:left="0" w:right="0"/>
                    <w:jc w:val="center"/>
                    <w:textAlignment w:val="center"/>
                    <w:rPr>
                      <w:rFonts w:hint="default" w:ascii="Times New Roman" w:hAnsi="Times New Roman" w:eastAsia="宋体" w:cs="Times New Roman"/>
                      <w:color w:val="auto"/>
                      <w:sz w:val="18"/>
                      <w:szCs w:val="18"/>
                      <w:highlight w:val="none"/>
                    </w:rPr>
                  </w:pPr>
                  <w:r>
                    <w:rPr>
                      <w:rFonts w:hint="default" w:ascii="Times New Roman" w:hAnsi="Times New Roman" w:eastAsia="宋体" w:cs="Times New Roman"/>
                      <w:i w:val="0"/>
                      <w:iCs w:val="0"/>
                      <w:color w:val="000000"/>
                      <w:kern w:val="0"/>
                      <w:sz w:val="18"/>
                      <w:szCs w:val="18"/>
                      <w:highlight w:val="none"/>
                      <w:u w:val="none"/>
                      <w:lang w:val="en-US" w:eastAsia="zh-CN" w:bidi="ar"/>
                    </w:rPr>
                    <w:t>P2</w:t>
                  </w:r>
                  <w:r>
                    <w:rPr>
                      <w:rStyle w:val="121"/>
                      <w:rFonts w:hint="default" w:ascii="Times New Roman" w:hAnsi="Times New Roman" w:eastAsia="宋体" w:cs="Times New Roman"/>
                      <w:sz w:val="18"/>
                      <w:szCs w:val="18"/>
                      <w:highlight w:val="none"/>
                      <w:lang w:val="en-US" w:eastAsia="zh-CN" w:bidi="ar"/>
                    </w:rPr>
                    <w:t>外准备间、污物灭菌前室</w:t>
                  </w:r>
                </w:p>
              </w:tc>
            </w:tr>
            <w:tr w14:paraId="4A1F990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0" w:hRule="atLeast"/>
              </w:trPr>
              <w:tc>
                <w:tcPr>
                  <w:tcW w:w="235" w:type="pct"/>
                  <w:tcBorders>
                    <w:tl2br w:val="nil"/>
                    <w:tr2bl w:val="nil"/>
                  </w:tcBorders>
                  <w:shd w:val="clear" w:color="auto" w:fill="FFFFFF"/>
                  <w:noWrap/>
                  <w:vAlign w:val="center"/>
                </w:tcPr>
                <w:p w14:paraId="1410F2AC">
                  <w:pPr>
                    <w:keepNext w:val="0"/>
                    <w:keepLines w:val="0"/>
                    <w:pageBreakBefore w:val="0"/>
                    <w:widowControl/>
                    <w:suppressLineNumbers w:val="0"/>
                    <w:kinsoku/>
                    <w:wordWrap/>
                    <w:overflowPunct/>
                    <w:topLinePunct w:val="0"/>
                    <w:bidi w:val="0"/>
                    <w:adjustRightInd w:val="0"/>
                    <w:snapToGrid w:val="0"/>
                    <w:spacing w:before="0" w:beforeAutospacing="0" w:after="0" w:afterAutospacing="0" w:line="276" w:lineRule="auto"/>
                    <w:ind w:left="0" w:right="0"/>
                    <w:jc w:val="center"/>
                    <w:textAlignment w:val="center"/>
                    <w:rPr>
                      <w:rFonts w:hint="default" w:ascii="Times New Roman" w:hAnsi="Times New Roman" w:eastAsia="宋体" w:cs="Times New Roman"/>
                      <w:color w:val="auto"/>
                      <w:sz w:val="18"/>
                      <w:szCs w:val="18"/>
                      <w:highlight w:val="none"/>
                      <w:lang w:val="en-US" w:eastAsia="zh-CN"/>
                    </w:rPr>
                  </w:pPr>
                  <w:r>
                    <w:rPr>
                      <w:rFonts w:hint="default" w:ascii="Times New Roman" w:hAnsi="Times New Roman" w:eastAsia="宋体" w:cs="Times New Roman"/>
                      <w:i w:val="0"/>
                      <w:iCs w:val="0"/>
                      <w:color w:val="000000"/>
                      <w:kern w:val="0"/>
                      <w:sz w:val="18"/>
                      <w:szCs w:val="18"/>
                      <w:highlight w:val="none"/>
                      <w:u w:val="none"/>
                      <w:lang w:val="en-US" w:eastAsia="zh-CN" w:bidi="ar"/>
                    </w:rPr>
                    <w:t>33</w:t>
                  </w:r>
                </w:p>
              </w:tc>
              <w:tc>
                <w:tcPr>
                  <w:tcW w:w="349" w:type="pct"/>
                  <w:vMerge w:val="continue"/>
                  <w:tcBorders>
                    <w:tl2br w:val="nil"/>
                    <w:tr2bl w:val="nil"/>
                  </w:tcBorders>
                  <w:shd w:val="clear" w:color="auto" w:fill="FFFFFF"/>
                  <w:vAlign w:val="center"/>
                </w:tcPr>
                <w:p w14:paraId="7E5C39D5">
                  <w:pPr>
                    <w:keepNext w:val="0"/>
                    <w:keepLines w:val="0"/>
                    <w:pageBreakBefore w:val="0"/>
                    <w:widowControl/>
                    <w:suppressLineNumbers w:val="0"/>
                    <w:kinsoku/>
                    <w:wordWrap/>
                    <w:overflowPunct/>
                    <w:topLinePunct w:val="0"/>
                    <w:bidi w:val="0"/>
                    <w:adjustRightInd w:val="0"/>
                    <w:snapToGrid w:val="0"/>
                    <w:spacing w:before="0" w:beforeAutospacing="0" w:after="0" w:afterAutospacing="0" w:line="276" w:lineRule="auto"/>
                    <w:ind w:left="0" w:right="0"/>
                    <w:jc w:val="center"/>
                    <w:textAlignment w:val="center"/>
                    <w:rPr>
                      <w:rFonts w:hint="default" w:ascii="Times New Roman" w:hAnsi="Times New Roman" w:eastAsia="宋体" w:cs="Times New Roman"/>
                      <w:color w:val="auto"/>
                      <w:sz w:val="18"/>
                      <w:szCs w:val="18"/>
                      <w:highlight w:val="none"/>
                      <w:lang w:val="en-US" w:eastAsia="zh-CN"/>
                    </w:rPr>
                  </w:pPr>
                </w:p>
              </w:tc>
              <w:tc>
                <w:tcPr>
                  <w:tcW w:w="1015" w:type="pct"/>
                  <w:tcBorders>
                    <w:tl2br w:val="nil"/>
                    <w:tr2bl w:val="nil"/>
                  </w:tcBorders>
                  <w:shd w:val="clear" w:color="auto" w:fill="FFFFFF"/>
                  <w:vAlign w:val="center"/>
                </w:tcPr>
                <w:p w14:paraId="03D4FC15">
                  <w:pPr>
                    <w:keepNext w:val="0"/>
                    <w:keepLines w:val="0"/>
                    <w:pageBreakBefore w:val="0"/>
                    <w:widowControl/>
                    <w:suppressLineNumbers w:val="0"/>
                    <w:kinsoku/>
                    <w:wordWrap/>
                    <w:overflowPunct/>
                    <w:topLinePunct w:val="0"/>
                    <w:bidi w:val="0"/>
                    <w:adjustRightInd w:val="0"/>
                    <w:snapToGrid w:val="0"/>
                    <w:spacing w:before="0" w:beforeAutospacing="0" w:after="0" w:afterAutospacing="0" w:line="276" w:lineRule="auto"/>
                    <w:ind w:left="0" w:right="0"/>
                    <w:jc w:val="center"/>
                    <w:textAlignment w:val="center"/>
                    <w:rPr>
                      <w:rFonts w:hint="default" w:ascii="Times New Roman" w:hAnsi="Times New Roman" w:eastAsia="宋体" w:cs="Times New Roman"/>
                      <w:color w:val="auto"/>
                      <w:kern w:val="2"/>
                      <w:sz w:val="18"/>
                      <w:szCs w:val="18"/>
                      <w:highlight w:val="none"/>
                      <w:lang w:val="en-US" w:eastAsia="zh-CN" w:bidi="ar-SA"/>
                    </w:rPr>
                  </w:pPr>
                  <w:r>
                    <w:rPr>
                      <w:rFonts w:hint="default" w:ascii="Times New Roman" w:hAnsi="Times New Roman" w:eastAsia="宋体" w:cs="Times New Roman"/>
                      <w:i w:val="0"/>
                      <w:iCs w:val="0"/>
                      <w:color w:val="000000"/>
                      <w:kern w:val="0"/>
                      <w:sz w:val="18"/>
                      <w:szCs w:val="18"/>
                      <w:highlight w:val="none"/>
                      <w:u w:val="none"/>
                      <w:lang w:val="en-US" w:eastAsia="zh-CN" w:bidi="ar"/>
                    </w:rPr>
                    <w:t>脉动真空灭菌器</w:t>
                  </w:r>
                </w:p>
              </w:tc>
              <w:tc>
                <w:tcPr>
                  <w:tcW w:w="1436" w:type="pct"/>
                  <w:tcBorders>
                    <w:tl2br w:val="nil"/>
                    <w:tr2bl w:val="nil"/>
                  </w:tcBorders>
                  <w:shd w:val="clear" w:color="auto" w:fill="FFFFFF"/>
                  <w:noWrap/>
                  <w:vAlign w:val="center"/>
                </w:tcPr>
                <w:p w14:paraId="0D4E3B8E">
                  <w:pPr>
                    <w:keepNext w:val="0"/>
                    <w:keepLines w:val="0"/>
                    <w:pageBreakBefore w:val="0"/>
                    <w:widowControl/>
                    <w:suppressLineNumbers w:val="0"/>
                    <w:kinsoku/>
                    <w:wordWrap/>
                    <w:overflowPunct/>
                    <w:topLinePunct w:val="0"/>
                    <w:bidi w:val="0"/>
                    <w:adjustRightInd w:val="0"/>
                    <w:snapToGrid w:val="0"/>
                    <w:spacing w:before="0" w:beforeAutospacing="0" w:after="0" w:afterAutospacing="0" w:line="276" w:lineRule="auto"/>
                    <w:ind w:left="0" w:right="0"/>
                    <w:jc w:val="center"/>
                    <w:textAlignment w:val="center"/>
                    <w:rPr>
                      <w:rFonts w:hint="default" w:ascii="Times New Roman" w:hAnsi="Times New Roman" w:eastAsia="宋体" w:cs="Times New Roman"/>
                      <w:color w:val="auto"/>
                      <w:sz w:val="18"/>
                      <w:szCs w:val="18"/>
                      <w:highlight w:val="none"/>
                      <w:lang w:val="en-US" w:eastAsia="zh-CN"/>
                    </w:rPr>
                  </w:pPr>
                  <w:r>
                    <w:rPr>
                      <w:rFonts w:hint="default" w:ascii="Times New Roman" w:hAnsi="Times New Roman" w:eastAsia="宋体" w:cs="Times New Roman"/>
                      <w:i w:val="0"/>
                      <w:iCs w:val="0"/>
                      <w:color w:val="000000"/>
                      <w:kern w:val="0"/>
                      <w:sz w:val="18"/>
                      <w:szCs w:val="18"/>
                      <w:highlight w:val="none"/>
                      <w:u w:val="none"/>
                      <w:lang w:val="en-US" w:eastAsia="zh-CN" w:bidi="ar"/>
                    </w:rPr>
                    <w:t>1609</w:t>
                  </w:r>
                  <w:r>
                    <w:rPr>
                      <w:rFonts w:hint="default" w:ascii="Times New Roman" w:hAnsi="Times New Roman" w:eastAsia="宋体" w:cs="Times New Roman"/>
                      <w:color w:val="auto"/>
                      <w:sz w:val="18"/>
                      <w:szCs w:val="18"/>
                      <w:highlight w:val="none"/>
                      <w:lang w:val="en-US" w:eastAsia="zh-CN"/>
                    </w:rPr>
                    <w:t>mm</w:t>
                  </w:r>
                  <w:r>
                    <w:rPr>
                      <w:rFonts w:hint="default" w:ascii="Times New Roman" w:hAnsi="Times New Roman" w:eastAsia="宋体" w:cs="Times New Roman"/>
                      <w:i w:val="0"/>
                      <w:iCs w:val="0"/>
                      <w:color w:val="000000"/>
                      <w:kern w:val="0"/>
                      <w:sz w:val="18"/>
                      <w:szCs w:val="18"/>
                      <w:highlight w:val="none"/>
                      <w:u w:val="none"/>
                      <w:lang w:val="en-US" w:eastAsia="zh-CN" w:bidi="ar"/>
                    </w:rPr>
                    <w:t>×1812</w:t>
                  </w:r>
                  <w:r>
                    <w:rPr>
                      <w:rFonts w:hint="default" w:ascii="Times New Roman" w:hAnsi="Times New Roman" w:eastAsia="宋体" w:cs="Times New Roman"/>
                      <w:color w:val="auto"/>
                      <w:sz w:val="18"/>
                      <w:szCs w:val="18"/>
                      <w:highlight w:val="none"/>
                      <w:lang w:val="en-US" w:eastAsia="zh-CN"/>
                    </w:rPr>
                    <w:t>mm</w:t>
                  </w:r>
                  <w:r>
                    <w:rPr>
                      <w:rFonts w:hint="default" w:ascii="Times New Roman" w:hAnsi="Times New Roman" w:eastAsia="宋体" w:cs="Times New Roman"/>
                      <w:i w:val="0"/>
                      <w:iCs w:val="0"/>
                      <w:color w:val="000000"/>
                      <w:kern w:val="0"/>
                      <w:sz w:val="18"/>
                      <w:szCs w:val="18"/>
                      <w:highlight w:val="none"/>
                      <w:u w:val="none"/>
                      <w:lang w:val="en-US" w:eastAsia="zh-CN" w:bidi="ar"/>
                    </w:rPr>
                    <w:t>×2333</w:t>
                  </w:r>
                  <w:r>
                    <w:rPr>
                      <w:rFonts w:hint="default" w:ascii="Times New Roman" w:hAnsi="Times New Roman" w:eastAsia="宋体" w:cs="Times New Roman"/>
                      <w:color w:val="auto"/>
                      <w:sz w:val="18"/>
                      <w:szCs w:val="18"/>
                      <w:highlight w:val="none"/>
                      <w:lang w:val="en-US" w:eastAsia="zh-CN"/>
                    </w:rPr>
                    <w:t>mm</w:t>
                  </w:r>
                </w:p>
              </w:tc>
              <w:tc>
                <w:tcPr>
                  <w:tcW w:w="284" w:type="pct"/>
                  <w:tcBorders>
                    <w:tl2br w:val="nil"/>
                    <w:tr2bl w:val="nil"/>
                  </w:tcBorders>
                  <w:shd w:val="clear" w:color="auto" w:fill="FFFFFF"/>
                  <w:vAlign w:val="center"/>
                </w:tcPr>
                <w:p w14:paraId="3B36EB00">
                  <w:pPr>
                    <w:keepNext w:val="0"/>
                    <w:keepLines w:val="0"/>
                    <w:pageBreakBefore w:val="0"/>
                    <w:widowControl/>
                    <w:suppressLineNumbers w:val="0"/>
                    <w:kinsoku/>
                    <w:wordWrap/>
                    <w:overflowPunct/>
                    <w:topLinePunct w:val="0"/>
                    <w:bidi w:val="0"/>
                    <w:adjustRightInd w:val="0"/>
                    <w:snapToGrid w:val="0"/>
                    <w:spacing w:before="0" w:beforeAutospacing="0" w:after="0" w:afterAutospacing="0" w:line="276" w:lineRule="auto"/>
                    <w:ind w:left="0" w:right="0"/>
                    <w:jc w:val="center"/>
                    <w:textAlignment w:val="center"/>
                    <w:rPr>
                      <w:rFonts w:hint="default" w:ascii="Times New Roman" w:hAnsi="Times New Roman" w:eastAsia="宋体" w:cs="Times New Roman"/>
                      <w:color w:val="auto"/>
                      <w:sz w:val="18"/>
                      <w:szCs w:val="18"/>
                      <w:highlight w:val="none"/>
                    </w:rPr>
                  </w:pPr>
                  <w:r>
                    <w:rPr>
                      <w:rFonts w:hint="default" w:ascii="Times New Roman" w:hAnsi="Times New Roman" w:eastAsia="宋体" w:cs="Times New Roman"/>
                      <w:i w:val="0"/>
                      <w:iCs w:val="0"/>
                      <w:color w:val="000000"/>
                      <w:kern w:val="0"/>
                      <w:sz w:val="18"/>
                      <w:szCs w:val="18"/>
                      <w:highlight w:val="none"/>
                      <w:u w:val="none"/>
                      <w:lang w:val="en-US" w:eastAsia="zh-CN" w:bidi="ar"/>
                    </w:rPr>
                    <w:t>2</w:t>
                  </w:r>
                </w:p>
              </w:tc>
              <w:tc>
                <w:tcPr>
                  <w:tcW w:w="1678" w:type="pct"/>
                  <w:tcBorders>
                    <w:tl2br w:val="nil"/>
                    <w:tr2bl w:val="nil"/>
                  </w:tcBorders>
                  <w:shd w:val="clear" w:color="auto" w:fill="FFFFFF"/>
                  <w:vAlign w:val="center"/>
                </w:tcPr>
                <w:p w14:paraId="3F4CF13B">
                  <w:pPr>
                    <w:keepNext w:val="0"/>
                    <w:keepLines w:val="0"/>
                    <w:pageBreakBefore w:val="0"/>
                    <w:widowControl/>
                    <w:suppressLineNumbers w:val="0"/>
                    <w:kinsoku/>
                    <w:wordWrap/>
                    <w:overflowPunct/>
                    <w:topLinePunct w:val="0"/>
                    <w:bidi w:val="0"/>
                    <w:adjustRightInd w:val="0"/>
                    <w:snapToGrid w:val="0"/>
                    <w:spacing w:before="0" w:beforeAutospacing="0" w:after="0" w:afterAutospacing="0" w:line="276" w:lineRule="auto"/>
                    <w:ind w:left="0" w:right="0"/>
                    <w:jc w:val="center"/>
                    <w:textAlignment w:val="center"/>
                    <w:rPr>
                      <w:rFonts w:hint="default" w:ascii="Times New Roman" w:hAnsi="Times New Roman" w:eastAsia="宋体" w:cs="Times New Roman"/>
                      <w:color w:val="auto"/>
                      <w:sz w:val="18"/>
                      <w:szCs w:val="18"/>
                      <w:highlight w:val="none"/>
                    </w:rPr>
                  </w:pPr>
                  <w:r>
                    <w:rPr>
                      <w:rFonts w:hint="default" w:ascii="Times New Roman" w:hAnsi="Times New Roman" w:eastAsia="宋体" w:cs="Times New Roman"/>
                      <w:i w:val="0"/>
                      <w:iCs w:val="0"/>
                      <w:color w:val="000000"/>
                      <w:kern w:val="0"/>
                      <w:sz w:val="18"/>
                      <w:szCs w:val="18"/>
                      <w:highlight w:val="none"/>
                      <w:u w:val="none"/>
                      <w:lang w:val="en-US" w:eastAsia="zh-CN" w:bidi="ar"/>
                    </w:rPr>
                    <w:t>外准备间</w:t>
                  </w:r>
                </w:p>
              </w:tc>
            </w:tr>
            <w:tr w14:paraId="53CB774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FFFFFF"/>
                <w:tblCellMar>
                  <w:top w:w="0" w:type="dxa"/>
                  <w:left w:w="28" w:type="dxa"/>
                  <w:bottom w:w="0" w:type="dxa"/>
                  <w:right w:w="28" w:type="dxa"/>
                </w:tblCellMar>
              </w:tblPrEx>
              <w:trPr>
                <w:trHeight w:val="0" w:hRule="atLeast"/>
              </w:trPr>
              <w:tc>
                <w:tcPr>
                  <w:tcW w:w="235" w:type="pct"/>
                  <w:tcBorders>
                    <w:tl2br w:val="nil"/>
                    <w:tr2bl w:val="nil"/>
                  </w:tcBorders>
                  <w:shd w:val="clear" w:color="auto" w:fill="FFFFFF"/>
                  <w:noWrap/>
                  <w:vAlign w:val="center"/>
                </w:tcPr>
                <w:p w14:paraId="16113DB6">
                  <w:pPr>
                    <w:keepNext w:val="0"/>
                    <w:keepLines w:val="0"/>
                    <w:pageBreakBefore w:val="0"/>
                    <w:widowControl/>
                    <w:suppressLineNumbers w:val="0"/>
                    <w:kinsoku/>
                    <w:wordWrap/>
                    <w:overflowPunct/>
                    <w:topLinePunct w:val="0"/>
                    <w:bidi w:val="0"/>
                    <w:adjustRightInd w:val="0"/>
                    <w:snapToGrid w:val="0"/>
                    <w:spacing w:before="0" w:beforeAutospacing="0" w:after="0" w:afterAutospacing="0" w:line="276" w:lineRule="auto"/>
                    <w:ind w:left="0" w:right="0"/>
                    <w:jc w:val="center"/>
                    <w:textAlignment w:val="center"/>
                    <w:rPr>
                      <w:rFonts w:hint="default" w:ascii="Times New Roman" w:hAnsi="Times New Roman" w:eastAsia="宋体" w:cs="Times New Roman"/>
                      <w:color w:val="auto"/>
                      <w:sz w:val="18"/>
                      <w:szCs w:val="18"/>
                      <w:highlight w:val="none"/>
                      <w:lang w:val="en-US" w:eastAsia="zh-CN"/>
                    </w:rPr>
                  </w:pPr>
                  <w:r>
                    <w:rPr>
                      <w:rFonts w:hint="default" w:ascii="Times New Roman" w:hAnsi="Times New Roman" w:eastAsia="宋体" w:cs="Times New Roman"/>
                      <w:i w:val="0"/>
                      <w:iCs w:val="0"/>
                      <w:color w:val="000000"/>
                      <w:kern w:val="0"/>
                      <w:sz w:val="18"/>
                      <w:szCs w:val="18"/>
                      <w:highlight w:val="none"/>
                      <w:u w:val="none"/>
                      <w:lang w:val="en-US" w:eastAsia="zh-CN" w:bidi="ar"/>
                    </w:rPr>
                    <w:t>34</w:t>
                  </w:r>
                </w:p>
              </w:tc>
              <w:tc>
                <w:tcPr>
                  <w:tcW w:w="349" w:type="pct"/>
                  <w:vMerge w:val="continue"/>
                  <w:tcBorders>
                    <w:tl2br w:val="nil"/>
                    <w:tr2bl w:val="nil"/>
                  </w:tcBorders>
                  <w:shd w:val="clear" w:color="auto" w:fill="FFFFFF"/>
                  <w:vAlign w:val="center"/>
                </w:tcPr>
                <w:p w14:paraId="758B4050">
                  <w:pPr>
                    <w:keepNext w:val="0"/>
                    <w:keepLines w:val="0"/>
                    <w:pageBreakBefore w:val="0"/>
                    <w:widowControl/>
                    <w:suppressLineNumbers w:val="0"/>
                    <w:kinsoku/>
                    <w:wordWrap/>
                    <w:overflowPunct/>
                    <w:topLinePunct w:val="0"/>
                    <w:bidi w:val="0"/>
                    <w:adjustRightInd w:val="0"/>
                    <w:snapToGrid w:val="0"/>
                    <w:spacing w:before="0" w:beforeAutospacing="0" w:after="0" w:afterAutospacing="0" w:line="276" w:lineRule="auto"/>
                    <w:ind w:left="0" w:right="0"/>
                    <w:jc w:val="center"/>
                    <w:textAlignment w:val="center"/>
                    <w:rPr>
                      <w:rFonts w:hint="default" w:ascii="Times New Roman" w:hAnsi="Times New Roman" w:eastAsia="宋体" w:cs="Times New Roman"/>
                      <w:color w:val="auto"/>
                      <w:sz w:val="18"/>
                      <w:szCs w:val="18"/>
                      <w:highlight w:val="none"/>
                      <w:lang w:val="en-US" w:eastAsia="zh-CN"/>
                    </w:rPr>
                  </w:pPr>
                </w:p>
              </w:tc>
              <w:tc>
                <w:tcPr>
                  <w:tcW w:w="1015" w:type="pct"/>
                  <w:tcBorders>
                    <w:tl2br w:val="nil"/>
                    <w:tr2bl w:val="nil"/>
                  </w:tcBorders>
                  <w:shd w:val="clear" w:color="auto" w:fill="FFFFFF"/>
                  <w:vAlign w:val="center"/>
                </w:tcPr>
                <w:p w14:paraId="6DDE3B07">
                  <w:pPr>
                    <w:keepNext w:val="0"/>
                    <w:keepLines w:val="0"/>
                    <w:pageBreakBefore w:val="0"/>
                    <w:widowControl/>
                    <w:suppressLineNumbers w:val="0"/>
                    <w:kinsoku/>
                    <w:wordWrap/>
                    <w:overflowPunct/>
                    <w:topLinePunct w:val="0"/>
                    <w:bidi w:val="0"/>
                    <w:adjustRightInd w:val="0"/>
                    <w:snapToGrid w:val="0"/>
                    <w:spacing w:before="0" w:beforeAutospacing="0" w:after="0" w:afterAutospacing="0" w:line="276" w:lineRule="auto"/>
                    <w:ind w:left="0" w:right="0"/>
                    <w:jc w:val="center"/>
                    <w:textAlignment w:val="center"/>
                    <w:rPr>
                      <w:rFonts w:hint="default" w:ascii="Times New Roman" w:hAnsi="Times New Roman" w:eastAsia="宋体" w:cs="Times New Roman"/>
                      <w:color w:val="auto"/>
                      <w:kern w:val="2"/>
                      <w:sz w:val="18"/>
                      <w:szCs w:val="18"/>
                      <w:highlight w:val="none"/>
                      <w:lang w:val="en-US" w:eastAsia="zh-CN" w:bidi="ar-SA"/>
                    </w:rPr>
                  </w:pPr>
                  <w:r>
                    <w:rPr>
                      <w:rFonts w:hint="default" w:ascii="Times New Roman" w:hAnsi="Times New Roman" w:eastAsia="宋体" w:cs="Times New Roman"/>
                      <w:i w:val="0"/>
                      <w:iCs w:val="0"/>
                      <w:color w:val="000000"/>
                      <w:kern w:val="0"/>
                      <w:sz w:val="18"/>
                      <w:szCs w:val="18"/>
                      <w:highlight w:val="none"/>
                      <w:u w:val="none"/>
                      <w:lang w:val="en-US" w:eastAsia="zh-CN" w:bidi="ar"/>
                    </w:rPr>
                    <w:t>大型多功能消毒传递舱</w:t>
                  </w:r>
                </w:p>
              </w:tc>
              <w:tc>
                <w:tcPr>
                  <w:tcW w:w="1436" w:type="pct"/>
                  <w:tcBorders>
                    <w:tl2br w:val="nil"/>
                    <w:tr2bl w:val="nil"/>
                  </w:tcBorders>
                  <w:shd w:val="clear" w:color="auto" w:fill="FFFFFF"/>
                  <w:noWrap/>
                  <w:vAlign w:val="center"/>
                </w:tcPr>
                <w:p w14:paraId="7D340664">
                  <w:pPr>
                    <w:keepNext w:val="0"/>
                    <w:keepLines w:val="0"/>
                    <w:pageBreakBefore w:val="0"/>
                    <w:widowControl/>
                    <w:suppressLineNumbers w:val="0"/>
                    <w:kinsoku/>
                    <w:wordWrap/>
                    <w:overflowPunct/>
                    <w:topLinePunct w:val="0"/>
                    <w:bidi w:val="0"/>
                    <w:adjustRightInd w:val="0"/>
                    <w:snapToGrid w:val="0"/>
                    <w:spacing w:before="0" w:beforeAutospacing="0" w:after="0" w:afterAutospacing="0" w:line="276" w:lineRule="auto"/>
                    <w:ind w:left="0" w:right="0"/>
                    <w:jc w:val="center"/>
                    <w:textAlignment w:val="center"/>
                    <w:rPr>
                      <w:rFonts w:hint="default" w:ascii="Times New Roman" w:hAnsi="Times New Roman" w:eastAsia="宋体" w:cs="Times New Roman"/>
                      <w:color w:val="auto"/>
                      <w:sz w:val="18"/>
                      <w:szCs w:val="18"/>
                      <w:highlight w:val="none"/>
                      <w:lang w:val="en-US" w:eastAsia="zh-CN"/>
                    </w:rPr>
                  </w:pPr>
                  <w:r>
                    <w:rPr>
                      <w:rFonts w:hint="default" w:ascii="Times New Roman" w:hAnsi="Times New Roman" w:eastAsia="宋体" w:cs="Times New Roman"/>
                      <w:i w:val="0"/>
                      <w:iCs w:val="0"/>
                      <w:color w:val="000000"/>
                      <w:kern w:val="0"/>
                      <w:sz w:val="18"/>
                      <w:szCs w:val="18"/>
                      <w:highlight w:val="none"/>
                      <w:u w:val="none"/>
                      <w:lang w:val="en-US" w:eastAsia="zh-CN" w:bidi="ar"/>
                    </w:rPr>
                    <w:t>1845</w:t>
                  </w:r>
                  <w:r>
                    <w:rPr>
                      <w:rFonts w:hint="default" w:ascii="Times New Roman" w:hAnsi="Times New Roman" w:eastAsia="宋体" w:cs="Times New Roman"/>
                      <w:color w:val="auto"/>
                      <w:sz w:val="18"/>
                      <w:szCs w:val="18"/>
                      <w:highlight w:val="none"/>
                      <w:lang w:val="en-US" w:eastAsia="zh-CN"/>
                    </w:rPr>
                    <w:t>mm</w:t>
                  </w:r>
                  <w:r>
                    <w:rPr>
                      <w:rFonts w:hint="default" w:ascii="Times New Roman" w:hAnsi="Times New Roman" w:eastAsia="宋体" w:cs="Times New Roman"/>
                      <w:i w:val="0"/>
                      <w:iCs w:val="0"/>
                      <w:color w:val="000000"/>
                      <w:kern w:val="0"/>
                      <w:sz w:val="18"/>
                      <w:szCs w:val="18"/>
                      <w:highlight w:val="none"/>
                      <w:u w:val="none"/>
                      <w:lang w:val="en-US" w:eastAsia="zh-CN" w:bidi="ar"/>
                    </w:rPr>
                    <w:t>×2416</w:t>
                  </w:r>
                  <w:r>
                    <w:rPr>
                      <w:rFonts w:hint="default" w:ascii="Times New Roman" w:hAnsi="Times New Roman" w:eastAsia="宋体" w:cs="Times New Roman"/>
                      <w:color w:val="auto"/>
                      <w:sz w:val="18"/>
                      <w:szCs w:val="18"/>
                      <w:highlight w:val="none"/>
                      <w:lang w:val="en-US" w:eastAsia="zh-CN"/>
                    </w:rPr>
                    <w:t>mm</w:t>
                  </w:r>
                  <w:r>
                    <w:rPr>
                      <w:rFonts w:hint="default" w:ascii="Times New Roman" w:hAnsi="Times New Roman" w:eastAsia="宋体" w:cs="Times New Roman"/>
                      <w:i w:val="0"/>
                      <w:iCs w:val="0"/>
                      <w:color w:val="000000"/>
                      <w:kern w:val="0"/>
                      <w:sz w:val="18"/>
                      <w:szCs w:val="18"/>
                      <w:highlight w:val="none"/>
                      <w:u w:val="none"/>
                      <w:lang w:val="en-US" w:eastAsia="zh-CN" w:bidi="ar"/>
                    </w:rPr>
                    <w:t>×2354</w:t>
                  </w:r>
                  <w:r>
                    <w:rPr>
                      <w:rFonts w:hint="default" w:ascii="Times New Roman" w:hAnsi="Times New Roman" w:eastAsia="宋体" w:cs="Times New Roman"/>
                      <w:color w:val="auto"/>
                      <w:sz w:val="18"/>
                      <w:szCs w:val="18"/>
                      <w:highlight w:val="none"/>
                      <w:lang w:val="en-US" w:eastAsia="zh-CN"/>
                    </w:rPr>
                    <w:t>mm</w:t>
                  </w:r>
                </w:p>
              </w:tc>
              <w:tc>
                <w:tcPr>
                  <w:tcW w:w="284" w:type="pct"/>
                  <w:tcBorders>
                    <w:tl2br w:val="nil"/>
                    <w:tr2bl w:val="nil"/>
                  </w:tcBorders>
                  <w:shd w:val="clear" w:color="auto" w:fill="FFFFFF"/>
                  <w:vAlign w:val="center"/>
                </w:tcPr>
                <w:p w14:paraId="3193FA23">
                  <w:pPr>
                    <w:keepNext w:val="0"/>
                    <w:keepLines w:val="0"/>
                    <w:pageBreakBefore w:val="0"/>
                    <w:widowControl/>
                    <w:suppressLineNumbers w:val="0"/>
                    <w:kinsoku/>
                    <w:wordWrap/>
                    <w:overflowPunct/>
                    <w:topLinePunct w:val="0"/>
                    <w:bidi w:val="0"/>
                    <w:adjustRightInd w:val="0"/>
                    <w:snapToGrid w:val="0"/>
                    <w:spacing w:before="0" w:beforeAutospacing="0" w:after="0" w:afterAutospacing="0" w:line="276" w:lineRule="auto"/>
                    <w:ind w:left="0" w:right="0"/>
                    <w:jc w:val="center"/>
                    <w:textAlignment w:val="center"/>
                    <w:rPr>
                      <w:rFonts w:hint="default" w:ascii="Times New Roman" w:hAnsi="Times New Roman" w:eastAsia="宋体" w:cs="Times New Roman"/>
                      <w:color w:val="auto"/>
                      <w:sz w:val="18"/>
                      <w:szCs w:val="18"/>
                      <w:highlight w:val="none"/>
                    </w:rPr>
                  </w:pPr>
                  <w:r>
                    <w:rPr>
                      <w:rFonts w:hint="default" w:ascii="Times New Roman" w:hAnsi="Times New Roman" w:eastAsia="宋体" w:cs="Times New Roman"/>
                      <w:i w:val="0"/>
                      <w:iCs w:val="0"/>
                      <w:color w:val="000000"/>
                      <w:kern w:val="0"/>
                      <w:sz w:val="18"/>
                      <w:szCs w:val="18"/>
                      <w:highlight w:val="none"/>
                      <w:u w:val="none"/>
                      <w:lang w:val="en-US" w:eastAsia="zh-CN" w:bidi="ar"/>
                    </w:rPr>
                    <w:t>1</w:t>
                  </w:r>
                </w:p>
              </w:tc>
              <w:tc>
                <w:tcPr>
                  <w:tcW w:w="1678" w:type="pct"/>
                  <w:tcBorders>
                    <w:tl2br w:val="nil"/>
                    <w:tr2bl w:val="nil"/>
                  </w:tcBorders>
                  <w:shd w:val="clear" w:color="auto" w:fill="FFFFFF"/>
                  <w:vAlign w:val="center"/>
                </w:tcPr>
                <w:p w14:paraId="43B939F9">
                  <w:pPr>
                    <w:keepNext w:val="0"/>
                    <w:keepLines w:val="0"/>
                    <w:pageBreakBefore w:val="0"/>
                    <w:widowControl/>
                    <w:suppressLineNumbers w:val="0"/>
                    <w:kinsoku/>
                    <w:wordWrap/>
                    <w:overflowPunct/>
                    <w:topLinePunct w:val="0"/>
                    <w:bidi w:val="0"/>
                    <w:adjustRightInd w:val="0"/>
                    <w:snapToGrid w:val="0"/>
                    <w:spacing w:before="0" w:beforeAutospacing="0" w:after="0" w:afterAutospacing="0" w:line="276" w:lineRule="auto"/>
                    <w:ind w:left="0" w:right="0"/>
                    <w:jc w:val="center"/>
                    <w:textAlignment w:val="center"/>
                    <w:rPr>
                      <w:rFonts w:hint="default" w:ascii="Times New Roman" w:hAnsi="Times New Roman" w:eastAsia="宋体" w:cs="Times New Roman"/>
                      <w:color w:val="auto"/>
                      <w:sz w:val="18"/>
                      <w:szCs w:val="18"/>
                      <w:highlight w:val="none"/>
                    </w:rPr>
                  </w:pPr>
                  <w:r>
                    <w:rPr>
                      <w:rFonts w:hint="default" w:ascii="Times New Roman" w:hAnsi="Times New Roman" w:eastAsia="宋体" w:cs="Times New Roman"/>
                      <w:i w:val="0"/>
                      <w:iCs w:val="0"/>
                      <w:color w:val="000000"/>
                      <w:kern w:val="0"/>
                      <w:sz w:val="18"/>
                      <w:szCs w:val="18"/>
                      <w:highlight w:val="none"/>
                      <w:u w:val="none"/>
                      <w:lang w:val="en-US" w:eastAsia="zh-CN" w:bidi="ar"/>
                    </w:rPr>
                    <w:t>外准备间</w:t>
                  </w:r>
                </w:p>
              </w:tc>
            </w:tr>
            <w:tr w14:paraId="47E4CF8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FFFFFF"/>
                <w:tblCellMar>
                  <w:top w:w="0" w:type="dxa"/>
                  <w:left w:w="28" w:type="dxa"/>
                  <w:bottom w:w="0" w:type="dxa"/>
                  <w:right w:w="28" w:type="dxa"/>
                </w:tblCellMar>
              </w:tblPrEx>
              <w:trPr>
                <w:trHeight w:val="0" w:hRule="atLeast"/>
              </w:trPr>
              <w:tc>
                <w:tcPr>
                  <w:tcW w:w="235" w:type="pct"/>
                  <w:tcBorders>
                    <w:tl2br w:val="nil"/>
                    <w:tr2bl w:val="nil"/>
                  </w:tcBorders>
                  <w:shd w:val="clear" w:color="auto" w:fill="FFFFFF"/>
                  <w:noWrap/>
                  <w:vAlign w:val="center"/>
                </w:tcPr>
                <w:p w14:paraId="5E54FC2F">
                  <w:pPr>
                    <w:keepNext w:val="0"/>
                    <w:keepLines w:val="0"/>
                    <w:pageBreakBefore w:val="0"/>
                    <w:widowControl/>
                    <w:suppressLineNumbers w:val="0"/>
                    <w:kinsoku/>
                    <w:wordWrap/>
                    <w:overflowPunct/>
                    <w:topLinePunct w:val="0"/>
                    <w:bidi w:val="0"/>
                    <w:adjustRightInd w:val="0"/>
                    <w:snapToGrid w:val="0"/>
                    <w:spacing w:before="0" w:beforeAutospacing="0" w:after="0" w:afterAutospacing="0" w:line="276" w:lineRule="auto"/>
                    <w:ind w:left="0" w:right="0"/>
                    <w:jc w:val="center"/>
                    <w:textAlignment w:val="center"/>
                    <w:rPr>
                      <w:rFonts w:hint="default" w:ascii="Times New Roman" w:hAnsi="Times New Roman" w:eastAsia="宋体" w:cs="Times New Roman"/>
                      <w:color w:val="auto"/>
                      <w:sz w:val="18"/>
                      <w:szCs w:val="18"/>
                      <w:highlight w:val="none"/>
                      <w:lang w:val="en-US" w:eastAsia="zh-CN"/>
                    </w:rPr>
                  </w:pPr>
                  <w:r>
                    <w:rPr>
                      <w:rFonts w:hint="default" w:ascii="Times New Roman" w:hAnsi="Times New Roman" w:eastAsia="宋体" w:cs="Times New Roman"/>
                      <w:i w:val="0"/>
                      <w:iCs w:val="0"/>
                      <w:color w:val="000000"/>
                      <w:kern w:val="0"/>
                      <w:sz w:val="18"/>
                      <w:szCs w:val="18"/>
                      <w:highlight w:val="none"/>
                      <w:u w:val="none"/>
                      <w:lang w:val="en-US" w:eastAsia="zh-CN" w:bidi="ar"/>
                    </w:rPr>
                    <w:t>35</w:t>
                  </w:r>
                </w:p>
              </w:tc>
              <w:tc>
                <w:tcPr>
                  <w:tcW w:w="349" w:type="pct"/>
                  <w:vMerge w:val="continue"/>
                  <w:tcBorders>
                    <w:tl2br w:val="nil"/>
                    <w:tr2bl w:val="nil"/>
                  </w:tcBorders>
                  <w:shd w:val="clear" w:color="auto" w:fill="FFFFFF"/>
                  <w:vAlign w:val="center"/>
                </w:tcPr>
                <w:p w14:paraId="7CBA2630">
                  <w:pPr>
                    <w:keepNext w:val="0"/>
                    <w:keepLines w:val="0"/>
                    <w:pageBreakBefore w:val="0"/>
                    <w:widowControl/>
                    <w:suppressLineNumbers w:val="0"/>
                    <w:kinsoku/>
                    <w:wordWrap/>
                    <w:overflowPunct/>
                    <w:topLinePunct w:val="0"/>
                    <w:bidi w:val="0"/>
                    <w:adjustRightInd w:val="0"/>
                    <w:snapToGrid w:val="0"/>
                    <w:spacing w:before="0" w:beforeAutospacing="0" w:after="0" w:afterAutospacing="0" w:line="276" w:lineRule="auto"/>
                    <w:ind w:left="0" w:right="0"/>
                    <w:jc w:val="center"/>
                    <w:textAlignment w:val="center"/>
                    <w:rPr>
                      <w:rFonts w:hint="default" w:ascii="Times New Roman" w:hAnsi="Times New Roman" w:eastAsia="宋体" w:cs="Times New Roman"/>
                      <w:color w:val="auto"/>
                      <w:sz w:val="18"/>
                      <w:szCs w:val="18"/>
                      <w:highlight w:val="none"/>
                      <w:lang w:val="en-US" w:eastAsia="zh-CN"/>
                    </w:rPr>
                  </w:pPr>
                </w:p>
              </w:tc>
              <w:tc>
                <w:tcPr>
                  <w:tcW w:w="1015" w:type="pct"/>
                  <w:tcBorders>
                    <w:tl2br w:val="nil"/>
                    <w:tr2bl w:val="nil"/>
                  </w:tcBorders>
                  <w:shd w:val="clear" w:color="auto" w:fill="FFFFFF"/>
                  <w:vAlign w:val="center"/>
                </w:tcPr>
                <w:p w14:paraId="0BDFC61F">
                  <w:pPr>
                    <w:keepNext w:val="0"/>
                    <w:keepLines w:val="0"/>
                    <w:pageBreakBefore w:val="0"/>
                    <w:widowControl/>
                    <w:suppressLineNumbers w:val="0"/>
                    <w:kinsoku/>
                    <w:wordWrap/>
                    <w:overflowPunct/>
                    <w:topLinePunct w:val="0"/>
                    <w:bidi w:val="0"/>
                    <w:adjustRightInd w:val="0"/>
                    <w:snapToGrid w:val="0"/>
                    <w:spacing w:before="0" w:beforeAutospacing="0" w:after="0" w:afterAutospacing="0" w:line="276" w:lineRule="auto"/>
                    <w:ind w:left="0" w:right="0"/>
                    <w:jc w:val="center"/>
                    <w:textAlignment w:val="center"/>
                    <w:rPr>
                      <w:rFonts w:hint="default" w:ascii="Times New Roman" w:hAnsi="Times New Roman" w:eastAsia="宋体" w:cs="Times New Roman"/>
                      <w:color w:val="auto"/>
                      <w:kern w:val="2"/>
                      <w:sz w:val="18"/>
                      <w:szCs w:val="18"/>
                      <w:highlight w:val="none"/>
                      <w:lang w:val="en-US" w:eastAsia="zh-CN" w:bidi="ar-SA"/>
                    </w:rPr>
                  </w:pPr>
                  <w:r>
                    <w:rPr>
                      <w:rFonts w:hint="default" w:ascii="Times New Roman" w:hAnsi="Times New Roman" w:eastAsia="宋体" w:cs="Times New Roman"/>
                      <w:i w:val="0"/>
                      <w:iCs w:val="0"/>
                      <w:color w:val="000000"/>
                      <w:kern w:val="0"/>
                      <w:sz w:val="18"/>
                      <w:szCs w:val="18"/>
                      <w:highlight w:val="none"/>
                      <w:u w:val="none"/>
                      <w:lang w:val="en-US" w:eastAsia="zh-CN" w:bidi="ar"/>
                    </w:rPr>
                    <w:t>消毒传递窗</w:t>
                  </w:r>
                </w:p>
              </w:tc>
              <w:tc>
                <w:tcPr>
                  <w:tcW w:w="1436" w:type="pct"/>
                  <w:tcBorders>
                    <w:tl2br w:val="nil"/>
                    <w:tr2bl w:val="nil"/>
                  </w:tcBorders>
                  <w:shd w:val="clear" w:color="auto" w:fill="FFFFFF"/>
                  <w:noWrap/>
                  <w:vAlign w:val="center"/>
                </w:tcPr>
                <w:p w14:paraId="5348E478">
                  <w:pPr>
                    <w:keepNext w:val="0"/>
                    <w:keepLines w:val="0"/>
                    <w:pageBreakBefore w:val="0"/>
                    <w:widowControl/>
                    <w:suppressLineNumbers w:val="0"/>
                    <w:kinsoku/>
                    <w:wordWrap/>
                    <w:overflowPunct/>
                    <w:topLinePunct w:val="0"/>
                    <w:bidi w:val="0"/>
                    <w:adjustRightInd w:val="0"/>
                    <w:snapToGrid w:val="0"/>
                    <w:spacing w:before="0" w:beforeAutospacing="0" w:after="0" w:afterAutospacing="0" w:line="276" w:lineRule="auto"/>
                    <w:ind w:left="0" w:right="0"/>
                    <w:jc w:val="center"/>
                    <w:textAlignment w:val="center"/>
                    <w:rPr>
                      <w:rFonts w:hint="default" w:ascii="Times New Roman" w:hAnsi="Times New Roman" w:eastAsia="宋体" w:cs="Times New Roman"/>
                      <w:color w:val="auto"/>
                      <w:sz w:val="18"/>
                      <w:szCs w:val="18"/>
                      <w:highlight w:val="none"/>
                      <w:lang w:val="en-US" w:eastAsia="zh-CN"/>
                    </w:rPr>
                  </w:pPr>
                  <w:r>
                    <w:rPr>
                      <w:rFonts w:hint="default" w:ascii="Times New Roman" w:hAnsi="Times New Roman" w:eastAsia="宋体" w:cs="Times New Roman"/>
                      <w:i w:val="0"/>
                      <w:iCs w:val="0"/>
                      <w:color w:val="000000"/>
                      <w:kern w:val="0"/>
                      <w:sz w:val="18"/>
                      <w:szCs w:val="18"/>
                      <w:highlight w:val="none"/>
                      <w:u w:val="none"/>
                      <w:lang w:val="en-US" w:eastAsia="zh-CN" w:bidi="ar"/>
                    </w:rPr>
                    <w:t>900</w:t>
                  </w:r>
                  <w:r>
                    <w:rPr>
                      <w:rFonts w:hint="default" w:ascii="Times New Roman" w:hAnsi="Times New Roman" w:eastAsia="宋体" w:cs="Times New Roman"/>
                      <w:color w:val="auto"/>
                      <w:sz w:val="18"/>
                      <w:szCs w:val="18"/>
                      <w:highlight w:val="none"/>
                      <w:lang w:val="en-US" w:eastAsia="zh-CN"/>
                    </w:rPr>
                    <w:t>mm</w:t>
                  </w:r>
                  <w:r>
                    <w:rPr>
                      <w:rFonts w:hint="default" w:ascii="Times New Roman" w:hAnsi="Times New Roman" w:eastAsia="宋体" w:cs="Times New Roman"/>
                      <w:i w:val="0"/>
                      <w:iCs w:val="0"/>
                      <w:color w:val="000000"/>
                      <w:kern w:val="0"/>
                      <w:sz w:val="18"/>
                      <w:szCs w:val="18"/>
                      <w:highlight w:val="none"/>
                      <w:u w:val="none"/>
                      <w:lang w:val="en-US" w:eastAsia="zh-CN" w:bidi="ar"/>
                    </w:rPr>
                    <w:t>×664</w:t>
                  </w:r>
                  <w:r>
                    <w:rPr>
                      <w:rFonts w:hint="default" w:ascii="Times New Roman" w:hAnsi="Times New Roman" w:eastAsia="宋体" w:cs="Times New Roman"/>
                      <w:color w:val="auto"/>
                      <w:sz w:val="18"/>
                      <w:szCs w:val="18"/>
                      <w:highlight w:val="none"/>
                      <w:lang w:val="en-US" w:eastAsia="zh-CN"/>
                    </w:rPr>
                    <w:t>mm</w:t>
                  </w:r>
                  <w:r>
                    <w:rPr>
                      <w:rFonts w:hint="default" w:ascii="Times New Roman" w:hAnsi="Times New Roman" w:eastAsia="宋体" w:cs="Times New Roman"/>
                      <w:i w:val="0"/>
                      <w:iCs w:val="0"/>
                      <w:color w:val="000000"/>
                      <w:kern w:val="0"/>
                      <w:sz w:val="18"/>
                      <w:szCs w:val="18"/>
                      <w:highlight w:val="none"/>
                      <w:u w:val="none"/>
                      <w:lang w:val="en-US" w:eastAsia="zh-CN" w:bidi="ar"/>
                    </w:rPr>
                    <w:t>×900</w:t>
                  </w:r>
                  <w:r>
                    <w:rPr>
                      <w:rFonts w:hint="default" w:ascii="Times New Roman" w:hAnsi="Times New Roman" w:eastAsia="宋体" w:cs="Times New Roman"/>
                      <w:color w:val="auto"/>
                      <w:sz w:val="18"/>
                      <w:szCs w:val="18"/>
                      <w:highlight w:val="none"/>
                      <w:lang w:val="en-US" w:eastAsia="zh-CN"/>
                    </w:rPr>
                    <w:t>mm</w:t>
                  </w:r>
                </w:p>
              </w:tc>
              <w:tc>
                <w:tcPr>
                  <w:tcW w:w="284" w:type="pct"/>
                  <w:tcBorders>
                    <w:tl2br w:val="nil"/>
                    <w:tr2bl w:val="nil"/>
                  </w:tcBorders>
                  <w:shd w:val="clear" w:color="auto" w:fill="FFFFFF"/>
                  <w:vAlign w:val="center"/>
                </w:tcPr>
                <w:p w14:paraId="572CDA6B">
                  <w:pPr>
                    <w:keepNext w:val="0"/>
                    <w:keepLines w:val="0"/>
                    <w:pageBreakBefore w:val="0"/>
                    <w:widowControl/>
                    <w:suppressLineNumbers w:val="0"/>
                    <w:kinsoku/>
                    <w:wordWrap/>
                    <w:overflowPunct/>
                    <w:topLinePunct w:val="0"/>
                    <w:bidi w:val="0"/>
                    <w:adjustRightInd w:val="0"/>
                    <w:snapToGrid w:val="0"/>
                    <w:spacing w:before="0" w:beforeAutospacing="0" w:after="0" w:afterAutospacing="0" w:line="276" w:lineRule="auto"/>
                    <w:ind w:left="0" w:right="0"/>
                    <w:jc w:val="center"/>
                    <w:textAlignment w:val="center"/>
                    <w:rPr>
                      <w:rFonts w:hint="default" w:ascii="Times New Roman" w:hAnsi="Times New Roman" w:eastAsia="宋体" w:cs="Times New Roman"/>
                      <w:color w:val="auto"/>
                      <w:sz w:val="18"/>
                      <w:szCs w:val="18"/>
                      <w:highlight w:val="none"/>
                    </w:rPr>
                  </w:pPr>
                  <w:r>
                    <w:rPr>
                      <w:rFonts w:hint="default" w:ascii="Times New Roman" w:hAnsi="Times New Roman" w:eastAsia="宋体" w:cs="Times New Roman"/>
                      <w:i w:val="0"/>
                      <w:iCs w:val="0"/>
                      <w:color w:val="000000"/>
                      <w:kern w:val="0"/>
                      <w:sz w:val="18"/>
                      <w:szCs w:val="18"/>
                      <w:highlight w:val="none"/>
                      <w:u w:val="none"/>
                      <w:lang w:val="en-US" w:eastAsia="zh-CN" w:bidi="ar"/>
                    </w:rPr>
                    <w:t>3</w:t>
                  </w:r>
                </w:p>
              </w:tc>
              <w:tc>
                <w:tcPr>
                  <w:tcW w:w="1678" w:type="pct"/>
                  <w:tcBorders>
                    <w:tl2br w:val="nil"/>
                    <w:tr2bl w:val="nil"/>
                  </w:tcBorders>
                  <w:shd w:val="clear" w:color="auto" w:fill="FFFFFF"/>
                  <w:vAlign w:val="center"/>
                </w:tcPr>
                <w:p w14:paraId="65F703EF">
                  <w:pPr>
                    <w:keepNext w:val="0"/>
                    <w:keepLines w:val="0"/>
                    <w:pageBreakBefore w:val="0"/>
                    <w:widowControl/>
                    <w:suppressLineNumbers w:val="0"/>
                    <w:kinsoku/>
                    <w:wordWrap/>
                    <w:overflowPunct/>
                    <w:topLinePunct w:val="0"/>
                    <w:bidi w:val="0"/>
                    <w:adjustRightInd w:val="0"/>
                    <w:snapToGrid w:val="0"/>
                    <w:spacing w:before="0" w:beforeAutospacing="0" w:after="0" w:afterAutospacing="0" w:line="276" w:lineRule="auto"/>
                    <w:ind w:left="0" w:right="0"/>
                    <w:jc w:val="center"/>
                    <w:textAlignment w:val="center"/>
                    <w:rPr>
                      <w:rFonts w:hint="default" w:ascii="Times New Roman" w:hAnsi="Times New Roman" w:eastAsia="宋体" w:cs="Times New Roman"/>
                      <w:color w:val="auto"/>
                      <w:sz w:val="18"/>
                      <w:szCs w:val="18"/>
                      <w:highlight w:val="none"/>
                    </w:rPr>
                  </w:pPr>
                  <w:r>
                    <w:rPr>
                      <w:rFonts w:hint="default" w:ascii="Times New Roman" w:hAnsi="Times New Roman" w:eastAsia="宋体" w:cs="Times New Roman"/>
                      <w:i w:val="0"/>
                      <w:iCs w:val="0"/>
                      <w:color w:val="000000"/>
                      <w:kern w:val="0"/>
                      <w:sz w:val="18"/>
                      <w:szCs w:val="18"/>
                      <w:highlight w:val="none"/>
                      <w:u w:val="none"/>
                      <w:lang w:val="en-US" w:eastAsia="zh-CN" w:bidi="ar"/>
                    </w:rPr>
                    <w:t>外准备间、脱包室、传递间</w:t>
                  </w:r>
                </w:p>
              </w:tc>
            </w:tr>
            <w:tr w14:paraId="7448EB0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0" w:hRule="atLeast"/>
              </w:trPr>
              <w:tc>
                <w:tcPr>
                  <w:tcW w:w="235" w:type="pct"/>
                  <w:tcBorders>
                    <w:tl2br w:val="nil"/>
                    <w:tr2bl w:val="nil"/>
                  </w:tcBorders>
                  <w:shd w:val="clear" w:color="auto" w:fill="FFFFFF"/>
                  <w:noWrap/>
                  <w:vAlign w:val="center"/>
                </w:tcPr>
                <w:p w14:paraId="5584BD9C">
                  <w:pPr>
                    <w:keepNext w:val="0"/>
                    <w:keepLines w:val="0"/>
                    <w:pageBreakBefore w:val="0"/>
                    <w:widowControl/>
                    <w:suppressLineNumbers w:val="0"/>
                    <w:kinsoku/>
                    <w:wordWrap/>
                    <w:overflowPunct/>
                    <w:topLinePunct w:val="0"/>
                    <w:bidi w:val="0"/>
                    <w:adjustRightInd w:val="0"/>
                    <w:snapToGrid w:val="0"/>
                    <w:spacing w:before="0" w:beforeAutospacing="0" w:after="0" w:afterAutospacing="0" w:line="276" w:lineRule="auto"/>
                    <w:ind w:left="0" w:right="0"/>
                    <w:jc w:val="center"/>
                    <w:textAlignment w:val="center"/>
                    <w:rPr>
                      <w:rFonts w:hint="default" w:ascii="Times New Roman" w:hAnsi="Times New Roman" w:eastAsia="宋体" w:cs="Times New Roman"/>
                      <w:color w:val="auto"/>
                      <w:sz w:val="18"/>
                      <w:szCs w:val="18"/>
                      <w:highlight w:val="none"/>
                      <w:lang w:val="en-US" w:eastAsia="zh-CN"/>
                    </w:rPr>
                  </w:pPr>
                  <w:r>
                    <w:rPr>
                      <w:rFonts w:hint="default" w:ascii="Times New Roman" w:hAnsi="Times New Roman" w:eastAsia="宋体" w:cs="Times New Roman"/>
                      <w:i w:val="0"/>
                      <w:iCs w:val="0"/>
                      <w:color w:val="000000"/>
                      <w:kern w:val="0"/>
                      <w:sz w:val="18"/>
                      <w:szCs w:val="18"/>
                      <w:highlight w:val="none"/>
                      <w:u w:val="none"/>
                      <w:lang w:val="en-US" w:eastAsia="zh-CN" w:bidi="ar"/>
                    </w:rPr>
                    <w:t>36</w:t>
                  </w:r>
                </w:p>
              </w:tc>
              <w:tc>
                <w:tcPr>
                  <w:tcW w:w="349" w:type="pct"/>
                  <w:vMerge w:val="continue"/>
                  <w:tcBorders>
                    <w:tl2br w:val="nil"/>
                    <w:tr2bl w:val="nil"/>
                  </w:tcBorders>
                  <w:shd w:val="clear" w:color="auto" w:fill="FFFFFF"/>
                  <w:vAlign w:val="center"/>
                </w:tcPr>
                <w:p w14:paraId="3E717BFB">
                  <w:pPr>
                    <w:keepNext w:val="0"/>
                    <w:keepLines w:val="0"/>
                    <w:pageBreakBefore w:val="0"/>
                    <w:widowControl/>
                    <w:suppressLineNumbers w:val="0"/>
                    <w:kinsoku/>
                    <w:wordWrap/>
                    <w:overflowPunct/>
                    <w:topLinePunct w:val="0"/>
                    <w:bidi w:val="0"/>
                    <w:adjustRightInd w:val="0"/>
                    <w:snapToGrid w:val="0"/>
                    <w:spacing w:before="0" w:beforeAutospacing="0" w:after="0" w:afterAutospacing="0" w:line="276" w:lineRule="auto"/>
                    <w:ind w:left="0" w:right="0"/>
                    <w:jc w:val="center"/>
                    <w:textAlignment w:val="center"/>
                    <w:rPr>
                      <w:rFonts w:hint="default" w:ascii="Times New Roman" w:hAnsi="Times New Roman" w:eastAsia="宋体" w:cs="Times New Roman"/>
                      <w:color w:val="auto"/>
                      <w:sz w:val="18"/>
                      <w:szCs w:val="18"/>
                      <w:highlight w:val="none"/>
                      <w:lang w:val="en-US" w:eastAsia="zh-CN"/>
                    </w:rPr>
                  </w:pPr>
                </w:p>
              </w:tc>
              <w:tc>
                <w:tcPr>
                  <w:tcW w:w="1015" w:type="pct"/>
                  <w:tcBorders>
                    <w:tl2br w:val="nil"/>
                    <w:tr2bl w:val="nil"/>
                  </w:tcBorders>
                  <w:shd w:val="clear" w:color="auto" w:fill="FFFFFF"/>
                  <w:vAlign w:val="center"/>
                </w:tcPr>
                <w:p w14:paraId="1752AE1F">
                  <w:pPr>
                    <w:keepNext w:val="0"/>
                    <w:keepLines w:val="0"/>
                    <w:pageBreakBefore w:val="0"/>
                    <w:widowControl/>
                    <w:suppressLineNumbers w:val="0"/>
                    <w:kinsoku/>
                    <w:wordWrap/>
                    <w:overflowPunct/>
                    <w:topLinePunct w:val="0"/>
                    <w:bidi w:val="0"/>
                    <w:adjustRightInd w:val="0"/>
                    <w:snapToGrid w:val="0"/>
                    <w:spacing w:before="0" w:beforeAutospacing="0" w:after="0" w:afterAutospacing="0" w:line="276" w:lineRule="auto"/>
                    <w:ind w:left="0" w:right="0"/>
                    <w:jc w:val="center"/>
                    <w:textAlignment w:val="center"/>
                    <w:rPr>
                      <w:rFonts w:hint="default" w:ascii="Times New Roman" w:hAnsi="Times New Roman" w:eastAsia="宋体" w:cs="Times New Roman"/>
                      <w:color w:val="auto"/>
                      <w:kern w:val="2"/>
                      <w:sz w:val="18"/>
                      <w:szCs w:val="18"/>
                      <w:highlight w:val="none"/>
                      <w:lang w:val="en-US" w:eastAsia="zh-CN" w:bidi="ar-SA"/>
                    </w:rPr>
                  </w:pPr>
                  <w:r>
                    <w:rPr>
                      <w:rFonts w:hint="default" w:ascii="Times New Roman" w:hAnsi="Times New Roman" w:eastAsia="宋体" w:cs="Times New Roman"/>
                      <w:i w:val="0"/>
                      <w:iCs w:val="0"/>
                      <w:color w:val="000000"/>
                      <w:kern w:val="0"/>
                      <w:sz w:val="18"/>
                      <w:szCs w:val="18"/>
                      <w:highlight w:val="none"/>
                      <w:u w:val="none"/>
                      <w:lang w:val="en-US" w:eastAsia="zh-CN" w:bidi="ar"/>
                    </w:rPr>
                    <w:t>饮水瓶全自动灌装机</w:t>
                  </w:r>
                </w:p>
              </w:tc>
              <w:tc>
                <w:tcPr>
                  <w:tcW w:w="1436" w:type="pct"/>
                  <w:tcBorders>
                    <w:tl2br w:val="nil"/>
                    <w:tr2bl w:val="nil"/>
                  </w:tcBorders>
                  <w:shd w:val="clear" w:color="auto" w:fill="FFFFFF"/>
                  <w:noWrap/>
                  <w:vAlign w:val="center"/>
                </w:tcPr>
                <w:p w14:paraId="2450FFCE">
                  <w:pPr>
                    <w:keepNext w:val="0"/>
                    <w:keepLines w:val="0"/>
                    <w:pageBreakBefore w:val="0"/>
                    <w:widowControl/>
                    <w:suppressLineNumbers w:val="0"/>
                    <w:kinsoku/>
                    <w:wordWrap/>
                    <w:overflowPunct/>
                    <w:topLinePunct w:val="0"/>
                    <w:bidi w:val="0"/>
                    <w:adjustRightInd w:val="0"/>
                    <w:snapToGrid w:val="0"/>
                    <w:spacing w:before="0" w:beforeAutospacing="0" w:after="0" w:afterAutospacing="0" w:line="276" w:lineRule="auto"/>
                    <w:ind w:left="0" w:right="0"/>
                    <w:jc w:val="center"/>
                    <w:textAlignment w:val="center"/>
                    <w:rPr>
                      <w:rFonts w:hint="default" w:ascii="Times New Roman" w:hAnsi="Times New Roman" w:eastAsia="宋体" w:cs="Times New Roman"/>
                      <w:color w:val="auto"/>
                      <w:sz w:val="18"/>
                      <w:szCs w:val="18"/>
                      <w:highlight w:val="none"/>
                      <w:lang w:val="en-US" w:eastAsia="zh-CN"/>
                    </w:rPr>
                  </w:pPr>
                  <w:r>
                    <w:rPr>
                      <w:rFonts w:hint="default" w:ascii="Times New Roman" w:hAnsi="Times New Roman" w:eastAsia="宋体" w:cs="Times New Roman"/>
                      <w:i w:val="0"/>
                      <w:iCs w:val="0"/>
                      <w:color w:val="000000"/>
                      <w:kern w:val="0"/>
                      <w:sz w:val="18"/>
                      <w:szCs w:val="18"/>
                      <w:highlight w:val="none"/>
                      <w:u w:val="none"/>
                      <w:lang w:val="en-US" w:eastAsia="zh-CN" w:bidi="ar"/>
                    </w:rPr>
                    <w:t>750</w:t>
                  </w:r>
                  <w:r>
                    <w:rPr>
                      <w:rFonts w:hint="default" w:ascii="Times New Roman" w:hAnsi="Times New Roman" w:eastAsia="宋体" w:cs="Times New Roman"/>
                      <w:color w:val="auto"/>
                      <w:sz w:val="18"/>
                      <w:szCs w:val="18"/>
                      <w:highlight w:val="none"/>
                      <w:lang w:val="en-US" w:eastAsia="zh-CN"/>
                    </w:rPr>
                    <w:t>mm</w:t>
                  </w:r>
                  <w:r>
                    <w:rPr>
                      <w:rFonts w:hint="default" w:ascii="Times New Roman" w:hAnsi="Times New Roman" w:eastAsia="宋体" w:cs="Times New Roman"/>
                      <w:i w:val="0"/>
                      <w:iCs w:val="0"/>
                      <w:color w:val="000000"/>
                      <w:kern w:val="0"/>
                      <w:sz w:val="18"/>
                      <w:szCs w:val="18"/>
                      <w:highlight w:val="none"/>
                      <w:u w:val="none"/>
                      <w:lang w:val="en-US" w:eastAsia="zh-CN" w:bidi="ar"/>
                    </w:rPr>
                    <w:t>×770</w:t>
                  </w:r>
                  <w:r>
                    <w:rPr>
                      <w:rFonts w:hint="default" w:ascii="Times New Roman" w:hAnsi="Times New Roman" w:eastAsia="宋体" w:cs="Times New Roman"/>
                      <w:color w:val="auto"/>
                      <w:sz w:val="18"/>
                      <w:szCs w:val="18"/>
                      <w:highlight w:val="none"/>
                      <w:lang w:val="en-US" w:eastAsia="zh-CN"/>
                    </w:rPr>
                    <w:t>mm</w:t>
                  </w:r>
                  <w:r>
                    <w:rPr>
                      <w:rFonts w:hint="default" w:ascii="Times New Roman" w:hAnsi="Times New Roman" w:eastAsia="宋体" w:cs="Times New Roman"/>
                      <w:i w:val="0"/>
                      <w:iCs w:val="0"/>
                      <w:color w:val="000000"/>
                      <w:kern w:val="0"/>
                      <w:sz w:val="18"/>
                      <w:szCs w:val="18"/>
                      <w:highlight w:val="none"/>
                      <w:u w:val="none"/>
                      <w:lang w:val="en-US" w:eastAsia="zh-CN" w:bidi="ar"/>
                    </w:rPr>
                    <w:t>×1536</w:t>
                  </w:r>
                  <w:r>
                    <w:rPr>
                      <w:rFonts w:hint="default" w:ascii="Times New Roman" w:hAnsi="Times New Roman" w:eastAsia="宋体" w:cs="Times New Roman"/>
                      <w:color w:val="auto"/>
                      <w:sz w:val="18"/>
                      <w:szCs w:val="18"/>
                      <w:highlight w:val="none"/>
                      <w:lang w:val="en-US" w:eastAsia="zh-CN"/>
                    </w:rPr>
                    <w:t>mm</w:t>
                  </w:r>
                </w:p>
              </w:tc>
              <w:tc>
                <w:tcPr>
                  <w:tcW w:w="284" w:type="pct"/>
                  <w:tcBorders>
                    <w:tl2br w:val="nil"/>
                    <w:tr2bl w:val="nil"/>
                  </w:tcBorders>
                  <w:shd w:val="clear" w:color="auto" w:fill="FFFFFF"/>
                  <w:vAlign w:val="center"/>
                </w:tcPr>
                <w:p w14:paraId="4EC22891">
                  <w:pPr>
                    <w:keepNext w:val="0"/>
                    <w:keepLines w:val="0"/>
                    <w:pageBreakBefore w:val="0"/>
                    <w:widowControl/>
                    <w:suppressLineNumbers w:val="0"/>
                    <w:kinsoku/>
                    <w:wordWrap/>
                    <w:overflowPunct/>
                    <w:topLinePunct w:val="0"/>
                    <w:bidi w:val="0"/>
                    <w:adjustRightInd w:val="0"/>
                    <w:snapToGrid w:val="0"/>
                    <w:spacing w:before="0" w:beforeAutospacing="0" w:after="0" w:afterAutospacing="0" w:line="276" w:lineRule="auto"/>
                    <w:ind w:left="0" w:right="0"/>
                    <w:jc w:val="center"/>
                    <w:textAlignment w:val="center"/>
                    <w:rPr>
                      <w:rFonts w:hint="default" w:ascii="Times New Roman" w:hAnsi="Times New Roman" w:eastAsia="宋体" w:cs="Times New Roman"/>
                      <w:color w:val="auto"/>
                      <w:sz w:val="18"/>
                      <w:szCs w:val="18"/>
                      <w:highlight w:val="none"/>
                    </w:rPr>
                  </w:pPr>
                  <w:r>
                    <w:rPr>
                      <w:rFonts w:hint="default" w:ascii="Times New Roman" w:hAnsi="Times New Roman" w:eastAsia="宋体" w:cs="Times New Roman"/>
                      <w:i w:val="0"/>
                      <w:iCs w:val="0"/>
                      <w:color w:val="000000"/>
                      <w:kern w:val="0"/>
                      <w:sz w:val="18"/>
                      <w:szCs w:val="18"/>
                      <w:highlight w:val="none"/>
                      <w:u w:val="none"/>
                      <w:lang w:val="en-US" w:eastAsia="zh-CN" w:bidi="ar"/>
                    </w:rPr>
                    <w:t>1</w:t>
                  </w:r>
                </w:p>
              </w:tc>
              <w:tc>
                <w:tcPr>
                  <w:tcW w:w="1678" w:type="pct"/>
                  <w:tcBorders>
                    <w:tl2br w:val="nil"/>
                    <w:tr2bl w:val="nil"/>
                  </w:tcBorders>
                  <w:shd w:val="clear" w:color="auto" w:fill="FFFFFF"/>
                  <w:vAlign w:val="center"/>
                </w:tcPr>
                <w:p w14:paraId="758F9B8C">
                  <w:pPr>
                    <w:keepNext w:val="0"/>
                    <w:keepLines w:val="0"/>
                    <w:pageBreakBefore w:val="0"/>
                    <w:widowControl/>
                    <w:suppressLineNumbers w:val="0"/>
                    <w:kinsoku/>
                    <w:wordWrap/>
                    <w:overflowPunct/>
                    <w:topLinePunct w:val="0"/>
                    <w:bidi w:val="0"/>
                    <w:adjustRightInd w:val="0"/>
                    <w:snapToGrid w:val="0"/>
                    <w:spacing w:before="0" w:beforeAutospacing="0" w:after="0" w:afterAutospacing="0" w:line="276" w:lineRule="auto"/>
                    <w:ind w:left="0" w:right="0"/>
                    <w:jc w:val="center"/>
                    <w:textAlignment w:val="center"/>
                    <w:rPr>
                      <w:rFonts w:hint="default" w:ascii="Times New Roman" w:hAnsi="Times New Roman" w:eastAsia="宋体" w:cs="Times New Roman"/>
                      <w:color w:val="auto"/>
                      <w:sz w:val="18"/>
                      <w:szCs w:val="18"/>
                      <w:highlight w:val="none"/>
                    </w:rPr>
                  </w:pPr>
                  <w:r>
                    <w:rPr>
                      <w:rFonts w:hint="default" w:ascii="Times New Roman" w:hAnsi="Times New Roman" w:eastAsia="宋体" w:cs="Times New Roman"/>
                      <w:i w:val="0"/>
                      <w:iCs w:val="0"/>
                      <w:color w:val="000000"/>
                      <w:kern w:val="0"/>
                      <w:sz w:val="18"/>
                      <w:szCs w:val="18"/>
                      <w:highlight w:val="none"/>
                      <w:u w:val="none"/>
                      <w:lang w:val="en-US" w:eastAsia="zh-CN" w:bidi="ar"/>
                    </w:rPr>
                    <w:t>内准备间</w:t>
                  </w:r>
                </w:p>
              </w:tc>
            </w:tr>
            <w:tr w14:paraId="17380CF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0" w:hRule="atLeast"/>
              </w:trPr>
              <w:tc>
                <w:tcPr>
                  <w:tcW w:w="235" w:type="pct"/>
                  <w:tcBorders>
                    <w:tl2br w:val="nil"/>
                    <w:tr2bl w:val="nil"/>
                  </w:tcBorders>
                  <w:shd w:val="clear" w:color="auto" w:fill="FFFFFF"/>
                  <w:noWrap/>
                  <w:vAlign w:val="center"/>
                </w:tcPr>
                <w:p w14:paraId="7093E6A4">
                  <w:pPr>
                    <w:keepNext w:val="0"/>
                    <w:keepLines w:val="0"/>
                    <w:pageBreakBefore w:val="0"/>
                    <w:widowControl/>
                    <w:suppressLineNumbers w:val="0"/>
                    <w:kinsoku/>
                    <w:wordWrap/>
                    <w:overflowPunct/>
                    <w:topLinePunct w:val="0"/>
                    <w:bidi w:val="0"/>
                    <w:adjustRightInd w:val="0"/>
                    <w:snapToGrid w:val="0"/>
                    <w:spacing w:before="0" w:beforeAutospacing="0" w:after="0" w:afterAutospacing="0" w:line="276" w:lineRule="auto"/>
                    <w:ind w:left="0" w:right="0"/>
                    <w:jc w:val="center"/>
                    <w:textAlignment w:val="center"/>
                    <w:rPr>
                      <w:rFonts w:hint="default" w:ascii="Times New Roman" w:hAnsi="Times New Roman" w:eastAsia="宋体" w:cs="Times New Roman"/>
                      <w:color w:val="auto"/>
                      <w:sz w:val="18"/>
                      <w:szCs w:val="18"/>
                      <w:highlight w:val="none"/>
                      <w:lang w:val="en-US" w:eastAsia="zh-CN"/>
                    </w:rPr>
                  </w:pPr>
                  <w:r>
                    <w:rPr>
                      <w:rFonts w:hint="default" w:ascii="Times New Roman" w:hAnsi="Times New Roman" w:eastAsia="宋体" w:cs="Times New Roman"/>
                      <w:i w:val="0"/>
                      <w:iCs w:val="0"/>
                      <w:color w:val="000000"/>
                      <w:kern w:val="0"/>
                      <w:sz w:val="18"/>
                      <w:szCs w:val="18"/>
                      <w:highlight w:val="none"/>
                      <w:u w:val="none"/>
                      <w:lang w:val="en-US" w:eastAsia="zh-CN" w:bidi="ar"/>
                    </w:rPr>
                    <w:t>37</w:t>
                  </w:r>
                </w:p>
              </w:tc>
              <w:tc>
                <w:tcPr>
                  <w:tcW w:w="349" w:type="pct"/>
                  <w:vMerge w:val="continue"/>
                  <w:tcBorders>
                    <w:tl2br w:val="nil"/>
                    <w:tr2bl w:val="nil"/>
                  </w:tcBorders>
                  <w:shd w:val="clear" w:color="auto" w:fill="FFFFFF"/>
                  <w:vAlign w:val="center"/>
                </w:tcPr>
                <w:p w14:paraId="59E12DE8">
                  <w:pPr>
                    <w:keepNext w:val="0"/>
                    <w:keepLines w:val="0"/>
                    <w:pageBreakBefore w:val="0"/>
                    <w:widowControl/>
                    <w:suppressLineNumbers w:val="0"/>
                    <w:kinsoku/>
                    <w:wordWrap/>
                    <w:overflowPunct/>
                    <w:topLinePunct w:val="0"/>
                    <w:bidi w:val="0"/>
                    <w:adjustRightInd w:val="0"/>
                    <w:snapToGrid w:val="0"/>
                    <w:spacing w:before="0" w:beforeAutospacing="0" w:after="0" w:afterAutospacing="0" w:line="276" w:lineRule="auto"/>
                    <w:ind w:left="0" w:right="0"/>
                    <w:jc w:val="center"/>
                    <w:textAlignment w:val="center"/>
                    <w:rPr>
                      <w:rFonts w:hint="default" w:ascii="Times New Roman" w:hAnsi="Times New Roman" w:eastAsia="宋体" w:cs="Times New Roman"/>
                      <w:color w:val="auto"/>
                      <w:sz w:val="18"/>
                      <w:szCs w:val="18"/>
                      <w:highlight w:val="none"/>
                      <w:lang w:val="en-US" w:eastAsia="zh-CN"/>
                    </w:rPr>
                  </w:pPr>
                </w:p>
              </w:tc>
              <w:tc>
                <w:tcPr>
                  <w:tcW w:w="1015" w:type="pct"/>
                  <w:tcBorders>
                    <w:tl2br w:val="nil"/>
                    <w:tr2bl w:val="nil"/>
                  </w:tcBorders>
                  <w:shd w:val="clear" w:color="auto" w:fill="FFFFFF"/>
                  <w:vAlign w:val="center"/>
                </w:tcPr>
                <w:p w14:paraId="755E2825">
                  <w:pPr>
                    <w:keepNext w:val="0"/>
                    <w:keepLines w:val="0"/>
                    <w:pageBreakBefore w:val="0"/>
                    <w:widowControl/>
                    <w:suppressLineNumbers w:val="0"/>
                    <w:kinsoku/>
                    <w:wordWrap/>
                    <w:overflowPunct/>
                    <w:topLinePunct w:val="0"/>
                    <w:bidi w:val="0"/>
                    <w:adjustRightInd w:val="0"/>
                    <w:snapToGrid w:val="0"/>
                    <w:spacing w:before="0" w:beforeAutospacing="0" w:after="0" w:afterAutospacing="0" w:line="276" w:lineRule="auto"/>
                    <w:ind w:left="0" w:right="0"/>
                    <w:jc w:val="center"/>
                    <w:textAlignment w:val="center"/>
                    <w:rPr>
                      <w:rFonts w:hint="default" w:ascii="Times New Roman" w:hAnsi="Times New Roman" w:eastAsia="宋体" w:cs="Times New Roman"/>
                      <w:color w:val="auto"/>
                      <w:kern w:val="2"/>
                      <w:sz w:val="18"/>
                      <w:szCs w:val="18"/>
                      <w:highlight w:val="none"/>
                      <w:lang w:val="en-US" w:eastAsia="zh-CN" w:bidi="ar-SA"/>
                    </w:rPr>
                  </w:pPr>
                  <w:r>
                    <w:rPr>
                      <w:rFonts w:hint="default" w:ascii="Times New Roman" w:hAnsi="Times New Roman" w:eastAsia="宋体" w:cs="Times New Roman"/>
                      <w:i w:val="0"/>
                      <w:iCs w:val="0"/>
                      <w:color w:val="000000"/>
                      <w:kern w:val="0"/>
                      <w:sz w:val="18"/>
                      <w:szCs w:val="18"/>
                      <w:highlight w:val="none"/>
                      <w:u w:val="none"/>
                      <w:lang w:val="en-US" w:eastAsia="zh-CN" w:bidi="ar"/>
                    </w:rPr>
                    <w:t>大小鼠软包隔离器</w:t>
                  </w:r>
                </w:p>
              </w:tc>
              <w:tc>
                <w:tcPr>
                  <w:tcW w:w="1436" w:type="pct"/>
                  <w:tcBorders>
                    <w:tl2br w:val="nil"/>
                    <w:tr2bl w:val="nil"/>
                  </w:tcBorders>
                  <w:shd w:val="clear" w:color="auto" w:fill="FFFFFF"/>
                  <w:noWrap/>
                  <w:vAlign w:val="center"/>
                </w:tcPr>
                <w:p w14:paraId="347910EE">
                  <w:pPr>
                    <w:keepNext w:val="0"/>
                    <w:keepLines w:val="0"/>
                    <w:pageBreakBefore w:val="0"/>
                    <w:widowControl/>
                    <w:suppressLineNumbers w:val="0"/>
                    <w:kinsoku/>
                    <w:wordWrap/>
                    <w:overflowPunct/>
                    <w:topLinePunct w:val="0"/>
                    <w:bidi w:val="0"/>
                    <w:adjustRightInd w:val="0"/>
                    <w:snapToGrid w:val="0"/>
                    <w:spacing w:before="0" w:beforeAutospacing="0" w:after="0" w:afterAutospacing="0" w:line="276" w:lineRule="auto"/>
                    <w:ind w:left="0" w:right="0"/>
                    <w:jc w:val="center"/>
                    <w:textAlignment w:val="center"/>
                    <w:rPr>
                      <w:rFonts w:hint="default" w:ascii="Times New Roman" w:hAnsi="Times New Roman" w:eastAsia="宋体" w:cs="Times New Roman"/>
                      <w:color w:val="auto"/>
                      <w:sz w:val="18"/>
                      <w:szCs w:val="18"/>
                      <w:highlight w:val="none"/>
                      <w:lang w:val="en-US" w:eastAsia="zh-CN"/>
                    </w:rPr>
                  </w:pPr>
                  <w:r>
                    <w:rPr>
                      <w:rFonts w:hint="default" w:ascii="Times New Roman" w:hAnsi="Times New Roman" w:eastAsia="宋体" w:cs="Times New Roman"/>
                      <w:i w:val="0"/>
                      <w:iCs w:val="0"/>
                      <w:color w:val="000000"/>
                      <w:kern w:val="0"/>
                      <w:sz w:val="18"/>
                      <w:szCs w:val="18"/>
                      <w:highlight w:val="none"/>
                      <w:u w:val="none"/>
                      <w:lang w:val="en-US" w:eastAsia="zh-CN" w:bidi="ar"/>
                    </w:rPr>
                    <w:t>2650</w:t>
                  </w:r>
                  <w:r>
                    <w:rPr>
                      <w:rFonts w:hint="default" w:ascii="Times New Roman" w:hAnsi="Times New Roman" w:eastAsia="宋体" w:cs="Times New Roman"/>
                      <w:color w:val="auto"/>
                      <w:sz w:val="18"/>
                      <w:szCs w:val="18"/>
                      <w:highlight w:val="none"/>
                      <w:lang w:val="en-US" w:eastAsia="zh-CN"/>
                    </w:rPr>
                    <w:t>mm</w:t>
                  </w:r>
                  <w:r>
                    <w:rPr>
                      <w:rFonts w:hint="default" w:ascii="Times New Roman" w:hAnsi="Times New Roman" w:eastAsia="宋体" w:cs="Times New Roman"/>
                      <w:i w:val="0"/>
                      <w:iCs w:val="0"/>
                      <w:color w:val="000000"/>
                      <w:kern w:val="0"/>
                      <w:sz w:val="18"/>
                      <w:szCs w:val="18"/>
                      <w:highlight w:val="none"/>
                      <w:u w:val="none"/>
                      <w:lang w:val="en-US" w:eastAsia="zh-CN" w:bidi="ar"/>
                    </w:rPr>
                    <w:t>×880</w:t>
                  </w:r>
                  <w:r>
                    <w:rPr>
                      <w:rFonts w:hint="default" w:ascii="Times New Roman" w:hAnsi="Times New Roman" w:eastAsia="宋体" w:cs="Times New Roman"/>
                      <w:color w:val="auto"/>
                      <w:sz w:val="18"/>
                      <w:szCs w:val="18"/>
                      <w:highlight w:val="none"/>
                      <w:lang w:val="en-US" w:eastAsia="zh-CN"/>
                    </w:rPr>
                    <w:t>mm</w:t>
                  </w:r>
                  <w:r>
                    <w:rPr>
                      <w:rFonts w:hint="default" w:ascii="Times New Roman" w:hAnsi="Times New Roman" w:eastAsia="宋体" w:cs="Times New Roman"/>
                      <w:i w:val="0"/>
                      <w:iCs w:val="0"/>
                      <w:color w:val="000000"/>
                      <w:kern w:val="0"/>
                      <w:sz w:val="18"/>
                      <w:szCs w:val="18"/>
                      <w:highlight w:val="none"/>
                      <w:u w:val="none"/>
                      <w:lang w:val="en-US" w:eastAsia="zh-CN" w:bidi="ar"/>
                    </w:rPr>
                    <w:t>×2185</w:t>
                  </w:r>
                  <w:r>
                    <w:rPr>
                      <w:rFonts w:hint="default" w:ascii="Times New Roman" w:hAnsi="Times New Roman" w:eastAsia="宋体" w:cs="Times New Roman"/>
                      <w:color w:val="auto"/>
                      <w:sz w:val="18"/>
                      <w:szCs w:val="18"/>
                      <w:highlight w:val="none"/>
                      <w:lang w:val="en-US" w:eastAsia="zh-CN"/>
                    </w:rPr>
                    <w:t>mm</w:t>
                  </w:r>
                </w:p>
              </w:tc>
              <w:tc>
                <w:tcPr>
                  <w:tcW w:w="284" w:type="pct"/>
                  <w:tcBorders>
                    <w:tl2br w:val="nil"/>
                    <w:tr2bl w:val="nil"/>
                  </w:tcBorders>
                  <w:shd w:val="clear" w:color="auto" w:fill="FFFFFF"/>
                  <w:vAlign w:val="center"/>
                </w:tcPr>
                <w:p w14:paraId="1AE42E78">
                  <w:pPr>
                    <w:keepNext w:val="0"/>
                    <w:keepLines w:val="0"/>
                    <w:pageBreakBefore w:val="0"/>
                    <w:widowControl/>
                    <w:suppressLineNumbers w:val="0"/>
                    <w:kinsoku/>
                    <w:wordWrap/>
                    <w:overflowPunct/>
                    <w:topLinePunct w:val="0"/>
                    <w:bidi w:val="0"/>
                    <w:adjustRightInd w:val="0"/>
                    <w:snapToGrid w:val="0"/>
                    <w:spacing w:before="0" w:beforeAutospacing="0" w:after="0" w:afterAutospacing="0" w:line="276" w:lineRule="auto"/>
                    <w:ind w:left="0" w:right="0"/>
                    <w:jc w:val="center"/>
                    <w:textAlignment w:val="center"/>
                    <w:rPr>
                      <w:rFonts w:hint="default" w:ascii="Times New Roman" w:hAnsi="Times New Roman" w:eastAsia="宋体" w:cs="Times New Roman"/>
                      <w:color w:val="auto"/>
                      <w:sz w:val="18"/>
                      <w:szCs w:val="18"/>
                      <w:highlight w:val="none"/>
                    </w:rPr>
                  </w:pPr>
                  <w:r>
                    <w:rPr>
                      <w:rFonts w:hint="default" w:ascii="Times New Roman" w:hAnsi="Times New Roman" w:eastAsia="宋体" w:cs="Times New Roman"/>
                      <w:i w:val="0"/>
                      <w:iCs w:val="0"/>
                      <w:color w:val="000000"/>
                      <w:kern w:val="0"/>
                      <w:sz w:val="18"/>
                      <w:szCs w:val="18"/>
                      <w:highlight w:val="none"/>
                      <w:u w:val="none"/>
                      <w:lang w:val="en-US" w:eastAsia="zh-CN" w:bidi="ar"/>
                    </w:rPr>
                    <w:t>5</w:t>
                  </w:r>
                </w:p>
              </w:tc>
              <w:tc>
                <w:tcPr>
                  <w:tcW w:w="1678" w:type="pct"/>
                  <w:tcBorders>
                    <w:tl2br w:val="nil"/>
                    <w:tr2bl w:val="nil"/>
                  </w:tcBorders>
                  <w:shd w:val="clear" w:color="auto" w:fill="FFFFFF"/>
                  <w:vAlign w:val="center"/>
                </w:tcPr>
                <w:p w14:paraId="354D9B36">
                  <w:pPr>
                    <w:keepNext w:val="0"/>
                    <w:keepLines w:val="0"/>
                    <w:pageBreakBefore w:val="0"/>
                    <w:widowControl/>
                    <w:suppressLineNumbers w:val="0"/>
                    <w:kinsoku/>
                    <w:wordWrap/>
                    <w:overflowPunct/>
                    <w:topLinePunct w:val="0"/>
                    <w:bidi w:val="0"/>
                    <w:adjustRightInd w:val="0"/>
                    <w:snapToGrid w:val="0"/>
                    <w:spacing w:before="0" w:beforeAutospacing="0" w:after="0" w:afterAutospacing="0" w:line="276" w:lineRule="auto"/>
                    <w:ind w:left="0" w:right="0"/>
                    <w:jc w:val="center"/>
                    <w:textAlignment w:val="center"/>
                    <w:rPr>
                      <w:rFonts w:hint="default" w:ascii="Times New Roman" w:hAnsi="Times New Roman" w:eastAsia="宋体" w:cs="Times New Roman"/>
                      <w:color w:val="auto"/>
                      <w:sz w:val="18"/>
                      <w:szCs w:val="18"/>
                      <w:highlight w:val="none"/>
                    </w:rPr>
                  </w:pPr>
                  <w:r>
                    <w:rPr>
                      <w:rFonts w:hint="default" w:ascii="Times New Roman" w:hAnsi="Times New Roman" w:eastAsia="宋体" w:cs="Times New Roman"/>
                      <w:i w:val="0"/>
                      <w:iCs w:val="0"/>
                      <w:color w:val="000000"/>
                      <w:kern w:val="0"/>
                      <w:sz w:val="18"/>
                      <w:szCs w:val="18"/>
                      <w:highlight w:val="none"/>
                      <w:u w:val="none"/>
                      <w:lang w:val="en-US" w:eastAsia="zh-CN" w:bidi="ar"/>
                    </w:rPr>
                    <w:t>无菌饲养间室</w:t>
                  </w:r>
                </w:p>
              </w:tc>
            </w:tr>
            <w:tr w14:paraId="5561BF9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FFFFFF"/>
                <w:tblCellMar>
                  <w:top w:w="0" w:type="dxa"/>
                  <w:left w:w="28" w:type="dxa"/>
                  <w:bottom w:w="0" w:type="dxa"/>
                  <w:right w:w="28" w:type="dxa"/>
                </w:tblCellMar>
              </w:tblPrEx>
              <w:trPr>
                <w:trHeight w:val="0" w:hRule="atLeast"/>
              </w:trPr>
              <w:tc>
                <w:tcPr>
                  <w:tcW w:w="235" w:type="pct"/>
                  <w:tcBorders>
                    <w:tl2br w:val="nil"/>
                    <w:tr2bl w:val="nil"/>
                  </w:tcBorders>
                  <w:shd w:val="clear" w:color="auto" w:fill="FFFFFF"/>
                  <w:noWrap/>
                  <w:vAlign w:val="center"/>
                </w:tcPr>
                <w:p w14:paraId="0CF41E88">
                  <w:pPr>
                    <w:keepNext w:val="0"/>
                    <w:keepLines w:val="0"/>
                    <w:pageBreakBefore w:val="0"/>
                    <w:widowControl/>
                    <w:suppressLineNumbers w:val="0"/>
                    <w:kinsoku/>
                    <w:wordWrap/>
                    <w:overflowPunct/>
                    <w:topLinePunct w:val="0"/>
                    <w:bidi w:val="0"/>
                    <w:adjustRightInd w:val="0"/>
                    <w:snapToGrid w:val="0"/>
                    <w:spacing w:before="0" w:beforeAutospacing="0" w:after="0" w:afterAutospacing="0" w:line="276" w:lineRule="auto"/>
                    <w:ind w:left="0" w:right="0"/>
                    <w:jc w:val="center"/>
                    <w:textAlignment w:val="center"/>
                    <w:rPr>
                      <w:rFonts w:hint="default" w:ascii="Times New Roman" w:hAnsi="Times New Roman" w:eastAsia="宋体" w:cs="Times New Roman"/>
                      <w:color w:val="auto"/>
                      <w:sz w:val="18"/>
                      <w:szCs w:val="18"/>
                      <w:highlight w:val="none"/>
                      <w:lang w:val="en-US" w:eastAsia="zh-CN"/>
                    </w:rPr>
                  </w:pPr>
                  <w:r>
                    <w:rPr>
                      <w:rFonts w:hint="default" w:ascii="Times New Roman" w:hAnsi="Times New Roman" w:eastAsia="宋体" w:cs="Times New Roman"/>
                      <w:i w:val="0"/>
                      <w:iCs w:val="0"/>
                      <w:color w:val="000000"/>
                      <w:kern w:val="0"/>
                      <w:sz w:val="18"/>
                      <w:szCs w:val="18"/>
                      <w:highlight w:val="none"/>
                      <w:u w:val="none"/>
                      <w:lang w:val="en-US" w:eastAsia="zh-CN" w:bidi="ar"/>
                    </w:rPr>
                    <w:t>38</w:t>
                  </w:r>
                </w:p>
              </w:tc>
              <w:tc>
                <w:tcPr>
                  <w:tcW w:w="349" w:type="pct"/>
                  <w:vMerge w:val="continue"/>
                  <w:tcBorders>
                    <w:tl2br w:val="nil"/>
                    <w:tr2bl w:val="nil"/>
                  </w:tcBorders>
                  <w:shd w:val="clear" w:color="auto" w:fill="FFFFFF"/>
                  <w:vAlign w:val="center"/>
                </w:tcPr>
                <w:p w14:paraId="4A91BD46">
                  <w:pPr>
                    <w:keepNext w:val="0"/>
                    <w:keepLines w:val="0"/>
                    <w:pageBreakBefore w:val="0"/>
                    <w:widowControl/>
                    <w:suppressLineNumbers w:val="0"/>
                    <w:kinsoku/>
                    <w:wordWrap/>
                    <w:overflowPunct/>
                    <w:topLinePunct w:val="0"/>
                    <w:bidi w:val="0"/>
                    <w:adjustRightInd w:val="0"/>
                    <w:snapToGrid w:val="0"/>
                    <w:spacing w:before="0" w:beforeAutospacing="0" w:after="0" w:afterAutospacing="0" w:line="276" w:lineRule="auto"/>
                    <w:ind w:left="0" w:right="0"/>
                    <w:jc w:val="center"/>
                    <w:textAlignment w:val="center"/>
                    <w:rPr>
                      <w:rFonts w:hint="default" w:ascii="Times New Roman" w:hAnsi="Times New Roman" w:eastAsia="宋体" w:cs="Times New Roman"/>
                      <w:color w:val="auto"/>
                      <w:sz w:val="18"/>
                      <w:szCs w:val="18"/>
                      <w:highlight w:val="none"/>
                      <w:lang w:val="en-US" w:eastAsia="zh-CN"/>
                    </w:rPr>
                  </w:pPr>
                </w:p>
              </w:tc>
              <w:tc>
                <w:tcPr>
                  <w:tcW w:w="1015" w:type="pct"/>
                  <w:vMerge w:val="restart"/>
                  <w:tcBorders>
                    <w:tl2br w:val="nil"/>
                    <w:tr2bl w:val="nil"/>
                  </w:tcBorders>
                  <w:shd w:val="clear" w:color="auto" w:fill="FFFFFF"/>
                  <w:vAlign w:val="center"/>
                </w:tcPr>
                <w:p w14:paraId="490F2314">
                  <w:pPr>
                    <w:keepNext w:val="0"/>
                    <w:keepLines w:val="0"/>
                    <w:pageBreakBefore w:val="0"/>
                    <w:widowControl/>
                    <w:suppressLineNumbers w:val="0"/>
                    <w:kinsoku/>
                    <w:wordWrap/>
                    <w:overflowPunct/>
                    <w:topLinePunct w:val="0"/>
                    <w:bidi w:val="0"/>
                    <w:adjustRightInd w:val="0"/>
                    <w:snapToGrid w:val="0"/>
                    <w:spacing w:before="0" w:beforeAutospacing="0" w:after="0" w:afterAutospacing="0" w:line="276" w:lineRule="auto"/>
                    <w:ind w:left="0" w:right="0"/>
                    <w:jc w:val="center"/>
                    <w:textAlignment w:val="center"/>
                    <w:rPr>
                      <w:rFonts w:hint="default" w:ascii="Times New Roman" w:hAnsi="Times New Roman" w:eastAsia="宋体" w:cs="Times New Roman"/>
                      <w:color w:val="auto"/>
                      <w:kern w:val="2"/>
                      <w:sz w:val="18"/>
                      <w:szCs w:val="18"/>
                      <w:highlight w:val="none"/>
                      <w:lang w:val="en-US" w:eastAsia="zh-CN" w:bidi="ar-SA"/>
                    </w:rPr>
                  </w:pPr>
                  <w:r>
                    <w:rPr>
                      <w:rFonts w:hint="default" w:ascii="Times New Roman" w:hAnsi="Times New Roman" w:eastAsia="宋体" w:cs="Times New Roman"/>
                      <w:i w:val="0"/>
                      <w:iCs w:val="0"/>
                      <w:color w:val="000000"/>
                      <w:kern w:val="0"/>
                      <w:sz w:val="18"/>
                      <w:szCs w:val="18"/>
                      <w:highlight w:val="none"/>
                      <w:u w:val="none"/>
                      <w:lang w:val="en-US" w:eastAsia="zh-CN" w:bidi="ar"/>
                    </w:rPr>
                    <w:t>小鼠独立通风笼具</w:t>
                  </w:r>
                </w:p>
              </w:tc>
              <w:tc>
                <w:tcPr>
                  <w:tcW w:w="1436" w:type="pct"/>
                  <w:tcBorders>
                    <w:tl2br w:val="nil"/>
                    <w:tr2bl w:val="nil"/>
                  </w:tcBorders>
                  <w:shd w:val="clear" w:color="auto" w:fill="FFFFFF"/>
                  <w:noWrap/>
                  <w:vAlign w:val="center"/>
                </w:tcPr>
                <w:p w14:paraId="4638EE01">
                  <w:pPr>
                    <w:keepNext w:val="0"/>
                    <w:keepLines w:val="0"/>
                    <w:pageBreakBefore w:val="0"/>
                    <w:widowControl/>
                    <w:suppressLineNumbers w:val="0"/>
                    <w:kinsoku/>
                    <w:wordWrap/>
                    <w:overflowPunct/>
                    <w:topLinePunct w:val="0"/>
                    <w:bidi w:val="0"/>
                    <w:adjustRightInd w:val="0"/>
                    <w:snapToGrid w:val="0"/>
                    <w:spacing w:before="0" w:beforeAutospacing="0" w:after="0" w:afterAutospacing="0" w:line="276" w:lineRule="auto"/>
                    <w:ind w:left="0" w:right="0"/>
                    <w:jc w:val="center"/>
                    <w:textAlignment w:val="center"/>
                    <w:rPr>
                      <w:rFonts w:hint="default" w:ascii="Times New Roman" w:hAnsi="Times New Roman" w:eastAsia="宋体" w:cs="Times New Roman"/>
                      <w:color w:val="auto"/>
                      <w:sz w:val="18"/>
                      <w:szCs w:val="18"/>
                      <w:highlight w:val="none"/>
                      <w:lang w:val="en-US" w:eastAsia="zh-CN"/>
                    </w:rPr>
                  </w:pPr>
                  <w:r>
                    <w:rPr>
                      <w:rFonts w:hint="default" w:ascii="Times New Roman" w:hAnsi="Times New Roman" w:eastAsia="宋体" w:cs="Times New Roman"/>
                      <w:i w:val="0"/>
                      <w:iCs w:val="0"/>
                      <w:color w:val="000000"/>
                      <w:kern w:val="0"/>
                      <w:sz w:val="18"/>
                      <w:szCs w:val="18"/>
                      <w:highlight w:val="none"/>
                      <w:u w:val="none"/>
                      <w:lang w:val="en-US" w:eastAsia="zh-CN" w:bidi="ar"/>
                    </w:rPr>
                    <w:t>3222</w:t>
                  </w:r>
                  <w:r>
                    <w:rPr>
                      <w:rFonts w:hint="default" w:ascii="Times New Roman" w:hAnsi="Times New Roman" w:eastAsia="宋体" w:cs="Times New Roman"/>
                      <w:color w:val="auto"/>
                      <w:sz w:val="18"/>
                      <w:szCs w:val="18"/>
                      <w:highlight w:val="none"/>
                      <w:lang w:val="en-US" w:eastAsia="zh-CN"/>
                    </w:rPr>
                    <w:t>mm</w:t>
                  </w:r>
                  <w:r>
                    <w:rPr>
                      <w:rFonts w:hint="default" w:ascii="Times New Roman" w:hAnsi="Times New Roman" w:eastAsia="宋体" w:cs="Times New Roman"/>
                      <w:i w:val="0"/>
                      <w:iCs w:val="0"/>
                      <w:color w:val="000000"/>
                      <w:kern w:val="0"/>
                      <w:sz w:val="18"/>
                      <w:szCs w:val="18"/>
                      <w:highlight w:val="none"/>
                      <w:u w:val="none"/>
                      <w:lang w:val="en-US" w:eastAsia="zh-CN" w:bidi="ar"/>
                    </w:rPr>
                    <w:t>×1903</w:t>
                  </w:r>
                  <w:r>
                    <w:rPr>
                      <w:rFonts w:hint="default" w:ascii="Times New Roman" w:hAnsi="Times New Roman" w:eastAsia="宋体" w:cs="Times New Roman"/>
                      <w:color w:val="auto"/>
                      <w:sz w:val="18"/>
                      <w:szCs w:val="18"/>
                      <w:highlight w:val="none"/>
                      <w:lang w:val="en-US" w:eastAsia="zh-CN"/>
                    </w:rPr>
                    <w:t>mm</w:t>
                  </w:r>
                  <w:r>
                    <w:rPr>
                      <w:rFonts w:hint="default" w:ascii="Times New Roman" w:hAnsi="Times New Roman" w:eastAsia="宋体" w:cs="Times New Roman"/>
                      <w:i w:val="0"/>
                      <w:iCs w:val="0"/>
                      <w:color w:val="000000"/>
                      <w:kern w:val="0"/>
                      <w:sz w:val="18"/>
                      <w:szCs w:val="18"/>
                      <w:highlight w:val="none"/>
                      <w:u w:val="none"/>
                      <w:lang w:val="en-US" w:eastAsia="zh-CN" w:bidi="ar"/>
                    </w:rPr>
                    <w:t>×680</w:t>
                  </w:r>
                  <w:r>
                    <w:rPr>
                      <w:rFonts w:hint="default" w:ascii="Times New Roman" w:hAnsi="Times New Roman" w:eastAsia="宋体" w:cs="Times New Roman"/>
                      <w:color w:val="auto"/>
                      <w:sz w:val="18"/>
                      <w:szCs w:val="18"/>
                      <w:highlight w:val="none"/>
                      <w:lang w:val="en-US" w:eastAsia="zh-CN"/>
                    </w:rPr>
                    <w:t>mm</w:t>
                  </w:r>
                </w:p>
              </w:tc>
              <w:tc>
                <w:tcPr>
                  <w:tcW w:w="284" w:type="pct"/>
                  <w:tcBorders>
                    <w:tl2br w:val="nil"/>
                    <w:tr2bl w:val="nil"/>
                  </w:tcBorders>
                  <w:shd w:val="clear" w:color="auto" w:fill="FFFFFF"/>
                  <w:vAlign w:val="center"/>
                </w:tcPr>
                <w:p w14:paraId="276A6EF1">
                  <w:pPr>
                    <w:keepNext w:val="0"/>
                    <w:keepLines w:val="0"/>
                    <w:pageBreakBefore w:val="0"/>
                    <w:widowControl/>
                    <w:suppressLineNumbers w:val="0"/>
                    <w:kinsoku/>
                    <w:wordWrap/>
                    <w:overflowPunct/>
                    <w:topLinePunct w:val="0"/>
                    <w:bidi w:val="0"/>
                    <w:adjustRightInd w:val="0"/>
                    <w:snapToGrid w:val="0"/>
                    <w:spacing w:before="0" w:beforeAutospacing="0" w:after="0" w:afterAutospacing="0" w:line="276" w:lineRule="auto"/>
                    <w:ind w:left="0" w:right="0"/>
                    <w:jc w:val="center"/>
                    <w:textAlignment w:val="center"/>
                    <w:rPr>
                      <w:rFonts w:hint="default" w:ascii="Times New Roman" w:hAnsi="Times New Roman" w:eastAsia="宋体" w:cs="Times New Roman"/>
                      <w:color w:val="auto"/>
                      <w:sz w:val="18"/>
                      <w:szCs w:val="18"/>
                      <w:highlight w:val="none"/>
                    </w:rPr>
                  </w:pPr>
                  <w:r>
                    <w:rPr>
                      <w:rFonts w:hint="default" w:ascii="Times New Roman" w:hAnsi="Times New Roman" w:eastAsia="宋体" w:cs="Times New Roman"/>
                      <w:i w:val="0"/>
                      <w:iCs w:val="0"/>
                      <w:color w:val="000000"/>
                      <w:kern w:val="0"/>
                      <w:sz w:val="18"/>
                      <w:szCs w:val="18"/>
                      <w:highlight w:val="none"/>
                      <w:u w:val="none"/>
                      <w:lang w:val="en-US" w:eastAsia="zh-CN" w:bidi="ar"/>
                    </w:rPr>
                    <w:t>1</w:t>
                  </w:r>
                </w:p>
              </w:tc>
              <w:tc>
                <w:tcPr>
                  <w:tcW w:w="1678" w:type="pct"/>
                  <w:tcBorders>
                    <w:tl2br w:val="nil"/>
                    <w:tr2bl w:val="nil"/>
                  </w:tcBorders>
                  <w:shd w:val="clear" w:color="auto" w:fill="FFFFFF"/>
                  <w:vAlign w:val="center"/>
                </w:tcPr>
                <w:p w14:paraId="0581E944">
                  <w:pPr>
                    <w:keepNext w:val="0"/>
                    <w:keepLines w:val="0"/>
                    <w:pageBreakBefore w:val="0"/>
                    <w:widowControl/>
                    <w:suppressLineNumbers w:val="0"/>
                    <w:kinsoku/>
                    <w:wordWrap/>
                    <w:overflowPunct/>
                    <w:topLinePunct w:val="0"/>
                    <w:bidi w:val="0"/>
                    <w:adjustRightInd w:val="0"/>
                    <w:snapToGrid w:val="0"/>
                    <w:spacing w:before="0" w:beforeAutospacing="0" w:after="0" w:afterAutospacing="0" w:line="276" w:lineRule="auto"/>
                    <w:ind w:left="0" w:right="0"/>
                    <w:jc w:val="center"/>
                    <w:textAlignment w:val="center"/>
                    <w:rPr>
                      <w:rFonts w:hint="default" w:ascii="Times New Roman" w:hAnsi="Times New Roman" w:eastAsia="宋体" w:cs="Times New Roman"/>
                      <w:color w:val="auto"/>
                      <w:sz w:val="18"/>
                      <w:szCs w:val="18"/>
                      <w:highlight w:val="none"/>
                    </w:rPr>
                  </w:pPr>
                  <w:r>
                    <w:rPr>
                      <w:rFonts w:hint="default" w:ascii="Times New Roman" w:hAnsi="Times New Roman" w:eastAsia="宋体" w:cs="Times New Roman"/>
                      <w:i w:val="0"/>
                      <w:iCs w:val="0"/>
                      <w:color w:val="000000"/>
                      <w:kern w:val="0"/>
                      <w:sz w:val="18"/>
                      <w:szCs w:val="18"/>
                      <w:highlight w:val="none"/>
                      <w:u w:val="none"/>
                      <w:lang w:val="en-US" w:eastAsia="zh-CN" w:bidi="ar"/>
                    </w:rPr>
                    <w:t>检疫室</w:t>
                  </w:r>
                </w:p>
              </w:tc>
            </w:tr>
            <w:tr w14:paraId="04FC9BE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0" w:hRule="atLeast"/>
              </w:trPr>
              <w:tc>
                <w:tcPr>
                  <w:tcW w:w="235" w:type="pct"/>
                  <w:tcBorders>
                    <w:tl2br w:val="nil"/>
                    <w:tr2bl w:val="nil"/>
                  </w:tcBorders>
                  <w:shd w:val="clear" w:color="auto" w:fill="FFFFFF"/>
                  <w:noWrap/>
                  <w:vAlign w:val="center"/>
                </w:tcPr>
                <w:p w14:paraId="302976EC">
                  <w:pPr>
                    <w:keepNext w:val="0"/>
                    <w:keepLines w:val="0"/>
                    <w:pageBreakBefore w:val="0"/>
                    <w:widowControl/>
                    <w:suppressLineNumbers w:val="0"/>
                    <w:kinsoku/>
                    <w:wordWrap/>
                    <w:overflowPunct/>
                    <w:topLinePunct w:val="0"/>
                    <w:bidi w:val="0"/>
                    <w:adjustRightInd w:val="0"/>
                    <w:snapToGrid w:val="0"/>
                    <w:spacing w:before="0" w:beforeAutospacing="0" w:after="0" w:afterAutospacing="0" w:line="276" w:lineRule="auto"/>
                    <w:ind w:left="0" w:right="0"/>
                    <w:jc w:val="center"/>
                    <w:textAlignment w:val="center"/>
                    <w:rPr>
                      <w:rFonts w:hint="default" w:ascii="Times New Roman" w:hAnsi="Times New Roman" w:eastAsia="宋体" w:cs="Times New Roman"/>
                      <w:color w:val="auto"/>
                      <w:sz w:val="18"/>
                      <w:szCs w:val="18"/>
                      <w:highlight w:val="none"/>
                      <w:lang w:val="en-US" w:eastAsia="zh-CN"/>
                    </w:rPr>
                  </w:pPr>
                  <w:r>
                    <w:rPr>
                      <w:rFonts w:hint="default" w:ascii="Times New Roman" w:hAnsi="Times New Roman" w:eastAsia="宋体" w:cs="Times New Roman"/>
                      <w:i w:val="0"/>
                      <w:iCs w:val="0"/>
                      <w:color w:val="000000"/>
                      <w:kern w:val="0"/>
                      <w:sz w:val="18"/>
                      <w:szCs w:val="18"/>
                      <w:highlight w:val="none"/>
                      <w:u w:val="none"/>
                      <w:lang w:val="en-US" w:eastAsia="zh-CN" w:bidi="ar"/>
                    </w:rPr>
                    <w:t>39</w:t>
                  </w:r>
                </w:p>
              </w:tc>
              <w:tc>
                <w:tcPr>
                  <w:tcW w:w="349" w:type="pct"/>
                  <w:vMerge w:val="continue"/>
                  <w:tcBorders>
                    <w:tl2br w:val="nil"/>
                    <w:tr2bl w:val="nil"/>
                  </w:tcBorders>
                  <w:shd w:val="clear" w:color="auto" w:fill="FFFFFF"/>
                  <w:vAlign w:val="center"/>
                </w:tcPr>
                <w:p w14:paraId="078851BC">
                  <w:pPr>
                    <w:keepNext w:val="0"/>
                    <w:keepLines w:val="0"/>
                    <w:pageBreakBefore w:val="0"/>
                    <w:widowControl/>
                    <w:suppressLineNumbers w:val="0"/>
                    <w:kinsoku/>
                    <w:wordWrap/>
                    <w:overflowPunct/>
                    <w:topLinePunct w:val="0"/>
                    <w:bidi w:val="0"/>
                    <w:adjustRightInd w:val="0"/>
                    <w:snapToGrid w:val="0"/>
                    <w:spacing w:before="0" w:beforeAutospacing="0" w:after="0" w:afterAutospacing="0" w:line="276" w:lineRule="auto"/>
                    <w:ind w:left="0" w:right="0"/>
                    <w:jc w:val="center"/>
                    <w:textAlignment w:val="center"/>
                    <w:rPr>
                      <w:rFonts w:hint="default" w:ascii="Times New Roman" w:hAnsi="Times New Roman" w:eastAsia="宋体" w:cs="Times New Roman"/>
                      <w:color w:val="auto"/>
                      <w:sz w:val="18"/>
                      <w:szCs w:val="18"/>
                      <w:highlight w:val="none"/>
                      <w:lang w:val="en-US" w:eastAsia="zh-CN"/>
                    </w:rPr>
                  </w:pPr>
                </w:p>
              </w:tc>
              <w:tc>
                <w:tcPr>
                  <w:tcW w:w="1015" w:type="pct"/>
                  <w:vMerge w:val="continue"/>
                  <w:tcBorders>
                    <w:tl2br w:val="nil"/>
                    <w:tr2bl w:val="nil"/>
                  </w:tcBorders>
                  <w:shd w:val="clear" w:color="auto" w:fill="FFFFFF"/>
                  <w:vAlign w:val="center"/>
                </w:tcPr>
                <w:p w14:paraId="44CB99C4">
                  <w:pPr>
                    <w:keepNext w:val="0"/>
                    <w:keepLines w:val="0"/>
                    <w:pageBreakBefore w:val="0"/>
                    <w:widowControl/>
                    <w:suppressLineNumbers w:val="0"/>
                    <w:kinsoku/>
                    <w:wordWrap/>
                    <w:overflowPunct/>
                    <w:topLinePunct w:val="0"/>
                    <w:bidi w:val="0"/>
                    <w:adjustRightInd w:val="0"/>
                    <w:snapToGrid w:val="0"/>
                    <w:spacing w:before="0" w:beforeAutospacing="0" w:after="0" w:afterAutospacing="0" w:line="276" w:lineRule="auto"/>
                    <w:ind w:left="0" w:right="0"/>
                    <w:jc w:val="center"/>
                    <w:textAlignment w:val="center"/>
                    <w:rPr>
                      <w:rFonts w:hint="default" w:ascii="Times New Roman" w:hAnsi="Times New Roman" w:eastAsia="宋体" w:cs="Times New Roman"/>
                      <w:color w:val="auto"/>
                      <w:kern w:val="2"/>
                      <w:sz w:val="18"/>
                      <w:szCs w:val="18"/>
                      <w:highlight w:val="none"/>
                      <w:lang w:val="en-US" w:eastAsia="zh-CN" w:bidi="ar-SA"/>
                    </w:rPr>
                  </w:pPr>
                </w:p>
              </w:tc>
              <w:tc>
                <w:tcPr>
                  <w:tcW w:w="1436" w:type="pct"/>
                  <w:tcBorders>
                    <w:tl2br w:val="nil"/>
                    <w:tr2bl w:val="nil"/>
                  </w:tcBorders>
                  <w:shd w:val="clear" w:color="auto" w:fill="FFFFFF"/>
                  <w:noWrap/>
                  <w:vAlign w:val="center"/>
                </w:tcPr>
                <w:p w14:paraId="03D983F8">
                  <w:pPr>
                    <w:keepNext w:val="0"/>
                    <w:keepLines w:val="0"/>
                    <w:pageBreakBefore w:val="0"/>
                    <w:widowControl/>
                    <w:suppressLineNumbers w:val="0"/>
                    <w:kinsoku/>
                    <w:wordWrap/>
                    <w:overflowPunct/>
                    <w:topLinePunct w:val="0"/>
                    <w:bidi w:val="0"/>
                    <w:adjustRightInd w:val="0"/>
                    <w:snapToGrid w:val="0"/>
                    <w:spacing w:before="0" w:beforeAutospacing="0" w:after="0" w:afterAutospacing="0" w:line="276" w:lineRule="auto"/>
                    <w:ind w:left="0" w:right="0"/>
                    <w:jc w:val="center"/>
                    <w:textAlignment w:val="center"/>
                    <w:rPr>
                      <w:rFonts w:hint="default" w:ascii="Times New Roman" w:hAnsi="Times New Roman" w:eastAsia="宋体" w:cs="Times New Roman"/>
                      <w:color w:val="auto"/>
                      <w:sz w:val="18"/>
                      <w:szCs w:val="18"/>
                      <w:highlight w:val="none"/>
                      <w:lang w:val="en-US" w:eastAsia="zh-CN"/>
                    </w:rPr>
                  </w:pPr>
                  <w:r>
                    <w:rPr>
                      <w:rFonts w:hint="default" w:ascii="Times New Roman" w:hAnsi="Times New Roman" w:eastAsia="宋体" w:cs="Times New Roman"/>
                      <w:i w:val="0"/>
                      <w:iCs w:val="0"/>
                      <w:color w:val="000000"/>
                      <w:kern w:val="0"/>
                      <w:sz w:val="18"/>
                      <w:szCs w:val="18"/>
                      <w:highlight w:val="none"/>
                      <w:u w:val="none"/>
                      <w:lang w:val="en-US" w:eastAsia="zh-CN" w:bidi="ar"/>
                    </w:rPr>
                    <w:t>5900</w:t>
                  </w:r>
                  <w:r>
                    <w:rPr>
                      <w:rFonts w:hint="default" w:ascii="Times New Roman" w:hAnsi="Times New Roman" w:eastAsia="宋体" w:cs="Times New Roman"/>
                      <w:color w:val="auto"/>
                      <w:sz w:val="18"/>
                      <w:szCs w:val="18"/>
                      <w:highlight w:val="none"/>
                      <w:lang w:val="en-US" w:eastAsia="zh-CN"/>
                    </w:rPr>
                    <w:t>mm</w:t>
                  </w:r>
                  <w:r>
                    <w:rPr>
                      <w:rFonts w:hint="default" w:ascii="Times New Roman" w:hAnsi="Times New Roman" w:eastAsia="宋体" w:cs="Times New Roman"/>
                      <w:i w:val="0"/>
                      <w:iCs w:val="0"/>
                      <w:color w:val="000000"/>
                      <w:kern w:val="0"/>
                      <w:sz w:val="18"/>
                      <w:szCs w:val="18"/>
                      <w:highlight w:val="none"/>
                      <w:u w:val="none"/>
                      <w:lang w:val="en-US" w:eastAsia="zh-CN" w:bidi="ar"/>
                    </w:rPr>
                    <w:t>×1903</w:t>
                  </w:r>
                  <w:r>
                    <w:rPr>
                      <w:rFonts w:hint="default" w:ascii="Times New Roman" w:hAnsi="Times New Roman" w:eastAsia="宋体" w:cs="Times New Roman"/>
                      <w:color w:val="auto"/>
                      <w:sz w:val="18"/>
                      <w:szCs w:val="18"/>
                      <w:highlight w:val="none"/>
                      <w:lang w:val="en-US" w:eastAsia="zh-CN"/>
                    </w:rPr>
                    <w:t>mm</w:t>
                  </w:r>
                  <w:r>
                    <w:rPr>
                      <w:rFonts w:hint="default" w:ascii="Times New Roman" w:hAnsi="Times New Roman" w:eastAsia="宋体" w:cs="Times New Roman"/>
                      <w:i w:val="0"/>
                      <w:iCs w:val="0"/>
                      <w:color w:val="000000"/>
                      <w:kern w:val="0"/>
                      <w:sz w:val="18"/>
                      <w:szCs w:val="18"/>
                      <w:highlight w:val="none"/>
                      <w:u w:val="none"/>
                      <w:lang w:val="en-US" w:eastAsia="zh-CN" w:bidi="ar"/>
                    </w:rPr>
                    <w:t>×680</w:t>
                  </w:r>
                  <w:r>
                    <w:rPr>
                      <w:rFonts w:hint="default" w:ascii="Times New Roman" w:hAnsi="Times New Roman" w:eastAsia="宋体" w:cs="Times New Roman"/>
                      <w:color w:val="auto"/>
                      <w:sz w:val="18"/>
                      <w:szCs w:val="18"/>
                      <w:highlight w:val="none"/>
                      <w:lang w:val="en-US" w:eastAsia="zh-CN"/>
                    </w:rPr>
                    <w:t>mm</w:t>
                  </w:r>
                </w:p>
              </w:tc>
              <w:tc>
                <w:tcPr>
                  <w:tcW w:w="284" w:type="pct"/>
                  <w:tcBorders>
                    <w:tl2br w:val="nil"/>
                    <w:tr2bl w:val="nil"/>
                  </w:tcBorders>
                  <w:shd w:val="clear" w:color="auto" w:fill="FFFFFF"/>
                  <w:vAlign w:val="center"/>
                </w:tcPr>
                <w:p w14:paraId="1A1B5F06">
                  <w:pPr>
                    <w:keepNext w:val="0"/>
                    <w:keepLines w:val="0"/>
                    <w:pageBreakBefore w:val="0"/>
                    <w:widowControl/>
                    <w:suppressLineNumbers w:val="0"/>
                    <w:kinsoku/>
                    <w:wordWrap/>
                    <w:overflowPunct/>
                    <w:topLinePunct w:val="0"/>
                    <w:bidi w:val="0"/>
                    <w:adjustRightInd w:val="0"/>
                    <w:snapToGrid w:val="0"/>
                    <w:spacing w:before="0" w:beforeAutospacing="0" w:after="0" w:afterAutospacing="0" w:line="276" w:lineRule="auto"/>
                    <w:ind w:left="0" w:right="0"/>
                    <w:jc w:val="center"/>
                    <w:textAlignment w:val="center"/>
                    <w:rPr>
                      <w:rFonts w:hint="default" w:ascii="Times New Roman" w:hAnsi="Times New Roman" w:eastAsia="宋体" w:cs="Times New Roman"/>
                      <w:color w:val="auto"/>
                      <w:sz w:val="18"/>
                      <w:szCs w:val="18"/>
                      <w:highlight w:val="none"/>
                    </w:rPr>
                  </w:pPr>
                  <w:r>
                    <w:rPr>
                      <w:rFonts w:hint="default" w:ascii="Times New Roman" w:hAnsi="Times New Roman" w:eastAsia="宋体" w:cs="Times New Roman"/>
                      <w:i w:val="0"/>
                      <w:iCs w:val="0"/>
                      <w:color w:val="000000"/>
                      <w:kern w:val="0"/>
                      <w:sz w:val="18"/>
                      <w:szCs w:val="18"/>
                      <w:highlight w:val="none"/>
                      <w:u w:val="none"/>
                      <w:lang w:val="en-US" w:eastAsia="zh-CN" w:bidi="ar"/>
                    </w:rPr>
                    <w:t>1</w:t>
                  </w:r>
                </w:p>
              </w:tc>
              <w:tc>
                <w:tcPr>
                  <w:tcW w:w="1678" w:type="pct"/>
                  <w:tcBorders>
                    <w:tl2br w:val="nil"/>
                    <w:tr2bl w:val="nil"/>
                  </w:tcBorders>
                  <w:shd w:val="clear" w:color="auto" w:fill="FFFFFF"/>
                  <w:vAlign w:val="center"/>
                </w:tcPr>
                <w:p w14:paraId="4BB78713">
                  <w:pPr>
                    <w:keepNext w:val="0"/>
                    <w:keepLines w:val="0"/>
                    <w:pageBreakBefore w:val="0"/>
                    <w:widowControl/>
                    <w:suppressLineNumbers w:val="0"/>
                    <w:kinsoku/>
                    <w:wordWrap/>
                    <w:overflowPunct/>
                    <w:topLinePunct w:val="0"/>
                    <w:bidi w:val="0"/>
                    <w:adjustRightInd w:val="0"/>
                    <w:snapToGrid w:val="0"/>
                    <w:spacing w:before="0" w:beforeAutospacing="0" w:after="0" w:afterAutospacing="0" w:line="276" w:lineRule="auto"/>
                    <w:ind w:left="0" w:right="0"/>
                    <w:jc w:val="center"/>
                    <w:textAlignment w:val="center"/>
                    <w:rPr>
                      <w:rFonts w:hint="default" w:ascii="Times New Roman" w:hAnsi="Times New Roman" w:eastAsia="宋体" w:cs="Times New Roman"/>
                      <w:color w:val="auto"/>
                      <w:sz w:val="18"/>
                      <w:szCs w:val="18"/>
                      <w:highlight w:val="none"/>
                    </w:rPr>
                  </w:pPr>
                  <w:r>
                    <w:rPr>
                      <w:rFonts w:hint="default" w:ascii="Times New Roman" w:hAnsi="Times New Roman" w:eastAsia="宋体" w:cs="Times New Roman"/>
                      <w:i w:val="0"/>
                      <w:iCs w:val="0"/>
                      <w:color w:val="000000"/>
                      <w:kern w:val="0"/>
                      <w:sz w:val="18"/>
                      <w:szCs w:val="18"/>
                      <w:highlight w:val="none"/>
                      <w:u w:val="none"/>
                      <w:lang w:val="en-US" w:eastAsia="zh-CN" w:bidi="ar"/>
                    </w:rPr>
                    <w:t>小鼠饲养间1</w:t>
                  </w:r>
                </w:p>
              </w:tc>
            </w:tr>
            <w:tr w14:paraId="3FE2111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FFFFFF"/>
                <w:tblCellMar>
                  <w:top w:w="0" w:type="dxa"/>
                  <w:left w:w="28" w:type="dxa"/>
                  <w:bottom w:w="0" w:type="dxa"/>
                  <w:right w:w="28" w:type="dxa"/>
                </w:tblCellMar>
              </w:tblPrEx>
              <w:trPr>
                <w:trHeight w:val="0" w:hRule="atLeast"/>
              </w:trPr>
              <w:tc>
                <w:tcPr>
                  <w:tcW w:w="235" w:type="pct"/>
                  <w:tcBorders>
                    <w:tl2br w:val="nil"/>
                    <w:tr2bl w:val="nil"/>
                  </w:tcBorders>
                  <w:shd w:val="clear" w:color="auto" w:fill="FFFFFF"/>
                  <w:noWrap/>
                  <w:vAlign w:val="center"/>
                </w:tcPr>
                <w:p w14:paraId="20695CDF">
                  <w:pPr>
                    <w:keepNext w:val="0"/>
                    <w:keepLines w:val="0"/>
                    <w:pageBreakBefore w:val="0"/>
                    <w:widowControl/>
                    <w:suppressLineNumbers w:val="0"/>
                    <w:kinsoku/>
                    <w:wordWrap/>
                    <w:overflowPunct/>
                    <w:topLinePunct w:val="0"/>
                    <w:bidi w:val="0"/>
                    <w:adjustRightInd w:val="0"/>
                    <w:snapToGrid w:val="0"/>
                    <w:spacing w:before="0" w:beforeAutospacing="0" w:after="0" w:afterAutospacing="0" w:line="276" w:lineRule="auto"/>
                    <w:ind w:left="0" w:right="0"/>
                    <w:jc w:val="center"/>
                    <w:textAlignment w:val="center"/>
                    <w:rPr>
                      <w:rFonts w:hint="default" w:ascii="Times New Roman" w:hAnsi="Times New Roman" w:eastAsia="宋体" w:cs="Times New Roman"/>
                      <w:color w:val="auto"/>
                      <w:sz w:val="18"/>
                      <w:szCs w:val="18"/>
                      <w:highlight w:val="none"/>
                      <w:lang w:val="en-US" w:eastAsia="zh-CN"/>
                    </w:rPr>
                  </w:pPr>
                  <w:r>
                    <w:rPr>
                      <w:rFonts w:hint="default" w:ascii="Times New Roman" w:hAnsi="Times New Roman" w:eastAsia="宋体" w:cs="Times New Roman"/>
                      <w:i w:val="0"/>
                      <w:iCs w:val="0"/>
                      <w:color w:val="000000"/>
                      <w:kern w:val="0"/>
                      <w:sz w:val="18"/>
                      <w:szCs w:val="18"/>
                      <w:highlight w:val="none"/>
                      <w:u w:val="none"/>
                      <w:lang w:val="en-US" w:eastAsia="zh-CN" w:bidi="ar"/>
                    </w:rPr>
                    <w:t>40</w:t>
                  </w:r>
                </w:p>
              </w:tc>
              <w:tc>
                <w:tcPr>
                  <w:tcW w:w="349" w:type="pct"/>
                  <w:vMerge w:val="continue"/>
                  <w:tcBorders>
                    <w:tl2br w:val="nil"/>
                    <w:tr2bl w:val="nil"/>
                  </w:tcBorders>
                  <w:shd w:val="clear" w:color="auto" w:fill="FFFFFF"/>
                  <w:vAlign w:val="center"/>
                </w:tcPr>
                <w:p w14:paraId="0D6ABE41">
                  <w:pPr>
                    <w:pStyle w:val="120"/>
                    <w:keepNext w:val="0"/>
                    <w:keepLines w:val="0"/>
                    <w:pageBreakBefore w:val="0"/>
                    <w:framePr w:hSpace="0" w:wrap="auto" w:vAnchor="margin" w:hAnchor="text" w:xAlign="left" w:yAlign="inline"/>
                    <w:suppressLineNumbers w:val="0"/>
                    <w:kinsoku/>
                    <w:wordWrap/>
                    <w:overflowPunct/>
                    <w:topLinePunct w:val="0"/>
                    <w:bidi w:val="0"/>
                    <w:adjustRightInd w:val="0"/>
                    <w:snapToGrid w:val="0"/>
                    <w:spacing w:before="0" w:beforeAutospacing="0" w:after="0" w:afterAutospacing="0" w:line="276" w:lineRule="auto"/>
                    <w:ind w:left="0" w:right="0"/>
                    <w:jc w:val="center"/>
                    <w:rPr>
                      <w:rFonts w:hint="default" w:ascii="Times New Roman" w:hAnsi="Times New Roman" w:eastAsia="宋体" w:cs="Times New Roman"/>
                      <w:color w:val="auto"/>
                      <w:sz w:val="18"/>
                      <w:szCs w:val="18"/>
                      <w:highlight w:val="none"/>
                      <w:lang w:val="en-US" w:eastAsia="zh-CN"/>
                    </w:rPr>
                  </w:pPr>
                </w:p>
              </w:tc>
              <w:tc>
                <w:tcPr>
                  <w:tcW w:w="1015" w:type="pct"/>
                  <w:vMerge w:val="continue"/>
                  <w:tcBorders>
                    <w:tl2br w:val="nil"/>
                    <w:tr2bl w:val="nil"/>
                  </w:tcBorders>
                  <w:shd w:val="clear" w:color="auto" w:fill="FFFFFF"/>
                  <w:vAlign w:val="center"/>
                </w:tcPr>
                <w:p w14:paraId="0607C823">
                  <w:pPr>
                    <w:pStyle w:val="120"/>
                    <w:keepNext w:val="0"/>
                    <w:keepLines w:val="0"/>
                    <w:pageBreakBefore w:val="0"/>
                    <w:framePr w:hSpace="0" w:wrap="auto" w:vAnchor="margin" w:hAnchor="text" w:xAlign="left" w:yAlign="inline"/>
                    <w:suppressLineNumbers w:val="0"/>
                    <w:kinsoku/>
                    <w:wordWrap/>
                    <w:overflowPunct/>
                    <w:topLinePunct w:val="0"/>
                    <w:bidi w:val="0"/>
                    <w:adjustRightInd w:val="0"/>
                    <w:snapToGrid w:val="0"/>
                    <w:spacing w:before="0" w:beforeAutospacing="0" w:after="0" w:afterAutospacing="0" w:line="276" w:lineRule="auto"/>
                    <w:ind w:left="0" w:right="0"/>
                    <w:jc w:val="center"/>
                    <w:rPr>
                      <w:rFonts w:hint="default" w:ascii="Times New Roman" w:hAnsi="Times New Roman" w:eastAsia="宋体" w:cs="Times New Roman"/>
                      <w:color w:val="auto"/>
                      <w:sz w:val="18"/>
                      <w:szCs w:val="18"/>
                      <w:highlight w:val="none"/>
                      <w:lang w:val="en-US" w:eastAsia="zh-CN"/>
                    </w:rPr>
                  </w:pPr>
                </w:p>
              </w:tc>
              <w:tc>
                <w:tcPr>
                  <w:tcW w:w="1436" w:type="pct"/>
                  <w:tcBorders>
                    <w:tl2br w:val="nil"/>
                    <w:tr2bl w:val="nil"/>
                  </w:tcBorders>
                  <w:shd w:val="clear" w:color="auto" w:fill="FFFFFF"/>
                  <w:noWrap/>
                  <w:vAlign w:val="center"/>
                </w:tcPr>
                <w:p w14:paraId="240E0964">
                  <w:pPr>
                    <w:keepNext w:val="0"/>
                    <w:keepLines w:val="0"/>
                    <w:pageBreakBefore w:val="0"/>
                    <w:widowControl/>
                    <w:suppressLineNumbers w:val="0"/>
                    <w:kinsoku/>
                    <w:wordWrap/>
                    <w:overflowPunct/>
                    <w:topLinePunct w:val="0"/>
                    <w:bidi w:val="0"/>
                    <w:adjustRightInd w:val="0"/>
                    <w:snapToGrid w:val="0"/>
                    <w:spacing w:before="0" w:beforeAutospacing="0" w:after="0" w:afterAutospacing="0" w:line="276" w:lineRule="auto"/>
                    <w:ind w:left="0" w:right="0"/>
                    <w:jc w:val="center"/>
                    <w:textAlignment w:val="center"/>
                    <w:rPr>
                      <w:rFonts w:hint="default" w:ascii="Times New Roman" w:hAnsi="Times New Roman" w:eastAsia="宋体" w:cs="Times New Roman"/>
                      <w:color w:val="auto"/>
                      <w:sz w:val="18"/>
                      <w:szCs w:val="18"/>
                      <w:highlight w:val="none"/>
                      <w:lang w:val="en-US" w:eastAsia="zh-CN"/>
                    </w:rPr>
                  </w:pPr>
                  <w:r>
                    <w:rPr>
                      <w:rFonts w:hint="default" w:ascii="Times New Roman" w:hAnsi="Times New Roman" w:eastAsia="宋体" w:cs="Times New Roman"/>
                      <w:i w:val="0"/>
                      <w:iCs w:val="0"/>
                      <w:color w:val="000000"/>
                      <w:kern w:val="0"/>
                      <w:sz w:val="18"/>
                      <w:szCs w:val="18"/>
                      <w:highlight w:val="none"/>
                      <w:u w:val="none"/>
                      <w:lang w:val="en-US" w:eastAsia="zh-CN" w:bidi="ar"/>
                    </w:rPr>
                    <w:t>6696</w:t>
                  </w:r>
                  <w:r>
                    <w:rPr>
                      <w:rFonts w:hint="default" w:ascii="Times New Roman" w:hAnsi="Times New Roman" w:eastAsia="宋体" w:cs="Times New Roman"/>
                      <w:color w:val="auto"/>
                      <w:sz w:val="18"/>
                      <w:szCs w:val="18"/>
                      <w:highlight w:val="none"/>
                      <w:lang w:val="en-US" w:eastAsia="zh-CN"/>
                    </w:rPr>
                    <w:t>mm</w:t>
                  </w:r>
                  <w:r>
                    <w:rPr>
                      <w:rFonts w:hint="default" w:ascii="Times New Roman" w:hAnsi="Times New Roman" w:eastAsia="宋体" w:cs="Times New Roman"/>
                      <w:i w:val="0"/>
                      <w:iCs w:val="0"/>
                      <w:color w:val="000000"/>
                      <w:kern w:val="0"/>
                      <w:sz w:val="18"/>
                      <w:szCs w:val="18"/>
                      <w:highlight w:val="none"/>
                      <w:u w:val="none"/>
                      <w:lang w:val="en-US" w:eastAsia="zh-CN" w:bidi="ar"/>
                    </w:rPr>
                    <w:t>×1903</w:t>
                  </w:r>
                  <w:r>
                    <w:rPr>
                      <w:rFonts w:hint="default" w:ascii="Times New Roman" w:hAnsi="Times New Roman" w:eastAsia="宋体" w:cs="Times New Roman"/>
                      <w:color w:val="auto"/>
                      <w:sz w:val="18"/>
                      <w:szCs w:val="18"/>
                      <w:highlight w:val="none"/>
                      <w:lang w:val="en-US" w:eastAsia="zh-CN"/>
                    </w:rPr>
                    <w:t>mm</w:t>
                  </w:r>
                  <w:r>
                    <w:rPr>
                      <w:rFonts w:hint="default" w:ascii="Times New Roman" w:hAnsi="Times New Roman" w:eastAsia="宋体" w:cs="Times New Roman"/>
                      <w:i w:val="0"/>
                      <w:iCs w:val="0"/>
                      <w:color w:val="000000"/>
                      <w:kern w:val="0"/>
                      <w:sz w:val="18"/>
                      <w:szCs w:val="18"/>
                      <w:highlight w:val="none"/>
                      <w:u w:val="none"/>
                      <w:lang w:val="en-US" w:eastAsia="zh-CN" w:bidi="ar"/>
                    </w:rPr>
                    <w:t>×680</w:t>
                  </w:r>
                  <w:r>
                    <w:rPr>
                      <w:rFonts w:hint="default" w:ascii="Times New Roman" w:hAnsi="Times New Roman" w:eastAsia="宋体" w:cs="Times New Roman"/>
                      <w:color w:val="auto"/>
                      <w:sz w:val="18"/>
                      <w:szCs w:val="18"/>
                      <w:highlight w:val="none"/>
                      <w:lang w:val="en-US" w:eastAsia="zh-CN"/>
                    </w:rPr>
                    <w:t>mm</w:t>
                  </w:r>
                </w:p>
              </w:tc>
              <w:tc>
                <w:tcPr>
                  <w:tcW w:w="284" w:type="pct"/>
                  <w:tcBorders>
                    <w:tl2br w:val="nil"/>
                    <w:tr2bl w:val="nil"/>
                  </w:tcBorders>
                  <w:shd w:val="clear" w:color="auto" w:fill="FFFFFF"/>
                  <w:vAlign w:val="center"/>
                </w:tcPr>
                <w:p w14:paraId="1F2CA590">
                  <w:pPr>
                    <w:keepNext w:val="0"/>
                    <w:keepLines w:val="0"/>
                    <w:pageBreakBefore w:val="0"/>
                    <w:widowControl/>
                    <w:suppressLineNumbers w:val="0"/>
                    <w:kinsoku/>
                    <w:wordWrap/>
                    <w:overflowPunct/>
                    <w:topLinePunct w:val="0"/>
                    <w:bidi w:val="0"/>
                    <w:adjustRightInd w:val="0"/>
                    <w:snapToGrid w:val="0"/>
                    <w:spacing w:before="0" w:beforeAutospacing="0" w:after="0" w:afterAutospacing="0" w:line="276" w:lineRule="auto"/>
                    <w:ind w:left="0" w:right="0"/>
                    <w:jc w:val="center"/>
                    <w:textAlignment w:val="center"/>
                    <w:rPr>
                      <w:rFonts w:hint="default" w:ascii="Times New Roman" w:hAnsi="Times New Roman" w:eastAsia="宋体" w:cs="Times New Roman"/>
                      <w:color w:val="auto"/>
                      <w:sz w:val="18"/>
                      <w:szCs w:val="18"/>
                      <w:highlight w:val="none"/>
                    </w:rPr>
                  </w:pPr>
                  <w:r>
                    <w:rPr>
                      <w:rFonts w:hint="default" w:ascii="Times New Roman" w:hAnsi="Times New Roman" w:eastAsia="宋体" w:cs="Times New Roman"/>
                      <w:i w:val="0"/>
                      <w:iCs w:val="0"/>
                      <w:color w:val="000000"/>
                      <w:kern w:val="0"/>
                      <w:sz w:val="18"/>
                      <w:szCs w:val="18"/>
                      <w:highlight w:val="none"/>
                      <w:u w:val="none"/>
                      <w:lang w:val="en-US" w:eastAsia="zh-CN" w:bidi="ar"/>
                    </w:rPr>
                    <w:t>4</w:t>
                  </w:r>
                </w:p>
              </w:tc>
              <w:tc>
                <w:tcPr>
                  <w:tcW w:w="1678" w:type="pct"/>
                  <w:tcBorders>
                    <w:tl2br w:val="nil"/>
                    <w:tr2bl w:val="nil"/>
                  </w:tcBorders>
                  <w:shd w:val="clear" w:color="auto" w:fill="FFFFFF"/>
                  <w:vAlign w:val="center"/>
                </w:tcPr>
                <w:p w14:paraId="289EC5F6">
                  <w:pPr>
                    <w:keepNext w:val="0"/>
                    <w:keepLines w:val="0"/>
                    <w:pageBreakBefore w:val="0"/>
                    <w:widowControl/>
                    <w:suppressLineNumbers w:val="0"/>
                    <w:kinsoku/>
                    <w:wordWrap/>
                    <w:overflowPunct/>
                    <w:topLinePunct w:val="0"/>
                    <w:bidi w:val="0"/>
                    <w:adjustRightInd w:val="0"/>
                    <w:snapToGrid w:val="0"/>
                    <w:spacing w:before="0" w:beforeAutospacing="0" w:after="0" w:afterAutospacing="0" w:line="276" w:lineRule="auto"/>
                    <w:ind w:left="0" w:right="0"/>
                    <w:jc w:val="center"/>
                    <w:textAlignment w:val="center"/>
                    <w:rPr>
                      <w:rFonts w:hint="default" w:ascii="Times New Roman" w:hAnsi="Times New Roman" w:eastAsia="宋体" w:cs="Times New Roman"/>
                      <w:color w:val="auto"/>
                      <w:sz w:val="18"/>
                      <w:szCs w:val="18"/>
                      <w:highlight w:val="none"/>
                    </w:rPr>
                  </w:pPr>
                  <w:r>
                    <w:rPr>
                      <w:rFonts w:hint="default" w:ascii="Times New Roman" w:hAnsi="Times New Roman" w:eastAsia="宋体" w:cs="Times New Roman"/>
                      <w:i w:val="0"/>
                      <w:iCs w:val="0"/>
                      <w:color w:val="000000"/>
                      <w:kern w:val="0"/>
                      <w:sz w:val="18"/>
                      <w:szCs w:val="18"/>
                      <w:highlight w:val="none"/>
                      <w:u w:val="none"/>
                      <w:lang w:val="en-US" w:eastAsia="zh-CN" w:bidi="ar"/>
                    </w:rPr>
                    <w:t>小鼠饲养间2、3、4、5</w:t>
                  </w:r>
                </w:p>
              </w:tc>
            </w:tr>
            <w:tr w14:paraId="6571686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0" w:hRule="atLeast"/>
              </w:trPr>
              <w:tc>
                <w:tcPr>
                  <w:tcW w:w="235" w:type="pct"/>
                  <w:tcBorders>
                    <w:tl2br w:val="nil"/>
                    <w:tr2bl w:val="nil"/>
                  </w:tcBorders>
                  <w:shd w:val="clear" w:color="auto" w:fill="FFFFFF"/>
                  <w:noWrap/>
                  <w:vAlign w:val="center"/>
                </w:tcPr>
                <w:p w14:paraId="55B0A5D3">
                  <w:pPr>
                    <w:keepNext w:val="0"/>
                    <w:keepLines w:val="0"/>
                    <w:pageBreakBefore w:val="0"/>
                    <w:widowControl/>
                    <w:suppressLineNumbers w:val="0"/>
                    <w:kinsoku/>
                    <w:wordWrap/>
                    <w:overflowPunct/>
                    <w:topLinePunct w:val="0"/>
                    <w:bidi w:val="0"/>
                    <w:adjustRightInd w:val="0"/>
                    <w:snapToGrid w:val="0"/>
                    <w:spacing w:before="0" w:beforeAutospacing="0" w:after="0" w:afterAutospacing="0" w:line="276" w:lineRule="auto"/>
                    <w:ind w:left="0" w:right="0"/>
                    <w:jc w:val="center"/>
                    <w:textAlignment w:val="center"/>
                    <w:rPr>
                      <w:rFonts w:hint="default" w:ascii="Times New Roman" w:hAnsi="Times New Roman" w:eastAsia="宋体" w:cs="Times New Roman"/>
                      <w:color w:val="auto"/>
                      <w:sz w:val="18"/>
                      <w:szCs w:val="18"/>
                      <w:highlight w:val="none"/>
                      <w:lang w:val="en-US" w:eastAsia="zh-CN"/>
                    </w:rPr>
                  </w:pPr>
                  <w:r>
                    <w:rPr>
                      <w:rFonts w:hint="default" w:ascii="Times New Roman" w:hAnsi="Times New Roman" w:eastAsia="宋体" w:cs="Times New Roman"/>
                      <w:i w:val="0"/>
                      <w:iCs w:val="0"/>
                      <w:color w:val="000000"/>
                      <w:kern w:val="0"/>
                      <w:sz w:val="18"/>
                      <w:szCs w:val="18"/>
                      <w:highlight w:val="none"/>
                      <w:u w:val="none"/>
                      <w:lang w:val="en-US" w:eastAsia="zh-CN" w:bidi="ar"/>
                    </w:rPr>
                    <w:t>41</w:t>
                  </w:r>
                </w:p>
              </w:tc>
              <w:tc>
                <w:tcPr>
                  <w:tcW w:w="349" w:type="pct"/>
                  <w:vMerge w:val="continue"/>
                  <w:tcBorders>
                    <w:tl2br w:val="nil"/>
                    <w:tr2bl w:val="nil"/>
                  </w:tcBorders>
                  <w:shd w:val="clear" w:color="auto" w:fill="FFFFFF"/>
                  <w:vAlign w:val="center"/>
                </w:tcPr>
                <w:p w14:paraId="1B3A5D05">
                  <w:pPr>
                    <w:pStyle w:val="120"/>
                    <w:keepNext w:val="0"/>
                    <w:keepLines w:val="0"/>
                    <w:pageBreakBefore w:val="0"/>
                    <w:framePr w:hSpace="0" w:wrap="auto" w:vAnchor="margin" w:hAnchor="text" w:xAlign="left" w:yAlign="inline"/>
                    <w:suppressLineNumbers w:val="0"/>
                    <w:kinsoku/>
                    <w:wordWrap/>
                    <w:overflowPunct/>
                    <w:topLinePunct w:val="0"/>
                    <w:bidi w:val="0"/>
                    <w:adjustRightInd w:val="0"/>
                    <w:snapToGrid w:val="0"/>
                    <w:spacing w:before="0" w:beforeAutospacing="0" w:after="0" w:afterAutospacing="0" w:line="276" w:lineRule="auto"/>
                    <w:ind w:left="0" w:right="0"/>
                    <w:jc w:val="center"/>
                    <w:rPr>
                      <w:rFonts w:hint="default" w:ascii="Times New Roman" w:hAnsi="Times New Roman" w:eastAsia="宋体" w:cs="Times New Roman"/>
                      <w:color w:val="auto"/>
                      <w:sz w:val="18"/>
                      <w:szCs w:val="18"/>
                      <w:highlight w:val="none"/>
                      <w:lang w:val="en-US" w:eastAsia="zh-CN"/>
                    </w:rPr>
                  </w:pPr>
                </w:p>
              </w:tc>
              <w:tc>
                <w:tcPr>
                  <w:tcW w:w="1015" w:type="pct"/>
                  <w:vMerge w:val="continue"/>
                  <w:tcBorders>
                    <w:tl2br w:val="nil"/>
                    <w:tr2bl w:val="nil"/>
                  </w:tcBorders>
                  <w:shd w:val="clear" w:color="auto" w:fill="FFFFFF"/>
                  <w:vAlign w:val="center"/>
                </w:tcPr>
                <w:p w14:paraId="5CB9E7D4">
                  <w:pPr>
                    <w:pStyle w:val="120"/>
                    <w:keepNext w:val="0"/>
                    <w:keepLines w:val="0"/>
                    <w:pageBreakBefore w:val="0"/>
                    <w:framePr w:hSpace="0" w:wrap="auto" w:vAnchor="margin" w:hAnchor="text" w:xAlign="left" w:yAlign="inline"/>
                    <w:suppressLineNumbers w:val="0"/>
                    <w:kinsoku/>
                    <w:wordWrap/>
                    <w:overflowPunct/>
                    <w:topLinePunct w:val="0"/>
                    <w:bidi w:val="0"/>
                    <w:adjustRightInd w:val="0"/>
                    <w:snapToGrid w:val="0"/>
                    <w:spacing w:before="0" w:beforeAutospacing="0" w:after="0" w:afterAutospacing="0" w:line="276" w:lineRule="auto"/>
                    <w:ind w:left="0" w:right="0"/>
                    <w:jc w:val="center"/>
                    <w:rPr>
                      <w:rFonts w:hint="default" w:ascii="Times New Roman" w:hAnsi="Times New Roman" w:eastAsia="宋体" w:cs="Times New Roman"/>
                      <w:color w:val="auto"/>
                      <w:sz w:val="18"/>
                      <w:szCs w:val="18"/>
                      <w:highlight w:val="none"/>
                      <w:lang w:val="en-US" w:eastAsia="zh-CN"/>
                    </w:rPr>
                  </w:pPr>
                </w:p>
              </w:tc>
              <w:tc>
                <w:tcPr>
                  <w:tcW w:w="1436" w:type="pct"/>
                  <w:tcBorders>
                    <w:tl2br w:val="nil"/>
                    <w:tr2bl w:val="nil"/>
                  </w:tcBorders>
                  <w:shd w:val="clear" w:color="auto" w:fill="FFFFFF"/>
                  <w:noWrap/>
                  <w:vAlign w:val="center"/>
                </w:tcPr>
                <w:p w14:paraId="68D117CA">
                  <w:pPr>
                    <w:keepNext w:val="0"/>
                    <w:keepLines w:val="0"/>
                    <w:pageBreakBefore w:val="0"/>
                    <w:widowControl/>
                    <w:suppressLineNumbers w:val="0"/>
                    <w:kinsoku/>
                    <w:wordWrap/>
                    <w:overflowPunct/>
                    <w:topLinePunct w:val="0"/>
                    <w:bidi w:val="0"/>
                    <w:adjustRightInd w:val="0"/>
                    <w:snapToGrid w:val="0"/>
                    <w:spacing w:before="0" w:beforeAutospacing="0" w:after="0" w:afterAutospacing="0" w:line="276" w:lineRule="auto"/>
                    <w:ind w:left="0" w:right="0"/>
                    <w:jc w:val="center"/>
                    <w:textAlignment w:val="center"/>
                    <w:rPr>
                      <w:rFonts w:hint="default" w:ascii="Times New Roman" w:hAnsi="Times New Roman" w:eastAsia="宋体" w:cs="Times New Roman"/>
                      <w:color w:val="auto"/>
                      <w:sz w:val="18"/>
                      <w:szCs w:val="18"/>
                      <w:highlight w:val="none"/>
                      <w:lang w:val="en-US" w:eastAsia="zh-CN"/>
                    </w:rPr>
                  </w:pPr>
                  <w:r>
                    <w:rPr>
                      <w:rFonts w:hint="default" w:ascii="Times New Roman" w:hAnsi="Times New Roman" w:eastAsia="宋体" w:cs="Times New Roman"/>
                      <w:i w:val="0"/>
                      <w:iCs w:val="0"/>
                      <w:color w:val="000000"/>
                      <w:kern w:val="0"/>
                      <w:sz w:val="18"/>
                      <w:szCs w:val="18"/>
                      <w:highlight w:val="none"/>
                      <w:u w:val="none"/>
                      <w:lang w:val="en-US" w:eastAsia="zh-CN" w:bidi="ar"/>
                    </w:rPr>
                    <w:t>4406</w:t>
                  </w:r>
                  <w:r>
                    <w:rPr>
                      <w:rFonts w:hint="default" w:ascii="Times New Roman" w:hAnsi="Times New Roman" w:eastAsia="宋体" w:cs="Times New Roman"/>
                      <w:color w:val="auto"/>
                      <w:sz w:val="18"/>
                      <w:szCs w:val="18"/>
                      <w:highlight w:val="none"/>
                      <w:lang w:val="en-US" w:eastAsia="zh-CN"/>
                    </w:rPr>
                    <w:t>mm</w:t>
                  </w:r>
                  <w:r>
                    <w:rPr>
                      <w:rFonts w:hint="default" w:ascii="Times New Roman" w:hAnsi="Times New Roman" w:eastAsia="宋体" w:cs="Times New Roman"/>
                      <w:i w:val="0"/>
                      <w:iCs w:val="0"/>
                      <w:color w:val="000000"/>
                      <w:kern w:val="0"/>
                      <w:sz w:val="18"/>
                      <w:szCs w:val="18"/>
                      <w:highlight w:val="none"/>
                      <w:u w:val="none"/>
                      <w:lang w:val="en-US" w:eastAsia="zh-CN" w:bidi="ar"/>
                    </w:rPr>
                    <w:t>×1903</w:t>
                  </w:r>
                  <w:r>
                    <w:rPr>
                      <w:rFonts w:hint="default" w:ascii="Times New Roman" w:hAnsi="Times New Roman" w:eastAsia="宋体" w:cs="Times New Roman"/>
                      <w:color w:val="auto"/>
                      <w:sz w:val="18"/>
                      <w:szCs w:val="18"/>
                      <w:highlight w:val="none"/>
                      <w:lang w:val="en-US" w:eastAsia="zh-CN"/>
                    </w:rPr>
                    <w:t>mm</w:t>
                  </w:r>
                  <w:r>
                    <w:rPr>
                      <w:rFonts w:hint="default" w:ascii="Times New Roman" w:hAnsi="Times New Roman" w:eastAsia="宋体" w:cs="Times New Roman"/>
                      <w:i w:val="0"/>
                      <w:iCs w:val="0"/>
                      <w:color w:val="000000"/>
                      <w:kern w:val="0"/>
                      <w:sz w:val="18"/>
                      <w:szCs w:val="18"/>
                      <w:highlight w:val="none"/>
                      <w:u w:val="none"/>
                      <w:lang w:val="en-US" w:eastAsia="zh-CN" w:bidi="ar"/>
                    </w:rPr>
                    <w:t>×680</w:t>
                  </w:r>
                  <w:r>
                    <w:rPr>
                      <w:rFonts w:hint="default" w:ascii="Times New Roman" w:hAnsi="Times New Roman" w:eastAsia="宋体" w:cs="Times New Roman"/>
                      <w:color w:val="auto"/>
                      <w:sz w:val="18"/>
                      <w:szCs w:val="18"/>
                      <w:highlight w:val="none"/>
                      <w:lang w:val="en-US" w:eastAsia="zh-CN"/>
                    </w:rPr>
                    <w:t>mm</w:t>
                  </w:r>
                </w:p>
              </w:tc>
              <w:tc>
                <w:tcPr>
                  <w:tcW w:w="284" w:type="pct"/>
                  <w:tcBorders>
                    <w:tl2br w:val="nil"/>
                    <w:tr2bl w:val="nil"/>
                  </w:tcBorders>
                  <w:shd w:val="clear" w:color="auto" w:fill="FFFFFF"/>
                  <w:vAlign w:val="center"/>
                </w:tcPr>
                <w:p w14:paraId="47B00E92">
                  <w:pPr>
                    <w:keepNext w:val="0"/>
                    <w:keepLines w:val="0"/>
                    <w:pageBreakBefore w:val="0"/>
                    <w:widowControl/>
                    <w:suppressLineNumbers w:val="0"/>
                    <w:kinsoku/>
                    <w:wordWrap/>
                    <w:overflowPunct/>
                    <w:topLinePunct w:val="0"/>
                    <w:bidi w:val="0"/>
                    <w:adjustRightInd w:val="0"/>
                    <w:snapToGrid w:val="0"/>
                    <w:spacing w:before="0" w:beforeAutospacing="0" w:after="0" w:afterAutospacing="0" w:line="276" w:lineRule="auto"/>
                    <w:ind w:left="0" w:right="0"/>
                    <w:jc w:val="center"/>
                    <w:textAlignment w:val="center"/>
                    <w:rPr>
                      <w:rFonts w:hint="default" w:ascii="Times New Roman" w:hAnsi="Times New Roman" w:eastAsia="宋体" w:cs="Times New Roman"/>
                      <w:color w:val="auto"/>
                      <w:sz w:val="18"/>
                      <w:szCs w:val="18"/>
                      <w:highlight w:val="none"/>
                    </w:rPr>
                  </w:pPr>
                  <w:r>
                    <w:rPr>
                      <w:rFonts w:hint="default" w:ascii="Times New Roman" w:hAnsi="Times New Roman" w:eastAsia="宋体" w:cs="Times New Roman"/>
                      <w:i w:val="0"/>
                      <w:iCs w:val="0"/>
                      <w:color w:val="000000"/>
                      <w:kern w:val="0"/>
                      <w:sz w:val="18"/>
                      <w:szCs w:val="18"/>
                      <w:highlight w:val="none"/>
                      <w:u w:val="none"/>
                      <w:lang w:val="en-US" w:eastAsia="zh-CN" w:bidi="ar"/>
                    </w:rPr>
                    <w:t>5</w:t>
                  </w:r>
                </w:p>
              </w:tc>
              <w:tc>
                <w:tcPr>
                  <w:tcW w:w="1678" w:type="pct"/>
                  <w:tcBorders>
                    <w:tl2br w:val="nil"/>
                    <w:tr2bl w:val="nil"/>
                  </w:tcBorders>
                  <w:shd w:val="clear" w:color="auto" w:fill="FFFFFF"/>
                  <w:vAlign w:val="center"/>
                </w:tcPr>
                <w:p w14:paraId="440161F4">
                  <w:pPr>
                    <w:keepNext w:val="0"/>
                    <w:keepLines w:val="0"/>
                    <w:pageBreakBefore w:val="0"/>
                    <w:widowControl/>
                    <w:suppressLineNumbers w:val="0"/>
                    <w:kinsoku/>
                    <w:wordWrap/>
                    <w:overflowPunct/>
                    <w:topLinePunct w:val="0"/>
                    <w:bidi w:val="0"/>
                    <w:adjustRightInd w:val="0"/>
                    <w:snapToGrid w:val="0"/>
                    <w:spacing w:before="0" w:beforeAutospacing="0" w:after="0" w:afterAutospacing="0" w:line="276" w:lineRule="auto"/>
                    <w:ind w:left="0" w:right="0"/>
                    <w:jc w:val="center"/>
                    <w:textAlignment w:val="center"/>
                    <w:rPr>
                      <w:rFonts w:hint="default" w:ascii="Times New Roman" w:hAnsi="Times New Roman" w:eastAsia="宋体" w:cs="Times New Roman"/>
                      <w:color w:val="auto"/>
                      <w:sz w:val="18"/>
                      <w:szCs w:val="18"/>
                      <w:highlight w:val="none"/>
                    </w:rPr>
                  </w:pPr>
                  <w:r>
                    <w:rPr>
                      <w:rFonts w:hint="default" w:ascii="Times New Roman" w:hAnsi="Times New Roman" w:eastAsia="宋体" w:cs="Times New Roman"/>
                      <w:i w:val="0"/>
                      <w:iCs w:val="0"/>
                      <w:color w:val="000000"/>
                      <w:kern w:val="0"/>
                      <w:sz w:val="18"/>
                      <w:szCs w:val="18"/>
                      <w:highlight w:val="none"/>
                      <w:u w:val="none"/>
                      <w:lang w:val="en-US" w:eastAsia="zh-CN" w:bidi="ar"/>
                    </w:rPr>
                    <w:t>小鼠饲养间1、2、3、4、5</w:t>
                  </w:r>
                </w:p>
              </w:tc>
            </w:tr>
            <w:tr w14:paraId="11E83AF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0" w:hRule="atLeast"/>
              </w:trPr>
              <w:tc>
                <w:tcPr>
                  <w:tcW w:w="235" w:type="pct"/>
                  <w:tcBorders>
                    <w:tl2br w:val="nil"/>
                    <w:tr2bl w:val="nil"/>
                  </w:tcBorders>
                  <w:shd w:val="clear" w:color="auto" w:fill="FFFFFF"/>
                  <w:noWrap/>
                  <w:vAlign w:val="center"/>
                </w:tcPr>
                <w:p w14:paraId="198B631D">
                  <w:pPr>
                    <w:keepNext w:val="0"/>
                    <w:keepLines w:val="0"/>
                    <w:pageBreakBefore w:val="0"/>
                    <w:widowControl/>
                    <w:suppressLineNumbers w:val="0"/>
                    <w:kinsoku/>
                    <w:wordWrap/>
                    <w:overflowPunct/>
                    <w:topLinePunct w:val="0"/>
                    <w:bidi w:val="0"/>
                    <w:adjustRightInd w:val="0"/>
                    <w:snapToGrid w:val="0"/>
                    <w:spacing w:before="0" w:beforeAutospacing="0" w:after="0" w:afterAutospacing="0" w:line="276" w:lineRule="auto"/>
                    <w:ind w:left="0" w:right="0"/>
                    <w:jc w:val="center"/>
                    <w:textAlignment w:val="center"/>
                    <w:rPr>
                      <w:rFonts w:hint="default" w:ascii="Times New Roman" w:hAnsi="Times New Roman" w:eastAsia="宋体" w:cs="Times New Roman"/>
                      <w:color w:val="auto"/>
                      <w:sz w:val="18"/>
                      <w:szCs w:val="18"/>
                      <w:highlight w:val="none"/>
                      <w:lang w:val="en-US" w:eastAsia="zh-CN"/>
                    </w:rPr>
                  </w:pPr>
                  <w:r>
                    <w:rPr>
                      <w:rFonts w:hint="default" w:ascii="Times New Roman" w:hAnsi="Times New Roman" w:eastAsia="宋体" w:cs="Times New Roman"/>
                      <w:i w:val="0"/>
                      <w:iCs w:val="0"/>
                      <w:color w:val="000000"/>
                      <w:kern w:val="0"/>
                      <w:sz w:val="18"/>
                      <w:szCs w:val="18"/>
                      <w:highlight w:val="none"/>
                      <w:u w:val="none"/>
                      <w:lang w:val="en-US" w:eastAsia="zh-CN" w:bidi="ar"/>
                    </w:rPr>
                    <w:t>42</w:t>
                  </w:r>
                </w:p>
              </w:tc>
              <w:tc>
                <w:tcPr>
                  <w:tcW w:w="349" w:type="pct"/>
                  <w:vMerge w:val="continue"/>
                  <w:tcBorders>
                    <w:tl2br w:val="nil"/>
                    <w:tr2bl w:val="nil"/>
                  </w:tcBorders>
                  <w:shd w:val="clear" w:color="auto" w:fill="FFFFFF"/>
                  <w:vAlign w:val="center"/>
                </w:tcPr>
                <w:p w14:paraId="53B72146">
                  <w:pPr>
                    <w:pStyle w:val="120"/>
                    <w:keepNext w:val="0"/>
                    <w:keepLines w:val="0"/>
                    <w:pageBreakBefore w:val="0"/>
                    <w:framePr w:hSpace="0" w:wrap="auto" w:vAnchor="margin" w:hAnchor="text" w:xAlign="left" w:yAlign="inline"/>
                    <w:suppressLineNumbers w:val="0"/>
                    <w:kinsoku/>
                    <w:wordWrap/>
                    <w:overflowPunct/>
                    <w:topLinePunct w:val="0"/>
                    <w:bidi w:val="0"/>
                    <w:adjustRightInd w:val="0"/>
                    <w:snapToGrid w:val="0"/>
                    <w:spacing w:before="0" w:beforeAutospacing="0" w:after="0" w:afterAutospacing="0" w:line="276" w:lineRule="auto"/>
                    <w:ind w:left="0" w:right="0"/>
                    <w:jc w:val="center"/>
                    <w:rPr>
                      <w:rFonts w:hint="default" w:ascii="Times New Roman" w:hAnsi="Times New Roman" w:eastAsia="宋体" w:cs="Times New Roman"/>
                      <w:color w:val="auto"/>
                      <w:sz w:val="18"/>
                      <w:szCs w:val="18"/>
                      <w:highlight w:val="none"/>
                      <w:lang w:val="en-US" w:eastAsia="zh-CN"/>
                    </w:rPr>
                  </w:pPr>
                </w:p>
              </w:tc>
              <w:tc>
                <w:tcPr>
                  <w:tcW w:w="1015" w:type="pct"/>
                  <w:vMerge w:val="continue"/>
                  <w:tcBorders>
                    <w:tl2br w:val="nil"/>
                    <w:tr2bl w:val="nil"/>
                  </w:tcBorders>
                  <w:shd w:val="clear" w:color="auto" w:fill="FFFFFF"/>
                  <w:vAlign w:val="center"/>
                </w:tcPr>
                <w:p w14:paraId="100BD049">
                  <w:pPr>
                    <w:pStyle w:val="120"/>
                    <w:keepNext w:val="0"/>
                    <w:keepLines w:val="0"/>
                    <w:pageBreakBefore w:val="0"/>
                    <w:framePr w:hSpace="0" w:wrap="auto" w:vAnchor="margin" w:hAnchor="text" w:xAlign="left" w:yAlign="inline"/>
                    <w:suppressLineNumbers w:val="0"/>
                    <w:kinsoku/>
                    <w:wordWrap/>
                    <w:overflowPunct/>
                    <w:topLinePunct w:val="0"/>
                    <w:bidi w:val="0"/>
                    <w:adjustRightInd w:val="0"/>
                    <w:snapToGrid w:val="0"/>
                    <w:spacing w:before="0" w:beforeAutospacing="0" w:after="0" w:afterAutospacing="0" w:line="276" w:lineRule="auto"/>
                    <w:ind w:left="0" w:right="0"/>
                    <w:jc w:val="center"/>
                    <w:rPr>
                      <w:rFonts w:hint="default" w:ascii="Times New Roman" w:hAnsi="Times New Roman" w:eastAsia="宋体" w:cs="Times New Roman"/>
                      <w:color w:val="auto"/>
                      <w:sz w:val="18"/>
                      <w:szCs w:val="18"/>
                      <w:highlight w:val="none"/>
                      <w:lang w:val="en-US" w:eastAsia="zh-CN"/>
                    </w:rPr>
                  </w:pPr>
                </w:p>
              </w:tc>
              <w:tc>
                <w:tcPr>
                  <w:tcW w:w="1436" w:type="pct"/>
                  <w:tcBorders>
                    <w:tl2br w:val="nil"/>
                    <w:tr2bl w:val="nil"/>
                  </w:tcBorders>
                  <w:shd w:val="clear" w:color="auto" w:fill="FFFFFF"/>
                  <w:noWrap/>
                  <w:vAlign w:val="center"/>
                </w:tcPr>
                <w:p w14:paraId="20A6F7A9">
                  <w:pPr>
                    <w:keepNext w:val="0"/>
                    <w:keepLines w:val="0"/>
                    <w:pageBreakBefore w:val="0"/>
                    <w:widowControl/>
                    <w:suppressLineNumbers w:val="0"/>
                    <w:kinsoku/>
                    <w:wordWrap/>
                    <w:overflowPunct/>
                    <w:topLinePunct w:val="0"/>
                    <w:bidi w:val="0"/>
                    <w:adjustRightInd w:val="0"/>
                    <w:snapToGrid w:val="0"/>
                    <w:spacing w:before="0" w:beforeAutospacing="0" w:after="0" w:afterAutospacing="0" w:line="276" w:lineRule="auto"/>
                    <w:ind w:left="0" w:right="0"/>
                    <w:jc w:val="center"/>
                    <w:textAlignment w:val="center"/>
                    <w:rPr>
                      <w:rFonts w:hint="default" w:ascii="Times New Roman" w:hAnsi="Times New Roman" w:eastAsia="宋体" w:cs="Times New Roman"/>
                      <w:color w:val="auto"/>
                      <w:sz w:val="18"/>
                      <w:szCs w:val="18"/>
                      <w:highlight w:val="none"/>
                      <w:lang w:val="en-US" w:eastAsia="zh-CN"/>
                    </w:rPr>
                  </w:pPr>
                  <w:r>
                    <w:rPr>
                      <w:rFonts w:hint="default" w:ascii="Times New Roman" w:hAnsi="Times New Roman" w:eastAsia="宋体" w:cs="Times New Roman"/>
                      <w:i w:val="0"/>
                      <w:iCs w:val="0"/>
                      <w:color w:val="000000"/>
                      <w:kern w:val="0"/>
                      <w:sz w:val="18"/>
                      <w:szCs w:val="18"/>
                      <w:highlight w:val="none"/>
                      <w:u w:val="none"/>
                      <w:lang w:val="en-US" w:eastAsia="zh-CN" w:bidi="ar"/>
                    </w:rPr>
                    <w:t>4406</w:t>
                  </w:r>
                  <w:r>
                    <w:rPr>
                      <w:rFonts w:hint="default" w:ascii="Times New Roman" w:hAnsi="Times New Roman" w:eastAsia="宋体" w:cs="Times New Roman"/>
                      <w:color w:val="auto"/>
                      <w:sz w:val="18"/>
                      <w:szCs w:val="18"/>
                      <w:highlight w:val="none"/>
                      <w:lang w:val="en-US" w:eastAsia="zh-CN"/>
                    </w:rPr>
                    <w:t>mm</w:t>
                  </w:r>
                  <w:r>
                    <w:rPr>
                      <w:rFonts w:hint="default" w:ascii="Times New Roman" w:hAnsi="Times New Roman" w:eastAsia="宋体" w:cs="Times New Roman"/>
                      <w:i w:val="0"/>
                      <w:iCs w:val="0"/>
                      <w:color w:val="000000"/>
                      <w:kern w:val="0"/>
                      <w:sz w:val="18"/>
                      <w:szCs w:val="18"/>
                      <w:highlight w:val="none"/>
                      <w:u w:val="none"/>
                      <w:lang w:val="en-US" w:eastAsia="zh-CN" w:bidi="ar"/>
                    </w:rPr>
                    <w:t>×1903</w:t>
                  </w:r>
                  <w:r>
                    <w:rPr>
                      <w:rFonts w:hint="default" w:ascii="Times New Roman" w:hAnsi="Times New Roman" w:eastAsia="宋体" w:cs="Times New Roman"/>
                      <w:color w:val="auto"/>
                      <w:sz w:val="18"/>
                      <w:szCs w:val="18"/>
                      <w:highlight w:val="none"/>
                      <w:lang w:val="en-US" w:eastAsia="zh-CN"/>
                    </w:rPr>
                    <w:t>mm</w:t>
                  </w:r>
                  <w:r>
                    <w:rPr>
                      <w:rFonts w:hint="default" w:ascii="Times New Roman" w:hAnsi="Times New Roman" w:eastAsia="宋体" w:cs="Times New Roman"/>
                      <w:i w:val="0"/>
                      <w:iCs w:val="0"/>
                      <w:color w:val="000000"/>
                      <w:kern w:val="0"/>
                      <w:sz w:val="18"/>
                      <w:szCs w:val="18"/>
                      <w:highlight w:val="none"/>
                      <w:u w:val="none"/>
                      <w:lang w:val="en-US" w:eastAsia="zh-CN" w:bidi="ar"/>
                    </w:rPr>
                    <w:t>×1015</w:t>
                  </w:r>
                  <w:r>
                    <w:rPr>
                      <w:rFonts w:hint="default" w:ascii="Times New Roman" w:hAnsi="Times New Roman" w:eastAsia="宋体" w:cs="Times New Roman"/>
                      <w:color w:val="auto"/>
                      <w:sz w:val="18"/>
                      <w:szCs w:val="18"/>
                      <w:highlight w:val="none"/>
                      <w:lang w:val="en-US" w:eastAsia="zh-CN"/>
                    </w:rPr>
                    <w:t>mm</w:t>
                  </w:r>
                </w:p>
              </w:tc>
              <w:tc>
                <w:tcPr>
                  <w:tcW w:w="284" w:type="pct"/>
                  <w:tcBorders>
                    <w:tl2br w:val="nil"/>
                    <w:tr2bl w:val="nil"/>
                  </w:tcBorders>
                  <w:shd w:val="clear" w:color="auto" w:fill="FFFFFF"/>
                  <w:vAlign w:val="center"/>
                </w:tcPr>
                <w:p w14:paraId="7E0AD5E8">
                  <w:pPr>
                    <w:keepNext w:val="0"/>
                    <w:keepLines w:val="0"/>
                    <w:pageBreakBefore w:val="0"/>
                    <w:widowControl/>
                    <w:suppressLineNumbers w:val="0"/>
                    <w:kinsoku/>
                    <w:wordWrap/>
                    <w:overflowPunct/>
                    <w:topLinePunct w:val="0"/>
                    <w:bidi w:val="0"/>
                    <w:adjustRightInd w:val="0"/>
                    <w:snapToGrid w:val="0"/>
                    <w:spacing w:before="0" w:beforeAutospacing="0" w:after="0" w:afterAutospacing="0" w:line="276" w:lineRule="auto"/>
                    <w:ind w:left="0" w:right="0"/>
                    <w:jc w:val="center"/>
                    <w:textAlignment w:val="center"/>
                    <w:rPr>
                      <w:rFonts w:hint="default" w:ascii="Times New Roman" w:hAnsi="Times New Roman" w:eastAsia="宋体" w:cs="Times New Roman"/>
                      <w:color w:val="auto"/>
                      <w:sz w:val="18"/>
                      <w:szCs w:val="18"/>
                      <w:highlight w:val="none"/>
                    </w:rPr>
                  </w:pPr>
                  <w:r>
                    <w:rPr>
                      <w:rFonts w:hint="default" w:ascii="Times New Roman" w:hAnsi="Times New Roman" w:eastAsia="宋体" w:cs="Times New Roman"/>
                      <w:i w:val="0"/>
                      <w:iCs w:val="0"/>
                      <w:color w:val="000000"/>
                      <w:kern w:val="0"/>
                      <w:sz w:val="18"/>
                      <w:szCs w:val="18"/>
                      <w:highlight w:val="none"/>
                      <w:u w:val="none"/>
                      <w:lang w:val="en-US" w:eastAsia="zh-CN" w:bidi="ar"/>
                    </w:rPr>
                    <w:t>1</w:t>
                  </w:r>
                </w:p>
              </w:tc>
              <w:tc>
                <w:tcPr>
                  <w:tcW w:w="1678" w:type="pct"/>
                  <w:tcBorders>
                    <w:tl2br w:val="nil"/>
                    <w:tr2bl w:val="nil"/>
                  </w:tcBorders>
                  <w:shd w:val="clear" w:color="auto" w:fill="FFFFFF"/>
                  <w:vAlign w:val="center"/>
                </w:tcPr>
                <w:p w14:paraId="1104CC5A">
                  <w:pPr>
                    <w:keepNext w:val="0"/>
                    <w:keepLines w:val="0"/>
                    <w:pageBreakBefore w:val="0"/>
                    <w:widowControl/>
                    <w:suppressLineNumbers w:val="0"/>
                    <w:kinsoku/>
                    <w:wordWrap/>
                    <w:overflowPunct/>
                    <w:topLinePunct w:val="0"/>
                    <w:bidi w:val="0"/>
                    <w:adjustRightInd w:val="0"/>
                    <w:snapToGrid w:val="0"/>
                    <w:spacing w:before="0" w:beforeAutospacing="0" w:after="0" w:afterAutospacing="0" w:line="276" w:lineRule="auto"/>
                    <w:ind w:left="0" w:right="0"/>
                    <w:jc w:val="center"/>
                    <w:textAlignment w:val="center"/>
                    <w:rPr>
                      <w:rFonts w:hint="default" w:ascii="Times New Roman" w:hAnsi="Times New Roman" w:eastAsia="宋体" w:cs="Times New Roman"/>
                      <w:color w:val="auto"/>
                      <w:sz w:val="18"/>
                      <w:szCs w:val="18"/>
                      <w:highlight w:val="none"/>
                    </w:rPr>
                  </w:pPr>
                  <w:r>
                    <w:rPr>
                      <w:rFonts w:hint="default" w:ascii="Times New Roman" w:hAnsi="Times New Roman" w:eastAsia="宋体" w:cs="Times New Roman"/>
                      <w:i w:val="0"/>
                      <w:iCs w:val="0"/>
                      <w:color w:val="000000"/>
                      <w:kern w:val="0"/>
                      <w:sz w:val="18"/>
                      <w:szCs w:val="18"/>
                      <w:highlight w:val="none"/>
                      <w:u w:val="none"/>
                      <w:lang w:val="en-US" w:eastAsia="zh-CN" w:bidi="ar"/>
                    </w:rPr>
                    <w:t>小鼠饲养间1</w:t>
                  </w:r>
                </w:p>
              </w:tc>
            </w:tr>
            <w:tr w14:paraId="53935EF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FFFFFF"/>
                <w:tblCellMar>
                  <w:top w:w="0" w:type="dxa"/>
                  <w:left w:w="28" w:type="dxa"/>
                  <w:bottom w:w="0" w:type="dxa"/>
                  <w:right w:w="28" w:type="dxa"/>
                </w:tblCellMar>
              </w:tblPrEx>
              <w:trPr>
                <w:trHeight w:val="0" w:hRule="atLeast"/>
              </w:trPr>
              <w:tc>
                <w:tcPr>
                  <w:tcW w:w="235" w:type="pct"/>
                  <w:tcBorders>
                    <w:tl2br w:val="nil"/>
                    <w:tr2bl w:val="nil"/>
                  </w:tcBorders>
                  <w:shd w:val="clear" w:color="auto" w:fill="FFFFFF"/>
                  <w:noWrap/>
                  <w:vAlign w:val="center"/>
                </w:tcPr>
                <w:p w14:paraId="0F8D1252">
                  <w:pPr>
                    <w:keepNext w:val="0"/>
                    <w:keepLines w:val="0"/>
                    <w:pageBreakBefore w:val="0"/>
                    <w:widowControl/>
                    <w:suppressLineNumbers w:val="0"/>
                    <w:kinsoku/>
                    <w:wordWrap/>
                    <w:overflowPunct/>
                    <w:topLinePunct w:val="0"/>
                    <w:bidi w:val="0"/>
                    <w:adjustRightInd w:val="0"/>
                    <w:snapToGrid w:val="0"/>
                    <w:spacing w:before="0" w:beforeAutospacing="0" w:after="0" w:afterAutospacing="0" w:line="276" w:lineRule="auto"/>
                    <w:ind w:left="0" w:right="0"/>
                    <w:jc w:val="center"/>
                    <w:textAlignment w:val="center"/>
                    <w:rPr>
                      <w:rFonts w:hint="default" w:ascii="Times New Roman" w:hAnsi="Times New Roman" w:eastAsia="宋体" w:cs="Times New Roman"/>
                      <w:color w:val="auto"/>
                      <w:sz w:val="18"/>
                      <w:szCs w:val="18"/>
                      <w:highlight w:val="none"/>
                      <w:lang w:val="en-US" w:eastAsia="zh-CN"/>
                    </w:rPr>
                  </w:pPr>
                  <w:r>
                    <w:rPr>
                      <w:rFonts w:hint="default" w:ascii="Times New Roman" w:hAnsi="Times New Roman" w:eastAsia="宋体" w:cs="Times New Roman"/>
                      <w:i w:val="0"/>
                      <w:iCs w:val="0"/>
                      <w:color w:val="000000"/>
                      <w:kern w:val="0"/>
                      <w:sz w:val="18"/>
                      <w:szCs w:val="18"/>
                      <w:highlight w:val="none"/>
                      <w:u w:val="none"/>
                      <w:lang w:val="en-US" w:eastAsia="zh-CN" w:bidi="ar"/>
                    </w:rPr>
                    <w:t>43</w:t>
                  </w:r>
                </w:p>
              </w:tc>
              <w:tc>
                <w:tcPr>
                  <w:tcW w:w="349" w:type="pct"/>
                  <w:vMerge w:val="continue"/>
                  <w:tcBorders>
                    <w:tl2br w:val="nil"/>
                    <w:tr2bl w:val="nil"/>
                  </w:tcBorders>
                  <w:shd w:val="clear" w:color="auto" w:fill="FFFFFF"/>
                  <w:vAlign w:val="center"/>
                </w:tcPr>
                <w:p w14:paraId="65F52F6E">
                  <w:pPr>
                    <w:pStyle w:val="120"/>
                    <w:keepNext w:val="0"/>
                    <w:keepLines w:val="0"/>
                    <w:pageBreakBefore w:val="0"/>
                    <w:framePr w:hSpace="0" w:wrap="auto" w:vAnchor="margin" w:hAnchor="text" w:xAlign="left" w:yAlign="inline"/>
                    <w:suppressLineNumbers w:val="0"/>
                    <w:kinsoku/>
                    <w:wordWrap/>
                    <w:overflowPunct/>
                    <w:topLinePunct w:val="0"/>
                    <w:bidi w:val="0"/>
                    <w:adjustRightInd w:val="0"/>
                    <w:snapToGrid w:val="0"/>
                    <w:spacing w:before="0" w:beforeAutospacing="0" w:after="0" w:afterAutospacing="0" w:line="276" w:lineRule="auto"/>
                    <w:ind w:left="0" w:right="0"/>
                    <w:jc w:val="center"/>
                    <w:rPr>
                      <w:rFonts w:hint="default" w:ascii="Times New Roman" w:hAnsi="Times New Roman" w:eastAsia="宋体" w:cs="Times New Roman"/>
                      <w:color w:val="auto"/>
                      <w:sz w:val="18"/>
                      <w:szCs w:val="18"/>
                      <w:highlight w:val="none"/>
                      <w:lang w:val="en-US" w:eastAsia="zh-CN"/>
                    </w:rPr>
                  </w:pPr>
                </w:p>
              </w:tc>
              <w:tc>
                <w:tcPr>
                  <w:tcW w:w="1015" w:type="pct"/>
                  <w:vMerge w:val="restart"/>
                  <w:tcBorders>
                    <w:tl2br w:val="nil"/>
                    <w:tr2bl w:val="nil"/>
                  </w:tcBorders>
                  <w:shd w:val="clear" w:color="auto" w:fill="FFFFFF"/>
                  <w:vAlign w:val="center"/>
                </w:tcPr>
                <w:p w14:paraId="07FCAA36">
                  <w:pPr>
                    <w:keepNext w:val="0"/>
                    <w:keepLines w:val="0"/>
                    <w:pageBreakBefore w:val="0"/>
                    <w:widowControl/>
                    <w:suppressLineNumbers w:val="0"/>
                    <w:kinsoku/>
                    <w:wordWrap/>
                    <w:overflowPunct/>
                    <w:topLinePunct w:val="0"/>
                    <w:bidi w:val="0"/>
                    <w:adjustRightInd w:val="0"/>
                    <w:snapToGrid w:val="0"/>
                    <w:spacing w:before="0" w:beforeAutospacing="0" w:after="0" w:afterAutospacing="0" w:line="276" w:lineRule="auto"/>
                    <w:ind w:left="0" w:right="0"/>
                    <w:jc w:val="center"/>
                    <w:textAlignment w:val="center"/>
                    <w:rPr>
                      <w:rFonts w:hint="default" w:ascii="Times New Roman" w:hAnsi="Times New Roman" w:eastAsia="宋体" w:cs="Times New Roman"/>
                      <w:i w:val="0"/>
                      <w:iCs w:val="0"/>
                      <w:color w:val="000000"/>
                      <w:kern w:val="0"/>
                      <w:sz w:val="18"/>
                      <w:szCs w:val="18"/>
                      <w:highlight w:val="none"/>
                      <w:u w:val="none"/>
                      <w:lang w:val="en-US" w:eastAsia="zh-CN" w:bidi="ar"/>
                    </w:rPr>
                  </w:pPr>
                  <w:r>
                    <w:rPr>
                      <w:rFonts w:hint="default" w:ascii="Times New Roman" w:hAnsi="Times New Roman" w:eastAsia="宋体" w:cs="Times New Roman"/>
                      <w:i w:val="0"/>
                      <w:iCs w:val="0"/>
                      <w:color w:val="000000"/>
                      <w:kern w:val="0"/>
                      <w:sz w:val="18"/>
                      <w:szCs w:val="18"/>
                      <w:highlight w:val="none"/>
                      <w:u w:val="none"/>
                      <w:lang w:val="en-US" w:eastAsia="zh-CN" w:bidi="ar"/>
                    </w:rPr>
                    <w:t>大鼠独立通风笼具</w:t>
                  </w:r>
                </w:p>
              </w:tc>
              <w:tc>
                <w:tcPr>
                  <w:tcW w:w="1436" w:type="pct"/>
                  <w:tcBorders>
                    <w:tl2br w:val="nil"/>
                    <w:tr2bl w:val="nil"/>
                  </w:tcBorders>
                  <w:shd w:val="clear" w:color="auto" w:fill="FFFFFF"/>
                  <w:noWrap/>
                  <w:vAlign w:val="center"/>
                </w:tcPr>
                <w:p w14:paraId="49E3B906">
                  <w:pPr>
                    <w:keepNext w:val="0"/>
                    <w:keepLines w:val="0"/>
                    <w:pageBreakBefore w:val="0"/>
                    <w:widowControl/>
                    <w:suppressLineNumbers w:val="0"/>
                    <w:kinsoku/>
                    <w:wordWrap/>
                    <w:overflowPunct/>
                    <w:topLinePunct w:val="0"/>
                    <w:bidi w:val="0"/>
                    <w:adjustRightInd w:val="0"/>
                    <w:snapToGrid w:val="0"/>
                    <w:spacing w:before="0" w:beforeAutospacing="0" w:after="0" w:afterAutospacing="0" w:line="276" w:lineRule="auto"/>
                    <w:ind w:left="0" w:right="0"/>
                    <w:jc w:val="center"/>
                    <w:textAlignment w:val="center"/>
                    <w:rPr>
                      <w:rFonts w:hint="default" w:ascii="Times New Roman" w:hAnsi="Times New Roman" w:eastAsia="宋体" w:cs="Times New Roman"/>
                      <w:i w:val="0"/>
                      <w:iCs w:val="0"/>
                      <w:color w:val="000000"/>
                      <w:kern w:val="0"/>
                      <w:sz w:val="18"/>
                      <w:szCs w:val="18"/>
                      <w:highlight w:val="none"/>
                      <w:u w:val="none"/>
                      <w:lang w:val="en-US" w:eastAsia="zh-CN" w:bidi="ar"/>
                    </w:rPr>
                  </w:pPr>
                  <w:r>
                    <w:rPr>
                      <w:rFonts w:hint="default" w:ascii="Times New Roman" w:hAnsi="Times New Roman" w:eastAsia="宋体" w:cs="Times New Roman"/>
                      <w:i w:val="0"/>
                      <w:iCs w:val="0"/>
                      <w:color w:val="000000"/>
                      <w:kern w:val="0"/>
                      <w:sz w:val="18"/>
                      <w:szCs w:val="18"/>
                      <w:highlight w:val="none"/>
                      <w:u w:val="none"/>
                      <w:lang w:val="en-US" w:eastAsia="zh-CN" w:bidi="ar"/>
                    </w:rPr>
                    <w:t>1820mm×500mm×1822mm</w:t>
                  </w:r>
                </w:p>
              </w:tc>
              <w:tc>
                <w:tcPr>
                  <w:tcW w:w="284" w:type="pct"/>
                  <w:tcBorders>
                    <w:tl2br w:val="nil"/>
                    <w:tr2bl w:val="nil"/>
                  </w:tcBorders>
                  <w:shd w:val="clear" w:color="auto" w:fill="FFFFFF"/>
                  <w:vAlign w:val="center"/>
                </w:tcPr>
                <w:p w14:paraId="08FA11D3">
                  <w:pPr>
                    <w:keepNext w:val="0"/>
                    <w:keepLines w:val="0"/>
                    <w:pageBreakBefore w:val="0"/>
                    <w:widowControl/>
                    <w:suppressLineNumbers w:val="0"/>
                    <w:kinsoku/>
                    <w:wordWrap/>
                    <w:overflowPunct/>
                    <w:topLinePunct w:val="0"/>
                    <w:bidi w:val="0"/>
                    <w:adjustRightInd w:val="0"/>
                    <w:snapToGrid w:val="0"/>
                    <w:spacing w:before="0" w:beforeAutospacing="0" w:after="0" w:afterAutospacing="0" w:line="276" w:lineRule="auto"/>
                    <w:ind w:left="0" w:right="0"/>
                    <w:jc w:val="center"/>
                    <w:textAlignment w:val="center"/>
                    <w:rPr>
                      <w:rFonts w:hint="default" w:ascii="Times New Roman" w:hAnsi="Times New Roman" w:eastAsia="宋体" w:cs="Times New Roman"/>
                      <w:color w:val="auto"/>
                      <w:sz w:val="18"/>
                      <w:szCs w:val="18"/>
                      <w:highlight w:val="none"/>
                    </w:rPr>
                  </w:pPr>
                  <w:r>
                    <w:rPr>
                      <w:rFonts w:hint="default" w:ascii="Times New Roman" w:hAnsi="Times New Roman" w:eastAsia="宋体" w:cs="Times New Roman"/>
                      <w:i w:val="0"/>
                      <w:iCs w:val="0"/>
                      <w:color w:val="000000"/>
                      <w:kern w:val="0"/>
                      <w:sz w:val="18"/>
                      <w:szCs w:val="18"/>
                      <w:highlight w:val="none"/>
                      <w:u w:val="none"/>
                      <w:lang w:val="en-US" w:eastAsia="zh-CN" w:bidi="ar"/>
                    </w:rPr>
                    <w:t>1</w:t>
                  </w:r>
                </w:p>
              </w:tc>
              <w:tc>
                <w:tcPr>
                  <w:tcW w:w="1678" w:type="pct"/>
                  <w:tcBorders>
                    <w:tl2br w:val="nil"/>
                    <w:tr2bl w:val="nil"/>
                  </w:tcBorders>
                  <w:shd w:val="clear" w:color="auto" w:fill="FFFFFF"/>
                  <w:vAlign w:val="center"/>
                </w:tcPr>
                <w:p w14:paraId="592A1031">
                  <w:pPr>
                    <w:keepNext w:val="0"/>
                    <w:keepLines w:val="0"/>
                    <w:pageBreakBefore w:val="0"/>
                    <w:widowControl/>
                    <w:suppressLineNumbers w:val="0"/>
                    <w:kinsoku/>
                    <w:wordWrap/>
                    <w:overflowPunct/>
                    <w:topLinePunct w:val="0"/>
                    <w:bidi w:val="0"/>
                    <w:adjustRightInd w:val="0"/>
                    <w:snapToGrid w:val="0"/>
                    <w:spacing w:before="0" w:beforeAutospacing="0" w:after="0" w:afterAutospacing="0" w:line="276" w:lineRule="auto"/>
                    <w:ind w:left="0" w:right="0"/>
                    <w:jc w:val="center"/>
                    <w:textAlignment w:val="center"/>
                    <w:rPr>
                      <w:rFonts w:hint="default" w:ascii="Times New Roman" w:hAnsi="Times New Roman" w:eastAsia="宋体" w:cs="Times New Roman"/>
                      <w:color w:val="auto"/>
                      <w:sz w:val="18"/>
                      <w:szCs w:val="18"/>
                      <w:highlight w:val="none"/>
                    </w:rPr>
                  </w:pPr>
                  <w:r>
                    <w:rPr>
                      <w:rFonts w:hint="default" w:ascii="Times New Roman" w:hAnsi="Times New Roman" w:eastAsia="宋体" w:cs="Times New Roman"/>
                      <w:i w:val="0"/>
                      <w:iCs w:val="0"/>
                      <w:color w:val="000000"/>
                      <w:kern w:val="0"/>
                      <w:sz w:val="18"/>
                      <w:szCs w:val="18"/>
                      <w:highlight w:val="none"/>
                      <w:u w:val="none"/>
                      <w:lang w:val="en-US" w:eastAsia="zh-CN" w:bidi="ar"/>
                    </w:rPr>
                    <w:t>检疫室</w:t>
                  </w:r>
                </w:p>
              </w:tc>
            </w:tr>
            <w:tr w14:paraId="0119BB1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0" w:hRule="atLeast"/>
              </w:trPr>
              <w:tc>
                <w:tcPr>
                  <w:tcW w:w="235" w:type="pct"/>
                  <w:tcBorders>
                    <w:tl2br w:val="nil"/>
                    <w:tr2bl w:val="nil"/>
                  </w:tcBorders>
                  <w:shd w:val="clear" w:color="auto" w:fill="FFFFFF"/>
                  <w:noWrap/>
                  <w:vAlign w:val="center"/>
                </w:tcPr>
                <w:p w14:paraId="1FFF85E5">
                  <w:pPr>
                    <w:keepNext w:val="0"/>
                    <w:keepLines w:val="0"/>
                    <w:pageBreakBefore w:val="0"/>
                    <w:widowControl/>
                    <w:suppressLineNumbers w:val="0"/>
                    <w:kinsoku/>
                    <w:wordWrap/>
                    <w:overflowPunct/>
                    <w:topLinePunct w:val="0"/>
                    <w:bidi w:val="0"/>
                    <w:adjustRightInd w:val="0"/>
                    <w:snapToGrid w:val="0"/>
                    <w:spacing w:before="0" w:beforeAutospacing="0" w:after="0" w:afterAutospacing="0" w:line="276" w:lineRule="auto"/>
                    <w:ind w:left="0" w:right="0"/>
                    <w:jc w:val="center"/>
                    <w:textAlignment w:val="center"/>
                    <w:rPr>
                      <w:rFonts w:hint="default" w:ascii="Times New Roman" w:hAnsi="Times New Roman" w:eastAsia="宋体" w:cs="Times New Roman"/>
                      <w:color w:val="auto"/>
                      <w:sz w:val="18"/>
                      <w:szCs w:val="18"/>
                      <w:highlight w:val="none"/>
                      <w:lang w:val="en-US" w:eastAsia="zh-CN"/>
                    </w:rPr>
                  </w:pPr>
                  <w:r>
                    <w:rPr>
                      <w:rFonts w:hint="default" w:ascii="Times New Roman" w:hAnsi="Times New Roman" w:eastAsia="宋体" w:cs="Times New Roman"/>
                      <w:i w:val="0"/>
                      <w:iCs w:val="0"/>
                      <w:color w:val="000000"/>
                      <w:kern w:val="0"/>
                      <w:sz w:val="18"/>
                      <w:szCs w:val="18"/>
                      <w:highlight w:val="none"/>
                      <w:u w:val="none"/>
                      <w:lang w:val="en-US" w:eastAsia="zh-CN" w:bidi="ar"/>
                    </w:rPr>
                    <w:t>44</w:t>
                  </w:r>
                </w:p>
              </w:tc>
              <w:tc>
                <w:tcPr>
                  <w:tcW w:w="349" w:type="pct"/>
                  <w:vMerge w:val="continue"/>
                  <w:tcBorders>
                    <w:tl2br w:val="nil"/>
                    <w:tr2bl w:val="nil"/>
                  </w:tcBorders>
                  <w:shd w:val="clear" w:color="auto" w:fill="FFFFFF"/>
                  <w:vAlign w:val="center"/>
                </w:tcPr>
                <w:p w14:paraId="6475CC6F">
                  <w:pPr>
                    <w:pStyle w:val="120"/>
                    <w:keepNext w:val="0"/>
                    <w:keepLines w:val="0"/>
                    <w:pageBreakBefore w:val="0"/>
                    <w:framePr w:hSpace="0" w:wrap="auto" w:vAnchor="margin" w:hAnchor="text" w:xAlign="left" w:yAlign="inline"/>
                    <w:suppressLineNumbers w:val="0"/>
                    <w:kinsoku/>
                    <w:wordWrap/>
                    <w:overflowPunct/>
                    <w:topLinePunct w:val="0"/>
                    <w:bidi w:val="0"/>
                    <w:adjustRightInd w:val="0"/>
                    <w:snapToGrid w:val="0"/>
                    <w:spacing w:before="0" w:beforeAutospacing="0" w:after="0" w:afterAutospacing="0" w:line="276" w:lineRule="auto"/>
                    <w:ind w:left="0" w:right="0"/>
                    <w:jc w:val="center"/>
                    <w:rPr>
                      <w:rFonts w:hint="default" w:ascii="Times New Roman" w:hAnsi="Times New Roman" w:eastAsia="宋体" w:cs="Times New Roman"/>
                      <w:color w:val="auto"/>
                      <w:sz w:val="18"/>
                      <w:szCs w:val="18"/>
                      <w:highlight w:val="none"/>
                      <w:lang w:val="en-US" w:eastAsia="zh-CN"/>
                    </w:rPr>
                  </w:pPr>
                </w:p>
              </w:tc>
              <w:tc>
                <w:tcPr>
                  <w:tcW w:w="1015" w:type="pct"/>
                  <w:vMerge w:val="continue"/>
                  <w:tcBorders>
                    <w:tl2br w:val="nil"/>
                    <w:tr2bl w:val="nil"/>
                  </w:tcBorders>
                  <w:shd w:val="clear" w:color="auto" w:fill="FFFFFF"/>
                  <w:vAlign w:val="center"/>
                </w:tcPr>
                <w:p w14:paraId="60ABC234">
                  <w:pPr>
                    <w:keepNext w:val="0"/>
                    <w:keepLines w:val="0"/>
                    <w:pageBreakBefore w:val="0"/>
                    <w:widowControl/>
                    <w:suppressLineNumbers w:val="0"/>
                    <w:kinsoku/>
                    <w:wordWrap/>
                    <w:overflowPunct/>
                    <w:topLinePunct w:val="0"/>
                    <w:bidi w:val="0"/>
                    <w:adjustRightInd w:val="0"/>
                    <w:snapToGrid w:val="0"/>
                    <w:spacing w:before="0" w:beforeAutospacing="0" w:after="0" w:afterAutospacing="0" w:line="276" w:lineRule="auto"/>
                    <w:ind w:left="0" w:right="0"/>
                    <w:jc w:val="center"/>
                    <w:textAlignment w:val="center"/>
                    <w:rPr>
                      <w:rFonts w:hint="default" w:ascii="Times New Roman" w:hAnsi="Times New Roman" w:eastAsia="宋体" w:cs="Times New Roman"/>
                      <w:i w:val="0"/>
                      <w:iCs w:val="0"/>
                      <w:color w:val="000000"/>
                      <w:kern w:val="0"/>
                      <w:sz w:val="18"/>
                      <w:szCs w:val="18"/>
                      <w:highlight w:val="none"/>
                      <w:u w:val="none"/>
                      <w:lang w:val="en-US" w:eastAsia="zh-CN" w:bidi="ar"/>
                    </w:rPr>
                  </w:pPr>
                </w:p>
              </w:tc>
              <w:tc>
                <w:tcPr>
                  <w:tcW w:w="1436" w:type="pct"/>
                  <w:tcBorders>
                    <w:tl2br w:val="nil"/>
                    <w:tr2bl w:val="nil"/>
                  </w:tcBorders>
                  <w:shd w:val="clear" w:color="auto" w:fill="FFFFFF"/>
                  <w:noWrap/>
                  <w:vAlign w:val="center"/>
                </w:tcPr>
                <w:p w14:paraId="3522EFD7">
                  <w:pPr>
                    <w:keepNext w:val="0"/>
                    <w:keepLines w:val="0"/>
                    <w:pageBreakBefore w:val="0"/>
                    <w:widowControl/>
                    <w:suppressLineNumbers w:val="0"/>
                    <w:kinsoku/>
                    <w:wordWrap/>
                    <w:overflowPunct/>
                    <w:topLinePunct w:val="0"/>
                    <w:bidi w:val="0"/>
                    <w:adjustRightInd w:val="0"/>
                    <w:snapToGrid w:val="0"/>
                    <w:spacing w:before="0" w:beforeAutospacing="0" w:after="0" w:afterAutospacing="0" w:line="276" w:lineRule="auto"/>
                    <w:ind w:left="0" w:right="0"/>
                    <w:jc w:val="center"/>
                    <w:textAlignment w:val="center"/>
                    <w:rPr>
                      <w:rFonts w:hint="default" w:ascii="Times New Roman" w:hAnsi="Times New Roman" w:eastAsia="宋体" w:cs="Times New Roman"/>
                      <w:i w:val="0"/>
                      <w:iCs w:val="0"/>
                      <w:color w:val="000000"/>
                      <w:kern w:val="0"/>
                      <w:sz w:val="18"/>
                      <w:szCs w:val="18"/>
                      <w:highlight w:val="none"/>
                      <w:u w:val="none"/>
                      <w:lang w:val="en-US" w:eastAsia="zh-CN" w:bidi="ar"/>
                    </w:rPr>
                  </w:pPr>
                  <w:r>
                    <w:rPr>
                      <w:rFonts w:hint="default" w:ascii="Times New Roman" w:hAnsi="Times New Roman" w:eastAsia="宋体" w:cs="Times New Roman"/>
                      <w:i w:val="0"/>
                      <w:iCs w:val="0"/>
                      <w:color w:val="000000"/>
                      <w:kern w:val="0"/>
                      <w:sz w:val="18"/>
                      <w:szCs w:val="18"/>
                      <w:highlight w:val="none"/>
                      <w:u w:val="none"/>
                      <w:lang w:val="en-US" w:eastAsia="zh-CN" w:bidi="ar"/>
                    </w:rPr>
                    <w:t>2176mm×500mm×1822mm</w:t>
                  </w:r>
                </w:p>
              </w:tc>
              <w:tc>
                <w:tcPr>
                  <w:tcW w:w="284" w:type="pct"/>
                  <w:tcBorders>
                    <w:tl2br w:val="nil"/>
                    <w:tr2bl w:val="nil"/>
                  </w:tcBorders>
                  <w:shd w:val="clear" w:color="auto" w:fill="FFFFFF"/>
                  <w:vAlign w:val="center"/>
                </w:tcPr>
                <w:p w14:paraId="09504519">
                  <w:pPr>
                    <w:keepNext w:val="0"/>
                    <w:keepLines w:val="0"/>
                    <w:pageBreakBefore w:val="0"/>
                    <w:widowControl/>
                    <w:suppressLineNumbers w:val="0"/>
                    <w:kinsoku/>
                    <w:wordWrap/>
                    <w:overflowPunct/>
                    <w:topLinePunct w:val="0"/>
                    <w:bidi w:val="0"/>
                    <w:adjustRightInd w:val="0"/>
                    <w:snapToGrid w:val="0"/>
                    <w:spacing w:before="0" w:beforeAutospacing="0" w:after="0" w:afterAutospacing="0" w:line="276" w:lineRule="auto"/>
                    <w:ind w:left="0" w:right="0"/>
                    <w:jc w:val="center"/>
                    <w:textAlignment w:val="center"/>
                    <w:rPr>
                      <w:rFonts w:hint="default" w:ascii="Times New Roman" w:hAnsi="Times New Roman" w:eastAsia="宋体" w:cs="Times New Roman"/>
                      <w:color w:val="auto"/>
                      <w:sz w:val="18"/>
                      <w:szCs w:val="18"/>
                      <w:highlight w:val="none"/>
                    </w:rPr>
                  </w:pPr>
                  <w:r>
                    <w:rPr>
                      <w:rFonts w:hint="default" w:ascii="Times New Roman" w:hAnsi="Times New Roman" w:eastAsia="宋体" w:cs="Times New Roman"/>
                      <w:i w:val="0"/>
                      <w:iCs w:val="0"/>
                      <w:color w:val="000000"/>
                      <w:kern w:val="0"/>
                      <w:sz w:val="18"/>
                      <w:szCs w:val="18"/>
                      <w:highlight w:val="none"/>
                      <w:u w:val="none"/>
                      <w:lang w:val="en-US" w:eastAsia="zh-CN" w:bidi="ar"/>
                    </w:rPr>
                    <w:t>2</w:t>
                  </w:r>
                </w:p>
              </w:tc>
              <w:tc>
                <w:tcPr>
                  <w:tcW w:w="1678" w:type="pct"/>
                  <w:tcBorders>
                    <w:tl2br w:val="nil"/>
                    <w:tr2bl w:val="nil"/>
                  </w:tcBorders>
                  <w:shd w:val="clear" w:color="auto" w:fill="FFFFFF"/>
                  <w:vAlign w:val="center"/>
                </w:tcPr>
                <w:p w14:paraId="4971ACC1">
                  <w:pPr>
                    <w:keepNext w:val="0"/>
                    <w:keepLines w:val="0"/>
                    <w:pageBreakBefore w:val="0"/>
                    <w:widowControl/>
                    <w:suppressLineNumbers w:val="0"/>
                    <w:kinsoku/>
                    <w:wordWrap/>
                    <w:overflowPunct/>
                    <w:topLinePunct w:val="0"/>
                    <w:bidi w:val="0"/>
                    <w:adjustRightInd w:val="0"/>
                    <w:snapToGrid w:val="0"/>
                    <w:spacing w:before="0" w:beforeAutospacing="0" w:after="0" w:afterAutospacing="0" w:line="276" w:lineRule="auto"/>
                    <w:ind w:left="0" w:right="0"/>
                    <w:jc w:val="center"/>
                    <w:textAlignment w:val="center"/>
                    <w:rPr>
                      <w:rFonts w:hint="default" w:ascii="Times New Roman" w:hAnsi="Times New Roman" w:eastAsia="宋体" w:cs="Times New Roman"/>
                      <w:color w:val="auto"/>
                      <w:sz w:val="18"/>
                      <w:szCs w:val="18"/>
                      <w:highlight w:val="none"/>
                    </w:rPr>
                  </w:pPr>
                  <w:r>
                    <w:rPr>
                      <w:rFonts w:hint="default" w:ascii="Times New Roman" w:hAnsi="Times New Roman" w:eastAsia="宋体" w:cs="Times New Roman"/>
                      <w:i w:val="0"/>
                      <w:iCs w:val="0"/>
                      <w:color w:val="000000"/>
                      <w:kern w:val="0"/>
                      <w:sz w:val="18"/>
                      <w:szCs w:val="18"/>
                      <w:highlight w:val="none"/>
                      <w:u w:val="none"/>
                      <w:lang w:val="en-US" w:eastAsia="zh-CN" w:bidi="ar"/>
                    </w:rPr>
                    <w:t>大鼠饲养间</w:t>
                  </w:r>
                </w:p>
              </w:tc>
            </w:tr>
            <w:tr w14:paraId="583A586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0" w:hRule="atLeast"/>
              </w:trPr>
              <w:tc>
                <w:tcPr>
                  <w:tcW w:w="235" w:type="pct"/>
                  <w:tcBorders>
                    <w:tl2br w:val="nil"/>
                    <w:tr2bl w:val="nil"/>
                  </w:tcBorders>
                  <w:shd w:val="clear" w:color="auto" w:fill="FFFFFF"/>
                  <w:noWrap/>
                  <w:vAlign w:val="center"/>
                </w:tcPr>
                <w:p w14:paraId="2ABF03CA">
                  <w:pPr>
                    <w:keepNext w:val="0"/>
                    <w:keepLines w:val="0"/>
                    <w:pageBreakBefore w:val="0"/>
                    <w:widowControl/>
                    <w:suppressLineNumbers w:val="0"/>
                    <w:kinsoku/>
                    <w:wordWrap/>
                    <w:overflowPunct/>
                    <w:topLinePunct w:val="0"/>
                    <w:bidi w:val="0"/>
                    <w:adjustRightInd w:val="0"/>
                    <w:snapToGrid w:val="0"/>
                    <w:spacing w:before="0" w:beforeAutospacing="0" w:after="0" w:afterAutospacing="0" w:line="276" w:lineRule="auto"/>
                    <w:ind w:left="0" w:right="0"/>
                    <w:jc w:val="center"/>
                    <w:textAlignment w:val="center"/>
                    <w:rPr>
                      <w:rFonts w:hint="default" w:ascii="Times New Roman" w:hAnsi="Times New Roman" w:eastAsia="宋体" w:cs="Times New Roman"/>
                      <w:i w:val="0"/>
                      <w:iCs w:val="0"/>
                      <w:color w:val="000000"/>
                      <w:kern w:val="0"/>
                      <w:sz w:val="18"/>
                      <w:szCs w:val="18"/>
                      <w:highlight w:val="none"/>
                      <w:u w:val="none"/>
                      <w:lang w:val="en-US" w:eastAsia="zh-CN" w:bidi="ar"/>
                    </w:rPr>
                  </w:pPr>
                  <w:r>
                    <w:rPr>
                      <w:rFonts w:hint="eastAsia" w:cs="Times New Roman"/>
                      <w:i w:val="0"/>
                      <w:iCs w:val="0"/>
                      <w:color w:val="000000"/>
                      <w:kern w:val="0"/>
                      <w:sz w:val="18"/>
                      <w:szCs w:val="18"/>
                      <w:highlight w:val="none"/>
                      <w:u w:val="none"/>
                      <w:lang w:val="en-US" w:eastAsia="zh-CN" w:bidi="ar"/>
                    </w:rPr>
                    <w:t>45</w:t>
                  </w:r>
                </w:p>
              </w:tc>
              <w:tc>
                <w:tcPr>
                  <w:tcW w:w="349" w:type="pct"/>
                  <w:vMerge w:val="continue"/>
                  <w:tcBorders>
                    <w:tl2br w:val="nil"/>
                    <w:tr2bl w:val="nil"/>
                  </w:tcBorders>
                  <w:shd w:val="clear" w:color="auto" w:fill="FFFFFF"/>
                  <w:vAlign w:val="center"/>
                </w:tcPr>
                <w:p w14:paraId="1381068A">
                  <w:pPr>
                    <w:pStyle w:val="120"/>
                    <w:keepNext w:val="0"/>
                    <w:keepLines w:val="0"/>
                    <w:pageBreakBefore w:val="0"/>
                    <w:framePr w:hSpace="0" w:wrap="auto" w:vAnchor="margin" w:hAnchor="text" w:xAlign="left" w:yAlign="inline"/>
                    <w:suppressLineNumbers w:val="0"/>
                    <w:kinsoku/>
                    <w:wordWrap/>
                    <w:overflowPunct/>
                    <w:topLinePunct w:val="0"/>
                    <w:bidi w:val="0"/>
                    <w:adjustRightInd w:val="0"/>
                    <w:snapToGrid w:val="0"/>
                    <w:spacing w:before="0" w:beforeAutospacing="0" w:after="0" w:afterAutospacing="0" w:line="276" w:lineRule="auto"/>
                    <w:ind w:left="0" w:right="0"/>
                    <w:jc w:val="center"/>
                    <w:rPr>
                      <w:rFonts w:hint="default" w:ascii="Times New Roman" w:hAnsi="Times New Roman" w:eastAsia="宋体" w:cs="Times New Roman"/>
                      <w:color w:val="auto"/>
                      <w:sz w:val="18"/>
                      <w:szCs w:val="18"/>
                      <w:highlight w:val="none"/>
                      <w:lang w:val="en-US" w:eastAsia="zh-CN"/>
                    </w:rPr>
                  </w:pPr>
                </w:p>
              </w:tc>
              <w:tc>
                <w:tcPr>
                  <w:tcW w:w="1015" w:type="pct"/>
                  <w:tcBorders>
                    <w:tl2br w:val="nil"/>
                    <w:tr2bl w:val="nil"/>
                  </w:tcBorders>
                  <w:shd w:val="clear" w:color="auto" w:fill="FFFFFF"/>
                  <w:vAlign w:val="center"/>
                </w:tcPr>
                <w:p w14:paraId="71BAE5A8">
                  <w:pPr>
                    <w:keepNext w:val="0"/>
                    <w:keepLines w:val="0"/>
                    <w:pageBreakBefore w:val="0"/>
                    <w:widowControl/>
                    <w:suppressLineNumbers w:val="0"/>
                    <w:kinsoku/>
                    <w:wordWrap/>
                    <w:overflowPunct/>
                    <w:topLinePunct w:val="0"/>
                    <w:bidi w:val="0"/>
                    <w:adjustRightInd w:val="0"/>
                    <w:snapToGrid w:val="0"/>
                    <w:spacing w:before="0" w:beforeAutospacing="0" w:after="0" w:afterAutospacing="0" w:line="276" w:lineRule="auto"/>
                    <w:ind w:left="0" w:right="0"/>
                    <w:jc w:val="center"/>
                    <w:textAlignment w:val="center"/>
                    <w:rPr>
                      <w:rFonts w:hint="default" w:ascii="Times New Roman" w:hAnsi="Times New Roman" w:eastAsia="宋体" w:cs="Times New Roman"/>
                      <w:i w:val="0"/>
                      <w:iCs w:val="0"/>
                      <w:color w:val="000000"/>
                      <w:kern w:val="0"/>
                      <w:sz w:val="18"/>
                      <w:szCs w:val="18"/>
                      <w:highlight w:val="none"/>
                      <w:u w:val="none"/>
                      <w:lang w:val="en-US" w:eastAsia="zh-CN" w:bidi="ar"/>
                    </w:rPr>
                  </w:pPr>
                  <w:r>
                    <w:rPr>
                      <w:rFonts w:hint="eastAsia" w:cs="Times New Roman"/>
                      <w:i w:val="0"/>
                      <w:iCs w:val="0"/>
                      <w:color w:val="000000"/>
                      <w:kern w:val="0"/>
                      <w:sz w:val="18"/>
                      <w:szCs w:val="18"/>
                      <w:highlight w:val="none"/>
                      <w:u w:val="none"/>
                      <w:lang w:val="en-US" w:eastAsia="zh-CN" w:bidi="ar"/>
                    </w:rPr>
                    <w:t>生物安全柜</w:t>
                  </w:r>
                </w:p>
              </w:tc>
              <w:tc>
                <w:tcPr>
                  <w:tcW w:w="1436" w:type="pct"/>
                  <w:tcBorders>
                    <w:tl2br w:val="nil"/>
                    <w:tr2bl w:val="nil"/>
                  </w:tcBorders>
                  <w:shd w:val="clear" w:color="auto" w:fill="FFFFFF"/>
                  <w:noWrap/>
                  <w:vAlign w:val="center"/>
                </w:tcPr>
                <w:p w14:paraId="7D956063">
                  <w:pPr>
                    <w:keepNext w:val="0"/>
                    <w:keepLines w:val="0"/>
                    <w:pageBreakBefore w:val="0"/>
                    <w:widowControl/>
                    <w:suppressLineNumbers w:val="0"/>
                    <w:kinsoku/>
                    <w:wordWrap/>
                    <w:overflowPunct/>
                    <w:topLinePunct w:val="0"/>
                    <w:bidi w:val="0"/>
                    <w:adjustRightInd w:val="0"/>
                    <w:snapToGrid w:val="0"/>
                    <w:spacing w:before="0" w:beforeAutospacing="0" w:after="0" w:afterAutospacing="0" w:line="276" w:lineRule="auto"/>
                    <w:ind w:left="0" w:right="0"/>
                    <w:jc w:val="center"/>
                    <w:textAlignment w:val="center"/>
                    <w:rPr>
                      <w:rFonts w:hint="default" w:ascii="Times New Roman" w:hAnsi="Times New Roman" w:eastAsia="宋体" w:cs="Times New Roman"/>
                      <w:i w:val="0"/>
                      <w:iCs w:val="0"/>
                      <w:color w:val="000000"/>
                      <w:kern w:val="0"/>
                      <w:sz w:val="18"/>
                      <w:szCs w:val="18"/>
                      <w:highlight w:val="none"/>
                      <w:u w:val="none"/>
                      <w:lang w:val="en-US" w:eastAsia="zh-CN" w:bidi="ar"/>
                    </w:rPr>
                  </w:pPr>
                  <w:r>
                    <w:rPr>
                      <w:rFonts w:hint="eastAsia" w:cs="Times New Roman"/>
                      <w:i w:val="0"/>
                      <w:iCs w:val="0"/>
                      <w:color w:val="000000"/>
                      <w:kern w:val="0"/>
                      <w:sz w:val="18"/>
                      <w:szCs w:val="18"/>
                      <w:highlight w:val="none"/>
                      <w:u w:val="none"/>
                      <w:lang w:val="en-US" w:eastAsia="zh-CN" w:bidi="ar"/>
                    </w:rPr>
                    <w:t>A2型，1</w:t>
                  </w:r>
                  <w:r>
                    <w:rPr>
                      <w:rFonts w:hint="default" w:ascii="Times New Roman" w:hAnsi="Times New Roman" w:eastAsia="宋体" w:cs="Times New Roman"/>
                      <w:i w:val="0"/>
                      <w:iCs w:val="0"/>
                      <w:color w:val="000000"/>
                      <w:kern w:val="0"/>
                      <w:sz w:val="18"/>
                      <w:szCs w:val="18"/>
                      <w:highlight w:val="none"/>
                      <w:u w:val="none"/>
                      <w:lang w:val="en-US" w:eastAsia="zh-CN" w:bidi="ar"/>
                    </w:rPr>
                    <w:t>1</w:t>
                  </w:r>
                  <w:r>
                    <w:rPr>
                      <w:rFonts w:hint="eastAsia" w:ascii="Times New Roman" w:hAnsi="Times New Roman" w:eastAsia="宋体" w:cs="Times New Roman"/>
                      <w:i w:val="0"/>
                      <w:iCs w:val="0"/>
                      <w:color w:val="000000"/>
                      <w:kern w:val="0"/>
                      <w:sz w:val="18"/>
                      <w:szCs w:val="18"/>
                      <w:highlight w:val="none"/>
                      <w:u w:val="none"/>
                      <w:lang w:val="en-US" w:eastAsia="zh-CN" w:bidi="ar"/>
                    </w:rPr>
                    <w:t>00</w:t>
                  </w:r>
                  <w:r>
                    <w:rPr>
                      <w:rFonts w:hint="default" w:ascii="Times New Roman" w:hAnsi="Times New Roman" w:eastAsia="宋体" w:cs="Times New Roman"/>
                      <w:i w:val="0"/>
                      <w:iCs w:val="0"/>
                      <w:color w:val="000000"/>
                      <w:kern w:val="0"/>
                      <w:sz w:val="18"/>
                      <w:szCs w:val="18"/>
                      <w:highlight w:val="none"/>
                      <w:u w:val="none"/>
                      <w:lang w:val="en-US" w:eastAsia="zh-CN" w:bidi="ar"/>
                    </w:rPr>
                    <w:t>mm×</w:t>
                  </w:r>
                  <w:r>
                    <w:rPr>
                      <w:rFonts w:hint="eastAsia" w:ascii="Times New Roman" w:hAnsi="Times New Roman" w:eastAsia="宋体" w:cs="Times New Roman"/>
                      <w:i w:val="0"/>
                      <w:iCs w:val="0"/>
                      <w:color w:val="000000"/>
                      <w:kern w:val="0"/>
                      <w:sz w:val="18"/>
                      <w:szCs w:val="18"/>
                      <w:highlight w:val="none"/>
                      <w:u w:val="none"/>
                      <w:lang w:val="en-US" w:eastAsia="zh-CN" w:bidi="ar"/>
                    </w:rPr>
                    <w:t>8</w:t>
                  </w:r>
                  <w:r>
                    <w:rPr>
                      <w:rFonts w:hint="default" w:ascii="Times New Roman" w:hAnsi="Times New Roman" w:eastAsia="宋体" w:cs="Times New Roman"/>
                      <w:i w:val="0"/>
                      <w:iCs w:val="0"/>
                      <w:color w:val="000000"/>
                      <w:kern w:val="0"/>
                      <w:sz w:val="18"/>
                      <w:szCs w:val="18"/>
                      <w:highlight w:val="none"/>
                      <w:u w:val="none"/>
                      <w:lang w:val="en-US" w:eastAsia="zh-CN" w:bidi="ar"/>
                    </w:rPr>
                    <w:t>50mm×22</w:t>
                  </w:r>
                  <w:r>
                    <w:rPr>
                      <w:rFonts w:hint="eastAsia" w:ascii="Times New Roman" w:hAnsi="Times New Roman" w:eastAsia="宋体" w:cs="Times New Roman"/>
                      <w:i w:val="0"/>
                      <w:iCs w:val="0"/>
                      <w:color w:val="000000"/>
                      <w:kern w:val="0"/>
                      <w:sz w:val="18"/>
                      <w:szCs w:val="18"/>
                      <w:highlight w:val="none"/>
                      <w:u w:val="none"/>
                      <w:lang w:val="en-US" w:eastAsia="zh-CN" w:bidi="ar"/>
                    </w:rPr>
                    <w:t>00</w:t>
                  </w:r>
                  <w:r>
                    <w:rPr>
                      <w:rFonts w:hint="default" w:ascii="Times New Roman" w:hAnsi="Times New Roman" w:eastAsia="宋体" w:cs="Times New Roman"/>
                      <w:i w:val="0"/>
                      <w:iCs w:val="0"/>
                      <w:color w:val="000000"/>
                      <w:kern w:val="0"/>
                      <w:sz w:val="18"/>
                      <w:szCs w:val="18"/>
                      <w:highlight w:val="none"/>
                      <w:u w:val="none"/>
                      <w:lang w:val="en-US" w:eastAsia="zh-CN" w:bidi="ar"/>
                    </w:rPr>
                    <w:t>mm</w:t>
                  </w:r>
                </w:p>
              </w:tc>
              <w:tc>
                <w:tcPr>
                  <w:tcW w:w="284" w:type="pct"/>
                  <w:tcBorders>
                    <w:tl2br w:val="nil"/>
                    <w:tr2bl w:val="nil"/>
                  </w:tcBorders>
                  <w:shd w:val="clear" w:color="auto" w:fill="FFFFFF"/>
                  <w:vAlign w:val="center"/>
                </w:tcPr>
                <w:p w14:paraId="1C434DF4">
                  <w:pPr>
                    <w:keepNext w:val="0"/>
                    <w:keepLines w:val="0"/>
                    <w:pageBreakBefore w:val="0"/>
                    <w:widowControl/>
                    <w:suppressLineNumbers w:val="0"/>
                    <w:kinsoku/>
                    <w:wordWrap/>
                    <w:overflowPunct/>
                    <w:topLinePunct w:val="0"/>
                    <w:bidi w:val="0"/>
                    <w:adjustRightInd w:val="0"/>
                    <w:snapToGrid w:val="0"/>
                    <w:spacing w:before="0" w:beforeAutospacing="0" w:after="0" w:afterAutospacing="0" w:line="276" w:lineRule="auto"/>
                    <w:ind w:left="0" w:right="0"/>
                    <w:jc w:val="center"/>
                    <w:textAlignment w:val="center"/>
                    <w:rPr>
                      <w:rFonts w:hint="default" w:ascii="Times New Roman" w:hAnsi="Times New Roman" w:eastAsia="宋体" w:cs="Times New Roman"/>
                      <w:i w:val="0"/>
                      <w:iCs w:val="0"/>
                      <w:color w:val="000000"/>
                      <w:kern w:val="0"/>
                      <w:sz w:val="18"/>
                      <w:szCs w:val="18"/>
                      <w:highlight w:val="none"/>
                      <w:u w:val="none"/>
                      <w:lang w:val="en-US" w:eastAsia="zh-CN" w:bidi="ar"/>
                    </w:rPr>
                  </w:pPr>
                  <w:r>
                    <w:rPr>
                      <w:rFonts w:hint="eastAsia" w:cs="Times New Roman"/>
                      <w:i w:val="0"/>
                      <w:iCs w:val="0"/>
                      <w:color w:val="000000"/>
                      <w:kern w:val="0"/>
                      <w:sz w:val="18"/>
                      <w:szCs w:val="18"/>
                      <w:highlight w:val="none"/>
                      <w:u w:val="none"/>
                      <w:lang w:val="en-US" w:eastAsia="zh-CN" w:bidi="ar"/>
                    </w:rPr>
                    <w:t>7</w:t>
                  </w:r>
                </w:p>
              </w:tc>
              <w:tc>
                <w:tcPr>
                  <w:tcW w:w="1678" w:type="pct"/>
                  <w:tcBorders>
                    <w:tl2br w:val="nil"/>
                    <w:tr2bl w:val="nil"/>
                  </w:tcBorders>
                  <w:shd w:val="clear" w:color="auto" w:fill="FFFFFF"/>
                  <w:vAlign w:val="center"/>
                </w:tcPr>
                <w:p w14:paraId="6EB7F9BC">
                  <w:pPr>
                    <w:keepNext w:val="0"/>
                    <w:keepLines w:val="0"/>
                    <w:pageBreakBefore w:val="0"/>
                    <w:widowControl/>
                    <w:suppressLineNumbers w:val="0"/>
                    <w:kinsoku/>
                    <w:wordWrap/>
                    <w:overflowPunct/>
                    <w:topLinePunct w:val="0"/>
                    <w:bidi w:val="0"/>
                    <w:adjustRightInd w:val="0"/>
                    <w:snapToGrid w:val="0"/>
                    <w:spacing w:before="0" w:beforeAutospacing="0" w:after="0" w:afterAutospacing="0" w:line="276" w:lineRule="auto"/>
                    <w:ind w:left="0" w:right="0"/>
                    <w:jc w:val="center"/>
                    <w:textAlignment w:val="center"/>
                    <w:rPr>
                      <w:rFonts w:hint="default" w:ascii="Times New Roman" w:hAnsi="Times New Roman" w:eastAsia="宋体" w:cs="Times New Roman"/>
                      <w:i w:val="0"/>
                      <w:iCs w:val="0"/>
                      <w:color w:val="000000"/>
                      <w:kern w:val="0"/>
                      <w:sz w:val="18"/>
                      <w:szCs w:val="18"/>
                      <w:highlight w:val="none"/>
                      <w:u w:val="none"/>
                      <w:lang w:val="en-US" w:eastAsia="zh-CN" w:bidi="ar"/>
                    </w:rPr>
                  </w:pPr>
                  <w:r>
                    <w:rPr>
                      <w:rFonts w:hint="eastAsia" w:cs="Times New Roman"/>
                      <w:i w:val="0"/>
                      <w:iCs w:val="0"/>
                      <w:color w:val="000000"/>
                      <w:kern w:val="0"/>
                      <w:sz w:val="18"/>
                      <w:szCs w:val="18"/>
                      <w:highlight w:val="none"/>
                      <w:u w:val="none"/>
                      <w:lang w:val="en-US" w:eastAsia="zh-CN" w:bidi="ar"/>
                    </w:rPr>
                    <w:t>细胞间6台、微生物实验室1台</w:t>
                  </w:r>
                </w:p>
              </w:tc>
            </w:tr>
            <w:tr w14:paraId="195C7F3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0" w:hRule="atLeast"/>
              </w:trPr>
              <w:tc>
                <w:tcPr>
                  <w:tcW w:w="5000" w:type="pct"/>
                  <w:gridSpan w:val="6"/>
                  <w:tcBorders>
                    <w:tl2br w:val="nil"/>
                    <w:tr2bl w:val="nil"/>
                  </w:tcBorders>
                  <w:shd w:val="clear" w:color="auto" w:fill="FFFFFF"/>
                  <w:noWrap/>
                  <w:vAlign w:val="center"/>
                </w:tcPr>
                <w:p w14:paraId="3A8ADBE4">
                  <w:pPr>
                    <w:keepNext w:val="0"/>
                    <w:keepLines w:val="0"/>
                    <w:pageBreakBefore w:val="0"/>
                    <w:widowControl/>
                    <w:suppressLineNumbers w:val="0"/>
                    <w:kinsoku/>
                    <w:wordWrap/>
                    <w:overflowPunct/>
                    <w:topLinePunct w:val="0"/>
                    <w:bidi w:val="0"/>
                    <w:adjustRightInd w:val="0"/>
                    <w:snapToGrid w:val="0"/>
                    <w:spacing w:before="0" w:beforeAutospacing="0" w:after="0" w:afterAutospacing="0" w:line="276" w:lineRule="auto"/>
                    <w:ind w:left="0" w:right="0"/>
                    <w:jc w:val="center"/>
                    <w:textAlignment w:val="center"/>
                    <w:rPr>
                      <w:rFonts w:hint="default" w:ascii="Times New Roman" w:hAnsi="Times New Roman" w:eastAsia="宋体" w:cs="Times New Roman"/>
                      <w:b/>
                      <w:bCs/>
                      <w:i w:val="0"/>
                      <w:iCs w:val="0"/>
                      <w:color w:val="000000"/>
                      <w:kern w:val="0"/>
                      <w:sz w:val="18"/>
                      <w:szCs w:val="18"/>
                      <w:highlight w:val="none"/>
                      <w:u w:val="none"/>
                      <w:lang w:val="en-US" w:eastAsia="zh-CN" w:bidi="ar"/>
                    </w:rPr>
                  </w:pPr>
                  <w:r>
                    <w:rPr>
                      <w:rFonts w:hint="default" w:ascii="Times New Roman" w:hAnsi="Times New Roman" w:eastAsia="宋体" w:cs="Times New Roman"/>
                      <w:b/>
                      <w:bCs/>
                      <w:i w:val="0"/>
                      <w:iCs w:val="0"/>
                      <w:color w:val="000000"/>
                      <w:kern w:val="0"/>
                      <w:sz w:val="18"/>
                      <w:szCs w:val="18"/>
                      <w:highlight w:val="none"/>
                      <w:u w:val="none"/>
                      <w:lang w:val="en-US" w:eastAsia="zh-CN" w:bidi="ar"/>
                    </w:rPr>
                    <w:t>科创综合楼</w:t>
                  </w:r>
                  <w:r>
                    <w:rPr>
                      <w:rFonts w:hint="default" w:ascii="Times New Roman" w:hAnsi="Times New Roman" w:cs="Times New Roman"/>
                      <w:b/>
                      <w:bCs/>
                      <w:i w:val="0"/>
                      <w:iCs w:val="0"/>
                      <w:color w:val="000000"/>
                      <w:kern w:val="0"/>
                      <w:sz w:val="18"/>
                      <w:szCs w:val="18"/>
                      <w:highlight w:val="none"/>
                      <w:u w:val="none"/>
                      <w:lang w:val="en-US" w:eastAsia="zh-CN" w:bidi="ar"/>
                    </w:rPr>
                    <w:t>（</w:t>
                  </w:r>
                  <w:r>
                    <w:rPr>
                      <w:rFonts w:hint="default" w:ascii="Times New Roman" w:hAnsi="Times New Roman" w:eastAsia="宋体" w:cs="Times New Roman"/>
                      <w:b/>
                      <w:bCs/>
                      <w:i w:val="0"/>
                      <w:iCs w:val="0"/>
                      <w:color w:val="000000"/>
                      <w:kern w:val="0"/>
                      <w:sz w:val="18"/>
                      <w:szCs w:val="18"/>
                      <w:highlight w:val="none"/>
                      <w:u w:val="none"/>
                      <w:lang w:val="en-US" w:eastAsia="zh-CN" w:bidi="ar"/>
                    </w:rPr>
                    <w:t>一至七层</w:t>
                  </w:r>
                  <w:r>
                    <w:rPr>
                      <w:rFonts w:hint="default" w:ascii="Times New Roman" w:hAnsi="Times New Roman" w:cs="Times New Roman"/>
                      <w:b/>
                      <w:bCs/>
                      <w:i w:val="0"/>
                      <w:iCs w:val="0"/>
                      <w:color w:val="000000"/>
                      <w:kern w:val="0"/>
                      <w:sz w:val="18"/>
                      <w:szCs w:val="18"/>
                      <w:highlight w:val="none"/>
                      <w:u w:val="none"/>
                      <w:lang w:val="en-US" w:eastAsia="zh-CN" w:bidi="ar"/>
                    </w:rPr>
                    <w:t>）</w:t>
                  </w:r>
                </w:p>
              </w:tc>
            </w:tr>
            <w:tr w14:paraId="75FCC74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FFFFFF"/>
                <w:tblCellMar>
                  <w:top w:w="0" w:type="dxa"/>
                  <w:left w:w="28" w:type="dxa"/>
                  <w:bottom w:w="0" w:type="dxa"/>
                  <w:right w:w="28" w:type="dxa"/>
                </w:tblCellMar>
              </w:tblPrEx>
              <w:trPr>
                <w:trHeight w:val="0" w:hRule="atLeast"/>
              </w:trPr>
              <w:tc>
                <w:tcPr>
                  <w:tcW w:w="235" w:type="pct"/>
                  <w:tcBorders>
                    <w:tl2br w:val="nil"/>
                    <w:tr2bl w:val="nil"/>
                  </w:tcBorders>
                  <w:shd w:val="clear" w:color="auto" w:fill="FFFFFF"/>
                  <w:noWrap/>
                  <w:vAlign w:val="center"/>
                </w:tcPr>
                <w:p w14:paraId="2508640F">
                  <w:pPr>
                    <w:keepNext w:val="0"/>
                    <w:keepLines w:val="0"/>
                    <w:pageBreakBefore w:val="0"/>
                    <w:widowControl/>
                    <w:suppressLineNumbers w:val="0"/>
                    <w:kinsoku/>
                    <w:wordWrap/>
                    <w:overflowPunct/>
                    <w:topLinePunct w:val="0"/>
                    <w:bidi w:val="0"/>
                    <w:adjustRightInd w:val="0"/>
                    <w:snapToGrid w:val="0"/>
                    <w:spacing w:before="0" w:beforeAutospacing="0" w:after="0" w:afterAutospacing="0" w:line="276" w:lineRule="auto"/>
                    <w:ind w:left="0" w:right="0"/>
                    <w:jc w:val="center"/>
                    <w:textAlignment w:val="center"/>
                    <w:rPr>
                      <w:rFonts w:hint="default" w:ascii="Times New Roman" w:hAnsi="Times New Roman" w:eastAsia="宋体" w:cs="Times New Roman"/>
                      <w:bCs/>
                      <w:i w:val="0"/>
                      <w:iCs w:val="0"/>
                      <w:color w:val="000000"/>
                      <w:kern w:val="0"/>
                      <w:sz w:val="18"/>
                      <w:szCs w:val="18"/>
                      <w:highlight w:val="none"/>
                      <w:u w:val="none"/>
                      <w:lang w:val="en-US" w:eastAsia="zh-CN" w:bidi="ar"/>
                    </w:rPr>
                  </w:pPr>
                  <w:r>
                    <w:rPr>
                      <w:rFonts w:hint="default" w:ascii="Times New Roman" w:hAnsi="Times New Roman" w:cs="Times New Roman"/>
                      <w:bCs/>
                      <w:i w:val="0"/>
                      <w:iCs w:val="0"/>
                      <w:color w:val="000000"/>
                      <w:kern w:val="0"/>
                      <w:sz w:val="18"/>
                      <w:szCs w:val="18"/>
                      <w:highlight w:val="none"/>
                      <w:u w:val="none"/>
                      <w:lang w:val="en-US" w:eastAsia="zh-CN" w:bidi="ar"/>
                    </w:rPr>
                    <w:t>46</w:t>
                  </w:r>
                </w:p>
              </w:tc>
              <w:tc>
                <w:tcPr>
                  <w:tcW w:w="349" w:type="pct"/>
                  <w:vMerge w:val="restart"/>
                  <w:tcBorders>
                    <w:tl2br w:val="nil"/>
                    <w:tr2bl w:val="nil"/>
                  </w:tcBorders>
                  <w:shd w:val="clear" w:color="auto" w:fill="FFFFFF"/>
                  <w:vAlign w:val="center"/>
                </w:tcPr>
                <w:p w14:paraId="08E15AAF">
                  <w:pPr>
                    <w:pStyle w:val="120"/>
                    <w:keepNext w:val="0"/>
                    <w:keepLines w:val="0"/>
                    <w:pageBreakBefore w:val="0"/>
                    <w:framePr w:hSpace="0" w:wrap="auto" w:vAnchor="margin" w:hAnchor="text" w:xAlign="left" w:yAlign="inline"/>
                    <w:suppressLineNumbers w:val="0"/>
                    <w:kinsoku/>
                    <w:wordWrap/>
                    <w:overflowPunct/>
                    <w:topLinePunct w:val="0"/>
                    <w:bidi w:val="0"/>
                    <w:adjustRightInd w:val="0"/>
                    <w:snapToGrid w:val="0"/>
                    <w:spacing w:before="0" w:beforeAutospacing="0" w:after="0" w:afterAutospacing="0" w:line="276" w:lineRule="auto"/>
                    <w:ind w:left="0" w:right="0"/>
                    <w:jc w:val="center"/>
                    <w:rPr>
                      <w:rFonts w:hint="default" w:ascii="Times New Roman" w:hAnsi="Times New Roman" w:eastAsia="宋体" w:cs="Times New Roman"/>
                      <w:bCs/>
                      <w:i w:val="0"/>
                      <w:iCs w:val="0"/>
                      <w:color w:val="000000"/>
                      <w:kern w:val="0"/>
                      <w:sz w:val="18"/>
                      <w:szCs w:val="18"/>
                      <w:highlight w:val="none"/>
                      <w:u w:val="none"/>
                      <w:lang w:val="en-US" w:eastAsia="zh-CN" w:bidi="ar"/>
                    </w:rPr>
                  </w:pPr>
                  <w:r>
                    <w:rPr>
                      <w:rFonts w:hint="default" w:ascii="Times New Roman" w:hAnsi="Times New Roman" w:eastAsia="宋体" w:cs="Times New Roman"/>
                      <w:bCs/>
                      <w:i w:val="0"/>
                      <w:iCs w:val="0"/>
                      <w:color w:val="000000"/>
                      <w:kern w:val="0"/>
                      <w:sz w:val="18"/>
                      <w:szCs w:val="18"/>
                      <w:highlight w:val="none"/>
                      <w:u w:val="none"/>
                      <w:lang w:val="en-US" w:eastAsia="zh-CN" w:bidi="ar"/>
                    </w:rPr>
                    <w:t>化学实验、制剂实验</w:t>
                  </w:r>
                </w:p>
              </w:tc>
              <w:tc>
                <w:tcPr>
                  <w:tcW w:w="1015" w:type="pct"/>
                  <w:tcBorders>
                    <w:tl2br w:val="nil"/>
                    <w:tr2bl w:val="nil"/>
                  </w:tcBorders>
                  <w:shd w:val="clear" w:color="auto" w:fill="FFFFFF"/>
                  <w:vAlign w:val="center"/>
                </w:tcPr>
                <w:p w14:paraId="5F43D1D9">
                  <w:pPr>
                    <w:keepNext w:val="0"/>
                    <w:keepLines w:val="0"/>
                    <w:pageBreakBefore w:val="0"/>
                    <w:widowControl/>
                    <w:suppressLineNumbers w:val="0"/>
                    <w:kinsoku/>
                    <w:wordWrap/>
                    <w:overflowPunct/>
                    <w:topLinePunct w:val="0"/>
                    <w:bidi w:val="0"/>
                    <w:adjustRightInd w:val="0"/>
                    <w:snapToGrid w:val="0"/>
                    <w:spacing w:before="0" w:beforeAutospacing="0" w:after="0" w:afterAutospacing="0" w:line="276" w:lineRule="auto"/>
                    <w:ind w:left="0" w:right="0"/>
                    <w:jc w:val="center"/>
                    <w:textAlignment w:val="center"/>
                    <w:rPr>
                      <w:rFonts w:hint="default" w:ascii="Times New Roman" w:hAnsi="Times New Roman" w:eastAsia="宋体" w:cs="Times New Roman"/>
                      <w:bCs/>
                      <w:i w:val="0"/>
                      <w:iCs w:val="0"/>
                      <w:color w:val="000000"/>
                      <w:kern w:val="0"/>
                      <w:sz w:val="18"/>
                      <w:szCs w:val="18"/>
                      <w:highlight w:val="none"/>
                      <w:u w:val="none"/>
                      <w:lang w:val="en-US" w:eastAsia="zh-CN" w:bidi="ar"/>
                    </w:rPr>
                  </w:pPr>
                  <w:r>
                    <w:rPr>
                      <w:rFonts w:hint="default" w:ascii="Times New Roman" w:hAnsi="Times New Roman" w:eastAsia="宋体" w:cs="Times New Roman"/>
                      <w:bCs/>
                      <w:i w:val="0"/>
                      <w:iCs w:val="0"/>
                      <w:color w:val="000000"/>
                      <w:kern w:val="0"/>
                      <w:sz w:val="18"/>
                      <w:szCs w:val="18"/>
                      <w:highlight w:val="none"/>
                      <w:u w:val="none"/>
                      <w:lang w:val="en-US" w:eastAsia="zh-CN" w:bidi="ar"/>
                    </w:rPr>
                    <w:t>湿法混合制粒机</w:t>
                  </w:r>
                </w:p>
              </w:tc>
              <w:tc>
                <w:tcPr>
                  <w:tcW w:w="1436" w:type="pct"/>
                  <w:tcBorders>
                    <w:tl2br w:val="nil"/>
                    <w:tr2bl w:val="nil"/>
                  </w:tcBorders>
                  <w:shd w:val="clear" w:color="auto" w:fill="FFFFFF"/>
                  <w:noWrap/>
                  <w:vAlign w:val="center"/>
                </w:tcPr>
                <w:p w14:paraId="3C36AF11">
                  <w:pPr>
                    <w:keepNext w:val="0"/>
                    <w:keepLines w:val="0"/>
                    <w:pageBreakBefore w:val="0"/>
                    <w:suppressLineNumbers w:val="0"/>
                    <w:kinsoku/>
                    <w:wordWrap/>
                    <w:overflowPunct/>
                    <w:topLinePunct w:val="0"/>
                    <w:bidi w:val="0"/>
                    <w:adjustRightInd w:val="0"/>
                    <w:snapToGrid w:val="0"/>
                    <w:spacing w:before="0" w:beforeAutospacing="0" w:after="0" w:afterAutospacing="0" w:line="276" w:lineRule="auto"/>
                    <w:ind w:left="0" w:right="0"/>
                    <w:jc w:val="center"/>
                    <w:rPr>
                      <w:rFonts w:hint="default" w:ascii="Times New Roman" w:hAnsi="Times New Roman" w:eastAsia="宋体" w:cs="Times New Roman"/>
                      <w:bCs/>
                      <w:i w:val="0"/>
                      <w:iCs w:val="0"/>
                      <w:color w:val="000000"/>
                      <w:kern w:val="0"/>
                      <w:sz w:val="18"/>
                      <w:szCs w:val="18"/>
                      <w:highlight w:val="none"/>
                      <w:u w:val="none"/>
                      <w:lang w:val="en-US" w:eastAsia="zh-CN" w:bidi="ar"/>
                    </w:rPr>
                  </w:pPr>
                  <w:r>
                    <w:rPr>
                      <w:rFonts w:hint="default" w:ascii="Times New Roman" w:hAnsi="Times New Roman" w:eastAsia="宋体" w:cs="Times New Roman"/>
                      <w:bCs/>
                      <w:i w:val="0"/>
                      <w:iCs w:val="0"/>
                      <w:color w:val="000000"/>
                      <w:kern w:val="0"/>
                      <w:sz w:val="18"/>
                      <w:szCs w:val="18"/>
                      <w:highlight w:val="none"/>
                      <w:u w:val="none"/>
                      <w:lang w:val="en-US" w:eastAsia="zh-CN" w:bidi="ar"/>
                    </w:rPr>
                    <w:t>/</w:t>
                  </w:r>
                </w:p>
              </w:tc>
              <w:tc>
                <w:tcPr>
                  <w:tcW w:w="284" w:type="pct"/>
                  <w:tcBorders>
                    <w:tl2br w:val="nil"/>
                    <w:tr2bl w:val="nil"/>
                  </w:tcBorders>
                  <w:shd w:val="clear" w:color="auto" w:fill="FFFFFF"/>
                  <w:vAlign w:val="center"/>
                </w:tcPr>
                <w:p w14:paraId="508276BD">
                  <w:pPr>
                    <w:keepNext w:val="0"/>
                    <w:keepLines w:val="0"/>
                    <w:pageBreakBefore w:val="0"/>
                    <w:widowControl/>
                    <w:suppressLineNumbers w:val="0"/>
                    <w:kinsoku/>
                    <w:wordWrap/>
                    <w:overflowPunct/>
                    <w:topLinePunct w:val="0"/>
                    <w:bidi w:val="0"/>
                    <w:adjustRightInd w:val="0"/>
                    <w:snapToGrid w:val="0"/>
                    <w:spacing w:before="0" w:beforeAutospacing="0" w:after="0" w:afterAutospacing="0" w:line="276" w:lineRule="auto"/>
                    <w:ind w:left="0" w:right="0"/>
                    <w:jc w:val="center"/>
                    <w:textAlignment w:val="center"/>
                    <w:rPr>
                      <w:rFonts w:hint="default" w:ascii="Times New Roman" w:hAnsi="Times New Roman" w:eastAsia="宋体" w:cs="Times New Roman"/>
                      <w:bCs/>
                      <w:i w:val="0"/>
                      <w:iCs w:val="0"/>
                      <w:color w:val="000000"/>
                      <w:kern w:val="0"/>
                      <w:sz w:val="18"/>
                      <w:szCs w:val="18"/>
                      <w:highlight w:val="none"/>
                      <w:u w:val="none"/>
                      <w:lang w:val="en-US" w:eastAsia="zh-CN" w:bidi="ar"/>
                    </w:rPr>
                  </w:pPr>
                  <w:r>
                    <w:rPr>
                      <w:rFonts w:hint="default" w:ascii="Times New Roman" w:hAnsi="Times New Roman" w:eastAsia="宋体" w:cs="Times New Roman"/>
                      <w:bCs/>
                      <w:i w:val="0"/>
                      <w:iCs w:val="0"/>
                      <w:color w:val="000000"/>
                      <w:kern w:val="0"/>
                      <w:sz w:val="18"/>
                      <w:szCs w:val="18"/>
                      <w:highlight w:val="none"/>
                      <w:u w:val="none"/>
                      <w:lang w:val="en-US" w:eastAsia="zh-CN" w:bidi="ar"/>
                    </w:rPr>
                    <w:t>1</w:t>
                  </w:r>
                </w:p>
              </w:tc>
              <w:tc>
                <w:tcPr>
                  <w:tcW w:w="1678" w:type="pct"/>
                  <w:vMerge w:val="restart"/>
                  <w:tcBorders>
                    <w:tl2br w:val="nil"/>
                    <w:tr2bl w:val="nil"/>
                  </w:tcBorders>
                  <w:shd w:val="clear" w:color="auto" w:fill="FFFFFF"/>
                  <w:vAlign w:val="center"/>
                </w:tcPr>
                <w:p w14:paraId="07FEEE9A">
                  <w:pPr>
                    <w:keepNext w:val="0"/>
                    <w:keepLines w:val="0"/>
                    <w:pageBreakBefore w:val="0"/>
                    <w:widowControl/>
                    <w:suppressLineNumbers w:val="0"/>
                    <w:kinsoku/>
                    <w:wordWrap/>
                    <w:overflowPunct/>
                    <w:topLinePunct w:val="0"/>
                    <w:bidi w:val="0"/>
                    <w:adjustRightInd w:val="0"/>
                    <w:snapToGrid w:val="0"/>
                    <w:spacing w:before="0" w:beforeAutospacing="0" w:after="0" w:afterAutospacing="0" w:line="276" w:lineRule="auto"/>
                    <w:ind w:left="0" w:right="0"/>
                    <w:jc w:val="center"/>
                    <w:textAlignment w:val="center"/>
                    <w:rPr>
                      <w:rFonts w:hint="default" w:ascii="Times New Roman" w:hAnsi="Times New Roman" w:eastAsia="宋体" w:cs="Times New Roman"/>
                      <w:i w:val="0"/>
                      <w:iCs w:val="0"/>
                      <w:color w:val="000000"/>
                      <w:kern w:val="0"/>
                      <w:sz w:val="18"/>
                      <w:szCs w:val="18"/>
                      <w:highlight w:val="none"/>
                      <w:u w:val="none"/>
                      <w:lang w:val="en-US" w:eastAsia="zh-CN" w:bidi="ar"/>
                    </w:rPr>
                  </w:pPr>
                  <w:r>
                    <w:rPr>
                      <w:rFonts w:hint="default" w:ascii="Times New Roman" w:hAnsi="Times New Roman" w:eastAsia="宋体" w:cs="Times New Roman"/>
                      <w:bCs/>
                      <w:i w:val="0"/>
                      <w:iCs w:val="0"/>
                      <w:color w:val="000000"/>
                      <w:kern w:val="0"/>
                      <w:sz w:val="18"/>
                      <w:szCs w:val="18"/>
                      <w:highlight w:val="none"/>
                      <w:u w:val="none"/>
                      <w:lang w:val="en-US" w:eastAsia="zh-CN" w:bidi="ar"/>
                    </w:rPr>
                    <w:t>研发设备</w:t>
                  </w:r>
                </w:p>
              </w:tc>
            </w:tr>
            <w:tr w14:paraId="6C903F0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FFFFFF"/>
                <w:tblCellMar>
                  <w:top w:w="0" w:type="dxa"/>
                  <w:left w:w="28" w:type="dxa"/>
                  <w:bottom w:w="0" w:type="dxa"/>
                  <w:right w:w="28" w:type="dxa"/>
                </w:tblCellMar>
              </w:tblPrEx>
              <w:trPr>
                <w:trHeight w:val="0" w:hRule="atLeast"/>
              </w:trPr>
              <w:tc>
                <w:tcPr>
                  <w:tcW w:w="235" w:type="pct"/>
                  <w:tcBorders>
                    <w:tl2br w:val="nil"/>
                    <w:tr2bl w:val="nil"/>
                  </w:tcBorders>
                  <w:shd w:val="clear" w:color="auto" w:fill="FFFFFF"/>
                  <w:noWrap/>
                  <w:vAlign w:val="center"/>
                </w:tcPr>
                <w:p w14:paraId="1CBFB6B7">
                  <w:pPr>
                    <w:keepNext w:val="0"/>
                    <w:keepLines w:val="0"/>
                    <w:pageBreakBefore w:val="0"/>
                    <w:widowControl/>
                    <w:suppressLineNumbers w:val="0"/>
                    <w:kinsoku/>
                    <w:wordWrap/>
                    <w:overflowPunct/>
                    <w:topLinePunct w:val="0"/>
                    <w:bidi w:val="0"/>
                    <w:adjustRightInd w:val="0"/>
                    <w:snapToGrid w:val="0"/>
                    <w:spacing w:before="0" w:beforeAutospacing="0" w:after="0" w:afterAutospacing="0" w:line="276" w:lineRule="auto"/>
                    <w:ind w:left="0" w:right="0"/>
                    <w:jc w:val="center"/>
                    <w:textAlignment w:val="center"/>
                    <w:rPr>
                      <w:rFonts w:hint="default" w:ascii="Times New Roman" w:hAnsi="Times New Roman" w:eastAsia="宋体" w:cs="Times New Roman"/>
                      <w:bCs/>
                      <w:i w:val="0"/>
                      <w:iCs w:val="0"/>
                      <w:color w:val="000000"/>
                      <w:kern w:val="0"/>
                      <w:sz w:val="18"/>
                      <w:szCs w:val="18"/>
                      <w:highlight w:val="none"/>
                      <w:u w:val="none"/>
                      <w:lang w:val="en-US" w:eastAsia="zh-CN" w:bidi="ar"/>
                    </w:rPr>
                  </w:pPr>
                  <w:r>
                    <w:rPr>
                      <w:rFonts w:hint="default" w:ascii="Times New Roman" w:hAnsi="Times New Roman" w:eastAsia="宋体" w:cs="Times New Roman"/>
                      <w:bCs/>
                      <w:i w:val="0"/>
                      <w:iCs w:val="0"/>
                      <w:color w:val="000000"/>
                      <w:kern w:val="0"/>
                      <w:sz w:val="18"/>
                      <w:szCs w:val="18"/>
                      <w:highlight w:val="none"/>
                      <w:u w:val="none"/>
                      <w:lang w:val="en-US" w:eastAsia="zh-CN" w:bidi="ar"/>
                    </w:rPr>
                    <w:t>47</w:t>
                  </w:r>
                </w:p>
              </w:tc>
              <w:tc>
                <w:tcPr>
                  <w:tcW w:w="349" w:type="pct"/>
                  <w:vMerge w:val="continue"/>
                  <w:tcBorders>
                    <w:tl2br w:val="nil"/>
                    <w:tr2bl w:val="nil"/>
                  </w:tcBorders>
                  <w:shd w:val="clear" w:color="auto" w:fill="FFFFFF"/>
                  <w:vAlign w:val="center"/>
                </w:tcPr>
                <w:p w14:paraId="1B3006A5">
                  <w:pPr>
                    <w:pStyle w:val="120"/>
                    <w:keepNext w:val="0"/>
                    <w:keepLines w:val="0"/>
                    <w:pageBreakBefore w:val="0"/>
                    <w:framePr w:hSpace="0" w:wrap="auto" w:vAnchor="margin" w:hAnchor="text" w:xAlign="left" w:yAlign="inline"/>
                    <w:suppressLineNumbers w:val="0"/>
                    <w:kinsoku/>
                    <w:wordWrap/>
                    <w:overflowPunct/>
                    <w:topLinePunct w:val="0"/>
                    <w:bidi w:val="0"/>
                    <w:adjustRightInd w:val="0"/>
                    <w:snapToGrid w:val="0"/>
                    <w:spacing w:before="0" w:beforeAutospacing="0" w:after="0" w:afterAutospacing="0" w:line="276" w:lineRule="auto"/>
                    <w:ind w:left="0" w:right="0"/>
                    <w:jc w:val="center"/>
                    <w:rPr>
                      <w:rFonts w:hint="default" w:ascii="Times New Roman" w:hAnsi="Times New Roman" w:eastAsia="宋体" w:cs="Times New Roman"/>
                      <w:bCs/>
                      <w:i w:val="0"/>
                      <w:iCs w:val="0"/>
                      <w:color w:val="000000"/>
                      <w:kern w:val="0"/>
                      <w:sz w:val="18"/>
                      <w:szCs w:val="18"/>
                      <w:highlight w:val="none"/>
                      <w:u w:val="none"/>
                      <w:lang w:val="en-US" w:eastAsia="zh-CN" w:bidi="ar"/>
                    </w:rPr>
                  </w:pPr>
                </w:p>
              </w:tc>
              <w:tc>
                <w:tcPr>
                  <w:tcW w:w="1015" w:type="pct"/>
                  <w:tcBorders>
                    <w:tl2br w:val="nil"/>
                    <w:tr2bl w:val="nil"/>
                  </w:tcBorders>
                  <w:shd w:val="clear" w:color="auto" w:fill="FFFFFF"/>
                  <w:vAlign w:val="center"/>
                </w:tcPr>
                <w:p w14:paraId="05A05CA1">
                  <w:pPr>
                    <w:keepNext w:val="0"/>
                    <w:keepLines w:val="0"/>
                    <w:pageBreakBefore w:val="0"/>
                    <w:widowControl/>
                    <w:suppressLineNumbers w:val="0"/>
                    <w:kinsoku/>
                    <w:wordWrap/>
                    <w:overflowPunct/>
                    <w:topLinePunct w:val="0"/>
                    <w:bidi w:val="0"/>
                    <w:adjustRightInd w:val="0"/>
                    <w:snapToGrid w:val="0"/>
                    <w:spacing w:before="0" w:beforeAutospacing="0" w:after="0" w:afterAutospacing="0" w:line="276" w:lineRule="auto"/>
                    <w:ind w:left="0" w:right="0"/>
                    <w:jc w:val="center"/>
                    <w:textAlignment w:val="center"/>
                    <w:rPr>
                      <w:rFonts w:hint="default" w:ascii="Times New Roman" w:hAnsi="Times New Roman" w:eastAsia="宋体" w:cs="Times New Roman"/>
                      <w:bCs/>
                      <w:i w:val="0"/>
                      <w:iCs w:val="0"/>
                      <w:color w:val="000000"/>
                      <w:kern w:val="0"/>
                      <w:sz w:val="18"/>
                      <w:szCs w:val="18"/>
                      <w:highlight w:val="none"/>
                      <w:u w:val="none"/>
                      <w:lang w:val="en-US" w:eastAsia="zh-CN" w:bidi="ar"/>
                    </w:rPr>
                  </w:pPr>
                  <w:r>
                    <w:rPr>
                      <w:rFonts w:hint="default" w:ascii="Times New Roman" w:hAnsi="Times New Roman" w:eastAsia="宋体" w:cs="Times New Roman"/>
                      <w:bCs/>
                      <w:i w:val="0"/>
                      <w:iCs w:val="0"/>
                      <w:color w:val="000000"/>
                      <w:kern w:val="0"/>
                      <w:sz w:val="18"/>
                      <w:szCs w:val="18"/>
                      <w:highlight w:val="none"/>
                      <w:u w:val="none"/>
                      <w:lang w:val="en-US" w:eastAsia="zh-CN" w:bidi="ar"/>
                    </w:rPr>
                    <w:t>离心滚圆-造粒包衣机</w:t>
                  </w:r>
                </w:p>
              </w:tc>
              <w:tc>
                <w:tcPr>
                  <w:tcW w:w="1436" w:type="pct"/>
                  <w:tcBorders>
                    <w:tl2br w:val="nil"/>
                    <w:tr2bl w:val="nil"/>
                  </w:tcBorders>
                  <w:shd w:val="clear" w:color="auto" w:fill="FFFFFF"/>
                  <w:noWrap/>
                  <w:vAlign w:val="center"/>
                </w:tcPr>
                <w:p w14:paraId="5309C510">
                  <w:pPr>
                    <w:keepNext w:val="0"/>
                    <w:keepLines w:val="0"/>
                    <w:pageBreakBefore w:val="0"/>
                    <w:suppressLineNumbers w:val="0"/>
                    <w:kinsoku/>
                    <w:wordWrap/>
                    <w:overflowPunct/>
                    <w:topLinePunct w:val="0"/>
                    <w:bidi w:val="0"/>
                    <w:adjustRightInd w:val="0"/>
                    <w:snapToGrid w:val="0"/>
                    <w:spacing w:before="0" w:beforeAutospacing="0" w:after="0" w:afterAutospacing="0" w:line="276" w:lineRule="auto"/>
                    <w:ind w:left="0" w:right="0"/>
                    <w:jc w:val="center"/>
                    <w:rPr>
                      <w:rFonts w:hint="default" w:ascii="Times New Roman" w:hAnsi="Times New Roman" w:eastAsia="宋体" w:cs="Times New Roman"/>
                      <w:bCs/>
                      <w:i w:val="0"/>
                      <w:iCs w:val="0"/>
                      <w:color w:val="000000"/>
                      <w:kern w:val="0"/>
                      <w:sz w:val="18"/>
                      <w:szCs w:val="18"/>
                      <w:highlight w:val="none"/>
                      <w:u w:val="none"/>
                      <w:lang w:val="en-US" w:eastAsia="zh-CN" w:bidi="ar"/>
                    </w:rPr>
                  </w:pPr>
                  <w:r>
                    <w:rPr>
                      <w:rFonts w:hint="default" w:ascii="Times New Roman" w:hAnsi="Times New Roman" w:eastAsia="宋体" w:cs="Times New Roman"/>
                      <w:bCs/>
                      <w:i w:val="0"/>
                      <w:iCs w:val="0"/>
                      <w:color w:val="000000"/>
                      <w:kern w:val="0"/>
                      <w:sz w:val="18"/>
                      <w:szCs w:val="18"/>
                      <w:highlight w:val="none"/>
                      <w:u w:val="none"/>
                      <w:lang w:val="en-US" w:eastAsia="zh-CN" w:bidi="ar"/>
                    </w:rPr>
                    <w:t>/</w:t>
                  </w:r>
                </w:p>
              </w:tc>
              <w:tc>
                <w:tcPr>
                  <w:tcW w:w="284" w:type="pct"/>
                  <w:tcBorders>
                    <w:tl2br w:val="nil"/>
                    <w:tr2bl w:val="nil"/>
                  </w:tcBorders>
                  <w:shd w:val="clear" w:color="auto" w:fill="FFFFFF"/>
                  <w:vAlign w:val="center"/>
                </w:tcPr>
                <w:p w14:paraId="17C81F63">
                  <w:pPr>
                    <w:keepNext w:val="0"/>
                    <w:keepLines w:val="0"/>
                    <w:pageBreakBefore w:val="0"/>
                    <w:widowControl/>
                    <w:suppressLineNumbers w:val="0"/>
                    <w:kinsoku/>
                    <w:wordWrap/>
                    <w:overflowPunct/>
                    <w:topLinePunct w:val="0"/>
                    <w:bidi w:val="0"/>
                    <w:adjustRightInd w:val="0"/>
                    <w:snapToGrid w:val="0"/>
                    <w:spacing w:before="0" w:beforeAutospacing="0" w:after="0" w:afterAutospacing="0" w:line="276" w:lineRule="auto"/>
                    <w:ind w:left="0" w:right="0"/>
                    <w:jc w:val="center"/>
                    <w:textAlignment w:val="center"/>
                    <w:rPr>
                      <w:rFonts w:hint="default" w:ascii="Times New Roman" w:hAnsi="Times New Roman" w:eastAsia="宋体" w:cs="Times New Roman"/>
                      <w:bCs/>
                      <w:i w:val="0"/>
                      <w:iCs w:val="0"/>
                      <w:color w:val="000000"/>
                      <w:kern w:val="0"/>
                      <w:sz w:val="18"/>
                      <w:szCs w:val="18"/>
                      <w:highlight w:val="none"/>
                      <w:u w:val="none"/>
                      <w:lang w:val="en-US" w:eastAsia="zh-CN" w:bidi="ar"/>
                    </w:rPr>
                  </w:pPr>
                  <w:r>
                    <w:rPr>
                      <w:rFonts w:hint="default" w:ascii="Times New Roman" w:hAnsi="Times New Roman" w:eastAsia="宋体" w:cs="Times New Roman"/>
                      <w:bCs/>
                      <w:i w:val="0"/>
                      <w:iCs w:val="0"/>
                      <w:color w:val="000000"/>
                      <w:kern w:val="0"/>
                      <w:sz w:val="18"/>
                      <w:szCs w:val="18"/>
                      <w:highlight w:val="none"/>
                      <w:u w:val="none"/>
                      <w:lang w:val="en-US" w:eastAsia="zh-CN" w:bidi="ar"/>
                    </w:rPr>
                    <w:t>1</w:t>
                  </w:r>
                </w:p>
              </w:tc>
              <w:tc>
                <w:tcPr>
                  <w:tcW w:w="1678" w:type="pct"/>
                  <w:vMerge w:val="continue"/>
                  <w:tcBorders>
                    <w:tl2br w:val="nil"/>
                    <w:tr2bl w:val="nil"/>
                  </w:tcBorders>
                  <w:shd w:val="clear" w:color="auto" w:fill="FFFFFF"/>
                  <w:vAlign w:val="center"/>
                </w:tcPr>
                <w:p w14:paraId="0639E377">
                  <w:pPr>
                    <w:keepNext w:val="0"/>
                    <w:keepLines w:val="0"/>
                    <w:pageBreakBefore w:val="0"/>
                    <w:widowControl/>
                    <w:suppressLineNumbers w:val="0"/>
                    <w:kinsoku/>
                    <w:wordWrap/>
                    <w:overflowPunct/>
                    <w:topLinePunct w:val="0"/>
                    <w:bidi w:val="0"/>
                    <w:adjustRightInd w:val="0"/>
                    <w:snapToGrid w:val="0"/>
                    <w:spacing w:before="0" w:beforeAutospacing="0" w:after="0" w:afterAutospacing="0" w:line="276" w:lineRule="auto"/>
                    <w:ind w:left="0" w:right="0"/>
                    <w:jc w:val="center"/>
                    <w:textAlignment w:val="center"/>
                    <w:rPr>
                      <w:rFonts w:hint="default" w:ascii="Times New Roman" w:hAnsi="Times New Roman" w:eastAsia="宋体" w:cs="Times New Roman"/>
                      <w:i w:val="0"/>
                      <w:iCs w:val="0"/>
                      <w:color w:val="000000"/>
                      <w:kern w:val="0"/>
                      <w:sz w:val="18"/>
                      <w:szCs w:val="18"/>
                      <w:highlight w:val="none"/>
                      <w:u w:val="none"/>
                      <w:lang w:val="en-US" w:eastAsia="zh-CN" w:bidi="ar"/>
                    </w:rPr>
                  </w:pPr>
                </w:p>
              </w:tc>
            </w:tr>
            <w:tr w14:paraId="7E90C0F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FFFFFF"/>
                <w:tblCellMar>
                  <w:top w:w="0" w:type="dxa"/>
                  <w:left w:w="28" w:type="dxa"/>
                  <w:bottom w:w="0" w:type="dxa"/>
                  <w:right w:w="28" w:type="dxa"/>
                </w:tblCellMar>
              </w:tblPrEx>
              <w:trPr>
                <w:trHeight w:val="0" w:hRule="atLeast"/>
              </w:trPr>
              <w:tc>
                <w:tcPr>
                  <w:tcW w:w="235" w:type="pct"/>
                  <w:tcBorders>
                    <w:tl2br w:val="nil"/>
                    <w:tr2bl w:val="nil"/>
                  </w:tcBorders>
                  <w:shd w:val="clear" w:color="auto" w:fill="FFFFFF"/>
                  <w:noWrap/>
                  <w:vAlign w:val="center"/>
                </w:tcPr>
                <w:p w14:paraId="545072DB">
                  <w:pPr>
                    <w:keepNext w:val="0"/>
                    <w:keepLines w:val="0"/>
                    <w:pageBreakBefore w:val="0"/>
                    <w:widowControl/>
                    <w:suppressLineNumbers w:val="0"/>
                    <w:kinsoku/>
                    <w:wordWrap/>
                    <w:overflowPunct/>
                    <w:topLinePunct w:val="0"/>
                    <w:bidi w:val="0"/>
                    <w:adjustRightInd w:val="0"/>
                    <w:snapToGrid w:val="0"/>
                    <w:spacing w:before="0" w:beforeAutospacing="0" w:after="0" w:afterAutospacing="0" w:line="276" w:lineRule="auto"/>
                    <w:ind w:left="0" w:right="0"/>
                    <w:jc w:val="center"/>
                    <w:textAlignment w:val="center"/>
                    <w:rPr>
                      <w:rFonts w:hint="default" w:ascii="Times New Roman" w:hAnsi="Times New Roman" w:eastAsia="宋体" w:cs="Times New Roman"/>
                      <w:bCs/>
                      <w:i w:val="0"/>
                      <w:iCs w:val="0"/>
                      <w:color w:val="000000"/>
                      <w:kern w:val="0"/>
                      <w:sz w:val="18"/>
                      <w:szCs w:val="18"/>
                      <w:highlight w:val="none"/>
                      <w:u w:val="none"/>
                      <w:lang w:val="en-US" w:eastAsia="zh-CN" w:bidi="ar"/>
                    </w:rPr>
                  </w:pPr>
                  <w:r>
                    <w:rPr>
                      <w:rFonts w:hint="default" w:ascii="Times New Roman" w:hAnsi="Times New Roman" w:eastAsia="宋体" w:cs="Times New Roman"/>
                      <w:bCs/>
                      <w:i w:val="0"/>
                      <w:iCs w:val="0"/>
                      <w:color w:val="000000"/>
                      <w:kern w:val="0"/>
                      <w:sz w:val="18"/>
                      <w:szCs w:val="18"/>
                      <w:highlight w:val="none"/>
                      <w:u w:val="none"/>
                      <w:lang w:val="en-US" w:eastAsia="zh-CN" w:bidi="ar"/>
                    </w:rPr>
                    <w:t>48</w:t>
                  </w:r>
                </w:p>
              </w:tc>
              <w:tc>
                <w:tcPr>
                  <w:tcW w:w="349" w:type="pct"/>
                  <w:vMerge w:val="continue"/>
                  <w:tcBorders>
                    <w:tl2br w:val="nil"/>
                    <w:tr2bl w:val="nil"/>
                  </w:tcBorders>
                  <w:shd w:val="clear" w:color="auto" w:fill="FFFFFF"/>
                  <w:vAlign w:val="center"/>
                </w:tcPr>
                <w:p w14:paraId="36F42044">
                  <w:pPr>
                    <w:pStyle w:val="120"/>
                    <w:keepNext w:val="0"/>
                    <w:keepLines w:val="0"/>
                    <w:pageBreakBefore w:val="0"/>
                    <w:framePr w:hSpace="0" w:wrap="auto" w:vAnchor="margin" w:hAnchor="text" w:xAlign="left" w:yAlign="inline"/>
                    <w:suppressLineNumbers w:val="0"/>
                    <w:kinsoku/>
                    <w:wordWrap/>
                    <w:overflowPunct/>
                    <w:topLinePunct w:val="0"/>
                    <w:bidi w:val="0"/>
                    <w:adjustRightInd w:val="0"/>
                    <w:snapToGrid w:val="0"/>
                    <w:spacing w:before="0" w:beforeAutospacing="0" w:after="0" w:afterAutospacing="0" w:line="276" w:lineRule="auto"/>
                    <w:ind w:left="0" w:right="0"/>
                    <w:jc w:val="center"/>
                    <w:rPr>
                      <w:rFonts w:hint="default" w:ascii="Times New Roman" w:hAnsi="Times New Roman" w:eastAsia="宋体" w:cs="Times New Roman"/>
                      <w:bCs/>
                      <w:i w:val="0"/>
                      <w:iCs w:val="0"/>
                      <w:color w:val="000000"/>
                      <w:kern w:val="0"/>
                      <w:sz w:val="18"/>
                      <w:szCs w:val="18"/>
                      <w:highlight w:val="none"/>
                      <w:u w:val="none"/>
                      <w:lang w:val="en-US" w:eastAsia="zh-CN" w:bidi="ar"/>
                    </w:rPr>
                  </w:pPr>
                </w:p>
              </w:tc>
              <w:tc>
                <w:tcPr>
                  <w:tcW w:w="1015" w:type="pct"/>
                  <w:tcBorders>
                    <w:tl2br w:val="nil"/>
                    <w:tr2bl w:val="nil"/>
                  </w:tcBorders>
                  <w:shd w:val="clear" w:color="auto" w:fill="FFFFFF"/>
                  <w:vAlign w:val="center"/>
                </w:tcPr>
                <w:p w14:paraId="37023314">
                  <w:pPr>
                    <w:keepNext w:val="0"/>
                    <w:keepLines w:val="0"/>
                    <w:pageBreakBefore w:val="0"/>
                    <w:widowControl/>
                    <w:suppressLineNumbers w:val="0"/>
                    <w:kinsoku/>
                    <w:wordWrap/>
                    <w:overflowPunct/>
                    <w:topLinePunct w:val="0"/>
                    <w:bidi w:val="0"/>
                    <w:adjustRightInd w:val="0"/>
                    <w:snapToGrid w:val="0"/>
                    <w:spacing w:before="0" w:beforeAutospacing="0" w:after="0" w:afterAutospacing="0" w:line="276" w:lineRule="auto"/>
                    <w:ind w:left="0" w:right="0"/>
                    <w:jc w:val="center"/>
                    <w:textAlignment w:val="center"/>
                    <w:rPr>
                      <w:rFonts w:hint="default" w:ascii="Times New Roman" w:hAnsi="Times New Roman" w:eastAsia="宋体" w:cs="Times New Roman"/>
                      <w:bCs/>
                      <w:i w:val="0"/>
                      <w:iCs w:val="0"/>
                      <w:color w:val="000000"/>
                      <w:kern w:val="0"/>
                      <w:sz w:val="18"/>
                      <w:szCs w:val="18"/>
                      <w:highlight w:val="none"/>
                      <w:u w:val="none"/>
                      <w:lang w:val="en-US" w:eastAsia="zh-CN" w:bidi="ar"/>
                    </w:rPr>
                  </w:pPr>
                  <w:r>
                    <w:rPr>
                      <w:rFonts w:hint="default" w:ascii="Times New Roman" w:hAnsi="Times New Roman" w:eastAsia="宋体" w:cs="Times New Roman"/>
                      <w:bCs/>
                      <w:i w:val="0"/>
                      <w:iCs w:val="0"/>
                      <w:color w:val="000000"/>
                      <w:kern w:val="0"/>
                      <w:sz w:val="18"/>
                      <w:szCs w:val="18"/>
                      <w:highlight w:val="none"/>
                      <w:u w:val="none"/>
                      <w:lang w:val="en-US" w:eastAsia="zh-CN" w:bidi="ar"/>
                    </w:rPr>
                    <w:t>流化床</w:t>
                  </w:r>
                </w:p>
              </w:tc>
              <w:tc>
                <w:tcPr>
                  <w:tcW w:w="1436" w:type="pct"/>
                  <w:tcBorders>
                    <w:tl2br w:val="nil"/>
                    <w:tr2bl w:val="nil"/>
                  </w:tcBorders>
                  <w:shd w:val="clear" w:color="auto" w:fill="FFFFFF"/>
                  <w:noWrap/>
                  <w:vAlign w:val="center"/>
                </w:tcPr>
                <w:p w14:paraId="1F7FF50A">
                  <w:pPr>
                    <w:keepNext w:val="0"/>
                    <w:keepLines w:val="0"/>
                    <w:pageBreakBefore w:val="0"/>
                    <w:suppressLineNumbers w:val="0"/>
                    <w:kinsoku/>
                    <w:wordWrap/>
                    <w:overflowPunct/>
                    <w:topLinePunct w:val="0"/>
                    <w:bidi w:val="0"/>
                    <w:adjustRightInd w:val="0"/>
                    <w:snapToGrid w:val="0"/>
                    <w:spacing w:before="0" w:beforeAutospacing="0" w:after="0" w:afterAutospacing="0" w:line="276" w:lineRule="auto"/>
                    <w:ind w:left="0" w:right="0"/>
                    <w:jc w:val="center"/>
                    <w:rPr>
                      <w:rFonts w:hint="default" w:ascii="Times New Roman" w:hAnsi="Times New Roman" w:eastAsia="宋体" w:cs="Times New Roman"/>
                      <w:bCs/>
                      <w:i w:val="0"/>
                      <w:iCs w:val="0"/>
                      <w:color w:val="000000"/>
                      <w:kern w:val="0"/>
                      <w:sz w:val="18"/>
                      <w:szCs w:val="18"/>
                      <w:highlight w:val="none"/>
                      <w:u w:val="none"/>
                      <w:lang w:val="en-US" w:eastAsia="zh-CN" w:bidi="ar"/>
                    </w:rPr>
                  </w:pPr>
                  <w:r>
                    <w:rPr>
                      <w:rFonts w:hint="default" w:ascii="Times New Roman" w:hAnsi="Times New Roman" w:eastAsia="宋体" w:cs="Times New Roman"/>
                      <w:bCs/>
                      <w:i w:val="0"/>
                      <w:iCs w:val="0"/>
                      <w:color w:val="000000"/>
                      <w:kern w:val="0"/>
                      <w:sz w:val="18"/>
                      <w:szCs w:val="18"/>
                      <w:highlight w:val="none"/>
                      <w:u w:val="none"/>
                      <w:lang w:val="en-US" w:eastAsia="zh-CN" w:bidi="ar"/>
                    </w:rPr>
                    <w:t>/</w:t>
                  </w:r>
                </w:p>
              </w:tc>
              <w:tc>
                <w:tcPr>
                  <w:tcW w:w="284" w:type="pct"/>
                  <w:tcBorders>
                    <w:tl2br w:val="nil"/>
                    <w:tr2bl w:val="nil"/>
                  </w:tcBorders>
                  <w:shd w:val="clear" w:color="auto" w:fill="FFFFFF"/>
                  <w:vAlign w:val="center"/>
                </w:tcPr>
                <w:p w14:paraId="7B46EC11">
                  <w:pPr>
                    <w:keepNext w:val="0"/>
                    <w:keepLines w:val="0"/>
                    <w:pageBreakBefore w:val="0"/>
                    <w:widowControl/>
                    <w:suppressLineNumbers w:val="0"/>
                    <w:kinsoku/>
                    <w:wordWrap/>
                    <w:overflowPunct/>
                    <w:topLinePunct w:val="0"/>
                    <w:bidi w:val="0"/>
                    <w:adjustRightInd w:val="0"/>
                    <w:snapToGrid w:val="0"/>
                    <w:spacing w:before="0" w:beforeAutospacing="0" w:after="0" w:afterAutospacing="0" w:line="276" w:lineRule="auto"/>
                    <w:ind w:left="0" w:right="0"/>
                    <w:jc w:val="center"/>
                    <w:textAlignment w:val="center"/>
                    <w:rPr>
                      <w:rFonts w:hint="default" w:ascii="Times New Roman" w:hAnsi="Times New Roman" w:eastAsia="宋体" w:cs="Times New Roman"/>
                      <w:bCs/>
                      <w:i w:val="0"/>
                      <w:iCs w:val="0"/>
                      <w:color w:val="000000"/>
                      <w:kern w:val="0"/>
                      <w:sz w:val="18"/>
                      <w:szCs w:val="18"/>
                      <w:highlight w:val="none"/>
                      <w:u w:val="none"/>
                      <w:lang w:val="en-US" w:eastAsia="zh-CN" w:bidi="ar"/>
                    </w:rPr>
                  </w:pPr>
                  <w:r>
                    <w:rPr>
                      <w:rFonts w:hint="default" w:ascii="Times New Roman" w:hAnsi="Times New Roman" w:eastAsia="宋体" w:cs="Times New Roman"/>
                      <w:bCs/>
                      <w:i w:val="0"/>
                      <w:iCs w:val="0"/>
                      <w:color w:val="000000"/>
                      <w:kern w:val="0"/>
                      <w:sz w:val="18"/>
                      <w:szCs w:val="18"/>
                      <w:highlight w:val="none"/>
                      <w:u w:val="none"/>
                      <w:lang w:val="en-US" w:eastAsia="zh-CN" w:bidi="ar"/>
                    </w:rPr>
                    <w:t>1</w:t>
                  </w:r>
                </w:p>
              </w:tc>
              <w:tc>
                <w:tcPr>
                  <w:tcW w:w="1678" w:type="pct"/>
                  <w:vMerge w:val="continue"/>
                  <w:tcBorders>
                    <w:tl2br w:val="nil"/>
                    <w:tr2bl w:val="nil"/>
                  </w:tcBorders>
                  <w:shd w:val="clear" w:color="auto" w:fill="FFFFFF"/>
                  <w:vAlign w:val="center"/>
                </w:tcPr>
                <w:p w14:paraId="2B4CC705">
                  <w:pPr>
                    <w:keepNext w:val="0"/>
                    <w:keepLines w:val="0"/>
                    <w:pageBreakBefore w:val="0"/>
                    <w:widowControl/>
                    <w:suppressLineNumbers w:val="0"/>
                    <w:kinsoku/>
                    <w:wordWrap/>
                    <w:overflowPunct/>
                    <w:topLinePunct w:val="0"/>
                    <w:bidi w:val="0"/>
                    <w:adjustRightInd w:val="0"/>
                    <w:snapToGrid w:val="0"/>
                    <w:spacing w:before="0" w:beforeAutospacing="0" w:after="0" w:afterAutospacing="0" w:line="276" w:lineRule="auto"/>
                    <w:ind w:left="0" w:right="0"/>
                    <w:jc w:val="center"/>
                    <w:textAlignment w:val="center"/>
                    <w:rPr>
                      <w:rFonts w:hint="default" w:ascii="Times New Roman" w:hAnsi="Times New Roman" w:eastAsia="宋体" w:cs="Times New Roman"/>
                      <w:i w:val="0"/>
                      <w:iCs w:val="0"/>
                      <w:color w:val="000000"/>
                      <w:kern w:val="0"/>
                      <w:sz w:val="18"/>
                      <w:szCs w:val="18"/>
                      <w:highlight w:val="none"/>
                      <w:u w:val="none"/>
                      <w:lang w:val="en-US" w:eastAsia="zh-CN" w:bidi="ar"/>
                    </w:rPr>
                  </w:pPr>
                </w:p>
              </w:tc>
            </w:tr>
            <w:tr w14:paraId="2095614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0" w:hRule="atLeast"/>
              </w:trPr>
              <w:tc>
                <w:tcPr>
                  <w:tcW w:w="235" w:type="pct"/>
                  <w:tcBorders>
                    <w:tl2br w:val="nil"/>
                    <w:tr2bl w:val="nil"/>
                  </w:tcBorders>
                  <w:shd w:val="clear" w:color="auto" w:fill="FFFFFF"/>
                  <w:noWrap/>
                  <w:vAlign w:val="center"/>
                </w:tcPr>
                <w:p w14:paraId="20D2A35D">
                  <w:pPr>
                    <w:keepNext w:val="0"/>
                    <w:keepLines w:val="0"/>
                    <w:pageBreakBefore w:val="0"/>
                    <w:widowControl/>
                    <w:suppressLineNumbers w:val="0"/>
                    <w:kinsoku/>
                    <w:wordWrap/>
                    <w:overflowPunct/>
                    <w:topLinePunct w:val="0"/>
                    <w:bidi w:val="0"/>
                    <w:adjustRightInd w:val="0"/>
                    <w:snapToGrid w:val="0"/>
                    <w:spacing w:before="0" w:beforeAutospacing="0" w:after="0" w:afterAutospacing="0" w:line="276" w:lineRule="auto"/>
                    <w:ind w:left="0" w:right="0"/>
                    <w:jc w:val="center"/>
                    <w:textAlignment w:val="center"/>
                    <w:rPr>
                      <w:rFonts w:hint="default" w:ascii="Times New Roman" w:hAnsi="Times New Roman" w:eastAsia="宋体" w:cs="Times New Roman"/>
                      <w:bCs/>
                      <w:i w:val="0"/>
                      <w:iCs w:val="0"/>
                      <w:color w:val="000000"/>
                      <w:kern w:val="0"/>
                      <w:sz w:val="18"/>
                      <w:szCs w:val="18"/>
                      <w:highlight w:val="none"/>
                      <w:u w:val="none"/>
                      <w:lang w:val="en-US" w:eastAsia="zh-CN" w:bidi="ar"/>
                    </w:rPr>
                  </w:pPr>
                  <w:r>
                    <w:rPr>
                      <w:rFonts w:hint="default" w:ascii="Times New Roman" w:hAnsi="Times New Roman" w:eastAsia="宋体" w:cs="Times New Roman"/>
                      <w:bCs/>
                      <w:i w:val="0"/>
                      <w:iCs w:val="0"/>
                      <w:color w:val="000000"/>
                      <w:kern w:val="0"/>
                      <w:sz w:val="18"/>
                      <w:szCs w:val="18"/>
                      <w:highlight w:val="none"/>
                      <w:u w:val="none"/>
                      <w:lang w:val="en-US" w:eastAsia="zh-CN" w:bidi="ar"/>
                    </w:rPr>
                    <w:t>49</w:t>
                  </w:r>
                </w:p>
              </w:tc>
              <w:tc>
                <w:tcPr>
                  <w:tcW w:w="349" w:type="pct"/>
                  <w:vMerge w:val="continue"/>
                  <w:tcBorders>
                    <w:tl2br w:val="nil"/>
                    <w:tr2bl w:val="nil"/>
                  </w:tcBorders>
                  <w:shd w:val="clear" w:color="auto" w:fill="FFFFFF"/>
                  <w:vAlign w:val="center"/>
                </w:tcPr>
                <w:p w14:paraId="4C2A0474">
                  <w:pPr>
                    <w:pStyle w:val="120"/>
                    <w:keepNext w:val="0"/>
                    <w:keepLines w:val="0"/>
                    <w:pageBreakBefore w:val="0"/>
                    <w:framePr w:hSpace="0" w:wrap="auto" w:vAnchor="margin" w:hAnchor="text" w:xAlign="left" w:yAlign="inline"/>
                    <w:suppressLineNumbers w:val="0"/>
                    <w:kinsoku/>
                    <w:wordWrap/>
                    <w:overflowPunct/>
                    <w:topLinePunct w:val="0"/>
                    <w:bidi w:val="0"/>
                    <w:adjustRightInd w:val="0"/>
                    <w:snapToGrid w:val="0"/>
                    <w:spacing w:before="0" w:beforeAutospacing="0" w:after="0" w:afterAutospacing="0" w:line="276" w:lineRule="auto"/>
                    <w:ind w:left="0" w:right="0"/>
                    <w:jc w:val="center"/>
                    <w:rPr>
                      <w:rFonts w:hint="default" w:ascii="Times New Roman" w:hAnsi="Times New Roman" w:eastAsia="宋体" w:cs="Times New Roman"/>
                      <w:bCs/>
                      <w:i w:val="0"/>
                      <w:iCs w:val="0"/>
                      <w:color w:val="000000"/>
                      <w:kern w:val="0"/>
                      <w:sz w:val="18"/>
                      <w:szCs w:val="18"/>
                      <w:highlight w:val="none"/>
                      <w:u w:val="none"/>
                      <w:lang w:val="en-US" w:eastAsia="zh-CN" w:bidi="ar"/>
                    </w:rPr>
                  </w:pPr>
                </w:p>
              </w:tc>
              <w:tc>
                <w:tcPr>
                  <w:tcW w:w="1015" w:type="pct"/>
                  <w:tcBorders>
                    <w:tl2br w:val="nil"/>
                    <w:tr2bl w:val="nil"/>
                  </w:tcBorders>
                  <w:shd w:val="clear" w:color="auto" w:fill="FFFFFF"/>
                  <w:vAlign w:val="center"/>
                </w:tcPr>
                <w:p w14:paraId="67203AAD">
                  <w:pPr>
                    <w:keepNext w:val="0"/>
                    <w:keepLines w:val="0"/>
                    <w:pageBreakBefore w:val="0"/>
                    <w:widowControl/>
                    <w:suppressLineNumbers w:val="0"/>
                    <w:kinsoku/>
                    <w:wordWrap/>
                    <w:overflowPunct/>
                    <w:topLinePunct w:val="0"/>
                    <w:bidi w:val="0"/>
                    <w:adjustRightInd w:val="0"/>
                    <w:snapToGrid w:val="0"/>
                    <w:spacing w:before="0" w:beforeAutospacing="0" w:after="0" w:afterAutospacing="0" w:line="276" w:lineRule="auto"/>
                    <w:ind w:left="0" w:right="0"/>
                    <w:jc w:val="center"/>
                    <w:textAlignment w:val="center"/>
                    <w:rPr>
                      <w:rFonts w:hint="default" w:ascii="Times New Roman" w:hAnsi="Times New Roman" w:eastAsia="宋体" w:cs="Times New Roman"/>
                      <w:bCs/>
                      <w:i w:val="0"/>
                      <w:iCs w:val="0"/>
                      <w:color w:val="000000"/>
                      <w:kern w:val="0"/>
                      <w:sz w:val="18"/>
                      <w:szCs w:val="18"/>
                      <w:highlight w:val="none"/>
                      <w:u w:val="none"/>
                      <w:lang w:val="en-US" w:eastAsia="zh-CN" w:bidi="ar"/>
                    </w:rPr>
                  </w:pPr>
                  <w:r>
                    <w:rPr>
                      <w:rFonts w:hint="default" w:ascii="Times New Roman" w:hAnsi="Times New Roman" w:eastAsia="宋体" w:cs="Times New Roman"/>
                      <w:bCs/>
                      <w:i w:val="0"/>
                      <w:iCs w:val="0"/>
                      <w:color w:val="000000"/>
                      <w:kern w:val="0"/>
                      <w:sz w:val="18"/>
                      <w:szCs w:val="18"/>
                      <w:highlight w:val="none"/>
                      <w:u w:val="none"/>
                      <w:lang w:val="en-US" w:eastAsia="zh-CN" w:bidi="ar"/>
                    </w:rPr>
                    <w:t>滚圆机</w:t>
                  </w:r>
                </w:p>
              </w:tc>
              <w:tc>
                <w:tcPr>
                  <w:tcW w:w="1436" w:type="pct"/>
                  <w:tcBorders>
                    <w:tl2br w:val="nil"/>
                    <w:tr2bl w:val="nil"/>
                  </w:tcBorders>
                  <w:shd w:val="clear" w:color="auto" w:fill="FFFFFF"/>
                  <w:noWrap/>
                  <w:vAlign w:val="center"/>
                </w:tcPr>
                <w:p w14:paraId="6B0B6C91">
                  <w:pPr>
                    <w:keepNext w:val="0"/>
                    <w:keepLines w:val="0"/>
                    <w:pageBreakBefore w:val="0"/>
                    <w:suppressLineNumbers w:val="0"/>
                    <w:kinsoku/>
                    <w:wordWrap/>
                    <w:overflowPunct/>
                    <w:topLinePunct w:val="0"/>
                    <w:bidi w:val="0"/>
                    <w:adjustRightInd w:val="0"/>
                    <w:snapToGrid w:val="0"/>
                    <w:spacing w:before="0" w:beforeAutospacing="0" w:after="0" w:afterAutospacing="0" w:line="276" w:lineRule="auto"/>
                    <w:ind w:left="0" w:right="0"/>
                    <w:jc w:val="center"/>
                    <w:rPr>
                      <w:rFonts w:hint="default" w:ascii="Times New Roman" w:hAnsi="Times New Roman" w:eastAsia="宋体" w:cs="Times New Roman"/>
                      <w:bCs/>
                      <w:i w:val="0"/>
                      <w:iCs w:val="0"/>
                      <w:color w:val="000000"/>
                      <w:kern w:val="0"/>
                      <w:sz w:val="18"/>
                      <w:szCs w:val="18"/>
                      <w:highlight w:val="none"/>
                      <w:u w:val="none"/>
                      <w:lang w:val="en-US" w:eastAsia="zh-CN" w:bidi="ar"/>
                    </w:rPr>
                  </w:pPr>
                  <w:r>
                    <w:rPr>
                      <w:rFonts w:hint="default" w:ascii="Times New Roman" w:hAnsi="Times New Roman" w:eastAsia="宋体" w:cs="Times New Roman"/>
                      <w:bCs/>
                      <w:i w:val="0"/>
                      <w:iCs w:val="0"/>
                      <w:color w:val="000000"/>
                      <w:kern w:val="0"/>
                      <w:sz w:val="18"/>
                      <w:szCs w:val="18"/>
                      <w:highlight w:val="none"/>
                      <w:u w:val="none"/>
                      <w:lang w:val="en-US" w:eastAsia="zh-CN" w:bidi="ar"/>
                    </w:rPr>
                    <w:t>/</w:t>
                  </w:r>
                </w:p>
              </w:tc>
              <w:tc>
                <w:tcPr>
                  <w:tcW w:w="284" w:type="pct"/>
                  <w:tcBorders>
                    <w:tl2br w:val="nil"/>
                    <w:tr2bl w:val="nil"/>
                  </w:tcBorders>
                  <w:shd w:val="clear" w:color="auto" w:fill="FFFFFF"/>
                  <w:vAlign w:val="center"/>
                </w:tcPr>
                <w:p w14:paraId="1BE838A0">
                  <w:pPr>
                    <w:keepNext w:val="0"/>
                    <w:keepLines w:val="0"/>
                    <w:pageBreakBefore w:val="0"/>
                    <w:widowControl/>
                    <w:suppressLineNumbers w:val="0"/>
                    <w:kinsoku/>
                    <w:wordWrap/>
                    <w:overflowPunct/>
                    <w:topLinePunct w:val="0"/>
                    <w:bidi w:val="0"/>
                    <w:adjustRightInd w:val="0"/>
                    <w:snapToGrid w:val="0"/>
                    <w:spacing w:before="0" w:beforeAutospacing="0" w:after="0" w:afterAutospacing="0" w:line="276" w:lineRule="auto"/>
                    <w:ind w:left="0" w:right="0"/>
                    <w:jc w:val="center"/>
                    <w:textAlignment w:val="center"/>
                    <w:rPr>
                      <w:rFonts w:hint="default" w:ascii="Times New Roman" w:hAnsi="Times New Roman" w:eastAsia="宋体" w:cs="Times New Roman"/>
                      <w:bCs/>
                      <w:i w:val="0"/>
                      <w:iCs w:val="0"/>
                      <w:color w:val="000000"/>
                      <w:kern w:val="0"/>
                      <w:sz w:val="18"/>
                      <w:szCs w:val="18"/>
                      <w:highlight w:val="none"/>
                      <w:u w:val="none"/>
                      <w:lang w:val="en-US" w:eastAsia="zh-CN" w:bidi="ar"/>
                    </w:rPr>
                  </w:pPr>
                  <w:r>
                    <w:rPr>
                      <w:rFonts w:hint="default" w:ascii="Times New Roman" w:hAnsi="Times New Roman" w:eastAsia="宋体" w:cs="Times New Roman"/>
                      <w:bCs/>
                      <w:i w:val="0"/>
                      <w:iCs w:val="0"/>
                      <w:color w:val="000000"/>
                      <w:kern w:val="0"/>
                      <w:sz w:val="18"/>
                      <w:szCs w:val="18"/>
                      <w:highlight w:val="none"/>
                      <w:u w:val="none"/>
                      <w:lang w:val="en-US" w:eastAsia="zh-CN" w:bidi="ar"/>
                    </w:rPr>
                    <w:t>1</w:t>
                  </w:r>
                </w:p>
              </w:tc>
              <w:tc>
                <w:tcPr>
                  <w:tcW w:w="1678" w:type="pct"/>
                  <w:vMerge w:val="continue"/>
                  <w:tcBorders>
                    <w:tl2br w:val="nil"/>
                    <w:tr2bl w:val="nil"/>
                  </w:tcBorders>
                  <w:shd w:val="clear" w:color="auto" w:fill="FFFFFF"/>
                  <w:vAlign w:val="center"/>
                </w:tcPr>
                <w:p w14:paraId="028D2560">
                  <w:pPr>
                    <w:keepNext w:val="0"/>
                    <w:keepLines w:val="0"/>
                    <w:pageBreakBefore w:val="0"/>
                    <w:widowControl/>
                    <w:suppressLineNumbers w:val="0"/>
                    <w:kinsoku/>
                    <w:wordWrap/>
                    <w:overflowPunct/>
                    <w:topLinePunct w:val="0"/>
                    <w:bidi w:val="0"/>
                    <w:adjustRightInd w:val="0"/>
                    <w:snapToGrid w:val="0"/>
                    <w:spacing w:before="0" w:beforeAutospacing="0" w:after="0" w:afterAutospacing="0" w:line="276" w:lineRule="auto"/>
                    <w:ind w:left="0" w:right="0"/>
                    <w:jc w:val="center"/>
                    <w:textAlignment w:val="center"/>
                    <w:rPr>
                      <w:rFonts w:hint="default" w:ascii="Times New Roman" w:hAnsi="Times New Roman" w:eastAsia="宋体" w:cs="Times New Roman"/>
                      <w:i w:val="0"/>
                      <w:iCs w:val="0"/>
                      <w:color w:val="000000"/>
                      <w:kern w:val="0"/>
                      <w:sz w:val="18"/>
                      <w:szCs w:val="18"/>
                      <w:highlight w:val="none"/>
                      <w:u w:val="none"/>
                      <w:lang w:val="en-US" w:eastAsia="zh-CN" w:bidi="ar"/>
                    </w:rPr>
                  </w:pPr>
                </w:p>
              </w:tc>
            </w:tr>
            <w:tr w14:paraId="6F75100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FFFFFF"/>
                <w:tblCellMar>
                  <w:top w:w="0" w:type="dxa"/>
                  <w:left w:w="28" w:type="dxa"/>
                  <w:bottom w:w="0" w:type="dxa"/>
                  <w:right w:w="28" w:type="dxa"/>
                </w:tblCellMar>
              </w:tblPrEx>
              <w:trPr>
                <w:trHeight w:val="0" w:hRule="atLeast"/>
              </w:trPr>
              <w:tc>
                <w:tcPr>
                  <w:tcW w:w="235" w:type="pct"/>
                  <w:tcBorders>
                    <w:tl2br w:val="nil"/>
                    <w:tr2bl w:val="nil"/>
                  </w:tcBorders>
                  <w:shd w:val="clear" w:color="auto" w:fill="FFFFFF"/>
                  <w:noWrap/>
                  <w:vAlign w:val="center"/>
                </w:tcPr>
                <w:p w14:paraId="635A58D5">
                  <w:pPr>
                    <w:keepNext w:val="0"/>
                    <w:keepLines w:val="0"/>
                    <w:pageBreakBefore w:val="0"/>
                    <w:widowControl/>
                    <w:suppressLineNumbers w:val="0"/>
                    <w:kinsoku/>
                    <w:wordWrap/>
                    <w:overflowPunct/>
                    <w:topLinePunct w:val="0"/>
                    <w:bidi w:val="0"/>
                    <w:adjustRightInd w:val="0"/>
                    <w:snapToGrid w:val="0"/>
                    <w:spacing w:before="0" w:beforeAutospacing="0" w:after="0" w:afterAutospacing="0" w:line="276" w:lineRule="auto"/>
                    <w:ind w:left="0" w:right="0"/>
                    <w:jc w:val="center"/>
                    <w:textAlignment w:val="center"/>
                    <w:rPr>
                      <w:rFonts w:hint="default" w:ascii="Times New Roman" w:hAnsi="Times New Roman" w:eastAsia="宋体" w:cs="Times New Roman"/>
                      <w:bCs/>
                      <w:i w:val="0"/>
                      <w:iCs w:val="0"/>
                      <w:color w:val="000000"/>
                      <w:kern w:val="0"/>
                      <w:sz w:val="18"/>
                      <w:szCs w:val="18"/>
                      <w:highlight w:val="none"/>
                      <w:u w:val="none"/>
                      <w:lang w:val="en-US" w:eastAsia="zh-CN" w:bidi="ar"/>
                    </w:rPr>
                  </w:pPr>
                  <w:r>
                    <w:rPr>
                      <w:rFonts w:hint="default" w:ascii="Times New Roman" w:hAnsi="Times New Roman" w:eastAsia="宋体" w:cs="Times New Roman"/>
                      <w:bCs/>
                      <w:i w:val="0"/>
                      <w:iCs w:val="0"/>
                      <w:color w:val="000000"/>
                      <w:kern w:val="0"/>
                      <w:sz w:val="18"/>
                      <w:szCs w:val="18"/>
                      <w:highlight w:val="none"/>
                      <w:u w:val="none"/>
                      <w:lang w:val="en-US" w:eastAsia="zh-CN" w:bidi="ar"/>
                    </w:rPr>
                    <w:t>50</w:t>
                  </w:r>
                </w:p>
              </w:tc>
              <w:tc>
                <w:tcPr>
                  <w:tcW w:w="349" w:type="pct"/>
                  <w:vMerge w:val="continue"/>
                  <w:tcBorders>
                    <w:tl2br w:val="nil"/>
                    <w:tr2bl w:val="nil"/>
                  </w:tcBorders>
                  <w:shd w:val="clear" w:color="auto" w:fill="FFFFFF"/>
                  <w:vAlign w:val="center"/>
                </w:tcPr>
                <w:p w14:paraId="541A7C3C">
                  <w:pPr>
                    <w:pStyle w:val="120"/>
                    <w:keepNext w:val="0"/>
                    <w:keepLines w:val="0"/>
                    <w:pageBreakBefore w:val="0"/>
                    <w:framePr w:hSpace="0" w:wrap="auto" w:vAnchor="margin" w:hAnchor="text" w:xAlign="left" w:yAlign="inline"/>
                    <w:suppressLineNumbers w:val="0"/>
                    <w:kinsoku/>
                    <w:wordWrap/>
                    <w:overflowPunct/>
                    <w:topLinePunct w:val="0"/>
                    <w:bidi w:val="0"/>
                    <w:adjustRightInd w:val="0"/>
                    <w:snapToGrid w:val="0"/>
                    <w:spacing w:before="0" w:beforeAutospacing="0" w:after="0" w:afterAutospacing="0" w:line="276" w:lineRule="auto"/>
                    <w:ind w:left="0" w:right="0"/>
                    <w:jc w:val="center"/>
                    <w:rPr>
                      <w:rFonts w:hint="default" w:ascii="Times New Roman" w:hAnsi="Times New Roman" w:eastAsia="宋体" w:cs="Times New Roman"/>
                      <w:bCs/>
                      <w:i w:val="0"/>
                      <w:iCs w:val="0"/>
                      <w:color w:val="000000"/>
                      <w:kern w:val="0"/>
                      <w:sz w:val="18"/>
                      <w:szCs w:val="18"/>
                      <w:highlight w:val="none"/>
                      <w:u w:val="none"/>
                      <w:lang w:val="en-US" w:eastAsia="zh-CN" w:bidi="ar"/>
                    </w:rPr>
                  </w:pPr>
                </w:p>
              </w:tc>
              <w:tc>
                <w:tcPr>
                  <w:tcW w:w="1015" w:type="pct"/>
                  <w:tcBorders>
                    <w:tl2br w:val="nil"/>
                    <w:tr2bl w:val="nil"/>
                  </w:tcBorders>
                  <w:shd w:val="clear" w:color="auto" w:fill="FFFFFF"/>
                  <w:vAlign w:val="center"/>
                </w:tcPr>
                <w:p w14:paraId="0629C901">
                  <w:pPr>
                    <w:keepNext w:val="0"/>
                    <w:keepLines w:val="0"/>
                    <w:pageBreakBefore w:val="0"/>
                    <w:widowControl/>
                    <w:suppressLineNumbers w:val="0"/>
                    <w:kinsoku/>
                    <w:wordWrap/>
                    <w:overflowPunct/>
                    <w:topLinePunct w:val="0"/>
                    <w:bidi w:val="0"/>
                    <w:adjustRightInd w:val="0"/>
                    <w:snapToGrid w:val="0"/>
                    <w:spacing w:before="0" w:beforeAutospacing="0" w:after="0" w:afterAutospacing="0" w:line="276" w:lineRule="auto"/>
                    <w:ind w:left="0" w:right="0"/>
                    <w:jc w:val="center"/>
                    <w:textAlignment w:val="center"/>
                    <w:rPr>
                      <w:rFonts w:hint="default" w:ascii="Times New Roman" w:hAnsi="Times New Roman" w:eastAsia="宋体" w:cs="Times New Roman"/>
                      <w:bCs/>
                      <w:i w:val="0"/>
                      <w:iCs w:val="0"/>
                      <w:color w:val="000000"/>
                      <w:kern w:val="0"/>
                      <w:sz w:val="18"/>
                      <w:szCs w:val="18"/>
                      <w:highlight w:val="none"/>
                      <w:u w:val="none"/>
                      <w:lang w:val="en-US" w:eastAsia="zh-CN" w:bidi="ar"/>
                    </w:rPr>
                  </w:pPr>
                  <w:r>
                    <w:rPr>
                      <w:rFonts w:hint="default" w:ascii="Times New Roman" w:hAnsi="Times New Roman" w:eastAsia="宋体" w:cs="Times New Roman"/>
                      <w:bCs/>
                      <w:i w:val="0"/>
                      <w:iCs w:val="0"/>
                      <w:color w:val="000000"/>
                      <w:kern w:val="0"/>
                      <w:sz w:val="18"/>
                      <w:szCs w:val="18"/>
                      <w:highlight w:val="none"/>
                      <w:u w:val="none"/>
                      <w:lang w:val="en-US" w:eastAsia="zh-CN" w:bidi="ar"/>
                    </w:rPr>
                    <w:t>篮式挤出机</w:t>
                  </w:r>
                </w:p>
              </w:tc>
              <w:tc>
                <w:tcPr>
                  <w:tcW w:w="1436" w:type="pct"/>
                  <w:tcBorders>
                    <w:tl2br w:val="nil"/>
                    <w:tr2bl w:val="nil"/>
                  </w:tcBorders>
                  <w:shd w:val="clear" w:color="auto" w:fill="FFFFFF"/>
                  <w:noWrap/>
                  <w:vAlign w:val="center"/>
                </w:tcPr>
                <w:p w14:paraId="16EB6BD6">
                  <w:pPr>
                    <w:keepNext w:val="0"/>
                    <w:keepLines w:val="0"/>
                    <w:pageBreakBefore w:val="0"/>
                    <w:suppressLineNumbers w:val="0"/>
                    <w:kinsoku/>
                    <w:wordWrap/>
                    <w:overflowPunct/>
                    <w:topLinePunct w:val="0"/>
                    <w:bidi w:val="0"/>
                    <w:adjustRightInd w:val="0"/>
                    <w:snapToGrid w:val="0"/>
                    <w:spacing w:before="0" w:beforeAutospacing="0" w:after="0" w:afterAutospacing="0" w:line="276" w:lineRule="auto"/>
                    <w:ind w:left="0" w:right="0"/>
                    <w:jc w:val="center"/>
                    <w:rPr>
                      <w:rFonts w:hint="default" w:ascii="Times New Roman" w:hAnsi="Times New Roman" w:eastAsia="宋体" w:cs="Times New Roman"/>
                      <w:bCs/>
                      <w:i w:val="0"/>
                      <w:iCs w:val="0"/>
                      <w:color w:val="000000"/>
                      <w:kern w:val="0"/>
                      <w:sz w:val="18"/>
                      <w:szCs w:val="18"/>
                      <w:highlight w:val="none"/>
                      <w:u w:val="none"/>
                      <w:lang w:val="en-US" w:eastAsia="zh-CN" w:bidi="ar"/>
                    </w:rPr>
                  </w:pPr>
                  <w:r>
                    <w:rPr>
                      <w:rFonts w:hint="default" w:ascii="Times New Roman" w:hAnsi="Times New Roman" w:eastAsia="宋体" w:cs="Times New Roman"/>
                      <w:bCs/>
                      <w:i w:val="0"/>
                      <w:iCs w:val="0"/>
                      <w:color w:val="000000"/>
                      <w:kern w:val="0"/>
                      <w:sz w:val="18"/>
                      <w:szCs w:val="18"/>
                      <w:highlight w:val="none"/>
                      <w:u w:val="none"/>
                      <w:lang w:val="en-US" w:eastAsia="zh-CN" w:bidi="ar"/>
                    </w:rPr>
                    <w:t>/</w:t>
                  </w:r>
                </w:p>
              </w:tc>
              <w:tc>
                <w:tcPr>
                  <w:tcW w:w="284" w:type="pct"/>
                  <w:tcBorders>
                    <w:tl2br w:val="nil"/>
                    <w:tr2bl w:val="nil"/>
                  </w:tcBorders>
                  <w:shd w:val="clear" w:color="auto" w:fill="FFFFFF"/>
                  <w:vAlign w:val="center"/>
                </w:tcPr>
                <w:p w14:paraId="02B53BD9">
                  <w:pPr>
                    <w:keepNext w:val="0"/>
                    <w:keepLines w:val="0"/>
                    <w:pageBreakBefore w:val="0"/>
                    <w:widowControl/>
                    <w:suppressLineNumbers w:val="0"/>
                    <w:kinsoku/>
                    <w:wordWrap/>
                    <w:overflowPunct/>
                    <w:topLinePunct w:val="0"/>
                    <w:bidi w:val="0"/>
                    <w:adjustRightInd w:val="0"/>
                    <w:snapToGrid w:val="0"/>
                    <w:spacing w:before="0" w:beforeAutospacing="0" w:after="0" w:afterAutospacing="0" w:line="276" w:lineRule="auto"/>
                    <w:ind w:left="0" w:right="0"/>
                    <w:jc w:val="center"/>
                    <w:textAlignment w:val="center"/>
                    <w:rPr>
                      <w:rFonts w:hint="default" w:ascii="Times New Roman" w:hAnsi="Times New Roman" w:eastAsia="宋体" w:cs="Times New Roman"/>
                      <w:bCs/>
                      <w:i w:val="0"/>
                      <w:iCs w:val="0"/>
                      <w:color w:val="000000"/>
                      <w:kern w:val="0"/>
                      <w:sz w:val="18"/>
                      <w:szCs w:val="18"/>
                      <w:highlight w:val="none"/>
                      <w:u w:val="none"/>
                      <w:lang w:val="en-US" w:eastAsia="zh-CN" w:bidi="ar"/>
                    </w:rPr>
                  </w:pPr>
                  <w:r>
                    <w:rPr>
                      <w:rFonts w:hint="default" w:ascii="Times New Roman" w:hAnsi="Times New Roman" w:eastAsia="宋体" w:cs="Times New Roman"/>
                      <w:bCs/>
                      <w:i w:val="0"/>
                      <w:iCs w:val="0"/>
                      <w:color w:val="000000"/>
                      <w:kern w:val="0"/>
                      <w:sz w:val="18"/>
                      <w:szCs w:val="18"/>
                      <w:highlight w:val="none"/>
                      <w:u w:val="none"/>
                      <w:lang w:val="en-US" w:eastAsia="zh-CN" w:bidi="ar"/>
                    </w:rPr>
                    <w:t>1</w:t>
                  </w:r>
                </w:p>
              </w:tc>
              <w:tc>
                <w:tcPr>
                  <w:tcW w:w="1678" w:type="pct"/>
                  <w:vMerge w:val="continue"/>
                  <w:tcBorders>
                    <w:tl2br w:val="nil"/>
                    <w:tr2bl w:val="nil"/>
                  </w:tcBorders>
                  <w:shd w:val="clear" w:color="auto" w:fill="FFFFFF"/>
                  <w:vAlign w:val="center"/>
                </w:tcPr>
                <w:p w14:paraId="59FB8DB5">
                  <w:pPr>
                    <w:keepNext w:val="0"/>
                    <w:keepLines w:val="0"/>
                    <w:pageBreakBefore w:val="0"/>
                    <w:widowControl/>
                    <w:suppressLineNumbers w:val="0"/>
                    <w:kinsoku/>
                    <w:wordWrap/>
                    <w:overflowPunct/>
                    <w:topLinePunct w:val="0"/>
                    <w:bidi w:val="0"/>
                    <w:adjustRightInd w:val="0"/>
                    <w:snapToGrid w:val="0"/>
                    <w:spacing w:before="0" w:beforeAutospacing="0" w:after="0" w:afterAutospacing="0" w:line="276" w:lineRule="auto"/>
                    <w:ind w:left="0" w:right="0"/>
                    <w:jc w:val="center"/>
                    <w:textAlignment w:val="center"/>
                    <w:rPr>
                      <w:rFonts w:hint="default" w:ascii="Times New Roman" w:hAnsi="Times New Roman" w:eastAsia="宋体" w:cs="Times New Roman"/>
                      <w:i w:val="0"/>
                      <w:iCs w:val="0"/>
                      <w:color w:val="000000"/>
                      <w:kern w:val="0"/>
                      <w:sz w:val="18"/>
                      <w:szCs w:val="18"/>
                      <w:highlight w:val="none"/>
                      <w:u w:val="none"/>
                      <w:lang w:val="en-US" w:eastAsia="zh-CN" w:bidi="ar"/>
                    </w:rPr>
                  </w:pPr>
                </w:p>
              </w:tc>
            </w:tr>
            <w:tr w14:paraId="46C9AD2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0" w:hRule="atLeast"/>
              </w:trPr>
              <w:tc>
                <w:tcPr>
                  <w:tcW w:w="235" w:type="pct"/>
                  <w:tcBorders>
                    <w:tl2br w:val="nil"/>
                    <w:tr2bl w:val="nil"/>
                  </w:tcBorders>
                  <w:shd w:val="clear" w:color="auto" w:fill="FFFFFF"/>
                  <w:noWrap/>
                  <w:vAlign w:val="center"/>
                </w:tcPr>
                <w:p w14:paraId="1830C218">
                  <w:pPr>
                    <w:keepNext w:val="0"/>
                    <w:keepLines w:val="0"/>
                    <w:pageBreakBefore w:val="0"/>
                    <w:widowControl/>
                    <w:suppressLineNumbers w:val="0"/>
                    <w:kinsoku/>
                    <w:wordWrap/>
                    <w:overflowPunct/>
                    <w:topLinePunct w:val="0"/>
                    <w:bidi w:val="0"/>
                    <w:adjustRightInd w:val="0"/>
                    <w:snapToGrid w:val="0"/>
                    <w:spacing w:before="0" w:beforeAutospacing="0" w:after="0" w:afterAutospacing="0" w:line="276" w:lineRule="auto"/>
                    <w:ind w:left="0" w:right="0"/>
                    <w:jc w:val="center"/>
                    <w:textAlignment w:val="center"/>
                    <w:rPr>
                      <w:rFonts w:hint="default" w:ascii="Times New Roman" w:hAnsi="Times New Roman" w:eastAsia="宋体" w:cs="Times New Roman"/>
                      <w:bCs/>
                      <w:i w:val="0"/>
                      <w:iCs w:val="0"/>
                      <w:color w:val="000000"/>
                      <w:kern w:val="0"/>
                      <w:sz w:val="18"/>
                      <w:szCs w:val="18"/>
                      <w:highlight w:val="none"/>
                      <w:u w:val="none"/>
                      <w:lang w:val="en-US" w:eastAsia="zh-CN" w:bidi="ar"/>
                    </w:rPr>
                  </w:pPr>
                  <w:r>
                    <w:rPr>
                      <w:rFonts w:hint="default" w:ascii="Times New Roman" w:hAnsi="Times New Roman" w:eastAsia="宋体" w:cs="Times New Roman"/>
                      <w:bCs/>
                      <w:i w:val="0"/>
                      <w:iCs w:val="0"/>
                      <w:color w:val="000000"/>
                      <w:kern w:val="0"/>
                      <w:sz w:val="18"/>
                      <w:szCs w:val="18"/>
                      <w:highlight w:val="none"/>
                      <w:u w:val="none"/>
                      <w:lang w:val="en-US" w:eastAsia="zh-CN" w:bidi="ar"/>
                    </w:rPr>
                    <w:t>51</w:t>
                  </w:r>
                </w:p>
              </w:tc>
              <w:tc>
                <w:tcPr>
                  <w:tcW w:w="349" w:type="pct"/>
                  <w:vMerge w:val="continue"/>
                  <w:tcBorders>
                    <w:tl2br w:val="nil"/>
                    <w:tr2bl w:val="nil"/>
                  </w:tcBorders>
                  <w:shd w:val="clear" w:color="auto" w:fill="FFFFFF"/>
                  <w:vAlign w:val="center"/>
                </w:tcPr>
                <w:p w14:paraId="267230F4">
                  <w:pPr>
                    <w:pStyle w:val="120"/>
                    <w:keepNext w:val="0"/>
                    <w:keepLines w:val="0"/>
                    <w:pageBreakBefore w:val="0"/>
                    <w:framePr w:hSpace="0" w:wrap="auto" w:vAnchor="margin" w:hAnchor="text" w:xAlign="left" w:yAlign="inline"/>
                    <w:suppressLineNumbers w:val="0"/>
                    <w:kinsoku/>
                    <w:wordWrap/>
                    <w:overflowPunct/>
                    <w:topLinePunct w:val="0"/>
                    <w:bidi w:val="0"/>
                    <w:adjustRightInd w:val="0"/>
                    <w:snapToGrid w:val="0"/>
                    <w:spacing w:before="0" w:beforeAutospacing="0" w:after="0" w:afterAutospacing="0" w:line="276" w:lineRule="auto"/>
                    <w:ind w:left="0" w:right="0"/>
                    <w:jc w:val="center"/>
                    <w:rPr>
                      <w:rFonts w:hint="default" w:ascii="Times New Roman" w:hAnsi="Times New Roman" w:eastAsia="宋体" w:cs="Times New Roman"/>
                      <w:bCs/>
                      <w:i w:val="0"/>
                      <w:iCs w:val="0"/>
                      <w:color w:val="000000"/>
                      <w:kern w:val="0"/>
                      <w:sz w:val="18"/>
                      <w:szCs w:val="18"/>
                      <w:highlight w:val="none"/>
                      <w:u w:val="none"/>
                      <w:lang w:val="en-US" w:eastAsia="zh-CN" w:bidi="ar"/>
                    </w:rPr>
                  </w:pPr>
                </w:p>
              </w:tc>
              <w:tc>
                <w:tcPr>
                  <w:tcW w:w="1015" w:type="pct"/>
                  <w:tcBorders>
                    <w:tl2br w:val="nil"/>
                    <w:tr2bl w:val="nil"/>
                  </w:tcBorders>
                  <w:shd w:val="clear" w:color="auto" w:fill="FFFFFF"/>
                  <w:vAlign w:val="center"/>
                </w:tcPr>
                <w:p w14:paraId="7C7D1BBB">
                  <w:pPr>
                    <w:keepNext w:val="0"/>
                    <w:keepLines w:val="0"/>
                    <w:pageBreakBefore w:val="0"/>
                    <w:widowControl/>
                    <w:suppressLineNumbers w:val="0"/>
                    <w:kinsoku/>
                    <w:wordWrap/>
                    <w:overflowPunct/>
                    <w:topLinePunct w:val="0"/>
                    <w:bidi w:val="0"/>
                    <w:adjustRightInd w:val="0"/>
                    <w:snapToGrid w:val="0"/>
                    <w:spacing w:before="0" w:beforeAutospacing="0" w:after="0" w:afterAutospacing="0" w:line="276" w:lineRule="auto"/>
                    <w:ind w:left="0" w:right="0"/>
                    <w:jc w:val="center"/>
                    <w:textAlignment w:val="center"/>
                    <w:rPr>
                      <w:rFonts w:hint="default" w:ascii="Times New Roman" w:hAnsi="Times New Roman" w:eastAsia="宋体" w:cs="Times New Roman"/>
                      <w:bCs/>
                      <w:i w:val="0"/>
                      <w:iCs w:val="0"/>
                      <w:color w:val="000000"/>
                      <w:kern w:val="0"/>
                      <w:sz w:val="18"/>
                      <w:szCs w:val="18"/>
                      <w:highlight w:val="none"/>
                      <w:u w:val="none"/>
                      <w:lang w:val="en-US" w:eastAsia="zh-CN" w:bidi="ar"/>
                    </w:rPr>
                  </w:pPr>
                  <w:r>
                    <w:rPr>
                      <w:rFonts w:hint="default" w:ascii="Times New Roman" w:hAnsi="Times New Roman" w:eastAsia="宋体" w:cs="Times New Roman"/>
                      <w:bCs/>
                      <w:i w:val="0"/>
                      <w:iCs w:val="0"/>
                      <w:color w:val="000000"/>
                      <w:kern w:val="0"/>
                      <w:sz w:val="18"/>
                      <w:szCs w:val="18"/>
                      <w:highlight w:val="none"/>
                      <w:u w:val="none"/>
                      <w:lang w:val="en-US" w:eastAsia="zh-CN" w:bidi="ar"/>
                    </w:rPr>
                    <w:t>旋转式压片机</w:t>
                  </w:r>
                </w:p>
              </w:tc>
              <w:tc>
                <w:tcPr>
                  <w:tcW w:w="1436" w:type="pct"/>
                  <w:tcBorders>
                    <w:tl2br w:val="nil"/>
                    <w:tr2bl w:val="nil"/>
                  </w:tcBorders>
                  <w:shd w:val="clear" w:color="auto" w:fill="FFFFFF"/>
                  <w:noWrap/>
                  <w:vAlign w:val="center"/>
                </w:tcPr>
                <w:p w14:paraId="600B164D">
                  <w:pPr>
                    <w:keepNext w:val="0"/>
                    <w:keepLines w:val="0"/>
                    <w:pageBreakBefore w:val="0"/>
                    <w:suppressLineNumbers w:val="0"/>
                    <w:kinsoku/>
                    <w:wordWrap/>
                    <w:overflowPunct/>
                    <w:topLinePunct w:val="0"/>
                    <w:bidi w:val="0"/>
                    <w:adjustRightInd w:val="0"/>
                    <w:snapToGrid w:val="0"/>
                    <w:spacing w:before="0" w:beforeAutospacing="0" w:after="0" w:afterAutospacing="0" w:line="276" w:lineRule="auto"/>
                    <w:ind w:left="0" w:right="0"/>
                    <w:jc w:val="center"/>
                    <w:rPr>
                      <w:rFonts w:hint="default" w:ascii="Times New Roman" w:hAnsi="Times New Roman" w:eastAsia="宋体" w:cs="Times New Roman"/>
                      <w:bCs/>
                      <w:i w:val="0"/>
                      <w:iCs w:val="0"/>
                      <w:color w:val="000000"/>
                      <w:kern w:val="0"/>
                      <w:sz w:val="18"/>
                      <w:szCs w:val="18"/>
                      <w:highlight w:val="none"/>
                      <w:u w:val="none"/>
                      <w:lang w:val="en-US" w:eastAsia="zh-CN" w:bidi="ar"/>
                    </w:rPr>
                  </w:pPr>
                  <w:r>
                    <w:rPr>
                      <w:rFonts w:hint="default" w:ascii="Times New Roman" w:hAnsi="Times New Roman" w:eastAsia="宋体" w:cs="Times New Roman"/>
                      <w:bCs/>
                      <w:i w:val="0"/>
                      <w:iCs w:val="0"/>
                      <w:color w:val="000000"/>
                      <w:kern w:val="0"/>
                      <w:sz w:val="18"/>
                      <w:szCs w:val="18"/>
                      <w:highlight w:val="none"/>
                      <w:u w:val="none"/>
                      <w:lang w:val="en-US" w:eastAsia="zh-CN" w:bidi="ar"/>
                    </w:rPr>
                    <w:t>/</w:t>
                  </w:r>
                </w:p>
              </w:tc>
              <w:tc>
                <w:tcPr>
                  <w:tcW w:w="284" w:type="pct"/>
                  <w:tcBorders>
                    <w:tl2br w:val="nil"/>
                    <w:tr2bl w:val="nil"/>
                  </w:tcBorders>
                  <w:shd w:val="clear" w:color="auto" w:fill="FFFFFF"/>
                  <w:vAlign w:val="center"/>
                </w:tcPr>
                <w:p w14:paraId="31986499">
                  <w:pPr>
                    <w:keepNext w:val="0"/>
                    <w:keepLines w:val="0"/>
                    <w:pageBreakBefore w:val="0"/>
                    <w:widowControl/>
                    <w:suppressLineNumbers w:val="0"/>
                    <w:kinsoku/>
                    <w:wordWrap/>
                    <w:overflowPunct/>
                    <w:topLinePunct w:val="0"/>
                    <w:bidi w:val="0"/>
                    <w:adjustRightInd w:val="0"/>
                    <w:snapToGrid w:val="0"/>
                    <w:spacing w:before="0" w:beforeAutospacing="0" w:after="0" w:afterAutospacing="0" w:line="276" w:lineRule="auto"/>
                    <w:ind w:left="0" w:right="0"/>
                    <w:jc w:val="center"/>
                    <w:textAlignment w:val="center"/>
                    <w:rPr>
                      <w:rFonts w:hint="default" w:ascii="Times New Roman" w:hAnsi="Times New Roman" w:eastAsia="宋体" w:cs="Times New Roman"/>
                      <w:bCs/>
                      <w:i w:val="0"/>
                      <w:iCs w:val="0"/>
                      <w:color w:val="000000"/>
                      <w:kern w:val="0"/>
                      <w:sz w:val="18"/>
                      <w:szCs w:val="18"/>
                      <w:highlight w:val="none"/>
                      <w:u w:val="none"/>
                      <w:lang w:val="en-US" w:eastAsia="zh-CN" w:bidi="ar"/>
                    </w:rPr>
                  </w:pPr>
                  <w:r>
                    <w:rPr>
                      <w:rFonts w:hint="default" w:ascii="Times New Roman" w:hAnsi="Times New Roman" w:eastAsia="宋体" w:cs="Times New Roman"/>
                      <w:bCs/>
                      <w:i w:val="0"/>
                      <w:iCs w:val="0"/>
                      <w:color w:val="000000"/>
                      <w:kern w:val="0"/>
                      <w:sz w:val="18"/>
                      <w:szCs w:val="18"/>
                      <w:highlight w:val="none"/>
                      <w:u w:val="none"/>
                      <w:lang w:val="en-US" w:eastAsia="zh-CN" w:bidi="ar"/>
                    </w:rPr>
                    <w:t>1</w:t>
                  </w:r>
                </w:p>
              </w:tc>
              <w:tc>
                <w:tcPr>
                  <w:tcW w:w="1678" w:type="pct"/>
                  <w:vMerge w:val="continue"/>
                  <w:tcBorders>
                    <w:tl2br w:val="nil"/>
                    <w:tr2bl w:val="nil"/>
                  </w:tcBorders>
                  <w:shd w:val="clear" w:color="auto" w:fill="FFFFFF"/>
                  <w:vAlign w:val="center"/>
                </w:tcPr>
                <w:p w14:paraId="540EB4F0">
                  <w:pPr>
                    <w:keepNext w:val="0"/>
                    <w:keepLines w:val="0"/>
                    <w:pageBreakBefore w:val="0"/>
                    <w:widowControl/>
                    <w:suppressLineNumbers w:val="0"/>
                    <w:kinsoku/>
                    <w:wordWrap/>
                    <w:overflowPunct/>
                    <w:topLinePunct w:val="0"/>
                    <w:bidi w:val="0"/>
                    <w:adjustRightInd w:val="0"/>
                    <w:snapToGrid w:val="0"/>
                    <w:spacing w:before="0" w:beforeAutospacing="0" w:after="0" w:afterAutospacing="0" w:line="276" w:lineRule="auto"/>
                    <w:ind w:left="0" w:right="0"/>
                    <w:jc w:val="center"/>
                    <w:textAlignment w:val="center"/>
                    <w:rPr>
                      <w:rFonts w:hint="default" w:ascii="Times New Roman" w:hAnsi="Times New Roman" w:eastAsia="宋体" w:cs="Times New Roman"/>
                      <w:i w:val="0"/>
                      <w:iCs w:val="0"/>
                      <w:color w:val="000000"/>
                      <w:kern w:val="0"/>
                      <w:sz w:val="18"/>
                      <w:szCs w:val="18"/>
                      <w:highlight w:val="none"/>
                      <w:u w:val="none"/>
                      <w:lang w:val="en-US" w:eastAsia="zh-CN" w:bidi="ar"/>
                    </w:rPr>
                  </w:pPr>
                </w:p>
              </w:tc>
            </w:tr>
            <w:tr w14:paraId="079B4CA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FFFFFF"/>
                <w:tblCellMar>
                  <w:top w:w="0" w:type="dxa"/>
                  <w:left w:w="28" w:type="dxa"/>
                  <w:bottom w:w="0" w:type="dxa"/>
                  <w:right w:w="28" w:type="dxa"/>
                </w:tblCellMar>
              </w:tblPrEx>
              <w:trPr>
                <w:trHeight w:val="0" w:hRule="atLeast"/>
              </w:trPr>
              <w:tc>
                <w:tcPr>
                  <w:tcW w:w="235" w:type="pct"/>
                  <w:tcBorders>
                    <w:tl2br w:val="nil"/>
                    <w:tr2bl w:val="nil"/>
                  </w:tcBorders>
                  <w:shd w:val="clear" w:color="auto" w:fill="FFFFFF"/>
                  <w:noWrap/>
                  <w:vAlign w:val="center"/>
                </w:tcPr>
                <w:p w14:paraId="71AEDD42">
                  <w:pPr>
                    <w:keepNext w:val="0"/>
                    <w:keepLines w:val="0"/>
                    <w:pageBreakBefore w:val="0"/>
                    <w:widowControl/>
                    <w:suppressLineNumbers w:val="0"/>
                    <w:kinsoku/>
                    <w:wordWrap/>
                    <w:overflowPunct/>
                    <w:topLinePunct w:val="0"/>
                    <w:bidi w:val="0"/>
                    <w:adjustRightInd w:val="0"/>
                    <w:snapToGrid w:val="0"/>
                    <w:spacing w:before="0" w:beforeAutospacing="0" w:after="0" w:afterAutospacing="0" w:line="276" w:lineRule="auto"/>
                    <w:ind w:left="0" w:right="0"/>
                    <w:jc w:val="center"/>
                    <w:textAlignment w:val="center"/>
                    <w:rPr>
                      <w:rFonts w:hint="default" w:ascii="Times New Roman" w:hAnsi="Times New Roman" w:eastAsia="宋体" w:cs="Times New Roman"/>
                      <w:bCs/>
                      <w:i w:val="0"/>
                      <w:iCs w:val="0"/>
                      <w:color w:val="000000"/>
                      <w:kern w:val="0"/>
                      <w:sz w:val="18"/>
                      <w:szCs w:val="18"/>
                      <w:highlight w:val="none"/>
                      <w:u w:val="none"/>
                      <w:lang w:val="en-US" w:eastAsia="zh-CN" w:bidi="ar"/>
                    </w:rPr>
                  </w:pPr>
                  <w:r>
                    <w:rPr>
                      <w:rFonts w:hint="default" w:ascii="Times New Roman" w:hAnsi="Times New Roman" w:eastAsia="宋体" w:cs="Times New Roman"/>
                      <w:bCs/>
                      <w:i w:val="0"/>
                      <w:iCs w:val="0"/>
                      <w:color w:val="000000"/>
                      <w:kern w:val="0"/>
                      <w:sz w:val="18"/>
                      <w:szCs w:val="18"/>
                      <w:highlight w:val="none"/>
                      <w:u w:val="none"/>
                      <w:lang w:val="en-US" w:eastAsia="zh-CN" w:bidi="ar"/>
                    </w:rPr>
                    <w:t>52</w:t>
                  </w:r>
                </w:p>
              </w:tc>
              <w:tc>
                <w:tcPr>
                  <w:tcW w:w="349" w:type="pct"/>
                  <w:vMerge w:val="continue"/>
                  <w:tcBorders>
                    <w:tl2br w:val="nil"/>
                    <w:tr2bl w:val="nil"/>
                  </w:tcBorders>
                  <w:shd w:val="clear" w:color="auto" w:fill="FFFFFF"/>
                  <w:vAlign w:val="center"/>
                </w:tcPr>
                <w:p w14:paraId="5E29E455">
                  <w:pPr>
                    <w:pStyle w:val="120"/>
                    <w:keepNext w:val="0"/>
                    <w:keepLines w:val="0"/>
                    <w:pageBreakBefore w:val="0"/>
                    <w:framePr w:hSpace="0" w:wrap="auto" w:vAnchor="margin" w:hAnchor="text" w:xAlign="left" w:yAlign="inline"/>
                    <w:suppressLineNumbers w:val="0"/>
                    <w:kinsoku/>
                    <w:wordWrap/>
                    <w:overflowPunct/>
                    <w:topLinePunct w:val="0"/>
                    <w:bidi w:val="0"/>
                    <w:adjustRightInd w:val="0"/>
                    <w:snapToGrid w:val="0"/>
                    <w:spacing w:before="0" w:beforeAutospacing="0" w:after="0" w:afterAutospacing="0" w:line="276" w:lineRule="auto"/>
                    <w:ind w:left="0" w:right="0"/>
                    <w:jc w:val="center"/>
                    <w:rPr>
                      <w:rFonts w:hint="default" w:ascii="Times New Roman" w:hAnsi="Times New Roman" w:eastAsia="宋体" w:cs="Times New Roman"/>
                      <w:bCs/>
                      <w:i w:val="0"/>
                      <w:iCs w:val="0"/>
                      <w:color w:val="000000"/>
                      <w:kern w:val="0"/>
                      <w:sz w:val="18"/>
                      <w:szCs w:val="18"/>
                      <w:highlight w:val="none"/>
                      <w:u w:val="none"/>
                      <w:lang w:val="en-US" w:eastAsia="zh-CN" w:bidi="ar"/>
                    </w:rPr>
                  </w:pPr>
                </w:p>
              </w:tc>
              <w:tc>
                <w:tcPr>
                  <w:tcW w:w="1015" w:type="pct"/>
                  <w:tcBorders>
                    <w:tl2br w:val="nil"/>
                    <w:tr2bl w:val="nil"/>
                  </w:tcBorders>
                  <w:shd w:val="clear" w:color="auto" w:fill="FFFFFF"/>
                  <w:vAlign w:val="center"/>
                </w:tcPr>
                <w:p w14:paraId="062A1030">
                  <w:pPr>
                    <w:keepNext w:val="0"/>
                    <w:keepLines w:val="0"/>
                    <w:pageBreakBefore w:val="0"/>
                    <w:widowControl/>
                    <w:suppressLineNumbers w:val="0"/>
                    <w:kinsoku/>
                    <w:wordWrap/>
                    <w:overflowPunct/>
                    <w:topLinePunct w:val="0"/>
                    <w:bidi w:val="0"/>
                    <w:adjustRightInd w:val="0"/>
                    <w:snapToGrid w:val="0"/>
                    <w:spacing w:before="0" w:beforeAutospacing="0" w:after="0" w:afterAutospacing="0" w:line="276" w:lineRule="auto"/>
                    <w:ind w:left="0" w:right="0"/>
                    <w:jc w:val="center"/>
                    <w:textAlignment w:val="center"/>
                    <w:rPr>
                      <w:rFonts w:hint="default" w:ascii="Times New Roman" w:hAnsi="Times New Roman" w:eastAsia="宋体" w:cs="Times New Roman"/>
                      <w:bCs/>
                      <w:i w:val="0"/>
                      <w:iCs w:val="0"/>
                      <w:color w:val="000000"/>
                      <w:kern w:val="0"/>
                      <w:sz w:val="18"/>
                      <w:szCs w:val="18"/>
                      <w:highlight w:val="none"/>
                      <w:u w:val="none"/>
                      <w:lang w:val="en-US" w:eastAsia="zh-CN" w:bidi="ar"/>
                    </w:rPr>
                  </w:pPr>
                  <w:r>
                    <w:rPr>
                      <w:rFonts w:hint="default" w:ascii="Times New Roman" w:hAnsi="Times New Roman" w:eastAsia="宋体" w:cs="Times New Roman"/>
                      <w:bCs/>
                      <w:i w:val="0"/>
                      <w:iCs w:val="0"/>
                      <w:color w:val="000000"/>
                      <w:kern w:val="0"/>
                      <w:sz w:val="18"/>
                      <w:szCs w:val="18"/>
                      <w:highlight w:val="none"/>
                      <w:u w:val="none"/>
                      <w:lang w:val="en-US" w:eastAsia="zh-CN" w:bidi="ar"/>
                    </w:rPr>
                    <w:t>高效包衣机</w:t>
                  </w:r>
                </w:p>
              </w:tc>
              <w:tc>
                <w:tcPr>
                  <w:tcW w:w="1436" w:type="pct"/>
                  <w:tcBorders>
                    <w:tl2br w:val="nil"/>
                    <w:tr2bl w:val="nil"/>
                  </w:tcBorders>
                  <w:shd w:val="clear" w:color="auto" w:fill="FFFFFF"/>
                  <w:noWrap/>
                  <w:vAlign w:val="center"/>
                </w:tcPr>
                <w:p w14:paraId="78611AFB">
                  <w:pPr>
                    <w:keepNext w:val="0"/>
                    <w:keepLines w:val="0"/>
                    <w:pageBreakBefore w:val="0"/>
                    <w:suppressLineNumbers w:val="0"/>
                    <w:kinsoku/>
                    <w:wordWrap/>
                    <w:overflowPunct/>
                    <w:topLinePunct w:val="0"/>
                    <w:bidi w:val="0"/>
                    <w:adjustRightInd w:val="0"/>
                    <w:snapToGrid w:val="0"/>
                    <w:spacing w:before="0" w:beforeAutospacing="0" w:after="0" w:afterAutospacing="0" w:line="276" w:lineRule="auto"/>
                    <w:ind w:left="0" w:right="0"/>
                    <w:jc w:val="center"/>
                    <w:rPr>
                      <w:rFonts w:hint="default" w:ascii="Times New Roman" w:hAnsi="Times New Roman" w:eastAsia="宋体" w:cs="Times New Roman"/>
                      <w:bCs/>
                      <w:i w:val="0"/>
                      <w:iCs w:val="0"/>
                      <w:color w:val="000000"/>
                      <w:kern w:val="0"/>
                      <w:sz w:val="18"/>
                      <w:szCs w:val="18"/>
                      <w:highlight w:val="none"/>
                      <w:u w:val="none"/>
                      <w:lang w:val="en-US" w:eastAsia="zh-CN" w:bidi="ar"/>
                    </w:rPr>
                  </w:pPr>
                  <w:r>
                    <w:rPr>
                      <w:rFonts w:hint="default" w:ascii="Times New Roman" w:hAnsi="Times New Roman" w:eastAsia="宋体" w:cs="Times New Roman"/>
                      <w:bCs/>
                      <w:i w:val="0"/>
                      <w:iCs w:val="0"/>
                      <w:color w:val="000000"/>
                      <w:kern w:val="0"/>
                      <w:sz w:val="18"/>
                      <w:szCs w:val="18"/>
                      <w:highlight w:val="none"/>
                      <w:u w:val="none"/>
                      <w:lang w:val="en-US" w:eastAsia="zh-CN" w:bidi="ar"/>
                    </w:rPr>
                    <w:t>/</w:t>
                  </w:r>
                </w:p>
              </w:tc>
              <w:tc>
                <w:tcPr>
                  <w:tcW w:w="284" w:type="pct"/>
                  <w:tcBorders>
                    <w:tl2br w:val="nil"/>
                    <w:tr2bl w:val="nil"/>
                  </w:tcBorders>
                  <w:shd w:val="clear" w:color="auto" w:fill="FFFFFF"/>
                  <w:vAlign w:val="center"/>
                </w:tcPr>
                <w:p w14:paraId="25C9307F">
                  <w:pPr>
                    <w:keepNext w:val="0"/>
                    <w:keepLines w:val="0"/>
                    <w:pageBreakBefore w:val="0"/>
                    <w:widowControl/>
                    <w:suppressLineNumbers w:val="0"/>
                    <w:kinsoku/>
                    <w:wordWrap/>
                    <w:overflowPunct/>
                    <w:topLinePunct w:val="0"/>
                    <w:bidi w:val="0"/>
                    <w:adjustRightInd w:val="0"/>
                    <w:snapToGrid w:val="0"/>
                    <w:spacing w:before="0" w:beforeAutospacing="0" w:after="0" w:afterAutospacing="0" w:line="276" w:lineRule="auto"/>
                    <w:ind w:left="0" w:right="0"/>
                    <w:jc w:val="center"/>
                    <w:textAlignment w:val="center"/>
                    <w:rPr>
                      <w:rFonts w:hint="default" w:ascii="Times New Roman" w:hAnsi="Times New Roman" w:eastAsia="宋体" w:cs="Times New Roman"/>
                      <w:bCs/>
                      <w:i w:val="0"/>
                      <w:iCs w:val="0"/>
                      <w:color w:val="000000"/>
                      <w:kern w:val="0"/>
                      <w:sz w:val="18"/>
                      <w:szCs w:val="18"/>
                      <w:highlight w:val="none"/>
                      <w:u w:val="none"/>
                      <w:lang w:val="en-US" w:eastAsia="zh-CN" w:bidi="ar"/>
                    </w:rPr>
                  </w:pPr>
                  <w:r>
                    <w:rPr>
                      <w:rFonts w:hint="default" w:ascii="Times New Roman" w:hAnsi="Times New Roman" w:eastAsia="宋体" w:cs="Times New Roman"/>
                      <w:bCs/>
                      <w:i w:val="0"/>
                      <w:iCs w:val="0"/>
                      <w:color w:val="000000"/>
                      <w:kern w:val="0"/>
                      <w:sz w:val="18"/>
                      <w:szCs w:val="18"/>
                      <w:highlight w:val="none"/>
                      <w:u w:val="none"/>
                      <w:lang w:val="en-US" w:eastAsia="zh-CN" w:bidi="ar"/>
                    </w:rPr>
                    <w:t>1</w:t>
                  </w:r>
                </w:p>
              </w:tc>
              <w:tc>
                <w:tcPr>
                  <w:tcW w:w="1678" w:type="pct"/>
                  <w:vMerge w:val="continue"/>
                  <w:tcBorders>
                    <w:tl2br w:val="nil"/>
                    <w:tr2bl w:val="nil"/>
                  </w:tcBorders>
                  <w:shd w:val="clear" w:color="auto" w:fill="FFFFFF"/>
                  <w:vAlign w:val="center"/>
                </w:tcPr>
                <w:p w14:paraId="3A754812">
                  <w:pPr>
                    <w:keepNext w:val="0"/>
                    <w:keepLines w:val="0"/>
                    <w:pageBreakBefore w:val="0"/>
                    <w:widowControl/>
                    <w:suppressLineNumbers w:val="0"/>
                    <w:kinsoku/>
                    <w:wordWrap/>
                    <w:overflowPunct/>
                    <w:topLinePunct w:val="0"/>
                    <w:bidi w:val="0"/>
                    <w:adjustRightInd w:val="0"/>
                    <w:snapToGrid w:val="0"/>
                    <w:spacing w:before="0" w:beforeAutospacing="0" w:after="0" w:afterAutospacing="0" w:line="276" w:lineRule="auto"/>
                    <w:ind w:left="0" w:right="0"/>
                    <w:jc w:val="center"/>
                    <w:textAlignment w:val="center"/>
                    <w:rPr>
                      <w:rFonts w:hint="default" w:ascii="Times New Roman" w:hAnsi="Times New Roman" w:eastAsia="宋体" w:cs="Times New Roman"/>
                      <w:i w:val="0"/>
                      <w:iCs w:val="0"/>
                      <w:color w:val="000000"/>
                      <w:kern w:val="0"/>
                      <w:sz w:val="18"/>
                      <w:szCs w:val="18"/>
                      <w:highlight w:val="none"/>
                      <w:u w:val="none"/>
                      <w:lang w:val="en-US" w:eastAsia="zh-CN" w:bidi="ar"/>
                    </w:rPr>
                  </w:pPr>
                </w:p>
              </w:tc>
            </w:tr>
            <w:tr w14:paraId="40F9DC1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0" w:hRule="atLeast"/>
              </w:trPr>
              <w:tc>
                <w:tcPr>
                  <w:tcW w:w="235" w:type="pct"/>
                  <w:tcBorders>
                    <w:tl2br w:val="nil"/>
                    <w:tr2bl w:val="nil"/>
                  </w:tcBorders>
                  <w:shd w:val="clear" w:color="auto" w:fill="FFFFFF"/>
                  <w:noWrap/>
                  <w:vAlign w:val="center"/>
                </w:tcPr>
                <w:p w14:paraId="135199BD">
                  <w:pPr>
                    <w:keepNext w:val="0"/>
                    <w:keepLines w:val="0"/>
                    <w:pageBreakBefore w:val="0"/>
                    <w:widowControl/>
                    <w:suppressLineNumbers w:val="0"/>
                    <w:kinsoku/>
                    <w:wordWrap/>
                    <w:overflowPunct/>
                    <w:topLinePunct w:val="0"/>
                    <w:bidi w:val="0"/>
                    <w:adjustRightInd w:val="0"/>
                    <w:snapToGrid w:val="0"/>
                    <w:spacing w:before="0" w:beforeAutospacing="0" w:after="0" w:afterAutospacing="0" w:line="276" w:lineRule="auto"/>
                    <w:ind w:left="0" w:right="0"/>
                    <w:jc w:val="center"/>
                    <w:textAlignment w:val="center"/>
                    <w:rPr>
                      <w:rFonts w:hint="default" w:ascii="Times New Roman" w:hAnsi="Times New Roman" w:eastAsia="宋体" w:cs="Times New Roman"/>
                      <w:bCs/>
                      <w:i w:val="0"/>
                      <w:iCs w:val="0"/>
                      <w:color w:val="000000"/>
                      <w:kern w:val="0"/>
                      <w:sz w:val="18"/>
                      <w:szCs w:val="18"/>
                      <w:highlight w:val="none"/>
                      <w:u w:val="none"/>
                      <w:lang w:val="en-US" w:eastAsia="zh-CN" w:bidi="ar"/>
                    </w:rPr>
                  </w:pPr>
                  <w:r>
                    <w:rPr>
                      <w:rFonts w:hint="default" w:ascii="Times New Roman" w:hAnsi="Times New Roman" w:eastAsia="宋体" w:cs="Times New Roman"/>
                      <w:bCs/>
                      <w:i w:val="0"/>
                      <w:iCs w:val="0"/>
                      <w:color w:val="000000"/>
                      <w:kern w:val="0"/>
                      <w:sz w:val="18"/>
                      <w:szCs w:val="18"/>
                      <w:highlight w:val="none"/>
                      <w:u w:val="none"/>
                      <w:lang w:val="en-US" w:eastAsia="zh-CN" w:bidi="ar"/>
                    </w:rPr>
                    <w:t>53</w:t>
                  </w:r>
                </w:p>
              </w:tc>
              <w:tc>
                <w:tcPr>
                  <w:tcW w:w="349" w:type="pct"/>
                  <w:vMerge w:val="continue"/>
                  <w:tcBorders>
                    <w:tl2br w:val="nil"/>
                    <w:tr2bl w:val="nil"/>
                  </w:tcBorders>
                  <w:shd w:val="clear" w:color="auto" w:fill="FFFFFF"/>
                  <w:vAlign w:val="center"/>
                </w:tcPr>
                <w:p w14:paraId="4824A315">
                  <w:pPr>
                    <w:pStyle w:val="120"/>
                    <w:keepNext w:val="0"/>
                    <w:keepLines w:val="0"/>
                    <w:pageBreakBefore w:val="0"/>
                    <w:framePr w:hSpace="0" w:wrap="auto" w:vAnchor="margin" w:hAnchor="text" w:xAlign="left" w:yAlign="inline"/>
                    <w:suppressLineNumbers w:val="0"/>
                    <w:kinsoku/>
                    <w:wordWrap/>
                    <w:overflowPunct/>
                    <w:topLinePunct w:val="0"/>
                    <w:bidi w:val="0"/>
                    <w:adjustRightInd w:val="0"/>
                    <w:snapToGrid w:val="0"/>
                    <w:spacing w:before="0" w:beforeAutospacing="0" w:after="0" w:afterAutospacing="0" w:line="276" w:lineRule="auto"/>
                    <w:ind w:left="0" w:right="0"/>
                    <w:jc w:val="center"/>
                    <w:rPr>
                      <w:rFonts w:hint="default" w:ascii="Times New Roman" w:hAnsi="Times New Roman" w:eastAsia="宋体" w:cs="Times New Roman"/>
                      <w:bCs/>
                      <w:i w:val="0"/>
                      <w:iCs w:val="0"/>
                      <w:color w:val="000000"/>
                      <w:kern w:val="0"/>
                      <w:sz w:val="18"/>
                      <w:szCs w:val="18"/>
                      <w:highlight w:val="none"/>
                      <w:u w:val="none"/>
                      <w:lang w:val="en-US" w:eastAsia="zh-CN" w:bidi="ar"/>
                    </w:rPr>
                  </w:pPr>
                </w:p>
              </w:tc>
              <w:tc>
                <w:tcPr>
                  <w:tcW w:w="1015" w:type="pct"/>
                  <w:tcBorders>
                    <w:tl2br w:val="nil"/>
                    <w:tr2bl w:val="nil"/>
                  </w:tcBorders>
                  <w:shd w:val="clear" w:color="auto" w:fill="FFFFFF"/>
                  <w:vAlign w:val="center"/>
                </w:tcPr>
                <w:p w14:paraId="3CCE6899">
                  <w:pPr>
                    <w:keepNext w:val="0"/>
                    <w:keepLines w:val="0"/>
                    <w:pageBreakBefore w:val="0"/>
                    <w:widowControl/>
                    <w:suppressLineNumbers w:val="0"/>
                    <w:kinsoku/>
                    <w:wordWrap/>
                    <w:overflowPunct/>
                    <w:topLinePunct w:val="0"/>
                    <w:bidi w:val="0"/>
                    <w:adjustRightInd w:val="0"/>
                    <w:snapToGrid w:val="0"/>
                    <w:spacing w:before="0" w:beforeAutospacing="0" w:after="0" w:afterAutospacing="0" w:line="276" w:lineRule="auto"/>
                    <w:ind w:left="0" w:right="0"/>
                    <w:jc w:val="center"/>
                    <w:textAlignment w:val="center"/>
                    <w:rPr>
                      <w:rFonts w:hint="default" w:ascii="Times New Roman" w:hAnsi="Times New Roman" w:eastAsia="宋体" w:cs="Times New Roman"/>
                      <w:bCs/>
                      <w:i w:val="0"/>
                      <w:iCs w:val="0"/>
                      <w:color w:val="000000"/>
                      <w:kern w:val="0"/>
                      <w:sz w:val="18"/>
                      <w:szCs w:val="18"/>
                      <w:highlight w:val="none"/>
                      <w:u w:val="none"/>
                      <w:lang w:val="en-US" w:eastAsia="zh-CN" w:bidi="ar"/>
                    </w:rPr>
                  </w:pPr>
                  <w:r>
                    <w:rPr>
                      <w:rFonts w:hint="default" w:ascii="Times New Roman" w:hAnsi="Times New Roman" w:eastAsia="宋体" w:cs="Times New Roman"/>
                      <w:bCs/>
                      <w:i w:val="0"/>
                      <w:iCs w:val="0"/>
                      <w:color w:val="000000"/>
                      <w:kern w:val="0"/>
                      <w:sz w:val="18"/>
                      <w:szCs w:val="18"/>
                      <w:highlight w:val="none"/>
                      <w:u w:val="none"/>
                      <w:lang w:val="en-US" w:eastAsia="zh-CN" w:bidi="ar"/>
                    </w:rPr>
                    <w:t>高压微射流纳米均质机</w:t>
                  </w:r>
                </w:p>
              </w:tc>
              <w:tc>
                <w:tcPr>
                  <w:tcW w:w="1436" w:type="pct"/>
                  <w:tcBorders>
                    <w:tl2br w:val="nil"/>
                    <w:tr2bl w:val="nil"/>
                  </w:tcBorders>
                  <w:shd w:val="clear" w:color="auto" w:fill="FFFFFF"/>
                  <w:noWrap/>
                  <w:vAlign w:val="center"/>
                </w:tcPr>
                <w:p w14:paraId="580E5CDB">
                  <w:pPr>
                    <w:keepNext w:val="0"/>
                    <w:keepLines w:val="0"/>
                    <w:pageBreakBefore w:val="0"/>
                    <w:suppressLineNumbers w:val="0"/>
                    <w:kinsoku/>
                    <w:wordWrap/>
                    <w:overflowPunct/>
                    <w:topLinePunct w:val="0"/>
                    <w:bidi w:val="0"/>
                    <w:adjustRightInd w:val="0"/>
                    <w:snapToGrid w:val="0"/>
                    <w:spacing w:before="0" w:beforeAutospacing="0" w:after="0" w:afterAutospacing="0" w:line="276" w:lineRule="auto"/>
                    <w:ind w:left="0" w:right="0"/>
                    <w:jc w:val="center"/>
                    <w:rPr>
                      <w:rFonts w:hint="default" w:ascii="Times New Roman" w:hAnsi="Times New Roman" w:eastAsia="宋体" w:cs="Times New Roman"/>
                      <w:bCs/>
                      <w:i w:val="0"/>
                      <w:iCs w:val="0"/>
                      <w:color w:val="000000"/>
                      <w:kern w:val="0"/>
                      <w:sz w:val="18"/>
                      <w:szCs w:val="18"/>
                      <w:highlight w:val="none"/>
                      <w:u w:val="none"/>
                      <w:lang w:val="en-US" w:eastAsia="zh-CN" w:bidi="ar"/>
                    </w:rPr>
                  </w:pPr>
                  <w:r>
                    <w:rPr>
                      <w:rFonts w:hint="default" w:ascii="Times New Roman" w:hAnsi="Times New Roman" w:eastAsia="宋体" w:cs="Times New Roman"/>
                      <w:bCs/>
                      <w:i w:val="0"/>
                      <w:iCs w:val="0"/>
                      <w:color w:val="000000"/>
                      <w:kern w:val="0"/>
                      <w:sz w:val="18"/>
                      <w:szCs w:val="18"/>
                      <w:highlight w:val="none"/>
                      <w:u w:val="none"/>
                      <w:lang w:val="en-US" w:eastAsia="zh-CN" w:bidi="ar"/>
                    </w:rPr>
                    <w:t>/</w:t>
                  </w:r>
                </w:p>
              </w:tc>
              <w:tc>
                <w:tcPr>
                  <w:tcW w:w="284" w:type="pct"/>
                  <w:tcBorders>
                    <w:tl2br w:val="nil"/>
                    <w:tr2bl w:val="nil"/>
                  </w:tcBorders>
                  <w:shd w:val="clear" w:color="auto" w:fill="FFFFFF"/>
                  <w:vAlign w:val="center"/>
                </w:tcPr>
                <w:p w14:paraId="5393E7B8">
                  <w:pPr>
                    <w:keepNext w:val="0"/>
                    <w:keepLines w:val="0"/>
                    <w:pageBreakBefore w:val="0"/>
                    <w:widowControl/>
                    <w:suppressLineNumbers w:val="0"/>
                    <w:kinsoku/>
                    <w:wordWrap/>
                    <w:overflowPunct/>
                    <w:topLinePunct w:val="0"/>
                    <w:bidi w:val="0"/>
                    <w:adjustRightInd w:val="0"/>
                    <w:snapToGrid w:val="0"/>
                    <w:spacing w:before="0" w:beforeAutospacing="0" w:after="0" w:afterAutospacing="0" w:line="276" w:lineRule="auto"/>
                    <w:ind w:left="0" w:right="0"/>
                    <w:jc w:val="center"/>
                    <w:textAlignment w:val="center"/>
                    <w:rPr>
                      <w:rFonts w:hint="default" w:ascii="Times New Roman" w:hAnsi="Times New Roman" w:eastAsia="宋体" w:cs="Times New Roman"/>
                      <w:bCs/>
                      <w:i w:val="0"/>
                      <w:iCs w:val="0"/>
                      <w:color w:val="000000"/>
                      <w:kern w:val="0"/>
                      <w:sz w:val="18"/>
                      <w:szCs w:val="18"/>
                      <w:highlight w:val="none"/>
                      <w:u w:val="none"/>
                      <w:lang w:val="en-US" w:eastAsia="zh-CN" w:bidi="ar"/>
                    </w:rPr>
                  </w:pPr>
                  <w:r>
                    <w:rPr>
                      <w:rFonts w:hint="default" w:ascii="Times New Roman" w:hAnsi="Times New Roman" w:eastAsia="宋体" w:cs="Times New Roman"/>
                      <w:bCs/>
                      <w:i w:val="0"/>
                      <w:iCs w:val="0"/>
                      <w:color w:val="000000"/>
                      <w:kern w:val="0"/>
                      <w:sz w:val="18"/>
                      <w:szCs w:val="18"/>
                      <w:highlight w:val="none"/>
                      <w:u w:val="none"/>
                      <w:lang w:val="en-US" w:eastAsia="zh-CN" w:bidi="ar"/>
                    </w:rPr>
                    <w:t>1</w:t>
                  </w:r>
                </w:p>
              </w:tc>
              <w:tc>
                <w:tcPr>
                  <w:tcW w:w="1678" w:type="pct"/>
                  <w:vMerge w:val="continue"/>
                  <w:tcBorders>
                    <w:tl2br w:val="nil"/>
                    <w:tr2bl w:val="nil"/>
                  </w:tcBorders>
                  <w:shd w:val="clear" w:color="auto" w:fill="FFFFFF"/>
                  <w:vAlign w:val="center"/>
                </w:tcPr>
                <w:p w14:paraId="53AAD6B9">
                  <w:pPr>
                    <w:keepNext w:val="0"/>
                    <w:keepLines w:val="0"/>
                    <w:pageBreakBefore w:val="0"/>
                    <w:widowControl/>
                    <w:suppressLineNumbers w:val="0"/>
                    <w:kinsoku/>
                    <w:wordWrap/>
                    <w:overflowPunct/>
                    <w:topLinePunct w:val="0"/>
                    <w:bidi w:val="0"/>
                    <w:adjustRightInd w:val="0"/>
                    <w:snapToGrid w:val="0"/>
                    <w:spacing w:before="0" w:beforeAutospacing="0" w:after="0" w:afterAutospacing="0" w:line="276" w:lineRule="auto"/>
                    <w:ind w:left="0" w:right="0"/>
                    <w:jc w:val="center"/>
                    <w:textAlignment w:val="center"/>
                    <w:rPr>
                      <w:rFonts w:hint="default" w:ascii="Times New Roman" w:hAnsi="Times New Roman" w:eastAsia="宋体" w:cs="Times New Roman"/>
                      <w:i w:val="0"/>
                      <w:iCs w:val="0"/>
                      <w:color w:val="000000"/>
                      <w:kern w:val="0"/>
                      <w:sz w:val="18"/>
                      <w:szCs w:val="18"/>
                      <w:highlight w:val="none"/>
                      <w:u w:val="none"/>
                      <w:lang w:val="en-US" w:eastAsia="zh-CN" w:bidi="ar"/>
                    </w:rPr>
                  </w:pPr>
                </w:p>
              </w:tc>
            </w:tr>
            <w:tr w14:paraId="73561B6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FFFFFF"/>
                <w:tblCellMar>
                  <w:top w:w="0" w:type="dxa"/>
                  <w:left w:w="28" w:type="dxa"/>
                  <w:bottom w:w="0" w:type="dxa"/>
                  <w:right w:w="28" w:type="dxa"/>
                </w:tblCellMar>
              </w:tblPrEx>
              <w:trPr>
                <w:trHeight w:val="0" w:hRule="atLeast"/>
              </w:trPr>
              <w:tc>
                <w:tcPr>
                  <w:tcW w:w="235" w:type="pct"/>
                  <w:tcBorders>
                    <w:tl2br w:val="nil"/>
                    <w:tr2bl w:val="nil"/>
                  </w:tcBorders>
                  <w:shd w:val="clear" w:color="auto" w:fill="FFFFFF"/>
                  <w:noWrap/>
                  <w:vAlign w:val="center"/>
                </w:tcPr>
                <w:p w14:paraId="6538C380">
                  <w:pPr>
                    <w:keepNext w:val="0"/>
                    <w:keepLines w:val="0"/>
                    <w:pageBreakBefore w:val="0"/>
                    <w:widowControl/>
                    <w:suppressLineNumbers w:val="0"/>
                    <w:kinsoku/>
                    <w:wordWrap/>
                    <w:overflowPunct/>
                    <w:topLinePunct w:val="0"/>
                    <w:bidi w:val="0"/>
                    <w:adjustRightInd w:val="0"/>
                    <w:snapToGrid w:val="0"/>
                    <w:spacing w:before="0" w:beforeAutospacing="0" w:after="0" w:afterAutospacing="0" w:line="276" w:lineRule="auto"/>
                    <w:ind w:left="0" w:right="0"/>
                    <w:jc w:val="center"/>
                    <w:textAlignment w:val="center"/>
                    <w:rPr>
                      <w:rFonts w:hint="default" w:ascii="Times New Roman" w:hAnsi="Times New Roman" w:eastAsia="宋体" w:cs="Times New Roman"/>
                      <w:bCs/>
                      <w:i w:val="0"/>
                      <w:iCs w:val="0"/>
                      <w:color w:val="000000"/>
                      <w:kern w:val="0"/>
                      <w:sz w:val="18"/>
                      <w:szCs w:val="18"/>
                      <w:highlight w:val="none"/>
                      <w:u w:val="none"/>
                      <w:lang w:val="en-US" w:eastAsia="zh-CN" w:bidi="ar"/>
                    </w:rPr>
                  </w:pPr>
                  <w:r>
                    <w:rPr>
                      <w:rFonts w:hint="default" w:ascii="Times New Roman" w:hAnsi="Times New Roman" w:eastAsia="宋体" w:cs="Times New Roman"/>
                      <w:bCs/>
                      <w:i w:val="0"/>
                      <w:iCs w:val="0"/>
                      <w:color w:val="000000"/>
                      <w:kern w:val="0"/>
                      <w:sz w:val="18"/>
                      <w:szCs w:val="18"/>
                      <w:highlight w:val="none"/>
                      <w:u w:val="none"/>
                      <w:lang w:val="en-US" w:eastAsia="zh-CN" w:bidi="ar"/>
                    </w:rPr>
                    <w:t>54</w:t>
                  </w:r>
                </w:p>
              </w:tc>
              <w:tc>
                <w:tcPr>
                  <w:tcW w:w="349" w:type="pct"/>
                  <w:vMerge w:val="continue"/>
                  <w:tcBorders>
                    <w:tl2br w:val="nil"/>
                    <w:tr2bl w:val="nil"/>
                  </w:tcBorders>
                  <w:shd w:val="clear" w:color="auto" w:fill="FFFFFF"/>
                  <w:vAlign w:val="center"/>
                </w:tcPr>
                <w:p w14:paraId="0941366A">
                  <w:pPr>
                    <w:pStyle w:val="120"/>
                    <w:keepNext w:val="0"/>
                    <w:keepLines w:val="0"/>
                    <w:pageBreakBefore w:val="0"/>
                    <w:framePr w:hSpace="0" w:wrap="auto" w:vAnchor="margin" w:hAnchor="text" w:xAlign="left" w:yAlign="inline"/>
                    <w:suppressLineNumbers w:val="0"/>
                    <w:kinsoku/>
                    <w:wordWrap/>
                    <w:overflowPunct/>
                    <w:topLinePunct w:val="0"/>
                    <w:bidi w:val="0"/>
                    <w:adjustRightInd w:val="0"/>
                    <w:snapToGrid w:val="0"/>
                    <w:spacing w:before="0" w:beforeAutospacing="0" w:after="0" w:afterAutospacing="0" w:line="276" w:lineRule="auto"/>
                    <w:ind w:left="0" w:right="0"/>
                    <w:jc w:val="center"/>
                    <w:rPr>
                      <w:rFonts w:hint="default" w:ascii="Times New Roman" w:hAnsi="Times New Roman" w:eastAsia="宋体" w:cs="Times New Roman"/>
                      <w:bCs/>
                      <w:i w:val="0"/>
                      <w:iCs w:val="0"/>
                      <w:color w:val="000000"/>
                      <w:kern w:val="0"/>
                      <w:sz w:val="18"/>
                      <w:szCs w:val="18"/>
                      <w:highlight w:val="none"/>
                      <w:u w:val="none"/>
                      <w:lang w:val="en-US" w:eastAsia="zh-CN" w:bidi="ar"/>
                    </w:rPr>
                  </w:pPr>
                </w:p>
              </w:tc>
              <w:tc>
                <w:tcPr>
                  <w:tcW w:w="1015" w:type="pct"/>
                  <w:tcBorders>
                    <w:tl2br w:val="nil"/>
                    <w:tr2bl w:val="nil"/>
                  </w:tcBorders>
                  <w:shd w:val="clear" w:color="auto" w:fill="FFFFFF"/>
                  <w:vAlign w:val="center"/>
                </w:tcPr>
                <w:p w14:paraId="4AFC3BCE">
                  <w:pPr>
                    <w:keepNext w:val="0"/>
                    <w:keepLines w:val="0"/>
                    <w:pageBreakBefore w:val="0"/>
                    <w:widowControl/>
                    <w:suppressLineNumbers w:val="0"/>
                    <w:kinsoku/>
                    <w:wordWrap/>
                    <w:overflowPunct/>
                    <w:topLinePunct w:val="0"/>
                    <w:bidi w:val="0"/>
                    <w:adjustRightInd w:val="0"/>
                    <w:snapToGrid w:val="0"/>
                    <w:spacing w:before="0" w:beforeAutospacing="0" w:after="0" w:afterAutospacing="0" w:line="276" w:lineRule="auto"/>
                    <w:ind w:left="0" w:right="0"/>
                    <w:jc w:val="center"/>
                    <w:textAlignment w:val="center"/>
                    <w:rPr>
                      <w:rFonts w:hint="default" w:ascii="Times New Roman" w:hAnsi="Times New Roman" w:eastAsia="宋体" w:cs="Times New Roman"/>
                      <w:bCs/>
                      <w:i w:val="0"/>
                      <w:iCs w:val="0"/>
                      <w:color w:val="000000"/>
                      <w:kern w:val="0"/>
                      <w:sz w:val="18"/>
                      <w:szCs w:val="18"/>
                      <w:highlight w:val="none"/>
                      <w:u w:val="none"/>
                      <w:lang w:val="en-US" w:eastAsia="zh-CN" w:bidi="ar"/>
                    </w:rPr>
                  </w:pPr>
                  <w:r>
                    <w:rPr>
                      <w:rFonts w:hint="default" w:ascii="Times New Roman" w:hAnsi="Times New Roman" w:eastAsia="宋体" w:cs="Times New Roman"/>
                      <w:bCs/>
                      <w:i w:val="0"/>
                      <w:iCs w:val="0"/>
                      <w:color w:val="000000"/>
                      <w:kern w:val="0"/>
                      <w:sz w:val="18"/>
                      <w:szCs w:val="18"/>
                      <w:highlight w:val="none"/>
                      <w:u w:val="none"/>
                      <w:lang w:val="en-US" w:eastAsia="zh-CN" w:bidi="ar"/>
                    </w:rPr>
                    <w:t>气流粉碎机</w:t>
                  </w:r>
                </w:p>
              </w:tc>
              <w:tc>
                <w:tcPr>
                  <w:tcW w:w="1436" w:type="pct"/>
                  <w:tcBorders>
                    <w:tl2br w:val="nil"/>
                    <w:tr2bl w:val="nil"/>
                  </w:tcBorders>
                  <w:shd w:val="clear" w:color="auto" w:fill="FFFFFF"/>
                  <w:noWrap/>
                  <w:vAlign w:val="center"/>
                </w:tcPr>
                <w:p w14:paraId="641D452B">
                  <w:pPr>
                    <w:keepNext w:val="0"/>
                    <w:keepLines w:val="0"/>
                    <w:pageBreakBefore w:val="0"/>
                    <w:suppressLineNumbers w:val="0"/>
                    <w:kinsoku/>
                    <w:wordWrap/>
                    <w:overflowPunct/>
                    <w:topLinePunct w:val="0"/>
                    <w:bidi w:val="0"/>
                    <w:adjustRightInd w:val="0"/>
                    <w:snapToGrid w:val="0"/>
                    <w:spacing w:before="0" w:beforeAutospacing="0" w:after="0" w:afterAutospacing="0" w:line="276" w:lineRule="auto"/>
                    <w:ind w:left="0" w:right="0"/>
                    <w:jc w:val="center"/>
                    <w:rPr>
                      <w:rFonts w:hint="default" w:ascii="Times New Roman" w:hAnsi="Times New Roman" w:eastAsia="宋体" w:cs="Times New Roman"/>
                      <w:bCs/>
                      <w:i w:val="0"/>
                      <w:iCs w:val="0"/>
                      <w:color w:val="000000"/>
                      <w:kern w:val="0"/>
                      <w:sz w:val="18"/>
                      <w:szCs w:val="18"/>
                      <w:highlight w:val="none"/>
                      <w:u w:val="none"/>
                      <w:lang w:val="en-US" w:eastAsia="zh-CN" w:bidi="ar"/>
                    </w:rPr>
                  </w:pPr>
                  <w:r>
                    <w:rPr>
                      <w:rFonts w:hint="default" w:ascii="Times New Roman" w:hAnsi="Times New Roman" w:eastAsia="宋体" w:cs="Times New Roman"/>
                      <w:bCs/>
                      <w:i w:val="0"/>
                      <w:iCs w:val="0"/>
                      <w:color w:val="000000"/>
                      <w:kern w:val="0"/>
                      <w:sz w:val="18"/>
                      <w:szCs w:val="18"/>
                      <w:highlight w:val="none"/>
                      <w:u w:val="none"/>
                      <w:lang w:val="en-US" w:eastAsia="zh-CN" w:bidi="ar"/>
                    </w:rPr>
                    <w:t>/</w:t>
                  </w:r>
                </w:p>
              </w:tc>
              <w:tc>
                <w:tcPr>
                  <w:tcW w:w="284" w:type="pct"/>
                  <w:tcBorders>
                    <w:tl2br w:val="nil"/>
                    <w:tr2bl w:val="nil"/>
                  </w:tcBorders>
                  <w:shd w:val="clear" w:color="auto" w:fill="FFFFFF"/>
                  <w:vAlign w:val="center"/>
                </w:tcPr>
                <w:p w14:paraId="4A15CF9C">
                  <w:pPr>
                    <w:keepNext w:val="0"/>
                    <w:keepLines w:val="0"/>
                    <w:pageBreakBefore w:val="0"/>
                    <w:widowControl/>
                    <w:suppressLineNumbers w:val="0"/>
                    <w:kinsoku/>
                    <w:wordWrap/>
                    <w:overflowPunct/>
                    <w:topLinePunct w:val="0"/>
                    <w:bidi w:val="0"/>
                    <w:adjustRightInd w:val="0"/>
                    <w:snapToGrid w:val="0"/>
                    <w:spacing w:before="0" w:beforeAutospacing="0" w:after="0" w:afterAutospacing="0" w:line="276" w:lineRule="auto"/>
                    <w:ind w:left="0" w:right="0"/>
                    <w:jc w:val="center"/>
                    <w:textAlignment w:val="center"/>
                    <w:rPr>
                      <w:rFonts w:hint="default" w:ascii="Times New Roman" w:hAnsi="Times New Roman" w:eastAsia="宋体" w:cs="Times New Roman"/>
                      <w:bCs/>
                      <w:i w:val="0"/>
                      <w:iCs w:val="0"/>
                      <w:color w:val="000000"/>
                      <w:kern w:val="0"/>
                      <w:sz w:val="18"/>
                      <w:szCs w:val="18"/>
                      <w:highlight w:val="none"/>
                      <w:u w:val="none"/>
                      <w:lang w:val="en-US" w:eastAsia="zh-CN" w:bidi="ar"/>
                    </w:rPr>
                  </w:pPr>
                  <w:r>
                    <w:rPr>
                      <w:rFonts w:hint="default" w:ascii="Times New Roman" w:hAnsi="Times New Roman" w:eastAsia="宋体" w:cs="Times New Roman"/>
                      <w:bCs/>
                      <w:i w:val="0"/>
                      <w:iCs w:val="0"/>
                      <w:color w:val="000000"/>
                      <w:kern w:val="0"/>
                      <w:sz w:val="18"/>
                      <w:szCs w:val="18"/>
                      <w:highlight w:val="none"/>
                      <w:u w:val="none"/>
                      <w:lang w:val="en-US" w:eastAsia="zh-CN" w:bidi="ar"/>
                    </w:rPr>
                    <w:t>1</w:t>
                  </w:r>
                </w:p>
              </w:tc>
              <w:tc>
                <w:tcPr>
                  <w:tcW w:w="1678" w:type="pct"/>
                  <w:vMerge w:val="continue"/>
                  <w:tcBorders>
                    <w:tl2br w:val="nil"/>
                    <w:tr2bl w:val="nil"/>
                  </w:tcBorders>
                  <w:shd w:val="clear" w:color="auto" w:fill="FFFFFF"/>
                  <w:vAlign w:val="center"/>
                </w:tcPr>
                <w:p w14:paraId="2F2511FC">
                  <w:pPr>
                    <w:keepNext w:val="0"/>
                    <w:keepLines w:val="0"/>
                    <w:pageBreakBefore w:val="0"/>
                    <w:widowControl/>
                    <w:suppressLineNumbers w:val="0"/>
                    <w:kinsoku/>
                    <w:wordWrap/>
                    <w:overflowPunct/>
                    <w:topLinePunct w:val="0"/>
                    <w:bidi w:val="0"/>
                    <w:adjustRightInd w:val="0"/>
                    <w:snapToGrid w:val="0"/>
                    <w:spacing w:before="0" w:beforeAutospacing="0" w:after="0" w:afterAutospacing="0" w:line="276" w:lineRule="auto"/>
                    <w:ind w:left="0" w:right="0"/>
                    <w:jc w:val="center"/>
                    <w:textAlignment w:val="center"/>
                    <w:rPr>
                      <w:rFonts w:hint="default" w:ascii="Times New Roman" w:hAnsi="Times New Roman" w:eastAsia="宋体" w:cs="Times New Roman"/>
                      <w:i w:val="0"/>
                      <w:iCs w:val="0"/>
                      <w:color w:val="000000"/>
                      <w:kern w:val="0"/>
                      <w:sz w:val="18"/>
                      <w:szCs w:val="18"/>
                      <w:highlight w:val="none"/>
                      <w:u w:val="none"/>
                      <w:lang w:val="en-US" w:eastAsia="zh-CN" w:bidi="ar"/>
                    </w:rPr>
                  </w:pPr>
                </w:p>
              </w:tc>
            </w:tr>
            <w:tr w14:paraId="30A4AB9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FFFFFF"/>
                <w:tblCellMar>
                  <w:top w:w="0" w:type="dxa"/>
                  <w:left w:w="28" w:type="dxa"/>
                  <w:bottom w:w="0" w:type="dxa"/>
                  <w:right w:w="28" w:type="dxa"/>
                </w:tblCellMar>
              </w:tblPrEx>
              <w:trPr>
                <w:trHeight w:val="0" w:hRule="atLeast"/>
              </w:trPr>
              <w:tc>
                <w:tcPr>
                  <w:tcW w:w="235" w:type="pct"/>
                  <w:tcBorders>
                    <w:tl2br w:val="nil"/>
                    <w:tr2bl w:val="nil"/>
                  </w:tcBorders>
                  <w:shd w:val="clear" w:color="auto" w:fill="FFFFFF"/>
                  <w:noWrap/>
                  <w:vAlign w:val="center"/>
                </w:tcPr>
                <w:p w14:paraId="17E7EB03">
                  <w:pPr>
                    <w:keepNext w:val="0"/>
                    <w:keepLines w:val="0"/>
                    <w:pageBreakBefore w:val="0"/>
                    <w:widowControl/>
                    <w:suppressLineNumbers w:val="0"/>
                    <w:kinsoku/>
                    <w:wordWrap/>
                    <w:overflowPunct/>
                    <w:topLinePunct w:val="0"/>
                    <w:bidi w:val="0"/>
                    <w:adjustRightInd w:val="0"/>
                    <w:snapToGrid w:val="0"/>
                    <w:spacing w:before="0" w:beforeAutospacing="0" w:after="0" w:afterAutospacing="0" w:line="276" w:lineRule="auto"/>
                    <w:ind w:left="0" w:right="0"/>
                    <w:jc w:val="center"/>
                    <w:textAlignment w:val="center"/>
                    <w:rPr>
                      <w:rFonts w:hint="default" w:ascii="Times New Roman" w:hAnsi="Times New Roman" w:eastAsia="宋体" w:cs="Times New Roman"/>
                      <w:bCs/>
                      <w:i w:val="0"/>
                      <w:iCs w:val="0"/>
                      <w:color w:val="000000"/>
                      <w:kern w:val="0"/>
                      <w:sz w:val="18"/>
                      <w:szCs w:val="18"/>
                      <w:highlight w:val="none"/>
                      <w:u w:val="none"/>
                      <w:lang w:val="en-US" w:eastAsia="zh-CN" w:bidi="ar"/>
                    </w:rPr>
                  </w:pPr>
                  <w:r>
                    <w:rPr>
                      <w:rFonts w:hint="default" w:ascii="Times New Roman" w:hAnsi="Times New Roman" w:eastAsia="宋体" w:cs="Times New Roman"/>
                      <w:bCs/>
                      <w:i w:val="0"/>
                      <w:iCs w:val="0"/>
                      <w:color w:val="000000"/>
                      <w:kern w:val="0"/>
                      <w:sz w:val="18"/>
                      <w:szCs w:val="18"/>
                      <w:highlight w:val="none"/>
                      <w:u w:val="none"/>
                      <w:lang w:val="en-US" w:eastAsia="zh-CN" w:bidi="ar"/>
                    </w:rPr>
                    <w:t>55</w:t>
                  </w:r>
                </w:p>
              </w:tc>
              <w:tc>
                <w:tcPr>
                  <w:tcW w:w="349" w:type="pct"/>
                  <w:vMerge w:val="continue"/>
                  <w:tcBorders>
                    <w:tl2br w:val="nil"/>
                    <w:tr2bl w:val="nil"/>
                  </w:tcBorders>
                  <w:shd w:val="clear" w:color="auto" w:fill="FFFFFF"/>
                  <w:vAlign w:val="center"/>
                </w:tcPr>
                <w:p w14:paraId="5E732636">
                  <w:pPr>
                    <w:pStyle w:val="120"/>
                    <w:keepNext w:val="0"/>
                    <w:keepLines w:val="0"/>
                    <w:pageBreakBefore w:val="0"/>
                    <w:framePr w:hSpace="0" w:wrap="auto" w:vAnchor="margin" w:hAnchor="text" w:xAlign="left" w:yAlign="inline"/>
                    <w:suppressLineNumbers w:val="0"/>
                    <w:kinsoku/>
                    <w:wordWrap/>
                    <w:overflowPunct/>
                    <w:topLinePunct w:val="0"/>
                    <w:bidi w:val="0"/>
                    <w:adjustRightInd w:val="0"/>
                    <w:snapToGrid w:val="0"/>
                    <w:spacing w:before="0" w:beforeAutospacing="0" w:after="0" w:afterAutospacing="0" w:line="276" w:lineRule="auto"/>
                    <w:ind w:left="0" w:right="0"/>
                    <w:jc w:val="center"/>
                    <w:rPr>
                      <w:rFonts w:hint="default" w:ascii="Times New Roman" w:hAnsi="Times New Roman" w:eastAsia="宋体" w:cs="Times New Roman"/>
                      <w:bCs/>
                      <w:i w:val="0"/>
                      <w:iCs w:val="0"/>
                      <w:color w:val="000000"/>
                      <w:kern w:val="0"/>
                      <w:sz w:val="18"/>
                      <w:szCs w:val="18"/>
                      <w:highlight w:val="none"/>
                      <w:u w:val="none"/>
                      <w:lang w:val="en-US" w:eastAsia="zh-CN" w:bidi="ar"/>
                    </w:rPr>
                  </w:pPr>
                </w:p>
              </w:tc>
              <w:tc>
                <w:tcPr>
                  <w:tcW w:w="1015" w:type="pct"/>
                  <w:tcBorders>
                    <w:tl2br w:val="nil"/>
                    <w:tr2bl w:val="nil"/>
                  </w:tcBorders>
                  <w:shd w:val="clear" w:color="auto" w:fill="FFFFFF"/>
                  <w:vAlign w:val="center"/>
                </w:tcPr>
                <w:p w14:paraId="684D985D">
                  <w:pPr>
                    <w:keepNext w:val="0"/>
                    <w:keepLines w:val="0"/>
                    <w:pageBreakBefore w:val="0"/>
                    <w:widowControl/>
                    <w:suppressLineNumbers w:val="0"/>
                    <w:kinsoku/>
                    <w:wordWrap/>
                    <w:overflowPunct/>
                    <w:topLinePunct w:val="0"/>
                    <w:bidi w:val="0"/>
                    <w:adjustRightInd w:val="0"/>
                    <w:snapToGrid w:val="0"/>
                    <w:spacing w:before="0" w:beforeAutospacing="0" w:after="0" w:afterAutospacing="0" w:line="276" w:lineRule="auto"/>
                    <w:ind w:left="0" w:right="0"/>
                    <w:jc w:val="center"/>
                    <w:textAlignment w:val="center"/>
                    <w:rPr>
                      <w:rFonts w:hint="default" w:ascii="Times New Roman" w:hAnsi="Times New Roman" w:eastAsia="宋体" w:cs="Times New Roman"/>
                      <w:bCs/>
                      <w:i w:val="0"/>
                      <w:iCs w:val="0"/>
                      <w:color w:val="000000"/>
                      <w:kern w:val="0"/>
                      <w:sz w:val="18"/>
                      <w:szCs w:val="18"/>
                      <w:highlight w:val="none"/>
                      <w:u w:val="none"/>
                      <w:lang w:val="en-US" w:eastAsia="zh-CN" w:bidi="ar"/>
                    </w:rPr>
                  </w:pPr>
                  <w:r>
                    <w:rPr>
                      <w:rFonts w:hint="default" w:ascii="Times New Roman" w:hAnsi="Times New Roman" w:eastAsia="宋体" w:cs="Times New Roman"/>
                      <w:bCs/>
                      <w:i w:val="0"/>
                      <w:iCs w:val="0"/>
                      <w:color w:val="000000"/>
                      <w:kern w:val="0"/>
                      <w:sz w:val="18"/>
                      <w:szCs w:val="18"/>
                      <w:highlight w:val="none"/>
                      <w:u w:val="none"/>
                      <w:lang w:val="en-US" w:eastAsia="zh-CN" w:bidi="ar"/>
                    </w:rPr>
                    <w:t>平板式冷冻干燥机</w:t>
                  </w:r>
                </w:p>
              </w:tc>
              <w:tc>
                <w:tcPr>
                  <w:tcW w:w="1436" w:type="pct"/>
                  <w:tcBorders>
                    <w:tl2br w:val="nil"/>
                    <w:tr2bl w:val="nil"/>
                  </w:tcBorders>
                  <w:shd w:val="clear" w:color="auto" w:fill="FFFFFF"/>
                  <w:noWrap/>
                  <w:vAlign w:val="center"/>
                </w:tcPr>
                <w:p w14:paraId="18041752">
                  <w:pPr>
                    <w:keepNext w:val="0"/>
                    <w:keepLines w:val="0"/>
                    <w:pageBreakBefore w:val="0"/>
                    <w:suppressLineNumbers w:val="0"/>
                    <w:kinsoku/>
                    <w:wordWrap/>
                    <w:overflowPunct/>
                    <w:topLinePunct w:val="0"/>
                    <w:bidi w:val="0"/>
                    <w:adjustRightInd w:val="0"/>
                    <w:snapToGrid w:val="0"/>
                    <w:spacing w:before="0" w:beforeAutospacing="0" w:after="0" w:afterAutospacing="0" w:line="276" w:lineRule="auto"/>
                    <w:ind w:left="0" w:right="0"/>
                    <w:jc w:val="center"/>
                    <w:rPr>
                      <w:rFonts w:hint="default" w:ascii="Times New Roman" w:hAnsi="Times New Roman" w:eastAsia="宋体" w:cs="Times New Roman"/>
                      <w:bCs/>
                      <w:i w:val="0"/>
                      <w:iCs w:val="0"/>
                      <w:color w:val="000000"/>
                      <w:kern w:val="0"/>
                      <w:sz w:val="18"/>
                      <w:szCs w:val="18"/>
                      <w:highlight w:val="none"/>
                      <w:u w:val="none"/>
                      <w:lang w:val="en-US" w:eastAsia="zh-CN" w:bidi="ar"/>
                    </w:rPr>
                  </w:pPr>
                  <w:r>
                    <w:rPr>
                      <w:rFonts w:hint="default" w:ascii="Times New Roman" w:hAnsi="Times New Roman" w:eastAsia="宋体" w:cs="Times New Roman"/>
                      <w:bCs/>
                      <w:i w:val="0"/>
                      <w:iCs w:val="0"/>
                      <w:color w:val="000000"/>
                      <w:kern w:val="0"/>
                      <w:sz w:val="18"/>
                      <w:szCs w:val="18"/>
                      <w:highlight w:val="none"/>
                      <w:u w:val="none"/>
                      <w:lang w:val="en-US" w:eastAsia="zh-CN" w:bidi="ar"/>
                    </w:rPr>
                    <w:t>/</w:t>
                  </w:r>
                </w:p>
              </w:tc>
              <w:tc>
                <w:tcPr>
                  <w:tcW w:w="284" w:type="pct"/>
                  <w:tcBorders>
                    <w:tl2br w:val="nil"/>
                    <w:tr2bl w:val="nil"/>
                  </w:tcBorders>
                  <w:shd w:val="clear" w:color="auto" w:fill="FFFFFF"/>
                  <w:vAlign w:val="center"/>
                </w:tcPr>
                <w:p w14:paraId="7919E021">
                  <w:pPr>
                    <w:keepNext w:val="0"/>
                    <w:keepLines w:val="0"/>
                    <w:pageBreakBefore w:val="0"/>
                    <w:widowControl/>
                    <w:suppressLineNumbers w:val="0"/>
                    <w:kinsoku/>
                    <w:wordWrap/>
                    <w:overflowPunct/>
                    <w:topLinePunct w:val="0"/>
                    <w:bidi w:val="0"/>
                    <w:adjustRightInd w:val="0"/>
                    <w:snapToGrid w:val="0"/>
                    <w:spacing w:before="0" w:beforeAutospacing="0" w:after="0" w:afterAutospacing="0" w:line="276" w:lineRule="auto"/>
                    <w:ind w:left="0" w:right="0"/>
                    <w:jc w:val="center"/>
                    <w:textAlignment w:val="center"/>
                    <w:rPr>
                      <w:rFonts w:hint="default" w:ascii="Times New Roman" w:hAnsi="Times New Roman" w:eastAsia="宋体" w:cs="Times New Roman"/>
                      <w:bCs/>
                      <w:i w:val="0"/>
                      <w:iCs w:val="0"/>
                      <w:color w:val="000000"/>
                      <w:kern w:val="0"/>
                      <w:sz w:val="18"/>
                      <w:szCs w:val="18"/>
                      <w:highlight w:val="none"/>
                      <w:u w:val="none"/>
                      <w:lang w:val="en-US" w:eastAsia="zh-CN" w:bidi="ar"/>
                    </w:rPr>
                  </w:pPr>
                  <w:r>
                    <w:rPr>
                      <w:rFonts w:hint="default" w:ascii="Times New Roman" w:hAnsi="Times New Roman" w:eastAsia="宋体" w:cs="Times New Roman"/>
                      <w:bCs/>
                      <w:i w:val="0"/>
                      <w:iCs w:val="0"/>
                      <w:color w:val="000000"/>
                      <w:kern w:val="0"/>
                      <w:sz w:val="18"/>
                      <w:szCs w:val="18"/>
                      <w:highlight w:val="none"/>
                      <w:u w:val="none"/>
                      <w:lang w:val="en-US" w:eastAsia="zh-CN" w:bidi="ar"/>
                    </w:rPr>
                    <w:t>1</w:t>
                  </w:r>
                </w:p>
              </w:tc>
              <w:tc>
                <w:tcPr>
                  <w:tcW w:w="1678" w:type="pct"/>
                  <w:vMerge w:val="continue"/>
                  <w:tcBorders>
                    <w:tl2br w:val="nil"/>
                    <w:tr2bl w:val="nil"/>
                  </w:tcBorders>
                  <w:shd w:val="clear" w:color="auto" w:fill="FFFFFF"/>
                  <w:vAlign w:val="center"/>
                </w:tcPr>
                <w:p w14:paraId="3C3343B0">
                  <w:pPr>
                    <w:keepNext w:val="0"/>
                    <w:keepLines w:val="0"/>
                    <w:pageBreakBefore w:val="0"/>
                    <w:widowControl/>
                    <w:suppressLineNumbers w:val="0"/>
                    <w:kinsoku/>
                    <w:wordWrap/>
                    <w:overflowPunct/>
                    <w:topLinePunct w:val="0"/>
                    <w:bidi w:val="0"/>
                    <w:adjustRightInd w:val="0"/>
                    <w:snapToGrid w:val="0"/>
                    <w:spacing w:before="0" w:beforeAutospacing="0" w:after="0" w:afterAutospacing="0" w:line="276" w:lineRule="auto"/>
                    <w:ind w:left="0" w:right="0"/>
                    <w:jc w:val="center"/>
                    <w:textAlignment w:val="center"/>
                    <w:rPr>
                      <w:rFonts w:hint="default" w:ascii="Times New Roman" w:hAnsi="Times New Roman" w:eastAsia="宋体" w:cs="Times New Roman"/>
                      <w:i w:val="0"/>
                      <w:iCs w:val="0"/>
                      <w:color w:val="000000"/>
                      <w:kern w:val="0"/>
                      <w:sz w:val="18"/>
                      <w:szCs w:val="18"/>
                      <w:highlight w:val="none"/>
                      <w:u w:val="none"/>
                      <w:lang w:val="en-US" w:eastAsia="zh-CN" w:bidi="ar"/>
                    </w:rPr>
                  </w:pPr>
                </w:p>
              </w:tc>
            </w:tr>
            <w:tr w14:paraId="55A8E90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FFFFFF"/>
                <w:tblCellMar>
                  <w:top w:w="0" w:type="dxa"/>
                  <w:left w:w="28" w:type="dxa"/>
                  <w:bottom w:w="0" w:type="dxa"/>
                  <w:right w:w="28" w:type="dxa"/>
                </w:tblCellMar>
              </w:tblPrEx>
              <w:trPr>
                <w:trHeight w:val="0" w:hRule="atLeast"/>
              </w:trPr>
              <w:tc>
                <w:tcPr>
                  <w:tcW w:w="235" w:type="pct"/>
                  <w:tcBorders>
                    <w:tl2br w:val="nil"/>
                    <w:tr2bl w:val="nil"/>
                  </w:tcBorders>
                  <w:shd w:val="clear" w:color="auto" w:fill="FFFFFF"/>
                  <w:noWrap/>
                  <w:vAlign w:val="center"/>
                </w:tcPr>
                <w:p w14:paraId="51EE880F">
                  <w:pPr>
                    <w:keepNext w:val="0"/>
                    <w:keepLines w:val="0"/>
                    <w:pageBreakBefore w:val="0"/>
                    <w:widowControl/>
                    <w:suppressLineNumbers w:val="0"/>
                    <w:kinsoku/>
                    <w:wordWrap/>
                    <w:overflowPunct/>
                    <w:topLinePunct w:val="0"/>
                    <w:bidi w:val="0"/>
                    <w:adjustRightInd w:val="0"/>
                    <w:snapToGrid w:val="0"/>
                    <w:spacing w:before="0" w:beforeAutospacing="0" w:after="0" w:afterAutospacing="0" w:line="276" w:lineRule="auto"/>
                    <w:ind w:left="0" w:right="0"/>
                    <w:jc w:val="center"/>
                    <w:textAlignment w:val="center"/>
                    <w:rPr>
                      <w:rFonts w:hint="default" w:ascii="Times New Roman" w:hAnsi="Times New Roman" w:eastAsia="宋体" w:cs="Times New Roman"/>
                      <w:bCs/>
                      <w:i w:val="0"/>
                      <w:iCs w:val="0"/>
                      <w:color w:val="000000"/>
                      <w:kern w:val="0"/>
                      <w:sz w:val="18"/>
                      <w:szCs w:val="18"/>
                      <w:highlight w:val="none"/>
                      <w:u w:val="none"/>
                      <w:lang w:val="en-US" w:eastAsia="zh-CN" w:bidi="ar"/>
                    </w:rPr>
                  </w:pPr>
                  <w:r>
                    <w:rPr>
                      <w:rFonts w:hint="default" w:ascii="Times New Roman" w:hAnsi="Times New Roman" w:eastAsia="宋体" w:cs="Times New Roman"/>
                      <w:bCs/>
                      <w:i w:val="0"/>
                      <w:iCs w:val="0"/>
                      <w:color w:val="000000"/>
                      <w:kern w:val="0"/>
                      <w:sz w:val="18"/>
                      <w:szCs w:val="18"/>
                      <w:highlight w:val="none"/>
                      <w:u w:val="none"/>
                      <w:lang w:val="en-US" w:eastAsia="zh-CN" w:bidi="ar"/>
                    </w:rPr>
                    <w:t>56</w:t>
                  </w:r>
                </w:p>
              </w:tc>
              <w:tc>
                <w:tcPr>
                  <w:tcW w:w="349" w:type="pct"/>
                  <w:vMerge w:val="continue"/>
                  <w:tcBorders>
                    <w:tl2br w:val="nil"/>
                    <w:tr2bl w:val="nil"/>
                  </w:tcBorders>
                  <w:shd w:val="clear" w:color="auto" w:fill="FFFFFF"/>
                  <w:vAlign w:val="center"/>
                </w:tcPr>
                <w:p w14:paraId="33CB7ECC">
                  <w:pPr>
                    <w:pStyle w:val="120"/>
                    <w:keepNext w:val="0"/>
                    <w:keepLines w:val="0"/>
                    <w:pageBreakBefore w:val="0"/>
                    <w:framePr w:hSpace="0" w:wrap="auto" w:vAnchor="margin" w:hAnchor="text" w:xAlign="left" w:yAlign="inline"/>
                    <w:suppressLineNumbers w:val="0"/>
                    <w:kinsoku/>
                    <w:wordWrap/>
                    <w:overflowPunct/>
                    <w:topLinePunct w:val="0"/>
                    <w:bidi w:val="0"/>
                    <w:adjustRightInd w:val="0"/>
                    <w:snapToGrid w:val="0"/>
                    <w:spacing w:before="0" w:beforeAutospacing="0" w:after="0" w:afterAutospacing="0" w:line="276" w:lineRule="auto"/>
                    <w:ind w:left="0" w:right="0"/>
                    <w:jc w:val="center"/>
                    <w:rPr>
                      <w:rFonts w:hint="default" w:ascii="Times New Roman" w:hAnsi="Times New Roman" w:eastAsia="宋体" w:cs="Times New Roman"/>
                      <w:bCs/>
                      <w:i w:val="0"/>
                      <w:iCs w:val="0"/>
                      <w:color w:val="000000"/>
                      <w:kern w:val="0"/>
                      <w:sz w:val="18"/>
                      <w:szCs w:val="18"/>
                      <w:highlight w:val="none"/>
                      <w:u w:val="none"/>
                      <w:lang w:val="en-US" w:eastAsia="zh-CN" w:bidi="ar"/>
                    </w:rPr>
                  </w:pPr>
                </w:p>
              </w:tc>
              <w:tc>
                <w:tcPr>
                  <w:tcW w:w="1015" w:type="pct"/>
                  <w:tcBorders>
                    <w:tl2br w:val="nil"/>
                    <w:tr2bl w:val="nil"/>
                  </w:tcBorders>
                  <w:shd w:val="clear" w:color="auto" w:fill="FFFFFF"/>
                  <w:vAlign w:val="center"/>
                </w:tcPr>
                <w:p w14:paraId="3B89918F">
                  <w:pPr>
                    <w:keepNext w:val="0"/>
                    <w:keepLines w:val="0"/>
                    <w:pageBreakBefore w:val="0"/>
                    <w:widowControl/>
                    <w:suppressLineNumbers w:val="0"/>
                    <w:kinsoku/>
                    <w:wordWrap/>
                    <w:overflowPunct/>
                    <w:topLinePunct w:val="0"/>
                    <w:bidi w:val="0"/>
                    <w:adjustRightInd w:val="0"/>
                    <w:snapToGrid w:val="0"/>
                    <w:spacing w:before="0" w:beforeAutospacing="0" w:after="0" w:afterAutospacing="0" w:line="276" w:lineRule="auto"/>
                    <w:ind w:left="0" w:right="0"/>
                    <w:jc w:val="center"/>
                    <w:textAlignment w:val="center"/>
                    <w:rPr>
                      <w:rFonts w:hint="default" w:ascii="Times New Roman" w:hAnsi="Times New Roman" w:eastAsia="宋体" w:cs="Times New Roman"/>
                      <w:bCs/>
                      <w:i w:val="0"/>
                      <w:iCs w:val="0"/>
                      <w:color w:val="000000"/>
                      <w:kern w:val="0"/>
                      <w:sz w:val="18"/>
                      <w:szCs w:val="18"/>
                      <w:highlight w:val="none"/>
                      <w:u w:val="none"/>
                      <w:lang w:val="en-US" w:eastAsia="zh-CN" w:bidi="ar"/>
                    </w:rPr>
                  </w:pPr>
                  <w:r>
                    <w:rPr>
                      <w:rFonts w:hint="default" w:ascii="Times New Roman" w:hAnsi="Times New Roman" w:eastAsia="宋体" w:cs="Times New Roman"/>
                      <w:bCs/>
                      <w:i w:val="0"/>
                      <w:iCs w:val="0"/>
                      <w:color w:val="000000"/>
                      <w:kern w:val="0"/>
                      <w:sz w:val="18"/>
                      <w:szCs w:val="18"/>
                      <w:highlight w:val="none"/>
                      <w:u w:val="none"/>
                      <w:lang w:val="en-US" w:eastAsia="zh-CN" w:bidi="ar"/>
                    </w:rPr>
                    <w:t>单体台式灌装机</w:t>
                  </w:r>
                </w:p>
              </w:tc>
              <w:tc>
                <w:tcPr>
                  <w:tcW w:w="1436" w:type="pct"/>
                  <w:tcBorders>
                    <w:tl2br w:val="nil"/>
                    <w:tr2bl w:val="nil"/>
                  </w:tcBorders>
                  <w:shd w:val="clear" w:color="auto" w:fill="FFFFFF"/>
                  <w:noWrap/>
                  <w:vAlign w:val="center"/>
                </w:tcPr>
                <w:p w14:paraId="45A9000A">
                  <w:pPr>
                    <w:keepNext w:val="0"/>
                    <w:keepLines w:val="0"/>
                    <w:pageBreakBefore w:val="0"/>
                    <w:suppressLineNumbers w:val="0"/>
                    <w:kinsoku/>
                    <w:wordWrap/>
                    <w:overflowPunct/>
                    <w:topLinePunct w:val="0"/>
                    <w:bidi w:val="0"/>
                    <w:adjustRightInd w:val="0"/>
                    <w:snapToGrid w:val="0"/>
                    <w:spacing w:before="0" w:beforeAutospacing="0" w:after="0" w:afterAutospacing="0" w:line="276" w:lineRule="auto"/>
                    <w:ind w:left="0" w:right="0"/>
                    <w:jc w:val="center"/>
                    <w:rPr>
                      <w:rFonts w:hint="default" w:ascii="Times New Roman" w:hAnsi="Times New Roman" w:eastAsia="宋体" w:cs="Times New Roman"/>
                      <w:bCs/>
                      <w:i w:val="0"/>
                      <w:iCs w:val="0"/>
                      <w:color w:val="000000"/>
                      <w:kern w:val="0"/>
                      <w:sz w:val="18"/>
                      <w:szCs w:val="18"/>
                      <w:highlight w:val="none"/>
                      <w:u w:val="none"/>
                      <w:lang w:val="en-US" w:eastAsia="zh-CN" w:bidi="ar"/>
                    </w:rPr>
                  </w:pPr>
                  <w:r>
                    <w:rPr>
                      <w:rFonts w:hint="default" w:ascii="Times New Roman" w:hAnsi="Times New Roman" w:eastAsia="宋体" w:cs="Times New Roman"/>
                      <w:bCs/>
                      <w:i w:val="0"/>
                      <w:iCs w:val="0"/>
                      <w:color w:val="000000"/>
                      <w:kern w:val="0"/>
                      <w:sz w:val="18"/>
                      <w:szCs w:val="18"/>
                      <w:highlight w:val="none"/>
                      <w:u w:val="none"/>
                      <w:lang w:val="en-US" w:eastAsia="zh-CN" w:bidi="ar"/>
                    </w:rPr>
                    <w:t>/</w:t>
                  </w:r>
                </w:p>
              </w:tc>
              <w:tc>
                <w:tcPr>
                  <w:tcW w:w="284" w:type="pct"/>
                  <w:tcBorders>
                    <w:tl2br w:val="nil"/>
                    <w:tr2bl w:val="nil"/>
                  </w:tcBorders>
                  <w:shd w:val="clear" w:color="auto" w:fill="FFFFFF"/>
                  <w:vAlign w:val="center"/>
                </w:tcPr>
                <w:p w14:paraId="28162255">
                  <w:pPr>
                    <w:keepNext w:val="0"/>
                    <w:keepLines w:val="0"/>
                    <w:pageBreakBefore w:val="0"/>
                    <w:widowControl/>
                    <w:suppressLineNumbers w:val="0"/>
                    <w:kinsoku/>
                    <w:wordWrap/>
                    <w:overflowPunct/>
                    <w:topLinePunct w:val="0"/>
                    <w:bidi w:val="0"/>
                    <w:adjustRightInd w:val="0"/>
                    <w:snapToGrid w:val="0"/>
                    <w:spacing w:before="0" w:beforeAutospacing="0" w:after="0" w:afterAutospacing="0" w:line="276" w:lineRule="auto"/>
                    <w:ind w:left="0" w:right="0"/>
                    <w:jc w:val="center"/>
                    <w:textAlignment w:val="center"/>
                    <w:rPr>
                      <w:rFonts w:hint="default" w:ascii="Times New Roman" w:hAnsi="Times New Roman" w:eastAsia="宋体" w:cs="Times New Roman"/>
                      <w:bCs/>
                      <w:i w:val="0"/>
                      <w:iCs w:val="0"/>
                      <w:color w:val="000000"/>
                      <w:kern w:val="0"/>
                      <w:sz w:val="18"/>
                      <w:szCs w:val="18"/>
                      <w:highlight w:val="none"/>
                      <w:u w:val="none"/>
                      <w:lang w:val="en-US" w:eastAsia="zh-CN" w:bidi="ar"/>
                    </w:rPr>
                  </w:pPr>
                  <w:r>
                    <w:rPr>
                      <w:rFonts w:hint="default" w:ascii="Times New Roman" w:hAnsi="Times New Roman" w:eastAsia="宋体" w:cs="Times New Roman"/>
                      <w:bCs/>
                      <w:i w:val="0"/>
                      <w:iCs w:val="0"/>
                      <w:color w:val="000000"/>
                      <w:kern w:val="0"/>
                      <w:sz w:val="18"/>
                      <w:szCs w:val="18"/>
                      <w:highlight w:val="none"/>
                      <w:u w:val="none"/>
                      <w:lang w:val="en-US" w:eastAsia="zh-CN" w:bidi="ar"/>
                    </w:rPr>
                    <w:t>1</w:t>
                  </w:r>
                </w:p>
              </w:tc>
              <w:tc>
                <w:tcPr>
                  <w:tcW w:w="1678" w:type="pct"/>
                  <w:vMerge w:val="continue"/>
                  <w:tcBorders>
                    <w:tl2br w:val="nil"/>
                    <w:tr2bl w:val="nil"/>
                  </w:tcBorders>
                  <w:shd w:val="clear" w:color="auto" w:fill="FFFFFF"/>
                  <w:vAlign w:val="center"/>
                </w:tcPr>
                <w:p w14:paraId="57CEA4B0">
                  <w:pPr>
                    <w:keepNext w:val="0"/>
                    <w:keepLines w:val="0"/>
                    <w:pageBreakBefore w:val="0"/>
                    <w:widowControl/>
                    <w:suppressLineNumbers w:val="0"/>
                    <w:kinsoku/>
                    <w:wordWrap/>
                    <w:overflowPunct/>
                    <w:topLinePunct w:val="0"/>
                    <w:bidi w:val="0"/>
                    <w:adjustRightInd w:val="0"/>
                    <w:snapToGrid w:val="0"/>
                    <w:spacing w:before="0" w:beforeAutospacing="0" w:after="0" w:afterAutospacing="0" w:line="276" w:lineRule="auto"/>
                    <w:ind w:left="0" w:right="0"/>
                    <w:jc w:val="center"/>
                    <w:textAlignment w:val="center"/>
                    <w:rPr>
                      <w:rFonts w:hint="default" w:ascii="Times New Roman" w:hAnsi="Times New Roman" w:eastAsia="宋体" w:cs="Times New Roman"/>
                      <w:i w:val="0"/>
                      <w:iCs w:val="0"/>
                      <w:color w:val="000000"/>
                      <w:kern w:val="0"/>
                      <w:sz w:val="18"/>
                      <w:szCs w:val="18"/>
                      <w:highlight w:val="none"/>
                      <w:u w:val="none"/>
                      <w:lang w:val="en-US" w:eastAsia="zh-CN" w:bidi="ar"/>
                    </w:rPr>
                  </w:pPr>
                </w:p>
              </w:tc>
            </w:tr>
            <w:tr w14:paraId="18FC7F3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0" w:hRule="atLeast"/>
              </w:trPr>
              <w:tc>
                <w:tcPr>
                  <w:tcW w:w="235" w:type="pct"/>
                  <w:tcBorders>
                    <w:tl2br w:val="nil"/>
                    <w:tr2bl w:val="nil"/>
                  </w:tcBorders>
                  <w:shd w:val="clear" w:color="auto" w:fill="FFFFFF"/>
                  <w:noWrap/>
                  <w:vAlign w:val="center"/>
                </w:tcPr>
                <w:p w14:paraId="10D5FC5D">
                  <w:pPr>
                    <w:keepNext w:val="0"/>
                    <w:keepLines w:val="0"/>
                    <w:pageBreakBefore w:val="0"/>
                    <w:widowControl/>
                    <w:suppressLineNumbers w:val="0"/>
                    <w:kinsoku/>
                    <w:wordWrap/>
                    <w:overflowPunct/>
                    <w:topLinePunct w:val="0"/>
                    <w:bidi w:val="0"/>
                    <w:adjustRightInd w:val="0"/>
                    <w:snapToGrid w:val="0"/>
                    <w:spacing w:before="0" w:beforeAutospacing="0" w:after="0" w:afterAutospacing="0" w:line="276" w:lineRule="auto"/>
                    <w:ind w:left="0" w:right="0"/>
                    <w:jc w:val="center"/>
                    <w:textAlignment w:val="center"/>
                    <w:rPr>
                      <w:rFonts w:hint="default" w:ascii="Times New Roman" w:hAnsi="Times New Roman" w:eastAsia="宋体" w:cs="Times New Roman"/>
                      <w:bCs/>
                      <w:i w:val="0"/>
                      <w:iCs w:val="0"/>
                      <w:color w:val="000000"/>
                      <w:kern w:val="0"/>
                      <w:sz w:val="18"/>
                      <w:szCs w:val="18"/>
                      <w:highlight w:val="none"/>
                      <w:u w:val="none"/>
                      <w:lang w:val="en-US" w:eastAsia="zh-CN" w:bidi="ar"/>
                    </w:rPr>
                  </w:pPr>
                  <w:r>
                    <w:rPr>
                      <w:rFonts w:hint="default" w:ascii="Times New Roman" w:hAnsi="Times New Roman" w:eastAsia="宋体" w:cs="Times New Roman"/>
                      <w:bCs/>
                      <w:i w:val="0"/>
                      <w:iCs w:val="0"/>
                      <w:color w:val="000000"/>
                      <w:kern w:val="0"/>
                      <w:sz w:val="18"/>
                      <w:szCs w:val="18"/>
                      <w:highlight w:val="none"/>
                      <w:u w:val="none"/>
                      <w:lang w:val="en-US" w:eastAsia="zh-CN" w:bidi="ar"/>
                    </w:rPr>
                    <w:t>57</w:t>
                  </w:r>
                </w:p>
              </w:tc>
              <w:tc>
                <w:tcPr>
                  <w:tcW w:w="349" w:type="pct"/>
                  <w:vMerge w:val="continue"/>
                  <w:tcBorders>
                    <w:tl2br w:val="nil"/>
                    <w:tr2bl w:val="nil"/>
                  </w:tcBorders>
                  <w:shd w:val="clear" w:color="auto" w:fill="FFFFFF"/>
                  <w:vAlign w:val="center"/>
                </w:tcPr>
                <w:p w14:paraId="24698BA3">
                  <w:pPr>
                    <w:pStyle w:val="120"/>
                    <w:keepNext w:val="0"/>
                    <w:keepLines w:val="0"/>
                    <w:pageBreakBefore w:val="0"/>
                    <w:framePr w:hSpace="0" w:wrap="auto" w:vAnchor="margin" w:hAnchor="text" w:xAlign="left" w:yAlign="inline"/>
                    <w:suppressLineNumbers w:val="0"/>
                    <w:kinsoku/>
                    <w:wordWrap/>
                    <w:overflowPunct/>
                    <w:topLinePunct w:val="0"/>
                    <w:bidi w:val="0"/>
                    <w:adjustRightInd w:val="0"/>
                    <w:snapToGrid w:val="0"/>
                    <w:spacing w:before="0" w:beforeAutospacing="0" w:after="0" w:afterAutospacing="0" w:line="276" w:lineRule="auto"/>
                    <w:ind w:left="0" w:right="0"/>
                    <w:jc w:val="center"/>
                    <w:rPr>
                      <w:rFonts w:hint="default" w:ascii="Times New Roman" w:hAnsi="Times New Roman" w:eastAsia="宋体" w:cs="Times New Roman"/>
                      <w:bCs/>
                      <w:i w:val="0"/>
                      <w:iCs w:val="0"/>
                      <w:color w:val="000000"/>
                      <w:kern w:val="0"/>
                      <w:sz w:val="18"/>
                      <w:szCs w:val="18"/>
                      <w:highlight w:val="none"/>
                      <w:u w:val="none"/>
                      <w:lang w:val="en-US" w:eastAsia="zh-CN" w:bidi="ar"/>
                    </w:rPr>
                  </w:pPr>
                </w:p>
              </w:tc>
              <w:tc>
                <w:tcPr>
                  <w:tcW w:w="1015" w:type="pct"/>
                  <w:tcBorders>
                    <w:tl2br w:val="nil"/>
                    <w:tr2bl w:val="nil"/>
                  </w:tcBorders>
                  <w:shd w:val="clear" w:color="auto" w:fill="FFFFFF"/>
                  <w:vAlign w:val="center"/>
                </w:tcPr>
                <w:p w14:paraId="4F5C8A64">
                  <w:pPr>
                    <w:keepNext w:val="0"/>
                    <w:keepLines w:val="0"/>
                    <w:pageBreakBefore w:val="0"/>
                    <w:widowControl/>
                    <w:suppressLineNumbers w:val="0"/>
                    <w:kinsoku/>
                    <w:wordWrap/>
                    <w:overflowPunct/>
                    <w:topLinePunct w:val="0"/>
                    <w:bidi w:val="0"/>
                    <w:adjustRightInd w:val="0"/>
                    <w:snapToGrid w:val="0"/>
                    <w:spacing w:before="0" w:beforeAutospacing="0" w:after="0" w:afterAutospacing="0" w:line="276" w:lineRule="auto"/>
                    <w:ind w:left="0" w:right="0"/>
                    <w:jc w:val="center"/>
                    <w:textAlignment w:val="center"/>
                    <w:rPr>
                      <w:rFonts w:hint="default" w:ascii="Times New Roman" w:hAnsi="Times New Roman" w:eastAsia="宋体" w:cs="Times New Roman"/>
                      <w:bCs/>
                      <w:i w:val="0"/>
                      <w:iCs w:val="0"/>
                      <w:color w:val="000000"/>
                      <w:kern w:val="0"/>
                      <w:sz w:val="18"/>
                      <w:szCs w:val="18"/>
                      <w:highlight w:val="none"/>
                      <w:u w:val="none"/>
                      <w:lang w:val="en-US" w:eastAsia="zh-CN" w:bidi="ar"/>
                    </w:rPr>
                  </w:pPr>
                  <w:r>
                    <w:rPr>
                      <w:rFonts w:hint="default" w:ascii="Times New Roman" w:hAnsi="Times New Roman" w:eastAsia="宋体" w:cs="Times New Roman"/>
                      <w:bCs/>
                      <w:i w:val="0"/>
                      <w:iCs w:val="0"/>
                      <w:color w:val="000000"/>
                      <w:kern w:val="0"/>
                      <w:sz w:val="18"/>
                      <w:szCs w:val="18"/>
                      <w:highlight w:val="none"/>
                      <w:u w:val="none"/>
                      <w:lang w:val="en-US" w:eastAsia="zh-CN" w:bidi="ar"/>
                    </w:rPr>
                    <w:t>高能水冷控温球磨仪</w:t>
                  </w:r>
                </w:p>
              </w:tc>
              <w:tc>
                <w:tcPr>
                  <w:tcW w:w="1436" w:type="pct"/>
                  <w:tcBorders>
                    <w:tl2br w:val="nil"/>
                    <w:tr2bl w:val="nil"/>
                  </w:tcBorders>
                  <w:shd w:val="clear" w:color="auto" w:fill="FFFFFF"/>
                  <w:noWrap/>
                  <w:vAlign w:val="center"/>
                </w:tcPr>
                <w:p w14:paraId="2A2B82FF">
                  <w:pPr>
                    <w:keepNext w:val="0"/>
                    <w:keepLines w:val="0"/>
                    <w:pageBreakBefore w:val="0"/>
                    <w:suppressLineNumbers w:val="0"/>
                    <w:kinsoku/>
                    <w:wordWrap/>
                    <w:overflowPunct/>
                    <w:topLinePunct w:val="0"/>
                    <w:bidi w:val="0"/>
                    <w:adjustRightInd w:val="0"/>
                    <w:snapToGrid w:val="0"/>
                    <w:spacing w:before="0" w:beforeAutospacing="0" w:after="0" w:afterAutospacing="0" w:line="276" w:lineRule="auto"/>
                    <w:ind w:left="0" w:right="0"/>
                    <w:jc w:val="center"/>
                    <w:rPr>
                      <w:rFonts w:hint="default" w:ascii="Times New Roman" w:hAnsi="Times New Roman" w:eastAsia="宋体" w:cs="Times New Roman"/>
                      <w:bCs/>
                      <w:i w:val="0"/>
                      <w:iCs w:val="0"/>
                      <w:color w:val="000000"/>
                      <w:kern w:val="0"/>
                      <w:sz w:val="18"/>
                      <w:szCs w:val="18"/>
                      <w:highlight w:val="none"/>
                      <w:u w:val="none"/>
                      <w:lang w:val="en-US" w:eastAsia="zh-CN" w:bidi="ar"/>
                    </w:rPr>
                  </w:pPr>
                  <w:r>
                    <w:rPr>
                      <w:rFonts w:hint="default" w:ascii="Times New Roman" w:hAnsi="Times New Roman" w:eastAsia="宋体" w:cs="Times New Roman"/>
                      <w:bCs/>
                      <w:i w:val="0"/>
                      <w:iCs w:val="0"/>
                      <w:color w:val="000000"/>
                      <w:kern w:val="0"/>
                      <w:sz w:val="18"/>
                      <w:szCs w:val="18"/>
                      <w:highlight w:val="none"/>
                      <w:u w:val="none"/>
                      <w:lang w:val="en-US" w:eastAsia="zh-CN" w:bidi="ar"/>
                    </w:rPr>
                    <w:t>/</w:t>
                  </w:r>
                </w:p>
              </w:tc>
              <w:tc>
                <w:tcPr>
                  <w:tcW w:w="284" w:type="pct"/>
                  <w:tcBorders>
                    <w:tl2br w:val="nil"/>
                    <w:tr2bl w:val="nil"/>
                  </w:tcBorders>
                  <w:shd w:val="clear" w:color="auto" w:fill="FFFFFF"/>
                  <w:vAlign w:val="center"/>
                </w:tcPr>
                <w:p w14:paraId="75C9EDCD">
                  <w:pPr>
                    <w:keepNext w:val="0"/>
                    <w:keepLines w:val="0"/>
                    <w:pageBreakBefore w:val="0"/>
                    <w:widowControl/>
                    <w:suppressLineNumbers w:val="0"/>
                    <w:kinsoku/>
                    <w:wordWrap/>
                    <w:overflowPunct/>
                    <w:topLinePunct w:val="0"/>
                    <w:bidi w:val="0"/>
                    <w:adjustRightInd w:val="0"/>
                    <w:snapToGrid w:val="0"/>
                    <w:spacing w:before="0" w:beforeAutospacing="0" w:after="0" w:afterAutospacing="0" w:line="276" w:lineRule="auto"/>
                    <w:ind w:left="0" w:right="0"/>
                    <w:jc w:val="center"/>
                    <w:textAlignment w:val="center"/>
                    <w:rPr>
                      <w:rFonts w:hint="default" w:ascii="Times New Roman" w:hAnsi="Times New Roman" w:eastAsia="宋体" w:cs="Times New Roman"/>
                      <w:bCs/>
                      <w:i w:val="0"/>
                      <w:iCs w:val="0"/>
                      <w:color w:val="000000"/>
                      <w:kern w:val="0"/>
                      <w:sz w:val="18"/>
                      <w:szCs w:val="18"/>
                      <w:highlight w:val="none"/>
                      <w:u w:val="none"/>
                      <w:lang w:val="en-US" w:eastAsia="zh-CN" w:bidi="ar"/>
                    </w:rPr>
                  </w:pPr>
                  <w:r>
                    <w:rPr>
                      <w:rFonts w:hint="default" w:ascii="Times New Roman" w:hAnsi="Times New Roman" w:eastAsia="宋体" w:cs="Times New Roman"/>
                      <w:bCs/>
                      <w:i w:val="0"/>
                      <w:iCs w:val="0"/>
                      <w:color w:val="000000"/>
                      <w:kern w:val="0"/>
                      <w:sz w:val="18"/>
                      <w:szCs w:val="18"/>
                      <w:highlight w:val="none"/>
                      <w:u w:val="none"/>
                      <w:lang w:val="en-US" w:eastAsia="zh-CN" w:bidi="ar"/>
                    </w:rPr>
                    <w:t>1</w:t>
                  </w:r>
                </w:p>
              </w:tc>
              <w:tc>
                <w:tcPr>
                  <w:tcW w:w="1678" w:type="pct"/>
                  <w:vMerge w:val="continue"/>
                  <w:tcBorders>
                    <w:tl2br w:val="nil"/>
                    <w:tr2bl w:val="nil"/>
                  </w:tcBorders>
                  <w:shd w:val="clear" w:color="auto" w:fill="FFFFFF"/>
                  <w:vAlign w:val="center"/>
                </w:tcPr>
                <w:p w14:paraId="74AA52A5">
                  <w:pPr>
                    <w:keepNext w:val="0"/>
                    <w:keepLines w:val="0"/>
                    <w:pageBreakBefore w:val="0"/>
                    <w:widowControl/>
                    <w:suppressLineNumbers w:val="0"/>
                    <w:kinsoku/>
                    <w:wordWrap/>
                    <w:overflowPunct/>
                    <w:topLinePunct w:val="0"/>
                    <w:bidi w:val="0"/>
                    <w:adjustRightInd w:val="0"/>
                    <w:snapToGrid w:val="0"/>
                    <w:spacing w:before="0" w:beforeAutospacing="0" w:after="0" w:afterAutospacing="0" w:line="276" w:lineRule="auto"/>
                    <w:ind w:left="0" w:right="0"/>
                    <w:jc w:val="center"/>
                    <w:textAlignment w:val="center"/>
                    <w:rPr>
                      <w:rFonts w:hint="default" w:ascii="Times New Roman" w:hAnsi="Times New Roman" w:eastAsia="宋体" w:cs="Times New Roman"/>
                      <w:i w:val="0"/>
                      <w:iCs w:val="0"/>
                      <w:color w:val="000000"/>
                      <w:kern w:val="0"/>
                      <w:sz w:val="18"/>
                      <w:szCs w:val="18"/>
                      <w:highlight w:val="none"/>
                      <w:u w:val="none"/>
                      <w:lang w:val="en-US" w:eastAsia="zh-CN" w:bidi="ar"/>
                    </w:rPr>
                  </w:pPr>
                </w:p>
              </w:tc>
            </w:tr>
            <w:tr w14:paraId="65450F2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0" w:hRule="atLeast"/>
              </w:trPr>
              <w:tc>
                <w:tcPr>
                  <w:tcW w:w="235" w:type="pct"/>
                  <w:tcBorders>
                    <w:tl2br w:val="nil"/>
                    <w:tr2bl w:val="nil"/>
                  </w:tcBorders>
                  <w:shd w:val="clear" w:color="auto" w:fill="FFFFFF"/>
                  <w:noWrap/>
                  <w:vAlign w:val="center"/>
                </w:tcPr>
                <w:p w14:paraId="4A179751">
                  <w:pPr>
                    <w:keepNext w:val="0"/>
                    <w:keepLines w:val="0"/>
                    <w:pageBreakBefore w:val="0"/>
                    <w:widowControl/>
                    <w:suppressLineNumbers w:val="0"/>
                    <w:kinsoku/>
                    <w:wordWrap/>
                    <w:overflowPunct/>
                    <w:topLinePunct w:val="0"/>
                    <w:bidi w:val="0"/>
                    <w:adjustRightInd w:val="0"/>
                    <w:snapToGrid w:val="0"/>
                    <w:spacing w:before="0" w:beforeAutospacing="0" w:after="0" w:afterAutospacing="0" w:line="276" w:lineRule="auto"/>
                    <w:ind w:left="0" w:right="0"/>
                    <w:jc w:val="center"/>
                    <w:textAlignment w:val="center"/>
                    <w:rPr>
                      <w:rFonts w:hint="default" w:ascii="Times New Roman" w:hAnsi="Times New Roman" w:eastAsia="宋体" w:cs="Times New Roman"/>
                      <w:bCs/>
                      <w:i w:val="0"/>
                      <w:iCs w:val="0"/>
                      <w:color w:val="000000"/>
                      <w:kern w:val="0"/>
                      <w:sz w:val="18"/>
                      <w:szCs w:val="18"/>
                      <w:highlight w:val="none"/>
                      <w:u w:val="none"/>
                      <w:lang w:val="en-US" w:eastAsia="zh-CN" w:bidi="ar"/>
                    </w:rPr>
                  </w:pPr>
                  <w:r>
                    <w:rPr>
                      <w:rFonts w:hint="default" w:ascii="Times New Roman" w:hAnsi="Times New Roman" w:eastAsia="宋体" w:cs="Times New Roman"/>
                      <w:bCs/>
                      <w:i w:val="0"/>
                      <w:iCs w:val="0"/>
                      <w:color w:val="000000"/>
                      <w:kern w:val="0"/>
                      <w:sz w:val="18"/>
                      <w:szCs w:val="18"/>
                      <w:highlight w:val="none"/>
                      <w:u w:val="none"/>
                      <w:lang w:val="en-US" w:eastAsia="zh-CN" w:bidi="ar"/>
                    </w:rPr>
                    <w:t>58</w:t>
                  </w:r>
                </w:p>
              </w:tc>
              <w:tc>
                <w:tcPr>
                  <w:tcW w:w="349" w:type="pct"/>
                  <w:vMerge w:val="continue"/>
                  <w:tcBorders>
                    <w:tl2br w:val="nil"/>
                    <w:tr2bl w:val="nil"/>
                  </w:tcBorders>
                  <w:shd w:val="clear" w:color="auto" w:fill="FFFFFF"/>
                  <w:vAlign w:val="center"/>
                </w:tcPr>
                <w:p w14:paraId="636714A0">
                  <w:pPr>
                    <w:pStyle w:val="120"/>
                    <w:keepNext w:val="0"/>
                    <w:keepLines w:val="0"/>
                    <w:pageBreakBefore w:val="0"/>
                    <w:framePr w:hSpace="0" w:wrap="auto" w:vAnchor="margin" w:hAnchor="text" w:xAlign="left" w:yAlign="inline"/>
                    <w:suppressLineNumbers w:val="0"/>
                    <w:kinsoku/>
                    <w:wordWrap/>
                    <w:overflowPunct/>
                    <w:topLinePunct w:val="0"/>
                    <w:bidi w:val="0"/>
                    <w:adjustRightInd w:val="0"/>
                    <w:snapToGrid w:val="0"/>
                    <w:spacing w:before="0" w:beforeAutospacing="0" w:after="0" w:afterAutospacing="0" w:line="276" w:lineRule="auto"/>
                    <w:ind w:left="0" w:right="0"/>
                    <w:jc w:val="center"/>
                    <w:rPr>
                      <w:rFonts w:hint="default" w:ascii="Times New Roman" w:hAnsi="Times New Roman" w:eastAsia="宋体" w:cs="Times New Roman"/>
                      <w:bCs/>
                      <w:i w:val="0"/>
                      <w:iCs w:val="0"/>
                      <w:color w:val="000000"/>
                      <w:kern w:val="0"/>
                      <w:sz w:val="18"/>
                      <w:szCs w:val="18"/>
                      <w:highlight w:val="none"/>
                      <w:u w:val="none"/>
                      <w:lang w:val="en-US" w:eastAsia="zh-CN" w:bidi="ar"/>
                    </w:rPr>
                  </w:pPr>
                </w:p>
              </w:tc>
              <w:tc>
                <w:tcPr>
                  <w:tcW w:w="1015" w:type="pct"/>
                  <w:tcBorders>
                    <w:tl2br w:val="nil"/>
                    <w:tr2bl w:val="nil"/>
                  </w:tcBorders>
                  <w:shd w:val="clear" w:color="auto" w:fill="FFFFFF"/>
                  <w:vAlign w:val="center"/>
                </w:tcPr>
                <w:p w14:paraId="3473DD33">
                  <w:pPr>
                    <w:keepNext w:val="0"/>
                    <w:keepLines w:val="0"/>
                    <w:pageBreakBefore w:val="0"/>
                    <w:widowControl/>
                    <w:suppressLineNumbers w:val="0"/>
                    <w:kinsoku/>
                    <w:wordWrap/>
                    <w:overflowPunct/>
                    <w:topLinePunct w:val="0"/>
                    <w:bidi w:val="0"/>
                    <w:adjustRightInd w:val="0"/>
                    <w:snapToGrid w:val="0"/>
                    <w:spacing w:before="0" w:beforeAutospacing="0" w:after="0" w:afterAutospacing="0" w:line="276" w:lineRule="auto"/>
                    <w:ind w:left="0" w:right="0"/>
                    <w:jc w:val="center"/>
                    <w:textAlignment w:val="center"/>
                    <w:rPr>
                      <w:rFonts w:hint="default" w:ascii="Times New Roman" w:hAnsi="Times New Roman" w:eastAsia="宋体" w:cs="Times New Roman"/>
                      <w:bCs/>
                      <w:i w:val="0"/>
                      <w:iCs w:val="0"/>
                      <w:color w:val="000000"/>
                      <w:kern w:val="0"/>
                      <w:sz w:val="18"/>
                      <w:szCs w:val="18"/>
                      <w:highlight w:val="none"/>
                      <w:u w:val="none"/>
                      <w:lang w:val="en-US" w:eastAsia="zh-CN" w:bidi="ar"/>
                    </w:rPr>
                  </w:pPr>
                  <w:r>
                    <w:rPr>
                      <w:rFonts w:hint="default" w:ascii="Times New Roman" w:hAnsi="Times New Roman" w:eastAsia="宋体" w:cs="Times New Roman"/>
                      <w:bCs/>
                      <w:i w:val="0"/>
                      <w:iCs w:val="0"/>
                      <w:color w:val="000000"/>
                      <w:kern w:val="0"/>
                      <w:sz w:val="18"/>
                      <w:szCs w:val="18"/>
                      <w:highlight w:val="none"/>
                      <w:u w:val="none"/>
                      <w:lang w:val="en-US" w:eastAsia="zh-CN" w:bidi="ar"/>
                    </w:rPr>
                    <w:t>半制备液相色谱仪</w:t>
                  </w:r>
                </w:p>
              </w:tc>
              <w:tc>
                <w:tcPr>
                  <w:tcW w:w="1436" w:type="pct"/>
                  <w:tcBorders>
                    <w:tl2br w:val="nil"/>
                    <w:tr2bl w:val="nil"/>
                  </w:tcBorders>
                  <w:shd w:val="clear" w:color="auto" w:fill="FFFFFF"/>
                  <w:noWrap/>
                  <w:vAlign w:val="center"/>
                </w:tcPr>
                <w:p w14:paraId="238B1DC7">
                  <w:pPr>
                    <w:keepNext w:val="0"/>
                    <w:keepLines w:val="0"/>
                    <w:pageBreakBefore w:val="0"/>
                    <w:suppressLineNumbers w:val="0"/>
                    <w:kinsoku/>
                    <w:wordWrap/>
                    <w:overflowPunct/>
                    <w:topLinePunct w:val="0"/>
                    <w:bidi w:val="0"/>
                    <w:adjustRightInd w:val="0"/>
                    <w:snapToGrid w:val="0"/>
                    <w:spacing w:before="0" w:beforeAutospacing="0" w:after="0" w:afterAutospacing="0" w:line="276" w:lineRule="auto"/>
                    <w:ind w:left="0" w:right="0"/>
                    <w:jc w:val="center"/>
                    <w:rPr>
                      <w:rFonts w:hint="default" w:ascii="Times New Roman" w:hAnsi="Times New Roman" w:eastAsia="宋体" w:cs="Times New Roman"/>
                      <w:bCs/>
                      <w:i w:val="0"/>
                      <w:iCs w:val="0"/>
                      <w:color w:val="000000"/>
                      <w:kern w:val="0"/>
                      <w:sz w:val="18"/>
                      <w:szCs w:val="18"/>
                      <w:highlight w:val="none"/>
                      <w:u w:val="none"/>
                      <w:lang w:val="en-US" w:eastAsia="zh-CN" w:bidi="ar"/>
                    </w:rPr>
                  </w:pPr>
                  <w:r>
                    <w:rPr>
                      <w:rFonts w:hint="default" w:ascii="Times New Roman" w:hAnsi="Times New Roman" w:eastAsia="宋体" w:cs="Times New Roman"/>
                      <w:bCs/>
                      <w:i w:val="0"/>
                      <w:iCs w:val="0"/>
                      <w:color w:val="000000"/>
                      <w:kern w:val="0"/>
                      <w:sz w:val="18"/>
                      <w:szCs w:val="18"/>
                      <w:highlight w:val="none"/>
                      <w:u w:val="none"/>
                      <w:lang w:val="en-US" w:eastAsia="zh-CN" w:bidi="ar"/>
                    </w:rPr>
                    <w:t>/</w:t>
                  </w:r>
                </w:p>
              </w:tc>
              <w:tc>
                <w:tcPr>
                  <w:tcW w:w="284" w:type="pct"/>
                  <w:tcBorders>
                    <w:tl2br w:val="nil"/>
                    <w:tr2bl w:val="nil"/>
                  </w:tcBorders>
                  <w:shd w:val="clear" w:color="auto" w:fill="FFFFFF"/>
                  <w:vAlign w:val="center"/>
                </w:tcPr>
                <w:p w14:paraId="1D3A5AF9">
                  <w:pPr>
                    <w:keepNext w:val="0"/>
                    <w:keepLines w:val="0"/>
                    <w:pageBreakBefore w:val="0"/>
                    <w:widowControl/>
                    <w:suppressLineNumbers w:val="0"/>
                    <w:kinsoku/>
                    <w:wordWrap/>
                    <w:overflowPunct/>
                    <w:topLinePunct w:val="0"/>
                    <w:bidi w:val="0"/>
                    <w:adjustRightInd w:val="0"/>
                    <w:snapToGrid w:val="0"/>
                    <w:spacing w:before="0" w:beforeAutospacing="0" w:after="0" w:afterAutospacing="0" w:line="276" w:lineRule="auto"/>
                    <w:ind w:left="0" w:right="0"/>
                    <w:jc w:val="center"/>
                    <w:textAlignment w:val="center"/>
                    <w:rPr>
                      <w:rFonts w:hint="default" w:ascii="Times New Roman" w:hAnsi="Times New Roman" w:eastAsia="宋体" w:cs="Times New Roman"/>
                      <w:bCs/>
                      <w:i w:val="0"/>
                      <w:iCs w:val="0"/>
                      <w:color w:val="000000"/>
                      <w:kern w:val="0"/>
                      <w:sz w:val="18"/>
                      <w:szCs w:val="18"/>
                      <w:highlight w:val="none"/>
                      <w:u w:val="none"/>
                      <w:lang w:val="en-US" w:eastAsia="zh-CN" w:bidi="ar"/>
                    </w:rPr>
                  </w:pPr>
                  <w:r>
                    <w:rPr>
                      <w:rFonts w:hint="default" w:ascii="Times New Roman" w:hAnsi="Times New Roman" w:eastAsia="宋体" w:cs="Times New Roman"/>
                      <w:bCs/>
                      <w:i w:val="0"/>
                      <w:iCs w:val="0"/>
                      <w:color w:val="000000"/>
                      <w:kern w:val="0"/>
                      <w:sz w:val="18"/>
                      <w:szCs w:val="18"/>
                      <w:highlight w:val="none"/>
                      <w:u w:val="none"/>
                      <w:lang w:val="en-US" w:eastAsia="zh-CN" w:bidi="ar"/>
                    </w:rPr>
                    <w:t>5</w:t>
                  </w:r>
                </w:p>
              </w:tc>
              <w:tc>
                <w:tcPr>
                  <w:tcW w:w="1678" w:type="pct"/>
                  <w:vMerge w:val="continue"/>
                  <w:tcBorders>
                    <w:tl2br w:val="nil"/>
                    <w:tr2bl w:val="nil"/>
                  </w:tcBorders>
                  <w:shd w:val="clear" w:color="auto" w:fill="FFFFFF"/>
                  <w:vAlign w:val="center"/>
                </w:tcPr>
                <w:p w14:paraId="65563D50">
                  <w:pPr>
                    <w:keepNext w:val="0"/>
                    <w:keepLines w:val="0"/>
                    <w:pageBreakBefore w:val="0"/>
                    <w:widowControl/>
                    <w:suppressLineNumbers w:val="0"/>
                    <w:kinsoku/>
                    <w:wordWrap/>
                    <w:overflowPunct/>
                    <w:topLinePunct w:val="0"/>
                    <w:bidi w:val="0"/>
                    <w:adjustRightInd w:val="0"/>
                    <w:snapToGrid w:val="0"/>
                    <w:spacing w:before="0" w:beforeAutospacing="0" w:after="0" w:afterAutospacing="0" w:line="276" w:lineRule="auto"/>
                    <w:ind w:left="0" w:right="0"/>
                    <w:jc w:val="center"/>
                    <w:textAlignment w:val="center"/>
                    <w:rPr>
                      <w:rFonts w:hint="default" w:ascii="Times New Roman" w:hAnsi="Times New Roman" w:eastAsia="宋体" w:cs="Times New Roman"/>
                      <w:i w:val="0"/>
                      <w:iCs w:val="0"/>
                      <w:color w:val="000000"/>
                      <w:kern w:val="0"/>
                      <w:sz w:val="18"/>
                      <w:szCs w:val="18"/>
                      <w:highlight w:val="none"/>
                      <w:u w:val="none"/>
                      <w:lang w:val="en-US" w:eastAsia="zh-CN" w:bidi="ar"/>
                    </w:rPr>
                  </w:pPr>
                </w:p>
              </w:tc>
            </w:tr>
            <w:tr w14:paraId="6F94FAC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FFFFFF"/>
                <w:tblCellMar>
                  <w:top w:w="0" w:type="dxa"/>
                  <w:left w:w="28" w:type="dxa"/>
                  <w:bottom w:w="0" w:type="dxa"/>
                  <w:right w:w="28" w:type="dxa"/>
                </w:tblCellMar>
              </w:tblPrEx>
              <w:trPr>
                <w:trHeight w:val="0" w:hRule="atLeast"/>
              </w:trPr>
              <w:tc>
                <w:tcPr>
                  <w:tcW w:w="235" w:type="pct"/>
                  <w:tcBorders>
                    <w:tl2br w:val="nil"/>
                    <w:tr2bl w:val="nil"/>
                  </w:tcBorders>
                  <w:shd w:val="clear" w:color="auto" w:fill="FFFFFF"/>
                  <w:noWrap/>
                  <w:vAlign w:val="center"/>
                </w:tcPr>
                <w:p w14:paraId="40298196">
                  <w:pPr>
                    <w:keepNext w:val="0"/>
                    <w:keepLines w:val="0"/>
                    <w:pageBreakBefore w:val="0"/>
                    <w:widowControl/>
                    <w:suppressLineNumbers w:val="0"/>
                    <w:kinsoku/>
                    <w:wordWrap/>
                    <w:overflowPunct/>
                    <w:topLinePunct w:val="0"/>
                    <w:bidi w:val="0"/>
                    <w:adjustRightInd w:val="0"/>
                    <w:snapToGrid w:val="0"/>
                    <w:spacing w:before="0" w:beforeAutospacing="0" w:after="0" w:afterAutospacing="0" w:line="276" w:lineRule="auto"/>
                    <w:ind w:left="0" w:right="0"/>
                    <w:jc w:val="center"/>
                    <w:textAlignment w:val="center"/>
                    <w:rPr>
                      <w:rFonts w:hint="default" w:ascii="Times New Roman" w:hAnsi="Times New Roman" w:eastAsia="宋体" w:cs="Times New Roman"/>
                      <w:bCs/>
                      <w:i w:val="0"/>
                      <w:iCs w:val="0"/>
                      <w:color w:val="000000"/>
                      <w:kern w:val="0"/>
                      <w:sz w:val="18"/>
                      <w:szCs w:val="18"/>
                      <w:highlight w:val="none"/>
                      <w:u w:val="none"/>
                      <w:lang w:val="en-US" w:eastAsia="zh-CN" w:bidi="ar"/>
                    </w:rPr>
                  </w:pPr>
                  <w:r>
                    <w:rPr>
                      <w:rFonts w:hint="default" w:ascii="Times New Roman" w:hAnsi="Times New Roman" w:eastAsia="宋体" w:cs="Times New Roman"/>
                      <w:bCs/>
                      <w:i w:val="0"/>
                      <w:iCs w:val="0"/>
                      <w:color w:val="000000"/>
                      <w:kern w:val="0"/>
                      <w:sz w:val="18"/>
                      <w:szCs w:val="18"/>
                      <w:highlight w:val="none"/>
                      <w:u w:val="none"/>
                      <w:lang w:val="en-US" w:eastAsia="zh-CN" w:bidi="ar"/>
                    </w:rPr>
                    <w:t>59</w:t>
                  </w:r>
                </w:p>
              </w:tc>
              <w:tc>
                <w:tcPr>
                  <w:tcW w:w="349" w:type="pct"/>
                  <w:vMerge w:val="continue"/>
                  <w:tcBorders>
                    <w:tl2br w:val="nil"/>
                    <w:tr2bl w:val="nil"/>
                  </w:tcBorders>
                  <w:shd w:val="clear" w:color="auto" w:fill="FFFFFF"/>
                  <w:vAlign w:val="center"/>
                </w:tcPr>
                <w:p w14:paraId="3529BE22">
                  <w:pPr>
                    <w:pStyle w:val="120"/>
                    <w:keepNext w:val="0"/>
                    <w:keepLines w:val="0"/>
                    <w:pageBreakBefore w:val="0"/>
                    <w:framePr w:hSpace="0" w:wrap="auto" w:vAnchor="margin" w:hAnchor="text" w:xAlign="left" w:yAlign="inline"/>
                    <w:suppressLineNumbers w:val="0"/>
                    <w:kinsoku/>
                    <w:wordWrap/>
                    <w:overflowPunct/>
                    <w:topLinePunct w:val="0"/>
                    <w:bidi w:val="0"/>
                    <w:adjustRightInd w:val="0"/>
                    <w:snapToGrid w:val="0"/>
                    <w:spacing w:before="0" w:beforeAutospacing="0" w:after="0" w:afterAutospacing="0" w:line="276" w:lineRule="auto"/>
                    <w:ind w:left="0" w:right="0"/>
                    <w:jc w:val="center"/>
                    <w:rPr>
                      <w:rFonts w:hint="default" w:ascii="Times New Roman" w:hAnsi="Times New Roman" w:eastAsia="宋体" w:cs="Times New Roman"/>
                      <w:bCs/>
                      <w:i w:val="0"/>
                      <w:iCs w:val="0"/>
                      <w:color w:val="000000"/>
                      <w:kern w:val="0"/>
                      <w:sz w:val="18"/>
                      <w:szCs w:val="18"/>
                      <w:highlight w:val="none"/>
                      <w:u w:val="none"/>
                      <w:lang w:val="en-US" w:eastAsia="zh-CN" w:bidi="ar"/>
                    </w:rPr>
                  </w:pPr>
                </w:p>
              </w:tc>
              <w:tc>
                <w:tcPr>
                  <w:tcW w:w="1015" w:type="pct"/>
                  <w:tcBorders>
                    <w:tl2br w:val="nil"/>
                    <w:tr2bl w:val="nil"/>
                  </w:tcBorders>
                  <w:shd w:val="clear" w:color="auto" w:fill="FFFFFF"/>
                  <w:vAlign w:val="center"/>
                </w:tcPr>
                <w:p w14:paraId="2ECE8D02">
                  <w:pPr>
                    <w:keepNext w:val="0"/>
                    <w:keepLines w:val="0"/>
                    <w:pageBreakBefore w:val="0"/>
                    <w:widowControl/>
                    <w:suppressLineNumbers w:val="0"/>
                    <w:kinsoku/>
                    <w:wordWrap/>
                    <w:overflowPunct/>
                    <w:topLinePunct w:val="0"/>
                    <w:bidi w:val="0"/>
                    <w:adjustRightInd w:val="0"/>
                    <w:snapToGrid w:val="0"/>
                    <w:spacing w:before="0" w:beforeAutospacing="0" w:after="0" w:afterAutospacing="0" w:line="276" w:lineRule="auto"/>
                    <w:ind w:left="0" w:right="0"/>
                    <w:jc w:val="center"/>
                    <w:textAlignment w:val="center"/>
                    <w:rPr>
                      <w:rFonts w:hint="default" w:ascii="Times New Roman" w:hAnsi="Times New Roman" w:eastAsia="宋体" w:cs="Times New Roman"/>
                      <w:bCs/>
                      <w:i w:val="0"/>
                      <w:iCs w:val="0"/>
                      <w:color w:val="000000"/>
                      <w:kern w:val="0"/>
                      <w:sz w:val="18"/>
                      <w:szCs w:val="18"/>
                      <w:highlight w:val="none"/>
                      <w:u w:val="none"/>
                      <w:lang w:val="en-US" w:eastAsia="zh-CN" w:bidi="ar"/>
                    </w:rPr>
                  </w:pPr>
                  <w:r>
                    <w:rPr>
                      <w:rFonts w:hint="default" w:ascii="Times New Roman" w:hAnsi="Times New Roman" w:eastAsia="宋体" w:cs="Times New Roman"/>
                      <w:bCs/>
                      <w:i w:val="0"/>
                      <w:iCs w:val="0"/>
                      <w:color w:val="000000"/>
                      <w:kern w:val="0"/>
                      <w:sz w:val="18"/>
                      <w:szCs w:val="18"/>
                      <w:highlight w:val="none"/>
                      <w:u w:val="none"/>
                      <w:lang w:val="en-US" w:eastAsia="zh-CN" w:bidi="ar"/>
                    </w:rPr>
                    <w:t>中压制备色谱仪</w:t>
                  </w:r>
                </w:p>
              </w:tc>
              <w:tc>
                <w:tcPr>
                  <w:tcW w:w="1436" w:type="pct"/>
                  <w:tcBorders>
                    <w:tl2br w:val="nil"/>
                    <w:tr2bl w:val="nil"/>
                  </w:tcBorders>
                  <w:shd w:val="clear" w:color="auto" w:fill="FFFFFF"/>
                  <w:noWrap/>
                  <w:vAlign w:val="center"/>
                </w:tcPr>
                <w:p w14:paraId="7E3F4879">
                  <w:pPr>
                    <w:keepNext w:val="0"/>
                    <w:keepLines w:val="0"/>
                    <w:pageBreakBefore w:val="0"/>
                    <w:suppressLineNumbers w:val="0"/>
                    <w:kinsoku/>
                    <w:wordWrap/>
                    <w:overflowPunct/>
                    <w:topLinePunct w:val="0"/>
                    <w:bidi w:val="0"/>
                    <w:adjustRightInd w:val="0"/>
                    <w:snapToGrid w:val="0"/>
                    <w:spacing w:before="0" w:beforeAutospacing="0" w:after="0" w:afterAutospacing="0" w:line="276" w:lineRule="auto"/>
                    <w:ind w:left="0" w:right="0"/>
                    <w:jc w:val="center"/>
                    <w:rPr>
                      <w:rFonts w:hint="default" w:ascii="Times New Roman" w:hAnsi="Times New Roman" w:eastAsia="宋体" w:cs="Times New Roman"/>
                      <w:bCs/>
                      <w:i w:val="0"/>
                      <w:iCs w:val="0"/>
                      <w:color w:val="000000"/>
                      <w:kern w:val="0"/>
                      <w:sz w:val="18"/>
                      <w:szCs w:val="18"/>
                      <w:highlight w:val="none"/>
                      <w:u w:val="none"/>
                      <w:lang w:val="en-US" w:eastAsia="zh-CN" w:bidi="ar"/>
                    </w:rPr>
                  </w:pPr>
                  <w:r>
                    <w:rPr>
                      <w:rFonts w:hint="default" w:ascii="Times New Roman" w:hAnsi="Times New Roman" w:eastAsia="宋体" w:cs="Times New Roman"/>
                      <w:bCs/>
                      <w:i w:val="0"/>
                      <w:iCs w:val="0"/>
                      <w:color w:val="000000"/>
                      <w:kern w:val="0"/>
                      <w:sz w:val="18"/>
                      <w:szCs w:val="18"/>
                      <w:highlight w:val="none"/>
                      <w:u w:val="none"/>
                      <w:lang w:val="en-US" w:eastAsia="zh-CN" w:bidi="ar"/>
                    </w:rPr>
                    <w:t>/</w:t>
                  </w:r>
                </w:p>
              </w:tc>
              <w:tc>
                <w:tcPr>
                  <w:tcW w:w="284" w:type="pct"/>
                  <w:tcBorders>
                    <w:tl2br w:val="nil"/>
                    <w:tr2bl w:val="nil"/>
                  </w:tcBorders>
                  <w:shd w:val="clear" w:color="auto" w:fill="FFFFFF"/>
                  <w:vAlign w:val="center"/>
                </w:tcPr>
                <w:p w14:paraId="5F601EE3">
                  <w:pPr>
                    <w:keepNext w:val="0"/>
                    <w:keepLines w:val="0"/>
                    <w:pageBreakBefore w:val="0"/>
                    <w:widowControl/>
                    <w:suppressLineNumbers w:val="0"/>
                    <w:kinsoku/>
                    <w:wordWrap/>
                    <w:overflowPunct/>
                    <w:topLinePunct w:val="0"/>
                    <w:bidi w:val="0"/>
                    <w:adjustRightInd w:val="0"/>
                    <w:snapToGrid w:val="0"/>
                    <w:spacing w:before="0" w:beforeAutospacing="0" w:after="0" w:afterAutospacing="0" w:line="276" w:lineRule="auto"/>
                    <w:ind w:left="0" w:right="0"/>
                    <w:jc w:val="center"/>
                    <w:textAlignment w:val="center"/>
                    <w:rPr>
                      <w:rFonts w:hint="default" w:ascii="Times New Roman" w:hAnsi="Times New Roman" w:eastAsia="宋体" w:cs="Times New Roman"/>
                      <w:bCs/>
                      <w:i w:val="0"/>
                      <w:iCs w:val="0"/>
                      <w:color w:val="000000"/>
                      <w:kern w:val="0"/>
                      <w:sz w:val="18"/>
                      <w:szCs w:val="18"/>
                      <w:highlight w:val="none"/>
                      <w:u w:val="none"/>
                      <w:lang w:val="en-US" w:eastAsia="zh-CN" w:bidi="ar"/>
                    </w:rPr>
                  </w:pPr>
                  <w:r>
                    <w:rPr>
                      <w:rFonts w:hint="default" w:ascii="Times New Roman" w:hAnsi="Times New Roman" w:eastAsia="宋体" w:cs="Times New Roman"/>
                      <w:bCs/>
                      <w:i w:val="0"/>
                      <w:iCs w:val="0"/>
                      <w:color w:val="000000"/>
                      <w:kern w:val="0"/>
                      <w:sz w:val="18"/>
                      <w:szCs w:val="18"/>
                      <w:highlight w:val="none"/>
                      <w:u w:val="none"/>
                      <w:lang w:val="en-US" w:eastAsia="zh-CN" w:bidi="ar"/>
                    </w:rPr>
                    <w:t>5</w:t>
                  </w:r>
                </w:p>
              </w:tc>
              <w:tc>
                <w:tcPr>
                  <w:tcW w:w="1678" w:type="pct"/>
                  <w:vMerge w:val="continue"/>
                  <w:tcBorders>
                    <w:tl2br w:val="nil"/>
                    <w:tr2bl w:val="nil"/>
                  </w:tcBorders>
                  <w:shd w:val="clear" w:color="auto" w:fill="FFFFFF"/>
                  <w:vAlign w:val="center"/>
                </w:tcPr>
                <w:p w14:paraId="2055F87D">
                  <w:pPr>
                    <w:keepNext w:val="0"/>
                    <w:keepLines w:val="0"/>
                    <w:pageBreakBefore w:val="0"/>
                    <w:widowControl/>
                    <w:suppressLineNumbers w:val="0"/>
                    <w:kinsoku/>
                    <w:wordWrap/>
                    <w:overflowPunct/>
                    <w:topLinePunct w:val="0"/>
                    <w:bidi w:val="0"/>
                    <w:adjustRightInd w:val="0"/>
                    <w:snapToGrid w:val="0"/>
                    <w:spacing w:before="0" w:beforeAutospacing="0" w:after="0" w:afterAutospacing="0" w:line="276" w:lineRule="auto"/>
                    <w:ind w:left="0" w:right="0"/>
                    <w:jc w:val="center"/>
                    <w:textAlignment w:val="center"/>
                    <w:rPr>
                      <w:rFonts w:hint="default" w:ascii="Times New Roman" w:hAnsi="Times New Roman" w:eastAsia="宋体" w:cs="Times New Roman"/>
                      <w:i w:val="0"/>
                      <w:iCs w:val="0"/>
                      <w:color w:val="000000"/>
                      <w:kern w:val="0"/>
                      <w:sz w:val="18"/>
                      <w:szCs w:val="18"/>
                      <w:highlight w:val="none"/>
                      <w:u w:val="none"/>
                      <w:lang w:val="en-US" w:eastAsia="zh-CN" w:bidi="ar"/>
                    </w:rPr>
                  </w:pPr>
                </w:p>
              </w:tc>
            </w:tr>
            <w:tr w14:paraId="6686F63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FFFFFF"/>
                <w:tblCellMar>
                  <w:top w:w="0" w:type="dxa"/>
                  <w:left w:w="28" w:type="dxa"/>
                  <w:bottom w:w="0" w:type="dxa"/>
                  <w:right w:w="28" w:type="dxa"/>
                </w:tblCellMar>
              </w:tblPrEx>
              <w:trPr>
                <w:trHeight w:val="0" w:hRule="atLeast"/>
              </w:trPr>
              <w:tc>
                <w:tcPr>
                  <w:tcW w:w="235" w:type="pct"/>
                  <w:tcBorders>
                    <w:tl2br w:val="nil"/>
                    <w:tr2bl w:val="nil"/>
                  </w:tcBorders>
                  <w:shd w:val="clear" w:color="auto" w:fill="FFFFFF"/>
                  <w:noWrap/>
                  <w:vAlign w:val="center"/>
                </w:tcPr>
                <w:p w14:paraId="1C724AF5">
                  <w:pPr>
                    <w:keepNext w:val="0"/>
                    <w:keepLines w:val="0"/>
                    <w:pageBreakBefore w:val="0"/>
                    <w:widowControl/>
                    <w:suppressLineNumbers w:val="0"/>
                    <w:kinsoku/>
                    <w:wordWrap/>
                    <w:overflowPunct/>
                    <w:topLinePunct w:val="0"/>
                    <w:bidi w:val="0"/>
                    <w:adjustRightInd w:val="0"/>
                    <w:snapToGrid w:val="0"/>
                    <w:spacing w:before="0" w:beforeAutospacing="0" w:after="0" w:afterAutospacing="0" w:line="276" w:lineRule="auto"/>
                    <w:ind w:left="0" w:right="0"/>
                    <w:jc w:val="center"/>
                    <w:textAlignment w:val="center"/>
                    <w:rPr>
                      <w:rFonts w:hint="default" w:ascii="Times New Roman" w:hAnsi="Times New Roman" w:eastAsia="宋体" w:cs="Times New Roman"/>
                      <w:bCs/>
                      <w:i w:val="0"/>
                      <w:iCs w:val="0"/>
                      <w:color w:val="000000"/>
                      <w:kern w:val="0"/>
                      <w:sz w:val="18"/>
                      <w:szCs w:val="18"/>
                      <w:highlight w:val="none"/>
                      <w:u w:val="none"/>
                      <w:lang w:val="en-US" w:eastAsia="zh-CN" w:bidi="ar"/>
                    </w:rPr>
                  </w:pPr>
                  <w:r>
                    <w:rPr>
                      <w:rFonts w:hint="default" w:ascii="Times New Roman" w:hAnsi="Times New Roman" w:eastAsia="宋体" w:cs="Times New Roman"/>
                      <w:bCs/>
                      <w:i w:val="0"/>
                      <w:iCs w:val="0"/>
                      <w:color w:val="000000"/>
                      <w:kern w:val="0"/>
                      <w:sz w:val="18"/>
                      <w:szCs w:val="18"/>
                      <w:highlight w:val="none"/>
                      <w:u w:val="none"/>
                      <w:lang w:val="en-US" w:eastAsia="zh-CN" w:bidi="ar"/>
                    </w:rPr>
                    <w:t>60</w:t>
                  </w:r>
                </w:p>
              </w:tc>
              <w:tc>
                <w:tcPr>
                  <w:tcW w:w="349" w:type="pct"/>
                  <w:vMerge w:val="continue"/>
                  <w:tcBorders>
                    <w:tl2br w:val="nil"/>
                    <w:tr2bl w:val="nil"/>
                  </w:tcBorders>
                  <w:shd w:val="clear" w:color="auto" w:fill="FFFFFF"/>
                  <w:vAlign w:val="center"/>
                </w:tcPr>
                <w:p w14:paraId="14A103A8">
                  <w:pPr>
                    <w:pStyle w:val="120"/>
                    <w:keepNext w:val="0"/>
                    <w:keepLines w:val="0"/>
                    <w:pageBreakBefore w:val="0"/>
                    <w:framePr w:hSpace="0" w:wrap="auto" w:vAnchor="margin" w:hAnchor="text" w:xAlign="left" w:yAlign="inline"/>
                    <w:suppressLineNumbers w:val="0"/>
                    <w:kinsoku/>
                    <w:wordWrap/>
                    <w:overflowPunct/>
                    <w:topLinePunct w:val="0"/>
                    <w:bidi w:val="0"/>
                    <w:adjustRightInd w:val="0"/>
                    <w:snapToGrid w:val="0"/>
                    <w:spacing w:before="0" w:beforeAutospacing="0" w:after="0" w:afterAutospacing="0" w:line="276" w:lineRule="auto"/>
                    <w:ind w:left="0" w:right="0"/>
                    <w:jc w:val="center"/>
                    <w:rPr>
                      <w:rFonts w:hint="default" w:ascii="Times New Roman" w:hAnsi="Times New Roman" w:eastAsia="宋体" w:cs="Times New Roman"/>
                      <w:bCs/>
                      <w:i w:val="0"/>
                      <w:iCs w:val="0"/>
                      <w:color w:val="000000"/>
                      <w:kern w:val="0"/>
                      <w:sz w:val="18"/>
                      <w:szCs w:val="18"/>
                      <w:highlight w:val="none"/>
                      <w:u w:val="none"/>
                      <w:lang w:val="en-US" w:eastAsia="zh-CN" w:bidi="ar"/>
                    </w:rPr>
                  </w:pPr>
                </w:p>
              </w:tc>
              <w:tc>
                <w:tcPr>
                  <w:tcW w:w="1015" w:type="pct"/>
                  <w:tcBorders>
                    <w:tl2br w:val="nil"/>
                    <w:tr2bl w:val="nil"/>
                  </w:tcBorders>
                  <w:shd w:val="clear" w:color="auto" w:fill="FFFFFF"/>
                  <w:vAlign w:val="center"/>
                </w:tcPr>
                <w:p w14:paraId="2E52723D">
                  <w:pPr>
                    <w:keepNext w:val="0"/>
                    <w:keepLines w:val="0"/>
                    <w:pageBreakBefore w:val="0"/>
                    <w:widowControl/>
                    <w:suppressLineNumbers w:val="0"/>
                    <w:kinsoku/>
                    <w:wordWrap/>
                    <w:overflowPunct/>
                    <w:topLinePunct w:val="0"/>
                    <w:bidi w:val="0"/>
                    <w:adjustRightInd w:val="0"/>
                    <w:snapToGrid w:val="0"/>
                    <w:spacing w:before="0" w:beforeAutospacing="0" w:after="0" w:afterAutospacing="0" w:line="276" w:lineRule="auto"/>
                    <w:ind w:left="0" w:right="0"/>
                    <w:jc w:val="center"/>
                    <w:textAlignment w:val="center"/>
                    <w:rPr>
                      <w:rFonts w:hint="default" w:ascii="Times New Roman" w:hAnsi="Times New Roman" w:eastAsia="宋体" w:cs="Times New Roman"/>
                      <w:bCs/>
                      <w:i w:val="0"/>
                      <w:iCs w:val="0"/>
                      <w:color w:val="000000"/>
                      <w:kern w:val="0"/>
                      <w:sz w:val="18"/>
                      <w:szCs w:val="18"/>
                      <w:highlight w:val="none"/>
                      <w:u w:val="none"/>
                      <w:lang w:val="en-US" w:eastAsia="zh-CN" w:bidi="ar"/>
                    </w:rPr>
                  </w:pPr>
                  <w:r>
                    <w:rPr>
                      <w:rFonts w:hint="default" w:ascii="Times New Roman" w:hAnsi="Times New Roman" w:eastAsia="宋体" w:cs="Times New Roman"/>
                      <w:bCs/>
                      <w:i w:val="0"/>
                      <w:iCs w:val="0"/>
                      <w:color w:val="000000"/>
                      <w:kern w:val="0"/>
                      <w:sz w:val="18"/>
                      <w:szCs w:val="18"/>
                      <w:highlight w:val="none"/>
                      <w:u w:val="none"/>
                      <w:lang w:val="en-US" w:eastAsia="zh-CN" w:bidi="ar"/>
                    </w:rPr>
                    <w:t>微波合成仪</w:t>
                  </w:r>
                </w:p>
              </w:tc>
              <w:tc>
                <w:tcPr>
                  <w:tcW w:w="1436" w:type="pct"/>
                  <w:tcBorders>
                    <w:tl2br w:val="nil"/>
                    <w:tr2bl w:val="nil"/>
                  </w:tcBorders>
                  <w:shd w:val="clear" w:color="auto" w:fill="FFFFFF"/>
                  <w:noWrap/>
                  <w:vAlign w:val="center"/>
                </w:tcPr>
                <w:p w14:paraId="53E3D549">
                  <w:pPr>
                    <w:keepNext w:val="0"/>
                    <w:keepLines w:val="0"/>
                    <w:pageBreakBefore w:val="0"/>
                    <w:suppressLineNumbers w:val="0"/>
                    <w:kinsoku/>
                    <w:wordWrap/>
                    <w:overflowPunct/>
                    <w:topLinePunct w:val="0"/>
                    <w:bidi w:val="0"/>
                    <w:adjustRightInd w:val="0"/>
                    <w:snapToGrid w:val="0"/>
                    <w:spacing w:before="0" w:beforeAutospacing="0" w:after="0" w:afterAutospacing="0" w:line="276" w:lineRule="auto"/>
                    <w:ind w:left="0" w:right="0"/>
                    <w:jc w:val="center"/>
                    <w:rPr>
                      <w:rFonts w:hint="default" w:ascii="Times New Roman" w:hAnsi="Times New Roman" w:eastAsia="宋体" w:cs="Times New Roman"/>
                      <w:bCs/>
                      <w:i w:val="0"/>
                      <w:iCs w:val="0"/>
                      <w:color w:val="000000"/>
                      <w:kern w:val="0"/>
                      <w:sz w:val="18"/>
                      <w:szCs w:val="18"/>
                      <w:highlight w:val="none"/>
                      <w:u w:val="none"/>
                      <w:lang w:val="en-US" w:eastAsia="zh-CN" w:bidi="ar"/>
                    </w:rPr>
                  </w:pPr>
                  <w:r>
                    <w:rPr>
                      <w:rFonts w:hint="default" w:ascii="Times New Roman" w:hAnsi="Times New Roman" w:eastAsia="宋体" w:cs="Times New Roman"/>
                      <w:bCs/>
                      <w:i w:val="0"/>
                      <w:iCs w:val="0"/>
                      <w:color w:val="000000"/>
                      <w:kern w:val="0"/>
                      <w:sz w:val="18"/>
                      <w:szCs w:val="18"/>
                      <w:highlight w:val="none"/>
                      <w:u w:val="none"/>
                      <w:lang w:val="en-US" w:eastAsia="zh-CN" w:bidi="ar"/>
                    </w:rPr>
                    <w:t>/</w:t>
                  </w:r>
                </w:p>
              </w:tc>
              <w:tc>
                <w:tcPr>
                  <w:tcW w:w="284" w:type="pct"/>
                  <w:tcBorders>
                    <w:tl2br w:val="nil"/>
                    <w:tr2bl w:val="nil"/>
                  </w:tcBorders>
                  <w:shd w:val="clear" w:color="auto" w:fill="FFFFFF"/>
                  <w:vAlign w:val="center"/>
                </w:tcPr>
                <w:p w14:paraId="15CD2E02">
                  <w:pPr>
                    <w:keepNext w:val="0"/>
                    <w:keepLines w:val="0"/>
                    <w:pageBreakBefore w:val="0"/>
                    <w:widowControl/>
                    <w:suppressLineNumbers w:val="0"/>
                    <w:kinsoku/>
                    <w:wordWrap/>
                    <w:overflowPunct/>
                    <w:topLinePunct w:val="0"/>
                    <w:bidi w:val="0"/>
                    <w:adjustRightInd w:val="0"/>
                    <w:snapToGrid w:val="0"/>
                    <w:spacing w:before="0" w:beforeAutospacing="0" w:after="0" w:afterAutospacing="0" w:line="276" w:lineRule="auto"/>
                    <w:ind w:left="0" w:right="0"/>
                    <w:jc w:val="center"/>
                    <w:textAlignment w:val="center"/>
                    <w:rPr>
                      <w:rFonts w:hint="default" w:ascii="Times New Roman" w:hAnsi="Times New Roman" w:eastAsia="宋体" w:cs="Times New Roman"/>
                      <w:bCs/>
                      <w:i w:val="0"/>
                      <w:iCs w:val="0"/>
                      <w:color w:val="000000"/>
                      <w:kern w:val="0"/>
                      <w:sz w:val="18"/>
                      <w:szCs w:val="18"/>
                      <w:highlight w:val="none"/>
                      <w:u w:val="none"/>
                      <w:lang w:val="en-US" w:eastAsia="zh-CN" w:bidi="ar"/>
                    </w:rPr>
                  </w:pPr>
                  <w:r>
                    <w:rPr>
                      <w:rFonts w:hint="default" w:ascii="Times New Roman" w:hAnsi="Times New Roman" w:eastAsia="宋体" w:cs="Times New Roman"/>
                      <w:bCs/>
                      <w:i w:val="0"/>
                      <w:iCs w:val="0"/>
                      <w:color w:val="000000"/>
                      <w:kern w:val="0"/>
                      <w:sz w:val="18"/>
                      <w:szCs w:val="18"/>
                      <w:highlight w:val="none"/>
                      <w:u w:val="none"/>
                      <w:lang w:val="en-US" w:eastAsia="zh-CN" w:bidi="ar"/>
                    </w:rPr>
                    <w:t>1</w:t>
                  </w:r>
                </w:p>
              </w:tc>
              <w:tc>
                <w:tcPr>
                  <w:tcW w:w="1678" w:type="pct"/>
                  <w:vMerge w:val="continue"/>
                  <w:tcBorders>
                    <w:tl2br w:val="nil"/>
                    <w:tr2bl w:val="nil"/>
                  </w:tcBorders>
                  <w:shd w:val="clear" w:color="auto" w:fill="FFFFFF"/>
                  <w:vAlign w:val="center"/>
                </w:tcPr>
                <w:p w14:paraId="14672ED4">
                  <w:pPr>
                    <w:keepNext w:val="0"/>
                    <w:keepLines w:val="0"/>
                    <w:pageBreakBefore w:val="0"/>
                    <w:widowControl/>
                    <w:suppressLineNumbers w:val="0"/>
                    <w:kinsoku/>
                    <w:wordWrap/>
                    <w:overflowPunct/>
                    <w:topLinePunct w:val="0"/>
                    <w:bidi w:val="0"/>
                    <w:adjustRightInd w:val="0"/>
                    <w:snapToGrid w:val="0"/>
                    <w:spacing w:before="0" w:beforeAutospacing="0" w:after="0" w:afterAutospacing="0" w:line="276" w:lineRule="auto"/>
                    <w:ind w:left="0" w:right="0"/>
                    <w:jc w:val="center"/>
                    <w:textAlignment w:val="center"/>
                    <w:rPr>
                      <w:rFonts w:hint="default" w:ascii="Times New Roman" w:hAnsi="Times New Roman" w:eastAsia="宋体" w:cs="Times New Roman"/>
                      <w:i w:val="0"/>
                      <w:iCs w:val="0"/>
                      <w:color w:val="000000"/>
                      <w:kern w:val="0"/>
                      <w:sz w:val="18"/>
                      <w:szCs w:val="18"/>
                      <w:highlight w:val="none"/>
                      <w:u w:val="none"/>
                      <w:lang w:val="en-US" w:eastAsia="zh-CN" w:bidi="ar"/>
                    </w:rPr>
                  </w:pPr>
                </w:p>
              </w:tc>
            </w:tr>
            <w:tr w14:paraId="6CD4FCC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0" w:hRule="atLeast"/>
              </w:trPr>
              <w:tc>
                <w:tcPr>
                  <w:tcW w:w="235" w:type="pct"/>
                  <w:tcBorders>
                    <w:tl2br w:val="nil"/>
                    <w:tr2bl w:val="nil"/>
                  </w:tcBorders>
                  <w:shd w:val="clear" w:color="auto" w:fill="FFFFFF"/>
                  <w:noWrap/>
                  <w:vAlign w:val="center"/>
                </w:tcPr>
                <w:p w14:paraId="429E5755">
                  <w:pPr>
                    <w:keepNext w:val="0"/>
                    <w:keepLines w:val="0"/>
                    <w:pageBreakBefore w:val="0"/>
                    <w:widowControl/>
                    <w:suppressLineNumbers w:val="0"/>
                    <w:kinsoku/>
                    <w:wordWrap/>
                    <w:overflowPunct/>
                    <w:topLinePunct w:val="0"/>
                    <w:bidi w:val="0"/>
                    <w:adjustRightInd w:val="0"/>
                    <w:snapToGrid w:val="0"/>
                    <w:spacing w:before="0" w:beforeAutospacing="0" w:after="0" w:afterAutospacing="0" w:line="276" w:lineRule="auto"/>
                    <w:ind w:left="0" w:right="0"/>
                    <w:jc w:val="center"/>
                    <w:textAlignment w:val="center"/>
                    <w:rPr>
                      <w:rFonts w:hint="default" w:ascii="Times New Roman" w:hAnsi="Times New Roman" w:eastAsia="宋体" w:cs="Times New Roman"/>
                      <w:bCs/>
                      <w:i w:val="0"/>
                      <w:iCs w:val="0"/>
                      <w:color w:val="000000"/>
                      <w:kern w:val="0"/>
                      <w:sz w:val="18"/>
                      <w:szCs w:val="18"/>
                      <w:highlight w:val="none"/>
                      <w:u w:val="none"/>
                      <w:lang w:val="en-US" w:eastAsia="zh-CN" w:bidi="ar"/>
                    </w:rPr>
                  </w:pPr>
                  <w:r>
                    <w:rPr>
                      <w:rFonts w:hint="default" w:ascii="Times New Roman" w:hAnsi="Times New Roman" w:eastAsia="宋体" w:cs="Times New Roman"/>
                      <w:bCs/>
                      <w:i w:val="0"/>
                      <w:iCs w:val="0"/>
                      <w:color w:val="000000"/>
                      <w:kern w:val="0"/>
                      <w:sz w:val="18"/>
                      <w:szCs w:val="18"/>
                      <w:highlight w:val="none"/>
                      <w:u w:val="none"/>
                      <w:lang w:val="en-US" w:eastAsia="zh-CN" w:bidi="ar"/>
                    </w:rPr>
                    <w:t>61</w:t>
                  </w:r>
                </w:p>
              </w:tc>
              <w:tc>
                <w:tcPr>
                  <w:tcW w:w="349" w:type="pct"/>
                  <w:vMerge w:val="continue"/>
                  <w:tcBorders>
                    <w:tl2br w:val="nil"/>
                    <w:tr2bl w:val="nil"/>
                  </w:tcBorders>
                  <w:shd w:val="clear" w:color="auto" w:fill="FFFFFF"/>
                  <w:vAlign w:val="center"/>
                </w:tcPr>
                <w:p w14:paraId="75C482DC">
                  <w:pPr>
                    <w:pStyle w:val="120"/>
                    <w:keepNext w:val="0"/>
                    <w:keepLines w:val="0"/>
                    <w:pageBreakBefore w:val="0"/>
                    <w:framePr w:hSpace="0" w:wrap="auto" w:vAnchor="margin" w:hAnchor="text" w:xAlign="left" w:yAlign="inline"/>
                    <w:suppressLineNumbers w:val="0"/>
                    <w:kinsoku/>
                    <w:wordWrap/>
                    <w:overflowPunct/>
                    <w:topLinePunct w:val="0"/>
                    <w:bidi w:val="0"/>
                    <w:adjustRightInd w:val="0"/>
                    <w:snapToGrid w:val="0"/>
                    <w:spacing w:before="0" w:beforeAutospacing="0" w:after="0" w:afterAutospacing="0" w:line="276" w:lineRule="auto"/>
                    <w:ind w:left="0" w:right="0"/>
                    <w:jc w:val="center"/>
                    <w:rPr>
                      <w:rFonts w:hint="default" w:ascii="Times New Roman" w:hAnsi="Times New Roman" w:eastAsia="宋体" w:cs="Times New Roman"/>
                      <w:bCs/>
                      <w:i w:val="0"/>
                      <w:iCs w:val="0"/>
                      <w:color w:val="000000"/>
                      <w:kern w:val="0"/>
                      <w:sz w:val="18"/>
                      <w:szCs w:val="18"/>
                      <w:highlight w:val="none"/>
                      <w:u w:val="none"/>
                      <w:lang w:val="en-US" w:eastAsia="zh-CN" w:bidi="ar"/>
                    </w:rPr>
                  </w:pPr>
                </w:p>
              </w:tc>
              <w:tc>
                <w:tcPr>
                  <w:tcW w:w="1015" w:type="pct"/>
                  <w:tcBorders>
                    <w:tl2br w:val="nil"/>
                    <w:tr2bl w:val="nil"/>
                  </w:tcBorders>
                  <w:shd w:val="clear" w:color="auto" w:fill="FFFFFF"/>
                  <w:vAlign w:val="center"/>
                </w:tcPr>
                <w:p w14:paraId="17A103B6">
                  <w:pPr>
                    <w:keepNext w:val="0"/>
                    <w:keepLines w:val="0"/>
                    <w:pageBreakBefore w:val="0"/>
                    <w:widowControl/>
                    <w:suppressLineNumbers w:val="0"/>
                    <w:kinsoku/>
                    <w:wordWrap/>
                    <w:overflowPunct/>
                    <w:topLinePunct w:val="0"/>
                    <w:bidi w:val="0"/>
                    <w:adjustRightInd w:val="0"/>
                    <w:snapToGrid w:val="0"/>
                    <w:spacing w:before="0" w:beforeAutospacing="0" w:after="0" w:afterAutospacing="0" w:line="276" w:lineRule="auto"/>
                    <w:ind w:left="0" w:right="0"/>
                    <w:jc w:val="center"/>
                    <w:textAlignment w:val="center"/>
                    <w:rPr>
                      <w:rFonts w:hint="default" w:ascii="Times New Roman" w:hAnsi="Times New Roman" w:eastAsia="宋体" w:cs="Times New Roman"/>
                      <w:bCs/>
                      <w:i w:val="0"/>
                      <w:iCs w:val="0"/>
                      <w:color w:val="000000"/>
                      <w:kern w:val="0"/>
                      <w:sz w:val="18"/>
                      <w:szCs w:val="18"/>
                      <w:highlight w:val="none"/>
                      <w:u w:val="none"/>
                      <w:lang w:val="en-US" w:eastAsia="zh-CN" w:bidi="ar"/>
                    </w:rPr>
                  </w:pPr>
                  <w:r>
                    <w:rPr>
                      <w:rFonts w:hint="default" w:ascii="Times New Roman" w:hAnsi="Times New Roman" w:eastAsia="宋体" w:cs="Times New Roman"/>
                      <w:bCs/>
                      <w:i w:val="0"/>
                      <w:iCs w:val="0"/>
                      <w:color w:val="000000"/>
                      <w:kern w:val="0"/>
                      <w:sz w:val="18"/>
                      <w:szCs w:val="18"/>
                      <w:highlight w:val="none"/>
                      <w:u w:val="none"/>
                      <w:lang w:val="en-US" w:eastAsia="zh-CN" w:bidi="ar"/>
                    </w:rPr>
                    <w:t>旋转蒸发仪</w:t>
                  </w:r>
                </w:p>
              </w:tc>
              <w:tc>
                <w:tcPr>
                  <w:tcW w:w="1436" w:type="pct"/>
                  <w:tcBorders>
                    <w:tl2br w:val="nil"/>
                    <w:tr2bl w:val="nil"/>
                  </w:tcBorders>
                  <w:shd w:val="clear" w:color="auto" w:fill="FFFFFF"/>
                  <w:noWrap/>
                  <w:vAlign w:val="center"/>
                </w:tcPr>
                <w:p w14:paraId="4B4088E8">
                  <w:pPr>
                    <w:keepNext w:val="0"/>
                    <w:keepLines w:val="0"/>
                    <w:pageBreakBefore w:val="0"/>
                    <w:suppressLineNumbers w:val="0"/>
                    <w:kinsoku/>
                    <w:wordWrap/>
                    <w:overflowPunct/>
                    <w:topLinePunct w:val="0"/>
                    <w:bidi w:val="0"/>
                    <w:adjustRightInd w:val="0"/>
                    <w:snapToGrid w:val="0"/>
                    <w:spacing w:before="0" w:beforeAutospacing="0" w:after="0" w:afterAutospacing="0" w:line="276" w:lineRule="auto"/>
                    <w:ind w:left="0" w:right="0"/>
                    <w:jc w:val="center"/>
                    <w:rPr>
                      <w:rFonts w:hint="default" w:ascii="Times New Roman" w:hAnsi="Times New Roman" w:eastAsia="宋体" w:cs="Times New Roman"/>
                      <w:bCs/>
                      <w:i w:val="0"/>
                      <w:iCs w:val="0"/>
                      <w:color w:val="000000"/>
                      <w:kern w:val="0"/>
                      <w:sz w:val="18"/>
                      <w:szCs w:val="18"/>
                      <w:highlight w:val="none"/>
                      <w:u w:val="none"/>
                      <w:lang w:val="en-US" w:eastAsia="zh-CN" w:bidi="ar"/>
                    </w:rPr>
                  </w:pPr>
                  <w:r>
                    <w:rPr>
                      <w:rFonts w:hint="default" w:ascii="Times New Roman" w:hAnsi="Times New Roman" w:eastAsia="宋体" w:cs="Times New Roman"/>
                      <w:bCs/>
                      <w:i w:val="0"/>
                      <w:iCs w:val="0"/>
                      <w:color w:val="000000"/>
                      <w:kern w:val="0"/>
                      <w:sz w:val="18"/>
                      <w:szCs w:val="18"/>
                      <w:highlight w:val="none"/>
                      <w:u w:val="none"/>
                      <w:lang w:val="en-US" w:eastAsia="zh-CN" w:bidi="ar"/>
                    </w:rPr>
                    <w:t>/</w:t>
                  </w:r>
                </w:p>
              </w:tc>
              <w:tc>
                <w:tcPr>
                  <w:tcW w:w="284" w:type="pct"/>
                  <w:tcBorders>
                    <w:tl2br w:val="nil"/>
                    <w:tr2bl w:val="nil"/>
                  </w:tcBorders>
                  <w:shd w:val="clear" w:color="auto" w:fill="FFFFFF"/>
                  <w:vAlign w:val="center"/>
                </w:tcPr>
                <w:p w14:paraId="5DF8EF69">
                  <w:pPr>
                    <w:keepNext w:val="0"/>
                    <w:keepLines w:val="0"/>
                    <w:pageBreakBefore w:val="0"/>
                    <w:widowControl/>
                    <w:suppressLineNumbers w:val="0"/>
                    <w:kinsoku/>
                    <w:wordWrap/>
                    <w:overflowPunct/>
                    <w:topLinePunct w:val="0"/>
                    <w:bidi w:val="0"/>
                    <w:adjustRightInd w:val="0"/>
                    <w:snapToGrid w:val="0"/>
                    <w:spacing w:before="0" w:beforeAutospacing="0" w:after="0" w:afterAutospacing="0" w:line="276" w:lineRule="auto"/>
                    <w:ind w:left="0" w:right="0"/>
                    <w:jc w:val="center"/>
                    <w:textAlignment w:val="center"/>
                    <w:rPr>
                      <w:rFonts w:hint="default" w:ascii="Times New Roman" w:hAnsi="Times New Roman" w:eastAsia="宋体" w:cs="Times New Roman"/>
                      <w:bCs/>
                      <w:i w:val="0"/>
                      <w:iCs w:val="0"/>
                      <w:color w:val="000000"/>
                      <w:kern w:val="0"/>
                      <w:sz w:val="18"/>
                      <w:szCs w:val="18"/>
                      <w:highlight w:val="none"/>
                      <w:u w:val="none"/>
                      <w:lang w:val="en-US" w:eastAsia="zh-CN" w:bidi="ar"/>
                    </w:rPr>
                  </w:pPr>
                  <w:r>
                    <w:rPr>
                      <w:rFonts w:hint="default" w:ascii="Times New Roman" w:hAnsi="Times New Roman" w:eastAsia="宋体" w:cs="Times New Roman"/>
                      <w:bCs/>
                      <w:i w:val="0"/>
                      <w:iCs w:val="0"/>
                      <w:color w:val="000000"/>
                      <w:kern w:val="0"/>
                      <w:sz w:val="18"/>
                      <w:szCs w:val="18"/>
                      <w:highlight w:val="none"/>
                      <w:u w:val="none"/>
                      <w:lang w:val="en-US" w:eastAsia="zh-CN" w:bidi="ar"/>
                    </w:rPr>
                    <w:t>10</w:t>
                  </w:r>
                </w:p>
              </w:tc>
              <w:tc>
                <w:tcPr>
                  <w:tcW w:w="1678" w:type="pct"/>
                  <w:vMerge w:val="continue"/>
                  <w:tcBorders>
                    <w:tl2br w:val="nil"/>
                    <w:tr2bl w:val="nil"/>
                  </w:tcBorders>
                  <w:shd w:val="clear" w:color="auto" w:fill="FFFFFF"/>
                  <w:vAlign w:val="center"/>
                </w:tcPr>
                <w:p w14:paraId="1C51309D">
                  <w:pPr>
                    <w:keepNext w:val="0"/>
                    <w:keepLines w:val="0"/>
                    <w:pageBreakBefore w:val="0"/>
                    <w:widowControl/>
                    <w:suppressLineNumbers w:val="0"/>
                    <w:kinsoku/>
                    <w:wordWrap/>
                    <w:overflowPunct/>
                    <w:topLinePunct w:val="0"/>
                    <w:bidi w:val="0"/>
                    <w:adjustRightInd w:val="0"/>
                    <w:snapToGrid w:val="0"/>
                    <w:spacing w:before="0" w:beforeAutospacing="0" w:after="0" w:afterAutospacing="0" w:line="276" w:lineRule="auto"/>
                    <w:ind w:left="0" w:right="0"/>
                    <w:jc w:val="center"/>
                    <w:textAlignment w:val="center"/>
                    <w:rPr>
                      <w:rFonts w:hint="default" w:ascii="Times New Roman" w:hAnsi="Times New Roman" w:eastAsia="宋体" w:cs="Times New Roman"/>
                      <w:i w:val="0"/>
                      <w:iCs w:val="0"/>
                      <w:color w:val="000000"/>
                      <w:kern w:val="0"/>
                      <w:sz w:val="18"/>
                      <w:szCs w:val="18"/>
                      <w:highlight w:val="none"/>
                      <w:u w:val="none"/>
                      <w:lang w:val="en-US" w:eastAsia="zh-CN" w:bidi="ar"/>
                    </w:rPr>
                  </w:pPr>
                </w:p>
              </w:tc>
            </w:tr>
            <w:tr w14:paraId="2A03C97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FFFFFF"/>
                <w:tblCellMar>
                  <w:top w:w="0" w:type="dxa"/>
                  <w:left w:w="28" w:type="dxa"/>
                  <w:bottom w:w="0" w:type="dxa"/>
                  <w:right w:w="28" w:type="dxa"/>
                </w:tblCellMar>
              </w:tblPrEx>
              <w:trPr>
                <w:trHeight w:val="0" w:hRule="atLeast"/>
              </w:trPr>
              <w:tc>
                <w:tcPr>
                  <w:tcW w:w="235" w:type="pct"/>
                  <w:tcBorders>
                    <w:tl2br w:val="nil"/>
                    <w:tr2bl w:val="nil"/>
                  </w:tcBorders>
                  <w:shd w:val="clear" w:color="auto" w:fill="FFFFFF"/>
                  <w:noWrap/>
                  <w:vAlign w:val="center"/>
                </w:tcPr>
                <w:p w14:paraId="110DB712">
                  <w:pPr>
                    <w:keepNext w:val="0"/>
                    <w:keepLines w:val="0"/>
                    <w:pageBreakBefore w:val="0"/>
                    <w:widowControl/>
                    <w:suppressLineNumbers w:val="0"/>
                    <w:kinsoku/>
                    <w:wordWrap/>
                    <w:overflowPunct/>
                    <w:topLinePunct w:val="0"/>
                    <w:bidi w:val="0"/>
                    <w:adjustRightInd w:val="0"/>
                    <w:snapToGrid w:val="0"/>
                    <w:spacing w:before="0" w:beforeAutospacing="0" w:after="0" w:afterAutospacing="0" w:line="276" w:lineRule="auto"/>
                    <w:ind w:left="0" w:right="0"/>
                    <w:jc w:val="center"/>
                    <w:textAlignment w:val="center"/>
                    <w:rPr>
                      <w:rFonts w:hint="default" w:ascii="Times New Roman" w:hAnsi="Times New Roman" w:eastAsia="宋体" w:cs="Times New Roman"/>
                      <w:bCs/>
                      <w:i w:val="0"/>
                      <w:iCs w:val="0"/>
                      <w:color w:val="000000"/>
                      <w:kern w:val="0"/>
                      <w:sz w:val="18"/>
                      <w:szCs w:val="18"/>
                      <w:highlight w:val="none"/>
                      <w:u w:val="none"/>
                      <w:lang w:val="en-US" w:eastAsia="zh-CN" w:bidi="ar"/>
                    </w:rPr>
                  </w:pPr>
                  <w:r>
                    <w:rPr>
                      <w:rFonts w:hint="default" w:ascii="Times New Roman" w:hAnsi="Times New Roman" w:eastAsia="宋体" w:cs="Times New Roman"/>
                      <w:bCs/>
                      <w:i w:val="0"/>
                      <w:iCs w:val="0"/>
                      <w:color w:val="000000"/>
                      <w:kern w:val="0"/>
                      <w:sz w:val="18"/>
                      <w:szCs w:val="18"/>
                      <w:highlight w:val="none"/>
                      <w:u w:val="none"/>
                      <w:lang w:val="en-US" w:eastAsia="zh-CN" w:bidi="ar"/>
                    </w:rPr>
                    <w:t>62</w:t>
                  </w:r>
                </w:p>
              </w:tc>
              <w:tc>
                <w:tcPr>
                  <w:tcW w:w="349" w:type="pct"/>
                  <w:vMerge w:val="continue"/>
                  <w:tcBorders>
                    <w:tl2br w:val="nil"/>
                    <w:tr2bl w:val="nil"/>
                  </w:tcBorders>
                  <w:shd w:val="clear" w:color="auto" w:fill="FFFFFF"/>
                  <w:vAlign w:val="center"/>
                </w:tcPr>
                <w:p w14:paraId="251EBB21">
                  <w:pPr>
                    <w:pStyle w:val="120"/>
                    <w:keepNext w:val="0"/>
                    <w:keepLines w:val="0"/>
                    <w:pageBreakBefore w:val="0"/>
                    <w:framePr w:hSpace="0" w:wrap="auto" w:vAnchor="margin" w:hAnchor="text" w:xAlign="left" w:yAlign="inline"/>
                    <w:suppressLineNumbers w:val="0"/>
                    <w:kinsoku/>
                    <w:wordWrap/>
                    <w:overflowPunct/>
                    <w:topLinePunct w:val="0"/>
                    <w:bidi w:val="0"/>
                    <w:adjustRightInd w:val="0"/>
                    <w:snapToGrid w:val="0"/>
                    <w:spacing w:before="0" w:beforeAutospacing="0" w:after="0" w:afterAutospacing="0" w:line="276" w:lineRule="auto"/>
                    <w:ind w:left="0" w:right="0"/>
                    <w:jc w:val="center"/>
                    <w:rPr>
                      <w:rFonts w:hint="default" w:ascii="Times New Roman" w:hAnsi="Times New Roman" w:eastAsia="宋体" w:cs="Times New Roman"/>
                      <w:bCs/>
                      <w:i w:val="0"/>
                      <w:iCs w:val="0"/>
                      <w:color w:val="000000"/>
                      <w:kern w:val="0"/>
                      <w:sz w:val="18"/>
                      <w:szCs w:val="18"/>
                      <w:highlight w:val="none"/>
                      <w:u w:val="none"/>
                      <w:lang w:val="en-US" w:eastAsia="zh-CN" w:bidi="ar"/>
                    </w:rPr>
                  </w:pPr>
                </w:p>
              </w:tc>
              <w:tc>
                <w:tcPr>
                  <w:tcW w:w="1015" w:type="pct"/>
                  <w:tcBorders>
                    <w:tl2br w:val="nil"/>
                    <w:tr2bl w:val="nil"/>
                  </w:tcBorders>
                  <w:shd w:val="clear" w:color="auto" w:fill="FFFFFF"/>
                  <w:vAlign w:val="center"/>
                </w:tcPr>
                <w:p w14:paraId="2B314784">
                  <w:pPr>
                    <w:keepNext w:val="0"/>
                    <w:keepLines w:val="0"/>
                    <w:pageBreakBefore w:val="0"/>
                    <w:widowControl/>
                    <w:suppressLineNumbers w:val="0"/>
                    <w:kinsoku/>
                    <w:wordWrap/>
                    <w:overflowPunct/>
                    <w:topLinePunct w:val="0"/>
                    <w:bidi w:val="0"/>
                    <w:adjustRightInd w:val="0"/>
                    <w:snapToGrid w:val="0"/>
                    <w:spacing w:before="0" w:beforeAutospacing="0" w:after="0" w:afterAutospacing="0" w:line="276" w:lineRule="auto"/>
                    <w:ind w:left="0" w:right="0"/>
                    <w:jc w:val="center"/>
                    <w:textAlignment w:val="center"/>
                    <w:rPr>
                      <w:rFonts w:hint="default" w:ascii="Times New Roman" w:hAnsi="Times New Roman" w:eastAsia="宋体" w:cs="Times New Roman"/>
                      <w:bCs/>
                      <w:i w:val="0"/>
                      <w:iCs w:val="0"/>
                      <w:color w:val="000000"/>
                      <w:kern w:val="0"/>
                      <w:sz w:val="18"/>
                      <w:szCs w:val="18"/>
                      <w:highlight w:val="none"/>
                      <w:u w:val="none"/>
                      <w:lang w:val="en-US" w:eastAsia="zh-CN" w:bidi="ar"/>
                    </w:rPr>
                  </w:pPr>
                  <w:r>
                    <w:rPr>
                      <w:rFonts w:hint="default" w:ascii="Times New Roman" w:hAnsi="Times New Roman" w:eastAsia="宋体" w:cs="Times New Roman"/>
                      <w:bCs/>
                      <w:i w:val="0"/>
                      <w:iCs w:val="0"/>
                      <w:color w:val="000000"/>
                      <w:kern w:val="0"/>
                      <w:sz w:val="18"/>
                      <w:szCs w:val="18"/>
                      <w:highlight w:val="none"/>
                      <w:u w:val="none"/>
                      <w:lang w:val="en-US" w:eastAsia="zh-CN" w:bidi="ar"/>
                    </w:rPr>
                    <w:t>低温循环</w:t>
                  </w:r>
                </w:p>
              </w:tc>
              <w:tc>
                <w:tcPr>
                  <w:tcW w:w="1436" w:type="pct"/>
                  <w:tcBorders>
                    <w:tl2br w:val="nil"/>
                    <w:tr2bl w:val="nil"/>
                  </w:tcBorders>
                  <w:shd w:val="clear" w:color="auto" w:fill="FFFFFF"/>
                  <w:noWrap/>
                  <w:vAlign w:val="center"/>
                </w:tcPr>
                <w:p w14:paraId="0CA85190">
                  <w:pPr>
                    <w:keepNext w:val="0"/>
                    <w:keepLines w:val="0"/>
                    <w:pageBreakBefore w:val="0"/>
                    <w:suppressLineNumbers w:val="0"/>
                    <w:kinsoku/>
                    <w:wordWrap/>
                    <w:overflowPunct/>
                    <w:topLinePunct w:val="0"/>
                    <w:bidi w:val="0"/>
                    <w:adjustRightInd w:val="0"/>
                    <w:snapToGrid w:val="0"/>
                    <w:spacing w:before="0" w:beforeAutospacing="0" w:after="0" w:afterAutospacing="0" w:line="276" w:lineRule="auto"/>
                    <w:ind w:left="0" w:right="0"/>
                    <w:jc w:val="center"/>
                    <w:rPr>
                      <w:rFonts w:hint="default" w:ascii="Times New Roman" w:hAnsi="Times New Roman" w:eastAsia="宋体" w:cs="Times New Roman"/>
                      <w:bCs/>
                      <w:i w:val="0"/>
                      <w:iCs w:val="0"/>
                      <w:color w:val="000000"/>
                      <w:kern w:val="0"/>
                      <w:sz w:val="18"/>
                      <w:szCs w:val="18"/>
                      <w:highlight w:val="none"/>
                      <w:u w:val="none"/>
                      <w:lang w:val="en-US" w:eastAsia="zh-CN" w:bidi="ar"/>
                    </w:rPr>
                  </w:pPr>
                  <w:r>
                    <w:rPr>
                      <w:rFonts w:hint="default" w:ascii="Times New Roman" w:hAnsi="Times New Roman" w:eastAsia="宋体" w:cs="Times New Roman"/>
                      <w:bCs/>
                      <w:i w:val="0"/>
                      <w:iCs w:val="0"/>
                      <w:color w:val="000000"/>
                      <w:kern w:val="0"/>
                      <w:sz w:val="18"/>
                      <w:szCs w:val="18"/>
                      <w:highlight w:val="none"/>
                      <w:u w:val="none"/>
                      <w:lang w:val="en-US" w:eastAsia="zh-CN" w:bidi="ar"/>
                    </w:rPr>
                    <w:t>/</w:t>
                  </w:r>
                </w:p>
              </w:tc>
              <w:tc>
                <w:tcPr>
                  <w:tcW w:w="284" w:type="pct"/>
                  <w:tcBorders>
                    <w:tl2br w:val="nil"/>
                    <w:tr2bl w:val="nil"/>
                  </w:tcBorders>
                  <w:shd w:val="clear" w:color="auto" w:fill="FFFFFF"/>
                  <w:vAlign w:val="center"/>
                </w:tcPr>
                <w:p w14:paraId="698F9D4E">
                  <w:pPr>
                    <w:keepNext w:val="0"/>
                    <w:keepLines w:val="0"/>
                    <w:pageBreakBefore w:val="0"/>
                    <w:widowControl/>
                    <w:suppressLineNumbers w:val="0"/>
                    <w:kinsoku/>
                    <w:wordWrap/>
                    <w:overflowPunct/>
                    <w:topLinePunct w:val="0"/>
                    <w:bidi w:val="0"/>
                    <w:adjustRightInd w:val="0"/>
                    <w:snapToGrid w:val="0"/>
                    <w:spacing w:before="0" w:beforeAutospacing="0" w:after="0" w:afterAutospacing="0" w:line="276" w:lineRule="auto"/>
                    <w:ind w:left="0" w:right="0"/>
                    <w:jc w:val="center"/>
                    <w:textAlignment w:val="center"/>
                    <w:rPr>
                      <w:rFonts w:hint="default" w:ascii="Times New Roman" w:hAnsi="Times New Roman" w:eastAsia="宋体" w:cs="Times New Roman"/>
                      <w:bCs/>
                      <w:i w:val="0"/>
                      <w:iCs w:val="0"/>
                      <w:color w:val="000000"/>
                      <w:kern w:val="0"/>
                      <w:sz w:val="18"/>
                      <w:szCs w:val="18"/>
                      <w:highlight w:val="none"/>
                      <w:u w:val="none"/>
                      <w:lang w:val="en-US" w:eastAsia="zh-CN" w:bidi="ar"/>
                    </w:rPr>
                  </w:pPr>
                  <w:r>
                    <w:rPr>
                      <w:rFonts w:hint="default" w:ascii="Times New Roman" w:hAnsi="Times New Roman" w:eastAsia="宋体" w:cs="Times New Roman"/>
                      <w:bCs/>
                      <w:i w:val="0"/>
                      <w:iCs w:val="0"/>
                      <w:color w:val="000000"/>
                      <w:kern w:val="0"/>
                      <w:sz w:val="18"/>
                      <w:szCs w:val="18"/>
                      <w:highlight w:val="none"/>
                      <w:u w:val="none"/>
                      <w:lang w:val="en-US" w:eastAsia="zh-CN" w:bidi="ar"/>
                    </w:rPr>
                    <w:t>10</w:t>
                  </w:r>
                </w:p>
              </w:tc>
              <w:tc>
                <w:tcPr>
                  <w:tcW w:w="1678" w:type="pct"/>
                  <w:vMerge w:val="continue"/>
                  <w:tcBorders>
                    <w:tl2br w:val="nil"/>
                    <w:tr2bl w:val="nil"/>
                  </w:tcBorders>
                  <w:shd w:val="clear" w:color="auto" w:fill="FFFFFF"/>
                  <w:vAlign w:val="center"/>
                </w:tcPr>
                <w:p w14:paraId="2B6E969B">
                  <w:pPr>
                    <w:keepNext w:val="0"/>
                    <w:keepLines w:val="0"/>
                    <w:pageBreakBefore w:val="0"/>
                    <w:widowControl/>
                    <w:suppressLineNumbers w:val="0"/>
                    <w:kinsoku/>
                    <w:wordWrap/>
                    <w:overflowPunct/>
                    <w:topLinePunct w:val="0"/>
                    <w:bidi w:val="0"/>
                    <w:adjustRightInd w:val="0"/>
                    <w:snapToGrid w:val="0"/>
                    <w:spacing w:before="0" w:beforeAutospacing="0" w:after="0" w:afterAutospacing="0" w:line="276" w:lineRule="auto"/>
                    <w:ind w:left="0" w:right="0"/>
                    <w:jc w:val="center"/>
                    <w:textAlignment w:val="center"/>
                    <w:rPr>
                      <w:rFonts w:hint="default" w:ascii="Times New Roman" w:hAnsi="Times New Roman" w:eastAsia="宋体" w:cs="Times New Roman"/>
                      <w:i w:val="0"/>
                      <w:iCs w:val="0"/>
                      <w:color w:val="000000"/>
                      <w:kern w:val="0"/>
                      <w:sz w:val="18"/>
                      <w:szCs w:val="18"/>
                      <w:highlight w:val="none"/>
                      <w:u w:val="none"/>
                      <w:lang w:val="en-US" w:eastAsia="zh-CN" w:bidi="ar"/>
                    </w:rPr>
                  </w:pPr>
                </w:p>
              </w:tc>
            </w:tr>
            <w:tr w14:paraId="7DE85BD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FFFFFF"/>
                <w:tblCellMar>
                  <w:top w:w="0" w:type="dxa"/>
                  <w:left w:w="28" w:type="dxa"/>
                  <w:bottom w:w="0" w:type="dxa"/>
                  <w:right w:w="28" w:type="dxa"/>
                </w:tblCellMar>
              </w:tblPrEx>
              <w:trPr>
                <w:trHeight w:val="0" w:hRule="atLeast"/>
              </w:trPr>
              <w:tc>
                <w:tcPr>
                  <w:tcW w:w="235" w:type="pct"/>
                  <w:tcBorders>
                    <w:tl2br w:val="nil"/>
                    <w:tr2bl w:val="nil"/>
                  </w:tcBorders>
                  <w:shd w:val="clear" w:color="auto" w:fill="FFFFFF"/>
                  <w:noWrap/>
                  <w:vAlign w:val="center"/>
                </w:tcPr>
                <w:p w14:paraId="088647CB">
                  <w:pPr>
                    <w:keepNext w:val="0"/>
                    <w:keepLines w:val="0"/>
                    <w:pageBreakBefore w:val="0"/>
                    <w:widowControl/>
                    <w:suppressLineNumbers w:val="0"/>
                    <w:kinsoku/>
                    <w:wordWrap/>
                    <w:overflowPunct/>
                    <w:topLinePunct w:val="0"/>
                    <w:bidi w:val="0"/>
                    <w:adjustRightInd w:val="0"/>
                    <w:snapToGrid w:val="0"/>
                    <w:spacing w:before="0" w:beforeAutospacing="0" w:after="0" w:afterAutospacing="0" w:line="276" w:lineRule="auto"/>
                    <w:ind w:left="0" w:right="0"/>
                    <w:jc w:val="center"/>
                    <w:textAlignment w:val="center"/>
                    <w:rPr>
                      <w:rFonts w:hint="default" w:ascii="Times New Roman" w:hAnsi="Times New Roman" w:eastAsia="宋体" w:cs="Times New Roman"/>
                      <w:bCs/>
                      <w:i w:val="0"/>
                      <w:iCs w:val="0"/>
                      <w:color w:val="000000"/>
                      <w:kern w:val="0"/>
                      <w:sz w:val="18"/>
                      <w:szCs w:val="18"/>
                      <w:highlight w:val="none"/>
                      <w:u w:val="none"/>
                      <w:lang w:val="en-US" w:eastAsia="zh-CN" w:bidi="ar"/>
                    </w:rPr>
                  </w:pPr>
                  <w:r>
                    <w:rPr>
                      <w:rFonts w:hint="default" w:ascii="Times New Roman" w:hAnsi="Times New Roman" w:eastAsia="宋体" w:cs="Times New Roman"/>
                      <w:bCs/>
                      <w:i w:val="0"/>
                      <w:iCs w:val="0"/>
                      <w:color w:val="000000"/>
                      <w:kern w:val="0"/>
                      <w:sz w:val="18"/>
                      <w:szCs w:val="18"/>
                      <w:highlight w:val="none"/>
                      <w:u w:val="none"/>
                      <w:lang w:val="en-US" w:eastAsia="zh-CN" w:bidi="ar"/>
                    </w:rPr>
                    <w:t>63</w:t>
                  </w:r>
                </w:p>
              </w:tc>
              <w:tc>
                <w:tcPr>
                  <w:tcW w:w="349" w:type="pct"/>
                  <w:vMerge w:val="continue"/>
                  <w:tcBorders>
                    <w:tl2br w:val="nil"/>
                    <w:tr2bl w:val="nil"/>
                  </w:tcBorders>
                  <w:shd w:val="clear" w:color="auto" w:fill="FFFFFF"/>
                  <w:vAlign w:val="center"/>
                </w:tcPr>
                <w:p w14:paraId="065A82A4">
                  <w:pPr>
                    <w:pStyle w:val="120"/>
                    <w:keepNext w:val="0"/>
                    <w:keepLines w:val="0"/>
                    <w:pageBreakBefore w:val="0"/>
                    <w:framePr w:hSpace="0" w:wrap="auto" w:vAnchor="margin" w:hAnchor="text" w:xAlign="left" w:yAlign="inline"/>
                    <w:suppressLineNumbers w:val="0"/>
                    <w:kinsoku/>
                    <w:wordWrap/>
                    <w:overflowPunct/>
                    <w:topLinePunct w:val="0"/>
                    <w:bidi w:val="0"/>
                    <w:adjustRightInd w:val="0"/>
                    <w:snapToGrid w:val="0"/>
                    <w:spacing w:before="0" w:beforeAutospacing="0" w:after="0" w:afterAutospacing="0" w:line="276" w:lineRule="auto"/>
                    <w:ind w:left="0" w:right="0"/>
                    <w:jc w:val="center"/>
                    <w:rPr>
                      <w:rFonts w:hint="default" w:ascii="Times New Roman" w:hAnsi="Times New Roman" w:eastAsia="宋体" w:cs="Times New Roman"/>
                      <w:bCs/>
                      <w:i w:val="0"/>
                      <w:iCs w:val="0"/>
                      <w:color w:val="000000"/>
                      <w:kern w:val="0"/>
                      <w:sz w:val="18"/>
                      <w:szCs w:val="18"/>
                      <w:highlight w:val="none"/>
                      <w:u w:val="none"/>
                      <w:lang w:val="en-US" w:eastAsia="zh-CN" w:bidi="ar"/>
                    </w:rPr>
                  </w:pPr>
                </w:p>
              </w:tc>
              <w:tc>
                <w:tcPr>
                  <w:tcW w:w="1015" w:type="pct"/>
                  <w:tcBorders>
                    <w:tl2br w:val="nil"/>
                    <w:tr2bl w:val="nil"/>
                  </w:tcBorders>
                  <w:shd w:val="clear" w:color="auto" w:fill="FFFFFF"/>
                  <w:vAlign w:val="center"/>
                </w:tcPr>
                <w:p w14:paraId="778E08B5">
                  <w:pPr>
                    <w:keepNext w:val="0"/>
                    <w:keepLines w:val="0"/>
                    <w:pageBreakBefore w:val="0"/>
                    <w:widowControl/>
                    <w:suppressLineNumbers w:val="0"/>
                    <w:kinsoku/>
                    <w:wordWrap/>
                    <w:overflowPunct/>
                    <w:topLinePunct w:val="0"/>
                    <w:bidi w:val="0"/>
                    <w:adjustRightInd w:val="0"/>
                    <w:snapToGrid w:val="0"/>
                    <w:spacing w:before="0" w:beforeAutospacing="0" w:after="0" w:afterAutospacing="0" w:line="276" w:lineRule="auto"/>
                    <w:ind w:left="0" w:right="0"/>
                    <w:jc w:val="center"/>
                    <w:textAlignment w:val="center"/>
                    <w:rPr>
                      <w:rFonts w:hint="default" w:ascii="Times New Roman" w:hAnsi="Times New Roman" w:eastAsia="宋体" w:cs="Times New Roman"/>
                      <w:bCs/>
                      <w:i w:val="0"/>
                      <w:iCs w:val="0"/>
                      <w:color w:val="000000"/>
                      <w:kern w:val="0"/>
                      <w:sz w:val="18"/>
                      <w:szCs w:val="18"/>
                      <w:highlight w:val="none"/>
                      <w:u w:val="none"/>
                      <w:lang w:val="en-US" w:eastAsia="zh-CN" w:bidi="ar"/>
                    </w:rPr>
                  </w:pPr>
                  <w:r>
                    <w:rPr>
                      <w:rFonts w:hint="default" w:ascii="Times New Roman" w:hAnsi="Times New Roman" w:eastAsia="宋体" w:cs="Times New Roman"/>
                      <w:bCs/>
                      <w:i w:val="0"/>
                      <w:iCs w:val="0"/>
                      <w:color w:val="000000"/>
                      <w:kern w:val="0"/>
                      <w:sz w:val="18"/>
                      <w:szCs w:val="18"/>
                      <w:highlight w:val="none"/>
                      <w:u w:val="none"/>
                      <w:lang w:val="en-US" w:eastAsia="zh-CN" w:bidi="ar"/>
                    </w:rPr>
                    <w:t>真空隔膜泵</w:t>
                  </w:r>
                </w:p>
              </w:tc>
              <w:tc>
                <w:tcPr>
                  <w:tcW w:w="1436" w:type="pct"/>
                  <w:tcBorders>
                    <w:tl2br w:val="nil"/>
                    <w:tr2bl w:val="nil"/>
                  </w:tcBorders>
                  <w:shd w:val="clear" w:color="auto" w:fill="FFFFFF"/>
                  <w:noWrap/>
                  <w:vAlign w:val="center"/>
                </w:tcPr>
                <w:p w14:paraId="1B0C3411">
                  <w:pPr>
                    <w:keepNext w:val="0"/>
                    <w:keepLines w:val="0"/>
                    <w:pageBreakBefore w:val="0"/>
                    <w:suppressLineNumbers w:val="0"/>
                    <w:kinsoku/>
                    <w:wordWrap/>
                    <w:overflowPunct/>
                    <w:topLinePunct w:val="0"/>
                    <w:bidi w:val="0"/>
                    <w:adjustRightInd w:val="0"/>
                    <w:snapToGrid w:val="0"/>
                    <w:spacing w:before="0" w:beforeAutospacing="0" w:after="0" w:afterAutospacing="0" w:line="276" w:lineRule="auto"/>
                    <w:ind w:left="0" w:right="0"/>
                    <w:jc w:val="center"/>
                    <w:rPr>
                      <w:rFonts w:hint="default" w:ascii="Times New Roman" w:hAnsi="Times New Roman" w:eastAsia="宋体" w:cs="Times New Roman"/>
                      <w:bCs/>
                      <w:i w:val="0"/>
                      <w:iCs w:val="0"/>
                      <w:color w:val="000000"/>
                      <w:kern w:val="0"/>
                      <w:sz w:val="18"/>
                      <w:szCs w:val="18"/>
                      <w:highlight w:val="none"/>
                      <w:u w:val="none"/>
                      <w:lang w:val="en-US" w:eastAsia="zh-CN" w:bidi="ar"/>
                    </w:rPr>
                  </w:pPr>
                  <w:r>
                    <w:rPr>
                      <w:rFonts w:hint="default" w:ascii="Times New Roman" w:hAnsi="Times New Roman" w:eastAsia="宋体" w:cs="Times New Roman"/>
                      <w:bCs/>
                      <w:i w:val="0"/>
                      <w:iCs w:val="0"/>
                      <w:color w:val="000000"/>
                      <w:kern w:val="0"/>
                      <w:sz w:val="18"/>
                      <w:szCs w:val="18"/>
                      <w:highlight w:val="none"/>
                      <w:u w:val="none"/>
                      <w:lang w:val="en-US" w:eastAsia="zh-CN" w:bidi="ar"/>
                    </w:rPr>
                    <w:t>/</w:t>
                  </w:r>
                </w:p>
              </w:tc>
              <w:tc>
                <w:tcPr>
                  <w:tcW w:w="284" w:type="pct"/>
                  <w:tcBorders>
                    <w:tl2br w:val="nil"/>
                    <w:tr2bl w:val="nil"/>
                  </w:tcBorders>
                  <w:shd w:val="clear" w:color="auto" w:fill="FFFFFF"/>
                  <w:vAlign w:val="center"/>
                </w:tcPr>
                <w:p w14:paraId="3DAC7FF1">
                  <w:pPr>
                    <w:keepNext w:val="0"/>
                    <w:keepLines w:val="0"/>
                    <w:pageBreakBefore w:val="0"/>
                    <w:widowControl/>
                    <w:suppressLineNumbers w:val="0"/>
                    <w:kinsoku/>
                    <w:wordWrap/>
                    <w:overflowPunct/>
                    <w:topLinePunct w:val="0"/>
                    <w:bidi w:val="0"/>
                    <w:adjustRightInd w:val="0"/>
                    <w:snapToGrid w:val="0"/>
                    <w:spacing w:before="0" w:beforeAutospacing="0" w:after="0" w:afterAutospacing="0" w:line="276" w:lineRule="auto"/>
                    <w:ind w:left="0" w:right="0"/>
                    <w:jc w:val="center"/>
                    <w:textAlignment w:val="center"/>
                    <w:rPr>
                      <w:rFonts w:hint="default" w:ascii="Times New Roman" w:hAnsi="Times New Roman" w:eastAsia="宋体" w:cs="Times New Roman"/>
                      <w:bCs/>
                      <w:i w:val="0"/>
                      <w:iCs w:val="0"/>
                      <w:color w:val="000000"/>
                      <w:kern w:val="0"/>
                      <w:sz w:val="18"/>
                      <w:szCs w:val="18"/>
                      <w:highlight w:val="none"/>
                      <w:u w:val="none"/>
                      <w:lang w:val="en-US" w:eastAsia="zh-CN" w:bidi="ar"/>
                    </w:rPr>
                  </w:pPr>
                  <w:r>
                    <w:rPr>
                      <w:rFonts w:hint="default" w:ascii="Times New Roman" w:hAnsi="Times New Roman" w:eastAsia="宋体" w:cs="Times New Roman"/>
                      <w:bCs/>
                      <w:i w:val="0"/>
                      <w:iCs w:val="0"/>
                      <w:color w:val="000000"/>
                      <w:kern w:val="0"/>
                      <w:sz w:val="18"/>
                      <w:szCs w:val="18"/>
                      <w:highlight w:val="none"/>
                      <w:u w:val="none"/>
                      <w:lang w:val="en-US" w:eastAsia="zh-CN" w:bidi="ar"/>
                    </w:rPr>
                    <w:t>50</w:t>
                  </w:r>
                </w:p>
              </w:tc>
              <w:tc>
                <w:tcPr>
                  <w:tcW w:w="1678" w:type="pct"/>
                  <w:vMerge w:val="continue"/>
                  <w:tcBorders>
                    <w:tl2br w:val="nil"/>
                    <w:tr2bl w:val="nil"/>
                  </w:tcBorders>
                  <w:shd w:val="clear" w:color="auto" w:fill="FFFFFF"/>
                  <w:vAlign w:val="center"/>
                </w:tcPr>
                <w:p w14:paraId="5A9419AE">
                  <w:pPr>
                    <w:keepNext w:val="0"/>
                    <w:keepLines w:val="0"/>
                    <w:pageBreakBefore w:val="0"/>
                    <w:widowControl/>
                    <w:suppressLineNumbers w:val="0"/>
                    <w:kinsoku/>
                    <w:wordWrap/>
                    <w:overflowPunct/>
                    <w:topLinePunct w:val="0"/>
                    <w:bidi w:val="0"/>
                    <w:adjustRightInd w:val="0"/>
                    <w:snapToGrid w:val="0"/>
                    <w:spacing w:before="0" w:beforeAutospacing="0" w:after="0" w:afterAutospacing="0" w:line="276" w:lineRule="auto"/>
                    <w:ind w:left="0" w:right="0"/>
                    <w:jc w:val="center"/>
                    <w:textAlignment w:val="center"/>
                    <w:rPr>
                      <w:rFonts w:hint="default" w:ascii="Times New Roman" w:hAnsi="Times New Roman" w:eastAsia="宋体" w:cs="Times New Roman"/>
                      <w:i w:val="0"/>
                      <w:iCs w:val="0"/>
                      <w:color w:val="000000"/>
                      <w:kern w:val="0"/>
                      <w:sz w:val="18"/>
                      <w:szCs w:val="18"/>
                      <w:highlight w:val="none"/>
                      <w:u w:val="none"/>
                      <w:lang w:val="en-US" w:eastAsia="zh-CN" w:bidi="ar"/>
                    </w:rPr>
                  </w:pPr>
                </w:p>
              </w:tc>
            </w:tr>
            <w:tr w14:paraId="7D35728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FFFFFF"/>
                <w:tblCellMar>
                  <w:top w:w="0" w:type="dxa"/>
                  <w:left w:w="28" w:type="dxa"/>
                  <w:bottom w:w="0" w:type="dxa"/>
                  <w:right w:w="28" w:type="dxa"/>
                </w:tblCellMar>
              </w:tblPrEx>
              <w:trPr>
                <w:trHeight w:val="0" w:hRule="atLeast"/>
              </w:trPr>
              <w:tc>
                <w:tcPr>
                  <w:tcW w:w="235" w:type="pct"/>
                  <w:tcBorders>
                    <w:tl2br w:val="nil"/>
                    <w:tr2bl w:val="nil"/>
                  </w:tcBorders>
                  <w:shd w:val="clear" w:color="auto" w:fill="FFFFFF"/>
                  <w:noWrap/>
                  <w:vAlign w:val="center"/>
                </w:tcPr>
                <w:p w14:paraId="317FEF77">
                  <w:pPr>
                    <w:keepNext w:val="0"/>
                    <w:keepLines w:val="0"/>
                    <w:pageBreakBefore w:val="0"/>
                    <w:widowControl/>
                    <w:suppressLineNumbers w:val="0"/>
                    <w:kinsoku/>
                    <w:wordWrap/>
                    <w:overflowPunct/>
                    <w:topLinePunct w:val="0"/>
                    <w:bidi w:val="0"/>
                    <w:adjustRightInd w:val="0"/>
                    <w:snapToGrid w:val="0"/>
                    <w:spacing w:before="0" w:beforeAutospacing="0" w:after="0" w:afterAutospacing="0" w:line="276" w:lineRule="auto"/>
                    <w:ind w:left="0" w:right="0"/>
                    <w:jc w:val="center"/>
                    <w:textAlignment w:val="center"/>
                    <w:rPr>
                      <w:rFonts w:hint="default" w:ascii="Times New Roman" w:hAnsi="Times New Roman" w:eastAsia="宋体" w:cs="Times New Roman"/>
                      <w:bCs/>
                      <w:i w:val="0"/>
                      <w:iCs w:val="0"/>
                      <w:color w:val="000000"/>
                      <w:kern w:val="0"/>
                      <w:sz w:val="18"/>
                      <w:szCs w:val="18"/>
                      <w:highlight w:val="none"/>
                      <w:u w:val="none"/>
                      <w:lang w:val="en-US" w:eastAsia="zh-CN" w:bidi="ar"/>
                    </w:rPr>
                  </w:pPr>
                  <w:r>
                    <w:rPr>
                      <w:rFonts w:hint="default" w:ascii="Times New Roman" w:hAnsi="Times New Roman" w:eastAsia="宋体" w:cs="Times New Roman"/>
                      <w:bCs/>
                      <w:i w:val="0"/>
                      <w:iCs w:val="0"/>
                      <w:color w:val="000000"/>
                      <w:kern w:val="0"/>
                      <w:sz w:val="18"/>
                      <w:szCs w:val="18"/>
                      <w:highlight w:val="none"/>
                      <w:u w:val="none"/>
                      <w:lang w:val="en-US" w:eastAsia="zh-CN" w:bidi="ar"/>
                    </w:rPr>
                    <w:t>64</w:t>
                  </w:r>
                </w:p>
              </w:tc>
              <w:tc>
                <w:tcPr>
                  <w:tcW w:w="349" w:type="pct"/>
                  <w:vMerge w:val="continue"/>
                  <w:tcBorders>
                    <w:tl2br w:val="nil"/>
                    <w:tr2bl w:val="nil"/>
                  </w:tcBorders>
                  <w:shd w:val="clear" w:color="auto" w:fill="FFFFFF"/>
                  <w:vAlign w:val="center"/>
                </w:tcPr>
                <w:p w14:paraId="5FE29D59">
                  <w:pPr>
                    <w:pStyle w:val="120"/>
                    <w:keepNext w:val="0"/>
                    <w:keepLines w:val="0"/>
                    <w:pageBreakBefore w:val="0"/>
                    <w:framePr w:hSpace="0" w:wrap="auto" w:vAnchor="margin" w:hAnchor="text" w:xAlign="left" w:yAlign="inline"/>
                    <w:suppressLineNumbers w:val="0"/>
                    <w:kinsoku/>
                    <w:wordWrap/>
                    <w:overflowPunct/>
                    <w:topLinePunct w:val="0"/>
                    <w:bidi w:val="0"/>
                    <w:adjustRightInd w:val="0"/>
                    <w:snapToGrid w:val="0"/>
                    <w:spacing w:before="0" w:beforeAutospacing="0" w:after="0" w:afterAutospacing="0" w:line="276" w:lineRule="auto"/>
                    <w:ind w:left="0" w:right="0"/>
                    <w:jc w:val="center"/>
                    <w:rPr>
                      <w:rFonts w:hint="default" w:ascii="Times New Roman" w:hAnsi="Times New Roman" w:eastAsia="宋体" w:cs="Times New Roman"/>
                      <w:bCs/>
                      <w:i w:val="0"/>
                      <w:iCs w:val="0"/>
                      <w:color w:val="000000"/>
                      <w:kern w:val="0"/>
                      <w:sz w:val="18"/>
                      <w:szCs w:val="18"/>
                      <w:highlight w:val="none"/>
                      <w:u w:val="none"/>
                      <w:lang w:val="en-US" w:eastAsia="zh-CN" w:bidi="ar"/>
                    </w:rPr>
                  </w:pPr>
                </w:p>
              </w:tc>
              <w:tc>
                <w:tcPr>
                  <w:tcW w:w="1015" w:type="pct"/>
                  <w:tcBorders>
                    <w:tl2br w:val="nil"/>
                    <w:tr2bl w:val="nil"/>
                  </w:tcBorders>
                  <w:shd w:val="clear" w:color="auto" w:fill="FFFFFF"/>
                  <w:vAlign w:val="center"/>
                </w:tcPr>
                <w:p w14:paraId="2EFDDE8D">
                  <w:pPr>
                    <w:keepNext w:val="0"/>
                    <w:keepLines w:val="0"/>
                    <w:pageBreakBefore w:val="0"/>
                    <w:widowControl/>
                    <w:suppressLineNumbers w:val="0"/>
                    <w:kinsoku/>
                    <w:wordWrap/>
                    <w:overflowPunct/>
                    <w:topLinePunct w:val="0"/>
                    <w:bidi w:val="0"/>
                    <w:adjustRightInd w:val="0"/>
                    <w:snapToGrid w:val="0"/>
                    <w:spacing w:before="0" w:beforeAutospacing="0" w:after="0" w:afterAutospacing="0" w:line="276" w:lineRule="auto"/>
                    <w:ind w:left="0" w:right="0"/>
                    <w:jc w:val="center"/>
                    <w:textAlignment w:val="center"/>
                    <w:rPr>
                      <w:rFonts w:hint="default" w:ascii="Times New Roman" w:hAnsi="Times New Roman" w:eastAsia="宋体" w:cs="Times New Roman"/>
                      <w:bCs/>
                      <w:i w:val="0"/>
                      <w:iCs w:val="0"/>
                      <w:color w:val="000000"/>
                      <w:kern w:val="0"/>
                      <w:sz w:val="18"/>
                      <w:szCs w:val="18"/>
                      <w:highlight w:val="none"/>
                      <w:u w:val="none"/>
                      <w:lang w:val="en-US" w:eastAsia="zh-CN" w:bidi="ar"/>
                    </w:rPr>
                  </w:pPr>
                  <w:r>
                    <w:rPr>
                      <w:rFonts w:hint="default" w:ascii="Times New Roman" w:hAnsi="Times New Roman" w:eastAsia="宋体" w:cs="Times New Roman"/>
                      <w:bCs/>
                      <w:i w:val="0"/>
                      <w:iCs w:val="0"/>
                      <w:color w:val="000000"/>
                      <w:kern w:val="0"/>
                      <w:sz w:val="18"/>
                      <w:szCs w:val="18"/>
                      <w:highlight w:val="none"/>
                      <w:u w:val="none"/>
                      <w:lang w:val="en-US" w:eastAsia="zh-CN" w:bidi="ar"/>
                    </w:rPr>
                    <w:t>加热搅拌器</w:t>
                  </w:r>
                </w:p>
              </w:tc>
              <w:tc>
                <w:tcPr>
                  <w:tcW w:w="1436" w:type="pct"/>
                  <w:tcBorders>
                    <w:tl2br w:val="nil"/>
                    <w:tr2bl w:val="nil"/>
                  </w:tcBorders>
                  <w:shd w:val="clear" w:color="auto" w:fill="FFFFFF"/>
                  <w:noWrap/>
                  <w:vAlign w:val="center"/>
                </w:tcPr>
                <w:p w14:paraId="18C5EDF3">
                  <w:pPr>
                    <w:keepNext w:val="0"/>
                    <w:keepLines w:val="0"/>
                    <w:pageBreakBefore w:val="0"/>
                    <w:suppressLineNumbers w:val="0"/>
                    <w:kinsoku/>
                    <w:wordWrap/>
                    <w:overflowPunct/>
                    <w:topLinePunct w:val="0"/>
                    <w:bidi w:val="0"/>
                    <w:adjustRightInd w:val="0"/>
                    <w:snapToGrid w:val="0"/>
                    <w:spacing w:before="0" w:beforeAutospacing="0" w:after="0" w:afterAutospacing="0" w:line="276" w:lineRule="auto"/>
                    <w:ind w:left="0" w:right="0"/>
                    <w:jc w:val="center"/>
                    <w:rPr>
                      <w:rFonts w:hint="default" w:ascii="Times New Roman" w:hAnsi="Times New Roman" w:eastAsia="宋体" w:cs="Times New Roman"/>
                      <w:bCs/>
                      <w:i w:val="0"/>
                      <w:iCs w:val="0"/>
                      <w:color w:val="000000"/>
                      <w:kern w:val="0"/>
                      <w:sz w:val="18"/>
                      <w:szCs w:val="18"/>
                      <w:highlight w:val="none"/>
                      <w:u w:val="none"/>
                      <w:lang w:val="en-US" w:eastAsia="zh-CN" w:bidi="ar"/>
                    </w:rPr>
                  </w:pPr>
                  <w:r>
                    <w:rPr>
                      <w:rFonts w:hint="default" w:ascii="Times New Roman" w:hAnsi="Times New Roman" w:eastAsia="宋体" w:cs="Times New Roman"/>
                      <w:bCs/>
                      <w:i w:val="0"/>
                      <w:iCs w:val="0"/>
                      <w:color w:val="000000"/>
                      <w:kern w:val="0"/>
                      <w:sz w:val="18"/>
                      <w:szCs w:val="18"/>
                      <w:highlight w:val="none"/>
                      <w:u w:val="none"/>
                      <w:lang w:val="en-US" w:eastAsia="zh-CN" w:bidi="ar"/>
                    </w:rPr>
                    <w:t>/</w:t>
                  </w:r>
                </w:p>
              </w:tc>
              <w:tc>
                <w:tcPr>
                  <w:tcW w:w="284" w:type="pct"/>
                  <w:tcBorders>
                    <w:tl2br w:val="nil"/>
                    <w:tr2bl w:val="nil"/>
                  </w:tcBorders>
                  <w:shd w:val="clear" w:color="auto" w:fill="FFFFFF"/>
                  <w:vAlign w:val="center"/>
                </w:tcPr>
                <w:p w14:paraId="4CDB8712">
                  <w:pPr>
                    <w:keepNext w:val="0"/>
                    <w:keepLines w:val="0"/>
                    <w:pageBreakBefore w:val="0"/>
                    <w:widowControl/>
                    <w:suppressLineNumbers w:val="0"/>
                    <w:kinsoku/>
                    <w:wordWrap/>
                    <w:overflowPunct/>
                    <w:topLinePunct w:val="0"/>
                    <w:bidi w:val="0"/>
                    <w:adjustRightInd w:val="0"/>
                    <w:snapToGrid w:val="0"/>
                    <w:spacing w:before="0" w:beforeAutospacing="0" w:after="0" w:afterAutospacing="0" w:line="276" w:lineRule="auto"/>
                    <w:ind w:left="0" w:right="0"/>
                    <w:jc w:val="center"/>
                    <w:textAlignment w:val="center"/>
                    <w:rPr>
                      <w:rFonts w:hint="default" w:ascii="Times New Roman" w:hAnsi="Times New Roman" w:eastAsia="宋体" w:cs="Times New Roman"/>
                      <w:bCs/>
                      <w:i w:val="0"/>
                      <w:iCs w:val="0"/>
                      <w:color w:val="000000"/>
                      <w:kern w:val="0"/>
                      <w:sz w:val="18"/>
                      <w:szCs w:val="18"/>
                      <w:highlight w:val="none"/>
                      <w:u w:val="none"/>
                      <w:lang w:val="en-US" w:eastAsia="zh-CN" w:bidi="ar"/>
                    </w:rPr>
                  </w:pPr>
                  <w:r>
                    <w:rPr>
                      <w:rFonts w:hint="default" w:ascii="Times New Roman" w:hAnsi="Times New Roman" w:eastAsia="宋体" w:cs="Times New Roman"/>
                      <w:bCs/>
                      <w:i w:val="0"/>
                      <w:iCs w:val="0"/>
                      <w:color w:val="000000"/>
                      <w:kern w:val="0"/>
                      <w:sz w:val="18"/>
                      <w:szCs w:val="18"/>
                      <w:highlight w:val="none"/>
                      <w:u w:val="none"/>
                      <w:lang w:val="en-US" w:eastAsia="zh-CN" w:bidi="ar"/>
                    </w:rPr>
                    <w:t>50</w:t>
                  </w:r>
                </w:p>
              </w:tc>
              <w:tc>
                <w:tcPr>
                  <w:tcW w:w="1678" w:type="pct"/>
                  <w:vMerge w:val="continue"/>
                  <w:tcBorders>
                    <w:tl2br w:val="nil"/>
                    <w:tr2bl w:val="nil"/>
                  </w:tcBorders>
                  <w:shd w:val="clear" w:color="auto" w:fill="FFFFFF"/>
                  <w:vAlign w:val="center"/>
                </w:tcPr>
                <w:p w14:paraId="54B54720">
                  <w:pPr>
                    <w:keepNext w:val="0"/>
                    <w:keepLines w:val="0"/>
                    <w:pageBreakBefore w:val="0"/>
                    <w:widowControl/>
                    <w:suppressLineNumbers w:val="0"/>
                    <w:kinsoku/>
                    <w:wordWrap/>
                    <w:overflowPunct/>
                    <w:topLinePunct w:val="0"/>
                    <w:bidi w:val="0"/>
                    <w:adjustRightInd w:val="0"/>
                    <w:snapToGrid w:val="0"/>
                    <w:spacing w:before="0" w:beforeAutospacing="0" w:after="0" w:afterAutospacing="0" w:line="276" w:lineRule="auto"/>
                    <w:ind w:left="0" w:right="0"/>
                    <w:jc w:val="center"/>
                    <w:textAlignment w:val="center"/>
                    <w:rPr>
                      <w:rFonts w:hint="default" w:ascii="Times New Roman" w:hAnsi="Times New Roman" w:eastAsia="宋体" w:cs="Times New Roman"/>
                      <w:i w:val="0"/>
                      <w:iCs w:val="0"/>
                      <w:color w:val="000000"/>
                      <w:kern w:val="0"/>
                      <w:sz w:val="18"/>
                      <w:szCs w:val="18"/>
                      <w:highlight w:val="none"/>
                      <w:u w:val="none"/>
                      <w:lang w:val="en-US" w:eastAsia="zh-CN" w:bidi="ar"/>
                    </w:rPr>
                  </w:pPr>
                </w:p>
              </w:tc>
            </w:tr>
            <w:tr w14:paraId="69820B9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FFFFFF"/>
                <w:tblCellMar>
                  <w:top w:w="0" w:type="dxa"/>
                  <w:left w:w="28" w:type="dxa"/>
                  <w:bottom w:w="0" w:type="dxa"/>
                  <w:right w:w="28" w:type="dxa"/>
                </w:tblCellMar>
              </w:tblPrEx>
              <w:trPr>
                <w:trHeight w:val="0" w:hRule="atLeast"/>
              </w:trPr>
              <w:tc>
                <w:tcPr>
                  <w:tcW w:w="235" w:type="pct"/>
                  <w:tcBorders>
                    <w:tl2br w:val="nil"/>
                    <w:tr2bl w:val="nil"/>
                  </w:tcBorders>
                  <w:shd w:val="clear" w:color="auto" w:fill="FFFFFF"/>
                  <w:noWrap/>
                  <w:vAlign w:val="center"/>
                </w:tcPr>
                <w:p w14:paraId="2BAD417E">
                  <w:pPr>
                    <w:keepNext w:val="0"/>
                    <w:keepLines w:val="0"/>
                    <w:pageBreakBefore w:val="0"/>
                    <w:widowControl/>
                    <w:suppressLineNumbers w:val="0"/>
                    <w:kinsoku/>
                    <w:wordWrap/>
                    <w:overflowPunct/>
                    <w:topLinePunct w:val="0"/>
                    <w:bidi w:val="0"/>
                    <w:adjustRightInd w:val="0"/>
                    <w:snapToGrid w:val="0"/>
                    <w:spacing w:before="0" w:beforeAutospacing="0" w:after="0" w:afterAutospacing="0" w:line="276" w:lineRule="auto"/>
                    <w:ind w:left="0" w:right="0"/>
                    <w:jc w:val="center"/>
                    <w:textAlignment w:val="center"/>
                    <w:rPr>
                      <w:rFonts w:hint="default" w:ascii="Times New Roman" w:hAnsi="Times New Roman" w:eastAsia="宋体" w:cs="Times New Roman"/>
                      <w:bCs/>
                      <w:i w:val="0"/>
                      <w:iCs w:val="0"/>
                      <w:color w:val="000000"/>
                      <w:kern w:val="0"/>
                      <w:sz w:val="18"/>
                      <w:szCs w:val="18"/>
                      <w:highlight w:val="none"/>
                      <w:u w:val="none"/>
                      <w:lang w:val="en-US" w:eastAsia="zh-CN" w:bidi="ar"/>
                    </w:rPr>
                  </w:pPr>
                  <w:r>
                    <w:rPr>
                      <w:rFonts w:hint="default" w:ascii="Times New Roman" w:hAnsi="Times New Roman" w:eastAsia="宋体" w:cs="Times New Roman"/>
                      <w:bCs/>
                      <w:i w:val="0"/>
                      <w:iCs w:val="0"/>
                      <w:color w:val="000000"/>
                      <w:kern w:val="0"/>
                      <w:sz w:val="18"/>
                      <w:szCs w:val="18"/>
                      <w:highlight w:val="none"/>
                      <w:u w:val="none"/>
                      <w:lang w:val="en-US" w:eastAsia="zh-CN" w:bidi="ar"/>
                    </w:rPr>
                    <w:t>65</w:t>
                  </w:r>
                </w:p>
              </w:tc>
              <w:tc>
                <w:tcPr>
                  <w:tcW w:w="349" w:type="pct"/>
                  <w:vMerge w:val="continue"/>
                  <w:tcBorders>
                    <w:tl2br w:val="nil"/>
                    <w:tr2bl w:val="nil"/>
                  </w:tcBorders>
                  <w:shd w:val="clear" w:color="auto" w:fill="FFFFFF"/>
                  <w:vAlign w:val="center"/>
                </w:tcPr>
                <w:p w14:paraId="01032961">
                  <w:pPr>
                    <w:pStyle w:val="120"/>
                    <w:keepNext w:val="0"/>
                    <w:keepLines w:val="0"/>
                    <w:pageBreakBefore w:val="0"/>
                    <w:framePr w:hSpace="0" w:wrap="auto" w:vAnchor="margin" w:hAnchor="text" w:xAlign="left" w:yAlign="inline"/>
                    <w:suppressLineNumbers w:val="0"/>
                    <w:kinsoku/>
                    <w:wordWrap/>
                    <w:overflowPunct/>
                    <w:topLinePunct w:val="0"/>
                    <w:bidi w:val="0"/>
                    <w:adjustRightInd w:val="0"/>
                    <w:snapToGrid w:val="0"/>
                    <w:spacing w:before="0" w:beforeAutospacing="0" w:after="0" w:afterAutospacing="0" w:line="276" w:lineRule="auto"/>
                    <w:ind w:left="0" w:right="0"/>
                    <w:jc w:val="center"/>
                    <w:rPr>
                      <w:rFonts w:hint="default" w:ascii="Times New Roman" w:hAnsi="Times New Roman" w:eastAsia="宋体" w:cs="Times New Roman"/>
                      <w:bCs/>
                      <w:i w:val="0"/>
                      <w:iCs w:val="0"/>
                      <w:color w:val="000000"/>
                      <w:kern w:val="0"/>
                      <w:sz w:val="18"/>
                      <w:szCs w:val="18"/>
                      <w:highlight w:val="none"/>
                      <w:u w:val="none"/>
                      <w:lang w:val="en-US" w:eastAsia="zh-CN" w:bidi="ar"/>
                    </w:rPr>
                  </w:pPr>
                </w:p>
              </w:tc>
              <w:tc>
                <w:tcPr>
                  <w:tcW w:w="1015" w:type="pct"/>
                  <w:tcBorders>
                    <w:tl2br w:val="nil"/>
                    <w:tr2bl w:val="nil"/>
                  </w:tcBorders>
                  <w:shd w:val="clear" w:color="auto" w:fill="FFFFFF"/>
                  <w:vAlign w:val="center"/>
                </w:tcPr>
                <w:p w14:paraId="6AA38760">
                  <w:pPr>
                    <w:keepNext w:val="0"/>
                    <w:keepLines w:val="0"/>
                    <w:pageBreakBefore w:val="0"/>
                    <w:widowControl/>
                    <w:suppressLineNumbers w:val="0"/>
                    <w:kinsoku/>
                    <w:wordWrap/>
                    <w:overflowPunct/>
                    <w:topLinePunct w:val="0"/>
                    <w:bidi w:val="0"/>
                    <w:adjustRightInd w:val="0"/>
                    <w:snapToGrid w:val="0"/>
                    <w:spacing w:before="0" w:beforeAutospacing="0" w:after="0" w:afterAutospacing="0" w:line="276" w:lineRule="auto"/>
                    <w:ind w:left="0" w:right="0"/>
                    <w:jc w:val="center"/>
                    <w:textAlignment w:val="center"/>
                    <w:rPr>
                      <w:rFonts w:hint="default" w:ascii="Times New Roman" w:hAnsi="Times New Roman" w:eastAsia="宋体" w:cs="Times New Roman"/>
                      <w:bCs/>
                      <w:i w:val="0"/>
                      <w:iCs w:val="0"/>
                      <w:color w:val="000000"/>
                      <w:kern w:val="0"/>
                      <w:sz w:val="18"/>
                      <w:szCs w:val="18"/>
                      <w:highlight w:val="none"/>
                      <w:u w:val="none"/>
                      <w:lang w:val="en-US" w:eastAsia="zh-CN" w:bidi="ar"/>
                    </w:rPr>
                  </w:pPr>
                  <w:r>
                    <w:rPr>
                      <w:rFonts w:hint="default" w:ascii="Times New Roman" w:hAnsi="Times New Roman" w:eastAsia="宋体" w:cs="Times New Roman"/>
                      <w:bCs/>
                      <w:i w:val="0"/>
                      <w:iCs w:val="0"/>
                      <w:color w:val="000000"/>
                      <w:kern w:val="0"/>
                      <w:sz w:val="18"/>
                      <w:szCs w:val="18"/>
                      <w:highlight w:val="none"/>
                      <w:u w:val="none"/>
                      <w:lang w:val="en-US" w:eastAsia="zh-CN" w:bidi="ar"/>
                    </w:rPr>
                    <w:t>低温反应器</w:t>
                  </w:r>
                </w:p>
              </w:tc>
              <w:tc>
                <w:tcPr>
                  <w:tcW w:w="1436" w:type="pct"/>
                  <w:tcBorders>
                    <w:tl2br w:val="nil"/>
                    <w:tr2bl w:val="nil"/>
                  </w:tcBorders>
                  <w:shd w:val="clear" w:color="auto" w:fill="FFFFFF"/>
                  <w:noWrap/>
                  <w:vAlign w:val="center"/>
                </w:tcPr>
                <w:p w14:paraId="3F0DF7E0">
                  <w:pPr>
                    <w:keepNext w:val="0"/>
                    <w:keepLines w:val="0"/>
                    <w:pageBreakBefore w:val="0"/>
                    <w:suppressLineNumbers w:val="0"/>
                    <w:kinsoku/>
                    <w:wordWrap/>
                    <w:overflowPunct/>
                    <w:topLinePunct w:val="0"/>
                    <w:bidi w:val="0"/>
                    <w:adjustRightInd w:val="0"/>
                    <w:snapToGrid w:val="0"/>
                    <w:spacing w:before="0" w:beforeAutospacing="0" w:after="0" w:afterAutospacing="0" w:line="276" w:lineRule="auto"/>
                    <w:ind w:left="0" w:right="0"/>
                    <w:jc w:val="center"/>
                    <w:rPr>
                      <w:rFonts w:hint="default" w:ascii="Times New Roman" w:hAnsi="Times New Roman" w:eastAsia="宋体" w:cs="Times New Roman"/>
                      <w:bCs/>
                      <w:i w:val="0"/>
                      <w:iCs w:val="0"/>
                      <w:color w:val="000000"/>
                      <w:kern w:val="0"/>
                      <w:sz w:val="18"/>
                      <w:szCs w:val="18"/>
                      <w:highlight w:val="none"/>
                      <w:u w:val="none"/>
                      <w:lang w:val="en-US" w:eastAsia="zh-CN" w:bidi="ar"/>
                    </w:rPr>
                  </w:pPr>
                  <w:r>
                    <w:rPr>
                      <w:rFonts w:hint="default" w:ascii="Times New Roman" w:hAnsi="Times New Roman" w:eastAsia="宋体" w:cs="Times New Roman"/>
                      <w:bCs/>
                      <w:i w:val="0"/>
                      <w:iCs w:val="0"/>
                      <w:color w:val="000000"/>
                      <w:kern w:val="0"/>
                      <w:sz w:val="18"/>
                      <w:szCs w:val="18"/>
                      <w:highlight w:val="none"/>
                      <w:u w:val="none"/>
                      <w:lang w:val="en-US" w:eastAsia="zh-CN" w:bidi="ar"/>
                    </w:rPr>
                    <w:t>/</w:t>
                  </w:r>
                </w:p>
              </w:tc>
              <w:tc>
                <w:tcPr>
                  <w:tcW w:w="284" w:type="pct"/>
                  <w:tcBorders>
                    <w:tl2br w:val="nil"/>
                    <w:tr2bl w:val="nil"/>
                  </w:tcBorders>
                  <w:shd w:val="clear" w:color="auto" w:fill="FFFFFF"/>
                  <w:vAlign w:val="center"/>
                </w:tcPr>
                <w:p w14:paraId="6CBCE711">
                  <w:pPr>
                    <w:keepNext w:val="0"/>
                    <w:keepLines w:val="0"/>
                    <w:pageBreakBefore w:val="0"/>
                    <w:widowControl/>
                    <w:suppressLineNumbers w:val="0"/>
                    <w:kinsoku/>
                    <w:wordWrap/>
                    <w:overflowPunct/>
                    <w:topLinePunct w:val="0"/>
                    <w:bidi w:val="0"/>
                    <w:adjustRightInd w:val="0"/>
                    <w:snapToGrid w:val="0"/>
                    <w:spacing w:before="0" w:beforeAutospacing="0" w:after="0" w:afterAutospacing="0" w:line="276" w:lineRule="auto"/>
                    <w:ind w:left="0" w:right="0"/>
                    <w:jc w:val="center"/>
                    <w:textAlignment w:val="center"/>
                    <w:rPr>
                      <w:rFonts w:hint="default" w:ascii="Times New Roman" w:hAnsi="Times New Roman" w:eastAsia="宋体" w:cs="Times New Roman"/>
                      <w:bCs/>
                      <w:i w:val="0"/>
                      <w:iCs w:val="0"/>
                      <w:color w:val="000000"/>
                      <w:kern w:val="0"/>
                      <w:sz w:val="18"/>
                      <w:szCs w:val="18"/>
                      <w:highlight w:val="none"/>
                      <w:u w:val="none"/>
                      <w:lang w:val="en-US" w:eastAsia="zh-CN" w:bidi="ar"/>
                    </w:rPr>
                  </w:pPr>
                  <w:r>
                    <w:rPr>
                      <w:rFonts w:hint="default" w:ascii="Times New Roman" w:hAnsi="Times New Roman" w:eastAsia="宋体" w:cs="Times New Roman"/>
                      <w:bCs/>
                      <w:i w:val="0"/>
                      <w:iCs w:val="0"/>
                      <w:color w:val="000000"/>
                      <w:kern w:val="0"/>
                      <w:sz w:val="18"/>
                      <w:szCs w:val="18"/>
                      <w:highlight w:val="none"/>
                      <w:u w:val="none"/>
                      <w:lang w:val="en-US" w:eastAsia="zh-CN" w:bidi="ar"/>
                    </w:rPr>
                    <w:t>10</w:t>
                  </w:r>
                </w:p>
              </w:tc>
              <w:tc>
                <w:tcPr>
                  <w:tcW w:w="1678" w:type="pct"/>
                  <w:vMerge w:val="continue"/>
                  <w:tcBorders>
                    <w:tl2br w:val="nil"/>
                    <w:tr2bl w:val="nil"/>
                  </w:tcBorders>
                  <w:shd w:val="clear" w:color="auto" w:fill="FFFFFF"/>
                  <w:vAlign w:val="center"/>
                </w:tcPr>
                <w:p w14:paraId="2630E603">
                  <w:pPr>
                    <w:keepNext w:val="0"/>
                    <w:keepLines w:val="0"/>
                    <w:pageBreakBefore w:val="0"/>
                    <w:widowControl/>
                    <w:suppressLineNumbers w:val="0"/>
                    <w:kinsoku/>
                    <w:wordWrap/>
                    <w:overflowPunct/>
                    <w:topLinePunct w:val="0"/>
                    <w:bidi w:val="0"/>
                    <w:adjustRightInd w:val="0"/>
                    <w:snapToGrid w:val="0"/>
                    <w:spacing w:before="0" w:beforeAutospacing="0" w:after="0" w:afterAutospacing="0" w:line="276" w:lineRule="auto"/>
                    <w:ind w:left="0" w:right="0"/>
                    <w:jc w:val="center"/>
                    <w:textAlignment w:val="center"/>
                    <w:rPr>
                      <w:rFonts w:hint="default" w:ascii="Times New Roman" w:hAnsi="Times New Roman" w:eastAsia="宋体" w:cs="Times New Roman"/>
                      <w:i w:val="0"/>
                      <w:iCs w:val="0"/>
                      <w:color w:val="000000"/>
                      <w:kern w:val="0"/>
                      <w:sz w:val="18"/>
                      <w:szCs w:val="18"/>
                      <w:highlight w:val="none"/>
                      <w:u w:val="none"/>
                      <w:lang w:val="en-US" w:eastAsia="zh-CN" w:bidi="ar"/>
                    </w:rPr>
                  </w:pPr>
                </w:p>
              </w:tc>
            </w:tr>
            <w:tr w14:paraId="081CB87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FFFFFF"/>
                <w:tblCellMar>
                  <w:top w:w="0" w:type="dxa"/>
                  <w:left w:w="28" w:type="dxa"/>
                  <w:bottom w:w="0" w:type="dxa"/>
                  <w:right w:w="28" w:type="dxa"/>
                </w:tblCellMar>
              </w:tblPrEx>
              <w:trPr>
                <w:trHeight w:val="0" w:hRule="atLeast"/>
              </w:trPr>
              <w:tc>
                <w:tcPr>
                  <w:tcW w:w="235" w:type="pct"/>
                  <w:tcBorders>
                    <w:tl2br w:val="nil"/>
                    <w:tr2bl w:val="nil"/>
                  </w:tcBorders>
                  <w:shd w:val="clear" w:color="auto" w:fill="FFFFFF"/>
                  <w:noWrap/>
                  <w:vAlign w:val="center"/>
                </w:tcPr>
                <w:p w14:paraId="17ABD946">
                  <w:pPr>
                    <w:keepNext w:val="0"/>
                    <w:keepLines w:val="0"/>
                    <w:pageBreakBefore w:val="0"/>
                    <w:widowControl/>
                    <w:suppressLineNumbers w:val="0"/>
                    <w:kinsoku/>
                    <w:wordWrap/>
                    <w:overflowPunct/>
                    <w:topLinePunct w:val="0"/>
                    <w:bidi w:val="0"/>
                    <w:adjustRightInd w:val="0"/>
                    <w:snapToGrid w:val="0"/>
                    <w:spacing w:before="0" w:beforeAutospacing="0" w:after="0" w:afterAutospacing="0" w:line="276" w:lineRule="auto"/>
                    <w:ind w:left="0" w:right="0"/>
                    <w:jc w:val="center"/>
                    <w:textAlignment w:val="center"/>
                    <w:rPr>
                      <w:rFonts w:hint="default" w:ascii="Times New Roman" w:hAnsi="Times New Roman" w:eastAsia="宋体" w:cs="Times New Roman"/>
                      <w:bCs/>
                      <w:i w:val="0"/>
                      <w:iCs w:val="0"/>
                      <w:color w:val="000000"/>
                      <w:kern w:val="0"/>
                      <w:sz w:val="18"/>
                      <w:szCs w:val="18"/>
                      <w:highlight w:val="none"/>
                      <w:u w:val="none"/>
                      <w:lang w:val="en-US" w:eastAsia="zh-CN" w:bidi="ar"/>
                    </w:rPr>
                  </w:pPr>
                  <w:r>
                    <w:rPr>
                      <w:rFonts w:hint="default" w:ascii="Times New Roman" w:hAnsi="Times New Roman" w:eastAsia="宋体" w:cs="Times New Roman"/>
                      <w:bCs/>
                      <w:i w:val="0"/>
                      <w:iCs w:val="0"/>
                      <w:color w:val="000000"/>
                      <w:kern w:val="0"/>
                      <w:sz w:val="18"/>
                      <w:szCs w:val="18"/>
                      <w:highlight w:val="none"/>
                      <w:u w:val="none"/>
                      <w:lang w:val="en-US" w:eastAsia="zh-CN" w:bidi="ar"/>
                    </w:rPr>
                    <w:t>66</w:t>
                  </w:r>
                </w:p>
              </w:tc>
              <w:tc>
                <w:tcPr>
                  <w:tcW w:w="349" w:type="pct"/>
                  <w:vMerge w:val="continue"/>
                  <w:tcBorders>
                    <w:tl2br w:val="nil"/>
                    <w:tr2bl w:val="nil"/>
                  </w:tcBorders>
                  <w:shd w:val="clear" w:color="auto" w:fill="FFFFFF"/>
                  <w:vAlign w:val="center"/>
                </w:tcPr>
                <w:p w14:paraId="52C4337D">
                  <w:pPr>
                    <w:pStyle w:val="120"/>
                    <w:keepNext w:val="0"/>
                    <w:keepLines w:val="0"/>
                    <w:pageBreakBefore w:val="0"/>
                    <w:framePr w:hSpace="0" w:wrap="auto" w:vAnchor="margin" w:hAnchor="text" w:xAlign="left" w:yAlign="inline"/>
                    <w:suppressLineNumbers w:val="0"/>
                    <w:kinsoku/>
                    <w:wordWrap/>
                    <w:overflowPunct/>
                    <w:topLinePunct w:val="0"/>
                    <w:bidi w:val="0"/>
                    <w:adjustRightInd w:val="0"/>
                    <w:snapToGrid w:val="0"/>
                    <w:spacing w:before="0" w:beforeAutospacing="0" w:after="0" w:afterAutospacing="0" w:line="276" w:lineRule="auto"/>
                    <w:ind w:left="0" w:right="0"/>
                    <w:jc w:val="center"/>
                    <w:rPr>
                      <w:rFonts w:hint="default" w:ascii="Times New Roman" w:hAnsi="Times New Roman" w:eastAsia="宋体" w:cs="Times New Roman"/>
                      <w:bCs/>
                      <w:i w:val="0"/>
                      <w:iCs w:val="0"/>
                      <w:color w:val="000000"/>
                      <w:kern w:val="0"/>
                      <w:sz w:val="18"/>
                      <w:szCs w:val="18"/>
                      <w:highlight w:val="none"/>
                      <w:u w:val="none"/>
                      <w:lang w:val="en-US" w:eastAsia="zh-CN" w:bidi="ar"/>
                    </w:rPr>
                  </w:pPr>
                </w:p>
              </w:tc>
              <w:tc>
                <w:tcPr>
                  <w:tcW w:w="1015" w:type="pct"/>
                  <w:tcBorders>
                    <w:tl2br w:val="nil"/>
                    <w:tr2bl w:val="nil"/>
                  </w:tcBorders>
                  <w:shd w:val="clear" w:color="auto" w:fill="FFFFFF"/>
                  <w:vAlign w:val="center"/>
                </w:tcPr>
                <w:p w14:paraId="6DAE42DF">
                  <w:pPr>
                    <w:keepNext w:val="0"/>
                    <w:keepLines w:val="0"/>
                    <w:pageBreakBefore w:val="0"/>
                    <w:widowControl/>
                    <w:suppressLineNumbers w:val="0"/>
                    <w:kinsoku/>
                    <w:wordWrap/>
                    <w:overflowPunct/>
                    <w:topLinePunct w:val="0"/>
                    <w:bidi w:val="0"/>
                    <w:adjustRightInd w:val="0"/>
                    <w:snapToGrid w:val="0"/>
                    <w:spacing w:before="0" w:beforeAutospacing="0" w:after="0" w:afterAutospacing="0" w:line="276" w:lineRule="auto"/>
                    <w:ind w:left="0" w:right="0"/>
                    <w:jc w:val="center"/>
                    <w:textAlignment w:val="center"/>
                    <w:rPr>
                      <w:rFonts w:hint="default" w:ascii="Times New Roman" w:hAnsi="Times New Roman" w:eastAsia="宋体" w:cs="Times New Roman"/>
                      <w:bCs/>
                      <w:i w:val="0"/>
                      <w:iCs w:val="0"/>
                      <w:color w:val="000000"/>
                      <w:kern w:val="0"/>
                      <w:sz w:val="18"/>
                      <w:szCs w:val="18"/>
                      <w:highlight w:val="none"/>
                      <w:u w:val="none"/>
                      <w:lang w:val="en-US" w:eastAsia="zh-CN" w:bidi="ar"/>
                    </w:rPr>
                  </w:pPr>
                  <w:r>
                    <w:rPr>
                      <w:rFonts w:hint="default" w:ascii="Times New Roman" w:hAnsi="Times New Roman" w:eastAsia="宋体" w:cs="Times New Roman"/>
                      <w:bCs/>
                      <w:i w:val="0"/>
                      <w:iCs w:val="0"/>
                      <w:color w:val="000000"/>
                      <w:kern w:val="0"/>
                      <w:sz w:val="18"/>
                      <w:szCs w:val="18"/>
                      <w:highlight w:val="none"/>
                      <w:u w:val="none"/>
                      <w:lang w:val="en-US" w:eastAsia="zh-CN" w:bidi="ar"/>
                    </w:rPr>
                    <w:t>大容量细胞发酵摇床</w:t>
                  </w:r>
                </w:p>
              </w:tc>
              <w:tc>
                <w:tcPr>
                  <w:tcW w:w="1436" w:type="pct"/>
                  <w:tcBorders>
                    <w:tl2br w:val="nil"/>
                    <w:tr2bl w:val="nil"/>
                  </w:tcBorders>
                  <w:shd w:val="clear" w:color="auto" w:fill="FFFFFF"/>
                  <w:noWrap/>
                  <w:vAlign w:val="center"/>
                </w:tcPr>
                <w:p w14:paraId="2171C92E">
                  <w:pPr>
                    <w:keepNext w:val="0"/>
                    <w:keepLines w:val="0"/>
                    <w:pageBreakBefore w:val="0"/>
                    <w:suppressLineNumbers w:val="0"/>
                    <w:kinsoku/>
                    <w:wordWrap/>
                    <w:overflowPunct/>
                    <w:topLinePunct w:val="0"/>
                    <w:bidi w:val="0"/>
                    <w:adjustRightInd w:val="0"/>
                    <w:snapToGrid w:val="0"/>
                    <w:spacing w:before="0" w:beforeAutospacing="0" w:after="0" w:afterAutospacing="0" w:line="276" w:lineRule="auto"/>
                    <w:ind w:left="0" w:right="0"/>
                    <w:jc w:val="center"/>
                    <w:rPr>
                      <w:rFonts w:hint="default" w:ascii="Times New Roman" w:hAnsi="Times New Roman" w:eastAsia="宋体" w:cs="Times New Roman"/>
                      <w:bCs/>
                      <w:i w:val="0"/>
                      <w:iCs w:val="0"/>
                      <w:color w:val="000000"/>
                      <w:kern w:val="0"/>
                      <w:sz w:val="18"/>
                      <w:szCs w:val="18"/>
                      <w:highlight w:val="none"/>
                      <w:u w:val="none"/>
                      <w:lang w:val="en-US" w:eastAsia="zh-CN" w:bidi="ar"/>
                    </w:rPr>
                  </w:pPr>
                  <w:r>
                    <w:rPr>
                      <w:rFonts w:hint="default" w:ascii="Times New Roman" w:hAnsi="Times New Roman" w:eastAsia="宋体" w:cs="Times New Roman"/>
                      <w:bCs/>
                      <w:i w:val="0"/>
                      <w:iCs w:val="0"/>
                      <w:color w:val="000000"/>
                      <w:kern w:val="0"/>
                      <w:sz w:val="18"/>
                      <w:szCs w:val="18"/>
                      <w:highlight w:val="none"/>
                      <w:u w:val="none"/>
                      <w:lang w:val="en-US" w:eastAsia="zh-CN" w:bidi="ar"/>
                    </w:rPr>
                    <w:t>/</w:t>
                  </w:r>
                </w:p>
              </w:tc>
              <w:tc>
                <w:tcPr>
                  <w:tcW w:w="284" w:type="pct"/>
                  <w:tcBorders>
                    <w:tl2br w:val="nil"/>
                    <w:tr2bl w:val="nil"/>
                  </w:tcBorders>
                  <w:shd w:val="clear" w:color="auto" w:fill="FFFFFF"/>
                  <w:vAlign w:val="center"/>
                </w:tcPr>
                <w:p w14:paraId="62A840E2">
                  <w:pPr>
                    <w:keepNext w:val="0"/>
                    <w:keepLines w:val="0"/>
                    <w:pageBreakBefore w:val="0"/>
                    <w:widowControl/>
                    <w:suppressLineNumbers w:val="0"/>
                    <w:kinsoku/>
                    <w:wordWrap/>
                    <w:overflowPunct/>
                    <w:topLinePunct w:val="0"/>
                    <w:bidi w:val="0"/>
                    <w:adjustRightInd w:val="0"/>
                    <w:snapToGrid w:val="0"/>
                    <w:spacing w:before="0" w:beforeAutospacing="0" w:after="0" w:afterAutospacing="0" w:line="276" w:lineRule="auto"/>
                    <w:ind w:left="0" w:right="0"/>
                    <w:jc w:val="center"/>
                    <w:textAlignment w:val="center"/>
                    <w:rPr>
                      <w:rFonts w:hint="default" w:ascii="Times New Roman" w:hAnsi="Times New Roman" w:eastAsia="宋体" w:cs="Times New Roman"/>
                      <w:bCs/>
                      <w:i w:val="0"/>
                      <w:iCs w:val="0"/>
                      <w:color w:val="000000"/>
                      <w:kern w:val="0"/>
                      <w:sz w:val="18"/>
                      <w:szCs w:val="18"/>
                      <w:highlight w:val="none"/>
                      <w:u w:val="none"/>
                      <w:lang w:val="en-US" w:eastAsia="zh-CN" w:bidi="ar"/>
                    </w:rPr>
                  </w:pPr>
                  <w:r>
                    <w:rPr>
                      <w:rFonts w:hint="default" w:ascii="Times New Roman" w:hAnsi="Times New Roman" w:eastAsia="宋体" w:cs="Times New Roman"/>
                      <w:bCs/>
                      <w:i w:val="0"/>
                      <w:iCs w:val="0"/>
                      <w:color w:val="000000"/>
                      <w:kern w:val="0"/>
                      <w:sz w:val="18"/>
                      <w:szCs w:val="18"/>
                      <w:highlight w:val="none"/>
                      <w:u w:val="none"/>
                      <w:lang w:val="en-US" w:eastAsia="zh-CN" w:bidi="ar"/>
                    </w:rPr>
                    <w:t>2</w:t>
                  </w:r>
                </w:p>
              </w:tc>
              <w:tc>
                <w:tcPr>
                  <w:tcW w:w="1678" w:type="pct"/>
                  <w:vMerge w:val="continue"/>
                  <w:tcBorders>
                    <w:tl2br w:val="nil"/>
                    <w:tr2bl w:val="nil"/>
                  </w:tcBorders>
                  <w:shd w:val="clear" w:color="auto" w:fill="FFFFFF"/>
                  <w:vAlign w:val="center"/>
                </w:tcPr>
                <w:p w14:paraId="5E9ECE1B">
                  <w:pPr>
                    <w:keepNext w:val="0"/>
                    <w:keepLines w:val="0"/>
                    <w:pageBreakBefore w:val="0"/>
                    <w:widowControl/>
                    <w:suppressLineNumbers w:val="0"/>
                    <w:kinsoku/>
                    <w:wordWrap/>
                    <w:overflowPunct/>
                    <w:topLinePunct w:val="0"/>
                    <w:bidi w:val="0"/>
                    <w:adjustRightInd w:val="0"/>
                    <w:snapToGrid w:val="0"/>
                    <w:spacing w:before="0" w:beforeAutospacing="0" w:after="0" w:afterAutospacing="0" w:line="276" w:lineRule="auto"/>
                    <w:ind w:left="0" w:right="0"/>
                    <w:jc w:val="center"/>
                    <w:textAlignment w:val="center"/>
                    <w:rPr>
                      <w:rFonts w:hint="default" w:ascii="Times New Roman" w:hAnsi="Times New Roman" w:eastAsia="宋体" w:cs="Times New Roman"/>
                      <w:i w:val="0"/>
                      <w:iCs w:val="0"/>
                      <w:color w:val="000000"/>
                      <w:kern w:val="0"/>
                      <w:sz w:val="18"/>
                      <w:szCs w:val="18"/>
                      <w:highlight w:val="none"/>
                      <w:u w:val="none"/>
                      <w:lang w:val="en-US" w:eastAsia="zh-CN" w:bidi="ar"/>
                    </w:rPr>
                  </w:pPr>
                </w:p>
              </w:tc>
            </w:tr>
            <w:tr w14:paraId="341D5A5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FFFFFF"/>
                <w:tblCellMar>
                  <w:top w:w="0" w:type="dxa"/>
                  <w:left w:w="28" w:type="dxa"/>
                  <w:bottom w:w="0" w:type="dxa"/>
                  <w:right w:w="28" w:type="dxa"/>
                </w:tblCellMar>
              </w:tblPrEx>
              <w:trPr>
                <w:trHeight w:val="0" w:hRule="atLeast"/>
              </w:trPr>
              <w:tc>
                <w:tcPr>
                  <w:tcW w:w="235" w:type="pct"/>
                  <w:tcBorders>
                    <w:tl2br w:val="nil"/>
                    <w:tr2bl w:val="nil"/>
                  </w:tcBorders>
                  <w:shd w:val="clear" w:color="auto" w:fill="FFFFFF"/>
                  <w:noWrap/>
                  <w:vAlign w:val="center"/>
                </w:tcPr>
                <w:p w14:paraId="673864DA">
                  <w:pPr>
                    <w:keepNext w:val="0"/>
                    <w:keepLines w:val="0"/>
                    <w:pageBreakBefore w:val="0"/>
                    <w:widowControl/>
                    <w:suppressLineNumbers w:val="0"/>
                    <w:kinsoku/>
                    <w:wordWrap/>
                    <w:overflowPunct/>
                    <w:topLinePunct w:val="0"/>
                    <w:bidi w:val="0"/>
                    <w:adjustRightInd w:val="0"/>
                    <w:snapToGrid w:val="0"/>
                    <w:spacing w:before="0" w:beforeAutospacing="0" w:after="0" w:afterAutospacing="0" w:line="276" w:lineRule="auto"/>
                    <w:ind w:left="0" w:right="0"/>
                    <w:jc w:val="center"/>
                    <w:textAlignment w:val="center"/>
                    <w:rPr>
                      <w:rFonts w:hint="default" w:ascii="Times New Roman" w:hAnsi="Times New Roman" w:eastAsia="宋体" w:cs="Times New Roman"/>
                      <w:bCs/>
                      <w:i w:val="0"/>
                      <w:iCs w:val="0"/>
                      <w:color w:val="000000"/>
                      <w:kern w:val="0"/>
                      <w:sz w:val="18"/>
                      <w:szCs w:val="18"/>
                      <w:highlight w:val="none"/>
                      <w:u w:val="none"/>
                      <w:lang w:val="en-US" w:eastAsia="zh-CN" w:bidi="ar"/>
                    </w:rPr>
                  </w:pPr>
                  <w:r>
                    <w:rPr>
                      <w:rFonts w:hint="default" w:ascii="Times New Roman" w:hAnsi="Times New Roman" w:eastAsia="宋体" w:cs="Times New Roman"/>
                      <w:bCs/>
                      <w:i w:val="0"/>
                      <w:iCs w:val="0"/>
                      <w:color w:val="000000"/>
                      <w:kern w:val="0"/>
                      <w:sz w:val="18"/>
                      <w:szCs w:val="18"/>
                      <w:highlight w:val="none"/>
                      <w:u w:val="none"/>
                      <w:lang w:val="en-US" w:eastAsia="zh-CN" w:bidi="ar"/>
                    </w:rPr>
                    <w:t>67</w:t>
                  </w:r>
                </w:p>
              </w:tc>
              <w:tc>
                <w:tcPr>
                  <w:tcW w:w="349" w:type="pct"/>
                  <w:vMerge w:val="continue"/>
                  <w:tcBorders>
                    <w:tl2br w:val="nil"/>
                    <w:tr2bl w:val="nil"/>
                  </w:tcBorders>
                  <w:shd w:val="clear" w:color="auto" w:fill="FFFFFF"/>
                  <w:vAlign w:val="center"/>
                </w:tcPr>
                <w:p w14:paraId="310A7419">
                  <w:pPr>
                    <w:pStyle w:val="120"/>
                    <w:keepNext w:val="0"/>
                    <w:keepLines w:val="0"/>
                    <w:pageBreakBefore w:val="0"/>
                    <w:framePr w:hSpace="0" w:wrap="auto" w:vAnchor="margin" w:hAnchor="text" w:xAlign="left" w:yAlign="inline"/>
                    <w:suppressLineNumbers w:val="0"/>
                    <w:kinsoku/>
                    <w:wordWrap/>
                    <w:overflowPunct/>
                    <w:topLinePunct w:val="0"/>
                    <w:bidi w:val="0"/>
                    <w:adjustRightInd w:val="0"/>
                    <w:snapToGrid w:val="0"/>
                    <w:spacing w:before="0" w:beforeAutospacing="0" w:after="0" w:afterAutospacing="0" w:line="276" w:lineRule="auto"/>
                    <w:ind w:left="0" w:right="0"/>
                    <w:jc w:val="center"/>
                    <w:rPr>
                      <w:rFonts w:hint="default" w:ascii="Times New Roman" w:hAnsi="Times New Roman" w:eastAsia="宋体" w:cs="Times New Roman"/>
                      <w:bCs/>
                      <w:i w:val="0"/>
                      <w:iCs w:val="0"/>
                      <w:color w:val="000000"/>
                      <w:kern w:val="0"/>
                      <w:sz w:val="18"/>
                      <w:szCs w:val="18"/>
                      <w:highlight w:val="none"/>
                      <w:u w:val="none"/>
                      <w:lang w:val="en-US" w:eastAsia="zh-CN" w:bidi="ar"/>
                    </w:rPr>
                  </w:pPr>
                </w:p>
              </w:tc>
              <w:tc>
                <w:tcPr>
                  <w:tcW w:w="1015" w:type="pct"/>
                  <w:tcBorders>
                    <w:tl2br w:val="nil"/>
                    <w:tr2bl w:val="nil"/>
                  </w:tcBorders>
                  <w:shd w:val="clear" w:color="auto" w:fill="FFFFFF"/>
                  <w:vAlign w:val="center"/>
                </w:tcPr>
                <w:p w14:paraId="74BFEC63">
                  <w:pPr>
                    <w:keepNext w:val="0"/>
                    <w:keepLines w:val="0"/>
                    <w:pageBreakBefore w:val="0"/>
                    <w:widowControl/>
                    <w:suppressLineNumbers w:val="0"/>
                    <w:kinsoku/>
                    <w:wordWrap/>
                    <w:overflowPunct/>
                    <w:topLinePunct w:val="0"/>
                    <w:bidi w:val="0"/>
                    <w:adjustRightInd w:val="0"/>
                    <w:snapToGrid w:val="0"/>
                    <w:spacing w:before="0" w:beforeAutospacing="0" w:after="0" w:afterAutospacing="0" w:line="276" w:lineRule="auto"/>
                    <w:ind w:left="0" w:right="0"/>
                    <w:jc w:val="center"/>
                    <w:textAlignment w:val="center"/>
                    <w:rPr>
                      <w:rFonts w:hint="default" w:ascii="Times New Roman" w:hAnsi="Times New Roman" w:eastAsia="宋体" w:cs="Times New Roman"/>
                      <w:bCs/>
                      <w:i w:val="0"/>
                      <w:iCs w:val="0"/>
                      <w:color w:val="000000"/>
                      <w:kern w:val="0"/>
                      <w:sz w:val="18"/>
                      <w:szCs w:val="18"/>
                      <w:highlight w:val="none"/>
                      <w:u w:val="none"/>
                      <w:lang w:val="en-US" w:eastAsia="zh-CN" w:bidi="ar"/>
                    </w:rPr>
                  </w:pPr>
                  <w:r>
                    <w:rPr>
                      <w:rFonts w:hint="default" w:ascii="Times New Roman" w:hAnsi="Times New Roman" w:eastAsia="宋体" w:cs="Times New Roman"/>
                      <w:bCs/>
                      <w:i w:val="0"/>
                      <w:iCs w:val="0"/>
                      <w:color w:val="000000"/>
                      <w:kern w:val="0"/>
                      <w:sz w:val="18"/>
                      <w:szCs w:val="18"/>
                      <w:highlight w:val="none"/>
                      <w:u w:val="none"/>
                      <w:lang w:val="en-US" w:eastAsia="zh-CN" w:bidi="ar"/>
                    </w:rPr>
                    <w:t>各类恒温摇床</w:t>
                  </w:r>
                </w:p>
              </w:tc>
              <w:tc>
                <w:tcPr>
                  <w:tcW w:w="1436" w:type="pct"/>
                  <w:tcBorders>
                    <w:tl2br w:val="nil"/>
                    <w:tr2bl w:val="nil"/>
                  </w:tcBorders>
                  <w:shd w:val="clear" w:color="auto" w:fill="FFFFFF"/>
                  <w:noWrap/>
                  <w:vAlign w:val="center"/>
                </w:tcPr>
                <w:p w14:paraId="53D4226B">
                  <w:pPr>
                    <w:keepNext w:val="0"/>
                    <w:keepLines w:val="0"/>
                    <w:pageBreakBefore w:val="0"/>
                    <w:suppressLineNumbers w:val="0"/>
                    <w:kinsoku/>
                    <w:wordWrap/>
                    <w:overflowPunct/>
                    <w:topLinePunct w:val="0"/>
                    <w:bidi w:val="0"/>
                    <w:adjustRightInd w:val="0"/>
                    <w:snapToGrid w:val="0"/>
                    <w:spacing w:before="0" w:beforeAutospacing="0" w:after="0" w:afterAutospacing="0" w:line="276" w:lineRule="auto"/>
                    <w:ind w:left="0" w:right="0"/>
                    <w:jc w:val="center"/>
                    <w:rPr>
                      <w:rFonts w:hint="default" w:ascii="Times New Roman" w:hAnsi="Times New Roman" w:eastAsia="宋体" w:cs="Times New Roman"/>
                      <w:bCs/>
                      <w:i w:val="0"/>
                      <w:iCs w:val="0"/>
                      <w:color w:val="000000"/>
                      <w:kern w:val="0"/>
                      <w:sz w:val="18"/>
                      <w:szCs w:val="18"/>
                      <w:highlight w:val="none"/>
                      <w:u w:val="none"/>
                      <w:lang w:val="en-US" w:eastAsia="zh-CN" w:bidi="ar"/>
                    </w:rPr>
                  </w:pPr>
                  <w:r>
                    <w:rPr>
                      <w:rFonts w:hint="default" w:ascii="Times New Roman" w:hAnsi="Times New Roman" w:eastAsia="宋体" w:cs="Times New Roman"/>
                      <w:bCs/>
                      <w:i w:val="0"/>
                      <w:iCs w:val="0"/>
                      <w:color w:val="000000"/>
                      <w:kern w:val="0"/>
                      <w:sz w:val="18"/>
                      <w:szCs w:val="18"/>
                      <w:highlight w:val="none"/>
                      <w:u w:val="none"/>
                      <w:lang w:val="en-US" w:eastAsia="zh-CN" w:bidi="ar"/>
                    </w:rPr>
                    <w:t>/</w:t>
                  </w:r>
                </w:p>
              </w:tc>
              <w:tc>
                <w:tcPr>
                  <w:tcW w:w="284" w:type="pct"/>
                  <w:tcBorders>
                    <w:tl2br w:val="nil"/>
                    <w:tr2bl w:val="nil"/>
                  </w:tcBorders>
                  <w:shd w:val="clear" w:color="auto" w:fill="FFFFFF"/>
                  <w:vAlign w:val="center"/>
                </w:tcPr>
                <w:p w14:paraId="448C374E">
                  <w:pPr>
                    <w:keepNext w:val="0"/>
                    <w:keepLines w:val="0"/>
                    <w:pageBreakBefore w:val="0"/>
                    <w:widowControl/>
                    <w:suppressLineNumbers w:val="0"/>
                    <w:kinsoku/>
                    <w:wordWrap/>
                    <w:overflowPunct/>
                    <w:topLinePunct w:val="0"/>
                    <w:bidi w:val="0"/>
                    <w:adjustRightInd w:val="0"/>
                    <w:snapToGrid w:val="0"/>
                    <w:spacing w:before="0" w:beforeAutospacing="0" w:after="0" w:afterAutospacing="0" w:line="276" w:lineRule="auto"/>
                    <w:ind w:left="0" w:right="0"/>
                    <w:jc w:val="center"/>
                    <w:textAlignment w:val="center"/>
                    <w:rPr>
                      <w:rFonts w:hint="default" w:ascii="Times New Roman" w:hAnsi="Times New Roman" w:eastAsia="宋体" w:cs="Times New Roman"/>
                      <w:bCs/>
                      <w:i w:val="0"/>
                      <w:iCs w:val="0"/>
                      <w:color w:val="000000"/>
                      <w:kern w:val="0"/>
                      <w:sz w:val="18"/>
                      <w:szCs w:val="18"/>
                      <w:highlight w:val="none"/>
                      <w:u w:val="none"/>
                      <w:lang w:val="en-US" w:eastAsia="zh-CN" w:bidi="ar"/>
                    </w:rPr>
                  </w:pPr>
                  <w:r>
                    <w:rPr>
                      <w:rFonts w:hint="default" w:ascii="Times New Roman" w:hAnsi="Times New Roman" w:eastAsia="宋体" w:cs="Times New Roman"/>
                      <w:bCs/>
                      <w:i w:val="0"/>
                      <w:iCs w:val="0"/>
                      <w:color w:val="000000"/>
                      <w:kern w:val="0"/>
                      <w:sz w:val="18"/>
                      <w:szCs w:val="18"/>
                      <w:highlight w:val="none"/>
                      <w:u w:val="none"/>
                      <w:lang w:val="en-US" w:eastAsia="zh-CN" w:bidi="ar"/>
                    </w:rPr>
                    <w:t>10</w:t>
                  </w:r>
                </w:p>
              </w:tc>
              <w:tc>
                <w:tcPr>
                  <w:tcW w:w="1678" w:type="pct"/>
                  <w:vMerge w:val="continue"/>
                  <w:tcBorders>
                    <w:tl2br w:val="nil"/>
                    <w:tr2bl w:val="nil"/>
                  </w:tcBorders>
                  <w:shd w:val="clear" w:color="auto" w:fill="FFFFFF"/>
                  <w:vAlign w:val="center"/>
                </w:tcPr>
                <w:p w14:paraId="30C5ED21">
                  <w:pPr>
                    <w:keepNext w:val="0"/>
                    <w:keepLines w:val="0"/>
                    <w:pageBreakBefore w:val="0"/>
                    <w:widowControl/>
                    <w:suppressLineNumbers w:val="0"/>
                    <w:kinsoku/>
                    <w:wordWrap/>
                    <w:overflowPunct/>
                    <w:topLinePunct w:val="0"/>
                    <w:bidi w:val="0"/>
                    <w:adjustRightInd w:val="0"/>
                    <w:snapToGrid w:val="0"/>
                    <w:spacing w:before="0" w:beforeAutospacing="0" w:after="0" w:afterAutospacing="0" w:line="276" w:lineRule="auto"/>
                    <w:ind w:left="0" w:right="0"/>
                    <w:jc w:val="center"/>
                    <w:textAlignment w:val="center"/>
                    <w:rPr>
                      <w:rFonts w:hint="default" w:ascii="Times New Roman" w:hAnsi="Times New Roman" w:eastAsia="宋体" w:cs="Times New Roman"/>
                      <w:i w:val="0"/>
                      <w:iCs w:val="0"/>
                      <w:color w:val="000000"/>
                      <w:kern w:val="0"/>
                      <w:sz w:val="18"/>
                      <w:szCs w:val="18"/>
                      <w:highlight w:val="none"/>
                      <w:u w:val="none"/>
                      <w:lang w:val="en-US" w:eastAsia="zh-CN" w:bidi="ar"/>
                    </w:rPr>
                  </w:pPr>
                </w:p>
              </w:tc>
            </w:tr>
            <w:tr w14:paraId="68FFCCB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FFFFFF"/>
                <w:tblCellMar>
                  <w:top w:w="0" w:type="dxa"/>
                  <w:left w:w="28" w:type="dxa"/>
                  <w:bottom w:w="0" w:type="dxa"/>
                  <w:right w:w="28" w:type="dxa"/>
                </w:tblCellMar>
              </w:tblPrEx>
              <w:trPr>
                <w:trHeight w:val="0" w:hRule="atLeast"/>
              </w:trPr>
              <w:tc>
                <w:tcPr>
                  <w:tcW w:w="235" w:type="pct"/>
                  <w:tcBorders>
                    <w:tl2br w:val="nil"/>
                    <w:tr2bl w:val="nil"/>
                  </w:tcBorders>
                  <w:shd w:val="clear" w:color="auto" w:fill="FFFFFF"/>
                  <w:noWrap/>
                  <w:vAlign w:val="center"/>
                </w:tcPr>
                <w:p w14:paraId="6D9AF226">
                  <w:pPr>
                    <w:keepNext w:val="0"/>
                    <w:keepLines w:val="0"/>
                    <w:pageBreakBefore w:val="0"/>
                    <w:widowControl/>
                    <w:suppressLineNumbers w:val="0"/>
                    <w:kinsoku/>
                    <w:wordWrap/>
                    <w:overflowPunct/>
                    <w:topLinePunct w:val="0"/>
                    <w:bidi w:val="0"/>
                    <w:adjustRightInd w:val="0"/>
                    <w:snapToGrid w:val="0"/>
                    <w:spacing w:before="0" w:beforeAutospacing="0" w:after="0" w:afterAutospacing="0" w:line="276" w:lineRule="auto"/>
                    <w:ind w:left="0" w:right="0"/>
                    <w:jc w:val="center"/>
                    <w:textAlignment w:val="center"/>
                    <w:rPr>
                      <w:rFonts w:hint="default" w:ascii="Times New Roman" w:hAnsi="Times New Roman" w:eastAsia="宋体" w:cs="Times New Roman"/>
                      <w:bCs/>
                      <w:i w:val="0"/>
                      <w:iCs w:val="0"/>
                      <w:color w:val="000000"/>
                      <w:kern w:val="0"/>
                      <w:sz w:val="18"/>
                      <w:szCs w:val="18"/>
                      <w:highlight w:val="none"/>
                      <w:u w:val="none"/>
                      <w:lang w:val="en-US" w:eastAsia="zh-CN" w:bidi="ar"/>
                    </w:rPr>
                  </w:pPr>
                  <w:r>
                    <w:rPr>
                      <w:rFonts w:hint="default" w:ascii="Times New Roman" w:hAnsi="Times New Roman" w:eastAsia="宋体" w:cs="Times New Roman"/>
                      <w:bCs/>
                      <w:i w:val="0"/>
                      <w:iCs w:val="0"/>
                      <w:color w:val="000000"/>
                      <w:kern w:val="0"/>
                      <w:sz w:val="18"/>
                      <w:szCs w:val="18"/>
                      <w:highlight w:val="none"/>
                      <w:u w:val="none"/>
                      <w:lang w:val="en-US" w:eastAsia="zh-CN" w:bidi="ar"/>
                    </w:rPr>
                    <w:t>68</w:t>
                  </w:r>
                </w:p>
              </w:tc>
              <w:tc>
                <w:tcPr>
                  <w:tcW w:w="349" w:type="pct"/>
                  <w:vMerge w:val="continue"/>
                  <w:tcBorders>
                    <w:tl2br w:val="nil"/>
                    <w:tr2bl w:val="nil"/>
                  </w:tcBorders>
                  <w:shd w:val="clear" w:color="auto" w:fill="FFFFFF"/>
                  <w:vAlign w:val="center"/>
                </w:tcPr>
                <w:p w14:paraId="75A69E39">
                  <w:pPr>
                    <w:pStyle w:val="120"/>
                    <w:keepNext w:val="0"/>
                    <w:keepLines w:val="0"/>
                    <w:pageBreakBefore w:val="0"/>
                    <w:framePr w:hSpace="0" w:wrap="auto" w:vAnchor="margin" w:hAnchor="text" w:xAlign="left" w:yAlign="inline"/>
                    <w:suppressLineNumbers w:val="0"/>
                    <w:kinsoku/>
                    <w:wordWrap/>
                    <w:overflowPunct/>
                    <w:topLinePunct w:val="0"/>
                    <w:bidi w:val="0"/>
                    <w:adjustRightInd w:val="0"/>
                    <w:snapToGrid w:val="0"/>
                    <w:spacing w:before="0" w:beforeAutospacing="0" w:after="0" w:afterAutospacing="0" w:line="276" w:lineRule="auto"/>
                    <w:ind w:left="0" w:right="0"/>
                    <w:jc w:val="center"/>
                    <w:rPr>
                      <w:rFonts w:hint="default" w:ascii="Times New Roman" w:hAnsi="Times New Roman" w:eastAsia="宋体" w:cs="Times New Roman"/>
                      <w:bCs/>
                      <w:i w:val="0"/>
                      <w:iCs w:val="0"/>
                      <w:color w:val="000000"/>
                      <w:kern w:val="0"/>
                      <w:sz w:val="18"/>
                      <w:szCs w:val="18"/>
                      <w:highlight w:val="none"/>
                      <w:u w:val="none"/>
                      <w:lang w:val="en-US" w:eastAsia="zh-CN" w:bidi="ar"/>
                    </w:rPr>
                  </w:pPr>
                </w:p>
              </w:tc>
              <w:tc>
                <w:tcPr>
                  <w:tcW w:w="1015" w:type="pct"/>
                  <w:tcBorders>
                    <w:tl2br w:val="nil"/>
                    <w:tr2bl w:val="nil"/>
                  </w:tcBorders>
                  <w:shd w:val="clear" w:color="auto" w:fill="FFFFFF"/>
                  <w:vAlign w:val="center"/>
                </w:tcPr>
                <w:p w14:paraId="1E7789D3">
                  <w:pPr>
                    <w:keepNext w:val="0"/>
                    <w:keepLines w:val="0"/>
                    <w:pageBreakBefore w:val="0"/>
                    <w:widowControl/>
                    <w:suppressLineNumbers w:val="0"/>
                    <w:kinsoku/>
                    <w:wordWrap/>
                    <w:overflowPunct/>
                    <w:topLinePunct w:val="0"/>
                    <w:bidi w:val="0"/>
                    <w:adjustRightInd w:val="0"/>
                    <w:snapToGrid w:val="0"/>
                    <w:spacing w:before="0" w:beforeAutospacing="0" w:after="0" w:afterAutospacing="0" w:line="276" w:lineRule="auto"/>
                    <w:ind w:left="0" w:right="0"/>
                    <w:jc w:val="center"/>
                    <w:textAlignment w:val="center"/>
                    <w:rPr>
                      <w:rFonts w:hint="default" w:ascii="Times New Roman" w:hAnsi="Times New Roman" w:eastAsia="宋体" w:cs="Times New Roman"/>
                      <w:bCs/>
                      <w:i w:val="0"/>
                      <w:iCs w:val="0"/>
                      <w:color w:val="000000"/>
                      <w:kern w:val="0"/>
                      <w:sz w:val="18"/>
                      <w:szCs w:val="18"/>
                      <w:highlight w:val="none"/>
                      <w:u w:val="none"/>
                      <w:lang w:val="en-US" w:eastAsia="zh-CN" w:bidi="ar"/>
                    </w:rPr>
                  </w:pPr>
                  <w:r>
                    <w:rPr>
                      <w:rFonts w:hint="default" w:ascii="Times New Roman" w:hAnsi="Times New Roman" w:eastAsia="宋体" w:cs="Times New Roman"/>
                      <w:bCs/>
                      <w:i w:val="0"/>
                      <w:iCs w:val="0"/>
                      <w:color w:val="000000"/>
                      <w:kern w:val="0"/>
                      <w:sz w:val="18"/>
                      <w:szCs w:val="18"/>
                      <w:highlight w:val="none"/>
                      <w:u w:val="none"/>
                      <w:lang w:val="en-US" w:eastAsia="zh-CN" w:bidi="ar"/>
                    </w:rPr>
                    <w:t>高通量酶联免疫吸附洗板封闭一体机</w:t>
                  </w:r>
                </w:p>
              </w:tc>
              <w:tc>
                <w:tcPr>
                  <w:tcW w:w="1436" w:type="pct"/>
                  <w:tcBorders>
                    <w:tl2br w:val="nil"/>
                    <w:tr2bl w:val="nil"/>
                  </w:tcBorders>
                  <w:shd w:val="clear" w:color="auto" w:fill="FFFFFF"/>
                  <w:noWrap/>
                  <w:vAlign w:val="center"/>
                </w:tcPr>
                <w:p w14:paraId="6E52701E">
                  <w:pPr>
                    <w:keepNext w:val="0"/>
                    <w:keepLines w:val="0"/>
                    <w:pageBreakBefore w:val="0"/>
                    <w:suppressLineNumbers w:val="0"/>
                    <w:kinsoku/>
                    <w:wordWrap/>
                    <w:overflowPunct/>
                    <w:topLinePunct w:val="0"/>
                    <w:bidi w:val="0"/>
                    <w:adjustRightInd w:val="0"/>
                    <w:snapToGrid w:val="0"/>
                    <w:spacing w:before="0" w:beforeAutospacing="0" w:after="0" w:afterAutospacing="0" w:line="276" w:lineRule="auto"/>
                    <w:ind w:left="0" w:right="0"/>
                    <w:jc w:val="center"/>
                    <w:rPr>
                      <w:rFonts w:hint="default" w:ascii="Times New Roman" w:hAnsi="Times New Roman" w:eastAsia="宋体" w:cs="Times New Roman"/>
                      <w:bCs/>
                      <w:i w:val="0"/>
                      <w:iCs w:val="0"/>
                      <w:color w:val="000000"/>
                      <w:kern w:val="0"/>
                      <w:sz w:val="18"/>
                      <w:szCs w:val="18"/>
                      <w:highlight w:val="none"/>
                      <w:u w:val="none"/>
                      <w:lang w:val="en-US" w:eastAsia="zh-CN" w:bidi="ar"/>
                    </w:rPr>
                  </w:pPr>
                  <w:r>
                    <w:rPr>
                      <w:rFonts w:hint="default" w:ascii="Times New Roman" w:hAnsi="Times New Roman" w:eastAsia="宋体" w:cs="Times New Roman"/>
                      <w:bCs/>
                      <w:i w:val="0"/>
                      <w:iCs w:val="0"/>
                      <w:color w:val="000000"/>
                      <w:kern w:val="0"/>
                      <w:sz w:val="18"/>
                      <w:szCs w:val="18"/>
                      <w:highlight w:val="none"/>
                      <w:u w:val="none"/>
                      <w:lang w:val="en-US" w:eastAsia="zh-CN" w:bidi="ar"/>
                    </w:rPr>
                    <w:t>/</w:t>
                  </w:r>
                </w:p>
              </w:tc>
              <w:tc>
                <w:tcPr>
                  <w:tcW w:w="284" w:type="pct"/>
                  <w:tcBorders>
                    <w:tl2br w:val="nil"/>
                    <w:tr2bl w:val="nil"/>
                  </w:tcBorders>
                  <w:shd w:val="clear" w:color="auto" w:fill="FFFFFF"/>
                  <w:vAlign w:val="center"/>
                </w:tcPr>
                <w:p w14:paraId="35AEC4F8">
                  <w:pPr>
                    <w:keepNext w:val="0"/>
                    <w:keepLines w:val="0"/>
                    <w:pageBreakBefore w:val="0"/>
                    <w:widowControl/>
                    <w:suppressLineNumbers w:val="0"/>
                    <w:kinsoku/>
                    <w:wordWrap/>
                    <w:overflowPunct/>
                    <w:topLinePunct w:val="0"/>
                    <w:bidi w:val="0"/>
                    <w:adjustRightInd w:val="0"/>
                    <w:snapToGrid w:val="0"/>
                    <w:spacing w:before="0" w:beforeAutospacing="0" w:after="0" w:afterAutospacing="0" w:line="276" w:lineRule="auto"/>
                    <w:ind w:left="0" w:right="0"/>
                    <w:jc w:val="center"/>
                    <w:textAlignment w:val="center"/>
                    <w:rPr>
                      <w:rFonts w:hint="default" w:ascii="Times New Roman" w:hAnsi="Times New Roman" w:eastAsia="宋体" w:cs="Times New Roman"/>
                      <w:bCs/>
                      <w:i w:val="0"/>
                      <w:iCs w:val="0"/>
                      <w:color w:val="000000"/>
                      <w:kern w:val="0"/>
                      <w:sz w:val="18"/>
                      <w:szCs w:val="18"/>
                      <w:highlight w:val="none"/>
                      <w:u w:val="none"/>
                      <w:lang w:val="en-US" w:eastAsia="zh-CN" w:bidi="ar"/>
                    </w:rPr>
                  </w:pPr>
                  <w:r>
                    <w:rPr>
                      <w:rFonts w:hint="default" w:ascii="Times New Roman" w:hAnsi="Times New Roman" w:eastAsia="宋体" w:cs="Times New Roman"/>
                      <w:bCs/>
                      <w:i w:val="0"/>
                      <w:iCs w:val="0"/>
                      <w:color w:val="000000"/>
                      <w:kern w:val="0"/>
                      <w:sz w:val="18"/>
                      <w:szCs w:val="18"/>
                      <w:highlight w:val="none"/>
                      <w:u w:val="none"/>
                      <w:lang w:val="en-US" w:eastAsia="zh-CN" w:bidi="ar"/>
                    </w:rPr>
                    <w:t>2</w:t>
                  </w:r>
                </w:p>
              </w:tc>
              <w:tc>
                <w:tcPr>
                  <w:tcW w:w="1678" w:type="pct"/>
                  <w:vMerge w:val="continue"/>
                  <w:tcBorders>
                    <w:tl2br w:val="nil"/>
                    <w:tr2bl w:val="nil"/>
                  </w:tcBorders>
                  <w:shd w:val="clear" w:color="auto" w:fill="FFFFFF"/>
                  <w:vAlign w:val="center"/>
                </w:tcPr>
                <w:p w14:paraId="7448A608">
                  <w:pPr>
                    <w:keepNext w:val="0"/>
                    <w:keepLines w:val="0"/>
                    <w:pageBreakBefore w:val="0"/>
                    <w:widowControl/>
                    <w:suppressLineNumbers w:val="0"/>
                    <w:kinsoku/>
                    <w:wordWrap/>
                    <w:overflowPunct/>
                    <w:topLinePunct w:val="0"/>
                    <w:bidi w:val="0"/>
                    <w:adjustRightInd w:val="0"/>
                    <w:snapToGrid w:val="0"/>
                    <w:spacing w:before="0" w:beforeAutospacing="0" w:after="0" w:afterAutospacing="0" w:line="276" w:lineRule="auto"/>
                    <w:ind w:left="0" w:right="0"/>
                    <w:jc w:val="center"/>
                    <w:textAlignment w:val="center"/>
                    <w:rPr>
                      <w:rFonts w:hint="default" w:ascii="Times New Roman" w:hAnsi="Times New Roman" w:eastAsia="宋体" w:cs="Times New Roman"/>
                      <w:i w:val="0"/>
                      <w:iCs w:val="0"/>
                      <w:color w:val="000000"/>
                      <w:kern w:val="0"/>
                      <w:sz w:val="18"/>
                      <w:szCs w:val="18"/>
                      <w:highlight w:val="none"/>
                      <w:u w:val="none"/>
                      <w:lang w:val="en-US" w:eastAsia="zh-CN" w:bidi="ar"/>
                    </w:rPr>
                  </w:pPr>
                </w:p>
              </w:tc>
            </w:tr>
            <w:tr w14:paraId="327CFE7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FFFFFF"/>
                <w:tblCellMar>
                  <w:top w:w="0" w:type="dxa"/>
                  <w:left w:w="28" w:type="dxa"/>
                  <w:bottom w:w="0" w:type="dxa"/>
                  <w:right w:w="28" w:type="dxa"/>
                </w:tblCellMar>
              </w:tblPrEx>
              <w:trPr>
                <w:trHeight w:val="0" w:hRule="atLeast"/>
              </w:trPr>
              <w:tc>
                <w:tcPr>
                  <w:tcW w:w="235" w:type="pct"/>
                  <w:tcBorders>
                    <w:tl2br w:val="nil"/>
                    <w:tr2bl w:val="nil"/>
                  </w:tcBorders>
                  <w:shd w:val="clear" w:color="auto" w:fill="FFFFFF"/>
                  <w:noWrap/>
                  <w:vAlign w:val="center"/>
                </w:tcPr>
                <w:p w14:paraId="562BD7F1">
                  <w:pPr>
                    <w:keepNext w:val="0"/>
                    <w:keepLines w:val="0"/>
                    <w:pageBreakBefore w:val="0"/>
                    <w:widowControl/>
                    <w:suppressLineNumbers w:val="0"/>
                    <w:kinsoku/>
                    <w:wordWrap/>
                    <w:overflowPunct/>
                    <w:topLinePunct w:val="0"/>
                    <w:bidi w:val="0"/>
                    <w:adjustRightInd w:val="0"/>
                    <w:snapToGrid w:val="0"/>
                    <w:spacing w:before="0" w:beforeAutospacing="0" w:after="0" w:afterAutospacing="0" w:line="276" w:lineRule="auto"/>
                    <w:ind w:left="0" w:right="0"/>
                    <w:jc w:val="center"/>
                    <w:textAlignment w:val="center"/>
                    <w:rPr>
                      <w:rFonts w:hint="default" w:ascii="Times New Roman" w:hAnsi="Times New Roman" w:eastAsia="宋体" w:cs="Times New Roman"/>
                      <w:bCs/>
                      <w:i w:val="0"/>
                      <w:iCs w:val="0"/>
                      <w:color w:val="000000"/>
                      <w:kern w:val="0"/>
                      <w:sz w:val="18"/>
                      <w:szCs w:val="18"/>
                      <w:highlight w:val="none"/>
                      <w:u w:val="none"/>
                      <w:lang w:val="en-US" w:eastAsia="zh-CN" w:bidi="ar"/>
                    </w:rPr>
                  </w:pPr>
                  <w:r>
                    <w:rPr>
                      <w:rFonts w:hint="default" w:ascii="Times New Roman" w:hAnsi="Times New Roman" w:eastAsia="宋体" w:cs="Times New Roman"/>
                      <w:bCs/>
                      <w:i w:val="0"/>
                      <w:iCs w:val="0"/>
                      <w:color w:val="000000"/>
                      <w:kern w:val="0"/>
                      <w:sz w:val="18"/>
                      <w:szCs w:val="18"/>
                      <w:highlight w:val="none"/>
                      <w:u w:val="none"/>
                      <w:lang w:val="en-US" w:eastAsia="zh-CN" w:bidi="ar"/>
                    </w:rPr>
                    <w:t>69</w:t>
                  </w:r>
                </w:p>
              </w:tc>
              <w:tc>
                <w:tcPr>
                  <w:tcW w:w="349" w:type="pct"/>
                  <w:vMerge w:val="continue"/>
                  <w:tcBorders>
                    <w:tl2br w:val="nil"/>
                    <w:tr2bl w:val="nil"/>
                  </w:tcBorders>
                  <w:shd w:val="clear" w:color="auto" w:fill="FFFFFF"/>
                  <w:vAlign w:val="center"/>
                </w:tcPr>
                <w:p w14:paraId="56A05713">
                  <w:pPr>
                    <w:pStyle w:val="120"/>
                    <w:keepNext w:val="0"/>
                    <w:keepLines w:val="0"/>
                    <w:pageBreakBefore w:val="0"/>
                    <w:framePr w:hSpace="0" w:wrap="auto" w:vAnchor="margin" w:hAnchor="text" w:xAlign="left" w:yAlign="inline"/>
                    <w:suppressLineNumbers w:val="0"/>
                    <w:kinsoku/>
                    <w:wordWrap/>
                    <w:overflowPunct/>
                    <w:topLinePunct w:val="0"/>
                    <w:bidi w:val="0"/>
                    <w:adjustRightInd w:val="0"/>
                    <w:snapToGrid w:val="0"/>
                    <w:spacing w:before="0" w:beforeAutospacing="0" w:after="0" w:afterAutospacing="0" w:line="276" w:lineRule="auto"/>
                    <w:ind w:left="0" w:right="0"/>
                    <w:jc w:val="center"/>
                    <w:rPr>
                      <w:rFonts w:hint="default" w:ascii="Times New Roman" w:hAnsi="Times New Roman" w:eastAsia="宋体" w:cs="Times New Roman"/>
                      <w:bCs/>
                      <w:i w:val="0"/>
                      <w:iCs w:val="0"/>
                      <w:color w:val="000000"/>
                      <w:kern w:val="0"/>
                      <w:sz w:val="18"/>
                      <w:szCs w:val="18"/>
                      <w:highlight w:val="none"/>
                      <w:u w:val="none"/>
                      <w:lang w:val="en-US" w:eastAsia="zh-CN" w:bidi="ar"/>
                    </w:rPr>
                  </w:pPr>
                </w:p>
              </w:tc>
              <w:tc>
                <w:tcPr>
                  <w:tcW w:w="1015" w:type="pct"/>
                  <w:tcBorders>
                    <w:tl2br w:val="nil"/>
                    <w:tr2bl w:val="nil"/>
                  </w:tcBorders>
                  <w:shd w:val="clear" w:color="auto" w:fill="FFFFFF"/>
                  <w:vAlign w:val="center"/>
                </w:tcPr>
                <w:p w14:paraId="5E04454A">
                  <w:pPr>
                    <w:keepNext w:val="0"/>
                    <w:keepLines w:val="0"/>
                    <w:pageBreakBefore w:val="0"/>
                    <w:widowControl/>
                    <w:suppressLineNumbers w:val="0"/>
                    <w:kinsoku/>
                    <w:wordWrap/>
                    <w:overflowPunct/>
                    <w:topLinePunct w:val="0"/>
                    <w:bidi w:val="0"/>
                    <w:adjustRightInd w:val="0"/>
                    <w:snapToGrid w:val="0"/>
                    <w:spacing w:before="0" w:beforeAutospacing="0" w:after="0" w:afterAutospacing="0" w:line="276" w:lineRule="auto"/>
                    <w:ind w:left="0" w:right="0"/>
                    <w:jc w:val="center"/>
                    <w:textAlignment w:val="center"/>
                    <w:rPr>
                      <w:rFonts w:hint="default" w:ascii="Times New Roman" w:hAnsi="Times New Roman" w:eastAsia="宋体" w:cs="Times New Roman"/>
                      <w:bCs/>
                      <w:i w:val="0"/>
                      <w:iCs w:val="0"/>
                      <w:color w:val="000000"/>
                      <w:kern w:val="0"/>
                      <w:sz w:val="18"/>
                      <w:szCs w:val="18"/>
                      <w:highlight w:val="none"/>
                      <w:u w:val="none"/>
                      <w:lang w:val="en-US" w:eastAsia="zh-CN" w:bidi="ar"/>
                    </w:rPr>
                  </w:pPr>
                  <w:r>
                    <w:rPr>
                      <w:rFonts w:hint="default" w:ascii="Times New Roman" w:hAnsi="Times New Roman" w:eastAsia="宋体" w:cs="Times New Roman"/>
                      <w:bCs/>
                      <w:i w:val="0"/>
                      <w:iCs w:val="0"/>
                      <w:color w:val="000000"/>
                      <w:kern w:val="0"/>
                      <w:sz w:val="18"/>
                      <w:szCs w:val="18"/>
                      <w:highlight w:val="none"/>
                      <w:u w:val="none"/>
                      <w:lang w:val="en-US" w:eastAsia="zh-CN" w:bidi="ar"/>
                    </w:rPr>
                    <w:t>全自动核酸和蛋白质片段回收系统</w:t>
                  </w:r>
                </w:p>
              </w:tc>
              <w:tc>
                <w:tcPr>
                  <w:tcW w:w="1436" w:type="pct"/>
                  <w:tcBorders>
                    <w:tl2br w:val="nil"/>
                    <w:tr2bl w:val="nil"/>
                  </w:tcBorders>
                  <w:shd w:val="clear" w:color="auto" w:fill="FFFFFF"/>
                  <w:noWrap/>
                  <w:vAlign w:val="center"/>
                </w:tcPr>
                <w:p w14:paraId="1F2ECA77">
                  <w:pPr>
                    <w:keepNext w:val="0"/>
                    <w:keepLines w:val="0"/>
                    <w:pageBreakBefore w:val="0"/>
                    <w:suppressLineNumbers w:val="0"/>
                    <w:kinsoku/>
                    <w:wordWrap/>
                    <w:overflowPunct/>
                    <w:topLinePunct w:val="0"/>
                    <w:bidi w:val="0"/>
                    <w:adjustRightInd w:val="0"/>
                    <w:snapToGrid w:val="0"/>
                    <w:spacing w:before="0" w:beforeAutospacing="0" w:after="0" w:afterAutospacing="0" w:line="276" w:lineRule="auto"/>
                    <w:ind w:left="0" w:right="0"/>
                    <w:jc w:val="center"/>
                    <w:rPr>
                      <w:rFonts w:hint="default" w:ascii="Times New Roman" w:hAnsi="Times New Roman" w:eastAsia="宋体" w:cs="Times New Roman"/>
                      <w:bCs/>
                      <w:i w:val="0"/>
                      <w:iCs w:val="0"/>
                      <w:color w:val="000000"/>
                      <w:kern w:val="0"/>
                      <w:sz w:val="18"/>
                      <w:szCs w:val="18"/>
                      <w:highlight w:val="none"/>
                      <w:u w:val="none"/>
                      <w:lang w:val="en-US" w:eastAsia="zh-CN" w:bidi="ar"/>
                    </w:rPr>
                  </w:pPr>
                  <w:r>
                    <w:rPr>
                      <w:rFonts w:hint="default" w:ascii="Times New Roman" w:hAnsi="Times New Roman" w:eastAsia="宋体" w:cs="Times New Roman"/>
                      <w:bCs/>
                      <w:i w:val="0"/>
                      <w:iCs w:val="0"/>
                      <w:color w:val="000000"/>
                      <w:kern w:val="0"/>
                      <w:sz w:val="18"/>
                      <w:szCs w:val="18"/>
                      <w:highlight w:val="none"/>
                      <w:u w:val="none"/>
                      <w:lang w:val="en-US" w:eastAsia="zh-CN" w:bidi="ar"/>
                    </w:rPr>
                    <w:t>/</w:t>
                  </w:r>
                </w:p>
              </w:tc>
              <w:tc>
                <w:tcPr>
                  <w:tcW w:w="284" w:type="pct"/>
                  <w:tcBorders>
                    <w:tl2br w:val="nil"/>
                    <w:tr2bl w:val="nil"/>
                  </w:tcBorders>
                  <w:shd w:val="clear" w:color="auto" w:fill="FFFFFF"/>
                  <w:vAlign w:val="center"/>
                </w:tcPr>
                <w:p w14:paraId="3B0C9A78">
                  <w:pPr>
                    <w:keepNext w:val="0"/>
                    <w:keepLines w:val="0"/>
                    <w:pageBreakBefore w:val="0"/>
                    <w:widowControl/>
                    <w:suppressLineNumbers w:val="0"/>
                    <w:kinsoku/>
                    <w:wordWrap/>
                    <w:overflowPunct/>
                    <w:topLinePunct w:val="0"/>
                    <w:bidi w:val="0"/>
                    <w:adjustRightInd w:val="0"/>
                    <w:snapToGrid w:val="0"/>
                    <w:spacing w:before="0" w:beforeAutospacing="0" w:after="0" w:afterAutospacing="0" w:line="276" w:lineRule="auto"/>
                    <w:ind w:left="0" w:right="0"/>
                    <w:jc w:val="center"/>
                    <w:textAlignment w:val="center"/>
                    <w:rPr>
                      <w:rFonts w:hint="default" w:ascii="Times New Roman" w:hAnsi="Times New Roman" w:eastAsia="宋体" w:cs="Times New Roman"/>
                      <w:bCs/>
                      <w:i w:val="0"/>
                      <w:iCs w:val="0"/>
                      <w:color w:val="000000"/>
                      <w:kern w:val="0"/>
                      <w:sz w:val="18"/>
                      <w:szCs w:val="18"/>
                      <w:highlight w:val="none"/>
                      <w:u w:val="none"/>
                      <w:lang w:val="en-US" w:eastAsia="zh-CN" w:bidi="ar"/>
                    </w:rPr>
                  </w:pPr>
                  <w:r>
                    <w:rPr>
                      <w:rFonts w:hint="default" w:ascii="Times New Roman" w:hAnsi="Times New Roman" w:eastAsia="宋体" w:cs="Times New Roman"/>
                      <w:bCs/>
                      <w:i w:val="0"/>
                      <w:iCs w:val="0"/>
                      <w:color w:val="000000"/>
                      <w:kern w:val="0"/>
                      <w:sz w:val="18"/>
                      <w:szCs w:val="18"/>
                      <w:highlight w:val="none"/>
                      <w:u w:val="none"/>
                      <w:lang w:val="en-US" w:eastAsia="zh-CN" w:bidi="ar"/>
                    </w:rPr>
                    <w:t>2</w:t>
                  </w:r>
                </w:p>
              </w:tc>
              <w:tc>
                <w:tcPr>
                  <w:tcW w:w="1678" w:type="pct"/>
                  <w:vMerge w:val="continue"/>
                  <w:tcBorders>
                    <w:tl2br w:val="nil"/>
                    <w:tr2bl w:val="nil"/>
                  </w:tcBorders>
                  <w:shd w:val="clear" w:color="auto" w:fill="FFFFFF"/>
                  <w:vAlign w:val="center"/>
                </w:tcPr>
                <w:p w14:paraId="325291BF">
                  <w:pPr>
                    <w:keepNext w:val="0"/>
                    <w:keepLines w:val="0"/>
                    <w:pageBreakBefore w:val="0"/>
                    <w:widowControl/>
                    <w:suppressLineNumbers w:val="0"/>
                    <w:kinsoku/>
                    <w:wordWrap/>
                    <w:overflowPunct/>
                    <w:topLinePunct w:val="0"/>
                    <w:bidi w:val="0"/>
                    <w:adjustRightInd w:val="0"/>
                    <w:snapToGrid w:val="0"/>
                    <w:spacing w:before="0" w:beforeAutospacing="0" w:after="0" w:afterAutospacing="0" w:line="276" w:lineRule="auto"/>
                    <w:ind w:left="0" w:right="0"/>
                    <w:jc w:val="center"/>
                    <w:textAlignment w:val="center"/>
                    <w:rPr>
                      <w:rFonts w:hint="default" w:ascii="Times New Roman" w:hAnsi="Times New Roman" w:eastAsia="宋体" w:cs="Times New Roman"/>
                      <w:i w:val="0"/>
                      <w:iCs w:val="0"/>
                      <w:color w:val="000000"/>
                      <w:kern w:val="0"/>
                      <w:sz w:val="18"/>
                      <w:szCs w:val="18"/>
                      <w:highlight w:val="none"/>
                      <w:u w:val="none"/>
                      <w:lang w:val="en-US" w:eastAsia="zh-CN" w:bidi="ar"/>
                    </w:rPr>
                  </w:pPr>
                </w:p>
              </w:tc>
            </w:tr>
            <w:tr w14:paraId="2EB57AD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0" w:hRule="atLeast"/>
              </w:trPr>
              <w:tc>
                <w:tcPr>
                  <w:tcW w:w="235" w:type="pct"/>
                  <w:tcBorders>
                    <w:tl2br w:val="nil"/>
                    <w:tr2bl w:val="nil"/>
                  </w:tcBorders>
                  <w:shd w:val="clear" w:color="auto" w:fill="FFFFFF"/>
                  <w:noWrap/>
                  <w:vAlign w:val="center"/>
                </w:tcPr>
                <w:p w14:paraId="034D77DE">
                  <w:pPr>
                    <w:keepNext w:val="0"/>
                    <w:keepLines w:val="0"/>
                    <w:pageBreakBefore w:val="0"/>
                    <w:widowControl/>
                    <w:suppressLineNumbers w:val="0"/>
                    <w:kinsoku/>
                    <w:wordWrap/>
                    <w:overflowPunct/>
                    <w:topLinePunct w:val="0"/>
                    <w:bidi w:val="0"/>
                    <w:adjustRightInd w:val="0"/>
                    <w:snapToGrid w:val="0"/>
                    <w:spacing w:before="0" w:beforeAutospacing="0" w:after="0" w:afterAutospacing="0" w:line="276" w:lineRule="auto"/>
                    <w:ind w:left="0" w:right="0"/>
                    <w:jc w:val="center"/>
                    <w:textAlignment w:val="center"/>
                    <w:rPr>
                      <w:rFonts w:hint="default" w:ascii="Times New Roman" w:hAnsi="Times New Roman" w:eastAsia="宋体" w:cs="Times New Roman"/>
                      <w:bCs/>
                      <w:i w:val="0"/>
                      <w:iCs w:val="0"/>
                      <w:color w:val="000000"/>
                      <w:kern w:val="0"/>
                      <w:sz w:val="18"/>
                      <w:szCs w:val="18"/>
                      <w:highlight w:val="none"/>
                      <w:u w:val="none"/>
                      <w:lang w:val="en-US" w:eastAsia="zh-CN" w:bidi="ar"/>
                    </w:rPr>
                  </w:pPr>
                  <w:r>
                    <w:rPr>
                      <w:rFonts w:hint="default" w:ascii="Times New Roman" w:hAnsi="Times New Roman" w:eastAsia="宋体" w:cs="Times New Roman"/>
                      <w:bCs/>
                      <w:i w:val="0"/>
                      <w:iCs w:val="0"/>
                      <w:color w:val="000000"/>
                      <w:kern w:val="0"/>
                      <w:sz w:val="18"/>
                      <w:szCs w:val="18"/>
                      <w:highlight w:val="none"/>
                      <w:u w:val="none"/>
                      <w:lang w:val="en-US" w:eastAsia="zh-CN" w:bidi="ar"/>
                    </w:rPr>
                    <w:t>70</w:t>
                  </w:r>
                </w:p>
              </w:tc>
              <w:tc>
                <w:tcPr>
                  <w:tcW w:w="349" w:type="pct"/>
                  <w:vMerge w:val="continue"/>
                  <w:tcBorders>
                    <w:tl2br w:val="nil"/>
                    <w:tr2bl w:val="nil"/>
                  </w:tcBorders>
                  <w:shd w:val="clear" w:color="auto" w:fill="FFFFFF"/>
                  <w:vAlign w:val="center"/>
                </w:tcPr>
                <w:p w14:paraId="5175C57A">
                  <w:pPr>
                    <w:pStyle w:val="120"/>
                    <w:keepNext w:val="0"/>
                    <w:keepLines w:val="0"/>
                    <w:pageBreakBefore w:val="0"/>
                    <w:framePr w:hSpace="0" w:wrap="auto" w:vAnchor="margin" w:hAnchor="text" w:xAlign="left" w:yAlign="inline"/>
                    <w:suppressLineNumbers w:val="0"/>
                    <w:kinsoku/>
                    <w:wordWrap/>
                    <w:overflowPunct/>
                    <w:topLinePunct w:val="0"/>
                    <w:bidi w:val="0"/>
                    <w:adjustRightInd w:val="0"/>
                    <w:snapToGrid w:val="0"/>
                    <w:spacing w:before="0" w:beforeAutospacing="0" w:after="0" w:afterAutospacing="0" w:line="276" w:lineRule="auto"/>
                    <w:ind w:left="0" w:right="0"/>
                    <w:jc w:val="center"/>
                    <w:rPr>
                      <w:rFonts w:hint="default" w:ascii="Times New Roman" w:hAnsi="Times New Roman" w:eastAsia="宋体" w:cs="Times New Roman"/>
                      <w:bCs/>
                      <w:i w:val="0"/>
                      <w:iCs w:val="0"/>
                      <w:color w:val="000000"/>
                      <w:kern w:val="0"/>
                      <w:sz w:val="18"/>
                      <w:szCs w:val="18"/>
                      <w:highlight w:val="none"/>
                      <w:u w:val="none"/>
                      <w:lang w:val="en-US" w:eastAsia="zh-CN" w:bidi="ar"/>
                    </w:rPr>
                  </w:pPr>
                </w:p>
              </w:tc>
              <w:tc>
                <w:tcPr>
                  <w:tcW w:w="1015" w:type="pct"/>
                  <w:tcBorders>
                    <w:tl2br w:val="nil"/>
                    <w:tr2bl w:val="nil"/>
                  </w:tcBorders>
                  <w:shd w:val="clear" w:color="auto" w:fill="FFFFFF"/>
                  <w:vAlign w:val="center"/>
                </w:tcPr>
                <w:p w14:paraId="3DE10914">
                  <w:pPr>
                    <w:keepNext w:val="0"/>
                    <w:keepLines w:val="0"/>
                    <w:pageBreakBefore w:val="0"/>
                    <w:widowControl/>
                    <w:suppressLineNumbers w:val="0"/>
                    <w:kinsoku/>
                    <w:wordWrap/>
                    <w:overflowPunct/>
                    <w:topLinePunct w:val="0"/>
                    <w:bidi w:val="0"/>
                    <w:adjustRightInd w:val="0"/>
                    <w:snapToGrid w:val="0"/>
                    <w:spacing w:before="0" w:beforeAutospacing="0" w:after="0" w:afterAutospacing="0" w:line="276" w:lineRule="auto"/>
                    <w:ind w:left="0" w:right="0"/>
                    <w:jc w:val="center"/>
                    <w:textAlignment w:val="center"/>
                    <w:rPr>
                      <w:rFonts w:hint="default" w:ascii="Times New Roman" w:hAnsi="Times New Roman" w:eastAsia="宋体" w:cs="Times New Roman"/>
                      <w:bCs/>
                      <w:i w:val="0"/>
                      <w:iCs w:val="0"/>
                      <w:color w:val="000000"/>
                      <w:kern w:val="0"/>
                      <w:sz w:val="18"/>
                      <w:szCs w:val="18"/>
                      <w:highlight w:val="none"/>
                      <w:u w:val="none"/>
                      <w:lang w:val="en-US" w:eastAsia="zh-CN" w:bidi="ar"/>
                    </w:rPr>
                  </w:pPr>
                  <w:r>
                    <w:rPr>
                      <w:rFonts w:hint="default" w:ascii="Times New Roman" w:hAnsi="Times New Roman" w:eastAsia="宋体" w:cs="Times New Roman"/>
                      <w:bCs/>
                      <w:i w:val="0"/>
                      <w:iCs w:val="0"/>
                      <w:color w:val="000000"/>
                      <w:kern w:val="0"/>
                      <w:sz w:val="18"/>
                      <w:szCs w:val="18"/>
                      <w:highlight w:val="none"/>
                      <w:u w:val="none"/>
                      <w:lang w:val="en-US" w:eastAsia="zh-CN" w:bidi="ar"/>
                    </w:rPr>
                    <w:t>高压匀质机</w:t>
                  </w:r>
                </w:p>
              </w:tc>
              <w:tc>
                <w:tcPr>
                  <w:tcW w:w="1436" w:type="pct"/>
                  <w:tcBorders>
                    <w:tl2br w:val="nil"/>
                    <w:tr2bl w:val="nil"/>
                  </w:tcBorders>
                  <w:shd w:val="clear" w:color="auto" w:fill="FFFFFF"/>
                  <w:noWrap/>
                  <w:vAlign w:val="center"/>
                </w:tcPr>
                <w:p w14:paraId="4DE533A2">
                  <w:pPr>
                    <w:keepNext w:val="0"/>
                    <w:keepLines w:val="0"/>
                    <w:pageBreakBefore w:val="0"/>
                    <w:suppressLineNumbers w:val="0"/>
                    <w:kinsoku/>
                    <w:wordWrap/>
                    <w:overflowPunct/>
                    <w:topLinePunct w:val="0"/>
                    <w:bidi w:val="0"/>
                    <w:adjustRightInd w:val="0"/>
                    <w:snapToGrid w:val="0"/>
                    <w:spacing w:before="0" w:beforeAutospacing="0" w:after="0" w:afterAutospacing="0" w:line="276" w:lineRule="auto"/>
                    <w:ind w:left="0" w:right="0"/>
                    <w:jc w:val="center"/>
                    <w:rPr>
                      <w:rFonts w:hint="default" w:ascii="Times New Roman" w:hAnsi="Times New Roman" w:eastAsia="宋体" w:cs="Times New Roman"/>
                      <w:bCs/>
                      <w:i w:val="0"/>
                      <w:iCs w:val="0"/>
                      <w:color w:val="000000"/>
                      <w:kern w:val="0"/>
                      <w:sz w:val="18"/>
                      <w:szCs w:val="18"/>
                      <w:highlight w:val="none"/>
                      <w:u w:val="none"/>
                      <w:lang w:val="en-US" w:eastAsia="zh-CN" w:bidi="ar"/>
                    </w:rPr>
                  </w:pPr>
                  <w:r>
                    <w:rPr>
                      <w:rFonts w:hint="default" w:ascii="Times New Roman" w:hAnsi="Times New Roman" w:eastAsia="宋体" w:cs="Times New Roman"/>
                      <w:bCs/>
                      <w:i w:val="0"/>
                      <w:iCs w:val="0"/>
                      <w:color w:val="000000"/>
                      <w:kern w:val="0"/>
                      <w:sz w:val="18"/>
                      <w:szCs w:val="18"/>
                      <w:highlight w:val="none"/>
                      <w:u w:val="none"/>
                      <w:lang w:val="en-US" w:eastAsia="zh-CN" w:bidi="ar"/>
                    </w:rPr>
                    <w:t>/</w:t>
                  </w:r>
                </w:p>
              </w:tc>
              <w:tc>
                <w:tcPr>
                  <w:tcW w:w="284" w:type="pct"/>
                  <w:tcBorders>
                    <w:tl2br w:val="nil"/>
                    <w:tr2bl w:val="nil"/>
                  </w:tcBorders>
                  <w:shd w:val="clear" w:color="auto" w:fill="FFFFFF"/>
                  <w:vAlign w:val="center"/>
                </w:tcPr>
                <w:p w14:paraId="00C3CABE">
                  <w:pPr>
                    <w:keepNext w:val="0"/>
                    <w:keepLines w:val="0"/>
                    <w:pageBreakBefore w:val="0"/>
                    <w:widowControl/>
                    <w:suppressLineNumbers w:val="0"/>
                    <w:kinsoku/>
                    <w:wordWrap/>
                    <w:overflowPunct/>
                    <w:topLinePunct w:val="0"/>
                    <w:bidi w:val="0"/>
                    <w:adjustRightInd w:val="0"/>
                    <w:snapToGrid w:val="0"/>
                    <w:spacing w:before="0" w:beforeAutospacing="0" w:after="0" w:afterAutospacing="0" w:line="276" w:lineRule="auto"/>
                    <w:ind w:left="0" w:right="0"/>
                    <w:jc w:val="center"/>
                    <w:textAlignment w:val="center"/>
                    <w:rPr>
                      <w:rFonts w:hint="default" w:ascii="Times New Roman" w:hAnsi="Times New Roman" w:eastAsia="宋体" w:cs="Times New Roman"/>
                      <w:bCs/>
                      <w:i w:val="0"/>
                      <w:iCs w:val="0"/>
                      <w:color w:val="000000"/>
                      <w:kern w:val="0"/>
                      <w:sz w:val="18"/>
                      <w:szCs w:val="18"/>
                      <w:highlight w:val="none"/>
                      <w:u w:val="none"/>
                      <w:lang w:val="en-US" w:eastAsia="zh-CN" w:bidi="ar"/>
                    </w:rPr>
                  </w:pPr>
                  <w:r>
                    <w:rPr>
                      <w:rFonts w:hint="default" w:ascii="Times New Roman" w:hAnsi="Times New Roman" w:eastAsia="宋体" w:cs="Times New Roman"/>
                      <w:bCs/>
                      <w:i w:val="0"/>
                      <w:iCs w:val="0"/>
                      <w:color w:val="000000"/>
                      <w:kern w:val="0"/>
                      <w:sz w:val="18"/>
                      <w:szCs w:val="18"/>
                      <w:highlight w:val="none"/>
                      <w:u w:val="none"/>
                      <w:lang w:val="en-US" w:eastAsia="zh-CN" w:bidi="ar"/>
                    </w:rPr>
                    <w:t>3</w:t>
                  </w:r>
                </w:p>
              </w:tc>
              <w:tc>
                <w:tcPr>
                  <w:tcW w:w="1678" w:type="pct"/>
                  <w:vMerge w:val="continue"/>
                  <w:tcBorders>
                    <w:tl2br w:val="nil"/>
                    <w:tr2bl w:val="nil"/>
                  </w:tcBorders>
                  <w:shd w:val="clear" w:color="auto" w:fill="FFFFFF"/>
                  <w:vAlign w:val="center"/>
                </w:tcPr>
                <w:p w14:paraId="0B6D7176">
                  <w:pPr>
                    <w:keepNext w:val="0"/>
                    <w:keepLines w:val="0"/>
                    <w:pageBreakBefore w:val="0"/>
                    <w:widowControl/>
                    <w:suppressLineNumbers w:val="0"/>
                    <w:kinsoku/>
                    <w:wordWrap/>
                    <w:overflowPunct/>
                    <w:topLinePunct w:val="0"/>
                    <w:bidi w:val="0"/>
                    <w:adjustRightInd w:val="0"/>
                    <w:snapToGrid w:val="0"/>
                    <w:spacing w:before="0" w:beforeAutospacing="0" w:after="0" w:afterAutospacing="0" w:line="276" w:lineRule="auto"/>
                    <w:ind w:left="0" w:right="0"/>
                    <w:jc w:val="center"/>
                    <w:textAlignment w:val="center"/>
                    <w:rPr>
                      <w:rFonts w:hint="default" w:ascii="Times New Roman" w:hAnsi="Times New Roman" w:eastAsia="宋体" w:cs="Times New Roman"/>
                      <w:i w:val="0"/>
                      <w:iCs w:val="0"/>
                      <w:color w:val="000000"/>
                      <w:kern w:val="0"/>
                      <w:sz w:val="18"/>
                      <w:szCs w:val="18"/>
                      <w:highlight w:val="none"/>
                      <w:u w:val="none"/>
                      <w:lang w:val="en-US" w:eastAsia="zh-CN" w:bidi="ar"/>
                    </w:rPr>
                  </w:pPr>
                </w:p>
              </w:tc>
            </w:tr>
            <w:tr w14:paraId="14D8F9B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0" w:hRule="atLeast"/>
              </w:trPr>
              <w:tc>
                <w:tcPr>
                  <w:tcW w:w="235" w:type="pct"/>
                  <w:tcBorders>
                    <w:tl2br w:val="nil"/>
                    <w:tr2bl w:val="nil"/>
                  </w:tcBorders>
                  <w:shd w:val="clear" w:color="auto" w:fill="FFFFFF"/>
                  <w:noWrap/>
                  <w:vAlign w:val="center"/>
                </w:tcPr>
                <w:p w14:paraId="398EED42">
                  <w:pPr>
                    <w:keepNext w:val="0"/>
                    <w:keepLines w:val="0"/>
                    <w:pageBreakBefore w:val="0"/>
                    <w:widowControl/>
                    <w:suppressLineNumbers w:val="0"/>
                    <w:kinsoku/>
                    <w:wordWrap/>
                    <w:overflowPunct/>
                    <w:topLinePunct w:val="0"/>
                    <w:bidi w:val="0"/>
                    <w:adjustRightInd w:val="0"/>
                    <w:snapToGrid w:val="0"/>
                    <w:spacing w:before="0" w:beforeAutospacing="0" w:after="0" w:afterAutospacing="0" w:line="276" w:lineRule="auto"/>
                    <w:ind w:left="0" w:right="0"/>
                    <w:jc w:val="center"/>
                    <w:textAlignment w:val="center"/>
                    <w:rPr>
                      <w:rFonts w:hint="default" w:ascii="Times New Roman" w:hAnsi="Times New Roman" w:eastAsia="宋体" w:cs="Times New Roman"/>
                      <w:bCs/>
                      <w:i w:val="0"/>
                      <w:iCs w:val="0"/>
                      <w:color w:val="000000"/>
                      <w:kern w:val="0"/>
                      <w:sz w:val="18"/>
                      <w:szCs w:val="18"/>
                      <w:highlight w:val="none"/>
                      <w:u w:val="none"/>
                      <w:lang w:val="en-US" w:eastAsia="zh-CN" w:bidi="ar"/>
                    </w:rPr>
                  </w:pPr>
                  <w:r>
                    <w:rPr>
                      <w:rFonts w:hint="default" w:ascii="Times New Roman" w:hAnsi="Times New Roman" w:eastAsia="宋体" w:cs="Times New Roman"/>
                      <w:bCs/>
                      <w:i w:val="0"/>
                      <w:iCs w:val="0"/>
                      <w:color w:val="000000"/>
                      <w:kern w:val="0"/>
                      <w:sz w:val="18"/>
                      <w:szCs w:val="18"/>
                      <w:highlight w:val="none"/>
                      <w:u w:val="none"/>
                      <w:lang w:val="en-US" w:eastAsia="zh-CN" w:bidi="ar"/>
                    </w:rPr>
                    <w:t>71</w:t>
                  </w:r>
                </w:p>
              </w:tc>
              <w:tc>
                <w:tcPr>
                  <w:tcW w:w="349" w:type="pct"/>
                  <w:vMerge w:val="continue"/>
                  <w:tcBorders>
                    <w:tl2br w:val="nil"/>
                    <w:tr2bl w:val="nil"/>
                  </w:tcBorders>
                  <w:shd w:val="clear" w:color="auto" w:fill="FFFFFF"/>
                  <w:vAlign w:val="center"/>
                </w:tcPr>
                <w:p w14:paraId="27A242A3">
                  <w:pPr>
                    <w:pStyle w:val="120"/>
                    <w:keepNext w:val="0"/>
                    <w:keepLines w:val="0"/>
                    <w:pageBreakBefore w:val="0"/>
                    <w:framePr w:hSpace="0" w:wrap="auto" w:vAnchor="margin" w:hAnchor="text" w:xAlign="left" w:yAlign="inline"/>
                    <w:suppressLineNumbers w:val="0"/>
                    <w:kinsoku/>
                    <w:wordWrap/>
                    <w:overflowPunct/>
                    <w:topLinePunct w:val="0"/>
                    <w:bidi w:val="0"/>
                    <w:adjustRightInd w:val="0"/>
                    <w:snapToGrid w:val="0"/>
                    <w:spacing w:before="0" w:beforeAutospacing="0" w:after="0" w:afterAutospacing="0" w:line="276" w:lineRule="auto"/>
                    <w:ind w:left="0" w:right="0"/>
                    <w:jc w:val="center"/>
                    <w:rPr>
                      <w:rFonts w:hint="default" w:ascii="Times New Roman" w:hAnsi="Times New Roman" w:eastAsia="宋体" w:cs="Times New Roman"/>
                      <w:bCs/>
                      <w:i w:val="0"/>
                      <w:iCs w:val="0"/>
                      <w:color w:val="000000"/>
                      <w:kern w:val="0"/>
                      <w:sz w:val="18"/>
                      <w:szCs w:val="18"/>
                      <w:highlight w:val="none"/>
                      <w:u w:val="none"/>
                      <w:lang w:val="en-US" w:eastAsia="zh-CN" w:bidi="ar"/>
                    </w:rPr>
                  </w:pPr>
                </w:p>
              </w:tc>
              <w:tc>
                <w:tcPr>
                  <w:tcW w:w="1015" w:type="pct"/>
                  <w:tcBorders>
                    <w:tl2br w:val="nil"/>
                    <w:tr2bl w:val="nil"/>
                  </w:tcBorders>
                  <w:shd w:val="clear" w:color="auto" w:fill="FFFFFF"/>
                  <w:vAlign w:val="center"/>
                </w:tcPr>
                <w:p w14:paraId="471B46A0">
                  <w:pPr>
                    <w:keepNext w:val="0"/>
                    <w:keepLines w:val="0"/>
                    <w:pageBreakBefore w:val="0"/>
                    <w:widowControl/>
                    <w:suppressLineNumbers w:val="0"/>
                    <w:kinsoku/>
                    <w:wordWrap/>
                    <w:overflowPunct/>
                    <w:topLinePunct w:val="0"/>
                    <w:bidi w:val="0"/>
                    <w:adjustRightInd w:val="0"/>
                    <w:snapToGrid w:val="0"/>
                    <w:spacing w:before="0" w:beforeAutospacing="0" w:after="0" w:afterAutospacing="0" w:line="276" w:lineRule="auto"/>
                    <w:ind w:left="0" w:right="0"/>
                    <w:jc w:val="center"/>
                    <w:textAlignment w:val="center"/>
                    <w:rPr>
                      <w:rFonts w:hint="default" w:ascii="Times New Roman" w:hAnsi="Times New Roman" w:eastAsia="宋体" w:cs="Times New Roman"/>
                      <w:bCs/>
                      <w:i w:val="0"/>
                      <w:iCs w:val="0"/>
                      <w:color w:val="000000"/>
                      <w:kern w:val="0"/>
                      <w:sz w:val="18"/>
                      <w:szCs w:val="18"/>
                      <w:highlight w:val="none"/>
                      <w:u w:val="none"/>
                      <w:lang w:val="en-US" w:eastAsia="zh-CN" w:bidi="ar"/>
                    </w:rPr>
                  </w:pPr>
                  <w:r>
                    <w:rPr>
                      <w:rFonts w:hint="default" w:ascii="Times New Roman" w:hAnsi="Times New Roman" w:eastAsia="宋体" w:cs="Times New Roman"/>
                      <w:bCs/>
                      <w:i w:val="0"/>
                      <w:iCs w:val="0"/>
                      <w:color w:val="000000"/>
                      <w:kern w:val="0"/>
                      <w:sz w:val="18"/>
                      <w:szCs w:val="18"/>
                      <w:highlight w:val="none"/>
                      <w:u w:val="none"/>
                      <w:lang w:val="en-US" w:eastAsia="zh-CN" w:bidi="ar"/>
                    </w:rPr>
                    <w:t>冷冻干燥机</w:t>
                  </w:r>
                </w:p>
              </w:tc>
              <w:tc>
                <w:tcPr>
                  <w:tcW w:w="1436" w:type="pct"/>
                  <w:tcBorders>
                    <w:tl2br w:val="nil"/>
                    <w:tr2bl w:val="nil"/>
                  </w:tcBorders>
                  <w:shd w:val="clear" w:color="auto" w:fill="FFFFFF"/>
                  <w:noWrap/>
                  <w:vAlign w:val="center"/>
                </w:tcPr>
                <w:p w14:paraId="7119771C">
                  <w:pPr>
                    <w:keepNext w:val="0"/>
                    <w:keepLines w:val="0"/>
                    <w:pageBreakBefore w:val="0"/>
                    <w:suppressLineNumbers w:val="0"/>
                    <w:kinsoku/>
                    <w:wordWrap/>
                    <w:overflowPunct/>
                    <w:topLinePunct w:val="0"/>
                    <w:bidi w:val="0"/>
                    <w:adjustRightInd w:val="0"/>
                    <w:snapToGrid w:val="0"/>
                    <w:spacing w:before="0" w:beforeAutospacing="0" w:after="0" w:afterAutospacing="0" w:line="276" w:lineRule="auto"/>
                    <w:ind w:left="0" w:right="0"/>
                    <w:jc w:val="center"/>
                    <w:rPr>
                      <w:rFonts w:hint="default" w:ascii="Times New Roman" w:hAnsi="Times New Roman" w:eastAsia="宋体" w:cs="Times New Roman"/>
                      <w:bCs/>
                      <w:i w:val="0"/>
                      <w:iCs w:val="0"/>
                      <w:color w:val="000000"/>
                      <w:kern w:val="0"/>
                      <w:sz w:val="18"/>
                      <w:szCs w:val="18"/>
                      <w:highlight w:val="none"/>
                      <w:u w:val="none"/>
                      <w:lang w:val="en-US" w:eastAsia="zh-CN" w:bidi="ar"/>
                    </w:rPr>
                  </w:pPr>
                  <w:r>
                    <w:rPr>
                      <w:rFonts w:hint="default" w:ascii="Times New Roman" w:hAnsi="Times New Roman" w:eastAsia="宋体" w:cs="Times New Roman"/>
                      <w:bCs/>
                      <w:i w:val="0"/>
                      <w:iCs w:val="0"/>
                      <w:color w:val="000000"/>
                      <w:kern w:val="0"/>
                      <w:sz w:val="18"/>
                      <w:szCs w:val="18"/>
                      <w:highlight w:val="none"/>
                      <w:u w:val="none"/>
                      <w:lang w:val="en-US" w:eastAsia="zh-CN" w:bidi="ar"/>
                    </w:rPr>
                    <w:t>/</w:t>
                  </w:r>
                </w:p>
              </w:tc>
              <w:tc>
                <w:tcPr>
                  <w:tcW w:w="284" w:type="pct"/>
                  <w:tcBorders>
                    <w:tl2br w:val="nil"/>
                    <w:tr2bl w:val="nil"/>
                  </w:tcBorders>
                  <w:shd w:val="clear" w:color="auto" w:fill="FFFFFF"/>
                  <w:vAlign w:val="center"/>
                </w:tcPr>
                <w:p w14:paraId="5B5BB15F">
                  <w:pPr>
                    <w:keepNext w:val="0"/>
                    <w:keepLines w:val="0"/>
                    <w:pageBreakBefore w:val="0"/>
                    <w:widowControl/>
                    <w:suppressLineNumbers w:val="0"/>
                    <w:kinsoku/>
                    <w:wordWrap/>
                    <w:overflowPunct/>
                    <w:topLinePunct w:val="0"/>
                    <w:bidi w:val="0"/>
                    <w:adjustRightInd w:val="0"/>
                    <w:snapToGrid w:val="0"/>
                    <w:spacing w:before="0" w:beforeAutospacing="0" w:after="0" w:afterAutospacing="0" w:line="276" w:lineRule="auto"/>
                    <w:ind w:left="0" w:right="0"/>
                    <w:jc w:val="center"/>
                    <w:textAlignment w:val="center"/>
                    <w:rPr>
                      <w:rFonts w:hint="default" w:ascii="Times New Roman" w:hAnsi="Times New Roman" w:eastAsia="宋体" w:cs="Times New Roman"/>
                      <w:bCs/>
                      <w:i w:val="0"/>
                      <w:iCs w:val="0"/>
                      <w:color w:val="000000"/>
                      <w:kern w:val="0"/>
                      <w:sz w:val="18"/>
                      <w:szCs w:val="18"/>
                      <w:highlight w:val="none"/>
                      <w:u w:val="none"/>
                      <w:lang w:val="en-US" w:eastAsia="zh-CN" w:bidi="ar"/>
                    </w:rPr>
                  </w:pPr>
                  <w:r>
                    <w:rPr>
                      <w:rFonts w:hint="default" w:ascii="Times New Roman" w:hAnsi="Times New Roman" w:eastAsia="宋体" w:cs="Times New Roman"/>
                      <w:bCs/>
                      <w:i w:val="0"/>
                      <w:iCs w:val="0"/>
                      <w:color w:val="000000"/>
                      <w:kern w:val="0"/>
                      <w:sz w:val="18"/>
                      <w:szCs w:val="18"/>
                      <w:highlight w:val="none"/>
                      <w:u w:val="none"/>
                      <w:lang w:val="en-US" w:eastAsia="zh-CN" w:bidi="ar"/>
                    </w:rPr>
                    <w:t>5</w:t>
                  </w:r>
                </w:p>
              </w:tc>
              <w:tc>
                <w:tcPr>
                  <w:tcW w:w="1678" w:type="pct"/>
                  <w:vMerge w:val="continue"/>
                  <w:tcBorders>
                    <w:tl2br w:val="nil"/>
                    <w:tr2bl w:val="nil"/>
                  </w:tcBorders>
                  <w:shd w:val="clear" w:color="auto" w:fill="FFFFFF"/>
                  <w:vAlign w:val="center"/>
                </w:tcPr>
                <w:p w14:paraId="4C7C4154">
                  <w:pPr>
                    <w:keepNext w:val="0"/>
                    <w:keepLines w:val="0"/>
                    <w:pageBreakBefore w:val="0"/>
                    <w:widowControl/>
                    <w:suppressLineNumbers w:val="0"/>
                    <w:kinsoku/>
                    <w:wordWrap/>
                    <w:overflowPunct/>
                    <w:topLinePunct w:val="0"/>
                    <w:bidi w:val="0"/>
                    <w:adjustRightInd w:val="0"/>
                    <w:snapToGrid w:val="0"/>
                    <w:spacing w:before="0" w:beforeAutospacing="0" w:after="0" w:afterAutospacing="0" w:line="276" w:lineRule="auto"/>
                    <w:ind w:left="0" w:right="0"/>
                    <w:jc w:val="center"/>
                    <w:textAlignment w:val="center"/>
                    <w:rPr>
                      <w:rFonts w:hint="default" w:ascii="Times New Roman" w:hAnsi="Times New Roman" w:eastAsia="宋体" w:cs="Times New Roman"/>
                      <w:i w:val="0"/>
                      <w:iCs w:val="0"/>
                      <w:color w:val="000000"/>
                      <w:kern w:val="0"/>
                      <w:sz w:val="18"/>
                      <w:szCs w:val="18"/>
                      <w:highlight w:val="none"/>
                      <w:u w:val="none"/>
                      <w:lang w:val="en-US" w:eastAsia="zh-CN" w:bidi="ar"/>
                    </w:rPr>
                  </w:pPr>
                </w:p>
              </w:tc>
            </w:tr>
            <w:tr w14:paraId="6AE968F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FFFFFF"/>
                <w:tblCellMar>
                  <w:top w:w="0" w:type="dxa"/>
                  <w:left w:w="28" w:type="dxa"/>
                  <w:bottom w:w="0" w:type="dxa"/>
                  <w:right w:w="28" w:type="dxa"/>
                </w:tblCellMar>
              </w:tblPrEx>
              <w:trPr>
                <w:trHeight w:val="0" w:hRule="atLeast"/>
              </w:trPr>
              <w:tc>
                <w:tcPr>
                  <w:tcW w:w="235" w:type="pct"/>
                  <w:tcBorders>
                    <w:tl2br w:val="nil"/>
                    <w:tr2bl w:val="nil"/>
                  </w:tcBorders>
                  <w:shd w:val="clear" w:color="auto" w:fill="FFFFFF"/>
                  <w:noWrap/>
                  <w:vAlign w:val="center"/>
                </w:tcPr>
                <w:p w14:paraId="380F7A2F">
                  <w:pPr>
                    <w:keepNext w:val="0"/>
                    <w:keepLines w:val="0"/>
                    <w:pageBreakBefore w:val="0"/>
                    <w:widowControl/>
                    <w:suppressLineNumbers w:val="0"/>
                    <w:kinsoku/>
                    <w:wordWrap/>
                    <w:overflowPunct/>
                    <w:topLinePunct w:val="0"/>
                    <w:bidi w:val="0"/>
                    <w:adjustRightInd w:val="0"/>
                    <w:snapToGrid w:val="0"/>
                    <w:spacing w:before="0" w:beforeAutospacing="0" w:after="0" w:afterAutospacing="0" w:line="276" w:lineRule="auto"/>
                    <w:ind w:left="0" w:right="0"/>
                    <w:jc w:val="center"/>
                    <w:textAlignment w:val="center"/>
                    <w:rPr>
                      <w:rFonts w:hint="default" w:ascii="Times New Roman" w:hAnsi="Times New Roman" w:eastAsia="宋体" w:cs="Times New Roman"/>
                      <w:bCs/>
                      <w:i w:val="0"/>
                      <w:iCs w:val="0"/>
                      <w:color w:val="000000"/>
                      <w:kern w:val="0"/>
                      <w:sz w:val="18"/>
                      <w:szCs w:val="18"/>
                      <w:highlight w:val="none"/>
                      <w:u w:val="none"/>
                      <w:lang w:val="en-US" w:eastAsia="zh-CN" w:bidi="ar"/>
                    </w:rPr>
                  </w:pPr>
                  <w:r>
                    <w:rPr>
                      <w:rFonts w:hint="default" w:ascii="Times New Roman" w:hAnsi="Times New Roman" w:eastAsia="宋体" w:cs="Times New Roman"/>
                      <w:bCs/>
                      <w:i w:val="0"/>
                      <w:iCs w:val="0"/>
                      <w:color w:val="000000"/>
                      <w:kern w:val="0"/>
                      <w:sz w:val="18"/>
                      <w:szCs w:val="18"/>
                      <w:highlight w:val="none"/>
                      <w:u w:val="none"/>
                      <w:lang w:val="en-US" w:eastAsia="zh-CN" w:bidi="ar"/>
                    </w:rPr>
                    <w:t>72</w:t>
                  </w:r>
                </w:p>
              </w:tc>
              <w:tc>
                <w:tcPr>
                  <w:tcW w:w="349" w:type="pct"/>
                  <w:vMerge w:val="continue"/>
                  <w:tcBorders>
                    <w:tl2br w:val="nil"/>
                    <w:tr2bl w:val="nil"/>
                  </w:tcBorders>
                  <w:shd w:val="clear" w:color="auto" w:fill="FFFFFF"/>
                  <w:vAlign w:val="center"/>
                </w:tcPr>
                <w:p w14:paraId="6AE67783">
                  <w:pPr>
                    <w:pStyle w:val="120"/>
                    <w:keepNext w:val="0"/>
                    <w:keepLines w:val="0"/>
                    <w:pageBreakBefore w:val="0"/>
                    <w:framePr w:hSpace="0" w:wrap="auto" w:vAnchor="margin" w:hAnchor="text" w:xAlign="left" w:yAlign="inline"/>
                    <w:suppressLineNumbers w:val="0"/>
                    <w:kinsoku/>
                    <w:wordWrap/>
                    <w:overflowPunct/>
                    <w:topLinePunct w:val="0"/>
                    <w:bidi w:val="0"/>
                    <w:adjustRightInd w:val="0"/>
                    <w:snapToGrid w:val="0"/>
                    <w:spacing w:before="0" w:beforeAutospacing="0" w:after="0" w:afterAutospacing="0" w:line="276" w:lineRule="auto"/>
                    <w:ind w:left="0" w:right="0"/>
                    <w:jc w:val="center"/>
                    <w:rPr>
                      <w:rFonts w:hint="default" w:ascii="Times New Roman" w:hAnsi="Times New Roman" w:eastAsia="宋体" w:cs="Times New Roman"/>
                      <w:bCs/>
                      <w:i w:val="0"/>
                      <w:iCs w:val="0"/>
                      <w:color w:val="000000"/>
                      <w:kern w:val="0"/>
                      <w:sz w:val="18"/>
                      <w:szCs w:val="18"/>
                      <w:highlight w:val="none"/>
                      <w:u w:val="none"/>
                      <w:lang w:val="en-US" w:eastAsia="zh-CN" w:bidi="ar"/>
                    </w:rPr>
                  </w:pPr>
                </w:p>
              </w:tc>
              <w:tc>
                <w:tcPr>
                  <w:tcW w:w="1015" w:type="pct"/>
                  <w:tcBorders>
                    <w:tl2br w:val="nil"/>
                    <w:tr2bl w:val="nil"/>
                  </w:tcBorders>
                  <w:shd w:val="clear" w:color="auto" w:fill="FFFFFF"/>
                  <w:vAlign w:val="center"/>
                </w:tcPr>
                <w:p w14:paraId="668CB74E">
                  <w:pPr>
                    <w:keepNext w:val="0"/>
                    <w:keepLines w:val="0"/>
                    <w:pageBreakBefore w:val="0"/>
                    <w:widowControl/>
                    <w:suppressLineNumbers w:val="0"/>
                    <w:kinsoku/>
                    <w:wordWrap/>
                    <w:overflowPunct/>
                    <w:topLinePunct w:val="0"/>
                    <w:bidi w:val="0"/>
                    <w:adjustRightInd w:val="0"/>
                    <w:snapToGrid w:val="0"/>
                    <w:spacing w:before="0" w:beforeAutospacing="0" w:after="0" w:afterAutospacing="0" w:line="276" w:lineRule="auto"/>
                    <w:ind w:left="0" w:right="0"/>
                    <w:jc w:val="center"/>
                    <w:textAlignment w:val="center"/>
                    <w:rPr>
                      <w:rFonts w:hint="default" w:ascii="Times New Roman" w:hAnsi="Times New Roman" w:eastAsia="宋体" w:cs="Times New Roman"/>
                      <w:bCs/>
                      <w:i w:val="0"/>
                      <w:iCs w:val="0"/>
                      <w:color w:val="000000"/>
                      <w:kern w:val="0"/>
                      <w:sz w:val="18"/>
                      <w:szCs w:val="18"/>
                      <w:highlight w:val="none"/>
                      <w:u w:val="none"/>
                      <w:lang w:val="en-US" w:eastAsia="zh-CN" w:bidi="ar"/>
                    </w:rPr>
                  </w:pPr>
                  <w:r>
                    <w:rPr>
                      <w:rFonts w:hint="default" w:ascii="Times New Roman" w:hAnsi="Times New Roman" w:eastAsia="宋体" w:cs="Times New Roman"/>
                      <w:bCs/>
                      <w:i w:val="0"/>
                      <w:iCs w:val="0"/>
                      <w:color w:val="000000"/>
                      <w:kern w:val="0"/>
                      <w:sz w:val="18"/>
                      <w:szCs w:val="18"/>
                      <w:highlight w:val="none"/>
                      <w:u w:val="none"/>
                      <w:lang w:val="en-US" w:eastAsia="zh-CN" w:bidi="ar"/>
                    </w:rPr>
                    <w:t>细胞计数仪</w:t>
                  </w:r>
                </w:p>
              </w:tc>
              <w:tc>
                <w:tcPr>
                  <w:tcW w:w="1436" w:type="pct"/>
                  <w:tcBorders>
                    <w:tl2br w:val="nil"/>
                    <w:tr2bl w:val="nil"/>
                  </w:tcBorders>
                  <w:shd w:val="clear" w:color="auto" w:fill="FFFFFF"/>
                  <w:noWrap/>
                  <w:vAlign w:val="center"/>
                </w:tcPr>
                <w:p w14:paraId="74229B4D">
                  <w:pPr>
                    <w:keepNext w:val="0"/>
                    <w:keepLines w:val="0"/>
                    <w:pageBreakBefore w:val="0"/>
                    <w:suppressLineNumbers w:val="0"/>
                    <w:kinsoku/>
                    <w:wordWrap/>
                    <w:overflowPunct/>
                    <w:topLinePunct w:val="0"/>
                    <w:bidi w:val="0"/>
                    <w:adjustRightInd w:val="0"/>
                    <w:snapToGrid w:val="0"/>
                    <w:spacing w:before="0" w:beforeAutospacing="0" w:after="0" w:afterAutospacing="0" w:line="276" w:lineRule="auto"/>
                    <w:ind w:left="0" w:right="0"/>
                    <w:jc w:val="center"/>
                    <w:rPr>
                      <w:rFonts w:hint="default" w:ascii="Times New Roman" w:hAnsi="Times New Roman" w:eastAsia="宋体" w:cs="Times New Roman"/>
                      <w:bCs/>
                      <w:i w:val="0"/>
                      <w:iCs w:val="0"/>
                      <w:color w:val="000000"/>
                      <w:kern w:val="0"/>
                      <w:sz w:val="18"/>
                      <w:szCs w:val="18"/>
                      <w:highlight w:val="none"/>
                      <w:u w:val="none"/>
                      <w:lang w:val="en-US" w:eastAsia="zh-CN" w:bidi="ar"/>
                    </w:rPr>
                  </w:pPr>
                  <w:r>
                    <w:rPr>
                      <w:rFonts w:hint="default" w:ascii="Times New Roman" w:hAnsi="Times New Roman" w:eastAsia="宋体" w:cs="Times New Roman"/>
                      <w:bCs/>
                      <w:i w:val="0"/>
                      <w:iCs w:val="0"/>
                      <w:color w:val="000000"/>
                      <w:kern w:val="0"/>
                      <w:sz w:val="18"/>
                      <w:szCs w:val="18"/>
                      <w:highlight w:val="none"/>
                      <w:u w:val="none"/>
                      <w:lang w:val="en-US" w:eastAsia="zh-CN" w:bidi="ar"/>
                    </w:rPr>
                    <w:t>/</w:t>
                  </w:r>
                </w:p>
              </w:tc>
              <w:tc>
                <w:tcPr>
                  <w:tcW w:w="284" w:type="pct"/>
                  <w:tcBorders>
                    <w:tl2br w:val="nil"/>
                    <w:tr2bl w:val="nil"/>
                  </w:tcBorders>
                  <w:shd w:val="clear" w:color="auto" w:fill="FFFFFF"/>
                  <w:vAlign w:val="center"/>
                </w:tcPr>
                <w:p w14:paraId="70EB4D23">
                  <w:pPr>
                    <w:keepNext w:val="0"/>
                    <w:keepLines w:val="0"/>
                    <w:pageBreakBefore w:val="0"/>
                    <w:widowControl/>
                    <w:suppressLineNumbers w:val="0"/>
                    <w:kinsoku/>
                    <w:wordWrap/>
                    <w:overflowPunct/>
                    <w:topLinePunct w:val="0"/>
                    <w:bidi w:val="0"/>
                    <w:adjustRightInd w:val="0"/>
                    <w:snapToGrid w:val="0"/>
                    <w:spacing w:before="0" w:beforeAutospacing="0" w:after="0" w:afterAutospacing="0" w:line="276" w:lineRule="auto"/>
                    <w:ind w:left="0" w:right="0"/>
                    <w:jc w:val="center"/>
                    <w:textAlignment w:val="center"/>
                    <w:rPr>
                      <w:rFonts w:hint="default" w:ascii="Times New Roman" w:hAnsi="Times New Roman" w:eastAsia="宋体" w:cs="Times New Roman"/>
                      <w:bCs/>
                      <w:i w:val="0"/>
                      <w:iCs w:val="0"/>
                      <w:color w:val="000000"/>
                      <w:kern w:val="0"/>
                      <w:sz w:val="18"/>
                      <w:szCs w:val="18"/>
                      <w:highlight w:val="none"/>
                      <w:u w:val="none"/>
                      <w:lang w:val="en-US" w:eastAsia="zh-CN" w:bidi="ar"/>
                    </w:rPr>
                  </w:pPr>
                  <w:r>
                    <w:rPr>
                      <w:rFonts w:hint="default" w:ascii="Times New Roman" w:hAnsi="Times New Roman" w:eastAsia="宋体" w:cs="Times New Roman"/>
                      <w:bCs/>
                      <w:i w:val="0"/>
                      <w:iCs w:val="0"/>
                      <w:color w:val="000000"/>
                      <w:kern w:val="0"/>
                      <w:sz w:val="18"/>
                      <w:szCs w:val="18"/>
                      <w:highlight w:val="none"/>
                      <w:u w:val="none"/>
                      <w:lang w:val="en-US" w:eastAsia="zh-CN" w:bidi="ar"/>
                    </w:rPr>
                    <w:t>5</w:t>
                  </w:r>
                </w:p>
              </w:tc>
              <w:tc>
                <w:tcPr>
                  <w:tcW w:w="1678" w:type="pct"/>
                  <w:vMerge w:val="continue"/>
                  <w:tcBorders>
                    <w:tl2br w:val="nil"/>
                    <w:tr2bl w:val="nil"/>
                  </w:tcBorders>
                  <w:shd w:val="clear" w:color="auto" w:fill="FFFFFF"/>
                  <w:vAlign w:val="center"/>
                </w:tcPr>
                <w:p w14:paraId="40E6862F">
                  <w:pPr>
                    <w:keepNext w:val="0"/>
                    <w:keepLines w:val="0"/>
                    <w:pageBreakBefore w:val="0"/>
                    <w:widowControl/>
                    <w:suppressLineNumbers w:val="0"/>
                    <w:kinsoku/>
                    <w:wordWrap/>
                    <w:overflowPunct/>
                    <w:topLinePunct w:val="0"/>
                    <w:bidi w:val="0"/>
                    <w:adjustRightInd w:val="0"/>
                    <w:snapToGrid w:val="0"/>
                    <w:spacing w:before="0" w:beforeAutospacing="0" w:after="0" w:afterAutospacing="0" w:line="276" w:lineRule="auto"/>
                    <w:ind w:left="0" w:right="0"/>
                    <w:jc w:val="center"/>
                    <w:textAlignment w:val="center"/>
                    <w:rPr>
                      <w:rFonts w:hint="default" w:ascii="Times New Roman" w:hAnsi="Times New Roman" w:eastAsia="宋体" w:cs="Times New Roman"/>
                      <w:i w:val="0"/>
                      <w:iCs w:val="0"/>
                      <w:color w:val="000000"/>
                      <w:kern w:val="0"/>
                      <w:sz w:val="18"/>
                      <w:szCs w:val="18"/>
                      <w:highlight w:val="none"/>
                      <w:u w:val="none"/>
                      <w:lang w:val="en-US" w:eastAsia="zh-CN" w:bidi="ar"/>
                    </w:rPr>
                  </w:pPr>
                </w:p>
              </w:tc>
            </w:tr>
            <w:tr w14:paraId="7A31DB5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FFFFFF"/>
                <w:tblCellMar>
                  <w:top w:w="0" w:type="dxa"/>
                  <w:left w:w="28" w:type="dxa"/>
                  <w:bottom w:w="0" w:type="dxa"/>
                  <w:right w:w="28" w:type="dxa"/>
                </w:tblCellMar>
              </w:tblPrEx>
              <w:trPr>
                <w:trHeight w:val="0" w:hRule="atLeast"/>
              </w:trPr>
              <w:tc>
                <w:tcPr>
                  <w:tcW w:w="235" w:type="pct"/>
                  <w:tcBorders>
                    <w:tl2br w:val="nil"/>
                    <w:tr2bl w:val="nil"/>
                  </w:tcBorders>
                  <w:shd w:val="clear" w:color="auto" w:fill="FFFFFF"/>
                  <w:noWrap/>
                  <w:vAlign w:val="center"/>
                </w:tcPr>
                <w:p w14:paraId="3667FCD9">
                  <w:pPr>
                    <w:keepNext w:val="0"/>
                    <w:keepLines w:val="0"/>
                    <w:pageBreakBefore w:val="0"/>
                    <w:widowControl/>
                    <w:suppressLineNumbers w:val="0"/>
                    <w:kinsoku/>
                    <w:wordWrap/>
                    <w:overflowPunct/>
                    <w:topLinePunct w:val="0"/>
                    <w:bidi w:val="0"/>
                    <w:adjustRightInd w:val="0"/>
                    <w:snapToGrid w:val="0"/>
                    <w:spacing w:before="0" w:beforeAutospacing="0" w:after="0" w:afterAutospacing="0" w:line="276" w:lineRule="auto"/>
                    <w:ind w:left="0" w:right="0"/>
                    <w:jc w:val="center"/>
                    <w:textAlignment w:val="center"/>
                    <w:rPr>
                      <w:rFonts w:hint="default" w:ascii="Times New Roman" w:hAnsi="Times New Roman" w:eastAsia="宋体" w:cs="Times New Roman"/>
                      <w:bCs/>
                      <w:i w:val="0"/>
                      <w:iCs w:val="0"/>
                      <w:color w:val="000000"/>
                      <w:kern w:val="0"/>
                      <w:sz w:val="18"/>
                      <w:szCs w:val="18"/>
                      <w:highlight w:val="none"/>
                      <w:u w:val="none"/>
                      <w:lang w:val="en-US" w:eastAsia="zh-CN" w:bidi="ar"/>
                    </w:rPr>
                  </w:pPr>
                  <w:r>
                    <w:rPr>
                      <w:rFonts w:hint="default" w:ascii="Times New Roman" w:hAnsi="Times New Roman" w:eastAsia="宋体" w:cs="Times New Roman"/>
                      <w:bCs/>
                      <w:i w:val="0"/>
                      <w:iCs w:val="0"/>
                      <w:color w:val="000000"/>
                      <w:kern w:val="0"/>
                      <w:sz w:val="18"/>
                      <w:szCs w:val="18"/>
                      <w:highlight w:val="none"/>
                      <w:u w:val="none"/>
                      <w:lang w:val="en-US" w:eastAsia="zh-CN" w:bidi="ar"/>
                    </w:rPr>
                    <w:t>73</w:t>
                  </w:r>
                </w:p>
              </w:tc>
              <w:tc>
                <w:tcPr>
                  <w:tcW w:w="349" w:type="pct"/>
                  <w:vMerge w:val="continue"/>
                  <w:tcBorders>
                    <w:tl2br w:val="nil"/>
                    <w:tr2bl w:val="nil"/>
                  </w:tcBorders>
                  <w:shd w:val="clear" w:color="auto" w:fill="FFFFFF"/>
                  <w:vAlign w:val="center"/>
                </w:tcPr>
                <w:p w14:paraId="2A5E0247">
                  <w:pPr>
                    <w:pStyle w:val="120"/>
                    <w:keepNext w:val="0"/>
                    <w:keepLines w:val="0"/>
                    <w:pageBreakBefore w:val="0"/>
                    <w:framePr w:hSpace="0" w:wrap="auto" w:vAnchor="margin" w:hAnchor="text" w:xAlign="left" w:yAlign="inline"/>
                    <w:suppressLineNumbers w:val="0"/>
                    <w:kinsoku/>
                    <w:wordWrap/>
                    <w:overflowPunct/>
                    <w:topLinePunct w:val="0"/>
                    <w:bidi w:val="0"/>
                    <w:adjustRightInd w:val="0"/>
                    <w:snapToGrid w:val="0"/>
                    <w:spacing w:before="0" w:beforeAutospacing="0" w:after="0" w:afterAutospacing="0" w:line="276" w:lineRule="auto"/>
                    <w:ind w:left="0" w:right="0"/>
                    <w:jc w:val="center"/>
                    <w:rPr>
                      <w:rFonts w:hint="default" w:ascii="Times New Roman" w:hAnsi="Times New Roman" w:eastAsia="宋体" w:cs="Times New Roman"/>
                      <w:bCs/>
                      <w:i w:val="0"/>
                      <w:iCs w:val="0"/>
                      <w:color w:val="000000"/>
                      <w:kern w:val="0"/>
                      <w:sz w:val="18"/>
                      <w:szCs w:val="18"/>
                      <w:highlight w:val="none"/>
                      <w:u w:val="none"/>
                      <w:lang w:val="en-US" w:eastAsia="zh-CN" w:bidi="ar"/>
                    </w:rPr>
                  </w:pPr>
                </w:p>
              </w:tc>
              <w:tc>
                <w:tcPr>
                  <w:tcW w:w="1015" w:type="pct"/>
                  <w:tcBorders>
                    <w:tl2br w:val="nil"/>
                    <w:tr2bl w:val="nil"/>
                  </w:tcBorders>
                  <w:shd w:val="clear" w:color="auto" w:fill="FFFFFF"/>
                  <w:vAlign w:val="center"/>
                </w:tcPr>
                <w:p w14:paraId="4925AEAF">
                  <w:pPr>
                    <w:keepNext w:val="0"/>
                    <w:keepLines w:val="0"/>
                    <w:pageBreakBefore w:val="0"/>
                    <w:widowControl/>
                    <w:suppressLineNumbers w:val="0"/>
                    <w:kinsoku/>
                    <w:wordWrap/>
                    <w:overflowPunct/>
                    <w:topLinePunct w:val="0"/>
                    <w:bidi w:val="0"/>
                    <w:adjustRightInd w:val="0"/>
                    <w:snapToGrid w:val="0"/>
                    <w:spacing w:before="0" w:beforeAutospacing="0" w:after="0" w:afterAutospacing="0" w:line="276" w:lineRule="auto"/>
                    <w:ind w:left="0" w:right="0"/>
                    <w:jc w:val="center"/>
                    <w:textAlignment w:val="center"/>
                    <w:rPr>
                      <w:rFonts w:hint="default" w:ascii="Times New Roman" w:hAnsi="Times New Roman" w:eastAsia="宋体" w:cs="Times New Roman"/>
                      <w:bCs/>
                      <w:i w:val="0"/>
                      <w:iCs w:val="0"/>
                      <w:color w:val="000000"/>
                      <w:kern w:val="0"/>
                      <w:sz w:val="18"/>
                      <w:szCs w:val="18"/>
                      <w:highlight w:val="none"/>
                      <w:u w:val="none"/>
                      <w:lang w:val="en-US" w:eastAsia="zh-CN" w:bidi="ar"/>
                    </w:rPr>
                  </w:pPr>
                  <w:r>
                    <w:rPr>
                      <w:rFonts w:hint="default" w:ascii="Times New Roman" w:hAnsi="Times New Roman" w:eastAsia="宋体" w:cs="Times New Roman"/>
                      <w:bCs/>
                      <w:i w:val="0"/>
                      <w:iCs w:val="0"/>
                      <w:color w:val="000000"/>
                      <w:kern w:val="0"/>
                      <w:sz w:val="18"/>
                      <w:szCs w:val="18"/>
                      <w:highlight w:val="none"/>
                      <w:u w:val="none"/>
                      <w:lang w:val="en-US" w:eastAsia="zh-CN" w:bidi="ar"/>
                    </w:rPr>
                    <w:t>细胞培养箱</w:t>
                  </w:r>
                </w:p>
              </w:tc>
              <w:tc>
                <w:tcPr>
                  <w:tcW w:w="1436" w:type="pct"/>
                  <w:tcBorders>
                    <w:tl2br w:val="nil"/>
                    <w:tr2bl w:val="nil"/>
                  </w:tcBorders>
                  <w:shd w:val="clear" w:color="auto" w:fill="FFFFFF"/>
                  <w:noWrap/>
                  <w:vAlign w:val="center"/>
                </w:tcPr>
                <w:p w14:paraId="639899F6">
                  <w:pPr>
                    <w:keepNext w:val="0"/>
                    <w:keepLines w:val="0"/>
                    <w:pageBreakBefore w:val="0"/>
                    <w:suppressLineNumbers w:val="0"/>
                    <w:kinsoku/>
                    <w:wordWrap/>
                    <w:overflowPunct/>
                    <w:topLinePunct w:val="0"/>
                    <w:bidi w:val="0"/>
                    <w:adjustRightInd w:val="0"/>
                    <w:snapToGrid w:val="0"/>
                    <w:spacing w:before="0" w:beforeAutospacing="0" w:after="0" w:afterAutospacing="0" w:line="276" w:lineRule="auto"/>
                    <w:ind w:left="0" w:right="0"/>
                    <w:jc w:val="center"/>
                    <w:rPr>
                      <w:rFonts w:hint="default" w:ascii="Times New Roman" w:hAnsi="Times New Roman" w:eastAsia="宋体" w:cs="Times New Roman"/>
                      <w:bCs/>
                      <w:i w:val="0"/>
                      <w:iCs w:val="0"/>
                      <w:color w:val="000000"/>
                      <w:kern w:val="0"/>
                      <w:sz w:val="18"/>
                      <w:szCs w:val="18"/>
                      <w:highlight w:val="none"/>
                      <w:u w:val="none"/>
                      <w:lang w:val="en-US" w:eastAsia="zh-CN" w:bidi="ar"/>
                    </w:rPr>
                  </w:pPr>
                  <w:r>
                    <w:rPr>
                      <w:rFonts w:hint="default" w:ascii="Times New Roman" w:hAnsi="Times New Roman" w:eastAsia="宋体" w:cs="Times New Roman"/>
                      <w:bCs/>
                      <w:i w:val="0"/>
                      <w:iCs w:val="0"/>
                      <w:color w:val="000000"/>
                      <w:kern w:val="0"/>
                      <w:sz w:val="18"/>
                      <w:szCs w:val="18"/>
                      <w:highlight w:val="none"/>
                      <w:u w:val="none"/>
                      <w:lang w:val="en-US" w:eastAsia="zh-CN" w:bidi="ar"/>
                    </w:rPr>
                    <w:t>/</w:t>
                  </w:r>
                </w:p>
              </w:tc>
              <w:tc>
                <w:tcPr>
                  <w:tcW w:w="284" w:type="pct"/>
                  <w:tcBorders>
                    <w:tl2br w:val="nil"/>
                    <w:tr2bl w:val="nil"/>
                  </w:tcBorders>
                  <w:shd w:val="clear" w:color="auto" w:fill="FFFFFF"/>
                  <w:vAlign w:val="center"/>
                </w:tcPr>
                <w:p w14:paraId="193D9231">
                  <w:pPr>
                    <w:keepNext w:val="0"/>
                    <w:keepLines w:val="0"/>
                    <w:pageBreakBefore w:val="0"/>
                    <w:widowControl/>
                    <w:suppressLineNumbers w:val="0"/>
                    <w:kinsoku/>
                    <w:wordWrap/>
                    <w:overflowPunct/>
                    <w:topLinePunct w:val="0"/>
                    <w:bidi w:val="0"/>
                    <w:adjustRightInd w:val="0"/>
                    <w:snapToGrid w:val="0"/>
                    <w:spacing w:before="0" w:beforeAutospacing="0" w:after="0" w:afterAutospacing="0" w:line="276" w:lineRule="auto"/>
                    <w:ind w:left="0" w:right="0"/>
                    <w:jc w:val="center"/>
                    <w:textAlignment w:val="center"/>
                    <w:rPr>
                      <w:rFonts w:hint="default" w:ascii="Times New Roman" w:hAnsi="Times New Roman" w:eastAsia="宋体" w:cs="Times New Roman"/>
                      <w:bCs/>
                      <w:i w:val="0"/>
                      <w:iCs w:val="0"/>
                      <w:color w:val="000000"/>
                      <w:kern w:val="0"/>
                      <w:sz w:val="18"/>
                      <w:szCs w:val="18"/>
                      <w:highlight w:val="none"/>
                      <w:u w:val="none"/>
                      <w:lang w:val="en-US" w:eastAsia="zh-CN" w:bidi="ar"/>
                    </w:rPr>
                  </w:pPr>
                  <w:r>
                    <w:rPr>
                      <w:rFonts w:hint="default" w:ascii="Times New Roman" w:hAnsi="Times New Roman" w:eastAsia="宋体" w:cs="Times New Roman"/>
                      <w:bCs/>
                      <w:i w:val="0"/>
                      <w:iCs w:val="0"/>
                      <w:color w:val="000000"/>
                      <w:kern w:val="0"/>
                      <w:sz w:val="18"/>
                      <w:szCs w:val="18"/>
                      <w:highlight w:val="none"/>
                      <w:u w:val="none"/>
                      <w:lang w:val="en-US" w:eastAsia="zh-CN" w:bidi="ar"/>
                    </w:rPr>
                    <w:t>30</w:t>
                  </w:r>
                </w:p>
              </w:tc>
              <w:tc>
                <w:tcPr>
                  <w:tcW w:w="1678" w:type="pct"/>
                  <w:vMerge w:val="continue"/>
                  <w:tcBorders>
                    <w:tl2br w:val="nil"/>
                    <w:tr2bl w:val="nil"/>
                  </w:tcBorders>
                  <w:shd w:val="clear" w:color="auto" w:fill="FFFFFF"/>
                  <w:vAlign w:val="center"/>
                </w:tcPr>
                <w:p w14:paraId="08B0951D">
                  <w:pPr>
                    <w:keepNext w:val="0"/>
                    <w:keepLines w:val="0"/>
                    <w:pageBreakBefore w:val="0"/>
                    <w:widowControl/>
                    <w:suppressLineNumbers w:val="0"/>
                    <w:kinsoku/>
                    <w:wordWrap/>
                    <w:overflowPunct/>
                    <w:topLinePunct w:val="0"/>
                    <w:bidi w:val="0"/>
                    <w:adjustRightInd w:val="0"/>
                    <w:snapToGrid w:val="0"/>
                    <w:spacing w:before="0" w:beforeAutospacing="0" w:after="0" w:afterAutospacing="0" w:line="276" w:lineRule="auto"/>
                    <w:ind w:left="0" w:right="0"/>
                    <w:jc w:val="center"/>
                    <w:textAlignment w:val="center"/>
                    <w:rPr>
                      <w:rFonts w:hint="default" w:ascii="Times New Roman" w:hAnsi="Times New Roman" w:eastAsia="宋体" w:cs="Times New Roman"/>
                      <w:i w:val="0"/>
                      <w:iCs w:val="0"/>
                      <w:color w:val="000000"/>
                      <w:kern w:val="0"/>
                      <w:sz w:val="18"/>
                      <w:szCs w:val="18"/>
                      <w:highlight w:val="none"/>
                      <w:u w:val="none"/>
                      <w:lang w:val="en-US" w:eastAsia="zh-CN" w:bidi="ar"/>
                    </w:rPr>
                  </w:pPr>
                </w:p>
              </w:tc>
            </w:tr>
            <w:tr w14:paraId="37DB0B6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FFFFFF"/>
                <w:tblCellMar>
                  <w:top w:w="0" w:type="dxa"/>
                  <w:left w:w="28" w:type="dxa"/>
                  <w:bottom w:w="0" w:type="dxa"/>
                  <w:right w:w="28" w:type="dxa"/>
                </w:tblCellMar>
              </w:tblPrEx>
              <w:trPr>
                <w:trHeight w:val="0" w:hRule="atLeast"/>
              </w:trPr>
              <w:tc>
                <w:tcPr>
                  <w:tcW w:w="235" w:type="pct"/>
                  <w:tcBorders>
                    <w:tl2br w:val="nil"/>
                    <w:tr2bl w:val="nil"/>
                  </w:tcBorders>
                  <w:shd w:val="clear" w:color="auto" w:fill="FFFFFF"/>
                  <w:noWrap/>
                  <w:vAlign w:val="center"/>
                </w:tcPr>
                <w:p w14:paraId="0CBF522D">
                  <w:pPr>
                    <w:keepNext w:val="0"/>
                    <w:keepLines w:val="0"/>
                    <w:pageBreakBefore w:val="0"/>
                    <w:widowControl/>
                    <w:suppressLineNumbers w:val="0"/>
                    <w:kinsoku/>
                    <w:wordWrap/>
                    <w:overflowPunct/>
                    <w:topLinePunct w:val="0"/>
                    <w:bidi w:val="0"/>
                    <w:adjustRightInd w:val="0"/>
                    <w:snapToGrid w:val="0"/>
                    <w:spacing w:before="0" w:beforeAutospacing="0" w:after="0" w:afterAutospacing="0" w:line="276" w:lineRule="auto"/>
                    <w:ind w:left="0" w:right="0"/>
                    <w:jc w:val="center"/>
                    <w:textAlignment w:val="center"/>
                    <w:rPr>
                      <w:rFonts w:hint="default" w:ascii="Times New Roman" w:hAnsi="Times New Roman" w:eastAsia="宋体" w:cs="Times New Roman"/>
                      <w:bCs/>
                      <w:i w:val="0"/>
                      <w:iCs w:val="0"/>
                      <w:color w:val="000000"/>
                      <w:kern w:val="0"/>
                      <w:sz w:val="18"/>
                      <w:szCs w:val="18"/>
                      <w:highlight w:val="none"/>
                      <w:u w:val="none"/>
                      <w:lang w:val="en-US" w:eastAsia="zh-CN" w:bidi="ar"/>
                    </w:rPr>
                  </w:pPr>
                  <w:r>
                    <w:rPr>
                      <w:rFonts w:hint="default" w:ascii="Times New Roman" w:hAnsi="Times New Roman" w:eastAsia="宋体" w:cs="Times New Roman"/>
                      <w:bCs/>
                      <w:i w:val="0"/>
                      <w:iCs w:val="0"/>
                      <w:color w:val="000000"/>
                      <w:kern w:val="0"/>
                      <w:sz w:val="18"/>
                      <w:szCs w:val="18"/>
                      <w:highlight w:val="none"/>
                      <w:u w:val="none"/>
                      <w:lang w:val="en-US" w:eastAsia="zh-CN" w:bidi="ar"/>
                    </w:rPr>
                    <w:t>74</w:t>
                  </w:r>
                </w:p>
              </w:tc>
              <w:tc>
                <w:tcPr>
                  <w:tcW w:w="349" w:type="pct"/>
                  <w:vMerge w:val="continue"/>
                  <w:tcBorders>
                    <w:tl2br w:val="nil"/>
                    <w:tr2bl w:val="nil"/>
                  </w:tcBorders>
                  <w:shd w:val="clear" w:color="auto" w:fill="FFFFFF"/>
                  <w:vAlign w:val="center"/>
                </w:tcPr>
                <w:p w14:paraId="2B48A89D">
                  <w:pPr>
                    <w:pStyle w:val="120"/>
                    <w:keepNext w:val="0"/>
                    <w:keepLines w:val="0"/>
                    <w:pageBreakBefore w:val="0"/>
                    <w:framePr w:hSpace="0" w:wrap="auto" w:vAnchor="margin" w:hAnchor="text" w:xAlign="left" w:yAlign="inline"/>
                    <w:suppressLineNumbers w:val="0"/>
                    <w:kinsoku/>
                    <w:wordWrap/>
                    <w:overflowPunct/>
                    <w:topLinePunct w:val="0"/>
                    <w:bidi w:val="0"/>
                    <w:adjustRightInd w:val="0"/>
                    <w:snapToGrid w:val="0"/>
                    <w:spacing w:before="0" w:beforeAutospacing="0" w:after="0" w:afterAutospacing="0" w:line="276" w:lineRule="auto"/>
                    <w:ind w:left="0" w:right="0"/>
                    <w:jc w:val="center"/>
                    <w:rPr>
                      <w:rFonts w:hint="default" w:ascii="Times New Roman" w:hAnsi="Times New Roman" w:eastAsia="宋体" w:cs="Times New Roman"/>
                      <w:bCs/>
                      <w:i w:val="0"/>
                      <w:iCs w:val="0"/>
                      <w:color w:val="000000"/>
                      <w:kern w:val="0"/>
                      <w:sz w:val="18"/>
                      <w:szCs w:val="18"/>
                      <w:highlight w:val="none"/>
                      <w:u w:val="none"/>
                      <w:lang w:val="en-US" w:eastAsia="zh-CN" w:bidi="ar"/>
                    </w:rPr>
                  </w:pPr>
                </w:p>
              </w:tc>
              <w:tc>
                <w:tcPr>
                  <w:tcW w:w="1015" w:type="pct"/>
                  <w:tcBorders>
                    <w:tl2br w:val="nil"/>
                    <w:tr2bl w:val="nil"/>
                  </w:tcBorders>
                  <w:shd w:val="clear" w:color="auto" w:fill="FFFFFF"/>
                  <w:vAlign w:val="center"/>
                </w:tcPr>
                <w:p w14:paraId="0F4BB122">
                  <w:pPr>
                    <w:keepNext w:val="0"/>
                    <w:keepLines w:val="0"/>
                    <w:pageBreakBefore w:val="0"/>
                    <w:widowControl/>
                    <w:suppressLineNumbers w:val="0"/>
                    <w:kinsoku/>
                    <w:wordWrap/>
                    <w:overflowPunct/>
                    <w:topLinePunct w:val="0"/>
                    <w:bidi w:val="0"/>
                    <w:adjustRightInd w:val="0"/>
                    <w:snapToGrid w:val="0"/>
                    <w:spacing w:before="0" w:beforeAutospacing="0" w:after="0" w:afterAutospacing="0" w:line="276" w:lineRule="auto"/>
                    <w:ind w:left="0" w:right="0"/>
                    <w:jc w:val="center"/>
                    <w:textAlignment w:val="center"/>
                    <w:rPr>
                      <w:rFonts w:hint="default" w:ascii="Times New Roman" w:hAnsi="Times New Roman" w:eastAsia="宋体" w:cs="Times New Roman"/>
                      <w:bCs/>
                      <w:i w:val="0"/>
                      <w:iCs w:val="0"/>
                      <w:color w:val="000000"/>
                      <w:kern w:val="0"/>
                      <w:sz w:val="18"/>
                      <w:szCs w:val="18"/>
                      <w:highlight w:val="none"/>
                      <w:u w:val="none"/>
                      <w:lang w:val="en-US" w:eastAsia="zh-CN" w:bidi="ar"/>
                    </w:rPr>
                  </w:pPr>
                  <w:r>
                    <w:rPr>
                      <w:rFonts w:hint="default" w:ascii="Times New Roman" w:hAnsi="Times New Roman" w:eastAsia="宋体" w:cs="Times New Roman"/>
                      <w:bCs/>
                      <w:i w:val="0"/>
                      <w:iCs w:val="0"/>
                      <w:color w:val="000000"/>
                      <w:kern w:val="0"/>
                      <w:sz w:val="18"/>
                      <w:szCs w:val="18"/>
                      <w:highlight w:val="none"/>
                      <w:u w:val="none"/>
                      <w:lang w:val="en-US" w:eastAsia="zh-CN" w:bidi="ar"/>
                    </w:rPr>
                    <w:t>各类显微镜</w:t>
                  </w:r>
                </w:p>
              </w:tc>
              <w:tc>
                <w:tcPr>
                  <w:tcW w:w="1436" w:type="pct"/>
                  <w:tcBorders>
                    <w:tl2br w:val="nil"/>
                    <w:tr2bl w:val="nil"/>
                  </w:tcBorders>
                  <w:shd w:val="clear" w:color="auto" w:fill="FFFFFF"/>
                  <w:noWrap/>
                  <w:vAlign w:val="center"/>
                </w:tcPr>
                <w:p w14:paraId="0140328C">
                  <w:pPr>
                    <w:keepNext w:val="0"/>
                    <w:keepLines w:val="0"/>
                    <w:pageBreakBefore w:val="0"/>
                    <w:suppressLineNumbers w:val="0"/>
                    <w:kinsoku/>
                    <w:wordWrap/>
                    <w:overflowPunct/>
                    <w:topLinePunct w:val="0"/>
                    <w:bidi w:val="0"/>
                    <w:adjustRightInd w:val="0"/>
                    <w:snapToGrid w:val="0"/>
                    <w:spacing w:before="0" w:beforeAutospacing="0" w:after="0" w:afterAutospacing="0" w:line="276" w:lineRule="auto"/>
                    <w:ind w:left="0" w:right="0"/>
                    <w:jc w:val="center"/>
                    <w:rPr>
                      <w:rFonts w:hint="default" w:ascii="Times New Roman" w:hAnsi="Times New Roman" w:eastAsia="宋体" w:cs="Times New Roman"/>
                      <w:bCs/>
                      <w:i w:val="0"/>
                      <w:iCs w:val="0"/>
                      <w:color w:val="000000"/>
                      <w:kern w:val="0"/>
                      <w:sz w:val="18"/>
                      <w:szCs w:val="18"/>
                      <w:highlight w:val="none"/>
                      <w:u w:val="none"/>
                      <w:lang w:val="en-US" w:eastAsia="zh-CN" w:bidi="ar"/>
                    </w:rPr>
                  </w:pPr>
                  <w:r>
                    <w:rPr>
                      <w:rFonts w:hint="default" w:ascii="Times New Roman" w:hAnsi="Times New Roman" w:eastAsia="宋体" w:cs="Times New Roman"/>
                      <w:bCs/>
                      <w:i w:val="0"/>
                      <w:iCs w:val="0"/>
                      <w:color w:val="000000"/>
                      <w:kern w:val="0"/>
                      <w:sz w:val="18"/>
                      <w:szCs w:val="18"/>
                      <w:highlight w:val="none"/>
                      <w:u w:val="none"/>
                      <w:lang w:val="en-US" w:eastAsia="zh-CN" w:bidi="ar"/>
                    </w:rPr>
                    <w:t>/</w:t>
                  </w:r>
                </w:p>
              </w:tc>
              <w:tc>
                <w:tcPr>
                  <w:tcW w:w="284" w:type="pct"/>
                  <w:tcBorders>
                    <w:tl2br w:val="nil"/>
                    <w:tr2bl w:val="nil"/>
                  </w:tcBorders>
                  <w:shd w:val="clear" w:color="auto" w:fill="FFFFFF"/>
                  <w:vAlign w:val="center"/>
                </w:tcPr>
                <w:p w14:paraId="48BBE0D4">
                  <w:pPr>
                    <w:keepNext w:val="0"/>
                    <w:keepLines w:val="0"/>
                    <w:pageBreakBefore w:val="0"/>
                    <w:widowControl/>
                    <w:suppressLineNumbers w:val="0"/>
                    <w:kinsoku/>
                    <w:wordWrap/>
                    <w:overflowPunct/>
                    <w:topLinePunct w:val="0"/>
                    <w:bidi w:val="0"/>
                    <w:adjustRightInd w:val="0"/>
                    <w:snapToGrid w:val="0"/>
                    <w:spacing w:before="0" w:beforeAutospacing="0" w:after="0" w:afterAutospacing="0" w:line="276" w:lineRule="auto"/>
                    <w:ind w:left="0" w:right="0"/>
                    <w:jc w:val="center"/>
                    <w:textAlignment w:val="center"/>
                    <w:rPr>
                      <w:rFonts w:hint="default" w:ascii="Times New Roman" w:hAnsi="Times New Roman" w:eastAsia="宋体" w:cs="Times New Roman"/>
                      <w:bCs/>
                      <w:i w:val="0"/>
                      <w:iCs w:val="0"/>
                      <w:color w:val="000000"/>
                      <w:kern w:val="0"/>
                      <w:sz w:val="18"/>
                      <w:szCs w:val="18"/>
                      <w:highlight w:val="none"/>
                      <w:u w:val="none"/>
                      <w:lang w:val="en-US" w:eastAsia="zh-CN" w:bidi="ar"/>
                    </w:rPr>
                  </w:pPr>
                  <w:r>
                    <w:rPr>
                      <w:rFonts w:hint="default" w:ascii="Times New Roman" w:hAnsi="Times New Roman" w:eastAsia="宋体" w:cs="Times New Roman"/>
                      <w:bCs/>
                      <w:i w:val="0"/>
                      <w:iCs w:val="0"/>
                      <w:color w:val="000000"/>
                      <w:kern w:val="0"/>
                      <w:sz w:val="18"/>
                      <w:szCs w:val="18"/>
                      <w:highlight w:val="none"/>
                      <w:u w:val="none"/>
                      <w:lang w:val="en-US" w:eastAsia="zh-CN" w:bidi="ar"/>
                    </w:rPr>
                    <w:t>30</w:t>
                  </w:r>
                </w:p>
              </w:tc>
              <w:tc>
                <w:tcPr>
                  <w:tcW w:w="1678" w:type="pct"/>
                  <w:vMerge w:val="continue"/>
                  <w:tcBorders>
                    <w:tl2br w:val="nil"/>
                    <w:tr2bl w:val="nil"/>
                  </w:tcBorders>
                  <w:shd w:val="clear" w:color="auto" w:fill="FFFFFF"/>
                  <w:vAlign w:val="center"/>
                </w:tcPr>
                <w:p w14:paraId="3F25CFAA">
                  <w:pPr>
                    <w:keepNext w:val="0"/>
                    <w:keepLines w:val="0"/>
                    <w:pageBreakBefore w:val="0"/>
                    <w:widowControl/>
                    <w:suppressLineNumbers w:val="0"/>
                    <w:kinsoku/>
                    <w:wordWrap/>
                    <w:overflowPunct/>
                    <w:topLinePunct w:val="0"/>
                    <w:bidi w:val="0"/>
                    <w:adjustRightInd w:val="0"/>
                    <w:snapToGrid w:val="0"/>
                    <w:spacing w:before="0" w:beforeAutospacing="0" w:after="0" w:afterAutospacing="0" w:line="276" w:lineRule="auto"/>
                    <w:ind w:left="0" w:right="0"/>
                    <w:jc w:val="center"/>
                    <w:textAlignment w:val="center"/>
                    <w:rPr>
                      <w:rFonts w:hint="default" w:ascii="Times New Roman" w:hAnsi="Times New Roman" w:eastAsia="宋体" w:cs="Times New Roman"/>
                      <w:i w:val="0"/>
                      <w:iCs w:val="0"/>
                      <w:color w:val="000000"/>
                      <w:kern w:val="0"/>
                      <w:sz w:val="18"/>
                      <w:szCs w:val="18"/>
                      <w:highlight w:val="none"/>
                      <w:u w:val="none"/>
                      <w:lang w:val="en-US" w:eastAsia="zh-CN" w:bidi="ar"/>
                    </w:rPr>
                  </w:pPr>
                </w:p>
              </w:tc>
            </w:tr>
            <w:tr w14:paraId="29DC916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FFFFFF"/>
                <w:tblCellMar>
                  <w:top w:w="0" w:type="dxa"/>
                  <w:left w:w="28" w:type="dxa"/>
                  <w:bottom w:w="0" w:type="dxa"/>
                  <w:right w:w="28" w:type="dxa"/>
                </w:tblCellMar>
              </w:tblPrEx>
              <w:trPr>
                <w:trHeight w:val="0" w:hRule="atLeast"/>
              </w:trPr>
              <w:tc>
                <w:tcPr>
                  <w:tcW w:w="235" w:type="pct"/>
                  <w:tcBorders>
                    <w:tl2br w:val="nil"/>
                    <w:tr2bl w:val="nil"/>
                  </w:tcBorders>
                  <w:shd w:val="clear" w:color="auto" w:fill="FFFFFF"/>
                  <w:noWrap/>
                  <w:vAlign w:val="center"/>
                </w:tcPr>
                <w:p w14:paraId="623FE4B4">
                  <w:pPr>
                    <w:keepNext w:val="0"/>
                    <w:keepLines w:val="0"/>
                    <w:pageBreakBefore w:val="0"/>
                    <w:widowControl/>
                    <w:suppressLineNumbers w:val="0"/>
                    <w:kinsoku/>
                    <w:wordWrap/>
                    <w:overflowPunct/>
                    <w:topLinePunct w:val="0"/>
                    <w:bidi w:val="0"/>
                    <w:adjustRightInd w:val="0"/>
                    <w:snapToGrid w:val="0"/>
                    <w:spacing w:before="0" w:beforeAutospacing="0" w:after="0" w:afterAutospacing="0" w:line="276" w:lineRule="auto"/>
                    <w:ind w:left="0" w:right="0"/>
                    <w:jc w:val="center"/>
                    <w:textAlignment w:val="center"/>
                    <w:rPr>
                      <w:rFonts w:hint="default" w:ascii="Times New Roman" w:hAnsi="Times New Roman" w:eastAsia="宋体" w:cs="Times New Roman"/>
                      <w:bCs/>
                      <w:i w:val="0"/>
                      <w:iCs w:val="0"/>
                      <w:color w:val="000000"/>
                      <w:kern w:val="0"/>
                      <w:sz w:val="18"/>
                      <w:szCs w:val="18"/>
                      <w:highlight w:val="none"/>
                      <w:u w:val="none"/>
                      <w:lang w:val="en-US" w:eastAsia="zh-CN" w:bidi="ar"/>
                    </w:rPr>
                  </w:pPr>
                  <w:r>
                    <w:rPr>
                      <w:rFonts w:hint="default" w:ascii="Times New Roman" w:hAnsi="Times New Roman" w:eastAsia="宋体" w:cs="Times New Roman"/>
                      <w:bCs/>
                      <w:i w:val="0"/>
                      <w:iCs w:val="0"/>
                      <w:color w:val="000000"/>
                      <w:kern w:val="0"/>
                      <w:sz w:val="18"/>
                      <w:szCs w:val="18"/>
                      <w:highlight w:val="none"/>
                      <w:u w:val="none"/>
                      <w:lang w:val="en-US" w:eastAsia="zh-CN" w:bidi="ar"/>
                    </w:rPr>
                    <w:t>75</w:t>
                  </w:r>
                </w:p>
              </w:tc>
              <w:tc>
                <w:tcPr>
                  <w:tcW w:w="349" w:type="pct"/>
                  <w:vMerge w:val="continue"/>
                  <w:tcBorders>
                    <w:tl2br w:val="nil"/>
                    <w:tr2bl w:val="nil"/>
                  </w:tcBorders>
                  <w:shd w:val="clear" w:color="auto" w:fill="FFFFFF"/>
                  <w:vAlign w:val="center"/>
                </w:tcPr>
                <w:p w14:paraId="548D65C1">
                  <w:pPr>
                    <w:pStyle w:val="120"/>
                    <w:keepNext w:val="0"/>
                    <w:keepLines w:val="0"/>
                    <w:pageBreakBefore w:val="0"/>
                    <w:framePr w:hSpace="0" w:wrap="auto" w:vAnchor="margin" w:hAnchor="text" w:xAlign="left" w:yAlign="inline"/>
                    <w:suppressLineNumbers w:val="0"/>
                    <w:kinsoku/>
                    <w:wordWrap/>
                    <w:overflowPunct/>
                    <w:topLinePunct w:val="0"/>
                    <w:bidi w:val="0"/>
                    <w:adjustRightInd w:val="0"/>
                    <w:snapToGrid w:val="0"/>
                    <w:spacing w:before="0" w:beforeAutospacing="0" w:after="0" w:afterAutospacing="0" w:line="276" w:lineRule="auto"/>
                    <w:ind w:left="0" w:right="0"/>
                    <w:jc w:val="center"/>
                    <w:rPr>
                      <w:rFonts w:hint="default" w:ascii="Times New Roman" w:hAnsi="Times New Roman" w:eastAsia="宋体" w:cs="Times New Roman"/>
                      <w:bCs/>
                      <w:i w:val="0"/>
                      <w:iCs w:val="0"/>
                      <w:color w:val="000000"/>
                      <w:kern w:val="0"/>
                      <w:sz w:val="18"/>
                      <w:szCs w:val="18"/>
                      <w:highlight w:val="none"/>
                      <w:u w:val="none"/>
                      <w:lang w:val="en-US" w:eastAsia="zh-CN" w:bidi="ar"/>
                    </w:rPr>
                  </w:pPr>
                </w:p>
              </w:tc>
              <w:tc>
                <w:tcPr>
                  <w:tcW w:w="1015" w:type="pct"/>
                  <w:tcBorders>
                    <w:tl2br w:val="nil"/>
                    <w:tr2bl w:val="nil"/>
                  </w:tcBorders>
                  <w:shd w:val="clear" w:color="auto" w:fill="FFFFFF"/>
                  <w:vAlign w:val="center"/>
                </w:tcPr>
                <w:p w14:paraId="2530B1C6">
                  <w:pPr>
                    <w:keepNext w:val="0"/>
                    <w:keepLines w:val="0"/>
                    <w:pageBreakBefore w:val="0"/>
                    <w:widowControl/>
                    <w:suppressLineNumbers w:val="0"/>
                    <w:kinsoku/>
                    <w:wordWrap/>
                    <w:overflowPunct/>
                    <w:topLinePunct w:val="0"/>
                    <w:bidi w:val="0"/>
                    <w:adjustRightInd w:val="0"/>
                    <w:snapToGrid w:val="0"/>
                    <w:spacing w:before="0" w:beforeAutospacing="0" w:after="0" w:afterAutospacing="0" w:line="276" w:lineRule="auto"/>
                    <w:ind w:left="0" w:right="0"/>
                    <w:jc w:val="center"/>
                    <w:textAlignment w:val="center"/>
                    <w:rPr>
                      <w:rFonts w:hint="default" w:ascii="Times New Roman" w:hAnsi="Times New Roman" w:eastAsia="宋体" w:cs="Times New Roman"/>
                      <w:bCs/>
                      <w:i w:val="0"/>
                      <w:iCs w:val="0"/>
                      <w:color w:val="000000"/>
                      <w:kern w:val="0"/>
                      <w:sz w:val="18"/>
                      <w:szCs w:val="18"/>
                      <w:highlight w:val="none"/>
                      <w:u w:val="none"/>
                      <w:lang w:val="en-US" w:eastAsia="zh-CN" w:bidi="ar"/>
                    </w:rPr>
                  </w:pPr>
                  <w:r>
                    <w:rPr>
                      <w:rFonts w:hint="default" w:ascii="Times New Roman" w:hAnsi="Times New Roman" w:eastAsia="宋体" w:cs="Times New Roman"/>
                      <w:bCs/>
                      <w:i w:val="0"/>
                      <w:iCs w:val="0"/>
                      <w:color w:val="000000"/>
                      <w:kern w:val="0"/>
                      <w:sz w:val="18"/>
                      <w:szCs w:val="18"/>
                      <w:highlight w:val="none"/>
                      <w:u w:val="none"/>
                      <w:lang w:val="en-US" w:eastAsia="zh-CN" w:bidi="ar"/>
                    </w:rPr>
                    <w:t>各类离心机</w:t>
                  </w:r>
                </w:p>
              </w:tc>
              <w:tc>
                <w:tcPr>
                  <w:tcW w:w="1436" w:type="pct"/>
                  <w:tcBorders>
                    <w:tl2br w:val="nil"/>
                    <w:tr2bl w:val="nil"/>
                  </w:tcBorders>
                  <w:shd w:val="clear" w:color="auto" w:fill="FFFFFF"/>
                  <w:noWrap/>
                  <w:vAlign w:val="center"/>
                </w:tcPr>
                <w:p w14:paraId="24CEE45F">
                  <w:pPr>
                    <w:keepNext w:val="0"/>
                    <w:keepLines w:val="0"/>
                    <w:pageBreakBefore w:val="0"/>
                    <w:suppressLineNumbers w:val="0"/>
                    <w:kinsoku/>
                    <w:wordWrap/>
                    <w:overflowPunct/>
                    <w:topLinePunct w:val="0"/>
                    <w:bidi w:val="0"/>
                    <w:adjustRightInd w:val="0"/>
                    <w:snapToGrid w:val="0"/>
                    <w:spacing w:before="0" w:beforeAutospacing="0" w:after="0" w:afterAutospacing="0" w:line="276" w:lineRule="auto"/>
                    <w:ind w:left="0" w:right="0"/>
                    <w:jc w:val="center"/>
                    <w:rPr>
                      <w:rFonts w:hint="default" w:ascii="Times New Roman" w:hAnsi="Times New Roman" w:eastAsia="宋体" w:cs="Times New Roman"/>
                      <w:bCs/>
                      <w:i w:val="0"/>
                      <w:iCs w:val="0"/>
                      <w:color w:val="000000"/>
                      <w:kern w:val="0"/>
                      <w:sz w:val="18"/>
                      <w:szCs w:val="18"/>
                      <w:highlight w:val="none"/>
                      <w:u w:val="none"/>
                      <w:lang w:val="en-US" w:eastAsia="zh-CN" w:bidi="ar"/>
                    </w:rPr>
                  </w:pPr>
                  <w:r>
                    <w:rPr>
                      <w:rFonts w:hint="default" w:ascii="Times New Roman" w:hAnsi="Times New Roman" w:eastAsia="宋体" w:cs="Times New Roman"/>
                      <w:bCs/>
                      <w:i w:val="0"/>
                      <w:iCs w:val="0"/>
                      <w:color w:val="000000"/>
                      <w:kern w:val="0"/>
                      <w:sz w:val="18"/>
                      <w:szCs w:val="18"/>
                      <w:highlight w:val="none"/>
                      <w:u w:val="none"/>
                      <w:lang w:val="en-US" w:eastAsia="zh-CN" w:bidi="ar"/>
                    </w:rPr>
                    <w:t>/</w:t>
                  </w:r>
                </w:p>
              </w:tc>
              <w:tc>
                <w:tcPr>
                  <w:tcW w:w="284" w:type="pct"/>
                  <w:tcBorders>
                    <w:tl2br w:val="nil"/>
                    <w:tr2bl w:val="nil"/>
                  </w:tcBorders>
                  <w:shd w:val="clear" w:color="auto" w:fill="FFFFFF"/>
                  <w:vAlign w:val="center"/>
                </w:tcPr>
                <w:p w14:paraId="2F8183F9">
                  <w:pPr>
                    <w:keepNext w:val="0"/>
                    <w:keepLines w:val="0"/>
                    <w:pageBreakBefore w:val="0"/>
                    <w:widowControl/>
                    <w:suppressLineNumbers w:val="0"/>
                    <w:kinsoku/>
                    <w:wordWrap/>
                    <w:overflowPunct/>
                    <w:topLinePunct w:val="0"/>
                    <w:bidi w:val="0"/>
                    <w:adjustRightInd w:val="0"/>
                    <w:snapToGrid w:val="0"/>
                    <w:spacing w:before="0" w:beforeAutospacing="0" w:after="0" w:afterAutospacing="0" w:line="276" w:lineRule="auto"/>
                    <w:ind w:left="0" w:right="0"/>
                    <w:jc w:val="center"/>
                    <w:textAlignment w:val="center"/>
                    <w:rPr>
                      <w:rFonts w:hint="default" w:ascii="Times New Roman" w:hAnsi="Times New Roman" w:eastAsia="宋体" w:cs="Times New Roman"/>
                      <w:bCs/>
                      <w:i w:val="0"/>
                      <w:iCs w:val="0"/>
                      <w:color w:val="000000"/>
                      <w:kern w:val="0"/>
                      <w:sz w:val="18"/>
                      <w:szCs w:val="18"/>
                      <w:highlight w:val="none"/>
                      <w:u w:val="none"/>
                      <w:lang w:val="en-US" w:eastAsia="zh-CN" w:bidi="ar"/>
                    </w:rPr>
                  </w:pPr>
                  <w:r>
                    <w:rPr>
                      <w:rFonts w:hint="default" w:ascii="Times New Roman" w:hAnsi="Times New Roman" w:eastAsia="宋体" w:cs="Times New Roman"/>
                      <w:bCs/>
                      <w:i w:val="0"/>
                      <w:iCs w:val="0"/>
                      <w:color w:val="000000"/>
                      <w:kern w:val="0"/>
                      <w:sz w:val="18"/>
                      <w:szCs w:val="18"/>
                      <w:highlight w:val="none"/>
                      <w:u w:val="none"/>
                      <w:lang w:val="en-US" w:eastAsia="zh-CN" w:bidi="ar"/>
                    </w:rPr>
                    <w:t>20</w:t>
                  </w:r>
                </w:p>
              </w:tc>
              <w:tc>
                <w:tcPr>
                  <w:tcW w:w="1678" w:type="pct"/>
                  <w:vMerge w:val="continue"/>
                  <w:tcBorders>
                    <w:tl2br w:val="nil"/>
                    <w:tr2bl w:val="nil"/>
                  </w:tcBorders>
                  <w:shd w:val="clear" w:color="auto" w:fill="FFFFFF"/>
                  <w:vAlign w:val="center"/>
                </w:tcPr>
                <w:p w14:paraId="05FDED2D">
                  <w:pPr>
                    <w:keepNext w:val="0"/>
                    <w:keepLines w:val="0"/>
                    <w:pageBreakBefore w:val="0"/>
                    <w:widowControl/>
                    <w:suppressLineNumbers w:val="0"/>
                    <w:kinsoku/>
                    <w:wordWrap/>
                    <w:overflowPunct/>
                    <w:topLinePunct w:val="0"/>
                    <w:bidi w:val="0"/>
                    <w:adjustRightInd w:val="0"/>
                    <w:snapToGrid w:val="0"/>
                    <w:spacing w:before="0" w:beforeAutospacing="0" w:after="0" w:afterAutospacing="0" w:line="276" w:lineRule="auto"/>
                    <w:ind w:left="0" w:right="0"/>
                    <w:jc w:val="center"/>
                    <w:textAlignment w:val="center"/>
                    <w:rPr>
                      <w:rFonts w:hint="default" w:ascii="Times New Roman" w:hAnsi="Times New Roman" w:eastAsia="宋体" w:cs="Times New Roman"/>
                      <w:i w:val="0"/>
                      <w:iCs w:val="0"/>
                      <w:color w:val="000000"/>
                      <w:kern w:val="0"/>
                      <w:sz w:val="18"/>
                      <w:szCs w:val="18"/>
                      <w:highlight w:val="none"/>
                      <w:u w:val="none"/>
                      <w:lang w:val="en-US" w:eastAsia="zh-CN" w:bidi="ar"/>
                    </w:rPr>
                  </w:pPr>
                </w:p>
              </w:tc>
            </w:tr>
            <w:tr w14:paraId="6993F80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FFFFFF"/>
                <w:tblCellMar>
                  <w:top w:w="0" w:type="dxa"/>
                  <w:left w:w="28" w:type="dxa"/>
                  <w:bottom w:w="0" w:type="dxa"/>
                  <w:right w:w="28" w:type="dxa"/>
                </w:tblCellMar>
              </w:tblPrEx>
              <w:trPr>
                <w:trHeight w:val="0" w:hRule="atLeast"/>
              </w:trPr>
              <w:tc>
                <w:tcPr>
                  <w:tcW w:w="235" w:type="pct"/>
                  <w:tcBorders>
                    <w:tl2br w:val="nil"/>
                    <w:tr2bl w:val="nil"/>
                  </w:tcBorders>
                  <w:shd w:val="clear" w:color="auto" w:fill="FFFFFF"/>
                  <w:noWrap/>
                  <w:vAlign w:val="center"/>
                </w:tcPr>
                <w:p w14:paraId="76E1652E">
                  <w:pPr>
                    <w:keepNext w:val="0"/>
                    <w:keepLines w:val="0"/>
                    <w:pageBreakBefore w:val="0"/>
                    <w:widowControl/>
                    <w:suppressLineNumbers w:val="0"/>
                    <w:kinsoku/>
                    <w:wordWrap/>
                    <w:overflowPunct/>
                    <w:topLinePunct w:val="0"/>
                    <w:bidi w:val="0"/>
                    <w:adjustRightInd w:val="0"/>
                    <w:snapToGrid w:val="0"/>
                    <w:spacing w:before="0" w:beforeAutospacing="0" w:after="0" w:afterAutospacing="0" w:line="276" w:lineRule="auto"/>
                    <w:ind w:left="0" w:right="0"/>
                    <w:jc w:val="center"/>
                    <w:textAlignment w:val="center"/>
                    <w:rPr>
                      <w:rFonts w:hint="default" w:ascii="Times New Roman" w:hAnsi="Times New Roman" w:eastAsia="宋体" w:cs="Times New Roman"/>
                      <w:bCs/>
                      <w:i w:val="0"/>
                      <w:iCs w:val="0"/>
                      <w:color w:val="000000"/>
                      <w:kern w:val="0"/>
                      <w:sz w:val="18"/>
                      <w:szCs w:val="18"/>
                      <w:highlight w:val="none"/>
                      <w:u w:val="none"/>
                      <w:lang w:val="en-US" w:eastAsia="zh-CN" w:bidi="ar"/>
                    </w:rPr>
                  </w:pPr>
                  <w:r>
                    <w:rPr>
                      <w:rFonts w:hint="default" w:ascii="Times New Roman" w:hAnsi="Times New Roman" w:eastAsia="宋体" w:cs="Times New Roman"/>
                      <w:bCs/>
                      <w:i w:val="0"/>
                      <w:iCs w:val="0"/>
                      <w:color w:val="000000"/>
                      <w:kern w:val="0"/>
                      <w:sz w:val="18"/>
                      <w:szCs w:val="18"/>
                      <w:highlight w:val="none"/>
                      <w:u w:val="none"/>
                      <w:lang w:val="en-US" w:eastAsia="zh-CN" w:bidi="ar"/>
                    </w:rPr>
                    <w:t>76</w:t>
                  </w:r>
                </w:p>
              </w:tc>
              <w:tc>
                <w:tcPr>
                  <w:tcW w:w="349" w:type="pct"/>
                  <w:vMerge w:val="continue"/>
                  <w:tcBorders>
                    <w:tl2br w:val="nil"/>
                    <w:tr2bl w:val="nil"/>
                  </w:tcBorders>
                  <w:shd w:val="clear" w:color="auto" w:fill="FFFFFF"/>
                  <w:vAlign w:val="center"/>
                </w:tcPr>
                <w:p w14:paraId="29A36E3B">
                  <w:pPr>
                    <w:pStyle w:val="120"/>
                    <w:keepNext w:val="0"/>
                    <w:keepLines w:val="0"/>
                    <w:pageBreakBefore w:val="0"/>
                    <w:framePr w:hSpace="0" w:wrap="auto" w:vAnchor="margin" w:hAnchor="text" w:xAlign="left" w:yAlign="inline"/>
                    <w:suppressLineNumbers w:val="0"/>
                    <w:kinsoku/>
                    <w:wordWrap/>
                    <w:overflowPunct/>
                    <w:topLinePunct w:val="0"/>
                    <w:bidi w:val="0"/>
                    <w:adjustRightInd w:val="0"/>
                    <w:snapToGrid w:val="0"/>
                    <w:spacing w:before="0" w:beforeAutospacing="0" w:after="0" w:afterAutospacing="0" w:line="276" w:lineRule="auto"/>
                    <w:ind w:left="0" w:right="0"/>
                    <w:jc w:val="center"/>
                    <w:rPr>
                      <w:rFonts w:hint="default" w:ascii="Times New Roman" w:hAnsi="Times New Roman" w:eastAsia="宋体" w:cs="Times New Roman"/>
                      <w:bCs/>
                      <w:i w:val="0"/>
                      <w:iCs w:val="0"/>
                      <w:color w:val="000000"/>
                      <w:kern w:val="0"/>
                      <w:sz w:val="18"/>
                      <w:szCs w:val="18"/>
                      <w:highlight w:val="none"/>
                      <w:u w:val="none"/>
                      <w:lang w:val="en-US" w:eastAsia="zh-CN" w:bidi="ar"/>
                    </w:rPr>
                  </w:pPr>
                </w:p>
              </w:tc>
              <w:tc>
                <w:tcPr>
                  <w:tcW w:w="1015" w:type="pct"/>
                  <w:tcBorders>
                    <w:tl2br w:val="nil"/>
                    <w:tr2bl w:val="nil"/>
                  </w:tcBorders>
                  <w:shd w:val="clear" w:color="auto" w:fill="FFFFFF"/>
                  <w:vAlign w:val="center"/>
                </w:tcPr>
                <w:p w14:paraId="49B58937">
                  <w:pPr>
                    <w:keepNext w:val="0"/>
                    <w:keepLines w:val="0"/>
                    <w:pageBreakBefore w:val="0"/>
                    <w:widowControl/>
                    <w:suppressLineNumbers w:val="0"/>
                    <w:kinsoku/>
                    <w:wordWrap/>
                    <w:overflowPunct/>
                    <w:topLinePunct w:val="0"/>
                    <w:bidi w:val="0"/>
                    <w:adjustRightInd w:val="0"/>
                    <w:snapToGrid w:val="0"/>
                    <w:spacing w:before="0" w:beforeAutospacing="0" w:after="0" w:afterAutospacing="0" w:line="276" w:lineRule="auto"/>
                    <w:ind w:left="0" w:right="0"/>
                    <w:jc w:val="center"/>
                    <w:textAlignment w:val="center"/>
                    <w:rPr>
                      <w:rFonts w:hint="default" w:ascii="Times New Roman" w:hAnsi="Times New Roman" w:eastAsia="宋体" w:cs="Times New Roman"/>
                      <w:bCs/>
                      <w:i w:val="0"/>
                      <w:iCs w:val="0"/>
                      <w:color w:val="000000"/>
                      <w:kern w:val="0"/>
                      <w:sz w:val="18"/>
                      <w:szCs w:val="18"/>
                      <w:highlight w:val="none"/>
                      <w:u w:val="none"/>
                      <w:lang w:val="en-US" w:eastAsia="zh-CN" w:bidi="ar"/>
                    </w:rPr>
                  </w:pPr>
                  <w:r>
                    <w:rPr>
                      <w:rFonts w:hint="default" w:ascii="Times New Roman" w:hAnsi="Times New Roman" w:eastAsia="宋体" w:cs="Times New Roman"/>
                      <w:bCs/>
                      <w:i w:val="0"/>
                      <w:iCs w:val="0"/>
                      <w:color w:val="000000"/>
                      <w:kern w:val="0"/>
                      <w:sz w:val="18"/>
                      <w:szCs w:val="18"/>
                      <w:highlight w:val="none"/>
                      <w:u w:val="none"/>
                      <w:lang w:val="en-US" w:eastAsia="zh-CN" w:bidi="ar"/>
                    </w:rPr>
                    <w:t>各类生物安全柜</w:t>
                  </w:r>
                </w:p>
              </w:tc>
              <w:tc>
                <w:tcPr>
                  <w:tcW w:w="1436" w:type="pct"/>
                  <w:tcBorders>
                    <w:tl2br w:val="nil"/>
                    <w:tr2bl w:val="nil"/>
                  </w:tcBorders>
                  <w:shd w:val="clear" w:color="auto" w:fill="FFFFFF"/>
                  <w:noWrap/>
                  <w:vAlign w:val="center"/>
                </w:tcPr>
                <w:p w14:paraId="0B4FE085">
                  <w:pPr>
                    <w:keepNext w:val="0"/>
                    <w:keepLines w:val="0"/>
                    <w:pageBreakBefore w:val="0"/>
                    <w:suppressLineNumbers w:val="0"/>
                    <w:kinsoku/>
                    <w:wordWrap/>
                    <w:overflowPunct/>
                    <w:topLinePunct w:val="0"/>
                    <w:bidi w:val="0"/>
                    <w:adjustRightInd w:val="0"/>
                    <w:snapToGrid w:val="0"/>
                    <w:spacing w:before="0" w:beforeAutospacing="0" w:after="0" w:afterAutospacing="0" w:line="276" w:lineRule="auto"/>
                    <w:ind w:left="0" w:right="0"/>
                    <w:jc w:val="center"/>
                    <w:rPr>
                      <w:rFonts w:hint="default" w:ascii="Times New Roman" w:hAnsi="Times New Roman" w:eastAsia="宋体" w:cs="Times New Roman"/>
                      <w:bCs/>
                      <w:i w:val="0"/>
                      <w:iCs w:val="0"/>
                      <w:color w:val="000000"/>
                      <w:kern w:val="0"/>
                      <w:sz w:val="18"/>
                      <w:szCs w:val="18"/>
                      <w:highlight w:val="none"/>
                      <w:u w:val="none"/>
                      <w:lang w:val="en-US" w:eastAsia="zh-CN" w:bidi="ar"/>
                    </w:rPr>
                  </w:pPr>
                  <w:r>
                    <w:rPr>
                      <w:rFonts w:hint="default" w:ascii="Times New Roman" w:hAnsi="Times New Roman" w:eastAsia="宋体" w:cs="Times New Roman"/>
                      <w:bCs/>
                      <w:i w:val="0"/>
                      <w:iCs w:val="0"/>
                      <w:color w:val="000000"/>
                      <w:kern w:val="0"/>
                      <w:sz w:val="18"/>
                      <w:szCs w:val="18"/>
                      <w:highlight w:val="none"/>
                      <w:u w:val="none"/>
                      <w:lang w:val="en-US" w:eastAsia="zh-CN" w:bidi="ar"/>
                    </w:rPr>
                    <w:t>/</w:t>
                  </w:r>
                </w:p>
              </w:tc>
              <w:tc>
                <w:tcPr>
                  <w:tcW w:w="284" w:type="pct"/>
                  <w:tcBorders>
                    <w:tl2br w:val="nil"/>
                    <w:tr2bl w:val="nil"/>
                  </w:tcBorders>
                  <w:shd w:val="clear" w:color="auto" w:fill="FFFFFF"/>
                  <w:vAlign w:val="center"/>
                </w:tcPr>
                <w:p w14:paraId="324B08F7">
                  <w:pPr>
                    <w:keepNext w:val="0"/>
                    <w:keepLines w:val="0"/>
                    <w:pageBreakBefore w:val="0"/>
                    <w:widowControl/>
                    <w:suppressLineNumbers w:val="0"/>
                    <w:kinsoku/>
                    <w:wordWrap/>
                    <w:overflowPunct/>
                    <w:topLinePunct w:val="0"/>
                    <w:bidi w:val="0"/>
                    <w:adjustRightInd w:val="0"/>
                    <w:snapToGrid w:val="0"/>
                    <w:spacing w:before="0" w:beforeAutospacing="0" w:after="0" w:afterAutospacing="0" w:line="276" w:lineRule="auto"/>
                    <w:ind w:left="0" w:right="0"/>
                    <w:jc w:val="center"/>
                    <w:textAlignment w:val="center"/>
                    <w:rPr>
                      <w:rFonts w:hint="default" w:ascii="Times New Roman" w:hAnsi="Times New Roman" w:eastAsia="宋体" w:cs="Times New Roman"/>
                      <w:bCs/>
                      <w:i w:val="0"/>
                      <w:iCs w:val="0"/>
                      <w:color w:val="000000"/>
                      <w:kern w:val="0"/>
                      <w:sz w:val="18"/>
                      <w:szCs w:val="18"/>
                      <w:highlight w:val="none"/>
                      <w:u w:val="none"/>
                      <w:lang w:val="en-US" w:eastAsia="zh-CN" w:bidi="ar"/>
                    </w:rPr>
                  </w:pPr>
                  <w:r>
                    <w:rPr>
                      <w:rFonts w:hint="default" w:ascii="Times New Roman" w:hAnsi="Times New Roman" w:eastAsia="宋体" w:cs="Times New Roman"/>
                      <w:bCs/>
                      <w:i w:val="0"/>
                      <w:iCs w:val="0"/>
                      <w:color w:val="000000"/>
                      <w:kern w:val="0"/>
                      <w:sz w:val="18"/>
                      <w:szCs w:val="18"/>
                      <w:highlight w:val="none"/>
                      <w:u w:val="none"/>
                      <w:lang w:val="en-US" w:eastAsia="zh-CN" w:bidi="ar"/>
                    </w:rPr>
                    <w:t>15</w:t>
                  </w:r>
                </w:p>
              </w:tc>
              <w:tc>
                <w:tcPr>
                  <w:tcW w:w="1678" w:type="pct"/>
                  <w:vMerge w:val="continue"/>
                  <w:tcBorders>
                    <w:tl2br w:val="nil"/>
                    <w:tr2bl w:val="nil"/>
                  </w:tcBorders>
                  <w:shd w:val="clear" w:color="auto" w:fill="FFFFFF"/>
                  <w:vAlign w:val="center"/>
                </w:tcPr>
                <w:p w14:paraId="47C7F2D3">
                  <w:pPr>
                    <w:keepNext w:val="0"/>
                    <w:keepLines w:val="0"/>
                    <w:pageBreakBefore w:val="0"/>
                    <w:widowControl/>
                    <w:suppressLineNumbers w:val="0"/>
                    <w:kinsoku/>
                    <w:wordWrap/>
                    <w:overflowPunct/>
                    <w:topLinePunct w:val="0"/>
                    <w:bidi w:val="0"/>
                    <w:adjustRightInd w:val="0"/>
                    <w:snapToGrid w:val="0"/>
                    <w:spacing w:before="0" w:beforeAutospacing="0" w:after="0" w:afterAutospacing="0" w:line="276" w:lineRule="auto"/>
                    <w:ind w:left="0" w:right="0"/>
                    <w:jc w:val="center"/>
                    <w:textAlignment w:val="center"/>
                    <w:rPr>
                      <w:rFonts w:hint="default" w:ascii="Times New Roman" w:hAnsi="Times New Roman" w:eastAsia="宋体" w:cs="Times New Roman"/>
                      <w:i w:val="0"/>
                      <w:iCs w:val="0"/>
                      <w:color w:val="000000"/>
                      <w:kern w:val="0"/>
                      <w:sz w:val="18"/>
                      <w:szCs w:val="18"/>
                      <w:highlight w:val="none"/>
                      <w:u w:val="none"/>
                      <w:lang w:val="en-US" w:eastAsia="zh-CN" w:bidi="ar"/>
                    </w:rPr>
                  </w:pPr>
                </w:p>
              </w:tc>
            </w:tr>
            <w:tr w14:paraId="120F13D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0" w:hRule="atLeast"/>
              </w:trPr>
              <w:tc>
                <w:tcPr>
                  <w:tcW w:w="235" w:type="pct"/>
                  <w:tcBorders>
                    <w:tl2br w:val="nil"/>
                    <w:tr2bl w:val="nil"/>
                  </w:tcBorders>
                  <w:shd w:val="clear" w:color="auto" w:fill="FFFFFF"/>
                  <w:noWrap/>
                  <w:vAlign w:val="center"/>
                </w:tcPr>
                <w:p w14:paraId="79007E8F">
                  <w:pPr>
                    <w:keepNext w:val="0"/>
                    <w:keepLines w:val="0"/>
                    <w:pageBreakBefore w:val="0"/>
                    <w:widowControl/>
                    <w:suppressLineNumbers w:val="0"/>
                    <w:kinsoku/>
                    <w:wordWrap/>
                    <w:overflowPunct/>
                    <w:topLinePunct w:val="0"/>
                    <w:bidi w:val="0"/>
                    <w:adjustRightInd w:val="0"/>
                    <w:snapToGrid w:val="0"/>
                    <w:spacing w:before="0" w:beforeAutospacing="0" w:after="0" w:afterAutospacing="0" w:line="276" w:lineRule="auto"/>
                    <w:ind w:left="0" w:right="0"/>
                    <w:jc w:val="center"/>
                    <w:textAlignment w:val="center"/>
                    <w:rPr>
                      <w:rFonts w:hint="default" w:ascii="Times New Roman" w:hAnsi="Times New Roman" w:eastAsia="宋体" w:cs="Times New Roman"/>
                      <w:bCs/>
                      <w:i w:val="0"/>
                      <w:iCs w:val="0"/>
                      <w:color w:val="000000"/>
                      <w:kern w:val="0"/>
                      <w:sz w:val="18"/>
                      <w:szCs w:val="18"/>
                      <w:highlight w:val="none"/>
                      <w:u w:val="none"/>
                      <w:lang w:val="en-US" w:eastAsia="zh-CN" w:bidi="ar"/>
                    </w:rPr>
                  </w:pPr>
                  <w:r>
                    <w:rPr>
                      <w:rFonts w:hint="default" w:ascii="Times New Roman" w:hAnsi="Times New Roman" w:eastAsia="宋体" w:cs="Times New Roman"/>
                      <w:bCs/>
                      <w:i w:val="0"/>
                      <w:iCs w:val="0"/>
                      <w:color w:val="000000"/>
                      <w:kern w:val="0"/>
                      <w:sz w:val="18"/>
                      <w:szCs w:val="18"/>
                      <w:highlight w:val="none"/>
                      <w:u w:val="none"/>
                      <w:lang w:val="en-US" w:eastAsia="zh-CN" w:bidi="ar"/>
                    </w:rPr>
                    <w:t>77</w:t>
                  </w:r>
                </w:p>
              </w:tc>
              <w:tc>
                <w:tcPr>
                  <w:tcW w:w="349" w:type="pct"/>
                  <w:vMerge w:val="continue"/>
                  <w:tcBorders>
                    <w:tl2br w:val="nil"/>
                    <w:tr2bl w:val="nil"/>
                  </w:tcBorders>
                  <w:shd w:val="clear" w:color="auto" w:fill="FFFFFF"/>
                  <w:vAlign w:val="center"/>
                </w:tcPr>
                <w:p w14:paraId="5EAC676D">
                  <w:pPr>
                    <w:pStyle w:val="120"/>
                    <w:keepNext w:val="0"/>
                    <w:keepLines w:val="0"/>
                    <w:pageBreakBefore w:val="0"/>
                    <w:framePr w:hSpace="0" w:wrap="auto" w:vAnchor="margin" w:hAnchor="text" w:xAlign="left" w:yAlign="inline"/>
                    <w:suppressLineNumbers w:val="0"/>
                    <w:kinsoku/>
                    <w:wordWrap/>
                    <w:overflowPunct/>
                    <w:topLinePunct w:val="0"/>
                    <w:bidi w:val="0"/>
                    <w:adjustRightInd w:val="0"/>
                    <w:snapToGrid w:val="0"/>
                    <w:spacing w:before="0" w:beforeAutospacing="0" w:after="0" w:afterAutospacing="0" w:line="276" w:lineRule="auto"/>
                    <w:ind w:left="0" w:right="0"/>
                    <w:jc w:val="center"/>
                    <w:rPr>
                      <w:rFonts w:hint="default" w:ascii="Times New Roman" w:hAnsi="Times New Roman" w:eastAsia="宋体" w:cs="Times New Roman"/>
                      <w:bCs/>
                      <w:i w:val="0"/>
                      <w:iCs w:val="0"/>
                      <w:color w:val="000000"/>
                      <w:kern w:val="0"/>
                      <w:sz w:val="18"/>
                      <w:szCs w:val="18"/>
                      <w:highlight w:val="none"/>
                      <w:u w:val="none"/>
                      <w:lang w:val="en-US" w:eastAsia="zh-CN" w:bidi="ar"/>
                    </w:rPr>
                  </w:pPr>
                </w:p>
              </w:tc>
              <w:tc>
                <w:tcPr>
                  <w:tcW w:w="1015" w:type="pct"/>
                  <w:tcBorders>
                    <w:tl2br w:val="nil"/>
                    <w:tr2bl w:val="nil"/>
                  </w:tcBorders>
                  <w:shd w:val="clear" w:color="auto" w:fill="FFFFFF"/>
                  <w:vAlign w:val="center"/>
                </w:tcPr>
                <w:p w14:paraId="1897D636">
                  <w:pPr>
                    <w:keepNext w:val="0"/>
                    <w:keepLines w:val="0"/>
                    <w:pageBreakBefore w:val="0"/>
                    <w:widowControl/>
                    <w:suppressLineNumbers w:val="0"/>
                    <w:kinsoku/>
                    <w:wordWrap/>
                    <w:overflowPunct/>
                    <w:topLinePunct w:val="0"/>
                    <w:bidi w:val="0"/>
                    <w:adjustRightInd w:val="0"/>
                    <w:snapToGrid w:val="0"/>
                    <w:spacing w:before="0" w:beforeAutospacing="0" w:after="0" w:afterAutospacing="0" w:line="276" w:lineRule="auto"/>
                    <w:ind w:left="0" w:right="0"/>
                    <w:jc w:val="center"/>
                    <w:textAlignment w:val="center"/>
                    <w:rPr>
                      <w:rFonts w:hint="default" w:ascii="Times New Roman" w:hAnsi="Times New Roman" w:eastAsia="宋体" w:cs="Times New Roman"/>
                      <w:bCs/>
                      <w:i w:val="0"/>
                      <w:iCs w:val="0"/>
                      <w:color w:val="000000"/>
                      <w:kern w:val="0"/>
                      <w:sz w:val="18"/>
                      <w:szCs w:val="18"/>
                      <w:highlight w:val="none"/>
                      <w:u w:val="none"/>
                      <w:lang w:val="en-US" w:eastAsia="zh-CN" w:bidi="ar"/>
                    </w:rPr>
                  </w:pPr>
                  <w:r>
                    <w:rPr>
                      <w:rFonts w:hint="default" w:ascii="Times New Roman" w:hAnsi="Times New Roman" w:eastAsia="宋体" w:cs="Times New Roman"/>
                      <w:bCs/>
                      <w:i w:val="0"/>
                      <w:iCs w:val="0"/>
                      <w:color w:val="000000"/>
                      <w:kern w:val="0"/>
                      <w:sz w:val="18"/>
                      <w:szCs w:val="18"/>
                      <w:highlight w:val="none"/>
                      <w:u w:val="none"/>
                      <w:lang w:val="en-US" w:eastAsia="zh-CN" w:bidi="ar"/>
                    </w:rPr>
                    <w:t>超净工作台</w:t>
                  </w:r>
                </w:p>
              </w:tc>
              <w:tc>
                <w:tcPr>
                  <w:tcW w:w="1436" w:type="pct"/>
                  <w:tcBorders>
                    <w:tl2br w:val="nil"/>
                    <w:tr2bl w:val="nil"/>
                  </w:tcBorders>
                  <w:shd w:val="clear" w:color="auto" w:fill="FFFFFF"/>
                  <w:noWrap/>
                  <w:vAlign w:val="center"/>
                </w:tcPr>
                <w:p w14:paraId="179D693B">
                  <w:pPr>
                    <w:keepNext w:val="0"/>
                    <w:keepLines w:val="0"/>
                    <w:pageBreakBefore w:val="0"/>
                    <w:suppressLineNumbers w:val="0"/>
                    <w:kinsoku/>
                    <w:wordWrap/>
                    <w:overflowPunct/>
                    <w:topLinePunct w:val="0"/>
                    <w:bidi w:val="0"/>
                    <w:adjustRightInd w:val="0"/>
                    <w:snapToGrid w:val="0"/>
                    <w:spacing w:before="0" w:beforeAutospacing="0" w:after="0" w:afterAutospacing="0" w:line="276" w:lineRule="auto"/>
                    <w:ind w:left="0" w:right="0"/>
                    <w:jc w:val="center"/>
                    <w:rPr>
                      <w:rFonts w:hint="default" w:ascii="Times New Roman" w:hAnsi="Times New Roman" w:eastAsia="宋体" w:cs="Times New Roman"/>
                      <w:bCs/>
                      <w:i w:val="0"/>
                      <w:iCs w:val="0"/>
                      <w:color w:val="000000"/>
                      <w:kern w:val="0"/>
                      <w:sz w:val="18"/>
                      <w:szCs w:val="18"/>
                      <w:highlight w:val="none"/>
                      <w:u w:val="none"/>
                      <w:lang w:val="en-US" w:eastAsia="zh-CN" w:bidi="ar"/>
                    </w:rPr>
                  </w:pPr>
                  <w:r>
                    <w:rPr>
                      <w:rFonts w:hint="default" w:ascii="Times New Roman" w:hAnsi="Times New Roman" w:eastAsia="宋体" w:cs="Times New Roman"/>
                      <w:bCs/>
                      <w:i w:val="0"/>
                      <w:iCs w:val="0"/>
                      <w:color w:val="000000"/>
                      <w:kern w:val="0"/>
                      <w:sz w:val="18"/>
                      <w:szCs w:val="18"/>
                      <w:highlight w:val="none"/>
                      <w:u w:val="none"/>
                      <w:lang w:val="en-US" w:eastAsia="zh-CN" w:bidi="ar"/>
                    </w:rPr>
                    <w:t>/</w:t>
                  </w:r>
                </w:p>
              </w:tc>
              <w:tc>
                <w:tcPr>
                  <w:tcW w:w="284" w:type="pct"/>
                  <w:tcBorders>
                    <w:tl2br w:val="nil"/>
                    <w:tr2bl w:val="nil"/>
                  </w:tcBorders>
                  <w:shd w:val="clear" w:color="auto" w:fill="FFFFFF"/>
                  <w:vAlign w:val="center"/>
                </w:tcPr>
                <w:p w14:paraId="01BC0029">
                  <w:pPr>
                    <w:keepNext w:val="0"/>
                    <w:keepLines w:val="0"/>
                    <w:pageBreakBefore w:val="0"/>
                    <w:widowControl/>
                    <w:suppressLineNumbers w:val="0"/>
                    <w:kinsoku/>
                    <w:wordWrap/>
                    <w:overflowPunct/>
                    <w:topLinePunct w:val="0"/>
                    <w:bidi w:val="0"/>
                    <w:adjustRightInd w:val="0"/>
                    <w:snapToGrid w:val="0"/>
                    <w:spacing w:before="0" w:beforeAutospacing="0" w:after="0" w:afterAutospacing="0" w:line="276" w:lineRule="auto"/>
                    <w:ind w:left="0" w:right="0"/>
                    <w:jc w:val="center"/>
                    <w:textAlignment w:val="center"/>
                    <w:rPr>
                      <w:rFonts w:hint="default" w:ascii="Times New Roman" w:hAnsi="Times New Roman" w:eastAsia="宋体" w:cs="Times New Roman"/>
                      <w:bCs/>
                      <w:i w:val="0"/>
                      <w:iCs w:val="0"/>
                      <w:color w:val="000000"/>
                      <w:kern w:val="0"/>
                      <w:sz w:val="18"/>
                      <w:szCs w:val="18"/>
                      <w:highlight w:val="none"/>
                      <w:u w:val="none"/>
                      <w:lang w:val="en-US" w:eastAsia="zh-CN" w:bidi="ar"/>
                    </w:rPr>
                  </w:pPr>
                  <w:r>
                    <w:rPr>
                      <w:rFonts w:hint="default" w:ascii="Times New Roman" w:hAnsi="Times New Roman" w:eastAsia="宋体" w:cs="Times New Roman"/>
                      <w:bCs/>
                      <w:i w:val="0"/>
                      <w:iCs w:val="0"/>
                      <w:color w:val="000000"/>
                      <w:kern w:val="0"/>
                      <w:sz w:val="18"/>
                      <w:szCs w:val="18"/>
                      <w:highlight w:val="none"/>
                      <w:u w:val="none"/>
                      <w:lang w:val="en-US" w:eastAsia="zh-CN" w:bidi="ar"/>
                    </w:rPr>
                    <w:t>15</w:t>
                  </w:r>
                </w:p>
              </w:tc>
              <w:tc>
                <w:tcPr>
                  <w:tcW w:w="1678" w:type="pct"/>
                  <w:vMerge w:val="continue"/>
                  <w:tcBorders>
                    <w:tl2br w:val="nil"/>
                    <w:tr2bl w:val="nil"/>
                  </w:tcBorders>
                  <w:shd w:val="clear" w:color="auto" w:fill="FFFFFF"/>
                  <w:vAlign w:val="center"/>
                </w:tcPr>
                <w:p w14:paraId="5F98AB86">
                  <w:pPr>
                    <w:keepNext w:val="0"/>
                    <w:keepLines w:val="0"/>
                    <w:pageBreakBefore w:val="0"/>
                    <w:widowControl/>
                    <w:suppressLineNumbers w:val="0"/>
                    <w:kinsoku/>
                    <w:wordWrap/>
                    <w:overflowPunct/>
                    <w:topLinePunct w:val="0"/>
                    <w:bidi w:val="0"/>
                    <w:adjustRightInd w:val="0"/>
                    <w:snapToGrid w:val="0"/>
                    <w:spacing w:before="0" w:beforeAutospacing="0" w:after="0" w:afterAutospacing="0" w:line="276" w:lineRule="auto"/>
                    <w:ind w:left="0" w:right="0"/>
                    <w:jc w:val="center"/>
                    <w:textAlignment w:val="center"/>
                    <w:rPr>
                      <w:rFonts w:hint="default" w:ascii="Times New Roman" w:hAnsi="Times New Roman" w:eastAsia="宋体" w:cs="Times New Roman"/>
                      <w:i w:val="0"/>
                      <w:iCs w:val="0"/>
                      <w:color w:val="000000"/>
                      <w:kern w:val="0"/>
                      <w:sz w:val="18"/>
                      <w:szCs w:val="18"/>
                      <w:highlight w:val="none"/>
                      <w:u w:val="none"/>
                      <w:lang w:val="en-US" w:eastAsia="zh-CN" w:bidi="ar"/>
                    </w:rPr>
                  </w:pPr>
                </w:p>
              </w:tc>
            </w:tr>
            <w:tr w14:paraId="1ADF339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0" w:hRule="atLeast"/>
              </w:trPr>
              <w:tc>
                <w:tcPr>
                  <w:tcW w:w="235" w:type="pct"/>
                  <w:tcBorders>
                    <w:tl2br w:val="nil"/>
                    <w:tr2bl w:val="nil"/>
                  </w:tcBorders>
                  <w:shd w:val="clear" w:color="auto" w:fill="FFFFFF"/>
                  <w:noWrap/>
                  <w:vAlign w:val="center"/>
                </w:tcPr>
                <w:p w14:paraId="751DDD82">
                  <w:pPr>
                    <w:keepNext w:val="0"/>
                    <w:keepLines w:val="0"/>
                    <w:pageBreakBefore w:val="0"/>
                    <w:widowControl/>
                    <w:suppressLineNumbers w:val="0"/>
                    <w:kinsoku/>
                    <w:wordWrap/>
                    <w:overflowPunct/>
                    <w:topLinePunct w:val="0"/>
                    <w:bidi w:val="0"/>
                    <w:adjustRightInd w:val="0"/>
                    <w:snapToGrid w:val="0"/>
                    <w:spacing w:before="0" w:beforeAutospacing="0" w:after="0" w:afterAutospacing="0" w:line="276" w:lineRule="auto"/>
                    <w:ind w:left="0" w:right="0"/>
                    <w:jc w:val="center"/>
                    <w:textAlignment w:val="center"/>
                    <w:rPr>
                      <w:rFonts w:hint="default" w:ascii="Times New Roman" w:hAnsi="Times New Roman" w:eastAsia="宋体" w:cs="Times New Roman"/>
                      <w:bCs/>
                      <w:i w:val="0"/>
                      <w:iCs w:val="0"/>
                      <w:color w:val="000000"/>
                      <w:kern w:val="0"/>
                      <w:sz w:val="18"/>
                      <w:szCs w:val="18"/>
                      <w:highlight w:val="none"/>
                      <w:u w:val="none"/>
                      <w:lang w:val="en-US" w:eastAsia="zh-CN" w:bidi="ar"/>
                    </w:rPr>
                  </w:pPr>
                  <w:r>
                    <w:rPr>
                      <w:rFonts w:hint="default" w:ascii="Times New Roman" w:hAnsi="Times New Roman" w:eastAsia="宋体" w:cs="Times New Roman"/>
                      <w:bCs/>
                      <w:i w:val="0"/>
                      <w:iCs w:val="0"/>
                      <w:color w:val="000000"/>
                      <w:kern w:val="0"/>
                      <w:sz w:val="18"/>
                      <w:szCs w:val="18"/>
                      <w:highlight w:val="none"/>
                      <w:u w:val="none"/>
                      <w:lang w:val="en-US" w:eastAsia="zh-CN" w:bidi="ar"/>
                    </w:rPr>
                    <w:t>78</w:t>
                  </w:r>
                </w:p>
              </w:tc>
              <w:tc>
                <w:tcPr>
                  <w:tcW w:w="349" w:type="pct"/>
                  <w:vMerge w:val="continue"/>
                  <w:tcBorders>
                    <w:tl2br w:val="nil"/>
                    <w:tr2bl w:val="nil"/>
                  </w:tcBorders>
                  <w:shd w:val="clear" w:color="auto" w:fill="FFFFFF"/>
                  <w:vAlign w:val="center"/>
                </w:tcPr>
                <w:p w14:paraId="7E6798F9">
                  <w:pPr>
                    <w:pStyle w:val="120"/>
                    <w:keepNext w:val="0"/>
                    <w:keepLines w:val="0"/>
                    <w:pageBreakBefore w:val="0"/>
                    <w:framePr w:hSpace="0" w:wrap="auto" w:vAnchor="margin" w:hAnchor="text" w:xAlign="left" w:yAlign="inline"/>
                    <w:suppressLineNumbers w:val="0"/>
                    <w:kinsoku/>
                    <w:wordWrap/>
                    <w:overflowPunct/>
                    <w:topLinePunct w:val="0"/>
                    <w:bidi w:val="0"/>
                    <w:adjustRightInd w:val="0"/>
                    <w:snapToGrid w:val="0"/>
                    <w:spacing w:before="0" w:beforeAutospacing="0" w:after="0" w:afterAutospacing="0" w:line="276" w:lineRule="auto"/>
                    <w:ind w:left="0" w:right="0"/>
                    <w:jc w:val="center"/>
                    <w:rPr>
                      <w:rFonts w:hint="default" w:ascii="Times New Roman" w:hAnsi="Times New Roman" w:eastAsia="宋体" w:cs="Times New Roman"/>
                      <w:bCs/>
                      <w:i w:val="0"/>
                      <w:iCs w:val="0"/>
                      <w:color w:val="000000"/>
                      <w:kern w:val="0"/>
                      <w:sz w:val="18"/>
                      <w:szCs w:val="18"/>
                      <w:highlight w:val="none"/>
                      <w:u w:val="none"/>
                      <w:lang w:val="en-US" w:eastAsia="zh-CN" w:bidi="ar"/>
                    </w:rPr>
                  </w:pPr>
                </w:p>
              </w:tc>
              <w:tc>
                <w:tcPr>
                  <w:tcW w:w="1015" w:type="pct"/>
                  <w:tcBorders>
                    <w:tl2br w:val="nil"/>
                    <w:tr2bl w:val="nil"/>
                  </w:tcBorders>
                  <w:shd w:val="clear" w:color="auto" w:fill="FFFFFF"/>
                  <w:vAlign w:val="center"/>
                </w:tcPr>
                <w:p w14:paraId="61F50BC9">
                  <w:pPr>
                    <w:keepNext w:val="0"/>
                    <w:keepLines w:val="0"/>
                    <w:pageBreakBefore w:val="0"/>
                    <w:widowControl/>
                    <w:suppressLineNumbers w:val="0"/>
                    <w:kinsoku/>
                    <w:wordWrap/>
                    <w:overflowPunct/>
                    <w:topLinePunct w:val="0"/>
                    <w:bidi w:val="0"/>
                    <w:adjustRightInd w:val="0"/>
                    <w:snapToGrid w:val="0"/>
                    <w:spacing w:before="0" w:beforeAutospacing="0" w:after="0" w:afterAutospacing="0" w:line="276" w:lineRule="auto"/>
                    <w:ind w:left="0" w:right="0"/>
                    <w:jc w:val="center"/>
                    <w:textAlignment w:val="center"/>
                    <w:rPr>
                      <w:rFonts w:hint="default" w:ascii="Times New Roman" w:hAnsi="Times New Roman" w:eastAsia="宋体" w:cs="Times New Roman"/>
                      <w:bCs/>
                      <w:i w:val="0"/>
                      <w:iCs w:val="0"/>
                      <w:color w:val="000000"/>
                      <w:kern w:val="0"/>
                      <w:sz w:val="18"/>
                      <w:szCs w:val="18"/>
                      <w:highlight w:val="none"/>
                      <w:u w:val="none"/>
                      <w:lang w:val="en-US" w:eastAsia="zh-CN" w:bidi="ar"/>
                    </w:rPr>
                  </w:pPr>
                  <w:r>
                    <w:rPr>
                      <w:rFonts w:hint="default" w:ascii="Times New Roman" w:hAnsi="Times New Roman" w:eastAsia="宋体" w:cs="Times New Roman"/>
                      <w:bCs/>
                      <w:i w:val="0"/>
                      <w:iCs w:val="0"/>
                      <w:color w:val="000000"/>
                      <w:kern w:val="0"/>
                      <w:sz w:val="18"/>
                      <w:szCs w:val="18"/>
                      <w:highlight w:val="none"/>
                      <w:u w:val="none"/>
                      <w:lang w:val="en-US" w:eastAsia="zh-CN" w:bidi="ar"/>
                    </w:rPr>
                    <w:t>层析柜</w:t>
                  </w:r>
                </w:p>
              </w:tc>
              <w:tc>
                <w:tcPr>
                  <w:tcW w:w="1436" w:type="pct"/>
                  <w:tcBorders>
                    <w:tl2br w:val="nil"/>
                    <w:tr2bl w:val="nil"/>
                  </w:tcBorders>
                  <w:shd w:val="clear" w:color="auto" w:fill="FFFFFF"/>
                  <w:noWrap/>
                  <w:vAlign w:val="center"/>
                </w:tcPr>
                <w:p w14:paraId="19C64BFE">
                  <w:pPr>
                    <w:keepNext w:val="0"/>
                    <w:keepLines w:val="0"/>
                    <w:pageBreakBefore w:val="0"/>
                    <w:suppressLineNumbers w:val="0"/>
                    <w:kinsoku/>
                    <w:wordWrap/>
                    <w:overflowPunct/>
                    <w:topLinePunct w:val="0"/>
                    <w:bidi w:val="0"/>
                    <w:adjustRightInd w:val="0"/>
                    <w:snapToGrid w:val="0"/>
                    <w:spacing w:before="0" w:beforeAutospacing="0" w:after="0" w:afterAutospacing="0" w:line="276" w:lineRule="auto"/>
                    <w:ind w:left="0" w:right="0"/>
                    <w:jc w:val="center"/>
                    <w:rPr>
                      <w:rFonts w:hint="default" w:ascii="Times New Roman" w:hAnsi="Times New Roman" w:eastAsia="宋体" w:cs="Times New Roman"/>
                      <w:bCs/>
                      <w:i w:val="0"/>
                      <w:iCs w:val="0"/>
                      <w:color w:val="000000"/>
                      <w:kern w:val="0"/>
                      <w:sz w:val="18"/>
                      <w:szCs w:val="18"/>
                      <w:highlight w:val="none"/>
                      <w:u w:val="none"/>
                      <w:lang w:val="en-US" w:eastAsia="zh-CN" w:bidi="ar"/>
                    </w:rPr>
                  </w:pPr>
                  <w:r>
                    <w:rPr>
                      <w:rFonts w:hint="default" w:ascii="Times New Roman" w:hAnsi="Times New Roman" w:eastAsia="宋体" w:cs="Times New Roman"/>
                      <w:bCs/>
                      <w:i w:val="0"/>
                      <w:iCs w:val="0"/>
                      <w:color w:val="000000"/>
                      <w:kern w:val="0"/>
                      <w:sz w:val="18"/>
                      <w:szCs w:val="18"/>
                      <w:highlight w:val="none"/>
                      <w:u w:val="none"/>
                      <w:lang w:val="en-US" w:eastAsia="zh-CN" w:bidi="ar"/>
                    </w:rPr>
                    <w:t>/</w:t>
                  </w:r>
                </w:p>
              </w:tc>
              <w:tc>
                <w:tcPr>
                  <w:tcW w:w="284" w:type="pct"/>
                  <w:tcBorders>
                    <w:tl2br w:val="nil"/>
                    <w:tr2bl w:val="nil"/>
                  </w:tcBorders>
                  <w:shd w:val="clear" w:color="auto" w:fill="FFFFFF"/>
                  <w:vAlign w:val="center"/>
                </w:tcPr>
                <w:p w14:paraId="7C668DFD">
                  <w:pPr>
                    <w:keepNext w:val="0"/>
                    <w:keepLines w:val="0"/>
                    <w:pageBreakBefore w:val="0"/>
                    <w:widowControl/>
                    <w:suppressLineNumbers w:val="0"/>
                    <w:kinsoku/>
                    <w:wordWrap/>
                    <w:overflowPunct/>
                    <w:topLinePunct w:val="0"/>
                    <w:bidi w:val="0"/>
                    <w:adjustRightInd w:val="0"/>
                    <w:snapToGrid w:val="0"/>
                    <w:spacing w:before="0" w:beforeAutospacing="0" w:after="0" w:afterAutospacing="0" w:line="276" w:lineRule="auto"/>
                    <w:ind w:left="0" w:right="0"/>
                    <w:jc w:val="center"/>
                    <w:textAlignment w:val="center"/>
                    <w:rPr>
                      <w:rFonts w:hint="default" w:ascii="Times New Roman" w:hAnsi="Times New Roman" w:eastAsia="宋体" w:cs="Times New Roman"/>
                      <w:bCs/>
                      <w:i w:val="0"/>
                      <w:iCs w:val="0"/>
                      <w:color w:val="000000"/>
                      <w:kern w:val="0"/>
                      <w:sz w:val="18"/>
                      <w:szCs w:val="18"/>
                      <w:highlight w:val="none"/>
                      <w:u w:val="none"/>
                      <w:lang w:val="en-US" w:eastAsia="zh-CN" w:bidi="ar"/>
                    </w:rPr>
                  </w:pPr>
                  <w:r>
                    <w:rPr>
                      <w:rFonts w:hint="default" w:ascii="Times New Roman" w:hAnsi="Times New Roman" w:eastAsia="宋体" w:cs="Times New Roman"/>
                      <w:bCs/>
                      <w:i w:val="0"/>
                      <w:iCs w:val="0"/>
                      <w:color w:val="000000"/>
                      <w:kern w:val="0"/>
                      <w:sz w:val="18"/>
                      <w:szCs w:val="18"/>
                      <w:highlight w:val="none"/>
                      <w:u w:val="none"/>
                      <w:lang w:val="en-US" w:eastAsia="zh-CN" w:bidi="ar"/>
                    </w:rPr>
                    <w:t>3</w:t>
                  </w:r>
                </w:p>
              </w:tc>
              <w:tc>
                <w:tcPr>
                  <w:tcW w:w="1678" w:type="pct"/>
                  <w:vMerge w:val="continue"/>
                  <w:tcBorders>
                    <w:tl2br w:val="nil"/>
                    <w:tr2bl w:val="nil"/>
                  </w:tcBorders>
                  <w:shd w:val="clear" w:color="auto" w:fill="FFFFFF"/>
                  <w:vAlign w:val="center"/>
                </w:tcPr>
                <w:p w14:paraId="1F697C1A">
                  <w:pPr>
                    <w:keepNext w:val="0"/>
                    <w:keepLines w:val="0"/>
                    <w:pageBreakBefore w:val="0"/>
                    <w:widowControl/>
                    <w:suppressLineNumbers w:val="0"/>
                    <w:kinsoku/>
                    <w:wordWrap/>
                    <w:overflowPunct/>
                    <w:topLinePunct w:val="0"/>
                    <w:bidi w:val="0"/>
                    <w:adjustRightInd w:val="0"/>
                    <w:snapToGrid w:val="0"/>
                    <w:spacing w:before="0" w:beforeAutospacing="0" w:after="0" w:afterAutospacing="0" w:line="276" w:lineRule="auto"/>
                    <w:ind w:left="0" w:right="0"/>
                    <w:jc w:val="center"/>
                    <w:textAlignment w:val="center"/>
                    <w:rPr>
                      <w:rFonts w:hint="default" w:ascii="Times New Roman" w:hAnsi="Times New Roman" w:eastAsia="宋体" w:cs="Times New Roman"/>
                      <w:i w:val="0"/>
                      <w:iCs w:val="0"/>
                      <w:color w:val="000000"/>
                      <w:kern w:val="0"/>
                      <w:sz w:val="18"/>
                      <w:szCs w:val="18"/>
                      <w:highlight w:val="none"/>
                      <w:u w:val="none"/>
                      <w:lang w:val="en-US" w:eastAsia="zh-CN" w:bidi="ar"/>
                    </w:rPr>
                  </w:pPr>
                </w:p>
              </w:tc>
            </w:tr>
            <w:tr w14:paraId="19EBE7A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FFFFFF"/>
                <w:tblCellMar>
                  <w:top w:w="0" w:type="dxa"/>
                  <w:left w:w="28" w:type="dxa"/>
                  <w:bottom w:w="0" w:type="dxa"/>
                  <w:right w:w="28" w:type="dxa"/>
                </w:tblCellMar>
              </w:tblPrEx>
              <w:trPr>
                <w:trHeight w:val="0" w:hRule="atLeast"/>
              </w:trPr>
              <w:tc>
                <w:tcPr>
                  <w:tcW w:w="235" w:type="pct"/>
                  <w:tcBorders>
                    <w:tl2br w:val="nil"/>
                    <w:tr2bl w:val="nil"/>
                  </w:tcBorders>
                  <w:shd w:val="clear" w:color="auto" w:fill="FFFFFF"/>
                  <w:noWrap/>
                  <w:vAlign w:val="center"/>
                </w:tcPr>
                <w:p w14:paraId="2180CA2D">
                  <w:pPr>
                    <w:keepNext w:val="0"/>
                    <w:keepLines w:val="0"/>
                    <w:pageBreakBefore w:val="0"/>
                    <w:widowControl/>
                    <w:suppressLineNumbers w:val="0"/>
                    <w:kinsoku/>
                    <w:wordWrap/>
                    <w:overflowPunct/>
                    <w:topLinePunct w:val="0"/>
                    <w:bidi w:val="0"/>
                    <w:adjustRightInd w:val="0"/>
                    <w:snapToGrid w:val="0"/>
                    <w:spacing w:before="0" w:beforeAutospacing="0" w:after="0" w:afterAutospacing="0" w:line="276" w:lineRule="auto"/>
                    <w:ind w:left="0" w:right="0"/>
                    <w:jc w:val="center"/>
                    <w:textAlignment w:val="center"/>
                    <w:rPr>
                      <w:rFonts w:hint="default" w:ascii="Times New Roman" w:hAnsi="Times New Roman" w:eastAsia="宋体" w:cs="Times New Roman"/>
                      <w:bCs/>
                      <w:i w:val="0"/>
                      <w:iCs w:val="0"/>
                      <w:color w:val="000000"/>
                      <w:kern w:val="0"/>
                      <w:sz w:val="18"/>
                      <w:szCs w:val="18"/>
                      <w:highlight w:val="none"/>
                      <w:u w:val="none"/>
                      <w:lang w:val="en-US" w:eastAsia="zh-CN" w:bidi="ar"/>
                    </w:rPr>
                  </w:pPr>
                  <w:r>
                    <w:rPr>
                      <w:rFonts w:hint="default" w:ascii="Times New Roman" w:hAnsi="Times New Roman" w:eastAsia="宋体" w:cs="Times New Roman"/>
                      <w:bCs/>
                      <w:i w:val="0"/>
                      <w:iCs w:val="0"/>
                      <w:color w:val="000000"/>
                      <w:kern w:val="0"/>
                      <w:sz w:val="18"/>
                      <w:szCs w:val="18"/>
                      <w:highlight w:val="none"/>
                      <w:u w:val="none"/>
                      <w:lang w:val="en-US" w:eastAsia="zh-CN" w:bidi="ar"/>
                    </w:rPr>
                    <w:t>79</w:t>
                  </w:r>
                </w:p>
              </w:tc>
              <w:tc>
                <w:tcPr>
                  <w:tcW w:w="349" w:type="pct"/>
                  <w:vMerge w:val="continue"/>
                  <w:tcBorders>
                    <w:tl2br w:val="nil"/>
                    <w:tr2bl w:val="nil"/>
                  </w:tcBorders>
                  <w:shd w:val="clear" w:color="auto" w:fill="FFFFFF"/>
                  <w:vAlign w:val="center"/>
                </w:tcPr>
                <w:p w14:paraId="761CC6CC">
                  <w:pPr>
                    <w:pStyle w:val="120"/>
                    <w:keepNext w:val="0"/>
                    <w:keepLines w:val="0"/>
                    <w:pageBreakBefore w:val="0"/>
                    <w:framePr w:hSpace="0" w:wrap="auto" w:vAnchor="margin" w:hAnchor="text" w:xAlign="left" w:yAlign="inline"/>
                    <w:suppressLineNumbers w:val="0"/>
                    <w:kinsoku/>
                    <w:wordWrap/>
                    <w:overflowPunct/>
                    <w:topLinePunct w:val="0"/>
                    <w:bidi w:val="0"/>
                    <w:adjustRightInd w:val="0"/>
                    <w:snapToGrid w:val="0"/>
                    <w:spacing w:before="0" w:beforeAutospacing="0" w:after="0" w:afterAutospacing="0" w:line="276" w:lineRule="auto"/>
                    <w:ind w:left="0" w:right="0"/>
                    <w:jc w:val="center"/>
                    <w:rPr>
                      <w:rFonts w:hint="default" w:ascii="Times New Roman" w:hAnsi="Times New Roman" w:eastAsia="宋体" w:cs="Times New Roman"/>
                      <w:bCs/>
                      <w:i w:val="0"/>
                      <w:iCs w:val="0"/>
                      <w:color w:val="000000"/>
                      <w:kern w:val="0"/>
                      <w:sz w:val="18"/>
                      <w:szCs w:val="18"/>
                      <w:highlight w:val="none"/>
                      <w:u w:val="none"/>
                      <w:lang w:val="en-US" w:eastAsia="zh-CN" w:bidi="ar"/>
                    </w:rPr>
                  </w:pPr>
                </w:p>
              </w:tc>
              <w:tc>
                <w:tcPr>
                  <w:tcW w:w="1015" w:type="pct"/>
                  <w:tcBorders>
                    <w:tl2br w:val="nil"/>
                    <w:tr2bl w:val="nil"/>
                  </w:tcBorders>
                  <w:shd w:val="clear" w:color="auto" w:fill="FFFFFF"/>
                  <w:vAlign w:val="center"/>
                </w:tcPr>
                <w:p w14:paraId="0316CD70">
                  <w:pPr>
                    <w:keepNext w:val="0"/>
                    <w:keepLines w:val="0"/>
                    <w:pageBreakBefore w:val="0"/>
                    <w:widowControl/>
                    <w:suppressLineNumbers w:val="0"/>
                    <w:kinsoku/>
                    <w:wordWrap/>
                    <w:overflowPunct/>
                    <w:topLinePunct w:val="0"/>
                    <w:bidi w:val="0"/>
                    <w:adjustRightInd w:val="0"/>
                    <w:snapToGrid w:val="0"/>
                    <w:spacing w:before="0" w:beforeAutospacing="0" w:after="0" w:afterAutospacing="0" w:line="276" w:lineRule="auto"/>
                    <w:ind w:left="0" w:right="0"/>
                    <w:jc w:val="center"/>
                    <w:textAlignment w:val="center"/>
                    <w:rPr>
                      <w:rFonts w:hint="default" w:ascii="Times New Roman" w:hAnsi="Times New Roman" w:eastAsia="宋体" w:cs="Times New Roman"/>
                      <w:bCs/>
                      <w:i w:val="0"/>
                      <w:iCs w:val="0"/>
                      <w:color w:val="000000"/>
                      <w:kern w:val="0"/>
                      <w:sz w:val="18"/>
                      <w:szCs w:val="18"/>
                      <w:highlight w:val="none"/>
                      <w:u w:val="none"/>
                      <w:lang w:val="en-US" w:eastAsia="zh-CN" w:bidi="ar"/>
                    </w:rPr>
                  </w:pPr>
                  <w:r>
                    <w:rPr>
                      <w:rFonts w:hint="default" w:ascii="Times New Roman" w:hAnsi="Times New Roman" w:eastAsia="宋体" w:cs="Times New Roman"/>
                      <w:bCs/>
                      <w:i w:val="0"/>
                      <w:iCs w:val="0"/>
                      <w:color w:val="000000"/>
                      <w:kern w:val="0"/>
                      <w:sz w:val="18"/>
                      <w:szCs w:val="18"/>
                      <w:highlight w:val="none"/>
                      <w:u w:val="none"/>
                      <w:lang w:val="en-US" w:eastAsia="zh-CN" w:bidi="ar"/>
                    </w:rPr>
                    <w:t>实验室超纯水系统</w:t>
                  </w:r>
                </w:p>
              </w:tc>
              <w:tc>
                <w:tcPr>
                  <w:tcW w:w="1436" w:type="pct"/>
                  <w:tcBorders>
                    <w:tl2br w:val="nil"/>
                    <w:tr2bl w:val="nil"/>
                  </w:tcBorders>
                  <w:shd w:val="clear" w:color="auto" w:fill="FFFFFF"/>
                  <w:noWrap/>
                  <w:vAlign w:val="center"/>
                </w:tcPr>
                <w:p w14:paraId="17A58825">
                  <w:pPr>
                    <w:keepNext w:val="0"/>
                    <w:keepLines w:val="0"/>
                    <w:pageBreakBefore w:val="0"/>
                    <w:suppressLineNumbers w:val="0"/>
                    <w:kinsoku/>
                    <w:wordWrap/>
                    <w:overflowPunct/>
                    <w:topLinePunct w:val="0"/>
                    <w:bidi w:val="0"/>
                    <w:adjustRightInd w:val="0"/>
                    <w:snapToGrid w:val="0"/>
                    <w:spacing w:before="0" w:beforeAutospacing="0" w:after="0" w:afterAutospacing="0" w:line="276" w:lineRule="auto"/>
                    <w:ind w:left="0" w:right="0"/>
                    <w:jc w:val="center"/>
                    <w:rPr>
                      <w:rFonts w:hint="default" w:ascii="Times New Roman" w:hAnsi="Times New Roman" w:eastAsia="宋体" w:cs="Times New Roman"/>
                      <w:bCs/>
                      <w:i w:val="0"/>
                      <w:iCs w:val="0"/>
                      <w:color w:val="000000"/>
                      <w:kern w:val="0"/>
                      <w:sz w:val="18"/>
                      <w:szCs w:val="18"/>
                      <w:highlight w:val="none"/>
                      <w:u w:val="none"/>
                      <w:lang w:val="en-US" w:eastAsia="zh-CN" w:bidi="ar"/>
                    </w:rPr>
                  </w:pPr>
                  <w:r>
                    <w:rPr>
                      <w:rFonts w:hint="default" w:ascii="Times New Roman" w:hAnsi="Times New Roman" w:eastAsia="宋体" w:cs="Times New Roman"/>
                      <w:bCs/>
                      <w:i w:val="0"/>
                      <w:iCs w:val="0"/>
                      <w:color w:val="000000"/>
                      <w:kern w:val="0"/>
                      <w:sz w:val="18"/>
                      <w:szCs w:val="18"/>
                      <w:highlight w:val="none"/>
                      <w:u w:val="none"/>
                      <w:lang w:val="en-US" w:eastAsia="zh-CN" w:bidi="ar"/>
                    </w:rPr>
                    <w:t>/</w:t>
                  </w:r>
                </w:p>
              </w:tc>
              <w:tc>
                <w:tcPr>
                  <w:tcW w:w="284" w:type="pct"/>
                  <w:tcBorders>
                    <w:tl2br w:val="nil"/>
                    <w:tr2bl w:val="nil"/>
                  </w:tcBorders>
                  <w:shd w:val="clear" w:color="auto" w:fill="FFFFFF"/>
                  <w:vAlign w:val="center"/>
                </w:tcPr>
                <w:p w14:paraId="6DBD0BF3">
                  <w:pPr>
                    <w:keepNext w:val="0"/>
                    <w:keepLines w:val="0"/>
                    <w:pageBreakBefore w:val="0"/>
                    <w:widowControl/>
                    <w:suppressLineNumbers w:val="0"/>
                    <w:kinsoku/>
                    <w:wordWrap/>
                    <w:overflowPunct/>
                    <w:topLinePunct w:val="0"/>
                    <w:bidi w:val="0"/>
                    <w:adjustRightInd w:val="0"/>
                    <w:snapToGrid w:val="0"/>
                    <w:spacing w:before="0" w:beforeAutospacing="0" w:after="0" w:afterAutospacing="0" w:line="276" w:lineRule="auto"/>
                    <w:ind w:left="0" w:right="0"/>
                    <w:jc w:val="center"/>
                    <w:textAlignment w:val="center"/>
                    <w:rPr>
                      <w:rFonts w:hint="default" w:ascii="Times New Roman" w:hAnsi="Times New Roman" w:eastAsia="宋体" w:cs="Times New Roman"/>
                      <w:bCs/>
                      <w:i w:val="0"/>
                      <w:iCs w:val="0"/>
                      <w:color w:val="000000"/>
                      <w:kern w:val="0"/>
                      <w:sz w:val="18"/>
                      <w:szCs w:val="18"/>
                      <w:highlight w:val="none"/>
                      <w:u w:val="none"/>
                      <w:lang w:val="en-US" w:eastAsia="zh-CN" w:bidi="ar"/>
                    </w:rPr>
                  </w:pPr>
                  <w:r>
                    <w:rPr>
                      <w:rFonts w:hint="default" w:ascii="Times New Roman" w:hAnsi="Times New Roman" w:eastAsia="宋体" w:cs="Times New Roman"/>
                      <w:bCs/>
                      <w:i w:val="0"/>
                      <w:iCs w:val="0"/>
                      <w:color w:val="000000"/>
                      <w:kern w:val="0"/>
                      <w:sz w:val="18"/>
                      <w:szCs w:val="18"/>
                      <w:highlight w:val="none"/>
                      <w:u w:val="none"/>
                      <w:lang w:val="en-US" w:eastAsia="zh-CN" w:bidi="ar"/>
                    </w:rPr>
                    <w:t>3</w:t>
                  </w:r>
                </w:p>
              </w:tc>
              <w:tc>
                <w:tcPr>
                  <w:tcW w:w="1678" w:type="pct"/>
                  <w:vMerge w:val="continue"/>
                  <w:tcBorders>
                    <w:tl2br w:val="nil"/>
                    <w:tr2bl w:val="nil"/>
                  </w:tcBorders>
                  <w:shd w:val="clear" w:color="auto" w:fill="FFFFFF"/>
                  <w:vAlign w:val="center"/>
                </w:tcPr>
                <w:p w14:paraId="26C5CAC3">
                  <w:pPr>
                    <w:keepNext w:val="0"/>
                    <w:keepLines w:val="0"/>
                    <w:pageBreakBefore w:val="0"/>
                    <w:widowControl/>
                    <w:suppressLineNumbers w:val="0"/>
                    <w:kinsoku/>
                    <w:wordWrap/>
                    <w:overflowPunct/>
                    <w:topLinePunct w:val="0"/>
                    <w:bidi w:val="0"/>
                    <w:adjustRightInd w:val="0"/>
                    <w:snapToGrid w:val="0"/>
                    <w:spacing w:before="0" w:beforeAutospacing="0" w:after="0" w:afterAutospacing="0" w:line="276" w:lineRule="auto"/>
                    <w:ind w:left="0" w:right="0"/>
                    <w:jc w:val="center"/>
                    <w:textAlignment w:val="center"/>
                    <w:rPr>
                      <w:rFonts w:hint="default" w:ascii="Times New Roman" w:hAnsi="Times New Roman" w:eastAsia="宋体" w:cs="Times New Roman"/>
                      <w:i w:val="0"/>
                      <w:iCs w:val="0"/>
                      <w:color w:val="000000"/>
                      <w:kern w:val="0"/>
                      <w:sz w:val="18"/>
                      <w:szCs w:val="18"/>
                      <w:highlight w:val="none"/>
                      <w:u w:val="none"/>
                      <w:lang w:val="en-US" w:eastAsia="zh-CN" w:bidi="ar"/>
                    </w:rPr>
                  </w:pPr>
                </w:p>
              </w:tc>
            </w:tr>
            <w:tr w14:paraId="42F0680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0" w:hRule="atLeast"/>
              </w:trPr>
              <w:tc>
                <w:tcPr>
                  <w:tcW w:w="235" w:type="pct"/>
                  <w:tcBorders>
                    <w:tl2br w:val="nil"/>
                    <w:tr2bl w:val="nil"/>
                  </w:tcBorders>
                  <w:shd w:val="clear" w:color="auto" w:fill="FFFFFF"/>
                  <w:noWrap/>
                  <w:vAlign w:val="center"/>
                </w:tcPr>
                <w:p w14:paraId="36789957">
                  <w:pPr>
                    <w:keepNext w:val="0"/>
                    <w:keepLines w:val="0"/>
                    <w:pageBreakBefore w:val="0"/>
                    <w:widowControl/>
                    <w:suppressLineNumbers w:val="0"/>
                    <w:kinsoku/>
                    <w:wordWrap/>
                    <w:overflowPunct/>
                    <w:topLinePunct w:val="0"/>
                    <w:bidi w:val="0"/>
                    <w:adjustRightInd w:val="0"/>
                    <w:snapToGrid w:val="0"/>
                    <w:spacing w:before="0" w:beforeAutospacing="0" w:after="0" w:afterAutospacing="0" w:line="276" w:lineRule="auto"/>
                    <w:ind w:left="0" w:right="0"/>
                    <w:jc w:val="center"/>
                    <w:textAlignment w:val="center"/>
                    <w:rPr>
                      <w:rFonts w:hint="default" w:ascii="Times New Roman" w:hAnsi="Times New Roman" w:eastAsia="宋体" w:cs="Times New Roman"/>
                      <w:bCs/>
                      <w:i w:val="0"/>
                      <w:iCs w:val="0"/>
                      <w:color w:val="000000"/>
                      <w:kern w:val="0"/>
                      <w:sz w:val="18"/>
                      <w:szCs w:val="18"/>
                      <w:highlight w:val="none"/>
                      <w:u w:val="none"/>
                      <w:lang w:val="en-US" w:eastAsia="zh-CN" w:bidi="ar"/>
                    </w:rPr>
                  </w:pPr>
                  <w:r>
                    <w:rPr>
                      <w:rFonts w:hint="default" w:ascii="Times New Roman" w:hAnsi="Times New Roman" w:eastAsia="宋体" w:cs="Times New Roman"/>
                      <w:bCs/>
                      <w:i w:val="0"/>
                      <w:iCs w:val="0"/>
                      <w:color w:val="000000"/>
                      <w:kern w:val="0"/>
                      <w:sz w:val="18"/>
                      <w:szCs w:val="18"/>
                      <w:highlight w:val="none"/>
                      <w:u w:val="none"/>
                      <w:lang w:val="en-US" w:eastAsia="zh-CN" w:bidi="ar"/>
                    </w:rPr>
                    <w:t>80</w:t>
                  </w:r>
                </w:p>
              </w:tc>
              <w:tc>
                <w:tcPr>
                  <w:tcW w:w="349" w:type="pct"/>
                  <w:vMerge w:val="continue"/>
                  <w:tcBorders>
                    <w:tl2br w:val="nil"/>
                    <w:tr2bl w:val="nil"/>
                  </w:tcBorders>
                  <w:shd w:val="clear" w:color="auto" w:fill="FFFFFF"/>
                  <w:vAlign w:val="center"/>
                </w:tcPr>
                <w:p w14:paraId="7C809FB8">
                  <w:pPr>
                    <w:pStyle w:val="120"/>
                    <w:keepNext w:val="0"/>
                    <w:keepLines w:val="0"/>
                    <w:pageBreakBefore w:val="0"/>
                    <w:framePr w:hSpace="0" w:wrap="auto" w:vAnchor="margin" w:hAnchor="text" w:xAlign="left" w:yAlign="inline"/>
                    <w:suppressLineNumbers w:val="0"/>
                    <w:kinsoku/>
                    <w:wordWrap/>
                    <w:overflowPunct/>
                    <w:topLinePunct w:val="0"/>
                    <w:bidi w:val="0"/>
                    <w:adjustRightInd w:val="0"/>
                    <w:snapToGrid w:val="0"/>
                    <w:spacing w:before="0" w:beforeAutospacing="0" w:after="0" w:afterAutospacing="0" w:line="276" w:lineRule="auto"/>
                    <w:ind w:left="0" w:right="0"/>
                    <w:jc w:val="center"/>
                    <w:rPr>
                      <w:rFonts w:hint="default" w:ascii="Times New Roman" w:hAnsi="Times New Roman" w:eastAsia="宋体" w:cs="Times New Roman"/>
                      <w:bCs/>
                      <w:i w:val="0"/>
                      <w:iCs w:val="0"/>
                      <w:color w:val="000000"/>
                      <w:kern w:val="0"/>
                      <w:sz w:val="18"/>
                      <w:szCs w:val="18"/>
                      <w:highlight w:val="none"/>
                      <w:u w:val="none"/>
                      <w:lang w:val="en-US" w:eastAsia="zh-CN" w:bidi="ar"/>
                    </w:rPr>
                  </w:pPr>
                </w:p>
              </w:tc>
              <w:tc>
                <w:tcPr>
                  <w:tcW w:w="1015" w:type="pct"/>
                  <w:tcBorders>
                    <w:tl2br w:val="nil"/>
                    <w:tr2bl w:val="nil"/>
                  </w:tcBorders>
                  <w:shd w:val="clear" w:color="auto" w:fill="FFFFFF"/>
                  <w:vAlign w:val="center"/>
                </w:tcPr>
                <w:p w14:paraId="2FA9FDE0">
                  <w:pPr>
                    <w:keepNext w:val="0"/>
                    <w:keepLines w:val="0"/>
                    <w:pageBreakBefore w:val="0"/>
                    <w:widowControl/>
                    <w:suppressLineNumbers w:val="0"/>
                    <w:kinsoku/>
                    <w:wordWrap/>
                    <w:overflowPunct/>
                    <w:topLinePunct w:val="0"/>
                    <w:bidi w:val="0"/>
                    <w:adjustRightInd w:val="0"/>
                    <w:snapToGrid w:val="0"/>
                    <w:spacing w:before="0" w:beforeAutospacing="0" w:after="0" w:afterAutospacing="0" w:line="276" w:lineRule="auto"/>
                    <w:ind w:left="0" w:right="0"/>
                    <w:jc w:val="center"/>
                    <w:textAlignment w:val="center"/>
                    <w:rPr>
                      <w:rFonts w:hint="default" w:ascii="Times New Roman" w:hAnsi="Times New Roman" w:eastAsia="宋体" w:cs="Times New Roman"/>
                      <w:bCs/>
                      <w:i w:val="0"/>
                      <w:iCs w:val="0"/>
                      <w:color w:val="000000"/>
                      <w:kern w:val="0"/>
                      <w:sz w:val="18"/>
                      <w:szCs w:val="18"/>
                      <w:highlight w:val="none"/>
                      <w:u w:val="none"/>
                      <w:lang w:val="en-US" w:eastAsia="zh-CN" w:bidi="ar"/>
                    </w:rPr>
                  </w:pPr>
                  <w:r>
                    <w:rPr>
                      <w:rFonts w:hint="default" w:ascii="Times New Roman" w:hAnsi="Times New Roman" w:eastAsia="宋体" w:cs="Times New Roman"/>
                      <w:bCs/>
                      <w:i w:val="0"/>
                      <w:iCs w:val="0"/>
                      <w:color w:val="000000"/>
                      <w:kern w:val="0"/>
                      <w:sz w:val="18"/>
                      <w:szCs w:val="18"/>
                      <w:highlight w:val="none"/>
                      <w:u w:val="none"/>
                      <w:lang w:val="en-US" w:eastAsia="zh-CN" w:bidi="ar"/>
                    </w:rPr>
                    <w:t>碎花制冰机</w:t>
                  </w:r>
                </w:p>
              </w:tc>
              <w:tc>
                <w:tcPr>
                  <w:tcW w:w="1436" w:type="pct"/>
                  <w:tcBorders>
                    <w:tl2br w:val="nil"/>
                    <w:tr2bl w:val="nil"/>
                  </w:tcBorders>
                  <w:shd w:val="clear" w:color="auto" w:fill="FFFFFF"/>
                  <w:noWrap/>
                  <w:vAlign w:val="center"/>
                </w:tcPr>
                <w:p w14:paraId="51589CD0">
                  <w:pPr>
                    <w:keepNext w:val="0"/>
                    <w:keepLines w:val="0"/>
                    <w:pageBreakBefore w:val="0"/>
                    <w:suppressLineNumbers w:val="0"/>
                    <w:kinsoku/>
                    <w:wordWrap/>
                    <w:overflowPunct/>
                    <w:topLinePunct w:val="0"/>
                    <w:bidi w:val="0"/>
                    <w:adjustRightInd w:val="0"/>
                    <w:snapToGrid w:val="0"/>
                    <w:spacing w:before="0" w:beforeAutospacing="0" w:after="0" w:afterAutospacing="0" w:line="276" w:lineRule="auto"/>
                    <w:ind w:left="0" w:right="0"/>
                    <w:jc w:val="center"/>
                    <w:rPr>
                      <w:rFonts w:hint="default" w:ascii="Times New Roman" w:hAnsi="Times New Roman" w:eastAsia="宋体" w:cs="Times New Roman"/>
                      <w:bCs/>
                      <w:i w:val="0"/>
                      <w:iCs w:val="0"/>
                      <w:color w:val="000000"/>
                      <w:kern w:val="0"/>
                      <w:sz w:val="18"/>
                      <w:szCs w:val="18"/>
                      <w:highlight w:val="none"/>
                      <w:u w:val="none"/>
                      <w:lang w:val="en-US" w:eastAsia="zh-CN" w:bidi="ar"/>
                    </w:rPr>
                  </w:pPr>
                  <w:r>
                    <w:rPr>
                      <w:rFonts w:hint="default" w:ascii="Times New Roman" w:hAnsi="Times New Roman" w:eastAsia="宋体" w:cs="Times New Roman"/>
                      <w:bCs/>
                      <w:i w:val="0"/>
                      <w:iCs w:val="0"/>
                      <w:color w:val="000000"/>
                      <w:kern w:val="0"/>
                      <w:sz w:val="18"/>
                      <w:szCs w:val="18"/>
                      <w:highlight w:val="none"/>
                      <w:u w:val="none"/>
                      <w:lang w:val="en-US" w:eastAsia="zh-CN" w:bidi="ar"/>
                    </w:rPr>
                    <w:t>/</w:t>
                  </w:r>
                </w:p>
              </w:tc>
              <w:tc>
                <w:tcPr>
                  <w:tcW w:w="284" w:type="pct"/>
                  <w:tcBorders>
                    <w:tl2br w:val="nil"/>
                    <w:tr2bl w:val="nil"/>
                  </w:tcBorders>
                  <w:shd w:val="clear" w:color="auto" w:fill="FFFFFF"/>
                  <w:vAlign w:val="center"/>
                </w:tcPr>
                <w:p w14:paraId="7FB5A60F">
                  <w:pPr>
                    <w:keepNext w:val="0"/>
                    <w:keepLines w:val="0"/>
                    <w:pageBreakBefore w:val="0"/>
                    <w:widowControl/>
                    <w:suppressLineNumbers w:val="0"/>
                    <w:kinsoku/>
                    <w:wordWrap/>
                    <w:overflowPunct/>
                    <w:topLinePunct w:val="0"/>
                    <w:bidi w:val="0"/>
                    <w:adjustRightInd w:val="0"/>
                    <w:snapToGrid w:val="0"/>
                    <w:spacing w:before="0" w:beforeAutospacing="0" w:after="0" w:afterAutospacing="0" w:line="276" w:lineRule="auto"/>
                    <w:ind w:left="0" w:right="0"/>
                    <w:jc w:val="center"/>
                    <w:textAlignment w:val="center"/>
                    <w:rPr>
                      <w:rFonts w:hint="default" w:ascii="Times New Roman" w:hAnsi="Times New Roman" w:eastAsia="宋体" w:cs="Times New Roman"/>
                      <w:bCs/>
                      <w:i w:val="0"/>
                      <w:iCs w:val="0"/>
                      <w:color w:val="000000"/>
                      <w:kern w:val="0"/>
                      <w:sz w:val="18"/>
                      <w:szCs w:val="18"/>
                      <w:highlight w:val="none"/>
                      <w:u w:val="none"/>
                      <w:lang w:val="en-US" w:eastAsia="zh-CN" w:bidi="ar"/>
                    </w:rPr>
                  </w:pPr>
                  <w:r>
                    <w:rPr>
                      <w:rFonts w:hint="default" w:ascii="Times New Roman" w:hAnsi="Times New Roman" w:eastAsia="宋体" w:cs="Times New Roman"/>
                      <w:bCs/>
                      <w:i w:val="0"/>
                      <w:iCs w:val="0"/>
                      <w:color w:val="000000"/>
                      <w:kern w:val="0"/>
                      <w:sz w:val="18"/>
                      <w:szCs w:val="18"/>
                      <w:highlight w:val="none"/>
                      <w:u w:val="none"/>
                      <w:lang w:val="en-US" w:eastAsia="zh-CN" w:bidi="ar"/>
                    </w:rPr>
                    <w:t>5</w:t>
                  </w:r>
                </w:p>
              </w:tc>
              <w:tc>
                <w:tcPr>
                  <w:tcW w:w="1678" w:type="pct"/>
                  <w:vMerge w:val="continue"/>
                  <w:tcBorders>
                    <w:tl2br w:val="nil"/>
                    <w:tr2bl w:val="nil"/>
                  </w:tcBorders>
                  <w:shd w:val="clear" w:color="auto" w:fill="FFFFFF"/>
                  <w:vAlign w:val="center"/>
                </w:tcPr>
                <w:p w14:paraId="5ABAC992">
                  <w:pPr>
                    <w:keepNext w:val="0"/>
                    <w:keepLines w:val="0"/>
                    <w:pageBreakBefore w:val="0"/>
                    <w:widowControl/>
                    <w:suppressLineNumbers w:val="0"/>
                    <w:kinsoku/>
                    <w:wordWrap/>
                    <w:overflowPunct/>
                    <w:topLinePunct w:val="0"/>
                    <w:bidi w:val="0"/>
                    <w:adjustRightInd w:val="0"/>
                    <w:snapToGrid w:val="0"/>
                    <w:spacing w:before="0" w:beforeAutospacing="0" w:after="0" w:afterAutospacing="0" w:line="276" w:lineRule="auto"/>
                    <w:ind w:left="0" w:right="0"/>
                    <w:jc w:val="center"/>
                    <w:textAlignment w:val="center"/>
                    <w:rPr>
                      <w:rFonts w:hint="default" w:ascii="Times New Roman" w:hAnsi="Times New Roman" w:eastAsia="宋体" w:cs="Times New Roman"/>
                      <w:i w:val="0"/>
                      <w:iCs w:val="0"/>
                      <w:color w:val="000000"/>
                      <w:kern w:val="0"/>
                      <w:sz w:val="18"/>
                      <w:szCs w:val="18"/>
                      <w:highlight w:val="none"/>
                      <w:u w:val="none"/>
                      <w:lang w:val="en-US" w:eastAsia="zh-CN" w:bidi="ar"/>
                    </w:rPr>
                  </w:pPr>
                </w:p>
              </w:tc>
            </w:tr>
            <w:tr w14:paraId="4CB36A3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0" w:hRule="atLeast"/>
              </w:trPr>
              <w:tc>
                <w:tcPr>
                  <w:tcW w:w="235" w:type="pct"/>
                  <w:tcBorders>
                    <w:tl2br w:val="nil"/>
                    <w:tr2bl w:val="nil"/>
                  </w:tcBorders>
                  <w:shd w:val="clear" w:color="auto" w:fill="FFFFFF"/>
                  <w:noWrap/>
                  <w:vAlign w:val="center"/>
                </w:tcPr>
                <w:p w14:paraId="1AC111EE">
                  <w:pPr>
                    <w:keepNext w:val="0"/>
                    <w:keepLines w:val="0"/>
                    <w:pageBreakBefore w:val="0"/>
                    <w:widowControl/>
                    <w:suppressLineNumbers w:val="0"/>
                    <w:kinsoku/>
                    <w:wordWrap/>
                    <w:overflowPunct/>
                    <w:topLinePunct w:val="0"/>
                    <w:bidi w:val="0"/>
                    <w:adjustRightInd w:val="0"/>
                    <w:snapToGrid w:val="0"/>
                    <w:spacing w:before="0" w:beforeAutospacing="0" w:after="0" w:afterAutospacing="0" w:line="276" w:lineRule="auto"/>
                    <w:ind w:left="0" w:right="0"/>
                    <w:jc w:val="center"/>
                    <w:textAlignment w:val="center"/>
                    <w:rPr>
                      <w:rFonts w:hint="default" w:ascii="Times New Roman" w:hAnsi="Times New Roman" w:eastAsia="宋体" w:cs="Times New Roman"/>
                      <w:bCs/>
                      <w:i w:val="0"/>
                      <w:iCs w:val="0"/>
                      <w:color w:val="000000"/>
                      <w:kern w:val="0"/>
                      <w:sz w:val="18"/>
                      <w:szCs w:val="18"/>
                      <w:highlight w:val="none"/>
                      <w:u w:val="none"/>
                      <w:lang w:val="en-US" w:eastAsia="zh-CN" w:bidi="ar"/>
                    </w:rPr>
                  </w:pPr>
                  <w:r>
                    <w:rPr>
                      <w:rFonts w:hint="default" w:ascii="Times New Roman" w:hAnsi="Times New Roman" w:eastAsia="宋体" w:cs="Times New Roman"/>
                      <w:bCs/>
                      <w:i w:val="0"/>
                      <w:iCs w:val="0"/>
                      <w:color w:val="000000"/>
                      <w:kern w:val="0"/>
                      <w:sz w:val="18"/>
                      <w:szCs w:val="18"/>
                      <w:highlight w:val="none"/>
                      <w:u w:val="none"/>
                      <w:lang w:val="en-US" w:eastAsia="zh-CN" w:bidi="ar"/>
                    </w:rPr>
                    <w:t>81</w:t>
                  </w:r>
                </w:p>
              </w:tc>
              <w:tc>
                <w:tcPr>
                  <w:tcW w:w="349" w:type="pct"/>
                  <w:vMerge w:val="continue"/>
                  <w:tcBorders>
                    <w:tl2br w:val="nil"/>
                    <w:tr2bl w:val="nil"/>
                  </w:tcBorders>
                  <w:shd w:val="clear" w:color="auto" w:fill="FFFFFF"/>
                  <w:vAlign w:val="center"/>
                </w:tcPr>
                <w:p w14:paraId="3B0610C9">
                  <w:pPr>
                    <w:pStyle w:val="120"/>
                    <w:keepNext w:val="0"/>
                    <w:keepLines w:val="0"/>
                    <w:pageBreakBefore w:val="0"/>
                    <w:framePr w:hSpace="0" w:wrap="auto" w:vAnchor="margin" w:hAnchor="text" w:xAlign="left" w:yAlign="inline"/>
                    <w:suppressLineNumbers w:val="0"/>
                    <w:kinsoku/>
                    <w:wordWrap/>
                    <w:overflowPunct/>
                    <w:topLinePunct w:val="0"/>
                    <w:bidi w:val="0"/>
                    <w:adjustRightInd w:val="0"/>
                    <w:snapToGrid w:val="0"/>
                    <w:spacing w:before="0" w:beforeAutospacing="0" w:after="0" w:afterAutospacing="0" w:line="276" w:lineRule="auto"/>
                    <w:ind w:left="0" w:right="0"/>
                    <w:jc w:val="center"/>
                    <w:rPr>
                      <w:rFonts w:hint="default" w:ascii="Times New Roman" w:hAnsi="Times New Roman" w:eastAsia="宋体" w:cs="Times New Roman"/>
                      <w:bCs/>
                      <w:i w:val="0"/>
                      <w:iCs w:val="0"/>
                      <w:color w:val="000000"/>
                      <w:kern w:val="0"/>
                      <w:sz w:val="18"/>
                      <w:szCs w:val="18"/>
                      <w:highlight w:val="none"/>
                      <w:u w:val="none"/>
                      <w:lang w:val="en-US" w:eastAsia="zh-CN" w:bidi="ar"/>
                    </w:rPr>
                  </w:pPr>
                </w:p>
              </w:tc>
              <w:tc>
                <w:tcPr>
                  <w:tcW w:w="1015" w:type="pct"/>
                  <w:tcBorders>
                    <w:tl2br w:val="nil"/>
                    <w:tr2bl w:val="nil"/>
                  </w:tcBorders>
                  <w:shd w:val="clear" w:color="auto" w:fill="FFFFFF"/>
                  <w:vAlign w:val="center"/>
                </w:tcPr>
                <w:p w14:paraId="143CAB20">
                  <w:pPr>
                    <w:keepNext w:val="0"/>
                    <w:keepLines w:val="0"/>
                    <w:pageBreakBefore w:val="0"/>
                    <w:widowControl/>
                    <w:suppressLineNumbers w:val="0"/>
                    <w:kinsoku/>
                    <w:wordWrap/>
                    <w:overflowPunct/>
                    <w:topLinePunct w:val="0"/>
                    <w:bidi w:val="0"/>
                    <w:adjustRightInd w:val="0"/>
                    <w:snapToGrid w:val="0"/>
                    <w:spacing w:before="0" w:beforeAutospacing="0" w:after="0" w:afterAutospacing="0" w:line="276" w:lineRule="auto"/>
                    <w:ind w:left="0" w:right="0"/>
                    <w:jc w:val="center"/>
                    <w:textAlignment w:val="center"/>
                    <w:rPr>
                      <w:rFonts w:hint="default" w:ascii="Times New Roman" w:hAnsi="Times New Roman" w:eastAsia="宋体" w:cs="Times New Roman"/>
                      <w:bCs/>
                      <w:i w:val="0"/>
                      <w:iCs w:val="0"/>
                      <w:color w:val="000000"/>
                      <w:kern w:val="0"/>
                      <w:sz w:val="18"/>
                      <w:szCs w:val="18"/>
                      <w:highlight w:val="none"/>
                      <w:u w:val="none"/>
                      <w:lang w:val="en-US" w:eastAsia="zh-CN" w:bidi="ar"/>
                    </w:rPr>
                  </w:pPr>
                  <w:r>
                    <w:rPr>
                      <w:rFonts w:hint="default" w:ascii="Times New Roman" w:hAnsi="Times New Roman" w:eastAsia="宋体" w:cs="Times New Roman"/>
                      <w:bCs/>
                      <w:i w:val="0"/>
                      <w:iCs w:val="0"/>
                      <w:color w:val="000000"/>
                      <w:kern w:val="0"/>
                      <w:sz w:val="18"/>
                      <w:szCs w:val="18"/>
                      <w:highlight w:val="none"/>
                      <w:u w:val="none"/>
                      <w:lang w:val="en-US" w:eastAsia="zh-CN" w:bidi="ar"/>
                    </w:rPr>
                    <w:t>高压灭菌锅</w:t>
                  </w:r>
                </w:p>
              </w:tc>
              <w:tc>
                <w:tcPr>
                  <w:tcW w:w="1436" w:type="pct"/>
                  <w:tcBorders>
                    <w:tl2br w:val="nil"/>
                    <w:tr2bl w:val="nil"/>
                  </w:tcBorders>
                  <w:shd w:val="clear" w:color="auto" w:fill="FFFFFF"/>
                  <w:noWrap/>
                  <w:vAlign w:val="center"/>
                </w:tcPr>
                <w:p w14:paraId="21E8B14F">
                  <w:pPr>
                    <w:keepNext w:val="0"/>
                    <w:keepLines w:val="0"/>
                    <w:pageBreakBefore w:val="0"/>
                    <w:suppressLineNumbers w:val="0"/>
                    <w:kinsoku/>
                    <w:wordWrap/>
                    <w:overflowPunct/>
                    <w:topLinePunct w:val="0"/>
                    <w:bidi w:val="0"/>
                    <w:adjustRightInd w:val="0"/>
                    <w:snapToGrid w:val="0"/>
                    <w:spacing w:before="0" w:beforeAutospacing="0" w:after="0" w:afterAutospacing="0" w:line="276" w:lineRule="auto"/>
                    <w:ind w:left="0" w:right="0"/>
                    <w:jc w:val="center"/>
                    <w:rPr>
                      <w:rFonts w:hint="default" w:ascii="Times New Roman" w:hAnsi="Times New Roman" w:eastAsia="宋体" w:cs="Times New Roman"/>
                      <w:bCs/>
                      <w:i w:val="0"/>
                      <w:iCs w:val="0"/>
                      <w:color w:val="000000"/>
                      <w:kern w:val="0"/>
                      <w:sz w:val="18"/>
                      <w:szCs w:val="18"/>
                      <w:highlight w:val="none"/>
                      <w:u w:val="none"/>
                      <w:lang w:val="en-US" w:eastAsia="zh-CN" w:bidi="ar"/>
                    </w:rPr>
                  </w:pPr>
                  <w:r>
                    <w:rPr>
                      <w:rFonts w:hint="default" w:ascii="Times New Roman" w:hAnsi="Times New Roman" w:eastAsia="宋体" w:cs="Times New Roman"/>
                      <w:bCs/>
                      <w:i w:val="0"/>
                      <w:iCs w:val="0"/>
                      <w:color w:val="000000"/>
                      <w:kern w:val="0"/>
                      <w:sz w:val="18"/>
                      <w:szCs w:val="18"/>
                      <w:highlight w:val="none"/>
                      <w:u w:val="none"/>
                      <w:lang w:val="en-US" w:eastAsia="zh-CN" w:bidi="ar"/>
                    </w:rPr>
                    <w:t>/</w:t>
                  </w:r>
                </w:p>
              </w:tc>
              <w:tc>
                <w:tcPr>
                  <w:tcW w:w="284" w:type="pct"/>
                  <w:tcBorders>
                    <w:tl2br w:val="nil"/>
                    <w:tr2bl w:val="nil"/>
                  </w:tcBorders>
                  <w:shd w:val="clear" w:color="auto" w:fill="FFFFFF"/>
                  <w:vAlign w:val="center"/>
                </w:tcPr>
                <w:p w14:paraId="2BD47048">
                  <w:pPr>
                    <w:keepNext w:val="0"/>
                    <w:keepLines w:val="0"/>
                    <w:pageBreakBefore w:val="0"/>
                    <w:widowControl/>
                    <w:suppressLineNumbers w:val="0"/>
                    <w:kinsoku/>
                    <w:wordWrap/>
                    <w:overflowPunct/>
                    <w:topLinePunct w:val="0"/>
                    <w:bidi w:val="0"/>
                    <w:adjustRightInd w:val="0"/>
                    <w:snapToGrid w:val="0"/>
                    <w:spacing w:before="0" w:beforeAutospacing="0" w:after="0" w:afterAutospacing="0" w:line="276" w:lineRule="auto"/>
                    <w:ind w:left="0" w:right="0"/>
                    <w:jc w:val="center"/>
                    <w:textAlignment w:val="center"/>
                    <w:rPr>
                      <w:rFonts w:hint="default" w:ascii="Times New Roman" w:hAnsi="Times New Roman" w:eastAsia="宋体" w:cs="Times New Roman"/>
                      <w:bCs/>
                      <w:i w:val="0"/>
                      <w:iCs w:val="0"/>
                      <w:color w:val="000000"/>
                      <w:kern w:val="0"/>
                      <w:sz w:val="18"/>
                      <w:szCs w:val="18"/>
                      <w:highlight w:val="none"/>
                      <w:u w:val="none"/>
                      <w:lang w:val="en-US" w:eastAsia="zh-CN" w:bidi="ar"/>
                    </w:rPr>
                  </w:pPr>
                  <w:r>
                    <w:rPr>
                      <w:rFonts w:hint="default" w:ascii="Times New Roman" w:hAnsi="Times New Roman" w:eastAsia="宋体" w:cs="Times New Roman"/>
                      <w:bCs/>
                      <w:i w:val="0"/>
                      <w:iCs w:val="0"/>
                      <w:color w:val="000000"/>
                      <w:kern w:val="0"/>
                      <w:sz w:val="18"/>
                      <w:szCs w:val="18"/>
                      <w:highlight w:val="none"/>
                      <w:u w:val="none"/>
                      <w:lang w:val="en-US" w:eastAsia="zh-CN" w:bidi="ar"/>
                    </w:rPr>
                    <w:t>30</w:t>
                  </w:r>
                </w:p>
              </w:tc>
              <w:tc>
                <w:tcPr>
                  <w:tcW w:w="1678" w:type="pct"/>
                  <w:vMerge w:val="continue"/>
                  <w:tcBorders>
                    <w:tl2br w:val="nil"/>
                    <w:tr2bl w:val="nil"/>
                  </w:tcBorders>
                  <w:shd w:val="clear" w:color="auto" w:fill="FFFFFF"/>
                  <w:vAlign w:val="center"/>
                </w:tcPr>
                <w:p w14:paraId="4AC8B301">
                  <w:pPr>
                    <w:keepNext w:val="0"/>
                    <w:keepLines w:val="0"/>
                    <w:pageBreakBefore w:val="0"/>
                    <w:widowControl/>
                    <w:suppressLineNumbers w:val="0"/>
                    <w:kinsoku/>
                    <w:wordWrap/>
                    <w:overflowPunct/>
                    <w:topLinePunct w:val="0"/>
                    <w:bidi w:val="0"/>
                    <w:adjustRightInd w:val="0"/>
                    <w:snapToGrid w:val="0"/>
                    <w:spacing w:before="0" w:beforeAutospacing="0" w:after="0" w:afterAutospacing="0" w:line="276" w:lineRule="auto"/>
                    <w:ind w:left="0" w:right="0"/>
                    <w:jc w:val="center"/>
                    <w:textAlignment w:val="center"/>
                    <w:rPr>
                      <w:rFonts w:hint="default" w:ascii="Times New Roman" w:hAnsi="Times New Roman" w:eastAsia="宋体" w:cs="Times New Roman"/>
                      <w:i w:val="0"/>
                      <w:iCs w:val="0"/>
                      <w:color w:val="000000"/>
                      <w:kern w:val="0"/>
                      <w:sz w:val="18"/>
                      <w:szCs w:val="18"/>
                      <w:highlight w:val="none"/>
                      <w:u w:val="none"/>
                      <w:lang w:val="en-US" w:eastAsia="zh-CN" w:bidi="ar"/>
                    </w:rPr>
                  </w:pPr>
                </w:p>
              </w:tc>
            </w:tr>
            <w:tr w14:paraId="1E04FCD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FFFFFF"/>
                <w:tblCellMar>
                  <w:top w:w="0" w:type="dxa"/>
                  <w:left w:w="28" w:type="dxa"/>
                  <w:bottom w:w="0" w:type="dxa"/>
                  <w:right w:w="28" w:type="dxa"/>
                </w:tblCellMar>
              </w:tblPrEx>
              <w:trPr>
                <w:trHeight w:val="0" w:hRule="atLeast"/>
              </w:trPr>
              <w:tc>
                <w:tcPr>
                  <w:tcW w:w="235" w:type="pct"/>
                  <w:tcBorders>
                    <w:tl2br w:val="nil"/>
                    <w:tr2bl w:val="nil"/>
                  </w:tcBorders>
                  <w:shd w:val="clear" w:color="auto" w:fill="FFFFFF"/>
                  <w:noWrap/>
                  <w:vAlign w:val="center"/>
                </w:tcPr>
                <w:p w14:paraId="4B568A1A">
                  <w:pPr>
                    <w:keepNext w:val="0"/>
                    <w:keepLines w:val="0"/>
                    <w:pageBreakBefore w:val="0"/>
                    <w:widowControl/>
                    <w:suppressLineNumbers w:val="0"/>
                    <w:kinsoku/>
                    <w:wordWrap/>
                    <w:overflowPunct/>
                    <w:topLinePunct w:val="0"/>
                    <w:bidi w:val="0"/>
                    <w:adjustRightInd w:val="0"/>
                    <w:snapToGrid w:val="0"/>
                    <w:spacing w:before="0" w:beforeAutospacing="0" w:after="0" w:afterAutospacing="0" w:line="276" w:lineRule="auto"/>
                    <w:ind w:left="0" w:right="0"/>
                    <w:jc w:val="center"/>
                    <w:textAlignment w:val="center"/>
                    <w:rPr>
                      <w:rFonts w:hint="default" w:ascii="Times New Roman" w:hAnsi="Times New Roman" w:eastAsia="宋体" w:cs="Times New Roman"/>
                      <w:bCs/>
                      <w:i w:val="0"/>
                      <w:iCs w:val="0"/>
                      <w:color w:val="000000"/>
                      <w:kern w:val="0"/>
                      <w:sz w:val="18"/>
                      <w:szCs w:val="18"/>
                      <w:highlight w:val="none"/>
                      <w:u w:val="none"/>
                      <w:lang w:val="en-US" w:eastAsia="zh-CN" w:bidi="ar"/>
                    </w:rPr>
                  </w:pPr>
                  <w:r>
                    <w:rPr>
                      <w:rFonts w:hint="default" w:ascii="Times New Roman" w:hAnsi="Times New Roman" w:eastAsia="宋体" w:cs="Times New Roman"/>
                      <w:bCs/>
                      <w:i w:val="0"/>
                      <w:iCs w:val="0"/>
                      <w:color w:val="000000"/>
                      <w:kern w:val="0"/>
                      <w:sz w:val="18"/>
                      <w:szCs w:val="18"/>
                      <w:highlight w:val="none"/>
                      <w:u w:val="none"/>
                      <w:lang w:val="en-US" w:eastAsia="zh-CN" w:bidi="ar"/>
                    </w:rPr>
                    <w:t>82</w:t>
                  </w:r>
                </w:p>
              </w:tc>
              <w:tc>
                <w:tcPr>
                  <w:tcW w:w="349" w:type="pct"/>
                  <w:vMerge w:val="continue"/>
                  <w:tcBorders>
                    <w:tl2br w:val="nil"/>
                    <w:tr2bl w:val="nil"/>
                  </w:tcBorders>
                  <w:shd w:val="clear" w:color="auto" w:fill="FFFFFF"/>
                  <w:vAlign w:val="center"/>
                </w:tcPr>
                <w:p w14:paraId="086B0EE9">
                  <w:pPr>
                    <w:pStyle w:val="120"/>
                    <w:keepNext w:val="0"/>
                    <w:keepLines w:val="0"/>
                    <w:pageBreakBefore w:val="0"/>
                    <w:framePr w:hSpace="0" w:wrap="auto" w:vAnchor="margin" w:hAnchor="text" w:xAlign="left" w:yAlign="inline"/>
                    <w:suppressLineNumbers w:val="0"/>
                    <w:kinsoku/>
                    <w:wordWrap/>
                    <w:overflowPunct/>
                    <w:topLinePunct w:val="0"/>
                    <w:bidi w:val="0"/>
                    <w:adjustRightInd w:val="0"/>
                    <w:snapToGrid w:val="0"/>
                    <w:spacing w:before="0" w:beforeAutospacing="0" w:after="0" w:afterAutospacing="0" w:line="276" w:lineRule="auto"/>
                    <w:ind w:left="0" w:right="0"/>
                    <w:jc w:val="center"/>
                    <w:rPr>
                      <w:rFonts w:hint="default" w:ascii="Times New Roman" w:hAnsi="Times New Roman" w:eastAsia="宋体" w:cs="Times New Roman"/>
                      <w:bCs/>
                      <w:i w:val="0"/>
                      <w:iCs w:val="0"/>
                      <w:color w:val="000000"/>
                      <w:kern w:val="0"/>
                      <w:sz w:val="18"/>
                      <w:szCs w:val="18"/>
                      <w:highlight w:val="none"/>
                      <w:u w:val="none"/>
                      <w:lang w:val="en-US" w:eastAsia="zh-CN" w:bidi="ar"/>
                    </w:rPr>
                  </w:pPr>
                </w:p>
              </w:tc>
              <w:tc>
                <w:tcPr>
                  <w:tcW w:w="1015" w:type="pct"/>
                  <w:tcBorders>
                    <w:tl2br w:val="nil"/>
                    <w:tr2bl w:val="nil"/>
                  </w:tcBorders>
                  <w:shd w:val="clear" w:color="auto" w:fill="FFFFFF"/>
                  <w:vAlign w:val="center"/>
                </w:tcPr>
                <w:p w14:paraId="3D4619E7">
                  <w:pPr>
                    <w:keepNext w:val="0"/>
                    <w:keepLines w:val="0"/>
                    <w:pageBreakBefore w:val="0"/>
                    <w:widowControl/>
                    <w:suppressLineNumbers w:val="0"/>
                    <w:kinsoku/>
                    <w:wordWrap/>
                    <w:overflowPunct/>
                    <w:topLinePunct w:val="0"/>
                    <w:bidi w:val="0"/>
                    <w:adjustRightInd w:val="0"/>
                    <w:snapToGrid w:val="0"/>
                    <w:spacing w:before="0" w:beforeAutospacing="0" w:after="0" w:afterAutospacing="0" w:line="276" w:lineRule="auto"/>
                    <w:ind w:left="0" w:right="0"/>
                    <w:jc w:val="center"/>
                    <w:textAlignment w:val="center"/>
                    <w:rPr>
                      <w:rFonts w:hint="default" w:ascii="Times New Roman" w:hAnsi="Times New Roman" w:eastAsia="宋体" w:cs="Times New Roman"/>
                      <w:bCs/>
                      <w:i w:val="0"/>
                      <w:iCs w:val="0"/>
                      <w:color w:val="000000"/>
                      <w:kern w:val="0"/>
                      <w:sz w:val="18"/>
                      <w:szCs w:val="18"/>
                      <w:highlight w:val="none"/>
                      <w:u w:val="none"/>
                      <w:lang w:val="en-US" w:eastAsia="zh-CN" w:bidi="ar"/>
                    </w:rPr>
                  </w:pPr>
                  <w:r>
                    <w:rPr>
                      <w:rFonts w:hint="default" w:ascii="Times New Roman" w:hAnsi="Times New Roman" w:eastAsia="宋体" w:cs="Times New Roman"/>
                      <w:bCs/>
                      <w:i w:val="0"/>
                      <w:iCs w:val="0"/>
                      <w:color w:val="000000"/>
                      <w:kern w:val="0"/>
                      <w:sz w:val="18"/>
                      <w:szCs w:val="18"/>
                      <w:highlight w:val="none"/>
                      <w:u w:val="none"/>
                      <w:lang w:val="en-US" w:eastAsia="zh-CN" w:bidi="ar"/>
                    </w:rPr>
                    <w:t>空气压缩机</w:t>
                  </w:r>
                </w:p>
              </w:tc>
              <w:tc>
                <w:tcPr>
                  <w:tcW w:w="1436" w:type="pct"/>
                  <w:tcBorders>
                    <w:tl2br w:val="nil"/>
                    <w:tr2bl w:val="nil"/>
                  </w:tcBorders>
                  <w:shd w:val="clear" w:color="auto" w:fill="FFFFFF"/>
                  <w:noWrap/>
                  <w:vAlign w:val="center"/>
                </w:tcPr>
                <w:p w14:paraId="1E81C479">
                  <w:pPr>
                    <w:keepNext w:val="0"/>
                    <w:keepLines w:val="0"/>
                    <w:pageBreakBefore w:val="0"/>
                    <w:suppressLineNumbers w:val="0"/>
                    <w:kinsoku/>
                    <w:wordWrap/>
                    <w:overflowPunct/>
                    <w:topLinePunct w:val="0"/>
                    <w:bidi w:val="0"/>
                    <w:adjustRightInd w:val="0"/>
                    <w:snapToGrid w:val="0"/>
                    <w:spacing w:before="0" w:beforeAutospacing="0" w:after="0" w:afterAutospacing="0" w:line="276" w:lineRule="auto"/>
                    <w:ind w:left="0" w:right="0"/>
                    <w:jc w:val="center"/>
                    <w:rPr>
                      <w:rFonts w:hint="default" w:ascii="Times New Roman" w:hAnsi="Times New Roman" w:eastAsia="宋体" w:cs="Times New Roman"/>
                      <w:bCs/>
                      <w:i w:val="0"/>
                      <w:iCs w:val="0"/>
                      <w:color w:val="000000"/>
                      <w:kern w:val="0"/>
                      <w:sz w:val="18"/>
                      <w:szCs w:val="18"/>
                      <w:highlight w:val="none"/>
                      <w:u w:val="none"/>
                      <w:lang w:val="en-US" w:eastAsia="zh-CN" w:bidi="ar"/>
                    </w:rPr>
                  </w:pPr>
                  <w:r>
                    <w:rPr>
                      <w:rFonts w:hint="default" w:ascii="Times New Roman" w:hAnsi="Times New Roman" w:eastAsia="宋体" w:cs="Times New Roman"/>
                      <w:bCs/>
                      <w:i w:val="0"/>
                      <w:iCs w:val="0"/>
                      <w:color w:val="000000"/>
                      <w:kern w:val="0"/>
                      <w:sz w:val="18"/>
                      <w:szCs w:val="18"/>
                      <w:highlight w:val="none"/>
                      <w:u w:val="none"/>
                      <w:lang w:val="en-US" w:eastAsia="zh-CN" w:bidi="ar"/>
                    </w:rPr>
                    <w:t>/</w:t>
                  </w:r>
                </w:p>
              </w:tc>
              <w:tc>
                <w:tcPr>
                  <w:tcW w:w="284" w:type="pct"/>
                  <w:tcBorders>
                    <w:tl2br w:val="nil"/>
                    <w:tr2bl w:val="nil"/>
                  </w:tcBorders>
                  <w:shd w:val="clear" w:color="auto" w:fill="FFFFFF"/>
                  <w:vAlign w:val="center"/>
                </w:tcPr>
                <w:p w14:paraId="746A2814">
                  <w:pPr>
                    <w:keepNext w:val="0"/>
                    <w:keepLines w:val="0"/>
                    <w:pageBreakBefore w:val="0"/>
                    <w:widowControl/>
                    <w:suppressLineNumbers w:val="0"/>
                    <w:kinsoku/>
                    <w:wordWrap/>
                    <w:overflowPunct/>
                    <w:topLinePunct w:val="0"/>
                    <w:bidi w:val="0"/>
                    <w:adjustRightInd w:val="0"/>
                    <w:snapToGrid w:val="0"/>
                    <w:spacing w:before="0" w:beforeAutospacing="0" w:after="0" w:afterAutospacing="0" w:line="276" w:lineRule="auto"/>
                    <w:ind w:left="0" w:right="0"/>
                    <w:jc w:val="center"/>
                    <w:textAlignment w:val="center"/>
                    <w:rPr>
                      <w:rFonts w:hint="default" w:ascii="Times New Roman" w:hAnsi="Times New Roman" w:eastAsia="宋体" w:cs="Times New Roman"/>
                      <w:bCs/>
                      <w:i w:val="0"/>
                      <w:iCs w:val="0"/>
                      <w:color w:val="000000"/>
                      <w:kern w:val="0"/>
                      <w:sz w:val="18"/>
                      <w:szCs w:val="18"/>
                      <w:highlight w:val="none"/>
                      <w:u w:val="none"/>
                      <w:lang w:val="en-US" w:eastAsia="zh-CN" w:bidi="ar"/>
                    </w:rPr>
                  </w:pPr>
                  <w:r>
                    <w:rPr>
                      <w:rFonts w:hint="default" w:ascii="Times New Roman" w:hAnsi="Times New Roman" w:eastAsia="宋体" w:cs="Times New Roman"/>
                      <w:bCs/>
                      <w:i w:val="0"/>
                      <w:iCs w:val="0"/>
                      <w:color w:val="000000"/>
                      <w:kern w:val="0"/>
                      <w:sz w:val="18"/>
                      <w:szCs w:val="18"/>
                      <w:highlight w:val="none"/>
                      <w:u w:val="none"/>
                      <w:lang w:val="en-US" w:eastAsia="zh-CN" w:bidi="ar"/>
                    </w:rPr>
                    <w:t>6</w:t>
                  </w:r>
                </w:p>
              </w:tc>
              <w:tc>
                <w:tcPr>
                  <w:tcW w:w="1678" w:type="pct"/>
                  <w:vMerge w:val="continue"/>
                  <w:tcBorders>
                    <w:tl2br w:val="nil"/>
                    <w:tr2bl w:val="nil"/>
                  </w:tcBorders>
                  <w:shd w:val="clear" w:color="auto" w:fill="FFFFFF"/>
                  <w:vAlign w:val="center"/>
                </w:tcPr>
                <w:p w14:paraId="4A7D0795">
                  <w:pPr>
                    <w:keepNext w:val="0"/>
                    <w:keepLines w:val="0"/>
                    <w:pageBreakBefore w:val="0"/>
                    <w:widowControl/>
                    <w:suppressLineNumbers w:val="0"/>
                    <w:kinsoku/>
                    <w:wordWrap/>
                    <w:overflowPunct/>
                    <w:topLinePunct w:val="0"/>
                    <w:bidi w:val="0"/>
                    <w:adjustRightInd w:val="0"/>
                    <w:snapToGrid w:val="0"/>
                    <w:spacing w:before="0" w:beforeAutospacing="0" w:after="0" w:afterAutospacing="0" w:line="276" w:lineRule="auto"/>
                    <w:ind w:left="0" w:right="0"/>
                    <w:jc w:val="center"/>
                    <w:textAlignment w:val="center"/>
                    <w:rPr>
                      <w:rFonts w:hint="default" w:ascii="Times New Roman" w:hAnsi="Times New Roman" w:eastAsia="宋体" w:cs="Times New Roman"/>
                      <w:i w:val="0"/>
                      <w:iCs w:val="0"/>
                      <w:color w:val="000000"/>
                      <w:kern w:val="0"/>
                      <w:sz w:val="18"/>
                      <w:szCs w:val="18"/>
                      <w:highlight w:val="none"/>
                      <w:u w:val="none"/>
                      <w:lang w:val="en-US" w:eastAsia="zh-CN" w:bidi="ar"/>
                    </w:rPr>
                  </w:pPr>
                </w:p>
              </w:tc>
            </w:tr>
            <w:tr w14:paraId="5155DE8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0" w:hRule="atLeast"/>
              </w:trPr>
              <w:tc>
                <w:tcPr>
                  <w:tcW w:w="235" w:type="pct"/>
                  <w:tcBorders>
                    <w:tl2br w:val="nil"/>
                    <w:tr2bl w:val="nil"/>
                  </w:tcBorders>
                  <w:shd w:val="clear" w:color="auto" w:fill="FFFFFF"/>
                  <w:noWrap/>
                  <w:vAlign w:val="center"/>
                </w:tcPr>
                <w:p w14:paraId="479DD5F7">
                  <w:pPr>
                    <w:keepNext w:val="0"/>
                    <w:keepLines w:val="0"/>
                    <w:pageBreakBefore w:val="0"/>
                    <w:widowControl/>
                    <w:suppressLineNumbers w:val="0"/>
                    <w:kinsoku/>
                    <w:wordWrap/>
                    <w:overflowPunct/>
                    <w:topLinePunct w:val="0"/>
                    <w:bidi w:val="0"/>
                    <w:adjustRightInd w:val="0"/>
                    <w:snapToGrid w:val="0"/>
                    <w:spacing w:before="0" w:beforeAutospacing="0" w:after="0" w:afterAutospacing="0" w:line="276" w:lineRule="auto"/>
                    <w:ind w:left="0" w:right="0"/>
                    <w:jc w:val="center"/>
                    <w:textAlignment w:val="center"/>
                    <w:rPr>
                      <w:rFonts w:hint="default" w:ascii="Times New Roman" w:hAnsi="Times New Roman" w:eastAsia="宋体" w:cs="Times New Roman"/>
                      <w:bCs/>
                      <w:i w:val="0"/>
                      <w:iCs w:val="0"/>
                      <w:color w:val="000000"/>
                      <w:kern w:val="0"/>
                      <w:sz w:val="18"/>
                      <w:szCs w:val="18"/>
                      <w:highlight w:val="none"/>
                      <w:u w:val="none"/>
                      <w:lang w:val="en-US" w:eastAsia="zh-CN" w:bidi="ar"/>
                    </w:rPr>
                  </w:pPr>
                  <w:r>
                    <w:rPr>
                      <w:rFonts w:hint="default" w:ascii="Times New Roman" w:hAnsi="Times New Roman" w:eastAsia="宋体" w:cs="Times New Roman"/>
                      <w:bCs/>
                      <w:i w:val="0"/>
                      <w:iCs w:val="0"/>
                      <w:color w:val="000000"/>
                      <w:kern w:val="0"/>
                      <w:sz w:val="18"/>
                      <w:szCs w:val="18"/>
                      <w:highlight w:val="none"/>
                      <w:u w:val="none"/>
                      <w:lang w:val="en-US" w:eastAsia="zh-CN" w:bidi="ar"/>
                    </w:rPr>
                    <w:t>83</w:t>
                  </w:r>
                </w:p>
              </w:tc>
              <w:tc>
                <w:tcPr>
                  <w:tcW w:w="349" w:type="pct"/>
                  <w:vMerge w:val="continue"/>
                  <w:tcBorders>
                    <w:tl2br w:val="nil"/>
                    <w:tr2bl w:val="nil"/>
                  </w:tcBorders>
                  <w:shd w:val="clear" w:color="auto" w:fill="FFFFFF"/>
                  <w:vAlign w:val="center"/>
                </w:tcPr>
                <w:p w14:paraId="5A140F94">
                  <w:pPr>
                    <w:pStyle w:val="120"/>
                    <w:keepNext w:val="0"/>
                    <w:keepLines w:val="0"/>
                    <w:pageBreakBefore w:val="0"/>
                    <w:framePr w:hSpace="0" w:wrap="auto" w:vAnchor="margin" w:hAnchor="text" w:xAlign="left" w:yAlign="inline"/>
                    <w:suppressLineNumbers w:val="0"/>
                    <w:kinsoku/>
                    <w:wordWrap/>
                    <w:overflowPunct/>
                    <w:topLinePunct w:val="0"/>
                    <w:bidi w:val="0"/>
                    <w:adjustRightInd w:val="0"/>
                    <w:snapToGrid w:val="0"/>
                    <w:spacing w:before="0" w:beforeAutospacing="0" w:after="0" w:afterAutospacing="0" w:line="276" w:lineRule="auto"/>
                    <w:ind w:left="0" w:right="0"/>
                    <w:jc w:val="center"/>
                    <w:rPr>
                      <w:rFonts w:hint="default" w:ascii="Times New Roman" w:hAnsi="Times New Roman" w:eastAsia="宋体" w:cs="Times New Roman"/>
                      <w:bCs/>
                      <w:i w:val="0"/>
                      <w:iCs w:val="0"/>
                      <w:color w:val="000000"/>
                      <w:kern w:val="0"/>
                      <w:sz w:val="18"/>
                      <w:szCs w:val="18"/>
                      <w:highlight w:val="none"/>
                      <w:u w:val="none"/>
                      <w:lang w:val="en-US" w:eastAsia="zh-CN" w:bidi="ar"/>
                    </w:rPr>
                  </w:pPr>
                </w:p>
              </w:tc>
              <w:tc>
                <w:tcPr>
                  <w:tcW w:w="1015" w:type="pct"/>
                  <w:tcBorders>
                    <w:tl2br w:val="nil"/>
                    <w:tr2bl w:val="nil"/>
                  </w:tcBorders>
                  <w:shd w:val="clear" w:color="auto" w:fill="FFFFFF"/>
                  <w:vAlign w:val="center"/>
                </w:tcPr>
                <w:p w14:paraId="72607860">
                  <w:pPr>
                    <w:keepNext w:val="0"/>
                    <w:keepLines w:val="0"/>
                    <w:pageBreakBefore w:val="0"/>
                    <w:widowControl/>
                    <w:suppressLineNumbers w:val="0"/>
                    <w:kinsoku/>
                    <w:wordWrap/>
                    <w:overflowPunct/>
                    <w:topLinePunct w:val="0"/>
                    <w:bidi w:val="0"/>
                    <w:adjustRightInd w:val="0"/>
                    <w:snapToGrid w:val="0"/>
                    <w:spacing w:before="0" w:beforeAutospacing="0" w:after="0" w:afterAutospacing="0" w:line="276" w:lineRule="auto"/>
                    <w:ind w:left="0" w:right="0"/>
                    <w:jc w:val="center"/>
                    <w:textAlignment w:val="center"/>
                    <w:rPr>
                      <w:rFonts w:hint="default" w:ascii="Times New Roman" w:hAnsi="Times New Roman" w:eastAsia="宋体" w:cs="Times New Roman"/>
                      <w:bCs/>
                      <w:i w:val="0"/>
                      <w:iCs w:val="0"/>
                      <w:color w:val="000000"/>
                      <w:kern w:val="0"/>
                      <w:sz w:val="18"/>
                      <w:szCs w:val="18"/>
                      <w:highlight w:val="none"/>
                      <w:u w:val="none"/>
                      <w:lang w:val="en-US" w:eastAsia="zh-CN" w:bidi="ar"/>
                    </w:rPr>
                  </w:pPr>
                  <w:r>
                    <w:rPr>
                      <w:rFonts w:hint="default" w:ascii="Times New Roman" w:hAnsi="Times New Roman" w:eastAsia="宋体" w:cs="Times New Roman"/>
                      <w:bCs/>
                      <w:i w:val="0"/>
                      <w:iCs w:val="0"/>
                      <w:color w:val="000000"/>
                      <w:kern w:val="0"/>
                      <w:sz w:val="18"/>
                      <w:szCs w:val="18"/>
                      <w:highlight w:val="none"/>
                      <w:u w:val="none"/>
                      <w:lang w:val="en-US" w:eastAsia="zh-CN" w:bidi="ar"/>
                    </w:rPr>
                    <w:t xml:space="preserve">真空干燥箱 </w:t>
                  </w:r>
                </w:p>
              </w:tc>
              <w:tc>
                <w:tcPr>
                  <w:tcW w:w="1436" w:type="pct"/>
                  <w:tcBorders>
                    <w:tl2br w:val="nil"/>
                    <w:tr2bl w:val="nil"/>
                  </w:tcBorders>
                  <w:shd w:val="clear" w:color="auto" w:fill="FFFFFF"/>
                  <w:noWrap/>
                  <w:vAlign w:val="center"/>
                </w:tcPr>
                <w:p w14:paraId="559940F1">
                  <w:pPr>
                    <w:keepNext w:val="0"/>
                    <w:keepLines w:val="0"/>
                    <w:pageBreakBefore w:val="0"/>
                    <w:suppressLineNumbers w:val="0"/>
                    <w:kinsoku/>
                    <w:wordWrap/>
                    <w:overflowPunct/>
                    <w:topLinePunct w:val="0"/>
                    <w:bidi w:val="0"/>
                    <w:adjustRightInd w:val="0"/>
                    <w:snapToGrid w:val="0"/>
                    <w:spacing w:before="0" w:beforeAutospacing="0" w:after="0" w:afterAutospacing="0" w:line="276" w:lineRule="auto"/>
                    <w:ind w:left="0" w:right="0"/>
                    <w:jc w:val="center"/>
                    <w:rPr>
                      <w:rFonts w:hint="default" w:ascii="Times New Roman" w:hAnsi="Times New Roman" w:eastAsia="宋体" w:cs="Times New Roman"/>
                      <w:bCs/>
                      <w:i w:val="0"/>
                      <w:iCs w:val="0"/>
                      <w:color w:val="000000"/>
                      <w:kern w:val="0"/>
                      <w:sz w:val="18"/>
                      <w:szCs w:val="18"/>
                      <w:highlight w:val="none"/>
                      <w:u w:val="none"/>
                      <w:lang w:val="en-US" w:eastAsia="zh-CN" w:bidi="ar"/>
                    </w:rPr>
                  </w:pPr>
                  <w:r>
                    <w:rPr>
                      <w:rFonts w:hint="default" w:ascii="Times New Roman" w:hAnsi="Times New Roman" w:eastAsia="宋体" w:cs="Times New Roman"/>
                      <w:bCs/>
                      <w:i w:val="0"/>
                      <w:iCs w:val="0"/>
                      <w:color w:val="000000"/>
                      <w:kern w:val="0"/>
                      <w:sz w:val="18"/>
                      <w:szCs w:val="18"/>
                      <w:highlight w:val="none"/>
                      <w:u w:val="none"/>
                      <w:lang w:val="en-US" w:eastAsia="zh-CN" w:bidi="ar"/>
                    </w:rPr>
                    <w:t>/</w:t>
                  </w:r>
                </w:p>
              </w:tc>
              <w:tc>
                <w:tcPr>
                  <w:tcW w:w="284" w:type="pct"/>
                  <w:tcBorders>
                    <w:tl2br w:val="nil"/>
                    <w:tr2bl w:val="nil"/>
                  </w:tcBorders>
                  <w:shd w:val="clear" w:color="auto" w:fill="FFFFFF"/>
                  <w:vAlign w:val="center"/>
                </w:tcPr>
                <w:p w14:paraId="5CD969BA">
                  <w:pPr>
                    <w:keepNext w:val="0"/>
                    <w:keepLines w:val="0"/>
                    <w:pageBreakBefore w:val="0"/>
                    <w:widowControl/>
                    <w:suppressLineNumbers w:val="0"/>
                    <w:kinsoku/>
                    <w:wordWrap/>
                    <w:overflowPunct/>
                    <w:topLinePunct w:val="0"/>
                    <w:bidi w:val="0"/>
                    <w:adjustRightInd w:val="0"/>
                    <w:snapToGrid w:val="0"/>
                    <w:spacing w:before="0" w:beforeAutospacing="0" w:after="0" w:afterAutospacing="0" w:line="276" w:lineRule="auto"/>
                    <w:ind w:left="0" w:right="0"/>
                    <w:jc w:val="center"/>
                    <w:textAlignment w:val="center"/>
                    <w:rPr>
                      <w:rFonts w:hint="default" w:ascii="Times New Roman" w:hAnsi="Times New Roman" w:eastAsia="宋体" w:cs="Times New Roman"/>
                      <w:bCs/>
                      <w:i w:val="0"/>
                      <w:iCs w:val="0"/>
                      <w:color w:val="000000"/>
                      <w:kern w:val="0"/>
                      <w:sz w:val="18"/>
                      <w:szCs w:val="18"/>
                      <w:highlight w:val="none"/>
                      <w:u w:val="none"/>
                      <w:lang w:val="en-US" w:eastAsia="zh-CN" w:bidi="ar"/>
                    </w:rPr>
                  </w:pPr>
                  <w:r>
                    <w:rPr>
                      <w:rFonts w:hint="default" w:ascii="Times New Roman" w:hAnsi="Times New Roman" w:eastAsia="宋体" w:cs="Times New Roman"/>
                      <w:bCs/>
                      <w:i w:val="0"/>
                      <w:iCs w:val="0"/>
                      <w:color w:val="000000"/>
                      <w:kern w:val="0"/>
                      <w:sz w:val="18"/>
                      <w:szCs w:val="18"/>
                      <w:highlight w:val="none"/>
                      <w:u w:val="none"/>
                      <w:lang w:val="en-US" w:eastAsia="zh-CN" w:bidi="ar"/>
                    </w:rPr>
                    <w:t>20</w:t>
                  </w:r>
                </w:p>
              </w:tc>
              <w:tc>
                <w:tcPr>
                  <w:tcW w:w="1678" w:type="pct"/>
                  <w:vMerge w:val="continue"/>
                  <w:tcBorders>
                    <w:tl2br w:val="nil"/>
                    <w:tr2bl w:val="nil"/>
                  </w:tcBorders>
                  <w:shd w:val="clear" w:color="auto" w:fill="FFFFFF"/>
                  <w:vAlign w:val="center"/>
                </w:tcPr>
                <w:p w14:paraId="4F57A622">
                  <w:pPr>
                    <w:keepNext w:val="0"/>
                    <w:keepLines w:val="0"/>
                    <w:pageBreakBefore w:val="0"/>
                    <w:widowControl/>
                    <w:suppressLineNumbers w:val="0"/>
                    <w:kinsoku/>
                    <w:wordWrap/>
                    <w:overflowPunct/>
                    <w:topLinePunct w:val="0"/>
                    <w:bidi w:val="0"/>
                    <w:adjustRightInd w:val="0"/>
                    <w:snapToGrid w:val="0"/>
                    <w:spacing w:before="0" w:beforeAutospacing="0" w:after="0" w:afterAutospacing="0" w:line="276" w:lineRule="auto"/>
                    <w:ind w:left="0" w:right="0"/>
                    <w:jc w:val="center"/>
                    <w:textAlignment w:val="center"/>
                    <w:rPr>
                      <w:rFonts w:hint="default" w:ascii="Times New Roman" w:hAnsi="Times New Roman" w:eastAsia="宋体" w:cs="Times New Roman"/>
                      <w:i w:val="0"/>
                      <w:iCs w:val="0"/>
                      <w:color w:val="000000"/>
                      <w:kern w:val="0"/>
                      <w:sz w:val="18"/>
                      <w:szCs w:val="18"/>
                      <w:highlight w:val="none"/>
                      <w:u w:val="none"/>
                      <w:lang w:val="en-US" w:eastAsia="zh-CN" w:bidi="ar"/>
                    </w:rPr>
                  </w:pPr>
                </w:p>
              </w:tc>
            </w:tr>
            <w:tr w14:paraId="6FE6462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0" w:hRule="atLeast"/>
              </w:trPr>
              <w:tc>
                <w:tcPr>
                  <w:tcW w:w="235" w:type="pct"/>
                  <w:tcBorders>
                    <w:tl2br w:val="nil"/>
                    <w:tr2bl w:val="nil"/>
                  </w:tcBorders>
                  <w:shd w:val="clear" w:color="auto" w:fill="FFFFFF"/>
                  <w:noWrap/>
                  <w:vAlign w:val="center"/>
                </w:tcPr>
                <w:p w14:paraId="22AD41D8">
                  <w:pPr>
                    <w:keepNext w:val="0"/>
                    <w:keepLines w:val="0"/>
                    <w:pageBreakBefore w:val="0"/>
                    <w:widowControl/>
                    <w:suppressLineNumbers w:val="0"/>
                    <w:kinsoku/>
                    <w:wordWrap/>
                    <w:overflowPunct/>
                    <w:topLinePunct w:val="0"/>
                    <w:bidi w:val="0"/>
                    <w:adjustRightInd w:val="0"/>
                    <w:snapToGrid w:val="0"/>
                    <w:spacing w:before="0" w:beforeAutospacing="0" w:after="0" w:afterAutospacing="0" w:line="276" w:lineRule="auto"/>
                    <w:ind w:left="0" w:right="0"/>
                    <w:jc w:val="center"/>
                    <w:textAlignment w:val="center"/>
                    <w:rPr>
                      <w:rFonts w:hint="default" w:ascii="Times New Roman" w:hAnsi="Times New Roman" w:eastAsia="宋体" w:cs="Times New Roman"/>
                      <w:bCs/>
                      <w:i w:val="0"/>
                      <w:iCs w:val="0"/>
                      <w:color w:val="000000"/>
                      <w:kern w:val="0"/>
                      <w:sz w:val="18"/>
                      <w:szCs w:val="18"/>
                      <w:highlight w:val="none"/>
                      <w:u w:val="none"/>
                      <w:lang w:val="en-US" w:eastAsia="zh-CN" w:bidi="ar"/>
                    </w:rPr>
                  </w:pPr>
                  <w:r>
                    <w:rPr>
                      <w:rFonts w:hint="default" w:ascii="Times New Roman" w:hAnsi="Times New Roman" w:eastAsia="宋体" w:cs="Times New Roman"/>
                      <w:bCs/>
                      <w:i w:val="0"/>
                      <w:iCs w:val="0"/>
                      <w:color w:val="000000"/>
                      <w:kern w:val="0"/>
                      <w:sz w:val="18"/>
                      <w:szCs w:val="18"/>
                      <w:highlight w:val="none"/>
                      <w:u w:val="none"/>
                      <w:lang w:val="en-US" w:eastAsia="zh-CN" w:bidi="ar"/>
                    </w:rPr>
                    <w:t>84</w:t>
                  </w:r>
                </w:p>
              </w:tc>
              <w:tc>
                <w:tcPr>
                  <w:tcW w:w="349" w:type="pct"/>
                  <w:vMerge w:val="continue"/>
                  <w:tcBorders>
                    <w:tl2br w:val="nil"/>
                    <w:tr2bl w:val="nil"/>
                  </w:tcBorders>
                  <w:shd w:val="clear" w:color="auto" w:fill="FFFFFF"/>
                  <w:vAlign w:val="center"/>
                </w:tcPr>
                <w:p w14:paraId="4329ACCB">
                  <w:pPr>
                    <w:pStyle w:val="120"/>
                    <w:keepNext w:val="0"/>
                    <w:keepLines w:val="0"/>
                    <w:pageBreakBefore w:val="0"/>
                    <w:framePr w:hSpace="0" w:wrap="auto" w:vAnchor="margin" w:hAnchor="text" w:xAlign="left" w:yAlign="inline"/>
                    <w:suppressLineNumbers w:val="0"/>
                    <w:kinsoku/>
                    <w:wordWrap/>
                    <w:overflowPunct/>
                    <w:topLinePunct w:val="0"/>
                    <w:bidi w:val="0"/>
                    <w:adjustRightInd w:val="0"/>
                    <w:snapToGrid w:val="0"/>
                    <w:spacing w:before="0" w:beforeAutospacing="0" w:after="0" w:afterAutospacing="0" w:line="276" w:lineRule="auto"/>
                    <w:ind w:left="0" w:right="0"/>
                    <w:jc w:val="center"/>
                    <w:rPr>
                      <w:rFonts w:hint="default" w:ascii="Times New Roman" w:hAnsi="Times New Roman" w:eastAsia="宋体" w:cs="Times New Roman"/>
                      <w:bCs/>
                      <w:i w:val="0"/>
                      <w:iCs w:val="0"/>
                      <w:color w:val="000000"/>
                      <w:kern w:val="0"/>
                      <w:sz w:val="18"/>
                      <w:szCs w:val="18"/>
                      <w:highlight w:val="none"/>
                      <w:u w:val="none"/>
                      <w:lang w:val="en-US" w:eastAsia="zh-CN" w:bidi="ar"/>
                    </w:rPr>
                  </w:pPr>
                </w:p>
              </w:tc>
              <w:tc>
                <w:tcPr>
                  <w:tcW w:w="1015" w:type="pct"/>
                  <w:tcBorders>
                    <w:tl2br w:val="nil"/>
                    <w:tr2bl w:val="nil"/>
                  </w:tcBorders>
                  <w:shd w:val="clear" w:color="auto" w:fill="FFFFFF"/>
                  <w:vAlign w:val="center"/>
                </w:tcPr>
                <w:p w14:paraId="2E6BFF22">
                  <w:pPr>
                    <w:keepNext w:val="0"/>
                    <w:keepLines w:val="0"/>
                    <w:pageBreakBefore w:val="0"/>
                    <w:widowControl/>
                    <w:suppressLineNumbers w:val="0"/>
                    <w:kinsoku/>
                    <w:wordWrap/>
                    <w:overflowPunct/>
                    <w:topLinePunct w:val="0"/>
                    <w:bidi w:val="0"/>
                    <w:adjustRightInd w:val="0"/>
                    <w:snapToGrid w:val="0"/>
                    <w:spacing w:before="0" w:beforeAutospacing="0" w:after="0" w:afterAutospacing="0" w:line="276" w:lineRule="auto"/>
                    <w:ind w:left="0" w:right="0"/>
                    <w:jc w:val="center"/>
                    <w:textAlignment w:val="center"/>
                    <w:rPr>
                      <w:rFonts w:hint="default" w:ascii="Times New Roman" w:hAnsi="Times New Roman" w:eastAsia="宋体" w:cs="Times New Roman"/>
                      <w:bCs/>
                      <w:i w:val="0"/>
                      <w:iCs w:val="0"/>
                      <w:color w:val="000000"/>
                      <w:kern w:val="0"/>
                      <w:sz w:val="18"/>
                      <w:szCs w:val="18"/>
                      <w:highlight w:val="none"/>
                      <w:u w:val="none"/>
                      <w:lang w:val="en-US" w:eastAsia="zh-CN" w:bidi="ar"/>
                    </w:rPr>
                  </w:pPr>
                  <w:r>
                    <w:rPr>
                      <w:rFonts w:hint="default" w:ascii="Times New Roman" w:hAnsi="Times New Roman" w:eastAsia="宋体" w:cs="Times New Roman"/>
                      <w:bCs/>
                      <w:i w:val="0"/>
                      <w:iCs w:val="0"/>
                      <w:color w:val="000000"/>
                      <w:kern w:val="0"/>
                      <w:sz w:val="18"/>
                      <w:szCs w:val="18"/>
                      <w:highlight w:val="none"/>
                      <w:u w:val="none"/>
                      <w:lang w:val="en-US" w:eastAsia="zh-CN" w:bidi="ar"/>
                    </w:rPr>
                    <w:t>超低温冰箱</w:t>
                  </w:r>
                </w:p>
              </w:tc>
              <w:tc>
                <w:tcPr>
                  <w:tcW w:w="1436" w:type="pct"/>
                  <w:tcBorders>
                    <w:tl2br w:val="nil"/>
                    <w:tr2bl w:val="nil"/>
                  </w:tcBorders>
                  <w:shd w:val="clear" w:color="auto" w:fill="FFFFFF"/>
                  <w:noWrap/>
                  <w:vAlign w:val="center"/>
                </w:tcPr>
                <w:p w14:paraId="4F2D4DAC">
                  <w:pPr>
                    <w:keepNext w:val="0"/>
                    <w:keepLines w:val="0"/>
                    <w:pageBreakBefore w:val="0"/>
                    <w:suppressLineNumbers w:val="0"/>
                    <w:kinsoku/>
                    <w:wordWrap/>
                    <w:overflowPunct/>
                    <w:topLinePunct w:val="0"/>
                    <w:bidi w:val="0"/>
                    <w:adjustRightInd w:val="0"/>
                    <w:snapToGrid w:val="0"/>
                    <w:spacing w:before="0" w:beforeAutospacing="0" w:after="0" w:afterAutospacing="0" w:line="276" w:lineRule="auto"/>
                    <w:ind w:left="0" w:right="0"/>
                    <w:jc w:val="center"/>
                    <w:rPr>
                      <w:rFonts w:hint="default" w:ascii="Times New Roman" w:hAnsi="Times New Roman" w:eastAsia="宋体" w:cs="Times New Roman"/>
                      <w:bCs/>
                      <w:i w:val="0"/>
                      <w:iCs w:val="0"/>
                      <w:color w:val="000000"/>
                      <w:kern w:val="0"/>
                      <w:sz w:val="18"/>
                      <w:szCs w:val="18"/>
                      <w:highlight w:val="none"/>
                      <w:u w:val="none"/>
                      <w:lang w:val="en-US" w:eastAsia="zh-CN" w:bidi="ar"/>
                    </w:rPr>
                  </w:pPr>
                  <w:r>
                    <w:rPr>
                      <w:rFonts w:hint="default" w:ascii="Times New Roman" w:hAnsi="Times New Roman" w:eastAsia="宋体" w:cs="Times New Roman"/>
                      <w:bCs/>
                      <w:i w:val="0"/>
                      <w:iCs w:val="0"/>
                      <w:color w:val="000000"/>
                      <w:kern w:val="0"/>
                      <w:sz w:val="18"/>
                      <w:szCs w:val="18"/>
                      <w:highlight w:val="none"/>
                      <w:u w:val="none"/>
                      <w:lang w:val="en-US" w:eastAsia="zh-CN" w:bidi="ar"/>
                    </w:rPr>
                    <w:t>/</w:t>
                  </w:r>
                </w:p>
              </w:tc>
              <w:tc>
                <w:tcPr>
                  <w:tcW w:w="284" w:type="pct"/>
                  <w:tcBorders>
                    <w:tl2br w:val="nil"/>
                    <w:tr2bl w:val="nil"/>
                  </w:tcBorders>
                  <w:shd w:val="clear" w:color="auto" w:fill="FFFFFF"/>
                  <w:vAlign w:val="center"/>
                </w:tcPr>
                <w:p w14:paraId="6B6B8264">
                  <w:pPr>
                    <w:keepNext w:val="0"/>
                    <w:keepLines w:val="0"/>
                    <w:pageBreakBefore w:val="0"/>
                    <w:widowControl/>
                    <w:suppressLineNumbers w:val="0"/>
                    <w:kinsoku/>
                    <w:wordWrap/>
                    <w:overflowPunct/>
                    <w:topLinePunct w:val="0"/>
                    <w:bidi w:val="0"/>
                    <w:adjustRightInd w:val="0"/>
                    <w:snapToGrid w:val="0"/>
                    <w:spacing w:before="0" w:beforeAutospacing="0" w:after="0" w:afterAutospacing="0" w:line="276" w:lineRule="auto"/>
                    <w:ind w:left="0" w:right="0"/>
                    <w:jc w:val="center"/>
                    <w:textAlignment w:val="center"/>
                    <w:rPr>
                      <w:rFonts w:hint="default" w:ascii="Times New Roman" w:hAnsi="Times New Roman" w:eastAsia="宋体" w:cs="Times New Roman"/>
                      <w:bCs/>
                      <w:i w:val="0"/>
                      <w:iCs w:val="0"/>
                      <w:color w:val="000000"/>
                      <w:kern w:val="0"/>
                      <w:sz w:val="18"/>
                      <w:szCs w:val="18"/>
                      <w:highlight w:val="none"/>
                      <w:u w:val="none"/>
                      <w:lang w:val="en-US" w:eastAsia="zh-CN" w:bidi="ar"/>
                    </w:rPr>
                  </w:pPr>
                  <w:r>
                    <w:rPr>
                      <w:rFonts w:hint="default" w:ascii="Times New Roman" w:hAnsi="Times New Roman" w:eastAsia="宋体" w:cs="Times New Roman"/>
                      <w:bCs/>
                      <w:i w:val="0"/>
                      <w:iCs w:val="0"/>
                      <w:color w:val="000000"/>
                      <w:kern w:val="0"/>
                      <w:sz w:val="18"/>
                      <w:szCs w:val="18"/>
                      <w:highlight w:val="none"/>
                      <w:u w:val="none"/>
                      <w:lang w:val="en-US" w:eastAsia="zh-CN" w:bidi="ar"/>
                    </w:rPr>
                    <w:t>20</w:t>
                  </w:r>
                </w:p>
              </w:tc>
              <w:tc>
                <w:tcPr>
                  <w:tcW w:w="1678" w:type="pct"/>
                  <w:vMerge w:val="continue"/>
                  <w:tcBorders>
                    <w:tl2br w:val="nil"/>
                    <w:tr2bl w:val="nil"/>
                  </w:tcBorders>
                  <w:shd w:val="clear" w:color="auto" w:fill="FFFFFF"/>
                  <w:vAlign w:val="center"/>
                </w:tcPr>
                <w:p w14:paraId="4EF8B745">
                  <w:pPr>
                    <w:keepNext w:val="0"/>
                    <w:keepLines w:val="0"/>
                    <w:pageBreakBefore w:val="0"/>
                    <w:widowControl/>
                    <w:suppressLineNumbers w:val="0"/>
                    <w:kinsoku/>
                    <w:wordWrap/>
                    <w:overflowPunct/>
                    <w:topLinePunct w:val="0"/>
                    <w:bidi w:val="0"/>
                    <w:adjustRightInd w:val="0"/>
                    <w:snapToGrid w:val="0"/>
                    <w:spacing w:before="0" w:beforeAutospacing="0" w:after="0" w:afterAutospacing="0" w:line="276" w:lineRule="auto"/>
                    <w:ind w:left="0" w:right="0"/>
                    <w:jc w:val="center"/>
                    <w:textAlignment w:val="center"/>
                    <w:rPr>
                      <w:rFonts w:hint="default" w:ascii="Times New Roman" w:hAnsi="Times New Roman" w:eastAsia="宋体" w:cs="Times New Roman"/>
                      <w:i w:val="0"/>
                      <w:iCs w:val="0"/>
                      <w:color w:val="000000"/>
                      <w:kern w:val="0"/>
                      <w:sz w:val="18"/>
                      <w:szCs w:val="18"/>
                      <w:highlight w:val="none"/>
                      <w:u w:val="none"/>
                      <w:lang w:val="en-US" w:eastAsia="zh-CN" w:bidi="ar"/>
                    </w:rPr>
                  </w:pPr>
                </w:p>
              </w:tc>
            </w:tr>
            <w:tr w14:paraId="70B07DB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FFFFFF"/>
                <w:tblCellMar>
                  <w:top w:w="0" w:type="dxa"/>
                  <w:left w:w="28" w:type="dxa"/>
                  <w:bottom w:w="0" w:type="dxa"/>
                  <w:right w:w="28" w:type="dxa"/>
                </w:tblCellMar>
              </w:tblPrEx>
              <w:trPr>
                <w:trHeight w:val="0" w:hRule="atLeast"/>
              </w:trPr>
              <w:tc>
                <w:tcPr>
                  <w:tcW w:w="235" w:type="pct"/>
                  <w:tcBorders>
                    <w:tl2br w:val="nil"/>
                    <w:tr2bl w:val="nil"/>
                  </w:tcBorders>
                  <w:shd w:val="clear" w:color="auto" w:fill="FFFFFF"/>
                  <w:noWrap/>
                  <w:vAlign w:val="center"/>
                </w:tcPr>
                <w:p w14:paraId="7CDC9B89">
                  <w:pPr>
                    <w:keepNext w:val="0"/>
                    <w:keepLines w:val="0"/>
                    <w:pageBreakBefore w:val="0"/>
                    <w:widowControl/>
                    <w:suppressLineNumbers w:val="0"/>
                    <w:kinsoku/>
                    <w:wordWrap/>
                    <w:overflowPunct/>
                    <w:topLinePunct w:val="0"/>
                    <w:bidi w:val="0"/>
                    <w:adjustRightInd w:val="0"/>
                    <w:snapToGrid w:val="0"/>
                    <w:spacing w:before="0" w:beforeAutospacing="0" w:after="0" w:afterAutospacing="0" w:line="276" w:lineRule="auto"/>
                    <w:ind w:left="0" w:right="0"/>
                    <w:jc w:val="center"/>
                    <w:textAlignment w:val="center"/>
                    <w:rPr>
                      <w:rFonts w:hint="default" w:ascii="Times New Roman" w:hAnsi="Times New Roman" w:eastAsia="宋体" w:cs="Times New Roman"/>
                      <w:bCs/>
                      <w:i w:val="0"/>
                      <w:iCs w:val="0"/>
                      <w:color w:val="000000"/>
                      <w:kern w:val="0"/>
                      <w:sz w:val="18"/>
                      <w:szCs w:val="18"/>
                      <w:highlight w:val="none"/>
                      <w:u w:val="none"/>
                      <w:lang w:val="en-US" w:eastAsia="zh-CN" w:bidi="ar"/>
                    </w:rPr>
                  </w:pPr>
                  <w:r>
                    <w:rPr>
                      <w:rFonts w:hint="default" w:ascii="Times New Roman" w:hAnsi="Times New Roman" w:eastAsia="宋体" w:cs="Times New Roman"/>
                      <w:bCs/>
                      <w:i w:val="0"/>
                      <w:iCs w:val="0"/>
                      <w:color w:val="000000"/>
                      <w:kern w:val="0"/>
                      <w:sz w:val="18"/>
                      <w:szCs w:val="18"/>
                      <w:highlight w:val="none"/>
                      <w:u w:val="none"/>
                      <w:lang w:val="en-US" w:eastAsia="zh-CN" w:bidi="ar"/>
                    </w:rPr>
                    <w:t>85</w:t>
                  </w:r>
                </w:p>
              </w:tc>
              <w:tc>
                <w:tcPr>
                  <w:tcW w:w="349" w:type="pct"/>
                  <w:vMerge w:val="continue"/>
                  <w:tcBorders>
                    <w:tl2br w:val="nil"/>
                    <w:tr2bl w:val="nil"/>
                  </w:tcBorders>
                  <w:shd w:val="clear" w:color="auto" w:fill="FFFFFF"/>
                  <w:vAlign w:val="center"/>
                </w:tcPr>
                <w:p w14:paraId="35EB818A">
                  <w:pPr>
                    <w:pStyle w:val="120"/>
                    <w:keepNext w:val="0"/>
                    <w:keepLines w:val="0"/>
                    <w:pageBreakBefore w:val="0"/>
                    <w:framePr w:hSpace="0" w:wrap="auto" w:vAnchor="margin" w:hAnchor="text" w:xAlign="left" w:yAlign="inline"/>
                    <w:suppressLineNumbers w:val="0"/>
                    <w:kinsoku/>
                    <w:wordWrap/>
                    <w:overflowPunct/>
                    <w:topLinePunct w:val="0"/>
                    <w:bidi w:val="0"/>
                    <w:adjustRightInd w:val="0"/>
                    <w:snapToGrid w:val="0"/>
                    <w:spacing w:before="0" w:beforeAutospacing="0" w:after="0" w:afterAutospacing="0" w:line="276" w:lineRule="auto"/>
                    <w:ind w:left="0" w:right="0"/>
                    <w:jc w:val="center"/>
                    <w:rPr>
                      <w:rFonts w:hint="default" w:ascii="Times New Roman" w:hAnsi="Times New Roman" w:eastAsia="宋体" w:cs="Times New Roman"/>
                      <w:bCs/>
                      <w:i w:val="0"/>
                      <w:iCs w:val="0"/>
                      <w:color w:val="000000"/>
                      <w:kern w:val="0"/>
                      <w:sz w:val="18"/>
                      <w:szCs w:val="18"/>
                      <w:highlight w:val="none"/>
                      <w:u w:val="none"/>
                      <w:lang w:val="en-US" w:eastAsia="zh-CN" w:bidi="ar"/>
                    </w:rPr>
                  </w:pPr>
                </w:p>
              </w:tc>
              <w:tc>
                <w:tcPr>
                  <w:tcW w:w="1015" w:type="pct"/>
                  <w:tcBorders>
                    <w:tl2br w:val="nil"/>
                    <w:tr2bl w:val="nil"/>
                  </w:tcBorders>
                  <w:shd w:val="clear" w:color="auto" w:fill="FFFFFF"/>
                  <w:vAlign w:val="center"/>
                </w:tcPr>
                <w:p w14:paraId="3B146103">
                  <w:pPr>
                    <w:keepNext w:val="0"/>
                    <w:keepLines w:val="0"/>
                    <w:pageBreakBefore w:val="0"/>
                    <w:widowControl/>
                    <w:suppressLineNumbers w:val="0"/>
                    <w:kinsoku/>
                    <w:wordWrap/>
                    <w:overflowPunct/>
                    <w:topLinePunct w:val="0"/>
                    <w:bidi w:val="0"/>
                    <w:adjustRightInd w:val="0"/>
                    <w:snapToGrid w:val="0"/>
                    <w:spacing w:before="0" w:beforeAutospacing="0" w:after="0" w:afterAutospacing="0" w:line="276" w:lineRule="auto"/>
                    <w:ind w:left="0" w:right="0"/>
                    <w:jc w:val="center"/>
                    <w:textAlignment w:val="center"/>
                    <w:rPr>
                      <w:rFonts w:hint="default" w:ascii="Times New Roman" w:hAnsi="Times New Roman" w:eastAsia="宋体" w:cs="Times New Roman"/>
                      <w:bCs/>
                      <w:i w:val="0"/>
                      <w:iCs w:val="0"/>
                      <w:color w:val="000000"/>
                      <w:kern w:val="0"/>
                      <w:sz w:val="18"/>
                      <w:szCs w:val="18"/>
                      <w:highlight w:val="none"/>
                      <w:u w:val="none"/>
                      <w:lang w:val="en-US" w:eastAsia="zh-CN" w:bidi="ar"/>
                    </w:rPr>
                  </w:pPr>
                  <w:r>
                    <w:rPr>
                      <w:rFonts w:hint="default" w:ascii="Times New Roman" w:hAnsi="Times New Roman" w:eastAsia="宋体" w:cs="Times New Roman"/>
                      <w:bCs/>
                      <w:i w:val="0"/>
                      <w:iCs w:val="0"/>
                      <w:color w:val="000000"/>
                      <w:kern w:val="0"/>
                      <w:sz w:val="18"/>
                      <w:szCs w:val="18"/>
                      <w:highlight w:val="none"/>
                      <w:u w:val="none"/>
                      <w:lang w:val="en-US" w:eastAsia="zh-CN" w:bidi="ar"/>
                    </w:rPr>
                    <w:t>防爆冰箱</w:t>
                  </w:r>
                </w:p>
              </w:tc>
              <w:tc>
                <w:tcPr>
                  <w:tcW w:w="1436" w:type="pct"/>
                  <w:tcBorders>
                    <w:tl2br w:val="nil"/>
                    <w:tr2bl w:val="nil"/>
                  </w:tcBorders>
                  <w:shd w:val="clear" w:color="auto" w:fill="FFFFFF"/>
                  <w:noWrap/>
                  <w:vAlign w:val="center"/>
                </w:tcPr>
                <w:p w14:paraId="3143FF65">
                  <w:pPr>
                    <w:keepNext w:val="0"/>
                    <w:keepLines w:val="0"/>
                    <w:pageBreakBefore w:val="0"/>
                    <w:suppressLineNumbers w:val="0"/>
                    <w:kinsoku/>
                    <w:wordWrap/>
                    <w:overflowPunct/>
                    <w:topLinePunct w:val="0"/>
                    <w:bidi w:val="0"/>
                    <w:adjustRightInd w:val="0"/>
                    <w:snapToGrid w:val="0"/>
                    <w:spacing w:before="0" w:beforeAutospacing="0" w:after="0" w:afterAutospacing="0" w:line="276" w:lineRule="auto"/>
                    <w:ind w:left="0" w:right="0"/>
                    <w:jc w:val="center"/>
                    <w:rPr>
                      <w:rFonts w:hint="default" w:ascii="Times New Roman" w:hAnsi="Times New Roman" w:eastAsia="宋体" w:cs="Times New Roman"/>
                      <w:bCs/>
                      <w:i w:val="0"/>
                      <w:iCs w:val="0"/>
                      <w:color w:val="000000"/>
                      <w:kern w:val="0"/>
                      <w:sz w:val="18"/>
                      <w:szCs w:val="18"/>
                      <w:highlight w:val="none"/>
                      <w:u w:val="none"/>
                      <w:lang w:val="en-US" w:eastAsia="zh-CN" w:bidi="ar"/>
                    </w:rPr>
                  </w:pPr>
                  <w:r>
                    <w:rPr>
                      <w:rFonts w:hint="default" w:ascii="Times New Roman" w:hAnsi="Times New Roman" w:eastAsia="宋体" w:cs="Times New Roman"/>
                      <w:bCs/>
                      <w:i w:val="0"/>
                      <w:iCs w:val="0"/>
                      <w:color w:val="000000"/>
                      <w:kern w:val="0"/>
                      <w:sz w:val="18"/>
                      <w:szCs w:val="18"/>
                      <w:highlight w:val="none"/>
                      <w:u w:val="none"/>
                      <w:lang w:val="en-US" w:eastAsia="zh-CN" w:bidi="ar"/>
                    </w:rPr>
                    <w:t>/</w:t>
                  </w:r>
                </w:p>
              </w:tc>
              <w:tc>
                <w:tcPr>
                  <w:tcW w:w="284" w:type="pct"/>
                  <w:tcBorders>
                    <w:tl2br w:val="nil"/>
                    <w:tr2bl w:val="nil"/>
                  </w:tcBorders>
                  <w:shd w:val="clear" w:color="auto" w:fill="FFFFFF"/>
                  <w:vAlign w:val="center"/>
                </w:tcPr>
                <w:p w14:paraId="6EC410AC">
                  <w:pPr>
                    <w:keepNext w:val="0"/>
                    <w:keepLines w:val="0"/>
                    <w:pageBreakBefore w:val="0"/>
                    <w:widowControl/>
                    <w:suppressLineNumbers w:val="0"/>
                    <w:kinsoku/>
                    <w:wordWrap/>
                    <w:overflowPunct/>
                    <w:topLinePunct w:val="0"/>
                    <w:bidi w:val="0"/>
                    <w:adjustRightInd w:val="0"/>
                    <w:snapToGrid w:val="0"/>
                    <w:spacing w:before="0" w:beforeAutospacing="0" w:after="0" w:afterAutospacing="0" w:line="276" w:lineRule="auto"/>
                    <w:ind w:left="0" w:right="0"/>
                    <w:jc w:val="center"/>
                    <w:textAlignment w:val="center"/>
                    <w:rPr>
                      <w:rFonts w:hint="default" w:ascii="Times New Roman" w:hAnsi="Times New Roman" w:eastAsia="宋体" w:cs="Times New Roman"/>
                      <w:bCs/>
                      <w:i w:val="0"/>
                      <w:iCs w:val="0"/>
                      <w:color w:val="000000"/>
                      <w:kern w:val="0"/>
                      <w:sz w:val="18"/>
                      <w:szCs w:val="18"/>
                      <w:highlight w:val="none"/>
                      <w:u w:val="none"/>
                      <w:lang w:val="en-US" w:eastAsia="zh-CN" w:bidi="ar"/>
                    </w:rPr>
                  </w:pPr>
                  <w:r>
                    <w:rPr>
                      <w:rFonts w:hint="default" w:ascii="Times New Roman" w:hAnsi="Times New Roman" w:eastAsia="宋体" w:cs="Times New Roman"/>
                      <w:bCs/>
                      <w:i w:val="0"/>
                      <w:iCs w:val="0"/>
                      <w:color w:val="000000"/>
                      <w:kern w:val="0"/>
                      <w:sz w:val="18"/>
                      <w:szCs w:val="18"/>
                      <w:highlight w:val="none"/>
                      <w:u w:val="none"/>
                      <w:lang w:val="en-US" w:eastAsia="zh-CN" w:bidi="ar"/>
                    </w:rPr>
                    <w:t>30</w:t>
                  </w:r>
                </w:p>
              </w:tc>
              <w:tc>
                <w:tcPr>
                  <w:tcW w:w="1678" w:type="pct"/>
                  <w:vMerge w:val="continue"/>
                  <w:tcBorders>
                    <w:tl2br w:val="nil"/>
                    <w:tr2bl w:val="nil"/>
                  </w:tcBorders>
                  <w:shd w:val="clear" w:color="auto" w:fill="FFFFFF"/>
                  <w:vAlign w:val="center"/>
                </w:tcPr>
                <w:p w14:paraId="3B6216ED">
                  <w:pPr>
                    <w:keepNext w:val="0"/>
                    <w:keepLines w:val="0"/>
                    <w:pageBreakBefore w:val="0"/>
                    <w:widowControl/>
                    <w:suppressLineNumbers w:val="0"/>
                    <w:kinsoku/>
                    <w:wordWrap/>
                    <w:overflowPunct/>
                    <w:topLinePunct w:val="0"/>
                    <w:bidi w:val="0"/>
                    <w:adjustRightInd w:val="0"/>
                    <w:snapToGrid w:val="0"/>
                    <w:spacing w:before="0" w:beforeAutospacing="0" w:after="0" w:afterAutospacing="0" w:line="276" w:lineRule="auto"/>
                    <w:ind w:left="0" w:right="0"/>
                    <w:jc w:val="center"/>
                    <w:textAlignment w:val="center"/>
                    <w:rPr>
                      <w:rFonts w:hint="default" w:ascii="Times New Roman" w:hAnsi="Times New Roman" w:eastAsia="宋体" w:cs="Times New Roman"/>
                      <w:i w:val="0"/>
                      <w:iCs w:val="0"/>
                      <w:color w:val="000000"/>
                      <w:kern w:val="0"/>
                      <w:sz w:val="18"/>
                      <w:szCs w:val="18"/>
                      <w:highlight w:val="none"/>
                      <w:u w:val="none"/>
                      <w:lang w:val="en-US" w:eastAsia="zh-CN" w:bidi="ar"/>
                    </w:rPr>
                  </w:pPr>
                </w:p>
              </w:tc>
            </w:tr>
            <w:tr w14:paraId="561B9DA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0" w:hRule="atLeast"/>
              </w:trPr>
              <w:tc>
                <w:tcPr>
                  <w:tcW w:w="235" w:type="pct"/>
                  <w:tcBorders>
                    <w:tl2br w:val="nil"/>
                    <w:tr2bl w:val="nil"/>
                  </w:tcBorders>
                  <w:shd w:val="clear" w:color="auto" w:fill="FFFFFF"/>
                  <w:noWrap/>
                  <w:vAlign w:val="center"/>
                </w:tcPr>
                <w:p w14:paraId="2D9DC8D2">
                  <w:pPr>
                    <w:keepNext w:val="0"/>
                    <w:keepLines w:val="0"/>
                    <w:pageBreakBefore w:val="0"/>
                    <w:widowControl/>
                    <w:suppressLineNumbers w:val="0"/>
                    <w:kinsoku/>
                    <w:wordWrap/>
                    <w:overflowPunct/>
                    <w:topLinePunct w:val="0"/>
                    <w:bidi w:val="0"/>
                    <w:adjustRightInd w:val="0"/>
                    <w:snapToGrid w:val="0"/>
                    <w:spacing w:before="0" w:beforeAutospacing="0" w:after="0" w:afterAutospacing="0" w:line="276" w:lineRule="auto"/>
                    <w:ind w:left="0" w:right="0"/>
                    <w:jc w:val="center"/>
                    <w:textAlignment w:val="center"/>
                    <w:rPr>
                      <w:rFonts w:hint="default" w:ascii="Times New Roman" w:hAnsi="Times New Roman" w:eastAsia="宋体" w:cs="Times New Roman"/>
                      <w:bCs/>
                      <w:i w:val="0"/>
                      <w:iCs w:val="0"/>
                      <w:color w:val="000000"/>
                      <w:kern w:val="0"/>
                      <w:sz w:val="18"/>
                      <w:szCs w:val="18"/>
                      <w:highlight w:val="none"/>
                      <w:u w:val="none"/>
                      <w:lang w:val="en-US" w:eastAsia="zh-CN" w:bidi="ar"/>
                    </w:rPr>
                  </w:pPr>
                  <w:r>
                    <w:rPr>
                      <w:rFonts w:hint="default" w:ascii="Times New Roman" w:hAnsi="Times New Roman" w:eastAsia="宋体" w:cs="Times New Roman"/>
                      <w:bCs/>
                      <w:i w:val="0"/>
                      <w:iCs w:val="0"/>
                      <w:color w:val="000000"/>
                      <w:kern w:val="0"/>
                      <w:sz w:val="18"/>
                      <w:szCs w:val="18"/>
                      <w:highlight w:val="none"/>
                      <w:u w:val="none"/>
                      <w:lang w:val="en-US" w:eastAsia="zh-CN" w:bidi="ar"/>
                    </w:rPr>
                    <w:t>86</w:t>
                  </w:r>
                </w:p>
              </w:tc>
              <w:tc>
                <w:tcPr>
                  <w:tcW w:w="349" w:type="pct"/>
                  <w:vMerge w:val="continue"/>
                  <w:tcBorders>
                    <w:tl2br w:val="nil"/>
                    <w:tr2bl w:val="nil"/>
                  </w:tcBorders>
                  <w:shd w:val="clear" w:color="auto" w:fill="FFFFFF"/>
                  <w:vAlign w:val="center"/>
                </w:tcPr>
                <w:p w14:paraId="03962D95">
                  <w:pPr>
                    <w:pStyle w:val="120"/>
                    <w:keepNext w:val="0"/>
                    <w:keepLines w:val="0"/>
                    <w:pageBreakBefore w:val="0"/>
                    <w:framePr w:hSpace="0" w:wrap="auto" w:vAnchor="margin" w:hAnchor="text" w:xAlign="left" w:yAlign="inline"/>
                    <w:suppressLineNumbers w:val="0"/>
                    <w:kinsoku/>
                    <w:wordWrap/>
                    <w:overflowPunct/>
                    <w:topLinePunct w:val="0"/>
                    <w:bidi w:val="0"/>
                    <w:adjustRightInd w:val="0"/>
                    <w:snapToGrid w:val="0"/>
                    <w:spacing w:before="0" w:beforeAutospacing="0" w:after="0" w:afterAutospacing="0" w:line="276" w:lineRule="auto"/>
                    <w:ind w:left="0" w:right="0"/>
                    <w:jc w:val="center"/>
                    <w:rPr>
                      <w:rFonts w:hint="default" w:ascii="Times New Roman" w:hAnsi="Times New Roman" w:eastAsia="宋体" w:cs="Times New Roman"/>
                      <w:bCs/>
                      <w:i w:val="0"/>
                      <w:iCs w:val="0"/>
                      <w:color w:val="000000"/>
                      <w:kern w:val="0"/>
                      <w:sz w:val="18"/>
                      <w:szCs w:val="18"/>
                      <w:highlight w:val="none"/>
                      <w:u w:val="none"/>
                      <w:lang w:val="en-US" w:eastAsia="zh-CN" w:bidi="ar"/>
                    </w:rPr>
                  </w:pPr>
                </w:p>
              </w:tc>
              <w:tc>
                <w:tcPr>
                  <w:tcW w:w="1015" w:type="pct"/>
                  <w:tcBorders>
                    <w:tl2br w:val="nil"/>
                    <w:tr2bl w:val="nil"/>
                  </w:tcBorders>
                  <w:shd w:val="clear" w:color="auto" w:fill="FFFFFF"/>
                  <w:vAlign w:val="center"/>
                </w:tcPr>
                <w:p w14:paraId="07C7F7C3">
                  <w:pPr>
                    <w:keepNext w:val="0"/>
                    <w:keepLines w:val="0"/>
                    <w:pageBreakBefore w:val="0"/>
                    <w:widowControl/>
                    <w:suppressLineNumbers w:val="0"/>
                    <w:kinsoku/>
                    <w:wordWrap/>
                    <w:overflowPunct/>
                    <w:topLinePunct w:val="0"/>
                    <w:bidi w:val="0"/>
                    <w:adjustRightInd w:val="0"/>
                    <w:snapToGrid w:val="0"/>
                    <w:spacing w:before="0" w:beforeAutospacing="0" w:after="0" w:afterAutospacing="0" w:line="276" w:lineRule="auto"/>
                    <w:ind w:left="0" w:right="0"/>
                    <w:jc w:val="center"/>
                    <w:textAlignment w:val="center"/>
                    <w:rPr>
                      <w:rFonts w:hint="default" w:ascii="Times New Roman" w:hAnsi="Times New Roman" w:eastAsia="宋体" w:cs="Times New Roman"/>
                      <w:bCs/>
                      <w:i w:val="0"/>
                      <w:iCs w:val="0"/>
                      <w:color w:val="000000"/>
                      <w:kern w:val="0"/>
                      <w:sz w:val="18"/>
                      <w:szCs w:val="18"/>
                      <w:highlight w:val="none"/>
                      <w:u w:val="none"/>
                      <w:lang w:val="en-US" w:eastAsia="zh-CN" w:bidi="ar"/>
                    </w:rPr>
                  </w:pPr>
                  <w:r>
                    <w:rPr>
                      <w:rFonts w:hint="default" w:ascii="Times New Roman" w:hAnsi="Times New Roman" w:eastAsia="宋体" w:cs="Times New Roman"/>
                      <w:bCs/>
                      <w:i w:val="0"/>
                      <w:iCs w:val="0"/>
                      <w:color w:val="000000"/>
                      <w:kern w:val="0"/>
                      <w:sz w:val="18"/>
                      <w:szCs w:val="18"/>
                      <w:highlight w:val="none"/>
                      <w:u w:val="none"/>
                      <w:lang w:val="en-US" w:eastAsia="zh-CN" w:bidi="ar"/>
                    </w:rPr>
                    <w:t>普通冰箱</w:t>
                  </w:r>
                </w:p>
              </w:tc>
              <w:tc>
                <w:tcPr>
                  <w:tcW w:w="1436" w:type="pct"/>
                  <w:tcBorders>
                    <w:tl2br w:val="nil"/>
                    <w:tr2bl w:val="nil"/>
                  </w:tcBorders>
                  <w:shd w:val="clear" w:color="auto" w:fill="FFFFFF"/>
                  <w:noWrap/>
                  <w:vAlign w:val="center"/>
                </w:tcPr>
                <w:p w14:paraId="3FFA99DA">
                  <w:pPr>
                    <w:keepNext w:val="0"/>
                    <w:keepLines w:val="0"/>
                    <w:pageBreakBefore w:val="0"/>
                    <w:suppressLineNumbers w:val="0"/>
                    <w:kinsoku/>
                    <w:wordWrap/>
                    <w:overflowPunct/>
                    <w:topLinePunct w:val="0"/>
                    <w:bidi w:val="0"/>
                    <w:adjustRightInd w:val="0"/>
                    <w:snapToGrid w:val="0"/>
                    <w:spacing w:before="0" w:beforeAutospacing="0" w:after="0" w:afterAutospacing="0" w:line="276" w:lineRule="auto"/>
                    <w:ind w:left="0" w:right="0"/>
                    <w:jc w:val="center"/>
                    <w:rPr>
                      <w:rFonts w:hint="default" w:ascii="Times New Roman" w:hAnsi="Times New Roman" w:eastAsia="宋体" w:cs="Times New Roman"/>
                      <w:bCs/>
                      <w:i w:val="0"/>
                      <w:iCs w:val="0"/>
                      <w:color w:val="000000"/>
                      <w:kern w:val="0"/>
                      <w:sz w:val="18"/>
                      <w:szCs w:val="18"/>
                      <w:highlight w:val="none"/>
                      <w:u w:val="none"/>
                      <w:lang w:val="en-US" w:eastAsia="zh-CN" w:bidi="ar"/>
                    </w:rPr>
                  </w:pPr>
                  <w:r>
                    <w:rPr>
                      <w:rFonts w:hint="default" w:ascii="Times New Roman" w:hAnsi="Times New Roman" w:eastAsia="宋体" w:cs="Times New Roman"/>
                      <w:bCs/>
                      <w:i w:val="0"/>
                      <w:iCs w:val="0"/>
                      <w:color w:val="000000"/>
                      <w:kern w:val="0"/>
                      <w:sz w:val="18"/>
                      <w:szCs w:val="18"/>
                      <w:highlight w:val="none"/>
                      <w:u w:val="none"/>
                      <w:lang w:val="en-US" w:eastAsia="zh-CN" w:bidi="ar"/>
                    </w:rPr>
                    <w:t>/</w:t>
                  </w:r>
                </w:p>
              </w:tc>
              <w:tc>
                <w:tcPr>
                  <w:tcW w:w="284" w:type="pct"/>
                  <w:tcBorders>
                    <w:tl2br w:val="nil"/>
                    <w:tr2bl w:val="nil"/>
                  </w:tcBorders>
                  <w:shd w:val="clear" w:color="auto" w:fill="FFFFFF"/>
                  <w:vAlign w:val="center"/>
                </w:tcPr>
                <w:p w14:paraId="3C917C0E">
                  <w:pPr>
                    <w:keepNext w:val="0"/>
                    <w:keepLines w:val="0"/>
                    <w:pageBreakBefore w:val="0"/>
                    <w:widowControl/>
                    <w:suppressLineNumbers w:val="0"/>
                    <w:kinsoku/>
                    <w:wordWrap/>
                    <w:overflowPunct/>
                    <w:topLinePunct w:val="0"/>
                    <w:bidi w:val="0"/>
                    <w:adjustRightInd w:val="0"/>
                    <w:snapToGrid w:val="0"/>
                    <w:spacing w:before="0" w:beforeAutospacing="0" w:after="0" w:afterAutospacing="0" w:line="276" w:lineRule="auto"/>
                    <w:ind w:left="0" w:right="0"/>
                    <w:jc w:val="center"/>
                    <w:textAlignment w:val="center"/>
                    <w:rPr>
                      <w:rFonts w:hint="default" w:ascii="Times New Roman" w:hAnsi="Times New Roman" w:eastAsia="宋体" w:cs="Times New Roman"/>
                      <w:bCs/>
                      <w:i w:val="0"/>
                      <w:iCs w:val="0"/>
                      <w:color w:val="000000"/>
                      <w:kern w:val="0"/>
                      <w:sz w:val="18"/>
                      <w:szCs w:val="18"/>
                      <w:highlight w:val="none"/>
                      <w:u w:val="none"/>
                      <w:lang w:val="en-US" w:eastAsia="zh-CN" w:bidi="ar"/>
                    </w:rPr>
                  </w:pPr>
                  <w:r>
                    <w:rPr>
                      <w:rFonts w:hint="default" w:ascii="Times New Roman" w:hAnsi="Times New Roman" w:eastAsia="宋体" w:cs="Times New Roman"/>
                      <w:bCs/>
                      <w:i w:val="0"/>
                      <w:iCs w:val="0"/>
                      <w:color w:val="000000"/>
                      <w:kern w:val="0"/>
                      <w:sz w:val="18"/>
                      <w:szCs w:val="18"/>
                      <w:highlight w:val="none"/>
                      <w:u w:val="none"/>
                      <w:lang w:val="en-US" w:eastAsia="zh-CN" w:bidi="ar"/>
                    </w:rPr>
                    <w:t>30</w:t>
                  </w:r>
                </w:p>
              </w:tc>
              <w:tc>
                <w:tcPr>
                  <w:tcW w:w="1678" w:type="pct"/>
                  <w:vMerge w:val="continue"/>
                  <w:tcBorders>
                    <w:tl2br w:val="nil"/>
                    <w:tr2bl w:val="nil"/>
                  </w:tcBorders>
                  <w:shd w:val="clear" w:color="auto" w:fill="FFFFFF"/>
                  <w:vAlign w:val="center"/>
                </w:tcPr>
                <w:p w14:paraId="39C9BF43">
                  <w:pPr>
                    <w:keepNext w:val="0"/>
                    <w:keepLines w:val="0"/>
                    <w:pageBreakBefore w:val="0"/>
                    <w:widowControl/>
                    <w:suppressLineNumbers w:val="0"/>
                    <w:kinsoku/>
                    <w:wordWrap/>
                    <w:overflowPunct/>
                    <w:topLinePunct w:val="0"/>
                    <w:bidi w:val="0"/>
                    <w:adjustRightInd w:val="0"/>
                    <w:snapToGrid w:val="0"/>
                    <w:spacing w:before="0" w:beforeAutospacing="0" w:after="0" w:afterAutospacing="0" w:line="276" w:lineRule="auto"/>
                    <w:ind w:left="0" w:right="0"/>
                    <w:jc w:val="center"/>
                    <w:textAlignment w:val="center"/>
                    <w:rPr>
                      <w:rFonts w:hint="default" w:ascii="Times New Roman" w:hAnsi="Times New Roman" w:eastAsia="宋体" w:cs="Times New Roman"/>
                      <w:i w:val="0"/>
                      <w:iCs w:val="0"/>
                      <w:color w:val="000000"/>
                      <w:kern w:val="0"/>
                      <w:sz w:val="18"/>
                      <w:szCs w:val="18"/>
                      <w:highlight w:val="none"/>
                      <w:u w:val="none"/>
                      <w:lang w:val="en-US" w:eastAsia="zh-CN" w:bidi="ar"/>
                    </w:rPr>
                  </w:pPr>
                </w:p>
              </w:tc>
            </w:tr>
            <w:tr w14:paraId="6D6A537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0" w:hRule="atLeast"/>
              </w:trPr>
              <w:tc>
                <w:tcPr>
                  <w:tcW w:w="235" w:type="pct"/>
                  <w:tcBorders>
                    <w:tl2br w:val="nil"/>
                    <w:tr2bl w:val="nil"/>
                  </w:tcBorders>
                  <w:shd w:val="clear" w:color="auto" w:fill="FFFFFF"/>
                  <w:noWrap/>
                  <w:vAlign w:val="center"/>
                </w:tcPr>
                <w:p w14:paraId="0CFAF604">
                  <w:pPr>
                    <w:keepNext w:val="0"/>
                    <w:keepLines w:val="0"/>
                    <w:pageBreakBefore w:val="0"/>
                    <w:widowControl/>
                    <w:suppressLineNumbers w:val="0"/>
                    <w:kinsoku/>
                    <w:wordWrap/>
                    <w:overflowPunct/>
                    <w:topLinePunct w:val="0"/>
                    <w:bidi w:val="0"/>
                    <w:adjustRightInd w:val="0"/>
                    <w:snapToGrid w:val="0"/>
                    <w:spacing w:before="0" w:beforeAutospacing="0" w:after="0" w:afterAutospacing="0" w:line="276" w:lineRule="auto"/>
                    <w:ind w:left="0" w:right="0"/>
                    <w:jc w:val="center"/>
                    <w:textAlignment w:val="center"/>
                    <w:rPr>
                      <w:rFonts w:hint="default" w:ascii="Times New Roman" w:hAnsi="Times New Roman" w:eastAsia="宋体" w:cs="Times New Roman"/>
                      <w:bCs/>
                      <w:i w:val="0"/>
                      <w:iCs w:val="0"/>
                      <w:color w:val="000000"/>
                      <w:kern w:val="0"/>
                      <w:sz w:val="18"/>
                      <w:szCs w:val="18"/>
                      <w:highlight w:val="none"/>
                      <w:u w:val="none"/>
                      <w:lang w:val="en-US" w:eastAsia="zh-CN" w:bidi="ar"/>
                    </w:rPr>
                  </w:pPr>
                  <w:r>
                    <w:rPr>
                      <w:rFonts w:hint="default" w:ascii="Times New Roman" w:hAnsi="Times New Roman" w:eastAsia="宋体" w:cs="Times New Roman"/>
                      <w:bCs/>
                      <w:i w:val="0"/>
                      <w:iCs w:val="0"/>
                      <w:color w:val="000000"/>
                      <w:kern w:val="0"/>
                      <w:sz w:val="18"/>
                      <w:szCs w:val="18"/>
                      <w:highlight w:val="none"/>
                      <w:u w:val="none"/>
                      <w:lang w:val="en-US" w:eastAsia="zh-CN" w:bidi="ar"/>
                    </w:rPr>
                    <w:t>87</w:t>
                  </w:r>
                </w:p>
              </w:tc>
              <w:tc>
                <w:tcPr>
                  <w:tcW w:w="349" w:type="pct"/>
                  <w:vMerge w:val="continue"/>
                  <w:tcBorders>
                    <w:tl2br w:val="nil"/>
                    <w:tr2bl w:val="nil"/>
                  </w:tcBorders>
                  <w:shd w:val="clear" w:color="auto" w:fill="FFFFFF"/>
                  <w:vAlign w:val="center"/>
                </w:tcPr>
                <w:p w14:paraId="30D1D861">
                  <w:pPr>
                    <w:pStyle w:val="120"/>
                    <w:keepNext w:val="0"/>
                    <w:keepLines w:val="0"/>
                    <w:pageBreakBefore w:val="0"/>
                    <w:framePr w:hSpace="0" w:wrap="auto" w:vAnchor="margin" w:hAnchor="text" w:xAlign="left" w:yAlign="inline"/>
                    <w:suppressLineNumbers w:val="0"/>
                    <w:kinsoku/>
                    <w:wordWrap/>
                    <w:overflowPunct/>
                    <w:topLinePunct w:val="0"/>
                    <w:bidi w:val="0"/>
                    <w:adjustRightInd w:val="0"/>
                    <w:snapToGrid w:val="0"/>
                    <w:spacing w:before="0" w:beforeAutospacing="0" w:after="0" w:afterAutospacing="0" w:line="276" w:lineRule="auto"/>
                    <w:ind w:left="0" w:right="0"/>
                    <w:jc w:val="center"/>
                    <w:rPr>
                      <w:rFonts w:hint="default" w:ascii="Times New Roman" w:hAnsi="Times New Roman" w:eastAsia="宋体" w:cs="Times New Roman"/>
                      <w:bCs/>
                      <w:i w:val="0"/>
                      <w:iCs w:val="0"/>
                      <w:color w:val="000000"/>
                      <w:kern w:val="0"/>
                      <w:sz w:val="18"/>
                      <w:szCs w:val="18"/>
                      <w:highlight w:val="none"/>
                      <w:u w:val="none"/>
                      <w:lang w:val="en-US" w:eastAsia="zh-CN" w:bidi="ar"/>
                    </w:rPr>
                  </w:pPr>
                </w:p>
              </w:tc>
              <w:tc>
                <w:tcPr>
                  <w:tcW w:w="1015" w:type="pct"/>
                  <w:tcBorders>
                    <w:tl2br w:val="nil"/>
                    <w:tr2bl w:val="nil"/>
                  </w:tcBorders>
                  <w:shd w:val="clear" w:color="auto" w:fill="FFFFFF"/>
                  <w:vAlign w:val="center"/>
                </w:tcPr>
                <w:p w14:paraId="6A7F4CF1">
                  <w:pPr>
                    <w:keepNext w:val="0"/>
                    <w:keepLines w:val="0"/>
                    <w:pageBreakBefore w:val="0"/>
                    <w:widowControl/>
                    <w:suppressLineNumbers w:val="0"/>
                    <w:kinsoku/>
                    <w:wordWrap/>
                    <w:overflowPunct/>
                    <w:topLinePunct w:val="0"/>
                    <w:bidi w:val="0"/>
                    <w:adjustRightInd w:val="0"/>
                    <w:snapToGrid w:val="0"/>
                    <w:spacing w:before="0" w:beforeAutospacing="0" w:after="0" w:afterAutospacing="0" w:line="276" w:lineRule="auto"/>
                    <w:ind w:left="0" w:right="0"/>
                    <w:jc w:val="center"/>
                    <w:textAlignment w:val="center"/>
                    <w:rPr>
                      <w:rFonts w:hint="default" w:ascii="Times New Roman" w:hAnsi="Times New Roman" w:eastAsia="宋体" w:cs="Times New Roman"/>
                      <w:bCs/>
                      <w:i w:val="0"/>
                      <w:iCs w:val="0"/>
                      <w:color w:val="000000"/>
                      <w:kern w:val="0"/>
                      <w:sz w:val="18"/>
                      <w:szCs w:val="18"/>
                      <w:highlight w:val="none"/>
                      <w:u w:val="none"/>
                      <w:lang w:val="en-US" w:eastAsia="zh-CN" w:bidi="ar"/>
                    </w:rPr>
                  </w:pPr>
                  <w:r>
                    <w:rPr>
                      <w:rFonts w:hint="default" w:ascii="Times New Roman" w:hAnsi="Times New Roman" w:eastAsia="宋体" w:cs="Times New Roman"/>
                      <w:bCs/>
                      <w:i w:val="0"/>
                      <w:iCs w:val="0"/>
                      <w:color w:val="000000"/>
                      <w:kern w:val="0"/>
                      <w:sz w:val="18"/>
                      <w:szCs w:val="18"/>
                      <w:highlight w:val="none"/>
                      <w:u w:val="none"/>
                      <w:lang w:val="en-US" w:eastAsia="zh-CN" w:bidi="ar"/>
                    </w:rPr>
                    <w:t>超声仪</w:t>
                  </w:r>
                </w:p>
              </w:tc>
              <w:tc>
                <w:tcPr>
                  <w:tcW w:w="1436" w:type="pct"/>
                  <w:tcBorders>
                    <w:tl2br w:val="nil"/>
                    <w:tr2bl w:val="nil"/>
                  </w:tcBorders>
                  <w:shd w:val="clear" w:color="auto" w:fill="FFFFFF"/>
                  <w:noWrap/>
                  <w:vAlign w:val="center"/>
                </w:tcPr>
                <w:p w14:paraId="6B649C98">
                  <w:pPr>
                    <w:keepNext w:val="0"/>
                    <w:keepLines w:val="0"/>
                    <w:pageBreakBefore w:val="0"/>
                    <w:suppressLineNumbers w:val="0"/>
                    <w:kinsoku/>
                    <w:wordWrap/>
                    <w:overflowPunct/>
                    <w:topLinePunct w:val="0"/>
                    <w:bidi w:val="0"/>
                    <w:adjustRightInd w:val="0"/>
                    <w:snapToGrid w:val="0"/>
                    <w:spacing w:before="0" w:beforeAutospacing="0" w:after="0" w:afterAutospacing="0" w:line="276" w:lineRule="auto"/>
                    <w:ind w:left="0" w:right="0"/>
                    <w:jc w:val="center"/>
                    <w:rPr>
                      <w:rFonts w:hint="default" w:ascii="Times New Roman" w:hAnsi="Times New Roman" w:eastAsia="宋体" w:cs="Times New Roman"/>
                      <w:bCs/>
                      <w:i w:val="0"/>
                      <w:iCs w:val="0"/>
                      <w:color w:val="000000"/>
                      <w:kern w:val="0"/>
                      <w:sz w:val="18"/>
                      <w:szCs w:val="18"/>
                      <w:highlight w:val="none"/>
                      <w:u w:val="none"/>
                      <w:lang w:val="en-US" w:eastAsia="zh-CN" w:bidi="ar"/>
                    </w:rPr>
                  </w:pPr>
                  <w:r>
                    <w:rPr>
                      <w:rFonts w:hint="default" w:ascii="Times New Roman" w:hAnsi="Times New Roman" w:eastAsia="宋体" w:cs="Times New Roman"/>
                      <w:bCs/>
                      <w:i w:val="0"/>
                      <w:iCs w:val="0"/>
                      <w:color w:val="000000"/>
                      <w:kern w:val="0"/>
                      <w:sz w:val="18"/>
                      <w:szCs w:val="18"/>
                      <w:highlight w:val="none"/>
                      <w:u w:val="none"/>
                      <w:lang w:val="en-US" w:eastAsia="zh-CN" w:bidi="ar"/>
                    </w:rPr>
                    <w:t>/</w:t>
                  </w:r>
                </w:p>
              </w:tc>
              <w:tc>
                <w:tcPr>
                  <w:tcW w:w="284" w:type="pct"/>
                  <w:tcBorders>
                    <w:tl2br w:val="nil"/>
                    <w:tr2bl w:val="nil"/>
                  </w:tcBorders>
                  <w:shd w:val="clear" w:color="auto" w:fill="FFFFFF"/>
                  <w:vAlign w:val="center"/>
                </w:tcPr>
                <w:p w14:paraId="26609908">
                  <w:pPr>
                    <w:keepNext w:val="0"/>
                    <w:keepLines w:val="0"/>
                    <w:pageBreakBefore w:val="0"/>
                    <w:widowControl/>
                    <w:suppressLineNumbers w:val="0"/>
                    <w:kinsoku/>
                    <w:wordWrap/>
                    <w:overflowPunct/>
                    <w:topLinePunct w:val="0"/>
                    <w:bidi w:val="0"/>
                    <w:adjustRightInd w:val="0"/>
                    <w:snapToGrid w:val="0"/>
                    <w:spacing w:before="0" w:beforeAutospacing="0" w:after="0" w:afterAutospacing="0" w:line="276" w:lineRule="auto"/>
                    <w:ind w:left="0" w:right="0"/>
                    <w:jc w:val="center"/>
                    <w:textAlignment w:val="center"/>
                    <w:rPr>
                      <w:rFonts w:hint="default" w:ascii="Times New Roman" w:hAnsi="Times New Roman" w:eastAsia="宋体" w:cs="Times New Roman"/>
                      <w:bCs/>
                      <w:i w:val="0"/>
                      <w:iCs w:val="0"/>
                      <w:color w:val="000000"/>
                      <w:kern w:val="0"/>
                      <w:sz w:val="18"/>
                      <w:szCs w:val="18"/>
                      <w:highlight w:val="none"/>
                      <w:u w:val="none"/>
                      <w:lang w:val="en-US" w:eastAsia="zh-CN" w:bidi="ar"/>
                    </w:rPr>
                  </w:pPr>
                  <w:r>
                    <w:rPr>
                      <w:rFonts w:hint="default" w:ascii="Times New Roman" w:hAnsi="Times New Roman" w:eastAsia="宋体" w:cs="Times New Roman"/>
                      <w:bCs/>
                      <w:i w:val="0"/>
                      <w:iCs w:val="0"/>
                      <w:color w:val="000000"/>
                      <w:kern w:val="0"/>
                      <w:sz w:val="18"/>
                      <w:szCs w:val="18"/>
                      <w:highlight w:val="none"/>
                      <w:u w:val="none"/>
                      <w:lang w:val="en-US" w:eastAsia="zh-CN" w:bidi="ar"/>
                    </w:rPr>
                    <w:t>20</w:t>
                  </w:r>
                </w:p>
              </w:tc>
              <w:tc>
                <w:tcPr>
                  <w:tcW w:w="1678" w:type="pct"/>
                  <w:vMerge w:val="continue"/>
                  <w:tcBorders>
                    <w:tl2br w:val="nil"/>
                    <w:tr2bl w:val="nil"/>
                  </w:tcBorders>
                  <w:shd w:val="clear" w:color="auto" w:fill="FFFFFF"/>
                  <w:vAlign w:val="center"/>
                </w:tcPr>
                <w:p w14:paraId="567D970C">
                  <w:pPr>
                    <w:keepNext w:val="0"/>
                    <w:keepLines w:val="0"/>
                    <w:pageBreakBefore w:val="0"/>
                    <w:widowControl/>
                    <w:suppressLineNumbers w:val="0"/>
                    <w:kinsoku/>
                    <w:wordWrap/>
                    <w:overflowPunct/>
                    <w:topLinePunct w:val="0"/>
                    <w:bidi w:val="0"/>
                    <w:adjustRightInd w:val="0"/>
                    <w:snapToGrid w:val="0"/>
                    <w:spacing w:before="0" w:beforeAutospacing="0" w:after="0" w:afterAutospacing="0" w:line="276" w:lineRule="auto"/>
                    <w:ind w:left="0" w:right="0"/>
                    <w:jc w:val="center"/>
                    <w:textAlignment w:val="center"/>
                    <w:rPr>
                      <w:rFonts w:hint="default" w:ascii="Times New Roman" w:hAnsi="Times New Roman" w:eastAsia="宋体" w:cs="Times New Roman"/>
                      <w:i w:val="0"/>
                      <w:iCs w:val="0"/>
                      <w:color w:val="000000"/>
                      <w:kern w:val="0"/>
                      <w:sz w:val="18"/>
                      <w:szCs w:val="18"/>
                      <w:highlight w:val="none"/>
                      <w:u w:val="none"/>
                      <w:lang w:val="en-US" w:eastAsia="zh-CN" w:bidi="ar"/>
                    </w:rPr>
                  </w:pPr>
                </w:p>
              </w:tc>
            </w:tr>
            <w:tr w14:paraId="67F9969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FFFFFF"/>
                <w:tblCellMar>
                  <w:top w:w="0" w:type="dxa"/>
                  <w:left w:w="28" w:type="dxa"/>
                  <w:bottom w:w="0" w:type="dxa"/>
                  <w:right w:w="28" w:type="dxa"/>
                </w:tblCellMar>
              </w:tblPrEx>
              <w:trPr>
                <w:trHeight w:val="0" w:hRule="atLeast"/>
              </w:trPr>
              <w:tc>
                <w:tcPr>
                  <w:tcW w:w="235" w:type="pct"/>
                  <w:tcBorders>
                    <w:tl2br w:val="nil"/>
                    <w:tr2bl w:val="nil"/>
                  </w:tcBorders>
                  <w:shd w:val="clear" w:color="auto" w:fill="FFFFFF"/>
                  <w:noWrap/>
                  <w:vAlign w:val="center"/>
                </w:tcPr>
                <w:p w14:paraId="285F0418">
                  <w:pPr>
                    <w:keepNext w:val="0"/>
                    <w:keepLines w:val="0"/>
                    <w:pageBreakBefore w:val="0"/>
                    <w:widowControl/>
                    <w:suppressLineNumbers w:val="0"/>
                    <w:kinsoku/>
                    <w:wordWrap/>
                    <w:overflowPunct/>
                    <w:topLinePunct w:val="0"/>
                    <w:bidi w:val="0"/>
                    <w:adjustRightInd w:val="0"/>
                    <w:snapToGrid w:val="0"/>
                    <w:spacing w:before="0" w:beforeAutospacing="0" w:after="0" w:afterAutospacing="0" w:line="276" w:lineRule="auto"/>
                    <w:ind w:left="0" w:right="0"/>
                    <w:jc w:val="center"/>
                    <w:textAlignment w:val="center"/>
                    <w:rPr>
                      <w:rFonts w:hint="default" w:ascii="Times New Roman" w:hAnsi="Times New Roman" w:eastAsia="宋体" w:cs="Times New Roman"/>
                      <w:bCs/>
                      <w:i w:val="0"/>
                      <w:iCs w:val="0"/>
                      <w:color w:val="000000"/>
                      <w:kern w:val="0"/>
                      <w:sz w:val="18"/>
                      <w:szCs w:val="18"/>
                      <w:highlight w:val="none"/>
                      <w:u w:val="none"/>
                      <w:lang w:val="en-US" w:eastAsia="zh-CN" w:bidi="ar"/>
                    </w:rPr>
                  </w:pPr>
                  <w:r>
                    <w:rPr>
                      <w:rFonts w:hint="default" w:ascii="Times New Roman" w:hAnsi="Times New Roman" w:eastAsia="宋体" w:cs="Times New Roman"/>
                      <w:bCs/>
                      <w:i w:val="0"/>
                      <w:iCs w:val="0"/>
                      <w:color w:val="000000"/>
                      <w:kern w:val="0"/>
                      <w:sz w:val="18"/>
                      <w:szCs w:val="18"/>
                      <w:highlight w:val="none"/>
                      <w:u w:val="none"/>
                      <w:lang w:val="en-US" w:eastAsia="zh-CN" w:bidi="ar"/>
                    </w:rPr>
                    <w:t>88</w:t>
                  </w:r>
                </w:p>
              </w:tc>
              <w:tc>
                <w:tcPr>
                  <w:tcW w:w="349" w:type="pct"/>
                  <w:vMerge w:val="continue"/>
                  <w:tcBorders>
                    <w:tl2br w:val="nil"/>
                    <w:tr2bl w:val="nil"/>
                  </w:tcBorders>
                  <w:shd w:val="clear" w:color="auto" w:fill="FFFFFF"/>
                  <w:vAlign w:val="center"/>
                </w:tcPr>
                <w:p w14:paraId="39C40424">
                  <w:pPr>
                    <w:pStyle w:val="120"/>
                    <w:keepNext w:val="0"/>
                    <w:keepLines w:val="0"/>
                    <w:pageBreakBefore w:val="0"/>
                    <w:framePr w:hSpace="0" w:wrap="auto" w:vAnchor="margin" w:hAnchor="text" w:xAlign="left" w:yAlign="inline"/>
                    <w:suppressLineNumbers w:val="0"/>
                    <w:kinsoku/>
                    <w:wordWrap/>
                    <w:overflowPunct/>
                    <w:topLinePunct w:val="0"/>
                    <w:bidi w:val="0"/>
                    <w:adjustRightInd w:val="0"/>
                    <w:snapToGrid w:val="0"/>
                    <w:spacing w:before="0" w:beforeAutospacing="0" w:after="0" w:afterAutospacing="0" w:line="276" w:lineRule="auto"/>
                    <w:ind w:left="0" w:right="0"/>
                    <w:jc w:val="center"/>
                    <w:rPr>
                      <w:rFonts w:hint="default" w:ascii="Times New Roman" w:hAnsi="Times New Roman" w:eastAsia="宋体" w:cs="Times New Roman"/>
                      <w:bCs/>
                      <w:i w:val="0"/>
                      <w:iCs w:val="0"/>
                      <w:color w:val="000000"/>
                      <w:kern w:val="0"/>
                      <w:sz w:val="18"/>
                      <w:szCs w:val="18"/>
                      <w:highlight w:val="none"/>
                      <w:u w:val="none"/>
                      <w:lang w:val="en-US" w:eastAsia="zh-CN" w:bidi="ar"/>
                    </w:rPr>
                  </w:pPr>
                </w:p>
              </w:tc>
              <w:tc>
                <w:tcPr>
                  <w:tcW w:w="1015" w:type="pct"/>
                  <w:tcBorders>
                    <w:tl2br w:val="nil"/>
                    <w:tr2bl w:val="nil"/>
                  </w:tcBorders>
                  <w:shd w:val="clear" w:color="auto" w:fill="FFFFFF"/>
                  <w:vAlign w:val="center"/>
                </w:tcPr>
                <w:p w14:paraId="47E6418F">
                  <w:pPr>
                    <w:keepNext w:val="0"/>
                    <w:keepLines w:val="0"/>
                    <w:pageBreakBefore w:val="0"/>
                    <w:widowControl/>
                    <w:suppressLineNumbers w:val="0"/>
                    <w:kinsoku/>
                    <w:wordWrap/>
                    <w:overflowPunct/>
                    <w:topLinePunct w:val="0"/>
                    <w:bidi w:val="0"/>
                    <w:adjustRightInd w:val="0"/>
                    <w:snapToGrid w:val="0"/>
                    <w:spacing w:before="0" w:beforeAutospacing="0" w:after="0" w:afterAutospacing="0" w:line="276" w:lineRule="auto"/>
                    <w:ind w:left="0" w:right="0"/>
                    <w:jc w:val="center"/>
                    <w:textAlignment w:val="center"/>
                    <w:rPr>
                      <w:rFonts w:hint="default" w:ascii="Times New Roman" w:hAnsi="Times New Roman" w:eastAsia="宋体" w:cs="Times New Roman"/>
                      <w:bCs/>
                      <w:i w:val="0"/>
                      <w:iCs w:val="0"/>
                      <w:color w:val="000000"/>
                      <w:kern w:val="0"/>
                      <w:sz w:val="18"/>
                      <w:szCs w:val="18"/>
                      <w:highlight w:val="none"/>
                      <w:u w:val="none"/>
                      <w:lang w:val="en-US" w:eastAsia="zh-CN" w:bidi="ar"/>
                    </w:rPr>
                  </w:pPr>
                  <w:r>
                    <w:rPr>
                      <w:rFonts w:hint="default" w:ascii="Times New Roman" w:hAnsi="Times New Roman" w:eastAsia="宋体" w:cs="Times New Roman"/>
                      <w:bCs/>
                      <w:i w:val="0"/>
                      <w:iCs w:val="0"/>
                      <w:color w:val="000000"/>
                      <w:kern w:val="0"/>
                      <w:sz w:val="18"/>
                      <w:szCs w:val="18"/>
                      <w:highlight w:val="none"/>
                      <w:u w:val="none"/>
                      <w:lang w:val="en-US" w:eastAsia="zh-CN" w:bidi="ar"/>
                    </w:rPr>
                    <w:t>动态水蒸气吸附仪</w:t>
                  </w:r>
                </w:p>
              </w:tc>
              <w:tc>
                <w:tcPr>
                  <w:tcW w:w="1436" w:type="pct"/>
                  <w:tcBorders>
                    <w:tl2br w:val="nil"/>
                    <w:tr2bl w:val="nil"/>
                  </w:tcBorders>
                  <w:shd w:val="clear" w:color="auto" w:fill="FFFFFF"/>
                  <w:noWrap/>
                  <w:vAlign w:val="center"/>
                </w:tcPr>
                <w:p w14:paraId="6BC89E59">
                  <w:pPr>
                    <w:keepNext w:val="0"/>
                    <w:keepLines w:val="0"/>
                    <w:pageBreakBefore w:val="0"/>
                    <w:suppressLineNumbers w:val="0"/>
                    <w:kinsoku/>
                    <w:wordWrap/>
                    <w:overflowPunct/>
                    <w:topLinePunct w:val="0"/>
                    <w:bidi w:val="0"/>
                    <w:adjustRightInd w:val="0"/>
                    <w:snapToGrid w:val="0"/>
                    <w:spacing w:before="0" w:beforeAutospacing="0" w:after="0" w:afterAutospacing="0" w:line="276" w:lineRule="auto"/>
                    <w:ind w:left="0" w:right="0"/>
                    <w:jc w:val="center"/>
                    <w:rPr>
                      <w:rFonts w:hint="default" w:ascii="Times New Roman" w:hAnsi="Times New Roman" w:eastAsia="宋体" w:cs="Times New Roman"/>
                      <w:bCs/>
                      <w:i w:val="0"/>
                      <w:iCs w:val="0"/>
                      <w:color w:val="000000"/>
                      <w:kern w:val="0"/>
                      <w:sz w:val="18"/>
                      <w:szCs w:val="18"/>
                      <w:highlight w:val="none"/>
                      <w:u w:val="none"/>
                      <w:lang w:val="en-US" w:eastAsia="zh-CN" w:bidi="ar"/>
                    </w:rPr>
                  </w:pPr>
                  <w:r>
                    <w:rPr>
                      <w:rFonts w:hint="default" w:ascii="Times New Roman" w:hAnsi="Times New Roman" w:eastAsia="宋体" w:cs="Times New Roman"/>
                      <w:bCs/>
                      <w:i w:val="0"/>
                      <w:iCs w:val="0"/>
                      <w:color w:val="000000"/>
                      <w:kern w:val="0"/>
                      <w:sz w:val="18"/>
                      <w:szCs w:val="18"/>
                      <w:highlight w:val="none"/>
                      <w:u w:val="none"/>
                      <w:lang w:val="en-US" w:eastAsia="zh-CN" w:bidi="ar"/>
                    </w:rPr>
                    <w:t>/</w:t>
                  </w:r>
                </w:p>
              </w:tc>
              <w:tc>
                <w:tcPr>
                  <w:tcW w:w="284" w:type="pct"/>
                  <w:tcBorders>
                    <w:tl2br w:val="nil"/>
                    <w:tr2bl w:val="nil"/>
                  </w:tcBorders>
                  <w:shd w:val="clear" w:color="auto" w:fill="FFFFFF"/>
                  <w:vAlign w:val="center"/>
                </w:tcPr>
                <w:p w14:paraId="1F76AC64">
                  <w:pPr>
                    <w:keepNext w:val="0"/>
                    <w:keepLines w:val="0"/>
                    <w:pageBreakBefore w:val="0"/>
                    <w:widowControl/>
                    <w:suppressLineNumbers w:val="0"/>
                    <w:kinsoku/>
                    <w:wordWrap/>
                    <w:overflowPunct/>
                    <w:topLinePunct w:val="0"/>
                    <w:bidi w:val="0"/>
                    <w:adjustRightInd w:val="0"/>
                    <w:snapToGrid w:val="0"/>
                    <w:spacing w:before="0" w:beforeAutospacing="0" w:after="0" w:afterAutospacing="0" w:line="276" w:lineRule="auto"/>
                    <w:ind w:left="0" w:right="0"/>
                    <w:jc w:val="center"/>
                    <w:textAlignment w:val="center"/>
                    <w:rPr>
                      <w:rFonts w:hint="default" w:ascii="Times New Roman" w:hAnsi="Times New Roman" w:eastAsia="宋体" w:cs="Times New Roman"/>
                      <w:bCs/>
                      <w:i w:val="0"/>
                      <w:iCs w:val="0"/>
                      <w:color w:val="000000"/>
                      <w:kern w:val="0"/>
                      <w:sz w:val="18"/>
                      <w:szCs w:val="18"/>
                      <w:highlight w:val="none"/>
                      <w:u w:val="none"/>
                      <w:lang w:val="en-US" w:eastAsia="zh-CN" w:bidi="ar"/>
                    </w:rPr>
                  </w:pPr>
                  <w:r>
                    <w:rPr>
                      <w:rFonts w:hint="default" w:ascii="Times New Roman" w:hAnsi="Times New Roman" w:eastAsia="宋体" w:cs="Times New Roman"/>
                      <w:bCs/>
                      <w:i w:val="0"/>
                      <w:iCs w:val="0"/>
                      <w:color w:val="000000"/>
                      <w:kern w:val="0"/>
                      <w:sz w:val="18"/>
                      <w:szCs w:val="18"/>
                      <w:highlight w:val="none"/>
                      <w:u w:val="none"/>
                      <w:lang w:val="en-US" w:eastAsia="zh-CN" w:bidi="ar"/>
                    </w:rPr>
                    <w:t>1</w:t>
                  </w:r>
                </w:p>
              </w:tc>
              <w:tc>
                <w:tcPr>
                  <w:tcW w:w="1678" w:type="pct"/>
                  <w:vMerge w:val="restart"/>
                  <w:tcBorders>
                    <w:tl2br w:val="nil"/>
                    <w:tr2bl w:val="nil"/>
                  </w:tcBorders>
                  <w:shd w:val="clear" w:color="auto" w:fill="FFFFFF"/>
                  <w:vAlign w:val="center"/>
                </w:tcPr>
                <w:p w14:paraId="67EB2293">
                  <w:pPr>
                    <w:keepNext w:val="0"/>
                    <w:keepLines w:val="0"/>
                    <w:pageBreakBefore w:val="0"/>
                    <w:widowControl/>
                    <w:suppressLineNumbers w:val="0"/>
                    <w:kinsoku/>
                    <w:wordWrap/>
                    <w:overflowPunct/>
                    <w:topLinePunct w:val="0"/>
                    <w:bidi w:val="0"/>
                    <w:adjustRightInd w:val="0"/>
                    <w:snapToGrid w:val="0"/>
                    <w:spacing w:before="0" w:beforeAutospacing="0" w:after="0" w:afterAutospacing="0" w:line="276" w:lineRule="auto"/>
                    <w:ind w:left="0" w:right="0"/>
                    <w:jc w:val="center"/>
                    <w:textAlignment w:val="center"/>
                    <w:rPr>
                      <w:rFonts w:hint="default" w:ascii="Times New Roman" w:hAnsi="Times New Roman" w:eastAsia="宋体" w:cs="Times New Roman"/>
                      <w:i w:val="0"/>
                      <w:iCs w:val="0"/>
                      <w:color w:val="000000"/>
                      <w:kern w:val="0"/>
                      <w:sz w:val="18"/>
                      <w:szCs w:val="18"/>
                      <w:highlight w:val="none"/>
                      <w:u w:val="none"/>
                      <w:lang w:val="en-US" w:eastAsia="zh-CN" w:bidi="ar"/>
                    </w:rPr>
                  </w:pPr>
                  <w:r>
                    <w:rPr>
                      <w:rFonts w:hint="default" w:ascii="Times New Roman" w:hAnsi="Times New Roman" w:eastAsia="宋体" w:cs="Times New Roman"/>
                      <w:i w:val="0"/>
                      <w:iCs w:val="0"/>
                      <w:color w:val="000000"/>
                      <w:kern w:val="0"/>
                      <w:sz w:val="18"/>
                      <w:szCs w:val="18"/>
                      <w:highlight w:val="none"/>
                      <w:u w:val="none"/>
                      <w:lang w:val="en-US" w:eastAsia="zh-CN" w:bidi="ar"/>
                    </w:rPr>
                    <w:t>分析设备</w:t>
                  </w:r>
                </w:p>
              </w:tc>
            </w:tr>
            <w:tr w14:paraId="158735C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FFFFFF"/>
                <w:tblCellMar>
                  <w:top w:w="0" w:type="dxa"/>
                  <w:left w:w="28" w:type="dxa"/>
                  <w:bottom w:w="0" w:type="dxa"/>
                  <w:right w:w="28" w:type="dxa"/>
                </w:tblCellMar>
              </w:tblPrEx>
              <w:trPr>
                <w:trHeight w:val="0" w:hRule="atLeast"/>
              </w:trPr>
              <w:tc>
                <w:tcPr>
                  <w:tcW w:w="235" w:type="pct"/>
                  <w:tcBorders>
                    <w:tl2br w:val="nil"/>
                    <w:tr2bl w:val="nil"/>
                  </w:tcBorders>
                  <w:shd w:val="clear" w:color="auto" w:fill="FFFFFF"/>
                  <w:noWrap/>
                  <w:vAlign w:val="center"/>
                </w:tcPr>
                <w:p w14:paraId="6D6563C8">
                  <w:pPr>
                    <w:keepNext w:val="0"/>
                    <w:keepLines w:val="0"/>
                    <w:pageBreakBefore w:val="0"/>
                    <w:widowControl/>
                    <w:suppressLineNumbers w:val="0"/>
                    <w:kinsoku/>
                    <w:wordWrap/>
                    <w:overflowPunct/>
                    <w:topLinePunct w:val="0"/>
                    <w:bidi w:val="0"/>
                    <w:adjustRightInd w:val="0"/>
                    <w:snapToGrid w:val="0"/>
                    <w:spacing w:before="0" w:beforeAutospacing="0" w:after="0" w:afterAutospacing="0" w:line="276" w:lineRule="auto"/>
                    <w:ind w:left="0" w:right="0"/>
                    <w:jc w:val="center"/>
                    <w:textAlignment w:val="center"/>
                    <w:rPr>
                      <w:rFonts w:hint="default" w:ascii="Times New Roman" w:hAnsi="Times New Roman" w:eastAsia="宋体" w:cs="Times New Roman"/>
                      <w:bCs/>
                      <w:i w:val="0"/>
                      <w:iCs w:val="0"/>
                      <w:color w:val="000000"/>
                      <w:kern w:val="0"/>
                      <w:sz w:val="18"/>
                      <w:szCs w:val="18"/>
                      <w:highlight w:val="none"/>
                      <w:u w:val="none"/>
                      <w:lang w:val="en-US" w:eastAsia="zh-CN" w:bidi="ar"/>
                    </w:rPr>
                  </w:pPr>
                  <w:r>
                    <w:rPr>
                      <w:rFonts w:hint="default" w:ascii="Times New Roman" w:hAnsi="Times New Roman" w:eastAsia="宋体" w:cs="Times New Roman"/>
                      <w:bCs/>
                      <w:i w:val="0"/>
                      <w:iCs w:val="0"/>
                      <w:color w:val="000000"/>
                      <w:kern w:val="0"/>
                      <w:sz w:val="18"/>
                      <w:szCs w:val="18"/>
                      <w:highlight w:val="none"/>
                      <w:u w:val="none"/>
                      <w:lang w:val="en-US" w:eastAsia="zh-CN" w:bidi="ar"/>
                    </w:rPr>
                    <w:t>89</w:t>
                  </w:r>
                </w:p>
              </w:tc>
              <w:tc>
                <w:tcPr>
                  <w:tcW w:w="349" w:type="pct"/>
                  <w:vMerge w:val="continue"/>
                  <w:tcBorders>
                    <w:tl2br w:val="nil"/>
                    <w:tr2bl w:val="nil"/>
                  </w:tcBorders>
                  <w:shd w:val="clear" w:color="auto" w:fill="FFFFFF"/>
                  <w:vAlign w:val="center"/>
                </w:tcPr>
                <w:p w14:paraId="345802CA">
                  <w:pPr>
                    <w:pStyle w:val="120"/>
                    <w:keepNext w:val="0"/>
                    <w:keepLines w:val="0"/>
                    <w:pageBreakBefore w:val="0"/>
                    <w:framePr w:hSpace="0" w:wrap="auto" w:vAnchor="margin" w:hAnchor="text" w:xAlign="left" w:yAlign="inline"/>
                    <w:suppressLineNumbers w:val="0"/>
                    <w:kinsoku/>
                    <w:wordWrap/>
                    <w:overflowPunct/>
                    <w:topLinePunct w:val="0"/>
                    <w:bidi w:val="0"/>
                    <w:adjustRightInd w:val="0"/>
                    <w:snapToGrid w:val="0"/>
                    <w:spacing w:before="0" w:beforeAutospacing="0" w:after="0" w:afterAutospacing="0" w:line="276" w:lineRule="auto"/>
                    <w:ind w:left="0" w:right="0"/>
                    <w:jc w:val="center"/>
                    <w:rPr>
                      <w:rFonts w:hint="default" w:ascii="Times New Roman" w:hAnsi="Times New Roman" w:eastAsia="宋体" w:cs="Times New Roman"/>
                      <w:bCs/>
                      <w:i w:val="0"/>
                      <w:iCs w:val="0"/>
                      <w:color w:val="000000"/>
                      <w:kern w:val="0"/>
                      <w:sz w:val="18"/>
                      <w:szCs w:val="18"/>
                      <w:highlight w:val="none"/>
                      <w:u w:val="none"/>
                      <w:lang w:val="en-US" w:eastAsia="zh-CN" w:bidi="ar"/>
                    </w:rPr>
                  </w:pPr>
                </w:p>
              </w:tc>
              <w:tc>
                <w:tcPr>
                  <w:tcW w:w="1015" w:type="pct"/>
                  <w:tcBorders>
                    <w:tl2br w:val="nil"/>
                    <w:tr2bl w:val="nil"/>
                  </w:tcBorders>
                  <w:shd w:val="clear" w:color="auto" w:fill="FFFFFF"/>
                  <w:vAlign w:val="center"/>
                </w:tcPr>
                <w:p w14:paraId="5E7EAEE6">
                  <w:pPr>
                    <w:keepNext w:val="0"/>
                    <w:keepLines w:val="0"/>
                    <w:pageBreakBefore w:val="0"/>
                    <w:widowControl/>
                    <w:suppressLineNumbers w:val="0"/>
                    <w:kinsoku/>
                    <w:wordWrap/>
                    <w:overflowPunct/>
                    <w:topLinePunct w:val="0"/>
                    <w:bidi w:val="0"/>
                    <w:adjustRightInd w:val="0"/>
                    <w:snapToGrid w:val="0"/>
                    <w:spacing w:before="0" w:beforeAutospacing="0" w:after="0" w:afterAutospacing="0" w:line="276" w:lineRule="auto"/>
                    <w:ind w:left="0" w:right="0"/>
                    <w:jc w:val="center"/>
                    <w:textAlignment w:val="center"/>
                    <w:rPr>
                      <w:rFonts w:hint="default" w:ascii="Times New Roman" w:hAnsi="Times New Roman" w:eastAsia="宋体" w:cs="Times New Roman"/>
                      <w:bCs/>
                      <w:i w:val="0"/>
                      <w:iCs w:val="0"/>
                      <w:color w:val="000000"/>
                      <w:kern w:val="0"/>
                      <w:sz w:val="18"/>
                      <w:szCs w:val="18"/>
                      <w:highlight w:val="none"/>
                      <w:u w:val="none"/>
                      <w:lang w:val="en-US" w:eastAsia="zh-CN" w:bidi="ar"/>
                    </w:rPr>
                  </w:pPr>
                  <w:r>
                    <w:rPr>
                      <w:rFonts w:hint="default" w:ascii="Times New Roman" w:hAnsi="Times New Roman" w:eastAsia="宋体" w:cs="Times New Roman"/>
                      <w:bCs/>
                      <w:i w:val="0"/>
                      <w:iCs w:val="0"/>
                      <w:color w:val="000000"/>
                      <w:kern w:val="0"/>
                      <w:sz w:val="18"/>
                      <w:szCs w:val="18"/>
                      <w:highlight w:val="none"/>
                      <w:u w:val="none"/>
                      <w:lang w:val="en-US" w:eastAsia="zh-CN" w:bidi="ar"/>
                    </w:rPr>
                    <w:t>激光粒度仪</w:t>
                  </w:r>
                </w:p>
              </w:tc>
              <w:tc>
                <w:tcPr>
                  <w:tcW w:w="1436" w:type="pct"/>
                  <w:tcBorders>
                    <w:tl2br w:val="nil"/>
                    <w:tr2bl w:val="nil"/>
                  </w:tcBorders>
                  <w:shd w:val="clear" w:color="auto" w:fill="FFFFFF"/>
                  <w:noWrap/>
                  <w:vAlign w:val="center"/>
                </w:tcPr>
                <w:p w14:paraId="0518B393">
                  <w:pPr>
                    <w:keepNext w:val="0"/>
                    <w:keepLines w:val="0"/>
                    <w:pageBreakBefore w:val="0"/>
                    <w:suppressLineNumbers w:val="0"/>
                    <w:kinsoku/>
                    <w:wordWrap/>
                    <w:overflowPunct/>
                    <w:topLinePunct w:val="0"/>
                    <w:bidi w:val="0"/>
                    <w:adjustRightInd w:val="0"/>
                    <w:snapToGrid w:val="0"/>
                    <w:spacing w:before="0" w:beforeAutospacing="0" w:after="0" w:afterAutospacing="0" w:line="276" w:lineRule="auto"/>
                    <w:ind w:left="0" w:right="0"/>
                    <w:jc w:val="center"/>
                    <w:rPr>
                      <w:rFonts w:hint="default" w:ascii="Times New Roman" w:hAnsi="Times New Roman" w:eastAsia="宋体" w:cs="Times New Roman"/>
                      <w:bCs/>
                      <w:i w:val="0"/>
                      <w:iCs w:val="0"/>
                      <w:color w:val="000000"/>
                      <w:kern w:val="0"/>
                      <w:sz w:val="18"/>
                      <w:szCs w:val="18"/>
                      <w:highlight w:val="none"/>
                      <w:u w:val="none"/>
                      <w:lang w:val="en-US" w:eastAsia="zh-CN" w:bidi="ar"/>
                    </w:rPr>
                  </w:pPr>
                  <w:r>
                    <w:rPr>
                      <w:rFonts w:hint="default" w:ascii="Times New Roman" w:hAnsi="Times New Roman" w:eastAsia="宋体" w:cs="Times New Roman"/>
                      <w:bCs/>
                      <w:i w:val="0"/>
                      <w:iCs w:val="0"/>
                      <w:color w:val="000000"/>
                      <w:kern w:val="0"/>
                      <w:sz w:val="18"/>
                      <w:szCs w:val="18"/>
                      <w:highlight w:val="none"/>
                      <w:u w:val="none"/>
                      <w:lang w:val="en-US" w:eastAsia="zh-CN" w:bidi="ar"/>
                    </w:rPr>
                    <w:t>/</w:t>
                  </w:r>
                </w:p>
              </w:tc>
              <w:tc>
                <w:tcPr>
                  <w:tcW w:w="284" w:type="pct"/>
                  <w:tcBorders>
                    <w:tl2br w:val="nil"/>
                    <w:tr2bl w:val="nil"/>
                  </w:tcBorders>
                  <w:shd w:val="clear" w:color="auto" w:fill="FFFFFF"/>
                  <w:vAlign w:val="center"/>
                </w:tcPr>
                <w:p w14:paraId="08901BD0">
                  <w:pPr>
                    <w:keepNext w:val="0"/>
                    <w:keepLines w:val="0"/>
                    <w:pageBreakBefore w:val="0"/>
                    <w:widowControl/>
                    <w:suppressLineNumbers w:val="0"/>
                    <w:kinsoku/>
                    <w:wordWrap/>
                    <w:overflowPunct/>
                    <w:topLinePunct w:val="0"/>
                    <w:bidi w:val="0"/>
                    <w:adjustRightInd w:val="0"/>
                    <w:snapToGrid w:val="0"/>
                    <w:spacing w:before="0" w:beforeAutospacing="0" w:after="0" w:afterAutospacing="0" w:line="276" w:lineRule="auto"/>
                    <w:ind w:left="0" w:right="0"/>
                    <w:jc w:val="center"/>
                    <w:textAlignment w:val="center"/>
                    <w:rPr>
                      <w:rFonts w:hint="default" w:ascii="Times New Roman" w:hAnsi="Times New Roman" w:eastAsia="宋体" w:cs="Times New Roman"/>
                      <w:bCs/>
                      <w:i w:val="0"/>
                      <w:iCs w:val="0"/>
                      <w:color w:val="000000"/>
                      <w:kern w:val="0"/>
                      <w:sz w:val="18"/>
                      <w:szCs w:val="18"/>
                      <w:highlight w:val="none"/>
                      <w:u w:val="none"/>
                      <w:lang w:val="en-US" w:eastAsia="zh-CN" w:bidi="ar"/>
                    </w:rPr>
                  </w:pPr>
                  <w:r>
                    <w:rPr>
                      <w:rFonts w:hint="default" w:ascii="Times New Roman" w:hAnsi="Times New Roman" w:eastAsia="宋体" w:cs="Times New Roman"/>
                      <w:bCs/>
                      <w:i w:val="0"/>
                      <w:iCs w:val="0"/>
                      <w:color w:val="000000"/>
                      <w:kern w:val="0"/>
                      <w:sz w:val="18"/>
                      <w:szCs w:val="18"/>
                      <w:highlight w:val="none"/>
                      <w:u w:val="none"/>
                      <w:lang w:val="en-US" w:eastAsia="zh-CN" w:bidi="ar"/>
                    </w:rPr>
                    <w:t>2</w:t>
                  </w:r>
                </w:p>
              </w:tc>
              <w:tc>
                <w:tcPr>
                  <w:tcW w:w="1678" w:type="pct"/>
                  <w:vMerge w:val="continue"/>
                  <w:tcBorders>
                    <w:tl2br w:val="nil"/>
                    <w:tr2bl w:val="nil"/>
                  </w:tcBorders>
                  <w:shd w:val="clear" w:color="auto" w:fill="FFFFFF"/>
                  <w:vAlign w:val="center"/>
                </w:tcPr>
                <w:p w14:paraId="3373353C">
                  <w:pPr>
                    <w:keepNext w:val="0"/>
                    <w:keepLines w:val="0"/>
                    <w:pageBreakBefore w:val="0"/>
                    <w:widowControl/>
                    <w:suppressLineNumbers w:val="0"/>
                    <w:kinsoku/>
                    <w:wordWrap/>
                    <w:overflowPunct/>
                    <w:topLinePunct w:val="0"/>
                    <w:bidi w:val="0"/>
                    <w:adjustRightInd w:val="0"/>
                    <w:snapToGrid w:val="0"/>
                    <w:spacing w:before="0" w:beforeAutospacing="0" w:after="0" w:afterAutospacing="0" w:line="276" w:lineRule="auto"/>
                    <w:ind w:left="0" w:right="0"/>
                    <w:jc w:val="center"/>
                    <w:textAlignment w:val="center"/>
                    <w:rPr>
                      <w:rFonts w:hint="default" w:ascii="Times New Roman" w:hAnsi="Times New Roman" w:eastAsia="宋体" w:cs="Times New Roman"/>
                      <w:i w:val="0"/>
                      <w:iCs w:val="0"/>
                      <w:color w:val="000000"/>
                      <w:kern w:val="0"/>
                      <w:sz w:val="18"/>
                      <w:szCs w:val="18"/>
                      <w:highlight w:val="none"/>
                      <w:u w:val="none"/>
                      <w:lang w:val="en-US" w:eastAsia="zh-CN" w:bidi="ar"/>
                    </w:rPr>
                  </w:pPr>
                </w:p>
              </w:tc>
            </w:tr>
            <w:tr w14:paraId="6EA9F0B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FFFFFF"/>
                <w:tblCellMar>
                  <w:top w:w="0" w:type="dxa"/>
                  <w:left w:w="28" w:type="dxa"/>
                  <w:bottom w:w="0" w:type="dxa"/>
                  <w:right w:w="28" w:type="dxa"/>
                </w:tblCellMar>
              </w:tblPrEx>
              <w:trPr>
                <w:trHeight w:val="0" w:hRule="atLeast"/>
              </w:trPr>
              <w:tc>
                <w:tcPr>
                  <w:tcW w:w="235" w:type="pct"/>
                  <w:tcBorders>
                    <w:tl2br w:val="nil"/>
                    <w:tr2bl w:val="nil"/>
                  </w:tcBorders>
                  <w:shd w:val="clear" w:color="auto" w:fill="FFFFFF"/>
                  <w:noWrap/>
                  <w:vAlign w:val="center"/>
                </w:tcPr>
                <w:p w14:paraId="6B38A4E4">
                  <w:pPr>
                    <w:keepNext w:val="0"/>
                    <w:keepLines w:val="0"/>
                    <w:pageBreakBefore w:val="0"/>
                    <w:widowControl/>
                    <w:suppressLineNumbers w:val="0"/>
                    <w:kinsoku/>
                    <w:wordWrap/>
                    <w:overflowPunct/>
                    <w:topLinePunct w:val="0"/>
                    <w:bidi w:val="0"/>
                    <w:adjustRightInd w:val="0"/>
                    <w:snapToGrid w:val="0"/>
                    <w:spacing w:before="0" w:beforeAutospacing="0" w:after="0" w:afterAutospacing="0" w:line="276" w:lineRule="auto"/>
                    <w:ind w:left="0" w:right="0"/>
                    <w:jc w:val="center"/>
                    <w:textAlignment w:val="center"/>
                    <w:rPr>
                      <w:rFonts w:hint="default" w:ascii="Times New Roman" w:hAnsi="Times New Roman" w:eastAsia="宋体" w:cs="Times New Roman"/>
                      <w:bCs/>
                      <w:i w:val="0"/>
                      <w:iCs w:val="0"/>
                      <w:color w:val="000000"/>
                      <w:kern w:val="0"/>
                      <w:sz w:val="18"/>
                      <w:szCs w:val="18"/>
                      <w:highlight w:val="none"/>
                      <w:u w:val="none"/>
                      <w:lang w:val="en-US" w:eastAsia="zh-CN" w:bidi="ar"/>
                    </w:rPr>
                  </w:pPr>
                  <w:r>
                    <w:rPr>
                      <w:rFonts w:hint="default" w:ascii="Times New Roman" w:hAnsi="Times New Roman" w:eastAsia="宋体" w:cs="Times New Roman"/>
                      <w:bCs/>
                      <w:i w:val="0"/>
                      <w:iCs w:val="0"/>
                      <w:color w:val="000000"/>
                      <w:kern w:val="0"/>
                      <w:sz w:val="18"/>
                      <w:szCs w:val="18"/>
                      <w:highlight w:val="none"/>
                      <w:u w:val="none"/>
                      <w:lang w:val="en-US" w:eastAsia="zh-CN" w:bidi="ar"/>
                    </w:rPr>
                    <w:t>90</w:t>
                  </w:r>
                </w:p>
              </w:tc>
              <w:tc>
                <w:tcPr>
                  <w:tcW w:w="349" w:type="pct"/>
                  <w:vMerge w:val="continue"/>
                  <w:tcBorders>
                    <w:tl2br w:val="nil"/>
                    <w:tr2bl w:val="nil"/>
                  </w:tcBorders>
                  <w:shd w:val="clear" w:color="auto" w:fill="FFFFFF"/>
                  <w:vAlign w:val="center"/>
                </w:tcPr>
                <w:p w14:paraId="77D7A278">
                  <w:pPr>
                    <w:pStyle w:val="120"/>
                    <w:keepNext w:val="0"/>
                    <w:keepLines w:val="0"/>
                    <w:pageBreakBefore w:val="0"/>
                    <w:framePr w:hSpace="0" w:wrap="auto" w:vAnchor="margin" w:hAnchor="text" w:xAlign="left" w:yAlign="inline"/>
                    <w:suppressLineNumbers w:val="0"/>
                    <w:kinsoku/>
                    <w:wordWrap/>
                    <w:overflowPunct/>
                    <w:topLinePunct w:val="0"/>
                    <w:bidi w:val="0"/>
                    <w:adjustRightInd w:val="0"/>
                    <w:snapToGrid w:val="0"/>
                    <w:spacing w:before="0" w:beforeAutospacing="0" w:after="0" w:afterAutospacing="0" w:line="276" w:lineRule="auto"/>
                    <w:ind w:left="0" w:right="0"/>
                    <w:jc w:val="center"/>
                    <w:rPr>
                      <w:rFonts w:hint="default" w:ascii="Times New Roman" w:hAnsi="Times New Roman" w:eastAsia="宋体" w:cs="Times New Roman"/>
                      <w:bCs/>
                      <w:i w:val="0"/>
                      <w:iCs w:val="0"/>
                      <w:color w:val="000000"/>
                      <w:kern w:val="0"/>
                      <w:sz w:val="18"/>
                      <w:szCs w:val="18"/>
                      <w:highlight w:val="none"/>
                      <w:u w:val="none"/>
                      <w:lang w:val="en-US" w:eastAsia="zh-CN" w:bidi="ar"/>
                    </w:rPr>
                  </w:pPr>
                </w:p>
              </w:tc>
              <w:tc>
                <w:tcPr>
                  <w:tcW w:w="1015" w:type="pct"/>
                  <w:tcBorders>
                    <w:tl2br w:val="nil"/>
                    <w:tr2bl w:val="nil"/>
                  </w:tcBorders>
                  <w:shd w:val="clear" w:color="auto" w:fill="FFFFFF"/>
                  <w:vAlign w:val="center"/>
                </w:tcPr>
                <w:p w14:paraId="6AC9BD7B">
                  <w:pPr>
                    <w:keepNext w:val="0"/>
                    <w:keepLines w:val="0"/>
                    <w:pageBreakBefore w:val="0"/>
                    <w:widowControl/>
                    <w:suppressLineNumbers w:val="0"/>
                    <w:kinsoku/>
                    <w:wordWrap/>
                    <w:overflowPunct/>
                    <w:topLinePunct w:val="0"/>
                    <w:bidi w:val="0"/>
                    <w:adjustRightInd w:val="0"/>
                    <w:snapToGrid w:val="0"/>
                    <w:spacing w:before="0" w:beforeAutospacing="0" w:after="0" w:afterAutospacing="0" w:line="276" w:lineRule="auto"/>
                    <w:ind w:left="0" w:right="0"/>
                    <w:jc w:val="center"/>
                    <w:textAlignment w:val="center"/>
                    <w:rPr>
                      <w:rFonts w:hint="default" w:ascii="Times New Roman" w:hAnsi="Times New Roman" w:eastAsia="宋体" w:cs="Times New Roman"/>
                      <w:bCs/>
                      <w:i w:val="0"/>
                      <w:iCs w:val="0"/>
                      <w:color w:val="000000"/>
                      <w:kern w:val="0"/>
                      <w:sz w:val="18"/>
                      <w:szCs w:val="18"/>
                      <w:highlight w:val="none"/>
                      <w:u w:val="none"/>
                      <w:lang w:val="en-US" w:eastAsia="zh-CN" w:bidi="ar"/>
                    </w:rPr>
                  </w:pPr>
                  <w:r>
                    <w:rPr>
                      <w:rFonts w:hint="default" w:ascii="Times New Roman" w:hAnsi="Times New Roman" w:eastAsia="宋体" w:cs="Times New Roman"/>
                      <w:bCs/>
                      <w:i w:val="0"/>
                      <w:iCs w:val="0"/>
                      <w:color w:val="000000"/>
                      <w:kern w:val="0"/>
                      <w:sz w:val="18"/>
                      <w:szCs w:val="18"/>
                      <w:highlight w:val="none"/>
                      <w:u w:val="none"/>
                      <w:lang w:val="en-US" w:eastAsia="zh-CN" w:bidi="ar"/>
                    </w:rPr>
                    <w:t>溶出度仪</w:t>
                  </w:r>
                </w:p>
              </w:tc>
              <w:tc>
                <w:tcPr>
                  <w:tcW w:w="1436" w:type="pct"/>
                  <w:tcBorders>
                    <w:tl2br w:val="nil"/>
                    <w:tr2bl w:val="nil"/>
                  </w:tcBorders>
                  <w:shd w:val="clear" w:color="auto" w:fill="FFFFFF"/>
                  <w:noWrap/>
                  <w:vAlign w:val="center"/>
                </w:tcPr>
                <w:p w14:paraId="20F73B3B">
                  <w:pPr>
                    <w:keepNext w:val="0"/>
                    <w:keepLines w:val="0"/>
                    <w:pageBreakBefore w:val="0"/>
                    <w:suppressLineNumbers w:val="0"/>
                    <w:kinsoku/>
                    <w:wordWrap/>
                    <w:overflowPunct/>
                    <w:topLinePunct w:val="0"/>
                    <w:bidi w:val="0"/>
                    <w:adjustRightInd w:val="0"/>
                    <w:snapToGrid w:val="0"/>
                    <w:spacing w:before="0" w:beforeAutospacing="0" w:after="0" w:afterAutospacing="0" w:line="276" w:lineRule="auto"/>
                    <w:ind w:left="0" w:right="0"/>
                    <w:jc w:val="center"/>
                    <w:rPr>
                      <w:rFonts w:hint="default" w:ascii="Times New Roman" w:hAnsi="Times New Roman" w:eastAsia="宋体" w:cs="Times New Roman"/>
                      <w:bCs/>
                      <w:i w:val="0"/>
                      <w:iCs w:val="0"/>
                      <w:color w:val="000000"/>
                      <w:kern w:val="0"/>
                      <w:sz w:val="18"/>
                      <w:szCs w:val="18"/>
                      <w:highlight w:val="none"/>
                      <w:u w:val="none"/>
                      <w:lang w:val="en-US" w:eastAsia="zh-CN" w:bidi="ar"/>
                    </w:rPr>
                  </w:pPr>
                  <w:r>
                    <w:rPr>
                      <w:rFonts w:hint="default" w:ascii="Times New Roman" w:hAnsi="Times New Roman" w:eastAsia="宋体" w:cs="Times New Roman"/>
                      <w:bCs/>
                      <w:i w:val="0"/>
                      <w:iCs w:val="0"/>
                      <w:color w:val="000000"/>
                      <w:kern w:val="0"/>
                      <w:sz w:val="18"/>
                      <w:szCs w:val="18"/>
                      <w:highlight w:val="none"/>
                      <w:u w:val="none"/>
                      <w:lang w:val="en-US" w:eastAsia="zh-CN" w:bidi="ar"/>
                    </w:rPr>
                    <w:t>/</w:t>
                  </w:r>
                </w:p>
              </w:tc>
              <w:tc>
                <w:tcPr>
                  <w:tcW w:w="284" w:type="pct"/>
                  <w:tcBorders>
                    <w:tl2br w:val="nil"/>
                    <w:tr2bl w:val="nil"/>
                  </w:tcBorders>
                  <w:shd w:val="clear" w:color="auto" w:fill="FFFFFF"/>
                  <w:vAlign w:val="center"/>
                </w:tcPr>
                <w:p w14:paraId="14456706">
                  <w:pPr>
                    <w:keepNext w:val="0"/>
                    <w:keepLines w:val="0"/>
                    <w:pageBreakBefore w:val="0"/>
                    <w:widowControl/>
                    <w:suppressLineNumbers w:val="0"/>
                    <w:kinsoku/>
                    <w:wordWrap/>
                    <w:overflowPunct/>
                    <w:topLinePunct w:val="0"/>
                    <w:bidi w:val="0"/>
                    <w:adjustRightInd w:val="0"/>
                    <w:snapToGrid w:val="0"/>
                    <w:spacing w:before="0" w:beforeAutospacing="0" w:after="0" w:afterAutospacing="0" w:line="276" w:lineRule="auto"/>
                    <w:ind w:left="0" w:right="0"/>
                    <w:jc w:val="center"/>
                    <w:textAlignment w:val="center"/>
                    <w:rPr>
                      <w:rFonts w:hint="default" w:ascii="Times New Roman" w:hAnsi="Times New Roman" w:eastAsia="宋体" w:cs="Times New Roman"/>
                      <w:bCs/>
                      <w:i w:val="0"/>
                      <w:iCs w:val="0"/>
                      <w:color w:val="000000"/>
                      <w:kern w:val="0"/>
                      <w:sz w:val="18"/>
                      <w:szCs w:val="18"/>
                      <w:highlight w:val="none"/>
                      <w:u w:val="none"/>
                      <w:lang w:val="en-US" w:eastAsia="zh-CN" w:bidi="ar"/>
                    </w:rPr>
                  </w:pPr>
                  <w:r>
                    <w:rPr>
                      <w:rFonts w:hint="default" w:ascii="Times New Roman" w:hAnsi="Times New Roman" w:eastAsia="宋体" w:cs="Times New Roman"/>
                      <w:bCs/>
                      <w:i w:val="0"/>
                      <w:iCs w:val="0"/>
                      <w:color w:val="000000"/>
                      <w:kern w:val="0"/>
                      <w:sz w:val="18"/>
                      <w:szCs w:val="18"/>
                      <w:highlight w:val="none"/>
                      <w:u w:val="none"/>
                      <w:lang w:val="en-US" w:eastAsia="zh-CN" w:bidi="ar"/>
                    </w:rPr>
                    <w:t>8</w:t>
                  </w:r>
                </w:p>
              </w:tc>
              <w:tc>
                <w:tcPr>
                  <w:tcW w:w="1678" w:type="pct"/>
                  <w:vMerge w:val="continue"/>
                  <w:tcBorders>
                    <w:tl2br w:val="nil"/>
                    <w:tr2bl w:val="nil"/>
                  </w:tcBorders>
                  <w:shd w:val="clear" w:color="auto" w:fill="FFFFFF"/>
                  <w:vAlign w:val="center"/>
                </w:tcPr>
                <w:p w14:paraId="38F1E459">
                  <w:pPr>
                    <w:keepNext w:val="0"/>
                    <w:keepLines w:val="0"/>
                    <w:pageBreakBefore w:val="0"/>
                    <w:widowControl/>
                    <w:suppressLineNumbers w:val="0"/>
                    <w:kinsoku/>
                    <w:wordWrap/>
                    <w:overflowPunct/>
                    <w:topLinePunct w:val="0"/>
                    <w:bidi w:val="0"/>
                    <w:adjustRightInd w:val="0"/>
                    <w:snapToGrid w:val="0"/>
                    <w:spacing w:before="0" w:beforeAutospacing="0" w:after="0" w:afterAutospacing="0" w:line="276" w:lineRule="auto"/>
                    <w:ind w:left="0" w:right="0"/>
                    <w:jc w:val="center"/>
                    <w:textAlignment w:val="center"/>
                    <w:rPr>
                      <w:rFonts w:hint="default" w:ascii="Times New Roman" w:hAnsi="Times New Roman" w:eastAsia="宋体" w:cs="Times New Roman"/>
                      <w:i w:val="0"/>
                      <w:iCs w:val="0"/>
                      <w:color w:val="000000"/>
                      <w:kern w:val="0"/>
                      <w:sz w:val="18"/>
                      <w:szCs w:val="18"/>
                      <w:highlight w:val="none"/>
                      <w:u w:val="none"/>
                      <w:lang w:val="en-US" w:eastAsia="zh-CN" w:bidi="ar"/>
                    </w:rPr>
                  </w:pPr>
                </w:p>
              </w:tc>
            </w:tr>
            <w:tr w14:paraId="7BE852D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FFFFFF"/>
                <w:tblCellMar>
                  <w:top w:w="0" w:type="dxa"/>
                  <w:left w:w="28" w:type="dxa"/>
                  <w:bottom w:w="0" w:type="dxa"/>
                  <w:right w:w="28" w:type="dxa"/>
                </w:tblCellMar>
              </w:tblPrEx>
              <w:trPr>
                <w:trHeight w:val="0" w:hRule="atLeast"/>
              </w:trPr>
              <w:tc>
                <w:tcPr>
                  <w:tcW w:w="235" w:type="pct"/>
                  <w:tcBorders>
                    <w:tl2br w:val="nil"/>
                    <w:tr2bl w:val="nil"/>
                  </w:tcBorders>
                  <w:shd w:val="clear" w:color="auto" w:fill="FFFFFF"/>
                  <w:noWrap/>
                  <w:vAlign w:val="center"/>
                </w:tcPr>
                <w:p w14:paraId="23E0681B">
                  <w:pPr>
                    <w:keepNext w:val="0"/>
                    <w:keepLines w:val="0"/>
                    <w:pageBreakBefore w:val="0"/>
                    <w:widowControl/>
                    <w:suppressLineNumbers w:val="0"/>
                    <w:kinsoku/>
                    <w:wordWrap/>
                    <w:overflowPunct/>
                    <w:topLinePunct w:val="0"/>
                    <w:bidi w:val="0"/>
                    <w:adjustRightInd w:val="0"/>
                    <w:snapToGrid w:val="0"/>
                    <w:spacing w:before="0" w:beforeAutospacing="0" w:after="0" w:afterAutospacing="0" w:line="276" w:lineRule="auto"/>
                    <w:ind w:left="0" w:right="0"/>
                    <w:jc w:val="center"/>
                    <w:textAlignment w:val="center"/>
                    <w:rPr>
                      <w:rFonts w:hint="default" w:ascii="Times New Roman" w:hAnsi="Times New Roman" w:eastAsia="宋体" w:cs="Times New Roman"/>
                      <w:bCs/>
                      <w:i w:val="0"/>
                      <w:iCs w:val="0"/>
                      <w:color w:val="000000"/>
                      <w:kern w:val="0"/>
                      <w:sz w:val="18"/>
                      <w:szCs w:val="18"/>
                      <w:highlight w:val="none"/>
                      <w:u w:val="none"/>
                      <w:lang w:val="en-US" w:eastAsia="zh-CN" w:bidi="ar"/>
                    </w:rPr>
                  </w:pPr>
                  <w:r>
                    <w:rPr>
                      <w:rFonts w:hint="default" w:ascii="Times New Roman" w:hAnsi="Times New Roman" w:eastAsia="宋体" w:cs="Times New Roman"/>
                      <w:bCs/>
                      <w:i w:val="0"/>
                      <w:iCs w:val="0"/>
                      <w:color w:val="000000"/>
                      <w:kern w:val="0"/>
                      <w:sz w:val="18"/>
                      <w:szCs w:val="18"/>
                      <w:highlight w:val="none"/>
                      <w:u w:val="none"/>
                      <w:lang w:val="en-US" w:eastAsia="zh-CN" w:bidi="ar"/>
                    </w:rPr>
                    <w:t>91</w:t>
                  </w:r>
                </w:p>
              </w:tc>
              <w:tc>
                <w:tcPr>
                  <w:tcW w:w="349" w:type="pct"/>
                  <w:vMerge w:val="continue"/>
                  <w:tcBorders>
                    <w:tl2br w:val="nil"/>
                    <w:tr2bl w:val="nil"/>
                  </w:tcBorders>
                  <w:shd w:val="clear" w:color="auto" w:fill="FFFFFF"/>
                  <w:vAlign w:val="center"/>
                </w:tcPr>
                <w:p w14:paraId="56917EE9">
                  <w:pPr>
                    <w:pStyle w:val="120"/>
                    <w:keepNext w:val="0"/>
                    <w:keepLines w:val="0"/>
                    <w:pageBreakBefore w:val="0"/>
                    <w:framePr w:hSpace="0" w:wrap="auto" w:vAnchor="margin" w:hAnchor="text" w:xAlign="left" w:yAlign="inline"/>
                    <w:suppressLineNumbers w:val="0"/>
                    <w:kinsoku/>
                    <w:wordWrap/>
                    <w:overflowPunct/>
                    <w:topLinePunct w:val="0"/>
                    <w:bidi w:val="0"/>
                    <w:adjustRightInd w:val="0"/>
                    <w:snapToGrid w:val="0"/>
                    <w:spacing w:before="0" w:beforeAutospacing="0" w:after="0" w:afterAutospacing="0" w:line="276" w:lineRule="auto"/>
                    <w:ind w:left="0" w:right="0"/>
                    <w:jc w:val="center"/>
                    <w:rPr>
                      <w:rFonts w:hint="default" w:ascii="Times New Roman" w:hAnsi="Times New Roman" w:eastAsia="宋体" w:cs="Times New Roman"/>
                      <w:bCs/>
                      <w:i w:val="0"/>
                      <w:iCs w:val="0"/>
                      <w:color w:val="000000"/>
                      <w:kern w:val="0"/>
                      <w:sz w:val="18"/>
                      <w:szCs w:val="18"/>
                      <w:highlight w:val="none"/>
                      <w:u w:val="none"/>
                      <w:lang w:val="en-US" w:eastAsia="zh-CN" w:bidi="ar"/>
                    </w:rPr>
                  </w:pPr>
                </w:p>
              </w:tc>
              <w:tc>
                <w:tcPr>
                  <w:tcW w:w="1015" w:type="pct"/>
                  <w:tcBorders>
                    <w:tl2br w:val="nil"/>
                    <w:tr2bl w:val="nil"/>
                  </w:tcBorders>
                  <w:shd w:val="clear" w:color="auto" w:fill="FFFFFF"/>
                  <w:vAlign w:val="center"/>
                </w:tcPr>
                <w:p w14:paraId="27BE1A02">
                  <w:pPr>
                    <w:keepNext w:val="0"/>
                    <w:keepLines w:val="0"/>
                    <w:pageBreakBefore w:val="0"/>
                    <w:widowControl/>
                    <w:suppressLineNumbers w:val="0"/>
                    <w:kinsoku/>
                    <w:wordWrap/>
                    <w:overflowPunct/>
                    <w:topLinePunct w:val="0"/>
                    <w:bidi w:val="0"/>
                    <w:adjustRightInd w:val="0"/>
                    <w:snapToGrid w:val="0"/>
                    <w:spacing w:before="0" w:beforeAutospacing="0" w:after="0" w:afterAutospacing="0" w:line="276" w:lineRule="auto"/>
                    <w:ind w:left="0" w:right="0"/>
                    <w:jc w:val="center"/>
                    <w:textAlignment w:val="center"/>
                    <w:rPr>
                      <w:rFonts w:hint="default" w:ascii="Times New Roman" w:hAnsi="Times New Roman" w:eastAsia="宋体" w:cs="Times New Roman"/>
                      <w:bCs/>
                      <w:i w:val="0"/>
                      <w:iCs w:val="0"/>
                      <w:color w:val="000000"/>
                      <w:kern w:val="0"/>
                      <w:sz w:val="18"/>
                      <w:szCs w:val="18"/>
                      <w:highlight w:val="none"/>
                      <w:u w:val="none"/>
                      <w:lang w:val="en-US" w:eastAsia="zh-CN" w:bidi="ar"/>
                    </w:rPr>
                  </w:pPr>
                  <w:r>
                    <w:rPr>
                      <w:rFonts w:hint="default" w:ascii="Times New Roman" w:hAnsi="Times New Roman" w:eastAsia="宋体" w:cs="Times New Roman"/>
                      <w:bCs/>
                      <w:i w:val="0"/>
                      <w:iCs w:val="0"/>
                      <w:color w:val="000000"/>
                      <w:kern w:val="0"/>
                      <w:sz w:val="18"/>
                      <w:szCs w:val="18"/>
                      <w:highlight w:val="none"/>
                      <w:u w:val="none"/>
                      <w:lang w:val="en-US" w:eastAsia="zh-CN" w:bidi="ar"/>
                    </w:rPr>
                    <w:t>全自动纳米溶出系统</w:t>
                  </w:r>
                </w:p>
              </w:tc>
              <w:tc>
                <w:tcPr>
                  <w:tcW w:w="1436" w:type="pct"/>
                  <w:tcBorders>
                    <w:tl2br w:val="nil"/>
                    <w:tr2bl w:val="nil"/>
                  </w:tcBorders>
                  <w:shd w:val="clear" w:color="auto" w:fill="FFFFFF"/>
                  <w:noWrap/>
                  <w:vAlign w:val="center"/>
                </w:tcPr>
                <w:p w14:paraId="771E750A">
                  <w:pPr>
                    <w:keepNext w:val="0"/>
                    <w:keepLines w:val="0"/>
                    <w:pageBreakBefore w:val="0"/>
                    <w:suppressLineNumbers w:val="0"/>
                    <w:kinsoku/>
                    <w:wordWrap/>
                    <w:overflowPunct/>
                    <w:topLinePunct w:val="0"/>
                    <w:bidi w:val="0"/>
                    <w:adjustRightInd w:val="0"/>
                    <w:snapToGrid w:val="0"/>
                    <w:spacing w:before="0" w:beforeAutospacing="0" w:after="0" w:afterAutospacing="0" w:line="276" w:lineRule="auto"/>
                    <w:ind w:left="0" w:right="0"/>
                    <w:jc w:val="center"/>
                    <w:rPr>
                      <w:rFonts w:hint="default" w:ascii="Times New Roman" w:hAnsi="Times New Roman" w:eastAsia="宋体" w:cs="Times New Roman"/>
                      <w:bCs/>
                      <w:i w:val="0"/>
                      <w:iCs w:val="0"/>
                      <w:color w:val="000000"/>
                      <w:kern w:val="0"/>
                      <w:sz w:val="18"/>
                      <w:szCs w:val="18"/>
                      <w:highlight w:val="none"/>
                      <w:u w:val="none"/>
                      <w:lang w:val="en-US" w:eastAsia="zh-CN" w:bidi="ar"/>
                    </w:rPr>
                  </w:pPr>
                  <w:r>
                    <w:rPr>
                      <w:rFonts w:hint="default" w:ascii="Times New Roman" w:hAnsi="Times New Roman" w:eastAsia="宋体" w:cs="Times New Roman"/>
                      <w:bCs/>
                      <w:i w:val="0"/>
                      <w:iCs w:val="0"/>
                      <w:color w:val="000000"/>
                      <w:kern w:val="0"/>
                      <w:sz w:val="18"/>
                      <w:szCs w:val="18"/>
                      <w:highlight w:val="none"/>
                      <w:u w:val="none"/>
                      <w:lang w:val="en-US" w:eastAsia="zh-CN" w:bidi="ar"/>
                    </w:rPr>
                    <w:t>/</w:t>
                  </w:r>
                </w:p>
              </w:tc>
              <w:tc>
                <w:tcPr>
                  <w:tcW w:w="284" w:type="pct"/>
                  <w:tcBorders>
                    <w:tl2br w:val="nil"/>
                    <w:tr2bl w:val="nil"/>
                  </w:tcBorders>
                  <w:shd w:val="clear" w:color="auto" w:fill="FFFFFF"/>
                  <w:vAlign w:val="center"/>
                </w:tcPr>
                <w:p w14:paraId="7CB834B1">
                  <w:pPr>
                    <w:keepNext w:val="0"/>
                    <w:keepLines w:val="0"/>
                    <w:pageBreakBefore w:val="0"/>
                    <w:widowControl/>
                    <w:suppressLineNumbers w:val="0"/>
                    <w:kinsoku/>
                    <w:wordWrap/>
                    <w:overflowPunct/>
                    <w:topLinePunct w:val="0"/>
                    <w:bidi w:val="0"/>
                    <w:adjustRightInd w:val="0"/>
                    <w:snapToGrid w:val="0"/>
                    <w:spacing w:before="0" w:beforeAutospacing="0" w:after="0" w:afterAutospacing="0" w:line="276" w:lineRule="auto"/>
                    <w:ind w:left="0" w:right="0"/>
                    <w:jc w:val="center"/>
                    <w:textAlignment w:val="center"/>
                    <w:rPr>
                      <w:rFonts w:hint="default" w:ascii="Times New Roman" w:hAnsi="Times New Roman" w:eastAsia="宋体" w:cs="Times New Roman"/>
                      <w:bCs/>
                      <w:i w:val="0"/>
                      <w:iCs w:val="0"/>
                      <w:color w:val="000000"/>
                      <w:kern w:val="0"/>
                      <w:sz w:val="18"/>
                      <w:szCs w:val="18"/>
                      <w:highlight w:val="none"/>
                      <w:u w:val="none"/>
                      <w:lang w:val="en-US" w:eastAsia="zh-CN" w:bidi="ar"/>
                    </w:rPr>
                  </w:pPr>
                  <w:r>
                    <w:rPr>
                      <w:rFonts w:hint="default" w:ascii="Times New Roman" w:hAnsi="Times New Roman" w:eastAsia="宋体" w:cs="Times New Roman"/>
                      <w:bCs/>
                      <w:i w:val="0"/>
                      <w:iCs w:val="0"/>
                      <w:color w:val="000000"/>
                      <w:kern w:val="0"/>
                      <w:sz w:val="18"/>
                      <w:szCs w:val="18"/>
                      <w:highlight w:val="none"/>
                      <w:u w:val="none"/>
                      <w:lang w:val="en-US" w:eastAsia="zh-CN" w:bidi="ar"/>
                    </w:rPr>
                    <w:t>2</w:t>
                  </w:r>
                </w:p>
              </w:tc>
              <w:tc>
                <w:tcPr>
                  <w:tcW w:w="1678" w:type="pct"/>
                  <w:vMerge w:val="continue"/>
                  <w:tcBorders>
                    <w:tl2br w:val="nil"/>
                    <w:tr2bl w:val="nil"/>
                  </w:tcBorders>
                  <w:shd w:val="clear" w:color="auto" w:fill="FFFFFF"/>
                  <w:vAlign w:val="center"/>
                </w:tcPr>
                <w:p w14:paraId="1AC0CD92">
                  <w:pPr>
                    <w:keepNext w:val="0"/>
                    <w:keepLines w:val="0"/>
                    <w:pageBreakBefore w:val="0"/>
                    <w:widowControl/>
                    <w:suppressLineNumbers w:val="0"/>
                    <w:kinsoku/>
                    <w:wordWrap/>
                    <w:overflowPunct/>
                    <w:topLinePunct w:val="0"/>
                    <w:bidi w:val="0"/>
                    <w:adjustRightInd w:val="0"/>
                    <w:snapToGrid w:val="0"/>
                    <w:spacing w:before="0" w:beforeAutospacing="0" w:after="0" w:afterAutospacing="0" w:line="276" w:lineRule="auto"/>
                    <w:ind w:left="0" w:right="0"/>
                    <w:jc w:val="center"/>
                    <w:textAlignment w:val="center"/>
                    <w:rPr>
                      <w:rFonts w:hint="default" w:ascii="Times New Roman" w:hAnsi="Times New Roman" w:eastAsia="宋体" w:cs="Times New Roman"/>
                      <w:i w:val="0"/>
                      <w:iCs w:val="0"/>
                      <w:color w:val="000000"/>
                      <w:kern w:val="0"/>
                      <w:sz w:val="18"/>
                      <w:szCs w:val="18"/>
                      <w:highlight w:val="none"/>
                      <w:u w:val="none"/>
                      <w:lang w:val="en-US" w:eastAsia="zh-CN" w:bidi="ar"/>
                    </w:rPr>
                  </w:pPr>
                </w:p>
              </w:tc>
            </w:tr>
            <w:tr w14:paraId="739C1D3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FFFFFF"/>
                <w:tblCellMar>
                  <w:top w:w="0" w:type="dxa"/>
                  <w:left w:w="28" w:type="dxa"/>
                  <w:bottom w:w="0" w:type="dxa"/>
                  <w:right w:w="28" w:type="dxa"/>
                </w:tblCellMar>
              </w:tblPrEx>
              <w:trPr>
                <w:trHeight w:val="0" w:hRule="atLeast"/>
              </w:trPr>
              <w:tc>
                <w:tcPr>
                  <w:tcW w:w="235" w:type="pct"/>
                  <w:tcBorders>
                    <w:tl2br w:val="nil"/>
                    <w:tr2bl w:val="nil"/>
                  </w:tcBorders>
                  <w:shd w:val="clear" w:color="auto" w:fill="FFFFFF"/>
                  <w:noWrap/>
                  <w:vAlign w:val="center"/>
                </w:tcPr>
                <w:p w14:paraId="2391E41A">
                  <w:pPr>
                    <w:keepNext w:val="0"/>
                    <w:keepLines w:val="0"/>
                    <w:pageBreakBefore w:val="0"/>
                    <w:widowControl/>
                    <w:suppressLineNumbers w:val="0"/>
                    <w:kinsoku/>
                    <w:wordWrap/>
                    <w:overflowPunct/>
                    <w:topLinePunct w:val="0"/>
                    <w:bidi w:val="0"/>
                    <w:adjustRightInd w:val="0"/>
                    <w:snapToGrid w:val="0"/>
                    <w:spacing w:before="0" w:beforeAutospacing="0" w:after="0" w:afterAutospacing="0" w:line="276" w:lineRule="auto"/>
                    <w:ind w:left="0" w:right="0"/>
                    <w:jc w:val="center"/>
                    <w:textAlignment w:val="center"/>
                    <w:rPr>
                      <w:rFonts w:hint="default" w:ascii="Times New Roman" w:hAnsi="Times New Roman" w:eastAsia="宋体" w:cs="Times New Roman"/>
                      <w:bCs/>
                      <w:i w:val="0"/>
                      <w:iCs w:val="0"/>
                      <w:color w:val="000000"/>
                      <w:kern w:val="0"/>
                      <w:sz w:val="18"/>
                      <w:szCs w:val="18"/>
                      <w:highlight w:val="none"/>
                      <w:u w:val="none"/>
                      <w:lang w:val="en-US" w:eastAsia="zh-CN" w:bidi="ar"/>
                    </w:rPr>
                  </w:pPr>
                  <w:r>
                    <w:rPr>
                      <w:rFonts w:hint="default" w:ascii="Times New Roman" w:hAnsi="Times New Roman" w:eastAsia="宋体" w:cs="Times New Roman"/>
                      <w:bCs/>
                      <w:i w:val="0"/>
                      <w:iCs w:val="0"/>
                      <w:color w:val="000000"/>
                      <w:kern w:val="0"/>
                      <w:sz w:val="18"/>
                      <w:szCs w:val="18"/>
                      <w:highlight w:val="none"/>
                      <w:u w:val="none"/>
                      <w:lang w:val="en-US" w:eastAsia="zh-CN" w:bidi="ar"/>
                    </w:rPr>
                    <w:t>92</w:t>
                  </w:r>
                </w:p>
              </w:tc>
              <w:tc>
                <w:tcPr>
                  <w:tcW w:w="349" w:type="pct"/>
                  <w:vMerge w:val="continue"/>
                  <w:tcBorders>
                    <w:tl2br w:val="nil"/>
                    <w:tr2bl w:val="nil"/>
                  </w:tcBorders>
                  <w:shd w:val="clear" w:color="auto" w:fill="FFFFFF"/>
                  <w:vAlign w:val="center"/>
                </w:tcPr>
                <w:p w14:paraId="13DF14EC">
                  <w:pPr>
                    <w:pStyle w:val="120"/>
                    <w:keepNext w:val="0"/>
                    <w:keepLines w:val="0"/>
                    <w:pageBreakBefore w:val="0"/>
                    <w:framePr w:hSpace="0" w:wrap="auto" w:vAnchor="margin" w:hAnchor="text" w:xAlign="left" w:yAlign="inline"/>
                    <w:suppressLineNumbers w:val="0"/>
                    <w:kinsoku/>
                    <w:wordWrap/>
                    <w:overflowPunct/>
                    <w:topLinePunct w:val="0"/>
                    <w:bidi w:val="0"/>
                    <w:adjustRightInd w:val="0"/>
                    <w:snapToGrid w:val="0"/>
                    <w:spacing w:before="0" w:beforeAutospacing="0" w:after="0" w:afterAutospacing="0" w:line="276" w:lineRule="auto"/>
                    <w:ind w:left="0" w:right="0"/>
                    <w:jc w:val="center"/>
                    <w:rPr>
                      <w:rFonts w:hint="default" w:ascii="Times New Roman" w:hAnsi="Times New Roman" w:eastAsia="宋体" w:cs="Times New Roman"/>
                      <w:bCs/>
                      <w:i w:val="0"/>
                      <w:iCs w:val="0"/>
                      <w:color w:val="000000"/>
                      <w:kern w:val="0"/>
                      <w:sz w:val="18"/>
                      <w:szCs w:val="18"/>
                      <w:highlight w:val="none"/>
                      <w:u w:val="none"/>
                      <w:lang w:val="en-US" w:eastAsia="zh-CN" w:bidi="ar"/>
                    </w:rPr>
                  </w:pPr>
                </w:p>
              </w:tc>
              <w:tc>
                <w:tcPr>
                  <w:tcW w:w="1015" w:type="pct"/>
                  <w:tcBorders>
                    <w:tl2br w:val="nil"/>
                    <w:tr2bl w:val="nil"/>
                  </w:tcBorders>
                  <w:shd w:val="clear" w:color="auto" w:fill="FFFFFF"/>
                  <w:vAlign w:val="center"/>
                </w:tcPr>
                <w:p w14:paraId="43B96B17">
                  <w:pPr>
                    <w:keepNext w:val="0"/>
                    <w:keepLines w:val="0"/>
                    <w:pageBreakBefore w:val="0"/>
                    <w:widowControl/>
                    <w:suppressLineNumbers w:val="0"/>
                    <w:kinsoku/>
                    <w:wordWrap/>
                    <w:overflowPunct/>
                    <w:topLinePunct w:val="0"/>
                    <w:bidi w:val="0"/>
                    <w:adjustRightInd w:val="0"/>
                    <w:snapToGrid w:val="0"/>
                    <w:spacing w:before="0" w:beforeAutospacing="0" w:after="0" w:afterAutospacing="0" w:line="276" w:lineRule="auto"/>
                    <w:ind w:left="0" w:right="0"/>
                    <w:jc w:val="center"/>
                    <w:textAlignment w:val="center"/>
                    <w:rPr>
                      <w:rFonts w:hint="default" w:ascii="Times New Roman" w:hAnsi="Times New Roman" w:eastAsia="宋体" w:cs="Times New Roman"/>
                      <w:bCs/>
                      <w:i w:val="0"/>
                      <w:iCs w:val="0"/>
                      <w:color w:val="000000"/>
                      <w:kern w:val="0"/>
                      <w:sz w:val="18"/>
                      <w:szCs w:val="18"/>
                      <w:highlight w:val="none"/>
                      <w:u w:val="none"/>
                      <w:lang w:val="en-US" w:eastAsia="zh-CN" w:bidi="ar"/>
                    </w:rPr>
                  </w:pPr>
                  <w:r>
                    <w:rPr>
                      <w:rFonts w:hint="default" w:ascii="Times New Roman" w:hAnsi="Times New Roman" w:eastAsia="宋体" w:cs="Times New Roman"/>
                      <w:bCs/>
                      <w:i w:val="0"/>
                      <w:iCs w:val="0"/>
                      <w:color w:val="000000"/>
                      <w:kern w:val="0"/>
                      <w:sz w:val="18"/>
                      <w:szCs w:val="18"/>
                      <w:highlight w:val="none"/>
                      <w:u w:val="none"/>
                      <w:lang w:val="en-US" w:eastAsia="zh-CN" w:bidi="ar"/>
                    </w:rPr>
                    <w:t>新一代粒子撞击器</w:t>
                  </w:r>
                </w:p>
              </w:tc>
              <w:tc>
                <w:tcPr>
                  <w:tcW w:w="1436" w:type="pct"/>
                  <w:tcBorders>
                    <w:tl2br w:val="nil"/>
                    <w:tr2bl w:val="nil"/>
                  </w:tcBorders>
                  <w:shd w:val="clear" w:color="auto" w:fill="FFFFFF"/>
                  <w:noWrap/>
                  <w:vAlign w:val="center"/>
                </w:tcPr>
                <w:p w14:paraId="6E7D53D8">
                  <w:pPr>
                    <w:keepNext w:val="0"/>
                    <w:keepLines w:val="0"/>
                    <w:pageBreakBefore w:val="0"/>
                    <w:suppressLineNumbers w:val="0"/>
                    <w:kinsoku/>
                    <w:wordWrap/>
                    <w:overflowPunct/>
                    <w:topLinePunct w:val="0"/>
                    <w:bidi w:val="0"/>
                    <w:adjustRightInd w:val="0"/>
                    <w:snapToGrid w:val="0"/>
                    <w:spacing w:before="0" w:beforeAutospacing="0" w:after="0" w:afterAutospacing="0" w:line="276" w:lineRule="auto"/>
                    <w:ind w:left="0" w:right="0"/>
                    <w:jc w:val="center"/>
                    <w:rPr>
                      <w:rFonts w:hint="default" w:ascii="Times New Roman" w:hAnsi="Times New Roman" w:eastAsia="宋体" w:cs="Times New Roman"/>
                      <w:bCs/>
                      <w:i w:val="0"/>
                      <w:iCs w:val="0"/>
                      <w:color w:val="000000"/>
                      <w:kern w:val="0"/>
                      <w:sz w:val="18"/>
                      <w:szCs w:val="18"/>
                      <w:highlight w:val="none"/>
                      <w:u w:val="none"/>
                      <w:lang w:val="en-US" w:eastAsia="zh-CN" w:bidi="ar"/>
                    </w:rPr>
                  </w:pPr>
                  <w:r>
                    <w:rPr>
                      <w:rFonts w:hint="default" w:ascii="Times New Roman" w:hAnsi="Times New Roman" w:eastAsia="宋体" w:cs="Times New Roman"/>
                      <w:bCs/>
                      <w:i w:val="0"/>
                      <w:iCs w:val="0"/>
                      <w:color w:val="000000"/>
                      <w:kern w:val="0"/>
                      <w:sz w:val="18"/>
                      <w:szCs w:val="18"/>
                      <w:highlight w:val="none"/>
                      <w:u w:val="none"/>
                      <w:lang w:val="en-US" w:eastAsia="zh-CN" w:bidi="ar"/>
                    </w:rPr>
                    <w:t>/</w:t>
                  </w:r>
                </w:p>
              </w:tc>
              <w:tc>
                <w:tcPr>
                  <w:tcW w:w="284" w:type="pct"/>
                  <w:tcBorders>
                    <w:tl2br w:val="nil"/>
                    <w:tr2bl w:val="nil"/>
                  </w:tcBorders>
                  <w:shd w:val="clear" w:color="auto" w:fill="FFFFFF"/>
                  <w:vAlign w:val="center"/>
                </w:tcPr>
                <w:p w14:paraId="66872A9B">
                  <w:pPr>
                    <w:keepNext w:val="0"/>
                    <w:keepLines w:val="0"/>
                    <w:pageBreakBefore w:val="0"/>
                    <w:widowControl/>
                    <w:suppressLineNumbers w:val="0"/>
                    <w:kinsoku/>
                    <w:wordWrap/>
                    <w:overflowPunct/>
                    <w:topLinePunct w:val="0"/>
                    <w:bidi w:val="0"/>
                    <w:adjustRightInd w:val="0"/>
                    <w:snapToGrid w:val="0"/>
                    <w:spacing w:before="0" w:beforeAutospacing="0" w:after="0" w:afterAutospacing="0" w:line="276" w:lineRule="auto"/>
                    <w:ind w:left="0" w:right="0"/>
                    <w:jc w:val="center"/>
                    <w:textAlignment w:val="center"/>
                    <w:rPr>
                      <w:rFonts w:hint="default" w:ascii="Times New Roman" w:hAnsi="Times New Roman" w:eastAsia="宋体" w:cs="Times New Roman"/>
                      <w:bCs/>
                      <w:i w:val="0"/>
                      <w:iCs w:val="0"/>
                      <w:color w:val="000000"/>
                      <w:kern w:val="0"/>
                      <w:sz w:val="18"/>
                      <w:szCs w:val="18"/>
                      <w:highlight w:val="none"/>
                      <w:u w:val="none"/>
                      <w:lang w:val="en-US" w:eastAsia="zh-CN" w:bidi="ar"/>
                    </w:rPr>
                  </w:pPr>
                  <w:r>
                    <w:rPr>
                      <w:rFonts w:hint="default" w:ascii="Times New Roman" w:hAnsi="Times New Roman" w:eastAsia="宋体" w:cs="Times New Roman"/>
                      <w:bCs/>
                      <w:i w:val="0"/>
                      <w:iCs w:val="0"/>
                      <w:color w:val="000000"/>
                      <w:kern w:val="0"/>
                      <w:sz w:val="18"/>
                      <w:szCs w:val="18"/>
                      <w:highlight w:val="none"/>
                      <w:u w:val="none"/>
                      <w:lang w:val="en-US" w:eastAsia="zh-CN" w:bidi="ar"/>
                    </w:rPr>
                    <w:t>1</w:t>
                  </w:r>
                </w:p>
              </w:tc>
              <w:tc>
                <w:tcPr>
                  <w:tcW w:w="1678" w:type="pct"/>
                  <w:vMerge w:val="continue"/>
                  <w:tcBorders>
                    <w:tl2br w:val="nil"/>
                    <w:tr2bl w:val="nil"/>
                  </w:tcBorders>
                  <w:shd w:val="clear" w:color="auto" w:fill="FFFFFF"/>
                  <w:vAlign w:val="center"/>
                </w:tcPr>
                <w:p w14:paraId="0453A98B">
                  <w:pPr>
                    <w:keepNext w:val="0"/>
                    <w:keepLines w:val="0"/>
                    <w:pageBreakBefore w:val="0"/>
                    <w:widowControl/>
                    <w:suppressLineNumbers w:val="0"/>
                    <w:kinsoku/>
                    <w:wordWrap/>
                    <w:overflowPunct/>
                    <w:topLinePunct w:val="0"/>
                    <w:bidi w:val="0"/>
                    <w:adjustRightInd w:val="0"/>
                    <w:snapToGrid w:val="0"/>
                    <w:spacing w:before="0" w:beforeAutospacing="0" w:after="0" w:afterAutospacing="0" w:line="276" w:lineRule="auto"/>
                    <w:ind w:left="0" w:right="0"/>
                    <w:jc w:val="center"/>
                    <w:textAlignment w:val="center"/>
                    <w:rPr>
                      <w:rFonts w:hint="default" w:ascii="Times New Roman" w:hAnsi="Times New Roman" w:eastAsia="宋体" w:cs="Times New Roman"/>
                      <w:i w:val="0"/>
                      <w:iCs w:val="0"/>
                      <w:color w:val="000000"/>
                      <w:kern w:val="0"/>
                      <w:sz w:val="18"/>
                      <w:szCs w:val="18"/>
                      <w:highlight w:val="none"/>
                      <w:u w:val="none"/>
                      <w:lang w:val="en-US" w:eastAsia="zh-CN" w:bidi="ar"/>
                    </w:rPr>
                  </w:pPr>
                </w:p>
              </w:tc>
            </w:tr>
            <w:tr w14:paraId="5ECBE8C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FFFFFF"/>
                <w:tblCellMar>
                  <w:top w:w="0" w:type="dxa"/>
                  <w:left w:w="28" w:type="dxa"/>
                  <w:bottom w:w="0" w:type="dxa"/>
                  <w:right w:w="28" w:type="dxa"/>
                </w:tblCellMar>
              </w:tblPrEx>
              <w:trPr>
                <w:trHeight w:val="0" w:hRule="atLeast"/>
              </w:trPr>
              <w:tc>
                <w:tcPr>
                  <w:tcW w:w="235" w:type="pct"/>
                  <w:tcBorders>
                    <w:tl2br w:val="nil"/>
                    <w:tr2bl w:val="nil"/>
                  </w:tcBorders>
                  <w:shd w:val="clear" w:color="auto" w:fill="FFFFFF"/>
                  <w:noWrap/>
                  <w:vAlign w:val="center"/>
                </w:tcPr>
                <w:p w14:paraId="3DE37C2B">
                  <w:pPr>
                    <w:keepNext w:val="0"/>
                    <w:keepLines w:val="0"/>
                    <w:pageBreakBefore w:val="0"/>
                    <w:widowControl/>
                    <w:suppressLineNumbers w:val="0"/>
                    <w:kinsoku/>
                    <w:wordWrap/>
                    <w:overflowPunct/>
                    <w:topLinePunct w:val="0"/>
                    <w:bidi w:val="0"/>
                    <w:adjustRightInd w:val="0"/>
                    <w:snapToGrid w:val="0"/>
                    <w:spacing w:before="0" w:beforeAutospacing="0" w:after="0" w:afterAutospacing="0" w:line="276" w:lineRule="auto"/>
                    <w:ind w:left="0" w:right="0"/>
                    <w:jc w:val="center"/>
                    <w:textAlignment w:val="center"/>
                    <w:rPr>
                      <w:rFonts w:hint="default" w:ascii="Times New Roman" w:hAnsi="Times New Roman" w:eastAsia="宋体" w:cs="Times New Roman"/>
                      <w:bCs/>
                      <w:i w:val="0"/>
                      <w:iCs w:val="0"/>
                      <w:color w:val="000000"/>
                      <w:kern w:val="0"/>
                      <w:sz w:val="18"/>
                      <w:szCs w:val="18"/>
                      <w:highlight w:val="none"/>
                      <w:u w:val="none"/>
                      <w:lang w:val="en-US" w:eastAsia="zh-CN" w:bidi="ar"/>
                    </w:rPr>
                  </w:pPr>
                  <w:r>
                    <w:rPr>
                      <w:rFonts w:hint="default" w:ascii="Times New Roman" w:hAnsi="Times New Roman" w:eastAsia="宋体" w:cs="Times New Roman"/>
                      <w:bCs/>
                      <w:i w:val="0"/>
                      <w:iCs w:val="0"/>
                      <w:color w:val="000000"/>
                      <w:kern w:val="0"/>
                      <w:sz w:val="18"/>
                      <w:szCs w:val="18"/>
                      <w:highlight w:val="none"/>
                      <w:u w:val="none"/>
                      <w:lang w:val="en-US" w:eastAsia="zh-CN" w:bidi="ar"/>
                    </w:rPr>
                    <w:t>93</w:t>
                  </w:r>
                </w:p>
              </w:tc>
              <w:tc>
                <w:tcPr>
                  <w:tcW w:w="349" w:type="pct"/>
                  <w:vMerge w:val="continue"/>
                  <w:tcBorders>
                    <w:tl2br w:val="nil"/>
                    <w:tr2bl w:val="nil"/>
                  </w:tcBorders>
                  <w:shd w:val="clear" w:color="auto" w:fill="FFFFFF"/>
                  <w:vAlign w:val="center"/>
                </w:tcPr>
                <w:p w14:paraId="1EEA5E34">
                  <w:pPr>
                    <w:pStyle w:val="120"/>
                    <w:keepNext w:val="0"/>
                    <w:keepLines w:val="0"/>
                    <w:pageBreakBefore w:val="0"/>
                    <w:framePr w:hSpace="0" w:wrap="auto" w:vAnchor="margin" w:hAnchor="text" w:xAlign="left" w:yAlign="inline"/>
                    <w:suppressLineNumbers w:val="0"/>
                    <w:kinsoku/>
                    <w:wordWrap/>
                    <w:overflowPunct/>
                    <w:topLinePunct w:val="0"/>
                    <w:bidi w:val="0"/>
                    <w:adjustRightInd w:val="0"/>
                    <w:snapToGrid w:val="0"/>
                    <w:spacing w:before="0" w:beforeAutospacing="0" w:after="0" w:afterAutospacing="0" w:line="276" w:lineRule="auto"/>
                    <w:ind w:left="0" w:right="0"/>
                    <w:jc w:val="center"/>
                    <w:rPr>
                      <w:rFonts w:hint="default" w:ascii="Times New Roman" w:hAnsi="Times New Roman" w:eastAsia="宋体" w:cs="Times New Roman"/>
                      <w:bCs/>
                      <w:i w:val="0"/>
                      <w:iCs w:val="0"/>
                      <w:color w:val="000000"/>
                      <w:kern w:val="0"/>
                      <w:sz w:val="18"/>
                      <w:szCs w:val="18"/>
                      <w:highlight w:val="none"/>
                      <w:u w:val="none"/>
                      <w:lang w:val="en-US" w:eastAsia="zh-CN" w:bidi="ar"/>
                    </w:rPr>
                  </w:pPr>
                </w:p>
              </w:tc>
              <w:tc>
                <w:tcPr>
                  <w:tcW w:w="1015" w:type="pct"/>
                  <w:tcBorders>
                    <w:tl2br w:val="nil"/>
                    <w:tr2bl w:val="nil"/>
                  </w:tcBorders>
                  <w:shd w:val="clear" w:color="auto" w:fill="FFFFFF"/>
                  <w:vAlign w:val="center"/>
                </w:tcPr>
                <w:p w14:paraId="3EDEE7A1">
                  <w:pPr>
                    <w:keepNext w:val="0"/>
                    <w:keepLines w:val="0"/>
                    <w:pageBreakBefore w:val="0"/>
                    <w:widowControl/>
                    <w:suppressLineNumbers w:val="0"/>
                    <w:kinsoku/>
                    <w:wordWrap/>
                    <w:overflowPunct/>
                    <w:topLinePunct w:val="0"/>
                    <w:bidi w:val="0"/>
                    <w:adjustRightInd w:val="0"/>
                    <w:snapToGrid w:val="0"/>
                    <w:spacing w:before="0" w:beforeAutospacing="0" w:after="0" w:afterAutospacing="0" w:line="276" w:lineRule="auto"/>
                    <w:ind w:left="0" w:right="0"/>
                    <w:jc w:val="center"/>
                    <w:textAlignment w:val="center"/>
                    <w:rPr>
                      <w:rFonts w:hint="default" w:ascii="Times New Roman" w:hAnsi="Times New Roman" w:eastAsia="宋体" w:cs="Times New Roman"/>
                      <w:bCs/>
                      <w:i w:val="0"/>
                      <w:iCs w:val="0"/>
                      <w:color w:val="000000"/>
                      <w:kern w:val="0"/>
                      <w:sz w:val="18"/>
                      <w:szCs w:val="18"/>
                      <w:highlight w:val="none"/>
                      <w:u w:val="none"/>
                      <w:lang w:val="en-US" w:eastAsia="zh-CN" w:bidi="ar"/>
                    </w:rPr>
                  </w:pPr>
                  <w:r>
                    <w:rPr>
                      <w:rFonts w:hint="default" w:ascii="Times New Roman" w:hAnsi="Times New Roman" w:eastAsia="宋体" w:cs="Times New Roman"/>
                      <w:bCs/>
                      <w:i w:val="0"/>
                      <w:iCs w:val="0"/>
                      <w:color w:val="000000"/>
                      <w:kern w:val="0"/>
                      <w:sz w:val="18"/>
                      <w:szCs w:val="18"/>
                      <w:highlight w:val="none"/>
                      <w:u w:val="none"/>
                      <w:lang w:val="en-US" w:eastAsia="zh-CN" w:bidi="ar"/>
                    </w:rPr>
                    <w:t>吸入制剂激光粒径测定仪</w:t>
                  </w:r>
                </w:p>
              </w:tc>
              <w:tc>
                <w:tcPr>
                  <w:tcW w:w="1436" w:type="pct"/>
                  <w:tcBorders>
                    <w:tl2br w:val="nil"/>
                    <w:tr2bl w:val="nil"/>
                  </w:tcBorders>
                  <w:shd w:val="clear" w:color="auto" w:fill="FFFFFF"/>
                  <w:noWrap/>
                  <w:vAlign w:val="center"/>
                </w:tcPr>
                <w:p w14:paraId="3B4A6ED9">
                  <w:pPr>
                    <w:keepNext w:val="0"/>
                    <w:keepLines w:val="0"/>
                    <w:pageBreakBefore w:val="0"/>
                    <w:suppressLineNumbers w:val="0"/>
                    <w:kinsoku/>
                    <w:wordWrap/>
                    <w:overflowPunct/>
                    <w:topLinePunct w:val="0"/>
                    <w:bidi w:val="0"/>
                    <w:adjustRightInd w:val="0"/>
                    <w:snapToGrid w:val="0"/>
                    <w:spacing w:before="0" w:beforeAutospacing="0" w:after="0" w:afterAutospacing="0" w:line="276" w:lineRule="auto"/>
                    <w:ind w:left="0" w:right="0"/>
                    <w:jc w:val="center"/>
                    <w:rPr>
                      <w:rFonts w:hint="default" w:ascii="Times New Roman" w:hAnsi="Times New Roman" w:eastAsia="宋体" w:cs="Times New Roman"/>
                      <w:bCs/>
                      <w:i w:val="0"/>
                      <w:iCs w:val="0"/>
                      <w:color w:val="000000"/>
                      <w:kern w:val="0"/>
                      <w:sz w:val="18"/>
                      <w:szCs w:val="18"/>
                      <w:highlight w:val="none"/>
                      <w:u w:val="none"/>
                      <w:lang w:val="en-US" w:eastAsia="zh-CN" w:bidi="ar"/>
                    </w:rPr>
                  </w:pPr>
                  <w:r>
                    <w:rPr>
                      <w:rFonts w:hint="default" w:ascii="Times New Roman" w:hAnsi="Times New Roman" w:eastAsia="宋体" w:cs="Times New Roman"/>
                      <w:bCs/>
                      <w:i w:val="0"/>
                      <w:iCs w:val="0"/>
                      <w:color w:val="000000"/>
                      <w:kern w:val="0"/>
                      <w:sz w:val="18"/>
                      <w:szCs w:val="18"/>
                      <w:highlight w:val="none"/>
                      <w:u w:val="none"/>
                      <w:lang w:val="en-US" w:eastAsia="zh-CN" w:bidi="ar"/>
                    </w:rPr>
                    <w:t>/</w:t>
                  </w:r>
                </w:p>
              </w:tc>
              <w:tc>
                <w:tcPr>
                  <w:tcW w:w="284" w:type="pct"/>
                  <w:tcBorders>
                    <w:tl2br w:val="nil"/>
                    <w:tr2bl w:val="nil"/>
                  </w:tcBorders>
                  <w:shd w:val="clear" w:color="auto" w:fill="FFFFFF"/>
                  <w:vAlign w:val="center"/>
                </w:tcPr>
                <w:p w14:paraId="6E2FC7C2">
                  <w:pPr>
                    <w:keepNext w:val="0"/>
                    <w:keepLines w:val="0"/>
                    <w:pageBreakBefore w:val="0"/>
                    <w:widowControl/>
                    <w:suppressLineNumbers w:val="0"/>
                    <w:kinsoku/>
                    <w:wordWrap/>
                    <w:overflowPunct/>
                    <w:topLinePunct w:val="0"/>
                    <w:bidi w:val="0"/>
                    <w:adjustRightInd w:val="0"/>
                    <w:snapToGrid w:val="0"/>
                    <w:spacing w:before="0" w:beforeAutospacing="0" w:after="0" w:afterAutospacing="0" w:line="276" w:lineRule="auto"/>
                    <w:ind w:left="0" w:right="0"/>
                    <w:jc w:val="center"/>
                    <w:textAlignment w:val="center"/>
                    <w:rPr>
                      <w:rFonts w:hint="default" w:ascii="Times New Roman" w:hAnsi="Times New Roman" w:eastAsia="宋体" w:cs="Times New Roman"/>
                      <w:bCs/>
                      <w:i w:val="0"/>
                      <w:iCs w:val="0"/>
                      <w:color w:val="000000"/>
                      <w:kern w:val="0"/>
                      <w:sz w:val="18"/>
                      <w:szCs w:val="18"/>
                      <w:highlight w:val="none"/>
                      <w:u w:val="none"/>
                      <w:lang w:val="en-US" w:eastAsia="zh-CN" w:bidi="ar"/>
                    </w:rPr>
                  </w:pPr>
                  <w:r>
                    <w:rPr>
                      <w:rFonts w:hint="default" w:ascii="Times New Roman" w:hAnsi="Times New Roman" w:eastAsia="宋体" w:cs="Times New Roman"/>
                      <w:bCs/>
                      <w:i w:val="0"/>
                      <w:iCs w:val="0"/>
                      <w:color w:val="000000"/>
                      <w:kern w:val="0"/>
                      <w:sz w:val="18"/>
                      <w:szCs w:val="18"/>
                      <w:highlight w:val="none"/>
                      <w:u w:val="none"/>
                      <w:lang w:val="en-US" w:eastAsia="zh-CN" w:bidi="ar"/>
                    </w:rPr>
                    <w:t>1</w:t>
                  </w:r>
                </w:p>
              </w:tc>
              <w:tc>
                <w:tcPr>
                  <w:tcW w:w="1678" w:type="pct"/>
                  <w:vMerge w:val="continue"/>
                  <w:tcBorders>
                    <w:tl2br w:val="nil"/>
                    <w:tr2bl w:val="nil"/>
                  </w:tcBorders>
                  <w:shd w:val="clear" w:color="auto" w:fill="FFFFFF"/>
                  <w:vAlign w:val="center"/>
                </w:tcPr>
                <w:p w14:paraId="67D2BABE">
                  <w:pPr>
                    <w:keepNext w:val="0"/>
                    <w:keepLines w:val="0"/>
                    <w:pageBreakBefore w:val="0"/>
                    <w:widowControl/>
                    <w:suppressLineNumbers w:val="0"/>
                    <w:kinsoku/>
                    <w:wordWrap/>
                    <w:overflowPunct/>
                    <w:topLinePunct w:val="0"/>
                    <w:bidi w:val="0"/>
                    <w:adjustRightInd w:val="0"/>
                    <w:snapToGrid w:val="0"/>
                    <w:spacing w:before="0" w:beforeAutospacing="0" w:after="0" w:afterAutospacing="0" w:line="276" w:lineRule="auto"/>
                    <w:ind w:left="0" w:right="0"/>
                    <w:jc w:val="center"/>
                    <w:textAlignment w:val="center"/>
                    <w:rPr>
                      <w:rFonts w:hint="default" w:ascii="Times New Roman" w:hAnsi="Times New Roman" w:eastAsia="宋体" w:cs="Times New Roman"/>
                      <w:i w:val="0"/>
                      <w:iCs w:val="0"/>
                      <w:color w:val="000000"/>
                      <w:kern w:val="0"/>
                      <w:sz w:val="18"/>
                      <w:szCs w:val="18"/>
                      <w:highlight w:val="none"/>
                      <w:u w:val="none"/>
                      <w:lang w:val="en-US" w:eastAsia="zh-CN" w:bidi="ar"/>
                    </w:rPr>
                  </w:pPr>
                </w:p>
              </w:tc>
            </w:tr>
            <w:tr w14:paraId="1994D3D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0" w:hRule="atLeast"/>
              </w:trPr>
              <w:tc>
                <w:tcPr>
                  <w:tcW w:w="235" w:type="pct"/>
                  <w:tcBorders>
                    <w:tl2br w:val="nil"/>
                    <w:tr2bl w:val="nil"/>
                  </w:tcBorders>
                  <w:shd w:val="clear" w:color="auto" w:fill="FFFFFF"/>
                  <w:noWrap/>
                  <w:vAlign w:val="center"/>
                </w:tcPr>
                <w:p w14:paraId="407C8874">
                  <w:pPr>
                    <w:keepNext w:val="0"/>
                    <w:keepLines w:val="0"/>
                    <w:pageBreakBefore w:val="0"/>
                    <w:widowControl/>
                    <w:suppressLineNumbers w:val="0"/>
                    <w:kinsoku/>
                    <w:wordWrap/>
                    <w:overflowPunct/>
                    <w:topLinePunct w:val="0"/>
                    <w:bidi w:val="0"/>
                    <w:adjustRightInd w:val="0"/>
                    <w:snapToGrid w:val="0"/>
                    <w:spacing w:before="0" w:beforeAutospacing="0" w:after="0" w:afterAutospacing="0" w:line="276" w:lineRule="auto"/>
                    <w:ind w:left="0" w:right="0"/>
                    <w:jc w:val="center"/>
                    <w:textAlignment w:val="center"/>
                    <w:rPr>
                      <w:rFonts w:hint="default" w:ascii="Times New Roman" w:hAnsi="Times New Roman" w:eastAsia="宋体" w:cs="Times New Roman"/>
                      <w:bCs/>
                      <w:i w:val="0"/>
                      <w:iCs w:val="0"/>
                      <w:color w:val="000000"/>
                      <w:kern w:val="0"/>
                      <w:sz w:val="18"/>
                      <w:szCs w:val="18"/>
                      <w:highlight w:val="none"/>
                      <w:u w:val="none"/>
                      <w:lang w:val="en-US" w:eastAsia="zh-CN" w:bidi="ar"/>
                    </w:rPr>
                  </w:pPr>
                  <w:r>
                    <w:rPr>
                      <w:rFonts w:hint="default" w:ascii="Times New Roman" w:hAnsi="Times New Roman" w:eastAsia="宋体" w:cs="Times New Roman"/>
                      <w:bCs/>
                      <w:i w:val="0"/>
                      <w:iCs w:val="0"/>
                      <w:color w:val="000000"/>
                      <w:kern w:val="0"/>
                      <w:sz w:val="18"/>
                      <w:szCs w:val="18"/>
                      <w:highlight w:val="none"/>
                      <w:u w:val="none"/>
                      <w:lang w:val="en-US" w:eastAsia="zh-CN" w:bidi="ar"/>
                    </w:rPr>
                    <w:t>94</w:t>
                  </w:r>
                </w:p>
              </w:tc>
              <w:tc>
                <w:tcPr>
                  <w:tcW w:w="349" w:type="pct"/>
                  <w:vMerge w:val="continue"/>
                  <w:tcBorders>
                    <w:tl2br w:val="nil"/>
                    <w:tr2bl w:val="nil"/>
                  </w:tcBorders>
                  <w:shd w:val="clear" w:color="auto" w:fill="FFFFFF"/>
                  <w:vAlign w:val="center"/>
                </w:tcPr>
                <w:p w14:paraId="089DC104">
                  <w:pPr>
                    <w:pStyle w:val="120"/>
                    <w:keepNext w:val="0"/>
                    <w:keepLines w:val="0"/>
                    <w:pageBreakBefore w:val="0"/>
                    <w:framePr w:hSpace="0" w:wrap="auto" w:vAnchor="margin" w:hAnchor="text" w:xAlign="left" w:yAlign="inline"/>
                    <w:suppressLineNumbers w:val="0"/>
                    <w:kinsoku/>
                    <w:wordWrap/>
                    <w:overflowPunct/>
                    <w:topLinePunct w:val="0"/>
                    <w:bidi w:val="0"/>
                    <w:adjustRightInd w:val="0"/>
                    <w:snapToGrid w:val="0"/>
                    <w:spacing w:before="0" w:beforeAutospacing="0" w:after="0" w:afterAutospacing="0" w:line="276" w:lineRule="auto"/>
                    <w:ind w:left="0" w:right="0"/>
                    <w:jc w:val="center"/>
                    <w:rPr>
                      <w:rFonts w:hint="default" w:ascii="Times New Roman" w:hAnsi="Times New Roman" w:eastAsia="宋体" w:cs="Times New Roman"/>
                      <w:bCs/>
                      <w:i w:val="0"/>
                      <w:iCs w:val="0"/>
                      <w:color w:val="000000"/>
                      <w:kern w:val="0"/>
                      <w:sz w:val="18"/>
                      <w:szCs w:val="18"/>
                      <w:highlight w:val="none"/>
                      <w:u w:val="none"/>
                      <w:lang w:val="en-US" w:eastAsia="zh-CN" w:bidi="ar"/>
                    </w:rPr>
                  </w:pPr>
                </w:p>
              </w:tc>
              <w:tc>
                <w:tcPr>
                  <w:tcW w:w="1015" w:type="pct"/>
                  <w:tcBorders>
                    <w:tl2br w:val="nil"/>
                    <w:tr2bl w:val="nil"/>
                  </w:tcBorders>
                  <w:shd w:val="clear" w:color="auto" w:fill="FFFFFF"/>
                  <w:vAlign w:val="center"/>
                </w:tcPr>
                <w:p w14:paraId="05D3D03F">
                  <w:pPr>
                    <w:keepNext w:val="0"/>
                    <w:keepLines w:val="0"/>
                    <w:pageBreakBefore w:val="0"/>
                    <w:widowControl/>
                    <w:suppressLineNumbers w:val="0"/>
                    <w:kinsoku/>
                    <w:wordWrap/>
                    <w:overflowPunct/>
                    <w:topLinePunct w:val="0"/>
                    <w:bidi w:val="0"/>
                    <w:adjustRightInd w:val="0"/>
                    <w:snapToGrid w:val="0"/>
                    <w:spacing w:before="0" w:beforeAutospacing="0" w:after="0" w:afterAutospacing="0" w:line="276" w:lineRule="auto"/>
                    <w:ind w:left="0" w:right="0"/>
                    <w:jc w:val="center"/>
                    <w:textAlignment w:val="center"/>
                    <w:rPr>
                      <w:rFonts w:hint="default" w:ascii="Times New Roman" w:hAnsi="Times New Roman" w:eastAsia="宋体" w:cs="Times New Roman"/>
                      <w:bCs/>
                      <w:i w:val="0"/>
                      <w:iCs w:val="0"/>
                      <w:color w:val="000000"/>
                      <w:kern w:val="0"/>
                      <w:sz w:val="18"/>
                      <w:szCs w:val="18"/>
                      <w:highlight w:val="none"/>
                      <w:u w:val="none"/>
                      <w:lang w:val="en-US" w:eastAsia="zh-CN" w:bidi="ar"/>
                    </w:rPr>
                  </w:pPr>
                  <w:r>
                    <w:rPr>
                      <w:rFonts w:hint="default" w:ascii="Times New Roman" w:hAnsi="Times New Roman" w:eastAsia="宋体" w:cs="Times New Roman"/>
                      <w:bCs/>
                      <w:i w:val="0"/>
                      <w:iCs w:val="0"/>
                      <w:color w:val="000000"/>
                      <w:kern w:val="0"/>
                      <w:sz w:val="18"/>
                      <w:szCs w:val="18"/>
                      <w:highlight w:val="none"/>
                      <w:u w:val="none"/>
                      <w:lang w:val="en-US" w:eastAsia="zh-CN" w:bidi="ar"/>
                    </w:rPr>
                    <w:t>垂直电泳转印系统</w:t>
                  </w:r>
                </w:p>
              </w:tc>
              <w:tc>
                <w:tcPr>
                  <w:tcW w:w="1436" w:type="pct"/>
                  <w:tcBorders>
                    <w:tl2br w:val="nil"/>
                    <w:tr2bl w:val="nil"/>
                  </w:tcBorders>
                  <w:shd w:val="clear" w:color="auto" w:fill="FFFFFF"/>
                  <w:noWrap/>
                  <w:vAlign w:val="center"/>
                </w:tcPr>
                <w:p w14:paraId="590D2951">
                  <w:pPr>
                    <w:keepNext w:val="0"/>
                    <w:keepLines w:val="0"/>
                    <w:pageBreakBefore w:val="0"/>
                    <w:suppressLineNumbers w:val="0"/>
                    <w:kinsoku/>
                    <w:wordWrap/>
                    <w:overflowPunct/>
                    <w:topLinePunct w:val="0"/>
                    <w:bidi w:val="0"/>
                    <w:adjustRightInd w:val="0"/>
                    <w:snapToGrid w:val="0"/>
                    <w:spacing w:before="0" w:beforeAutospacing="0" w:after="0" w:afterAutospacing="0" w:line="276" w:lineRule="auto"/>
                    <w:ind w:left="0" w:right="0"/>
                    <w:jc w:val="center"/>
                    <w:rPr>
                      <w:rFonts w:hint="default" w:ascii="Times New Roman" w:hAnsi="Times New Roman" w:eastAsia="宋体" w:cs="Times New Roman"/>
                      <w:bCs/>
                      <w:i w:val="0"/>
                      <w:iCs w:val="0"/>
                      <w:color w:val="000000"/>
                      <w:kern w:val="0"/>
                      <w:sz w:val="18"/>
                      <w:szCs w:val="18"/>
                      <w:highlight w:val="none"/>
                      <w:u w:val="none"/>
                      <w:lang w:val="en-US" w:eastAsia="zh-CN" w:bidi="ar"/>
                    </w:rPr>
                  </w:pPr>
                  <w:r>
                    <w:rPr>
                      <w:rFonts w:hint="default" w:ascii="Times New Roman" w:hAnsi="Times New Roman" w:eastAsia="宋体" w:cs="Times New Roman"/>
                      <w:bCs/>
                      <w:i w:val="0"/>
                      <w:iCs w:val="0"/>
                      <w:color w:val="000000"/>
                      <w:kern w:val="0"/>
                      <w:sz w:val="18"/>
                      <w:szCs w:val="18"/>
                      <w:highlight w:val="none"/>
                      <w:u w:val="none"/>
                      <w:lang w:val="en-US" w:eastAsia="zh-CN" w:bidi="ar"/>
                    </w:rPr>
                    <w:t>/</w:t>
                  </w:r>
                </w:p>
              </w:tc>
              <w:tc>
                <w:tcPr>
                  <w:tcW w:w="284" w:type="pct"/>
                  <w:tcBorders>
                    <w:tl2br w:val="nil"/>
                    <w:tr2bl w:val="nil"/>
                  </w:tcBorders>
                  <w:shd w:val="clear" w:color="auto" w:fill="FFFFFF"/>
                  <w:vAlign w:val="center"/>
                </w:tcPr>
                <w:p w14:paraId="37F5D997">
                  <w:pPr>
                    <w:keepNext w:val="0"/>
                    <w:keepLines w:val="0"/>
                    <w:pageBreakBefore w:val="0"/>
                    <w:widowControl/>
                    <w:suppressLineNumbers w:val="0"/>
                    <w:kinsoku/>
                    <w:wordWrap/>
                    <w:overflowPunct/>
                    <w:topLinePunct w:val="0"/>
                    <w:bidi w:val="0"/>
                    <w:adjustRightInd w:val="0"/>
                    <w:snapToGrid w:val="0"/>
                    <w:spacing w:before="0" w:beforeAutospacing="0" w:after="0" w:afterAutospacing="0" w:line="276" w:lineRule="auto"/>
                    <w:ind w:left="0" w:right="0"/>
                    <w:jc w:val="center"/>
                    <w:textAlignment w:val="center"/>
                    <w:rPr>
                      <w:rFonts w:hint="default" w:ascii="Times New Roman" w:hAnsi="Times New Roman" w:eastAsia="宋体" w:cs="Times New Roman"/>
                      <w:bCs/>
                      <w:i w:val="0"/>
                      <w:iCs w:val="0"/>
                      <w:color w:val="000000"/>
                      <w:kern w:val="0"/>
                      <w:sz w:val="18"/>
                      <w:szCs w:val="18"/>
                      <w:highlight w:val="none"/>
                      <w:u w:val="none"/>
                      <w:lang w:val="en-US" w:eastAsia="zh-CN" w:bidi="ar"/>
                    </w:rPr>
                  </w:pPr>
                  <w:r>
                    <w:rPr>
                      <w:rFonts w:hint="default" w:ascii="Times New Roman" w:hAnsi="Times New Roman" w:eastAsia="宋体" w:cs="Times New Roman"/>
                      <w:bCs/>
                      <w:i w:val="0"/>
                      <w:iCs w:val="0"/>
                      <w:color w:val="000000"/>
                      <w:kern w:val="0"/>
                      <w:sz w:val="18"/>
                      <w:szCs w:val="18"/>
                      <w:highlight w:val="none"/>
                      <w:u w:val="none"/>
                      <w:lang w:val="en-US" w:eastAsia="zh-CN" w:bidi="ar"/>
                    </w:rPr>
                    <w:t>4</w:t>
                  </w:r>
                </w:p>
              </w:tc>
              <w:tc>
                <w:tcPr>
                  <w:tcW w:w="1678" w:type="pct"/>
                  <w:vMerge w:val="continue"/>
                  <w:tcBorders>
                    <w:tl2br w:val="nil"/>
                    <w:tr2bl w:val="nil"/>
                  </w:tcBorders>
                  <w:shd w:val="clear" w:color="auto" w:fill="FFFFFF"/>
                  <w:vAlign w:val="center"/>
                </w:tcPr>
                <w:p w14:paraId="2F913563">
                  <w:pPr>
                    <w:keepNext w:val="0"/>
                    <w:keepLines w:val="0"/>
                    <w:pageBreakBefore w:val="0"/>
                    <w:widowControl/>
                    <w:suppressLineNumbers w:val="0"/>
                    <w:kinsoku/>
                    <w:wordWrap/>
                    <w:overflowPunct/>
                    <w:topLinePunct w:val="0"/>
                    <w:bidi w:val="0"/>
                    <w:adjustRightInd w:val="0"/>
                    <w:snapToGrid w:val="0"/>
                    <w:spacing w:before="0" w:beforeAutospacing="0" w:after="0" w:afterAutospacing="0" w:line="276" w:lineRule="auto"/>
                    <w:ind w:left="0" w:right="0"/>
                    <w:jc w:val="center"/>
                    <w:textAlignment w:val="center"/>
                    <w:rPr>
                      <w:rFonts w:hint="default" w:ascii="Times New Roman" w:hAnsi="Times New Roman" w:eastAsia="宋体" w:cs="Times New Roman"/>
                      <w:i w:val="0"/>
                      <w:iCs w:val="0"/>
                      <w:color w:val="000000"/>
                      <w:kern w:val="0"/>
                      <w:sz w:val="18"/>
                      <w:szCs w:val="18"/>
                      <w:highlight w:val="none"/>
                      <w:u w:val="none"/>
                      <w:lang w:val="en-US" w:eastAsia="zh-CN" w:bidi="ar"/>
                    </w:rPr>
                  </w:pPr>
                </w:p>
              </w:tc>
            </w:tr>
            <w:tr w14:paraId="0769A4B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FFFFFF"/>
                <w:tblCellMar>
                  <w:top w:w="0" w:type="dxa"/>
                  <w:left w:w="28" w:type="dxa"/>
                  <w:bottom w:w="0" w:type="dxa"/>
                  <w:right w:w="28" w:type="dxa"/>
                </w:tblCellMar>
              </w:tblPrEx>
              <w:trPr>
                <w:trHeight w:val="0" w:hRule="atLeast"/>
              </w:trPr>
              <w:tc>
                <w:tcPr>
                  <w:tcW w:w="235" w:type="pct"/>
                  <w:tcBorders>
                    <w:tl2br w:val="nil"/>
                    <w:tr2bl w:val="nil"/>
                  </w:tcBorders>
                  <w:shd w:val="clear" w:color="auto" w:fill="FFFFFF"/>
                  <w:noWrap/>
                  <w:vAlign w:val="center"/>
                </w:tcPr>
                <w:p w14:paraId="3237D318">
                  <w:pPr>
                    <w:keepNext w:val="0"/>
                    <w:keepLines w:val="0"/>
                    <w:pageBreakBefore w:val="0"/>
                    <w:widowControl/>
                    <w:suppressLineNumbers w:val="0"/>
                    <w:kinsoku/>
                    <w:wordWrap/>
                    <w:overflowPunct/>
                    <w:topLinePunct w:val="0"/>
                    <w:bidi w:val="0"/>
                    <w:adjustRightInd w:val="0"/>
                    <w:snapToGrid w:val="0"/>
                    <w:spacing w:before="0" w:beforeAutospacing="0" w:after="0" w:afterAutospacing="0" w:line="276" w:lineRule="auto"/>
                    <w:ind w:left="0" w:right="0"/>
                    <w:jc w:val="center"/>
                    <w:textAlignment w:val="center"/>
                    <w:rPr>
                      <w:rFonts w:hint="default" w:ascii="Times New Roman" w:hAnsi="Times New Roman" w:eastAsia="宋体" w:cs="Times New Roman"/>
                      <w:bCs/>
                      <w:i w:val="0"/>
                      <w:iCs w:val="0"/>
                      <w:color w:val="000000"/>
                      <w:kern w:val="0"/>
                      <w:sz w:val="18"/>
                      <w:szCs w:val="18"/>
                      <w:highlight w:val="none"/>
                      <w:u w:val="none"/>
                      <w:lang w:val="en-US" w:eastAsia="zh-CN" w:bidi="ar"/>
                    </w:rPr>
                  </w:pPr>
                  <w:r>
                    <w:rPr>
                      <w:rFonts w:hint="default" w:ascii="Times New Roman" w:hAnsi="Times New Roman" w:eastAsia="宋体" w:cs="Times New Roman"/>
                      <w:bCs/>
                      <w:i w:val="0"/>
                      <w:iCs w:val="0"/>
                      <w:color w:val="000000"/>
                      <w:kern w:val="0"/>
                      <w:sz w:val="18"/>
                      <w:szCs w:val="18"/>
                      <w:highlight w:val="none"/>
                      <w:u w:val="none"/>
                      <w:lang w:val="en-US" w:eastAsia="zh-CN" w:bidi="ar"/>
                    </w:rPr>
                    <w:t>95</w:t>
                  </w:r>
                </w:p>
              </w:tc>
              <w:tc>
                <w:tcPr>
                  <w:tcW w:w="349" w:type="pct"/>
                  <w:vMerge w:val="continue"/>
                  <w:tcBorders>
                    <w:tl2br w:val="nil"/>
                    <w:tr2bl w:val="nil"/>
                  </w:tcBorders>
                  <w:shd w:val="clear" w:color="auto" w:fill="FFFFFF"/>
                  <w:vAlign w:val="center"/>
                </w:tcPr>
                <w:p w14:paraId="55F1ACDB">
                  <w:pPr>
                    <w:pStyle w:val="120"/>
                    <w:keepNext w:val="0"/>
                    <w:keepLines w:val="0"/>
                    <w:pageBreakBefore w:val="0"/>
                    <w:framePr w:hSpace="0" w:wrap="auto" w:vAnchor="margin" w:hAnchor="text" w:xAlign="left" w:yAlign="inline"/>
                    <w:suppressLineNumbers w:val="0"/>
                    <w:kinsoku/>
                    <w:wordWrap/>
                    <w:overflowPunct/>
                    <w:topLinePunct w:val="0"/>
                    <w:bidi w:val="0"/>
                    <w:adjustRightInd w:val="0"/>
                    <w:snapToGrid w:val="0"/>
                    <w:spacing w:before="0" w:beforeAutospacing="0" w:after="0" w:afterAutospacing="0" w:line="276" w:lineRule="auto"/>
                    <w:ind w:left="0" w:right="0"/>
                    <w:jc w:val="center"/>
                    <w:rPr>
                      <w:rFonts w:hint="default" w:ascii="Times New Roman" w:hAnsi="Times New Roman" w:eastAsia="宋体" w:cs="Times New Roman"/>
                      <w:bCs/>
                      <w:i w:val="0"/>
                      <w:iCs w:val="0"/>
                      <w:color w:val="000000"/>
                      <w:kern w:val="0"/>
                      <w:sz w:val="18"/>
                      <w:szCs w:val="18"/>
                      <w:highlight w:val="none"/>
                      <w:u w:val="none"/>
                      <w:lang w:val="en-US" w:eastAsia="zh-CN" w:bidi="ar"/>
                    </w:rPr>
                  </w:pPr>
                </w:p>
              </w:tc>
              <w:tc>
                <w:tcPr>
                  <w:tcW w:w="1015" w:type="pct"/>
                  <w:tcBorders>
                    <w:tl2br w:val="nil"/>
                    <w:tr2bl w:val="nil"/>
                  </w:tcBorders>
                  <w:shd w:val="clear" w:color="auto" w:fill="FFFFFF"/>
                  <w:vAlign w:val="center"/>
                </w:tcPr>
                <w:p w14:paraId="70425A84">
                  <w:pPr>
                    <w:keepNext w:val="0"/>
                    <w:keepLines w:val="0"/>
                    <w:pageBreakBefore w:val="0"/>
                    <w:widowControl/>
                    <w:suppressLineNumbers w:val="0"/>
                    <w:kinsoku/>
                    <w:wordWrap/>
                    <w:overflowPunct/>
                    <w:topLinePunct w:val="0"/>
                    <w:bidi w:val="0"/>
                    <w:adjustRightInd w:val="0"/>
                    <w:snapToGrid w:val="0"/>
                    <w:spacing w:before="0" w:beforeAutospacing="0" w:after="0" w:afterAutospacing="0" w:line="276" w:lineRule="auto"/>
                    <w:ind w:left="0" w:right="0"/>
                    <w:jc w:val="center"/>
                    <w:textAlignment w:val="center"/>
                    <w:rPr>
                      <w:rFonts w:hint="default" w:ascii="Times New Roman" w:hAnsi="Times New Roman" w:eastAsia="宋体" w:cs="Times New Roman"/>
                      <w:bCs/>
                      <w:i w:val="0"/>
                      <w:iCs w:val="0"/>
                      <w:color w:val="000000"/>
                      <w:kern w:val="0"/>
                      <w:sz w:val="18"/>
                      <w:szCs w:val="18"/>
                      <w:highlight w:val="none"/>
                      <w:u w:val="none"/>
                      <w:lang w:val="en-US" w:eastAsia="zh-CN" w:bidi="ar"/>
                    </w:rPr>
                  </w:pPr>
                  <w:r>
                    <w:rPr>
                      <w:rFonts w:hint="default" w:ascii="Times New Roman" w:hAnsi="Times New Roman" w:eastAsia="宋体" w:cs="Times New Roman"/>
                      <w:bCs/>
                      <w:i w:val="0"/>
                      <w:iCs w:val="0"/>
                      <w:color w:val="000000"/>
                      <w:kern w:val="0"/>
                      <w:sz w:val="18"/>
                      <w:szCs w:val="18"/>
                      <w:highlight w:val="none"/>
                      <w:u w:val="none"/>
                      <w:lang w:val="en-US" w:eastAsia="zh-CN" w:bidi="ar"/>
                    </w:rPr>
                    <w:t>垂直电泳设备</w:t>
                  </w:r>
                </w:p>
              </w:tc>
              <w:tc>
                <w:tcPr>
                  <w:tcW w:w="1436" w:type="pct"/>
                  <w:tcBorders>
                    <w:tl2br w:val="nil"/>
                    <w:tr2bl w:val="nil"/>
                  </w:tcBorders>
                  <w:shd w:val="clear" w:color="auto" w:fill="FFFFFF"/>
                  <w:noWrap/>
                  <w:vAlign w:val="center"/>
                </w:tcPr>
                <w:p w14:paraId="231362A4">
                  <w:pPr>
                    <w:keepNext w:val="0"/>
                    <w:keepLines w:val="0"/>
                    <w:pageBreakBefore w:val="0"/>
                    <w:suppressLineNumbers w:val="0"/>
                    <w:kinsoku/>
                    <w:wordWrap/>
                    <w:overflowPunct/>
                    <w:topLinePunct w:val="0"/>
                    <w:bidi w:val="0"/>
                    <w:adjustRightInd w:val="0"/>
                    <w:snapToGrid w:val="0"/>
                    <w:spacing w:before="0" w:beforeAutospacing="0" w:after="0" w:afterAutospacing="0" w:line="276" w:lineRule="auto"/>
                    <w:ind w:left="0" w:right="0"/>
                    <w:jc w:val="center"/>
                    <w:rPr>
                      <w:rFonts w:hint="default" w:ascii="Times New Roman" w:hAnsi="Times New Roman" w:eastAsia="宋体" w:cs="Times New Roman"/>
                      <w:bCs/>
                      <w:i w:val="0"/>
                      <w:iCs w:val="0"/>
                      <w:color w:val="000000"/>
                      <w:kern w:val="0"/>
                      <w:sz w:val="18"/>
                      <w:szCs w:val="18"/>
                      <w:highlight w:val="none"/>
                      <w:u w:val="none"/>
                      <w:lang w:val="en-US" w:eastAsia="zh-CN" w:bidi="ar"/>
                    </w:rPr>
                  </w:pPr>
                  <w:r>
                    <w:rPr>
                      <w:rFonts w:hint="default" w:ascii="Times New Roman" w:hAnsi="Times New Roman" w:eastAsia="宋体" w:cs="Times New Roman"/>
                      <w:bCs/>
                      <w:i w:val="0"/>
                      <w:iCs w:val="0"/>
                      <w:color w:val="000000"/>
                      <w:kern w:val="0"/>
                      <w:sz w:val="18"/>
                      <w:szCs w:val="18"/>
                      <w:highlight w:val="none"/>
                      <w:u w:val="none"/>
                      <w:lang w:val="en-US" w:eastAsia="zh-CN" w:bidi="ar"/>
                    </w:rPr>
                    <w:t>/</w:t>
                  </w:r>
                </w:p>
              </w:tc>
              <w:tc>
                <w:tcPr>
                  <w:tcW w:w="284" w:type="pct"/>
                  <w:tcBorders>
                    <w:tl2br w:val="nil"/>
                    <w:tr2bl w:val="nil"/>
                  </w:tcBorders>
                  <w:shd w:val="clear" w:color="auto" w:fill="FFFFFF"/>
                  <w:vAlign w:val="center"/>
                </w:tcPr>
                <w:p w14:paraId="2B276C99">
                  <w:pPr>
                    <w:keepNext w:val="0"/>
                    <w:keepLines w:val="0"/>
                    <w:pageBreakBefore w:val="0"/>
                    <w:widowControl/>
                    <w:suppressLineNumbers w:val="0"/>
                    <w:kinsoku/>
                    <w:wordWrap/>
                    <w:overflowPunct/>
                    <w:topLinePunct w:val="0"/>
                    <w:bidi w:val="0"/>
                    <w:adjustRightInd w:val="0"/>
                    <w:snapToGrid w:val="0"/>
                    <w:spacing w:before="0" w:beforeAutospacing="0" w:after="0" w:afterAutospacing="0" w:line="276" w:lineRule="auto"/>
                    <w:ind w:left="0" w:right="0"/>
                    <w:jc w:val="center"/>
                    <w:textAlignment w:val="center"/>
                    <w:rPr>
                      <w:rFonts w:hint="default" w:ascii="Times New Roman" w:hAnsi="Times New Roman" w:eastAsia="宋体" w:cs="Times New Roman"/>
                      <w:bCs/>
                      <w:i w:val="0"/>
                      <w:iCs w:val="0"/>
                      <w:color w:val="000000"/>
                      <w:kern w:val="0"/>
                      <w:sz w:val="18"/>
                      <w:szCs w:val="18"/>
                      <w:highlight w:val="none"/>
                      <w:u w:val="none"/>
                      <w:lang w:val="en-US" w:eastAsia="zh-CN" w:bidi="ar"/>
                    </w:rPr>
                  </w:pPr>
                  <w:r>
                    <w:rPr>
                      <w:rFonts w:hint="default" w:ascii="Times New Roman" w:hAnsi="Times New Roman" w:eastAsia="宋体" w:cs="Times New Roman"/>
                      <w:bCs/>
                      <w:i w:val="0"/>
                      <w:iCs w:val="0"/>
                      <w:color w:val="000000"/>
                      <w:kern w:val="0"/>
                      <w:sz w:val="18"/>
                      <w:szCs w:val="18"/>
                      <w:highlight w:val="none"/>
                      <w:u w:val="none"/>
                      <w:lang w:val="en-US" w:eastAsia="zh-CN" w:bidi="ar"/>
                    </w:rPr>
                    <w:t>10</w:t>
                  </w:r>
                </w:p>
              </w:tc>
              <w:tc>
                <w:tcPr>
                  <w:tcW w:w="1678" w:type="pct"/>
                  <w:vMerge w:val="continue"/>
                  <w:tcBorders>
                    <w:tl2br w:val="nil"/>
                    <w:tr2bl w:val="nil"/>
                  </w:tcBorders>
                  <w:shd w:val="clear" w:color="auto" w:fill="FFFFFF"/>
                  <w:vAlign w:val="center"/>
                </w:tcPr>
                <w:p w14:paraId="7D88F421">
                  <w:pPr>
                    <w:keepNext w:val="0"/>
                    <w:keepLines w:val="0"/>
                    <w:pageBreakBefore w:val="0"/>
                    <w:widowControl/>
                    <w:suppressLineNumbers w:val="0"/>
                    <w:kinsoku/>
                    <w:wordWrap/>
                    <w:overflowPunct/>
                    <w:topLinePunct w:val="0"/>
                    <w:bidi w:val="0"/>
                    <w:adjustRightInd w:val="0"/>
                    <w:snapToGrid w:val="0"/>
                    <w:spacing w:before="0" w:beforeAutospacing="0" w:after="0" w:afterAutospacing="0" w:line="276" w:lineRule="auto"/>
                    <w:ind w:left="0" w:right="0"/>
                    <w:jc w:val="center"/>
                    <w:textAlignment w:val="center"/>
                    <w:rPr>
                      <w:rFonts w:hint="default" w:ascii="Times New Roman" w:hAnsi="Times New Roman" w:eastAsia="宋体" w:cs="Times New Roman"/>
                      <w:i w:val="0"/>
                      <w:iCs w:val="0"/>
                      <w:color w:val="000000"/>
                      <w:kern w:val="0"/>
                      <w:sz w:val="18"/>
                      <w:szCs w:val="18"/>
                      <w:highlight w:val="none"/>
                      <w:u w:val="none"/>
                      <w:lang w:val="en-US" w:eastAsia="zh-CN" w:bidi="ar"/>
                    </w:rPr>
                  </w:pPr>
                </w:p>
              </w:tc>
            </w:tr>
            <w:tr w14:paraId="450DFD0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FFFFFF"/>
                <w:tblCellMar>
                  <w:top w:w="0" w:type="dxa"/>
                  <w:left w:w="28" w:type="dxa"/>
                  <w:bottom w:w="0" w:type="dxa"/>
                  <w:right w:w="28" w:type="dxa"/>
                </w:tblCellMar>
              </w:tblPrEx>
              <w:trPr>
                <w:trHeight w:val="0" w:hRule="atLeast"/>
              </w:trPr>
              <w:tc>
                <w:tcPr>
                  <w:tcW w:w="235" w:type="pct"/>
                  <w:tcBorders>
                    <w:tl2br w:val="nil"/>
                    <w:tr2bl w:val="nil"/>
                  </w:tcBorders>
                  <w:shd w:val="clear" w:color="auto" w:fill="FFFFFF"/>
                  <w:noWrap/>
                  <w:vAlign w:val="center"/>
                </w:tcPr>
                <w:p w14:paraId="58B0F38E">
                  <w:pPr>
                    <w:keepNext w:val="0"/>
                    <w:keepLines w:val="0"/>
                    <w:pageBreakBefore w:val="0"/>
                    <w:widowControl/>
                    <w:suppressLineNumbers w:val="0"/>
                    <w:kinsoku/>
                    <w:wordWrap/>
                    <w:overflowPunct/>
                    <w:topLinePunct w:val="0"/>
                    <w:bidi w:val="0"/>
                    <w:adjustRightInd w:val="0"/>
                    <w:snapToGrid w:val="0"/>
                    <w:spacing w:before="0" w:beforeAutospacing="0" w:after="0" w:afterAutospacing="0" w:line="276" w:lineRule="auto"/>
                    <w:ind w:left="0" w:right="0"/>
                    <w:jc w:val="center"/>
                    <w:textAlignment w:val="center"/>
                    <w:rPr>
                      <w:rFonts w:hint="default" w:ascii="Times New Roman" w:hAnsi="Times New Roman" w:eastAsia="宋体" w:cs="Times New Roman"/>
                      <w:bCs/>
                      <w:i w:val="0"/>
                      <w:iCs w:val="0"/>
                      <w:color w:val="000000"/>
                      <w:kern w:val="0"/>
                      <w:sz w:val="18"/>
                      <w:szCs w:val="18"/>
                      <w:highlight w:val="none"/>
                      <w:u w:val="none"/>
                      <w:lang w:val="en-US" w:eastAsia="zh-CN" w:bidi="ar"/>
                    </w:rPr>
                  </w:pPr>
                  <w:r>
                    <w:rPr>
                      <w:rFonts w:hint="default" w:ascii="Times New Roman" w:hAnsi="Times New Roman" w:eastAsia="宋体" w:cs="Times New Roman"/>
                      <w:bCs/>
                      <w:i w:val="0"/>
                      <w:iCs w:val="0"/>
                      <w:color w:val="000000"/>
                      <w:kern w:val="0"/>
                      <w:sz w:val="18"/>
                      <w:szCs w:val="18"/>
                      <w:highlight w:val="none"/>
                      <w:u w:val="none"/>
                      <w:lang w:val="en-US" w:eastAsia="zh-CN" w:bidi="ar"/>
                    </w:rPr>
                    <w:t>96</w:t>
                  </w:r>
                </w:p>
              </w:tc>
              <w:tc>
                <w:tcPr>
                  <w:tcW w:w="349" w:type="pct"/>
                  <w:vMerge w:val="continue"/>
                  <w:tcBorders>
                    <w:tl2br w:val="nil"/>
                    <w:tr2bl w:val="nil"/>
                  </w:tcBorders>
                  <w:shd w:val="clear" w:color="auto" w:fill="FFFFFF"/>
                  <w:vAlign w:val="center"/>
                </w:tcPr>
                <w:p w14:paraId="1B755F0A">
                  <w:pPr>
                    <w:pStyle w:val="120"/>
                    <w:keepNext w:val="0"/>
                    <w:keepLines w:val="0"/>
                    <w:pageBreakBefore w:val="0"/>
                    <w:framePr w:hSpace="0" w:wrap="auto" w:vAnchor="margin" w:hAnchor="text" w:xAlign="left" w:yAlign="inline"/>
                    <w:suppressLineNumbers w:val="0"/>
                    <w:kinsoku/>
                    <w:wordWrap/>
                    <w:overflowPunct/>
                    <w:topLinePunct w:val="0"/>
                    <w:bidi w:val="0"/>
                    <w:adjustRightInd w:val="0"/>
                    <w:snapToGrid w:val="0"/>
                    <w:spacing w:before="0" w:beforeAutospacing="0" w:after="0" w:afterAutospacing="0" w:line="276" w:lineRule="auto"/>
                    <w:ind w:left="0" w:right="0"/>
                    <w:jc w:val="center"/>
                    <w:rPr>
                      <w:rFonts w:hint="default" w:ascii="Times New Roman" w:hAnsi="Times New Roman" w:eastAsia="宋体" w:cs="Times New Roman"/>
                      <w:bCs/>
                      <w:i w:val="0"/>
                      <w:iCs w:val="0"/>
                      <w:color w:val="000000"/>
                      <w:kern w:val="0"/>
                      <w:sz w:val="18"/>
                      <w:szCs w:val="18"/>
                      <w:highlight w:val="none"/>
                      <w:u w:val="none"/>
                      <w:lang w:val="en-US" w:eastAsia="zh-CN" w:bidi="ar"/>
                    </w:rPr>
                  </w:pPr>
                </w:p>
              </w:tc>
              <w:tc>
                <w:tcPr>
                  <w:tcW w:w="1015" w:type="pct"/>
                  <w:tcBorders>
                    <w:tl2br w:val="nil"/>
                    <w:tr2bl w:val="nil"/>
                  </w:tcBorders>
                  <w:shd w:val="clear" w:color="auto" w:fill="FFFFFF"/>
                  <w:vAlign w:val="center"/>
                </w:tcPr>
                <w:p w14:paraId="0C3F2A26">
                  <w:pPr>
                    <w:keepNext w:val="0"/>
                    <w:keepLines w:val="0"/>
                    <w:pageBreakBefore w:val="0"/>
                    <w:widowControl/>
                    <w:suppressLineNumbers w:val="0"/>
                    <w:kinsoku/>
                    <w:wordWrap/>
                    <w:overflowPunct/>
                    <w:topLinePunct w:val="0"/>
                    <w:bidi w:val="0"/>
                    <w:adjustRightInd w:val="0"/>
                    <w:snapToGrid w:val="0"/>
                    <w:spacing w:before="0" w:beforeAutospacing="0" w:after="0" w:afterAutospacing="0" w:line="276" w:lineRule="auto"/>
                    <w:ind w:left="0" w:right="0"/>
                    <w:jc w:val="center"/>
                    <w:textAlignment w:val="center"/>
                    <w:rPr>
                      <w:rFonts w:hint="default" w:ascii="Times New Roman" w:hAnsi="Times New Roman" w:eastAsia="宋体" w:cs="Times New Roman"/>
                      <w:bCs/>
                      <w:i w:val="0"/>
                      <w:iCs w:val="0"/>
                      <w:color w:val="000000"/>
                      <w:kern w:val="0"/>
                      <w:sz w:val="18"/>
                      <w:szCs w:val="18"/>
                      <w:highlight w:val="none"/>
                      <w:u w:val="none"/>
                      <w:lang w:val="en-US" w:eastAsia="zh-CN" w:bidi="ar"/>
                    </w:rPr>
                  </w:pPr>
                  <w:r>
                    <w:rPr>
                      <w:rFonts w:hint="default" w:ascii="Times New Roman" w:hAnsi="Times New Roman" w:eastAsia="宋体" w:cs="Times New Roman"/>
                      <w:bCs/>
                      <w:i w:val="0"/>
                      <w:iCs w:val="0"/>
                      <w:color w:val="000000"/>
                      <w:kern w:val="0"/>
                      <w:sz w:val="18"/>
                      <w:szCs w:val="18"/>
                      <w:highlight w:val="none"/>
                      <w:u w:val="none"/>
                      <w:lang w:val="en-US" w:eastAsia="zh-CN" w:bidi="ar"/>
                    </w:rPr>
                    <w:t>垂直电泳膜转印槽</w:t>
                  </w:r>
                </w:p>
              </w:tc>
              <w:tc>
                <w:tcPr>
                  <w:tcW w:w="1436" w:type="pct"/>
                  <w:tcBorders>
                    <w:tl2br w:val="nil"/>
                    <w:tr2bl w:val="nil"/>
                  </w:tcBorders>
                  <w:shd w:val="clear" w:color="auto" w:fill="FFFFFF"/>
                  <w:noWrap/>
                  <w:vAlign w:val="center"/>
                </w:tcPr>
                <w:p w14:paraId="0E461E9D">
                  <w:pPr>
                    <w:keepNext w:val="0"/>
                    <w:keepLines w:val="0"/>
                    <w:pageBreakBefore w:val="0"/>
                    <w:suppressLineNumbers w:val="0"/>
                    <w:kinsoku/>
                    <w:wordWrap/>
                    <w:overflowPunct/>
                    <w:topLinePunct w:val="0"/>
                    <w:bidi w:val="0"/>
                    <w:adjustRightInd w:val="0"/>
                    <w:snapToGrid w:val="0"/>
                    <w:spacing w:before="0" w:beforeAutospacing="0" w:after="0" w:afterAutospacing="0" w:line="276" w:lineRule="auto"/>
                    <w:ind w:left="0" w:right="0"/>
                    <w:jc w:val="center"/>
                    <w:rPr>
                      <w:rFonts w:hint="default" w:ascii="Times New Roman" w:hAnsi="Times New Roman" w:eastAsia="宋体" w:cs="Times New Roman"/>
                      <w:bCs/>
                      <w:i w:val="0"/>
                      <w:iCs w:val="0"/>
                      <w:color w:val="000000"/>
                      <w:kern w:val="0"/>
                      <w:sz w:val="18"/>
                      <w:szCs w:val="18"/>
                      <w:highlight w:val="none"/>
                      <w:u w:val="none"/>
                      <w:lang w:val="en-US" w:eastAsia="zh-CN" w:bidi="ar"/>
                    </w:rPr>
                  </w:pPr>
                  <w:r>
                    <w:rPr>
                      <w:rFonts w:hint="default" w:ascii="Times New Roman" w:hAnsi="Times New Roman" w:eastAsia="宋体" w:cs="Times New Roman"/>
                      <w:bCs/>
                      <w:i w:val="0"/>
                      <w:iCs w:val="0"/>
                      <w:color w:val="000000"/>
                      <w:kern w:val="0"/>
                      <w:sz w:val="18"/>
                      <w:szCs w:val="18"/>
                      <w:highlight w:val="none"/>
                      <w:u w:val="none"/>
                      <w:lang w:val="en-US" w:eastAsia="zh-CN" w:bidi="ar"/>
                    </w:rPr>
                    <w:t>/</w:t>
                  </w:r>
                </w:p>
              </w:tc>
              <w:tc>
                <w:tcPr>
                  <w:tcW w:w="284" w:type="pct"/>
                  <w:tcBorders>
                    <w:tl2br w:val="nil"/>
                    <w:tr2bl w:val="nil"/>
                  </w:tcBorders>
                  <w:shd w:val="clear" w:color="auto" w:fill="FFFFFF"/>
                  <w:vAlign w:val="center"/>
                </w:tcPr>
                <w:p w14:paraId="348F335E">
                  <w:pPr>
                    <w:keepNext w:val="0"/>
                    <w:keepLines w:val="0"/>
                    <w:pageBreakBefore w:val="0"/>
                    <w:widowControl/>
                    <w:suppressLineNumbers w:val="0"/>
                    <w:kinsoku/>
                    <w:wordWrap/>
                    <w:overflowPunct/>
                    <w:topLinePunct w:val="0"/>
                    <w:bidi w:val="0"/>
                    <w:adjustRightInd w:val="0"/>
                    <w:snapToGrid w:val="0"/>
                    <w:spacing w:before="0" w:beforeAutospacing="0" w:after="0" w:afterAutospacing="0" w:line="276" w:lineRule="auto"/>
                    <w:ind w:left="0" w:right="0"/>
                    <w:jc w:val="center"/>
                    <w:textAlignment w:val="center"/>
                    <w:rPr>
                      <w:rFonts w:hint="default" w:ascii="Times New Roman" w:hAnsi="Times New Roman" w:eastAsia="宋体" w:cs="Times New Roman"/>
                      <w:bCs/>
                      <w:i w:val="0"/>
                      <w:iCs w:val="0"/>
                      <w:color w:val="000000"/>
                      <w:kern w:val="0"/>
                      <w:sz w:val="18"/>
                      <w:szCs w:val="18"/>
                      <w:highlight w:val="none"/>
                      <w:u w:val="none"/>
                      <w:lang w:val="en-US" w:eastAsia="zh-CN" w:bidi="ar"/>
                    </w:rPr>
                  </w:pPr>
                  <w:r>
                    <w:rPr>
                      <w:rFonts w:hint="default" w:ascii="Times New Roman" w:hAnsi="Times New Roman" w:eastAsia="宋体" w:cs="Times New Roman"/>
                      <w:bCs/>
                      <w:i w:val="0"/>
                      <w:iCs w:val="0"/>
                      <w:color w:val="000000"/>
                      <w:kern w:val="0"/>
                      <w:sz w:val="18"/>
                      <w:szCs w:val="18"/>
                      <w:highlight w:val="none"/>
                      <w:u w:val="none"/>
                      <w:lang w:val="en-US" w:eastAsia="zh-CN" w:bidi="ar"/>
                    </w:rPr>
                    <w:t>20</w:t>
                  </w:r>
                </w:p>
              </w:tc>
              <w:tc>
                <w:tcPr>
                  <w:tcW w:w="1678" w:type="pct"/>
                  <w:vMerge w:val="continue"/>
                  <w:tcBorders>
                    <w:tl2br w:val="nil"/>
                    <w:tr2bl w:val="nil"/>
                  </w:tcBorders>
                  <w:shd w:val="clear" w:color="auto" w:fill="FFFFFF"/>
                  <w:vAlign w:val="center"/>
                </w:tcPr>
                <w:p w14:paraId="26107316">
                  <w:pPr>
                    <w:keepNext w:val="0"/>
                    <w:keepLines w:val="0"/>
                    <w:pageBreakBefore w:val="0"/>
                    <w:widowControl/>
                    <w:suppressLineNumbers w:val="0"/>
                    <w:kinsoku/>
                    <w:wordWrap/>
                    <w:overflowPunct/>
                    <w:topLinePunct w:val="0"/>
                    <w:bidi w:val="0"/>
                    <w:adjustRightInd w:val="0"/>
                    <w:snapToGrid w:val="0"/>
                    <w:spacing w:before="0" w:beforeAutospacing="0" w:after="0" w:afterAutospacing="0" w:line="276" w:lineRule="auto"/>
                    <w:ind w:left="0" w:right="0"/>
                    <w:jc w:val="center"/>
                    <w:textAlignment w:val="center"/>
                    <w:rPr>
                      <w:rFonts w:hint="default" w:ascii="Times New Roman" w:hAnsi="Times New Roman" w:eastAsia="宋体" w:cs="Times New Roman"/>
                      <w:i w:val="0"/>
                      <w:iCs w:val="0"/>
                      <w:color w:val="000000"/>
                      <w:kern w:val="0"/>
                      <w:sz w:val="18"/>
                      <w:szCs w:val="18"/>
                      <w:highlight w:val="none"/>
                      <w:u w:val="none"/>
                      <w:lang w:val="en-US" w:eastAsia="zh-CN" w:bidi="ar"/>
                    </w:rPr>
                  </w:pPr>
                </w:p>
              </w:tc>
            </w:tr>
            <w:tr w14:paraId="4866E0D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FFFFFF"/>
                <w:tblCellMar>
                  <w:top w:w="0" w:type="dxa"/>
                  <w:left w:w="28" w:type="dxa"/>
                  <w:bottom w:w="0" w:type="dxa"/>
                  <w:right w:w="28" w:type="dxa"/>
                </w:tblCellMar>
              </w:tblPrEx>
              <w:trPr>
                <w:trHeight w:val="0" w:hRule="atLeast"/>
              </w:trPr>
              <w:tc>
                <w:tcPr>
                  <w:tcW w:w="235" w:type="pct"/>
                  <w:tcBorders>
                    <w:tl2br w:val="nil"/>
                    <w:tr2bl w:val="nil"/>
                  </w:tcBorders>
                  <w:shd w:val="clear" w:color="auto" w:fill="FFFFFF"/>
                  <w:noWrap/>
                  <w:vAlign w:val="center"/>
                </w:tcPr>
                <w:p w14:paraId="192B8E19">
                  <w:pPr>
                    <w:keepNext w:val="0"/>
                    <w:keepLines w:val="0"/>
                    <w:pageBreakBefore w:val="0"/>
                    <w:widowControl/>
                    <w:suppressLineNumbers w:val="0"/>
                    <w:kinsoku/>
                    <w:wordWrap/>
                    <w:overflowPunct/>
                    <w:topLinePunct w:val="0"/>
                    <w:bidi w:val="0"/>
                    <w:adjustRightInd w:val="0"/>
                    <w:snapToGrid w:val="0"/>
                    <w:spacing w:before="0" w:beforeAutospacing="0" w:after="0" w:afterAutospacing="0" w:line="276" w:lineRule="auto"/>
                    <w:ind w:left="0" w:right="0"/>
                    <w:jc w:val="center"/>
                    <w:textAlignment w:val="center"/>
                    <w:rPr>
                      <w:rFonts w:hint="default" w:ascii="Times New Roman" w:hAnsi="Times New Roman" w:eastAsia="宋体" w:cs="Times New Roman"/>
                      <w:bCs/>
                      <w:i w:val="0"/>
                      <w:iCs w:val="0"/>
                      <w:color w:val="000000"/>
                      <w:kern w:val="0"/>
                      <w:sz w:val="18"/>
                      <w:szCs w:val="18"/>
                      <w:highlight w:val="none"/>
                      <w:u w:val="none"/>
                      <w:lang w:val="en-US" w:eastAsia="zh-CN" w:bidi="ar"/>
                    </w:rPr>
                  </w:pPr>
                  <w:r>
                    <w:rPr>
                      <w:rFonts w:hint="default" w:ascii="Times New Roman" w:hAnsi="Times New Roman" w:eastAsia="宋体" w:cs="Times New Roman"/>
                      <w:bCs/>
                      <w:i w:val="0"/>
                      <w:iCs w:val="0"/>
                      <w:color w:val="000000"/>
                      <w:kern w:val="0"/>
                      <w:sz w:val="18"/>
                      <w:szCs w:val="18"/>
                      <w:highlight w:val="none"/>
                      <w:u w:val="none"/>
                      <w:lang w:val="en-US" w:eastAsia="zh-CN" w:bidi="ar"/>
                    </w:rPr>
                    <w:t>97</w:t>
                  </w:r>
                </w:p>
              </w:tc>
              <w:tc>
                <w:tcPr>
                  <w:tcW w:w="349" w:type="pct"/>
                  <w:vMerge w:val="continue"/>
                  <w:tcBorders>
                    <w:tl2br w:val="nil"/>
                    <w:tr2bl w:val="nil"/>
                  </w:tcBorders>
                  <w:shd w:val="clear" w:color="auto" w:fill="FFFFFF"/>
                  <w:vAlign w:val="center"/>
                </w:tcPr>
                <w:p w14:paraId="0CCA8D33">
                  <w:pPr>
                    <w:pStyle w:val="120"/>
                    <w:keepNext w:val="0"/>
                    <w:keepLines w:val="0"/>
                    <w:pageBreakBefore w:val="0"/>
                    <w:framePr w:hSpace="0" w:wrap="auto" w:vAnchor="margin" w:hAnchor="text" w:xAlign="left" w:yAlign="inline"/>
                    <w:suppressLineNumbers w:val="0"/>
                    <w:kinsoku/>
                    <w:wordWrap/>
                    <w:overflowPunct/>
                    <w:topLinePunct w:val="0"/>
                    <w:bidi w:val="0"/>
                    <w:adjustRightInd w:val="0"/>
                    <w:snapToGrid w:val="0"/>
                    <w:spacing w:before="0" w:beforeAutospacing="0" w:after="0" w:afterAutospacing="0" w:line="276" w:lineRule="auto"/>
                    <w:ind w:left="0" w:right="0"/>
                    <w:jc w:val="center"/>
                    <w:rPr>
                      <w:rFonts w:hint="default" w:ascii="Times New Roman" w:hAnsi="Times New Roman" w:eastAsia="宋体" w:cs="Times New Roman"/>
                      <w:bCs/>
                      <w:i w:val="0"/>
                      <w:iCs w:val="0"/>
                      <w:color w:val="000000"/>
                      <w:kern w:val="0"/>
                      <w:sz w:val="18"/>
                      <w:szCs w:val="18"/>
                      <w:highlight w:val="none"/>
                      <w:u w:val="none"/>
                      <w:lang w:val="en-US" w:eastAsia="zh-CN" w:bidi="ar"/>
                    </w:rPr>
                  </w:pPr>
                </w:p>
              </w:tc>
              <w:tc>
                <w:tcPr>
                  <w:tcW w:w="1015" w:type="pct"/>
                  <w:tcBorders>
                    <w:tl2br w:val="nil"/>
                    <w:tr2bl w:val="nil"/>
                  </w:tcBorders>
                  <w:shd w:val="clear" w:color="auto" w:fill="FFFFFF"/>
                  <w:vAlign w:val="center"/>
                </w:tcPr>
                <w:p w14:paraId="3EE53346">
                  <w:pPr>
                    <w:keepNext w:val="0"/>
                    <w:keepLines w:val="0"/>
                    <w:pageBreakBefore w:val="0"/>
                    <w:widowControl/>
                    <w:suppressLineNumbers w:val="0"/>
                    <w:kinsoku/>
                    <w:wordWrap/>
                    <w:overflowPunct/>
                    <w:topLinePunct w:val="0"/>
                    <w:bidi w:val="0"/>
                    <w:adjustRightInd w:val="0"/>
                    <w:snapToGrid w:val="0"/>
                    <w:spacing w:before="0" w:beforeAutospacing="0" w:after="0" w:afterAutospacing="0" w:line="276" w:lineRule="auto"/>
                    <w:ind w:left="0" w:right="0"/>
                    <w:jc w:val="center"/>
                    <w:textAlignment w:val="center"/>
                    <w:rPr>
                      <w:rFonts w:hint="default" w:ascii="Times New Roman" w:hAnsi="Times New Roman" w:eastAsia="宋体" w:cs="Times New Roman"/>
                      <w:bCs/>
                      <w:i w:val="0"/>
                      <w:iCs w:val="0"/>
                      <w:color w:val="000000"/>
                      <w:kern w:val="0"/>
                      <w:sz w:val="18"/>
                      <w:szCs w:val="18"/>
                      <w:highlight w:val="none"/>
                      <w:u w:val="none"/>
                      <w:lang w:val="en-US" w:eastAsia="zh-CN" w:bidi="ar"/>
                    </w:rPr>
                  </w:pPr>
                  <w:r>
                    <w:rPr>
                      <w:rFonts w:hint="default" w:ascii="Times New Roman" w:hAnsi="Times New Roman" w:eastAsia="宋体" w:cs="Times New Roman"/>
                      <w:bCs/>
                      <w:i w:val="0"/>
                      <w:iCs w:val="0"/>
                      <w:color w:val="000000"/>
                      <w:kern w:val="0"/>
                      <w:sz w:val="18"/>
                      <w:szCs w:val="18"/>
                      <w:highlight w:val="none"/>
                      <w:u w:val="none"/>
                      <w:lang w:val="en-US" w:eastAsia="zh-CN" w:bidi="ar"/>
                    </w:rPr>
                    <w:t>琼脂糖凝胶电泳仪</w:t>
                  </w:r>
                </w:p>
              </w:tc>
              <w:tc>
                <w:tcPr>
                  <w:tcW w:w="1436" w:type="pct"/>
                  <w:tcBorders>
                    <w:tl2br w:val="nil"/>
                    <w:tr2bl w:val="nil"/>
                  </w:tcBorders>
                  <w:shd w:val="clear" w:color="auto" w:fill="FFFFFF"/>
                  <w:noWrap/>
                  <w:vAlign w:val="center"/>
                </w:tcPr>
                <w:p w14:paraId="14BCECA8">
                  <w:pPr>
                    <w:keepNext w:val="0"/>
                    <w:keepLines w:val="0"/>
                    <w:pageBreakBefore w:val="0"/>
                    <w:suppressLineNumbers w:val="0"/>
                    <w:kinsoku/>
                    <w:wordWrap/>
                    <w:overflowPunct/>
                    <w:topLinePunct w:val="0"/>
                    <w:bidi w:val="0"/>
                    <w:adjustRightInd w:val="0"/>
                    <w:snapToGrid w:val="0"/>
                    <w:spacing w:before="0" w:beforeAutospacing="0" w:after="0" w:afterAutospacing="0" w:line="276" w:lineRule="auto"/>
                    <w:ind w:left="0" w:right="0"/>
                    <w:jc w:val="center"/>
                    <w:rPr>
                      <w:rFonts w:hint="default" w:ascii="Times New Roman" w:hAnsi="Times New Roman" w:eastAsia="宋体" w:cs="Times New Roman"/>
                      <w:bCs/>
                      <w:i w:val="0"/>
                      <w:iCs w:val="0"/>
                      <w:color w:val="000000"/>
                      <w:kern w:val="0"/>
                      <w:sz w:val="18"/>
                      <w:szCs w:val="18"/>
                      <w:highlight w:val="none"/>
                      <w:u w:val="none"/>
                      <w:lang w:val="en-US" w:eastAsia="zh-CN" w:bidi="ar"/>
                    </w:rPr>
                  </w:pPr>
                  <w:r>
                    <w:rPr>
                      <w:rFonts w:hint="default" w:ascii="Times New Roman" w:hAnsi="Times New Roman" w:eastAsia="宋体" w:cs="Times New Roman"/>
                      <w:bCs/>
                      <w:i w:val="0"/>
                      <w:iCs w:val="0"/>
                      <w:color w:val="000000"/>
                      <w:kern w:val="0"/>
                      <w:sz w:val="18"/>
                      <w:szCs w:val="18"/>
                      <w:highlight w:val="none"/>
                      <w:u w:val="none"/>
                      <w:lang w:val="en-US" w:eastAsia="zh-CN" w:bidi="ar"/>
                    </w:rPr>
                    <w:t>/</w:t>
                  </w:r>
                </w:p>
              </w:tc>
              <w:tc>
                <w:tcPr>
                  <w:tcW w:w="284" w:type="pct"/>
                  <w:tcBorders>
                    <w:tl2br w:val="nil"/>
                    <w:tr2bl w:val="nil"/>
                  </w:tcBorders>
                  <w:shd w:val="clear" w:color="auto" w:fill="FFFFFF"/>
                  <w:vAlign w:val="center"/>
                </w:tcPr>
                <w:p w14:paraId="6AC60F6D">
                  <w:pPr>
                    <w:keepNext w:val="0"/>
                    <w:keepLines w:val="0"/>
                    <w:pageBreakBefore w:val="0"/>
                    <w:widowControl/>
                    <w:suppressLineNumbers w:val="0"/>
                    <w:kinsoku/>
                    <w:wordWrap/>
                    <w:overflowPunct/>
                    <w:topLinePunct w:val="0"/>
                    <w:bidi w:val="0"/>
                    <w:adjustRightInd w:val="0"/>
                    <w:snapToGrid w:val="0"/>
                    <w:spacing w:before="0" w:beforeAutospacing="0" w:after="0" w:afterAutospacing="0" w:line="276" w:lineRule="auto"/>
                    <w:ind w:left="0" w:right="0"/>
                    <w:jc w:val="center"/>
                    <w:textAlignment w:val="center"/>
                    <w:rPr>
                      <w:rFonts w:hint="default" w:ascii="Times New Roman" w:hAnsi="Times New Roman" w:eastAsia="宋体" w:cs="Times New Roman"/>
                      <w:bCs/>
                      <w:i w:val="0"/>
                      <w:iCs w:val="0"/>
                      <w:color w:val="000000"/>
                      <w:kern w:val="0"/>
                      <w:sz w:val="18"/>
                      <w:szCs w:val="18"/>
                      <w:highlight w:val="none"/>
                      <w:u w:val="none"/>
                      <w:lang w:val="en-US" w:eastAsia="zh-CN" w:bidi="ar"/>
                    </w:rPr>
                  </w:pPr>
                  <w:r>
                    <w:rPr>
                      <w:rFonts w:hint="default" w:ascii="Times New Roman" w:hAnsi="Times New Roman" w:eastAsia="宋体" w:cs="Times New Roman"/>
                      <w:bCs/>
                      <w:i w:val="0"/>
                      <w:iCs w:val="0"/>
                      <w:color w:val="000000"/>
                      <w:kern w:val="0"/>
                      <w:sz w:val="18"/>
                      <w:szCs w:val="18"/>
                      <w:highlight w:val="none"/>
                      <w:u w:val="none"/>
                      <w:lang w:val="en-US" w:eastAsia="zh-CN" w:bidi="ar"/>
                    </w:rPr>
                    <w:t>5</w:t>
                  </w:r>
                </w:p>
              </w:tc>
              <w:tc>
                <w:tcPr>
                  <w:tcW w:w="1678" w:type="pct"/>
                  <w:vMerge w:val="continue"/>
                  <w:tcBorders>
                    <w:tl2br w:val="nil"/>
                    <w:tr2bl w:val="nil"/>
                  </w:tcBorders>
                  <w:shd w:val="clear" w:color="auto" w:fill="FFFFFF"/>
                  <w:vAlign w:val="center"/>
                </w:tcPr>
                <w:p w14:paraId="6BC55EA5">
                  <w:pPr>
                    <w:keepNext w:val="0"/>
                    <w:keepLines w:val="0"/>
                    <w:pageBreakBefore w:val="0"/>
                    <w:widowControl/>
                    <w:suppressLineNumbers w:val="0"/>
                    <w:kinsoku/>
                    <w:wordWrap/>
                    <w:overflowPunct/>
                    <w:topLinePunct w:val="0"/>
                    <w:bidi w:val="0"/>
                    <w:adjustRightInd w:val="0"/>
                    <w:snapToGrid w:val="0"/>
                    <w:spacing w:before="0" w:beforeAutospacing="0" w:after="0" w:afterAutospacing="0" w:line="276" w:lineRule="auto"/>
                    <w:ind w:left="0" w:right="0"/>
                    <w:jc w:val="center"/>
                    <w:textAlignment w:val="center"/>
                    <w:rPr>
                      <w:rFonts w:hint="default" w:ascii="Times New Roman" w:hAnsi="Times New Roman" w:eastAsia="宋体" w:cs="Times New Roman"/>
                      <w:i w:val="0"/>
                      <w:iCs w:val="0"/>
                      <w:color w:val="000000"/>
                      <w:kern w:val="0"/>
                      <w:sz w:val="18"/>
                      <w:szCs w:val="18"/>
                      <w:highlight w:val="none"/>
                      <w:u w:val="none"/>
                      <w:lang w:val="en-US" w:eastAsia="zh-CN" w:bidi="ar"/>
                    </w:rPr>
                  </w:pPr>
                </w:p>
              </w:tc>
            </w:tr>
            <w:tr w14:paraId="182F659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FFFFFF"/>
                <w:tblCellMar>
                  <w:top w:w="0" w:type="dxa"/>
                  <w:left w:w="28" w:type="dxa"/>
                  <w:bottom w:w="0" w:type="dxa"/>
                  <w:right w:w="28" w:type="dxa"/>
                </w:tblCellMar>
              </w:tblPrEx>
              <w:trPr>
                <w:trHeight w:val="0" w:hRule="atLeast"/>
              </w:trPr>
              <w:tc>
                <w:tcPr>
                  <w:tcW w:w="235" w:type="pct"/>
                  <w:tcBorders>
                    <w:tl2br w:val="nil"/>
                    <w:tr2bl w:val="nil"/>
                  </w:tcBorders>
                  <w:shd w:val="clear" w:color="auto" w:fill="FFFFFF"/>
                  <w:noWrap/>
                  <w:vAlign w:val="center"/>
                </w:tcPr>
                <w:p w14:paraId="546CFC05">
                  <w:pPr>
                    <w:keepNext w:val="0"/>
                    <w:keepLines w:val="0"/>
                    <w:pageBreakBefore w:val="0"/>
                    <w:widowControl/>
                    <w:suppressLineNumbers w:val="0"/>
                    <w:kinsoku/>
                    <w:wordWrap/>
                    <w:overflowPunct/>
                    <w:topLinePunct w:val="0"/>
                    <w:bidi w:val="0"/>
                    <w:adjustRightInd w:val="0"/>
                    <w:snapToGrid w:val="0"/>
                    <w:spacing w:before="0" w:beforeAutospacing="0" w:after="0" w:afterAutospacing="0" w:line="276" w:lineRule="auto"/>
                    <w:ind w:left="0" w:right="0"/>
                    <w:jc w:val="center"/>
                    <w:textAlignment w:val="center"/>
                    <w:rPr>
                      <w:rFonts w:hint="default" w:ascii="Times New Roman" w:hAnsi="Times New Roman" w:eastAsia="宋体" w:cs="Times New Roman"/>
                      <w:bCs/>
                      <w:i w:val="0"/>
                      <w:iCs w:val="0"/>
                      <w:color w:val="000000"/>
                      <w:kern w:val="0"/>
                      <w:sz w:val="18"/>
                      <w:szCs w:val="18"/>
                      <w:highlight w:val="none"/>
                      <w:u w:val="none"/>
                      <w:lang w:val="en-US" w:eastAsia="zh-CN" w:bidi="ar"/>
                    </w:rPr>
                  </w:pPr>
                  <w:r>
                    <w:rPr>
                      <w:rFonts w:hint="default" w:ascii="Times New Roman" w:hAnsi="Times New Roman" w:eastAsia="宋体" w:cs="Times New Roman"/>
                      <w:bCs/>
                      <w:i w:val="0"/>
                      <w:iCs w:val="0"/>
                      <w:color w:val="000000"/>
                      <w:kern w:val="0"/>
                      <w:sz w:val="18"/>
                      <w:szCs w:val="18"/>
                      <w:highlight w:val="none"/>
                      <w:u w:val="none"/>
                      <w:lang w:val="en-US" w:eastAsia="zh-CN" w:bidi="ar"/>
                    </w:rPr>
                    <w:t>98</w:t>
                  </w:r>
                </w:p>
              </w:tc>
              <w:tc>
                <w:tcPr>
                  <w:tcW w:w="349" w:type="pct"/>
                  <w:vMerge w:val="continue"/>
                  <w:tcBorders>
                    <w:tl2br w:val="nil"/>
                    <w:tr2bl w:val="nil"/>
                  </w:tcBorders>
                  <w:shd w:val="clear" w:color="auto" w:fill="FFFFFF"/>
                  <w:vAlign w:val="center"/>
                </w:tcPr>
                <w:p w14:paraId="60EDD258">
                  <w:pPr>
                    <w:pStyle w:val="120"/>
                    <w:keepNext w:val="0"/>
                    <w:keepLines w:val="0"/>
                    <w:pageBreakBefore w:val="0"/>
                    <w:framePr w:hSpace="0" w:wrap="auto" w:vAnchor="margin" w:hAnchor="text" w:xAlign="left" w:yAlign="inline"/>
                    <w:suppressLineNumbers w:val="0"/>
                    <w:kinsoku/>
                    <w:wordWrap/>
                    <w:overflowPunct/>
                    <w:topLinePunct w:val="0"/>
                    <w:bidi w:val="0"/>
                    <w:adjustRightInd w:val="0"/>
                    <w:snapToGrid w:val="0"/>
                    <w:spacing w:before="0" w:beforeAutospacing="0" w:after="0" w:afterAutospacing="0" w:line="276" w:lineRule="auto"/>
                    <w:ind w:left="0" w:right="0"/>
                    <w:jc w:val="center"/>
                    <w:rPr>
                      <w:rFonts w:hint="default" w:ascii="Times New Roman" w:hAnsi="Times New Roman" w:eastAsia="宋体" w:cs="Times New Roman"/>
                      <w:bCs/>
                      <w:i w:val="0"/>
                      <w:iCs w:val="0"/>
                      <w:color w:val="000000"/>
                      <w:kern w:val="0"/>
                      <w:sz w:val="18"/>
                      <w:szCs w:val="18"/>
                      <w:highlight w:val="none"/>
                      <w:u w:val="none"/>
                      <w:lang w:val="en-US" w:eastAsia="zh-CN" w:bidi="ar"/>
                    </w:rPr>
                  </w:pPr>
                </w:p>
              </w:tc>
              <w:tc>
                <w:tcPr>
                  <w:tcW w:w="1015" w:type="pct"/>
                  <w:tcBorders>
                    <w:tl2br w:val="nil"/>
                    <w:tr2bl w:val="nil"/>
                  </w:tcBorders>
                  <w:shd w:val="clear" w:color="auto" w:fill="FFFFFF"/>
                  <w:vAlign w:val="center"/>
                </w:tcPr>
                <w:p w14:paraId="29D3C45E">
                  <w:pPr>
                    <w:keepNext w:val="0"/>
                    <w:keepLines w:val="0"/>
                    <w:pageBreakBefore w:val="0"/>
                    <w:widowControl/>
                    <w:suppressLineNumbers w:val="0"/>
                    <w:kinsoku/>
                    <w:wordWrap/>
                    <w:overflowPunct/>
                    <w:topLinePunct w:val="0"/>
                    <w:bidi w:val="0"/>
                    <w:adjustRightInd w:val="0"/>
                    <w:snapToGrid w:val="0"/>
                    <w:spacing w:before="0" w:beforeAutospacing="0" w:after="0" w:afterAutospacing="0" w:line="276" w:lineRule="auto"/>
                    <w:ind w:left="0" w:right="0"/>
                    <w:jc w:val="center"/>
                    <w:textAlignment w:val="center"/>
                    <w:rPr>
                      <w:rFonts w:hint="default" w:ascii="Times New Roman" w:hAnsi="Times New Roman" w:eastAsia="宋体" w:cs="Times New Roman"/>
                      <w:bCs/>
                      <w:i w:val="0"/>
                      <w:iCs w:val="0"/>
                      <w:color w:val="000000"/>
                      <w:kern w:val="0"/>
                      <w:sz w:val="18"/>
                      <w:szCs w:val="18"/>
                      <w:highlight w:val="none"/>
                      <w:u w:val="none"/>
                      <w:lang w:val="en-US" w:eastAsia="zh-CN" w:bidi="ar"/>
                    </w:rPr>
                  </w:pPr>
                  <w:r>
                    <w:rPr>
                      <w:rFonts w:hint="default" w:ascii="Times New Roman" w:hAnsi="Times New Roman" w:eastAsia="宋体" w:cs="Times New Roman"/>
                      <w:bCs/>
                      <w:i w:val="0"/>
                      <w:iCs w:val="0"/>
                      <w:color w:val="000000"/>
                      <w:kern w:val="0"/>
                      <w:sz w:val="18"/>
                      <w:szCs w:val="18"/>
                      <w:highlight w:val="none"/>
                      <w:u w:val="none"/>
                      <w:lang w:val="en-US" w:eastAsia="zh-CN" w:bidi="ar"/>
                    </w:rPr>
                    <w:t>各类液相色谱系统</w:t>
                  </w:r>
                </w:p>
              </w:tc>
              <w:tc>
                <w:tcPr>
                  <w:tcW w:w="1436" w:type="pct"/>
                  <w:tcBorders>
                    <w:tl2br w:val="nil"/>
                    <w:tr2bl w:val="nil"/>
                  </w:tcBorders>
                  <w:shd w:val="clear" w:color="auto" w:fill="FFFFFF"/>
                  <w:noWrap/>
                  <w:vAlign w:val="center"/>
                </w:tcPr>
                <w:p w14:paraId="68E93C4C">
                  <w:pPr>
                    <w:keepNext w:val="0"/>
                    <w:keepLines w:val="0"/>
                    <w:pageBreakBefore w:val="0"/>
                    <w:suppressLineNumbers w:val="0"/>
                    <w:kinsoku/>
                    <w:wordWrap/>
                    <w:overflowPunct/>
                    <w:topLinePunct w:val="0"/>
                    <w:bidi w:val="0"/>
                    <w:adjustRightInd w:val="0"/>
                    <w:snapToGrid w:val="0"/>
                    <w:spacing w:before="0" w:beforeAutospacing="0" w:after="0" w:afterAutospacing="0" w:line="276" w:lineRule="auto"/>
                    <w:ind w:left="0" w:right="0"/>
                    <w:jc w:val="center"/>
                    <w:rPr>
                      <w:rFonts w:hint="default" w:ascii="Times New Roman" w:hAnsi="Times New Roman" w:eastAsia="宋体" w:cs="Times New Roman"/>
                      <w:bCs/>
                      <w:i w:val="0"/>
                      <w:iCs w:val="0"/>
                      <w:color w:val="000000"/>
                      <w:kern w:val="0"/>
                      <w:sz w:val="18"/>
                      <w:szCs w:val="18"/>
                      <w:highlight w:val="none"/>
                      <w:u w:val="none"/>
                      <w:lang w:val="en-US" w:eastAsia="zh-CN" w:bidi="ar"/>
                    </w:rPr>
                  </w:pPr>
                  <w:r>
                    <w:rPr>
                      <w:rFonts w:hint="default" w:ascii="Times New Roman" w:hAnsi="Times New Roman" w:eastAsia="宋体" w:cs="Times New Roman"/>
                      <w:bCs/>
                      <w:i w:val="0"/>
                      <w:iCs w:val="0"/>
                      <w:color w:val="000000"/>
                      <w:kern w:val="0"/>
                      <w:sz w:val="18"/>
                      <w:szCs w:val="18"/>
                      <w:highlight w:val="none"/>
                      <w:u w:val="none"/>
                      <w:lang w:val="en-US" w:eastAsia="zh-CN" w:bidi="ar"/>
                    </w:rPr>
                    <w:t>/</w:t>
                  </w:r>
                </w:p>
              </w:tc>
              <w:tc>
                <w:tcPr>
                  <w:tcW w:w="284" w:type="pct"/>
                  <w:tcBorders>
                    <w:tl2br w:val="nil"/>
                    <w:tr2bl w:val="nil"/>
                  </w:tcBorders>
                  <w:shd w:val="clear" w:color="auto" w:fill="FFFFFF"/>
                  <w:vAlign w:val="center"/>
                </w:tcPr>
                <w:p w14:paraId="76E773A9">
                  <w:pPr>
                    <w:keepNext w:val="0"/>
                    <w:keepLines w:val="0"/>
                    <w:pageBreakBefore w:val="0"/>
                    <w:widowControl/>
                    <w:suppressLineNumbers w:val="0"/>
                    <w:kinsoku/>
                    <w:wordWrap/>
                    <w:overflowPunct/>
                    <w:topLinePunct w:val="0"/>
                    <w:bidi w:val="0"/>
                    <w:adjustRightInd w:val="0"/>
                    <w:snapToGrid w:val="0"/>
                    <w:spacing w:before="0" w:beforeAutospacing="0" w:after="0" w:afterAutospacing="0" w:line="276" w:lineRule="auto"/>
                    <w:ind w:left="0" w:right="0"/>
                    <w:jc w:val="center"/>
                    <w:textAlignment w:val="center"/>
                    <w:rPr>
                      <w:rFonts w:hint="default" w:ascii="Times New Roman" w:hAnsi="Times New Roman" w:eastAsia="宋体" w:cs="Times New Roman"/>
                      <w:bCs/>
                      <w:i w:val="0"/>
                      <w:iCs w:val="0"/>
                      <w:color w:val="000000"/>
                      <w:kern w:val="0"/>
                      <w:sz w:val="18"/>
                      <w:szCs w:val="18"/>
                      <w:highlight w:val="none"/>
                      <w:u w:val="none"/>
                      <w:lang w:val="en-US" w:eastAsia="zh-CN" w:bidi="ar"/>
                    </w:rPr>
                  </w:pPr>
                  <w:r>
                    <w:rPr>
                      <w:rFonts w:hint="default" w:ascii="Times New Roman" w:hAnsi="Times New Roman" w:eastAsia="宋体" w:cs="Times New Roman"/>
                      <w:bCs/>
                      <w:i w:val="0"/>
                      <w:iCs w:val="0"/>
                      <w:color w:val="000000"/>
                      <w:kern w:val="0"/>
                      <w:sz w:val="18"/>
                      <w:szCs w:val="18"/>
                      <w:highlight w:val="none"/>
                      <w:u w:val="none"/>
                      <w:lang w:val="en-US" w:eastAsia="zh-CN" w:bidi="ar"/>
                    </w:rPr>
                    <w:t>30</w:t>
                  </w:r>
                </w:p>
              </w:tc>
              <w:tc>
                <w:tcPr>
                  <w:tcW w:w="1678" w:type="pct"/>
                  <w:vMerge w:val="continue"/>
                  <w:tcBorders>
                    <w:tl2br w:val="nil"/>
                    <w:tr2bl w:val="nil"/>
                  </w:tcBorders>
                  <w:shd w:val="clear" w:color="auto" w:fill="FFFFFF"/>
                  <w:vAlign w:val="center"/>
                </w:tcPr>
                <w:p w14:paraId="60C7B82D">
                  <w:pPr>
                    <w:keepNext w:val="0"/>
                    <w:keepLines w:val="0"/>
                    <w:pageBreakBefore w:val="0"/>
                    <w:widowControl/>
                    <w:suppressLineNumbers w:val="0"/>
                    <w:kinsoku/>
                    <w:wordWrap/>
                    <w:overflowPunct/>
                    <w:topLinePunct w:val="0"/>
                    <w:bidi w:val="0"/>
                    <w:adjustRightInd w:val="0"/>
                    <w:snapToGrid w:val="0"/>
                    <w:spacing w:before="0" w:beforeAutospacing="0" w:after="0" w:afterAutospacing="0" w:line="276" w:lineRule="auto"/>
                    <w:ind w:left="0" w:right="0"/>
                    <w:jc w:val="center"/>
                    <w:textAlignment w:val="center"/>
                    <w:rPr>
                      <w:rFonts w:hint="default" w:ascii="Times New Roman" w:hAnsi="Times New Roman" w:eastAsia="宋体" w:cs="Times New Roman"/>
                      <w:i w:val="0"/>
                      <w:iCs w:val="0"/>
                      <w:color w:val="000000"/>
                      <w:kern w:val="0"/>
                      <w:sz w:val="18"/>
                      <w:szCs w:val="18"/>
                      <w:highlight w:val="none"/>
                      <w:u w:val="none"/>
                      <w:lang w:val="en-US" w:eastAsia="zh-CN" w:bidi="ar"/>
                    </w:rPr>
                  </w:pPr>
                </w:p>
              </w:tc>
            </w:tr>
            <w:tr w14:paraId="3C7D7ED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FFFFFF"/>
                <w:tblCellMar>
                  <w:top w:w="0" w:type="dxa"/>
                  <w:left w:w="28" w:type="dxa"/>
                  <w:bottom w:w="0" w:type="dxa"/>
                  <w:right w:w="28" w:type="dxa"/>
                </w:tblCellMar>
              </w:tblPrEx>
              <w:trPr>
                <w:trHeight w:val="0" w:hRule="atLeast"/>
              </w:trPr>
              <w:tc>
                <w:tcPr>
                  <w:tcW w:w="235" w:type="pct"/>
                  <w:tcBorders>
                    <w:tl2br w:val="nil"/>
                    <w:tr2bl w:val="nil"/>
                  </w:tcBorders>
                  <w:shd w:val="clear" w:color="auto" w:fill="FFFFFF"/>
                  <w:noWrap/>
                  <w:vAlign w:val="center"/>
                </w:tcPr>
                <w:p w14:paraId="63B45E73">
                  <w:pPr>
                    <w:keepNext w:val="0"/>
                    <w:keepLines w:val="0"/>
                    <w:pageBreakBefore w:val="0"/>
                    <w:widowControl/>
                    <w:suppressLineNumbers w:val="0"/>
                    <w:kinsoku/>
                    <w:wordWrap/>
                    <w:overflowPunct/>
                    <w:topLinePunct w:val="0"/>
                    <w:bidi w:val="0"/>
                    <w:adjustRightInd w:val="0"/>
                    <w:snapToGrid w:val="0"/>
                    <w:spacing w:before="0" w:beforeAutospacing="0" w:after="0" w:afterAutospacing="0" w:line="276" w:lineRule="auto"/>
                    <w:ind w:left="0" w:right="0"/>
                    <w:jc w:val="center"/>
                    <w:textAlignment w:val="center"/>
                    <w:rPr>
                      <w:rFonts w:hint="default" w:ascii="Times New Roman" w:hAnsi="Times New Roman" w:eastAsia="宋体" w:cs="Times New Roman"/>
                      <w:bCs/>
                      <w:i w:val="0"/>
                      <w:iCs w:val="0"/>
                      <w:color w:val="000000"/>
                      <w:kern w:val="0"/>
                      <w:sz w:val="18"/>
                      <w:szCs w:val="18"/>
                      <w:highlight w:val="none"/>
                      <w:u w:val="none"/>
                      <w:lang w:val="en-US" w:eastAsia="zh-CN" w:bidi="ar"/>
                    </w:rPr>
                  </w:pPr>
                  <w:r>
                    <w:rPr>
                      <w:rFonts w:hint="default" w:ascii="Times New Roman" w:hAnsi="Times New Roman" w:eastAsia="宋体" w:cs="Times New Roman"/>
                      <w:bCs/>
                      <w:i w:val="0"/>
                      <w:iCs w:val="0"/>
                      <w:color w:val="000000"/>
                      <w:kern w:val="0"/>
                      <w:sz w:val="18"/>
                      <w:szCs w:val="18"/>
                      <w:highlight w:val="none"/>
                      <w:u w:val="none"/>
                      <w:lang w:val="en-US" w:eastAsia="zh-CN" w:bidi="ar"/>
                    </w:rPr>
                    <w:t>99</w:t>
                  </w:r>
                </w:p>
              </w:tc>
              <w:tc>
                <w:tcPr>
                  <w:tcW w:w="349" w:type="pct"/>
                  <w:vMerge w:val="continue"/>
                  <w:tcBorders>
                    <w:tl2br w:val="nil"/>
                    <w:tr2bl w:val="nil"/>
                  </w:tcBorders>
                  <w:shd w:val="clear" w:color="auto" w:fill="FFFFFF"/>
                  <w:vAlign w:val="center"/>
                </w:tcPr>
                <w:p w14:paraId="3147C7BD">
                  <w:pPr>
                    <w:pStyle w:val="120"/>
                    <w:keepNext w:val="0"/>
                    <w:keepLines w:val="0"/>
                    <w:pageBreakBefore w:val="0"/>
                    <w:framePr w:hSpace="0" w:wrap="auto" w:vAnchor="margin" w:hAnchor="text" w:xAlign="left" w:yAlign="inline"/>
                    <w:suppressLineNumbers w:val="0"/>
                    <w:kinsoku/>
                    <w:wordWrap/>
                    <w:overflowPunct/>
                    <w:topLinePunct w:val="0"/>
                    <w:bidi w:val="0"/>
                    <w:adjustRightInd w:val="0"/>
                    <w:snapToGrid w:val="0"/>
                    <w:spacing w:before="0" w:beforeAutospacing="0" w:after="0" w:afterAutospacing="0" w:line="276" w:lineRule="auto"/>
                    <w:ind w:left="0" w:right="0"/>
                    <w:jc w:val="center"/>
                    <w:rPr>
                      <w:rFonts w:hint="default" w:ascii="Times New Roman" w:hAnsi="Times New Roman" w:eastAsia="宋体" w:cs="Times New Roman"/>
                      <w:bCs/>
                      <w:i w:val="0"/>
                      <w:iCs w:val="0"/>
                      <w:color w:val="000000"/>
                      <w:kern w:val="0"/>
                      <w:sz w:val="18"/>
                      <w:szCs w:val="18"/>
                      <w:highlight w:val="none"/>
                      <w:u w:val="none"/>
                      <w:lang w:val="en-US" w:eastAsia="zh-CN" w:bidi="ar"/>
                    </w:rPr>
                  </w:pPr>
                </w:p>
              </w:tc>
              <w:tc>
                <w:tcPr>
                  <w:tcW w:w="1015" w:type="pct"/>
                  <w:tcBorders>
                    <w:tl2br w:val="nil"/>
                    <w:tr2bl w:val="nil"/>
                  </w:tcBorders>
                  <w:shd w:val="clear" w:color="auto" w:fill="FFFFFF"/>
                  <w:vAlign w:val="center"/>
                </w:tcPr>
                <w:p w14:paraId="13CFB380">
                  <w:pPr>
                    <w:keepNext w:val="0"/>
                    <w:keepLines w:val="0"/>
                    <w:pageBreakBefore w:val="0"/>
                    <w:widowControl/>
                    <w:suppressLineNumbers w:val="0"/>
                    <w:kinsoku/>
                    <w:wordWrap/>
                    <w:overflowPunct/>
                    <w:topLinePunct w:val="0"/>
                    <w:bidi w:val="0"/>
                    <w:adjustRightInd w:val="0"/>
                    <w:snapToGrid w:val="0"/>
                    <w:spacing w:before="0" w:beforeAutospacing="0" w:after="0" w:afterAutospacing="0" w:line="276" w:lineRule="auto"/>
                    <w:ind w:left="0" w:right="0"/>
                    <w:jc w:val="center"/>
                    <w:textAlignment w:val="center"/>
                    <w:rPr>
                      <w:rFonts w:hint="default" w:ascii="Times New Roman" w:hAnsi="Times New Roman" w:eastAsia="宋体" w:cs="Times New Roman"/>
                      <w:bCs/>
                      <w:i w:val="0"/>
                      <w:iCs w:val="0"/>
                      <w:color w:val="000000"/>
                      <w:kern w:val="0"/>
                      <w:sz w:val="18"/>
                      <w:szCs w:val="18"/>
                      <w:highlight w:val="none"/>
                      <w:u w:val="none"/>
                      <w:lang w:val="en-US" w:eastAsia="zh-CN" w:bidi="ar"/>
                    </w:rPr>
                  </w:pPr>
                  <w:r>
                    <w:rPr>
                      <w:rFonts w:hint="default" w:ascii="Times New Roman" w:hAnsi="Times New Roman" w:eastAsia="宋体" w:cs="Times New Roman"/>
                      <w:bCs/>
                      <w:i w:val="0"/>
                      <w:iCs w:val="0"/>
                      <w:color w:val="000000"/>
                      <w:kern w:val="0"/>
                      <w:sz w:val="18"/>
                      <w:szCs w:val="18"/>
                      <w:highlight w:val="none"/>
                      <w:u w:val="none"/>
                      <w:lang w:val="en-US" w:eastAsia="zh-CN" w:bidi="ar"/>
                    </w:rPr>
                    <w:t>蛋白液相分析系统</w:t>
                  </w:r>
                </w:p>
              </w:tc>
              <w:tc>
                <w:tcPr>
                  <w:tcW w:w="1436" w:type="pct"/>
                  <w:tcBorders>
                    <w:tl2br w:val="nil"/>
                    <w:tr2bl w:val="nil"/>
                  </w:tcBorders>
                  <w:shd w:val="clear" w:color="auto" w:fill="FFFFFF"/>
                  <w:noWrap/>
                  <w:vAlign w:val="center"/>
                </w:tcPr>
                <w:p w14:paraId="486BDEE0">
                  <w:pPr>
                    <w:keepNext w:val="0"/>
                    <w:keepLines w:val="0"/>
                    <w:pageBreakBefore w:val="0"/>
                    <w:suppressLineNumbers w:val="0"/>
                    <w:kinsoku/>
                    <w:wordWrap/>
                    <w:overflowPunct/>
                    <w:topLinePunct w:val="0"/>
                    <w:bidi w:val="0"/>
                    <w:adjustRightInd w:val="0"/>
                    <w:snapToGrid w:val="0"/>
                    <w:spacing w:before="0" w:beforeAutospacing="0" w:after="0" w:afterAutospacing="0" w:line="276" w:lineRule="auto"/>
                    <w:ind w:left="0" w:right="0"/>
                    <w:jc w:val="center"/>
                    <w:rPr>
                      <w:rFonts w:hint="default" w:ascii="Times New Roman" w:hAnsi="Times New Roman" w:eastAsia="宋体" w:cs="Times New Roman"/>
                      <w:bCs/>
                      <w:i w:val="0"/>
                      <w:iCs w:val="0"/>
                      <w:color w:val="000000"/>
                      <w:kern w:val="0"/>
                      <w:sz w:val="18"/>
                      <w:szCs w:val="18"/>
                      <w:highlight w:val="none"/>
                      <w:u w:val="none"/>
                      <w:lang w:val="en-US" w:eastAsia="zh-CN" w:bidi="ar"/>
                    </w:rPr>
                  </w:pPr>
                  <w:r>
                    <w:rPr>
                      <w:rFonts w:hint="default" w:ascii="Times New Roman" w:hAnsi="Times New Roman" w:eastAsia="宋体" w:cs="Times New Roman"/>
                      <w:bCs/>
                      <w:i w:val="0"/>
                      <w:iCs w:val="0"/>
                      <w:color w:val="000000"/>
                      <w:kern w:val="0"/>
                      <w:sz w:val="18"/>
                      <w:szCs w:val="18"/>
                      <w:highlight w:val="none"/>
                      <w:u w:val="none"/>
                      <w:lang w:val="en-US" w:eastAsia="zh-CN" w:bidi="ar"/>
                    </w:rPr>
                    <w:t>/</w:t>
                  </w:r>
                </w:p>
              </w:tc>
              <w:tc>
                <w:tcPr>
                  <w:tcW w:w="284" w:type="pct"/>
                  <w:tcBorders>
                    <w:tl2br w:val="nil"/>
                    <w:tr2bl w:val="nil"/>
                  </w:tcBorders>
                  <w:shd w:val="clear" w:color="auto" w:fill="FFFFFF"/>
                  <w:vAlign w:val="center"/>
                </w:tcPr>
                <w:p w14:paraId="22AC89DA">
                  <w:pPr>
                    <w:keepNext w:val="0"/>
                    <w:keepLines w:val="0"/>
                    <w:pageBreakBefore w:val="0"/>
                    <w:widowControl/>
                    <w:suppressLineNumbers w:val="0"/>
                    <w:kinsoku/>
                    <w:wordWrap/>
                    <w:overflowPunct/>
                    <w:topLinePunct w:val="0"/>
                    <w:bidi w:val="0"/>
                    <w:adjustRightInd w:val="0"/>
                    <w:snapToGrid w:val="0"/>
                    <w:spacing w:before="0" w:beforeAutospacing="0" w:after="0" w:afterAutospacing="0" w:line="276" w:lineRule="auto"/>
                    <w:ind w:left="0" w:right="0"/>
                    <w:jc w:val="center"/>
                    <w:textAlignment w:val="center"/>
                    <w:rPr>
                      <w:rFonts w:hint="default" w:ascii="Times New Roman" w:hAnsi="Times New Roman" w:eastAsia="宋体" w:cs="Times New Roman"/>
                      <w:bCs/>
                      <w:i w:val="0"/>
                      <w:iCs w:val="0"/>
                      <w:color w:val="000000"/>
                      <w:kern w:val="0"/>
                      <w:sz w:val="18"/>
                      <w:szCs w:val="18"/>
                      <w:highlight w:val="none"/>
                      <w:u w:val="none"/>
                      <w:lang w:val="en-US" w:eastAsia="zh-CN" w:bidi="ar"/>
                    </w:rPr>
                  </w:pPr>
                  <w:r>
                    <w:rPr>
                      <w:rFonts w:hint="default" w:ascii="Times New Roman" w:hAnsi="Times New Roman" w:eastAsia="宋体" w:cs="Times New Roman"/>
                      <w:bCs/>
                      <w:i w:val="0"/>
                      <w:iCs w:val="0"/>
                      <w:color w:val="000000"/>
                      <w:kern w:val="0"/>
                      <w:sz w:val="18"/>
                      <w:szCs w:val="18"/>
                      <w:highlight w:val="none"/>
                      <w:u w:val="none"/>
                      <w:lang w:val="en-US" w:eastAsia="zh-CN" w:bidi="ar"/>
                    </w:rPr>
                    <w:t>3</w:t>
                  </w:r>
                </w:p>
              </w:tc>
              <w:tc>
                <w:tcPr>
                  <w:tcW w:w="1678" w:type="pct"/>
                  <w:vMerge w:val="continue"/>
                  <w:tcBorders>
                    <w:tl2br w:val="nil"/>
                    <w:tr2bl w:val="nil"/>
                  </w:tcBorders>
                  <w:shd w:val="clear" w:color="auto" w:fill="FFFFFF"/>
                  <w:vAlign w:val="center"/>
                </w:tcPr>
                <w:p w14:paraId="2B2D5AA5">
                  <w:pPr>
                    <w:keepNext w:val="0"/>
                    <w:keepLines w:val="0"/>
                    <w:pageBreakBefore w:val="0"/>
                    <w:widowControl/>
                    <w:suppressLineNumbers w:val="0"/>
                    <w:kinsoku/>
                    <w:wordWrap/>
                    <w:overflowPunct/>
                    <w:topLinePunct w:val="0"/>
                    <w:bidi w:val="0"/>
                    <w:adjustRightInd w:val="0"/>
                    <w:snapToGrid w:val="0"/>
                    <w:spacing w:before="0" w:beforeAutospacing="0" w:after="0" w:afterAutospacing="0" w:line="276" w:lineRule="auto"/>
                    <w:ind w:left="0" w:right="0"/>
                    <w:jc w:val="center"/>
                    <w:textAlignment w:val="center"/>
                    <w:rPr>
                      <w:rFonts w:hint="default" w:ascii="Times New Roman" w:hAnsi="Times New Roman" w:eastAsia="宋体" w:cs="Times New Roman"/>
                      <w:i w:val="0"/>
                      <w:iCs w:val="0"/>
                      <w:color w:val="000000"/>
                      <w:kern w:val="0"/>
                      <w:sz w:val="18"/>
                      <w:szCs w:val="18"/>
                      <w:highlight w:val="none"/>
                      <w:u w:val="none"/>
                      <w:lang w:val="en-US" w:eastAsia="zh-CN" w:bidi="ar"/>
                    </w:rPr>
                  </w:pPr>
                </w:p>
              </w:tc>
            </w:tr>
            <w:tr w14:paraId="443D22B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FFFFFF"/>
                <w:tblCellMar>
                  <w:top w:w="0" w:type="dxa"/>
                  <w:left w:w="28" w:type="dxa"/>
                  <w:bottom w:w="0" w:type="dxa"/>
                  <w:right w:w="28" w:type="dxa"/>
                </w:tblCellMar>
              </w:tblPrEx>
              <w:trPr>
                <w:trHeight w:val="0" w:hRule="atLeast"/>
              </w:trPr>
              <w:tc>
                <w:tcPr>
                  <w:tcW w:w="235" w:type="pct"/>
                  <w:tcBorders>
                    <w:tl2br w:val="nil"/>
                    <w:tr2bl w:val="nil"/>
                  </w:tcBorders>
                  <w:shd w:val="clear" w:color="auto" w:fill="FFFFFF"/>
                  <w:noWrap/>
                  <w:vAlign w:val="center"/>
                </w:tcPr>
                <w:p w14:paraId="2BBEB5E9">
                  <w:pPr>
                    <w:keepNext w:val="0"/>
                    <w:keepLines w:val="0"/>
                    <w:pageBreakBefore w:val="0"/>
                    <w:widowControl/>
                    <w:suppressLineNumbers w:val="0"/>
                    <w:kinsoku/>
                    <w:wordWrap/>
                    <w:overflowPunct/>
                    <w:topLinePunct w:val="0"/>
                    <w:bidi w:val="0"/>
                    <w:adjustRightInd w:val="0"/>
                    <w:snapToGrid w:val="0"/>
                    <w:spacing w:before="0" w:beforeAutospacing="0" w:after="0" w:afterAutospacing="0" w:line="276" w:lineRule="auto"/>
                    <w:ind w:left="0" w:right="0"/>
                    <w:jc w:val="center"/>
                    <w:textAlignment w:val="center"/>
                    <w:rPr>
                      <w:rFonts w:hint="default" w:ascii="Times New Roman" w:hAnsi="Times New Roman" w:eastAsia="宋体" w:cs="Times New Roman"/>
                      <w:bCs/>
                      <w:i w:val="0"/>
                      <w:iCs w:val="0"/>
                      <w:color w:val="000000"/>
                      <w:kern w:val="0"/>
                      <w:sz w:val="18"/>
                      <w:szCs w:val="18"/>
                      <w:highlight w:val="none"/>
                      <w:u w:val="none"/>
                      <w:lang w:val="en-US" w:eastAsia="zh-CN" w:bidi="ar"/>
                    </w:rPr>
                  </w:pPr>
                  <w:r>
                    <w:rPr>
                      <w:rFonts w:hint="default" w:ascii="Times New Roman" w:hAnsi="Times New Roman" w:eastAsia="宋体" w:cs="Times New Roman"/>
                      <w:bCs/>
                      <w:i w:val="0"/>
                      <w:iCs w:val="0"/>
                      <w:color w:val="000000"/>
                      <w:kern w:val="0"/>
                      <w:sz w:val="18"/>
                      <w:szCs w:val="18"/>
                      <w:highlight w:val="none"/>
                      <w:u w:val="none"/>
                      <w:lang w:val="en-US" w:eastAsia="zh-CN" w:bidi="ar"/>
                    </w:rPr>
                    <w:t>100</w:t>
                  </w:r>
                </w:p>
              </w:tc>
              <w:tc>
                <w:tcPr>
                  <w:tcW w:w="349" w:type="pct"/>
                  <w:vMerge w:val="continue"/>
                  <w:tcBorders>
                    <w:tl2br w:val="nil"/>
                    <w:tr2bl w:val="nil"/>
                  </w:tcBorders>
                  <w:shd w:val="clear" w:color="auto" w:fill="FFFFFF"/>
                  <w:vAlign w:val="center"/>
                </w:tcPr>
                <w:p w14:paraId="0F0F057E">
                  <w:pPr>
                    <w:pStyle w:val="120"/>
                    <w:keepNext w:val="0"/>
                    <w:keepLines w:val="0"/>
                    <w:pageBreakBefore w:val="0"/>
                    <w:framePr w:hSpace="0" w:wrap="auto" w:vAnchor="margin" w:hAnchor="text" w:xAlign="left" w:yAlign="inline"/>
                    <w:suppressLineNumbers w:val="0"/>
                    <w:kinsoku/>
                    <w:wordWrap/>
                    <w:overflowPunct/>
                    <w:topLinePunct w:val="0"/>
                    <w:bidi w:val="0"/>
                    <w:adjustRightInd w:val="0"/>
                    <w:snapToGrid w:val="0"/>
                    <w:spacing w:before="0" w:beforeAutospacing="0" w:after="0" w:afterAutospacing="0" w:line="276" w:lineRule="auto"/>
                    <w:ind w:left="0" w:right="0"/>
                    <w:jc w:val="center"/>
                    <w:rPr>
                      <w:rFonts w:hint="default" w:ascii="Times New Roman" w:hAnsi="Times New Roman" w:eastAsia="宋体" w:cs="Times New Roman"/>
                      <w:bCs/>
                      <w:i w:val="0"/>
                      <w:iCs w:val="0"/>
                      <w:color w:val="000000"/>
                      <w:kern w:val="0"/>
                      <w:sz w:val="18"/>
                      <w:szCs w:val="18"/>
                      <w:highlight w:val="none"/>
                      <w:u w:val="none"/>
                      <w:lang w:val="en-US" w:eastAsia="zh-CN" w:bidi="ar"/>
                    </w:rPr>
                  </w:pPr>
                </w:p>
              </w:tc>
              <w:tc>
                <w:tcPr>
                  <w:tcW w:w="1015" w:type="pct"/>
                  <w:tcBorders>
                    <w:tl2br w:val="nil"/>
                    <w:tr2bl w:val="nil"/>
                  </w:tcBorders>
                  <w:shd w:val="clear" w:color="auto" w:fill="FFFFFF"/>
                  <w:vAlign w:val="center"/>
                </w:tcPr>
                <w:p w14:paraId="7AFF004F">
                  <w:pPr>
                    <w:keepNext w:val="0"/>
                    <w:keepLines w:val="0"/>
                    <w:pageBreakBefore w:val="0"/>
                    <w:widowControl/>
                    <w:suppressLineNumbers w:val="0"/>
                    <w:kinsoku/>
                    <w:wordWrap/>
                    <w:overflowPunct/>
                    <w:topLinePunct w:val="0"/>
                    <w:bidi w:val="0"/>
                    <w:adjustRightInd w:val="0"/>
                    <w:snapToGrid w:val="0"/>
                    <w:spacing w:before="0" w:beforeAutospacing="0" w:after="0" w:afterAutospacing="0" w:line="276" w:lineRule="auto"/>
                    <w:ind w:left="0" w:right="0"/>
                    <w:jc w:val="center"/>
                    <w:textAlignment w:val="center"/>
                    <w:rPr>
                      <w:rFonts w:hint="default" w:ascii="Times New Roman" w:hAnsi="Times New Roman" w:eastAsia="宋体" w:cs="Times New Roman"/>
                      <w:bCs/>
                      <w:i w:val="0"/>
                      <w:iCs w:val="0"/>
                      <w:color w:val="000000"/>
                      <w:kern w:val="0"/>
                      <w:sz w:val="18"/>
                      <w:szCs w:val="18"/>
                      <w:highlight w:val="none"/>
                      <w:u w:val="none"/>
                      <w:lang w:val="en-US" w:eastAsia="zh-CN" w:bidi="ar"/>
                    </w:rPr>
                  </w:pPr>
                  <w:r>
                    <w:rPr>
                      <w:rFonts w:hint="default" w:ascii="Times New Roman" w:hAnsi="Times New Roman" w:eastAsia="宋体" w:cs="Times New Roman"/>
                      <w:bCs/>
                      <w:i w:val="0"/>
                      <w:iCs w:val="0"/>
                      <w:color w:val="000000"/>
                      <w:kern w:val="0"/>
                      <w:sz w:val="18"/>
                      <w:szCs w:val="18"/>
                      <w:highlight w:val="none"/>
                      <w:u w:val="none"/>
                      <w:lang w:val="en-US" w:eastAsia="zh-CN" w:bidi="ar"/>
                    </w:rPr>
                    <w:t>各类气相色谱系统</w:t>
                  </w:r>
                </w:p>
              </w:tc>
              <w:tc>
                <w:tcPr>
                  <w:tcW w:w="1436" w:type="pct"/>
                  <w:tcBorders>
                    <w:tl2br w:val="nil"/>
                    <w:tr2bl w:val="nil"/>
                  </w:tcBorders>
                  <w:shd w:val="clear" w:color="auto" w:fill="FFFFFF"/>
                  <w:noWrap/>
                  <w:vAlign w:val="center"/>
                </w:tcPr>
                <w:p w14:paraId="0A301F36">
                  <w:pPr>
                    <w:keepNext w:val="0"/>
                    <w:keepLines w:val="0"/>
                    <w:pageBreakBefore w:val="0"/>
                    <w:suppressLineNumbers w:val="0"/>
                    <w:kinsoku/>
                    <w:wordWrap/>
                    <w:overflowPunct/>
                    <w:topLinePunct w:val="0"/>
                    <w:bidi w:val="0"/>
                    <w:adjustRightInd w:val="0"/>
                    <w:snapToGrid w:val="0"/>
                    <w:spacing w:before="0" w:beforeAutospacing="0" w:after="0" w:afterAutospacing="0" w:line="276" w:lineRule="auto"/>
                    <w:ind w:left="0" w:right="0"/>
                    <w:jc w:val="center"/>
                    <w:rPr>
                      <w:rFonts w:hint="default" w:ascii="Times New Roman" w:hAnsi="Times New Roman" w:eastAsia="宋体" w:cs="Times New Roman"/>
                      <w:bCs/>
                      <w:i w:val="0"/>
                      <w:iCs w:val="0"/>
                      <w:color w:val="000000"/>
                      <w:kern w:val="0"/>
                      <w:sz w:val="18"/>
                      <w:szCs w:val="18"/>
                      <w:highlight w:val="none"/>
                      <w:u w:val="none"/>
                      <w:lang w:val="en-US" w:eastAsia="zh-CN" w:bidi="ar"/>
                    </w:rPr>
                  </w:pPr>
                  <w:r>
                    <w:rPr>
                      <w:rFonts w:hint="default" w:ascii="Times New Roman" w:hAnsi="Times New Roman" w:eastAsia="宋体" w:cs="Times New Roman"/>
                      <w:bCs/>
                      <w:i w:val="0"/>
                      <w:iCs w:val="0"/>
                      <w:color w:val="000000"/>
                      <w:kern w:val="0"/>
                      <w:sz w:val="18"/>
                      <w:szCs w:val="18"/>
                      <w:highlight w:val="none"/>
                      <w:u w:val="none"/>
                      <w:lang w:val="en-US" w:eastAsia="zh-CN" w:bidi="ar"/>
                    </w:rPr>
                    <w:t>/</w:t>
                  </w:r>
                </w:p>
              </w:tc>
              <w:tc>
                <w:tcPr>
                  <w:tcW w:w="284" w:type="pct"/>
                  <w:tcBorders>
                    <w:tl2br w:val="nil"/>
                    <w:tr2bl w:val="nil"/>
                  </w:tcBorders>
                  <w:shd w:val="clear" w:color="auto" w:fill="FFFFFF"/>
                  <w:vAlign w:val="center"/>
                </w:tcPr>
                <w:p w14:paraId="60CE44CB">
                  <w:pPr>
                    <w:keepNext w:val="0"/>
                    <w:keepLines w:val="0"/>
                    <w:pageBreakBefore w:val="0"/>
                    <w:widowControl/>
                    <w:suppressLineNumbers w:val="0"/>
                    <w:kinsoku/>
                    <w:wordWrap/>
                    <w:overflowPunct/>
                    <w:topLinePunct w:val="0"/>
                    <w:bidi w:val="0"/>
                    <w:adjustRightInd w:val="0"/>
                    <w:snapToGrid w:val="0"/>
                    <w:spacing w:before="0" w:beforeAutospacing="0" w:after="0" w:afterAutospacing="0" w:line="276" w:lineRule="auto"/>
                    <w:ind w:left="0" w:right="0"/>
                    <w:jc w:val="center"/>
                    <w:textAlignment w:val="center"/>
                    <w:rPr>
                      <w:rFonts w:hint="default" w:ascii="Times New Roman" w:hAnsi="Times New Roman" w:eastAsia="宋体" w:cs="Times New Roman"/>
                      <w:bCs/>
                      <w:i w:val="0"/>
                      <w:iCs w:val="0"/>
                      <w:color w:val="000000"/>
                      <w:kern w:val="0"/>
                      <w:sz w:val="18"/>
                      <w:szCs w:val="18"/>
                      <w:highlight w:val="none"/>
                      <w:u w:val="none"/>
                      <w:lang w:val="en-US" w:eastAsia="zh-CN" w:bidi="ar"/>
                    </w:rPr>
                  </w:pPr>
                  <w:r>
                    <w:rPr>
                      <w:rFonts w:hint="default" w:ascii="Times New Roman" w:hAnsi="Times New Roman" w:eastAsia="宋体" w:cs="Times New Roman"/>
                      <w:bCs/>
                      <w:i w:val="0"/>
                      <w:iCs w:val="0"/>
                      <w:color w:val="000000"/>
                      <w:kern w:val="0"/>
                      <w:sz w:val="18"/>
                      <w:szCs w:val="18"/>
                      <w:highlight w:val="none"/>
                      <w:u w:val="none"/>
                      <w:lang w:val="en-US" w:eastAsia="zh-CN" w:bidi="ar"/>
                    </w:rPr>
                    <w:t>3</w:t>
                  </w:r>
                </w:p>
              </w:tc>
              <w:tc>
                <w:tcPr>
                  <w:tcW w:w="1678" w:type="pct"/>
                  <w:vMerge w:val="continue"/>
                  <w:tcBorders>
                    <w:tl2br w:val="nil"/>
                    <w:tr2bl w:val="nil"/>
                  </w:tcBorders>
                  <w:shd w:val="clear" w:color="auto" w:fill="FFFFFF"/>
                  <w:vAlign w:val="center"/>
                </w:tcPr>
                <w:p w14:paraId="59116AC4">
                  <w:pPr>
                    <w:keepNext w:val="0"/>
                    <w:keepLines w:val="0"/>
                    <w:pageBreakBefore w:val="0"/>
                    <w:widowControl/>
                    <w:suppressLineNumbers w:val="0"/>
                    <w:kinsoku/>
                    <w:wordWrap/>
                    <w:overflowPunct/>
                    <w:topLinePunct w:val="0"/>
                    <w:bidi w:val="0"/>
                    <w:adjustRightInd w:val="0"/>
                    <w:snapToGrid w:val="0"/>
                    <w:spacing w:before="0" w:beforeAutospacing="0" w:after="0" w:afterAutospacing="0" w:line="276" w:lineRule="auto"/>
                    <w:ind w:left="0" w:right="0"/>
                    <w:jc w:val="center"/>
                    <w:textAlignment w:val="center"/>
                    <w:rPr>
                      <w:rFonts w:hint="default" w:ascii="Times New Roman" w:hAnsi="Times New Roman" w:eastAsia="宋体" w:cs="Times New Roman"/>
                      <w:i w:val="0"/>
                      <w:iCs w:val="0"/>
                      <w:color w:val="000000"/>
                      <w:kern w:val="0"/>
                      <w:sz w:val="18"/>
                      <w:szCs w:val="18"/>
                      <w:highlight w:val="none"/>
                      <w:u w:val="none"/>
                      <w:lang w:val="en-US" w:eastAsia="zh-CN" w:bidi="ar"/>
                    </w:rPr>
                  </w:pPr>
                </w:p>
              </w:tc>
            </w:tr>
            <w:tr w14:paraId="0197192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0" w:hRule="atLeast"/>
              </w:trPr>
              <w:tc>
                <w:tcPr>
                  <w:tcW w:w="235" w:type="pct"/>
                  <w:tcBorders>
                    <w:tl2br w:val="nil"/>
                    <w:tr2bl w:val="nil"/>
                  </w:tcBorders>
                  <w:shd w:val="clear" w:color="auto" w:fill="FFFFFF"/>
                  <w:noWrap/>
                  <w:vAlign w:val="center"/>
                </w:tcPr>
                <w:p w14:paraId="6F974D3D">
                  <w:pPr>
                    <w:keepNext w:val="0"/>
                    <w:keepLines w:val="0"/>
                    <w:pageBreakBefore w:val="0"/>
                    <w:widowControl/>
                    <w:suppressLineNumbers w:val="0"/>
                    <w:kinsoku/>
                    <w:wordWrap/>
                    <w:overflowPunct/>
                    <w:topLinePunct w:val="0"/>
                    <w:bidi w:val="0"/>
                    <w:adjustRightInd w:val="0"/>
                    <w:snapToGrid w:val="0"/>
                    <w:spacing w:before="0" w:beforeAutospacing="0" w:after="0" w:afterAutospacing="0" w:line="276" w:lineRule="auto"/>
                    <w:ind w:left="0" w:right="0"/>
                    <w:jc w:val="center"/>
                    <w:textAlignment w:val="center"/>
                    <w:rPr>
                      <w:rFonts w:hint="default" w:ascii="Times New Roman" w:hAnsi="Times New Roman" w:eastAsia="宋体" w:cs="Times New Roman"/>
                      <w:bCs/>
                      <w:i w:val="0"/>
                      <w:iCs w:val="0"/>
                      <w:color w:val="000000"/>
                      <w:kern w:val="0"/>
                      <w:sz w:val="18"/>
                      <w:szCs w:val="18"/>
                      <w:highlight w:val="none"/>
                      <w:u w:val="none"/>
                      <w:lang w:val="en-US" w:eastAsia="zh-CN" w:bidi="ar"/>
                    </w:rPr>
                  </w:pPr>
                  <w:r>
                    <w:rPr>
                      <w:rFonts w:hint="default" w:ascii="Times New Roman" w:hAnsi="Times New Roman" w:eastAsia="宋体" w:cs="Times New Roman"/>
                      <w:bCs/>
                      <w:i w:val="0"/>
                      <w:iCs w:val="0"/>
                      <w:color w:val="000000"/>
                      <w:kern w:val="0"/>
                      <w:sz w:val="18"/>
                      <w:szCs w:val="18"/>
                      <w:highlight w:val="none"/>
                      <w:u w:val="none"/>
                      <w:lang w:val="en-US" w:eastAsia="zh-CN" w:bidi="ar"/>
                    </w:rPr>
                    <w:t>101</w:t>
                  </w:r>
                </w:p>
              </w:tc>
              <w:tc>
                <w:tcPr>
                  <w:tcW w:w="349" w:type="pct"/>
                  <w:vMerge w:val="continue"/>
                  <w:tcBorders>
                    <w:tl2br w:val="nil"/>
                    <w:tr2bl w:val="nil"/>
                  </w:tcBorders>
                  <w:shd w:val="clear" w:color="auto" w:fill="FFFFFF"/>
                  <w:vAlign w:val="center"/>
                </w:tcPr>
                <w:p w14:paraId="3BA94561">
                  <w:pPr>
                    <w:pStyle w:val="120"/>
                    <w:keepNext w:val="0"/>
                    <w:keepLines w:val="0"/>
                    <w:pageBreakBefore w:val="0"/>
                    <w:framePr w:hSpace="0" w:wrap="auto" w:vAnchor="margin" w:hAnchor="text" w:xAlign="left" w:yAlign="inline"/>
                    <w:suppressLineNumbers w:val="0"/>
                    <w:kinsoku/>
                    <w:wordWrap/>
                    <w:overflowPunct/>
                    <w:topLinePunct w:val="0"/>
                    <w:bidi w:val="0"/>
                    <w:adjustRightInd w:val="0"/>
                    <w:snapToGrid w:val="0"/>
                    <w:spacing w:before="0" w:beforeAutospacing="0" w:after="0" w:afterAutospacing="0" w:line="276" w:lineRule="auto"/>
                    <w:ind w:left="0" w:right="0"/>
                    <w:jc w:val="center"/>
                    <w:rPr>
                      <w:rFonts w:hint="default" w:ascii="Times New Roman" w:hAnsi="Times New Roman" w:eastAsia="宋体" w:cs="Times New Roman"/>
                      <w:bCs/>
                      <w:i w:val="0"/>
                      <w:iCs w:val="0"/>
                      <w:color w:val="000000"/>
                      <w:kern w:val="0"/>
                      <w:sz w:val="18"/>
                      <w:szCs w:val="18"/>
                      <w:highlight w:val="none"/>
                      <w:u w:val="none"/>
                      <w:lang w:val="en-US" w:eastAsia="zh-CN" w:bidi="ar"/>
                    </w:rPr>
                  </w:pPr>
                </w:p>
              </w:tc>
              <w:tc>
                <w:tcPr>
                  <w:tcW w:w="1015" w:type="pct"/>
                  <w:tcBorders>
                    <w:tl2br w:val="nil"/>
                    <w:tr2bl w:val="nil"/>
                  </w:tcBorders>
                  <w:shd w:val="clear" w:color="auto" w:fill="FFFFFF"/>
                  <w:vAlign w:val="center"/>
                </w:tcPr>
                <w:p w14:paraId="0E630B0C">
                  <w:pPr>
                    <w:keepNext w:val="0"/>
                    <w:keepLines w:val="0"/>
                    <w:pageBreakBefore w:val="0"/>
                    <w:widowControl/>
                    <w:suppressLineNumbers w:val="0"/>
                    <w:kinsoku/>
                    <w:wordWrap/>
                    <w:overflowPunct/>
                    <w:topLinePunct w:val="0"/>
                    <w:bidi w:val="0"/>
                    <w:adjustRightInd w:val="0"/>
                    <w:snapToGrid w:val="0"/>
                    <w:spacing w:before="0" w:beforeAutospacing="0" w:after="0" w:afterAutospacing="0" w:line="276" w:lineRule="auto"/>
                    <w:ind w:left="0" w:right="0"/>
                    <w:jc w:val="center"/>
                    <w:textAlignment w:val="center"/>
                    <w:rPr>
                      <w:rFonts w:hint="default" w:ascii="Times New Roman" w:hAnsi="Times New Roman" w:eastAsia="宋体" w:cs="Times New Roman"/>
                      <w:bCs/>
                      <w:i w:val="0"/>
                      <w:iCs w:val="0"/>
                      <w:color w:val="000000"/>
                      <w:kern w:val="0"/>
                      <w:sz w:val="18"/>
                      <w:szCs w:val="18"/>
                      <w:highlight w:val="none"/>
                      <w:u w:val="none"/>
                      <w:lang w:val="en-US" w:eastAsia="zh-CN" w:bidi="ar"/>
                    </w:rPr>
                  </w:pPr>
                  <w:r>
                    <w:rPr>
                      <w:rFonts w:hint="default" w:ascii="Times New Roman" w:hAnsi="Times New Roman" w:eastAsia="宋体" w:cs="Times New Roman"/>
                      <w:bCs/>
                      <w:i w:val="0"/>
                      <w:iCs w:val="0"/>
                      <w:color w:val="000000"/>
                      <w:kern w:val="0"/>
                      <w:sz w:val="18"/>
                      <w:szCs w:val="18"/>
                      <w:highlight w:val="none"/>
                      <w:u w:val="none"/>
                      <w:lang w:val="en-US" w:eastAsia="zh-CN" w:bidi="ar"/>
                    </w:rPr>
                    <w:t>各类质谱仪</w:t>
                  </w:r>
                </w:p>
              </w:tc>
              <w:tc>
                <w:tcPr>
                  <w:tcW w:w="1436" w:type="pct"/>
                  <w:tcBorders>
                    <w:tl2br w:val="nil"/>
                    <w:tr2bl w:val="nil"/>
                  </w:tcBorders>
                  <w:shd w:val="clear" w:color="auto" w:fill="FFFFFF"/>
                  <w:noWrap/>
                  <w:vAlign w:val="center"/>
                </w:tcPr>
                <w:p w14:paraId="6FBDE469">
                  <w:pPr>
                    <w:keepNext w:val="0"/>
                    <w:keepLines w:val="0"/>
                    <w:pageBreakBefore w:val="0"/>
                    <w:suppressLineNumbers w:val="0"/>
                    <w:kinsoku/>
                    <w:wordWrap/>
                    <w:overflowPunct/>
                    <w:topLinePunct w:val="0"/>
                    <w:bidi w:val="0"/>
                    <w:adjustRightInd w:val="0"/>
                    <w:snapToGrid w:val="0"/>
                    <w:spacing w:before="0" w:beforeAutospacing="0" w:after="0" w:afterAutospacing="0" w:line="276" w:lineRule="auto"/>
                    <w:ind w:left="0" w:right="0"/>
                    <w:jc w:val="center"/>
                    <w:rPr>
                      <w:rFonts w:hint="default" w:ascii="Times New Roman" w:hAnsi="Times New Roman" w:eastAsia="宋体" w:cs="Times New Roman"/>
                      <w:bCs/>
                      <w:i w:val="0"/>
                      <w:iCs w:val="0"/>
                      <w:color w:val="000000"/>
                      <w:kern w:val="0"/>
                      <w:sz w:val="18"/>
                      <w:szCs w:val="18"/>
                      <w:highlight w:val="none"/>
                      <w:u w:val="none"/>
                      <w:lang w:val="en-US" w:eastAsia="zh-CN" w:bidi="ar"/>
                    </w:rPr>
                  </w:pPr>
                  <w:r>
                    <w:rPr>
                      <w:rFonts w:hint="default" w:ascii="Times New Roman" w:hAnsi="Times New Roman" w:eastAsia="宋体" w:cs="Times New Roman"/>
                      <w:bCs/>
                      <w:i w:val="0"/>
                      <w:iCs w:val="0"/>
                      <w:color w:val="000000"/>
                      <w:kern w:val="0"/>
                      <w:sz w:val="18"/>
                      <w:szCs w:val="18"/>
                      <w:highlight w:val="none"/>
                      <w:u w:val="none"/>
                      <w:lang w:val="en-US" w:eastAsia="zh-CN" w:bidi="ar"/>
                    </w:rPr>
                    <w:t>/</w:t>
                  </w:r>
                </w:p>
              </w:tc>
              <w:tc>
                <w:tcPr>
                  <w:tcW w:w="284" w:type="pct"/>
                  <w:tcBorders>
                    <w:tl2br w:val="nil"/>
                    <w:tr2bl w:val="nil"/>
                  </w:tcBorders>
                  <w:shd w:val="clear" w:color="auto" w:fill="FFFFFF"/>
                  <w:vAlign w:val="center"/>
                </w:tcPr>
                <w:p w14:paraId="264759F4">
                  <w:pPr>
                    <w:keepNext w:val="0"/>
                    <w:keepLines w:val="0"/>
                    <w:pageBreakBefore w:val="0"/>
                    <w:widowControl/>
                    <w:suppressLineNumbers w:val="0"/>
                    <w:kinsoku/>
                    <w:wordWrap/>
                    <w:overflowPunct/>
                    <w:topLinePunct w:val="0"/>
                    <w:bidi w:val="0"/>
                    <w:adjustRightInd w:val="0"/>
                    <w:snapToGrid w:val="0"/>
                    <w:spacing w:before="0" w:beforeAutospacing="0" w:after="0" w:afterAutospacing="0" w:line="276" w:lineRule="auto"/>
                    <w:ind w:left="0" w:right="0"/>
                    <w:jc w:val="center"/>
                    <w:textAlignment w:val="center"/>
                    <w:rPr>
                      <w:rFonts w:hint="default" w:ascii="Times New Roman" w:hAnsi="Times New Roman" w:eastAsia="宋体" w:cs="Times New Roman"/>
                      <w:bCs/>
                      <w:i w:val="0"/>
                      <w:iCs w:val="0"/>
                      <w:color w:val="000000"/>
                      <w:kern w:val="0"/>
                      <w:sz w:val="18"/>
                      <w:szCs w:val="18"/>
                      <w:highlight w:val="none"/>
                      <w:u w:val="none"/>
                      <w:lang w:val="en-US" w:eastAsia="zh-CN" w:bidi="ar"/>
                    </w:rPr>
                  </w:pPr>
                  <w:r>
                    <w:rPr>
                      <w:rFonts w:hint="default" w:ascii="Times New Roman" w:hAnsi="Times New Roman" w:eastAsia="宋体" w:cs="Times New Roman"/>
                      <w:bCs/>
                      <w:i w:val="0"/>
                      <w:iCs w:val="0"/>
                      <w:color w:val="000000"/>
                      <w:kern w:val="0"/>
                      <w:sz w:val="18"/>
                      <w:szCs w:val="18"/>
                      <w:highlight w:val="none"/>
                      <w:u w:val="none"/>
                      <w:lang w:val="en-US" w:eastAsia="zh-CN" w:bidi="ar"/>
                    </w:rPr>
                    <w:t>5</w:t>
                  </w:r>
                </w:p>
              </w:tc>
              <w:tc>
                <w:tcPr>
                  <w:tcW w:w="1678" w:type="pct"/>
                  <w:vMerge w:val="continue"/>
                  <w:tcBorders>
                    <w:tl2br w:val="nil"/>
                    <w:tr2bl w:val="nil"/>
                  </w:tcBorders>
                  <w:shd w:val="clear" w:color="auto" w:fill="FFFFFF"/>
                  <w:vAlign w:val="center"/>
                </w:tcPr>
                <w:p w14:paraId="681E0E7F">
                  <w:pPr>
                    <w:keepNext w:val="0"/>
                    <w:keepLines w:val="0"/>
                    <w:pageBreakBefore w:val="0"/>
                    <w:widowControl/>
                    <w:suppressLineNumbers w:val="0"/>
                    <w:kinsoku/>
                    <w:wordWrap/>
                    <w:overflowPunct/>
                    <w:topLinePunct w:val="0"/>
                    <w:bidi w:val="0"/>
                    <w:adjustRightInd w:val="0"/>
                    <w:snapToGrid w:val="0"/>
                    <w:spacing w:before="0" w:beforeAutospacing="0" w:after="0" w:afterAutospacing="0" w:line="276" w:lineRule="auto"/>
                    <w:ind w:left="0" w:right="0"/>
                    <w:jc w:val="center"/>
                    <w:textAlignment w:val="center"/>
                    <w:rPr>
                      <w:rFonts w:hint="default" w:ascii="Times New Roman" w:hAnsi="Times New Roman" w:eastAsia="宋体" w:cs="Times New Roman"/>
                      <w:i w:val="0"/>
                      <w:iCs w:val="0"/>
                      <w:color w:val="000000"/>
                      <w:kern w:val="0"/>
                      <w:sz w:val="18"/>
                      <w:szCs w:val="18"/>
                      <w:highlight w:val="none"/>
                      <w:u w:val="none"/>
                      <w:lang w:val="en-US" w:eastAsia="zh-CN" w:bidi="ar"/>
                    </w:rPr>
                  </w:pPr>
                </w:p>
              </w:tc>
            </w:tr>
            <w:tr w14:paraId="2E033E5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0" w:hRule="atLeast"/>
              </w:trPr>
              <w:tc>
                <w:tcPr>
                  <w:tcW w:w="235" w:type="pct"/>
                  <w:tcBorders>
                    <w:tl2br w:val="nil"/>
                    <w:tr2bl w:val="nil"/>
                  </w:tcBorders>
                  <w:shd w:val="clear" w:color="auto" w:fill="FFFFFF"/>
                  <w:noWrap/>
                  <w:vAlign w:val="center"/>
                </w:tcPr>
                <w:p w14:paraId="2EEFE49A">
                  <w:pPr>
                    <w:keepNext w:val="0"/>
                    <w:keepLines w:val="0"/>
                    <w:pageBreakBefore w:val="0"/>
                    <w:widowControl/>
                    <w:suppressLineNumbers w:val="0"/>
                    <w:kinsoku/>
                    <w:wordWrap/>
                    <w:overflowPunct/>
                    <w:topLinePunct w:val="0"/>
                    <w:bidi w:val="0"/>
                    <w:adjustRightInd w:val="0"/>
                    <w:snapToGrid w:val="0"/>
                    <w:spacing w:before="0" w:beforeAutospacing="0" w:after="0" w:afterAutospacing="0" w:line="276" w:lineRule="auto"/>
                    <w:ind w:left="0" w:right="0"/>
                    <w:jc w:val="center"/>
                    <w:textAlignment w:val="center"/>
                    <w:rPr>
                      <w:rFonts w:hint="default" w:ascii="Times New Roman" w:hAnsi="Times New Roman" w:eastAsia="宋体" w:cs="Times New Roman"/>
                      <w:bCs/>
                      <w:i w:val="0"/>
                      <w:iCs w:val="0"/>
                      <w:color w:val="000000"/>
                      <w:kern w:val="0"/>
                      <w:sz w:val="18"/>
                      <w:szCs w:val="18"/>
                      <w:highlight w:val="none"/>
                      <w:u w:val="none"/>
                      <w:lang w:val="en-US" w:eastAsia="zh-CN" w:bidi="ar"/>
                    </w:rPr>
                  </w:pPr>
                  <w:r>
                    <w:rPr>
                      <w:rFonts w:hint="default" w:ascii="Times New Roman" w:hAnsi="Times New Roman" w:eastAsia="宋体" w:cs="Times New Roman"/>
                      <w:bCs/>
                      <w:i w:val="0"/>
                      <w:iCs w:val="0"/>
                      <w:color w:val="000000"/>
                      <w:kern w:val="0"/>
                      <w:sz w:val="18"/>
                      <w:szCs w:val="18"/>
                      <w:highlight w:val="none"/>
                      <w:u w:val="none"/>
                      <w:lang w:val="en-US" w:eastAsia="zh-CN" w:bidi="ar"/>
                    </w:rPr>
                    <w:t>102</w:t>
                  </w:r>
                </w:p>
              </w:tc>
              <w:tc>
                <w:tcPr>
                  <w:tcW w:w="349" w:type="pct"/>
                  <w:vMerge w:val="continue"/>
                  <w:tcBorders>
                    <w:tl2br w:val="nil"/>
                    <w:tr2bl w:val="nil"/>
                  </w:tcBorders>
                  <w:shd w:val="clear" w:color="auto" w:fill="FFFFFF"/>
                  <w:vAlign w:val="center"/>
                </w:tcPr>
                <w:p w14:paraId="2872D5F2">
                  <w:pPr>
                    <w:pStyle w:val="120"/>
                    <w:keepNext w:val="0"/>
                    <w:keepLines w:val="0"/>
                    <w:pageBreakBefore w:val="0"/>
                    <w:framePr w:hSpace="0" w:wrap="auto" w:vAnchor="margin" w:hAnchor="text" w:xAlign="left" w:yAlign="inline"/>
                    <w:suppressLineNumbers w:val="0"/>
                    <w:kinsoku/>
                    <w:wordWrap/>
                    <w:overflowPunct/>
                    <w:topLinePunct w:val="0"/>
                    <w:bidi w:val="0"/>
                    <w:adjustRightInd w:val="0"/>
                    <w:snapToGrid w:val="0"/>
                    <w:spacing w:before="0" w:beforeAutospacing="0" w:after="0" w:afterAutospacing="0" w:line="276" w:lineRule="auto"/>
                    <w:ind w:left="0" w:right="0"/>
                    <w:jc w:val="center"/>
                    <w:rPr>
                      <w:rFonts w:hint="default" w:ascii="Times New Roman" w:hAnsi="Times New Roman" w:eastAsia="宋体" w:cs="Times New Roman"/>
                      <w:bCs/>
                      <w:i w:val="0"/>
                      <w:iCs w:val="0"/>
                      <w:color w:val="000000"/>
                      <w:kern w:val="0"/>
                      <w:sz w:val="18"/>
                      <w:szCs w:val="18"/>
                      <w:highlight w:val="none"/>
                      <w:u w:val="none"/>
                      <w:lang w:val="en-US" w:eastAsia="zh-CN" w:bidi="ar"/>
                    </w:rPr>
                  </w:pPr>
                </w:p>
              </w:tc>
              <w:tc>
                <w:tcPr>
                  <w:tcW w:w="1015" w:type="pct"/>
                  <w:tcBorders>
                    <w:tl2br w:val="nil"/>
                    <w:tr2bl w:val="nil"/>
                  </w:tcBorders>
                  <w:shd w:val="clear" w:color="auto" w:fill="FFFFFF"/>
                  <w:vAlign w:val="center"/>
                </w:tcPr>
                <w:p w14:paraId="508125CC">
                  <w:pPr>
                    <w:keepNext w:val="0"/>
                    <w:keepLines w:val="0"/>
                    <w:pageBreakBefore w:val="0"/>
                    <w:widowControl/>
                    <w:suppressLineNumbers w:val="0"/>
                    <w:kinsoku/>
                    <w:wordWrap/>
                    <w:overflowPunct/>
                    <w:topLinePunct w:val="0"/>
                    <w:bidi w:val="0"/>
                    <w:adjustRightInd w:val="0"/>
                    <w:snapToGrid w:val="0"/>
                    <w:spacing w:before="0" w:beforeAutospacing="0" w:after="0" w:afterAutospacing="0" w:line="276" w:lineRule="auto"/>
                    <w:ind w:left="0" w:right="0"/>
                    <w:jc w:val="center"/>
                    <w:textAlignment w:val="center"/>
                    <w:rPr>
                      <w:rFonts w:hint="default" w:ascii="Times New Roman" w:hAnsi="Times New Roman" w:eastAsia="宋体" w:cs="Times New Roman"/>
                      <w:bCs/>
                      <w:i w:val="0"/>
                      <w:iCs w:val="0"/>
                      <w:color w:val="000000"/>
                      <w:kern w:val="0"/>
                      <w:sz w:val="18"/>
                      <w:szCs w:val="18"/>
                      <w:highlight w:val="none"/>
                      <w:u w:val="none"/>
                      <w:lang w:val="en-US" w:eastAsia="zh-CN" w:bidi="ar"/>
                    </w:rPr>
                  </w:pPr>
                  <w:r>
                    <w:rPr>
                      <w:rFonts w:hint="default" w:ascii="Times New Roman" w:hAnsi="Times New Roman" w:eastAsia="宋体" w:cs="Times New Roman"/>
                      <w:bCs/>
                      <w:i w:val="0"/>
                      <w:iCs w:val="0"/>
                      <w:color w:val="000000"/>
                      <w:kern w:val="0"/>
                      <w:sz w:val="18"/>
                      <w:szCs w:val="18"/>
                      <w:highlight w:val="none"/>
                      <w:u w:val="none"/>
                      <w:lang w:val="en-US" w:eastAsia="zh-CN" w:bidi="ar"/>
                    </w:rPr>
                    <w:t>各类液质联用色谱仪</w:t>
                  </w:r>
                </w:p>
              </w:tc>
              <w:tc>
                <w:tcPr>
                  <w:tcW w:w="1436" w:type="pct"/>
                  <w:tcBorders>
                    <w:tl2br w:val="nil"/>
                    <w:tr2bl w:val="nil"/>
                  </w:tcBorders>
                  <w:shd w:val="clear" w:color="auto" w:fill="FFFFFF"/>
                  <w:noWrap/>
                  <w:vAlign w:val="center"/>
                </w:tcPr>
                <w:p w14:paraId="0DC1FD94">
                  <w:pPr>
                    <w:keepNext w:val="0"/>
                    <w:keepLines w:val="0"/>
                    <w:pageBreakBefore w:val="0"/>
                    <w:suppressLineNumbers w:val="0"/>
                    <w:kinsoku/>
                    <w:wordWrap/>
                    <w:overflowPunct/>
                    <w:topLinePunct w:val="0"/>
                    <w:bidi w:val="0"/>
                    <w:adjustRightInd w:val="0"/>
                    <w:snapToGrid w:val="0"/>
                    <w:spacing w:before="0" w:beforeAutospacing="0" w:after="0" w:afterAutospacing="0" w:line="276" w:lineRule="auto"/>
                    <w:ind w:left="0" w:right="0"/>
                    <w:jc w:val="center"/>
                    <w:rPr>
                      <w:rFonts w:hint="default" w:ascii="Times New Roman" w:hAnsi="Times New Roman" w:eastAsia="宋体" w:cs="Times New Roman"/>
                      <w:bCs/>
                      <w:i w:val="0"/>
                      <w:iCs w:val="0"/>
                      <w:color w:val="000000"/>
                      <w:kern w:val="0"/>
                      <w:sz w:val="18"/>
                      <w:szCs w:val="18"/>
                      <w:highlight w:val="none"/>
                      <w:u w:val="none"/>
                      <w:lang w:val="en-US" w:eastAsia="zh-CN" w:bidi="ar"/>
                    </w:rPr>
                  </w:pPr>
                  <w:r>
                    <w:rPr>
                      <w:rFonts w:hint="default" w:ascii="Times New Roman" w:hAnsi="Times New Roman" w:eastAsia="宋体" w:cs="Times New Roman"/>
                      <w:bCs/>
                      <w:i w:val="0"/>
                      <w:iCs w:val="0"/>
                      <w:color w:val="000000"/>
                      <w:kern w:val="0"/>
                      <w:sz w:val="18"/>
                      <w:szCs w:val="18"/>
                      <w:highlight w:val="none"/>
                      <w:u w:val="none"/>
                      <w:lang w:val="en-US" w:eastAsia="zh-CN" w:bidi="ar"/>
                    </w:rPr>
                    <w:t>/</w:t>
                  </w:r>
                </w:p>
              </w:tc>
              <w:tc>
                <w:tcPr>
                  <w:tcW w:w="284" w:type="pct"/>
                  <w:tcBorders>
                    <w:tl2br w:val="nil"/>
                    <w:tr2bl w:val="nil"/>
                  </w:tcBorders>
                  <w:shd w:val="clear" w:color="auto" w:fill="FFFFFF"/>
                  <w:vAlign w:val="center"/>
                </w:tcPr>
                <w:p w14:paraId="1907C03D">
                  <w:pPr>
                    <w:keepNext w:val="0"/>
                    <w:keepLines w:val="0"/>
                    <w:pageBreakBefore w:val="0"/>
                    <w:widowControl/>
                    <w:suppressLineNumbers w:val="0"/>
                    <w:kinsoku/>
                    <w:wordWrap/>
                    <w:overflowPunct/>
                    <w:topLinePunct w:val="0"/>
                    <w:bidi w:val="0"/>
                    <w:adjustRightInd w:val="0"/>
                    <w:snapToGrid w:val="0"/>
                    <w:spacing w:before="0" w:beforeAutospacing="0" w:after="0" w:afterAutospacing="0" w:line="276" w:lineRule="auto"/>
                    <w:ind w:left="0" w:right="0"/>
                    <w:jc w:val="center"/>
                    <w:textAlignment w:val="center"/>
                    <w:rPr>
                      <w:rFonts w:hint="default" w:ascii="Times New Roman" w:hAnsi="Times New Roman" w:eastAsia="宋体" w:cs="Times New Roman"/>
                      <w:bCs/>
                      <w:i w:val="0"/>
                      <w:iCs w:val="0"/>
                      <w:color w:val="000000"/>
                      <w:kern w:val="0"/>
                      <w:sz w:val="18"/>
                      <w:szCs w:val="18"/>
                      <w:highlight w:val="none"/>
                      <w:u w:val="none"/>
                      <w:lang w:val="en-US" w:eastAsia="zh-CN" w:bidi="ar"/>
                    </w:rPr>
                  </w:pPr>
                  <w:r>
                    <w:rPr>
                      <w:rFonts w:hint="default" w:ascii="Times New Roman" w:hAnsi="Times New Roman" w:eastAsia="宋体" w:cs="Times New Roman"/>
                      <w:bCs/>
                      <w:i w:val="0"/>
                      <w:iCs w:val="0"/>
                      <w:color w:val="000000"/>
                      <w:kern w:val="0"/>
                      <w:sz w:val="18"/>
                      <w:szCs w:val="18"/>
                      <w:highlight w:val="none"/>
                      <w:u w:val="none"/>
                      <w:lang w:val="en-US" w:eastAsia="zh-CN" w:bidi="ar"/>
                    </w:rPr>
                    <w:t>3</w:t>
                  </w:r>
                </w:p>
              </w:tc>
              <w:tc>
                <w:tcPr>
                  <w:tcW w:w="1678" w:type="pct"/>
                  <w:vMerge w:val="continue"/>
                  <w:tcBorders>
                    <w:tl2br w:val="nil"/>
                    <w:tr2bl w:val="nil"/>
                  </w:tcBorders>
                  <w:shd w:val="clear" w:color="auto" w:fill="FFFFFF"/>
                  <w:vAlign w:val="center"/>
                </w:tcPr>
                <w:p w14:paraId="61296041">
                  <w:pPr>
                    <w:keepNext w:val="0"/>
                    <w:keepLines w:val="0"/>
                    <w:pageBreakBefore w:val="0"/>
                    <w:widowControl/>
                    <w:suppressLineNumbers w:val="0"/>
                    <w:kinsoku/>
                    <w:wordWrap/>
                    <w:overflowPunct/>
                    <w:topLinePunct w:val="0"/>
                    <w:bidi w:val="0"/>
                    <w:adjustRightInd w:val="0"/>
                    <w:snapToGrid w:val="0"/>
                    <w:spacing w:before="0" w:beforeAutospacing="0" w:after="0" w:afterAutospacing="0" w:line="276" w:lineRule="auto"/>
                    <w:ind w:left="0" w:right="0"/>
                    <w:jc w:val="center"/>
                    <w:textAlignment w:val="center"/>
                    <w:rPr>
                      <w:rFonts w:hint="default" w:ascii="Times New Roman" w:hAnsi="Times New Roman" w:eastAsia="宋体" w:cs="Times New Roman"/>
                      <w:i w:val="0"/>
                      <w:iCs w:val="0"/>
                      <w:color w:val="000000"/>
                      <w:kern w:val="0"/>
                      <w:sz w:val="18"/>
                      <w:szCs w:val="18"/>
                      <w:highlight w:val="none"/>
                      <w:u w:val="none"/>
                      <w:lang w:val="en-US" w:eastAsia="zh-CN" w:bidi="ar"/>
                    </w:rPr>
                  </w:pPr>
                </w:p>
              </w:tc>
            </w:tr>
            <w:tr w14:paraId="45AF3EF0">
              <w:tblPrEx>
                <w:shd w:val="clear" w:color="auto" w:fill="FFFFFF"/>
                <w:tblCellMar>
                  <w:top w:w="0" w:type="dxa"/>
                  <w:left w:w="28" w:type="dxa"/>
                  <w:bottom w:w="0" w:type="dxa"/>
                  <w:right w:w="28" w:type="dxa"/>
                </w:tblCellMar>
              </w:tblPrEx>
              <w:trPr>
                <w:trHeight w:val="0" w:hRule="atLeast"/>
              </w:trPr>
              <w:tc>
                <w:tcPr>
                  <w:tcW w:w="235" w:type="pct"/>
                  <w:tcBorders>
                    <w:tl2br w:val="nil"/>
                    <w:tr2bl w:val="nil"/>
                  </w:tcBorders>
                  <w:shd w:val="clear" w:color="auto" w:fill="FFFFFF"/>
                  <w:noWrap/>
                  <w:vAlign w:val="center"/>
                </w:tcPr>
                <w:p w14:paraId="2E670B8D">
                  <w:pPr>
                    <w:keepNext w:val="0"/>
                    <w:keepLines w:val="0"/>
                    <w:pageBreakBefore w:val="0"/>
                    <w:widowControl/>
                    <w:suppressLineNumbers w:val="0"/>
                    <w:kinsoku/>
                    <w:wordWrap/>
                    <w:overflowPunct/>
                    <w:topLinePunct w:val="0"/>
                    <w:bidi w:val="0"/>
                    <w:adjustRightInd w:val="0"/>
                    <w:snapToGrid w:val="0"/>
                    <w:spacing w:before="0" w:beforeAutospacing="0" w:after="0" w:afterAutospacing="0" w:line="276" w:lineRule="auto"/>
                    <w:ind w:left="0" w:right="0"/>
                    <w:jc w:val="center"/>
                    <w:textAlignment w:val="center"/>
                    <w:rPr>
                      <w:rFonts w:hint="default" w:ascii="Times New Roman" w:hAnsi="Times New Roman" w:eastAsia="宋体" w:cs="Times New Roman"/>
                      <w:bCs/>
                      <w:i w:val="0"/>
                      <w:iCs w:val="0"/>
                      <w:color w:val="000000"/>
                      <w:kern w:val="0"/>
                      <w:sz w:val="18"/>
                      <w:szCs w:val="18"/>
                      <w:highlight w:val="none"/>
                      <w:u w:val="none"/>
                      <w:lang w:val="en-US" w:eastAsia="zh-CN" w:bidi="ar"/>
                    </w:rPr>
                  </w:pPr>
                  <w:r>
                    <w:rPr>
                      <w:rFonts w:hint="default" w:ascii="Times New Roman" w:hAnsi="Times New Roman" w:eastAsia="宋体" w:cs="Times New Roman"/>
                      <w:bCs/>
                      <w:i w:val="0"/>
                      <w:iCs w:val="0"/>
                      <w:color w:val="000000"/>
                      <w:kern w:val="0"/>
                      <w:sz w:val="18"/>
                      <w:szCs w:val="18"/>
                      <w:highlight w:val="none"/>
                      <w:u w:val="none"/>
                      <w:lang w:val="en-US" w:eastAsia="zh-CN" w:bidi="ar"/>
                    </w:rPr>
                    <w:t>103</w:t>
                  </w:r>
                </w:p>
              </w:tc>
              <w:tc>
                <w:tcPr>
                  <w:tcW w:w="349" w:type="pct"/>
                  <w:vMerge w:val="continue"/>
                  <w:tcBorders>
                    <w:tl2br w:val="nil"/>
                    <w:tr2bl w:val="nil"/>
                  </w:tcBorders>
                  <w:shd w:val="clear" w:color="auto" w:fill="FFFFFF"/>
                  <w:vAlign w:val="center"/>
                </w:tcPr>
                <w:p w14:paraId="75D76CF2">
                  <w:pPr>
                    <w:pStyle w:val="120"/>
                    <w:keepNext w:val="0"/>
                    <w:keepLines w:val="0"/>
                    <w:pageBreakBefore w:val="0"/>
                    <w:framePr w:hSpace="0" w:wrap="auto" w:vAnchor="margin" w:hAnchor="text" w:xAlign="left" w:yAlign="inline"/>
                    <w:suppressLineNumbers w:val="0"/>
                    <w:kinsoku/>
                    <w:wordWrap/>
                    <w:overflowPunct/>
                    <w:topLinePunct w:val="0"/>
                    <w:bidi w:val="0"/>
                    <w:adjustRightInd w:val="0"/>
                    <w:snapToGrid w:val="0"/>
                    <w:spacing w:before="0" w:beforeAutospacing="0" w:after="0" w:afterAutospacing="0" w:line="276" w:lineRule="auto"/>
                    <w:ind w:left="0" w:right="0"/>
                    <w:jc w:val="center"/>
                    <w:rPr>
                      <w:rFonts w:hint="default" w:ascii="Times New Roman" w:hAnsi="Times New Roman" w:eastAsia="宋体" w:cs="Times New Roman"/>
                      <w:bCs/>
                      <w:i w:val="0"/>
                      <w:iCs w:val="0"/>
                      <w:color w:val="000000"/>
                      <w:kern w:val="0"/>
                      <w:sz w:val="18"/>
                      <w:szCs w:val="18"/>
                      <w:highlight w:val="none"/>
                      <w:u w:val="none"/>
                      <w:lang w:val="en-US" w:eastAsia="zh-CN" w:bidi="ar"/>
                    </w:rPr>
                  </w:pPr>
                </w:p>
              </w:tc>
              <w:tc>
                <w:tcPr>
                  <w:tcW w:w="1015" w:type="pct"/>
                  <w:tcBorders>
                    <w:tl2br w:val="nil"/>
                    <w:tr2bl w:val="nil"/>
                  </w:tcBorders>
                  <w:shd w:val="clear" w:color="auto" w:fill="FFFFFF"/>
                  <w:vAlign w:val="center"/>
                </w:tcPr>
                <w:p w14:paraId="313F6E18">
                  <w:pPr>
                    <w:keepNext w:val="0"/>
                    <w:keepLines w:val="0"/>
                    <w:pageBreakBefore w:val="0"/>
                    <w:widowControl/>
                    <w:suppressLineNumbers w:val="0"/>
                    <w:kinsoku/>
                    <w:wordWrap/>
                    <w:overflowPunct/>
                    <w:topLinePunct w:val="0"/>
                    <w:bidi w:val="0"/>
                    <w:adjustRightInd w:val="0"/>
                    <w:snapToGrid w:val="0"/>
                    <w:spacing w:before="0" w:beforeAutospacing="0" w:after="0" w:afterAutospacing="0" w:line="276" w:lineRule="auto"/>
                    <w:ind w:left="0" w:right="0"/>
                    <w:jc w:val="center"/>
                    <w:textAlignment w:val="center"/>
                    <w:rPr>
                      <w:rFonts w:hint="default" w:ascii="Times New Roman" w:hAnsi="Times New Roman" w:eastAsia="宋体" w:cs="Times New Roman"/>
                      <w:bCs/>
                      <w:i w:val="0"/>
                      <w:iCs w:val="0"/>
                      <w:color w:val="000000"/>
                      <w:kern w:val="0"/>
                      <w:sz w:val="18"/>
                      <w:szCs w:val="18"/>
                      <w:highlight w:val="none"/>
                      <w:u w:val="none"/>
                      <w:lang w:val="en-US" w:eastAsia="zh-CN" w:bidi="ar"/>
                    </w:rPr>
                  </w:pPr>
                  <w:r>
                    <w:rPr>
                      <w:rFonts w:hint="default" w:ascii="Times New Roman" w:hAnsi="Times New Roman" w:eastAsia="宋体" w:cs="Times New Roman"/>
                      <w:bCs/>
                      <w:i w:val="0"/>
                      <w:iCs w:val="0"/>
                      <w:color w:val="000000"/>
                      <w:kern w:val="0"/>
                      <w:sz w:val="18"/>
                      <w:szCs w:val="18"/>
                      <w:highlight w:val="none"/>
                      <w:u w:val="none"/>
                      <w:lang w:val="en-US" w:eastAsia="zh-CN" w:bidi="ar"/>
                    </w:rPr>
                    <w:t>各类气质联用色谱仪</w:t>
                  </w:r>
                </w:p>
              </w:tc>
              <w:tc>
                <w:tcPr>
                  <w:tcW w:w="1436" w:type="pct"/>
                  <w:tcBorders>
                    <w:tl2br w:val="nil"/>
                    <w:tr2bl w:val="nil"/>
                  </w:tcBorders>
                  <w:shd w:val="clear" w:color="auto" w:fill="FFFFFF"/>
                  <w:noWrap/>
                  <w:vAlign w:val="center"/>
                </w:tcPr>
                <w:p w14:paraId="469B5AB5">
                  <w:pPr>
                    <w:keepNext w:val="0"/>
                    <w:keepLines w:val="0"/>
                    <w:pageBreakBefore w:val="0"/>
                    <w:suppressLineNumbers w:val="0"/>
                    <w:kinsoku/>
                    <w:wordWrap/>
                    <w:overflowPunct/>
                    <w:topLinePunct w:val="0"/>
                    <w:bidi w:val="0"/>
                    <w:adjustRightInd w:val="0"/>
                    <w:snapToGrid w:val="0"/>
                    <w:spacing w:before="0" w:beforeAutospacing="0" w:after="0" w:afterAutospacing="0" w:line="276" w:lineRule="auto"/>
                    <w:ind w:left="0" w:right="0"/>
                    <w:jc w:val="center"/>
                    <w:rPr>
                      <w:rFonts w:hint="default" w:ascii="Times New Roman" w:hAnsi="Times New Roman" w:eastAsia="宋体" w:cs="Times New Roman"/>
                      <w:bCs/>
                      <w:i w:val="0"/>
                      <w:iCs w:val="0"/>
                      <w:color w:val="000000"/>
                      <w:kern w:val="0"/>
                      <w:sz w:val="18"/>
                      <w:szCs w:val="18"/>
                      <w:highlight w:val="none"/>
                      <w:u w:val="none"/>
                      <w:lang w:val="en-US" w:eastAsia="zh-CN" w:bidi="ar"/>
                    </w:rPr>
                  </w:pPr>
                  <w:r>
                    <w:rPr>
                      <w:rFonts w:hint="default" w:ascii="Times New Roman" w:hAnsi="Times New Roman" w:eastAsia="宋体" w:cs="Times New Roman"/>
                      <w:bCs/>
                      <w:i w:val="0"/>
                      <w:iCs w:val="0"/>
                      <w:color w:val="000000"/>
                      <w:kern w:val="0"/>
                      <w:sz w:val="18"/>
                      <w:szCs w:val="18"/>
                      <w:highlight w:val="none"/>
                      <w:u w:val="none"/>
                      <w:lang w:val="en-US" w:eastAsia="zh-CN" w:bidi="ar"/>
                    </w:rPr>
                    <w:t>/</w:t>
                  </w:r>
                </w:p>
              </w:tc>
              <w:tc>
                <w:tcPr>
                  <w:tcW w:w="284" w:type="pct"/>
                  <w:tcBorders>
                    <w:tl2br w:val="nil"/>
                    <w:tr2bl w:val="nil"/>
                  </w:tcBorders>
                  <w:shd w:val="clear" w:color="auto" w:fill="FFFFFF"/>
                  <w:vAlign w:val="center"/>
                </w:tcPr>
                <w:p w14:paraId="27C6124E">
                  <w:pPr>
                    <w:keepNext w:val="0"/>
                    <w:keepLines w:val="0"/>
                    <w:pageBreakBefore w:val="0"/>
                    <w:widowControl/>
                    <w:suppressLineNumbers w:val="0"/>
                    <w:kinsoku/>
                    <w:wordWrap/>
                    <w:overflowPunct/>
                    <w:topLinePunct w:val="0"/>
                    <w:bidi w:val="0"/>
                    <w:adjustRightInd w:val="0"/>
                    <w:snapToGrid w:val="0"/>
                    <w:spacing w:before="0" w:beforeAutospacing="0" w:after="0" w:afterAutospacing="0" w:line="276" w:lineRule="auto"/>
                    <w:ind w:left="0" w:right="0"/>
                    <w:jc w:val="center"/>
                    <w:textAlignment w:val="center"/>
                    <w:rPr>
                      <w:rFonts w:hint="default" w:ascii="Times New Roman" w:hAnsi="Times New Roman" w:eastAsia="宋体" w:cs="Times New Roman"/>
                      <w:bCs/>
                      <w:i w:val="0"/>
                      <w:iCs w:val="0"/>
                      <w:color w:val="000000"/>
                      <w:kern w:val="0"/>
                      <w:sz w:val="18"/>
                      <w:szCs w:val="18"/>
                      <w:highlight w:val="none"/>
                      <w:u w:val="none"/>
                      <w:lang w:val="en-US" w:eastAsia="zh-CN" w:bidi="ar"/>
                    </w:rPr>
                  </w:pPr>
                  <w:r>
                    <w:rPr>
                      <w:rFonts w:hint="default" w:ascii="Times New Roman" w:hAnsi="Times New Roman" w:eastAsia="宋体" w:cs="Times New Roman"/>
                      <w:bCs/>
                      <w:i w:val="0"/>
                      <w:iCs w:val="0"/>
                      <w:color w:val="000000"/>
                      <w:kern w:val="0"/>
                      <w:sz w:val="18"/>
                      <w:szCs w:val="18"/>
                      <w:highlight w:val="none"/>
                      <w:u w:val="none"/>
                      <w:lang w:val="en-US" w:eastAsia="zh-CN" w:bidi="ar"/>
                    </w:rPr>
                    <w:t>3</w:t>
                  </w:r>
                </w:p>
              </w:tc>
              <w:tc>
                <w:tcPr>
                  <w:tcW w:w="1678" w:type="pct"/>
                  <w:vMerge w:val="continue"/>
                  <w:tcBorders>
                    <w:tl2br w:val="nil"/>
                    <w:tr2bl w:val="nil"/>
                  </w:tcBorders>
                  <w:shd w:val="clear" w:color="auto" w:fill="FFFFFF"/>
                  <w:vAlign w:val="center"/>
                </w:tcPr>
                <w:p w14:paraId="16C6FCD8">
                  <w:pPr>
                    <w:keepNext w:val="0"/>
                    <w:keepLines w:val="0"/>
                    <w:pageBreakBefore w:val="0"/>
                    <w:widowControl/>
                    <w:suppressLineNumbers w:val="0"/>
                    <w:kinsoku/>
                    <w:wordWrap/>
                    <w:overflowPunct/>
                    <w:topLinePunct w:val="0"/>
                    <w:bidi w:val="0"/>
                    <w:adjustRightInd w:val="0"/>
                    <w:snapToGrid w:val="0"/>
                    <w:spacing w:before="0" w:beforeAutospacing="0" w:after="0" w:afterAutospacing="0" w:line="276" w:lineRule="auto"/>
                    <w:ind w:left="0" w:right="0"/>
                    <w:jc w:val="center"/>
                    <w:textAlignment w:val="center"/>
                    <w:rPr>
                      <w:rFonts w:hint="default" w:ascii="Times New Roman" w:hAnsi="Times New Roman" w:eastAsia="宋体" w:cs="Times New Roman"/>
                      <w:i w:val="0"/>
                      <w:iCs w:val="0"/>
                      <w:color w:val="000000"/>
                      <w:kern w:val="0"/>
                      <w:sz w:val="18"/>
                      <w:szCs w:val="18"/>
                      <w:highlight w:val="none"/>
                      <w:u w:val="none"/>
                      <w:lang w:val="en-US" w:eastAsia="zh-CN" w:bidi="ar"/>
                    </w:rPr>
                  </w:pPr>
                </w:p>
              </w:tc>
            </w:tr>
            <w:tr w14:paraId="60A7040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FFFFFF"/>
                <w:tblCellMar>
                  <w:top w:w="0" w:type="dxa"/>
                  <w:left w:w="28" w:type="dxa"/>
                  <w:bottom w:w="0" w:type="dxa"/>
                  <w:right w:w="28" w:type="dxa"/>
                </w:tblCellMar>
              </w:tblPrEx>
              <w:trPr>
                <w:trHeight w:val="0" w:hRule="atLeast"/>
              </w:trPr>
              <w:tc>
                <w:tcPr>
                  <w:tcW w:w="235" w:type="pct"/>
                  <w:tcBorders>
                    <w:tl2br w:val="nil"/>
                    <w:tr2bl w:val="nil"/>
                  </w:tcBorders>
                  <w:shd w:val="clear" w:color="auto" w:fill="FFFFFF"/>
                  <w:noWrap/>
                  <w:vAlign w:val="center"/>
                </w:tcPr>
                <w:p w14:paraId="6F631B60">
                  <w:pPr>
                    <w:keepNext w:val="0"/>
                    <w:keepLines w:val="0"/>
                    <w:pageBreakBefore w:val="0"/>
                    <w:widowControl/>
                    <w:suppressLineNumbers w:val="0"/>
                    <w:kinsoku/>
                    <w:wordWrap/>
                    <w:overflowPunct/>
                    <w:topLinePunct w:val="0"/>
                    <w:bidi w:val="0"/>
                    <w:adjustRightInd w:val="0"/>
                    <w:snapToGrid w:val="0"/>
                    <w:spacing w:before="0" w:beforeAutospacing="0" w:after="0" w:afterAutospacing="0" w:line="276" w:lineRule="auto"/>
                    <w:ind w:left="0" w:right="0"/>
                    <w:jc w:val="center"/>
                    <w:textAlignment w:val="center"/>
                    <w:rPr>
                      <w:rFonts w:hint="default" w:ascii="Times New Roman" w:hAnsi="Times New Roman" w:eastAsia="宋体" w:cs="Times New Roman"/>
                      <w:bCs/>
                      <w:i w:val="0"/>
                      <w:iCs w:val="0"/>
                      <w:color w:val="000000"/>
                      <w:kern w:val="0"/>
                      <w:sz w:val="18"/>
                      <w:szCs w:val="18"/>
                      <w:highlight w:val="none"/>
                      <w:u w:val="none"/>
                      <w:lang w:val="en-US" w:eastAsia="zh-CN" w:bidi="ar"/>
                    </w:rPr>
                  </w:pPr>
                  <w:r>
                    <w:rPr>
                      <w:rFonts w:hint="default" w:ascii="Times New Roman" w:hAnsi="Times New Roman" w:eastAsia="宋体" w:cs="Times New Roman"/>
                      <w:bCs/>
                      <w:i w:val="0"/>
                      <w:iCs w:val="0"/>
                      <w:color w:val="000000"/>
                      <w:kern w:val="0"/>
                      <w:sz w:val="18"/>
                      <w:szCs w:val="18"/>
                      <w:highlight w:val="none"/>
                      <w:u w:val="none"/>
                      <w:lang w:val="en-US" w:eastAsia="zh-CN" w:bidi="ar"/>
                    </w:rPr>
                    <w:t>104</w:t>
                  </w:r>
                </w:p>
              </w:tc>
              <w:tc>
                <w:tcPr>
                  <w:tcW w:w="349" w:type="pct"/>
                  <w:vMerge w:val="continue"/>
                  <w:tcBorders>
                    <w:tl2br w:val="nil"/>
                    <w:tr2bl w:val="nil"/>
                  </w:tcBorders>
                  <w:shd w:val="clear" w:color="auto" w:fill="FFFFFF"/>
                  <w:vAlign w:val="center"/>
                </w:tcPr>
                <w:p w14:paraId="40D0A143">
                  <w:pPr>
                    <w:pStyle w:val="120"/>
                    <w:keepNext w:val="0"/>
                    <w:keepLines w:val="0"/>
                    <w:pageBreakBefore w:val="0"/>
                    <w:framePr w:hSpace="0" w:wrap="auto" w:vAnchor="margin" w:hAnchor="text" w:xAlign="left" w:yAlign="inline"/>
                    <w:suppressLineNumbers w:val="0"/>
                    <w:kinsoku/>
                    <w:wordWrap/>
                    <w:overflowPunct/>
                    <w:topLinePunct w:val="0"/>
                    <w:bidi w:val="0"/>
                    <w:adjustRightInd w:val="0"/>
                    <w:snapToGrid w:val="0"/>
                    <w:spacing w:before="0" w:beforeAutospacing="0" w:after="0" w:afterAutospacing="0" w:line="276" w:lineRule="auto"/>
                    <w:ind w:left="0" w:right="0"/>
                    <w:jc w:val="center"/>
                    <w:rPr>
                      <w:rFonts w:hint="default" w:ascii="Times New Roman" w:hAnsi="Times New Roman" w:eastAsia="宋体" w:cs="Times New Roman"/>
                      <w:bCs/>
                      <w:i w:val="0"/>
                      <w:iCs w:val="0"/>
                      <w:color w:val="000000"/>
                      <w:kern w:val="0"/>
                      <w:sz w:val="18"/>
                      <w:szCs w:val="18"/>
                      <w:highlight w:val="none"/>
                      <w:u w:val="none"/>
                      <w:lang w:val="en-US" w:eastAsia="zh-CN" w:bidi="ar"/>
                    </w:rPr>
                  </w:pPr>
                </w:p>
              </w:tc>
              <w:tc>
                <w:tcPr>
                  <w:tcW w:w="1015" w:type="pct"/>
                  <w:tcBorders>
                    <w:tl2br w:val="nil"/>
                    <w:tr2bl w:val="nil"/>
                  </w:tcBorders>
                  <w:shd w:val="clear" w:color="auto" w:fill="FFFFFF"/>
                  <w:vAlign w:val="center"/>
                </w:tcPr>
                <w:p w14:paraId="7E21DCB0">
                  <w:pPr>
                    <w:keepNext w:val="0"/>
                    <w:keepLines w:val="0"/>
                    <w:pageBreakBefore w:val="0"/>
                    <w:widowControl/>
                    <w:suppressLineNumbers w:val="0"/>
                    <w:kinsoku/>
                    <w:wordWrap/>
                    <w:overflowPunct/>
                    <w:topLinePunct w:val="0"/>
                    <w:bidi w:val="0"/>
                    <w:adjustRightInd w:val="0"/>
                    <w:snapToGrid w:val="0"/>
                    <w:spacing w:before="0" w:beforeAutospacing="0" w:after="0" w:afterAutospacing="0" w:line="276" w:lineRule="auto"/>
                    <w:ind w:left="0" w:right="0"/>
                    <w:jc w:val="center"/>
                    <w:textAlignment w:val="center"/>
                    <w:rPr>
                      <w:rFonts w:hint="default" w:ascii="Times New Roman" w:hAnsi="Times New Roman" w:eastAsia="宋体" w:cs="Times New Roman"/>
                      <w:bCs/>
                      <w:i w:val="0"/>
                      <w:iCs w:val="0"/>
                      <w:color w:val="000000"/>
                      <w:kern w:val="0"/>
                      <w:sz w:val="18"/>
                      <w:szCs w:val="18"/>
                      <w:highlight w:val="none"/>
                      <w:u w:val="none"/>
                      <w:lang w:val="en-US" w:eastAsia="zh-CN" w:bidi="ar"/>
                    </w:rPr>
                  </w:pPr>
                  <w:r>
                    <w:rPr>
                      <w:rFonts w:hint="default" w:ascii="Times New Roman" w:hAnsi="Times New Roman" w:eastAsia="宋体" w:cs="Times New Roman"/>
                      <w:bCs/>
                      <w:i w:val="0"/>
                      <w:iCs w:val="0"/>
                      <w:color w:val="000000"/>
                      <w:kern w:val="0"/>
                      <w:sz w:val="18"/>
                      <w:szCs w:val="18"/>
                      <w:highlight w:val="none"/>
                      <w:u w:val="none"/>
                      <w:lang w:val="en-US" w:eastAsia="zh-CN" w:bidi="ar"/>
                    </w:rPr>
                    <w:t>各类核磁共振波谱仪</w:t>
                  </w:r>
                </w:p>
              </w:tc>
              <w:tc>
                <w:tcPr>
                  <w:tcW w:w="1436" w:type="pct"/>
                  <w:tcBorders>
                    <w:tl2br w:val="nil"/>
                    <w:tr2bl w:val="nil"/>
                  </w:tcBorders>
                  <w:shd w:val="clear" w:color="auto" w:fill="FFFFFF"/>
                  <w:noWrap/>
                  <w:vAlign w:val="center"/>
                </w:tcPr>
                <w:p w14:paraId="7AC24A82">
                  <w:pPr>
                    <w:keepNext w:val="0"/>
                    <w:keepLines w:val="0"/>
                    <w:pageBreakBefore w:val="0"/>
                    <w:suppressLineNumbers w:val="0"/>
                    <w:kinsoku/>
                    <w:wordWrap/>
                    <w:overflowPunct/>
                    <w:topLinePunct w:val="0"/>
                    <w:bidi w:val="0"/>
                    <w:adjustRightInd w:val="0"/>
                    <w:snapToGrid w:val="0"/>
                    <w:spacing w:before="0" w:beforeAutospacing="0" w:after="0" w:afterAutospacing="0" w:line="276" w:lineRule="auto"/>
                    <w:ind w:left="0" w:right="0"/>
                    <w:jc w:val="center"/>
                    <w:rPr>
                      <w:rFonts w:hint="default" w:ascii="Times New Roman" w:hAnsi="Times New Roman" w:eastAsia="宋体" w:cs="Times New Roman"/>
                      <w:bCs/>
                      <w:i w:val="0"/>
                      <w:iCs w:val="0"/>
                      <w:color w:val="000000"/>
                      <w:kern w:val="0"/>
                      <w:sz w:val="18"/>
                      <w:szCs w:val="18"/>
                      <w:highlight w:val="none"/>
                      <w:u w:val="none"/>
                      <w:lang w:val="en-US" w:eastAsia="zh-CN" w:bidi="ar"/>
                    </w:rPr>
                  </w:pPr>
                  <w:r>
                    <w:rPr>
                      <w:rFonts w:hint="default" w:ascii="Times New Roman" w:hAnsi="Times New Roman" w:eastAsia="宋体" w:cs="Times New Roman"/>
                      <w:bCs/>
                      <w:i w:val="0"/>
                      <w:iCs w:val="0"/>
                      <w:color w:val="000000"/>
                      <w:kern w:val="0"/>
                      <w:sz w:val="18"/>
                      <w:szCs w:val="18"/>
                      <w:highlight w:val="none"/>
                      <w:u w:val="none"/>
                      <w:lang w:val="en-US" w:eastAsia="zh-CN" w:bidi="ar"/>
                    </w:rPr>
                    <w:t>/</w:t>
                  </w:r>
                </w:p>
              </w:tc>
              <w:tc>
                <w:tcPr>
                  <w:tcW w:w="284" w:type="pct"/>
                  <w:tcBorders>
                    <w:tl2br w:val="nil"/>
                    <w:tr2bl w:val="nil"/>
                  </w:tcBorders>
                  <w:shd w:val="clear" w:color="auto" w:fill="FFFFFF"/>
                  <w:vAlign w:val="center"/>
                </w:tcPr>
                <w:p w14:paraId="46C2EBF3">
                  <w:pPr>
                    <w:keepNext w:val="0"/>
                    <w:keepLines w:val="0"/>
                    <w:pageBreakBefore w:val="0"/>
                    <w:widowControl/>
                    <w:suppressLineNumbers w:val="0"/>
                    <w:kinsoku/>
                    <w:wordWrap/>
                    <w:overflowPunct/>
                    <w:topLinePunct w:val="0"/>
                    <w:bidi w:val="0"/>
                    <w:adjustRightInd w:val="0"/>
                    <w:snapToGrid w:val="0"/>
                    <w:spacing w:before="0" w:beforeAutospacing="0" w:after="0" w:afterAutospacing="0" w:line="276" w:lineRule="auto"/>
                    <w:ind w:left="0" w:right="0"/>
                    <w:jc w:val="center"/>
                    <w:textAlignment w:val="center"/>
                    <w:rPr>
                      <w:rFonts w:hint="default" w:ascii="Times New Roman" w:hAnsi="Times New Roman" w:eastAsia="宋体" w:cs="Times New Roman"/>
                      <w:bCs/>
                      <w:i w:val="0"/>
                      <w:iCs w:val="0"/>
                      <w:color w:val="000000"/>
                      <w:kern w:val="0"/>
                      <w:sz w:val="18"/>
                      <w:szCs w:val="18"/>
                      <w:highlight w:val="none"/>
                      <w:u w:val="none"/>
                      <w:lang w:val="en-US" w:eastAsia="zh-CN" w:bidi="ar"/>
                    </w:rPr>
                  </w:pPr>
                  <w:r>
                    <w:rPr>
                      <w:rFonts w:hint="default" w:ascii="Times New Roman" w:hAnsi="Times New Roman" w:eastAsia="宋体" w:cs="Times New Roman"/>
                      <w:bCs/>
                      <w:i w:val="0"/>
                      <w:iCs w:val="0"/>
                      <w:color w:val="000000"/>
                      <w:kern w:val="0"/>
                      <w:sz w:val="18"/>
                      <w:szCs w:val="18"/>
                      <w:highlight w:val="none"/>
                      <w:u w:val="none"/>
                      <w:lang w:val="en-US" w:eastAsia="zh-CN" w:bidi="ar"/>
                    </w:rPr>
                    <w:t>6</w:t>
                  </w:r>
                </w:p>
              </w:tc>
              <w:tc>
                <w:tcPr>
                  <w:tcW w:w="1678" w:type="pct"/>
                  <w:vMerge w:val="continue"/>
                  <w:tcBorders>
                    <w:tl2br w:val="nil"/>
                    <w:tr2bl w:val="nil"/>
                  </w:tcBorders>
                  <w:shd w:val="clear" w:color="auto" w:fill="FFFFFF"/>
                  <w:vAlign w:val="center"/>
                </w:tcPr>
                <w:p w14:paraId="49FDFC60">
                  <w:pPr>
                    <w:keepNext w:val="0"/>
                    <w:keepLines w:val="0"/>
                    <w:pageBreakBefore w:val="0"/>
                    <w:widowControl/>
                    <w:suppressLineNumbers w:val="0"/>
                    <w:kinsoku/>
                    <w:wordWrap/>
                    <w:overflowPunct/>
                    <w:topLinePunct w:val="0"/>
                    <w:bidi w:val="0"/>
                    <w:adjustRightInd w:val="0"/>
                    <w:snapToGrid w:val="0"/>
                    <w:spacing w:before="0" w:beforeAutospacing="0" w:after="0" w:afterAutospacing="0" w:line="276" w:lineRule="auto"/>
                    <w:ind w:left="0" w:right="0"/>
                    <w:jc w:val="center"/>
                    <w:textAlignment w:val="center"/>
                    <w:rPr>
                      <w:rFonts w:hint="default" w:ascii="Times New Roman" w:hAnsi="Times New Roman" w:eastAsia="宋体" w:cs="Times New Roman"/>
                      <w:i w:val="0"/>
                      <w:iCs w:val="0"/>
                      <w:color w:val="000000"/>
                      <w:kern w:val="0"/>
                      <w:sz w:val="18"/>
                      <w:szCs w:val="18"/>
                      <w:highlight w:val="none"/>
                      <w:u w:val="none"/>
                      <w:lang w:val="en-US" w:eastAsia="zh-CN" w:bidi="ar"/>
                    </w:rPr>
                  </w:pPr>
                </w:p>
              </w:tc>
            </w:tr>
            <w:tr w14:paraId="4954275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0" w:hRule="atLeast"/>
              </w:trPr>
              <w:tc>
                <w:tcPr>
                  <w:tcW w:w="235" w:type="pct"/>
                  <w:tcBorders>
                    <w:tl2br w:val="nil"/>
                    <w:tr2bl w:val="nil"/>
                  </w:tcBorders>
                  <w:shd w:val="clear" w:color="auto" w:fill="FFFFFF"/>
                  <w:noWrap/>
                  <w:vAlign w:val="center"/>
                </w:tcPr>
                <w:p w14:paraId="6C5123D8">
                  <w:pPr>
                    <w:keepNext w:val="0"/>
                    <w:keepLines w:val="0"/>
                    <w:pageBreakBefore w:val="0"/>
                    <w:widowControl/>
                    <w:suppressLineNumbers w:val="0"/>
                    <w:kinsoku/>
                    <w:wordWrap/>
                    <w:overflowPunct/>
                    <w:topLinePunct w:val="0"/>
                    <w:bidi w:val="0"/>
                    <w:adjustRightInd w:val="0"/>
                    <w:snapToGrid w:val="0"/>
                    <w:spacing w:before="0" w:beforeAutospacing="0" w:after="0" w:afterAutospacing="0" w:line="276" w:lineRule="auto"/>
                    <w:ind w:left="0" w:right="0"/>
                    <w:jc w:val="center"/>
                    <w:textAlignment w:val="center"/>
                    <w:rPr>
                      <w:rFonts w:hint="default" w:ascii="Times New Roman" w:hAnsi="Times New Roman" w:eastAsia="宋体" w:cs="Times New Roman"/>
                      <w:bCs/>
                      <w:i w:val="0"/>
                      <w:iCs w:val="0"/>
                      <w:color w:val="000000"/>
                      <w:kern w:val="0"/>
                      <w:sz w:val="18"/>
                      <w:szCs w:val="18"/>
                      <w:highlight w:val="none"/>
                      <w:u w:val="none"/>
                      <w:lang w:val="en-US" w:eastAsia="zh-CN" w:bidi="ar"/>
                    </w:rPr>
                  </w:pPr>
                  <w:r>
                    <w:rPr>
                      <w:rFonts w:hint="default" w:ascii="Times New Roman" w:hAnsi="Times New Roman" w:eastAsia="宋体" w:cs="Times New Roman"/>
                      <w:bCs/>
                      <w:i w:val="0"/>
                      <w:iCs w:val="0"/>
                      <w:color w:val="000000"/>
                      <w:kern w:val="0"/>
                      <w:sz w:val="18"/>
                      <w:szCs w:val="18"/>
                      <w:highlight w:val="none"/>
                      <w:u w:val="none"/>
                      <w:lang w:val="en-US" w:eastAsia="zh-CN" w:bidi="ar"/>
                    </w:rPr>
                    <w:t>105</w:t>
                  </w:r>
                </w:p>
              </w:tc>
              <w:tc>
                <w:tcPr>
                  <w:tcW w:w="349" w:type="pct"/>
                  <w:vMerge w:val="continue"/>
                  <w:tcBorders>
                    <w:tl2br w:val="nil"/>
                    <w:tr2bl w:val="nil"/>
                  </w:tcBorders>
                  <w:shd w:val="clear" w:color="auto" w:fill="FFFFFF"/>
                  <w:vAlign w:val="center"/>
                </w:tcPr>
                <w:p w14:paraId="7CF17FFC">
                  <w:pPr>
                    <w:pStyle w:val="120"/>
                    <w:keepNext w:val="0"/>
                    <w:keepLines w:val="0"/>
                    <w:pageBreakBefore w:val="0"/>
                    <w:framePr w:hSpace="0" w:wrap="auto" w:vAnchor="margin" w:hAnchor="text" w:xAlign="left" w:yAlign="inline"/>
                    <w:suppressLineNumbers w:val="0"/>
                    <w:kinsoku/>
                    <w:wordWrap/>
                    <w:overflowPunct/>
                    <w:topLinePunct w:val="0"/>
                    <w:bidi w:val="0"/>
                    <w:adjustRightInd w:val="0"/>
                    <w:snapToGrid w:val="0"/>
                    <w:spacing w:before="0" w:beforeAutospacing="0" w:after="0" w:afterAutospacing="0" w:line="276" w:lineRule="auto"/>
                    <w:ind w:left="0" w:right="0"/>
                    <w:jc w:val="center"/>
                    <w:rPr>
                      <w:rFonts w:hint="default" w:ascii="Times New Roman" w:hAnsi="Times New Roman" w:eastAsia="宋体" w:cs="Times New Roman"/>
                      <w:bCs/>
                      <w:i w:val="0"/>
                      <w:iCs w:val="0"/>
                      <w:color w:val="000000"/>
                      <w:kern w:val="0"/>
                      <w:sz w:val="18"/>
                      <w:szCs w:val="18"/>
                      <w:highlight w:val="none"/>
                      <w:u w:val="none"/>
                      <w:lang w:val="en-US" w:eastAsia="zh-CN" w:bidi="ar"/>
                    </w:rPr>
                  </w:pPr>
                </w:p>
              </w:tc>
              <w:tc>
                <w:tcPr>
                  <w:tcW w:w="1015" w:type="pct"/>
                  <w:tcBorders>
                    <w:tl2br w:val="nil"/>
                    <w:tr2bl w:val="nil"/>
                  </w:tcBorders>
                  <w:shd w:val="clear" w:color="auto" w:fill="FFFFFF"/>
                  <w:vAlign w:val="center"/>
                </w:tcPr>
                <w:p w14:paraId="22D932DD">
                  <w:pPr>
                    <w:keepNext w:val="0"/>
                    <w:keepLines w:val="0"/>
                    <w:pageBreakBefore w:val="0"/>
                    <w:widowControl/>
                    <w:suppressLineNumbers w:val="0"/>
                    <w:kinsoku/>
                    <w:wordWrap/>
                    <w:overflowPunct/>
                    <w:topLinePunct w:val="0"/>
                    <w:bidi w:val="0"/>
                    <w:adjustRightInd w:val="0"/>
                    <w:snapToGrid w:val="0"/>
                    <w:spacing w:before="0" w:beforeAutospacing="0" w:after="0" w:afterAutospacing="0" w:line="276" w:lineRule="auto"/>
                    <w:ind w:left="0" w:right="0"/>
                    <w:jc w:val="center"/>
                    <w:textAlignment w:val="center"/>
                    <w:rPr>
                      <w:rFonts w:hint="default" w:ascii="Times New Roman" w:hAnsi="Times New Roman" w:eastAsia="宋体" w:cs="Times New Roman"/>
                      <w:bCs/>
                      <w:i w:val="0"/>
                      <w:iCs w:val="0"/>
                      <w:color w:val="000000"/>
                      <w:kern w:val="0"/>
                      <w:sz w:val="18"/>
                      <w:szCs w:val="18"/>
                      <w:highlight w:val="none"/>
                      <w:u w:val="none"/>
                      <w:lang w:val="en-US" w:eastAsia="zh-CN" w:bidi="ar"/>
                    </w:rPr>
                  </w:pPr>
                  <w:r>
                    <w:rPr>
                      <w:rFonts w:hint="default" w:ascii="Times New Roman" w:hAnsi="Times New Roman" w:eastAsia="宋体" w:cs="Times New Roman"/>
                      <w:bCs/>
                      <w:i w:val="0"/>
                      <w:iCs w:val="0"/>
                      <w:color w:val="000000"/>
                      <w:kern w:val="0"/>
                      <w:sz w:val="18"/>
                      <w:szCs w:val="18"/>
                      <w:highlight w:val="none"/>
                      <w:u w:val="none"/>
                      <w:lang w:val="en-US" w:eastAsia="zh-CN" w:bidi="ar"/>
                    </w:rPr>
                    <w:t>荧光分光光度计</w:t>
                  </w:r>
                </w:p>
              </w:tc>
              <w:tc>
                <w:tcPr>
                  <w:tcW w:w="1436" w:type="pct"/>
                  <w:tcBorders>
                    <w:tl2br w:val="nil"/>
                    <w:tr2bl w:val="nil"/>
                  </w:tcBorders>
                  <w:shd w:val="clear" w:color="auto" w:fill="FFFFFF"/>
                  <w:noWrap/>
                  <w:vAlign w:val="center"/>
                </w:tcPr>
                <w:p w14:paraId="4C455458">
                  <w:pPr>
                    <w:keepNext w:val="0"/>
                    <w:keepLines w:val="0"/>
                    <w:pageBreakBefore w:val="0"/>
                    <w:suppressLineNumbers w:val="0"/>
                    <w:kinsoku/>
                    <w:wordWrap/>
                    <w:overflowPunct/>
                    <w:topLinePunct w:val="0"/>
                    <w:bidi w:val="0"/>
                    <w:adjustRightInd w:val="0"/>
                    <w:snapToGrid w:val="0"/>
                    <w:spacing w:before="0" w:beforeAutospacing="0" w:after="0" w:afterAutospacing="0" w:line="276" w:lineRule="auto"/>
                    <w:ind w:left="0" w:right="0"/>
                    <w:jc w:val="center"/>
                    <w:rPr>
                      <w:rFonts w:hint="default" w:ascii="Times New Roman" w:hAnsi="Times New Roman" w:eastAsia="宋体" w:cs="Times New Roman"/>
                      <w:bCs/>
                      <w:i w:val="0"/>
                      <w:iCs w:val="0"/>
                      <w:color w:val="000000"/>
                      <w:kern w:val="0"/>
                      <w:sz w:val="18"/>
                      <w:szCs w:val="18"/>
                      <w:highlight w:val="none"/>
                      <w:u w:val="none"/>
                      <w:lang w:val="en-US" w:eastAsia="zh-CN" w:bidi="ar"/>
                    </w:rPr>
                  </w:pPr>
                  <w:r>
                    <w:rPr>
                      <w:rFonts w:hint="default" w:ascii="Times New Roman" w:hAnsi="Times New Roman" w:eastAsia="宋体" w:cs="Times New Roman"/>
                      <w:bCs/>
                      <w:i w:val="0"/>
                      <w:iCs w:val="0"/>
                      <w:color w:val="000000"/>
                      <w:kern w:val="0"/>
                      <w:sz w:val="18"/>
                      <w:szCs w:val="18"/>
                      <w:highlight w:val="none"/>
                      <w:u w:val="none"/>
                      <w:lang w:val="en-US" w:eastAsia="zh-CN" w:bidi="ar"/>
                    </w:rPr>
                    <w:t>/</w:t>
                  </w:r>
                </w:p>
              </w:tc>
              <w:tc>
                <w:tcPr>
                  <w:tcW w:w="284" w:type="pct"/>
                  <w:tcBorders>
                    <w:tl2br w:val="nil"/>
                    <w:tr2bl w:val="nil"/>
                  </w:tcBorders>
                  <w:shd w:val="clear" w:color="auto" w:fill="FFFFFF"/>
                  <w:vAlign w:val="center"/>
                </w:tcPr>
                <w:p w14:paraId="6BF528C4">
                  <w:pPr>
                    <w:keepNext w:val="0"/>
                    <w:keepLines w:val="0"/>
                    <w:pageBreakBefore w:val="0"/>
                    <w:widowControl/>
                    <w:suppressLineNumbers w:val="0"/>
                    <w:kinsoku/>
                    <w:wordWrap/>
                    <w:overflowPunct/>
                    <w:topLinePunct w:val="0"/>
                    <w:bidi w:val="0"/>
                    <w:adjustRightInd w:val="0"/>
                    <w:snapToGrid w:val="0"/>
                    <w:spacing w:before="0" w:beforeAutospacing="0" w:after="0" w:afterAutospacing="0" w:line="276" w:lineRule="auto"/>
                    <w:ind w:left="0" w:right="0"/>
                    <w:jc w:val="center"/>
                    <w:textAlignment w:val="center"/>
                    <w:rPr>
                      <w:rFonts w:hint="default" w:ascii="Times New Roman" w:hAnsi="Times New Roman" w:eastAsia="宋体" w:cs="Times New Roman"/>
                      <w:bCs/>
                      <w:i w:val="0"/>
                      <w:iCs w:val="0"/>
                      <w:color w:val="000000"/>
                      <w:kern w:val="0"/>
                      <w:sz w:val="18"/>
                      <w:szCs w:val="18"/>
                      <w:highlight w:val="none"/>
                      <w:u w:val="none"/>
                      <w:lang w:val="en-US" w:eastAsia="zh-CN" w:bidi="ar"/>
                    </w:rPr>
                  </w:pPr>
                  <w:r>
                    <w:rPr>
                      <w:rFonts w:hint="default" w:ascii="Times New Roman" w:hAnsi="Times New Roman" w:eastAsia="宋体" w:cs="Times New Roman"/>
                      <w:bCs/>
                      <w:i w:val="0"/>
                      <w:iCs w:val="0"/>
                      <w:color w:val="000000"/>
                      <w:kern w:val="0"/>
                      <w:sz w:val="18"/>
                      <w:szCs w:val="18"/>
                      <w:highlight w:val="none"/>
                      <w:u w:val="none"/>
                      <w:lang w:val="en-US" w:eastAsia="zh-CN" w:bidi="ar"/>
                    </w:rPr>
                    <w:t>5</w:t>
                  </w:r>
                </w:p>
              </w:tc>
              <w:tc>
                <w:tcPr>
                  <w:tcW w:w="1678" w:type="pct"/>
                  <w:vMerge w:val="continue"/>
                  <w:tcBorders>
                    <w:tl2br w:val="nil"/>
                    <w:tr2bl w:val="nil"/>
                  </w:tcBorders>
                  <w:shd w:val="clear" w:color="auto" w:fill="FFFFFF"/>
                  <w:vAlign w:val="center"/>
                </w:tcPr>
                <w:p w14:paraId="2F29CFC9">
                  <w:pPr>
                    <w:keepNext w:val="0"/>
                    <w:keepLines w:val="0"/>
                    <w:pageBreakBefore w:val="0"/>
                    <w:widowControl/>
                    <w:suppressLineNumbers w:val="0"/>
                    <w:kinsoku/>
                    <w:wordWrap/>
                    <w:overflowPunct/>
                    <w:topLinePunct w:val="0"/>
                    <w:bidi w:val="0"/>
                    <w:adjustRightInd w:val="0"/>
                    <w:snapToGrid w:val="0"/>
                    <w:spacing w:before="0" w:beforeAutospacing="0" w:after="0" w:afterAutospacing="0" w:line="276" w:lineRule="auto"/>
                    <w:ind w:left="0" w:right="0"/>
                    <w:jc w:val="center"/>
                    <w:textAlignment w:val="center"/>
                    <w:rPr>
                      <w:rFonts w:hint="default" w:ascii="Times New Roman" w:hAnsi="Times New Roman" w:eastAsia="宋体" w:cs="Times New Roman"/>
                      <w:i w:val="0"/>
                      <w:iCs w:val="0"/>
                      <w:color w:val="000000"/>
                      <w:kern w:val="0"/>
                      <w:sz w:val="18"/>
                      <w:szCs w:val="18"/>
                      <w:highlight w:val="none"/>
                      <w:u w:val="none"/>
                      <w:lang w:val="en-US" w:eastAsia="zh-CN" w:bidi="ar"/>
                    </w:rPr>
                  </w:pPr>
                </w:p>
              </w:tc>
            </w:tr>
            <w:tr w14:paraId="31F71BE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FFFFFF"/>
                <w:tblCellMar>
                  <w:top w:w="0" w:type="dxa"/>
                  <w:left w:w="28" w:type="dxa"/>
                  <w:bottom w:w="0" w:type="dxa"/>
                  <w:right w:w="28" w:type="dxa"/>
                </w:tblCellMar>
              </w:tblPrEx>
              <w:trPr>
                <w:trHeight w:val="0" w:hRule="atLeast"/>
              </w:trPr>
              <w:tc>
                <w:tcPr>
                  <w:tcW w:w="235" w:type="pct"/>
                  <w:tcBorders>
                    <w:tl2br w:val="nil"/>
                    <w:tr2bl w:val="nil"/>
                  </w:tcBorders>
                  <w:shd w:val="clear" w:color="auto" w:fill="FFFFFF"/>
                  <w:noWrap/>
                  <w:vAlign w:val="center"/>
                </w:tcPr>
                <w:p w14:paraId="14EAED87">
                  <w:pPr>
                    <w:keepNext w:val="0"/>
                    <w:keepLines w:val="0"/>
                    <w:pageBreakBefore w:val="0"/>
                    <w:widowControl/>
                    <w:suppressLineNumbers w:val="0"/>
                    <w:kinsoku/>
                    <w:wordWrap/>
                    <w:overflowPunct/>
                    <w:topLinePunct w:val="0"/>
                    <w:bidi w:val="0"/>
                    <w:adjustRightInd w:val="0"/>
                    <w:snapToGrid w:val="0"/>
                    <w:spacing w:before="0" w:beforeAutospacing="0" w:after="0" w:afterAutospacing="0" w:line="276" w:lineRule="auto"/>
                    <w:ind w:left="0" w:right="0"/>
                    <w:jc w:val="center"/>
                    <w:textAlignment w:val="center"/>
                    <w:rPr>
                      <w:rFonts w:hint="default" w:ascii="Times New Roman" w:hAnsi="Times New Roman" w:eastAsia="宋体" w:cs="Times New Roman"/>
                      <w:bCs/>
                      <w:i w:val="0"/>
                      <w:iCs w:val="0"/>
                      <w:color w:val="000000"/>
                      <w:kern w:val="0"/>
                      <w:sz w:val="18"/>
                      <w:szCs w:val="18"/>
                      <w:highlight w:val="none"/>
                      <w:u w:val="none"/>
                      <w:lang w:val="en-US" w:eastAsia="zh-CN" w:bidi="ar"/>
                    </w:rPr>
                  </w:pPr>
                  <w:r>
                    <w:rPr>
                      <w:rFonts w:hint="default" w:ascii="Times New Roman" w:hAnsi="Times New Roman" w:eastAsia="宋体" w:cs="Times New Roman"/>
                      <w:bCs/>
                      <w:i w:val="0"/>
                      <w:iCs w:val="0"/>
                      <w:color w:val="000000"/>
                      <w:kern w:val="0"/>
                      <w:sz w:val="18"/>
                      <w:szCs w:val="18"/>
                      <w:highlight w:val="none"/>
                      <w:u w:val="none"/>
                      <w:lang w:val="en-US" w:eastAsia="zh-CN" w:bidi="ar"/>
                    </w:rPr>
                    <w:t>106</w:t>
                  </w:r>
                </w:p>
              </w:tc>
              <w:tc>
                <w:tcPr>
                  <w:tcW w:w="349" w:type="pct"/>
                  <w:vMerge w:val="continue"/>
                  <w:tcBorders>
                    <w:tl2br w:val="nil"/>
                    <w:tr2bl w:val="nil"/>
                  </w:tcBorders>
                  <w:shd w:val="clear" w:color="auto" w:fill="FFFFFF"/>
                  <w:vAlign w:val="center"/>
                </w:tcPr>
                <w:p w14:paraId="7E14E642">
                  <w:pPr>
                    <w:pStyle w:val="120"/>
                    <w:keepNext w:val="0"/>
                    <w:keepLines w:val="0"/>
                    <w:pageBreakBefore w:val="0"/>
                    <w:framePr w:hSpace="0" w:wrap="auto" w:vAnchor="margin" w:hAnchor="text" w:xAlign="left" w:yAlign="inline"/>
                    <w:suppressLineNumbers w:val="0"/>
                    <w:kinsoku/>
                    <w:wordWrap/>
                    <w:overflowPunct/>
                    <w:topLinePunct w:val="0"/>
                    <w:bidi w:val="0"/>
                    <w:adjustRightInd w:val="0"/>
                    <w:snapToGrid w:val="0"/>
                    <w:spacing w:before="0" w:beforeAutospacing="0" w:after="0" w:afterAutospacing="0" w:line="276" w:lineRule="auto"/>
                    <w:ind w:left="0" w:right="0"/>
                    <w:jc w:val="center"/>
                    <w:rPr>
                      <w:rFonts w:hint="default" w:ascii="Times New Roman" w:hAnsi="Times New Roman" w:eastAsia="宋体" w:cs="Times New Roman"/>
                      <w:bCs/>
                      <w:i w:val="0"/>
                      <w:iCs w:val="0"/>
                      <w:color w:val="000000"/>
                      <w:kern w:val="0"/>
                      <w:sz w:val="18"/>
                      <w:szCs w:val="18"/>
                      <w:highlight w:val="none"/>
                      <w:u w:val="none"/>
                      <w:lang w:val="en-US" w:eastAsia="zh-CN" w:bidi="ar"/>
                    </w:rPr>
                  </w:pPr>
                </w:p>
              </w:tc>
              <w:tc>
                <w:tcPr>
                  <w:tcW w:w="1015" w:type="pct"/>
                  <w:tcBorders>
                    <w:tl2br w:val="nil"/>
                    <w:tr2bl w:val="nil"/>
                  </w:tcBorders>
                  <w:shd w:val="clear" w:color="auto" w:fill="FFFFFF"/>
                  <w:vAlign w:val="center"/>
                </w:tcPr>
                <w:p w14:paraId="2E354463">
                  <w:pPr>
                    <w:keepNext w:val="0"/>
                    <w:keepLines w:val="0"/>
                    <w:pageBreakBefore w:val="0"/>
                    <w:widowControl/>
                    <w:suppressLineNumbers w:val="0"/>
                    <w:kinsoku/>
                    <w:wordWrap/>
                    <w:overflowPunct/>
                    <w:topLinePunct w:val="0"/>
                    <w:bidi w:val="0"/>
                    <w:adjustRightInd w:val="0"/>
                    <w:snapToGrid w:val="0"/>
                    <w:spacing w:before="0" w:beforeAutospacing="0" w:after="0" w:afterAutospacing="0" w:line="276" w:lineRule="auto"/>
                    <w:ind w:left="0" w:right="0"/>
                    <w:jc w:val="center"/>
                    <w:textAlignment w:val="center"/>
                    <w:rPr>
                      <w:rFonts w:hint="default" w:ascii="Times New Roman" w:hAnsi="Times New Roman" w:eastAsia="宋体" w:cs="Times New Roman"/>
                      <w:bCs/>
                      <w:i w:val="0"/>
                      <w:iCs w:val="0"/>
                      <w:color w:val="000000"/>
                      <w:kern w:val="0"/>
                      <w:sz w:val="18"/>
                      <w:szCs w:val="18"/>
                      <w:highlight w:val="none"/>
                      <w:u w:val="none"/>
                      <w:lang w:val="en-US" w:eastAsia="zh-CN" w:bidi="ar"/>
                    </w:rPr>
                  </w:pPr>
                  <w:r>
                    <w:rPr>
                      <w:rFonts w:hint="default" w:ascii="Times New Roman" w:hAnsi="Times New Roman" w:eastAsia="宋体" w:cs="Times New Roman"/>
                      <w:bCs/>
                      <w:i w:val="0"/>
                      <w:iCs w:val="0"/>
                      <w:color w:val="000000"/>
                      <w:kern w:val="0"/>
                      <w:sz w:val="18"/>
                      <w:szCs w:val="18"/>
                      <w:highlight w:val="none"/>
                      <w:u w:val="none"/>
                      <w:lang w:val="en-US" w:eastAsia="zh-CN" w:bidi="ar"/>
                    </w:rPr>
                    <w:t>紫外可见分光光度计</w:t>
                  </w:r>
                </w:p>
              </w:tc>
              <w:tc>
                <w:tcPr>
                  <w:tcW w:w="1436" w:type="pct"/>
                  <w:tcBorders>
                    <w:tl2br w:val="nil"/>
                    <w:tr2bl w:val="nil"/>
                  </w:tcBorders>
                  <w:shd w:val="clear" w:color="auto" w:fill="FFFFFF"/>
                  <w:noWrap/>
                  <w:vAlign w:val="center"/>
                </w:tcPr>
                <w:p w14:paraId="1746CBD7">
                  <w:pPr>
                    <w:keepNext w:val="0"/>
                    <w:keepLines w:val="0"/>
                    <w:pageBreakBefore w:val="0"/>
                    <w:suppressLineNumbers w:val="0"/>
                    <w:kinsoku/>
                    <w:wordWrap/>
                    <w:overflowPunct/>
                    <w:topLinePunct w:val="0"/>
                    <w:bidi w:val="0"/>
                    <w:adjustRightInd w:val="0"/>
                    <w:snapToGrid w:val="0"/>
                    <w:spacing w:before="0" w:beforeAutospacing="0" w:after="0" w:afterAutospacing="0" w:line="276" w:lineRule="auto"/>
                    <w:ind w:left="0" w:right="0"/>
                    <w:jc w:val="center"/>
                    <w:rPr>
                      <w:rFonts w:hint="default" w:ascii="Times New Roman" w:hAnsi="Times New Roman" w:eastAsia="宋体" w:cs="Times New Roman"/>
                      <w:bCs/>
                      <w:i w:val="0"/>
                      <w:iCs w:val="0"/>
                      <w:color w:val="000000"/>
                      <w:kern w:val="0"/>
                      <w:sz w:val="18"/>
                      <w:szCs w:val="18"/>
                      <w:highlight w:val="none"/>
                      <w:u w:val="none"/>
                      <w:lang w:val="en-US" w:eastAsia="zh-CN" w:bidi="ar"/>
                    </w:rPr>
                  </w:pPr>
                  <w:r>
                    <w:rPr>
                      <w:rFonts w:hint="default" w:ascii="Times New Roman" w:hAnsi="Times New Roman" w:eastAsia="宋体" w:cs="Times New Roman"/>
                      <w:bCs/>
                      <w:i w:val="0"/>
                      <w:iCs w:val="0"/>
                      <w:color w:val="000000"/>
                      <w:kern w:val="0"/>
                      <w:sz w:val="18"/>
                      <w:szCs w:val="18"/>
                      <w:highlight w:val="none"/>
                      <w:u w:val="none"/>
                      <w:lang w:val="en-US" w:eastAsia="zh-CN" w:bidi="ar"/>
                    </w:rPr>
                    <w:t>/</w:t>
                  </w:r>
                </w:p>
              </w:tc>
              <w:tc>
                <w:tcPr>
                  <w:tcW w:w="284" w:type="pct"/>
                  <w:tcBorders>
                    <w:tl2br w:val="nil"/>
                    <w:tr2bl w:val="nil"/>
                  </w:tcBorders>
                  <w:shd w:val="clear" w:color="auto" w:fill="FFFFFF"/>
                  <w:vAlign w:val="center"/>
                </w:tcPr>
                <w:p w14:paraId="2E2D2234">
                  <w:pPr>
                    <w:keepNext w:val="0"/>
                    <w:keepLines w:val="0"/>
                    <w:pageBreakBefore w:val="0"/>
                    <w:widowControl/>
                    <w:suppressLineNumbers w:val="0"/>
                    <w:kinsoku/>
                    <w:wordWrap/>
                    <w:overflowPunct/>
                    <w:topLinePunct w:val="0"/>
                    <w:bidi w:val="0"/>
                    <w:adjustRightInd w:val="0"/>
                    <w:snapToGrid w:val="0"/>
                    <w:spacing w:before="0" w:beforeAutospacing="0" w:after="0" w:afterAutospacing="0" w:line="276" w:lineRule="auto"/>
                    <w:ind w:left="0" w:right="0"/>
                    <w:jc w:val="center"/>
                    <w:textAlignment w:val="center"/>
                    <w:rPr>
                      <w:rFonts w:hint="default" w:ascii="Times New Roman" w:hAnsi="Times New Roman" w:eastAsia="宋体" w:cs="Times New Roman"/>
                      <w:bCs/>
                      <w:i w:val="0"/>
                      <w:iCs w:val="0"/>
                      <w:color w:val="000000"/>
                      <w:kern w:val="0"/>
                      <w:sz w:val="18"/>
                      <w:szCs w:val="18"/>
                      <w:highlight w:val="none"/>
                      <w:u w:val="none"/>
                      <w:lang w:val="en-US" w:eastAsia="zh-CN" w:bidi="ar"/>
                    </w:rPr>
                  </w:pPr>
                  <w:r>
                    <w:rPr>
                      <w:rFonts w:hint="default" w:ascii="Times New Roman" w:hAnsi="Times New Roman" w:eastAsia="宋体" w:cs="Times New Roman"/>
                      <w:bCs/>
                      <w:i w:val="0"/>
                      <w:iCs w:val="0"/>
                      <w:color w:val="000000"/>
                      <w:kern w:val="0"/>
                      <w:sz w:val="18"/>
                      <w:szCs w:val="18"/>
                      <w:highlight w:val="none"/>
                      <w:u w:val="none"/>
                      <w:lang w:val="en-US" w:eastAsia="zh-CN" w:bidi="ar"/>
                    </w:rPr>
                    <w:t>5</w:t>
                  </w:r>
                </w:p>
              </w:tc>
              <w:tc>
                <w:tcPr>
                  <w:tcW w:w="1678" w:type="pct"/>
                  <w:vMerge w:val="continue"/>
                  <w:tcBorders>
                    <w:tl2br w:val="nil"/>
                    <w:tr2bl w:val="nil"/>
                  </w:tcBorders>
                  <w:shd w:val="clear" w:color="auto" w:fill="FFFFFF"/>
                  <w:vAlign w:val="center"/>
                </w:tcPr>
                <w:p w14:paraId="68AC5300">
                  <w:pPr>
                    <w:keepNext w:val="0"/>
                    <w:keepLines w:val="0"/>
                    <w:pageBreakBefore w:val="0"/>
                    <w:widowControl/>
                    <w:suppressLineNumbers w:val="0"/>
                    <w:kinsoku/>
                    <w:wordWrap/>
                    <w:overflowPunct/>
                    <w:topLinePunct w:val="0"/>
                    <w:bidi w:val="0"/>
                    <w:adjustRightInd w:val="0"/>
                    <w:snapToGrid w:val="0"/>
                    <w:spacing w:before="0" w:beforeAutospacing="0" w:after="0" w:afterAutospacing="0" w:line="276" w:lineRule="auto"/>
                    <w:ind w:left="0" w:right="0"/>
                    <w:jc w:val="center"/>
                    <w:textAlignment w:val="center"/>
                    <w:rPr>
                      <w:rFonts w:hint="default" w:ascii="Times New Roman" w:hAnsi="Times New Roman" w:eastAsia="宋体" w:cs="Times New Roman"/>
                      <w:i w:val="0"/>
                      <w:iCs w:val="0"/>
                      <w:color w:val="000000"/>
                      <w:kern w:val="0"/>
                      <w:sz w:val="18"/>
                      <w:szCs w:val="18"/>
                      <w:highlight w:val="none"/>
                      <w:u w:val="none"/>
                      <w:lang w:val="en-US" w:eastAsia="zh-CN" w:bidi="ar"/>
                    </w:rPr>
                  </w:pPr>
                </w:p>
              </w:tc>
            </w:tr>
            <w:tr w14:paraId="49172A6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FFFFFF"/>
                <w:tblCellMar>
                  <w:top w:w="0" w:type="dxa"/>
                  <w:left w:w="28" w:type="dxa"/>
                  <w:bottom w:w="0" w:type="dxa"/>
                  <w:right w:w="28" w:type="dxa"/>
                </w:tblCellMar>
              </w:tblPrEx>
              <w:trPr>
                <w:trHeight w:val="0" w:hRule="atLeast"/>
              </w:trPr>
              <w:tc>
                <w:tcPr>
                  <w:tcW w:w="235" w:type="pct"/>
                  <w:tcBorders>
                    <w:tl2br w:val="nil"/>
                    <w:tr2bl w:val="nil"/>
                  </w:tcBorders>
                  <w:shd w:val="clear" w:color="auto" w:fill="FFFFFF"/>
                  <w:noWrap/>
                  <w:vAlign w:val="center"/>
                </w:tcPr>
                <w:p w14:paraId="13C34D9A">
                  <w:pPr>
                    <w:keepNext w:val="0"/>
                    <w:keepLines w:val="0"/>
                    <w:pageBreakBefore w:val="0"/>
                    <w:widowControl/>
                    <w:suppressLineNumbers w:val="0"/>
                    <w:kinsoku/>
                    <w:wordWrap/>
                    <w:overflowPunct/>
                    <w:topLinePunct w:val="0"/>
                    <w:bidi w:val="0"/>
                    <w:adjustRightInd w:val="0"/>
                    <w:snapToGrid w:val="0"/>
                    <w:spacing w:before="0" w:beforeAutospacing="0" w:after="0" w:afterAutospacing="0" w:line="276" w:lineRule="auto"/>
                    <w:ind w:left="0" w:right="0"/>
                    <w:jc w:val="center"/>
                    <w:textAlignment w:val="center"/>
                    <w:rPr>
                      <w:rFonts w:hint="default" w:ascii="Times New Roman" w:hAnsi="Times New Roman" w:eastAsia="宋体" w:cs="Times New Roman"/>
                      <w:bCs/>
                      <w:i w:val="0"/>
                      <w:iCs w:val="0"/>
                      <w:color w:val="000000"/>
                      <w:kern w:val="0"/>
                      <w:sz w:val="18"/>
                      <w:szCs w:val="18"/>
                      <w:highlight w:val="none"/>
                      <w:u w:val="none"/>
                      <w:lang w:val="en-US" w:eastAsia="zh-CN" w:bidi="ar"/>
                    </w:rPr>
                  </w:pPr>
                  <w:r>
                    <w:rPr>
                      <w:rFonts w:hint="default" w:ascii="Times New Roman" w:hAnsi="Times New Roman" w:eastAsia="宋体" w:cs="Times New Roman"/>
                      <w:bCs/>
                      <w:i w:val="0"/>
                      <w:iCs w:val="0"/>
                      <w:color w:val="000000"/>
                      <w:kern w:val="0"/>
                      <w:sz w:val="18"/>
                      <w:szCs w:val="18"/>
                      <w:highlight w:val="none"/>
                      <w:u w:val="none"/>
                      <w:lang w:val="en-US" w:eastAsia="zh-CN" w:bidi="ar"/>
                    </w:rPr>
                    <w:t>107</w:t>
                  </w:r>
                </w:p>
              </w:tc>
              <w:tc>
                <w:tcPr>
                  <w:tcW w:w="349" w:type="pct"/>
                  <w:vMerge w:val="continue"/>
                  <w:tcBorders>
                    <w:tl2br w:val="nil"/>
                    <w:tr2bl w:val="nil"/>
                  </w:tcBorders>
                  <w:shd w:val="clear" w:color="auto" w:fill="FFFFFF"/>
                  <w:vAlign w:val="center"/>
                </w:tcPr>
                <w:p w14:paraId="485F830F">
                  <w:pPr>
                    <w:pStyle w:val="120"/>
                    <w:keepNext w:val="0"/>
                    <w:keepLines w:val="0"/>
                    <w:pageBreakBefore w:val="0"/>
                    <w:framePr w:hSpace="0" w:wrap="auto" w:vAnchor="margin" w:hAnchor="text" w:xAlign="left" w:yAlign="inline"/>
                    <w:suppressLineNumbers w:val="0"/>
                    <w:kinsoku/>
                    <w:wordWrap/>
                    <w:overflowPunct/>
                    <w:topLinePunct w:val="0"/>
                    <w:bidi w:val="0"/>
                    <w:adjustRightInd w:val="0"/>
                    <w:snapToGrid w:val="0"/>
                    <w:spacing w:before="0" w:beforeAutospacing="0" w:after="0" w:afterAutospacing="0" w:line="276" w:lineRule="auto"/>
                    <w:ind w:left="0" w:right="0"/>
                    <w:jc w:val="center"/>
                    <w:rPr>
                      <w:rFonts w:hint="default" w:ascii="Times New Roman" w:hAnsi="Times New Roman" w:eastAsia="宋体" w:cs="Times New Roman"/>
                      <w:bCs/>
                      <w:i w:val="0"/>
                      <w:iCs w:val="0"/>
                      <w:color w:val="000000"/>
                      <w:kern w:val="0"/>
                      <w:sz w:val="18"/>
                      <w:szCs w:val="18"/>
                      <w:highlight w:val="none"/>
                      <w:u w:val="none"/>
                      <w:lang w:val="en-US" w:eastAsia="zh-CN" w:bidi="ar"/>
                    </w:rPr>
                  </w:pPr>
                </w:p>
              </w:tc>
              <w:tc>
                <w:tcPr>
                  <w:tcW w:w="1015" w:type="pct"/>
                  <w:tcBorders>
                    <w:tl2br w:val="nil"/>
                    <w:tr2bl w:val="nil"/>
                  </w:tcBorders>
                  <w:shd w:val="clear" w:color="auto" w:fill="FFFFFF"/>
                  <w:vAlign w:val="center"/>
                </w:tcPr>
                <w:p w14:paraId="3ACD0E8B">
                  <w:pPr>
                    <w:keepNext w:val="0"/>
                    <w:keepLines w:val="0"/>
                    <w:pageBreakBefore w:val="0"/>
                    <w:widowControl/>
                    <w:suppressLineNumbers w:val="0"/>
                    <w:kinsoku/>
                    <w:wordWrap/>
                    <w:overflowPunct/>
                    <w:topLinePunct w:val="0"/>
                    <w:bidi w:val="0"/>
                    <w:adjustRightInd w:val="0"/>
                    <w:snapToGrid w:val="0"/>
                    <w:spacing w:before="0" w:beforeAutospacing="0" w:after="0" w:afterAutospacing="0" w:line="276" w:lineRule="auto"/>
                    <w:ind w:left="0" w:right="0"/>
                    <w:jc w:val="center"/>
                    <w:textAlignment w:val="center"/>
                    <w:rPr>
                      <w:rFonts w:hint="default" w:ascii="Times New Roman" w:hAnsi="Times New Roman" w:eastAsia="宋体" w:cs="Times New Roman"/>
                      <w:bCs/>
                      <w:i w:val="0"/>
                      <w:iCs w:val="0"/>
                      <w:color w:val="000000"/>
                      <w:kern w:val="0"/>
                      <w:sz w:val="18"/>
                      <w:szCs w:val="18"/>
                      <w:highlight w:val="none"/>
                      <w:u w:val="none"/>
                      <w:lang w:val="en-US" w:eastAsia="zh-CN" w:bidi="ar"/>
                    </w:rPr>
                  </w:pPr>
                  <w:r>
                    <w:rPr>
                      <w:rFonts w:hint="default" w:ascii="Times New Roman" w:hAnsi="Times New Roman" w:eastAsia="宋体" w:cs="Times New Roman"/>
                      <w:bCs/>
                      <w:i w:val="0"/>
                      <w:iCs w:val="0"/>
                      <w:color w:val="000000"/>
                      <w:kern w:val="0"/>
                      <w:sz w:val="18"/>
                      <w:szCs w:val="18"/>
                      <w:highlight w:val="none"/>
                      <w:u w:val="none"/>
                      <w:lang w:val="en-US" w:eastAsia="zh-CN" w:bidi="ar"/>
                    </w:rPr>
                    <w:t>超高灵敏度化学发光成像系统</w:t>
                  </w:r>
                </w:p>
              </w:tc>
              <w:tc>
                <w:tcPr>
                  <w:tcW w:w="1436" w:type="pct"/>
                  <w:tcBorders>
                    <w:tl2br w:val="nil"/>
                    <w:tr2bl w:val="nil"/>
                  </w:tcBorders>
                  <w:shd w:val="clear" w:color="auto" w:fill="FFFFFF"/>
                  <w:noWrap/>
                  <w:vAlign w:val="center"/>
                </w:tcPr>
                <w:p w14:paraId="5D2E9C80">
                  <w:pPr>
                    <w:keepNext w:val="0"/>
                    <w:keepLines w:val="0"/>
                    <w:pageBreakBefore w:val="0"/>
                    <w:suppressLineNumbers w:val="0"/>
                    <w:kinsoku/>
                    <w:wordWrap/>
                    <w:overflowPunct/>
                    <w:topLinePunct w:val="0"/>
                    <w:bidi w:val="0"/>
                    <w:adjustRightInd w:val="0"/>
                    <w:snapToGrid w:val="0"/>
                    <w:spacing w:before="0" w:beforeAutospacing="0" w:after="0" w:afterAutospacing="0" w:line="276" w:lineRule="auto"/>
                    <w:ind w:left="0" w:right="0"/>
                    <w:jc w:val="center"/>
                    <w:rPr>
                      <w:rFonts w:hint="default" w:ascii="Times New Roman" w:hAnsi="Times New Roman" w:eastAsia="宋体" w:cs="Times New Roman"/>
                      <w:bCs/>
                      <w:i w:val="0"/>
                      <w:iCs w:val="0"/>
                      <w:color w:val="000000"/>
                      <w:kern w:val="0"/>
                      <w:sz w:val="18"/>
                      <w:szCs w:val="18"/>
                      <w:highlight w:val="none"/>
                      <w:u w:val="none"/>
                      <w:lang w:val="en-US" w:eastAsia="zh-CN" w:bidi="ar"/>
                    </w:rPr>
                  </w:pPr>
                  <w:r>
                    <w:rPr>
                      <w:rFonts w:hint="default" w:ascii="Times New Roman" w:hAnsi="Times New Roman" w:eastAsia="宋体" w:cs="Times New Roman"/>
                      <w:bCs/>
                      <w:i w:val="0"/>
                      <w:iCs w:val="0"/>
                      <w:color w:val="000000"/>
                      <w:kern w:val="0"/>
                      <w:sz w:val="18"/>
                      <w:szCs w:val="18"/>
                      <w:highlight w:val="none"/>
                      <w:u w:val="none"/>
                      <w:lang w:val="en-US" w:eastAsia="zh-CN" w:bidi="ar"/>
                    </w:rPr>
                    <w:t>/</w:t>
                  </w:r>
                </w:p>
              </w:tc>
              <w:tc>
                <w:tcPr>
                  <w:tcW w:w="284" w:type="pct"/>
                  <w:tcBorders>
                    <w:tl2br w:val="nil"/>
                    <w:tr2bl w:val="nil"/>
                  </w:tcBorders>
                  <w:shd w:val="clear" w:color="auto" w:fill="FFFFFF"/>
                  <w:vAlign w:val="center"/>
                </w:tcPr>
                <w:p w14:paraId="4E64FEBC">
                  <w:pPr>
                    <w:keepNext w:val="0"/>
                    <w:keepLines w:val="0"/>
                    <w:pageBreakBefore w:val="0"/>
                    <w:widowControl/>
                    <w:suppressLineNumbers w:val="0"/>
                    <w:kinsoku/>
                    <w:wordWrap/>
                    <w:overflowPunct/>
                    <w:topLinePunct w:val="0"/>
                    <w:bidi w:val="0"/>
                    <w:adjustRightInd w:val="0"/>
                    <w:snapToGrid w:val="0"/>
                    <w:spacing w:before="0" w:beforeAutospacing="0" w:after="0" w:afterAutospacing="0" w:line="276" w:lineRule="auto"/>
                    <w:ind w:left="0" w:right="0"/>
                    <w:jc w:val="center"/>
                    <w:textAlignment w:val="center"/>
                    <w:rPr>
                      <w:rFonts w:hint="default" w:ascii="Times New Roman" w:hAnsi="Times New Roman" w:eastAsia="宋体" w:cs="Times New Roman"/>
                      <w:bCs/>
                      <w:i w:val="0"/>
                      <w:iCs w:val="0"/>
                      <w:color w:val="000000"/>
                      <w:kern w:val="0"/>
                      <w:sz w:val="18"/>
                      <w:szCs w:val="18"/>
                      <w:highlight w:val="none"/>
                      <w:u w:val="none"/>
                      <w:lang w:val="en-US" w:eastAsia="zh-CN" w:bidi="ar"/>
                    </w:rPr>
                  </w:pPr>
                  <w:r>
                    <w:rPr>
                      <w:rFonts w:hint="default" w:ascii="Times New Roman" w:hAnsi="Times New Roman" w:eastAsia="宋体" w:cs="Times New Roman"/>
                      <w:bCs/>
                      <w:i w:val="0"/>
                      <w:iCs w:val="0"/>
                      <w:color w:val="000000"/>
                      <w:kern w:val="0"/>
                      <w:sz w:val="18"/>
                      <w:szCs w:val="18"/>
                      <w:highlight w:val="none"/>
                      <w:u w:val="none"/>
                      <w:lang w:val="en-US" w:eastAsia="zh-CN" w:bidi="ar"/>
                    </w:rPr>
                    <w:t>3</w:t>
                  </w:r>
                </w:p>
              </w:tc>
              <w:tc>
                <w:tcPr>
                  <w:tcW w:w="1678" w:type="pct"/>
                  <w:vMerge w:val="continue"/>
                  <w:tcBorders>
                    <w:tl2br w:val="nil"/>
                    <w:tr2bl w:val="nil"/>
                  </w:tcBorders>
                  <w:shd w:val="clear" w:color="auto" w:fill="FFFFFF"/>
                  <w:vAlign w:val="center"/>
                </w:tcPr>
                <w:p w14:paraId="280EDF82">
                  <w:pPr>
                    <w:keepNext w:val="0"/>
                    <w:keepLines w:val="0"/>
                    <w:pageBreakBefore w:val="0"/>
                    <w:widowControl/>
                    <w:suppressLineNumbers w:val="0"/>
                    <w:kinsoku/>
                    <w:wordWrap/>
                    <w:overflowPunct/>
                    <w:topLinePunct w:val="0"/>
                    <w:bidi w:val="0"/>
                    <w:adjustRightInd w:val="0"/>
                    <w:snapToGrid w:val="0"/>
                    <w:spacing w:before="0" w:beforeAutospacing="0" w:after="0" w:afterAutospacing="0" w:line="276" w:lineRule="auto"/>
                    <w:ind w:left="0" w:right="0"/>
                    <w:jc w:val="center"/>
                    <w:textAlignment w:val="center"/>
                    <w:rPr>
                      <w:rFonts w:hint="default" w:ascii="Times New Roman" w:hAnsi="Times New Roman" w:eastAsia="宋体" w:cs="Times New Roman"/>
                      <w:i w:val="0"/>
                      <w:iCs w:val="0"/>
                      <w:color w:val="000000"/>
                      <w:kern w:val="0"/>
                      <w:sz w:val="18"/>
                      <w:szCs w:val="18"/>
                      <w:highlight w:val="none"/>
                      <w:u w:val="none"/>
                      <w:lang w:val="en-US" w:eastAsia="zh-CN" w:bidi="ar"/>
                    </w:rPr>
                  </w:pPr>
                </w:p>
              </w:tc>
            </w:tr>
            <w:tr w14:paraId="3FF9734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FFFFFF"/>
                <w:tblCellMar>
                  <w:top w:w="0" w:type="dxa"/>
                  <w:left w:w="28" w:type="dxa"/>
                  <w:bottom w:w="0" w:type="dxa"/>
                  <w:right w:w="28" w:type="dxa"/>
                </w:tblCellMar>
              </w:tblPrEx>
              <w:trPr>
                <w:trHeight w:val="0" w:hRule="atLeast"/>
              </w:trPr>
              <w:tc>
                <w:tcPr>
                  <w:tcW w:w="235" w:type="pct"/>
                  <w:tcBorders>
                    <w:tl2br w:val="nil"/>
                    <w:tr2bl w:val="nil"/>
                  </w:tcBorders>
                  <w:shd w:val="clear" w:color="auto" w:fill="FFFFFF"/>
                  <w:noWrap/>
                  <w:vAlign w:val="center"/>
                </w:tcPr>
                <w:p w14:paraId="50887C38">
                  <w:pPr>
                    <w:keepNext w:val="0"/>
                    <w:keepLines w:val="0"/>
                    <w:pageBreakBefore w:val="0"/>
                    <w:widowControl/>
                    <w:suppressLineNumbers w:val="0"/>
                    <w:kinsoku/>
                    <w:wordWrap/>
                    <w:overflowPunct/>
                    <w:topLinePunct w:val="0"/>
                    <w:bidi w:val="0"/>
                    <w:adjustRightInd w:val="0"/>
                    <w:snapToGrid w:val="0"/>
                    <w:spacing w:before="0" w:beforeAutospacing="0" w:after="0" w:afterAutospacing="0" w:line="276" w:lineRule="auto"/>
                    <w:ind w:left="0" w:right="0"/>
                    <w:jc w:val="center"/>
                    <w:textAlignment w:val="center"/>
                    <w:rPr>
                      <w:rFonts w:hint="default" w:ascii="Times New Roman" w:hAnsi="Times New Roman" w:eastAsia="宋体" w:cs="Times New Roman"/>
                      <w:bCs/>
                      <w:i w:val="0"/>
                      <w:iCs w:val="0"/>
                      <w:color w:val="000000"/>
                      <w:kern w:val="0"/>
                      <w:sz w:val="18"/>
                      <w:szCs w:val="18"/>
                      <w:highlight w:val="none"/>
                      <w:u w:val="none"/>
                      <w:lang w:val="en-US" w:eastAsia="zh-CN" w:bidi="ar"/>
                    </w:rPr>
                  </w:pPr>
                  <w:r>
                    <w:rPr>
                      <w:rFonts w:hint="default" w:ascii="Times New Roman" w:hAnsi="Times New Roman" w:eastAsia="宋体" w:cs="Times New Roman"/>
                      <w:bCs/>
                      <w:i w:val="0"/>
                      <w:iCs w:val="0"/>
                      <w:color w:val="000000"/>
                      <w:kern w:val="0"/>
                      <w:sz w:val="18"/>
                      <w:szCs w:val="18"/>
                      <w:highlight w:val="none"/>
                      <w:u w:val="none"/>
                      <w:lang w:val="en-US" w:eastAsia="zh-CN" w:bidi="ar"/>
                    </w:rPr>
                    <w:t>108</w:t>
                  </w:r>
                </w:p>
              </w:tc>
              <w:tc>
                <w:tcPr>
                  <w:tcW w:w="349" w:type="pct"/>
                  <w:vMerge w:val="continue"/>
                  <w:tcBorders>
                    <w:tl2br w:val="nil"/>
                    <w:tr2bl w:val="nil"/>
                  </w:tcBorders>
                  <w:shd w:val="clear" w:color="auto" w:fill="FFFFFF"/>
                  <w:vAlign w:val="center"/>
                </w:tcPr>
                <w:p w14:paraId="11321DC1">
                  <w:pPr>
                    <w:pStyle w:val="120"/>
                    <w:keepNext w:val="0"/>
                    <w:keepLines w:val="0"/>
                    <w:pageBreakBefore w:val="0"/>
                    <w:framePr w:hSpace="0" w:wrap="auto" w:vAnchor="margin" w:hAnchor="text" w:xAlign="left" w:yAlign="inline"/>
                    <w:suppressLineNumbers w:val="0"/>
                    <w:kinsoku/>
                    <w:wordWrap/>
                    <w:overflowPunct/>
                    <w:topLinePunct w:val="0"/>
                    <w:bidi w:val="0"/>
                    <w:adjustRightInd w:val="0"/>
                    <w:snapToGrid w:val="0"/>
                    <w:spacing w:before="0" w:beforeAutospacing="0" w:after="0" w:afterAutospacing="0" w:line="276" w:lineRule="auto"/>
                    <w:ind w:left="0" w:right="0"/>
                    <w:jc w:val="center"/>
                    <w:rPr>
                      <w:rFonts w:hint="default" w:ascii="Times New Roman" w:hAnsi="Times New Roman" w:eastAsia="宋体" w:cs="Times New Roman"/>
                      <w:bCs/>
                      <w:i w:val="0"/>
                      <w:iCs w:val="0"/>
                      <w:color w:val="000000"/>
                      <w:kern w:val="0"/>
                      <w:sz w:val="18"/>
                      <w:szCs w:val="18"/>
                      <w:highlight w:val="none"/>
                      <w:u w:val="none"/>
                      <w:lang w:val="en-US" w:eastAsia="zh-CN" w:bidi="ar"/>
                    </w:rPr>
                  </w:pPr>
                </w:p>
              </w:tc>
              <w:tc>
                <w:tcPr>
                  <w:tcW w:w="1015" w:type="pct"/>
                  <w:tcBorders>
                    <w:tl2br w:val="nil"/>
                    <w:tr2bl w:val="nil"/>
                  </w:tcBorders>
                  <w:shd w:val="clear" w:color="auto" w:fill="FFFFFF"/>
                  <w:vAlign w:val="center"/>
                </w:tcPr>
                <w:p w14:paraId="1328012F">
                  <w:pPr>
                    <w:keepNext w:val="0"/>
                    <w:keepLines w:val="0"/>
                    <w:pageBreakBefore w:val="0"/>
                    <w:widowControl/>
                    <w:suppressLineNumbers w:val="0"/>
                    <w:kinsoku/>
                    <w:wordWrap/>
                    <w:overflowPunct/>
                    <w:topLinePunct w:val="0"/>
                    <w:bidi w:val="0"/>
                    <w:adjustRightInd w:val="0"/>
                    <w:snapToGrid w:val="0"/>
                    <w:spacing w:before="0" w:beforeAutospacing="0" w:after="0" w:afterAutospacing="0" w:line="276" w:lineRule="auto"/>
                    <w:ind w:left="0" w:right="0"/>
                    <w:jc w:val="center"/>
                    <w:textAlignment w:val="center"/>
                    <w:rPr>
                      <w:rFonts w:hint="default" w:ascii="Times New Roman" w:hAnsi="Times New Roman" w:eastAsia="宋体" w:cs="Times New Roman"/>
                      <w:bCs/>
                      <w:i w:val="0"/>
                      <w:iCs w:val="0"/>
                      <w:color w:val="000000"/>
                      <w:kern w:val="0"/>
                      <w:sz w:val="18"/>
                      <w:szCs w:val="18"/>
                      <w:highlight w:val="none"/>
                      <w:u w:val="none"/>
                      <w:lang w:val="en-US" w:eastAsia="zh-CN" w:bidi="ar"/>
                    </w:rPr>
                  </w:pPr>
                  <w:r>
                    <w:rPr>
                      <w:rFonts w:hint="default" w:ascii="Times New Roman" w:hAnsi="Times New Roman" w:eastAsia="宋体" w:cs="Times New Roman"/>
                      <w:bCs/>
                      <w:i w:val="0"/>
                      <w:iCs w:val="0"/>
                      <w:color w:val="000000"/>
                      <w:kern w:val="0"/>
                      <w:sz w:val="18"/>
                      <w:szCs w:val="18"/>
                      <w:highlight w:val="none"/>
                      <w:u w:val="none"/>
                      <w:lang w:val="en-US" w:eastAsia="zh-CN" w:bidi="ar"/>
                    </w:rPr>
                    <w:t>凝胶成像系统</w:t>
                  </w:r>
                </w:p>
              </w:tc>
              <w:tc>
                <w:tcPr>
                  <w:tcW w:w="1436" w:type="pct"/>
                  <w:tcBorders>
                    <w:tl2br w:val="nil"/>
                    <w:tr2bl w:val="nil"/>
                  </w:tcBorders>
                  <w:shd w:val="clear" w:color="auto" w:fill="FFFFFF"/>
                  <w:noWrap/>
                  <w:vAlign w:val="center"/>
                </w:tcPr>
                <w:p w14:paraId="00648137">
                  <w:pPr>
                    <w:keepNext w:val="0"/>
                    <w:keepLines w:val="0"/>
                    <w:pageBreakBefore w:val="0"/>
                    <w:suppressLineNumbers w:val="0"/>
                    <w:kinsoku/>
                    <w:wordWrap/>
                    <w:overflowPunct/>
                    <w:topLinePunct w:val="0"/>
                    <w:bidi w:val="0"/>
                    <w:adjustRightInd w:val="0"/>
                    <w:snapToGrid w:val="0"/>
                    <w:spacing w:before="0" w:beforeAutospacing="0" w:after="0" w:afterAutospacing="0" w:line="276" w:lineRule="auto"/>
                    <w:ind w:left="0" w:right="0"/>
                    <w:jc w:val="center"/>
                    <w:rPr>
                      <w:rFonts w:hint="default" w:ascii="Times New Roman" w:hAnsi="Times New Roman" w:eastAsia="宋体" w:cs="Times New Roman"/>
                      <w:bCs/>
                      <w:i w:val="0"/>
                      <w:iCs w:val="0"/>
                      <w:color w:val="000000"/>
                      <w:kern w:val="0"/>
                      <w:sz w:val="18"/>
                      <w:szCs w:val="18"/>
                      <w:highlight w:val="none"/>
                      <w:u w:val="none"/>
                      <w:lang w:val="en-US" w:eastAsia="zh-CN" w:bidi="ar"/>
                    </w:rPr>
                  </w:pPr>
                  <w:r>
                    <w:rPr>
                      <w:rFonts w:hint="default" w:ascii="Times New Roman" w:hAnsi="Times New Roman" w:eastAsia="宋体" w:cs="Times New Roman"/>
                      <w:bCs/>
                      <w:i w:val="0"/>
                      <w:iCs w:val="0"/>
                      <w:color w:val="000000"/>
                      <w:kern w:val="0"/>
                      <w:sz w:val="18"/>
                      <w:szCs w:val="18"/>
                      <w:highlight w:val="none"/>
                      <w:u w:val="none"/>
                      <w:lang w:val="en-US" w:eastAsia="zh-CN" w:bidi="ar"/>
                    </w:rPr>
                    <w:t>/</w:t>
                  </w:r>
                </w:p>
              </w:tc>
              <w:tc>
                <w:tcPr>
                  <w:tcW w:w="284" w:type="pct"/>
                  <w:tcBorders>
                    <w:tl2br w:val="nil"/>
                    <w:tr2bl w:val="nil"/>
                  </w:tcBorders>
                  <w:shd w:val="clear" w:color="auto" w:fill="FFFFFF"/>
                  <w:vAlign w:val="center"/>
                </w:tcPr>
                <w:p w14:paraId="793470F3">
                  <w:pPr>
                    <w:keepNext w:val="0"/>
                    <w:keepLines w:val="0"/>
                    <w:pageBreakBefore w:val="0"/>
                    <w:widowControl/>
                    <w:suppressLineNumbers w:val="0"/>
                    <w:kinsoku/>
                    <w:wordWrap/>
                    <w:overflowPunct/>
                    <w:topLinePunct w:val="0"/>
                    <w:bidi w:val="0"/>
                    <w:adjustRightInd w:val="0"/>
                    <w:snapToGrid w:val="0"/>
                    <w:spacing w:before="0" w:beforeAutospacing="0" w:after="0" w:afterAutospacing="0" w:line="276" w:lineRule="auto"/>
                    <w:ind w:left="0" w:right="0"/>
                    <w:jc w:val="center"/>
                    <w:textAlignment w:val="center"/>
                    <w:rPr>
                      <w:rFonts w:hint="default" w:ascii="Times New Roman" w:hAnsi="Times New Roman" w:eastAsia="宋体" w:cs="Times New Roman"/>
                      <w:bCs/>
                      <w:i w:val="0"/>
                      <w:iCs w:val="0"/>
                      <w:color w:val="000000"/>
                      <w:kern w:val="0"/>
                      <w:sz w:val="18"/>
                      <w:szCs w:val="18"/>
                      <w:highlight w:val="none"/>
                      <w:u w:val="none"/>
                      <w:lang w:val="en-US" w:eastAsia="zh-CN" w:bidi="ar"/>
                    </w:rPr>
                  </w:pPr>
                  <w:r>
                    <w:rPr>
                      <w:rFonts w:hint="default" w:ascii="Times New Roman" w:hAnsi="Times New Roman" w:eastAsia="宋体" w:cs="Times New Roman"/>
                      <w:bCs/>
                      <w:i w:val="0"/>
                      <w:iCs w:val="0"/>
                      <w:color w:val="000000"/>
                      <w:kern w:val="0"/>
                      <w:sz w:val="18"/>
                      <w:szCs w:val="18"/>
                      <w:highlight w:val="none"/>
                      <w:u w:val="none"/>
                      <w:lang w:val="en-US" w:eastAsia="zh-CN" w:bidi="ar"/>
                    </w:rPr>
                    <w:t>2</w:t>
                  </w:r>
                </w:p>
              </w:tc>
              <w:tc>
                <w:tcPr>
                  <w:tcW w:w="1678" w:type="pct"/>
                  <w:vMerge w:val="continue"/>
                  <w:tcBorders>
                    <w:tl2br w:val="nil"/>
                    <w:tr2bl w:val="nil"/>
                  </w:tcBorders>
                  <w:shd w:val="clear" w:color="auto" w:fill="FFFFFF"/>
                  <w:vAlign w:val="center"/>
                </w:tcPr>
                <w:p w14:paraId="2987E861">
                  <w:pPr>
                    <w:keepNext w:val="0"/>
                    <w:keepLines w:val="0"/>
                    <w:pageBreakBefore w:val="0"/>
                    <w:widowControl/>
                    <w:suppressLineNumbers w:val="0"/>
                    <w:kinsoku/>
                    <w:wordWrap/>
                    <w:overflowPunct/>
                    <w:topLinePunct w:val="0"/>
                    <w:bidi w:val="0"/>
                    <w:adjustRightInd w:val="0"/>
                    <w:snapToGrid w:val="0"/>
                    <w:spacing w:before="0" w:beforeAutospacing="0" w:after="0" w:afterAutospacing="0" w:line="276" w:lineRule="auto"/>
                    <w:ind w:left="0" w:right="0"/>
                    <w:jc w:val="center"/>
                    <w:textAlignment w:val="center"/>
                    <w:rPr>
                      <w:rFonts w:hint="default" w:ascii="Times New Roman" w:hAnsi="Times New Roman" w:eastAsia="宋体" w:cs="Times New Roman"/>
                      <w:i w:val="0"/>
                      <w:iCs w:val="0"/>
                      <w:color w:val="000000"/>
                      <w:kern w:val="0"/>
                      <w:sz w:val="18"/>
                      <w:szCs w:val="18"/>
                      <w:highlight w:val="none"/>
                      <w:u w:val="none"/>
                      <w:lang w:val="en-US" w:eastAsia="zh-CN" w:bidi="ar"/>
                    </w:rPr>
                  </w:pPr>
                </w:p>
              </w:tc>
            </w:tr>
            <w:tr w14:paraId="1FB55B2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FFFFFF"/>
                <w:tblCellMar>
                  <w:top w:w="0" w:type="dxa"/>
                  <w:left w:w="28" w:type="dxa"/>
                  <w:bottom w:w="0" w:type="dxa"/>
                  <w:right w:w="28" w:type="dxa"/>
                </w:tblCellMar>
              </w:tblPrEx>
              <w:trPr>
                <w:trHeight w:val="0" w:hRule="atLeast"/>
              </w:trPr>
              <w:tc>
                <w:tcPr>
                  <w:tcW w:w="235" w:type="pct"/>
                  <w:tcBorders>
                    <w:tl2br w:val="nil"/>
                    <w:tr2bl w:val="nil"/>
                  </w:tcBorders>
                  <w:shd w:val="clear" w:color="auto" w:fill="FFFFFF"/>
                  <w:noWrap/>
                  <w:vAlign w:val="center"/>
                </w:tcPr>
                <w:p w14:paraId="46A4B42B">
                  <w:pPr>
                    <w:keepNext w:val="0"/>
                    <w:keepLines w:val="0"/>
                    <w:pageBreakBefore w:val="0"/>
                    <w:widowControl/>
                    <w:suppressLineNumbers w:val="0"/>
                    <w:kinsoku/>
                    <w:wordWrap/>
                    <w:overflowPunct/>
                    <w:topLinePunct w:val="0"/>
                    <w:bidi w:val="0"/>
                    <w:adjustRightInd w:val="0"/>
                    <w:snapToGrid w:val="0"/>
                    <w:spacing w:before="0" w:beforeAutospacing="0" w:after="0" w:afterAutospacing="0" w:line="276" w:lineRule="auto"/>
                    <w:ind w:left="0" w:right="0"/>
                    <w:jc w:val="center"/>
                    <w:textAlignment w:val="center"/>
                    <w:rPr>
                      <w:rFonts w:hint="default" w:ascii="Times New Roman" w:hAnsi="Times New Roman" w:eastAsia="宋体" w:cs="Times New Roman"/>
                      <w:bCs/>
                      <w:i w:val="0"/>
                      <w:iCs w:val="0"/>
                      <w:color w:val="000000"/>
                      <w:kern w:val="0"/>
                      <w:sz w:val="18"/>
                      <w:szCs w:val="18"/>
                      <w:highlight w:val="none"/>
                      <w:u w:val="none"/>
                      <w:lang w:val="en-US" w:eastAsia="zh-CN" w:bidi="ar"/>
                    </w:rPr>
                  </w:pPr>
                  <w:r>
                    <w:rPr>
                      <w:rFonts w:hint="default" w:ascii="Times New Roman" w:hAnsi="Times New Roman" w:eastAsia="宋体" w:cs="Times New Roman"/>
                      <w:bCs/>
                      <w:i w:val="0"/>
                      <w:iCs w:val="0"/>
                      <w:color w:val="000000"/>
                      <w:kern w:val="0"/>
                      <w:sz w:val="18"/>
                      <w:szCs w:val="18"/>
                      <w:highlight w:val="none"/>
                      <w:u w:val="none"/>
                      <w:lang w:val="en-US" w:eastAsia="zh-CN" w:bidi="ar"/>
                    </w:rPr>
                    <w:t>109</w:t>
                  </w:r>
                </w:p>
              </w:tc>
              <w:tc>
                <w:tcPr>
                  <w:tcW w:w="349" w:type="pct"/>
                  <w:vMerge w:val="continue"/>
                  <w:tcBorders>
                    <w:tl2br w:val="nil"/>
                    <w:tr2bl w:val="nil"/>
                  </w:tcBorders>
                  <w:shd w:val="clear" w:color="auto" w:fill="FFFFFF"/>
                  <w:vAlign w:val="center"/>
                </w:tcPr>
                <w:p w14:paraId="297C7932">
                  <w:pPr>
                    <w:pStyle w:val="120"/>
                    <w:keepNext w:val="0"/>
                    <w:keepLines w:val="0"/>
                    <w:pageBreakBefore w:val="0"/>
                    <w:framePr w:hSpace="0" w:wrap="auto" w:vAnchor="margin" w:hAnchor="text" w:xAlign="left" w:yAlign="inline"/>
                    <w:suppressLineNumbers w:val="0"/>
                    <w:kinsoku/>
                    <w:wordWrap/>
                    <w:overflowPunct/>
                    <w:topLinePunct w:val="0"/>
                    <w:bidi w:val="0"/>
                    <w:adjustRightInd w:val="0"/>
                    <w:snapToGrid w:val="0"/>
                    <w:spacing w:before="0" w:beforeAutospacing="0" w:after="0" w:afterAutospacing="0" w:line="276" w:lineRule="auto"/>
                    <w:ind w:left="0" w:right="0"/>
                    <w:jc w:val="center"/>
                    <w:rPr>
                      <w:rFonts w:hint="default" w:ascii="Times New Roman" w:hAnsi="Times New Roman" w:eastAsia="宋体" w:cs="Times New Roman"/>
                      <w:bCs/>
                      <w:i w:val="0"/>
                      <w:iCs w:val="0"/>
                      <w:color w:val="000000"/>
                      <w:kern w:val="0"/>
                      <w:sz w:val="18"/>
                      <w:szCs w:val="18"/>
                      <w:highlight w:val="none"/>
                      <w:u w:val="none"/>
                      <w:lang w:val="en-US" w:eastAsia="zh-CN" w:bidi="ar"/>
                    </w:rPr>
                  </w:pPr>
                </w:p>
              </w:tc>
              <w:tc>
                <w:tcPr>
                  <w:tcW w:w="1015" w:type="pct"/>
                  <w:tcBorders>
                    <w:tl2br w:val="nil"/>
                    <w:tr2bl w:val="nil"/>
                  </w:tcBorders>
                  <w:shd w:val="clear" w:color="auto" w:fill="FFFFFF"/>
                  <w:vAlign w:val="center"/>
                </w:tcPr>
                <w:p w14:paraId="7B78ADE8">
                  <w:pPr>
                    <w:keepNext w:val="0"/>
                    <w:keepLines w:val="0"/>
                    <w:pageBreakBefore w:val="0"/>
                    <w:widowControl/>
                    <w:suppressLineNumbers w:val="0"/>
                    <w:kinsoku/>
                    <w:wordWrap/>
                    <w:overflowPunct/>
                    <w:topLinePunct w:val="0"/>
                    <w:bidi w:val="0"/>
                    <w:adjustRightInd w:val="0"/>
                    <w:snapToGrid w:val="0"/>
                    <w:spacing w:before="0" w:beforeAutospacing="0" w:after="0" w:afterAutospacing="0" w:line="276" w:lineRule="auto"/>
                    <w:ind w:left="0" w:right="0"/>
                    <w:jc w:val="center"/>
                    <w:textAlignment w:val="center"/>
                    <w:rPr>
                      <w:rFonts w:hint="default" w:ascii="Times New Roman" w:hAnsi="Times New Roman" w:eastAsia="宋体" w:cs="Times New Roman"/>
                      <w:bCs/>
                      <w:i w:val="0"/>
                      <w:iCs w:val="0"/>
                      <w:color w:val="000000"/>
                      <w:kern w:val="0"/>
                      <w:sz w:val="18"/>
                      <w:szCs w:val="18"/>
                      <w:highlight w:val="none"/>
                      <w:u w:val="none"/>
                      <w:lang w:val="en-US" w:eastAsia="zh-CN" w:bidi="ar"/>
                    </w:rPr>
                  </w:pPr>
                  <w:r>
                    <w:rPr>
                      <w:rFonts w:hint="default" w:ascii="Times New Roman" w:hAnsi="Times New Roman" w:eastAsia="宋体" w:cs="Times New Roman"/>
                      <w:bCs/>
                      <w:i w:val="0"/>
                      <w:iCs w:val="0"/>
                      <w:color w:val="000000"/>
                      <w:kern w:val="0"/>
                      <w:sz w:val="18"/>
                      <w:szCs w:val="18"/>
                      <w:highlight w:val="none"/>
                      <w:u w:val="none"/>
                      <w:lang w:val="en-US" w:eastAsia="zh-CN" w:bidi="ar"/>
                    </w:rPr>
                    <w:t>各类小动物活体成像仪</w:t>
                  </w:r>
                </w:p>
              </w:tc>
              <w:tc>
                <w:tcPr>
                  <w:tcW w:w="1436" w:type="pct"/>
                  <w:tcBorders>
                    <w:tl2br w:val="nil"/>
                    <w:tr2bl w:val="nil"/>
                  </w:tcBorders>
                  <w:shd w:val="clear" w:color="auto" w:fill="FFFFFF"/>
                  <w:noWrap/>
                  <w:vAlign w:val="center"/>
                </w:tcPr>
                <w:p w14:paraId="633BA600">
                  <w:pPr>
                    <w:keepNext w:val="0"/>
                    <w:keepLines w:val="0"/>
                    <w:pageBreakBefore w:val="0"/>
                    <w:suppressLineNumbers w:val="0"/>
                    <w:kinsoku/>
                    <w:wordWrap/>
                    <w:overflowPunct/>
                    <w:topLinePunct w:val="0"/>
                    <w:bidi w:val="0"/>
                    <w:adjustRightInd w:val="0"/>
                    <w:snapToGrid w:val="0"/>
                    <w:spacing w:before="0" w:beforeAutospacing="0" w:after="0" w:afterAutospacing="0" w:line="276" w:lineRule="auto"/>
                    <w:ind w:left="0" w:right="0"/>
                    <w:jc w:val="center"/>
                    <w:rPr>
                      <w:rFonts w:hint="default" w:ascii="Times New Roman" w:hAnsi="Times New Roman" w:eastAsia="宋体" w:cs="Times New Roman"/>
                      <w:bCs/>
                      <w:i w:val="0"/>
                      <w:iCs w:val="0"/>
                      <w:color w:val="000000"/>
                      <w:kern w:val="0"/>
                      <w:sz w:val="18"/>
                      <w:szCs w:val="18"/>
                      <w:highlight w:val="none"/>
                      <w:u w:val="none"/>
                      <w:lang w:val="en-US" w:eastAsia="zh-CN" w:bidi="ar"/>
                    </w:rPr>
                  </w:pPr>
                  <w:r>
                    <w:rPr>
                      <w:rFonts w:hint="default" w:ascii="Times New Roman" w:hAnsi="Times New Roman" w:eastAsia="宋体" w:cs="Times New Roman"/>
                      <w:bCs/>
                      <w:i w:val="0"/>
                      <w:iCs w:val="0"/>
                      <w:color w:val="000000"/>
                      <w:kern w:val="0"/>
                      <w:sz w:val="18"/>
                      <w:szCs w:val="18"/>
                      <w:highlight w:val="none"/>
                      <w:u w:val="none"/>
                      <w:lang w:val="en-US" w:eastAsia="zh-CN" w:bidi="ar"/>
                    </w:rPr>
                    <w:t>/</w:t>
                  </w:r>
                </w:p>
              </w:tc>
              <w:tc>
                <w:tcPr>
                  <w:tcW w:w="284" w:type="pct"/>
                  <w:tcBorders>
                    <w:tl2br w:val="nil"/>
                    <w:tr2bl w:val="nil"/>
                  </w:tcBorders>
                  <w:shd w:val="clear" w:color="auto" w:fill="FFFFFF"/>
                  <w:vAlign w:val="center"/>
                </w:tcPr>
                <w:p w14:paraId="7C5CEFB0">
                  <w:pPr>
                    <w:keepNext w:val="0"/>
                    <w:keepLines w:val="0"/>
                    <w:pageBreakBefore w:val="0"/>
                    <w:widowControl/>
                    <w:suppressLineNumbers w:val="0"/>
                    <w:kinsoku/>
                    <w:wordWrap/>
                    <w:overflowPunct/>
                    <w:topLinePunct w:val="0"/>
                    <w:bidi w:val="0"/>
                    <w:adjustRightInd w:val="0"/>
                    <w:snapToGrid w:val="0"/>
                    <w:spacing w:before="0" w:beforeAutospacing="0" w:after="0" w:afterAutospacing="0" w:line="276" w:lineRule="auto"/>
                    <w:ind w:left="0" w:right="0"/>
                    <w:jc w:val="center"/>
                    <w:textAlignment w:val="center"/>
                    <w:rPr>
                      <w:rFonts w:hint="default" w:ascii="Times New Roman" w:hAnsi="Times New Roman" w:eastAsia="宋体" w:cs="Times New Roman"/>
                      <w:bCs/>
                      <w:i w:val="0"/>
                      <w:iCs w:val="0"/>
                      <w:color w:val="000000"/>
                      <w:kern w:val="0"/>
                      <w:sz w:val="18"/>
                      <w:szCs w:val="18"/>
                      <w:highlight w:val="none"/>
                      <w:u w:val="none"/>
                      <w:lang w:val="en-US" w:eastAsia="zh-CN" w:bidi="ar"/>
                    </w:rPr>
                  </w:pPr>
                  <w:r>
                    <w:rPr>
                      <w:rFonts w:hint="default" w:ascii="Times New Roman" w:hAnsi="Times New Roman" w:eastAsia="宋体" w:cs="Times New Roman"/>
                      <w:bCs/>
                      <w:i w:val="0"/>
                      <w:iCs w:val="0"/>
                      <w:color w:val="000000"/>
                      <w:kern w:val="0"/>
                      <w:sz w:val="18"/>
                      <w:szCs w:val="18"/>
                      <w:highlight w:val="none"/>
                      <w:u w:val="none"/>
                      <w:lang w:val="en-US" w:eastAsia="zh-CN" w:bidi="ar"/>
                    </w:rPr>
                    <w:t>4</w:t>
                  </w:r>
                </w:p>
              </w:tc>
              <w:tc>
                <w:tcPr>
                  <w:tcW w:w="1678" w:type="pct"/>
                  <w:vMerge w:val="continue"/>
                  <w:tcBorders>
                    <w:tl2br w:val="nil"/>
                    <w:tr2bl w:val="nil"/>
                  </w:tcBorders>
                  <w:shd w:val="clear" w:color="auto" w:fill="FFFFFF"/>
                  <w:vAlign w:val="center"/>
                </w:tcPr>
                <w:p w14:paraId="6CCB3BA7">
                  <w:pPr>
                    <w:keepNext w:val="0"/>
                    <w:keepLines w:val="0"/>
                    <w:pageBreakBefore w:val="0"/>
                    <w:widowControl/>
                    <w:suppressLineNumbers w:val="0"/>
                    <w:kinsoku/>
                    <w:wordWrap/>
                    <w:overflowPunct/>
                    <w:topLinePunct w:val="0"/>
                    <w:bidi w:val="0"/>
                    <w:adjustRightInd w:val="0"/>
                    <w:snapToGrid w:val="0"/>
                    <w:spacing w:before="0" w:beforeAutospacing="0" w:after="0" w:afterAutospacing="0" w:line="276" w:lineRule="auto"/>
                    <w:ind w:left="0" w:right="0"/>
                    <w:jc w:val="center"/>
                    <w:textAlignment w:val="center"/>
                    <w:rPr>
                      <w:rFonts w:hint="default" w:ascii="Times New Roman" w:hAnsi="Times New Roman" w:eastAsia="宋体" w:cs="Times New Roman"/>
                      <w:i w:val="0"/>
                      <w:iCs w:val="0"/>
                      <w:color w:val="000000"/>
                      <w:kern w:val="0"/>
                      <w:sz w:val="18"/>
                      <w:szCs w:val="18"/>
                      <w:highlight w:val="none"/>
                      <w:u w:val="none"/>
                      <w:lang w:val="en-US" w:eastAsia="zh-CN" w:bidi="ar"/>
                    </w:rPr>
                  </w:pPr>
                </w:p>
              </w:tc>
            </w:tr>
            <w:tr w14:paraId="4D8B5DB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0" w:hRule="atLeast"/>
              </w:trPr>
              <w:tc>
                <w:tcPr>
                  <w:tcW w:w="235" w:type="pct"/>
                  <w:tcBorders>
                    <w:tl2br w:val="nil"/>
                    <w:tr2bl w:val="nil"/>
                  </w:tcBorders>
                  <w:shd w:val="clear" w:color="auto" w:fill="FFFFFF"/>
                  <w:noWrap/>
                  <w:vAlign w:val="center"/>
                </w:tcPr>
                <w:p w14:paraId="7869FCDF">
                  <w:pPr>
                    <w:keepNext w:val="0"/>
                    <w:keepLines w:val="0"/>
                    <w:pageBreakBefore w:val="0"/>
                    <w:widowControl/>
                    <w:suppressLineNumbers w:val="0"/>
                    <w:kinsoku/>
                    <w:wordWrap/>
                    <w:overflowPunct/>
                    <w:topLinePunct w:val="0"/>
                    <w:bidi w:val="0"/>
                    <w:adjustRightInd w:val="0"/>
                    <w:snapToGrid w:val="0"/>
                    <w:spacing w:before="0" w:beforeAutospacing="0" w:after="0" w:afterAutospacing="0" w:line="276" w:lineRule="auto"/>
                    <w:ind w:left="0" w:right="0"/>
                    <w:jc w:val="center"/>
                    <w:textAlignment w:val="center"/>
                    <w:rPr>
                      <w:rFonts w:hint="default" w:ascii="Times New Roman" w:hAnsi="Times New Roman" w:eastAsia="宋体" w:cs="Times New Roman"/>
                      <w:bCs/>
                      <w:i w:val="0"/>
                      <w:iCs w:val="0"/>
                      <w:color w:val="000000"/>
                      <w:kern w:val="0"/>
                      <w:sz w:val="18"/>
                      <w:szCs w:val="18"/>
                      <w:highlight w:val="none"/>
                      <w:u w:val="none"/>
                      <w:lang w:val="en-US" w:eastAsia="zh-CN" w:bidi="ar"/>
                    </w:rPr>
                  </w:pPr>
                  <w:r>
                    <w:rPr>
                      <w:rFonts w:hint="default" w:ascii="Times New Roman" w:hAnsi="Times New Roman" w:eastAsia="宋体" w:cs="Times New Roman"/>
                      <w:bCs/>
                      <w:i w:val="0"/>
                      <w:iCs w:val="0"/>
                      <w:color w:val="000000"/>
                      <w:kern w:val="0"/>
                      <w:sz w:val="18"/>
                      <w:szCs w:val="18"/>
                      <w:highlight w:val="none"/>
                      <w:u w:val="none"/>
                      <w:lang w:val="en-US" w:eastAsia="zh-CN" w:bidi="ar"/>
                    </w:rPr>
                    <w:t>110</w:t>
                  </w:r>
                </w:p>
              </w:tc>
              <w:tc>
                <w:tcPr>
                  <w:tcW w:w="349" w:type="pct"/>
                  <w:vMerge w:val="continue"/>
                  <w:tcBorders>
                    <w:tl2br w:val="nil"/>
                    <w:tr2bl w:val="nil"/>
                  </w:tcBorders>
                  <w:shd w:val="clear" w:color="auto" w:fill="FFFFFF"/>
                  <w:vAlign w:val="center"/>
                </w:tcPr>
                <w:p w14:paraId="7B264ED9">
                  <w:pPr>
                    <w:pStyle w:val="120"/>
                    <w:keepNext w:val="0"/>
                    <w:keepLines w:val="0"/>
                    <w:pageBreakBefore w:val="0"/>
                    <w:framePr w:hSpace="0" w:wrap="auto" w:vAnchor="margin" w:hAnchor="text" w:xAlign="left" w:yAlign="inline"/>
                    <w:suppressLineNumbers w:val="0"/>
                    <w:kinsoku/>
                    <w:wordWrap/>
                    <w:overflowPunct/>
                    <w:topLinePunct w:val="0"/>
                    <w:bidi w:val="0"/>
                    <w:adjustRightInd w:val="0"/>
                    <w:snapToGrid w:val="0"/>
                    <w:spacing w:before="0" w:beforeAutospacing="0" w:after="0" w:afterAutospacing="0" w:line="276" w:lineRule="auto"/>
                    <w:ind w:left="0" w:right="0"/>
                    <w:jc w:val="center"/>
                    <w:rPr>
                      <w:rFonts w:hint="default" w:ascii="Times New Roman" w:hAnsi="Times New Roman" w:eastAsia="宋体" w:cs="Times New Roman"/>
                      <w:bCs/>
                      <w:i w:val="0"/>
                      <w:iCs w:val="0"/>
                      <w:color w:val="000000"/>
                      <w:kern w:val="0"/>
                      <w:sz w:val="18"/>
                      <w:szCs w:val="18"/>
                      <w:highlight w:val="none"/>
                      <w:u w:val="none"/>
                      <w:lang w:val="en-US" w:eastAsia="zh-CN" w:bidi="ar"/>
                    </w:rPr>
                  </w:pPr>
                </w:p>
              </w:tc>
              <w:tc>
                <w:tcPr>
                  <w:tcW w:w="1015" w:type="pct"/>
                  <w:tcBorders>
                    <w:tl2br w:val="nil"/>
                    <w:tr2bl w:val="nil"/>
                  </w:tcBorders>
                  <w:shd w:val="clear" w:color="auto" w:fill="FFFFFF"/>
                  <w:vAlign w:val="center"/>
                </w:tcPr>
                <w:p w14:paraId="3D249076">
                  <w:pPr>
                    <w:keepNext w:val="0"/>
                    <w:keepLines w:val="0"/>
                    <w:pageBreakBefore w:val="0"/>
                    <w:widowControl/>
                    <w:suppressLineNumbers w:val="0"/>
                    <w:kinsoku/>
                    <w:wordWrap/>
                    <w:overflowPunct/>
                    <w:topLinePunct w:val="0"/>
                    <w:bidi w:val="0"/>
                    <w:adjustRightInd w:val="0"/>
                    <w:snapToGrid w:val="0"/>
                    <w:spacing w:before="0" w:beforeAutospacing="0" w:after="0" w:afterAutospacing="0" w:line="276" w:lineRule="auto"/>
                    <w:ind w:left="0" w:right="0"/>
                    <w:jc w:val="center"/>
                    <w:textAlignment w:val="center"/>
                    <w:rPr>
                      <w:rFonts w:hint="default" w:ascii="Times New Roman" w:hAnsi="Times New Roman" w:eastAsia="宋体" w:cs="Times New Roman"/>
                      <w:bCs/>
                      <w:i w:val="0"/>
                      <w:iCs w:val="0"/>
                      <w:color w:val="000000"/>
                      <w:kern w:val="0"/>
                      <w:sz w:val="18"/>
                      <w:szCs w:val="18"/>
                      <w:highlight w:val="none"/>
                      <w:u w:val="none"/>
                      <w:lang w:val="en-US" w:eastAsia="zh-CN" w:bidi="ar"/>
                    </w:rPr>
                  </w:pPr>
                  <w:r>
                    <w:rPr>
                      <w:rFonts w:hint="default" w:ascii="Times New Roman" w:hAnsi="Times New Roman" w:eastAsia="宋体" w:cs="Times New Roman"/>
                      <w:bCs/>
                      <w:i w:val="0"/>
                      <w:iCs w:val="0"/>
                      <w:color w:val="000000"/>
                      <w:kern w:val="0"/>
                      <w:sz w:val="18"/>
                      <w:szCs w:val="18"/>
                      <w:highlight w:val="none"/>
                      <w:u w:val="none"/>
                      <w:lang w:val="en-US" w:eastAsia="zh-CN" w:bidi="ar"/>
                    </w:rPr>
                    <w:t>各类流式细胞仪</w:t>
                  </w:r>
                </w:p>
              </w:tc>
              <w:tc>
                <w:tcPr>
                  <w:tcW w:w="1436" w:type="pct"/>
                  <w:tcBorders>
                    <w:tl2br w:val="nil"/>
                    <w:tr2bl w:val="nil"/>
                  </w:tcBorders>
                  <w:shd w:val="clear" w:color="auto" w:fill="FFFFFF"/>
                  <w:noWrap/>
                  <w:vAlign w:val="center"/>
                </w:tcPr>
                <w:p w14:paraId="2635534A">
                  <w:pPr>
                    <w:keepNext w:val="0"/>
                    <w:keepLines w:val="0"/>
                    <w:pageBreakBefore w:val="0"/>
                    <w:suppressLineNumbers w:val="0"/>
                    <w:kinsoku/>
                    <w:wordWrap/>
                    <w:overflowPunct/>
                    <w:topLinePunct w:val="0"/>
                    <w:bidi w:val="0"/>
                    <w:adjustRightInd w:val="0"/>
                    <w:snapToGrid w:val="0"/>
                    <w:spacing w:before="0" w:beforeAutospacing="0" w:after="0" w:afterAutospacing="0" w:line="276" w:lineRule="auto"/>
                    <w:ind w:left="0" w:right="0"/>
                    <w:jc w:val="center"/>
                    <w:rPr>
                      <w:rFonts w:hint="default" w:ascii="Times New Roman" w:hAnsi="Times New Roman" w:eastAsia="宋体" w:cs="Times New Roman"/>
                      <w:bCs/>
                      <w:i w:val="0"/>
                      <w:iCs w:val="0"/>
                      <w:color w:val="000000"/>
                      <w:kern w:val="0"/>
                      <w:sz w:val="18"/>
                      <w:szCs w:val="18"/>
                      <w:highlight w:val="none"/>
                      <w:u w:val="none"/>
                      <w:lang w:val="en-US" w:eastAsia="zh-CN" w:bidi="ar"/>
                    </w:rPr>
                  </w:pPr>
                  <w:r>
                    <w:rPr>
                      <w:rFonts w:hint="default" w:ascii="Times New Roman" w:hAnsi="Times New Roman" w:eastAsia="宋体" w:cs="Times New Roman"/>
                      <w:bCs/>
                      <w:i w:val="0"/>
                      <w:iCs w:val="0"/>
                      <w:color w:val="000000"/>
                      <w:kern w:val="0"/>
                      <w:sz w:val="18"/>
                      <w:szCs w:val="18"/>
                      <w:highlight w:val="none"/>
                      <w:u w:val="none"/>
                      <w:lang w:val="en-US" w:eastAsia="zh-CN" w:bidi="ar"/>
                    </w:rPr>
                    <w:t>/</w:t>
                  </w:r>
                </w:p>
              </w:tc>
              <w:tc>
                <w:tcPr>
                  <w:tcW w:w="284" w:type="pct"/>
                  <w:tcBorders>
                    <w:tl2br w:val="nil"/>
                    <w:tr2bl w:val="nil"/>
                  </w:tcBorders>
                  <w:shd w:val="clear" w:color="auto" w:fill="FFFFFF"/>
                  <w:vAlign w:val="center"/>
                </w:tcPr>
                <w:p w14:paraId="4421137B">
                  <w:pPr>
                    <w:keepNext w:val="0"/>
                    <w:keepLines w:val="0"/>
                    <w:pageBreakBefore w:val="0"/>
                    <w:widowControl/>
                    <w:suppressLineNumbers w:val="0"/>
                    <w:kinsoku/>
                    <w:wordWrap/>
                    <w:overflowPunct/>
                    <w:topLinePunct w:val="0"/>
                    <w:bidi w:val="0"/>
                    <w:adjustRightInd w:val="0"/>
                    <w:snapToGrid w:val="0"/>
                    <w:spacing w:before="0" w:beforeAutospacing="0" w:after="0" w:afterAutospacing="0" w:line="276" w:lineRule="auto"/>
                    <w:ind w:left="0" w:right="0"/>
                    <w:jc w:val="center"/>
                    <w:textAlignment w:val="center"/>
                    <w:rPr>
                      <w:rFonts w:hint="default" w:ascii="Times New Roman" w:hAnsi="Times New Roman" w:eastAsia="宋体" w:cs="Times New Roman"/>
                      <w:bCs/>
                      <w:i w:val="0"/>
                      <w:iCs w:val="0"/>
                      <w:color w:val="000000"/>
                      <w:kern w:val="0"/>
                      <w:sz w:val="18"/>
                      <w:szCs w:val="18"/>
                      <w:highlight w:val="none"/>
                      <w:u w:val="none"/>
                      <w:lang w:val="en-US" w:eastAsia="zh-CN" w:bidi="ar"/>
                    </w:rPr>
                  </w:pPr>
                  <w:r>
                    <w:rPr>
                      <w:rFonts w:hint="default" w:ascii="Times New Roman" w:hAnsi="Times New Roman" w:eastAsia="宋体" w:cs="Times New Roman"/>
                      <w:bCs/>
                      <w:i w:val="0"/>
                      <w:iCs w:val="0"/>
                      <w:color w:val="000000"/>
                      <w:kern w:val="0"/>
                      <w:sz w:val="18"/>
                      <w:szCs w:val="18"/>
                      <w:highlight w:val="none"/>
                      <w:u w:val="none"/>
                      <w:lang w:val="en-US" w:eastAsia="zh-CN" w:bidi="ar"/>
                    </w:rPr>
                    <w:t>3</w:t>
                  </w:r>
                </w:p>
              </w:tc>
              <w:tc>
                <w:tcPr>
                  <w:tcW w:w="1678" w:type="pct"/>
                  <w:vMerge w:val="continue"/>
                  <w:tcBorders>
                    <w:tl2br w:val="nil"/>
                    <w:tr2bl w:val="nil"/>
                  </w:tcBorders>
                  <w:shd w:val="clear" w:color="auto" w:fill="FFFFFF"/>
                  <w:vAlign w:val="center"/>
                </w:tcPr>
                <w:p w14:paraId="3BFC0455">
                  <w:pPr>
                    <w:keepNext w:val="0"/>
                    <w:keepLines w:val="0"/>
                    <w:pageBreakBefore w:val="0"/>
                    <w:widowControl/>
                    <w:suppressLineNumbers w:val="0"/>
                    <w:kinsoku/>
                    <w:wordWrap/>
                    <w:overflowPunct/>
                    <w:topLinePunct w:val="0"/>
                    <w:bidi w:val="0"/>
                    <w:adjustRightInd w:val="0"/>
                    <w:snapToGrid w:val="0"/>
                    <w:spacing w:before="0" w:beforeAutospacing="0" w:after="0" w:afterAutospacing="0" w:line="276" w:lineRule="auto"/>
                    <w:ind w:left="0" w:right="0"/>
                    <w:jc w:val="center"/>
                    <w:textAlignment w:val="center"/>
                    <w:rPr>
                      <w:rFonts w:hint="default" w:ascii="Times New Roman" w:hAnsi="Times New Roman" w:eastAsia="宋体" w:cs="Times New Roman"/>
                      <w:i w:val="0"/>
                      <w:iCs w:val="0"/>
                      <w:color w:val="000000"/>
                      <w:kern w:val="0"/>
                      <w:sz w:val="18"/>
                      <w:szCs w:val="18"/>
                      <w:highlight w:val="none"/>
                      <w:u w:val="none"/>
                      <w:lang w:val="en-US" w:eastAsia="zh-CN" w:bidi="ar"/>
                    </w:rPr>
                  </w:pPr>
                </w:p>
              </w:tc>
            </w:tr>
            <w:tr w14:paraId="3954588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0" w:hRule="atLeast"/>
              </w:trPr>
              <w:tc>
                <w:tcPr>
                  <w:tcW w:w="235" w:type="pct"/>
                  <w:tcBorders>
                    <w:tl2br w:val="nil"/>
                    <w:tr2bl w:val="nil"/>
                  </w:tcBorders>
                  <w:shd w:val="clear" w:color="auto" w:fill="FFFFFF"/>
                  <w:noWrap/>
                  <w:vAlign w:val="center"/>
                </w:tcPr>
                <w:p w14:paraId="4CEC1F6A">
                  <w:pPr>
                    <w:keepNext w:val="0"/>
                    <w:keepLines w:val="0"/>
                    <w:pageBreakBefore w:val="0"/>
                    <w:widowControl/>
                    <w:suppressLineNumbers w:val="0"/>
                    <w:kinsoku/>
                    <w:wordWrap/>
                    <w:overflowPunct/>
                    <w:topLinePunct w:val="0"/>
                    <w:bidi w:val="0"/>
                    <w:adjustRightInd w:val="0"/>
                    <w:snapToGrid w:val="0"/>
                    <w:spacing w:before="0" w:beforeAutospacing="0" w:after="0" w:afterAutospacing="0" w:line="276" w:lineRule="auto"/>
                    <w:ind w:left="0" w:right="0"/>
                    <w:jc w:val="center"/>
                    <w:textAlignment w:val="center"/>
                    <w:rPr>
                      <w:rFonts w:hint="default" w:ascii="Times New Roman" w:hAnsi="Times New Roman" w:eastAsia="宋体" w:cs="Times New Roman"/>
                      <w:bCs/>
                      <w:i w:val="0"/>
                      <w:iCs w:val="0"/>
                      <w:color w:val="000000"/>
                      <w:kern w:val="0"/>
                      <w:sz w:val="18"/>
                      <w:szCs w:val="18"/>
                      <w:highlight w:val="none"/>
                      <w:u w:val="none"/>
                      <w:lang w:val="en-US" w:eastAsia="zh-CN" w:bidi="ar"/>
                    </w:rPr>
                  </w:pPr>
                  <w:r>
                    <w:rPr>
                      <w:rFonts w:hint="default" w:ascii="Times New Roman" w:hAnsi="Times New Roman" w:eastAsia="宋体" w:cs="Times New Roman"/>
                      <w:bCs/>
                      <w:i w:val="0"/>
                      <w:iCs w:val="0"/>
                      <w:color w:val="000000"/>
                      <w:kern w:val="0"/>
                      <w:sz w:val="18"/>
                      <w:szCs w:val="18"/>
                      <w:highlight w:val="none"/>
                      <w:u w:val="none"/>
                      <w:lang w:val="en-US" w:eastAsia="zh-CN" w:bidi="ar"/>
                    </w:rPr>
                    <w:t>111</w:t>
                  </w:r>
                </w:p>
              </w:tc>
              <w:tc>
                <w:tcPr>
                  <w:tcW w:w="349" w:type="pct"/>
                  <w:vMerge w:val="continue"/>
                  <w:tcBorders>
                    <w:tl2br w:val="nil"/>
                    <w:tr2bl w:val="nil"/>
                  </w:tcBorders>
                  <w:shd w:val="clear" w:color="auto" w:fill="FFFFFF"/>
                  <w:vAlign w:val="center"/>
                </w:tcPr>
                <w:p w14:paraId="4B29D4A5">
                  <w:pPr>
                    <w:pStyle w:val="120"/>
                    <w:keepNext w:val="0"/>
                    <w:keepLines w:val="0"/>
                    <w:pageBreakBefore w:val="0"/>
                    <w:framePr w:hSpace="0" w:wrap="auto" w:vAnchor="margin" w:hAnchor="text" w:xAlign="left" w:yAlign="inline"/>
                    <w:suppressLineNumbers w:val="0"/>
                    <w:kinsoku/>
                    <w:wordWrap/>
                    <w:overflowPunct/>
                    <w:topLinePunct w:val="0"/>
                    <w:bidi w:val="0"/>
                    <w:adjustRightInd w:val="0"/>
                    <w:snapToGrid w:val="0"/>
                    <w:spacing w:before="0" w:beforeAutospacing="0" w:after="0" w:afterAutospacing="0" w:line="276" w:lineRule="auto"/>
                    <w:ind w:left="0" w:right="0"/>
                    <w:jc w:val="center"/>
                    <w:rPr>
                      <w:rFonts w:hint="default" w:ascii="Times New Roman" w:hAnsi="Times New Roman" w:eastAsia="宋体" w:cs="Times New Roman"/>
                      <w:bCs/>
                      <w:i w:val="0"/>
                      <w:iCs w:val="0"/>
                      <w:color w:val="000000"/>
                      <w:kern w:val="0"/>
                      <w:sz w:val="18"/>
                      <w:szCs w:val="18"/>
                      <w:highlight w:val="none"/>
                      <w:u w:val="none"/>
                      <w:lang w:val="en-US" w:eastAsia="zh-CN" w:bidi="ar"/>
                    </w:rPr>
                  </w:pPr>
                </w:p>
              </w:tc>
              <w:tc>
                <w:tcPr>
                  <w:tcW w:w="1015" w:type="pct"/>
                  <w:tcBorders>
                    <w:tl2br w:val="nil"/>
                    <w:tr2bl w:val="nil"/>
                  </w:tcBorders>
                  <w:shd w:val="clear" w:color="auto" w:fill="FFFFFF"/>
                  <w:vAlign w:val="center"/>
                </w:tcPr>
                <w:p w14:paraId="764DE0E9">
                  <w:pPr>
                    <w:keepNext w:val="0"/>
                    <w:keepLines w:val="0"/>
                    <w:pageBreakBefore w:val="0"/>
                    <w:widowControl/>
                    <w:suppressLineNumbers w:val="0"/>
                    <w:kinsoku/>
                    <w:wordWrap/>
                    <w:overflowPunct/>
                    <w:topLinePunct w:val="0"/>
                    <w:bidi w:val="0"/>
                    <w:adjustRightInd w:val="0"/>
                    <w:snapToGrid w:val="0"/>
                    <w:spacing w:before="0" w:beforeAutospacing="0" w:after="0" w:afterAutospacing="0" w:line="276" w:lineRule="auto"/>
                    <w:ind w:left="0" w:right="0"/>
                    <w:jc w:val="center"/>
                    <w:textAlignment w:val="center"/>
                    <w:rPr>
                      <w:rFonts w:hint="default" w:ascii="Times New Roman" w:hAnsi="Times New Roman" w:eastAsia="宋体" w:cs="Times New Roman"/>
                      <w:bCs/>
                      <w:i w:val="0"/>
                      <w:iCs w:val="0"/>
                      <w:color w:val="000000"/>
                      <w:kern w:val="0"/>
                      <w:sz w:val="18"/>
                      <w:szCs w:val="18"/>
                      <w:highlight w:val="none"/>
                      <w:u w:val="none"/>
                      <w:lang w:val="en-US" w:eastAsia="zh-CN" w:bidi="ar"/>
                    </w:rPr>
                  </w:pPr>
                  <w:r>
                    <w:rPr>
                      <w:rFonts w:hint="default" w:ascii="Times New Roman" w:hAnsi="Times New Roman" w:eastAsia="宋体" w:cs="Times New Roman"/>
                      <w:bCs/>
                      <w:i w:val="0"/>
                      <w:iCs w:val="0"/>
                      <w:color w:val="000000"/>
                      <w:kern w:val="0"/>
                      <w:sz w:val="18"/>
                      <w:szCs w:val="18"/>
                      <w:highlight w:val="none"/>
                      <w:u w:val="none"/>
                      <w:lang w:val="en-US" w:eastAsia="zh-CN" w:bidi="ar"/>
                    </w:rPr>
                    <w:t>多功能酶标仪</w:t>
                  </w:r>
                </w:p>
              </w:tc>
              <w:tc>
                <w:tcPr>
                  <w:tcW w:w="1436" w:type="pct"/>
                  <w:tcBorders>
                    <w:tl2br w:val="nil"/>
                    <w:tr2bl w:val="nil"/>
                  </w:tcBorders>
                  <w:shd w:val="clear" w:color="auto" w:fill="FFFFFF"/>
                  <w:noWrap/>
                  <w:vAlign w:val="center"/>
                </w:tcPr>
                <w:p w14:paraId="1DFE955B">
                  <w:pPr>
                    <w:keepNext w:val="0"/>
                    <w:keepLines w:val="0"/>
                    <w:pageBreakBefore w:val="0"/>
                    <w:suppressLineNumbers w:val="0"/>
                    <w:kinsoku/>
                    <w:wordWrap/>
                    <w:overflowPunct/>
                    <w:topLinePunct w:val="0"/>
                    <w:bidi w:val="0"/>
                    <w:adjustRightInd w:val="0"/>
                    <w:snapToGrid w:val="0"/>
                    <w:spacing w:before="0" w:beforeAutospacing="0" w:after="0" w:afterAutospacing="0" w:line="276" w:lineRule="auto"/>
                    <w:ind w:left="0" w:right="0"/>
                    <w:jc w:val="center"/>
                    <w:rPr>
                      <w:rFonts w:hint="default" w:ascii="Times New Roman" w:hAnsi="Times New Roman" w:eastAsia="宋体" w:cs="Times New Roman"/>
                      <w:bCs/>
                      <w:i w:val="0"/>
                      <w:iCs w:val="0"/>
                      <w:color w:val="000000"/>
                      <w:kern w:val="0"/>
                      <w:sz w:val="18"/>
                      <w:szCs w:val="18"/>
                      <w:highlight w:val="none"/>
                      <w:u w:val="none"/>
                      <w:lang w:val="en-US" w:eastAsia="zh-CN" w:bidi="ar"/>
                    </w:rPr>
                  </w:pPr>
                  <w:r>
                    <w:rPr>
                      <w:rFonts w:hint="default" w:ascii="Times New Roman" w:hAnsi="Times New Roman" w:eastAsia="宋体" w:cs="Times New Roman"/>
                      <w:bCs/>
                      <w:i w:val="0"/>
                      <w:iCs w:val="0"/>
                      <w:color w:val="000000"/>
                      <w:kern w:val="0"/>
                      <w:sz w:val="18"/>
                      <w:szCs w:val="18"/>
                      <w:highlight w:val="none"/>
                      <w:u w:val="none"/>
                      <w:lang w:val="en-US" w:eastAsia="zh-CN" w:bidi="ar"/>
                    </w:rPr>
                    <w:t>/</w:t>
                  </w:r>
                </w:p>
              </w:tc>
              <w:tc>
                <w:tcPr>
                  <w:tcW w:w="284" w:type="pct"/>
                  <w:tcBorders>
                    <w:tl2br w:val="nil"/>
                    <w:tr2bl w:val="nil"/>
                  </w:tcBorders>
                  <w:shd w:val="clear" w:color="auto" w:fill="FFFFFF"/>
                  <w:vAlign w:val="center"/>
                </w:tcPr>
                <w:p w14:paraId="4A8412C5">
                  <w:pPr>
                    <w:keepNext w:val="0"/>
                    <w:keepLines w:val="0"/>
                    <w:pageBreakBefore w:val="0"/>
                    <w:widowControl/>
                    <w:suppressLineNumbers w:val="0"/>
                    <w:kinsoku/>
                    <w:wordWrap/>
                    <w:overflowPunct/>
                    <w:topLinePunct w:val="0"/>
                    <w:bidi w:val="0"/>
                    <w:adjustRightInd w:val="0"/>
                    <w:snapToGrid w:val="0"/>
                    <w:spacing w:before="0" w:beforeAutospacing="0" w:after="0" w:afterAutospacing="0" w:line="276" w:lineRule="auto"/>
                    <w:ind w:left="0" w:right="0"/>
                    <w:jc w:val="center"/>
                    <w:textAlignment w:val="center"/>
                    <w:rPr>
                      <w:rFonts w:hint="default" w:ascii="Times New Roman" w:hAnsi="Times New Roman" w:eastAsia="宋体" w:cs="Times New Roman"/>
                      <w:bCs/>
                      <w:i w:val="0"/>
                      <w:iCs w:val="0"/>
                      <w:color w:val="000000"/>
                      <w:kern w:val="0"/>
                      <w:sz w:val="18"/>
                      <w:szCs w:val="18"/>
                      <w:highlight w:val="none"/>
                      <w:u w:val="none"/>
                      <w:lang w:val="en-US" w:eastAsia="zh-CN" w:bidi="ar"/>
                    </w:rPr>
                  </w:pPr>
                  <w:r>
                    <w:rPr>
                      <w:rFonts w:hint="default" w:ascii="Times New Roman" w:hAnsi="Times New Roman" w:eastAsia="宋体" w:cs="Times New Roman"/>
                      <w:bCs/>
                      <w:i w:val="0"/>
                      <w:iCs w:val="0"/>
                      <w:color w:val="000000"/>
                      <w:kern w:val="0"/>
                      <w:sz w:val="18"/>
                      <w:szCs w:val="18"/>
                      <w:highlight w:val="none"/>
                      <w:u w:val="none"/>
                      <w:lang w:val="en-US" w:eastAsia="zh-CN" w:bidi="ar"/>
                    </w:rPr>
                    <w:t>10</w:t>
                  </w:r>
                </w:p>
              </w:tc>
              <w:tc>
                <w:tcPr>
                  <w:tcW w:w="1678" w:type="pct"/>
                  <w:vMerge w:val="continue"/>
                  <w:tcBorders>
                    <w:tl2br w:val="nil"/>
                    <w:tr2bl w:val="nil"/>
                  </w:tcBorders>
                  <w:shd w:val="clear" w:color="auto" w:fill="FFFFFF"/>
                  <w:vAlign w:val="center"/>
                </w:tcPr>
                <w:p w14:paraId="6577AE8B">
                  <w:pPr>
                    <w:keepNext w:val="0"/>
                    <w:keepLines w:val="0"/>
                    <w:pageBreakBefore w:val="0"/>
                    <w:widowControl/>
                    <w:suppressLineNumbers w:val="0"/>
                    <w:kinsoku/>
                    <w:wordWrap/>
                    <w:overflowPunct/>
                    <w:topLinePunct w:val="0"/>
                    <w:bidi w:val="0"/>
                    <w:adjustRightInd w:val="0"/>
                    <w:snapToGrid w:val="0"/>
                    <w:spacing w:before="0" w:beforeAutospacing="0" w:after="0" w:afterAutospacing="0" w:line="276" w:lineRule="auto"/>
                    <w:ind w:left="0" w:right="0"/>
                    <w:jc w:val="center"/>
                    <w:textAlignment w:val="center"/>
                    <w:rPr>
                      <w:rFonts w:hint="default" w:ascii="Times New Roman" w:hAnsi="Times New Roman" w:eastAsia="宋体" w:cs="Times New Roman"/>
                      <w:i w:val="0"/>
                      <w:iCs w:val="0"/>
                      <w:color w:val="000000"/>
                      <w:kern w:val="0"/>
                      <w:sz w:val="18"/>
                      <w:szCs w:val="18"/>
                      <w:highlight w:val="none"/>
                      <w:u w:val="none"/>
                      <w:lang w:val="en-US" w:eastAsia="zh-CN" w:bidi="ar"/>
                    </w:rPr>
                  </w:pPr>
                </w:p>
              </w:tc>
            </w:tr>
            <w:tr w14:paraId="68CD683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0" w:hRule="atLeast"/>
              </w:trPr>
              <w:tc>
                <w:tcPr>
                  <w:tcW w:w="235" w:type="pct"/>
                  <w:tcBorders>
                    <w:tl2br w:val="nil"/>
                    <w:tr2bl w:val="nil"/>
                  </w:tcBorders>
                  <w:shd w:val="clear" w:color="auto" w:fill="FFFFFF"/>
                  <w:noWrap/>
                  <w:vAlign w:val="center"/>
                </w:tcPr>
                <w:p w14:paraId="3443260B">
                  <w:pPr>
                    <w:keepNext w:val="0"/>
                    <w:keepLines w:val="0"/>
                    <w:pageBreakBefore w:val="0"/>
                    <w:widowControl/>
                    <w:suppressLineNumbers w:val="0"/>
                    <w:kinsoku/>
                    <w:wordWrap/>
                    <w:overflowPunct/>
                    <w:topLinePunct w:val="0"/>
                    <w:bidi w:val="0"/>
                    <w:adjustRightInd w:val="0"/>
                    <w:snapToGrid w:val="0"/>
                    <w:spacing w:before="0" w:beforeAutospacing="0" w:after="0" w:afterAutospacing="0" w:line="276" w:lineRule="auto"/>
                    <w:ind w:left="0" w:right="0"/>
                    <w:jc w:val="center"/>
                    <w:textAlignment w:val="center"/>
                    <w:rPr>
                      <w:rFonts w:hint="default" w:ascii="Times New Roman" w:hAnsi="Times New Roman" w:eastAsia="宋体" w:cs="Times New Roman"/>
                      <w:bCs/>
                      <w:i w:val="0"/>
                      <w:iCs w:val="0"/>
                      <w:color w:val="000000"/>
                      <w:kern w:val="0"/>
                      <w:sz w:val="18"/>
                      <w:szCs w:val="18"/>
                      <w:highlight w:val="none"/>
                      <w:u w:val="none"/>
                      <w:lang w:val="en-US" w:eastAsia="zh-CN" w:bidi="ar"/>
                    </w:rPr>
                  </w:pPr>
                  <w:r>
                    <w:rPr>
                      <w:rFonts w:hint="default" w:ascii="Times New Roman" w:hAnsi="Times New Roman" w:eastAsia="宋体" w:cs="Times New Roman"/>
                      <w:bCs/>
                      <w:i w:val="0"/>
                      <w:iCs w:val="0"/>
                      <w:color w:val="000000"/>
                      <w:kern w:val="0"/>
                      <w:sz w:val="18"/>
                      <w:szCs w:val="18"/>
                      <w:highlight w:val="none"/>
                      <w:u w:val="none"/>
                      <w:lang w:val="en-US" w:eastAsia="zh-CN" w:bidi="ar"/>
                    </w:rPr>
                    <w:t>112</w:t>
                  </w:r>
                </w:p>
              </w:tc>
              <w:tc>
                <w:tcPr>
                  <w:tcW w:w="349" w:type="pct"/>
                  <w:vMerge w:val="continue"/>
                  <w:tcBorders>
                    <w:tl2br w:val="nil"/>
                    <w:tr2bl w:val="nil"/>
                  </w:tcBorders>
                  <w:shd w:val="clear" w:color="auto" w:fill="FFFFFF"/>
                  <w:vAlign w:val="center"/>
                </w:tcPr>
                <w:p w14:paraId="7CF03D4F">
                  <w:pPr>
                    <w:pStyle w:val="120"/>
                    <w:keepNext w:val="0"/>
                    <w:keepLines w:val="0"/>
                    <w:pageBreakBefore w:val="0"/>
                    <w:framePr w:hSpace="0" w:wrap="auto" w:vAnchor="margin" w:hAnchor="text" w:xAlign="left" w:yAlign="inline"/>
                    <w:suppressLineNumbers w:val="0"/>
                    <w:kinsoku/>
                    <w:wordWrap/>
                    <w:overflowPunct/>
                    <w:topLinePunct w:val="0"/>
                    <w:bidi w:val="0"/>
                    <w:adjustRightInd w:val="0"/>
                    <w:snapToGrid w:val="0"/>
                    <w:spacing w:before="0" w:beforeAutospacing="0" w:after="0" w:afterAutospacing="0" w:line="276" w:lineRule="auto"/>
                    <w:ind w:left="0" w:right="0"/>
                    <w:jc w:val="center"/>
                    <w:rPr>
                      <w:rFonts w:hint="default" w:ascii="Times New Roman" w:hAnsi="Times New Roman" w:eastAsia="宋体" w:cs="Times New Roman"/>
                      <w:bCs/>
                      <w:i w:val="0"/>
                      <w:iCs w:val="0"/>
                      <w:color w:val="000000"/>
                      <w:kern w:val="0"/>
                      <w:sz w:val="18"/>
                      <w:szCs w:val="18"/>
                      <w:highlight w:val="none"/>
                      <w:u w:val="none"/>
                      <w:lang w:val="en-US" w:eastAsia="zh-CN" w:bidi="ar"/>
                    </w:rPr>
                  </w:pPr>
                </w:p>
              </w:tc>
              <w:tc>
                <w:tcPr>
                  <w:tcW w:w="1015" w:type="pct"/>
                  <w:tcBorders>
                    <w:tl2br w:val="nil"/>
                    <w:tr2bl w:val="nil"/>
                  </w:tcBorders>
                  <w:shd w:val="clear" w:color="auto" w:fill="FFFFFF"/>
                  <w:vAlign w:val="center"/>
                </w:tcPr>
                <w:p w14:paraId="269F672A">
                  <w:pPr>
                    <w:keepNext w:val="0"/>
                    <w:keepLines w:val="0"/>
                    <w:pageBreakBefore w:val="0"/>
                    <w:widowControl/>
                    <w:suppressLineNumbers w:val="0"/>
                    <w:kinsoku/>
                    <w:wordWrap/>
                    <w:overflowPunct/>
                    <w:topLinePunct w:val="0"/>
                    <w:bidi w:val="0"/>
                    <w:adjustRightInd w:val="0"/>
                    <w:snapToGrid w:val="0"/>
                    <w:spacing w:before="0" w:beforeAutospacing="0" w:after="0" w:afterAutospacing="0" w:line="276" w:lineRule="auto"/>
                    <w:ind w:left="0" w:right="0"/>
                    <w:jc w:val="center"/>
                    <w:textAlignment w:val="center"/>
                    <w:rPr>
                      <w:rFonts w:hint="default" w:ascii="Times New Roman" w:hAnsi="Times New Roman" w:eastAsia="宋体" w:cs="Times New Roman"/>
                      <w:bCs/>
                      <w:i w:val="0"/>
                      <w:iCs w:val="0"/>
                      <w:color w:val="000000"/>
                      <w:kern w:val="0"/>
                      <w:sz w:val="18"/>
                      <w:szCs w:val="18"/>
                      <w:highlight w:val="none"/>
                      <w:u w:val="none"/>
                      <w:lang w:val="en-US" w:eastAsia="zh-CN" w:bidi="ar"/>
                    </w:rPr>
                  </w:pPr>
                  <w:r>
                    <w:rPr>
                      <w:rFonts w:hint="default" w:ascii="Times New Roman" w:hAnsi="Times New Roman" w:eastAsia="宋体" w:cs="Times New Roman"/>
                      <w:bCs/>
                      <w:i w:val="0"/>
                      <w:iCs w:val="0"/>
                      <w:color w:val="000000"/>
                      <w:kern w:val="0"/>
                      <w:sz w:val="18"/>
                      <w:szCs w:val="18"/>
                      <w:highlight w:val="none"/>
                      <w:u w:val="none"/>
                      <w:lang w:val="en-US" w:eastAsia="zh-CN" w:bidi="ar"/>
                    </w:rPr>
                    <w:t>核酸分光光度仪</w:t>
                  </w:r>
                </w:p>
              </w:tc>
              <w:tc>
                <w:tcPr>
                  <w:tcW w:w="1436" w:type="pct"/>
                  <w:tcBorders>
                    <w:tl2br w:val="nil"/>
                    <w:tr2bl w:val="nil"/>
                  </w:tcBorders>
                  <w:shd w:val="clear" w:color="auto" w:fill="FFFFFF"/>
                  <w:noWrap/>
                  <w:vAlign w:val="center"/>
                </w:tcPr>
                <w:p w14:paraId="53ABEE4F">
                  <w:pPr>
                    <w:keepNext w:val="0"/>
                    <w:keepLines w:val="0"/>
                    <w:pageBreakBefore w:val="0"/>
                    <w:suppressLineNumbers w:val="0"/>
                    <w:kinsoku/>
                    <w:wordWrap/>
                    <w:overflowPunct/>
                    <w:topLinePunct w:val="0"/>
                    <w:bidi w:val="0"/>
                    <w:adjustRightInd w:val="0"/>
                    <w:snapToGrid w:val="0"/>
                    <w:spacing w:before="0" w:beforeAutospacing="0" w:after="0" w:afterAutospacing="0" w:line="276" w:lineRule="auto"/>
                    <w:ind w:left="0" w:right="0"/>
                    <w:jc w:val="center"/>
                    <w:rPr>
                      <w:rFonts w:hint="default" w:ascii="Times New Roman" w:hAnsi="Times New Roman" w:eastAsia="宋体" w:cs="Times New Roman"/>
                      <w:bCs/>
                      <w:i w:val="0"/>
                      <w:iCs w:val="0"/>
                      <w:color w:val="000000"/>
                      <w:kern w:val="0"/>
                      <w:sz w:val="18"/>
                      <w:szCs w:val="18"/>
                      <w:highlight w:val="none"/>
                      <w:u w:val="none"/>
                      <w:lang w:val="en-US" w:eastAsia="zh-CN" w:bidi="ar"/>
                    </w:rPr>
                  </w:pPr>
                  <w:r>
                    <w:rPr>
                      <w:rFonts w:hint="default" w:ascii="Times New Roman" w:hAnsi="Times New Roman" w:eastAsia="宋体" w:cs="Times New Roman"/>
                      <w:bCs/>
                      <w:i w:val="0"/>
                      <w:iCs w:val="0"/>
                      <w:color w:val="000000"/>
                      <w:kern w:val="0"/>
                      <w:sz w:val="18"/>
                      <w:szCs w:val="18"/>
                      <w:highlight w:val="none"/>
                      <w:u w:val="none"/>
                      <w:lang w:val="en-US" w:eastAsia="zh-CN" w:bidi="ar"/>
                    </w:rPr>
                    <w:t>/</w:t>
                  </w:r>
                </w:p>
              </w:tc>
              <w:tc>
                <w:tcPr>
                  <w:tcW w:w="284" w:type="pct"/>
                  <w:tcBorders>
                    <w:tl2br w:val="nil"/>
                    <w:tr2bl w:val="nil"/>
                  </w:tcBorders>
                  <w:shd w:val="clear" w:color="auto" w:fill="FFFFFF"/>
                  <w:vAlign w:val="center"/>
                </w:tcPr>
                <w:p w14:paraId="3A87A665">
                  <w:pPr>
                    <w:keepNext w:val="0"/>
                    <w:keepLines w:val="0"/>
                    <w:pageBreakBefore w:val="0"/>
                    <w:widowControl/>
                    <w:suppressLineNumbers w:val="0"/>
                    <w:kinsoku/>
                    <w:wordWrap/>
                    <w:overflowPunct/>
                    <w:topLinePunct w:val="0"/>
                    <w:bidi w:val="0"/>
                    <w:adjustRightInd w:val="0"/>
                    <w:snapToGrid w:val="0"/>
                    <w:spacing w:before="0" w:beforeAutospacing="0" w:after="0" w:afterAutospacing="0" w:line="276" w:lineRule="auto"/>
                    <w:ind w:left="0" w:right="0"/>
                    <w:jc w:val="center"/>
                    <w:textAlignment w:val="center"/>
                    <w:rPr>
                      <w:rFonts w:hint="default" w:ascii="Times New Roman" w:hAnsi="Times New Roman" w:eastAsia="宋体" w:cs="Times New Roman"/>
                      <w:bCs/>
                      <w:i w:val="0"/>
                      <w:iCs w:val="0"/>
                      <w:color w:val="000000"/>
                      <w:kern w:val="0"/>
                      <w:sz w:val="18"/>
                      <w:szCs w:val="18"/>
                      <w:highlight w:val="none"/>
                      <w:u w:val="none"/>
                      <w:lang w:val="en-US" w:eastAsia="zh-CN" w:bidi="ar"/>
                    </w:rPr>
                  </w:pPr>
                  <w:r>
                    <w:rPr>
                      <w:rFonts w:hint="default" w:ascii="Times New Roman" w:hAnsi="Times New Roman" w:eastAsia="宋体" w:cs="Times New Roman"/>
                      <w:bCs/>
                      <w:i w:val="0"/>
                      <w:iCs w:val="0"/>
                      <w:color w:val="000000"/>
                      <w:kern w:val="0"/>
                      <w:sz w:val="18"/>
                      <w:szCs w:val="18"/>
                      <w:highlight w:val="none"/>
                      <w:u w:val="none"/>
                      <w:lang w:val="en-US" w:eastAsia="zh-CN" w:bidi="ar"/>
                    </w:rPr>
                    <w:t>2</w:t>
                  </w:r>
                </w:p>
              </w:tc>
              <w:tc>
                <w:tcPr>
                  <w:tcW w:w="1678" w:type="pct"/>
                  <w:vMerge w:val="continue"/>
                  <w:tcBorders>
                    <w:tl2br w:val="nil"/>
                    <w:tr2bl w:val="nil"/>
                  </w:tcBorders>
                  <w:shd w:val="clear" w:color="auto" w:fill="FFFFFF"/>
                  <w:vAlign w:val="center"/>
                </w:tcPr>
                <w:p w14:paraId="573DC18F">
                  <w:pPr>
                    <w:keepNext w:val="0"/>
                    <w:keepLines w:val="0"/>
                    <w:pageBreakBefore w:val="0"/>
                    <w:widowControl/>
                    <w:suppressLineNumbers w:val="0"/>
                    <w:kinsoku/>
                    <w:wordWrap/>
                    <w:overflowPunct/>
                    <w:topLinePunct w:val="0"/>
                    <w:bidi w:val="0"/>
                    <w:adjustRightInd w:val="0"/>
                    <w:snapToGrid w:val="0"/>
                    <w:spacing w:before="0" w:beforeAutospacing="0" w:after="0" w:afterAutospacing="0" w:line="276" w:lineRule="auto"/>
                    <w:ind w:left="0" w:right="0"/>
                    <w:jc w:val="center"/>
                    <w:textAlignment w:val="center"/>
                    <w:rPr>
                      <w:rFonts w:hint="default" w:ascii="Times New Roman" w:hAnsi="Times New Roman" w:eastAsia="宋体" w:cs="Times New Roman"/>
                      <w:i w:val="0"/>
                      <w:iCs w:val="0"/>
                      <w:color w:val="000000"/>
                      <w:kern w:val="0"/>
                      <w:sz w:val="18"/>
                      <w:szCs w:val="18"/>
                      <w:highlight w:val="none"/>
                      <w:u w:val="none"/>
                      <w:lang w:val="en-US" w:eastAsia="zh-CN" w:bidi="ar"/>
                    </w:rPr>
                  </w:pPr>
                </w:p>
              </w:tc>
            </w:tr>
            <w:tr w14:paraId="6B5925D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FFFFFF"/>
                <w:tblCellMar>
                  <w:top w:w="0" w:type="dxa"/>
                  <w:left w:w="28" w:type="dxa"/>
                  <w:bottom w:w="0" w:type="dxa"/>
                  <w:right w:w="28" w:type="dxa"/>
                </w:tblCellMar>
              </w:tblPrEx>
              <w:trPr>
                <w:trHeight w:val="0" w:hRule="atLeast"/>
              </w:trPr>
              <w:tc>
                <w:tcPr>
                  <w:tcW w:w="235" w:type="pct"/>
                  <w:tcBorders>
                    <w:tl2br w:val="nil"/>
                    <w:tr2bl w:val="nil"/>
                  </w:tcBorders>
                  <w:shd w:val="clear" w:color="auto" w:fill="FFFFFF"/>
                  <w:noWrap/>
                  <w:vAlign w:val="center"/>
                </w:tcPr>
                <w:p w14:paraId="1B69EA70">
                  <w:pPr>
                    <w:keepNext w:val="0"/>
                    <w:keepLines w:val="0"/>
                    <w:pageBreakBefore w:val="0"/>
                    <w:widowControl/>
                    <w:suppressLineNumbers w:val="0"/>
                    <w:kinsoku/>
                    <w:wordWrap/>
                    <w:overflowPunct/>
                    <w:topLinePunct w:val="0"/>
                    <w:bidi w:val="0"/>
                    <w:adjustRightInd w:val="0"/>
                    <w:snapToGrid w:val="0"/>
                    <w:spacing w:before="0" w:beforeAutospacing="0" w:after="0" w:afterAutospacing="0" w:line="276" w:lineRule="auto"/>
                    <w:ind w:left="0" w:right="0"/>
                    <w:jc w:val="center"/>
                    <w:textAlignment w:val="center"/>
                    <w:rPr>
                      <w:rFonts w:hint="default" w:ascii="Times New Roman" w:hAnsi="Times New Roman" w:eastAsia="宋体" w:cs="Times New Roman"/>
                      <w:bCs/>
                      <w:i w:val="0"/>
                      <w:iCs w:val="0"/>
                      <w:color w:val="000000"/>
                      <w:kern w:val="0"/>
                      <w:sz w:val="18"/>
                      <w:szCs w:val="18"/>
                      <w:highlight w:val="none"/>
                      <w:u w:val="none"/>
                      <w:lang w:val="en-US" w:eastAsia="zh-CN" w:bidi="ar"/>
                    </w:rPr>
                  </w:pPr>
                  <w:r>
                    <w:rPr>
                      <w:rFonts w:hint="default" w:ascii="Times New Roman" w:hAnsi="Times New Roman" w:eastAsia="宋体" w:cs="Times New Roman"/>
                      <w:bCs/>
                      <w:i w:val="0"/>
                      <w:iCs w:val="0"/>
                      <w:color w:val="000000"/>
                      <w:kern w:val="0"/>
                      <w:sz w:val="18"/>
                      <w:szCs w:val="18"/>
                      <w:highlight w:val="none"/>
                      <w:u w:val="none"/>
                      <w:lang w:val="en-US" w:eastAsia="zh-CN" w:bidi="ar"/>
                    </w:rPr>
                    <w:t>113</w:t>
                  </w:r>
                </w:p>
              </w:tc>
              <w:tc>
                <w:tcPr>
                  <w:tcW w:w="349" w:type="pct"/>
                  <w:vMerge w:val="continue"/>
                  <w:tcBorders>
                    <w:tl2br w:val="nil"/>
                    <w:tr2bl w:val="nil"/>
                  </w:tcBorders>
                  <w:shd w:val="clear" w:color="auto" w:fill="FFFFFF"/>
                  <w:vAlign w:val="center"/>
                </w:tcPr>
                <w:p w14:paraId="4EA54295">
                  <w:pPr>
                    <w:pStyle w:val="120"/>
                    <w:keepNext w:val="0"/>
                    <w:keepLines w:val="0"/>
                    <w:pageBreakBefore w:val="0"/>
                    <w:framePr w:hSpace="0" w:wrap="auto" w:vAnchor="margin" w:hAnchor="text" w:xAlign="left" w:yAlign="inline"/>
                    <w:suppressLineNumbers w:val="0"/>
                    <w:kinsoku/>
                    <w:wordWrap/>
                    <w:overflowPunct/>
                    <w:topLinePunct w:val="0"/>
                    <w:bidi w:val="0"/>
                    <w:adjustRightInd w:val="0"/>
                    <w:snapToGrid w:val="0"/>
                    <w:spacing w:before="0" w:beforeAutospacing="0" w:after="0" w:afterAutospacing="0" w:line="276" w:lineRule="auto"/>
                    <w:ind w:left="0" w:right="0"/>
                    <w:jc w:val="center"/>
                    <w:rPr>
                      <w:rFonts w:hint="default" w:ascii="Times New Roman" w:hAnsi="Times New Roman" w:eastAsia="宋体" w:cs="Times New Roman"/>
                      <w:bCs/>
                      <w:i w:val="0"/>
                      <w:iCs w:val="0"/>
                      <w:color w:val="000000"/>
                      <w:kern w:val="0"/>
                      <w:sz w:val="18"/>
                      <w:szCs w:val="18"/>
                      <w:highlight w:val="none"/>
                      <w:u w:val="none"/>
                      <w:lang w:val="en-US" w:eastAsia="zh-CN" w:bidi="ar"/>
                    </w:rPr>
                  </w:pPr>
                </w:p>
              </w:tc>
              <w:tc>
                <w:tcPr>
                  <w:tcW w:w="1015" w:type="pct"/>
                  <w:tcBorders>
                    <w:tl2br w:val="nil"/>
                    <w:tr2bl w:val="nil"/>
                  </w:tcBorders>
                  <w:shd w:val="clear" w:color="auto" w:fill="FFFFFF"/>
                  <w:vAlign w:val="center"/>
                </w:tcPr>
                <w:p w14:paraId="38513834">
                  <w:pPr>
                    <w:keepNext w:val="0"/>
                    <w:keepLines w:val="0"/>
                    <w:pageBreakBefore w:val="0"/>
                    <w:widowControl/>
                    <w:suppressLineNumbers w:val="0"/>
                    <w:kinsoku/>
                    <w:wordWrap/>
                    <w:overflowPunct/>
                    <w:topLinePunct w:val="0"/>
                    <w:bidi w:val="0"/>
                    <w:adjustRightInd w:val="0"/>
                    <w:snapToGrid w:val="0"/>
                    <w:spacing w:before="0" w:beforeAutospacing="0" w:after="0" w:afterAutospacing="0" w:line="276" w:lineRule="auto"/>
                    <w:ind w:left="0" w:right="0"/>
                    <w:jc w:val="center"/>
                    <w:textAlignment w:val="center"/>
                    <w:rPr>
                      <w:rFonts w:hint="default" w:ascii="Times New Roman" w:hAnsi="Times New Roman" w:eastAsia="宋体" w:cs="Times New Roman"/>
                      <w:bCs/>
                      <w:i w:val="0"/>
                      <w:iCs w:val="0"/>
                      <w:color w:val="000000"/>
                      <w:kern w:val="0"/>
                      <w:sz w:val="18"/>
                      <w:szCs w:val="18"/>
                      <w:highlight w:val="none"/>
                      <w:u w:val="none"/>
                      <w:lang w:val="en-US" w:eastAsia="zh-CN" w:bidi="ar"/>
                    </w:rPr>
                  </w:pPr>
                  <w:r>
                    <w:rPr>
                      <w:rFonts w:hint="default" w:ascii="Times New Roman" w:hAnsi="Times New Roman" w:eastAsia="宋体" w:cs="Times New Roman"/>
                      <w:bCs/>
                      <w:i w:val="0"/>
                      <w:iCs w:val="0"/>
                      <w:color w:val="000000"/>
                      <w:kern w:val="0"/>
                      <w:sz w:val="18"/>
                      <w:szCs w:val="18"/>
                      <w:highlight w:val="none"/>
                      <w:u w:val="none"/>
                      <w:lang w:val="en-US" w:eastAsia="zh-CN" w:bidi="ar"/>
                    </w:rPr>
                    <w:t>各类PCR仪</w:t>
                  </w:r>
                </w:p>
              </w:tc>
              <w:tc>
                <w:tcPr>
                  <w:tcW w:w="1436" w:type="pct"/>
                  <w:tcBorders>
                    <w:tl2br w:val="nil"/>
                    <w:tr2bl w:val="nil"/>
                  </w:tcBorders>
                  <w:shd w:val="clear" w:color="auto" w:fill="FFFFFF"/>
                  <w:noWrap/>
                  <w:vAlign w:val="center"/>
                </w:tcPr>
                <w:p w14:paraId="30098ADA">
                  <w:pPr>
                    <w:keepNext w:val="0"/>
                    <w:keepLines w:val="0"/>
                    <w:pageBreakBefore w:val="0"/>
                    <w:suppressLineNumbers w:val="0"/>
                    <w:kinsoku/>
                    <w:wordWrap/>
                    <w:overflowPunct/>
                    <w:topLinePunct w:val="0"/>
                    <w:bidi w:val="0"/>
                    <w:adjustRightInd w:val="0"/>
                    <w:snapToGrid w:val="0"/>
                    <w:spacing w:before="0" w:beforeAutospacing="0" w:after="0" w:afterAutospacing="0" w:line="276" w:lineRule="auto"/>
                    <w:ind w:left="0" w:right="0"/>
                    <w:jc w:val="center"/>
                    <w:rPr>
                      <w:rFonts w:hint="default" w:ascii="Times New Roman" w:hAnsi="Times New Roman" w:eastAsia="宋体" w:cs="Times New Roman"/>
                      <w:bCs/>
                      <w:i w:val="0"/>
                      <w:iCs w:val="0"/>
                      <w:color w:val="000000"/>
                      <w:kern w:val="0"/>
                      <w:sz w:val="18"/>
                      <w:szCs w:val="18"/>
                      <w:highlight w:val="none"/>
                      <w:u w:val="none"/>
                      <w:lang w:val="en-US" w:eastAsia="zh-CN" w:bidi="ar"/>
                    </w:rPr>
                  </w:pPr>
                  <w:r>
                    <w:rPr>
                      <w:rFonts w:hint="default" w:ascii="Times New Roman" w:hAnsi="Times New Roman" w:eastAsia="宋体" w:cs="Times New Roman"/>
                      <w:bCs/>
                      <w:i w:val="0"/>
                      <w:iCs w:val="0"/>
                      <w:color w:val="000000"/>
                      <w:kern w:val="0"/>
                      <w:sz w:val="18"/>
                      <w:szCs w:val="18"/>
                      <w:highlight w:val="none"/>
                      <w:u w:val="none"/>
                      <w:lang w:val="en-US" w:eastAsia="zh-CN" w:bidi="ar"/>
                    </w:rPr>
                    <w:t>/</w:t>
                  </w:r>
                </w:p>
              </w:tc>
              <w:tc>
                <w:tcPr>
                  <w:tcW w:w="284" w:type="pct"/>
                  <w:tcBorders>
                    <w:tl2br w:val="nil"/>
                    <w:tr2bl w:val="nil"/>
                  </w:tcBorders>
                  <w:shd w:val="clear" w:color="auto" w:fill="FFFFFF"/>
                  <w:vAlign w:val="center"/>
                </w:tcPr>
                <w:p w14:paraId="3E8F0D9E">
                  <w:pPr>
                    <w:keepNext w:val="0"/>
                    <w:keepLines w:val="0"/>
                    <w:pageBreakBefore w:val="0"/>
                    <w:widowControl/>
                    <w:suppressLineNumbers w:val="0"/>
                    <w:kinsoku/>
                    <w:wordWrap/>
                    <w:overflowPunct/>
                    <w:topLinePunct w:val="0"/>
                    <w:bidi w:val="0"/>
                    <w:adjustRightInd w:val="0"/>
                    <w:snapToGrid w:val="0"/>
                    <w:spacing w:before="0" w:beforeAutospacing="0" w:after="0" w:afterAutospacing="0" w:line="276" w:lineRule="auto"/>
                    <w:ind w:left="0" w:right="0"/>
                    <w:jc w:val="center"/>
                    <w:textAlignment w:val="center"/>
                    <w:rPr>
                      <w:rFonts w:hint="default" w:ascii="Times New Roman" w:hAnsi="Times New Roman" w:eastAsia="宋体" w:cs="Times New Roman"/>
                      <w:bCs/>
                      <w:i w:val="0"/>
                      <w:iCs w:val="0"/>
                      <w:color w:val="000000"/>
                      <w:kern w:val="0"/>
                      <w:sz w:val="18"/>
                      <w:szCs w:val="18"/>
                      <w:highlight w:val="none"/>
                      <w:u w:val="none"/>
                      <w:lang w:val="en-US" w:eastAsia="zh-CN" w:bidi="ar"/>
                    </w:rPr>
                  </w:pPr>
                  <w:r>
                    <w:rPr>
                      <w:rFonts w:hint="default" w:ascii="Times New Roman" w:hAnsi="Times New Roman" w:eastAsia="宋体" w:cs="Times New Roman"/>
                      <w:bCs/>
                      <w:i w:val="0"/>
                      <w:iCs w:val="0"/>
                      <w:color w:val="000000"/>
                      <w:kern w:val="0"/>
                      <w:sz w:val="18"/>
                      <w:szCs w:val="18"/>
                      <w:highlight w:val="none"/>
                      <w:u w:val="none"/>
                      <w:lang w:val="en-US" w:eastAsia="zh-CN" w:bidi="ar"/>
                    </w:rPr>
                    <w:t>10</w:t>
                  </w:r>
                </w:p>
              </w:tc>
              <w:tc>
                <w:tcPr>
                  <w:tcW w:w="1678" w:type="pct"/>
                  <w:vMerge w:val="continue"/>
                  <w:tcBorders>
                    <w:tl2br w:val="nil"/>
                    <w:tr2bl w:val="nil"/>
                  </w:tcBorders>
                  <w:shd w:val="clear" w:color="auto" w:fill="FFFFFF"/>
                  <w:vAlign w:val="center"/>
                </w:tcPr>
                <w:p w14:paraId="1F9F3237">
                  <w:pPr>
                    <w:keepNext w:val="0"/>
                    <w:keepLines w:val="0"/>
                    <w:pageBreakBefore w:val="0"/>
                    <w:widowControl/>
                    <w:suppressLineNumbers w:val="0"/>
                    <w:kinsoku/>
                    <w:wordWrap/>
                    <w:overflowPunct/>
                    <w:topLinePunct w:val="0"/>
                    <w:bidi w:val="0"/>
                    <w:adjustRightInd w:val="0"/>
                    <w:snapToGrid w:val="0"/>
                    <w:spacing w:before="0" w:beforeAutospacing="0" w:after="0" w:afterAutospacing="0" w:line="276" w:lineRule="auto"/>
                    <w:ind w:left="0" w:right="0"/>
                    <w:jc w:val="center"/>
                    <w:textAlignment w:val="center"/>
                    <w:rPr>
                      <w:rFonts w:hint="default" w:ascii="Times New Roman" w:hAnsi="Times New Roman" w:eastAsia="宋体" w:cs="Times New Roman"/>
                      <w:i w:val="0"/>
                      <w:iCs w:val="0"/>
                      <w:color w:val="000000"/>
                      <w:kern w:val="0"/>
                      <w:sz w:val="18"/>
                      <w:szCs w:val="18"/>
                      <w:highlight w:val="none"/>
                      <w:u w:val="none"/>
                      <w:lang w:val="en-US" w:eastAsia="zh-CN" w:bidi="ar"/>
                    </w:rPr>
                  </w:pPr>
                </w:p>
              </w:tc>
            </w:tr>
            <w:tr w14:paraId="1D0AB79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FFFFFF"/>
                <w:tblCellMar>
                  <w:top w:w="0" w:type="dxa"/>
                  <w:left w:w="28" w:type="dxa"/>
                  <w:bottom w:w="0" w:type="dxa"/>
                  <w:right w:w="28" w:type="dxa"/>
                </w:tblCellMar>
              </w:tblPrEx>
              <w:trPr>
                <w:trHeight w:val="0" w:hRule="atLeast"/>
              </w:trPr>
              <w:tc>
                <w:tcPr>
                  <w:tcW w:w="235" w:type="pct"/>
                  <w:tcBorders>
                    <w:tl2br w:val="nil"/>
                    <w:tr2bl w:val="nil"/>
                  </w:tcBorders>
                  <w:shd w:val="clear" w:color="auto" w:fill="FFFFFF"/>
                  <w:noWrap/>
                  <w:vAlign w:val="center"/>
                </w:tcPr>
                <w:p w14:paraId="47116A1F">
                  <w:pPr>
                    <w:keepNext w:val="0"/>
                    <w:keepLines w:val="0"/>
                    <w:pageBreakBefore w:val="0"/>
                    <w:widowControl/>
                    <w:suppressLineNumbers w:val="0"/>
                    <w:kinsoku/>
                    <w:wordWrap/>
                    <w:overflowPunct/>
                    <w:topLinePunct w:val="0"/>
                    <w:bidi w:val="0"/>
                    <w:adjustRightInd w:val="0"/>
                    <w:snapToGrid w:val="0"/>
                    <w:spacing w:before="0" w:beforeAutospacing="0" w:after="0" w:afterAutospacing="0" w:line="276" w:lineRule="auto"/>
                    <w:ind w:left="0" w:right="0"/>
                    <w:jc w:val="center"/>
                    <w:textAlignment w:val="center"/>
                    <w:rPr>
                      <w:rFonts w:hint="default" w:ascii="Times New Roman" w:hAnsi="Times New Roman" w:eastAsia="宋体" w:cs="Times New Roman"/>
                      <w:bCs/>
                      <w:i w:val="0"/>
                      <w:iCs w:val="0"/>
                      <w:color w:val="000000"/>
                      <w:kern w:val="0"/>
                      <w:sz w:val="18"/>
                      <w:szCs w:val="18"/>
                      <w:highlight w:val="none"/>
                      <w:u w:val="none"/>
                      <w:lang w:val="en-US" w:eastAsia="zh-CN" w:bidi="ar"/>
                    </w:rPr>
                  </w:pPr>
                  <w:r>
                    <w:rPr>
                      <w:rFonts w:hint="default" w:ascii="Times New Roman" w:hAnsi="Times New Roman" w:eastAsia="宋体" w:cs="Times New Roman"/>
                      <w:bCs/>
                      <w:i w:val="0"/>
                      <w:iCs w:val="0"/>
                      <w:color w:val="000000"/>
                      <w:kern w:val="0"/>
                      <w:sz w:val="18"/>
                      <w:szCs w:val="18"/>
                      <w:highlight w:val="none"/>
                      <w:u w:val="none"/>
                      <w:lang w:val="en-US" w:eastAsia="zh-CN" w:bidi="ar"/>
                    </w:rPr>
                    <w:t>114</w:t>
                  </w:r>
                </w:p>
              </w:tc>
              <w:tc>
                <w:tcPr>
                  <w:tcW w:w="349" w:type="pct"/>
                  <w:vMerge w:val="continue"/>
                  <w:tcBorders>
                    <w:tl2br w:val="nil"/>
                    <w:tr2bl w:val="nil"/>
                  </w:tcBorders>
                  <w:shd w:val="clear" w:color="auto" w:fill="FFFFFF"/>
                  <w:vAlign w:val="center"/>
                </w:tcPr>
                <w:p w14:paraId="110ACDDF">
                  <w:pPr>
                    <w:pStyle w:val="120"/>
                    <w:keepNext w:val="0"/>
                    <w:keepLines w:val="0"/>
                    <w:pageBreakBefore w:val="0"/>
                    <w:framePr w:hSpace="0" w:wrap="auto" w:vAnchor="margin" w:hAnchor="text" w:xAlign="left" w:yAlign="inline"/>
                    <w:suppressLineNumbers w:val="0"/>
                    <w:kinsoku/>
                    <w:wordWrap/>
                    <w:overflowPunct/>
                    <w:topLinePunct w:val="0"/>
                    <w:bidi w:val="0"/>
                    <w:adjustRightInd w:val="0"/>
                    <w:snapToGrid w:val="0"/>
                    <w:spacing w:before="0" w:beforeAutospacing="0" w:after="0" w:afterAutospacing="0" w:line="276" w:lineRule="auto"/>
                    <w:ind w:left="0" w:right="0"/>
                    <w:jc w:val="center"/>
                    <w:rPr>
                      <w:rFonts w:hint="default" w:ascii="Times New Roman" w:hAnsi="Times New Roman" w:eastAsia="宋体" w:cs="Times New Roman"/>
                      <w:bCs/>
                      <w:i w:val="0"/>
                      <w:iCs w:val="0"/>
                      <w:color w:val="000000"/>
                      <w:kern w:val="0"/>
                      <w:sz w:val="18"/>
                      <w:szCs w:val="18"/>
                      <w:highlight w:val="none"/>
                      <w:u w:val="none"/>
                      <w:lang w:val="en-US" w:eastAsia="zh-CN" w:bidi="ar"/>
                    </w:rPr>
                  </w:pPr>
                </w:p>
              </w:tc>
              <w:tc>
                <w:tcPr>
                  <w:tcW w:w="1015" w:type="pct"/>
                  <w:tcBorders>
                    <w:tl2br w:val="nil"/>
                    <w:tr2bl w:val="nil"/>
                  </w:tcBorders>
                  <w:shd w:val="clear" w:color="auto" w:fill="FFFFFF"/>
                  <w:vAlign w:val="center"/>
                </w:tcPr>
                <w:p w14:paraId="0FB6E669">
                  <w:pPr>
                    <w:keepNext w:val="0"/>
                    <w:keepLines w:val="0"/>
                    <w:pageBreakBefore w:val="0"/>
                    <w:widowControl/>
                    <w:suppressLineNumbers w:val="0"/>
                    <w:kinsoku/>
                    <w:wordWrap/>
                    <w:overflowPunct/>
                    <w:topLinePunct w:val="0"/>
                    <w:bidi w:val="0"/>
                    <w:adjustRightInd w:val="0"/>
                    <w:snapToGrid w:val="0"/>
                    <w:spacing w:before="0" w:beforeAutospacing="0" w:after="0" w:afterAutospacing="0" w:line="276" w:lineRule="auto"/>
                    <w:ind w:left="0" w:right="0"/>
                    <w:jc w:val="center"/>
                    <w:textAlignment w:val="center"/>
                    <w:rPr>
                      <w:rFonts w:hint="default" w:ascii="Times New Roman" w:hAnsi="Times New Roman" w:eastAsia="宋体" w:cs="Times New Roman"/>
                      <w:bCs/>
                      <w:i w:val="0"/>
                      <w:iCs w:val="0"/>
                      <w:color w:val="000000"/>
                      <w:kern w:val="0"/>
                      <w:sz w:val="18"/>
                      <w:szCs w:val="18"/>
                      <w:highlight w:val="none"/>
                      <w:u w:val="none"/>
                      <w:lang w:val="en-US" w:eastAsia="zh-CN" w:bidi="ar"/>
                    </w:rPr>
                  </w:pPr>
                  <w:r>
                    <w:rPr>
                      <w:rFonts w:hint="default" w:ascii="Times New Roman" w:hAnsi="Times New Roman" w:eastAsia="宋体" w:cs="Times New Roman"/>
                      <w:bCs/>
                      <w:i w:val="0"/>
                      <w:iCs w:val="0"/>
                      <w:color w:val="000000"/>
                      <w:kern w:val="0"/>
                      <w:sz w:val="18"/>
                      <w:szCs w:val="18"/>
                      <w:highlight w:val="none"/>
                      <w:u w:val="none"/>
                      <w:lang w:val="en-US" w:eastAsia="zh-CN" w:bidi="ar"/>
                    </w:rPr>
                    <w:t>长期稳定箱</w:t>
                  </w:r>
                </w:p>
              </w:tc>
              <w:tc>
                <w:tcPr>
                  <w:tcW w:w="1436" w:type="pct"/>
                  <w:tcBorders>
                    <w:tl2br w:val="nil"/>
                    <w:tr2bl w:val="nil"/>
                  </w:tcBorders>
                  <w:shd w:val="clear" w:color="auto" w:fill="FFFFFF"/>
                  <w:noWrap/>
                  <w:vAlign w:val="center"/>
                </w:tcPr>
                <w:p w14:paraId="18879E0A">
                  <w:pPr>
                    <w:keepNext w:val="0"/>
                    <w:keepLines w:val="0"/>
                    <w:pageBreakBefore w:val="0"/>
                    <w:suppressLineNumbers w:val="0"/>
                    <w:kinsoku/>
                    <w:wordWrap/>
                    <w:overflowPunct/>
                    <w:topLinePunct w:val="0"/>
                    <w:bidi w:val="0"/>
                    <w:adjustRightInd w:val="0"/>
                    <w:snapToGrid w:val="0"/>
                    <w:spacing w:before="0" w:beforeAutospacing="0" w:after="0" w:afterAutospacing="0" w:line="276" w:lineRule="auto"/>
                    <w:ind w:left="0" w:right="0"/>
                    <w:jc w:val="center"/>
                    <w:rPr>
                      <w:rFonts w:hint="default" w:ascii="Times New Roman" w:hAnsi="Times New Roman" w:eastAsia="宋体" w:cs="Times New Roman"/>
                      <w:bCs/>
                      <w:i w:val="0"/>
                      <w:iCs w:val="0"/>
                      <w:color w:val="000000"/>
                      <w:kern w:val="0"/>
                      <w:sz w:val="18"/>
                      <w:szCs w:val="18"/>
                      <w:highlight w:val="none"/>
                      <w:u w:val="none"/>
                      <w:lang w:val="en-US" w:eastAsia="zh-CN" w:bidi="ar"/>
                    </w:rPr>
                  </w:pPr>
                  <w:r>
                    <w:rPr>
                      <w:rFonts w:hint="default" w:ascii="Times New Roman" w:hAnsi="Times New Roman" w:eastAsia="宋体" w:cs="Times New Roman"/>
                      <w:bCs/>
                      <w:i w:val="0"/>
                      <w:iCs w:val="0"/>
                      <w:color w:val="000000"/>
                      <w:kern w:val="0"/>
                      <w:sz w:val="18"/>
                      <w:szCs w:val="18"/>
                      <w:highlight w:val="none"/>
                      <w:u w:val="none"/>
                      <w:lang w:val="en-US" w:eastAsia="zh-CN" w:bidi="ar"/>
                    </w:rPr>
                    <w:t>/</w:t>
                  </w:r>
                </w:p>
              </w:tc>
              <w:tc>
                <w:tcPr>
                  <w:tcW w:w="284" w:type="pct"/>
                  <w:tcBorders>
                    <w:tl2br w:val="nil"/>
                    <w:tr2bl w:val="nil"/>
                  </w:tcBorders>
                  <w:shd w:val="clear" w:color="auto" w:fill="FFFFFF"/>
                  <w:vAlign w:val="center"/>
                </w:tcPr>
                <w:p w14:paraId="26A28439">
                  <w:pPr>
                    <w:keepNext w:val="0"/>
                    <w:keepLines w:val="0"/>
                    <w:pageBreakBefore w:val="0"/>
                    <w:widowControl/>
                    <w:suppressLineNumbers w:val="0"/>
                    <w:kinsoku/>
                    <w:wordWrap/>
                    <w:overflowPunct/>
                    <w:topLinePunct w:val="0"/>
                    <w:bidi w:val="0"/>
                    <w:adjustRightInd w:val="0"/>
                    <w:snapToGrid w:val="0"/>
                    <w:spacing w:before="0" w:beforeAutospacing="0" w:after="0" w:afterAutospacing="0" w:line="276" w:lineRule="auto"/>
                    <w:ind w:left="0" w:right="0"/>
                    <w:jc w:val="center"/>
                    <w:textAlignment w:val="center"/>
                    <w:rPr>
                      <w:rFonts w:hint="default" w:ascii="Times New Roman" w:hAnsi="Times New Roman" w:eastAsia="宋体" w:cs="Times New Roman"/>
                      <w:bCs/>
                      <w:i w:val="0"/>
                      <w:iCs w:val="0"/>
                      <w:color w:val="000000"/>
                      <w:kern w:val="0"/>
                      <w:sz w:val="18"/>
                      <w:szCs w:val="18"/>
                      <w:highlight w:val="none"/>
                      <w:u w:val="none"/>
                      <w:lang w:val="en-US" w:eastAsia="zh-CN" w:bidi="ar"/>
                    </w:rPr>
                  </w:pPr>
                  <w:r>
                    <w:rPr>
                      <w:rFonts w:hint="default" w:ascii="Times New Roman" w:hAnsi="Times New Roman" w:eastAsia="宋体" w:cs="Times New Roman"/>
                      <w:bCs/>
                      <w:i w:val="0"/>
                      <w:iCs w:val="0"/>
                      <w:color w:val="000000"/>
                      <w:kern w:val="0"/>
                      <w:sz w:val="18"/>
                      <w:szCs w:val="18"/>
                      <w:highlight w:val="none"/>
                      <w:u w:val="none"/>
                      <w:lang w:val="en-US" w:eastAsia="zh-CN" w:bidi="ar"/>
                    </w:rPr>
                    <w:t>3</w:t>
                  </w:r>
                </w:p>
              </w:tc>
              <w:tc>
                <w:tcPr>
                  <w:tcW w:w="1678" w:type="pct"/>
                  <w:vMerge w:val="continue"/>
                  <w:tcBorders>
                    <w:tl2br w:val="nil"/>
                    <w:tr2bl w:val="nil"/>
                  </w:tcBorders>
                  <w:shd w:val="clear" w:color="auto" w:fill="FFFFFF"/>
                  <w:vAlign w:val="center"/>
                </w:tcPr>
                <w:p w14:paraId="7DA4A372">
                  <w:pPr>
                    <w:keepNext w:val="0"/>
                    <w:keepLines w:val="0"/>
                    <w:pageBreakBefore w:val="0"/>
                    <w:widowControl/>
                    <w:suppressLineNumbers w:val="0"/>
                    <w:kinsoku/>
                    <w:wordWrap/>
                    <w:overflowPunct/>
                    <w:topLinePunct w:val="0"/>
                    <w:bidi w:val="0"/>
                    <w:adjustRightInd w:val="0"/>
                    <w:snapToGrid w:val="0"/>
                    <w:spacing w:before="0" w:beforeAutospacing="0" w:after="0" w:afterAutospacing="0" w:line="276" w:lineRule="auto"/>
                    <w:ind w:left="0" w:right="0"/>
                    <w:jc w:val="center"/>
                    <w:textAlignment w:val="center"/>
                    <w:rPr>
                      <w:rFonts w:hint="default" w:ascii="Times New Roman" w:hAnsi="Times New Roman" w:eastAsia="宋体" w:cs="Times New Roman"/>
                      <w:i w:val="0"/>
                      <w:iCs w:val="0"/>
                      <w:color w:val="000000"/>
                      <w:kern w:val="0"/>
                      <w:sz w:val="18"/>
                      <w:szCs w:val="18"/>
                      <w:highlight w:val="none"/>
                      <w:u w:val="none"/>
                      <w:lang w:val="en-US" w:eastAsia="zh-CN" w:bidi="ar"/>
                    </w:rPr>
                  </w:pPr>
                </w:p>
              </w:tc>
            </w:tr>
            <w:tr w14:paraId="30C3515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FFFFFF"/>
                <w:tblCellMar>
                  <w:top w:w="0" w:type="dxa"/>
                  <w:left w:w="28" w:type="dxa"/>
                  <w:bottom w:w="0" w:type="dxa"/>
                  <w:right w:w="28" w:type="dxa"/>
                </w:tblCellMar>
              </w:tblPrEx>
              <w:trPr>
                <w:trHeight w:val="0" w:hRule="atLeast"/>
              </w:trPr>
              <w:tc>
                <w:tcPr>
                  <w:tcW w:w="235" w:type="pct"/>
                  <w:tcBorders>
                    <w:tl2br w:val="nil"/>
                    <w:tr2bl w:val="nil"/>
                  </w:tcBorders>
                  <w:shd w:val="clear" w:color="auto" w:fill="FFFFFF"/>
                  <w:noWrap/>
                  <w:vAlign w:val="center"/>
                </w:tcPr>
                <w:p w14:paraId="34BCC18E">
                  <w:pPr>
                    <w:keepNext w:val="0"/>
                    <w:keepLines w:val="0"/>
                    <w:pageBreakBefore w:val="0"/>
                    <w:widowControl/>
                    <w:suppressLineNumbers w:val="0"/>
                    <w:kinsoku/>
                    <w:wordWrap/>
                    <w:overflowPunct/>
                    <w:topLinePunct w:val="0"/>
                    <w:bidi w:val="0"/>
                    <w:adjustRightInd w:val="0"/>
                    <w:snapToGrid w:val="0"/>
                    <w:spacing w:before="0" w:beforeAutospacing="0" w:after="0" w:afterAutospacing="0" w:line="276" w:lineRule="auto"/>
                    <w:ind w:left="0" w:right="0"/>
                    <w:jc w:val="center"/>
                    <w:textAlignment w:val="center"/>
                    <w:rPr>
                      <w:rFonts w:hint="default" w:ascii="Times New Roman" w:hAnsi="Times New Roman" w:eastAsia="宋体" w:cs="Times New Roman"/>
                      <w:bCs/>
                      <w:i w:val="0"/>
                      <w:iCs w:val="0"/>
                      <w:color w:val="000000"/>
                      <w:kern w:val="0"/>
                      <w:sz w:val="18"/>
                      <w:szCs w:val="18"/>
                      <w:highlight w:val="none"/>
                      <w:u w:val="none"/>
                      <w:lang w:val="en-US" w:eastAsia="zh-CN" w:bidi="ar"/>
                    </w:rPr>
                  </w:pPr>
                  <w:r>
                    <w:rPr>
                      <w:rFonts w:hint="default" w:ascii="Times New Roman" w:hAnsi="Times New Roman" w:eastAsia="宋体" w:cs="Times New Roman"/>
                      <w:bCs/>
                      <w:i w:val="0"/>
                      <w:iCs w:val="0"/>
                      <w:color w:val="000000"/>
                      <w:kern w:val="0"/>
                      <w:sz w:val="18"/>
                      <w:szCs w:val="18"/>
                      <w:highlight w:val="none"/>
                      <w:u w:val="none"/>
                      <w:lang w:val="en-US" w:eastAsia="zh-CN" w:bidi="ar"/>
                    </w:rPr>
                    <w:t>115</w:t>
                  </w:r>
                </w:p>
              </w:tc>
              <w:tc>
                <w:tcPr>
                  <w:tcW w:w="349" w:type="pct"/>
                  <w:vMerge w:val="continue"/>
                  <w:tcBorders>
                    <w:tl2br w:val="nil"/>
                    <w:tr2bl w:val="nil"/>
                  </w:tcBorders>
                  <w:shd w:val="clear" w:color="auto" w:fill="FFFFFF"/>
                  <w:vAlign w:val="center"/>
                </w:tcPr>
                <w:p w14:paraId="5245E8F1">
                  <w:pPr>
                    <w:pStyle w:val="120"/>
                    <w:keepNext w:val="0"/>
                    <w:keepLines w:val="0"/>
                    <w:pageBreakBefore w:val="0"/>
                    <w:framePr w:hSpace="0" w:wrap="auto" w:vAnchor="margin" w:hAnchor="text" w:xAlign="left" w:yAlign="inline"/>
                    <w:suppressLineNumbers w:val="0"/>
                    <w:kinsoku/>
                    <w:wordWrap/>
                    <w:overflowPunct/>
                    <w:topLinePunct w:val="0"/>
                    <w:bidi w:val="0"/>
                    <w:adjustRightInd w:val="0"/>
                    <w:snapToGrid w:val="0"/>
                    <w:spacing w:before="0" w:beforeAutospacing="0" w:after="0" w:afterAutospacing="0" w:line="276" w:lineRule="auto"/>
                    <w:ind w:left="0" w:right="0"/>
                    <w:jc w:val="center"/>
                    <w:rPr>
                      <w:rFonts w:hint="default" w:ascii="Times New Roman" w:hAnsi="Times New Roman" w:eastAsia="宋体" w:cs="Times New Roman"/>
                      <w:bCs/>
                      <w:i w:val="0"/>
                      <w:iCs w:val="0"/>
                      <w:color w:val="000000"/>
                      <w:kern w:val="0"/>
                      <w:sz w:val="18"/>
                      <w:szCs w:val="18"/>
                      <w:highlight w:val="none"/>
                      <w:u w:val="none"/>
                      <w:lang w:val="en-US" w:eastAsia="zh-CN" w:bidi="ar"/>
                    </w:rPr>
                  </w:pPr>
                </w:p>
              </w:tc>
              <w:tc>
                <w:tcPr>
                  <w:tcW w:w="1015" w:type="pct"/>
                  <w:tcBorders>
                    <w:tl2br w:val="nil"/>
                    <w:tr2bl w:val="nil"/>
                  </w:tcBorders>
                  <w:shd w:val="clear" w:color="auto" w:fill="FFFFFF"/>
                  <w:vAlign w:val="center"/>
                </w:tcPr>
                <w:p w14:paraId="15E4D45F">
                  <w:pPr>
                    <w:keepNext w:val="0"/>
                    <w:keepLines w:val="0"/>
                    <w:pageBreakBefore w:val="0"/>
                    <w:widowControl/>
                    <w:suppressLineNumbers w:val="0"/>
                    <w:kinsoku/>
                    <w:wordWrap/>
                    <w:overflowPunct/>
                    <w:topLinePunct w:val="0"/>
                    <w:bidi w:val="0"/>
                    <w:adjustRightInd w:val="0"/>
                    <w:snapToGrid w:val="0"/>
                    <w:spacing w:before="0" w:beforeAutospacing="0" w:after="0" w:afterAutospacing="0" w:line="276" w:lineRule="auto"/>
                    <w:ind w:left="0" w:right="0"/>
                    <w:jc w:val="center"/>
                    <w:textAlignment w:val="center"/>
                    <w:rPr>
                      <w:rFonts w:hint="default" w:ascii="Times New Roman" w:hAnsi="Times New Roman" w:eastAsia="宋体" w:cs="Times New Roman"/>
                      <w:bCs/>
                      <w:i w:val="0"/>
                      <w:iCs w:val="0"/>
                      <w:color w:val="000000"/>
                      <w:kern w:val="0"/>
                      <w:sz w:val="18"/>
                      <w:szCs w:val="18"/>
                      <w:highlight w:val="none"/>
                      <w:u w:val="none"/>
                      <w:lang w:val="en-US" w:eastAsia="zh-CN" w:bidi="ar"/>
                    </w:rPr>
                  </w:pPr>
                  <w:r>
                    <w:rPr>
                      <w:rFonts w:hint="default" w:ascii="Times New Roman" w:hAnsi="Times New Roman" w:eastAsia="宋体" w:cs="Times New Roman"/>
                      <w:bCs/>
                      <w:i w:val="0"/>
                      <w:iCs w:val="0"/>
                      <w:color w:val="000000"/>
                      <w:kern w:val="0"/>
                      <w:sz w:val="18"/>
                      <w:szCs w:val="18"/>
                      <w:highlight w:val="none"/>
                      <w:u w:val="none"/>
                      <w:lang w:val="en-US" w:eastAsia="zh-CN" w:bidi="ar"/>
                    </w:rPr>
                    <w:t>加速稳定箱</w:t>
                  </w:r>
                </w:p>
              </w:tc>
              <w:tc>
                <w:tcPr>
                  <w:tcW w:w="1436" w:type="pct"/>
                  <w:tcBorders>
                    <w:tl2br w:val="nil"/>
                    <w:tr2bl w:val="nil"/>
                  </w:tcBorders>
                  <w:shd w:val="clear" w:color="auto" w:fill="FFFFFF"/>
                  <w:noWrap/>
                  <w:vAlign w:val="center"/>
                </w:tcPr>
                <w:p w14:paraId="3C9D14A2">
                  <w:pPr>
                    <w:keepNext w:val="0"/>
                    <w:keepLines w:val="0"/>
                    <w:pageBreakBefore w:val="0"/>
                    <w:suppressLineNumbers w:val="0"/>
                    <w:kinsoku/>
                    <w:wordWrap/>
                    <w:overflowPunct/>
                    <w:topLinePunct w:val="0"/>
                    <w:bidi w:val="0"/>
                    <w:adjustRightInd w:val="0"/>
                    <w:snapToGrid w:val="0"/>
                    <w:spacing w:before="0" w:beforeAutospacing="0" w:after="0" w:afterAutospacing="0" w:line="276" w:lineRule="auto"/>
                    <w:ind w:left="0" w:right="0"/>
                    <w:jc w:val="center"/>
                    <w:rPr>
                      <w:rFonts w:hint="default" w:ascii="Times New Roman" w:hAnsi="Times New Roman" w:eastAsia="宋体" w:cs="Times New Roman"/>
                      <w:bCs/>
                      <w:i w:val="0"/>
                      <w:iCs w:val="0"/>
                      <w:color w:val="000000"/>
                      <w:kern w:val="0"/>
                      <w:sz w:val="18"/>
                      <w:szCs w:val="18"/>
                      <w:highlight w:val="none"/>
                      <w:u w:val="none"/>
                      <w:lang w:val="en-US" w:eastAsia="zh-CN" w:bidi="ar"/>
                    </w:rPr>
                  </w:pPr>
                  <w:r>
                    <w:rPr>
                      <w:rFonts w:hint="default" w:ascii="Times New Roman" w:hAnsi="Times New Roman" w:eastAsia="宋体" w:cs="Times New Roman"/>
                      <w:bCs/>
                      <w:i w:val="0"/>
                      <w:iCs w:val="0"/>
                      <w:color w:val="000000"/>
                      <w:kern w:val="0"/>
                      <w:sz w:val="18"/>
                      <w:szCs w:val="18"/>
                      <w:highlight w:val="none"/>
                      <w:u w:val="none"/>
                      <w:lang w:val="en-US" w:eastAsia="zh-CN" w:bidi="ar"/>
                    </w:rPr>
                    <w:t>/</w:t>
                  </w:r>
                </w:p>
              </w:tc>
              <w:tc>
                <w:tcPr>
                  <w:tcW w:w="284" w:type="pct"/>
                  <w:tcBorders>
                    <w:tl2br w:val="nil"/>
                    <w:tr2bl w:val="nil"/>
                  </w:tcBorders>
                  <w:shd w:val="clear" w:color="auto" w:fill="FFFFFF"/>
                  <w:vAlign w:val="center"/>
                </w:tcPr>
                <w:p w14:paraId="06C81143">
                  <w:pPr>
                    <w:keepNext w:val="0"/>
                    <w:keepLines w:val="0"/>
                    <w:pageBreakBefore w:val="0"/>
                    <w:widowControl/>
                    <w:suppressLineNumbers w:val="0"/>
                    <w:kinsoku/>
                    <w:wordWrap/>
                    <w:overflowPunct/>
                    <w:topLinePunct w:val="0"/>
                    <w:bidi w:val="0"/>
                    <w:adjustRightInd w:val="0"/>
                    <w:snapToGrid w:val="0"/>
                    <w:spacing w:before="0" w:beforeAutospacing="0" w:after="0" w:afterAutospacing="0" w:line="276" w:lineRule="auto"/>
                    <w:ind w:left="0" w:right="0"/>
                    <w:jc w:val="center"/>
                    <w:textAlignment w:val="center"/>
                    <w:rPr>
                      <w:rFonts w:hint="default" w:ascii="Times New Roman" w:hAnsi="Times New Roman" w:eastAsia="宋体" w:cs="Times New Roman"/>
                      <w:bCs/>
                      <w:i w:val="0"/>
                      <w:iCs w:val="0"/>
                      <w:color w:val="000000"/>
                      <w:kern w:val="0"/>
                      <w:sz w:val="18"/>
                      <w:szCs w:val="18"/>
                      <w:highlight w:val="none"/>
                      <w:u w:val="none"/>
                      <w:lang w:val="en-US" w:eastAsia="zh-CN" w:bidi="ar"/>
                    </w:rPr>
                  </w:pPr>
                  <w:r>
                    <w:rPr>
                      <w:rFonts w:hint="default" w:ascii="Times New Roman" w:hAnsi="Times New Roman" w:eastAsia="宋体" w:cs="Times New Roman"/>
                      <w:bCs/>
                      <w:i w:val="0"/>
                      <w:iCs w:val="0"/>
                      <w:color w:val="000000"/>
                      <w:kern w:val="0"/>
                      <w:sz w:val="18"/>
                      <w:szCs w:val="18"/>
                      <w:highlight w:val="none"/>
                      <w:u w:val="none"/>
                      <w:lang w:val="en-US" w:eastAsia="zh-CN" w:bidi="ar"/>
                    </w:rPr>
                    <w:t>3</w:t>
                  </w:r>
                </w:p>
              </w:tc>
              <w:tc>
                <w:tcPr>
                  <w:tcW w:w="1678" w:type="pct"/>
                  <w:vMerge w:val="continue"/>
                  <w:tcBorders>
                    <w:tl2br w:val="nil"/>
                    <w:tr2bl w:val="nil"/>
                  </w:tcBorders>
                  <w:shd w:val="clear" w:color="auto" w:fill="FFFFFF"/>
                  <w:vAlign w:val="center"/>
                </w:tcPr>
                <w:p w14:paraId="0DA97245">
                  <w:pPr>
                    <w:keepNext w:val="0"/>
                    <w:keepLines w:val="0"/>
                    <w:pageBreakBefore w:val="0"/>
                    <w:widowControl/>
                    <w:suppressLineNumbers w:val="0"/>
                    <w:kinsoku/>
                    <w:wordWrap/>
                    <w:overflowPunct/>
                    <w:topLinePunct w:val="0"/>
                    <w:bidi w:val="0"/>
                    <w:adjustRightInd w:val="0"/>
                    <w:snapToGrid w:val="0"/>
                    <w:spacing w:before="0" w:beforeAutospacing="0" w:after="0" w:afterAutospacing="0" w:line="276" w:lineRule="auto"/>
                    <w:ind w:left="0" w:right="0"/>
                    <w:jc w:val="center"/>
                    <w:textAlignment w:val="center"/>
                    <w:rPr>
                      <w:rFonts w:hint="default" w:ascii="Times New Roman" w:hAnsi="Times New Roman" w:eastAsia="宋体" w:cs="Times New Roman"/>
                      <w:i w:val="0"/>
                      <w:iCs w:val="0"/>
                      <w:color w:val="000000"/>
                      <w:kern w:val="0"/>
                      <w:sz w:val="18"/>
                      <w:szCs w:val="18"/>
                      <w:highlight w:val="none"/>
                      <w:u w:val="none"/>
                      <w:lang w:val="en-US" w:eastAsia="zh-CN" w:bidi="ar"/>
                    </w:rPr>
                  </w:pPr>
                </w:p>
              </w:tc>
            </w:tr>
            <w:tr w14:paraId="2286E2D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FFFFFF"/>
                <w:tblCellMar>
                  <w:top w:w="0" w:type="dxa"/>
                  <w:left w:w="28" w:type="dxa"/>
                  <w:bottom w:w="0" w:type="dxa"/>
                  <w:right w:w="28" w:type="dxa"/>
                </w:tblCellMar>
              </w:tblPrEx>
              <w:trPr>
                <w:trHeight w:val="0" w:hRule="atLeast"/>
              </w:trPr>
              <w:tc>
                <w:tcPr>
                  <w:tcW w:w="235" w:type="pct"/>
                  <w:tcBorders>
                    <w:tl2br w:val="nil"/>
                    <w:tr2bl w:val="nil"/>
                  </w:tcBorders>
                  <w:shd w:val="clear" w:color="auto" w:fill="FFFFFF"/>
                  <w:noWrap/>
                  <w:vAlign w:val="center"/>
                </w:tcPr>
                <w:p w14:paraId="7B38F6C9">
                  <w:pPr>
                    <w:keepNext w:val="0"/>
                    <w:keepLines w:val="0"/>
                    <w:pageBreakBefore w:val="0"/>
                    <w:widowControl/>
                    <w:suppressLineNumbers w:val="0"/>
                    <w:kinsoku/>
                    <w:wordWrap/>
                    <w:overflowPunct/>
                    <w:topLinePunct w:val="0"/>
                    <w:bidi w:val="0"/>
                    <w:adjustRightInd w:val="0"/>
                    <w:snapToGrid w:val="0"/>
                    <w:spacing w:before="0" w:beforeAutospacing="0" w:after="0" w:afterAutospacing="0" w:line="276" w:lineRule="auto"/>
                    <w:ind w:left="0" w:right="0"/>
                    <w:jc w:val="center"/>
                    <w:textAlignment w:val="center"/>
                    <w:rPr>
                      <w:rFonts w:hint="default" w:ascii="Times New Roman" w:hAnsi="Times New Roman" w:eastAsia="宋体" w:cs="Times New Roman"/>
                      <w:bCs/>
                      <w:i w:val="0"/>
                      <w:iCs w:val="0"/>
                      <w:color w:val="000000"/>
                      <w:kern w:val="0"/>
                      <w:sz w:val="18"/>
                      <w:szCs w:val="18"/>
                      <w:highlight w:val="none"/>
                      <w:u w:val="none"/>
                      <w:lang w:val="en-US" w:eastAsia="zh-CN" w:bidi="ar"/>
                    </w:rPr>
                  </w:pPr>
                  <w:r>
                    <w:rPr>
                      <w:rFonts w:hint="default" w:ascii="Times New Roman" w:hAnsi="Times New Roman" w:eastAsia="宋体" w:cs="Times New Roman"/>
                      <w:bCs/>
                      <w:i w:val="0"/>
                      <w:iCs w:val="0"/>
                      <w:color w:val="000000"/>
                      <w:kern w:val="0"/>
                      <w:sz w:val="18"/>
                      <w:szCs w:val="18"/>
                      <w:highlight w:val="none"/>
                      <w:u w:val="none"/>
                      <w:lang w:val="en-US" w:eastAsia="zh-CN" w:bidi="ar"/>
                    </w:rPr>
                    <w:t>116</w:t>
                  </w:r>
                </w:p>
              </w:tc>
              <w:tc>
                <w:tcPr>
                  <w:tcW w:w="349" w:type="pct"/>
                  <w:vMerge w:val="continue"/>
                  <w:tcBorders>
                    <w:tl2br w:val="nil"/>
                    <w:tr2bl w:val="nil"/>
                  </w:tcBorders>
                  <w:shd w:val="clear" w:color="auto" w:fill="FFFFFF"/>
                  <w:vAlign w:val="center"/>
                </w:tcPr>
                <w:p w14:paraId="59A2ECF2">
                  <w:pPr>
                    <w:pStyle w:val="120"/>
                    <w:keepNext w:val="0"/>
                    <w:keepLines w:val="0"/>
                    <w:pageBreakBefore w:val="0"/>
                    <w:framePr w:hSpace="0" w:wrap="auto" w:vAnchor="margin" w:hAnchor="text" w:xAlign="left" w:yAlign="inline"/>
                    <w:suppressLineNumbers w:val="0"/>
                    <w:kinsoku/>
                    <w:wordWrap/>
                    <w:overflowPunct/>
                    <w:topLinePunct w:val="0"/>
                    <w:bidi w:val="0"/>
                    <w:adjustRightInd w:val="0"/>
                    <w:snapToGrid w:val="0"/>
                    <w:spacing w:before="0" w:beforeAutospacing="0" w:after="0" w:afterAutospacing="0" w:line="276" w:lineRule="auto"/>
                    <w:ind w:left="0" w:right="0"/>
                    <w:jc w:val="center"/>
                    <w:rPr>
                      <w:rFonts w:hint="default" w:ascii="Times New Roman" w:hAnsi="Times New Roman" w:eastAsia="宋体" w:cs="Times New Roman"/>
                      <w:bCs/>
                      <w:i w:val="0"/>
                      <w:iCs w:val="0"/>
                      <w:color w:val="000000"/>
                      <w:kern w:val="0"/>
                      <w:sz w:val="18"/>
                      <w:szCs w:val="18"/>
                      <w:highlight w:val="none"/>
                      <w:u w:val="none"/>
                      <w:lang w:val="en-US" w:eastAsia="zh-CN" w:bidi="ar"/>
                    </w:rPr>
                  </w:pPr>
                </w:p>
              </w:tc>
              <w:tc>
                <w:tcPr>
                  <w:tcW w:w="1015" w:type="pct"/>
                  <w:tcBorders>
                    <w:tl2br w:val="nil"/>
                    <w:tr2bl w:val="nil"/>
                  </w:tcBorders>
                  <w:shd w:val="clear" w:color="auto" w:fill="FFFFFF"/>
                  <w:vAlign w:val="center"/>
                </w:tcPr>
                <w:p w14:paraId="56EC93F5">
                  <w:pPr>
                    <w:keepNext w:val="0"/>
                    <w:keepLines w:val="0"/>
                    <w:pageBreakBefore w:val="0"/>
                    <w:widowControl/>
                    <w:suppressLineNumbers w:val="0"/>
                    <w:kinsoku/>
                    <w:wordWrap/>
                    <w:overflowPunct/>
                    <w:topLinePunct w:val="0"/>
                    <w:bidi w:val="0"/>
                    <w:adjustRightInd w:val="0"/>
                    <w:snapToGrid w:val="0"/>
                    <w:spacing w:before="0" w:beforeAutospacing="0" w:after="0" w:afterAutospacing="0" w:line="276" w:lineRule="auto"/>
                    <w:ind w:left="0" w:right="0"/>
                    <w:jc w:val="center"/>
                    <w:textAlignment w:val="center"/>
                    <w:rPr>
                      <w:rFonts w:hint="default" w:ascii="Times New Roman" w:hAnsi="Times New Roman" w:eastAsia="宋体" w:cs="Times New Roman"/>
                      <w:bCs/>
                      <w:i w:val="0"/>
                      <w:iCs w:val="0"/>
                      <w:color w:val="000000"/>
                      <w:kern w:val="0"/>
                      <w:sz w:val="18"/>
                      <w:szCs w:val="18"/>
                      <w:highlight w:val="none"/>
                      <w:u w:val="none"/>
                      <w:lang w:val="en-US" w:eastAsia="zh-CN" w:bidi="ar"/>
                    </w:rPr>
                  </w:pPr>
                  <w:r>
                    <w:rPr>
                      <w:rFonts w:hint="default" w:ascii="Times New Roman" w:hAnsi="Times New Roman" w:eastAsia="宋体" w:cs="Times New Roman"/>
                      <w:bCs/>
                      <w:i w:val="0"/>
                      <w:iCs w:val="0"/>
                      <w:color w:val="000000"/>
                      <w:kern w:val="0"/>
                      <w:sz w:val="18"/>
                      <w:szCs w:val="18"/>
                      <w:highlight w:val="none"/>
                      <w:u w:val="none"/>
                      <w:lang w:val="en-US" w:eastAsia="zh-CN" w:bidi="ar"/>
                    </w:rPr>
                    <w:t>光照稳定箱</w:t>
                  </w:r>
                </w:p>
              </w:tc>
              <w:tc>
                <w:tcPr>
                  <w:tcW w:w="1436" w:type="pct"/>
                  <w:tcBorders>
                    <w:tl2br w:val="nil"/>
                    <w:tr2bl w:val="nil"/>
                  </w:tcBorders>
                  <w:shd w:val="clear" w:color="auto" w:fill="FFFFFF"/>
                  <w:noWrap/>
                  <w:vAlign w:val="center"/>
                </w:tcPr>
                <w:p w14:paraId="4330250F">
                  <w:pPr>
                    <w:keepNext w:val="0"/>
                    <w:keepLines w:val="0"/>
                    <w:pageBreakBefore w:val="0"/>
                    <w:suppressLineNumbers w:val="0"/>
                    <w:kinsoku/>
                    <w:wordWrap/>
                    <w:overflowPunct/>
                    <w:topLinePunct w:val="0"/>
                    <w:bidi w:val="0"/>
                    <w:adjustRightInd w:val="0"/>
                    <w:snapToGrid w:val="0"/>
                    <w:spacing w:before="0" w:beforeAutospacing="0" w:after="0" w:afterAutospacing="0" w:line="276" w:lineRule="auto"/>
                    <w:ind w:left="0" w:right="0"/>
                    <w:jc w:val="center"/>
                    <w:rPr>
                      <w:rFonts w:hint="default" w:ascii="Times New Roman" w:hAnsi="Times New Roman" w:eastAsia="宋体" w:cs="Times New Roman"/>
                      <w:bCs/>
                      <w:i w:val="0"/>
                      <w:iCs w:val="0"/>
                      <w:color w:val="000000"/>
                      <w:kern w:val="0"/>
                      <w:sz w:val="18"/>
                      <w:szCs w:val="18"/>
                      <w:highlight w:val="none"/>
                      <w:u w:val="none"/>
                      <w:lang w:val="en-US" w:eastAsia="zh-CN" w:bidi="ar"/>
                    </w:rPr>
                  </w:pPr>
                  <w:r>
                    <w:rPr>
                      <w:rFonts w:hint="default" w:ascii="Times New Roman" w:hAnsi="Times New Roman" w:eastAsia="宋体" w:cs="Times New Roman"/>
                      <w:bCs/>
                      <w:i w:val="0"/>
                      <w:iCs w:val="0"/>
                      <w:color w:val="000000"/>
                      <w:kern w:val="0"/>
                      <w:sz w:val="18"/>
                      <w:szCs w:val="18"/>
                      <w:highlight w:val="none"/>
                      <w:u w:val="none"/>
                      <w:lang w:val="en-US" w:eastAsia="zh-CN" w:bidi="ar"/>
                    </w:rPr>
                    <w:t>/</w:t>
                  </w:r>
                </w:p>
              </w:tc>
              <w:tc>
                <w:tcPr>
                  <w:tcW w:w="284" w:type="pct"/>
                  <w:tcBorders>
                    <w:tl2br w:val="nil"/>
                    <w:tr2bl w:val="nil"/>
                  </w:tcBorders>
                  <w:shd w:val="clear" w:color="auto" w:fill="FFFFFF"/>
                  <w:vAlign w:val="center"/>
                </w:tcPr>
                <w:p w14:paraId="19775C68">
                  <w:pPr>
                    <w:keepNext w:val="0"/>
                    <w:keepLines w:val="0"/>
                    <w:pageBreakBefore w:val="0"/>
                    <w:widowControl/>
                    <w:suppressLineNumbers w:val="0"/>
                    <w:kinsoku/>
                    <w:wordWrap/>
                    <w:overflowPunct/>
                    <w:topLinePunct w:val="0"/>
                    <w:bidi w:val="0"/>
                    <w:adjustRightInd w:val="0"/>
                    <w:snapToGrid w:val="0"/>
                    <w:spacing w:before="0" w:beforeAutospacing="0" w:after="0" w:afterAutospacing="0" w:line="276" w:lineRule="auto"/>
                    <w:ind w:left="0" w:right="0"/>
                    <w:jc w:val="center"/>
                    <w:textAlignment w:val="center"/>
                    <w:rPr>
                      <w:rFonts w:hint="default" w:ascii="Times New Roman" w:hAnsi="Times New Roman" w:eastAsia="宋体" w:cs="Times New Roman"/>
                      <w:bCs/>
                      <w:i w:val="0"/>
                      <w:iCs w:val="0"/>
                      <w:color w:val="000000"/>
                      <w:kern w:val="0"/>
                      <w:sz w:val="18"/>
                      <w:szCs w:val="18"/>
                      <w:highlight w:val="none"/>
                      <w:u w:val="none"/>
                      <w:lang w:val="en-US" w:eastAsia="zh-CN" w:bidi="ar"/>
                    </w:rPr>
                  </w:pPr>
                  <w:r>
                    <w:rPr>
                      <w:rFonts w:hint="default" w:ascii="Times New Roman" w:hAnsi="Times New Roman" w:eastAsia="宋体" w:cs="Times New Roman"/>
                      <w:bCs/>
                      <w:i w:val="0"/>
                      <w:iCs w:val="0"/>
                      <w:color w:val="000000"/>
                      <w:kern w:val="0"/>
                      <w:sz w:val="18"/>
                      <w:szCs w:val="18"/>
                      <w:highlight w:val="none"/>
                      <w:u w:val="none"/>
                      <w:lang w:val="en-US" w:eastAsia="zh-CN" w:bidi="ar"/>
                    </w:rPr>
                    <w:t>3</w:t>
                  </w:r>
                </w:p>
              </w:tc>
              <w:tc>
                <w:tcPr>
                  <w:tcW w:w="1678" w:type="pct"/>
                  <w:vMerge w:val="continue"/>
                  <w:tcBorders>
                    <w:tl2br w:val="nil"/>
                    <w:tr2bl w:val="nil"/>
                  </w:tcBorders>
                  <w:shd w:val="clear" w:color="auto" w:fill="FFFFFF"/>
                  <w:vAlign w:val="center"/>
                </w:tcPr>
                <w:p w14:paraId="51611ED8">
                  <w:pPr>
                    <w:keepNext w:val="0"/>
                    <w:keepLines w:val="0"/>
                    <w:pageBreakBefore w:val="0"/>
                    <w:widowControl/>
                    <w:suppressLineNumbers w:val="0"/>
                    <w:kinsoku/>
                    <w:wordWrap/>
                    <w:overflowPunct/>
                    <w:topLinePunct w:val="0"/>
                    <w:bidi w:val="0"/>
                    <w:adjustRightInd w:val="0"/>
                    <w:snapToGrid w:val="0"/>
                    <w:spacing w:before="0" w:beforeAutospacing="0" w:after="0" w:afterAutospacing="0" w:line="276" w:lineRule="auto"/>
                    <w:ind w:left="0" w:right="0"/>
                    <w:jc w:val="center"/>
                    <w:textAlignment w:val="center"/>
                    <w:rPr>
                      <w:rFonts w:hint="default" w:ascii="Times New Roman" w:hAnsi="Times New Roman" w:eastAsia="宋体" w:cs="Times New Roman"/>
                      <w:i w:val="0"/>
                      <w:iCs w:val="0"/>
                      <w:color w:val="000000"/>
                      <w:kern w:val="0"/>
                      <w:sz w:val="18"/>
                      <w:szCs w:val="18"/>
                      <w:highlight w:val="none"/>
                      <w:u w:val="none"/>
                      <w:lang w:val="en-US" w:eastAsia="zh-CN" w:bidi="ar"/>
                    </w:rPr>
                  </w:pPr>
                </w:p>
              </w:tc>
            </w:tr>
            <w:tr w14:paraId="357D97B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0" w:hRule="atLeast"/>
              </w:trPr>
              <w:tc>
                <w:tcPr>
                  <w:tcW w:w="235" w:type="pct"/>
                  <w:tcBorders>
                    <w:tl2br w:val="nil"/>
                    <w:tr2bl w:val="nil"/>
                  </w:tcBorders>
                  <w:shd w:val="clear" w:color="auto" w:fill="FFFFFF"/>
                  <w:noWrap/>
                  <w:vAlign w:val="center"/>
                </w:tcPr>
                <w:p w14:paraId="748BFB06">
                  <w:pPr>
                    <w:keepNext w:val="0"/>
                    <w:keepLines w:val="0"/>
                    <w:pageBreakBefore w:val="0"/>
                    <w:widowControl/>
                    <w:suppressLineNumbers w:val="0"/>
                    <w:kinsoku/>
                    <w:wordWrap/>
                    <w:overflowPunct/>
                    <w:topLinePunct w:val="0"/>
                    <w:bidi w:val="0"/>
                    <w:adjustRightInd w:val="0"/>
                    <w:snapToGrid w:val="0"/>
                    <w:spacing w:before="0" w:beforeAutospacing="0" w:after="0" w:afterAutospacing="0" w:line="276" w:lineRule="auto"/>
                    <w:ind w:left="0" w:right="0"/>
                    <w:jc w:val="center"/>
                    <w:textAlignment w:val="center"/>
                    <w:rPr>
                      <w:rFonts w:hint="default" w:ascii="Times New Roman" w:hAnsi="Times New Roman" w:eastAsia="宋体" w:cs="Times New Roman"/>
                      <w:bCs/>
                      <w:i w:val="0"/>
                      <w:iCs w:val="0"/>
                      <w:color w:val="000000"/>
                      <w:kern w:val="0"/>
                      <w:sz w:val="18"/>
                      <w:szCs w:val="18"/>
                      <w:highlight w:val="none"/>
                      <w:u w:val="none"/>
                      <w:lang w:val="en-US" w:eastAsia="zh-CN" w:bidi="ar"/>
                    </w:rPr>
                  </w:pPr>
                  <w:r>
                    <w:rPr>
                      <w:rFonts w:hint="eastAsia" w:cs="Times New Roman"/>
                      <w:bCs/>
                      <w:i w:val="0"/>
                      <w:iCs w:val="0"/>
                      <w:color w:val="000000"/>
                      <w:kern w:val="0"/>
                      <w:sz w:val="18"/>
                      <w:szCs w:val="18"/>
                      <w:highlight w:val="none"/>
                      <w:u w:val="none"/>
                      <w:lang w:val="en-US" w:eastAsia="zh-CN" w:bidi="ar"/>
                    </w:rPr>
                    <w:t>117</w:t>
                  </w:r>
                </w:p>
              </w:tc>
              <w:tc>
                <w:tcPr>
                  <w:tcW w:w="349" w:type="pct"/>
                  <w:vMerge w:val="continue"/>
                  <w:tcBorders>
                    <w:tl2br w:val="nil"/>
                    <w:tr2bl w:val="nil"/>
                  </w:tcBorders>
                  <w:shd w:val="clear" w:color="auto" w:fill="FFFFFF"/>
                  <w:vAlign w:val="center"/>
                </w:tcPr>
                <w:p w14:paraId="784A138E">
                  <w:pPr>
                    <w:pStyle w:val="120"/>
                    <w:keepNext w:val="0"/>
                    <w:keepLines w:val="0"/>
                    <w:pageBreakBefore w:val="0"/>
                    <w:framePr w:hSpace="0" w:wrap="auto" w:vAnchor="margin" w:hAnchor="text" w:xAlign="left" w:yAlign="inline"/>
                    <w:suppressLineNumbers w:val="0"/>
                    <w:kinsoku/>
                    <w:wordWrap/>
                    <w:overflowPunct/>
                    <w:topLinePunct w:val="0"/>
                    <w:bidi w:val="0"/>
                    <w:adjustRightInd w:val="0"/>
                    <w:snapToGrid w:val="0"/>
                    <w:spacing w:before="0" w:beforeAutospacing="0" w:after="0" w:afterAutospacing="0" w:line="276" w:lineRule="auto"/>
                    <w:ind w:left="0" w:right="0"/>
                    <w:jc w:val="center"/>
                    <w:rPr>
                      <w:rFonts w:hint="default" w:ascii="Times New Roman" w:hAnsi="Times New Roman" w:eastAsia="宋体" w:cs="Times New Roman"/>
                      <w:bCs/>
                      <w:i w:val="0"/>
                      <w:iCs w:val="0"/>
                      <w:color w:val="000000"/>
                      <w:kern w:val="0"/>
                      <w:sz w:val="18"/>
                      <w:szCs w:val="18"/>
                      <w:highlight w:val="none"/>
                      <w:u w:val="none"/>
                      <w:lang w:val="en-US" w:eastAsia="zh-CN" w:bidi="ar"/>
                    </w:rPr>
                  </w:pPr>
                </w:p>
              </w:tc>
              <w:tc>
                <w:tcPr>
                  <w:tcW w:w="1015" w:type="pct"/>
                  <w:tcBorders>
                    <w:tl2br w:val="nil"/>
                    <w:tr2bl w:val="nil"/>
                  </w:tcBorders>
                  <w:shd w:val="clear" w:color="auto" w:fill="FFFFFF"/>
                  <w:vAlign w:val="center"/>
                </w:tcPr>
                <w:p w14:paraId="0C3950D4">
                  <w:pPr>
                    <w:keepNext w:val="0"/>
                    <w:keepLines w:val="0"/>
                    <w:pageBreakBefore w:val="0"/>
                    <w:widowControl/>
                    <w:suppressLineNumbers w:val="0"/>
                    <w:kinsoku/>
                    <w:wordWrap/>
                    <w:overflowPunct/>
                    <w:topLinePunct w:val="0"/>
                    <w:bidi w:val="0"/>
                    <w:adjustRightInd w:val="0"/>
                    <w:snapToGrid w:val="0"/>
                    <w:spacing w:before="0" w:beforeAutospacing="0" w:after="0" w:afterAutospacing="0" w:line="276" w:lineRule="auto"/>
                    <w:ind w:left="0" w:right="0"/>
                    <w:jc w:val="center"/>
                    <w:textAlignment w:val="center"/>
                    <w:rPr>
                      <w:rFonts w:hint="default" w:ascii="Times New Roman" w:hAnsi="Times New Roman" w:eastAsia="宋体" w:cs="Times New Roman"/>
                      <w:bCs/>
                      <w:i w:val="0"/>
                      <w:iCs w:val="0"/>
                      <w:color w:val="000000"/>
                      <w:kern w:val="0"/>
                      <w:sz w:val="18"/>
                      <w:szCs w:val="18"/>
                      <w:highlight w:val="none"/>
                      <w:u w:val="none"/>
                      <w:lang w:val="en-US" w:eastAsia="zh-CN" w:bidi="ar"/>
                    </w:rPr>
                  </w:pPr>
                  <w:r>
                    <w:rPr>
                      <w:rFonts w:hint="default" w:ascii="Times New Roman" w:hAnsi="Times New Roman" w:eastAsia="宋体" w:cs="Times New Roman"/>
                      <w:bCs/>
                      <w:i w:val="0"/>
                      <w:iCs w:val="0"/>
                      <w:color w:val="000000"/>
                      <w:kern w:val="0"/>
                      <w:sz w:val="18"/>
                      <w:szCs w:val="18"/>
                      <w:highlight w:val="none"/>
                      <w:u w:val="none"/>
                      <w:lang w:val="en-US" w:eastAsia="zh-CN" w:bidi="ar"/>
                    </w:rPr>
                    <w:t>智能危化品管理系统及存储柜</w:t>
                  </w:r>
                </w:p>
              </w:tc>
              <w:tc>
                <w:tcPr>
                  <w:tcW w:w="1436" w:type="pct"/>
                  <w:tcBorders>
                    <w:tl2br w:val="nil"/>
                    <w:tr2bl w:val="nil"/>
                  </w:tcBorders>
                  <w:shd w:val="clear" w:color="auto" w:fill="FFFFFF"/>
                  <w:noWrap/>
                  <w:vAlign w:val="center"/>
                </w:tcPr>
                <w:p w14:paraId="356E2616">
                  <w:pPr>
                    <w:keepNext w:val="0"/>
                    <w:keepLines w:val="0"/>
                    <w:pageBreakBefore w:val="0"/>
                    <w:suppressLineNumbers w:val="0"/>
                    <w:kinsoku/>
                    <w:wordWrap/>
                    <w:overflowPunct/>
                    <w:topLinePunct w:val="0"/>
                    <w:bidi w:val="0"/>
                    <w:adjustRightInd w:val="0"/>
                    <w:snapToGrid w:val="0"/>
                    <w:spacing w:before="0" w:beforeAutospacing="0" w:after="0" w:afterAutospacing="0" w:line="276" w:lineRule="auto"/>
                    <w:ind w:left="0" w:right="0"/>
                    <w:jc w:val="center"/>
                    <w:rPr>
                      <w:rFonts w:hint="default" w:ascii="Times New Roman" w:hAnsi="Times New Roman" w:eastAsia="宋体" w:cs="Times New Roman"/>
                      <w:bCs/>
                      <w:i w:val="0"/>
                      <w:iCs w:val="0"/>
                      <w:color w:val="000000"/>
                      <w:kern w:val="0"/>
                      <w:sz w:val="18"/>
                      <w:szCs w:val="18"/>
                      <w:highlight w:val="none"/>
                      <w:u w:val="none"/>
                      <w:lang w:val="en-US" w:eastAsia="zh-CN" w:bidi="ar"/>
                    </w:rPr>
                  </w:pPr>
                  <w:r>
                    <w:rPr>
                      <w:rFonts w:hint="default" w:ascii="Times New Roman" w:hAnsi="Times New Roman" w:eastAsia="宋体" w:cs="Times New Roman"/>
                      <w:bCs/>
                      <w:i w:val="0"/>
                      <w:iCs w:val="0"/>
                      <w:color w:val="000000"/>
                      <w:kern w:val="0"/>
                      <w:sz w:val="18"/>
                      <w:szCs w:val="18"/>
                      <w:highlight w:val="none"/>
                      <w:u w:val="none"/>
                      <w:lang w:val="en-US" w:eastAsia="zh-CN" w:bidi="ar"/>
                    </w:rPr>
                    <w:t>/</w:t>
                  </w:r>
                </w:p>
              </w:tc>
              <w:tc>
                <w:tcPr>
                  <w:tcW w:w="284" w:type="pct"/>
                  <w:tcBorders>
                    <w:tl2br w:val="nil"/>
                    <w:tr2bl w:val="nil"/>
                  </w:tcBorders>
                  <w:shd w:val="clear" w:color="auto" w:fill="FFFFFF"/>
                  <w:vAlign w:val="center"/>
                </w:tcPr>
                <w:p w14:paraId="2F392637">
                  <w:pPr>
                    <w:keepNext w:val="0"/>
                    <w:keepLines w:val="0"/>
                    <w:pageBreakBefore w:val="0"/>
                    <w:widowControl/>
                    <w:suppressLineNumbers w:val="0"/>
                    <w:kinsoku/>
                    <w:wordWrap/>
                    <w:overflowPunct/>
                    <w:topLinePunct w:val="0"/>
                    <w:bidi w:val="0"/>
                    <w:adjustRightInd w:val="0"/>
                    <w:snapToGrid w:val="0"/>
                    <w:spacing w:before="0" w:beforeAutospacing="0" w:after="0" w:afterAutospacing="0" w:line="276" w:lineRule="auto"/>
                    <w:ind w:left="0" w:right="0"/>
                    <w:jc w:val="center"/>
                    <w:textAlignment w:val="center"/>
                    <w:rPr>
                      <w:rFonts w:hint="default" w:ascii="Times New Roman" w:hAnsi="Times New Roman" w:eastAsia="宋体" w:cs="Times New Roman"/>
                      <w:bCs/>
                      <w:i w:val="0"/>
                      <w:iCs w:val="0"/>
                      <w:color w:val="000000"/>
                      <w:kern w:val="0"/>
                      <w:sz w:val="18"/>
                      <w:szCs w:val="18"/>
                      <w:highlight w:val="none"/>
                      <w:u w:val="none"/>
                      <w:lang w:val="en-US" w:eastAsia="zh-CN" w:bidi="ar"/>
                    </w:rPr>
                  </w:pPr>
                  <w:r>
                    <w:rPr>
                      <w:rFonts w:hint="default" w:ascii="Times New Roman" w:hAnsi="Times New Roman" w:eastAsia="宋体" w:cs="Times New Roman"/>
                      <w:bCs/>
                      <w:i w:val="0"/>
                      <w:iCs w:val="0"/>
                      <w:color w:val="000000"/>
                      <w:kern w:val="0"/>
                      <w:sz w:val="18"/>
                      <w:szCs w:val="18"/>
                      <w:highlight w:val="none"/>
                      <w:u w:val="none"/>
                      <w:lang w:val="en-US" w:eastAsia="zh-CN" w:bidi="ar"/>
                    </w:rPr>
                    <w:t>20</w:t>
                  </w:r>
                </w:p>
              </w:tc>
              <w:tc>
                <w:tcPr>
                  <w:tcW w:w="1678" w:type="pct"/>
                  <w:vMerge w:val="restart"/>
                  <w:tcBorders>
                    <w:tl2br w:val="nil"/>
                    <w:tr2bl w:val="nil"/>
                  </w:tcBorders>
                  <w:shd w:val="clear" w:color="auto" w:fill="FFFFFF"/>
                  <w:vAlign w:val="center"/>
                </w:tcPr>
                <w:p w14:paraId="6E3E43BC">
                  <w:pPr>
                    <w:keepNext w:val="0"/>
                    <w:keepLines w:val="0"/>
                    <w:pageBreakBefore w:val="0"/>
                    <w:widowControl/>
                    <w:suppressLineNumbers w:val="0"/>
                    <w:kinsoku/>
                    <w:wordWrap/>
                    <w:overflowPunct/>
                    <w:topLinePunct w:val="0"/>
                    <w:bidi w:val="0"/>
                    <w:adjustRightInd w:val="0"/>
                    <w:snapToGrid w:val="0"/>
                    <w:spacing w:before="0" w:beforeAutospacing="0" w:after="0" w:afterAutospacing="0" w:line="276" w:lineRule="auto"/>
                    <w:ind w:left="0" w:right="0"/>
                    <w:jc w:val="center"/>
                    <w:textAlignment w:val="center"/>
                    <w:rPr>
                      <w:rFonts w:hint="default" w:ascii="Times New Roman" w:hAnsi="Times New Roman" w:eastAsia="宋体" w:cs="Times New Roman"/>
                      <w:i w:val="0"/>
                      <w:iCs w:val="0"/>
                      <w:color w:val="000000"/>
                      <w:kern w:val="0"/>
                      <w:sz w:val="18"/>
                      <w:szCs w:val="18"/>
                      <w:highlight w:val="none"/>
                      <w:u w:val="none"/>
                      <w:lang w:val="en-US" w:eastAsia="zh-CN" w:bidi="ar"/>
                    </w:rPr>
                  </w:pPr>
                  <w:r>
                    <w:rPr>
                      <w:rFonts w:hint="default" w:ascii="Times New Roman" w:hAnsi="Times New Roman" w:cs="Times New Roman"/>
                      <w:i w:val="0"/>
                      <w:iCs w:val="0"/>
                      <w:color w:val="000000"/>
                      <w:kern w:val="0"/>
                      <w:sz w:val="18"/>
                      <w:szCs w:val="18"/>
                      <w:highlight w:val="none"/>
                      <w:u w:val="none"/>
                      <w:lang w:val="en-US" w:eastAsia="zh-CN" w:bidi="ar"/>
                    </w:rPr>
                    <w:t>其他设备</w:t>
                  </w:r>
                </w:p>
              </w:tc>
            </w:tr>
            <w:tr w14:paraId="0F6B7CE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FFFFFF"/>
                <w:tblCellMar>
                  <w:top w:w="0" w:type="dxa"/>
                  <w:left w:w="28" w:type="dxa"/>
                  <w:bottom w:w="0" w:type="dxa"/>
                  <w:right w:w="28" w:type="dxa"/>
                </w:tblCellMar>
              </w:tblPrEx>
              <w:trPr>
                <w:trHeight w:val="0" w:hRule="atLeast"/>
              </w:trPr>
              <w:tc>
                <w:tcPr>
                  <w:tcW w:w="235" w:type="pct"/>
                  <w:tcBorders>
                    <w:tl2br w:val="nil"/>
                    <w:tr2bl w:val="nil"/>
                  </w:tcBorders>
                  <w:shd w:val="clear" w:color="auto" w:fill="FFFFFF"/>
                  <w:noWrap/>
                  <w:vAlign w:val="center"/>
                </w:tcPr>
                <w:p w14:paraId="51C70ABA">
                  <w:pPr>
                    <w:keepNext w:val="0"/>
                    <w:keepLines w:val="0"/>
                    <w:pageBreakBefore w:val="0"/>
                    <w:widowControl/>
                    <w:suppressLineNumbers w:val="0"/>
                    <w:kinsoku/>
                    <w:wordWrap/>
                    <w:overflowPunct/>
                    <w:topLinePunct w:val="0"/>
                    <w:bidi w:val="0"/>
                    <w:adjustRightInd w:val="0"/>
                    <w:snapToGrid w:val="0"/>
                    <w:spacing w:before="0" w:beforeAutospacing="0" w:after="0" w:afterAutospacing="0" w:line="276" w:lineRule="auto"/>
                    <w:ind w:left="0" w:right="0"/>
                    <w:jc w:val="center"/>
                    <w:textAlignment w:val="center"/>
                    <w:rPr>
                      <w:rFonts w:hint="default" w:cs="Times New Roman"/>
                      <w:bCs/>
                      <w:i w:val="0"/>
                      <w:iCs w:val="0"/>
                      <w:color w:val="000000"/>
                      <w:kern w:val="0"/>
                      <w:sz w:val="18"/>
                      <w:szCs w:val="18"/>
                      <w:highlight w:val="none"/>
                      <w:u w:val="none"/>
                      <w:lang w:val="en-US" w:eastAsia="zh-CN" w:bidi="ar"/>
                    </w:rPr>
                  </w:pPr>
                  <w:r>
                    <w:rPr>
                      <w:rFonts w:hint="eastAsia" w:cs="Times New Roman"/>
                      <w:bCs/>
                      <w:i w:val="0"/>
                      <w:iCs w:val="0"/>
                      <w:color w:val="000000"/>
                      <w:kern w:val="0"/>
                      <w:sz w:val="18"/>
                      <w:szCs w:val="18"/>
                      <w:highlight w:val="none"/>
                      <w:u w:val="none"/>
                      <w:lang w:val="en-US" w:eastAsia="zh-CN" w:bidi="ar"/>
                    </w:rPr>
                    <w:t>118</w:t>
                  </w:r>
                </w:p>
              </w:tc>
              <w:tc>
                <w:tcPr>
                  <w:tcW w:w="349" w:type="pct"/>
                  <w:vMerge w:val="continue"/>
                  <w:tcBorders>
                    <w:tl2br w:val="nil"/>
                    <w:tr2bl w:val="nil"/>
                  </w:tcBorders>
                  <w:shd w:val="clear" w:color="auto" w:fill="FFFFFF"/>
                  <w:vAlign w:val="center"/>
                </w:tcPr>
                <w:p w14:paraId="5413AAAE">
                  <w:pPr>
                    <w:pStyle w:val="120"/>
                    <w:keepNext w:val="0"/>
                    <w:keepLines w:val="0"/>
                    <w:pageBreakBefore w:val="0"/>
                    <w:framePr w:hSpace="0" w:wrap="auto" w:vAnchor="margin" w:hAnchor="text" w:xAlign="left" w:yAlign="inline"/>
                    <w:suppressLineNumbers w:val="0"/>
                    <w:kinsoku/>
                    <w:wordWrap/>
                    <w:overflowPunct/>
                    <w:topLinePunct w:val="0"/>
                    <w:bidi w:val="0"/>
                    <w:adjustRightInd w:val="0"/>
                    <w:snapToGrid w:val="0"/>
                    <w:spacing w:before="0" w:beforeAutospacing="0" w:after="0" w:afterAutospacing="0" w:line="276" w:lineRule="auto"/>
                    <w:ind w:left="0" w:right="0"/>
                    <w:jc w:val="center"/>
                    <w:rPr>
                      <w:rFonts w:hint="default" w:ascii="Times New Roman" w:hAnsi="Times New Roman" w:eastAsia="宋体" w:cs="Times New Roman"/>
                      <w:bCs/>
                      <w:i w:val="0"/>
                      <w:iCs w:val="0"/>
                      <w:color w:val="000000"/>
                      <w:kern w:val="0"/>
                      <w:sz w:val="18"/>
                      <w:szCs w:val="18"/>
                      <w:highlight w:val="none"/>
                      <w:u w:val="none"/>
                      <w:lang w:val="en-US" w:eastAsia="zh-CN" w:bidi="ar"/>
                    </w:rPr>
                  </w:pPr>
                </w:p>
              </w:tc>
              <w:tc>
                <w:tcPr>
                  <w:tcW w:w="1015" w:type="pct"/>
                  <w:tcBorders>
                    <w:tl2br w:val="nil"/>
                    <w:tr2bl w:val="nil"/>
                  </w:tcBorders>
                  <w:shd w:val="clear" w:color="auto" w:fill="FFFFFF"/>
                  <w:vAlign w:val="center"/>
                </w:tcPr>
                <w:p w14:paraId="165C7E15">
                  <w:pPr>
                    <w:keepNext w:val="0"/>
                    <w:keepLines w:val="0"/>
                    <w:pageBreakBefore w:val="0"/>
                    <w:widowControl/>
                    <w:suppressLineNumbers w:val="0"/>
                    <w:kinsoku/>
                    <w:wordWrap/>
                    <w:overflowPunct/>
                    <w:topLinePunct w:val="0"/>
                    <w:bidi w:val="0"/>
                    <w:adjustRightInd w:val="0"/>
                    <w:snapToGrid w:val="0"/>
                    <w:spacing w:before="0" w:beforeAutospacing="0" w:after="0" w:afterAutospacing="0" w:line="276" w:lineRule="auto"/>
                    <w:ind w:left="0" w:right="0"/>
                    <w:jc w:val="center"/>
                    <w:textAlignment w:val="center"/>
                    <w:rPr>
                      <w:rFonts w:hint="default" w:ascii="Times New Roman" w:hAnsi="Times New Roman" w:eastAsia="宋体" w:cs="Times New Roman"/>
                      <w:bCs/>
                      <w:i w:val="0"/>
                      <w:iCs w:val="0"/>
                      <w:color w:val="000000"/>
                      <w:kern w:val="0"/>
                      <w:sz w:val="18"/>
                      <w:szCs w:val="18"/>
                      <w:highlight w:val="none"/>
                      <w:u w:val="none"/>
                      <w:lang w:val="en-US" w:eastAsia="zh-CN" w:bidi="ar"/>
                    </w:rPr>
                  </w:pPr>
                  <w:r>
                    <w:rPr>
                      <w:rFonts w:hint="eastAsia" w:cs="Times New Roman"/>
                      <w:bCs/>
                      <w:i w:val="0"/>
                      <w:iCs w:val="0"/>
                      <w:color w:val="000000"/>
                      <w:kern w:val="0"/>
                      <w:sz w:val="18"/>
                      <w:szCs w:val="18"/>
                      <w:highlight w:val="none"/>
                      <w:u w:val="none"/>
                      <w:lang w:val="en-US" w:eastAsia="zh-CN" w:bidi="ar"/>
                    </w:rPr>
                    <w:t>玻璃仪器（250mL）</w:t>
                  </w:r>
                </w:p>
              </w:tc>
              <w:tc>
                <w:tcPr>
                  <w:tcW w:w="1436" w:type="pct"/>
                  <w:tcBorders>
                    <w:tl2br w:val="nil"/>
                    <w:tr2bl w:val="nil"/>
                  </w:tcBorders>
                  <w:shd w:val="clear" w:color="auto" w:fill="FFFFFF"/>
                  <w:noWrap/>
                  <w:vAlign w:val="center"/>
                </w:tcPr>
                <w:p w14:paraId="5CA517E4">
                  <w:pPr>
                    <w:keepNext w:val="0"/>
                    <w:keepLines w:val="0"/>
                    <w:pageBreakBefore w:val="0"/>
                    <w:suppressLineNumbers w:val="0"/>
                    <w:kinsoku/>
                    <w:wordWrap/>
                    <w:overflowPunct/>
                    <w:topLinePunct w:val="0"/>
                    <w:bidi w:val="0"/>
                    <w:adjustRightInd w:val="0"/>
                    <w:snapToGrid w:val="0"/>
                    <w:spacing w:before="0" w:beforeAutospacing="0" w:after="0" w:afterAutospacing="0" w:line="276" w:lineRule="auto"/>
                    <w:ind w:left="0" w:right="0"/>
                    <w:jc w:val="center"/>
                    <w:rPr>
                      <w:rFonts w:hint="default" w:ascii="Times New Roman" w:hAnsi="Times New Roman" w:eastAsia="宋体" w:cs="Times New Roman"/>
                      <w:bCs/>
                      <w:i w:val="0"/>
                      <w:iCs w:val="0"/>
                      <w:color w:val="000000"/>
                      <w:kern w:val="0"/>
                      <w:sz w:val="18"/>
                      <w:szCs w:val="18"/>
                      <w:highlight w:val="none"/>
                      <w:u w:val="none"/>
                      <w:lang w:val="en-US" w:eastAsia="zh-CN" w:bidi="ar"/>
                    </w:rPr>
                  </w:pPr>
                  <w:r>
                    <w:rPr>
                      <w:rFonts w:hint="default" w:ascii="Times New Roman" w:hAnsi="Times New Roman" w:eastAsia="宋体" w:cs="Times New Roman"/>
                      <w:bCs/>
                      <w:i w:val="0"/>
                      <w:iCs w:val="0"/>
                      <w:color w:val="000000"/>
                      <w:kern w:val="0"/>
                      <w:sz w:val="18"/>
                      <w:szCs w:val="18"/>
                      <w:highlight w:val="none"/>
                      <w:u w:val="none"/>
                      <w:lang w:val="en-US" w:eastAsia="zh-CN" w:bidi="ar"/>
                    </w:rPr>
                    <w:t>/</w:t>
                  </w:r>
                </w:p>
              </w:tc>
              <w:tc>
                <w:tcPr>
                  <w:tcW w:w="284" w:type="pct"/>
                  <w:tcBorders>
                    <w:tl2br w:val="nil"/>
                    <w:tr2bl w:val="nil"/>
                  </w:tcBorders>
                  <w:shd w:val="clear" w:color="auto" w:fill="FFFFFF"/>
                  <w:vAlign w:val="center"/>
                </w:tcPr>
                <w:p w14:paraId="683E80BC">
                  <w:pPr>
                    <w:keepNext w:val="0"/>
                    <w:keepLines w:val="0"/>
                    <w:pageBreakBefore w:val="0"/>
                    <w:widowControl/>
                    <w:suppressLineNumbers w:val="0"/>
                    <w:kinsoku/>
                    <w:wordWrap/>
                    <w:overflowPunct/>
                    <w:topLinePunct w:val="0"/>
                    <w:bidi w:val="0"/>
                    <w:adjustRightInd w:val="0"/>
                    <w:snapToGrid w:val="0"/>
                    <w:spacing w:before="0" w:beforeAutospacing="0" w:after="0" w:afterAutospacing="0" w:line="276" w:lineRule="auto"/>
                    <w:ind w:left="0" w:right="0"/>
                    <w:jc w:val="center"/>
                    <w:textAlignment w:val="center"/>
                    <w:rPr>
                      <w:rFonts w:hint="default" w:ascii="Times New Roman" w:hAnsi="Times New Roman" w:eastAsia="宋体" w:cs="Times New Roman"/>
                      <w:bCs/>
                      <w:i w:val="0"/>
                      <w:iCs w:val="0"/>
                      <w:color w:val="000000"/>
                      <w:kern w:val="0"/>
                      <w:sz w:val="18"/>
                      <w:szCs w:val="18"/>
                      <w:highlight w:val="none"/>
                      <w:u w:val="none"/>
                      <w:lang w:val="en-US" w:eastAsia="zh-CN" w:bidi="ar"/>
                    </w:rPr>
                  </w:pPr>
                  <w:r>
                    <w:rPr>
                      <w:rFonts w:hint="eastAsia" w:cs="Times New Roman"/>
                      <w:bCs/>
                      <w:i w:val="0"/>
                      <w:iCs w:val="0"/>
                      <w:color w:val="000000"/>
                      <w:kern w:val="0"/>
                      <w:sz w:val="18"/>
                      <w:szCs w:val="18"/>
                      <w:highlight w:val="none"/>
                      <w:u w:val="none"/>
                      <w:lang w:val="en-US" w:eastAsia="zh-CN" w:bidi="ar"/>
                    </w:rPr>
                    <w:t>若干</w:t>
                  </w:r>
                </w:p>
              </w:tc>
              <w:tc>
                <w:tcPr>
                  <w:tcW w:w="1678" w:type="pct"/>
                  <w:vMerge w:val="continue"/>
                  <w:tcBorders>
                    <w:tl2br w:val="nil"/>
                    <w:tr2bl w:val="nil"/>
                  </w:tcBorders>
                  <w:shd w:val="clear" w:color="auto" w:fill="FFFFFF"/>
                  <w:vAlign w:val="center"/>
                </w:tcPr>
                <w:p w14:paraId="12ADAEC9">
                  <w:pPr>
                    <w:keepNext w:val="0"/>
                    <w:keepLines w:val="0"/>
                    <w:pageBreakBefore w:val="0"/>
                    <w:widowControl/>
                    <w:suppressLineNumbers w:val="0"/>
                    <w:kinsoku/>
                    <w:wordWrap/>
                    <w:overflowPunct/>
                    <w:topLinePunct w:val="0"/>
                    <w:bidi w:val="0"/>
                    <w:adjustRightInd w:val="0"/>
                    <w:snapToGrid w:val="0"/>
                    <w:spacing w:before="0" w:beforeAutospacing="0" w:after="0" w:afterAutospacing="0" w:line="276" w:lineRule="auto"/>
                    <w:ind w:left="0" w:right="0"/>
                    <w:jc w:val="center"/>
                    <w:textAlignment w:val="center"/>
                    <w:rPr>
                      <w:rFonts w:hint="default" w:ascii="Times New Roman" w:hAnsi="Times New Roman" w:cs="Times New Roman"/>
                      <w:i w:val="0"/>
                      <w:iCs w:val="0"/>
                      <w:color w:val="000000"/>
                      <w:kern w:val="0"/>
                      <w:sz w:val="18"/>
                      <w:szCs w:val="18"/>
                      <w:highlight w:val="none"/>
                      <w:u w:val="none"/>
                      <w:lang w:val="en-US" w:eastAsia="zh-CN" w:bidi="ar"/>
                    </w:rPr>
                  </w:pPr>
                </w:p>
              </w:tc>
            </w:tr>
          </w:tbl>
          <w:p w14:paraId="56A26516">
            <w:pPr>
              <w:pStyle w:val="4"/>
              <w:keepNext/>
              <w:keepLines/>
              <w:pageBreakBefore w:val="0"/>
              <w:widowControl w:val="0"/>
              <w:suppressLineNumbers w:val="0"/>
              <w:kinsoku/>
              <w:wordWrap/>
              <w:overflowPunct/>
              <w:topLinePunct w:val="0"/>
              <w:autoSpaceDE/>
              <w:autoSpaceDN/>
              <w:bidi w:val="0"/>
              <w:adjustRightInd w:val="0"/>
              <w:snapToGrid w:val="0"/>
              <w:spacing w:before="32" w:beforeLines="10" w:beforeAutospacing="0" w:after="0" w:afterAutospacing="0" w:line="240" w:lineRule="auto"/>
              <w:ind w:left="24" w:leftChars="10" w:right="0"/>
              <w:jc w:val="center"/>
              <w:textAlignment w:val="auto"/>
              <w:rPr>
                <w:rFonts w:hint="default"/>
                <w:snapToGrid w:val="0"/>
                <w:sz w:val="24"/>
                <w:szCs w:val="24"/>
                <w:highlight w:val="none"/>
              </w:rPr>
            </w:pPr>
            <w:r>
              <w:rPr>
                <w:rFonts w:hint="default"/>
                <w:highlight w:val="none"/>
              </w:rPr>
              <w:drawing>
                <wp:inline distT="0" distB="0" distL="114300" distR="114300">
                  <wp:extent cx="2138045" cy="1842135"/>
                  <wp:effectExtent l="0" t="0" r="14605" b="5715"/>
                  <wp:docPr id="1396"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96" name="Picture 1"/>
                          <pic:cNvPicPr>
                            <a:picLocks noChangeAspect="1"/>
                          </pic:cNvPicPr>
                        </pic:nvPicPr>
                        <pic:blipFill>
                          <a:blip r:embed="rId10"/>
                          <a:srcRect t="4522"/>
                          <a:stretch>
                            <a:fillRect/>
                          </a:stretch>
                        </pic:blipFill>
                        <pic:spPr>
                          <a:xfrm>
                            <a:off x="0" y="0"/>
                            <a:ext cx="2138045" cy="1842135"/>
                          </a:xfrm>
                          <a:prstGeom prst="rect">
                            <a:avLst/>
                          </a:prstGeom>
                          <a:noFill/>
                          <a:ln w="1">
                            <a:noFill/>
                          </a:ln>
                        </pic:spPr>
                      </pic:pic>
                    </a:graphicData>
                  </a:graphic>
                </wp:inline>
              </w:drawing>
            </w:r>
            <w:r>
              <w:rPr>
                <w:rFonts w:hint="eastAsia"/>
                <w:highlight w:val="none"/>
                <w:lang w:val="en-US" w:eastAsia="zh-CN"/>
              </w:rPr>
              <w:t xml:space="preserve">     </w:t>
            </w:r>
            <w:r>
              <w:rPr>
                <w:rFonts w:hint="default"/>
                <w:highlight w:val="none"/>
              </w:rPr>
              <w:drawing>
                <wp:inline distT="0" distB="0" distL="114300" distR="114300">
                  <wp:extent cx="2093595" cy="1829435"/>
                  <wp:effectExtent l="0" t="0" r="1905" b="18415"/>
                  <wp:docPr id="1405"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05" name="Picture 1"/>
                          <pic:cNvPicPr>
                            <a:picLocks noChangeAspect="1"/>
                          </pic:cNvPicPr>
                        </pic:nvPicPr>
                        <pic:blipFill>
                          <a:blip r:embed="rId11"/>
                          <a:srcRect t="4779"/>
                          <a:stretch>
                            <a:fillRect/>
                          </a:stretch>
                        </pic:blipFill>
                        <pic:spPr>
                          <a:xfrm>
                            <a:off x="0" y="0"/>
                            <a:ext cx="2093595" cy="1829435"/>
                          </a:xfrm>
                          <a:prstGeom prst="rect">
                            <a:avLst/>
                          </a:prstGeom>
                          <a:noFill/>
                          <a:ln w="1">
                            <a:noFill/>
                          </a:ln>
                        </pic:spPr>
                      </pic:pic>
                    </a:graphicData>
                  </a:graphic>
                </wp:inline>
              </w:drawing>
            </w:r>
          </w:p>
          <w:p w14:paraId="0B86CA0E">
            <w:pPr>
              <w:pStyle w:val="4"/>
              <w:keepNext/>
              <w:keepLines/>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right="0" w:firstLine="964" w:firstLineChars="400"/>
              <w:textAlignment w:val="auto"/>
              <w:rPr>
                <w:rFonts w:hint="default" w:eastAsia="宋体"/>
                <w:b w:val="0"/>
                <w:bCs w:val="0"/>
                <w:snapToGrid w:val="0"/>
                <w:sz w:val="24"/>
                <w:szCs w:val="24"/>
                <w:highlight w:val="none"/>
                <w:lang w:val="en-US" w:eastAsia="zh-CN"/>
              </w:rPr>
            </w:pPr>
            <w:r>
              <w:rPr>
                <w:rFonts w:hint="eastAsia"/>
                <w:b/>
                <w:bCs/>
                <w:snapToGrid w:val="0"/>
                <w:sz w:val="24"/>
                <w:szCs w:val="24"/>
                <w:highlight w:val="none"/>
              </w:rPr>
              <w:t>小鼠独立</w:t>
            </w:r>
            <w:r>
              <w:rPr>
                <w:rFonts w:hint="eastAsia"/>
                <w:b/>
                <w:bCs/>
                <w:snapToGrid w:val="0"/>
                <w:sz w:val="24"/>
                <w:szCs w:val="24"/>
                <w:highlight w:val="none"/>
                <w:lang w:val="en-US" w:eastAsia="zh-CN"/>
              </w:rPr>
              <w:t>通风笼具                     水冲洗式豚鼠笼</w:t>
            </w:r>
          </w:p>
          <w:p w14:paraId="04ED2DC7">
            <w:pPr>
              <w:pStyle w:val="4"/>
              <w:keepNext/>
              <w:keepLines/>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right="0"/>
              <w:jc w:val="center"/>
              <w:textAlignment w:val="auto"/>
              <w:rPr>
                <w:rFonts w:hint="default"/>
                <w:snapToGrid w:val="0"/>
                <w:sz w:val="24"/>
                <w:szCs w:val="24"/>
                <w:highlight w:val="none"/>
              </w:rPr>
            </w:pPr>
            <w:r>
              <w:rPr>
                <w:rFonts w:hint="default"/>
                <w:highlight w:val="none"/>
              </w:rPr>
              <w:drawing>
                <wp:inline distT="0" distB="0" distL="114300" distR="114300">
                  <wp:extent cx="1815465" cy="2005965"/>
                  <wp:effectExtent l="0" t="0" r="13335" b="13335"/>
                  <wp:docPr id="1402"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02" name="图片 1"/>
                          <pic:cNvPicPr>
                            <a:picLocks noChangeAspect="1"/>
                          </pic:cNvPicPr>
                        </pic:nvPicPr>
                        <pic:blipFill>
                          <a:blip r:embed="rId12"/>
                          <a:stretch>
                            <a:fillRect/>
                          </a:stretch>
                        </pic:blipFill>
                        <pic:spPr>
                          <a:xfrm>
                            <a:off x="0" y="0"/>
                            <a:ext cx="1815465" cy="2005965"/>
                          </a:xfrm>
                          <a:prstGeom prst="rect">
                            <a:avLst/>
                          </a:prstGeom>
                          <a:noFill/>
                          <a:ln w="9525">
                            <a:noFill/>
                          </a:ln>
                        </pic:spPr>
                      </pic:pic>
                    </a:graphicData>
                  </a:graphic>
                </wp:inline>
              </w:drawing>
            </w:r>
            <w:r>
              <w:rPr>
                <w:rFonts w:hint="eastAsia"/>
                <w:highlight w:val="none"/>
                <w:lang w:val="en-US" w:eastAsia="zh-CN"/>
              </w:rPr>
              <w:t xml:space="preserve">         </w:t>
            </w:r>
            <w:r>
              <w:rPr>
                <w:rFonts w:hint="default"/>
                <w:highlight w:val="none"/>
              </w:rPr>
              <w:drawing>
                <wp:inline distT="0" distB="0" distL="114300" distR="114300">
                  <wp:extent cx="1284605" cy="2069465"/>
                  <wp:effectExtent l="0" t="0" r="10795" b="6985"/>
                  <wp:docPr id="1403" name="图片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03" name="图片 3"/>
                          <pic:cNvPicPr>
                            <a:picLocks noChangeAspect="1"/>
                          </pic:cNvPicPr>
                        </pic:nvPicPr>
                        <pic:blipFill>
                          <a:blip r:embed="rId13"/>
                          <a:stretch>
                            <a:fillRect/>
                          </a:stretch>
                        </pic:blipFill>
                        <pic:spPr>
                          <a:xfrm>
                            <a:off x="0" y="0"/>
                            <a:ext cx="1284605" cy="2069465"/>
                          </a:xfrm>
                          <a:prstGeom prst="rect">
                            <a:avLst/>
                          </a:prstGeom>
                          <a:noFill/>
                          <a:ln w="9525">
                            <a:noFill/>
                          </a:ln>
                        </pic:spPr>
                      </pic:pic>
                    </a:graphicData>
                  </a:graphic>
                </wp:inline>
              </w:drawing>
            </w:r>
          </w:p>
          <w:p w14:paraId="01D2D1A8">
            <w:pPr>
              <w:pStyle w:val="4"/>
              <w:keepNext/>
              <w:keepLines/>
              <w:pageBreakBefore w:val="0"/>
              <w:widowControl w:val="0"/>
              <w:suppressLineNumbers w:val="0"/>
              <w:kinsoku/>
              <w:wordWrap/>
              <w:overflowPunct/>
              <w:topLinePunct w:val="0"/>
              <w:autoSpaceDE/>
              <w:autoSpaceDN/>
              <w:bidi w:val="0"/>
              <w:adjustRightInd w:val="0"/>
              <w:snapToGrid w:val="0"/>
              <w:spacing w:before="0" w:beforeAutospacing="0" w:after="0" w:afterAutospacing="0" w:line="360" w:lineRule="auto"/>
              <w:ind w:left="0" w:right="0" w:firstLine="723" w:firstLineChars="300"/>
              <w:textAlignment w:val="auto"/>
              <w:rPr>
                <w:rFonts w:hint="default"/>
                <w:snapToGrid w:val="0"/>
                <w:sz w:val="24"/>
                <w:szCs w:val="24"/>
                <w:highlight w:val="none"/>
              </w:rPr>
            </w:pPr>
            <w:r>
              <w:rPr>
                <w:rFonts w:hint="eastAsia"/>
                <w:snapToGrid w:val="0"/>
                <w:sz w:val="24"/>
                <w:szCs w:val="24"/>
                <w:highlight w:val="none"/>
              </w:rPr>
              <w:t>不锈钢猪笼</w:t>
            </w:r>
            <w:r>
              <w:rPr>
                <w:rFonts w:hint="eastAsia"/>
                <w:snapToGrid w:val="0"/>
                <w:sz w:val="24"/>
                <w:szCs w:val="24"/>
                <w:highlight w:val="none"/>
                <w:lang w:val="en-US" w:eastAsia="zh-CN"/>
              </w:rPr>
              <w:t xml:space="preserve">                  </w:t>
            </w:r>
            <w:r>
              <w:rPr>
                <w:rFonts w:hint="eastAsia"/>
                <w:snapToGrid w:val="0"/>
                <w:sz w:val="24"/>
                <w:szCs w:val="24"/>
                <w:highlight w:val="none"/>
              </w:rPr>
              <w:t>不锈钢水冲洗式双层猴</w:t>
            </w:r>
            <w:r>
              <w:rPr>
                <w:rFonts w:hint="eastAsia"/>
                <w:snapToGrid w:val="0"/>
                <w:sz w:val="24"/>
                <w:szCs w:val="24"/>
                <w:highlight w:val="none"/>
                <w:lang w:eastAsia="zh-CN"/>
              </w:rPr>
              <w:t>、</w:t>
            </w:r>
            <w:r>
              <w:rPr>
                <w:rFonts w:hint="eastAsia"/>
                <w:snapToGrid w:val="0"/>
                <w:sz w:val="24"/>
                <w:szCs w:val="24"/>
                <w:highlight w:val="none"/>
                <w:lang w:val="en-US" w:eastAsia="zh-CN"/>
              </w:rPr>
              <w:t>犬</w:t>
            </w:r>
            <w:r>
              <w:rPr>
                <w:rFonts w:hint="eastAsia"/>
                <w:snapToGrid w:val="0"/>
                <w:sz w:val="24"/>
                <w:szCs w:val="24"/>
                <w:highlight w:val="none"/>
              </w:rPr>
              <w:t>笼</w:t>
            </w:r>
          </w:p>
          <w:p w14:paraId="4C88CCAF">
            <w:pPr>
              <w:pStyle w:val="4"/>
              <w:keepNext/>
              <w:keepLines/>
              <w:pageBreakBefore w:val="0"/>
              <w:widowControl w:val="0"/>
              <w:suppressLineNumbers w:val="0"/>
              <w:kinsoku/>
              <w:wordWrap/>
              <w:overflowPunct/>
              <w:topLinePunct w:val="0"/>
              <w:autoSpaceDE/>
              <w:autoSpaceDN/>
              <w:bidi w:val="0"/>
              <w:adjustRightInd w:val="0"/>
              <w:snapToGrid w:val="0"/>
              <w:spacing w:before="0" w:beforeAutospacing="0" w:after="0" w:afterAutospacing="0" w:line="360" w:lineRule="auto"/>
              <w:ind w:left="0" w:right="0"/>
              <w:jc w:val="center"/>
              <w:textAlignment w:val="auto"/>
              <w:rPr>
                <w:rFonts w:hint="default"/>
                <w:snapToGrid w:val="0"/>
                <w:sz w:val="24"/>
                <w:szCs w:val="24"/>
                <w:highlight w:val="none"/>
              </w:rPr>
            </w:pPr>
            <w:r>
              <w:rPr>
                <w:rFonts w:hint="default"/>
                <w:highlight w:val="none"/>
              </w:rPr>
              <w:drawing>
                <wp:inline distT="0" distB="0" distL="114300" distR="114300">
                  <wp:extent cx="2035175" cy="2320925"/>
                  <wp:effectExtent l="0" t="0" r="3175" b="3175"/>
                  <wp:docPr id="1406" name="图片 17" descr="171160409646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06" name="图片 17" descr="1711604096462"/>
                          <pic:cNvPicPr>
                            <a:picLocks noChangeAspect="1"/>
                          </pic:cNvPicPr>
                        </pic:nvPicPr>
                        <pic:blipFill>
                          <a:blip r:embed="rId14"/>
                          <a:stretch>
                            <a:fillRect/>
                          </a:stretch>
                        </pic:blipFill>
                        <pic:spPr>
                          <a:xfrm>
                            <a:off x="0" y="0"/>
                            <a:ext cx="2035175" cy="2320925"/>
                          </a:xfrm>
                          <a:prstGeom prst="rect">
                            <a:avLst/>
                          </a:prstGeom>
                          <a:noFill/>
                          <a:ln w="9525">
                            <a:noFill/>
                          </a:ln>
                        </pic:spPr>
                      </pic:pic>
                    </a:graphicData>
                  </a:graphic>
                </wp:inline>
              </w:drawing>
            </w:r>
            <w:r>
              <w:rPr>
                <w:rFonts w:hint="eastAsia"/>
                <w:highlight w:val="none"/>
                <w:lang w:val="en-US" w:eastAsia="zh-CN"/>
              </w:rPr>
              <w:t xml:space="preserve">    </w:t>
            </w:r>
            <w:r>
              <w:rPr>
                <w:rFonts w:hint="default"/>
                <w:highlight w:val="none"/>
              </w:rPr>
              <w:drawing>
                <wp:inline distT="0" distB="0" distL="114300" distR="114300">
                  <wp:extent cx="2393315" cy="2201545"/>
                  <wp:effectExtent l="0" t="0" r="6985" b="8255"/>
                  <wp:docPr id="1397"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97" name="Picture 2"/>
                          <pic:cNvPicPr>
                            <a:picLocks noChangeAspect="1"/>
                          </pic:cNvPicPr>
                        </pic:nvPicPr>
                        <pic:blipFill>
                          <a:blip r:embed="rId15"/>
                          <a:stretch>
                            <a:fillRect/>
                          </a:stretch>
                        </pic:blipFill>
                        <pic:spPr>
                          <a:xfrm>
                            <a:off x="0" y="0"/>
                            <a:ext cx="2393315" cy="2201545"/>
                          </a:xfrm>
                          <a:prstGeom prst="rect">
                            <a:avLst/>
                          </a:prstGeom>
                          <a:noFill/>
                          <a:ln w="1">
                            <a:noFill/>
                          </a:ln>
                        </pic:spPr>
                      </pic:pic>
                    </a:graphicData>
                  </a:graphic>
                </wp:inline>
              </w:drawing>
            </w:r>
          </w:p>
          <w:p w14:paraId="677FA354">
            <w:pPr>
              <w:pStyle w:val="4"/>
              <w:keepNext/>
              <w:keepLines/>
              <w:pageBreakBefore w:val="0"/>
              <w:widowControl w:val="0"/>
              <w:suppressLineNumbers w:val="0"/>
              <w:kinsoku/>
              <w:wordWrap/>
              <w:overflowPunct/>
              <w:topLinePunct w:val="0"/>
              <w:autoSpaceDE/>
              <w:autoSpaceDN/>
              <w:bidi w:val="0"/>
              <w:adjustRightInd w:val="0"/>
              <w:snapToGrid w:val="0"/>
              <w:spacing w:before="0" w:beforeAutospacing="0" w:after="0" w:afterAutospacing="0" w:line="360" w:lineRule="auto"/>
              <w:ind w:left="0" w:right="0" w:firstLine="723" w:firstLineChars="300"/>
              <w:textAlignment w:val="auto"/>
              <w:rPr>
                <w:rFonts w:hint="default"/>
                <w:snapToGrid w:val="0"/>
                <w:sz w:val="24"/>
                <w:szCs w:val="24"/>
                <w:highlight w:val="none"/>
              </w:rPr>
            </w:pPr>
            <w:r>
              <w:rPr>
                <w:rFonts w:hint="eastAsia"/>
                <w:snapToGrid w:val="0"/>
                <w:sz w:val="24"/>
                <w:szCs w:val="24"/>
                <w:highlight w:val="none"/>
              </w:rPr>
              <w:t>6位干式兔笼（新国标）</w:t>
            </w:r>
            <w:r>
              <w:rPr>
                <w:rFonts w:hint="eastAsia"/>
                <w:snapToGrid w:val="0"/>
                <w:sz w:val="24"/>
                <w:szCs w:val="24"/>
                <w:highlight w:val="none"/>
                <w:lang w:val="en-US" w:eastAsia="zh-CN"/>
              </w:rPr>
              <w:t xml:space="preserve">              </w:t>
            </w:r>
            <w:r>
              <w:rPr>
                <w:rFonts w:hint="eastAsia"/>
                <w:snapToGrid w:val="0"/>
                <w:sz w:val="24"/>
                <w:szCs w:val="24"/>
                <w:highlight w:val="none"/>
              </w:rPr>
              <w:t>大鼠独立通风笼具</w:t>
            </w:r>
          </w:p>
          <w:p w14:paraId="6D423B08">
            <w:pPr>
              <w:pStyle w:val="4"/>
              <w:keepNext/>
              <w:keepLines/>
              <w:pageBreakBefore w:val="0"/>
              <w:widowControl w:val="0"/>
              <w:suppressLineNumbers w:val="0"/>
              <w:kinsoku/>
              <w:wordWrap/>
              <w:overflowPunct/>
              <w:topLinePunct w:val="0"/>
              <w:autoSpaceDE/>
              <w:autoSpaceDN/>
              <w:bidi w:val="0"/>
              <w:adjustRightInd w:val="0"/>
              <w:snapToGrid w:val="0"/>
              <w:spacing w:before="0" w:beforeAutospacing="0" w:after="0" w:afterAutospacing="0" w:line="360" w:lineRule="auto"/>
              <w:ind w:left="0" w:right="0"/>
              <w:textAlignment w:val="auto"/>
              <w:rPr>
                <w:rFonts w:hint="default"/>
                <w:snapToGrid w:val="0"/>
                <w:sz w:val="24"/>
                <w:szCs w:val="24"/>
                <w:highlight w:val="none"/>
              </w:rPr>
            </w:pPr>
            <w:r>
              <w:rPr>
                <w:rFonts w:hint="default"/>
                <w:snapToGrid w:val="0"/>
                <w:sz w:val="24"/>
                <w:szCs w:val="24"/>
                <w:highlight w:val="none"/>
              </w:rPr>
              <w:t>7</w:t>
            </w:r>
            <w:r>
              <w:rPr>
                <w:rFonts w:hint="eastAsia"/>
                <w:snapToGrid w:val="0"/>
                <w:sz w:val="24"/>
                <w:szCs w:val="24"/>
                <w:highlight w:val="none"/>
              </w:rPr>
              <w:t>、主要原辅材料</w:t>
            </w:r>
          </w:p>
          <w:p w14:paraId="07E97087">
            <w:pPr>
              <w:keepNext w:val="0"/>
              <w:keepLines w:val="0"/>
              <w:suppressLineNumbers w:val="0"/>
              <w:adjustRightInd w:val="0"/>
              <w:snapToGrid w:val="0"/>
              <w:spacing w:before="0" w:beforeAutospacing="0" w:after="0" w:afterAutospacing="0" w:line="360" w:lineRule="auto"/>
              <w:ind w:left="0" w:right="0" w:firstLine="480" w:firstLineChars="200"/>
              <w:rPr>
                <w:rFonts w:hint="default"/>
                <w:highlight w:val="none"/>
              </w:rPr>
            </w:pPr>
            <w:r>
              <w:rPr>
                <w:rFonts w:hint="eastAsia"/>
                <w:highlight w:val="none"/>
              </w:rPr>
              <w:t>企业主要原辅材料消耗情况见表</w:t>
            </w:r>
            <w:r>
              <w:rPr>
                <w:rFonts w:hint="default"/>
                <w:highlight w:val="none"/>
              </w:rPr>
              <w:t>2-</w:t>
            </w:r>
            <w:r>
              <w:rPr>
                <w:rFonts w:hint="eastAsia"/>
                <w:highlight w:val="none"/>
                <w:lang w:val="en-US" w:eastAsia="zh-CN"/>
              </w:rPr>
              <w:t>5</w:t>
            </w:r>
            <w:r>
              <w:rPr>
                <w:rFonts w:hint="eastAsia"/>
                <w:highlight w:val="none"/>
              </w:rPr>
              <w:t>。</w:t>
            </w:r>
          </w:p>
          <w:p w14:paraId="76F1E2EC">
            <w:pPr>
              <w:keepNext w:val="0"/>
              <w:keepLines w:val="0"/>
              <w:suppressLineNumbers w:val="0"/>
              <w:adjustRightInd w:val="0"/>
              <w:snapToGrid w:val="0"/>
              <w:spacing w:before="0" w:beforeAutospacing="0" w:after="0" w:afterAutospacing="0" w:line="360" w:lineRule="auto"/>
              <w:ind w:left="0" w:right="0" w:firstLine="480"/>
              <w:jc w:val="center"/>
              <w:rPr>
                <w:rFonts w:hint="default"/>
                <w:b/>
                <w:highlight w:val="none"/>
              </w:rPr>
            </w:pPr>
            <w:r>
              <w:rPr>
                <w:rFonts w:hint="eastAsia"/>
                <w:b/>
                <w:highlight w:val="none"/>
              </w:rPr>
              <w:t>表</w:t>
            </w:r>
            <w:r>
              <w:rPr>
                <w:rFonts w:hint="default"/>
                <w:b/>
                <w:highlight w:val="none"/>
              </w:rPr>
              <w:t>2-</w:t>
            </w:r>
            <w:r>
              <w:rPr>
                <w:rFonts w:hint="eastAsia"/>
                <w:b/>
                <w:highlight w:val="none"/>
                <w:lang w:val="en-US" w:eastAsia="zh-CN"/>
              </w:rPr>
              <w:t>5</w:t>
            </w:r>
            <w:r>
              <w:rPr>
                <w:rFonts w:hint="default"/>
                <w:b/>
                <w:highlight w:val="none"/>
              </w:rPr>
              <w:t xml:space="preserve">  </w:t>
            </w:r>
            <w:r>
              <w:rPr>
                <w:rFonts w:hint="eastAsia"/>
                <w:b/>
                <w:highlight w:val="none"/>
              </w:rPr>
              <w:t>企业主要原辅材料消耗情况</w:t>
            </w:r>
          </w:p>
          <w:tbl>
            <w:tblPr>
              <w:tblStyle w:val="32"/>
              <w:tblW w:w="4997"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7" w:type="dxa"/>
                <w:bottom w:w="0" w:type="dxa"/>
                <w:right w:w="17" w:type="dxa"/>
              </w:tblCellMar>
            </w:tblPr>
            <w:tblGrid>
              <w:gridCol w:w="479"/>
              <w:gridCol w:w="1511"/>
              <w:gridCol w:w="885"/>
              <w:gridCol w:w="2452"/>
              <w:gridCol w:w="990"/>
              <w:gridCol w:w="623"/>
              <w:gridCol w:w="1507"/>
            </w:tblGrid>
            <w:tr w14:paraId="5E8BA6C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7" w:type="dxa"/>
                  <w:bottom w:w="0" w:type="dxa"/>
                  <w:right w:w="17" w:type="dxa"/>
                </w:tblCellMar>
              </w:tblPrEx>
              <w:trPr>
                <w:trHeight w:val="0" w:hRule="atLeast"/>
                <w:jc w:val="center"/>
              </w:trPr>
              <w:tc>
                <w:tcPr>
                  <w:tcW w:w="283" w:type="pct"/>
                  <w:tcBorders>
                    <w:top w:val="single" w:color="auto" w:sz="4" w:space="0"/>
                    <w:left w:val="single" w:color="auto" w:sz="4" w:space="0"/>
                    <w:bottom w:val="single" w:color="auto" w:sz="4" w:space="0"/>
                    <w:right w:val="single" w:color="auto" w:sz="4" w:space="0"/>
                  </w:tcBorders>
                  <w:vAlign w:val="center"/>
                </w:tcPr>
                <w:p w14:paraId="0DB8D31E">
                  <w:pPr>
                    <w:keepNext w:val="0"/>
                    <w:keepLines w:val="0"/>
                    <w:pageBreakBefore w:val="0"/>
                    <w:suppressLineNumbers w:val="0"/>
                    <w:kinsoku/>
                    <w:wordWrap/>
                    <w:overflowPunct/>
                    <w:topLinePunct w:val="0"/>
                    <w:bidi w:val="0"/>
                    <w:adjustRightInd w:val="0"/>
                    <w:snapToGrid w:val="0"/>
                    <w:spacing w:before="0" w:beforeAutospacing="0" w:after="0" w:afterAutospacing="0" w:line="276" w:lineRule="auto"/>
                    <w:ind w:left="0" w:right="0"/>
                    <w:jc w:val="center"/>
                    <w:rPr>
                      <w:rFonts w:hint="default" w:ascii="Times New Roman" w:hAnsi="Times New Roman" w:eastAsia="宋体" w:cs="Times New Roman"/>
                      <w:sz w:val="18"/>
                      <w:szCs w:val="18"/>
                      <w:highlight w:val="none"/>
                    </w:rPr>
                  </w:pPr>
                  <w:r>
                    <w:rPr>
                      <w:rFonts w:hint="eastAsia" w:ascii="Times New Roman" w:hAnsi="Times New Roman" w:eastAsia="宋体" w:cs="Times New Roman"/>
                      <w:sz w:val="18"/>
                      <w:szCs w:val="18"/>
                      <w:highlight w:val="none"/>
                    </w:rPr>
                    <w:t>序号</w:t>
                  </w:r>
                </w:p>
              </w:tc>
              <w:tc>
                <w:tcPr>
                  <w:tcW w:w="894" w:type="pct"/>
                  <w:tcBorders>
                    <w:top w:val="single" w:color="auto" w:sz="4" w:space="0"/>
                    <w:left w:val="single" w:color="auto" w:sz="4" w:space="0"/>
                    <w:bottom w:val="single" w:color="auto" w:sz="4" w:space="0"/>
                    <w:right w:val="single" w:color="auto" w:sz="4" w:space="0"/>
                  </w:tcBorders>
                  <w:vAlign w:val="center"/>
                </w:tcPr>
                <w:p w14:paraId="3A2B8AEE">
                  <w:pPr>
                    <w:keepNext w:val="0"/>
                    <w:keepLines w:val="0"/>
                    <w:pageBreakBefore w:val="0"/>
                    <w:suppressLineNumbers w:val="0"/>
                    <w:kinsoku/>
                    <w:wordWrap/>
                    <w:overflowPunct/>
                    <w:topLinePunct w:val="0"/>
                    <w:bidi w:val="0"/>
                    <w:adjustRightInd w:val="0"/>
                    <w:snapToGrid w:val="0"/>
                    <w:spacing w:before="0" w:beforeAutospacing="0" w:after="0" w:afterAutospacing="0" w:line="276" w:lineRule="auto"/>
                    <w:ind w:left="0" w:right="0"/>
                    <w:jc w:val="center"/>
                    <w:rPr>
                      <w:rFonts w:hint="default" w:ascii="Times New Roman" w:hAnsi="Times New Roman" w:eastAsia="宋体" w:cs="Times New Roman"/>
                      <w:sz w:val="18"/>
                      <w:szCs w:val="18"/>
                      <w:highlight w:val="none"/>
                    </w:rPr>
                  </w:pPr>
                  <w:r>
                    <w:rPr>
                      <w:rFonts w:hint="eastAsia" w:ascii="Times New Roman" w:hAnsi="Times New Roman" w:eastAsia="宋体" w:cs="Times New Roman"/>
                      <w:sz w:val="18"/>
                      <w:szCs w:val="18"/>
                      <w:highlight w:val="none"/>
                    </w:rPr>
                    <w:t>名称</w:t>
                  </w:r>
                </w:p>
              </w:tc>
              <w:tc>
                <w:tcPr>
                  <w:tcW w:w="523" w:type="pct"/>
                  <w:tcBorders>
                    <w:top w:val="single" w:color="auto" w:sz="4" w:space="0"/>
                    <w:left w:val="single" w:color="auto" w:sz="4" w:space="0"/>
                    <w:bottom w:val="single" w:color="auto" w:sz="4" w:space="0"/>
                    <w:right w:val="single" w:color="auto" w:sz="4" w:space="0"/>
                  </w:tcBorders>
                  <w:vAlign w:val="center"/>
                </w:tcPr>
                <w:p w14:paraId="177DC88F">
                  <w:pPr>
                    <w:keepNext w:val="0"/>
                    <w:keepLines w:val="0"/>
                    <w:pageBreakBefore w:val="0"/>
                    <w:suppressLineNumbers w:val="0"/>
                    <w:kinsoku/>
                    <w:wordWrap/>
                    <w:overflowPunct/>
                    <w:topLinePunct w:val="0"/>
                    <w:bidi w:val="0"/>
                    <w:adjustRightInd w:val="0"/>
                    <w:snapToGrid w:val="0"/>
                    <w:spacing w:before="0" w:beforeAutospacing="0" w:after="0" w:afterAutospacing="0" w:line="276" w:lineRule="auto"/>
                    <w:ind w:left="0" w:right="0"/>
                    <w:jc w:val="center"/>
                    <w:rPr>
                      <w:rFonts w:hint="default" w:ascii="Times New Roman" w:hAnsi="Times New Roman" w:eastAsia="宋体" w:cs="Times New Roman"/>
                      <w:sz w:val="18"/>
                      <w:szCs w:val="18"/>
                      <w:highlight w:val="none"/>
                    </w:rPr>
                  </w:pPr>
                  <w:r>
                    <w:rPr>
                      <w:rFonts w:hint="eastAsia" w:ascii="Times New Roman" w:hAnsi="Times New Roman" w:eastAsia="宋体" w:cs="Times New Roman"/>
                      <w:sz w:val="18"/>
                      <w:szCs w:val="18"/>
                      <w:highlight w:val="none"/>
                    </w:rPr>
                    <w:t>年消耗量</w:t>
                  </w:r>
                </w:p>
              </w:tc>
              <w:tc>
                <w:tcPr>
                  <w:tcW w:w="1451" w:type="pct"/>
                  <w:tcBorders>
                    <w:top w:val="single" w:color="auto" w:sz="4" w:space="0"/>
                    <w:left w:val="single" w:color="auto" w:sz="4" w:space="0"/>
                    <w:bottom w:val="single" w:color="auto" w:sz="4" w:space="0"/>
                    <w:right w:val="single" w:color="auto" w:sz="4" w:space="0"/>
                  </w:tcBorders>
                  <w:vAlign w:val="center"/>
                </w:tcPr>
                <w:p w14:paraId="3E6894EB">
                  <w:pPr>
                    <w:keepNext w:val="0"/>
                    <w:keepLines w:val="0"/>
                    <w:pageBreakBefore w:val="0"/>
                    <w:suppressLineNumbers w:val="0"/>
                    <w:kinsoku/>
                    <w:wordWrap/>
                    <w:overflowPunct/>
                    <w:topLinePunct w:val="0"/>
                    <w:bidi w:val="0"/>
                    <w:adjustRightInd w:val="0"/>
                    <w:snapToGrid w:val="0"/>
                    <w:spacing w:before="0" w:beforeAutospacing="0" w:after="0" w:afterAutospacing="0" w:line="276" w:lineRule="auto"/>
                    <w:ind w:left="0" w:right="0"/>
                    <w:jc w:val="center"/>
                    <w:rPr>
                      <w:rFonts w:hint="eastAsia" w:ascii="Times New Roman" w:hAnsi="Times New Roman" w:eastAsia="宋体" w:cs="Times New Roman"/>
                      <w:sz w:val="18"/>
                      <w:szCs w:val="18"/>
                      <w:highlight w:val="none"/>
                      <w:lang w:eastAsia="zh-CN"/>
                    </w:rPr>
                  </w:pPr>
                  <w:r>
                    <w:rPr>
                      <w:rFonts w:hint="eastAsia" w:ascii="Times New Roman" w:hAnsi="Times New Roman" w:eastAsia="宋体" w:cs="Times New Roman"/>
                      <w:sz w:val="18"/>
                      <w:szCs w:val="18"/>
                      <w:highlight w:val="none"/>
                    </w:rPr>
                    <w:t>包装形式</w:t>
                  </w:r>
                </w:p>
              </w:tc>
              <w:tc>
                <w:tcPr>
                  <w:tcW w:w="586" w:type="pct"/>
                  <w:tcBorders>
                    <w:top w:val="single" w:color="auto" w:sz="4" w:space="0"/>
                    <w:left w:val="single" w:color="auto" w:sz="4" w:space="0"/>
                    <w:bottom w:val="single" w:color="auto" w:sz="4" w:space="0"/>
                    <w:right w:val="single" w:color="auto" w:sz="4" w:space="0"/>
                  </w:tcBorders>
                  <w:vAlign w:val="center"/>
                </w:tcPr>
                <w:p w14:paraId="294D5E18">
                  <w:pPr>
                    <w:keepNext w:val="0"/>
                    <w:keepLines w:val="0"/>
                    <w:pageBreakBefore w:val="0"/>
                    <w:suppressLineNumbers w:val="0"/>
                    <w:kinsoku/>
                    <w:wordWrap/>
                    <w:overflowPunct/>
                    <w:topLinePunct w:val="0"/>
                    <w:bidi w:val="0"/>
                    <w:adjustRightInd w:val="0"/>
                    <w:snapToGrid w:val="0"/>
                    <w:spacing w:before="0" w:beforeAutospacing="0" w:after="0" w:afterAutospacing="0" w:line="276" w:lineRule="auto"/>
                    <w:ind w:left="0" w:right="0"/>
                    <w:jc w:val="center"/>
                    <w:rPr>
                      <w:rFonts w:hint="eastAsia" w:ascii="Times New Roman" w:hAnsi="Times New Roman" w:eastAsia="宋体" w:cs="Times New Roman"/>
                      <w:sz w:val="18"/>
                      <w:szCs w:val="18"/>
                      <w:highlight w:val="none"/>
                      <w:lang w:eastAsia="zh-CN"/>
                    </w:rPr>
                  </w:pPr>
                  <w:r>
                    <w:rPr>
                      <w:rFonts w:hint="eastAsia" w:cs="Times New Roman"/>
                      <w:sz w:val="18"/>
                      <w:szCs w:val="18"/>
                      <w:highlight w:val="none"/>
                      <w:lang w:val="en-US" w:eastAsia="zh-CN"/>
                    </w:rPr>
                    <w:t>最大</w:t>
                  </w:r>
                  <w:r>
                    <w:rPr>
                      <w:rFonts w:hint="eastAsia" w:ascii="Times New Roman" w:hAnsi="Times New Roman" w:eastAsia="宋体" w:cs="Times New Roman"/>
                      <w:sz w:val="18"/>
                      <w:szCs w:val="18"/>
                      <w:highlight w:val="none"/>
                      <w:lang w:eastAsia="zh-CN"/>
                    </w:rPr>
                    <w:t>暂存量</w:t>
                  </w:r>
                </w:p>
              </w:tc>
              <w:tc>
                <w:tcPr>
                  <w:tcW w:w="368" w:type="pct"/>
                  <w:tcBorders>
                    <w:top w:val="single" w:color="auto" w:sz="4" w:space="0"/>
                    <w:left w:val="single" w:color="auto" w:sz="4" w:space="0"/>
                    <w:bottom w:val="single" w:color="auto" w:sz="4" w:space="0"/>
                    <w:right w:val="single" w:color="auto" w:sz="4" w:space="0"/>
                  </w:tcBorders>
                  <w:vAlign w:val="center"/>
                </w:tcPr>
                <w:p w14:paraId="3522829E">
                  <w:pPr>
                    <w:keepNext w:val="0"/>
                    <w:keepLines w:val="0"/>
                    <w:pageBreakBefore w:val="0"/>
                    <w:suppressLineNumbers w:val="0"/>
                    <w:kinsoku/>
                    <w:wordWrap/>
                    <w:overflowPunct/>
                    <w:topLinePunct w:val="0"/>
                    <w:bidi w:val="0"/>
                    <w:adjustRightInd w:val="0"/>
                    <w:snapToGrid w:val="0"/>
                    <w:spacing w:before="0" w:beforeAutospacing="0" w:after="0" w:afterAutospacing="0" w:line="276" w:lineRule="auto"/>
                    <w:ind w:left="0" w:right="0"/>
                    <w:jc w:val="center"/>
                    <w:rPr>
                      <w:rFonts w:hint="default" w:ascii="Times New Roman" w:hAnsi="Times New Roman" w:eastAsia="宋体" w:cs="Times New Roman"/>
                      <w:sz w:val="18"/>
                      <w:szCs w:val="18"/>
                      <w:highlight w:val="none"/>
                    </w:rPr>
                  </w:pPr>
                  <w:r>
                    <w:rPr>
                      <w:rFonts w:hint="eastAsia" w:ascii="Times New Roman" w:hAnsi="Times New Roman" w:eastAsia="宋体" w:cs="Times New Roman"/>
                      <w:sz w:val="18"/>
                      <w:szCs w:val="18"/>
                      <w:highlight w:val="none"/>
                    </w:rPr>
                    <w:t>形态</w:t>
                  </w:r>
                </w:p>
              </w:tc>
              <w:tc>
                <w:tcPr>
                  <w:tcW w:w="892" w:type="pct"/>
                  <w:tcBorders>
                    <w:top w:val="single" w:color="auto" w:sz="4" w:space="0"/>
                    <w:left w:val="single" w:color="auto" w:sz="4" w:space="0"/>
                    <w:bottom w:val="single" w:color="auto" w:sz="4" w:space="0"/>
                    <w:right w:val="single" w:color="auto" w:sz="4" w:space="0"/>
                  </w:tcBorders>
                  <w:vAlign w:val="center"/>
                </w:tcPr>
                <w:p w14:paraId="0865825B">
                  <w:pPr>
                    <w:keepNext w:val="0"/>
                    <w:keepLines w:val="0"/>
                    <w:pageBreakBefore w:val="0"/>
                    <w:suppressLineNumbers w:val="0"/>
                    <w:kinsoku/>
                    <w:wordWrap/>
                    <w:overflowPunct/>
                    <w:topLinePunct w:val="0"/>
                    <w:bidi w:val="0"/>
                    <w:adjustRightInd w:val="0"/>
                    <w:snapToGrid w:val="0"/>
                    <w:spacing w:before="0" w:beforeAutospacing="0" w:after="0" w:afterAutospacing="0" w:line="276" w:lineRule="auto"/>
                    <w:ind w:left="0" w:right="0"/>
                    <w:jc w:val="center"/>
                    <w:rPr>
                      <w:rFonts w:hint="default" w:ascii="Times New Roman" w:hAnsi="Times New Roman" w:eastAsia="宋体" w:cs="Times New Roman"/>
                      <w:sz w:val="18"/>
                      <w:szCs w:val="18"/>
                      <w:highlight w:val="none"/>
                    </w:rPr>
                  </w:pPr>
                  <w:r>
                    <w:rPr>
                      <w:rFonts w:hint="eastAsia" w:ascii="Times New Roman" w:hAnsi="Times New Roman" w:eastAsia="宋体" w:cs="Times New Roman"/>
                      <w:sz w:val="18"/>
                      <w:szCs w:val="18"/>
                      <w:highlight w:val="none"/>
                    </w:rPr>
                    <w:t>备注</w:t>
                  </w:r>
                </w:p>
              </w:tc>
            </w:tr>
            <w:tr w14:paraId="0E6A131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7" w:type="dxa"/>
                  <w:bottom w:w="0" w:type="dxa"/>
                  <w:right w:w="17" w:type="dxa"/>
                </w:tblCellMar>
              </w:tblPrEx>
              <w:trPr>
                <w:trHeight w:val="0" w:hRule="atLeast"/>
                <w:jc w:val="center"/>
              </w:trPr>
              <w:tc>
                <w:tcPr>
                  <w:tcW w:w="5000" w:type="pct"/>
                  <w:gridSpan w:val="7"/>
                  <w:tcBorders>
                    <w:top w:val="single" w:color="auto" w:sz="4" w:space="0"/>
                    <w:left w:val="single" w:color="auto" w:sz="4" w:space="0"/>
                    <w:bottom w:val="single" w:color="auto" w:sz="4" w:space="0"/>
                    <w:right w:val="single" w:color="auto" w:sz="4" w:space="0"/>
                  </w:tcBorders>
                  <w:vAlign w:val="center"/>
                </w:tcPr>
                <w:p w14:paraId="22526026">
                  <w:pPr>
                    <w:keepNext w:val="0"/>
                    <w:keepLines w:val="0"/>
                    <w:pageBreakBefore w:val="0"/>
                    <w:suppressLineNumbers w:val="0"/>
                    <w:kinsoku/>
                    <w:wordWrap/>
                    <w:overflowPunct/>
                    <w:topLinePunct w:val="0"/>
                    <w:bidi w:val="0"/>
                    <w:adjustRightInd w:val="0"/>
                    <w:snapToGrid w:val="0"/>
                    <w:spacing w:before="0" w:beforeAutospacing="0" w:after="0" w:afterAutospacing="0" w:line="276" w:lineRule="auto"/>
                    <w:ind w:left="0" w:right="0"/>
                    <w:jc w:val="center"/>
                    <w:rPr>
                      <w:rFonts w:hint="default" w:ascii="Times New Roman" w:hAnsi="Times New Roman" w:eastAsia="宋体" w:cs="Times New Roman"/>
                      <w:sz w:val="18"/>
                      <w:szCs w:val="18"/>
                      <w:highlight w:val="none"/>
                      <w:lang w:val="en-US" w:eastAsia="zh-CN"/>
                    </w:rPr>
                  </w:pPr>
                  <w:r>
                    <w:rPr>
                      <w:rFonts w:hint="eastAsia" w:ascii="Times New Roman" w:hAnsi="Times New Roman" w:eastAsia="宋体" w:cs="Times New Roman"/>
                      <w:b/>
                      <w:bCs/>
                      <w:sz w:val="18"/>
                      <w:szCs w:val="18"/>
                      <w:highlight w:val="none"/>
                      <w:lang w:val="en-US" w:eastAsia="zh-CN"/>
                    </w:rPr>
                    <w:t>实验动物中心</w:t>
                  </w:r>
                </w:p>
              </w:tc>
            </w:tr>
            <w:tr w14:paraId="29D2C81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7" w:type="dxa"/>
                  <w:bottom w:w="0" w:type="dxa"/>
                  <w:right w:w="17" w:type="dxa"/>
                </w:tblCellMar>
              </w:tblPrEx>
              <w:trPr>
                <w:trHeight w:val="0" w:hRule="atLeast"/>
                <w:jc w:val="center"/>
              </w:trPr>
              <w:tc>
                <w:tcPr>
                  <w:tcW w:w="283" w:type="pct"/>
                  <w:tcBorders>
                    <w:top w:val="single" w:color="auto" w:sz="4" w:space="0"/>
                    <w:left w:val="single" w:color="auto" w:sz="4" w:space="0"/>
                    <w:bottom w:val="single" w:color="auto" w:sz="4" w:space="0"/>
                    <w:right w:val="single" w:color="auto" w:sz="4" w:space="0"/>
                  </w:tcBorders>
                  <w:vAlign w:val="center"/>
                </w:tcPr>
                <w:p w14:paraId="0B46008A">
                  <w:pPr>
                    <w:keepNext w:val="0"/>
                    <w:keepLines w:val="0"/>
                    <w:pageBreakBefore w:val="0"/>
                    <w:suppressLineNumbers w:val="0"/>
                    <w:kinsoku/>
                    <w:wordWrap/>
                    <w:overflowPunct/>
                    <w:topLinePunct w:val="0"/>
                    <w:bidi w:val="0"/>
                    <w:adjustRightInd w:val="0"/>
                    <w:snapToGrid w:val="0"/>
                    <w:spacing w:before="0" w:beforeAutospacing="0" w:after="0" w:afterAutospacing="0" w:line="276" w:lineRule="auto"/>
                    <w:ind w:left="0" w:right="0"/>
                    <w:jc w:val="center"/>
                    <w:rPr>
                      <w:rFonts w:hint="default" w:ascii="Times New Roman" w:hAnsi="Times New Roman" w:eastAsia="宋体" w:cs="Times New Roman"/>
                      <w:sz w:val="18"/>
                      <w:szCs w:val="18"/>
                      <w:highlight w:val="none"/>
                    </w:rPr>
                  </w:pPr>
                  <w:r>
                    <w:rPr>
                      <w:rFonts w:hint="eastAsia" w:ascii="Times New Roman" w:hAnsi="Times New Roman" w:eastAsia="宋体" w:cs="Times New Roman"/>
                      <w:sz w:val="18"/>
                      <w:szCs w:val="18"/>
                      <w:highlight w:val="none"/>
                    </w:rPr>
                    <w:t>1</w:t>
                  </w:r>
                </w:p>
              </w:tc>
              <w:tc>
                <w:tcPr>
                  <w:tcW w:w="894" w:type="pct"/>
                  <w:tcBorders>
                    <w:top w:val="single" w:color="auto" w:sz="4" w:space="0"/>
                    <w:left w:val="single" w:color="auto" w:sz="4" w:space="0"/>
                    <w:bottom w:val="single" w:color="auto" w:sz="4" w:space="0"/>
                    <w:right w:val="single" w:color="auto" w:sz="4" w:space="0"/>
                  </w:tcBorders>
                  <w:vAlign w:val="center"/>
                </w:tcPr>
                <w:p w14:paraId="76A71E8B">
                  <w:pPr>
                    <w:pStyle w:val="120"/>
                    <w:keepNext w:val="0"/>
                    <w:keepLines w:val="0"/>
                    <w:pageBreakBefore w:val="0"/>
                    <w:framePr w:hSpace="0" w:wrap="auto" w:vAnchor="margin" w:hAnchor="text" w:xAlign="left" w:yAlign="inline"/>
                    <w:suppressLineNumbers w:val="0"/>
                    <w:kinsoku/>
                    <w:wordWrap/>
                    <w:overflowPunct/>
                    <w:topLinePunct w:val="0"/>
                    <w:bidi w:val="0"/>
                    <w:adjustRightInd w:val="0"/>
                    <w:snapToGrid w:val="0"/>
                    <w:spacing w:before="0" w:beforeAutospacing="0" w:after="0" w:afterAutospacing="0" w:line="276" w:lineRule="auto"/>
                    <w:ind w:left="0" w:right="0"/>
                    <w:jc w:val="center"/>
                    <w:rPr>
                      <w:rFonts w:hint="default" w:ascii="Times New Roman" w:hAnsi="Times New Roman" w:eastAsia="宋体" w:cs="Times New Roman"/>
                      <w:bCs/>
                      <w:color w:val="auto"/>
                      <w:kern w:val="2"/>
                      <w:sz w:val="18"/>
                      <w:szCs w:val="18"/>
                      <w:highlight w:val="none"/>
                      <w:lang w:val="en-US" w:eastAsia="zh-CN" w:bidi="ar-SA"/>
                    </w:rPr>
                  </w:pPr>
                  <w:r>
                    <w:rPr>
                      <w:rFonts w:hint="default" w:ascii="Times New Roman" w:hAnsi="Times New Roman" w:eastAsia="宋体" w:cs="Times New Roman"/>
                      <w:color w:val="auto"/>
                      <w:sz w:val="18"/>
                      <w:szCs w:val="18"/>
                      <w:highlight w:val="none"/>
                    </w:rPr>
                    <w:t>大鼠</w:t>
                  </w:r>
                </w:p>
              </w:tc>
              <w:tc>
                <w:tcPr>
                  <w:tcW w:w="523" w:type="pct"/>
                  <w:tcBorders>
                    <w:top w:val="single" w:color="auto" w:sz="4" w:space="0"/>
                    <w:left w:val="single" w:color="auto" w:sz="4" w:space="0"/>
                    <w:bottom w:val="single" w:color="auto" w:sz="4" w:space="0"/>
                    <w:right w:val="single" w:color="auto" w:sz="4" w:space="0"/>
                  </w:tcBorders>
                  <w:vAlign w:val="center"/>
                </w:tcPr>
                <w:p w14:paraId="3E7AC751">
                  <w:pPr>
                    <w:keepNext w:val="0"/>
                    <w:keepLines w:val="0"/>
                    <w:pageBreakBefore w:val="0"/>
                    <w:suppressLineNumbers w:val="0"/>
                    <w:kinsoku/>
                    <w:wordWrap/>
                    <w:overflowPunct/>
                    <w:topLinePunct w:val="0"/>
                    <w:bidi w:val="0"/>
                    <w:adjustRightInd w:val="0"/>
                    <w:snapToGrid w:val="0"/>
                    <w:spacing w:before="0" w:beforeAutospacing="0" w:after="0" w:afterAutospacing="0" w:line="276" w:lineRule="auto"/>
                    <w:ind w:left="0" w:right="0"/>
                    <w:jc w:val="center"/>
                    <w:rPr>
                      <w:rFonts w:hint="eastAsia" w:ascii="Times New Roman" w:hAnsi="Times New Roman" w:eastAsia="宋体" w:cs="Times New Roman"/>
                      <w:color w:val="auto"/>
                      <w:sz w:val="18"/>
                      <w:szCs w:val="18"/>
                      <w:highlight w:val="none"/>
                      <w:lang w:val="en-US" w:eastAsia="zh-CN"/>
                    </w:rPr>
                  </w:pPr>
                  <w:r>
                    <w:rPr>
                      <w:rFonts w:hint="eastAsia" w:ascii="Times New Roman" w:hAnsi="Times New Roman" w:eastAsia="宋体" w:cs="Times New Roman"/>
                      <w:color w:val="auto"/>
                      <w:sz w:val="18"/>
                      <w:szCs w:val="18"/>
                      <w:highlight w:val="none"/>
                      <w:lang w:val="en-US" w:eastAsia="zh-CN"/>
                    </w:rPr>
                    <w:t>15</w:t>
                  </w:r>
                  <w:r>
                    <w:rPr>
                      <w:rFonts w:hint="eastAsia" w:cs="Times New Roman"/>
                      <w:color w:val="auto"/>
                      <w:sz w:val="18"/>
                      <w:szCs w:val="18"/>
                      <w:highlight w:val="none"/>
                      <w:lang w:val="en-US" w:eastAsia="zh-CN"/>
                    </w:rPr>
                    <w:t>1</w:t>
                  </w:r>
                  <w:r>
                    <w:rPr>
                      <w:rFonts w:hint="eastAsia" w:ascii="Times New Roman" w:hAnsi="Times New Roman" w:eastAsia="宋体" w:cs="Times New Roman"/>
                      <w:color w:val="auto"/>
                      <w:sz w:val="18"/>
                      <w:szCs w:val="18"/>
                      <w:highlight w:val="none"/>
                      <w:lang w:val="en-US" w:eastAsia="zh-CN"/>
                    </w:rPr>
                    <w:t>00只</w:t>
                  </w:r>
                </w:p>
              </w:tc>
              <w:tc>
                <w:tcPr>
                  <w:tcW w:w="1451" w:type="pct"/>
                  <w:tcBorders>
                    <w:top w:val="single" w:color="auto" w:sz="4" w:space="0"/>
                    <w:left w:val="single" w:color="auto" w:sz="4" w:space="0"/>
                    <w:bottom w:val="single" w:color="auto" w:sz="4" w:space="0"/>
                    <w:right w:val="single" w:color="auto" w:sz="4" w:space="0"/>
                  </w:tcBorders>
                  <w:vAlign w:val="center"/>
                </w:tcPr>
                <w:p w14:paraId="79B55F04">
                  <w:pPr>
                    <w:keepNext w:val="0"/>
                    <w:keepLines w:val="0"/>
                    <w:pageBreakBefore w:val="0"/>
                    <w:suppressLineNumbers w:val="0"/>
                    <w:kinsoku/>
                    <w:wordWrap/>
                    <w:overflowPunct/>
                    <w:topLinePunct w:val="0"/>
                    <w:bidi w:val="0"/>
                    <w:adjustRightInd w:val="0"/>
                    <w:snapToGrid w:val="0"/>
                    <w:spacing w:before="0" w:beforeAutospacing="0" w:after="0" w:afterAutospacing="0" w:line="276" w:lineRule="auto"/>
                    <w:ind w:left="0" w:right="0"/>
                    <w:jc w:val="center"/>
                    <w:rPr>
                      <w:rFonts w:hint="default" w:ascii="Times New Roman" w:hAnsi="Times New Roman" w:eastAsia="宋体" w:cs="Times New Roman"/>
                      <w:color w:val="auto"/>
                      <w:sz w:val="18"/>
                      <w:szCs w:val="18"/>
                      <w:highlight w:val="none"/>
                      <w:lang w:val="en-US" w:eastAsia="zh-CN"/>
                    </w:rPr>
                  </w:pPr>
                  <w:r>
                    <w:rPr>
                      <w:rFonts w:hint="eastAsia" w:ascii="Times New Roman" w:hAnsi="Times New Roman" w:eastAsia="宋体" w:cs="Times New Roman"/>
                      <w:color w:val="auto"/>
                      <w:sz w:val="18"/>
                      <w:szCs w:val="18"/>
                      <w:highlight w:val="none"/>
                      <w:lang w:val="en-US" w:eastAsia="zh-CN"/>
                    </w:rPr>
                    <w:t>SPF级/无菌级/ABSL-2，笼位约50</w:t>
                  </w:r>
                  <w:r>
                    <w:rPr>
                      <w:rFonts w:hint="eastAsia" w:cs="Times New Roman"/>
                      <w:color w:val="auto"/>
                      <w:sz w:val="18"/>
                      <w:szCs w:val="18"/>
                      <w:highlight w:val="none"/>
                      <w:lang w:val="en-US" w:eastAsia="zh-CN"/>
                    </w:rPr>
                    <w:t>33</w:t>
                  </w:r>
                  <w:r>
                    <w:rPr>
                      <w:rFonts w:hint="eastAsia" w:ascii="Times New Roman" w:hAnsi="Times New Roman" w:eastAsia="宋体" w:cs="Times New Roman"/>
                      <w:color w:val="auto"/>
                      <w:sz w:val="18"/>
                      <w:szCs w:val="18"/>
                      <w:highlight w:val="none"/>
                      <w:lang w:val="en-US" w:eastAsia="zh-CN"/>
                    </w:rPr>
                    <w:t>个，饲养量约15</w:t>
                  </w:r>
                  <w:r>
                    <w:rPr>
                      <w:rFonts w:hint="eastAsia" w:cs="Times New Roman"/>
                      <w:color w:val="auto"/>
                      <w:sz w:val="18"/>
                      <w:szCs w:val="18"/>
                      <w:highlight w:val="none"/>
                      <w:lang w:val="en-US" w:eastAsia="zh-CN"/>
                    </w:rPr>
                    <w:t>1</w:t>
                  </w:r>
                  <w:r>
                    <w:rPr>
                      <w:rFonts w:hint="eastAsia" w:ascii="Times New Roman" w:hAnsi="Times New Roman" w:eastAsia="宋体" w:cs="Times New Roman"/>
                      <w:color w:val="auto"/>
                      <w:sz w:val="18"/>
                      <w:szCs w:val="18"/>
                      <w:highlight w:val="none"/>
                      <w:lang w:val="en-US" w:eastAsia="zh-CN"/>
                    </w:rPr>
                    <w:t>00只</w:t>
                  </w:r>
                </w:p>
              </w:tc>
              <w:tc>
                <w:tcPr>
                  <w:tcW w:w="586" w:type="pct"/>
                  <w:tcBorders>
                    <w:top w:val="single" w:color="auto" w:sz="4" w:space="0"/>
                    <w:left w:val="single" w:color="auto" w:sz="4" w:space="0"/>
                    <w:bottom w:val="single" w:color="auto" w:sz="4" w:space="0"/>
                    <w:right w:val="single" w:color="auto" w:sz="4" w:space="0"/>
                  </w:tcBorders>
                  <w:vAlign w:val="center"/>
                </w:tcPr>
                <w:p w14:paraId="77EBC502">
                  <w:pPr>
                    <w:keepNext w:val="0"/>
                    <w:keepLines w:val="0"/>
                    <w:pageBreakBefore w:val="0"/>
                    <w:suppressLineNumbers w:val="0"/>
                    <w:kinsoku/>
                    <w:wordWrap/>
                    <w:overflowPunct/>
                    <w:topLinePunct w:val="0"/>
                    <w:bidi w:val="0"/>
                    <w:adjustRightInd w:val="0"/>
                    <w:snapToGrid w:val="0"/>
                    <w:spacing w:before="0" w:beforeAutospacing="0" w:after="0" w:afterAutospacing="0" w:line="276" w:lineRule="auto"/>
                    <w:ind w:left="0" w:right="0"/>
                    <w:jc w:val="center"/>
                    <w:rPr>
                      <w:rFonts w:hint="eastAsia" w:ascii="Times New Roman" w:hAnsi="Times New Roman" w:eastAsia="宋体" w:cs="Times New Roman"/>
                      <w:sz w:val="18"/>
                      <w:szCs w:val="18"/>
                      <w:highlight w:val="none"/>
                      <w:lang w:val="en-US" w:eastAsia="zh-CN"/>
                    </w:rPr>
                  </w:pPr>
                  <w:r>
                    <w:rPr>
                      <w:rFonts w:hint="eastAsia" w:ascii="Times New Roman" w:hAnsi="Times New Roman" w:eastAsia="宋体" w:cs="Times New Roman"/>
                      <w:color w:val="auto"/>
                      <w:sz w:val="18"/>
                      <w:szCs w:val="18"/>
                      <w:highlight w:val="none"/>
                      <w:lang w:val="en-US" w:eastAsia="zh-CN"/>
                    </w:rPr>
                    <w:t>15</w:t>
                  </w:r>
                  <w:r>
                    <w:rPr>
                      <w:rFonts w:hint="eastAsia" w:cs="Times New Roman"/>
                      <w:color w:val="auto"/>
                      <w:sz w:val="18"/>
                      <w:szCs w:val="18"/>
                      <w:highlight w:val="none"/>
                      <w:lang w:val="en-US" w:eastAsia="zh-CN"/>
                    </w:rPr>
                    <w:t>10</w:t>
                  </w:r>
                  <w:r>
                    <w:rPr>
                      <w:rFonts w:hint="eastAsia" w:ascii="Times New Roman" w:hAnsi="Times New Roman" w:eastAsia="宋体" w:cs="Times New Roman"/>
                      <w:color w:val="auto"/>
                      <w:sz w:val="18"/>
                      <w:szCs w:val="18"/>
                      <w:highlight w:val="none"/>
                      <w:lang w:val="en-US" w:eastAsia="zh-CN"/>
                    </w:rPr>
                    <w:t>只</w:t>
                  </w:r>
                </w:p>
              </w:tc>
              <w:tc>
                <w:tcPr>
                  <w:tcW w:w="368" w:type="pct"/>
                  <w:tcBorders>
                    <w:top w:val="single" w:color="auto" w:sz="4" w:space="0"/>
                    <w:left w:val="single" w:color="auto" w:sz="4" w:space="0"/>
                    <w:bottom w:val="single" w:color="auto" w:sz="4" w:space="0"/>
                    <w:right w:val="single" w:color="auto" w:sz="4" w:space="0"/>
                  </w:tcBorders>
                  <w:vAlign w:val="center"/>
                </w:tcPr>
                <w:p w14:paraId="3179AC02">
                  <w:pPr>
                    <w:keepNext w:val="0"/>
                    <w:keepLines w:val="0"/>
                    <w:pageBreakBefore w:val="0"/>
                    <w:suppressLineNumbers w:val="0"/>
                    <w:kinsoku/>
                    <w:wordWrap/>
                    <w:overflowPunct/>
                    <w:topLinePunct w:val="0"/>
                    <w:bidi w:val="0"/>
                    <w:adjustRightInd w:val="0"/>
                    <w:snapToGrid w:val="0"/>
                    <w:spacing w:before="0" w:beforeAutospacing="0" w:after="0" w:afterAutospacing="0" w:line="276" w:lineRule="auto"/>
                    <w:ind w:left="0" w:right="0"/>
                    <w:jc w:val="center"/>
                    <w:rPr>
                      <w:rFonts w:hint="default" w:ascii="Times New Roman" w:hAnsi="Times New Roman" w:eastAsia="宋体" w:cs="Times New Roman"/>
                      <w:sz w:val="18"/>
                      <w:szCs w:val="18"/>
                      <w:highlight w:val="none"/>
                    </w:rPr>
                  </w:pPr>
                  <w:r>
                    <w:rPr>
                      <w:rFonts w:hint="eastAsia" w:ascii="Times New Roman" w:hAnsi="Times New Roman" w:eastAsia="宋体" w:cs="Times New Roman"/>
                      <w:sz w:val="18"/>
                      <w:szCs w:val="18"/>
                      <w:highlight w:val="none"/>
                    </w:rPr>
                    <w:t>/</w:t>
                  </w:r>
                </w:p>
              </w:tc>
              <w:tc>
                <w:tcPr>
                  <w:tcW w:w="892" w:type="pct"/>
                  <w:vMerge w:val="restart"/>
                  <w:tcBorders>
                    <w:top w:val="single" w:color="auto" w:sz="4" w:space="0"/>
                    <w:left w:val="single" w:color="auto" w:sz="4" w:space="0"/>
                    <w:right w:val="single" w:color="auto" w:sz="4" w:space="0"/>
                  </w:tcBorders>
                  <w:vAlign w:val="center"/>
                </w:tcPr>
                <w:p w14:paraId="757251EF">
                  <w:pPr>
                    <w:keepNext w:val="0"/>
                    <w:keepLines w:val="0"/>
                    <w:pageBreakBefore w:val="0"/>
                    <w:suppressLineNumbers w:val="0"/>
                    <w:kinsoku/>
                    <w:wordWrap/>
                    <w:overflowPunct/>
                    <w:topLinePunct w:val="0"/>
                    <w:bidi w:val="0"/>
                    <w:adjustRightInd w:val="0"/>
                    <w:snapToGrid w:val="0"/>
                    <w:spacing w:before="0" w:beforeAutospacing="0" w:after="0" w:afterAutospacing="0" w:line="276" w:lineRule="auto"/>
                    <w:ind w:left="0" w:right="0"/>
                    <w:jc w:val="center"/>
                    <w:rPr>
                      <w:rFonts w:hint="default" w:ascii="Times New Roman" w:hAnsi="Times New Roman" w:eastAsia="宋体" w:cs="Times New Roman"/>
                      <w:sz w:val="18"/>
                      <w:szCs w:val="18"/>
                      <w:highlight w:val="none"/>
                      <w:lang w:val="en-US" w:eastAsia="zh-CN"/>
                    </w:rPr>
                  </w:pPr>
                  <w:r>
                    <w:rPr>
                      <w:rFonts w:hint="eastAsia" w:cs="Times New Roman"/>
                      <w:color w:val="auto"/>
                      <w:sz w:val="18"/>
                      <w:szCs w:val="18"/>
                      <w:highlight w:val="none"/>
                      <w:lang w:val="en-US" w:eastAsia="zh-CN"/>
                    </w:rPr>
                    <w:t>实验周期：</w:t>
                  </w:r>
                  <w:r>
                    <w:rPr>
                      <w:rFonts w:hint="default" w:ascii="Times New Roman" w:hAnsi="Times New Roman" w:eastAsia="宋体" w:cs="Times New Roman"/>
                      <w:color w:val="auto"/>
                      <w:sz w:val="18"/>
                      <w:szCs w:val="18"/>
                      <w:highlight w:val="none"/>
                    </w:rPr>
                    <w:t>1-3月</w:t>
                  </w:r>
                  <w:r>
                    <w:rPr>
                      <w:rFonts w:hint="eastAsia" w:cs="Times New Roman"/>
                      <w:color w:val="auto"/>
                      <w:sz w:val="18"/>
                      <w:szCs w:val="18"/>
                      <w:highlight w:val="none"/>
                      <w:lang w:eastAsia="zh-CN"/>
                    </w:rPr>
                    <w:t>，</w:t>
                  </w:r>
                  <w:r>
                    <w:rPr>
                      <w:rFonts w:hint="eastAsia" w:cs="Times New Roman"/>
                      <w:color w:val="auto"/>
                      <w:sz w:val="18"/>
                      <w:szCs w:val="18"/>
                      <w:highlight w:val="none"/>
                      <w:lang w:val="en-US" w:eastAsia="zh-CN"/>
                    </w:rPr>
                    <w:t>饲养区位于2~3层</w:t>
                  </w:r>
                </w:p>
              </w:tc>
            </w:tr>
            <w:tr w14:paraId="68B5848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7" w:type="dxa"/>
                  <w:bottom w:w="0" w:type="dxa"/>
                  <w:right w:w="17" w:type="dxa"/>
                </w:tblCellMar>
              </w:tblPrEx>
              <w:trPr>
                <w:trHeight w:val="0" w:hRule="atLeast"/>
                <w:jc w:val="center"/>
              </w:trPr>
              <w:tc>
                <w:tcPr>
                  <w:tcW w:w="283" w:type="pct"/>
                  <w:tcBorders>
                    <w:top w:val="single" w:color="auto" w:sz="4" w:space="0"/>
                    <w:left w:val="single" w:color="auto" w:sz="4" w:space="0"/>
                    <w:bottom w:val="single" w:color="auto" w:sz="4" w:space="0"/>
                    <w:right w:val="single" w:color="auto" w:sz="4" w:space="0"/>
                  </w:tcBorders>
                  <w:shd w:val="clear" w:color="auto" w:fill="auto"/>
                  <w:vAlign w:val="center"/>
                </w:tcPr>
                <w:p w14:paraId="698BD406">
                  <w:pPr>
                    <w:keepNext w:val="0"/>
                    <w:keepLines w:val="0"/>
                    <w:pageBreakBefore w:val="0"/>
                    <w:suppressLineNumbers w:val="0"/>
                    <w:kinsoku/>
                    <w:wordWrap/>
                    <w:overflowPunct/>
                    <w:topLinePunct w:val="0"/>
                    <w:bidi w:val="0"/>
                    <w:adjustRightInd w:val="0"/>
                    <w:snapToGrid w:val="0"/>
                    <w:spacing w:before="0" w:beforeAutospacing="0" w:after="0" w:afterAutospacing="0" w:line="276" w:lineRule="auto"/>
                    <w:ind w:left="0" w:right="0"/>
                    <w:jc w:val="center"/>
                    <w:rPr>
                      <w:rFonts w:hint="eastAsia" w:ascii="Times New Roman" w:hAnsi="Times New Roman" w:eastAsia="宋体" w:cs="Times New Roman"/>
                      <w:kern w:val="2"/>
                      <w:sz w:val="18"/>
                      <w:szCs w:val="18"/>
                      <w:highlight w:val="none"/>
                      <w:lang w:val="en-US" w:eastAsia="zh-CN" w:bidi="ar-SA"/>
                    </w:rPr>
                  </w:pPr>
                  <w:r>
                    <w:rPr>
                      <w:rFonts w:hint="eastAsia" w:ascii="Times New Roman" w:hAnsi="Times New Roman" w:eastAsia="宋体" w:cs="Times New Roman"/>
                      <w:sz w:val="18"/>
                      <w:szCs w:val="18"/>
                      <w:highlight w:val="none"/>
                    </w:rPr>
                    <w:t>2</w:t>
                  </w:r>
                </w:p>
              </w:tc>
              <w:tc>
                <w:tcPr>
                  <w:tcW w:w="894" w:type="pct"/>
                  <w:tcBorders>
                    <w:top w:val="single" w:color="auto" w:sz="4" w:space="0"/>
                    <w:left w:val="single" w:color="auto" w:sz="4" w:space="0"/>
                    <w:bottom w:val="single" w:color="auto" w:sz="4" w:space="0"/>
                    <w:right w:val="single" w:color="auto" w:sz="4" w:space="0"/>
                  </w:tcBorders>
                  <w:vAlign w:val="center"/>
                </w:tcPr>
                <w:p w14:paraId="08D1415D">
                  <w:pPr>
                    <w:pStyle w:val="120"/>
                    <w:keepNext w:val="0"/>
                    <w:keepLines w:val="0"/>
                    <w:pageBreakBefore w:val="0"/>
                    <w:framePr w:hSpace="0" w:wrap="auto" w:vAnchor="margin" w:hAnchor="text" w:xAlign="left" w:yAlign="inline"/>
                    <w:suppressLineNumbers w:val="0"/>
                    <w:kinsoku/>
                    <w:wordWrap/>
                    <w:overflowPunct/>
                    <w:topLinePunct w:val="0"/>
                    <w:bidi w:val="0"/>
                    <w:adjustRightInd w:val="0"/>
                    <w:snapToGrid w:val="0"/>
                    <w:spacing w:before="0" w:beforeAutospacing="0" w:after="0" w:afterAutospacing="0" w:line="276" w:lineRule="auto"/>
                    <w:ind w:left="0" w:right="0"/>
                    <w:jc w:val="center"/>
                    <w:rPr>
                      <w:rFonts w:hint="eastAsia" w:ascii="Times New Roman" w:hAnsi="Times New Roman" w:eastAsia="宋体" w:cs="Times New Roman"/>
                      <w:bCs/>
                      <w:color w:val="auto"/>
                      <w:kern w:val="2"/>
                      <w:sz w:val="18"/>
                      <w:szCs w:val="18"/>
                      <w:highlight w:val="none"/>
                      <w:lang w:val="en-US" w:eastAsia="zh-CN" w:bidi="ar-SA"/>
                    </w:rPr>
                  </w:pPr>
                  <w:r>
                    <w:rPr>
                      <w:rFonts w:hint="default" w:ascii="Times New Roman" w:hAnsi="Times New Roman" w:eastAsia="宋体" w:cs="Times New Roman"/>
                      <w:color w:val="auto"/>
                      <w:sz w:val="18"/>
                      <w:szCs w:val="18"/>
                      <w:highlight w:val="none"/>
                    </w:rPr>
                    <w:t>小鼠</w:t>
                  </w:r>
                </w:p>
              </w:tc>
              <w:tc>
                <w:tcPr>
                  <w:tcW w:w="523" w:type="pct"/>
                  <w:tcBorders>
                    <w:top w:val="single" w:color="auto" w:sz="4" w:space="0"/>
                    <w:left w:val="single" w:color="auto" w:sz="4" w:space="0"/>
                    <w:bottom w:val="single" w:color="auto" w:sz="4" w:space="0"/>
                    <w:right w:val="single" w:color="auto" w:sz="4" w:space="0"/>
                  </w:tcBorders>
                  <w:vAlign w:val="center"/>
                </w:tcPr>
                <w:p w14:paraId="2F379E10">
                  <w:pPr>
                    <w:keepNext w:val="0"/>
                    <w:keepLines w:val="0"/>
                    <w:pageBreakBefore w:val="0"/>
                    <w:suppressLineNumbers w:val="0"/>
                    <w:kinsoku/>
                    <w:wordWrap/>
                    <w:overflowPunct/>
                    <w:topLinePunct w:val="0"/>
                    <w:bidi w:val="0"/>
                    <w:adjustRightInd w:val="0"/>
                    <w:snapToGrid w:val="0"/>
                    <w:spacing w:before="0" w:beforeAutospacing="0" w:after="0" w:afterAutospacing="0" w:line="276" w:lineRule="auto"/>
                    <w:ind w:left="0" w:right="0"/>
                    <w:jc w:val="center"/>
                    <w:rPr>
                      <w:rFonts w:hint="eastAsia" w:ascii="Times New Roman" w:hAnsi="Times New Roman" w:eastAsia="宋体" w:cs="Times New Roman"/>
                      <w:color w:val="auto"/>
                      <w:kern w:val="2"/>
                      <w:sz w:val="18"/>
                      <w:szCs w:val="18"/>
                      <w:highlight w:val="none"/>
                      <w:lang w:val="en-US" w:eastAsia="zh-CN" w:bidi="ar-SA"/>
                    </w:rPr>
                  </w:pPr>
                  <w:r>
                    <w:rPr>
                      <w:rFonts w:hint="eastAsia" w:cs="Times New Roman"/>
                      <w:color w:val="auto"/>
                      <w:sz w:val="18"/>
                      <w:szCs w:val="18"/>
                      <w:highlight w:val="none"/>
                      <w:lang w:val="en-US" w:eastAsia="zh-CN"/>
                    </w:rPr>
                    <w:t>70</w:t>
                  </w:r>
                  <w:r>
                    <w:rPr>
                      <w:rFonts w:hint="eastAsia" w:ascii="Times New Roman" w:hAnsi="Times New Roman" w:eastAsia="宋体" w:cs="Times New Roman"/>
                      <w:color w:val="auto"/>
                      <w:sz w:val="18"/>
                      <w:szCs w:val="18"/>
                      <w:highlight w:val="none"/>
                    </w:rPr>
                    <w:t>000只</w:t>
                  </w:r>
                </w:p>
              </w:tc>
              <w:tc>
                <w:tcPr>
                  <w:tcW w:w="1451" w:type="pct"/>
                  <w:tcBorders>
                    <w:top w:val="single" w:color="auto" w:sz="4" w:space="0"/>
                    <w:left w:val="single" w:color="auto" w:sz="4" w:space="0"/>
                    <w:bottom w:val="single" w:color="auto" w:sz="4" w:space="0"/>
                    <w:right w:val="single" w:color="auto" w:sz="4" w:space="0"/>
                  </w:tcBorders>
                  <w:vAlign w:val="center"/>
                </w:tcPr>
                <w:p w14:paraId="29E1D0C9">
                  <w:pPr>
                    <w:keepNext w:val="0"/>
                    <w:keepLines w:val="0"/>
                    <w:pageBreakBefore w:val="0"/>
                    <w:suppressLineNumbers w:val="0"/>
                    <w:kinsoku/>
                    <w:wordWrap/>
                    <w:overflowPunct/>
                    <w:topLinePunct w:val="0"/>
                    <w:bidi w:val="0"/>
                    <w:adjustRightInd w:val="0"/>
                    <w:snapToGrid w:val="0"/>
                    <w:spacing w:before="0" w:beforeAutospacing="0" w:after="0" w:afterAutospacing="0" w:line="276" w:lineRule="auto"/>
                    <w:ind w:left="0" w:right="0"/>
                    <w:jc w:val="center"/>
                    <w:rPr>
                      <w:rFonts w:hint="eastAsia" w:ascii="Times New Roman" w:hAnsi="Times New Roman" w:eastAsia="宋体" w:cs="Times New Roman"/>
                      <w:color w:val="auto"/>
                      <w:kern w:val="2"/>
                      <w:sz w:val="18"/>
                      <w:szCs w:val="18"/>
                      <w:highlight w:val="none"/>
                      <w:lang w:val="en-US" w:eastAsia="zh-CN" w:bidi="ar-SA"/>
                    </w:rPr>
                  </w:pPr>
                  <w:r>
                    <w:rPr>
                      <w:rFonts w:hint="eastAsia" w:ascii="Times New Roman" w:hAnsi="Times New Roman" w:eastAsia="宋体" w:cs="Times New Roman"/>
                      <w:color w:val="auto"/>
                      <w:sz w:val="18"/>
                      <w:szCs w:val="18"/>
                      <w:highlight w:val="none"/>
                      <w:lang w:val="en-US" w:eastAsia="zh-CN"/>
                    </w:rPr>
                    <w:t>SPF级/无菌级/ABSL-2</w:t>
                  </w:r>
                  <w:r>
                    <w:rPr>
                      <w:rFonts w:hint="eastAsia" w:ascii="Times New Roman" w:hAnsi="Times New Roman" w:eastAsia="宋体" w:cs="Times New Roman"/>
                      <w:color w:val="auto"/>
                      <w:sz w:val="18"/>
                      <w:szCs w:val="18"/>
                      <w:highlight w:val="none"/>
                      <w:lang w:eastAsia="zh-CN"/>
                    </w:rPr>
                    <w:t>，</w:t>
                  </w:r>
                  <w:r>
                    <w:rPr>
                      <w:rFonts w:hint="eastAsia" w:ascii="Times New Roman" w:hAnsi="Times New Roman" w:eastAsia="宋体" w:cs="Times New Roman"/>
                      <w:color w:val="auto"/>
                      <w:sz w:val="18"/>
                      <w:szCs w:val="18"/>
                      <w:highlight w:val="none"/>
                      <w:lang w:val="en-US" w:eastAsia="zh-CN"/>
                    </w:rPr>
                    <w:t>笼位约</w:t>
                  </w:r>
                  <w:r>
                    <w:rPr>
                      <w:rFonts w:hint="eastAsia" w:cs="Times New Roman"/>
                      <w:color w:val="auto"/>
                      <w:sz w:val="18"/>
                      <w:szCs w:val="18"/>
                      <w:highlight w:val="none"/>
                      <w:lang w:val="en-US" w:eastAsia="zh-CN"/>
                    </w:rPr>
                    <w:t>14</w:t>
                  </w:r>
                  <w:r>
                    <w:rPr>
                      <w:rFonts w:hint="eastAsia" w:ascii="Times New Roman" w:hAnsi="Times New Roman" w:eastAsia="宋体" w:cs="Times New Roman"/>
                      <w:color w:val="auto"/>
                      <w:sz w:val="18"/>
                      <w:szCs w:val="18"/>
                      <w:highlight w:val="none"/>
                      <w:lang w:val="en-US" w:eastAsia="zh-CN"/>
                    </w:rPr>
                    <w:t>0</w:t>
                  </w:r>
                  <w:r>
                    <w:rPr>
                      <w:rFonts w:hint="eastAsia" w:ascii="Times New Roman" w:hAnsi="Times New Roman" w:eastAsia="宋体" w:cs="Times New Roman"/>
                      <w:color w:val="auto"/>
                      <w:sz w:val="18"/>
                      <w:szCs w:val="18"/>
                      <w:highlight w:val="none"/>
                    </w:rPr>
                    <w:t>00</w:t>
                  </w:r>
                  <w:r>
                    <w:rPr>
                      <w:rFonts w:hint="eastAsia" w:ascii="Times New Roman" w:hAnsi="Times New Roman" w:eastAsia="宋体" w:cs="Times New Roman"/>
                      <w:color w:val="auto"/>
                      <w:sz w:val="18"/>
                      <w:szCs w:val="18"/>
                      <w:highlight w:val="none"/>
                      <w:lang w:val="en-US" w:eastAsia="zh-CN"/>
                    </w:rPr>
                    <w:t>个，饲养量约</w:t>
                  </w:r>
                  <w:r>
                    <w:rPr>
                      <w:rFonts w:hint="eastAsia" w:cs="Times New Roman"/>
                      <w:color w:val="auto"/>
                      <w:sz w:val="18"/>
                      <w:szCs w:val="18"/>
                      <w:highlight w:val="none"/>
                      <w:lang w:val="en-US" w:eastAsia="zh-CN"/>
                    </w:rPr>
                    <w:t>70</w:t>
                  </w:r>
                  <w:r>
                    <w:rPr>
                      <w:rFonts w:hint="eastAsia" w:ascii="Times New Roman" w:hAnsi="Times New Roman" w:eastAsia="宋体" w:cs="Times New Roman"/>
                      <w:color w:val="auto"/>
                      <w:sz w:val="18"/>
                      <w:szCs w:val="18"/>
                      <w:highlight w:val="none"/>
                      <w:lang w:val="en-US" w:eastAsia="zh-CN"/>
                    </w:rPr>
                    <w:t>000只</w:t>
                  </w:r>
                </w:p>
              </w:tc>
              <w:tc>
                <w:tcPr>
                  <w:tcW w:w="586" w:type="pct"/>
                  <w:tcBorders>
                    <w:top w:val="single" w:color="auto" w:sz="4" w:space="0"/>
                    <w:left w:val="single" w:color="auto" w:sz="4" w:space="0"/>
                    <w:bottom w:val="single" w:color="auto" w:sz="4" w:space="0"/>
                    <w:right w:val="single" w:color="auto" w:sz="4" w:space="0"/>
                  </w:tcBorders>
                  <w:vAlign w:val="center"/>
                </w:tcPr>
                <w:p w14:paraId="67B024F2">
                  <w:pPr>
                    <w:keepNext w:val="0"/>
                    <w:keepLines w:val="0"/>
                    <w:pageBreakBefore w:val="0"/>
                    <w:suppressLineNumbers w:val="0"/>
                    <w:kinsoku/>
                    <w:wordWrap/>
                    <w:overflowPunct/>
                    <w:topLinePunct w:val="0"/>
                    <w:bidi w:val="0"/>
                    <w:adjustRightInd w:val="0"/>
                    <w:snapToGrid w:val="0"/>
                    <w:spacing w:before="0" w:beforeAutospacing="0" w:after="0" w:afterAutospacing="0" w:line="276" w:lineRule="auto"/>
                    <w:ind w:left="0" w:right="0"/>
                    <w:jc w:val="center"/>
                    <w:rPr>
                      <w:rFonts w:hint="eastAsia" w:ascii="Times New Roman" w:hAnsi="Times New Roman" w:eastAsia="宋体" w:cs="Times New Roman"/>
                      <w:color w:val="auto"/>
                      <w:sz w:val="18"/>
                      <w:szCs w:val="18"/>
                      <w:highlight w:val="none"/>
                      <w:lang w:val="en-US" w:eastAsia="zh-CN"/>
                    </w:rPr>
                  </w:pPr>
                  <w:r>
                    <w:rPr>
                      <w:rFonts w:hint="eastAsia" w:cs="Times New Roman"/>
                      <w:color w:val="auto"/>
                      <w:sz w:val="18"/>
                      <w:szCs w:val="18"/>
                      <w:highlight w:val="none"/>
                      <w:lang w:val="en-US" w:eastAsia="zh-CN"/>
                    </w:rPr>
                    <w:t>70</w:t>
                  </w:r>
                  <w:r>
                    <w:rPr>
                      <w:rFonts w:hint="eastAsia" w:ascii="Times New Roman" w:hAnsi="Times New Roman" w:eastAsia="宋体" w:cs="Times New Roman"/>
                      <w:color w:val="auto"/>
                      <w:sz w:val="18"/>
                      <w:szCs w:val="18"/>
                      <w:highlight w:val="none"/>
                    </w:rPr>
                    <w:t>00</w:t>
                  </w:r>
                  <w:r>
                    <w:rPr>
                      <w:rFonts w:hint="eastAsia" w:ascii="Times New Roman" w:hAnsi="Times New Roman" w:eastAsia="宋体" w:cs="Times New Roman"/>
                      <w:color w:val="auto"/>
                      <w:sz w:val="18"/>
                      <w:szCs w:val="18"/>
                      <w:highlight w:val="none"/>
                      <w:lang w:val="en-US" w:eastAsia="zh-CN"/>
                    </w:rPr>
                    <w:t>只</w:t>
                  </w:r>
                </w:p>
              </w:tc>
              <w:tc>
                <w:tcPr>
                  <w:tcW w:w="368" w:type="pct"/>
                  <w:tcBorders>
                    <w:top w:val="single" w:color="auto" w:sz="4" w:space="0"/>
                    <w:left w:val="single" w:color="auto" w:sz="4" w:space="0"/>
                    <w:bottom w:val="single" w:color="auto" w:sz="4" w:space="0"/>
                    <w:right w:val="single" w:color="auto" w:sz="4" w:space="0"/>
                  </w:tcBorders>
                  <w:vAlign w:val="center"/>
                </w:tcPr>
                <w:p w14:paraId="134D04CD">
                  <w:pPr>
                    <w:keepNext w:val="0"/>
                    <w:keepLines w:val="0"/>
                    <w:pageBreakBefore w:val="0"/>
                    <w:suppressLineNumbers w:val="0"/>
                    <w:kinsoku/>
                    <w:wordWrap/>
                    <w:overflowPunct/>
                    <w:topLinePunct w:val="0"/>
                    <w:bidi w:val="0"/>
                    <w:adjustRightInd w:val="0"/>
                    <w:snapToGrid w:val="0"/>
                    <w:spacing w:before="0" w:beforeAutospacing="0" w:after="0" w:afterAutospacing="0" w:line="276" w:lineRule="auto"/>
                    <w:ind w:left="0" w:right="0"/>
                    <w:jc w:val="center"/>
                    <w:rPr>
                      <w:rFonts w:hint="eastAsia" w:ascii="Times New Roman" w:hAnsi="Times New Roman" w:eastAsia="宋体" w:cs="Times New Roman"/>
                      <w:sz w:val="18"/>
                      <w:szCs w:val="18"/>
                      <w:highlight w:val="none"/>
                    </w:rPr>
                  </w:pPr>
                  <w:r>
                    <w:rPr>
                      <w:rFonts w:hint="eastAsia" w:ascii="Times New Roman" w:hAnsi="Times New Roman" w:eastAsia="宋体" w:cs="Times New Roman"/>
                      <w:sz w:val="18"/>
                      <w:szCs w:val="18"/>
                      <w:highlight w:val="none"/>
                    </w:rPr>
                    <w:t>/</w:t>
                  </w:r>
                </w:p>
              </w:tc>
              <w:tc>
                <w:tcPr>
                  <w:tcW w:w="892" w:type="pct"/>
                  <w:vMerge w:val="continue"/>
                  <w:tcBorders>
                    <w:left w:val="single" w:color="auto" w:sz="4" w:space="0"/>
                    <w:bottom w:val="single" w:color="auto" w:sz="4" w:space="0"/>
                    <w:right w:val="single" w:color="auto" w:sz="4" w:space="0"/>
                  </w:tcBorders>
                  <w:vAlign w:val="center"/>
                </w:tcPr>
                <w:p w14:paraId="5DB5D2DD">
                  <w:pPr>
                    <w:keepNext w:val="0"/>
                    <w:keepLines w:val="0"/>
                    <w:pageBreakBefore w:val="0"/>
                    <w:suppressLineNumbers w:val="0"/>
                    <w:kinsoku/>
                    <w:wordWrap/>
                    <w:overflowPunct/>
                    <w:topLinePunct w:val="0"/>
                    <w:bidi w:val="0"/>
                    <w:adjustRightInd w:val="0"/>
                    <w:snapToGrid w:val="0"/>
                    <w:spacing w:before="0" w:beforeAutospacing="0" w:after="0" w:afterAutospacing="0" w:line="276" w:lineRule="auto"/>
                    <w:ind w:left="0" w:right="0"/>
                    <w:jc w:val="center"/>
                    <w:rPr>
                      <w:rFonts w:hint="eastAsia" w:ascii="Times New Roman" w:hAnsi="Times New Roman" w:eastAsia="宋体" w:cs="Times New Roman"/>
                      <w:sz w:val="18"/>
                      <w:szCs w:val="18"/>
                      <w:highlight w:val="none"/>
                    </w:rPr>
                  </w:pPr>
                </w:p>
              </w:tc>
            </w:tr>
            <w:tr w14:paraId="791CF94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7" w:type="dxa"/>
                  <w:bottom w:w="0" w:type="dxa"/>
                  <w:right w:w="17" w:type="dxa"/>
                </w:tblCellMar>
              </w:tblPrEx>
              <w:trPr>
                <w:trHeight w:val="0" w:hRule="atLeast"/>
                <w:jc w:val="center"/>
              </w:trPr>
              <w:tc>
                <w:tcPr>
                  <w:tcW w:w="283" w:type="pct"/>
                  <w:tcBorders>
                    <w:top w:val="single" w:color="auto" w:sz="4" w:space="0"/>
                    <w:left w:val="single" w:color="auto" w:sz="4" w:space="0"/>
                    <w:bottom w:val="single" w:color="auto" w:sz="4" w:space="0"/>
                    <w:right w:val="single" w:color="auto" w:sz="4" w:space="0"/>
                  </w:tcBorders>
                  <w:shd w:val="clear" w:color="auto" w:fill="auto"/>
                  <w:vAlign w:val="center"/>
                </w:tcPr>
                <w:p w14:paraId="4500936D">
                  <w:pPr>
                    <w:keepNext w:val="0"/>
                    <w:keepLines w:val="0"/>
                    <w:pageBreakBefore w:val="0"/>
                    <w:suppressLineNumbers w:val="0"/>
                    <w:kinsoku/>
                    <w:wordWrap/>
                    <w:overflowPunct/>
                    <w:topLinePunct w:val="0"/>
                    <w:bidi w:val="0"/>
                    <w:adjustRightInd w:val="0"/>
                    <w:snapToGrid w:val="0"/>
                    <w:spacing w:before="0" w:beforeAutospacing="0" w:after="0" w:afterAutospacing="0" w:line="276" w:lineRule="auto"/>
                    <w:ind w:left="0" w:right="0"/>
                    <w:jc w:val="center"/>
                    <w:rPr>
                      <w:rFonts w:hint="eastAsia" w:ascii="Times New Roman" w:hAnsi="Times New Roman" w:eastAsia="宋体" w:cs="Times New Roman"/>
                      <w:kern w:val="2"/>
                      <w:sz w:val="18"/>
                      <w:szCs w:val="18"/>
                      <w:highlight w:val="none"/>
                      <w:lang w:val="en-US" w:eastAsia="zh-CN" w:bidi="ar-SA"/>
                    </w:rPr>
                  </w:pPr>
                  <w:r>
                    <w:rPr>
                      <w:rFonts w:hint="eastAsia" w:ascii="Times New Roman" w:hAnsi="Times New Roman" w:eastAsia="宋体" w:cs="Times New Roman"/>
                      <w:sz w:val="18"/>
                      <w:szCs w:val="18"/>
                      <w:highlight w:val="none"/>
                    </w:rPr>
                    <w:t>3</w:t>
                  </w:r>
                </w:p>
              </w:tc>
              <w:tc>
                <w:tcPr>
                  <w:tcW w:w="894" w:type="pct"/>
                  <w:tcBorders>
                    <w:top w:val="single" w:color="auto" w:sz="4" w:space="0"/>
                    <w:left w:val="single" w:color="auto" w:sz="4" w:space="0"/>
                    <w:bottom w:val="single" w:color="auto" w:sz="4" w:space="0"/>
                    <w:right w:val="single" w:color="auto" w:sz="4" w:space="0"/>
                  </w:tcBorders>
                  <w:vAlign w:val="center"/>
                </w:tcPr>
                <w:p w14:paraId="5C033FDA">
                  <w:pPr>
                    <w:pStyle w:val="120"/>
                    <w:keepNext w:val="0"/>
                    <w:keepLines w:val="0"/>
                    <w:pageBreakBefore w:val="0"/>
                    <w:framePr w:hSpace="0" w:wrap="auto" w:vAnchor="margin" w:hAnchor="text" w:xAlign="left" w:yAlign="inline"/>
                    <w:suppressLineNumbers w:val="0"/>
                    <w:kinsoku/>
                    <w:wordWrap/>
                    <w:overflowPunct/>
                    <w:topLinePunct w:val="0"/>
                    <w:bidi w:val="0"/>
                    <w:adjustRightInd w:val="0"/>
                    <w:snapToGrid w:val="0"/>
                    <w:spacing w:before="0" w:beforeAutospacing="0" w:after="0" w:afterAutospacing="0" w:line="276" w:lineRule="auto"/>
                    <w:ind w:left="0" w:right="0"/>
                    <w:jc w:val="center"/>
                    <w:rPr>
                      <w:rFonts w:hint="eastAsia" w:ascii="Times New Roman" w:hAnsi="Times New Roman" w:eastAsia="宋体" w:cs="Times New Roman"/>
                      <w:bCs/>
                      <w:color w:val="auto"/>
                      <w:kern w:val="2"/>
                      <w:sz w:val="18"/>
                      <w:szCs w:val="18"/>
                      <w:highlight w:val="none"/>
                      <w:lang w:val="en-US" w:eastAsia="zh-CN" w:bidi="ar-SA"/>
                    </w:rPr>
                  </w:pPr>
                  <w:r>
                    <w:rPr>
                      <w:rFonts w:hint="eastAsia" w:ascii="Times New Roman" w:hAnsi="Times New Roman" w:eastAsia="宋体" w:cs="Times New Roman"/>
                      <w:color w:val="auto"/>
                      <w:sz w:val="18"/>
                      <w:szCs w:val="18"/>
                      <w:highlight w:val="none"/>
                      <w:lang w:val="en-US" w:eastAsia="zh-CN"/>
                    </w:rPr>
                    <w:t>豚鼠</w:t>
                  </w:r>
                </w:p>
              </w:tc>
              <w:tc>
                <w:tcPr>
                  <w:tcW w:w="523" w:type="pct"/>
                  <w:tcBorders>
                    <w:top w:val="single" w:color="auto" w:sz="4" w:space="0"/>
                    <w:left w:val="single" w:color="auto" w:sz="4" w:space="0"/>
                    <w:bottom w:val="single" w:color="auto" w:sz="4" w:space="0"/>
                    <w:right w:val="single" w:color="auto" w:sz="4" w:space="0"/>
                  </w:tcBorders>
                  <w:vAlign w:val="center"/>
                </w:tcPr>
                <w:p w14:paraId="1DA4782C">
                  <w:pPr>
                    <w:keepNext w:val="0"/>
                    <w:keepLines w:val="0"/>
                    <w:pageBreakBefore w:val="0"/>
                    <w:suppressLineNumbers w:val="0"/>
                    <w:kinsoku/>
                    <w:wordWrap/>
                    <w:overflowPunct/>
                    <w:topLinePunct w:val="0"/>
                    <w:bidi w:val="0"/>
                    <w:adjustRightInd w:val="0"/>
                    <w:snapToGrid w:val="0"/>
                    <w:spacing w:before="0" w:beforeAutospacing="0" w:after="0" w:afterAutospacing="0" w:line="276" w:lineRule="auto"/>
                    <w:ind w:left="0" w:right="0"/>
                    <w:jc w:val="center"/>
                    <w:rPr>
                      <w:rFonts w:hint="eastAsia" w:ascii="Times New Roman" w:hAnsi="Times New Roman" w:eastAsia="宋体" w:cs="Times New Roman"/>
                      <w:sz w:val="18"/>
                      <w:szCs w:val="18"/>
                      <w:highlight w:val="none"/>
                    </w:rPr>
                  </w:pPr>
                  <w:r>
                    <w:rPr>
                      <w:rFonts w:hint="eastAsia" w:cs="Times New Roman"/>
                      <w:color w:val="auto"/>
                      <w:sz w:val="18"/>
                      <w:szCs w:val="18"/>
                      <w:highlight w:val="none"/>
                      <w:lang w:val="en-US" w:eastAsia="zh-CN"/>
                    </w:rPr>
                    <w:t>36</w:t>
                  </w:r>
                  <w:r>
                    <w:rPr>
                      <w:rFonts w:hint="eastAsia" w:ascii="Times New Roman" w:hAnsi="Times New Roman" w:eastAsia="宋体" w:cs="Times New Roman"/>
                      <w:color w:val="auto"/>
                      <w:sz w:val="18"/>
                      <w:szCs w:val="18"/>
                      <w:highlight w:val="none"/>
                      <w:lang w:val="en-US" w:eastAsia="zh-CN"/>
                    </w:rPr>
                    <w:t>00只</w:t>
                  </w:r>
                </w:p>
              </w:tc>
              <w:tc>
                <w:tcPr>
                  <w:tcW w:w="1451" w:type="pct"/>
                  <w:tcBorders>
                    <w:top w:val="single" w:color="auto" w:sz="4" w:space="0"/>
                    <w:left w:val="single" w:color="auto" w:sz="4" w:space="0"/>
                    <w:bottom w:val="single" w:color="auto" w:sz="4" w:space="0"/>
                    <w:right w:val="single" w:color="auto" w:sz="4" w:space="0"/>
                  </w:tcBorders>
                  <w:vAlign w:val="center"/>
                </w:tcPr>
                <w:p w14:paraId="511D5D37">
                  <w:pPr>
                    <w:keepNext w:val="0"/>
                    <w:keepLines w:val="0"/>
                    <w:pageBreakBefore w:val="0"/>
                    <w:suppressLineNumbers w:val="0"/>
                    <w:kinsoku/>
                    <w:wordWrap/>
                    <w:overflowPunct/>
                    <w:topLinePunct w:val="0"/>
                    <w:bidi w:val="0"/>
                    <w:adjustRightInd w:val="0"/>
                    <w:snapToGrid w:val="0"/>
                    <w:spacing w:before="0" w:beforeAutospacing="0" w:after="0" w:afterAutospacing="0" w:line="276" w:lineRule="auto"/>
                    <w:ind w:left="0" w:right="0"/>
                    <w:jc w:val="center"/>
                    <w:rPr>
                      <w:rFonts w:hint="eastAsia" w:ascii="Times New Roman" w:hAnsi="Times New Roman" w:eastAsia="宋体" w:cs="Times New Roman"/>
                      <w:sz w:val="18"/>
                      <w:szCs w:val="18"/>
                      <w:highlight w:val="none"/>
                    </w:rPr>
                  </w:pPr>
                  <w:r>
                    <w:rPr>
                      <w:rFonts w:hint="eastAsia" w:cs="Times New Roman"/>
                      <w:sz w:val="18"/>
                      <w:szCs w:val="18"/>
                      <w:highlight w:val="none"/>
                      <w:lang w:val="en-US" w:eastAsia="zh-CN"/>
                    </w:rPr>
                    <w:t>普通级，</w:t>
                  </w:r>
                  <w:r>
                    <w:rPr>
                      <w:rFonts w:hint="eastAsia" w:ascii="Times New Roman" w:hAnsi="Times New Roman" w:eastAsia="宋体" w:cs="Times New Roman"/>
                      <w:sz w:val="18"/>
                      <w:szCs w:val="18"/>
                      <w:highlight w:val="none"/>
                      <w:lang w:val="en-US" w:eastAsia="zh-CN"/>
                    </w:rPr>
                    <w:t>笼位约9</w:t>
                  </w:r>
                  <w:r>
                    <w:rPr>
                      <w:rFonts w:hint="eastAsia" w:ascii="Times New Roman" w:hAnsi="Times New Roman" w:eastAsia="宋体" w:cs="Times New Roman"/>
                      <w:sz w:val="18"/>
                      <w:szCs w:val="18"/>
                      <w:highlight w:val="none"/>
                    </w:rPr>
                    <w:t>00</w:t>
                  </w:r>
                  <w:r>
                    <w:rPr>
                      <w:rFonts w:hint="eastAsia" w:ascii="Times New Roman" w:hAnsi="Times New Roman" w:eastAsia="宋体" w:cs="Times New Roman"/>
                      <w:sz w:val="18"/>
                      <w:szCs w:val="18"/>
                      <w:highlight w:val="none"/>
                      <w:lang w:val="en-US" w:eastAsia="zh-CN"/>
                    </w:rPr>
                    <w:t>个</w:t>
                  </w:r>
                  <w:r>
                    <w:rPr>
                      <w:rFonts w:hint="eastAsia" w:ascii="Times New Roman" w:hAnsi="Times New Roman" w:eastAsia="宋体" w:cs="Times New Roman"/>
                      <w:color w:val="auto"/>
                      <w:sz w:val="18"/>
                      <w:szCs w:val="18"/>
                      <w:highlight w:val="none"/>
                      <w:lang w:val="en-US" w:eastAsia="zh-CN"/>
                    </w:rPr>
                    <w:t>，饲养量约</w:t>
                  </w:r>
                  <w:r>
                    <w:rPr>
                      <w:rFonts w:hint="eastAsia" w:cs="Times New Roman"/>
                      <w:color w:val="auto"/>
                      <w:sz w:val="18"/>
                      <w:szCs w:val="18"/>
                      <w:highlight w:val="none"/>
                      <w:lang w:val="en-US" w:eastAsia="zh-CN"/>
                    </w:rPr>
                    <w:t>36</w:t>
                  </w:r>
                  <w:r>
                    <w:rPr>
                      <w:rFonts w:hint="eastAsia" w:ascii="Times New Roman" w:hAnsi="Times New Roman" w:eastAsia="宋体" w:cs="Times New Roman"/>
                      <w:color w:val="auto"/>
                      <w:sz w:val="18"/>
                      <w:szCs w:val="18"/>
                      <w:highlight w:val="none"/>
                      <w:lang w:val="en-US" w:eastAsia="zh-CN"/>
                    </w:rPr>
                    <w:t>00只</w:t>
                  </w:r>
                </w:p>
              </w:tc>
              <w:tc>
                <w:tcPr>
                  <w:tcW w:w="586" w:type="pct"/>
                  <w:tcBorders>
                    <w:top w:val="single" w:color="auto" w:sz="4" w:space="0"/>
                    <w:left w:val="single" w:color="auto" w:sz="4" w:space="0"/>
                    <w:bottom w:val="single" w:color="auto" w:sz="4" w:space="0"/>
                    <w:right w:val="single" w:color="auto" w:sz="4" w:space="0"/>
                  </w:tcBorders>
                  <w:vAlign w:val="center"/>
                </w:tcPr>
                <w:p w14:paraId="3301BC21">
                  <w:pPr>
                    <w:keepNext w:val="0"/>
                    <w:keepLines w:val="0"/>
                    <w:pageBreakBefore w:val="0"/>
                    <w:suppressLineNumbers w:val="0"/>
                    <w:kinsoku/>
                    <w:wordWrap/>
                    <w:overflowPunct/>
                    <w:topLinePunct w:val="0"/>
                    <w:bidi w:val="0"/>
                    <w:adjustRightInd w:val="0"/>
                    <w:snapToGrid w:val="0"/>
                    <w:spacing w:before="0" w:beforeAutospacing="0" w:after="0" w:afterAutospacing="0" w:line="276" w:lineRule="auto"/>
                    <w:ind w:left="0" w:right="0"/>
                    <w:jc w:val="center"/>
                    <w:rPr>
                      <w:rFonts w:hint="eastAsia" w:ascii="Times New Roman" w:hAnsi="Times New Roman" w:eastAsia="宋体" w:cs="Times New Roman"/>
                      <w:sz w:val="18"/>
                      <w:szCs w:val="18"/>
                      <w:highlight w:val="none"/>
                      <w:lang w:val="en-US" w:eastAsia="zh-CN"/>
                    </w:rPr>
                  </w:pPr>
                  <w:r>
                    <w:rPr>
                      <w:rFonts w:hint="eastAsia" w:cs="Times New Roman"/>
                      <w:color w:val="auto"/>
                      <w:sz w:val="18"/>
                      <w:szCs w:val="18"/>
                      <w:highlight w:val="none"/>
                      <w:lang w:val="en-US" w:eastAsia="zh-CN"/>
                    </w:rPr>
                    <w:t>36</w:t>
                  </w:r>
                  <w:r>
                    <w:rPr>
                      <w:rFonts w:hint="eastAsia" w:ascii="Times New Roman" w:hAnsi="Times New Roman" w:eastAsia="宋体" w:cs="Times New Roman"/>
                      <w:color w:val="auto"/>
                      <w:sz w:val="18"/>
                      <w:szCs w:val="18"/>
                      <w:highlight w:val="none"/>
                      <w:lang w:val="en-US" w:eastAsia="zh-CN"/>
                    </w:rPr>
                    <w:t>0只</w:t>
                  </w:r>
                </w:p>
              </w:tc>
              <w:tc>
                <w:tcPr>
                  <w:tcW w:w="368" w:type="pct"/>
                  <w:tcBorders>
                    <w:top w:val="single" w:color="auto" w:sz="4" w:space="0"/>
                    <w:left w:val="single" w:color="auto" w:sz="4" w:space="0"/>
                    <w:bottom w:val="single" w:color="auto" w:sz="4" w:space="0"/>
                    <w:right w:val="single" w:color="auto" w:sz="4" w:space="0"/>
                  </w:tcBorders>
                  <w:vAlign w:val="center"/>
                </w:tcPr>
                <w:p w14:paraId="16E584B7">
                  <w:pPr>
                    <w:keepNext w:val="0"/>
                    <w:keepLines w:val="0"/>
                    <w:pageBreakBefore w:val="0"/>
                    <w:suppressLineNumbers w:val="0"/>
                    <w:kinsoku/>
                    <w:wordWrap/>
                    <w:overflowPunct/>
                    <w:topLinePunct w:val="0"/>
                    <w:bidi w:val="0"/>
                    <w:adjustRightInd w:val="0"/>
                    <w:snapToGrid w:val="0"/>
                    <w:spacing w:before="0" w:beforeAutospacing="0" w:after="0" w:afterAutospacing="0" w:line="276" w:lineRule="auto"/>
                    <w:ind w:left="0" w:right="0"/>
                    <w:jc w:val="center"/>
                    <w:rPr>
                      <w:rFonts w:hint="eastAsia" w:ascii="Times New Roman" w:hAnsi="Times New Roman" w:eastAsia="宋体" w:cs="Times New Roman"/>
                      <w:sz w:val="18"/>
                      <w:szCs w:val="18"/>
                      <w:highlight w:val="none"/>
                    </w:rPr>
                  </w:pPr>
                  <w:r>
                    <w:rPr>
                      <w:rFonts w:hint="eastAsia" w:ascii="Times New Roman" w:hAnsi="Times New Roman" w:eastAsia="宋体" w:cs="Times New Roman"/>
                      <w:sz w:val="18"/>
                      <w:szCs w:val="18"/>
                      <w:highlight w:val="none"/>
                    </w:rPr>
                    <w:t>/</w:t>
                  </w:r>
                </w:p>
              </w:tc>
              <w:tc>
                <w:tcPr>
                  <w:tcW w:w="892" w:type="pct"/>
                  <w:vMerge w:val="restart"/>
                  <w:tcBorders>
                    <w:top w:val="single" w:color="auto" w:sz="4" w:space="0"/>
                    <w:left w:val="single" w:color="auto" w:sz="4" w:space="0"/>
                    <w:right w:val="single" w:color="auto" w:sz="4" w:space="0"/>
                  </w:tcBorders>
                  <w:vAlign w:val="center"/>
                </w:tcPr>
                <w:p w14:paraId="4D4039A1">
                  <w:pPr>
                    <w:keepNext w:val="0"/>
                    <w:keepLines w:val="0"/>
                    <w:pageBreakBefore w:val="0"/>
                    <w:suppressLineNumbers w:val="0"/>
                    <w:kinsoku/>
                    <w:wordWrap/>
                    <w:overflowPunct/>
                    <w:topLinePunct w:val="0"/>
                    <w:bidi w:val="0"/>
                    <w:adjustRightInd w:val="0"/>
                    <w:snapToGrid w:val="0"/>
                    <w:spacing w:before="0" w:beforeAutospacing="0" w:after="0" w:afterAutospacing="0" w:line="276" w:lineRule="auto"/>
                    <w:ind w:left="0" w:right="0"/>
                    <w:jc w:val="center"/>
                    <w:rPr>
                      <w:rFonts w:hint="eastAsia" w:ascii="Times New Roman" w:hAnsi="Times New Roman" w:eastAsia="宋体" w:cs="Times New Roman"/>
                      <w:sz w:val="18"/>
                      <w:szCs w:val="18"/>
                      <w:highlight w:val="none"/>
                      <w:lang w:eastAsia="zh-CN"/>
                    </w:rPr>
                  </w:pPr>
                  <w:r>
                    <w:rPr>
                      <w:rFonts w:hint="eastAsia" w:cs="Times New Roman"/>
                      <w:color w:val="auto"/>
                      <w:sz w:val="18"/>
                      <w:szCs w:val="18"/>
                      <w:highlight w:val="none"/>
                      <w:lang w:val="en-US" w:eastAsia="zh-CN"/>
                    </w:rPr>
                    <w:t>实验周期：</w:t>
                  </w:r>
                  <w:r>
                    <w:rPr>
                      <w:rFonts w:hint="default" w:ascii="Times New Roman" w:hAnsi="Times New Roman" w:eastAsia="宋体" w:cs="Times New Roman"/>
                      <w:color w:val="auto"/>
                      <w:sz w:val="18"/>
                      <w:szCs w:val="18"/>
                      <w:highlight w:val="none"/>
                    </w:rPr>
                    <w:t>1-3月</w:t>
                  </w:r>
                  <w:r>
                    <w:rPr>
                      <w:rFonts w:hint="eastAsia" w:cs="Times New Roman"/>
                      <w:color w:val="auto"/>
                      <w:sz w:val="18"/>
                      <w:szCs w:val="18"/>
                      <w:highlight w:val="none"/>
                      <w:lang w:eastAsia="zh-CN"/>
                    </w:rPr>
                    <w:t>，</w:t>
                  </w:r>
                  <w:r>
                    <w:rPr>
                      <w:rFonts w:hint="eastAsia" w:cs="Times New Roman"/>
                      <w:color w:val="auto"/>
                      <w:sz w:val="18"/>
                      <w:szCs w:val="18"/>
                      <w:highlight w:val="none"/>
                      <w:lang w:val="en-US" w:eastAsia="zh-CN"/>
                    </w:rPr>
                    <w:t>饲养区位于1层</w:t>
                  </w:r>
                </w:p>
              </w:tc>
            </w:tr>
            <w:tr w14:paraId="0DB35BC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7" w:type="dxa"/>
                  <w:bottom w:w="0" w:type="dxa"/>
                  <w:right w:w="17" w:type="dxa"/>
                </w:tblCellMar>
              </w:tblPrEx>
              <w:trPr>
                <w:trHeight w:val="0" w:hRule="atLeast"/>
                <w:jc w:val="center"/>
              </w:trPr>
              <w:tc>
                <w:tcPr>
                  <w:tcW w:w="283" w:type="pct"/>
                  <w:tcBorders>
                    <w:top w:val="single" w:color="auto" w:sz="4" w:space="0"/>
                    <w:left w:val="single" w:color="auto" w:sz="4" w:space="0"/>
                    <w:bottom w:val="single" w:color="auto" w:sz="4" w:space="0"/>
                    <w:right w:val="single" w:color="auto" w:sz="4" w:space="0"/>
                  </w:tcBorders>
                  <w:shd w:val="clear" w:color="auto" w:fill="auto"/>
                  <w:vAlign w:val="center"/>
                </w:tcPr>
                <w:p w14:paraId="12D404FB">
                  <w:pPr>
                    <w:keepNext w:val="0"/>
                    <w:keepLines w:val="0"/>
                    <w:pageBreakBefore w:val="0"/>
                    <w:suppressLineNumbers w:val="0"/>
                    <w:kinsoku/>
                    <w:wordWrap/>
                    <w:overflowPunct/>
                    <w:topLinePunct w:val="0"/>
                    <w:bidi w:val="0"/>
                    <w:adjustRightInd w:val="0"/>
                    <w:snapToGrid w:val="0"/>
                    <w:spacing w:before="0" w:beforeAutospacing="0" w:after="0" w:afterAutospacing="0" w:line="276" w:lineRule="auto"/>
                    <w:ind w:left="0" w:right="0"/>
                    <w:jc w:val="center"/>
                    <w:rPr>
                      <w:rFonts w:hint="eastAsia" w:ascii="Times New Roman" w:hAnsi="Times New Roman" w:eastAsia="宋体" w:cs="Times New Roman"/>
                      <w:kern w:val="2"/>
                      <w:sz w:val="18"/>
                      <w:szCs w:val="18"/>
                      <w:highlight w:val="none"/>
                      <w:lang w:val="en-US" w:eastAsia="zh-CN" w:bidi="ar-SA"/>
                    </w:rPr>
                  </w:pPr>
                  <w:r>
                    <w:rPr>
                      <w:rFonts w:hint="eastAsia" w:ascii="Times New Roman" w:hAnsi="Times New Roman" w:eastAsia="宋体" w:cs="Times New Roman"/>
                      <w:sz w:val="18"/>
                      <w:szCs w:val="18"/>
                      <w:highlight w:val="none"/>
                    </w:rPr>
                    <w:t>4</w:t>
                  </w:r>
                </w:p>
              </w:tc>
              <w:tc>
                <w:tcPr>
                  <w:tcW w:w="894" w:type="pct"/>
                  <w:tcBorders>
                    <w:top w:val="single" w:color="auto" w:sz="4" w:space="0"/>
                    <w:left w:val="single" w:color="auto" w:sz="4" w:space="0"/>
                    <w:bottom w:val="single" w:color="auto" w:sz="4" w:space="0"/>
                    <w:right w:val="single" w:color="auto" w:sz="4" w:space="0"/>
                  </w:tcBorders>
                  <w:vAlign w:val="center"/>
                </w:tcPr>
                <w:p w14:paraId="7E2C6904">
                  <w:pPr>
                    <w:pStyle w:val="120"/>
                    <w:keepNext w:val="0"/>
                    <w:keepLines w:val="0"/>
                    <w:pageBreakBefore w:val="0"/>
                    <w:framePr w:hSpace="0" w:wrap="auto" w:vAnchor="margin" w:hAnchor="text" w:xAlign="left" w:yAlign="inline"/>
                    <w:suppressLineNumbers w:val="0"/>
                    <w:kinsoku/>
                    <w:wordWrap/>
                    <w:overflowPunct/>
                    <w:topLinePunct w:val="0"/>
                    <w:bidi w:val="0"/>
                    <w:adjustRightInd w:val="0"/>
                    <w:snapToGrid w:val="0"/>
                    <w:spacing w:before="0" w:beforeAutospacing="0" w:after="0" w:afterAutospacing="0" w:line="276" w:lineRule="auto"/>
                    <w:ind w:left="0" w:right="0"/>
                    <w:jc w:val="center"/>
                    <w:rPr>
                      <w:rFonts w:hint="eastAsia" w:ascii="Times New Roman" w:hAnsi="Times New Roman" w:eastAsia="宋体" w:cs="Times New Roman"/>
                      <w:bCs/>
                      <w:color w:val="auto"/>
                      <w:kern w:val="2"/>
                      <w:sz w:val="18"/>
                      <w:szCs w:val="18"/>
                      <w:highlight w:val="none"/>
                      <w:lang w:val="en-US" w:eastAsia="zh-CN" w:bidi="ar-SA"/>
                    </w:rPr>
                  </w:pPr>
                  <w:r>
                    <w:rPr>
                      <w:rFonts w:hint="default" w:ascii="Times New Roman" w:hAnsi="Times New Roman" w:eastAsia="宋体" w:cs="Times New Roman"/>
                      <w:color w:val="auto"/>
                      <w:sz w:val="18"/>
                      <w:szCs w:val="18"/>
                      <w:highlight w:val="none"/>
                    </w:rPr>
                    <w:t>兔</w:t>
                  </w:r>
                </w:p>
              </w:tc>
              <w:tc>
                <w:tcPr>
                  <w:tcW w:w="523" w:type="pct"/>
                  <w:tcBorders>
                    <w:top w:val="single" w:color="auto" w:sz="4" w:space="0"/>
                    <w:left w:val="single" w:color="auto" w:sz="4" w:space="0"/>
                    <w:bottom w:val="single" w:color="auto" w:sz="4" w:space="0"/>
                    <w:right w:val="single" w:color="auto" w:sz="4" w:space="0"/>
                  </w:tcBorders>
                  <w:vAlign w:val="center"/>
                </w:tcPr>
                <w:p w14:paraId="26493B04">
                  <w:pPr>
                    <w:pStyle w:val="120"/>
                    <w:keepNext w:val="0"/>
                    <w:keepLines w:val="0"/>
                    <w:pageBreakBefore w:val="0"/>
                    <w:framePr w:hSpace="0" w:wrap="auto" w:vAnchor="margin" w:hAnchor="text" w:xAlign="left" w:yAlign="inline"/>
                    <w:suppressLineNumbers w:val="0"/>
                    <w:kinsoku/>
                    <w:wordWrap/>
                    <w:overflowPunct/>
                    <w:topLinePunct w:val="0"/>
                    <w:bidi w:val="0"/>
                    <w:adjustRightInd w:val="0"/>
                    <w:snapToGrid w:val="0"/>
                    <w:spacing w:before="0" w:beforeAutospacing="0" w:after="0" w:afterAutospacing="0" w:line="276" w:lineRule="auto"/>
                    <w:ind w:left="0" w:right="0"/>
                    <w:jc w:val="center"/>
                    <w:rPr>
                      <w:rFonts w:hint="eastAsia" w:ascii="Times New Roman" w:hAnsi="Times New Roman" w:eastAsia="宋体" w:cs="Times New Roman"/>
                      <w:bCs/>
                      <w:color w:val="auto"/>
                      <w:kern w:val="2"/>
                      <w:sz w:val="18"/>
                      <w:szCs w:val="18"/>
                      <w:highlight w:val="none"/>
                      <w:lang w:val="en-US" w:eastAsia="zh-CN" w:bidi="ar-SA"/>
                    </w:rPr>
                  </w:pPr>
                  <w:r>
                    <w:rPr>
                      <w:rFonts w:hint="eastAsia" w:ascii="Times New Roman" w:hAnsi="Times New Roman" w:eastAsia="宋体" w:cs="Times New Roman"/>
                      <w:color w:val="auto"/>
                      <w:sz w:val="18"/>
                      <w:szCs w:val="18"/>
                      <w:highlight w:val="none"/>
                      <w:lang w:val="en-US" w:eastAsia="zh-CN"/>
                    </w:rPr>
                    <w:t>600</w:t>
                  </w:r>
                  <w:r>
                    <w:rPr>
                      <w:rFonts w:hint="eastAsia" w:ascii="Times New Roman" w:hAnsi="Times New Roman" w:eastAsia="宋体" w:cs="Times New Roman"/>
                      <w:color w:val="auto"/>
                      <w:sz w:val="18"/>
                      <w:szCs w:val="18"/>
                      <w:highlight w:val="none"/>
                    </w:rPr>
                    <w:t>只</w:t>
                  </w:r>
                </w:p>
              </w:tc>
              <w:tc>
                <w:tcPr>
                  <w:tcW w:w="1451" w:type="pct"/>
                  <w:tcBorders>
                    <w:top w:val="single" w:color="auto" w:sz="4" w:space="0"/>
                    <w:left w:val="single" w:color="auto" w:sz="4" w:space="0"/>
                    <w:bottom w:val="single" w:color="auto" w:sz="4" w:space="0"/>
                    <w:right w:val="single" w:color="auto" w:sz="4" w:space="0"/>
                  </w:tcBorders>
                  <w:vAlign w:val="center"/>
                </w:tcPr>
                <w:p w14:paraId="5E9885DE">
                  <w:pPr>
                    <w:pStyle w:val="120"/>
                    <w:keepNext w:val="0"/>
                    <w:keepLines w:val="0"/>
                    <w:pageBreakBefore w:val="0"/>
                    <w:framePr w:hSpace="0" w:wrap="auto" w:vAnchor="margin" w:hAnchor="text" w:xAlign="left" w:yAlign="inline"/>
                    <w:suppressLineNumbers w:val="0"/>
                    <w:kinsoku/>
                    <w:wordWrap/>
                    <w:overflowPunct/>
                    <w:topLinePunct w:val="0"/>
                    <w:bidi w:val="0"/>
                    <w:adjustRightInd w:val="0"/>
                    <w:snapToGrid w:val="0"/>
                    <w:spacing w:before="0" w:beforeAutospacing="0" w:after="0" w:afterAutospacing="0" w:line="276" w:lineRule="auto"/>
                    <w:ind w:left="0" w:right="0"/>
                    <w:jc w:val="center"/>
                    <w:rPr>
                      <w:rFonts w:hint="eastAsia" w:ascii="Times New Roman" w:hAnsi="Times New Roman" w:eastAsia="宋体" w:cs="Times New Roman"/>
                      <w:color w:val="auto"/>
                      <w:sz w:val="18"/>
                      <w:szCs w:val="18"/>
                      <w:highlight w:val="none"/>
                      <w:lang w:val="en-US" w:eastAsia="zh-CN"/>
                    </w:rPr>
                  </w:pPr>
                  <w:r>
                    <w:rPr>
                      <w:rFonts w:hint="eastAsia" w:cs="Times New Roman"/>
                      <w:color w:val="auto"/>
                      <w:sz w:val="18"/>
                      <w:szCs w:val="18"/>
                      <w:highlight w:val="none"/>
                      <w:lang w:val="en-US" w:eastAsia="zh-CN"/>
                    </w:rPr>
                    <w:t>普通级</w:t>
                  </w:r>
                  <w:r>
                    <w:rPr>
                      <w:rFonts w:hint="eastAsia" w:cs="Times New Roman"/>
                      <w:sz w:val="18"/>
                      <w:szCs w:val="18"/>
                      <w:highlight w:val="none"/>
                      <w:lang w:val="en-US" w:eastAsia="zh-CN"/>
                    </w:rPr>
                    <w:t>，</w:t>
                  </w:r>
                  <w:r>
                    <w:rPr>
                      <w:rFonts w:hint="eastAsia" w:ascii="Times New Roman" w:hAnsi="Times New Roman" w:eastAsia="宋体" w:cs="Times New Roman"/>
                      <w:sz w:val="18"/>
                      <w:szCs w:val="18"/>
                      <w:highlight w:val="none"/>
                      <w:lang w:val="en-US" w:eastAsia="zh-CN"/>
                    </w:rPr>
                    <w:t>笼位约</w:t>
                  </w:r>
                  <w:r>
                    <w:rPr>
                      <w:rFonts w:hint="eastAsia" w:cs="Times New Roman"/>
                      <w:sz w:val="18"/>
                      <w:szCs w:val="18"/>
                      <w:highlight w:val="none"/>
                      <w:lang w:val="en-US" w:eastAsia="zh-CN"/>
                    </w:rPr>
                    <w:t>6</w:t>
                  </w:r>
                  <w:r>
                    <w:rPr>
                      <w:rFonts w:hint="eastAsia" w:ascii="Times New Roman" w:hAnsi="Times New Roman" w:eastAsia="宋体" w:cs="Times New Roman"/>
                      <w:sz w:val="18"/>
                      <w:szCs w:val="18"/>
                      <w:highlight w:val="none"/>
                    </w:rPr>
                    <w:t>00</w:t>
                  </w:r>
                  <w:r>
                    <w:rPr>
                      <w:rFonts w:hint="eastAsia" w:ascii="Times New Roman" w:hAnsi="Times New Roman" w:eastAsia="宋体" w:cs="Times New Roman"/>
                      <w:sz w:val="18"/>
                      <w:szCs w:val="18"/>
                      <w:highlight w:val="none"/>
                      <w:lang w:val="en-US" w:eastAsia="zh-CN"/>
                    </w:rPr>
                    <w:t>个</w:t>
                  </w:r>
                  <w:r>
                    <w:rPr>
                      <w:rFonts w:hint="eastAsia" w:ascii="Times New Roman" w:hAnsi="Times New Roman" w:eastAsia="宋体" w:cs="Times New Roman"/>
                      <w:color w:val="auto"/>
                      <w:sz w:val="18"/>
                      <w:szCs w:val="18"/>
                      <w:highlight w:val="none"/>
                      <w:lang w:val="en-US" w:eastAsia="zh-CN"/>
                    </w:rPr>
                    <w:t>，饲养量约</w:t>
                  </w:r>
                  <w:r>
                    <w:rPr>
                      <w:rFonts w:hint="eastAsia" w:cs="Times New Roman"/>
                      <w:color w:val="auto"/>
                      <w:sz w:val="18"/>
                      <w:szCs w:val="18"/>
                      <w:highlight w:val="none"/>
                      <w:lang w:val="en-US" w:eastAsia="zh-CN"/>
                    </w:rPr>
                    <w:t>6</w:t>
                  </w:r>
                  <w:r>
                    <w:rPr>
                      <w:rFonts w:hint="eastAsia" w:ascii="Times New Roman" w:hAnsi="Times New Roman" w:eastAsia="宋体" w:cs="Times New Roman"/>
                      <w:color w:val="auto"/>
                      <w:sz w:val="18"/>
                      <w:szCs w:val="18"/>
                      <w:highlight w:val="none"/>
                      <w:lang w:val="en-US" w:eastAsia="zh-CN"/>
                    </w:rPr>
                    <w:t>00只</w:t>
                  </w:r>
                </w:p>
              </w:tc>
              <w:tc>
                <w:tcPr>
                  <w:tcW w:w="586" w:type="pct"/>
                  <w:tcBorders>
                    <w:top w:val="single" w:color="auto" w:sz="4" w:space="0"/>
                    <w:left w:val="single" w:color="auto" w:sz="4" w:space="0"/>
                    <w:bottom w:val="single" w:color="auto" w:sz="4" w:space="0"/>
                    <w:right w:val="single" w:color="auto" w:sz="4" w:space="0"/>
                  </w:tcBorders>
                  <w:vAlign w:val="center"/>
                </w:tcPr>
                <w:p w14:paraId="1A92A611">
                  <w:pPr>
                    <w:pStyle w:val="120"/>
                    <w:keepNext w:val="0"/>
                    <w:keepLines w:val="0"/>
                    <w:pageBreakBefore w:val="0"/>
                    <w:framePr w:hSpace="0" w:wrap="auto" w:vAnchor="margin" w:hAnchor="text" w:xAlign="left" w:yAlign="inline"/>
                    <w:suppressLineNumbers w:val="0"/>
                    <w:kinsoku/>
                    <w:wordWrap/>
                    <w:overflowPunct/>
                    <w:topLinePunct w:val="0"/>
                    <w:bidi w:val="0"/>
                    <w:adjustRightInd w:val="0"/>
                    <w:snapToGrid w:val="0"/>
                    <w:spacing w:before="0" w:beforeAutospacing="0" w:after="0" w:afterAutospacing="0" w:line="276" w:lineRule="auto"/>
                    <w:ind w:left="0" w:right="0"/>
                    <w:jc w:val="center"/>
                    <w:rPr>
                      <w:rFonts w:hint="eastAsia" w:ascii="Times New Roman" w:hAnsi="Times New Roman" w:eastAsia="宋体" w:cs="Times New Roman"/>
                      <w:color w:val="auto"/>
                      <w:sz w:val="18"/>
                      <w:szCs w:val="18"/>
                      <w:highlight w:val="none"/>
                      <w:lang w:val="en-US" w:eastAsia="zh-CN"/>
                    </w:rPr>
                  </w:pPr>
                  <w:r>
                    <w:rPr>
                      <w:rFonts w:hint="eastAsia" w:ascii="Times New Roman" w:hAnsi="Times New Roman" w:eastAsia="宋体" w:cs="Times New Roman"/>
                      <w:color w:val="auto"/>
                      <w:sz w:val="18"/>
                      <w:szCs w:val="18"/>
                      <w:highlight w:val="none"/>
                      <w:lang w:val="en-US" w:eastAsia="zh-CN"/>
                    </w:rPr>
                    <w:t>60</w:t>
                  </w:r>
                  <w:r>
                    <w:rPr>
                      <w:rFonts w:hint="eastAsia" w:ascii="Times New Roman" w:hAnsi="Times New Roman" w:eastAsia="宋体" w:cs="Times New Roman"/>
                      <w:color w:val="auto"/>
                      <w:sz w:val="18"/>
                      <w:szCs w:val="18"/>
                      <w:highlight w:val="none"/>
                    </w:rPr>
                    <w:t>只</w:t>
                  </w:r>
                </w:p>
              </w:tc>
              <w:tc>
                <w:tcPr>
                  <w:tcW w:w="368" w:type="pct"/>
                  <w:tcBorders>
                    <w:top w:val="single" w:color="auto" w:sz="4" w:space="0"/>
                    <w:left w:val="single" w:color="auto" w:sz="4" w:space="0"/>
                    <w:bottom w:val="single" w:color="auto" w:sz="4" w:space="0"/>
                    <w:right w:val="single" w:color="auto" w:sz="4" w:space="0"/>
                  </w:tcBorders>
                  <w:vAlign w:val="center"/>
                </w:tcPr>
                <w:p w14:paraId="6029D3B5">
                  <w:pPr>
                    <w:keepNext w:val="0"/>
                    <w:keepLines w:val="0"/>
                    <w:pageBreakBefore w:val="0"/>
                    <w:suppressLineNumbers w:val="0"/>
                    <w:kinsoku/>
                    <w:wordWrap/>
                    <w:overflowPunct/>
                    <w:topLinePunct w:val="0"/>
                    <w:bidi w:val="0"/>
                    <w:adjustRightInd w:val="0"/>
                    <w:snapToGrid w:val="0"/>
                    <w:spacing w:before="0" w:beforeAutospacing="0" w:after="0" w:afterAutospacing="0" w:line="276" w:lineRule="auto"/>
                    <w:ind w:left="0" w:right="0"/>
                    <w:jc w:val="center"/>
                    <w:rPr>
                      <w:rFonts w:hint="eastAsia" w:ascii="Times New Roman" w:hAnsi="Times New Roman" w:eastAsia="宋体" w:cs="Times New Roman"/>
                      <w:sz w:val="18"/>
                      <w:szCs w:val="18"/>
                      <w:highlight w:val="none"/>
                    </w:rPr>
                  </w:pPr>
                  <w:r>
                    <w:rPr>
                      <w:rFonts w:hint="eastAsia" w:ascii="Times New Roman" w:hAnsi="Times New Roman" w:eastAsia="宋体" w:cs="Times New Roman"/>
                      <w:sz w:val="18"/>
                      <w:szCs w:val="18"/>
                      <w:highlight w:val="none"/>
                    </w:rPr>
                    <w:t>/</w:t>
                  </w:r>
                </w:p>
              </w:tc>
              <w:tc>
                <w:tcPr>
                  <w:tcW w:w="892" w:type="pct"/>
                  <w:vMerge w:val="continue"/>
                  <w:tcBorders>
                    <w:left w:val="single" w:color="auto" w:sz="4" w:space="0"/>
                    <w:right w:val="single" w:color="auto" w:sz="4" w:space="0"/>
                  </w:tcBorders>
                  <w:vAlign w:val="center"/>
                </w:tcPr>
                <w:p w14:paraId="0B58850A">
                  <w:pPr>
                    <w:keepNext w:val="0"/>
                    <w:keepLines w:val="0"/>
                    <w:pageBreakBefore w:val="0"/>
                    <w:suppressLineNumbers w:val="0"/>
                    <w:kinsoku/>
                    <w:wordWrap/>
                    <w:overflowPunct/>
                    <w:topLinePunct w:val="0"/>
                    <w:bidi w:val="0"/>
                    <w:adjustRightInd w:val="0"/>
                    <w:snapToGrid w:val="0"/>
                    <w:spacing w:before="0" w:beforeAutospacing="0" w:after="0" w:afterAutospacing="0" w:line="276" w:lineRule="auto"/>
                    <w:ind w:left="0" w:right="0"/>
                    <w:jc w:val="center"/>
                    <w:rPr>
                      <w:rFonts w:hint="eastAsia" w:ascii="Times New Roman" w:hAnsi="Times New Roman" w:eastAsia="宋体" w:cs="Times New Roman"/>
                      <w:sz w:val="18"/>
                      <w:szCs w:val="18"/>
                      <w:highlight w:val="none"/>
                    </w:rPr>
                  </w:pPr>
                </w:p>
              </w:tc>
            </w:tr>
            <w:tr w14:paraId="1A7A849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7" w:type="dxa"/>
                  <w:bottom w:w="0" w:type="dxa"/>
                  <w:right w:w="17" w:type="dxa"/>
                </w:tblCellMar>
              </w:tblPrEx>
              <w:trPr>
                <w:trHeight w:val="0" w:hRule="atLeast"/>
                <w:jc w:val="center"/>
              </w:trPr>
              <w:tc>
                <w:tcPr>
                  <w:tcW w:w="283" w:type="pct"/>
                  <w:tcBorders>
                    <w:top w:val="single" w:color="auto" w:sz="4" w:space="0"/>
                    <w:left w:val="single" w:color="auto" w:sz="4" w:space="0"/>
                    <w:bottom w:val="single" w:color="auto" w:sz="4" w:space="0"/>
                    <w:right w:val="single" w:color="auto" w:sz="4" w:space="0"/>
                  </w:tcBorders>
                  <w:shd w:val="clear" w:color="auto" w:fill="auto"/>
                  <w:vAlign w:val="center"/>
                </w:tcPr>
                <w:p w14:paraId="490D01DC">
                  <w:pPr>
                    <w:keepNext w:val="0"/>
                    <w:keepLines w:val="0"/>
                    <w:pageBreakBefore w:val="0"/>
                    <w:suppressLineNumbers w:val="0"/>
                    <w:kinsoku/>
                    <w:wordWrap/>
                    <w:overflowPunct/>
                    <w:topLinePunct w:val="0"/>
                    <w:bidi w:val="0"/>
                    <w:adjustRightInd w:val="0"/>
                    <w:snapToGrid w:val="0"/>
                    <w:spacing w:before="0" w:beforeAutospacing="0" w:after="0" w:afterAutospacing="0" w:line="276" w:lineRule="auto"/>
                    <w:ind w:left="0" w:right="0"/>
                    <w:jc w:val="center"/>
                    <w:rPr>
                      <w:rFonts w:hint="eastAsia" w:ascii="Times New Roman" w:hAnsi="Times New Roman" w:eastAsia="宋体" w:cs="Times New Roman"/>
                      <w:kern w:val="2"/>
                      <w:sz w:val="18"/>
                      <w:szCs w:val="18"/>
                      <w:highlight w:val="none"/>
                      <w:lang w:val="en-US" w:eastAsia="zh-CN" w:bidi="ar-SA"/>
                    </w:rPr>
                  </w:pPr>
                  <w:r>
                    <w:rPr>
                      <w:rFonts w:hint="eastAsia" w:ascii="Times New Roman" w:hAnsi="Times New Roman" w:eastAsia="宋体" w:cs="Times New Roman"/>
                      <w:sz w:val="18"/>
                      <w:szCs w:val="18"/>
                      <w:highlight w:val="none"/>
                    </w:rPr>
                    <w:t>5</w:t>
                  </w:r>
                </w:p>
              </w:tc>
              <w:tc>
                <w:tcPr>
                  <w:tcW w:w="894" w:type="pct"/>
                  <w:tcBorders>
                    <w:top w:val="single" w:color="auto" w:sz="4" w:space="0"/>
                    <w:left w:val="single" w:color="auto" w:sz="4" w:space="0"/>
                    <w:bottom w:val="single" w:color="auto" w:sz="4" w:space="0"/>
                    <w:right w:val="single" w:color="auto" w:sz="4" w:space="0"/>
                  </w:tcBorders>
                  <w:vAlign w:val="center"/>
                </w:tcPr>
                <w:p w14:paraId="18A1DF2A">
                  <w:pPr>
                    <w:pStyle w:val="120"/>
                    <w:keepNext w:val="0"/>
                    <w:keepLines w:val="0"/>
                    <w:pageBreakBefore w:val="0"/>
                    <w:framePr w:hSpace="0" w:wrap="auto" w:vAnchor="margin" w:hAnchor="text" w:xAlign="left" w:yAlign="inline"/>
                    <w:suppressLineNumbers w:val="0"/>
                    <w:kinsoku/>
                    <w:wordWrap/>
                    <w:overflowPunct/>
                    <w:topLinePunct w:val="0"/>
                    <w:bidi w:val="0"/>
                    <w:adjustRightInd w:val="0"/>
                    <w:snapToGrid w:val="0"/>
                    <w:spacing w:before="0" w:beforeAutospacing="0" w:after="0" w:afterAutospacing="0" w:line="276" w:lineRule="auto"/>
                    <w:ind w:left="0" w:right="0"/>
                    <w:jc w:val="center"/>
                    <w:rPr>
                      <w:rFonts w:hint="eastAsia" w:ascii="Times New Roman" w:hAnsi="Times New Roman" w:eastAsia="宋体" w:cs="Times New Roman"/>
                      <w:bCs/>
                      <w:color w:val="auto"/>
                      <w:kern w:val="2"/>
                      <w:sz w:val="18"/>
                      <w:szCs w:val="18"/>
                      <w:highlight w:val="none"/>
                      <w:lang w:val="en-US" w:eastAsia="zh-CN" w:bidi="ar-SA"/>
                    </w:rPr>
                  </w:pPr>
                  <w:r>
                    <w:rPr>
                      <w:rFonts w:hint="default" w:ascii="Times New Roman" w:hAnsi="Times New Roman" w:eastAsia="宋体" w:cs="Times New Roman"/>
                      <w:color w:val="auto"/>
                      <w:sz w:val="18"/>
                      <w:szCs w:val="18"/>
                      <w:highlight w:val="none"/>
                    </w:rPr>
                    <w:t>犬</w:t>
                  </w:r>
                </w:p>
              </w:tc>
              <w:tc>
                <w:tcPr>
                  <w:tcW w:w="523" w:type="pct"/>
                  <w:tcBorders>
                    <w:top w:val="single" w:color="auto" w:sz="4" w:space="0"/>
                    <w:left w:val="single" w:color="auto" w:sz="4" w:space="0"/>
                    <w:bottom w:val="single" w:color="auto" w:sz="4" w:space="0"/>
                    <w:right w:val="single" w:color="auto" w:sz="4" w:space="0"/>
                  </w:tcBorders>
                  <w:vAlign w:val="center"/>
                </w:tcPr>
                <w:p w14:paraId="03E82DD8">
                  <w:pPr>
                    <w:pStyle w:val="120"/>
                    <w:keepNext w:val="0"/>
                    <w:keepLines w:val="0"/>
                    <w:pageBreakBefore w:val="0"/>
                    <w:framePr w:hSpace="0" w:wrap="auto" w:vAnchor="margin" w:hAnchor="text" w:xAlign="left" w:yAlign="inline"/>
                    <w:suppressLineNumbers w:val="0"/>
                    <w:kinsoku/>
                    <w:wordWrap/>
                    <w:overflowPunct/>
                    <w:topLinePunct w:val="0"/>
                    <w:bidi w:val="0"/>
                    <w:adjustRightInd w:val="0"/>
                    <w:snapToGrid w:val="0"/>
                    <w:spacing w:before="0" w:beforeAutospacing="0" w:after="0" w:afterAutospacing="0" w:line="276" w:lineRule="auto"/>
                    <w:ind w:left="0" w:right="0"/>
                    <w:jc w:val="center"/>
                    <w:rPr>
                      <w:rFonts w:hint="eastAsia" w:ascii="Times New Roman" w:hAnsi="Times New Roman" w:eastAsia="宋体" w:cs="Times New Roman"/>
                      <w:bCs/>
                      <w:color w:val="auto"/>
                      <w:kern w:val="2"/>
                      <w:sz w:val="18"/>
                      <w:szCs w:val="18"/>
                      <w:highlight w:val="none"/>
                      <w:lang w:val="en-US" w:eastAsia="zh-CN" w:bidi="ar-SA"/>
                    </w:rPr>
                  </w:pPr>
                  <w:r>
                    <w:rPr>
                      <w:rFonts w:hint="eastAsia" w:ascii="Times New Roman" w:hAnsi="Times New Roman" w:eastAsia="宋体" w:cs="Times New Roman"/>
                      <w:color w:val="auto"/>
                      <w:sz w:val="18"/>
                      <w:szCs w:val="18"/>
                      <w:highlight w:val="none"/>
                      <w:lang w:val="en-US" w:eastAsia="zh-CN"/>
                    </w:rPr>
                    <w:t>10</w:t>
                  </w:r>
                  <w:r>
                    <w:rPr>
                      <w:rFonts w:hint="eastAsia" w:cs="Times New Roman"/>
                      <w:color w:val="auto"/>
                      <w:sz w:val="18"/>
                      <w:szCs w:val="18"/>
                      <w:highlight w:val="none"/>
                      <w:lang w:val="en-US" w:eastAsia="zh-CN"/>
                    </w:rPr>
                    <w:t>8</w:t>
                  </w:r>
                  <w:r>
                    <w:rPr>
                      <w:rFonts w:hint="eastAsia" w:ascii="Times New Roman" w:hAnsi="Times New Roman" w:eastAsia="宋体" w:cs="Times New Roman"/>
                      <w:color w:val="auto"/>
                      <w:sz w:val="18"/>
                      <w:szCs w:val="18"/>
                      <w:highlight w:val="none"/>
                      <w:lang w:val="en-US" w:eastAsia="zh-CN"/>
                    </w:rPr>
                    <w:t>0</w:t>
                  </w:r>
                  <w:r>
                    <w:rPr>
                      <w:rFonts w:hint="eastAsia" w:ascii="Times New Roman" w:hAnsi="Times New Roman" w:eastAsia="宋体" w:cs="Times New Roman"/>
                      <w:color w:val="auto"/>
                      <w:sz w:val="18"/>
                      <w:szCs w:val="18"/>
                      <w:highlight w:val="none"/>
                    </w:rPr>
                    <w:t>只</w:t>
                  </w:r>
                </w:p>
              </w:tc>
              <w:tc>
                <w:tcPr>
                  <w:tcW w:w="1451" w:type="pct"/>
                  <w:tcBorders>
                    <w:top w:val="single" w:color="auto" w:sz="4" w:space="0"/>
                    <w:left w:val="single" w:color="auto" w:sz="4" w:space="0"/>
                    <w:bottom w:val="single" w:color="auto" w:sz="4" w:space="0"/>
                    <w:right w:val="single" w:color="auto" w:sz="4" w:space="0"/>
                  </w:tcBorders>
                  <w:vAlign w:val="center"/>
                </w:tcPr>
                <w:p w14:paraId="2DA69424">
                  <w:pPr>
                    <w:keepNext w:val="0"/>
                    <w:keepLines w:val="0"/>
                    <w:pageBreakBefore w:val="0"/>
                    <w:suppressLineNumbers w:val="0"/>
                    <w:kinsoku/>
                    <w:wordWrap/>
                    <w:overflowPunct/>
                    <w:topLinePunct w:val="0"/>
                    <w:bidi w:val="0"/>
                    <w:adjustRightInd w:val="0"/>
                    <w:snapToGrid w:val="0"/>
                    <w:spacing w:before="0" w:beforeAutospacing="0" w:after="0" w:afterAutospacing="0" w:line="276" w:lineRule="auto"/>
                    <w:ind w:left="0" w:right="0"/>
                    <w:jc w:val="center"/>
                    <w:rPr>
                      <w:rFonts w:hint="eastAsia" w:ascii="Times New Roman" w:hAnsi="Times New Roman" w:eastAsia="宋体" w:cs="Times New Roman"/>
                      <w:color w:val="auto"/>
                      <w:sz w:val="18"/>
                      <w:szCs w:val="18"/>
                      <w:highlight w:val="none"/>
                    </w:rPr>
                  </w:pPr>
                  <w:r>
                    <w:rPr>
                      <w:rFonts w:hint="eastAsia" w:cs="Times New Roman"/>
                      <w:color w:val="auto"/>
                      <w:sz w:val="18"/>
                      <w:szCs w:val="18"/>
                      <w:highlight w:val="none"/>
                      <w:lang w:val="en-US" w:eastAsia="zh-CN"/>
                    </w:rPr>
                    <w:t>普通级</w:t>
                  </w:r>
                  <w:r>
                    <w:rPr>
                      <w:rFonts w:hint="eastAsia" w:cs="Times New Roman"/>
                      <w:sz w:val="18"/>
                      <w:szCs w:val="18"/>
                      <w:highlight w:val="none"/>
                      <w:lang w:val="en-US" w:eastAsia="zh-CN"/>
                    </w:rPr>
                    <w:t>，</w:t>
                  </w:r>
                  <w:r>
                    <w:rPr>
                      <w:rFonts w:hint="eastAsia" w:ascii="Times New Roman" w:hAnsi="Times New Roman" w:eastAsia="宋体" w:cs="Times New Roman"/>
                      <w:sz w:val="18"/>
                      <w:szCs w:val="18"/>
                      <w:highlight w:val="none"/>
                      <w:lang w:val="en-US" w:eastAsia="zh-CN"/>
                    </w:rPr>
                    <w:t>笼位约</w:t>
                  </w:r>
                  <w:r>
                    <w:rPr>
                      <w:rFonts w:hint="eastAsia" w:cs="Times New Roman"/>
                      <w:sz w:val="18"/>
                      <w:szCs w:val="18"/>
                      <w:highlight w:val="none"/>
                      <w:lang w:val="en-US" w:eastAsia="zh-CN"/>
                    </w:rPr>
                    <w:t>1</w:t>
                  </w:r>
                  <w:r>
                    <w:rPr>
                      <w:rFonts w:hint="eastAsia" w:ascii="Times New Roman" w:hAnsi="Times New Roman" w:eastAsia="宋体" w:cs="Times New Roman"/>
                      <w:sz w:val="18"/>
                      <w:szCs w:val="18"/>
                      <w:highlight w:val="none"/>
                    </w:rPr>
                    <w:t>0</w:t>
                  </w:r>
                  <w:r>
                    <w:rPr>
                      <w:rFonts w:hint="eastAsia" w:cs="Times New Roman"/>
                      <w:sz w:val="18"/>
                      <w:szCs w:val="18"/>
                      <w:highlight w:val="none"/>
                      <w:lang w:val="en-US" w:eastAsia="zh-CN"/>
                    </w:rPr>
                    <w:t>8</w:t>
                  </w:r>
                  <w:r>
                    <w:rPr>
                      <w:rFonts w:hint="eastAsia" w:ascii="Times New Roman" w:hAnsi="Times New Roman" w:eastAsia="宋体" w:cs="Times New Roman"/>
                      <w:sz w:val="18"/>
                      <w:szCs w:val="18"/>
                      <w:highlight w:val="none"/>
                    </w:rPr>
                    <w:t>0</w:t>
                  </w:r>
                  <w:r>
                    <w:rPr>
                      <w:rFonts w:hint="eastAsia" w:ascii="Times New Roman" w:hAnsi="Times New Roman" w:eastAsia="宋体" w:cs="Times New Roman"/>
                      <w:sz w:val="18"/>
                      <w:szCs w:val="18"/>
                      <w:highlight w:val="none"/>
                      <w:lang w:val="en-US" w:eastAsia="zh-CN"/>
                    </w:rPr>
                    <w:t>个</w:t>
                  </w:r>
                  <w:r>
                    <w:rPr>
                      <w:rFonts w:hint="eastAsia" w:ascii="Times New Roman" w:hAnsi="Times New Roman" w:eastAsia="宋体" w:cs="Times New Roman"/>
                      <w:color w:val="auto"/>
                      <w:sz w:val="18"/>
                      <w:szCs w:val="18"/>
                      <w:highlight w:val="none"/>
                      <w:lang w:val="en-US" w:eastAsia="zh-CN"/>
                    </w:rPr>
                    <w:t>，饲养量约</w:t>
                  </w:r>
                  <w:r>
                    <w:rPr>
                      <w:rFonts w:hint="eastAsia" w:cs="Times New Roman"/>
                      <w:sz w:val="18"/>
                      <w:szCs w:val="18"/>
                      <w:highlight w:val="none"/>
                      <w:lang w:val="en-US" w:eastAsia="zh-CN"/>
                    </w:rPr>
                    <w:t>1</w:t>
                  </w:r>
                  <w:r>
                    <w:rPr>
                      <w:rFonts w:hint="eastAsia" w:ascii="Times New Roman" w:hAnsi="Times New Roman" w:eastAsia="宋体" w:cs="Times New Roman"/>
                      <w:sz w:val="18"/>
                      <w:szCs w:val="18"/>
                      <w:highlight w:val="none"/>
                    </w:rPr>
                    <w:t>0</w:t>
                  </w:r>
                  <w:r>
                    <w:rPr>
                      <w:rFonts w:hint="eastAsia" w:cs="Times New Roman"/>
                      <w:sz w:val="18"/>
                      <w:szCs w:val="18"/>
                      <w:highlight w:val="none"/>
                      <w:lang w:val="en-US" w:eastAsia="zh-CN"/>
                    </w:rPr>
                    <w:t>8</w:t>
                  </w:r>
                  <w:r>
                    <w:rPr>
                      <w:rFonts w:hint="eastAsia" w:ascii="Times New Roman" w:hAnsi="Times New Roman" w:eastAsia="宋体" w:cs="Times New Roman"/>
                      <w:sz w:val="18"/>
                      <w:szCs w:val="18"/>
                      <w:highlight w:val="none"/>
                    </w:rPr>
                    <w:t>0</w:t>
                  </w:r>
                  <w:r>
                    <w:rPr>
                      <w:rFonts w:hint="eastAsia" w:ascii="Times New Roman" w:hAnsi="Times New Roman" w:eastAsia="宋体" w:cs="Times New Roman"/>
                      <w:color w:val="auto"/>
                      <w:sz w:val="18"/>
                      <w:szCs w:val="18"/>
                      <w:highlight w:val="none"/>
                      <w:lang w:val="en-US" w:eastAsia="zh-CN"/>
                    </w:rPr>
                    <w:t>只</w:t>
                  </w:r>
                </w:p>
              </w:tc>
              <w:tc>
                <w:tcPr>
                  <w:tcW w:w="586" w:type="pct"/>
                  <w:tcBorders>
                    <w:top w:val="single" w:color="auto" w:sz="4" w:space="0"/>
                    <w:left w:val="single" w:color="auto" w:sz="4" w:space="0"/>
                    <w:bottom w:val="single" w:color="auto" w:sz="4" w:space="0"/>
                    <w:right w:val="single" w:color="auto" w:sz="4" w:space="0"/>
                  </w:tcBorders>
                  <w:vAlign w:val="center"/>
                </w:tcPr>
                <w:p w14:paraId="1FCC1941">
                  <w:pPr>
                    <w:pStyle w:val="120"/>
                    <w:keepNext w:val="0"/>
                    <w:keepLines w:val="0"/>
                    <w:pageBreakBefore w:val="0"/>
                    <w:framePr w:hSpace="0" w:wrap="auto" w:vAnchor="margin" w:hAnchor="text" w:xAlign="left" w:yAlign="inline"/>
                    <w:suppressLineNumbers w:val="0"/>
                    <w:kinsoku/>
                    <w:wordWrap/>
                    <w:overflowPunct/>
                    <w:topLinePunct w:val="0"/>
                    <w:bidi w:val="0"/>
                    <w:adjustRightInd w:val="0"/>
                    <w:snapToGrid w:val="0"/>
                    <w:spacing w:before="0" w:beforeAutospacing="0" w:after="0" w:afterAutospacing="0" w:line="276" w:lineRule="auto"/>
                    <w:ind w:left="0" w:right="0"/>
                    <w:jc w:val="center"/>
                    <w:rPr>
                      <w:rFonts w:hint="eastAsia" w:ascii="Times New Roman" w:hAnsi="Times New Roman" w:eastAsia="宋体" w:cs="Times New Roman"/>
                      <w:color w:val="auto"/>
                      <w:sz w:val="18"/>
                      <w:szCs w:val="18"/>
                      <w:highlight w:val="none"/>
                      <w:lang w:val="en-US" w:eastAsia="zh-CN"/>
                    </w:rPr>
                  </w:pPr>
                  <w:r>
                    <w:rPr>
                      <w:rFonts w:hint="eastAsia" w:ascii="Times New Roman" w:hAnsi="Times New Roman" w:eastAsia="宋体" w:cs="Times New Roman"/>
                      <w:color w:val="auto"/>
                      <w:sz w:val="18"/>
                      <w:szCs w:val="18"/>
                      <w:highlight w:val="none"/>
                      <w:lang w:val="en-US" w:eastAsia="zh-CN"/>
                    </w:rPr>
                    <w:t>10</w:t>
                  </w:r>
                  <w:r>
                    <w:rPr>
                      <w:rFonts w:hint="eastAsia" w:cs="Times New Roman"/>
                      <w:color w:val="auto"/>
                      <w:sz w:val="18"/>
                      <w:szCs w:val="18"/>
                      <w:highlight w:val="none"/>
                      <w:lang w:val="en-US" w:eastAsia="zh-CN"/>
                    </w:rPr>
                    <w:t>8</w:t>
                  </w:r>
                  <w:r>
                    <w:rPr>
                      <w:rFonts w:hint="eastAsia" w:ascii="Times New Roman" w:hAnsi="Times New Roman" w:eastAsia="宋体" w:cs="Times New Roman"/>
                      <w:color w:val="auto"/>
                      <w:sz w:val="18"/>
                      <w:szCs w:val="18"/>
                      <w:highlight w:val="none"/>
                    </w:rPr>
                    <w:t>只</w:t>
                  </w:r>
                </w:p>
              </w:tc>
              <w:tc>
                <w:tcPr>
                  <w:tcW w:w="368" w:type="pct"/>
                  <w:tcBorders>
                    <w:top w:val="single" w:color="auto" w:sz="4" w:space="0"/>
                    <w:left w:val="single" w:color="auto" w:sz="4" w:space="0"/>
                    <w:bottom w:val="single" w:color="auto" w:sz="4" w:space="0"/>
                    <w:right w:val="single" w:color="auto" w:sz="4" w:space="0"/>
                  </w:tcBorders>
                  <w:vAlign w:val="center"/>
                </w:tcPr>
                <w:p w14:paraId="5CA10681">
                  <w:pPr>
                    <w:keepNext w:val="0"/>
                    <w:keepLines w:val="0"/>
                    <w:pageBreakBefore w:val="0"/>
                    <w:suppressLineNumbers w:val="0"/>
                    <w:kinsoku/>
                    <w:wordWrap/>
                    <w:overflowPunct/>
                    <w:topLinePunct w:val="0"/>
                    <w:bidi w:val="0"/>
                    <w:adjustRightInd w:val="0"/>
                    <w:snapToGrid w:val="0"/>
                    <w:spacing w:before="0" w:beforeAutospacing="0" w:after="0" w:afterAutospacing="0" w:line="276" w:lineRule="auto"/>
                    <w:ind w:left="0" w:right="0"/>
                    <w:jc w:val="center"/>
                    <w:rPr>
                      <w:rFonts w:hint="eastAsia" w:ascii="Times New Roman" w:hAnsi="Times New Roman" w:eastAsia="宋体" w:cs="Times New Roman"/>
                      <w:sz w:val="18"/>
                      <w:szCs w:val="18"/>
                      <w:highlight w:val="none"/>
                    </w:rPr>
                  </w:pPr>
                  <w:r>
                    <w:rPr>
                      <w:rFonts w:hint="eastAsia" w:ascii="Times New Roman" w:hAnsi="Times New Roman" w:eastAsia="宋体" w:cs="Times New Roman"/>
                      <w:sz w:val="18"/>
                      <w:szCs w:val="18"/>
                      <w:highlight w:val="none"/>
                    </w:rPr>
                    <w:t>/</w:t>
                  </w:r>
                </w:p>
              </w:tc>
              <w:tc>
                <w:tcPr>
                  <w:tcW w:w="892" w:type="pct"/>
                  <w:vMerge w:val="continue"/>
                  <w:tcBorders>
                    <w:left w:val="single" w:color="auto" w:sz="4" w:space="0"/>
                    <w:right w:val="single" w:color="auto" w:sz="4" w:space="0"/>
                  </w:tcBorders>
                  <w:vAlign w:val="center"/>
                </w:tcPr>
                <w:p w14:paraId="22D8A13C">
                  <w:pPr>
                    <w:keepNext w:val="0"/>
                    <w:keepLines w:val="0"/>
                    <w:pageBreakBefore w:val="0"/>
                    <w:suppressLineNumbers w:val="0"/>
                    <w:kinsoku/>
                    <w:wordWrap/>
                    <w:overflowPunct/>
                    <w:topLinePunct w:val="0"/>
                    <w:bidi w:val="0"/>
                    <w:adjustRightInd w:val="0"/>
                    <w:snapToGrid w:val="0"/>
                    <w:spacing w:before="0" w:beforeAutospacing="0" w:after="0" w:afterAutospacing="0" w:line="276" w:lineRule="auto"/>
                    <w:ind w:left="0" w:right="0"/>
                    <w:jc w:val="center"/>
                    <w:rPr>
                      <w:rFonts w:hint="eastAsia" w:ascii="Times New Roman" w:hAnsi="Times New Roman" w:eastAsia="宋体" w:cs="Times New Roman"/>
                      <w:sz w:val="18"/>
                      <w:szCs w:val="18"/>
                      <w:highlight w:val="none"/>
                    </w:rPr>
                  </w:pPr>
                </w:p>
              </w:tc>
            </w:tr>
            <w:tr w14:paraId="75EBDEF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7" w:type="dxa"/>
                  <w:bottom w:w="0" w:type="dxa"/>
                  <w:right w:w="17" w:type="dxa"/>
                </w:tblCellMar>
              </w:tblPrEx>
              <w:trPr>
                <w:trHeight w:val="0" w:hRule="atLeast"/>
                <w:jc w:val="center"/>
              </w:trPr>
              <w:tc>
                <w:tcPr>
                  <w:tcW w:w="283" w:type="pct"/>
                  <w:tcBorders>
                    <w:top w:val="single" w:color="auto" w:sz="4" w:space="0"/>
                    <w:left w:val="single" w:color="auto" w:sz="4" w:space="0"/>
                    <w:bottom w:val="single" w:color="auto" w:sz="4" w:space="0"/>
                    <w:right w:val="single" w:color="auto" w:sz="4" w:space="0"/>
                  </w:tcBorders>
                  <w:vAlign w:val="center"/>
                </w:tcPr>
                <w:p w14:paraId="149D9C55">
                  <w:pPr>
                    <w:keepNext w:val="0"/>
                    <w:keepLines w:val="0"/>
                    <w:pageBreakBefore w:val="0"/>
                    <w:suppressLineNumbers w:val="0"/>
                    <w:kinsoku/>
                    <w:wordWrap/>
                    <w:overflowPunct/>
                    <w:topLinePunct w:val="0"/>
                    <w:bidi w:val="0"/>
                    <w:adjustRightInd w:val="0"/>
                    <w:snapToGrid w:val="0"/>
                    <w:spacing w:before="0" w:beforeAutospacing="0" w:after="0" w:afterAutospacing="0" w:line="276" w:lineRule="auto"/>
                    <w:ind w:left="0" w:right="0"/>
                    <w:jc w:val="center"/>
                    <w:rPr>
                      <w:rFonts w:hint="eastAsia" w:ascii="Times New Roman" w:hAnsi="Times New Roman" w:eastAsia="宋体" w:cs="Times New Roman"/>
                      <w:sz w:val="18"/>
                      <w:szCs w:val="18"/>
                      <w:highlight w:val="none"/>
                      <w:lang w:val="en-US" w:eastAsia="zh-CN"/>
                    </w:rPr>
                  </w:pPr>
                  <w:r>
                    <w:rPr>
                      <w:rFonts w:hint="eastAsia" w:cs="Times New Roman"/>
                      <w:sz w:val="18"/>
                      <w:szCs w:val="18"/>
                      <w:highlight w:val="none"/>
                      <w:lang w:val="en-US" w:eastAsia="zh-CN"/>
                    </w:rPr>
                    <w:t>6</w:t>
                  </w:r>
                </w:p>
              </w:tc>
              <w:tc>
                <w:tcPr>
                  <w:tcW w:w="894" w:type="pct"/>
                  <w:tcBorders>
                    <w:top w:val="single" w:color="auto" w:sz="4" w:space="0"/>
                    <w:left w:val="single" w:color="auto" w:sz="4" w:space="0"/>
                    <w:bottom w:val="single" w:color="auto" w:sz="4" w:space="0"/>
                    <w:right w:val="single" w:color="auto" w:sz="4" w:space="0"/>
                  </w:tcBorders>
                  <w:vAlign w:val="center"/>
                </w:tcPr>
                <w:p w14:paraId="3B6A3435">
                  <w:pPr>
                    <w:pStyle w:val="120"/>
                    <w:keepNext w:val="0"/>
                    <w:keepLines w:val="0"/>
                    <w:pageBreakBefore w:val="0"/>
                    <w:framePr w:hSpace="0" w:wrap="auto" w:vAnchor="margin" w:hAnchor="text" w:xAlign="left" w:yAlign="inline"/>
                    <w:suppressLineNumbers w:val="0"/>
                    <w:kinsoku/>
                    <w:wordWrap/>
                    <w:overflowPunct/>
                    <w:topLinePunct w:val="0"/>
                    <w:bidi w:val="0"/>
                    <w:adjustRightInd w:val="0"/>
                    <w:snapToGrid w:val="0"/>
                    <w:spacing w:before="0" w:beforeAutospacing="0" w:after="0" w:afterAutospacing="0" w:line="276" w:lineRule="auto"/>
                    <w:ind w:left="0" w:right="0"/>
                    <w:jc w:val="center"/>
                    <w:rPr>
                      <w:rFonts w:hint="eastAsia" w:ascii="Times New Roman" w:hAnsi="Times New Roman" w:eastAsia="宋体" w:cs="Times New Roman"/>
                      <w:bCs/>
                      <w:color w:val="auto"/>
                      <w:kern w:val="2"/>
                      <w:sz w:val="18"/>
                      <w:szCs w:val="18"/>
                      <w:highlight w:val="none"/>
                      <w:lang w:val="en-US" w:eastAsia="zh-CN" w:bidi="ar-SA"/>
                    </w:rPr>
                  </w:pPr>
                  <w:r>
                    <w:rPr>
                      <w:rFonts w:hint="default" w:ascii="Times New Roman" w:hAnsi="Times New Roman" w:eastAsia="宋体" w:cs="Times New Roman"/>
                      <w:color w:val="auto"/>
                      <w:sz w:val="18"/>
                      <w:szCs w:val="18"/>
                      <w:highlight w:val="none"/>
                    </w:rPr>
                    <w:t>猪</w:t>
                  </w:r>
                </w:p>
              </w:tc>
              <w:tc>
                <w:tcPr>
                  <w:tcW w:w="523" w:type="pct"/>
                  <w:tcBorders>
                    <w:top w:val="single" w:color="auto" w:sz="4" w:space="0"/>
                    <w:left w:val="single" w:color="auto" w:sz="4" w:space="0"/>
                    <w:bottom w:val="single" w:color="auto" w:sz="4" w:space="0"/>
                    <w:right w:val="single" w:color="auto" w:sz="4" w:space="0"/>
                  </w:tcBorders>
                  <w:vAlign w:val="center"/>
                </w:tcPr>
                <w:p w14:paraId="2ED95099">
                  <w:pPr>
                    <w:pStyle w:val="120"/>
                    <w:keepNext w:val="0"/>
                    <w:keepLines w:val="0"/>
                    <w:pageBreakBefore w:val="0"/>
                    <w:framePr w:hSpace="0" w:wrap="auto" w:vAnchor="margin" w:hAnchor="text" w:xAlign="left" w:yAlign="inline"/>
                    <w:suppressLineNumbers w:val="0"/>
                    <w:kinsoku/>
                    <w:wordWrap/>
                    <w:overflowPunct/>
                    <w:topLinePunct w:val="0"/>
                    <w:bidi w:val="0"/>
                    <w:adjustRightInd w:val="0"/>
                    <w:snapToGrid w:val="0"/>
                    <w:spacing w:before="0" w:beforeAutospacing="0" w:after="0" w:afterAutospacing="0" w:line="276" w:lineRule="auto"/>
                    <w:ind w:left="0" w:right="0"/>
                    <w:jc w:val="center"/>
                    <w:rPr>
                      <w:rFonts w:hint="eastAsia" w:ascii="Times New Roman" w:hAnsi="Times New Roman" w:eastAsia="宋体" w:cs="Times New Roman"/>
                      <w:bCs/>
                      <w:color w:val="auto"/>
                      <w:kern w:val="2"/>
                      <w:sz w:val="18"/>
                      <w:szCs w:val="18"/>
                      <w:highlight w:val="none"/>
                      <w:lang w:val="en-US" w:eastAsia="zh-CN" w:bidi="ar-SA"/>
                    </w:rPr>
                  </w:pPr>
                  <w:r>
                    <w:rPr>
                      <w:rFonts w:hint="eastAsia" w:ascii="Times New Roman" w:hAnsi="Times New Roman" w:eastAsia="宋体" w:cs="Times New Roman"/>
                      <w:color w:val="auto"/>
                      <w:sz w:val="18"/>
                      <w:szCs w:val="18"/>
                      <w:highlight w:val="none"/>
                      <w:lang w:val="en-US" w:eastAsia="zh-CN"/>
                    </w:rPr>
                    <w:t>144</w:t>
                  </w:r>
                  <w:r>
                    <w:rPr>
                      <w:rFonts w:hint="eastAsia" w:ascii="Times New Roman" w:hAnsi="Times New Roman" w:eastAsia="宋体" w:cs="Times New Roman"/>
                      <w:color w:val="auto"/>
                      <w:sz w:val="18"/>
                      <w:szCs w:val="18"/>
                      <w:highlight w:val="none"/>
                    </w:rPr>
                    <w:t>只</w:t>
                  </w:r>
                </w:p>
              </w:tc>
              <w:tc>
                <w:tcPr>
                  <w:tcW w:w="1451" w:type="pct"/>
                  <w:tcBorders>
                    <w:top w:val="single" w:color="auto" w:sz="4" w:space="0"/>
                    <w:left w:val="single" w:color="auto" w:sz="4" w:space="0"/>
                    <w:bottom w:val="single" w:color="auto" w:sz="4" w:space="0"/>
                    <w:right w:val="single" w:color="auto" w:sz="4" w:space="0"/>
                  </w:tcBorders>
                  <w:vAlign w:val="center"/>
                </w:tcPr>
                <w:p w14:paraId="07734195">
                  <w:pPr>
                    <w:keepNext w:val="0"/>
                    <w:keepLines w:val="0"/>
                    <w:pageBreakBefore w:val="0"/>
                    <w:suppressLineNumbers w:val="0"/>
                    <w:kinsoku/>
                    <w:wordWrap/>
                    <w:overflowPunct/>
                    <w:topLinePunct w:val="0"/>
                    <w:bidi w:val="0"/>
                    <w:adjustRightInd w:val="0"/>
                    <w:snapToGrid w:val="0"/>
                    <w:spacing w:before="0" w:beforeAutospacing="0" w:after="0" w:afterAutospacing="0" w:line="276" w:lineRule="auto"/>
                    <w:ind w:left="0" w:right="0"/>
                    <w:jc w:val="center"/>
                    <w:rPr>
                      <w:rFonts w:hint="eastAsia" w:ascii="Times New Roman" w:hAnsi="Times New Roman" w:eastAsia="宋体" w:cs="Times New Roman"/>
                      <w:color w:val="auto"/>
                      <w:sz w:val="18"/>
                      <w:szCs w:val="18"/>
                      <w:highlight w:val="none"/>
                    </w:rPr>
                  </w:pPr>
                  <w:r>
                    <w:rPr>
                      <w:rFonts w:hint="eastAsia" w:cs="Times New Roman"/>
                      <w:color w:val="auto"/>
                      <w:sz w:val="18"/>
                      <w:szCs w:val="18"/>
                      <w:highlight w:val="none"/>
                      <w:lang w:val="en-US" w:eastAsia="zh-CN"/>
                    </w:rPr>
                    <w:t>普通级</w:t>
                  </w:r>
                  <w:r>
                    <w:rPr>
                      <w:rFonts w:hint="eastAsia" w:cs="Times New Roman"/>
                      <w:sz w:val="18"/>
                      <w:szCs w:val="18"/>
                      <w:highlight w:val="none"/>
                      <w:lang w:val="en-US" w:eastAsia="zh-CN"/>
                    </w:rPr>
                    <w:t>，</w:t>
                  </w:r>
                  <w:r>
                    <w:rPr>
                      <w:rFonts w:hint="eastAsia" w:ascii="Times New Roman" w:hAnsi="Times New Roman" w:eastAsia="宋体" w:cs="Times New Roman"/>
                      <w:sz w:val="18"/>
                      <w:szCs w:val="18"/>
                      <w:highlight w:val="none"/>
                      <w:lang w:val="en-US" w:eastAsia="zh-CN"/>
                    </w:rPr>
                    <w:t>笼位约</w:t>
                  </w:r>
                  <w:r>
                    <w:rPr>
                      <w:rFonts w:hint="eastAsia" w:cs="Times New Roman"/>
                      <w:sz w:val="18"/>
                      <w:szCs w:val="18"/>
                      <w:highlight w:val="none"/>
                      <w:lang w:val="en-US" w:eastAsia="zh-CN"/>
                    </w:rPr>
                    <w:t>144</w:t>
                  </w:r>
                  <w:r>
                    <w:rPr>
                      <w:rFonts w:hint="eastAsia" w:ascii="Times New Roman" w:hAnsi="Times New Roman" w:eastAsia="宋体" w:cs="Times New Roman"/>
                      <w:sz w:val="18"/>
                      <w:szCs w:val="18"/>
                      <w:highlight w:val="none"/>
                      <w:lang w:val="en-US" w:eastAsia="zh-CN"/>
                    </w:rPr>
                    <w:t>个</w:t>
                  </w:r>
                  <w:r>
                    <w:rPr>
                      <w:rFonts w:hint="eastAsia" w:ascii="Times New Roman" w:hAnsi="Times New Roman" w:eastAsia="宋体" w:cs="Times New Roman"/>
                      <w:color w:val="auto"/>
                      <w:sz w:val="18"/>
                      <w:szCs w:val="18"/>
                      <w:highlight w:val="none"/>
                      <w:lang w:val="en-US" w:eastAsia="zh-CN"/>
                    </w:rPr>
                    <w:t>，饲养量约</w:t>
                  </w:r>
                  <w:r>
                    <w:rPr>
                      <w:rFonts w:hint="eastAsia" w:cs="Times New Roman"/>
                      <w:sz w:val="18"/>
                      <w:szCs w:val="18"/>
                      <w:highlight w:val="none"/>
                      <w:lang w:val="en-US" w:eastAsia="zh-CN"/>
                    </w:rPr>
                    <w:t>144</w:t>
                  </w:r>
                  <w:r>
                    <w:rPr>
                      <w:rFonts w:hint="eastAsia" w:ascii="Times New Roman" w:hAnsi="Times New Roman" w:eastAsia="宋体" w:cs="Times New Roman"/>
                      <w:color w:val="auto"/>
                      <w:sz w:val="18"/>
                      <w:szCs w:val="18"/>
                      <w:highlight w:val="none"/>
                      <w:lang w:val="en-US" w:eastAsia="zh-CN"/>
                    </w:rPr>
                    <w:t>只</w:t>
                  </w:r>
                </w:p>
              </w:tc>
              <w:tc>
                <w:tcPr>
                  <w:tcW w:w="586" w:type="pct"/>
                  <w:tcBorders>
                    <w:top w:val="single" w:color="auto" w:sz="4" w:space="0"/>
                    <w:left w:val="single" w:color="auto" w:sz="4" w:space="0"/>
                    <w:bottom w:val="single" w:color="auto" w:sz="4" w:space="0"/>
                    <w:right w:val="single" w:color="auto" w:sz="4" w:space="0"/>
                  </w:tcBorders>
                  <w:vAlign w:val="center"/>
                </w:tcPr>
                <w:p w14:paraId="3FE64C83">
                  <w:pPr>
                    <w:pStyle w:val="120"/>
                    <w:keepNext w:val="0"/>
                    <w:keepLines w:val="0"/>
                    <w:pageBreakBefore w:val="0"/>
                    <w:framePr w:hSpace="0" w:wrap="auto" w:vAnchor="margin" w:hAnchor="text" w:xAlign="left" w:yAlign="inline"/>
                    <w:suppressLineNumbers w:val="0"/>
                    <w:kinsoku/>
                    <w:wordWrap/>
                    <w:overflowPunct/>
                    <w:topLinePunct w:val="0"/>
                    <w:bidi w:val="0"/>
                    <w:adjustRightInd w:val="0"/>
                    <w:snapToGrid w:val="0"/>
                    <w:spacing w:before="0" w:beforeAutospacing="0" w:after="0" w:afterAutospacing="0" w:line="276" w:lineRule="auto"/>
                    <w:ind w:left="0" w:right="0"/>
                    <w:jc w:val="center"/>
                    <w:rPr>
                      <w:rFonts w:hint="eastAsia" w:ascii="Times New Roman" w:hAnsi="Times New Roman" w:eastAsia="宋体" w:cs="Times New Roman"/>
                      <w:color w:val="auto"/>
                      <w:sz w:val="18"/>
                      <w:szCs w:val="18"/>
                      <w:highlight w:val="none"/>
                      <w:lang w:val="en-US" w:eastAsia="zh-CN"/>
                    </w:rPr>
                  </w:pPr>
                  <w:r>
                    <w:rPr>
                      <w:rFonts w:hint="eastAsia" w:ascii="Times New Roman" w:hAnsi="Times New Roman" w:eastAsia="宋体" w:cs="Times New Roman"/>
                      <w:color w:val="auto"/>
                      <w:sz w:val="18"/>
                      <w:szCs w:val="18"/>
                      <w:highlight w:val="none"/>
                      <w:lang w:val="en-US" w:eastAsia="zh-CN"/>
                    </w:rPr>
                    <w:t>18</w:t>
                  </w:r>
                  <w:r>
                    <w:rPr>
                      <w:rFonts w:hint="eastAsia" w:ascii="Times New Roman" w:hAnsi="Times New Roman" w:eastAsia="宋体" w:cs="Times New Roman"/>
                      <w:color w:val="auto"/>
                      <w:sz w:val="18"/>
                      <w:szCs w:val="18"/>
                      <w:highlight w:val="none"/>
                    </w:rPr>
                    <w:t>只</w:t>
                  </w:r>
                </w:p>
              </w:tc>
              <w:tc>
                <w:tcPr>
                  <w:tcW w:w="368" w:type="pct"/>
                  <w:tcBorders>
                    <w:top w:val="single" w:color="auto" w:sz="4" w:space="0"/>
                    <w:left w:val="single" w:color="auto" w:sz="4" w:space="0"/>
                    <w:bottom w:val="single" w:color="auto" w:sz="4" w:space="0"/>
                    <w:right w:val="single" w:color="auto" w:sz="4" w:space="0"/>
                  </w:tcBorders>
                  <w:vAlign w:val="center"/>
                </w:tcPr>
                <w:p w14:paraId="229B36AE">
                  <w:pPr>
                    <w:keepNext w:val="0"/>
                    <w:keepLines w:val="0"/>
                    <w:pageBreakBefore w:val="0"/>
                    <w:suppressLineNumbers w:val="0"/>
                    <w:kinsoku/>
                    <w:wordWrap/>
                    <w:overflowPunct/>
                    <w:topLinePunct w:val="0"/>
                    <w:bidi w:val="0"/>
                    <w:adjustRightInd w:val="0"/>
                    <w:snapToGrid w:val="0"/>
                    <w:spacing w:before="0" w:beforeAutospacing="0" w:after="0" w:afterAutospacing="0" w:line="276" w:lineRule="auto"/>
                    <w:ind w:left="0" w:right="0"/>
                    <w:jc w:val="center"/>
                    <w:rPr>
                      <w:rFonts w:hint="eastAsia" w:ascii="Times New Roman" w:hAnsi="Times New Roman" w:eastAsia="宋体" w:cs="Times New Roman"/>
                      <w:sz w:val="18"/>
                      <w:szCs w:val="18"/>
                      <w:highlight w:val="none"/>
                    </w:rPr>
                  </w:pPr>
                  <w:r>
                    <w:rPr>
                      <w:rFonts w:hint="eastAsia" w:ascii="Times New Roman" w:hAnsi="Times New Roman" w:eastAsia="宋体" w:cs="Times New Roman"/>
                      <w:sz w:val="18"/>
                      <w:szCs w:val="18"/>
                      <w:highlight w:val="none"/>
                    </w:rPr>
                    <w:t>/</w:t>
                  </w:r>
                </w:p>
              </w:tc>
              <w:tc>
                <w:tcPr>
                  <w:tcW w:w="892" w:type="pct"/>
                  <w:vMerge w:val="continue"/>
                  <w:tcBorders>
                    <w:left w:val="single" w:color="auto" w:sz="4" w:space="0"/>
                    <w:bottom w:val="single" w:color="auto" w:sz="4" w:space="0"/>
                    <w:right w:val="single" w:color="auto" w:sz="4" w:space="0"/>
                  </w:tcBorders>
                  <w:vAlign w:val="center"/>
                </w:tcPr>
                <w:p w14:paraId="31CA46A1">
                  <w:pPr>
                    <w:keepNext w:val="0"/>
                    <w:keepLines w:val="0"/>
                    <w:pageBreakBefore w:val="0"/>
                    <w:suppressLineNumbers w:val="0"/>
                    <w:kinsoku/>
                    <w:wordWrap/>
                    <w:overflowPunct/>
                    <w:topLinePunct w:val="0"/>
                    <w:bidi w:val="0"/>
                    <w:adjustRightInd w:val="0"/>
                    <w:snapToGrid w:val="0"/>
                    <w:spacing w:before="0" w:beforeAutospacing="0" w:after="0" w:afterAutospacing="0" w:line="276" w:lineRule="auto"/>
                    <w:ind w:left="0" w:right="0"/>
                    <w:jc w:val="center"/>
                    <w:rPr>
                      <w:rFonts w:hint="eastAsia" w:ascii="Times New Roman" w:hAnsi="Times New Roman" w:eastAsia="宋体" w:cs="Times New Roman"/>
                      <w:sz w:val="18"/>
                      <w:szCs w:val="18"/>
                      <w:highlight w:val="none"/>
                    </w:rPr>
                  </w:pPr>
                </w:p>
              </w:tc>
            </w:tr>
            <w:tr w14:paraId="1E7607E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7" w:type="dxa"/>
                  <w:bottom w:w="0" w:type="dxa"/>
                  <w:right w:w="17" w:type="dxa"/>
                </w:tblCellMar>
              </w:tblPrEx>
              <w:trPr>
                <w:trHeight w:val="0" w:hRule="atLeast"/>
                <w:jc w:val="center"/>
              </w:trPr>
              <w:tc>
                <w:tcPr>
                  <w:tcW w:w="283" w:type="pct"/>
                  <w:tcBorders>
                    <w:top w:val="single" w:color="auto" w:sz="4" w:space="0"/>
                    <w:left w:val="single" w:color="auto" w:sz="4" w:space="0"/>
                    <w:bottom w:val="single" w:color="auto" w:sz="4" w:space="0"/>
                    <w:right w:val="single" w:color="auto" w:sz="4" w:space="0"/>
                  </w:tcBorders>
                  <w:vAlign w:val="center"/>
                </w:tcPr>
                <w:p w14:paraId="4880C1CC">
                  <w:pPr>
                    <w:keepNext w:val="0"/>
                    <w:keepLines w:val="0"/>
                    <w:pageBreakBefore w:val="0"/>
                    <w:suppressLineNumbers w:val="0"/>
                    <w:kinsoku/>
                    <w:wordWrap/>
                    <w:overflowPunct/>
                    <w:topLinePunct w:val="0"/>
                    <w:bidi w:val="0"/>
                    <w:adjustRightInd w:val="0"/>
                    <w:snapToGrid w:val="0"/>
                    <w:spacing w:before="0" w:beforeAutospacing="0" w:after="0" w:afterAutospacing="0" w:line="276" w:lineRule="auto"/>
                    <w:ind w:left="0" w:right="0"/>
                    <w:jc w:val="center"/>
                    <w:rPr>
                      <w:rFonts w:hint="eastAsia" w:ascii="Times New Roman" w:hAnsi="Times New Roman" w:eastAsia="宋体" w:cs="Times New Roman"/>
                      <w:sz w:val="18"/>
                      <w:szCs w:val="18"/>
                      <w:highlight w:val="none"/>
                      <w:lang w:val="en-US" w:eastAsia="zh-CN"/>
                    </w:rPr>
                  </w:pPr>
                  <w:r>
                    <w:rPr>
                      <w:rFonts w:hint="eastAsia" w:cs="Times New Roman"/>
                      <w:sz w:val="18"/>
                      <w:szCs w:val="18"/>
                      <w:highlight w:val="none"/>
                      <w:lang w:val="en-US" w:eastAsia="zh-CN"/>
                    </w:rPr>
                    <w:t>7</w:t>
                  </w:r>
                </w:p>
              </w:tc>
              <w:tc>
                <w:tcPr>
                  <w:tcW w:w="894" w:type="pct"/>
                  <w:tcBorders>
                    <w:top w:val="single" w:color="auto" w:sz="4" w:space="0"/>
                    <w:left w:val="single" w:color="auto" w:sz="4" w:space="0"/>
                    <w:bottom w:val="single" w:color="auto" w:sz="4" w:space="0"/>
                    <w:right w:val="single" w:color="auto" w:sz="4" w:space="0"/>
                  </w:tcBorders>
                  <w:vAlign w:val="center"/>
                </w:tcPr>
                <w:p w14:paraId="449E7258">
                  <w:pPr>
                    <w:pStyle w:val="120"/>
                    <w:keepNext w:val="0"/>
                    <w:keepLines w:val="0"/>
                    <w:pageBreakBefore w:val="0"/>
                    <w:framePr w:hSpace="0" w:wrap="auto" w:vAnchor="margin" w:hAnchor="text" w:xAlign="left" w:yAlign="inline"/>
                    <w:suppressLineNumbers w:val="0"/>
                    <w:kinsoku/>
                    <w:wordWrap/>
                    <w:overflowPunct/>
                    <w:topLinePunct w:val="0"/>
                    <w:bidi w:val="0"/>
                    <w:adjustRightInd w:val="0"/>
                    <w:snapToGrid w:val="0"/>
                    <w:spacing w:before="0" w:beforeAutospacing="0" w:after="0" w:afterAutospacing="0" w:line="276" w:lineRule="auto"/>
                    <w:ind w:left="0" w:right="0"/>
                    <w:jc w:val="center"/>
                    <w:rPr>
                      <w:rFonts w:hint="eastAsia" w:ascii="Times New Roman" w:hAnsi="Times New Roman" w:eastAsia="宋体" w:cs="Times New Roman"/>
                      <w:bCs/>
                      <w:color w:val="auto"/>
                      <w:kern w:val="2"/>
                      <w:sz w:val="18"/>
                      <w:szCs w:val="18"/>
                      <w:highlight w:val="none"/>
                      <w:lang w:val="en-US" w:eastAsia="zh-CN" w:bidi="ar-SA"/>
                    </w:rPr>
                  </w:pPr>
                  <w:r>
                    <w:rPr>
                      <w:rFonts w:hint="default" w:ascii="Times New Roman" w:hAnsi="Times New Roman" w:eastAsia="宋体" w:cs="Times New Roman"/>
                      <w:color w:val="auto"/>
                      <w:sz w:val="18"/>
                      <w:szCs w:val="18"/>
                      <w:highlight w:val="none"/>
                    </w:rPr>
                    <w:t>猴</w:t>
                  </w:r>
                </w:p>
              </w:tc>
              <w:tc>
                <w:tcPr>
                  <w:tcW w:w="523" w:type="pct"/>
                  <w:tcBorders>
                    <w:top w:val="single" w:color="auto" w:sz="4" w:space="0"/>
                    <w:left w:val="single" w:color="auto" w:sz="4" w:space="0"/>
                    <w:bottom w:val="single" w:color="auto" w:sz="4" w:space="0"/>
                    <w:right w:val="single" w:color="auto" w:sz="4" w:space="0"/>
                  </w:tcBorders>
                  <w:vAlign w:val="center"/>
                </w:tcPr>
                <w:p w14:paraId="6EED2020">
                  <w:pPr>
                    <w:pStyle w:val="120"/>
                    <w:keepNext w:val="0"/>
                    <w:keepLines w:val="0"/>
                    <w:pageBreakBefore w:val="0"/>
                    <w:framePr w:hSpace="0" w:wrap="auto" w:vAnchor="margin" w:hAnchor="text" w:xAlign="left" w:yAlign="inline"/>
                    <w:suppressLineNumbers w:val="0"/>
                    <w:kinsoku/>
                    <w:wordWrap/>
                    <w:overflowPunct/>
                    <w:topLinePunct w:val="0"/>
                    <w:bidi w:val="0"/>
                    <w:adjustRightInd w:val="0"/>
                    <w:snapToGrid w:val="0"/>
                    <w:spacing w:before="0" w:beforeAutospacing="0" w:after="0" w:afterAutospacing="0" w:line="276" w:lineRule="auto"/>
                    <w:ind w:left="0" w:right="0"/>
                    <w:jc w:val="center"/>
                    <w:rPr>
                      <w:rFonts w:hint="eastAsia" w:ascii="Times New Roman" w:hAnsi="Times New Roman" w:eastAsia="宋体" w:cs="Times New Roman"/>
                      <w:bCs/>
                      <w:color w:val="auto"/>
                      <w:kern w:val="2"/>
                      <w:sz w:val="18"/>
                      <w:szCs w:val="18"/>
                      <w:highlight w:val="none"/>
                      <w:lang w:val="en-US" w:eastAsia="zh-CN" w:bidi="ar-SA"/>
                    </w:rPr>
                  </w:pPr>
                  <w:r>
                    <w:rPr>
                      <w:rFonts w:hint="eastAsia" w:ascii="Times New Roman" w:hAnsi="Times New Roman" w:eastAsia="宋体" w:cs="Times New Roman"/>
                      <w:color w:val="auto"/>
                      <w:sz w:val="18"/>
                      <w:szCs w:val="18"/>
                      <w:highlight w:val="none"/>
                      <w:lang w:val="en-US" w:eastAsia="zh-CN"/>
                    </w:rPr>
                    <w:t>112</w:t>
                  </w:r>
                  <w:r>
                    <w:rPr>
                      <w:rFonts w:hint="eastAsia" w:ascii="Times New Roman" w:hAnsi="Times New Roman" w:eastAsia="宋体" w:cs="Times New Roman"/>
                      <w:color w:val="auto"/>
                      <w:sz w:val="18"/>
                      <w:szCs w:val="18"/>
                      <w:highlight w:val="none"/>
                    </w:rPr>
                    <w:t>只</w:t>
                  </w:r>
                </w:p>
              </w:tc>
              <w:tc>
                <w:tcPr>
                  <w:tcW w:w="1451" w:type="pct"/>
                  <w:tcBorders>
                    <w:top w:val="single" w:color="auto" w:sz="4" w:space="0"/>
                    <w:left w:val="single" w:color="auto" w:sz="4" w:space="0"/>
                    <w:bottom w:val="single" w:color="auto" w:sz="4" w:space="0"/>
                    <w:right w:val="single" w:color="auto" w:sz="4" w:space="0"/>
                  </w:tcBorders>
                  <w:vAlign w:val="center"/>
                </w:tcPr>
                <w:p w14:paraId="77C8E23E">
                  <w:pPr>
                    <w:keepNext w:val="0"/>
                    <w:keepLines w:val="0"/>
                    <w:pageBreakBefore w:val="0"/>
                    <w:suppressLineNumbers w:val="0"/>
                    <w:kinsoku/>
                    <w:wordWrap/>
                    <w:overflowPunct/>
                    <w:topLinePunct w:val="0"/>
                    <w:bidi w:val="0"/>
                    <w:adjustRightInd w:val="0"/>
                    <w:snapToGrid w:val="0"/>
                    <w:spacing w:before="0" w:beforeAutospacing="0" w:after="0" w:afterAutospacing="0" w:line="276" w:lineRule="auto"/>
                    <w:ind w:left="0" w:right="0"/>
                    <w:jc w:val="center"/>
                    <w:rPr>
                      <w:rFonts w:hint="eastAsia" w:ascii="Times New Roman" w:hAnsi="Times New Roman" w:eastAsia="宋体" w:cs="Times New Roman"/>
                      <w:color w:val="auto"/>
                      <w:sz w:val="18"/>
                      <w:szCs w:val="18"/>
                      <w:highlight w:val="none"/>
                    </w:rPr>
                  </w:pPr>
                  <w:r>
                    <w:rPr>
                      <w:rFonts w:hint="eastAsia" w:cs="Times New Roman"/>
                      <w:color w:val="auto"/>
                      <w:sz w:val="18"/>
                      <w:szCs w:val="18"/>
                      <w:highlight w:val="none"/>
                      <w:lang w:val="en-US" w:eastAsia="zh-CN"/>
                    </w:rPr>
                    <w:t>普通级</w:t>
                  </w:r>
                  <w:r>
                    <w:rPr>
                      <w:rFonts w:hint="eastAsia" w:cs="Times New Roman"/>
                      <w:sz w:val="18"/>
                      <w:szCs w:val="18"/>
                      <w:highlight w:val="none"/>
                      <w:lang w:val="en-US" w:eastAsia="zh-CN"/>
                    </w:rPr>
                    <w:t>，</w:t>
                  </w:r>
                  <w:r>
                    <w:rPr>
                      <w:rFonts w:hint="eastAsia" w:ascii="Times New Roman" w:hAnsi="Times New Roman" w:eastAsia="宋体" w:cs="Times New Roman"/>
                      <w:sz w:val="18"/>
                      <w:szCs w:val="18"/>
                      <w:highlight w:val="none"/>
                      <w:lang w:val="en-US" w:eastAsia="zh-CN"/>
                    </w:rPr>
                    <w:t>笼位约</w:t>
                  </w:r>
                  <w:r>
                    <w:rPr>
                      <w:rFonts w:hint="eastAsia" w:cs="Times New Roman"/>
                      <w:sz w:val="18"/>
                      <w:szCs w:val="18"/>
                      <w:highlight w:val="none"/>
                      <w:lang w:val="en-US" w:eastAsia="zh-CN"/>
                    </w:rPr>
                    <w:t>112</w:t>
                  </w:r>
                  <w:r>
                    <w:rPr>
                      <w:rFonts w:hint="eastAsia" w:ascii="Times New Roman" w:hAnsi="Times New Roman" w:eastAsia="宋体" w:cs="Times New Roman"/>
                      <w:sz w:val="18"/>
                      <w:szCs w:val="18"/>
                      <w:highlight w:val="none"/>
                      <w:lang w:val="en-US" w:eastAsia="zh-CN"/>
                    </w:rPr>
                    <w:t>个</w:t>
                  </w:r>
                  <w:r>
                    <w:rPr>
                      <w:rFonts w:hint="eastAsia" w:ascii="Times New Roman" w:hAnsi="Times New Roman" w:eastAsia="宋体" w:cs="Times New Roman"/>
                      <w:color w:val="auto"/>
                      <w:sz w:val="18"/>
                      <w:szCs w:val="18"/>
                      <w:highlight w:val="none"/>
                      <w:lang w:val="en-US" w:eastAsia="zh-CN"/>
                    </w:rPr>
                    <w:t>，饲养量约</w:t>
                  </w:r>
                  <w:r>
                    <w:rPr>
                      <w:rFonts w:hint="eastAsia" w:cs="Times New Roman"/>
                      <w:sz w:val="18"/>
                      <w:szCs w:val="18"/>
                      <w:highlight w:val="none"/>
                      <w:lang w:val="en-US" w:eastAsia="zh-CN"/>
                    </w:rPr>
                    <w:t>112</w:t>
                  </w:r>
                  <w:r>
                    <w:rPr>
                      <w:rFonts w:hint="eastAsia" w:ascii="Times New Roman" w:hAnsi="Times New Roman" w:eastAsia="宋体" w:cs="Times New Roman"/>
                      <w:color w:val="auto"/>
                      <w:sz w:val="18"/>
                      <w:szCs w:val="18"/>
                      <w:highlight w:val="none"/>
                      <w:lang w:val="en-US" w:eastAsia="zh-CN"/>
                    </w:rPr>
                    <w:t>只</w:t>
                  </w:r>
                </w:p>
              </w:tc>
              <w:tc>
                <w:tcPr>
                  <w:tcW w:w="586" w:type="pct"/>
                  <w:tcBorders>
                    <w:top w:val="single" w:color="auto" w:sz="4" w:space="0"/>
                    <w:left w:val="single" w:color="auto" w:sz="4" w:space="0"/>
                    <w:bottom w:val="single" w:color="auto" w:sz="4" w:space="0"/>
                    <w:right w:val="single" w:color="auto" w:sz="4" w:space="0"/>
                  </w:tcBorders>
                  <w:vAlign w:val="center"/>
                </w:tcPr>
                <w:p w14:paraId="1486DB5D">
                  <w:pPr>
                    <w:pStyle w:val="120"/>
                    <w:keepNext w:val="0"/>
                    <w:keepLines w:val="0"/>
                    <w:pageBreakBefore w:val="0"/>
                    <w:framePr w:hSpace="0" w:wrap="auto" w:vAnchor="margin" w:hAnchor="text" w:xAlign="left" w:yAlign="inline"/>
                    <w:suppressLineNumbers w:val="0"/>
                    <w:kinsoku/>
                    <w:wordWrap/>
                    <w:overflowPunct/>
                    <w:topLinePunct w:val="0"/>
                    <w:bidi w:val="0"/>
                    <w:adjustRightInd w:val="0"/>
                    <w:snapToGrid w:val="0"/>
                    <w:spacing w:before="0" w:beforeAutospacing="0" w:after="0" w:afterAutospacing="0" w:line="276" w:lineRule="auto"/>
                    <w:ind w:left="0" w:right="0"/>
                    <w:jc w:val="center"/>
                    <w:rPr>
                      <w:rFonts w:hint="eastAsia" w:ascii="Times New Roman" w:hAnsi="Times New Roman" w:eastAsia="宋体" w:cs="Times New Roman"/>
                      <w:color w:val="auto"/>
                      <w:sz w:val="18"/>
                      <w:szCs w:val="18"/>
                      <w:highlight w:val="none"/>
                      <w:lang w:val="en-US" w:eastAsia="zh-CN"/>
                    </w:rPr>
                  </w:pPr>
                  <w:r>
                    <w:rPr>
                      <w:rFonts w:hint="eastAsia" w:cs="Times New Roman"/>
                      <w:color w:val="auto"/>
                      <w:sz w:val="18"/>
                      <w:szCs w:val="18"/>
                      <w:highlight w:val="none"/>
                      <w:lang w:val="en-US" w:eastAsia="zh-CN"/>
                    </w:rPr>
                    <w:t>28</w:t>
                  </w:r>
                  <w:r>
                    <w:rPr>
                      <w:rFonts w:hint="eastAsia" w:ascii="Times New Roman" w:hAnsi="Times New Roman" w:eastAsia="宋体" w:cs="Times New Roman"/>
                      <w:color w:val="auto"/>
                      <w:sz w:val="18"/>
                      <w:szCs w:val="18"/>
                      <w:highlight w:val="none"/>
                    </w:rPr>
                    <w:t>只</w:t>
                  </w:r>
                </w:p>
              </w:tc>
              <w:tc>
                <w:tcPr>
                  <w:tcW w:w="368" w:type="pct"/>
                  <w:tcBorders>
                    <w:top w:val="single" w:color="auto" w:sz="4" w:space="0"/>
                    <w:left w:val="single" w:color="auto" w:sz="4" w:space="0"/>
                    <w:bottom w:val="single" w:color="auto" w:sz="4" w:space="0"/>
                    <w:right w:val="single" w:color="auto" w:sz="4" w:space="0"/>
                  </w:tcBorders>
                  <w:vAlign w:val="center"/>
                </w:tcPr>
                <w:p w14:paraId="270E8212">
                  <w:pPr>
                    <w:keepNext w:val="0"/>
                    <w:keepLines w:val="0"/>
                    <w:pageBreakBefore w:val="0"/>
                    <w:suppressLineNumbers w:val="0"/>
                    <w:kinsoku/>
                    <w:wordWrap/>
                    <w:overflowPunct/>
                    <w:topLinePunct w:val="0"/>
                    <w:bidi w:val="0"/>
                    <w:adjustRightInd w:val="0"/>
                    <w:snapToGrid w:val="0"/>
                    <w:spacing w:before="0" w:beforeAutospacing="0" w:after="0" w:afterAutospacing="0" w:line="276" w:lineRule="auto"/>
                    <w:ind w:left="0" w:right="0"/>
                    <w:jc w:val="center"/>
                    <w:rPr>
                      <w:rFonts w:hint="eastAsia" w:ascii="Times New Roman" w:hAnsi="Times New Roman" w:eastAsia="宋体" w:cs="Times New Roman"/>
                      <w:sz w:val="18"/>
                      <w:szCs w:val="18"/>
                      <w:highlight w:val="none"/>
                    </w:rPr>
                  </w:pPr>
                  <w:r>
                    <w:rPr>
                      <w:rFonts w:hint="eastAsia" w:ascii="Times New Roman" w:hAnsi="Times New Roman" w:eastAsia="宋体" w:cs="Times New Roman"/>
                      <w:sz w:val="18"/>
                      <w:szCs w:val="18"/>
                      <w:highlight w:val="none"/>
                    </w:rPr>
                    <w:t>/</w:t>
                  </w:r>
                </w:p>
              </w:tc>
              <w:tc>
                <w:tcPr>
                  <w:tcW w:w="892" w:type="pct"/>
                  <w:tcBorders>
                    <w:top w:val="single" w:color="auto" w:sz="4" w:space="0"/>
                    <w:left w:val="single" w:color="auto" w:sz="4" w:space="0"/>
                    <w:bottom w:val="single" w:color="auto" w:sz="4" w:space="0"/>
                    <w:right w:val="single" w:color="auto" w:sz="4" w:space="0"/>
                  </w:tcBorders>
                  <w:vAlign w:val="center"/>
                </w:tcPr>
                <w:p w14:paraId="59DE0F16">
                  <w:pPr>
                    <w:keepNext w:val="0"/>
                    <w:keepLines w:val="0"/>
                    <w:pageBreakBefore w:val="0"/>
                    <w:suppressLineNumbers w:val="0"/>
                    <w:kinsoku/>
                    <w:wordWrap/>
                    <w:overflowPunct/>
                    <w:topLinePunct w:val="0"/>
                    <w:bidi w:val="0"/>
                    <w:adjustRightInd w:val="0"/>
                    <w:snapToGrid w:val="0"/>
                    <w:spacing w:before="0" w:beforeAutospacing="0" w:after="0" w:afterAutospacing="0" w:line="276" w:lineRule="auto"/>
                    <w:ind w:left="0" w:right="0"/>
                    <w:jc w:val="center"/>
                    <w:rPr>
                      <w:rFonts w:hint="eastAsia" w:ascii="Times New Roman" w:hAnsi="Times New Roman" w:eastAsia="宋体" w:cs="Times New Roman"/>
                      <w:sz w:val="18"/>
                      <w:szCs w:val="18"/>
                      <w:highlight w:val="none"/>
                    </w:rPr>
                  </w:pPr>
                  <w:r>
                    <w:rPr>
                      <w:rFonts w:hint="eastAsia" w:cs="Times New Roman"/>
                      <w:color w:val="auto"/>
                      <w:sz w:val="18"/>
                      <w:szCs w:val="18"/>
                      <w:highlight w:val="none"/>
                      <w:lang w:val="en-US" w:eastAsia="zh-CN"/>
                    </w:rPr>
                    <w:t>实验周期：</w:t>
                  </w:r>
                  <w:r>
                    <w:rPr>
                      <w:rFonts w:hint="eastAsia" w:ascii="Times New Roman" w:hAnsi="Times New Roman" w:eastAsia="宋体" w:cs="Times New Roman"/>
                      <w:color w:val="auto"/>
                      <w:sz w:val="18"/>
                      <w:szCs w:val="18"/>
                      <w:highlight w:val="none"/>
                      <w:lang w:val="en-US" w:eastAsia="zh-CN"/>
                    </w:rPr>
                    <w:t>3</w:t>
                  </w:r>
                  <w:r>
                    <w:rPr>
                      <w:rFonts w:hint="default" w:ascii="Times New Roman" w:hAnsi="Times New Roman" w:eastAsia="宋体" w:cs="Times New Roman"/>
                      <w:color w:val="auto"/>
                      <w:sz w:val="18"/>
                      <w:szCs w:val="18"/>
                      <w:highlight w:val="none"/>
                    </w:rPr>
                    <w:t>-</w:t>
                  </w:r>
                  <w:r>
                    <w:rPr>
                      <w:rFonts w:hint="eastAsia" w:ascii="Times New Roman" w:hAnsi="Times New Roman" w:eastAsia="宋体" w:cs="Times New Roman"/>
                      <w:color w:val="auto"/>
                      <w:sz w:val="18"/>
                      <w:szCs w:val="18"/>
                      <w:highlight w:val="none"/>
                      <w:lang w:val="en-US" w:eastAsia="zh-CN"/>
                    </w:rPr>
                    <w:t>6</w:t>
                  </w:r>
                  <w:r>
                    <w:rPr>
                      <w:rFonts w:hint="default" w:ascii="Times New Roman" w:hAnsi="Times New Roman" w:eastAsia="宋体" w:cs="Times New Roman"/>
                      <w:color w:val="auto"/>
                      <w:sz w:val="18"/>
                      <w:szCs w:val="18"/>
                      <w:highlight w:val="none"/>
                    </w:rPr>
                    <w:t>月</w:t>
                  </w:r>
                  <w:r>
                    <w:rPr>
                      <w:rFonts w:hint="eastAsia" w:cs="Times New Roman"/>
                      <w:color w:val="auto"/>
                      <w:sz w:val="18"/>
                      <w:szCs w:val="18"/>
                      <w:highlight w:val="none"/>
                      <w:lang w:eastAsia="zh-CN"/>
                    </w:rPr>
                    <w:t>，</w:t>
                  </w:r>
                  <w:r>
                    <w:rPr>
                      <w:rFonts w:hint="eastAsia" w:cs="Times New Roman"/>
                      <w:color w:val="auto"/>
                      <w:sz w:val="18"/>
                      <w:szCs w:val="18"/>
                      <w:highlight w:val="none"/>
                      <w:lang w:val="en-US" w:eastAsia="zh-CN"/>
                    </w:rPr>
                    <w:t>饲养区位于1层</w:t>
                  </w:r>
                </w:p>
              </w:tc>
            </w:tr>
            <w:tr w14:paraId="52A9821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7" w:type="dxa"/>
                  <w:bottom w:w="0" w:type="dxa"/>
                  <w:right w:w="17" w:type="dxa"/>
                </w:tblCellMar>
              </w:tblPrEx>
              <w:trPr>
                <w:trHeight w:val="0" w:hRule="atLeast"/>
                <w:jc w:val="center"/>
              </w:trPr>
              <w:tc>
                <w:tcPr>
                  <w:tcW w:w="283" w:type="pct"/>
                  <w:tcBorders>
                    <w:top w:val="single" w:color="auto" w:sz="4" w:space="0"/>
                    <w:left w:val="single" w:color="auto" w:sz="4" w:space="0"/>
                    <w:bottom w:val="single" w:color="auto" w:sz="4" w:space="0"/>
                    <w:right w:val="single" w:color="auto" w:sz="4" w:space="0"/>
                  </w:tcBorders>
                  <w:vAlign w:val="center"/>
                </w:tcPr>
                <w:p w14:paraId="30E45E78">
                  <w:pPr>
                    <w:keepNext w:val="0"/>
                    <w:keepLines w:val="0"/>
                    <w:pageBreakBefore w:val="0"/>
                    <w:suppressLineNumbers w:val="0"/>
                    <w:kinsoku/>
                    <w:wordWrap/>
                    <w:overflowPunct/>
                    <w:topLinePunct w:val="0"/>
                    <w:bidi w:val="0"/>
                    <w:adjustRightInd w:val="0"/>
                    <w:snapToGrid w:val="0"/>
                    <w:spacing w:before="0" w:beforeAutospacing="0" w:after="0" w:afterAutospacing="0" w:line="276" w:lineRule="auto"/>
                    <w:ind w:left="0" w:right="0"/>
                    <w:jc w:val="center"/>
                    <w:rPr>
                      <w:rFonts w:hint="eastAsia" w:ascii="Times New Roman" w:hAnsi="Times New Roman" w:eastAsia="宋体" w:cs="Times New Roman"/>
                      <w:sz w:val="18"/>
                      <w:szCs w:val="18"/>
                      <w:highlight w:val="none"/>
                      <w:lang w:val="en-US" w:eastAsia="zh-CN"/>
                    </w:rPr>
                  </w:pPr>
                  <w:r>
                    <w:rPr>
                      <w:rFonts w:hint="eastAsia" w:cs="Times New Roman"/>
                      <w:sz w:val="18"/>
                      <w:szCs w:val="18"/>
                      <w:highlight w:val="none"/>
                      <w:lang w:val="en-US" w:eastAsia="zh-CN"/>
                    </w:rPr>
                    <w:t>8</w:t>
                  </w:r>
                </w:p>
              </w:tc>
              <w:tc>
                <w:tcPr>
                  <w:tcW w:w="894" w:type="pct"/>
                  <w:tcBorders>
                    <w:top w:val="single" w:color="auto" w:sz="4" w:space="0"/>
                    <w:left w:val="single" w:color="auto" w:sz="4" w:space="0"/>
                    <w:bottom w:val="single" w:color="auto" w:sz="4" w:space="0"/>
                    <w:right w:val="single" w:color="auto" w:sz="4" w:space="0"/>
                  </w:tcBorders>
                  <w:vAlign w:val="center"/>
                </w:tcPr>
                <w:p w14:paraId="3EB7DB6D">
                  <w:pPr>
                    <w:pStyle w:val="120"/>
                    <w:keepNext w:val="0"/>
                    <w:keepLines w:val="0"/>
                    <w:pageBreakBefore w:val="0"/>
                    <w:framePr w:hSpace="0" w:wrap="auto" w:vAnchor="margin" w:hAnchor="text" w:xAlign="left" w:yAlign="inline"/>
                    <w:suppressLineNumbers w:val="0"/>
                    <w:kinsoku/>
                    <w:wordWrap/>
                    <w:overflowPunct/>
                    <w:topLinePunct w:val="0"/>
                    <w:bidi w:val="0"/>
                    <w:adjustRightInd w:val="0"/>
                    <w:snapToGrid w:val="0"/>
                    <w:spacing w:before="0" w:beforeAutospacing="0" w:after="0" w:afterAutospacing="0" w:line="276" w:lineRule="auto"/>
                    <w:ind w:left="0" w:right="0"/>
                    <w:jc w:val="center"/>
                    <w:rPr>
                      <w:rFonts w:hint="eastAsia" w:ascii="Times New Roman" w:hAnsi="Times New Roman" w:eastAsia="宋体" w:cs="Times New Roman"/>
                      <w:bCs/>
                      <w:color w:val="auto"/>
                      <w:kern w:val="2"/>
                      <w:sz w:val="18"/>
                      <w:szCs w:val="18"/>
                      <w:highlight w:val="none"/>
                      <w:lang w:val="en-US" w:eastAsia="zh-CN" w:bidi="ar-SA"/>
                    </w:rPr>
                  </w:pPr>
                  <w:r>
                    <w:rPr>
                      <w:rFonts w:hint="eastAsia" w:ascii="Times New Roman" w:hAnsi="Times New Roman" w:eastAsia="宋体" w:cs="Times New Roman"/>
                      <w:color w:val="auto"/>
                      <w:sz w:val="18"/>
                      <w:szCs w:val="18"/>
                      <w:highlight w:val="none"/>
                    </w:rPr>
                    <w:t>垫料</w:t>
                  </w:r>
                </w:p>
              </w:tc>
              <w:tc>
                <w:tcPr>
                  <w:tcW w:w="523" w:type="pct"/>
                  <w:tcBorders>
                    <w:top w:val="single" w:color="auto" w:sz="4" w:space="0"/>
                    <w:left w:val="single" w:color="auto" w:sz="4" w:space="0"/>
                    <w:bottom w:val="single" w:color="auto" w:sz="4" w:space="0"/>
                    <w:right w:val="single" w:color="auto" w:sz="4" w:space="0"/>
                  </w:tcBorders>
                  <w:vAlign w:val="center"/>
                </w:tcPr>
                <w:p w14:paraId="3B01B7E1">
                  <w:pPr>
                    <w:keepNext w:val="0"/>
                    <w:keepLines w:val="0"/>
                    <w:pageBreakBefore w:val="0"/>
                    <w:widowControl/>
                    <w:suppressLineNumbers w:val="0"/>
                    <w:kinsoku/>
                    <w:wordWrap/>
                    <w:overflowPunct/>
                    <w:topLinePunct w:val="0"/>
                    <w:bidi w:val="0"/>
                    <w:adjustRightInd w:val="0"/>
                    <w:snapToGrid w:val="0"/>
                    <w:spacing w:before="0" w:beforeAutospacing="0" w:after="0" w:afterAutospacing="0" w:line="276" w:lineRule="auto"/>
                    <w:ind w:left="0" w:right="0"/>
                    <w:jc w:val="center"/>
                    <w:textAlignment w:val="center"/>
                    <w:rPr>
                      <w:rFonts w:hint="default" w:ascii="Times New Roman" w:hAnsi="Times New Roman" w:eastAsia="宋体" w:cs="Times New Roman"/>
                      <w:bCs/>
                      <w:color w:val="auto"/>
                      <w:kern w:val="2"/>
                      <w:sz w:val="18"/>
                      <w:szCs w:val="18"/>
                      <w:highlight w:val="none"/>
                      <w:lang w:val="en-US" w:eastAsia="zh-CN" w:bidi="ar-SA"/>
                    </w:rPr>
                  </w:pPr>
                  <w:r>
                    <w:rPr>
                      <w:rFonts w:hint="eastAsia" w:ascii="Times New Roman" w:hAnsi="Times New Roman" w:eastAsia="宋体" w:cs="Times New Roman"/>
                      <w:i w:val="0"/>
                      <w:iCs w:val="0"/>
                      <w:color w:val="auto"/>
                      <w:kern w:val="0"/>
                      <w:sz w:val="18"/>
                      <w:szCs w:val="18"/>
                      <w:highlight w:val="none"/>
                      <w:u w:val="none"/>
                      <w:lang w:val="en-US" w:eastAsia="zh-CN" w:bidi="ar"/>
                    </w:rPr>
                    <w:t>140t</w:t>
                  </w:r>
                </w:p>
              </w:tc>
              <w:tc>
                <w:tcPr>
                  <w:tcW w:w="1451" w:type="pct"/>
                  <w:tcBorders>
                    <w:top w:val="single" w:color="auto" w:sz="4" w:space="0"/>
                    <w:left w:val="single" w:color="auto" w:sz="4" w:space="0"/>
                    <w:bottom w:val="single" w:color="auto" w:sz="4" w:space="0"/>
                    <w:right w:val="single" w:color="auto" w:sz="4" w:space="0"/>
                  </w:tcBorders>
                  <w:vAlign w:val="center"/>
                </w:tcPr>
                <w:p w14:paraId="6BB57290">
                  <w:pPr>
                    <w:pStyle w:val="120"/>
                    <w:keepNext w:val="0"/>
                    <w:keepLines w:val="0"/>
                    <w:pageBreakBefore w:val="0"/>
                    <w:framePr w:hSpace="0" w:wrap="auto" w:vAnchor="margin" w:hAnchor="text" w:xAlign="left" w:yAlign="inline"/>
                    <w:suppressLineNumbers w:val="0"/>
                    <w:kinsoku/>
                    <w:wordWrap/>
                    <w:overflowPunct/>
                    <w:topLinePunct w:val="0"/>
                    <w:bidi w:val="0"/>
                    <w:adjustRightInd w:val="0"/>
                    <w:snapToGrid w:val="0"/>
                    <w:spacing w:before="0" w:beforeAutospacing="0" w:after="0" w:afterAutospacing="0" w:line="276" w:lineRule="auto"/>
                    <w:ind w:left="0" w:right="0"/>
                    <w:jc w:val="center"/>
                    <w:rPr>
                      <w:rFonts w:hint="default" w:ascii="Times New Roman" w:hAnsi="Times New Roman" w:eastAsia="宋体" w:cs="Times New Roman"/>
                      <w:bCs/>
                      <w:color w:val="auto"/>
                      <w:kern w:val="2"/>
                      <w:sz w:val="18"/>
                      <w:szCs w:val="18"/>
                      <w:highlight w:val="none"/>
                      <w:lang w:val="en-US" w:eastAsia="zh-CN" w:bidi="ar-SA"/>
                    </w:rPr>
                  </w:pPr>
                  <w:r>
                    <w:rPr>
                      <w:rFonts w:hint="eastAsia" w:ascii="Times New Roman" w:hAnsi="Times New Roman" w:eastAsia="宋体" w:cs="Times New Roman"/>
                      <w:color w:val="auto"/>
                      <w:sz w:val="18"/>
                      <w:szCs w:val="18"/>
                      <w:highlight w:val="none"/>
                    </w:rPr>
                    <w:t>20kg</w:t>
                  </w:r>
                  <w:r>
                    <w:rPr>
                      <w:rFonts w:hint="eastAsia" w:ascii="Times New Roman" w:hAnsi="Times New Roman" w:eastAsia="宋体" w:cs="Times New Roman"/>
                      <w:color w:val="auto"/>
                      <w:sz w:val="18"/>
                      <w:szCs w:val="18"/>
                      <w:highlight w:val="none"/>
                      <w:lang w:val="en-US" w:eastAsia="zh-CN"/>
                    </w:rPr>
                    <w:t>/袋</w:t>
                  </w:r>
                </w:p>
              </w:tc>
              <w:tc>
                <w:tcPr>
                  <w:tcW w:w="586" w:type="pct"/>
                  <w:tcBorders>
                    <w:top w:val="single" w:color="auto" w:sz="4" w:space="0"/>
                    <w:left w:val="single" w:color="auto" w:sz="4" w:space="0"/>
                    <w:bottom w:val="single" w:color="auto" w:sz="4" w:space="0"/>
                    <w:right w:val="single" w:color="auto" w:sz="4" w:space="0"/>
                  </w:tcBorders>
                  <w:vAlign w:val="center"/>
                </w:tcPr>
                <w:p w14:paraId="0417AA02">
                  <w:pPr>
                    <w:keepNext w:val="0"/>
                    <w:keepLines w:val="0"/>
                    <w:pageBreakBefore w:val="0"/>
                    <w:widowControl/>
                    <w:suppressLineNumbers w:val="0"/>
                    <w:kinsoku/>
                    <w:wordWrap/>
                    <w:overflowPunct/>
                    <w:topLinePunct w:val="0"/>
                    <w:bidi w:val="0"/>
                    <w:adjustRightInd w:val="0"/>
                    <w:snapToGrid w:val="0"/>
                    <w:spacing w:before="0" w:beforeAutospacing="0" w:after="0" w:afterAutospacing="0" w:line="276" w:lineRule="auto"/>
                    <w:ind w:left="0" w:right="0"/>
                    <w:jc w:val="center"/>
                    <w:textAlignment w:val="center"/>
                    <w:rPr>
                      <w:rFonts w:hint="default" w:ascii="Times New Roman" w:hAnsi="Times New Roman" w:eastAsia="宋体" w:cs="Times New Roman"/>
                      <w:color w:val="auto"/>
                      <w:sz w:val="18"/>
                      <w:szCs w:val="18"/>
                      <w:highlight w:val="none"/>
                      <w:lang w:val="en-US" w:eastAsia="zh-CN"/>
                    </w:rPr>
                  </w:pPr>
                  <w:r>
                    <w:rPr>
                      <w:rFonts w:hint="eastAsia" w:ascii="Times New Roman" w:hAnsi="Times New Roman" w:eastAsia="宋体" w:cs="Times New Roman"/>
                      <w:i w:val="0"/>
                      <w:iCs w:val="0"/>
                      <w:color w:val="auto"/>
                      <w:kern w:val="0"/>
                      <w:sz w:val="18"/>
                      <w:szCs w:val="18"/>
                      <w:highlight w:val="none"/>
                      <w:u w:val="none"/>
                      <w:lang w:val="en-US" w:eastAsia="zh-CN" w:bidi="ar"/>
                    </w:rPr>
                    <w:t>4t</w:t>
                  </w:r>
                </w:p>
              </w:tc>
              <w:tc>
                <w:tcPr>
                  <w:tcW w:w="368" w:type="pct"/>
                  <w:tcBorders>
                    <w:top w:val="single" w:color="auto" w:sz="4" w:space="0"/>
                    <w:left w:val="single" w:color="auto" w:sz="4" w:space="0"/>
                    <w:bottom w:val="single" w:color="auto" w:sz="4" w:space="0"/>
                    <w:right w:val="single" w:color="auto" w:sz="4" w:space="0"/>
                  </w:tcBorders>
                  <w:vAlign w:val="center"/>
                </w:tcPr>
                <w:p w14:paraId="0D1EF559">
                  <w:pPr>
                    <w:keepNext w:val="0"/>
                    <w:keepLines w:val="0"/>
                    <w:pageBreakBefore w:val="0"/>
                    <w:suppressLineNumbers w:val="0"/>
                    <w:kinsoku/>
                    <w:wordWrap/>
                    <w:overflowPunct/>
                    <w:topLinePunct w:val="0"/>
                    <w:bidi w:val="0"/>
                    <w:adjustRightInd w:val="0"/>
                    <w:snapToGrid w:val="0"/>
                    <w:spacing w:before="0" w:beforeAutospacing="0" w:after="0" w:afterAutospacing="0" w:line="276" w:lineRule="auto"/>
                    <w:ind w:left="0" w:right="0"/>
                    <w:jc w:val="center"/>
                    <w:rPr>
                      <w:rFonts w:hint="eastAsia" w:ascii="Times New Roman" w:hAnsi="Times New Roman" w:eastAsia="宋体" w:cs="Times New Roman"/>
                      <w:sz w:val="18"/>
                      <w:szCs w:val="18"/>
                      <w:highlight w:val="none"/>
                    </w:rPr>
                  </w:pPr>
                  <w:r>
                    <w:rPr>
                      <w:rFonts w:hint="eastAsia" w:ascii="Times New Roman" w:hAnsi="Times New Roman" w:eastAsia="宋体" w:cs="Times New Roman"/>
                      <w:sz w:val="18"/>
                      <w:szCs w:val="18"/>
                      <w:highlight w:val="none"/>
                    </w:rPr>
                    <w:t>固态</w:t>
                  </w:r>
                </w:p>
              </w:tc>
              <w:tc>
                <w:tcPr>
                  <w:tcW w:w="892" w:type="pct"/>
                  <w:tcBorders>
                    <w:top w:val="single" w:color="auto" w:sz="4" w:space="0"/>
                    <w:left w:val="single" w:color="auto" w:sz="4" w:space="0"/>
                    <w:bottom w:val="single" w:color="auto" w:sz="4" w:space="0"/>
                    <w:right w:val="single" w:color="auto" w:sz="4" w:space="0"/>
                  </w:tcBorders>
                  <w:vAlign w:val="center"/>
                </w:tcPr>
                <w:p w14:paraId="5A718692">
                  <w:pPr>
                    <w:keepNext w:val="0"/>
                    <w:keepLines w:val="0"/>
                    <w:pageBreakBefore w:val="0"/>
                    <w:suppressLineNumbers w:val="0"/>
                    <w:kinsoku/>
                    <w:wordWrap/>
                    <w:overflowPunct/>
                    <w:topLinePunct w:val="0"/>
                    <w:bidi w:val="0"/>
                    <w:adjustRightInd w:val="0"/>
                    <w:snapToGrid w:val="0"/>
                    <w:spacing w:before="0" w:beforeAutospacing="0" w:after="0" w:afterAutospacing="0" w:line="276" w:lineRule="auto"/>
                    <w:ind w:left="0" w:right="0"/>
                    <w:jc w:val="center"/>
                    <w:rPr>
                      <w:rFonts w:hint="eastAsia" w:ascii="Times New Roman" w:hAnsi="Times New Roman" w:eastAsia="宋体" w:cs="Times New Roman"/>
                      <w:sz w:val="18"/>
                      <w:szCs w:val="18"/>
                      <w:highlight w:val="none"/>
                    </w:rPr>
                  </w:pPr>
                  <w:r>
                    <w:rPr>
                      <w:rFonts w:hint="eastAsia" w:ascii="Times New Roman" w:hAnsi="Times New Roman" w:eastAsia="宋体" w:cs="Times New Roman"/>
                      <w:sz w:val="18"/>
                      <w:szCs w:val="18"/>
                      <w:highlight w:val="none"/>
                    </w:rPr>
                    <w:t>/</w:t>
                  </w:r>
                </w:p>
              </w:tc>
            </w:tr>
            <w:tr w14:paraId="5548D13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7" w:type="dxa"/>
                  <w:bottom w:w="0" w:type="dxa"/>
                  <w:right w:w="17" w:type="dxa"/>
                </w:tblCellMar>
              </w:tblPrEx>
              <w:trPr>
                <w:trHeight w:val="0" w:hRule="atLeast"/>
                <w:jc w:val="center"/>
              </w:trPr>
              <w:tc>
                <w:tcPr>
                  <w:tcW w:w="283" w:type="pct"/>
                  <w:tcBorders>
                    <w:top w:val="single" w:color="auto" w:sz="4" w:space="0"/>
                    <w:left w:val="single" w:color="auto" w:sz="4" w:space="0"/>
                    <w:bottom w:val="single" w:color="auto" w:sz="4" w:space="0"/>
                    <w:right w:val="single" w:color="auto" w:sz="4" w:space="0"/>
                  </w:tcBorders>
                  <w:vAlign w:val="center"/>
                </w:tcPr>
                <w:p w14:paraId="2734449D">
                  <w:pPr>
                    <w:keepNext w:val="0"/>
                    <w:keepLines w:val="0"/>
                    <w:pageBreakBefore w:val="0"/>
                    <w:suppressLineNumbers w:val="0"/>
                    <w:kinsoku/>
                    <w:wordWrap/>
                    <w:overflowPunct/>
                    <w:topLinePunct w:val="0"/>
                    <w:bidi w:val="0"/>
                    <w:adjustRightInd w:val="0"/>
                    <w:snapToGrid w:val="0"/>
                    <w:spacing w:before="0" w:beforeAutospacing="0" w:after="0" w:afterAutospacing="0" w:line="276" w:lineRule="auto"/>
                    <w:ind w:left="0" w:right="0"/>
                    <w:jc w:val="center"/>
                    <w:rPr>
                      <w:rFonts w:hint="eastAsia" w:ascii="Times New Roman" w:hAnsi="Times New Roman" w:eastAsia="宋体" w:cs="Times New Roman"/>
                      <w:sz w:val="18"/>
                      <w:szCs w:val="18"/>
                      <w:highlight w:val="none"/>
                      <w:lang w:val="en-US" w:eastAsia="zh-CN"/>
                    </w:rPr>
                  </w:pPr>
                  <w:r>
                    <w:rPr>
                      <w:rFonts w:hint="eastAsia" w:cs="Times New Roman"/>
                      <w:sz w:val="18"/>
                      <w:szCs w:val="18"/>
                      <w:highlight w:val="none"/>
                      <w:lang w:val="en-US" w:eastAsia="zh-CN"/>
                    </w:rPr>
                    <w:t>9</w:t>
                  </w:r>
                </w:p>
              </w:tc>
              <w:tc>
                <w:tcPr>
                  <w:tcW w:w="894" w:type="pct"/>
                  <w:tcBorders>
                    <w:top w:val="single" w:color="auto" w:sz="4" w:space="0"/>
                    <w:left w:val="single" w:color="auto" w:sz="4" w:space="0"/>
                    <w:bottom w:val="single" w:color="auto" w:sz="4" w:space="0"/>
                    <w:right w:val="single" w:color="auto" w:sz="4" w:space="0"/>
                  </w:tcBorders>
                  <w:vAlign w:val="center"/>
                </w:tcPr>
                <w:p w14:paraId="4A163723">
                  <w:pPr>
                    <w:pStyle w:val="120"/>
                    <w:keepNext w:val="0"/>
                    <w:keepLines w:val="0"/>
                    <w:pageBreakBefore w:val="0"/>
                    <w:framePr w:hSpace="0" w:wrap="auto" w:vAnchor="margin" w:hAnchor="text" w:xAlign="left" w:yAlign="inline"/>
                    <w:suppressLineNumbers w:val="0"/>
                    <w:kinsoku/>
                    <w:wordWrap/>
                    <w:overflowPunct/>
                    <w:topLinePunct w:val="0"/>
                    <w:bidi w:val="0"/>
                    <w:adjustRightInd w:val="0"/>
                    <w:snapToGrid w:val="0"/>
                    <w:spacing w:before="0" w:beforeAutospacing="0" w:after="0" w:afterAutospacing="0" w:line="276" w:lineRule="auto"/>
                    <w:ind w:left="0" w:right="0"/>
                    <w:jc w:val="center"/>
                    <w:rPr>
                      <w:rFonts w:hint="eastAsia" w:ascii="Times New Roman" w:hAnsi="Times New Roman" w:eastAsia="宋体" w:cs="Times New Roman"/>
                      <w:bCs/>
                      <w:color w:val="auto"/>
                      <w:kern w:val="2"/>
                      <w:sz w:val="18"/>
                      <w:szCs w:val="18"/>
                      <w:highlight w:val="none"/>
                      <w:lang w:val="en-US" w:eastAsia="zh-CN" w:bidi="ar-SA"/>
                    </w:rPr>
                  </w:pPr>
                  <w:r>
                    <w:rPr>
                      <w:rFonts w:hint="eastAsia" w:ascii="Times New Roman" w:hAnsi="Times New Roman" w:eastAsia="宋体" w:cs="Times New Roman"/>
                      <w:color w:val="auto"/>
                      <w:sz w:val="18"/>
                      <w:szCs w:val="18"/>
                      <w:highlight w:val="none"/>
                    </w:rPr>
                    <w:t>大小鼠饲料</w:t>
                  </w:r>
                </w:p>
              </w:tc>
              <w:tc>
                <w:tcPr>
                  <w:tcW w:w="523" w:type="pct"/>
                  <w:tcBorders>
                    <w:top w:val="single" w:color="auto" w:sz="4" w:space="0"/>
                    <w:left w:val="single" w:color="auto" w:sz="4" w:space="0"/>
                    <w:bottom w:val="single" w:color="auto" w:sz="4" w:space="0"/>
                    <w:right w:val="single" w:color="auto" w:sz="4" w:space="0"/>
                  </w:tcBorders>
                  <w:vAlign w:val="center"/>
                </w:tcPr>
                <w:p w14:paraId="6346A75E">
                  <w:pPr>
                    <w:keepNext w:val="0"/>
                    <w:keepLines w:val="0"/>
                    <w:pageBreakBefore w:val="0"/>
                    <w:widowControl/>
                    <w:suppressLineNumbers w:val="0"/>
                    <w:kinsoku/>
                    <w:wordWrap/>
                    <w:overflowPunct/>
                    <w:topLinePunct w:val="0"/>
                    <w:bidi w:val="0"/>
                    <w:adjustRightInd w:val="0"/>
                    <w:snapToGrid w:val="0"/>
                    <w:spacing w:before="0" w:beforeAutospacing="0" w:after="0" w:afterAutospacing="0" w:line="276" w:lineRule="auto"/>
                    <w:ind w:left="0" w:right="0"/>
                    <w:jc w:val="center"/>
                    <w:textAlignment w:val="center"/>
                    <w:rPr>
                      <w:rFonts w:hint="eastAsia" w:ascii="Times New Roman" w:hAnsi="Times New Roman" w:eastAsia="宋体" w:cs="Times New Roman"/>
                      <w:bCs/>
                      <w:color w:val="auto"/>
                      <w:kern w:val="2"/>
                      <w:sz w:val="18"/>
                      <w:szCs w:val="18"/>
                      <w:highlight w:val="none"/>
                      <w:lang w:val="en-US" w:eastAsia="zh-CN" w:bidi="ar-SA"/>
                    </w:rPr>
                  </w:pPr>
                  <w:r>
                    <w:rPr>
                      <w:rFonts w:hint="eastAsia" w:ascii="Times New Roman" w:hAnsi="Times New Roman" w:eastAsia="宋体" w:cs="Times New Roman"/>
                      <w:i w:val="0"/>
                      <w:iCs w:val="0"/>
                      <w:color w:val="000000"/>
                      <w:kern w:val="0"/>
                      <w:sz w:val="18"/>
                      <w:szCs w:val="18"/>
                      <w:highlight w:val="none"/>
                      <w:u w:val="none"/>
                      <w:lang w:val="en-US" w:eastAsia="zh-CN" w:bidi="ar"/>
                    </w:rPr>
                    <w:t>160t</w:t>
                  </w:r>
                </w:p>
              </w:tc>
              <w:tc>
                <w:tcPr>
                  <w:tcW w:w="1451" w:type="pct"/>
                  <w:tcBorders>
                    <w:top w:val="single" w:color="auto" w:sz="4" w:space="0"/>
                    <w:left w:val="single" w:color="auto" w:sz="4" w:space="0"/>
                    <w:bottom w:val="single" w:color="auto" w:sz="4" w:space="0"/>
                    <w:right w:val="single" w:color="auto" w:sz="4" w:space="0"/>
                  </w:tcBorders>
                  <w:vAlign w:val="center"/>
                </w:tcPr>
                <w:p w14:paraId="14B8E387">
                  <w:pPr>
                    <w:pStyle w:val="120"/>
                    <w:keepNext w:val="0"/>
                    <w:keepLines w:val="0"/>
                    <w:pageBreakBefore w:val="0"/>
                    <w:framePr w:hSpace="0" w:wrap="auto" w:vAnchor="margin" w:hAnchor="text" w:xAlign="left" w:yAlign="inline"/>
                    <w:suppressLineNumbers w:val="0"/>
                    <w:kinsoku/>
                    <w:wordWrap/>
                    <w:overflowPunct/>
                    <w:topLinePunct w:val="0"/>
                    <w:bidi w:val="0"/>
                    <w:adjustRightInd w:val="0"/>
                    <w:snapToGrid w:val="0"/>
                    <w:spacing w:before="0" w:beforeAutospacing="0" w:after="0" w:afterAutospacing="0" w:line="276" w:lineRule="auto"/>
                    <w:ind w:left="0" w:right="0"/>
                    <w:jc w:val="center"/>
                    <w:rPr>
                      <w:rFonts w:hint="eastAsia" w:ascii="Times New Roman" w:hAnsi="Times New Roman" w:eastAsia="宋体" w:cs="Times New Roman"/>
                      <w:bCs/>
                      <w:color w:val="auto"/>
                      <w:kern w:val="2"/>
                      <w:sz w:val="18"/>
                      <w:szCs w:val="18"/>
                      <w:highlight w:val="none"/>
                      <w:lang w:val="en-US" w:eastAsia="zh-CN" w:bidi="ar-SA"/>
                    </w:rPr>
                  </w:pPr>
                  <w:r>
                    <w:rPr>
                      <w:rFonts w:hint="eastAsia" w:ascii="Times New Roman" w:hAnsi="Times New Roman" w:eastAsia="宋体" w:cs="Times New Roman"/>
                      <w:color w:val="auto"/>
                      <w:sz w:val="18"/>
                      <w:szCs w:val="18"/>
                      <w:highlight w:val="none"/>
                    </w:rPr>
                    <w:t>20kg</w:t>
                  </w:r>
                  <w:r>
                    <w:rPr>
                      <w:rFonts w:hint="eastAsia" w:ascii="Times New Roman" w:hAnsi="Times New Roman" w:eastAsia="宋体" w:cs="Times New Roman"/>
                      <w:color w:val="auto"/>
                      <w:sz w:val="18"/>
                      <w:szCs w:val="18"/>
                      <w:highlight w:val="none"/>
                      <w:lang w:val="en-US" w:eastAsia="zh-CN"/>
                    </w:rPr>
                    <w:t>/袋</w:t>
                  </w:r>
                </w:p>
              </w:tc>
              <w:tc>
                <w:tcPr>
                  <w:tcW w:w="586" w:type="pct"/>
                  <w:tcBorders>
                    <w:top w:val="single" w:color="auto" w:sz="4" w:space="0"/>
                    <w:left w:val="single" w:color="auto" w:sz="4" w:space="0"/>
                    <w:bottom w:val="single" w:color="auto" w:sz="4" w:space="0"/>
                    <w:right w:val="single" w:color="auto" w:sz="4" w:space="0"/>
                  </w:tcBorders>
                  <w:vAlign w:val="center"/>
                </w:tcPr>
                <w:p w14:paraId="21EC0DD6">
                  <w:pPr>
                    <w:keepNext w:val="0"/>
                    <w:keepLines w:val="0"/>
                    <w:pageBreakBefore w:val="0"/>
                    <w:widowControl/>
                    <w:suppressLineNumbers w:val="0"/>
                    <w:kinsoku/>
                    <w:wordWrap/>
                    <w:overflowPunct/>
                    <w:topLinePunct w:val="0"/>
                    <w:bidi w:val="0"/>
                    <w:adjustRightInd w:val="0"/>
                    <w:snapToGrid w:val="0"/>
                    <w:spacing w:before="0" w:beforeAutospacing="0" w:after="0" w:afterAutospacing="0" w:line="276" w:lineRule="auto"/>
                    <w:ind w:left="0" w:right="0"/>
                    <w:jc w:val="center"/>
                    <w:textAlignment w:val="center"/>
                    <w:rPr>
                      <w:rFonts w:hint="eastAsia" w:ascii="Times New Roman" w:hAnsi="Times New Roman" w:eastAsia="宋体" w:cs="Times New Roman"/>
                      <w:sz w:val="18"/>
                      <w:szCs w:val="18"/>
                      <w:highlight w:val="none"/>
                      <w:lang w:val="en-US" w:eastAsia="zh-CN"/>
                    </w:rPr>
                  </w:pPr>
                  <w:r>
                    <w:rPr>
                      <w:rFonts w:hint="eastAsia" w:ascii="Times New Roman" w:hAnsi="Times New Roman" w:eastAsia="宋体" w:cs="Times New Roman"/>
                      <w:i w:val="0"/>
                      <w:iCs w:val="0"/>
                      <w:color w:val="000000"/>
                      <w:kern w:val="0"/>
                      <w:sz w:val="18"/>
                      <w:szCs w:val="18"/>
                      <w:highlight w:val="none"/>
                      <w:u w:val="none"/>
                      <w:lang w:val="en-US" w:eastAsia="zh-CN" w:bidi="ar"/>
                    </w:rPr>
                    <w:t>3.6t</w:t>
                  </w:r>
                </w:p>
              </w:tc>
              <w:tc>
                <w:tcPr>
                  <w:tcW w:w="368" w:type="pct"/>
                  <w:tcBorders>
                    <w:top w:val="single" w:color="auto" w:sz="4" w:space="0"/>
                    <w:left w:val="single" w:color="auto" w:sz="4" w:space="0"/>
                    <w:bottom w:val="single" w:color="auto" w:sz="4" w:space="0"/>
                    <w:right w:val="single" w:color="auto" w:sz="4" w:space="0"/>
                  </w:tcBorders>
                  <w:vAlign w:val="center"/>
                </w:tcPr>
                <w:p w14:paraId="3960A8A1">
                  <w:pPr>
                    <w:keepNext w:val="0"/>
                    <w:keepLines w:val="0"/>
                    <w:pageBreakBefore w:val="0"/>
                    <w:suppressLineNumbers w:val="0"/>
                    <w:kinsoku/>
                    <w:wordWrap/>
                    <w:overflowPunct/>
                    <w:topLinePunct w:val="0"/>
                    <w:bidi w:val="0"/>
                    <w:adjustRightInd w:val="0"/>
                    <w:snapToGrid w:val="0"/>
                    <w:spacing w:before="0" w:beforeAutospacing="0" w:after="0" w:afterAutospacing="0" w:line="276" w:lineRule="auto"/>
                    <w:ind w:left="0" w:right="0"/>
                    <w:jc w:val="center"/>
                    <w:rPr>
                      <w:rFonts w:hint="eastAsia" w:ascii="Times New Roman" w:hAnsi="Times New Roman" w:eastAsia="宋体" w:cs="Times New Roman"/>
                      <w:sz w:val="18"/>
                      <w:szCs w:val="18"/>
                      <w:highlight w:val="none"/>
                    </w:rPr>
                  </w:pPr>
                  <w:r>
                    <w:rPr>
                      <w:rFonts w:hint="eastAsia" w:ascii="Times New Roman" w:hAnsi="Times New Roman" w:eastAsia="宋体" w:cs="Times New Roman"/>
                      <w:sz w:val="18"/>
                      <w:szCs w:val="18"/>
                      <w:highlight w:val="none"/>
                    </w:rPr>
                    <w:t>固态</w:t>
                  </w:r>
                </w:p>
              </w:tc>
              <w:tc>
                <w:tcPr>
                  <w:tcW w:w="892" w:type="pct"/>
                  <w:tcBorders>
                    <w:top w:val="single" w:color="auto" w:sz="4" w:space="0"/>
                    <w:left w:val="single" w:color="auto" w:sz="4" w:space="0"/>
                    <w:bottom w:val="single" w:color="auto" w:sz="4" w:space="0"/>
                    <w:right w:val="single" w:color="auto" w:sz="4" w:space="0"/>
                  </w:tcBorders>
                  <w:vAlign w:val="center"/>
                </w:tcPr>
                <w:p w14:paraId="51E9B021">
                  <w:pPr>
                    <w:keepNext w:val="0"/>
                    <w:keepLines w:val="0"/>
                    <w:pageBreakBefore w:val="0"/>
                    <w:suppressLineNumbers w:val="0"/>
                    <w:kinsoku/>
                    <w:wordWrap/>
                    <w:overflowPunct/>
                    <w:topLinePunct w:val="0"/>
                    <w:bidi w:val="0"/>
                    <w:adjustRightInd w:val="0"/>
                    <w:snapToGrid w:val="0"/>
                    <w:spacing w:before="0" w:beforeAutospacing="0" w:after="0" w:afterAutospacing="0" w:line="276" w:lineRule="auto"/>
                    <w:ind w:left="0" w:right="0"/>
                    <w:jc w:val="center"/>
                    <w:rPr>
                      <w:rFonts w:hint="eastAsia" w:ascii="Times New Roman" w:hAnsi="Times New Roman" w:eastAsia="宋体" w:cs="Times New Roman"/>
                      <w:sz w:val="18"/>
                      <w:szCs w:val="18"/>
                      <w:highlight w:val="none"/>
                    </w:rPr>
                  </w:pPr>
                  <w:r>
                    <w:rPr>
                      <w:rFonts w:hint="eastAsia" w:ascii="Times New Roman" w:hAnsi="Times New Roman" w:eastAsia="宋体" w:cs="Times New Roman"/>
                      <w:sz w:val="18"/>
                      <w:szCs w:val="18"/>
                      <w:highlight w:val="none"/>
                    </w:rPr>
                    <w:t>/</w:t>
                  </w:r>
                </w:p>
              </w:tc>
            </w:tr>
            <w:tr w14:paraId="45ECE41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7" w:type="dxa"/>
                  <w:bottom w:w="0" w:type="dxa"/>
                  <w:right w:w="17" w:type="dxa"/>
                </w:tblCellMar>
              </w:tblPrEx>
              <w:trPr>
                <w:trHeight w:val="0" w:hRule="atLeast"/>
                <w:jc w:val="center"/>
              </w:trPr>
              <w:tc>
                <w:tcPr>
                  <w:tcW w:w="283" w:type="pct"/>
                  <w:tcBorders>
                    <w:top w:val="single" w:color="auto" w:sz="4" w:space="0"/>
                    <w:left w:val="single" w:color="auto" w:sz="4" w:space="0"/>
                    <w:bottom w:val="single" w:color="auto" w:sz="4" w:space="0"/>
                    <w:right w:val="single" w:color="auto" w:sz="4" w:space="0"/>
                  </w:tcBorders>
                  <w:vAlign w:val="center"/>
                </w:tcPr>
                <w:p w14:paraId="41166679">
                  <w:pPr>
                    <w:keepNext w:val="0"/>
                    <w:keepLines w:val="0"/>
                    <w:pageBreakBefore w:val="0"/>
                    <w:suppressLineNumbers w:val="0"/>
                    <w:kinsoku/>
                    <w:wordWrap/>
                    <w:overflowPunct/>
                    <w:topLinePunct w:val="0"/>
                    <w:bidi w:val="0"/>
                    <w:adjustRightInd w:val="0"/>
                    <w:snapToGrid w:val="0"/>
                    <w:spacing w:before="0" w:beforeAutospacing="0" w:after="0" w:afterAutospacing="0" w:line="276" w:lineRule="auto"/>
                    <w:ind w:left="0" w:right="0"/>
                    <w:jc w:val="center"/>
                    <w:rPr>
                      <w:rFonts w:hint="default" w:ascii="Times New Roman" w:hAnsi="Times New Roman" w:eastAsia="宋体" w:cs="Times New Roman"/>
                      <w:sz w:val="18"/>
                      <w:szCs w:val="18"/>
                      <w:highlight w:val="none"/>
                      <w:lang w:val="en-US" w:eastAsia="zh-CN"/>
                    </w:rPr>
                  </w:pPr>
                  <w:r>
                    <w:rPr>
                      <w:rFonts w:hint="eastAsia" w:cs="Times New Roman"/>
                      <w:sz w:val="18"/>
                      <w:szCs w:val="18"/>
                      <w:highlight w:val="none"/>
                      <w:lang w:val="en-US" w:eastAsia="zh-CN"/>
                    </w:rPr>
                    <w:t>10</w:t>
                  </w:r>
                </w:p>
              </w:tc>
              <w:tc>
                <w:tcPr>
                  <w:tcW w:w="894" w:type="pct"/>
                  <w:tcBorders>
                    <w:top w:val="single" w:color="auto" w:sz="4" w:space="0"/>
                    <w:left w:val="single" w:color="auto" w:sz="4" w:space="0"/>
                    <w:bottom w:val="single" w:color="auto" w:sz="4" w:space="0"/>
                    <w:right w:val="single" w:color="auto" w:sz="4" w:space="0"/>
                  </w:tcBorders>
                  <w:vAlign w:val="center"/>
                </w:tcPr>
                <w:p w14:paraId="74CD49B0">
                  <w:pPr>
                    <w:pStyle w:val="120"/>
                    <w:keepNext w:val="0"/>
                    <w:keepLines w:val="0"/>
                    <w:pageBreakBefore w:val="0"/>
                    <w:framePr w:hSpace="0" w:wrap="auto" w:vAnchor="margin" w:hAnchor="text" w:xAlign="left" w:yAlign="inline"/>
                    <w:suppressLineNumbers w:val="0"/>
                    <w:kinsoku/>
                    <w:wordWrap/>
                    <w:overflowPunct/>
                    <w:topLinePunct w:val="0"/>
                    <w:bidi w:val="0"/>
                    <w:adjustRightInd w:val="0"/>
                    <w:snapToGrid w:val="0"/>
                    <w:spacing w:before="0" w:beforeAutospacing="0" w:after="0" w:afterAutospacing="0" w:line="276" w:lineRule="auto"/>
                    <w:ind w:left="0" w:right="0"/>
                    <w:jc w:val="center"/>
                    <w:rPr>
                      <w:rFonts w:hint="eastAsia" w:ascii="Times New Roman" w:hAnsi="Times New Roman" w:eastAsia="宋体" w:cs="Times New Roman"/>
                      <w:bCs/>
                      <w:color w:val="auto"/>
                      <w:kern w:val="2"/>
                      <w:sz w:val="18"/>
                      <w:szCs w:val="18"/>
                      <w:highlight w:val="none"/>
                      <w:lang w:val="en-US" w:eastAsia="zh-CN" w:bidi="ar-SA"/>
                    </w:rPr>
                  </w:pPr>
                  <w:r>
                    <w:rPr>
                      <w:rFonts w:hint="eastAsia" w:ascii="Times New Roman" w:hAnsi="Times New Roman" w:eastAsia="宋体" w:cs="Times New Roman"/>
                      <w:color w:val="auto"/>
                      <w:sz w:val="18"/>
                      <w:szCs w:val="18"/>
                      <w:highlight w:val="none"/>
                    </w:rPr>
                    <w:t>豚鼠饲料</w:t>
                  </w:r>
                </w:p>
              </w:tc>
              <w:tc>
                <w:tcPr>
                  <w:tcW w:w="523" w:type="pct"/>
                  <w:tcBorders>
                    <w:top w:val="single" w:color="auto" w:sz="4" w:space="0"/>
                    <w:left w:val="single" w:color="auto" w:sz="4" w:space="0"/>
                    <w:bottom w:val="single" w:color="auto" w:sz="4" w:space="0"/>
                    <w:right w:val="single" w:color="auto" w:sz="4" w:space="0"/>
                  </w:tcBorders>
                  <w:vAlign w:val="center"/>
                </w:tcPr>
                <w:p w14:paraId="6B014967">
                  <w:pPr>
                    <w:keepNext w:val="0"/>
                    <w:keepLines w:val="0"/>
                    <w:pageBreakBefore w:val="0"/>
                    <w:widowControl/>
                    <w:suppressLineNumbers w:val="0"/>
                    <w:kinsoku/>
                    <w:wordWrap/>
                    <w:overflowPunct/>
                    <w:topLinePunct w:val="0"/>
                    <w:bidi w:val="0"/>
                    <w:adjustRightInd w:val="0"/>
                    <w:snapToGrid w:val="0"/>
                    <w:spacing w:before="0" w:beforeAutospacing="0" w:after="0" w:afterAutospacing="0" w:line="276" w:lineRule="auto"/>
                    <w:ind w:left="0" w:right="0"/>
                    <w:jc w:val="center"/>
                    <w:textAlignment w:val="center"/>
                    <w:rPr>
                      <w:rFonts w:hint="eastAsia" w:ascii="Times New Roman" w:hAnsi="Times New Roman" w:eastAsia="宋体" w:cs="Times New Roman"/>
                      <w:bCs/>
                      <w:color w:val="auto"/>
                      <w:kern w:val="2"/>
                      <w:sz w:val="18"/>
                      <w:szCs w:val="18"/>
                      <w:highlight w:val="none"/>
                      <w:lang w:val="en-US" w:eastAsia="zh-CN" w:bidi="ar-SA"/>
                    </w:rPr>
                  </w:pPr>
                  <w:r>
                    <w:rPr>
                      <w:rFonts w:hint="eastAsia" w:ascii="Times New Roman" w:hAnsi="Times New Roman" w:eastAsia="宋体" w:cs="Times New Roman"/>
                      <w:i w:val="0"/>
                      <w:iCs w:val="0"/>
                      <w:color w:val="000000"/>
                      <w:kern w:val="0"/>
                      <w:sz w:val="18"/>
                      <w:szCs w:val="18"/>
                      <w:highlight w:val="none"/>
                      <w:u w:val="none"/>
                      <w:lang w:val="en-US" w:eastAsia="zh-CN" w:bidi="ar"/>
                    </w:rPr>
                    <w:t>3t</w:t>
                  </w:r>
                </w:p>
              </w:tc>
              <w:tc>
                <w:tcPr>
                  <w:tcW w:w="1451" w:type="pct"/>
                  <w:tcBorders>
                    <w:top w:val="single" w:color="auto" w:sz="4" w:space="0"/>
                    <w:left w:val="single" w:color="auto" w:sz="4" w:space="0"/>
                    <w:bottom w:val="single" w:color="auto" w:sz="4" w:space="0"/>
                    <w:right w:val="single" w:color="auto" w:sz="4" w:space="0"/>
                  </w:tcBorders>
                  <w:vAlign w:val="center"/>
                </w:tcPr>
                <w:p w14:paraId="4F2F6980">
                  <w:pPr>
                    <w:pStyle w:val="120"/>
                    <w:keepNext w:val="0"/>
                    <w:keepLines w:val="0"/>
                    <w:pageBreakBefore w:val="0"/>
                    <w:framePr w:hSpace="0" w:wrap="auto" w:vAnchor="margin" w:hAnchor="text" w:xAlign="left" w:yAlign="inline"/>
                    <w:suppressLineNumbers w:val="0"/>
                    <w:kinsoku/>
                    <w:wordWrap/>
                    <w:overflowPunct/>
                    <w:topLinePunct w:val="0"/>
                    <w:bidi w:val="0"/>
                    <w:adjustRightInd w:val="0"/>
                    <w:snapToGrid w:val="0"/>
                    <w:spacing w:before="0" w:beforeAutospacing="0" w:after="0" w:afterAutospacing="0" w:line="276" w:lineRule="auto"/>
                    <w:ind w:left="0" w:right="0"/>
                    <w:jc w:val="center"/>
                    <w:rPr>
                      <w:rFonts w:hint="eastAsia" w:ascii="Times New Roman" w:hAnsi="Times New Roman" w:eastAsia="宋体" w:cs="Times New Roman"/>
                      <w:bCs/>
                      <w:color w:val="auto"/>
                      <w:kern w:val="2"/>
                      <w:sz w:val="18"/>
                      <w:szCs w:val="18"/>
                      <w:highlight w:val="none"/>
                      <w:lang w:val="en-US" w:eastAsia="zh-CN" w:bidi="ar-SA"/>
                    </w:rPr>
                  </w:pPr>
                  <w:r>
                    <w:rPr>
                      <w:rFonts w:hint="eastAsia" w:ascii="Times New Roman" w:hAnsi="Times New Roman" w:eastAsia="宋体" w:cs="Times New Roman"/>
                      <w:color w:val="auto"/>
                      <w:sz w:val="18"/>
                      <w:szCs w:val="18"/>
                      <w:highlight w:val="none"/>
                    </w:rPr>
                    <w:t>20kg</w:t>
                  </w:r>
                  <w:r>
                    <w:rPr>
                      <w:rFonts w:hint="eastAsia" w:ascii="Times New Roman" w:hAnsi="Times New Roman" w:eastAsia="宋体" w:cs="Times New Roman"/>
                      <w:color w:val="auto"/>
                      <w:sz w:val="18"/>
                      <w:szCs w:val="18"/>
                      <w:highlight w:val="none"/>
                      <w:lang w:val="en-US" w:eastAsia="zh-CN"/>
                    </w:rPr>
                    <w:t>/袋</w:t>
                  </w:r>
                </w:p>
              </w:tc>
              <w:tc>
                <w:tcPr>
                  <w:tcW w:w="586" w:type="pct"/>
                  <w:tcBorders>
                    <w:top w:val="single" w:color="auto" w:sz="4" w:space="0"/>
                    <w:left w:val="single" w:color="auto" w:sz="4" w:space="0"/>
                    <w:bottom w:val="single" w:color="auto" w:sz="4" w:space="0"/>
                    <w:right w:val="single" w:color="auto" w:sz="4" w:space="0"/>
                  </w:tcBorders>
                  <w:vAlign w:val="center"/>
                </w:tcPr>
                <w:p w14:paraId="2C23304A">
                  <w:pPr>
                    <w:keepNext w:val="0"/>
                    <w:keepLines w:val="0"/>
                    <w:pageBreakBefore w:val="0"/>
                    <w:widowControl/>
                    <w:suppressLineNumbers w:val="0"/>
                    <w:kinsoku/>
                    <w:wordWrap/>
                    <w:overflowPunct/>
                    <w:topLinePunct w:val="0"/>
                    <w:bidi w:val="0"/>
                    <w:adjustRightInd w:val="0"/>
                    <w:snapToGrid w:val="0"/>
                    <w:spacing w:before="0" w:beforeAutospacing="0" w:after="0" w:afterAutospacing="0" w:line="276" w:lineRule="auto"/>
                    <w:ind w:left="0" w:right="0"/>
                    <w:jc w:val="center"/>
                    <w:textAlignment w:val="center"/>
                    <w:rPr>
                      <w:rFonts w:hint="eastAsia" w:ascii="Times New Roman" w:hAnsi="Times New Roman" w:eastAsia="宋体" w:cs="Times New Roman"/>
                      <w:sz w:val="18"/>
                      <w:szCs w:val="18"/>
                      <w:highlight w:val="none"/>
                      <w:lang w:val="en-US" w:eastAsia="zh-CN"/>
                    </w:rPr>
                  </w:pPr>
                  <w:r>
                    <w:rPr>
                      <w:rFonts w:hint="eastAsia" w:ascii="Times New Roman" w:hAnsi="Times New Roman" w:eastAsia="宋体" w:cs="Times New Roman"/>
                      <w:i w:val="0"/>
                      <w:iCs w:val="0"/>
                      <w:color w:val="000000"/>
                      <w:kern w:val="0"/>
                      <w:sz w:val="18"/>
                      <w:szCs w:val="18"/>
                      <w:highlight w:val="none"/>
                      <w:u w:val="none"/>
                      <w:lang w:val="en-US" w:eastAsia="zh-CN" w:bidi="ar"/>
                    </w:rPr>
                    <w:t>0.06t</w:t>
                  </w:r>
                </w:p>
              </w:tc>
              <w:tc>
                <w:tcPr>
                  <w:tcW w:w="368" w:type="pct"/>
                  <w:tcBorders>
                    <w:top w:val="single" w:color="auto" w:sz="4" w:space="0"/>
                    <w:left w:val="single" w:color="auto" w:sz="4" w:space="0"/>
                    <w:bottom w:val="single" w:color="auto" w:sz="4" w:space="0"/>
                    <w:right w:val="single" w:color="auto" w:sz="4" w:space="0"/>
                  </w:tcBorders>
                  <w:vAlign w:val="center"/>
                </w:tcPr>
                <w:p w14:paraId="5265AD4F">
                  <w:pPr>
                    <w:keepNext w:val="0"/>
                    <w:keepLines w:val="0"/>
                    <w:pageBreakBefore w:val="0"/>
                    <w:suppressLineNumbers w:val="0"/>
                    <w:kinsoku/>
                    <w:wordWrap/>
                    <w:overflowPunct/>
                    <w:topLinePunct w:val="0"/>
                    <w:bidi w:val="0"/>
                    <w:adjustRightInd w:val="0"/>
                    <w:snapToGrid w:val="0"/>
                    <w:spacing w:before="0" w:beforeAutospacing="0" w:after="0" w:afterAutospacing="0" w:line="276" w:lineRule="auto"/>
                    <w:ind w:left="0" w:right="0"/>
                    <w:jc w:val="center"/>
                    <w:rPr>
                      <w:rFonts w:hint="eastAsia" w:ascii="Times New Roman" w:hAnsi="Times New Roman" w:eastAsia="宋体" w:cs="Times New Roman"/>
                      <w:sz w:val="18"/>
                      <w:szCs w:val="18"/>
                      <w:highlight w:val="none"/>
                    </w:rPr>
                  </w:pPr>
                  <w:r>
                    <w:rPr>
                      <w:rFonts w:hint="eastAsia" w:ascii="Times New Roman" w:hAnsi="Times New Roman" w:eastAsia="宋体" w:cs="Times New Roman"/>
                      <w:sz w:val="18"/>
                      <w:szCs w:val="18"/>
                      <w:highlight w:val="none"/>
                    </w:rPr>
                    <w:t>固态</w:t>
                  </w:r>
                </w:p>
              </w:tc>
              <w:tc>
                <w:tcPr>
                  <w:tcW w:w="892" w:type="pct"/>
                  <w:tcBorders>
                    <w:top w:val="single" w:color="auto" w:sz="4" w:space="0"/>
                    <w:left w:val="single" w:color="auto" w:sz="4" w:space="0"/>
                    <w:bottom w:val="single" w:color="auto" w:sz="4" w:space="0"/>
                    <w:right w:val="single" w:color="auto" w:sz="4" w:space="0"/>
                  </w:tcBorders>
                  <w:vAlign w:val="center"/>
                </w:tcPr>
                <w:p w14:paraId="2192DDCC">
                  <w:pPr>
                    <w:keepNext w:val="0"/>
                    <w:keepLines w:val="0"/>
                    <w:pageBreakBefore w:val="0"/>
                    <w:suppressLineNumbers w:val="0"/>
                    <w:kinsoku/>
                    <w:wordWrap/>
                    <w:overflowPunct/>
                    <w:topLinePunct w:val="0"/>
                    <w:bidi w:val="0"/>
                    <w:adjustRightInd w:val="0"/>
                    <w:snapToGrid w:val="0"/>
                    <w:spacing w:before="0" w:beforeAutospacing="0" w:after="0" w:afterAutospacing="0" w:line="276" w:lineRule="auto"/>
                    <w:ind w:left="0" w:right="0"/>
                    <w:jc w:val="center"/>
                    <w:rPr>
                      <w:rFonts w:hint="eastAsia" w:ascii="Times New Roman" w:hAnsi="Times New Roman" w:eastAsia="宋体" w:cs="Times New Roman"/>
                      <w:sz w:val="18"/>
                      <w:szCs w:val="18"/>
                      <w:highlight w:val="none"/>
                    </w:rPr>
                  </w:pPr>
                  <w:r>
                    <w:rPr>
                      <w:rFonts w:hint="eastAsia" w:ascii="Times New Roman" w:hAnsi="Times New Roman" w:eastAsia="宋体" w:cs="Times New Roman"/>
                      <w:sz w:val="18"/>
                      <w:szCs w:val="18"/>
                      <w:highlight w:val="none"/>
                    </w:rPr>
                    <w:t>/</w:t>
                  </w:r>
                </w:p>
              </w:tc>
            </w:tr>
            <w:tr w14:paraId="429535C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7" w:type="dxa"/>
                  <w:bottom w:w="0" w:type="dxa"/>
                  <w:right w:w="17" w:type="dxa"/>
                </w:tblCellMar>
              </w:tblPrEx>
              <w:trPr>
                <w:trHeight w:val="0" w:hRule="atLeast"/>
                <w:jc w:val="center"/>
              </w:trPr>
              <w:tc>
                <w:tcPr>
                  <w:tcW w:w="283" w:type="pct"/>
                  <w:tcBorders>
                    <w:top w:val="single" w:color="auto" w:sz="4" w:space="0"/>
                    <w:left w:val="single" w:color="auto" w:sz="4" w:space="0"/>
                    <w:bottom w:val="single" w:color="auto" w:sz="4" w:space="0"/>
                    <w:right w:val="single" w:color="auto" w:sz="4" w:space="0"/>
                  </w:tcBorders>
                  <w:vAlign w:val="center"/>
                </w:tcPr>
                <w:p w14:paraId="119F6252">
                  <w:pPr>
                    <w:keepNext w:val="0"/>
                    <w:keepLines w:val="0"/>
                    <w:pageBreakBefore w:val="0"/>
                    <w:suppressLineNumbers w:val="0"/>
                    <w:kinsoku/>
                    <w:wordWrap/>
                    <w:overflowPunct/>
                    <w:topLinePunct w:val="0"/>
                    <w:bidi w:val="0"/>
                    <w:adjustRightInd w:val="0"/>
                    <w:snapToGrid w:val="0"/>
                    <w:spacing w:before="0" w:beforeAutospacing="0" w:after="0" w:afterAutospacing="0" w:line="276" w:lineRule="auto"/>
                    <w:ind w:left="0" w:right="0"/>
                    <w:jc w:val="center"/>
                    <w:rPr>
                      <w:rFonts w:hint="default" w:ascii="Times New Roman" w:hAnsi="Times New Roman" w:eastAsia="宋体" w:cs="Times New Roman"/>
                      <w:sz w:val="18"/>
                      <w:szCs w:val="18"/>
                      <w:highlight w:val="none"/>
                      <w:lang w:val="en-US" w:eastAsia="zh-CN"/>
                    </w:rPr>
                  </w:pPr>
                  <w:r>
                    <w:rPr>
                      <w:rFonts w:hint="eastAsia" w:cs="Times New Roman"/>
                      <w:sz w:val="18"/>
                      <w:szCs w:val="18"/>
                      <w:highlight w:val="none"/>
                      <w:lang w:val="en-US" w:eastAsia="zh-CN"/>
                    </w:rPr>
                    <w:t>11</w:t>
                  </w:r>
                </w:p>
              </w:tc>
              <w:tc>
                <w:tcPr>
                  <w:tcW w:w="894" w:type="pct"/>
                  <w:tcBorders>
                    <w:top w:val="single" w:color="auto" w:sz="4" w:space="0"/>
                    <w:left w:val="single" w:color="auto" w:sz="4" w:space="0"/>
                    <w:bottom w:val="single" w:color="auto" w:sz="4" w:space="0"/>
                    <w:right w:val="single" w:color="auto" w:sz="4" w:space="0"/>
                  </w:tcBorders>
                  <w:vAlign w:val="center"/>
                </w:tcPr>
                <w:p w14:paraId="17ED077C">
                  <w:pPr>
                    <w:pStyle w:val="120"/>
                    <w:keepNext w:val="0"/>
                    <w:keepLines w:val="0"/>
                    <w:pageBreakBefore w:val="0"/>
                    <w:framePr w:hSpace="0" w:wrap="auto" w:vAnchor="margin" w:hAnchor="text" w:xAlign="left" w:yAlign="inline"/>
                    <w:suppressLineNumbers w:val="0"/>
                    <w:kinsoku/>
                    <w:wordWrap/>
                    <w:overflowPunct/>
                    <w:topLinePunct w:val="0"/>
                    <w:bidi w:val="0"/>
                    <w:adjustRightInd w:val="0"/>
                    <w:snapToGrid w:val="0"/>
                    <w:spacing w:before="0" w:beforeAutospacing="0" w:after="0" w:afterAutospacing="0" w:line="276" w:lineRule="auto"/>
                    <w:ind w:left="0" w:right="0"/>
                    <w:jc w:val="center"/>
                    <w:rPr>
                      <w:rFonts w:hint="default" w:ascii="Times New Roman" w:hAnsi="Times New Roman" w:eastAsia="宋体" w:cs="Times New Roman"/>
                      <w:bCs/>
                      <w:color w:val="auto"/>
                      <w:kern w:val="2"/>
                      <w:sz w:val="18"/>
                      <w:szCs w:val="18"/>
                      <w:highlight w:val="none"/>
                      <w:lang w:val="en-US" w:eastAsia="zh-CN" w:bidi="ar-SA"/>
                    </w:rPr>
                  </w:pPr>
                  <w:r>
                    <w:rPr>
                      <w:rFonts w:hint="eastAsia" w:ascii="Times New Roman" w:hAnsi="Times New Roman" w:eastAsia="宋体" w:cs="Times New Roman"/>
                      <w:color w:val="auto"/>
                      <w:sz w:val="18"/>
                      <w:szCs w:val="18"/>
                      <w:highlight w:val="none"/>
                    </w:rPr>
                    <w:t>兔饲料</w:t>
                  </w:r>
                </w:p>
              </w:tc>
              <w:tc>
                <w:tcPr>
                  <w:tcW w:w="523" w:type="pct"/>
                  <w:tcBorders>
                    <w:top w:val="single" w:color="auto" w:sz="4" w:space="0"/>
                    <w:left w:val="single" w:color="auto" w:sz="4" w:space="0"/>
                    <w:bottom w:val="single" w:color="auto" w:sz="4" w:space="0"/>
                    <w:right w:val="single" w:color="auto" w:sz="4" w:space="0"/>
                  </w:tcBorders>
                  <w:vAlign w:val="center"/>
                </w:tcPr>
                <w:p w14:paraId="17B29BCD">
                  <w:pPr>
                    <w:keepNext w:val="0"/>
                    <w:keepLines w:val="0"/>
                    <w:pageBreakBefore w:val="0"/>
                    <w:widowControl/>
                    <w:suppressLineNumbers w:val="0"/>
                    <w:kinsoku/>
                    <w:wordWrap/>
                    <w:overflowPunct/>
                    <w:topLinePunct w:val="0"/>
                    <w:bidi w:val="0"/>
                    <w:adjustRightInd w:val="0"/>
                    <w:snapToGrid w:val="0"/>
                    <w:spacing w:before="0" w:beforeAutospacing="0" w:after="0" w:afterAutospacing="0" w:line="276" w:lineRule="auto"/>
                    <w:ind w:left="0" w:right="0"/>
                    <w:jc w:val="center"/>
                    <w:textAlignment w:val="center"/>
                    <w:rPr>
                      <w:rFonts w:hint="default" w:ascii="Times New Roman" w:hAnsi="Times New Roman" w:eastAsia="宋体" w:cs="Times New Roman"/>
                      <w:bCs/>
                      <w:color w:val="auto"/>
                      <w:kern w:val="2"/>
                      <w:sz w:val="18"/>
                      <w:szCs w:val="18"/>
                      <w:highlight w:val="none"/>
                      <w:lang w:val="en-US" w:eastAsia="zh-CN" w:bidi="ar-SA"/>
                    </w:rPr>
                  </w:pPr>
                  <w:r>
                    <w:rPr>
                      <w:rFonts w:hint="eastAsia" w:ascii="Times New Roman" w:hAnsi="Times New Roman" w:eastAsia="宋体" w:cs="Times New Roman"/>
                      <w:i w:val="0"/>
                      <w:iCs w:val="0"/>
                      <w:color w:val="000000"/>
                      <w:kern w:val="0"/>
                      <w:sz w:val="18"/>
                      <w:szCs w:val="18"/>
                      <w:highlight w:val="none"/>
                      <w:u w:val="none"/>
                      <w:lang w:val="en-US" w:eastAsia="zh-CN" w:bidi="ar"/>
                    </w:rPr>
                    <w:t>12.92t</w:t>
                  </w:r>
                </w:p>
              </w:tc>
              <w:tc>
                <w:tcPr>
                  <w:tcW w:w="1451" w:type="pct"/>
                  <w:tcBorders>
                    <w:top w:val="single" w:color="auto" w:sz="4" w:space="0"/>
                    <w:left w:val="single" w:color="auto" w:sz="4" w:space="0"/>
                    <w:bottom w:val="single" w:color="auto" w:sz="4" w:space="0"/>
                    <w:right w:val="single" w:color="auto" w:sz="4" w:space="0"/>
                  </w:tcBorders>
                  <w:vAlign w:val="center"/>
                </w:tcPr>
                <w:p w14:paraId="3BA1F990">
                  <w:pPr>
                    <w:pStyle w:val="120"/>
                    <w:keepNext w:val="0"/>
                    <w:keepLines w:val="0"/>
                    <w:pageBreakBefore w:val="0"/>
                    <w:framePr w:hSpace="0" w:wrap="auto" w:vAnchor="margin" w:hAnchor="text" w:xAlign="left" w:yAlign="inline"/>
                    <w:suppressLineNumbers w:val="0"/>
                    <w:kinsoku/>
                    <w:wordWrap/>
                    <w:overflowPunct/>
                    <w:topLinePunct w:val="0"/>
                    <w:bidi w:val="0"/>
                    <w:adjustRightInd w:val="0"/>
                    <w:snapToGrid w:val="0"/>
                    <w:spacing w:before="0" w:beforeAutospacing="0" w:after="0" w:afterAutospacing="0" w:line="276" w:lineRule="auto"/>
                    <w:ind w:left="0" w:right="0"/>
                    <w:jc w:val="center"/>
                    <w:rPr>
                      <w:rFonts w:hint="default" w:ascii="Times New Roman" w:hAnsi="Times New Roman" w:eastAsia="宋体" w:cs="Times New Roman"/>
                      <w:bCs/>
                      <w:color w:val="auto"/>
                      <w:kern w:val="2"/>
                      <w:sz w:val="18"/>
                      <w:szCs w:val="18"/>
                      <w:highlight w:val="none"/>
                      <w:lang w:val="en-US" w:eastAsia="zh-CN" w:bidi="ar-SA"/>
                    </w:rPr>
                  </w:pPr>
                  <w:r>
                    <w:rPr>
                      <w:rFonts w:hint="eastAsia" w:ascii="Times New Roman" w:hAnsi="Times New Roman" w:eastAsia="宋体" w:cs="Times New Roman"/>
                      <w:color w:val="auto"/>
                      <w:sz w:val="18"/>
                      <w:szCs w:val="18"/>
                      <w:highlight w:val="none"/>
                    </w:rPr>
                    <w:t>20kg</w:t>
                  </w:r>
                  <w:r>
                    <w:rPr>
                      <w:rFonts w:hint="eastAsia" w:ascii="Times New Roman" w:hAnsi="Times New Roman" w:eastAsia="宋体" w:cs="Times New Roman"/>
                      <w:color w:val="auto"/>
                      <w:sz w:val="18"/>
                      <w:szCs w:val="18"/>
                      <w:highlight w:val="none"/>
                      <w:lang w:val="en-US" w:eastAsia="zh-CN"/>
                    </w:rPr>
                    <w:t>/袋</w:t>
                  </w:r>
                </w:p>
              </w:tc>
              <w:tc>
                <w:tcPr>
                  <w:tcW w:w="586" w:type="pct"/>
                  <w:tcBorders>
                    <w:top w:val="single" w:color="auto" w:sz="4" w:space="0"/>
                    <w:left w:val="single" w:color="auto" w:sz="4" w:space="0"/>
                    <w:bottom w:val="single" w:color="auto" w:sz="4" w:space="0"/>
                    <w:right w:val="single" w:color="auto" w:sz="4" w:space="0"/>
                  </w:tcBorders>
                  <w:vAlign w:val="center"/>
                </w:tcPr>
                <w:p w14:paraId="068A7B4F">
                  <w:pPr>
                    <w:keepNext w:val="0"/>
                    <w:keepLines w:val="0"/>
                    <w:pageBreakBefore w:val="0"/>
                    <w:widowControl/>
                    <w:suppressLineNumbers w:val="0"/>
                    <w:kinsoku/>
                    <w:wordWrap/>
                    <w:overflowPunct/>
                    <w:topLinePunct w:val="0"/>
                    <w:bidi w:val="0"/>
                    <w:adjustRightInd w:val="0"/>
                    <w:snapToGrid w:val="0"/>
                    <w:spacing w:before="0" w:beforeAutospacing="0" w:after="0" w:afterAutospacing="0" w:line="276" w:lineRule="auto"/>
                    <w:ind w:left="0" w:right="0"/>
                    <w:jc w:val="center"/>
                    <w:textAlignment w:val="center"/>
                    <w:rPr>
                      <w:rFonts w:hint="eastAsia" w:ascii="Times New Roman" w:hAnsi="Times New Roman" w:eastAsia="宋体" w:cs="Times New Roman"/>
                      <w:sz w:val="18"/>
                      <w:szCs w:val="18"/>
                      <w:highlight w:val="none"/>
                      <w:lang w:val="en-US" w:eastAsia="zh-CN"/>
                    </w:rPr>
                  </w:pPr>
                  <w:r>
                    <w:rPr>
                      <w:rFonts w:hint="eastAsia" w:ascii="Times New Roman" w:hAnsi="Times New Roman" w:eastAsia="宋体" w:cs="Times New Roman"/>
                      <w:i w:val="0"/>
                      <w:iCs w:val="0"/>
                      <w:color w:val="000000"/>
                      <w:kern w:val="0"/>
                      <w:sz w:val="18"/>
                      <w:szCs w:val="18"/>
                      <w:highlight w:val="none"/>
                      <w:u w:val="none"/>
                      <w:lang w:val="en-US" w:eastAsia="zh-CN" w:bidi="ar"/>
                    </w:rPr>
                    <w:t>0.2t</w:t>
                  </w:r>
                </w:p>
              </w:tc>
              <w:tc>
                <w:tcPr>
                  <w:tcW w:w="368" w:type="pct"/>
                  <w:tcBorders>
                    <w:top w:val="single" w:color="auto" w:sz="4" w:space="0"/>
                    <w:left w:val="single" w:color="auto" w:sz="4" w:space="0"/>
                    <w:bottom w:val="single" w:color="auto" w:sz="4" w:space="0"/>
                    <w:right w:val="single" w:color="auto" w:sz="4" w:space="0"/>
                  </w:tcBorders>
                  <w:vAlign w:val="center"/>
                </w:tcPr>
                <w:p w14:paraId="5CEC7765">
                  <w:pPr>
                    <w:keepNext w:val="0"/>
                    <w:keepLines w:val="0"/>
                    <w:pageBreakBefore w:val="0"/>
                    <w:suppressLineNumbers w:val="0"/>
                    <w:kinsoku/>
                    <w:wordWrap/>
                    <w:overflowPunct/>
                    <w:topLinePunct w:val="0"/>
                    <w:bidi w:val="0"/>
                    <w:adjustRightInd w:val="0"/>
                    <w:snapToGrid w:val="0"/>
                    <w:spacing w:before="0" w:beforeAutospacing="0" w:after="0" w:afterAutospacing="0" w:line="276" w:lineRule="auto"/>
                    <w:ind w:left="0" w:right="0"/>
                    <w:jc w:val="center"/>
                    <w:rPr>
                      <w:rFonts w:hint="default" w:ascii="Times New Roman" w:hAnsi="Times New Roman" w:eastAsia="宋体" w:cs="Times New Roman"/>
                      <w:sz w:val="18"/>
                      <w:szCs w:val="18"/>
                      <w:highlight w:val="none"/>
                    </w:rPr>
                  </w:pPr>
                  <w:r>
                    <w:rPr>
                      <w:rFonts w:hint="eastAsia" w:ascii="Times New Roman" w:hAnsi="Times New Roman" w:eastAsia="宋体" w:cs="Times New Roman"/>
                      <w:sz w:val="18"/>
                      <w:szCs w:val="18"/>
                      <w:highlight w:val="none"/>
                    </w:rPr>
                    <w:t>固态</w:t>
                  </w:r>
                </w:p>
              </w:tc>
              <w:tc>
                <w:tcPr>
                  <w:tcW w:w="892" w:type="pct"/>
                  <w:tcBorders>
                    <w:top w:val="single" w:color="auto" w:sz="4" w:space="0"/>
                    <w:left w:val="single" w:color="auto" w:sz="4" w:space="0"/>
                    <w:right w:val="single" w:color="auto" w:sz="4" w:space="0"/>
                  </w:tcBorders>
                  <w:vAlign w:val="center"/>
                </w:tcPr>
                <w:p w14:paraId="36CA4BEF">
                  <w:pPr>
                    <w:keepNext w:val="0"/>
                    <w:keepLines w:val="0"/>
                    <w:pageBreakBefore w:val="0"/>
                    <w:suppressLineNumbers w:val="0"/>
                    <w:kinsoku/>
                    <w:wordWrap/>
                    <w:overflowPunct/>
                    <w:topLinePunct w:val="0"/>
                    <w:bidi w:val="0"/>
                    <w:adjustRightInd w:val="0"/>
                    <w:snapToGrid w:val="0"/>
                    <w:spacing w:before="0" w:beforeAutospacing="0" w:after="0" w:afterAutospacing="0" w:line="276" w:lineRule="auto"/>
                    <w:ind w:left="0" w:right="0"/>
                    <w:jc w:val="center"/>
                    <w:rPr>
                      <w:rFonts w:hint="default" w:ascii="Times New Roman" w:hAnsi="Times New Roman" w:eastAsia="宋体" w:cs="Times New Roman"/>
                      <w:sz w:val="18"/>
                      <w:szCs w:val="18"/>
                      <w:highlight w:val="none"/>
                    </w:rPr>
                  </w:pPr>
                  <w:r>
                    <w:rPr>
                      <w:rFonts w:hint="eastAsia" w:ascii="Times New Roman" w:hAnsi="Times New Roman" w:eastAsia="宋体" w:cs="Times New Roman"/>
                      <w:sz w:val="18"/>
                      <w:szCs w:val="18"/>
                      <w:highlight w:val="none"/>
                    </w:rPr>
                    <w:t>/</w:t>
                  </w:r>
                </w:p>
              </w:tc>
            </w:tr>
            <w:tr w14:paraId="27FC59E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7" w:type="dxa"/>
                  <w:bottom w:w="0" w:type="dxa"/>
                  <w:right w:w="17" w:type="dxa"/>
                </w:tblCellMar>
              </w:tblPrEx>
              <w:trPr>
                <w:trHeight w:val="0" w:hRule="atLeast"/>
                <w:jc w:val="center"/>
              </w:trPr>
              <w:tc>
                <w:tcPr>
                  <w:tcW w:w="283" w:type="pct"/>
                  <w:tcBorders>
                    <w:top w:val="single" w:color="auto" w:sz="4" w:space="0"/>
                    <w:left w:val="single" w:color="auto" w:sz="4" w:space="0"/>
                    <w:bottom w:val="single" w:color="auto" w:sz="4" w:space="0"/>
                    <w:right w:val="single" w:color="auto" w:sz="4" w:space="0"/>
                  </w:tcBorders>
                  <w:vAlign w:val="center"/>
                </w:tcPr>
                <w:p w14:paraId="60914AB7">
                  <w:pPr>
                    <w:keepNext w:val="0"/>
                    <w:keepLines w:val="0"/>
                    <w:pageBreakBefore w:val="0"/>
                    <w:suppressLineNumbers w:val="0"/>
                    <w:kinsoku/>
                    <w:wordWrap/>
                    <w:overflowPunct/>
                    <w:topLinePunct w:val="0"/>
                    <w:bidi w:val="0"/>
                    <w:adjustRightInd w:val="0"/>
                    <w:snapToGrid w:val="0"/>
                    <w:spacing w:before="0" w:beforeAutospacing="0" w:after="0" w:afterAutospacing="0" w:line="276" w:lineRule="auto"/>
                    <w:ind w:left="0" w:right="0"/>
                    <w:jc w:val="center"/>
                    <w:rPr>
                      <w:rFonts w:hint="default" w:ascii="Times New Roman" w:hAnsi="Times New Roman" w:eastAsia="宋体" w:cs="Times New Roman"/>
                      <w:sz w:val="18"/>
                      <w:szCs w:val="18"/>
                      <w:highlight w:val="none"/>
                      <w:lang w:val="en-US" w:eastAsia="zh-CN"/>
                    </w:rPr>
                  </w:pPr>
                  <w:r>
                    <w:rPr>
                      <w:rFonts w:hint="eastAsia" w:cs="Times New Roman"/>
                      <w:sz w:val="18"/>
                      <w:szCs w:val="18"/>
                      <w:highlight w:val="none"/>
                      <w:lang w:val="en-US" w:eastAsia="zh-CN"/>
                    </w:rPr>
                    <w:t>12</w:t>
                  </w:r>
                </w:p>
              </w:tc>
              <w:tc>
                <w:tcPr>
                  <w:tcW w:w="894" w:type="pct"/>
                  <w:tcBorders>
                    <w:top w:val="single" w:color="auto" w:sz="4" w:space="0"/>
                    <w:left w:val="single" w:color="auto" w:sz="4" w:space="0"/>
                    <w:bottom w:val="single" w:color="auto" w:sz="4" w:space="0"/>
                    <w:right w:val="single" w:color="auto" w:sz="4" w:space="0"/>
                  </w:tcBorders>
                  <w:vAlign w:val="center"/>
                </w:tcPr>
                <w:p w14:paraId="79C506AA">
                  <w:pPr>
                    <w:pStyle w:val="120"/>
                    <w:keepNext w:val="0"/>
                    <w:keepLines w:val="0"/>
                    <w:pageBreakBefore w:val="0"/>
                    <w:framePr w:hSpace="0" w:wrap="auto" w:vAnchor="margin" w:hAnchor="text" w:xAlign="left" w:yAlign="inline"/>
                    <w:suppressLineNumbers w:val="0"/>
                    <w:kinsoku/>
                    <w:wordWrap/>
                    <w:overflowPunct/>
                    <w:topLinePunct w:val="0"/>
                    <w:bidi w:val="0"/>
                    <w:adjustRightInd w:val="0"/>
                    <w:snapToGrid w:val="0"/>
                    <w:spacing w:before="0" w:beforeAutospacing="0" w:after="0" w:afterAutospacing="0" w:line="276" w:lineRule="auto"/>
                    <w:ind w:left="0" w:right="0"/>
                    <w:jc w:val="center"/>
                    <w:rPr>
                      <w:rFonts w:hint="default" w:ascii="Times New Roman" w:hAnsi="Times New Roman" w:eastAsia="宋体" w:cs="Times New Roman"/>
                      <w:bCs/>
                      <w:color w:val="auto"/>
                      <w:kern w:val="2"/>
                      <w:sz w:val="18"/>
                      <w:szCs w:val="18"/>
                      <w:highlight w:val="none"/>
                      <w:lang w:val="en-US" w:eastAsia="zh-CN" w:bidi="ar-SA"/>
                    </w:rPr>
                  </w:pPr>
                  <w:r>
                    <w:rPr>
                      <w:rFonts w:hint="eastAsia" w:ascii="Times New Roman" w:hAnsi="Times New Roman" w:eastAsia="宋体" w:cs="Times New Roman"/>
                      <w:color w:val="auto"/>
                      <w:sz w:val="18"/>
                      <w:szCs w:val="18"/>
                      <w:highlight w:val="none"/>
                    </w:rPr>
                    <w:t>犬饲料</w:t>
                  </w:r>
                </w:p>
              </w:tc>
              <w:tc>
                <w:tcPr>
                  <w:tcW w:w="523" w:type="pct"/>
                  <w:tcBorders>
                    <w:top w:val="single" w:color="auto" w:sz="4" w:space="0"/>
                    <w:left w:val="single" w:color="auto" w:sz="4" w:space="0"/>
                    <w:bottom w:val="single" w:color="auto" w:sz="4" w:space="0"/>
                    <w:right w:val="single" w:color="auto" w:sz="4" w:space="0"/>
                  </w:tcBorders>
                  <w:vAlign w:val="center"/>
                </w:tcPr>
                <w:p w14:paraId="5D028589">
                  <w:pPr>
                    <w:keepNext w:val="0"/>
                    <w:keepLines w:val="0"/>
                    <w:pageBreakBefore w:val="0"/>
                    <w:widowControl/>
                    <w:suppressLineNumbers w:val="0"/>
                    <w:kinsoku/>
                    <w:wordWrap/>
                    <w:overflowPunct/>
                    <w:topLinePunct w:val="0"/>
                    <w:bidi w:val="0"/>
                    <w:adjustRightInd w:val="0"/>
                    <w:snapToGrid w:val="0"/>
                    <w:spacing w:before="0" w:beforeAutospacing="0" w:after="0" w:afterAutospacing="0" w:line="276" w:lineRule="auto"/>
                    <w:ind w:left="0" w:right="0"/>
                    <w:jc w:val="center"/>
                    <w:textAlignment w:val="center"/>
                    <w:rPr>
                      <w:rFonts w:hint="default" w:ascii="Times New Roman" w:hAnsi="Times New Roman" w:eastAsia="宋体" w:cs="Times New Roman"/>
                      <w:bCs/>
                      <w:color w:val="auto"/>
                      <w:kern w:val="2"/>
                      <w:sz w:val="18"/>
                      <w:szCs w:val="18"/>
                      <w:highlight w:val="none"/>
                      <w:lang w:val="en-US" w:eastAsia="zh-CN" w:bidi="ar-SA"/>
                    </w:rPr>
                  </w:pPr>
                  <w:r>
                    <w:rPr>
                      <w:rFonts w:hint="eastAsia" w:ascii="Times New Roman" w:hAnsi="Times New Roman" w:eastAsia="宋体" w:cs="Times New Roman"/>
                      <w:i w:val="0"/>
                      <w:iCs w:val="0"/>
                      <w:color w:val="000000"/>
                      <w:kern w:val="0"/>
                      <w:sz w:val="18"/>
                      <w:szCs w:val="18"/>
                      <w:highlight w:val="none"/>
                      <w:u w:val="none"/>
                      <w:lang w:val="en-US" w:eastAsia="zh-CN" w:bidi="ar"/>
                    </w:rPr>
                    <w:t>4.96t</w:t>
                  </w:r>
                </w:p>
              </w:tc>
              <w:tc>
                <w:tcPr>
                  <w:tcW w:w="1451" w:type="pct"/>
                  <w:tcBorders>
                    <w:top w:val="single" w:color="auto" w:sz="4" w:space="0"/>
                    <w:left w:val="single" w:color="auto" w:sz="4" w:space="0"/>
                    <w:bottom w:val="single" w:color="auto" w:sz="4" w:space="0"/>
                    <w:right w:val="single" w:color="auto" w:sz="4" w:space="0"/>
                  </w:tcBorders>
                  <w:vAlign w:val="center"/>
                </w:tcPr>
                <w:p w14:paraId="296659CE">
                  <w:pPr>
                    <w:pStyle w:val="120"/>
                    <w:keepNext w:val="0"/>
                    <w:keepLines w:val="0"/>
                    <w:pageBreakBefore w:val="0"/>
                    <w:framePr w:hSpace="0" w:wrap="auto" w:vAnchor="margin" w:hAnchor="text" w:xAlign="left" w:yAlign="inline"/>
                    <w:suppressLineNumbers w:val="0"/>
                    <w:kinsoku/>
                    <w:wordWrap/>
                    <w:overflowPunct/>
                    <w:topLinePunct w:val="0"/>
                    <w:bidi w:val="0"/>
                    <w:adjustRightInd w:val="0"/>
                    <w:snapToGrid w:val="0"/>
                    <w:spacing w:before="0" w:beforeAutospacing="0" w:after="0" w:afterAutospacing="0" w:line="276" w:lineRule="auto"/>
                    <w:ind w:left="0" w:right="0"/>
                    <w:jc w:val="center"/>
                    <w:rPr>
                      <w:rFonts w:hint="default" w:ascii="Times New Roman" w:hAnsi="Times New Roman" w:eastAsia="宋体" w:cs="Times New Roman"/>
                      <w:bCs/>
                      <w:color w:val="auto"/>
                      <w:kern w:val="2"/>
                      <w:sz w:val="18"/>
                      <w:szCs w:val="18"/>
                      <w:highlight w:val="none"/>
                      <w:lang w:val="en-US" w:eastAsia="zh-CN" w:bidi="ar-SA"/>
                    </w:rPr>
                  </w:pPr>
                  <w:r>
                    <w:rPr>
                      <w:rFonts w:hint="eastAsia" w:ascii="Times New Roman" w:hAnsi="Times New Roman" w:eastAsia="宋体" w:cs="Times New Roman"/>
                      <w:color w:val="auto"/>
                      <w:sz w:val="18"/>
                      <w:szCs w:val="18"/>
                      <w:highlight w:val="none"/>
                    </w:rPr>
                    <w:t>20kg</w:t>
                  </w:r>
                  <w:r>
                    <w:rPr>
                      <w:rFonts w:hint="eastAsia" w:ascii="Times New Roman" w:hAnsi="Times New Roman" w:eastAsia="宋体" w:cs="Times New Roman"/>
                      <w:color w:val="auto"/>
                      <w:sz w:val="18"/>
                      <w:szCs w:val="18"/>
                      <w:highlight w:val="none"/>
                      <w:lang w:val="en-US" w:eastAsia="zh-CN"/>
                    </w:rPr>
                    <w:t>/袋</w:t>
                  </w:r>
                </w:p>
              </w:tc>
              <w:tc>
                <w:tcPr>
                  <w:tcW w:w="586" w:type="pct"/>
                  <w:tcBorders>
                    <w:top w:val="single" w:color="auto" w:sz="4" w:space="0"/>
                    <w:left w:val="single" w:color="auto" w:sz="4" w:space="0"/>
                    <w:bottom w:val="single" w:color="auto" w:sz="4" w:space="0"/>
                    <w:right w:val="single" w:color="auto" w:sz="4" w:space="0"/>
                  </w:tcBorders>
                  <w:vAlign w:val="center"/>
                </w:tcPr>
                <w:p w14:paraId="12AEFB3F">
                  <w:pPr>
                    <w:keepNext w:val="0"/>
                    <w:keepLines w:val="0"/>
                    <w:pageBreakBefore w:val="0"/>
                    <w:widowControl/>
                    <w:suppressLineNumbers w:val="0"/>
                    <w:kinsoku/>
                    <w:wordWrap/>
                    <w:overflowPunct/>
                    <w:topLinePunct w:val="0"/>
                    <w:bidi w:val="0"/>
                    <w:adjustRightInd w:val="0"/>
                    <w:snapToGrid w:val="0"/>
                    <w:spacing w:before="0" w:beforeAutospacing="0" w:after="0" w:afterAutospacing="0" w:line="276" w:lineRule="auto"/>
                    <w:ind w:left="0" w:right="0"/>
                    <w:jc w:val="center"/>
                    <w:textAlignment w:val="center"/>
                    <w:rPr>
                      <w:rFonts w:hint="eastAsia" w:ascii="Times New Roman" w:hAnsi="Times New Roman" w:eastAsia="宋体" w:cs="Times New Roman"/>
                      <w:sz w:val="18"/>
                      <w:szCs w:val="18"/>
                      <w:highlight w:val="none"/>
                      <w:lang w:val="en-US" w:eastAsia="zh-CN"/>
                    </w:rPr>
                  </w:pPr>
                  <w:r>
                    <w:rPr>
                      <w:rFonts w:hint="eastAsia" w:ascii="Times New Roman" w:hAnsi="Times New Roman" w:eastAsia="宋体" w:cs="Times New Roman"/>
                      <w:i w:val="0"/>
                      <w:iCs w:val="0"/>
                      <w:color w:val="000000"/>
                      <w:kern w:val="0"/>
                      <w:sz w:val="18"/>
                      <w:szCs w:val="18"/>
                      <w:highlight w:val="none"/>
                      <w:u w:val="none"/>
                      <w:lang w:val="en-US" w:eastAsia="zh-CN" w:bidi="ar"/>
                    </w:rPr>
                    <w:t>0.1t</w:t>
                  </w:r>
                </w:p>
              </w:tc>
              <w:tc>
                <w:tcPr>
                  <w:tcW w:w="368" w:type="pct"/>
                  <w:tcBorders>
                    <w:top w:val="single" w:color="auto" w:sz="4" w:space="0"/>
                    <w:left w:val="single" w:color="auto" w:sz="4" w:space="0"/>
                    <w:bottom w:val="single" w:color="auto" w:sz="4" w:space="0"/>
                    <w:right w:val="single" w:color="auto" w:sz="4" w:space="0"/>
                  </w:tcBorders>
                  <w:vAlign w:val="center"/>
                </w:tcPr>
                <w:p w14:paraId="34AA4C2F">
                  <w:pPr>
                    <w:keepNext w:val="0"/>
                    <w:keepLines w:val="0"/>
                    <w:pageBreakBefore w:val="0"/>
                    <w:suppressLineNumbers w:val="0"/>
                    <w:kinsoku/>
                    <w:wordWrap/>
                    <w:overflowPunct/>
                    <w:topLinePunct w:val="0"/>
                    <w:bidi w:val="0"/>
                    <w:adjustRightInd w:val="0"/>
                    <w:snapToGrid w:val="0"/>
                    <w:spacing w:before="0" w:beforeAutospacing="0" w:after="0" w:afterAutospacing="0" w:line="276" w:lineRule="auto"/>
                    <w:ind w:left="0" w:right="0"/>
                    <w:jc w:val="center"/>
                    <w:rPr>
                      <w:rFonts w:hint="default" w:ascii="Times New Roman" w:hAnsi="Times New Roman" w:eastAsia="宋体" w:cs="Times New Roman"/>
                      <w:sz w:val="18"/>
                      <w:szCs w:val="18"/>
                      <w:highlight w:val="none"/>
                    </w:rPr>
                  </w:pPr>
                  <w:r>
                    <w:rPr>
                      <w:rFonts w:hint="eastAsia" w:ascii="Times New Roman" w:hAnsi="Times New Roman" w:eastAsia="宋体" w:cs="Times New Roman"/>
                      <w:sz w:val="18"/>
                      <w:szCs w:val="18"/>
                      <w:highlight w:val="none"/>
                    </w:rPr>
                    <w:t>固态</w:t>
                  </w:r>
                </w:p>
              </w:tc>
              <w:tc>
                <w:tcPr>
                  <w:tcW w:w="892" w:type="pct"/>
                  <w:tcBorders>
                    <w:left w:val="single" w:color="auto" w:sz="4" w:space="0"/>
                    <w:right w:val="single" w:color="auto" w:sz="4" w:space="0"/>
                  </w:tcBorders>
                  <w:vAlign w:val="center"/>
                </w:tcPr>
                <w:p w14:paraId="12514F8C">
                  <w:pPr>
                    <w:keepNext w:val="0"/>
                    <w:keepLines w:val="0"/>
                    <w:pageBreakBefore w:val="0"/>
                    <w:suppressLineNumbers w:val="0"/>
                    <w:kinsoku/>
                    <w:wordWrap/>
                    <w:overflowPunct/>
                    <w:topLinePunct w:val="0"/>
                    <w:bidi w:val="0"/>
                    <w:adjustRightInd w:val="0"/>
                    <w:snapToGrid w:val="0"/>
                    <w:spacing w:before="0" w:beforeAutospacing="0" w:after="0" w:afterAutospacing="0" w:line="276" w:lineRule="auto"/>
                    <w:ind w:left="0" w:right="0"/>
                    <w:jc w:val="center"/>
                    <w:rPr>
                      <w:rFonts w:hint="default" w:ascii="Times New Roman" w:hAnsi="Times New Roman" w:eastAsia="宋体" w:cs="Times New Roman"/>
                      <w:sz w:val="18"/>
                      <w:szCs w:val="18"/>
                      <w:highlight w:val="none"/>
                    </w:rPr>
                  </w:pPr>
                  <w:r>
                    <w:rPr>
                      <w:rFonts w:hint="eastAsia" w:ascii="Times New Roman" w:hAnsi="Times New Roman" w:eastAsia="宋体" w:cs="Times New Roman"/>
                      <w:sz w:val="18"/>
                      <w:szCs w:val="18"/>
                      <w:highlight w:val="none"/>
                    </w:rPr>
                    <w:t>/</w:t>
                  </w:r>
                </w:p>
              </w:tc>
            </w:tr>
            <w:tr w14:paraId="32E931C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7" w:type="dxa"/>
                  <w:bottom w:w="0" w:type="dxa"/>
                  <w:right w:w="17" w:type="dxa"/>
                </w:tblCellMar>
              </w:tblPrEx>
              <w:trPr>
                <w:trHeight w:val="0" w:hRule="atLeast"/>
                <w:jc w:val="center"/>
              </w:trPr>
              <w:tc>
                <w:tcPr>
                  <w:tcW w:w="283" w:type="pct"/>
                  <w:tcBorders>
                    <w:top w:val="single" w:color="auto" w:sz="4" w:space="0"/>
                    <w:left w:val="single" w:color="auto" w:sz="4" w:space="0"/>
                    <w:bottom w:val="single" w:color="auto" w:sz="4" w:space="0"/>
                    <w:right w:val="single" w:color="auto" w:sz="4" w:space="0"/>
                  </w:tcBorders>
                  <w:vAlign w:val="center"/>
                </w:tcPr>
                <w:p w14:paraId="5F521DAF">
                  <w:pPr>
                    <w:keepNext w:val="0"/>
                    <w:keepLines w:val="0"/>
                    <w:pageBreakBefore w:val="0"/>
                    <w:suppressLineNumbers w:val="0"/>
                    <w:kinsoku/>
                    <w:wordWrap/>
                    <w:overflowPunct/>
                    <w:topLinePunct w:val="0"/>
                    <w:bidi w:val="0"/>
                    <w:adjustRightInd w:val="0"/>
                    <w:snapToGrid w:val="0"/>
                    <w:spacing w:before="0" w:beforeAutospacing="0" w:after="0" w:afterAutospacing="0" w:line="276" w:lineRule="auto"/>
                    <w:ind w:left="0" w:right="0"/>
                    <w:jc w:val="center"/>
                    <w:rPr>
                      <w:rFonts w:hint="default" w:ascii="Times New Roman" w:hAnsi="Times New Roman" w:eastAsia="宋体" w:cs="Times New Roman"/>
                      <w:sz w:val="18"/>
                      <w:szCs w:val="18"/>
                      <w:highlight w:val="none"/>
                      <w:lang w:val="en-US" w:eastAsia="zh-CN"/>
                    </w:rPr>
                  </w:pPr>
                  <w:r>
                    <w:rPr>
                      <w:rFonts w:hint="eastAsia" w:cs="Times New Roman"/>
                      <w:sz w:val="18"/>
                      <w:szCs w:val="18"/>
                      <w:highlight w:val="none"/>
                      <w:lang w:val="en-US" w:eastAsia="zh-CN"/>
                    </w:rPr>
                    <w:t>13</w:t>
                  </w:r>
                </w:p>
              </w:tc>
              <w:tc>
                <w:tcPr>
                  <w:tcW w:w="894" w:type="pct"/>
                  <w:tcBorders>
                    <w:top w:val="single" w:color="auto" w:sz="4" w:space="0"/>
                    <w:left w:val="single" w:color="auto" w:sz="4" w:space="0"/>
                    <w:bottom w:val="single" w:color="auto" w:sz="4" w:space="0"/>
                    <w:right w:val="single" w:color="auto" w:sz="4" w:space="0"/>
                  </w:tcBorders>
                  <w:vAlign w:val="center"/>
                </w:tcPr>
                <w:p w14:paraId="0B96A8DC">
                  <w:pPr>
                    <w:pStyle w:val="120"/>
                    <w:keepNext w:val="0"/>
                    <w:keepLines w:val="0"/>
                    <w:pageBreakBefore w:val="0"/>
                    <w:framePr w:hSpace="0" w:wrap="auto" w:vAnchor="margin" w:hAnchor="text" w:xAlign="left" w:yAlign="inline"/>
                    <w:suppressLineNumbers w:val="0"/>
                    <w:kinsoku/>
                    <w:wordWrap/>
                    <w:overflowPunct/>
                    <w:topLinePunct w:val="0"/>
                    <w:bidi w:val="0"/>
                    <w:adjustRightInd w:val="0"/>
                    <w:snapToGrid w:val="0"/>
                    <w:spacing w:before="0" w:beforeAutospacing="0" w:after="0" w:afterAutospacing="0" w:line="276" w:lineRule="auto"/>
                    <w:ind w:left="0" w:right="0"/>
                    <w:jc w:val="center"/>
                    <w:rPr>
                      <w:rFonts w:hint="default" w:ascii="Times New Roman" w:hAnsi="Times New Roman" w:eastAsia="宋体" w:cs="Times New Roman"/>
                      <w:bCs/>
                      <w:color w:val="auto"/>
                      <w:kern w:val="2"/>
                      <w:sz w:val="18"/>
                      <w:szCs w:val="18"/>
                      <w:highlight w:val="none"/>
                      <w:lang w:val="en-US" w:eastAsia="zh-CN" w:bidi="ar-SA"/>
                    </w:rPr>
                  </w:pPr>
                  <w:r>
                    <w:rPr>
                      <w:rFonts w:hint="eastAsia" w:ascii="Times New Roman" w:hAnsi="Times New Roman" w:eastAsia="宋体" w:cs="Times New Roman"/>
                      <w:color w:val="auto"/>
                      <w:sz w:val="18"/>
                      <w:szCs w:val="18"/>
                      <w:highlight w:val="none"/>
                    </w:rPr>
                    <w:t>猪饲料</w:t>
                  </w:r>
                </w:p>
              </w:tc>
              <w:tc>
                <w:tcPr>
                  <w:tcW w:w="523" w:type="pct"/>
                  <w:tcBorders>
                    <w:top w:val="single" w:color="auto" w:sz="4" w:space="0"/>
                    <w:left w:val="single" w:color="auto" w:sz="4" w:space="0"/>
                    <w:bottom w:val="single" w:color="auto" w:sz="4" w:space="0"/>
                    <w:right w:val="single" w:color="auto" w:sz="4" w:space="0"/>
                  </w:tcBorders>
                  <w:vAlign w:val="center"/>
                </w:tcPr>
                <w:p w14:paraId="2C87B681">
                  <w:pPr>
                    <w:keepNext w:val="0"/>
                    <w:keepLines w:val="0"/>
                    <w:pageBreakBefore w:val="0"/>
                    <w:widowControl/>
                    <w:suppressLineNumbers w:val="0"/>
                    <w:kinsoku/>
                    <w:wordWrap/>
                    <w:overflowPunct/>
                    <w:topLinePunct w:val="0"/>
                    <w:bidi w:val="0"/>
                    <w:adjustRightInd w:val="0"/>
                    <w:snapToGrid w:val="0"/>
                    <w:spacing w:before="0" w:beforeAutospacing="0" w:after="0" w:afterAutospacing="0" w:line="276" w:lineRule="auto"/>
                    <w:ind w:left="0" w:right="0"/>
                    <w:jc w:val="center"/>
                    <w:textAlignment w:val="center"/>
                    <w:rPr>
                      <w:rFonts w:hint="default" w:ascii="Times New Roman" w:hAnsi="Times New Roman" w:eastAsia="宋体" w:cs="Times New Roman"/>
                      <w:bCs/>
                      <w:color w:val="auto"/>
                      <w:kern w:val="2"/>
                      <w:sz w:val="18"/>
                      <w:szCs w:val="18"/>
                      <w:highlight w:val="none"/>
                      <w:lang w:val="en-US" w:eastAsia="zh-CN" w:bidi="ar-SA"/>
                    </w:rPr>
                  </w:pPr>
                  <w:r>
                    <w:rPr>
                      <w:rFonts w:hint="eastAsia" w:ascii="Times New Roman" w:hAnsi="Times New Roman" w:eastAsia="宋体" w:cs="Times New Roman"/>
                      <w:i w:val="0"/>
                      <w:iCs w:val="0"/>
                      <w:color w:val="000000"/>
                      <w:kern w:val="0"/>
                      <w:sz w:val="18"/>
                      <w:szCs w:val="18"/>
                      <w:highlight w:val="none"/>
                      <w:u w:val="none"/>
                      <w:lang w:val="en-US" w:eastAsia="zh-CN" w:bidi="ar"/>
                    </w:rPr>
                    <w:t>18.98t</w:t>
                  </w:r>
                </w:p>
              </w:tc>
              <w:tc>
                <w:tcPr>
                  <w:tcW w:w="1451" w:type="pct"/>
                  <w:tcBorders>
                    <w:top w:val="single" w:color="auto" w:sz="4" w:space="0"/>
                    <w:left w:val="single" w:color="auto" w:sz="4" w:space="0"/>
                    <w:bottom w:val="single" w:color="auto" w:sz="4" w:space="0"/>
                    <w:right w:val="single" w:color="auto" w:sz="4" w:space="0"/>
                  </w:tcBorders>
                  <w:vAlign w:val="center"/>
                </w:tcPr>
                <w:p w14:paraId="18D70ACF">
                  <w:pPr>
                    <w:pStyle w:val="120"/>
                    <w:keepNext w:val="0"/>
                    <w:keepLines w:val="0"/>
                    <w:pageBreakBefore w:val="0"/>
                    <w:framePr w:hSpace="0" w:wrap="auto" w:vAnchor="margin" w:hAnchor="text" w:xAlign="left" w:yAlign="inline"/>
                    <w:suppressLineNumbers w:val="0"/>
                    <w:kinsoku/>
                    <w:wordWrap/>
                    <w:overflowPunct/>
                    <w:topLinePunct w:val="0"/>
                    <w:bidi w:val="0"/>
                    <w:adjustRightInd w:val="0"/>
                    <w:snapToGrid w:val="0"/>
                    <w:spacing w:before="0" w:beforeAutospacing="0" w:after="0" w:afterAutospacing="0" w:line="276" w:lineRule="auto"/>
                    <w:ind w:left="0" w:right="0"/>
                    <w:jc w:val="center"/>
                    <w:rPr>
                      <w:rFonts w:hint="default" w:ascii="Times New Roman" w:hAnsi="Times New Roman" w:eastAsia="宋体" w:cs="Times New Roman"/>
                      <w:bCs/>
                      <w:color w:val="auto"/>
                      <w:kern w:val="2"/>
                      <w:sz w:val="18"/>
                      <w:szCs w:val="18"/>
                      <w:highlight w:val="none"/>
                      <w:lang w:val="en-US" w:eastAsia="zh-CN" w:bidi="ar-SA"/>
                    </w:rPr>
                  </w:pPr>
                  <w:r>
                    <w:rPr>
                      <w:rFonts w:hint="eastAsia" w:ascii="Times New Roman" w:hAnsi="Times New Roman" w:eastAsia="宋体" w:cs="Times New Roman"/>
                      <w:color w:val="auto"/>
                      <w:sz w:val="18"/>
                      <w:szCs w:val="18"/>
                      <w:highlight w:val="none"/>
                    </w:rPr>
                    <w:t>20kg</w:t>
                  </w:r>
                  <w:r>
                    <w:rPr>
                      <w:rFonts w:hint="eastAsia" w:ascii="Times New Roman" w:hAnsi="Times New Roman" w:eastAsia="宋体" w:cs="Times New Roman"/>
                      <w:color w:val="auto"/>
                      <w:sz w:val="18"/>
                      <w:szCs w:val="18"/>
                      <w:highlight w:val="none"/>
                      <w:lang w:val="en-US" w:eastAsia="zh-CN"/>
                    </w:rPr>
                    <w:t>/袋</w:t>
                  </w:r>
                </w:p>
              </w:tc>
              <w:tc>
                <w:tcPr>
                  <w:tcW w:w="586" w:type="pct"/>
                  <w:tcBorders>
                    <w:top w:val="single" w:color="auto" w:sz="4" w:space="0"/>
                    <w:left w:val="single" w:color="auto" w:sz="4" w:space="0"/>
                    <w:bottom w:val="single" w:color="auto" w:sz="4" w:space="0"/>
                    <w:right w:val="single" w:color="auto" w:sz="4" w:space="0"/>
                  </w:tcBorders>
                  <w:vAlign w:val="center"/>
                </w:tcPr>
                <w:p w14:paraId="516519A0">
                  <w:pPr>
                    <w:keepNext w:val="0"/>
                    <w:keepLines w:val="0"/>
                    <w:pageBreakBefore w:val="0"/>
                    <w:widowControl/>
                    <w:suppressLineNumbers w:val="0"/>
                    <w:kinsoku/>
                    <w:wordWrap/>
                    <w:overflowPunct/>
                    <w:topLinePunct w:val="0"/>
                    <w:bidi w:val="0"/>
                    <w:adjustRightInd w:val="0"/>
                    <w:snapToGrid w:val="0"/>
                    <w:spacing w:before="0" w:beforeAutospacing="0" w:after="0" w:afterAutospacing="0" w:line="276" w:lineRule="auto"/>
                    <w:ind w:left="0" w:right="0"/>
                    <w:jc w:val="center"/>
                    <w:textAlignment w:val="center"/>
                    <w:rPr>
                      <w:rFonts w:hint="eastAsia" w:ascii="Times New Roman" w:hAnsi="Times New Roman" w:eastAsia="宋体" w:cs="Times New Roman"/>
                      <w:sz w:val="18"/>
                      <w:szCs w:val="18"/>
                      <w:highlight w:val="none"/>
                      <w:lang w:val="en-US" w:eastAsia="zh-CN"/>
                    </w:rPr>
                  </w:pPr>
                  <w:r>
                    <w:rPr>
                      <w:rFonts w:hint="eastAsia" w:ascii="Times New Roman" w:hAnsi="Times New Roman" w:eastAsia="宋体" w:cs="Times New Roman"/>
                      <w:i w:val="0"/>
                      <w:iCs w:val="0"/>
                      <w:color w:val="000000"/>
                      <w:kern w:val="0"/>
                      <w:sz w:val="18"/>
                      <w:szCs w:val="18"/>
                      <w:highlight w:val="none"/>
                      <w:u w:val="none"/>
                      <w:lang w:val="en-US" w:eastAsia="zh-CN" w:bidi="ar"/>
                    </w:rPr>
                    <w:t>0.36t</w:t>
                  </w:r>
                </w:p>
              </w:tc>
              <w:tc>
                <w:tcPr>
                  <w:tcW w:w="368" w:type="pct"/>
                  <w:tcBorders>
                    <w:top w:val="single" w:color="auto" w:sz="4" w:space="0"/>
                    <w:left w:val="single" w:color="auto" w:sz="4" w:space="0"/>
                    <w:bottom w:val="single" w:color="auto" w:sz="4" w:space="0"/>
                    <w:right w:val="single" w:color="auto" w:sz="4" w:space="0"/>
                  </w:tcBorders>
                  <w:vAlign w:val="center"/>
                </w:tcPr>
                <w:p w14:paraId="72108E02">
                  <w:pPr>
                    <w:keepNext w:val="0"/>
                    <w:keepLines w:val="0"/>
                    <w:pageBreakBefore w:val="0"/>
                    <w:suppressLineNumbers w:val="0"/>
                    <w:kinsoku/>
                    <w:wordWrap/>
                    <w:overflowPunct/>
                    <w:topLinePunct w:val="0"/>
                    <w:bidi w:val="0"/>
                    <w:adjustRightInd w:val="0"/>
                    <w:snapToGrid w:val="0"/>
                    <w:spacing w:before="0" w:beforeAutospacing="0" w:after="0" w:afterAutospacing="0" w:line="276" w:lineRule="auto"/>
                    <w:ind w:left="0" w:right="0"/>
                    <w:jc w:val="center"/>
                    <w:rPr>
                      <w:rFonts w:hint="default" w:ascii="Times New Roman" w:hAnsi="Times New Roman" w:eastAsia="宋体" w:cs="Times New Roman"/>
                      <w:sz w:val="18"/>
                      <w:szCs w:val="18"/>
                      <w:highlight w:val="none"/>
                    </w:rPr>
                  </w:pPr>
                  <w:r>
                    <w:rPr>
                      <w:rFonts w:hint="eastAsia" w:ascii="Times New Roman" w:hAnsi="Times New Roman" w:eastAsia="宋体" w:cs="Times New Roman"/>
                      <w:sz w:val="18"/>
                      <w:szCs w:val="18"/>
                      <w:highlight w:val="none"/>
                    </w:rPr>
                    <w:t>固态</w:t>
                  </w:r>
                </w:p>
              </w:tc>
              <w:tc>
                <w:tcPr>
                  <w:tcW w:w="892" w:type="pct"/>
                  <w:tcBorders>
                    <w:left w:val="single" w:color="auto" w:sz="4" w:space="0"/>
                    <w:bottom w:val="single" w:color="auto" w:sz="4" w:space="0"/>
                    <w:right w:val="single" w:color="auto" w:sz="4" w:space="0"/>
                  </w:tcBorders>
                  <w:vAlign w:val="center"/>
                </w:tcPr>
                <w:p w14:paraId="47C388A6">
                  <w:pPr>
                    <w:keepNext w:val="0"/>
                    <w:keepLines w:val="0"/>
                    <w:pageBreakBefore w:val="0"/>
                    <w:suppressLineNumbers w:val="0"/>
                    <w:kinsoku/>
                    <w:wordWrap/>
                    <w:overflowPunct/>
                    <w:topLinePunct w:val="0"/>
                    <w:bidi w:val="0"/>
                    <w:adjustRightInd w:val="0"/>
                    <w:snapToGrid w:val="0"/>
                    <w:spacing w:before="0" w:beforeAutospacing="0" w:after="0" w:afterAutospacing="0" w:line="276" w:lineRule="auto"/>
                    <w:ind w:left="0" w:right="0"/>
                    <w:jc w:val="center"/>
                    <w:rPr>
                      <w:rFonts w:hint="default" w:ascii="Times New Roman" w:hAnsi="Times New Roman" w:eastAsia="宋体" w:cs="Times New Roman"/>
                      <w:sz w:val="18"/>
                      <w:szCs w:val="18"/>
                      <w:highlight w:val="none"/>
                    </w:rPr>
                  </w:pPr>
                  <w:r>
                    <w:rPr>
                      <w:rFonts w:hint="eastAsia" w:ascii="Times New Roman" w:hAnsi="Times New Roman" w:eastAsia="宋体" w:cs="Times New Roman"/>
                      <w:sz w:val="18"/>
                      <w:szCs w:val="18"/>
                      <w:highlight w:val="none"/>
                    </w:rPr>
                    <w:t>/</w:t>
                  </w:r>
                </w:p>
              </w:tc>
            </w:tr>
            <w:tr w14:paraId="11627EC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7" w:type="dxa"/>
                  <w:bottom w:w="0" w:type="dxa"/>
                  <w:right w:w="17" w:type="dxa"/>
                </w:tblCellMar>
              </w:tblPrEx>
              <w:trPr>
                <w:trHeight w:val="0" w:hRule="atLeast"/>
                <w:jc w:val="center"/>
              </w:trPr>
              <w:tc>
                <w:tcPr>
                  <w:tcW w:w="283" w:type="pct"/>
                  <w:tcBorders>
                    <w:top w:val="single" w:color="auto" w:sz="4" w:space="0"/>
                    <w:left w:val="single" w:color="auto" w:sz="4" w:space="0"/>
                    <w:bottom w:val="single" w:color="auto" w:sz="4" w:space="0"/>
                    <w:right w:val="single" w:color="auto" w:sz="4" w:space="0"/>
                  </w:tcBorders>
                  <w:vAlign w:val="center"/>
                </w:tcPr>
                <w:p w14:paraId="66F12B56">
                  <w:pPr>
                    <w:keepNext w:val="0"/>
                    <w:keepLines w:val="0"/>
                    <w:pageBreakBefore w:val="0"/>
                    <w:suppressLineNumbers w:val="0"/>
                    <w:kinsoku/>
                    <w:wordWrap/>
                    <w:overflowPunct/>
                    <w:topLinePunct w:val="0"/>
                    <w:bidi w:val="0"/>
                    <w:adjustRightInd w:val="0"/>
                    <w:snapToGrid w:val="0"/>
                    <w:spacing w:before="0" w:beforeAutospacing="0" w:after="0" w:afterAutospacing="0" w:line="276" w:lineRule="auto"/>
                    <w:ind w:left="0" w:right="0"/>
                    <w:jc w:val="center"/>
                    <w:rPr>
                      <w:rFonts w:hint="default" w:ascii="Times New Roman" w:hAnsi="Times New Roman" w:eastAsia="宋体" w:cs="Times New Roman"/>
                      <w:sz w:val="18"/>
                      <w:szCs w:val="18"/>
                      <w:highlight w:val="none"/>
                      <w:lang w:val="en-US" w:eastAsia="zh-CN"/>
                    </w:rPr>
                  </w:pPr>
                  <w:r>
                    <w:rPr>
                      <w:rFonts w:hint="eastAsia" w:cs="Times New Roman"/>
                      <w:sz w:val="18"/>
                      <w:szCs w:val="18"/>
                      <w:highlight w:val="none"/>
                      <w:lang w:val="en-US" w:eastAsia="zh-CN"/>
                    </w:rPr>
                    <w:t>14</w:t>
                  </w:r>
                </w:p>
              </w:tc>
              <w:tc>
                <w:tcPr>
                  <w:tcW w:w="894" w:type="pct"/>
                  <w:tcBorders>
                    <w:top w:val="single" w:color="auto" w:sz="4" w:space="0"/>
                    <w:left w:val="single" w:color="auto" w:sz="4" w:space="0"/>
                    <w:bottom w:val="single" w:color="auto" w:sz="4" w:space="0"/>
                    <w:right w:val="single" w:color="auto" w:sz="4" w:space="0"/>
                  </w:tcBorders>
                  <w:vAlign w:val="center"/>
                </w:tcPr>
                <w:p w14:paraId="16FC90AE">
                  <w:pPr>
                    <w:pStyle w:val="120"/>
                    <w:keepNext w:val="0"/>
                    <w:keepLines w:val="0"/>
                    <w:pageBreakBefore w:val="0"/>
                    <w:framePr w:hSpace="0" w:wrap="auto" w:vAnchor="margin" w:hAnchor="text" w:xAlign="left" w:yAlign="inline"/>
                    <w:suppressLineNumbers w:val="0"/>
                    <w:kinsoku/>
                    <w:wordWrap/>
                    <w:overflowPunct/>
                    <w:topLinePunct w:val="0"/>
                    <w:bidi w:val="0"/>
                    <w:adjustRightInd w:val="0"/>
                    <w:snapToGrid w:val="0"/>
                    <w:spacing w:before="0" w:beforeAutospacing="0" w:after="0" w:afterAutospacing="0" w:line="276" w:lineRule="auto"/>
                    <w:ind w:left="0" w:right="0"/>
                    <w:jc w:val="center"/>
                    <w:rPr>
                      <w:rFonts w:hint="default" w:ascii="Times New Roman" w:hAnsi="Times New Roman" w:eastAsia="宋体" w:cs="Times New Roman"/>
                      <w:bCs/>
                      <w:color w:val="auto"/>
                      <w:kern w:val="2"/>
                      <w:sz w:val="18"/>
                      <w:szCs w:val="18"/>
                      <w:highlight w:val="none"/>
                      <w:lang w:val="en-US" w:eastAsia="zh-CN" w:bidi="ar-SA"/>
                    </w:rPr>
                  </w:pPr>
                  <w:r>
                    <w:rPr>
                      <w:rFonts w:hint="eastAsia" w:ascii="Times New Roman" w:hAnsi="Times New Roman" w:eastAsia="宋体" w:cs="Times New Roman"/>
                      <w:color w:val="auto"/>
                      <w:sz w:val="18"/>
                      <w:szCs w:val="18"/>
                      <w:highlight w:val="none"/>
                    </w:rPr>
                    <w:t>猴饲料</w:t>
                  </w:r>
                </w:p>
              </w:tc>
              <w:tc>
                <w:tcPr>
                  <w:tcW w:w="523" w:type="pct"/>
                  <w:tcBorders>
                    <w:top w:val="single" w:color="auto" w:sz="4" w:space="0"/>
                    <w:left w:val="single" w:color="auto" w:sz="4" w:space="0"/>
                    <w:bottom w:val="single" w:color="auto" w:sz="4" w:space="0"/>
                    <w:right w:val="single" w:color="auto" w:sz="4" w:space="0"/>
                  </w:tcBorders>
                  <w:vAlign w:val="center"/>
                </w:tcPr>
                <w:p w14:paraId="4C59A72D">
                  <w:pPr>
                    <w:keepNext w:val="0"/>
                    <w:keepLines w:val="0"/>
                    <w:pageBreakBefore w:val="0"/>
                    <w:widowControl/>
                    <w:suppressLineNumbers w:val="0"/>
                    <w:kinsoku/>
                    <w:wordWrap/>
                    <w:overflowPunct/>
                    <w:topLinePunct w:val="0"/>
                    <w:bidi w:val="0"/>
                    <w:adjustRightInd w:val="0"/>
                    <w:snapToGrid w:val="0"/>
                    <w:spacing w:before="0" w:beforeAutospacing="0" w:after="0" w:afterAutospacing="0" w:line="276" w:lineRule="auto"/>
                    <w:ind w:left="0" w:right="0"/>
                    <w:jc w:val="center"/>
                    <w:textAlignment w:val="center"/>
                    <w:rPr>
                      <w:rFonts w:hint="default" w:ascii="Times New Roman" w:hAnsi="Times New Roman" w:eastAsia="宋体" w:cs="Times New Roman"/>
                      <w:bCs/>
                      <w:color w:val="auto"/>
                      <w:kern w:val="2"/>
                      <w:sz w:val="18"/>
                      <w:szCs w:val="18"/>
                      <w:highlight w:val="none"/>
                      <w:lang w:val="en-US" w:eastAsia="zh-CN" w:bidi="ar-SA"/>
                    </w:rPr>
                  </w:pPr>
                  <w:r>
                    <w:rPr>
                      <w:rFonts w:hint="eastAsia" w:ascii="Times New Roman" w:hAnsi="Times New Roman" w:eastAsia="宋体" w:cs="Times New Roman"/>
                      <w:i w:val="0"/>
                      <w:iCs w:val="0"/>
                      <w:color w:val="000000"/>
                      <w:kern w:val="0"/>
                      <w:sz w:val="18"/>
                      <w:szCs w:val="18"/>
                      <w:highlight w:val="none"/>
                      <w:u w:val="none"/>
                      <w:lang w:val="en-US" w:eastAsia="zh-CN" w:bidi="ar"/>
                    </w:rPr>
                    <w:t>1.095t</w:t>
                  </w:r>
                </w:p>
              </w:tc>
              <w:tc>
                <w:tcPr>
                  <w:tcW w:w="1451" w:type="pct"/>
                  <w:tcBorders>
                    <w:top w:val="single" w:color="auto" w:sz="4" w:space="0"/>
                    <w:left w:val="single" w:color="auto" w:sz="4" w:space="0"/>
                    <w:bottom w:val="single" w:color="auto" w:sz="4" w:space="0"/>
                    <w:right w:val="single" w:color="auto" w:sz="4" w:space="0"/>
                  </w:tcBorders>
                  <w:vAlign w:val="center"/>
                </w:tcPr>
                <w:p w14:paraId="4C6809B0">
                  <w:pPr>
                    <w:pStyle w:val="120"/>
                    <w:keepNext w:val="0"/>
                    <w:keepLines w:val="0"/>
                    <w:pageBreakBefore w:val="0"/>
                    <w:framePr w:hSpace="0" w:wrap="auto" w:vAnchor="margin" w:hAnchor="text" w:xAlign="left" w:yAlign="inline"/>
                    <w:suppressLineNumbers w:val="0"/>
                    <w:kinsoku/>
                    <w:wordWrap/>
                    <w:overflowPunct/>
                    <w:topLinePunct w:val="0"/>
                    <w:bidi w:val="0"/>
                    <w:adjustRightInd w:val="0"/>
                    <w:snapToGrid w:val="0"/>
                    <w:spacing w:before="0" w:beforeAutospacing="0" w:after="0" w:afterAutospacing="0" w:line="276" w:lineRule="auto"/>
                    <w:ind w:left="0" w:right="0"/>
                    <w:jc w:val="center"/>
                    <w:rPr>
                      <w:rFonts w:hint="default" w:ascii="Times New Roman" w:hAnsi="Times New Roman" w:eastAsia="宋体" w:cs="Times New Roman"/>
                      <w:bCs/>
                      <w:color w:val="auto"/>
                      <w:kern w:val="2"/>
                      <w:sz w:val="18"/>
                      <w:szCs w:val="18"/>
                      <w:highlight w:val="none"/>
                      <w:lang w:val="en-US" w:eastAsia="zh-CN" w:bidi="ar-SA"/>
                    </w:rPr>
                  </w:pPr>
                  <w:r>
                    <w:rPr>
                      <w:rFonts w:hint="eastAsia" w:ascii="Times New Roman" w:hAnsi="Times New Roman" w:eastAsia="宋体" w:cs="Times New Roman"/>
                      <w:color w:val="auto"/>
                      <w:sz w:val="18"/>
                      <w:szCs w:val="18"/>
                      <w:highlight w:val="none"/>
                    </w:rPr>
                    <w:t>15kg</w:t>
                  </w:r>
                  <w:r>
                    <w:rPr>
                      <w:rFonts w:hint="eastAsia" w:ascii="Times New Roman" w:hAnsi="Times New Roman" w:eastAsia="宋体" w:cs="Times New Roman"/>
                      <w:color w:val="auto"/>
                      <w:sz w:val="18"/>
                      <w:szCs w:val="18"/>
                      <w:highlight w:val="none"/>
                      <w:lang w:val="en-US" w:eastAsia="zh-CN"/>
                    </w:rPr>
                    <w:t>/袋</w:t>
                  </w:r>
                </w:p>
              </w:tc>
              <w:tc>
                <w:tcPr>
                  <w:tcW w:w="586" w:type="pct"/>
                  <w:tcBorders>
                    <w:top w:val="single" w:color="auto" w:sz="4" w:space="0"/>
                    <w:left w:val="single" w:color="auto" w:sz="4" w:space="0"/>
                    <w:bottom w:val="single" w:color="auto" w:sz="4" w:space="0"/>
                    <w:right w:val="single" w:color="auto" w:sz="4" w:space="0"/>
                  </w:tcBorders>
                  <w:vAlign w:val="center"/>
                </w:tcPr>
                <w:p w14:paraId="3DC5E241">
                  <w:pPr>
                    <w:keepNext w:val="0"/>
                    <w:keepLines w:val="0"/>
                    <w:pageBreakBefore w:val="0"/>
                    <w:widowControl/>
                    <w:suppressLineNumbers w:val="0"/>
                    <w:kinsoku/>
                    <w:wordWrap/>
                    <w:overflowPunct/>
                    <w:topLinePunct w:val="0"/>
                    <w:bidi w:val="0"/>
                    <w:adjustRightInd w:val="0"/>
                    <w:snapToGrid w:val="0"/>
                    <w:spacing w:before="0" w:beforeAutospacing="0" w:after="0" w:afterAutospacing="0" w:line="276" w:lineRule="auto"/>
                    <w:ind w:left="0" w:right="0"/>
                    <w:jc w:val="center"/>
                    <w:textAlignment w:val="center"/>
                    <w:rPr>
                      <w:rFonts w:hint="default" w:ascii="Times New Roman" w:hAnsi="Times New Roman" w:eastAsia="宋体" w:cs="Times New Roman"/>
                      <w:sz w:val="18"/>
                      <w:szCs w:val="18"/>
                      <w:highlight w:val="none"/>
                      <w:lang w:val="en-US" w:eastAsia="zh-CN"/>
                    </w:rPr>
                  </w:pPr>
                  <w:r>
                    <w:rPr>
                      <w:rFonts w:hint="eastAsia" w:ascii="Times New Roman" w:hAnsi="Times New Roman" w:eastAsia="宋体" w:cs="Times New Roman"/>
                      <w:i w:val="0"/>
                      <w:iCs w:val="0"/>
                      <w:color w:val="000000"/>
                      <w:kern w:val="0"/>
                      <w:sz w:val="18"/>
                      <w:szCs w:val="18"/>
                      <w:highlight w:val="none"/>
                      <w:u w:val="none"/>
                      <w:lang w:val="en-US" w:eastAsia="zh-CN" w:bidi="ar"/>
                    </w:rPr>
                    <w:t>0.03t</w:t>
                  </w:r>
                </w:p>
              </w:tc>
              <w:tc>
                <w:tcPr>
                  <w:tcW w:w="368" w:type="pct"/>
                  <w:tcBorders>
                    <w:top w:val="single" w:color="auto" w:sz="4" w:space="0"/>
                    <w:left w:val="single" w:color="auto" w:sz="4" w:space="0"/>
                    <w:bottom w:val="single" w:color="auto" w:sz="4" w:space="0"/>
                    <w:right w:val="single" w:color="auto" w:sz="4" w:space="0"/>
                  </w:tcBorders>
                  <w:vAlign w:val="center"/>
                </w:tcPr>
                <w:p w14:paraId="455FAB48">
                  <w:pPr>
                    <w:keepNext w:val="0"/>
                    <w:keepLines w:val="0"/>
                    <w:pageBreakBefore w:val="0"/>
                    <w:suppressLineNumbers w:val="0"/>
                    <w:kinsoku/>
                    <w:wordWrap/>
                    <w:overflowPunct/>
                    <w:topLinePunct w:val="0"/>
                    <w:bidi w:val="0"/>
                    <w:adjustRightInd w:val="0"/>
                    <w:snapToGrid w:val="0"/>
                    <w:spacing w:before="0" w:beforeAutospacing="0" w:after="0" w:afterAutospacing="0" w:line="276" w:lineRule="auto"/>
                    <w:ind w:left="0" w:right="0"/>
                    <w:jc w:val="center"/>
                    <w:rPr>
                      <w:rFonts w:hint="default" w:ascii="Times New Roman" w:hAnsi="Times New Roman" w:eastAsia="宋体" w:cs="Times New Roman"/>
                      <w:sz w:val="18"/>
                      <w:szCs w:val="18"/>
                      <w:highlight w:val="none"/>
                    </w:rPr>
                  </w:pPr>
                  <w:r>
                    <w:rPr>
                      <w:rFonts w:hint="eastAsia" w:ascii="Times New Roman" w:hAnsi="Times New Roman" w:eastAsia="宋体" w:cs="Times New Roman"/>
                      <w:sz w:val="18"/>
                      <w:szCs w:val="18"/>
                      <w:highlight w:val="none"/>
                    </w:rPr>
                    <w:t>固态</w:t>
                  </w:r>
                </w:p>
              </w:tc>
              <w:tc>
                <w:tcPr>
                  <w:tcW w:w="892" w:type="pct"/>
                  <w:tcBorders>
                    <w:top w:val="single" w:color="auto" w:sz="4" w:space="0"/>
                    <w:left w:val="single" w:color="auto" w:sz="4" w:space="0"/>
                    <w:right w:val="single" w:color="auto" w:sz="4" w:space="0"/>
                  </w:tcBorders>
                  <w:vAlign w:val="center"/>
                </w:tcPr>
                <w:p w14:paraId="504BF17A">
                  <w:pPr>
                    <w:keepNext w:val="0"/>
                    <w:keepLines w:val="0"/>
                    <w:pageBreakBefore w:val="0"/>
                    <w:suppressLineNumbers w:val="0"/>
                    <w:kinsoku/>
                    <w:wordWrap/>
                    <w:overflowPunct/>
                    <w:topLinePunct w:val="0"/>
                    <w:bidi w:val="0"/>
                    <w:adjustRightInd w:val="0"/>
                    <w:snapToGrid w:val="0"/>
                    <w:spacing w:before="0" w:beforeAutospacing="0" w:after="0" w:afterAutospacing="0" w:line="276" w:lineRule="auto"/>
                    <w:ind w:left="0" w:right="0"/>
                    <w:jc w:val="center"/>
                    <w:rPr>
                      <w:rFonts w:hint="default" w:ascii="Times New Roman" w:hAnsi="Times New Roman" w:eastAsia="宋体" w:cs="Times New Roman"/>
                      <w:sz w:val="18"/>
                      <w:szCs w:val="18"/>
                      <w:highlight w:val="none"/>
                    </w:rPr>
                  </w:pPr>
                  <w:r>
                    <w:rPr>
                      <w:rFonts w:hint="eastAsia" w:ascii="Times New Roman" w:hAnsi="Times New Roman" w:eastAsia="宋体" w:cs="Times New Roman"/>
                      <w:sz w:val="18"/>
                      <w:szCs w:val="18"/>
                      <w:highlight w:val="none"/>
                    </w:rPr>
                    <w:t>/</w:t>
                  </w:r>
                </w:p>
              </w:tc>
            </w:tr>
            <w:tr w14:paraId="6C10630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7" w:type="dxa"/>
                  <w:bottom w:w="0" w:type="dxa"/>
                  <w:right w:w="17" w:type="dxa"/>
                </w:tblCellMar>
              </w:tblPrEx>
              <w:trPr>
                <w:trHeight w:val="0" w:hRule="atLeast"/>
                <w:jc w:val="center"/>
              </w:trPr>
              <w:tc>
                <w:tcPr>
                  <w:tcW w:w="283" w:type="pct"/>
                  <w:tcBorders>
                    <w:top w:val="single" w:color="auto" w:sz="4" w:space="0"/>
                    <w:left w:val="single" w:color="auto" w:sz="4" w:space="0"/>
                    <w:bottom w:val="single" w:color="auto" w:sz="4" w:space="0"/>
                    <w:right w:val="single" w:color="auto" w:sz="4" w:space="0"/>
                  </w:tcBorders>
                  <w:vAlign w:val="center"/>
                </w:tcPr>
                <w:p w14:paraId="0ED053FC">
                  <w:pPr>
                    <w:keepNext w:val="0"/>
                    <w:keepLines w:val="0"/>
                    <w:pageBreakBefore w:val="0"/>
                    <w:suppressLineNumbers w:val="0"/>
                    <w:kinsoku/>
                    <w:wordWrap/>
                    <w:overflowPunct/>
                    <w:topLinePunct w:val="0"/>
                    <w:bidi w:val="0"/>
                    <w:adjustRightInd w:val="0"/>
                    <w:snapToGrid w:val="0"/>
                    <w:spacing w:before="0" w:beforeAutospacing="0" w:after="0" w:afterAutospacing="0" w:line="276" w:lineRule="auto"/>
                    <w:ind w:left="0" w:right="0"/>
                    <w:jc w:val="center"/>
                    <w:rPr>
                      <w:rFonts w:hint="default" w:ascii="Times New Roman" w:hAnsi="Times New Roman" w:eastAsia="宋体" w:cs="Times New Roman"/>
                      <w:sz w:val="18"/>
                      <w:szCs w:val="18"/>
                      <w:highlight w:val="none"/>
                      <w:lang w:val="en-US" w:eastAsia="zh-CN"/>
                    </w:rPr>
                  </w:pPr>
                  <w:r>
                    <w:rPr>
                      <w:rFonts w:hint="eastAsia" w:cs="Times New Roman"/>
                      <w:sz w:val="18"/>
                      <w:szCs w:val="18"/>
                      <w:highlight w:val="none"/>
                      <w:lang w:val="en-US" w:eastAsia="zh-CN"/>
                    </w:rPr>
                    <w:t>15</w:t>
                  </w:r>
                </w:p>
              </w:tc>
              <w:tc>
                <w:tcPr>
                  <w:tcW w:w="894" w:type="pct"/>
                  <w:tcBorders>
                    <w:top w:val="single" w:color="auto" w:sz="4" w:space="0"/>
                    <w:left w:val="single" w:color="auto" w:sz="4" w:space="0"/>
                    <w:bottom w:val="single" w:color="auto" w:sz="4" w:space="0"/>
                    <w:right w:val="single" w:color="auto" w:sz="4" w:space="0"/>
                  </w:tcBorders>
                  <w:vAlign w:val="center"/>
                </w:tcPr>
                <w:p w14:paraId="5058E320">
                  <w:pPr>
                    <w:pStyle w:val="120"/>
                    <w:keepNext w:val="0"/>
                    <w:keepLines w:val="0"/>
                    <w:pageBreakBefore w:val="0"/>
                    <w:framePr w:hSpace="0" w:wrap="auto" w:vAnchor="margin" w:hAnchor="text" w:xAlign="left" w:yAlign="inline"/>
                    <w:suppressLineNumbers w:val="0"/>
                    <w:kinsoku/>
                    <w:wordWrap/>
                    <w:overflowPunct/>
                    <w:topLinePunct w:val="0"/>
                    <w:bidi w:val="0"/>
                    <w:adjustRightInd w:val="0"/>
                    <w:snapToGrid w:val="0"/>
                    <w:spacing w:before="0" w:beforeAutospacing="0" w:after="0" w:afterAutospacing="0" w:line="276" w:lineRule="auto"/>
                    <w:ind w:left="0" w:right="0"/>
                    <w:jc w:val="center"/>
                    <w:rPr>
                      <w:rFonts w:hint="default" w:ascii="Times New Roman" w:hAnsi="Times New Roman" w:eastAsia="宋体" w:cs="Times New Roman"/>
                      <w:bCs/>
                      <w:color w:val="auto"/>
                      <w:kern w:val="2"/>
                      <w:sz w:val="18"/>
                      <w:szCs w:val="18"/>
                      <w:highlight w:val="none"/>
                      <w:lang w:val="en-US" w:eastAsia="zh-CN" w:bidi="ar-SA"/>
                    </w:rPr>
                  </w:pPr>
                  <w:r>
                    <w:rPr>
                      <w:rFonts w:hint="eastAsia" w:ascii="Times New Roman" w:hAnsi="Times New Roman" w:eastAsia="宋体" w:cs="Times New Roman"/>
                      <w:color w:val="auto"/>
                      <w:sz w:val="18"/>
                      <w:szCs w:val="18"/>
                      <w:highlight w:val="none"/>
                    </w:rPr>
                    <w:t>75</w:t>
                  </w:r>
                  <w:r>
                    <w:rPr>
                      <w:rFonts w:hint="default" w:ascii="Times New Roman" w:hAnsi="Times New Roman" w:eastAsia="宋体" w:cs="Times New Roman"/>
                      <w:color w:val="auto"/>
                      <w:sz w:val="18"/>
                      <w:szCs w:val="18"/>
                      <w:highlight w:val="none"/>
                    </w:rPr>
                    <w:t>%酒精</w:t>
                  </w:r>
                </w:p>
              </w:tc>
              <w:tc>
                <w:tcPr>
                  <w:tcW w:w="523" w:type="pct"/>
                  <w:tcBorders>
                    <w:top w:val="single" w:color="auto" w:sz="4" w:space="0"/>
                    <w:left w:val="single" w:color="auto" w:sz="4" w:space="0"/>
                    <w:bottom w:val="single" w:color="auto" w:sz="4" w:space="0"/>
                    <w:right w:val="single" w:color="auto" w:sz="4" w:space="0"/>
                  </w:tcBorders>
                  <w:vAlign w:val="center"/>
                </w:tcPr>
                <w:p w14:paraId="1B7694E6">
                  <w:pPr>
                    <w:keepNext w:val="0"/>
                    <w:keepLines w:val="0"/>
                    <w:pageBreakBefore w:val="0"/>
                    <w:widowControl/>
                    <w:suppressLineNumbers w:val="0"/>
                    <w:kinsoku/>
                    <w:wordWrap/>
                    <w:overflowPunct/>
                    <w:topLinePunct w:val="0"/>
                    <w:bidi w:val="0"/>
                    <w:adjustRightInd w:val="0"/>
                    <w:snapToGrid w:val="0"/>
                    <w:spacing w:before="0" w:beforeAutospacing="0" w:after="0" w:afterAutospacing="0" w:line="276" w:lineRule="auto"/>
                    <w:ind w:left="0" w:right="0"/>
                    <w:jc w:val="center"/>
                    <w:textAlignment w:val="center"/>
                    <w:rPr>
                      <w:rFonts w:hint="default" w:ascii="Times New Roman" w:hAnsi="Times New Roman" w:eastAsia="宋体" w:cs="Times New Roman"/>
                      <w:sz w:val="18"/>
                      <w:szCs w:val="18"/>
                      <w:highlight w:val="none"/>
                    </w:rPr>
                  </w:pPr>
                  <w:r>
                    <w:rPr>
                      <w:rFonts w:hint="eastAsia" w:ascii="Times New Roman" w:hAnsi="Times New Roman" w:eastAsia="宋体" w:cs="Times New Roman"/>
                      <w:i w:val="0"/>
                      <w:iCs w:val="0"/>
                      <w:color w:val="000000"/>
                      <w:kern w:val="0"/>
                      <w:sz w:val="18"/>
                      <w:szCs w:val="18"/>
                      <w:highlight w:val="none"/>
                      <w:u w:val="none"/>
                      <w:lang w:val="en-US" w:eastAsia="zh-CN" w:bidi="ar"/>
                    </w:rPr>
                    <w:t>0.1</w:t>
                  </w:r>
                  <w:r>
                    <w:rPr>
                      <w:rFonts w:hint="eastAsia" w:cs="Times New Roman"/>
                      <w:i w:val="0"/>
                      <w:iCs w:val="0"/>
                      <w:color w:val="000000"/>
                      <w:kern w:val="0"/>
                      <w:sz w:val="18"/>
                      <w:szCs w:val="18"/>
                      <w:highlight w:val="none"/>
                      <w:u w:val="none"/>
                      <w:lang w:val="en-US" w:eastAsia="zh-CN" w:bidi="ar"/>
                    </w:rPr>
                    <w:t>7</w:t>
                  </w:r>
                  <w:r>
                    <w:rPr>
                      <w:rFonts w:hint="eastAsia" w:ascii="Times New Roman" w:hAnsi="Times New Roman" w:eastAsia="宋体" w:cs="Times New Roman"/>
                      <w:i w:val="0"/>
                      <w:iCs w:val="0"/>
                      <w:color w:val="000000"/>
                      <w:kern w:val="0"/>
                      <w:sz w:val="18"/>
                      <w:szCs w:val="18"/>
                      <w:highlight w:val="none"/>
                      <w:u w:val="none"/>
                      <w:lang w:val="en-US" w:eastAsia="zh-CN" w:bidi="ar"/>
                    </w:rPr>
                    <w:t>t</w:t>
                  </w:r>
                </w:p>
              </w:tc>
              <w:tc>
                <w:tcPr>
                  <w:tcW w:w="1451" w:type="pct"/>
                  <w:tcBorders>
                    <w:top w:val="single" w:color="auto" w:sz="4" w:space="0"/>
                    <w:left w:val="single" w:color="auto" w:sz="4" w:space="0"/>
                    <w:bottom w:val="single" w:color="auto" w:sz="4" w:space="0"/>
                    <w:right w:val="single" w:color="auto" w:sz="4" w:space="0"/>
                  </w:tcBorders>
                  <w:vAlign w:val="center"/>
                </w:tcPr>
                <w:p w14:paraId="08776295">
                  <w:pPr>
                    <w:pStyle w:val="120"/>
                    <w:keepNext w:val="0"/>
                    <w:keepLines w:val="0"/>
                    <w:pageBreakBefore w:val="0"/>
                    <w:framePr w:hSpace="0" w:wrap="auto" w:vAnchor="margin" w:hAnchor="text" w:xAlign="left" w:yAlign="inline"/>
                    <w:suppressLineNumbers w:val="0"/>
                    <w:kinsoku/>
                    <w:wordWrap/>
                    <w:overflowPunct/>
                    <w:topLinePunct w:val="0"/>
                    <w:bidi w:val="0"/>
                    <w:adjustRightInd w:val="0"/>
                    <w:snapToGrid w:val="0"/>
                    <w:spacing w:before="0" w:beforeAutospacing="0" w:after="0" w:afterAutospacing="0" w:line="276" w:lineRule="auto"/>
                    <w:ind w:left="0" w:right="0"/>
                    <w:jc w:val="center"/>
                    <w:rPr>
                      <w:rFonts w:hint="default" w:ascii="Times New Roman" w:hAnsi="Times New Roman" w:eastAsia="宋体" w:cs="Times New Roman"/>
                      <w:bCs/>
                      <w:color w:val="auto"/>
                      <w:kern w:val="2"/>
                      <w:sz w:val="18"/>
                      <w:szCs w:val="18"/>
                      <w:highlight w:val="none"/>
                      <w:lang w:val="en-US" w:eastAsia="zh-CN" w:bidi="ar-SA"/>
                    </w:rPr>
                  </w:pPr>
                  <w:r>
                    <w:rPr>
                      <w:rFonts w:hint="eastAsia" w:ascii="Times New Roman" w:hAnsi="Times New Roman" w:eastAsia="宋体" w:cs="Times New Roman"/>
                      <w:color w:val="auto"/>
                      <w:sz w:val="18"/>
                      <w:szCs w:val="18"/>
                      <w:highlight w:val="none"/>
                    </w:rPr>
                    <w:t>500m</w:t>
                  </w:r>
                  <w:r>
                    <w:rPr>
                      <w:rFonts w:hint="eastAsia" w:cs="Times New Roman"/>
                      <w:color w:val="auto"/>
                      <w:sz w:val="18"/>
                      <w:szCs w:val="18"/>
                      <w:highlight w:val="none"/>
                      <w:lang w:val="en-US" w:eastAsia="zh-CN"/>
                    </w:rPr>
                    <w:t>L</w:t>
                  </w:r>
                  <w:r>
                    <w:rPr>
                      <w:rFonts w:hint="eastAsia" w:ascii="Times New Roman" w:hAnsi="Times New Roman" w:eastAsia="宋体" w:cs="Times New Roman"/>
                      <w:color w:val="auto"/>
                      <w:sz w:val="18"/>
                      <w:szCs w:val="18"/>
                      <w:highlight w:val="none"/>
                      <w:lang w:val="en-US" w:eastAsia="zh-CN"/>
                    </w:rPr>
                    <w:t>/瓶</w:t>
                  </w:r>
                </w:p>
              </w:tc>
              <w:tc>
                <w:tcPr>
                  <w:tcW w:w="586" w:type="pct"/>
                  <w:tcBorders>
                    <w:top w:val="single" w:color="auto" w:sz="4" w:space="0"/>
                    <w:left w:val="single" w:color="auto" w:sz="4" w:space="0"/>
                    <w:bottom w:val="single" w:color="auto" w:sz="4" w:space="0"/>
                    <w:right w:val="single" w:color="auto" w:sz="4" w:space="0"/>
                  </w:tcBorders>
                  <w:vAlign w:val="center"/>
                </w:tcPr>
                <w:p w14:paraId="569EA8A3">
                  <w:pPr>
                    <w:keepNext w:val="0"/>
                    <w:keepLines w:val="0"/>
                    <w:pageBreakBefore w:val="0"/>
                    <w:widowControl/>
                    <w:suppressLineNumbers w:val="0"/>
                    <w:kinsoku/>
                    <w:wordWrap/>
                    <w:overflowPunct/>
                    <w:topLinePunct w:val="0"/>
                    <w:bidi w:val="0"/>
                    <w:adjustRightInd w:val="0"/>
                    <w:snapToGrid w:val="0"/>
                    <w:spacing w:before="0" w:beforeAutospacing="0" w:after="0" w:afterAutospacing="0" w:line="276" w:lineRule="auto"/>
                    <w:ind w:left="0" w:right="0"/>
                    <w:jc w:val="center"/>
                    <w:textAlignment w:val="center"/>
                    <w:rPr>
                      <w:rFonts w:hint="default" w:ascii="Times New Roman" w:hAnsi="Times New Roman" w:eastAsia="宋体" w:cs="Times New Roman"/>
                      <w:sz w:val="18"/>
                      <w:szCs w:val="18"/>
                      <w:highlight w:val="none"/>
                    </w:rPr>
                  </w:pPr>
                  <w:r>
                    <w:rPr>
                      <w:rFonts w:hint="eastAsia" w:ascii="Times New Roman" w:hAnsi="Times New Roman" w:eastAsia="宋体" w:cs="Times New Roman"/>
                      <w:i w:val="0"/>
                      <w:iCs w:val="0"/>
                      <w:color w:val="000000"/>
                      <w:kern w:val="0"/>
                      <w:sz w:val="18"/>
                      <w:szCs w:val="18"/>
                      <w:highlight w:val="none"/>
                      <w:u w:val="none"/>
                      <w:lang w:val="en-US" w:eastAsia="zh-CN" w:bidi="ar"/>
                    </w:rPr>
                    <w:t>0.0135t</w:t>
                  </w:r>
                </w:p>
              </w:tc>
              <w:tc>
                <w:tcPr>
                  <w:tcW w:w="368" w:type="pct"/>
                  <w:tcBorders>
                    <w:top w:val="single" w:color="auto" w:sz="4" w:space="0"/>
                    <w:left w:val="single" w:color="auto" w:sz="4" w:space="0"/>
                    <w:bottom w:val="single" w:color="auto" w:sz="4" w:space="0"/>
                    <w:right w:val="single" w:color="auto" w:sz="4" w:space="0"/>
                  </w:tcBorders>
                  <w:vAlign w:val="center"/>
                </w:tcPr>
                <w:p w14:paraId="025DD630">
                  <w:pPr>
                    <w:keepNext w:val="0"/>
                    <w:keepLines w:val="0"/>
                    <w:pageBreakBefore w:val="0"/>
                    <w:suppressLineNumbers w:val="0"/>
                    <w:kinsoku/>
                    <w:wordWrap/>
                    <w:overflowPunct/>
                    <w:topLinePunct w:val="0"/>
                    <w:bidi w:val="0"/>
                    <w:adjustRightInd w:val="0"/>
                    <w:snapToGrid w:val="0"/>
                    <w:spacing w:before="0" w:beforeAutospacing="0" w:after="0" w:afterAutospacing="0" w:line="276" w:lineRule="auto"/>
                    <w:ind w:left="0" w:right="0"/>
                    <w:jc w:val="center"/>
                    <w:rPr>
                      <w:rFonts w:hint="default" w:ascii="Times New Roman" w:hAnsi="Times New Roman" w:eastAsia="宋体" w:cs="Times New Roman"/>
                      <w:sz w:val="18"/>
                      <w:szCs w:val="18"/>
                      <w:highlight w:val="none"/>
                    </w:rPr>
                  </w:pPr>
                  <w:r>
                    <w:rPr>
                      <w:rFonts w:hint="eastAsia" w:ascii="Times New Roman" w:hAnsi="Times New Roman" w:eastAsia="宋体" w:cs="Times New Roman"/>
                      <w:sz w:val="18"/>
                      <w:szCs w:val="18"/>
                      <w:highlight w:val="none"/>
                    </w:rPr>
                    <w:t>液态</w:t>
                  </w:r>
                </w:p>
              </w:tc>
              <w:tc>
                <w:tcPr>
                  <w:tcW w:w="892" w:type="pct"/>
                  <w:vMerge w:val="restart"/>
                  <w:tcBorders>
                    <w:left w:val="single" w:color="auto" w:sz="4" w:space="0"/>
                    <w:right w:val="single" w:color="auto" w:sz="4" w:space="0"/>
                  </w:tcBorders>
                  <w:vAlign w:val="center"/>
                </w:tcPr>
                <w:p w14:paraId="5C9BA721">
                  <w:pPr>
                    <w:keepNext w:val="0"/>
                    <w:keepLines w:val="0"/>
                    <w:pageBreakBefore w:val="0"/>
                    <w:suppressLineNumbers w:val="0"/>
                    <w:kinsoku/>
                    <w:wordWrap/>
                    <w:overflowPunct/>
                    <w:topLinePunct w:val="0"/>
                    <w:bidi w:val="0"/>
                    <w:adjustRightInd w:val="0"/>
                    <w:snapToGrid w:val="0"/>
                    <w:spacing w:before="0" w:beforeAutospacing="0" w:after="0" w:afterAutospacing="0" w:line="276" w:lineRule="auto"/>
                    <w:ind w:left="0" w:right="0"/>
                    <w:jc w:val="center"/>
                    <w:rPr>
                      <w:rFonts w:hint="default" w:ascii="Times New Roman" w:hAnsi="Times New Roman" w:eastAsia="宋体" w:cs="Times New Roman"/>
                      <w:sz w:val="18"/>
                      <w:szCs w:val="18"/>
                      <w:highlight w:val="none"/>
                      <w:lang w:val="en-US" w:eastAsia="zh-CN"/>
                    </w:rPr>
                  </w:pPr>
                  <w:r>
                    <w:rPr>
                      <w:rFonts w:hint="eastAsia" w:cs="Times New Roman"/>
                      <w:sz w:val="18"/>
                      <w:szCs w:val="18"/>
                      <w:highlight w:val="none"/>
                      <w:lang w:val="en-US" w:eastAsia="zh-CN"/>
                    </w:rPr>
                    <w:t>消毒</w:t>
                  </w:r>
                </w:p>
              </w:tc>
            </w:tr>
            <w:tr w14:paraId="1FB7227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7" w:type="dxa"/>
                  <w:bottom w:w="0" w:type="dxa"/>
                  <w:right w:w="17" w:type="dxa"/>
                </w:tblCellMar>
              </w:tblPrEx>
              <w:trPr>
                <w:trHeight w:val="0" w:hRule="atLeast"/>
                <w:jc w:val="center"/>
              </w:trPr>
              <w:tc>
                <w:tcPr>
                  <w:tcW w:w="283" w:type="pct"/>
                  <w:tcBorders>
                    <w:top w:val="single" w:color="auto" w:sz="4" w:space="0"/>
                    <w:left w:val="single" w:color="auto" w:sz="4" w:space="0"/>
                    <w:bottom w:val="single" w:color="auto" w:sz="4" w:space="0"/>
                    <w:right w:val="single" w:color="auto" w:sz="4" w:space="0"/>
                  </w:tcBorders>
                  <w:shd w:val="clear" w:color="auto" w:fill="auto"/>
                  <w:vAlign w:val="center"/>
                </w:tcPr>
                <w:p w14:paraId="50E21619">
                  <w:pPr>
                    <w:keepNext w:val="0"/>
                    <w:keepLines w:val="0"/>
                    <w:pageBreakBefore w:val="0"/>
                    <w:suppressLineNumbers w:val="0"/>
                    <w:kinsoku/>
                    <w:wordWrap/>
                    <w:overflowPunct/>
                    <w:topLinePunct w:val="0"/>
                    <w:bidi w:val="0"/>
                    <w:adjustRightInd w:val="0"/>
                    <w:snapToGrid w:val="0"/>
                    <w:spacing w:before="0" w:beforeAutospacing="0" w:after="0" w:afterAutospacing="0" w:line="276" w:lineRule="auto"/>
                    <w:ind w:left="0" w:right="0"/>
                    <w:jc w:val="center"/>
                    <w:rPr>
                      <w:rFonts w:hint="default" w:ascii="Times New Roman" w:hAnsi="Times New Roman" w:eastAsia="宋体" w:cs="Times New Roman"/>
                      <w:kern w:val="2"/>
                      <w:sz w:val="18"/>
                      <w:szCs w:val="18"/>
                      <w:highlight w:val="none"/>
                      <w:lang w:val="en-US" w:eastAsia="zh-CN" w:bidi="ar-SA"/>
                    </w:rPr>
                  </w:pPr>
                  <w:r>
                    <w:rPr>
                      <w:rFonts w:hint="eastAsia" w:cs="Times New Roman"/>
                      <w:kern w:val="2"/>
                      <w:sz w:val="18"/>
                      <w:szCs w:val="18"/>
                      <w:highlight w:val="none"/>
                      <w:lang w:val="en-US" w:eastAsia="zh-CN" w:bidi="ar-SA"/>
                    </w:rPr>
                    <w:t>16</w:t>
                  </w:r>
                </w:p>
              </w:tc>
              <w:tc>
                <w:tcPr>
                  <w:tcW w:w="894" w:type="pct"/>
                  <w:tcBorders>
                    <w:top w:val="single" w:color="auto" w:sz="4" w:space="0"/>
                    <w:left w:val="single" w:color="auto" w:sz="4" w:space="0"/>
                    <w:bottom w:val="single" w:color="auto" w:sz="4" w:space="0"/>
                    <w:right w:val="single" w:color="auto" w:sz="4" w:space="0"/>
                  </w:tcBorders>
                  <w:shd w:val="clear" w:color="auto" w:fill="auto"/>
                  <w:vAlign w:val="center"/>
                </w:tcPr>
                <w:p w14:paraId="703CE1E2">
                  <w:pPr>
                    <w:pStyle w:val="120"/>
                    <w:keepNext w:val="0"/>
                    <w:keepLines w:val="0"/>
                    <w:pageBreakBefore w:val="0"/>
                    <w:framePr w:hSpace="0" w:wrap="auto" w:vAnchor="margin" w:hAnchor="text" w:xAlign="left" w:yAlign="inline"/>
                    <w:suppressLineNumbers w:val="0"/>
                    <w:kinsoku/>
                    <w:wordWrap/>
                    <w:overflowPunct/>
                    <w:topLinePunct w:val="0"/>
                    <w:bidi w:val="0"/>
                    <w:adjustRightInd w:val="0"/>
                    <w:snapToGrid w:val="0"/>
                    <w:spacing w:before="0" w:beforeAutospacing="0" w:after="0" w:afterAutospacing="0" w:line="276" w:lineRule="auto"/>
                    <w:ind w:left="0" w:right="0"/>
                    <w:jc w:val="center"/>
                    <w:rPr>
                      <w:rFonts w:hint="eastAsia" w:ascii="Times New Roman" w:hAnsi="Times New Roman" w:eastAsia="宋体" w:cs="Times New Roman"/>
                      <w:bCs/>
                      <w:color w:val="auto"/>
                      <w:kern w:val="2"/>
                      <w:sz w:val="18"/>
                      <w:szCs w:val="18"/>
                      <w:highlight w:val="none"/>
                      <w:lang w:val="en-US" w:eastAsia="zh-CN" w:bidi="ar-SA"/>
                    </w:rPr>
                  </w:pPr>
                  <w:r>
                    <w:rPr>
                      <w:rFonts w:hint="eastAsia" w:cs="Times New Roman"/>
                      <w:color w:val="auto"/>
                      <w:sz w:val="18"/>
                      <w:szCs w:val="18"/>
                      <w:highlight w:val="none"/>
                      <w:lang w:val="en-US" w:eastAsia="zh-CN"/>
                    </w:rPr>
                    <w:t>10%次氯酸钠</w:t>
                  </w:r>
                  <w:r>
                    <w:rPr>
                      <w:rFonts w:hint="eastAsia" w:ascii="Times New Roman" w:hAnsi="Times New Roman" w:eastAsia="宋体" w:cs="Times New Roman"/>
                      <w:color w:val="auto"/>
                      <w:sz w:val="18"/>
                      <w:szCs w:val="18"/>
                      <w:highlight w:val="none"/>
                    </w:rPr>
                    <w:t>消毒液</w:t>
                  </w:r>
                </w:p>
              </w:tc>
              <w:tc>
                <w:tcPr>
                  <w:tcW w:w="523" w:type="pct"/>
                  <w:tcBorders>
                    <w:top w:val="single" w:color="auto" w:sz="4" w:space="0"/>
                    <w:left w:val="single" w:color="auto" w:sz="4" w:space="0"/>
                    <w:bottom w:val="single" w:color="auto" w:sz="4" w:space="0"/>
                    <w:right w:val="single" w:color="auto" w:sz="4" w:space="0"/>
                  </w:tcBorders>
                  <w:shd w:val="clear" w:color="auto" w:fill="auto"/>
                  <w:vAlign w:val="center"/>
                </w:tcPr>
                <w:p w14:paraId="75E35D03">
                  <w:pPr>
                    <w:keepNext w:val="0"/>
                    <w:keepLines w:val="0"/>
                    <w:pageBreakBefore w:val="0"/>
                    <w:widowControl/>
                    <w:suppressLineNumbers w:val="0"/>
                    <w:kinsoku/>
                    <w:wordWrap/>
                    <w:overflowPunct/>
                    <w:topLinePunct w:val="0"/>
                    <w:bidi w:val="0"/>
                    <w:adjustRightInd w:val="0"/>
                    <w:snapToGrid w:val="0"/>
                    <w:spacing w:before="0" w:beforeAutospacing="0" w:after="0" w:afterAutospacing="0" w:line="276" w:lineRule="auto"/>
                    <w:ind w:left="0" w:right="0"/>
                    <w:jc w:val="center"/>
                    <w:textAlignment w:val="center"/>
                    <w:rPr>
                      <w:rFonts w:hint="eastAsia" w:ascii="Times New Roman" w:hAnsi="Times New Roman" w:eastAsia="宋体" w:cs="Times New Roman"/>
                      <w:kern w:val="2"/>
                      <w:sz w:val="18"/>
                      <w:szCs w:val="18"/>
                      <w:highlight w:val="none"/>
                      <w:lang w:val="en-US" w:eastAsia="zh-CN" w:bidi="ar-SA"/>
                    </w:rPr>
                  </w:pPr>
                  <w:r>
                    <w:rPr>
                      <w:rFonts w:hint="eastAsia" w:ascii="Times New Roman" w:hAnsi="Times New Roman" w:eastAsia="宋体" w:cs="Times New Roman"/>
                      <w:i w:val="0"/>
                      <w:iCs w:val="0"/>
                      <w:color w:val="000000"/>
                      <w:kern w:val="0"/>
                      <w:sz w:val="18"/>
                      <w:szCs w:val="18"/>
                      <w:highlight w:val="none"/>
                      <w:u w:val="none"/>
                      <w:lang w:val="en-US" w:eastAsia="zh-CN" w:bidi="ar"/>
                    </w:rPr>
                    <w:t>0.1t</w:t>
                  </w:r>
                </w:p>
              </w:tc>
              <w:tc>
                <w:tcPr>
                  <w:tcW w:w="1451" w:type="pct"/>
                  <w:tcBorders>
                    <w:top w:val="single" w:color="auto" w:sz="4" w:space="0"/>
                    <w:left w:val="single" w:color="auto" w:sz="4" w:space="0"/>
                    <w:bottom w:val="single" w:color="auto" w:sz="4" w:space="0"/>
                    <w:right w:val="single" w:color="auto" w:sz="4" w:space="0"/>
                  </w:tcBorders>
                  <w:shd w:val="clear" w:color="auto" w:fill="auto"/>
                  <w:vAlign w:val="center"/>
                </w:tcPr>
                <w:p w14:paraId="1E83D1A5">
                  <w:pPr>
                    <w:pStyle w:val="120"/>
                    <w:keepNext w:val="0"/>
                    <w:keepLines w:val="0"/>
                    <w:pageBreakBefore w:val="0"/>
                    <w:framePr w:hSpace="0" w:wrap="auto" w:vAnchor="margin" w:hAnchor="text" w:xAlign="left" w:yAlign="inline"/>
                    <w:suppressLineNumbers w:val="0"/>
                    <w:kinsoku/>
                    <w:wordWrap/>
                    <w:overflowPunct/>
                    <w:topLinePunct w:val="0"/>
                    <w:bidi w:val="0"/>
                    <w:adjustRightInd w:val="0"/>
                    <w:snapToGrid w:val="0"/>
                    <w:spacing w:before="0" w:beforeAutospacing="0" w:after="0" w:afterAutospacing="0" w:line="276" w:lineRule="auto"/>
                    <w:ind w:left="0" w:right="0"/>
                    <w:jc w:val="center"/>
                    <w:rPr>
                      <w:rFonts w:hint="eastAsia" w:ascii="Times New Roman" w:hAnsi="Times New Roman" w:eastAsia="宋体" w:cs="Times New Roman"/>
                      <w:bCs/>
                      <w:color w:val="auto"/>
                      <w:kern w:val="2"/>
                      <w:sz w:val="18"/>
                      <w:szCs w:val="18"/>
                      <w:highlight w:val="none"/>
                      <w:lang w:val="en-US" w:eastAsia="zh-CN" w:bidi="ar-SA"/>
                    </w:rPr>
                  </w:pPr>
                  <w:r>
                    <w:rPr>
                      <w:rFonts w:hint="eastAsia" w:ascii="Times New Roman" w:hAnsi="Times New Roman" w:eastAsia="宋体" w:cs="Times New Roman"/>
                      <w:color w:val="auto"/>
                      <w:sz w:val="18"/>
                      <w:szCs w:val="18"/>
                      <w:highlight w:val="none"/>
                      <w:lang w:val="en-US" w:eastAsia="zh-CN"/>
                    </w:rPr>
                    <w:t>10kg/瓶</w:t>
                  </w:r>
                </w:p>
              </w:tc>
              <w:tc>
                <w:tcPr>
                  <w:tcW w:w="586" w:type="pct"/>
                  <w:tcBorders>
                    <w:top w:val="single" w:color="auto" w:sz="4" w:space="0"/>
                    <w:left w:val="single" w:color="auto" w:sz="4" w:space="0"/>
                    <w:bottom w:val="single" w:color="auto" w:sz="4" w:space="0"/>
                    <w:right w:val="single" w:color="auto" w:sz="4" w:space="0"/>
                  </w:tcBorders>
                  <w:shd w:val="clear" w:color="auto" w:fill="auto"/>
                  <w:vAlign w:val="center"/>
                </w:tcPr>
                <w:p w14:paraId="657BB7B2">
                  <w:pPr>
                    <w:keepNext w:val="0"/>
                    <w:keepLines w:val="0"/>
                    <w:pageBreakBefore w:val="0"/>
                    <w:widowControl/>
                    <w:suppressLineNumbers w:val="0"/>
                    <w:kinsoku/>
                    <w:wordWrap/>
                    <w:overflowPunct/>
                    <w:topLinePunct w:val="0"/>
                    <w:bidi w:val="0"/>
                    <w:adjustRightInd w:val="0"/>
                    <w:snapToGrid w:val="0"/>
                    <w:spacing w:before="0" w:beforeAutospacing="0" w:after="0" w:afterAutospacing="0" w:line="276" w:lineRule="auto"/>
                    <w:ind w:left="0" w:right="0"/>
                    <w:jc w:val="center"/>
                    <w:textAlignment w:val="center"/>
                    <w:rPr>
                      <w:rFonts w:hint="eastAsia" w:ascii="Times New Roman" w:hAnsi="Times New Roman" w:eastAsia="宋体" w:cs="Times New Roman"/>
                      <w:kern w:val="2"/>
                      <w:sz w:val="18"/>
                      <w:szCs w:val="18"/>
                      <w:highlight w:val="none"/>
                      <w:lang w:val="en-US" w:eastAsia="zh-CN" w:bidi="ar-SA"/>
                    </w:rPr>
                  </w:pPr>
                  <w:r>
                    <w:rPr>
                      <w:rFonts w:hint="eastAsia" w:ascii="Times New Roman" w:hAnsi="Times New Roman" w:eastAsia="宋体" w:cs="Times New Roman"/>
                      <w:i w:val="0"/>
                      <w:iCs w:val="0"/>
                      <w:color w:val="000000"/>
                      <w:kern w:val="0"/>
                      <w:sz w:val="18"/>
                      <w:szCs w:val="18"/>
                      <w:highlight w:val="none"/>
                      <w:u w:val="none"/>
                      <w:lang w:val="en-US" w:eastAsia="zh-CN" w:bidi="ar"/>
                    </w:rPr>
                    <w:t>0.02t</w:t>
                  </w:r>
                </w:p>
              </w:tc>
              <w:tc>
                <w:tcPr>
                  <w:tcW w:w="368" w:type="pct"/>
                  <w:tcBorders>
                    <w:top w:val="single" w:color="auto" w:sz="4" w:space="0"/>
                    <w:left w:val="single" w:color="auto" w:sz="4" w:space="0"/>
                    <w:bottom w:val="single" w:color="auto" w:sz="4" w:space="0"/>
                    <w:right w:val="single" w:color="auto" w:sz="4" w:space="0"/>
                  </w:tcBorders>
                  <w:shd w:val="clear" w:color="auto" w:fill="auto"/>
                  <w:vAlign w:val="center"/>
                </w:tcPr>
                <w:p w14:paraId="6BB34904">
                  <w:pPr>
                    <w:keepNext w:val="0"/>
                    <w:keepLines w:val="0"/>
                    <w:pageBreakBefore w:val="0"/>
                    <w:suppressLineNumbers w:val="0"/>
                    <w:kinsoku/>
                    <w:wordWrap/>
                    <w:overflowPunct/>
                    <w:topLinePunct w:val="0"/>
                    <w:bidi w:val="0"/>
                    <w:adjustRightInd w:val="0"/>
                    <w:snapToGrid w:val="0"/>
                    <w:spacing w:before="0" w:beforeAutospacing="0" w:after="0" w:afterAutospacing="0" w:line="276" w:lineRule="auto"/>
                    <w:ind w:left="0" w:right="0"/>
                    <w:jc w:val="center"/>
                    <w:rPr>
                      <w:rFonts w:hint="eastAsia" w:ascii="Times New Roman" w:hAnsi="Times New Roman" w:eastAsia="宋体" w:cs="Times New Roman"/>
                      <w:kern w:val="2"/>
                      <w:sz w:val="18"/>
                      <w:szCs w:val="18"/>
                      <w:highlight w:val="none"/>
                      <w:lang w:val="en-US" w:eastAsia="zh-CN" w:bidi="ar-SA"/>
                    </w:rPr>
                  </w:pPr>
                  <w:r>
                    <w:rPr>
                      <w:rFonts w:hint="eastAsia" w:ascii="Times New Roman" w:hAnsi="Times New Roman" w:eastAsia="宋体" w:cs="Times New Roman"/>
                      <w:sz w:val="18"/>
                      <w:szCs w:val="18"/>
                      <w:highlight w:val="none"/>
                    </w:rPr>
                    <w:t>液态</w:t>
                  </w:r>
                </w:p>
              </w:tc>
              <w:tc>
                <w:tcPr>
                  <w:tcW w:w="892" w:type="pct"/>
                  <w:vMerge w:val="continue"/>
                  <w:tcBorders>
                    <w:left w:val="single" w:color="auto" w:sz="4" w:space="0"/>
                    <w:right w:val="single" w:color="auto" w:sz="4" w:space="0"/>
                  </w:tcBorders>
                  <w:vAlign w:val="center"/>
                </w:tcPr>
                <w:p w14:paraId="796468AD">
                  <w:pPr>
                    <w:keepNext w:val="0"/>
                    <w:keepLines w:val="0"/>
                    <w:pageBreakBefore w:val="0"/>
                    <w:suppressLineNumbers w:val="0"/>
                    <w:kinsoku/>
                    <w:wordWrap/>
                    <w:overflowPunct/>
                    <w:topLinePunct w:val="0"/>
                    <w:bidi w:val="0"/>
                    <w:adjustRightInd w:val="0"/>
                    <w:snapToGrid w:val="0"/>
                    <w:spacing w:before="0" w:beforeAutospacing="0" w:after="0" w:afterAutospacing="0" w:line="276" w:lineRule="auto"/>
                    <w:ind w:left="0" w:right="0"/>
                    <w:jc w:val="center"/>
                    <w:rPr>
                      <w:rFonts w:hint="default" w:ascii="Times New Roman" w:hAnsi="Times New Roman" w:eastAsia="宋体" w:cs="Times New Roman"/>
                      <w:sz w:val="18"/>
                      <w:szCs w:val="18"/>
                      <w:highlight w:val="none"/>
                    </w:rPr>
                  </w:pPr>
                </w:p>
              </w:tc>
            </w:tr>
            <w:tr w14:paraId="0054CF8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7" w:type="dxa"/>
                  <w:bottom w:w="0" w:type="dxa"/>
                  <w:right w:w="17" w:type="dxa"/>
                </w:tblCellMar>
              </w:tblPrEx>
              <w:trPr>
                <w:trHeight w:val="0" w:hRule="atLeast"/>
                <w:jc w:val="center"/>
              </w:trPr>
              <w:tc>
                <w:tcPr>
                  <w:tcW w:w="283" w:type="pct"/>
                  <w:tcBorders>
                    <w:top w:val="single" w:color="auto" w:sz="4" w:space="0"/>
                    <w:left w:val="single" w:color="auto" w:sz="4" w:space="0"/>
                    <w:bottom w:val="single" w:color="auto" w:sz="4" w:space="0"/>
                    <w:right w:val="single" w:color="auto" w:sz="4" w:space="0"/>
                  </w:tcBorders>
                  <w:shd w:val="clear" w:color="auto" w:fill="auto"/>
                  <w:vAlign w:val="center"/>
                </w:tcPr>
                <w:p w14:paraId="4B3089FD">
                  <w:pPr>
                    <w:keepNext w:val="0"/>
                    <w:keepLines w:val="0"/>
                    <w:pageBreakBefore w:val="0"/>
                    <w:suppressLineNumbers w:val="0"/>
                    <w:kinsoku/>
                    <w:wordWrap/>
                    <w:overflowPunct/>
                    <w:topLinePunct w:val="0"/>
                    <w:bidi w:val="0"/>
                    <w:adjustRightInd w:val="0"/>
                    <w:snapToGrid w:val="0"/>
                    <w:spacing w:before="0" w:beforeAutospacing="0" w:after="0" w:afterAutospacing="0" w:line="276" w:lineRule="auto"/>
                    <w:ind w:left="0" w:right="0"/>
                    <w:jc w:val="center"/>
                    <w:rPr>
                      <w:rFonts w:hint="default" w:ascii="Times New Roman" w:hAnsi="Times New Roman" w:eastAsia="宋体" w:cs="Times New Roman"/>
                      <w:kern w:val="2"/>
                      <w:sz w:val="18"/>
                      <w:szCs w:val="18"/>
                      <w:highlight w:val="none"/>
                      <w:lang w:val="en-US" w:eastAsia="zh-CN" w:bidi="ar-SA"/>
                    </w:rPr>
                  </w:pPr>
                  <w:r>
                    <w:rPr>
                      <w:rFonts w:hint="eastAsia" w:cs="Times New Roman"/>
                      <w:kern w:val="2"/>
                      <w:sz w:val="18"/>
                      <w:szCs w:val="18"/>
                      <w:highlight w:val="none"/>
                      <w:lang w:val="en-US" w:eastAsia="zh-CN" w:bidi="ar-SA"/>
                    </w:rPr>
                    <w:t>17</w:t>
                  </w:r>
                </w:p>
              </w:tc>
              <w:tc>
                <w:tcPr>
                  <w:tcW w:w="894" w:type="pct"/>
                  <w:tcBorders>
                    <w:top w:val="single" w:color="auto" w:sz="4" w:space="0"/>
                    <w:left w:val="single" w:color="auto" w:sz="4" w:space="0"/>
                    <w:bottom w:val="single" w:color="auto" w:sz="4" w:space="0"/>
                    <w:right w:val="single" w:color="auto" w:sz="4" w:space="0"/>
                  </w:tcBorders>
                  <w:vAlign w:val="center"/>
                </w:tcPr>
                <w:p w14:paraId="32A2A625">
                  <w:pPr>
                    <w:pStyle w:val="120"/>
                    <w:keepNext w:val="0"/>
                    <w:keepLines w:val="0"/>
                    <w:pageBreakBefore w:val="0"/>
                    <w:framePr w:hSpace="0" w:wrap="auto" w:vAnchor="margin" w:hAnchor="text" w:xAlign="left" w:yAlign="inline"/>
                    <w:suppressLineNumbers w:val="0"/>
                    <w:kinsoku/>
                    <w:wordWrap/>
                    <w:overflowPunct/>
                    <w:topLinePunct w:val="0"/>
                    <w:bidi w:val="0"/>
                    <w:adjustRightInd w:val="0"/>
                    <w:snapToGrid w:val="0"/>
                    <w:spacing w:before="0" w:beforeAutospacing="0" w:after="0" w:afterAutospacing="0" w:line="276" w:lineRule="auto"/>
                    <w:ind w:left="0" w:right="0"/>
                    <w:jc w:val="center"/>
                    <w:rPr>
                      <w:rFonts w:hint="default" w:ascii="Times New Roman" w:hAnsi="Times New Roman" w:eastAsia="宋体" w:cs="Times New Roman"/>
                      <w:bCs/>
                      <w:color w:val="auto"/>
                      <w:kern w:val="2"/>
                      <w:sz w:val="18"/>
                      <w:szCs w:val="18"/>
                      <w:highlight w:val="none"/>
                      <w:lang w:val="en-US" w:eastAsia="zh-CN" w:bidi="ar-SA"/>
                    </w:rPr>
                  </w:pPr>
                  <w:r>
                    <w:rPr>
                      <w:rFonts w:hint="eastAsia" w:ascii="Times New Roman" w:hAnsi="Times New Roman" w:eastAsia="宋体" w:cs="Times New Roman"/>
                      <w:color w:val="auto"/>
                      <w:sz w:val="18"/>
                      <w:szCs w:val="18"/>
                      <w:highlight w:val="none"/>
                    </w:rPr>
                    <w:t>10</w:t>
                  </w:r>
                  <w:r>
                    <w:rPr>
                      <w:rFonts w:hint="default" w:ascii="Times New Roman" w:hAnsi="Times New Roman" w:eastAsia="宋体" w:cs="Times New Roman"/>
                      <w:color w:val="auto"/>
                      <w:sz w:val="18"/>
                      <w:szCs w:val="18"/>
                      <w:highlight w:val="none"/>
                    </w:rPr>
                    <w:t>%</w:t>
                  </w:r>
                  <w:r>
                    <w:rPr>
                      <w:rFonts w:hint="eastAsia" w:ascii="Times New Roman" w:hAnsi="Times New Roman" w:eastAsia="宋体" w:cs="Times New Roman"/>
                      <w:color w:val="auto"/>
                      <w:sz w:val="18"/>
                      <w:szCs w:val="18"/>
                      <w:highlight w:val="none"/>
                    </w:rPr>
                    <w:t>中性福尔马林溶液</w:t>
                  </w:r>
                </w:p>
              </w:tc>
              <w:tc>
                <w:tcPr>
                  <w:tcW w:w="523" w:type="pct"/>
                  <w:tcBorders>
                    <w:top w:val="single" w:color="auto" w:sz="4" w:space="0"/>
                    <w:left w:val="single" w:color="auto" w:sz="4" w:space="0"/>
                    <w:bottom w:val="single" w:color="auto" w:sz="4" w:space="0"/>
                    <w:right w:val="single" w:color="auto" w:sz="4" w:space="0"/>
                  </w:tcBorders>
                  <w:vAlign w:val="center"/>
                </w:tcPr>
                <w:p w14:paraId="5BC279F0">
                  <w:pPr>
                    <w:keepNext w:val="0"/>
                    <w:keepLines w:val="0"/>
                    <w:pageBreakBefore w:val="0"/>
                    <w:widowControl/>
                    <w:suppressLineNumbers w:val="0"/>
                    <w:kinsoku/>
                    <w:wordWrap/>
                    <w:overflowPunct/>
                    <w:topLinePunct w:val="0"/>
                    <w:bidi w:val="0"/>
                    <w:adjustRightInd w:val="0"/>
                    <w:snapToGrid w:val="0"/>
                    <w:spacing w:before="0" w:beforeAutospacing="0" w:after="0" w:afterAutospacing="0" w:line="276" w:lineRule="auto"/>
                    <w:ind w:left="0" w:right="0"/>
                    <w:jc w:val="center"/>
                    <w:textAlignment w:val="center"/>
                    <w:rPr>
                      <w:rFonts w:hint="default" w:ascii="Times New Roman" w:hAnsi="Times New Roman" w:eastAsia="宋体" w:cs="Times New Roman"/>
                      <w:sz w:val="18"/>
                      <w:szCs w:val="18"/>
                      <w:highlight w:val="none"/>
                    </w:rPr>
                  </w:pPr>
                  <w:r>
                    <w:rPr>
                      <w:rFonts w:hint="eastAsia" w:ascii="Times New Roman" w:hAnsi="Times New Roman" w:eastAsia="宋体" w:cs="Times New Roman"/>
                      <w:i w:val="0"/>
                      <w:iCs w:val="0"/>
                      <w:color w:val="000000"/>
                      <w:kern w:val="0"/>
                      <w:sz w:val="18"/>
                      <w:szCs w:val="18"/>
                      <w:highlight w:val="none"/>
                      <w:u w:val="none"/>
                      <w:lang w:val="en-US" w:eastAsia="zh-CN" w:bidi="ar"/>
                    </w:rPr>
                    <w:t>0.3125t</w:t>
                  </w:r>
                </w:p>
              </w:tc>
              <w:tc>
                <w:tcPr>
                  <w:tcW w:w="1451" w:type="pct"/>
                  <w:tcBorders>
                    <w:top w:val="single" w:color="auto" w:sz="4" w:space="0"/>
                    <w:left w:val="single" w:color="auto" w:sz="4" w:space="0"/>
                    <w:bottom w:val="single" w:color="auto" w:sz="4" w:space="0"/>
                    <w:right w:val="single" w:color="auto" w:sz="4" w:space="0"/>
                  </w:tcBorders>
                  <w:vAlign w:val="center"/>
                </w:tcPr>
                <w:p w14:paraId="48CC9ECC">
                  <w:pPr>
                    <w:pStyle w:val="120"/>
                    <w:keepNext w:val="0"/>
                    <w:keepLines w:val="0"/>
                    <w:pageBreakBefore w:val="0"/>
                    <w:framePr w:hSpace="0" w:wrap="auto" w:vAnchor="margin" w:hAnchor="text" w:xAlign="left" w:yAlign="inline"/>
                    <w:suppressLineNumbers w:val="0"/>
                    <w:kinsoku/>
                    <w:wordWrap/>
                    <w:overflowPunct/>
                    <w:topLinePunct w:val="0"/>
                    <w:bidi w:val="0"/>
                    <w:adjustRightInd w:val="0"/>
                    <w:snapToGrid w:val="0"/>
                    <w:spacing w:before="0" w:beforeAutospacing="0" w:after="0" w:afterAutospacing="0" w:line="276" w:lineRule="auto"/>
                    <w:ind w:left="0" w:right="0"/>
                    <w:jc w:val="center"/>
                    <w:rPr>
                      <w:rFonts w:hint="default" w:ascii="Times New Roman" w:hAnsi="Times New Roman" w:eastAsia="宋体" w:cs="Times New Roman"/>
                      <w:bCs/>
                      <w:color w:val="auto"/>
                      <w:kern w:val="2"/>
                      <w:sz w:val="18"/>
                      <w:szCs w:val="18"/>
                      <w:highlight w:val="none"/>
                      <w:lang w:val="en-US" w:eastAsia="zh-CN" w:bidi="ar-SA"/>
                    </w:rPr>
                  </w:pPr>
                  <w:r>
                    <w:rPr>
                      <w:rFonts w:hint="eastAsia" w:ascii="Times New Roman" w:hAnsi="Times New Roman" w:eastAsia="宋体" w:cs="Times New Roman"/>
                      <w:color w:val="auto"/>
                      <w:sz w:val="18"/>
                      <w:szCs w:val="18"/>
                      <w:highlight w:val="none"/>
                    </w:rPr>
                    <w:t>5</w:t>
                  </w:r>
                  <w:r>
                    <w:rPr>
                      <w:rFonts w:hint="default" w:ascii="Times New Roman" w:hAnsi="Times New Roman" w:eastAsia="宋体" w:cs="Times New Roman"/>
                      <w:color w:val="auto"/>
                      <w:sz w:val="18"/>
                      <w:szCs w:val="18"/>
                      <w:highlight w:val="none"/>
                    </w:rPr>
                    <w:t>L</w:t>
                  </w:r>
                  <w:r>
                    <w:rPr>
                      <w:rFonts w:hint="eastAsia" w:ascii="Times New Roman" w:hAnsi="Times New Roman" w:eastAsia="宋体" w:cs="Times New Roman"/>
                      <w:color w:val="auto"/>
                      <w:sz w:val="18"/>
                      <w:szCs w:val="18"/>
                      <w:highlight w:val="none"/>
                      <w:lang w:val="en-US" w:eastAsia="zh-CN"/>
                    </w:rPr>
                    <w:t>/瓶</w:t>
                  </w:r>
                </w:p>
              </w:tc>
              <w:tc>
                <w:tcPr>
                  <w:tcW w:w="586" w:type="pct"/>
                  <w:tcBorders>
                    <w:top w:val="single" w:color="auto" w:sz="4" w:space="0"/>
                    <w:left w:val="single" w:color="auto" w:sz="4" w:space="0"/>
                    <w:bottom w:val="single" w:color="auto" w:sz="4" w:space="0"/>
                    <w:right w:val="single" w:color="auto" w:sz="4" w:space="0"/>
                  </w:tcBorders>
                  <w:vAlign w:val="center"/>
                </w:tcPr>
                <w:p w14:paraId="6933C7BF">
                  <w:pPr>
                    <w:keepNext w:val="0"/>
                    <w:keepLines w:val="0"/>
                    <w:pageBreakBefore w:val="0"/>
                    <w:widowControl/>
                    <w:suppressLineNumbers w:val="0"/>
                    <w:kinsoku/>
                    <w:wordWrap/>
                    <w:overflowPunct/>
                    <w:topLinePunct w:val="0"/>
                    <w:bidi w:val="0"/>
                    <w:adjustRightInd w:val="0"/>
                    <w:snapToGrid w:val="0"/>
                    <w:spacing w:before="0" w:beforeAutospacing="0" w:after="0" w:afterAutospacing="0" w:line="276" w:lineRule="auto"/>
                    <w:ind w:left="0" w:right="0"/>
                    <w:jc w:val="center"/>
                    <w:textAlignment w:val="center"/>
                    <w:rPr>
                      <w:rFonts w:hint="default" w:ascii="Times New Roman" w:hAnsi="Times New Roman" w:eastAsia="宋体" w:cs="Times New Roman"/>
                      <w:kern w:val="2"/>
                      <w:sz w:val="18"/>
                      <w:szCs w:val="18"/>
                      <w:highlight w:val="none"/>
                      <w:lang w:val="en-US" w:eastAsia="zh-CN" w:bidi="ar-SA"/>
                    </w:rPr>
                  </w:pPr>
                  <w:r>
                    <w:rPr>
                      <w:rFonts w:hint="eastAsia" w:ascii="Times New Roman" w:hAnsi="Times New Roman" w:eastAsia="宋体" w:cs="Times New Roman"/>
                      <w:i w:val="0"/>
                      <w:iCs w:val="0"/>
                      <w:color w:val="000000"/>
                      <w:kern w:val="0"/>
                      <w:sz w:val="18"/>
                      <w:szCs w:val="18"/>
                      <w:highlight w:val="none"/>
                      <w:u w:val="none"/>
                      <w:lang w:val="en-US" w:eastAsia="zh-CN" w:bidi="ar"/>
                    </w:rPr>
                    <w:t>0.0625t</w:t>
                  </w:r>
                </w:p>
              </w:tc>
              <w:tc>
                <w:tcPr>
                  <w:tcW w:w="368" w:type="pct"/>
                  <w:tcBorders>
                    <w:top w:val="single" w:color="auto" w:sz="4" w:space="0"/>
                    <w:left w:val="single" w:color="auto" w:sz="4" w:space="0"/>
                    <w:bottom w:val="single" w:color="auto" w:sz="4" w:space="0"/>
                    <w:right w:val="single" w:color="auto" w:sz="4" w:space="0"/>
                  </w:tcBorders>
                  <w:vAlign w:val="center"/>
                </w:tcPr>
                <w:p w14:paraId="4DFCDB86">
                  <w:pPr>
                    <w:keepNext w:val="0"/>
                    <w:keepLines w:val="0"/>
                    <w:pageBreakBefore w:val="0"/>
                    <w:suppressLineNumbers w:val="0"/>
                    <w:kinsoku/>
                    <w:wordWrap/>
                    <w:overflowPunct/>
                    <w:topLinePunct w:val="0"/>
                    <w:bidi w:val="0"/>
                    <w:adjustRightInd w:val="0"/>
                    <w:snapToGrid w:val="0"/>
                    <w:spacing w:before="0" w:beforeAutospacing="0" w:after="0" w:afterAutospacing="0" w:line="276" w:lineRule="auto"/>
                    <w:ind w:left="0" w:right="0"/>
                    <w:jc w:val="center"/>
                    <w:rPr>
                      <w:rFonts w:hint="default" w:ascii="Times New Roman" w:hAnsi="Times New Roman" w:eastAsia="宋体" w:cs="Times New Roman"/>
                      <w:color w:val="auto"/>
                      <w:sz w:val="18"/>
                      <w:szCs w:val="18"/>
                      <w:highlight w:val="none"/>
                    </w:rPr>
                  </w:pPr>
                  <w:r>
                    <w:rPr>
                      <w:rFonts w:hint="eastAsia" w:ascii="Times New Roman" w:hAnsi="Times New Roman" w:eastAsia="宋体" w:cs="Times New Roman"/>
                      <w:color w:val="auto"/>
                      <w:sz w:val="18"/>
                      <w:szCs w:val="18"/>
                      <w:highlight w:val="none"/>
                    </w:rPr>
                    <w:t>液态</w:t>
                  </w:r>
                </w:p>
              </w:tc>
              <w:tc>
                <w:tcPr>
                  <w:tcW w:w="892" w:type="pct"/>
                  <w:tcBorders>
                    <w:left w:val="single" w:color="auto" w:sz="4" w:space="0"/>
                    <w:right w:val="single" w:color="auto" w:sz="4" w:space="0"/>
                  </w:tcBorders>
                  <w:vAlign w:val="center"/>
                </w:tcPr>
                <w:p w14:paraId="1F157322">
                  <w:pPr>
                    <w:keepNext w:val="0"/>
                    <w:keepLines w:val="0"/>
                    <w:pageBreakBefore w:val="0"/>
                    <w:suppressLineNumbers w:val="0"/>
                    <w:kinsoku/>
                    <w:wordWrap/>
                    <w:overflowPunct/>
                    <w:topLinePunct w:val="0"/>
                    <w:bidi w:val="0"/>
                    <w:adjustRightInd w:val="0"/>
                    <w:snapToGrid w:val="0"/>
                    <w:spacing w:before="0" w:beforeAutospacing="0" w:after="0" w:afterAutospacing="0" w:line="276" w:lineRule="auto"/>
                    <w:ind w:left="0" w:right="0"/>
                    <w:jc w:val="center"/>
                    <w:rPr>
                      <w:rFonts w:hint="eastAsia" w:ascii="Times New Roman" w:hAnsi="Times New Roman" w:eastAsia="宋体" w:cs="Times New Roman"/>
                      <w:color w:val="auto"/>
                      <w:sz w:val="18"/>
                      <w:szCs w:val="18"/>
                      <w:highlight w:val="none"/>
                      <w:lang w:val="en-US" w:eastAsia="zh-CN"/>
                    </w:rPr>
                  </w:pPr>
                  <w:r>
                    <w:rPr>
                      <w:rFonts w:hint="eastAsia" w:cs="Times New Roman"/>
                      <w:color w:val="auto"/>
                      <w:sz w:val="18"/>
                      <w:szCs w:val="18"/>
                      <w:highlight w:val="none"/>
                      <w:lang w:val="en-US" w:eastAsia="zh-CN"/>
                    </w:rPr>
                    <w:t>尸体保存</w:t>
                  </w:r>
                </w:p>
              </w:tc>
            </w:tr>
            <w:tr w14:paraId="0BF919E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7" w:type="dxa"/>
                  <w:bottom w:w="0" w:type="dxa"/>
                  <w:right w:w="17" w:type="dxa"/>
                </w:tblCellMar>
              </w:tblPrEx>
              <w:trPr>
                <w:trHeight w:val="0" w:hRule="atLeast"/>
                <w:jc w:val="center"/>
              </w:trPr>
              <w:tc>
                <w:tcPr>
                  <w:tcW w:w="283" w:type="pct"/>
                  <w:tcBorders>
                    <w:top w:val="single" w:color="auto" w:sz="4" w:space="0"/>
                    <w:left w:val="single" w:color="auto" w:sz="4" w:space="0"/>
                    <w:bottom w:val="single" w:color="auto" w:sz="4" w:space="0"/>
                    <w:right w:val="single" w:color="auto" w:sz="4" w:space="0"/>
                  </w:tcBorders>
                  <w:vAlign w:val="center"/>
                </w:tcPr>
                <w:p w14:paraId="322F6CA0">
                  <w:pPr>
                    <w:keepNext w:val="0"/>
                    <w:keepLines w:val="0"/>
                    <w:pageBreakBefore w:val="0"/>
                    <w:suppressLineNumbers w:val="0"/>
                    <w:kinsoku/>
                    <w:wordWrap/>
                    <w:overflowPunct/>
                    <w:topLinePunct w:val="0"/>
                    <w:bidi w:val="0"/>
                    <w:adjustRightInd w:val="0"/>
                    <w:snapToGrid w:val="0"/>
                    <w:spacing w:before="0" w:beforeAutospacing="0" w:after="0" w:afterAutospacing="0" w:line="276" w:lineRule="auto"/>
                    <w:ind w:left="0" w:right="0"/>
                    <w:jc w:val="center"/>
                    <w:rPr>
                      <w:rFonts w:hint="default" w:ascii="Times New Roman" w:hAnsi="Times New Roman" w:eastAsia="宋体" w:cs="Times New Roman"/>
                      <w:color w:val="auto"/>
                      <w:kern w:val="2"/>
                      <w:sz w:val="18"/>
                      <w:szCs w:val="18"/>
                      <w:highlight w:val="none"/>
                      <w:lang w:val="en-US" w:eastAsia="zh-CN" w:bidi="ar-SA"/>
                    </w:rPr>
                  </w:pPr>
                  <w:r>
                    <w:rPr>
                      <w:rFonts w:hint="eastAsia" w:cs="Times New Roman"/>
                      <w:color w:val="auto"/>
                      <w:kern w:val="2"/>
                      <w:sz w:val="18"/>
                      <w:szCs w:val="18"/>
                      <w:highlight w:val="none"/>
                      <w:lang w:val="en-US" w:eastAsia="zh-CN" w:bidi="ar-SA"/>
                    </w:rPr>
                    <w:t>18</w:t>
                  </w:r>
                </w:p>
              </w:tc>
              <w:tc>
                <w:tcPr>
                  <w:tcW w:w="894" w:type="pct"/>
                  <w:tcBorders>
                    <w:top w:val="single" w:color="auto" w:sz="4" w:space="0"/>
                    <w:left w:val="single" w:color="auto" w:sz="4" w:space="0"/>
                    <w:bottom w:val="single" w:color="auto" w:sz="4" w:space="0"/>
                    <w:right w:val="single" w:color="auto" w:sz="4" w:space="0"/>
                  </w:tcBorders>
                  <w:vAlign w:val="center"/>
                </w:tcPr>
                <w:p w14:paraId="16666F2C">
                  <w:pPr>
                    <w:pStyle w:val="120"/>
                    <w:keepNext w:val="0"/>
                    <w:keepLines w:val="0"/>
                    <w:pageBreakBefore w:val="0"/>
                    <w:framePr w:hSpace="0" w:wrap="auto" w:vAnchor="margin" w:hAnchor="text" w:xAlign="left" w:yAlign="inline"/>
                    <w:suppressLineNumbers w:val="0"/>
                    <w:kinsoku/>
                    <w:wordWrap/>
                    <w:overflowPunct/>
                    <w:topLinePunct w:val="0"/>
                    <w:bidi w:val="0"/>
                    <w:adjustRightInd w:val="0"/>
                    <w:snapToGrid w:val="0"/>
                    <w:spacing w:before="0" w:beforeAutospacing="0" w:after="0" w:afterAutospacing="0" w:line="276" w:lineRule="auto"/>
                    <w:ind w:left="0" w:right="0"/>
                    <w:jc w:val="center"/>
                    <w:rPr>
                      <w:rFonts w:hint="default" w:ascii="Times New Roman" w:hAnsi="Times New Roman" w:eastAsia="宋体" w:cs="Times New Roman"/>
                      <w:bCs/>
                      <w:color w:val="auto"/>
                      <w:kern w:val="2"/>
                      <w:sz w:val="18"/>
                      <w:szCs w:val="18"/>
                      <w:highlight w:val="none"/>
                      <w:lang w:val="en-US" w:eastAsia="zh-CN" w:bidi="ar-SA"/>
                    </w:rPr>
                  </w:pPr>
                  <w:r>
                    <w:rPr>
                      <w:rFonts w:hint="eastAsia" w:ascii="Times New Roman" w:hAnsi="Times New Roman" w:eastAsia="宋体" w:cs="Times New Roman"/>
                      <w:color w:val="auto"/>
                      <w:sz w:val="18"/>
                      <w:szCs w:val="18"/>
                      <w:highlight w:val="none"/>
                    </w:rPr>
                    <w:t>石蜡</w:t>
                  </w:r>
                </w:p>
              </w:tc>
              <w:tc>
                <w:tcPr>
                  <w:tcW w:w="523" w:type="pct"/>
                  <w:tcBorders>
                    <w:top w:val="single" w:color="auto" w:sz="4" w:space="0"/>
                    <w:left w:val="single" w:color="auto" w:sz="4" w:space="0"/>
                    <w:bottom w:val="single" w:color="auto" w:sz="4" w:space="0"/>
                    <w:right w:val="single" w:color="auto" w:sz="4" w:space="0"/>
                  </w:tcBorders>
                  <w:vAlign w:val="center"/>
                </w:tcPr>
                <w:p w14:paraId="17E4FE63">
                  <w:pPr>
                    <w:keepNext w:val="0"/>
                    <w:keepLines w:val="0"/>
                    <w:pageBreakBefore w:val="0"/>
                    <w:widowControl/>
                    <w:suppressLineNumbers w:val="0"/>
                    <w:kinsoku/>
                    <w:wordWrap/>
                    <w:overflowPunct/>
                    <w:topLinePunct w:val="0"/>
                    <w:bidi w:val="0"/>
                    <w:adjustRightInd w:val="0"/>
                    <w:snapToGrid w:val="0"/>
                    <w:spacing w:before="0" w:beforeAutospacing="0" w:after="0" w:afterAutospacing="0" w:line="276" w:lineRule="auto"/>
                    <w:ind w:left="0" w:right="0"/>
                    <w:jc w:val="center"/>
                    <w:textAlignment w:val="center"/>
                    <w:rPr>
                      <w:rFonts w:hint="default" w:ascii="Times New Roman" w:hAnsi="Times New Roman" w:eastAsia="宋体" w:cs="Times New Roman"/>
                      <w:color w:val="auto"/>
                      <w:sz w:val="18"/>
                      <w:szCs w:val="18"/>
                      <w:highlight w:val="none"/>
                    </w:rPr>
                  </w:pPr>
                  <w:r>
                    <w:rPr>
                      <w:rFonts w:hint="eastAsia" w:ascii="Times New Roman" w:hAnsi="Times New Roman" w:eastAsia="宋体" w:cs="Times New Roman"/>
                      <w:i w:val="0"/>
                      <w:iCs w:val="0"/>
                      <w:color w:val="auto"/>
                      <w:kern w:val="0"/>
                      <w:sz w:val="18"/>
                      <w:szCs w:val="18"/>
                      <w:highlight w:val="none"/>
                      <w:u w:val="none"/>
                      <w:lang w:val="en-US" w:eastAsia="zh-CN" w:bidi="ar"/>
                    </w:rPr>
                    <w:t>0.002t</w:t>
                  </w:r>
                </w:p>
              </w:tc>
              <w:tc>
                <w:tcPr>
                  <w:tcW w:w="1451" w:type="pct"/>
                  <w:tcBorders>
                    <w:top w:val="single" w:color="auto" w:sz="4" w:space="0"/>
                    <w:left w:val="single" w:color="auto" w:sz="4" w:space="0"/>
                    <w:bottom w:val="single" w:color="auto" w:sz="4" w:space="0"/>
                    <w:right w:val="single" w:color="auto" w:sz="4" w:space="0"/>
                  </w:tcBorders>
                  <w:vAlign w:val="center"/>
                </w:tcPr>
                <w:p w14:paraId="0BB35DCE">
                  <w:pPr>
                    <w:pStyle w:val="120"/>
                    <w:keepNext w:val="0"/>
                    <w:keepLines w:val="0"/>
                    <w:pageBreakBefore w:val="0"/>
                    <w:framePr w:hSpace="0" w:wrap="auto" w:vAnchor="margin" w:hAnchor="text" w:xAlign="left" w:yAlign="inline"/>
                    <w:suppressLineNumbers w:val="0"/>
                    <w:kinsoku/>
                    <w:wordWrap/>
                    <w:overflowPunct/>
                    <w:topLinePunct w:val="0"/>
                    <w:bidi w:val="0"/>
                    <w:adjustRightInd w:val="0"/>
                    <w:snapToGrid w:val="0"/>
                    <w:spacing w:before="0" w:beforeAutospacing="0" w:after="0" w:afterAutospacing="0" w:line="276" w:lineRule="auto"/>
                    <w:ind w:left="0" w:right="0"/>
                    <w:jc w:val="center"/>
                    <w:rPr>
                      <w:rFonts w:hint="default" w:ascii="Times New Roman" w:hAnsi="Times New Roman" w:eastAsia="宋体" w:cs="Times New Roman"/>
                      <w:bCs/>
                      <w:color w:val="auto"/>
                      <w:kern w:val="2"/>
                      <w:sz w:val="18"/>
                      <w:szCs w:val="18"/>
                      <w:highlight w:val="none"/>
                      <w:lang w:val="en-US" w:eastAsia="zh-CN" w:bidi="ar-SA"/>
                    </w:rPr>
                  </w:pPr>
                  <w:r>
                    <w:rPr>
                      <w:rFonts w:hint="eastAsia" w:ascii="Times New Roman" w:hAnsi="Times New Roman" w:eastAsia="宋体" w:cs="Times New Roman"/>
                      <w:color w:val="auto"/>
                      <w:sz w:val="18"/>
                      <w:szCs w:val="18"/>
                      <w:highlight w:val="none"/>
                    </w:rPr>
                    <w:t>100</w:t>
                  </w:r>
                  <w:r>
                    <w:rPr>
                      <w:rFonts w:hint="default" w:ascii="Times New Roman" w:hAnsi="Times New Roman" w:eastAsia="宋体" w:cs="Times New Roman"/>
                      <w:color w:val="auto"/>
                      <w:sz w:val="18"/>
                      <w:szCs w:val="18"/>
                      <w:highlight w:val="none"/>
                    </w:rPr>
                    <w:t>g/</w:t>
                  </w:r>
                  <w:r>
                    <w:rPr>
                      <w:rFonts w:hint="eastAsia" w:ascii="Times New Roman" w:hAnsi="Times New Roman" w:eastAsia="宋体" w:cs="Times New Roman"/>
                      <w:color w:val="auto"/>
                      <w:sz w:val="18"/>
                      <w:szCs w:val="18"/>
                      <w:highlight w:val="none"/>
                    </w:rPr>
                    <w:t>袋</w:t>
                  </w:r>
                </w:p>
              </w:tc>
              <w:tc>
                <w:tcPr>
                  <w:tcW w:w="586" w:type="pct"/>
                  <w:tcBorders>
                    <w:top w:val="single" w:color="auto" w:sz="4" w:space="0"/>
                    <w:left w:val="single" w:color="auto" w:sz="4" w:space="0"/>
                    <w:bottom w:val="single" w:color="auto" w:sz="4" w:space="0"/>
                    <w:right w:val="single" w:color="auto" w:sz="4" w:space="0"/>
                  </w:tcBorders>
                  <w:vAlign w:val="center"/>
                </w:tcPr>
                <w:p w14:paraId="583AE4C0">
                  <w:pPr>
                    <w:keepNext w:val="0"/>
                    <w:keepLines w:val="0"/>
                    <w:pageBreakBefore w:val="0"/>
                    <w:widowControl/>
                    <w:suppressLineNumbers w:val="0"/>
                    <w:kinsoku/>
                    <w:wordWrap/>
                    <w:overflowPunct/>
                    <w:topLinePunct w:val="0"/>
                    <w:bidi w:val="0"/>
                    <w:adjustRightInd w:val="0"/>
                    <w:snapToGrid w:val="0"/>
                    <w:spacing w:before="0" w:beforeAutospacing="0" w:after="0" w:afterAutospacing="0" w:line="276" w:lineRule="auto"/>
                    <w:ind w:left="0" w:right="0"/>
                    <w:jc w:val="center"/>
                    <w:textAlignment w:val="center"/>
                    <w:rPr>
                      <w:rFonts w:hint="eastAsia" w:ascii="Times New Roman" w:hAnsi="Times New Roman" w:eastAsia="宋体" w:cs="Times New Roman"/>
                      <w:color w:val="auto"/>
                      <w:sz w:val="18"/>
                      <w:szCs w:val="18"/>
                      <w:highlight w:val="none"/>
                      <w:lang w:val="en-US" w:eastAsia="zh-CN"/>
                    </w:rPr>
                  </w:pPr>
                  <w:r>
                    <w:rPr>
                      <w:rFonts w:hint="eastAsia" w:ascii="Times New Roman" w:hAnsi="Times New Roman" w:eastAsia="宋体" w:cs="Times New Roman"/>
                      <w:i w:val="0"/>
                      <w:iCs w:val="0"/>
                      <w:color w:val="auto"/>
                      <w:kern w:val="0"/>
                      <w:sz w:val="18"/>
                      <w:szCs w:val="18"/>
                      <w:highlight w:val="none"/>
                      <w:u w:val="none"/>
                      <w:lang w:val="en-US" w:eastAsia="zh-CN" w:bidi="ar"/>
                    </w:rPr>
                    <w:t>0.0005t</w:t>
                  </w:r>
                </w:p>
              </w:tc>
              <w:tc>
                <w:tcPr>
                  <w:tcW w:w="368" w:type="pct"/>
                  <w:tcBorders>
                    <w:top w:val="single" w:color="auto" w:sz="4" w:space="0"/>
                    <w:left w:val="single" w:color="auto" w:sz="4" w:space="0"/>
                    <w:bottom w:val="single" w:color="auto" w:sz="4" w:space="0"/>
                    <w:right w:val="single" w:color="auto" w:sz="4" w:space="0"/>
                  </w:tcBorders>
                  <w:vAlign w:val="center"/>
                </w:tcPr>
                <w:p w14:paraId="2632E8F8">
                  <w:pPr>
                    <w:keepNext w:val="0"/>
                    <w:keepLines w:val="0"/>
                    <w:pageBreakBefore w:val="0"/>
                    <w:suppressLineNumbers w:val="0"/>
                    <w:kinsoku/>
                    <w:wordWrap/>
                    <w:overflowPunct/>
                    <w:topLinePunct w:val="0"/>
                    <w:bidi w:val="0"/>
                    <w:adjustRightInd w:val="0"/>
                    <w:snapToGrid w:val="0"/>
                    <w:spacing w:before="0" w:beforeAutospacing="0" w:after="0" w:afterAutospacing="0" w:line="276" w:lineRule="auto"/>
                    <w:ind w:left="0" w:right="0"/>
                    <w:jc w:val="center"/>
                    <w:rPr>
                      <w:rFonts w:hint="default" w:ascii="Times New Roman" w:hAnsi="Times New Roman" w:eastAsia="宋体" w:cs="Times New Roman"/>
                      <w:color w:val="auto"/>
                      <w:sz w:val="18"/>
                      <w:szCs w:val="18"/>
                      <w:highlight w:val="none"/>
                    </w:rPr>
                  </w:pPr>
                  <w:r>
                    <w:rPr>
                      <w:rFonts w:hint="eastAsia" w:ascii="Times New Roman" w:hAnsi="Times New Roman" w:eastAsia="宋体" w:cs="Times New Roman"/>
                      <w:color w:val="auto"/>
                      <w:sz w:val="18"/>
                      <w:szCs w:val="18"/>
                      <w:highlight w:val="none"/>
                    </w:rPr>
                    <w:t>固态</w:t>
                  </w:r>
                </w:p>
              </w:tc>
              <w:tc>
                <w:tcPr>
                  <w:tcW w:w="892" w:type="pct"/>
                  <w:tcBorders>
                    <w:left w:val="single" w:color="auto" w:sz="4" w:space="0"/>
                    <w:right w:val="single" w:color="auto" w:sz="4" w:space="0"/>
                  </w:tcBorders>
                  <w:vAlign w:val="center"/>
                </w:tcPr>
                <w:p w14:paraId="3EF72C38">
                  <w:pPr>
                    <w:keepNext w:val="0"/>
                    <w:keepLines w:val="0"/>
                    <w:pageBreakBefore w:val="0"/>
                    <w:suppressLineNumbers w:val="0"/>
                    <w:kinsoku/>
                    <w:wordWrap/>
                    <w:overflowPunct/>
                    <w:topLinePunct w:val="0"/>
                    <w:bidi w:val="0"/>
                    <w:adjustRightInd w:val="0"/>
                    <w:snapToGrid w:val="0"/>
                    <w:spacing w:before="0" w:beforeAutospacing="0" w:after="0" w:afterAutospacing="0" w:line="276" w:lineRule="auto"/>
                    <w:ind w:left="0" w:right="0"/>
                    <w:jc w:val="center"/>
                    <w:rPr>
                      <w:rFonts w:hint="default" w:ascii="Times New Roman" w:hAnsi="Times New Roman" w:eastAsia="宋体" w:cs="Times New Roman"/>
                      <w:color w:val="auto"/>
                      <w:sz w:val="18"/>
                      <w:szCs w:val="18"/>
                      <w:highlight w:val="none"/>
                    </w:rPr>
                  </w:pPr>
                  <w:r>
                    <w:rPr>
                      <w:rFonts w:hint="eastAsia" w:ascii="Times New Roman" w:hAnsi="Times New Roman" w:eastAsia="宋体" w:cs="Times New Roman"/>
                      <w:color w:val="auto"/>
                      <w:sz w:val="18"/>
                      <w:szCs w:val="18"/>
                      <w:highlight w:val="none"/>
                    </w:rPr>
                    <w:t>实验室</w:t>
                  </w:r>
                  <w:r>
                    <w:rPr>
                      <w:rFonts w:hint="eastAsia" w:cs="Times New Roman"/>
                      <w:color w:val="auto"/>
                      <w:sz w:val="18"/>
                      <w:szCs w:val="18"/>
                      <w:highlight w:val="none"/>
                      <w:lang w:val="en-US" w:eastAsia="zh-CN"/>
                    </w:rPr>
                    <w:t>动物</w:t>
                  </w:r>
                  <w:r>
                    <w:rPr>
                      <w:rFonts w:hint="eastAsia" w:ascii="Times New Roman" w:hAnsi="Times New Roman" w:eastAsia="宋体" w:cs="Times New Roman"/>
                      <w:color w:val="auto"/>
                      <w:sz w:val="18"/>
                      <w:szCs w:val="18"/>
                      <w:highlight w:val="none"/>
                    </w:rPr>
                    <w:t>组织的包埋处理</w:t>
                  </w:r>
                </w:p>
              </w:tc>
            </w:tr>
            <w:tr w14:paraId="489A80A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7" w:type="dxa"/>
                  <w:bottom w:w="0" w:type="dxa"/>
                  <w:right w:w="17" w:type="dxa"/>
                </w:tblCellMar>
              </w:tblPrEx>
              <w:trPr>
                <w:trHeight w:val="0" w:hRule="atLeast"/>
                <w:jc w:val="center"/>
              </w:trPr>
              <w:tc>
                <w:tcPr>
                  <w:tcW w:w="5000" w:type="pct"/>
                  <w:gridSpan w:val="7"/>
                  <w:tcBorders>
                    <w:top w:val="single" w:color="auto" w:sz="4" w:space="0"/>
                    <w:left w:val="single" w:color="auto" w:sz="4" w:space="0"/>
                    <w:bottom w:val="single" w:color="auto" w:sz="4" w:space="0"/>
                    <w:right w:val="single" w:color="auto" w:sz="4" w:space="0"/>
                  </w:tcBorders>
                  <w:vAlign w:val="center"/>
                </w:tcPr>
                <w:p w14:paraId="6C73D9F9">
                  <w:pPr>
                    <w:keepNext w:val="0"/>
                    <w:keepLines w:val="0"/>
                    <w:pageBreakBefore w:val="0"/>
                    <w:suppressLineNumbers w:val="0"/>
                    <w:kinsoku/>
                    <w:wordWrap/>
                    <w:overflowPunct/>
                    <w:topLinePunct w:val="0"/>
                    <w:bidi w:val="0"/>
                    <w:adjustRightInd w:val="0"/>
                    <w:snapToGrid w:val="0"/>
                    <w:spacing w:before="0" w:beforeAutospacing="0" w:after="0" w:afterAutospacing="0" w:line="276" w:lineRule="auto"/>
                    <w:ind w:left="0" w:right="0"/>
                    <w:jc w:val="center"/>
                    <w:rPr>
                      <w:rFonts w:hint="default" w:ascii="Times New Roman" w:hAnsi="Times New Roman" w:eastAsia="宋体" w:cs="Times New Roman"/>
                      <w:sz w:val="18"/>
                      <w:szCs w:val="18"/>
                      <w:highlight w:val="none"/>
                    </w:rPr>
                  </w:pPr>
                  <w:r>
                    <w:rPr>
                      <w:rFonts w:hint="eastAsia" w:ascii="Times New Roman" w:hAnsi="Times New Roman" w:eastAsia="宋体" w:cs="Times New Roman"/>
                      <w:b/>
                      <w:bCs/>
                      <w:sz w:val="18"/>
                      <w:szCs w:val="18"/>
                      <w:highlight w:val="none"/>
                      <w:lang w:val="en-US" w:eastAsia="zh-CN"/>
                    </w:rPr>
                    <w:t>科创综合楼</w:t>
                  </w:r>
                </w:p>
              </w:tc>
            </w:tr>
            <w:tr w14:paraId="6FF83BC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7" w:type="dxa"/>
                  <w:bottom w:w="0" w:type="dxa"/>
                  <w:right w:w="17" w:type="dxa"/>
                </w:tblCellMar>
              </w:tblPrEx>
              <w:trPr>
                <w:trHeight w:val="0" w:hRule="atLeast"/>
                <w:jc w:val="center"/>
              </w:trPr>
              <w:tc>
                <w:tcPr>
                  <w:tcW w:w="283" w:type="pct"/>
                  <w:tcBorders>
                    <w:top w:val="single" w:color="auto" w:sz="4" w:space="0"/>
                    <w:left w:val="single" w:color="auto" w:sz="4" w:space="0"/>
                    <w:bottom w:val="single" w:color="auto" w:sz="4" w:space="0"/>
                    <w:right w:val="single" w:color="auto" w:sz="4" w:space="0"/>
                  </w:tcBorders>
                  <w:shd w:val="clear" w:color="auto" w:fill="auto"/>
                  <w:vAlign w:val="center"/>
                </w:tcPr>
                <w:p w14:paraId="001048A3">
                  <w:pPr>
                    <w:keepNext w:val="0"/>
                    <w:keepLines w:val="0"/>
                    <w:pageBreakBefore w:val="0"/>
                    <w:suppressLineNumbers w:val="0"/>
                    <w:kinsoku/>
                    <w:wordWrap/>
                    <w:overflowPunct/>
                    <w:topLinePunct w:val="0"/>
                    <w:bidi w:val="0"/>
                    <w:adjustRightInd w:val="0"/>
                    <w:snapToGrid w:val="0"/>
                    <w:spacing w:before="0" w:beforeAutospacing="0" w:after="0" w:afterAutospacing="0" w:line="276" w:lineRule="auto"/>
                    <w:ind w:left="0" w:right="0"/>
                    <w:jc w:val="center"/>
                    <w:rPr>
                      <w:rFonts w:hint="eastAsia" w:cs="Times New Roman"/>
                      <w:kern w:val="2"/>
                      <w:sz w:val="18"/>
                      <w:szCs w:val="18"/>
                      <w:highlight w:val="none"/>
                      <w:lang w:val="en-US" w:eastAsia="zh-CN" w:bidi="ar-SA"/>
                    </w:rPr>
                  </w:pPr>
                  <w:r>
                    <w:rPr>
                      <w:rFonts w:hint="eastAsia" w:cs="Times New Roman"/>
                      <w:kern w:val="2"/>
                      <w:sz w:val="18"/>
                      <w:szCs w:val="18"/>
                      <w:highlight w:val="none"/>
                      <w:lang w:val="en-US" w:eastAsia="zh-CN" w:bidi="ar-SA"/>
                    </w:rPr>
                    <w:t>19</w:t>
                  </w:r>
                </w:p>
              </w:tc>
              <w:tc>
                <w:tcPr>
                  <w:tcW w:w="894" w:type="pct"/>
                  <w:tcBorders>
                    <w:top w:val="single" w:color="auto" w:sz="4" w:space="0"/>
                    <w:left w:val="single" w:color="auto" w:sz="4" w:space="0"/>
                    <w:bottom w:val="single" w:color="auto" w:sz="4" w:space="0"/>
                    <w:right w:val="single" w:color="auto" w:sz="4" w:space="0"/>
                  </w:tcBorders>
                  <w:shd w:val="clear" w:color="auto" w:fill="auto"/>
                  <w:vAlign w:val="center"/>
                </w:tcPr>
                <w:p w14:paraId="3634E808">
                  <w:pPr>
                    <w:pStyle w:val="120"/>
                    <w:keepNext w:val="0"/>
                    <w:keepLines w:val="0"/>
                    <w:pageBreakBefore w:val="0"/>
                    <w:framePr w:hSpace="0" w:wrap="auto" w:vAnchor="margin" w:hAnchor="text" w:xAlign="left" w:yAlign="inline"/>
                    <w:suppressLineNumbers w:val="0"/>
                    <w:kinsoku/>
                    <w:wordWrap/>
                    <w:overflowPunct/>
                    <w:topLinePunct w:val="0"/>
                    <w:bidi w:val="0"/>
                    <w:adjustRightInd w:val="0"/>
                    <w:snapToGrid w:val="0"/>
                    <w:spacing w:before="0" w:beforeAutospacing="0" w:after="0" w:afterAutospacing="0" w:line="276" w:lineRule="auto"/>
                    <w:ind w:left="0" w:right="0"/>
                    <w:jc w:val="center"/>
                    <w:rPr>
                      <w:rFonts w:hint="eastAsia" w:ascii="Times New Roman" w:hAnsi="Times New Roman" w:eastAsia="宋体" w:cs="Times New Roman"/>
                      <w:color w:val="auto"/>
                      <w:sz w:val="18"/>
                      <w:szCs w:val="18"/>
                      <w:highlight w:val="none"/>
                      <w:lang w:val="en-US" w:eastAsia="en-US"/>
                    </w:rPr>
                  </w:pPr>
                  <w:r>
                    <w:rPr>
                      <w:rFonts w:hint="eastAsia" w:ascii="Times New Roman" w:hAnsi="Times New Roman" w:eastAsia="宋体" w:cs="Times New Roman"/>
                      <w:color w:val="auto"/>
                      <w:sz w:val="18"/>
                      <w:szCs w:val="18"/>
                      <w:highlight w:val="none"/>
                    </w:rPr>
                    <w:t>2</w:t>
                  </w:r>
                  <w:r>
                    <w:rPr>
                      <w:rFonts w:hint="eastAsia" w:cs="Times New Roman"/>
                      <w:color w:val="auto"/>
                      <w:sz w:val="18"/>
                      <w:szCs w:val="18"/>
                      <w:highlight w:val="none"/>
                      <w:lang w:eastAsia="zh-CN"/>
                    </w:rPr>
                    <w:t>，</w:t>
                  </w:r>
                  <w:r>
                    <w:rPr>
                      <w:rFonts w:hint="eastAsia" w:ascii="Times New Roman" w:hAnsi="Times New Roman" w:eastAsia="宋体" w:cs="Times New Roman"/>
                      <w:color w:val="auto"/>
                      <w:sz w:val="18"/>
                      <w:szCs w:val="18"/>
                      <w:highlight w:val="none"/>
                    </w:rPr>
                    <w:t>2-二硫代二吡啶</w:t>
                  </w:r>
                </w:p>
              </w:tc>
              <w:tc>
                <w:tcPr>
                  <w:tcW w:w="523" w:type="pct"/>
                  <w:tcBorders>
                    <w:top w:val="single" w:color="auto" w:sz="4" w:space="0"/>
                    <w:left w:val="single" w:color="auto" w:sz="4" w:space="0"/>
                    <w:bottom w:val="single" w:color="auto" w:sz="4" w:space="0"/>
                    <w:right w:val="single" w:color="auto" w:sz="4" w:space="0"/>
                  </w:tcBorders>
                  <w:shd w:val="clear" w:color="auto" w:fill="auto"/>
                  <w:vAlign w:val="center"/>
                </w:tcPr>
                <w:p w14:paraId="2390C679">
                  <w:pPr>
                    <w:pStyle w:val="120"/>
                    <w:keepNext w:val="0"/>
                    <w:keepLines w:val="0"/>
                    <w:pageBreakBefore w:val="0"/>
                    <w:framePr w:hSpace="0" w:wrap="auto" w:vAnchor="margin" w:hAnchor="text" w:xAlign="left" w:yAlign="inline"/>
                    <w:suppressLineNumbers w:val="0"/>
                    <w:kinsoku/>
                    <w:wordWrap/>
                    <w:overflowPunct/>
                    <w:topLinePunct w:val="0"/>
                    <w:bidi w:val="0"/>
                    <w:adjustRightInd w:val="0"/>
                    <w:snapToGrid w:val="0"/>
                    <w:spacing w:before="0" w:beforeAutospacing="0" w:after="0" w:afterAutospacing="0" w:line="276" w:lineRule="auto"/>
                    <w:ind w:left="0" w:right="0"/>
                    <w:jc w:val="center"/>
                    <w:rPr>
                      <w:rFonts w:hint="default" w:ascii="Times New Roman" w:hAnsi="Times New Roman" w:eastAsia="宋体" w:cs="Times New Roman"/>
                      <w:color w:val="auto"/>
                      <w:sz w:val="18"/>
                      <w:szCs w:val="18"/>
                      <w:highlight w:val="none"/>
                      <w:lang w:val="en-US" w:eastAsia="zh-CN"/>
                    </w:rPr>
                  </w:pPr>
                  <w:r>
                    <w:rPr>
                      <w:rFonts w:hint="eastAsia" w:cs="Times New Roman"/>
                      <w:color w:val="auto"/>
                      <w:sz w:val="18"/>
                      <w:szCs w:val="18"/>
                      <w:highlight w:val="none"/>
                      <w:lang w:val="en-US" w:eastAsia="zh-CN"/>
                    </w:rPr>
                    <w:t>50</w:t>
                  </w:r>
                  <w:r>
                    <w:rPr>
                      <w:rFonts w:hint="eastAsia" w:ascii="Times New Roman" w:hAnsi="Times New Roman" w:eastAsia="宋体" w:cs="Times New Roman"/>
                      <w:color w:val="auto"/>
                      <w:sz w:val="18"/>
                      <w:szCs w:val="18"/>
                      <w:highlight w:val="none"/>
                    </w:rPr>
                    <w:t>g</w:t>
                  </w:r>
                </w:p>
              </w:tc>
              <w:tc>
                <w:tcPr>
                  <w:tcW w:w="1451" w:type="pct"/>
                  <w:tcBorders>
                    <w:top w:val="single" w:color="auto" w:sz="4" w:space="0"/>
                    <w:left w:val="single" w:color="auto" w:sz="4" w:space="0"/>
                    <w:bottom w:val="single" w:color="auto" w:sz="4" w:space="0"/>
                    <w:right w:val="single" w:color="auto" w:sz="4" w:space="0"/>
                  </w:tcBorders>
                  <w:shd w:val="clear" w:color="auto" w:fill="auto"/>
                  <w:vAlign w:val="center"/>
                </w:tcPr>
                <w:p w14:paraId="66ED7383">
                  <w:pPr>
                    <w:pStyle w:val="120"/>
                    <w:keepNext w:val="0"/>
                    <w:keepLines w:val="0"/>
                    <w:pageBreakBefore w:val="0"/>
                    <w:framePr w:hSpace="0" w:wrap="auto" w:vAnchor="margin" w:hAnchor="text" w:xAlign="left" w:yAlign="inline"/>
                    <w:suppressLineNumbers w:val="0"/>
                    <w:kinsoku/>
                    <w:wordWrap/>
                    <w:overflowPunct/>
                    <w:topLinePunct w:val="0"/>
                    <w:bidi w:val="0"/>
                    <w:adjustRightInd w:val="0"/>
                    <w:snapToGrid w:val="0"/>
                    <w:spacing w:before="0" w:beforeAutospacing="0" w:after="0" w:afterAutospacing="0" w:line="276" w:lineRule="auto"/>
                    <w:ind w:left="0" w:right="0"/>
                    <w:jc w:val="center"/>
                    <w:rPr>
                      <w:rFonts w:hint="eastAsia" w:ascii="Times New Roman" w:hAnsi="Times New Roman" w:eastAsia="宋体" w:cs="Times New Roman"/>
                      <w:color w:val="auto"/>
                      <w:sz w:val="18"/>
                      <w:szCs w:val="18"/>
                      <w:highlight w:val="none"/>
                      <w:lang w:val="en-US" w:eastAsia="en-US"/>
                    </w:rPr>
                  </w:pPr>
                  <w:r>
                    <w:rPr>
                      <w:rFonts w:hint="eastAsia" w:ascii="Times New Roman" w:hAnsi="Times New Roman" w:eastAsia="宋体" w:cs="Times New Roman"/>
                      <w:color w:val="auto"/>
                      <w:sz w:val="18"/>
                      <w:szCs w:val="18"/>
                      <w:highlight w:val="none"/>
                    </w:rPr>
                    <w:t>25g/瓶</w:t>
                  </w:r>
                </w:p>
              </w:tc>
              <w:tc>
                <w:tcPr>
                  <w:tcW w:w="586" w:type="pct"/>
                  <w:tcBorders>
                    <w:top w:val="single" w:color="auto" w:sz="4" w:space="0"/>
                    <w:left w:val="single" w:color="auto" w:sz="4" w:space="0"/>
                    <w:bottom w:val="single" w:color="auto" w:sz="4" w:space="0"/>
                    <w:right w:val="single" w:color="auto" w:sz="4" w:space="0"/>
                  </w:tcBorders>
                  <w:shd w:val="clear" w:color="auto" w:fill="auto"/>
                  <w:vAlign w:val="center"/>
                </w:tcPr>
                <w:p w14:paraId="1C67CAE8">
                  <w:pPr>
                    <w:pStyle w:val="120"/>
                    <w:keepNext w:val="0"/>
                    <w:keepLines w:val="0"/>
                    <w:pageBreakBefore w:val="0"/>
                    <w:framePr w:hSpace="0" w:wrap="auto" w:vAnchor="margin" w:hAnchor="text" w:xAlign="left" w:yAlign="inline"/>
                    <w:suppressLineNumbers w:val="0"/>
                    <w:kinsoku/>
                    <w:wordWrap/>
                    <w:overflowPunct/>
                    <w:topLinePunct w:val="0"/>
                    <w:bidi w:val="0"/>
                    <w:adjustRightInd w:val="0"/>
                    <w:snapToGrid w:val="0"/>
                    <w:spacing w:before="0" w:beforeAutospacing="0" w:after="0" w:afterAutospacing="0" w:line="276" w:lineRule="auto"/>
                    <w:ind w:left="0" w:right="0"/>
                    <w:jc w:val="center"/>
                    <w:rPr>
                      <w:rFonts w:hint="default" w:ascii="Times New Roman" w:hAnsi="Times New Roman" w:eastAsia="宋体" w:cs="Times New Roman"/>
                      <w:color w:val="auto"/>
                      <w:sz w:val="18"/>
                      <w:szCs w:val="18"/>
                      <w:highlight w:val="none"/>
                      <w:lang w:val="en-US" w:eastAsia="zh-CN"/>
                    </w:rPr>
                  </w:pPr>
                  <w:r>
                    <w:rPr>
                      <w:rFonts w:hint="eastAsia" w:ascii="Times New Roman" w:hAnsi="Times New Roman" w:eastAsia="宋体" w:cs="Times New Roman"/>
                      <w:color w:val="auto"/>
                      <w:sz w:val="18"/>
                      <w:szCs w:val="18"/>
                      <w:highlight w:val="none"/>
                    </w:rPr>
                    <w:t>25</w:t>
                  </w:r>
                  <w:r>
                    <w:rPr>
                      <w:rFonts w:hint="eastAsia" w:cs="Times New Roman"/>
                      <w:color w:val="auto"/>
                      <w:sz w:val="18"/>
                      <w:szCs w:val="18"/>
                      <w:highlight w:val="none"/>
                      <w:lang w:val="en-US" w:eastAsia="zh-CN"/>
                    </w:rPr>
                    <w:t>0</w:t>
                  </w:r>
                  <w:r>
                    <w:rPr>
                      <w:rFonts w:hint="eastAsia" w:ascii="Times New Roman" w:hAnsi="Times New Roman" w:eastAsia="宋体" w:cs="Times New Roman"/>
                      <w:color w:val="auto"/>
                      <w:sz w:val="18"/>
                      <w:szCs w:val="18"/>
                      <w:highlight w:val="none"/>
                    </w:rPr>
                    <w:t>g</w:t>
                  </w:r>
                </w:p>
              </w:tc>
              <w:tc>
                <w:tcPr>
                  <w:tcW w:w="368" w:type="pct"/>
                  <w:tcBorders>
                    <w:top w:val="single" w:color="auto" w:sz="4" w:space="0"/>
                    <w:left w:val="single" w:color="auto" w:sz="4" w:space="0"/>
                    <w:bottom w:val="single" w:color="auto" w:sz="4" w:space="0"/>
                    <w:right w:val="single" w:color="auto" w:sz="4" w:space="0"/>
                  </w:tcBorders>
                  <w:vAlign w:val="center"/>
                </w:tcPr>
                <w:p w14:paraId="159D470F">
                  <w:pPr>
                    <w:keepNext w:val="0"/>
                    <w:keepLines w:val="0"/>
                    <w:pageBreakBefore w:val="0"/>
                    <w:suppressLineNumbers w:val="0"/>
                    <w:kinsoku/>
                    <w:wordWrap/>
                    <w:overflowPunct/>
                    <w:topLinePunct w:val="0"/>
                    <w:bidi w:val="0"/>
                    <w:adjustRightInd w:val="0"/>
                    <w:snapToGrid w:val="0"/>
                    <w:spacing w:before="0" w:beforeAutospacing="0" w:after="0" w:afterAutospacing="0" w:line="276" w:lineRule="auto"/>
                    <w:ind w:left="0" w:right="0"/>
                    <w:jc w:val="center"/>
                    <w:rPr>
                      <w:rFonts w:hint="default" w:ascii="Times New Roman" w:hAnsi="Times New Roman" w:eastAsia="宋体" w:cs="Times New Roman"/>
                      <w:sz w:val="18"/>
                      <w:szCs w:val="18"/>
                      <w:highlight w:val="none"/>
                    </w:rPr>
                  </w:pPr>
                  <w:r>
                    <w:rPr>
                      <w:rFonts w:hint="eastAsia" w:ascii="Times New Roman" w:hAnsi="Times New Roman" w:eastAsia="宋体" w:cs="Times New Roman"/>
                      <w:sz w:val="18"/>
                      <w:szCs w:val="18"/>
                      <w:highlight w:val="none"/>
                    </w:rPr>
                    <w:t>固态</w:t>
                  </w:r>
                </w:p>
              </w:tc>
              <w:tc>
                <w:tcPr>
                  <w:tcW w:w="892" w:type="pct"/>
                  <w:vMerge w:val="restart"/>
                  <w:tcBorders>
                    <w:left w:val="single" w:color="auto" w:sz="4" w:space="0"/>
                    <w:right w:val="single" w:color="auto" w:sz="4" w:space="0"/>
                  </w:tcBorders>
                  <w:vAlign w:val="center"/>
                </w:tcPr>
                <w:p w14:paraId="6855A13A">
                  <w:pPr>
                    <w:keepNext w:val="0"/>
                    <w:keepLines w:val="0"/>
                    <w:pageBreakBefore w:val="0"/>
                    <w:suppressLineNumbers w:val="0"/>
                    <w:kinsoku/>
                    <w:wordWrap/>
                    <w:overflowPunct/>
                    <w:topLinePunct w:val="0"/>
                    <w:bidi w:val="0"/>
                    <w:adjustRightInd w:val="0"/>
                    <w:snapToGrid w:val="0"/>
                    <w:spacing w:before="0" w:beforeAutospacing="0" w:after="0" w:afterAutospacing="0" w:line="276" w:lineRule="auto"/>
                    <w:ind w:left="0" w:right="0"/>
                    <w:jc w:val="center"/>
                    <w:rPr>
                      <w:rFonts w:hint="default" w:ascii="Times New Roman" w:hAnsi="Times New Roman" w:eastAsia="宋体" w:cs="Times New Roman"/>
                      <w:sz w:val="18"/>
                      <w:szCs w:val="18"/>
                      <w:highlight w:val="none"/>
                      <w:lang w:val="en-US" w:eastAsia="zh-CN"/>
                    </w:rPr>
                  </w:pPr>
                  <w:r>
                    <w:rPr>
                      <w:rFonts w:hint="eastAsia" w:cs="Times New Roman"/>
                      <w:sz w:val="18"/>
                      <w:szCs w:val="18"/>
                      <w:highlight w:val="none"/>
                      <w:lang w:val="en-US" w:eastAsia="zh-CN"/>
                    </w:rPr>
                    <w:t>药剂制备</w:t>
                  </w:r>
                </w:p>
              </w:tc>
            </w:tr>
            <w:tr w14:paraId="1D3B0F2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7" w:type="dxa"/>
                  <w:bottom w:w="0" w:type="dxa"/>
                  <w:right w:w="17" w:type="dxa"/>
                </w:tblCellMar>
              </w:tblPrEx>
              <w:trPr>
                <w:trHeight w:val="0" w:hRule="atLeast"/>
                <w:jc w:val="center"/>
              </w:trPr>
              <w:tc>
                <w:tcPr>
                  <w:tcW w:w="283" w:type="pct"/>
                  <w:tcBorders>
                    <w:top w:val="single" w:color="auto" w:sz="4" w:space="0"/>
                    <w:left w:val="single" w:color="auto" w:sz="4" w:space="0"/>
                    <w:bottom w:val="single" w:color="auto" w:sz="4" w:space="0"/>
                    <w:right w:val="single" w:color="auto" w:sz="4" w:space="0"/>
                  </w:tcBorders>
                  <w:shd w:val="clear" w:color="auto" w:fill="auto"/>
                  <w:vAlign w:val="center"/>
                </w:tcPr>
                <w:p w14:paraId="42FDE25C">
                  <w:pPr>
                    <w:keepNext w:val="0"/>
                    <w:keepLines w:val="0"/>
                    <w:pageBreakBefore w:val="0"/>
                    <w:suppressLineNumbers w:val="0"/>
                    <w:kinsoku/>
                    <w:wordWrap/>
                    <w:overflowPunct/>
                    <w:topLinePunct w:val="0"/>
                    <w:bidi w:val="0"/>
                    <w:adjustRightInd w:val="0"/>
                    <w:snapToGrid w:val="0"/>
                    <w:spacing w:before="0" w:beforeAutospacing="0" w:after="0" w:afterAutospacing="0" w:line="276" w:lineRule="auto"/>
                    <w:ind w:left="0" w:right="0"/>
                    <w:jc w:val="center"/>
                    <w:rPr>
                      <w:rFonts w:hint="eastAsia" w:cs="Times New Roman"/>
                      <w:kern w:val="2"/>
                      <w:sz w:val="18"/>
                      <w:szCs w:val="18"/>
                      <w:highlight w:val="none"/>
                      <w:lang w:val="en-US" w:eastAsia="zh-CN" w:bidi="ar-SA"/>
                    </w:rPr>
                  </w:pPr>
                  <w:r>
                    <w:rPr>
                      <w:rFonts w:hint="eastAsia" w:cs="Times New Roman"/>
                      <w:kern w:val="2"/>
                      <w:sz w:val="18"/>
                      <w:szCs w:val="18"/>
                      <w:highlight w:val="none"/>
                      <w:lang w:val="en-US" w:eastAsia="zh-CN" w:bidi="ar-SA"/>
                    </w:rPr>
                    <w:t>20</w:t>
                  </w:r>
                </w:p>
              </w:tc>
              <w:tc>
                <w:tcPr>
                  <w:tcW w:w="894" w:type="pct"/>
                  <w:tcBorders>
                    <w:top w:val="single" w:color="auto" w:sz="4" w:space="0"/>
                    <w:left w:val="single" w:color="auto" w:sz="4" w:space="0"/>
                    <w:bottom w:val="single" w:color="auto" w:sz="4" w:space="0"/>
                    <w:right w:val="single" w:color="auto" w:sz="4" w:space="0"/>
                  </w:tcBorders>
                  <w:shd w:val="clear" w:color="auto" w:fill="auto"/>
                  <w:vAlign w:val="center"/>
                </w:tcPr>
                <w:p w14:paraId="0501E6BF">
                  <w:pPr>
                    <w:pStyle w:val="120"/>
                    <w:keepNext w:val="0"/>
                    <w:keepLines w:val="0"/>
                    <w:pageBreakBefore w:val="0"/>
                    <w:framePr w:hSpace="0" w:wrap="auto" w:vAnchor="margin" w:hAnchor="text" w:xAlign="left" w:yAlign="inline"/>
                    <w:suppressLineNumbers w:val="0"/>
                    <w:kinsoku/>
                    <w:wordWrap/>
                    <w:overflowPunct/>
                    <w:topLinePunct w:val="0"/>
                    <w:bidi w:val="0"/>
                    <w:adjustRightInd w:val="0"/>
                    <w:snapToGrid w:val="0"/>
                    <w:spacing w:before="0" w:beforeAutospacing="0" w:after="0" w:afterAutospacing="0" w:line="276" w:lineRule="auto"/>
                    <w:ind w:left="0" w:right="0"/>
                    <w:jc w:val="center"/>
                    <w:rPr>
                      <w:rFonts w:hint="eastAsia" w:ascii="Times New Roman" w:hAnsi="Times New Roman" w:eastAsia="宋体" w:cs="Times New Roman"/>
                      <w:color w:val="auto"/>
                      <w:sz w:val="18"/>
                      <w:szCs w:val="18"/>
                      <w:highlight w:val="none"/>
                      <w:lang w:val="en-US" w:eastAsia="en-US"/>
                    </w:rPr>
                  </w:pPr>
                  <w:r>
                    <w:rPr>
                      <w:rFonts w:hint="eastAsia" w:ascii="Times New Roman" w:hAnsi="Times New Roman" w:eastAsia="宋体" w:cs="Times New Roman"/>
                      <w:color w:val="auto"/>
                      <w:sz w:val="18"/>
                      <w:szCs w:val="18"/>
                      <w:highlight w:val="none"/>
                    </w:rPr>
                    <w:t>2-巯基乙醇</w:t>
                  </w:r>
                </w:p>
              </w:tc>
              <w:tc>
                <w:tcPr>
                  <w:tcW w:w="523" w:type="pct"/>
                  <w:tcBorders>
                    <w:top w:val="single" w:color="auto" w:sz="4" w:space="0"/>
                    <w:left w:val="single" w:color="auto" w:sz="4" w:space="0"/>
                    <w:bottom w:val="single" w:color="auto" w:sz="4" w:space="0"/>
                    <w:right w:val="single" w:color="auto" w:sz="4" w:space="0"/>
                  </w:tcBorders>
                  <w:shd w:val="clear" w:color="auto" w:fill="auto"/>
                  <w:vAlign w:val="center"/>
                </w:tcPr>
                <w:p w14:paraId="0FC97D85">
                  <w:pPr>
                    <w:pStyle w:val="120"/>
                    <w:keepNext w:val="0"/>
                    <w:keepLines w:val="0"/>
                    <w:pageBreakBefore w:val="0"/>
                    <w:framePr w:hSpace="0" w:wrap="auto" w:vAnchor="margin" w:hAnchor="text" w:xAlign="left" w:yAlign="inline"/>
                    <w:suppressLineNumbers w:val="0"/>
                    <w:kinsoku/>
                    <w:wordWrap/>
                    <w:overflowPunct/>
                    <w:topLinePunct w:val="0"/>
                    <w:bidi w:val="0"/>
                    <w:adjustRightInd w:val="0"/>
                    <w:snapToGrid w:val="0"/>
                    <w:spacing w:before="0" w:beforeAutospacing="0" w:after="0" w:afterAutospacing="0" w:line="276" w:lineRule="auto"/>
                    <w:ind w:left="0" w:right="0"/>
                    <w:jc w:val="center"/>
                    <w:rPr>
                      <w:rFonts w:hint="eastAsia" w:ascii="Times New Roman" w:hAnsi="Times New Roman" w:eastAsia="宋体" w:cs="Times New Roman"/>
                      <w:color w:val="auto"/>
                      <w:sz w:val="18"/>
                      <w:szCs w:val="18"/>
                      <w:highlight w:val="none"/>
                      <w:lang w:val="en-US" w:eastAsia="en-US"/>
                    </w:rPr>
                  </w:pPr>
                  <w:r>
                    <w:rPr>
                      <w:rFonts w:hint="eastAsia" w:ascii="Times New Roman" w:hAnsi="Times New Roman" w:eastAsia="宋体" w:cs="Times New Roman"/>
                      <w:color w:val="auto"/>
                      <w:sz w:val="18"/>
                      <w:szCs w:val="18"/>
                      <w:highlight w:val="none"/>
                    </w:rPr>
                    <w:t>9L</w:t>
                  </w:r>
                </w:p>
              </w:tc>
              <w:tc>
                <w:tcPr>
                  <w:tcW w:w="1451" w:type="pct"/>
                  <w:tcBorders>
                    <w:top w:val="single" w:color="auto" w:sz="4" w:space="0"/>
                    <w:left w:val="single" w:color="auto" w:sz="4" w:space="0"/>
                    <w:bottom w:val="single" w:color="auto" w:sz="4" w:space="0"/>
                    <w:right w:val="single" w:color="auto" w:sz="4" w:space="0"/>
                  </w:tcBorders>
                  <w:shd w:val="clear" w:color="auto" w:fill="auto"/>
                  <w:vAlign w:val="center"/>
                </w:tcPr>
                <w:p w14:paraId="4997C9DD">
                  <w:pPr>
                    <w:pStyle w:val="120"/>
                    <w:keepNext w:val="0"/>
                    <w:keepLines w:val="0"/>
                    <w:pageBreakBefore w:val="0"/>
                    <w:framePr w:hSpace="0" w:wrap="auto" w:vAnchor="margin" w:hAnchor="text" w:xAlign="left" w:yAlign="inline"/>
                    <w:suppressLineNumbers w:val="0"/>
                    <w:kinsoku/>
                    <w:wordWrap/>
                    <w:overflowPunct/>
                    <w:topLinePunct w:val="0"/>
                    <w:bidi w:val="0"/>
                    <w:adjustRightInd w:val="0"/>
                    <w:snapToGrid w:val="0"/>
                    <w:spacing w:before="0" w:beforeAutospacing="0" w:after="0" w:afterAutospacing="0" w:line="276" w:lineRule="auto"/>
                    <w:ind w:left="0" w:right="0"/>
                    <w:jc w:val="center"/>
                    <w:rPr>
                      <w:rFonts w:hint="eastAsia" w:ascii="Times New Roman" w:hAnsi="Times New Roman" w:eastAsia="宋体" w:cs="Times New Roman"/>
                      <w:color w:val="auto"/>
                      <w:sz w:val="18"/>
                      <w:szCs w:val="18"/>
                      <w:highlight w:val="none"/>
                      <w:lang w:val="en-US" w:eastAsia="en-US"/>
                    </w:rPr>
                  </w:pPr>
                  <w:r>
                    <w:rPr>
                      <w:rFonts w:hint="eastAsia" w:ascii="Times New Roman" w:hAnsi="Times New Roman" w:eastAsia="宋体" w:cs="Times New Roman"/>
                      <w:color w:val="auto"/>
                      <w:sz w:val="18"/>
                      <w:szCs w:val="18"/>
                      <w:highlight w:val="none"/>
                    </w:rPr>
                    <w:t>500mL/瓶</w:t>
                  </w:r>
                </w:p>
              </w:tc>
              <w:tc>
                <w:tcPr>
                  <w:tcW w:w="586" w:type="pct"/>
                  <w:tcBorders>
                    <w:top w:val="single" w:color="auto" w:sz="4" w:space="0"/>
                    <w:left w:val="single" w:color="auto" w:sz="4" w:space="0"/>
                    <w:bottom w:val="single" w:color="auto" w:sz="4" w:space="0"/>
                    <w:right w:val="single" w:color="auto" w:sz="4" w:space="0"/>
                  </w:tcBorders>
                  <w:shd w:val="clear" w:color="auto" w:fill="auto"/>
                  <w:vAlign w:val="center"/>
                </w:tcPr>
                <w:p w14:paraId="721D8B99">
                  <w:pPr>
                    <w:pStyle w:val="120"/>
                    <w:keepNext w:val="0"/>
                    <w:keepLines w:val="0"/>
                    <w:pageBreakBefore w:val="0"/>
                    <w:framePr w:hSpace="0" w:wrap="auto" w:vAnchor="margin" w:hAnchor="text" w:xAlign="left" w:yAlign="inline"/>
                    <w:suppressLineNumbers w:val="0"/>
                    <w:kinsoku/>
                    <w:wordWrap/>
                    <w:overflowPunct/>
                    <w:topLinePunct w:val="0"/>
                    <w:bidi w:val="0"/>
                    <w:adjustRightInd w:val="0"/>
                    <w:snapToGrid w:val="0"/>
                    <w:spacing w:before="0" w:beforeAutospacing="0" w:after="0" w:afterAutospacing="0" w:line="276" w:lineRule="auto"/>
                    <w:ind w:left="0" w:right="0"/>
                    <w:jc w:val="center"/>
                    <w:rPr>
                      <w:rFonts w:hint="default" w:ascii="Times New Roman" w:hAnsi="Times New Roman" w:eastAsia="宋体" w:cs="Times New Roman"/>
                      <w:color w:val="auto"/>
                      <w:sz w:val="18"/>
                      <w:szCs w:val="18"/>
                      <w:highlight w:val="none"/>
                      <w:lang w:val="en-US" w:eastAsia="zh-CN"/>
                    </w:rPr>
                  </w:pPr>
                  <w:r>
                    <w:rPr>
                      <w:rFonts w:hint="eastAsia" w:ascii="Times New Roman" w:hAnsi="Times New Roman" w:eastAsia="宋体" w:cs="Times New Roman"/>
                      <w:color w:val="auto"/>
                      <w:sz w:val="18"/>
                      <w:szCs w:val="18"/>
                      <w:highlight w:val="none"/>
                    </w:rPr>
                    <w:t>5L</w:t>
                  </w:r>
                </w:p>
              </w:tc>
              <w:tc>
                <w:tcPr>
                  <w:tcW w:w="368" w:type="pct"/>
                  <w:tcBorders>
                    <w:top w:val="single" w:color="auto" w:sz="4" w:space="0"/>
                    <w:left w:val="single" w:color="auto" w:sz="4" w:space="0"/>
                    <w:bottom w:val="single" w:color="auto" w:sz="4" w:space="0"/>
                    <w:right w:val="single" w:color="auto" w:sz="4" w:space="0"/>
                  </w:tcBorders>
                  <w:vAlign w:val="center"/>
                </w:tcPr>
                <w:p w14:paraId="5D8482F1">
                  <w:pPr>
                    <w:pStyle w:val="120"/>
                    <w:keepNext w:val="0"/>
                    <w:keepLines w:val="0"/>
                    <w:pageBreakBefore w:val="0"/>
                    <w:framePr w:hSpace="0" w:wrap="auto" w:vAnchor="margin" w:hAnchor="text" w:xAlign="left" w:yAlign="inline"/>
                    <w:suppressLineNumbers w:val="0"/>
                    <w:kinsoku/>
                    <w:wordWrap/>
                    <w:overflowPunct/>
                    <w:topLinePunct w:val="0"/>
                    <w:bidi w:val="0"/>
                    <w:adjustRightInd w:val="0"/>
                    <w:snapToGrid w:val="0"/>
                    <w:spacing w:before="0" w:beforeAutospacing="0" w:after="0" w:afterAutospacing="0" w:line="276" w:lineRule="auto"/>
                    <w:ind w:left="0" w:right="0"/>
                    <w:jc w:val="center"/>
                    <w:rPr>
                      <w:rFonts w:hint="eastAsia" w:ascii="Times New Roman" w:hAnsi="Times New Roman" w:eastAsia="宋体" w:cs="Times New Roman"/>
                      <w:color w:val="auto"/>
                      <w:sz w:val="18"/>
                      <w:szCs w:val="18"/>
                      <w:highlight w:val="none"/>
                    </w:rPr>
                  </w:pPr>
                  <w:r>
                    <w:rPr>
                      <w:rFonts w:hint="eastAsia" w:ascii="Times New Roman" w:hAnsi="Times New Roman" w:eastAsia="宋体" w:cs="Times New Roman"/>
                      <w:color w:val="auto"/>
                      <w:sz w:val="18"/>
                      <w:szCs w:val="18"/>
                      <w:highlight w:val="none"/>
                      <w:lang w:eastAsia="zh-CN"/>
                    </w:rPr>
                    <w:t>液态</w:t>
                  </w:r>
                </w:p>
              </w:tc>
              <w:tc>
                <w:tcPr>
                  <w:tcW w:w="892" w:type="pct"/>
                  <w:vMerge w:val="continue"/>
                  <w:tcBorders>
                    <w:left w:val="single" w:color="auto" w:sz="4" w:space="0"/>
                    <w:right w:val="single" w:color="auto" w:sz="4" w:space="0"/>
                  </w:tcBorders>
                  <w:vAlign w:val="center"/>
                </w:tcPr>
                <w:p w14:paraId="31C01B30">
                  <w:pPr>
                    <w:keepNext w:val="0"/>
                    <w:keepLines w:val="0"/>
                    <w:pageBreakBefore w:val="0"/>
                    <w:suppressLineNumbers w:val="0"/>
                    <w:kinsoku/>
                    <w:wordWrap/>
                    <w:overflowPunct/>
                    <w:topLinePunct w:val="0"/>
                    <w:bidi w:val="0"/>
                    <w:adjustRightInd w:val="0"/>
                    <w:snapToGrid w:val="0"/>
                    <w:spacing w:before="0" w:beforeAutospacing="0" w:after="0" w:afterAutospacing="0" w:line="276" w:lineRule="auto"/>
                    <w:ind w:left="0" w:right="0"/>
                    <w:jc w:val="center"/>
                    <w:rPr>
                      <w:rFonts w:hint="default" w:ascii="Times New Roman" w:hAnsi="Times New Roman" w:eastAsia="宋体" w:cs="Times New Roman"/>
                      <w:sz w:val="18"/>
                      <w:szCs w:val="18"/>
                      <w:highlight w:val="none"/>
                    </w:rPr>
                  </w:pPr>
                </w:p>
              </w:tc>
            </w:tr>
            <w:tr w14:paraId="441E051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7" w:type="dxa"/>
                  <w:bottom w:w="0" w:type="dxa"/>
                  <w:right w:w="17" w:type="dxa"/>
                </w:tblCellMar>
              </w:tblPrEx>
              <w:trPr>
                <w:trHeight w:val="90" w:hRule="atLeast"/>
                <w:jc w:val="center"/>
              </w:trPr>
              <w:tc>
                <w:tcPr>
                  <w:tcW w:w="283" w:type="pct"/>
                  <w:tcBorders>
                    <w:top w:val="single" w:color="auto" w:sz="4" w:space="0"/>
                    <w:left w:val="single" w:color="auto" w:sz="4" w:space="0"/>
                    <w:bottom w:val="single" w:color="auto" w:sz="4" w:space="0"/>
                    <w:right w:val="single" w:color="auto" w:sz="4" w:space="0"/>
                  </w:tcBorders>
                  <w:shd w:val="clear" w:color="auto" w:fill="auto"/>
                  <w:vAlign w:val="center"/>
                </w:tcPr>
                <w:p w14:paraId="668F57D7">
                  <w:pPr>
                    <w:keepNext w:val="0"/>
                    <w:keepLines w:val="0"/>
                    <w:pageBreakBefore w:val="0"/>
                    <w:suppressLineNumbers w:val="0"/>
                    <w:kinsoku/>
                    <w:wordWrap/>
                    <w:overflowPunct/>
                    <w:topLinePunct w:val="0"/>
                    <w:bidi w:val="0"/>
                    <w:adjustRightInd w:val="0"/>
                    <w:snapToGrid w:val="0"/>
                    <w:spacing w:before="0" w:beforeAutospacing="0" w:after="0" w:afterAutospacing="0" w:line="276" w:lineRule="auto"/>
                    <w:ind w:left="0" w:right="0"/>
                    <w:jc w:val="center"/>
                    <w:rPr>
                      <w:rFonts w:hint="eastAsia" w:cs="Times New Roman"/>
                      <w:kern w:val="2"/>
                      <w:sz w:val="18"/>
                      <w:szCs w:val="18"/>
                      <w:highlight w:val="none"/>
                      <w:lang w:val="en-US" w:eastAsia="zh-CN" w:bidi="ar-SA"/>
                    </w:rPr>
                  </w:pPr>
                  <w:r>
                    <w:rPr>
                      <w:rFonts w:hint="eastAsia" w:cs="Times New Roman"/>
                      <w:kern w:val="2"/>
                      <w:sz w:val="18"/>
                      <w:szCs w:val="18"/>
                      <w:highlight w:val="none"/>
                      <w:lang w:val="en-US" w:eastAsia="zh-CN" w:bidi="ar-SA"/>
                    </w:rPr>
                    <w:t>21</w:t>
                  </w:r>
                </w:p>
              </w:tc>
              <w:tc>
                <w:tcPr>
                  <w:tcW w:w="894" w:type="pct"/>
                  <w:tcBorders>
                    <w:top w:val="single" w:color="auto" w:sz="4" w:space="0"/>
                    <w:left w:val="single" w:color="auto" w:sz="4" w:space="0"/>
                    <w:bottom w:val="single" w:color="auto" w:sz="4" w:space="0"/>
                    <w:right w:val="single" w:color="auto" w:sz="4" w:space="0"/>
                  </w:tcBorders>
                  <w:shd w:val="clear" w:color="auto" w:fill="auto"/>
                  <w:vAlign w:val="center"/>
                </w:tcPr>
                <w:p w14:paraId="08EEFA5A">
                  <w:pPr>
                    <w:pStyle w:val="120"/>
                    <w:keepNext w:val="0"/>
                    <w:keepLines w:val="0"/>
                    <w:pageBreakBefore w:val="0"/>
                    <w:framePr w:hSpace="0" w:wrap="auto" w:vAnchor="margin" w:hAnchor="text" w:xAlign="left" w:yAlign="inline"/>
                    <w:suppressLineNumbers w:val="0"/>
                    <w:kinsoku/>
                    <w:wordWrap/>
                    <w:overflowPunct/>
                    <w:topLinePunct w:val="0"/>
                    <w:bidi w:val="0"/>
                    <w:adjustRightInd w:val="0"/>
                    <w:snapToGrid w:val="0"/>
                    <w:spacing w:before="0" w:beforeAutospacing="0" w:after="0" w:afterAutospacing="0" w:line="276" w:lineRule="auto"/>
                    <w:ind w:left="0" w:right="0"/>
                    <w:jc w:val="center"/>
                    <w:rPr>
                      <w:rFonts w:hint="eastAsia" w:ascii="Times New Roman" w:hAnsi="Times New Roman" w:eastAsia="宋体" w:cs="Times New Roman"/>
                      <w:color w:val="auto"/>
                      <w:sz w:val="18"/>
                      <w:szCs w:val="18"/>
                      <w:highlight w:val="none"/>
                      <w:lang w:val="en-US" w:eastAsia="en-US"/>
                    </w:rPr>
                  </w:pPr>
                  <w:r>
                    <w:rPr>
                      <w:rFonts w:hint="eastAsia" w:ascii="Times New Roman" w:hAnsi="Times New Roman" w:eastAsia="宋体" w:cs="Times New Roman"/>
                      <w:color w:val="auto"/>
                      <w:sz w:val="18"/>
                      <w:szCs w:val="18"/>
                      <w:highlight w:val="none"/>
                    </w:rPr>
                    <w:t>喹啉-6-甲醛</w:t>
                  </w:r>
                </w:p>
              </w:tc>
              <w:tc>
                <w:tcPr>
                  <w:tcW w:w="523" w:type="pct"/>
                  <w:tcBorders>
                    <w:top w:val="single" w:color="auto" w:sz="4" w:space="0"/>
                    <w:left w:val="single" w:color="auto" w:sz="4" w:space="0"/>
                    <w:bottom w:val="single" w:color="auto" w:sz="4" w:space="0"/>
                    <w:right w:val="single" w:color="auto" w:sz="4" w:space="0"/>
                  </w:tcBorders>
                  <w:shd w:val="clear" w:color="auto" w:fill="auto"/>
                  <w:vAlign w:val="center"/>
                </w:tcPr>
                <w:p w14:paraId="6A60577F">
                  <w:pPr>
                    <w:pStyle w:val="120"/>
                    <w:keepNext w:val="0"/>
                    <w:keepLines w:val="0"/>
                    <w:pageBreakBefore w:val="0"/>
                    <w:framePr w:hSpace="0" w:wrap="auto" w:vAnchor="margin" w:hAnchor="text" w:xAlign="left" w:yAlign="inline"/>
                    <w:suppressLineNumbers w:val="0"/>
                    <w:kinsoku/>
                    <w:wordWrap/>
                    <w:overflowPunct/>
                    <w:topLinePunct w:val="0"/>
                    <w:bidi w:val="0"/>
                    <w:adjustRightInd w:val="0"/>
                    <w:snapToGrid w:val="0"/>
                    <w:spacing w:before="0" w:beforeAutospacing="0" w:after="0" w:afterAutospacing="0" w:line="276" w:lineRule="auto"/>
                    <w:ind w:left="0" w:right="0"/>
                    <w:jc w:val="center"/>
                    <w:rPr>
                      <w:rFonts w:hint="default" w:ascii="Times New Roman" w:hAnsi="Times New Roman" w:eastAsia="宋体" w:cs="Times New Roman"/>
                      <w:color w:val="auto"/>
                      <w:sz w:val="18"/>
                      <w:szCs w:val="18"/>
                      <w:highlight w:val="none"/>
                      <w:lang w:val="en-US" w:eastAsia="en-US"/>
                    </w:rPr>
                  </w:pPr>
                  <w:r>
                    <w:rPr>
                      <w:rFonts w:hint="eastAsia" w:ascii="Times New Roman" w:hAnsi="Times New Roman" w:eastAsia="宋体" w:cs="Times New Roman"/>
                      <w:color w:val="auto"/>
                      <w:sz w:val="18"/>
                      <w:szCs w:val="18"/>
                      <w:highlight w:val="none"/>
                    </w:rPr>
                    <w:t>31g</w:t>
                  </w:r>
                </w:p>
              </w:tc>
              <w:tc>
                <w:tcPr>
                  <w:tcW w:w="1451" w:type="pct"/>
                  <w:tcBorders>
                    <w:top w:val="single" w:color="auto" w:sz="4" w:space="0"/>
                    <w:left w:val="single" w:color="auto" w:sz="4" w:space="0"/>
                    <w:bottom w:val="single" w:color="auto" w:sz="4" w:space="0"/>
                    <w:right w:val="single" w:color="auto" w:sz="4" w:space="0"/>
                  </w:tcBorders>
                  <w:shd w:val="clear" w:color="auto" w:fill="auto"/>
                  <w:vAlign w:val="center"/>
                </w:tcPr>
                <w:p w14:paraId="5B84ED89">
                  <w:pPr>
                    <w:pStyle w:val="120"/>
                    <w:keepNext w:val="0"/>
                    <w:keepLines w:val="0"/>
                    <w:pageBreakBefore w:val="0"/>
                    <w:framePr w:hSpace="0" w:wrap="auto" w:vAnchor="margin" w:hAnchor="text" w:xAlign="left" w:yAlign="inline"/>
                    <w:suppressLineNumbers w:val="0"/>
                    <w:kinsoku/>
                    <w:wordWrap/>
                    <w:overflowPunct/>
                    <w:topLinePunct w:val="0"/>
                    <w:bidi w:val="0"/>
                    <w:adjustRightInd w:val="0"/>
                    <w:snapToGrid w:val="0"/>
                    <w:spacing w:before="0" w:beforeAutospacing="0" w:after="0" w:afterAutospacing="0" w:line="276" w:lineRule="auto"/>
                    <w:ind w:left="0" w:right="0"/>
                    <w:jc w:val="center"/>
                    <w:rPr>
                      <w:rFonts w:hint="default" w:ascii="Times New Roman" w:hAnsi="Times New Roman" w:eastAsia="宋体" w:cs="Times New Roman"/>
                      <w:color w:val="auto"/>
                      <w:sz w:val="18"/>
                      <w:szCs w:val="18"/>
                      <w:highlight w:val="none"/>
                      <w:lang w:val="en-US" w:eastAsia="zh-CN"/>
                    </w:rPr>
                  </w:pPr>
                  <w:r>
                    <w:rPr>
                      <w:rFonts w:hint="eastAsia" w:ascii="Times New Roman" w:hAnsi="Times New Roman" w:eastAsia="宋体" w:cs="Times New Roman"/>
                      <w:color w:val="auto"/>
                      <w:sz w:val="18"/>
                      <w:szCs w:val="18"/>
                      <w:highlight w:val="none"/>
                    </w:rPr>
                    <w:t>100g/瓶</w:t>
                  </w:r>
                </w:p>
              </w:tc>
              <w:tc>
                <w:tcPr>
                  <w:tcW w:w="586" w:type="pct"/>
                  <w:tcBorders>
                    <w:top w:val="single" w:color="auto" w:sz="4" w:space="0"/>
                    <w:left w:val="single" w:color="auto" w:sz="4" w:space="0"/>
                    <w:bottom w:val="single" w:color="auto" w:sz="4" w:space="0"/>
                    <w:right w:val="single" w:color="auto" w:sz="4" w:space="0"/>
                  </w:tcBorders>
                  <w:shd w:val="clear" w:color="auto" w:fill="auto"/>
                  <w:vAlign w:val="center"/>
                </w:tcPr>
                <w:p w14:paraId="5AD3F55E">
                  <w:pPr>
                    <w:pStyle w:val="120"/>
                    <w:keepNext w:val="0"/>
                    <w:keepLines w:val="0"/>
                    <w:pageBreakBefore w:val="0"/>
                    <w:framePr w:hSpace="0" w:wrap="auto" w:vAnchor="margin" w:hAnchor="text" w:xAlign="left" w:yAlign="inline"/>
                    <w:suppressLineNumbers w:val="0"/>
                    <w:kinsoku/>
                    <w:wordWrap/>
                    <w:overflowPunct/>
                    <w:topLinePunct w:val="0"/>
                    <w:bidi w:val="0"/>
                    <w:adjustRightInd w:val="0"/>
                    <w:snapToGrid w:val="0"/>
                    <w:spacing w:before="0" w:beforeAutospacing="0" w:after="0" w:afterAutospacing="0" w:line="276" w:lineRule="auto"/>
                    <w:ind w:left="0" w:right="0"/>
                    <w:jc w:val="center"/>
                    <w:rPr>
                      <w:rFonts w:hint="default" w:ascii="Times New Roman" w:hAnsi="Times New Roman" w:eastAsia="宋体" w:cs="Times New Roman"/>
                      <w:color w:val="auto"/>
                      <w:sz w:val="18"/>
                      <w:szCs w:val="18"/>
                      <w:highlight w:val="none"/>
                      <w:lang w:val="en-US" w:eastAsia="zh-CN"/>
                    </w:rPr>
                  </w:pPr>
                  <w:r>
                    <w:rPr>
                      <w:rFonts w:hint="eastAsia" w:ascii="Times New Roman" w:hAnsi="Times New Roman" w:eastAsia="宋体" w:cs="Times New Roman"/>
                      <w:color w:val="auto"/>
                      <w:sz w:val="18"/>
                      <w:szCs w:val="18"/>
                      <w:highlight w:val="none"/>
                    </w:rPr>
                    <w:t>100</w:t>
                  </w:r>
                  <w:r>
                    <w:rPr>
                      <w:rFonts w:hint="eastAsia" w:cs="Times New Roman"/>
                      <w:color w:val="auto"/>
                      <w:sz w:val="18"/>
                      <w:szCs w:val="18"/>
                      <w:highlight w:val="none"/>
                      <w:lang w:val="en-US" w:eastAsia="zh-CN"/>
                    </w:rPr>
                    <w:t>0</w:t>
                  </w:r>
                  <w:r>
                    <w:rPr>
                      <w:rFonts w:hint="eastAsia" w:ascii="Times New Roman" w:hAnsi="Times New Roman" w:eastAsia="宋体" w:cs="Times New Roman"/>
                      <w:color w:val="auto"/>
                      <w:sz w:val="18"/>
                      <w:szCs w:val="18"/>
                      <w:highlight w:val="none"/>
                    </w:rPr>
                    <w:t>g</w:t>
                  </w:r>
                </w:p>
              </w:tc>
              <w:tc>
                <w:tcPr>
                  <w:tcW w:w="368" w:type="pct"/>
                  <w:tcBorders>
                    <w:top w:val="single" w:color="auto" w:sz="4" w:space="0"/>
                    <w:left w:val="single" w:color="auto" w:sz="4" w:space="0"/>
                    <w:bottom w:val="single" w:color="auto" w:sz="4" w:space="0"/>
                    <w:right w:val="single" w:color="auto" w:sz="4" w:space="0"/>
                  </w:tcBorders>
                  <w:vAlign w:val="center"/>
                </w:tcPr>
                <w:p w14:paraId="3113C3E1">
                  <w:pPr>
                    <w:pStyle w:val="120"/>
                    <w:keepNext w:val="0"/>
                    <w:keepLines w:val="0"/>
                    <w:pageBreakBefore w:val="0"/>
                    <w:framePr w:hSpace="0" w:wrap="auto" w:vAnchor="margin" w:hAnchor="text" w:xAlign="left" w:yAlign="inline"/>
                    <w:suppressLineNumbers w:val="0"/>
                    <w:kinsoku/>
                    <w:wordWrap/>
                    <w:overflowPunct/>
                    <w:topLinePunct w:val="0"/>
                    <w:bidi w:val="0"/>
                    <w:adjustRightInd w:val="0"/>
                    <w:snapToGrid w:val="0"/>
                    <w:spacing w:before="0" w:beforeAutospacing="0" w:after="0" w:afterAutospacing="0" w:line="276" w:lineRule="auto"/>
                    <w:ind w:left="0" w:right="0"/>
                    <w:jc w:val="center"/>
                    <w:rPr>
                      <w:rFonts w:hint="eastAsia" w:ascii="Times New Roman" w:hAnsi="Times New Roman" w:eastAsia="宋体" w:cs="Times New Roman"/>
                      <w:color w:val="auto"/>
                      <w:sz w:val="18"/>
                      <w:szCs w:val="18"/>
                      <w:highlight w:val="none"/>
                    </w:rPr>
                  </w:pPr>
                  <w:r>
                    <w:rPr>
                      <w:rFonts w:hint="eastAsia" w:ascii="Times New Roman" w:hAnsi="Times New Roman" w:eastAsia="宋体" w:cs="Times New Roman"/>
                      <w:sz w:val="18"/>
                      <w:szCs w:val="18"/>
                      <w:highlight w:val="none"/>
                    </w:rPr>
                    <w:t>固态</w:t>
                  </w:r>
                </w:p>
              </w:tc>
              <w:tc>
                <w:tcPr>
                  <w:tcW w:w="892" w:type="pct"/>
                  <w:vMerge w:val="continue"/>
                  <w:tcBorders>
                    <w:left w:val="single" w:color="auto" w:sz="4" w:space="0"/>
                    <w:right w:val="single" w:color="auto" w:sz="4" w:space="0"/>
                  </w:tcBorders>
                  <w:vAlign w:val="center"/>
                </w:tcPr>
                <w:p w14:paraId="29827D3B">
                  <w:pPr>
                    <w:keepNext w:val="0"/>
                    <w:keepLines w:val="0"/>
                    <w:pageBreakBefore w:val="0"/>
                    <w:suppressLineNumbers w:val="0"/>
                    <w:kinsoku/>
                    <w:wordWrap/>
                    <w:overflowPunct/>
                    <w:topLinePunct w:val="0"/>
                    <w:bidi w:val="0"/>
                    <w:adjustRightInd w:val="0"/>
                    <w:snapToGrid w:val="0"/>
                    <w:spacing w:before="0" w:beforeAutospacing="0" w:after="0" w:afterAutospacing="0" w:line="276" w:lineRule="auto"/>
                    <w:ind w:left="0" w:right="0"/>
                    <w:jc w:val="center"/>
                    <w:rPr>
                      <w:rFonts w:hint="default" w:ascii="Times New Roman" w:hAnsi="Times New Roman" w:eastAsia="宋体" w:cs="Times New Roman"/>
                      <w:sz w:val="18"/>
                      <w:szCs w:val="18"/>
                      <w:highlight w:val="none"/>
                    </w:rPr>
                  </w:pPr>
                </w:p>
              </w:tc>
            </w:tr>
            <w:tr w14:paraId="19F58AC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7" w:type="dxa"/>
                  <w:bottom w:w="0" w:type="dxa"/>
                  <w:right w:w="17" w:type="dxa"/>
                </w:tblCellMar>
              </w:tblPrEx>
              <w:trPr>
                <w:trHeight w:val="0" w:hRule="atLeast"/>
                <w:jc w:val="center"/>
              </w:trPr>
              <w:tc>
                <w:tcPr>
                  <w:tcW w:w="283" w:type="pct"/>
                  <w:tcBorders>
                    <w:top w:val="single" w:color="auto" w:sz="4" w:space="0"/>
                    <w:left w:val="single" w:color="auto" w:sz="4" w:space="0"/>
                    <w:bottom w:val="single" w:color="auto" w:sz="4" w:space="0"/>
                    <w:right w:val="single" w:color="auto" w:sz="4" w:space="0"/>
                  </w:tcBorders>
                  <w:shd w:val="clear" w:color="auto" w:fill="auto"/>
                  <w:vAlign w:val="center"/>
                </w:tcPr>
                <w:p w14:paraId="726B7223">
                  <w:pPr>
                    <w:keepNext w:val="0"/>
                    <w:keepLines w:val="0"/>
                    <w:pageBreakBefore w:val="0"/>
                    <w:suppressLineNumbers w:val="0"/>
                    <w:kinsoku/>
                    <w:wordWrap/>
                    <w:overflowPunct/>
                    <w:topLinePunct w:val="0"/>
                    <w:bidi w:val="0"/>
                    <w:adjustRightInd w:val="0"/>
                    <w:snapToGrid w:val="0"/>
                    <w:spacing w:before="0" w:beforeAutospacing="0" w:after="0" w:afterAutospacing="0" w:line="276" w:lineRule="auto"/>
                    <w:ind w:left="0" w:right="0"/>
                    <w:jc w:val="center"/>
                    <w:rPr>
                      <w:rFonts w:hint="eastAsia" w:cs="Times New Roman"/>
                      <w:kern w:val="2"/>
                      <w:sz w:val="18"/>
                      <w:szCs w:val="18"/>
                      <w:highlight w:val="none"/>
                      <w:lang w:val="en-US" w:eastAsia="zh-CN" w:bidi="ar-SA"/>
                    </w:rPr>
                  </w:pPr>
                  <w:r>
                    <w:rPr>
                      <w:rFonts w:hint="eastAsia" w:cs="Times New Roman"/>
                      <w:kern w:val="2"/>
                      <w:sz w:val="18"/>
                      <w:szCs w:val="18"/>
                      <w:highlight w:val="none"/>
                      <w:lang w:val="en-US" w:eastAsia="zh-CN" w:bidi="ar-SA"/>
                    </w:rPr>
                    <w:t>22</w:t>
                  </w:r>
                </w:p>
              </w:tc>
              <w:tc>
                <w:tcPr>
                  <w:tcW w:w="894" w:type="pct"/>
                  <w:tcBorders>
                    <w:top w:val="single" w:color="auto" w:sz="4" w:space="0"/>
                    <w:left w:val="single" w:color="auto" w:sz="4" w:space="0"/>
                    <w:bottom w:val="single" w:color="auto" w:sz="4" w:space="0"/>
                    <w:right w:val="single" w:color="auto" w:sz="4" w:space="0"/>
                  </w:tcBorders>
                  <w:shd w:val="clear" w:color="auto" w:fill="auto"/>
                  <w:vAlign w:val="center"/>
                </w:tcPr>
                <w:p w14:paraId="68D530EB">
                  <w:pPr>
                    <w:pStyle w:val="120"/>
                    <w:keepNext w:val="0"/>
                    <w:keepLines w:val="0"/>
                    <w:pageBreakBefore w:val="0"/>
                    <w:framePr w:hSpace="0" w:wrap="auto" w:vAnchor="margin" w:hAnchor="text" w:xAlign="left" w:yAlign="inline"/>
                    <w:suppressLineNumbers w:val="0"/>
                    <w:kinsoku/>
                    <w:wordWrap/>
                    <w:overflowPunct/>
                    <w:topLinePunct w:val="0"/>
                    <w:bidi w:val="0"/>
                    <w:adjustRightInd w:val="0"/>
                    <w:snapToGrid w:val="0"/>
                    <w:spacing w:before="0" w:beforeAutospacing="0" w:after="0" w:afterAutospacing="0" w:line="276" w:lineRule="auto"/>
                    <w:ind w:left="0" w:right="0"/>
                    <w:jc w:val="center"/>
                    <w:rPr>
                      <w:rFonts w:hint="eastAsia" w:ascii="Times New Roman" w:hAnsi="Times New Roman" w:eastAsia="宋体" w:cs="Times New Roman"/>
                      <w:color w:val="auto"/>
                      <w:sz w:val="18"/>
                      <w:szCs w:val="18"/>
                      <w:highlight w:val="none"/>
                      <w:lang w:val="en-US" w:eastAsia="en-US"/>
                    </w:rPr>
                  </w:pPr>
                  <w:r>
                    <w:rPr>
                      <w:rFonts w:hint="eastAsia" w:ascii="Times New Roman" w:hAnsi="Times New Roman" w:eastAsia="宋体" w:cs="Times New Roman"/>
                      <w:color w:val="auto"/>
                      <w:sz w:val="18"/>
                      <w:szCs w:val="18"/>
                      <w:highlight w:val="none"/>
                    </w:rPr>
                    <w:t>罗丹宁</w:t>
                  </w:r>
                </w:p>
              </w:tc>
              <w:tc>
                <w:tcPr>
                  <w:tcW w:w="523" w:type="pct"/>
                  <w:tcBorders>
                    <w:top w:val="single" w:color="auto" w:sz="4" w:space="0"/>
                    <w:left w:val="single" w:color="auto" w:sz="4" w:space="0"/>
                    <w:bottom w:val="single" w:color="auto" w:sz="4" w:space="0"/>
                    <w:right w:val="single" w:color="auto" w:sz="4" w:space="0"/>
                  </w:tcBorders>
                  <w:shd w:val="clear" w:color="auto" w:fill="auto"/>
                  <w:vAlign w:val="center"/>
                </w:tcPr>
                <w:p w14:paraId="73AE3BFB">
                  <w:pPr>
                    <w:pStyle w:val="120"/>
                    <w:keepNext w:val="0"/>
                    <w:keepLines w:val="0"/>
                    <w:pageBreakBefore w:val="0"/>
                    <w:framePr w:hSpace="0" w:wrap="auto" w:vAnchor="margin" w:hAnchor="text" w:xAlign="left" w:yAlign="inline"/>
                    <w:suppressLineNumbers w:val="0"/>
                    <w:kinsoku/>
                    <w:wordWrap/>
                    <w:overflowPunct/>
                    <w:topLinePunct w:val="0"/>
                    <w:bidi w:val="0"/>
                    <w:adjustRightInd w:val="0"/>
                    <w:snapToGrid w:val="0"/>
                    <w:spacing w:before="0" w:beforeAutospacing="0" w:after="0" w:afterAutospacing="0" w:line="276" w:lineRule="auto"/>
                    <w:ind w:left="0" w:right="0"/>
                    <w:jc w:val="center"/>
                    <w:rPr>
                      <w:rFonts w:hint="eastAsia" w:ascii="Times New Roman" w:hAnsi="Times New Roman" w:eastAsia="宋体" w:cs="Times New Roman"/>
                      <w:color w:val="auto"/>
                      <w:sz w:val="18"/>
                      <w:szCs w:val="18"/>
                      <w:highlight w:val="none"/>
                      <w:lang w:val="en-US" w:eastAsia="en-US"/>
                    </w:rPr>
                  </w:pPr>
                  <w:r>
                    <w:rPr>
                      <w:rFonts w:hint="eastAsia" w:ascii="Times New Roman" w:hAnsi="Times New Roman" w:eastAsia="宋体" w:cs="Times New Roman"/>
                      <w:color w:val="auto"/>
                      <w:sz w:val="18"/>
                      <w:szCs w:val="18"/>
                      <w:highlight w:val="none"/>
                    </w:rPr>
                    <w:t>10</w:t>
                  </w:r>
                  <w:r>
                    <w:rPr>
                      <w:rFonts w:hint="eastAsia" w:cs="Times New Roman"/>
                      <w:color w:val="auto"/>
                      <w:sz w:val="18"/>
                      <w:szCs w:val="18"/>
                      <w:highlight w:val="none"/>
                      <w:lang w:val="en-US" w:eastAsia="zh-CN"/>
                    </w:rPr>
                    <w:t>k</w:t>
                  </w:r>
                  <w:r>
                    <w:rPr>
                      <w:rFonts w:hint="eastAsia" w:ascii="Times New Roman" w:hAnsi="Times New Roman" w:eastAsia="宋体" w:cs="Times New Roman"/>
                      <w:color w:val="auto"/>
                      <w:sz w:val="18"/>
                      <w:szCs w:val="18"/>
                      <w:highlight w:val="none"/>
                    </w:rPr>
                    <w:t>g</w:t>
                  </w:r>
                </w:p>
              </w:tc>
              <w:tc>
                <w:tcPr>
                  <w:tcW w:w="1451" w:type="pct"/>
                  <w:tcBorders>
                    <w:top w:val="single" w:color="auto" w:sz="4" w:space="0"/>
                    <w:left w:val="single" w:color="auto" w:sz="4" w:space="0"/>
                    <w:bottom w:val="single" w:color="auto" w:sz="4" w:space="0"/>
                    <w:right w:val="single" w:color="auto" w:sz="4" w:space="0"/>
                  </w:tcBorders>
                  <w:shd w:val="clear" w:color="auto" w:fill="auto"/>
                  <w:vAlign w:val="center"/>
                </w:tcPr>
                <w:p w14:paraId="5AC098A1">
                  <w:pPr>
                    <w:pStyle w:val="120"/>
                    <w:keepNext w:val="0"/>
                    <w:keepLines w:val="0"/>
                    <w:pageBreakBefore w:val="0"/>
                    <w:framePr w:hSpace="0" w:wrap="auto" w:vAnchor="margin" w:hAnchor="text" w:xAlign="left" w:yAlign="inline"/>
                    <w:suppressLineNumbers w:val="0"/>
                    <w:kinsoku/>
                    <w:wordWrap/>
                    <w:overflowPunct/>
                    <w:topLinePunct w:val="0"/>
                    <w:bidi w:val="0"/>
                    <w:adjustRightInd w:val="0"/>
                    <w:snapToGrid w:val="0"/>
                    <w:spacing w:before="0" w:beforeAutospacing="0" w:after="0" w:afterAutospacing="0" w:line="276" w:lineRule="auto"/>
                    <w:ind w:left="0" w:right="0"/>
                    <w:jc w:val="center"/>
                    <w:rPr>
                      <w:rFonts w:hint="eastAsia" w:ascii="Times New Roman" w:hAnsi="Times New Roman" w:eastAsia="宋体" w:cs="Times New Roman"/>
                      <w:color w:val="auto"/>
                      <w:sz w:val="18"/>
                      <w:szCs w:val="18"/>
                      <w:highlight w:val="none"/>
                      <w:lang w:val="en-US" w:eastAsia="en-US"/>
                    </w:rPr>
                  </w:pPr>
                  <w:r>
                    <w:rPr>
                      <w:rFonts w:hint="eastAsia" w:ascii="Times New Roman" w:hAnsi="Times New Roman" w:eastAsia="宋体" w:cs="Times New Roman"/>
                      <w:color w:val="auto"/>
                      <w:sz w:val="18"/>
                      <w:szCs w:val="18"/>
                      <w:highlight w:val="none"/>
                    </w:rPr>
                    <w:t>100g/瓶</w:t>
                  </w:r>
                </w:p>
              </w:tc>
              <w:tc>
                <w:tcPr>
                  <w:tcW w:w="586" w:type="pct"/>
                  <w:tcBorders>
                    <w:top w:val="single" w:color="auto" w:sz="4" w:space="0"/>
                    <w:left w:val="single" w:color="auto" w:sz="4" w:space="0"/>
                    <w:bottom w:val="single" w:color="auto" w:sz="4" w:space="0"/>
                    <w:right w:val="single" w:color="auto" w:sz="4" w:space="0"/>
                  </w:tcBorders>
                  <w:shd w:val="clear" w:color="auto" w:fill="auto"/>
                  <w:vAlign w:val="center"/>
                </w:tcPr>
                <w:p w14:paraId="55DB672A">
                  <w:pPr>
                    <w:pStyle w:val="120"/>
                    <w:keepNext w:val="0"/>
                    <w:keepLines w:val="0"/>
                    <w:pageBreakBefore w:val="0"/>
                    <w:framePr w:hSpace="0" w:wrap="auto" w:vAnchor="margin" w:hAnchor="text" w:xAlign="left" w:yAlign="inline"/>
                    <w:suppressLineNumbers w:val="0"/>
                    <w:kinsoku/>
                    <w:wordWrap/>
                    <w:overflowPunct/>
                    <w:topLinePunct w:val="0"/>
                    <w:bidi w:val="0"/>
                    <w:adjustRightInd w:val="0"/>
                    <w:snapToGrid w:val="0"/>
                    <w:spacing w:before="0" w:beforeAutospacing="0" w:after="0" w:afterAutospacing="0" w:line="276" w:lineRule="auto"/>
                    <w:ind w:left="0" w:right="0"/>
                    <w:jc w:val="center"/>
                    <w:rPr>
                      <w:rFonts w:hint="default" w:ascii="Times New Roman" w:hAnsi="Times New Roman" w:eastAsia="宋体" w:cs="Times New Roman"/>
                      <w:color w:val="auto"/>
                      <w:sz w:val="18"/>
                      <w:szCs w:val="18"/>
                      <w:highlight w:val="none"/>
                      <w:lang w:val="en-US" w:eastAsia="zh-CN"/>
                    </w:rPr>
                  </w:pPr>
                  <w:r>
                    <w:rPr>
                      <w:rFonts w:hint="eastAsia" w:ascii="Times New Roman" w:hAnsi="Times New Roman" w:eastAsia="宋体" w:cs="Times New Roman"/>
                      <w:color w:val="auto"/>
                      <w:sz w:val="18"/>
                      <w:szCs w:val="18"/>
                      <w:highlight w:val="none"/>
                    </w:rPr>
                    <w:t>100</w:t>
                  </w:r>
                  <w:r>
                    <w:rPr>
                      <w:rFonts w:hint="eastAsia" w:cs="Times New Roman"/>
                      <w:color w:val="auto"/>
                      <w:sz w:val="18"/>
                      <w:szCs w:val="18"/>
                      <w:highlight w:val="none"/>
                      <w:lang w:val="en-US" w:eastAsia="zh-CN"/>
                    </w:rPr>
                    <w:t>0</w:t>
                  </w:r>
                  <w:r>
                    <w:rPr>
                      <w:rFonts w:hint="eastAsia" w:ascii="Times New Roman" w:hAnsi="Times New Roman" w:eastAsia="宋体" w:cs="Times New Roman"/>
                      <w:color w:val="auto"/>
                      <w:sz w:val="18"/>
                      <w:szCs w:val="18"/>
                      <w:highlight w:val="none"/>
                    </w:rPr>
                    <w:t>g</w:t>
                  </w:r>
                </w:p>
              </w:tc>
              <w:tc>
                <w:tcPr>
                  <w:tcW w:w="368" w:type="pct"/>
                  <w:tcBorders>
                    <w:top w:val="single" w:color="auto" w:sz="4" w:space="0"/>
                    <w:left w:val="single" w:color="auto" w:sz="4" w:space="0"/>
                    <w:bottom w:val="single" w:color="auto" w:sz="4" w:space="0"/>
                    <w:right w:val="single" w:color="auto" w:sz="4" w:space="0"/>
                  </w:tcBorders>
                  <w:vAlign w:val="center"/>
                </w:tcPr>
                <w:p w14:paraId="131AED46">
                  <w:pPr>
                    <w:pStyle w:val="120"/>
                    <w:keepNext w:val="0"/>
                    <w:keepLines w:val="0"/>
                    <w:pageBreakBefore w:val="0"/>
                    <w:framePr w:hSpace="0" w:wrap="auto" w:vAnchor="margin" w:hAnchor="text" w:xAlign="left" w:yAlign="inline"/>
                    <w:suppressLineNumbers w:val="0"/>
                    <w:kinsoku/>
                    <w:wordWrap/>
                    <w:overflowPunct/>
                    <w:topLinePunct w:val="0"/>
                    <w:bidi w:val="0"/>
                    <w:adjustRightInd w:val="0"/>
                    <w:snapToGrid w:val="0"/>
                    <w:spacing w:before="0" w:beforeAutospacing="0" w:after="0" w:afterAutospacing="0" w:line="276" w:lineRule="auto"/>
                    <w:ind w:left="0" w:right="0"/>
                    <w:jc w:val="center"/>
                    <w:rPr>
                      <w:rFonts w:hint="eastAsia" w:ascii="Times New Roman" w:hAnsi="Times New Roman" w:eastAsia="宋体" w:cs="Times New Roman"/>
                      <w:color w:val="auto"/>
                      <w:sz w:val="18"/>
                      <w:szCs w:val="18"/>
                      <w:highlight w:val="none"/>
                    </w:rPr>
                  </w:pPr>
                  <w:r>
                    <w:rPr>
                      <w:rFonts w:hint="eastAsia" w:ascii="Times New Roman" w:hAnsi="Times New Roman" w:eastAsia="宋体" w:cs="Times New Roman"/>
                      <w:sz w:val="18"/>
                      <w:szCs w:val="18"/>
                      <w:highlight w:val="none"/>
                    </w:rPr>
                    <w:t>固态</w:t>
                  </w:r>
                </w:p>
              </w:tc>
              <w:tc>
                <w:tcPr>
                  <w:tcW w:w="892" w:type="pct"/>
                  <w:vMerge w:val="continue"/>
                  <w:tcBorders>
                    <w:left w:val="single" w:color="auto" w:sz="4" w:space="0"/>
                    <w:right w:val="single" w:color="auto" w:sz="4" w:space="0"/>
                  </w:tcBorders>
                  <w:vAlign w:val="center"/>
                </w:tcPr>
                <w:p w14:paraId="0BD1EA5C">
                  <w:pPr>
                    <w:keepNext w:val="0"/>
                    <w:keepLines w:val="0"/>
                    <w:pageBreakBefore w:val="0"/>
                    <w:suppressLineNumbers w:val="0"/>
                    <w:kinsoku/>
                    <w:wordWrap/>
                    <w:overflowPunct/>
                    <w:topLinePunct w:val="0"/>
                    <w:bidi w:val="0"/>
                    <w:adjustRightInd w:val="0"/>
                    <w:snapToGrid w:val="0"/>
                    <w:spacing w:before="0" w:beforeAutospacing="0" w:after="0" w:afterAutospacing="0" w:line="276" w:lineRule="auto"/>
                    <w:ind w:left="0" w:right="0"/>
                    <w:jc w:val="center"/>
                    <w:rPr>
                      <w:rFonts w:hint="default" w:ascii="Times New Roman" w:hAnsi="Times New Roman" w:eastAsia="宋体" w:cs="Times New Roman"/>
                      <w:sz w:val="18"/>
                      <w:szCs w:val="18"/>
                      <w:highlight w:val="none"/>
                    </w:rPr>
                  </w:pPr>
                </w:p>
              </w:tc>
            </w:tr>
            <w:tr w14:paraId="530408F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7" w:type="dxa"/>
                  <w:bottom w:w="0" w:type="dxa"/>
                  <w:right w:w="17" w:type="dxa"/>
                </w:tblCellMar>
              </w:tblPrEx>
              <w:trPr>
                <w:trHeight w:val="0" w:hRule="atLeast"/>
                <w:jc w:val="center"/>
              </w:trPr>
              <w:tc>
                <w:tcPr>
                  <w:tcW w:w="283" w:type="pct"/>
                  <w:tcBorders>
                    <w:top w:val="single" w:color="auto" w:sz="4" w:space="0"/>
                    <w:left w:val="single" w:color="auto" w:sz="4" w:space="0"/>
                    <w:bottom w:val="single" w:color="auto" w:sz="4" w:space="0"/>
                    <w:right w:val="single" w:color="auto" w:sz="4" w:space="0"/>
                  </w:tcBorders>
                  <w:shd w:val="clear" w:color="auto" w:fill="auto"/>
                  <w:vAlign w:val="center"/>
                </w:tcPr>
                <w:p w14:paraId="1DF9D3BD">
                  <w:pPr>
                    <w:keepNext w:val="0"/>
                    <w:keepLines w:val="0"/>
                    <w:pageBreakBefore w:val="0"/>
                    <w:suppressLineNumbers w:val="0"/>
                    <w:kinsoku/>
                    <w:wordWrap/>
                    <w:overflowPunct/>
                    <w:topLinePunct w:val="0"/>
                    <w:bidi w:val="0"/>
                    <w:adjustRightInd w:val="0"/>
                    <w:snapToGrid w:val="0"/>
                    <w:spacing w:before="0" w:beforeAutospacing="0" w:after="0" w:afterAutospacing="0" w:line="276" w:lineRule="auto"/>
                    <w:ind w:left="0" w:right="0"/>
                    <w:jc w:val="center"/>
                    <w:rPr>
                      <w:rFonts w:hint="default" w:cs="Times New Roman"/>
                      <w:kern w:val="2"/>
                      <w:sz w:val="18"/>
                      <w:szCs w:val="18"/>
                      <w:highlight w:val="none"/>
                      <w:lang w:val="en-US" w:eastAsia="zh-CN" w:bidi="ar-SA"/>
                    </w:rPr>
                  </w:pPr>
                  <w:r>
                    <w:rPr>
                      <w:rFonts w:hint="eastAsia" w:cs="Times New Roman"/>
                      <w:kern w:val="2"/>
                      <w:sz w:val="18"/>
                      <w:szCs w:val="18"/>
                      <w:highlight w:val="none"/>
                      <w:lang w:val="en-US" w:eastAsia="zh-CN" w:bidi="ar-SA"/>
                    </w:rPr>
                    <w:t>23</w:t>
                  </w:r>
                </w:p>
              </w:tc>
              <w:tc>
                <w:tcPr>
                  <w:tcW w:w="894" w:type="pct"/>
                  <w:tcBorders>
                    <w:top w:val="single" w:color="auto" w:sz="4" w:space="0"/>
                    <w:left w:val="single" w:color="auto" w:sz="4" w:space="0"/>
                    <w:bottom w:val="single" w:color="auto" w:sz="4" w:space="0"/>
                    <w:right w:val="single" w:color="auto" w:sz="4" w:space="0"/>
                  </w:tcBorders>
                  <w:shd w:val="clear" w:color="auto" w:fill="auto"/>
                  <w:vAlign w:val="center"/>
                </w:tcPr>
                <w:p w14:paraId="7A451BBC">
                  <w:pPr>
                    <w:pStyle w:val="120"/>
                    <w:keepNext w:val="0"/>
                    <w:keepLines w:val="0"/>
                    <w:pageBreakBefore w:val="0"/>
                    <w:framePr w:hSpace="0" w:wrap="auto" w:vAnchor="margin" w:hAnchor="text" w:xAlign="left" w:yAlign="inline"/>
                    <w:suppressLineNumbers w:val="0"/>
                    <w:kinsoku/>
                    <w:wordWrap/>
                    <w:overflowPunct/>
                    <w:topLinePunct w:val="0"/>
                    <w:bidi w:val="0"/>
                    <w:adjustRightInd w:val="0"/>
                    <w:snapToGrid w:val="0"/>
                    <w:spacing w:before="0" w:beforeAutospacing="0" w:after="0" w:afterAutospacing="0" w:line="276" w:lineRule="auto"/>
                    <w:ind w:left="0" w:right="0"/>
                    <w:jc w:val="center"/>
                    <w:rPr>
                      <w:rFonts w:hint="eastAsia" w:ascii="Times New Roman" w:hAnsi="Times New Roman" w:eastAsia="宋体" w:cs="Times New Roman"/>
                      <w:color w:val="auto"/>
                      <w:sz w:val="18"/>
                      <w:szCs w:val="18"/>
                      <w:highlight w:val="none"/>
                      <w:lang w:val="en-US" w:eastAsia="en-US"/>
                    </w:rPr>
                  </w:pPr>
                  <w:r>
                    <w:rPr>
                      <w:rFonts w:hint="eastAsia" w:ascii="Times New Roman" w:hAnsi="Times New Roman" w:eastAsia="宋体" w:cs="Times New Roman"/>
                      <w:color w:val="auto"/>
                      <w:sz w:val="18"/>
                      <w:szCs w:val="18"/>
                      <w:highlight w:val="none"/>
                    </w:rPr>
                    <w:t>乙酸钠</w:t>
                  </w:r>
                </w:p>
              </w:tc>
              <w:tc>
                <w:tcPr>
                  <w:tcW w:w="523" w:type="pct"/>
                  <w:tcBorders>
                    <w:top w:val="single" w:color="auto" w:sz="4" w:space="0"/>
                    <w:left w:val="single" w:color="auto" w:sz="4" w:space="0"/>
                    <w:bottom w:val="single" w:color="auto" w:sz="4" w:space="0"/>
                    <w:right w:val="single" w:color="auto" w:sz="4" w:space="0"/>
                  </w:tcBorders>
                  <w:shd w:val="clear" w:color="auto" w:fill="auto"/>
                  <w:vAlign w:val="center"/>
                </w:tcPr>
                <w:p w14:paraId="6959642E">
                  <w:pPr>
                    <w:pStyle w:val="120"/>
                    <w:keepNext w:val="0"/>
                    <w:keepLines w:val="0"/>
                    <w:pageBreakBefore w:val="0"/>
                    <w:framePr w:hSpace="0" w:wrap="auto" w:vAnchor="margin" w:hAnchor="text" w:xAlign="left" w:yAlign="inline"/>
                    <w:suppressLineNumbers w:val="0"/>
                    <w:kinsoku/>
                    <w:wordWrap/>
                    <w:overflowPunct/>
                    <w:topLinePunct w:val="0"/>
                    <w:bidi w:val="0"/>
                    <w:adjustRightInd w:val="0"/>
                    <w:snapToGrid w:val="0"/>
                    <w:spacing w:before="0" w:beforeAutospacing="0" w:after="0" w:afterAutospacing="0" w:line="276" w:lineRule="auto"/>
                    <w:ind w:left="0" w:right="0"/>
                    <w:jc w:val="center"/>
                    <w:rPr>
                      <w:rFonts w:hint="eastAsia" w:ascii="Times New Roman" w:hAnsi="Times New Roman" w:eastAsia="宋体" w:cs="Times New Roman"/>
                      <w:color w:val="auto"/>
                      <w:sz w:val="18"/>
                      <w:szCs w:val="18"/>
                      <w:highlight w:val="none"/>
                      <w:lang w:val="en-US" w:eastAsia="en-US"/>
                    </w:rPr>
                  </w:pPr>
                  <w:r>
                    <w:rPr>
                      <w:rFonts w:hint="eastAsia" w:ascii="Times New Roman" w:hAnsi="Times New Roman" w:eastAsia="宋体" w:cs="Times New Roman"/>
                      <w:color w:val="auto"/>
                      <w:sz w:val="18"/>
                      <w:szCs w:val="18"/>
                      <w:highlight w:val="none"/>
                    </w:rPr>
                    <w:t>58g</w:t>
                  </w:r>
                </w:p>
              </w:tc>
              <w:tc>
                <w:tcPr>
                  <w:tcW w:w="1451" w:type="pct"/>
                  <w:tcBorders>
                    <w:top w:val="single" w:color="auto" w:sz="4" w:space="0"/>
                    <w:left w:val="single" w:color="auto" w:sz="4" w:space="0"/>
                    <w:bottom w:val="single" w:color="auto" w:sz="4" w:space="0"/>
                    <w:right w:val="single" w:color="auto" w:sz="4" w:space="0"/>
                  </w:tcBorders>
                  <w:shd w:val="clear" w:color="auto" w:fill="auto"/>
                  <w:vAlign w:val="center"/>
                </w:tcPr>
                <w:p w14:paraId="6DD634DE">
                  <w:pPr>
                    <w:pStyle w:val="120"/>
                    <w:keepNext w:val="0"/>
                    <w:keepLines w:val="0"/>
                    <w:pageBreakBefore w:val="0"/>
                    <w:framePr w:hSpace="0" w:wrap="auto" w:vAnchor="margin" w:hAnchor="text" w:xAlign="left" w:yAlign="inline"/>
                    <w:suppressLineNumbers w:val="0"/>
                    <w:kinsoku/>
                    <w:wordWrap/>
                    <w:overflowPunct/>
                    <w:topLinePunct w:val="0"/>
                    <w:bidi w:val="0"/>
                    <w:adjustRightInd w:val="0"/>
                    <w:snapToGrid w:val="0"/>
                    <w:spacing w:before="0" w:beforeAutospacing="0" w:after="0" w:afterAutospacing="0" w:line="276" w:lineRule="auto"/>
                    <w:ind w:left="0" w:right="0"/>
                    <w:jc w:val="center"/>
                    <w:rPr>
                      <w:rFonts w:hint="eastAsia" w:ascii="Times New Roman" w:hAnsi="Times New Roman" w:eastAsia="宋体" w:cs="Times New Roman"/>
                      <w:color w:val="auto"/>
                      <w:sz w:val="18"/>
                      <w:szCs w:val="18"/>
                      <w:highlight w:val="none"/>
                      <w:lang w:val="en-US" w:eastAsia="en-US"/>
                    </w:rPr>
                  </w:pPr>
                  <w:r>
                    <w:rPr>
                      <w:rFonts w:hint="eastAsia" w:ascii="Times New Roman" w:hAnsi="Times New Roman" w:eastAsia="宋体" w:cs="Times New Roman"/>
                      <w:color w:val="auto"/>
                      <w:sz w:val="18"/>
                      <w:szCs w:val="18"/>
                      <w:highlight w:val="none"/>
                    </w:rPr>
                    <w:t>250g/瓶</w:t>
                  </w:r>
                </w:p>
              </w:tc>
              <w:tc>
                <w:tcPr>
                  <w:tcW w:w="586" w:type="pct"/>
                  <w:tcBorders>
                    <w:top w:val="single" w:color="auto" w:sz="4" w:space="0"/>
                    <w:left w:val="single" w:color="auto" w:sz="4" w:space="0"/>
                    <w:bottom w:val="single" w:color="auto" w:sz="4" w:space="0"/>
                    <w:right w:val="single" w:color="auto" w:sz="4" w:space="0"/>
                  </w:tcBorders>
                  <w:shd w:val="clear" w:color="auto" w:fill="auto"/>
                  <w:vAlign w:val="center"/>
                </w:tcPr>
                <w:p w14:paraId="29CC2117">
                  <w:pPr>
                    <w:pStyle w:val="120"/>
                    <w:keepNext w:val="0"/>
                    <w:keepLines w:val="0"/>
                    <w:pageBreakBefore w:val="0"/>
                    <w:framePr w:hSpace="0" w:wrap="auto" w:vAnchor="margin" w:hAnchor="text" w:xAlign="left" w:yAlign="inline"/>
                    <w:suppressLineNumbers w:val="0"/>
                    <w:kinsoku/>
                    <w:wordWrap/>
                    <w:overflowPunct/>
                    <w:topLinePunct w:val="0"/>
                    <w:bidi w:val="0"/>
                    <w:adjustRightInd w:val="0"/>
                    <w:snapToGrid w:val="0"/>
                    <w:spacing w:before="0" w:beforeAutospacing="0" w:after="0" w:afterAutospacing="0" w:line="276" w:lineRule="auto"/>
                    <w:ind w:left="0" w:right="0"/>
                    <w:jc w:val="center"/>
                    <w:rPr>
                      <w:rFonts w:hint="eastAsia" w:ascii="Times New Roman" w:hAnsi="Times New Roman" w:eastAsia="宋体" w:cs="Times New Roman"/>
                      <w:color w:val="auto"/>
                      <w:sz w:val="18"/>
                      <w:szCs w:val="18"/>
                      <w:highlight w:val="none"/>
                      <w:lang w:val="en-US" w:eastAsia="zh-CN"/>
                    </w:rPr>
                  </w:pPr>
                  <w:r>
                    <w:rPr>
                      <w:rFonts w:hint="eastAsia" w:ascii="Times New Roman" w:hAnsi="Times New Roman" w:eastAsia="宋体" w:cs="Times New Roman"/>
                      <w:color w:val="auto"/>
                      <w:sz w:val="18"/>
                      <w:szCs w:val="18"/>
                      <w:highlight w:val="none"/>
                      <w:lang w:val="en-US" w:eastAsia="zh-CN"/>
                    </w:rPr>
                    <w:t>1</w:t>
                  </w:r>
                  <w:r>
                    <w:rPr>
                      <w:rFonts w:hint="eastAsia" w:ascii="Times New Roman" w:hAnsi="Times New Roman" w:eastAsia="宋体" w:cs="Times New Roman"/>
                      <w:color w:val="auto"/>
                      <w:sz w:val="18"/>
                      <w:szCs w:val="18"/>
                      <w:highlight w:val="none"/>
                    </w:rPr>
                    <w:t>250g</w:t>
                  </w:r>
                </w:p>
              </w:tc>
              <w:tc>
                <w:tcPr>
                  <w:tcW w:w="368" w:type="pct"/>
                  <w:tcBorders>
                    <w:top w:val="single" w:color="auto" w:sz="4" w:space="0"/>
                    <w:left w:val="single" w:color="auto" w:sz="4" w:space="0"/>
                    <w:bottom w:val="single" w:color="auto" w:sz="4" w:space="0"/>
                    <w:right w:val="single" w:color="auto" w:sz="4" w:space="0"/>
                  </w:tcBorders>
                  <w:vAlign w:val="center"/>
                </w:tcPr>
                <w:p w14:paraId="43FAC161">
                  <w:pPr>
                    <w:pStyle w:val="120"/>
                    <w:keepNext w:val="0"/>
                    <w:keepLines w:val="0"/>
                    <w:pageBreakBefore w:val="0"/>
                    <w:framePr w:hSpace="0" w:wrap="auto" w:vAnchor="margin" w:hAnchor="text" w:xAlign="left" w:yAlign="inline"/>
                    <w:suppressLineNumbers w:val="0"/>
                    <w:kinsoku/>
                    <w:wordWrap/>
                    <w:overflowPunct/>
                    <w:topLinePunct w:val="0"/>
                    <w:bidi w:val="0"/>
                    <w:adjustRightInd w:val="0"/>
                    <w:snapToGrid w:val="0"/>
                    <w:spacing w:before="0" w:beforeAutospacing="0" w:after="0" w:afterAutospacing="0" w:line="276" w:lineRule="auto"/>
                    <w:ind w:left="0" w:right="0"/>
                    <w:jc w:val="center"/>
                    <w:rPr>
                      <w:rFonts w:hint="eastAsia" w:ascii="Times New Roman" w:hAnsi="Times New Roman" w:eastAsia="宋体" w:cs="Times New Roman"/>
                      <w:color w:val="auto"/>
                      <w:sz w:val="18"/>
                      <w:szCs w:val="18"/>
                      <w:highlight w:val="none"/>
                    </w:rPr>
                  </w:pPr>
                  <w:r>
                    <w:rPr>
                      <w:rFonts w:hint="eastAsia" w:ascii="Times New Roman" w:hAnsi="Times New Roman" w:eastAsia="宋体" w:cs="Times New Roman"/>
                      <w:sz w:val="18"/>
                      <w:szCs w:val="18"/>
                      <w:highlight w:val="none"/>
                    </w:rPr>
                    <w:t>固态</w:t>
                  </w:r>
                </w:p>
              </w:tc>
              <w:tc>
                <w:tcPr>
                  <w:tcW w:w="892" w:type="pct"/>
                  <w:vMerge w:val="continue"/>
                  <w:tcBorders>
                    <w:left w:val="single" w:color="auto" w:sz="4" w:space="0"/>
                    <w:right w:val="single" w:color="auto" w:sz="4" w:space="0"/>
                  </w:tcBorders>
                  <w:vAlign w:val="center"/>
                </w:tcPr>
                <w:p w14:paraId="26DCBA86">
                  <w:pPr>
                    <w:keepNext w:val="0"/>
                    <w:keepLines w:val="0"/>
                    <w:pageBreakBefore w:val="0"/>
                    <w:suppressLineNumbers w:val="0"/>
                    <w:kinsoku/>
                    <w:wordWrap/>
                    <w:overflowPunct/>
                    <w:topLinePunct w:val="0"/>
                    <w:bidi w:val="0"/>
                    <w:adjustRightInd w:val="0"/>
                    <w:snapToGrid w:val="0"/>
                    <w:spacing w:before="0" w:beforeAutospacing="0" w:after="0" w:afterAutospacing="0" w:line="276" w:lineRule="auto"/>
                    <w:ind w:left="0" w:right="0"/>
                    <w:jc w:val="center"/>
                    <w:rPr>
                      <w:rFonts w:hint="default" w:ascii="Times New Roman" w:hAnsi="Times New Roman" w:eastAsia="宋体" w:cs="Times New Roman"/>
                      <w:sz w:val="18"/>
                      <w:szCs w:val="18"/>
                      <w:highlight w:val="none"/>
                    </w:rPr>
                  </w:pPr>
                </w:p>
              </w:tc>
            </w:tr>
            <w:tr w14:paraId="780414B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7" w:type="dxa"/>
                  <w:bottom w:w="0" w:type="dxa"/>
                  <w:right w:w="17" w:type="dxa"/>
                </w:tblCellMar>
              </w:tblPrEx>
              <w:trPr>
                <w:trHeight w:val="0" w:hRule="atLeast"/>
                <w:jc w:val="center"/>
              </w:trPr>
              <w:tc>
                <w:tcPr>
                  <w:tcW w:w="283" w:type="pct"/>
                  <w:tcBorders>
                    <w:top w:val="single" w:color="auto" w:sz="4" w:space="0"/>
                    <w:left w:val="single" w:color="auto" w:sz="4" w:space="0"/>
                    <w:bottom w:val="single" w:color="auto" w:sz="4" w:space="0"/>
                    <w:right w:val="single" w:color="auto" w:sz="4" w:space="0"/>
                  </w:tcBorders>
                  <w:shd w:val="clear" w:color="auto" w:fill="auto"/>
                  <w:vAlign w:val="center"/>
                </w:tcPr>
                <w:p w14:paraId="4E5BA95D">
                  <w:pPr>
                    <w:keepNext w:val="0"/>
                    <w:keepLines w:val="0"/>
                    <w:pageBreakBefore w:val="0"/>
                    <w:suppressLineNumbers w:val="0"/>
                    <w:kinsoku/>
                    <w:wordWrap/>
                    <w:overflowPunct/>
                    <w:topLinePunct w:val="0"/>
                    <w:bidi w:val="0"/>
                    <w:adjustRightInd w:val="0"/>
                    <w:snapToGrid w:val="0"/>
                    <w:spacing w:before="0" w:beforeAutospacing="0" w:after="0" w:afterAutospacing="0" w:line="276" w:lineRule="auto"/>
                    <w:ind w:left="0" w:right="0"/>
                    <w:jc w:val="center"/>
                    <w:rPr>
                      <w:rFonts w:hint="default" w:cs="Times New Roman"/>
                      <w:kern w:val="2"/>
                      <w:sz w:val="18"/>
                      <w:szCs w:val="18"/>
                      <w:highlight w:val="none"/>
                      <w:lang w:val="en-US" w:eastAsia="zh-CN" w:bidi="ar-SA"/>
                    </w:rPr>
                  </w:pPr>
                  <w:r>
                    <w:rPr>
                      <w:rFonts w:hint="eastAsia" w:cs="Times New Roman"/>
                      <w:kern w:val="2"/>
                      <w:sz w:val="18"/>
                      <w:szCs w:val="18"/>
                      <w:highlight w:val="none"/>
                      <w:lang w:val="en-US" w:eastAsia="zh-CN" w:bidi="ar-SA"/>
                    </w:rPr>
                    <w:t>24</w:t>
                  </w:r>
                </w:p>
              </w:tc>
              <w:tc>
                <w:tcPr>
                  <w:tcW w:w="894" w:type="pct"/>
                  <w:tcBorders>
                    <w:top w:val="single" w:color="auto" w:sz="4" w:space="0"/>
                    <w:left w:val="single" w:color="auto" w:sz="4" w:space="0"/>
                    <w:bottom w:val="single" w:color="auto" w:sz="4" w:space="0"/>
                    <w:right w:val="single" w:color="auto" w:sz="4" w:space="0"/>
                  </w:tcBorders>
                  <w:shd w:val="clear" w:color="auto" w:fill="auto"/>
                  <w:vAlign w:val="center"/>
                </w:tcPr>
                <w:p w14:paraId="6C73BFD8">
                  <w:pPr>
                    <w:pStyle w:val="120"/>
                    <w:keepNext w:val="0"/>
                    <w:keepLines w:val="0"/>
                    <w:pageBreakBefore w:val="0"/>
                    <w:framePr w:hSpace="0" w:wrap="auto" w:vAnchor="margin" w:hAnchor="text" w:xAlign="left" w:yAlign="inline"/>
                    <w:suppressLineNumbers w:val="0"/>
                    <w:kinsoku/>
                    <w:wordWrap/>
                    <w:overflowPunct/>
                    <w:topLinePunct w:val="0"/>
                    <w:bidi w:val="0"/>
                    <w:adjustRightInd w:val="0"/>
                    <w:snapToGrid w:val="0"/>
                    <w:spacing w:before="0" w:beforeAutospacing="0" w:after="0" w:afterAutospacing="0" w:line="276" w:lineRule="auto"/>
                    <w:ind w:left="0" w:right="0"/>
                    <w:jc w:val="center"/>
                    <w:rPr>
                      <w:rFonts w:hint="eastAsia" w:ascii="Times New Roman" w:hAnsi="Times New Roman" w:eastAsia="宋体" w:cs="Times New Roman"/>
                      <w:color w:val="auto"/>
                      <w:sz w:val="18"/>
                      <w:szCs w:val="18"/>
                      <w:highlight w:val="none"/>
                      <w:lang w:val="en-US" w:eastAsia="zh-CN"/>
                    </w:rPr>
                  </w:pPr>
                  <w:r>
                    <w:rPr>
                      <w:rFonts w:hint="eastAsia" w:ascii="Times New Roman" w:hAnsi="Times New Roman" w:eastAsia="宋体" w:cs="Times New Roman"/>
                      <w:color w:val="auto"/>
                      <w:sz w:val="18"/>
                      <w:szCs w:val="18"/>
                      <w:highlight w:val="none"/>
                    </w:rPr>
                    <w:t>乙酸</w:t>
                  </w:r>
                </w:p>
              </w:tc>
              <w:tc>
                <w:tcPr>
                  <w:tcW w:w="523" w:type="pct"/>
                  <w:tcBorders>
                    <w:top w:val="single" w:color="auto" w:sz="4" w:space="0"/>
                    <w:left w:val="single" w:color="auto" w:sz="4" w:space="0"/>
                    <w:bottom w:val="single" w:color="auto" w:sz="4" w:space="0"/>
                    <w:right w:val="single" w:color="auto" w:sz="4" w:space="0"/>
                  </w:tcBorders>
                  <w:shd w:val="clear" w:color="auto" w:fill="auto"/>
                  <w:vAlign w:val="center"/>
                </w:tcPr>
                <w:p w14:paraId="3C83F0A4">
                  <w:pPr>
                    <w:pStyle w:val="120"/>
                    <w:keepNext w:val="0"/>
                    <w:keepLines w:val="0"/>
                    <w:pageBreakBefore w:val="0"/>
                    <w:framePr w:hSpace="0" w:wrap="auto" w:vAnchor="margin" w:hAnchor="text" w:xAlign="left" w:yAlign="inline"/>
                    <w:suppressLineNumbers w:val="0"/>
                    <w:kinsoku/>
                    <w:wordWrap/>
                    <w:overflowPunct/>
                    <w:topLinePunct w:val="0"/>
                    <w:bidi w:val="0"/>
                    <w:adjustRightInd w:val="0"/>
                    <w:snapToGrid w:val="0"/>
                    <w:spacing w:before="0" w:beforeAutospacing="0" w:after="0" w:afterAutospacing="0" w:line="276" w:lineRule="auto"/>
                    <w:ind w:left="0" w:right="0"/>
                    <w:jc w:val="center"/>
                    <w:rPr>
                      <w:rFonts w:hint="default" w:ascii="Times New Roman" w:hAnsi="Times New Roman" w:eastAsia="宋体" w:cs="Times New Roman"/>
                      <w:color w:val="auto"/>
                      <w:sz w:val="18"/>
                      <w:szCs w:val="18"/>
                      <w:highlight w:val="none"/>
                      <w:lang w:val="en-US" w:eastAsia="zh-CN"/>
                    </w:rPr>
                  </w:pPr>
                  <w:r>
                    <w:rPr>
                      <w:rFonts w:hint="eastAsia" w:ascii="Times New Roman" w:hAnsi="Times New Roman" w:eastAsia="宋体" w:cs="Times New Roman"/>
                      <w:color w:val="auto"/>
                      <w:sz w:val="18"/>
                      <w:szCs w:val="18"/>
                      <w:highlight w:val="none"/>
                    </w:rPr>
                    <w:t>2L</w:t>
                  </w:r>
                </w:p>
              </w:tc>
              <w:tc>
                <w:tcPr>
                  <w:tcW w:w="1451" w:type="pct"/>
                  <w:tcBorders>
                    <w:top w:val="single" w:color="auto" w:sz="4" w:space="0"/>
                    <w:left w:val="single" w:color="auto" w:sz="4" w:space="0"/>
                    <w:bottom w:val="single" w:color="auto" w:sz="4" w:space="0"/>
                    <w:right w:val="single" w:color="auto" w:sz="4" w:space="0"/>
                  </w:tcBorders>
                  <w:shd w:val="clear" w:color="auto" w:fill="auto"/>
                  <w:vAlign w:val="center"/>
                </w:tcPr>
                <w:p w14:paraId="129BED60">
                  <w:pPr>
                    <w:pStyle w:val="120"/>
                    <w:keepNext w:val="0"/>
                    <w:keepLines w:val="0"/>
                    <w:pageBreakBefore w:val="0"/>
                    <w:framePr w:hSpace="0" w:wrap="auto" w:vAnchor="margin" w:hAnchor="text" w:xAlign="left" w:yAlign="inline"/>
                    <w:suppressLineNumbers w:val="0"/>
                    <w:kinsoku/>
                    <w:wordWrap/>
                    <w:overflowPunct/>
                    <w:topLinePunct w:val="0"/>
                    <w:bidi w:val="0"/>
                    <w:adjustRightInd w:val="0"/>
                    <w:snapToGrid w:val="0"/>
                    <w:spacing w:before="0" w:beforeAutospacing="0" w:after="0" w:afterAutospacing="0" w:line="276" w:lineRule="auto"/>
                    <w:ind w:left="0" w:right="0"/>
                    <w:jc w:val="center"/>
                    <w:rPr>
                      <w:rFonts w:hint="eastAsia" w:ascii="Times New Roman" w:hAnsi="Times New Roman" w:eastAsia="宋体" w:cs="Times New Roman"/>
                      <w:color w:val="auto"/>
                      <w:sz w:val="18"/>
                      <w:szCs w:val="18"/>
                      <w:highlight w:val="none"/>
                      <w:lang w:val="en-US" w:eastAsia="zh-CN"/>
                    </w:rPr>
                  </w:pPr>
                  <w:r>
                    <w:rPr>
                      <w:rFonts w:hint="eastAsia" w:ascii="Times New Roman" w:hAnsi="Times New Roman" w:eastAsia="宋体" w:cs="Times New Roman"/>
                      <w:color w:val="auto"/>
                      <w:sz w:val="18"/>
                      <w:szCs w:val="18"/>
                      <w:highlight w:val="none"/>
                    </w:rPr>
                    <w:t>500mL/瓶</w:t>
                  </w:r>
                </w:p>
              </w:tc>
              <w:tc>
                <w:tcPr>
                  <w:tcW w:w="586" w:type="pct"/>
                  <w:tcBorders>
                    <w:top w:val="single" w:color="auto" w:sz="4" w:space="0"/>
                    <w:left w:val="single" w:color="auto" w:sz="4" w:space="0"/>
                    <w:bottom w:val="single" w:color="auto" w:sz="4" w:space="0"/>
                    <w:right w:val="single" w:color="auto" w:sz="4" w:space="0"/>
                  </w:tcBorders>
                  <w:shd w:val="clear" w:color="auto" w:fill="auto"/>
                  <w:vAlign w:val="center"/>
                </w:tcPr>
                <w:p w14:paraId="17DAB4C8">
                  <w:pPr>
                    <w:pStyle w:val="120"/>
                    <w:keepNext w:val="0"/>
                    <w:keepLines w:val="0"/>
                    <w:pageBreakBefore w:val="0"/>
                    <w:framePr w:hSpace="0" w:wrap="auto" w:vAnchor="margin" w:hAnchor="text" w:xAlign="left" w:yAlign="inline"/>
                    <w:suppressLineNumbers w:val="0"/>
                    <w:kinsoku/>
                    <w:wordWrap/>
                    <w:overflowPunct/>
                    <w:topLinePunct w:val="0"/>
                    <w:bidi w:val="0"/>
                    <w:adjustRightInd w:val="0"/>
                    <w:snapToGrid w:val="0"/>
                    <w:spacing w:before="0" w:beforeAutospacing="0" w:after="0" w:afterAutospacing="0" w:line="276" w:lineRule="auto"/>
                    <w:ind w:left="0" w:right="0"/>
                    <w:jc w:val="center"/>
                    <w:rPr>
                      <w:rFonts w:hint="default" w:ascii="Times New Roman" w:hAnsi="Times New Roman" w:eastAsia="宋体" w:cs="Times New Roman"/>
                      <w:color w:val="auto"/>
                      <w:sz w:val="18"/>
                      <w:szCs w:val="18"/>
                      <w:highlight w:val="none"/>
                      <w:lang w:val="en-US" w:eastAsia="zh-CN"/>
                    </w:rPr>
                  </w:pPr>
                  <w:r>
                    <w:rPr>
                      <w:rFonts w:hint="eastAsia" w:ascii="Times New Roman" w:hAnsi="Times New Roman" w:eastAsia="宋体" w:cs="Times New Roman"/>
                      <w:color w:val="auto"/>
                      <w:sz w:val="18"/>
                      <w:szCs w:val="18"/>
                      <w:highlight w:val="none"/>
                    </w:rPr>
                    <w:t>5L</w:t>
                  </w:r>
                </w:p>
              </w:tc>
              <w:tc>
                <w:tcPr>
                  <w:tcW w:w="368" w:type="pct"/>
                  <w:tcBorders>
                    <w:top w:val="single" w:color="auto" w:sz="4" w:space="0"/>
                    <w:left w:val="single" w:color="auto" w:sz="4" w:space="0"/>
                    <w:bottom w:val="single" w:color="auto" w:sz="4" w:space="0"/>
                    <w:right w:val="single" w:color="auto" w:sz="4" w:space="0"/>
                  </w:tcBorders>
                  <w:vAlign w:val="center"/>
                </w:tcPr>
                <w:p w14:paraId="476EC243">
                  <w:pPr>
                    <w:pStyle w:val="120"/>
                    <w:keepNext w:val="0"/>
                    <w:keepLines w:val="0"/>
                    <w:pageBreakBefore w:val="0"/>
                    <w:framePr w:hSpace="0" w:wrap="auto" w:vAnchor="margin" w:hAnchor="text" w:xAlign="left" w:yAlign="inline"/>
                    <w:suppressLineNumbers w:val="0"/>
                    <w:kinsoku/>
                    <w:wordWrap/>
                    <w:overflowPunct/>
                    <w:topLinePunct w:val="0"/>
                    <w:bidi w:val="0"/>
                    <w:adjustRightInd w:val="0"/>
                    <w:snapToGrid w:val="0"/>
                    <w:spacing w:before="0" w:beforeAutospacing="0" w:after="0" w:afterAutospacing="0" w:line="276" w:lineRule="auto"/>
                    <w:ind w:left="0" w:right="0"/>
                    <w:jc w:val="center"/>
                    <w:rPr>
                      <w:rFonts w:hint="eastAsia" w:ascii="Times New Roman" w:hAnsi="Times New Roman" w:eastAsia="宋体" w:cs="Times New Roman"/>
                      <w:color w:val="auto"/>
                      <w:sz w:val="18"/>
                      <w:szCs w:val="18"/>
                      <w:highlight w:val="none"/>
                      <w:lang w:val="en-US" w:eastAsia="zh-CN"/>
                    </w:rPr>
                  </w:pPr>
                  <w:r>
                    <w:rPr>
                      <w:rFonts w:hint="eastAsia" w:ascii="Times New Roman" w:hAnsi="Times New Roman" w:eastAsia="宋体" w:cs="Times New Roman"/>
                      <w:color w:val="auto"/>
                      <w:sz w:val="18"/>
                      <w:szCs w:val="18"/>
                      <w:highlight w:val="none"/>
                      <w:lang w:eastAsia="zh-CN"/>
                    </w:rPr>
                    <w:t>液态</w:t>
                  </w:r>
                </w:p>
              </w:tc>
              <w:tc>
                <w:tcPr>
                  <w:tcW w:w="892" w:type="pct"/>
                  <w:vMerge w:val="continue"/>
                  <w:tcBorders>
                    <w:left w:val="single" w:color="auto" w:sz="4" w:space="0"/>
                    <w:right w:val="single" w:color="auto" w:sz="4" w:space="0"/>
                  </w:tcBorders>
                  <w:vAlign w:val="center"/>
                </w:tcPr>
                <w:p w14:paraId="370DD57F">
                  <w:pPr>
                    <w:keepNext w:val="0"/>
                    <w:keepLines w:val="0"/>
                    <w:pageBreakBefore w:val="0"/>
                    <w:suppressLineNumbers w:val="0"/>
                    <w:kinsoku/>
                    <w:wordWrap/>
                    <w:overflowPunct/>
                    <w:topLinePunct w:val="0"/>
                    <w:bidi w:val="0"/>
                    <w:adjustRightInd w:val="0"/>
                    <w:snapToGrid w:val="0"/>
                    <w:spacing w:before="0" w:beforeAutospacing="0" w:after="0" w:afterAutospacing="0" w:line="276" w:lineRule="auto"/>
                    <w:ind w:left="0" w:right="0"/>
                    <w:jc w:val="center"/>
                    <w:rPr>
                      <w:rFonts w:hint="default" w:ascii="Times New Roman" w:hAnsi="Times New Roman" w:eastAsia="宋体" w:cs="Times New Roman"/>
                      <w:sz w:val="18"/>
                      <w:szCs w:val="18"/>
                      <w:highlight w:val="none"/>
                      <w:lang w:val="en-US" w:eastAsia="zh-CN"/>
                    </w:rPr>
                  </w:pPr>
                </w:p>
              </w:tc>
            </w:tr>
            <w:tr w14:paraId="5012317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7" w:type="dxa"/>
                  <w:bottom w:w="0" w:type="dxa"/>
                  <w:right w:w="17" w:type="dxa"/>
                </w:tblCellMar>
              </w:tblPrEx>
              <w:trPr>
                <w:trHeight w:val="0" w:hRule="atLeast"/>
                <w:jc w:val="center"/>
              </w:trPr>
              <w:tc>
                <w:tcPr>
                  <w:tcW w:w="283" w:type="pct"/>
                  <w:tcBorders>
                    <w:top w:val="single" w:color="auto" w:sz="4" w:space="0"/>
                    <w:left w:val="single" w:color="auto" w:sz="4" w:space="0"/>
                    <w:bottom w:val="single" w:color="auto" w:sz="4" w:space="0"/>
                    <w:right w:val="single" w:color="auto" w:sz="4" w:space="0"/>
                  </w:tcBorders>
                  <w:shd w:val="clear" w:color="auto" w:fill="auto"/>
                  <w:vAlign w:val="center"/>
                </w:tcPr>
                <w:p w14:paraId="7B855BE2">
                  <w:pPr>
                    <w:keepNext w:val="0"/>
                    <w:keepLines w:val="0"/>
                    <w:pageBreakBefore w:val="0"/>
                    <w:suppressLineNumbers w:val="0"/>
                    <w:kinsoku/>
                    <w:wordWrap/>
                    <w:overflowPunct/>
                    <w:topLinePunct w:val="0"/>
                    <w:bidi w:val="0"/>
                    <w:adjustRightInd w:val="0"/>
                    <w:snapToGrid w:val="0"/>
                    <w:spacing w:before="0" w:beforeAutospacing="0" w:after="0" w:afterAutospacing="0" w:line="276" w:lineRule="auto"/>
                    <w:ind w:left="0" w:right="0"/>
                    <w:jc w:val="center"/>
                    <w:rPr>
                      <w:rFonts w:hint="eastAsia" w:cs="Times New Roman"/>
                      <w:kern w:val="2"/>
                      <w:sz w:val="18"/>
                      <w:szCs w:val="18"/>
                      <w:highlight w:val="none"/>
                      <w:lang w:val="en-US" w:eastAsia="zh-CN" w:bidi="ar-SA"/>
                    </w:rPr>
                  </w:pPr>
                  <w:r>
                    <w:rPr>
                      <w:rFonts w:hint="eastAsia" w:cs="Times New Roman"/>
                      <w:kern w:val="2"/>
                      <w:sz w:val="18"/>
                      <w:szCs w:val="18"/>
                      <w:highlight w:val="none"/>
                      <w:lang w:val="en-US" w:eastAsia="zh-CN" w:bidi="ar-SA"/>
                    </w:rPr>
                    <w:t>25</w:t>
                  </w:r>
                </w:p>
              </w:tc>
              <w:tc>
                <w:tcPr>
                  <w:tcW w:w="894" w:type="pct"/>
                  <w:tcBorders>
                    <w:top w:val="single" w:color="auto" w:sz="4" w:space="0"/>
                    <w:left w:val="single" w:color="auto" w:sz="4" w:space="0"/>
                    <w:bottom w:val="single" w:color="auto" w:sz="4" w:space="0"/>
                    <w:right w:val="single" w:color="auto" w:sz="4" w:space="0"/>
                  </w:tcBorders>
                  <w:vAlign w:val="center"/>
                </w:tcPr>
                <w:p w14:paraId="3E6F8D74">
                  <w:pPr>
                    <w:pStyle w:val="120"/>
                    <w:keepNext w:val="0"/>
                    <w:keepLines w:val="0"/>
                    <w:pageBreakBefore w:val="0"/>
                    <w:framePr w:hSpace="0" w:wrap="auto" w:vAnchor="margin" w:hAnchor="text" w:xAlign="left" w:yAlign="inline"/>
                    <w:suppressLineNumbers w:val="0"/>
                    <w:kinsoku/>
                    <w:wordWrap/>
                    <w:overflowPunct/>
                    <w:topLinePunct w:val="0"/>
                    <w:bidi w:val="0"/>
                    <w:adjustRightInd w:val="0"/>
                    <w:snapToGrid w:val="0"/>
                    <w:spacing w:before="0" w:beforeAutospacing="0" w:after="0" w:afterAutospacing="0" w:line="276" w:lineRule="auto"/>
                    <w:ind w:left="0" w:right="0"/>
                    <w:jc w:val="center"/>
                    <w:rPr>
                      <w:rFonts w:hint="default" w:ascii="Times New Roman" w:hAnsi="Times New Roman" w:eastAsia="宋体" w:cs="Times New Roman"/>
                      <w:color w:val="auto"/>
                      <w:sz w:val="18"/>
                      <w:szCs w:val="18"/>
                      <w:highlight w:val="none"/>
                      <w:lang w:val="en-US" w:eastAsia="zh-CN"/>
                    </w:rPr>
                  </w:pPr>
                  <w:r>
                    <w:rPr>
                      <w:rFonts w:hint="eastAsia" w:ascii="Times New Roman" w:hAnsi="Times New Roman" w:eastAsia="宋体" w:cs="Times New Roman"/>
                      <w:color w:val="auto"/>
                      <w:sz w:val="18"/>
                      <w:szCs w:val="18"/>
                      <w:highlight w:val="none"/>
                    </w:rPr>
                    <w:t>乙醚</w:t>
                  </w:r>
                </w:p>
              </w:tc>
              <w:tc>
                <w:tcPr>
                  <w:tcW w:w="523" w:type="pct"/>
                  <w:tcBorders>
                    <w:top w:val="single" w:color="auto" w:sz="4" w:space="0"/>
                    <w:left w:val="single" w:color="auto" w:sz="4" w:space="0"/>
                    <w:bottom w:val="single" w:color="auto" w:sz="4" w:space="0"/>
                    <w:right w:val="single" w:color="auto" w:sz="4" w:space="0"/>
                  </w:tcBorders>
                  <w:vAlign w:val="center"/>
                </w:tcPr>
                <w:p w14:paraId="55A596E6">
                  <w:pPr>
                    <w:pStyle w:val="120"/>
                    <w:keepNext w:val="0"/>
                    <w:keepLines w:val="0"/>
                    <w:pageBreakBefore w:val="0"/>
                    <w:framePr w:hSpace="0" w:wrap="auto" w:vAnchor="margin" w:hAnchor="text" w:xAlign="left" w:yAlign="inline"/>
                    <w:suppressLineNumbers w:val="0"/>
                    <w:kinsoku/>
                    <w:wordWrap/>
                    <w:overflowPunct/>
                    <w:topLinePunct w:val="0"/>
                    <w:bidi w:val="0"/>
                    <w:adjustRightInd w:val="0"/>
                    <w:snapToGrid w:val="0"/>
                    <w:spacing w:before="0" w:beforeAutospacing="0" w:after="0" w:afterAutospacing="0" w:line="276" w:lineRule="auto"/>
                    <w:ind w:left="0" w:right="0"/>
                    <w:jc w:val="center"/>
                    <w:rPr>
                      <w:rFonts w:hint="default" w:ascii="Times New Roman" w:hAnsi="Times New Roman" w:eastAsia="宋体" w:cs="Times New Roman"/>
                      <w:color w:val="auto"/>
                      <w:sz w:val="18"/>
                      <w:szCs w:val="18"/>
                      <w:highlight w:val="none"/>
                      <w:lang w:val="en-US" w:eastAsia="zh-CN"/>
                    </w:rPr>
                  </w:pPr>
                  <w:r>
                    <w:rPr>
                      <w:rFonts w:hint="eastAsia" w:ascii="Times New Roman" w:hAnsi="Times New Roman" w:eastAsia="宋体" w:cs="Times New Roman"/>
                      <w:color w:val="auto"/>
                      <w:sz w:val="18"/>
                      <w:szCs w:val="18"/>
                      <w:highlight w:val="none"/>
                      <w:lang w:val="en-US" w:eastAsia="zh-CN"/>
                    </w:rPr>
                    <w:t>60</w:t>
                  </w:r>
                  <w:r>
                    <w:rPr>
                      <w:rFonts w:hint="eastAsia" w:ascii="Times New Roman" w:hAnsi="Times New Roman" w:eastAsia="宋体" w:cs="Times New Roman"/>
                      <w:color w:val="auto"/>
                      <w:sz w:val="18"/>
                      <w:szCs w:val="18"/>
                      <w:highlight w:val="none"/>
                    </w:rPr>
                    <w:t>0L</w:t>
                  </w:r>
                </w:p>
              </w:tc>
              <w:tc>
                <w:tcPr>
                  <w:tcW w:w="1451" w:type="pct"/>
                  <w:tcBorders>
                    <w:top w:val="single" w:color="auto" w:sz="4" w:space="0"/>
                    <w:left w:val="single" w:color="auto" w:sz="4" w:space="0"/>
                    <w:bottom w:val="single" w:color="auto" w:sz="4" w:space="0"/>
                    <w:right w:val="single" w:color="auto" w:sz="4" w:space="0"/>
                  </w:tcBorders>
                  <w:vAlign w:val="center"/>
                </w:tcPr>
                <w:p w14:paraId="143ABEFA">
                  <w:pPr>
                    <w:pStyle w:val="120"/>
                    <w:keepNext w:val="0"/>
                    <w:keepLines w:val="0"/>
                    <w:pageBreakBefore w:val="0"/>
                    <w:framePr w:hSpace="0" w:wrap="auto" w:vAnchor="margin" w:hAnchor="text" w:xAlign="left" w:yAlign="inline"/>
                    <w:suppressLineNumbers w:val="0"/>
                    <w:kinsoku/>
                    <w:wordWrap/>
                    <w:overflowPunct/>
                    <w:topLinePunct w:val="0"/>
                    <w:bidi w:val="0"/>
                    <w:adjustRightInd w:val="0"/>
                    <w:snapToGrid w:val="0"/>
                    <w:spacing w:before="0" w:beforeAutospacing="0" w:after="0" w:afterAutospacing="0" w:line="276" w:lineRule="auto"/>
                    <w:ind w:left="0" w:right="0"/>
                    <w:jc w:val="center"/>
                    <w:rPr>
                      <w:rFonts w:hint="default" w:ascii="Times New Roman" w:hAnsi="Times New Roman" w:eastAsia="宋体" w:cs="Times New Roman"/>
                      <w:color w:val="auto"/>
                      <w:sz w:val="18"/>
                      <w:szCs w:val="18"/>
                      <w:highlight w:val="none"/>
                      <w:lang w:val="en-US" w:eastAsia="zh-CN"/>
                    </w:rPr>
                  </w:pPr>
                  <w:r>
                    <w:rPr>
                      <w:rFonts w:hint="eastAsia" w:ascii="Times New Roman" w:hAnsi="Times New Roman" w:eastAsia="宋体" w:cs="Times New Roman"/>
                      <w:color w:val="auto"/>
                      <w:sz w:val="18"/>
                      <w:szCs w:val="18"/>
                      <w:highlight w:val="none"/>
                    </w:rPr>
                    <w:t>500mL/瓶</w:t>
                  </w:r>
                </w:p>
              </w:tc>
              <w:tc>
                <w:tcPr>
                  <w:tcW w:w="586" w:type="pct"/>
                  <w:tcBorders>
                    <w:top w:val="single" w:color="auto" w:sz="4" w:space="0"/>
                    <w:left w:val="single" w:color="auto" w:sz="4" w:space="0"/>
                    <w:bottom w:val="single" w:color="auto" w:sz="4" w:space="0"/>
                    <w:right w:val="single" w:color="auto" w:sz="4" w:space="0"/>
                  </w:tcBorders>
                  <w:vAlign w:val="center"/>
                </w:tcPr>
                <w:p w14:paraId="2A46FEEC">
                  <w:pPr>
                    <w:pStyle w:val="120"/>
                    <w:keepNext w:val="0"/>
                    <w:keepLines w:val="0"/>
                    <w:pageBreakBefore w:val="0"/>
                    <w:framePr w:hSpace="0" w:wrap="auto" w:vAnchor="margin" w:hAnchor="text" w:xAlign="left" w:yAlign="inline"/>
                    <w:suppressLineNumbers w:val="0"/>
                    <w:kinsoku/>
                    <w:wordWrap/>
                    <w:overflowPunct/>
                    <w:topLinePunct w:val="0"/>
                    <w:bidi w:val="0"/>
                    <w:adjustRightInd w:val="0"/>
                    <w:snapToGrid w:val="0"/>
                    <w:spacing w:before="0" w:beforeAutospacing="0" w:after="0" w:afterAutospacing="0" w:line="276" w:lineRule="auto"/>
                    <w:ind w:left="0" w:right="0"/>
                    <w:jc w:val="center"/>
                    <w:rPr>
                      <w:rFonts w:hint="default" w:ascii="Times New Roman" w:hAnsi="Times New Roman" w:eastAsia="宋体" w:cs="Times New Roman"/>
                      <w:color w:val="auto"/>
                      <w:sz w:val="18"/>
                      <w:szCs w:val="18"/>
                      <w:highlight w:val="none"/>
                      <w:lang w:val="en-US" w:eastAsia="zh-CN"/>
                    </w:rPr>
                  </w:pPr>
                  <w:r>
                    <w:rPr>
                      <w:rFonts w:hint="eastAsia" w:ascii="Times New Roman" w:hAnsi="Times New Roman" w:eastAsia="宋体" w:cs="Times New Roman"/>
                      <w:color w:val="auto"/>
                      <w:sz w:val="18"/>
                      <w:szCs w:val="18"/>
                      <w:highlight w:val="none"/>
                      <w:lang w:val="en-US" w:eastAsia="zh-CN"/>
                    </w:rPr>
                    <w:t>60</w:t>
                  </w:r>
                  <w:r>
                    <w:rPr>
                      <w:rFonts w:hint="eastAsia" w:ascii="Times New Roman" w:hAnsi="Times New Roman" w:eastAsia="宋体" w:cs="Times New Roman"/>
                      <w:color w:val="auto"/>
                      <w:sz w:val="18"/>
                      <w:szCs w:val="18"/>
                      <w:highlight w:val="none"/>
                    </w:rPr>
                    <w:t>L</w:t>
                  </w:r>
                </w:p>
              </w:tc>
              <w:tc>
                <w:tcPr>
                  <w:tcW w:w="368" w:type="pct"/>
                  <w:tcBorders>
                    <w:top w:val="single" w:color="auto" w:sz="4" w:space="0"/>
                    <w:left w:val="single" w:color="auto" w:sz="4" w:space="0"/>
                    <w:bottom w:val="single" w:color="auto" w:sz="4" w:space="0"/>
                    <w:right w:val="single" w:color="auto" w:sz="4" w:space="0"/>
                  </w:tcBorders>
                  <w:vAlign w:val="center"/>
                </w:tcPr>
                <w:p w14:paraId="695DC93D">
                  <w:pPr>
                    <w:pStyle w:val="120"/>
                    <w:keepNext w:val="0"/>
                    <w:keepLines w:val="0"/>
                    <w:pageBreakBefore w:val="0"/>
                    <w:framePr w:hSpace="0" w:wrap="auto" w:vAnchor="margin" w:hAnchor="text" w:xAlign="left" w:yAlign="inline"/>
                    <w:suppressLineNumbers w:val="0"/>
                    <w:kinsoku/>
                    <w:wordWrap/>
                    <w:overflowPunct/>
                    <w:topLinePunct w:val="0"/>
                    <w:bidi w:val="0"/>
                    <w:adjustRightInd w:val="0"/>
                    <w:snapToGrid w:val="0"/>
                    <w:spacing w:before="0" w:beforeAutospacing="0" w:after="0" w:afterAutospacing="0" w:line="276" w:lineRule="auto"/>
                    <w:ind w:left="0" w:right="0"/>
                    <w:jc w:val="center"/>
                    <w:rPr>
                      <w:rFonts w:hint="eastAsia" w:ascii="Times New Roman" w:hAnsi="Times New Roman" w:eastAsia="宋体" w:cs="Times New Roman"/>
                      <w:color w:val="auto"/>
                      <w:sz w:val="18"/>
                      <w:szCs w:val="18"/>
                      <w:highlight w:val="none"/>
                      <w:lang w:val="en-US" w:eastAsia="zh-CN"/>
                    </w:rPr>
                  </w:pPr>
                  <w:r>
                    <w:rPr>
                      <w:rFonts w:hint="eastAsia" w:ascii="Times New Roman" w:hAnsi="Times New Roman" w:eastAsia="宋体" w:cs="Times New Roman"/>
                      <w:color w:val="auto"/>
                      <w:sz w:val="18"/>
                      <w:szCs w:val="18"/>
                      <w:highlight w:val="none"/>
                      <w:lang w:eastAsia="zh-CN"/>
                    </w:rPr>
                    <w:t>液态</w:t>
                  </w:r>
                </w:p>
              </w:tc>
              <w:tc>
                <w:tcPr>
                  <w:tcW w:w="892" w:type="pct"/>
                  <w:vMerge w:val="continue"/>
                  <w:tcBorders>
                    <w:left w:val="single" w:color="auto" w:sz="4" w:space="0"/>
                    <w:right w:val="single" w:color="auto" w:sz="4" w:space="0"/>
                  </w:tcBorders>
                  <w:vAlign w:val="center"/>
                </w:tcPr>
                <w:p w14:paraId="5B96FDD6">
                  <w:pPr>
                    <w:keepNext w:val="0"/>
                    <w:keepLines w:val="0"/>
                    <w:pageBreakBefore w:val="0"/>
                    <w:suppressLineNumbers w:val="0"/>
                    <w:kinsoku/>
                    <w:wordWrap/>
                    <w:overflowPunct/>
                    <w:topLinePunct w:val="0"/>
                    <w:bidi w:val="0"/>
                    <w:adjustRightInd w:val="0"/>
                    <w:snapToGrid w:val="0"/>
                    <w:spacing w:before="0" w:beforeAutospacing="0" w:after="0" w:afterAutospacing="0" w:line="276" w:lineRule="auto"/>
                    <w:ind w:left="0" w:right="0"/>
                    <w:jc w:val="center"/>
                    <w:rPr>
                      <w:rFonts w:hint="default" w:ascii="Times New Roman" w:hAnsi="Times New Roman" w:eastAsia="宋体" w:cs="Times New Roman"/>
                      <w:sz w:val="18"/>
                      <w:szCs w:val="18"/>
                      <w:highlight w:val="none"/>
                      <w:lang w:val="en-US" w:eastAsia="zh-CN"/>
                    </w:rPr>
                  </w:pPr>
                </w:p>
              </w:tc>
            </w:tr>
            <w:tr w14:paraId="28E57EC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7" w:type="dxa"/>
                  <w:bottom w:w="0" w:type="dxa"/>
                  <w:right w:w="17" w:type="dxa"/>
                </w:tblCellMar>
              </w:tblPrEx>
              <w:trPr>
                <w:trHeight w:val="0" w:hRule="atLeast"/>
                <w:jc w:val="center"/>
              </w:trPr>
              <w:tc>
                <w:tcPr>
                  <w:tcW w:w="283" w:type="pct"/>
                  <w:tcBorders>
                    <w:top w:val="single" w:color="auto" w:sz="4" w:space="0"/>
                    <w:left w:val="single" w:color="auto" w:sz="4" w:space="0"/>
                    <w:bottom w:val="single" w:color="auto" w:sz="4" w:space="0"/>
                    <w:right w:val="single" w:color="auto" w:sz="4" w:space="0"/>
                  </w:tcBorders>
                  <w:vAlign w:val="center"/>
                </w:tcPr>
                <w:p w14:paraId="7D82CDE0">
                  <w:pPr>
                    <w:keepNext w:val="0"/>
                    <w:keepLines w:val="0"/>
                    <w:pageBreakBefore w:val="0"/>
                    <w:suppressLineNumbers w:val="0"/>
                    <w:kinsoku/>
                    <w:wordWrap/>
                    <w:overflowPunct/>
                    <w:topLinePunct w:val="0"/>
                    <w:bidi w:val="0"/>
                    <w:adjustRightInd w:val="0"/>
                    <w:snapToGrid w:val="0"/>
                    <w:spacing w:before="0" w:beforeAutospacing="0" w:after="0" w:afterAutospacing="0" w:line="276" w:lineRule="auto"/>
                    <w:ind w:left="0" w:right="0"/>
                    <w:jc w:val="center"/>
                    <w:rPr>
                      <w:rFonts w:hint="eastAsia" w:cs="Times New Roman"/>
                      <w:kern w:val="2"/>
                      <w:sz w:val="18"/>
                      <w:szCs w:val="18"/>
                      <w:highlight w:val="none"/>
                      <w:lang w:val="en-US" w:eastAsia="zh-CN" w:bidi="ar-SA"/>
                    </w:rPr>
                  </w:pPr>
                  <w:r>
                    <w:rPr>
                      <w:rFonts w:hint="eastAsia" w:cs="Times New Roman"/>
                      <w:kern w:val="2"/>
                      <w:sz w:val="18"/>
                      <w:szCs w:val="18"/>
                      <w:highlight w:val="none"/>
                      <w:lang w:val="en-US" w:eastAsia="zh-CN" w:bidi="ar-SA"/>
                    </w:rPr>
                    <w:t>26</w:t>
                  </w:r>
                </w:p>
              </w:tc>
              <w:tc>
                <w:tcPr>
                  <w:tcW w:w="894" w:type="pct"/>
                  <w:tcBorders>
                    <w:top w:val="single" w:color="auto" w:sz="4" w:space="0"/>
                    <w:left w:val="single" w:color="auto" w:sz="4" w:space="0"/>
                    <w:bottom w:val="single" w:color="auto" w:sz="4" w:space="0"/>
                    <w:right w:val="single" w:color="auto" w:sz="4" w:space="0"/>
                  </w:tcBorders>
                  <w:vAlign w:val="center"/>
                </w:tcPr>
                <w:p w14:paraId="2AE30799">
                  <w:pPr>
                    <w:pStyle w:val="120"/>
                    <w:keepNext w:val="0"/>
                    <w:keepLines w:val="0"/>
                    <w:pageBreakBefore w:val="0"/>
                    <w:framePr w:hSpace="0" w:wrap="auto" w:vAnchor="margin" w:hAnchor="text" w:xAlign="left" w:yAlign="inline"/>
                    <w:suppressLineNumbers w:val="0"/>
                    <w:kinsoku/>
                    <w:wordWrap/>
                    <w:overflowPunct/>
                    <w:topLinePunct w:val="0"/>
                    <w:bidi w:val="0"/>
                    <w:adjustRightInd w:val="0"/>
                    <w:snapToGrid w:val="0"/>
                    <w:spacing w:before="0" w:beforeAutospacing="0" w:after="0" w:afterAutospacing="0" w:line="276" w:lineRule="auto"/>
                    <w:ind w:left="0" w:right="0"/>
                    <w:jc w:val="center"/>
                    <w:rPr>
                      <w:rFonts w:hint="eastAsia" w:ascii="Times New Roman" w:hAnsi="Times New Roman" w:eastAsia="宋体" w:cs="Times New Roman"/>
                      <w:color w:val="auto"/>
                      <w:sz w:val="18"/>
                      <w:szCs w:val="18"/>
                      <w:highlight w:val="none"/>
                      <w:lang w:val="en-US" w:eastAsia="zh-CN"/>
                    </w:rPr>
                  </w:pPr>
                  <w:r>
                    <w:rPr>
                      <w:rFonts w:hint="eastAsia" w:ascii="Times New Roman" w:hAnsi="Times New Roman" w:eastAsia="宋体" w:cs="Times New Roman"/>
                      <w:color w:val="auto"/>
                      <w:sz w:val="18"/>
                      <w:szCs w:val="18"/>
                      <w:highlight w:val="none"/>
                    </w:rPr>
                    <w:t>2-噻吩甲基胺</w:t>
                  </w:r>
                </w:p>
              </w:tc>
              <w:tc>
                <w:tcPr>
                  <w:tcW w:w="523" w:type="pct"/>
                  <w:tcBorders>
                    <w:top w:val="single" w:color="auto" w:sz="4" w:space="0"/>
                    <w:left w:val="single" w:color="auto" w:sz="4" w:space="0"/>
                    <w:bottom w:val="single" w:color="auto" w:sz="4" w:space="0"/>
                    <w:right w:val="single" w:color="auto" w:sz="4" w:space="0"/>
                  </w:tcBorders>
                  <w:vAlign w:val="center"/>
                </w:tcPr>
                <w:p w14:paraId="245FC66B">
                  <w:pPr>
                    <w:pStyle w:val="120"/>
                    <w:keepNext w:val="0"/>
                    <w:keepLines w:val="0"/>
                    <w:pageBreakBefore w:val="0"/>
                    <w:framePr w:hSpace="0" w:wrap="auto" w:vAnchor="margin" w:hAnchor="text" w:xAlign="left" w:yAlign="inline"/>
                    <w:suppressLineNumbers w:val="0"/>
                    <w:kinsoku/>
                    <w:wordWrap/>
                    <w:overflowPunct/>
                    <w:topLinePunct w:val="0"/>
                    <w:bidi w:val="0"/>
                    <w:adjustRightInd w:val="0"/>
                    <w:snapToGrid w:val="0"/>
                    <w:spacing w:before="0" w:beforeAutospacing="0" w:after="0" w:afterAutospacing="0" w:line="276" w:lineRule="auto"/>
                    <w:ind w:left="0" w:right="0"/>
                    <w:jc w:val="center"/>
                    <w:rPr>
                      <w:rFonts w:hint="default" w:ascii="Times New Roman" w:hAnsi="Times New Roman" w:eastAsia="宋体" w:cs="Times New Roman"/>
                      <w:color w:val="auto"/>
                      <w:sz w:val="18"/>
                      <w:szCs w:val="18"/>
                      <w:highlight w:val="none"/>
                      <w:lang w:val="en-US" w:eastAsia="zh-CN"/>
                    </w:rPr>
                  </w:pPr>
                  <w:r>
                    <w:rPr>
                      <w:rFonts w:hint="eastAsia" w:ascii="Times New Roman" w:hAnsi="Times New Roman" w:eastAsia="宋体" w:cs="Times New Roman"/>
                      <w:color w:val="auto"/>
                      <w:sz w:val="18"/>
                      <w:szCs w:val="18"/>
                      <w:highlight w:val="none"/>
                    </w:rPr>
                    <w:t>4</w:t>
                  </w:r>
                  <w:r>
                    <w:rPr>
                      <w:rFonts w:hint="eastAsia" w:cs="Times New Roman"/>
                      <w:color w:val="auto"/>
                      <w:sz w:val="18"/>
                      <w:szCs w:val="18"/>
                      <w:highlight w:val="none"/>
                      <w:lang w:val="en-US" w:eastAsia="zh-CN"/>
                    </w:rPr>
                    <w:t>0</w:t>
                  </w:r>
                  <w:r>
                    <w:rPr>
                      <w:rFonts w:hint="eastAsia" w:ascii="Times New Roman" w:hAnsi="Times New Roman" w:eastAsia="宋体" w:cs="Times New Roman"/>
                      <w:color w:val="auto"/>
                      <w:sz w:val="18"/>
                      <w:szCs w:val="18"/>
                      <w:highlight w:val="none"/>
                    </w:rPr>
                    <w:t>g</w:t>
                  </w:r>
                </w:p>
              </w:tc>
              <w:tc>
                <w:tcPr>
                  <w:tcW w:w="1451" w:type="pct"/>
                  <w:tcBorders>
                    <w:top w:val="single" w:color="auto" w:sz="4" w:space="0"/>
                    <w:left w:val="single" w:color="auto" w:sz="4" w:space="0"/>
                    <w:bottom w:val="single" w:color="auto" w:sz="4" w:space="0"/>
                    <w:right w:val="single" w:color="auto" w:sz="4" w:space="0"/>
                  </w:tcBorders>
                  <w:vAlign w:val="center"/>
                </w:tcPr>
                <w:p w14:paraId="5467DC8B">
                  <w:pPr>
                    <w:pStyle w:val="120"/>
                    <w:keepNext w:val="0"/>
                    <w:keepLines w:val="0"/>
                    <w:pageBreakBefore w:val="0"/>
                    <w:framePr w:hSpace="0" w:wrap="auto" w:vAnchor="margin" w:hAnchor="text" w:xAlign="left" w:yAlign="inline"/>
                    <w:suppressLineNumbers w:val="0"/>
                    <w:kinsoku/>
                    <w:wordWrap/>
                    <w:overflowPunct/>
                    <w:topLinePunct w:val="0"/>
                    <w:bidi w:val="0"/>
                    <w:adjustRightInd w:val="0"/>
                    <w:snapToGrid w:val="0"/>
                    <w:spacing w:before="0" w:beforeAutospacing="0" w:after="0" w:afterAutospacing="0" w:line="276" w:lineRule="auto"/>
                    <w:ind w:left="0" w:right="0"/>
                    <w:jc w:val="center"/>
                    <w:rPr>
                      <w:rFonts w:hint="default" w:ascii="Times New Roman" w:hAnsi="Times New Roman" w:eastAsia="宋体" w:cs="Times New Roman"/>
                      <w:color w:val="auto"/>
                      <w:sz w:val="18"/>
                      <w:szCs w:val="18"/>
                      <w:highlight w:val="none"/>
                      <w:lang w:val="en-US" w:eastAsia="zh-CN"/>
                    </w:rPr>
                  </w:pPr>
                  <w:r>
                    <w:rPr>
                      <w:rFonts w:hint="eastAsia" w:ascii="Times New Roman" w:hAnsi="Times New Roman" w:eastAsia="宋体" w:cs="Times New Roman"/>
                      <w:color w:val="auto"/>
                      <w:sz w:val="18"/>
                      <w:szCs w:val="18"/>
                      <w:highlight w:val="none"/>
                    </w:rPr>
                    <w:t>5g/瓶</w:t>
                  </w:r>
                </w:p>
              </w:tc>
              <w:tc>
                <w:tcPr>
                  <w:tcW w:w="586" w:type="pct"/>
                  <w:tcBorders>
                    <w:top w:val="single" w:color="auto" w:sz="4" w:space="0"/>
                    <w:left w:val="single" w:color="auto" w:sz="4" w:space="0"/>
                    <w:bottom w:val="single" w:color="auto" w:sz="4" w:space="0"/>
                    <w:right w:val="single" w:color="auto" w:sz="4" w:space="0"/>
                  </w:tcBorders>
                  <w:vAlign w:val="center"/>
                </w:tcPr>
                <w:p w14:paraId="4820EF83">
                  <w:pPr>
                    <w:pStyle w:val="120"/>
                    <w:keepNext w:val="0"/>
                    <w:keepLines w:val="0"/>
                    <w:pageBreakBefore w:val="0"/>
                    <w:framePr w:hSpace="0" w:wrap="auto" w:vAnchor="margin" w:hAnchor="text" w:xAlign="left" w:yAlign="inline"/>
                    <w:suppressLineNumbers w:val="0"/>
                    <w:kinsoku/>
                    <w:wordWrap/>
                    <w:overflowPunct/>
                    <w:topLinePunct w:val="0"/>
                    <w:bidi w:val="0"/>
                    <w:adjustRightInd w:val="0"/>
                    <w:snapToGrid w:val="0"/>
                    <w:spacing w:before="0" w:beforeAutospacing="0" w:after="0" w:afterAutospacing="0" w:line="276" w:lineRule="auto"/>
                    <w:ind w:left="0" w:right="0"/>
                    <w:jc w:val="center"/>
                    <w:rPr>
                      <w:rFonts w:hint="default" w:ascii="Times New Roman" w:hAnsi="Times New Roman" w:eastAsia="宋体" w:cs="Times New Roman"/>
                      <w:color w:val="auto"/>
                      <w:sz w:val="18"/>
                      <w:szCs w:val="18"/>
                      <w:highlight w:val="none"/>
                      <w:lang w:val="en-US" w:eastAsia="zh-CN"/>
                    </w:rPr>
                  </w:pPr>
                  <w:r>
                    <w:rPr>
                      <w:rFonts w:hint="eastAsia" w:ascii="Times New Roman" w:hAnsi="Times New Roman" w:eastAsia="宋体" w:cs="Times New Roman"/>
                      <w:color w:val="auto"/>
                      <w:sz w:val="18"/>
                      <w:szCs w:val="18"/>
                      <w:highlight w:val="none"/>
                    </w:rPr>
                    <w:t>5</w:t>
                  </w:r>
                  <w:r>
                    <w:rPr>
                      <w:rFonts w:hint="eastAsia" w:cs="Times New Roman"/>
                      <w:color w:val="auto"/>
                      <w:sz w:val="18"/>
                      <w:szCs w:val="18"/>
                      <w:highlight w:val="none"/>
                      <w:lang w:val="en-US" w:eastAsia="zh-CN"/>
                    </w:rPr>
                    <w:t>0</w:t>
                  </w:r>
                  <w:r>
                    <w:rPr>
                      <w:rFonts w:hint="eastAsia" w:ascii="Times New Roman" w:hAnsi="Times New Roman" w:eastAsia="宋体" w:cs="Times New Roman"/>
                      <w:color w:val="auto"/>
                      <w:sz w:val="18"/>
                      <w:szCs w:val="18"/>
                      <w:highlight w:val="none"/>
                    </w:rPr>
                    <w:t>g</w:t>
                  </w:r>
                </w:p>
              </w:tc>
              <w:tc>
                <w:tcPr>
                  <w:tcW w:w="368" w:type="pct"/>
                  <w:tcBorders>
                    <w:top w:val="single" w:color="auto" w:sz="4" w:space="0"/>
                    <w:left w:val="single" w:color="auto" w:sz="4" w:space="0"/>
                    <w:bottom w:val="single" w:color="auto" w:sz="4" w:space="0"/>
                    <w:right w:val="single" w:color="auto" w:sz="4" w:space="0"/>
                  </w:tcBorders>
                  <w:vAlign w:val="center"/>
                </w:tcPr>
                <w:p w14:paraId="149B5F08">
                  <w:pPr>
                    <w:pStyle w:val="120"/>
                    <w:keepNext w:val="0"/>
                    <w:keepLines w:val="0"/>
                    <w:pageBreakBefore w:val="0"/>
                    <w:framePr w:hSpace="0" w:wrap="auto" w:vAnchor="margin" w:hAnchor="text" w:xAlign="left" w:yAlign="inline"/>
                    <w:suppressLineNumbers w:val="0"/>
                    <w:kinsoku/>
                    <w:wordWrap/>
                    <w:overflowPunct/>
                    <w:topLinePunct w:val="0"/>
                    <w:bidi w:val="0"/>
                    <w:adjustRightInd w:val="0"/>
                    <w:snapToGrid w:val="0"/>
                    <w:spacing w:before="0" w:beforeAutospacing="0" w:after="0" w:afterAutospacing="0" w:line="276" w:lineRule="auto"/>
                    <w:ind w:left="0" w:right="0"/>
                    <w:jc w:val="center"/>
                    <w:rPr>
                      <w:rFonts w:hint="eastAsia" w:ascii="Times New Roman" w:hAnsi="Times New Roman" w:eastAsia="宋体" w:cs="Times New Roman"/>
                      <w:color w:val="auto"/>
                      <w:sz w:val="18"/>
                      <w:szCs w:val="18"/>
                      <w:highlight w:val="none"/>
                      <w:lang w:val="en-US" w:eastAsia="zh-CN"/>
                    </w:rPr>
                  </w:pPr>
                  <w:r>
                    <w:rPr>
                      <w:rFonts w:hint="eastAsia" w:ascii="Times New Roman" w:hAnsi="Times New Roman" w:eastAsia="宋体" w:cs="Times New Roman"/>
                      <w:color w:val="auto"/>
                      <w:sz w:val="18"/>
                      <w:szCs w:val="18"/>
                      <w:highlight w:val="none"/>
                    </w:rPr>
                    <w:t>固态</w:t>
                  </w:r>
                </w:p>
              </w:tc>
              <w:tc>
                <w:tcPr>
                  <w:tcW w:w="892" w:type="pct"/>
                  <w:vMerge w:val="continue"/>
                  <w:tcBorders>
                    <w:left w:val="single" w:color="auto" w:sz="4" w:space="0"/>
                    <w:right w:val="single" w:color="auto" w:sz="4" w:space="0"/>
                  </w:tcBorders>
                  <w:vAlign w:val="center"/>
                </w:tcPr>
                <w:p w14:paraId="5636D781">
                  <w:pPr>
                    <w:keepNext w:val="0"/>
                    <w:keepLines w:val="0"/>
                    <w:pageBreakBefore w:val="0"/>
                    <w:suppressLineNumbers w:val="0"/>
                    <w:kinsoku/>
                    <w:wordWrap/>
                    <w:overflowPunct/>
                    <w:topLinePunct w:val="0"/>
                    <w:bidi w:val="0"/>
                    <w:adjustRightInd w:val="0"/>
                    <w:snapToGrid w:val="0"/>
                    <w:spacing w:before="0" w:beforeAutospacing="0" w:after="0" w:afterAutospacing="0" w:line="276" w:lineRule="auto"/>
                    <w:ind w:left="0" w:right="0"/>
                    <w:jc w:val="center"/>
                    <w:rPr>
                      <w:rFonts w:hint="default" w:ascii="Times New Roman" w:hAnsi="Times New Roman" w:eastAsia="宋体" w:cs="Times New Roman"/>
                      <w:sz w:val="18"/>
                      <w:szCs w:val="18"/>
                      <w:highlight w:val="none"/>
                    </w:rPr>
                  </w:pPr>
                </w:p>
              </w:tc>
            </w:tr>
            <w:tr w14:paraId="25089DD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7" w:type="dxa"/>
                  <w:bottom w:w="0" w:type="dxa"/>
                  <w:right w:w="17" w:type="dxa"/>
                </w:tblCellMar>
              </w:tblPrEx>
              <w:trPr>
                <w:trHeight w:val="0" w:hRule="atLeast"/>
                <w:jc w:val="center"/>
              </w:trPr>
              <w:tc>
                <w:tcPr>
                  <w:tcW w:w="283" w:type="pct"/>
                  <w:tcBorders>
                    <w:top w:val="single" w:color="auto" w:sz="4" w:space="0"/>
                    <w:left w:val="single" w:color="auto" w:sz="4" w:space="0"/>
                    <w:bottom w:val="single" w:color="auto" w:sz="4" w:space="0"/>
                    <w:right w:val="single" w:color="auto" w:sz="4" w:space="0"/>
                  </w:tcBorders>
                  <w:vAlign w:val="center"/>
                </w:tcPr>
                <w:p w14:paraId="34021371">
                  <w:pPr>
                    <w:keepNext w:val="0"/>
                    <w:keepLines w:val="0"/>
                    <w:pageBreakBefore w:val="0"/>
                    <w:suppressLineNumbers w:val="0"/>
                    <w:kinsoku/>
                    <w:wordWrap/>
                    <w:overflowPunct/>
                    <w:topLinePunct w:val="0"/>
                    <w:bidi w:val="0"/>
                    <w:adjustRightInd w:val="0"/>
                    <w:snapToGrid w:val="0"/>
                    <w:spacing w:before="0" w:beforeAutospacing="0" w:after="0" w:afterAutospacing="0" w:line="276" w:lineRule="auto"/>
                    <w:ind w:left="0" w:right="0"/>
                    <w:jc w:val="center"/>
                    <w:rPr>
                      <w:rFonts w:hint="default" w:cs="Times New Roman"/>
                      <w:kern w:val="2"/>
                      <w:sz w:val="18"/>
                      <w:szCs w:val="18"/>
                      <w:highlight w:val="none"/>
                      <w:lang w:val="en-US" w:eastAsia="zh-CN" w:bidi="ar-SA"/>
                    </w:rPr>
                  </w:pPr>
                  <w:r>
                    <w:rPr>
                      <w:rFonts w:hint="eastAsia" w:cs="Times New Roman"/>
                      <w:kern w:val="2"/>
                      <w:sz w:val="18"/>
                      <w:szCs w:val="18"/>
                      <w:highlight w:val="none"/>
                      <w:lang w:val="en-US" w:eastAsia="zh-CN" w:bidi="ar-SA"/>
                    </w:rPr>
                    <w:t>27</w:t>
                  </w:r>
                </w:p>
              </w:tc>
              <w:tc>
                <w:tcPr>
                  <w:tcW w:w="894" w:type="pct"/>
                  <w:tcBorders>
                    <w:top w:val="single" w:color="auto" w:sz="4" w:space="0"/>
                    <w:left w:val="single" w:color="auto" w:sz="4" w:space="0"/>
                    <w:bottom w:val="single" w:color="auto" w:sz="4" w:space="0"/>
                    <w:right w:val="single" w:color="auto" w:sz="4" w:space="0"/>
                  </w:tcBorders>
                  <w:vAlign w:val="center"/>
                </w:tcPr>
                <w:p w14:paraId="1ADDA395">
                  <w:pPr>
                    <w:pStyle w:val="120"/>
                    <w:keepNext w:val="0"/>
                    <w:keepLines w:val="0"/>
                    <w:pageBreakBefore w:val="0"/>
                    <w:framePr w:hSpace="0" w:wrap="auto" w:vAnchor="margin" w:hAnchor="text" w:xAlign="left" w:yAlign="inline"/>
                    <w:suppressLineNumbers w:val="0"/>
                    <w:kinsoku/>
                    <w:wordWrap/>
                    <w:overflowPunct/>
                    <w:topLinePunct w:val="0"/>
                    <w:bidi w:val="0"/>
                    <w:adjustRightInd w:val="0"/>
                    <w:snapToGrid w:val="0"/>
                    <w:spacing w:before="0" w:beforeAutospacing="0" w:after="0" w:afterAutospacing="0" w:line="276" w:lineRule="auto"/>
                    <w:ind w:left="0" w:right="0"/>
                    <w:jc w:val="center"/>
                    <w:rPr>
                      <w:rFonts w:hint="eastAsia" w:ascii="Times New Roman" w:hAnsi="Times New Roman" w:eastAsia="宋体" w:cs="Times New Roman"/>
                      <w:color w:val="auto"/>
                      <w:sz w:val="18"/>
                      <w:szCs w:val="18"/>
                      <w:highlight w:val="none"/>
                      <w:lang w:val="en-US" w:eastAsia="zh-CN"/>
                    </w:rPr>
                  </w:pPr>
                  <w:r>
                    <w:rPr>
                      <w:rFonts w:hint="eastAsia" w:ascii="Times New Roman" w:hAnsi="Times New Roman" w:eastAsia="宋体" w:cs="Times New Roman"/>
                      <w:color w:val="auto"/>
                      <w:sz w:val="18"/>
                      <w:szCs w:val="18"/>
                      <w:highlight w:val="none"/>
                    </w:rPr>
                    <w:t>乙腈</w:t>
                  </w:r>
                </w:p>
              </w:tc>
              <w:tc>
                <w:tcPr>
                  <w:tcW w:w="523" w:type="pct"/>
                  <w:tcBorders>
                    <w:top w:val="single" w:color="auto" w:sz="4" w:space="0"/>
                    <w:left w:val="single" w:color="auto" w:sz="4" w:space="0"/>
                    <w:bottom w:val="single" w:color="auto" w:sz="4" w:space="0"/>
                    <w:right w:val="single" w:color="auto" w:sz="4" w:space="0"/>
                  </w:tcBorders>
                  <w:vAlign w:val="center"/>
                </w:tcPr>
                <w:p w14:paraId="200C5085">
                  <w:pPr>
                    <w:pStyle w:val="120"/>
                    <w:keepNext w:val="0"/>
                    <w:keepLines w:val="0"/>
                    <w:pageBreakBefore w:val="0"/>
                    <w:framePr w:hSpace="0" w:wrap="auto" w:vAnchor="margin" w:hAnchor="text" w:xAlign="left" w:yAlign="inline"/>
                    <w:suppressLineNumbers w:val="0"/>
                    <w:kinsoku/>
                    <w:wordWrap/>
                    <w:overflowPunct/>
                    <w:topLinePunct w:val="0"/>
                    <w:bidi w:val="0"/>
                    <w:adjustRightInd w:val="0"/>
                    <w:snapToGrid w:val="0"/>
                    <w:spacing w:before="0" w:beforeAutospacing="0" w:after="0" w:afterAutospacing="0" w:line="276" w:lineRule="auto"/>
                    <w:ind w:left="0" w:right="0"/>
                    <w:jc w:val="center"/>
                    <w:rPr>
                      <w:rFonts w:hint="default" w:ascii="Times New Roman" w:hAnsi="Times New Roman" w:eastAsia="宋体" w:cs="Times New Roman"/>
                      <w:color w:val="auto"/>
                      <w:sz w:val="18"/>
                      <w:szCs w:val="18"/>
                      <w:highlight w:val="none"/>
                      <w:lang w:val="en-US" w:eastAsia="zh-CN"/>
                    </w:rPr>
                  </w:pPr>
                  <w:r>
                    <w:rPr>
                      <w:rFonts w:hint="eastAsia" w:ascii="Times New Roman" w:hAnsi="Times New Roman" w:eastAsia="宋体" w:cs="Times New Roman"/>
                      <w:color w:val="auto"/>
                      <w:sz w:val="18"/>
                      <w:szCs w:val="18"/>
                      <w:highlight w:val="none"/>
                    </w:rPr>
                    <w:t>1L</w:t>
                  </w:r>
                </w:p>
              </w:tc>
              <w:tc>
                <w:tcPr>
                  <w:tcW w:w="1451" w:type="pct"/>
                  <w:tcBorders>
                    <w:top w:val="single" w:color="auto" w:sz="4" w:space="0"/>
                    <w:left w:val="single" w:color="auto" w:sz="4" w:space="0"/>
                    <w:bottom w:val="single" w:color="auto" w:sz="4" w:space="0"/>
                    <w:right w:val="single" w:color="auto" w:sz="4" w:space="0"/>
                  </w:tcBorders>
                  <w:vAlign w:val="center"/>
                </w:tcPr>
                <w:p w14:paraId="43BB110E">
                  <w:pPr>
                    <w:pStyle w:val="120"/>
                    <w:keepNext w:val="0"/>
                    <w:keepLines w:val="0"/>
                    <w:pageBreakBefore w:val="0"/>
                    <w:framePr w:hSpace="0" w:wrap="auto" w:vAnchor="margin" w:hAnchor="text" w:xAlign="left" w:yAlign="inline"/>
                    <w:suppressLineNumbers w:val="0"/>
                    <w:kinsoku/>
                    <w:wordWrap/>
                    <w:overflowPunct/>
                    <w:topLinePunct w:val="0"/>
                    <w:bidi w:val="0"/>
                    <w:adjustRightInd w:val="0"/>
                    <w:snapToGrid w:val="0"/>
                    <w:spacing w:before="0" w:beforeAutospacing="0" w:after="0" w:afterAutospacing="0" w:line="276" w:lineRule="auto"/>
                    <w:ind w:left="0" w:right="0"/>
                    <w:jc w:val="center"/>
                    <w:rPr>
                      <w:rFonts w:hint="default" w:ascii="Times New Roman" w:hAnsi="Times New Roman" w:eastAsia="宋体" w:cs="Times New Roman"/>
                      <w:color w:val="auto"/>
                      <w:sz w:val="18"/>
                      <w:szCs w:val="18"/>
                      <w:highlight w:val="none"/>
                      <w:lang w:val="en-US" w:eastAsia="zh-CN"/>
                    </w:rPr>
                  </w:pPr>
                  <w:r>
                    <w:rPr>
                      <w:rFonts w:hint="eastAsia" w:ascii="Times New Roman" w:hAnsi="Times New Roman" w:eastAsia="宋体" w:cs="Times New Roman"/>
                      <w:color w:val="auto"/>
                      <w:sz w:val="18"/>
                      <w:szCs w:val="18"/>
                      <w:highlight w:val="none"/>
                    </w:rPr>
                    <w:t>250mL/瓶</w:t>
                  </w:r>
                </w:p>
              </w:tc>
              <w:tc>
                <w:tcPr>
                  <w:tcW w:w="586" w:type="pct"/>
                  <w:tcBorders>
                    <w:top w:val="single" w:color="auto" w:sz="4" w:space="0"/>
                    <w:left w:val="single" w:color="auto" w:sz="4" w:space="0"/>
                    <w:bottom w:val="single" w:color="auto" w:sz="4" w:space="0"/>
                    <w:right w:val="single" w:color="auto" w:sz="4" w:space="0"/>
                  </w:tcBorders>
                  <w:vAlign w:val="center"/>
                </w:tcPr>
                <w:p w14:paraId="7D01C573">
                  <w:pPr>
                    <w:pStyle w:val="120"/>
                    <w:keepNext w:val="0"/>
                    <w:keepLines w:val="0"/>
                    <w:pageBreakBefore w:val="0"/>
                    <w:framePr w:hSpace="0" w:wrap="auto" w:vAnchor="margin" w:hAnchor="text" w:xAlign="left" w:yAlign="inline"/>
                    <w:suppressLineNumbers w:val="0"/>
                    <w:kinsoku/>
                    <w:wordWrap/>
                    <w:overflowPunct/>
                    <w:topLinePunct w:val="0"/>
                    <w:bidi w:val="0"/>
                    <w:adjustRightInd w:val="0"/>
                    <w:snapToGrid w:val="0"/>
                    <w:spacing w:before="0" w:beforeAutospacing="0" w:after="0" w:afterAutospacing="0" w:line="276" w:lineRule="auto"/>
                    <w:ind w:left="0" w:right="0"/>
                    <w:jc w:val="center"/>
                    <w:rPr>
                      <w:rFonts w:hint="eastAsia" w:ascii="Times New Roman" w:hAnsi="Times New Roman" w:eastAsia="宋体" w:cs="Times New Roman"/>
                      <w:color w:val="auto"/>
                      <w:sz w:val="18"/>
                      <w:szCs w:val="18"/>
                      <w:highlight w:val="none"/>
                      <w:lang w:val="en-US" w:eastAsia="zh-CN"/>
                    </w:rPr>
                  </w:pPr>
                  <w:r>
                    <w:rPr>
                      <w:rFonts w:hint="eastAsia" w:ascii="Times New Roman" w:hAnsi="Times New Roman" w:eastAsia="宋体" w:cs="Times New Roman"/>
                      <w:color w:val="auto"/>
                      <w:sz w:val="18"/>
                      <w:szCs w:val="18"/>
                      <w:highlight w:val="none"/>
                    </w:rPr>
                    <w:t>2</w:t>
                  </w:r>
                  <w:r>
                    <w:rPr>
                      <w:rFonts w:hint="eastAsia" w:cs="Times New Roman"/>
                      <w:color w:val="auto"/>
                      <w:sz w:val="18"/>
                      <w:szCs w:val="18"/>
                      <w:highlight w:val="none"/>
                      <w:lang w:val="en-US" w:eastAsia="zh-CN"/>
                    </w:rPr>
                    <w:t>.</w:t>
                  </w:r>
                  <w:r>
                    <w:rPr>
                      <w:rFonts w:hint="eastAsia" w:ascii="Times New Roman" w:hAnsi="Times New Roman" w:eastAsia="宋体" w:cs="Times New Roman"/>
                      <w:color w:val="auto"/>
                      <w:sz w:val="18"/>
                      <w:szCs w:val="18"/>
                      <w:highlight w:val="none"/>
                    </w:rPr>
                    <w:t>5L</w:t>
                  </w:r>
                </w:p>
              </w:tc>
              <w:tc>
                <w:tcPr>
                  <w:tcW w:w="368" w:type="pct"/>
                  <w:tcBorders>
                    <w:top w:val="single" w:color="auto" w:sz="4" w:space="0"/>
                    <w:left w:val="single" w:color="auto" w:sz="4" w:space="0"/>
                    <w:bottom w:val="single" w:color="auto" w:sz="4" w:space="0"/>
                    <w:right w:val="single" w:color="auto" w:sz="4" w:space="0"/>
                  </w:tcBorders>
                  <w:vAlign w:val="center"/>
                </w:tcPr>
                <w:p w14:paraId="62A31361">
                  <w:pPr>
                    <w:pStyle w:val="120"/>
                    <w:keepNext w:val="0"/>
                    <w:keepLines w:val="0"/>
                    <w:pageBreakBefore w:val="0"/>
                    <w:framePr w:hSpace="0" w:wrap="auto" w:vAnchor="margin" w:hAnchor="text" w:xAlign="left" w:yAlign="inline"/>
                    <w:suppressLineNumbers w:val="0"/>
                    <w:kinsoku/>
                    <w:wordWrap/>
                    <w:overflowPunct/>
                    <w:topLinePunct w:val="0"/>
                    <w:bidi w:val="0"/>
                    <w:adjustRightInd w:val="0"/>
                    <w:snapToGrid w:val="0"/>
                    <w:spacing w:before="0" w:beforeAutospacing="0" w:after="0" w:afterAutospacing="0" w:line="276" w:lineRule="auto"/>
                    <w:ind w:left="0" w:right="0"/>
                    <w:jc w:val="center"/>
                    <w:rPr>
                      <w:rFonts w:hint="eastAsia" w:ascii="Times New Roman" w:hAnsi="Times New Roman" w:eastAsia="宋体" w:cs="Times New Roman"/>
                      <w:color w:val="auto"/>
                      <w:sz w:val="18"/>
                      <w:szCs w:val="18"/>
                      <w:highlight w:val="none"/>
                      <w:lang w:val="en-US" w:eastAsia="zh-CN"/>
                    </w:rPr>
                  </w:pPr>
                  <w:r>
                    <w:rPr>
                      <w:rFonts w:hint="eastAsia" w:ascii="Times New Roman" w:hAnsi="Times New Roman" w:eastAsia="宋体" w:cs="Times New Roman"/>
                      <w:color w:val="auto"/>
                      <w:sz w:val="18"/>
                      <w:szCs w:val="18"/>
                      <w:highlight w:val="none"/>
                      <w:lang w:eastAsia="zh-CN"/>
                    </w:rPr>
                    <w:t>液态</w:t>
                  </w:r>
                </w:p>
              </w:tc>
              <w:tc>
                <w:tcPr>
                  <w:tcW w:w="892" w:type="pct"/>
                  <w:vMerge w:val="continue"/>
                  <w:tcBorders>
                    <w:left w:val="single" w:color="auto" w:sz="4" w:space="0"/>
                    <w:right w:val="single" w:color="auto" w:sz="4" w:space="0"/>
                  </w:tcBorders>
                  <w:vAlign w:val="center"/>
                </w:tcPr>
                <w:p w14:paraId="5419047B">
                  <w:pPr>
                    <w:keepNext w:val="0"/>
                    <w:keepLines w:val="0"/>
                    <w:pageBreakBefore w:val="0"/>
                    <w:suppressLineNumbers w:val="0"/>
                    <w:kinsoku/>
                    <w:wordWrap/>
                    <w:overflowPunct/>
                    <w:topLinePunct w:val="0"/>
                    <w:bidi w:val="0"/>
                    <w:adjustRightInd w:val="0"/>
                    <w:snapToGrid w:val="0"/>
                    <w:spacing w:before="0" w:beforeAutospacing="0" w:after="0" w:afterAutospacing="0" w:line="276" w:lineRule="auto"/>
                    <w:ind w:left="0" w:right="0"/>
                    <w:jc w:val="center"/>
                    <w:rPr>
                      <w:rFonts w:hint="default" w:ascii="Times New Roman" w:hAnsi="Times New Roman" w:eastAsia="宋体" w:cs="Times New Roman"/>
                      <w:sz w:val="18"/>
                      <w:szCs w:val="18"/>
                      <w:highlight w:val="none"/>
                    </w:rPr>
                  </w:pPr>
                </w:p>
              </w:tc>
            </w:tr>
            <w:tr w14:paraId="75A07EA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7" w:type="dxa"/>
                  <w:bottom w:w="0" w:type="dxa"/>
                  <w:right w:w="17" w:type="dxa"/>
                </w:tblCellMar>
              </w:tblPrEx>
              <w:trPr>
                <w:trHeight w:val="0" w:hRule="atLeast"/>
                <w:jc w:val="center"/>
              </w:trPr>
              <w:tc>
                <w:tcPr>
                  <w:tcW w:w="283" w:type="pct"/>
                  <w:tcBorders>
                    <w:top w:val="single" w:color="auto" w:sz="4" w:space="0"/>
                    <w:left w:val="single" w:color="auto" w:sz="4" w:space="0"/>
                    <w:bottom w:val="single" w:color="auto" w:sz="4" w:space="0"/>
                    <w:right w:val="single" w:color="auto" w:sz="4" w:space="0"/>
                  </w:tcBorders>
                  <w:vAlign w:val="center"/>
                </w:tcPr>
                <w:p w14:paraId="3F948630">
                  <w:pPr>
                    <w:keepNext w:val="0"/>
                    <w:keepLines w:val="0"/>
                    <w:pageBreakBefore w:val="0"/>
                    <w:suppressLineNumbers w:val="0"/>
                    <w:kinsoku/>
                    <w:wordWrap/>
                    <w:overflowPunct/>
                    <w:topLinePunct w:val="0"/>
                    <w:bidi w:val="0"/>
                    <w:adjustRightInd w:val="0"/>
                    <w:snapToGrid w:val="0"/>
                    <w:spacing w:before="0" w:beforeAutospacing="0" w:after="0" w:afterAutospacing="0" w:line="276" w:lineRule="auto"/>
                    <w:ind w:left="0" w:right="0"/>
                    <w:jc w:val="center"/>
                    <w:rPr>
                      <w:rFonts w:hint="eastAsia" w:cs="Times New Roman"/>
                      <w:kern w:val="2"/>
                      <w:sz w:val="18"/>
                      <w:szCs w:val="18"/>
                      <w:highlight w:val="none"/>
                      <w:lang w:val="en-US" w:eastAsia="zh-CN" w:bidi="ar-SA"/>
                    </w:rPr>
                  </w:pPr>
                  <w:r>
                    <w:rPr>
                      <w:rFonts w:hint="eastAsia" w:cs="Times New Roman"/>
                      <w:kern w:val="2"/>
                      <w:sz w:val="18"/>
                      <w:szCs w:val="18"/>
                      <w:highlight w:val="none"/>
                      <w:lang w:val="en-US" w:eastAsia="zh-CN" w:bidi="ar-SA"/>
                    </w:rPr>
                    <w:t>28</w:t>
                  </w:r>
                </w:p>
              </w:tc>
              <w:tc>
                <w:tcPr>
                  <w:tcW w:w="894" w:type="pct"/>
                  <w:tcBorders>
                    <w:top w:val="single" w:color="auto" w:sz="4" w:space="0"/>
                    <w:left w:val="single" w:color="auto" w:sz="4" w:space="0"/>
                    <w:bottom w:val="single" w:color="auto" w:sz="4" w:space="0"/>
                    <w:right w:val="single" w:color="auto" w:sz="4" w:space="0"/>
                  </w:tcBorders>
                  <w:vAlign w:val="center"/>
                </w:tcPr>
                <w:p w14:paraId="64EDD822">
                  <w:pPr>
                    <w:pStyle w:val="120"/>
                    <w:keepNext w:val="0"/>
                    <w:keepLines w:val="0"/>
                    <w:pageBreakBefore w:val="0"/>
                    <w:framePr w:hSpace="0" w:wrap="auto" w:vAnchor="margin" w:hAnchor="text" w:xAlign="left" w:yAlign="inline"/>
                    <w:suppressLineNumbers w:val="0"/>
                    <w:kinsoku/>
                    <w:wordWrap/>
                    <w:overflowPunct/>
                    <w:topLinePunct w:val="0"/>
                    <w:bidi w:val="0"/>
                    <w:adjustRightInd w:val="0"/>
                    <w:snapToGrid w:val="0"/>
                    <w:spacing w:before="0" w:beforeAutospacing="0" w:after="0" w:afterAutospacing="0" w:line="276" w:lineRule="auto"/>
                    <w:ind w:left="0" w:right="0"/>
                    <w:jc w:val="center"/>
                    <w:rPr>
                      <w:rFonts w:hint="eastAsia" w:ascii="Times New Roman" w:hAnsi="Times New Roman" w:eastAsia="宋体" w:cs="Times New Roman"/>
                      <w:color w:val="auto"/>
                      <w:sz w:val="18"/>
                      <w:szCs w:val="18"/>
                      <w:highlight w:val="none"/>
                      <w:lang w:val="en-US" w:eastAsia="zh-CN"/>
                    </w:rPr>
                  </w:pPr>
                  <w:r>
                    <w:rPr>
                      <w:rFonts w:hint="eastAsia" w:ascii="Times New Roman" w:hAnsi="Times New Roman" w:eastAsia="宋体" w:cs="Times New Roman"/>
                      <w:color w:val="auto"/>
                      <w:sz w:val="18"/>
                      <w:szCs w:val="18"/>
                      <w:highlight w:val="none"/>
                    </w:rPr>
                    <w:t>二异丙基乙胺</w:t>
                  </w:r>
                </w:p>
              </w:tc>
              <w:tc>
                <w:tcPr>
                  <w:tcW w:w="523" w:type="pct"/>
                  <w:tcBorders>
                    <w:top w:val="single" w:color="auto" w:sz="4" w:space="0"/>
                    <w:left w:val="single" w:color="auto" w:sz="4" w:space="0"/>
                    <w:bottom w:val="single" w:color="auto" w:sz="4" w:space="0"/>
                    <w:right w:val="single" w:color="auto" w:sz="4" w:space="0"/>
                  </w:tcBorders>
                  <w:vAlign w:val="center"/>
                </w:tcPr>
                <w:p w14:paraId="3ECBEB3B">
                  <w:pPr>
                    <w:pStyle w:val="120"/>
                    <w:keepNext w:val="0"/>
                    <w:keepLines w:val="0"/>
                    <w:pageBreakBefore w:val="0"/>
                    <w:framePr w:hSpace="0" w:wrap="auto" w:vAnchor="margin" w:hAnchor="text" w:xAlign="left" w:yAlign="inline"/>
                    <w:suppressLineNumbers w:val="0"/>
                    <w:kinsoku/>
                    <w:wordWrap/>
                    <w:overflowPunct/>
                    <w:topLinePunct w:val="0"/>
                    <w:bidi w:val="0"/>
                    <w:adjustRightInd w:val="0"/>
                    <w:snapToGrid w:val="0"/>
                    <w:spacing w:before="0" w:beforeAutospacing="0" w:after="0" w:afterAutospacing="0" w:line="276" w:lineRule="auto"/>
                    <w:ind w:left="0" w:right="0"/>
                    <w:jc w:val="center"/>
                    <w:rPr>
                      <w:rFonts w:hint="default" w:ascii="Times New Roman" w:hAnsi="Times New Roman" w:eastAsia="宋体" w:cs="Times New Roman"/>
                      <w:color w:val="auto"/>
                      <w:sz w:val="18"/>
                      <w:szCs w:val="18"/>
                      <w:highlight w:val="none"/>
                      <w:lang w:val="en-US" w:eastAsia="zh-CN"/>
                    </w:rPr>
                  </w:pPr>
                  <w:r>
                    <w:rPr>
                      <w:rFonts w:hint="eastAsia" w:ascii="Times New Roman" w:hAnsi="Times New Roman" w:eastAsia="宋体" w:cs="Times New Roman"/>
                      <w:color w:val="auto"/>
                      <w:sz w:val="18"/>
                      <w:szCs w:val="18"/>
                      <w:highlight w:val="none"/>
                    </w:rPr>
                    <w:t>183mL</w:t>
                  </w:r>
                </w:p>
              </w:tc>
              <w:tc>
                <w:tcPr>
                  <w:tcW w:w="1451" w:type="pct"/>
                  <w:tcBorders>
                    <w:top w:val="single" w:color="auto" w:sz="4" w:space="0"/>
                    <w:left w:val="single" w:color="auto" w:sz="4" w:space="0"/>
                    <w:bottom w:val="single" w:color="auto" w:sz="4" w:space="0"/>
                    <w:right w:val="single" w:color="auto" w:sz="4" w:space="0"/>
                  </w:tcBorders>
                  <w:vAlign w:val="center"/>
                </w:tcPr>
                <w:p w14:paraId="2F836899">
                  <w:pPr>
                    <w:pStyle w:val="120"/>
                    <w:keepNext w:val="0"/>
                    <w:keepLines w:val="0"/>
                    <w:pageBreakBefore w:val="0"/>
                    <w:framePr w:hSpace="0" w:wrap="auto" w:vAnchor="margin" w:hAnchor="text" w:xAlign="left" w:yAlign="inline"/>
                    <w:suppressLineNumbers w:val="0"/>
                    <w:kinsoku/>
                    <w:wordWrap/>
                    <w:overflowPunct/>
                    <w:topLinePunct w:val="0"/>
                    <w:bidi w:val="0"/>
                    <w:adjustRightInd w:val="0"/>
                    <w:snapToGrid w:val="0"/>
                    <w:spacing w:before="0" w:beforeAutospacing="0" w:after="0" w:afterAutospacing="0" w:line="276" w:lineRule="auto"/>
                    <w:ind w:left="0" w:right="0"/>
                    <w:jc w:val="center"/>
                    <w:rPr>
                      <w:rFonts w:hint="default" w:ascii="Times New Roman" w:hAnsi="Times New Roman" w:eastAsia="宋体" w:cs="Times New Roman"/>
                      <w:color w:val="auto"/>
                      <w:sz w:val="18"/>
                      <w:szCs w:val="18"/>
                      <w:highlight w:val="none"/>
                      <w:lang w:val="en-US" w:eastAsia="zh-CN"/>
                    </w:rPr>
                  </w:pPr>
                  <w:r>
                    <w:rPr>
                      <w:rFonts w:hint="eastAsia" w:ascii="Times New Roman" w:hAnsi="Times New Roman" w:eastAsia="宋体" w:cs="Times New Roman"/>
                      <w:color w:val="auto"/>
                      <w:sz w:val="18"/>
                      <w:szCs w:val="18"/>
                      <w:highlight w:val="none"/>
                    </w:rPr>
                    <w:t>250mL/瓶</w:t>
                  </w:r>
                </w:p>
              </w:tc>
              <w:tc>
                <w:tcPr>
                  <w:tcW w:w="586" w:type="pct"/>
                  <w:tcBorders>
                    <w:top w:val="single" w:color="auto" w:sz="4" w:space="0"/>
                    <w:left w:val="single" w:color="auto" w:sz="4" w:space="0"/>
                    <w:bottom w:val="single" w:color="auto" w:sz="4" w:space="0"/>
                    <w:right w:val="single" w:color="auto" w:sz="4" w:space="0"/>
                  </w:tcBorders>
                  <w:vAlign w:val="center"/>
                </w:tcPr>
                <w:p w14:paraId="185B78B6">
                  <w:pPr>
                    <w:pStyle w:val="120"/>
                    <w:keepNext w:val="0"/>
                    <w:keepLines w:val="0"/>
                    <w:pageBreakBefore w:val="0"/>
                    <w:framePr w:hSpace="0" w:wrap="auto" w:vAnchor="margin" w:hAnchor="text" w:xAlign="left" w:yAlign="inline"/>
                    <w:suppressLineNumbers w:val="0"/>
                    <w:kinsoku/>
                    <w:wordWrap/>
                    <w:overflowPunct/>
                    <w:topLinePunct w:val="0"/>
                    <w:bidi w:val="0"/>
                    <w:adjustRightInd w:val="0"/>
                    <w:snapToGrid w:val="0"/>
                    <w:spacing w:before="0" w:beforeAutospacing="0" w:after="0" w:afterAutospacing="0" w:line="276" w:lineRule="auto"/>
                    <w:ind w:left="0" w:right="0"/>
                    <w:jc w:val="center"/>
                    <w:rPr>
                      <w:rFonts w:hint="default" w:ascii="Times New Roman" w:hAnsi="Times New Roman" w:eastAsia="宋体" w:cs="Times New Roman"/>
                      <w:color w:val="auto"/>
                      <w:sz w:val="18"/>
                      <w:szCs w:val="18"/>
                      <w:highlight w:val="none"/>
                      <w:lang w:val="en-US" w:eastAsia="zh-CN"/>
                    </w:rPr>
                  </w:pPr>
                  <w:r>
                    <w:rPr>
                      <w:rFonts w:hint="eastAsia" w:ascii="Times New Roman" w:hAnsi="Times New Roman" w:eastAsia="宋体" w:cs="Times New Roman"/>
                      <w:color w:val="auto"/>
                      <w:sz w:val="18"/>
                      <w:szCs w:val="18"/>
                      <w:highlight w:val="none"/>
                    </w:rPr>
                    <w:t>2</w:t>
                  </w:r>
                  <w:r>
                    <w:rPr>
                      <w:rFonts w:hint="eastAsia" w:cs="Times New Roman"/>
                      <w:color w:val="auto"/>
                      <w:sz w:val="18"/>
                      <w:szCs w:val="18"/>
                      <w:highlight w:val="none"/>
                      <w:lang w:val="en-US" w:eastAsia="zh-CN"/>
                    </w:rPr>
                    <w:t>.</w:t>
                  </w:r>
                  <w:r>
                    <w:rPr>
                      <w:rFonts w:hint="eastAsia" w:ascii="Times New Roman" w:hAnsi="Times New Roman" w:eastAsia="宋体" w:cs="Times New Roman"/>
                      <w:color w:val="auto"/>
                      <w:sz w:val="18"/>
                      <w:szCs w:val="18"/>
                      <w:highlight w:val="none"/>
                    </w:rPr>
                    <w:t>5L</w:t>
                  </w:r>
                </w:p>
              </w:tc>
              <w:tc>
                <w:tcPr>
                  <w:tcW w:w="368" w:type="pct"/>
                  <w:tcBorders>
                    <w:top w:val="single" w:color="auto" w:sz="4" w:space="0"/>
                    <w:left w:val="single" w:color="auto" w:sz="4" w:space="0"/>
                    <w:bottom w:val="single" w:color="auto" w:sz="4" w:space="0"/>
                    <w:right w:val="single" w:color="auto" w:sz="4" w:space="0"/>
                  </w:tcBorders>
                  <w:vAlign w:val="center"/>
                </w:tcPr>
                <w:p w14:paraId="757D3AAC">
                  <w:pPr>
                    <w:pStyle w:val="120"/>
                    <w:keepNext w:val="0"/>
                    <w:keepLines w:val="0"/>
                    <w:pageBreakBefore w:val="0"/>
                    <w:framePr w:hSpace="0" w:wrap="auto" w:vAnchor="margin" w:hAnchor="text" w:xAlign="left" w:yAlign="inline"/>
                    <w:suppressLineNumbers w:val="0"/>
                    <w:kinsoku/>
                    <w:wordWrap/>
                    <w:overflowPunct/>
                    <w:topLinePunct w:val="0"/>
                    <w:bidi w:val="0"/>
                    <w:adjustRightInd w:val="0"/>
                    <w:snapToGrid w:val="0"/>
                    <w:spacing w:before="0" w:beforeAutospacing="0" w:after="0" w:afterAutospacing="0" w:line="276" w:lineRule="auto"/>
                    <w:ind w:left="0" w:right="0"/>
                    <w:jc w:val="center"/>
                    <w:rPr>
                      <w:rFonts w:hint="eastAsia" w:ascii="Times New Roman" w:hAnsi="Times New Roman" w:eastAsia="宋体" w:cs="Times New Roman"/>
                      <w:color w:val="auto"/>
                      <w:sz w:val="18"/>
                      <w:szCs w:val="18"/>
                      <w:highlight w:val="none"/>
                      <w:lang w:val="en-US" w:eastAsia="zh-CN"/>
                    </w:rPr>
                  </w:pPr>
                  <w:r>
                    <w:rPr>
                      <w:rFonts w:hint="eastAsia" w:ascii="Times New Roman" w:hAnsi="Times New Roman" w:eastAsia="宋体" w:cs="Times New Roman"/>
                      <w:color w:val="auto"/>
                      <w:sz w:val="18"/>
                      <w:szCs w:val="18"/>
                      <w:highlight w:val="none"/>
                      <w:lang w:eastAsia="zh-CN"/>
                    </w:rPr>
                    <w:t>液态</w:t>
                  </w:r>
                </w:p>
              </w:tc>
              <w:tc>
                <w:tcPr>
                  <w:tcW w:w="892" w:type="pct"/>
                  <w:vMerge w:val="continue"/>
                  <w:tcBorders>
                    <w:left w:val="single" w:color="auto" w:sz="4" w:space="0"/>
                    <w:right w:val="single" w:color="auto" w:sz="4" w:space="0"/>
                  </w:tcBorders>
                  <w:vAlign w:val="center"/>
                </w:tcPr>
                <w:p w14:paraId="3A146972">
                  <w:pPr>
                    <w:keepNext w:val="0"/>
                    <w:keepLines w:val="0"/>
                    <w:pageBreakBefore w:val="0"/>
                    <w:suppressLineNumbers w:val="0"/>
                    <w:kinsoku/>
                    <w:wordWrap/>
                    <w:overflowPunct/>
                    <w:topLinePunct w:val="0"/>
                    <w:bidi w:val="0"/>
                    <w:adjustRightInd w:val="0"/>
                    <w:snapToGrid w:val="0"/>
                    <w:spacing w:before="0" w:beforeAutospacing="0" w:after="0" w:afterAutospacing="0" w:line="276" w:lineRule="auto"/>
                    <w:ind w:left="0" w:right="0"/>
                    <w:jc w:val="center"/>
                    <w:rPr>
                      <w:rFonts w:hint="default" w:ascii="Times New Roman" w:hAnsi="Times New Roman" w:eastAsia="宋体" w:cs="Times New Roman"/>
                      <w:sz w:val="18"/>
                      <w:szCs w:val="18"/>
                      <w:highlight w:val="none"/>
                    </w:rPr>
                  </w:pPr>
                </w:p>
              </w:tc>
            </w:tr>
            <w:tr w14:paraId="7EF0AFB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7" w:type="dxa"/>
                  <w:bottom w:w="0" w:type="dxa"/>
                  <w:right w:w="17" w:type="dxa"/>
                </w:tblCellMar>
              </w:tblPrEx>
              <w:trPr>
                <w:trHeight w:val="0" w:hRule="atLeast"/>
                <w:jc w:val="center"/>
              </w:trPr>
              <w:tc>
                <w:tcPr>
                  <w:tcW w:w="283" w:type="pct"/>
                  <w:tcBorders>
                    <w:top w:val="single" w:color="auto" w:sz="4" w:space="0"/>
                    <w:left w:val="single" w:color="auto" w:sz="4" w:space="0"/>
                    <w:bottom w:val="single" w:color="auto" w:sz="4" w:space="0"/>
                    <w:right w:val="single" w:color="auto" w:sz="4" w:space="0"/>
                  </w:tcBorders>
                  <w:vAlign w:val="center"/>
                </w:tcPr>
                <w:p w14:paraId="22ED7776">
                  <w:pPr>
                    <w:keepNext w:val="0"/>
                    <w:keepLines w:val="0"/>
                    <w:pageBreakBefore w:val="0"/>
                    <w:suppressLineNumbers w:val="0"/>
                    <w:kinsoku/>
                    <w:wordWrap/>
                    <w:overflowPunct/>
                    <w:topLinePunct w:val="0"/>
                    <w:bidi w:val="0"/>
                    <w:adjustRightInd w:val="0"/>
                    <w:snapToGrid w:val="0"/>
                    <w:spacing w:before="0" w:beforeAutospacing="0" w:after="0" w:afterAutospacing="0" w:line="276" w:lineRule="auto"/>
                    <w:ind w:left="0" w:right="0"/>
                    <w:jc w:val="center"/>
                    <w:rPr>
                      <w:rFonts w:hint="eastAsia" w:cs="Times New Roman"/>
                      <w:kern w:val="2"/>
                      <w:sz w:val="18"/>
                      <w:szCs w:val="18"/>
                      <w:highlight w:val="none"/>
                      <w:lang w:val="en-US" w:eastAsia="zh-CN" w:bidi="ar-SA"/>
                    </w:rPr>
                  </w:pPr>
                  <w:r>
                    <w:rPr>
                      <w:rFonts w:hint="eastAsia" w:cs="Times New Roman"/>
                      <w:kern w:val="2"/>
                      <w:sz w:val="18"/>
                      <w:szCs w:val="18"/>
                      <w:highlight w:val="none"/>
                      <w:lang w:val="en-US" w:eastAsia="zh-CN" w:bidi="ar-SA"/>
                    </w:rPr>
                    <w:t>29</w:t>
                  </w:r>
                </w:p>
              </w:tc>
              <w:tc>
                <w:tcPr>
                  <w:tcW w:w="894" w:type="pct"/>
                  <w:tcBorders>
                    <w:top w:val="single" w:color="auto" w:sz="4" w:space="0"/>
                    <w:left w:val="single" w:color="auto" w:sz="4" w:space="0"/>
                    <w:bottom w:val="single" w:color="auto" w:sz="4" w:space="0"/>
                    <w:right w:val="single" w:color="auto" w:sz="4" w:space="0"/>
                  </w:tcBorders>
                  <w:vAlign w:val="center"/>
                </w:tcPr>
                <w:p w14:paraId="6197FF08">
                  <w:pPr>
                    <w:pStyle w:val="120"/>
                    <w:keepNext w:val="0"/>
                    <w:keepLines w:val="0"/>
                    <w:pageBreakBefore w:val="0"/>
                    <w:framePr w:hSpace="0" w:wrap="auto" w:vAnchor="margin" w:hAnchor="text" w:xAlign="left" w:yAlign="inline"/>
                    <w:suppressLineNumbers w:val="0"/>
                    <w:kinsoku/>
                    <w:wordWrap/>
                    <w:overflowPunct/>
                    <w:topLinePunct w:val="0"/>
                    <w:bidi w:val="0"/>
                    <w:adjustRightInd w:val="0"/>
                    <w:snapToGrid w:val="0"/>
                    <w:spacing w:before="0" w:beforeAutospacing="0" w:after="0" w:afterAutospacing="0" w:line="276" w:lineRule="auto"/>
                    <w:ind w:left="0" w:right="0"/>
                    <w:jc w:val="center"/>
                    <w:rPr>
                      <w:rFonts w:hint="eastAsia" w:ascii="Times New Roman" w:hAnsi="Times New Roman" w:eastAsia="宋体" w:cs="Times New Roman"/>
                      <w:color w:val="auto"/>
                      <w:sz w:val="18"/>
                      <w:szCs w:val="18"/>
                      <w:highlight w:val="none"/>
                      <w:lang w:val="en-US" w:eastAsia="zh-CN"/>
                    </w:rPr>
                  </w:pPr>
                  <w:r>
                    <w:rPr>
                      <w:rFonts w:hint="eastAsia" w:ascii="Times New Roman" w:hAnsi="Times New Roman" w:eastAsia="宋体" w:cs="Times New Roman"/>
                      <w:color w:val="auto"/>
                      <w:sz w:val="18"/>
                      <w:szCs w:val="18"/>
                      <w:highlight w:val="none"/>
                    </w:rPr>
                    <w:t>乙酸乙酯</w:t>
                  </w:r>
                </w:p>
              </w:tc>
              <w:tc>
                <w:tcPr>
                  <w:tcW w:w="523" w:type="pct"/>
                  <w:tcBorders>
                    <w:top w:val="single" w:color="auto" w:sz="4" w:space="0"/>
                    <w:left w:val="single" w:color="auto" w:sz="4" w:space="0"/>
                    <w:bottom w:val="single" w:color="auto" w:sz="4" w:space="0"/>
                    <w:right w:val="single" w:color="auto" w:sz="4" w:space="0"/>
                  </w:tcBorders>
                  <w:vAlign w:val="center"/>
                </w:tcPr>
                <w:p w14:paraId="4515917D">
                  <w:pPr>
                    <w:pStyle w:val="120"/>
                    <w:keepNext w:val="0"/>
                    <w:keepLines w:val="0"/>
                    <w:pageBreakBefore w:val="0"/>
                    <w:framePr w:hSpace="0" w:wrap="auto" w:vAnchor="margin" w:hAnchor="text" w:xAlign="left" w:yAlign="inline"/>
                    <w:suppressLineNumbers w:val="0"/>
                    <w:kinsoku/>
                    <w:wordWrap/>
                    <w:overflowPunct/>
                    <w:topLinePunct w:val="0"/>
                    <w:bidi w:val="0"/>
                    <w:adjustRightInd w:val="0"/>
                    <w:snapToGrid w:val="0"/>
                    <w:spacing w:before="0" w:beforeAutospacing="0" w:after="0" w:afterAutospacing="0" w:line="276" w:lineRule="auto"/>
                    <w:ind w:left="0" w:right="0"/>
                    <w:jc w:val="center"/>
                    <w:rPr>
                      <w:rFonts w:hint="default" w:ascii="Times New Roman" w:hAnsi="Times New Roman" w:eastAsia="宋体" w:cs="Times New Roman"/>
                      <w:color w:val="auto"/>
                      <w:sz w:val="18"/>
                      <w:szCs w:val="18"/>
                      <w:highlight w:val="none"/>
                      <w:lang w:val="en-US" w:eastAsia="zh-CN"/>
                    </w:rPr>
                  </w:pPr>
                  <w:r>
                    <w:rPr>
                      <w:rFonts w:hint="eastAsia" w:ascii="Times New Roman" w:hAnsi="Times New Roman" w:eastAsia="宋体" w:cs="Times New Roman"/>
                      <w:color w:val="auto"/>
                      <w:sz w:val="18"/>
                      <w:szCs w:val="18"/>
                      <w:highlight w:val="none"/>
                      <w:lang w:val="en-US" w:eastAsia="zh-CN"/>
                    </w:rPr>
                    <w:t>120</w:t>
                  </w:r>
                  <w:r>
                    <w:rPr>
                      <w:rFonts w:hint="eastAsia" w:ascii="Times New Roman" w:hAnsi="Times New Roman" w:eastAsia="宋体" w:cs="Times New Roman"/>
                      <w:color w:val="auto"/>
                      <w:sz w:val="18"/>
                      <w:szCs w:val="18"/>
                      <w:highlight w:val="none"/>
                    </w:rPr>
                    <w:t>0L</w:t>
                  </w:r>
                </w:p>
              </w:tc>
              <w:tc>
                <w:tcPr>
                  <w:tcW w:w="1451" w:type="pct"/>
                  <w:tcBorders>
                    <w:top w:val="single" w:color="auto" w:sz="4" w:space="0"/>
                    <w:left w:val="single" w:color="auto" w:sz="4" w:space="0"/>
                    <w:bottom w:val="single" w:color="auto" w:sz="4" w:space="0"/>
                    <w:right w:val="single" w:color="auto" w:sz="4" w:space="0"/>
                  </w:tcBorders>
                  <w:vAlign w:val="center"/>
                </w:tcPr>
                <w:p w14:paraId="2CB9153E">
                  <w:pPr>
                    <w:pStyle w:val="120"/>
                    <w:keepNext w:val="0"/>
                    <w:keepLines w:val="0"/>
                    <w:pageBreakBefore w:val="0"/>
                    <w:framePr w:hSpace="0" w:wrap="auto" w:vAnchor="margin" w:hAnchor="text" w:xAlign="left" w:yAlign="inline"/>
                    <w:suppressLineNumbers w:val="0"/>
                    <w:kinsoku/>
                    <w:wordWrap/>
                    <w:overflowPunct/>
                    <w:topLinePunct w:val="0"/>
                    <w:bidi w:val="0"/>
                    <w:adjustRightInd w:val="0"/>
                    <w:snapToGrid w:val="0"/>
                    <w:spacing w:before="0" w:beforeAutospacing="0" w:after="0" w:afterAutospacing="0" w:line="276" w:lineRule="auto"/>
                    <w:ind w:left="0" w:right="0"/>
                    <w:jc w:val="center"/>
                    <w:rPr>
                      <w:rFonts w:hint="default" w:ascii="Times New Roman" w:hAnsi="Times New Roman" w:eastAsia="宋体" w:cs="Times New Roman"/>
                      <w:color w:val="auto"/>
                      <w:sz w:val="18"/>
                      <w:szCs w:val="18"/>
                      <w:highlight w:val="none"/>
                      <w:lang w:val="en-US" w:eastAsia="zh-CN"/>
                    </w:rPr>
                  </w:pPr>
                  <w:r>
                    <w:rPr>
                      <w:rFonts w:hint="eastAsia" w:ascii="Times New Roman" w:hAnsi="Times New Roman" w:eastAsia="宋体" w:cs="Times New Roman"/>
                      <w:color w:val="auto"/>
                      <w:sz w:val="18"/>
                      <w:szCs w:val="18"/>
                      <w:highlight w:val="none"/>
                    </w:rPr>
                    <w:t>500mL/瓶</w:t>
                  </w:r>
                </w:p>
              </w:tc>
              <w:tc>
                <w:tcPr>
                  <w:tcW w:w="586" w:type="pct"/>
                  <w:tcBorders>
                    <w:top w:val="single" w:color="auto" w:sz="4" w:space="0"/>
                    <w:left w:val="single" w:color="auto" w:sz="4" w:space="0"/>
                    <w:bottom w:val="single" w:color="auto" w:sz="4" w:space="0"/>
                    <w:right w:val="single" w:color="auto" w:sz="4" w:space="0"/>
                  </w:tcBorders>
                  <w:vAlign w:val="center"/>
                </w:tcPr>
                <w:p w14:paraId="4A7B66F5">
                  <w:pPr>
                    <w:pStyle w:val="120"/>
                    <w:keepNext w:val="0"/>
                    <w:keepLines w:val="0"/>
                    <w:pageBreakBefore w:val="0"/>
                    <w:framePr w:hSpace="0" w:wrap="auto" w:vAnchor="margin" w:hAnchor="text" w:xAlign="left" w:yAlign="inline"/>
                    <w:suppressLineNumbers w:val="0"/>
                    <w:kinsoku/>
                    <w:wordWrap/>
                    <w:overflowPunct/>
                    <w:topLinePunct w:val="0"/>
                    <w:bidi w:val="0"/>
                    <w:adjustRightInd w:val="0"/>
                    <w:snapToGrid w:val="0"/>
                    <w:spacing w:before="0" w:beforeAutospacing="0" w:after="0" w:afterAutospacing="0" w:line="276" w:lineRule="auto"/>
                    <w:ind w:left="0" w:right="0"/>
                    <w:jc w:val="center"/>
                    <w:rPr>
                      <w:rFonts w:hint="default" w:ascii="Times New Roman" w:hAnsi="Times New Roman" w:eastAsia="宋体" w:cs="Times New Roman"/>
                      <w:color w:val="auto"/>
                      <w:sz w:val="18"/>
                      <w:szCs w:val="18"/>
                      <w:highlight w:val="none"/>
                      <w:lang w:val="en-US" w:eastAsia="zh-CN"/>
                    </w:rPr>
                  </w:pPr>
                  <w:r>
                    <w:rPr>
                      <w:rFonts w:hint="eastAsia" w:ascii="Times New Roman" w:hAnsi="Times New Roman" w:eastAsia="宋体" w:cs="Times New Roman"/>
                      <w:color w:val="auto"/>
                      <w:sz w:val="18"/>
                      <w:szCs w:val="18"/>
                      <w:highlight w:val="none"/>
                      <w:lang w:val="en-US" w:eastAsia="zh-CN"/>
                    </w:rPr>
                    <w:t>120</w:t>
                  </w:r>
                  <w:r>
                    <w:rPr>
                      <w:rFonts w:hint="eastAsia" w:ascii="Times New Roman" w:hAnsi="Times New Roman" w:eastAsia="宋体" w:cs="Times New Roman"/>
                      <w:color w:val="auto"/>
                      <w:sz w:val="18"/>
                      <w:szCs w:val="18"/>
                      <w:highlight w:val="none"/>
                    </w:rPr>
                    <w:t>L</w:t>
                  </w:r>
                </w:p>
              </w:tc>
              <w:tc>
                <w:tcPr>
                  <w:tcW w:w="368" w:type="pct"/>
                  <w:tcBorders>
                    <w:top w:val="single" w:color="auto" w:sz="4" w:space="0"/>
                    <w:left w:val="single" w:color="auto" w:sz="4" w:space="0"/>
                    <w:bottom w:val="single" w:color="auto" w:sz="4" w:space="0"/>
                    <w:right w:val="single" w:color="auto" w:sz="4" w:space="0"/>
                  </w:tcBorders>
                  <w:vAlign w:val="center"/>
                </w:tcPr>
                <w:p w14:paraId="203D7F6B">
                  <w:pPr>
                    <w:pStyle w:val="120"/>
                    <w:keepNext w:val="0"/>
                    <w:keepLines w:val="0"/>
                    <w:pageBreakBefore w:val="0"/>
                    <w:framePr w:hSpace="0" w:wrap="auto" w:vAnchor="margin" w:hAnchor="text" w:xAlign="left" w:yAlign="inline"/>
                    <w:suppressLineNumbers w:val="0"/>
                    <w:kinsoku/>
                    <w:wordWrap/>
                    <w:overflowPunct/>
                    <w:topLinePunct w:val="0"/>
                    <w:bidi w:val="0"/>
                    <w:adjustRightInd w:val="0"/>
                    <w:snapToGrid w:val="0"/>
                    <w:spacing w:before="0" w:beforeAutospacing="0" w:after="0" w:afterAutospacing="0" w:line="276" w:lineRule="auto"/>
                    <w:ind w:left="0" w:right="0"/>
                    <w:jc w:val="center"/>
                    <w:rPr>
                      <w:rFonts w:hint="eastAsia" w:ascii="Times New Roman" w:hAnsi="Times New Roman" w:eastAsia="宋体" w:cs="Times New Roman"/>
                      <w:color w:val="auto"/>
                      <w:sz w:val="18"/>
                      <w:szCs w:val="18"/>
                      <w:highlight w:val="none"/>
                      <w:lang w:val="en-US" w:eastAsia="zh-CN"/>
                    </w:rPr>
                  </w:pPr>
                  <w:r>
                    <w:rPr>
                      <w:rFonts w:hint="eastAsia" w:ascii="Times New Roman" w:hAnsi="Times New Roman" w:eastAsia="宋体" w:cs="Times New Roman"/>
                      <w:color w:val="auto"/>
                      <w:sz w:val="18"/>
                      <w:szCs w:val="18"/>
                      <w:highlight w:val="none"/>
                      <w:lang w:eastAsia="zh-CN"/>
                    </w:rPr>
                    <w:t>液态</w:t>
                  </w:r>
                </w:p>
              </w:tc>
              <w:tc>
                <w:tcPr>
                  <w:tcW w:w="892" w:type="pct"/>
                  <w:vMerge w:val="continue"/>
                  <w:tcBorders>
                    <w:left w:val="single" w:color="auto" w:sz="4" w:space="0"/>
                    <w:right w:val="single" w:color="auto" w:sz="4" w:space="0"/>
                  </w:tcBorders>
                  <w:vAlign w:val="center"/>
                </w:tcPr>
                <w:p w14:paraId="6A42B148">
                  <w:pPr>
                    <w:keepNext w:val="0"/>
                    <w:keepLines w:val="0"/>
                    <w:pageBreakBefore w:val="0"/>
                    <w:suppressLineNumbers w:val="0"/>
                    <w:kinsoku/>
                    <w:wordWrap/>
                    <w:overflowPunct/>
                    <w:topLinePunct w:val="0"/>
                    <w:bidi w:val="0"/>
                    <w:adjustRightInd w:val="0"/>
                    <w:snapToGrid w:val="0"/>
                    <w:spacing w:before="0" w:beforeAutospacing="0" w:after="0" w:afterAutospacing="0" w:line="276" w:lineRule="auto"/>
                    <w:ind w:left="0" w:right="0"/>
                    <w:jc w:val="center"/>
                    <w:rPr>
                      <w:rFonts w:hint="default" w:ascii="Times New Roman" w:hAnsi="Times New Roman" w:eastAsia="宋体" w:cs="Times New Roman"/>
                      <w:sz w:val="18"/>
                      <w:szCs w:val="18"/>
                      <w:highlight w:val="none"/>
                    </w:rPr>
                  </w:pPr>
                </w:p>
              </w:tc>
            </w:tr>
            <w:tr w14:paraId="34EB8F4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7" w:type="dxa"/>
                  <w:bottom w:w="0" w:type="dxa"/>
                  <w:right w:w="17" w:type="dxa"/>
                </w:tblCellMar>
              </w:tblPrEx>
              <w:trPr>
                <w:trHeight w:val="0" w:hRule="atLeast"/>
                <w:jc w:val="center"/>
              </w:trPr>
              <w:tc>
                <w:tcPr>
                  <w:tcW w:w="283" w:type="pct"/>
                  <w:tcBorders>
                    <w:top w:val="single" w:color="auto" w:sz="4" w:space="0"/>
                    <w:left w:val="single" w:color="auto" w:sz="4" w:space="0"/>
                    <w:bottom w:val="single" w:color="auto" w:sz="4" w:space="0"/>
                    <w:right w:val="single" w:color="auto" w:sz="4" w:space="0"/>
                  </w:tcBorders>
                  <w:vAlign w:val="center"/>
                </w:tcPr>
                <w:p w14:paraId="0104436D">
                  <w:pPr>
                    <w:keepNext w:val="0"/>
                    <w:keepLines w:val="0"/>
                    <w:pageBreakBefore w:val="0"/>
                    <w:suppressLineNumbers w:val="0"/>
                    <w:kinsoku/>
                    <w:wordWrap/>
                    <w:overflowPunct/>
                    <w:topLinePunct w:val="0"/>
                    <w:bidi w:val="0"/>
                    <w:adjustRightInd w:val="0"/>
                    <w:snapToGrid w:val="0"/>
                    <w:spacing w:before="0" w:beforeAutospacing="0" w:after="0" w:afterAutospacing="0" w:line="276" w:lineRule="auto"/>
                    <w:ind w:left="0" w:right="0"/>
                    <w:jc w:val="center"/>
                    <w:rPr>
                      <w:rFonts w:hint="eastAsia" w:cs="Times New Roman"/>
                      <w:kern w:val="2"/>
                      <w:sz w:val="18"/>
                      <w:szCs w:val="18"/>
                      <w:highlight w:val="none"/>
                      <w:lang w:val="en-US" w:eastAsia="zh-CN" w:bidi="ar-SA"/>
                    </w:rPr>
                  </w:pPr>
                  <w:r>
                    <w:rPr>
                      <w:rFonts w:hint="eastAsia" w:cs="Times New Roman"/>
                      <w:kern w:val="2"/>
                      <w:sz w:val="18"/>
                      <w:szCs w:val="18"/>
                      <w:highlight w:val="none"/>
                      <w:lang w:val="en-US" w:eastAsia="zh-CN" w:bidi="ar-SA"/>
                    </w:rPr>
                    <w:t>30</w:t>
                  </w:r>
                </w:p>
              </w:tc>
              <w:tc>
                <w:tcPr>
                  <w:tcW w:w="894" w:type="pct"/>
                  <w:tcBorders>
                    <w:top w:val="single" w:color="auto" w:sz="4" w:space="0"/>
                    <w:left w:val="single" w:color="auto" w:sz="4" w:space="0"/>
                    <w:bottom w:val="single" w:color="auto" w:sz="4" w:space="0"/>
                    <w:right w:val="single" w:color="auto" w:sz="4" w:space="0"/>
                  </w:tcBorders>
                  <w:vAlign w:val="center"/>
                </w:tcPr>
                <w:p w14:paraId="3A7E8F00">
                  <w:pPr>
                    <w:pStyle w:val="120"/>
                    <w:keepNext w:val="0"/>
                    <w:keepLines w:val="0"/>
                    <w:pageBreakBefore w:val="0"/>
                    <w:framePr w:hSpace="0" w:wrap="auto" w:vAnchor="margin" w:hAnchor="text" w:xAlign="left" w:yAlign="inline"/>
                    <w:suppressLineNumbers w:val="0"/>
                    <w:kinsoku/>
                    <w:wordWrap/>
                    <w:overflowPunct/>
                    <w:topLinePunct w:val="0"/>
                    <w:bidi w:val="0"/>
                    <w:adjustRightInd w:val="0"/>
                    <w:snapToGrid w:val="0"/>
                    <w:spacing w:before="0" w:beforeAutospacing="0" w:after="0" w:afterAutospacing="0" w:line="276" w:lineRule="auto"/>
                    <w:ind w:left="0" w:right="0"/>
                    <w:jc w:val="center"/>
                    <w:rPr>
                      <w:rFonts w:hint="eastAsia" w:ascii="Times New Roman" w:hAnsi="Times New Roman" w:eastAsia="宋体" w:cs="Times New Roman"/>
                      <w:color w:val="auto"/>
                      <w:sz w:val="18"/>
                      <w:szCs w:val="18"/>
                      <w:highlight w:val="none"/>
                      <w:lang w:val="en-US" w:eastAsia="zh-CN"/>
                    </w:rPr>
                  </w:pPr>
                  <w:r>
                    <w:rPr>
                      <w:rFonts w:hint="eastAsia" w:ascii="Times New Roman" w:hAnsi="Times New Roman" w:eastAsia="宋体" w:cs="Times New Roman"/>
                      <w:color w:val="auto"/>
                      <w:sz w:val="18"/>
                      <w:szCs w:val="18"/>
                      <w:highlight w:val="none"/>
                    </w:rPr>
                    <w:t>三乙基胺</w:t>
                  </w:r>
                </w:p>
              </w:tc>
              <w:tc>
                <w:tcPr>
                  <w:tcW w:w="523" w:type="pct"/>
                  <w:tcBorders>
                    <w:top w:val="single" w:color="auto" w:sz="4" w:space="0"/>
                    <w:left w:val="single" w:color="auto" w:sz="4" w:space="0"/>
                    <w:bottom w:val="single" w:color="auto" w:sz="4" w:space="0"/>
                    <w:right w:val="single" w:color="auto" w:sz="4" w:space="0"/>
                  </w:tcBorders>
                  <w:vAlign w:val="center"/>
                </w:tcPr>
                <w:p w14:paraId="1D351246">
                  <w:pPr>
                    <w:pStyle w:val="120"/>
                    <w:keepNext w:val="0"/>
                    <w:keepLines w:val="0"/>
                    <w:pageBreakBefore w:val="0"/>
                    <w:framePr w:hSpace="0" w:wrap="auto" w:vAnchor="margin" w:hAnchor="text" w:xAlign="left" w:yAlign="inline"/>
                    <w:suppressLineNumbers w:val="0"/>
                    <w:kinsoku/>
                    <w:wordWrap/>
                    <w:overflowPunct/>
                    <w:topLinePunct w:val="0"/>
                    <w:bidi w:val="0"/>
                    <w:adjustRightInd w:val="0"/>
                    <w:snapToGrid w:val="0"/>
                    <w:spacing w:before="0" w:beforeAutospacing="0" w:after="0" w:afterAutospacing="0" w:line="276" w:lineRule="auto"/>
                    <w:ind w:left="0" w:right="0"/>
                    <w:jc w:val="center"/>
                    <w:rPr>
                      <w:rFonts w:hint="default" w:ascii="Times New Roman" w:hAnsi="Times New Roman" w:eastAsia="宋体" w:cs="Times New Roman"/>
                      <w:color w:val="auto"/>
                      <w:sz w:val="18"/>
                      <w:szCs w:val="18"/>
                      <w:highlight w:val="none"/>
                      <w:lang w:val="en-US" w:eastAsia="zh-CN"/>
                    </w:rPr>
                  </w:pPr>
                  <w:r>
                    <w:rPr>
                      <w:rFonts w:hint="eastAsia" w:ascii="Times New Roman" w:hAnsi="Times New Roman" w:eastAsia="宋体" w:cs="Times New Roman"/>
                      <w:color w:val="auto"/>
                      <w:sz w:val="18"/>
                      <w:szCs w:val="18"/>
                      <w:highlight w:val="none"/>
                    </w:rPr>
                    <w:t>1L</w:t>
                  </w:r>
                </w:p>
              </w:tc>
              <w:tc>
                <w:tcPr>
                  <w:tcW w:w="1451" w:type="pct"/>
                  <w:tcBorders>
                    <w:top w:val="single" w:color="auto" w:sz="4" w:space="0"/>
                    <w:left w:val="single" w:color="auto" w:sz="4" w:space="0"/>
                    <w:bottom w:val="single" w:color="auto" w:sz="4" w:space="0"/>
                    <w:right w:val="single" w:color="auto" w:sz="4" w:space="0"/>
                  </w:tcBorders>
                  <w:vAlign w:val="center"/>
                </w:tcPr>
                <w:p w14:paraId="27FC9881">
                  <w:pPr>
                    <w:pStyle w:val="120"/>
                    <w:keepNext w:val="0"/>
                    <w:keepLines w:val="0"/>
                    <w:pageBreakBefore w:val="0"/>
                    <w:framePr w:hSpace="0" w:wrap="auto" w:vAnchor="margin" w:hAnchor="text" w:xAlign="left" w:yAlign="inline"/>
                    <w:suppressLineNumbers w:val="0"/>
                    <w:kinsoku/>
                    <w:wordWrap/>
                    <w:overflowPunct/>
                    <w:topLinePunct w:val="0"/>
                    <w:bidi w:val="0"/>
                    <w:adjustRightInd w:val="0"/>
                    <w:snapToGrid w:val="0"/>
                    <w:spacing w:before="0" w:beforeAutospacing="0" w:after="0" w:afterAutospacing="0" w:line="276" w:lineRule="auto"/>
                    <w:ind w:left="0" w:right="0"/>
                    <w:jc w:val="center"/>
                    <w:rPr>
                      <w:rFonts w:hint="default" w:ascii="Times New Roman" w:hAnsi="Times New Roman" w:eastAsia="宋体" w:cs="Times New Roman"/>
                      <w:color w:val="auto"/>
                      <w:sz w:val="18"/>
                      <w:szCs w:val="18"/>
                      <w:highlight w:val="none"/>
                      <w:lang w:val="en-US" w:eastAsia="zh-CN"/>
                    </w:rPr>
                  </w:pPr>
                  <w:r>
                    <w:rPr>
                      <w:rFonts w:hint="eastAsia" w:ascii="Times New Roman" w:hAnsi="Times New Roman" w:eastAsia="宋体" w:cs="Times New Roman"/>
                      <w:color w:val="auto"/>
                      <w:sz w:val="18"/>
                      <w:szCs w:val="18"/>
                      <w:highlight w:val="none"/>
                    </w:rPr>
                    <w:t>500mL/瓶</w:t>
                  </w:r>
                </w:p>
              </w:tc>
              <w:tc>
                <w:tcPr>
                  <w:tcW w:w="586" w:type="pct"/>
                  <w:tcBorders>
                    <w:top w:val="single" w:color="auto" w:sz="4" w:space="0"/>
                    <w:left w:val="single" w:color="auto" w:sz="4" w:space="0"/>
                    <w:bottom w:val="single" w:color="auto" w:sz="4" w:space="0"/>
                    <w:right w:val="single" w:color="auto" w:sz="4" w:space="0"/>
                  </w:tcBorders>
                  <w:vAlign w:val="center"/>
                </w:tcPr>
                <w:p w14:paraId="47DB1B50">
                  <w:pPr>
                    <w:pStyle w:val="120"/>
                    <w:keepNext w:val="0"/>
                    <w:keepLines w:val="0"/>
                    <w:pageBreakBefore w:val="0"/>
                    <w:framePr w:hSpace="0" w:wrap="auto" w:vAnchor="margin" w:hAnchor="text" w:xAlign="left" w:yAlign="inline"/>
                    <w:suppressLineNumbers w:val="0"/>
                    <w:kinsoku/>
                    <w:wordWrap/>
                    <w:overflowPunct/>
                    <w:topLinePunct w:val="0"/>
                    <w:bidi w:val="0"/>
                    <w:adjustRightInd w:val="0"/>
                    <w:snapToGrid w:val="0"/>
                    <w:spacing w:before="0" w:beforeAutospacing="0" w:after="0" w:afterAutospacing="0" w:line="276" w:lineRule="auto"/>
                    <w:ind w:left="0" w:right="0"/>
                    <w:jc w:val="center"/>
                    <w:rPr>
                      <w:rFonts w:hint="default" w:ascii="Times New Roman" w:hAnsi="Times New Roman" w:eastAsia="宋体" w:cs="Times New Roman"/>
                      <w:color w:val="auto"/>
                      <w:sz w:val="18"/>
                      <w:szCs w:val="18"/>
                      <w:highlight w:val="none"/>
                      <w:lang w:val="en-US" w:eastAsia="zh-CN"/>
                    </w:rPr>
                  </w:pPr>
                  <w:r>
                    <w:rPr>
                      <w:rFonts w:hint="eastAsia" w:ascii="Times New Roman" w:hAnsi="Times New Roman" w:eastAsia="宋体" w:cs="Times New Roman"/>
                      <w:color w:val="auto"/>
                      <w:sz w:val="18"/>
                      <w:szCs w:val="18"/>
                      <w:highlight w:val="none"/>
                    </w:rPr>
                    <w:t>5L</w:t>
                  </w:r>
                </w:p>
              </w:tc>
              <w:tc>
                <w:tcPr>
                  <w:tcW w:w="368" w:type="pct"/>
                  <w:tcBorders>
                    <w:top w:val="single" w:color="auto" w:sz="4" w:space="0"/>
                    <w:left w:val="single" w:color="auto" w:sz="4" w:space="0"/>
                    <w:bottom w:val="single" w:color="auto" w:sz="4" w:space="0"/>
                    <w:right w:val="single" w:color="auto" w:sz="4" w:space="0"/>
                  </w:tcBorders>
                  <w:vAlign w:val="center"/>
                </w:tcPr>
                <w:p w14:paraId="3EF1C750">
                  <w:pPr>
                    <w:pStyle w:val="120"/>
                    <w:keepNext w:val="0"/>
                    <w:keepLines w:val="0"/>
                    <w:pageBreakBefore w:val="0"/>
                    <w:framePr w:hSpace="0" w:wrap="auto" w:vAnchor="margin" w:hAnchor="text" w:xAlign="left" w:yAlign="inline"/>
                    <w:suppressLineNumbers w:val="0"/>
                    <w:kinsoku/>
                    <w:wordWrap/>
                    <w:overflowPunct/>
                    <w:topLinePunct w:val="0"/>
                    <w:bidi w:val="0"/>
                    <w:adjustRightInd w:val="0"/>
                    <w:snapToGrid w:val="0"/>
                    <w:spacing w:before="0" w:beforeAutospacing="0" w:after="0" w:afterAutospacing="0" w:line="276" w:lineRule="auto"/>
                    <w:ind w:left="0" w:right="0"/>
                    <w:jc w:val="center"/>
                    <w:rPr>
                      <w:rFonts w:hint="eastAsia" w:ascii="Times New Roman" w:hAnsi="Times New Roman" w:eastAsia="宋体" w:cs="Times New Roman"/>
                      <w:color w:val="auto"/>
                      <w:sz w:val="18"/>
                      <w:szCs w:val="18"/>
                      <w:highlight w:val="none"/>
                      <w:lang w:val="en-US" w:eastAsia="zh-CN"/>
                    </w:rPr>
                  </w:pPr>
                  <w:r>
                    <w:rPr>
                      <w:rFonts w:hint="eastAsia" w:ascii="Times New Roman" w:hAnsi="Times New Roman" w:eastAsia="宋体" w:cs="Times New Roman"/>
                      <w:color w:val="auto"/>
                      <w:sz w:val="18"/>
                      <w:szCs w:val="18"/>
                      <w:highlight w:val="none"/>
                      <w:lang w:eastAsia="zh-CN"/>
                    </w:rPr>
                    <w:t>液态</w:t>
                  </w:r>
                </w:p>
              </w:tc>
              <w:tc>
                <w:tcPr>
                  <w:tcW w:w="892" w:type="pct"/>
                  <w:vMerge w:val="continue"/>
                  <w:tcBorders>
                    <w:left w:val="single" w:color="auto" w:sz="4" w:space="0"/>
                    <w:right w:val="single" w:color="auto" w:sz="4" w:space="0"/>
                  </w:tcBorders>
                  <w:vAlign w:val="center"/>
                </w:tcPr>
                <w:p w14:paraId="7554C5BC">
                  <w:pPr>
                    <w:keepNext w:val="0"/>
                    <w:keepLines w:val="0"/>
                    <w:pageBreakBefore w:val="0"/>
                    <w:suppressLineNumbers w:val="0"/>
                    <w:kinsoku/>
                    <w:wordWrap/>
                    <w:overflowPunct/>
                    <w:topLinePunct w:val="0"/>
                    <w:bidi w:val="0"/>
                    <w:adjustRightInd w:val="0"/>
                    <w:snapToGrid w:val="0"/>
                    <w:spacing w:before="0" w:beforeAutospacing="0" w:after="0" w:afterAutospacing="0" w:line="276" w:lineRule="auto"/>
                    <w:ind w:left="0" w:right="0"/>
                    <w:jc w:val="center"/>
                    <w:rPr>
                      <w:rFonts w:hint="default" w:ascii="Times New Roman" w:hAnsi="Times New Roman" w:eastAsia="宋体" w:cs="Times New Roman"/>
                      <w:sz w:val="18"/>
                      <w:szCs w:val="18"/>
                      <w:highlight w:val="none"/>
                    </w:rPr>
                  </w:pPr>
                </w:p>
              </w:tc>
            </w:tr>
            <w:tr w14:paraId="659A58F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7" w:type="dxa"/>
                  <w:bottom w:w="0" w:type="dxa"/>
                  <w:right w:w="17" w:type="dxa"/>
                </w:tblCellMar>
              </w:tblPrEx>
              <w:trPr>
                <w:trHeight w:val="0" w:hRule="atLeast"/>
                <w:jc w:val="center"/>
              </w:trPr>
              <w:tc>
                <w:tcPr>
                  <w:tcW w:w="283" w:type="pct"/>
                  <w:tcBorders>
                    <w:top w:val="single" w:color="auto" w:sz="4" w:space="0"/>
                    <w:left w:val="single" w:color="auto" w:sz="4" w:space="0"/>
                    <w:bottom w:val="single" w:color="auto" w:sz="4" w:space="0"/>
                    <w:right w:val="single" w:color="auto" w:sz="4" w:space="0"/>
                  </w:tcBorders>
                  <w:vAlign w:val="center"/>
                </w:tcPr>
                <w:p w14:paraId="516470D0">
                  <w:pPr>
                    <w:keepNext w:val="0"/>
                    <w:keepLines w:val="0"/>
                    <w:pageBreakBefore w:val="0"/>
                    <w:suppressLineNumbers w:val="0"/>
                    <w:kinsoku/>
                    <w:wordWrap/>
                    <w:overflowPunct/>
                    <w:topLinePunct w:val="0"/>
                    <w:bidi w:val="0"/>
                    <w:adjustRightInd w:val="0"/>
                    <w:snapToGrid w:val="0"/>
                    <w:spacing w:before="0" w:beforeAutospacing="0" w:after="0" w:afterAutospacing="0" w:line="276" w:lineRule="auto"/>
                    <w:ind w:left="0" w:right="0"/>
                    <w:jc w:val="center"/>
                    <w:rPr>
                      <w:rFonts w:hint="eastAsia" w:cs="Times New Roman"/>
                      <w:kern w:val="2"/>
                      <w:sz w:val="18"/>
                      <w:szCs w:val="18"/>
                      <w:highlight w:val="none"/>
                      <w:lang w:val="en-US" w:eastAsia="zh-CN" w:bidi="ar-SA"/>
                    </w:rPr>
                  </w:pPr>
                  <w:r>
                    <w:rPr>
                      <w:rFonts w:hint="eastAsia" w:cs="Times New Roman"/>
                      <w:kern w:val="2"/>
                      <w:sz w:val="18"/>
                      <w:szCs w:val="18"/>
                      <w:highlight w:val="none"/>
                      <w:lang w:val="en-US" w:eastAsia="zh-CN" w:bidi="ar-SA"/>
                    </w:rPr>
                    <w:t>31</w:t>
                  </w:r>
                </w:p>
              </w:tc>
              <w:tc>
                <w:tcPr>
                  <w:tcW w:w="894" w:type="pct"/>
                  <w:tcBorders>
                    <w:top w:val="single" w:color="auto" w:sz="4" w:space="0"/>
                    <w:left w:val="single" w:color="auto" w:sz="4" w:space="0"/>
                    <w:bottom w:val="single" w:color="auto" w:sz="4" w:space="0"/>
                    <w:right w:val="single" w:color="auto" w:sz="4" w:space="0"/>
                  </w:tcBorders>
                  <w:vAlign w:val="center"/>
                </w:tcPr>
                <w:p w14:paraId="5BD77ECB">
                  <w:pPr>
                    <w:pStyle w:val="120"/>
                    <w:keepNext w:val="0"/>
                    <w:keepLines w:val="0"/>
                    <w:pageBreakBefore w:val="0"/>
                    <w:framePr w:hSpace="0" w:wrap="auto" w:vAnchor="margin" w:hAnchor="text" w:xAlign="left" w:yAlign="inline"/>
                    <w:suppressLineNumbers w:val="0"/>
                    <w:kinsoku/>
                    <w:wordWrap/>
                    <w:overflowPunct/>
                    <w:topLinePunct w:val="0"/>
                    <w:bidi w:val="0"/>
                    <w:adjustRightInd w:val="0"/>
                    <w:snapToGrid w:val="0"/>
                    <w:spacing w:before="0" w:beforeAutospacing="0" w:after="0" w:afterAutospacing="0" w:line="276" w:lineRule="auto"/>
                    <w:ind w:left="0" w:right="0"/>
                    <w:jc w:val="center"/>
                    <w:rPr>
                      <w:rFonts w:hint="eastAsia" w:ascii="Times New Roman" w:hAnsi="Times New Roman" w:eastAsia="宋体" w:cs="Times New Roman"/>
                      <w:color w:val="auto"/>
                      <w:sz w:val="18"/>
                      <w:szCs w:val="18"/>
                      <w:highlight w:val="none"/>
                      <w:lang w:val="en-US" w:eastAsia="zh-CN"/>
                    </w:rPr>
                  </w:pPr>
                  <w:r>
                    <w:rPr>
                      <w:rFonts w:hint="eastAsia" w:ascii="Times New Roman" w:hAnsi="Times New Roman" w:eastAsia="宋体" w:cs="Times New Roman"/>
                      <w:color w:val="auto"/>
                      <w:sz w:val="18"/>
                      <w:szCs w:val="18"/>
                      <w:highlight w:val="none"/>
                    </w:rPr>
                    <w:t>石油醚</w:t>
                  </w:r>
                </w:p>
              </w:tc>
              <w:tc>
                <w:tcPr>
                  <w:tcW w:w="523" w:type="pct"/>
                  <w:tcBorders>
                    <w:top w:val="single" w:color="auto" w:sz="4" w:space="0"/>
                    <w:left w:val="single" w:color="auto" w:sz="4" w:space="0"/>
                    <w:bottom w:val="single" w:color="auto" w:sz="4" w:space="0"/>
                    <w:right w:val="single" w:color="auto" w:sz="4" w:space="0"/>
                  </w:tcBorders>
                  <w:vAlign w:val="center"/>
                </w:tcPr>
                <w:p w14:paraId="0C847AF4">
                  <w:pPr>
                    <w:pStyle w:val="120"/>
                    <w:keepNext w:val="0"/>
                    <w:keepLines w:val="0"/>
                    <w:pageBreakBefore w:val="0"/>
                    <w:framePr w:hSpace="0" w:wrap="auto" w:vAnchor="margin" w:hAnchor="text" w:xAlign="left" w:yAlign="inline"/>
                    <w:suppressLineNumbers w:val="0"/>
                    <w:kinsoku/>
                    <w:wordWrap/>
                    <w:overflowPunct/>
                    <w:topLinePunct w:val="0"/>
                    <w:bidi w:val="0"/>
                    <w:adjustRightInd w:val="0"/>
                    <w:snapToGrid w:val="0"/>
                    <w:spacing w:before="0" w:beforeAutospacing="0" w:after="0" w:afterAutospacing="0" w:line="276" w:lineRule="auto"/>
                    <w:ind w:left="0" w:right="0"/>
                    <w:jc w:val="center"/>
                    <w:rPr>
                      <w:rFonts w:hint="default" w:ascii="Times New Roman" w:hAnsi="Times New Roman" w:eastAsia="宋体" w:cs="Times New Roman"/>
                      <w:color w:val="auto"/>
                      <w:sz w:val="18"/>
                      <w:szCs w:val="18"/>
                      <w:highlight w:val="none"/>
                      <w:lang w:val="en-US" w:eastAsia="zh-CN"/>
                    </w:rPr>
                  </w:pPr>
                  <w:r>
                    <w:rPr>
                      <w:rFonts w:hint="eastAsia" w:ascii="Times New Roman" w:hAnsi="Times New Roman" w:eastAsia="宋体" w:cs="Times New Roman"/>
                      <w:color w:val="auto"/>
                      <w:sz w:val="18"/>
                      <w:szCs w:val="18"/>
                      <w:highlight w:val="none"/>
                      <w:lang w:val="en-US" w:eastAsia="zh-CN"/>
                    </w:rPr>
                    <w:t>60</w:t>
                  </w:r>
                  <w:r>
                    <w:rPr>
                      <w:rFonts w:hint="eastAsia" w:ascii="Times New Roman" w:hAnsi="Times New Roman" w:eastAsia="宋体" w:cs="Times New Roman"/>
                      <w:color w:val="auto"/>
                      <w:sz w:val="18"/>
                      <w:szCs w:val="18"/>
                      <w:highlight w:val="none"/>
                    </w:rPr>
                    <w:t>0L</w:t>
                  </w:r>
                </w:p>
              </w:tc>
              <w:tc>
                <w:tcPr>
                  <w:tcW w:w="1451" w:type="pct"/>
                  <w:tcBorders>
                    <w:top w:val="single" w:color="auto" w:sz="4" w:space="0"/>
                    <w:left w:val="single" w:color="auto" w:sz="4" w:space="0"/>
                    <w:bottom w:val="single" w:color="auto" w:sz="4" w:space="0"/>
                    <w:right w:val="single" w:color="auto" w:sz="4" w:space="0"/>
                  </w:tcBorders>
                  <w:vAlign w:val="center"/>
                </w:tcPr>
                <w:p w14:paraId="52DA9ECA">
                  <w:pPr>
                    <w:pStyle w:val="120"/>
                    <w:keepNext w:val="0"/>
                    <w:keepLines w:val="0"/>
                    <w:pageBreakBefore w:val="0"/>
                    <w:framePr w:hSpace="0" w:wrap="auto" w:vAnchor="margin" w:hAnchor="text" w:xAlign="left" w:yAlign="inline"/>
                    <w:suppressLineNumbers w:val="0"/>
                    <w:kinsoku/>
                    <w:wordWrap/>
                    <w:overflowPunct/>
                    <w:topLinePunct w:val="0"/>
                    <w:bidi w:val="0"/>
                    <w:adjustRightInd w:val="0"/>
                    <w:snapToGrid w:val="0"/>
                    <w:spacing w:before="0" w:beforeAutospacing="0" w:after="0" w:afterAutospacing="0" w:line="276" w:lineRule="auto"/>
                    <w:ind w:left="0" w:right="0"/>
                    <w:jc w:val="center"/>
                    <w:rPr>
                      <w:rFonts w:hint="default" w:ascii="Times New Roman" w:hAnsi="Times New Roman" w:eastAsia="宋体" w:cs="Times New Roman"/>
                      <w:color w:val="auto"/>
                      <w:sz w:val="18"/>
                      <w:szCs w:val="18"/>
                      <w:highlight w:val="none"/>
                      <w:lang w:val="en-US" w:eastAsia="zh-CN"/>
                    </w:rPr>
                  </w:pPr>
                  <w:r>
                    <w:rPr>
                      <w:rFonts w:hint="eastAsia" w:ascii="Times New Roman" w:hAnsi="Times New Roman" w:eastAsia="宋体" w:cs="Times New Roman"/>
                      <w:color w:val="auto"/>
                      <w:sz w:val="18"/>
                      <w:szCs w:val="18"/>
                      <w:highlight w:val="none"/>
                    </w:rPr>
                    <w:t>500mL/瓶</w:t>
                  </w:r>
                </w:p>
              </w:tc>
              <w:tc>
                <w:tcPr>
                  <w:tcW w:w="586" w:type="pct"/>
                  <w:tcBorders>
                    <w:top w:val="single" w:color="auto" w:sz="4" w:space="0"/>
                    <w:left w:val="single" w:color="auto" w:sz="4" w:space="0"/>
                    <w:bottom w:val="single" w:color="auto" w:sz="4" w:space="0"/>
                    <w:right w:val="single" w:color="auto" w:sz="4" w:space="0"/>
                  </w:tcBorders>
                  <w:vAlign w:val="center"/>
                </w:tcPr>
                <w:p w14:paraId="30FBA6B2">
                  <w:pPr>
                    <w:pStyle w:val="120"/>
                    <w:keepNext w:val="0"/>
                    <w:keepLines w:val="0"/>
                    <w:pageBreakBefore w:val="0"/>
                    <w:framePr w:hSpace="0" w:wrap="auto" w:vAnchor="margin" w:hAnchor="text" w:xAlign="left" w:yAlign="inline"/>
                    <w:suppressLineNumbers w:val="0"/>
                    <w:kinsoku/>
                    <w:wordWrap/>
                    <w:overflowPunct/>
                    <w:topLinePunct w:val="0"/>
                    <w:bidi w:val="0"/>
                    <w:adjustRightInd w:val="0"/>
                    <w:snapToGrid w:val="0"/>
                    <w:spacing w:before="0" w:beforeAutospacing="0" w:after="0" w:afterAutospacing="0" w:line="276" w:lineRule="auto"/>
                    <w:ind w:left="0" w:right="0"/>
                    <w:jc w:val="center"/>
                    <w:rPr>
                      <w:rFonts w:hint="default" w:ascii="Times New Roman" w:hAnsi="Times New Roman" w:eastAsia="宋体" w:cs="Times New Roman"/>
                      <w:color w:val="auto"/>
                      <w:sz w:val="18"/>
                      <w:szCs w:val="18"/>
                      <w:highlight w:val="none"/>
                      <w:lang w:val="en-US" w:eastAsia="zh-CN"/>
                    </w:rPr>
                  </w:pPr>
                  <w:r>
                    <w:rPr>
                      <w:rFonts w:hint="eastAsia" w:ascii="Times New Roman" w:hAnsi="Times New Roman" w:eastAsia="宋体" w:cs="Times New Roman"/>
                      <w:color w:val="auto"/>
                      <w:sz w:val="18"/>
                      <w:szCs w:val="18"/>
                      <w:highlight w:val="none"/>
                    </w:rPr>
                    <w:t>5</w:t>
                  </w:r>
                  <w:r>
                    <w:rPr>
                      <w:rFonts w:hint="eastAsia" w:cs="Times New Roman"/>
                      <w:color w:val="auto"/>
                      <w:sz w:val="18"/>
                      <w:szCs w:val="18"/>
                      <w:highlight w:val="none"/>
                      <w:lang w:val="en-US" w:eastAsia="zh-CN"/>
                    </w:rPr>
                    <w:t>0</w:t>
                  </w:r>
                  <w:r>
                    <w:rPr>
                      <w:rFonts w:hint="eastAsia" w:ascii="Times New Roman" w:hAnsi="Times New Roman" w:eastAsia="宋体" w:cs="Times New Roman"/>
                      <w:color w:val="auto"/>
                      <w:sz w:val="18"/>
                      <w:szCs w:val="18"/>
                      <w:highlight w:val="none"/>
                    </w:rPr>
                    <w:t>L</w:t>
                  </w:r>
                </w:p>
              </w:tc>
              <w:tc>
                <w:tcPr>
                  <w:tcW w:w="368" w:type="pct"/>
                  <w:tcBorders>
                    <w:top w:val="single" w:color="auto" w:sz="4" w:space="0"/>
                    <w:left w:val="single" w:color="auto" w:sz="4" w:space="0"/>
                    <w:bottom w:val="single" w:color="auto" w:sz="4" w:space="0"/>
                    <w:right w:val="single" w:color="auto" w:sz="4" w:space="0"/>
                  </w:tcBorders>
                  <w:vAlign w:val="center"/>
                </w:tcPr>
                <w:p w14:paraId="3EBFF601">
                  <w:pPr>
                    <w:pStyle w:val="120"/>
                    <w:keepNext w:val="0"/>
                    <w:keepLines w:val="0"/>
                    <w:pageBreakBefore w:val="0"/>
                    <w:framePr w:hSpace="0" w:wrap="auto" w:vAnchor="margin" w:hAnchor="text" w:xAlign="left" w:yAlign="inline"/>
                    <w:suppressLineNumbers w:val="0"/>
                    <w:kinsoku/>
                    <w:wordWrap/>
                    <w:overflowPunct/>
                    <w:topLinePunct w:val="0"/>
                    <w:bidi w:val="0"/>
                    <w:adjustRightInd w:val="0"/>
                    <w:snapToGrid w:val="0"/>
                    <w:spacing w:before="0" w:beforeAutospacing="0" w:after="0" w:afterAutospacing="0" w:line="276" w:lineRule="auto"/>
                    <w:ind w:left="0" w:right="0"/>
                    <w:jc w:val="center"/>
                    <w:rPr>
                      <w:rFonts w:hint="eastAsia" w:ascii="Times New Roman" w:hAnsi="Times New Roman" w:eastAsia="宋体" w:cs="Times New Roman"/>
                      <w:color w:val="auto"/>
                      <w:sz w:val="18"/>
                      <w:szCs w:val="18"/>
                      <w:highlight w:val="none"/>
                      <w:lang w:val="en-US" w:eastAsia="zh-CN"/>
                    </w:rPr>
                  </w:pPr>
                  <w:r>
                    <w:rPr>
                      <w:rFonts w:hint="eastAsia" w:ascii="Times New Roman" w:hAnsi="Times New Roman" w:eastAsia="宋体" w:cs="Times New Roman"/>
                      <w:color w:val="auto"/>
                      <w:sz w:val="18"/>
                      <w:szCs w:val="18"/>
                      <w:highlight w:val="none"/>
                      <w:lang w:eastAsia="zh-CN"/>
                    </w:rPr>
                    <w:t>液态</w:t>
                  </w:r>
                </w:p>
              </w:tc>
              <w:tc>
                <w:tcPr>
                  <w:tcW w:w="892" w:type="pct"/>
                  <w:vMerge w:val="continue"/>
                  <w:tcBorders>
                    <w:left w:val="single" w:color="auto" w:sz="4" w:space="0"/>
                    <w:right w:val="single" w:color="auto" w:sz="4" w:space="0"/>
                  </w:tcBorders>
                  <w:vAlign w:val="center"/>
                </w:tcPr>
                <w:p w14:paraId="7ADB1FEB">
                  <w:pPr>
                    <w:keepNext w:val="0"/>
                    <w:keepLines w:val="0"/>
                    <w:pageBreakBefore w:val="0"/>
                    <w:suppressLineNumbers w:val="0"/>
                    <w:kinsoku/>
                    <w:wordWrap/>
                    <w:overflowPunct/>
                    <w:topLinePunct w:val="0"/>
                    <w:bidi w:val="0"/>
                    <w:adjustRightInd w:val="0"/>
                    <w:snapToGrid w:val="0"/>
                    <w:spacing w:before="0" w:beforeAutospacing="0" w:after="0" w:afterAutospacing="0" w:line="276" w:lineRule="auto"/>
                    <w:ind w:left="0" w:right="0"/>
                    <w:jc w:val="center"/>
                    <w:rPr>
                      <w:rFonts w:hint="default" w:ascii="Times New Roman" w:hAnsi="Times New Roman" w:eastAsia="宋体" w:cs="Times New Roman"/>
                      <w:sz w:val="18"/>
                      <w:szCs w:val="18"/>
                      <w:highlight w:val="none"/>
                    </w:rPr>
                  </w:pPr>
                </w:p>
              </w:tc>
            </w:tr>
            <w:tr w14:paraId="5D91E59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7" w:type="dxa"/>
                  <w:bottom w:w="0" w:type="dxa"/>
                  <w:right w:w="17" w:type="dxa"/>
                </w:tblCellMar>
              </w:tblPrEx>
              <w:trPr>
                <w:trHeight w:val="0" w:hRule="atLeast"/>
                <w:jc w:val="center"/>
              </w:trPr>
              <w:tc>
                <w:tcPr>
                  <w:tcW w:w="283" w:type="pct"/>
                  <w:tcBorders>
                    <w:top w:val="single" w:color="auto" w:sz="4" w:space="0"/>
                    <w:left w:val="single" w:color="auto" w:sz="4" w:space="0"/>
                    <w:bottom w:val="single" w:color="auto" w:sz="4" w:space="0"/>
                    <w:right w:val="single" w:color="auto" w:sz="4" w:space="0"/>
                  </w:tcBorders>
                  <w:vAlign w:val="center"/>
                </w:tcPr>
                <w:p w14:paraId="3E80FB72">
                  <w:pPr>
                    <w:keepNext w:val="0"/>
                    <w:keepLines w:val="0"/>
                    <w:pageBreakBefore w:val="0"/>
                    <w:suppressLineNumbers w:val="0"/>
                    <w:kinsoku/>
                    <w:wordWrap/>
                    <w:overflowPunct/>
                    <w:topLinePunct w:val="0"/>
                    <w:bidi w:val="0"/>
                    <w:adjustRightInd w:val="0"/>
                    <w:snapToGrid w:val="0"/>
                    <w:spacing w:before="0" w:beforeAutospacing="0" w:after="0" w:afterAutospacing="0" w:line="276" w:lineRule="auto"/>
                    <w:ind w:left="0" w:right="0"/>
                    <w:jc w:val="center"/>
                    <w:rPr>
                      <w:rFonts w:hint="eastAsia" w:cs="Times New Roman"/>
                      <w:kern w:val="2"/>
                      <w:sz w:val="18"/>
                      <w:szCs w:val="18"/>
                      <w:highlight w:val="none"/>
                      <w:lang w:val="en-US" w:eastAsia="zh-CN" w:bidi="ar-SA"/>
                    </w:rPr>
                  </w:pPr>
                  <w:r>
                    <w:rPr>
                      <w:rFonts w:hint="eastAsia" w:cs="Times New Roman"/>
                      <w:kern w:val="2"/>
                      <w:sz w:val="18"/>
                      <w:szCs w:val="18"/>
                      <w:highlight w:val="none"/>
                      <w:lang w:val="en-US" w:eastAsia="zh-CN" w:bidi="ar-SA"/>
                    </w:rPr>
                    <w:t>32</w:t>
                  </w:r>
                </w:p>
              </w:tc>
              <w:tc>
                <w:tcPr>
                  <w:tcW w:w="894" w:type="pct"/>
                  <w:tcBorders>
                    <w:top w:val="single" w:color="auto" w:sz="4" w:space="0"/>
                    <w:left w:val="single" w:color="auto" w:sz="4" w:space="0"/>
                    <w:bottom w:val="single" w:color="auto" w:sz="4" w:space="0"/>
                    <w:right w:val="single" w:color="auto" w:sz="4" w:space="0"/>
                  </w:tcBorders>
                  <w:vAlign w:val="center"/>
                </w:tcPr>
                <w:p w14:paraId="23F9C738">
                  <w:pPr>
                    <w:pStyle w:val="120"/>
                    <w:keepNext w:val="0"/>
                    <w:keepLines w:val="0"/>
                    <w:pageBreakBefore w:val="0"/>
                    <w:framePr w:hSpace="0" w:wrap="auto" w:vAnchor="margin" w:hAnchor="text" w:xAlign="left" w:yAlign="inline"/>
                    <w:suppressLineNumbers w:val="0"/>
                    <w:kinsoku/>
                    <w:wordWrap/>
                    <w:overflowPunct/>
                    <w:topLinePunct w:val="0"/>
                    <w:bidi w:val="0"/>
                    <w:adjustRightInd w:val="0"/>
                    <w:snapToGrid w:val="0"/>
                    <w:spacing w:before="0" w:beforeAutospacing="0" w:after="0" w:afterAutospacing="0" w:line="276" w:lineRule="auto"/>
                    <w:ind w:left="0" w:right="0"/>
                    <w:jc w:val="center"/>
                    <w:rPr>
                      <w:rFonts w:hint="eastAsia" w:ascii="Times New Roman" w:hAnsi="Times New Roman" w:eastAsia="宋体" w:cs="Times New Roman"/>
                      <w:color w:val="auto"/>
                      <w:sz w:val="18"/>
                      <w:szCs w:val="18"/>
                      <w:highlight w:val="none"/>
                      <w:lang w:val="en-US" w:eastAsia="zh-CN"/>
                    </w:rPr>
                  </w:pPr>
                  <w:r>
                    <w:rPr>
                      <w:rFonts w:hint="eastAsia" w:ascii="Times New Roman" w:hAnsi="Times New Roman" w:eastAsia="宋体" w:cs="Times New Roman"/>
                      <w:color w:val="auto"/>
                      <w:sz w:val="18"/>
                      <w:szCs w:val="18"/>
                      <w:highlight w:val="none"/>
                    </w:rPr>
                    <w:t>姜黄素</w:t>
                  </w:r>
                </w:p>
              </w:tc>
              <w:tc>
                <w:tcPr>
                  <w:tcW w:w="523" w:type="pct"/>
                  <w:tcBorders>
                    <w:top w:val="single" w:color="auto" w:sz="4" w:space="0"/>
                    <w:left w:val="single" w:color="auto" w:sz="4" w:space="0"/>
                    <w:bottom w:val="single" w:color="auto" w:sz="4" w:space="0"/>
                    <w:right w:val="single" w:color="auto" w:sz="4" w:space="0"/>
                  </w:tcBorders>
                  <w:vAlign w:val="center"/>
                </w:tcPr>
                <w:p w14:paraId="1B277B0C">
                  <w:pPr>
                    <w:pStyle w:val="120"/>
                    <w:keepNext w:val="0"/>
                    <w:keepLines w:val="0"/>
                    <w:pageBreakBefore w:val="0"/>
                    <w:framePr w:hSpace="0" w:wrap="auto" w:vAnchor="margin" w:hAnchor="text" w:xAlign="left" w:yAlign="inline"/>
                    <w:suppressLineNumbers w:val="0"/>
                    <w:kinsoku/>
                    <w:wordWrap/>
                    <w:overflowPunct/>
                    <w:topLinePunct w:val="0"/>
                    <w:bidi w:val="0"/>
                    <w:adjustRightInd w:val="0"/>
                    <w:snapToGrid w:val="0"/>
                    <w:spacing w:before="0" w:beforeAutospacing="0" w:after="0" w:afterAutospacing="0" w:line="276" w:lineRule="auto"/>
                    <w:ind w:left="0" w:right="0"/>
                    <w:jc w:val="center"/>
                    <w:rPr>
                      <w:rFonts w:hint="default" w:ascii="Times New Roman" w:hAnsi="Times New Roman" w:eastAsia="宋体" w:cs="Times New Roman"/>
                      <w:color w:val="auto"/>
                      <w:sz w:val="18"/>
                      <w:szCs w:val="18"/>
                      <w:highlight w:val="none"/>
                      <w:lang w:val="en-US" w:eastAsia="zh-CN"/>
                    </w:rPr>
                  </w:pPr>
                  <w:r>
                    <w:rPr>
                      <w:rFonts w:hint="eastAsia" w:ascii="Times New Roman" w:hAnsi="Times New Roman" w:eastAsia="宋体" w:cs="Times New Roman"/>
                      <w:color w:val="auto"/>
                      <w:sz w:val="18"/>
                      <w:szCs w:val="18"/>
                      <w:highlight w:val="none"/>
                    </w:rPr>
                    <w:t>111g</w:t>
                  </w:r>
                </w:p>
              </w:tc>
              <w:tc>
                <w:tcPr>
                  <w:tcW w:w="1451" w:type="pct"/>
                  <w:tcBorders>
                    <w:top w:val="single" w:color="auto" w:sz="4" w:space="0"/>
                    <w:left w:val="single" w:color="auto" w:sz="4" w:space="0"/>
                    <w:bottom w:val="single" w:color="auto" w:sz="4" w:space="0"/>
                    <w:right w:val="single" w:color="auto" w:sz="4" w:space="0"/>
                  </w:tcBorders>
                  <w:vAlign w:val="center"/>
                </w:tcPr>
                <w:p w14:paraId="3F632FFC">
                  <w:pPr>
                    <w:pStyle w:val="120"/>
                    <w:keepNext w:val="0"/>
                    <w:keepLines w:val="0"/>
                    <w:pageBreakBefore w:val="0"/>
                    <w:framePr w:hSpace="0" w:wrap="auto" w:vAnchor="margin" w:hAnchor="text" w:xAlign="left" w:yAlign="inline"/>
                    <w:suppressLineNumbers w:val="0"/>
                    <w:kinsoku/>
                    <w:wordWrap/>
                    <w:overflowPunct/>
                    <w:topLinePunct w:val="0"/>
                    <w:bidi w:val="0"/>
                    <w:adjustRightInd w:val="0"/>
                    <w:snapToGrid w:val="0"/>
                    <w:spacing w:before="0" w:beforeAutospacing="0" w:after="0" w:afterAutospacing="0" w:line="276" w:lineRule="auto"/>
                    <w:ind w:left="0" w:right="0"/>
                    <w:jc w:val="center"/>
                    <w:rPr>
                      <w:rFonts w:hint="default" w:ascii="Times New Roman" w:hAnsi="Times New Roman" w:eastAsia="宋体" w:cs="Times New Roman"/>
                      <w:color w:val="auto"/>
                      <w:sz w:val="18"/>
                      <w:szCs w:val="18"/>
                      <w:highlight w:val="none"/>
                      <w:lang w:val="en-US" w:eastAsia="zh-CN"/>
                    </w:rPr>
                  </w:pPr>
                  <w:r>
                    <w:rPr>
                      <w:rFonts w:hint="eastAsia" w:ascii="Times New Roman" w:hAnsi="Times New Roman" w:eastAsia="宋体" w:cs="Times New Roman"/>
                      <w:color w:val="auto"/>
                      <w:sz w:val="18"/>
                      <w:szCs w:val="18"/>
                      <w:highlight w:val="none"/>
                    </w:rPr>
                    <w:t>10g/瓶</w:t>
                  </w:r>
                </w:p>
              </w:tc>
              <w:tc>
                <w:tcPr>
                  <w:tcW w:w="586" w:type="pct"/>
                  <w:tcBorders>
                    <w:top w:val="single" w:color="auto" w:sz="4" w:space="0"/>
                    <w:left w:val="single" w:color="auto" w:sz="4" w:space="0"/>
                    <w:bottom w:val="single" w:color="auto" w:sz="4" w:space="0"/>
                    <w:right w:val="single" w:color="auto" w:sz="4" w:space="0"/>
                  </w:tcBorders>
                  <w:vAlign w:val="center"/>
                </w:tcPr>
                <w:p w14:paraId="74753E76">
                  <w:pPr>
                    <w:pStyle w:val="120"/>
                    <w:keepNext w:val="0"/>
                    <w:keepLines w:val="0"/>
                    <w:pageBreakBefore w:val="0"/>
                    <w:framePr w:hSpace="0" w:wrap="auto" w:vAnchor="margin" w:hAnchor="text" w:xAlign="left" w:yAlign="inline"/>
                    <w:suppressLineNumbers w:val="0"/>
                    <w:kinsoku/>
                    <w:wordWrap/>
                    <w:overflowPunct/>
                    <w:topLinePunct w:val="0"/>
                    <w:bidi w:val="0"/>
                    <w:adjustRightInd w:val="0"/>
                    <w:snapToGrid w:val="0"/>
                    <w:spacing w:before="0" w:beforeAutospacing="0" w:after="0" w:afterAutospacing="0" w:line="276" w:lineRule="auto"/>
                    <w:ind w:left="0" w:right="0"/>
                    <w:jc w:val="center"/>
                    <w:rPr>
                      <w:rFonts w:hint="default" w:ascii="Times New Roman" w:hAnsi="Times New Roman" w:eastAsia="宋体" w:cs="Times New Roman"/>
                      <w:color w:val="auto"/>
                      <w:sz w:val="18"/>
                      <w:szCs w:val="18"/>
                      <w:highlight w:val="none"/>
                      <w:lang w:val="en-US" w:eastAsia="zh-CN"/>
                    </w:rPr>
                  </w:pPr>
                  <w:r>
                    <w:rPr>
                      <w:rFonts w:hint="eastAsia" w:ascii="Times New Roman" w:hAnsi="Times New Roman" w:eastAsia="宋体" w:cs="Times New Roman"/>
                      <w:color w:val="auto"/>
                      <w:sz w:val="18"/>
                      <w:szCs w:val="18"/>
                      <w:highlight w:val="none"/>
                    </w:rPr>
                    <w:t>10</w:t>
                  </w:r>
                  <w:r>
                    <w:rPr>
                      <w:rFonts w:hint="eastAsia" w:cs="Times New Roman"/>
                      <w:color w:val="auto"/>
                      <w:sz w:val="18"/>
                      <w:szCs w:val="18"/>
                      <w:highlight w:val="none"/>
                      <w:lang w:val="en-US" w:eastAsia="zh-CN"/>
                    </w:rPr>
                    <w:t>0</w:t>
                  </w:r>
                  <w:r>
                    <w:rPr>
                      <w:rFonts w:hint="eastAsia" w:ascii="Times New Roman" w:hAnsi="Times New Roman" w:eastAsia="宋体" w:cs="Times New Roman"/>
                      <w:color w:val="auto"/>
                      <w:sz w:val="18"/>
                      <w:szCs w:val="18"/>
                      <w:highlight w:val="none"/>
                    </w:rPr>
                    <w:t>g</w:t>
                  </w:r>
                </w:p>
              </w:tc>
              <w:tc>
                <w:tcPr>
                  <w:tcW w:w="368" w:type="pct"/>
                  <w:tcBorders>
                    <w:top w:val="single" w:color="auto" w:sz="4" w:space="0"/>
                    <w:left w:val="single" w:color="auto" w:sz="4" w:space="0"/>
                    <w:bottom w:val="single" w:color="auto" w:sz="4" w:space="0"/>
                    <w:right w:val="single" w:color="auto" w:sz="4" w:space="0"/>
                  </w:tcBorders>
                  <w:vAlign w:val="center"/>
                </w:tcPr>
                <w:p w14:paraId="40D9A7EF">
                  <w:pPr>
                    <w:keepNext w:val="0"/>
                    <w:keepLines w:val="0"/>
                    <w:pageBreakBefore w:val="0"/>
                    <w:suppressLineNumbers w:val="0"/>
                    <w:kinsoku/>
                    <w:wordWrap/>
                    <w:overflowPunct/>
                    <w:topLinePunct w:val="0"/>
                    <w:bidi w:val="0"/>
                    <w:adjustRightInd w:val="0"/>
                    <w:snapToGrid w:val="0"/>
                    <w:spacing w:before="0" w:beforeAutospacing="0" w:after="0" w:afterAutospacing="0" w:line="276" w:lineRule="auto"/>
                    <w:ind w:left="0" w:right="0"/>
                    <w:jc w:val="center"/>
                    <w:rPr>
                      <w:rFonts w:hint="eastAsia" w:ascii="Times New Roman" w:hAnsi="Times New Roman" w:eastAsia="宋体" w:cs="Times New Roman"/>
                      <w:color w:val="auto"/>
                      <w:sz w:val="18"/>
                      <w:szCs w:val="18"/>
                      <w:highlight w:val="none"/>
                      <w:lang w:val="en-US" w:eastAsia="zh-CN"/>
                    </w:rPr>
                  </w:pPr>
                  <w:r>
                    <w:rPr>
                      <w:rFonts w:hint="eastAsia" w:ascii="Times New Roman" w:hAnsi="Times New Roman" w:eastAsia="宋体" w:cs="Times New Roman"/>
                      <w:color w:val="auto"/>
                      <w:sz w:val="18"/>
                      <w:szCs w:val="18"/>
                      <w:highlight w:val="none"/>
                    </w:rPr>
                    <w:t>固态</w:t>
                  </w:r>
                </w:p>
              </w:tc>
              <w:tc>
                <w:tcPr>
                  <w:tcW w:w="892" w:type="pct"/>
                  <w:vMerge w:val="continue"/>
                  <w:tcBorders>
                    <w:left w:val="single" w:color="auto" w:sz="4" w:space="0"/>
                    <w:right w:val="single" w:color="auto" w:sz="4" w:space="0"/>
                  </w:tcBorders>
                  <w:vAlign w:val="center"/>
                </w:tcPr>
                <w:p w14:paraId="531EAF88">
                  <w:pPr>
                    <w:keepNext w:val="0"/>
                    <w:keepLines w:val="0"/>
                    <w:pageBreakBefore w:val="0"/>
                    <w:suppressLineNumbers w:val="0"/>
                    <w:kinsoku/>
                    <w:wordWrap/>
                    <w:overflowPunct/>
                    <w:topLinePunct w:val="0"/>
                    <w:bidi w:val="0"/>
                    <w:adjustRightInd w:val="0"/>
                    <w:snapToGrid w:val="0"/>
                    <w:spacing w:before="0" w:beforeAutospacing="0" w:after="0" w:afterAutospacing="0" w:line="276" w:lineRule="auto"/>
                    <w:ind w:left="0" w:right="0"/>
                    <w:jc w:val="center"/>
                    <w:rPr>
                      <w:rFonts w:hint="default" w:ascii="Times New Roman" w:hAnsi="Times New Roman" w:eastAsia="宋体" w:cs="Times New Roman"/>
                      <w:sz w:val="18"/>
                      <w:szCs w:val="18"/>
                      <w:highlight w:val="none"/>
                    </w:rPr>
                  </w:pPr>
                </w:p>
              </w:tc>
            </w:tr>
            <w:tr w14:paraId="3170972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0" w:hRule="atLeast"/>
                <w:jc w:val="center"/>
              </w:trPr>
              <w:tc>
                <w:tcPr>
                  <w:tcW w:w="283" w:type="pct"/>
                  <w:tcBorders>
                    <w:top w:val="single" w:color="auto" w:sz="4" w:space="0"/>
                    <w:left w:val="single" w:color="auto" w:sz="4" w:space="0"/>
                    <w:bottom w:val="single" w:color="auto" w:sz="4" w:space="0"/>
                    <w:right w:val="single" w:color="auto" w:sz="4" w:space="0"/>
                  </w:tcBorders>
                  <w:vAlign w:val="center"/>
                </w:tcPr>
                <w:p w14:paraId="32F6A6F6">
                  <w:pPr>
                    <w:keepNext w:val="0"/>
                    <w:keepLines w:val="0"/>
                    <w:pageBreakBefore w:val="0"/>
                    <w:suppressLineNumbers w:val="0"/>
                    <w:kinsoku/>
                    <w:wordWrap/>
                    <w:overflowPunct/>
                    <w:topLinePunct w:val="0"/>
                    <w:bidi w:val="0"/>
                    <w:adjustRightInd w:val="0"/>
                    <w:snapToGrid w:val="0"/>
                    <w:spacing w:before="0" w:beforeAutospacing="0" w:after="0" w:afterAutospacing="0" w:line="276" w:lineRule="auto"/>
                    <w:ind w:left="0" w:right="0"/>
                    <w:jc w:val="center"/>
                    <w:rPr>
                      <w:rFonts w:hint="eastAsia" w:cs="Times New Roman"/>
                      <w:kern w:val="2"/>
                      <w:sz w:val="18"/>
                      <w:szCs w:val="18"/>
                      <w:highlight w:val="none"/>
                      <w:lang w:val="en-US" w:eastAsia="zh-CN" w:bidi="ar-SA"/>
                    </w:rPr>
                  </w:pPr>
                  <w:r>
                    <w:rPr>
                      <w:rFonts w:hint="eastAsia" w:cs="Times New Roman"/>
                      <w:kern w:val="2"/>
                      <w:sz w:val="18"/>
                      <w:szCs w:val="18"/>
                      <w:highlight w:val="none"/>
                      <w:lang w:val="en-US" w:eastAsia="zh-CN" w:bidi="ar-SA"/>
                    </w:rPr>
                    <w:t>33</w:t>
                  </w:r>
                </w:p>
              </w:tc>
              <w:tc>
                <w:tcPr>
                  <w:tcW w:w="894" w:type="pct"/>
                  <w:tcBorders>
                    <w:top w:val="single" w:color="auto" w:sz="4" w:space="0"/>
                    <w:left w:val="single" w:color="auto" w:sz="4" w:space="0"/>
                    <w:bottom w:val="single" w:color="auto" w:sz="4" w:space="0"/>
                    <w:right w:val="single" w:color="auto" w:sz="4" w:space="0"/>
                  </w:tcBorders>
                  <w:vAlign w:val="center"/>
                </w:tcPr>
                <w:p w14:paraId="027445B8">
                  <w:pPr>
                    <w:pStyle w:val="120"/>
                    <w:keepNext w:val="0"/>
                    <w:keepLines w:val="0"/>
                    <w:pageBreakBefore w:val="0"/>
                    <w:framePr w:hSpace="0" w:wrap="auto" w:vAnchor="margin" w:hAnchor="text" w:xAlign="left" w:yAlign="inline"/>
                    <w:suppressLineNumbers w:val="0"/>
                    <w:kinsoku/>
                    <w:wordWrap/>
                    <w:overflowPunct/>
                    <w:topLinePunct w:val="0"/>
                    <w:bidi w:val="0"/>
                    <w:adjustRightInd w:val="0"/>
                    <w:snapToGrid w:val="0"/>
                    <w:spacing w:before="0" w:beforeAutospacing="0" w:after="0" w:afterAutospacing="0" w:line="276" w:lineRule="auto"/>
                    <w:ind w:left="0" w:right="0"/>
                    <w:jc w:val="center"/>
                    <w:rPr>
                      <w:rFonts w:hint="eastAsia" w:ascii="Times New Roman" w:hAnsi="Times New Roman" w:eastAsia="宋体" w:cs="Times New Roman"/>
                      <w:color w:val="auto"/>
                      <w:sz w:val="18"/>
                      <w:szCs w:val="18"/>
                      <w:highlight w:val="none"/>
                      <w:lang w:val="en-US" w:eastAsia="zh-CN"/>
                    </w:rPr>
                  </w:pPr>
                  <w:r>
                    <w:rPr>
                      <w:rFonts w:hint="eastAsia" w:ascii="Times New Roman" w:hAnsi="Times New Roman" w:eastAsia="宋体" w:cs="Times New Roman"/>
                      <w:color w:val="auto"/>
                      <w:sz w:val="18"/>
                      <w:szCs w:val="18"/>
                      <w:highlight w:val="none"/>
                    </w:rPr>
                    <w:t>戊二酸酐</w:t>
                  </w:r>
                </w:p>
              </w:tc>
              <w:tc>
                <w:tcPr>
                  <w:tcW w:w="523" w:type="pct"/>
                  <w:tcBorders>
                    <w:top w:val="single" w:color="auto" w:sz="4" w:space="0"/>
                    <w:left w:val="single" w:color="auto" w:sz="4" w:space="0"/>
                    <w:bottom w:val="single" w:color="auto" w:sz="4" w:space="0"/>
                    <w:right w:val="single" w:color="auto" w:sz="4" w:space="0"/>
                  </w:tcBorders>
                  <w:vAlign w:val="center"/>
                </w:tcPr>
                <w:p w14:paraId="0A0E1F9F">
                  <w:pPr>
                    <w:pStyle w:val="120"/>
                    <w:keepNext w:val="0"/>
                    <w:keepLines w:val="0"/>
                    <w:pageBreakBefore w:val="0"/>
                    <w:framePr w:hSpace="0" w:wrap="auto" w:vAnchor="margin" w:hAnchor="text" w:xAlign="left" w:yAlign="inline"/>
                    <w:suppressLineNumbers w:val="0"/>
                    <w:kinsoku/>
                    <w:wordWrap/>
                    <w:overflowPunct/>
                    <w:topLinePunct w:val="0"/>
                    <w:bidi w:val="0"/>
                    <w:adjustRightInd w:val="0"/>
                    <w:snapToGrid w:val="0"/>
                    <w:spacing w:before="0" w:beforeAutospacing="0" w:after="0" w:afterAutospacing="0" w:line="276" w:lineRule="auto"/>
                    <w:ind w:left="0" w:right="0"/>
                    <w:jc w:val="center"/>
                    <w:rPr>
                      <w:rFonts w:hint="default" w:ascii="Times New Roman" w:hAnsi="Times New Roman" w:eastAsia="宋体" w:cs="Times New Roman"/>
                      <w:color w:val="auto"/>
                      <w:sz w:val="18"/>
                      <w:szCs w:val="18"/>
                      <w:highlight w:val="none"/>
                      <w:lang w:val="en-US" w:eastAsia="zh-CN"/>
                    </w:rPr>
                  </w:pPr>
                  <w:r>
                    <w:rPr>
                      <w:rFonts w:hint="eastAsia" w:ascii="Times New Roman" w:hAnsi="Times New Roman" w:eastAsia="宋体" w:cs="Times New Roman"/>
                      <w:color w:val="auto"/>
                      <w:sz w:val="18"/>
                      <w:szCs w:val="18"/>
                      <w:highlight w:val="none"/>
                    </w:rPr>
                    <w:t>35</w:t>
                  </w:r>
                  <w:r>
                    <w:rPr>
                      <w:rFonts w:hint="eastAsia" w:cs="Times New Roman"/>
                      <w:color w:val="auto"/>
                      <w:sz w:val="18"/>
                      <w:szCs w:val="18"/>
                      <w:highlight w:val="none"/>
                      <w:lang w:eastAsia="zh-CN"/>
                    </w:rPr>
                    <w:t>.</w:t>
                  </w:r>
                  <w:r>
                    <w:rPr>
                      <w:rFonts w:hint="eastAsia" w:ascii="Times New Roman" w:hAnsi="Times New Roman" w:eastAsia="宋体" w:cs="Times New Roman"/>
                      <w:color w:val="auto"/>
                      <w:sz w:val="18"/>
                      <w:szCs w:val="18"/>
                      <w:highlight w:val="none"/>
                    </w:rPr>
                    <w:t>3g</w:t>
                  </w:r>
                </w:p>
              </w:tc>
              <w:tc>
                <w:tcPr>
                  <w:tcW w:w="1451" w:type="pct"/>
                  <w:tcBorders>
                    <w:top w:val="single" w:color="auto" w:sz="4" w:space="0"/>
                    <w:left w:val="single" w:color="auto" w:sz="4" w:space="0"/>
                    <w:bottom w:val="single" w:color="auto" w:sz="4" w:space="0"/>
                    <w:right w:val="single" w:color="auto" w:sz="4" w:space="0"/>
                  </w:tcBorders>
                  <w:vAlign w:val="center"/>
                </w:tcPr>
                <w:p w14:paraId="533D941A">
                  <w:pPr>
                    <w:pStyle w:val="120"/>
                    <w:keepNext w:val="0"/>
                    <w:keepLines w:val="0"/>
                    <w:pageBreakBefore w:val="0"/>
                    <w:framePr w:hSpace="0" w:wrap="auto" w:vAnchor="margin" w:hAnchor="text" w:xAlign="left" w:yAlign="inline"/>
                    <w:suppressLineNumbers w:val="0"/>
                    <w:kinsoku/>
                    <w:wordWrap/>
                    <w:overflowPunct/>
                    <w:topLinePunct w:val="0"/>
                    <w:bidi w:val="0"/>
                    <w:adjustRightInd w:val="0"/>
                    <w:snapToGrid w:val="0"/>
                    <w:spacing w:before="0" w:beforeAutospacing="0" w:after="0" w:afterAutospacing="0" w:line="276" w:lineRule="auto"/>
                    <w:ind w:left="0" w:right="0"/>
                    <w:jc w:val="center"/>
                    <w:rPr>
                      <w:rFonts w:hint="default" w:ascii="Times New Roman" w:hAnsi="Times New Roman" w:eastAsia="宋体" w:cs="Times New Roman"/>
                      <w:color w:val="auto"/>
                      <w:sz w:val="18"/>
                      <w:szCs w:val="18"/>
                      <w:highlight w:val="none"/>
                      <w:lang w:val="en-US" w:eastAsia="zh-CN"/>
                    </w:rPr>
                  </w:pPr>
                  <w:r>
                    <w:rPr>
                      <w:rFonts w:hint="eastAsia" w:ascii="Times New Roman" w:hAnsi="Times New Roman" w:eastAsia="宋体" w:cs="Times New Roman"/>
                      <w:color w:val="auto"/>
                      <w:sz w:val="18"/>
                      <w:szCs w:val="18"/>
                      <w:highlight w:val="none"/>
                    </w:rPr>
                    <w:t>100g/瓶</w:t>
                  </w:r>
                </w:p>
              </w:tc>
              <w:tc>
                <w:tcPr>
                  <w:tcW w:w="586" w:type="pct"/>
                  <w:tcBorders>
                    <w:top w:val="single" w:color="auto" w:sz="4" w:space="0"/>
                    <w:left w:val="single" w:color="auto" w:sz="4" w:space="0"/>
                    <w:bottom w:val="single" w:color="auto" w:sz="4" w:space="0"/>
                    <w:right w:val="single" w:color="auto" w:sz="4" w:space="0"/>
                  </w:tcBorders>
                  <w:vAlign w:val="center"/>
                </w:tcPr>
                <w:p w14:paraId="54EF2E83">
                  <w:pPr>
                    <w:pStyle w:val="120"/>
                    <w:keepNext w:val="0"/>
                    <w:keepLines w:val="0"/>
                    <w:pageBreakBefore w:val="0"/>
                    <w:framePr w:hSpace="0" w:wrap="auto" w:vAnchor="margin" w:hAnchor="text" w:xAlign="left" w:yAlign="inline"/>
                    <w:suppressLineNumbers w:val="0"/>
                    <w:kinsoku/>
                    <w:wordWrap/>
                    <w:overflowPunct/>
                    <w:topLinePunct w:val="0"/>
                    <w:bidi w:val="0"/>
                    <w:adjustRightInd w:val="0"/>
                    <w:snapToGrid w:val="0"/>
                    <w:spacing w:before="0" w:beforeAutospacing="0" w:after="0" w:afterAutospacing="0" w:line="276" w:lineRule="auto"/>
                    <w:ind w:left="0" w:right="0"/>
                    <w:jc w:val="center"/>
                    <w:rPr>
                      <w:rFonts w:hint="default" w:ascii="Times New Roman" w:hAnsi="Times New Roman" w:eastAsia="宋体" w:cs="Times New Roman"/>
                      <w:color w:val="auto"/>
                      <w:sz w:val="18"/>
                      <w:szCs w:val="18"/>
                      <w:highlight w:val="none"/>
                      <w:lang w:val="en-US" w:eastAsia="zh-CN"/>
                    </w:rPr>
                  </w:pPr>
                  <w:r>
                    <w:rPr>
                      <w:rFonts w:hint="eastAsia" w:ascii="Times New Roman" w:hAnsi="Times New Roman" w:eastAsia="宋体" w:cs="Times New Roman"/>
                      <w:color w:val="auto"/>
                      <w:sz w:val="18"/>
                      <w:szCs w:val="18"/>
                      <w:highlight w:val="none"/>
                    </w:rPr>
                    <w:t>100</w:t>
                  </w:r>
                  <w:r>
                    <w:rPr>
                      <w:rFonts w:hint="eastAsia" w:cs="Times New Roman"/>
                      <w:color w:val="auto"/>
                      <w:sz w:val="18"/>
                      <w:szCs w:val="18"/>
                      <w:highlight w:val="none"/>
                      <w:lang w:val="en-US" w:eastAsia="zh-CN"/>
                    </w:rPr>
                    <w:t>0</w:t>
                  </w:r>
                  <w:r>
                    <w:rPr>
                      <w:rFonts w:hint="eastAsia" w:ascii="Times New Roman" w:hAnsi="Times New Roman" w:eastAsia="宋体" w:cs="Times New Roman"/>
                      <w:color w:val="auto"/>
                      <w:sz w:val="18"/>
                      <w:szCs w:val="18"/>
                      <w:highlight w:val="none"/>
                    </w:rPr>
                    <w:t>g</w:t>
                  </w:r>
                </w:p>
              </w:tc>
              <w:tc>
                <w:tcPr>
                  <w:tcW w:w="368" w:type="pct"/>
                  <w:tcBorders>
                    <w:top w:val="single" w:color="auto" w:sz="4" w:space="0"/>
                    <w:left w:val="single" w:color="auto" w:sz="4" w:space="0"/>
                    <w:bottom w:val="single" w:color="auto" w:sz="4" w:space="0"/>
                    <w:right w:val="single" w:color="auto" w:sz="4" w:space="0"/>
                  </w:tcBorders>
                  <w:vAlign w:val="center"/>
                </w:tcPr>
                <w:p w14:paraId="2D21BDCA">
                  <w:pPr>
                    <w:keepNext w:val="0"/>
                    <w:keepLines w:val="0"/>
                    <w:pageBreakBefore w:val="0"/>
                    <w:suppressLineNumbers w:val="0"/>
                    <w:kinsoku/>
                    <w:wordWrap/>
                    <w:overflowPunct/>
                    <w:topLinePunct w:val="0"/>
                    <w:bidi w:val="0"/>
                    <w:adjustRightInd w:val="0"/>
                    <w:snapToGrid w:val="0"/>
                    <w:spacing w:before="0" w:beforeAutospacing="0" w:after="0" w:afterAutospacing="0" w:line="276" w:lineRule="auto"/>
                    <w:ind w:left="0" w:right="0"/>
                    <w:jc w:val="center"/>
                    <w:rPr>
                      <w:rFonts w:hint="eastAsia" w:ascii="Times New Roman" w:hAnsi="Times New Roman" w:eastAsia="宋体" w:cs="Times New Roman"/>
                      <w:color w:val="auto"/>
                      <w:sz w:val="18"/>
                      <w:szCs w:val="18"/>
                      <w:highlight w:val="none"/>
                      <w:lang w:val="en-US" w:eastAsia="zh-CN"/>
                    </w:rPr>
                  </w:pPr>
                  <w:r>
                    <w:rPr>
                      <w:rFonts w:hint="eastAsia" w:ascii="Times New Roman" w:hAnsi="Times New Roman" w:eastAsia="宋体" w:cs="Times New Roman"/>
                      <w:color w:val="auto"/>
                      <w:sz w:val="18"/>
                      <w:szCs w:val="18"/>
                      <w:highlight w:val="none"/>
                    </w:rPr>
                    <w:t>固态</w:t>
                  </w:r>
                </w:p>
              </w:tc>
              <w:tc>
                <w:tcPr>
                  <w:tcW w:w="892" w:type="pct"/>
                  <w:vMerge w:val="continue"/>
                  <w:tcBorders>
                    <w:left w:val="single" w:color="auto" w:sz="4" w:space="0"/>
                    <w:right w:val="single" w:color="auto" w:sz="4" w:space="0"/>
                  </w:tcBorders>
                  <w:vAlign w:val="center"/>
                </w:tcPr>
                <w:p w14:paraId="5F001BE2">
                  <w:pPr>
                    <w:keepNext w:val="0"/>
                    <w:keepLines w:val="0"/>
                    <w:pageBreakBefore w:val="0"/>
                    <w:suppressLineNumbers w:val="0"/>
                    <w:kinsoku/>
                    <w:wordWrap/>
                    <w:overflowPunct/>
                    <w:topLinePunct w:val="0"/>
                    <w:bidi w:val="0"/>
                    <w:adjustRightInd w:val="0"/>
                    <w:snapToGrid w:val="0"/>
                    <w:spacing w:before="0" w:beforeAutospacing="0" w:after="0" w:afterAutospacing="0" w:line="276" w:lineRule="auto"/>
                    <w:ind w:left="0" w:right="0"/>
                    <w:jc w:val="center"/>
                    <w:rPr>
                      <w:rFonts w:hint="default" w:ascii="Times New Roman" w:hAnsi="Times New Roman" w:eastAsia="宋体" w:cs="Times New Roman"/>
                      <w:sz w:val="18"/>
                      <w:szCs w:val="18"/>
                      <w:highlight w:val="none"/>
                    </w:rPr>
                  </w:pPr>
                </w:p>
              </w:tc>
            </w:tr>
            <w:tr w14:paraId="1F5B420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7" w:type="dxa"/>
                  <w:bottom w:w="0" w:type="dxa"/>
                  <w:right w:w="17" w:type="dxa"/>
                </w:tblCellMar>
              </w:tblPrEx>
              <w:trPr>
                <w:trHeight w:val="0" w:hRule="atLeast"/>
                <w:jc w:val="center"/>
              </w:trPr>
              <w:tc>
                <w:tcPr>
                  <w:tcW w:w="283" w:type="pct"/>
                  <w:tcBorders>
                    <w:top w:val="single" w:color="auto" w:sz="4" w:space="0"/>
                    <w:left w:val="single" w:color="auto" w:sz="4" w:space="0"/>
                    <w:bottom w:val="single" w:color="auto" w:sz="4" w:space="0"/>
                    <w:right w:val="single" w:color="auto" w:sz="4" w:space="0"/>
                  </w:tcBorders>
                  <w:vAlign w:val="center"/>
                </w:tcPr>
                <w:p w14:paraId="22F92B37">
                  <w:pPr>
                    <w:keepNext w:val="0"/>
                    <w:keepLines w:val="0"/>
                    <w:pageBreakBefore w:val="0"/>
                    <w:suppressLineNumbers w:val="0"/>
                    <w:kinsoku/>
                    <w:wordWrap/>
                    <w:overflowPunct/>
                    <w:topLinePunct w:val="0"/>
                    <w:bidi w:val="0"/>
                    <w:adjustRightInd w:val="0"/>
                    <w:snapToGrid w:val="0"/>
                    <w:spacing w:before="0" w:beforeAutospacing="0" w:after="0" w:afterAutospacing="0" w:line="276" w:lineRule="auto"/>
                    <w:ind w:left="0" w:right="0"/>
                    <w:jc w:val="center"/>
                    <w:rPr>
                      <w:rFonts w:hint="eastAsia" w:cs="Times New Roman"/>
                      <w:kern w:val="2"/>
                      <w:sz w:val="18"/>
                      <w:szCs w:val="18"/>
                      <w:highlight w:val="none"/>
                      <w:lang w:val="en-US" w:eastAsia="zh-CN" w:bidi="ar-SA"/>
                    </w:rPr>
                  </w:pPr>
                  <w:r>
                    <w:rPr>
                      <w:rFonts w:hint="eastAsia" w:cs="Times New Roman"/>
                      <w:kern w:val="2"/>
                      <w:sz w:val="18"/>
                      <w:szCs w:val="18"/>
                      <w:highlight w:val="none"/>
                      <w:lang w:val="en-US" w:eastAsia="zh-CN" w:bidi="ar-SA"/>
                    </w:rPr>
                    <w:t>34</w:t>
                  </w:r>
                </w:p>
              </w:tc>
              <w:tc>
                <w:tcPr>
                  <w:tcW w:w="894" w:type="pct"/>
                  <w:tcBorders>
                    <w:top w:val="single" w:color="auto" w:sz="4" w:space="0"/>
                    <w:left w:val="single" w:color="auto" w:sz="4" w:space="0"/>
                    <w:bottom w:val="single" w:color="auto" w:sz="4" w:space="0"/>
                    <w:right w:val="single" w:color="auto" w:sz="4" w:space="0"/>
                  </w:tcBorders>
                  <w:vAlign w:val="center"/>
                </w:tcPr>
                <w:p w14:paraId="08E41577">
                  <w:pPr>
                    <w:pStyle w:val="120"/>
                    <w:keepNext w:val="0"/>
                    <w:keepLines w:val="0"/>
                    <w:pageBreakBefore w:val="0"/>
                    <w:framePr w:hSpace="0" w:wrap="auto" w:vAnchor="margin" w:hAnchor="text" w:xAlign="left" w:yAlign="inline"/>
                    <w:suppressLineNumbers w:val="0"/>
                    <w:kinsoku/>
                    <w:wordWrap/>
                    <w:overflowPunct/>
                    <w:topLinePunct w:val="0"/>
                    <w:bidi w:val="0"/>
                    <w:adjustRightInd w:val="0"/>
                    <w:snapToGrid w:val="0"/>
                    <w:spacing w:before="0" w:beforeAutospacing="0" w:after="0" w:afterAutospacing="0" w:line="276" w:lineRule="auto"/>
                    <w:ind w:left="0" w:right="0"/>
                    <w:jc w:val="center"/>
                    <w:rPr>
                      <w:rFonts w:hint="eastAsia" w:ascii="Times New Roman" w:hAnsi="Times New Roman" w:eastAsia="宋体" w:cs="Times New Roman"/>
                      <w:color w:val="auto"/>
                      <w:sz w:val="18"/>
                      <w:szCs w:val="18"/>
                      <w:highlight w:val="none"/>
                      <w:lang w:val="en-US" w:eastAsia="zh-CN"/>
                    </w:rPr>
                  </w:pPr>
                  <w:r>
                    <w:rPr>
                      <w:rFonts w:hint="eastAsia" w:ascii="Times New Roman" w:hAnsi="Times New Roman" w:eastAsia="宋体" w:cs="Times New Roman"/>
                      <w:color w:val="auto"/>
                      <w:sz w:val="18"/>
                      <w:szCs w:val="18"/>
                      <w:highlight w:val="none"/>
                    </w:rPr>
                    <w:t>氯化钙</w:t>
                  </w:r>
                </w:p>
              </w:tc>
              <w:tc>
                <w:tcPr>
                  <w:tcW w:w="523" w:type="pct"/>
                  <w:tcBorders>
                    <w:top w:val="single" w:color="auto" w:sz="4" w:space="0"/>
                    <w:left w:val="single" w:color="auto" w:sz="4" w:space="0"/>
                    <w:bottom w:val="single" w:color="auto" w:sz="4" w:space="0"/>
                    <w:right w:val="single" w:color="auto" w:sz="4" w:space="0"/>
                  </w:tcBorders>
                  <w:vAlign w:val="center"/>
                </w:tcPr>
                <w:p w14:paraId="5C09AE61">
                  <w:pPr>
                    <w:pStyle w:val="120"/>
                    <w:keepNext w:val="0"/>
                    <w:keepLines w:val="0"/>
                    <w:pageBreakBefore w:val="0"/>
                    <w:framePr w:hSpace="0" w:wrap="auto" w:vAnchor="margin" w:hAnchor="text" w:xAlign="left" w:yAlign="inline"/>
                    <w:suppressLineNumbers w:val="0"/>
                    <w:kinsoku/>
                    <w:wordWrap/>
                    <w:overflowPunct/>
                    <w:topLinePunct w:val="0"/>
                    <w:bidi w:val="0"/>
                    <w:adjustRightInd w:val="0"/>
                    <w:snapToGrid w:val="0"/>
                    <w:spacing w:before="0" w:beforeAutospacing="0" w:after="0" w:afterAutospacing="0" w:line="276" w:lineRule="auto"/>
                    <w:ind w:left="0" w:right="0"/>
                    <w:jc w:val="center"/>
                    <w:rPr>
                      <w:rFonts w:hint="default" w:ascii="Times New Roman" w:hAnsi="Times New Roman" w:eastAsia="宋体" w:cs="Times New Roman"/>
                      <w:color w:val="auto"/>
                      <w:sz w:val="18"/>
                      <w:szCs w:val="18"/>
                      <w:highlight w:val="none"/>
                      <w:lang w:val="en-US" w:eastAsia="zh-CN"/>
                    </w:rPr>
                  </w:pPr>
                  <w:r>
                    <w:rPr>
                      <w:rFonts w:hint="eastAsia" w:ascii="Times New Roman" w:hAnsi="Times New Roman" w:eastAsia="宋体" w:cs="Times New Roman"/>
                      <w:color w:val="auto"/>
                      <w:sz w:val="18"/>
                      <w:szCs w:val="18"/>
                      <w:highlight w:val="none"/>
                      <w:lang w:val="en-US" w:eastAsia="zh-CN"/>
                    </w:rPr>
                    <w:t>1000</w:t>
                  </w:r>
                  <w:r>
                    <w:rPr>
                      <w:rFonts w:hint="eastAsia" w:cs="Times New Roman"/>
                      <w:color w:val="auto"/>
                      <w:sz w:val="18"/>
                      <w:szCs w:val="18"/>
                      <w:highlight w:val="none"/>
                      <w:lang w:val="en-US" w:eastAsia="zh-CN"/>
                    </w:rPr>
                    <w:t>k</w:t>
                  </w:r>
                  <w:r>
                    <w:rPr>
                      <w:rFonts w:hint="eastAsia" w:ascii="Times New Roman" w:hAnsi="Times New Roman" w:eastAsia="宋体" w:cs="Times New Roman"/>
                      <w:color w:val="auto"/>
                      <w:sz w:val="18"/>
                      <w:szCs w:val="18"/>
                      <w:highlight w:val="none"/>
                    </w:rPr>
                    <w:t>g</w:t>
                  </w:r>
                </w:p>
              </w:tc>
              <w:tc>
                <w:tcPr>
                  <w:tcW w:w="1451" w:type="pct"/>
                  <w:tcBorders>
                    <w:top w:val="single" w:color="auto" w:sz="4" w:space="0"/>
                    <w:left w:val="single" w:color="auto" w:sz="4" w:space="0"/>
                    <w:bottom w:val="single" w:color="auto" w:sz="4" w:space="0"/>
                    <w:right w:val="single" w:color="auto" w:sz="4" w:space="0"/>
                  </w:tcBorders>
                  <w:vAlign w:val="center"/>
                </w:tcPr>
                <w:p w14:paraId="3C8A3FFC">
                  <w:pPr>
                    <w:pStyle w:val="120"/>
                    <w:keepNext w:val="0"/>
                    <w:keepLines w:val="0"/>
                    <w:pageBreakBefore w:val="0"/>
                    <w:framePr w:hSpace="0" w:wrap="auto" w:vAnchor="margin" w:hAnchor="text" w:xAlign="left" w:yAlign="inline"/>
                    <w:suppressLineNumbers w:val="0"/>
                    <w:kinsoku/>
                    <w:wordWrap/>
                    <w:overflowPunct/>
                    <w:topLinePunct w:val="0"/>
                    <w:bidi w:val="0"/>
                    <w:adjustRightInd w:val="0"/>
                    <w:snapToGrid w:val="0"/>
                    <w:spacing w:before="0" w:beforeAutospacing="0" w:after="0" w:afterAutospacing="0" w:line="276" w:lineRule="auto"/>
                    <w:ind w:left="0" w:right="0"/>
                    <w:jc w:val="center"/>
                    <w:rPr>
                      <w:rFonts w:hint="default" w:ascii="Times New Roman" w:hAnsi="Times New Roman" w:eastAsia="宋体" w:cs="Times New Roman"/>
                      <w:color w:val="auto"/>
                      <w:sz w:val="18"/>
                      <w:szCs w:val="18"/>
                      <w:highlight w:val="none"/>
                      <w:lang w:val="en-US" w:eastAsia="zh-CN"/>
                    </w:rPr>
                  </w:pPr>
                  <w:r>
                    <w:rPr>
                      <w:rFonts w:hint="eastAsia" w:ascii="Times New Roman" w:hAnsi="Times New Roman" w:eastAsia="宋体" w:cs="Times New Roman"/>
                      <w:color w:val="auto"/>
                      <w:sz w:val="18"/>
                      <w:szCs w:val="18"/>
                      <w:highlight w:val="none"/>
                    </w:rPr>
                    <w:t>500g/瓶</w:t>
                  </w:r>
                </w:p>
              </w:tc>
              <w:tc>
                <w:tcPr>
                  <w:tcW w:w="586" w:type="pct"/>
                  <w:tcBorders>
                    <w:top w:val="single" w:color="auto" w:sz="4" w:space="0"/>
                    <w:left w:val="single" w:color="auto" w:sz="4" w:space="0"/>
                    <w:bottom w:val="single" w:color="auto" w:sz="4" w:space="0"/>
                    <w:right w:val="single" w:color="auto" w:sz="4" w:space="0"/>
                  </w:tcBorders>
                  <w:vAlign w:val="center"/>
                </w:tcPr>
                <w:p w14:paraId="284313C0">
                  <w:pPr>
                    <w:pStyle w:val="120"/>
                    <w:keepNext w:val="0"/>
                    <w:keepLines w:val="0"/>
                    <w:pageBreakBefore w:val="0"/>
                    <w:framePr w:hSpace="0" w:wrap="auto" w:vAnchor="margin" w:hAnchor="text" w:xAlign="left" w:yAlign="inline"/>
                    <w:suppressLineNumbers w:val="0"/>
                    <w:kinsoku/>
                    <w:wordWrap/>
                    <w:overflowPunct/>
                    <w:topLinePunct w:val="0"/>
                    <w:bidi w:val="0"/>
                    <w:adjustRightInd w:val="0"/>
                    <w:snapToGrid w:val="0"/>
                    <w:spacing w:before="0" w:beforeAutospacing="0" w:after="0" w:afterAutospacing="0" w:line="276" w:lineRule="auto"/>
                    <w:ind w:left="0" w:right="0"/>
                    <w:jc w:val="center"/>
                    <w:rPr>
                      <w:rFonts w:hint="default" w:ascii="Times New Roman" w:hAnsi="Times New Roman" w:eastAsia="宋体" w:cs="Times New Roman"/>
                      <w:color w:val="auto"/>
                      <w:sz w:val="18"/>
                      <w:szCs w:val="18"/>
                      <w:highlight w:val="none"/>
                      <w:lang w:val="en-US" w:eastAsia="zh-CN"/>
                    </w:rPr>
                  </w:pPr>
                  <w:r>
                    <w:rPr>
                      <w:rFonts w:hint="eastAsia" w:ascii="Times New Roman" w:hAnsi="Times New Roman" w:eastAsia="宋体" w:cs="Times New Roman"/>
                      <w:color w:val="auto"/>
                      <w:sz w:val="18"/>
                      <w:szCs w:val="18"/>
                      <w:highlight w:val="none"/>
                      <w:lang w:val="en-US" w:eastAsia="zh-CN"/>
                    </w:rPr>
                    <w:t>100</w:t>
                  </w:r>
                  <w:r>
                    <w:rPr>
                      <w:rFonts w:hint="eastAsia" w:cs="Times New Roman"/>
                      <w:color w:val="auto"/>
                      <w:sz w:val="18"/>
                      <w:szCs w:val="18"/>
                      <w:highlight w:val="none"/>
                      <w:lang w:val="en-US" w:eastAsia="zh-CN"/>
                    </w:rPr>
                    <w:t>k</w:t>
                  </w:r>
                  <w:r>
                    <w:rPr>
                      <w:rFonts w:hint="eastAsia" w:ascii="Times New Roman" w:hAnsi="Times New Roman" w:eastAsia="宋体" w:cs="Times New Roman"/>
                      <w:color w:val="auto"/>
                      <w:sz w:val="18"/>
                      <w:szCs w:val="18"/>
                      <w:highlight w:val="none"/>
                    </w:rPr>
                    <w:t>g</w:t>
                  </w:r>
                </w:p>
              </w:tc>
              <w:tc>
                <w:tcPr>
                  <w:tcW w:w="368" w:type="pct"/>
                  <w:tcBorders>
                    <w:top w:val="single" w:color="auto" w:sz="4" w:space="0"/>
                    <w:left w:val="single" w:color="auto" w:sz="4" w:space="0"/>
                    <w:bottom w:val="single" w:color="auto" w:sz="4" w:space="0"/>
                    <w:right w:val="single" w:color="auto" w:sz="4" w:space="0"/>
                  </w:tcBorders>
                  <w:vAlign w:val="center"/>
                </w:tcPr>
                <w:p w14:paraId="4BC5FB40">
                  <w:pPr>
                    <w:keepNext w:val="0"/>
                    <w:keepLines w:val="0"/>
                    <w:pageBreakBefore w:val="0"/>
                    <w:suppressLineNumbers w:val="0"/>
                    <w:kinsoku/>
                    <w:wordWrap/>
                    <w:overflowPunct/>
                    <w:topLinePunct w:val="0"/>
                    <w:bidi w:val="0"/>
                    <w:adjustRightInd w:val="0"/>
                    <w:snapToGrid w:val="0"/>
                    <w:spacing w:before="0" w:beforeAutospacing="0" w:after="0" w:afterAutospacing="0" w:line="276" w:lineRule="auto"/>
                    <w:ind w:left="0" w:right="0"/>
                    <w:jc w:val="center"/>
                    <w:rPr>
                      <w:rFonts w:hint="eastAsia" w:ascii="Times New Roman" w:hAnsi="Times New Roman" w:eastAsia="宋体" w:cs="Times New Roman"/>
                      <w:color w:val="auto"/>
                      <w:sz w:val="18"/>
                      <w:szCs w:val="18"/>
                      <w:highlight w:val="none"/>
                      <w:lang w:val="en-US" w:eastAsia="zh-CN"/>
                    </w:rPr>
                  </w:pPr>
                  <w:r>
                    <w:rPr>
                      <w:rFonts w:hint="eastAsia" w:ascii="Times New Roman" w:hAnsi="Times New Roman" w:eastAsia="宋体" w:cs="Times New Roman"/>
                      <w:color w:val="auto"/>
                      <w:sz w:val="18"/>
                      <w:szCs w:val="18"/>
                      <w:highlight w:val="none"/>
                    </w:rPr>
                    <w:t>固态</w:t>
                  </w:r>
                </w:p>
              </w:tc>
              <w:tc>
                <w:tcPr>
                  <w:tcW w:w="892" w:type="pct"/>
                  <w:vMerge w:val="continue"/>
                  <w:tcBorders>
                    <w:left w:val="single" w:color="auto" w:sz="4" w:space="0"/>
                    <w:right w:val="single" w:color="auto" w:sz="4" w:space="0"/>
                  </w:tcBorders>
                  <w:vAlign w:val="center"/>
                </w:tcPr>
                <w:p w14:paraId="3F4FF043">
                  <w:pPr>
                    <w:keepNext w:val="0"/>
                    <w:keepLines w:val="0"/>
                    <w:pageBreakBefore w:val="0"/>
                    <w:suppressLineNumbers w:val="0"/>
                    <w:kinsoku/>
                    <w:wordWrap/>
                    <w:overflowPunct/>
                    <w:topLinePunct w:val="0"/>
                    <w:bidi w:val="0"/>
                    <w:adjustRightInd w:val="0"/>
                    <w:snapToGrid w:val="0"/>
                    <w:spacing w:before="0" w:beforeAutospacing="0" w:after="0" w:afterAutospacing="0" w:line="276" w:lineRule="auto"/>
                    <w:ind w:left="0" w:right="0"/>
                    <w:jc w:val="center"/>
                    <w:rPr>
                      <w:rFonts w:hint="default" w:ascii="Times New Roman" w:hAnsi="Times New Roman" w:eastAsia="宋体" w:cs="Times New Roman"/>
                      <w:sz w:val="18"/>
                      <w:szCs w:val="18"/>
                      <w:highlight w:val="none"/>
                    </w:rPr>
                  </w:pPr>
                </w:p>
              </w:tc>
            </w:tr>
            <w:tr w14:paraId="4E3F3C1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7" w:type="dxa"/>
                  <w:bottom w:w="0" w:type="dxa"/>
                  <w:right w:w="17" w:type="dxa"/>
                </w:tblCellMar>
              </w:tblPrEx>
              <w:trPr>
                <w:trHeight w:val="0" w:hRule="atLeast"/>
                <w:jc w:val="center"/>
              </w:trPr>
              <w:tc>
                <w:tcPr>
                  <w:tcW w:w="283" w:type="pct"/>
                  <w:tcBorders>
                    <w:top w:val="single" w:color="auto" w:sz="4" w:space="0"/>
                    <w:left w:val="single" w:color="auto" w:sz="4" w:space="0"/>
                    <w:bottom w:val="single" w:color="auto" w:sz="4" w:space="0"/>
                    <w:right w:val="single" w:color="auto" w:sz="4" w:space="0"/>
                  </w:tcBorders>
                  <w:vAlign w:val="center"/>
                </w:tcPr>
                <w:p w14:paraId="61CE8E3A">
                  <w:pPr>
                    <w:keepNext w:val="0"/>
                    <w:keepLines w:val="0"/>
                    <w:pageBreakBefore w:val="0"/>
                    <w:suppressLineNumbers w:val="0"/>
                    <w:kinsoku/>
                    <w:wordWrap/>
                    <w:overflowPunct/>
                    <w:topLinePunct w:val="0"/>
                    <w:bidi w:val="0"/>
                    <w:adjustRightInd w:val="0"/>
                    <w:snapToGrid w:val="0"/>
                    <w:spacing w:before="0" w:beforeAutospacing="0" w:after="0" w:afterAutospacing="0" w:line="276" w:lineRule="auto"/>
                    <w:ind w:left="0" w:right="0"/>
                    <w:jc w:val="center"/>
                    <w:rPr>
                      <w:rFonts w:hint="eastAsia" w:cs="Times New Roman"/>
                      <w:kern w:val="2"/>
                      <w:sz w:val="18"/>
                      <w:szCs w:val="18"/>
                      <w:highlight w:val="none"/>
                      <w:lang w:val="en-US" w:eastAsia="zh-CN" w:bidi="ar-SA"/>
                    </w:rPr>
                  </w:pPr>
                  <w:r>
                    <w:rPr>
                      <w:rFonts w:hint="eastAsia" w:cs="Times New Roman"/>
                      <w:kern w:val="2"/>
                      <w:sz w:val="18"/>
                      <w:szCs w:val="18"/>
                      <w:highlight w:val="none"/>
                      <w:lang w:val="en-US" w:eastAsia="zh-CN" w:bidi="ar-SA"/>
                    </w:rPr>
                    <w:t>35</w:t>
                  </w:r>
                </w:p>
              </w:tc>
              <w:tc>
                <w:tcPr>
                  <w:tcW w:w="894" w:type="pct"/>
                  <w:tcBorders>
                    <w:top w:val="single" w:color="auto" w:sz="4" w:space="0"/>
                    <w:left w:val="single" w:color="auto" w:sz="4" w:space="0"/>
                    <w:bottom w:val="single" w:color="auto" w:sz="4" w:space="0"/>
                    <w:right w:val="single" w:color="auto" w:sz="4" w:space="0"/>
                  </w:tcBorders>
                  <w:vAlign w:val="center"/>
                </w:tcPr>
                <w:p w14:paraId="521E0766">
                  <w:pPr>
                    <w:pStyle w:val="120"/>
                    <w:keepNext w:val="0"/>
                    <w:keepLines w:val="0"/>
                    <w:pageBreakBefore w:val="0"/>
                    <w:framePr w:hSpace="0" w:wrap="auto" w:vAnchor="margin" w:hAnchor="text" w:xAlign="left" w:yAlign="inline"/>
                    <w:suppressLineNumbers w:val="0"/>
                    <w:kinsoku/>
                    <w:wordWrap/>
                    <w:overflowPunct/>
                    <w:topLinePunct w:val="0"/>
                    <w:bidi w:val="0"/>
                    <w:adjustRightInd w:val="0"/>
                    <w:snapToGrid w:val="0"/>
                    <w:spacing w:before="0" w:beforeAutospacing="0" w:after="0" w:afterAutospacing="0" w:line="276" w:lineRule="auto"/>
                    <w:ind w:left="0" w:right="0"/>
                    <w:jc w:val="center"/>
                    <w:rPr>
                      <w:rFonts w:hint="eastAsia" w:ascii="Times New Roman" w:hAnsi="Times New Roman" w:eastAsia="宋体" w:cs="Times New Roman"/>
                      <w:color w:val="auto"/>
                      <w:sz w:val="18"/>
                      <w:szCs w:val="18"/>
                      <w:highlight w:val="none"/>
                      <w:lang w:val="en-US" w:eastAsia="zh-CN"/>
                    </w:rPr>
                  </w:pPr>
                  <w:r>
                    <w:rPr>
                      <w:rFonts w:hint="eastAsia" w:ascii="Times New Roman" w:hAnsi="Times New Roman" w:eastAsia="宋体" w:cs="Times New Roman"/>
                      <w:color w:val="auto"/>
                      <w:sz w:val="18"/>
                      <w:szCs w:val="18"/>
                      <w:highlight w:val="none"/>
                    </w:rPr>
                    <w:t>硫酸钠</w:t>
                  </w:r>
                </w:p>
              </w:tc>
              <w:tc>
                <w:tcPr>
                  <w:tcW w:w="523" w:type="pct"/>
                  <w:tcBorders>
                    <w:top w:val="single" w:color="auto" w:sz="4" w:space="0"/>
                    <w:left w:val="single" w:color="auto" w:sz="4" w:space="0"/>
                    <w:bottom w:val="single" w:color="auto" w:sz="4" w:space="0"/>
                    <w:right w:val="single" w:color="auto" w:sz="4" w:space="0"/>
                  </w:tcBorders>
                  <w:vAlign w:val="center"/>
                </w:tcPr>
                <w:p w14:paraId="6AAA3B90">
                  <w:pPr>
                    <w:pStyle w:val="120"/>
                    <w:keepNext w:val="0"/>
                    <w:keepLines w:val="0"/>
                    <w:pageBreakBefore w:val="0"/>
                    <w:framePr w:hSpace="0" w:wrap="auto" w:vAnchor="margin" w:hAnchor="text" w:xAlign="left" w:yAlign="inline"/>
                    <w:suppressLineNumbers w:val="0"/>
                    <w:kinsoku/>
                    <w:wordWrap/>
                    <w:overflowPunct/>
                    <w:topLinePunct w:val="0"/>
                    <w:bidi w:val="0"/>
                    <w:adjustRightInd w:val="0"/>
                    <w:snapToGrid w:val="0"/>
                    <w:spacing w:before="0" w:beforeAutospacing="0" w:after="0" w:afterAutospacing="0" w:line="276" w:lineRule="auto"/>
                    <w:ind w:left="0" w:right="0"/>
                    <w:jc w:val="center"/>
                    <w:rPr>
                      <w:rFonts w:hint="default" w:ascii="Times New Roman" w:hAnsi="Times New Roman" w:eastAsia="宋体" w:cs="Times New Roman"/>
                      <w:color w:val="auto"/>
                      <w:sz w:val="18"/>
                      <w:szCs w:val="18"/>
                      <w:highlight w:val="none"/>
                      <w:lang w:val="en-US" w:eastAsia="zh-CN"/>
                    </w:rPr>
                  </w:pPr>
                  <w:r>
                    <w:rPr>
                      <w:rFonts w:hint="eastAsia" w:ascii="Times New Roman" w:hAnsi="Times New Roman" w:eastAsia="宋体" w:cs="Times New Roman"/>
                      <w:color w:val="auto"/>
                      <w:sz w:val="18"/>
                      <w:szCs w:val="18"/>
                      <w:highlight w:val="none"/>
                      <w:lang w:val="en-US" w:eastAsia="zh-CN"/>
                    </w:rPr>
                    <w:t>2</w:t>
                  </w:r>
                  <w:r>
                    <w:rPr>
                      <w:rFonts w:hint="eastAsia" w:ascii="Times New Roman" w:hAnsi="Times New Roman" w:eastAsia="宋体" w:cs="Times New Roman"/>
                      <w:color w:val="auto"/>
                      <w:sz w:val="18"/>
                      <w:szCs w:val="18"/>
                      <w:highlight w:val="none"/>
                    </w:rPr>
                    <w:t>50</w:t>
                  </w:r>
                  <w:r>
                    <w:rPr>
                      <w:rFonts w:hint="eastAsia" w:ascii="Times New Roman" w:hAnsi="Times New Roman" w:eastAsia="宋体" w:cs="Times New Roman"/>
                      <w:color w:val="auto"/>
                      <w:sz w:val="18"/>
                      <w:szCs w:val="18"/>
                      <w:highlight w:val="none"/>
                      <w:lang w:val="en-US" w:eastAsia="zh-CN"/>
                    </w:rPr>
                    <w:t>0</w:t>
                  </w:r>
                  <w:r>
                    <w:rPr>
                      <w:rFonts w:hint="eastAsia" w:cs="Times New Roman"/>
                      <w:color w:val="auto"/>
                      <w:sz w:val="18"/>
                      <w:szCs w:val="18"/>
                      <w:highlight w:val="none"/>
                      <w:lang w:val="en-US" w:eastAsia="zh-CN"/>
                    </w:rPr>
                    <w:t>k</w:t>
                  </w:r>
                  <w:r>
                    <w:rPr>
                      <w:rFonts w:hint="eastAsia" w:ascii="Times New Roman" w:hAnsi="Times New Roman" w:eastAsia="宋体" w:cs="Times New Roman"/>
                      <w:color w:val="auto"/>
                      <w:sz w:val="18"/>
                      <w:szCs w:val="18"/>
                      <w:highlight w:val="none"/>
                    </w:rPr>
                    <w:t>g</w:t>
                  </w:r>
                </w:p>
              </w:tc>
              <w:tc>
                <w:tcPr>
                  <w:tcW w:w="1451" w:type="pct"/>
                  <w:tcBorders>
                    <w:top w:val="single" w:color="auto" w:sz="4" w:space="0"/>
                    <w:left w:val="single" w:color="auto" w:sz="4" w:space="0"/>
                    <w:bottom w:val="single" w:color="auto" w:sz="4" w:space="0"/>
                    <w:right w:val="single" w:color="auto" w:sz="4" w:space="0"/>
                  </w:tcBorders>
                  <w:vAlign w:val="center"/>
                </w:tcPr>
                <w:p w14:paraId="04D16DCD">
                  <w:pPr>
                    <w:pStyle w:val="120"/>
                    <w:keepNext w:val="0"/>
                    <w:keepLines w:val="0"/>
                    <w:pageBreakBefore w:val="0"/>
                    <w:framePr w:hSpace="0" w:wrap="auto" w:vAnchor="margin" w:hAnchor="text" w:xAlign="left" w:yAlign="inline"/>
                    <w:suppressLineNumbers w:val="0"/>
                    <w:kinsoku/>
                    <w:wordWrap/>
                    <w:overflowPunct/>
                    <w:topLinePunct w:val="0"/>
                    <w:bidi w:val="0"/>
                    <w:adjustRightInd w:val="0"/>
                    <w:snapToGrid w:val="0"/>
                    <w:spacing w:before="0" w:beforeAutospacing="0" w:after="0" w:afterAutospacing="0" w:line="276" w:lineRule="auto"/>
                    <w:ind w:left="0" w:right="0"/>
                    <w:jc w:val="center"/>
                    <w:rPr>
                      <w:rFonts w:hint="default" w:ascii="Times New Roman" w:hAnsi="Times New Roman" w:eastAsia="宋体" w:cs="Times New Roman"/>
                      <w:color w:val="auto"/>
                      <w:sz w:val="18"/>
                      <w:szCs w:val="18"/>
                      <w:highlight w:val="none"/>
                      <w:lang w:val="en-US" w:eastAsia="zh-CN"/>
                    </w:rPr>
                  </w:pPr>
                  <w:r>
                    <w:rPr>
                      <w:rFonts w:hint="eastAsia" w:ascii="Times New Roman" w:hAnsi="Times New Roman" w:eastAsia="宋体" w:cs="Times New Roman"/>
                      <w:color w:val="auto"/>
                      <w:sz w:val="18"/>
                      <w:szCs w:val="18"/>
                      <w:highlight w:val="none"/>
                    </w:rPr>
                    <w:t>500g/瓶</w:t>
                  </w:r>
                </w:p>
              </w:tc>
              <w:tc>
                <w:tcPr>
                  <w:tcW w:w="586" w:type="pct"/>
                  <w:tcBorders>
                    <w:top w:val="single" w:color="auto" w:sz="4" w:space="0"/>
                    <w:left w:val="single" w:color="auto" w:sz="4" w:space="0"/>
                    <w:bottom w:val="single" w:color="auto" w:sz="4" w:space="0"/>
                    <w:right w:val="single" w:color="auto" w:sz="4" w:space="0"/>
                  </w:tcBorders>
                  <w:vAlign w:val="center"/>
                </w:tcPr>
                <w:p w14:paraId="1CE7DF7F">
                  <w:pPr>
                    <w:pStyle w:val="120"/>
                    <w:keepNext w:val="0"/>
                    <w:keepLines w:val="0"/>
                    <w:pageBreakBefore w:val="0"/>
                    <w:framePr w:hSpace="0" w:wrap="auto" w:vAnchor="margin" w:hAnchor="text" w:xAlign="left" w:yAlign="inline"/>
                    <w:suppressLineNumbers w:val="0"/>
                    <w:kinsoku/>
                    <w:wordWrap/>
                    <w:overflowPunct/>
                    <w:topLinePunct w:val="0"/>
                    <w:bidi w:val="0"/>
                    <w:adjustRightInd w:val="0"/>
                    <w:snapToGrid w:val="0"/>
                    <w:spacing w:before="0" w:beforeAutospacing="0" w:after="0" w:afterAutospacing="0" w:line="276" w:lineRule="auto"/>
                    <w:ind w:left="0" w:right="0"/>
                    <w:jc w:val="center"/>
                    <w:rPr>
                      <w:rFonts w:hint="default" w:ascii="Times New Roman" w:hAnsi="Times New Roman" w:eastAsia="宋体" w:cs="Times New Roman"/>
                      <w:color w:val="auto"/>
                      <w:sz w:val="18"/>
                      <w:szCs w:val="18"/>
                      <w:highlight w:val="none"/>
                      <w:lang w:val="en-US" w:eastAsia="zh-CN"/>
                    </w:rPr>
                  </w:pPr>
                  <w:r>
                    <w:rPr>
                      <w:rFonts w:hint="eastAsia" w:ascii="Times New Roman" w:hAnsi="Times New Roman" w:eastAsia="宋体" w:cs="Times New Roman"/>
                      <w:color w:val="auto"/>
                      <w:sz w:val="18"/>
                      <w:szCs w:val="18"/>
                      <w:highlight w:val="none"/>
                      <w:lang w:val="en-US" w:eastAsia="zh-CN"/>
                    </w:rPr>
                    <w:t>2</w:t>
                  </w:r>
                  <w:r>
                    <w:rPr>
                      <w:rFonts w:hint="eastAsia" w:ascii="Times New Roman" w:hAnsi="Times New Roman" w:eastAsia="宋体" w:cs="Times New Roman"/>
                      <w:color w:val="auto"/>
                      <w:sz w:val="18"/>
                      <w:szCs w:val="18"/>
                      <w:highlight w:val="none"/>
                    </w:rPr>
                    <w:t>50</w:t>
                  </w:r>
                  <w:r>
                    <w:rPr>
                      <w:rFonts w:hint="eastAsia" w:cs="Times New Roman"/>
                      <w:color w:val="auto"/>
                      <w:sz w:val="18"/>
                      <w:szCs w:val="18"/>
                      <w:highlight w:val="none"/>
                      <w:lang w:val="en-US" w:eastAsia="zh-CN"/>
                    </w:rPr>
                    <w:t>k</w:t>
                  </w:r>
                  <w:r>
                    <w:rPr>
                      <w:rFonts w:hint="eastAsia" w:ascii="Times New Roman" w:hAnsi="Times New Roman" w:eastAsia="宋体" w:cs="Times New Roman"/>
                      <w:color w:val="auto"/>
                      <w:sz w:val="18"/>
                      <w:szCs w:val="18"/>
                      <w:highlight w:val="none"/>
                    </w:rPr>
                    <w:t>g</w:t>
                  </w:r>
                </w:p>
              </w:tc>
              <w:tc>
                <w:tcPr>
                  <w:tcW w:w="368" w:type="pct"/>
                  <w:tcBorders>
                    <w:top w:val="single" w:color="auto" w:sz="4" w:space="0"/>
                    <w:left w:val="single" w:color="auto" w:sz="4" w:space="0"/>
                    <w:bottom w:val="single" w:color="auto" w:sz="4" w:space="0"/>
                    <w:right w:val="single" w:color="auto" w:sz="4" w:space="0"/>
                  </w:tcBorders>
                  <w:vAlign w:val="center"/>
                </w:tcPr>
                <w:p w14:paraId="2CE6FB81">
                  <w:pPr>
                    <w:pStyle w:val="120"/>
                    <w:keepNext w:val="0"/>
                    <w:keepLines w:val="0"/>
                    <w:pageBreakBefore w:val="0"/>
                    <w:framePr w:hSpace="0" w:wrap="auto" w:vAnchor="margin" w:hAnchor="text" w:xAlign="left" w:yAlign="inline"/>
                    <w:suppressLineNumbers w:val="0"/>
                    <w:kinsoku/>
                    <w:wordWrap/>
                    <w:overflowPunct/>
                    <w:topLinePunct w:val="0"/>
                    <w:bidi w:val="0"/>
                    <w:adjustRightInd w:val="0"/>
                    <w:snapToGrid w:val="0"/>
                    <w:spacing w:before="0" w:beforeAutospacing="0" w:after="0" w:afterAutospacing="0" w:line="276" w:lineRule="auto"/>
                    <w:ind w:left="0" w:right="0"/>
                    <w:jc w:val="center"/>
                    <w:rPr>
                      <w:rFonts w:hint="eastAsia" w:ascii="Times New Roman" w:hAnsi="Times New Roman" w:eastAsia="宋体" w:cs="Times New Roman"/>
                      <w:color w:val="auto"/>
                      <w:sz w:val="18"/>
                      <w:szCs w:val="18"/>
                      <w:highlight w:val="none"/>
                      <w:lang w:val="en-US" w:eastAsia="zh-CN"/>
                    </w:rPr>
                  </w:pPr>
                  <w:r>
                    <w:rPr>
                      <w:rFonts w:hint="eastAsia" w:ascii="Times New Roman" w:hAnsi="Times New Roman" w:eastAsia="宋体" w:cs="Times New Roman"/>
                      <w:color w:val="auto"/>
                      <w:sz w:val="18"/>
                      <w:szCs w:val="18"/>
                      <w:highlight w:val="none"/>
                    </w:rPr>
                    <w:t>固态</w:t>
                  </w:r>
                </w:p>
              </w:tc>
              <w:tc>
                <w:tcPr>
                  <w:tcW w:w="892" w:type="pct"/>
                  <w:vMerge w:val="continue"/>
                  <w:tcBorders>
                    <w:left w:val="single" w:color="auto" w:sz="4" w:space="0"/>
                    <w:right w:val="single" w:color="auto" w:sz="4" w:space="0"/>
                  </w:tcBorders>
                  <w:vAlign w:val="center"/>
                </w:tcPr>
                <w:p w14:paraId="2E0D65C0">
                  <w:pPr>
                    <w:keepNext w:val="0"/>
                    <w:keepLines w:val="0"/>
                    <w:pageBreakBefore w:val="0"/>
                    <w:suppressLineNumbers w:val="0"/>
                    <w:kinsoku/>
                    <w:wordWrap/>
                    <w:overflowPunct/>
                    <w:topLinePunct w:val="0"/>
                    <w:bidi w:val="0"/>
                    <w:adjustRightInd w:val="0"/>
                    <w:snapToGrid w:val="0"/>
                    <w:spacing w:before="0" w:beforeAutospacing="0" w:after="0" w:afterAutospacing="0" w:line="276" w:lineRule="auto"/>
                    <w:ind w:left="0" w:right="0"/>
                    <w:jc w:val="center"/>
                    <w:rPr>
                      <w:rFonts w:hint="default" w:ascii="Times New Roman" w:hAnsi="Times New Roman" w:eastAsia="宋体" w:cs="Times New Roman"/>
                      <w:sz w:val="18"/>
                      <w:szCs w:val="18"/>
                      <w:highlight w:val="none"/>
                    </w:rPr>
                  </w:pPr>
                </w:p>
              </w:tc>
            </w:tr>
            <w:tr w14:paraId="7D1BAAB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7" w:type="dxa"/>
                  <w:bottom w:w="0" w:type="dxa"/>
                  <w:right w:w="17" w:type="dxa"/>
                </w:tblCellMar>
              </w:tblPrEx>
              <w:trPr>
                <w:trHeight w:val="0" w:hRule="atLeast"/>
                <w:jc w:val="center"/>
              </w:trPr>
              <w:tc>
                <w:tcPr>
                  <w:tcW w:w="283" w:type="pct"/>
                  <w:tcBorders>
                    <w:top w:val="single" w:color="auto" w:sz="4" w:space="0"/>
                    <w:left w:val="single" w:color="auto" w:sz="4" w:space="0"/>
                    <w:bottom w:val="single" w:color="auto" w:sz="4" w:space="0"/>
                    <w:right w:val="single" w:color="auto" w:sz="4" w:space="0"/>
                  </w:tcBorders>
                  <w:vAlign w:val="center"/>
                </w:tcPr>
                <w:p w14:paraId="393EADFA">
                  <w:pPr>
                    <w:keepNext w:val="0"/>
                    <w:keepLines w:val="0"/>
                    <w:pageBreakBefore w:val="0"/>
                    <w:suppressLineNumbers w:val="0"/>
                    <w:kinsoku/>
                    <w:wordWrap/>
                    <w:overflowPunct/>
                    <w:topLinePunct w:val="0"/>
                    <w:bidi w:val="0"/>
                    <w:adjustRightInd w:val="0"/>
                    <w:snapToGrid w:val="0"/>
                    <w:spacing w:before="0" w:beforeAutospacing="0" w:after="0" w:afterAutospacing="0" w:line="276" w:lineRule="auto"/>
                    <w:ind w:left="0" w:right="0"/>
                    <w:jc w:val="center"/>
                    <w:rPr>
                      <w:rFonts w:hint="eastAsia" w:cs="Times New Roman"/>
                      <w:kern w:val="2"/>
                      <w:sz w:val="18"/>
                      <w:szCs w:val="18"/>
                      <w:highlight w:val="none"/>
                      <w:lang w:val="en-US" w:eastAsia="zh-CN" w:bidi="ar-SA"/>
                    </w:rPr>
                  </w:pPr>
                  <w:r>
                    <w:rPr>
                      <w:rFonts w:hint="eastAsia" w:cs="Times New Roman"/>
                      <w:kern w:val="2"/>
                      <w:sz w:val="18"/>
                      <w:szCs w:val="18"/>
                      <w:highlight w:val="none"/>
                      <w:lang w:val="en-US" w:eastAsia="zh-CN" w:bidi="ar-SA"/>
                    </w:rPr>
                    <w:t>36</w:t>
                  </w:r>
                </w:p>
              </w:tc>
              <w:tc>
                <w:tcPr>
                  <w:tcW w:w="894" w:type="pct"/>
                  <w:tcBorders>
                    <w:top w:val="single" w:color="auto" w:sz="4" w:space="0"/>
                    <w:left w:val="single" w:color="auto" w:sz="4" w:space="0"/>
                    <w:bottom w:val="single" w:color="auto" w:sz="4" w:space="0"/>
                    <w:right w:val="single" w:color="auto" w:sz="4" w:space="0"/>
                  </w:tcBorders>
                  <w:vAlign w:val="center"/>
                </w:tcPr>
                <w:p w14:paraId="1CD102A4">
                  <w:pPr>
                    <w:pStyle w:val="120"/>
                    <w:keepNext w:val="0"/>
                    <w:keepLines w:val="0"/>
                    <w:pageBreakBefore w:val="0"/>
                    <w:framePr w:hSpace="0" w:wrap="auto" w:vAnchor="margin" w:hAnchor="text" w:xAlign="left" w:yAlign="inline"/>
                    <w:suppressLineNumbers w:val="0"/>
                    <w:kinsoku/>
                    <w:wordWrap/>
                    <w:overflowPunct/>
                    <w:topLinePunct w:val="0"/>
                    <w:bidi w:val="0"/>
                    <w:adjustRightInd w:val="0"/>
                    <w:snapToGrid w:val="0"/>
                    <w:spacing w:before="0" w:beforeAutospacing="0" w:after="0" w:afterAutospacing="0" w:line="276" w:lineRule="auto"/>
                    <w:ind w:left="0" w:right="0"/>
                    <w:jc w:val="center"/>
                    <w:rPr>
                      <w:rFonts w:hint="eastAsia" w:ascii="Times New Roman" w:hAnsi="Times New Roman" w:eastAsia="宋体" w:cs="Times New Roman"/>
                      <w:color w:val="auto"/>
                      <w:sz w:val="18"/>
                      <w:szCs w:val="18"/>
                      <w:highlight w:val="none"/>
                      <w:lang w:val="en-US" w:eastAsia="zh-CN"/>
                    </w:rPr>
                  </w:pPr>
                  <w:r>
                    <w:rPr>
                      <w:rFonts w:hint="eastAsia" w:ascii="Times New Roman" w:hAnsi="Times New Roman" w:eastAsia="宋体" w:cs="Times New Roman"/>
                      <w:color w:val="auto"/>
                      <w:sz w:val="18"/>
                      <w:szCs w:val="18"/>
                      <w:highlight w:val="none"/>
                    </w:rPr>
                    <w:t>四氢呋喃</w:t>
                  </w:r>
                </w:p>
              </w:tc>
              <w:tc>
                <w:tcPr>
                  <w:tcW w:w="523" w:type="pct"/>
                  <w:tcBorders>
                    <w:top w:val="single" w:color="auto" w:sz="4" w:space="0"/>
                    <w:left w:val="single" w:color="auto" w:sz="4" w:space="0"/>
                    <w:bottom w:val="single" w:color="auto" w:sz="4" w:space="0"/>
                    <w:right w:val="single" w:color="auto" w:sz="4" w:space="0"/>
                  </w:tcBorders>
                  <w:vAlign w:val="center"/>
                </w:tcPr>
                <w:p w14:paraId="2A159B08">
                  <w:pPr>
                    <w:pStyle w:val="120"/>
                    <w:keepNext w:val="0"/>
                    <w:keepLines w:val="0"/>
                    <w:pageBreakBefore w:val="0"/>
                    <w:framePr w:hSpace="0" w:wrap="auto" w:vAnchor="margin" w:hAnchor="text" w:xAlign="left" w:yAlign="inline"/>
                    <w:suppressLineNumbers w:val="0"/>
                    <w:kinsoku/>
                    <w:wordWrap/>
                    <w:overflowPunct/>
                    <w:topLinePunct w:val="0"/>
                    <w:bidi w:val="0"/>
                    <w:adjustRightInd w:val="0"/>
                    <w:snapToGrid w:val="0"/>
                    <w:spacing w:before="0" w:beforeAutospacing="0" w:after="0" w:afterAutospacing="0" w:line="276" w:lineRule="auto"/>
                    <w:ind w:left="0" w:right="0"/>
                    <w:jc w:val="center"/>
                    <w:rPr>
                      <w:rFonts w:hint="default" w:ascii="Times New Roman" w:hAnsi="Times New Roman" w:eastAsia="宋体" w:cs="Times New Roman"/>
                      <w:color w:val="auto"/>
                      <w:sz w:val="18"/>
                      <w:szCs w:val="18"/>
                      <w:highlight w:val="none"/>
                      <w:lang w:val="en-US" w:eastAsia="zh-CN"/>
                    </w:rPr>
                  </w:pPr>
                  <w:r>
                    <w:rPr>
                      <w:rFonts w:hint="eastAsia" w:ascii="Times New Roman" w:hAnsi="Times New Roman" w:eastAsia="宋体" w:cs="Times New Roman"/>
                      <w:color w:val="auto"/>
                      <w:sz w:val="18"/>
                      <w:szCs w:val="18"/>
                      <w:highlight w:val="none"/>
                      <w:lang w:val="en-US" w:eastAsia="zh-CN"/>
                    </w:rPr>
                    <w:t>60</w:t>
                  </w:r>
                  <w:r>
                    <w:rPr>
                      <w:rFonts w:hint="eastAsia" w:ascii="Times New Roman" w:hAnsi="Times New Roman" w:eastAsia="宋体" w:cs="Times New Roman"/>
                      <w:color w:val="auto"/>
                      <w:sz w:val="18"/>
                      <w:szCs w:val="18"/>
                      <w:highlight w:val="none"/>
                    </w:rPr>
                    <w:t>0L</w:t>
                  </w:r>
                </w:p>
              </w:tc>
              <w:tc>
                <w:tcPr>
                  <w:tcW w:w="1451" w:type="pct"/>
                  <w:tcBorders>
                    <w:top w:val="single" w:color="auto" w:sz="4" w:space="0"/>
                    <w:left w:val="single" w:color="auto" w:sz="4" w:space="0"/>
                    <w:bottom w:val="single" w:color="auto" w:sz="4" w:space="0"/>
                    <w:right w:val="single" w:color="auto" w:sz="4" w:space="0"/>
                  </w:tcBorders>
                  <w:vAlign w:val="center"/>
                </w:tcPr>
                <w:p w14:paraId="3F851911">
                  <w:pPr>
                    <w:pStyle w:val="120"/>
                    <w:keepNext w:val="0"/>
                    <w:keepLines w:val="0"/>
                    <w:pageBreakBefore w:val="0"/>
                    <w:framePr w:hSpace="0" w:wrap="auto" w:vAnchor="margin" w:hAnchor="text" w:xAlign="left" w:yAlign="inline"/>
                    <w:suppressLineNumbers w:val="0"/>
                    <w:kinsoku/>
                    <w:wordWrap/>
                    <w:overflowPunct/>
                    <w:topLinePunct w:val="0"/>
                    <w:bidi w:val="0"/>
                    <w:adjustRightInd w:val="0"/>
                    <w:snapToGrid w:val="0"/>
                    <w:spacing w:before="0" w:beforeAutospacing="0" w:after="0" w:afterAutospacing="0" w:line="276" w:lineRule="auto"/>
                    <w:ind w:left="0" w:right="0"/>
                    <w:jc w:val="center"/>
                    <w:rPr>
                      <w:rFonts w:hint="default" w:ascii="Times New Roman" w:hAnsi="Times New Roman" w:eastAsia="宋体" w:cs="Times New Roman"/>
                      <w:color w:val="auto"/>
                      <w:sz w:val="18"/>
                      <w:szCs w:val="18"/>
                      <w:highlight w:val="none"/>
                      <w:lang w:val="en-US" w:eastAsia="zh-CN"/>
                    </w:rPr>
                  </w:pPr>
                  <w:r>
                    <w:rPr>
                      <w:rFonts w:hint="eastAsia" w:ascii="Times New Roman" w:hAnsi="Times New Roman" w:eastAsia="宋体" w:cs="Times New Roman"/>
                      <w:color w:val="auto"/>
                      <w:sz w:val="18"/>
                      <w:szCs w:val="18"/>
                      <w:highlight w:val="none"/>
                    </w:rPr>
                    <w:t>500mL/瓶</w:t>
                  </w:r>
                </w:p>
              </w:tc>
              <w:tc>
                <w:tcPr>
                  <w:tcW w:w="586" w:type="pct"/>
                  <w:tcBorders>
                    <w:top w:val="single" w:color="auto" w:sz="4" w:space="0"/>
                    <w:left w:val="single" w:color="auto" w:sz="4" w:space="0"/>
                    <w:bottom w:val="single" w:color="auto" w:sz="4" w:space="0"/>
                    <w:right w:val="single" w:color="auto" w:sz="4" w:space="0"/>
                  </w:tcBorders>
                  <w:vAlign w:val="center"/>
                </w:tcPr>
                <w:p w14:paraId="15601DCE">
                  <w:pPr>
                    <w:pStyle w:val="120"/>
                    <w:keepNext w:val="0"/>
                    <w:keepLines w:val="0"/>
                    <w:pageBreakBefore w:val="0"/>
                    <w:framePr w:hSpace="0" w:wrap="auto" w:vAnchor="margin" w:hAnchor="text" w:xAlign="left" w:yAlign="inline"/>
                    <w:suppressLineNumbers w:val="0"/>
                    <w:kinsoku/>
                    <w:wordWrap/>
                    <w:overflowPunct/>
                    <w:topLinePunct w:val="0"/>
                    <w:bidi w:val="0"/>
                    <w:adjustRightInd w:val="0"/>
                    <w:snapToGrid w:val="0"/>
                    <w:spacing w:before="0" w:beforeAutospacing="0" w:after="0" w:afterAutospacing="0" w:line="276" w:lineRule="auto"/>
                    <w:ind w:left="0" w:right="0"/>
                    <w:jc w:val="center"/>
                    <w:rPr>
                      <w:rFonts w:hint="default" w:ascii="Times New Roman" w:hAnsi="Times New Roman" w:eastAsia="宋体" w:cs="Times New Roman"/>
                      <w:color w:val="auto"/>
                      <w:sz w:val="18"/>
                      <w:szCs w:val="18"/>
                      <w:highlight w:val="none"/>
                      <w:lang w:val="en-US" w:eastAsia="zh-CN"/>
                    </w:rPr>
                  </w:pPr>
                  <w:r>
                    <w:rPr>
                      <w:rFonts w:hint="eastAsia" w:ascii="Times New Roman" w:hAnsi="Times New Roman" w:eastAsia="宋体" w:cs="Times New Roman"/>
                      <w:color w:val="auto"/>
                      <w:sz w:val="18"/>
                      <w:szCs w:val="18"/>
                      <w:highlight w:val="none"/>
                      <w:lang w:val="en-US" w:eastAsia="zh-CN"/>
                    </w:rPr>
                    <w:t>60</w:t>
                  </w:r>
                  <w:r>
                    <w:rPr>
                      <w:rFonts w:hint="eastAsia" w:ascii="Times New Roman" w:hAnsi="Times New Roman" w:eastAsia="宋体" w:cs="Times New Roman"/>
                      <w:color w:val="auto"/>
                      <w:sz w:val="18"/>
                      <w:szCs w:val="18"/>
                      <w:highlight w:val="none"/>
                    </w:rPr>
                    <w:t>L</w:t>
                  </w:r>
                </w:p>
              </w:tc>
              <w:tc>
                <w:tcPr>
                  <w:tcW w:w="368" w:type="pct"/>
                  <w:tcBorders>
                    <w:top w:val="single" w:color="auto" w:sz="4" w:space="0"/>
                    <w:left w:val="single" w:color="auto" w:sz="4" w:space="0"/>
                    <w:bottom w:val="single" w:color="auto" w:sz="4" w:space="0"/>
                    <w:right w:val="single" w:color="auto" w:sz="4" w:space="0"/>
                  </w:tcBorders>
                  <w:vAlign w:val="center"/>
                </w:tcPr>
                <w:p w14:paraId="4860EFF2">
                  <w:pPr>
                    <w:pStyle w:val="120"/>
                    <w:keepNext w:val="0"/>
                    <w:keepLines w:val="0"/>
                    <w:pageBreakBefore w:val="0"/>
                    <w:framePr w:hSpace="0" w:wrap="auto" w:vAnchor="margin" w:hAnchor="text" w:xAlign="left" w:yAlign="inline"/>
                    <w:suppressLineNumbers w:val="0"/>
                    <w:kinsoku/>
                    <w:wordWrap/>
                    <w:overflowPunct/>
                    <w:topLinePunct w:val="0"/>
                    <w:bidi w:val="0"/>
                    <w:adjustRightInd w:val="0"/>
                    <w:snapToGrid w:val="0"/>
                    <w:spacing w:before="0" w:beforeAutospacing="0" w:after="0" w:afterAutospacing="0" w:line="276" w:lineRule="auto"/>
                    <w:ind w:left="0" w:right="0"/>
                    <w:jc w:val="center"/>
                    <w:rPr>
                      <w:rFonts w:hint="eastAsia" w:ascii="Times New Roman" w:hAnsi="Times New Roman" w:eastAsia="宋体" w:cs="Times New Roman"/>
                      <w:color w:val="auto"/>
                      <w:sz w:val="18"/>
                      <w:szCs w:val="18"/>
                      <w:highlight w:val="none"/>
                      <w:lang w:val="en-US" w:eastAsia="zh-CN"/>
                    </w:rPr>
                  </w:pPr>
                  <w:r>
                    <w:rPr>
                      <w:rFonts w:hint="eastAsia" w:ascii="Times New Roman" w:hAnsi="Times New Roman" w:eastAsia="宋体" w:cs="Times New Roman"/>
                      <w:color w:val="auto"/>
                      <w:sz w:val="18"/>
                      <w:szCs w:val="18"/>
                      <w:highlight w:val="none"/>
                      <w:lang w:eastAsia="zh-CN"/>
                    </w:rPr>
                    <w:t>液态</w:t>
                  </w:r>
                </w:p>
              </w:tc>
              <w:tc>
                <w:tcPr>
                  <w:tcW w:w="892" w:type="pct"/>
                  <w:vMerge w:val="continue"/>
                  <w:tcBorders>
                    <w:left w:val="single" w:color="auto" w:sz="4" w:space="0"/>
                    <w:right w:val="single" w:color="auto" w:sz="4" w:space="0"/>
                  </w:tcBorders>
                  <w:vAlign w:val="center"/>
                </w:tcPr>
                <w:p w14:paraId="4E269C2D">
                  <w:pPr>
                    <w:keepNext w:val="0"/>
                    <w:keepLines w:val="0"/>
                    <w:pageBreakBefore w:val="0"/>
                    <w:suppressLineNumbers w:val="0"/>
                    <w:kinsoku/>
                    <w:wordWrap/>
                    <w:overflowPunct/>
                    <w:topLinePunct w:val="0"/>
                    <w:bidi w:val="0"/>
                    <w:adjustRightInd w:val="0"/>
                    <w:snapToGrid w:val="0"/>
                    <w:spacing w:before="0" w:beforeAutospacing="0" w:after="0" w:afterAutospacing="0" w:line="276" w:lineRule="auto"/>
                    <w:ind w:left="0" w:right="0"/>
                    <w:jc w:val="center"/>
                    <w:rPr>
                      <w:rFonts w:hint="default" w:ascii="Times New Roman" w:hAnsi="Times New Roman" w:eastAsia="宋体" w:cs="Times New Roman"/>
                      <w:sz w:val="18"/>
                      <w:szCs w:val="18"/>
                      <w:highlight w:val="none"/>
                    </w:rPr>
                  </w:pPr>
                </w:p>
              </w:tc>
            </w:tr>
            <w:tr w14:paraId="4FEA32E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7" w:type="dxa"/>
                  <w:bottom w:w="0" w:type="dxa"/>
                  <w:right w:w="17" w:type="dxa"/>
                </w:tblCellMar>
              </w:tblPrEx>
              <w:trPr>
                <w:trHeight w:val="0" w:hRule="atLeast"/>
                <w:jc w:val="center"/>
              </w:trPr>
              <w:tc>
                <w:tcPr>
                  <w:tcW w:w="283" w:type="pct"/>
                  <w:tcBorders>
                    <w:top w:val="single" w:color="auto" w:sz="4" w:space="0"/>
                    <w:left w:val="single" w:color="auto" w:sz="4" w:space="0"/>
                    <w:bottom w:val="single" w:color="auto" w:sz="4" w:space="0"/>
                    <w:right w:val="single" w:color="auto" w:sz="4" w:space="0"/>
                  </w:tcBorders>
                  <w:vAlign w:val="center"/>
                </w:tcPr>
                <w:p w14:paraId="218A6098">
                  <w:pPr>
                    <w:keepNext w:val="0"/>
                    <w:keepLines w:val="0"/>
                    <w:pageBreakBefore w:val="0"/>
                    <w:suppressLineNumbers w:val="0"/>
                    <w:kinsoku/>
                    <w:wordWrap/>
                    <w:overflowPunct/>
                    <w:topLinePunct w:val="0"/>
                    <w:bidi w:val="0"/>
                    <w:adjustRightInd w:val="0"/>
                    <w:snapToGrid w:val="0"/>
                    <w:spacing w:before="0" w:beforeAutospacing="0" w:after="0" w:afterAutospacing="0" w:line="276" w:lineRule="auto"/>
                    <w:ind w:left="0" w:right="0"/>
                    <w:jc w:val="center"/>
                    <w:rPr>
                      <w:rFonts w:hint="eastAsia" w:cs="Times New Roman"/>
                      <w:kern w:val="2"/>
                      <w:sz w:val="18"/>
                      <w:szCs w:val="18"/>
                      <w:highlight w:val="none"/>
                      <w:lang w:val="en-US" w:eastAsia="zh-CN" w:bidi="ar-SA"/>
                    </w:rPr>
                  </w:pPr>
                  <w:r>
                    <w:rPr>
                      <w:rFonts w:hint="eastAsia" w:cs="Times New Roman"/>
                      <w:kern w:val="2"/>
                      <w:sz w:val="18"/>
                      <w:szCs w:val="18"/>
                      <w:highlight w:val="none"/>
                      <w:lang w:val="en-US" w:eastAsia="zh-CN" w:bidi="ar-SA"/>
                    </w:rPr>
                    <w:t>37</w:t>
                  </w:r>
                </w:p>
              </w:tc>
              <w:tc>
                <w:tcPr>
                  <w:tcW w:w="894" w:type="pct"/>
                  <w:tcBorders>
                    <w:top w:val="single" w:color="auto" w:sz="4" w:space="0"/>
                    <w:left w:val="single" w:color="auto" w:sz="4" w:space="0"/>
                    <w:bottom w:val="single" w:color="auto" w:sz="4" w:space="0"/>
                    <w:right w:val="single" w:color="auto" w:sz="4" w:space="0"/>
                  </w:tcBorders>
                  <w:vAlign w:val="center"/>
                </w:tcPr>
                <w:p w14:paraId="3A9383BA">
                  <w:pPr>
                    <w:pStyle w:val="120"/>
                    <w:keepNext w:val="0"/>
                    <w:keepLines w:val="0"/>
                    <w:pageBreakBefore w:val="0"/>
                    <w:framePr w:hSpace="0" w:wrap="auto" w:vAnchor="margin" w:hAnchor="text" w:xAlign="left" w:yAlign="inline"/>
                    <w:suppressLineNumbers w:val="0"/>
                    <w:kinsoku/>
                    <w:wordWrap/>
                    <w:overflowPunct/>
                    <w:topLinePunct w:val="0"/>
                    <w:bidi w:val="0"/>
                    <w:adjustRightInd w:val="0"/>
                    <w:snapToGrid w:val="0"/>
                    <w:spacing w:before="0" w:beforeAutospacing="0" w:after="0" w:afterAutospacing="0" w:line="276" w:lineRule="auto"/>
                    <w:ind w:left="0" w:right="0"/>
                    <w:jc w:val="center"/>
                    <w:rPr>
                      <w:rFonts w:hint="eastAsia" w:ascii="Times New Roman" w:hAnsi="Times New Roman" w:eastAsia="宋体" w:cs="Times New Roman"/>
                      <w:color w:val="auto"/>
                      <w:sz w:val="18"/>
                      <w:szCs w:val="18"/>
                      <w:highlight w:val="none"/>
                      <w:lang w:val="en-US" w:eastAsia="zh-CN"/>
                    </w:rPr>
                  </w:pPr>
                  <w:r>
                    <w:rPr>
                      <w:rFonts w:hint="eastAsia" w:ascii="Times New Roman" w:hAnsi="Times New Roman" w:eastAsia="宋体" w:cs="Times New Roman"/>
                      <w:color w:val="auto"/>
                      <w:sz w:val="18"/>
                      <w:szCs w:val="18"/>
                      <w:highlight w:val="none"/>
                    </w:rPr>
                    <w:t>N</w:t>
                  </w:r>
                  <w:r>
                    <w:rPr>
                      <w:rFonts w:hint="eastAsia" w:ascii="Times New Roman" w:hAnsi="Times New Roman" w:eastAsia="宋体" w:cs="Times New Roman"/>
                      <w:color w:val="auto"/>
                      <w:sz w:val="18"/>
                      <w:szCs w:val="18"/>
                      <w:highlight w:val="none"/>
                      <w:lang w:eastAsia="zh-CN"/>
                    </w:rPr>
                    <w:t>，</w:t>
                  </w:r>
                  <w:r>
                    <w:rPr>
                      <w:rFonts w:hint="eastAsia" w:ascii="Times New Roman" w:hAnsi="Times New Roman" w:eastAsia="宋体" w:cs="Times New Roman"/>
                      <w:color w:val="auto"/>
                      <w:sz w:val="18"/>
                      <w:szCs w:val="18"/>
                      <w:highlight w:val="none"/>
                    </w:rPr>
                    <w:t>N</w:t>
                  </w:r>
                  <w:r>
                    <w:rPr>
                      <w:rFonts w:hint="default" w:ascii="Times New Roman" w:hAnsi="Times New Roman" w:eastAsia="宋体" w:cs="Times New Roman"/>
                      <w:color w:val="auto"/>
                      <w:sz w:val="18"/>
                      <w:szCs w:val="18"/>
                      <w:highlight w:val="none"/>
                      <w:lang w:val="en-US" w:eastAsia="zh-CN"/>
                    </w:rPr>
                    <w:t>’</w:t>
                  </w:r>
                  <w:r>
                    <w:rPr>
                      <w:rFonts w:hint="eastAsia" w:ascii="Times New Roman" w:hAnsi="Times New Roman" w:eastAsia="宋体" w:cs="Times New Roman"/>
                      <w:color w:val="auto"/>
                      <w:sz w:val="18"/>
                      <w:szCs w:val="18"/>
                      <w:highlight w:val="none"/>
                    </w:rPr>
                    <w:t>-二环己基碳二亚胺</w:t>
                  </w:r>
                  <w:r>
                    <w:rPr>
                      <w:rFonts w:hint="eastAsia" w:cs="Times New Roman"/>
                      <w:color w:val="auto"/>
                      <w:sz w:val="18"/>
                      <w:szCs w:val="18"/>
                      <w:highlight w:val="none"/>
                      <w:lang w:eastAsia="zh-CN"/>
                    </w:rPr>
                    <w:t>（</w:t>
                  </w:r>
                  <w:r>
                    <w:rPr>
                      <w:rFonts w:hint="eastAsia" w:ascii="Times New Roman" w:hAnsi="Times New Roman" w:eastAsia="宋体" w:cs="Times New Roman"/>
                      <w:color w:val="auto"/>
                      <w:sz w:val="18"/>
                      <w:szCs w:val="18"/>
                      <w:highlight w:val="none"/>
                    </w:rPr>
                    <w:t>DCC)</w:t>
                  </w:r>
                </w:p>
              </w:tc>
              <w:tc>
                <w:tcPr>
                  <w:tcW w:w="523" w:type="pct"/>
                  <w:tcBorders>
                    <w:top w:val="single" w:color="auto" w:sz="4" w:space="0"/>
                    <w:left w:val="single" w:color="auto" w:sz="4" w:space="0"/>
                    <w:bottom w:val="single" w:color="auto" w:sz="4" w:space="0"/>
                    <w:right w:val="single" w:color="auto" w:sz="4" w:space="0"/>
                  </w:tcBorders>
                  <w:vAlign w:val="center"/>
                </w:tcPr>
                <w:p w14:paraId="34A56B5E">
                  <w:pPr>
                    <w:pStyle w:val="120"/>
                    <w:keepNext w:val="0"/>
                    <w:keepLines w:val="0"/>
                    <w:pageBreakBefore w:val="0"/>
                    <w:framePr w:hSpace="0" w:wrap="auto" w:vAnchor="margin" w:hAnchor="text" w:xAlign="left" w:yAlign="inline"/>
                    <w:suppressLineNumbers w:val="0"/>
                    <w:kinsoku/>
                    <w:wordWrap/>
                    <w:overflowPunct/>
                    <w:topLinePunct w:val="0"/>
                    <w:bidi w:val="0"/>
                    <w:adjustRightInd w:val="0"/>
                    <w:snapToGrid w:val="0"/>
                    <w:spacing w:before="0" w:beforeAutospacing="0" w:after="0" w:afterAutospacing="0" w:line="276" w:lineRule="auto"/>
                    <w:ind w:left="0" w:right="0"/>
                    <w:jc w:val="center"/>
                    <w:rPr>
                      <w:rFonts w:hint="default" w:ascii="Times New Roman" w:hAnsi="Times New Roman" w:eastAsia="宋体" w:cs="Times New Roman"/>
                      <w:color w:val="auto"/>
                      <w:sz w:val="18"/>
                      <w:szCs w:val="18"/>
                      <w:highlight w:val="none"/>
                      <w:lang w:val="en-US" w:eastAsia="zh-CN"/>
                    </w:rPr>
                  </w:pPr>
                  <w:r>
                    <w:rPr>
                      <w:rFonts w:hint="eastAsia" w:ascii="Times New Roman" w:hAnsi="Times New Roman" w:eastAsia="宋体" w:cs="Times New Roman"/>
                      <w:color w:val="auto"/>
                      <w:sz w:val="18"/>
                      <w:szCs w:val="18"/>
                      <w:highlight w:val="none"/>
                      <w:lang w:val="en-US" w:eastAsia="zh-CN"/>
                    </w:rPr>
                    <w:t>2</w:t>
                  </w:r>
                  <w:r>
                    <w:rPr>
                      <w:rFonts w:hint="eastAsia" w:ascii="Times New Roman" w:hAnsi="Times New Roman" w:eastAsia="宋体" w:cs="Times New Roman"/>
                      <w:color w:val="auto"/>
                      <w:sz w:val="18"/>
                      <w:szCs w:val="18"/>
                      <w:highlight w:val="none"/>
                    </w:rPr>
                    <w:t>0</w:t>
                  </w:r>
                  <w:r>
                    <w:rPr>
                      <w:rFonts w:hint="eastAsia" w:cs="Times New Roman"/>
                      <w:color w:val="auto"/>
                      <w:sz w:val="18"/>
                      <w:szCs w:val="18"/>
                      <w:highlight w:val="none"/>
                      <w:lang w:val="en-US" w:eastAsia="zh-CN"/>
                    </w:rPr>
                    <w:t>k</w:t>
                  </w:r>
                  <w:r>
                    <w:rPr>
                      <w:rFonts w:hint="eastAsia" w:ascii="Times New Roman" w:hAnsi="Times New Roman" w:eastAsia="宋体" w:cs="Times New Roman"/>
                      <w:color w:val="auto"/>
                      <w:sz w:val="18"/>
                      <w:szCs w:val="18"/>
                      <w:highlight w:val="none"/>
                    </w:rPr>
                    <w:t>g</w:t>
                  </w:r>
                </w:p>
              </w:tc>
              <w:tc>
                <w:tcPr>
                  <w:tcW w:w="1451" w:type="pct"/>
                  <w:tcBorders>
                    <w:top w:val="single" w:color="auto" w:sz="4" w:space="0"/>
                    <w:left w:val="single" w:color="auto" w:sz="4" w:space="0"/>
                    <w:bottom w:val="single" w:color="auto" w:sz="4" w:space="0"/>
                    <w:right w:val="single" w:color="auto" w:sz="4" w:space="0"/>
                  </w:tcBorders>
                  <w:vAlign w:val="center"/>
                </w:tcPr>
                <w:p w14:paraId="3BE2B60F">
                  <w:pPr>
                    <w:pStyle w:val="120"/>
                    <w:keepNext w:val="0"/>
                    <w:keepLines w:val="0"/>
                    <w:pageBreakBefore w:val="0"/>
                    <w:framePr w:hSpace="0" w:wrap="auto" w:vAnchor="margin" w:hAnchor="text" w:xAlign="left" w:yAlign="inline"/>
                    <w:suppressLineNumbers w:val="0"/>
                    <w:kinsoku/>
                    <w:wordWrap/>
                    <w:overflowPunct/>
                    <w:topLinePunct w:val="0"/>
                    <w:bidi w:val="0"/>
                    <w:adjustRightInd w:val="0"/>
                    <w:snapToGrid w:val="0"/>
                    <w:spacing w:before="0" w:beforeAutospacing="0" w:after="0" w:afterAutospacing="0" w:line="276" w:lineRule="auto"/>
                    <w:ind w:left="0" w:right="0"/>
                    <w:jc w:val="center"/>
                    <w:rPr>
                      <w:rFonts w:hint="default" w:ascii="Times New Roman" w:hAnsi="Times New Roman" w:eastAsia="宋体" w:cs="Times New Roman"/>
                      <w:color w:val="auto"/>
                      <w:sz w:val="18"/>
                      <w:szCs w:val="18"/>
                      <w:highlight w:val="none"/>
                      <w:lang w:val="en-US" w:eastAsia="zh-CN"/>
                    </w:rPr>
                  </w:pPr>
                  <w:r>
                    <w:rPr>
                      <w:rFonts w:hint="eastAsia" w:ascii="Times New Roman" w:hAnsi="Times New Roman" w:eastAsia="宋体" w:cs="Times New Roman"/>
                      <w:color w:val="auto"/>
                      <w:sz w:val="18"/>
                      <w:szCs w:val="18"/>
                      <w:highlight w:val="none"/>
                    </w:rPr>
                    <w:t>100g/瓶</w:t>
                  </w:r>
                </w:p>
              </w:tc>
              <w:tc>
                <w:tcPr>
                  <w:tcW w:w="586" w:type="pct"/>
                  <w:tcBorders>
                    <w:top w:val="single" w:color="auto" w:sz="4" w:space="0"/>
                    <w:left w:val="single" w:color="auto" w:sz="4" w:space="0"/>
                    <w:bottom w:val="single" w:color="auto" w:sz="4" w:space="0"/>
                    <w:right w:val="single" w:color="auto" w:sz="4" w:space="0"/>
                  </w:tcBorders>
                  <w:vAlign w:val="center"/>
                </w:tcPr>
                <w:p w14:paraId="53822B4A">
                  <w:pPr>
                    <w:pStyle w:val="120"/>
                    <w:keepNext w:val="0"/>
                    <w:keepLines w:val="0"/>
                    <w:pageBreakBefore w:val="0"/>
                    <w:framePr w:hSpace="0" w:wrap="auto" w:vAnchor="margin" w:hAnchor="text" w:xAlign="left" w:yAlign="inline"/>
                    <w:suppressLineNumbers w:val="0"/>
                    <w:kinsoku/>
                    <w:wordWrap/>
                    <w:overflowPunct/>
                    <w:topLinePunct w:val="0"/>
                    <w:bidi w:val="0"/>
                    <w:adjustRightInd w:val="0"/>
                    <w:snapToGrid w:val="0"/>
                    <w:spacing w:before="0" w:beforeAutospacing="0" w:after="0" w:afterAutospacing="0" w:line="276" w:lineRule="auto"/>
                    <w:ind w:left="0" w:right="0"/>
                    <w:jc w:val="center"/>
                    <w:rPr>
                      <w:rFonts w:hint="default" w:ascii="Times New Roman" w:hAnsi="Times New Roman" w:eastAsia="宋体" w:cs="Times New Roman"/>
                      <w:color w:val="auto"/>
                      <w:sz w:val="18"/>
                      <w:szCs w:val="18"/>
                      <w:highlight w:val="none"/>
                      <w:lang w:val="en-US" w:eastAsia="zh-CN"/>
                    </w:rPr>
                  </w:pPr>
                  <w:r>
                    <w:rPr>
                      <w:rFonts w:hint="eastAsia" w:ascii="Times New Roman" w:hAnsi="Times New Roman" w:eastAsia="宋体" w:cs="Times New Roman"/>
                      <w:color w:val="auto"/>
                      <w:sz w:val="18"/>
                      <w:szCs w:val="18"/>
                      <w:highlight w:val="none"/>
                      <w:lang w:val="en-US" w:eastAsia="zh-CN"/>
                    </w:rPr>
                    <w:t>2</w:t>
                  </w:r>
                  <w:r>
                    <w:rPr>
                      <w:rFonts w:hint="eastAsia" w:cs="Times New Roman"/>
                      <w:color w:val="auto"/>
                      <w:sz w:val="18"/>
                      <w:szCs w:val="18"/>
                      <w:highlight w:val="none"/>
                      <w:lang w:val="en-US" w:eastAsia="zh-CN"/>
                    </w:rPr>
                    <w:t>k</w:t>
                  </w:r>
                  <w:r>
                    <w:rPr>
                      <w:rFonts w:hint="eastAsia" w:ascii="Times New Roman" w:hAnsi="Times New Roman" w:eastAsia="宋体" w:cs="Times New Roman"/>
                      <w:color w:val="auto"/>
                      <w:sz w:val="18"/>
                      <w:szCs w:val="18"/>
                      <w:highlight w:val="none"/>
                    </w:rPr>
                    <w:t>g</w:t>
                  </w:r>
                </w:p>
              </w:tc>
              <w:tc>
                <w:tcPr>
                  <w:tcW w:w="368" w:type="pct"/>
                  <w:tcBorders>
                    <w:top w:val="single" w:color="auto" w:sz="4" w:space="0"/>
                    <w:left w:val="single" w:color="auto" w:sz="4" w:space="0"/>
                    <w:bottom w:val="single" w:color="auto" w:sz="4" w:space="0"/>
                    <w:right w:val="single" w:color="auto" w:sz="4" w:space="0"/>
                  </w:tcBorders>
                  <w:vAlign w:val="center"/>
                </w:tcPr>
                <w:p w14:paraId="4D70E643">
                  <w:pPr>
                    <w:pStyle w:val="120"/>
                    <w:keepNext w:val="0"/>
                    <w:keepLines w:val="0"/>
                    <w:pageBreakBefore w:val="0"/>
                    <w:framePr w:hSpace="0" w:wrap="auto" w:vAnchor="margin" w:hAnchor="text" w:xAlign="left" w:yAlign="inline"/>
                    <w:suppressLineNumbers w:val="0"/>
                    <w:kinsoku/>
                    <w:wordWrap/>
                    <w:overflowPunct/>
                    <w:topLinePunct w:val="0"/>
                    <w:bidi w:val="0"/>
                    <w:adjustRightInd w:val="0"/>
                    <w:snapToGrid w:val="0"/>
                    <w:spacing w:before="0" w:beforeAutospacing="0" w:after="0" w:afterAutospacing="0" w:line="276" w:lineRule="auto"/>
                    <w:ind w:left="0" w:right="0"/>
                    <w:jc w:val="center"/>
                    <w:rPr>
                      <w:rFonts w:hint="eastAsia" w:ascii="Times New Roman" w:hAnsi="Times New Roman" w:eastAsia="宋体" w:cs="Times New Roman"/>
                      <w:color w:val="auto"/>
                      <w:sz w:val="18"/>
                      <w:szCs w:val="18"/>
                      <w:highlight w:val="none"/>
                      <w:lang w:val="en-US" w:eastAsia="zh-CN"/>
                    </w:rPr>
                  </w:pPr>
                  <w:r>
                    <w:rPr>
                      <w:rFonts w:hint="eastAsia" w:ascii="Times New Roman" w:hAnsi="Times New Roman" w:eastAsia="宋体" w:cs="Times New Roman"/>
                      <w:color w:val="auto"/>
                      <w:sz w:val="18"/>
                      <w:szCs w:val="18"/>
                      <w:highlight w:val="none"/>
                    </w:rPr>
                    <w:t>固态</w:t>
                  </w:r>
                </w:p>
              </w:tc>
              <w:tc>
                <w:tcPr>
                  <w:tcW w:w="892" w:type="pct"/>
                  <w:vMerge w:val="continue"/>
                  <w:tcBorders>
                    <w:left w:val="single" w:color="auto" w:sz="4" w:space="0"/>
                    <w:right w:val="single" w:color="auto" w:sz="4" w:space="0"/>
                  </w:tcBorders>
                  <w:vAlign w:val="center"/>
                </w:tcPr>
                <w:p w14:paraId="4944C9C5">
                  <w:pPr>
                    <w:keepNext w:val="0"/>
                    <w:keepLines w:val="0"/>
                    <w:pageBreakBefore w:val="0"/>
                    <w:suppressLineNumbers w:val="0"/>
                    <w:kinsoku/>
                    <w:wordWrap/>
                    <w:overflowPunct/>
                    <w:topLinePunct w:val="0"/>
                    <w:bidi w:val="0"/>
                    <w:adjustRightInd w:val="0"/>
                    <w:snapToGrid w:val="0"/>
                    <w:spacing w:before="0" w:beforeAutospacing="0" w:after="0" w:afterAutospacing="0" w:line="276" w:lineRule="auto"/>
                    <w:ind w:left="0" w:right="0"/>
                    <w:jc w:val="center"/>
                    <w:rPr>
                      <w:rFonts w:hint="default" w:ascii="Times New Roman" w:hAnsi="Times New Roman" w:eastAsia="宋体" w:cs="Times New Roman"/>
                      <w:sz w:val="18"/>
                      <w:szCs w:val="18"/>
                      <w:highlight w:val="none"/>
                    </w:rPr>
                  </w:pPr>
                </w:p>
              </w:tc>
            </w:tr>
            <w:tr w14:paraId="2EF5A9A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7" w:type="dxa"/>
                  <w:bottom w:w="0" w:type="dxa"/>
                  <w:right w:w="17" w:type="dxa"/>
                </w:tblCellMar>
              </w:tblPrEx>
              <w:trPr>
                <w:trHeight w:val="0" w:hRule="atLeast"/>
                <w:jc w:val="center"/>
              </w:trPr>
              <w:tc>
                <w:tcPr>
                  <w:tcW w:w="283" w:type="pct"/>
                  <w:tcBorders>
                    <w:top w:val="single" w:color="auto" w:sz="4" w:space="0"/>
                    <w:left w:val="single" w:color="auto" w:sz="4" w:space="0"/>
                    <w:bottom w:val="single" w:color="auto" w:sz="4" w:space="0"/>
                    <w:right w:val="single" w:color="auto" w:sz="4" w:space="0"/>
                  </w:tcBorders>
                  <w:vAlign w:val="center"/>
                </w:tcPr>
                <w:p w14:paraId="1EC2B32F">
                  <w:pPr>
                    <w:keepNext w:val="0"/>
                    <w:keepLines w:val="0"/>
                    <w:pageBreakBefore w:val="0"/>
                    <w:suppressLineNumbers w:val="0"/>
                    <w:kinsoku/>
                    <w:wordWrap/>
                    <w:overflowPunct/>
                    <w:topLinePunct w:val="0"/>
                    <w:bidi w:val="0"/>
                    <w:adjustRightInd w:val="0"/>
                    <w:snapToGrid w:val="0"/>
                    <w:spacing w:before="0" w:beforeAutospacing="0" w:after="0" w:afterAutospacing="0" w:line="276" w:lineRule="auto"/>
                    <w:ind w:left="0" w:right="0"/>
                    <w:jc w:val="center"/>
                    <w:rPr>
                      <w:rFonts w:hint="eastAsia" w:cs="Times New Roman"/>
                      <w:kern w:val="2"/>
                      <w:sz w:val="18"/>
                      <w:szCs w:val="18"/>
                      <w:highlight w:val="none"/>
                      <w:lang w:val="en-US" w:eastAsia="zh-CN" w:bidi="ar-SA"/>
                    </w:rPr>
                  </w:pPr>
                  <w:r>
                    <w:rPr>
                      <w:rFonts w:hint="eastAsia" w:cs="Times New Roman"/>
                      <w:kern w:val="2"/>
                      <w:sz w:val="18"/>
                      <w:szCs w:val="18"/>
                      <w:highlight w:val="none"/>
                      <w:lang w:val="en-US" w:eastAsia="zh-CN" w:bidi="ar-SA"/>
                    </w:rPr>
                    <w:t>38</w:t>
                  </w:r>
                </w:p>
              </w:tc>
              <w:tc>
                <w:tcPr>
                  <w:tcW w:w="894" w:type="pct"/>
                  <w:tcBorders>
                    <w:top w:val="single" w:color="auto" w:sz="4" w:space="0"/>
                    <w:left w:val="single" w:color="auto" w:sz="4" w:space="0"/>
                    <w:bottom w:val="single" w:color="auto" w:sz="4" w:space="0"/>
                    <w:right w:val="single" w:color="auto" w:sz="4" w:space="0"/>
                  </w:tcBorders>
                  <w:vAlign w:val="center"/>
                </w:tcPr>
                <w:p w14:paraId="5D93AE6F">
                  <w:pPr>
                    <w:pStyle w:val="120"/>
                    <w:keepNext w:val="0"/>
                    <w:keepLines w:val="0"/>
                    <w:pageBreakBefore w:val="0"/>
                    <w:framePr w:hSpace="0" w:wrap="auto" w:vAnchor="margin" w:hAnchor="text" w:xAlign="left" w:yAlign="inline"/>
                    <w:suppressLineNumbers w:val="0"/>
                    <w:kinsoku/>
                    <w:wordWrap/>
                    <w:overflowPunct/>
                    <w:topLinePunct w:val="0"/>
                    <w:bidi w:val="0"/>
                    <w:adjustRightInd w:val="0"/>
                    <w:snapToGrid w:val="0"/>
                    <w:spacing w:before="0" w:beforeAutospacing="0" w:after="0" w:afterAutospacing="0" w:line="276" w:lineRule="auto"/>
                    <w:ind w:left="0" w:right="0"/>
                    <w:jc w:val="center"/>
                    <w:rPr>
                      <w:rFonts w:hint="eastAsia" w:ascii="Times New Roman" w:hAnsi="Times New Roman" w:eastAsia="宋体" w:cs="Times New Roman"/>
                      <w:color w:val="auto"/>
                      <w:sz w:val="18"/>
                      <w:szCs w:val="18"/>
                      <w:highlight w:val="none"/>
                      <w:lang w:val="en-US" w:eastAsia="zh-CN"/>
                    </w:rPr>
                  </w:pPr>
                  <w:r>
                    <w:rPr>
                      <w:rFonts w:hint="eastAsia" w:ascii="Times New Roman" w:hAnsi="Times New Roman" w:eastAsia="宋体" w:cs="Times New Roman"/>
                      <w:color w:val="auto"/>
                      <w:sz w:val="18"/>
                      <w:szCs w:val="18"/>
                      <w:highlight w:val="none"/>
                    </w:rPr>
                    <w:t>N-羟基丁二酰亚胺</w:t>
                  </w:r>
                </w:p>
              </w:tc>
              <w:tc>
                <w:tcPr>
                  <w:tcW w:w="523" w:type="pct"/>
                  <w:tcBorders>
                    <w:top w:val="single" w:color="auto" w:sz="4" w:space="0"/>
                    <w:left w:val="single" w:color="auto" w:sz="4" w:space="0"/>
                    <w:bottom w:val="single" w:color="auto" w:sz="4" w:space="0"/>
                    <w:right w:val="single" w:color="auto" w:sz="4" w:space="0"/>
                  </w:tcBorders>
                  <w:vAlign w:val="center"/>
                </w:tcPr>
                <w:p w14:paraId="7017CD6D">
                  <w:pPr>
                    <w:pStyle w:val="120"/>
                    <w:keepNext w:val="0"/>
                    <w:keepLines w:val="0"/>
                    <w:pageBreakBefore w:val="0"/>
                    <w:framePr w:hSpace="0" w:wrap="auto" w:vAnchor="margin" w:hAnchor="text" w:xAlign="left" w:yAlign="inline"/>
                    <w:suppressLineNumbers w:val="0"/>
                    <w:kinsoku/>
                    <w:wordWrap/>
                    <w:overflowPunct/>
                    <w:topLinePunct w:val="0"/>
                    <w:bidi w:val="0"/>
                    <w:adjustRightInd w:val="0"/>
                    <w:snapToGrid w:val="0"/>
                    <w:spacing w:before="0" w:beforeAutospacing="0" w:after="0" w:afterAutospacing="0" w:line="276" w:lineRule="auto"/>
                    <w:ind w:left="0" w:right="0"/>
                    <w:jc w:val="center"/>
                    <w:rPr>
                      <w:rFonts w:hint="default" w:ascii="Times New Roman" w:hAnsi="Times New Roman" w:eastAsia="宋体" w:cs="Times New Roman"/>
                      <w:color w:val="auto"/>
                      <w:sz w:val="18"/>
                      <w:szCs w:val="18"/>
                      <w:highlight w:val="none"/>
                      <w:lang w:val="en-US" w:eastAsia="zh-CN"/>
                    </w:rPr>
                  </w:pPr>
                  <w:r>
                    <w:rPr>
                      <w:rFonts w:hint="eastAsia" w:ascii="Times New Roman" w:hAnsi="Times New Roman" w:eastAsia="宋体" w:cs="Times New Roman"/>
                      <w:color w:val="auto"/>
                      <w:sz w:val="18"/>
                      <w:szCs w:val="18"/>
                      <w:highlight w:val="none"/>
                    </w:rPr>
                    <w:t>29g</w:t>
                  </w:r>
                </w:p>
              </w:tc>
              <w:tc>
                <w:tcPr>
                  <w:tcW w:w="1451" w:type="pct"/>
                  <w:tcBorders>
                    <w:top w:val="single" w:color="auto" w:sz="4" w:space="0"/>
                    <w:left w:val="single" w:color="auto" w:sz="4" w:space="0"/>
                    <w:bottom w:val="single" w:color="auto" w:sz="4" w:space="0"/>
                    <w:right w:val="single" w:color="auto" w:sz="4" w:space="0"/>
                  </w:tcBorders>
                  <w:vAlign w:val="center"/>
                </w:tcPr>
                <w:p w14:paraId="4E2F7954">
                  <w:pPr>
                    <w:pStyle w:val="120"/>
                    <w:keepNext w:val="0"/>
                    <w:keepLines w:val="0"/>
                    <w:pageBreakBefore w:val="0"/>
                    <w:framePr w:hSpace="0" w:wrap="auto" w:vAnchor="margin" w:hAnchor="text" w:xAlign="left" w:yAlign="inline"/>
                    <w:suppressLineNumbers w:val="0"/>
                    <w:kinsoku/>
                    <w:wordWrap/>
                    <w:overflowPunct/>
                    <w:topLinePunct w:val="0"/>
                    <w:bidi w:val="0"/>
                    <w:adjustRightInd w:val="0"/>
                    <w:snapToGrid w:val="0"/>
                    <w:spacing w:before="0" w:beforeAutospacing="0" w:after="0" w:afterAutospacing="0" w:line="276" w:lineRule="auto"/>
                    <w:ind w:left="0" w:right="0"/>
                    <w:jc w:val="center"/>
                    <w:rPr>
                      <w:rFonts w:hint="default" w:ascii="Times New Roman" w:hAnsi="Times New Roman" w:eastAsia="宋体" w:cs="Times New Roman"/>
                      <w:color w:val="auto"/>
                      <w:sz w:val="18"/>
                      <w:szCs w:val="18"/>
                      <w:highlight w:val="none"/>
                      <w:lang w:val="en-US" w:eastAsia="zh-CN"/>
                    </w:rPr>
                  </w:pPr>
                  <w:r>
                    <w:rPr>
                      <w:rFonts w:hint="eastAsia" w:ascii="Times New Roman" w:hAnsi="Times New Roman" w:eastAsia="宋体" w:cs="Times New Roman"/>
                      <w:color w:val="auto"/>
                      <w:sz w:val="18"/>
                      <w:szCs w:val="18"/>
                      <w:highlight w:val="none"/>
                    </w:rPr>
                    <w:t>100g/瓶</w:t>
                  </w:r>
                </w:p>
              </w:tc>
              <w:tc>
                <w:tcPr>
                  <w:tcW w:w="586" w:type="pct"/>
                  <w:tcBorders>
                    <w:top w:val="single" w:color="auto" w:sz="4" w:space="0"/>
                    <w:left w:val="single" w:color="auto" w:sz="4" w:space="0"/>
                    <w:bottom w:val="single" w:color="auto" w:sz="4" w:space="0"/>
                    <w:right w:val="single" w:color="auto" w:sz="4" w:space="0"/>
                  </w:tcBorders>
                  <w:vAlign w:val="center"/>
                </w:tcPr>
                <w:p w14:paraId="36A95EDD">
                  <w:pPr>
                    <w:pStyle w:val="120"/>
                    <w:keepNext w:val="0"/>
                    <w:keepLines w:val="0"/>
                    <w:pageBreakBefore w:val="0"/>
                    <w:framePr w:hSpace="0" w:wrap="auto" w:vAnchor="margin" w:hAnchor="text" w:xAlign="left" w:yAlign="inline"/>
                    <w:suppressLineNumbers w:val="0"/>
                    <w:kinsoku/>
                    <w:wordWrap/>
                    <w:overflowPunct/>
                    <w:topLinePunct w:val="0"/>
                    <w:bidi w:val="0"/>
                    <w:adjustRightInd w:val="0"/>
                    <w:snapToGrid w:val="0"/>
                    <w:spacing w:before="0" w:beforeAutospacing="0" w:after="0" w:afterAutospacing="0" w:line="276" w:lineRule="auto"/>
                    <w:ind w:left="0" w:right="0"/>
                    <w:jc w:val="center"/>
                    <w:rPr>
                      <w:rFonts w:hint="default" w:ascii="Times New Roman" w:hAnsi="Times New Roman" w:eastAsia="宋体" w:cs="Times New Roman"/>
                      <w:color w:val="auto"/>
                      <w:sz w:val="18"/>
                      <w:szCs w:val="18"/>
                      <w:highlight w:val="none"/>
                      <w:lang w:val="en-US" w:eastAsia="zh-CN"/>
                    </w:rPr>
                  </w:pPr>
                  <w:r>
                    <w:rPr>
                      <w:rFonts w:hint="eastAsia" w:ascii="Times New Roman" w:hAnsi="Times New Roman" w:eastAsia="宋体" w:cs="Times New Roman"/>
                      <w:color w:val="auto"/>
                      <w:sz w:val="18"/>
                      <w:szCs w:val="18"/>
                      <w:highlight w:val="none"/>
                    </w:rPr>
                    <w:t>1</w:t>
                  </w:r>
                  <w:r>
                    <w:rPr>
                      <w:rFonts w:hint="eastAsia" w:cs="Times New Roman"/>
                      <w:color w:val="auto"/>
                      <w:sz w:val="18"/>
                      <w:szCs w:val="18"/>
                      <w:highlight w:val="none"/>
                      <w:lang w:val="en-US" w:eastAsia="zh-CN"/>
                    </w:rPr>
                    <w:t>k</w:t>
                  </w:r>
                  <w:r>
                    <w:rPr>
                      <w:rFonts w:hint="eastAsia" w:ascii="Times New Roman" w:hAnsi="Times New Roman" w:eastAsia="宋体" w:cs="Times New Roman"/>
                      <w:color w:val="auto"/>
                      <w:sz w:val="18"/>
                      <w:szCs w:val="18"/>
                      <w:highlight w:val="none"/>
                    </w:rPr>
                    <w:t>g</w:t>
                  </w:r>
                </w:p>
              </w:tc>
              <w:tc>
                <w:tcPr>
                  <w:tcW w:w="368" w:type="pct"/>
                  <w:tcBorders>
                    <w:top w:val="single" w:color="auto" w:sz="4" w:space="0"/>
                    <w:left w:val="single" w:color="auto" w:sz="4" w:space="0"/>
                    <w:bottom w:val="single" w:color="auto" w:sz="4" w:space="0"/>
                    <w:right w:val="single" w:color="auto" w:sz="4" w:space="0"/>
                  </w:tcBorders>
                  <w:vAlign w:val="center"/>
                </w:tcPr>
                <w:p w14:paraId="2FA87BD9">
                  <w:pPr>
                    <w:keepNext w:val="0"/>
                    <w:keepLines w:val="0"/>
                    <w:pageBreakBefore w:val="0"/>
                    <w:suppressLineNumbers w:val="0"/>
                    <w:kinsoku/>
                    <w:wordWrap/>
                    <w:overflowPunct/>
                    <w:topLinePunct w:val="0"/>
                    <w:bidi w:val="0"/>
                    <w:adjustRightInd w:val="0"/>
                    <w:snapToGrid w:val="0"/>
                    <w:spacing w:before="0" w:beforeAutospacing="0" w:after="0" w:afterAutospacing="0" w:line="276" w:lineRule="auto"/>
                    <w:ind w:left="0" w:right="0"/>
                    <w:jc w:val="center"/>
                    <w:rPr>
                      <w:rFonts w:hint="eastAsia" w:ascii="Times New Roman" w:hAnsi="Times New Roman" w:eastAsia="宋体" w:cs="Times New Roman"/>
                      <w:color w:val="auto"/>
                      <w:sz w:val="18"/>
                      <w:szCs w:val="18"/>
                      <w:highlight w:val="none"/>
                      <w:lang w:val="en-US" w:eastAsia="zh-CN"/>
                    </w:rPr>
                  </w:pPr>
                  <w:r>
                    <w:rPr>
                      <w:rFonts w:hint="eastAsia" w:ascii="Times New Roman" w:hAnsi="Times New Roman" w:eastAsia="宋体" w:cs="Times New Roman"/>
                      <w:color w:val="auto"/>
                      <w:sz w:val="18"/>
                      <w:szCs w:val="18"/>
                      <w:highlight w:val="none"/>
                    </w:rPr>
                    <w:t>固态</w:t>
                  </w:r>
                </w:p>
              </w:tc>
              <w:tc>
                <w:tcPr>
                  <w:tcW w:w="892" w:type="pct"/>
                  <w:vMerge w:val="continue"/>
                  <w:tcBorders>
                    <w:left w:val="single" w:color="auto" w:sz="4" w:space="0"/>
                    <w:right w:val="single" w:color="auto" w:sz="4" w:space="0"/>
                  </w:tcBorders>
                  <w:vAlign w:val="center"/>
                </w:tcPr>
                <w:p w14:paraId="515F5D51">
                  <w:pPr>
                    <w:keepNext w:val="0"/>
                    <w:keepLines w:val="0"/>
                    <w:pageBreakBefore w:val="0"/>
                    <w:suppressLineNumbers w:val="0"/>
                    <w:kinsoku/>
                    <w:wordWrap/>
                    <w:overflowPunct/>
                    <w:topLinePunct w:val="0"/>
                    <w:bidi w:val="0"/>
                    <w:adjustRightInd w:val="0"/>
                    <w:snapToGrid w:val="0"/>
                    <w:spacing w:before="0" w:beforeAutospacing="0" w:after="0" w:afterAutospacing="0" w:line="276" w:lineRule="auto"/>
                    <w:ind w:left="0" w:right="0"/>
                    <w:jc w:val="center"/>
                    <w:rPr>
                      <w:rFonts w:hint="default" w:ascii="Times New Roman" w:hAnsi="Times New Roman" w:eastAsia="宋体" w:cs="Times New Roman"/>
                      <w:sz w:val="18"/>
                      <w:szCs w:val="18"/>
                      <w:highlight w:val="none"/>
                    </w:rPr>
                  </w:pPr>
                </w:p>
              </w:tc>
            </w:tr>
            <w:tr w14:paraId="07FDF70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7" w:type="dxa"/>
                  <w:bottom w:w="0" w:type="dxa"/>
                  <w:right w:w="17" w:type="dxa"/>
                </w:tblCellMar>
              </w:tblPrEx>
              <w:trPr>
                <w:trHeight w:val="0" w:hRule="atLeast"/>
                <w:jc w:val="center"/>
              </w:trPr>
              <w:tc>
                <w:tcPr>
                  <w:tcW w:w="283" w:type="pct"/>
                  <w:tcBorders>
                    <w:top w:val="single" w:color="auto" w:sz="4" w:space="0"/>
                    <w:left w:val="single" w:color="auto" w:sz="4" w:space="0"/>
                    <w:bottom w:val="single" w:color="auto" w:sz="4" w:space="0"/>
                    <w:right w:val="single" w:color="auto" w:sz="4" w:space="0"/>
                  </w:tcBorders>
                  <w:vAlign w:val="center"/>
                </w:tcPr>
                <w:p w14:paraId="55DF385A">
                  <w:pPr>
                    <w:keepNext w:val="0"/>
                    <w:keepLines w:val="0"/>
                    <w:pageBreakBefore w:val="0"/>
                    <w:suppressLineNumbers w:val="0"/>
                    <w:kinsoku/>
                    <w:wordWrap/>
                    <w:overflowPunct/>
                    <w:topLinePunct w:val="0"/>
                    <w:bidi w:val="0"/>
                    <w:adjustRightInd w:val="0"/>
                    <w:snapToGrid w:val="0"/>
                    <w:spacing w:before="0" w:beforeAutospacing="0" w:after="0" w:afterAutospacing="0" w:line="276" w:lineRule="auto"/>
                    <w:ind w:left="0" w:right="0"/>
                    <w:jc w:val="center"/>
                    <w:rPr>
                      <w:rFonts w:hint="eastAsia" w:cs="Times New Roman"/>
                      <w:kern w:val="2"/>
                      <w:sz w:val="18"/>
                      <w:szCs w:val="18"/>
                      <w:highlight w:val="none"/>
                      <w:lang w:val="en-US" w:eastAsia="zh-CN" w:bidi="ar-SA"/>
                    </w:rPr>
                  </w:pPr>
                  <w:r>
                    <w:rPr>
                      <w:rFonts w:hint="eastAsia" w:cs="Times New Roman"/>
                      <w:kern w:val="2"/>
                      <w:sz w:val="18"/>
                      <w:szCs w:val="18"/>
                      <w:highlight w:val="none"/>
                      <w:lang w:val="en-US" w:eastAsia="zh-CN" w:bidi="ar-SA"/>
                    </w:rPr>
                    <w:t>39</w:t>
                  </w:r>
                </w:p>
              </w:tc>
              <w:tc>
                <w:tcPr>
                  <w:tcW w:w="894" w:type="pct"/>
                  <w:tcBorders>
                    <w:top w:val="single" w:color="auto" w:sz="4" w:space="0"/>
                    <w:left w:val="single" w:color="auto" w:sz="4" w:space="0"/>
                    <w:bottom w:val="single" w:color="auto" w:sz="4" w:space="0"/>
                    <w:right w:val="single" w:color="auto" w:sz="4" w:space="0"/>
                  </w:tcBorders>
                  <w:vAlign w:val="center"/>
                </w:tcPr>
                <w:p w14:paraId="116908C5">
                  <w:pPr>
                    <w:pStyle w:val="120"/>
                    <w:keepNext w:val="0"/>
                    <w:keepLines w:val="0"/>
                    <w:pageBreakBefore w:val="0"/>
                    <w:framePr w:hSpace="0" w:wrap="auto" w:vAnchor="margin" w:hAnchor="text" w:xAlign="left" w:yAlign="inline"/>
                    <w:suppressLineNumbers w:val="0"/>
                    <w:kinsoku/>
                    <w:wordWrap/>
                    <w:overflowPunct/>
                    <w:topLinePunct w:val="0"/>
                    <w:bidi w:val="0"/>
                    <w:adjustRightInd w:val="0"/>
                    <w:snapToGrid w:val="0"/>
                    <w:spacing w:before="0" w:beforeAutospacing="0" w:after="0" w:afterAutospacing="0" w:line="276" w:lineRule="auto"/>
                    <w:ind w:left="0" w:right="0"/>
                    <w:jc w:val="center"/>
                    <w:rPr>
                      <w:rFonts w:hint="eastAsia" w:ascii="Times New Roman" w:hAnsi="Times New Roman" w:eastAsia="宋体" w:cs="Times New Roman"/>
                      <w:color w:val="auto"/>
                      <w:sz w:val="18"/>
                      <w:szCs w:val="18"/>
                      <w:highlight w:val="none"/>
                      <w:lang w:val="en-US" w:eastAsia="zh-CN"/>
                    </w:rPr>
                  </w:pPr>
                  <w:r>
                    <w:rPr>
                      <w:rFonts w:hint="eastAsia" w:ascii="Times New Roman" w:hAnsi="Times New Roman" w:eastAsia="宋体" w:cs="Times New Roman"/>
                      <w:color w:val="auto"/>
                      <w:sz w:val="18"/>
                      <w:szCs w:val="18"/>
                      <w:highlight w:val="none"/>
                    </w:rPr>
                    <w:t>碳酸氢钠</w:t>
                  </w:r>
                </w:p>
              </w:tc>
              <w:tc>
                <w:tcPr>
                  <w:tcW w:w="523" w:type="pct"/>
                  <w:tcBorders>
                    <w:top w:val="single" w:color="auto" w:sz="4" w:space="0"/>
                    <w:left w:val="single" w:color="auto" w:sz="4" w:space="0"/>
                    <w:bottom w:val="single" w:color="auto" w:sz="4" w:space="0"/>
                    <w:right w:val="single" w:color="auto" w:sz="4" w:space="0"/>
                  </w:tcBorders>
                  <w:vAlign w:val="center"/>
                </w:tcPr>
                <w:p w14:paraId="74734FA9">
                  <w:pPr>
                    <w:pStyle w:val="120"/>
                    <w:keepNext w:val="0"/>
                    <w:keepLines w:val="0"/>
                    <w:pageBreakBefore w:val="0"/>
                    <w:framePr w:hSpace="0" w:wrap="auto" w:vAnchor="margin" w:hAnchor="text" w:xAlign="left" w:yAlign="inline"/>
                    <w:suppressLineNumbers w:val="0"/>
                    <w:kinsoku/>
                    <w:wordWrap/>
                    <w:overflowPunct/>
                    <w:topLinePunct w:val="0"/>
                    <w:bidi w:val="0"/>
                    <w:adjustRightInd w:val="0"/>
                    <w:snapToGrid w:val="0"/>
                    <w:spacing w:before="0" w:beforeAutospacing="0" w:after="0" w:afterAutospacing="0" w:line="276" w:lineRule="auto"/>
                    <w:ind w:left="0" w:right="0"/>
                    <w:jc w:val="center"/>
                    <w:rPr>
                      <w:rFonts w:hint="eastAsia" w:ascii="Times New Roman" w:hAnsi="Times New Roman" w:eastAsia="宋体" w:cs="Times New Roman"/>
                      <w:color w:val="auto"/>
                      <w:sz w:val="18"/>
                      <w:szCs w:val="18"/>
                      <w:highlight w:val="none"/>
                      <w:lang w:val="en-US" w:eastAsia="zh-CN"/>
                    </w:rPr>
                  </w:pPr>
                  <w:r>
                    <w:rPr>
                      <w:rFonts w:hint="eastAsia" w:cs="Times New Roman"/>
                      <w:color w:val="auto"/>
                      <w:sz w:val="18"/>
                      <w:szCs w:val="18"/>
                      <w:highlight w:val="none"/>
                      <w:lang w:val="en-US" w:eastAsia="zh-CN"/>
                    </w:rPr>
                    <w:t>2</w:t>
                  </w:r>
                  <w:r>
                    <w:rPr>
                      <w:rFonts w:hint="eastAsia" w:ascii="Times New Roman" w:hAnsi="Times New Roman" w:eastAsia="宋体" w:cs="Times New Roman"/>
                      <w:color w:val="auto"/>
                      <w:sz w:val="18"/>
                      <w:szCs w:val="18"/>
                      <w:highlight w:val="none"/>
                    </w:rPr>
                    <w:t>5</w:t>
                  </w:r>
                  <w:r>
                    <w:rPr>
                      <w:rFonts w:hint="eastAsia" w:cs="Times New Roman"/>
                      <w:color w:val="auto"/>
                      <w:sz w:val="18"/>
                      <w:szCs w:val="18"/>
                      <w:highlight w:val="none"/>
                      <w:lang w:val="en-US" w:eastAsia="zh-CN"/>
                    </w:rPr>
                    <w:t>00kg</w:t>
                  </w:r>
                </w:p>
              </w:tc>
              <w:tc>
                <w:tcPr>
                  <w:tcW w:w="1451" w:type="pct"/>
                  <w:tcBorders>
                    <w:top w:val="single" w:color="auto" w:sz="4" w:space="0"/>
                    <w:left w:val="single" w:color="auto" w:sz="4" w:space="0"/>
                    <w:bottom w:val="single" w:color="auto" w:sz="4" w:space="0"/>
                    <w:right w:val="single" w:color="auto" w:sz="4" w:space="0"/>
                  </w:tcBorders>
                  <w:vAlign w:val="center"/>
                </w:tcPr>
                <w:p w14:paraId="1153FCB7">
                  <w:pPr>
                    <w:pStyle w:val="120"/>
                    <w:keepNext w:val="0"/>
                    <w:keepLines w:val="0"/>
                    <w:pageBreakBefore w:val="0"/>
                    <w:framePr w:hSpace="0" w:wrap="auto" w:vAnchor="margin" w:hAnchor="text" w:xAlign="left" w:yAlign="inline"/>
                    <w:suppressLineNumbers w:val="0"/>
                    <w:kinsoku/>
                    <w:wordWrap/>
                    <w:overflowPunct/>
                    <w:topLinePunct w:val="0"/>
                    <w:bidi w:val="0"/>
                    <w:adjustRightInd w:val="0"/>
                    <w:snapToGrid w:val="0"/>
                    <w:spacing w:before="0" w:beforeAutospacing="0" w:after="0" w:afterAutospacing="0" w:line="276" w:lineRule="auto"/>
                    <w:ind w:left="0" w:right="0"/>
                    <w:jc w:val="center"/>
                    <w:rPr>
                      <w:rFonts w:hint="default" w:ascii="Times New Roman" w:hAnsi="Times New Roman" w:eastAsia="宋体" w:cs="Times New Roman"/>
                      <w:color w:val="auto"/>
                      <w:sz w:val="18"/>
                      <w:szCs w:val="18"/>
                      <w:highlight w:val="none"/>
                      <w:lang w:val="en-US" w:eastAsia="zh-CN"/>
                    </w:rPr>
                  </w:pPr>
                  <w:r>
                    <w:rPr>
                      <w:rFonts w:hint="eastAsia" w:ascii="Times New Roman" w:hAnsi="Times New Roman" w:eastAsia="宋体" w:cs="Times New Roman"/>
                      <w:color w:val="auto"/>
                      <w:sz w:val="18"/>
                      <w:szCs w:val="18"/>
                      <w:highlight w:val="none"/>
                    </w:rPr>
                    <w:t>500g/瓶</w:t>
                  </w:r>
                </w:p>
              </w:tc>
              <w:tc>
                <w:tcPr>
                  <w:tcW w:w="586" w:type="pct"/>
                  <w:tcBorders>
                    <w:top w:val="single" w:color="auto" w:sz="4" w:space="0"/>
                    <w:left w:val="single" w:color="auto" w:sz="4" w:space="0"/>
                    <w:bottom w:val="single" w:color="auto" w:sz="4" w:space="0"/>
                    <w:right w:val="single" w:color="auto" w:sz="4" w:space="0"/>
                  </w:tcBorders>
                  <w:vAlign w:val="center"/>
                </w:tcPr>
                <w:p w14:paraId="7E779EAD">
                  <w:pPr>
                    <w:pStyle w:val="120"/>
                    <w:keepNext w:val="0"/>
                    <w:keepLines w:val="0"/>
                    <w:pageBreakBefore w:val="0"/>
                    <w:framePr w:hSpace="0" w:wrap="auto" w:vAnchor="margin" w:hAnchor="text" w:xAlign="left" w:yAlign="inline"/>
                    <w:suppressLineNumbers w:val="0"/>
                    <w:kinsoku/>
                    <w:wordWrap/>
                    <w:overflowPunct/>
                    <w:topLinePunct w:val="0"/>
                    <w:bidi w:val="0"/>
                    <w:adjustRightInd w:val="0"/>
                    <w:snapToGrid w:val="0"/>
                    <w:spacing w:before="0" w:beforeAutospacing="0" w:after="0" w:afterAutospacing="0" w:line="276" w:lineRule="auto"/>
                    <w:ind w:left="0" w:right="0"/>
                    <w:jc w:val="center"/>
                    <w:rPr>
                      <w:rFonts w:hint="default" w:ascii="Times New Roman" w:hAnsi="Times New Roman" w:eastAsia="宋体" w:cs="Times New Roman"/>
                      <w:color w:val="auto"/>
                      <w:sz w:val="18"/>
                      <w:szCs w:val="18"/>
                      <w:highlight w:val="none"/>
                      <w:lang w:val="en-US" w:eastAsia="zh-CN"/>
                    </w:rPr>
                  </w:pPr>
                  <w:r>
                    <w:rPr>
                      <w:rFonts w:hint="eastAsia" w:ascii="Times New Roman" w:hAnsi="Times New Roman" w:eastAsia="宋体" w:cs="Times New Roman"/>
                      <w:color w:val="auto"/>
                      <w:sz w:val="18"/>
                      <w:szCs w:val="18"/>
                      <w:highlight w:val="none"/>
                    </w:rPr>
                    <w:t>1</w:t>
                  </w:r>
                  <w:r>
                    <w:rPr>
                      <w:rFonts w:hint="eastAsia" w:cs="Times New Roman"/>
                      <w:color w:val="auto"/>
                      <w:sz w:val="18"/>
                      <w:szCs w:val="18"/>
                      <w:highlight w:val="none"/>
                      <w:lang w:val="en-US" w:eastAsia="zh-CN"/>
                    </w:rPr>
                    <w:t>k</w:t>
                  </w:r>
                  <w:r>
                    <w:rPr>
                      <w:rFonts w:hint="eastAsia" w:ascii="Times New Roman" w:hAnsi="Times New Roman" w:eastAsia="宋体" w:cs="Times New Roman"/>
                      <w:color w:val="auto"/>
                      <w:sz w:val="18"/>
                      <w:szCs w:val="18"/>
                      <w:highlight w:val="none"/>
                    </w:rPr>
                    <w:t>g</w:t>
                  </w:r>
                </w:p>
              </w:tc>
              <w:tc>
                <w:tcPr>
                  <w:tcW w:w="368" w:type="pct"/>
                  <w:tcBorders>
                    <w:top w:val="single" w:color="auto" w:sz="4" w:space="0"/>
                    <w:left w:val="single" w:color="auto" w:sz="4" w:space="0"/>
                    <w:bottom w:val="single" w:color="auto" w:sz="4" w:space="0"/>
                    <w:right w:val="single" w:color="auto" w:sz="4" w:space="0"/>
                  </w:tcBorders>
                  <w:vAlign w:val="center"/>
                </w:tcPr>
                <w:p w14:paraId="3E84F169">
                  <w:pPr>
                    <w:keepNext w:val="0"/>
                    <w:keepLines w:val="0"/>
                    <w:pageBreakBefore w:val="0"/>
                    <w:suppressLineNumbers w:val="0"/>
                    <w:kinsoku/>
                    <w:wordWrap/>
                    <w:overflowPunct/>
                    <w:topLinePunct w:val="0"/>
                    <w:bidi w:val="0"/>
                    <w:adjustRightInd w:val="0"/>
                    <w:snapToGrid w:val="0"/>
                    <w:spacing w:before="0" w:beforeAutospacing="0" w:after="0" w:afterAutospacing="0" w:line="276" w:lineRule="auto"/>
                    <w:ind w:left="0" w:right="0"/>
                    <w:jc w:val="center"/>
                    <w:rPr>
                      <w:rFonts w:hint="eastAsia" w:ascii="Times New Roman" w:hAnsi="Times New Roman" w:eastAsia="宋体" w:cs="Times New Roman"/>
                      <w:color w:val="auto"/>
                      <w:sz w:val="18"/>
                      <w:szCs w:val="18"/>
                      <w:highlight w:val="none"/>
                      <w:lang w:val="en-US" w:eastAsia="zh-CN"/>
                    </w:rPr>
                  </w:pPr>
                  <w:r>
                    <w:rPr>
                      <w:rFonts w:hint="eastAsia" w:ascii="Times New Roman" w:hAnsi="Times New Roman" w:eastAsia="宋体" w:cs="Times New Roman"/>
                      <w:sz w:val="18"/>
                      <w:szCs w:val="18"/>
                      <w:highlight w:val="none"/>
                    </w:rPr>
                    <w:t>固态</w:t>
                  </w:r>
                </w:p>
              </w:tc>
              <w:tc>
                <w:tcPr>
                  <w:tcW w:w="892" w:type="pct"/>
                  <w:vMerge w:val="continue"/>
                  <w:tcBorders>
                    <w:left w:val="single" w:color="auto" w:sz="4" w:space="0"/>
                    <w:right w:val="single" w:color="auto" w:sz="4" w:space="0"/>
                  </w:tcBorders>
                  <w:vAlign w:val="center"/>
                </w:tcPr>
                <w:p w14:paraId="5E2823B3">
                  <w:pPr>
                    <w:keepNext w:val="0"/>
                    <w:keepLines w:val="0"/>
                    <w:pageBreakBefore w:val="0"/>
                    <w:suppressLineNumbers w:val="0"/>
                    <w:kinsoku/>
                    <w:wordWrap/>
                    <w:overflowPunct/>
                    <w:topLinePunct w:val="0"/>
                    <w:bidi w:val="0"/>
                    <w:adjustRightInd w:val="0"/>
                    <w:snapToGrid w:val="0"/>
                    <w:spacing w:before="0" w:beforeAutospacing="0" w:after="0" w:afterAutospacing="0" w:line="276" w:lineRule="auto"/>
                    <w:ind w:left="0" w:right="0"/>
                    <w:jc w:val="center"/>
                    <w:rPr>
                      <w:rFonts w:hint="default" w:ascii="Times New Roman" w:hAnsi="Times New Roman" w:eastAsia="宋体" w:cs="Times New Roman"/>
                      <w:sz w:val="18"/>
                      <w:szCs w:val="18"/>
                      <w:highlight w:val="none"/>
                    </w:rPr>
                  </w:pPr>
                </w:p>
              </w:tc>
            </w:tr>
            <w:tr w14:paraId="6DC25D2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7" w:type="dxa"/>
                  <w:bottom w:w="0" w:type="dxa"/>
                  <w:right w:w="17" w:type="dxa"/>
                </w:tblCellMar>
              </w:tblPrEx>
              <w:trPr>
                <w:trHeight w:val="0" w:hRule="atLeast"/>
                <w:jc w:val="center"/>
              </w:trPr>
              <w:tc>
                <w:tcPr>
                  <w:tcW w:w="283" w:type="pct"/>
                  <w:tcBorders>
                    <w:top w:val="single" w:color="auto" w:sz="4" w:space="0"/>
                    <w:left w:val="single" w:color="auto" w:sz="4" w:space="0"/>
                    <w:bottom w:val="single" w:color="auto" w:sz="4" w:space="0"/>
                    <w:right w:val="single" w:color="auto" w:sz="4" w:space="0"/>
                  </w:tcBorders>
                  <w:vAlign w:val="center"/>
                </w:tcPr>
                <w:p w14:paraId="7C64A5C7">
                  <w:pPr>
                    <w:keepNext w:val="0"/>
                    <w:keepLines w:val="0"/>
                    <w:pageBreakBefore w:val="0"/>
                    <w:suppressLineNumbers w:val="0"/>
                    <w:kinsoku/>
                    <w:wordWrap/>
                    <w:overflowPunct/>
                    <w:topLinePunct w:val="0"/>
                    <w:bidi w:val="0"/>
                    <w:adjustRightInd w:val="0"/>
                    <w:snapToGrid w:val="0"/>
                    <w:spacing w:before="0" w:beforeAutospacing="0" w:after="0" w:afterAutospacing="0" w:line="276" w:lineRule="auto"/>
                    <w:ind w:left="0" w:right="0"/>
                    <w:jc w:val="center"/>
                    <w:rPr>
                      <w:rFonts w:hint="eastAsia" w:cs="Times New Roman"/>
                      <w:kern w:val="2"/>
                      <w:sz w:val="18"/>
                      <w:szCs w:val="18"/>
                      <w:highlight w:val="none"/>
                      <w:lang w:val="en-US" w:eastAsia="zh-CN" w:bidi="ar-SA"/>
                    </w:rPr>
                  </w:pPr>
                  <w:r>
                    <w:rPr>
                      <w:rFonts w:hint="eastAsia" w:cs="Times New Roman"/>
                      <w:kern w:val="2"/>
                      <w:sz w:val="18"/>
                      <w:szCs w:val="18"/>
                      <w:highlight w:val="none"/>
                      <w:lang w:val="en-US" w:eastAsia="zh-CN" w:bidi="ar-SA"/>
                    </w:rPr>
                    <w:t>40</w:t>
                  </w:r>
                </w:p>
              </w:tc>
              <w:tc>
                <w:tcPr>
                  <w:tcW w:w="894" w:type="pct"/>
                  <w:tcBorders>
                    <w:top w:val="single" w:color="auto" w:sz="4" w:space="0"/>
                    <w:left w:val="single" w:color="auto" w:sz="4" w:space="0"/>
                    <w:bottom w:val="single" w:color="auto" w:sz="4" w:space="0"/>
                    <w:right w:val="single" w:color="auto" w:sz="4" w:space="0"/>
                  </w:tcBorders>
                  <w:vAlign w:val="center"/>
                </w:tcPr>
                <w:p w14:paraId="40E6D2D3">
                  <w:pPr>
                    <w:pStyle w:val="120"/>
                    <w:keepNext w:val="0"/>
                    <w:keepLines w:val="0"/>
                    <w:pageBreakBefore w:val="0"/>
                    <w:framePr w:hSpace="0" w:wrap="auto" w:vAnchor="margin" w:hAnchor="text" w:xAlign="left" w:yAlign="inline"/>
                    <w:suppressLineNumbers w:val="0"/>
                    <w:kinsoku/>
                    <w:wordWrap/>
                    <w:overflowPunct/>
                    <w:topLinePunct w:val="0"/>
                    <w:bidi w:val="0"/>
                    <w:adjustRightInd w:val="0"/>
                    <w:snapToGrid w:val="0"/>
                    <w:spacing w:before="0" w:beforeAutospacing="0" w:after="0" w:afterAutospacing="0" w:line="276" w:lineRule="auto"/>
                    <w:ind w:left="0" w:right="0"/>
                    <w:jc w:val="center"/>
                    <w:rPr>
                      <w:rFonts w:hint="eastAsia" w:ascii="Times New Roman" w:hAnsi="Times New Roman" w:eastAsia="宋体" w:cs="Times New Roman"/>
                      <w:color w:val="auto"/>
                      <w:sz w:val="18"/>
                      <w:szCs w:val="18"/>
                      <w:highlight w:val="none"/>
                      <w:lang w:val="en-US" w:eastAsia="zh-CN"/>
                    </w:rPr>
                  </w:pPr>
                  <w:r>
                    <w:rPr>
                      <w:rFonts w:hint="eastAsia" w:cs="Times New Roman"/>
                      <w:color w:val="auto"/>
                      <w:sz w:val="18"/>
                      <w:szCs w:val="18"/>
                      <w:highlight w:val="none"/>
                      <w:lang w:val="en-US" w:eastAsia="zh-CN"/>
                    </w:rPr>
                    <w:t>37%</w:t>
                  </w:r>
                  <w:r>
                    <w:rPr>
                      <w:rFonts w:hint="eastAsia" w:ascii="Times New Roman" w:hAnsi="Times New Roman" w:eastAsia="宋体" w:cs="Times New Roman"/>
                      <w:color w:val="auto"/>
                      <w:sz w:val="18"/>
                      <w:szCs w:val="18"/>
                      <w:highlight w:val="none"/>
                    </w:rPr>
                    <w:t>盐酸</w:t>
                  </w:r>
                </w:p>
              </w:tc>
              <w:tc>
                <w:tcPr>
                  <w:tcW w:w="523" w:type="pct"/>
                  <w:tcBorders>
                    <w:top w:val="single" w:color="auto" w:sz="4" w:space="0"/>
                    <w:left w:val="single" w:color="auto" w:sz="4" w:space="0"/>
                    <w:bottom w:val="single" w:color="auto" w:sz="4" w:space="0"/>
                    <w:right w:val="single" w:color="auto" w:sz="4" w:space="0"/>
                  </w:tcBorders>
                  <w:vAlign w:val="center"/>
                </w:tcPr>
                <w:p w14:paraId="04A026CB">
                  <w:pPr>
                    <w:pStyle w:val="120"/>
                    <w:keepNext w:val="0"/>
                    <w:keepLines w:val="0"/>
                    <w:pageBreakBefore w:val="0"/>
                    <w:framePr w:hSpace="0" w:wrap="auto" w:vAnchor="margin" w:hAnchor="text" w:xAlign="left" w:yAlign="inline"/>
                    <w:suppressLineNumbers w:val="0"/>
                    <w:kinsoku/>
                    <w:wordWrap/>
                    <w:overflowPunct/>
                    <w:topLinePunct w:val="0"/>
                    <w:bidi w:val="0"/>
                    <w:adjustRightInd w:val="0"/>
                    <w:snapToGrid w:val="0"/>
                    <w:spacing w:before="0" w:beforeAutospacing="0" w:after="0" w:afterAutospacing="0" w:line="276" w:lineRule="auto"/>
                    <w:ind w:left="0" w:right="0"/>
                    <w:jc w:val="center"/>
                    <w:rPr>
                      <w:rFonts w:hint="default" w:ascii="Times New Roman" w:hAnsi="Times New Roman" w:eastAsia="宋体" w:cs="Times New Roman"/>
                      <w:color w:val="auto"/>
                      <w:sz w:val="18"/>
                      <w:szCs w:val="18"/>
                      <w:highlight w:val="none"/>
                      <w:lang w:val="en-US" w:eastAsia="zh-CN"/>
                    </w:rPr>
                  </w:pPr>
                  <w:r>
                    <w:rPr>
                      <w:rFonts w:hint="eastAsia" w:ascii="Times New Roman" w:hAnsi="Times New Roman" w:eastAsia="宋体" w:cs="Times New Roman"/>
                      <w:color w:val="auto"/>
                      <w:sz w:val="18"/>
                      <w:szCs w:val="18"/>
                      <w:highlight w:val="none"/>
                    </w:rPr>
                    <w:t>5</w:t>
                  </w:r>
                  <w:r>
                    <w:rPr>
                      <w:rFonts w:hint="eastAsia" w:cs="Times New Roman"/>
                      <w:color w:val="auto"/>
                      <w:sz w:val="18"/>
                      <w:szCs w:val="18"/>
                      <w:highlight w:val="none"/>
                      <w:lang w:val="en-US" w:eastAsia="zh-CN"/>
                    </w:rPr>
                    <w:t>0</w:t>
                  </w:r>
                  <w:r>
                    <w:rPr>
                      <w:rFonts w:hint="eastAsia" w:ascii="Times New Roman" w:hAnsi="Times New Roman" w:eastAsia="宋体" w:cs="Times New Roman"/>
                      <w:color w:val="auto"/>
                      <w:sz w:val="18"/>
                      <w:szCs w:val="18"/>
                      <w:highlight w:val="none"/>
                    </w:rPr>
                    <w:t>L</w:t>
                  </w:r>
                </w:p>
              </w:tc>
              <w:tc>
                <w:tcPr>
                  <w:tcW w:w="1451" w:type="pct"/>
                  <w:tcBorders>
                    <w:top w:val="single" w:color="auto" w:sz="4" w:space="0"/>
                    <w:left w:val="single" w:color="auto" w:sz="4" w:space="0"/>
                    <w:bottom w:val="single" w:color="auto" w:sz="4" w:space="0"/>
                    <w:right w:val="single" w:color="auto" w:sz="4" w:space="0"/>
                  </w:tcBorders>
                  <w:vAlign w:val="center"/>
                </w:tcPr>
                <w:p w14:paraId="120A36B4">
                  <w:pPr>
                    <w:pStyle w:val="120"/>
                    <w:keepNext w:val="0"/>
                    <w:keepLines w:val="0"/>
                    <w:pageBreakBefore w:val="0"/>
                    <w:framePr w:hSpace="0" w:wrap="auto" w:vAnchor="margin" w:hAnchor="text" w:xAlign="left" w:yAlign="inline"/>
                    <w:suppressLineNumbers w:val="0"/>
                    <w:kinsoku/>
                    <w:wordWrap/>
                    <w:overflowPunct/>
                    <w:topLinePunct w:val="0"/>
                    <w:bidi w:val="0"/>
                    <w:adjustRightInd w:val="0"/>
                    <w:snapToGrid w:val="0"/>
                    <w:spacing w:before="0" w:beforeAutospacing="0" w:after="0" w:afterAutospacing="0" w:line="276" w:lineRule="auto"/>
                    <w:ind w:left="0" w:right="0"/>
                    <w:jc w:val="center"/>
                    <w:rPr>
                      <w:rFonts w:hint="default" w:ascii="Times New Roman" w:hAnsi="Times New Roman" w:eastAsia="宋体" w:cs="Times New Roman"/>
                      <w:color w:val="auto"/>
                      <w:sz w:val="18"/>
                      <w:szCs w:val="18"/>
                      <w:highlight w:val="none"/>
                      <w:lang w:val="en-US" w:eastAsia="zh-CN"/>
                    </w:rPr>
                  </w:pPr>
                  <w:r>
                    <w:rPr>
                      <w:rFonts w:hint="eastAsia" w:ascii="Times New Roman" w:hAnsi="Times New Roman" w:eastAsia="宋体" w:cs="Times New Roman"/>
                      <w:color w:val="auto"/>
                      <w:sz w:val="18"/>
                      <w:szCs w:val="18"/>
                      <w:highlight w:val="none"/>
                    </w:rPr>
                    <w:t>500mL/瓶</w:t>
                  </w:r>
                </w:p>
              </w:tc>
              <w:tc>
                <w:tcPr>
                  <w:tcW w:w="586" w:type="pct"/>
                  <w:tcBorders>
                    <w:top w:val="single" w:color="auto" w:sz="4" w:space="0"/>
                    <w:left w:val="single" w:color="auto" w:sz="4" w:space="0"/>
                    <w:bottom w:val="single" w:color="auto" w:sz="4" w:space="0"/>
                    <w:right w:val="single" w:color="auto" w:sz="4" w:space="0"/>
                  </w:tcBorders>
                  <w:vAlign w:val="center"/>
                </w:tcPr>
                <w:p w14:paraId="79FB35C0">
                  <w:pPr>
                    <w:keepNext w:val="0"/>
                    <w:keepLines w:val="0"/>
                    <w:pageBreakBefore w:val="0"/>
                    <w:suppressLineNumbers w:val="0"/>
                    <w:kinsoku/>
                    <w:wordWrap/>
                    <w:overflowPunct/>
                    <w:topLinePunct w:val="0"/>
                    <w:bidi w:val="0"/>
                    <w:adjustRightInd w:val="0"/>
                    <w:snapToGrid w:val="0"/>
                    <w:spacing w:before="0" w:beforeAutospacing="0" w:after="0" w:afterAutospacing="0" w:line="276" w:lineRule="auto"/>
                    <w:ind w:left="0" w:right="0"/>
                    <w:jc w:val="center"/>
                    <w:rPr>
                      <w:rFonts w:hint="default" w:ascii="Times New Roman" w:hAnsi="Times New Roman" w:eastAsia="宋体" w:cs="Times New Roman"/>
                      <w:color w:val="auto"/>
                      <w:sz w:val="18"/>
                      <w:szCs w:val="18"/>
                      <w:highlight w:val="none"/>
                      <w:lang w:val="en-US" w:eastAsia="zh-CN"/>
                    </w:rPr>
                  </w:pPr>
                  <w:r>
                    <w:rPr>
                      <w:rFonts w:hint="eastAsia" w:ascii="Times New Roman" w:hAnsi="Times New Roman" w:eastAsia="宋体" w:cs="Times New Roman"/>
                      <w:color w:val="auto"/>
                      <w:sz w:val="18"/>
                      <w:szCs w:val="18"/>
                      <w:highlight w:val="none"/>
                    </w:rPr>
                    <w:t>5L</w:t>
                  </w:r>
                </w:p>
              </w:tc>
              <w:tc>
                <w:tcPr>
                  <w:tcW w:w="368" w:type="pct"/>
                  <w:tcBorders>
                    <w:top w:val="single" w:color="auto" w:sz="4" w:space="0"/>
                    <w:left w:val="single" w:color="auto" w:sz="4" w:space="0"/>
                    <w:bottom w:val="single" w:color="auto" w:sz="4" w:space="0"/>
                    <w:right w:val="single" w:color="auto" w:sz="4" w:space="0"/>
                  </w:tcBorders>
                  <w:vAlign w:val="center"/>
                </w:tcPr>
                <w:p w14:paraId="7A3D46C6">
                  <w:pPr>
                    <w:keepNext w:val="0"/>
                    <w:keepLines w:val="0"/>
                    <w:pageBreakBefore w:val="0"/>
                    <w:suppressLineNumbers w:val="0"/>
                    <w:kinsoku/>
                    <w:wordWrap/>
                    <w:overflowPunct/>
                    <w:topLinePunct w:val="0"/>
                    <w:bidi w:val="0"/>
                    <w:adjustRightInd w:val="0"/>
                    <w:snapToGrid w:val="0"/>
                    <w:spacing w:before="0" w:beforeAutospacing="0" w:after="0" w:afterAutospacing="0" w:line="276" w:lineRule="auto"/>
                    <w:ind w:left="0" w:right="0"/>
                    <w:jc w:val="center"/>
                    <w:rPr>
                      <w:rFonts w:hint="default" w:ascii="Times New Roman" w:hAnsi="Times New Roman" w:eastAsia="宋体" w:cs="Times New Roman"/>
                      <w:color w:val="auto"/>
                      <w:sz w:val="18"/>
                      <w:szCs w:val="18"/>
                      <w:highlight w:val="none"/>
                      <w:lang w:val="en-US" w:eastAsia="zh-CN"/>
                    </w:rPr>
                  </w:pPr>
                  <w:r>
                    <w:rPr>
                      <w:rFonts w:hint="eastAsia" w:ascii="Times New Roman" w:hAnsi="Times New Roman" w:eastAsia="宋体" w:cs="Times New Roman"/>
                      <w:color w:val="auto"/>
                      <w:sz w:val="18"/>
                      <w:szCs w:val="18"/>
                      <w:highlight w:val="none"/>
                      <w:lang w:eastAsia="zh-CN"/>
                    </w:rPr>
                    <w:t>液态</w:t>
                  </w:r>
                </w:p>
              </w:tc>
              <w:tc>
                <w:tcPr>
                  <w:tcW w:w="892" w:type="pct"/>
                  <w:vMerge w:val="continue"/>
                  <w:tcBorders>
                    <w:left w:val="single" w:color="auto" w:sz="4" w:space="0"/>
                    <w:right w:val="single" w:color="auto" w:sz="4" w:space="0"/>
                  </w:tcBorders>
                  <w:vAlign w:val="center"/>
                </w:tcPr>
                <w:p w14:paraId="47C92B63">
                  <w:pPr>
                    <w:keepNext w:val="0"/>
                    <w:keepLines w:val="0"/>
                    <w:pageBreakBefore w:val="0"/>
                    <w:suppressLineNumbers w:val="0"/>
                    <w:kinsoku/>
                    <w:wordWrap/>
                    <w:overflowPunct/>
                    <w:topLinePunct w:val="0"/>
                    <w:bidi w:val="0"/>
                    <w:adjustRightInd w:val="0"/>
                    <w:snapToGrid w:val="0"/>
                    <w:spacing w:before="0" w:beforeAutospacing="0" w:after="0" w:afterAutospacing="0" w:line="276" w:lineRule="auto"/>
                    <w:ind w:left="0" w:right="0"/>
                    <w:jc w:val="center"/>
                    <w:rPr>
                      <w:rFonts w:hint="default" w:ascii="Times New Roman" w:hAnsi="Times New Roman" w:eastAsia="宋体" w:cs="Times New Roman"/>
                      <w:sz w:val="18"/>
                      <w:szCs w:val="18"/>
                      <w:highlight w:val="none"/>
                    </w:rPr>
                  </w:pPr>
                </w:p>
              </w:tc>
            </w:tr>
            <w:tr w14:paraId="3728875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7" w:type="dxa"/>
                  <w:bottom w:w="0" w:type="dxa"/>
                  <w:right w:w="17" w:type="dxa"/>
                </w:tblCellMar>
              </w:tblPrEx>
              <w:trPr>
                <w:trHeight w:val="0" w:hRule="atLeast"/>
                <w:jc w:val="center"/>
              </w:trPr>
              <w:tc>
                <w:tcPr>
                  <w:tcW w:w="283" w:type="pct"/>
                  <w:tcBorders>
                    <w:top w:val="single" w:color="auto" w:sz="4" w:space="0"/>
                    <w:left w:val="single" w:color="auto" w:sz="4" w:space="0"/>
                    <w:bottom w:val="single" w:color="auto" w:sz="4" w:space="0"/>
                    <w:right w:val="single" w:color="auto" w:sz="4" w:space="0"/>
                  </w:tcBorders>
                  <w:vAlign w:val="center"/>
                </w:tcPr>
                <w:p w14:paraId="031AAB14">
                  <w:pPr>
                    <w:keepNext w:val="0"/>
                    <w:keepLines w:val="0"/>
                    <w:pageBreakBefore w:val="0"/>
                    <w:suppressLineNumbers w:val="0"/>
                    <w:kinsoku/>
                    <w:wordWrap/>
                    <w:overflowPunct/>
                    <w:topLinePunct w:val="0"/>
                    <w:bidi w:val="0"/>
                    <w:adjustRightInd w:val="0"/>
                    <w:snapToGrid w:val="0"/>
                    <w:spacing w:before="0" w:beforeAutospacing="0" w:after="0" w:afterAutospacing="0" w:line="276" w:lineRule="auto"/>
                    <w:ind w:left="0" w:right="0"/>
                    <w:jc w:val="center"/>
                    <w:rPr>
                      <w:rFonts w:hint="eastAsia" w:cs="Times New Roman"/>
                      <w:kern w:val="2"/>
                      <w:sz w:val="18"/>
                      <w:szCs w:val="18"/>
                      <w:highlight w:val="none"/>
                      <w:lang w:val="en-US" w:eastAsia="zh-CN" w:bidi="ar-SA"/>
                    </w:rPr>
                  </w:pPr>
                  <w:r>
                    <w:rPr>
                      <w:rFonts w:hint="eastAsia" w:cs="Times New Roman"/>
                      <w:kern w:val="2"/>
                      <w:sz w:val="18"/>
                      <w:szCs w:val="18"/>
                      <w:highlight w:val="none"/>
                      <w:lang w:val="en-US" w:eastAsia="zh-CN" w:bidi="ar-SA"/>
                    </w:rPr>
                    <w:t>41</w:t>
                  </w:r>
                </w:p>
              </w:tc>
              <w:tc>
                <w:tcPr>
                  <w:tcW w:w="894" w:type="pct"/>
                  <w:tcBorders>
                    <w:top w:val="single" w:color="auto" w:sz="4" w:space="0"/>
                    <w:left w:val="single" w:color="auto" w:sz="4" w:space="0"/>
                    <w:bottom w:val="single" w:color="auto" w:sz="4" w:space="0"/>
                    <w:right w:val="single" w:color="auto" w:sz="4" w:space="0"/>
                  </w:tcBorders>
                  <w:vAlign w:val="center"/>
                </w:tcPr>
                <w:p w14:paraId="5E2343C2">
                  <w:pPr>
                    <w:pStyle w:val="120"/>
                    <w:keepNext w:val="0"/>
                    <w:keepLines w:val="0"/>
                    <w:pageBreakBefore w:val="0"/>
                    <w:framePr w:hSpace="0" w:wrap="auto" w:vAnchor="margin" w:hAnchor="text" w:xAlign="left" w:yAlign="inline"/>
                    <w:suppressLineNumbers w:val="0"/>
                    <w:kinsoku/>
                    <w:wordWrap/>
                    <w:overflowPunct/>
                    <w:topLinePunct w:val="0"/>
                    <w:bidi w:val="0"/>
                    <w:adjustRightInd w:val="0"/>
                    <w:snapToGrid w:val="0"/>
                    <w:spacing w:before="0" w:beforeAutospacing="0" w:after="0" w:afterAutospacing="0" w:line="276" w:lineRule="auto"/>
                    <w:ind w:left="0" w:right="0"/>
                    <w:jc w:val="center"/>
                    <w:rPr>
                      <w:rFonts w:hint="eastAsia" w:ascii="Times New Roman" w:hAnsi="Times New Roman" w:eastAsia="宋体" w:cs="Times New Roman"/>
                      <w:color w:val="auto"/>
                      <w:sz w:val="18"/>
                      <w:szCs w:val="18"/>
                      <w:highlight w:val="none"/>
                      <w:lang w:val="en-US" w:eastAsia="zh-CN"/>
                    </w:rPr>
                  </w:pPr>
                  <w:r>
                    <w:rPr>
                      <w:rFonts w:hint="eastAsia" w:cs="Times New Roman"/>
                      <w:color w:val="auto"/>
                      <w:sz w:val="18"/>
                      <w:szCs w:val="18"/>
                      <w:highlight w:val="none"/>
                      <w:lang w:val="en-US" w:eastAsia="zh-CN"/>
                    </w:rPr>
                    <w:t>98%</w:t>
                  </w:r>
                  <w:r>
                    <w:rPr>
                      <w:rFonts w:hint="eastAsia" w:ascii="Times New Roman" w:hAnsi="Times New Roman" w:eastAsia="宋体" w:cs="Times New Roman"/>
                      <w:color w:val="auto"/>
                      <w:sz w:val="18"/>
                      <w:szCs w:val="18"/>
                      <w:highlight w:val="none"/>
                    </w:rPr>
                    <w:t>硫酸</w:t>
                  </w:r>
                </w:p>
              </w:tc>
              <w:tc>
                <w:tcPr>
                  <w:tcW w:w="523" w:type="pct"/>
                  <w:tcBorders>
                    <w:top w:val="single" w:color="auto" w:sz="4" w:space="0"/>
                    <w:left w:val="single" w:color="auto" w:sz="4" w:space="0"/>
                    <w:bottom w:val="single" w:color="auto" w:sz="4" w:space="0"/>
                    <w:right w:val="single" w:color="auto" w:sz="4" w:space="0"/>
                  </w:tcBorders>
                  <w:vAlign w:val="center"/>
                </w:tcPr>
                <w:p w14:paraId="10773B8E">
                  <w:pPr>
                    <w:pStyle w:val="120"/>
                    <w:keepNext w:val="0"/>
                    <w:keepLines w:val="0"/>
                    <w:pageBreakBefore w:val="0"/>
                    <w:framePr w:hSpace="0" w:wrap="auto" w:vAnchor="margin" w:hAnchor="text" w:xAlign="left" w:yAlign="inline"/>
                    <w:suppressLineNumbers w:val="0"/>
                    <w:kinsoku/>
                    <w:wordWrap/>
                    <w:overflowPunct/>
                    <w:topLinePunct w:val="0"/>
                    <w:bidi w:val="0"/>
                    <w:adjustRightInd w:val="0"/>
                    <w:snapToGrid w:val="0"/>
                    <w:spacing w:before="0" w:beforeAutospacing="0" w:after="0" w:afterAutospacing="0" w:line="276" w:lineRule="auto"/>
                    <w:ind w:left="0" w:right="0"/>
                    <w:jc w:val="center"/>
                    <w:rPr>
                      <w:rFonts w:hint="default" w:ascii="Times New Roman" w:hAnsi="Times New Roman" w:eastAsia="宋体" w:cs="Times New Roman"/>
                      <w:color w:val="auto"/>
                      <w:sz w:val="18"/>
                      <w:szCs w:val="18"/>
                      <w:highlight w:val="none"/>
                      <w:lang w:val="en-US" w:eastAsia="zh-CN"/>
                    </w:rPr>
                  </w:pPr>
                  <w:r>
                    <w:rPr>
                      <w:rFonts w:hint="eastAsia" w:ascii="Times New Roman" w:hAnsi="Times New Roman" w:eastAsia="宋体" w:cs="Times New Roman"/>
                      <w:color w:val="auto"/>
                      <w:sz w:val="18"/>
                      <w:szCs w:val="18"/>
                      <w:highlight w:val="none"/>
                    </w:rPr>
                    <w:t>5</w:t>
                  </w:r>
                  <w:r>
                    <w:rPr>
                      <w:rFonts w:hint="eastAsia" w:cs="Times New Roman"/>
                      <w:color w:val="auto"/>
                      <w:sz w:val="18"/>
                      <w:szCs w:val="18"/>
                      <w:highlight w:val="none"/>
                      <w:lang w:val="en-US" w:eastAsia="zh-CN"/>
                    </w:rPr>
                    <w:t>0</w:t>
                  </w:r>
                  <w:r>
                    <w:rPr>
                      <w:rFonts w:hint="eastAsia" w:ascii="Times New Roman" w:hAnsi="Times New Roman" w:eastAsia="宋体" w:cs="Times New Roman"/>
                      <w:color w:val="auto"/>
                      <w:sz w:val="18"/>
                      <w:szCs w:val="18"/>
                      <w:highlight w:val="none"/>
                    </w:rPr>
                    <w:t>L</w:t>
                  </w:r>
                </w:p>
              </w:tc>
              <w:tc>
                <w:tcPr>
                  <w:tcW w:w="1451" w:type="pct"/>
                  <w:tcBorders>
                    <w:top w:val="single" w:color="auto" w:sz="4" w:space="0"/>
                    <w:left w:val="single" w:color="auto" w:sz="4" w:space="0"/>
                    <w:bottom w:val="single" w:color="auto" w:sz="4" w:space="0"/>
                    <w:right w:val="single" w:color="auto" w:sz="4" w:space="0"/>
                  </w:tcBorders>
                  <w:vAlign w:val="center"/>
                </w:tcPr>
                <w:p w14:paraId="1B5B07CB">
                  <w:pPr>
                    <w:pStyle w:val="120"/>
                    <w:keepNext w:val="0"/>
                    <w:keepLines w:val="0"/>
                    <w:pageBreakBefore w:val="0"/>
                    <w:framePr w:hSpace="0" w:wrap="auto" w:vAnchor="margin" w:hAnchor="text" w:xAlign="left" w:yAlign="inline"/>
                    <w:suppressLineNumbers w:val="0"/>
                    <w:kinsoku/>
                    <w:wordWrap/>
                    <w:overflowPunct/>
                    <w:topLinePunct w:val="0"/>
                    <w:bidi w:val="0"/>
                    <w:adjustRightInd w:val="0"/>
                    <w:snapToGrid w:val="0"/>
                    <w:spacing w:before="0" w:beforeAutospacing="0" w:after="0" w:afterAutospacing="0" w:line="276" w:lineRule="auto"/>
                    <w:ind w:left="0" w:right="0"/>
                    <w:jc w:val="center"/>
                    <w:rPr>
                      <w:rFonts w:hint="default" w:ascii="Times New Roman" w:hAnsi="Times New Roman" w:eastAsia="宋体" w:cs="Times New Roman"/>
                      <w:color w:val="auto"/>
                      <w:sz w:val="18"/>
                      <w:szCs w:val="18"/>
                      <w:highlight w:val="none"/>
                      <w:lang w:val="en-US" w:eastAsia="zh-CN"/>
                    </w:rPr>
                  </w:pPr>
                  <w:r>
                    <w:rPr>
                      <w:rFonts w:hint="eastAsia" w:ascii="Times New Roman" w:hAnsi="Times New Roman" w:eastAsia="宋体" w:cs="Times New Roman"/>
                      <w:color w:val="auto"/>
                      <w:sz w:val="18"/>
                      <w:szCs w:val="18"/>
                      <w:highlight w:val="none"/>
                    </w:rPr>
                    <w:t>500mL/瓶</w:t>
                  </w:r>
                </w:p>
              </w:tc>
              <w:tc>
                <w:tcPr>
                  <w:tcW w:w="586" w:type="pct"/>
                  <w:tcBorders>
                    <w:top w:val="single" w:color="auto" w:sz="4" w:space="0"/>
                    <w:left w:val="single" w:color="auto" w:sz="4" w:space="0"/>
                    <w:bottom w:val="single" w:color="auto" w:sz="4" w:space="0"/>
                    <w:right w:val="single" w:color="auto" w:sz="4" w:space="0"/>
                  </w:tcBorders>
                  <w:vAlign w:val="center"/>
                </w:tcPr>
                <w:p w14:paraId="54CF82FD">
                  <w:pPr>
                    <w:keepNext w:val="0"/>
                    <w:keepLines w:val="0"/>
                    <w:pageBreakBefore w:val="0"/>
                    <w:suppressLineNumbers w:val="0"/>
                    <w:kinsoku/>
                    <w:wordWrap/>
                    <w:overflowPunct/>
                    <w:topLinePunct w:val="0"/>
                    <w:bidi w:val="0"/>
                    <w:adjustRightInd w:val="0"/>
                    <w:snapToGrid w:val="0"/>
                    <w:spacing w:before="0" w:beforeAutospacing="0" w:after="0" w:afterAutospacing="0" w:line="276" w:lineRule="auto"/>
                    <w:ind w:left="0" w:right="0"/>
                    <w:jc w:val="center"/>
                    <w:rPr>
                      <w:rFonts w:hint="default" w:ascii="Times New Roman" w:hAnsi="Times New Roman" w:eastAsia="宋体" w:cs="Times New Roman"/>
                      <w:color w:val="auto"/>
                      <w:sz w:val="18"/>
                      <w:szCs w:val="18"/>
                      <w:highlight w:val="none"/>
                      <w:lang w:val="en-US" w:eastAsia="zh-CN"/>
                    </w:rPr>
                  </w:pPr>
                  <w:r>
                    <w:rPr>
                      <w:rFonts w:hint="eastAsia" w:ascii="Times New Roman" w:hAnsi="Times New Roman" w:eastAsia="宋体" w:cs="Times New Roman"/>
                      <w:color w:val="auto"/>
                      <w:sz w:val="18"/>
                      <w:szCs w:val="18"/>
                      <w:highlight w:val="none"/>
                    </w:rPr>
                    <w:t>5L</w:t>
                  </w:r>
                </w:p>
              </w:tc>
              <w:tc>
                <w:tcPr>
                  <w:tcW w:w="368" w:type="pct"/>
                  <w:tcBorders>
                    <w:top w:val="single" w:color="auto" w:sz="4" w:space="0"/>
                    <w:left w:val="single" w:color="auto" w:sz="4" w:space="0"/>
                    <w:bottom w:val="single" w:color="auto" w:sz="4" w:space="0"/>
                    <w:right w:val="single" w:color="auto" w:sz="4" w:space="0"/>
                  </w:tcBorders>
                  <w:vAlign w:val="center"/>
                </w:tcPr>
                <w:p w14:paraId="65C8DB23">
                  <w:pPr>
                    <w:keepNext w:val="0"/>
                    <w:keepLines w:val="0"/>
                    <w:pageBreakBefore w:val="0"/>
                    <w:suppressLineNumbers w:val="0"/>
                    <w:kinsoku/>
                    <w:wordWrap/>
                    <w:overflowPunct/>
                    <w:topLinePunct w:val="0"/>
                    <w:bidi w:val="0"/>
                    <w:adjustRightInd w:val="0"/>
                    <w:snapToGrid w:val="0"/>
                    <w:spacing w:before="0" w:beforeAutospacing="0" w:after="0" w:afterAutospacing="0" w:line="276" w:lineRule="auto"/>
                    <w:ind w:left="0" w:right="0"/>
                    <w:jc w:val="center"/>
                    <w:rPr>
                      <w:rFonts w:hint="eastAsia" w:ascii="Times New Roman" w:hAnsi="Times New Roman" w:eastAsia="宋体" w:cs="Times New Roman"/>
                      <w:color w:val="auto"/>
                      <w:sz w:val="18"/>
                      <w:szCs w:val="18"/>
                      <w:highlight w:val="none"/>
                      <w:lang w:val="en-US" w:eastAsia="zh-CN"/>
                    </w:rPr>
                  </w:pPr>
                  <w:r>
                    <w:rPr>
                      <w:rFonts w:hint="eastAsia" w:ascii="Times New Roman" w:hAnsi="Times New Roman" w:eastAsia="宋体" w:cs="Times New Roman"/>
                      <w:color w:val="auto"/>
                      <w:sz w:val="18"/>
                      <w:szCs w:val="18"/>
                      <w:highlight w:val="none"/>
                      <w:lang w:eastAsia="zh-CN"/>
                    </w:rPr>
                    <w:t>液态</w:t>
                  </w:r>
                </w:p>
              </w:tc>
              <w:tc>
                <w:tcPr>
                  <w:tcW w:w="892" w:type="pct"/>
                  <w:vMerge w:val="continue"/>
                  <w:tcBorders>
                    <w:left w:val="single" w:color="auto" w:sz="4" w:space="0"/>
                    <w:right w:val="single" w:color="auto" w:sz="4" w:space="0"/>
                  </w:tcBorders>
                  <w:vAlign w:val="center"/>
                </w:tcPr>
                <w:p w14:paraId="2D8B304D">
                  <w:pPr>
                    <w:keepNext w:val="0"/>
                    <w:keepLines w:val="0"/>
                    <w:pageBreakBefore w:val="0"/>
                    <w:suppressLineNumbers w:val="0"/>
                    <w:kinsoku/>
                    <w:wordWrap/>
                    <w:overflowPunct/>
                    <w:topLinePunct w:val="0"/>
                    <w:bidi w:val="0"/>
                    <w:adjustRightInd w:val="0"/>
                    <w:snapToGrid w:val="0"/>
                    <w:spacing w:before="0" w:beforeAutospacing="0" w:after="0" w:afterAutospacing="0" w:line="276" w:lineRule="auto"/>
                    <w:ind w:left="0" w:right="0"/>
                    <w:jc w:val="center"/>
                    <w:rPr>
                      <w:rFonts w:hint="default" w:ascii="Times New Roman" w:hAnsi="Times New Roman" w:eastAsia="宋体" w:cs="Times New Roman"/>
                      <w:sz w:val="18"/>
                      <w:szCs w:val="18"/>
                      <w:highlight w:val="none"/>
                    </w:rPr>
                  </w:pPr>
                </w:p>
              </w:tc>
            </w:tr>
            <w:tr w14:paraId="7070AFE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7" w:type="dxa"/>
                  <w:bottom w:w="0" w:type="dxa"/>
                  <w:right w:w="17" w:type="dxa"/>
                </w:tblCellMar>
              </w:tblPrEx>
              <w:trPr>
                <w:trHeight w:val="0" w:hRule="atLeast"/>
                <w:jc w:val="center"/>
              </w:trPr>
              <w:tc>
                <w:tcPr>
                  <w:tcW w:w="283" w:type="pct"/>
                  <w:tcBorders>
                    <w:top w:val="single" w:color="auto" w:sz="4" w:space="0"/>
                    <w:left w:val="single" w:color="auto" w:sz="4" w:space="0"/>
                    <w:bottom w:val="single" w:color="auto" w:sz="4" w:space="0"/>
                    <w:right w:val="single" w:color="auto" w:sz="4" w:space="0"/>
                  </w:tcBorders>
                  <w:vAlign w:val="center"/>
                </w:tcPr>
                <w:p w14:paraId="22AA844E">
                  <w:pPr>
                    <w:keepNext w:val="0"/>
                    <w:keepLines w:val="0"/>
                    <w:pageBreakBefore w:val="0"/>
                    <w:suppressLineNumbers w:val="0"/>
                    <w:kinsoku/>
                    <w:wordWrap/>
                    <w:overflowPunct/>
                    <w:topLinePunct w:val="0"/>
                    <w:bidi w:val="0"/>
                    <w:adjustRightInd w:val="0"/>
                    <w:snapToGrid w:val="0"/>
                    <w:spacing w:before="0" w:beforeAutospacing="0" w:after="0" w:afterAutospacing="0" w:line="276" w:lineRule="auto"/>
                    <w:ind w:left="0" w:right="0"/>
                    <w:jc w:val="center"/>
                    <w:rPr>
                      <w:rFonts w:hint="eastAsia" w:cs="Times New Roman"/>
                      <w:kern w:val="2"/>
                      <w:sz w:val="18"/>
                      <w:szCs w:val="18"/>
                      <w:highlight w:val="none"/>
                      <w:lang w:val="en-US" w:eastAsia="zh-CN" w:bidi="ar-SA"/>
                    </w:rPr>
                  </w:pPr>
                  <w:r>
                    <w:rPr>
                      <w:rFonts w:hint="eastAsia" w:cs="Times New Roman"/>
                      <w:kern w:val="2"/>
                      <w:sz w:val="18"/>
                      <w:szCs w:val="18"/>
                      <w:highlight w:val="none"/>
                      <w:lang w:val="en-US" w:eastAsia="zh-CN" w:bidi="ar-SA"/>
                    </w:rPr>
                    <w:t>42</w:t>
                  </w:r>
                </w:p>
              </w:tc>
              <w:tc>
                <w:tcPr>
                  <w:tcW w:w="894" w:type="pct"/>
                  <w:tcBorders>
                    <w:top w:val="single" w:color="auto" w:sz="4" w:space="0"/>
                    <w:left w:val="single" w:color="auto" w:sz="4" w:space="0"/>
                    <w:bottom w:val="single" w:color="auto" w:sz="4" w:space="0"/>
                    <w:right w:val="single" w:color="auto" w:sz="4" w:space="0"/>
                  </w:tcBorders>
                  <w:vAlign w:val="center"/>
                </w:tcPr>
                <w:p w14:paraId="6FD3B8F1">
                  <w:pPr>
                    <w:pStyle w:val="120"/>
                    <w:keepNext w:val="0"/>
                    <w:keepLines w:val="0"/>
                    <w:pageBreakBefore w:val="0"/>
                    <w:framePr w:hSpace="0" w:wrap="auto" w:vAnchor="margin" w:hAnchor="text" w:xAlign="left" w:yAlign="inline"/>
                    <w:suppressLineNumbers w:val="0"/>
                    <w:kinsoku/>
                    <w:wordWrap/>
                    <w:overflowPunct/>
                    <w:topLinePunct w:val="0"/>
                    <w:bidi w:val="0"/>
                    <w:adjustRightInd w:val="0"/>
                    <w:snapToGrid w:val="0"/>
                    <w:spacing w:before="0" w:beforeAutospacing="0" w:after="0" w:afterAutospacing="0" w:line="276" w:lineRule="auto"/>
                    <w:ind w:left="0" w:right="0"/>
                    <w:jc w:val="center"/>
                    <w:rPr>
                      <w:rFonts w:hint="eastAsia" w:ascii="Times New Roman" w:hAnsi="Times New Roman" w:eastAsia="宋体" w:cs="Times New Roman"/>
                      <w:color w:val="auto"/>
                      <w:sz w:val="18"/>
                      <w:szCs w:val="18"/>
                      <w:highlight w:val="none"/>
                      <w:lang w:val="en-US" w:eastAsia="zh-CN"/>
                    </w:rPr>
                  </w:pPr>
                  <w:r>
                    <w:rPr>
                      <w:rFonts w:hint="eastAsia" w:ascii="Times New Roman" w:hAnsi="Times New Roman" w:eastAsia="宋体" w:cs="Times New Roman"/>
                      <w:color w:val="auto"/>
                      <w:sz w:val="18"/>
                      <w:szCs w:val="18"/>
                      <w:highlight w:val="none"/>
                    </w:rPr>
                    <w:t>二甲基亚砜(DMSO)</w:t>
                  </w:r>
                </w:p>
              </w:tc>
              <w:tc>
                <w:tcPr>
                  <w:tcW w:w="523" w:type="pct"/>
                  <w:tcBorders>
                    <w:top w:val="single" w:color="auto" w:sz="4" w:space="0"/>
                    <w:left w:val="single" w:color="auto" w:sz="4" w:space="0"/>
                    <w:bottom w:val="single" w:color="auto" w:sz="4" w:space="0"/>
                    <w:right w:val="single" w:color="auto" w:sz="4" w:space="0"/>
                  </w:tcBorders>
                  <w:vAlign w:val="center"/>
                </w:tcPr>
                <w:p w14:paraId="4A5D1C87">
                  <w:pPr>
                    <w:pStyle w:val="120"/>
                    <w:keepNext w:val="0"/>
                    <w:keepLines w:val="0"/>
                    <w:pageBreakBefore w:val="0"/>
                    <w:framePr w:hSpace="0" w:wrap="auto" w:vAnchor="margin" w:hAnchor="text" w:xAlign="left" w:yAlign="inline"/>
                    <w:suppressLineNumbers w:val="0"/>
                    <w:kinsoku/>
                    <w:wordWrap/>
                    <w:overflowPunct/>
                    <w:topLinePunct w:val="0"/>
                    <w:bidi w:val="0"/>
                    <w:adjustRightInd w:val="0"/>
                    <w:snapToGrid w:val="0"/>
                    <w:spacing w:before="0" w:beforeAutospacing="0" w:after="0" w:afterAutospacing="0" w:line="276" w:lineRule="auto"/>
                    <w:ind w:left="0" w:right="0"/>
                    <w:jc w:val="center"/>
                    <w:rPr>
                      <w:rFonts w:hint="default" w:ascii="Times New Roman" w:hAnsi="Times New Roman" w:eastAsia="宋体" w:cs="Times New Roman"/>
                      <w:color w:val="auto"/>
                      <w:sz w:val="18"/>
                      <w:szCs w:val="18"/>
                      <w:highlight w:val="none"/>
                      <w:lang w:val="en-US" w:eastAsia="zh-CN"/>
                    </w:rPr>
                  </w:pPr>
                  <w:r>
                    <w:rPr>
                      <w:rFonts w:hint="eastAsia" w:ascii="Times New Roman" w:hAnsi="Times New Roman" w:eastAsia="宋体" w:cs="Times New Roman"/>
                      <w:color w:val="auto"/>
                      <w:sz w:val="18"/>
                      <w:szCs w:val="18"/>
                      <w:highlight w:val="none"/>
                      <w:lang w:val="en-US" w:eastAsia="zh-CN"/>
                    </w:rPr>
                    <w:t>1</w:t>
                  </w:r>
                  <w:r>
                    <w:rPr>
                      <w:rFonts w:hint="eastAsia" w:ascii="Times New Roman" w:hAnsi="Times New Roman" w:eastAsia="宋体" w:cs="Times New Roman"/>
                      <w:color w:val="auto"/>
                      <w:sz w:val="18"/>
                      <w:szCs w:val="18"/>
                      <w:highlight w:val="none"/>
                    </w:rPr>
                    <w:t>0L</w:t>
                  </w:r>
                </w:p>
              </w:tc>
              <w:tc>
                <w:tcPr>
                  <w:tcW w:w="1451" w:type="pct"/>
                  <w:tcBorders>
                    <w:top w:val="single" w:color="auto" w:sz="4" w:space="0"/>
                    <w:left w:val="single" w:color="auto" w:sz="4" w:space="0"/>
                    <w:bottom w:val="single" w:color="auto" w:sz="4" w:space="0"/>
                    <w:right w:val="single" w:color="auto" w:sz="4" w:space="0"/>
                  </w:tcBorders>
                  <w:vAlign w:val="center"/>
                </w:tcPr>
                <w:p w14:paraId="185D30F4">
                  <w:pPr>
                    <w:pStyle w:val="120"/>
                    <w:keepNext w:val="0"/>
                    <w:keepLines w:val="0"/>
                    <w:pageBreakBefore w:val="0"/>
                    <w:framePr w:hSpace="0" w:wrap="auto" w:vAnchor="margin" w:hAnchor="text" w:xAlign="left" w:yAlign="inline"/>
                    <w:suppressLineNumbers w:val="0"/>
                    <w:kinsoku/>
                    <w:wordWrap/>
                    <w:overflowPunct/>
                    <w:topLinePunct w:val="0"/>
                    <w:bidi w:val="0"/>
                    <w:adjustRightInd w:val="0"/>
                    <w:snapToGrid w:val="0"/>
                    <w:spacing w:before="0" w:beforeAutospacing="0" w:after="0" w:afterAutospacing="0" w:line="276" w:lineRule="auto"/>
                    <w:ind w:left="0" w:right="0"/>
                    <w:jc w:val="center"/>
                    <w:rPr>
                      <w:rFonts w:hint="default" w:ascii="Times New Roman" w:hAnsi="Times New Roman" w:eastAsia="宋体" w:cs="Times New Roman"/>
                      <w:color w:val="auto"/>
                      <w:sz w:val="18"/>
                      <w:szCs w:val="18"/>
                      <w:highlight w:val="none"/>
                      <w:lang w:val="en-US" w:eastAsia="zh-CN"/>
                    </w:rPr>
                  </w:pPr>
                  <w:r>
                    <w:rPr>
                      <w:rFonts w:hint="eastAsia" w:ascii="Times New Roman" w:hAnsi="Times New Roman" w:eastAsia="宋体" w:cs="Times New Roman"/>
                      <w:color w:val="auto"/>
                      <w:sz w:val="18"/>
                      <w:szCs w:val="18"/>
                      <w:highlight w:val="none"/>
                    </w:rPr>
                    <w:t>100mL/瓶</w:t>
                  </w:r>
                </w:p>
              </w:tc>
              <w:tc>
                <w:tcPr>
                  <w:tcW w:w="586" w:type="pct"/>
                  <w:tcBorders>
                    <w:top w:val="single" w:color="auto" w:sz="4" w:space="0"/>
                    <w:left w:val="single" w:color="auto" w:sz="4" w:space="0"/>
                    <w:bottom w:val="single" w:color="auto" w:sz="4" w:space="0"/>
                    <w:right w:val="single" w:color="auto" w:sz="4" w:space="0"/>
                  </w:tcBorders>
                  <w:vAlign w:val="center"/>
                </w:tcPr>
                <w:p w14:paraId="4EF0C6FF">
                  <w:pPr>
                    <w:pStyle w:val="120"/>
                    <w:keepNext w:val="0"/>
                    <w:keepLines w:val="0"/>
                    <w:pageBreakBefore w:val="0"/>
                    <w:framePr w:hSpace="0" w:wrap="auto" w:vAnchor="margin" w:hAnchor="text" w:xAlign="left" w:yAlign="inline"/>
                    <w:suppressLineNumbers w:val="0"/>
                    <w:kinsoku/>
                    <w:wordWrap/>
                    <w:overflowPunct/>
                    <w:topLinePunct w:val="0"/>
                    <w:bidi w:val="0"/>
                    <w:adjustRightInd w:val="0"/>
                    <w:snapToGrid w:val="0"/>
                    <w:spacing w:before="0" w:beforeAutospacing="0" w:after="0" w:afterAutospacing="0" w:line="276" w:lineRule="auto"/>
                    <w:ind w:left="0" w:right="0"/>
                    <w:jc w:val="center"/>
                    <w:rPr>
                      <w:rFonts w:hint="default" w:ascii="Times New Roman" w:hAnsi="Times New Roman" w:eastAsia="宋体" w:cs="Times New Roman"/>
                      <w:color w:val="auto"/>
                      <w:sz w:val="18"/>
                      <w:szCs w:val="18"/>
                      <w:highlight w:val="none"/>
                      <w:lang w:val="en-US" w:eastAsia="zh-CN"/>
                    </w:rPr>
                  </w:pPr>
                  <w:r>
                    <w:rPr>
                      <w:rFonts w:hint="eastAsia" w:ascii="Times New Roman" w:hAnsi="Times New Roman" w:eastAsia="宋体" w:cs="Times New Roman"/>
                      <w:color w:val="auto"/>
                      <w:sz w:val="18"/>
                      <w:szCs w:val="18"/>
                      <w:highlight w:val="none"/>
                      <w:lang w:val="en-US" w:eastAsia="zh-CN"/>
                    </w:rPr>
                    <w:t>1</w:t>
                  </w:r>
                  <w:r>
                    <w:rPr>
                      <w:rFonts w:hint="eastAsia" w:ascii="Times New Roman" w:hAnsi="Times New Roman" w:eastAsia="宋体" w:cs="Times New Roman"/>
                      <w:color w:val="auto"/>
                      <w:sz w:val="18"/>
                      <w:szCs w:val="18"/>
                      <w:highlight w:val="none"/>
                    </w:rPr>
                    <w:t>L</w:t>
                  </w:r>
                </w:p>
              </w:tc>
              <w:tc>
                <w:tcPr>
                  <w:tcW w:w="368" w:type="pct"/>
                  <w:tcBorders>
                    <w:top w:val="single" w:color="auto" w:sz="4" w:space="0"/>
                    <w:left w:val="single" w:color="auto" w:sz="4" w:space="0"/>
                    <w:bottom w:val="single" w:color="auto" w:sz="4" w:space="0"/>
                    <w:right w:val="single" w:color="auto" w:sz="4" w:space="0"/>
                  </w:tcBorders>
                  <w:vAlign w:val="center"/>
                </w:tcPr>
                <w:p w14:paraId="4399BEF6">
                  <w:pPr>
                    <w:keepNext w:val="0"/>
                    <w:keepLines w:val="0"/>
                    <w:pageBreakBefore w:val="0"/>
                    <w:suppressLineNumbers w:val="0"/>
                    <w:kinsoku/>
                    <w:wordWrap/>
                    <w:overflowPunct/>
                    <w:topLinePunct w:val="0"/>
                    <w:bidi w:val="0"/>
                    <w:adjustRightInd w:val="0"/>
                    <w:snapToGrid w:val="0"/>
                    <w:spacing w:before="0" w:beforeAutospacing="0" w:after="0" w:afterAutospacing="0" w:line="276" w:lineRule="auto"/>
                    <w:ind w:left="0" w:right="0"/>
                    <w:jc w:val="center"/>
                    <w:rPr>
                      <w:rFonts w:hint="eastAsia" w:ascii="Times New Roman" w:hAnsi="Times New Roman" w:eastAsia="宋体" w:cs="Times New Roman"/>
                      <w:color w:val="auto"/>
                      <w:sz w:val="18"/>
                      <w:szCs w:val="18"/>
                      <w:highlight w:val="none"/>
                      <w:lang w:val="en-US" w:eastAsia="zh-CN"/>
                    </w:rPr>
                  </w:pPr>
                  <w:r>
                    <w:rPr>
                      <w:rFonts w:hint="eastAsia" w:ascii="Times New Roman" w:hAnsi="Times New Roman" w:eastAsia="宋体" w:cs="Times New Roman"/>
                      <w:color w:val="auto"/>
                      <w:sz w:val="18"/>
                      <w:szCs w:val="18"/>
                      <w:highlight w:val="none"/>
                      <w:lang w:eastAsia="zh-CN"/>
                    </w:rPr>
                    <w:t>液态</w:t>
                  </w:r>
                </w:p>
              </w:tc>
              <w:tc>
                <w:tcPr>
                  <w:tcW w:w="892" w:type="pct"/>
                  <w:tcBorders>
                    <w:left w:val="single" w:color="auto" w:sz="4" w:space="0"/>
                    <w:right w:val="single" w:color="auto" w:sz="4" w:space="0"/>
                  </w:tcBorders>
                  <w:vAlign w:val="center"/>
                </w:tcPr>
                <w:p w14:paraId="438CF002">
                  <w:pPr>
                    <w:pStyle w:val="120"/>
                    <w:keepNext w:val="0"/>
                    <w:keepLines w:val="0"/>
                    <w:pageBreakBefore w:val="0"/>
                    <w:framePr w:hSpace="0" w:wrap="auto" w:vAnchor="margin" w:hAnchor="text" w:xAlign="left" w:yAlign="inline"/>
                    <w:suppressLineNumbers w:val="0"/>
                    <w:kinsoku/>
                    <w:wordWrap/>
                    <w:overflowPunct/>
                    <w:topLinePunct w:val="0"/>
                    <w:bidi w:val="0"/>
                    <w:adjustRightInd w:val="0"/>
                    <w:snapToGrid w:val="0"/>
                    <w:spacing w:before="0" w:beforeAutospacing="0" w:after="0" w:afterAutospacing="0" w:line="276" w:lineRule="auto"/>
                    <w:ind w:left="0" w:right="0"/>
                    <w:jc w:val="center"/>
                    <w:rPr>
                      <w:rFonts w:hint="eastAsia" w:ascii="Times New Roman" w:hAnsi="Times New Roman" w:eastAsia="宋体" w:cs="Times New Roman"/>
                      <w:color w:val="auto"/>
                      <w:sz w:val="18"/>
                      <w:szCs w:val="18"/>
                      <w:highlight w:val="none"/>
                      <w:lang w:eastAsia="zh-CN"/>
                    </w:rPr>
                  </w:pPr>
                  <w:r>
                    <w:rPr>
                      <w:rFonts w:hint="eastAsia" w:ascii="Times New Roman" w:hAnsi="Times New Roman" w:eastAsia="宋体" w:cs="Times New Roman"/>
                      <w:color w:val="auto"/>
                      <w:sz w:val="18"/>
                      <w:szCs w:val="18"/>
                      <w:highlight w:val="none"/>
                      <w:lang w:eastAsia="zh-CN"/>
                    </w:rPr>
                    <w:t>细胞冻存</w:t>
                  </w:r>
                </w:p>
              </w:tc>
            </w:tr>
            <w:tr w14:paraId="0F9AD93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7" w:type="dxa"/>
                  <w:bottom w:w="0" w:type="dxa"/>
                  <w:right w:w="17" w:type="dxa"/>
                </w:tblCellMar>
              </w:tblPrEx>
              <w:trPr>
                <w:trHeight w:val="0" w:hRule="atLeast"/>
                <w:jc w:val="center"/>
              </w:trPr>
              <w:tc>
                <w:tcPr>
                  <w:tcW w:w="283" w:type="pct"/>
                  <w:tcBorders>
                    <w:top w:val="single" w:color="auto" w:sz="4" w:space="0"/>
                    <w:left w:val="single" w:color="auto" w:sz="4" w:space="0"/>
                    <w:bottom w:val="single" w:color="auto" w:sz="4" w:space="0"/>
                    <w:right w:val="single" w:color="auto" w:sz="4" w:space="0"/>
                  </w:tcBorders>
                  <w:vAlign w:val="center"/>
                </w:tcPr>
                <w:p w14:paraId="6032A651">
                  <w:pPr>
                    <w:keepNext w:val="0"/>
                    <w:keepLines w:val="0"/>
                    <w:pageBreakBefore w:val="0"/>
                    <w:suppressLineNumbers w:val="0"/>
                    <w:kinsoku/>
                    <w:wordWrap/>
                    <w:overflowPunct/>
                    <w:topLinePunct w:val="0"/>
                    <w:bidi w:val="0"/>
                    <w:adjustRightInd w:val="0"/>
                    <w:snapToGrid w:val="0"/>
                    <w:spacing w:before="0" w:beforeAutospacing="0" w:after="0" w:afterAutospacing="0" w:line="276" w:lineRule="auto"/>
                    <w:ind w:left="0" w:right="0"/>
                    <w:jc w:val="center"/>
                    <w:rPr>
                      <w:rFonts w:hint="eastAsia" w:cs="Times New Roman"/>
                      <w:kern w:val="2"/>
                      <w:sz w:val="18"/>
                      <w:szCs w:val="18"/>
                      <w:highlight w:val="none"/>
                      <w:lang w:val="en-US" w:eastAsia="zh-CN" w:bidi="ar-SA"/>
                    </w:rPr>
                  </w:pPr>
                  <w:r>
                    <w:rPr>
                      <w:rFonts w:hint="eastAsia" w:cs="Times New Roman"/>
                      <w:kern w:val="2"/>
                      <w:sz w:val="18"/>
                      <w:szCs w:val="18"/>
                      <w:highlight w:val="none"/>
                      <w:lang w:val="en-US" w:eastAsia="zh-CN" w:bidi="ar-SA"/>
                    </w:rPr>
                    <w:t>43</w:t>
                  </w:r>
                </w:p>
              </w:tc>
              <w:tc>
                <w:tcPr>
                  <w:tcW w:w="894" w:type="pct"/>
                  <w:tcBorders>
                    <w:top w:val="single" w:color="auto" w:sz="4" w:space="0"/>
                    <w:left w:val="single" w:color="auto" w:sz="4" w:space="0"/>
                    <w:bottom w:val="single" w:color="auto" w:sz="4" w:space="0"/>
                    <w:right w:val="single" w:color="auto" w:sz="4" w:space="0"/>
                  </w:tcBorders>
                  <w:vAlign w:val="center"/>
                </w:tcPr>
                <w:p w14:paraId="716C8F4F">
                  <w:pPr>
                    <w:pStyle w:val="120"/>
                    <w:keepNext w:val="0"/>
                    <w:keepLines w:val="0"/>
                    <w:pageBreakBefore w:val="0"/>
                    <w:framePr w:hSpace="0" w:wrap="auto" w:vAnchor="margin" w:hAnchor="text" w:xAlign="left" w:yAlign="inline"/>
                    <w:suppressLineNumbers w:val="0"/>
                    <w:kinsoku/>
                    <w:wordWrap/>
                    <w:overflowPunct/>
                    <w:topLinePunct w:val="0"/>
                    <w:bidi w:val="0"/>
                    <w:adjustRightInd w:val="0"/>
                    <w:snapToGrid w:val="0"/>
                    <w:spacing w:before="0" w:beforeAutospacing="0" w:after="0" w:afterAutospacing="0" w:line="276" w:lineRule="auto"/>
                    <w:ind w:left="0" w:right="0"/>
                    <w:jc w:val="center"/>
                    <w:rPr>
                      <w:rFonts w:hint="eastAsia" w:ascii="Times New Roman" w:hAnsi="Times New Roman" w:eastAsia="宋体" w:cs="Times New Roman"/>
                      <w:color w:val="auto"/>
                      <w:sz w:val="18"/>
                      <w:szCs w:val="18"/>
                      <w:highlight w:val="none"/>
                      <w:lang w:val="en-US" w:eastAsia="zh-CN"/>
                    </w:rPr>
                  </w:pPr>
                  <w:r>
                    <w:rPr>
                      <w:rFonts w:hint="eastAsia" w:ascii="Times New Roman" w:hAnsi="Times New Roman" w:eastAsia="宋体" w:cs="Times New Roman"/>
                      <w:color w:val="auto"/>
                      <w:sz w:val="18"/>
                      <w:szCs w:val="18"/>
                      <w:highlight w:val="none"/>
                    </w:rPr>
                    <w:t>PBS缓冲液</w:t>
                  </w:r>
                </w:p>
              </w:tc>
              <w:tc>
                <w:tcPr>
                  <w:tcW w:w="523" w:type="pct"/>
                  <w:tcBorders>
                    <w:top w:val="single" w:color="auto" w:sz="4" w:space="0"/>
                    <w:left w:val="single" w:color="auto" w:sz="4" w:space="0"/>
                    <w:bottom w:val="single" w:color="auto" w:sz="4" w:space="0"/>
                    <w:right w:val="single" w:color="auto" w:sz="4" w:space="0"/>
                  </w:tcBorders>
                  <w:vAlign w:val="center"/>
                </w:tcPr>
                <w:p w14:paraId="48898F6E">
                  <w:pPr>
                    <w:pStyle w:val="120"/>
                    <w:keepNext w:val="0"/>
                    <w:keepLines w:val="0"/>
                    <w:pageBreakBefore w:val="0"/>
                    <w:framePr w:hSpace="0" w:wrap="auto" w:vAnchor="margin" w:hAnchor="text" w:xAlign="left" w:yAlign="inline"/>
                    <w:suppressLineNumbers w:val="0"/>
                    <w:kinsoku/>
                    <w:wordWrap/>
                    <w:overflowPunct/>
                    <w:topLinePunct w:val="0"/>
                    <w:bidi w:val="0"/>
                    <w:adjustRightInd w:val="0"/>
                    <w:snapToGrid w:val="0"/>
                    <w:spacing w:before="0" w:beforeAutospacing="0" w:after="0" w:afterAutospacing="0" w:line="276" w:lineRule="auto"/>
                    <w:ind w:left="0" w:right="0"/>
                    <w:jc w:val="center"/>
                    <w:rPr>
                      <w:rFonts w:hint="default" w:ascii="Times New Roman" w:hAnsi="Times New Roman" w:eastAsia="宋体" w:cs="Times New Roman"/>
                      <w:color w:val="auto"/>
                      <w:sz w:val="18"/>
                      <w:szCs w:val="18"/>
                      <w:highlight w:val="none"/>
                      <w:lang w:val="en-US" w:eastAsia="zh-CN"/>
                    </w:rPr>
                  </w:pPr>
                  <w:r>
                    <w:rPr>
                      <w:rFonts w:hint="eastAsia" w:ascii="Times New Roman" w:hAnsi="Times New Roman" w:eastAsia="宋体" w:cs="Times New Roman"/>
                      <w:color w:val="auto"/>
                      <w:sz w:val="18"/>
                      <w:szCs w:val="18"/>
                      <w:highlight w:val="none"/>
                      <w:lang w:val="en-US" w:eastAsia="zh-CN"/>
                    </w:rPr>
                    <w:t>1</w:t>
                  </w:r>
                  <w:r>
                    <w:rPr>
                      <w:rFonts w:hint="eastAsia" w:ascii="Times New Roman" w:hAnsi="Times New Roman" w:eastAsia="宋体" w:cs="Times New Roman"/>
                      <w:color w:val="auto"/>
                      <w:sz w:val="18"/>
                      <w:szCs w:val="18"/>
                      <w:highlight w:val="none"/>
                    </w:rPr>
                    <w:t>0</w:t>
                  </w:r>
                  <w:r>
                    <w:rPr>
                      <w:rFonts w:hint="eastAsia" w:ascii="Times New Roman" w:hAnsi="Times New Roman" w:eastAsia="宋体" w:cs="Times New Roman"/>
                      <w:color w:val="auto"/>
                      <w:sz w:val="18"/>
                      <w:szCs w:val="18"/>
                      <w:highlight w:val="none"/>
                      <w:lang w:val="en-US" w:eastAsia="zh-CN"/>
                    </w:rPr>
                    <w:t>0</w:t>
                  </w:r>
                  <w:r>
                    <w:rPr>
                      <w:rFonts w:hint="eastAsia" w:ascii="Times New Roman" w:hAnsi="Times New Roman" w:eastAsia="宋体" w:cs="Times New Roman"/>
                      <w:color w:val="auto"/>
                      <w:sz w:val="18"/>
                      <w:szCs w:val="18"/>
                      <w:highlight w:val="none"/>
                    </w:rPr>
                    <w:t>L</w:t>
                  </w:r>
                </w:p>
              </w:tc>
              <w:tc>
                <w:tcPr>
                  <w:tcW w:w="1451" w:type="pct"/>
                  <w:tcBorders>
                    <w:top w:val="single" w:color="auto" w:sz="4" w:space="0"/>
                    <w:left w:val="single" w:color="auto" w:sz="4" w:space="0"/>
                    <w:bottom w:val="single" w:color="auto" w:sz="4" w:space="0"/>
                    <w:right w:val="single" w:color="auto" w:sz="4" w:space="0"/>
                  </w:tcBorders>
                  <w:vAlign w:val="center"/>
                </w:tcPr>
                <w:p w14:paraId="3AAFA0ED">
                  <w:pPr>
                    <w:pStyle w:val="120"/>
                    <w:keepNext w:val="0"/>
                    <w:keepLines w:val="0"/>
                    <w:pageBreakBefore w:val="0"/>
                    <w:framePr w:hSpace="0" w:wrap="auto" w:vAnchor="margin" w:hAnchor="text" w:xAlign="left" w:yAlign="inline"/>
                    <w:suppressLineNumbers w:val="0"/>
                    <w:kinsoku/>
                    <w:wordWrap/>
                    <w:overflowPunct/>
                    <w:topLinePunct w:val="0"/>
                    <w:bidi w:val="0"/>
                    <w:adjustRightInd w:val="0"/>
                    <w:snapToGrid w:val="0"/>
                    <w:spacing w:before="0" w:beforeAutospacing="0" w:after="0" w:afterAutospacing="0" w:line="276" w:lineRule="auto"/>
                    <w:ind w:left="0" w:right="0"/>
                    <w:jc w:val="center"/>
                    <w:rPr>
                      <w:rFonts w:hint="default" w:ascii="Times New Roman" w:hAnsi="Times New Roman" w:eastAsia="宋体" w:cs="Times New Roman"/>
                      <w:color w:val="auto"/>
                      <w:sz w:val="18"/>
                      <w:szCs w:val="18"/>
                      <w:highlight w:val="none"/>
                      <w:lang w:val="en-US" w:eastAsia="zh-CN"/>
                    </w:rPr>
                  </w:pPr>
                  <w:r>
                    <w:rPr>
                      <w:rFonts w:hint="eastAsia" w:ascii="Times New Roman" w:hAnsi="Times New Roman" w:eastAsia="宋体" w:cs="Times New Roman"/>
                      <w:color w:val="auto"/>
                      <w:sz w:val="18"/>
                      <w:szCs w:val="18"/>
                      <w:highlight w:val="none"/>
                    </w:rPr>
                    <w:t>500mL/瓶</w:t>
                  </w:r>
                </w:p>
              </w:tc>
              <w:tc>
                <w:tcPr>
                  <w:tcW w:w="586" w:type="pct"/>
                  <w:tcBorders>
                    <w:top w:val="single" w:color="auto" w:sz="4" w:space="0"/>
                    <w:left w:val="single" w:color="auto" w:sz="4" w:space="0"/>
                    <w:bottom w:val="single" w:color="auto" w:sz="4" w:space="0"/>
                    <w:right w:val="single" w:color="auto" w:sz="4" w:space="0"/>
                  </w:tcBorders>
                  <w:vAlign w:val="center"/>
                </w:tcPr>
                <w:p w14:paraId="00F9553E">
                  <w:pPr>
                    <w:pStyle w:val="120"/>
                    <w:keepNext w:val="0"/>
                    <w:keepLines w:val="0"/>
                    <w:pageBreakBefore w:val="0"/>
                    <w:framePr w:hSpace="0" w:wrap="auto" w:vAnchor="margin" w:hAnchor="text" w:xAlign="left" w:yAlign="inline"/>
                    <w:suppressLineNumbers w:val="0"/>
                    <w:kinsoku/>
                    <w:wordWrap/>
                    <w:overflowPunct/>
                    <w:topLinePunct w:val="0"/>
                    <w:bidi w:val="0"/>
                    <w:adjustRightInd w:val="0"/>
                    <w:snapToGrid w:val="0"/>
                    <w:spacing w:before="0" w:beforeAutospacing="0" w:after="0" w:afterAutospacing="0" w:line="276" w:lineRule="auto"/>
                    <w:ind w:left="0" w:right="0"/>
                    <w:jc w:val="center"/>
                    <w:rPr>
                      <w:rFonts w:hint="default" w:ascii="Times New Roman" w:hAnsi="Times New Roman" w:eastAsia="宋体" w:cs="Times New Roman"/>
                      <w:color w:val="auto"/>
                      <w:sz w:val="18"/>
                      <w:szCs w:val="18"/>
                      <w:highlight w:val="none"/>
                      <w:lang w:val="en-US" w:eastAsia="zh-CN"/>
                    </w:rPr>
                  </w:pPr>
                  <w:r>
                    <w:rPr>
                      <w:rFonts w:hint="eastAsia" w:ascii="Times New Roman" w:hAnsi="Times New Roman" w:eastAsia="宋体" w:cs="Times New Roman"/>
                      <w:color w:val="auto"/>
                      <w:sz w:val="18"/>
                      <w:szCs w:val="18"/>
                      <w:highlight w:val="none"/>
                      <w:lang w:val="en-US" w:eastAsia="zh-CN"/>
                    </w:rPr>
                    <w:t>1</w:t>
                  </w:r>
                  <w:r>
                    <w:rPr>
                      <w:rFonts w:hint="eastAsia" w:ascii="Times New Roman" w:hAnsi="Times New Roman" w:eastAsia="宋体" w:cs="Times New Roman"/>
                      <w:color w:val="auto"/>
                      <w:sz w:val="18"/>
                      <w:szCs w:val="18"/>
                      <w:highlight w:val="none"/>
                    </w:rPr>
                    <w:t>0L</w:t>
                  </w:r>
                </w:p>
              </w:tc>
              <w:tc>
                <w:tcPr>
                  <w:tcW w:w="368" w:type="pct"/>
                  <w:tcBorders>
                    <w:top w:val="single" w:color="auto" w:sz="4" w:space="0"/>
                    <w:left w:val="single" w:color="auto" w:sz="4" w:space="0"/>
                    <w:bottom w:val="single" w:color="auto" w:sz="4" w:space="0"/>
                    <w:right w:val="single" w:color="auto" w:sz="4" w:space="0"/>
                  </w:tcBorders>
                  <w:vAlign w:val="center"/>
                </w:tcPr>
                <w:p w14:paraId="0FBBB13C">
                  <w:pPr>
                    <w:keepNext w:val="0"/>
                    <w:keepLines w:val="0"/>
                    <w:pageBreakBefore w:val="0"/>
                    <w:suppressLineNumbers w:val="0"/>
                    <w:kinsoku/>
                    <w:wordWrap/>
                    <w:overflowPunct/>
                    <w:topLinePunct w:val="0"/>
                    <w:bidi w:val="0"/>
                    <w:adjustRightInd w:val="0"/>
                    <w:snapToGrid w:val="0"/>
                    <w:spacing w:before="0" w:beforeAutospacing="0" w:after="0" w:afterAutospacing="0" w:line="276" w:lineRule="auto"/>
                    <w:ind w:left="0" w:right="0"/>
                    <w:jc w:val="center"/>
                    <w:rPr>
                      <w:rFonts w:hint="eastAsia" w:ascii="Times New Roman" w:hAnsi="Times New Roman" w:eastAsia="宋体" w:cs="Times New Roman"/>
                      <w:color w:val="auto"/>
                      <w:sz w:val="18"/>
                      <w:szCs w:val="18"/>
                      <w:highlight w:val="none"/>
                      <w:lang w:val="en-US" w:eastAsia="zh-CN"/>
                    </w:rPr>
                  </w:pPr>
                  <w:r>
                    <w:rPr>
                      <w:rFonts w:hint="eastAsia" w:ascii="Times New Roman" w:hAnsi="Times New Roman" w:eastAsia="宋体" w:cs="Times New Roman"/>
                      <w:color w:val="auto"/>
                      <w:sz w:val="18"/>
                      <w:szCs w:val="18"/>
                      <w:highlight w:val="none"/>
                      <w:lang w:eastAsia="zh-CN"/>
                    </w:rPr>
                    <w:t>液态</w:t>
                  </w:r>
                </w:p>
              </w:tc>
              <w:tc>
                <w:tcPr>
                  <w:tcW w:w="892" w:type="pct"/>
                  <w:vMerge w:val="restart"/>
                  <w:tcBorders>
                    <w:left w:val="single" w:color="auto" w:sz="4" w:space="0"/>
                    <w:right w:val="single" w:color="auto" w:sz="4" w:space="0"/>
                  </w:tcBorders>
                  <w:vAlign w:val="center"/>
                </w:tcPr>
                <w:p w14:paraId="5FFA5FA8">
                  <w:pPr>
                    <w:pStyle w:val="120"/>
                    <w:keepNext w:val="0"/>
                    <w:keepLines w:val="0"/>
                    <w:pageBreakBefore w:val="0"/>
                    <w:framePr w:hSpace="0" w:wrap="auto" w:vAnchor="margin" w:hAnchor="text" w:xAlign="left" w:yAlign="inline"/>
                    <w:suppressLineNumbers w:val="0"/>
                    <w:kinsoku/>
                    <w:wordWrap/>
                    <w:overflowPunct/>
                    <w:topLinePunct w:val="0"/>
                    <w:bidi w:val="0"/>
                    <w:adjustRightInd w:val="0"/>
                    <w:snapToGrid w:val="0"/>
                    <w:spacing w:before="0" w:beforeAutospacing="0" w:after="0" w:afterAutospacing="0" w:line="276" w:lineRule="auto"/>
                    <w:ind w:left="0" w:right="0"/>
                    <w:jc w:val="center"/>
                    <w:rPr>
                      <w:rFonts w:hint="eastAsia" w:ascii="Times New Roman" w:hAnsi="Times New Roman" w:eastAsia="宋体" w:cs="Times New Roman"/>
                      <w:color w:val="auto"/>
                      <w:sz w:val="18"/>
                      <w:szCs w:val="18"/>
                      <w:highlight w:val="none"/>
                      <w:lang w:eastAsia="zh-CN"/>
                    </w:rPr>
                  </w:pPr>
                  <w:r>
                    <w:rPr>
                      <w:rFonts w:hint="eastAsia" w:ascii="Times New Roman" w:hAnsi="Times New Roman" w:eastAsia="宋体" w:cs="Times New Roman"/>
                      <w:color w:val="auto"/>
                      <w:sz w:val="18"/>
                      <w:szCs w:val="18"/>
                      <w:highlight w:val="none"/>
                      <w:lang w:eastAsia="zh-CN"/>
                    </w:rPr>
                    <w:t>细胞培养</w:t>
                  </w:r>
                </w:p>
              </w:tc>
            </w:tr>
            <w:tr w14:paraId="4F51C41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7" w:type="dxa"/>
                  <w:bottom w:w="0" w:type="dxa"/>
                  <w:right w:w="17" w:type="dxa"/>
                </w:tblCellMar>
              </w:tblPrEx>
              <w:trPr>
                <w:trHeight w:val="0" w:hRule="atLeast"/>
                <w:jc w:val="center"/>
              </w:trPr>
              <w:tc>
                <w:tcPr>
                  <w:tcW w:w="283" w:type="pct"/>
                  <w:tcBorders>
                    <w:top w:val="single" w:color="auto" w:sz="4" w:space="0"/>
                    <w:left w:val="single" w:color="auto" w:sz="4" w:space="0"/>
                    <w:bottom w:val="single" w:color="auto" w:sz="4" w:space="0"/>
                    <w:right w:val="single" w:color="auto" w:sz="4" w:space="0"/>
                  </w:tcBorders>
                  <w:vAlign w:val="center"/>
                </w:tcPr>
                <w:p w14:paraId="775FC18C">
                  <w:pPr>
                    <w:keepNext w:val="0"/>
                    <w:keepLines w:val="0"/>
                    <w:pageBreakBefore w:val="0"/>
                    <w:suppressLineNumbers w:val="0"/>
                    <w:kinsoku/>
                    <w:wordWrap/>
                    <w:overflowPunct/>
                    <w:topLinePunct w:val="0"/>
                    <w:bidi w:val="0"/>
                    <w:adjustRightInd w:val="0"/>
                    <w:snapToGrid w:val="0"/>
                    <w:spacing w:before="0" w:beforeAutospacing="0" w:after="0" w:afterAutospacing="0" w:line="276" w:lineRule="auto"/>
                    <w:ind w:left="0" w:right="0"/>
                    <w:jc w:val="center"/>
                    <w:rPr>
                      <w:rFonts w:hint="eastAsia" w:cs="Times New Roman"/>
                      <w:kern w:val="2"/>
                      <w:sz w:val="18"/>
                      <w:szCs w:val="18"/>
                      <w:highlight w:val="none"/>
                      <w:lang w:val="en-US" w:eastAsia="zh-CN" w:bidi="ar-SA"/>
                    </w:rPr>
                  </w:pPr>
                  <w:r>
                    <w:rPr>
                      <w:rFonts w:hint="eastAsia" w:cs="Times New Roman"/>
                      <w:kern w:val="2"/>
                      <w:sz w:val="18"/>
                      <w:szCs w:val="18"/>
                      <w:highlight w:val="none"/>
                      <w:lang w:val="en-US" w:eastAsia="zh-CN" w:bidi="ar-SA"/>
                    </w:rPr>
                    <w:t>44</w:t>
                  </w:r>
                </w:p>
              </w:tc>
              <w:tc>
                <w:tcPr>
                  <w:tcW w:w="894" w:type="pct"/>
                  <w:tcBorders>
                    <w:top w:val="single" w:color="auto" w:sz="4" w:space="0"/>
                    <w:left w:val="single" w:color="auto" w:sz="4" w:space="0"/>
                    <w:bottom w:val="single" w:color="auto" w:sz="4" w:space="0"/>
                    <w:right w:val="single" w:color="auto" w:sz="4" w:space="0"/>
                  </w:tcBorders>
                  <w:vAlign w:val="center"/>
                </w:tcPr>
                <w:p w14:paraId="1B57011A">
                  <w:pPr>
                    <w:pStyle w:val="120"/>
                    <w:keepNext w:val="0"/>
                    <w:keepLines w:val="0"/>
                    <w:pageBreakBefore w:val="0"/>
                    <w:framePr w:hSpace="0" w:wrap="auto" w:vAnchor="margin" w:hAnchor="text" w:xAlign="left" w:yAlign="inline"/>
                    <w:suppressLineNumbers w:val="0"/>
                    <w:kinsoku/>
                    <w:wordWrap/>
                    <w:overflowPunct/>
                    <w:topLinePunct w:val="0"/>
                    <w:bidi w:val="0"/>
                    <w:adjustRightInd w:val="0"/>
                    <w:snapToGrid w:val="0"/>
                    <w:spacing w:before="0" w:beforeAutospacing="0" w:after="0" w:afterAutospacing="0" w:line="276" w:lineRule="auto"/>
                    <w:ind w:left="0" w:right="0"/>
                    <w:jc w:val="center"/>
                    <w:rPr>
                      <w:rFonts w:hint="eastAsia" w:ascii="Times New Roman" w:hAnsi="Times New Roman" w:eastAsia="宋体" w:cs="Times New Roman"/>
                      <w:color w:val="auto"/>
                      <w:sz w:val="18"/>
                      <w:szCs w:val="18"/>
                      <w:highlight w:val="none"/>
                      <w:lang w:val="en-US" w:eastAsia="zh-CN"/>
                    </w:rPr>
                  </w:pPr>
                  <w:r>
                    <w:rPr>
                      <w:rFonts w:hint="eastAsia" w:ascii="Times New Roman" w:hAnsi="Times New Roman" w:eastAsia="宋体" w:cs="Times New Roman"/>
                      <w:color w:val="auto"/>
                      <w:sz w:val="18"/>
                      <w:szCs w:val="18"/>
                      <w:highlight w:val="none"/>
                    </w:rPr>
                    <w:t>胰酶</w:t>
                  </w:r>
                </w:p>
              </w:tc>
              <w:tc>
                <w:tcPr>
                  <w:tcW w:w="523" w:type="pct"/>
                  <w:tcBorders>
                    <w:top w:val="single" w:color="auto" w:sz="4" w:space="0"/>
                    <w:left w:val="single" w:color="auto" w:sz="4" w:space="0"/>
                    <w:bottom w:val="single" w:color="auto" w:sz="4" w:space="0"/>
                    <w:right w:val="single" w:color="auto" w:sz="4" w:space="0"/>
                  </w:tcBorders>
                  <w:vAlign w:val="center"/>
                </w:tcPr>
                <w:p w14:paraId="3E54D658">
                  <w:pPr>
                    <w:keepNext w:val="0"/>
                    <w:keepLines w:val="0"/>
                    <w:pageBreakBefore w:val="0"/>
                    <w:suppressLineNumbers w:val="0"/>
                    <w:kinsoku/>
                    <w:wordWrap/>
                    <w:overflowPunct/>
                    <w:topLinePunct w:val="0"/>
                    <w:bidi w:val="0"/>
                    <w:adjustRightInd w:val="0"/>
                    <w:snapToGrid w:val="0"/>
                    <w:spacing w:before="0" w:beforeAutospacing="0" w:after="0" w:afterAutospacing="0" w:line="276" w:lineRule="auto"/>
                    <w:ind w:left="0" w:right="0"/>
                    <w:jc w:val="center"/>
                    <w:rPr>
                      <w:rFonts w:hint="default" w:ascii="Times New Roman" w:hAnsi="Times New Roman" w:eastAsia="宋体" w:cs="Times New Roman"/>
                      <w:color w:val="auto"/>
                      <w:sz w:val="18"/>
                      <w:szCs w:val="18"/>
                      <w:highlight w:val="none"/>
                      <w:lang w:val="en-US" w:eastAsia="zh-CN"/>
                    </w:rPr>
                  </w:pPr>
                  <w:r>
                    <w:rPr>
                      <w:rFonts w:hint="eastAsia" w:ascii="Times New Roman" w:hAnsi="Times New Roman" w:eastAsia="宋体" w:cs="Times New Roman"/>
                      <w:color w:val="auto"/>
                      <w:sz w:val="18"/>
                      <w:szCs w:val="18"/>
                      <w:highlight w:val="none"/>
                      <w:lang w:val="en-US" w:eastAsia="zh-CN"/>
                    </w:rPr>
                    <w:t>1</w:t>
                  </w:r>
                  <w:r>
                    <w:rPr>
                      <w:rFonts w:hint="eastAsia" w:ascii="Times New Roman" w:hAnsi="Times New Roman" w:eastAsia="宋体" w:cs="Times New Roman"/>
                      <w:color w:val="auto"/>
                      <w:sz w:val="18"/>
                      <w:szCs w:val="18"/>
                      <w:highlight w:val="none"/>
                    </w:rPr>
                    <w:t>0</w:t>
                  </w:r>
                  <w:r>
                    <w:rPr>
                      <w:rFonts w:hint="eastAsia" w:ascii="Times New Roman" w:hAnsi="Times New Roman" w:eastAsia="宋体" w:cs="Times New Roman"/>
                      <w:color w:val="auto"/>
                      <w:sz w:val="18"/>
                      <w:szCs w:val="18"/>
                      <w:highlight w:val="none"/>
                      <w:lang w:val="en-US" w:eastAsia="zh-CN"/>
                    </w:rPr>
                    <w:t>0</w:t>
                  </w:r>
                  <w:r>
                    <w:rPr>
                      <w:rFonts w:hint="eastAsia" w:ascii="Times New Roman" w:hAnsi="Times New Roman" w:eastAsia="宋体" w:cs="Times New Roman"/>
                      <w:color w:val="auto"/>
                      <w:sz w:val="18"/>
                      <w:szCs w:val="18"/>
                      <w:highlight w:val="none"/>
                    </w:rPr>
                    <w:t>L</w:t>
                  </w:r>
                </w:p>
              </w:tc>
              <w:tc>
                <w:tcPr>
                  <w:tcW w:w="1451" w:type="pct"/>
                  <w:tcBorders>
                    <w:top w:val="single" w:color="auto" w:sz="4" w:space="0"/>
                    <w:left w:val="single" w:color="auto" w:sz="4" w:space="0"/>
                    <w:bottom w:val="single" w:color="auto" w:sz="4" w:space="0"/>
                    <w:right w:val="single" w:color="auto" w:sz="4" w:space="0"/>
                  </w:tcBorders>
                  <w:vAlign w:val="center"/>
                </w:tcPr>
                <w:p w14:paraId="6124BE32">
                  <w:pPr>
                    <w:pStyle w:val="120"/>
                    <w:keepNext w:val="0"/>
                    <w:keepLines w:val="0"/>
                    <w:pageBreakBefore w:val="0"/>
                    <w:framePr w:hSpace="0" w:wrap="auto" w:vAnchor="margin" w:hAnchor="text" w:xAlign="left" w:yAlign="inline"/>
                    <w:suppressLineNumbers w:val="0"/>
                    <w:kinsoku/>
                    <w:wordWrap/>
                    <w:overflowPunct/>
                    <w:topLinePunct w:val="0"/>
                    <w:bidi w:val="0"/>
                    <w:adjustRightInd w:val="0"/>
                    <w:snapToGrid w:val="0"/>
                    <w:spacing w:before="0" w:beforeAutospacing="0" w:after="0" w:afterAutospacing="0" w:line="276" w:lineRule="auto"/>
                    <w:ind w:left="0" w:right="0"/>
                    <w:jc w:val="center"/>
                    <w:rPr>
                      <w:rFonts w:hint="default" w:ascii="Times New Roman" w:hAnsi="Times New Roman" w:eastAsia="宋体" w:cs="Times New Roman"/>
                      <w:color w:val="auto"/>
                      <w:sz w:val="18"/>
                      <w:szCs w:val="18"/>
                      <w:highlight w:val="none"/>
                      <w:lang w:val="en-US" w:eastAsia="zh-CN"/>
                    </w:rPr>
                  </w:pPr>
                  <w:r>
                    <w:rPr>
                      <w:rFonts w:hint="eastAsia" w:ascii="Times New Roman" w:hAnsi="Times New Roman" w:eastAsia="宋体" w:cs="Times New Roman"/>
                      <w:color w:val="auto"/>
                      <w:sz w:val="18"/>
                      <w:szCs w:val="18"/>
                      <w:highlight w:val="none"/>
                    </w:rPr>
                    <w:t>500mL/瓶</w:t>
                  </w:r>
                </w:p>
              </w:tc>
              <w:tc>
                <w:tcPr>
                  <w:tcW w:w="586" w:type="pct"/>
                  <w:tcBorders>
                    <w:top w:val="single" w:color="auto" w:sz="4" w:space="0"/>
                    <w:left w:val="single" w:color="auto" w:sz="4" w:space="0"/>
                    <w:bottom w:val="single" w:color="auto" w:sz="4" w:space="0"/>
                    <w:right w:val="single" w:color="auto" w:sz="4" w:space="0"/>
                  </w:tcBorders>
                  <w:vAlign w:val="center"/>
                </w:tcPr>
                <w:p w14:paraId="58C05F16">
                  <w:pPr>
                    <w:keepNext w:val="0"/>
                    <w:keepLines w:val="0"/>
                    <w:pageBreakBefore w:val="0"/>
                    <w:suppressLineNumbers w:val="0"/>
                    <w:kinsoku/>
                    <w:wordWrap/>
                    <w:overflowPunct/>
                    <w:topLinePunct w:val="0"/>
                    <w:bidi w:val="0"/>
                    <w:adjustRightInd w:val="0"/>
                    <w:snapToGrid w:val="0"/>
                    <w:spacing w:before="0" w:beforeAutospacing="0" w:after="0" w:afterAutospacing="0" w:line="276" w:lineRule="auto"/>
                    <w:ind w:left="0" w:right="0"/>
                    <w:jc w:val="center"/>
                    <w:rPr>
                      <w:rFonts w:hint="default" w:ascii="Times New Roman" w:hAnsi="Times New Roman" w:eastAsia="宋体" w:cs="Times New Roman"/>
                      <w:color w:val="auto"/>
                      <w:sz w:val="18"/>
                      <w:szCs w:val="18"/>
                      <w:highlight w:val="none"/>
                      <w:lang w:val="en-US" w:eastAsia="zh-CN"/>
                    </w:rPr>
                  </w:pPr>
                  <w:r>
                    <w:rPr>
                      <w:rFonts w:hint="eastAsia" w:ascii="Times New Roman" w:hAnsi="Times New Roman" w:eastAsia="宋体" w:cs="Times New Roman"/>
                      <w:color w:val="auto"/>
                      <w:sz w:val="18"/>
                      <w:szCs w:val="18"/>
                      <w:highlight w:val="none"/>
                      <w:lang w:val="en-US" w:eastAsia="zh-CN"/>
                    </w:rPr>
                    <w:t>1</w:t>
                  </w:r>
                  <w:r>
                    <w:rPr>
                      <w:rFonts w:hint="eastAsia" w:ascii="Times New Roman" w:hAnsi="Times New Roman" w:eastAsia="宋体" w:cs="Times New Roman"/>
                      <w:color w:val="auto"/>
                      <w:sz w:val="18"/>
                      <w:szCs w:val="18"/>
                      <w:highlight w:val="none"/>
                    </w:rPr>
                    <w:t>0L</w:t>
                  </w:r>
                </w:p>
              </w:tc>
              <w:tc>
                <w:tcPr>
                  <w:tcW w:w="368" w:type="pct"/>
                  <w:tcBorders>
                    <w:top w:val="single" w:color="auto" w:sz="4" w:space="0"/>
                    <w:left w:val="single" w:color="auto" w:sz="4" w:space="0"/>
                    <w:bottom w:val="single" w:color="auto" w:sz="4" w:space="0"/>
                    <w:right w:val="single" w:color="auto" w:sz="4" w:space="0"/>
                  </w:tcBorders>
                  <w:vAlign w:val="center"/>
                </w:tcPr>
                <w:p w14:paraId="78D5F847">
                  <w:pPr>
                    <w:keepNext w:val="0"/>
                    <w:keepLines w:val="0"/>
                    <w:pageBreakBefore w:val="0"/>
                    <w:suppressLineNumbers w:val="0"/>
                    <w:kinsoku/>
                    <w:wordWrap/>
                    <w:overflowPunct/>
                    <w:topLinePunct w:val="0"/>
                    <w:bidi w:val="0"/>
                    <w:adjustRightInd w:val="0"/>
                    <w:snapToGrid w:val="0"/>
                    <w:spacing w:before="0" w:beforeAutospacing="0" w:after="0" w:afterAutospacing="0" w:line="276" w:lineRule="auto"/>
                    <w:ind w:left="0" w:right="0"/>
                    <w:jc w:val="center"/>
                    <w:rPr>
                      <w:rFonts w:hint="eastAsia" w:ascii="Times New Roman" w:hAnsi="Times New Roman" w:eastAsia="宋体" w:cs="Times New Roman"/>
                      <w:color w:val="auto"/>
                      <w:sz w:val="18"/>
                      <w:szCs w:val="18"/>
                      <w:highlight w:val="none"/>
                      <w:lang w:val="en-US" w:eastAsia="zh-CN"/>
                    </w:rPr>
                  </w:pPr>
                  <w:r>
                    <w:rPr>
                      <w:rFonts w:hint="eastAsia" w:ascii="Times New Roman" w:hAnsi="Times New Roman" w:eastAsia="宋体" w:cs="Times New Roman"/>
                      <w:color w:val="auto"/>
                      <w:sz w:val="18"/>
                      <w:szCs w:val="18"/>
                      <w:highlight w:val="none"/>
                      <w:lang w:eastAsia="zh-CN"/>
                    </w:rPr>
                    <w:t>液态</w:t>
                  </w:r>
                </w:p>
              </w:tc>
              <w:tc>
                <w:tcPr>
                  <w:tcW w:w="892" w:type="pct"/>
                  <w:vMerge w:val="continue"/>
                  <w:tcBorders>
                    <w:left w:val="single" w:color="auto" w:sz="4" w:space="0"/>
                    <w:right w:val="single" w:color="auto" w:sz="4" w:space="0"/>
                  </w:tcBorders>
                  <w:vAlign w:val="center"/>
                </w:tcPr>
                <w:p w14:paraId="47420671">
                  <w:pPr>
                    <w:pStyle w:val="120"/>
                    <w:keepNext w:val="0"/>
                    <w:keepLines w:val="0"/>
                    <w:pageBreakBefore w:val="0"/>
                    <w:framePr w:hSpace="0" w:wrap="auto" w:vAnchor="margin" w:hAnchor="text" w:xAlign="left" w:yAlign="inline"/>
                    <w:suppressLineNumbers w:val="0"/>
                    <w:kinsoku/>
                    <w:wordWrap/>
                    <w:overflowPunct/>
                    <w:topLinePunct w:val="0"/>
                    <w:bidi w:val="0"/>
                    <w:adjustRightInd w:val="0"/>
                    <w:snapToGrid w:val="0"/>
                    <w:spacing w:before="0" w:beforeAutospacing="0" w:after="0" w:afterAutospacing="0" w:line="276" w:lineRule="auto"/>
                    <w:ind w:left="0" w:right="0"/>
                    <w:jc w:val="center"/>
                    <w:rPr>
                      <w:rFonts w:hint="eastAsia" w:ascii="Times New Roman" w:hAnsi="Times New Roman" w:eastAsia="宋体" w:cs="Times New Roman"/>
                      <w:color w:val="auto"/>
                      <w:sz w:val="18"/>
                      <w:szCs w:val="18"/>
                      <w:highlight w:val="none"/>
                      <w:lang w:eastAsia="zh-CN"/>
                    </w:rPr>
                  </w:pPr>
                </w:p>
              </w:tc>
            </w:tr>
            <w:tr w14:paraId="29B2100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7" w:type="dxa"/>
                  <w:bottom w:w="0" w:type="dxa"/>
                  <w:right w:w="17" w:type="dxa"/>
                </w:tblCellMar>
              </w:tblPrEx>
              <w:trPr>
                <w:trHeight w:val="0" w:hRule="atLeast"/>
                <w:jc w:val="center"/>
              </w:trPr>
              <w:tc>
                <w:tcPr>
                  <w:tcW w:w="283" w:type="pct"/>
                  <w:tcBorders>
                    <w:top w:val="single" w:color="auto" w:sz="4" w:space="0"/>
                    <w:left w:val="single" w:color="auto" w:sz="4" w:space="0"/>
                    <w:bottom w:val="single" w:color="auto" w:sz="4" w:space="0"/>
                    <w:right w:val="single" w:color="auto" w:sz="4" w:space="0"/>
                  </w:tcBorders>
                  <w:vAlign w:val="center"/>
                </w:tcPr>
                <w:p w14:paraId="1F2C18F4">
                  <w:pPr>
                    <w:keepNext w:val="0"/>
                    <w:keepLines w:val="0"/>
                    <w:pageBreakBefore w:val="0"/>
                    <w:suppressLineNumbers w:val="0"/>
                    <w:kinsoku/>
                    <w:wordWrap/>
                    <w:overflowPunct/>
                    <w:topLinePunct w:val="0"/>
                    <w:bidi w:val="0"/>
                    <w:adjustRightInd w:val="0"/>
                    <w:snapToGrid w:val="0"/>
                    <w:spacing w:before="0" w:beforeAutospacing="0" w:after="0" w:afterAutospacing="0" w:line="276" w:lineRule="auto"/>
                    <w:ind w:left="0" w:right="0"/>
                    <w:jc w:val="center"/>
                    <w:rPr>
                      <w:rFonts w:hint="eastAsia" w:cs="Times New Roman"/>
                      <w:kern w:val="2"/>
                      <w:sz w:val="18"/>
                      <w:szCs w:val="18"/>
                      <w:highlight w:val="none"/>
                      <w:lang w:val="en-US" w:eastAsia="zh-CN" w:bidi="ar-SA"/>
                    </w:rPr>
                  </w:pPr>
                  <w:r>
                    <w:rPr>
                      <w:rFonts w:hint="eastAsia" w:cs="Times New Roman"/>
                      <w:kern w:val="2"/>
                      <w:sz w:val="18"/>
                      <w:szCs w:val="18"/>
                      <w:highlight w:val="none"/>
                      <w:lang w:val="en-US" w:eastAsia="zh-CN" w:bidi="ar-SA"/>
                    </w:rPr>
                    <w:t>45</w:t>
                  </w:r>
                </w:p>
              </w:tc>
              <w:tc>
                <w:tcPr>
                  <w:tcW w:w="894" w:type="pct"/>
                  <w:tcBorders>
                    <w:top w:val="single" w:color="auto" w:sz="4" w:space="0"/>
                    <w:left w:val="single" w:color="auto" w:sz="4" w:space="0"/>
                    <w:bottom w:val="single" w:color="auto" w:sz="4" w:space="0"/>
                    <w:right w:val="single" w:color="auto" w:sz="4" w:space="0"/>
                  </w:tcBorders>
                  <w:vAlign w:val="center"/>
                </w:tcPr>
                <w:p w14:paraId="2CE3A1C9">
                  <w:pPr>
                    <w:pStyle w:val="120"/>
                    <w:keepNext w:val="0"/>
                    <w:keepLines w:val="0"/>
                    <w:pageBreakBefore w:val="0"/>
                    <w:framePr w:hSpace="0" w:wrap="auto" w:vAnchor="margin" w:hAnchor="text" w:xAlign="left" w:yAlign="inline"/>
                    <w:suppressLineNumbers w:val="0"/>
                    <w:kinsoku/>
                    <w:wordWrap/>
                    <w:overflowPunct/>
                    <w:topLinePunct w:val="0"/>
                    <w:bidi w:val="0"/>
                    <w:adjustRightInd w:val="0"/>
                    <w:snapToGrid w:val="0"/>
                    <w:spacing w:before="0" w:beforeAutospacing="0" w:after="0" w:afterAutospacing="0" w:line="276" w:lineRule="auto"/>
                    <w:ind w:left="0" w:right="0"/>
                    <w:jc w:val="center"/>
                    <w:rPr>
                      <w:rFonts w:hint="eastAsia" w:ascii="Times New Roman" w:hAnsi="Times New Roman" w:eastAsia="宋体" w:cs="Times New Roman"/>
                      <w:color w:val="auto"/>
                      <w:sz w:val="18"/>
                      <w:szCs w:val="18"/>
                      <w:highlight w:val="none"/>
                      <w:lang w:val="en-US" w:eastAsia="zh-CN"/>
                    </w:rPr>
                  </w:pPr>
                  <w:r>
                    <w:rPr>
                      <w:rFonts w:hint="eastAsia" w:ascii="Times New Roman" w:hAnsi="Times New Roman" w:eastAsia="宋体" w:cs="Times New Roman"/>
                      <w:color w:val="auto"/>
                      <w:sz w:val="18"/>
                      <w:szCs w:val="18"/>
                      <w:highlight w:val="none"/>
                    </w:rPr>
                    <w:t>细胞培养基</w:t>
                  </w:r>
                </w:p>
              </w:tc>
              <w:tc>
                <w:tcPr>
                  <w:tcW w:w="523" w:type="pct"/>
                  <w:tcBorders>
                    <w:top w:val="single" w:color="auto" w:sz="4" w:space="0"/>
                    <w:left w:val="single" w:color="auto" w:sz="4" w:space="0"/>
                    <w:bottom w:val="single" w:color="auto" w:sz="4" w:space="0"/>
                    <w:right w:val="single" w:color="auto" w:sz="4" w:space="0"/>
                  </w:tcBorders>
                  <w:vAlign w:val="center"/>
                </w:tcPr>
                <w:p w14:paraId="196A243C">
                  <w:pPr>
                    <w:keepNext w:val="0"/>
                    <w:keepLines w:val="0"/>
                    <w:pageBreakBefore w:val="0"/>
                    <w:suppressLineNumbers w:val="0"/>
                    <w:kinsoku/>
                    <w:wordWrap/>
                    <w:overflowPunct/>
                    <w:topLinePunct w:val="0"/>
                    <w:bidi w:val="0"/>
                    <w:adjustRightInd w:val="0"/>
                    <w:snapToGrid w:val="0"/>
                    <w:spacing w:before="0" w:beforeAutospacing="0" w:after="0" w:afterAutospacing="0" w:line="276" w:lineRule="auto"/>
                    <w:ind w:left="0" w:right="0"/>
                    <w:jc w:val="center"/>
                    <w:rPr>
                      <w:rFonts w:hint="default" w:ascii="Times New Roman" w:hAnsi="Times New Roman" w:eastAsia="宋体" w:cs="Times New Roman"/>
                      <w:color w:val="auto"/>
                      <w:sz w:val="18"/>
                      <w:szCs w:val="18"/>
                      <w:highlight w:val="none"/>
                      <w:lang w:val="en-US" w:eastAsia="zh-CN"/>
                    </w:rPr>
                  </w:pPr>
                  <w:r>
                    <w:rPr>
                      <w:rFonts w:hint="eastAsia" w:ascii="Times New Roman" w:hAnsi="Times New Roman" w:eastAsia="宋体" w:cs="Times New Roman"/>
                      <w:color w:val="auto"/>
                      <w:sz w:val="18"/>
                      <w:szCs w:val="18"/>
                      <w:highlight w:val="none"/>
                      <w:lang w:val="en-US" w:eastAsia="zh-CN"/>
                    </w:rPr>
                    <w:t>1</w:t>
                  </w:r>
                  <w:r>
                    <w:rPr>
                      <w:rFonts w:hint="eastAsia" w:ascii="Times New Roman" w:hAnsi="Times New Roman" w:eastAsia="宋体" w:cs="Times New Roman"/>
                      <w:color w:val="auto"/>
                      <w:sz w:val="18"/>
                      <w:szCs w:val="18"/>
                      <w:highlight w:val="none"/>
                    </w:rPr>
                    <w:t>0</w:t>
                  </w:r>
                  <w:r>
                    <w:rPr>
                      <w:rFonts w:hint="eastAsia" w:cs="Times New Roman"/>
                      <w:color w:val="auto"/>
                      <w:sz w:val="18"/>
                      <w:szCs w:val="18"/>
                      <w:highlight w:val="none"/>
                      <w:lang w:val="en-US" w:eastAsia="zh-CN"/>
                    </w:rPr>
                    <w:t>0</w:t>
                  </w:r>
                  <w:r>
                    <w:rPr>
                      <w:rFonts w:hint="eastAsia" w:ascii="Times New Roman" w:hAnsi="Times New Roman" w:eastAsia="宋体" w:cs="Times New Roman"/>
                      <w:color w:val="auto"/>
                      <w:sz w:val="18"/>
                      <w:szCs w:val="18"/>
                      <w:highlight w:val="none"/>
                    </w:rPr>
                    <w:t>L</w:t>
                  </w:r>
                </w:p>
              </w:tc>
              <w:tc>
                <w:tcPr>
                  <w:tcW w:w="1451" w:type="pct"/>
                  <w:tcBorders>
                    <w:top w:val="single" w:color="auto" w:sz="4" w:space="0"/>
                    <w:left w:val="single" w:color="auto" w:sz="4" w:space="0"/>
                    <w:bottom w:val="single" w:color="auto" w:sz="4" w:space="0"/>
                    <w:right w:val="single" w:color="auto" w:sz="4" w:space="0"/>
                  </w:tcBorders>
                  <w:vAlign w:val="center"/>
                </w:tcPr>
                <w:p w14:paraId="50D7906C">
                  <w:pPr>
                    <w:pStyle w:val="120"/>
                    <w:keepNext w:val="0"/>
                    <w:keepLines w:val="0"/>
                    <w:pageBreakBefore w:val="0"/>
                    <w:framePr w:hSpace="0" w:wrap="auto" w:vAnchor="margin" w:hAnchor="text" w:xAlign="left" w:yAlign="inline"/>
                    <w:suppressLineNumbers w:val="0"/>
                    <w:kinsoku/>
                    <w:wordWrap/>
                    <w:overflowPunct/>
                    <w:topLinePunct w:val="0"/>
                    <w:bidi w:val="0"/>
                    <w:adjustRightInd w:val="0"/>
                    <w:snapToGrid w:val="0"/>
                    <w:spacing w:before="0" w:beforeAutospacing="0" w:after="0" w:afterAutospacing="0" w:line="276" w:lineRule="auto"/>
                    <w:ind w:left="0" w:right="0"/>
                    <w:jc w:val="center"/>
                    <w:rPr>
                      <w:rFonts w:hint="default" w:ascii="Times New Roman" w:hAnsi="Times New Roman" w:eastAsia="宋体" w:cs="Times New Roman"/>
                      <w:color w:val="auto"/>
                      <w:sz w:val="18"/>
                      <w:szCs w:val="18"/>
                      <w:highlight w:val="none"/>
                      <w:lang w:val="en-US" w:eastAsia="zh-CN"/>
                    </w:rPr>
                  </w:pPr>
                  <w:r>
                    <w:rPr>
                      <w:rFonts w:hint="eastAsia" w:ascii="Times New Roman" w:hAnsi="Times New Roman" w:eastAsia="宋体" w:cs="Times New Roman"/>
                      <w:color w:val="auto"/>
                      <w:sz w:val="18"/>
                      <w:szCs w:val="18"/>
                      <w:highlight w:val="none"/>
                    </w:rPr>
                    <w:t>500mL/瓶</w:t>
                  </w:r>
                </w:p>
              </w:tc>
              <w:tc>
                <w:tcPr>
                  <w:tcW w:w="586" w:type="pct"/>
                  <w:tcBorders>
                    <w:top w:val="single" w:color="auto" w:sz="4" w:space="0"/>
                    <w:left w:val="single" w:color="auto" w:sz="4" w:space="0"/>
                    <w:bottom w:val="single" w:color="auto" w:sz="4" w:space="0"/>
                    <w:right w:val="single" w:color="auto" w:sz="4" w:space="0"/>
                  </w:tcBorders>
                  <w:vAlign w:val="center"/>
                </w:tcPr>
                <w:p w14:paraId="23E382EC">
                  <w:pPr>
                    <w:keepNext w:val="0"/>
                    <w:keepLines w:val="0"/>
                    <w:pageBreakBefore w:val="0"/>
                    <w:suppressLineNumbers w:val="0"/>
                    <w:kinsoku/>
                    <w:wordWrap/>
                    <w:overflowPunct/>
                    <w:topLinePunct w:val="0"/>
                    <w:bidi w:val="0"/>
                    <w:adjustRightInd w:val="0"/>
                    <w:snapToGrid w:val="0"/>
                    <w:spacing w:before="0" w:beforeAutospacing="0" w:after="0" w:afterAutospacing="0" w:line="276" w:lineRule="auto"/>
                    <w:ind w:left="0" w:right="0"/>
                    <w:jc w:val="center"/>
                    <w:rPr>
                      <w:rFonts w:hint="default" w:ascii="Times New Roman" w:hAnsi="Times New Roman" w:eastAsia="宋体" w:cs="Times New Roman"/>
                      <w:color w:val="auto"/>
                      <w:sz w:val="18"/>
                      <w:szCs w:val="18"/>
                      <w:highlight w:val="none"/>
                      <w:lang w:val="en-US" w:eastAsia="zh-CN"/>
                    </w:rPr>
                  </w:pPr>
                  <w:r>
                    <w:rPr>
                      <w:rFonts w:hint="eastAsia" w:ascii="Times New Roman" w:hAnsi="Times New Roman" w:eastAsia="宋体" w:cs="Times New Roman"/>
                      <w:color w:val="auto"/>
                      <w:sz w:val="18"/>
                      <w:szCs w:val="18"/>
                      <w:highlight w:val="none"/>
                      <w:lang w:val="en-US" w:eastAsia="zh-CN"/>
                    </w:rPr>
                    <w:t>1</w:t>
                  </w:r>
                  <w:r>
                    <w:rPr>
                      <w:rFonts w:hint="eastAsia" w:ascii="Times New Roman" w:hAnsi="Times New Roman" w:eastAsia="宋体" w:cs="Times New Roman"/>
                      <w:color w:val="auto"/>
                      <w:sz w:val="18"/>
                      <w:szCs w:val="18"/>
                      <w:highlight w:val="none"/>
                    </w:rPr>
                    <w:t>0L</w:t>
                  </w:r>
                </w:p>
              </w:tc>
              <w:tc>
                <w:tcPr>
                  <w:tcW w:w="368" w:type="pct"/>
                  <w:tcBorders>
                    <w:top w:val="single" w:color="auto" w:sz="4" w:space="0"/>
                    <w:left w:val="single" w:color="auto" w:sz="4" w:space="0"/>
                    <w:bottom w:val="single" w:color="auto" w:sz="4" w:space="0"/>
                    <w:right w:val="single" w:color="auto" w:sz="4" w:space="0"/>
                  </w:tcBorders>
                  <w:vAlign w:val="center"/>
                </w:tcPr>
                <w:p w14:paraId="6E66B28A">
                  <w:pPr>
                    <w:keepNext w:val="0"/>
                    <w:keepLines w:val="0"/>
                    <w:pageBreakBefore w:val="0"/>
                    <w:suppressLineNumbers w:val="0"/>
                    <w:kinsoku/>
                    <w:wordWrap/>
                    <w:overflowPunct/>
                    <w:topLinePunct w:val="0"/>
                    <w:bidi w:val="0"/>
                    <w:adjustRightInd w:val="0"/>
                    <w:snapToGrid w:val="0"/>
                    <w:spacing w:before="0" w:beforeAutospacing="0" w:after="0" w:afterAutospacing="0" w:line="276" w:lineRule="auto"/>
                    <w:ind w:left="0" w:right="0"/>
                    <w:jc w:val="center"/>
                    <w:rPr>
                      <w:rFonts w:hint="eastAsia" w:ascii="Times New Roman" w:hAnsi="Times New Roman" w:eastAsia="宋体" w:cs="Times New Roman"/>
                      <w:color w:val="auto"/>
                      <w:sz w:val="18"/>
                      <w:szCs w:val="18"/>
                      <w:highlight w:val="none"/>
                      <w:lang w:val="en-US" w:eastAsia="zh-CN"/>
                    </w:rPr>
                  </w:pPr>
                  <w:r>
                    <w:rPr>
                      <w:rFonts w:hint="eastAsia" w:ascii="Times New Roman" w:hAnsi="Times New Roman" w:eastAsia="宋体" w:cs="Times New Roman"/>
                      <w:color w:val="auto"/>
                      <w:sz w:val="18"/>
                      <w:szCs w:val="18"/>
                      <w:highlight w:val="none"/>
                      <w:lang w:eastAsia="zh-CN"/>
                    </w:rPr>
                    <w:t>液态</w:t>
                  </w:r>
                </w:p>
              </w:tc>
              <w:tc>
                <w:tcPr>
                  <w:tcW w:w="892" w:type="pct"/>
                  <w:vMerge w:val="continue"/>
                  <w:tcBorders>
                    <w:left w:val="single" w:color="auto" w:sz="4" w:space="0"/>
                    <w:right w:val="single" w:color="auto" w:sz="4" w:space="0"/>
                  </w:tcBorders>
                  <w:vAlign w:val="center"/>
                </w:tcPr>
                <w:p w14:paraId="01624195">
                  <w:pPr>
                    <w:pStyle w:val="120"/>
                    <w:keepNext w:val="0"/>
                    <w:keepLines w:val="0"/>
                    <w:pageBreakBefore w:val="0"/>
                    <w:framePr w:hSpace="0" w:wrap="auto" w:vAnchor="margin" w:hAnchor="text" w:xAlign="left" w:yAlign="inline"/>
                    <w:suppressLineNumbers w:val="0"/>
                    <w:kinsoku/>
                    <w:wordWrap/>
                    <w:overflowPunct/>
                    <w:topLinePunct w:val="0"/>
                    <w:bidi w:val="0"/>
                    <w:adjustRightInd w:val="0"/>
                    <w:snapToGrid w:val="0"/>
                    <w:spacing w:before="0" w:beforeAutospacing="0" w:after="0" w:afterAutospacing="0" w:line="276" w:lineRule="auto"/>
                    <w:ind w:left="0" w:right="0"/>
                    <w:jc w:val="center"/>
                    <w:rPr>
                      <w:rFonts w:hint="eastAsia" w:ascii="Times New Roman" w:hAnsi="Times New Roman" w:eastAsia="宋体" w:cs="Times New Roman"/>
                      <w:color w:val="auto"/>
                      <w:sz w:val="18"/>
                      <w:szCs w:val="18"/>
                      <w:highlight w:val="none"/>
                      <w:lang w:eastAsia="zh-CN"/>
                    </w:rPr>
                  </w:pPr>
                </w:p>
              </w:tc>
            </w:tr>
            <w:tr w14:paraId="1A115A6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7" w:type="dxa"/>
                  <w:bottom w:w="0" w:type="dxa"/>
                  <w:right w:w="17" w:type="dxa"/>
                </w:tblCellMar>
              </w:tblPrEx>
              <w:trPr>
                <w:trHeight w:val="0" w:hRule="atLeast"/>
                <w:jc w:val="center"/>
              </w:trPr>
              <w:tc>
                <w:tcPr>
                  <w:tcW w:w="283" w:type="pct"/>
                  <w:tcBorders>
                    <w:top w:val="single" w:color="auto" w:sz="4" w:space="0"/>
                    <w:left w:val="single" w:color="auto" w:sz="4" w:space="0"/>
                    <w:bottom w:val="single" w:color="auto" w:sz="4" w:space="0"/>
                    <w:right w:val="single" w:color="auto" w:sz="4" w:space="0"/>
                  </w:tcBorders>
                  <w:vAlign w:val="center"/>
                </w:tcPr>
                <w:p w14:paraId="1FE0EAB5">
                  <w:pPr>
                    <w:keepNext w:val="0"/>
                    <w:keepLines w:val="0"/>
                    <w:pageBreakBefore w:val="0"/>
                    <w:suppressLineNumbers w:val="0"/>
                    <w:kinsoku/>
                    <w:wordWrap/>
                    <w:overflowPunct/>
                    <w:topLinePunct w:val="0"/>
                    <w:bidi w:val="0"/>
                    <w:adjustRightInd w:val="0"/>
                    <w:snapToGrid w:val="0"/>
                    <w:spacing w:before="0" w:beforeAutospacing="0" w:after="0" w:afterAutospacing="0" w:line="276" w:lineRule="auto"/>
                    <w:ind w:left="0" w:right="0"/>
                    <w:jc w:val="center"/>
                    <w:rPr>
                      <w:rFonts w:hint="eastAsia" w:cs="Times New Roman"/>
                      <w:kern w:val="2"/>
                      <w:sz w:val="18"/>
                      <w:szCs w:val="18"/>
                      <w:highlight w:val="none"/>
                      <w:lang w:val="en-US" w:eastAsia="zh-CN" w:bidi="ar-SA"/>
                    </w:rPr>
                  </w:pPr>
                  <w:r>
                    <w:rPr>
                      <w:rFonts w:hint="eastAsia" w:cs="Times New Roman"/>
                      <w:kern w:val="2"/>
                      <w:sz w:val="18"/>
                      <w:szCs w:val="18"/>
                      <w:highlight w:val="none"/>
                      <w:lang w:val="en-US" w:eastAsia="zh-CN" w:bidi="ar-SA"/>
                    </w:rPr>
                    <w:t>46</w:t>
                  </w:r>
                </w:p>
              </w:tc>
              <w:tc>
                <w:tcPr>
                  <w:tcW w:w="894" w:type="pct"/>
                  <w:tcBorders>
                    <w:top w:val="single" w:color="auto" w:sz="4" w:space="0"/>
                    <w:left w:val="single" w:color="auto" w:sz="4" w:space="0"/>
                    <w:bottom w:val="single" w:color="auto" w:sz="4" w:space="0"/>
                    <w:right w:val="single" w:color="auto" w:sz="4" w:space="0"/>
                  </w:tcBorders>
                  <w:vAlign w:val="center"/>
                </w:tcPr>
                <w:p w14:paraId="355E4D6E">
                  <w:pPr>
                    <w:pStyle w:val="120"/>
                    <w:keepNext w:val="0"/>
                    <w:keepLines w:val="0"/>
                    <w:pageBreakBefore w:val="0"/>
                    <w:framePr w:hSpace="0" w:wrap="auto" w:vAnchor="margin" w:hAnchor="text" w:xAlign="left" w:yAlign="inline"/>
                    <w:suppressLineNumbers w:val="0"/>
                    <w:kinsoku/>
                    <w:wordWrap/>
                    <w:overflowPunct/>
                    <w:topLinePunct w:val="0"/>
                    <w:bidi w:val="0"/>
                    <w:adjustRightInd w:val="0"/>
                    <w:snapToGrid w:val="0"/>
                    <w:spacing w:before="0" w:beforeAutospacing="0" w:after="0" w:afterAutospacing="0" w:line="276" w:lineRule="auto"/>
                    <w:ind w:left="0" w:right="0"/>
                    <w:jc w:val="center"/>
                    <w:rPr>
                      <w:rFonts w:hint="eastAsia" w:ascii="Times New Roman" w:hAnsi="Times New Roman" w:eastAsia="宋体" w:cs="Times New Roman"/>
                      <w:color w:val="auto"/>
                      <w:sz w:val="18"/>
                      <w:szCs w:val="18"/>
                      <w:highlight w:val="none"/>
                      <w:lang w:val="en-US" w:eastAsia="zh-CN"/>
                    </w:rPr>
                  </w:pPr>
                  <w:r>
                    <w:rPr>
                      <w:rFonts w:hint="eastAsia" w:ascii="Times New Roman" w:hAnsi="Times New Roman" w:eastAsia="宋体" w:cs="Times New Roman"/>
                      <w:color w:val="auto"/>
                      <w:sz w:val="18"/>
                      <w:szCs w:val="18"/>
                      <w:highlight w:val="none"/>
                    </w:rPr>
                    <w:t>MTT试剂</w:t>
                  </w:r>
                </w:p>
              </w:tc>
              <w:tc>
                <w:tcPr>
                  <w:tcW w:w="523" w:type="pct"/>
                  <w:tcBorders>
                    <w:top w:val="single" w:color="auto" w:sz="4" w:space="0"/>
                    <w:left w:val="single" w:color="auto" w:sz="4" w:space="0"/>
                    <w:bottom w:val="single" w:color="auto" w:sz="4" w:space="0"/>
                    <w:right w:val="single" w:color="auto" w:sz="4" w:space="0"/>
                  </w:tcBorders>
                  <w:vAlign w:val="center"/>
                </w:tcPr>
                <w:p w14:paraId="21D4A2A0">
                  <w:pPr>
                    <w:keepNext w:val="0"/>
                    <w:keepLines w:val="0"/>
                    <w:pageBreakBefore w:val="0"/>
                    <w:suppressLineNumbers w:val="0"/>
                    <w:kinsoku/>
                    <w:wordWrap/>
                    <w:overflowPunct/>
                    <w:topLinePunct w:val="0"/>
                    <w:bidi w:val="0"/>
                    <w:adjustRightInd w:val="0"/>
                    <w:snapToGrid w:val="0"/>
                    <w:spacing w:before="0" w:beforeAutospacing="0" w:after="0" w:afterAutospacing="0" w:line="276" w:lineRule="auto"/>
                    <w:ind w:left="0" w:right="0"/>
                    <w:jc w:val="center"/>
                    <w:rPr>
                      <w:rFonts w:hint="default" w:ascii="Times New Roman" w:hAnsi="Times New Roman" w:eastAsia="宋体" w:cs="Times New Roman"/>
                      <w:color w:val="auto"/>
                      <w:sz w:val="18"/>
                      <w:szCs w:val="18"/>
                      <w:highlight w:val="none"/>
                      <w:lang w:val="en-US" w:eastAsia="zh-CN"/>
                    </w:rPr>
                  </w:pPr>
                  <w:r>
                    <w:rPr>
                      <w:rFonts w:hint="eastAsia" w:ascii="Times New Roman" w:hAnsi="Times New Roman" w:eastAsia="宋体" w:cs="Times New Roman"/>
                      <w:color w:val="auto"/>
                      <w:sz w:val="18"/>
                      <w:szCs w:val="18"/>
                      <w:highlight w:val="none"/>
                      <w:lang w:val="en-US" w:eastAsia="zh-CN"/>
                    </w:rPr>
                    <w:t>1</w:t>
                  </w:r>
                  <w:r>
                    <w:rPr>
                      <w:rFonts w:hint="eastAsia" w:ascii="Times New Roman" w:hAnsi="Times New Roman" w:eastAsia="宋体" w:cs="Times New Roman"/>
                      <w:color w:val="auto"/>
                      <w:sz w:val="18"/>
                      <w:szCs w:val="18"/>
                      <w:highlight w:val="none"/>
                    </w:rPr>
                    <w:t>0</w:t>
                  </w:r>
                  <w:r>
                    <w:rPr>
                      <w:rFonts w:hint="eastAsia" w:cs="Times New Roman"/>
                      <w:color w:val="auto"/>
                      <w:sz w:val="18"/>
                      <w:szCs w:val="18"/>
                      <w:highlight w:val="none"/>
                      <w:lang w:val="en-US" w:eastAsia="zh-CN"/>
                    </w:rPr>
                    <w:t>0</w:t>
                  </w:r>
                  <w:r>
                    <w:rPr>
                      <w:rFonts w:hint="eastAsia" w:ascii="Times New Roman" w:hAnsi="Times New Roman" w:eastAsia="宋体" w:cs="Times New Roman"/>
                      <w:color w:val="auto"/>
                      <w:sz w:val="18"/>
                      <w:szCs w:val="18"/>
                      <w:highlight w:val="none"/>
                    </w:rPr>
                    <w:t>L</w:t>
                  </w:r>
                </w:p>
              </w:tc>
              <w:tc>
                <w:tcPr>
                  <w:tcW w:w="1451" w:type="pct"/>
                  <w:tcBorders>
                    <w:top w:val="single" w:color="auto" w:sz="4" w:space="0"/>
                    <w:left w:val="single" w:color="auto" w:sz="4" w:space="0"/>
                    <w:bottom w:val="single" w:color="auto" w:sz="4" w:space="0"/>
                    <w:right w:val="single" w:color="auto" w:sz="4" w:space="0"/>
                  </w:tcBorders>
                  <w:vAlign w:val="center"/>
                </w:tcPr>
                <w:p w14:paraId="13449AD6">
                  <w:pPr>
                    <w:pStyle w:val="120"/>
                    <w:keepNext w:val="0"/>
                    <w:keepLines w:val="0"/>
                    <w:pageBreakBefore w:val="0"/>
                    <w:framePr w:hSpace="0" w:wrap="auto" w:vAnchor="margin" w:hAnchor="text" w:xAlign="left" w:yAlign="inline"/>
                    <w:suppressLineNumbers w:val="0"/>
                    <w:kinsoku/>
                    <w:wordWrap/>
                    <w:overflowPunct/>
                    <w:topLinePunct w:val="0"/>
                    <w:bidi w:val="0"/>
                    <w:adjustRightInd w:val="0"/>
                    <w:snapToGrid w:val="0"/>
                    <w:spacing w:before="0" w:beforeAutospacing="0" w:after="0" w:afterAutospacing="0" w:line="276" w:lineRule="auto"/>
                    <w:ind w:left="0" w:right="0"/>
                    <w:jc w:val="center"/>
                    <w:rPr>
                      <w:rFonts w:hint="default" w:ascii="Times New Roman" w:hAnsi="Times New Roman" w:eastAsia="宋体" w:cs="Times New Roman"/>
                      <w:color w:val="auto"/>
                      <w:sz w:val="18"/>
                      <w:szCs w:val="18"/>
                      <w:highlight w:val="none"/>
                      <w:lang w:val="en-US" w:eastAsia="zh-CN"/>
                    </w:rPr>
                  </w:pPr>
                  <w:r>
                    <w:rPr>
                      <w:rFonts w:hint="eastAsia" w:ascii="Times New Roman" w:hAnsi="Times New Roman" w:eastAsia="宋体" w:cs="Times New Roman"/>
                      <w:color w:val="auto"/>
                      <w:sz w:val="18"/>
                      <w:szCs w:val="18"/>
                      <w:highlight w:val="none"/>
                    </w:rPr>
                    <w:t>500mL/瓶</w:t>
                  </w:r>
                </w:p>
              </w:tc>
              <w:tc>
                <w:tcPr>
                  <w:tcW w:w="586" w:type="pct"/>
                  <w:tcBorders>
                    <w:top w:val="single" w:color="auto" w:sz="4" w:space="0"/>
                    <w:left w:val="single" w:color="auto" w:sz="4" w:space="0"/>
                    <w:bottom w:val="single" w:color="auto" w:sz="4" w:space="0"/>
                    <w:right w:val="single" w:color="auto" w:sz="4" w:space="0"/>
                  </w:tcBorders>
                  <w:vAlign w:val="center"/>
                </w:tcPr>
                <w:p w14:paraId="79C1C82D">
                  <w:pPr>
                    <w:keepNext w:val="0"/>
                    <w:keepLines w:val="0"/>
                    <w:pageBreakBefore w:val="0"/>
                    <w:suppressLineNumbers w:val="0"/>
                    <w:kinsoku/>
                    <w:wordWrap/>
                    <w:overflowPunct/>
                    <w:topLinePunct w:val="0"/>
                    <w:bidi w:val="0"/>
                    <w:adjustRightInd w:val="0"/>
                    <w:snapToGrid w:val="0"/>
                    <w:spacing w:before="0" w:beforeAutospacing="0" w:after="0" w:afterAutospacing="0" w:line="276" w:lineRule="auto"/>
                    <w:ind w:left="0" w:right="0"/>
                    <w:jc w:val="center"/>
                    <w:rPr>
                      <w:rFonts w:hint="default" w:ascii="Times New Roman" w:hAnsi="Times New Roman" w:eastAsia="宋体" w:cs="Times New Roman"/>
                      <w:color w:val="auto"/>
                      <w:sz w:val="18"/>
                      <w:szCs w:val="18"/>
                      <w:highlight w:val="none"/>
                      <w:lang w:val="en-US" w:eastAsia="zh-CN"/>
                    </w:rPr>
                  </w:pPr>
                  <w:r>
                    <w:rPr>
                      <w:rFonts w:hint="eastAsia" w:ascii="Times New Roman" w:hAnsi="Times New Roman" w:eastAsia="宋体" w:cs="Times New Roman"/>
                      <w:color w:val="auto"/>
                      <w:sz w:val="18"/>
                      <w:szCs w:val="18"/>
                      <w:highlight w:val="none"/>
                      <w:lang w:val="en-US" w:eastAsia="zh-CN"/>
                    </w:rPr>
                    <w:t>1</w:t>
                  </w:r>
                  <w:r>
                    <w:rPr>
                      <w:rFonts w:hint="eastAsia" w:ascii="Times New Roman" w:hAnsi="Times New Roman" w:eastAsia="宋体" w:cs="Times New Roman"/>
                      <w:color w:val="auto"/>
                      <w:sz w:val="18"/>
                      <w:szCs w:val="18"/>
                      <w:highlight w:val="none"/>
                    </w:rPr>
                    <w:t>0L</w:t>
                  </w:r>
                </w:p>
              </w:tc>
              <w:tc>
                <w:tcPr>
                  <w:tcW w:w="368" w:type="pct"/>
                  <w:tcBorders>
                    <w:top w:val="single" w:color="auto" w:sz="4" w:space="0"/>
                    <w:left w:val="single" w:color="auto" w:sz="4" w:space="0"/>
                    <w:bottom w:val="single" w:color="auto" w:sz="4" w:space="0"/>
                    <w:right w:val="single" w:color="auto" w:sz="4" w:space="0"/>
                  </w:tcBorders>
                  <w:vAlign w:val="center"/>
                </w:tcPr>
                <w:p w14:paraId="2C904030">
                  <w:pPr>
                    <w:keepNext w:val="0"/>
                    <w:keepLines w:val="0"/>
                    <w:pageBreakBefore w:val="0"/>
                    <w:suppressLineNumbers w:val="0"/>
                    <w:kinsoku/>
                    <w:wordWrap/>
                    <w:overflowPunct/>
                    <w:topLinePunct w:val="0"/>
                    <w:bidi w:val="0"/>
                    <w:adjustRightInd w:val="0"/>
                    <w:snapToGrid w:val="0"/>
                    <w:spacing w:before="0" w:beforeAutospacing="0" w:after="0" w:afterAutospacing="0" w:line="276" w:lineRule="auto"/>
                    <w:ind w:left="0" w:right="0"/>
                    <w:jc w:val="center"/>
                    <w:rPr>
                      <w:rFonts w:hint="eastAsia" w:ascii="Times New Roman" w:hAnsi="Times New Roman" w:eastAsia="宋体" w:cs="Times New Roman"/>
                      <w:color w:val="auto"/>
                      <w:sz w:val="18"/>
                      <w:szCs w:val="18"/>
                      <w:highlight w:val="none"/>
                      <w:lang w:val="en-US" w:eastAsia="zh-CN"/>
                    </w:rPr>
                  </w:pPr>
                  <w:r>
                    <w:rPr>
                      <w:rFonts w:hint="eastAsia" w:ascii="Times New Roman" w:hAnsi="Times New Roman" w:eastAsia="宋体" w:cs="Times New Roman"/>
                      <w:color w:val="auto"/>
                      <w:sz w:val="18"/>
                      <w:szCs w:val="18"/>
                      <w:highlight w:val="none"/>
                      <w:lang w:eastAsia="zh-CN"/>
                    </w:rPr>
                    <w:t>液态</w:t>
                  </w:r>
                </w:p>
              </w:tc>
              <w:tc>
                <w:tcPr>
                  <w:tcW w:w="892" w:type="pct"/>
                  <w:vMerge w:val="restart"/>
                  <w:tcBorders>
                    <w:left w:val="single" w:color="auto" w:sz="4" w:space="0"/>
                    <w:right w:val="single" w:color="auto" w:sz="4" w:space="0"/>
                  </w:tcBorders>
                  <w:vAlign w:val="center"/>
                </w:tcPr>
                <w:p w14:paraId="192F6E0B">
                  <w:pPr>
                    <w:pStyle w:val="120"/>
                    <w:keepNext w:val="0"/>
                    <w:keepLines w:val="0"/>
                    <w:pageBreakBefore w:val="0"/>
                    <w:framePr w:hSpace="0" w:wrap="auto" w:vAnchor="margin" w:hAnchor="text" w:xAlign="left" w:yAlign="inline"/>
                    <w:suppressLineNumbers w:val="0"/>
                    <w:kinsoku/>
                    <w:wordWrap/>
                    <w:overflowPunct/>
                    <w:topLinePunct w:val="0"/>
                    <w:bidi w:val="0"/>
                    <w:adjustRightInd w:val="0"/>
                    <w:snapToGrid w:val="0"/>
                    <w:spacing w:before="0" w:beforeAutospacing="0" w:after="0" w:afterAutospacing="0" w:line="276" w:lineRule="auto"/>
                    <w:ind w:left="0" w:right="0"/>
                    <w:jc w:val="center"/>
                    <w:rPr>
                      <w:rFonts w:hint="eastAsia" w:ascii="Times New Roman" w:hAnsi="Times New Roman" w:eastAsia="宋体" w:cs="Times New Roman"/>
                      <w:color w:val="auto"/>
                      <w:sz w:val="18"/>
                      <w:szCs w:val="18"/>
                      <w:highlight w:val="none"/>
                      <w:lang w:eastAsia="zh-CN"/>
                    </w:rPr>
                  </w:pPr>
                  <w:r>
                    <w:rPr>
                      <w:rFonts w:hint="eastAsia" w:ascii="Times New Roman" w:hAnsi="Times New Roman" w:eastAsia="宋体" w:cs="Times New Roman"/>
                      <w:color w:val="auto"/>
                      <w:sz w:val="18"/>
                      <w:szCs w:val="18"/>
                      <w:highlight w:val="none"/>
                      <w:lang w:eastAsia="zh-CN"/>
                    </w:rPr>
                    <w:t>蛋白定量</w:t>
                  </w:r>
                </w:p>
              </w:tc>
            </w:tr>
            <w:tr w14:paraId="721E613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7" w:type="dxa"/>
                  <w:bottom w:w="0" w:type="dxa"/>
                  <w:right w:w="17" w:type="dxa"/>
                </w:tblCellMar>
              </w:tblPrEx>
              <w:trPr>
                <w:trHeight w:val="0" w:hRule="atLeast"/>
                <w:jc w:val="center"/>
              </w:trPr>
              <w:tc>
                <w:tcPr>
                  <w:tcW w:w="283" w:type="pct"/>
                  <w:tcBorders>
                    <w:top w:val="single" w:color="auto" w:sz="4" w:space="0"/>
                    <w:left w:val="single" w:color="auto" w:sz="4" w:space="0"/>
                    <w:bottom w:val="single" w:color="auto" w:sz="4" w:space="0"/>
                    <w:right w:val="single" w:color="auto" w:sz="4" w:space="0"/>
                  </w:tcBorders>
                  <w:vAlign w:val="center"/>
                </w:tcPr>
                <w:p w14:paraId="130000C6">
                  <w:pPr>
                    <w:keepNext w:val="0"/>
                    <w:keepLines w:val="0"/>
                    <w:pageBreakBefore w:val="0"/>
                    <w:suppressLineNumbers w:val="0"/>
                    <w:kinsoku/>
                    <w:wordWrap/>
                    <w:overflowPunct/>
                    <w:topLinePunct w:val="0"/>
                    <w:bidi w:val="0"/>
                    <w:adjustRightInd w:val="0"/>
                    <w:snapToGrid w:val="0"/>
                    <w:spacing w:before="0" w:beforeAutospacing="0" w:after="0" w:afterAutospacing="0" w:line="276" w:lineRule="auto"/>
                    <w:ind w:left="0" w:right="0"/>
                    <w:jc w:val="center"/>
                    <w:rPr>
                      <w:rFonts w:hint="eastAsia" w:cs="Times New Roman"/>
                      <w:kern w:val="2"/>
                      <w:sz w:val="18"/>
                      <w:szCs w:val="18"/>
                      <w:highlight w:val="none"/>
                      <w:lang w:val="en-US" w:eastAsia="zh-CN" w:bidi="ar-SA"/>
                    </w:rPr>
                  </w:pPr>
                  <w:r>
                    <w:rPr>
                      <w:rFonts w:hint="eastAsia" w:cs="Times New Roman"/>
                      <w:kern w:val="2"/>
                      <w:sz w:val="18"/>
                      <w:szCs w:val="18"/>
                      <w:highlight w:val="none"/>
                      <w:lang w:val="en-US" w:eastAsia="zh-CN" w:bidi="ar-SA"/>
                    </w:rPr>
                    <w:t>47</w:t>
                  </w:r>
                </w:p>
              </w:tc>
              <w:tc>
                <w:tcPr>
                  <w:tcW w:w="894" w:type="pct"/>
                  <w:tcBorders>
                    <w:top w:val="single" w:color="auto" w:sz="4" w:space="0"/>
                    <w:left w:val="single" w:color="auto" w:sz="4" w:space="0"/>
                    <w:bottom w:val="single" w:color="auto" w:sz="4" w:space="0"/>
                    <w:right w:val="single" w:color="auto" w:sz="4" w:space="0"/>
                  </w:tcBorders>
                  <w:vAlign w:val="center"/>
                </w:tcPr>
                <w:p w14:paraId="0854F2B5">
                  <w:pPr>
                    <w:pStyle w:val="120"/>
                    <w:keepNext w:val="0"/>
                    <w:keepLines w:val="0"/>
                    <w:pageBreakBefore w:val="0"/>
                    <w:framePr w:hSpace="0" w:wrap="auto" w:vAnchor="margin" w:hAnchor="text" w:xAlign="left" w:yAlign="inline"/>
                    <w:suppressLineNumbers w:val="0"/>
                    <w:kinsoku/>
                    <w:wordWrap/>
                    <w:overflowPunct/>
                    <w:topLinePunct w:val="0"/>
                    <w:bidi w:val="0"/>
                    <w:adjustRightInd w:val="0"/>
                    <w:snapToGrid w:val="0"/>
                    <w:spacing w:before="0" w:beforeAutospacing="0" w:after="0" w:afterAutospacing="0" w:line="276" w:lineRule="auto"/>
                    <w:ind w:left="0" w:right="0"/>
                    <w:jc w:val="center"/>
                    <w:rPr>
                      <w:rFonts w:hint="eastAsia" w:ascii="Times New Roman" w:hAnsi="Times New Roman" w:eastAsia="宋体" w:cs="Times New Roman"/>
                      <w:color w:val="auto"/>
                      <w:sz w:val="18"/>
                      <w:szCs w:val="18"/>
                      <w:highlight w:val="none"/>
                      <w:lang w:val="en-US" w:eastAsia="zh-CN"/>
                    </w:rPr>
                  </w:pPr>
                  <w:r>
                    <w:rPr>
                      <w:rFonts w:hint="eastAsia" w:ascii="Times New Roman" w:hAnsi="Times New Roman" w:eastAsia="宋体" w:cs="Times New Roman"/>
                      <w:color w:val="auto"/>
                      <w:sz w:val="18"/>
                      <w:szCs w:val="18"/>
                      <w:highlight w:val="none"/>
                    </w:rPr>
                    <w:t>裂解液</w:t>
                  </w:r>
                </w:p>
              </w:tc>
              <w:tc>
                <w:tcPr>
                  <w:tcW w:w="523" w:type="pct"/>
                  <w:tcBorders>
                    <w:top w:val="single" w:color="auto" w:sz="4" w:space="0"/>
                    <w:left w:val="single" w:color="auto" w:sz="4" w:space="0"/>
                    <w:bottom w:val="single" w:color="auto" w:sz="4" w:space="0"/>
                    <w:right w:val="single" w:color="auto" w:sz="4" w:space="0"/>
                  </w:tcBorders>
                  <w:vAlign w:val="center"/>
                </w:tcPr>
                <w:p w14:paraId="6FD60EF9">
                  <w:pPr>
                    <w:pStyle w:val="120"/>
                    <w:keepNext w:val="0"/>
                    <w:keepLines w:val="0"/>
                    <w:pageBreakBefore w:val="0"/>
                    <w:framePr w:hSpace="0" w:wrap="auto" w:vAnchor="margin" w:hAnchor="text" w:xAlign="left" w:yAlign="inline"/>
                    <w:suppressLineNumbers w:val="0"/>
                    <w:kinsoku/>
                    <w:wordWrap/>
                    <w:overflowPunct/>
                    <w:topLinePunct w:val="0"/>
                    <w:bidi w:val="0"/>
                    <w:adjustRightInd w:val="0"/>
                    <w:snapToGrid w:val="0"/>
                    <w:spacing w:before="0" w:beforeAutospacing="0" w:after="0" w:afterAutospacing="0" w:line="276" w:lineRule="auto"/>
                    <w:ind w:left="0" w:right="0"/>
                    <w:jc w:val="center"/>
                    <w:rPr>
                      <w:rFonts w:hint="default" w:ascii="Times New Roman" w:hAnsi="Times New Roman" w:eastAsia="宋体" w:cs="Times New Roman"/>
                      <w:color w:val="auto"/>
                      <w:sz w:val="18"/>
                      <w:szCs w:val="18"/>
                      <w:highlight w:val="none"/>
                      <w:lang w:val="en-US" w:eastAsia="zh-CN"/>
                    </w:rPr>
                  </w:pPr>
                  <w:r>
                    <w:rPr>
                      <w:rFonts w:hint="eastAsia" w:ascii="Times New Roman" w:hAnsi="Times New Roman" w:eastAsia="宋体" w:cs="Times New Roman"/>
                      <w:color w:val="auto"/>
                      <w:sz w:val="18"/>
                      <w:szCs w:val="18"/>
                      <w:highlight w:val="none"/>
                      <w:lang w:val="en-US" w:eastAsia="zh-CN"/>
                    </w:rPr>
                    <w:t>1</w:t>
                  </w:r>
                  <w:r>
                    <w:rPr>
                      <w:rFonts w:hint="eastAsia" w:ascii="Times New Roman" w:hAnsi="Times New Roman" w:eastAsia="宋体" w:cs="Times New Roman"/>
                      <w:color w:val="auto"/>
                      <w:sz w:val="18"/>
                      <w:szCs w:val="18"/>
                      <w:highlight w:val="none"/>
                    </w:rPr>
                    <w:t>0L</w:t>
                  </w:r>
                </w:p>
              </w:tc>
              <w:tc>
                <w:tcPr>
                  <w:tcW w:w="1451" w:type="pct"/>
                  <w:tcBorders>
                    <w:top w:val="single" w:color="auto" w:sz="4" w:space="0"/>
                    <w:left w:val="single" w:color="auto" w:sz="4" w:space="0"/>
                    <w:bottom w:val="single" w:color="auto" w:sz="4" w:space="0"/>
                    <w:right w:val="single" w:color="auto" w:sz="4" w:space="0"/>
                  </w:tcBorders>
                  <w:vAlign w:val="center"/>
                </w:tcPr>
                <w:p w14:paraId="4C9D35DB">
                  <w:pPr>
                    <w:pStyle w:val="120"/>
                    <w:keepNext w:val="0"/>
                    <w:keepLines w:val="0"/>
                    <w:pageBreakBefore w:val="0"/>
                    <w:framePr w:hSpace="0" w:wrap="auto" w:vAnchor="margin" w:hAnchor="text" w:xAlign="left" w:yAlign="inline"/>
                    <w:suppressLineNumbers w:val="0"/>
                    <w:kinsoku/>
                    <w:wordWrap/>
                    <w:overflowPunct/>
                    <w:topLinePunct w:val="0"/>
                    <w:bidi w:val="0"/>
                    <w:adjustRightInd w:val="0"/>
                    <w:snapToGrid w:val="0"/>
                    <w:spacing w:before="0" w:beforeAutospacing="0" w:after="0" w:afterAutospacing="0" w:line="276" w:lineRule="auto"/>
                    <w:ind w:left="0" w:right="0"/>
                    <w:jc w:val="center"/>
                    <w:rPr>
                      <w:rFonts w:hint="default" w:ascii="Times New Roman" w:hAnsi="Times New Roman" w:eastAsia="宋体" w:cs="Times New Roman"/>
                      <w:color w:val="auto"/>
                      <w:sz w:val="18"/>
                      <w:szCs w:val="18"/>
                      <w:highlight w:val="none"/>
                      <w:lang w:val="en-US" w:eastAsia="zh-CN"/>
                    </w:rPr>
                  </w:pPr>
                  <w:r>
                    <w:rPr>
                      <w:rFonts w:hint="eastAsia" w:ascii="Times New Roman" w:hAnsi="Times New Roman" w:eastAsia="宋体" w:cs="Times New Roman"/>
                      <w:color w:val="auto"/>
                      <w:sz w:val="18"/>
                      <w:szCs w:val="18"/>
                      <w:highlight w:val="none"/>
                    </w:rPr>
                    <w:t>50mL/瓶</w:t>
                  </w:r>
                </w:p>
              </w:tc>
              <w:tc>
                <w:tcPr>
                  <w:tcW w:w="586" w:type="pct"/>
                  <w:tcBorders>
                    <w:top w:val="single" w:color="auto" w:sz="4" w:space="0"/>
                    <w:left w:val="single" w:color="auto" w:sz="4" w:space="0"/>
                    <w:bottom w:val="single" w:color="auto" w:sz="4" w:space="0"/>
                    <w:right w:val="single" w:color="auto" w:sz="4" w:space="0"/>
                  </w:tcBorders>
                  <w:vAlign w:val="center"/>
                </w:tcPr>
                <w:p w14:paraId="60F24324">
                  <w:pPr>
                    <w:pStyle w:val="120"/>
                    <w:keepNext w:val="0"/>
                    <w:keepLines w:val="0"/>
                    <w:pageBreakBefore w:val="0"/>
                    <w:framePr w:hSpace="0" w:wrap="auto" w:vAnchor="margin" w:hAnchor="text" w:xAlign="left" w:yAlign="inline"/>
                    <w:suppressLineNumbers w:val="0"/>
                    <w:kinsoku/>
                    <w:wordWrap/>
                    <w:overflowPunct/>
                    <w:topLinePunct w:val="0"/>
                    <w:bidi w:val="0"/>
                    <w:adjustRightInd w:val="0"/>
                    <w:snapToGrid w:val="0"/>
                    <w:spacing w:before="0" w:beforeAutospacing="0" w:after="0" w:afterAutospacing="0" w:line="276" w:lineRule="auto"/>
                    <w:ind w:left="0" w:right="0"/>
                    <w:jc w:val="center"/>
                    <w:rPr>
                      <w:rFonts w:hint="default" w:ascii="Times New Roman" w:hAnsi="Times New Roman" w:eastAsia="宋体" w:cs="Times New Roman"/>
                      <w:color w:val="auto"/>
                      <w:sz w:val="18"/>
                      <w:szCs w:val="18"/>
                      <w:highlight w:val="none"/>
                      <w:lang w:val="en-US" w:eastAsia="zh-CN"/>
                    </w:rPr>
                  </w:pPr>
                  <w:r>
                    <w:rPr>
                      <w:rFonts w:hint="eastAsia" w:ascii="Times New Roman" w:hAnsi="Times New Roman" w:eastAsia="宋体" w:cs="Times New Roman"/>
                      <w:color w:val="auto"/>
                      <w:sz w:val="18"/>
                      <w:szCs w:val="18"/>
                      <w:highlight w:val="none"/>
                      <w:lang w:val="en-US" w:eastAsia="zh-CN"/>
                    </w:rPr>
                    <w:t>1</w:t>
                  </w:r>
                  <w:r>
                    <w:rPr>
                      <w:rFonts w:hint="eastAsia" w:ascii="Times New Roman" w:hAnsi="Times New Roman" w:eastAsia="宋体" w:cs="Times New Roman"/>
                      <w:color w:val="auto"/>
                      <w:sz w:val="18"/>
                      <w:szCs w:val="18"/>
                      <w:highlight w:val="none"/>
                    </w:rPr>
                    <w:t>L</w:t>
                  </w:r>
                </w:p>
              </w:tc>
              <w:tc>
                <w:tcPr>
                  <w:tcW w:w="368" w:type="pct"/>
                  <w:tcBorders>
                    <w:top w:val="single" w:color="auto" w:sz="4" w:space="0"/>
                    <w:left w:val="single" w:color="auto" w:sz="4" w:space="0"/>
                    <w:bottom w:val="single" w:color="auto" w:sz="4" w:space="0"/>
                    <w:right w:val="single" w:color="auto" w:sz="4" w:space="0"/>
                  </w:tcBorders>
                  <w:vAlign w:val="center"/>
                </w:tcPr>
                <w:p w14:paraId="52B17577">
                  <w:pPr>
                    <w:keepNext w:val="0"/>
                    <w:keepLines w:val="0"/>
                    <w:pageBreakBefore w:val="0"/>
                    <w:suppressLineNumbers w:val="0"/>
                    <w:kinsoku/>
                    <w:wordWrap/>
                    <w:overflowPunct/>
                    <w:topLinePunct w:val="0"/>
                    <w:bidi w:val="0"/>
                    <w:adjustRightInd w:val="0"/>
                    <w:snapToGrid w:val="0"/>
                    <w:spacing w:before="0" w:beforeAutospacing="0" w:after="0" w:afterAutospacing="0" w:line="276" w:lineRule="auto"/>
                    <w:ind w:left="0" w:right="0"/>
                    <w:jc w:val="center"/>
                    <w:rPr>
                      <w:rFonts w:hint="eastAsia" w:ascii="Times New Roman" w:hAnsi="Times New Roman" w:eastAsia="宋体" w:cs="Times New Roman"/>
                      <w:color w:val="auto"/>
                      <w:sz w:val="18"/>
                      <w:szCs w:val="18"/>
                      <w:highlight w:val="none"/>
                      <w:lang w:val="en-US" w:eastAsia="zh-CN"/>
                    </w:rPr>
                  </w:pPr>
                  <w:r>
                    <w:rPr>
                      <w:rFonts w:hint="eastAsia" w:ascii="Times New Roman" w:hAnsi="Times New Roman" w:eastAsia="宋体" w:cs="Times New Roman"/>
                      <w:color w:val="auto"/>
                      <w:sz w:val="18"/>
                      <w:szCs w:val="18"/>
                      <w:highlight w:val="none"/>
                      <w:lang w:eastAsia="zh-CN"/>
                    </w:rPr>
                    <w:t>液态</w:t>
                  </w:r>
                </w:p>
              </w:tc>
              <w:tc>
                <w:tcPr>
                  <w:tcW w:w="892" w:type="pct"/>
                  <w:vMerge w:val="continue"/>
                  <w:tcBorders>
                    <w:left w:val="single" w:color="auto" w:sz="4" w:space="0"/>
                    <w:right w:val="single" w:color="auto" w:sz="4" w:space="0"/>
                  </w:tcBorders>
                  <w:vAlign w:val="center"/>
                </w:tcPr>
                <w:p w14:paraId="175E86EF">
                  <w:pPr>
                    <w:pStyle w:val="120"/>
                    <w:keepNext w:val="0"/>
                    <w:keepLines w:val="0"/>
                    <w:pageBreakBefore w:val="0"/>
                    <w:framePr w:hSpace="0" w:wrap="auto" w:vAnchor="margin" w:hAnchor="text" w:xAlign="left" w:yAlign="inline"/>
                    <w:suppressLineNumbers w:val="0"/>
                    <w:kinsoku/>
                    <w:wordWrap/>
                    <w:overflowPunct/>
                    <w:topLinePunct w:val="0"/>
                    <w:bidi w:val="0"/>
                    <w:adjustRightInd w:val="0"/>
                    <w:snapToGrid w:val="0"/>
                    <w:spacing w:before="0" w:beforeAutospacing="0" w:after="0" w:afterAutospacing="0" w:line="276" w:lineRule="auto"/>
                    <w:ind w:left="0" w:right="0"/>
                    <w:jc w:val="center"/>
                    <w:rPr>
                      <w:rFonts w:hint="eastAsia" w:ascii="Times New Roman" w:hAnsi="Times New Roman" w:eastAsia="宋体" w:cs="Times New Roman"/>
                      <w:color w:val="auto"/>
                      <w:sz w:val="18"/>
                      <w:szCs w:val="18"/>
                      <w:highlight w:val="none"/>
                      <w:lang w:eastAsia="zh-CN"/>
                    </w:rPr>
                  </w:pPr>
                </w:p>
              </w:tc>
            </w:tr>
            <w:tr w14:paraId="55BB55A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7" w:type="dxa"/>
                  <w:bottom w:w="0" w:type="dxa"/>
                  <w:right w:w="17" w:type="dxa"/>
                </w:tblCellMar>
              </w:tblPrEx>
              <w:trPr>
                <w:trHeight w:val="0" w:hRule="atLeast"/>
                <w:jc w:val="center"/>
              </w:trPr>
              <w:tc>
                <w:tcPr>
                  <w:tcW w:w="283" w:type="pct"/>
                  <w:tcBorders>
                    <w:top w:val="single" w:color="auto" w:sz="4" w:space="0"/>
                    <w:left w:val="single" w:color="auto" w:sz="4" w:space="0"/>
                    <w:bottom w:val="single" w:color="auto" w:sz="4" w:space="0"/>
                    <w:right w:val="single" w:color="auto" w:sz="4" w:space="0"/>
                  </w:tcBorders>
                  <w:vAlign w:val="center"/>
                </w:tcPr>
                <w:p w14:paraId="2450D61B">
                  <w:pPr>
                    <w:keepNext w:val="0"/>
                    <w:keepLines w:val="0"/>
                    <w:pageBreakBefore w:val="0"/>
                    <w:suppressLineNumbers w:val="0"/>
                    <w:kinsoku/>
                    <w:wordWrap/>
                    <w:overflowPunct/>
                    <w:topLinePunct w:val="0"/>
                    <w:bidi w:val="0"/>
                    <w:adjustRightInd w:val="0"/>
                    <w:snapToGrid w:val="0"/>
                    <w:spacing w:before="0" w:beforeAutospacing="0" w:after="0" w:afterAutospacing="0" w:line="276" w:lineRule="auto"/>
                    <w:ind w:left="0" w:right="0"/>
                    <w:jc w:val="center"/>
                    <w:rPr>
                      <w:rFonts w:hint="eastAsia" w:cs="Times New Roman"/>
                      <w:kern w:val="2"/>
                      <w:sz w:val="18"/>
                      <w:szCs w:val="18"/>
                      <w:highlight w:val="none"/>
                      <w:lang w:val="en-US" w:eastAsia="zh-CN" w:bidi="ar-SA"/>
                    </w:rPr>
                  </w:pPr>
                  <w:r>
                    <w:rPr>
                      <w:rFonts w:hint="eastAsia" w:cs="Times New Roman"/>
                      <w:kern w:val="2"/>
                      <w:sz w:val="18"/>
                      <w:szCs w:val="18"/>
                      <w:highlight w:val="none"/>
                      <w:lang w:val="en-US" w:eastAsia="zh-CN" w:bidi="ar-SA"/>
                    </w:rPr>
                    <w:t>48</w:t>
                  </w:r>
                </w:p>
              </w:tc>
              <w:tc>
                <w:tcPr>
                  <w:tcW w:w="894" w:type="pct"/>
                  <w:tcBorders>
                    <w:top w:val="single" w:color="auto" w:sz="4" w:space="0"/>
                    <w:left w:val="single" w:color="auto" w:sz="4" w:space="0"/>
                    <w:bottom w:val="single" w:color="auto" w:sz="4" w:space="0"/>
                    <w:right w:val="single" w:color="auto" w:sz="4" w:space="0"/>
                  </w:tcBorders>
                  <w:vAlign w:val="center"/>
                </w:tcPr>
                <w:p w14:paraId="199A4798">
                  <w:pPr>
                    <w:pStyle w:val="120"/>
                    <w:keepNext w:val="0"/>
                    <w:keepLines w:val="0"/>
                    <w:pageBreakBefore w:val="0"/>
                    <w:framePr w:hSpace="0" w:wrap="auto" w:vAnchor="margin" w:hAnchor="text" w:xAlign="left" w:yAlign="inline"/>
                    <w:suppressLineNumbers w:val="0"/>
                    <w:kinsoku/>
                    <w:wordWrap/>
                    <w:overflowPunct/>
                    <w:topLinePunct w:val="0"/>
                    <w:bidi w:val="0"/>
                    <w:adjustRightInd w:val="0"/>
                    <w:snapToGrid w:val="0"/>
                    <w:spacing w:before="0" w:beforeAutospacing="0" w:after="0" w:afterAutospacing="0" w:line="276" w:lineRule="auto"/>
                    <w:ind w:left="0" w:right="0"/>
                    <w:jc w:val="center"/>
                    <w:rPr>
                      <w:rFonts w:hint="eastAsia" w:ascii="Times New Roman" w:hAnsi="Times New Roman" w:eastAsia="宋体" w:cs="Times New Roman"/>
                      <w:color w:val="auto"/>
                      <w:sz w:val="18"/>
                      <w:szCs w:val="18"/>
                      <w:highlight w:val="none"/>
                      <w:lang w:val="en-US" w:eastAsia="zh-CN"/>
                    </w:rPr>
                  </w:pPr>
                  <w:r>
                    <w:rPr>
                      <w:rFonts w:hint="eastAsia" w:ascii="Times New Roman" w:hAnsi="Times New Roman" w:eastAsia="宋体" w:cs="Times New Roman"/>
                      <w:color w:val="auto"/>
                      <w:sz w:val="18"/>
                      <w:szCs w:val="18"/>
                      <w:highlight w:val="none"/>
                    </w:rPr>
                    <w:t>电泳缓冲液</w:t>
                  </w:r>
                </w:p>
              </w:tc>
              <w:tc>
                <w:tcPr>
                  <w:tcW w:w="523" w:type="pct"/>
                  <w:tcBorders>
                    <w:top w:val="single" w:color="auto" w:sz="4" w:space="0"/>
                    <w:left w:val="single" w:color="auto" w:sz="4" w:space="0"/>
                    <w:bottom w:val="single" w:color="auto" w:sz="4" w:space="0"/>
                    <w:right w:val="single" w:color="auto" w:sz="4" w:space="0"/>
                  </w:tcBorders>
                  <w:vAlign w:val="center"/>
                </w:tcPr>
                <w:p w14:paraId="58AF9A5D">
                  <w:pPr>
                    <w:pStyle w:val="120"/>
                    <w:keepNext w:val="0"/>
                    <w:keepLines w:val="0"/>
                    <w:pageBreakBefore w:val="0"/>
                    <w:framePr w:hSpace="0" w:wrap="auto" w:vAnchor="margin" w:hAnchor="text" w:xAlign="left" w:yAlign="inline"/>
                    <w:suppressLineNumbers w:val="0"/>
                    <w:kinsoku/>
                    <w:wordWrap/>
                    <w:overflowPunct/>
                    <w:topLinePunct w:val="0"/>
                    <w:bidi w:val="0"/>
                    <w:adjustRightInd w:val="0"/>
                    <w:snapToGrid w:val="0"/>
                    <w:spacing w:before="0" w:beforeAutospacing="0" w:after="0" w:afterAutospacing="0" w:line="276" w:lineRule="auto"/>
                    <w:ind w:left="0" w:right="0"/>
                    <w:jc w:val="center"/>
                    <w:rPr>
                      <w:rFonts w:hint="default" w:ascii="Times New Roman" w:hAnsi="Times New Roman" w:eastAsia="宋体" w:cs="Times New Roman"/>
                      <w:color w:val="auto"/>
                      <w:sz w:val="18"/>
                      <w:szCs w:val="18"/>
                      <w:highlight w:val="none"/>
                      <w:lang w:val="en-US" w:eastAsia="zh-CN"/>
                    </w:rPr>
                  </w:pPr>
                  <w:r>
                    <w:rPr>
                      <w:rFonts w:hint="eastAsia" w:ascii="Times New Roman" w:hAnsi="Times New Roman" w:eastAsia="宋体" w:cs="Times New Roman"/>
                      <w:color w:val="auto"/>
                      <w:sz w:val="18"/>
                      <w:szCs w:val="18"/>
                      <w:highlight w:val="none"/>
                      <w:lang w:val="en-US" w:eastAsia="zh-CN"/>
                    </w:rPr>
                    <w:t>1</w:t>
                  </w:r>
                  <w:r>
                    <w:rPr>
                      <w:rFonts w:hint="eastAsia" w:ascii="Times New Roman" w:hAnsi="Times New Roman" w:eastAsia="宋体" w:cs="Times New Roman"/>
                      <w:color w:val="auto"/>
                      <w:sz w:val="18"/>
                      <w:szCs w:val="18"/>
                      <w:highlight w:val="none"/>
                    </w:rPr>
                    <w:t>0</w:t>
                  </w:r>
                  <w:r>
                    <w:rPr>
                      <w:rFonts w:hint="eastAsia" w:ascii="Times New Roman" w:hAnsi="Times New Roman" w:eastAsia="宋体" w:cs="Times New Roman"/>
                      <w:color w:val="auto"/>
                      <w:sz w:val="18"/>
                      <w:szCs w:val="18"/>
                      <w:highlight w:val="none"/>
                      <w:lang w:val="en-US" w:eastAsia="zh-CN"/>
                    </w:rPr>
                    <w:t>0</w:t>
                  </w:r>
                  <w:r>
                    <w:rPr>
                      <w:rFonts w:hint="eastAsia" w:ascii="Times New Roman" w:hAnsi="Times New Roman" w:eastAsia="宋体" w:cs="Times New Roman"/>
                      <w:color w:val="auto"/>
                      <w:sz w:val="18"/>
                      <w:szCs w:val="18"/>
                      <w:highlight w:val="none"/>
                    </w:rPr>
                    <w:t>L</w:t>
                  </w:r>
                </w:p>
              </w:tc>
              <w:tc>
                <w:tcPr>
                  <w:tcW w:w="1451" w:type="pct"/>
                  <w:tcBorders>
                    <w:top w:val="single" w:color="auto" w:sz="4" w:space="0"/>
                    <w:left w:val="single" w:color="auto" w:sz="4" w:space="0"/>
                    <w:bottom w:val="single" w:color="auto" w:sz="4" w:space="0"/>
                    <w:right w:val="single" w:color="auto" w:sz="4" w:space="0"/>
                  </w:tcBorders>
                  <w:vAlign w:val="center"/>
                </w:tcPr>
                <w:p w14:paraId="37943A2C">
                  <w:pPr>
                    <w:pStyle w:val="120"/>
                    <w:keepNext w:val="0"/>
                    <w:keepLines w:val="0"/>
                    <w:pageBreakBefore w:val="0"/>
                    <w:framePr w:hSpace="0" w:wrap="auto" w:vAnchor="margin" w:hAnchor="text" w:xAlign="left" w:yAlign="inline"/>
                    <w:suppressLineNumbers w:val="0"/>
                    <w:kinsoku/>
                    <w:wordWrap/>
                    <w:overflowPunct/>
                    <w:topLinePunct w:val="0"/>
                    <w:bidi w:val="0"/>
                    <w:adjustRightInd w:val="0"/>
                    <w:snapToGrid w:val="0"/>
                    <w:spacing w:before="0" w:beforeAutospacing="0" w:after="0" w:afterAutospacing="0" w:line="276" w:lineRule="auto"/>
                    <w:ind w:left="0" w:right="0"/>
                    <w:jc w:val="center"/>
                    <w:rPr>
                      <w:rFonts w:hint="default" w:ascii="Times New Roman" w:hAnsi="Times New Roman" w:eastAsia="宋体" w:cs="Times New Roman"/>
                      <w:color w:val="auto"/>
                      <w:sz w:val="18"/>
                      <w:szCs w:val="18"/>
                      <w:highlight w:val="none"/>
                      <w:lang w:val="en-US" w:eastAsia="zh-CN"/>
                    </w:rPr>
                  </w:pPr>
                  <w:r>
                    <w:rPr>
                      <w:rFonts w:hint="eastAsia" w:ascii="Times New Roman" w:hAnsi="Times New Roman" w:eastAsia="宋体" w:cs="Times New Roman"/>
                      <w:color w:val="auto"/>
                      <w:sz w:val="18"/>
                      <w:szCs w:val="18"/>
                      <w:highlight w:val="none"/>
                    </w:rPr>
                    <w:t>500mL/瓶</w:t>
                  </w:r>
                </w:p>
              </w:tc>
              <w:tc>
                <w:tcPr>
                  <w:tcW w:w="586" w:type="pct"/>
                  <w:tcBorders>
                    <w:top w:val="single" w:color="auto" w:sz="4" w:space="0"/>
                    <w:left w:val="single" w:color="auto" w:sz="4" w:space="0"/>
                    <w:bottom w:val="single" w:color="auto" w:sz="4" w:space="0"/>
                    <w:right w:val="single" w:color="auto" w:sz="4" w:space="0"/>
                  </w:tcBorders>
                  <w:vAlign w:val="center"/>
                </w:tcPr>
                <w:p w14:paraId="3D019157">
                  <w:pPr>
                    <w:pStyle w:val="120"/>
                    <w:keepNext w:val="0"/>
                    <w:keepLines w:val="0"/>
                    <w:pageBreakBefore w:val="0"/>
                    <w:framePr w:hSpace="0" w:wrap="auto" w:vAnchor="margin" w:hAnchor="text" w:xAlign="left" w:yAlign="inline"/>
                    <w:suppressLineNumbers w:val="0"/>
                    <w:kinsoku/>
                    <w:wordWrap/>
                    <w:overflowPunct/>
                    <w:topLinePunct w:val="0"/>
                    <w:bidi w:val="0"/>
                    <w:adjustRightInd w:val="0"/>
                    <w:snapToGrid w:val="0"/>
                    <w:spacing w:before="0" w:beforeAutospacing="0" w:after="0" w:afterAutospacing="0" w:line="276" w:lineRule="auto"/>
                    <w:ind w:left="0" w:right="0"/>
                    <w:jc w:val="center"/>
                    <w:rPr>
                      <w:rFonts w:hint="default" w:ascii="Times New Roman" w:hAnsi="Times New Roman" w:eastAsia="宋体" w:cs="Times New Roman"/>
                      <w:color w:val="auto"/>
                      <w:sz w:val="18"/>
                      <w:szCs w:val="18"/>
                      <w:highlight w:val="none"/>
                      <w:lang w:val="en-US" w:eastAsia="zh-CN"/>
                    </w:rPr>
                  </w:pPr>
                  <w:r>
                    <w:rPr>
                      <w:rFonts w:hint="eastAsia" w:ascii="Times New Roman" w:hAnsi="Times New Roman" w:eastAsia="宋体" w:cs="Times New Roman"/>
                      <w:color w:val="auto"/>
                      <w:sz w:val="18"/>
                      <w:szCs w:val="18"/>
                      <w:highlight w:val="none"/>
                      <w:lang w:val="en-US" w:eastAsia="zh-CN"/>
                    </w:rPr>
                    <w:t>1</w:t>
                  </w:r>
                  <w:r>
                    <w:rPr>
                      <w:rFonts w:hint="eastAsia" w:ascii="Times New Roman" w:hAnsi="Times New Roman" w:eastAsia="宋体" w:cs="Times New Roman"/>
                      <w:color w:val="auto"/>
                      <w:sz w:val="18"/>
                      <w:szCs w:val="18"/>
                      <w:highlight w:val="none"/>
                    </w:rPr>
                    <w:t>0L</w:t>
                  </w:r>
                </w:p>
              </w:tc>
              <w:tc>
                <w:tcPr>
                  <w:tcW w:w="368" w:type="pct"/>
                  <w:tcBorders>
                    <w:top w:val="single" w:color="auto" w:sz="4" w:space="0"/>
                    <w:left w:val="single" w:color="auto" w:sz="4" w:space="0"/>
                    <w:bottom w:val="single" w:color="auto" w:sz="4" w:space="0"/>
                    <w:right w:val="single" w:color="auto" w:sz="4" w:space="0"/>
                  </w:tcBorders>
                  <w:vAlign w:val="center"/>
                </w:tcPr>
                <w:p w14:paraId="487CF411">
                  <w:pPr>
                    <w:keepNext w:val="0"/>
                    <w:keepLines w:val="0"/>
                    <w:pageBreakBefore w:val="0"/>
                    <w:suppressLineNumbers w:val="0"/>
                    <w:kinsoku/>
                    <w:wordWrap/>
                    <w:overflowPunct/>
                    <w:topLinePunct w:val="0"/>
                    <w:bidi w:val="0"/>
                    <w:adjustRightInd w:val="0"/>
                    <w:snapToGrid w:val="0"/>
                    <w:spacing w:before="0" w:beforeAutospacing="0" w:after="0" w:afterAutospacing="0" w:line="276" w:lineRule="auto"/>
                    <w:ind w:left="0" w:right="0"/>
                    <w:jc w:val="center"/>
                    <w:rPr>
                      <w:rFonts w:hint="eastAsia" w:ascii="Times New Roman" w:hAnsi="Times New Roman" w:eastAsia="宋体" w:cs="Times New Roman"/>
                      <w:color w:val="auto"/>
                      <w:sz w:val="18"/>
                      <w:szCs w:val="18"/>
                      <w:highlight w:val="none"/>
                      <w:lang w:val="en-US" w:eastAsia="zh-CN"/>
                    </w:rPr>
                  </w:pPr>
                  <w:r>
                    <w:rPr>
                      <w:rFonts w:hint="eastAsia" w:ascii="Times New Roman" w:hAnsi="Times New Roman" w:eastAsia="宋体" w:cs="Times New Roman"/>
                      <w:color w:val="auto"/>
                      <w:sz w:val="18"/>
                      <w:szCs w:val="18"/>
                      <w:highlight w:val="none"/>
                      <w:lang w:eastAsia="zh-CN"/>
                    </w:rPr>
                    <w:t>液态</w:t>
                  </w:r>
                </w:p>
              </w:tc>
              <w:tc>
                <w:tcPr>
                  <w:tcW w:w="892" w:type="pct"/>
                  <w:tcBorders>
                    <w:left w:val="single" w:color="auto" w:sz="4" w:space="0"/>
                    <w:right w:val="single" w:color="auto" w:sz="4" w:space="0"/>
                  </w:tcBorders>
                  <w:vAlign w:val="center"/>
                </w:tcPr>
                <w:p w14:paraId="67695F35">
                  <w:pPr>
                    <w:pStyle w:val="120"/>
                    <w:keepNext w:val="0"/>
                    <w:keepLines w:val="0"/>
                    <w:pageBreakBefore w:val="0"/>
                    <w:framePr w:hSpace="0" w:wrap="auto" w:vAnchor="margin" w:hAnchor="text" w:xAlign="left" w:yAlign="inline"/>
                    <w:suppressLineNumbers w:val="0"/>
                    <w:kinsoku/>
                    <w:wordWrap/>
                    <w:overflowPunct/>
                    <w:topLinePunct w:val="0"/>
                    <w:bidi w:val="0"/>
                    <w:adjustRightInd w:val="0"/>
                    <w:snapToGrid w:val="0"/>
                    <w:spacing w:before="0" w:beforeAutospacing="0" w:after="0" w:afterAutospacing="0" w:line="276" w:lineRule="auto"/>
                    <w:ind w:left="0" w:right="0"/>
                    <w:jc w:val="center"/>
                    <w:rPr>
                      <w:rFonts w:hint="eastAsia" w:ascii="Times New Roman" w:hAnsi="Times New Roman" w:eastAsia="宋体" w:cs="Times New Roman"/>
                      <w:color w:val="auto"/>
                      <w:sz w:val="18"/>
                      <w:szCs w:val="18"/>
                      <w:highlight w:val="none"/>
                      <w:lang w:eastAsia="zh-CN"/>
                    </w:rPr>
                  </w:pPr>
                  <w:r>
                    <w:rPr>
                      <w:rFonts w:hint="eastAsia" w:ascii="Times New Roman" w:hAnsi="Times New Roman" w:eastAsia="宋体" w:cs="Times New Roman"/>
                      <w:color w:val="auto"/>
                      <w:sz w:val="18"/>
                      <w:szCs w:val="18"/>
                      <w:highlight w:val="none"/>
                      <w:lang w:eastAsia="zh-CN"/>
                    </w:rPr>
                    <w:t>蛋白印迹</w:t>
                  </w:r>
                </w:p>
              </w:tc>
            </w:tr>
            <w:tr w14:paraId="5C62078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7" w:type="dxa"/>
                  <w:bottom w:w="0" w:type="dxa"/>
                  <w:right w:w="17" w:type="dxa"/>
                </w:tblCellMar>
              </w:tblPrEx>
              <w:trPr>
                <w:trHeight w:val="0" w:hRule="atLeast"/>
                <w:jc w:val="center"/>
              </w:trPr>
              <w:tc>
                <w:tcPr>
                  <w:tcW w:w="283" w:type="pct"/>
                  <w:tcBorders>
                    <w:top w:val="single" w:color="auto" w:sz="4" w:space="0"/>
                    <w:left w:val="single" w:color="auto" w:sz="4" w:space="0"/>
                    <w:bottom w:val="single" w:color="auto" w:sz="4" w:space="0"/>
                    <w:right w:val="single" w:color="auto" w:sz="4" w:space="0"/>
                  </w:tcBorders>
                  <w:vAlign w:val="center"/>
                </w:tcPr>
                <w:p w14:paraId="1166B757">
                  <w:pPr>
                    <w:keepNext w:val="0"/>
                    <w:keepLines w:val="0"/>
                    <w:pageBreakBefore w:val="0"/>
                    <w:suppressLineNumbers w:val="0"/>
                    <w:kinsoku/>
                    <w:wordWrap/>
                    <w:overflowPunct/>
                    <w:topLinePunct w:val="0"/>
                    <w:bidi w:val="0"/>
                    <w:adjustRightInd w:val="0"/>
                    <w:snapToGrid w:val="0"/>
                    <w:spacing w:before="0" w:beforeAutospacing="0" w:after="0" w:afterAutospacing="0" w:line="276" w:lineRule="auto"/>
                    <w:ind w:left="0" w:right="0"/>
                    <w:jc w:val="center"/>
                    <w:rPr>
                      <w:rFonts w:hint="eastAsia" w:cs="Times New Roman"/>
                      <w:kern w:val="2"/>
                      <w:sz w:val="18"/>
                      <w:szCs w:val="18"/>
                      <w:highlight w:val="none"/>
                      <w:lang w:val="en-US" w:eastAsia="zh-CN" w:bidi="ar-SA"/>
                    </w:rPr>
                  </w:pPr>
                  <w:r>
                    <w:rPr>
                      <w:rFonts w:hint="eastAsia" w:cs="Times New Roman"/>
                      <w:kern w:val="2"/>
                      <w:sz w:val="18"/>
                      <w:szCs w:val="18"/>
                      <w:highlight w:val="none"/>
                      <w:lang w:val="en-US" w:eastAsia="zh-CN" w:bidi="ar-SA"/>
                    </w:rPr>
                    <w:t>49</w:t>
                  </w:r>
                </w:p>
              </w:tc>
              <w:tc>
                <w:tcPr>
                  <w:tcW w:w="894" w:type="pct"/>
                  <w:tcBorders>
                    <w:top w:val="single" w:color="auto" w:sz="4" w:space="0"/>
                    <w:left w:val="single" w:color="auto" w:sz="4" w:space="0"/>
                    <w:bottom w:val="single" w:color="auto" w:sz="4" w:space="0"/>
                    <w:right w:val="single" w:color="auto" w:sz="4" w:space="0"/>
                  </w:tcBorders>
                  <w:vAlign w:val="center"/>
                </w:tcPr>
                <w:p w14:paraId="46D924D4">
                  <w:pPr>
                    <w:pStyle w:val="120"/>
                    <w:keepNext w:val="0"/>
                    <w:keepLines w:val="0"/>
                    <w:pageBreakBefore w:val="0"/>
                    <w:framePr w:hSpace="0" w:wrap="auto" w:vAnchor="margin" w:hAnchor="text" w:xAlign="left" w:yAlign="inline"/>
                    <w:suppressLineNumbers w:val="0"/>
                    <w:kinsoku/>
                    <w:wordWrap/>
                    <w:overflowPunct/>
                    <w:topLinePunct w:val="0"/>
                    <w:bidi w:val="0"/>
                    <w:adjustRightInd w:val="0"/>
                    <w:snapToGrid w:val="0"/>
                    <w:spacing w:before="0" w:beforeAutospacing="0" w:after="0" w:afterAutospacing="0" w:line="276" w:lineRule="auto"/>
                    <w:ind w:left="0" w:right="0"/>
                    <w:jc w:val="center"/>
                    <w:rPr>
                      <w:rFonts w:hint="eastAsia" w:ascii="Times New Roman" w:hAnsi="Times New Roman" w:eastAsia="宋体" w:cs="Times New Roman"/>
                      <w:color w:val="auto"/>
                      <w:sz w:val="18"/>
                      <w:szCs w:val="18"/>
                      <w:highlight w:val="none"/>
                      <w:lang w:val="en-US" w:eastAsia="zh-CN"/>
                    </w:rPr>
                  </w:pPr>
                  <w:r>
                    <w:rPr>
                      <w:rFonts w:hint="eastAsia" w:ascii="Times New Roman" w:hAnsi="Times New Roman" w:eastAsia="宋体" w:cs="Times New Roman"/>
                      <w:color w:val="auto"/>
                      <w:sz w:val="18"/>
                      <w:szCs w:val="18"/>
                      <w:highlight w:val="none"/>
                    </w:rPr>
                    <w:t>无水乙醇</w:t>
                  </w:r>
                </w:p>
              </w:tc>
              <w:tc>
                <w:tcPr>
                  <w:tcW w:w="523" w:type="pct"/>
                  <w:tcBorders>
                    <w:top w:val="single" w:color="auto" w:sz="4" w:space="0"/>
                    <w:left w:val="single" w:color="auto" w:sz="4" w:space="0"/>
                    <w:bottom w:val="single" w:color="auto" w:sz="4" w:space="0"/>
                    <w:right w:val="single" w:color="auto" w:sz="4" w:space="0"/>
                  </w:tcBorders>
                  <w:vAlign w:val="center"/>
                </w:tcPr>
                <w:p w14:paraId="3C8C6AAB">
                  <w:pPr>
                    <w:pStyle w:val="120"/>
                    <w:keepNext w:val="0"/>
                    <w:keepLines w:val="0"/>
                    <w:pageBreakBefore w:val="0"/>
                    <w:framePr w:hSpace="0" w:wrap="auto" w:vAnchor="margin" w:hAnchor="text" w:xAlign="left" w:yAlign="inline"/>
                    <w:suppressLineNumbers w:val="0"/>
                    <w:kinsoku/>
                    <w:wordWrap/>
                    <w:overflowPunct/>
                    <w:topLinePunct w:val="0"/>
                    <w:bidi w:val="0"/>
                    <w:adjustRightInd w:val="0"/>
                    <w:snapToGrid w:val="0"/>
                    <w:spacing w:before="0" w:beforeAutospacing="0" w:after="0" w:afterAutospacing="0" w:line="276" w:lineRule="auto"/>
                    <w:ind w:left="0" w:right="0"/>
                    <w:jc w:val="center"/>
                    <w:rPr>
                      <w:rFonts w:hint="default" w:ascii="Times New Roman" w:hAnsi="Times New Roman" w:eastAsia="宋体" w:cs="Times New Roman"/>
                      <w:color w:val="auto"/>
                      <w:sz w:val="18"/>
                      <w:szCs w:val="18"/>
                      <w:highlight w:val="none"/>
                      <w:lang w:val="en-US" w:eastAsia="zh-CN"/>
                    </w:rPr>
                  </w:pPr>
                  <w:r>
                    <w:rPr>
                      <w:rFonts w:hint="eastAsia" w:ascii="Times New Roman" w:hAnsi="Times New Roman" w:eastAsia="宋体" w:cs="Times New Roman"/>
                      <w:color w:val="auto"/>
                      <w:sz w:val="18"/>
                      <w:szCs w:val="18"/>
                      <w:highlight w:val="none"/>
                      <w:lang w:val="en-US" w:eastAsia="zh-CN"/>
                    </w:rPr>
                    <w:t>4</w:t>
                  </w:r>
                  <w:r>
                    <w:rPr>
                      <w:rFonts w:hint="eastAsia" w:ascii="Times New Roman" w:hAnsi="Times New Roman" w:eastAsia="宋体" w:cs="Times New Roman"/>
                      <w:color w:val="auto"/>
                      <w:sz w:val="18"/>
                      <w:szCs w:val="18"/>
                      <w:highlight w:val="none"/>
                    </w:rPr>
                    <w:t>0</w:t>
                  </w:r>
                  <w:r>
                    <w:rPr>
                      <w:rFonts w:hint="eastAsia" w:cs="Times New Roman"/>
                      <w:color w:val="auto"/>
                      <w:sz w:val="18"/>
                      <w:szCs w:val="18"/>
                      <w:highlight w:val="none"/>
                      <w:lang w:val="en-US" w:eastAsia="zh-CN"/>
                    </w:rPr>
                    <w:t>00</w:t>
                  </w:r>
                  <w:r>
                    <w:rPr>
                      <w:rFonts w:hint="eastAsia" w:ascii="Times New Roman" w:hAnsi="Times New Roman" w:eastAsia="宋体" w:cs="Times New Roman"/>
                      <w:color w:val="auto"/>
                      <w:sz w:val="18"/>
                      <w:szCs w:val="18"/>
                      <w:highlight w:val="none"/>
                    </w:rPr>
                    <w:t>升</w:t>
                  </w:r>
                </w:p>
              </w:tc>
              <w:tc>
                <w:tcPr>
                  <w:tcW w:w="1451" w:type="pct"/>
                  <w:tcBorders>
                    <w:top w:val="single" w:color="auto" w:sz="4" w:space="0"/>
                    <w:left w:val="single" w:color="auto" w:sz="4" w:space="0"/>
                    <w:bottom w:val="single" w:color="auto" w:sz="4" w:space="0"/>
                    <w:right w:val="single" w:color="auto" w:sz="4" w:space="0"/>
                  </w:tcBorders>
                  <w:vAlign w:val="center"/>
                </w:tcPr>
                <w:p w14:paraId="786A551B">
                  <w:pPr>
                    <w:pStyle w:val="120"/>
                    <w:keepNext w:val="0"/>
                    <w:keepLines w:val="0"/>
                    <w:pageBreakBefore w:val="0"/>
                    <w:framePr w:hSpace="0" w:wrap="auto" w:vAnchor="margin" w:hAnchor="text" w:xAlign="left" w:yAlign="inline"/>
                    <w:suppressLineNumbers w:val="0"/>
                    <w:kinsoku/>
                    <w:wordWrap/>
                    <w:overflowPunct/>
                    <w:topLinePunct w:val="0"/>
                    <w:bidi w:val="0"/>
                    <w:adjustRightInd w:val="0"/>
                    <w:snapToGrid w:val="0"/>
                    <w:spacing w:before="0" w:beforeAutospacing="0" w:after="0" w:afterAutospacing="0" w:line="276" w:lineRule="auto"/>
                    <w:ind w:left="0" w:right="0"/>
                    <w:jc w:val="center"/>
                    <w:rPr>
                      <w:rFonts w:hint="default" w:ascii="Times New Roman" w:hAnsi="Times New Roman" w:eastAsia="宋体" w:cs="Times New Roman"/>
                      <w:color w:val="auto"/>
                      <w:sz w:val="18"/>
                      <w:szCs w:val="18"/>
                      <w:highlight w:val="none"/>
                      <w:lang w:val="en-US" w:eastAsia="zh-CN"/>
                    </w:rPr>
                  </w:pPr>
                  <w:r>
                    <w:rPr>
                      <w:rFonts w:hint="eastAsia" w:ascii="Times New Roman" w:hAnsi="Times New Roman" w:eastAsia="宋体" w:cs="Times New Roman"/>
                      <w:color w:val="auto"/>
                      <w:sz w:val="18"/>
                      <w:szCs w:val="18"/>
                      <w:highlight w:val="none"/>
                    </w:rPr>
                    <w:t>20升/桶</w:t>
                  </w:r>
                </w:p>
              </w:tc>
              <w:tc>
                <w:tcPr>
                  <w:tcW w:w="586" w:type="pct"/>
                  <w:tcBorders>
                    <w:top w:val="single" w:color="auto" w:sz="4" w:space="0"/>
                    <w:left w:val="single" w:color="auto" w:sz="4" w:space="0"/>
                    <w:bottom w:val="single" w:color="auto" w:sz="4" w:space="0"/>
                    <w:right w:val="single" w:color="auto" w:sz="4" w:space="0"/>
                  </w:tcBorders>
                  <w:vAlign w:val="center"/>
                </w:tcPr>
                <w:p w14:paraId="4C860B7C">
                  <w:pPr>
                    <w:pStyle w:val="120"/>
                    <w:keepNext w:val="0"/>
                    <w:keepLines w:val="0"/>
                    <w:pageBreakBefore w:val="0"/>
                    <w:framePr w:hSpace="0" w:wrap="auto" w:vAnchor="margin" w:hAnchor="text" w:xAlign="left" w:yAlign="inline"/>
                    <w:suppressLineNumbers w:val="0"/>
                    <w:kinsoku/>
                    <w:wordWrap/>
                    <w:overflowPunct/>
                    <w:topLinePunct w:val="0"/>
                    <w:bidi w:val="0"/>
                    <w:adjustRightInd w:val="0"/>
                    <w:snapToGrid w:val="0"/>
                    <w:spacing w:before="0" w:beforeAutospacing="0" w:after="0" w:afterAutospacing="0" w:line="276" w:lineRule="auto"/>
                    <w:ind w:left="0" w:right="0"/>
                    <w:jc w:val="center"/>
                    <w:rPr>
                      <w:rFonts w:hint="default" w:ascii="Times New Roman" w:hAnsi="Times New Roman" w:eastAsia="宋体" w:cs="Times New Roman"/>
                      <w:color w:val="auto"/>
                      <w:sz w:val="18"/>
                      <w:szCs w:val="18"/>
                      <w:highlight w:val="none"/>
                      <w:lang w:val="en-US" w:eastAsia="zh-CN"/>
                    </w:rPr>
                  </w:pPr>
                  <w:r>
                    <w:rPr>
                      <w:rFonts w:hint="eastAsia" w:ascii="Times New Roman" w:hAnsi="Times New Roman" w:eastAsia="宋体" w:cs="Times New Roman"/>
                      <w:color w:val="auto"/>
                      <w:sz w:val="18"/>
                      <w:szCs w:val="18"/>
                      <w:highlight w:val="none"/>
                      <w:lang w:val="en-US" w:eastAsia="zh-CN"/>
                    </w:rPr>
                    <w:t>4</w:t>
                  </w:r>
                  <w:r>
                    <w:rPr>
                      <w:rFonts w:hint="eastAsia" w:ascii="Times New Roman" w:hAnsi="Times New Roman" w:eastAsia="宋体" w:cs="Times New Roman"/>
                      <w:color w:val="auto"/>
                      <w:sz w:val="18"/>
                      <w:szCs w:val="18"/>
                      <w:highlight w:val="none"/>
                    </w:rPr>
                    <w:t>0</w:t>
                  </w:r>
                  <w:r>
                    <w:rPr>
                      <w:rFonts w:hint="eastAsia" w:cs="Times New Roman"/>
                      <w:color w:val="auto"/>
                      <w:sz w:val="18"/>
                      <w:szCs w:val="18"/>
                      <w:highlight w:val="none"/>
                      <w:lang w:val="en-US" w:eastAsia="zh-CN"/>
                    </w:rPr>
                    <w:t>0</w:t>
                  </w:r>
                  <w:r>
                    <w:rPr>
                      <w:rFonts w:hint="eastAsia" w:ascii="Times New Roman" w:hAnsi="Times New Roman" w:eastAsia="宋体" w:cs="Times New Roman"/>
                      <w:color w:val="auto"/>
                      <w:sz w:val="18"/>
                      <w:szCs w:val="18"/>
                      <w:highlight w:val="none"/>
                    </w:rPr>
                    <w:t>升</w:t>
                  </w:r>
                </w:p>
              </w:tc>
              <w:tc>
                <w:tcPr>
                  <w:tcW w:w="368" w:type="pct"/>
                  <w:tcBorders>
                    <w:top w:val="single" w:color="auto" w:sz="4" w:space="0"/>
                    <w:left w:val="single" w:color="auto" w:sz="4" w:space="0"/>
                    <w:bottom w:val="single" w:color="auto" w:sz="4" w:space="0"/>
                    <w:right w:val="single" w:color="auto" w:sz="4" w:space="0"/>
                  </w:tcBorders>
                  <w:vAlign w:val="center"/>
                </w:tcPr>
                <w:p w14:paraId="1C98A8ED">
                  <w:pPr>
                    <w:keepNext w:val="0"/>
                    <w:keepLines w:val="0"/>
                    <w:pageBreakBefore w:val="0"/>
                    <w:suppressLineNumbers w:val="0"/>
                    <w:kinsoku/>
                    <w:wordWrap/>
                    <w:overflowPunct/>
                    <w:topLinePunct w:val="0"/>
                    <w:bidi w:val="0"/>
                    <w:adjustRightInd w:val="0"/>
                    <w:snapToGrid w:val="0"/>
                    <w:spacing w:before="0" w:beforeAutospacing="0" w:after="0" w:afterAutospacing="0" w:line="276" w:lineRule="auto"/>
                    <w:ind w:left="0" w:right="0"/>
                    <w:jc w:val="center"/>
                    <w:rPr>
                      <w:rFonts w:hint="eastAsia" w:ascii="Times New Roman" w:hAnsi="Times New Roman" w:eastAsia="宋体" w:cs="Times New Roman"/>
                      <w:color w:val="auto"/>
                      <w:sz w:val="18"/>
                      <w:szCs w:val="18"/>
                      <w:highlight w:val="none"/>
                      <w:lang w:val="en-US" w:eastAsia="zh-CN"/>
                    </w:rPr>
                  </w:pPr>
                  <w:r>
                    <w:rPr>
                      <w:rFonts w:hint="eastAsia" w:ascii="Times New Roman" w:hAnsi="Times New Roman" w:eastAsia="宋体" w:cs="Times New Roman"/>
                      <w:color w:val="auto"/>
                      <w:sz w:val="18"/>
                      <w:szCs w:val="18"/>
                      <w:highlight w:val="none"/>
                      <w:lang w:eastAsia="zh-CN"/>
                    </w:rPr>
                    <w:t>液态</w:t>
                  </w:r>
                </w:p>
              </w:tc>
              <w:tc>
                <w:tcPr>
                  <w:tcW w:w="892" w:type="pct"/>
                  <w:tcBorders>
                    <w:left w:val="single" w:color="auto" w:sz="4" w:space="0"/>
                    <w:right w:val="single" w:color="auto" w:sz="4" w:space="0"/>
                  </w:tcBorders>
                  <w:vAlign w:val="center"/>
                </w:tcPr>
                <w:p w14:paraId="38FDA928">
                  <w:pPr>
                    <w:pStyle w:val="120"/>
                    <w:keepNext w:val="0"/>
                    <w:keepLines w:val="0"/>
                    <w:pageBreakBefore w:val="0"/>
                    <w:framePr w:hSpace="0" w:wrap="auto" w:vAnchor="margin" w:hAnchor="text" w:xAlign="left" w:yAlign="inline"/>
                    <w:suppressLineNumbers w:val="0"/>
                    <w:kinsoku/>
                    <w:wordWrap/>
                    <w:overflowPunct/>
                    <w:topLinePunct w:val="0"/>
                    <w:bidi w:val="0"/>
                    <w:adjustRightInd w:val="0"/>
                    <w:snapToGrid w:val="0"/>
                    <w:spacing w:before="0" w:beforeAutospacing="0" w:after="0" w:afterAutospacing="0" w:line="276" w:lineRule="auto"/>
                    <w:ind w:left="0" w:right="0"/>
                    <w:jc w:val="center"/>
                    <w:rPr>
                      <w:rFonts w:hint="eastAsia" w:ascii="Times New Roman" w:hAnsi="Times New Roman" w:eastAsia="宋体" w:cs="Times New Roman"/>
                      <w:color w:val="auto"/>
                      <w:sz w:val="18"/>
                      <w:szCs w:val="18"/>
                      <w:highlight w:val="none"/>
                      <w:lang w:eastAsia="zh-CN"/>
                    </w:rPr>
                  </w:pPr>
                  <w:r>
                    <w:rPr>
                      <w:rFonts w:hint="eastAsia" w:ascii="Times New Roman" w:hAnsi="Times New Roman" w:eastAsia="宋体" w:cs="Times New Roman"/>
                      <w:color w:val="auto"/>
                      <w:sz w:val="18"/>
                      <w:szCs w:val="18"/>
                      <w:highlight w:val="none"/>
                      <w:lang w:eastAsia="zh-CN"/>
                    </w:rPr>
                    <w:t>药剂制备、</w:t>
                  </w:r>
                </w:p>
                <w:p w14:paraId="7C1CCAE2">
                  <w:pPr>
                    <w:pStyle w:val="120"/>
                    <w:keepNext w:val="0"/>
                    <w:keepLines w:val="0"/>
                    <w:pageBreakBefore w:val="0"/>
                    <w:framePr w:hSpace="0" w:wrap="auto" w:vAnchor="margin" w:hAnchor="text" w:xAlign="left" w:yAlign="inline"/>
                    <w:suppressLineNumbers w:val="0"/>
                    <w:kinsoku/>
                    <w:wordWrap/>
                    <w:overflowPunct/>
                    <w:topLinePunct w:val="0"/>
                    <w:bidi w:val="0"/>
                    <w:adjustRightInd w:val="0"/>
                    <w:snapToGrid w:val="0"/>
                    <w:spacing w:before="0" w:beforeAutospacing="0" w:after="0" w:afterAutospacing="0" w:line="276" w:lineRule="auto"/>
                    <w:ind w:left="0" w:right="0"/>
                    <w:jc w:val="center"/>
                    <w:rPr>
                      <w:rFonts w:hint="eastAsia" w:ascii="Times New Roman" w:hAnsi="Times New Roman" w:eastAsia="宋体" w:cs="Times New Roman"/>
                      <w:color w:val="auto"/>
                      <w:sz w:val="18"/>
                      <w:szCs w:val="18"/>
                      <w:highlight w:val="none"/>
                      <w:lang w:eastAsia="zh-CN"/>
                    </w:rPr>
                  </w:pPr>
                  <w:r>
                    <w:rPr>
                      <w:rFonts w:hint="eastAsia" w:ascii="Times New Roman" w:hAnsi="Times New Roman" w:eastAsia="宋体" w:cs="Times New Roman"/>
                      <w:color w:val="auto"/>
                      <w:sz w:val="18"/>
                      <w:szCs w:val="18"/>
                      <w:highlight w:val="none"/>
                      <w:lang w:eastAsia="zh-CN"/>
                    </w:rPr>
                    <w:t>分子生物</w:t>
                  </w:r>
                </w:p>
                <w:p w14:paraId="2222865A">
                  <w:pPr>
                    <w:pStyle w:val="120"/>
                    <w:keepNext w:val="0"/>
                    <w:keepLines w:val="0"/>
                    <w:pageBreakBefore w:val="0"/>
                    <w:framePr w:hSpace="0" w:wrap="auto" w:vAnchor="margin" w:hAnchor="text" w:xAlign="left" w:yAlign="inline"/>
                    <w:suppressLineNumbers w:val="0"/>
                    <w:kinsoku/>
                    <w:wordWrap/>
                    <w:overflowPunct/>
                    <w:topLinePunct w:val="0"/>
                    <w:bidi w:val="0"/>
                    <w:adjustRightInd w:val="0"/>
                    <w:snapToGrid w:val="0"/>
                    <w:spacing w:before="0" w:beforeAutospacing="0" w:after="0" w:afterAutospacing="0" w:line="276" w:lineRule="auto"/>
                    <w:ind w:left="0" w:right="0"/>
                    <w:jc w:val="center"/>
                    <w:rPr>
                      <w:rFonts w:hint="eastAsia" w:ascii="Times New Roman" w:hAnsi="Times New Roman" w:eastAsia="宋体" w:cs="Times New Roman"/>
                      <w:color w:val="auto"/>
                      <w:sz w:val="18"/>
                      <w:szCs w:val="18"/>
                      <w:highlight w:val="none"/>
                      <w:lang w:eastAsia="zh-CN"/>
                    </w:rPr>
                  </w:pPr>
                  <w:r>
                    <w:rPr>
                      <w:rFonts w:hint="eastAsia" w:ascii="Times New Roman" w:hAnsi="Times New Roman" w:eastAsia="宋体" w:cs="Times New Roman"/>
                      <w:color w:val="auto"/>
                      <w:sz w:val="18"/>
                      <w:szCs w:val="18"/>
                      <w:highlight w:val="none"/>
                      <w:lang w:eastAsia="zh-CN"/>
                    </w:rPr>
                    <w:t>实验</w:t>
                  </w:r>
                </w:p>
              </w:tc>
            </w:tr>
            <w:tr w14:paraId="07C2387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7" w:type="dxa"/>
                  <w:bottom w:w="0" w:type="dxa"/>
                  <w:right w:w="17" w:type="dxa"/>
                </w:tblCellMar>
              </w:tblPrEx>
              <w:trPr>
                <w:trHeight w:val="0" w:hRule="atLeast"/>
                <w:jc w:val="center"/>
              </w:trPr>
              <w:tc>
                <w:tcPr>
                  <w:tcW w:w="283" w:type="pct"/>
                  <w:tcBorders>
                    <w:top w:val="single" w:color="auto" w:sz="4" w:space="0"/>
                    <w:left w:val="single" w:color="auto" w:sz="4" w:space="0"/>
                    <w:bottom w:val="single" w:color="auto" w:sz="4" w:space="0"/>
                    <w:right w:val="single" w:color="auto" w:sz="4" w:space="0"/>
                  </w:tcBorders>
                  <w:vAlign w:val="center"/>
                </w:tcPr>
                <w:p w14:paraId="4ABBB573">
                  <w:pPr>
                    <w:keepNext w:val="0"/>
                    <w:keepLines w:val="0"/>
                    <w:pageBreakBefore w:val="0"/>
                    <w:suppressLineNumbers w:val="0"/>
                    <w:kinsoku/>
                    <w:wordWrap/>
                    <w:overflowPunct/>
                    <w:topLinePunct w:val="0"/>
                    <w:bidi w:val="0"/>
                    <w:adjustRightInd w:val="0"/>
                    <w:snapToGrid w:val="0"/>
                    <w:spacing w:before="0" w:beforeAutospacing="0" w:after="0" w:afterAutospacing="0" w:line="276" w:lineRule="auto"/>
                    <w:ind w:left="0" w:right="0"/>
                    <w:jc w:val="center"/>
                    <w:rPr>
                      <w:rFonts w:hint="eastAsia" w:cs="Times New Roman"/>
                      <w:kern w:val="2"/>
                      <w:sz w:val="18"/>
                      <w:szCs w:val="18"/>
                      <w:highlight w:val="none"/>
                      <w:lang w:val="en-US" w:eastAsia="zh-CN" w:bidi="ar-SA"/>
                    </w:rPr>
                  </w:pPr>
                  <w:r>
                    <w:rPr>
                      <w:rFonts w:hint="eastAsia" w:cs="Times New Roman"/>
                      <w:kern w:val="2"/>
                      <w:sz w:val="18"/>
                      <w:szCs w:val="18"/>
                      <w:highlight w:val="none"/>
                      <w:lang w:val="en-US" w:eastAsia="zh-CN" w:bidi="ar-SA"/>
                    </w:rPr>
                    <w:t>50</w:t>
                  </w:r>
                </w:p>
              </w:tc>
              <w:tc>
                <w:tcPr>
                  <w:tcW w:w="894" w:type="pct"/>
                  <w:tcBorders>
                    <w:top w:val="single" w:color="auto" w:sz="4" w:space="0"/>
                    <w:left w:val="single" w:color="auto" w:sz="4" w:space="0"/>
                    <w:bottom w:val="single" w:color="auto" w:sz="4" w:space="0"/>
                    <w:right w:val="single" w:color="auto" w:sz="4" w:space="0"/>
                  </w:tcBorders>
                  <w:vAlign w:val="center"/>
                </w:tcPr>
                <w:p w14:paraId="00E68170">
                  <w:pPr>
                    <w:pStyle w:val="120"/>
                    <w:keepNext w:val="0"/>
                    <w:keepLines w:val="0"/>
                    <w:pageBreakBefore w:val="0"/>
                    <w:framePr w:hSpace="0" w:wrap="auto" w:vAnchor="margin" w:hAnchor="text" w:xAlign="left" w:yAlign="inline"/>
                    <w:suppressLineNumbers w:val="0"/>
                    <w:kinsoku/>
                    <w:wordWrap/>
                    <w:overflowPunct/>
                    <w:topLinePunct w:val="0"/>
                    <w:bidi w:val="0"/>
                    <w:adjustRightInd w:val="0"/>
                    <w:snapToGrid w:val="0"/>
                    <w:spacing w:before="0" w:beforeAutospacing="0" w:after="0" w:afterAutospacing="0" w:line="276" w:lineRule="auto"/>
                    <w:ind w:left="0" w:right="0"/>
                    <w:jc w:val="center"/>
                    <w:rPr>
                      <w:rFonts w:hint="default" w:ascii="Times New Roman" w:hAnsi="Times New Roman" w:eastAsia="宋体" w:cs="Times New Roman"/>
                      <w:color w:val="auto"/>
                      <w:sz w:val="18"/>
                      <w:szCs w:val="18"/>
                      <w:highlight w:val="none"/>
                      <w:lang w:val="en-US" w:eastAsia="zh-CN"/>
                    </w:rPr>
                  </w:pPr>
                  <w:r>
                    <w:rPr>
                      <w:rFonts w:hint="eastAsia" w:ascii="Times New Roman" w:hAnsi="Times New Roman" w:eastAsia="宋体" w:cs="Times New Roman"/>
                      <w:color w:val="auto"/>
                      <w:sz w:val="18"/>
                      <w:szCs w:val="18"/>
                      <w:highlight w:val="none"/>
                      <w:lang w:val="en-US" w:eastAsia="zh-CN"/>
                    </w:rPr>
                    <w:t>片碱</w:t>
                  </w:r>
                </w:p>
              </w:tc>
              <w:tc>
                <w:tcPr>
                  <w:tcW w:w="523" w:type="pct"/>
                  <w:tcBorders>
                    <w:top w:val="single" w:color="auto" w:sz="4" w:space="0"/>
                    <w:left w:val="single" w:color="auto" w:sz="4" w:space="0"/>
                    <w:bottom w:val="single" w:color="auto" w:sz="4" w:space="0"/>
                    <w:right w:val="single" w:color="auto" w:sz="4" w:space="0"/>
                  </w:tcBorders>
                  <w:vAlign w:val="center"/>
                </w:tcPr>
                <w:p w14:paraId="31502A30">
                  <w:pPr>
                    <w:pStyle w:val="120"/>
                    <w:keepNext w:val="0"/>
                    <w:keepLines w:val="0"/>
                    <w:pageBreakBefore w:val="0"/>
                    <w:framePr w:hSpace="0" w:wrap="auto" w:vAnchor="margin" w:hAnchor="text" w:xAlign="left" w:yAlign="inline"/>
                    <w:suppressLineNumbers w:val="0"/>
                    <w:kinsoku/>
                    <w:wordWrap/>
                    <w:overflowPunct/>
                    <w:topLinePunct w:val="0"/>
                    <w:bidi w:val="0"/>
                    <w:adjustRightInd w:val="0"/>
                    <w:snapToGrid w:val="0"/>
                    <w:spacing w:before="0" w:beforeAutospacing="0" w:after="0" w:afterAutospacing="0" w:line="276" w:lineRule="auto"/>
                    <w:ind w:left="0" w:right="0"/>
                    <w:jc w:val="center"/>
                    <w:rPr>
                      <w:rFonts w:hint="default" w:ascii="Times New Roman" w:hAnsi="Times New Roman" w:eastAsia="宋体" w:cs="Times New Roman"/>
                      <w:color w:val="auto"/>
                      <w:sz w:val="18"/>
                      <w:szCs w:val="18"/>
                      <w:highlight w:val="none"/>
                      <w:lang w:val="en-US" w:eastAsia="zh-CN"/>
                    </w:rPr>
                  </w:pPr>
                  <w:r>
                    <w:rPr>
                      <w:rFonts w:hint="eastAsia" w:ascii="Times New Roman" w:hAnsi="Times New Roman" w:eastAsia="宋体" w:cs="Times New Roman"/>
                      <w:color w:val="auto"/>
                      <w:sz w:val="18"/>
                      <w:szCs w:val="18"/>
                      <w:highlight w:val="none"/>
                      <w:lang w:val="en-US" w:eastAsia="zh-CN"/>
                    </w:rPr>
                    <w:t>0.75</w:t>
                  </w:r>
                </w:p>
              </w:tc>
              <w:tc>
                <w:tcPr>
                  <w:tcW w:w="1451" w:type="pct"/>
                  <w:tcBorders>
                    <w:top w:val="single" w:color="auto" w:sz="4" w:space="0"/>
                    <w:left w:val="single" w:color="auto" w:sz="4" w:space="0"/>
                    <w:bottom w:val="single" w:color="auto" w:sz="4" w:space="0"/>
                    <w:right w:val="single" w:color="auto" w:sz="4" w:space="0"/>
                  </w:tcBorders>
                  <w:vAlign w:val="center"/>
                </w:tcPr>
                <w:p w14:paraId="32F70715">
                  <w:pPr>
                    <w:pStyle w:val="120"/>
                    <w:keepNext w:val="0"/>
                    <w:keepLines w:val="0"/>
                    <w:pageBreakBefore w:val="0"/>
                    <w:framePr w:hSpace="0" w:wrap="auto" w:vAnchor="margin" w:hAnchor="text" w:xAlign="left" w:yAlign="inline"/>
                    <w:suppressLineNumbers w:val="0"/>
                    <w:kinsoku/>
                    <w:wordWrap/>
                    <w:overflowPunct/>
                    <w:topLinePunct w:val="0"/>
                    <w:bidi w:val="0"/>
                    <w:adjustRightInd w:val="0"/>
                    <w:snapToGrid w:val="0"/>
                    <w:spacing w:before="0" w:beforeAutospacing="0" w:after="0" w:afterAutospacing="0" w:line="276" w:lineRule="auto"/>
                    <w:ind w:left="0" w:right="0"/>
                    <w:jc w:val="center"/>
                    <w:rPr>
                      <w:rFonts w:hint="default" w:ascii="Times New Roman" w:hAnsi="Times New Roman" w:eastAsia="宋体" w:cs="Times New Roman"/>
                      <w:color w:val="auto"/>
                      <w:sz w:val="18"/>
                      <w:szCs w:val="18"/>
                      <w:highlight w:val="none"/>
                      <w:lang w:val="en-US" w:eastAsia="zh-CN"/>
                    </w:rPr>
                  </w:pPr>
                  <w:r>
                    <w:rPr>
                      <w:rFonts w:hint="eastAsia" w:ascii="Times New Roman" w:hAnsi="Times New Roman" w:eastAsia="宋体" w:cs="Times New Roman"/>
                      <w:color w:val="auto"/>
                      <w:sz w:val="18"/>
                      <w:szCs w:val="18"/>
                      <w:highlight w:val="none"/>
                    </w:rPr>
                    <w:t>25kg/袋</w:t>
                  </w:r>
                </w:p>
              </w:tc>
              <w:tc>
                <w:tcPr>
                  <w:tcW w:w="586" w:type="pct"/>
                  <w:tcBorders>
                    <w:top w:val="single" w:color="auto" w:sz="4" w:space="0"/>
                    <w:left w:val="single" w:color="auto" w:sz="4" w:space="0"/>
                    <w:bottom w:val="single" w:color="auto" w:sz="4" w:space="0"/>
                    <w:right w:val="single" w:color="auto" w:sz="4" w:space="0"/>
                  </w:tcBorders>
                  <w:vAlign w:val="center"/>
                </w:tcPr>
                <w:p w14:paraId="03BF6707">
                  <w:pPr>
                    <w:pStyle w:val="120"/>
                    <w:keepNext w:val="0"/>
                    <w:keepLines w:val="0"/>
                    <w:pageBreakBefore w:val="0"/>
                    <w:framePr w:hSpace="0" w:wrap="auto" w:vAnchor="margin" w:hAnchor="text" w:xAlign="left" w:yAlign="inline"/>
                    <w:suppressLineNumbers w:val="0"/>
                    <w:kinsoku/>
                    <w:wordWrap/>
                    <w:overflowPunct/>
                    <w:topLinePunct w:val="0"/>
                    <w:bidi w:val="0"/>
                    <w:adjustRightInd w:val="0"/>
                    <w:snapToGrid w:val="0"/>
                    <w:spacing w:before="0" w:beforeAutospacing="0" w:after="0" w:afterAutospacing="0" w:line="276" w:lineRule="auto"/>
                    <w:ind w:left="0" w:right="0"/>
                    <w:jc w:val="center"/>
                    <w:rPr>
                      <w:rFonts w:hint="default" w:ascii="Times New Roman" w:hAnsi="Times New Roman" w:eastAsia="宋体" w:cs="Times New Roman"/>
                      <w:color w:val="auto"/>
                      <w:sz w:val="18"/>
                      <w:szCs w:val="18"/>
                      <w:highlight w:val="none"/>
                      <w:lang w:val="en-US" w:eastAsia="zh-CN"/>
                    </w:rPr>
                  </w:pPr>
                  <w:r>
                    <w:rPr>
                      <w:rFonts w:hint="eastAsia" w:ascii="Times New Roman" w:hAnsi="Times New Roman" w:eastAsia="宋体" w:cs="Times New Roman"/>
                      <w:color w:val="auto"/>
                      <w:sz w:val="18"/>
                      <w:szCs w:val="18"/>
                      <w:highlight w:val="none"/>
                      <w:lang w:val="en-US" w:eastAsia="zh-CN"/>
                    </w:rPr>
                    <w:t>75kg</w:t>
                  </w:r>
                </w:p>
              </w:tc>
              <w:tc>
                <w:tcPr>
                  <w:tcW w:w="368" w:type="pct"/>
                  <w:tcBorders>
                    <w:top w:val="single" w:color="auto" w:sz="4" w:space="0"/>
                    <w:left w:val="single" w:color="auto" w:sz="4" w:space="0"/>
                    <w:bottom w:val="single" w:color="auto" w:sz="4" w:space="0"/>
                    <w:right w:val="single" w:color="auto" w:sz="4" w:space="0"/>
                  </w:tcBorders>
                  <w:vAlign w:val="center"/>
                </w:tcPr>
                <w:p w14:paraId="40FC755F">
                  <w:pPr>
                    <w:pStyle w:val="120"/>
                    <w:keepNext w:val="0"/>
                    <w:keepLines w:val="0"/>
                    <w:pageBreakBefore w:val="0"/>
                    <w:framePr w:hSpace="0" w:wrap="auto" w:vAnchor="margin" w:hAnchor="text" w:xAlign="left" w:yAlign="inline"/>
                    <w:suppressLineNumbers w:val="0"/>
                    <w:kinsoku/>
                    <w:wordWrap/>
                    <w:overflowPunct/>
                    <w:topLinePunct w:val="0"/>
                    <w:bidi w:val="0"/>
                    <w:adjustRightInd w:val="0"/>
                    <w:snapToGrid w:val="0"/>
                    <w:spacing w:before="0" w:beforeAutospacing="0" w:after="0" w:afterAutospacing="0" w:line="276" w:lineRule="auto"/>
                    <w:ind w:left="0" w:right="0"/>
                    <w:jc w:val="center"/>
                    <w:rPr>
                      <w:rFonts w:hint="eastAsia" w:ascii="Times New Roman" w:hAnsi="Times New Roman" w:eastAsia="宋体" w:cs="Times New Roman"/>
                      <w:color w:val="auto"/>
                      <w:sz w:val="18"/>
                      <w:szCs w:val="18"/>
                      <w:highlight w:val="none"/>
                      <w:lang w:val="en-US" w:eastAsia="zh-CN"/>
                    </w:rPr>
                  </w:pPr>
                  <w:r>
                    <w:rPr>
                      <w:rFonts w:hint="eastAsia" w:ascii="Times New Roman" w:hAnsi="Times New Roman" w:eastAsia="宋体" w:cs="Times New Roman"/>
                      <w:color w:val="auto"/>
                      <w:sz w:val="18"/>
                      <w:szCs w:val="18"/>
                      <w:highlight w:val="none"/>
                      <w:lang w:val="en-US" w:eastAsia="zh-CN"/>
                    </w:rPr>
                    <w:t>固态</w:t>
                  </w:r>
                </w:p>
              </w:tc>
              <w:tc>
                <w:tcPr>
                  <w:tcW w:w="892" w:type="pct"/>
                  <w:vMerge w:val="restart"/>
                  <w:tcBorders>
                    <w:left w:val="single" w:color="auto" w:sz="4" w:space="0"/>
                    <w:right w:val="single" w:color="auto" w:sz="4" w:space="0"/>
                  </w:tcBorders>
                  <w:vAlign w:val="center"/>
                </w:tcPr>
                <w:p w14:paraId="7EB7C768">
                  <w:pPr>
                    <w:pStyle w:val="120"/>
                    <w:keepNext w:val="0"/>
                    <w:keepLines w:val="0"/>
                    <w:pageBreakBefore w:val="0"/>
                    <w:framePr w:hSpace="0" w:wrap="auto" w:vAnchor="margin" w:hAnchor="text" w:xAlign="left" w:yAlign="inline"/>
                    <w:suppressLineNumbers w:val="0"/>
                    <w:kinsoku/>
                    <w:wordWrap/>
                    <w:overflowPunct/>
                    <w:topLinePunct w:val="0"/>
                    <w:bidi w:val="0"/>
                    <w:adjustRightInd w:val="0"/>
                    <w:snapToGrid w:val="0"/>
                    <w:spacing w:before="0" w:beforeAutospacing="0" w:after="0" w:afterAutospacing="0" w:line="276" w:lineRule="auto"/>
                    <w:ind w:left="0" w:right="0"/>
                    <w:jc w:val="center"/>
                    <w:rPr>
                      <w:rFonts w:hint="eastAsia" w:ascii="Times New Roman" w:hAnsi="Times New Roman" w:eastAsia="宋体" w:cs="Times New Roman"/>
                      <w:color w:val="auto"/>
                      <w:sz w:val="18"/>
                      <w:szCs w:val="18"/>
                      <w:highlight w:val="none"/>
                      <w:lang w:eastAsia="zh-CN"/>
                    </w:rPr>
                  </w:pPr>
                  <w:r>
                    <w:rPr>
                      <w:rFonts w:hint="eastAsia" w:ascii="Times New Roman" w:hAnsi="Times New Roman" w:eastAsia="宋体" w:cs="Times New Roman"/>
                      <w:color w:val="auto"/>
                      <w:sz w:val="18"/>
                      <w:szCs w:val="18"/>
                      <w:highlight w:val="none"/>
                      <w:lang w:eastAsia="zh-CN"/>
                    </w:rPr>
                    <w:t>污水处理</w:t>
                  </w:r>
                </w:p>
              </w:tc>
            </w:tr>
            <w:tr w14:paraId="615D731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7" w:type="dxa"/>
                  <w:bottom w:w="0" w:type="dxa"/>
                  <w:right w:w="17" w:type="dxa"/>
                </w:tblCellMar>
              </w:tblPrEx>
              <w:trPr>
                <w:trHeight w:val="0" w:hRule="atLeast"/>
                <w:jc w:val="center"/>
              </w:trPr>
              <w:tc>
                <w:tcPr>
                  <w:tcW w:w="283" w:type="pct"/>
                  <w:tcBorders>
                    <w:top w:val="single" w:color="auto" w:sz="4" w:space="0"/>
                    <w:left w:val="single" w:color="auto" w:sz="4" w:space="0"/>
                    <w:bottom w:val="single" w:color="auto" w:sz="4" w:space="0"/>
                    <w:right w:val="single" w:color="auto" w:sz="4" w:space="0"/>
                  </w:tcBorders>
                  <w:vAlign w:val="center"/>
                </w:tcPr>
                <w:p w14:paraId="2C3A7FC4">
                  <w:pPr>
                    <w:keepNext w:val="0"/>
                    <w:keepLines w:val="0"/>
                    <w:pageBreakBefore w:val="0"/>
                    <w:suppressLineNumbers w:val="0"/>
                    <w:kinsoku/>
                    <w:wordWrap/>
                    <w:overflowPunct/>
                    <w:topLinePunct w:val="0"/>
                    <w:bidi w:val="0"/>
                    <w:adjustRightInd w:val="0"/>
                    <w:snapToGrid w:val="0"/>
                    <w:spacing w:before="0" w:beforeAutospacing="0" w:after="0" w:afterAutospacing="0" w:line="276" w:lineRule="auto"/>
                    <w:ind w:left="0" w:right="0"/>
                    <w:jc w:val="center"/>
                    <w:rPr>
                      <w:rFonts w:hint="eastAsia" w:cs="Times New Roman"/>
                      <w:kern w:val="2"/>
                      <w:sz w:val="18"/>
                      <w:szCs w:val="18"/>
                      <w:highlight w:val="none"/>
                      <w:lang w:val="en-US" w:eastAsia="zh-CN" w:bidi="ar-SA"/>
                    </w:rPr>
                  </w:pPr>
                  <w:r>
                    <w:rPr>
                      <w:rFonts w:hint="eastAsia" w:cs="Times New Roman"/>
                      <w:kern w:val="2"/>
                      <w:sz w:val="18"/>
                      <w:szCs w:val="18"/>
                      <w:highlight w:val="none"/>
                      <w:lang w:val="en-US" w:eastAsia="zh-CN" w:bidi="ar-SA"/>
                    </w:rPr>
                    <w:t>51</w:t>
                  </w:r>
                </w:p>
              </w:tc>
              <w:tc>
                <w:tcPr>
                  <w:tcW w:w="894" w:type="pct"/>
                  <w:tcBorders>
                    <w:top w:val="single" w:color="auto" w:sz="4" w:space="0"/>
                    <w:left w:val="single" w:color="auto" w:sz="4" w:space="0"/>
                    <w:bottom w:val="single" w:color="auto" w:sz="4" w:space="0"/>
                    <w:right w:val="single" w:color="auto" w:sz="4" w:space="0"/>
                  </w:tcBorders>
                  <w:vAlign w:val="center"/>
                </w:tcPr>
                <w:p w14:paraId="2345A539">
                  <w:pPr>
                    <w:pStyle w:val="120"/>
                    <w:keepNext w:val="0"/>
                    <w:keepLines w:val="0"/>
                    <w:pageBreakBefore w:val="0"/>
                    <w:framePr w:hSpace="0" w:wrap="auto" w:vAnchor="margin" w:hAnchor="text" w:xAlign="left" w:yAlign="inline"/>
                    <w:suppressLineNumbers w:val="0"/>
                    <w:kinsoku/>
                    <w:wordWrap/>
                    <w:overflowPunct/>
                    <w:topLinePunct w:val="0"/>
                    <w:bidi w:val="0"/>
                    <w:adjustRightInd w:val="0"/>
                    <w:snapToGrid w:val="0"/>
                    <w:spacing w:before="0" w:beforeAutospacing="0" w:after="0" w:afterAutospacing="0" w:line="276" w:lineRule="auto"/>
                    <w:ind w:left="0" w:right="0"/>
                    <w:jc w:val="center"/>
                    <w:rPr>
                      <w:rFonts w:hint="eastAsia" w:ascii="Times New Roman" w:hAnsi="Times New Roman" w:eastAsia="宋体" w:cs="Times New Roman"/>
                      <w:color w:val="auto"/>
                      <w:sz w:val="18"/>
                      <w:szCs w:val="18"/>
                      <w:highlight w:val="none"/>
                      <w:lang w:val="en-US" w:eastAsia="zh-CN"/>
                    </w:rPr>
                  </w:pPr>
                  <w:r>
                    <w:rPr>
                      <w:rFonts w:hint="default" w:ascii="Times New Roman" w:hAnsi="Times New Roman" w:eastAsia="宋体" w:cs="Times New Roman"/>
                      <w:color w:val="auto"/>
                      <w:sz w:val="18"/>
                      <w:szCs w:val="18"/>
                      <w:highlight w:val="none"/>
                      <w:lang w:val="en-US" w:eastAsia="zh-CN"/>
                    </w:rPr>
                    <w:t>PAC</w:t>
                  </w:r>
                </w:p>
              </w:tc>
              <w:tc>
                <w:tcPr>
                  <w:tcW w:w="523" w:type="pct"/>
                  <w:tcBorders>
                    <w:top w:val="single" w:color="auto" w:sz="4" w:space="0"/>
                    <w:left w:val="single" w:color="auto" w:sz="4" w:space="0"/>
                    <w:bottom w:val="single" w:color="auto" w:sz="4" w:space="0"/>
                    <w:right w:val="single" w:color="auto" w:sz="4" w:space="0"/>
                  </w:tcBorders>
                  <w:vAlign w:val="center"/>
                </w:tcPr>
                <w:p w14:paraId="45FDAA99">
                  <w:pPr>
                    <w:pStyle w:val="120"/>
                    <w:keepNext w:val="0"/>
                    <w:keepLines w:val="0"/>
                    <w:pageBreakBefore w:val="0"/>
                    <w:framePr w:hSpace="0" w:wrap="auto" w:vAnchor="margin" w:hAnchor="text" w:xAlign="left" w:yAlign="inline"/>
                    <w:suppressLineNumbers w:val="0"/>
                    <w:kinsoku/>
                    <w:wordWrap/>
                    <w:overflowPunct/>
                    <w:topLinePunct w:val="0"/>
                    <w:bidi w:val="0"/>
                    <w:adjustRightInd w:val="0"/>
                    <w:snapToGrid w:val="0"/>
                    <w:spacing w:before="0" w:beforeAutospacing="0" w:after="0" w:afterAutospacing="0" w:line="276" w:lineRule="auto"/>
                    <w:ind w:left="0" w:right="0"/>
                    <w:jc w:val="center"/>
                    <w:rPr>
                      <w:rFonts w:hint="default" w:ascii="Times New Roman" w:hAnsi="Times New Roman" w:eastAsia="宋体" w:cs="Times New Roman"/>
                      <w:color w:val="auto"/>
                      <w:sz w:val="18"/>
                      <w:szCs w:val="18"/>
                      <w:highlight w:val="none"/>
                      <w:lang w:val="en-US" w:eastAsia="zh-CN"/>
                    </w:rPr>
                  </w:pPr>
                  <w:r>
                    <w:rPr>
                      <w:rFonts w:hint="eastAsia" w:ascii="Times New Roman" w:hAnsi="Times New Roman" w:eastAsia="宋体" w:cs="Times New Roman"/>
                      <w:color w:val="auto"/>
                      <w:sz w:val="18"/>
                      <w:szCs w:val="18"/>
                      <w:highlight w:val="none"/>
                      <w:lang w:val="en-US" w:eastAsia="zh-CN"/>
                    </w:rPr>
                    <w:t>0.9</w:t>
                  </w:r>
                </w:p>
              </w:tc>
              <w:tc>
                <w:tcPr>
                  <w:tcW w:w="1451" w:type="pct"/>
                  <w:tcBorders>
                    <w:top w:val="single" w:color="auto" w:sz="4" w:space="0"/>
                    <w:left w:val="single" w:color="auto" w:sz="4" w:space="0"/>
                    <w:bottom w:val="single" w:color="auto" w:sz="4" w:space="0"/>
                    <w:right w:val="single" w:color="auto" w:sz="4" w:space="0"/>
                  </w:tcBorders>
                  <w:vAlign w:val="center"/>
                </w:tcPr>
                <w:p w14:paraId="2A4E24E0">
                  <w:pPr>
                    <w:pStyle w:val="120"/>
                    <w:keepNext w:val="0"/>
                    <w:keepLines w:val="0"/>
                    <w:pageBreakBefore w:val="0"/>
                    <w:framePr w:hSpace="0" w:wrap="auto" w:vAnchor="margin" w:hAnchor="text" w:xAlign="left" w:yAlign="inline"/>
                    <w:suppressLineNumbers w:val="0"/>
                    <w:kinsoku/>
                    <w:wordWrap/>
                    <w:overflowPunct/>
                    <w:topLinePunct w:val="0"/>
                    <w:bidi w:val="0"/>
                    <w:adjustRightInd w:val="0"/>
                    <w:snapToGrid w:val="0"/>
                    <w:spacing w:before="0" w:beforeAutospacing="0" w:after="0" w:afterAutospacing="0" w:line="276" w:lineRule="auto"/>
                    <w:ind w:left="0" w:right="0"/>
                    <w:jc w:val="center"/>
                    <w:rPr>
                      <w:rFonts w:hint="default" w:ascii="Times New Roman" w:hAnsi="Times New Roman" w:eastAsia="宋体" w:cs="Times New Roman"/>
                      <w:color w:val="auto"/>
                      <w:sz w:val="18"/>
                      <w:szCs w:val="18"/>
                      <w:highlight w:val="none"/>
                      <w:lang w:val="en-US" w:eastAsia="zh-CN"/>
                    </w:rPr>
                  </w:pPr>
                  <w:r>
                    <w:rPr>
                      <w:rFonts w:hint="eastAsia" w:ascii="Times New Roman" w:hAnsi="Times New Roman" w:eastAsia="宋体" w:cs="Times New Roman"/>
                      <w:color w:val="auto"/>
                      <w:sz w:val="18"/>
                      <w:szCs w:val="18"/>
                      <w:highlight w:val="none"/>
                    </w:rPr>
                    <w:t>25kg/袋</w:t>
                  </w:r>
                </w:p>
              </w:tc>
              <w:tc>
                <w:tcPr>
                  <w:tcW w:w="586" w:type="pct"/>
                  <w:tcBorders>
                    <w:top w:val="single" w:color="auto" w:sz="4" w:space="0"/>
                    <w:left w:val="single" w:color="auto" w:sz="4" w:space="0"/>
                    <w:bottom w:val="single" w:color="auto" w:sz="4" w:space="0"/>
                    <w:right w:val="single" w:color="auto" w:sz="4" w:space="0"/>
                  </w:tcBorders>
                  <w:vAlign w:val="center"/>
                </w:tcPr>
                <w:p w14:paraId="5149B096">
                  <w:pPr>
                    <w:pStyle w:val="120"/>
                    <w:keepNext w:val="0"/>
                    <w:keepLines w:val="0"/>
                    <w:pageBreakBefore w:val="0"/>
                    <w:framePr w:hSpace="0" w:wrap="auto" w:vAnchor="margin" w:hAnchor="text" w:xAlign="left" w:yAlign="inline"/>
                    <w:suppressLineNumbers w:val="0"/>
                    <w:kinsoku/>
                    <w:wordWrap/>
                    <w:overflowPunct/>
                    <w:topLinePunct w:val="0"/>
                    <w:bidi w:val="0"/>
                    <w:adjustRightInd w:val="0"/>
                    <w:snapToGrid w:val="0"/>
                    <w:spacing w:before="0" w:beforeAutospacing="0" w:after="0" w:afterAutospacing="0" w:line="276" w:lineRule="auto"/>
                    <w:ind w:left="0" w:right="0"/>
                    <w:jc w:val="center"/>
                    <w:rPr>
                      <w:rFonts w:hint="default" w:ascii="Times New Roman" w:hAnsi="Times New Roman" w:eastAsia="宋体" w:cs="Times New Roman"/>
                      <w:color w:val="auto"/>
                      <w:sz w:val="18"/>
                      <w:szCs w:val="18"/>
                      <w:highlight w:val="none"/>
                      <w:lang w:val="en-US" w:eastAsia="zh-CN"/>
                    </w:rPr>
                  </w:pPr>
                  <w:r>
                    <w:rPr>
                      <w:rFonts w:hint="eastAsia" w:ascii="Times New Roman" w:hAnsi="Times New Roman" w:eastAsia="宋体" w:cs="Times New Roman"/>
                      <w:color w:val="auto"/>
                      <w:sz w:val="18"/>
                      <w:szCs w:val="18"/>
                      <w:highlight w:val="none"/>
                      <w:lang w:val="en-US" w:eastAsia="zh-CN"/>
                    </w:rPr>
                    <w:t>75kg</w:t>
                  </w:r>
                </w:p>
              </w:tc>
              <w:tc>
                <w:tcPr>
                  <w:tcW w:w="368" w:type="pct"/>
                  <w:tcBorders>
                    <w:top w:val="single" w:color="auto" w:sz="4" w:space="0"/>
                    <w:left w:val="single" w:color="auto" w:sz="4" w:space="0"/>
                    <w:bottom w:val="single" w:color="auto" w:sz="4" w:space="0"/>
                    <w:right w:val="single" w:color="auto" w:sz="4" w:space="0"/>
                  </w:tcBorders>
                  <w:vAlign w:val="center"/>
                </w:tcPr>
                <w:p w14:paraId="2D521407">
                  <w:pPr>
                    <w:keepNext w:val="0"/>
                    <w:keepLines w:val="0"/>
                    <w:pageBreakBefore w:val="0"/>
                    <w:suppressLineNumbers w:val="0"/>
                    <w:kinsoku/>
                    <w:wordWrap/>
                    <w:overflowPunct/>
                    <w:topLinePunct w:val="0"/>
                    <w:bidi w:val="0"/>
                    <w:adjustRightInd w:val="0"/>
                    <w:snapToGrid w:val="0"/>
                    <w:spacing w:before="0" w:beforeAutospacing="0" w:after="0" w:afterAutospacing="0" w:line="276" w:lineRule="auto"/>
                    <w:ind w:left="0" w:right="0"/>
                    <w:jc w:val="center"/>
                    <w:rPr>
                      <w:rFonts w:hint="eastAsia" w:ascii="Times New Roman" w:hAnsi="Times New Roman" w:eastAsia="宋体" w:cs="Times New Roman"/>
                      <w:color w:val="auto"/>
                      <w:sz w:val="18"/>
                      <w:szCs w:val="18"/>
                      <w:highlight w:val="none"/>
                      <w:lang w:val="en-US" w:eastAsia="zh-CN"/>
                    </w:rPr>
                  </w:pPr>
                  <w:r>
                    <w:rPr>
                      <w:rFonts w:hint="eastAsia" w:ascii="Times New Roman" w:hAnsi="Times New Roman" w:eastAsia="宋体" w:cs="Times New Roman"/>
                      <w:color w:val="auto"/>
                      <w:sz w:val="18"/>
                      <w:szCs w:val="18"/>
                      <w:highlight w:val="none"/>
                      <w:lang w:val="en-US" w:eastAsia="zh-CN"/>
                    </w:rPr>
                    <w:t>固态</w:t>
                  </w:r>
                </w:p>
              </w:tc>
              <w:tc>
                <w:tcPr>
                  <w:tcW w:w="892" w:type="pct"/>
                  <w:vMerge w:val="continue"/>
                  <w:tcBorders>
                    <w:left w:val="single" w:color="auto" w:sz="4" w:space="0"/>
                    <w:right w:val="single" w:color="auto" w:sz="4" w:space="0"/>
                  </w:tcBorders>
                  <w:vAlign w:val="center"/>
                </w:tcPr>
                <w:p w14:paraId="79940E7D">
                  <w:pPr>
                    <w:pStyle w:val="120"/>
                    <w:keepNext w:val="0"/>
                    <w:keepLines w:val="0"/>
                    <w:pageBreakBefore w:val="0"/>
                    <w:framePr w:hSpace="0" w:wrap="auto" w:vAnchor="margin" w:hAnchor="text" w:xAlign="left" w:yAlign="inline"/>
                    <w:suppressLineNumbers w:val="0"/>
                    <w:kinsoku/>
                    <w:wordWrap/>
                    <w:overflowPunct/>
                    <w:topLinePunct w:val="0"/>
                    <w:bidi w:val="0"/>
                    <w:adjustRightInd w:val="0"/>
                    <w:snapToGrid w:val="0"/>
                    <w:spacing w:before="0" w:beforeAutospacing="0" w:after="0" w:afterAutospacing="0" w:line="276" w:lineRule="auto"/>
                    <w:ind w:left="0" w:right="0"/>
                    <w:jc w:val="center"/>
                    <w:rPr>
                      <w:rFonts w:hint="eastAsia" w:ascii="Times New Roman" w:hAnsi="Times New Roman" w:eastAsia="宋体" w:cs="Times New Roman"/>
                      <w:color w:val="auto"/>
                      <w:sz w:val="18"/>
                      <w:szCs w:val="18"/>
                      <w:highlight w:val="none"/>
                      <w:lang w:eastAsia="zh-CN"/>
                    </w:rPr>
                  </w:pPr>
                </w:p>
              </w:tc>
            </w:tr>
            <w:tr w14:paraId="2689FD5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7" w:type="dxa"/>
                  <w:bottom w:w="0" w:type="dxa"/>
                  <w:right w:w="17" w:type="dxa"/>
                </w:tblCellMar>
              </w:tblPrEx>
              <w:trPr>
                <w:trHeight w:val="0" w:hRule="atLeast"/>
                <w:jc w:val="center"/>
              </w:trPr>
              <w:tc>
                <w:tcPr>
                  <w:tcW w:w="283" w:type="pct"/>
                  <w:tcBorders>
                    <w:top w:val="single" w:color="auto" w:sz="4" w:space="0"/>
                    <w:left w:val="single" w:color="auto" w:sz="4" w:space="0"/>
                    <w:bottom w:val="single" w:color="auto" w:sz="4" w:space="0"/>
                    <w:right w:val="single" w:color="auto" w:sz="4" w:space="0"/>
                  </w:tcBorders>
                  <w:vAlign w:val="center"/>
                </w:tcPr>
                <w:p w14:paraId="3B477240">
                  <w:pPr>
                    <w:keepNext w:val="0"/>
                    <w:keepLines w:val="0"/>
                    <w:pageBreakBefore w:val="0"/>
                    <w:suppressLineNumbers w:val="0"/>
                    <w:kinsoku/>
                    <w:wordWrap/>
                    <w:overflowPunct/>
                    <w:topLinePunct w:val="0"/>
                    <w:bidi w:val="0"/>
                    <w:adjustRightInd w:val="0"/>
                    <w:snapToGrid w:val="0"/>
                    <w:spacing w:before="0" w:beforeAutospacing="0" w:after="0" w:afterAutospacing="0" w:line="276" w:lineRule="auto"/>
                    <w:ind w:left="0" w:right="0"/>
                    <w:jc w:val="center"/>
                    <w:rPr>
                      <w:rFonts w:hint="eastAsia" w:cs="Times New Roman"/>
                      <w:kern w:val="2"/>
                      <w:sz w:val="18"/>
                      <w:szCs w:val="18"/>
                      <w:highlight w:val="none"/>
                      <w:lang w:val="en-US" w:eastAsia="zh-CN" w:bidi="ar-SA"/>
                    </w:rPr>
                  </w:pPr>
                  <w:r>
                    <w:rPr>
                      <w:rFonts w:hint="eastAsia" w:cs="Times New Roman"/>
                      <w:kern w:val="2"/>
                      <w:sz w:val="18"/>
                      <w:szCs w:val="18"/>
                      <w:highlight w:val="none"/>
                      <w:lang w:val="en-US" w:eastAsia="zh-CN" w:bidi="ar-SA"/>
                    </w:rPr>
                    <w:t>52</w:t>
                  </w:r>
                </w:p>
              </w:tc>
              <w:tc>
                <w:tcPr>
                  <w:tcW w:w="894" w:type="pct"/>
                  <w:tcBorders>
                    <w:top w:val="single" w:color="auto" w:sz="4" w:space="0"/>
                    <w:left w:val="single" w:color="auto" w:sz="4" w:space="0"/>
                    <w:bottom w:val="single" w:color="auto" w:sz="4" w:space="0"/>
                    <w:right w:val="single" w:color="auto" w:sz="4" w:space="0"/>
                  </w:tcBorders>
                  <w:vAlign w:val="center"/>
                </w:tcPr>
                <w:p w14:paraId="5A9DBE1D">
                  <w:pPr>
                    <w:pStyle w:val="120"/>
                    <w:keepNext w:val="0"/>
                    <w:keepLines w:val="0"/>
                    <w:pageBreakBefore w:val="0"/>
                    <w:framePr w:hSpace="0" w:wrap="auto" w:vAnchor="margin" w:hAnchor="text" w:xAlign="left" w:yAlign="inline"/>
                    <w:suppressLineNumbers w:val="0"/>
                    <w:kinsoku/>
                    <w:wordWrap/>
                    <w:overflowPunct/>
                    <w:topLinePunct w:val="0"/>
                    <w:bidi w:val="0"/>
                    <w:adjustRightInd w:val="0"/>
                    <w:snapToGrid w:val="0"/>
                    <w:spacing w:before="0" w:beforeAutospacing="0" w:after="0" w:afterAutospacing="0" w:line="276" w:lineRule="auto"/>
                    <w:ind w:left="0" w:right="0"/>
                    <w:jc w:val="center"/>
                    <w:rPr>
                      <w:rFonts w:hint="default" w:ascii="Times New Roman" w:hAnsi="Times New Roman" w:eastAsia="宋体" w:cs="Times New Roman"/>
                      <w:color w:val="auto"/>
                      <w:sz w:val="18"/>
                      <w:szCs w:val="18"/>
                      <w:highlight w:val="none"/>
                      <w:lang w:val="en-US" w:eastAsia="zh-CN"/>
                    </w:rPr>
                  </w:pPr>
                  <w:r>
                    <w:rPr>
                      <w:rFonts w:hint="eastAsia" w:ascii="Times New Roman" w:hAnsi="Times New Roman" w:eastAsia="宋体" w:cs="Times New Roman"/>
                      <w:color w:val="auto"/>
                      <w:sz w:val="18"/>
                      <w:szCs w:val="18"/>
                      <w:highlight w:val="none"/>
                      <w:lang w:val="en-US" w:eastAsia="zh-CN"/>
                    </w:rPr>
                    <w:t>PAM</w:t>
                  </w:r>
                </w:p>
              </w:tc>
              <w:tc>
                <w:tcPr>
                  <w:tcW w:w="523" w:type="pct"/>
                  <w:tcBorders>
                    <w:top w:val="single" w:color="auto" w:sz="4" w:space="0"/>
                    <w:left w:val="single" w:color="auto" w:sz="4" w:space="0"/>
                    <w:bottom w:val="single" w:color="auto" w:sz="4" w:space="0"/>
                    <w:right w:val="single" w:color="auto" w:sz="4" w:space="0"/>
                  </w:tcBorders>
                  <w:vAlign w:val="center"/>
                </w:tcPr>
                <w:p w14:paraId="3B67E55E">
                  <w:pPr>
                    <w:pStyle w:val="120"/>
                    <w:keepNext w:val="0"/>
                    <w:keepLines w:val="0"/>
                    <w:pageBreakBefore w:val="0"/>
                    <w:framePr w:hSpace="0" w:wrap="auto" w:vAnchor="margin" w:hAnchor="text" w:xAlign="left" w:yAlign="inline"/>
                    <w:suppressLineNumbers w:val="0"/>
                    <w:kinsoku/>
                    <w:wordWrap/>
                    <w:overflowPunct/>
                    <w:topLinePunct w:val="0"/>
                    <w:bidi w:val="0"/>
                    <w:adjustRightInd w:val="0"/>
                    <w:snapToGrid w:val="0"/>
                    <w:spacing w:before="0" w:beforeAutospacing="0" w:after="0" w:afterAutospacing="0" w:line="276" w:lineRule="auto"/>
                    <w:ind w:left="0" w:right="0"/>
                    <w:jc w:val="center"/>
                    <w:rPr>
                      <w:rFonts w:hint="default" w:ascii="Times New Roman" w:hAnsi="Times New Roman" w:eastAsia="宋体" w:cs="Times New Roman"/>
                      <w:color w:val="auto"/>
                      <w:sz w:val="18"/>
                      <w:szCs w:val="18"/>
                      <w:highlight w:val="none"/>
                      <w:lang w:val="en-US" w:eastAsia="zh-CN"/>
                    </w:rPr>
                  </w:pPr>
                  <w:r>
                    <w:rPr>
                      <w:rFonts w:hint="eastAsia" w:ascii="Times New Roman" w:hAnsi="Times New Roman" w:eastAsia="宋体" w:cs="Times New Roman"/>
                      <w:color w:val="auto"/>
                      <w:sz w:val="18"/>
                      <w:szCs w:val="18"/>
                      <w:highlight w:val="none"/>
                      <w:lang w:val="en-US" w:eastAsia="zh-CN"/>
                    </w:rPr>
                    <w:t>0.5</w:t>
                  </w:r>
                </w:p>
              </w:tc>
              <w:tc>
                <w:tcPr>
                  <w:tcW w:w="1451" w:type="pct"/>
                  <w:tcBorders>
                    <w:top w:val="single" w:color="auto" w:sz="4" w:space="0"/>
                    <w:left w:val="single" w:color="auto" w:sz="4" w:space="0"/>
                    <w:bottom w:val="single" w:color="auto" w:sz="4" w:space="0"/>
                    <w:right w:val="single" w:color="auto" w:sz="4" w:space="0"/>
                  </w:tcBorders>
                  <w:vAlign w:val="center"/>
                </w:tcPr>
                <w:p w14:paraId="67D77724">
                  <w:pPr>
                    <w:pStyle w:val="120"/>
                    <w:keepNext w:val="0"/>
                    <w:keepLines w:val="0"/>
                    <w:pageBreakBefore w:val="0"/>
                    <w:framePr w:hSpace="0" w:wrap="auto" w:vAnchor="margin" w:hAnchor="text" w:xAlign="left" w:yAlign="inline"/>
                    <w:suppressLineNumbers w:val="0"/>
                    <w:kinsoku/>
                    <w:wordWrap/>
                    <w:overflowPunct/>
                    <w:topLinePunct w:val="0"/>
                    <w:bidi w:val="0"/>
                    <w:adjustRightInd w:val="0"/>
                    <w:snapToGrid w:val="0"/>
                    <w:spacing w:before="0" w:beforeAutospacing="0" w:after="0" w:afterAutospacing="0" w:line="276" w:lineRule="auto"/>
                    <w:ind w:left="0" w:right="0"/>
                    <w:jc w:val="center"/>
                    <w:rPr>
                      <w:rFonts w:hint="default" w:ascii="Times New Roman" w:hAnsi="Times New Roman" w:eastAsia="宋体" w:cs="Times New Roman"/>
                      <w:color w:val="auto"/>
                      <w:sz w:val="18"/>
                      <w:szCs w:val="18"/>
                      <w:highlight w:val="none"/>
                      <w:lang w:val="en-US" w:eastAsia="zh-CN"/>
                    </w:rPr>
                  </w:pPr>
                  <w:r>
                    <w:rPr>
                      <w:rFonts w:hint="eastAsia" w:ascii="Times New Roman" w:hAnsi="Times New Roman" w:eastAsia="宋体" w:cs="Times New Roman"/>
                      <w:color w:val="auto"/>
                      <w:sz w:val="18"/>
                      <w:szCs w:val="18"/>
                      <w:highlight w:val="none"/>
                    </w:rPr>
                    <w:t>25kg/袋</w:t>
                  </w:r>
                </w:p>
              </w:tc>
              <w:tc>
                <w:tcPr>
                  <w:tcW w:w="586" w:type="pct"/>
                  <w:tcBorders>
                    <w:top w:val="single" w:color="auto" w:sz="4" w:space="0"/>
                    <w:left w:val="single" w:color="auto" w:sz="4" w:space="0"/>
                    <w:bottom w:val="single" w:color="auto" w:sz="4" w:space="0"/>
                    <w:right w:val="single" w:color="auto" w:sz="4" w:space="0"/>
                  </w:tcBorders>
                  <w:vAlign w:val="center"/>
                </w:tcPr>
                <w:p w14:paraId="4CE9E106">
                  <w:pPr>
                    <w:pStyle w:val="120"/>
                    <w:keepNext w:val="0"/>
                    <w:keepLines w:val="0"/>
                    <w:pageBreakBefore w:val="0"/>
                    <w:framePr w:hSpace="0" w:wrap="auto" w:vAnchor="margin" w:hAnchor="text" w:xAlign="left" w:yAlign="inline"/>
                    <w:suppressLineNumbers w:val="0"/>
                    <w:kinsoku/>
                    <w:wordWrap/>
                    <w:overflowPunct/>
                    <w:topLinePunct w:val="0"/>
                    <w:bidi w:val="0"/>
                    <w:adjustRightInd w:val="0"/>
                    <w:snapToGrid w:val="0"/>
                    <w:spacing w:before="0" w:beforeAutospacing="0" w:after="0" w:afterAutospacing="0" w:line="276" w:lineRule="auto"/>
                    <w:ind w:left="0" w:right="0"/>
                    <w:jc w:val="center"/>
                    <w:rPr>
                      <w:rFonts w:hint="default" w:ascii="Times New Roman" w:hAnsi="Times New Roman" w:eastAsia="宋体" w:cs="Times New Roman"/>
                      <w:color w:val="auto"/>
                      <w:sz w:val="18"/>
                      <w:szCs w:val="18"/>
                      <w:highlight w:val="none"/>
                      <w:lang w:val="en-US" w:eastAsia="zh-CN"/>
                    </w:rPr>
                  </w:pPr>
                  <w:r>
                    <w:rPr>
                      <w:rFonts w:hint="eastAsia" w:ascii="Times New Roman" w:hAnsi="Times New Roman" w:eastAsia="宋体" w:cs="Times New Roman"/>
                      <w:color w:val="auto"/>
                      <w:sz w:val="18"/>
                      <w:szCs w:val="18"/>
                      <w:highlight w:val="none"/>
                      <w:lang w:val="en-US" w:eastAsia="zh-CN"/>
                    </w:rPr>
                    <w:t>50kg</w:t>
                  </w:r>
                </w:p>
              </w:tc>
              <w:tc>
                <w:tcPr>
                  <w:tcW w:w="368" w:type="pct"/>
                  <w:tcBorders>
                    <w:top w:val="single" w:color="auto" w:sz="4" w:space="0"/>
                    <w:left w:val="single" w:color="auto" w:sz="4" w:space="0"/>
                    <w:bottom w:val="single" w:color="auto" w:sz="4" w:space="0"/>
                    <w:right w:val="single" w:color="auto" w:sz="4" w:space="0"/>
                  </w:tcBorders>
                  <w:vAlign w:val="center"/>
                </w:tcPr>
                <w:p w14:paraId="551CAF3C">
                  <w:pPr>
                    <w:keepNext w:val="0"/>
                    <w:keepLines w:val="0"/>
                    <w:pageBreakBefore w:val="0"/>
                    <w:suppressLineNumbers w:val="0"/>
                    <w:kinsoku/>
                    <w:wordWrap/>
                    <w:overflowPunct/>
                    <w:topLinePunct w:val="0"/>
                    <w:bidi w:val="0"/>
                    <w:adjustRightInd w:val="0"/>
                    <w:snapToGrid w:val="0"/>
                    <w:spacing w:before="0" w:beforeAutospacing="0" w:after="0" w:afterAutospacing="0" w:line="276" w:lineRule="auto"/>
                    <w:ind w:left="0" w:right="0"/>
                    <w:jc w:val="center"/>
                    <w:rPr>
                      <w:rFonts w:hint="eastAsia" w:ascii="Times New Roman" w:hAnsi="Times New Roman" w:eastAsia="宋体" w:cs="Times New Roman"/>
                      <w:color w:val="auto"/>
                      <w:sz w:val="18"/>
                      <w:szCs w:val="18"/>
                      <w:highlight w:val="none"/>
                      <w:lang w:val="en-US" w:eastAsia="zh-CN"/>
                    </w:rPr>
                  </w:pPr>
                  <w:r>
                    <w:rPr>
                      <w:rFonts w:hint="eastAsia" w:ascii="Times New Roman" w:hAnsi="Times New Roman" w:eastAsia="宋体" w:cs="Times New Roman"/>
                      <w:color w:val="auto"/>
                      <w:sz w:val="18"/>
                      <w:szCs w:val="18"/>
                      <w:highlight w:val="none"/>
                      <w:lang w:val="en-US" w:eastAsia="zh-CN"/>
                    </w:rPr>
                    <w:t>固态</w:t>
                  </w:r>
                </w:p>
              </w:tc>
              <w:tc>
                <w:tcPr>
                  <w:tcW w:w="892" w:type="pct"/>
                  <w:vMerge w:val="continue"/>
                  <w:tcBorders>
                    <w:left w:val="single" w:color="auto" w:sz="4" w:space="0"/>
                    <w:right w:val="single" w:color="auto" w:sz="4" w:space="0"/>
                  </w:tcBorders>
                  <w:vAlign w:val="center"/>
                </w:tcPr>
                <w:p w14:paraId="72C50A17">
                  <w:pPr>
                    <w:pStyle w:val="120"/>
                    <w:keepNext w:val="0"/>
                    <w:keepLines w:val="0"/>
                    <w:pageBreakBefore w:val="0"/>
                    <w:framePr w:hSpace="0" w:wrap="auto" w:vAnchor="margin" w:hAnchor="text" w:xAlign="left" w:yAlign="inline"/>
                    <w:suppressLineNumbers w:val="0"/>
                    <w:kinsoku/>
                    <w:wordWrap/>
                    <w:overflowPunct/>
                    <w:topLinePunct w:val="0"/>
                    <w:bidi w:val="0"/>
                    <w:adjustRightInd w:val="0"/>
                    <w:snapToGrid w:val="0"/>
                    <w:spacing w:before="0" w:beforeAutospacing="0" w:after="0" w:afterAutospacing="0" w:line="276" w:lineRule="auto"/>
                    <w:ind w:left="0" w:right="0"/>
                    <w:jc w:val="center"/>
                    <w:rPr>
                      <w:rFonts w:hint="eastAsia" w:ascii="Times New Roman" w:hAnsi="Times New Roman" w:eastAsia="宋体" w:cs="Times New Roman"/>
                      <w:color w:val="auto"/>
                      <w:sz w:val="18"/>
                      <w:szCs w:val="18"/>
                      <w:highlight w:val="none"/>
                      <w:lang w:eastAsia="zh-CN"/>
                    </w:rPr>
                  </w:pPr>
                </w:p>
              </w:tc>
            </w:tr>
            <w:tr w14:paraId="523A9C2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7" w:type="dxa"/>
                  <w:bottom w:w="0" w:type="dxa"/>
                  <w:right w:w="17" w:type="dxa"/>
                </w:tblCellMar>
              </w:tblPrEx>
              <w:trPr>
                <w:trHeight w:val="0" w:hRule="atLeast"/>
                <w:jc w:val="center"/>
              </w:trPr>
              <w:tc>
                <w:tcPr>
                  <w:tcW w:w="283" w:type="pct"/>
                  <w:tcBorders>
                    <w:top w:val="single" w:color="auto" w:sz="4" w:space="0"/>
                    <w:left w:val="single" w:color="auto" w:sz="4" w:space="0"/>
                    <w:bottom w:val="single" w:color="auto" w:sz="4" w:space="0"/>
                    <w:right w:val="single" w:color="auto" w:sz="4" w:space="0"/>
                  </w:tcBorders>
                  <w:vAlign w:val="center"/>
                </w:tcPr>
                <w:p w14:paraId="6C43A8E7">
                  <w:pPr>
                    <w:keepNext w:val="0"/>
                    <w:keepLines w:val="0"/>
                    <w:pageBreakBefore w:val="0"/>
                    <w:suppressLineNumbers w:val="0"/>
                    <w:kinsoku/>
                    <w:wordWrap/>
                    <w:overflowPunct/>
                    <w:topLinePunct w:val="0"/>
                    <w:bidi w:val="0"/>
                    <w:adjustRightInd w:val="0"/>
                    <w:snapToGrid w:val="0"/>
                    <w:spacing w:before="0" w:beforeAutospacing="0" w:after="0" w:afterAutospacing="0" w:line="276" w:lineRule="auto"/>
                    <w:ind w:left="0" w:right="0"/>
                    <w:jc w:val="center"/>
                    <w:rPr>
                      <w:rFonts w:hint="eastAsia" w:cs="Times New Roman"/>
                      <w:kern w:val="2"/>
                      <w:sz w:val="18"/>
                      <w:szCs w:val="18"/>
                      <w:highlight w:val="none"/>
                      <w:lang w:val="en-US" w:eastAsia="zh-CN" w:bidi="ar-SA"/>
                    </w:rPr>
                  </w:pPr>
                  <w:r>
                    <w:rPr>
                      <w:rFonts w:hint="eastAsia" w:cs="Times New Roman"/>
                      <w:kern w:val="2"/>
                      <w:sz w:val="18"/>
                      <w:szCs w:val="18"/>
                      <w:highlight w:val="none"/>
                      <w:lang w:val="en-US" w:eastAsia="zh-CN" w:bidi="ar-SA"/>
                    </w:rPr>
                    <w:t>53</w:t>
                  </w:r>
                </w:p>
              </w:tc>
              <w:tc>
                <w:tcPr>
                  <w:tcW w:w="894" w:type="pct"/>
                  <w:tcBorders>
                    <w:top w:val="single" w:color="auto" w:sz="4" w:space="0"/>
                    <w:left w:val="single" w:color="auto" w:sz="4" w:space="0"/>
                    <w:bottom w:val="single" w:color="auto" w:sz="4" w:space="0"/>
                    <w:right w:val="single" w:color="auto" w:sz="4" w:space="0"/>
                  </w:tcBorders>
                  <w:vAlign w:val="center"/>
                </w:tcPr>
                <w:p w14:paraId="7F6140FA">
                  <w:pPr>
                    <w:pStyle w:val="120"/>
                    <w:keepNext w:val="0"/>
                    <w:keepLines w:val="0"/>
                    <w:pageBreakBefore w:val="0"/>
                    <w:framePr w:hSpace="0" w:wrap="auto" w:vAnchor="margin" w:hAnchor="text" w:xAlign="left" w:yAlign="inline"/>
                    <w:suppressLineNumbers w:val="0"/>
                    <w:kinsoku/>
                    <w:wordWrap/>
                    <w:overflowPunct/>
                    <w:topLinePunct w:val="0"/>
                    <w:bidi w:val="0"/>
                    <w:adjustRightInd w:val="0"/>
                    <w:snapToGrid w:val="0"/>
                    <w:spacing w:before="0" w:beforeAutospacing="0" w:after="0" w:afterAutospacing="0" w:line="276" w:lineRule="auto"/>
                    <w:ind w:left="0" w:right="0"/>
                    <w:jc w:val="center"/>
                    <w:rPr>
                      <w:rFonts w:hint="eastAsia" w:ascii="Times New Roman" w:hAnsi="Times New Roman" w:eastAsia="宋体" w:cs="Times New Roman"/>
                      <w:color w:val="auto"/>
                      <w:sz w:val="18"/>
                      <w:szCs w:val="18"/>
                      <w:highlight w:val="none"/>
                      <w:lang w:val="en-US" w:eastAsia="zh-CN"/>
                    </w:rPr>
                  </w:pPr>
                  <w:r>
                    <w:rPr>
                      <w:rFonts w:hint="eastAsia" w:ascii="Times New Roman" w:hAnsi="Times New Roman" w:eastAsia="宋体" w:cs="Times New Roman"/>
                      <w:color w:val="auto"/>
                      <w:sz w:val="18"/>
                      <w:szCs w:val="18"/>
                      <w:highlight w:val="none"/>
                      <w:lang w:val="en-US" w:eastAsia="zh-CN"/>
                    </w:rPr>
                    <w:t>10%次氯酸钠</w:t>
                  </w:r>
                </w:p>
              </w:tc>
              <w:tc>
                <w:tcPr>
                  <w:tcW w:w="523" w:type="pct"/>
                  <w:tcBorders>
                    <w:top w:val="single" w:color="auto" w:sz="4" w:space="0"/>
                    <w:left w:val="single" w:color="auto" w:sz="4" w:space="0"/>
                    <w:bottom w:val="single" w:color="auto" w:sz="4" w:space="0"/>
                    <w:right w:val="single" w:color="auto" w:sz="4" w:space="0"/>
                  </w:tcBorders>
                  <w:vAlign w:val="center"/>
                </w:tcPr>
                <w:p w14:paraId="15446DA7">
                  <w:pPr>
                    <w:pStyle w:val="120"/>
                    <w:keepNext w:val="0"/>
                    <w:keepLines w:val="0"/>
                    <w:pageBreakBefore w:val="0"/>
                    <w:framePr w:hSpace="0" w:wrap="auto" w:vAnchor="margin" w:hAnchor="text" w:xAlign="left" w:yAlign="inline"/>
                    <w:suppressLineNumbers w:val="0"/>
                    <w:kinsoku/>
                    <w:wordWrap/>
                    <w:overflowPunct/>
                    <w:topLinePunct w:val="0"/>
                    <w:bidi w:val="0"/>
                    <w:adjustRightInd w:val="0"/>
                    <w:snapToGrid w:val="0"/>
                    <w:spacing w:before="0" w:beforeAutospacing="0" w:after="0" w:afterAutospacing="0" w:line="276" w:lineRule="auto"/>
                    <w:ind w:left="0" w:right="0"/>
                    <w:jc w:val="center"/>
                    <w:rPr>
                      <w:rFonts w:hint="default" w:ascii="Times New Roman" w:hAnsi="Times New Roman" w:eastAsia="宋体" w:cs="Times New Roman"/>
                      <w:color w:val="auto"/>
                      <w:sz w:val="18"/>
                      <w:szCs w:val="18"/>
                      <w:highlight w:val="none"/>
                      <w:lang w:val="en-US" w:eastAsia="zh-CN"/>
                    </w:rPr>
                  </w:pPr>
                  <w:r>
                    <w:rPr>
                      <w:rFonts w:hint="eastAsia" w:ascii="Times New Roman" w:hAnsi="Times New Roman" w:eastAsia="宋体" w:cs="Times New Roman"/>
                      <w:color w:val="auto"/>
                      <w:sz w:val="18"/>
                      <w:szCs w:val="18"/>
                      <w:highlight w:val="none"/>
                      <w:lang w:val="en-US" w:eastAsia="zh-CN"/>
                    </w:rPr>
                    <w:t>1.2</w:t>
                  </w:r>
                </w:p>
              </w:tc>
              <w:tc>
                <w:tcPr>
                  <w:tcW w:w="1451" w:type="pct"/>
                  <w:tcBorders>
                    <w:top w:val="single" w:color="auto" w:sz="4" w:space="0"/>
                    <w:left w:val="single" w:color="auto" w:sz="4" w:space="0"/>
                    <w:bottom w:val="single" w:color="auto" w:sz="4" w:space="0"/>
                    <w:right w:val="single" w:color="auto" w:sz="4" w:space="0"/>
                  </w:tcBorders>
                  <w:vAlign w:val="center"/>
                </w:tcPr>
                <w:p w14:paraId="545FA570">
                  <w:pPr>
                    <w:pStyle w:val="120"/>
                    <w:keepNext w:val="0"/>
                    <w:keepLines w:val="0"/>
                    <w:pageBreakBefore w:val="0"/>
                    <w:framePr w:hSpace="0" w:wrap="auto" w:vAnchor="margin" w:hAnchor="text" w:xAlign="left" w:yAlign="inline"/>
                    <w:suppressLineNumbers w:val="0"/>
                    <w:kinsoku/>
                    <w:wordWrap/>
                    <w:overflowPunct/>
                    <w:topLinePunct w:val="0"/>
                    <w:bidi w:val="0"/>
                    <w:adjustRightInd w:val="0"/>
                    <w:snapToGrid w:val="0"/>
                    <w:spacing w:before="0" w:beforeAutospacing="0" w:after="0" w:afterAutospacing="0" w:line="276" w:lineRule="auto"/>
                    <w:ind w:left="0" w:right="0"/>
                    <w:jc w:val="center"/>
                    <w:rPr>
                      <w:rFonts w:hint="eastAsia" w:ascii="Times New Roman" w:hAnsi="Times New Roman" w:eastAsia="宋体" w:cs="Times New Roman"/>
                      <w:color w:val="auto"/>
                      <w:sz w:val="18"/>
                      <w:szCs w:val="18"/>
                      <w:highlight w:val="none"/>
                      <w:lang w:val="en-US" w:eastAsia="zh-CN"/>
                    </w:rPr>
                  </w:pPr>
                  <w:r>
                    <w:rPr>
                      <w:rFonts w:hint="eastAsia" w:ascii="Times New Roman" w:hAnsi="Times New Roman" w:eastAsia="宋体" w:cs="Times New Roman"/>
                      <w:color w:val="auto"/>
                      <w:sz w:val="18"/>
                      <w:szCs w:val="18"/>
                      <w:highlight w:val="none"/>
                      <w:lang w:val="en-US" w:eastAsia="zh-CN"/>
                    </w:rPr>
                    <w:t>50</w:t>
                  </w:r>
                  <w:r>
                    <w:rPr>
                      <w:rFonts w:hint="eastAsia" w:ascii="Times New Roman" w:hAnsi="Times New Roman" w:eastAsia="宋体" w:cs="Times New Roman"/>
                      <w:color w:val="auto"/>
                      <w:sz w:val="18"/>
                      <w:szCs w:val="18"/>
                      <w:highlight w:val="none"/>
                    </w:rPr>
                    <w:t>kg/</w:t>
                  </w:r>
                  <w:r>
                    <w:rPr>
                      <w:rFonts w:hint="eastAsia" w:ascii="Times New Roman" w:hAnsi="Times New Roman" w:eastAsia="宋体" w:cs="Times New Roman"/>
                      <w:color w:val="auto"/>
                      <w:sz w:val="18"/>
                      <w:szCs w:val="18"/>
                      <w:highlight w:val="none"/>
                      <w:lang w:val="en-US" w:eastAsia="zh-CN"/>
                    </w:rPr>
                    <w:t>袋</w:t>
                  </w:r>
                </w:p>
              </w:tc>
              <w:tc>
                <w:tcPr>
                  <w:tcW w:w="586" w:type="pct"/>
                  <w:tcBorders>
                    <w:top w:val="single" w:color="auto" w:sz="4" w:space="0"/>
                    <w:left w:val="single" w:color="auto" w:sz="4" w:space="0"/>
                    <w:bottom w:val="single" w:color="auto" w:sz="4" w:space="0"/>
                    <w:right w:val="single" w:color="auto" w:sz="4" w:space="0"/>
                  </w:tcBorders>
                  <w:vAlign w:val="center"/>
                </w:tcPr>
                <w:p w14:paraId="1EE9586E">
                  <w:pPr>
                    <w:pStyle w:val="120"/>
                    <w:keepNext w:val="0"/>
                    <w:keepLines w:val="0"/>
                    <w:pageBreakBefore w:val="0"/>
                    <w:framePr w:hSpace="0" w:wrap="auto" w:vAnchor="margin" w:hAnchor="text" w:xAlign="left" w:yAlign="inline"/>
                    <w:suppressLineNumbers w:val="0"/>
                    <w:kinsoku/>
                    <w:wordWrap/>
                    <w:overflowPunct/>
                    <w:topLinePunct w:val="0"/>
                    <w:bidi w:val="0"/>
                    <w:adjustRightInd w:val="0"/>
                    <w:snapToGrid w:val="0"/>
                    <w:spacing w:before="0" w:beforeAutospacing="0" w:after="0" w:afterAutospacing="0" w:line="276" w:lineRule="auto"/>
                    <w:ind w:left="0" w:right="0"/>
                    <w:jc w:val="center"/>
                    <w:rPr>
                      <w:rFonts w:hint="default" w:ascii="Times New Roman" w:hAnsi="Times New Roman" w:eastAsia="宋体" w:cs="Times New Roman"/>
                      <w:color w:val="auto"/>
                      <w:sz w:val="18"/>
                      <w:szCs w:val="18"/>
                      <w:highlight w:val="none"/>
                      <w:lang w:val="en-US" w:eastAsia="zh-CN"/>
                    </w:rPr>
                  </w:pPr>
                  <w:r>
                    <w:rPr>
                      <w:rFonts w:hint="eastAsia" w:ascii="Times New Roman" w:hAnsi="Times New Roman" w:eastAsia="宋体" w:cs="Times New Roman"/>
                      <w:color w:val="auto"/>
                      <w:sz w:val="18"/>
                      <w:szCs w:val="18"/>
                      <w:highlight w:val="none"/>
                      <w:lang w:val="en-US" w:eastAsia="zh-CN"/>
                    </w:rPr>
                    <w:t>150kg</w:t>
                  </w:r>
                </w:p>
              </w:tc>
              <w:tc>
                <w:tcPr>
                  <w:tcW w:w="368" w:type="pct"/>
                  <w:tcBorders>
                    <w:top w:val="single" w:color="auto" w:sz="4" w:space="0"/>
                    <w:left w:val="single" w:color="auto" w:sz="4" w:space="0"/>
                    <w:bottom w:val="single" w:color="auto" w:sz="4" w:space="0"/>
                    <w:right w:val="single" w:color="auto" w:sz="4" w:space="0"/>
                  </w:tcBorders>
                  <w:vAlign w:val="center"/>
                </w:tcPr>
                <w:p w14:paraId="41F119B2">
                  <w:pPr>
                    <w:keepNext w:val="0"/>
                    <w:keepLines w:val="0"/>
                    <w:pageBreakBefore w:val="0"/>
                    <w:suppressLineNumbers w:val="0"/>
                    <w:kinsoku/>
                    <w:wordWrap/>
                    <w:overflowPunct/>
                    <w:topLinePunct w:val="0"/>
                    <w:bidi w:val="0"/>
                    <w:adjustRightInd w:val="0"/>
                    <w:snapToGrid w:val="0"/>
                    <w:spacing w:before="0" w:beforeAutospacing="0" w:after="0" w:afterAutospacing="0" w:line="276" w:lineRule="auto"/>
                    <w:ind w:left="0" w:right="0"/>
                    <w:jc w:val="center"/>
                    <w:rPr>
                      <w:rFonts w:hint="eastAsia" w:ascii="Times New Roman" w:hAnsi="Times New Roman" w:eastAsia="宋体" w:cs="Times New Roman"/>
                      <w:color w:val="auto"/>
                      <w:sz w:val="18"/>
                      <w:szCs w:val="18"/>
                      <w:highlight w:val="none"/>
                      <w:lang w:val="en-US" w:eastAsia="zh-CN"/>
                    </w:rPr>
                  </w:pPr>
                  <w:r>
                    <w:rPr>
                      <w:rFonts w:hint="eastAsia" w:ascii="Times New Roman" w:hAnsi="Times New Roman" w:eastAsia="宋体" w:cs="Times New Roman"/>
                      <w:color w:val="auto"/>
                      <w:sz w:val="18"/>
                      <w:szCs w:val="18"/>
                      <w:highlight w:val="none"/>
                      <w:lang w:val="en-US" w:eastAsia="zh-CN"/>
                    </w:rPr>
                    <w:t>固态</w:t>
                  </w:r>
                </w:p>
              </w:tc>
              <w:tc>
                <w:tcPr>
                  <w:tcW w:w="892" w:type="pct"/>
                  <w:vMerge w:val="continue"/>
                  <w:tcBorders>
                    <w:left w:val="single" w:color="auto" w:sz="4" w:space="0"/>
                    <w:right w:val="single" w:color="auto" w:sz="4" w:space="0"/>
                  </w:tcBorders>
                  <w:vAlign w:val="center"/>
                </w:tcPr>
                <w:p w14:paraId="2A40A884">
                  <w:pPr>
                    <w:pStyle w:val="120"/>
                    <w:keepNext w:val="0"/>
                    <w:keepLines w:val="0"/>
                    <w:pageBreakBefore w:val="0"/>
                    <w:framePr w:hSpace="0" w:wrap="auto" w:vAnchor="margin" w:hAnchor="text" w:xAlign="left" w:yAlign="inline"/>
                    <w:suppressLineNumbers w:val="0"/>
                    <w:kinsoku/>
                    <w:wordWrap/>
                    <w:overflowPunct/>
                    <w:topLinePunct w:val="0"/>
                    <w:bidi w:val="0"/>
                    <w:adjustRightInd w:val="0"/>
                    <w:snapToGrid w:val="0"/>
                    <w:spacing w:before="0" w:beforeAutospacing="0" w:after="0" w:afterAutospacing="0" w:line="276" w:lineRule="auto"/>
                    <w:ind w:left="0" w:right="0"/>
                    <w:jc w:val="center"/>
                    <w:rPr>
                      <w:rFonts w:hint="eastAsia" w:ascii="Times New Roman" w:hAnsi="Times New Roman" w:eastAsia="宋体" w:cs="Times New Roman"/>
                      <w:color w:val="auto"/>
                      <w:sz w:val="18"/>
                      <w:szCs w:val="18"/>
                      <w:highlight w:val="none"/>
                      <w:lang w:eastAsia="zh-CN"/>
                    </w:rPr>
                  </w:pPr>
                </w:p>
              </w:tc>
            </w:tr>
          </w:tbl>
          <w:p w14:paraId="7CE82FAB">
            <w:pPr>
              <w:pStyle w:val="4"/>
              <w:keepNext/>
              <w:keepLines/>
              <w:pageBreakBefore w:val="0"/>
              <w:widowControl w:val="0"/>
              <w:suppressLineNumbers w:val="0"/>
              <w:kinsoku/>
              <w:wordWrap/>
              <w:overflowPunct/>
              <w:topLinePunct w:val="0"/>
              <w:autoSpaceDE/>
              <w:autoSpaceDN/>
              <w:bidi w:val="0"/>
              <w:adjustRightInd w:val="0"/>
              <w:snapToGrid w:val="0"/>
              <w:spacing w:before="60" w:beforeAutospacing="0" w:after="0" w:afterAutospacing="0" w:line="360" w:lineRule="auto"/>
              <w:ind w:left="0" w:right="0" w:firstLine="422" w:firstLineChars="200"/>
              <w:textAlignment w:val="auto"/>
              <w:rPr>
                <w:rFonts w:hint="default"/>
                <w:b/>
                <w:bCs/>
                <w:snapToGrid w:val="0"/>
                <w:sz w:val="21"/>
                <w:szCs w:val="21"/>
                <w:highlight w:val="none"/>
                <w:lang w:val="en-US" w:eastAsia="zh-CN"/>
              </w:rPr>
            </w:pPr>
            <w:r>
              <w:rPr>
                <w:rFonts w:hint="eastAsia"/>
                <w:b/>
                <w:bCs/>
                <w:snapToGrid w:val="0"/>
                <w:sz w:val="21"/>
                <w:szCs w:val="21"/>
                <w:highlight w:val="none"/>
                <w:lang w:val="en-US" w:eastAsia="zh-CN"/>
              </w:rPr>
              <w:t>注：本项目饲养的动物不涉及繁殖。</w:t>
            </w:r>
          </w:p>
          <w:p w14:paraId="789DD716">
            <w:pPr>
              <w:pStyle w:val="4"/>
              <w:keepNext/>
              <w:keepLines/>
              <w:pageBreakBefore w:val="0"/>
              <w:widowControl w:val="0"/>
              <w:suppressLineNumbers w:val="0"/>
              <w:kinsoku/>
              <w:wordWrap/>
              <w:overflowPunct/>
              <w:topLinePunct w:val="0"/>
              <w:autoSpaceDE/>
              <w:autoSpaceDN/>
              <w:bidi w:val="0"/>
              <w:adjustRightInd w:val="0"/>
              <w:snapToGrid w:val="0"/>
              <w:spacing w:before="60" w:beforeAutospacing="0" w:after="0" w:afterAutospacing="0" w:line="360" w:lineRule="auto"/>
              <w:ind w:left="0" w:right="0" w:firstLine="482" w:firstLineChars="200"/>
              <w:textAlignment w:val="auto"/>
              <w:rPr>
                <w:rFonts w:hint="default"/>
                <w:b/>
                <w:bCs/>
                <w:snapToGrid w:val="0"/>
                <w:sz w:val="24"/>
                <w:szCs w:val="24"/>
                <w:highlight w:val="none"/>
                <w:lang w:val="en-US" w:eastAsia="zh-CN"/>
              </w:rPr>
            </w:pPr>
            <w:r>
              <w:rPr>
                <w:rFonts w:hint="eastAsia"/>
                <w:b/>
                <w:bCs/>
                <w:snapToGrid w:val="0"/>
                <w:sz w:val="24"/>
                <w:szCs w:val="24"/>
                <w:highlight w:val="none"/>
                <w:lang w:val="en-US" w:eastAsia="zh-CN"/>
              </w:rPr>
              <w:t>养殖规模合理性分析：</w:t>
            </w:r>
          </w:p>
          <w:p w14:paraId="13264844">
            <w:pPr>
              <w:pStyle w:val="4"/>
              <w:keepNext/>
              <w:keepLines/>
              <w:pageBreakBefore w:val="0"/>
              <w:widowControl w:val="0"/>
              <w:suppressLineNumbers w:val="0"/>
              <w:kinsoku/>
              <w:wordWrap/>
              <w:overflowPunct/>
              <w:topLinePunct w:val="0"/>
              <w:autoSpaceDE/>
              <w:autoSpaceDN/>
              <w:bidi w:val="0"/>
              <w:adjustRightInd w:val="0"/>
              <w:snapToGrid w:val="0"/>
              <w:spacing w:before="60" w:beforeAutospacing="0" w:after="0" w:afterAutospacing="0" w:line="360" w:lineRule="auto"/>
              <w:ind w:left="0" w:right="0" w:firstLine="480" w:firstLineChars="200"/>
              <w:textAlignment w:val="auto"/>
              <w:rPr>
                <w:rFonts w:hint="default"/>
                <w:b w:val="0"/>
                <w:bCs w:val="0"/>
                <w:snapToGrid w:val="0"/>
                <w:sz w:val="24"/>
                <w:szCs w:val="24"/>
                <w:highlight w:val="none"/>
                <w:lang w:val="en-US" w:eastAsia="zh-CN"/>
              </w:rPr>
            </w:pPr>
            <w:r>
              <w:rPr>
                <w:rFonts w:hint="eastAsia"/>
                <w:b w:val="0"/>
                <w:bCs w:val="0"/>
                <w:snapToGrid w:val="0"/>
                <w:sz w:val="24"/>
                <w:szCs w:val="24"/>
                <w:highlight w:val="none"/>
                <w:lang w:val="en-US" w:eastAsia="zh-CN"/>
              </w:rPr>
              <w:t>对照《衢州市生态环境分区管控动态更新方案》（衢环发〔2024〕52号），项目所在区域位于“城镇生活污染重点管控区ZH33080220002—浙江省衢州市柯城区主城区城镇生活重点管控区”，周边500m大气环境保护目标主要为：学校、研究院、医院、居民区，属于“畜禽养殖禁养区”，但本项目饲养动物主要用于动物实验，实验完成后即处死相关动物，不对外销售；同时，对照《浙江省农业农村厅 浙江省生态环境厅关于印发浙江省畜禽养殖场规模标准的通知》（浙农牧发〔2022〕9号），项目兔最大暂存量为60只，远远未达到“兔设计存栏500只以上”的要求，故本项目动物饲养区不属于“畜禽养殖场”，满足“畜禽养殖禁养区”要求。</w:t>
            </w:r>
          </w:p>
          <w:p w14:paraId="231AEDA7">
            <w:pPr>
              <w:pStyle w:val="4"/>
              <w:keepNext/>
              <w:keepLines/>
              <w:pageBreakBefore w:val="0"/>
              <w:widowControl w:val="0"/>
              <w:suppressLineNumbers w:val="0"/>
              <w:kinsoku/>
              <w:wordWrap/>
              <w:overflowPunct/>
              <w:topLinePunct w:val="0"/>
              <w:autoSpaceDE/>
              <w:autoSpaceDN/>
              <w:bidi w:val="0"/>
              <w:adjustRightInd w:val="0"/>
              <w:snapToGrid w:val="0"/>
              <w:spacing w:before="60" w:beforeAutospacing="0" w:after="0" w:afterAutospacing="0" w:line="360" w:lineRule="auto"/>
              <w:ind w:left="0" w:right="0" w:firstLine="482" w:firstLineChars="200"/>
              <w:textAlignment w:val="auto"/>
              <w:rPr>
                <w:rFonts w:hint="default"/>
                <w:b/>
                <w:bCs/>
                <w:snapToGrid w:val="0"/>
                <w:sz w:val="24"/>
                <w:szCs w:val="24"/>
                <w:highlight w:val="none"/>
              </w:rPr>
            </w:pPr>
            <w:r>
              <w:rPr>
                <w:rFonts w:hint="eastAsia"/>
                <w:b/>
                <w:bCs/>
                <w:snapToGrid w:val="0"/>
                <w:sz w:val="24"/>
                <w:szCs w:val="24"/>
                <w:highlight w:val="none"/>
                <w:lang w:val="en-US" w:eastAsia="zh-CN"/>
              </w:rPr>
              <w:t>主要</w:t>
            </w:r>
            <w:r>
              <w:rPr>
                <w:rFonts w:hint="eastAsia"/>
                <w:b/>
                <w:bCs/>
                <w:snapToGrid w:val="0"/>
                <w:sz w:val="24"/>
                <w:szCs w:val="24"/>
                <w:highlight w:val="none"/>
              </w:rPr>
              <w:t>原辅料理化性质：</w:t>
            </w:r>
          </w:p>
          <w:p w14:paraId="4EE9F07D">
            <w:pPr>
              <w:keepNext w:val="0"/>
              <w:keepLines w:val="0"/>
              <w:suppressLineNumbers w:val="0"/>
              <w:spacing w:before="0" w:beforeAutospacing="0" w:after="0" w:afterAutospacing="0" w:line="360" w:lineRule="auto"/>
              <w:ind w:left="0" w:right="0" w:firstLine="482" w:firstLineChars="200"/>
              <w:rPr>
                <w:rFonts w:hint="eastAsia" w:eastAsia="宋体"/>
                <w:b/>
                <w:bCs/>
                <w:snapToGrid w:val="0"/>
                <w:color w:val="auto"/>
                <w:highlight w:val="none"/>
                <w:lang w:val="en-US" w:eastAsia="zh-CN"/>
              </w:rPr>
            </w:pPr>
            <w:r>
              <w:rPr>
                <w:rFonts w:hint="eastAsia"/>
                <w:b/>
                <w:bCs/>
                <w:snapToGrid w:val="0"/>
                <w:color w:val="auto"/>
                <w:highlight w:val="none"/>
                <w:lang w:val="en-US" w:eastAsia="zh-CN"/>
              </w:rPr>
              <w:t>因本项目实验动物中心、科创综合楼实验试剂种类较多，故此处仅罗列年用量较多的</w:t>
            </w:r>
            <w:r>
              <w:rPr>
                <w:rFonts w:hint="eastAsia"/>
                <w:b/>
                <w:bCs/>
                <w:snapToGrid w:val="0"/>
                <w:sz w:val="24"/>
                <w:szCs w:val="24"/>
                <w:highlight w:val="none"/>
              </w:rPr>
              <w:t>原辅料</w:t>
            </w:r>
            <w:r>
              <w:rPr>
                <w:rFonts w:hint="eastAsia"/>
                <w:b/>
                <w:bCs/>
                <w:snapToGrid w:val="0"/>
                <w:sz w:val="24"/>
                <w:szCs w:val="24"/>
                <w:highlight w:val="none"/>
                <w:lang w:val="en-US" w:eastAsia="zh-CN"/>
              </w:rPr>
              <w:t>理化性质。</w:t>
            </w:r>
          </w:p>
          <w:p w14:paraId="3D81964F">
            <w:pPr>
              <w:keepNext w:val="0"/>
              <w:keepLines w:val="0"/>
              <w:suppressLineNumbers w:val="0"/>
              <w:spacing w:before="0" w:beforeAutospacing="0" w:after="0" w:afterAutospacing="0" w:line="360" w:lineRule="auto"/>
              <w:ind w:left="0" w:right="0" w:firstLine="482" w:firstLineChars="200"/>
              <w:rPr>
                <w:rFonts w:hint="default"/>
                <w:snapToGrid w:val="0"/>
                <w:color w:val="auto"/>
                <w:highlight w:val="none"/>
              </w:rPr>
            </w:pPr>
            <w:r>
              <w:rPr>
                <w:rFonts w:hint="default"/>
                <w:b/>
                <w:bCs/>
                <w:snapToGrid w:val="0"/>
                <w:color w:val="auto"/>
                <w:highlight w:val="none"/>
              </w:rPr>
              <w:t>乙醇（75%）</w:t>
            </w:r>
            <w:r>
              <w:rPr>
                <w:rFonts w:hint="default"/>
                <w:snapToGrid w:val="0"/>
                <w:color w:val="auto"/>
                <w:highlight w:val="none"/>
              </w:rPr>
              <w:t>：主要成分是乙醇，含量为75%，无色液体带醇类气味</w:t>
            </w:r>
            <w:r>
              <w:rPr>
                <w:rFonts w:hint="eastAsia"/>
                <w:snapToGrid w:val="0"/>
                <w:color w:val="auto"/>
                <w:highlight w:val="none"/>
              </w:rPr>
              <w:t>；</w:t>
            </w:r>
            <w:r>
              <w:rPr>
                <w:rFonts w:hint="default"/>
                <w:snapToGrid w:val="0"/>
                <w:color w:val="auto"/>
                <w:highlight w:val="none"/>
              </w:rPr>
              <w:t>熔点-110°C，沸点76°C，闪点17°C，密度为0.85g/cm</w:t>
            </w:r>
            <w:r>
              <w:rPr>
                <w:rFonts w:hint="default"/>
                <w:snapToGrid w:val="0"/>
                <w:color w:val="auto"/>
                <w:highlight w:val="none"/>
                <w:vertAlign w:val="superscript"/>
              </w:rPr>
              <w:t>3</w:t>
            </w:r>
            <w:r>
              <w:rPr>
                <w:rFonts w:hint="default"/>
                <w:snapToGrid w:val="0"/>
                <w:color w:val="auto"/>
                <w:highlight w:val="none"/>
              </w:rPr>
              <w:t>，相对蒸气密度</w:t>
            </w:r>
            <w:r>
              <w:rPr>
                <w:rFonts w:hint="eastAsia"/>
                <w:snapToGrid w:val="0"/>
                <w:color w:val="auto"/>
                <w:highlight w:val="none"/>
                <w:lang w:eastAsia="zh-CN"/>
              </w:rPr>
              <w:t>（</w:t>
            </w:r>
            <w:r>
              <w:rPr>
                <w:rFonts w:hint="default"/>
                <w:snapToGrid w:val="0"/>
                <w:color w:val="auto"/>
                <w:highlight w:val="none"/>
              </w:rPr>
              <w:t>空气=1</w:t>
            </w:r>
            <w:r>
              <w:rPr>
                <w:rFonts w:hint="eastAsia"/>
                <w:snapToGrid w:val="0"/>
                <w:color w:val="auto"/>
                <w:highlight w:val="none"/>
                <w:lang w:eastAsia="zh-CN"/>
              </w:rPr>
              <w:t>）：</w:t>
            </w:r>
            <w:r>
              <w:rPr>
                <w:rFonts w:hint="default"/>
                <w:snapToGrid w:val="0"/>
                <w:color w:val="auto"/>
                <w:highlight w:val="none"/>
              </w:rPr>
              <w:t>1.11</w:t>
            </w:r>
            <w:r>
              <w:rPr>
                <w:rFonts w:hint="eastAsia"/>
                <w:snapToGrid w:val="0"/>
                <w:color w:val="auto"/>
                <w:highlight w:val="none"/>
              </w:rPr>
              <w:t>；</w:t>
            </w:r>
            <w:r>
              <w:rPr>
                <w:rFonts w:hint="default"/>
                <w:snapToGrid w:val="0"/>
                <w:color w:val="auto"/>
                <w:highlight w:val="none"/>
              </w:rPr>
              <w:t>易溶于水，能溶于多数有机溶剂</w:t>
            </w:r>
            <w:r>
              <w:rPr>
                <w:rFonts w:hint="eastAsia"/>
                <w:snapToGrid w:val="0"/>
                <w:color w:val="auto"/>
                <w:highlight w:val="none"/>
                <w:lang w:eastAsia="zh-CN"/>
              </w:rPr>
              <w:t>；</w:t>
            </w:r>
            <w:r>
              <w:rPr>
                <w:rFonts w:hint="default"/>
                <w:snapToGrid w:val="0"/>
                <w:color w:val="auto"/>
                <w:highlight w:val="none"/>
              </w:rPr>
              <w:t>易燃，遇明火、高热能引起燃烧爆炸。工业上可用于印刷、电子、五金、香料、化工合成、医药合成等方面。可用作清洗剂、溶剂。75%乙醇在本项目用于动物饲养、动物实验过程中对饲养室笼架、墙壁地板等进行消毒。</w:t>
            </w:r>
          </w:p>
          <w:p w14:paraId="15CF1046">
            <w:pPr>
              <w:keepNext w:val="0"/>
              <w:keepLines w:val="0"/>
              <w:suppressLineNumbers w:val="0"/>
              <w:spacing w:before="0" w:beforeAutospacing="0" w:after="0" w:afterAutospacing="0" w:line="360" w:lineRule="auto"/>
              <w:ind w:left="0" w:right="0" w:firstLine="482" w:firstLineChars="200"/>
              <w:rPr>
                <w:rFonts w:hint="default"/>
                <w:b w:val="0"/>
                <w:bCs w:val="0"/>
                <w:color w:val="auto"/>
                <w:highlight w:val="none"/>
                <w:lang w:val="en-US" w:eastAsia="zh-CN"/>
              </w:rPr>
            </w:pPr>
            <w:r>
              <w:rPr>
                <w:rFonts w:hint="eastAsia"/>
                <w:b/>
                <w:bCs/>
                <w:color w:val="auto"/>
                <w:highlight w:val="none"/>
                <w:lang w:val="en-US" w:eastAsia="zh-CN"/>
              </w:rPr>
              <w:t>无水乙醇（99.5%）</w:t>
            </w:r>
            <w:r>
              <w:rPr>
                <w:rFonts w:hint="eastAsia"/>
                <w:b w:val="0"/>
                <w:bCs w:val="0"/>
                <w:color w:val="auto"/>
                <w:highlight w:val="none"/>
                <w:lang w:val="en-US" w:eastAsia="zh-CN"/>
              </w:rPr>
              <w:t>：纯度较高的乙醇水溶液，是乙醇和水的混合物。一般情况下称浓度99.5%的乙醇溶液为无水乙醇；CAS号：64-17-5；无色液体，有酒香；熔点-114.1℃；沸点78.3℃；相对密度（水=1）0.79；相对蒸气密度（空气=1）1.59；饱和蒸气压5.8kPa（20℃）；燃烧热1365.5kJ/mol；临界温度243.1℃；临界压力6.38MPa；辛醇/水分配系数-0.32Logkow；闪点13℃；自燃温度363℃；爆炸下限3.3%；爆炸上限19.0%；黏度1.07mPa.s（20℃）；与水混溶，可混溶于乙醚、氯仿、甘油、甲醇等多数有机溶剂。</w:t>
            </w:r>
          </w:p>
          <w:p w14:paraId="15D94B3F">
            <w:pPr>
              <w:keepNext w:val="0"/>
              <w:keepLines w:val="0"/>
              <w:suppressLineNumbers w:val="0"/>
              <w:spacing w:before="0" w:beforeAutospacing="0" w:after="0" w:afterAutospacing="0" w:line="360" w:lineRule="auto"/>
              <w:ind w:left="0" w:right="0" w:firstLine="482" w:firstLineChars="200"/>
              <w:rPr>
                <w:rFonts w:hint="eastAsia" w:eastAsia="宋体"/>
                <w:highlight w:val="none"/>
                <w:lang w:val="en-US" w:eastAsia="zh-CN"/>
              </w:rPr>
            </w:pPr>
            <w:r>
              <w:rPr>
                <w:rFonts w:hint="eastAsia"/>
                <w:b/>
                <w:bCs/>
                <w:color w:val="auto"/>
                <w:highlight w:val="none"/>
                <w:lang w:val="en-US" w:eastAsia="zh-CN"/>
              </w:rPr>
              <w:t>乙酸乙酯</w:t>
            </w:r>
            <w:r>
              <w:rPr>
                <w:rFonts w:hint="eastAsia"/>
                <w:color w:val="auto"/>
                <w:highlight w:val="none"/>
                <w:lang w:val="en-US" w:eastAsia="zh-CN"/>
              </w:rPr>
              <w:t>：分子式：C</w:t>
            </w:r>
            <w:r>
              <w:rPr>
                <w:rFonts w:hint="eastAsia"/>
                <w:color w:val="auto"/>
                <w:highlight w:val="none"/>
                <w:vertAlign w:val="subscript"/>
                <w:lang w:val="en-US" w:eastAsia="zh-CN"/>
              </w:rPr>
              <w:t>4</w:t>
            </w:r>
            <w:r>
              <w:rPr>
                <w:rFonts w:hint="eastAsia"/>
                <w:color w:val="auto"/>
                <w:highlight w:val="none"/>
                <w:lang w:val="en-US" w:eastAsia="zh-CN"/>
              </w:rPr>
              <w:t>H</w:t>
            </w:r>
            <w:r>
              <w:rPr>
                <w:rFonts w:hint="eastAsia"/>
                <w:color w:val="auto"/>
                <w:highlight w:val="none"/>
                <w:vertAlign w:val="subscript"/>
                <w:lang w:val="en-US" w:eastAsia="zh-CN"/>
              </w:rPr>
              <w:t>8</w:t>
            </w:r>
            <w:r>
              <w:rPr>
                <w:rFonts w:hint="eastAsia"/>
                <w:color w:val="auto"/>
                <w:highlight w:val="none"/>
                <w:lang w:val="en-US" w:eastAsia="zh-CN"/>
              </w:rPr>
              <w:t>O</w:t>
            </w:r>
            <w:r>
              <w:rPr>
                <w:rFonts w:hint="eastAsia"/>
                <w:color w:val="auto"/>
                <w:highlight w:val="none"/>
                <w:vertAlign w:val="subscript"/>
                <w:lang w:val="en-US" w:eastAsia="zh-CN"/>
              </w:rPr>
              <w:t>2</w:t>
            </w:r>
            <w:r>
              <w:rPr>
                <w:rFonts w:hint="eastAsia"/>
                <w:color w:val="auto"/>
                <w:highlight w:val="none"/>
                <w:vertAlign w:val="baseline"/>
                <w:lang w:val="en-US" w:eastAsia="zh-CN"/>
              </w:rPr>
              <w:t>；</w:t>
            </w:r>
            <w:r>
              <w:rPr>
                <w:rFonts w:hint="eastAsia"/>
                <w:color w:val="auto"/>
                <w:highlight w:val="none"/>
                <w:lang w:val="en-US" w:eastAsia="zh-CN"/>
              </w:rPr>
              <w:t>分子量：88.10</w:t>
            </w:r>
            <w:r>
              <w:rPr>
                <w:rFonts w:hint="eastAsia"/>
                <w:color w:val="auto"/>
                <w:highlight w:val="none"/>
                <w:vertAlign w:val="baseline"/>
                <w:lang w:val="en-US" w:eastAsia="zh-CN"/>
              </w:rPr>
              <w:t>；</w:t>
            </w:r>
            <w:r>
              <w:rPr>
                <w:rFonts w:hint="eastAsia"/>
                <w:color w:val="auto"/>
                <w:highlight w:val="none"/>
                <w:lang w:val="en-US" w:eastAsia="zh-CN"/>
              </w:rPr>
              <w:t>CAS号：141-78-6</w:t>
            </w:r>
            <w:r>
              <w:rPr>
                <w:rFonts w:hint="eastAsia"/>
                <w:color w:val="auto"/>
                <w:highlight w:val="none"/>
                <w:vertAlign w:val="baseline"/>
                <w:lang w:val="en-US" w:eastAsia="zh-CN"/>
              </w:rPr>
              <w:t>；</w:t>
            </w:r>
            <w:r>
              <w:rPr>
                <w:rFonts w:hint="eastAsia"/>
                <w:color w:val="auto"/>
                <w:highlight w:val="none"/>
                <w:lang w:val="en-US" w:eastAsia="zh-CN"/>
              </w:rPr>
              <w:t>外观与性状：无色澄清液体，有芳香气味，易挥发</w:t>
            </w:r>
            <w:r>
              <w:rPr>
                <w:rFonts w:hint="eastAsia"/>
                <w:color w:val="auto"/>
                <w:highlight w:val="none"/>
                <w:vertAlign w:val="baseline"/>
                <w:lang w:val="en-US" w:eastAsia="zh-CN"/>
              </w:rPr>
              <w:t>；</w:t>
            </w:r>
            <w:r>
              <w:rPr>
                <w:rFonts w:hint="eastAsia"/>
                <w:color w:val="auto"/>
                <w:highlight w:val="none"/>
                <w:lang w:val="en-US" w:eastAsia="zh-CN"/>
              </w:rPr>
              <w:t>溶解性：微溶于水，溶于醇、酮、醚、氯仿等多数有机溶剂</w:t>
            </w:r>
            <w:r>
              <w:rPr>
                <w:rFonts w:hint="eastAsia"/>
                <w:color w:val="auto"/>
                <w:highlight w:val="none"/>
                <w:vertAlign w:val="baseline"/>
                <w:lang w:val="en-US" w:eastAsia="zh-CN"/>
              </w:rPr>
              <w:t>；</w:t>
            </w:r>
            <w:r>
              <w:rPr>
                <w:rFonts w:hint="eastAsia"/>
                <w:highlight w:val="none"/>
                <w:lang w:val="en-US" w:eastAsia="zh-CN"/>
              </w:rPr>
              <w:t>熔点（</w:t>
            </w:r>
            <w:r>
              <w:rPr>
                <w:rFonts w:hint="default" w:ascii="Times New Roman" w:hAnsi="Times New Roman" w:cs="Times New Roman"/>
                <w:highlight w:val="none"/>
                <w:lang w:val="en-US" w:eastAsia="zh-CN"/>
              </w:rPr>
              <w:t>℃</w:t>
            </w:r>
            <w:r>
              <w:rPr>
                <w:rFonts w:hint="eastAsia"/>
                <w:highlight w:val="none"/>
                <w:lang w:val="en-US" w:eastAsia="zh-CN"/>
              </w:rPr>
              <w:t>）：-83.6，沸点（</w:t>
            </w:r>
            <w:r>
              <w:rPr>
                <w:rFonts w:hint="default" w:ascii="Times New Roman" w:hAnsi="Times New Roman" w:cs="Times New Roman"/>
                <w:highlight w:val="none"/>
                <w:lang w:val="en-US" w:eastAsia="zh-CN"/>
              </w:rPr>
              <w:t>℃</w:t>
            </w:r>
            <w:r>
              <w:rPr>
                <w:rFonts w:hint="eastAsia"/>
                <w:highlight w:val="none"/>
                <w:lang w:val="en-US" w:eastAsia="zh-CN"/>
              </w:rPr>
              <w:t>）：77.2；相对密度（水=1）：0.90，相对密度（空气=1）：3.04；饱和蒸汽压（KPa）：13.33（270</w:t>
            </w:r>
            <w:r>
              <w:rPr>
                <w:rFonts w:hint="default" w:ascii="Times New Roman" w:hAnsi="Times New Roman" w:cs="Times New Roman"/>
                <w:highlight w:val="none"/>
                <w:lang w:val="en-US" w:eastAsia="zh-CN"/>
              </w:rPr>
              <w:t>℃</w:t>
            </w:r>
            <w:r>
              <w:rPr>
                <w:rFonts w:hint="eastAsia"/>
                <w:highlight w:val="none"/>
                <w:lang w:val="en-US" w:eastAsia="zh-CN"/>
              </w:rPr>
              <w:t>）；燃烧热（kJ/mol）：2244.2；临界温度（</w:t>
            </w:r>
            <w:r>
              <w:rPr>
                <w:rFonts w:hint="default" w:ascii="Times New Roman" w:hAnsi="Times New Roman" w:cs="Times New Roman"/>
                <w:highlight w:val="none"/>
                <w:lang w:val="en-US" w:eastAsia="zh-CN"/>
              </w:rPr>
              <w:t>℃</w:t>
            </w:r>
            <w:r>
              <w:rPr>
                <w:rFonts w:hint="eastAsia"/>
                <w:highlight w:val="none"/>
                <w:lang w:val="en-US" w:eastAsia="zh-CN"/>
              </w:rPr>
              <w:t>）：250.1，临界压力（MPa）：3.83；闪点（</w:t>
            </w:r>
            <w:r>
              <w:rPr>
                <w:rFonts w:hint="default" w:ascii="Times New Roman" w:hAnsi="Times New Roman" w:cs="Times New Roman"/>
                <w:highlight w:val="none"/>
                <w:lang w:val="en-US" w:eastAsia="zh-CN"/>
              </w:rPr>
              <w:t>℃</w:t>
            </w:r>
            <w:r>
              <w:rPr>
                <w:rFonts w:hint="eastAsia"/>
                <w:highlight w:val="none"/>
                <w:lang w:val="en-US" w:eastAsia="zh-CN"/>
              </w:rPr>
              <w:t>）：-4，引燃温度（</w:t>
            </w:r>
            <w:r>
              <w:rPr>
                <w:rFonts w:hint="default" w:ascii="Times New Roman" w:hAnsi="Times New Roman" w:cs="Times New Roman"/>
                <w:highlight w:val="none"/>
                <w:lang w:val="en-US" w:eastAsia="zh-CN"/>
              </w:rPr>
              <w:t>℃</w:t>
            </w:r>
            <w:r>
              <w:rPr>
                <w:rFonts w:hint="eastAsia"/>
                <w:highlight w:val="none"/>
                <w:lang w:val="en-US" w:eastAsia="zh-CN"/>
              </w:rPr>
              <w:t>）：426；爆炸下限（%）：2.0，爆炸上限（%）：11.5；危险易燃，其蒸气与空气可形成爆炸性混合物，遇明火、高热能引起燃烧爆炸。与氧化剂接触特性猛烈反应。其蒸气比空气重，能在较低处扩散到相当远的地方，遇火源会着火回燃。LD</w:t>
            </w:r>
            <w:r>
              <w:rPr>
                <w:rFonts w:hint="eastAsia"/>
                <w:highlight w:val="none"/>
                <w:vertAlign w:val="subscript"/>
                <w:lang w:val="en-US" w:eastAsia="zh-CN"/>
              </w:rPr>
              <w:t>50</w:t>
            </w:r>
            <w:r>
              <w:rPr>
                <w:rFonts w:hint="eastAsia"/>
                <w:highlight w:val="none"/>
                <w:lang w:val="en-US" w:eastAsia="zh-CN"/>
              </w:rPr>
              <w:t>：5620mg/kg（大鼠经口）；4940mg/kg（免经皮）。LC</w:t>
            </w:r>
            <w:r>
              <w:rPr>
                <w:rFonts w:hint="eastAsia"/>
                <w:highlight w:val="none"/>
                <w:vertAlign w:val="subscript"/>
                <w:lang w:val="en-US" w:eastAsia="zh-CN"/>
              </w:rPr>
              <w:t>50</w:t>
            </w:r>
            <w:r>
              <w:rPr>
                <w:rFonts w:hint="eastAsia"/>
                <w:highlight w:val="none"/>
                <w:lang w:val="en-US" w:eastAsia="zh-CN"/>
              </w:rPr>
              <w:t>：5760mg/m</w:t>
            </w:r>
            <w:r>
              <w:rPr>
                <w:rFonts w:hint="eastAsia"/>
                <w:highlight w:val="none"/>
                <w:vertAlign w:val="superscript"/>
                <w:lang w:val="en-US" w:eastAsia="zh-CN"/>
              </w:rPr>
              <w:t>3</w:t>
            </w:r>
            <w:r>
              <w:rPr>
                <w:rFonts w:hint="eastAsia"/>
                <w:highlight w:val="none"/>
                <w:lang w:val="en-US" w:eastAsia="zh-CN"/>
              </w:rPr>
              <w:t>，8小时（大鼠吸入）。</w:t>
            </w:r>
          </w:p>
          <w:p w14:paraId="590DC639">
            <w:pPr>
              <w:keepNext w:val="0"/>
              <w:keepLines w:val="0"/>
              <w:suppressLineNumbers w:val="0"/>
              <w:spacing w:before="0" w:beforeAutospacing="0" w:after="0" w:afterAutospacing="0" w:line="360" w:lineRule="auto"/>
              <w:ind w:left="0" w:right="0" w:firstLine="482" w:firstLineChars="200"/>
              <w:rPr>
                <w:rFonts w:hint="eastAsia"/>
                <w:highlight w:val="none"/>
                <w:lang w:val="en-US" w:eastAsia="zh-CN"/>
              </w:rPr>
            </w:pPr>
            <w:r>
              <w:rPr>
                <w:rFonts w:hint="eastAsia" w:ascii="Times New Roman" w:hAnsi="Times New Roman" w:eastAsia="宋体" w:cs="Times New Roman"/>
                <w:b/>
                <w:bCs/>
                <w:highlight w:val="none"/>
                <w:lang w:val="en-US" w:eastAsia="zh-CN"/>
              </w:rPr>
              <w:t>四氢呋喃</w:t>
            </w:r>
            <w:r>
              <w:rPr>
                <w:rFonts w:hint="eastAsia" w:cs="Times New Roman"/>
                <w:b/>
                <w:bCs/>
                <w:highlight w:val="none"/>
                <w:lang w:val="en-US" w:eastAsia="zh-CN"/>
              </w:rPr>
              <w:t>：</w:t>
            </w:r>
            <w:r>
              <w:rPr>
                <w:rFonts w:hint="eastAsia"/>
                <w:highlight w:val="none"/>
                <w:lang w:val="en-US" w:eastAsia="zh-CN"/>
              </w:rPr>
              <w:t>又称氧杂环戊烷，CAS号：109-99-9；分子式：C</w:t>
            </w:r>
            <w:r>
              <w:rPr>
                <w:rFonts w:hint="eastAsia"/>
                <w:highlight w:val="none"/>
                <w:vertAlign w:val="subscript"/>
                <w:lang w:val="en-US" w:eastAsia="zh-CN"/>
              </w:rPr>
              <w:t>4</w:t>
            </w:r>
            <w:r>
              <w:rPr>
                <w:rFonts w:hint="eastAsia"/>
                <w:highlight w:val="none"/>
                <w:lang w:val="en-US" w:eastAsia="zh-CN"/>
              </w:rPr>
              <w:t>H</w:t>
            </w:r>
            <w:r>
              <w:rPr>
                <w:rFonts w:hint="eastAsia"/>
                <w:highlight w:val="none"/>
                <w:vertAlign w:val="subscript"/>
                <w:lang w:val="en-US" w:eastAsia="zh-CN"/>
              </w:rPr>
              <w:t>8</w:t>
            </w:r>
            <w:r>
              <w:rPr>
                <w:rFonts w:hint="eastAsia"/>
                <w:highlight w:val="none"/>
                <w:lang w:val="en-US" w:eastAsia="zh-CN"/>
              </w:rPr>
              <w:t>O；分子量72.11g/mol；俗称THF；无色易挥发液体，有类似乙醚气味；熔点-108.5℃；沸点66℃；相对密度（水=1）0.89；相对蒸气密度（空气=1）2.5；饱和蒸气压19.3kPa（20℃）；燃烧热2515kJ/mol；临界温度268℃；临界压力5.19MPa；辛醇/水分配系数0.46Logkow；闪点-14℃；自燃温度321℃；爆炸下限1.8%；爆炸上限11.8%；黏度0.53mPa.s（20℃）；溶于水、乙醇、丙酮、苯、乙醚等多数有机溶剂；易燃液体、急性毒性、严重眼睛损伤/眼睛刺激性、致癌性。LD</w:t>
            </w:r>
            <w:r>
              <w:rPr>
                <w:rFonts w:hint="eastAsia"/>
                <w:highlight w:val="none"/>
                <w:vertAlign w:val="subscript"/>
                <w:lang w:val="en-US" w:eastAsia="zh-CN"/>
              </w:rPr>
              <w:t>50</w:t>
            </w:r>
            <w:r>
              <w:rPr>
                <w:rFonts w:hint="eastAsia"/>
                <w:highlight w:val="none"/>
                <w:lang w:val="en-US" w:eastAsia="zh-CN"/>
              </w:rPr>
              <w:t>：1650mg/kg（大鼠经口），LD</w:t>
            </w:r>
            <w:r>
              <w:rPr>
                <w:rFonts w:hint="eastAsia"/>
                <w:highlight w:val="none"/>
                <w:vertAlign w:val="subscript"/>
                <w:lang w:val="en-US" w:eastAsia="zh-CN"/>
              </w:rPr>
              <w:t>50</w:t>
            </w:r>
            <w:r>
              <w:rPr>
                <w:rFonts w:hint="eastAsia"/>
                <w:highlight w:val="none"/>
                <w:lang w:val="en-US" w:eastAsia="zh-CN"/>
              </w:rPr>
              <w:t>：21000ppm（大鼠吸入，3h）。</w:t>
            </w:r>
          </w:p>
          <w:p w14:paraId="4D9AF245">
            <w:pPr>
              <w:keepNext w:val="0"/>
              <w:keepLines w:val="0"/>
              <w:suppressLineNumbers w:val="0"/>
              <w:spacing w:before="0" w:beforeAutospacing="0" w:after="0" w:afterAutospacing="0" w:line="360" w:lineRule="auto"/>
              <w:ind w:left="0" w:right="0" w:firstLine="482" w:firstLineChars="200"/>
              <w:rPr>
                <w:rFonts w:hint="eastAsia"/>
                <w:highlight w:val="none"/>
                <w:lang w:val="en-US" w:eastAsia="zh-CN"/>
              </w:rPr>
            </w:pPr>
            <w:r>
              <w:rPr>
                <w:rFonts w:hint="eastAsia"/>
                <w:b/>
                <w:bCs/>
                <w:highlight w:val="none"/>
                <w:lang w:val="en-US" w:eastAsia="zh-CN"/>
              </w:rPr>
              <w:t>乙醚：</w:t>
            </w:r>
            <w:r>
              <w:rPr>
                <w:rFonts w:hint="eastAsia"/>
                <w:highlight w:val="none"/>
                <w:lang w:val="en-US" w:eastAsia="zh-CN"/>
              </w:rPr>
              <w:t>CAS号：60-29-7；分子式：C</w:t>
            </w:r>
            <w:r>
              <w:rPr>
                <w:rFonts w:hint="eastAsia"/>
                <w:highlight w:val="none"/>
                <w:vertAlign w:val="subscript"/>
                <w:lang w:val="en-US" w:eastAsia="zh-CN"/>
              </w:rPr>
              <w:t>4</w:t>
            </w:r>
            <w:r>
              <w:rPr>
                <w:rFonts w:hint="eastAsia"/>
                <w:highlight w:val="none"/>
                <w:lang w:val="en-US" w:eastAsia="zh-CN"/>
              </w:rPr>
              <w:t>H</w:t>
            </w:r>
            <w:r>
              <w:rPr>
                <w:rFonts w:hint="eastAsia"/>
                <w:highlight w:val="none"/>
                <w:vertAlign w:val="subscript"/>
                <w:lang w:val="en-US" w:eastAsia="zh-CN"/>
              </w:rPr>
              <w:t>10</w:t>
            </w:r>
            <w:r>
              <w:rPr>
                <w:rFonts w:hint="eastAsia"/>
                <w:highlight w:val="none"/>
                <w:lang w:val="en-US" w:eastAsia="zh-CN"/>
              </w:rPr>
              <w:t>O；分子量74.12g/mol；无色透明液体，有芬芳气味，极易挥发；熔点-116.2℃；沸点34.6℃；相对密度（水=1）0.71；相对蒸气密度（空气=1）2.56；饱和蒸气压58.92kPa（20℃）；燃烧热2748.4kJ/mol；临界温度192.7℃；临界压力3.61MPa；辛醇/水分配系数0.89Logkow；闪点-45℃；自燃温度160~180℃；爆炸下限1.7%；爆炸上限49.0%；黏度0.22mPa.s（20℃）；微溶于水，溶于乙醇、苯、氯仿等多数有机溶剂；易燃液体、急性毒性。LD</w:t>
            </w:r>
            <w:r>
              <w:rPr>
                <w:rFonts w:hint="eastAsia"/>
                <w:highlight w:val="none"/>
                <w:vertAlign w:val="subscript"/>
                <w:lang w:val="en-US" w:eastAsia="zh-CN"/>
              </w:rPr>
              <w:t>50</w:t>
            </w:r>
            <w:r>
              <w:rPr>
                <w:rFonts w:hint="eastAsia"/>
                <w:highlight w:val="none"/>
                <w:lang w:val="en-US" w:eastAsia="zh-CN"/>
              </w:rPr>
              <w:t>：1215mg/kg（大鼠经口）；＞20ml（14200mg）/kg（兔经皮），LC</w:t>
            </w:r>
            <w:r>
              <w:rPr>
                <w:rFonts w:hint="eastAsia"/>
                <w:highlight w:val="none"/>
                <w:vertAlign w:val="subscript"/>
                <w:lang w:val="en-US" w:eastAsia="zh-CN"/>
              </w:rPr>
              <w:t>50</w:t>
            </w:r>
            <w:r>
              <w:rPr>
                <w:rFonts w:hint="eastAsia"/>
                <w:highlight w:val="none"/>
                <w:lang w:val="en-US" w:eastAsia="zh-CN"/>
              </w:rPr>
              <w:t>：221190mg/m</w:t>
            </w:r>
            <w:r>
              <w:rPr>
                <w:rFonts w:hint="eastAsia"/>
                <w:highlight w:val="none"/>
                <w:vertAlign w:val="superscript"/>
                <w:lang w:val="en-US" w:eastAsia="zh-CN"/>
              </w:rPr>
              <w:t>3</w:t>
            </w:r>
            <w:r>
              <w:rPr>
                <w:rFonts w:hint="eastAsia"/>
                <w:highlight w:val="none"/>
                <w:lang w:val="en-US" w:eastAsia="zh-CN"/>
              </w:rPr>
              <w:t>（大鼠吸入，2h）；31000ppm（小鼠吸入，30min）。</w:t>
            </w:r>
          </w:p>
          <w:p w14:paraId="0F9D7728">
            <w:pPr>
              <w:keepNext w:val="0"/>
              <w:keepLines w:val="0"/>
              <w:suppressLineNumbers w:val="0"/>
              <w:spacing w:before="0" w:beforeAutospacing="0" w:after="0" w:afterAutospacing="0" w:line="360" w:lineRule="auto"/>
              <w:ind w:left="0" w:right="0" w:firstLine="482" w:firstLineChars="200"/>
              <w:rPr>
                <w:rFonts w:hint="eastAsia"/>
                <w:highlight w:val="none"/>
                <w:lang w:val="en-US" w:eastAsia="zh-CN"/>
              </w:rPr>
            </w:pPr>
            <w:r>
              <w:rPr>
                <w:rFonts w:hint="eastAsia"/>
                <w:b/>
                <w:bCs/>
                <w:highlight w:val="none"/>
                <w:lang w:val="en-US" w:eastAsia="zh-CN"/>
              </w:rPr>
              <w:t>碳酸氢钠</w:t>
            </w:r>
            <w:r>
              <w:rPr>
                <w:rFonts w:hint="eastAsia"/>
                <w:highlight w:val="none"/>
                <w:lang w:val="en-US" w:eastAsia="zh-CN"/>
              </w:rPr>
              <w:t>：CAS号：144-55-8；分子式：NaHCO</w:t>
            </w:r>
            <w:r>
              <w:rPr>
                <w:rFonts w:hint="eastAsia"/>
                <w:highlight w:val="none"/>
                <w:vertAlign w:val="subscript"/>
                <w:lang w:val="en-US" w:eastAsia="zh-CN"/>
              </w:rPr>
              <w:t>3</w:t>
            </w:r>
            <w:r>
              <w:rPr>
                <w:rFonts w:hint="eastAsia"/>
                <w:highlight w:val="none"/>
                <w:lang w:val="en-US" w:eastAsia="zh-CN"/>
              </w:rPr>
              <w:t>；分子量84.01g/mol；白色粉末或不透明单斜晶系细微结晶。无臭，味咸。相对密度（水=1）2.16（25℃）；熔点&gt;300℃；沸点851℃；闪点169.8℃；蒸气压2.58E-05mmHg（25℃）；在水中的溶解度小于碳酸钠；固体50℃以上开始逐渐分解生成碳酸钠、二氧化碳和水，270℃时完全分解；避免与皮肤和眼睛接触。</w:t>
            </w:r>
          </w:p>
          <w:p w14:paraId="5C914B3E">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60" w:lineRule="auto"/>
              <w:ind w:left="0" w:right="0" w:firstLine="482" w:firstLineChars="200"/>
              <w:textAlignment w:val="auto"/>
              <w:rPr>
                <w:rFonts w:hint="eastAsia" w:ascii="Times New Roman" w:hAnsi="Times New Roman" w:eastAsia="宋体" w:cs="Times New Roman"/>
                <w:highlight w:val="none"/>
                <w:lang w:val="en-US" w:eastAsia="zh-CN"/>
              </w:rPr>
            </w:pPr>
            <w:r>
              <w:rPr>
                <w:rFonts w:hint="eastAsia" w:ascii="Times New Roman" w:hAnsi="Times New Roman" w:eastAsia="宋体" w:cs="Times New Roman"/>
                <w:b/>
                <w:bCs/>
                <w:highlight w:val="none"/>
                <w:lang w:val="en-US" w:eastAsia="zh-CN"/>
              </w:rPr>
              <w:t>10%中性福尔马林溶液（甲醛）</w:t>
            </w:r>
            <w:r>
              <w:rPr>
                <w:rFonts w:hint="eastAsia" w:ascii="Times New Roman" w:hAnsi="Times New Roman" w:eastAsia="宋体" w:cs="Times New Roman"/>
                <w:highlight w:val="none"/>
                <w:lang w:val="en-US" w:eastAsia="zh-CN"/>
              </w:rPr>
              <w:t>：10%福尔马林渗透力强，固定均匀，对组织收缩少。对脂肪、神经及髓鞘、糖等固定效果好，是最常用的固定剂，酸碱度为pH值7.2~7.4之间。福尔马林（formalin；福美林）是甲醛〈formaldehyde〉（HCHO）的水溶液，外观无色透明，具有腐蚀性，且因内含的甲醛挥发性很强，开瓶后一下子就会散发出强烈的刺鼻味道。甲醛毒理毒性：LD</w:t>
            </w:r>
            <w:r>
              <w:rPr>
                <w:rFonts w:hint="eastAsia" w:ascii="Times New Roman" w:hAnsi="Times New Roman" w:eastAsia="宋体" w:cs="Times New Roman"/>
                <w:highlight w:val="none"/>
                <w:vertAlign w:val="subscript"/>
                <w:lang w:val="en-US" w:eastAsia="zh-CN"/>
              </w:rPr>
              <w:t>50</w:t>
            </w:r>
            <w:r>
              <w:rPr>
                <w:rFonts w:hint="eastAsia" w:ascii="Times New Roman" w:hAnsi="Times New Roman" w:eastAsia="宋体" w:cs="Times New Roman"/>
                <w:highlight w:val="none"/>
                <w:lang w:val="en-US" w:eastAsia="zh-CN"/>
              </w:rPr>
              <w:t>：800mg/kg（大鼠经口），2700mg/kg（兔经皮）；LC</w:t>
            </w:r>
            <w:r>
              <w:rPr>
                <w:rFonts w:hint="eastAsia" w:ascii="Times New Roman" w:hAnsi="Times New Roman" w:eastAsia="宋体" w:cs="Times New Roman"/>
                <w:highlight w:val="none"/>
                <w:vertAlign w:val="subscript"/>
                <w:lang w:val="en-US" w:eastAsia="zh-CN"/>
              </w:rPr>
              <w:t>50</w:t>
            </w:r>
            <w:r>
              <w:rPr>
                <w:rFonts w:hint="eastAsia" w:ascii="Times New Roman" w:hAnsi="Times New Roman" w:eastAsia="宋体" w:cs="Times New Roman"/>
                <w:highlight w:val="none"/>
                <w:lang w:val="en-US" w:eastAsia="zh-CN"/>
              </w:rPr>
              <w:t>：590mg/m</w:t>
            </w:r>
            <w:r>
              <w:rPr>
                <w:rFonts w:hint="eastAsia" w:ascii="Times New Roman" w:hAnsi="Times New Roman" w:eastAsia="宋体" w:cs="Times New Roman"/>
                <w:highlight w:val="none"/>
                <w:vertAlign w:val="superscript"/>
                <w:lang w:val="en-US" w:eastAsia="zh-CN"/>
              </w:rPr>
              <w:t>3</w:t>
            </w:r>
            <w:r>
              <w:rPr>
                <w:rFonts w:hint="eastAsia" w:ascii="Times New Roman" w:hAnsi="Times New Roman" w:eastAsia="宋体" w:cs="Times New Roman"/>
                <w:highlight w:val="none"/>
                <w:lang w:val="en-US" w:eastAsia="zh-CN"/>
              </w:rPr>
              <w:t>（大鼠吸入）。</w:t>
            </w:r>
          </w:p>
          <w:p w14:paraId="65344949">
            <w:pPr>
              <w:pStyle w:val="4"/>
              <w:keepNext/>
              <w:keepLines/>
              <w:pageBreakBefore w:val="0"/>
              <w:widowControl w:val="0"/>
              <w:suppressLineNumbers w:val="0"/>
              <w:kinsoku/>
              <w:wordWrap/>
              <w:overflowPunct/>
              <w:topLinePunct w:val="0"/>
              <w:autoSpaceDE/>
              <w:autoSpaceDN/>
              <w:bidi w:val="0"/>
              <w:adjustRightInd/>
              <w:snapToGrid/>
              <w:spacing w:before="0" w:beforeAutospacing="0" w:after="0" w:afterAutospacing="0" w:line="360" w:lineRule="auto"/>
              <w:ind w:left="0" w:right="0" w:firstLine="482" w:firstLineChars="200"/>
              <w:textAlignment w:val="auto"/>
              <w:rPr>
                <w:rFonts w:hint="eastAsia" w:ascii="Times New Roman" w:hAnsi="Times New Roman" w:eastAsia="宋体" w:cs="Times New Roman"/>
                <w:b w:val="0"/>
                <w:bCs w:val="0"/>
                <w:color w:val="auto"/>
                <w:kern w:val="2"/>
                <w:sz w:val="24"/>
                <w:szCs w:val="24"/>
                <w:highlight w:val="none"/>
                <w:lang w:val="en-US" w:eastAsia="zh-CN" w:bidi="ar-SA"/>
              </w:rPr>
            </w:pPr>
            <w:r>
              <w:rPr>
                <w:rFonts w:hint="eastAsia" w:ascii="Times New Roman" w:hAnsi="Times New Roman" w:eastAsia="宋体" w:cs="Times New Roman"/>
                <w:b/>
                <w:bCs/>
                <w:color w:val="auto"/>
                <w:kern w:val="2"/>
                <w:sz w:val="24"/>
                <w:szCs w:val="24"/>
                <w:highlight w:val="none"/>
                <w:lang w:val="en-US" w:eastAsia="zh-CN" w:bidi="ar-SA"/>
              </w:rPr>
              <w:t>石油醚：</w:t>
            </w:r>
            <w:r>
              <w:rPr>
                <w:rFonts w:hint="eastAsia" w:ascii="Times New Roman" w:hAnsi="Times New Roman" w:eastAsia="宋体" w:cs="Times New Roman"/>
                <w:b w:val="0"/>
                <w:bCs w:val="0"/>
                <w:color w:val="auto"/>
                <w:kern w:val="2"/>
                <w:sz w:val="24"/>
                <w:szCs w:val="24"/>
                <w:highlight w:val="none"/>
                <w:lang w:val="en-US" w:eastAsia="zh-CN" w:bidi="ar-SA"/>
              </w:rPr>
              <w:t>主要成分：戊烷、己烷；密度：0.64～0.66g/cm</w:t>
            </w:r>
            <w:r>
              <w:rPr>
                <w:rFonts w:hint="eastAsia" w:ascii="Times New Roman" w:hAnsi="Times New Roman" w:eastAsia="宋体" w:cs="Times New Roman"/>
                <w:b w:val="0"/>
                <w:bCs w:val="0"/>
                <w:color w:val="auto"/>
                <w:kern w:val="2"/>
                <w:sz w:val="24"/>
                <w:szCs w:val="24"/>
                <w:highlight w:val="none"/>
                <w:vertAlign w:val="superscript"/>
                <w:lang w:val="en-US" w:eastAsia="zh-CN" w:bidi="ar-SA"/>
              </w:rPr>
              <w:t>3</w:t>
            </w:r>
            <w:r>
              <w:rPr>
                <w:rFonts w:hint="eastAsia" w:ascii="Times New Roman" w:hAnsi="Times New Roman" w:eastAsia="宋体" w:cs="Times New Roman"/>
                <w:b w:val="0"/>
                <w:bCs w:val="0"/>
                <w:color w:val="auto"/>
                <w:kern w:val="2"/>
                <w:sz w:val="24"/>
                <w:szCs w:val="24"/>
                <w:highlight w:val="none"/>
                <w:lang w:val="en-US" w:eastAsia="zh-CN" w:bidi="ar-SA"/>
              </w:rPr>
              <w:t>；爆炸上限（V/V）：8.7%；爆炸下限（V/V）：1.1%；引燃温度：280</w:t>
            </w:r>
            <w:r>
              <w:rPr>
                <w:rFonts w:hint="default" w:ascii="Times New Roman" w:hAnsi="Times New Roman" w:cs="Times New Roman"/>
                <w:b w:val="0"/>
                <w:bCs w:val="0"/>
                <w:color w:val="auto"/>
                <w:sz w:val="24"/>
                <w:szCs w:val="24"/>
                <w:highlight w:val="none"/>
                <w:lang w:eastAsia="zh-CN"/>
              </w:rPr>
              <w:t>℃</w:t>
            </w:r>
            <w:r>
              <w:rPr>
                <w:rFonts w:hint="eastAsia" w:ascii="Times New Roman" w:hAnsi="Times New Roman" w:eastAsia="宋体" w:cs="Times New Roman"/>
                <w:b w:val="0"/>
                <w:bCs w:val="0"/>
                <w:color w:val="auto"/>
                <w:kern w:val="2"/>
                <w:sz w:val="24"/>
                <w:szCs w:val="24"/>
                <w:highlight w:val="none"/>
                <w:lang w:val="en-US" w:eastAsia="zh-CN" w:bidi="ar-SA"/>
              </w:rPr>
              <w:t>；外观：无色透明液体，有煤油气味；溶解性：不溶于水，溶于无水乙醇、苯、氯仿、油类等多数有机溶剂。挥发性：易挥发；极性：0.01，属于弱极性有机溶剂，常与其他强极性溶剂（如乙酸乙酯）混合作为薄层色谱分析的展开剂。毒理学资料：LD</w:t>
            </w:r>
            <w:r>
              <w:rPr>
                <w:rFonts w:hint="eastAsia" w:ascii="Times New Roman" w:hAnsi="Times New Roman" w:eastAsia="宋体" w:cs="Times New Roman"/>
                <w:b w:val="0"/>
                <w:bCs w:val="0"/>
                <w:color w:val="auto"/>
                <w:kern w:val="2"/>
                <w:sz w:val="24"/>
                <w:szCs w:val="24"/>
                <w:highlight w:val="none"/>
                <w:vertAlign w:val="subscript"/>
                <w:lang w:val="en-US" w:eastAsia="zh-CN" w:bidi="ar-SA"/>
              </w:rPr>
              <w:t>50</w:t>
            </w:r>
            <w:r>
              <w:rPr>
                <w:rFonts w:hint="eastAsia" w:ascii="Times New Roman" w:hAnsi="Times New Roman" w:eastAsia="宋体" w:cs="Times New Roman"/>
                <w:b w:val="0"/>
                <w:bCs w:val="0"/>
                <w:color w:val="auto"/>
                <w:kern w:val="2"/>
                <w:sz w:val="24"/>
                <w:szCs w:val="24"/>
                <w:highlight w:val="none"/>
                <w:lang w:val="en-US" w:eastAsia="zh-CN" w:bidi="ar-SA"/>
              </w:rPr>
              <w:t>：40mg/kg（小鼠静脉）；LC</w:t>
            </w:r>
            <w:r>
              <w:rPr>
                <w:rFonts w:hint="eastAsia" w:ascii="Times New Roman" w:hAnsi="Times New Roman" w:eastAsia="宋体" w:cs="Times New Roman"/>
                <w:b w:val="0"/>
                <w:bCs w:val="0"/>
                <w:color w:val="auto"/>
                <w:kern w:val="2"/>
                <w:sz w:val="24"/>
                <w:szCs w:val="24"/>
                <w:highlight w:val="none"/>
                <w:vertAlign w:val="subscript"/>
                <w:lang w:val="en-US" w:eastAsia="zh-CN" w:bidi="ar-SA"/>
              </w:rPr>
              <w:t>50</w:t>
            </w:r>
            <w:r>
              <w:rPr>
                <w:rFonts w:hint="eastAsia" w:ascii="Times New Roman" w:hAnsi="Times New Roman" w:eastAsia="宋体" w:cs="Times New Roman"/>
                <w:b w:val="0"/>
                <w:bCs w:val="0"/>
                <w:color w:val="auto"/>
                <w:kern w:val="2"/>
                <w:sz w:val="24"/>
                <w:szCs w:val="24"/>
                <w:highlight w:val="none"/>
                <w:lang w:val="en-US" w:eastAsia="zh-CN" w:bidi="ar-SA"/>
              </w:rPr>
              <w:t>：3400ppm4小时（大鼠吸入）</w:t>
            </w:r>
            <w:r>
              <w:rPr>
                <w:rFonts w:hint="eastAsia" w:cs="Times New Roman"/>
                <w:b w:val="0"/>
                <w:bCs w:val="0"/>
                <w:color w:val="auto"/>
                <w:kern w:val="2"/>
                <w:sz w:val="24"/>
                <w:szCs w:val="24"/>
                <w:highlight w:val="none"/>
                <w:lang w:val="en-US" w:eastAsia="zh-CN" w:bidi="ar-SA"/>
              </w:rPr>
              <w:t>。</w:t>
            </w:r>
          </w:p>
          <w:p w14:paraId="4FE3862F">
            <w:pPr>
              <w:pStyle w:val="4"/>
              <w:suppressLineNumbers w:val="0"/>
              <w:adjustRightInd w:val="0"/>
              <w:snapToGrid w:val="0"/>
              <w:spacing w:before="0" w:beforeAutospacing="0" w:after="0" w:afterAutospacing="0" w:line="360" w:lineRule="auto"/>
              <w:ind w:left="0" w:right="0" w:firstLine="482" w:firstLineChars="200"/>
              <w:rPr>
                <w:rFonts w:hint="eastAsia"/>
                <w:b w:val="0"/>
                <w:bCs w:val="0"/>
                <w:snapToGrid w:val="0"/>
                <w:sz w:val="24"/>
                <w:szCs w:val="24"/>
                <w:highlight w:val="none"/>
              </w:rPr>
            </w:pPr>
            <w:r>
              <w:rPr>
                <w:rFonts w:hint="eastAsia"/>
                <w:snapToGrid w:val="0"/>
                <w:sz w:val="24"/>
                <w:szCs w:val="24"/>
                <w:highlight w:val="none"/>
              </w:rPr>
              <w:t>次氯酸钠</w:t>
            </w:r>
            <w:r>
              <w:rPr>
                <w:rFonts w:hint="eastAsia"/>
                <w:b w:val="0"/>
                <w:bCs w:val="0"/>
                <w:snapToGrid w:val="0"/>
                <w:sz w:val="24"/>
                <w:szCs w:val="24"/>
                <w:highlight w:val="none"/>
              </w:rPr>
              <w:t>：是一种无机化合物，化学式为NaClO，是一种次氯酸盐，是最普通的家庭洗涤中的氯漂白剂的主要成分；化学式：NaClO；分子量：74.441；CAS登录号：7681-52-9；熔点：-16℃；沸点：111℃；密度：1.25g/cm³；外观：浅黄色液体；溶解性：可溶于水；急性毒性：LD</w:t>
            </w:r>
            <w:r>
              <w:rPr>
                <w:rFonts w:hint="eastAsia"/>
                <w:b w:val="0"/>
                <w:bCs w:val="0"/>
                <w:snapToGrid w:val="0"/>
                <w:sz w:val="24"/>
                <w:szCs w:val="24"/>
                <w:highlight w:val="none"/>
                <w:vertAlign w:val="subscript"/>
              </w:rPr>
              <w:t>50</w:t>
            </w:r>
            <w:r>
              <w:rPr>
                <w:rFonts w:hint="eastAsia"/>
                <w:b w:val="0"/>
                <w:bCs w:val="0"/>
                <w:snapToGrid w:val="0"/>
                <w:sz w:val="24"/>
                <w:szCs w:val="24"/>
                <w:highlight w:val="none"/>
              </w:rPr>
              <w:t>：8500mg/kg(小鼠经口)；LC</w:t>
            </w:r>
            <w:r>
              <w:rPr>
                <w:rFonts w:hint="eastAsia"/>
                <w:b w:val="0"/>
                <w:bCs w:val="0"/>
                <w:snapToGrid w:val="0"/>
                <w:sz w:val="24"/>
                <w:szCs w:val="24"/>
                <w:highlight w:val="none"/>
                <w:vertAlign w:val="subscript"/>
              </w:rPr>
              <w:t>50</w:t>
            </w:r>
            <w:r>
              <w:rPr>
                <w:rFonts w:hint="eastAsia"/>
                <w:b w:val="0"/>
                <w:bCs w:val="0"/>
                <w:snapToGrid w:val="0"/>
                <w:sz w:val="24"/>
                <w:szCs w:val="24"/>
                <w:highlight w:val="none"/>
              </w:rPr>
              <w:t>：无资料。</w:t>
            </w:r>
          </w:p>
          <w:p w14:paraId="4FB51033">
            <w:pPr>
              <w:pStyle w:val="4"/>
              <w:suppressLineNumbers w:val="0"/>
              <w:adjustRightInd w:val="0"/>
              <w:snapToGrid w:val="0"/>
              <w:spacing w:before="0" w:beforeAutospacing="0" w:after="0" w:afterAutospacing="0" w:line="360" w:lineRule="auto"/>
              <w:ind w:left="0" w:right="0"/>
              <w:rPr>
                <w:rFonts w:hint="default"/>
                <w:highlight w:val="none"/>
              </w:rPr>
            </w:pPr>
            <w:r>
              <w:rPr>
                <w:rFonts w:hint="default"/>
                <w:snapToGrid w:val="0"/>
                <w:sz w:val="24"/>
                <w:szCs w:val="24"/>
                <w:highlight w:val="none"/>
              </w:rPr>
              <w:t>8</w:t>
            </w:r>
            <w:r>
              <w:rPr>
                <w:rFonts w:hint="eastAsia"/>
                <w:snapToGrid w:val="0"/>
                <w:sz w:val="24"/>
                <w:szCs w:val="24"/>
                <w:highlight w:val="none"/>
              </w:rPr>
              <w:t>、劳动定员及工作制度</w:t>
            </w:r>
          </w:p>
          <w:p w14:paraId="7FEA4599">
            <w:pPr>
              <w:pStyle w:val="7"/>
              <w:keepNext w:val="0"/>
              <w:keepLines w:val="0"/>
              <w:suppressLineNumbers w:val="0"/>
              <w:adjustRightInd w:val="0"/>
              <w:snapToGrid w:val="0"/>
              <w:spacing w:before="0" w:beforeAutospacing="0" w:after="0" w:afterAutospacing="0" w:line="360" w:lineRule="auto"/>
              <w:ind w:left="0" w:right="0" w:firstLine="480"/>
              <w:jc w:val="left"/>
              <w:rPr>
                <w:rFonts w:hint="default" w:eastAsia="宋体"/>
                <w:color w:val="auto"/>
                <w:sz w:val="24"/>
                <w:szCs w:val="24"/>
                <w:highlight w:val="none"/>
                <w:lang w:val="en-US" w:eastAsia="zh-CN"/>
              </w:rPr>
            </w:pPr>
            <w:r>
              <w:rPr>
                <w:rFonts w:hint="eastAsia"/>
                <w:color w:val="auto"/>
                <w:sz w:val="24"/>
                <w:szCs w:val="24"/>
                <w:highlight w:val="none"/>
              </w:rPr>
              <w:t>本项目实施后劳动定员</w:t>
            </w:r>
            <w:r>
              <w:rPr>
                <w:rFonts w:hint="eastAsia"/>
                <w:color w:val="auto"/>
                <w:sz w:val="24"/>
                <w:szCs w:val="24"/>
                <w:highlight w:val="none"/>
                <w:lang w:val="en-US" w:eastAsia="zh-CN"/>
              </w:rPr>
              <w:t>70</w:t>
            </w:r>
            <w:r>
              <w:rPr>
                <w:rFonts w:hint="eastAsia"/>
                <w:color w:val="auto"/>
                <w:sz w:val="24"/>
                <w:szCs w:val="24"/>
                <w:highlight w:val="none"/>
              </w:rPr>
              <w:t>0人，实验室每天8h，年运行260天，年生产时数2080h；动物饲养间运行365天，每天24h，年运行时数8760h</w:t>
            </w:r>
            <w:r>
              <w:rPr>
                <w:rFonts w:hint="eastAsia"/>
                <w:color w:val="auto"/>
                <w:sz w:val="24"/>
                <w:szCs w:val="24"/>
                <w:highlight w:val="none"/>
                <w:lang w:eastAsia="zh-CN"/>
              </w:rPr>
              <w:t>；</w:t>
            </w:r>
            <w:r>
              <w:rPr>
                <w:rFonts w:hint="eastAsia"/>
                <w:color w:val="auto"/>
                <w:sz w:val="24"/>
                <w:szCs w:val="24"/>
                <w:highlight w:val="none"/>
                <w:lang w:val="en-US" w:eastAsia="zh-CN"/>
              </w:rPr>
              <w:t>本项目包含食宿。</w:t>
            </w:r>
          </w:p>
          <w:p w14:paraId="75C7E03B">
            <w:pPr>
              <w:pStyle w:val="4"/>
              <w:numPr>
                <w:ilvl w:val="0"/>
                <w:numId w:val="3"/>
              </w:numPr>
              <w:suppressLineNumbers w:val="0"/>
              <w:adjustRightInd w:val="0"/>
              <w:snapToGrid w:val="0"/>
              <w:spacing w:before="0" w:beforeAutospacing="0" w:after="0" w:afterAutospacing="0" w:line="360" w:lineRule="auto"/>
              <w:ind w:left="0" w:right="0"/>
              <w:rPr>
                <w:rFonts w:hint="default"/>
                <w:snapToGrid w:val="0"/>
                <w:sz w:val="24"/>
                <w:szCs w:val="24"/>
                <w:highlight w:val="none"/>
              </w:rPr>
            </w:pPr>
            <w:r>
              <w:rPr>
                <w:rFonts w:hint="eastAsia"/>
                <w:snapToGrid w:val="0"/>
                <w:sz w:val="24"/>
                <w:szCs w:val="24"/>
                <w:highlight w:val="none"/>
              </w:rPr>
              <w:t>水平衡</w:t>
            </w:r>
          </w:p>
          <w:p w14:paraId="27E64196">
            <w:pPr>
              <w:pStyle w:val="122"/>
              <w:keepNext w:val="0"/>
              <w:keepLines w:val="0"/>
              <w:suppressLineNumbers w:val="0"/>
              <w:spacing w:before="0" w:beforeAutospacing="0" w:after="0" w:afterAutospacing="0"/>
              <w:ind w:left="0" w:right="0"/>
              <w:rPr>
                <w:rFonts w:hint="eastAsia" w:ascii="Times New Roman" w:hAnsi="Times New Roman" w:eastAsia="宋体" w:cs="Times New Roman"/>
                <w:bCs w:val="0"/>
                <w:color w:val="auto"/>
                <w:kern w:val="2"/>
                <w:sz w:val="24"/>
                <w:szCs w:val="24"/>
                <w:highlight w:val="none"/>
                <w:lang w:val="en-US" w:eastAsia="zh-CN" w:bidi="ar-SA"/>
              </w:rPr>
            </w:pPr>
            <w:r>
              <w:rPr>
                <w:rFonts w:hint="eastAsia" w:ascii="Times New Roman" w:hAnsi="Times New Roman" w:eastAsia="宋体" w:cs="Times New Roman"/>
                <w:bCs w:val="0"/>
                <w:color w:val="auto"/>
                <w:kern w:val="2"/>
                <w:sz w:val="24"/>
                <w:szCs w:val="24"/>
                <w:highlight w:val="none"/>
                <w:lang w:val="en-US" w:eastAsia="zh-CN" w:bidi="ar-SA"/>
              </w:rPr>
              <w:t>项目共设员工</w:t>
            </w:r>
            <w:r>
              <w:rPr>
                <w:rFonts w:hint="eastAsia" w:cs="Times New Roman"/>
                <w:bCs w:val="0"/>
                <w:color w:val="auto"/>
                <w:kern w:val="2"/>
                <w:sz w:val="24"/>
                <w:szCs w:val="24"/>
                <w:highlight w:val="none"/>
                <w:lang w:val="en-US" w:eastAsia="zh-CN" w:bidi="ar-SA"/>
              </w:rPr>
              <w:t>70</w:t>
            </w:r>
            <w:r>
              <w:rPr>
                <w:rFonts w:hint="eastAsia" w:ascii="Times New Roman" w:hAnsi="Times New Roman" w:eastAsia="宋体" w:cs="Times New Roman"/>
                <w:bCs w:val="0"/>
                <w:color w:val="auto"/>
                <w:kern w:val="2"/>
                <w:sz w:val="24"/>
                <w:szCs w:val="24"/>
                <w:highlight w:val="none"/>
                <w:lang w:val="en-US" w:eastAsia="zh-CN" w:bidi="ar-SA"/>
              </w:rPr>
              <w:t>0人</w:t>
            </w:r>
            <w:r>
              <w:rPr>
                <w:rFonts w:hint="eastAsia" w:cs="Times New Roman"/>
                <w:bCs w:val="0"/>
                <w:color w:val="auto"/>
                <w:kern w:val="2"/>
                <w:sz w:val="24"/>
                <w:szCs w:val="24"/>
                <w:highlight w:val="none"/>
                <w:lang w:val="en-US" w:eastAsia="zh-CN" w:bidi="ar-SA"/>
              </w:rPr>
              <w:t>（实验动物中心：100人，科创综合楼：600人）</w:t>
            </w:r>
            <w:r>
              <w:rPr>
                <w:rFonts w:hint="eastAsia" w:ascii="Times New Roman" w:hAnsi="Times New Roman" w:eastAsia="宋体" w:cs="Times New Roman"/>
                <w:bCs w:val="0"/>
                <w:color w:val="auto"/>
                <w:kern w:val="2"/>
                <w:sz w:val="24"/>
                <w:szCs w:val="24"/>
                <w:highlight w:val="none"/>
                <w:lang w:val="en-US" w:eastAsia="zh-CN" w:bidi="ar-SA"/>
              </w:rPr>
              <w:t>，以人均用水量100L/d、年工作日2</w:t>
            </w:r>
            <w:r>
              <w:rPr>
                <w:rFonts w:hint="eastAsia" w:cs="Times New Roman"/>
                <w:bCs w:val="0"/>
                <w:color w:val="auto"/>
                <w:kern w:val="2"/>
                <w:sz w:val="24"/>
                <w:szCs w:val="24"/>
                <w:highlight w:val="none"/>
                <w:lang w:val="en-US" w:eastAsia="zh-CN" w:bidi="ar-SA"/>
              </w:rPr>
              <w:t>6</w:t>
            </w:r>
            <w:r>
              <w:rPr>
                <w:rFonts w:hint="eastAsia" w:ascii="Times New Roman" w:hAnsi="Times New Roman" w:eastAsia="宋体" w:cs="Times New Roman"/>
                <w:bCs w:val="0"/>
                <w:color w:val="auto"/>
                <w:kern w:val="2"/>
                <w:sz w:val="24"/>
                <w:szCs w:val="24"/>
                <w:highlight w:val="none"/>
                <w:lang w:val="en-US" w:eastAsia="zh-CN" w:bidi="ar-SA"/>
              </w:rPr>
              <w:t>0d、产污系数0.9计，则</w:t>
            </w:r>
            <w:r>
              <w:rPr>
                <w:rFonts w:hint="eastAsia" w:cs="Times New Roman"/>
                <w:bCs w:val="0"/>
                <w:color w:val="auto"/>
                <w:kern w:val="2"/>
                <w:sz w:val="24"/>
                <w:szCs w:val="24"/>
                <w:highlight w:val="none"/>
                <w:lang w:val="en-US" w:eastAsia="zh-CN" w:bidi="ar-SA"/>
              </w:rPr>
              <w:t>生活用水量为18200</w:t>
            </w:r>
            <w:r>
              <w:rPr>
                <w:rFonts w:hint="eastAsia" w:ascii="Times New Roman" w:hAnsi="Times New Roman" w:eastAsia="宋体" w:cs="Times New Roman"/>
                <w:bCs w:val="0"/>
                <w:color w:val="auto"/>
                <w:kern w:val="2"/>
                <w:sz w:val="24"/>
                <w:szCs w:val="24"/>
                <w:highlight w:val="none"/>
                <w:lang w:val="en-US" w:eastAsia="zh-CN" w:bidi="ar-SA"/>
              </w:rPr>
              <w:t>t/a</w:t>
            </w:r>
            <w:r>
              <w:rPr>
                <w:rFonts w:hint="eastAsia" w:cs="Times New Roman"/>
                <w:bCs w:val="0"/>
                <w:color w:val="auto"/>
                <w:kern w:val="2"/>
                <w:sz w:val="24"/>
                <w:szCs w:val="24"/>
                <w:highlight w:val="none"/>
                <w:lang w:val="en-US" w:eastAsia="zh-CN" w:bidi="ar-SA"/>
              </w:rPr>
              <w:t>，</w:t>
            </w:r>
            <w:r>
              <w:rPr>
                <w:rFonts w:hint="eastAsia" w:ascii="Times New Roman" w:hAnsi="Times New Roman" w:eastAsia="宋体" w:cs="Times New Roman"/>
                <w:bCs w:val="0"/>
                <w:color w:val="auto"/>
                <w:kern w:val="2"/>
                <w:sz w:val="24"/>
                <w:szCs w:val="24"/>
                <w:highlight w:val="none"/>
                <w:lang w:val="en-US" w:eastAsia="zh-CN" w:bidi="ar-SA"/>
              </w:rPr>
              <w:t>生活污水产生量为</w:t>
            </w:r>
            <w:r>
              <w:rPr>
                <w:rFonts w:hint="eastAsia" w:cs="Times New Roman"/>
                <w:bCs w:val="0"/>
                <w:color w:val="auto"/>
                <w:kern w:val="2"/>
                <w:sz w:val="24"/>
                <w:szCs w:val="24"/>
                <w:highlight w:val="none"/>
                <w:lang w:val="en-US" w:eastAsia="zh-CN" w:bidi="ar-SA"/>
              </w:rPr>
              <w:t>16380</w:t>
            </w:r>
            <w:r>
              <w:rPr>
                <w:rFonts w:hint="eastAsia" w:ascii="Times New Roman" w:hAnsi="Times New Roman" w:eastAsia="宋体" w:cs="Times New Roman"/>
                <w:bCs w:val="0"/>
                <w:color w:val="auto"/>
                <w:kern w:val="2"/>
                <w:sz w:val="24"/>
                <w:szCs w:val="24"/>
                <w:highlight w:val="none"/>
                <w:lang w:val="en-US" w:eastAsia="zh-CN" w:bidi="ar-SA"/>
              </w:rPr>
              <w:t>t/a</w:t>
            </w:r>
            <w:r>
              <w:rPr>
                <w:rFonts w:hint="eastAsia" w:cs="Times New Roman"/>
                <w:bCs w:val="0"/>
                <w:color w:val="auto"/>
                <w:kern w:val="2"/>
                <w:sz w:val="24"/>
                <w:szCs w:val="24"/>
                <w:highlight w:val="none"/>
                <w:lang w:val="en-US" w:eastAsia="zh-CN" w:bidi="ar-SA"/>
              </w:rPr>
              <w:t>。</w:t>
            </w:r>
          </w:p>
          <w:p w14:paraId="3BD0D697">
            <w:pPr>
              <w:pStyle w:val="122"/>
              <w:keepNext w:val="0"/>
              <w:keepLines w:val="0"/>
              <w:suppressLineNumbers w:val="0"/>
              <w:spacing w:before="0" w:beforeAutospacing="0" w:after="0" w:afterAutospacing="0"/>
              <w:ind w:left="0" w:right="0"/>
              <w:rPr>
                <w:rFonts w:hint="default"/>
                <w:b/>
                <w:bCs w:val="0"/>
                <w:color w:val="auto"/>
                <w:highlight w:val="none"/>
                <w:lang w:val="en-US" w:eastAsia="zh-CN"/>
              </w:rPr>
            </w:pPr>
            <w:r>
              <w:rPr>
                <w:rFonts w:hint="eastAsia"/>
                <w:b/>
                <w:bCs w:val="0"/>
                <w:color w:val="auto"/>
                <w:highlight w:val="none"/>
                <w:lang w:eastAsia="zh-CN"/>
              </w:rPr>
              <w:t>（</w:t>
            </w:r>
            <w:r>
              <w:rPr>
                <w:rFonts w:hint="eastAsia"/>
                <w:b/>
                <w:bCs w:val="0"/>
                <w:color w:val="auto"/>
                <w:highlight w:val="none"/>
                <w:lang w:val="en-US" w:eastAsia="zh-CN"/>
              </w:rPr>
              <w:t>1</w:t>
            </w:r>
            <w:r>
              <w:rPr>
                <w:rFonts w:hint="eastAsia"/>
                <w:b/>
                <w:bCs w:val="0"/>
                <w:color w:val="auto"/>
                <w:highlight w:val="none"/>
                <w:lang w:eastAsia="zh-CN"/>
              </w:rPr>
              <w:t>）</w:t>
            </w:r>
            <w:r>
              <w:rPr>
                <w:rFonts w:hint="eastAsia"/>
                <w:b/>
                <w:bCs w:val="0"/>
                <w:color w:val="auto"/>
                <w:highlight w:val="none"/>
                <w:lang w:val="en-US" w:eastAsia="zh-CN"/>
              </w:rPr>
              <w:t>实验动物中心给、排水</w:t>
            </w:r>
          </w:p>
          <w:p w14:paraId="035B6185">
            <w:pPr>
              <w:pStyle w:val="122"/>
              <w:keepNext w:val="0"/>
              <w:keepLines w:val="0"/>
              <w:suppressLineNumbers w:val="0"/>
              <w:spacing w:before="0" w:beforeAutospacing="0" w:after="0" w:afterAutospacing="0"/>
              <w:ind w:left="0" w:right="0"/>
              <w:rPr>
                <w:rFonts w:hint="default" w:ascii="宋体" w:hAnsi="宋体" w:eastAsia="宋体" w:cs="宋体"/>
                <w:color w:val="auto"/>
                <w:highlight w:val="none"/>
                <w:lang w:val="en-US" w:eastAsia="zh-CN"/>
              </w:rPr>
            </w:pPr>
            <w:r>
              <w:rPr>
                <w:rFonts w:hint="eastAsia" w:ascii="宋体" w:hAnsi="宋体" w:cs="宋体"/>
                <w:color w:val="auto"/>
                <w:highlight w:val="none"/>
              </w:rPr>
              <w:t>①</w:t>
            </w:r>
            <w:r>
              <w:rPr>
                <w:rFonts w:hint="eastAsia" w:ascii="宋体" w:hAnsi="宋体" w:cs="宋体"/>
                <w:color w:val="auto"/>
                <w:highlight w:val="none"/>
                <w:lang w:val="en-US" w:eastAsia="zh-CN"/>
              </w:rPr>
              <w:t>动物饲育用水</w:t>
            </w:r>
          </w:p>
          <w:p w14:paraId="5F74D74D">
            <w:pPr>
              <w:pStyle w:val="122"/>
              <w:keepNext w:val="0"/>
              <w:keepLines w:val="0"/>
              <w:suppressLineNumbers w:val="0"/>
              <w:spacing w:before="0" w:beforeAutospacing="0" w:after="0" w:afterAutospacing="0"/>
              <w:ind w:left="0" w:right="0"/>
              <w:rPr>
                <w:rFonts w:hint="default"/>
                <w:color w:val="auto"/>
                <w:highlight w:val="none"/>
              </w:rPr>
            </w:pPr>
            <w:r>
              <w:rPr>
                <w:rFonts w:hint="eastAsia"/>
                <w:color w:val="auto"/>
                <w:highlight w:val="none"/>
                <w:lang w:val="en-US" w:eastAsia="zh-CN"/>
              </w:rPr>
              <w:t>1）</w:t>
            </w:r>
            <w:r>
              <w:rPr>
                <w:rFonts w:hint="default"/>
                <w:color w:val="auto"/>
                <w:highlight w:val="none"/>
              </w:rPr>
              <w:t>动物饮水</w:t>
            </w:r>
          </w:p>
          <w:p w14:paraId="42E51298">
            <w:pPr>
              <w:pStyle w:val="122"/>
              <w:keepNext w:val="0"/>
              <w:keepLines w:val="0"/>
              <w:suppressLineNumbers w:val="0"/>
              <w:spacing w:before="0" w:beforeAutospacing="0" w:after="0" w:afterAutospacing="0"/>
              <w:ind w:left="0" w:right="0"/>
              <w:rPr>
                <w:rFonts w:hint="default"/>
                <w:color w:val="auto"/>
                <w:highlight w:val="none"/>
              </w:rPr>
            </w:pPr>
            <w:r>
              <w:rPr>
                <w:rFonts w:hint="default"/>
                <w:color w:val="auto"/>
                <w:highlight w:val="none"/>
              </w:rPr>
              <w:t>根据</w:t>
            </w:r>
            <w:r>
              <w:rPr>
                <w:rFonts w:hint="eastAsia"/>
                <w:color w:val="auto"/>
                <w:highlight w:val="none"/>
              </w:rPr>
              <w:t>设计</w:t>
            </w:r>
            <w:r>
              <w:rPr>
                <w:rFonts w:hint="default"/>
                <w:color w:val="auto"/>
                <w:highlight w:val="none"/>
              </w:rPr>
              <w:t>分析，动物饲养</w:t>
            </w:r>
            <w:r>
              <w:rPr>
                <w:rFonts w:hint="eastAsia"/>
                <w:color w:val="auto"/>
                <w:highlight w:val="none"/>
              </w:rPr>
              <w:t>使用</w:t>
            </w:r>
            <w:r>
              <w:rPr>
                <w:rFonts w:hint="default"/>
                <w:color w:val="auto"/>
                <w:highlight w:val="none"/>
              </w:rPr>
              <w:t>纯水约</w:t>
            </w:r>
            <w:r>
              <w:rPr>
                <w:rFonts w:hint="eastAsia"/>
                <w:color w:val="auto"/>
                <w:highlight w:val="none"/>
                <w:lang w:val="en-US" w:eastAsia="zh-CN"/>
              </w:rPr>
              <w:t>4</w:t>
            </w:r>
            <w:r>
              <w:rPr>
                <w:rFonts w:hint="default"/>
                <w:color w:val="auto"/>
                <w:highlight w:val="none"/>
              </w:rPr>
              <w:t>t/d，年提供365d，共计用水1</w:t>
            </w:r>
            <w:r>
              <w:rPr>
                <w:rFonts w:hint="eastAsia"/>
                <w:color w:val="auto"/>
                <w:highlight w:val="none"/>
                <w:lang w:val="en-US" w:eastAsia="zh-CN"/>
              </w:rPr>
              <w:t>460</w:t>
            </w:r>
            <w:r>
              <w:rPr>
                <w:rFonts w:hint="default"/>
                <w:color w:val="auto"/>
                <w:highlight w:val="none"/>
              </w:rPr>
              <w:t>t/a。</w:t>
            </w:r>
            <w:r>
              <w:rPr>
                <w:rFonts w:hint="eastAsia"/>
                <w:color w:val="auto"/>
                <w:highlight w:val="none"/>
                <w:lang w:eastAsia="zh-CN"/>
              </w:rPr>
              <w:t>（</w:t>
            </w:r>
            <w:r>
              <w:rPr>
                <w:rFonts w:hint="eastAsia"/>
                <w:color w:val="auto"/>
                <w:highlight w:val="none"/>
                <w:lang w:val="en-US" w:eastAsia="zh-CN"/>
              </w:rPr>
              <w:t>其中小鼠、大鼠、豚鼠使用纯水约1.6</w:t>
            </w:r>
            <w:r>
              <w:rPr>
                <w:rFonts w:hint="default"/>
                <w:color w:val="auto"/>
                <w:highlight w:val="none"/>
              </w:rPr>
              <w:t>t/d</w:t>
            </w:r>
            <w:r>
              <w:rPr>
                <w:rFonts w:hint="eastAsia"/>
                <w:color w:val="auto"/>
                <w:highlight w:val="none"/>
                <w:lang w:eastAsia="zh-CN"/>
              </w:rPr>
              <w:t>，</w:t>
            </w:r>
            <w:r>
              <w:rPr>
                <w:rFonts w:hint="default"/>
                <w:color w:val="auto"/>
                <w:highlight w:val="none"/>
              </w:rPr>
              <w:t>动物饮水</w:t>
            </w:r>
            <w:r>
              <w:rPr>
                <w:rFonts w:hint="eastAsia"/>
                <w:color w:val="auto"/>
                <w:highlight w:val="none"/>
                <w:lang w:val="en-US" w:eastAsia="zh-CN"/>
              </w:rPr>
              <w:t>产生的尿液</w:t>
            </w:r>
            <w:r>
              <w:rPr>
                <w:rFonts w:hint="default"/>
                <w:color w:val="auto"/>
                <w:highlight w:val="none"/>
              </w:rPr>
              <w:t>排泄至垫料</w:t>
            </w:r>
            <w:r>
              <w:rPr>
                <w:rFonts w:hint="eastAsia"/>
                <w:color w:val="auto"/>
                <w:highlight w:val="none"/>
                <w:lang w:val="en-US" w:eastAsia="zh-CN"/>
              </w:rPr>
              <w:t>上；兔、猪、犬、猴使用纯水约2.4</w:t>
            </w:r>
            <w:r>
              <w:rPr>
                <w:rFonts w:hint="default"/>
                <w:color w:val="auto"/>
                <w:highlight w:val="none"/>
              </w:rPr>
              <w:t>t/d</w:t>
            </w:r>
            <w:r>
              <w:rPr>
                <w:rFonts w:hint="eastAsia"/>
                <w:color w:val="auto"/>
                <w:highlight w:val="none"/>
                <w:lang w:eastAsia="zh-CN"/>
              </w:rPr>
              <w:t>，</w:t>
            </w:r>
            <w:r>
              <w:rPr>
                <w:rFonts w:hint="default"/>
                <w:color w:val="auto"/>
                <w:highlight w:val="none"/>
              </w:rPr>
              <w:t>动物饮水</w:t>
            </w:r>
            <w:r>
              <w:rPr>
                <w:rFonts w:hint="eastAsia"/>
                <w:color w:val="auto"/>
                <w:highlight w:val="none"/>
                <w:lang w:val="en-US" w:eastAsia="zh-CN"/>
              </w:rPr>
              <w:t>产生的尿液直接进入污水处理站进行处理，排放量按用水量的90%计，则排放量为788.4</w:t>
            </w:r>
            <w:r>
              <w:rPr>
                <w:rFonts w:hint="default"/>
                <w:highlight w:val="none"/>
              </w:rPr>
              <w:t>t/a</w:t>
            </w:r>
            <w:r>
              <w:rPr>
                <w:rFonts w:hint="eastAsia"/>
                <w:color w:val="auto"/>
                <w:highlight w:val="none"/>
                <w:lang w:eastAsia="zh-CN"/>
              </w:rPr>
              <w:t>）。</w:t>
            </w:r>
          </w:p>
          <w:p w14:paraId="59EFE531">
            <w:pPr>
              <w:pStyle w:val="122"/>
              <w:keepNext w:val="0"/>
              <w:keepLines w:val="0"/>
              <w:suppressLineNumbers w:val="0"/>
              <w:spacing w:before="0" w:beforeAutospacing="0" w:after="0" w:afterAutospacing="0"/>
              <w:ind w:left="0" w:right="0"/>
              <w:rPr>
                <w:rFonts w:hint="default"/>
                <w:highlight w:val="none"/>
              </w:rPr>
            </w:pPr>
            <w:r>
              <w:rPr>
                <w:rFonts w:hint="eastAsia"/>
                <w:highlight w:val="none"/>
                <w:lang w:val="en-US" w:eastAsia="zh-CN"/>
              </w:rPr>
              <w:t>2）</w:t>
            </w:r>
            <w:r>
              <w:rPr>
                <w:rFonts w:hint="default"/>
                <w:highlight w:val="none"/>
              </w:rPr>
              <w:t>饲养间</w:t>
            </w:r>
            <w:r>
              <w:rPr>
                <w:rFonts w:hint="eastAsia"/>
                <w:highlight w:val="none"/>
                <w:lang w:val="en-US" w:eastAsia="zh-CN"/>
              </w:rPr>
              <w:t>清洗</w:t>
            </w:r>
            <w:r>
              <w:rPr>
                <w:rFonts w:hint="default"/>
                <w:highlight w:val="none"/>
              </w:rPr>
              <w:t>用水</w:t>
            </w:r>
          </w:p>
          <w:p w14:paraId="3CA7C6E3">
            <w:pPr>
              <w:pStyle w:val="122"/>
              <w:keepNext w:val="0"/>
              <w:keepLines w:val="0"/>
              <w:suppressLineNumbers w:val="0"/>
              <w:spacing w:before="0" w:beforeAutospacing="0" w:after="0" w:afterAutospacing="0"/>
              <w:ind w:left="0" w:right="0"/>
              <w:rPr>
                <w:rFonts w:hint="eastAsia" w:eastAsia="宋体"/>
                <w:highlight w:val="none"/>
                <w:lang w:eastAsia="zh-CN"/>
              </w:rPr>
            </w:pPr>
            <w:r>
              <w:rPr>
                <w:rFonts w:hint="default"/>
                <w:highlight w:val="none"/>
              </w:rPr>
              <w:t>动物饲养过程饲养间需要定期进行</w:t>
            </w:r>
            <w:r>
              <w:rPr>
                <w:rFonts w:hint="eastAsia"/>
                <w:highlight w:val="none"/>
                <w:lang w:val="en-US" w:eastAsia="zh-CN"/>
              </w:rPr>
              <w:t>清洗</w:t>
            </w:r>
            <w:r>
              <w:rPr>
                <w:rFonts w:hint="default"/>
                <w:highlight w:val="none"/>
              </w:rPr>
              <w:t>，根据设计资料，动物房平均每天</w:t>
            </w:r>
            <w:r>
              <w:rPr>
                <w:rFonts w:hint="eastAsia"/>
                <w:highlight w:val="none"/>
                <w:lang w:val="en-US" w:eastAsia="zh-CN"/>
              </w:rPr>
              <w:t>清洗</w:t>
            </w:r>
            <w:r>
              <w:rPr>
                <w:rFonts w:hint="default"/>
                <w:highlight w:val="none"/>
              </w:rPr>
              <w:t>面积约</w:t>
            </w:r>
            <w:r>
              <w:rPr>
                <w:rFonts w:hint="eastAsia"/>
                <w:highlight w:val="none"/>
                <w:lang w:val="en-US" w:eastAsia="zh-CN"/>
              </w:rPr>
              <w:t>60</w:t>
            </w:r>
            <w:r>
              <w:rPr>
                <w:rFonts w:hint="default"/>
                <w:highlight w:val="none"/>
              </w:rPr>
              <w:t>0m</w:t>
            </w:r>
            <w:r>
              <w:rPr>
                <w:rFonts w:hint="default"/>
                <w:highlight w:val="none"/>
                <w:vertAlign w:val="superscript"/>
              </w:rPr>
              <w:t>2</w:t>
            </w:r>
            <w:r>
              <w:rPr>
                <w:rFonts w:hint="default"/>
                <w:highlight w:val="none"/>
              </w:rPr>
              <w:t>，用水定额为3L/（m</w:t>
            </w:r>
            <w:r>
              <w:rPr>
                <w:rFonts w:hint="default"/>
                <w:highlight w:val="none"/>
                <w:vertAlign w:val="superscript"/>
              </w:rPr>
              <w:t>2</w:t>
            </w:r>
            <w:r>
              <w:rPr>
                <w:rFonts w:hint="default"/>
                <w:highlight w:val="none"/>
              </w:rPr>
              <w:t>·d），则用水量约</w:t>
            </w:r>
            <w:r>
              <w:rPr>
                <w:rFonts w:hint="eastAsia"/>
                <w:highlight w:val="none"/>
                <w:lang w:val="en-US" w:eastAsia="zh-CN"/>
              </w:rPr>
              <w:t>1</w:t>
            </w:r>
            <w:r>
              <w:rPr>
                <w:rFonts w:hint="default"/>
                <w:highlight w:val="none"/>
              </w:rPr>
              <w:t>.8t/d，年运行365d，则动物饲养间</w:t>
            </w:r>
            <w:r>
              <w:rPr>
                <w:rFonts w:hint="eastAsia"/>
                <w:highlight w:val="none"/>
                <w:lang w:val="en-US" w:eastAsia="zh-CN"/>
              </w:rPr>
              <w:t>清洗</w:t>
            </w:r>
            <w:r>
              <w:rPr>
                <w:rFonts w:hint="default"/>
                <w:highlight w:val="none"/>
              </w:rPr>
              <w:t>用水约</w:t>
            </w:r>
            <w:r>
              <w:rPr>
                <w:rFonts w:hint="eastAsia"/>
                <w:highlight w:val="none"/>
                <w:lang w:val="en-US" w:eastAsia="zh-CN"/>
              </w:rPr>
              <w:t>657</w:t>
            </w:r>
            <w:r>
              <w:rPr>
                <w:rFonts w:hint="default"/>
                <w:highlight w:val="none"/>
              </w:rPr>
              <w:t>t/a</w:t>
            </w:r>
            <w:r>
              <w:rPr>
                <w:rFonts w:hint="eastAsia"/>
                <w:highlight w:val="none"/>
                <w:lang w:eastAsia="zh-CN"/>
              </w:rPr>
              <w:t>，</w:t>
            </w:r>
            <w:r>
              <w:rPr>
                <w:rFonts w:hint="default"/>
                <w:color w:val="000000"/>
                <w:kern w:val="0"/>
                <w:sz w:val="24"/>
                <w:szCs w:val="24"/>
                <w:highlight w:val="none"/>
              </w:rPr>
              <w:t>排污系数</w:t>
            </w:r>
            <w:r>
              <w:rPr>
                <w:rFonts w:hint="eastAsia"/>
                <w:color w:val="000000"/>
                <w:kern w:val="0"/>
                <w:sz w:val="24"/>
                <w:szCs w:val="24"/>
                <w:highlight w:val="none"/>
                <w:lang w:val="en-US" w:eastAsia="zh-CN"/>
              </w:rPr>
              <w:t>以</w:t>
            </w:r>
            <w:r>
              <w:rPr>
                <w:rFonts w:hint="default"/>
                <w:color w:val="000000"/>
                <w:kern w:val="0"/>
                <w:sz w:val="24"/>
                <w:szCs w:val="24"/>
                <w:highlight w:val="none"/>
              </w:rPr>
              <w:t>0.9</w:t>
            </w:r>
            <w:r>
              <w:rPr>
                <w:rFonts w:hint="eastAsia"/>
                <w:color w:val="000000"/>
                <w:kern w:val="0"/>
                <w:sz w:val="24"/>
                <w:szCs w:val="24"/>
                <w:highlight w:val="none"/>
                <w:lang w:val="en-US" w:eastAsia="zh-CN"/>
              </w:rPr>
              <w:t>计，则</w:t>
            </w:r>
            <w:r>
              <w:rPr>
                <w:rFonts w:hint="default"/>
                <w:highlight w:val="none"/>
              </w:rPr>
              <w:t>动物饲养间</w:t>
            </w:r>
            <w:r>
              <w:rPr>
                <w:rFonts w:hint="eastAsia"/>
                <w:color w:val="000000"/>
                <w:kern w:val="0"/>
                <w:sz w:val="24"/>
                <w:szCs w:val="24"/>
                <w:highlight w:val="none"/>
                <w:lang w:val="en-US" w:eastAsia="zh-CN"/>
              </w:rPr>
              <w:t>清洗废水产生量591.3</w:t>
            </w:r>
            <w:r>
              <w:rPr>
                <w:rFonts w:hint="default"/>
                <w:highlight w:val="none"/>
              </w:rPr>
              <w:t>t/a</w:t>
            </w:r>
            <w:r>
              <w:rPr>
                <w:rFonts w:hint="eastAsia"/>
                <w:highlight w:val="none"/>
                <w:lang w:eastAsia="zh-CN"/>
              </w:rPr>
              <w:t>。</w:t>
            </w:r>
          </w:p>
          <w:p w14:paraId="42A4568E">
            <w:pPr>
              <w:pStyle w:val="122"/>
              <w:keepNext w:val="0"/>
              <w:keepLines w:val="0"/>
              <w:suppressLineNumbers w:val="0"/>
              <w:spacing w:before="0" w:beforeAutospacing="0" w:after="0" w:afterAutospacing="0"/>
              <w:ind w:left="0" w:right="0"/>
              <w:rPr>
                <w:rFonts w:hint="eastAsia" w:ascii="宋体" w:hAnsi="宋体" w:eastAsia="宋体" w:cs="宋体"/>
                <w:highlight w:val="none"/>
                <w:lang w:val="en-US" w:eastAsia="zh-CN"/>
              </w:rPr>
            </w:pPr>
            <w:r>
              <w:rPr>
                <w:rFonts w:hint="eastAsia" w:ascii="Times New Roman" w:hAnsi="Times New Roman" w:eastAsia="宋体" w:cs="Times New Roman"/>
                <w:highlight w:val="none"/>
                <w:lang w:val="en-US" w:eastAsia="zh-CN"/>
              </w:rPr>
              <w:t>3）洗笼机、</w:t>
            </w:r>
            <w:r>
              <w:rPr>
                <w:rFonts w:hint="eastAsia"/>
                <w:highlight w:val="none"/>
              </w:rPr>
              <w:t>动物</w:t>
            </w:r>
            <w:r>
              <w:rPr>
                <w:rFonts w:hint="default"/>
                <w:highlight w:val="none"/>
              </w:rPr>
              <w:t>洗烘用水</w:t>
            </w:r>
          </w:p>
          <w:p w14:paraId="3502678E">
            <w:pPr>
              <w:pStyle w:val="122"/>
              <w:keepNext w:val="0"/>
              <w:keepLines w:val="0"/>
              <w:suppressLineNumbers w:val="0"/>
              <w:spacing w:before="0" w:beforeAutospacing="0" w:after="0" w:afterAutospacing="0"/>
              <w:ind w:left="0" w:right="0"/>
              <w:rPr>
                <w:rFonts w:hint="eastAsia" w:ascii="宋体" w:hAnsi="宋体" w:cs="宋体"/>
                <w:highlight w:val="none"/>
              </w:rPr>
            </w:pPr>
            <w:r>
              <w:rPr>
                <w:rFonts w:hint="eastAsia"/>
                <w:color w:val="auto"/>
                <w:highlight w:val="none"/>
                <w:lang w:val="en-US" w:eastAsia="zh-CN"/>
              </w:rPr>
              <w:t>饲养笼需要使用洗笼机进行清洗，洗笼机共2台，循环用水0.6t/h，工作时间每天5h，则每天用水量6t/d，</w:t>
            </w:r>
            <w:r>
              <w:rPr>
                <w:rFonts w:hint="default"/>
                <w:highlight w:val="none"/>
              </w:rPr>
              <w:t>年运行260d</w:t>
            </w:r>
            <w:r>
              <w:rPr>
                <w:rFonts w:hint="eastAsia"/>
                <w:highlight w:val="none"/>
                <w:lang w:eastAsia="zh-CN"/>
              </w:rPr>
              <w:t>，</w:t>
            </w:r>
            <w:r>
              <w:rPr>
                <w:rFonts w:hint="eastAsia"/>
                <w:color w:val="auto"/>
                <w:highlight w:val="none"/>
                <w:lang w:val="en-US" w:eastAsia="zh-CN"/>
              </w:rPr>
              <w:t>年用水量1560t/a；根据企业运行经验，动物购入后，部分动物需要进行清洗，清洗用水量约50t/a，</w:t>
            </w:r>
            <w:r>
              <w:rPr>
                <w:rFonts w:hint="eastAsia"/>
                <w:sz w:val="24"/>
                <w:szCs w:val="24"/>
                <w:highlight w:val="none"/>
                <w:lang w:val="en-US" w:eastAsia="zh-CN"/>
              </w:rPr>
              <w:t>则</w:t>
            </w:r>
            <w:r>
              <w:rPr>
                <w:rFonts w:hint="default"/>
                <w:sz w:val="24"/>
                <w:szCs w:val="24"/>
                <w:highlight w:val="none"/>
              </w:rPr>
              <w:t>洗笼</w:t>
            </w:r>
            <w:r>
              <w:rPr>
                <w:rFonts w:hint="eastAsia"/>
                <w:sz w:val="24"/>
                <w:szCs w:val="24"/>
                <w:highlight w:val="none"/>
              </w:rPr>
              <w:t>、动物</w:t>
            </w:r>
            <w:r>
              <w:rPr>
                <w:rFonts w:hint="default"/>
                <w:sz w:val="24"/>
                <w:szCs w:val="24"/>
                <w:highlight w:val="none"/>
              </w:rPr>
              <w:t>洗烘</w:t>
            </w:r>
            <w:r>
              <w:rPr>
                <w:rFonts w:hint="eastAsia"/>
                <w:sz w:val="24"/>
                <w:szCs w:val="24"/>
                <w:highlight w:val="none"/>
                <w:lang w:val="en-US" w:eastAsia="zh-CN"/>
              </w:rPr>
              <w:t>合计用水为1610</w:t>
            </w:r>
            <w:r>
              <w:rPr>
                <w:rFonts w:hint="default"/>
                <w:sz w:val="24"/>
                <w:szCs w:val="24"/>
                <w:highlight w:val="none"/>
              </w:rPr>
              <w:t>t/a</w:t>
            </w:r>
            <w:r>
              <w:rPr>
                <w:rFonts w:hint="eastAsia"/>
                <w:sz w:val="24"/>
                <w:szCs w:val="24"/>
                <w:highlight w:val="none"/>
              </w:rPr>
              <w:t>，</w:t>
            </w:r>
            <w:r>
              <w:rPr>
                <w:rFonts w:hint="default"/>
                <w:sz w:val="24"/>
                <w:szCs w:val="24"/>
                <w:highlight w:val="none"/>
              </w:rPr>
              <w:t>产污系数</w:t>
            </w:r>
            <w:r>
              <w:rPr>
                <w:rFonts w:hint="eastAsia"/>
                <w:sz w:val="24"/>
                <w:szCs w:val="24"/>
                <w:highlight w:val="none"/>
                <w:lang w:val="en-US" w:eastAsia="zh-CN"/>
              </w:rPr>
              <w:t>以</w:t>
            </w:r>
            <w:r>
              <w:rPr>
                <w:rFonts w:hint="default"/>
                <w:sz w:val="24"/>
                <w:szCs w:val="24"/>
                <w:highlight w:val="none"/>
              </w:rPr>
              <w:t>0.</w:t>
            </w:r>
            <w:r>
              <w:rPr>
                <w:rFonts w:hint="eastAsia"/>
                <w:sz w:val="24"/>
                <w:szCs w:val="24"/>
                <w:highlight w:val="none"/>
                <w:lang w:val="en-US" w:eastAsia="zh-CN"/>
              </w:rPr>
              <w:t>9</w:t>
            </w:r>
            <w:r>
              <w:rPr>
                <w:rFonts w:hint="eastAsia"/>
                <w:sz w:val="24"/>
                <w:szCs w:val="24"/>
                <w:highlight w:val="none"/>
              </w:rPr>
              <w:t>计</w:t>
            </w:r>
            <w:r>
              <w:rPr>
                <w:rFonts w:hint="default"/>
                <w:sz w:val="24"/>
                <w:szCs w:val="24"/>
                <w:highlight w:val="none"/>
              </w:rPr>
              <w:t>，则</w:t>
            </w:r>
            <w:r>
              <w:rPr>
                <w:rFonts w:hint="eastAsia"/>
                <w:sz w:val="24"/>
                <w:szCs w:val="24"/>
                <w:highlight w:val="none"/>
              </w:rPr>
              <w:t>产生</w:t>
            </w:r>
            <w:r>
              <w:rPr>
                <w:rFonts w:hint="default"/>
                <w:sz w:val="24"/>
                <w:szCs w:val="24"/>
                <w:highlight w:val="none"/>
              </w:rPr>
              <w:t>废水</w:t>
            </w:r>
            <w:r>
              <w:rPr>
                <w:rFonts w:hint="eastAsia"/>
                <w:sz w:val="24"/>
                <w:szCs w:val="24"/>
                <w:highlight w:val="none"/>
                <w:lang w:val="en-US" w:eastAsia="zh-CN"/>
              </w:rPr>
              <w:t>1449</w:t>
            </w:r>
            <w:r>
              <w:rPr>
                <w:rFonts w:hint="default"/>
                <w:sz w:val="24"/>
                <w:szCs w:val="24"/>
                <w:highlight w:val="none"/>
              </w:rPr>
              <w:t>t/a</w:t>
            </w:r>
            <w:r>
              <w:rPr>
                <w:rFonts w:hint="eastAsia"/>
                <w:sz w:val="24"/>
                <w:szCs w:val="24"/>
                <w:highlight w:val="none"/>
                <w:lang w:eastAsia="zh-CN"/>
              </w:rPr>
              <w:t>。</w:t>
            </w:r>
          </w:p>
          <w:p w14:paraId="50B14F60">
            <w:pPr>
              <w:pStyle w:val="122"/>
              <w:keepNext w:val="0"/>
              <w:keepLines w:val="0"/>
              <w:suppressLineNumbers w:val="0"/>
              <w:spacing w:before="0" w:beforeAutospacing="0" w:after="0" w:afterAutospacing="0"/>
              <w:ind w:left="0" w:right="0"/>
              <w:rPr>
                <w:rFonts w:hint="default"/>
                <w:highlight w:val="none"/>
              </w:rPr>
            </w:pPr>
            <w:r>
              <w:rPr>
                <w:rFonts w:hint="default" w:ascii="宋体" w:hAnsi="宋体" w:eastAsia="宋体" w:cs="宋体"/>
                <w:color w:val="auto"/>
                <w:highlight w:val="none"/>
              </w:rPr>
              <w:t>②</w:t>
            </w:r>
            <w:r>
              <w:rPr>
                <w:rFonts w:hint="default"/>
                <w:highlight w:val="none"/>
              </w:rPr>
              <w:t>灭菌锅用水</w:t>
            </w:r>
          </w:p>
          <w:p w14:paraId="48136892">
            <w:pPr>
              <w:pStyle w:val="122"/>
              <w:keepNext w:val="0"/>
              <w:keepLines w:val="0"/>
              <w:suppressLineNumbers w:val="0"/>
              <w:bidi w:val="0"/>
              <w:spacing w:before="0" w:beforeAutospacing="0" w:after="0" w:afterAutospacing="0"/>
              <w:ind w:left="0" w:right="0"/>
              <w:rPr>
                <w:rFonts w:hint="eastAsia"/>
                <w:color w:val="auto"/>
                <w:highlight w:val="none"/>
                <w:lang w:val="en-US" w:eastAsia="zh-CN"/>
              </w:rPr>
            </w:pPr>
            <w:r>
              <w:rPr>
                <w:rFonts w:hint="default"/>
                <w:highlight w:val="none"/>
              </w:rPr>
              <w:t>实验动物中心楼共涉及</w:t>
            </w:r>
            <w:r>
              <w:rPr>
                <w:rFonts w:hint="eastAsia"/>
                <w:highlight w:val="none"/>
                <w:lang w:val="en-US" w:eastAsia="zh-CN"/>
              </w:rPr>
              <w:t>四</w:t>
            </w:r>
            <w:r>
              <w:rPr>
                <w:rFonts w:hint="eastAsia"/>
                <w:highlight w:val="none"/>
              </w:rPr>
              <w:t>种</w:t>
            </w:r>
            <w:r>
              <w:rPr>
                <w:rFonts w:hint="default"/>
                <w:highlight w:val="none"/>
              </w:rPr>
              <w:t>灭菌锅，</w:t>
            </w:r>
            <w:r>
              <w:rPr>
                <w:rFonts w:hint="eastAsia"/>
                <w:highlight w:val="none"/>
              </w:rPr>
              <w:t>均</w:t>
            </w:r>
            <w:r>
              <w:rPr>
                <w:rFonts w:hint="default"/>
                <w:highlight w:val="none"/>
              </w:rPr>
              <w:t>使用软水</w:t>
            </w:r>
            <w:r>
              <w:rPr>
                <w:rFonts w:hint="eastAsia"/>
                <w:highlight w:val="none"/>
                <w:lang w:eastAsia="zh-CN"/>
              </w:rPr>
              <w:t>。</w:t>
            </w:r>
            <w:r>
              <w:rPr>
                <w:rFonts w:hint="default"/>
                <w:highlight w:val="none"/>
              </w:rPr>
              <w:t>灭菌锅（</w:t>
            </w:r>
            <w:r>
              <w:rPr>
                <w:rFonts w:hint="eastAsia"/>
                <w:highlight w:val="none"/>
                <w:lang w:val="en-US" w:eastAsia="zh-CN"/>
              </w:rPr>
              <w:t>1380D-B</w:t>
            </w:r>
            <w:r>
              <w:rPr>
                <w:rFonts w:hint="default"/>
                <w:highlight w:val="none"/>
              </w:rPr>
              <w:t>）共计2台，</w:t>
            </w:r>
            <w:r>
              <w:rPr>
                <w:rFonts w:hint="eastAsia"/>
                <w:highlight w:val="none"/>
                <w:lang w:val="en-US" w:eastAsia="zh-CN"/>
              </w:rPr>
              <w:t>每台</w:t>
            </w:r>
            <w:r>
              <w:rPr>
                <w:rFonts w:hint="default"/>
                <w:highlight w:val="none"/>
              </w:rPr>
              <w:t>灭菌锅单次用水</w:t>
            </w:r>
            <w:r>
              <w:rPr>
                <w:rFonts w:hint="eastAsia"/>
                <w:highlight w:val="none"/>
                <w:lang w:val="en-US" w:eastAsia="zh-CN"/>
              </w:rPr>
              <w:t>0.70</w:t>
            </w:r>
            <w:r>
              <w:rPr>
                <w:rFonts w:hint="default"/>
                <w:highlight w:val="none"/>
              </w:rPr>
              <w:t>m</w:t>
            </w:r>
            <w:r>
              <w:rPr>
                <w:rFonts w:hint="default"/>
                <w:highlight w:val="none"/>
                <w:vertAlign w:val="superscript"/>
              </w:rPr>
              <w:t>3</w:t>
            </w:r>
            <w:r>
              <w:rPr>
                <w:rFonts w:hint="default"/>
                <w:highlight w:val="none"/>
              </w:rPr>
              <w:t>；灭菌锅（</w:t>
            </w:r>
            <w:r>
              <w:rPr>
                <w:rFonts w:hint="eastAsia"/>
                <w:highlight w:val="none"/>
                <w:lang w:val="en-US" w:eastAsia="zh-CN"/>
              </w:rPr>
              <w:t>1670D</w:t>
            </w:r>
            <w:r>
              <w:rPr>
                <w:rFonts w:hint="default"/>
                <w:highlight w:val="none"/>
              </w:rPr>
              <w:t>型）共计</w:t>
            </w:r>
            <w:r>
              <w:rPr>
                <w:rFonts w:hint="eastAsia"/>
                <w:highlight w:val="none"/>
                <w:lang w:val="en-US" w:eastAsia="zh-CN"/>
              </w:rPr>
              <w:t>2</w:t>
            </w:r>
            <w:r>
              <w:rPr>
                <w:rFonts w:hint="default"/>
                <w:highlight w:val="none"/>
              </w:rPr>
              <w:t>台，</w:t>
            </w:r>
            <w:r>
              <w:rPr>
                <w:rFonts w:hint="eastAsia"/>
                <w:highlight w:val="none"/>
                <w:lang w:val="en-US" w:eastAsia="zh-CN"/>
              </w:rPr>
              <w:t>每台</w:t>
            </w:r>
            <w:r>
              <w:rPr>
                <w:rFonts w:hint="default"/>
                <w:highlight w:val="none"/>
              </w:rPr>
              <w:t>灭菌锅单次用水</w:t>
            </w:r>
            <w:r>
              <w:rPr>
                <w:rFonts w:hint="eastAsia"/>
                <w:highlight w:val="none"/>
                <w:lang w:val="en-US" w:eastAsia="zh-CN"/>
              </w:rPr>
              <w:t>0.75</w:t>
            </w:r>
            <w:r>
              <w:rPr>
                <w:rFonts w:hint="default"/>
                <w:highlight w:val="none"/>
              </w:rPr>
              <w:t>m</w:t>
            </w:r>
            <w:r>
              <w:rPr>
                <w:rFonts w:hint="default"/>
                <w:highlight w:val="none"/>
                <w:vertAlign w:val="superscript"/>
              </w:rPr>
              <w:t>3</w:t>
            </w:r>
            <w:r>
              <w:rPr>
                <w:rFonts w:hint="eastAsia"/>
                <w:highlight w:val="none"/>
                <w:vertAlign w:val="baseline"/>
                <w:lang w:eastAsia="zh-CN"/>
              </w:rPr>
              <w:t>；</w:t>
            </w:r>
            <w:r>
              <w:rPr>
                <w:rFonts w:hint="default"/>
                <w:highlight w:val="none"/>
              </w:rPr>
              <w:t>灭菌锅（</w:t>
            </w:r>
            <w:r>
              <w:rPr>
                <w:rFonts w:hint="eastAsia"/>
                <w:highlight w:val="none"/>
                <w:lang w:val="en-US" w:eastAsia="zh-CN"/>
              </w:rPr>
              <w:t>D910D</w:t>
            </w:r>
            <w:r>
              <w:rPr>
                <w:rFonts w:hint="default"/>
                <w:highlight w:val="none"/>
              </w:rPr>
              <w:t>型）共计</w:t>
            </w:r>
            <w:r>
              <w:rPr>
                <w:rFonts w:hint="eastAsia"/>
                <w:highlight w:val="none"/>
                <w:lang w:val="en-US" w:eastAsia="zh-CN"/>
              </w:rPr>
              <w:t>1</w:t>
            </w:r>
            <w:r>
              <w:rPr>
                <w:rFonts w:hint="default"/>
                <w:highlight w:val="none"/>
              </w:rPr>
              <w:t>台，</w:t>
            </w:r>
            <w:r>
              <w:rPr>
                <w:rFonts w:hint="eastAsia"/>
                <w:highlight w:val="none"/>
                <w:lang w:val="en-US" w:eastAsia="zh-CN"/>
              </w:rPr>
              <w:t>每台</w:t>
            </w:r>
            <w:r>
              <w:rPr>
                <w:rFonts w:hint="default"/>
                <w:highlight w:val="none"/>
              </w:rPr>
              <w:t>灭菌锅单次用水</w:t>
            </w:r>
            <w:r>
              <w:rPr>
                <w:rFonts w:hint="eastAsia"/>
                <w:highlight w:val="none"/>
                <w:lang w:val="en-US" w:eastAsia="zh-CN"/>
              </w:rPr>
              <w:t>0.50</w:t>
            </w:r>
            <w:r>
              <w:rPr>
                <w:rFonts w:hint="default"/>
                <w:highlight w:val="none"/>
              </w:rPr>
              <w:t>m</w:t>
            </w:r>
            <w:r>
              <w:rPr>
                <w:rFonts w:hint="default"/>
                <w:highlight w:val="none"/>
                <w:vertAlign w:val="superscript"/>
              </w:rPr>
              <w:t>3</w:t>
            </w:r>
            <w:r>
              <w:rPr>
                <w:rFonts w:hint="eastAsia"/>
                <w:highlight w:val="none"/>
                <w:vertAlign w:val="baseline"/>
                <w:lang w:eastAsia="zh-CN"/>
              </w:rPr>
              <w:t>；</w:t>
            </w:r>
            <w:r>
              <w:rPr>
                <w:rFonts w:hint="default"/>
                <w:highlight w:val="none"/>
              </w:rPr>
              <w:t>灭菌锅（</w:t>
            </w:r>
            <w:r>
              <w:rPr>
                <w:rFonts w:hint="eastAsia"/>
                <w:highlight w:val="none"/>
                <w:lang w:val="en-US" w:eastAsia="zh-CN"/>
              </w:rPr>
              <w:t>D350</w:t>
            </w:r>
            <w:r>
              <w:rPr>
                <w:rFonts w:hint="default"/>
                <w:highlight w:val="none"/>
              </w:rPr>
              <w:t>型）共计</w:t>
            </w:r>
            <w:r>
              <w:rPr>
                <w:rFonts w:hint="eastAsia"/>
                <w:highlight w:val="none"/>
                <w:lang w:val="en-US" w:eastAsia="zh-CN"/>
              </w:rPr>
              <w:t>2</w:t>
            </w:r>
            <w:r>
              <w:rPr>
                <w:rFonts w:hint="default"/>
                <w:highlight w:val="none"/>
              </w:rPr>
              <w:t>台，</w:t>
            </w:r>
            <w:r>
              <w:rPr>
                <w:rFonts w:hint="eastAsia"/>
                <w:color w:val="auto"/>
                <w:highlight w:val="none"/>
                <w:lang w:val="en-US" w:eastAsia="zh-CN"/>
              </w:rPr>
              <w:t>其中1台在ABSL-2区域内</w:t>
            </w:r>
            <w:r>
              <w:rPr>
                <w:rFonts w:hint="eastAsia"/>
                <w:b/>
                <w:bCs w:val="0"/>
                <w:color w:val="auto"/>
                <w:highlight w:val="none"/>
                <w:lang w:val="en-US" w:eastAsia="zh-CN"/>
              </w:rPr>
              <w:t>（单独计算）</w:t>
            </w:r>
            <w:r>
              <w:rPr>
                <w:rFonts w:hint="eastAsia"/>
                <w:color w:val="auto"/>
                <w:highlight w:val="none"/>
                <w:lang w:val="en-US" w:eastAsia="zh-CN"/>
              </w:rPr>
              <w:t>，剩余1台</w:t>
            </w:r>
            <w:r>
              <w:rPr>
                <w:rFonts w:hint="default"/>
                <w:color w:val="auto"/>
                <w:highlight w:val="none"/>
              </w:rPr>
              <w:t>单次用水</w:t>
            </w:r>
            <w:r>
              <w:rPr>
                <w:rFonts w:hint="eastAsia"/>
                <w:color w:val="auto"/>
                <w:highlight w:val="none"/>
                <w:lang w:val="en-US" w:eastAsia="zh-CN"/>
              </w:rPr>
              <w:t>0.30</w:t>
            </w:r>
            <w:r>
              <w:rPr>
                <w:rFonts w:hint="default"/>
                <w:color w:val="auto"/>
                <w:highlight w:val="none"/>
              </w:rPr>
              <w:t>m</w:t>
            </w:r>
            <w:r>
              <w:rPr>
                <w:rFonts w:hint="default"/>
                <w:color w:val="auto"/>
                <w:highlight w:val="none"/>
                <w:vertAlign w:val="superscript"/>
              </w:rPr>
              <w:t>3</w:t>
            </w:r>
            <w:r>
              <w:rPr>
                <w:rFonts w:hint="default"/>
                <w:color w:val="auto"/>
                <w:highlight w:val="none"/>
              </w:rPr>
              <w:t>。灭菌锅每天使用次数5次，年运行260d，则日均用水量约</w:t>
            </w:r>
            <w:r>
              <w:rPr>
                <w:rFonts w:hint="eastAsia"/>
                <w:color w:val="auto"/>
                <w:highlight w:val="none"/>
                <w:lang w:val="en-US" w:eastAsia="zh-CN"/>
              </w:rPr>
              <w:t>18.5</w:t>
            </w:r>
            <w:r>
              <w:rPr>
                <w:rFonts w:hint="default"/>
                <w:color w:val="auto"/>
                <w:highlight w:val="none"/>
              </w:rPr>
              <w:t>m</w:t>
            </w:r>
            <w:r>
              <w:rPr>
                <w:rFonts w:hint="default"/>
                <w:color w:val="auto"/>
                <w:highlight w:val="none"/>
                <w:vertAlign w:val="superscript"/>
              </w:rPr>
              <w:t>3</w:t>
            </w:r>
            <w:r>
              <w:rPr>
                <w:rFonts w:hint="default"/>
                <w:color w:val="auto"/>
                <w:highlight w:val="none"/>
              </w:rPr>
              <w:t>/d</w:t>
            </w:r>
            <w:r>
              <w:rPr>
                <w:rFonts w:hint="eastAsia"/>
                <w:color w:val="auto"/>
                <w:highlight w:val="none"/>
                <w:lang w:eastAsia="zh-CN"/>
              </w:rPr>
              <w:t>，</w:t>
            </w:r>
            <w:r>
              <w:rPr>
                <w:rFonts w:hint="default"/>
                <w:highlight w:val="none"/>
              </w:rPr>
              <w:t>年运行260d</w:t>
            </w:r>
            <w:r>
              <w:rPr>
                <w:rFonts w:hint="eastAsia"/>
                <w:highlight w:val="none"/>
                <w:lang w:eastAsia="zh-CN"/>
              </w:rPr>
              <w:t>，</w:t>
            </w:r>
            <w:r>
              <w:rPr>
                <w:rFonts w:hint="default"/>
                <w:highlight w:val="none"/>
              </w:rPr>
              <w:t>则</w:t>
            </w:r>
            <w:r>
              <w:rPr>
                <w:rFonts w:hint="eastAsia"/>
                <w:highlight w:val="none"/>
                <w:lang w:val="en-US" w:eastAsia="zh-CN"/>
              </w:rPr>
              <w:t>灭菌锅年</w:t>
            </w:r>
            <w:r>
              <w:rPr>
                <w:rFonts w:hint="default"/>
                <w:highlight w:val="none"/>
              </w:rPr>
              <w:t>用水量约</w:t>
            </w:r>
            <w:r>
              <w:rPr>
                <w:rFonts w:hint="eastAsia"/>
                <w:highlight w:val="none"/>
                <w:lang w:val="en-US" w:eastAsia="zh-CN"/>
              </w:rPr>
              <w:t>4810t</w:t>
            </w:r>
            <w:r>
              <w:rPr>
                <w:rFonts w:hint="default"/>
                <w:highlight w:val="none"/>
              </w:rPr>
              <w:t>/</w:t>
            </w:r>
            <w:r>
              <w:rPr>
                <w:rFonts w:hint="eastAsia"/>
                <w:highlight w:val="none"/>
                <w:lang w:val="en-US" w:eastAsia="zh-CN"/>
              </w:rPr>
              <w:t>a，</w:t>
            </w:r>
            <w:r>
              <w:rPr>
                <w:rFonts w:hint="eastAsia"/>
                <w:color w:val="auto"/>
                <w:highlight w:val="none"/>
                <w:lang w:val="en-US" w:eastAsia="zh-CN"/>
              </w:rPr>
              <w:t xml:space="preserve">降温后的水直排。 </w:t>
            </w:r>
          </w:p>
          <w:p w14:paraId="3EB19744">
            <w:pPr>
              <w:pStyle w:val="122"/>
              <w:keepNext w:val="0"/>
              <w:keepLines w:val="0"/>
              <w:suppressLineNumbers w:val="0"/>
              <w:bidi w:val="0"/>
              <w:spacing w:before="0" w:beforeAutospacing="0" w:after="0" w:afterAutospacing="0"/>
              <w:ind w:left="0" w:right="0"/>
              <w:rPr>
                <w:rFonts w:hint="eastAsia" w:eastAsia="宋体"/>
                <w:color w:val="auto"/>
                <w:highlight w:val="none"/>
                <w:lang w:val="en-US" w:eastAsia="zh-CN"/>
              </w:rPr>
            </w:pPr>
            <w:r>
              <w:rPr>
                <w:rFonts w:hint="eastAsia"/>
                <w:highlight w:val="none"/>
                <w:lang w:val="en-US" w:eastAsia="zh-CN"/>
              </w:rPr>
              <w:t>ABSL-2区域内的灭菌锅</w:t>
            </w:r>
            <w:r>
              <w:rPr>
                <w:rFonts w:hint="default"/>
                <w:highlight w:val="none"/>
              </w:rPr>
              <w:t>（</w:t>
            </w:r>
            <w:r>
              <w:rPr>
                <w:rFonts w:hint="eastAsia"/>
                <w:highlight w:val="none"/>
                <w:lang w:val="en-US" w:eastAsia="zh-CN"/>
              </w:rPr>
              <w:t>D350</w:t>
            </w:r>
            <w:r>
              <w:rPr>
                <w:rFonts w:hint="default"/>
                <w:highlight w:val="none"/>
              </w:rPr>
              <w:t>型）</w:t>
            </w:r>
            <w:r>
              <w:rPr>
                <w:rFonts w:hint="eastAsia"/>
                <w:highlight w:val="none"/>
                <w:lang w:val="en-US" w:eastAsia="zh-CN"/>
              </w:rPr>
              <w:t>采用自带降温水箱，</w:t>
            </w:r>
            <w:r>
              <w:rPr>
                <w:rFonts w:hint="default"/>
                <w:highlight w:val="none"/>
              </w:rPr>
              <w:t>日均用水量约</w:t>
            </w:r>
            <w:r>
              <w:rPr>
                <w:rFonts w:hint="eastAsia"/>
                <w:highlight w:val="none"/>
                <w:lang w:val="en-US" w:eastAsia="zh-CN"/>
              </w:rPr>
              <w:t>1.5t</w:t>
            </w:r>
            <w:r>
              <w:rPr>
                <w:rFonts w:hint="default"/>
                <w:highlight w:val="none"/>
              </w:rPr>
              <w:t>/d</w:t>
            </w:r>
            <w:r>
              <w:rPr>
                <w:rFonts w:hint="eastAsia"/>
                <w:highlight w:val="none"/>
                <w:lang w:eastAsia="zh-CN"/>
              </w:rPr>
              <w:t>，</w:t>
            </w:r>
            <w:r>
              <w:rPr>
                <w:rFonts w:hint="default"/>
                <w:highlight w:val="none"/>
              </w:rPr>
              <w:t>年运行260d</w:t>
            </w:r>
            <w:r>
              <w:rPr>
                <w:rFonts w:hint="eastAsia"/>
                <w:highlight w:val="none"/>
                <w:lang w:eastAsia="zh-CN"/>
              </w:rPr>
              <w:t>，</w:t>
            </w:r>
            <w:r>
              <w:rPr>
                <w:rFonts w:hint="eastAsia"/>
                <w:highlight w:val="none"/>
                <w:lang w:val="en-US" w:eastAsia="zh-CN"/>
              </w:rPr>
              <w:t>则ABSL-2区域内的灭菌锅年</w:t>
            </w:r>
            <w:r>
              <w:rPr>
                <w:rFonts w:hint="default"/>
                <w:highlight w:val="none"/>
              </w:rPr>
              <w:t>用水量约</w:t>
            </w:r>
            <w:r>
              <w:rPr>
                <w:rFonts w:hint="eastAsia"/>
                <w:highlight w:val="none"/>
                <w:lang w:val="en-US" w:eastAsia="zh-CN"/>
              </w:rPr>
              <w:t>390t</w:t>
            </w:r>
            <w:r>
              <w:rPr>
                <w:rFonts w:hint="default"/>
                <w:highlight w:val="none"/>
              </w:rPr>
              <w:t>/</w:t>
            </w:r>
            <w:r>
              <w:rPr>
                <w:rFonts w:hint="eastAsia"/>
                <w:highlight w:val="none"/>
                <w:lang w:val="en-US" w:eastAsia="zh-CN"/>
              </w:rPr>
              <w:t>a</w:t>
            </w:r>
            <w:r>
              <w:rPr>
                <w:rFonts w:hint="eastAsia"/>
                <w:highlight w:val="none"/>
                <w:lang w:eastAsia="zh-CN"/>
              </w:rPr>
              <w:t>，</w:t>
            </w:r>
            <w:r>
              <w:rPr>
                <w:rFonts w:hint="eastAsia"/>
                <w:highlight w:val="none"/>
                <w:lang w:val="en-US" w:eastAsia="zh-CN"/>
              </w:rPr>
              <w:t>产生的废水排入污水处理站。</w:t>
            </w:r>
          </w:p>
          <w:p w14:paraId="7A36EE7F">
            <w:pPr>
              <w:pStyle w:val="122"/>
              <w:keepNext w:val="0"/>
              <w:keepLines w:val="0"/>
              <w:suppressLineNumbers w:val="0"/>
              <w:spacing w:before="0" w:beforeAutospacing="0" w:after="0" w:afterAutospacing="0"/>
              <w:ind w:left="0" w:right="0"/>
              <w:rPr>
                <w:rFonts w:hint="default" w:eastAsia="宋体"/>
                <w:highlight w:val="none"/>
                <w:lang w:val="en-US" w:eastAsia="zh-CN"/>
              </w:rPr>
            </w:pPr>
            <w:r>
              <w:rPr>
                <w:rFonts w:hint="eastAsia" w:ascii="宋体" w:hAnsi="宋体" w:cs="宋体"/>
                <w:highlight w:val="none"/>
              </w:rPr>
              <w:t>③</w:t>
            </w:r>
            <w:r>
              <w:rPr>
                <w:rFonts w:hint="eastAsia"/>
                <w:highlight w:val="none"/>
                <w:lang w:val="en-US" w:eastAsia="zh-CN"/>
              </w:rPr>
              <w:t>洗衣用水</w:t>
            </w:r>
          </w:p>
          <w:p w14:paraId="52FBEC90">
            <w:pPr>
              <w:keepNext w:val="0"/>
              <w:keepLines w:val="0"/>
              <w:widowControl/>
              <w:suppressLineNumbers w:val="0"/>
              <w:spacing w:before="0" w:beforeAutospacing="0" w:after="0" w:afterAutospacing="0" w:line="360" w:lineRule="auto"/>
              <w:ind w:left="0" w:right="0" w:firstLine="480" w:firstLineChars="200"/>
              <w:rPr>
                <w:rFonts w:hint="default"/>
                <w:highlight w:val="none"/>
              </w:rPr>
            </w:pPr>
            <w:r>
              <w:rPr>
                <w:rFonts w:hint="default"/>
                <w:color w:val="000000"/>
                <w:kern w:val="0"/>
                <w:highlight w:val="none"/>
              </w:rPr>
              <w:t>本项目</w:t>
            </w:r>
            <w:r>
              <w:rPr>
                <w:rFonts w:hint="eastAsia"/>
                <w:color w:val="000000"/>
                <w:kern w:val="0"/>
                <w:highlight w:val="none"/>
                <w:lang w:val="en-US" w:eastAsia="zh-CN"/>
              </w:rPr>
              <w:t>每日对动物进行喂养及开展实验活动，操作完成后，需对防护服进行清洗、灭菌。本项目预计每天防护服清洗量约10kg。参照《建筑给水排水设计规范》（GB50015-2019）中表3.2.2公共建筑生活用水定额，本环评以80L/kg干衣、排污系数以0.9计，则洗衣用水量为292t</w:t>
            </w:r>
            <w:r>
              <w:rPr>
                <w:rFonts w:hint="default"/>
                <w:color w:val="000000"/>
                <w:kern w:val="0"/>
                <w:highlight w:val="none"/>
              </w:rPr>
              <w:t>/a</w:t>
            </w:r>
            <w:r>
              <w:rPr>
                <w:rFonts w:hint="eastAsia"/>
                <w:color w:val="000000"/>
                <w:kern w:val="0"/>
                <w:highlight w:val="none"/>
                <w:lang w:eastAsia="zh-CN"/>
              </w:rPr>
              <w:t>，</w:t>
            </w:r>
            <w:r>
              <w:rPr>
                <w:rFonts w:hint="eastAsia"/>
                <w:color w:val="000000"/>
                <w:kern w:val="0"/>
                <w:highlight w:val="none"/>
                <w:lang w:val="en-US" w:eastAsia="zh-CN"/>
              </w:rPr>
              <w:t>洗衣废水产生量为262.8m</w:t>
            </w:r>
            <w:r>
              <w:rPr>
                <w:rFonts w:hint="eastAsia"/>
                <w:color w:val="000000"/>
                <w:kern w:val="0"/>
                <w:highlight w:val="none"/>
                <w:vertAlign w:val="superscript"/>
                <w:lang w:val="en-US" w:eastAsia="zh-CN"/>
              </w:rPr>
              <w:t>3</w:t>
            </w:r>
            <w:r>
              <w:rPr>
                <w:rFonts w:hint="default"/>
                <w:color w:val="000000"/>
                <w:kern w:val="0"/>
                <w:highlight w:val="none"/>
              </w:rPr>
              <w:t>/a。</w:t>
            </w:r>
          </w:p>
          <w:p w14:paraId="2553C86D">
            <w:pPr>
              <w:pStyle w:val="122"/>
              <w:keepNext w:val="0"/>
              <w:keepLines w:val="0"/>
              <w:suppressLineNumbers w:val="0"/>
              <w:spacing w:before="0" w:beforeAutospacing="0" w:after="0" w:afterAutospacing="0"/>
              <w:ind w:left="0" w:right="0"/>
              <w:rPr>
                <w:rFonts w:hint="default"/>
                <w:highlight w:val="none"/>
              </w:rPr>
            </w:pPr>
            <w:r>
              <w:rPr>
                <w:rFonts w:hint="eastAsia" w:ascii="宋体" w:hAnsi="宋体" w:cs="宋体"/>
                <w:highlight w:val="none"/>
              </w:rPr>
              <w:t>④</w:t>
            </w:r>
            <w:r>
              <w:rPr>
                <w:rFonts w:hint="default"/>
                <w:highlight w:val="none"/>
              </w:rPr>
              <w:t>实验用水</w:t>
            </w:r>
          </w:p>
          <w:p w14:paraId="19DE3648">
            <w:pPr>
              <w:pStyle w:val="122"/>
              <w:keepNext w:val="0"/>
              <w:keepLines w:val="0"/>
              <w:suppressLineNumbers w:val="0"/>
              <w:spacing w:before="0" w:beforeAutospacing="0" w:after="0" w:afterAutospacing="0"/>
              <w:ind w:left="0" w:right="0"/>
              <w:rPr>
                <w:rFonts w:hint="default"/>
                <w:highlight w:val="none"/>
              </w:rPr>
            </w:pPr>
            <w:r>
              <w:rPr>
                <w:rFonts w:hint="eastAsia"/>
                <w:highlight w:val="none"/>
              </w:rPr>
              <w:t>实验</w:t>
            </w:r>
            <w:r>
              <w:rPr>
                <w:rFonts w:hint="default"/>
                <w:highlight w:val="none"/>
              </w:rPr>
              <w:t>过程涉及</w:t>
            </w:r>
            <w:r>
              <w:rPr>
                <w:rFonts w:hint="eastAsia"/>
                <w:highlight w:val="none"/>
              </w:rPr>
              <w:t>纯水</w:t>
            </w:r>
            <w:r>
              <w:rPr>
                <w:rFonts w:hint="default"/>
                <w:highlight w:val="none"/>
              </w:rPr>
              <w:t>使用节点包括</w:t>
            </w:r>
            <w:r>
              <w:rPr>
                <w:rFonts w:hint="eastAsia"/>
                <w:highlight w:val="none"/>
              </w:rPr>
              <w:t>试剂</w:t>
            </w:r>
            <w:r>
              <w:rPr>
                <w:rFonts w:hint="default"/>
                <w:highlight w:val="none"/>
              </w:rPr>
              <w:t>配置</w:t>
            </w:r>
            <w:r>
              <w:rPr>
                <w:rFonts w:hint="eastAsia"/>
                <w:highlight w:val="none"/>
              </w:rPr>
              <w:t>用水</w:t>
            </w:r>
            <w:r>
              <w:rPr>
                <w:rFonts w:hint="default"/>
                <w:highlight w:val="none"/>
              </w:rPr>
              <w:t>、</w:t>
            </w:r>
            <w:r>
              <w:rPr>
                <w:rFonts w:hint="eastAsia"/>
                <w:highlight w:val="none"/>
                <w:lang w:val="en-US" w:eastAsia="zh-CN"/>
              </w:rPr>
              <w:t>实验设备</w:t>
            </w:r>
            <w:r>
              <w:rPr>
                <w:rFonts w:hint="eastAsia"/>
                <w:highlight w:val="none"/>
              </w:rPr>
              <w:t>最后</w:t>
            </w:r>
            <w:r>
              <w:rPr>
                <w:rFonts w:hint="default"/>
                <w:highlight w:val="none"/>
              </w:rPr>
              <w:t>一道清洗</w:t>
            </w:r>
            <w:r>
              <w:rPr>
                <w:rFonts w:hint="eastAsia"/>
                <w:highlight w:val="none"/>
              </w:rPr>
              <w:t>用水</w:t>
            </w:r>
            <w:r>
              <w:rPr>
                <w:rFonts w:hint="default"/>
                <w:highlight w:val="none"/>
              </w:rPr>
              <w:t>、手术台</w:t>
            </w:r>
            <w:r>
              <w:rPr>
                <w:rFonts w:hint="eastAsia"/>
                <w:highlight w:val="none"/>
              </w:rPr>
              <w:t>用水</w:t>
            </w:r>
            <w:r>
              <w:rPr>
                <w:rFonts w:hint="default"/>
                <w:highlight w:val="none"/>
              </w:rPr>
              <w:t>等</w:t>
            </w:r>
            <w:r>
              <w:rPr>
                <w:rFonts w:hint="eastAsia"/>
                <w:highlight w:val="none"/>
              </w:rPr>
              <w:t>。根据</w:t>
            </w:r>
            <w:r>
              <w:rPr>
                <w:rFonts w:hint="default"/>
                <w:highlight w:val="none"/>
              </w:rPr>
              <w:t>设计资料，</w:t>
            </w:r>
            <w:r>
              <w:rPr>
                <w:rFonts w:hint="eastAsia"/>
                <w:highlight w:val="none"/>
              </w:rPr>
              <w:t>实验试剂</w:t>
            </w:r>
            <w:r>
              <w:rPr>
                <w:rFonts w:hint="default"/>
                <w:highlight w:val="none"/>
              </w:rPr>
              <w:t>配置量较小，</w:t>
            </w:r>
            <w:r>
              <w:rPr>
                <w:rFonts w:hint="eastAsia"/>
                <w:highlight w:val="none"/>
              </w:rPr>
              <w:t>约0.</w:t>
            </w:r>
            <w:r>
              <w:rPr>
                <w:rFonts w:hint="default"/>
                <w:highlight w:val="none"/>
              </w:rPr>
              <w:t>1t/d、</w:t>
            </w:r>
            <w:r>
              <w:rPr>
                <w:rFonts w:hint="eastAsia"/>
                <w:highlight w:val="none"/>
              </w:rPr>
              <w:t>手术</w:t>
            </w:r>
            <w:r>
              <w:rPr>
                <w:rFonts w:hint="default"/>
                <w:highlight w:val="none"/>
              </w:rPr>
              <w:t>台用水约</w:t>
            </w:r>
            <w:r>
              <w:rPr>
                <w:rFonts w:hint="eastAsia"/>
                <w:highlight w:val="none"/>
              </w:rPr>
              <w:t>0.7</w:t>
            </w:r>
            <w:r>
              <w:rPr>
                <w:rFonts w:hint="default"/>
                <w:highlight w:val="none"/>
              </w:rPr>
              <w:t>t/d</w:t>
            </w:r>
            <w:r>
              <w:rPr>
                <w:rFonts w:hint="eastAsia"/>
                <w:highlight w:val="none"/>
                <w:lang w:eastAsia="zh-CN"/>
              </w:rPr>
              <w:t>、</w:t>
            </w:r>
            <w:r>
              <w:rPr>
                <w:rFonts w:hint="eastAsia"/>
                <w:highlight w:val="none"/>
                <w:lang w:val="en-US" w:eastAsia="zh-CN"/>
              </w:rPr>
              <w:t>实验设备</w:t>
            </w:r>
            <w:r>
              <w:rPr>
                <w:rFonts w:hint="eastAsia"/>
                <w:highlight w:val="none"/>
              </w:rPr>
              <w:t>最后</w:t>
            </w:r>
            <w:r>
              <w:rPr>
                <w:rFonts w:hint="default"/>
                <w:highlight w:val="none"/>
              </w:rPr>
              <w:t>一道清洗用量约</w:t>
            </w:r>
            <w:r>
              <w:rPr>
                <w:rFonts w:hint="eastAsia"/>
                <w:highlight w:val="none"/>
              </w:rPr>
              <w:t>1</w:t>
            </w:r>
            <w:r>
              <w:rPr>
                <w:rFonts w:hint="default"/>
                <w:highlight w:val="none"/>
              </w:rPr>
              <w:t>t/d</w:t>
            </w:r>
            <w:r>
              <w:rPr>
                <w:rFonts w:hint="eastAsia"/>
                <w:highlight w:val="none"/>
              </w:rPr>
              <w:t>。则</w:t>
            </w:r>
            <w:r>
              <w:rPr>
                <w:rFonts w:hint="default"/>
                <w:highlight w:val="none"/>
              </w:rPr>
              <w:t>合计纯水用量约</w:t>
            </w:r>
            <w:r>
              <w:rPr>
                <w:rFonts w:hint="eastAsia"/>
                <w:highlight w:val="none"/>
                <w:lang w:val="en-US" w:eastAsia="zh-CN"/>
              </w:rPr>
              <w:t>1</w:t>
            </w:r>
            <w:r>
              <w:rPr>
                <w:rFonts w:hint="default"/>
                <w:highlight w:val="none"/>
              </w:rPr>
              <w:t>.</w:t>
            </w:r>
            <w:r>
              <w:rPr>
                <w:rFonts w:hint="eastAsia"/>
                <w:highlight w:val="none"/>
                <w:lang w:val="en-US" w:eastAsia="zh-CN"/>
              </w:rPr>
              <w:t>8</w:t>
            </w:r>
            <w:r>
              <w:rPr>
                <w:rFonts w:hint="default"/>
                <w:highlight w:val="none"/>
              </w:rPr>
              <w:t>t/d</w:t>
            </w:r>
            <w:r>
              <w:rPr>
                <w:rFonts w:hint="eastAsia"/>
                <w:highlight w:val="none"/>
              </w:rPr>
              <w:t>（</w:t>
            </w:r>
            <w:r>
              <w:rPr>
                <w:rFonts w:hint="eastAsia"/>
                <w:highlight w:val="none"/>
                <w:lang w:val="en-US" w:eastAsia="zh-CN"/>
              </w:rPr>
              <w:t>46</w:t>
            </w:r>
            <w:r>
              <w:rPr>
                <w:rFonts w:hint="default"/>
                <w:highlight w:val="none"/>
              </w:rPr>
              <w:t>8t/a</w:t>
            </w:r>
            <w:r>
              <w:rPr>
                <w:rFonts w:hint="eastAsia"/>
                <w:highlight w:val="none"/>
              </w:rPr>
              <w:t>）</w:t>
            </w:r>
            <w:r>
              <w:rPr>
                <w:rFonts w:hint="eastAsia"/>
                <w:highlight w:val="none"/>
                <w:lang w:eastAsia="zh-CN"/>
              </w:rPr>
              <w:t>；</w:t>
            </w:r>
            <w:r>
              <w:rPr>
                <w:rFonts w:hint="eastAsia"/>
                <w:highlight w:val="none"/>
              </w:rPr>
              <w:t>此外，</w:t>
            </w:r>
            <w:r>
              <w:rPr>
                <w:rFonts w:hint="eastAsia"/>
                <w:highlight w:val="none"/>
                <w:lang w:val="en-US" w:eastAsia="zh-CN"/>
              </w:rPr>
              <w:t>实验设备第一、二道清洗用水</w:t>
            </w:r>
            <w:r>
              <w:rPr>
                <w:rFonts w:hint="default"/>
                <w:highlight w:val="none"/>
              </w:rPr>
              <w:t>主要为自来水，用水量约12t/d</w:t>
            </w:r>
            <w:r>
              <w:rPr>
                <w:rFonts w:hint="eastAsia"/>
                <w:highlight w:val="none"/>
              </w:rPr>
              <w:t>（3120</w:t>
            </w:r>
            <w:r>
              <w:rPr>
                <w:rFonts w:hint="default"/>
                <w:highlight w:val="none"/>
              </w:rPr>
              <w:t>t/a</w:t>
            </w:r>
            <w:r>
              <w:rPr>
                <w:rFonts w:hint="eastAsia"/>
                <w:highlight w:val="none"/>
              </w:rPr>
              <w:t>），其中</w:t>
            </w:r>
            <w:r>
              <w:rPr>
                <w:rFonts w:hint="eastAsia"/>
                <w:highlight w:val="none"/>
                <w:lang w:val="en-US" w:eastAsia="zh-CN"/>
              </w:rPr>
              <w:t>第一</w:t>
            </w:r>
            <w:r>
              <w:rPr>
                <w:rFonts w:hint="default"/>
                <w:highlight w:val="none"/>
              </w:rPr>
              <w:t>道清洗用水1.0m</w:t>
            </w:r>
            <w:r>
              <w:rPr>
                <w:rFonts w:hint="default"/>
                <w:highlight w:val="none"/>
                <w:vertAlign w:val="superscript"/>
              </w:rPr>
              <w:t>3</w:t>
            </w:r>
            <w:r>
              <w:rPr>
                <w:rFonts w:hint="default"/>
                <w:highlight w:val="none"/>
              </w:rPr>
              <w:t>/d</w:t>
            </w:r>
            <w:r>
              <w:rPr>
                <w:rFonts w:hint="eastAsia"/>
                <w:highlight w:val="none"/>
              </w:rPr>
              <w:t>，</w:t>
            </w:r>
            <w:r>
              <w:rPr>
                <w:rFonts w:hint="eastAsia"/>
                <w:highlight w:val="none"/>
                <w:lang w:val="en-US" w:eastAsia="zh-CN"/>
              </w:rPr>
              <w:t>第二</w:t>
            </w:r>
            <w:r>
              <w:rPr>
                <w:rFonts w:hint="default"/>
                <w:highlight w:val="none"/>
              </w:rPr>
              <w:t>道</w:t>
            </w:r>
            <w:r>
              <w:rPr>
                <w:rFonts w:hint="eastAsia"/>
                <w:highlight w:val="none"/>
              </w:rPr>
              <w:t>清洗</w:t>
            </w:r>
            <w:r>
              <w:rPr>
                <w:rFonts w:hint="default"/>
                <w:highlight w:val="none"/>
              </w:rPr>
              <w:t>用水11.0m</w:t>
            </w:r>
            <w:r>
              <w:rPr>
                <w:rFonts w:hint="default"/>
                <w:highlight w:val="none"/>
                <w:vertAlign w:val="superscript"/>
              </w:rPr>
              <w:t>3</w:t>
            </w:r>
            <w:r>
              <w:rPr>
                <w:rFonts w:hint="default"/>
                <w:highlight w:val="none"/>
              </w:rPr>
              <w:t>/d</w:t>
            </w:r>
            <w:r>
              <w:rPr>
                <w:rFonts w:hint="eastAsia"/>
                <w:highlight w:val="none"/>
              </w:rPr>
              <w:t>。手术</w:t>
            </w:r>
            <w:r>
              <w:rPr>
                <w:rFonts w:hint="default"/>
                <w:highlight w:val="none"/>
              </w:rPr>
              <w:t>台用水</w:t>
            </w:r>
            <w:r>
              <w:rPr>
                <w:rFonts w:hint="eastAsia"/>
                <w:highlight w:val="none"/>
                <w:lang w:val="en-US" w:eastAsia="zh-CN"/>
              </w:rPr>
              <w:t>以及清洗用水</w:t>
            </w:r>
            <w:r>
              <w:rPr>
                <w:rFonts w:hint="eastAsia"/>
                <w:color w:val="000000"/>
                <w:kern w:val="0"/>
                <w:highlight w:val="none"/>
                <w:lang w:val="en-US" w:eastAsia="zh-CN"/>
              </w:rPr>
              <w:t>排污系数以0.9计。</w:t>
            </w:r>
          </w:p>
          <w:p w14:paraId="4BB46EB8">
            <w:pPr>
              <w:keepNext w:val="0"/>
              <w:keepLines w:val="0"/>
              <w:suppressLineNumbers w:val="0"/>
              <w:adjustRightInd w:val="0"/>
              <w:snapToGrid w:val="0"/>
              <w:spacing w:before="0" w:beforeAutospacing="0" w:after="0" w:afterAutospacing="0" w:line="360" w:lineRule="auto"/>
              <w:ind w:left="0" w:right="0" w:firstLine="480" w:firstLineChars="200"/>
              <w:rPr>
                <w:rFonts w:hint="eastAsia" w:eastAsia="宋体"/>
                <w:color w:val="000000"/>
                <w:kern w:val="0"/>
                <w:sz w:val="24"/>
                <w:szCs w:val="24"/>
                <w:highlight w:val="none"/>
                <w:lang w:eastAsia="zh-CN"/>
              </w:rPr>
            </w:pPr>
            <w:r>
              <w:rPr>
                <w:rFonts w:hint="eastAsia"/>
                <w:highlight w:val="none"/>
              </w:rPr>
              <w:t>实验</w:t>
            </w:r>
            <w:r>
              <w:rPr>
                <w:rFonts w:hint="default"/>
                <w:highlight w:val="none"/>
              </w:rPr>
              <w:t>过程</w:t>
            </w:r>
            <w:r>
              <w:rPr>
                <w:rFonts w:hint="eastAsia"/>
                <w:highlight w:val="none"/>
              </w:rPr>
              <w:t>试剂配置</w:t>
            </w:r>
            <w:r>
              <w:rPr>
                <w:rFonts w:hint="eastAsia"/>
                <w:highlight w:val="none"/>
                <w:lang w:val="en-US" w:eastAsia="zh-CN"/>
              </w:rPr>
              <w:t>用水</w:t>
            </w:r>
            <w:r>
              <w:rPr>
                <w:rFonts w:hint="default"/>
                <w:highlight w:val="none"/>
              </w:rPr>
              <w:t>和</w:t>
            </w:r>
            <w:r>
              <w:rPr>
                <w:rFonts w:hint="eastAsia"/>
                <w:highlight w:val="none"/>
                <w:lang w:val="en-US" w:eastAsia="zh-CN"/>
              </w:rPr>
              <w:t>实验设备第一</w:t>
            </w:r>
            <w:r>
              <w:rPr>
                <w:rFonts w:hint="default"/>
                <w:highlight w:val="none"/>
              </w:rPr>
              <w:t>道清洗</w:t>
            </w:r>
            <w:r>
              <w:rPr>
                <w:rFonts w:hint="eastAsia"/>
                <w:highlight w:val="none"/>
                <w:lang w:val="en-US" w:eastAsia="zh-CN"/>
              </w:rPr>
              <w:t>废水</w:t>
            </w:r>
            <w:r>
              <w:rPr>
                <w:rFonts w:hint="eastAsia"/>
                <w:highlight w:val="none"/>
              </w:rPr>
              <w:t>（</w:t>
            </w:r>
            <w:r>
              <w:rPr>
                <w:rFonts w:hint="eastAsia"/>
                <w:highlight w:val="none"/>
                <w:lang w:val="en-US" w:eastAsia="zh-CN"/>
              </w:rPr>
              <w:t>合计为260</w:t>
            </w:r>
            <w:r>
              <w:rPr>
                <w:rFonts w:hint="default"/>
                <w:highlight w:val="none"/>
              </w:rPr>
              <w:t>t/a</w:t>
            </w:r>
            <w:r>
              <w:rPr>
                <w:rFonts w:hint="eastAsia"/>
                <w:highlight w:val="none"/>
              </w:rPr>
              <w:t>）均</w:t>
            </w:r>
            <w:r>
              <w:rPr>
                <w:rFonts w:hint="eastAsia"/>
                <w:highlight w:val="none"/>
                <w:lang w:val="en-US" w:eastAsia="zh-CN"/>
              </w:rPr>
              <w:t>作为危废处置</w:t>
            </w:r>
            <w:r>
              <w:rPr>
                <w:rFonts w:hint="default"/>
                <w:highlight w:val="none"/>
              </w:rPr>
              <w:t>，其他进入污水处理站</w:t>
            </w:r>
            <w:r>
              <w:rPr>
                <w:rFonts w:hint="eastAsia"/>
                <w:highlight w:val="none"/>
                <w:lang w:val="en-US" w:eastAsia="zh-CN"/>
              </w:rPr>
              <w:t>的废</w:t>
            </w:r>
            <w:r>
              <w:rPr>
                <w:rFonts w:hint="default"/>
                <w:highlight w:val="none"/>
              </w:rPr>
              <w:t>水量约</w:t>
            </w:r>
            <w:r>
              <w:rPr>
                <w:rFonts w:hint="eastAsia"/>
                <w:highlight w:val="none"/>
                <w:lang w:val="en-US" w:eastAsia="zh-CN"/>
              </w:rPr>
              <w:t>11</w:t>
            </w:r>
            <w:r>
              <w:rPr>
                <w:rFonts w:hint="eastAsia"/>
                <w:highlight w:val="none"/>
              </w:rPr>
              <w:t>.</w:t>
            </w:r>
            <w:r>
              <w:rPr>
                <w:rFonts w:hint="eastAsia"/>
                <w:highlight w:val="none"/>
                <w:lang w:val="en-US" w:eastAsia="zh-CN"/>
              </w:rPr>
              <w:t>43</w:t>
            </w:r>
            <w:r>
              <w:rPr>
                <w:rFonts w:hint="default"/>
                <w:highlight w:val="none"/>
              </w:rPr>
              <w:t>t/d</w:t>
            </w:r>
            <w:r>
              <w:rPr>
                <w:rFonts w:hint="eastAsia"/>
                <w:highlight w:val="none"/>
              </w:rPr>
              <w:t>（</w:t>
            </w:r>
            <w:r>
              <w:rPr>
                <w:rFonts w:hint="eastAsia"/>
                <w:highlight w:val="none"/>
                <w:lang w:val="en-US" w:eastAsia="zh-CN"/>
              </w:rPr>
              <w:t>2971.8</w:t>
            </w:r>
            <w:r>
              <w:rPr>
                <w:rFonts w:hint="default"/>
                <w:highlight w:val="none"/>
              </w:rPr>
              <w:t>t/a</w:t>
            </w:r>
            <w:r>
              <w:rPr>
                <w:rFonts w:hint="eastAsia"/>
                <w:highlight w:val="none"/>
              </w:rPr>
              <w:t>）</w:t>
            </w:r>
            <w:r>
              <w:rPr>
                <w:rFonts w:hint="eastAsia"/>
                <w:highlight w:val="none"/>
                <w:lang w:eastAsia="zh-CN"/>
              </w:rPr>
              <w:t>。</w:t>
            </w:r>
          </w:p>
          <w:p w14:paraId="18643FAA">
            <w:pPr>
              <w:pStyle w:val="122"/>
              <w:keepNext w:val="0"/>
              <w:keepLines w:val="0"/>
              <w:suppressLineNumbers w:val="0"/>
              <w:spacing w:before="0" w:beforeAutospacing="0" w:after="0" w:afterAutospacing="0"/>
              <w:ind w:left="0" w:right="0"/>
              <w:rPr>
                <w:rFonts w:hint="default"/>
                <w:b/>
                <w:bCs w:val="0"/>
                <w:highlight w:val="none"/>
              </w:rPr>
            </w:pPr>
            <w:r>
              <w:rPr>
                <w:rFonts w:hint="eastAsia"/>
                <w:b/>
                <w:bCs w:val="0"/>
                <w:highlight w:val="none"/>
              </w:rPr>
              <w:t>公辅工程</w:t>
            </w:r>
            <w:r>
              <w:rPr>
                <w:rFonts w:hint="default"/>
                <w:b/>
                <w:bCs w:val="0"/>
                <w:highlight w:val="none"/>
              </w:rPr>
              <w:t>用水</w:t>
            </w:r>
          </w:p>
          <w:p w14:paraId="569D3C0F">
            <w:pPr>
              <w:pStyle w:val="122"/>
              <w:keepNext w:val="0"/>
              <w:keepLines w:val="0"/>
              <w:suppressLineNumbers w:val="0"/>
              <w:spacing w:before="0" w:beforeAutospacing="0" w:after="0" w:afterAutospacing="0"/>
              <w:ind w:left="0" w:right="0"/>
              <w:rPr>
                <w:rFonts w:hint="default"/>
                <w:highlight w:val="none"/>
              </w:rPr>
            </w:pPr>
            <w:r>
              <w:rPr>
                <w:rFonts w:hint="eastAsia"/>
                <w:highlight w:val="none"/>
              </w:rPr>
              <w:t>结合上述</w:t>
            </w:r>
            <w:r>
              <w:rPr>
                <w:rFonts w:hint="default"/>
                <w:highlight w:val="none"/>
              </w:rPr>
              <w:t>工段用水情况，本项目设置纯水制备</w:t>
            </w:r>
            <w:r>
              <w:rPr>
                <w:rFonts w:hint="eastAsia"/>
                <w:highlight w:val="none"/>
              </w:rPr>
              <w:t>装置</w:t>
            </w:r>
            <w:r>
              <w:rPr>
                <w:rFonts w:hint="default"/>
                <w:highlight w:val="none"/>
              </w:rPr>
              <w:t>和软水制备</w:t>
            </w:r>
            <w:r>
              <w:rPr>
                <w:rFonts w:hint="eastAsia"/>
                <w:highlight w:val="none"/>
              </w:rPr>
              <w:t>装置</w:t>
            </w:r>
            <w:r>
              <w:rPr>
                <w:rFonts w:hint="default"/>
                <w:highlight w:val="none"/>
              </w:rPr>
              <w:t>。</w:t>
            </w:r>
          </w:p>
          <w:p w14:paraId="4ED0D186">
            <w:pPr>
              <w:pStyle w:val="122"/>
              <w:keepNext w:val="0"/>
              <w:keepLines w:val="0"/>
              <w:suppressLineNumbers w:val="0"/>
              <w:spacing w:before="0" w:beforeAutospacing="0" w:after="0" w:afterAutospacing="0"/>
              <w:ind w:left="0" w:right="0"/>
              <w:rPr>
                <w:rFonts w:hint="default"/>
                <w:highlight w:val="none"/>
              </w:rPr>
            </w:pPr>
            <w:r>
              <w:rPr>
                <w:rFonts w:hint="eastAsia"/>
                <w:highlight w:val="none"/>
              </w:rPr>
              <w:t>①</w:t>
            </w:r>
            <w:r>
              <w:rPr>
                <w:rFonts w:hint="default"/>
                <w:highlight w:val="none"/>
              </w:rPr>
              <w:t>纯水制备</w:t>
            </w:r>
          </w:p>
          <w:p w14:paraId="1EDE5DF3">
            <w:pPr>
              <w:pStyle w:val="122"/>
              <w:keepNext w:val="0"/>
              <w:keepLines w:val="0"/>
              <w:suppressLineNumbers w:val="0"/>
              <w:spacing w:before="0" w:beforeAutospacing="0" w:after="0" w:afterAutospacing="0"/>
              <w:ind w:left="0" w:right="0"/>
              <w:rPr>
                <w:rFonts w:hint="default"/>
                <w:highlight w:val="none"/>
              </w:rPr>
            </w:pPr>
            <w:r>
              <w:rPr>
                <w:rFonts w:hint="eastAsia"/>
                <w:highlight w:val="none"/>
              </w:rPr>
              <w:t>根据</w:t>
            </w:r>
            <w:r>
              <w:rPr>
                <w:rFonts w:hint="default"/>
                <w:highlight w:val="none"/>
              </w:rPr>
              <w:t>分析，本项目纯水总用量约1</w:t>
            </w:r>
            <w:r>
              <w:rPr>
                <w:rFonts w:hint="eastAsia"/>
                <w:highlight w:val="none"/>
                <w:lang w:val="en-US" w:eastAsia="zh-CN"/>
              </w:rPr>
              <w:t>928</w:t>
            </w:r>
            <w:r>
              <w:rPr>
                <w:rFonts w:hint="default"/>
                <w:highlight w:val="none"/>
              </w:rPr>
              <w:t>t/a</w:t>
            </w:r>
            <w:r>
              <w:rPr>
                <w:rFonts w:hint="eastAsia"/>
                <w:highlight w:val="none"/>
              </w:rPr>
              <w:t>，</w:t>
            </w:r>
            <w:r>
              <w:rPr>
                <w:rFonts w:hint="default"/>
                <w:highlight w:val="none"/>
              </w:rPr>
              <w:t>纯水制备率为</w:t>
            </w:r>
            <w:r>
              <w:rPr>
                <w:rFonts w:hint="eastAsia"/>
                <w:highlight w:val="none"/>
              </w:rPr>
              <w:t>70</w:t>
            </w:r>
            <w:r>
              <w:rPr>
                <w:rFonts w:hint="default"/>
                <w:highlight w:val="none"/>
              </w:rPr>
              <w:t>%，则原水用量约27</w:t>
            </w:r>
            <w:r>
              <w:rPr>
                <w:rFonts w:hint="eastAsia"/>
                <w:highlight w:val="none"/>
                <w:lang w:val="en-US" w:eastAsia="zh-CN"/>
              </w:rPr>
              <w:t>54.3</w:t>
            </w:r>
            <w:r>
              <w:rPr>
                <w:rFonts w:hint="default"/>
                <w:highlight w:val="none"/>
              </w:rPr>
              <w:t>t/a</w:t>
            </w:r>
            <w:r>
              <w:rPr>
                <w:rFonts w:hint="eastAsia"/>
                <w:highlight w:val="none"/>
              </w:rPr>
              <w:t>，</w:t>
            </w:r>
            <w:r>
              <w:rPr>
                <w:rFonts w:hint="eastAsia"/>
                <w:highlight w:val="none"/>
                <w:lang w:val="en-US" w:eastAsia="zh-CN"/>
              </w:rPr>
              <w:t>则纯水制备浓水产生量为826.3</w:t>
            </w:r>
            <w:r>
              <w:rPr>
                <w:rFonts w:hint="default"/>
                <w:highlight w:val="none"/>
              </w:rPr>
              <w:t>t/a</w:t>
            </w:r>
            <w:r>
              <w:rPr>
                <w:rFonts w:hint="eastAsia"/>
                <w:highlight w:val="none"/>
                <w:lang w:eastAsia="zh-CN"/>
              </w:rPr>
              <w:t>；</w:t>
            </w:r>
            <w:r>
              <w:rPr>
                <w:rFonts w:hint="eastAsia"/>
                <w:highlight w:val="none"/>
              </w:rPr>
              <w:t>反冲洗</w:t>
            </w:r>
            <w:r>
              <w:rPr>
                <w:rFonts w:hint="eastAsia"/>
                <w:highlight w:val="none"/>
                <w:lang w:val="en-US" w:eastAsia="zh-CN"/>
              </w:rPr>
              <w:t>用水</w:t>
            </w:r>
            <w:r>
              <w:rPr>
                <w:rFonts w:hint="default"/>
                <w:highlight w:val="none"/>
              </w:rPr>
              <w:t>约为原水</w:t>
            </w:r>
            <w:r>
              <w:rPr>
                <w:rFonts w:hint="eastAsia"/>
                <w:highlight w:val="none"/>
              </w:rPr>
              <w:t>量</w:t>
            </w:r>
            <w:r>
              <w:rPr>
                <w:rFonts w:hint="default"/>
                <w:highlight w:val="none"/>
              </w:rPr>
              <w:t>的6%，则反冲洗用水量约16</w:t>
            </w:r>
            <w:r>
              <w:rPr>
                <w:rFonts w:hint="eastAsia"/>
                <w:highlight w:val="none"/>
                <w:lang w:val="en-US" w:eastAsia="zh-CN"/>
              </w:rPr>
              <w:t>5.3</w:t>
            </w:r>
            <w:r>
              <w:rPr>
                <w:rFonts w:hint="default"/>
                <w:highlight w:val="none"/>
              </w:rPr>
              <w:t>t/a</w:t>
            </w:r>
            <w:r>
              <w:rPr>
                <w:rFonts w:hint="eastAsia"/>
                <w:highlight w:val="none"/>
              </w:rPr>
              <w:t>，</w:t>
            </w:r>
            <w:r>
              <w:rPr>
                <w:rFonts w:hint="eastAsia"/>
                <w:color w:val="000000"/>
                <w:kern w:val="0"/>
                <w:highlight w:val="none"/>
                <w:lang w:val="en-US" w:eastAsia="zh-CN"/>
              </w:rPr>
              <w:t>排污系数以0.9计，则反冲洗废水产生量约为148.8</w:t>
            </w:r>
            <w:r>
              <w:rPr>
                <w:rFonts w:hint="default"/>
                <w:highlight w:val="none"/>
              </w:rPr>
              <w:t>t/a</w:t>
            </w:r>
            <w:r>
              <w:rPr>
                <w:rFonts w:hint="eastAsia"/>
                <w:highlight w:val="none"/>
                <w:lang w:eastAsia="zh-CN"/>
              </w:rPr>
              <w:t>，</w:t>
            </w:r>
            <w:r>
              <w:rPr>
                <w:rFonts w:hint="eastAsia"/>
                <w:highlight w:val="none"/>
                <w:lang w:val="en-US" w:eastAsia="zh-CN"/>
              </w:rPr>
              <w:t>纯水制备浓水和</w:t>
            </w:r>
            <w:r>
              <w:rPr>
                <w:rFonts w:hint="default"/>
                <w:highlight w:val="none"/>
              </w:rPr>
              <w:t>反冲洗废</w:t>
            </w:r>
            <w:r>
              <w:rPr>
                <w:rFonts w:hint="eastAsia"/>
                <w:color w:val="000000"/>
                <w:kern w:val="0"/>
                <w:highlight w:val="none"/>
                <w:lang w:val="en-US" w:eastAsia="zh-CN"/>
              </w:rPr>
              <w:t>水</w:t>
            </w:r>
            <w:r>
              <w:rPr>
                <w:rFonts w:hint="default"/>
                <w:highlight w:val="none"/>
              </w:rPr>
              <w:t>合计</w:t>
            </w:r>
            <w:r>
              <w:rPr>
                <w:rFonts w:hint="eastAsia"/>
                <w:color w:val="000000"/>
                <w:kern w:val="0"/>
                <w:highlight w:val="none"/>
                <w:lang w:val="en-US" w:eastAsia="zh-CN"/>
              </w:rPr>
              <w:t>产生量约为</w:t>
            </w:r>
            <w:r>
              <w:rPr>
                <w:rFonts w:hint="eastAsia"/>
                <w:highlight w:val="none"/>
              </w:rPr>
              <w:t>9</w:t>
            </w:r>
            <w:r>
              <w:rPr>
                <w:rFonts w:hint="eastAsia"/>
                <w:highlight w:val="none"/>
                <w:lang w:val="en-US" w:eastAsia="zh-CN"/>
              </w:rPr>
              <w:t>75.1</w:t>
            </w:r>
            <w:r>
              <w:rPr>
                <w:rFonts w:hint="default"/>
                <w:highlight w:val="none"/>
              </w:rPr>
              <w:t>t/a</w:t>
            </w:r>
            <w:r>
              <w:rPr>
                <w:rFonts w:hint="eastAsia"/>
                <w:highlight w:val="none"/>
              </w:rPr>
              <w:t>。</w:t>
            </w:r>
          </w:p>
          <w:p w14:paraId="0C134814">
            <w:pPr>
              <w:pStyle w:val="122"/>
              <w:keepNext w:val="0"/>
              <w:keepLines w:val="0"/>
              <w:suppressLineNumbers w:val="0"/>
              <w:spacing w:before="0" w:beforeAutospacing="0" w:after="0" w:afterAutospacing="0"/>
              <w:ind w:left="0" w:right="0"/>
              <w:rPr>
                <w:rFonts w:hint="default"/>
                <w:highlight w:val="none"/>
              </w:rPr>
            </w:pPr>
            <w:r>
              <w:rPr>
                <w:rFonts w:hint="eastAsia"/>
                <w:highlight w:val="none"/>
              </w:rPr>
              <w:t>②</w:t>
            </w:r>
            <w:r>
              <w:rPr>
                <w:rFonts w:hint="default"/>
                <w:highlight w:val="none"/>
              </w:rPr>
              <w:t>软水制备</w:t>
            </w:r>
          </w:p>
          <w:p w14:paraId="4FD0512A">
            <w:pPr>
              <w:pStyle w:val="122"/>
              <w:keepNext w:val="0"/>
              <w:keepLines w:val="0"/>
              <w:suppressLineNumbers w:val="0"/>
              <w:spacing w:before="0" w:beforeAutospacing="0" w:after="0" w:afterAutospacing="0"/>
              <w:ind w:left="0" w:right="0"/>
              <w:rPr>
                <w:rFonts w:hint="default"/>
                <w:highlight w:val="none"/>
              </w:rPr>
            </w:pPr>
            <w:r>
              <w:rPr>
                <w:rFonts w:hint="eastAsia"/>
                <w:highlight w:val="none"/>
              </w:rPr>
              <w:t>本</w:t>
            </w:r>
            <w:r>
              <w:rPr>
                <w:rFonts w:hint="default"/>
                <w:highlight w:val="none"/>
              </w:rPr>
              <w:t>项目</w:t>
            </w:r>
            <w:r>
              <w:rPr>
                <w:rFonts w:hint="eastAsia"/>
                <w:highlight w:val="none"/>
              </w:rPr>
              <w:t>灭菌</w:t>
            </w:r>
            <w:r>
              <w:rPr>
                <w:rFonts w:hint="default"/>
                <w:highlight w:val="none"/>
              </w:rPr>
              <w:t>锅用水主要使用软水，软水用量约</w:t>
            </w:r>
            <w:r>
              <w:rPr>
                <w:rFonts w:hint="eastAsia"/>
                <w:highlight w:val="none"/>
                <w:lang w:val="en-US" w:eastAsia="zh-CN"/>
              </w:rPr>
              <w:t>5200</w:t>
            </w:r>
            <w:r>
              <w:rPr>
                <w:rFonts w:hint="default"/>
                <w:highlight w:val="none"/>
              </w:rPr>
              <w:t>t/a</w:t>
            </w:r>
            <w:r>
              <w:rPr>
                <w:rFonts w:hint="eastAsia"/>
                <w:highlight w:val="none"/>
              </w:rPr>
              <w:t>，软水</w:t>
            </w:r>
            <w:r>
              <w:rPr>
                <w:rFonts w:hint="default"/>
                <w:highlight w:val="none"/>
              </w:rPr>
              <w:t>制备率为</w:t>
            </w:r>
            <w:r>
              <w:rPr>
                <w:rFonts w:hint="eastAsia"/>
                <w:highlight w:val="none"/>
              </w:rPr>
              <w:t>80</w:t>
            </w:r>
            <w:r>
              <w:rPr>
                <w:rFonts w:hint="default"/>
                <w:highlight w:val="none"/>
              </w:rPr>
              <w:t>%，则原水用量</w:t>
            </w:r>
            <w:r>
              <w:rPr>
                <w:rFonts w:hint="eastAsia"/>
                <w:highlight w:val="none"/>
                <w:lang w:val="en-US" w:eastAsia="zh-CN"/>
              </w:rPr>
              <w:t>650</w:t>
            </w:r>
            <w:r>
              <w:rPr>
                <w:rFonts w:hint="eastAsia"/>
                <w:highlight w:val="none"/>
              </w:rPr>
              <w:t>0</w:t>
            </w:r>
            <w:r>
              <w:rPr>
                <w:rFonts w:hint="default"/>
                <w:highlight w:val="none"/>
              </w:rPr>
              <w:t>t/a</w:t>
            </w:r>
            <w:r>
              <w:rPr>
                <w:rFonts w:hint="eastAsia"/>
                <w:highlight w:val="none"/>
              </w:rPr>
              <w:t>，</w:t>
            </w:r>
            <w:r>
              <w:rPr>
                <w:rFonts w:hint="default"/>
                <w:highlight w:val="none"/>
              </w:rPr>
              <w:t>产生</w:t>
            </w:r>
            <w:r>
              <w:rPr>
                <w:rFonts w:hint="eastAsia"/>
                <w:highlight w:val="none"/>
              </w:rPr>
              <w:t>浓水</w:t>
            </w:r>
            <w:r>
              <w:rPr>
                <w:rFonts w:hint="default"/>
                <w:highlight w:val="none"/>
              </w:rPr>
              <w:t>约</w:t>
            </w:r>
            <w:r>
              <w:rPr>
                <w:rFonts w:hint="eastAsia"/>
                <w:highlight w:val="none"/>
                <w:lang w:val="en-US" w:eastAsia="zh-CN"/>
              </w:rPr>
              <w:t>1300</w:t>
            </w:r>
            <w:r>
              <w:rPr>
                <w:rFonts w:hint="default"/>
                <w:highlight w:val="none"/>
              </w:rPr>
              <w:t>t/a</w:t>
            </w:r>
            <w:r>
              <w:rPr>
                <w:rFonts w:hint="eastAsia"/>
                <w:highlight w:val="none"/>
              </w:rPr>
              <w:t>。反冲洗</w:t>
            </w:r>
            <w:r>
              <w:rPr>
                <w:rFonts w:hint="default"/>
                <w:highlight w:val="none"/>
              </w:rPr>
              <w:t>用水量</w:t>
            </w:r>
            <w:r>
              <w:rPr>
                <w:rFonts w:hint="eastAsia"/>
                <w:highlight w:val="none"/>
              </w:rPr>
              <w:t>约</w:t>
            </w:r>
            <w:r>
              <w:rPr>
                <w:rFonts w:hint="default"/>
                <w:highlight w:val="none"/>
              </w:rPr>
              <w:t>为原水量</w:t>
            </w:r>
            <w:r>
              <w:rPr>
                <w:rFonts w:hint="eastAsia"/>
                <w:highlight w:val="none"/>
              </w:rPr>
              <w:t>3</w:t>
            </w:r>
            <w:r>
              <w:rPr>
                <w:rFonts w:hint="default"/>
                <w:highlight w:val="none"/>
              </w:rPr>
              <w:t>%</w:t>
            </w:r>
            <w:r>
              <w:rPr>
                <w:rFonts w:hint="eastAsia"/>
                <w:highlight w:val="none"/>
              </w:rPr>
              <w:t>，</w:t>
            </w:r>
            <w:r>
              <w:rPr>
                <w:rFonts w:hint="default"/>
                <w:highlight w:val="none"/>
              </w:rPr>
              <w:t>则</w:t>
            </w:r>
            <w:r>
              <w:rPr>
                <w:rFonts w:hint="eastAsia"/>
                <w:highlight w:val="none"/>
              </w:rPr>
              <w:t>反冲洗用水</w:t>
            </w:r>
            <w:r>
              <w:rPr>
                <w:rFonts w:hint="default"/>
                <w:highlight w:val="none"/>
              </w:rPr>
              <w:t>量</w:t>
            </w:r>
            <w:r>
              <w:rPr>
                <w:rFonts w:hint="eastAsia"/>
                <w:highlight w:val="none"/>
              </w:rPr>
              <w:t>为1</w:t>
            </w:r>
            <w:r>
              <w:rPr>
                <w:rFonts w:hint="eastAsia"/>
                <w:highlight w:val="none"/>
                <w:lang w:val="en-US" w:eastAsia="zh-CN"/>
              </w:rPr>
              <w:t>9</w:t>
            </w:r>
            <w:r>
              <w:rPr>
                <w:rFonts w:hint="eastAsia"/>
                <w:highlight w:val="none"/>
              </w:rPr>
              <w:t>5</w:t>
            </w:r>
            <w:r>
              <w:rPr>
                <w:rFonts w:hint="default"/>
                <w:highlight w:val="none"/>
              </w:rPr>
              <w:t>t/a</w:t>
            </w:r>
            <w:r>
              <w:rPr>
                <w:rFonts w:hint="eastAsia"/>
                <w:highlight w:val="none"/>
              </w:rPr>
              <w:t>，</w:t>
            </w:r>
            <w:r>
              <w:rPr>
                <w:rFonts w:hint="eastAsia"/>
                <w:color w:val="000000"/>
                <w:kern w:val="0"/>
                <w:highlight w:val="none"/>
                <w:lang w:val="en-US" w:eastAsia="zh-CN"/>
              </w:rPr>
              <w:t>排污系数以0.9计，则反冲洗废水产生量约为175.5</w:t>
            </w:r>
            <w:r>
              <w:rPr>
                <w:rFonts w:hint="default"/>
                <w:highlight w:val="none"/>
              </w:rPr>
              <w:t>t/a</w:t>
            </w:r>
            <w:r>
              <w:rPr>
                <w:rFonts w:hint="eastAsia"/>
                <w:highlight w:val="none"/>
              </w:rPr>
              <w:t>；</w:t>
            </w:r>
            <w:r>
              <w:rPr>
                <w:rFonts w:hint="default"/>
                <w:highlight w:val="none"/>
              </w:rPr>
              <w:t>软水制备合计用水</w:t>
            </w:r>
            <w:r>
              <w:rPr>
                <w:rFonts w:hint="eastAsia"/>
                <w:highlight w:val="none"/>
                <w:lang w:val="en-US" w:eastAsia="zh-CN"/>
              </w:rPr>
              <w:t>669</w:t>
            </w:r>
            <w:r>
              <w:rPr>
                <w:rFonts w:hint="eastAsia"/>
                <w:highlight w:val="none"/>
              </w:rPr>
              <w:t>5</w:t>
            </w:r>
            <w:r>
              <w:rPr>
                <w:rFonts w:hint="default"/>
                <w:highlight w:val="none"/>
              </w:rPr>
              <w:t>t/a</w:t>
            </w:r>
            <w:r>
              <w:rPr>
                <w:rFonts w:hint="eastAsia"/>
                <w:highlight w:val="none"/>
              </w:rPr>
              <w:t>，</w:t>
            </w:r>
            <w:r>
              <w:rPr>
                <w:rFonts w:hint="eastAsia"/>
                <w:highlight w:val="none"/>
                <w:lang w:val="en-US" w:eastAsia="zh-CN"/>
              </w:rPr>
              <w:t>纯水制备浓水和</w:t>
            </w:r>
            <w:r>
              <w:rPr>
                <w:rFonts w:hint="default"/>
                <w:highlight w:val="none"/>
              </w:rPr>
              <w:t>反冲洗废</w:t>
            </w:r>
            <w:r>
              <w:rPr>
                <w:rFonts w:hint="eastAsia"/>
                <w:color w:val="000000"/>
                <w:kern w:val="0"/>
                <w:highlight w:val="none"/>
                <w:lang w:val="en-US" w:eastAsia="zh-CN"/>
              </w:rPr>
              <w:t>水</w:t>
            </w:r>
            <w:r>
              <w:rPr>
                <w:rFonts w:hint="default"/>
                <w:highlight w:val="none"/>
              </w:rPr>
              <w:t>合计</w:t>
            </w:r>
            <w:r>
              <w:rPr>
                <w:rFonts w:hint="eastAsia"/>
                <w:color w:val="000000"/>
                <w:kern w:val="0"/>
                <w:highlight w:val="none"/>
                <w:lang w:val="en-US" w:eastAsia="zh-CN"/>
              </w:rPr>
              <w:t>产生量约为</w:t>
            </w:r>
            <w:r>
              <w:rPr>
                <w:rFonts w:hint="eastAsia"/>
                <w:highlight w:val="none"/>
              </w:rPr>
              <w:t>1</w:t>
            </w:r>
            <w:r>
              <w:rPr>
                <w:rFonts w:hint="eastAsia"/>
                <w:highlight w:val="none"/>
                <w:lang w:val="en-US" w:eastAsia="zh-CN"/>
              </w:rPr>
              <w:t>475.5</w:t>
            </w:r>
            <w:r>
              <w:rPr>
                <w:rFonts w:hint="default"/>
                <w:highlight w:val="none"/>
              </w:rPr>
              <w:t>t/a</w:t>
            </w:r>
            <w:r>
              <w:rPr>
                <w:rFonts w:hint="eastAsia"/>
                <w:highlight w:val="none"/>
              </w:rPr>
              <w:t>。</w:t>
            </w:r>
          </w:p>
          <w:p w14:paraId="099DAFFB">
            <w:pPr>
              <w:pStyle w:val="122"/>
              <w:keepNext w:val="0"/>
              <w:keepLines w:val="0"/>
              <w:suppressLineNumbers w:val="0"/>
              <w:spacing w:before="0" w:beforeAutospacing="0" w:after="0" w:afterAutospacing="0"/>
              <w:ind w:left="0" w:right="0"/>
              <w:rPr>
                <w:rFonts w:hint="default"/>
                <w:highlight w:val="none"/>
              </w:rPr>
            </w:pPr>
            <w:r>
              <w:rPr>
                <w:rFonts w:hint="eastAsia"/>
                <w:highlight w:val="none"/>
              </w:rPr>
              <w:t>③</w:t>
            </w:r>
            <w:r>
              <w:rPr>
                <w:rFonts w:hint="eastAsia"/>
                <w:highlight w:val="none"/>
                <w:lang w:val="en-US" w:eastAsia="zh-CN"/>
              </w:rPr>
              <w:t>废气</w:t>
            </w:r>
            <w:r>
              <w:rPr>
                <w:rFonts w:hint="eastAsia"/>
                <w:highlight w:val="none"/>
              </w:rPr>
              <w:t>喷淋废水</w:t>
            </w:r>
          </w:p>
          <w:p w14:paraId="7822C20D">
            <w:pPr>
              <w:pStyle w:val="122"/>
              <w:keepNext w:val="0"/>
              <w:keepLines w:val="0"/>
              <w:suppressLineNumbers w:val="0"/>
              <w:spacing w:before="0" w:beforeAutospacing="0" w:after="0" w:afterAutospacing="0"/>
              <w:ind w:left="0" w:right="0"/>
              <w:rPr>
                <w:rFonts w:hint="default"/>
                <w:highlight w:val="none"/>
              </w:rPr>
            </w:pPr>
            <w:r>
              <w:rPr>
                <w:rFonts w:hint="eastAsia"/>
                <w:highlight w:val="none"/>
              </w:rPr>
              <w:t>为去除动物饲养间异味，项目设置了</w:t>
            </w:r>
            <w:r>
              <w:rPr>
                <w:rFonts w:hint="eastAsia"/>
                <w:highlight w:val="none"/>
                <w:lang w:val="en-US" w:eastAsia="zh-CN"/>
              </w:rPr>
              <w:t>3</w:t>
            </w:r>
            <w:r>
              <w:rPr>
                <w:rFonts w:hint="eastAsia"/>
                <w:highlight w:val="none"/>
              </w:rPr>
              <w:t>套溶液空调自带喷淋除臭装置</w:t>
            </w:r>
            <w:r>
              <w:rPr>
                <w:rFonts w:hint="eastAsia"/>
                <w:highlight w:val="none"/>
                <w:lang w:val="en-US" w:eastAsia="zh-CN"/>
              </w:rPr>
              <w:t>和2套一体扰流喷淋除臭装置</w:t>
            </w:r>
            <w:r>
              <w:rPr>
                <w:rFonts w:hint="eastAsia"/>
                <w:highlight w:val="none"/>
              </w:rPr>
              <w:t>，根据设计资料，</w:t>
            </w:r>
            <w:r>
              <w:rPr>
                <w:rFonts w:hint="eastAsia"/>
                <w:highlight w:val="none"/>
                <w:lang w:val="en-US" w:eastAsia="zh-CN"/>
              </w:rPr>
              <w:t>这5</w:t>
            </w:r>
            <w:r>
              <w:rPr>
                <w:rFonts w:hint="eastAsia"/>
                <w:highlight w:val="none"/>
              </w:rPr>
              <w:t>套装置总循环水量约</w:t>
            </w:r>
            <w:r>
              <w:rPr>
                <w:rFonts w:hint="eastAsia"/>
                <w:highlight w:val="none"/>
                <w:lang w:val="en-US" w:eastAsia="zh-CN"/>
              </w:rPr>
              <w:t>120</w:t>
            </w:r>
            <w:r>
              <w:rPr>
                <w:rFonts w:hint="eastAsia"/>
                <w:highlight w:val="none"/>
              </w:rPr>
              <w:t>m</w:t>
            </w:r>
            <w:r>
              <w:rPr>
                <w:rFonts w:hint="eastAsia"/>
                <w:highlight w:val="none"/>
                <w:vertAlign w:val="superscript"/>
              </w:rPr>
              <w:t>3</w:t>
            </w:r>
            <w:r>
              <w:rPr>
                <w:rFonts w:hint="eastAsia"/>
                <w:highlight w:val="none"/>
              </w:rPr>
              <w:t>/h，年运行时间按8760h计，则循环水量约</w:t>
            </w:r>
            <w:r>
              <w:rPr>
                <w:rFonts w:hint="eastAsia"/>
                <w:highlight w:val="none"/>
                <w:lang w:val="en-US" w:eastAsia="zh-CN"/>
              </w:rPr>
              <w:t>10</w:t>
            </w:r>
            <w:r>
              <w:rPr>
                <w:rFonts w:hint="eastAsia"/>
                <w:highlight w:val="none"/>
              </w:rPr>
              <w:t>5</w:t>
            </w:r>
            <w:r>
              <w:rPr>
                <w:rFonts w:hint="eastAsia"/>
                <w:highlight w:val="none"/>
                <w:lang w:val="en-US" w:eastAsia="zh-CN"/>
              </w:rPr>
              <w:t>1</w:t>
            </w:r>
            <w:r>
              <w:rPr>
                <w:rFonts w:hint="eastAsia"/>
                <w:highlight w:val="none"/>
              </w:rPr>
              <w:t>200m</w:t>
            </w:r>
            <w:r>
              <w:rPr>
                <w:rFonts w:hint="eastAsia"/>
                <w:highlight w:val="none"/>
                <w:vertAlign w:val="superscript"/>
              </w:rPr>
              <w:t>3</w:t>
            </w:r>
            <w:r>
              <w:rPr>
                <w:rFonts w:hint="eastAsia"/>
                <w:highlight w:val="none"/>
              </w:rPr>
              <w:t>/a，蒸发损耗量综合按0.1%计，则蒸发补充水量约</w:t>
            </w:r>
            <w:r>
              <w:rPr>
                <w:rFonts w:hint="eastAsia"/>
                <w:highlight w:val="none"/>
                <w:lang w:val="en-US" w:eastAsia="zh-CN"/>
              </w:rPr>
              <w:t>1051.2</w:t>
            </w:r>
            <w:r>
              <w:rPr>
                <w:rFonts w:hint="eastAsia"/>
                <w:highlight w:val="none"/>
              </w:rPr>
              <w:t>m</w:t>
            </w:r>
            <w:r>
              <w:rPr>
                <w:rFonts w:hint="eastAsia"/>
                <w:highlight w:val="none"/>
                <w:vertAlign w:val="superscript"/>
              </w:rPr>
              <w:t>3</w:t>
            </w:r>
            <w:r>
              <w:rPr>
                <w:rFonts w:hint="eastAsia"/>
                <w:highlight w:val="none"/>
              </w:rPr>
              <w:t>/a。喷淋水定期更换，设定每月更换一次，年更换水量约</w:t>
            </w:r>
            <w:r>
              <w:rPr>
                <w:rFonts w:hint="eastAsia"/>
                <w:highlight w:val="none"/>
                <w:lang w:val="en-US" w:eastAsia="zh-CN"/>
              </w:rPr>
              <w:t>6</w:t>
            </w:r>
            <w:r>
              <w:rPr>
                <w:rFonts w:hint="eastAsia"/>
                <w:highlight w:val="none"/>
              </w:rPr>
              <w:t>0m</w:t>
            </w:r>
            <w:r>
              <w:rPr>
                <w:rFonts w:hint="eastAsia"/>
                <w:highlight w:val="none"/>
                <w:vertAlign w:val="superscript"/>
              </w:rPr>
              <w:t>3</w:t>
            </w:r>
            <w:r>
              <w:rPr>
                <w:rFonts w:hint="eastAsia"/>
                <w:highlight w:val="none"/>
              </w:rPr>
              <w:t>/a。则总用水量</w:t>
            </w:r>
            <w:r>
              <w:rPr>
                <w:rFonts w:hint="eastAsia"/>
                <w:highlight w:val="none"/>
                <w:lang w:val="en-US" w:eastAsia="zh-CN"/>
              </w:rPr>
              <w:t>1111.2</w:t>
            </w:r>
            <w:r>
              <w:rPr>
                <w:rFonts w:hint="eastAsia"/>
                <w:highlight w:val="none"/>
              </w:rPr>
              <w:t>m</w:t>
            </w:r>
            <w:r>
              <w:rPr>
                <w:rFonts w:hint="eastAsia"/>
                <w:highlight w:val="none"/>
                <w:vertAlign w:val="superscript"/>
              </w:rPr>
              <w:t>3</w:t>
            </w:r>
            <w:r>
              <w:rPr>
                <w:rFonts w:hint="eastAsia"/>
                <w:highlight w:val="none"/>
              </w:rPr>
              <w:t>/a。</w:t>
            </w:r>
          </w:p>
          <w:p w14:paraId="67234F53">
            <w:pPr>
              <w:pStyle w:val="122"/>
              <w:keepNext w:val="0"/>
              <w:keepLines w:val="0"/>
              <w:suppressLineNumbers w:val="0"/>
              <w:spacing w:before="0" w:beforeAutospacing="0" w:after="0" w:afterAutospacing="0"/>
              <w:ind w:left="0" w:right="0"/>
              <w:rPr>
                <w:rFonts w:hint="default" w:eastAsia="宋体"/>
                <w:b/>
                <w:bCs w:val="0"/>
                <w:color w:val="auto"/>
                <w:highlight w:val="none"/>
                <w:lang w:val="en-US" w:eastAsia="zh-CN"/>
              </w:rPr>
            </w:pPr>
            <w:r>
              <w:rPr>
                <w:rFonts w:hint="default"/>
                <w:b/>
                <w:bCs w:val="0"/>
                <w:color w:val="auto"/>
                <w:highlight w:val="none"/>
              </w:rPr>
              <w:t>（2）</w:t>
            </w:r>
            <w:r>
              <w:rPr>
                <w:rFonts w:hint="eastAsia"/>
                <w:b/>
                <w:bCs w:val="0"/>
                <w:color w:val="auto"/>
                <w:highlight w:val="none"/>
                <w:lang w:val="en-US" w:eastAsia="zh-CN"/>
              </w:rPr>
              <w:t>科创综合楼（制剂实验+化学实验）给、排水</w:t>
            </w:r>
          </w:p>
          <w:p w14:paraId="5D73044E">
            <w:pPr>
              <w:pStyle w:val="122"/>
              <w:keepNext w:val="0"/>
              <w:keepLines w:val="0"/>
              <w:suppressLineNumbers w:val="0"/>
              <w:spacing w:before="0" w:beforeAutospacing="0" w:after="0" w:afterAutospacing="0"/>
              <w:ind w:left="0" w:right="0"/>
              <w:rPr>
                <w:rFonts w:hint="default"/>
                <w:highlight w:val="none"/>
              </w:rPr>
            </w:pPr>
            <w:r>
              <w:rPr>
                <w:rFonts w:hint="eastAsia"/>
                <w:highlight w:val="none"/>
              </w:rPr>
              <w:t>①</w:t>
            </w:r>
            <w:r>
              <w:rPr>
                <w:rFonts w:hint="default"/>
                <w:highlight w:val="none"/>
              </w:rPr>
              <w:t>实验室用水</w:t>
            </w:r>
          </w:p>
          <w:p w14:paraId="2BE8B692">
            <w:pPr>
              <w:pStyle w:val="122"/>
              <w:keepNext w:val="0"/>
              <w:keepLines w:val="0"/>
              <w:suppressLineNumbers w:val="0"/>
              <w:spacing w:before="0" w:beforeAutospacing="0" w:after="0" w:afterAutospacing="0"/>
              <w:ind w:left="0" w:right="0"/>
              <w:rPr>
                <w:rFonts w:hint="eastAsia" w:eastAsia="宋体"/>
                <w:highlight w:val="none"/>
                <w:lang w:eastAsia="zh-CN"/>
              </w:rPr>
            </w:pPr>
            <w:r>
              <w:rPr>
                <w:rFonts w:hint="eastAsia"/>
                <w:highlight w:val="none"/>
              </w:rPr>
              <w:t>根据设计</w:t>
            </w:r>
            <w:r>
              <w:rPr>
                <w:rFonts w:hint="default"/>
                <w:highlight w:val="none"/>
              </w:rPr>
              <w:t>分析，</w:t>
            </w:r>
            <w:r>
              <w:rPr>
                <w:rFonts w:hint="eastAsia"/>
                <w:highlight w:val="none"/>
                <w:lang w:val="en-US" w:eastAsia="zh-CN"/>
              </w:rPr>
              <w:t>科创综合楼</w:t>
            </w:r>
            <w:r>
              <w:rPr>
                <w:rFonts w:hint="default"/>
                <w:color w:val="auto"/>
                <w:highlight w:val="none"/>
              </w:rPr>
              <w:t>可提供</w:t>
            </w:r>
            <w:r>
              <w:rPr>
                <w:rFonts w:hint="eastAsia"/>
                <w:color w:val="auto"/>
                <w:highlight w:val="none"/>
                <w:lang w:val="en-US" w:eastAsia="zh-CN"/>
              </w:rPr>
              <w:t>6</w:t>
            </w:r>
            <w:r>
              <w:rPr>
                <w:rFonts w:hint="default"/>
                <w:color w:val="auto"/>
                <w:highlight w:val="none"/>
              </w:rPr>
              <w:t>00</w:t>
            </w:r>
            <w:r>
              <w:rPr>
                <w:rFonts w:hint="eastAsia"/>
                <w:color w:val="auto"/>
                <w:highlight w:val="none"/>
              </w:rPr>
              <w:t>人的实验</w:t>
            </w:r>
            <w:r>
              <w:rPr>
                <w:rFonts w:hint="default"/>
                <w:color w:val="auto"/>
                <w:highlight w:val="none"/>
              </w:rPr>
              <w:t>平</w:t>
            </w:r>
            <w:r>
              <w:rPr>
                <w:rFonts w:hint="default"/>
                <w:highlight w:val="none"/>
              </w:rPr>
              <w:t>台。</w:t>
            </w:r>
            <w:r>
              <w:rPr>
                <w:rFonts w:hint="eastAsia"/>
                <w:highlight w:val="none"/>
              </w:rPr>
              <w:t>类比</w:t>
            </w:r>
            <w:r>
              <w:rPr>
                <w:rFonts w:hint="eastAsia"/>
                <w:highlight w:val="none"/>
                <w:lang w:val="en-US" w:eastAsia="zh-CN"/>
              </w:rPr>
              <w:t>同类企业</w:t>
            </w:r>
            <w:r>
              <w:rPr>
                <w:rFonts w:hint="default"/>
                <w:highlight w:val="none"/>
              </w:rPr>
              <w:t>经验，</w:t>
            </w:r>
            <w:r>
              <w:rPr>
                <w:rFonts w:hint="eastAsia"/>
                <w:highlight w:val="none"/>
              </w:rPr>
              <w:t>用水系数</w:t>
            </w:r>
            <w:r>
              <w:rPr>
                <w:rFonts w:hint="default"/>
                <w:highlight w:val="none"/>
              </w:rPr>
              <w:t>按25L/</w:t>
            </w:r>
            <w:r>
              <w:rPr>
                <w:rFonts w:hint="eastAsia"/>
                <w:highlight w:val="none"/>
              </w:rPr>
              <w:t>（日</w:t>
            </w:r>
            <w:r>
              <w:rPr>
                <w:rFonts w:hint="default"/>
                <w:highlight w:val="none"/>
              </w:rPr>
              <w:t>·人</w:t>
            </w:r>
            <w:r>
              <w:rPr>
                <w:rFonts w:hint="eastAsia"/>
                <w:highlight w:val="none"/>
              </w:rPr>
              <w:t>）计</w:t>
            </w:r>
            <w:r>
              <w:rPr>
                <w:rFonts w:hint="default"/>
                <w:highlight w:val="none"/>
              </w:rPr>
              <w:t>，则用水量约</w:t>
            </w:r>
            <w:r>
              <w:rPr>
                <w:rFonts w:hint="eastAsia"/>
                <w:highlight w:val="none"/>
                <w:lang w:val="en-US" w:eastAsia="zh-CN"/>
              </w:rPr>
              <w:t>1</w:t>
            </w:r>
            <w:r>
              <w:rPr>
                <w:rFonts w:hint="default"/>
                <w:highlight w:val="none"/>
              </w:rPr>
              <w:t>5m</w:t>
            </w:r>
            <w:r>
              <w:rPr>
                <w:rFonts w:hint="default"/>
                <w:highlight w:val="none"/>
                <w:vertAlign w:val="superscript"/>
              </w:rPr>
              <w:t>3</w:t>
            </w:r>
            <w:r>
              <w:rPr>
                <w:rFonts w:hint="default"/>
                <w:highlight w:val="none"/>
              </w:rPr>
              <w:t>/d，主要用于试剂</w:t>
            </w:r>
            <w:r>
              <w:rPr>
                <w:rFonts w:hint="eastAsia"/>
                <w:highlight w:val="none"/>
                <w:lang w:val="en-US" w:eastAsia="zh-CN"/>
              </w:rPr>
              <w:t>配制</w:t>
            </w:r>
            <w:r>
              <w:rPr>
                <w:rFonts w:hint="eastAsia"/>
                <w:highlight w:val="none"/>
              </w:rPr>
              <w:t>、</w:t>
            </w:r>
            <w:r>
              <w:rPr>
                <w:rFonts w:hint="eastAsia"/>
                <w:highlight w:val="none"/>
                <w:lang w:val="en-US" w:eastAsia="zh-CN"/>
              </w:rPr>
              <w:t>实验设备</w:t>
            </w:r>
            <w:r>
              <w:rPr>
                <w:rFonts w:hint="default"/>
                <w:highlight w:val="none"/>
              </w:rPr>
              <w:t>清洗</w:t>
            </w:r>
            <w:r>
              <w:rPr>
                <w:rFonts w:hint="eastAsia"/>
                <w:highlight w:val="none"/>
              </w:rPr>
              <w:t>和</w:t>
            </w:r>
            <w:r>
              <w:rPr>
                <w:rFonts w:hint="default"/>
                <w:highlight w:val="none"/>
              </w:rPr>
              <w:t>台面清洗</w:t>
            </w:r>
            <w:r>
              <w:rPr>
                <w:rFonts w:hint="eastAsia"/>
                <w:highlight w:val="none"/>
              </w:rPr>
              <w:t>。</w:t>
            </w:r>
            <w:r>
              <w:rPr>
                <w:rFonts w:hint="default"/>
                <w:highlight w:val="none"/>
              </w:rPr>
              <w:t>由于</w:t>
            </w:r>
            <w:r>
              <w:rPr>
                <w:rFonts w:hint="eastAsia"/>
                <w:highlight w:val="none"/>
                <w:lang w:val="en-US" w:eastAsia="zh-CN"/>
              </w:rPr>
              <w:t>实验</w:t>
            </w:r>
            <w:r>
              <w:rPr>
                <w:rFonts w:hint="default"/>
                <w:highlight w:val="none"/>
              </w:rPr>
              <w:t>台面清洗用水量占比较小，纳入</w:t>
            </w:r>
            <w:r>
              <w:rPr>
                <w:rFonts w:hint="eastAsia"/>
                <w:highlight w:val="none"/>
              </w:rPr>
              <w:t>中段</w:t>
            </w:r>
            <w:r>
              <w:rPr>
                <w:rFonts w:hint="default"/>
                <w:highlight w:val="none"/>
              </w:rPr>
              <w:t>清洗废水</w:t>
            </w:r>
            <w:r>
              <w:rPr>
                <w:rFonts w:hint="eastAsia"/>
                <w:highlight w:val="none"/>
              </w:rPr>
              <w:t>统计</w:t>
            </w:r>
            <w:r>
              <w:rPr>
                <w:rFonts w:hint="default"/>
                <w:highlight w:val="none"/>
              </w:rPr>
              <w:t>。</w:t>
            </w:r>
            <w:r>
              <w:rPr>
                <w:rFonts w:hint="eastAsia"/>
                <w:highlight w:val="none"/>
              </w:rPr>
              <w:t>试剂</w:t>
            </w:r>
            <w:r>
              <w:rPr>
                <w:rFonts w:hint="default"/>
                <w:highlight w:val="none"/>
              </w:rPr>
              <w:t>配置</w:t>
            </w:r>
            <w:r>
              <w:rPr>
                <w:rFonts w:hint="eastAsia"/>
                <w:highlight w:val="none"/>
              </w:rPr>
              <w:t>纯水用量</w:t>
            </w:r>
            <w:r>
              <w:rPr>
                <w:rFonts w:hint="default"/>
                <w:highlight w:val="none"/>
              </w:rPr>
              <w:t>约</w:t>
            </w:r>
            <w:r>
              <w:rPr>
                <w:rFonts w:hint="eastAsia"/>
                <w:highlight w:val="none"/>
              </w:rPr>
              <w:t>0.</w:t>
            </w:r>
            <w:r>
              <w:rPr>
                <w:rFonts w:hint="eastAsia"/>
                <w:highlight w:val="none"/>
                <w:lang w:val="en-US" w:eastAsia="zh-CN"/>
              </w:rPr>
              <w:t>3</w:t>
            </w:r>
            <w:r>
              <w:rPr>
                <w:rFonts w:hint="default"/>
                <w:highlight w:val="none"/>
              </w:rPr>
              <w:t>m</w:t>
            </w:r>
            <w:r>
              <w:rPr>
                <w:rFonts w:hint="default"/>
                <w:highlight w:val="none"/>
                <w:vertAlign w:val="superscript"/>
              </w:rPr>
              <w:t>3</w:t>
            </w:r>
            <w:r>
              <w:rPr>
                <w:rFonts w:hint="default"/>
                <w:highlight w:val="none"/>
              </w:rPr>
              <w:t>/d</w:t>
            </w:r>
            <w:r>
              <w:rPr>
                <w:rFonts w:hint="eastAsia"/>
                <w:highlight w:val="none"/>
              </w:rPr>
              <w:t>，</w:t>
            </w:r>
            <w:r>
              <w:rPr>
                <w:rFonts w:hint="eastAsia"/>
                <w:highlight w:val="none"/>
                <w:lang w:val="en-US" w:eastAsia="zh-CN"/>
              </w:rPr>
              <w:t>第三</w:t>
            </w:r>
            <w:r>
              <w:rPr>
                <w:rFonts w:hint="default"/>
                <w:highlight w:val="none"/>
              </w:rPr>
              <w:t>道</w:t>
            </w:r>
            <w:r>
              <w:rPr>
                <w:rFonts w:hint="eastAsia"/>
                <w:highlight w:val="none"/>
              </w:rPr>
              <w:t>纯水</w:t>
            </w:r>
            <w:r>
              <w:rPr>
                <w:rFonts w:hint="default"/>
                <w:highlight w:val="none"/>
              </w:rPr>
              <w:t>清洗</w:t>
            </w:r>
            <w:r>
              <w:rPr>
                <w:rFonts w:hint="eastAsia"/>
                <w:highlight w:val="none"/>
              </w:rPr>
              <w:t>用量</w:t>
            </w:r>
            <w:r>
              <w:rPr>
                <w:rFonts w:hint="default"/>
                <w:highlight w:val="none"/>
              </w:rPr>
              <w:t>约</w:t>
            </w:r>
            <w:r>
              <w:rPr>
                <w:rFonts w:hint="eastAsia"/>
                <w:highlight w:val="none"/>
                <w:lang w:val="en-US" w:eastAsia="zh-CN"/>
              </w:rPr>
              <w:t>3</w:t>
            </w:r>
            <w:r>
              <w:rPr>
                <w:rFonts w:hint="default"/>
                <w:highlight w:val="none"/>
              </w:rPr>
              <w:t>m</w:t>
            </w:r>
            <w:r>
              <w:rPr>
                <w:rFonts w:hint="default"/>
                <w:highlight w:val="none"/>
                <w:vertAlign w:val="superscript"/>
              </w:rPr>
              <w:t>3</w:t>
            </w:r>
            <w:r>
              <w:rPr>
                <w:rFonts w:hint="default"/>
                <w:highlight w:val="none"/>
              </w:rPr>
              <w:t>/d</w:t>
            </w:r>
            <w:r>
              <w:rPr>
                <w:rFonts w:hint="eastAsia"/>
                <w:highlight w:val="none"/>
                <w:lang w:eastAsia="zh-CN"/>
              </w:rPr>
              <w:t>，</w:t>
            </w:r>
            <w:r>
              <w:rPr>
                <w:rFonts w:hint="eastAsia"/>
                <w:highlight w:val="none"/>
              </w:rPr>
              <w:t>则</w:t>
            </w:r>
            <w:r>
              <w:rPr>
                <w:rFonts w:hint="eastAsia"/>
                <w:highlight w:val="none"/>
                <w:lang w:val="en-US" w:eastAsia="zh-CN"/>
              </w:rPr>
              <w:t>第一、二道清洗</w:t>
            </w:r>
            <w:r>
              <w:rPr>
                <w:rFonts w:hint="default"/>
                <w:highlight w:val="none"/>
              </w:rPr>
              <w:t>自来水用量约</w:t>
            </w:r>
            <w:r>
              <w:rPr>
                <w:rFonts w:hint="eastAsia"/>
                <w:highlight w:val="none"/>
                <w:lang w:val="en-US" w:eastAsia="zh-CN"/>
              </w:rPr>
              <w:t>11</w:t>
            </w:r>
            <w:r>
              <w:rPr>
                <w:rFonts w:hint="default"/>
                <w:highlight w:val="none"/>
              </w:rPr>
              <w:t>.</w:t>
            </w:r>
            <w:r>
              <w:rPr>
                <w:rFonts w:hint="eastAsia"/>
                <w:highlight w:val="none"/>
                <w:lang w:val="en-US" w:eastAsia="zh-CN"/>
              </w:rPr>
              <w:t>7</w:t>
            </w:r>
            <w:r>
              <w:rPr>
                <w:rFonts w:hint="default"/>
                <w:highlight w:val="none"/>
              </w:rPr>
              <w:t>m</w:t>
            </w:r>
            <w:r>
              <w:rPr>
                <w:rFonts w:hint="default"/>
                <w:highlight w:val="none"/>
                <w:vertAlign w:val="superscript"/>
              </w:rPr>
              <w:t>3</w:t>
            </w:r>
            <w:r>
              <w:rPr>
                <w:rFonts w:hint="default"/>
                <w:highlight w:val="none"/>
              </w:rPr>
              <w:t>/d</w:t>
            </w:r>
            <w:r>
              <w:rPr>
                <w:rFonts w:hint="eastAsia"/>
                <w:highlight w:val="none"/>
              </w:rPr>
              <w:t>（</w:t>
            </w:r>
            <w:r>
              <w:rPr>
                <w:rFonts w:hint="eastAsia"/>
                <w:highlight w:val="none"/>
                <w:lang w:val="en-US" w:eastAsia="zh-CN"/>
              </w:rPr>
              <w:t>30</w:t>
            </w:r>
            <w:r>
              <w:rPr>
                <w:rFonts w:hint="default"/>
                <w:highlight w:val="none"/>
              </w:rPr>
              <w:t>4</w:t>
            </w:r>
            <w:r>
              <w:rPr>
                <w:rFonts w:hint="eastAsia"/>
                <w:highlight w:val="none"/>
                <w:lang w:val="en-US" w:eastAsia="zh-CN"/>
              </w:rPr>
              <w:t>2</w:t>
            </w:r>
            <w:r>
              <w:rPr>
                <w:rFonts w:hint="default"/>
                <w:highlight w:val="none"/>
              </w:rPr>
              <w:t>m</w:t>
            </w:r>
            <w:r>
              <w:rPr>
                <w:rFonts w:hint="default"/>
                <w:highlight w:val="none"/>
                <w:vertAlign w:val="superscript"/>
              </w:rPr>
              <w:t>3</w:t>
            </w:r>
            <w:r>
              <w:rPr>
                <w:rFonts w:hint="default"/>
                <w:highlight w:val="none"/>
              </w:rPr>
              <w:t>/a</w:t>
            </w:r>
            <w:r>
              <w:rPr>
                <w:rFonts w:hint="eastAsia"/>
                <w:highlight w:val="none"/>
              </w:rPr>
              <w:t>），其中</w:t>
            </w:r>
            <w:r>
              <w:rPr>
                <w:rFonts w:hint="eastAsia"/>
                <w:highlight w:val="none"/>
                <w:lang w:val="en-US" w:eastAsia="zh-CN"/>
              </w:rPr>
              <w:t>第一</w:t>
            </w:r>
            <w:r>
              <w:rPr>
                <w:rFonts w:hint="default"/>
                <w:highlight w:val="none"/>
              </w:rPr>
              <w:t>道清洗</w:t>
            </w:r>
            <w:r>
              <w:rPr>
                <w:rFonts w:hint="eastAsia"/>
                <w:highlight w:val="none"/>
              </w:rPr>
              <w:t>自来水</w:t>
            </w:r>
            <w:r>
              <w:rPr>
                <w:rFonts w:hint="default"/>
                <w:highlight w:val="none"/>
              </w:rPr>
              <w:t>用</w:t>
            </w:r>
            <w:r>
              <w:rPr>
                <w:rFonts w:hint="eastAsia"/>
                <w:highlight w:val="none"/>
              </w:rPr>
              <w:t>量</w:t>
            </w:r>
            <w:r>
              <w:rPr>
                <w:rFonts w:hint="eastAsia"/>
                <w:highlight w:val="none"/>
                <w:lang w:val="en-US" w:eastAsia="zh-CN"/>
              </w:rPr>
              <w:t>1</w:t>
            </w:r>
            <w:r>
              <w:rPr>
                <w:rFonts w:hint="eastAsia"/>
                <w:highlight w:val="none"/>
              </w:rPr>
              <w:t>.5</w:t>
            </w:r>
            <w:r>
              <w:rPr>
                <w:rFonts w:hint="default"/>
                <w:highlight w:val="none"/>
              </w:rPr>
              <w:t>m</w:t>
            </w:r>
            <w:r>
              <w:rPr>
                <w:rFonts w:hint="default"/>
                <w:highlight w:val="none"/>
                <w:vertAlign w:val="superscript"/>
              </w:rPr>
              <w:t>3</w:t>
            </w:r>
            <w:r>
              <w:rPr>
                <w:rFonts w:hint="default"/>
                <w:highlight w:val="none"/>
              </w:rPr>
              <w:t>/d</w:t>
            </w:r>
            <w:r>
              <w:rPr>
                <w:rFonts w:hint="eastAsia"/>
                <w:highlight w:val="none"/>
              </w:rPr>
              <w:t>（</w:t>
            </w:r>
            <w:r>
              <w:rPr>
                <w:rFonts w:hint="eastAsia"/>
                <w:highlight w:val="none"/>
                <w:lang w:val="en-US" w:eastAsia="zh-CN"/>
              </w:rPr>
              <w:t>39</w:t>
            </w:r>
            <w:r>
              <w:rPr>
                <w:rFonts w:hint="eastAsia"/>
                <w:highlight w:val="none"/>
              </w:rPr>
              <w:t>0</w:t>
            </w:r>
            <w:r>
              <w:rPr>
                <w:rFonts w:hint="default"/>
                <w:highlight w:val="none"/>
              </w:rPr>
              <w:t>m</w:t>
            </w:r>
            <w:r>
              <w:rPr>
                <w:rFonts w:hint="default"/>
                <w:highlight w:val="none"/>
                <w:vertAlign w:val="superscript"/>
              </w:rPr>
              <w:t>3</w:t>
            </w:r>
            <w:r>
              <w:rPr>
                <w:rFonts w:hint="default"/>
                <w:highlight w:val="none"/>
              </w:rPr>
              <w:t>/a</w:t>
            </w:r>
            <w:r>
              <w:rPr>
                <w:rFonts w:hint="eastAsia"/>
                <w:highlight w:val="none"/>
              </w:rPr>
              <w:t>），</w:t>
            </w:r>
            <w:r>
              <w:rPr>
                <w:rFonts w:hint="eastAsia"/>
                <w:highlight w:val="none"/>
                <w:lang w:val="en-US" w:eastAsia="zh-CN"/>
              </w:rPr>
              <w:t>第二</w:t>
            </w:r>
            <w:r>
              <w:rPr>
                <w:rFonts w:hint="default"/>
                <w:highlight w:val="none"/>
              </w:rPr>
              <w:t>道</w:t>
            </w:r>
            <w:r>
              <w:rPr>
                <w:rFonts w:hint="eastAsia"/>
                <w:highlight w:val="none"/>
              </w:rPr>
              <w:t>清洗自来水</w:t>
            </w:r>
            <w:r>
              <w:rPr>
                <w:rFonts w:hint="default"/>
                <w:highlight w:val="none"/>
              </w:rPr>
              <w:t>用</w:t>
            </w:r>
            <w:r>
              <w:rPr>
                <w:rFonts w:hint="eastAsia"/>
                <w:highlight w:val="none"/>
              </w:rPr>
              <w:t>量</w:t>
            </w:r>
            <w:r>
              <w:rPr>
                <w:rFonts w:hint="eastAsia"/>
                <w:highlight w:val="none"/>
                <w:lang w:val="en-US" w:eastAsia="zh-CN"/>
              </w:rPr>
              <w:t>10</w:t>
            </w:r>
            <w:r>
              <w:rPr>
                <w:rFonts w:hint="default"/>
                <w:highlight w:val="none"/>
              </w:rPr>
              <w:t>.</w:t>
            </w:r>
            <w:r>
              <w:rPr>
                <w:rFonts w:hint="eastAsia"/>
                <w:highlight w:val="none"/>
                <w:lang w:val="en-US" w:eastAsia="zh-CN"/>
              </w:rPr>
              <w:t>2</w:t>
            </w:r>
            <w:r>
              <w:rPr>
                <w:rFonts w:hint="default"/>
                <w:highlight w:val="none"/>
              </w:rPr>
              <w:t>m</w:t>
            </w:r>
            <w:r>
              <w:rPr>
                <w:rFonts w:hint="default"/>
                <w:highlight w:val="none"/>
                <w:vertAlign w:val="superscript"/>
              </w:rPr>
              <w:t>3</w:t>
            </w:r>
            <w:r>
              <w:rPr>
                <w:rFonts w:hint="default"/>
                <w:highlight w:val="none"/>
              </w:rPr>
              <w:t>/d</w:t>
            </w:r>
            <w:r>
              <w:rPr>
                <w:rFonts w:hint="eastAsia"/>
                <w:highlight w:val="none"/>
              </w:rPr>
              <w:t>（</w:t>
            </w:r>
            <w:r>
              <w:rPr>
                <w:rFonts w:hint="eastAsia"/>
                <w:highlight w:val="none"/>
                <w:lang w:val="en-US" w:eastAsia="zh-CN"/>
              </w:rPr>
              <w:t>2652</w:t>
            </w:r>
            <w:r>
              <w:rPr>
                <w:rFonts w:hint="default"/>
                <w:highlight w:val="none"/>
              </w:rPr>
              <w:t>m</w:t>
            </w:r>
            <w:r>
              <w:rPr>
                <w:rFonts w:hint="default"/>
                <w:highlight w:val="none"/>
                <w:vertAlign w:val="superscript"/>
              </w:rPr>
              <w:t>3</w:t>
            </w:r>
            <w:r>
              <w:rPr>
                <w:rFonts w:hint="default"/>
                <w:highlight w:val="none"/>
              </w:rPr>
              <w:t>/a</w:t>
            </w:r>
            <w:r>
              <w:rPr>
                <w:rFonts w:hint="eastAsia"/>
                <w:highlight w:val="none"/>
              </w:rPr>
              <w:t>）</w:t>
            </w:r>
            <w:r>
              <w:rPr>
                <w:rFonts w:hint="eastAsia"/>
                <w:highlight w:val="none"/>
                <w:lang w:eastAsia="zh-CN"/>
              </w:rPr>
              <w:t>，</w:t>
            </w:r>
            <w:r>
              <w:rPr>
                <w:rFonts w:hint="eastAsia"/>
                <w:highlight w:val="none"/>
                <w:lang w:val="en-US" w:eastAsia="zh-CN"/>
              </w:rPr>
              <w:t>清洗废水</w:t>
            </w:r>
            <w:r>
              <w:rPr>
                <w:rFonts w:hint="eastAsia"/>
                <w:color w:val="000000"/>
                <w:kern w:val="0"/>
                <w:highlight w:val="none"/>
                <w:lang w:val="en-US" w:eastAsia="zh-CN"/>
              </w:rPr>
              <w:t>排污系数以0.9计。</w:t>
            </w:r>
          </w:p>
          <w:p w14:paraId="710A4E55">
            <w:pPr>
              <w:pStyle w:val="122"/>
              <w:keepNext w:val="0"/>
              <w:keepLines w:val="0"/>
              <w:suppressLineNumbers w:val="0"/>
              <w:spacing w:before="0" w:beforeAutospacing="0" w:after="0" w:afterAutospacing="0"/>
              <w:ind w:left="0" w:right="0"/>
              <w:rPr>
                <w:rFonts w:hint="default"/>
                <w:highlight w:val="none"/>
              </w:rPr>
            </w:pPr>
            <w:r>
              <w:rPr>
                <w:rFonts w:hint="default"/>
                <w:highlight w:val="none"/>
              </w:rPr>
              <w:t>试剂配置水</w:t>
            </w:r>
            <w:r>
              <w:rPr>
                <w:rFonts w:hint="eastAsia"/>
                <w:highlight w:val="none"/>
              </w:rPr>
              <w:t>（</w:t>
            </w:r>
            <w:r>
              <w:rPr>
                <w:rFonts w:hint="eastAsia"/>
                <w:highlight w:val="none"/>
                <w:lang w:val="en-US" w:eastAsia="zh-CN"/>
              </w:rPr>
              <w:t>78</w:t>
            </w:r>
            <w:r>
              <w:rPr>
                <w:rFonts w:hint="default"/>
                <w:highlight w:val="none"/>
              </w:rPr>
              <w:t>m</w:t>
            </w:r>
            <w:r>
              <w:rPr>
                <w:rFonts w:hint="default"/>
                <w:highlight w:val="none"/>
                <w:vertAlign w:val="superscript"/>
              </w:rPr>
              <w:t>3</w:t>
            </w:r>
            <w:r>
              <w:rPr>
                <w:rFonts w:hint="default"/>
                <w:highlight w:val="none"/>
              </w:rPr>
              <w:t>/a</w:t>
            </w:r>
            <w:r>
              <w:rPr>
                <w:rFonts w:hint="eastAsia"/>
                <w:highlight w:val="none"/>
              </w:rPr>
              <w:t>）</w:t>
            </w:r>
            <w:r>
              <w:rPr>
                <w:rFonts w:hint="default"/>
                <w:highlight w:val="none"/>
              </w:rPr>
              <w:t>及</w:t>
            </w:r>
            <w:r>
              <w:rPr>
                <w:rFonts w:hint="eastAsia"/>
                <w:highlight w:val="none"/>
                <w:lang w:val="en-US" w:eastAsia="zh-CN"/>
              </w:rPr>
              <w:t>第一</w:t>
            </w:r>
            <w:r>
              <w:rPr>
                <w:rFonts w:hint="default"/>
                <w:highlight w:val="none"/>
              </w:rPr>
              <w:t>道清洗</w:t>
            </w:r>
            <w:r>
              <w:rPr>
                <w:rFonts w:hint="eastAsia"/>
                <w:highlight w:val="none"/>
                <w:lang w:val="en-US" w:eastAsia="zh-CN"/>
              </w:rPr>
              <w:t>废</w:t>
            </w:r>
            <w:r>
              <w:rPr>
                <w:rFonts w:hint="default"/>
                <w:highlight w:val="none"/>
              </w:rPr>
              <w:t>水</w:t>
            </w:r>
            <w:r>
              <w:rPr>
                <w:rFonts w:hint="eastAsia"/>
                <w:highlight w:val="none"/>
              </w:rPr>
              <w:t>（</w:t>
            </w:r>
            <w:r>
              <w:rPr>
                <w:rFonts w:hint="eastAsia"/>
                <w:highlight w:val="none"/>
                <w:lang w:val="en-US" w:eastAsia="zh-CN"/>
              </w:rPr>
              <w:t>351</w:t>
            </w:r>
            <w:r>
              <w:rPr>
                <w:rFonts w:hint="default"/>
                <w:highlight w:val="none"/>
              </w:rPr>
              <w:t>m</w:t>
            </w:r>
            <w:r>
              <w:rPr>
                <w:rFonts w:hint="default"/>
                <w:highlight w:val="none"/>
                <w:vertAlign w:val="superscript"/>
              </w:rPr>
              <w:t>3</w:t>
            </w:r>
            <w:r>
              <w:rPr>
                <w:rFonts w:hint="default"/>
                <w:highlight w:val="none"/>
              </w:rPr>
              <w:t>/a</w:t>
            </w:r>
            <w:r>
              <w:rPr>
                <w:rFonts w:hint="eastAsia"/>
                <w:highlight w:val="none"/>
              </w:rPr>
              <w:t>）</w:t>
            </w:r>
            <w:r>
              <w:rPr>
                <w:rFonts w:hint="default"/>
                <w:highlight w:val="none"/>
              </w:rPr>
              <w:t>全部进入危废，</w:t>
            </w:r>
            <w:r>
              <w:rPr>
                <w:rFonts w:hint="eastAsia"/>
                <w:highlight w:val="none"/>
                <w:lang w:val="en-US" w:eastAsia="zh-CN"/>
              </w:rPr>
              <w:t>后道</w:t>
            </w:r>
            <w:r>
              <w:rPr>
                <w:rFonts w:hint="default"/>
                <w:highlight w:val="none"/>
              </w:rPr>
              <w:t>清洗废水</w:t>
            </w:r>
            <w:r>
              <w:rPr>
                <w:rFonts w:hint="eastAsia"/>
                <w:highlight w:val="none"/>
                <w:lang w:val="en-US" w:eastAsia="zh-CN"/>
              </w:rPr>
              <w:t>产生量</w:t>
            </w:r>
            <w:r>
              <w:rPr>
                <w:rFonts w:hint="default"/>
                <w:highlight w:val="none"/>
              </w:rPr>
              <w:t>约</w:t>
            </w:r>
            <w:r>
              <w:rPr>
                <w:rFonts w:hint="eastAsia"/>
                <w:highlight w:val="none"/>
                <w:lang w:val="en-US" w:eastAsia="zh-CN"/>
              </w:rPr>
              <w:t>3088.8</w:t>
            </w:r>
            <w:r>
              <w:rPr>
                <w:rFonts w:hint="default"/>
                <w:highlight w:val="none"/>
              </w:rPr>
              <w:t>m</w:t>
            </w:r>
            <w:r>
              <w:rPr>
                <w:rFonts w:hint="default"/>
                <w:highlight w:val="none"/>
                <w:vertAlign w:val="superscript"/>
              </w:rPr>
              <w:t>3</w:t>
            </w:r>
            <w:r>
              <w:rPr>
                <w:rFonts w:hint="default"/>
                <w:highlight w:val="none"/>
              </w:rPr>
              <w:t>/a</w:t>
            </w:r>
            <w:r>
              <w:rPr>
                <w:rFonts w:hint="eastAsia"/>
                <w:highlight w:val="none"/>
              </w:rPr>
              <w:t>（其中</w:t>
            </w:r>
            <w:r>
              <w:rPr>
                <w:rFonts w:hint="eastAsia"/>
                <w:highlight w:val="none"/>
                <w:lang w:val="en-US" w:eastAsia="zh-CN"/>
              </w:rPr>
              <w:t>第二</w:t>
            </w:r>
            <w:r>
              <w:rPr>
                <w:rFonts w:hint="default"/>
                <w:highlight w:val="none"/>
              </w:rPr>
              <w:t>道清洗废水</w:t>
            </w:r>
            <w:r>
              <w:rPr>
                <w:rFonts w:hint="eastAsia"/>
                <w:highlight w:val="none"/>
                <w:lang w:val="en-US" w:eastAsia="zh-CN"/>
              </w:rPr>
              <w:t>2386.8</w:t>
            </w:r>
            <w:r>
              <w:rPr>
                <w:rFonts w:hint="default"/>
                <w:highlight w:val="none"/>
              </w:rPr>
              <w:t>m</w:t>
            </w:r>
            <w:r>
              <w:rPr>
                <w:rFonts w:hint="default"/>
                <w:highlight w:val="none"/>
                <w:vertAlign w:val="superscript"/>
              </w:rPr>
              <w:t>3</w:t>
            </w:r>
            <w:r>
              <w:rPr>
                <w:rFonts w:hint="default"/>
                <w:highlight w:val="none"/>
              </w:rPr>
              <w:t>/a</w:t>
            </w:r>
            <w:r>
              <w:rPr>
                <w:rFonts w:hint="eastAsia"/>
                <w:highlight w:val="none"/>
                <w:lang w:eastAsia="zh-CN"/>
              </w:rPr>
              <w:t>，</w:t>
            </w:r>
            <w:r>
              <w:rPr>
                <w:rFonts w:hint="eastAsia"/>
                <w:highlight w:val="none"/>
              </w:rPr>
              <w:t>纯水</w:t>
            </w:r>
            <w:r>
              <w:rPr>
                <w:rFonts w:hint="default"/>
                <w:highlight w:val="none"/>
              </w:rPr>
              <w:t>清洗废水</w:t>
            </w:r>
            <w:r>
              <w:rPr>
                <w:rFonts w:hint="eastAsia"/>
                <w:highlight w:val="none"/>
                <w:lang w:val="en-US" w:eastAsia="zh-CN"/>
              </w:rPr>
              <w:t>702</w:t>
            </w:r>
            <w:r>
              <w:rPr>
                <w:rFonts w:hint="default"/>
                <w:highlight w:val="none"/>
              </w:rPr>
              <w:t>m</w:t>
            </w:r>
            <w:r>
              <w:rPr>
                <w:rFonts w:hint="default"/>
                <w:highlight w:val="none"/>
                <w:vertAlign w:val="superscript"/>
              </w:rPr>
              <w:t>3</w:t>
            </w:r>
            <w:r>
              <w:rPr>
                <w:rFonts w:hint="default"/>
                <w:highlight w:val="none"/>
              </w:rPr>
              <w:t>/a</w:t>
            </w:r>
            <w:r>
              <w:rPr>
                <w:rFonts w:hint="eastAsia"/>
                <w:highlight w:val="none"/>
              </w:rPr>
              <w:t>）。</w:t>
            </w:r>
          </w:p>
          <w:p w14:paraId="4734FA94">
            <w:pPr>
              <w:pStyle w:val="122"/>
              <w:keepNext w:val="0"/>
              <w:keepLines w:val="0"/>
              <w:suppressLineNumbers w:val="0"/>
              <w:spacing w:before="0" w:beforeAutospacing="0" w:after="0" w:afterAutospacing="0"/>
              <w:ind w:left="0" w:right="0"/>
              <w:rPr>
                <w:rFonts w:hint="default"/>
                <w:highlight w:val="none"/>
              </w:rPr>
            </w:pPr>
            <w:r>
              <w:rPr>
                <w:rFonts w:hint="eastAsia"/>
                <w:highlight w:val="none"/>
              </w:rPr>
              <w:t>②地面</w:t>
            </w:r>
            <w:r>
              <w:rPr>
                <w:rFonts w:hint="default"/>
                <w:highlight w:val="none"/>
              </w:rPr>
              <w:t>清洗用水</w:t>
            </w:r>
          </w:p>
          <w:p w14:paraId="4B415B31">
            <w:pPr>
              <w:pStyle w:val="122"/>
              <w:keepNext w:val="0"/>
              <w:keepLines w:val="0"/>
              <w:suppressLineNumbers w:val="0"/>
              <w:spacing w:before="0" w:beforeAutospacing="0" w:after="0" w:afterAutospacing="0"/>
              <w:ind w:left="0" w:right="0"/>
              <w:rPr>
                <w:rFonts w:hint="default"/>
                <w:highlight w:val="none"/>
              </w:rPr>
            </w:pPr>
            <w:r>
              <w:rPr>
                <w:rFonts w:hint="eastAsia"/>
                <w:highlight w:val="none"/>
              </w:rPr>
              <w:t>除了</w:t>
            </w:r>
            <w:r>
              <w:rPr>
                <w:rFonts w:hint="default"/>
                <w:highlight w:val="none"/>
              </w:rPr>
              <w:t>P2</w:t>
            </w:r>
            <w:r>
              <w:rPr>
                <w:rFonts w:hint="eastAsia"/>
                <w:highlight w:val="none"/>
              </w:rPr>
              <w:t>实验室</w:t>
            </w:r>
            <w:r>
              <w:rPr>
                <w:rFonts w:hint="default"/>
                <w:highlight w:val="none"/>
              </w:rPr>
              <w:t>区域，实验室内地板清洗采用拖地的形式，每天拖一次，按照0.2L/m</w:t>
            </w:r>
            <w:r>
              <w:rPr>
                <w:rFonts w:hint="eastAsia"/>
                <w:highlight w:val="none"/>
                <w:vertAlign w:val="superscript"/>
                <w:lang w:val="en-US" w:eastAsia="zh-CN"/>
              </w:rPr>
              <w:t>2</w:t>
            </w:r>
            <w:r>
              <w:rPr>
                <w:rFonts w:hint="default"/>
                <w:highlight w:val="none"/>
              </w:rPr>
              <w:t>次计算，</w:t>
            </w:r>
            <w:r>
              <w:rPr>
                <w:rFonts w:hint="eastAsia"/>
                <w:highlight w:val="none"/>
                <w:lang w:val="en-US" w:eastAsia="zh-CN"/>
              </w:rPr>
              <w:t>科创综合楼</w:t>
            </w:r>
            <w:r>
              <w:rPr>
                <w:rFonts w:hint="eastAsia"/>
                <w:highlight w:val="none"/>
              </w:rPr>
              <w:t>涉实验</w:t>
            </w:r>
            <w:r>
              <w:rPr>
                <w:rFonts w:hint="default"/>
                <w:highlight w:val="none"/>
              </w:rPr>
              <w:t>室共</w:t>
            </w:r>
            <w:r>
              <w:rPr>
                <w:rFonts w:hint="eastAsia"/>
                <w:color w:val="auto"/>
                <w:highlight w:val="none"/>
              </w:rPr>
              <w:t>约</w:t>
            </w:r>
            <w:r>
              <w:rPr>
                <w:rFonts w:hint="eastAsia"/>
                <w:color w:val="auto"/>
                <w:highlight w:val="none"/>
                <w:lang w:val="en-US" w:eastAsia="zh-CN"/>
              </w:rPr>
              <w:t>8</w:t>
            </w:r>
            <w:r>
              <w:rPr>
                <w:rFonts w:hint="default"/>
                <w:color w:val="auto"/>
                <w:highlight w:val="none"/>
              </w:rPr>
              <w:t>500m</w:t>
            </w:r>
            <w:r>
              <w:rPr>
                <w:rFonts w:hint="eastAsia"/>
                <w:color w:val="auto"/>
                <w:highlight w:val="none"/>
                <w:vertAlign w:val="superscript"/>
                <w:lang w:val="en-US" w:eastAsia="zh-CN"/>
              </w:rPr>
              <w:t>2</w:t>
            </w:r>
            <w:r>
              <w:rPr>
                <w:rFonts w:hint="default"/>
                <w:color w:val="auto"/>
                <w:highlight w:val="none"/>
              </w:rPr>
              <w:t>，则</w:t>
            </w:r>
            <w:r>
              <w:rPr>
                <w:rFonts w:hint="default"/>
                <w:highlight w:val="none"/>
              </w:rPr>
              <w:t>用水量为</w:t>
            </w:r>
            <w:r>
              <w:rPr>
                <w:rFonts w:hint="eastAsia"/>
                <w:highlight w:val="none"/>
                <w:lang w:val="en-US" w:eastAsia="zh-CN"/>
              </w:rPr>
              <w:t>1</w:t>
            </w:r>
            <w:r>
              <w:rPr>
                <w:rFonts w:hint="default"/>
                <w:highlight w:val="none"/>
              </w:rPr>
              <w:t>.</w:t>
            </w:r>
            <w:r>
              <w:rPr>
                <w:rFonts w:hint="eastAsia"/>
                <w:highlight w:val="none"/>
                <w:lang w:val="en-US" w:eastAsia="zh-CN"/>
              </w:rPr>
              <w:t>7</w:t>
            </w:r>
            <w:r>
              <w:rPr>
                <w:rFonts w:hint="default"/>
                <w:highlight w:val="none"/>
              </w:rPr>
              <w:t>m</w:t>
            </w:r>
            <w:r>
              <w:rPr>
                <w:rFonts w:hint="default"/>
                <w:highlight w:val="none"/>
                <w:vertAlign w:val="superscript"/>
              </w:rPr>
              <w:t>3</w:t>
            </w:r>
            <w:r>
              <w:rPr>
                <w:rFonts w:hint="default"/>
                <w:highlight w:val="none"/>
              </w:rPr>
              <w:t>/d，年用水量</w:t>
            </w:r>
            <w:r>
              <w:rPr>
                <w:rFonts w:hint="eastAsia"/>
                <w:highlight w:val="none"/>
              </w:rPr>
              <w:t>约</w:t>
            </w:r>
            <w:r>
              <w:rPr>
                <w:rFonts w:hint="default"/>
                <w:highlight w:val="none"/>
              </w:rPr>
              <w:t>为</w:t>
            </w:r>
            <w:r>
              <w:rPr>
                <w:rFonts w:hint="eastAsia"/>
                <w:highlight w:val="none"/>
                <w:lang w:val="en-US" w:eastAsia="zh-CN"/>
              </w:rPr>
              <w:t>44</w:t>
            </w:r>
            <w:r>
              <w:rPr>
                <w:rFonts w:hint="default"/>
                <w:highlight w:val="none"/>
              </w:rPr>
              <w:t>2m</w:t>
            </w:r>
            <w:r>
              <w:rPr>
                <w:rFonts w:hint="default"/>
                <w:highlight w:val="none"/>
                <w:vertAlign w:val="superscript"/>
              </w:rPr>
              <w:t>3</w:t>
            </w:r>
            <w:r>
              <w:rPr>
                <w:rFonts w:hint="default"/>
                <w:highlight w:val="none"/>
              </w:rPr>
              <w:t>。废水产生系数按90%计算，则实验室地板清洗废水排放量</w:t>
            </w:r>
            <w:r>
              <w:rPr>
                <w:rFonts w:hint="eastAsia"/>
                <w:highlight w:val="none"/>
              </w:rPr>
              <w:t>约</w:t>
            </w:r>
            <w:r>
              <w:rPr>
                <w:rFonts w:hint="default"/>
                <w:highlight w:val="none"/>
              </w:rPr>
              <w:t>为</w:t>
            </w:r>
            <w:r>
              <w:rPr>
                <w:rFonts w:hint="eastAsia"/>
                <w:highlight w:val="none"/>
                <w:lang w:val="en-US" w:eastAsia="zh-CN"/>
              </w:rPr>
              <w:t>397.8</w:t>
            </w:r>
            <w:r>
              <w:rPr>
                <w:rFonts w:hint="default"/>
                <w:highlight w:val="none"/>
              </w:rPr>
              <w:t>m</w:t>
            </w:r>
            <w:r>
              <w:rPr>
                <w:rFonts w:hint="default"/>
                <w:highlight w:val="none"/>
                <w:vertAlign w:val="superscript"/>
              </w:rPr>
              <w:t>3</w:t>
            </w:r>
            <w:r>
              <w:rPr>
                <w:rFonts w:hint="default"/>
                <w:highlight w:val="none"/>
              </w:rPr>
              <w:t>/a。</w:t>
            </w:r>
          </w:p>
          <w:p w14:paraId="5ED271D9">
            <w:pPr>
              <w:pStyle w:val="122"/>
              <w:keepNext w:val="0"/>
              <w:keepLines w:val="0"/>
              <w:suppressLineNumbers w:val="0"/>
              <w:spacing w:before="0" w:beforeAutospacing="0" w:after="0" w:afterAutospacing="0"/>
              <w:ind w:left="0" w:right="0"/>
              <w:rPr>
                <w:rFonts w:hint="default" w:eastAsia="宋体"/>
                <w:highlight w:val="none"/>
                <w:lang w:val="en-US" w:eastAsia="zh-CN"/>
              </w:rPr>
            </w:pPr>
            <w:r>
              <w:rPr>
                <w:rFonts w:hint="eastAsia"/>
                <w:highlight w:val="none"/>
              </w:rPr>
              <w:t>③</w:t>
            </w:r>
            <w:r>
              <w:rPr>
                <w:rFonts w:hint="eastAsia"/>
                <w:highlight w:val="none"/>
                <w:lang w:val="en-US" w:eastAsia="zh-CN"/>
              </w:rPr>
              <w:t>洗衣用水</w:t>
            </w:r>
          </w:p>
          <w:p w14:paraId="375A251E">
            <w:pPr>
              <w:keepNext w:val="0"/>
              <w:keepLines w:val="0"/>
              <w:widowControl/>
              <w:suppressLineNumbers w:val="0"/>
              <w:spacing w:before="0" w:beforeAutospacing="0" w:after="0" w:afterAutospacing="0" w:line="360" w:lineRule="auto"/>
              <w:ind w:left="0" w:right="0" w:firstLine="480" w:firstLineChars="200"/>
              <w:rPr>
                <w:rFonts w:hint="default"/>
                <w:highlight w:val="none"/>
              </w:rPr>
            </w:pPr>
            <w:r>
              <w:rPr>
                <w:rFonts w:hint="default"/>
                <w:color w:val="000000"/>
                <w:kern w:val="0"/>
                <w:highlight w:val="none"/>
              </w:rPr>
              <w:t>本项目</w:t>
            </w:r>
            <w:r>
              <w:rPr>
                <w:rFonts w:hint="eastAsia"/>
                <w:color w:val="000000"/>
                <w:kern w:val="0"/>
                <w:highlight w:val="none"/>
                <w:lang w:val="en-US" w:eastAsia="zh-CN"/>
              </w:rPr>
              <w:t>每日需对实验防护服进行清洗、灭菌。本项目预计每天实验防护服清洗量约30kg。参照《建筑给水排水设计规范》（GB50015-2019）中表3.2.2公共建筑生活用水定额，本环评以80L/kg干衣、排污系数以0.9计，则洗衣用水量为561.6t</w:t>
            </w:r>
            <w:r>
              <w:rPr>
                <w:rFonts w:hint="default"/>
                <w:color w:val="000000"/>
                <w:kern w:val="0"/>
                <w:highlight w:val="none"/>
              </w:rPr>
              <w:t>/a</w:t>
            </w:r>
            <w:r>
              <w:rPr>
                <w:rFonts w:hint="eastAsia"/>
                <w:color w:val="000000"/>
                <w:kern w:val="0"/>
                <w:highlight w:val="none"/>
                <w:lang w:eastAsia="zh-CN"/>
              </w:rPr>
              <w:t>，</w:t>
            </w:r>
            <w:r>
              <w:rPr>
                <w:rFonts w:hint="eastAsia"/>
                <w:color w:val="000000"/>
                <w:kern w:val="0"/>
                <w:highlight w:val="none"/>
                <w:lang w:val="en-US" w:eastAsia="zh-CN"/>
              </w:rPr>
              <w:t>洗衣废水产生量为505.4m</w:t>
            </w:r>
            <w:r>
              <w:rPr>
                <w:rFonts w:hint="eastAsia"/>
                <w:color w:val="000000"/>
                <w:kern w:val="0"/>
                <w:highlight w:val="none"/>
                <w:vertAlign w:val="superscript"/>
                <w:lang w:val="en-US" w:eastAsia="zh-CN"/>
              </w:rPr>
              <w:t>3</w:t>
            </w:r>
            <w:r>
              <w:rPr>
                <w:rFonts w:hint="default"/>
                <w:color w:val="000000"/>
                <w:kern w:val="0"/>
                <w:highlight w:val="none"/>
              </w:rPr>
              <w:t>/a。</w:t>
            </w:r>
          </w:p>
          <w:p w14:paraId="4DCFB39E">
            <w:pPr>
              <w:pStyle w:val="122"/>
              <w:keepNext w:val="0"/>
              <w:keepLines w:val="0"/>
              <w:suppressLineNumbers w:val="0"/>
              <w:spacing w:before="0" w:beforeAutospacing="0" w:after="0" w:afterAutospacing="0"/>
              <w:ind w:left="0" w:right="0"/>
              <w:rPr>
                <w:rFonts w:hint="default"/>
                <w:highlight w:val="none"/>
              </w:rPr>
            </w:pPr>
            <w:r>
              <w:rPr>
                <w:rFonts w:hint="eastAsia" w:ascii="仿宋" w:hAnsi="仿宋" w:eastAsia="仿宋" w:cs="仿宋"/>
                <w:highlight w:val="none"/>
              </w:rPr>
              <w:t>④</w:t>
            </w:r>
            <w:r>
              <w:rPr>
                <w:rFonts w:hint="default"/>
                <w:highlight w:val="none"/>
              </w:rPr>
              <w:t>灭菌锅用水</w:t>
            </w:r>
          </w:p>
          <w:p w14:paraId="41C41108">
            <w:pPr>
              <w:pStyle w:val="122"/>
              <w:keepNext w:val="0"/>
              <w:keepLines w:val="0"/>
              <w:suppressLineNumbers w:val="0"/>
              <w:bidi w:val="0"/>
              <w:spacing w:before="0" w:beforeAutospacing="0" w:after="0" w:afterAutospacing="0"/>
              <w:ind w:left="0" w:right="0"/>
              <w:rPr>
                <w:rFonts w:hint="eastAsia"/>
                <w:highlight w:val="none"/>
              </w:rPr>
            </w:pPr>
            <w:r>
              <w:rPr>
                <w:rFonts w:hint="eastAsia"/>
                <w:highlight w:val="none"/>
                <w:lang w:val="en-US" w:eastAsia="zh-CN"/>
              </w:rPr>
              <w:t>科创综合</w:t>
            </w:r>
            <w:r>
              <w:rPr>
                <w:rFonts w:hint="default"/>
                <w:highlight w:val="none"/>
              </w:rPr>
              <w:t>楼</w:t>
            </w:r>
            <w:r>
              <w:rPr>
                <w:rFonts w:hint="eastAsia"/>
                <w:highlight w:val="none"/>
                <w:lang w:val="en-US" w:eastAsia="zh-CN"/>
              </w:rPr>
              <w:t>每层各设置了1间灭菌间，共有30个高压灭菌锅（尺寸：0.8m*0.8m），采用电加热，灭菌水循环使用不外排，这30个高压灭菌锅总循环水量约20m</w:t>
            </w:r>
            <w:r>
              <w:rPr>
                <w:rFonts w:hint="eastAsia"/>
                <w:highlight w:val="none"/>
                <w:vertAlign w:val="superscript"/>
                <w:lang w:val="en-US" w:eastAsia="zh-CN"/>
              </w:rPr>
              <w:t>3</w:t>
            </w:r>
            <w:r>
              <w:rPr>
                <w:rFonts w:hint="eastAsia"/>
                <w:highlight w:val="none"/>
                <w:lang w:val="en-US" w:eastAsia="zh-CN"/>
              </w:rPr>
              <w:t>/h，日运行时间按8h计，则循环水量约160m</w:t>
            </w:r>
            <w:r>
              <w:rPr>
                <w:rFonts w:hint="eastAsia"/>
                <w:highlight w:val="none"/>
                <w:vertAlign w:val="superscript"/>
                <w:lang w:val="en-US" w:eastAsia="zh-CN"/>
              </w:rPr>
              <w:t>3</w:t>
            </w:r>
            <w:r>
              <w:rPr>
                <w:rFonts w:hint="eastAsia"/>
                <w:highlight w:val="none"/>
                <w:lang w:val="en-US" w:eastAsia="zh-CN"/>
              </w:rPr>
              <w:t>/d，蒸发损耗量综合按0.1%计，则蒸发补充水量约0.16m</w:t>
            </w:r>
            <w:r>
              <w:rPr>
                <w:rFonts w:hint="eastAsia"/>
                <w:highlight w:val="none"/>
                <w:vertAlign w:val="superscript"/>
                <w:lang w:val="en-US" w:eastAsia="zh-CN"/>
              </w:rPr>
              <w:t>3</w:t>
            </w:r>
            <w:r>
              <w:rPr>
                <w:rFonts w:hint="eastAsia"/>
                <w:highlight w:val="none"/>
                <w:lang w:val="en-US" w:eastAsia="zh-CN"/>
              </w:rPr>
              <w:t>/d，则科创综合</w:t>
            </w:r>
            <w:r>
              <w:rPr>
                <w:rFonts w:hint="default"/>
                <w:highlight w:val="none"/>
              </w:rPr>
              <w:t>楼</w:t>
            </w:r>
            <w:r>
              <w:rPr>
                <w:rFonts w:hint="eastAsia"/>
                <w:highlight w:val="none"/>
                <w:lang w:val="en-US" w:eastAsia="zh-CN"/>
              </w:rPr>
              <w:t>灭菌锅</w:t>
            </w:r>
            <w:r>
              <w:rPr>
                <w:rFonts w:hint="default"/>
                <w:highlight w:val="none"/>
              </w:rPr>
              <w:t>用水量约</w:t>
            </w:r>
            <w:r>
              <w:rPr>
                <w:rFonts w:hint="eastAsia"/>
                <w:highlight w:val="none"/>
                <w:lang w:val="en-US" w:eastAsia="zh-CN"/>
              </w:rPr>
              <w:t>41.6t</w:t>
            </w:r>
            <w:r>
              <w:rPr>
                <w:rFonts w:hint="default"/>
                <w:highlight w:val="none"/>
              </w:rPr>
              <w:t>/</w:t>
            </w:r>
            <w:r>
              <w:rPr>
                <w:rFonts w:hint="eastAsia"/>
                <w:highlight w:val="none"/>
                <w:lang w:val="en-US" w:eastAsia="zh-CN"/>
              </w:rPr>
              <w:t>a。</w:t>
            </w:r>
          </w:p>
          <w:p w14:paraId="2FF15D1C">
            <w:pPr>
              <w:pStyle w:val="122"/>
              <w:keepNext w:val="0"/>
              <w:keepLines w:val="0"/>
              <w:suppressLineNumbers w:val="0"/>
              <w:spacing w:before="0" w:beforeAutospacing="0" w:after="0" w:afterAutospacing="0"/>
              <w:ind w:left="0" w:right="0"/>
              <w:rPr>
                <w:rFonts w:hint="default"/>
                <w:highlight w:val="none"/>
              </w:rPr>
            </w:pPr>
            <w:r>
              <w:rPr>
                <w:rFonts w:hint="eastAsia" w:ascii="仿宋" w:hAnsi="仿宋" w:eastAsia="仿宋" w:cs="仿宋"/>
                <w:highlight w:val="none"/>
              </w:rPr>
              <w:t>⑤</w:t>
            </w:r>
            <w:r>
              <w:rPr>
                <w:rFonts w:hint="eastAsia"/>
                <w:highlight w:val="none"/>
              </w:rPr>
              <w:t>超纯水</w:t>
            </w:r>
            <w:r>
              <w:rPr>
                <w:rFonts w:hint="default"/>
                <w:highlight w:val="none"/>
              </w:rPr>
              <w:t>制备</w:t>
            </w:r>
            <w:r>
              <w:rPr>
                <w:rFonts w:hint="eastAsia"/>
                <w:highlight w:val="none"/>
              </w:rPr>
              <w:t>用水</w:t>
            </w:r>
          </w:p>
          <w:p w14:paraId="5B6F12F9">
            <w:pPr>
              <w:pStyle w:val="122"/>
              <w:keepNext w:val="0"/>
              <w:keepLines w:val="0"/>
              <w:suppressLineNumbers w:val="0"/>
              <w:spacing w:before="0" w:beforeAutospacing="0" w:after="0" w:afterAutospacing="0"/>
              <w:ind w:left="0" w:right="0"/>
              <w:rPr>
                <w:rFonts w:hint="default"/>
                <w:highlight w:val="none"/>
              </w:rPr>
            </w:pPr>
            <w:r>
              <w:rPr>
                <w:rFonts w:hint="eastAsia"/>
                <w:highlight w:val="none"/>
              </w:rPr>
              <w:t>根据设计</w:t>
            </w:r>
            <w:r>
              <w:rPr>
                <w:rFonts w:hint="default"/>
                <w:highlight w:val="none"/>
              </w:rPr>
              <w:t>材料，</w:t>
            </w:r>
            <w:r>
              <w:rPr>
                <w:rFonts w:hint="eastAsia"/>
                <w:highlight w:val="none"/>
                <w:lang w:val="en-US" w:eastAsia="zh-CN"/>
              </w:rPr>
              <w:t>科创综合楼共设置了3台</w:t>
            </w:r>
            <w:r>
              <w:rPr>
                <w:rFonts w:hint="default"/>
                <w:highlight w:val="none"/>
              </w:rPr>
              <w:t>超纯水机，工作原理是自来水经过</w:t>
            </w:r>
            <w:r>
              <w:rPr>
                <w:rFonts w:hint="default"/>
                <w:highlight w:val="none"/>
              </w:rPr>
              <w:fldChar w:fldCharType="begin"/>
            </w:r>
            <w:r>
              <w:rPr>
                <w:rFonts w:hint="default"/>
                <w:highlight w:val="none"/>
              </w:rPr>
              <w:instrText xml:space="preserve"> HYPERLINK "https://baike.baidu.com/item/%E7%B2%BE%E5%AF%86%E6%BB%A4%E8%8A%AF/7165273?fromModule=lemma_inlink" \t "_blank" </w:instrText>
            </w:r>
            <w:r>
              <w:rPr>
                <w:rFonts w:hint="default"/>
                <w:highlight w:val="none"/>
              </w:rPr>
              <w:fldChar w:fldCharType="separate"/>
            </w:r>
            <w:r>
              <w:rPr>
                <w:rFonts w:hint="default"/>
                <w:highlight w:val="none"/>
              </w:rPr>
              <w:t>精密滤芯</w:t>
            </w:r>
            <w:r>
              <w:rPr>
                <w:rFonts w:hint="default"/>
                <w:highlight w:val="none"/>
              </w:rPr>
              <w:fldChar w:fldCharType="end"/>
            </w:r>
            <w:r>
              <w:rPr>
                <w:rFonts w:hint="default"/>
                <w:highlight w:val="none"/>
              </w:rPr>
              <w:t>和</w:t>
            </w:r>
            <w:r>
              <w:rPr>
                <w:rFonts w:hint="default"/>
                <w:highlight w:val="none"/>
              </w:rPr>
              <w:fldChar w:fldCharType="begin"/>
            </w:r>
            <w:r>
              <w:rPr>
                <w:rFonts w:hint="default"/>
                <w:highlight w:val="none"/>
              </w:rPr>
              <w:instrText xml:space="preserve"> HYPERLINK "https://baike.baidu.com/item/%E6%B4%BB%E6%80%A7%E7%82%AD%E6%BB%A4%E8%8A%AF/1741115?fromModule=lemma_inlink" \t "_blank" </w:instrText>
            </w:r>
            <w:r>
              <w:rPr>
                <w:rFonts w:hint="default"/>
                <w:highlight w:val="none"/>
              </w:rPr>
              <w:fldChar w:fldCharType="separate"/>
            </w:r>
            <w:r>
              <w:rPr>
                <w:rFonts w:hint="default"/>
                <w:highlight w:val="none"/>
              </w:rPr>
              <w:t>活性炭滤芯</w:t>
            </w:r>
            <w:r>
              <w:rPr>
                <w:rFonts w:hint="default"/>
                <w:highlight w:val="none"/>
              </w:rPr>
              <w:fldChar w:fldCharType="end"/>
            </w:r>
            <w:r>
              <w:rPr>
                <w:rFonts w:hint="default"/>
                <w:highlight w:val="none"/>
              </w:rPr>
              <w:t>进行预处理，过滤泥沙等颗粒物和吸附异味等，让自来水变得更加干净，然后再通过</w:t>
            </w:r>
            <w:r>
              <w:rPr>
                <w:rFonts w:hint="default"/>
                <w:highlight w:val="none"/>
              </w:rPr>
              <w:fldChar w:fldCharType="begin"/>
            </w:r>
            <w:r>
              <w:rPr>
                <w:rFonts w:hint="default"/>
                <w:highlight w:val="none"/>
              </w:rPr>
              <w:instrText xml:space="preserve"> HYPERLINK "https://baike.baidu.com/item/%E5%8F%8D%E6%B8%97%E9%80%8F%E8%A3%85%E7%BD%AE/1205063?fromModule=lemma_inlink" \t "_blank" </w:instrText>
            </w:r>
            <w:r>
              <w:rPr>
                <w:rFonts w:hint="default"/>
                <w:highlight w:val="none"/>
              </w:rPr>
              <w:fldChar w:fldCharType="separate"/>
            </w:r>
            <w:r>
              <w:rPr>
                <w:rFonts w:hint="default"/>
                <w:highlight w:val="none"/>
              </w:rPr>
              <w:t>反渗透装置</w:t>
            </w:r>
            <w:r>
              <w:rPr>
                <w:rFonts w:hint="default"/>
                <w:highlight w:val="none"/>
              </w:rPr>
              <w:fldChar w:fldCharType="end"/>
            </w:r>
            <w:r>
              <w:rPr>
                <w:rFonts w:hint="default"/>
                <w:highlight w:val="none"/>
              </w:rPr>
              <w:t>进行水质纯化脱盐，纯水进入储水箱储存起来，同时反渗透装置</w:t>
            </w:r>
            <w:r>
              <w:rPr>
                <w:rFonts w:hint="eastAsia"/>
                <w:highlight w:val="none"/>
              </w:rPr>
              <w:t>产生</w:t>
            </w:r>
            <w:r>
              <w:rPr>
                <w:rFonts w:hint="default"/>
                <w:highlight w:val="none"/>
              </w:rPr>
              <w:t>的废水排掉</w:t>
            </w:r>
            <w:r>
              <w:rPr>
                <w:rFonts w:hint="default"/>
                <w:color w:val="auto"/>
                <w:highlight w:val="none"/>
              </w:rPr>
              <w:t>。</w:t>
            </w:r>
            <w:r>
              <w:rPr>
                <w:rFonts w:hint="eastAsia"/>
                <w:color w:val="auto"/>
                <w:highlight w:val="none"/>
              </w:rPr>
              <w:t>纯水</w:t>
            </w:r>
            <w:r>
              <w:rPr>
                <w:rFonts w:hint="default"/>
                <w:color w:val="auto"/>
                <w:highlight w:val="none"/>
              </w:rPr>
              <w:t>用水量约</w:t>
            </w:r>
            <w:r>
              <w:rPr>
                <w:rFonts w:hint="eastAsia"/>
                <w:color w:val="auto"/>
                <w:highlight w:val="none"/>
                <w:lang w:val="en-US" w:eastAsia="zh-CN"/>
              </w:rPr>
              <w:t>858</w:t>
            </w:r>
            <w:r>
              <w:rPr>
                <w:rFonts w:hint="default"/>
                <w:color w:val="auto"/>
                <w:highlight w:val="none"/>
              </w:rPr>
              <w:t>m³/a</w:t>
            </w:r>
            <w:r>
              <w:rPr>
                <w:rFonts w:hint="eastAsia"/>
                <w:color w:val="auto"/>
                <w:highlight w:val="none"/>
              </w:rPr>
              <w:t>，</w:t>
            </w:r>
            <w:r>
              <w:rPr>
                <w:rFonts w:hint="default"/>
                <w:color w:val="auto"/>
                <w:highlight w:val="none"/>
              </w:rPr>
              <w:t>纯水制备率为</w:t>
            </w:r>
            <w:r>
              <w:rPr>
                <w:rFonts w:hint="eastAsia"/>
                <w:color w:val="auto"/>
                <w:highlight w:val="none"/>
              </w:rPr>
              <w:t>70</w:t>
            </w:r>
            <w:r>
              <w:rPr>
                <w:rFonts w:hint="default"/>
                <w:color w:val="auto"/>
                <w:highlight w:val="none"/>
              </w:rPr>
              <w:t>%，则原水用量约</w:t>
            </w:r>
            <w:r>
              <w:rPr>
                <w:rFonts w:hint="eastAsia"/>
                <w:color w:val="auto"/>
                <w:highlight w:val="none"/>
                <w:lang w:val="en-US" w:eastAsia="zh-CN"/>
              </w:rPr>
              <w:t>1225.7</w:t>
            </w:r>
            <w:r>
              <w:rPr>
                <w:rFonts w:hint="default"/>
                <w:color w:val="auto"/>
                <w:highlight w:val="none"/>
              </w:rPr>
              <w:t>t/a</w:t>
            </w:r>
            <w:r>
              <w:rPr>
                <w:rFonts w:hint="eastAsia"/>
                <w:color w:val="auto"/>
                <w:highlight w:val="none"/>
              </w:rPr>
              <w:t>，产生浓水</w:t>
            </w:r>
            <w:r>
              <w:rPr>
                <w:rFonts w:hint="eastAsia"/>
                <w:color w:val="auto"/>
                <w:highlight w:val="none"/>
                <w:lang w:val="en-US" w:eastAsia="zh-CN"/>
              </w:rPr>
              <w:t>367.7</w:t>
            </w:r>
            <w:r>
              <w:rPr>
                <w:rFonts w:hint="eastAsia"/>
                <w:color w:val="auto"/>
                <w:highlight w:val="none"/>
              </w:rPr>
              <w:t>t/</w:t>
            </w:r>
            <w:r>
              <w:rPr>
                <w:rFonts w:hint="default"/>
                <w:color w:val="auto"/>
                <w:highlight w:val="none"/>
              </w:rPr>
              <w:t>a</w:t>
            </w:r>
            <w:r>
              <w:rPr>
                <w:rFonts w:hint="eastAsia"/>
                <w:color w:val="auto"/>
                <w:highlight w:val="none"/>
              </w:rPr>
              <w:t>。超</w:t>
            </w:r>
            <w:r>
              <w:rPr>
                <w:rFonts w:hint="default"/>
                <w:color w:val="auto"/>
                <w:highlight w:val="none"/>
              </w:rPr>
              <w:t>纯</w:t>
            </w:r>
            <w:r>
              <w:rPr>
                <w:rFonts w:hint="default"/>
                <w:highlight w:val="none"/>
              </w:rPr>
              <w:t>水机定期更换</w:t>
            </w:r>
            <w:r>
              <w:rPr>
                <w:rFonts w:hint="eastAsia"/>
                <w:highlight w:val="none"/>
              </w:rPr>
              <w:t>滤芯，</w:t>
            </w:r>
            <w:r>
              <w:rPr>
                <w:rFonts w:hint="default"/>
                <w:highlight w:val="none"/>
              </w:rPr>
              <w:t>不进行</w:t>
            </w:r>
            <w:r>
              <w:rPr>
                <w:rFonts w:hint="eastAsia"/>
                <w:highlight w:val="none"/>
              </w:rPr>
              <w:t>反冲洗</w:t>
            </w:r>
            <w:r>
              <w:rPr>
                <w:rFonts w:hint="default"/>
                <w:highlight w:val="none"/>
              </w:rPr>
              <w:t>。</w:t>
            </w:r>
          </w:p>
          <w:p w14:paraId="7EBDE718">
            <w:pPr>
              <w:keepNext w:val="0"/>
              <w:keepLines w:val="0"/>
              <w:suppressLineNumbers w:val="0"/>
              <w:adjustRightInd w:val="0"/>
              <w:snapToGrid w:val="0"/>
              <w:spacing w:before="0" w:beforeAutospacing="0" w:after="0" w:afterAutospacing="0" w:line="360" w:lineRule="auto"/>
              <w:ind w:left="0" w:right="0" w:firstLine="480" w:firstLineChars="200"/>
              <w:rPr>
                <w:rFonts w:hint="default"/>
                <w:snapToGrid w:val="0"/>
                <w:highlight w:val="none"/>
              </w:rPr>
            </w:pPr>
            <w:r>
              <w:rPr>
                <w:rFonts w:hint="eastAsia"/>
                <w:snapToGrid w:val="0"/>
                <w:highlight w:val="none"/>
              </w:rPr>
              <w:t>本项目水平衡图如图</w:t>
            </w:r>
            <w:r>
              <w:rPr>
                <w:rFonts w:hint="default"/>
                <w:snapToGrid w:val="0"/>
                <w:highlight w:val="none"/>
              </w:rPr>
              <w:t>2-1</w:t>
            </w:r>
            <w:r>
              <w:rPr>
                <w:rFonts w:hint="eastAsia"/>
                <w:snapToGrid w:val="0"/>
                <w:highlight w:val="none"/>
              </w:rPr>
              <w:t>。</w:t>
            </w:r>
          </w:p>
          <w:p w14:paraId="0A76B67B">
            <w:pPr>
              <w:pStyle w:val="7"/>
              <w:keepNext w:val="0"/>
              <w:keepLines w:val="0"/>
              <w:suppressLineNumbers w:val="0"/>
              <w:spacing w:before="0" w:beforeAutospacing="0" w:after="0" w:afterAutospacing="0" w:line="360" w:lineRule="auto"/>
              <w:ind w:left="0" w:right="0" w:firstLine="0" w:firstLineChars="0"/>
              <w:jc w:val="center"/>
              <w:rPr>
                <w:rFonts w:hint="eastAsia" w:eastAsia="宋体"/>
                <w:highlight w:val="none"/>
                <w:lang w:eastAsia="zh-CN"/>
              </w:rPr>
            </w:pPr>
            <w:r>
              <w:rPr>
                <w:rFonts w:hint="eastAsia" w:eastAsia="宋体"/>
                <w:highlight w:val="none"/>
                <w:lang w:eastAsia="zh-CN"/>
              </w:rPr>
              <w:object>
                <v:shape id="_x0000_i1025" o:spt="75" type="#_x0000_t75" style="height:622.7pt;width:414.85pt;" o:ole="t" filled="f" o:preferrelative="t" stroked="f" coordsize="21600,21600">
                  <v:path/>
                  <v:fill on="f" focussize="0,0"/>
                  <v:stroke on="f"/>
                  <v:imagedata r:id="rId17" o:title=""/>
                  <o:lock v:ext="edit" aspectratio="f"/>
                  <w10:wrap type="none"/>
                  <w10:anchorlock/>
                </v:shape>
                <o:OLEObject Type="Embed" ProgID="Visio.Drawing.11" ShapeID="_x0000_i1025" DrawAspect="Content" ObjectID="_1468075725" r:id="rId16">
                  <o:LockedField>false</o:LockedField>
                </o:OLEObject>
              </w:object>
            </w:r>
          </w:p>
          <w:p w14:paraId="1CF693D7">
            <w:pPr>
              <w:pStyle w:val="7"/>
              <w:keepNext w:val="0"/>
              <w:keepLines w:val="0"/>
              <w:suppressLineNumbers w:val="0"/>
              <w:spacing w:before="0" w:beforeAutospacing="0" w:after="0" w:afterAutospacing="0" w:line="360" w:lineRule="auto"/>
              <w:ind w:left="0" w:right="0" w:firstLine="0" w:firstLineChars="0"/>
              <w:jc w:val="center"/>
              <w:rPr>
                <w:rFonts w:hint="default"/>
                <w:sz w:val="24"/>
                <w:szCs w:val="24"/>
                <w:highlight w:val="none"/>
              </w:rPr>
            </w:pPr>
            <w:r>
              <w:rPr>
                <w:rFonts w:hint="eastAsia"/>
                <w:b/>
                <w:bCs/>
                <w:sz w:val="24"/>
                <w:highlight w:val="none"/>
              </w:rPr>
              <w:t>图</w:t>
            </w:r>
            <w:r>
              <w:rPr>
                <w:rFonts w:hint="default"/>
                <w:b/>
                <w:bCs/>
                <w:sz w:val="24"/>
                <w:highlight w:val="none"/>
              </w:rPr>
              <w:t>2</w:t>
            </w:r>
            <w:r>
              <w:rPr>
                <w:rFonts w:hint="default" w:ascii="宋体" w:cs="宋体"/>
                <w:b/>
                <w:bCs/>
                <w:sz w:val="24"/>
                <w:highlight w:val="none"/>
              </w:rPr>
              <w:t>-</w:t>
            </w:r>
            <w:r>
              <w:rPr>
                <w:rFonts w:hint="default"/>
                <w:b/>
                <w:bCs/>
                <w:sz w:val="24"/>
                <w:highlight w:val="none"/>
              </w:rPr>
              <w:t xml:space="preserve">1  </w:t>
            </w:r>
            <w:r>
              <w:rPr>
                <w:rFonts w:hint="eastAsia"/>
                <w:b/>
                <w:bCs/>
                <w:sz w:val="24"/>
                <w:highlight w:val="none"/>
              </w:rPr>
              <w:t>水平衡图（单位：</w:t>
            </w:r>
            <w:r>
              <w:rPr>
                <w:rFonts w:hint="eastAsia"/>
                <w:b/>
                <w:bCs/>
                <w:sz w:val="24"/>
                <w:highlight w:val="none"/>
                <w:lang w:val="en-US" w:eastAsia="zh-CN"/>
              </w:rPr>
              <w:t>m</w:t>
            </w:r>
            <w:r>
              <w:rPr>
                <w:rFonts w:hint="eastAsia"/>
                <w:b/>
                <w:bCs/>
                <w:sz w:val="24"/>
                <w:highlight w:val="none"/>
                <w:vertAlign w:val="superscript"/>
                <w:lang w:val="en-US" w:eastAsia="zh-CN"/>
              </w:rPr>
              <w:t>3</w:t>
            </w:r>
            <w:r>
              <w:rPr>
                <w:rFonts w:hint="default" w:ascii="宋体" w:hAnsi="宋体" w:cs="宋体"/>
                <w:b/>
                <w:bCs/>
                <w:sz w:val="24"/>
                <w:highlight w:val="none"/>
              </w:rPr>
              <w:t>/</w:t>
            </w:r>
            <w:r>
              <w:rPr>
                <w:rFonts w:hint="default"/>
                <w:b/>
                <w:bCs/>
                <w:sz w:val="24"/>
                <w:highlight w:val="none"/>
              </w:rPr>
              <w:t>a</w:t>
            </w:r>
            <w:r>
              <w:rPr>
                <w:rFonts w:hint="eastAsia"/>
                <w:b/>
                <w:bCs/>
                <w:sz w:val="24"/>
                <w:highlight w:val="none"/>
              </w:rPr>
              <w:t>）</w:t>
            </w:r>
          </w:p>
        </w:tc>
      </w:tr>
      <w:tr w14:paraId="48F2110E">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28" w:type="dxa"/>
            <w:bottom w:w="0" w:type="dxa"/>
            <w:right w:w="28" w:type="dxa"/>
          </w:tblCellMar>
        </w:tblPrEx>
        <w:trPr>
          <w:trHeight w:val="90" w:hRule="atLeast"/>
          <w:jc w:val="center"/>
        </w:trPr>
        <w:tc>
          <w:tcPr>
            <w:tcW w:w="542" w:type="dxa"/>
            <w:vAlign w:val="center"/>
          </w:tcPr>
          <w:p w14:paraId="00689767">
            <w:pPr>
              <w:pStyle w:val="27"/>
              <w:keepNext w:val="0"/>
              <w:keepLines w:val="0"/>
              <w:suppressLineNumbers w:val="0"/>
              <w:adjustRightInd w:val="0"/>
              <w:snapToGrid w:val="0"/>
              <w:spacing w:before="0" w:beforeAutospacing="0" w:after="0" w:afterAutospacing="0"/>
              <w:ind w:left="0" w:right="0"/>
              <w:jc w:val="center"/>
              <w:rPr>
                <w:rFonts w:hint="eastAsia" w:ascii="Times New Roman"/>
                <w:sz w:val="21"/>
                <w:szCs w:val="21"/>
                <w:highlight w:val="none"/>
              </w:rPr>
            </w:pPr>
          </w:p>
          <w:p w14:paraId="5C8EE7AF">
            <w:pPr>
              <w:pStyle w:val="27"/>
              <w:keepNext w:val="0"/>
              <w:keepLines w:val="0"/>
              <w:suppressLineNumbers w:val="0"/>
              <w:adjustRightInd w:val="0"/>
              <w:snapToGrid w:val="0"/>
              <w:spacing w:before="0" w:beforeAutospacing="0" w:after="0" w:afterAutospacing="0"/>
              <w:ind w:left="0" w:right="0"/>
              <w:jc w:val="center"/>
              <w:rPr>
                <w:rFonts w:hint="default" w:ascii="Times New Roman"/>
                <w:sz w:val="21"/>
                <w:szCs w:val="21"/>
                <w:highlight w:val="none"/>
              </w:rPr>
            </w:pPr>
          </w:p>
          <w:p w14:paraId="3BFF6908">
            <w:pPr>
              <w:pStyle w:val="27"/>
              <w:keepNext w:val="0"/>
              <w:keepLines w:val="0"/>
              <w:suppressLineNumbers w:val="0"/>
              <w:adjustRightInd w:val="0"/>
              <w:snapToGrid w:val="0"/>
              <w:spacing w:before="0" w:beforeAutospacing="0" w:after="0" w:afterAutospacing="0"/>
              <w:ind w:left="0" w:right="0"/>
              <w:jc w:val="center"/>
              <w:rPr>
                <w:rFonts w:hint="default" w:ascii="Times New Roman"/>
                <w:sz w:val="21"/>
                <w:szCs w:val="21"/>
                <w:highlight w:val="none"/>
              </w:rPr>
            </w:pPr>
          </w:p>
          <w:p w14:paraId="566C28DA">
            <w:pPr>
              <w:pStyle w:val="27"/>
              <w:keepNext w:val="0"/>
              <w:keepLines w:val="0"/>
              <w:suppressLineNumbers w:val="0"/>
              <w:adjustRightInd w:val="0"/>
              <w:snapToGrid w:val="0"/>
              <w:spacing w:before="0" w:beforeAutospacing="0" w:after="0" w:afterAutospacing="0"/>
              <w:ind w:left="0" w:right="0"/>
              <w:jc w:val="center"/>
              <w:rPr>
                <w:rFonts w:hint="default" w:ascii="Times New Roman"/>
                <w:sz w:val="21"/>
                <w:szCs w:val="21"/>
                <w:highlight w:val="none"/>
              </w:rPr>
            </w:pPr>
          </w:p>
          <w:p w14:paraId="3BDC6975">
            <w:pPr>
              <w:pStyle w:val="27"/>
              <w:keepNext w:val="0"/>
              <w:keepLines w:val="0"/>
              <w:suppressLineNumbers w:val="0"/>
              <w:adjustRightInd w:val="0"/>
              <w:snapToGrid w:val="0"/>
              <w:spacing w:before="0" w:beforeAutospacing="0" w:after="0" w:afterAutospacing="0"/>
              <w:ind w:left="0" w:right="0"/>
              <w:jc w:val="center"/>
              <w:rPr>
                <w:rFonts w:hint="default" w:ascii="Times New Roman"/>
                <w:sz w:val="21"/>
                <w:szCs w:val="21"/>
                <w:highlight w:val="none"/>
              </w:rPr>
            </w:pPr>
          </w:p>
          <w:p w14:paraId="6B769844">
            <w:pPr>
              <w:pStyle w:val="27"/>
              <w:keepNext w:val="0"/>
              <w:keepLines w:val="0"/>
              <w:suppressLineNumbers w:val="0"/>
              <w:adjustRightInd w:val="0"/>
              <w:snapToGrid w:val="0"/>
              <w:spacing w:before="0" w:beforeAutospacing="0" w:after="0" w:afterAutospacing="0"/>
              <w:ind w:left="0" w:right="0"/>
              <w:jc w:val="center"/>
              <w:rPr>
                <w:rFonts w:hint="default" w:ascii="Times New Roman"/>
                <w:sz w:val="21"/>
                <w:szCs w:val="21"/>
                <w:highlight w:val="none"/>
              </w:rPr>
            </w:pPr>
          </w:p>
          <w:p w14:paraId="5A9E74C0">
            <w:pPr>
              <w:pStyle w:val="27"/>
              <w:keepNext w:val="0"/>
              <w:keepLines w:val="0"/>
              <w:suppressLineNumbers w:val="0"/>
              <w:adjustRightInd w:val="0"/>
              <w:snapToGrid w:val="0"/>
              <w:spacing w:before="0" w:beforeAutospacing="0" w:after="0" w:afterAutospacing="0"/>
              <w:ind w:left="0" w:right="0"/>
              <w:jc w:val="center"/>
              <w:rPr>
                <w:rFonts w:hint="default" w:ascii="Times New Roman"/>
                <w:sz w:val="21"/>
                <w:szCs w:val="21"/>
                <w:highlight w:val="none"/>
              </w:rPr>
            </w:pPr>
          </w:p>
          <w:p w14:paraId="3772BE14">
            <w:pPr>
              <w:pStyle w:val="27"/>
              <w:keepNext w:val="0"/>
              <w:keepLines w:val="0"/>
              <w:suppressLineNumbers w:val="0"/>
              <w:adjustRightInd w:val="0"/>
              <w:snapToGrid w:val="0"/>
              <w:spacing w:before="0" w:beforeAutospacing="0" w:after="0" w:afterAutospacing="0"/>
              <w:ind w:left="0" w:right="0"/>
              <w:jc w:val="center"/>
              <w:rPr>
                <w:rFonts w:hint="default" w:ascii="Times New Roman"/>
                <w:sz w:val="21"/>
                <w:szCs w:val="21"/>
                <w:highlight w:val="none"/>
              </w:rPr>
            </w:pPr>
          </w:p>
          <w:p w14:paraId="7D1B550A">
            <w:pPr>
              <w:pStyle w:val="27"/>
              <w:keepNext w:val="0"/>
              <w:keepLines w:val="0"/>
              <w:suppressLineNumbers w:val="0"/>
              <w:adjustRightInd w:val="0"/>
              <w:snapToGrid w:val="0"/>
              <w:spacing w:before="0" w:beforeAutospacing="0" w:after="0" w:afterAutospacing="0"/>
              <w:ind w:left="0" w:right="0"/>
              <w:jc w:val="center"/>
              <w:rPr>
                <w:rFonts w:hint="default" w:ascii="Times New Roman"/>
                <w:sz w:val="21"/>
                <w:szCs w:val="21"/>
                <w:highlight w:val="none"/>
              </w:rPr>
            </w:pPr>
          </w:p>
          <w:p w14:paraId="441400EE">
            <w:pPr>
              <w:pStyle w:val="27"/>
              <w:keepNext w:val="0"/>
              <w:keepLines w:val="0"/>
              <w:suppressLineNumbers w:val="0"/>
              <w:adjustRightInd w:val="0"/>
              <w:snapToGrid w:val="0"/>
              <w:spacing w:before="0" w:beforeAutospacing="0" w:after="0" w:afterAutospacing="0"/>
              <w:ind w:left="0" w:right="0"/>
              <w:jc w:val="center"/>
              <w:rPr>
                <w:rFonts w:hint="default" w:ascii="Times New Roman"/>
                <w:sz w:val="21"/>
                <w:szCs w:val="21"/>
                <w:highlight w:val="none"/>
              </w:rPr>
            </w:pPr>
          </w:p>
          <w:p w14:paraId="5CA6DA48">
            <w:pPr>
              <w:pStyle w:val="27"/>
              <w:keepNext w:val="0"/>
              <w:keepLines w:val="0"/>
              <w:suppressLineNumbers w:val="0"/>
              <w:adjustRightInd w:val="0"/>
              <w:snapToGrid w:val="0"/>
              <w:spacing w:before="0" w:beforeAutospacing="0" w:after="0" w:afterAutospacing="0"/>
              <w:ind w:left="0" w:right="0"/>
              <w:jc w:val="center"/>
              <w:rPr>
                <w:rFonts w:hint="default" w:ascii="Times New Roman"/>
                <w:sz w:val="21"/>
                <w:szCs w:val="21"/>
                <w:highlight w:val="none"/>
              </w:rPr>
            </w:pPr>
          </w:p>
          <w:p w14:paraId="52AD0DC6">
            <w:pPr>
              <w:pStyle w:val="27"/>
              <w:keepNext w:val="0"/>
              <w:keepLines w:val="0"/>
              <w:suppressLineNumbers w:val="0"/>
              <w:adjustRightInd w:val="0"/>
              <w:snapToGrid w:val="0"/>
              <w:spacing w:before="0" w:beforeAutospacing="0" w:after="0" w:afterAutospacing="0"/>
              <w:ind w:left="0" w:right="0"/>
              <w:jc w:val="center"/>
              <w:rPr>
                <w:rFonts w:hint="default" w:ascii="Times New Roman"/>
                <w:sz w:val="21"/>
                <w:szCs w:val="21"/>
                <w:highlight w:val="none"/>
              </w:rPr>
            </w:pPr>
          </w:p>
          <w:p w14:paraId="32785E7E">
            <w:pPr>
              <w:pStyle w:val="27"/>
              <w:keepNext w:val="0"/>
              <w:keepLines w:val="0"/>
              <w:suppressLineNumbers w:val="0"/>
              <w:adjustRightInd w:val="0"/>
              <w:snapToGrid w:val="0"/>
              <w:spacing w:before="0" w:beforeAutospacing="0" w:after="0" w:afterAutospacing="0"/>
              <w:ind w:left="0" w:right="0"/>
              <w:jc w:val="center"/>
              <w:rPr>
                <w:rFonts w:hint="default" w:ascii="Times New Roman"/>
                <w:sz w:val="21"/>
                <w:szCs w:val="21"/>
                <w:highlight w:val="none"/>
              </w:rPr>
            </w:pPr>
          </w:p>
          <w:p w14:paraId="67F4A65C">
            <w:pPr>
              <w:pStyle w:val="27"/>
              <w:keepNext w:val="0"/>
              <w:keepLines w:val="0"/>
              <w:suppressLineNumbers w:val="0"/>
              <w:adjustRightInd w:val="0"/>
              <w:snapToGrid w:val="0"/>
              <w:spacing w:before="0" w:beforeAutospacing="0" w:after="0" w:afterAutospacing="0"/>
              <w:ind w:left="0" w:right="0"/>
              <w:jc w:val="center"/>
              <w:rPr>
                <w:rFonts w:hint="default" w:ascii="Times New Roman"/>
                <w:color w:val="FF0000"/>
                <w:sz w:val="21"/>
                <w:szCs w:val="21"/>
                <w:highlight w:val="none"/>
              </w:rPr>
            </w:pPr>
          </w:p>
          <w:p w14:paraId="0696D0E3">
            <w:pPr>
              <w:pStyle w:val="27"/>
              <w:keepNext w:val="0"/>
              <w:keepLines w:val="0"/>
              <w:suppressLineNumbers w:val="0"/>
              <w:adjustRightInd w:val="0"/>
              <w:snapToGrid w:val="0"/>
              <w:spacing w:before="0" w:beforeAutospacing="0" w:after="0" w:afterAutospacing="0"/>
              <w:ind w:left="0" w:right="0"/>
              <w:jc w:val="center"/>
              <w:rPr>
                <w:rFonts w:hint="default" w:ascii="Times New Roman"/>
                <w:color w:val="FF0000"/>
                <w:sz w:val="21"/>
                <w:szCs w:val="21"/>
                <w:highlight w:val="none"/>
              </w:rPr>
            </w:pPr>
          </w:p>
          <w:p w14:paraId="38A70D01">
            <w:pPr>
              <w:pStyle w:val="27"/>
              <w:keepNext w:val="0"/>
              <w:keepLines w:val="0"/>
              <w:suppressLineNumbers w:val="0"/>
              <w:adjustRightInd w:val="0"/>
              <w:snapToGrid w:val="0"/>
              <w:spacing w:before="0" w:beforeAutospacing="0" w:after="0" w:afterAutospacing="0"/>
              <w:ind w:left="0" w:right="0"/>
              <w:jc w:val="center"/>
              <w:rPr>
                <w:rFonts w:hint="default" w:ascii="Times New Roman"/>
                <w:color w:val="FF0000"/>
                <w:sz w:val="21"/>
                <w:szCs w:val="21"/>
                <w:highlight w:val="none"/>
              </w:rPr>
            </w:pPr>
          </w:p>
          <w:p w14:paraId="5F60A5E8">
            <w:pPr>
              <w:pStyle w:val="27"/>
              <w:keepNext w:val="0"/>
              <w:keepLines w:val="0"/>
              <w:suppressLineNumbers w:val="0"/>
              <w:adjustRightInd w:val="0"/>
              <w:snapToGrid w:val="0"/>
              <w:spacing w:before="0" w:beforeAutospacing="0" w:after="0" w:afterAutospacing="0"/>
              <w:ind w:left="0" w:right="0"/>
              <w:jc w:val="center"/>
              <w:rPr>
                <w:rFonts w:hint="default" w:ascii="Times New Roman"/>
                <w:color w:val="FF0000"/>
                <w:sz w:val="21"/>
                <w:szCs w:val="21"/>
                <w:highlight w:val="none"/>
              </w:rPr>
            </w:pPr>
          </w:p>
          <w:p w14:paraId="6DB635D3">
            <w:pPr>
              <w:pStyle w:val="27"/>
              <w:keepNext w:val="0"/>
              <w:keepLines w:val="0"/>
              <w:suppressLineNumbers w:val="0"/>
              <w:adjustRightInd w:val="0"/>
              <w:snapToGrid w:val="0"/>
              <w:spacing w:before="0" w:beforeAutospacing="0" w:after="0" w:afterAutospacing="0"/>
              <w:ind w:left="0" w:right="0"/>
              <w:jc w:val="center"/>
              <w:rPr>
                <w:rFonts w:hint="default" w:ascii="Times New Roman"/>
                <w:color w:val="FF0000"/>
                <w:sz w:val="21"/>
                <w:szCs w:val="21"/>
                <w:highlight w:val="none"/>
              </w:rPr>
            </w:pPr>
          </w:p>
          <w:p w14:paraId="5E285318">
            <w:pPr>
              <w:pStyle w:val="27"/>
              <w:keepNext w:val="0"/>
              <w:keepLines w:val="0"/>
              <w:suppressLineNumbers w:val="0"/>
              <w:adjustRightInd w:val="0"/>
              <w:snapToGrid w:val="0"/>
              <w:spacing w:before="0" w:beforeAutospacing="0" w:after="0" w:afterAutospacing="0"/>
              <w:ind w:left="0" w:right="0"/>
              <w:jc w:val="center"/>
              <w:rPr>
                <w:rFonts w:hint="default" w:ascii="Times New Roman"/>
                <w:sz w:val="21"/>
                <w:szCs w:val="21"/>
                <w:highlight w:val="none"/>
              </w:rPr>
            </w:pPr>
          </w:p>
          <w:p w14:paraId="70AEC817">
            <w:pPr>
              <w:pStyle w:val="27"/>
              <w:keepNext w:val="0"/>
              <w:keepLines w:val="0"/>
              <w:suppressLineNumbers w:val="0"/>
              <w:adjustRightInd w:val="0"/>
              <w:snapToGrid w:val="0"/>
              <w:spacing w:before="0" w:beforeAutospacing="0" w:after="0" w:afterAutospacing="0"/>
              <w:ind w:left="0" w:right="0"/>
              <w:jc w:val="center"/>
              <w:rPr>
                <w:rFonts w:hint="default" w:ascii="Times New Roman"/>
                <w:sz w:val="21"/>
                <w:szCs w:val="21"/>
                <w:highlight w:val="none"/>
              </w:rPr>
            </w:pPr>
          </w:p>
          <w:p w14:paraId="37BE6084">
            <w:pPr>
              <w:pStyle w:val="27"/>
              <w:keepNext w:val="0"/>
              <w:keepLines w:val="0"/>
              <w:suppressLineNumbers w:val="0"/>
              <w:adjustRightInd w:val="0"/>
              <w:snapToGrid w:val="0"/>
              <w:spacing w:before="0" w:beforeAutospacing="0" w:after="0" w:afterAutospacing="0"/>
              <w:ind w:left="0" w:right="0"/>
              <w:jc w:val="center"/>
              <w:rPr>
                <w:rFonts w:hint="eastAsia" w:ascii="Times New Roman"/>
                <w:sz w:val="21"/>
                <w:szCs w:val="21"/>
                <w:highlight w:val="none"/>
              </w:rPr>
            </w:pPr>
          </w:p>
          <w:p w14:paraId="430A79B5">
            <w:pPr>
              <w:pStyle w:val="27"/>
              <w:keepNext w:val="0"/>
              <w:keepLines w:val="0"/>
              <w:suppressLineNumbers w:val="0"/>
              <w:adjustRightInd w:val="0"/>
              <w:snapToGrid w:val="0"/>
              <w:spacing w:before="0" w:beforeAutospacing="0" w:after="0" w:afterAutospacing="0"/>
              <w:ind w:left="0" w:right="0"/>
              <w:jc w:val="center"/>
              <w:rPr>
                <w:rFonts w:hint="default" w:ascii="Times New Roman"/>
                <w:sz w:val="21"/>
                <w:szCs w:val="21"/>
                <w:highlight w:val="none"/>
              </w:rPr>
            </w:pPr>
            <w:r>
              <w:rPr>
                <w:rFonts w:hint="eastAsia" w:ascii="Times New Roman"/>
                <w:sz w:val="21"/>
                <w:szCs w:val="21"/>
                <w:highlight w:val="none"/>
              </w:rPr>
              <w:t>工艺流程和产排污环节</w:t>
            </w:r>
          </w:p>
          <w:p w14:paraId="1071675E">
            <w:pPr>
              <w:pStyle w:val="27"/>
              <w:keepNext w:val="0"/>
              <w:keepLines w:val="0"/>
              <w:suppressLineNumbers w:val="0"/>
              <w:adjustRightInd w:val="0"/>
              <w:snapToGrid w:val="0"/>
              <w:spacing w:before="0" w:beforeAutospacing="0" w:after="0" w:afterAutospacing="0"/>
              <w:ind w:left="0" w:right="0"/>
              <w:jc w:val="center"/>
              <w:rPr>
                <w:rFonts w:hint="default" w:ascii="Times New Roman"/>
                <w:sz w:val="21"/>
                <w:szCs w:val="21"/>
                <w:highlight w:val="none"/>
              </w:rPr>
            </w:pPr>
          </w:p>
          <w:p w14:paraId="476C801A">
            <w:pPr>
              <w:pStyle w:val="27"/>
              <w:keepNext w:val="0"/>
              <w:keepLines w:val="0"/>
              <w:suppressLineNumbers w:val="0"/>
              <w:adjustRightInd w:val="0"/>
              <w:snapToGrid w:val="0"/>
              <w:spacing w:before="0" w:beforeAutospacing="0" w:after="0" w:afterAutospacing="0"/>
              <w:ind w:left="0" w:right="0"/>
              <w:jc w:val="center"/>
              <w:rPr>
                <w:rFonts w:hint="default" w:ascii="Times New Roman"/>
                <w:sz w:val="21"/>
                <w:szCs w:val="21"/>
                <w:highlight w:val="none"/>
              </w:rPr>
            </w:pPr>
          </w:p>
          <w:p w14:paraId="35AF6221">
            <w:pPr>
              <w:pStyle w:val="27"/>
              <w:keepNext w:val="0"/>
              <w:keepLines w:val="0"/>
              <w:suppressLineNumbers w:val="0"/>
              <w:adjustRightInd w:val="0"/>
              <w:snapToGrid w:val="0"/>
              <w:spacing w:before="0" w:beforeAutospacing="0" w:after="0" w:afterAutospacing="0"/>
              <w:ind w:left="0" w:right="0"/>
              <w:jc w:val="center"/>
              <w:rPr>
                <w:rFonts w:hint="default" w:ascii="Times New Roman"/>
                <w:sz w:val="21"/>
                <w:szCs w:val="21"/>
                <w:highlight w:val="none"/>
              </w:rPr>
            </w:pPr>
          </w:p>
          <w:p w14:paraId="324A7E9D">
            <w:pPr>
              <w:pStyle w:val="27"/>
              <w:keepNext w:val="0"/>
              <w:keepLines w:val="0"/>
              <w:suppressLineNumbers w:val="0"/>
              <w:adjustRightInd w:val="0"/>
              <w:snapToGrid w:val="0"/>
              <w:spacing w:before="0" w:beforeAutospacing="0" w:after="0" w:afterAutospacing="0"/>
              <w:ind w:left="0" w:right="0"/>
              <w:jc w:val="center"/>
              <w:rPr>
                <w:rFonts w:hint="default" w:ascii="Times New Roman"/>
                <w:sz w:val="21"/>
                <w:szCs w:val="21"/>
                <w:highlight w:val="none"/>
              </w:rPr>
            </w:pPr>
          </w:p>
          <w:p w14:paraId="3BF82F5C">
            <w:pPr>
              <w:pStyle w:val="27"/>
              <w:keepNext w:val="0"/>
              <w:keepLines w:val="0"/>
              <w:suppressLineNumbers w:val="0"/>
              <w:adjustRightInd w:val="0"/>
              <w:snapToGrid w:val="0"/>
              <w:spacing w:before="0" w:beforeAutospacing="0" w:after="0" w:afterAutospacing="0"/>
              <w:ind w:left="0" w:right="0"/>
              <w:jc w:val="center"/>
              <w:rPr>
                <w:rFonts w:hint="default" w:ascii="Times New Roman"/>
                <w:sz w:val="21"/>
                <w:szCs w:val="21"/>
                <w:highlight w:val="none"/>
              </w:rPr>
            </w:pPr>
          </w:p>
          <w:p w14:paraId="50E9D52B">
            <w:pPr>
              <w:pStyle w:val="27"/>
              <w:keepNext w:val="0"/>
              <w:keepLines w:val="0"/>
              <w:suppressLineNumbers w:val="0"/>
              <w:adjustRightInd w:val="0"/>
              <w:snapToGrid w:val="0"/>
              <w:spacing w:before="0" w:beforeAutospacing="0" w:after="0" w:afterAutospacing="0"/>
              <w:ind w:left="0" w:right="0"/>
              <w:jc w:val="center"/>
              <w:rPr>
                <w:rFonts w:hint="default" w:ascii="Times New Roman"/>
                <w:sz w:val="21"/>
                <w:szCs w:val="21"/>
                <w:highlight w:val="none"/>
              </w:rPr>
            </w:pPr>
          </w:p>
          <w:p w14:paraId="2B8821EF">
            <w:pPr>
              <w:pStyle w:val="27"/>
              <w:keepNext w:val="0"/>
              <w:keepLines w:val="0"/>
              <w:suppressLineNumbers w:val="0"/>
              <w:adjustRightInd w:val="0"/>
              <w:snapToGrid w:val="0"/>
              <w:spacing w:before="0" w:beforeAutospacing="0" w:after="0" w:afterAutospacing="0"/>
              <w:ind w:left="0" w:right="0"/>
              <w:jc w:val="center"/>
              <w:rPr>
                <w:rFonts w:hint="default" w:ascii="Times New Roman"/>
                <w:sz w:val="21"/>
                <w:szCs w:val="21"/>
                <w:highlight w:val="none"/>
              </w:rPr>
            </w:pPr>
          </w:p>
          <w:p w14:paraId="17589C89">
            <w:pPr>
              <w:pStyle w:val="27"/>
              <w:keepNext w:val="0"/>
              <w:keepLines w:val="0"/>
              <w:suppressLineNumbers w:val="0"/>
              <w:adjustRightInd w:val="0"/>
              <w:snapToGrid w:val="0"/>
              <w:spacing w:before="0" w:beforeAutospacing="0" w:after="0" w:afterAutospacing="0"/>
              <w:ind w:left="0" w:right="0"/>
              <w:jc w:val="center"/>
              <w:rPr>
                <w:rFonts w:hint="default" w:ascii="Times New Roman"/>
                <w:sz w:val="21"/>
                <w:szCs w:val="21"/>
                <w:highlight w:val="none"/>
              </w:rPr>
            </w:pPr>
          </w:p>
          <w:p w14:paraId="2F04E0D1">
            <w:pPr>
              <w:pStyle w:val="27"/>
              <w:keepNext w:val="0"/>
              <w:keepLines w:val="0"/>
              <w:suppressLineNumbers w:val="0"/>
              <w:adjustRightInd w:val="0"/>
              <w:snapToGrid w:val="0"/>
              <w:spacing w:before="0" w:beforeAutospacing="0" w:after="0" w:afterAutospacing="0"/>
              <w:ind w:left="0" w:right="0"/>
              <w:jc w:val="center"/>
              <w:rPr>
                <w:rFonts w:hint="default" w:ascii="Times New Roman"/>
                <w:sz w:val="21"/>
                <w:szCs w:val="21"/>
                <w:highlight w:val="none"/>
              </w:rPr>
            </w:pPr>
          </w:p>
          <w:p w14:paraId="631EFEC4">
            <w:pPr>
              <w:pStyle w:val="27"/>
              <w:keepNext w:val="0"/>
              <w:keepLines w:val="0"/>
              <w:suppressLineNumbers w:val="0"/>
              <w:adjustRightInd w:val="0"/>
              <w:snapToGrid w:val="0"/>
              <w:spacing w:before="0" w:beforeAutospacing="0" w:after="0" w:afterAutospacing="0"/>
              <w:ind w:left="0" w:right="0"/>
              <w:jc w:val="center"/>
              <w:rPr>
                <w:rFonts w:hint="default" w:ascii="Times New Roman"/>
                <w:color w:val="FF0000"/>
                <w:sz w:val="21"/>
                <w:szCs w:val="21"/>
                <w:highlight w:val="none"/>
              </w:rPr>
            </w:pPr>
          </w:p>
          <w:p w14:paraId="153C6EDB">
            <w:pPr>
              <w:pStyle w:val="27"/>
              <w:keepNext w:val="0"/>
              <w:keepLines w:val="0"/>
              <w:suppressLineNumbers w:val="0"/>
              <w:adjustRightInd w:val="0"/>
              <w:snapToGrid w:val="0"/>
              <w:spacing w:before="0" w:beforeAutospacing="0" w:after="0" w:afterAutospacing="0"/>
              <w:ind w:left="0" w:right="0"/>
              <w:jc w:val="center"/>
              <w:rPr>
                <w:rFonts w:hint="default" w:ascii="Times New Roman"/>
                <w:color w:val="FF0000"/>
                <w:sz w:val="21"/>
                <w:szCs w:val="21"/>
                <w:highlight w:val="none"/>
              </w:rPr>
            </w:pPr>
          </w:p>
          <w:p w14:paraId="40BDBE1E">
            <w:pPr>
              <w:pStyle w:val="27"/>
              <w:keepNext w:val="0"/>
              <w:keepLines w:val="0"/>
              <w:suppressLineNumbers w:val="0"/>
              <w:adjustRightInd w:val="0"/>
              <w:snapToGrid w:val="0"/>
              <w:spacing w:before="0" w:beforeAutospacing="0" w:after="0" w:afterAutospacing="0"/>
              <w:ind w:left="0" w:right="0"/>
              <w:jc w:val="center"/>
              <w:rPr>
                <w:rFonts w:hint="default" w:ascii="Times New Roman"/>
                <w:color w:val="FF0000"/>
                <w:sz w:val="21"/>
                <w:szCs w:val="21"/>
                <w:highlight w:val="none"/>
              </w:rPr>
            </w:pPr>
          </w:p>
          <w:p w14:paraId="0274BAE5">
            <w:pPr>
              <w:pStyle w:val="27"/>
              <w:keepNext w:val="0"/>
              <w:keepLines w:val="0"/>
              <w:suppressLineNumbers w:val="0"/>
              <w:adjustRightInd w:val="0"/>
              <w:snapToGrid w:val="0"/>
              <w:spacing w:before="0" w:beforeAutospacing="0" w:after="0" w:afterAutospacing="0"/>
              <w:ind w:left="0" w:right="0"/>
              <w:jc w:val="center"/>
              <w:rPr>
                <w:rFonts w:hint="default" w:ascii="Times New Roman"/>
                <w:color w:val="FF0000"/>
                <w:sz w:val="21"/>
                <w:szCs w:val="21"/>
                <w:highlight w:val="none"/>
              </w:rPr>
            </w:pPr>
          </w:p>
          <w:p w14:paraId="614565D8">
            <w:pPr>
              <w:pStyle w:val="27"/>
              <w:keepNext w:val="0"/>
              <w:keepLines w:val="0"/>
              <w:suppressLineNumbers w:val="0"/>
              <w:adjustRightInd w:val="0"/>
              <w:snapToGrid w:val="0"/>
              <w:spacing w:before="0" w:beforeAutospacing="0" w:after="0" w:afterAutospacing="0"/>
              <w:ind w:left="0" w:right="0"/>
              <w:jc w:val="center"/>
              <w:rPr>
                <w:rFonts w:hint="default" w:ascii="Times New Roman"/>
                <w:color w:val="FF0000"/>
                <w:sz w:val="21"/>
                <w:szCs w:val="21"/>
                <w:highlight w:val="none"/>
              </w:rPr>
            </w:pPr>
          </w:p>
          <w:p w14:paraId="3E30E704">
            <w:pPr>
              <w:pStyle w:val="27"/>
              <w:keepNext w:val="0"/>
              <w:keepLines w:val="0"/>
              <w:suppressLineNumbers w:val="0"/>
              <w:adjustRightInd w:val="0"/>
              <w:snapToGrid w:val="0"/>
              <w:spacing w:before="0" w:beforeAutospacing="0" w:after="0" w:afterAutospacing="0"/>
              <w:ind w:left="0" w:right="0"/>
              <w:jc w:val="center"/>
              <w:rPr>
                <w:rFonts w:hint="default" w:ascii="Times New Roman"/>
                <w:sz w:val="21"/>
                <w:szCs w:val="21"/>
                <w:highlight w:val="none"/>
              </w:rPr>
            </w:pPr>
          </w:p>
          <w:p w14:paraId="3EB61C42">
            <w:pPr>
              <w:pStyle w:val="27"/>
              <w:keepNext w:val="0"/>
              <w:keepLines w:val="0"/>
              <w:suppressLineNumbers w:val="0"/>
              <w:adjustRightInd w:val="0"/>
              <w:snapToGrid w:val="0"/>
              <w:spacing w:before="0" w:beforeAutospacing="0" w:after="0" w:afterAutospacing="0"/>
              <w:ind w:left="0" w:right="0"/>
              <w:jc w:val="center"/>
              <w:rPr>
                <w:rFonts w:hint="default" w:ascii="Times New Roman"/>
                <w:sz w:val="21"/>
                <w:szCs w:val="21"/>
                <w:highlight w:val="none"/>
              </w:rPr>
            </w:pPr>
          </w:p>
          <w:p w14:paraId="51F52702">
            <w:pPr>
              <w:pStyle w:val="27"/>
              <w:keepNext w:val="0"/>
              <w:keepLines w:val="0"/>
              <w:suppressLineNumbers w:val="0"/>
              <w:adjustRightInd w:val="0"/>
              <w:snapToGrid w:val="0"/>
              <w:spacing w:before="0" w:beforeAutospacing="0" w:after="0" w:afterAutospacing="0"/>
              <w:ind w:left="0" w:right="0"/>
              <w:jc w:val="center"/>
              <w:rPr>
                <w:rFonts w:hint="default" w:ascii="Times New Roman"/>
                <w:sz w:val="21"/>
                <w:szCs w:val="21"/>
                <w:highlight w:val="none"/>
              </w:rPr>
            </w:pPr>
          </w:p>
          <w:p w14:paraId="6A4E8D70">
            <w:pPr>
              <w:pStyle w:val="27"/>
              <w:keepNext w:val="0"/>
              <w:keepLines w:val="0"/>
              <w:suppressLineNumbers w:val="0"/>
              <w:adjustRightInd w:val="0"/>
              <w:snapToGrid w:val="0"/>
              <w:spacing w:before="0" w:beforeAutospacing="0" w:after="0" w:afterAutospacing="0"/>
              <w:ind w:left="0" w:right="0"/>
              <w:jc w:val="center"/>
              <w:rPr>
                <w:rFonts w:hint="default" w:ascii="Times New Roman"/>
                <w:sz w:val="21"/>
                <w:szCs w:val="21"/>
                <w:highlight w:val="none"/>
              </w:rPr>
            </w:pPr>
          </w:p>
          <w:p w14:paraId="438B4DA8">
            <w:pPr>
              <w:pStyle w:val="27"/>
              <w:keepNext w:val="0"/>
              <w:keepLines w:val="0"/>
              <w:suppressLineNumbers w:val="0"/>
              <w:adjustRightInd w:val="0"/>
              <w:snapToGrid w:val="0"/>
              <w:spacing w:before="0" w:beforeAutospacing="0" w:after="0" w:afterAutospacing="0"/>
              <w:ind w:left="0" w:right="0"/>
              <w:jc w:val="center"/>
              <w:rPr>
                <w:rFonts w:hint="default" w:ascii="Times New Roman"/>
                <w:sz w:val="21"/>
                <w:szCs w:val="21"/>
                <w:highlight w:val="none"/>
              </w:rPr>
            </w:pPr>
          </w:p>
          <w:p w14:paraId="78F82518">
            <w:pPr>
              <w:pStyle w:val="27"/>
              <w:keepNext w:val="0"/>
              <w:keepLines w:val="0"/>
              <w:suppressLineNumbers w:val="0"/>
              <w:adjustRightInd w:val="0"/>
              <w:snapToGrid w:val="0"/>
              <w:spacing w:before="0" w:beforeAutospacing="0" w:after="0" w:afterAutospacing="0"/>
              <w:ind w:left="0" w:right="0"/>
              <w:jc w:val="center"/>
              <w:rPr>
                <w:rFonts w:hint="default" w:ascii="Times New Roman"/>
                <w:sz w:val="21"/>
                <w:szCs w:val="21"/>
                <w:highlight w:val="none"/>
              </w:rPr>
            </w:pPr>
          </w:p>
          <w:p w14:paraId="36B06C3C">
            <w:pPr>
              <w:pStyle w:val="27"/>
              <w:keepNext w:val="0"/>
              <w:keepLines w:val="0"/>
              <w:suppressLineNumbers w:val="0"/>
              <w:adjustRightInd w:val="0"/>
              <w:snapToGrid w:val="0"/>
              <w:spacing w:before="0" w:beforeAutospacing="0" w:after="0" w:afterAutospacing="0"/>
              <w:ind w:left="0" w:right="0"/>
              <w:jc w:val="center"/>
              <w:rPr>
                <w:rFonts w:hint="default" w:ascii="Times New Roman"/>
                <w:sz w:val="21"/>
                <w:szCs w:val="21"/>
                <w:highlight w:val="none"/>
              </w:rPr>
            </w:pPr>
          </w:p>
          <w:p w14:paraId="44867321">
            <w:pPr>
              <w:pStyle w:val="27"/>
              <w:keepNext w:val="0"/>
              <w:keepLines w:val="0"/>
              <w:suppressLineNumbers w:val="0"/>
              <w:adjustRightInd w:val="0"/>
              <w:snapToGrid w:val="0"/>
              <w:spacing w:before="0" w:beforeAutospacing="0" w:after="0" w:afterAutospacing="0"/>
              <w:ind w:left="0" w:right="0"/>
              <w:jc w:val="center"/>
              <w:rPr>
                <w:rFonts w:hint="default" w:ascii="Times New Roman"/>
                <w:sz w:val="21"/>
                <w:szCs w:val="21"/>
                <w:highlight w:val="none"/>
              </w:rPr>
            </w:pPr>
          </w:p>
          <w:p w14:paraId="641BAF40">
            <w:pPr>
              <w:pStyle w:val="27"/>
              <w:keepNext w:val="0"/>
              <w:keepLines w:val="0"/>
              <w:suppressLineNumbers w:val="0"/>
              <w:adjustRightInd w:val="0"/>
              <w:snapToGrid w:val="0"/>
              <w:spacing w:before="0" w:beforeAutospacing="0" w:after="0" w:afterAutospacing="0"/>
              <w:ind w:left="0" w:right="0"/>
              <w:jc w:val="center"/>
              <w:rPr>
                <w:rFonts w:hint="default" w:ascii="Times New Roman"/>
                <w:sz w:val="21"/>
                <w:szCs w:val="21"/>
                <w:highlight w:val="none"/>
              </w:rPr>
            </w:pPr>
          </w:p>
          <w:p w14:paraId="4B8AFDA2">
            <w:pPr>
              <w:pStyle w:val="27"/>
              <w:keepNext w:val="0"/>
              <w:keepLines w:val="0"/>
              <w:suppressLineNumbers w:val="0"/>
              <w:adjustRightInd w:val="0"/>
              <w:snapToGrid w:val="0"/>
              <w:spacing w:before="0" w:beforeAutospacing="0" w:after="0" w:afterAutospacing="0"/>
              <w:ind w:left="0" w:right="0"/>
              <w:jc w:val="center"/>
              <w:rPr>
                <w:rFonts w:hint="default" w:ascii="Times New Roman"/>
                <w:sz w:val="21"/>
                <w:szCs w:val="21"/>
                <w:highlight w:val="none"/>
              </w:rPr>
            </w:pPr>
          </w:p>
          <w:p w14:paraId="3F3429C4">
            <w:pPr>
              <w:pStyle w:val="27"/>
              <w:keepNext w:val="0"/>
              <w:keepLines w:val="0"/>
              <w:suppressLineNumbers w:val="0"/>
              <w:adjustRightInd w:val="0"/>
              <w:snapToGrid w:val="0"/>
              <w:spacing w:before="0" w:beforeAutospacing="0" w:after="0" w:afterAutospacing="0"/>
              <w:ind w:left="0" w:right="0"/>
              <w:jc w:val="center"/>
              <w:rPr>
                <w:rFonts w:hint="default" w:ascii="Times New Roman"/>
                <w:sz w:val="21"/>
                <w:szCs w:val="21"/>
                <w:highlight w:val="none"/>
              </w:rPr>
            </w:pPr>
          </w:p>
          <w:p w14:paraId="75A34945">
            <w:pPr>
              <w:pStyle w:val="27"/>
              <w:keepNext w:val="0"/>
              <w:keepLines w:val="0"/>
              <w:suppressLineNumbers w:val="0"/>
              <w:adjustRightInd w:val="0"/>
              <w:snapToGrid w:val="0"/>
              <w:spacing w:before="0" w:beforeAutospacing="0" w:after="0" w:afterAutospacing="0"/>
              <w:ind w:left="0" w:right="0"/>
              <w:jc w:val="center"/>
              <w:rPr>
                <w:rFonts w:hint="default" w:ascii="Times New Roman"/>
                <w:sz w:val="21"/>
                <w:szCs w:val="21"/>
                <w:highlight w:val="none"/>
              </w:rPr>
            </w:pPr>
          </w:p>
          <w:p w14:paraId="4249ABC6">
            <w:pPr>
              <w:pStyle w:val="27"/>
              <w:keepNext w:val="0"/>
              <w:keepLines w:val="0"/>
              <w:suppressLineNumbers w:val="0"/>
              <w:adjustRightInd w:val="0"/>
              <w:snapToGrid w:val="0"/>
              <w:spacing w:before="0" w:beforeAutospacing="0" w:after="0" w:afterAutospacing="0"/>
              <w:ind w:left="0" w:right="0"/>
              <w:jc w:val="center"/>
              <w:rPr>
                <w:rFonts w:hint="default" w:ascii="Times New Roman"/>
                <w:sz w:val="21"/>
                <w:szCs w:val="21"/>
                <w:highlight w:val="none"/>
              </w:rPr>
            </w:pPr>
          </w:p>
          <w:p w14:paraId="61FC650C">
            <w:pPr>
              <w:pStyle w:val="27"/>
              <w:keepNext w:val="0"/>
              <w:keepLines w:val="0"/>
              <w:suppressLineNumbers w:val="0"/>
              <w:adjustRightInd w:val="0"/>
              <w:snapToGrid w:val="0"/>
              <w:spacing w:before="0" w:beforeAutospacing="0" w:after="0" w:afterAutospacing="0"/>
              <w:ind w:left="0" w:right="0"/>
              <w:jc w:val="center"/>
              <w:rPr>
                <w:rFonts w:hint="default" w:ascii="Times New Roman"/>
                <w:sz w:val="21"/>
                <w:szCs w:val="21"/>
                <w:highlight w:val="none"/>
              </w:rPr>
            </w:pPr>
          </w:p>
          <w:p w14:paraId="1A763CDF">
            <w:pPr>
              <w:pStyle w:val="27"/>
              <w:keepNext w:val="0"/>
              <w:keepLines w:val="0"/>
              <w:suppressLineNumbers w:val="0"/>
              <w:adjustRightInd w:val="0"/>
              <w:snapToGrid w:val="0"/>
              <w:spacing w:before="0" w:beforeAutospacing="0" w:after="0" w:afterAutospacing="0"/>
              <w:ind w:left="0" w:right="0"/>
              <w:jc w:val="center"/>
              <w:rPr>
                <w:rFonts w:hint="default" w:ascii="Times New Roman"/>
                <w:sz w:val="21"/>
                <w:szCs w:val="21"/>
                <w:highlight w:val="none"/>
              </w:rPr>
            </w:pPr>
          </w:p>
          <w:p w14:paraId="398B3B51">
            <w:pPr>
              <w:pStyle w:val="27"/>
              <w:keepNext w:val="0"/>
              <w:keepLines w:val="0"/>
              <w:suppressLineNumbers w:val="0"/>
              <w:adjustRightInd w:val="0"/>
              <w:snapToGrid w:val="0"/>
              <w:spacing w:before="0" w:beforeAutospacing="0" w:after="0" w:afterAutospacing="0"/>
              <w:ind w:left="0" w:right="0"/>
              <w:jc w:val="center"/>
              <w:rPr>
                <w:rFonts w:hint="default" w:ascii="Times New Roman"/>
                <w:sz w:val="21"/>
                <w:szCs w:val="21"/>
                <w:highlight w:val="none"/>
              </w:rPr>
            </w:pPr>
          </w:p>
          <w:p w14:paraId="3FB17D44">
            <w:pPr>
              <w:pStyle w:val="27"/>
              <w:keepNext w:val="0"/>
              <w:keepLines w:val="0"/>
              <w:suppressLineNumbers w:val="0"/>
              <w:adjustRightInd w:val="0"/>
              <w:snapToGrid w:val="0"/>
              <w:spacing w:before="0" w:beforeAutospacing="0" w:after="0" w:afterAutospacing="0"/>
              <w:ind w:left="0" w:right="0"/>
              <w:jc w:val="center"/>
              <w:rPr>
                <w:rFonts w:hint="default" w:ascii="Times New Roman"/>
                <w:sz w:val="21"/>
                <w:szCs w:val="21"/>
                <w:highlight w:val="none"/>
              </w:rPr>
            </w:pPr>
          </w:p>
          <w:p w14:paraId="7F363EFF">
            <w:pPr>
              <w:pStyle w:val="27"/>
              <w:keepNext w:val="0"/>
              <w:keepLines w:val="0"/>
              <w:suppressLineNumbers w:val="0"/>
              <w:adjustRightInd w:val="0"/>
              <w:snapToGrid w:val="0"/>
              <w:spacing w:before="0" w:beforeAutospacing="0" w:after="0" w:afterAutospacing="0"/>
              <w:ind w:left="0" w:right="0"/>
              <w:jc w:val="center"/>
              <w:rPr>
                <w:rFonts w:hint="default" w:ascii="Times New Roman"/>
                <w:sz w:val="21"/>
                <w:szCs w:val="21"/>
                <w:highlight w:val="none"/>
              </w:rPr>
            </w:pPr>
          </w:p>
          <w:p w14:paraId="6D8737D4">
            <w:pPr>
              <w:pStyle w:val="27"/>
              <w:keepNext w:val="0"/>
              <w:keepLines w:val="0"/>
              <w:suppressLineNumbers w:val="0"/>
              <w:adjustRightInd w:val="0"/>
              <w:snapToGrid w:val="0"/>
              <w:spacing w:before="0" w:beforeAutospacing="0" w:after="0" w:afterAutospacing="0"/>
              <w:ind w:left="0" w:right="0"/>
              <w:jc w:val="center"/>
              <w:rPr>
                <w:rFonts w:hint="default" w:ascii="Times New Roman"/>
                <w:sz w:val="21"/>
                <w:szCs w:val="21"/>
                <w:highlight w:val="none"/>
              </w:rPr>
            </w:pPr>
          </w:p>
          <w:p w14:paraId="6F7D0FA3">
            <w:pPr>
              <w:pStyle w:val="27"/>
              <w:keepNext w:val="0"/>
              <w:keepLines w:val="0"/>
              <w:suppressLineNumbers w:val="0"/>
              <w:adjustRightInd w:val="0"/>
              <w:snapToGrid w:val="0"/>
              <w:spacing w:before="0" w:beforeAutospacing="0" w:after="0" w:afterAutospacing="0"/>
              <w:ind w:left="0" w:right="0"/>
              <w:jc w:val="center"/>
              <w:rPr>
                <w:rFonts w:hint="default" w:ascii="Times New Roman"/>
                <w:sz w:val="21"/>
                <w:szCs w:val="21"/>
                <w:highlight w:val="none"/>
              </w:rPr>
            </w:pPr>
          </w:p>
          <w:p w14:paraId="2A60F844">
            <w:pPr>
              <w:pStyle w:val="27"/>
              <w:keepNext w:val="0"/>
              <w:keepLines w:val="0"/>
              <w:suppressLineNumbers w:val="0"/>
              <w:adjustRightInd w:val="0"/>
              <w:snapToGrid w:val="0"/>
              <w:spacing w:before="0" w:beforeAutospacing="0" w:after="0" w:afterAutospacing="0"/>
              <w:ind w:left="0" w:right="0"/>
              <w:jc w:val="center"/>
              <w:rPr>
                <w:rFonts w:hint="default" w:ascii="Times New Roman"/>
                <w:sz w:val="21"/>
                <w:szCs w:val="21"/>
                <w:highlight w:val="none"/>
              </w:rPr>
            </w:pPr>
          </w:p>
          <w:p w14:paraId="6B97F78A">
            <w:pPr>
              <w:pStyle w:val="27"/>
              <w:keepNext w:val="0"/>
              <w:keepLines w:val="0"/>
              <w:suppressLineNumbers w:val="0"/>
              <w:adjustRightInd w:val="0"/>
              <w:snapToGrid w:val="0"/>
              <w:spacing w:before="0" w:beforeAutospacing="0" w:after="0" w:afterAutospacing="0"/>
              <w:ind w:left="0" w:right="0"/>
              <w:jc w:val="center"/>
              <w:rPr>
                <w:rFonts w:hint="default" w:ascii="Times New Roman"/>
                <w:sz w:val="21"/>
                <w:szCs w:val="21"/>
                <w:highlight w:val="none"/>
              </w:rPr>
            </w:pPr>
            <w:r>
              <w:rPr>
                <w:rFonts w:hint="eastAsia" w:ascii="Times New Roman"/>
                <w:sz w:val="21"/>
                <w:szCs w:val="21"/>
                <w:highlight w:val="none"/>
              </w:rPr>
              <w:t>工艺流程和产排污环节</w:t>
            </w:r>
          </w:p>
          <w:p w14:paraId="66F0D05A">
            <w:pPr>
              <w:pStyle w:val="27"/>
              <w:keepNext w:val="0"/>
              <w:keepLines w:val="0"/>
              <w:suppressLineNumbers w:val="0"/>
              <w:adjustRightInd w:val="0"/>
              <w:snapToGrid w:val="0"/>
              <w:spacing w:before="0" w:beforeAutospacing="0" w:after="0" w:afterAutospacing="0"/>
              <w:ind w:left="0" w:right="0"/>
              <w:jc w:val="center"/>
              <w:rPr>
                <w:rFonts w:hint="default" w:ascii="Times New Roman"/>
                <w:color w:val="FF0000"/>
                <w:sz w:val="21"/>
                <w:szCs w:val="21"/>
                <w:highlight w:val="none"/>
              </w:rPr>
            </w:pPr>
          </w:p>
          <w:p w14:paraId="205951B4">
            <w:pPr>
              <w:pStyle w:val="27"/>
              <w:keepNext w:val="0"/>
              <w:keepLines w:val="0"/>
              <w:suppressLineNumbers w:val="0"/>
              <w:adjustRightInd w:val="0"/>
              <w:snapToGrid w:val="0"/>
              <w:spacing w:before="0" w:beforeAutospacing="0" w:after="0" w:afterAutospacing="0"/>
              <w:ind w:left="0" w:right="0"/>
              <w:jc w:val="center"/>
              <w:rPr>
                <w:rFonts w:hint="default" w:ascii="Times New Roman"/>
                <w:color w:val="FF0000"/>
                <w:sz w:val="21"/>
                <w:szCs w:val="21"/>
                <w:highlight w:val="none"/>
              </w:rPr>
            </w:pPr>
          </w:p>
          <w:p w14:paraId="09CE9096">
            <w:pPr>
              <w:pStyle w:val="27"/>
              <w:keepNext w:val="0"/>
              <w:keepLines w:val="0"/>
              <w:suppressLineNumbers w:val="0"/>
              <w:adjustRightInd w:val="0"/>
              <w:snapToGrid w:val="0"/>
              <w:spacing w:before="0" w:beforeAutospacing="0" w:after="0" w:afterAutospacing="0"/>
              <w:ind w:left="0" w:right="0"/>
              <w:jc w:val="center"/>
              <w:rPr>
                <w:rFonts w:hint="default" w:ascii="Times New Roman"/>
                <w:color w:val="FF0000"/>
                <w:sz w:val="21"/>
                <w:szCs w:val="21"/>
                <w:highlight w:val="none"/>
              </w:rPr>
            </w:pPr>
          </w:p>
          <w:p w14:paraId="656D53DC">
            <w:pPr>
              <w:pStyle w:val="27"/>
              <w:keepNext w:val="0"/>
              <w:keepLines w:val="0"/>
              <w:suppressLineNumbers w:val="0"/>
              <w:adjustRightInd w:val="0"/>
              <w:snapToGrid w:val="0"/>
              <w:spacing w:before="0" w:beforeAutospacing="0" w:after="0" w:afterAutospacing="0"/>
              <w:ind w:left="0" w:right="0"/>
              <w:jc w:val="center"/>
              <w:rPr>
                <w:rFonts w:hint="default" w:ascii="Times New Roman" w:hAnsi="Times New Roman"/>
                <w:color w:val="FF0000"/>
                <w:sz w:val="21"/>
                <w:szCs w:val="21"/>
                <w:highlight w:val="none"/>
              </w:rPr>
            </w:pPr>
          </w:p>
        </w:tc>
        <w:tc>
          <w:tcPr>
            <w:tcW w:w="8518" w:type="dxa"/>
          </w:tcPr>
          <w:p w14:paraId="05496623">
            <w:pPr>
              <w:pStyle w:val="4"/>
              <w:suppressLineNumbers w:val="0"/>
              <w:adjustRightInd w:val="0"/>
              <w:snapToGrid w:val="0"/>
              <w:spacing w:before="0" w:beforeAutospacing="0" w:after="0" w:afterAutospacing="0" w:line="360" w:lineRule="auto"/>
              <w:ind w:left="0" w:right="0"/>
              <w:rPr>
                <w:rFonts w:hint="default"/>
                <w:snapToGrid w:val="0"/>
                <w:sz w:val="24"/>
                <w:szCs w:val="24"/>
                <w:highlight w:val="none"/>
              </w:rPr>
            </w:pPr>
            <w:r>
              <w:rPr>
                <w:rFonts w:hint="default"/>
                <w:snapToGrid w:val="0"/>
                <w:sz w:val="24"/>
                <w:szCs w:val="24"/>
                <w:highlight w:val="none"/>
              </w:rPr>
              <w:t>1</w:t>
            </w:r>
            <w:r>
              <w:rPr>
                <w:rFonts w:hint="eastAsia"/>
                <w:snapToGrid w:val="0"/>
                <w:sz w:val="24"/>
                <w:szCs w:val="24"/>
                <w:highlight w:val="none"/>
              </w:rPr>
              <w:t>、生产工艺</w:t>
            </w:r>
          </w:p>
          <w:p w14:paraId="003AFC80">
            <w:pPr>
              <w:keepNext w:val="0"/>
              <w:keepLines w:val="0"/>
              <w:suppressLineNumbers w:val="0"/>
              <w:adjustRightInd w:val="0"/>
              <w:snapToGrid w:val="0"/>
              <w:spacing w:before="0" w:beforeAutospacing="0" w:after="0" w:afterAutospacing="0" w:line="360" w:lineRule="auto"/>
              <w:ind w:left="0" w:right="0" w:firstLine="480" w:firstLineChars="200"/>
              <w:rPr>
                <w:rFonts w:hint="default"/>
                <w:bCs/>
                <w:highlight w:val="none"/>
              </w:rPr>
            </w:pPr>
            <w:r>
              <w:rPr>
                <w:rFonts w:hint="eastAsia" w:hAnsi="宋体"/>
                <w:highlight w:val="none"/>
              </w:rPr>
              <w:t>本项目</w:t>
            </w:r>
            <w:r>
              <w:rPr>
                <w:rFonts w:hint="eastAsia" w:hAnsi="宋体"/>
                <w:highlight w:val="none"/>
                <w:lang w:val="en-US" w:eastAsia="zh-CN"/>
              </w:rPr>
              <w:t>动物饲养、</w:t>
            </w:r>
            <w:r>
              <w:rPr>
                <w:rFonts w:hint="eastAsia"/>
                <w:bCs/>
                <w:highlight w:val="none"/>
                <w:lang w:val="en-US" w:eastAsia="zh-CN"/>
              </w:rPr>
              <w:t>实验</w:t>
            </w:r>
            <w:r>
              <w:rPr>
                <w:rFonts w:hint="eastAsia"/>
                <w:bCs/>
                <w:highlight w:val="none"/>
              </w:rPr>
              <w:t>工艺流程及产污环节见图</w:t>
            </w:r>
            <w:r>
              <w:rPr>
                <w:rFonts w:hint="default"/>
                <w:bCs/>
                <w:highlight w:val="none"/>
              </w:rPr>
              <w:t>2-2</w:t>
            </w:r>
            <w:r>
              <w:rPr>
                <w:rFonts w:hint="eastAsia"/>
                <w:bCs/>
                <w:highlight w:val="none"/>
                <w:lang w:val="en-US" w:eastAsia="zh-CN"/>
              </w:rPr>
              <w:t>~2-3</w:t>
            </w:r>
            <w:r>
              <w:rPr>
                <w:rFonts w:hint="eastAsia"/>
                <w:bCs/>
                <w:highlight w:val="none"/>
                <w:lang w:eastAsia="zh-CN"/>
              </w:rPr>
              <w:t>；</w:t>
            </w:r>
            <w:r>
              <w:rPr>
                <w:rFonts w:hint="eastAsia"/>
                <w:bCs/>
                <w:highlight w:val="none"/>
                <w:lang w:val="en-US" w:eastAsia="zh-CN"/>
              </w:rPr>
              <w:t>纯水制备过程及产污环节见图2-4</w:t>
            </w:r>
            <w:r>
              <w:rPr>
                <w:rFonts w:hint="eastAsia"/>
                <w:bCs/>
                <w:highlight w:val="none"/>
              </w:rPr>
              <w:t>。</w:t>
            </w:r>
          </w:p>
          <w:p w14:paraId="3B3D44E4">
            <w:pPr>
              <w:pStyle w:val="7"/>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60" w:lineRule="auto"/>
              <w:ind w:left="0" w:right="0" w:firstLine="482" w:firstLineChars="200"/>
              <w:jc w:val="left"/>
              <w:textAlignment w:val="auto"/>
              <w:rPr>
                <w:rFonts w:hint="default"/>
                <w:b/>
                <w:bCs/>
                <w:sz w:val="24"/>
                <w:szCs w:val="24"/>
                <w:highlight w:val="none"/>
                <w:lang w:val="en-US" w:eastAsia="zh-CN"/>
              </w:rPr>
            </w:pPr>
            <w:r>
              <w:rPr>
                <w:rFonts w:hint="eastAsia"/>
                <w:b/>
                <w:bCs/>
                <w:sz w:val="24"/>
                <w:szCs w:val="24"/>
                <w:highlight w:val="none"/>
                <w:lang w:val="en-US" w:eastAsia="zh-CN"/>
              </w:rPr>
              <w:t>实验动物中心：</w:t>
            </w:r>
          </w:p>
          <w:p w14:paraId="3D5A335D">
            <w:pPr>
              <w:pStyle w:val="7"/>
              <w:keepNext w:val="0"/>
              <w:keepLines w:val="0"/>
              <w:suppressLineNumbers w:val="0"/>
              <w:spacing w:before="0" w:beforeAutospacing="0" w:after="0" w:afterAutospacing="0"/>
              <w:ind w:left="0" w:right="0" w:firstLine="482" w:firstLineChars="200"/>
              <w:jc w:val="left"/>
              <w:rPr>
                <w:rFonts w:hint="default" w:eastAsia="宋体"/>
                <w:b/>
                <w:bCs/>
                <w:sz w:val="24"/>
                <w:szCs w:val="24"/>
                <w:highlight w:val="none"/>
                <w:lang w:val="en-US" w:eastAsia="zh-CN"/>
              </w:rPr>
            </w:pPr>
            <w:r>
              <w:rPr>
                <w:rFonts w:hint="eastAsia"/>
                <w:b/>
                <w:bCs/>
                <w:sz w:val="24"/>
                <w:szCs w:val="24"/>
                <w:highlight w:val="none"/>
                <w:lang w:eastAsia="zh-CN"/>
              </w:rPr>
              <w:t>（</w:t>
            </w:r>
            <w:r>
              <w:rPr>
                <w:rFonts w:hint="eastAsia"/>
                <w:b/>
                <w:bCs/>
                <w:sz w:val="24"/>
                <w:szCs w:val="24"/>
                <w:highlight w:val="none"/>
                <w:lang w:val="en-US" w:eastAsia="zh-CN"/>
              </w:rPr>
              <w:t>1</w:t>
            </w:r>
            <w:r>
              <w:rPr>
                <w:rFonts w:hint="eastAsia"/>
                <w:b/>
                <w:bCs/>
                <w:sz w:val="24"/>
                <w:szCs w:val="24"/>
                <w:highlight w:val="none"/>
                <w:lang w:eastAsia="zh-CN"/>
              </w:rPr>
              <w:t>）</w:t>
            </w:r>
            <w:r>
              <w:rPr>
                <w:rFonts w:hint="eastAsia"/>
                <w:b/>
                <w:bCs/>
                <w:sz w:val="24"/>
                <w:szCs w:val="24"/>
                <w:highlight w:val="none"/>
                <w:lang w:val="en-US" w:eastAsia="zh-CN"/>
              </w:rPr>
              <w:t>动物饲养</w:t>
            </w:r>
          </w:p>
          <w:p w14:paraId="445A61A9">
            <w:pPr>
              <w:pStyle w:val="4"/>
              <w:keepNext/>
              <w:keepLines/>
              <w:pageBreakBefore w:val="0"/>
              <w:widowControl w:val="0"/>
              <w:suppressLineNumbers w:val="0"/>
              <w:kinsoku/>
              <w:wordWrap/>
              <w:overflowPunct/>
              <w:topLinePunct w:val="0"/>
              <w:autoSpaceDE/>
              <w:autoSpaceDN/>
              <w:bidi w:val="0"/>
              <w:adjustRightInd/>
              <w:snapToGrid/>
              <w:spacing w:before="0" w:beforeAutospacing="0" w:after="0" w:afterAutospacing="0" w:line="416" w:lineRule="auto"/>
              <w:ind w:left="0" w:right="0"/>
              <w:jc w:val="center"/>
              <w:textAlignment w:val="auto"/>
              <w:rPr>
                <w:rFonts w:hint="default" w:eastAsia="楷体"/>
                <w:b/>
                <w:bCs/>
                <w:sz w:val="24"/>
                <w:szCs w:val="24"/>
                <w:highlight w:val="none"/>
              </w:rPr>
            </w:pPr>
            <w:r>
              <w:rPr>
                <w:rFonts w:hint="eastAsia" w:eastAsia="宋体"/>
                <w:highlight w:val="none"/>
                <w:lang w:eastAsia="zh-CN"/>
              </w:rPr>
              <w:object>
                <v:shape id="_x0000_i1026" o:spt="75" type="#_x0000_t75" style="height:261.35pt;width:360.4pt;" o:ole="t" filled="f" o:preferrelative="t" stroked="f" coordsize="21600,21600">
                  <v:path/>
                  <v:fill on="f" focussize="0,0"/>
                  <v:stroke on="f"/>
                  <v:imagedata r:id="rId19" o:title=""/>
                  <o:lock v:ext="edit" aspectratio="t"/>
                  <w10:wrap type="none"/>
                  <w10:anchorlock/>
                </v:shape>
                <o:OLEObject Type="Embed" ProgID="Visio.Drawing.11" ShapeID="_x0000_i1026" DrawAspect="Content" ObjectID="_1468075726" r:id="rId18">
                  <o:LockedField>false</o:LockedField>
                </o:OLEObject>
              </w:object>
            </w:r>
            <w:r>
              <w:rPr>
                <w:rFonts w:hint="eastAsia" w:eastAsia="宋体"/>
                <w:highlight w:val="none"/>
                <w:lang w:eastAsia="zh-CN"/>
              </w:rPr>
              <w:br w:type="textWrapping"/>
            </w:r>
            <w:r>
              <w:rPr>
                <w:rFonts w:hint="eastAsia"/>
                <w:b/>
                <w:bCs/>
                <w:sz w:val="24"/>
                <w:szCs w:val="24"/>
                <w:highlight w:val="none"/>
              </w:rPr>
              <w:t>图</w:t>
            </w:r>
            <w:r>
              <w:rPr>
                <w:rFonts w:hint="default"/>
                <w:b/>
                <w:bCs/>
                <w:sz w:val="24"/>
                <w:szCs w:val="24"/>
                <w:highlight w:val="none"/>
              </w:rPr>
              <w:t xml:space="preserve">2-2  </w:t>
            </w:r>
            <w:r>
              <w:rPr>
                <w:rFonts w:hint="eastAsia"/>
                <w:b/>
                <w:bCs/>
                <w:sz w:val="24"/>
                <w:szCs w:val="24"/>
                <w:highlight w:val="none"/>
                <w:lang w:val="en-US" w:eastAsia="zh-CN"/>
              </w:rPr>
              <w:t>动物饲养</w:t>
            </w:r>
            <w:r>
              <w:rPr>
                <w:rFonts w:hint="eastAsia"/>
                <w:b/>
                <w:bCs/>
                <w:sz w:val="24"/>
                <w:szCs w:val="24"/>
                <w:highlight w:val="none"/>
              </w:rPr>
              <w:t>工艺流程及产污环节</w:t>
            </w:r>
          </w:p>
          <w:p w14:paraId="7B4591A1">
            <w:pPr>
              <w:keepNext w:val="0"/>
              <w:keepLines w:val="0"/>
              <w:suppressLineNumbers w:val="0"/>
              <w:spacing w:before="0" w:beforeAutospacing="0" w:after="0" w:afterAutospacing="0" w:line="360" w:lineRule="auto"/>
              <w:ind w:left="0" w:right="0" w:firstLine="482" w:firstLineChars="200"/>
              <w:rPr>
                <w:rFonts w:hint="default"/>
                <w:b/>
                <w:bCs/>
                <w:highlight w:val="none"/>
              </w:rPr>
            </w:pPr>
            <w:r>
              <w:rPr>
                <w:rFonts w:hint="eastAsia"/>
                <w:b/>
                <w:bCs/>
                <w:sz w:val="24"/>
                <w:szCs w:val="24"/>
                <w:highlight w:val="none"/>
                <w:lang w:val="en-US" w:eastAsia="zh-CN"/>
              </w:rPr>
              <w:t>饲养工艺</w:t>
            </w:r>
            <w:r>
              <w:rPr>
                <w:rFonts w:hint="eastAsia"/>
                <w:b/>
                <w:bCs/>
                <w:highlight w:val="none"/>
              </w:rPr>
              <w:t>流程简述：</w:t>
            </w:r>
          </w:p>
          <w:p w14:paraId="0AF6683F">
            <w:pPr>
              <w:pStyle w:val="122"/>
              <w:keepNext w:val="0"/>
              <w:keepLines w:val="0"/>
              <w:suppressLineNumbers w:val="0"/>
              <w:spacing w:before="0" w:beforeAutospacing="0" w:after="0" w:afterAutospacing="0"/>
              <w:ind w:left="0" w:right="0"/>
              <w:rPr>
                <w:rFonts w:hint="default"/>
                <w:highlight w:val="none"/>
              </w:rPr>
            </w:pPr>
            <w:r>
              <w:rPr>
                <w:rFonts w:hint="default"/>
                <w:highlight w:val="none"/>
              </w:rPr>
              <w:t>本项目外购的实验动物均具备供货单位提供的实验动物质量合格证，在经过消毒杀菌处理的房间内进行实验动物接收以及检疫，检疫合格后，实验动物被送往各类实验动物饲养间进行饲养</w:t>
            </w:r>
            <w:r>
              <w:rPr>
                <w:rFonts w:hint="eastAsia"/>
                <w:highlight w:val="none"/>
                <w:lang w:eastAsia="zh-CN"/>
              </w:rPr>
              <w:t>；</w:t>
            </w:r>
            <w:r>
              <w:rPr>
                <w:rFonts w:hint="default"/>
                <w:highlight w:val="none"/>
              </w:rPr>
              <w:t>当出现检疫不合格时，将立即采取扑灭措施，立刻停止检疫观察，迅速隔离患病动物，对污染的环境和器具进行消毒或淘汰，病死和淘汰的动物移交有资质的单位进行处理。</w:t>
            </w:r>
          </w:p>
          <w:p w14:paraId="1B937DDE">
            <w:pPr>
              <w:pStyle w:val="122"/>
              <w:keepNext w:val="0"/>
              <w:keepLines w:val="0"/>
              <w:suppressLineNumbers w:val="0"/>
              <w:spacing w:before="0" w:beforeAutospacing="0" w:after="0" w:afterAutospacing="0"/>
              <w:ind w:left="0" w:right="0"/>
              <w:rPr>
                <w:rFonts w:hint="default"/>
                <w:highlight w:val="none"/>
              </w:rPr>
            </w:pPr>
            <w:r>
              <w:rPr>
                <w:rFonts w:hint="default"/>
                <w:highlight w:val="none"/>
              </w:rPr>
              <w:t>实验动物在动物饲养间，以恒定温度和湿度进行</w:t>
            </w:r>
            <w:r>
              <w:rPr>
                <w:rFonts w:hint="eastAsia"/>
                <w:highlight w:val="none"/>
              </w:rPr>
              <w:t>饲养，其</w:t>
            </w:r>
            <w:r>
              <w:rPr>
                <w:rFonts w:hint="default"/>
                <w:highlight w:val="none"/>
              </w:rPr>
              <w:t>间提供舒适的生活环境（垫料），提供水和饲料</w:t>
            </w:r>
            <w:r>
              <w:rPr>
                <w:rFonts w:hint="eastAsia"/>
                <w:highlight w:val="none"/>
                <w:lang w:eastAsia="zh-CN"/>
              </w:rPr>
              <w:t>、</w:t>
            </w:r>
            <w:r>
              <w:rPr>
                <w:rFonts w:hint="eastAsia"/>
                <w:highlight w:val="none"/>
                <w:lang w:val="en-US" w:eastAsia="zh-CN"/>
              </w:rPr>
              <w:t>垫料</w:t>
            </w:r>
            <w:r>
              <w:rPr>
                <w:rFonts w:hint="default"/>
                <w:highlight w:val="none"/>
              </w:rPr>
              <w:t>，以维持小鼠的正常生活。</w:t>
            </w:r>
          </w:p>
          <w:p w14:paraId="32D224C2">
            <w:pPr>
              <w:pStyle w:val="122"/>
              <w:keepNext w:val="0"/>
              <w:keepLines w:val="0"/>
              <w:suppressLineNumbers w:val="0"/>
              <w:spacing w:before="0" w:beforeAutospacing="0" w:after="0" w:afterAutospacing="0"/>
              <w:ind w:left="0" w:right="0"/>
              <w:rPr>
                <w:rFonts w:hint="default"/>
                <w:highlight w:val="none"/>
              </w:rPr>
            </w:pPr>
            <w:r>
              <w:rPr>
                <w:rFonts w:hint="default"/>
                <w:highlight w:val="none"/>
              </w:rPr>
              <w:t>饲养过程中会产生少量恶臭气体</w:t>
            </w:r>
            <w:r>
              <w:rPr>
                <w:rFonts w:hint="eastAsia"/>
                <w:highlight w:val="none"/>
                <w:lang w:val="en-US" w:eastAsia="zh-CN"/>
              </w:rPr>
              <w:t>G1-1</w:t>
            </w:r>
            <w:r>
              <w:rPr>
                <w:rFonts w:hint="eastAsia"/>
                <w:highlight w:val="none"/>
                <w:lang w:eastAsia="zh-CN"/>
              </w:rPr>
              <w:t>；</w:t>
            </w:r>
            <w:r>
              <w:rPr>
                <w:rFonts w:hint="eastAsia"/>
                <w:highlight w:val="none"/>
                <w:lang w:val="en-US" w:eastAsia="zh-CN"/>
              </w:rPr>
              <w:t>废水包括：饲养间清洗废水W1-1，</w:t>
            </w:r>
            <w:r>
              <w:rPr>
                <w:rFonts w:hint="default"/>
                <w:highlight w:val="none"/>
              </w:rPr>
              <w:t>洗笼</w:t>
            </w:r>
            <w:r>
              <w:rPr>
                <w:rFonts w:hint="eastAsia"/>
                <w:highlight w:val="none"/>
                <w:lang w:val="en-US" w:eastAsia="zh-CN"/>
              </w:rPr>
              <w:t>及动物洗烘</w:t>
            </w:r>
            <w:r>
              <w:rPr>
                <w:rFonts w:hint="eastAsia"/>
                <w:highlight w:val="none"/>
              </w:rPr>
              <w:t>废水</w:t>
            </w:r>
            <w:r>
              <w:rPr>
                <w:rFonts w:hint="eastAsia"/>
                <w:highlight w:val="none"/>
                <w:lang w:val="en-US" w:eastAsia="zh-CN"/>
              </w:rPr>
              <w:t>W1-2</w:t>
            </w:r>
            <w:r>
              <w:rPr>
                <w:rFonts w:hint="default"/>
                <w:highlight w:val="none"/>
              </w:rPr>
              <w:t>，</w:t>
            </w:r>
            <w:r>
              <w:rPr>
                <w:rFonts w:hint="eastAsia"/>
                <w:highlight w:val="none"/>
                <w:lang w:val="en-US" w:eastAsia="zh-CN"/>
              </w:rPr>
              <w:t>动物尿液W1-3、</w:t>
            </w:r>
            <w:r>
              <w:rPr>
                <w:rFonts w:hint="eastAsia"/>
                <w:highlight w:val="none"/>
              </w:rPr>
              <w:t>灭菌</w:t>
            </w:r>
            <w:r>
              <w:rPr>
                <w:rFonts w:hint="eastAsia"/>
                <w:highlight w:val="none"/>
                <w:lang w:val="en-US" w:eastAsia="zh-CN"/>
              </w:rPr>
              <w:t>废水W1-4；</w:t>
            </w:r>
            <w:r>
              <w:rPr>
                <w:rFonts w:hint="default"/>
                <w:highlight w:val="none"/>
              </w:rPr>
              <w:t>固体废物包括</w:t>
            </w:r>
            <w:r>
              <w:rPr>
                <w:rFonts w:hint="eastAsia"/>
                <w:highlight w:val="none"/>
                <w:lang w:eastAsia="zh-CN"/>
              </w:rPr>
              <w:t>：</w:t>
            </w:r>
            <w:r>
              <w:rPr>
                <w:rFonts w:hint="default"/>
                <w:highlight w:val="none"/>
              </w:rPr>
              <w:t>含实验室动物粪便尿液的废垫料</w:t>
            </w:r>
            <w:r>
              <w:rPr>
                <w:rFonts w:hint="eastAsia"/>
                <w:highlight w:val="none"/>
                <w:lang w:val="en-US" w:eastAsia="zh-CN"/>
              </w:rPr>
              <w:t>S1-1</w:t>
            </w:r>
            <w:r>
              <w:rPr>
                <w:rFonts w:hint="default"/>
                <w:highlight w:val="none"/>
              </w:rPr>
              <w:t>、动物尸体</w:t>
            </w:r>
            <w:r>
              <w:rPr>
                <w:rFonts w:hint="eastAsia"/>
                <w:highlight w:val="none"/>
                <w:lang w:val="en-US" w:eastAsia="zh-CN"/>
              </w:rPr>
              <w:t>S1-2</w:t>
            </w:r>
            <w:r>
              <w:rPr>
                <w:rFonts w:hint="default"/>
                <w:highlight w:val="none"/>
              </w:rPr>
              <w:t>等。</w:t>
            </w:r>
          </w:p>
          <w:p w14:paraId="3845CFCF">
            <w:pPr>
              <w:pStyle w:val="122"/>
              <w:keepNext w:val="0"/>
              <w:keepLines w:val="0"/>
              <w:suppressLineNumbers w:val="0"/>
              <w:spacing w:before="0" w:beforeAutospacing="0" w:after="0" w:afterAutospacing="0"/>
              <w:ind w:left="0" w:right="0"/>
              <w:rPr>
                <w:rFonts w:hint="default" w:eastAsia="宋体"/>
                <w:b/>
                <w:bCs w:val="0"/>
                <w:highlight w:val="none"/>
                <w:lang w:val="en-US" w:eastAsia="zh-CN"/>
              </w:rPr>
            </w:pPr>
            <w:r>
              <w:rPr>
                <w:rFonts w:hint="eastAsia"/>
                <w:b/>
                <w:bCs w:val="0"/>
                <w:highlight w:val="none"/>
                <w:lang w:eastAsia="zh-CN"/>
              </w:rPr>
              <w:t>（</w:t>
            </w:r>
            <w:r>
              <w:rPr>
                <w:rFonts w:hint="eastAsia"/>
                <w:b/>
                <w:bCs w:val="0"/>
                <w:highlight w:val="none"/>
                <w:lang w:val="en-US" w:eastAsia="zh-CN"/>
              </w:rPr>
              <w:t>2</w:t>
            </w:r>
            <w:r>
              <w:rPr>
                <w:rFonts w:hint="eastAsia"/>
                <w:b/>
                <w:bCs w:val="0"/>
                <w:highlight w:val="none"/>
                <w:lang w:eastAsia="zh-CN"/>
              </w:rPr>
              <w:t>）</w:t>
            </w:r>
            <w:r>
              <w:rPr>
                <w:rFonts w:hint="eastAsia"/>
                <w:b/>
                <w:bCs w:val="0"/>
                <w:highlight w:val="none"/>
                <w:lang w:val="en-US" w:eastAsia="zh-CN"/>
              </w:rPr>
              <w:t>动物实验</w:t>
            </w:r>
          </w:p>
          <w:p w14:paraId="2643CB90">
            <w:pPr>
              <w:pStyle w:val="122"/>
              <w:keepNext w:val="0"/>
              <w:keepLines w:val="0"/>
              <w:suppressLineNumbers w:val="0"/>
              <w:spacing w:before="0" w:beforeAutospacing="0" w:after="0" w:afterAutospacing="0"/>
              <w:ind w:left="0" w:leftChars="0" w:right="0" w:firstLine="0" w:firstLineChars="0"/>
              <w:jc w:val="center"/>
              <w:rPr>
                <w:rFonts w:hint="eastAsia" w:eastAsia="宋体"/>
                <w:highlight w:val="none"/>
                <w:lang w:eastAsia="zh-CN"/>
              </w:rPr>
            </w:pPr>
            <w:r>
              <w:rPr>
                <w:rFonts w:hint="eastAsia" w:eastAsia="宋体"/>
                <w:highlight w:val="none"/>
                <w:lang w:eastAsia="zh-CN"/>
              </w:rPr>
              <w:object>
                <v:shape id="_x0000_i1027" o:spt="75" type="#_x0000_t75" style="height:215.45pt;width:354.1pt;" o:ole="t" filled="f" o:preferrelative="t" stroked="f" coordsize="21600,21600">
                  <v:path/>
                  <v:fill on="f" focussize="0,0"/>
                  <v:stroke on="f"/>
                  <v:imagedata r:id="rId21" cropbottom="3059f" o:title=""/>
                  <o:lock v:ext="edit" aspectratio="t"/>
                  <w10:wrap type="none"/>
                  <w10:anchorlock/>
                </v:shape>
                <o:OLEObject Type="Embed" ProgID="Visio.Drawing.11" ShapeID="_x0000_i1027" DrawAspect="Content" ObjectID="_1468075727" r:id="rId20">
                  <o:LockedField>false</o:LockedField>
                </o:OLEObject>
              </w:object>
            </w:r>
          </w:p>
          <w:p w14:paraId="63FA0EF0">
            <w:pPr>
              <w:pStyle w:val="122"/>
              <w:keepNext w:val="0"/>
              <w:keepLines w:val="0"/>
              <w:suppressLineNumbers w:val="0"/>
              <w:spacing w:before="0" w:beforeAutospacing="0" w:after="0" w:afterAutospacing="0"/>
              <w:ind w:left="0" w:right="0"/>
              <w:jc w:val="center"/>
              <w:rPr>
                <w:rFonts w:hint="eastAsia"/>
                <w:b/>
                <w:bCs/>
                <w:sz w:val="24"/>
                <w:szCs w:val="24"/>
                <w:highlight w:val="none"/>
              </w:rPr>
            </w:pPr>
            <w:r>
              <w:rPr>
                <w:rFonts w:hint="eastAsia"/>
                <w:b/>
                <w:bCs/>
                <w:sz w:val="24"/>
                <w:szCs w:val="24"/>
                <w:highlight w:val="none"/>
              </w:rPr>
              <w:t>图</w:t>
            </w:r>
            <w:r>
              <w:rPr>
                <w:rFonts w:hint="default"/>
                <w:b/>
                <w:bCs/>
                <w:sz w:val="24"/>
                <w:szCs w:val="24"/>
                <w:highlight w:val="none"/>
              </w:rPr>
              <w:t>2-</w:t>
            </w:r>
            <w:r>
              <w:rPr>
                <w:rFonts w:hint="eastAsia"/>
                <w:b/>
                <w:bCs/>
                <w:sz w:val="24"/>
                <w:szCs w:val="24"/>
                <w:highlight w:val="none"/>
                <w:lang w:val="en-US" w:eastAsia="zh-CN"/>
              </w:rPr>
              <w:t>3</w:t>
            </w:r>
            <w:r>
              <w:rPr>
                <w:rFonts w:hint="default"/>
                <w:b/>
                <w:bCs/>
                <w:sz w:val="24"/>
                <w:szCs w:val="24"/>
                <w:highlight w:val="none"/>
              </w:rPr>
              <w:t xml:space="preserve">  </w:t>
            </w:r>
            <w:r>
              <w:rPr>
                <w:rFonts w:hint="eastAsia"/>
                <w:b/>
                <w:bCs/>
                <w:sz w:val="24"/>
                <w:szCs w:val="24"/>
                <w:highlight w:val="none"/>
                <w:lang w:val="en-US" w:eastAsia="zh-CN"/>
              </w:rPr>
              <w:t>动物实验</w:t>
            </w:r>
            <w:r>
              <w:rPr>
                <w:rFonts w:hint="eastAsia"/>
                <w:b/>
                <w:bCs/>
                <w:sz w:val="24"/>
                <w:szCs w:val="24"/>
                <w:highlight w:val="none"/>
              </w:rPr>
              <w:t>工艺流程及产污环节</w:t>
            </w:r>
          </w:p>
          <w:p w14:paraId="7AE00F07">
            <w:pPr>
              <w:keepNext w:val="0"/>
              <w:keepLines w:val="0"/>
              <w:suppressLineNumbers w:val="0"/>
              <w:spacing w:before="0" w:beforeAutospacing="0" w:after="0" w:afterAutospacing="0" w:line="360" w:lineRule="auto"/>
              <w:ind w:left="0" w:right="0" w:firstLine="482" w:firstLineChars="200"/>
              <w:rPr>
                <w:rFonts w:hint="default"/>
                <w:b/>
                <w:bCs/>
                <w:highlight w:val="none"/>
              </w:rPr>
            </w:pPr>
            <w:r>
              <w:rPr>
                <w:rFonts w:hint="eastAsia"/>
                <w:b/>
                <w:bCs/>
                <w:sz w:val="24"/>
                <w:szCs w:val="24"/>
                <w:highlight w:val="none"/>
                <w:lang w:val="en-US" w:eastAsia="zh-CN"/>
              </w:rPr>
              <w:t>实验工艺</w:t>
            </w:r>
            <w:r>
              <w:rPr>
                <w:rFonts w:hint="eastAsia"/>
                <w:b/>
                <w:bCs/>
                <w:highlight w:val="none"/>
              </w:rPr>
              <w:t>流程简述：</w:t>
            </w:r>
          </w:p>
          <w:p w14:paraId="4D879628">
            <w:pPr>
              <w:pStyle w:val="122"/>
              <w:keepNext w:val="0"/>
              <w:keepLines w:val="0"/>
              <w:suppressLineNumbers w:val="0"/>
              <w:spacing w:before="0" w:beforeAutospacing="0" w:after="0" w:afterAutospacing="0"/>
              <w:ind w:left="0" w:right="0"/>
              <w:rPr>
                <w:rFonts w:hint="default"/>
                <w:highlight w:val="none"/>
              </w:rPr>
            </w:pPr>
            <w:r>
              <w:rPr>
                <w:rFonts w:hint="default"/>
                <w:highlight w:val="none"/>
              </w:rPr>
              <w:t>根据课题方案，进行动物建模，进行动物</w:t>
            </w:r>
            <w:r>
              <w:rPr>
                <w:rFonts w:hint="eastAsia"/>
                <w:highlight w:val="none"/>
              </w:rPr>
              <w:t>实验</w:t>
            </w:r>
            <w:r>
              <w:rPr>
                <w:rFonts w:hint="default"/>
                <w:highlight w:val="none"/>
              </w:rPr>
              <w:t>，如血液指标检验分析、动物代谢研究、动物身体组分、生理信号测量</w:t>
            </w:r>
            <w:r>
              <w:rPr>
                <w:rFonts w:hint="eastAsia"/>
                <w:highlight w:val="none"/>
                <w:lang w:eastAsia="zh-CN"/>
              </w:rPr>
              <w:t>、</w:t>
            </w:r>
            <w:r>
              <w:rPr>
                <w:rFonts w:hint="eastAsia"/>
                <w:highlight w:val="none"/>
                <w:lang w:val="en-US" w:eastAsia="zh-CN"/>
              </w:rPr>
              <w:t>病理分析</w:t>
            </w:r>
            <w:r>
              <w:rPr>
                <w:rFonts w:hint="default"/>
                <w:highlight w:val="none"/>
              </w:rPr>
              <w:t>等。</w:t>
            </w:r>
          </w:p>
          <w:p w14:paraId="7115BBE4">
            <w:pPr>
              <w:pStyle w:val="122"/>
              <w:keepNext w:val="0"/>
              <w:keepLines w:val="0"/>
              <w:suppressLineNumbers w:val="0"/>
              <w:spacing w:before="0" w:beforeAutospacing="0" w:after="0" w:afterAutospacing="0"/>
              <w:ind w:left="0" w:right="0"/>
              <w:jc w:val="left"/>
              <w:rPr>
                <w:rFonts w:hint="eastAsia"/>
                <w:b/>
                <w:bCs/>
                <w:sz w:val="24"/>
                <w:szCs w:val="24"/>
                <w:highlight w:val="none"/>
              </w:rPr>
            </w:pPr>
            <w:r>
              <w:rPr>
                <w:rFonts w:hint="eastAsia"/>
                <w:highlight w:val="none"/>
                <w:lang w:val="en-US" w:eastAsia="zh-CN"/>
              </w:rPr>
              <w:t>动物实验</w:t>
            </w:r>
            <w:r>
              <w:rPr>
                <w:rFonts w:hint="default"/>
                <w:highlight w:val="none"/>
              </w:rPr>
              <w:t>过程中</w:t>
            </w:r>
            <w:r>
              <w:rPr>
                <w:rFonts w:hint="eastAsia"/>
                <w:highlight w:val="none"/>
              </w:rPr>
              <w:t>，</w:t>
            </w:r>
            <w:r>
              <w:rPr>
                <w:rFonts w:hint="default"/>
                <w:highlight w:val="none"/>
              </w:rPr>
              <w:t>会产生</w:t>
            </w:r>
            <w:r>
              <w:rPr>
                <w:rFonts w:hint="eastAsia"/>
                <w:highlight w:val="none"/>
                <w:lang w:val="en-US" w:eastAsia="zh-CN"/>
              </w:rPr>
              <w:t>动物实验</w:t>
            </w:r>
            <w:r>
              <w:rPr>
                <w:rFonts w:hint="eastAsia"/>
                <w:highlight w:val="none"/>
              </w:rPr>
              <w:t>废气</w:t>
            </w:r>
            <w:r>
              <w:rPr>
                <w:rFonts w:hint="default"/>
                <w:highlight w:val="none"/>
              </w:rPr>
              <w:t>G</w:t>
            </w:r>
            <w:r>
              <w:rPr>
                <w:rFonts w:hint="eastAsia"/>
                <w:highlight w:val="none"/>
                <w:lang w:val="en-US" w:eastAsia="zh-CN"/>
              </w:rPr>
              <w:t>1-2</w:t>
            </w:r>
            <w:r>
              <w:rPr>
                <w:rFonts w:hint="default"/>
                <w:highlight w:val="none"/>
              </w:rPr>
              <w:t>，</w:t>
            </w:r>
            <w:r>
              <w:rPr>
                <w:rFonts w:hint="eastAsia"/>
                <w:highlight w:val="none"/>
              </w:rPr>
              <w:t>区域</w:t>
            </w:r>
            <w:r>
              <w:rPr>
                <w:rFonts w:hint="default"/>
                <w:highlight w:val="none"/>
              </w:rPr>
              <w:t>消毒产生消毒废气G</w:t>
            </w:r>
            <w:r>
              <w:rPr>
                <w:rFonts w:hint="eastAsia"/>
                <w:highlight w:val="none"/>
                <w:lang w:val="en-US" w:eastAsia="zh-CN"/>
              </w:rPr>
              <w:t>1-3</w:t>
            </w:r>
            <w:r>
              <w:rPr>
                <w:rFonts w:hint="eastAsia"/>
                <w:highlight w:val="none"/>
                <w:lang w:eastAsia="zh-CN"/>
              </w:rPr>
              <w:t>；</w:t>
            </w:r>
            <w:r>
              <w:rPr>
                <w:rFonts w:hint="eastAsia"/>
                <w:highlight w:val="none"/>
                <w:lang w:val="en-US" w:eastAsia="zh-CN"/>
              </w:rPr>
              <w:t>实验室设备清洗废水W1-5、手术台废水W1-6；</w:t>
            </w:r>
            <w:r>
              <w:rPr>
                <w:rFonts w:hint="default"/>
                <w:highlight w:val="none"/>
              </w:rPr>
              <w:t>固体废物主要包括动物尸体</w:t>
            </w:r>
            <w:r>
              <w:rPr>
                <w:rFonts w:hint="eastAsia"/>
                <w:highlight w:val="none"/>
                <w:lang w:val="en-US" w:eastAsia="zh-CN"/>
              </w:rPr>
              <w:t>S1-3</w:t>
            </w:r>
            <w:r>
              <w:rPr>
                <w:rFonts w:hint="default"/>
                <w:highlight w:val="none"/>
              </w:rPr>
              <w:t>、</w:t>
            </w:r>
            <w:r>
              <w:rPr>
                <w:rFonts w:hint="eastAsia"/>
                <w:highlight w:val="none"/>
                <w:lang w:val="en-US" w:eastAsia="zh-CN"/>
              </w:rPr>
              <w:t>实验废液S1-4</w:t>
            </w:r>
            <w:r>
              <w:rPr>
                <w:rFonts w:hint="eastAsia"/>
                <w:highlight w:val="none"/>
                <w:lang w:eastAsia="zh-CN"/>
              </w:rPr>
              <w:t>、</w:t>
            </w:r>
            <w:r>
              <w:rPr>
                <w:rFonts w:hint="eastAsia"/>
                <w:highlight w:val="none"/>
                <w:lang w:val="en-US" w:eastAsia="zh-CN"/>
              </w:rPr>
              <w:t>废实验耗材S1-5</w:t>
            </w:r>
            <w:r>
              <w:rPr>
                <w:rFonts w:hint="default"/>
                <w:highlight w:val="none"/>
              </w:rPr>
              <w:t>等</w:t>
            </w:r>
            <w:r>
              <w:rPr>
                <w:rFonts w:hint="eastAsia"/>
                <w:highlight w:val="none"/>
                <w:lang w:eastAsia="zh-CN"/>
              </w:rPr>
              <w:t>。</w:t>
            </w:r>
          </w:p>
          <w:p w14:paraId="7AEF6666">
            <w:pPr>
              <w:pStyle w:val="122"/>
              <w:keepNext w:val="0"/>
              <w:keepLines w:val="0"/>
              <w:suppressLineNumbers w:val="0"/>
              <w:spacing w:before="0" w:beforeAutospacing="0" w:after="0" w:afterAutospacing="0"/>
              <w:ind w:left="0" w:right="0"/>
              <w:jc w:val="left"/>
              <w:rPr>
                <w:rFonts w:hint="default" w:eastAsia="宋体"/>
                <w:b/>
                <w:bCs/>
                <w:sz w:val="24"/>
                <w:szCs w:val="24"/>
                <w:highlight w:val="none"/>
                <w:lang w:val="en-US" w:eastAsia="zh-CN"/>
              </w:rPr>
            </w:pPr>
            <w:r>
              <w:rPr>
                <w:rFonts w:hint="eastAsia"/>
                <w:b/>
                <w:bCs/>
                <w:sz w:val="24"/>
                <w:szCs w:val="24"/>
                <w:highlight w:val="none"/>
                <w:lang w:eastAsia="zh-CN"/>
              </w:rPr>
              <w:t>（</w:t>
            </w:r>
            <w:r>
              <w:rPr>
                <w:rFonts w:hint="eastAsia"/>
                <w:b/>
                <w:bCs/>
                <w:sz w:val="24"/>
                <w:szCs w:val="24"/>
                <w:highlight w:val="none"/>
                <w:lang w:val="en-US" w:eastAsia="zh-CN"/>
              </w:rPr>
              <w:t>3</w:t>
            </w:r>
            <w:r>
              <w:rPr>
                <w:rFonts w:hint="eastAsia"/>
                <w:b/>
                <w:bCs/>
                <w:sz w:val="24"/>
                <w:szCs w:val="24"/>
                <w:highlight w:val="none"/>
                <w:lang w:eastAsia="zh-CN"/>
              </w:rPr>
              <w:t>）</w:t>
            </w:r>
            <w:r>
              <w:rPr>
                <w:rFonts w:hint="eastAsia"/>
                <w:b/>
                <w:bCs/>
                <w:sz w:val="24"/>
                <w:szCs w:val="24"/>
                <w:highlight w:val="none"/>
                <w:lang w:val="en-US" w:eastAsia="zh-CN"/>
              </w:rPr>
              <w:t>软水/纯水制备</w:t>
            </w:r>
          </w:p>
          <w:p w14:paraId="4C65D2DE">
            <w:pPr>
              <w:pStyle w:val="4"/>
              <w:suppressLineNumbers w:val="0"/>
              <w:adjustRightInd w:val="0"/>
              <w:snapToGrid w:val="0"/>
              <w:spacing w:before="0" w:beforeAutospacing="0" w:after="0" w:afterAutospacing="0" w:line="360" w:lineRule="auto"/>
              <w:ind w:left="0" w:right="0"/>
              <w:jc w:val="center"/>
              <w:rPr>
                <w:rFonts w:hint="eastAsia" w:eastAsia="宋体"/>
                <w:snapToGrid w:val="0"/>
                <w:sz w:val="24"/>
                <w:szCs w:val="24"/>
                <w:highlight w:val="none"/>
                <w:lang w:eastAsia="zh-CN"/>
              </w:rPr>
            </w:pPr>
            <w:r>
              <w:rPr>
                <w:rFonts w:hint="eastAsia" w:eastAsia="宋体"/>
                <w:snapToGrid w:val="0"/>
                <w:sz w:val="24"/>
                <w:szCs w:val="24"/>
                <w:highlight w:val="none"/>
                <w:lang w:eastAsia="zh-CN"/>
              </w:rPr>
              <w:object>
                <v:shape id="_x0000_i1028" o:spt="75" type="#_x0000_t75" style="height:390.75pt;width:319.7pt;" o:ole="t" filled="f" o:preferrelative="t" stroked="f" coordsize="21600,21600">
                  <v:path/>
                  <v:fill on="f" focussize="0,0"/>
                  <v:stroke on="f"/>
                  <v:imagedata r:id="rId23" o:title=""/>
                  <o:lock v:ext="edit" aspectratio="t"/>
                  <w10:wrap type="none"/>
                  <w10:anchorlock/>
                </v:shape>
                <o:OLEObject Type="Embed" ProgID="Visio.Drawing.11" ShapeID="_x0000_i1028" DrawAspect="Content" ObjectID="_1468075728" r:id="rId22">
                  <o:LockedField>false</o:LockedField>
                </o:OLEObject>
              </w:object>
            </w:r>
          </w:p>
          <w:p w14:paraId="2B897BF0">
            <w:pPr>
              <w:pStyle w:val="4"/>
              <w:suppressLineNumbers w:val="0"/>
              <w:adjustRightInd w:val="0"/>
              <w:snapToGrid w:val="0"/>
              <w:spacing w:before="0" w:beforeAutospacing="0" w:after="0" w:afterAutospacing="0" w:line="360" w:lineRule="auto"/>
              <w:ind w:left="0" w:right="0"/>
              <w:jc w:val="center"/>
              <w:rPr>
                <w:rFonts w:hint="default"/>
                <w:snapToGrid w:val="0"/>
                <w:sz w:val="24"/>
                <w:szCs w:val="24"/>
                <w:highlight w:val="none"/>
              </w:rPr>
            </w:pPr>
            <w:r>
              <w:rPr>
                <w:rFonts w:hint="eastAsia"/>
                <w:snapToGrid w:val="0"/>
                <w:sz w:val="24"/>
                <w:szCs w:val="24"/>
                <w:highlight w:val="none"/>
              </w:rPr>
              <w:t>图</w:t>
            </w:r>
            <w:r>
              <w:rPr>
                <w:rFonts w:hint="default"/>
                <w:snapToGrid w:val="0"/>
                <w:sz w:val="24"/>
                <w:szCs w:val="24"/>
                <w:highlight w:val="none"/>
              </w:rPr>
              <w:t>2-</w:t>
            </w:r>
            <w:r>
              <w:rPr>
                <w:rFonts w:hint="eastAsia"/>
                <w:snapToGrid w:val="0"/>
                <w:sz w:val="24"/>
                <w:szCs w:val="24"/>
                <w:highlight w:val="none"/>
                <w:lang w:val="en-US" w:eastAsia="zh-CN"/>
              </w:rPr>
              <w:t>4</w:t>
            </w:r>
            <w:r>
              <w:rPr>
                <w:rFonts w:hint="default"/>
                <w:snapToGrid w:val="0"/>
                <w:sz w:val="24"/>
                <w:szCs w:val="24"/>
                <w:highlight w:val="none"/>
              </w:rPr>
              <w:t xml:space="preserve">  </w:t>
            </w:r>
            <w:r>
              <w:rPr>
                <w:rFonts w:hint="eastAsia"/>
                <w:snapToGrid w:val="0"/>
                <w:sz w:val="24"/>
                <w:szCs w:val="24"/>
                <w:highlight w:val="none"/>
                <w:lang w:val="en-US" w:eastAsia="zh-CN"/>
              </w:rPr>
              <w:t>软水/纯水制备工艺</w:t>
            </w:r>
            <w:r>
              <w:rPr>
                <w:rFonts w:hint="eastAsia"/>
                <w:snapToGrid w:val="0"/>
                <w:sz w:val="24"/>
                <w:szCs w:val="24"/>
                <w:highlight w:val="none"/>
              </w:rPr>
              <w:t>流程及产污环节</w:t>
            </w:r>
          </w:p>
          <w:p w14:paraId="1B1D1F3C">
            <w:pPr>
              <w:pStyle w:val="4"/>
              <w:suppressLineNumbers w:val="0"/>
              <w:adjustRightInd w:val="0"/>
              <w:snapToGrid w:val="0"/>
              <w:spacing w:before="0" w:beforeAutospacing="0" w:after="0" w:afterAutospacing="0" w:line="360" w:lineRule="auto"/>
              <w:ind w:left="0" w:right="0"/>
              <w:rPr>
                <w:rFonts w:hint="eastAsia"/>
                <w:snapToGrid w:val="0"/>
                <w:sz w:val="24"/>
                <w:szCs w:val="24"/>
                <w:highlight w:val="none"/>
              </w:rPr>
            </w:pPr>
            <w:r>
              <w:rPr>
                <w:rFonts w:hint="eastAsia"/>
                <w:snapToGrid w:val="0"/>
                <w:sz w:val="24"/>
                <w:szCs w:val="24"/>
                <w:highlight w:val="none"/>
              </w:rPr>
              <w:t>工艺流程及产排污说明：</w:t>
            </w:r>
          </w:p>
          <w:p w14:paraId="5B973A56">
            <w:pPr>
              <w:pStyle w:val="122"/>
              <w:keepNext w:val="0"/>
              <w:keepLines w:val="0"/>
              <w:suppressLineNumbers w:val="0"/>
              <w:spacing w:before="0" w:beforeAutospacing="0" w:after="0" w:afterAutospacing="0"/>
              <w:ind w:left="0" w:right="0"/>
              <w:rPr>
                <w:rFonts w:hint="default" w:eastAsia="宋体"/>
                <w:b/>
                <w:bCs w:val="0"/>
                <w:color w:val="auto"/>
                <w:highlight w:val="none"/>
                <w:lang w:val="en-US" w:eastAsia="zh-CN"/>
              </w:rPr>
            </w:pPr>
            <w:r>
              <w:rPr>
                <w:rFonts w:hint="default"/>
                <w:b/>
                <w:bCs w:val="0"/>
                <w:color w:val="auto"/>
                <w:highlight w:val="none"/>
                <w:lang w:val="en-US" w:eastAsia="zh-CN"/>
              </w:rPr>
              <w:t>①</w:t>
            </w:r>
            <w:r>
              <w:rPr>
                <w:rFonts w:hint="eastAsia"/>
                <w:b/>
                <w:bCs w:val="0"/>
                <w:color w:val="auto"/>
                <w:highlight w:val="none"/>
                <w:lang w:val="en-US" w:eastAsia="zh-CN"/>
              </w:rPr>
              <w:t>软化水制备</w:t>
            </w:r>
          </w:p>
          <w:p w14:paraId="50229B24">
            <w:pPr>
              <w:pStyle w:val="122"/>
              <w:keepNext w:val="0"/>
              <w:keepLines w:val="0"/>
              <w:suppressLineNumbers w:val="0"/>
              <w:spacing w:before="0" w:beforeAutospacing="0" w:after="0" w:afterAutospacing="0"/>
              <w:ind w:left="0" w:right="0"/>
              <w:rPr>
                <w:rFonts w:hint="default"/>
                <w:color w:val="auto"/>
                <w:highlight w:val="none"/>
              </w:rPr>
            </w:pPr>
            <w:r>
              <w:rPr>
                <w:rFonts w:hint="default"/>
                <w:b/>
                <w:bCs w:val="0"/>
                <w:color w:val="auto"/>
                <w:highlight w:val="none"/>
              </w:rPr>
              <w:t>原水箱：</w:t>
            </w:r>
            <w:r>
              <w:rPr>
                <w:rFonts w:hint="default"/>
                <w:color w:val="auto"/>
                <w:highlight w:val="none"/>
              </w:rPr>
              <w:t>自来水进入原水箱，原水箱内设置高、低液位保护开关与供给泵实现联锁，确保系统供水平衡。原水经原水泵升压送入砂滤器。</w:t>
            </w:r>
          </w:p>
          <w:p w14:paraId="68C9B393">
            <w:pPr>
              <w:pStyle w:val="122"/>
              <w:keepNext w:val="0"/>
              <w:keepLines w:val="0"/>
              <w:suppressLineNumbers w:val="0"/>
              <w:spacing w:before="0" w:beforeAutospacing="0" w:after="0" w:afterAutospacing="0"/>
              <w:ind w:left="0" w:right="0" w:firstLine="482"/>
              <w:rPr>
                <w:rFonts w:hint="default"/>
                <w:color w:val="auto"/>
                <w:highlight w:val="none"/>
              </w:rPr>
            </w:pPr>
            <w:r>
              <w:rPr>
                <w:rFonts w:hint="default"/>
                <w:b/>
                <w:color w:val="auto"/>
                <w:highlight w:val="none"/>
              </w:rPr>
              <w:t>多介质砂滤器：</w:t>
            </w:r>
            <w:r>
              <w:rPr>
                <w:rFonts w:hint="default"/>
                <w:color w:val="auto"/>
                <w:highlight w:val="none"/>
              </w:rPr>
              <w:t>原水通过多介质砂滤器（以石英砂为主）截留水中的微粒物、重金属离子、小分子有机物、细菌等，目标除浊度，以满足反渗透进水浊度小于1NTU的要求。此过滤器可自动定期进行反冲洗，产生反冲洗废水</w:t>
            </w:r>
            <w:r>
              <w:rPr>
                <w:rFonts w:hint="eastAsia"/>
                <w:color w:val="auto"/>
                <w:highlight w:val="none"/>
              </w:rPr>
              <w:t>W</w:t>
            </w:r>
            <w:r>
              <w:rPr>
                <w:rFonts w:hint="eastAsia"/>
                <w:color w:val="auto"/>
                <w:highlight w:val="none"/>
                <w:lang w:val="en-US" w:eastAsia="zh-CN"/>
              </w:rPr>
              <w:t>1-8</w:t>
            </w:r>
            <w:r>
              <w:rPr>
                <w:rFonts w:hint="default"/>
                <w:color w:val="auto"/>
                <w:highlight w:val="none"/>
              </w:rPr>
              <w:t>。</w:t>
            </w:r>
          </w:p>
          <w:p w14:paraId="7EBF1E7D">
            <w:pPr>
              <w:pStyle w:val="122"/>
              <w:keepNext w:val="0"/>
              <w:keepLines w:val="0"/>
              <w:suppressLineNumbers w:val="0"/>
              <w:spacing w:before="0" w:beforeAutospacing="0" w:after="0" w:afterAutospacing="0"/>
              <w:ind w:left="0" w:right="0" w:firstLine="482"/>
              <w:rPr>
                <w:rFonts w:hint="default"/>
                <w:color w:val="auto"/>
                <w:highlight w:val="none"/>
              </w:rPr>
            </w:pPr>
            <w:r>
              <w:rPr>
                <w:rFonts w:hint="default"/>
                <w:b/>
                <w:color w:val="auto"/>
                <w:highlight w:val="none"/>
              </w:rPr>
              <w:t>活性炭过滤器：</w:t>
            </w:r>
            <w:r>
              <w:rPr>
                <w:rFonts w:hint="default"/>
                <w:color w:val="auto"/>
                <w:highlight w:val="none"/>
              </w:rPr>
              <w:t>经活性炭过滤器进一步去除有机物杂质、部分臭味，除余氯，可防止有机物污染反渗透膜，以满足反渗透进水余氯小于0.1ppm的要求，此过滤器可自动定期进行反冲洗，产生反冲洗废水</w:t>
            </w:r>
            <w:r>
              <w:rPr>
                <w:rFonts w:hint="eastAsia"/>
                <w:color w:val="auto"/>
                <w:highlight w:val="none"/>
              </w:rPr>
              <w:t>W</w:t>
            </w:r>
            <w:r>
              <w:rPr>
                <w:rFonts w:hint="eastAsia"/>
                <w:color w:val="auto"/>
                <w:highlight w:val="none"/>
                <w:lang w:val="en-US" w:eastAsia="zh-CN"/>
              </w:rPr>
              <w:t>1-8</w:t>
            </w:r>
            <w:r>
              <w:rPr>
                <w:rFonts w:hint="default"/>
                <w:color w:val="auto"/>
                <w:highlight w:val="none"/>
              </w:rPr>
              <w:t>。</w:t>
            </w:r>
          </w:p>
          <w:p w14:paraId="02892EB7">
            <w:pPr>
              <w:pStyle w:val="122"/>
              <w:keepNext w:val="0"/>
              <w:keepLines w:val="0"/>
              <w:suppressLineNumbers w:val="0"/>
              <w:spacing w:before="0" w:beforeAutospacing="0" w:after="0" w:afterAutospacing="0"/>
              <w:ind w:left="0" w:right="0" w:firstLine="482"/>
              <w:rPr>
                <w:rFonts w:hint="default"/>
                <w:color w:val="auto"/>
                <w:highlight w:val="none"/>
              </w:rPr>
            </w:pPr>
            <w:r>
              <w:rPr>
                <w:rFonts w:hint="default"/>
                <w:b/>
                <w:color w:val="auto"/>
                <w:highlight w:val="none"/>
              </w:rPr>
              <w:t>软化器：</w:t>
            </w:r>
            <w:r>
              <w:rPr>
                <w:rFonts w:hint="default"/>
                <w:color w:val="auto"/>
                <w:highlight w:val="none"/>
              </w:rPr>
              <w:t>经活性炭过滤器过滤后的水经软化器添加进口反渗透保护剂，用以分散、遮蔽水中的铁、铝、钙、镁等离子，消除其对反渗透膜的污染影响。</w:t>
            </w:r>
          </w:p>
          <w:p w14:paraId="05A7AA95">
            <w:pPr>
              <w:pStyle w:val="122"/>
              <w:keepNext w:val="0"/>
              <w:keepLines w:val="0"/>
              <w:suppressLineNumbers w:val="0"/>
              <w:spacing w:before="0" w:beforeAutospacing="0" w:after="0" w:afterAutospacing="0"/>
              <w:ind w:left="0" w:right="0"/>
              <w:rPr>
                <w:rFonts w:hint="default"/>
                <w:b/>
                <w:bCs w:val="0"/>
                <w:color w:val="auto"/>
                <w:highlight w:val="none"/>
                <w:lang w:val="en-US" w:eastAsia="zh-CN"/>
              </w:rPr>
            </w:pPr>
            <w:r>
              <w:rPr>
                <w:rFonts w:hint="default"/>
                <w:b/>
                <w:bCs w:val="0"/>
                <w:color w:val="auto"/>
                <w:highlight w:val="none"/>
                <w:lang w:val="en-US" w:eastAsia="zh-CN"/>
              </w:rPr>
              <w:t>②</w:t>
            </w:r>
            <w:r>
              <w:rPr>
                <w:rFonts w:hint="eastAsia"/>
                <w:b/>
                <w:bCs w:val="0"/>
                <w:color w:val="auto"/>
                <w:highlight w:val="none"/>
                <w:lang w:val="en-US" w:eastAsia="zh-CN"/>
              </w:rPr>
              <w:t>纯水制备</w:t>
            </w:r>
          </w:p>
          <w:p w14:paraId="310AAD8E">
            <w:pPr>
              <w:pStyle w:val="122"/>
              <w:keepNext w:val="0"/>
              <w:keepLines w:val="0"/>
              <w:suppressLineNumbers w:val="0"/>
              <w:spacing w:before="0" w:beforeAutospacing="0" w:after="0" w:afterAutospacing="0"/>
              <w:ind w:left="0" w:right="0" w:firstLine="482"/>
              <w:rPr>
                <w:rFonts w:hint="eastAsia" w:eastAsia="宋体"/>
                <w:b/>
                <w:color w:val="auto"/>
                <w:highlight w:val="none"/>
                <w:lang w:eastAsia="zh-CN"/>
              </w:rPr>
            </w:pPr>
            <w:r>
              <w:rPr>
                <w:rFonts w:hint="eastAsia"/>
                <w:b/>
                <w:bCs w:val="0"/>
                <w:highlight w:val="none"/>
              </w:rPr>
              <w:t>纯水</w:t>
            </w:r>
            <w:r>
              <w:rPr>
                <w:rFonts w:hint="default"/>
                <w:b/>
                <w:bCs w:val="0"/>
                <w:highlight w:val="none"/>
              </w:rPr>
              <w:t>制备前期</w:t>
            </w:r>
            <w:r>
              <w:rPr>
                <w:rFonts w:hint="eastAsia"/>
                <w:b/>
                <w:bCs w:val="0"/>
                <w:highlight w:val="none"/>
              </w:rPr>
              <w:t>工艺与</w:t>
            </w:r>
            <w:r>
              <w:rPr>
                <w:rFonts w:hint="default"/>
                <w:b/>
                <w:bCs w:val="0"/>
                <w:highlight w:val="none"/>
              </w:rPr>
              <w:t>软水制备工艺</w:t>
            </w:r>
            <w:r>
              <w:rPr>
                <w:rFonts w:hint="eastAsia"/>
                <w:b/>
                <w:bCs w:val="0"/>
                <w:highlight w:val="none"/>
              </w:rPr>
              <w:t>一致，软水</w:t>
            </w:r>
            <w:r>
              <w:rPr>
                <w:rFonts w:hint="default"/>
                <w:b/>
                <w:bCs w:val="0"/>
                <w:highlight w:val="none"/>
              </w:rPr>
              <w:t>制备后，</w:t>
            </w:r>
            <w:r>
              <w:rPr>
                <w:rFonts w:hint="eastAsia"/>
                <w:b/>
                <w:bCs w:val="0"/>
                <w:highlight w:val="none"/>
              </w:rPr>
              <w:t>需</w:t>
            </w:r>
            <w:r>
              <w:rPr>
                <w:rFonts w:hint="default"/>
                <w:b/>
                <w:bCs w:val="0"/>
                <w:highlight w:val="none"/>
              </w:rPr>
              <w:t>进一步进行处理</w:t>
            </w:r>
            <w:r>
              <w:rPr>
                <w:rFonts w:hint="eastAsia"/>
                <w:b/>
                <w:bCs w:val="0"/>
                <w:highlight w:val="none"/>
                <w:lang w:eastAsia="zh-CN"/>
              </w:rPr>
              <w:t>。</w:t>
            </w:r>
          </w:p>
          <w:p w14:paraId="64B585BD">
            <w:pPr>
              <w:pStyle w:val="122"/>
              <w:keepNext w:val="0"/>
              <w:keepLines w:val="0"/>
              <w:suppressLineNumbers w:val="0"/>
              <w:spacing w:before="0" w:beforeAutospacing="0" w:after="0" w:afterAutospacing="0"/>
              <w:ind w:left="0" w:right="0" w:firstLine="482"/>
              <w:rPr>
                <w:rFonts w:hint="default"/>
                <w:color w:val="auto"/>
                <w:highlight w:val="none"/>
              </w:rPr>
            </w:pPr>
            <w:r>
              <w:rPr>
                <w:rFonts w:hint="default"/>
                <w:b/>
                <w:color w:val="auto"/>
                <w:highlight w:val="none"/>
              </w:rPr>
              <w:t>保安过滤器：</w:t>
            </w:r>
            <w:r>
              <w:rPr>
                <w:rFonts w:hint="default"/>
                <w:color w:val="auto"/>
                <w:highlight w:val="none"/>
              </w:rPr>
              <w:t>经过了软化系统后的水通过保安过滤器进一步去除水中的细小胶体及其他污染物，确保水质达到反渗透膜的进水指标（SDI15＜3）。过滤器中选用5μm精度的聚丙烯熔喷滤芯，为反渗透膜进水前的标准保安配置。</w:t>
            </w:r>
          </w:p>
          <w:p w14:paraId="5477C78C">
            <w:pPr>
              <w:pStyle w:val="122"/>
              <w:keepNext w:val="0"/>
              <w:keepLines w:val="0"/>
              <w:suppressLineNumbers w:val="0"/>
              <w:spacing w:before="0" w:beforeAutospacing="0" w:after="0" w:afterAutospacing="0"/>
              <w:ind w:left="0" w:right="0" w:firstLine="482"/>
              <w:rPr>
                <w:rFonts w:hint="default"/>
                <w:color w:val="auto"/>
                <w:highlight w:val="none"/>
              </w:rPr>
            </w:pPr>
            <w:r>
              <w:rPr>
                <w:rFonts w:hint="default"/>
                <w:b/>
                <w:color w:val="auto"/>
                <w:highlight w:val="none"/>
              </w:rPr>
              <w:t>反渗透脱盐系统：</w:t>
            </w:r>
            <w:r>
              <w:rPr>
                <w:rFonts w:hint="default"/>
                <w:color w:val="auto"/>
                <w:highlight w:val="none"/>
              </w:rPr>
              <w:t>经前处理后的水进入反渗透脱盐系统进行脱盐，主要去除水体中的无机离子及小分子有机物。其主机采用一体化结构设计，自动化控制，操作简单，工作量小且设备运行稳定。在反渗透高压泵的进出口设有高、低压报警开关，直接与高压泵联锁。该系统可自动定期进行反冲洗，产生反冲洗废水</w:t>
            </w:r>
            <w:r>
              <w:rPr>
                <w:rFonts w:hint="eastAsia"/>
                <w:color w:val="auto"/>
                <w:highlight w:val="none"/>
              </w:rPr>
              <w:t>W</w:t>
            </w:r>
            <w:r>
              <w:rPr>
                <w:rFonts w:hint="eastAsia"/>
                <w:color w:val="auto"/>
                <w:highlight w:val="none"/>
                <w:lang w:val="en-US" w:eastAsia="zh-CN"/>
              </w:rPr>
              <w:t>1-8</w:t>
            </w:r>
            <w:r>
              <w:rPr>
                <w:rFonts w:hint="default"/>
                <w:color w:val="auto"/>
                <w:highlight w:val="none"/>
              </w:rPr>
              <w:t>。</w:t>
            </w:r>
          </w:p>
          <w:p w14:paraId="3C748B2E">
            <w:pPr>
              <w:pStyle w:val="122"/>
              <w:keepNext w:val="0"/>
              <w:keepLines w:val="0"/>
              <w:suppressLineNumbers w:val="0"/>
              <w:spacing w:before="0" w:beforeAutospacing="0" w:after="0" w:afterAutospacing="0"/>
              <w:ind w:left="0" w:right="0"/>
              <w:rPr>
                <w:rFonts w:hint="default"/>
                <w:color w:val="auto"/>
                <w:highlight w:val="none"/>
              </w:rPr>
            </w:pPr>
            <w:r>
              <w:rPr>
                <w:rFonts w:hint="eastAsia"/>
                <w:color w:val="auto"/>
                <w:highlight w:val="none"/>
              </w:rPr>
              <w:t>本项目动物饮用采用自动饮水系统，由制水间内一级</w:t>
            </w:r>
            <w:r>
              <w:rPr>
                <w:rFonts w:hint="default"/>
                <w:color w:val="auto"/>
                <w:highlight w:val="none"/>
              </w:rPr>
              <w:t>RO</w:t>
            </w:r>
            <w:r>
              <w:rPr>
                <w:rFonts w:hint="eastAsia"/>
                <w:color w:val="auto"/>
                <w:highlight w:val="none"/>
              </w:rPr>
              <w:t>处理设备产出RO水，经由氯化/复压装置对水进行灭菌并供给</w:t>
            </w:r>
            <w:r>
              <w:rPr>
                <w:rFonts w:hint="eastAsia"/>
                <w:color w:val="auto"/>
                <w:highlight w:val="none"/>
                <w:lang w:val="en-US" w:eastAsia="zh-CN"/>
              </w:rPr>
              <w:t>至二三层水瓶灌装机及水迷宫用水点</w:t>
            </w:r>
            <w:r>
              <w:rPr>
                <w:rFonts w:hint="eastAsia"/>
                <w:color w:val="auto"/>
                <w:highlight w:val="none"/>
                <w:lang w:eastAsia="zh-CN"/>
              </w:rPr>
              <w:t>。</w:t>
            </w:r>
            <w:r>
              <w:rPr>
                <w:rFonts w:hint="eastAsia"/>
                <w:color w:val="auto"/>
                <w:highlight w:val="none"/>
              </w:rPr>
              <w:t>出水水质要求由过滤设备和加氯消毒设备制取，需保证微生物（如：大肠菌群、菌落总数、霉菌、酵母菌、致病菌如沙门氏、致贺氏、金黄色葡萄球菌等）未检出；电导率指标10~100uS/cm；游离氯含量在1.6~2ppm范围。</w:t>
            </w:r>
          </w:p>
          <w:p w14:paraId="2950392F">
            <w:pPr>
              <w:pStyle w:val="122"/>
              <w:keepNext w:val="0"/>
              <w:keepLines w:val="0"/>
              <w:suppressLineNumbers w:val="0"/>
              <w:spacing w:before="0" w:beforeAutospacing="0" w:after="0" w:afterAutospacing="0"/>
              <w:ind w:left="0" w:right="0" w:firstLine="482"/>
              <w:rPr>
                <w:rFonts w:hint="default"/>
                <w:color w:val="auto"/>
                <w:highlight w:val="none"/>
              </w:rPr>
            </w:pPr>
            <w:r>
              <w:rPr>
                <w:rFonts w:hint="eastAsia"/>
                <w:color w:val="auto"/>
                <w:highlight w:val="none"/>
                <w:lang w:val="en-US" w:eastAsia="zh-CN"/>
              </w:rPr>
              <w:t>纯</w:t>
            </w:r>
            <w:r>
              <w:rPr>
                <w:rFonts w:hint="default"/>
                <w:color w:val="auto"/>
                <w:highlight w:val="none"/>
              </w:rPr>
              <w:t>水制备率达70%，制备过程中产生少量</w:t>
            </w:r>
            <w:r>
              <w:rPr>
                <w:rFonts w:hint="eastAsia"/>
                <w:color w:val="auto"/>
                <w:highlight w:val="none"/>
                <w:lang w:val="en-US" w:eastAsia="zh-CN"/>
              </w:rPr>
              <w:t>纯水制备浓水W1-7</w:t>
            </w:r>
            <w:r>
              <w:rPr>
                <w:rFonts w:hint="default"/>
                <w:color w:val="auto"/>
                <w:highlight w:val="none"/>
              </w:rPr>
              <w:t>，多介质</w:t>
            </w:r>
            <w:r>
              <w:rPr>
                <w:rFonts w:hint="eastAsia"/>
                <w:color w:val="auto"/>
                <w:highlight w:val="none"/>
              </w:rPr>
              <w:t>过滤</w:t>
            </w:r>
            <w:r>
              <w:rPr>
                <w:rFonts w:hint="default"/>
                <w:color w:val="auto"/>
                <w:highlight w:val="none"/>
              </w:rPr>
              <w:t>器（以石英砂为主）、活性炭过滤器</w:t>
            </w:r>
            <w:r>
              <w:rPr>
                <w:rFonts w:hint="eastAsia"/>
                <w:color w:val="auto"/>
                <w:highlight w:val="none"/>
                <w:lang w:eastAsia="zh-CN"/>
              </w:rPr>
              <w:t>、</w:t>
            </w:r>
            <w:r>
              <w:rPr>
                <w:rFonts w:hint="default"/>
                <w:color w:val="auto"/>
                <w:highlight w:val="none"/>
              </w:rPr>
              <w:t>保安过滤器</w:t>
            </w:r>
            <w:r>
              <w:rPr>
                <w:rFonts w:hint="eastAsia"/>
                <w:color w:val="auto"/>
                <w:highlight w:val="none"/>
                <w:lang w:val="en-US" w:eastAsia="zh-CN"/>
              </w:rPr>
              <w:t>和RO膜</w:t>
            </w:r>
            <w:r>
              <w:rPr>
                <w:rFonts w:hint="default"/>
                <w:color w:val="auto"/>
                <w:highlight w:val="none"/>
              </w:rPr>
              <w:t>需定期更换，因此产生</w:t>
            </w:r>
            <w:r>
              <w:rPr>
                <w:rFonts w:hint="eastAsia"/>
                <w:color w:val="auto"/>
                <w:highlight w:val="none"/>
              </w:rPr>
              <w:t>废</w:t>
            </w:r>
            <w:r>
              <w:rPr>
                <w:rFonts w:hint="default"/>
                <w:color w:val="auto"/>
                <w:highlight w:val="none"/>
              </w:rPr>
              <w:t>过滤介质S</w:t>
            </w:r>
            <w:r>
              <w:rPr>
                <w:rFonts w:hint="eastAsia"/>
                <w:color w:val="auto"/>
                <w:highlight w:val="none"/>
                <w:lang w:val="en-US" w:eastAsia="zh-CN"/>
              </w:rPr>
              <w:t>1-5~S1-8和废树脂S1-9</w:t>
            </w:r>
            <w:r>
              <w:rPr>
                <w:rFonts w:hint="default"/>
                <w:color w:val="auto"/>
                <w:highlight w:val="none"/>
              </w:rPr>
              <w:t>。</w:t>
            </w:r>
          </w:p>
          <w:p w14:paraId="66305E4D">
            <w:pPr>
              <w:pStyle w:val="4"/>
              <w:suppressLineNumbers w:val="0"/>
              <w:adjustRightInd w:val="0"/>
              <w:snapToGrid w:val="0"/>
              <w:spacing w:before="0" w:beforeAutospacing="0" w:after="0" w:afterAutospacing="0" w:line="360" w:lineRule="auto"/>
              <w:ind w:left="0" w:right="0" w:firstLine="482" w:firstLineChars="200"/>
              <w:rPr>
                <w:rFonts w:hint="eastAsia" w:eastAsia="宋体"/>
                <w:snapToGrid w:val="0"/>
                <w:sz w:val="24"/>
                <w:szCs w:val="24"/>
                <w:highlight w:val="none"/>
                <w:lang w:val="en-US" w:eastAsia="zh-CN"/>
              </w:rPr>
            </w:pPr>
            <w:r>
              <w:rPr>
                <w:rFonts w:hint="eastAsia"/>
                <w:snapToGrid w:val="0"/>
                <w:sz w:val="24"/>
                <w:szCs w:val="24"/>
                <w:highlight w:val="none"/>
                <w:lang w:val="en-US" w:eastAsia="zh-CN"/>
              </w:rPr>
              <w:t>科创综合楼：</w:t>
            </w:r>
          </w:p>
          <w:p w14:paraId="436D3419">
            <w:pPr>
              <w:pStyle w:val="4"/>
              <w:suppressLineNumbers w:val="0"/>
              <w:adjustRightInd w:val="0"/>
              <w:snapToGrid w:val="0"/>
              <w:spacing w:before="0" w:beforeAutospacing="0" w:after="0" w:afterAutospacing="0" w:line="360" w:lineRule="auto"/>
              <w:ind w:left="0" w:right="0" w:firstLine="480" w:firstLineChars="200"/>
              <w:rPr>
                <w:rFonts w:hint="eastAsia" w:ascii="Times New Roman" w:hAnsi="Times New Roman" w:eastAsia="宋体" w:cs="宋体"/>
                <w:b w:val="0"/>
                <w:bCs/>
                <w:kern w:val="2"/>
                <w:sz w:val="24"/>
                <w:szCs w:val="24"/>
                <w:highlight w:val="none"/>
                <w:lang w:val="zh-CN" w:eastAsia="zh-CN" w:bidi="ar-SA"/>
              </w:rPr>
            </w:pPr>
            <w:r>
              <w:rPr>
                <w:rFonts w:hint="eastAsia" w:ascii="Times New Roman" w:hAnsi="Times New Roman" w:eastAsia="宋体" w:cs="宋体"/>
                <w:b w:val="0"/>
                <w:bCs/>
                <w:kern w:val="2"/>
                <w:sz w:val="24"/>
                <w:szCs w:val="24"/>
                <w:highlight w:val="none"/>
                <w:lang w:val="zh-CN" w:eastAsia="zh-CN" w:bidi="ar-SA"/>
              </w:rPr>
              <w:t>本项目实验室运营期主要实验流程为：首先确定科研实验课题，根据研究课题设计实验方案，在开展正式实验研究前先进行预实验，若预实验结果得到目标产物，则继续开展进一步的药物鉴定、药物功能性评价实验研究，并依据最终实验成果得出相应的实验结论。反之则适当调整实验方案</w:t>
            </w:r>
            <w:r>
              <w:rPr>
                <w:rFonts w:hint="eastAsia" w:cs="宋体"/>
                <w:b w:val="0"/>
                <w:bCs/>
                <w:kern w:val="2"/>
                <w:sz w:val="24"/>
                <w:szCs w:val="24"/>
                <w:highlight w:val="none"/>
                <w:lang w:val="zh-CN" w:eastAsia="zh-CN" w:bidi="ar-SA"/>
              </w:rPr>
              <w:t>。</w:t>
            </w:r>
          </w:p>
          <w:p w14:paraId="57CA5DEE">
            <w:pPr>
              <w:pStyle w:val="4"/>
              <w:suppressLineNumbers w:val="0"/>
              <w:adjustRightInd w:val="0"/>
              <w:snapToGrid w:val="0"/>
              <w:spacing w:before="0" w:beforeAutospacing="0" w:after="0" w:afterAutospacing="0" w:line="360" w:lineRule="auto"/>
              <w:ind w:left="0" w:right="0" w:firstLine="480" w:firstLineChars="200"/>
              <w:rPr>
                <w:rFonts w:hint="eastAsia" w:ascii="Times New Roman" w:hAnsi="Times New Roman" w:eastAsia="宋体" w:cs="宋体"/>
                <w:b w:val="0"/>
                <w:bCs/>
                <w:kern w:val="2"/>
                <w:sz w:val="24"/>
                <w:szCs w:val="24"/>
                <w:highlight w:val="none"/>
                <w:lang w:val="zh-CN" w:eastAsia="zh-CN" w:bidi="ar-SA"/>
              </w:rPr>
            </w:pPr>
            <w:r>
              <w:rPr>
                <w:rFonts w:hint="eastAsia" w:ascii="Times New Roman" w:hAnsi="Times New Roman" w:eastAsia="宋体" w:cs="宋体"/>
                <w:b w:val="0"/>
                <w:bCs/>
                <w:kern w:val="2"/>
                <w:sz w:val="24"/>
                <w:szCs w:val="24"/>
                <w:highlight w:val="none"/>
                <w:lang w:val="zh-CN" w:eastAsia="zh-CN" w:bidi="ar-SA"/>
              </w:rPr>
              <w:t>设计实验方案主要包括两个方面：①实验操作部分。确定实验自变量的操作原则、方法与实施程序；规定实验对象的选择原则、分组方法和实施程序</w:t>
            </w:r>
            <w:r>
              <w:rPr>
                <w:rFonts w:hint="eastAsia" w:cs="宋体"/>
                <w:b w:val="0"/>
                <w:bCs/>
                <w:kern w:val="2"/>
                <w:sz w:val="24"/>
                <w:szCs w:val="24"/>
                <w:highlight w:val="none"/>
                <w:lang w:val="zh-CN" w:eastAsia="zh-CN" w:bidi="ar-SA"/>
              </w:rPr>
              <w:t>；</w:t>
            </w:r>
            <w:r>
              <w:rPr>
                <w:rFonts w:hint="eastAsia" w:ascii="Times New Roman" w:hAnsi="Times New Roman" w:eastAsia="宋体" w:cs="宋体"/>
                <w:b w:val="0"/>
                <w:bCs/>
                <w:kern w:val="2"/>
                <w:sz w:val="24"/>
                <w:szCs w:val="24"/>
                <w:highlight w:val="none"/>
                <w:lang w:val="zh-CN" w:eastAsia="zh-CN" w:bidi="ar-SA"/>
              </w:rPr>
              <w:t>制定无关变量控制的目标、原则、方法与程序；提出阶段性实验目标达成的评价标准和方法以及终极目标达成的评价标准和方法，即进行因变量观测设计；确定实验资料的积累要求、实验数据的处理方法。②实验管理部分。制订以上述内容为核心的实验工作计划，包括组织保证、规章制度、设备筹划、经费使用、时间进程的安排等具体方案。基于实验方案开始实验，记录实验数据，并进行分析，最终得到结论。</w:t>
            </w:r>
          </w:p>
          <w:p w14:paraId="60DA6E37">
            <w:pPr>
              <w:pStyle w:val="4"/>
              <w:suppressLineNumbers w:val="0"/>
              <w:adjustRightInd w:val="0"/>
              <w:snapToGrid w:val="0"/>
              <w:spacing w:before="0" w:beforeAutospacing="0" w:after="0" w:afterAutospacing="0" w:line="360" w:lineRule="auto"/>
              <w:ind w:left="0" w:right="0"/>
              <w:jc w:val="center"/>
              <w:rPr>
                <w:rFonts w:hint="eastAsia" w:eastAsia="宋体"/>
                <w:snapToGrid w:val="0"/>
                <w:sz w:val="24"/>
                <w:szCs w:val="24"/>
                <w:highlight w:val="none"/>
                <w:lang w:eastAsia="zh-CN"/>
              </w:rPr>
            </w:pPr>
            <w:r>
              <w:rPr>
                <w:rFonts w:hint="eastAsia" w:eastAsia="宋体"/>
                <w:snapToGrid w:val="0"/>
                <w:sz w:val="24"/>
                <w:szCs w:val="24"/>
                <w:highlight w:val="none"/>
                <w:lang w:eastAsia="zh-CN"/>
              </w:rPr>
              <w:drawing>
                <wp:inline distT="0" distB="0" distL="114300" distR="114300">
                  <wp:extent cx="4287520" cy="1462405"/>
                  <wp:effectExtent l="0" t="0" r="17780" b="4445"/>
                  <wp:docPr id="6" name="图片 6" descr="30e0ed13eb33fd1ca18a56993dce3f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图片 6" descr="30e0ed13eb33fd1ca18a56993dce3fe"/>
                          <pic:cNvPicPr>
                            <a:picLocks noChangeAspect="1"/>
                          </pic:cNvPicPr>
                        </pic:nvPicPr>
                        <pic:blipFill>
                          <a:blip r:embed="rId24"/>
                          <a:stretch>
                            <a:fillRect/>
                          </a:stretch>
                        </pic:blipFill>
                        <pic:spPr>
                          <a:xfrm>
                            <a:off x="0" y="0"/>
                            <a:ext cx="4287520" cy="1462405"/>
                          </a:xfrm>
                          <a:prstGeom prst="rect">
                            <a:avLst/>
                          </a:prstGeom>
                        </pic:spPr>
                      </pic:pic>
                    </a:graphicData>
                  </a:graphic>
                </wp:inline>
              </w:drawing>
            </w:r>
          </w:p>
          <w:p w14:paraId="7080FD6D">
            <w:pPr>
              <w:pStyle w:val="4"/>
              <w:suppressLineNumbers w:val="0"/>
              <w:adjustRightInd w:val="0"/>
              <w:snapToGrid w:val="0"/>
              <w:spacing w:before="0" w:beforeAutospacing="0" w:after="0" w:afterAutospacing="0" w:line="360" w:lineRule="auto"/>
              <w:ind w:left="0" w:right="0"/>
              <w:jc w:val="center"/>
              <w:rPr>
                <w:rFonts w:hint="default"/>
                <w:snapToGrid w:val="0"/>
                <w:sz w:val="24"/>
                <w:szCs w:val="24"/>
                <w:highlight w:val="none"/>
              </w:rPr>
            </w:pPr>
            <w:r>
              <w:rPr>
                <w:rFonts w:hint="eastAsia"/>
                <w:snapToGrid w:val="0"/>
                <w:sz w:val="24"/>
                <w:szCs w:val="24"/>
                <w:highlight w:val="none"/>
              </w:rPr>
              <w:t>图2-</w:t>
            </w:r>
            <w:r>
              <w:rPr>
                <w:rFonts w:hint="eastAsia"/>
                <w:snapToGrid w:val="0"/>
                <w:sz w:val="24"/>
                <w:szCs w:val="24"/>
                <w:highlight w:val="none"/>
                <w:lang w:val="en-US" w:eastAsia="zh-CN"/>
              </w:rPr>
              <w:t>5</w:t>
            </w:r>
            <w:r>
              <w:rPr>
                <w:rFonts w:hint="eastAsia"/>
                <w:snapToGrid w:val="0"/>
                <w:sz w:val="24"/>
                <w:szCs w:val="24"/>
                <w:highlight w:val="none"/>
              </w:rPr>
              <w:t xml:space="preserve"> 工作站实验流程图</w:t>
            </w:r>
          </w:p>
          <w:p w14:paraId="48676B7B">
            <w:pPr>
              <w:pStyle w:val="4"/>
              <w:suppressLineNumbers w:val="0"/>
              <w:adjustRightInd w:val="0"/>
              <w:snapToGrid w:val="0"/>
              <w:spacing w:before="0" w:beforeAutospacing="0" w:after="0" w:afterAutospacing="0" w:line="360" w:lineRule="auto"/>
              <w:ind w:left="0" w:right="0" w:firstLine="480" w:firstLineChars="200"/>
              <w:rPr>
                <w:rFonts w:hint="eastAsia" w:ascii="Times New Roman" w:hAnsi="Times New Roman" w:eastAsia="宋体" w:cs="宋体"/>
                <w:b w:val="0"/>
                <w:bCs/>
                <w:kern w:val="2"/>
                <w:sz w:val="24"/>
                <w:szCs w:val="24"/>
                <w:highlight w:val="none"/>
                <w:lang w:val="zh-CN" w:eastAsia="zh-CN" w:bidi="ar-SA"/>
              </w:rPr>
            </w:pPr>
            <w:r>
              <w:rPr>
                <w:rFonts w:hint="eastAsia" w:ascii="Times New Roman" w:hAnsi="Times New Roman" w:eastAsia="宋体" w:cs="宋体"/>
                <w:b w:val="0"/>
                <w:bCs/>
                <w:kern w:val="2"/>
                <w:sz w:val="24"/>
                <w:szCs w:val="24"/>
                <w:highlight w:val="none"/>
                <w:lang w:val="zh-CN" w:eastAsia="zh-CN" w:bidi="ar-SA"/>
              </w:rPr>
              <w:t>实验室操作部分主要包括细胞生物学实验、分子生物学实验、药物有机合成实验。具体实验流程如下：</w:t>
            </w:r>
          </w:p>
          <w:p w14:paraId="2F25F5CF">
            <w:pPr>
              <w:pStyle w:val="4"/>
              <w:suppressLineNumbers w:val="0"/>
              <w:adjustRightInd w:val="0"/>
              <w:snapToGrid w:val="0"/>
              <w:spacing w:before="0" w:beforeAutospacing="0" w:after="0" w:afterAutospacing="0" w:line="360" w:lineRule="auto"/>
              <w:ind w:left="0" w:right="0" w:firstLine="482" w:firstLineChars="200"/>
              <w:rPr>
                <w:rFonts w:hint="eastAsia" w:ascii="Times New Roman" w:hAnsi="Times New Roman" w:eastAsia="宋体" w:cs="宋体"/>
                <w:b/>
                <w:bCs w:val="0"/>
                <w:kern w:val="2"/>
                <w:sz w:val="24"/>
                <w:szCs w:val="24"/>
                <w:highlight w:val="none"/>
                <w:lang w:val="zh-CN" w:eastAsia="zh-CN" w:bidi="ar-SA"/>
              </w:rPr>
            </w:pPr>
            <w:r>
              <w:rPr>
                <w:rFonts w:hint="default" w:ascii="Times New Roman" w:hAnsi="Times New Roman" w:eastAsia="宋体" w:cs="Times New Roman"/>
                <w:b/>
                <w:bCs w:val="0"/>
                <w:color w:val="auto"/>
                <w:kern w:val="0"/>
                <w:sz w:val="24"/>
                <w:szCs w:val="24"/>
                <w:highlight w:val="none"/>
                <w:lang w:val="zh-CN" w:eastAsia="zh-CN" w:bidi="ar-SA"/>
              </w:rPr>
              <w:t>①</w:t>
            </w:r>
            <w:r>
              <w:rPr>
                <w:rFonts w:hint="eastAsia" w:ascii="Times New Roman" w:hAnsi="Times New Roman" w:eastAsia="宋体" w:cs="宋体"/>
                <w:b/>
                <w:bCs w:val="0"/>
                <w:kern w:val="2"/>
                <w:sz w:val="24"/>
                <w:szCs w:val="24"/>
                <w:highlight w:val="none"/>
                <w:lang w:val="zh-CN" w:eastAsia="zh-CN" w:bidi="ar-SA"/>
              </w:rPr>
              <w:t>细胞生物学实验</w:t>
            </w:r>
          </w:p>
          <w:p w14:paraId="31C526BF">
            <w:pPr>
              <w:pStyle w:val="4"/>
              <w:suppressLineNumbers w:val="0"/>
              <w:adjustRightInd w:val="0"/>
              <w:snapToGrid w:val="0"/>
              <w:spacing w:before="0" w:beforeAutospacing="0" w:after="0" w:afterAutospacing="0" w:line="360" w:lineRule="auto"/>
              <w:ind w:left="0" w:right="0" w:firstLine="480" w:firstLineChars="200"/>
              <w:rPr>
                <w:rFonts w:hint="eastAsia" w:ascii="Times New Roman" w:hAnsi="Times New Roman" w:eastAsia="宋体" w:cs="宋体"/>
                <w:b w:val="0"/>
                <w:bCs/>
                <w:kern w:val="2"/>
                <w:sz w:val="24"/>
                <w:szCs w:val="24"/>
                <w:highlight w:val="none"/>
                <w:lang w:val="zh-CN" w:eastAsia="zh-CN" w:bidi="ar-SA"/>
              </w:rPr>
            </w:pPr>
            <w:r>
              <w:rPr>
                <w:rFonts w:hint="eastAsia" w:ascii="Times New Roman" w:hAnsi="Times New Roman" w:eastAsia="宋体" w:cs="宋体"/>
                <w:b w:val="0"/>
                <w:bCs/>
                <w:kern w:val="2"/>
                <w:sz w:val="24"/>
                <w:szCs w:val="24"/>
                <w:highlight w:val="none"/>
                <w:lang w:val="zh-CN" w:eastAsia="zh-CN" w:bidi="ar-SA"/>
              </w:rPr>
              <w:t>细胞生物学实验基本操作包括细胞传代、细胞计数、细胞冻存、铺板、给药、细胞活力检测。主要利用培养细胞进行各种药理研究实验，对于已培养暂未进行药理研究的细胞进行冻存</w:t>
            </w:r>
            <w:r>
              <w:rPr>
                <w:rFonts w:hint="eastAsia" w:cs="宋体"/>
                <w:b w:val="0"/>
                <w:bCs/>
                <w:kern w:val="2"/>
                <w:sz w:val="24"/>
                <w:szCs w:val="24"/>
                <w:highlight w:val="none"/>
                <w:lang w:val="zh-CN" w:eastAsia="zh-CN" w:bidi="ar-SA"/>
              </w:rPr>
              <w:t>。</w:t>
            </w:r>
          </w:p>
          <w:p w14:paraId="084C67B3">
            <w:pPr>
              <w:pStyle w:val="4"/>
              <w:suppressLineNumbers w:val="0"/>
              <w:adjustRightInd w:val="0"/>
              <w:snapToGrid w:val="0"/>
              <w:spacing w:before="0" w:beforeAutospacing="0" w:after="0" w:afterAutospacing="0" w:line="360" w:lineRule="auto"/>
              <w:ind w:left="0" w:right="0"/>
              <w:rPr>
                <w:rFonts w:hint="eastAsia" w:eastAsia="宋体"/>
                <w:snapToGrid w:val="0"/>
                <w:sz w:val="24"/>
                <w:szCs w:val="24"/>
                <w:highlight w:val="none"/>
                <w:lang w:eastAsia="zh-CN"/>
              </w:rPr>
            </w:pPr>
            <w:r>
              <w:rPr>
                <w:rFonts w:hint="eastAsia" w:eastAsia="宋体"/>
                <w:snapToGrid w:val="0"/>
                <w:sz w:val="24"/>
                <w:szCs w:val="24"/>
                <w:highlight w:val="none"/>
                <w:lang w:eastAsia="zh-CN"/>
              </w:rPr>
              <w:drawing>
                <wp:inline distT="0" distB="0" distL="114300" distR="114300">
                  <wp:extent cx="4948555" cy="1395730"/>
                  <wp:effectExtent l="0" t="0" r="4445" b="4445"/>
                  <wp:docPr id="7" name="图片 7" descr="e6c38ea24712981064f5677c059580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图片 7" descr="e6c38ea24712981064f5677c0595806"/>
                          <pic:cNvPicPr>
                            <a:picLocks noChangeAspect="1"/>
                          </pic:cNvPicPr>
                        </pic:nvPicPr>
                        <pic:blipFill>
                          <a:blip r:embed="rId25"/>
                          <a:stretch>
                            <a:fillRect/>
                          </a:stretch>
                        </pic:blipFill>
                        <pic:spPr>
                          <a:xfrm>
                            <a:off x="0" y="0"/>
                            <a:ext cx="4948555" cy="1395730"/>
                          </a:xfrm>
                          <a:prstGeom prst="rect">
                            <a:avLst/>
                          </a:prstGeom>
                        </pic:spPr>
                      </pic:pic>
                    </a:graphicData>
                  </a:graphic>
                </wp:inline>
              </w:drawing>
            </w:r>
          </w:p>
          <w:p w14:paraId="709059AF">
            <w:pPr>
              <w:pStyle w:val="4"/>
              <w:suppressLineNumbers w:val="0"/>
              <w:adjustRightInd w:val="0"/>
              <w:snapToGrid w:val="0"/>
              <w:spacing w:before="0" w:beforeAutospacing="0" w:after="0" w:afterAutospacing="0" w:line="360" w:lineRule="auto"/>
              <w:ind w:left="0" w:right="0"/>
              <w:jc w:val="center"/>
              <w:rPr>
                <w:rFonts w:hint="default"/>
                <w:snapToGrid w:val="0"/>
                <w:sz w:val="24"/>
                <w:szCs w:val="24"/>
                <w:highlight w:val="none"/>
              </w:rPr>
            </w:pPr>
            <w:r>
              <w:rPr>
                <w:rFonts w:hint="eastAsia"/>
                <w:snapToGrid w:val="0"/>
                <w:sz w:val="24"/>
                <w:szCs w:val="24"/>
                <w:highlight w:val="none"/>
              </w:rPr>
              <w:t>图2-</w:t>
            </w:r>
            <w:r>
              <w:rPr>
                <w:rFonts w:hint="eastAsia"/>
                <w:snapToGrid w:val="0"/>
                <w:sz w:val="24"/>
                <w:szCs w:val="24"/>
                <w:highlight w:val="none"/>
                <w:lang w:val="en-US" w:eastAsia="zh-CN"/>
              </w:rPr>
              <w:t xml:space="preserve">6 </w:t>
            </w:r>
            <w:r>
              <w:rPr>
                <w:rFonts w:hint="eastAsia"/>
                <w:snapToGrid w:val="0"/>
                <w:sz w:val="24"/>
                <w:szCs w:val="24"/>
                <w:highlight w:val="none"/>
              </w:rPr>
              <w:t>细胞生物实验流程图</w:t>
            </w:r>
          </w:p>
          <w:p w14:paraId="2FD0BAF4">
            <w:pPr>
              <w:pStyle w:val="4"/>
              <w:suppressLineNumbers w:val="0"/>
              <w:adjustRightInd w:val="0"/>
              <w:snapToGrid w:val="0"/>
              <w:spacing w:before="0" w:beforeAutospacing="0" w:after="0" w:afterAutospacing="0" w:line="360" w:lineRule="auto"/>
              <w:ind w:left="0" w:right="0" w:firstLine="480" w:firstLineChars="200"/>
              <w:rPr>
                <w:rFonts w:hint="eastAsia" w:ascii="Times New Roman" w:hAnsi="Times New Roman" w:eastAsia="宋体" w:cs="宋体"/>
                <w:b w:val="0"/>
                <w:bCs/>
                <w:kern w:val="2"/>
                <w:sz w:val="24"/>
                <w:szCs w:val="24"/>
                <w:highlight w:val="none"/>
                <w:lang w:val="zh-CN" w:eastAsia="zh-CN" w:bidi="ar-SA"/>
              </w:rPr>
            </w:pPr>
            <w:r>
              <w:rPr>
                <w:rFonts w:hint="eastAsia" w:ascii="Times New Roman" w:hAnsi="Times New Roman" w:eastAsia="宋体" w:cs="宋体"/>
                <w:b w:val="0"/>
                <w:bCs/>
                <w:kern w:val="2"/>
                <w:sz w:val="24"/>
                <w:szCs w:val="24"/>
                <w:highlight w:val="none"/>
                <w:lang w:val="zh-CN" w:eastAsia="zh-CN" w:bidi="ar-SA"/>
              </w:rPr>
              <w:t>细胞传代：先轻微摇晃震荡细胞培养基，并将含有漂浮死细胞的培养基倒掉，用PBS缓冲液洗去残留旧培养基。加入胰酶，37℃消化2min，通过敲击培养瓶或显微镜观察细胞脱落情况，达到消化程度后，再加入少量培养基，用移液管从上往下吹打细胞，将细胞都吹打下来；将细胞悬浮离心5min后，弃去上清液；在离心管中加入培养基，再继续进行数次吹打，使细胞分散，最后按照比例分别将细胞悬液传至新的培养瓶中。此工序会产生：废生物培养基</w:t>
            </w:r>
            <w:r>
              <w:rPr>
                <w:rFonts w:hint="eastAsia" w:cs="宋体"/>
                <w:b w:val="0"/>
                <w:bCs/>
                <w:kern w:val="2"/>
                <w:sz w:val="24"/>
                <w:szCs w:val="24"/>
                <w:highlight w:val="none"/>
                <w:lang w:val="en-US" w:eastAsia="zh-CN" w:bidi="ar-SA"/>
              </w:rPr>
              <w:t>S2-1</w:t>
            </w:r>
            <w:r>
              <w:rPr>
                <w:rFonts w:hint="eastAsia" w:ascii="Times New Roman" w:hAnsi="Times New Roman" w:eastAsia="宋体" w:cs="宋体"/>
                <w:b w:val="0"/>
                <w:bCs/>
                <w:kern w:val="2"/>
                <w:sz w:val="24"/>
                <w:szCs w:val="24"/>
                <w:highlight w:val="none"/>
                <w:lang w:val="zh-CN" w:eastAsia="zh-CN" w:bidi="ar-SA"/>
              </w:rPr>
              <w:t>、</w:t>
            </w:r>
            <w:r>
              <w:rPr>
                <w:rFonts w:hint="eastAsia" w:cs="宋体"/>
                <w:b w:val="0"/>
                <w:bCs/>
                <w:kern w:val="2"/>
                <w:sz w:val="24"/>
                <w:szCs w:val="24"/>
                <w:highlight w:val="none"/>
                <w:lang w:val="en-US" w:eastAsia="zh-CN" w:bidi="ar-SA"/>
              </w:rPr>
              <w:t>废</w:t>
            </w:r>
            <w:r>
              <w:rPr>
                <w:rFonts w:hint="eastAsia" w:ascii="Times New Roman" w:hAnsi="Times New Roman" w:eastAsia="宋体" w:cs="宋体"/>
                <w:b w:val="0"/>
                <w:bCs/>
                <w:kern w:val="2"/>
                <w:sz w:val="24"/>
                <w:szCs w:val="24"/>
                <w:highlight w:val="none"/>
                <w:lang w:val="zh-CN" w:eastAsia="zh-CN" w:bidi="ar-SA"/>
              </w:rPr>
              <w:t>实验耗材</w:t>
            </w:r>
            <w:r>
              <w:rPr>
                <w:rFonts w:hint="eastAsia" w:cs="宋体"/>
                <w:b w:val="0"/>
                <w:bCs/>
                <w:kern w:val="2"/>
                <w:sz w:val="24"/>
                <w:szCs w:val="24"/>
                <w:highlight w:val="none"/>
                <w:lang w:val="en-US" w:eastAsia="zh-CN" w:bidi="ar-SA"/>
              </w:rPr>
              <w:t>S2-2</w:t>
            </w:r>
            <w:r>
              <w:rPr>
                <w:rFonts w:hint="eastAsia" w:ascii="Times New Roman" w:hAnsi="Times New Roman" w:eastAsia="宋体" w:cs="宋体"/>
                <w:b w:val="0"/>
                <w:bCs/>
                <w:kern w:val="2"/>
                <w:sz w:val="24"/>
                <w:szCs w:val="24"/>
                <w:highlight w:val="none"/>
                <w:lang w:val="zh-CN" w:eastAsia="zh-CN" w:bidi="ar-SA"/>
              </w:rPr>
              <w:t>、实验废液</w:t>
            </w:r>
            <w:r>
              <w:rPr>
                <w:rFonts w:hint="eastAsia" w:cs="宋体"/>
                <w:b w:val="0"/>
                <w:bCs/>
                <w:kern w:val="2"/>
                <w:sz w:val="24"/>
                <w:szCs w:val="24"/>
                <w:highlight w:val="none"/>
                <w:lang w:val="en-US" w:eastAsia="zh-CN" w:bidi="ar-SA"/>
              </w:rPr>
              <w:t>S2-3</w:t>
            </w:r>
            <w:r>
              <w:rPr>
                <w:rFonts w:hint="eastAsia" w:ascii="Times New Roman" w:hAnsi="Times New Roman" w:eastAsia="宋体" w:cs="宋体"/>
                <w:b w:val="0"/>
                <w:bCs/>
                <w:kern w:val="2"/>
                <w:sz w:val="24"/>
                <w:szCs w:val="24"/>
                <w:highlight w:val="none"/>
                <w:lang w:val="zh-CN" w:eastAsia="zh-CN" w:bidi="ar-SA"/>
              </w:rPr>
              <w:t>。</w:t>
            </w:r>
          </w:p>
          <w:p w14:paraId="6E8EC8F2">
            <w:pPr>
              <w:pStyle w:val="4"/>
              <w:suppressLineNumbers w:val="0"/>
              <w:adjustRightInd w:val="0"/>
              <w:snapToGrid w:val="0"/>
              <w:spacing w:before="0" w:beforeAutospacing="0" w:after="0" w:afterAutospacing="0" w:line="360" w:lineRule="auto"/>
              <w:ind w:left="0" w:right="0" w:firstLine="480" w:firstLineChars="200"/>
              <w:rPr>
                <w:rFonts w:hint="eastAsia" w:ascii="Times New Roman" w:hAnsi="Times New Roman" w:eastAsia="宋体" w:cs="宋体"/>
                <w:b w:val="0"/>
                <w:bCs/>
                <w:kern w:val="2"/>
                <w:sz w:val="24"/>
                <w:szCs w:val="24"/>
                <w:highlight w:val="none"/>
                <w:lang w:val="zh-CN" w:eastAsia="zh-CN" w:bidi="ar-SA"/>
              </w:rPr>
            </w:pPr>
            <w:r>
              <w:rPr>
                <w:rFonts w:hint="eastAsia" w:ascii="Times New Roman" w:hAnsi="Times New Roman" w:eastAsia="宋体" w:cs="宋体"/>
                <w:b w:val="0"/>
                <w:bCs/>
                <w:kern w:val="2"/>
                <w:sz w:val="24"/>
                <w:szCs w:val="24"/>
                <w:highlight w:val="none"/>
                <w:lang w:val="zh-CN" w:eastAsia="zh-CN" w:bidi="ar-SA"/>
              </w:rPr>
              <w:t>细胞计数：细胞铺板前一般要先通过显微镜进行细胞计数，通常用离心后再吹打的细胞悬液进行计数。先盖好盖玻片，轻微翘起一侧，在外边缘处加样，细胞悬液浸润后放在显微镜下计数。此工序会产生废样本</w:t>
            </w:r>
            <w:r>
              <w:rPr>
                <w:rFonts w:hint="eastAsia" w:cs="宋体"/>
                <w:b w:val="0"/>
                <w:bCs/>
                <w:kern w:val="2"/>
                <w:sz w:val="24"/>
                <w:szCs w:val="24"/>
                <w:highlight w:val="none"/>
                <w:lang w:val="en-US" w:eastAsia="zh-CN" w:bidi="ar-SA"/>
              </w:rPr>
              <w:t>S2-4</w:t>
            </w:r>
            <w:r>
              <w:rPr>
                <w:rFonts w:hint="eastAsia" w:ascii="Times New Roman" w:hAnsi="Times New Roman" w:eastAsia="宋体" w:cs="宋体"/>
                <w:b w:val="0"/>
                <w:bCs/>
                <w:kern w:val="2"/>
                <w:sz w:val="24"/>
                <w:szCs w:val="24"/>
                <w:highlight w:val="none"/>
                <w:lang w:val="zh-CN" w:eastAsia="zh-CN" w:bidi="ar-SA"/>
              </w:rPr>
              <w:t>。</w:t>
            </w:r>
          </w:p>
          <w:p w14:paraId="6DC3B8FD">
            <w:pPr>
              <w:pStyle w:val="4"/>
              <w:suppressLineNumbers w:val="0"/>
              <w:adjustRightInd w:val="0"/>
              <w:snapToGrid w:val="0"/>
              <w:spacing w:before="0" w:beforeAutospacing="0" w:after="0" w:afterAutospacing="0" w:line="360" w:lineRule="auto"/>
              <w:ind w:left="0" w:right="0" w:firstLine="480" w:firstLineChars="200"/>
              <w:rPr>
                <w:rFonts w:hint="eastAsia" w:ascii="Times New Roman" w:hAnsi="Times New Roman" w:eastAsia="宋体" w:cs="宋体"/>
                <w:b w:val="0"/>
                <w:bCs/>
                <w:kern w:val="2"/>
                <w:sz w:val="24"/>
                <w:szCs w:val="24"/>
                <w:highlight w:val="none"/>
                <w:lang w:val="zh-CN" w:eastAsia="zh-CN" w:bidi="ar-SA"/>
              </w:rPr>
            </w:pPr>
            <w:r>
              <w:rPr>
                <w:rFonts w:hint="eastAsia" w:ascii="Times New Roman" w:hAnsi="Times New Roman" w:eastAsia="宋体" w:cs="宋体"/>
                <w:b w:val="0"/>
                <w:bCs/>
                <w:kern w:val="2"/>
                <w:sz w:val="24"/>
                <w:szCs w:val="24"/>
                <w:highlight w:val="none"/>
                <w:lang w:val="zh-CN" w:eastAsia="zh-CN" w:bidi="ar-SA"/>
              </w:rPr>
              <w:t>细胞冻存：用于冻存的细胞密度通常大于传代细胞；在细胞悬液中加入冻存液（由培养基和DMSO</w:t>
            </w:r>
            <w:r>
              <w:rPr>
                <w:rFonts w:hint="eastAsia" w:cs="宋体"/>
                <w:b w:val="0"/>
                <w:bCs/>
                <w:kern w:val="2"/>
                <w:sz w:val="24"/>
                <w:szCs w:val="24"/>
                <w:highlight w:val="none"/>
                <w:lang w:val="en-US" w:eastAsia="zh-CN" w:bidi="ar-SA"/>
              </w:rPr>
              <w:t>调</w:t>
            </w:r>
            <w:r>
              <w:rPr>
                <w:rFonts w:hint="eastAsia" w:ascii="Times New Roman" w:hAnsi="Times New Roman" w:eastAsia="宋体" w:cs="宋体"/>
                <w:b w:val="0"/>
                <w:bCs/>
                <w:kern w:val="2"/>
                <w:sz w:val="24"/>
                <w:szCs w:val="24"/>
                <w:highlight w:val="none"/>
                <w:lang w:val="zh-CN" w:eastAsia="zh-CN" w:bidi="ar-SA"/>
              </w:rPr>
              <w:t>配而成），吹打混匀后分装到冻存管中，白胶带封口，并做好标记，4℃存放30min或-20℃存放20min后，转移到-80℃保存。此工序会产生</w:t>
            </w:r>
            <w:r>
              <w:rPr>
                <w:rFonts w:hint="eastAsia" w:cs="宋体"/>
                <w:b w:val="0"/>
                <w:bCs/>
                <w:kern w:val="2"/>
                <w:sz w:val="24"/>
                <w:szCs w:val="24"/>
                <w:highlight w:val="none"/>
                <w:lang w:val="en-US" w:eastAsia="zh-CN" w:bidi="ar-SA"/>
              </w:rPr>
              <w:t>废</w:t>
            </w:r>
            <w:r>
              <w:rPr>
                <w:rFonts w:hint="eastAsia" w:ascii="Times New Roman" w:hAnsi="Times New Roman" w:eastAsia="宋体" w:cs="宋体"/>
                <w:b w:val="0"/>
                <w:bCs/>
                <w:kern w:val="2"/>
                <w:sz w:val="24"/>
                <w:szCs w:val="24"/>
                <w:highlight w:val="none"/>
                <w:lang w:val="zh-CN" w:eastAsia="zh-CN" w:bidi="ar-SA"/>
              </w:rPr>
              <w:t>实验耗材</w:t>
            </w:r>
            <w:r>
              <w:rPr>
                <w:rFonts w:hint="eastAsia" w:cs="宋体"/>
                <w:b w:val="0"/>
                <w:bCs/>
                <w:kern w:val="2"/>
                <w:sz w:val="24"/>
                <w:szCs w:val="24"/>
                <w:highlight w:val="none"/>
                <w:lang w:val="en-US" w:eastAsia="zh-CN" w:bidi="ar-SA"/>
              </w:rPr>
              <w:t>S2-2</w:t>
            </w:r>
            <w:r>
              <w:rPr>
                <w:rFonts w:hint="eastAsia" w:ascii="Times New Roman" w:hAnsi="Times New Roman" w:eastAsia="宋体" w:cs="宋体"/>
                <w:b w:val="0"/>
                <w:bCs/>
                <w:kern w:val="2"/>
                <w:sz w:val="24"/>
                <w:szCs w:val="24"/>
                <w:highlight w:val="none"/>
                <w:lang w:val="zh-CN" w:eastAsia="zh-CN" w:bidi="ar-SA"/>
              </w:rPr>
              <w:t>。</w:t>
            </w:r>
          </w:p>
          <w:p w14:paraId="08DC74A9">
            <w:pPr>
              <w:pStyle w:val="4"/>
              <w:suppressLineNumbers w:val="0"/>
              <w:adjustRightInd w:val="0"/>
              <w:snapToGrid w:val="0"/>
              <w:spacing w:before="0" w:beforeAutospacing="0" w:after="0" w:afterAutospacing="0" w:line="360" w:lineRule="auto"/>
              <w:ind w:left="0" w:right="0" w:firstLine="480" w:firstLineChars="200"/>
              <w:rPr>
                <w:rFonts w:hint="eastAsia" w:ascii="Times New Roman" w:hAnsi="Times New Roman" w:eastAsia="宋体" w:cs="宋体"/>
                <w:b w:val="0"/>
                <w:bCs/>
                <w:kern w:val="2"/>
                <w:sz w:val="24"/>
                <w:szCs w:val="24"/>
                <w:highlight w:val="none"/>
                <w:lang w:val="zh-CN" w:eastAsia="zh-CN" w:bidi="ar-SA"/>
              </w:rPr>
            </w:pPr>
            <w:r>
              <w:rPr>
                <w:rFonts w:hint="eastAsia" w:ascii="Times New Roman" w:hAnsi="Times New Roman" w:eastAsia="宋体" w:cs="宋体"/>
                <w:b w:val="0"/>
                <w:bCs/>
                <w:kern w:val="2"/>
                <w:sz w:val="24"/>
                <w:szCs w:val="24"/>
                <w:highlight w:val="none"/>
                <w:lang w:val="zh-CN" w:eastAsia="zh-CN" w:bidi="ar-SA"/>
              </w:rPr>
              <w:t>铺板：先配好适宜浓度的细胞悬液，一般在96孔板中加每孔20000个细胞</w:t>
            </w:r>
            <w:r>
              <w:rPr>
                <w:rFonts w:hint="eastAsia" w:cs="宋体"/>
                <w:b w:val="0"/>
                <w:bCs/>
                <w:kern w:val="2"/>
                <w:sz w:val="24"/>
                <w:szCs w:val="24"/>
                <w:highlight w:val="none"/>
                <w:lang w:val="zh-CN" w:eastAsia="zh-CN" w:bidi="ar-SA"/>
              </w:rPr>
              <w:t>，</w:t>
            </w:r>
            <w:r>
              <w:rPr>
                <w:rFonts w:hint="eastAsia" w:ascii="Times New Roman" w:hAnsi="Times New Roman" w:eastAsia="宋体" w:cs="宋体"/>
                <w:b w:val="0"/>
                <w:bCs/>
                <w:kern w:val="2"/>
                <w:sz w:val="24"/>
                <w:szCs w:val="24"/>
                <w:highlight w:val="none"/>
                <w:lang w:val="zh-CN" w:eastAsia="zh-CN" w:bidi="ar-SA"/>
              </w:rPr>
              <w:t>以便在给药和测试时达到适宜的细胞密度。铺板时沿孔壁加，轻轻往下打，避免产生气泡。铺板结束后不能摇动，并在孔板外贴白色胶带，避免出现盖板意外分离。铺板后在37℃培养24h后给药。此工序会产生</w:t>
            </w:r>
            <w:r>
              <w:rPr>
                <w:rFonts w:hint="eastAsia" w:cs="宋体"/>
                <w:b w:val="0"/>
                <w:bCs/>
                <w:kern w:val="2"/>
                <w:sz w:val="24"/>
                <w:szCs w:val="24"/>
                <w:highlight w:val="none"/>
                <w:lang w:val="en-US" w:eastAsia="zh-CN" w:bidi="ar-SA"/>
              </w:rPr>
              <w:t>废</w:t>
            </w:r>
            <w:r>
              <w:rPr>
                <w:rFonts w:hint="eastAsia" w:ascii="Times New Roman" w:hAnsi="Times New Roman" w:eastAsia="宋体" w:cs="宋体"/>
                <w:b w:val="0"/>
                <w:bCs/>
                <w:kern w:val="2"/>
                <w:sz w:val="24"/>
                <w:szCs w:val="24"/>
                <w:highlight w:val="none"/>
                <w:lang w:val="zh-CN" w:eastAsia="zh-CN" w:bidi="ar-SA"/>
              </w:rPr>
              <w:t>实验耗材</w:t>
            </w:r>
            <w:r>
              <w:rPr>
                <w:rFonts w:hint="eastAsia" w:cs="宋体"/>
                <w:b w:val="0"/>
                <w:bCs/>
                <w:kern w:val="2"/>
                <w:sz w:val="24"/>
                <w:szCs w:val="24"/>
                <w:highlight w:val="none"/>
                <w:lang w:val="en-US" w:eastAsia="zh-CN" w:bidi="ar-SA"/>
              </w:rPr>
              <w:t>S2-2</w:t>
            </w:r>
            <w:r>
              <w:rPr>
                <w:rFonts w:hint="eastAsia" w:ascii="Times New Roman" w:hAnsi="Times New Roman" w:eastAsia="宋体" w:cs="宋体"/>
                <w:b w:val="0"/>
                <w:bCs/>
                <w:kern w:val="2"/>
                <w:sz w:val="24"/>
                <w:szCs w:val="24"/>
                <w:highlight w:val="none"/>
                <w:lang w:val="zh-CN" w:eastAsia="zh-CN" w:bidi="ar-SA"/>
              </w:rPr>
              <w:t>。</w:t>
            </w:r>
          </w:p>
          <w:p w14:paraId="43A579DB">
            <w:pPr>
              <w:pStyle w:val="4"/>
              <w:suppressLineNumbers w:val="0"/>
              <w:adjustRightInd w:val="0"/>
              <w:snapToGrid w:val="0"/>
              <w:spacing w:before="0" w:beforeAutospacing="0" w:after="0" w:afterAutospacing="0" w:line="360" w:lineRule="auto"/>
              <w:ind w:left="0" w:right="0" w:firstLine="480" w:firstLineChars="200"/>
              <w:rPr>
                <w:rFonts w:hint="eastAsia" w:ascii="Times New Roman" w:hAnsi="Times New Roman" w:eastAsia="宋体" w:cs="宋体"/>
                <w:b w:val="0"/>
                <w:bCs/>
                <w:kern w:val="2"/>
                <w:sz w:val="24"/>
                <w:szCs w:val="24"/>
                <w:highlight w:val="none"/>
                <w:lang w:val="zh-CN" w:eastAsia="zh-CN" w:bidi="ar-SA"/>
              </w:rPr>
            </w:pPr>
            <w:r>
              <w:rPr>
                <w:rFonts w:hint="eastAsia" w:ascii="Times New Roman" w:hAnsi="Times New Roman" w:eastAsia="宋体" w:cs="宋体"/>
                <w:b w:val="0"/>
                <w:bCs/>
                <w:kern w:val="2"/>
                <w:sz w:val="24"/>
                <w:szCs w:val="24"/>
                <w:highlight w:val="none"/>
                <w:lang w:val="zh-CN" w:eastAsia="zh-CN" w:bidi="ar-SA"/>
              </w:rPr>
              <w:t>给药：先在孔板中加入培养基，再向其中加入药物母液，一般直接打到液面以下，吹打混匀。加药时先除去原本的培养基，再按给药顺序加配好的药</w:t>
            </w:r>
            <w:r>
              <w:rPr>
                <w:rFonts w:hint="eastAsia" w:cs="宋体"/>
                <w:b w:val="0"/>
                <w:bCs/>
                <w:kern w:val="2"/>
                <w:sz w:val="24"/>
                <w:szCs w:val="24"/>
                <w:highlight w:val="none"/>
                <w:lang w:val="zh-CN" w:eastAsia="zh-CN" w:bidi="ar-SA"/>
              </w:rPr>
              <w:t>。</w:t>
            </w:r>
            <w:r>
              <w:rPr>
                <w:rFonts w:hint="eastAsia" w:ascii="Times New Roman" w:hAnsi="Times New Roman" w:eastAsia="宋体" w:cs="宋体"/>
                <w:b w:val="0"/>
                <w:bCs/>
                <w:kern w:val="2"/>
                <w:sz w:val="24"/>
                <w:szCs w:val="24"/>
                <w:highlight w:val="none"/>
                <w:lang w:val="zh-CN" w:eastAsia="zh-CN" w:bidi="ar-SA"/>
              </w:rPr>
              <w:t>一般药物处理24h。此工序会产生</w:t>
            </w:r>
            <w:r>
              <w:rPr>
                <w:rFonts w:hint="eastAsia" w:cs="宋体"/>
                <w:b w:val="0"/>
                <w:bCs/>
                <w:kern w:val="2"/>
                <w:sz w:val="24"/>
                <w:szCs w:val="24"/>
                <w:highlight w:val="none"/>
                <w:lang w:val="en-US" w:eastAsia="zh-CN" w:bidi="ar-SA"/>
              </w:rPr>
              <w:t>废</w:t>
            </w:r>
            <w:r>
              <w:rPr>
                <w:rFonts w:hint="eastAsia" w:ascii="Times New Roman" w:hAnsi="Times New Roman" w:eastAsia="宋体" w:cs="宋体"/>
                <w:b w:val="0"/>
                <w:bCs/>
                <w:kern w:val="2"/>
                <w:sz w:val="24"/>
                <w:szCs w:val="24"/>
                <w:highlight w:val="none"/>
                <w:lang w:val="zh-CN" w:eastAsia="zh-CN" w:bidi="ar-SA"/>
              </w:rPr>
              <w:t>实验耗材</w:t>
            </w:r>
            <w:r>
              <w:rPr>
                <w:rFonts w:hint="eastAsia" w:cs="宋体"/>
                <w:b w:val="0"/>
                <w:bCs/>
                <w:kern w:val="2"/>
                <w:sz w:val="24"/>
                <w:szCs w:val="24"/>
                <w:highlight w:val="none"/>
                <w:lang w:val="en-US" w:eastAsia="zh-CN" w:bidi="ar-SA"/>
              </w:rPr>
              <w:t>S2-2</w:t>
            </w:r>
            <w:r>
              <w:rPr>
                <w:rFonts w:hint="eastAsia" w:ascii="Times New Roman" w:hAnsi="Times New Roman" w:eastAsia="宋体" w:cs="宋体"/>
                <w:b w:val="0"/>
                <w:bCs/>
                <w:kern w:val="2"/>
                <w:sz w:val="24"/>
                <w:szCs w:val="24"/>
                <w:highlight w:val="none"/>
                <w:lang w:val="zh-CN" w:eastAsia="zh-CN" w:bidi="ar-SA"/>
              </w:rPr>
              <w:t>。</w:t>
            </w:r>
          </w:p>
          <w:p w14:paraId="14EBD615">
            <w:pPr>
              <w:pStyle w:val="4"/>
              <w:suppressLineNumbers w:val="0"/>
              <w:adjustRightInd w:val="0"/>
              <w:snapToGrid w:val="0"/>
              <w:spacing w:before="0" w:beforeAutospacing="0" w:after="0" w:afterAutospacing="0" w:line="360" w:lineRule="auto"/>
              <w:ind w:left="0" w:right="0" w:firstLine="480" w:firstLineChars="200"/>
              <w:rPr>
                <w:rFonts w:hint="eastAsia" w:ascii="Times New Roman" w:hAnsi="Times New Roman" w:eastAsia="宋体" w:cs="宋体"/>
                <w:b w:val="0"/>
                <w:bCs/>
                <w:kern w:val="2"/>
                <w:sz w:val="24"/>
                <w:szCs w:val="24"/>
                <w:highlight w:val="none"/>
                <w:lang w:val="zh-CN" w:eastAsia="zh-CN" w:bidi="ar-SA"/>
              </w:rPr>
            </w:pPr>
            <w:r>
              <w:rPr>
                <w:rFonts w:hint="eastAsia" w:ascii="Times New Roman" w:hAnsi="Times New Roman" w:eastAsia="宋体" w:cs="宋体"/>
                <w:b w:val="0"/>
                <w:bCs/>
                <w:kern w:val="2"/>
                <w:sz w:val="24"/>
                <w:szCs w:val="24"/>
                <w:highlight w:val="none"/>
                <w:lang w:val="zh-CN" w:eastAsia="zh-CN" w:bidi="ar-SA"/>
              </w:rPr>
              <w:t>细胞活力检测：先将孔板中原来的培养基去除，再加入配好的细胞检测试剂，并在37℃下孵育3.5h，再加入DMSO，摇床摇10min后，用酶标仪进行检测。检测工序会产生：检测实验废液、实验耗材、实验废样本。实验完成后需对实验器皿等进行灭菌消毒、清洗，会产生</w:t>
            </w:r>
            <w:r>
              <w:rPr>
                <w:rFonts w:hint="eastAsia" w:cs="宋体"/>
                <w:b w:val="0"/>
                <w:bCs/>
                <w:kern w:val="2"/>
                <w:sz w:val="24"/>
                <w:szCs w:val="24"/>
                <w:highlight w:val="none"/>
                <w:lang w:val="en-US" w:eastAsia="zh-CN" w:bidi="ar-SA"/>
              </w:rPr>
              <w:t>实验室设备</w:t>
            </w:r>
            <w:r>
              <w:rPr>
                <w:rFonts w:hint="eastAsia" w:ascii="Times New Roman" w:hAnsi="Times New Roman" w:eastAsia="宋体" w:cs="宋体"/>
                <w:b w:val="0"/>
                <w:bCs/>
                <w:kern w:val="2"/>
                <w:sz w:val="24"/>
                <w:szCs w:val="24"/>
                <w:highlight w:val="none"/>
                <w:lang w:val="zh-CN" w:eastAsia="zh-CN" w:bidi="ar-SA"/>
              </w:rPr>
              <w:t>清洗废水</w:t>
            </w:r>
            <w:r>
              <w:rPr>
                <w:rFonts w:hint="eastAsia" w:cs="宋体"/>
                <w:b w:val="0"/>
                <w:bCs/>
                <w:kern w:val="2"/>
                <w:sz w:val="24"/>
                <w:szCs w:val="24"/>
                <w:highlight w:val="none"/>
                <w:lang w:val="en-US" w:eastAsia="zh-CN" w:bidi="ar-SA"/>
              </w:rPr>
              <w:t>W2-1</w:t>
            </w:r>
            <w:r>
              <w:rPr>
                <w:rFonts w:hint="eastAsia" w:ascii="Times New Roman" w:hAnsi="Times New Roman" w:eastAsia="宋体" w:cs="宋体"/>
                <w:b w:val="0"/>
                <w:bCs/>
                <w:kern w:val="2"/>
                <w:sz w:val="24"/>
                <w:szCs w:val="24"/>
                <w:highlight w:val="none"/>
                <w:lang w:val="zh-CN" w:eastAsia="zh-CN" w:bidi="ar-SA"/>
              </w:rPr>
              <w:t>。</w:t>
            </w:r>
          </w:p>
          <w:p w14:paraId="1FA72CC2">
            <w:pPr>
              <w:pStyle w:val="4"/>
              <w:suppressLineNumbers w:val="0"/>
              <w:adjustRightInd w:val="0"/>
              <w:snapToGrid w:val="0"/>
              <w:spacing w:before="0" w:beforeAutospacing="0" w:after="0" w:afterAutospacing="0" w:line="360" w:lineRule="auto"/>
              <w:ind w:left="0" w:right="0" w:firstLine="482" w:firstLineChars="200"/>
              <w:rPr>
                <w:rFonts w:hint="eastAsia" w:ascii="Times New Roman" w:hAnsi="Times New Roman" w:eastAsia="宋体" w:cs="Times New Roman"/>
                <w:b/>
                <w:bCs w:val="0"/>
                <w:color w:val="auto"/>
                <w:kern w:val="0"/>
                <w:sz w:val="24"/>
                <w:szCs w:val="24"/>
                <w:highlight w:val="none"/>
                <w:lang w:val="zh-CN" w:eastAsia="zh-CN" w:bidi="ar-SA"/>
              </w:rPr>
            </w:pPr>
            <w:r>
              <w:rPr>
                <w:rFonts w:hint="default" w:ascii="Times New Roman" w:hAnsi="Times New Roman" w:eastAsia="宋体" w:cs="Times New Roman"/>
                <w:b/>
                <w:bCs w:val="0"/>
                <w:color w:val="auto"/>
                <w:kern w:val="0"/>
                <w:sz w:val="24"/>
                <w:szCs w:val="24"/>
                <w:highlight w:val="none"/>
                <w:lang w:val="zh-CN" w:eastAsia="zh-CN" w:bidi="ar-SA"/>
              </w:rPr>
              <w:t>②</w:t>
            </w:r>
            <w:r>
              <w:rPr>
                <w:rFonts w:hint="eastAsia" w:ascii="Times New Roman" w:hAnsi="Times New Roman" w:eastAsia="宋体" w:cs="Times New Roman"/>
                <w:b/>
                <w:bCs w:val="0"/>
                <w:color w:val="auto"/>
                <w:kern w:val="0"/>
                <w:sz w:val="24"/>
                <w:szCs w:val="24"/>
                <w:highlight w:val="none"/>
                <w:lang w:val="zh-CN" w:eastAsia="zh-CN" w:bidi="ar-SA"/>
              </w:rPr>
              <w:t>分子生物学实验</w:t>
            </w:r>
          </w:p>
          <w:p w14:paraId="4B5E5EEA">
            <w:pPr>
              <w:pStyle w:val="4"/>
              <w:suppressLineNumbers w:val="0"/>
              <w:adjustRightInd w:val="0"/>
              <w:snapToGrid w:val="0"/>
              <w:spacing w:before="0" w:beforeAutospacing="0" w:after="0" w:afterAutospacing="0" w:line="360" w:lineRule="auto"/>
              <w:ind w:left="0" w:right="0" w:firstLine="480" w:firstLineChars="200"/>
              <w:rPr>
                <w:rFonts w:hint="eastAsia" w:ascii="Times New Roman" w:hAnsi="Times New Roman" w:eastAsia="宋体" w:cs="宋体"/>
                <w:b w:val="0"/>
                <w:bCs/>
                <w:kern w:val="2"/>
                <w:sz w:val="24"/>
                <w:szCs w:val="24"/>
                <w:highlight w:val="none"/>
                <w:lang w:val="zh-CN" w:eastAsia="zh-CN" w:bidi="ar-SA"/>
              </w:rPr>
            </w:pPr>
            <w:r>
              <w:rPr>
                <w:rFonts w:hint="eastAsia" w:ascii="Times New Roman" w:hAnsi="Times New Roman" w:eastAsia="宋体" w:cs="宋体"/>
                <w:b w:val="0"/>
                <w:bCs/>
                <w:kern w:val="2"/>
                <w:sz w:val="24"/>
                <w:szCs w:val="24"/>
                <w:highlight w:val="none"/>
                <w:lang w:val="zh-CN" w:eastAsia="zh-CN" w:bidi="ar-SA"/>
              </w:rPr>
              <w:t>分子生物实验主要包括蛋白质定量、蛋白印迹实验、细胞RNA提取实验</w:t>
            </w:r>
            <w:r>
              <w:rPr>
                <w:rFonts w:hint="eastAsia" w:cs="宋体"/>
                <w:b w:val="0"/>
                <w:bCs/>
                <w:kern w:val="2"/>
                <w:sz w:val="24"/>
                <w:szCs w:val="24"/>
                <w:highlight w:val="none"/>
                <w:lang w:val="zh-CN" w:eastAsia="zh-CN" w:bidi="ar-SA"/>
              </w:rPr>
              <w:t>。</w:t>
            </w:r>
          </w:p>
          <w:p w14:paraId="001D2672">
            <w:pPr>
              <w:pStyle w:val="4"/>
              <w:suppressLineNumbers w:val="0"/>
              <w:adjustRightInd w:val="0"/>
              <w:snapToGrid w:val="0"/>
              <w:spacing w:before="0" w:beforeAutospacing="0" w:after="0" w:afterAutospacing="0" w:line="360" w:lineRule="auto"/>
              <w:ind w:left="0" w:right="0"/>
              <w:jc w:val="center"/>
              <w:rPr>
                <w:rFonts w:hint="eastAsia" w:eastAsia="宋体"/>
                <w:snapToGrid w:val="0"/>
                <w:sz w:val="24"/>
                <w:szCs w:val="24"/>
                <w:highlight w:val="none"/>
                <w:lang w:eastAsia="zh-CN"/>
              </w:rPr>
            </w:pPr>
            <w:r>
              <w:rPr>
                <w:rFonts w:hint="eastAsia" w:eastAsia="宋体"/>
                <w:snapToGrid w:val="0"/>
                <w:sz w:val="24"/>
                <w:szCs w:val="24"/>
                <w:highlight w:val="none"/>
                <w:lang w:eastAsia="zh-CN"/>
              </w:rPr>
              <w:drawing>
                <wp:inline distT="0" distB="0" distL="114300" distR="114300">
                  <wp:extent cx="4691380" cy="3538855"/>
                  <wp:effectExtent l="0" t="0" r="4445" b="4445"/>
                  <wp:docPr id="9" name="图片 9" descr="15c3811f089b2f23378109c5557cb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图片 9" descr="15c3811f089b2f23378109c5557cb20"/>
                          <pic:cNvPicPr>
                            <a:picLocks noChangeAspect="1"/>
                          </pic:cNvPicPr>
                        </pic:nvPicPr>
                        <pic:blipFill>
                          <a:blip r:embed="rId26"/>
                          <a:stretch>
                            <a:fillRect/>
                          </a:stretch>
                        </pic:blipFill>
                        <pic:spPr>
                          <a:xfrm>
                            <a:off x="0" y="0"/>
                            <a:ext cx="4691380" cy="3538855"/>
                          </a:xfrm>
                          <a:prstGeom prst="rect">
                            <a:avLst/>
                          </a:prstGeom>
                        </pic:spPr>
                      </pic:pic>
                    </a:graphicData>
                  </a:graphic>
                </wp:inline>
              </w:drawing>
            </w:r>
          </w:p>
          <w:p w14:paraId="2098E767">
            <w:pPr>
              <w:pStyle w:val="4"/>
              <w:suppressLineNumbers w:val="0"/>
              <w:adjustRightInd w:val="0"/>
              <w:snapToGrid w:val="0"/>
              <w:spacing w:before="0" w:beforeAutospacing="0" w:after="0" w:afterAutospacing="0" w:line="360" w:lineRule="auto"/>
              <w:ind w:left="0" w:right="0"/>
              <w:jc w:val="center"/>
              <w:rPr>
                <w:rFonts w:hint="default"/>
                <w:snapToGrid w:val="0"/>
                <w:sz w:val="24"/>
                <w:szCs w:val="24"/>
                <w:highlight w:val="none"/>
              </w:rPr>
            </w:pPr>
            <w:r>
              <w:rPr>
                <w:rFonts w:hint="eastAsia"/>
                <w:snapToGrid w:val="0"/>
                <w:sz w:val="24"/>
                <w:szCs w:val="24"/>
                <w:highlight w:val="none"/>
              </w:rPr>
              <w:t>图2-</w:t>
            </w:r>
            <w:r>
              <w:rPr>
                <w:rFonts w:hint="eastAsia"/>
                <w:snapToGrid w:val="0"/>
                <w:sz w:val="24"/>
                <w:szCs w:val="24"/>
                <w:highlight w:val="none"/>
                <w:lang w:val="en-US" w:eastAsia="zh-CN"/>
              </w:rPr>
              <w:t xml:space="preserve">7 </w:t>
            </w:r>
            <w:r>
              <w:rPr>
                <w:rFonts w:hint="eastAsia"/>
                <w:snapToGrid w:val="0"/>
                <w:sz w:val="24"/>
                <w:szCs w:val="24"/>
                <w:highlight w:val="none"/>
              </w:rPr>
              <w:t>分子生物实验流程图</w:t>
            </w:r>
          </w:p>
          <w:p w14:paraId="0E1C0133">
            <w:pPr>
              <w:pStyle w:val="4"/>
              <w:suppressLineNumbers w:val="0"/>
              <w:adjustRightInd w:val="0"/>
              <w:snapToGrid w:val="0"/>
              <w:spacing w:before="0" w:beforeAutospacing="0" w:after="0" w:afterAutospacing="0" w:line="360" w:lineRule="auto"/>
              <w:ind w:left="0" w:right="0" w:firstLine="480" w:firstLineChars="200"/>
              <w:rPr>
                <w:rFonts w:hint="eastAsia" w:ascii="Times New Roman" w:hAnsi="Times New Roman" w:eastAsia="宋体" w:cs="宋体"/>
                <w:b w:val="0"/>
                <w:bCs/>
                <w:kern w:val="2"/>
                <w:sz w:val="24"/>
                <w:szCs w:val="24"/>
                <w:highlight w:val="none"/>
                <w:lang w:val="zh-CN" w:eastAsia="zh-CN" w:bidi="ar-SA"/>
              </w:rPr>
            </w:pPr>
            <w:r>
              <w:rPr>
                <w:rFonts w:hint="eastAsia" w:ascii="Times New Roman" w:hAnsi="Times New Roman" w:eastAsia="宋体" w:cs="宋体"/>
                <w:b w:val="0"/>
                <w:bCs/>
                <w:kern w:val="2"/>
                <w:sz w:val="24"/>
                <w:szCs w:val="24"/>
                <w:highlight w:val="none"/>
                <w:lang w:val="zh-CN" w:eastAsia="zh-CN" w:bidi="ar-SA"/>
              </w:rPr>
              <w:t>蛋白质定量：先倒掉孔板中的旧培养基，再用PBS缓冲液洗去残留旧培养基。在孔板中加入裂解液，放置冰浴30min，继续裂解10min。将裂解液离心10min（离心机预冷到4℃）后，将上清液吸出转移到写有标记的ep管中，即为初步提取的蛋白溶液。将提取的蛋白溶液和标准样品各自加到96孔板中，添加反应试剂并孵育30min，在酶标仪中测定蛋白质浓度。将蛋白浓度统一后，以便于进行蛋白印迹实验定量。此实验工序会产生：废培养基</w:t>
            </w:r>
            <w:r>
              <w:rPr>
                <w:rFonts w:hint="eastAsia" w:cs="宋体"/>
                <w:b w:val="0"/>
                <w:bCs/>
                <w:kern w:val="2"/>
                <w:sz w:val="24"/>
                <w:szCs w:val="24"/>
                <w:highlight w:val="none"/>
                <w:lang w:val="en-US" w:eastAsia="zh-CN" w:bidi="ar-SA"/>
              </w:rPr>
              <w:t>S2-1</w:t>
            </w:r>
            <w:r>
              <w:rPr>
                <w:rFonts w:hint="eastAsia" w:ascii="Times New Roman" w:hAnsi="Times New Roman" w:eastAsia="宋体" w:cs="宋体"/>
                <w:b w:val="0"/>
                <w:bCs/>
                <w:kern w:val="2"/>
                <w:sz w:val="24"/>
                <w:szCs w:val="24"/>
                <w:highlight w:val="none"/>
                <w:lang w:val="zh-CN" w:eastAsia="zh-CN" w:bidi="ar-SA"/>
              </w:rPr>
              <w:t>、</w:t>
            </w:r>
            <w:r>
              <w:rPr>
                <w:rFonts w:hint="eastAsia" w:cs="宋体"/>
                <w:b w:val="0"/>
                <w:bCs/>
                <w:kern w:val="2"/>
                <w:sz w:val="24"/>
                <w:szCs w:val="24"/>
                <w:highlight w:val="none"/>
                <w:lang w:val="en-US" w:eastAsia="zh-CN" w:bidi="ar-SA"/>
              </w:rPr>
              <w:t>废</w:t>
            </w:r>
            <w:r>
              <w:rPr>
                <w:rFonts w:hint="eastAsia" w:ascii="Times New Roman" w:hAnsi="Times New Roman" w:eastAsia="宋体" w:cs="宋体"/>
                <w:b w:val="0"/>
                <w:bCs/>
                <w:kern w:val="2"/>
                <w:sz w:val="24"/>
                <w:szCs w:val="24"/>
                <w:highlight w:val="none"/>
                <w:lang w:val="zh-CN" w:eastAsia="zh-CN" w:bidi="ar-SA"/>
              </w:rPr>
              <w:t>实验耗材</w:t>
            </w:r>
            <w:r>
              <w:rPr>
                <w:rFonts w:hint="eastAsia" w:cs="宋体"/>
                <w:b w:val="0"/>
                <w:bCs/>
                <w:kern w:val="2"/>
                <w:sz w:val="24"/>
                <w:szCs w:val="24"/>
                <w:highlight w:val="none"/>
                <w:lang w:val="en-US" w:eastAsia="zh-CN" w:bidi="ar-SA"/>
              </w:rPr>
              <w:t>S2-2</w:t>
            </w:r>
            <w:r>
              <w:rPr>
                <w:rFonts w:hint="eastAsia" w:ascii="Times New Roman" w:hAnsi="Times New Roman" w:eastAsia="宋体" w:cs="宋体"/>
                <w:b w:val="0"/>
                <w:bCs/>
                <w:kern w:val="2"/>
                <w:sz w:val="24"/>
                <w:szCs w:val="24"/>
                <w:highlight w:val="none"/>
                <w:lang w:val="zh-CN" w:eastAsia="zh-CN" w:bidi="ar-SA"/>
              </w:rPr>
              <w:t>、实验室废液</w:t>
            </w:r>
            <w:r>
              <w:rPr>
                <w:rFonts w:hint="eastAsia" w:cs="宋体"/>
                <w:b w:val="0"/>
                <w:bCs/>
                <w:kern w:val="2"/>
                <w:sz w:val="24"/>
                <w:szCs w:val="24"/>
                <w:highlight w:val="none"/>
                <w:lang w:val="en-US" w:eastAsia="zh-CN" w:bidi="ar-SA"/>
              </w:rPr>
              <w:t>S2-3</w:t>
            </w:r>
            <w:r>
              <w:rPr>
                <w:rFonts w:hint="eastAsia" w:ascii="Times New Roman" w:hAnsi="Times New Roman" w:eastAsia="宋体" w:cs="宋体"/>
                <w:b w:val="0"/>
                <w:bCs/>
                <w:kern w:val="2"/>
                <w:sz w:val="24"/>
                <w:szCs w:val="24"/>
                <w:highlight w:val="none"/>
                <w:lang w:val="zh-CN" w:eastAsia="zh-CN" w:bidi="ar-SA"/>
              </w:rPr>
              <w:t>、实验设备噪声</w:t>
            </w:r>
            <w:r>
              <w:rPr>
                <w:rFonts w:hint="eastAsia" w:cs="宋体"/>
                <w:b w:val="0"/>
                <w:bCs/>
                <w:kern w:val="2"/>
                <w:sz w:val="24"/>
                <w:szCs w:val="24"/>
                <w:highlight w:val="none"/>
                <w:lang w:val="en-US" w:eastAsia="zh-CN" w:bidi="ar-SA"/>
              </w:rPr>
              <w:t>N</w:t>
            </w:r>
            <w:r>
              <w:rPr>
                <w:rFonts w:hint="eastAsia" w:ascii="Times New Roman" w:hAnsi="Times New Roman" w:eastAsia="宋体" w:cs="宋体"/>
                <w:b w:val="0"/>
                <w:bCs/>
                <w:kern w:val="2"/>
                <w:sz w:val="24"/>
                <w:szCs w:val="24"/>
                <w:highlight w:val="none"/>
                <w:lang w:val="zh-CN" w:eastAsia="zh-CN" w:bidi="ar-SA"/>
              </w:rPr>
              <w:t>等。</w:t>
            </w:r>
          </w:p>
          <w:p w14:paraId="60B2CD29">
            <w:pPr>
              <w:pStyle w:val="4"/>
              <w:suppressLineNumbers w:val="0"/>
              <w:adjustRightInd w:val="0"/>
              <w:snapToGrid w:val="0"/>
              <w:spacing w:before="0" w:beforeAutospacing="0" w:after="0" w:afterAutospacing="0" w:line="360" w:lineRule="auto"/>
              <w:ind w:left="0" w:right="0" w:firstLine="480" w:firstLineChars="200"/>
              <w:rPr>
                <w:rFonts w:hint="eastAsia" w:ascii="Times New Roman" w:hAnsi="Times New Roman" w:eastAsia="宋体" w:cs="宋体"/>
                <w:b w:val="0"/>
                <w:bCs/>
                <w:kern w:val="2"/>
                <w:sz w:val="24"/>
                <w:szCs w:val="24"/>
                <w:highlight w:val="none"/>
                <w:lang w:val="zh-CN" w:eastAsia="zh-CN" w:bidi="ar-SA"/>
              </w:rPr>
            </w:pPr>
            <w:r>
              <w:rPr>
                <w:rFonts w:hint="eastAsia" w:ascii="Times New Roman" w:hAnsi="Times New Roman" w:eastAsia="宋体" w:cs="宋体"/>
                <w:b w:val="0"/>
                <w:bCs/>
                <w:kern w:val="2"/>
                <w:sz w:val="24"/>
                <w:szCs w:val="24"/>
                <w:highlight w:val="none"/>
                <w:lang w:val="zh-CN" w:eastAsia="zh-CN" w:bidi="ar-SA"/>
              </w:rPr>
              <w:t>蛋白质印迹实验：主要实验流程包括：制胶、上样电泳、转膜、封闭、孵一抗、孵二抗、显影。①制胶：将分离凝胶并放在纯水中浸泡保存在4℃中②上样电泳：将提前一天准备好的分离凝胶上样，并在中间加入新的电泳缓冲液，上样前先对样品进行离心-震荡-离心，上样结束后把中间的电泳缓冲液加满，并在外侧加上电泳液；电泳时正负极不能插反。电泳到合适的时机停止后，在操作盘中倒入转移液，将凝胶取出，截取需要部分。③转膜：将准备好的膜活化后，放入转移液中清洗。在白板上放上膜与凝胶后，加入预冷好的转移液，放入冰水浴中进行转膜。④封闭：将</w:t>
            </w:r>
            <w:r>
              <w:rPr>
                <w:rFonts w:hint="eastAsia" w:cs="宋体"/>
                <w:b w:val="0"/>
                <w:bCs/>
                <w:kern w:val="2"/>
                <w:sz w:val="24"/>
                <w:szCs w:val="24"/>
                <w:highlight w:val="none"/>
                <w:lang w:val="en-US" w:eastAsia="zh-CN" w:bidi="ar-SA"/>
              </w:rPr>
              <w:t>装</w:t>
            </w:r>
            <w:r>
              <w:rPr>
                <w:rFonts w:hint="eastAsia" w:ascii="Times New Roman" w:hAnsi="Times New Roman" w:eastAsia="宋体" w:cs="宋体"/>
                <w:b w:val="0"/>
                <w:bCs/>
                <w:kern w:val="2"/>
                <w:sz w:val="24"/>
                <w:szCs w:val="24"/>
                <w:highlight w:val="none"/>
                <w:lang w:val="zh-CN" w:eastAsia="zh-CN" w:bidi="ar-SA"/>
              </w:rPr>
              <w:t>有蛋白质的膜放置在牛奶溶液中，并用摇床摇至少2h，封闭结束后用缓冲液清洗；⑤孵一抗：将蛋白膜上的水吸干后，放入塑料膜中并将塑料膜排气封口，放入4℃孵育过夜；⑥孵二抗：一抗处理完后用缓冲液清洗10min*3，回收一抗后，直接在对应位置加入对应抗体，摇床室温孵育2h，二抗处理完后再用缓冲液清洗10min*3；⑦显影：将蛋白质膜放置在黑板上，并加入显影液使其浸润，打开软件进行曝光显影。此实验工序会产生：</w:t>
            </w:r>
            <w:r>
              <w:rPr>
                <w:rFonts w:hint="eastAsia" w:cs="宋体"/>
                <w:b w:val="0"/>
                <w:bCs/>
                <w:kern w:val="2"/>
                <w:sz w:val="24"/>
                <w:szCs w:val="24"/>
                <w:highlight w:val="none"/>
                <w:lang w:val="en-US" w:eastAsia="zh-CN" w:bidi="ar-SA"/>
              </w:rPr>
              <w:t>废</w:t>
            </w:r>
            <w:r>
              <w:rPr>
                <w:rFonts w:hint="eastAsia" w:ascii="Times New Roman" w:hAnsi="Times New Roman" w:eastAsia="宋体" w:cs="宋体"/>
                <w:b w:val="0"/>
                <w:bCs/>
                <w:kern w:val="2"/>
                <w:sz w:val="24"/>
                <w:szCs w:val="24"/>
                <w:highlight w:val="none"/>
                <w:lang w:val="zh-CN" w:eastAsia="zh-CN" w:bidi="ar-SA"/>
              </w:rPr>
              <w:t>实验耗材</w:t>
            </w:r>
            <w:r>
              <w:rPr>
                <w:rFonts w:hint="eastAsia" w:cs="宋体"/>
                <w:b w:val="0"/>
                <w:bCs/>
                <w:kern w:val="2"/>
                <w:sz w:val="24"/>
                <w:szCs w:val="24"/>
                <w:highlight w:val="none"/>
                <w:lang w:val="en-US" w:eastAsia="zh-CN" w:bidi="ar-SA"/>
              </w:rPr>
              <w:t>S2-2</w:t>
            </w:r>
            <w:r>
              <w:rPr>
                <w:rFonts w:hint="eastAsia" w:ascii="Times New Roman" w:hAnsi="Times New Roman" w:eastAsia="宋体" w:cs="宋体"/>
                <w:b w:val="0"/>
                <w:bCs/>
                <w:kern w:val="2"/>
                <w:sz w:val="24"/>
                <w:szCs w:val="24"/>
                <w:highlight w:val="none"/>
                <w:lang w:val="zh-CN" w:eastAsia="zh-CN" w:bidi="ar-SA"/>
              </w:rPr>
              <w:t>、实验室废液</w:t>
            </w:r>
            <w:r>
              <w:rPr>
                <w:rFonts w:hint="eastAsia" w:cs="宋体"/>
                <w:b w:val="0"/>
                <w:bCs/>
                <w:kern w:val="2"/>
                <w:sz w:val="24"/>
                <w:szCs w:val="24"/>
                <w:highlight w:val="none"/>
                <w:lang w:val="en-US" w:eastAsia="zh-CN" w:bidi="ar-SA"/>
              </w:rPr>
              <w:t>S2-3</w:t>
            </w:r>
            <w:r>
              <w:rPr>
                <w:rFonts w:hint="eastAsia" w:ascii="Times New Roman" w:hAnsi="Times New Roman" w:eastAsia="宋体" w:cs="宋体"/>
                <w:b w:val="0"/>
                <w:bCs/>
                <w:kern w:val="2"/>
                <w:sz w:val="24"/>
                <w:szCs w:val="24"/>
                <w:highlight w:val="none"/>
                <w:lang w:val="zh-CN" w:eastAsia="zh-CN" w:bidi="ar-SA"/>
              </w:rPr>
              <w:t>、实验设备噪声</w:t>
            </w:r>
            <w:r>
              <w:rPr>
                <w:rFonts w:hint="eastAsia" w:cs="宋体"/>
                <w:b w:val="0"/>
                <w:bCs/>
                <w:kern w:val="2"/>
                <w:sz w:val="24"/>
                <w:szCs w:val="24"/>
                <w:highlight w:val="none"/>
                <w:lang w:val="en-US" w:eastAsia="zh-CN" w:bidi="ar-SA"/>
              </w:rPr>
              <w:t>N</w:t>
            </w:r>
            <w:r>
              <w:rPr>
                <w:rFonts w:hint="eastAsia" w:ascii="Times New Roman" w:hAnsi="Times New Roman" w:eastAsia="宋体" w:cs="宋体"/>
                <w:b w:val="0"/>
                <w:bCs/>
                <w:kern w:val="2"/>
                <w:sz w:val="24"/>
                <w:szCs w:val="24"/>
                <w:highlight w:val="none"/>
                <w:lang w:val="zh-CN" w:eastAsia="zh-CN" w:bidi="ar-SA"/>
              </w:rPr>
              <w:t>、</w:t>
            </w:r>
            <w:r>
              <w:rPr>
                <w:rFonts w:hint="eastAsia" w:cs="宋体"/>
                <w:b w:val="0"/>
                <w:bCs/>
                <w:kern w:val="2"/>
                <w:sz w:val="24"/>
                <w:szCs w:val="24"/>
                <w:highlight w:val="none"/>
                <w:lang w:val="en-US" w:eastAsia="zh-CN" w:bidi="ar-SA"/>
              </w:rPr>
              <w:t>实验室设备</w:t>
            </w:r>
            <w:r>
              <w:rPr>
                <w:rFonts w:hint="eastAsia" w:ascii="Times New Roman" w:hAnsi="Times New Roman" w:eastAsia="宋体" w:cs="宋体"/>
                <w:b w:val="0"/>
                <w:bCs/>
                <w:kern w:val="2"/>
                <w:sz w:val="24"/>
                <w:szCs w:val="24"/>
                <w:highlight w:val="none"/>
                <w:lang w:val="zh-CN" w:eastAsia="zh-CN" w:bidi="ar-SA"/>
              </w:rPr>
              <w:t>清洗废水</w:t>
            </w:r>
            <w:r>
              <w:rPr>
                <w:rFonts w:hint="eastAsia" w:cs="宋体"/>
                <w:b w:val="0"/>
                <w:bCs/>
                <w:kern w:val="2"/>
                <w:sz w:val="24"/>
                <w:szCs w:val="24"/>
                <w:highlight w:val="none"/>
                <w:lang w:val="en-US" w:eastAsia="zh-CN" w:bidi="ar-SA"/>
              </w:rPr>
              <w:t>W2-1</w:t>
            </w:r>
            <w:r>
              <w:rPr>
                <w:rFonts w:hint="eastAsia" w:ascii="Times New Roman" w:hAnsi="Times New Roman" w:eastAsia="宋体" w:cs="宋体"/>
                <w:b w:val="0"/>
                <w:bCs/>
                <w:kern w:val="2"/>
                <w:sz w:val="24"/>
                <w:szCs w:val="24"/>
                <w:highlight w:val="none"/>
                <w:lang w:val="zh-CN" w:eastAsia="zh-CN" w:bidi="ar-SA"/>
              </w:rPr>
              <w:t>等。</w:t>
            </w:r>
          </w:p>
          <w:p w14:paraId="311C6972">
            <w:pPr>
              <w:pStyle w:val="4"/>
              <w:suppressLineNumbers w:val="0"/>
              <w:adjustRightInd w:val="0"/>
              <w:snapToGrid w:val="0"/>
              <w:spacing w:before="0" w:beforeAutospacing="0" w:after="0" w:afterAutospacing="0" w:line="360" w:lineRule="auto"/>
              <w:ind w:left="0" w:right="0" w:firstLine="480" w:firstLineChars="200"/>
              <w:rPr>
                <w:rFonts w:hint="default"/>
                <w:snapToGrid w:val="0"/>
                <w:sz w:val="24"/>
                <w:szCs w:val="24"/>
                <w:highlight w:val="none"/>
              </w:rPr>
            </w:pPr>
            <w:r>
              <w:rPr>
                <w:rFonts w:hint="eastAsia" w:ascii="Times New Roman" w:hAnsi="Times New Roman" w:eastAsia="宋体" w:cs="宋体"/>
                <w:b w:val="0"/>
                <w:bCs/>
                <w:kern w:val="2"/>
                <w:sz w:val="24"/>
                <w:szCs w:val="24"/>
                <w:highlight w:val="none"/>
                <w:lang w:val="zh-CN" w:eastAsia="zh-CN" w:bidi="ar-SA"/>
              </w:rPr>
              <w:t>细胞RNA提取：在需要提取RNA的细胞培养皿中加入裂解液，并不断吹打混匀，使细胞结构破坏，释放出RNA，并溶解在裂解液中。加入去蛋白液和漂洗液去除蛋白多糖等杂质，放置10min离心收集沉淀，用70%乙醇洗涤后晾干。此实验工序会产生：</w:t>
            </w:r>
            <w:r>
              <w:rPr>
                <w:rFonts w:hint="eastAsia" w:cs="宋体"/>
                <w:b w:val="0"/>
                <w:bCs/>
                <w:kern w:val="2"/>
                <w:sz w:val="24"/>
                <w:szCs w:val="24"/>
                <w:highlight w:val="none"/>
                <w:lang w:val="en-US" w:eastAsia="zh-CN" w:bidi="ar-SA"/>
              </w:rPr>
              <w:t>实验室废气G2-1、废</w:t>
            </w:r>
            <w:r>
              <w:rPr>
                <w:rFonts w:hint="eastAsia" w:ascii="Times New Roman" w:hAnsi="Times New Roman" w:eastAsia="宋体" w:cs="宋体"/>
                <w:b w:val="0"/>
                <w:bCs/>
                <w:kern w:val="2"/>
                <w:sz w:val="24"/>
                <w:szCs w:val="24"/>
                <w:highlight w:val="none"/>
                <w:lang w:val="zh-CN" w:eastAsia="zh-CN" w:bidi="ar-SA"/>
              </w:rPr>
              <w:t>实验耗材</w:t>
            </w:r>
            <w:r>
              <w:rPr>
                <w:rFonts w:hint="eastAsia" w:cs="宋体"/>
                <w:b w:val="0"/>
                <w:bCs/>
                <w:kern w:val="2"/>
                <w:sz w:val="24"/>
                <w:szCs w:val="24"/>
                <w:highlight w:val="none"/>
                <w:lang w:val="en-US" w:eastAsia="zh-CN" w:bidi="ar-SA"/>
              </w:rPr>
              <w:t>S2-2</w:t>
            </w:r>
            <w:r>
              <w:rPr>
                <w:rFonts w:hint="eastAsia" w:ascii="Times New Roman" w:hAnsi="Times New Roman" w:eastAsia="宋体" w:cs="宋体"/>
                <w:b w:val="0"/>
                <w:bCs/>
                <w:kern w:val="2"/>
                <w:sz w:val="24"/>
                <w:szCs w:val="24"/>
                <w:highlight w:val="none"/>
                <w:lang w:val="zh-CN" w:eastAsia="zh-CN" w:bidi="ar-SA"/>
              </w:rPr>
              <w:t>、实验室废液</w:t>
            </w:r>
            <w:r>
              <w:rPr>
                <w:rFonts w:hint="eastAsia" w:cs="宋体"/>
                <w:b w:val="0"/>
                <w:bCs/>
                <w:kern w:val="2"/>
                <w:sz w:val="24"/>
                <w:szCs w:val="24"/>
                <w:highlight w:val="none"/>
                <w:lang w:val="en-US" w:eastAsia="zh-CN" w:bidi="ar-SA"/>
              </w:rPr>
              <w:t>S2-3</w:t>
            </w:r>
            <w:r>
              <w:rPr>
                <w:rFonts w:hint="eastAsia" w:ascii="Times New Roman" w:hAnsi="Times New Roman" w:eastAsia="宋体" w:cs="宋体"/>
                <w:b w:val="0"/>
                <w:bCs/>
                <w:kern w:val="2"/>
                <w:sz w:val="24"/>
                <w:szCs w:val="24"/>
                <w:highlight w:val="none"/>
                <w:lang w:val="zh-CN" w:eastAsia="zh-CN" w:bidi="ar-SA"/>
              </w:rPr>
              <w:t>、实验设备噪声</w:t>
            </w:r>
            <w:r>
              <w:rPr>
                <w:rFonts w:hint="eastAsia" w:cs="宋体"/>
                <w:b w:val="0"/>
                <w:bCs/>
                <w:kern w:val="2"/>
                <w:sz w:val="24"/>
                <w:szCs w:val="24"/>
                <w:highlight w:val="none"/>
                <w:lang w:val="en-US" w:eastAsia="zh-CN" w:bidi="ar-SA"/>
              </w:rPr>
              <w:t>N</w:t>
            </w:r>
            <w:r>
              <w:rPr>
                <w:rFonts w:hint="eastAsia" w:ascii="Times New Roman" w:hAnsi="Times New Roman" w:eastAsia="宋体" w:cs="宋体"/>
                <w:b w:val="0"/>
                <w:bCs/>
                <w:kern w:val="2"/>
                <w:sz w:val="24"/>
                <w:szCs w:val="24"/>
                <w:highlight w:val="none"/>
                <w:lang w:val="zh-CN" w:eastAsia="zh-CN" w:bidi="ar-SA"/>
              </w:rPr>
              <w:t>、</w:t>
            </w:r>
            <w:r>
              <w:rPr>
                <w:rFonts w:hint="eastAsia" w:cs="宋体"/>
                <w:b w:val="0"/>
                <w:bCs/>
                <w:kern w:val="2"/>
                <w:sz w:val="24"/>
                <w:szCs w:val="24"/>
                <w:highlight w:val="none"/>
                <w:lang w:val="en-US" w:eastAsia="zh-CN" w:bidi="ar-SA"/>
              </w:rPr>
              <w:t>实验室设备</w:t>
            </w:r>
            <w:r>
              <w:rPr>
                <w:rFonts w:hint="eastAsia" w:ascii="Times New Roman" w:hAnsi="Times New Roman" w:eastAsia="宋体" w:cs="宋体"/>
                <w:b w:val="0"/>
                <w:bCs/>
                <w:kern w:val="2"/>
                <w:sz w:val="24"/>
                <w:szCs w:val="24"/>
                <w:highlight w:val="none"/>
                <w:lang w:val="zh-CN" w:eastAsia="zh-CN" w:bidi="ar-SA"/>
              </w:rPr>
              <w:t>清洗废水</w:t>
            </w:r>
            <w:r>
              <w:rPr>
                <w:rFonts w:hint="eastAsia" w:cs="宋体"/>
                <w:b w:val="0"/>
                <w:bCs/>
                <w:kern w:val="2"/>
                <w:sz w:val="24"/>
                <w:szCs w:val="24"/>
                <w:highlight w:val="none"/>
                <w:lang w:val="en-US" w:eastAsia="zh-CN" w:bidi="ar-SA"/>
              </w:rPr>
              <w:t>W2-1</w:t>
            </w:r>
            <w:r>
              <w:rPr>
                <w:rFonts w:hint="eastAsia" w:ascii="Times New Roman" w:hAnsi="Times New Roman" w:eastAsia="宋体" w:cs="宋体"/>
                <w:b w:val="0"/>
                <w:bCs/>
                <w:kern w:val="2"/>
                <w:sz w:val="24"/>
                <w:szCs w:val="24"/>
                <w:highlight w:val="none"/>
                <w:lang w:val="zh-CN" w:eastAsia="zh-CN" w:bidi="ar-SA"/>
              </w:rPr>
              <w:t>等</w:t>
            </w:r>
            <w:r>
              <w:rPr>
                <w:rFonts w:hint="eastAsia" w:cs="宋体"/>
                <w:b w:val="0"/>
                <w:bCs/>
                <w:kern w:val="2"/>
                <w:sz w:val="24"/>
                <w:szCs w:val="24"/>
                <w:highlight w:val="none"/>
                <w:lang w:val="zh-CN" w:eastAsia="zh-CN" w:bidi="ar-SA"/>
              </w:rPr>
              <w:t>。</w:t>
            </w:r>
          </w:p>
          <w:p w14:paraId="4E83450D">
            <w:pPr>
              <w:pStyle w:val="4"/>
              <w:suppressLineNumbers w:val="0"/>
              <w:adjustRightInd w:val="0"/>
              <w:snapToGrid w:val="0"/>
              <w:spacing w:before="0" w:beforeAutospacing="0" w:after="0" w:afterAutospacing="0" w:line="360" w:lineRule="auto"/>
              <w:ind w:left="0" w:right="0" w:firstLine="482" w:firstLineChars="200"/>
              <w:rPr>
                <w:rFonts w:hint="eastAsia" w:ascii="Times New Roman" w:hAnsi="Times New Roman" w:eastAsia="宋体" w:cs="Times New Roman"/>
                <w:b/>
                <w:bCs w:val="0"/>
                <w:color w:val="auto"/>
                <w:kern w:val="0"/>
                <w:sz w:val="24"/>
                <w:szCs w:val="24"/>
                <w:highlight w:val="none"/>
                <w:lang w:val="zh-CN" w:eastAsia="zh-CN" w:bidi="ar-SA"/>
              </w:rPr>
            </w:pPr>
            <w:r>
              <w:rPr>
                <w:rFonts w:hint="default" w:ascii="Times New Roman" w:hAnsi="Times New Roman" w:eastAsia="宋体" w:cs="Times New Roman"/>
                <w:b/>
                <w:bCs w:val="0"/>
                <w:color w:val="auto"/>
                <w:kern w:val="0"/>
                <w:sz w:val="24"/>
                <w:szCs w:val="24"/>
                <w:highlight w:val="none"/>
                <w:lang w:val="zh-CN" w:eastAsia="zh-CN" w:bidi="ar-SA"/>
              </w:rPr>
              <w:t>③</w:t>
            </w:r>
            <w:r>
              <w:rPr>
                <w:rFonts w:hint="eastAsia" w:ascii="Times New Roman" w:hAnsi="Times New Roman" w:eastAsia="宋体" w:cs="Times New Roman"/>
                <w:b/>
                <w:bCs w:val="0"/>
                <w:color w:val="auto"/>
                <w:kern w:val="0"/>
                <w:sz w:val="24"/>
                <w:szCs w:val="24"/>
                <w:highlight w:val="none"/>
                <w:lang w:val="zh-CN" w:eastAsia="zh-CN" w:bidi="ar-SA"/>
              </w:rPr>
              <w:t>药物有机合成实验</w:t>
            </w:r>
          </w:p>
          <w:p w14:paraId="3C153C4C">
            <w:pPr>
              <w:pStyle w:val="4"/>
              <w:suppressLineNumbers w:val="0"/>
              <w:adjustRightInd w:val="0"/>
              <w:snapToGrid w:val="0"/>
              <w:spacing w:before="0" w:beforeAutospacing="0" w:after="0" w:afterAutospacing="0" w:line="360" w:lineRule="auto"/>
              <w:ind w:left="0" w:right="0" w:firstLine="480" w:firstLineChars="200"/>
              <w:rPr>
                <w:rFonts w:hint="eastAsia" w:ascii="Times New Roman" w:hAnsi="Times New Roman" w:eastAsia="宋体" w:cs="宋体"/>
                <w:b w:val="0"/>
                <w:bCs/>
                <w:kern w:val="2"/>
                <w:sz w:val="24"/>
                <w:szCs w:val="24"/>
                <w:highlight w:val="none"/>
                <w:lang w:val="zh-CN" w:eastAsia="zh-CN" w:bidi="ar-SA"/>
              </w:rPr>
            </w:pPr>
            <w:r>
              <w:rPr>
                <w:rFonts w:hint="eastAsia" w:ascii="Times New Roman" w:hAnsi="Times New Roman" w:eastAsia="宋体" w:cs="宋体"/>
                <w:b w:val="0"/>
                <w:bCs/>
                <w:kern w:val="2"/>
                <w:sz w:val="24"/>
                <w:szCs w:val="24"/>
                <w:highlight w:val="none"/>
                <w:lang w:val="zh-CN" w:eastAsia="zh-CN" w:bidi="ar-SA"/>
              </w:rPr>
              <w:t>本项目药物有机合成实验根据实验方案进行化学药物/药剂合成预实验，药物成功合成再进一步开展药物鉴定、药物功能性评价研究。</w:t>
            </w:r>
          </w:p>
          <w:p w14:paraId="5AF08594">
            <w:pPr>
              <w:pStyle w:val="4"/>
              <w:suppressLineNumbers w:val="0"/>
              <w:adjustRightInd w:val="0"/>
              <w:snapToGrid w:val="0"/>
              <w:spacing w:before="0" w:beforeAutospacing="0" w:after="0" w:afterAutospacing="0" w:line="360" w:lineRule="auto"/>
              <w:ind w:left="0" w:right="0" w:firstLine="480" w:firstLineChars="200"/>
              <w:rPr>
                <w:rFonts w:hint="eastAsia" w:ascii="Times New Roman" w:hAnsi="Times New Roman" w:eastAsia="宋体" w:cs="宋体"/>
                <w:b w:val="0"/>
                <w:bCs/>
                <w:kern w:val="2"/>
                <w:sz w:val="24"/>
                <w:szCs w:val="24"/>
                <w:highlight w:val="none"/>
                <w:lang w:val="zh-CN" w:eastAsia="zh-CN" w:bidi="ar-SA"/>
              </w:rPr>
            </w:pPr>
            <w:r>
              <w:rPr>
                <w:rFonts w:hint="eastAsia" w:ascii="Times New Roman" w:hAnsi="Times New Roman" w:eastAsia="宋体" w:cs="宋体"/>
                <w:b w:val="0"/>
                <w:bCs/>
                <w:kern w:val="2"/>
                <w:sz w:val="24"/>
                <w:szCs w:val="24"/>
                <w:highlight w:val="none"/>
                <w:lang w:val="zh-CN" w:eastAsia="zh-CN" w:bidi="ar-SA"/>
              </w:rPr>
              <w:t>药物合成主要实验流程为：将定量化合物加入反应容器中，并在相应反应条件下进行反应。待化合物反应完成后，使用旋转蒸发仪、冷阱等设备对反应液进行旋转蒸发，以获得相应的化合物。此实验工序会产生实验</w:t>
            </w:r>
            <w:r>
              <w:rPr>
                <w:rFonts w:hint="eastAsia" w:cs="宋体"/>
                <w:b w:val="0"/>
                <w:bCs/>
                <w:kern w:val="2"/>
                <w:sz w:val="24"/>
                <w:szCs w:val="24"/>
                <w:highlight w:val="none"/>
                <w:lang w:val="en-US" w:eastAsia="zh-CN" w:bidi="ar-SA"/>
              </w:rPr>
              <w:t>室</w:t>
            </w:r>
            <w:r>
              <w:rPr>
                <w:rFonts w:hint="eastAsia" w:ascii="Times New Roman" w:hAnsi="Times New Roman" w:eastAsia="宋体" w:cs="宋体"/>
                <w:b w:val="0"/>
                <w:bCs/>
                <w:kern w:val="2"/>
                <w:sz w:val="24"/>
                <w:szCs w:val="24"/>
                <w:highlight w:val="none"/>
                <w:lang w:val="zh-CN" w:eastAsia="zh-CN" w:bidi="ar-SA"/>
              </w:rPr>
              <w:t>废气（包括有机废气、无机废气）</w:t>
            </w:r>
            <w:r>
              <w:rPr>
                <w:rFonts w:hint="eastAsia" w:cs="宋体"/>
                <w:b w:val="0"/>
                <w:bCs/>
                <w:kern w:val="2"/>
                <w:sz w:val="24"/>
                <w:szCs w:val="24"/>
                <w:highlight w:val="none"/>
                <w:lang w:val="en-US" w:eastAsia="zh-CN" w:bidi="ar-SA"/>
              </w:rPr>
              <w:t>G2-1</w:t>
            </w:r>
            <w:r>
              <w:rPr>
                <w:rFonts w:hint="eastAsia" w:ascii="Times New Roman" w:hAnsi="Times New Roman" w:eastAsia="宋体" w:cs="宋体"/>
                <w:b w:val="0"/>
                <w:bCs/>
                <w:kern w:val="2"/>
                <w:sz w:val="24"/>
                <w:szCs w:val="24"/>
                <w:highlight w:val="none"/>
                <w:lang w:val="zh-CN" w:eastAsia="zh-CN" w:bidi="ar-SA"/>
              </w:rPr>
              <w:t>、实验室废液</w:t>
            </w:r>
            <w:r>
              <w:rPr>
                <w:rFonts w:hint="eastAsia" w:cs="宋体"/>
                <w:b w:val="0"/>
                <w:bCs/>
                <w:kern w:val="2"/>
                <w:sz w:val="24"/>
                <w:szCs w:val="24"/>
                <w:highlight w:val="none"/>
                <w:lang w:val="en-US" w:eastAsia="zh-CN" w:bidi="ar-SA"/>
              </w:rPr>
              <w:t>S2-3</w:t>
            </w:r>
            <w:r>
              <w:rPr>
                <w:rFonts w:hint="eastAsia" w:ascii="Times New Roman" w:hAnsi="Times New Roman" w:eastAsia="宋体" w:cs="宋体"/>
                <w:b w:val="0"/>
                <w:bCs/>
                <w:kern w:val="2"/>
                <w:sz w:val="24"/>
                <w:szCs w:val="24"/>
                <w:highlight w:val="none"/>
                <w:lang w:val="zh-CN" w:eastAsia="zh-CN" w:bidi="ar-SA"/>
              </w:rPr>
              <w:t>、冷凝水、实验设备噪声</w:t>
            </w:r>
            <w:r>
              <w:rPr>
                <w:rFonts w:hint="eastAsia" w:cs="宋体"/>
                <w:b w:val="0"/>
                <w:bCs/>
                <w:kern w:val="2"/>
                <w:sz w:val="24"/>
                <w:szCs w:val="24"/>
                <w:highlight w:val="none"/>
                <w:lang w:val="en-US" w:eastAsia="zh-CN" w:bidi="ar-SA"/>
              </w:rPr>
              <w:t>N</w:t>
            </w:r>
            <w:r>
              <w:rPr>
                <w:rFonts w:hint="eastAsia" w:ascii="Times New Roman" w:hAnsi="Times New Roman" w:eastAsia="宋体" w:cs="宋体"/>
                <w:b w:val="0"/>
                <w:bCs/>
                <w:kern w:val="2"/>
                <w:sz w:val="24"/>
                <w:szCs w:val="24"/>
                <w:highlight w:val="none"/>
                <w:lang w:val="zh-CN" w:eastAsia="zh-CN" w:bidi="ar-SA"/>
              </w:rPr>
              <w:t>以及实验结束后清洗实验器皿产生的</w:t>
            </w:r>
            <w:r>
              <w:rPr>
                <w:rFonts w:hint="eastAsia" w:cs="宋体"/>
                <w:b w:val="0"/>
                <w:bCs/>
                <w:kern w:val="2"/>
                <w:sz w:val="24"/>
                <w:szCs w:val="24"/>
                <w:highlight w:val="none"/>
                <w:lang w:val="en-US" w:eastAsia="zh-CN" w:bidi="ar-SA"/>
              </w:rPr>
              <w:t>实验室设备</w:t>
            </w:r>
            <w:r>
              <w:rPr>
                <w:rFonts w:hint="eastAsia" w:ascii="Times New Roman" w:hAnsi="Times New Roman" w:eastAsia="宋体" w:cs="宋体"/>
                <w:b w:val="0"/>
                <w:bCs/>
                <w:kern w:val="2"/>
                <w:sz w:val="24"/>
                <w:szCs w:val="24"/>
                <w:highlight w:val="none"/>
                <w:lang w:val="zh-CN" w:eastAsia="zh-CN" w:bidi="ar-SA"/>
              </w:rPr>
              <w:t>清洗废水</w:t>
            </w:r>
            <w:r>
              <w:rPr>
                <w:rFonts w:hint="eastAsia" w:cs="宋体"/>
                <w:b w:val="0"/>
                <w:bCs/>
                <w:kern w:val="2"/>
                <w:sz w:val="24"/>
                <w:szCs w:val="24"/>
                <w:highlight w:val="none"/>
                <w:lang w:val="en-US" w:eastAsia="zh-CN" w:bidi="ar-SA"/>
              </w:rPr>
              <w:t>W2-1</w:t>
            </w:r>
            <w:r>
              <w:rPr>
                <w:rFonts w:hint="eastAsia" w:ascii="Times New Roman" w:hAnsi="Times New Roman" w:eastAsia="宋体" w:cs="宋体"/>
                <w:b w:val="0"/>
                <w:bCs/>
                <w:kern w:val="2"/>
                <w:sz w:val="24"/>
                <w:szCs w:val="24"/>
                <w:highlight w:val="none"/>
                <w:lang w:val="zh-CN" w:eastAsia="zh-CN" w:bidi="ar-SA"/>
              </w:rPr>
              <w:t>等。</w:t>
            </w:r>
          </w:p>
          <w:p w14:paraId="424F5695">
            <w:pPr>
              <w:keepNext w:val="0"/>
              <w:keepLines w:val="0"/>
              <w:suppressLineNumbers w:val="0"/>
              <w:spacing w:before="0" w:beforeAutospacing="0" w:after="0" w:afterAutospacing="0"/>
              <w:ind w:left="0" w:right="0"/>
              <w:jc w:val="center"/>
              <w:rPr>
                <w:rFonts w:hint="eastAsia" w:eastAsia="宋体"/>
                <w:snapToGrid w:val="0"/>
                <w:sz w:val="24"/>
                <w:szCs w:val="24"/>
                <w:highlight w:val="none"/>
                <w:lang w:eastAsia="zh-CN"/>
              </w:rPr>
            </w:pPr>
            <w:r>
              <w:rPr>
                <w:rFonts w:hint="eastAsia" w:eastAsia="宋体"/>
                <w:snapToGrid w:val="0"/>
                <w:sz w:val="24"/>
                <w:szCs w:val="24"/>
                <w:highlight w:val="none"/>
                <w:lang w:eastAsia="zh-CN"/>
              </w:rPr>
              <w:drawing>
                <wp:inline distT="0" distB="0" distL="114300" distR="114300">
                  <wp:extent cx="4435475" cy="1080770"/>
                  <wp:effectExtent l="0" t="0" r="3175" b="5080"/>
                  <wp:docPr id="12" name="图片 12" descr="593c8213d7a96c0bce1f0bffad4ebbb"/>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 name="图片 12" descr="593c8213d7a96c0bce1f0bffad4ebbb"/>
                          <pic:cNvPicPr>
                            <a:picLocks noChangeAspect="1"/>
                          </pic:cNvPicPr>
                        </pic:nvPicPr>
                        <pic:blipFill>
                          <a:blip r:embed="rId27"/>
                          <a:stretch>
                            <a:fillRect/>
                          </a:stretch>
                        </pic:blipFill>
                        <pic:spPr>
                          <a:xfrm>
                            <a:off x="0" y="0"/>
                            <a:ext cx="4435475" cy="1080770"/>
                          </a:xfrm>
                          <a:prstGeom prst="rect">
                            <a:avLst/>
                          </a:prstGeom>
                        </pic:spPr>
                      </pic:pic>
                    </a:graphicData>
                  </a:graphic>
                </wp:inline>
              </w:drawing>
            </w:r>
          </w:p>
          <w:p w14:paraId="049A95F6">
            <w:pPr>
              <w:pStyle w:val="4"/>
              <w:keepNext/>
              <w:keepLines/>
              <w:pageBreakBefore w:val="0"/>
              <w:widowControl w:val="0"/>
              <w:suppressLineNumbers w:val="0"/>
              <w:kinsoku/>
              <w:wordWrap/>
              <w:overflowPunct/>
              <w:topLinePunct w:val="0"/>
              <w:autoSpaceDE/>
              <w:autoSpaceDN/>
              <w:bidi w:val="0"/>
              <w:adjustRightInd/>
              <w:snapToGrid/>
              <w:spacing w:before="0" w:beforeAutospacing="0" w:after="0" w:afterAutospacing="0" w:line="360" w:lineRule="auto"/>
              <w:ind w:left="0" w:right="0"/>
              <w:jc w:val="center"/>
              <w:textAlignment w:val="auto"/>
              <w:rPr>
                <w:rFonts w:hint="eastAsia"/>
                <w:snapToGrid w:val="0"/>
                <w:sz w:val="24"/>
                <w:szCs w:val="24"/>
                <w:highlight w:val="none"/>
              </w:rPr>
            </w:pPr>
            <w:r>
              <w:rPr>
                <w:rFonts w:hint="eastAsia"/>
                <w:snapToGrid w:val="0"/>
                <w:sz w:val="24"/>
                <w:szCs w:val="24"/>
                <w:highlight w:val="none"/>
              </w:rPr>
              <w:t>图2-</w:t>
            </w:r>
            <w:r>
              <w:rPr>
                <w:rFonts w:hint="eastAsia"/>
                <w:snapToGrid w:val="0"/>
                <w:sz w:val="24"/>
                <w:szCs w:val="24"/>
                <w:highlight w:val="none"/>
                <w:lang w:val="en-US" w:eastAsia="zh-CN"/>
              </w:rPr>
              <w:t>8</w:t>
            </w:r>
            <w:r>
              <w:rPr>
                <w:rFonts w:hint="eastAsia"/>
                <w:snapToGrid w:val="0"/>
                <w:sz w:val="24"/>
                <w:szCs w:val="24"/>
                <w:highlight w:val="none"/>
              </w:rPr>
              <w:t>药物有机合成实验流程图</w:t>
            </w:r>
          </w:p>
          <w:p w14:paraId="39F2B3ED">
            <w:pPr>
              <w:pStyle w:val="4"/>
              <w:suppressLineNumbers w:val="0"/>
              <w:adjustRightInd w:val="0"/>
              <w:snapToGrid w:val="0"/>
              <w:spacing w:before="0" w:beforeAutospacing="0" w:after="0" w:afterAutospacing="0" w:line="360" w:lineRule="auto"/>
              <w:ind w:left="0" w:right="0" w:firstLine="480" w:firstLineChars="200"/>
              <w:rPr>
                <w:rFonts w:hint="eastAsia" w:ascii="Times New Roman" w:hAnsi="Times New Roman" w:eastAsia="宋体" w:cs="宋体"/>
                <w:b w:val="0"/>
                <w:bCs/>
                <w:kern w:val="2"/>
                <w:sz w:val="24"/>
                <w:szCs w:val="24"/>
                <w:highlight w:val="none"/>
                <w:lang w:val="zh-CN" w:eastAsia="zh-CN" w:bidi="ar-SA"/>
              </w:rPr>
            </w:pPr>
            <w:r>
              <w:rPr>
                <w:rFonts w:hint="eastAsia" w:ascii="Times New Roman" w:hAnsi="Times New Roman" w:eastAsia="宋体" w:cs="宋体"/>
                <w:b w:val="0"/>
                <w:bCs/>
                <w:kern w:val="2"/>
                <w:sz w:val="24"/>
                <w:szCs w:val="24"/>
                <w:highlight w:val="none"/>
                <w:lang w:val="zh-CN" w:eastAsia="zh-CN" w:bidi="ar-SA"/>
              </w:rPr>
              <w:t>以下列几项化学药物合成反应为例：</w:t>
            </w:r>
          </w:p>
          <w:p w14:paraId="4F8D4434">
            <w:pPr>
              <w:pStyle w:val="4"/>
              <w:suppressLineNumbers w:val="0"/>
              <w:adjustRightInd w:val="0"/>
              <w:snapToGrid w:val="0"/>
              <w:spacing w:before="0" w:beforeAutospacing="0" w:after="0" w:afterAutospacing="0" w:line="360" w:lineRule="auto"/>
              <w:ind w:left="0" w:right="0" w:firstLine="480" w:firstLineChars="200"/>
              <w:rPr>
                <w:rFonts w:hint="eastAsia" w:ascii="Times New Roman" w:hAnsi="Times New Roman" w:eastAsia="宋体" w:cs="宋体"/>
                <w:b w:val="0"/>
                <w:bCs/>
                <w:kern w:val="2"/>
                <w:sz w:val="24"/>
                <w:szCs w:val="24"/>
                <w:highlight w:val="none"/>
                <w:lang w:val="zh-CN" w:eastAsia="zh-CN" w:bidi="ar-SA"/>
              </w:rPr>
            </w:pPr>
            <w:r>
              <w:rPr>
                <w:rFonts w:hint="eastAsia" w:ascii="Times New Roman" w:hAnsi="Times New Roman" w:eastAsia="宋体" w:cs="宋体"/>
                <w:b w:val="0"/>
                <w:bCs/>
                <w:kern w:val="2"/>
                <w:sz w:val="24"/>
                <w:szCs w:val="24"/>
                <w:highlight w:val="none"/>
                <w:lang w:val="zh-CN" w:eastAsia="zh-CN" w:bidi="ar-SA"/>
              </w:rPr>
              <w:t>（1）2</w:t>
            </w:r>
            <w:r>
              <w:rPr>
                <w:rFonts w:hint="eastAsia" w:cs="宋体"/>
                <w:b w:val="0"/>
                <w:bCs/>
                <w:kern w:val="2"/>
                <w:sz w:val="24"/>
                <w:szCs w:val="24"/>
                <w:highlight w:val="none"/>
                <w:lang w:val="zh-CN" w:eastAsia="zh-CN" w:bidi="ar-SA"/>
              </w:rPr>
              <w:t>，</w:t>
            </w:r>
            <w:r>
              <w:rPr>
                <w:rFonts w:hint="eastAsia" w:ascii="Times New Roman" w:hAnsi="Times New Roman" w:eastAsia="宋体" w:cs="宋体"/>
                <w:b w:val="0"/>
                <w:bCs/>
                <w:kern w:val="2"/>
                <w:sz w:val="24"/>
                <w:szCs w:val="24"/>
                <w:highlight w:val="none"/>
                <w:lang w:val="zh-CN" w:eastAsia="zh-CN" w:bidi="ar-SA"/>
              </w:rPr>
              <w:t>2-二硫代二吡啶与2-巯基乙醇的有机合成过程</w:t>
            </w:r>
          </w:p>
          <w:p w14:paraId="2E91DDEA">
            <w:pPr>
              <w:pStyle w:val="4"/>
              <w:suppressLineNumbers w:val="0"/>
              <w:adjustRightInd w:val="0"/>
              <w:snapToGrid w:val="0"/>
              <w:spacing w:before="0" w:beforeAutospacing="0" w:after="0" w:afterAutospacing="0" w:line="360" w:lineRule="auto"/>
              <w:ind w:left="0" w:right="0" w:firstLine="480" w:firstLineChars="200"/>
              <w:rPr>
                <w:rFonts w:hint="eastAsia" w:ascii="Times New Roman" w:hAnsi="Times New Roman" w:eastAsia="宋体" w:cs="宋体"/>
                <w:b w:val="0"/>
                <w:bCs/>
                <w:kern w:val="2"/>
                <w:sz w:val="24"/>
                <w:szCs w:val="24"/>
                <w:highlight w:val="none"/>
                <w:lang w:val="zh-CN" w:eastAsia="zh-CN" w:bidi="ar-SA"/>
              </w:rPr>
            </w:pPr>
            <w:r>
              <w:rPr>
                <w:rFonts w:hint="eastAsia" w:ascii="Times New Roman" w:hAnsi="Times New Roman" w:eastAsia="宋体" w:cs="宋体"/>
                <w:b w:val="0"/>
                <w:bCs/>
                <w:kern w:val="2"/>
                <w:sz w:val="24"/>
                <w:szCs w:val="24"/>
                <w:highlight w:val="none"/>
                <w:lang w:val="zh-CN" w:eastAsia="zh-CN" w:bidi="ar-SA"/>
              </w:rPr>
              <w:t>巯基可与二硫代二吡啶反应处理为二巯基，生成的产物在酸性条件下，可与酶的巯基发生交换反应使之偶联，同时释放α-硫基吡啶。</w:t>
            </w:r>
          </w:p>
          <w:p w14:paraId="6094871F">
            <w:pPr>
              <w:pStyle w:val="4"/>
              <w:pageBreakBefore w:val="0"/>
              <w:suppressLineNumbers w:val="0"/>
              <w:kinsoku/>
              <w:wordWrap/>
              <w:overflowPunct/>
              <w:topLinePunct w:val="0"/>
              <w:autoSpaceDE/>
              <w:autoSpaceDN/>
              <w:bidi w:val="0"/>
              <w:adjustRightInd/>
              <w:snapToGrid/>
              <w:spacing w:before="0" w:beforeAutospacing="0" w:after="0" w:afterAutospacing="0" w:line="360" w:lineRule="auto"/>
              <w:ind w:left="0" w:right="0"/>
              <w:jc w:val="center"/>
              <w:textAlignment w:val="auto"/>
              <w:rPr>
                <w:rFonts w:hint="eastAsia" w:eastAsia="宋体"/>
                <w:snapToGrid w:val="0"/>
                <w:sz w:val="24"/>
                <w:szCs w:val="24"/>
                <w:highlight w:val="none"/>
                <w:lang w:eastAsia="zh-CN"/>
              </w:rPr>
            </w:pPr>
            <w:r>
              <w:rPr>
                <w:rFonts w:hint="eastAsia" w:eastAsia="宋体"/>
                <w:snapToGrid w:val="0"/>
                <w:sz w:val="24"/>
                <w:szCs w:val="24"/>
                <w:highlight w:val="none"/>
                <w:lang w:eastAsia="zh-CN"/>
              </w:rPr>
              <w:drawing>
                <wp:inline distT="0" distB="0" distL="114300" distR="114300">
                  <wp:extent cx="4538980" cy="927100"/>
                  <wp:effectExtent l="0" t="0" r="13970" b="6350"/>
                  <wp:docPr id="14" name="图片 14" descr="6b82e9cb0829a4baf7502caf397ad5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 name="图片 14" descr="6b82e9cb0829a4baf7502caf397ad5d"/>
                          <pic:cNvPicPr>
                            <a:picLocks noChangeAspect="1"/>
                          </pic:cNvPicPr>
                        </pic:nvPicPr>
                        <pic:blipFill>
                          <a:blip r:embed="rId28"/>
                          <a:srcRect b="4588"/>
                          <a:stretch>
                            <a:fillRect/>
                          </a:stretch>
                        </pic:blipFill>
                        <pic:spPr>
                          <a:xfrm>
                            <a:off x="0" y="0"/>
                            <a:ext cx="4538980" cy="927100"/>
                          </a:xfrm>
                          <a:prstGeom prst="rect">
                            <a:avLst/>
                          </a:prstGeom>
                        </pic:spPr>
                      </pic:pic>
                    </a:graphicData>
                  </a:graphic>
                </wp:inline>
              </w:drawing>
            </w:r>
          </w:p>
          <w:p w14:paraId="6B487260">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60" w:lineRule="auto"/>
              <w:ind w:left="0" w:right="0"/>
              <w:jc w:val="center"/>
              <w:textAlignment w:val="auto"/>
              <w:rPr>
                <w:rFonts w:hint="eastAsia" w:ascii="Times New Roman" w:hAnsi="Times New Roman" w:eastAsia="宋体" w:cs="Times New Roman"/>
                <w:b/>
                <w:bCs/>
                <w:snapToGrid w:val="0"/>
                <w:kern w:val="2"/>
                <w:sz w:val="24"/>
                <w:szCs w:val="24"/>
                <w:highlight w:val="none"/>
                <w:lang w:val="en-US" w:eastAsia="zh-CN" w:bidi="ar-SA"/>
              </w:rPr>
            </w:pPr>
            <w:r>
              <w:rPr>
                <w:rFonts w:hint="eastAsia" w:ascii="Times New Roman" w:hAnsi="Times New Roman" w:eastAsia="宋体" w:cs="Times New Roman"/>
                <w:b/>
                <w:bCs/>
                <w:snapToGrid w:val="0"/>
                <w:kern w:val="2"/>
                <w:sz w:val="24"/>
                <w:szCs w:val="24"/>
                <w:highlight w:val="none"/>
                <w:lang w:val="en-US" w:eastAsia="zh-CN" w:bidi="ar-SA"/>
              </w:rPr>
              <w:t>图</w:t>
            </w:r>
            <w:r>
              <w:rPr>
                <w:rFonts w:hint="default" w:ascii="Times New Roman" w:hAnsi="Times New Roman" w:eastAsia="宋体" w:cs="Times New Roman"/>
                <w:b/>
                <w:bCs/>
                <w:snapToGrid w:val="0"/>
                <w:kern w:val="2"/>
                <w:sz w:val="24"/>
                <w:szCs w:val="24"/>
                <w:highlight w:val="none"/>
                <w:lang w:val="en-US" w:eastAsia="zh-CN" w:bidi="ar-SA"/>
              </w:rPr>
              <w:t>2</w:t>
            </w:r>
            <w:r>
              <w:rPr>
                <w:rFonts w:hint="eastAsia" w:cs="Times New Roman"/>
                <w:b/>
                <w:bCs/>
                <w:snapToGrid w:val="0"/>
                <w:kern w:val="2"/>
                <w:sz w:val="24"/>
                <w:szCs w:val="24"/>
                <w:highlight w:val="none"/>
                <w:lang w:val="en-US" w:eastAsia="zh-CN" w:bidi="ar-SA"/>
              </w:rPr>
              <w:t xml:space="preserve">-9  </w:t>
            </w:r>
            <w:r>
              <w:rPr>
                <w:rFonts w:hint="default" w:ascii="Times New Roman" w:hAnsi="Times New Roman" w:eastAsia="宋体" w:cs="Times New Roman"/>
                <w:b/>
                <w:bCs/>
                <w:snapToGrid w:val="0"/>
                <w:kern w:val="2"/>
                <w:sz w:val="24"/>
                <w:szCs w:val="24"/>
                <w:highlight w:val="none"/>
                <w:lang w:val="en-US" w:eastAsia="zh-CN" w:bidi="ar-SA"/>
              </w:rPr>
              <w:t>2</w:t>
            </w:r>
            <w:r>
              <w:rPr>
                <w:rFonts w:hint="eastAsia" w:cs="Times New Roman"/>
                <w:b/>
                <w:bCs/>
                <w:snapToGrid w:val="0"/>
                <w:kern w:val="2"/>
                <w:sz w:val="24"/>
                <w:szCs w:val="24"/>
                <w:highlight w:val="none"/>
                <w:lang w:val="en-US" w:eastAsia="zh-CN" w:bidi="ar-SA"/>
              </w:rPr>
              <w:t>，</w:t>
            </w:r>
            <w:r>
              <w:rPr>
                <w:rFonts w:hint="default" w:ascii="Times New Roman" w:hAnsi="Times New Roman" w:eastAsia="宋体" w:cs="Times New Roman"/>
                <w:b/>
                <w:bCs/>
                <w:snapToGrid w:val="0"/>
                <w:kern w:val="2"/>
                <w:sz w:val="24"/>
                <w:szCs w:val="24"/>
                <w:highlight w:val="none"/>
                <w:lang w:val="en-US" w:eastAsia="zh-CN" w:bidi="ar-SA"/>
              </w:rPr>
              <w:t>2-</w:t>
            </w:r>
            <w:r>
              <w:rPr>
                <w:rFonts w:hint="eastAsia" w:ascii="Times New Roman" w:hAnsi="Times New Roman" w:eastAsia="宋体" w:cs="Times New Roman"/>
                <w:b/>
                <w:bCs/>
                <w:snapToGrid w:val="0"/>
                <w:kern w:val="2"/>
                <w:sz w:val="24"/>
                <w:szCs w:val="24"/>
                <w:highlight w:val="none"/>
                <w:lang w:val="en-US" w:eastAsia="zh-CN" w:bidi="ar-SA"/>
              </w:rPr>
              <w:t>二硫代二吡啶与</w:t>
            </w:r>
            <w:r>
              <w:rPr>
                <w:rFonts w:hint="default" w:ascii="Times New Roman" w:hAnsi="Times New Roman" w:eastAsia="宋体" w:cs="Times New Roman"/>
                <w:b/>
                <w:bCs/>
                <w:snapToGrid w:val="0"/>
                <w:kern w:val="2"/>
                <w:sz w:val="24"/>
                <w:szCs w:val="24"/>
                <w:highlight w:val="none"/>
                <w:lang w:val="en-US" w:eastAsia="zh-CN" w:bidi="ar-SA"/>
              </w:rPr>
              <w:t>2-</w:t>
            </w:r>
            <w:r>
              <w:rPr>
                <w:rFonts w:hint="eastAsia" w:ascii="Times New Roman" w:hAnsi="Times New Roman" w:eastAsia="宋体" w:cs="Times New Roman"/>
                <w:b/>
                <w:bCs/>
                <w:snapToGrid w:val="0"/>
                <w:kern w:val="2"/>
                <w:sz w:val="24"/>
                <w:szCs w:val="24"/>
                <w:highlight w:val="none"/>
                <w:lang w:val="en-US" w:eastAsia="zh-CN" w:bidi="ar-SA"/>
              </w:rPr>
              <w:t>巯基乙醇有机合成工艺流程及产污环节</w:t>
            </w:r>
          </w:p>
          <w:p w14:paraId="516EBDD3">
            <w:pPr>
              <w:pStyle w:val="4"/>
              <w:suppressLineNumbers w:val="0"/>
              <w:adjustRightInd w:val="0"/>
              <w:snapToGrid w:val="0"/>
              <w:spacing w:before="0" w:beforeAutospacing="0" w:after="0" w:afterAutospacing="0" w:line="360" w:lineRule="auto"/>
              <w:ind w:left="0" w:right="0" w:firstLine="480" w:firstLineChars="200"/>
              <w:rPr>
                <w:rFonts w:hint="eastAsia" w:ascii="Times New Roman" w:hAnsi="Times New Roman" w:eastAsia="宋体" w:cs="宋体"/>
                <w:b w:val="0"/>
                <w:bCs/>
                <w:kern w:val="2"/>
                <w:sz w:val="24"/>
                <w:szCs w:val="24"/>
                <w:highlight w:val="none"/>
                <w:lang w:val="zh-CN" w:eastAsia="zh-CN" w:bidi="ar-SA"/>
              </w:rPr>
            </w:pPr>
            <w:r>
              <w:rPr>
                <w:rFonts w:hint="eastAsia" w:ascii="Times New Roman" w:hAnsi="Times New Roman" w:eastAsia="宋体" w:cs="宋体"/>
                <w:b w:val="0"/>
                <w:bCs/>
                <w:kern w:val="2"/>
                <w:sz w:val="24"/>
                <w:szCs w:val="24"/>
                <w:highlight w:val="none"/>
                <w:lang w:val="en-US" w:eastAsia="zh-CN" w:bidi="ar-SA"/>
              </w:rPr>
              <w:t>实验步骤：先分别称取</w:t>
            </w:r>
            <w:r>
              <w:rPr>
                <w:rFonts w:hint="default" w:ascii="Times New Roman" w:hAnsi="Times New Roman" w:eastAsia="宋体" w:cs="宋体"/>
                <w:b w:val="0"/>
                <w:bCs/>
                <w:kern w:val="2"/>
                <w:sz w:val="24"/>
                <w:szCs w:val="24"/>
                <w:highlight w:val="none"/>
                <w:lang w:val="en-US" w:eastAsia="zh-CN" w:bidi="ar-SA"/>
              </w:rPr>
              <w:t>0.5g2</w:t>
            </w:r>
            <w:r>
              <w:rPr>
                <w:rFonts w:hint="eastAsia" w:cs="宋体"/>
                <w:b w:val="0"/>
                <w:bCs/>
                <w:kern w:val="2"/>
                <w:sz w:val="24"/>
                <w:szCs w:val="24"/>
                <w:highlight w:val="none"/>
                <w:lang w:val="en-US" w:eastAsia="zh-CN" w:bidi="ar-SA"/>
              </w:rPr>
              <w:t>，</w:t>
            </w:r>
            <w:r>
              <w:rPr>
                <w:rFonts w:hint="default" w:ascii="Times New Roman" w:hAnsi="Times New Roman" w:eastAsia="宋体" w:cs="宋体"/>
                <w:b w:val="0"/>
                <w:bCs/>
                <w:kern w:val="2"/>
                <w:sz w:val="24"/>
                <w:szCs w:val="24"/>
                <w:highlight w:val="none"/>
                <w:lang w:val="en-US" w:eastAsia="zh-CN" w:bidi="ar-SA"/>
              </w:rPr>
              <w:t>2-</w:t>
            </w:r>
            <w:r>
              <w:rPr>
                <w:rFonts w:hint="eastAsia" w:ascii="Times New Roman" w:hAnsi="Times New Roman" w:eastAsia="宋体" w:cs="宋体"/>
                <w:b w:val="0"/>
                <w:bCs/>
                <w:kern w:val="2"/>
                <w:sz w:val="24"/>
                <w:szCs w:val="24"/>
                <w:highlight w:val="none"/>
                <w:lang w:val="en-US" w:eastAsia="zh-CN" w:bidi="ar-SA"/>
              </w:rPr>
              <w:t>二硫代二吡啶、</w:t>
            </w:r>
            <w:r>
              <w:rPr>
                <w:rFonts w:hint="default" w:ascii="Times New Roman" w:hAnsi="Times New Roman" w:eastAsia="宋体" w:cs="宋体"/>
                <w:b w:val="0"/>
                <w:bCs/>
                <w:kern w:val="2"/>
                <w:sz w:val="24"/>
                <w:szCs w:val="24"/>
                <w:highlight w:val="none"/>
                <w:lang w:val="en-US" w:eastAsia="zh-CN" w:bidi="ar-SA"/>
              </w:rPr>
              <w:t>90mg2-</w:t>
            </w:r>
            <w:r>
              <w:rPr>
                <w:rFonts w:hint="eastAsia" w:ascii="Times New Roman" w:hAnsi="Times New Roman" w:eastAsia="宋体" w:cs="宋体"/>
                <w:b w:val="0"/>
                <w:bCs/>
                <w:kern w:val="2"/>
                <w:sz w:val="24"/>
                <w:szCs w:val="24"/>
                <w:highlight w:val="none"/>
                <w:lang w:val="en-US" w:eastAsia="zh-CN" w:bidi="ar-SA"/>
              </w:rPr>
              <w:t>巯基乙醇，各溶于</w:t>
            </w:r>
            <w:r>
              <w:rPr>
                <w:rFonts w:hint="default" w:ascii="Times New Roman" w:hAnsi="Times New Roman" w:eastAsia="宋体" w:cs="宋体"/>
                <w:b w:val="0"/>
                <w:bCs/>
                <w:kern w:val="2"/>
                <w:sz w:val="24"/>
                <w:szCs w:val="24"/>
                <w:highlight w:val="none"/>
                <w:lang w:val="en-US" w:eastAsia="zh-CN" w:bidi="ar-SA"/>
              </w:rPr>
              <w:t>5mL</w:t>
            </w:r>
            <w:r>
              <w:rPr>
                <w:rFonts w:hint="eastAsia" w:ascii="Times New Roman" w:hAnsi="Times New Roman" w:eastAsia="宋体" w:cs="宋体"/>
                <w:b w:val="0"/>
                <w:bCs/>
                <w:kern w:val="2"/>
                <w:sz w:val="24"/>
                <w:szCs w:val="24"/>
                <w:highlight w:val="none"/>
                <w:lang w:val="en-US" w:eastAsia="zh-CN" w:bidi="ar-SA"/>
              </w:rPr>
              <w:t>溶液中，再将</w:t>
            </w:r>
            <w:r>
              <w:rPr>
                <w:rFonts w:hint="default" w:ascii="Times New Roman" w:hAnsi="Times New Roman" w:eastAsia="宋体" w:cs="宋体"/>
                <w:b w:val="0"/>
                <w:bCs/>
                <w:kern w:val="2"/>
                <w:sz w:val="24"/>
                <w:szCs w:val="24"/>
                <w:highlight w:val="none"/>
                <w:lang w:val="en-US" w:eastAsia="zh-CN" w:bidi="ar-SA"/>
              </w:rPr>
              <w:t>2-</w:t>
            </w:r>
            <w:r>
              <w:rPr>
                <w:rFonts w:hint="eastAsia" w:ascii="Times New Roman" w:hAnsi="Times New Roman" w:eastAsia="宋体" w:cs="宋体"/>
                <w:b w:val="0"/>
                <w:bCs/>
                <w:kern w:val="2"/>
                <w:sz w:val="24"/>
                <w:szCs w:val="24"/>
                <w:highlight w:val="none"/>
                <w:lang w:val="en-US" w:eastAsia="zh-CN" w:bidi="ar-SA"/>
              </w:rPr>
              <w:t>巯基乙醇溶液通过恒压分液漏斗滴加进</w:t>
            </w:r>
            <w:r>
              <w:rPr>
                <w:rFonts w:hint="default" w:ascii="Times New Roman" w:hAnsi="Times New Roman" w:eastAsia="宋体" w:cs="宋体"/>
                <w:b w:val="0"/>
                <w:bCs/>
                <w:kern w:val="2"/>
                <w:sz w:val="24"/>
                <w:szCs w:val="24"/>
                <w:highlight w:val="none"/>
                <w:lang w:val="en-US" w:eastAsia="zh-CN" w:bidi="ar-SA"/>
              </w:rPr>
              <w:t>2,2-</w:t>
            </w:r>
            <w:r>
              <w:rPr>
                <w:rFonts w:hint="eastAsia" w:ascii="Times New Roman" w:hAnsi="Times New Roman" w:eastAsia="宋体" w:cs="宋体"/>
                <w:b w:val="0"/>
                <w:bCs/>
                <w:kern w:val="2"/>
                <w:sz w:val="24"/>
                <w:szCs w:val="24"/>
                <w:highlight w:val="none"/>
                <w:lang w:val="en-US" w:eastAsia="zh-CN" w:bidi="ar-SA"/>
              </w:rPr>
              <w:t>二硫代二吡啶溶液中，并将混合物搅拌反应</w:t>
            </w:r>
            <w:r>
              <w:rPr>
                <w:rFonts w:hint="default" w:ascii="Times New Roman" w:hAnsi="Times New Roman" w:eastAsia="宋体" w:cs="宋体"/>
                <w:b w:val="0"/>
                <w:bCs/>
                <w:kern w:val="2"/>
                <w:sz w:val="24"/>
                <w:szCs w:val="24"/>
                <w:highlight w:val="none"/>
                <w:lang w:val="en-US" w:eastAsia="zh-CN" w:bidi="ar-SA"/>
              </w:rPr>
              <w:t>30min</w:t>
            </w:r>
            <w:r>
              <w:rPr>
                <w:rFonts w:hint="eastAsia" w:ascii="Times New Roman" w:hAnsi="Times New Roman" w:eastAsia="宋体" w:cs="宋体"/>
                <w:b w:val="0"/>
                <w:bCs/>
                <w:kern w:val="2"/>
                <w:sz w:val="24"/>
                <w:szCs w:val="24"/>
                <w:highlight w:val="none"/>
                <w:lang w:val="en-US" w:eastAsia="zh-CN" w:bidi="ar-SA"/>
              </w:rPr>
              <w:t>，反应结束后，反应液由无色透明变成黄绿色液体。待反应结束后，将反应液进行旋干保存，在冷阱温度</w:t>
            </w:r>
            <w:r>
              <w:rPr>
                <w:rFonts w:hint="default" w:ascii="Times New Roman" w:hAnsi="Times New Roman" w:eastAsia="宋体" w:cs="宋体"/>
                <w:b w:val="0"/>
                <w:bCs/>
                <w:kern w:val="2"/>
                <w:sz w:val="24"/>
                <w:szCs w:val="24"/>
                <w:highlight w:val="none"/>
                <w:lang w:val="en-US" w:eastAsia="zh-CN" w:bidi="ar-SA"/>
              </w:rPr>
              <w:t>0</w:t>
            </w:r>
            <w:r>
              <w:rPr>
                <w:rFonts w:hint="eastAsia" w:ascii="Times New Roman" w:hAnsi="Times New Roman" w:eastAsia="宋体" w:cs="宋体"/>
                <w:b w:val="0"/>
                <w:bCs/>
                <w:kern w:val="2"/>
                <w:sz w:val="24"/>
                <w:szCs w:val="24"/>
                <w:highlight w:val="none"/>
                <w:lang w:val="en-US" w:eastAsia="zh-CN" w:bidi="ar-SA"/>
              </w:rPr>
              <w:t>℃，水浴锅温度为</w:t>
            </w:r>
            <w:r>
              <w:rPr>
                <w:rFonts w:hint="default" w:ascii="Times New Roman" w:hAnsi="Times New Roman" w:eastAsia="宋体" w:cs="宋体"/>
                <w:b w:val="0"/>
                <w:bCs/>
                <w:kern w:val="2"/>
                <w:sz w:val="24"/>
                <w:szCs w:val="24"/>
                <w:highlight w:val="none"/>
                <w:lang w:val="en-US" w:eastAsia="zh-CN" w:bidi="ar-SA"/>
              </w:rPr>
              <w:t>30</w:t>
            </w:r>
            <w:r>
              <w:rPr>
                <w:rFonts w:hint="eastAsia" w:ascii="Times New Roman" w:hAnsi="Times New Roman" w:eastAsia="宋体" w:cs="宋体"/>
                <w:b w:val="0"/>
                <w:bCs/>
                <w:kern w:val="2"/>
                <w:sz w:val="24"/>
                <w:szCs w:val="24"/>
                <w:highlight w:val="none"/>
                <w:lang w:val="en-US" w:eastAsia="zh-CN" w:bidi="ar-SA"/>
              </w:rPr>
              <w:t>℃，压力</w:t>
            </w:r>
            <w:r>
              <w:rPr>
                <w:rFonts w:hint="default" w:ascii="Times New Roman" w:hAnsi="Times New Roman" w:eastAsia="宋体" w:cs="宋体"/>
                <w:b w:val="0"/>
                <w:bCs/>
                <w:kern w:val="2"/>
                <w:sz w:val="24"/>
                <w:szCs w:val="24"/>
                <w:highlight w:val="none"/>
                <w:lang w:val="en-US" w:eastAsia="zh-CN" w:bidi="ar-SA"/>
              </w:rPr>
              <w:t>450hPa</w:t>
            </w:r>
            <w:r>
              <w:rPr>
                <w:rFonts w:hint="eastAsia" w:ascii="Times New Roman" w:hAnsi="Times New Roman" w:eastAsia="宋体" w:cs="宋体"/>
                <w:b w:val="0"/>
                <w:bCs/>
                <w:kern w:val="2"/>
                <w:sz w:val="24"/>
                <w:szCs w:val="24"/>
                <w:highlight w:val="none"/>
                <w:lang w:val="en-US" w:eastAsia="zh-CN" w:bidi="ar-SA"/>
              </w:rPr>
              <w:t>下，抽真空</w:t>
            </w:r>
            <w:r>
              <w:rPr>
                <w:rFonts w:hint="default" w:ascii="Times New Roman" w:hAnsi="Times New Roman" w:eastAsia="宋体" w:cs="宋体"/>
                <w:b w:val="0"/>
                <w:bCs/>
                <w:kern w:val="2"/>
                <w:sz w:val="24"/>
                <w:szCs w:val="24"/>
                <w:highlight w:val="none"/>
                <w:lang w:val="en-US" w:eastAsia="zh-CN" w:bidi="ar-SA"/>
              </w:rPr>
              <w:t>30min</w:t>
            </w:r>
            <w:r>
              <w:rPr>
                <w:rFonts w:hint="eastAsia" w:ascii="Times New Roman" w:hAnsi="Times New Roman" w:eastAsia="宋体" w:cs="宋体"/>
                <w:b w:val="0"/>
                <w:bCs/>
                <w:kern w:val="2"/>
                <w:sz w:val="24"/>
                <w:szCs w:val="24"/>
                <w:highlight w:val="none"/>
                <w:lang w:val="en-US" w:eastAsia="zh-CN" w:bidi="ar-SA"/>
              </w:rPr>
              <w:t>。</w:t>
            </w:r>
          </w:p>
          <w:p w14:paraId="7B290188">
            <w:pPr>
              <w:pStyle w:val="4"/>
              <w:suppressLineNumbers w:val="0"/>
              <w:adjustRightInd w:val="0"/>
              <w:snapToGrid w:val="0"/>
              <w:spacing w:before="0" w:beforeAutospacing="0" w:after="0" w:afterAutospacing="0" w:line="360" w:lineRule="auto"/>
              <w:ind w:left="0" w:right="0" w:firstLine="480" w:firstLineChars="200"/>
              <w:rPr>
                <w:rFonts w:hint="eastAsia" w:ascii="Times New Roman" w:hAnsi="Times New Roman" w:eastAsia="宋体" w:cs="宋体"/>
                <w:b w:val="0"/>
                <w:bCs/>
                <w:kern w:val="2"/>
                <w:sz w:val="24"/>
                <w:szCs w:val="24"/>
                <w:highlight w:val="none"/>
                <w:lang w:val="zh-CN" w:eastAsia="zh-CN" w:bidi="ar-SA"/>
              </w:rPr>
            </w:pPr>
            <w:r>
              <w:rPr>
                <w:rFonts w:hint="eastAsia" w:ascii="Times New Roman" w:hAnsi="Times New Roman" w:eastAsia="宋体" w:cs="宋体"/>
                <w:b w:val="0"/>
                <w:bCs/>
                <w:kern w:val="2"/>
                <w:sz w:val="24"/>
                <w:szCs w:val="24"/>
                <w:highlight w:val="none"/>
                <w:lang w:val="en-US" w:eastAsia="zh-CN" w:bidi="ar-SA"/>
              </w:rPr>
              <w:t>在反应、蒸发旋干以及抽真空过程中，会产生少量的</w:t>
            </w:r>
            <w:r>
              <w:rPr>
                <w:rFonts w:hint="eastAsia" w:ascii="Times New Roman" w:hAnsi="Times New Roman" w:eastAsia="宋体" w:cs="宋体"/>
                <w:b w:val="0"/>
                <w:bCs/>
                <w:kern w:val="2"/>
                <w:sz w:val="24"/>
                <w:szCs w:val="24"/>
                <w:highlight w:val="none"/>
                <w:lang w:val="zh-CN" w:eastAsia="zh-CN" w:bidi="ar-SA"/>
              </w:rPr>
              <w:t>实验</w:t>
            </w:r>
            <w:r>
              <w:rPr>
                <w:rFonts w:hint="eastAsia" w:cs="宋体"/>
                <w:b w:val="0"/>
                <w:bCs/>
                <w:kern w:val="2"/>
                <w:sz w:val="24"/>
                <w:szCs w:val="24"/>
                <w:highlight w:val="none"/>
                <w:lang w:val="en-US" w:eastAsia="zh-CN" w:bidi="ar-SA"/>
              </w:rPr>
              <w:t>室</w:t>
            </w:r>
            <w:r>
              <w:rPr>
                <w:rFonts w:hint="eastAsia" w:ascii="Times New Roman" w:hAnsi="Times New Roman" w:eastAsia="宋体" w:cs="宋体"/>
                <w:b w:val="0"/>
                <w:bCs/>
                <w:kern w:val="2"/>
                <w:sz w:val="24"/>
                <w:szCs w:val="24"/>
                <w:highlight w:val="none"/>
                <w:lang w:val="zh-CN" w:eastAsia="zh-CN" w:bidi="ar-SA"/>
              </w:rPr>
              <w:t>废气（</w:t>
            </w:r>
            <w:r>
              <w:rPr>
                <w:rFonts w:hint="eastAsia" w:ascii="Times New Roman" w:hAnsi="Times New Roman" w:eastAsia="宋体" w:cs="宋体"/>
                <w:b w:val="0"/>
                <w:bCs/>
                <w:kern w:val="2"/>
                <w:sz w:val="24"/>
                <w:szCs w:val="24"/>
                <w:highlight w:val="none"/>
                <w:lang w:val="en-US" w:eastAsia="zh-CN" w:bidi="ar-SA"/>
              </w:rPr>
              <w:t>有机废气</w:t>
            </w:r>
            <w:r>
              <w:rPr>
                <w:rFonts w:hint="eastAsia" w:ascii="Times New Roman" w:hAnsi="Times New Roman" w:eastAsia="宋体" w:cs="宋体"/>
                <w:b w:val="0"/>
                <w:bCs/>
                <w:kern w:val="2"/>
                <w:sz w:val="24"/>
                <w:szCs w:val="24"/>
                <w:highlight w:val="none"/>
                <w:lang w:val="zh-CN" w:eastAsia="zh-CN" w:bidi="ar-SA"/>
              </w:rPr>
              <w:t>）</w:t>
            </w:r>
            <w:r>
              <w:rPr>
                <w:rFonts w:hint="eastAsia" w:cs="宋体"/>
                <w:b w:val="0"/>
                <w:bCs/>
                <w:kern w:val="2"/>
                <w:sz w:val="24"/>
                <w:szCs w:val="24"/>
                <w:highlight w:val="none"/>
                <w:lang w:val="en-US" w:eastAsia="zh-CN" w:bidi="ar-SA"/>
              </w:rPr>
              <w:t>G2-1</w:t>
            </w:r>
            <w:r>
              <w:rPr>
                <w:rFonts w:hint="eastAsia" w:ascii="Times New Roman" w:hAnsi="Times New Roman" w:eastAsia="宋体" w:cs="宋体"/>
                <w:b w:val="0"/>
                <w:bCs/>
                <w:kern w:val="2"/>
                <w:sz w:val="24"/>
                <w:szCs w:val="24"/>
                <w:highlight w:val="none"/>
                <w:lang w:val="en-US" w:eastAsia="zh-CN" w:bidi="ar-SA"/>
              </w:rPr>
              <w:t>，旋转蒸发、冷阱过程会产生少量的冷凝水和实验室废液</w:t>
            </w:r>
            <w:r>
              <w:rPr>
                <w:rFonts w:hint="eastAsia" w:cs="宋体"/>
                <w:b w:val="0"/>
                <w:bCs/>
                <w:kern w:val="2"/>
                <w:sz w:val="24"/>
                <w:szCs w:val="24"/>
                <w:highlight w:val="none"/>
                <w:lang w:val="en-US" w:eastAsia="zh-CN" w:bidi="ar-SA"/>
              </w:rPr>
              <w:t>S2-3</w:t>
            </w:r>
            <w:r>
              <w:rPr>
                <w:rFonts w:hint="eastAsia" w:ascii="Times New Roman" w:hAnsi="Times New Roman" w:eastAsia="宋体" w:cs="宋体"/>
                <w:b w:val="0"/>
                <w:bCs/>
                <w:kern w:val="2"/>
                <w:sz w:val="24"/>
                <w:szCs w:val="24"/>
                <w:highlight w:val="none"/>
                <w:lang w:val="en-US" w:eastAsia="zh-CN" w:bidi="ar-SA"/>
              </w:rPr>
              <w:t>。</w:t>
            </w:r>
          </w:p>
          <w:p w14:paraId="576F9131">
            <w:pPr>
              <w:pStyle w:val="4"/>
              <w:suppressLineNumbers w:val="0"/>
              <w:adjustRightInd w:val="0"/>
              <w:snapToGrid w:val="0"/>
              <w:spacing w:before="0" w:beforeAutospacing="0" w:after="0" w:afterAutospacing="0" w:line="360" w:lineRule="auto"/>
              <w:ind w:left="0" w:right="0" w:firstLine="480" w:firstLineChars="200"/>
              <w:rPr>
                <w:rFonts w:hint="eastAsia" w:ascii="Times New Roman" w:hAnsi="Times New Roman" w:eastAsia="宋体" w:cs="宋体"/>
                <w:b w:val="0"/>
                <w:bCs/>
                <w:kern w:val="2"/>
                <w:sz w:val="24"/>
                <w:szCs w:val="24"/>
                <w:highlight w:val="none"/>
                <w:lang w:val="zh-CN" w:eastAsia="zh-CN" w:bidi="ar-SA"/>
              </w:rPr>
            </w:pPr>
            <w:r>
              <w:rPr>
                <w:rFonts w:hint="eastAsia" w:ascii="Times New Roman" w:hAnsi="Times New Roman" w:eastAsia="宋体" w:cs="宋体"/>
                <w:b w:val="0"/>
                <w:bCs/>
                <w:kern w:val="2"/>
                <w:sz w:val="24"/>
                <w:szCs w:val="24"/>
                <w:highlight w:val="none"/>
                <w:lang w:val="en-US" w:eastAsia="zh-CN" w:bidi="ar-SA"/>
              </w:rPr>
              <w:t>（</w:t>
            </w:r>
            <w:r>
              <w:rPr>
                <w:rFonts w:hint="default" w:ascii="Times New Roman" w:hAnsi="Times New Roman" w:eastAsia="宋体" w:cs="宋体"/>
                <w:b w:val="0"/>
                <w:bCs/>
                <w:kern w:val="2"/>
                <w:sz w:val="24"/>
                <w:szCs w:val="24"/>
                <w:highlight w:val="none"/>
                <w:lang w:val="en-US" w:eastAsia="zh-CN" w:bidi="ar-SA"/>
              </w:rPr>
              <w:t>2</w:t>
            </w:r>
            <w:r>
              <w:rPr>
                <w:rFonts w:hint="eastAsia" w:ascii="Times New Roman" w:hAnsi="Times New Roman" w:eastAsia="宋体" w:cs="宋体"/>
                <w:b w:val="0"/>
                <w:bCs/>
                <w:kern w:val="2"/>
                <w:sz w:val="24"/>
                <w:szCs w:val="24"/>
                <w:highlight w:val="none"/>
                <w:lang w:val="en-US" w:eastAsia="zh-CN" w:bidi="ar-SA"/>
              </w:rPr>
              <w:t>）目标产物</w:t>
            </w:r>
            <w:r>
              <w:rPr>
                <w:rFonts w:hint="default" w:ascii="Times New Roman" w:hAnsi="Times New Roman" w:eastAsia="宋体" w:cs="宋体"/>
                <w:b w:val="0"/>
                <w:bCs/>
                <w:kern w:val="2"/>
                <w:sz w:val="24"/>
                <w:szCs w:val="24"/>
                <w:highlight w:val="none"/>
                <w:lang w:val="en-US" w:eastAsia="zh-CN" w:bidi="ar-SA"/>
              </w:rPr>
              <w:t>Ro-3306</w:t>
            </w:r>
            <w:r>
              <w:rPr>
                <w:rFonts w:hint="eastAsia" w:ascii="Times New Roman" w:hAnsi="Times New Roman" w:eastAsia="宋体" w:cs="宋体"/>
                <w:b w:val="0"/>
                <w:bCs/>
                <w:kern w:val="2"/>
                <w:sz w:val="24"/>
                <w:szCs w:val="24"/>
                <w:highlight w:val="none"/>
                <w:lang w:val="en-US" w:eastAsia="zh-CN" w:bidi="ar-SA"/>
              </w:rPr>
              <w:t>合成过程</w:t>
            </w:r>
          </w:p>
          <w:p w14:paraId="59781808">
            <w:pPr>
              <w:pStyle w:val="4"/>
              <w:suppressLineNumbers w:val="0"/>
              <w:adjustRightInd w:val="0"/>
              <w:snapToGrid w:val="0"/>
              <w:spacing w:before="0" w:beforeAutospacing="0" w:after="0" w:afterAutospacing="0" w:line="360" w:lineRule="auto"/>
              <w:ind w:left="0" w:right="0" w:firstLine="480" w:firstLineChars="200"/>
              <w:rPr>
                <w:rFonts w:hint="eastAsia" w:ascii="Times New Roman" w:hAnsi="Times New Roman" w:eastAsia="宋体" w:cs="宋体"/>
                <w:b w:val="0"/>
                <w:bCs/>
                <w:kern w:val="2"/>
                <w:sz w:val="24"/>
                <w:szCs w:val="24"/>
                <w:highlight w:val="none"/>
                <w:lang w:val="zh-CN" w:eastAsia="zh-CN" w:bidi="ar-SA"/>
              </w:rPr>
            </w:pPr>
            <w:r>
              <w:rPr>
                <w:rFonts w:hint="eastAsia" w:ascii="Times New Roman" w:hAnsi="Times New Roman" w:eastAsia="宋体" w:cs="宋体"/>
                <w:b w:val="0"/>
                <w:bCs/>
                <w:kern w:val="2"/>
                <w:sz w:val="24"/>
                <w:szCs w:val="24"/>
                <w:highlight w:val="none"/>
                <w:lang w:val="en-US" w:eastAsia="zh-CN" w:bidi="ar-SA"/>
              </w:rPr>
              <w:t>目标产物</w:t>
            </w:r>
            <w:r>
              <w:rPr>
                <w:rFonts w:hint="default" w:ascii="Times New Roman" w:hAnsi="Times New Roman" w:eastAsia="宋体" w:cs="宋体"/>
                <w:b w:val="0"/>
                <w:bCs/>
                <w:kern w:val="2"/>
                <w:sz w:val="24"/>
                <w:szCs w:val="24"/>
                <w:highlight w:val="none"/>
                <w:lang w:val="en-US" w:eastAsia="zh-CN" w:bidi="ar-SA"/>
              </w:rPr>
              <w:t>Ro-3306</w:t>
            </w:r>
            <w:r>
              <w:rPr>
                <w:rFonts w:hint="eastAsia" w:ascii="Times New Roman" w:hAnsi="Times New Roman" w:eastAsia="宋体" w:cs="宋体"/>
                <w:b w:val="0"/>
                <w:bCs/>
                <w:kern w:val="2"/>
                <w:sz w:val="24"/>
                <w:szCs w:val="24"/>
                <w:highlight w:val="none"/>
                <w:lang w:val="en-US" w:eastAsia="zh-CN" w:bidi="ar-SA"/>
              </w:rPr>
              <w:t>的合成过程：首先将喹啉</w:t>
            </w:r>
            <w:r>
              <w:rPr>
                <w:rFonts w:hint="default" w:ascii="Times New Roman" w:hAnsi="Times New Roman" w:eastAsia="宋体" w:cs="宋体"/>
                <w:b w:val="0"/>
                <w:bCs/>
                <w:kern w:val="2"/>
                <w:sz w:val="24"/>
                <w:szCs w:val="24"/>
                <w:highlight w:val="none"/>
                <w:lang w:val="en-US" w:eastAsia="zh-CN" w:bidi="ar-SA"/>
              </w:rPr>
              <w:t>-6-</w:t>
            </w:r>
            <w:r>
              <w:rPr>
                <w:rFonts w:hint="eastAsia" w:ascii="Times New Roman" w:hAnsi="Times New Roman" w:eastAsia="宋体" w:cs="宋体"/>
                <w:b w:val="0"/>
                <w:bCs/>
                <w:kern w:val="2"/>
                <w:sz w:val="24"/>
                <w:szCs w:val="24"/>
                <w:highlight w:val="none"/>
                <w:lang w:val="en-US" w:eastAsia="zh-CN" w:bidi="ar-SA"/>
              </w:rPr>
              <w:t>甲醛与罗丹宁进行缩合反应，生成中间产物</w:t>
            </w:r>
            <w:r>
              <w:rPr>
                <w:rFonts w:hint="default" w:ascii="Times New Roman" w:hAnsi="Times New Roman" w:eastAsia="宋体" w:cs="宋体"/>
                <w:b w:val="0"/>
                <w:bCs/>
                <w:kern w:val="2"/>
                <w:sz w:val="24"/>
                <w:szCs w:val="24"/>
                <w:highlight w:val="none"/>
                <w:lang w:val="en-US" w:eastAsia="zh-CN" w:bidi="ar-SA"/>
              </w:rPr>
              <w:t>--</w:t>
            </w:r>
            <w:r>
              <w:rPr>
                <w:rFonts w:hint="eastAsia" w:ascii="Times New Roman" w:hAnsi="Times New Roman" w:eastAsia="宋体" w:cs="宋体"/>
                <w:b w:val="0"/>
                <w:bCs/>
                <w:kern w:val="2"/>
                <w:sz w:val="24"/>
                <w:szCs w:val="24"/>
                <w:highlight w:val="none"/>
                <w:lang w:val="en-US" w:eastAsia="zh-CN" w:bidi="ar-SA"/>
              </w:rPr>
              <w:t>甲基化喹啉</w:t>
            </w:r>
            <w:r>
              <w:rPr>
                <w:rFonts w:hint="default" w:ascii="Times New Roman" w:hAnsi="Times New Roman" w:eastAsia="宋体" w:cs="宋体"/>
                <w:b w:val="0"/>
                <w:bCs/>
                <w:kern w:val="2"/>
                <w:sz w:val="24"/>
                <w:szCs w:val="24"/>
                <w:highlight w:val="none"/>
                <w:lang w:val="en-US" w:eastAsia="zh-CN" w:bidi="ar-SA"/>
              </w:rPr>
              <w:t>-6-</w:t>
            </w:r>
            <w:r>
              <w:rPr>
                <w:rFonts w:hint="eastAsia" w:ascii="Times New Roman" w:hAnsi="Times New Roman" w:eastAsia="宋体" w:cs="宋体"/>
                <w:b w:val="0"/>
                <w:bCs/>
                <w:kern w:val="2"/>
                <w:sz w:val="24"/>
                <w:szCs w:val="24"/>
                <w:highlight w:val="none"/>
                <w:lang w:val="en-US" w:eastAsia="zh-CN" w:bidi="ar-SA"/>
              </w:rPr>
              <w:t>甲醛缩罗丹宁，再将中间产物与</w:t>
            </w:r>
            <w:r>
              <w:rPr>
                <w:rFonts w:hint="default" w:ascii="Times New Roman" w:hAnsi="Times New Roman" w:eastAsia="宋体" w:cs="宋体"/>
                <w:b w:val="0"/>
                <w:bCs/>
                <w:kern w:val="2"/>
                <w:sz w:val="24"/>
                <w:szCs w:val="24"/>
                <w:highlight w:val="none"/>
                <w:lang w:val="en-US" w:eastAsia="zh-CN" w:bidi="ar-SA"/>
              </w:rPr>
              <w:t>2-</w:t>
            </w:r>
            <w:r>
              <w:rPr>
                <w:rFonts w:hint="eastAsia" w:ascii="Times New Roman" w:hAnsi="Times New Roman" w:eastAsia="宋体" w:cs="宋体"/>
                <w:b w:val="0"/>
                <w:bCs/>
                <w:kern w:val="2"/>
                <w:sz w:val="24"/>
                <w:szCs w:val="24"/>
                <w:highlight w:val="none"/>
                <w:lang w:val="en-US" w:eastAsia="zh-CN" w:bidi="ar-SA"/>
              </w:rPr>
              <w:t>噻吩甲基胺进行加热反应，从而得到目标产物。</w:t>
            </w:r>
          </w:p>
          <w:p w14:paraId="43B70EFA">
            <w:pPr>
              <w:keepNext w:val="0"/>
              <w:keepLines w:val="0"/>
              <w:suppressLineNumbers w:val="0"/>
              <w:spacing w:before="0" w:beforeAutospacing="0" w:after="0" w:afterAutospacing="0"/>
              <w:ind w:left="0" w:right="0"/>
              <w:rPr>
                <w:rFonts w:hint="eastAsia"/>
                <w:highlight w:val="none"/>
                <w:lang w:eastAsia="zh-CN"/>
              </w:rPr>
            </w:pPr>
            <w:r>
              <w:rPr>
                <w:rFonts w:hint="eastAsia"/>
                <w:highlight w:val="none"/>
                <w:lang w:eastAsia="zh-CN"/>
              </w:rPr>
              <w:drawing>
                <wp:inline distT="0" distB="0" distL="114300" distR="114300">
                  <wp:extent cx="5185410" cy="1590040"/>
                  <wp:effectExtent l="0" t="0" r="5715" b="635"/>
                  <wp:docPr id="15" name="图片 15" descr="5f8088937eb9ca792c2d095eb8fc23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 name="图片 15" descr="5f8088937eb9ca792c2d095eb8fc233"/>
                          <pic:cNvPicPr>
                            <a:picLocks noChangeAspect="1"/>
                          </pic:cNvPicPr>
                        </pic:nvPicPr>
                        <pic:blipFill>
                          <a:blip r:embed="rId29"/>
                          <a:stretch>
                            <a:fillRect/>
                          </a:stretch>
                        </pic:blipFill>
                        <pic:spPr>
                          <a:xfrm>
                            <a:off x="0" y="0"/>
                            <a:ext cx="5185410" cy="1590040"/>
                          </a:xfrm>
                          <a:prstGeom prst="rect">
                            <a:avLst/>
                          </a:prstGeom>
                        </pic:spPr>
                      </pic:pic>
                    </a:graphicData>
                  </a:graphic>
                </wp:inline>
              </w:drawing>
            </w:r>
          </w:p>
          <w:p w14:paraId="44142D00">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60" w:lineRule="auto"/>
              <w:ind w:left="0" w:right="0"/>
              <w:jc w:val="center"/>
              <w:textAlignment w:val="auto"/>
              <w:rPr>
                <w:rFonts w:hint="eastAsia" w:ascii="Times New Roman" w:hAnsi="Times New Roman" w:eastAsia="宋体" w:cs="Times New Roman"/>
                <w:b/>
                <w:bCs/>
                <w:snapToGrid w:val="0"/>
                <w:kern w:val="2"/>
                <w:sz w:val="24"/>
                <w:szCs w:val="24"/>
                <w:highlight w:val="none"/>
                <w:lang w:val="en-US" w:eastAsia="zh-CN" w:bidi="ar-SA"/>
              </w:rPr>
            </w:pPr>
            <w:r>
              <w:rPr>
                <w:rFonts w:hint="eastAsia" w:ascii="Times New Roman" w:hAnsi="Times New Roman" w:eastAsia="宋体" w:cs="Times New Roman"/>
                <w:b/>
                <w:bCs/>
                <w:snapToGrid w:val="0"/>
                <w:kern w:val="2"/>
                <w:sz w:val="24"/>
                <w:szCs w:val="24"/>
                <w:highlight w:val="none"/>
                <w:lang w:val="en-US" w:eastAsia="zh-CN" w:bidi="ar-SA"/>
              </w:rPr>
              <w:t>图2-</w:t>
            </w:r>
            <w:r>
              <w:rPr>
                <w:rFonts w:hint="eastAsia" w:cs="Times New Roman"/>
                <w:b/>
                <w:bCs/>
                <w:snapToGrid w:val="0"/>
                <w:kern w:val="2"/>
                <w:sz w:val="24"/>
                <w:szCs w:val="24"/>
                <w:highlight w:val="none"/>
                <w:lang w:val="en-US" w:eastAsia="zh-CN" w:bidi="ar-SA"/>
              </w:rPr>
              <w:t>10</w:t>
            </w:r>
            <w:r>
              <w:rPr>
                <w:rFonts w:hint="eastAsia" w:ascii="Times New Roman" w:hAnsi="Times New Roman" w:eastAsia="宋体" w:cs="Times New Roman"/>
                <w:b/>
                <w:bCs/>
                <w:snapToGrid w:val="0"/>
                <w:kern w:val="2"/>
                <w:sz w:val="24"/>
                <w:szCs w:val="24"/>
                <w:highlight w:val="none"/>
                <w:lang w:val="en-US" w:eastAsia="zh-CN" w:bidi="ar-SA"/>
              </w:rPr>
              <w:t xml:space="preserve"> 目标产物 Ro-3306 合成工艺流程及产污环节</w:t>
            </w:r>
          </w:p>
          <w:p w14:paraId="5199A73B">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60" w:lineRule="auto"/>
              <w:ind w:left="0" w:right="0" w:firstLine="480" w:firstLineChars="200"/>
              <w:textAlignment w:val="auto"/>
              <w:rPr>
                <w:rFonts w:hint="eastAsia"/>
                <w:highlight w:val="none"/>
              </w:rPr>
            </w:pPr>
            <w:r>
              <w:rPr>
                <w:rFonts w:hint="eastAsia" w:ascii="Times New Roman" w:hAnsi="Times New Roman" w:eastAsia="宋体" w:cs="宋体"/>
                <w:b w:val="0"/>
                <w:bCs/>
                <w:kern w:val="2"/>
                <w:sz w:val="24"/>
                <w:szCs w:val="24"/>
                <w:highlight w:val="none"/>
                <w:lang w:val="en-US" w:eastAsia="zh-CN" w:bidi="ar-SA"/>
              </w:rPr>
              <w:t>实验步骤：取0.31g喹啉-6-甲醛溶于20mL乙酸中，加入0.26g罗丹宁和0.58g乙酸钠，加热至90℃反应24h，磁力搅拌速度设置为400rmp，反应容器为100mL茄型烧瓶。反应毕，将反应体系倾入70mL冷的蒸馏水中，有大量固体析出，搅拌后过滤。收集到的固体用冷的乙醚洗三次，抽干，称量粗产品的质量。用饱和碳酸氢钠碱洗粗产品，摇匀搅拌，加入乙酸乙酯后分液，上层EA呈金黄色。利用重结晶方法，再次纯化，得到土黄色固体化合物（中间产物：甲基化喹啉-6-甲醛缩罗丹宁）。称取0.5g的中间产物溶于10mL乙腈，并</w:t>
            </w:r>
            <w:r>
              <w:rPr>
                <w:rFonts w:hint="eastAsia"/>
                <w:highlight w:val="none"/>
                <w:lang w:val="en-US" w:eastAsia="zh-CN"/>
              </w:rPr>
              <w:t>加入0.4g2-噻吩甲</w:t>
            </w:r>
            <w:r>
              <w:rPr>
                <w:rFonts w:hint="eastAsia"/>
                <w:highlight w:val="none"/>
              </w:rPr>
              <w:t>基胺、1.83mL二异丙基乙胺，于80℃下加热搅拌反应12h，停止反应后，将反应液减压蒸干，残余物用10mL乙酸乙酯溶解，加入粗硅胶拌样，以EA：PE=1：1（加入数滴三乙胺防止拖尾）为洗脱剂柱层析纯化，得最终目的产物Ro-3306（淡黄色固体）。</w:t>
            </w:r>
          </w:p>
          <w:p w14:paraId="53814413">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60" w:lineRule="auto"/>
              <w:ind w:left="0" w:right="0" w:firstLine="480" w:firstLineChars="200"/>
              <w:textAlignment w:val="auto"/>
              <w:rPr>
                <w:rFonts w:hint="eastAsia"/>
                <w:highlight w:val="none"/>
              </w:rPr>
            </w:pPr>
            <w:r>
              <w:rPr>
                <w:rFonts w:hint="eastAsia"/>
                <w:highlight w:val="none"/>
              </w:rPr>
              <w:t>在化合物反应过程中，乙醚、乙腈等挥发产生少量的有机废气；过滤过程</w:t>
            </w:r>
          </w:p>
          <w:p w14:paraId="73AF0C5B">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60" w:lineRule="auto"/>
              <w:ind w:left="0" w:right="0"/>
              <w:textAlignment w:val="auto"/>
              <w:rPr>
                <w:rFonts w:hint="eastAsia"/>
                <w:highlight w:val="none"/>
              </w:rPr>
            </w:pPr>
            <w:r>
              <w:rPr>
                <w:rFonts w:hint="eastAsia"/>
                <w:highlight w:val="none"/>
              </w:rPr>
              <w:t>中会产生以乙酸、乙酸钠为主的实验废液；在用乙醚、饱和碳酸氢钠对粗产品</w:t>
            </w:r>
          </w:p>
          <w:p w14:paraId="0A28B250">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60" w:lineRule="auto"/>
              <w:ind w:left="0" w:right="0"/>
              <w:textAlignment w:val="auto"/>
              <w:rPr>
                <w:rFonts w:hint="eastAsia"/>
                <w:highlight w:val="none"/>
              </w:rPr>
            </w:pPr>
            <w:r>
              <w:rPr>
                <w:rFonts w:hint="eastAsia"/>
                <w:highlight w:val="none"/>
              </w:rPr>
              <w:t>清洗过程会产生</w:t>
            </w:r>
            <w:r>
              <w:rPr>
                <w:rFonts w:hint="eastAsia"/>
                <w:highlight w:val="none"/>
                <w:lang w:val="en-US" w:eastAsia="zh-CN"/>
              </w:rPr>
              <w:t>实验室废液</w:t>
            </w:r>
            <w:r>
              <w:rPr>
                <w:rFonts w:hint="eastAsia" w:cs="宋体"/>
                <w:b w:val="0"/>
                <w:bCs/>
                <w:kern w:val="2"/>
                <w:sz w:val="24"/>
                <w:szCs w:val="24"/>
                <w:highlight w:val="none"/>
                <w:lang w:val="en-US" w:eastAsia="zh-CN" w:bidi="ar-SA"/>
              </w:rPr>
              <w:t>S2-3</w:t>
            </w:r>
            <w:r>
              <w:rPr>
                <w:rFonts w:hint="eastAsia"/>
                <w:highlight w:val="none"/>
              </w:rPr>
              <w:t>。</w:t>
            </w:r>
          </w:p>
          <w:p w14:paraId="378506C4">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60" w:lineRule="auto"/>
              <w:ind w:left="0" w:right="0" w:firstLine="480" w:firstLineChars="200"/>
              <w:textAlignment w:val="auto"/>
              <w:rPr>
                <w:rFonts w:hint="eastAsia"/>
                <w:highlight w:val="none"/>
              </w:rPr>
            </w:pPr>
            <w:r>
              <w:rPr>
                <w:rFonts w:hint="eastAsia"/>
                <w:highlight w:val="none"/>
              </w:rPr>
              <w:t>反应结束后，将乙酸乙酯、乙腈、石油醚进行回收，乙酸、乙酸钠、碳酸</w:t>
            </w:r>
          </w:p>
          <w:p w14:paraId="13E6007E">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60" w:lineRule="auto"/>
              <w:ind w:left="0" w:right="0"/>
              <w:textAlignment w:val="auto"/>
              <w:rPr>
                <w:rFonts w:hint="eastAsia"/>
                <w:highlight w:val="none"/>
              </w:rPr>
            </w:pPr>
            <w:r>
              <w:rPr>
                <w:rFonts w:hint="eastAsia"/>
                <w:highlight w:val="none"/>
              </w:rPr>
              <w:t>氢钠、三乙基胺、二异丙基乙胺中和后回收。</w:t>
            </w:r>
          </w:p>
          <w:p w14:paraId="21A2433C">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60" w:lineRule="auto"/>
              <w:ind w:left="0" w:right="0" w:firstLine="480" w:firstLineChars="200"/>
              <w:textAlignment w:val="auto"/>
              <w:rPr>
                <w:rFonts w:hint="eastAsia"/>
                <w:highlight w:val="none"/>
              </w:rPr>
            </w:pPr>
            <w:r>
              <w:rPr>
                <w:rFonts w:hint="eastAsia"/>
                <w:highlight w:val="none"/>
              </w:rPr>
              <w:t>（3）制备Curcumin-戊二酸-N-羟基丁二酰亚胺活性酯的过程</w:t>
            </w:r>
          </w:p>
          <w:p w14:paraId="79E4B491">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60" w:lineRule="auto"/>
              <w:ind w:left="0" w:right="0" w:firstLine="480" w:firstLineChars="200"/>
              <w:textAlignment w:val="auto"/>
              <w:rPr>
                <w:rFonts w:hint="eastAsia" w:eastAsia="宋体"/>
                <w:highlight w:val="none"/>
                <w:lang w:eastAsia="zh-CN"/>
              </w:rPr>
            </w:pPr>
            <w:r>
              <w:rPr>
                <w:rFonts w:hint="eastAsia"/>
                <w:highlight w:val="none"/>
              </w:rPr>
              <w:t>Curcumin-戊二酸-N-羟基丁二酰亚胺活性酯的合成过程：首先将Curcumin（姜黄素）与戊二酸酐反应生成姜黄素与戊二酸单酯化的产物，再与N-羟基丁二酰亚胺反应合成Curcumin-戊二酸-N-羟基丁二酰亚胺活性酯</w:t>
            </w:r>
            <w:r>
              <w:rPr>
                <w:rFonts w:hint="eastAsia"/>
                <w:highlight w:val="none"/>
                <w:lang w:eastAsia="zh-CN"/>
              </w:rPr>
              <w:t>。</w:t>
            </w:r>
          </w:p>
          <w:p w14:paraId="7C6489EA">
            <w:pPr>
              <w:keepNext w:val="0"/>
              <w:keepLines w:val="0"/>
              <w:suppressLineNumbers w:val="0"/>
              <w:spacing w:before="0" w:beforeAutospacing="0" w:after="0" w:afterAutospacing="0"/>
              <w:ind w:left="0" w:right="0"/>
              <w:rPr>
                <w:rFonts w:hint="eastAsia" w:eastAsia="宋体"/>
                <w:highlight w:val="none"/>
                <w:lang w:eastAsia="zh-CN"/>
              </w:rPr>
            </w:pPr>
            <w:r>
              <w:rPr>
                <w:rFonts w:hint="eastAsia" w:eastAsia="宋体"/>
                <w:highlight w:val="none"/>
                <w:lang w:eastAsia="zh-CN"/>
              </w:rPr>
              <w:drawing>
                <wp:inline distT="0" distB="0" distL="114300" distR="114300">
                  <wp:extent cx="5186680" cy="2726690"/>
                  <wp:effectExtent l="0" t="0" r="4445" b="6985"/>
                  <wp:docPr id="16" name="图片 16" descr="2ecec60a32a279db53720af38a380f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 name="图片 16" descr="2ecec60a32a279db53720af38a380f8"/>
                          <pic:cNvPicPr>
                            <a:picLocks noChangeAspect="1"/>
                          </pic:cNvPicPr>
                        </pic:nvPicPr>
                        <pic:blipFill>
                          <a:blip r:embed="rId30"/>
                          <a:stretch>
                            <a:fillRect/>
                          </a:stretch>
                        </pic:blipFill>
                        <pic:spPr>
                          <a:xfrm>
                            <a:off x="0" y="0"/>
                            <a:ext cx="5186680" cy="2726690"/>
                          </a:xfrm>
                          <a:prstGeom prst="rect">
                            <a:avLst/>
                          </a:prstGeom>
                        </pic:spPr>
                      </pic:pic>
                    </a:graphicData>
                  </a:graphic>
                </wp:inline>
              </w:drawing>
            </w:r>
          </w:p>
          <w:p w14:paraId="70CB389B">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60" w:lineRule="auto"/>
              <w:ind w:left="0" w:right="0"/>
              <w:jc w:val="center"/>
              <w:textAlignment w:val="auto"/>
              <w:rPr>
                <w:rFonts w:hint="eastAsia" w:ascii="Times New Roman" w:hAnsi="Times New Roman" w:eastAsia="宋体" w:cs="Times New Roman"/>
                <w:b/>
                <w:bCs/>
                <w:snapToGrid w:val="0"/>
                <w:kern w:val="2"/>
                <w:sz w:val="24"/>
                <w:szCs w:val="24"/>
                <w:highlight w:val="none"/>
                <w:lang w:val="en-US" w:eastAsia="zh-CN" w:bidi="ar-SA"/>
              </w:rPr>
            </w:pPr>
            <w:r>
              <w:rPr>
                <w:rFonts w:hint="eastAsia" w:ascii="Times New Roman" w:hAnsi="Times New Roman" w:eastAsia="宋体" w:cs="Times New Roman"/>
                <w:b/>
                <w:bCs/>
                <w:snapToGrid w:val="0"/>
                <w:kern w:val="2"/>
                <w:sz w:val="24"/>
                <w:szCs w:val="24"/>
                <w:highlight w:val="none"/>
                <w:lang w:val="en-US" w:eastAsia="zh-CN" w:bidi="ar-SA"/>
              </w:rPr>
              <w:t>图</w:t>
            </w:r>
            <w:r>
              <w:rPr>
                <w:rFonts w:hint="default" w:ascii="Times New Roman" w:hAnsi="Times New Roman" w:eastAsia="宋体" w:cs="Times New Roman"/>
                <w:b/>
                <w:bCs/>
                <w:snapToGrid w:val="0"/>
                <w:kern w:val="2"/>
                <w:sz w:val="24"/>
                <w:szCs w:val="24"/>
                <w:highlight w:val="none"/>
                <w:lang w:val="en-US" w:eastAsia="zh-CN" w:bidi="ar-SA"/>
              </w:rPr>
              <w:t>2-</w:t>
            </w:r>
            <w:r>
              <w:rPr>
                <w:rFonts w:hint="eastAsia" w:cs="Times New Roman"/>
                <w:b/>
                <w:bCs/>
                <w:snapToGrid w:val="0"/>
                <w:kern w:val="2"/>
                <w:sz w:val="24"/>
                <w:szCs w:val="24"/>
                <w:highlight w:val="none"/>
                <w:lang w:val="en-US" w:eastAsia="zh-CN" w:bidi="ar-SA"/>
              </w:rPr>
              <w:t>11</w:t>
            </w:r>
            <w:r>
              <w:rPr>
                <w:rFonts w:hint="default" w:ascii="Times New Roman" w:hAnsi="Times New Roman" w:eastAsia="宋体" w:cs="Times New Roman"/>
                <w:b/>
                <w:bCs/>
                <w:snapToGrid w:val="0"/>
                <w:kern w:val="2"/>
                <w:sz w:val="24"/>
                <w:szCs w:val="24"/>
                <w:highlight w:val="none"/>
                <w:lang w:val="en-US" w:eastAsia="zh-CN" w:bidi="ar-SA"/>
              </w:rPr>
              <w:t xml:space="preserve"> </w:t>
            </w:r>
            <w:r>
              <w:rPr>
                <w:rFonts w:hint="eastAsia" w:cs="Times New Roman"/>
                <w:b/>
                <w:bCs/>
                <w:snapToGrid w:val="0"/>
                <w:kern w:val="2"/>
                <w:sz w:val="24"/>
                <w:szCs w:val="24"/>
                <w:highlight w:val="none"/>
                <w:lang w:val="en-US" w:eastAsia="zh-CN" w:bidi="ar-SA"/>
              </w:rPr>
              <w:t xml:space="preserve"> </w:t>
            </w:r>
            <w:r>
              <w:rPr>
                <w:rFonts w:hint="default" w:ascii="Times New Roman" w:hAnsi="Times New Roman" w:eastAsia="宋体" w:cs="Times New Roman"/>
                <w:b/>
                <w:bCs/>
                <w:snapToGrid w:val="0"/>
                <w:kern w:val="2"/>
                <w:sz w:val="24"/>
                <w:szCs w:val="24"/>
                <w:highlight w:val="none"/>
                <w:lang w:val="en-US" w:eastAsia="zh-CN" w:bidi="ar-SA"/>
              </w:rPr>
              <w:t>Curcumin-</w:t>
            </w:r>
            <w:r>
              <w:rPr>
                <w:rFonts w:hint="eastAsia" w:ascii="Times New Roman" w:hAnsi="Times New Roman" w:eastAsia="宋体" w:cs="Times New Roman"/>
                <w:b/>
                <w:bCs/>
                <w:snapToGrid w:val="0"/>
                <w:kern w:val="2"/>
                <w:sz w:val="24"/>
                <w:szCs w:val="24"/>
                <w:highlight w:val="none"/>
                <w:lang w:val="en-US" w:eastAsia="zh-CN" w:bidi="ar-SA"/>
              </w:rPr>
              <w:t>戊二酸</w:t>
            </w:r>
            <w:r>
              <w:rPr>
                <w:rFonts w:hint="default" w:ascii="Times New Roman" w:hAnsi="Times New Roman" w:eastAsia="宋体" w:cs="Times New Roman"/>
                <w:b/>
                <w:bCs/>
                <w:snapToGrid w:val="0"/>
                <w:kern w:val="2"/>
                <w:sz w:val="24"/>
                <w:szCs w:val="24"/>
                <w:highlight w:val="none"/>
                <w:lang w:val="en-US" w:eastAsia="zh-CN" w:bidi="ar-SA"/>
              </w:rPr>
              <w:t>-N-</w:t>
            </w:r>
            <w:r>
              <w:rPr>
                <w:rFonts w:hint="eastAsia" w:ascii="Times New Roman" w:hAnsi="Times New Roman" w:eastAsia="宋体" w:cs="Times New Roman"/>
                <w:b/>
                <w:bCs/>
                <w:snapToGrid w:val="0"/>
                <w:kern w:val="2"/>
                <w:sz w:val="24"/>
                <w:szCs w:val="24"/>
                <w:highlight w:val="none"/>
                <w:lang w:val="en-US" w:eastAsia="zh-CN" w:bidi="ar-SA"/>
              </w:rPr>
              <w:t>羟基丁二酰亚胺活性酯合成工艺流程及产污环节</w:t>
            </w:r>
          </w:p>
          <w:p w14:paraId="25B40D27">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60" w:lineRule="auto"/>
              <w:ind w:left="0" w:right="0" w:firstLine="480" w:firstLineChars="200"/>
              <w:textAlignment w:val="auto"/>
              <w:rPr>
                <w:rFonts w:hint="eastAsia"/>
                <w:highlight w:val="none"/>
              </w:rPr>
            </w:pPr>
            <w:r>
              <w:rPr>
                <w:rFonts w:hint="eastAsia"/>
                <w:highlight w:val="none"/>
                <w:lang w:val="en-US" w:eastAsia="zh-CN"/>
              </w:rPr>
              <w:t>实验步骤：取</w:t>
            </w:r>
            <w:r>
              <w:rPr>
                <w:rFonts w:hint="default"/>
                <w:highlight w:val="none"/>
                <w:lang w:val="en-US" w:eastAsia="zh-CN"/>
              </w:rPr>
              <w:t>1.11g</w:t>
            </w:r>
            <w:r>
              <w:rPr>
                <w:rFonts w:hint="eastAsia"/>
                <w:highlight w:val="none"/>
                <w:lang w:val="en-US" w:eastAsia="zh-CN"/>
              </w:rPr>
              <w:t>姜黄素、</w:t>
            </w:r>
            <w:r>
              <w:rPr>
                <w:rFonts w:hint="default"/>
                <w:highlight w:val="none"/>
                <w:lang w:val="en-US" w:eastAsia="zh-CN"/>
              </w:rPr>
              <w:t>0.353g</w:t>
            </w:r>
            <w:r>
              <w:rPr>
                <w:rFonts w:hint="eastAsia"/>
                <w:highlight w:val="none"/>
                <w:lang w:val="en-US" w:eastAsia="zh-CN"/>
              </w:rPr>
              <w:t>戊二酸酐放入茄型烧瓶中，投入中号磁子，搅拌</w:t>
            </w:r>
            <w:r>
              <w:rPr>
                <w:rFonts w:hint="default"/>
                <w:highlight w:val="none"/>
                <w:lang w:val="en-US" w:eastAsia="zh-CN"/>
              </w:rPr>
              <w:t>7h</w:t>
            </w:r>
            <w:r>
              <w:rPr>
                <w:rFonts w:hint="eastAsia"/>
                <w:highlight w:val="none"/>
                <w:lang w:val="en-US" w:eastAsia="zh-CN"/>
              </w:rPr>
              <w:t>进行反应，反应完全后，加入</w:t>
            </w:r>
            <w:r>
              <w:rPr>
                <w:rFonts w:hint="default"/>
                <w:highlight w:val="none"/>
                <w:lang w:val="en-US" w:eastAsia="zh-CN"/>
              </w:rPr>
              <w:t>100mL</w:t>
            </w:r>
            <w:r>
              <w:rPr>
                <w:rFonts w:hint="eastAsia"/>
                <w:highlight w:val="none"/>
                <w:lang w:val="en-US" w:eastAsia="zh-CN"/>
              </w:rPr>
              <w:t>乙酸乙酯、</w:t>
            </w:r>
            <w:r>
              <w:rPr>
                <w:rFonts w:hint="default"/>
                <w:highlight w:val="none"/>
                <w:lang w:val="en-US" w:eastAsia="zh-CN"/>
              </w:rPr>
              <w:t>100mL1mol/L</w:t>
            </w:r>
            <w:r>
              <w:rPr>
                <w:rFonts w:hint="eastAsia"/>
                <w:highlight w:val="none"/>
                <w:lang w:val="en-US" w:eastAsia="zh-CN"/>
              </w:rPr>
              <w:t>盐酸，利用分液漏斗酸洗三次后，回收乙酸乙酯，并加入无水硫酸钠进行干燥，过滤后旋干。利用硅胶柱层析法纯化，展开剂</w:t>
            </w:r>
            <w:r>
              <w:rPr>
                <w:rFonts w:hint="default"/>
                <w:highlight w:val="none"/>
                <w:lang w:val="en-US" w:eastAsia="zh-CN"/>
              </w:rPr>
              <w:t>EA</w:t>
            </w:r>
            <w:r>
              <w:rPr>
                <w:rFonts w:hint="eastAsia"/>
                <w:highlight w:val="none"/>
                <w:lang w:val="en-US" w:eastAsia="zh-CN"/>
              </w:rPr>
              <w:t>：</w:t>
            </w:r>
            <w:r>
              <w:rPr>
                <w:rFonts w:hint="default"/>
                <w:highlight w:val="none"/>
                <w:lang w:val="en-US" w:eastAsia="zh-CN"/>
              </w:rPr>
              <w:t>PE</w:t>
            </w:r>
            <w:r>
              <w:rPr>
                <w:rFonts w:hint="eastAsia"/>
                <w:highlight w:val="none"/>
                <w:lang w:val="en-US" w:eastAsia="zh-CN"/>
              </w:rPr>
              <w:t>（体积比）</w:t>
            </w:r>
            <w:r>
              <w:rPr>
                <w:rFonts w:hint="default"/>
                <w:highlight w:val="none"/>
                <w:lang w:val="en-US" w:eastAsia="zh-CN"/>
              </w:rPr>
              <w:t>=1</w:t>
            </w:r>
            <w:r>
              <w:rPr>
                <w:rFonts w:hint="eastAsia"/>
                <w:highlight w:val="none"/>
                <w:lang w:val="en-US" w:eastAsia="zh-CN"/>
              </w:rPr>
              <w:t>：</w:t>
            </w:r>
            <w:r>
              <w:rPr>
                <w:rFonts w:hint="default"/>
                <w:highlight w:val="none"/>
                <w:lang w:val="en-US" w:eastAsia="zh-CN"/>
              </w:rPr>
              <w:t>1</w:t>
            </w:r>
            <w:r>
              <w:rPr>
                <w:rFonts w:hint="eastAsia"/>
                <w:highlight w:val="none"/>
                <w:lang w:val="en-US" w:eastAsia="zh-CN"/>
              </w:rPr>
              <w:t>，旋干后得到姜黄素与戊二酸单酯化的产物</w:t>
            </w:r>
            <w:r>
              <w:rPr>
                <w:rFonts w:hint="default"/>
                <w:highlight w:val="none"/>
                <w:lang w:val="en-US" w:eastAsia="zh-CN"/>
              </w:rPr>
              <w:t>---Curcumin</w:t>
            </w:r>
            <w:r>
              <w:rPr>
                <w:rFonts w:hint="eastAsia"/>
                <w:highlight w:val="none"/>
                <w:lang w:val="en-US" w:eastAsia="zh-CN"/>
              </w:rPr>
              <w:t>戊二酸。称取</w:t>
            </w:r>
            <w:r>
              <w:rPr>
                <w:rFonts w:hint="default"/>
                <w:highlight w:val="none"/>
                <w:lang w:val="en-US" w:eastAsia="zh-CN"/>
              </w:rPr>
              <w:t>1g</w:t>
            </w:r>
            <w:r>
              <w:rPr>
                <w:rFonts w:hint="eastAsia"/>
                <w:highlight w:val="none"/>
                <w:lang w:val="en-US" w:eastAsia="zh-CN"/>
              </w:rPr>
              <w:t>合成的</w:t>
            </w:r>
            <w:r>
              <w:rPr>
                <w:rFonts w:hint="default"/>
                <w:highlight w:val="none"/>
                <w:lang w:val="en-US" w:eastAsia="zh-CN"/>
              </w:rPr>
              <w:t>Curcumin</w:t>
            </w:r>
            <w:r>
              <w:rPr>
                <w:rFonts w:hint="eastAsia"/>
                <w:highlight w:val="none"/>
                <w:lang w:val="en-US" w:eastAsia="zh-CN"/>
              </w:rPr>
              <w:t>戊二酸加入</w:t>
            </w:r>
            <w:r>
              <w:rPr>
                <w:rFonts w:hint="default"/>
                <w:highlight w:val="none"/>
                <w:lang w:val="en-US" w:eastAsia="zh-CN"/>
              </w:rPr>
              <w:t>0.29gN-</w:t>
            </w:r>
            <w:r>
              <w:rPr>
                <w:rFonts w:hint="eastAsia"/>
                <w:highlight w:val="none"/>
                <w:lang w:val="en-US" w:eastAsia="zh-CN"/>
              </w:rPr>
              <w:t>羟基丁二酰亚胺，放入茄型烧瓶中，加入无水四氢呋喃（</w:t>
            </w:r>
            <w:r>
              <w:rPr>
                <w:rFonts w:hint="default"/>
                <w:highlight w:val="none"/>
                <w:lang w:val="en-US" w:eastAsia="zh-CN"/>
              </w:rPr>
              <w:t>THF</w:t>
            </w:r>
            <w:r>
              <w:rPr>
                <w:rFonts w:hint="eastAsia"/>
                <w:highlight w:val="none"/>
                <w:lang w:val="en-US" w:eastAsia="zh-CN"/>
              </w:rPr>
              <w:t>）使其溶解。冰水浴下搅拌反应，控制温度在</w:t>
            </w:r>
            <w:r>
              <w:rPr>
                <w:rFonts w:hint="default"/>
                <w:highlight w:val="none"/>
                <w:lang w:val="en-US" w:eastAsia="zh-CN"/>
              </w:rPr>
              <w:t>0</w:t>
            </w:r>
            <w:r>
              <w:rPr>
                <w:rFonts w:hint="eastAsia"/>
                <w:highlight w:val="none"/>
                <w:lang w:val="en-US" w:eastAsia="zh-CN"/>
              </w:rPr>
              <w:t>℃左右。加入</w:t>
            </w:r>
            <w:r>
              <w:rPr>
                <w:rFonts w:hint="default"/>
                <w:highlight w:val="none"/>
                <w:lang w:val="en-US" w:eastAsia="zh-CN"/>
              </w:rPr>
              <w:t>0.43g</w:t>
            </w:r>
            <w:r>
              <w:rPr>
                <w:rFonts w:hint="eastAsia"/>
                <w:highlight w:val="none"/>
                <w:lang w:val="en-US" w:eastAsia="zh-CN"/>
              </w:rPr>
              <w:t>缩合剂二环己基碳二亚胺，溶解后搅拌均匀，溶液呈澄清透明状态，待至反应平稳后设置反应温度为</w:t>
            </w:r>
            <w:r>
              <w:rPr>
                <w:rFonts w:hint="default"/>
                <w:highlight w:val="none"/>
                <w:lang w:val="en-US" w:eastAsia="zh-CN"/>
              </w:rPr>
              <w:t>25</w:t>
            </w:r>
            <w:r>
              <w:rPr>
                <w:rFonts w:hint="eastAsia"/>
                <w:highlight w:val="none"/>
                <w:lang w:val="en-US" w:eastAsia="zh-CN"/>
              </w:rPr>
              <w:t>℃。反应</w:t>
            </w:r>
            <w:r>
              <w:rPr>
                <w:rFonts w:hint="default"/>
                <w:highlight w:val="none"/>
                <w:lang w:val="en-US" w:eastAsia="zh-CN"/>
              </w:rPr>
              <w:t>1h</w:t>
            </w:r>
            <w:r>
              <w:rPr>
                <w:rFonts w:hint="eastAsia"/>
                <w:highlight w:val="none"/>
                <w:lang w:val="en-US" w:eastAsia="zh-CN"/>
              </w:rPr>
              <w:t>后，可发现溶液体系有大量浑浊物出现，为反应生成的副产物二环己基脲（</w:t>
            </w:r>
            <w:r>
              <w:rPr>
                <w:rFonts w:hint="default"/>
                <w:highlight w:val="none"/>
                <w:lang w:val="en-US" w:eastAsia="zh-CN"/>
              </w:rPr>
              <w:t>DCU</w:t>
            </w:r>
            <w:r>
              <w:rPr>
                <w:rFonts w:hint="eastAsia"/>
                <w:highlight w:val="none"/>
                <w:lang w:val="en-US" w:eastAsia="zh-CN"/>
              </w:rPr>
              <w:t>）。由于</w:t>
            </w:r>
            <w:r>
              <w:rPr>
                <w:rFonts w:hint="default"/>
                <w:highlight w:val="none"/>
                <w:lang w:val="en-US" w:eastAsia="zh-CN"/>
              </w:rPr>
              <w:t>DCU</w:t>
            </w:r>
            <w:r>
              <w:rPr>
                <w:rFonts w:hint="eastAsia"/>
                <w:highlight w:val="none"/>
                <w:lang w:val="en-US" w:eastAsia="zh-CN"/>
              </w:rPr>
              <w:t>在</w:t>
            </w:r>
            <w:r>
              <w:rPr>
                <w:rFonts w:hint="default"/>
                <w:highlight w:val="none"/>
                <w:lang w:val="en-US" w:eastAsia="zh-CN"/>
              </w:rPr>
              <w:t>THF</w:t>
            </w:r>
            <w:r>
              <w:rPr>
                <w:rFonts w:hint="eastAsia"/>
                <w:highlight w:val="none"/>
                <w:lang w:val="en-US" w:eastAsia="zh-CN"/>
              </w:rPr>
              <w:t>中溶解度随温度变化明显，反应结束后将体系置于冰箱中</w:t>
            </w:r>
            <w:r>
              <w:rPr>
                <w:rFonts w:hint="default"/>
                <w:highlight w:val="none"/>
                <w:lang w:val="en-US" w:eastAsia="zh-CN"/>
              </w:rPr>
              <w:t>-20</w:t>
            </w:r>
            <w:r>
              <w:rPr>
                <w:rFonts w:hint="eastAsia"/>
                <w:highlight w:val="none"/>
                <w:lang w:val="en-US" w:eastAsia="zh-CN"/>
              </w:rPr>
              <w:t>℃冷冻，令生成的</w:t>
            </w:r>
            <w:r>
              <w:rPr>
                <w:rFonts w:hint="default"/>
                <w:highlight w:val="none"/>
                <w:lang w:val="en-US" w:eastAsia="zh-CN"/>
              </w:rPr>
              <w:t>DCU</w:t>
            </w:r>
            <w:r>
              <w:rPr>
                <w:rFonts w:hint="eastAsia"/>
                <w:highlight w:val="none"/>
                <w:lang w:val="en-US" w:eastAsia="zh-CN"/>
              </w:rPr>
              <w:t>大量析出。离心去除大部分不溶物，取上清。利用柱层析纯化，展开剂为</w:t>
            </w:r>
            <w:r>
              <w:rPr>
                <w:rFonts w:hint="default"/>
                <w:highlight w:val="none"/>
                <w:lang w:val="en-US" w:eastAsia="zh-CN"/>
              </w:rPr>
              <w:t>EA</w:t>
            </w:r>
            <w:r>
              <w:rPr>
                <w:rFonts w:hint="eastAsia"/>
                <w:highlight w:val="none"/>
                <w:lang w:val="en-US" w:eastAsia="zh-CN"/>
              </w:rPr>
              <w:t>：</w:t>
            </w:r>
            <w:r>
              <w:rPr>
                <w:rFonts w:hint="default"/>
                <w:highlight w:val="none"/>
                <w:lang w:val="en-US" w:eastAsia="zh-CN"/>
              </w:rPr>
              <w:t>PE</w:t>
            </w:r>
            <w:r>
              <w:rPr>
                <w:rFonts w:hint="eastAsia"/>
                <w:highlight w:val="none"/>
                <w:lang w:val="en-US" w:eastAsia="zh-CN"/>
              </w:rPr>
              <w:t>（体积比）</w:t>
            </w:r>
            <w:r>
              <w:rPr>
                <w:rFonts w:hint="default"/>
                <w:highlight w:val="none"/>
                <w:lang w:val="en-US" w:eastAsia="zh-CN"/>
              </w:rPr>
              <w:t>=10</w:t>
            </w:r>
            <w:r>
              <w:rPr>
                <w:rFonts w:hint="eastAsia"/>
                <w:highlight w:val="none"/>
                <w:lang w:val="en-US" w:eastAsia="zh-CN"/>
              </w:rPr>
              <w:t>：</w:t>
            </w:r>
            <w:r>
              <w:rPr>
                <w:rFonts w:hint="default"/>
                <w:highlight w:val="none"/>
                <w:lang w:val="en-US" w:eastAsia="zh-CN"/>
              </w:rPr>
              <w:t>1</w:t>
            </w:r>
            <w:r>
              <w:rPr>
                <w:rFonts w:hint="eastAsia"/>
                <w:highlight w:val="none"/>
                <w:lang w:val="en-US" w:eastAsia="zh-CN"/>
              </w:rPr>
              <w:t>，旋干后得到</w:t>
            </w:r>
            <w:r>
              <w:rPr>
                <w:rFonts w:hint="default"/>
                <w:highlight w:val="none"/>
                <w:lang w:val="en-US" w:eastAsia="zh-CN"/>
              </w:rPr>
              <w:t>Curcumin-</w:t>
            </w:r>
            <w:r>
              <w:rPr>
                <w:rFonts w:hint="eastAsia"/>
                <w:highlight w:val="none"/>
                <w:lang w:val="en-US" w:eastAsia="zh-CN"/>
              </w:rPr>
              <w:t>戊二酸</w:t>
            </w:r>
            <w:r>
              <w:rPr>
                <w:rFonts w:hint="default"/>
                <w:highlight w:val="none"/>
                <w:lang w:val="en-US" w:eastAsia="zh-CN"/>
              </w:rPr>
              <w:t>-NHS</w:t>
            </w:r>
            <w:r>
              <w:rPr>
                <w:rFonts w:hint="eastAsia"/>
                <w:highlight w:val="none"/>
                <w:lang w:val="en-US" w:eastAsia="zh-CN"/>
              </w:rPr>
              <w:t>活性酯。</w:t>
            </w:r>
          </w:p>
          <w:p w14:paraId="509FEBCE">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60" w:lineRule="auto"/>
              <w:ind w:left="0" w:right="0" w:firstLine="480" w:firstLineChars="200"/>
              <w:textAlignment w:val="auto"/>
              <w:rPr>
                <w:rFonts w:hint="eastAsia"/>
                <w:highlight w:val="none"/>
              </w:rPr>
            </w:pPr>
            <w:r>
              <w:rPr>
                <w:rFonts w:hint="eastAsia"/>
                <w:highlight w:val="none"/>
                <w:lang w:val="en-US" w:eastAsia="zh-CN"/>
              </w:rPr>
              <w:t>在化合物反应过程中，乙酸乙酯、四氢呋喃的挥发会产生少量的实验室</w:t>
            </w:r>
            <w:r>
              <w:rPr>
                <w:rFonts w:hint="eastAsia" w:ascii="Times New Roman" w:hAnsi="Times New Roman" w:eastAsia="宋体" w:cs="宋体"/>
                <w:b w:val="0"/>
                <w:bCs/>
                <w:kern w:val="2"/>
                <w:sz w:val="24"/>
                <w:szCs w:val="24"/>
                <w:highlight w:val="none"/>
                <w:lang w:val="en-US" w:eastAsia="zh-CN" w:bidi="ar-SA"/>
              </w:rPr>
              <w:t>废气（</w:t>
            </w:r>
            <w:r>
              <w:rPr>
                <w:rFonts w:hint="eastAsia"/>
                <w:highlight w:val="none"/>
                <w:lang w:val="en-US" w:eastAsia="zh-CN"/>
              </w:rPr>
              <w:t>有机废气</w:t>
            </w:r>
            <w:r>
              <w:rPr>
                <w:rFonts w:hint="eastAsia" w:ascii="Times New Roman" w:hAnsi="Times New Roman" w:eastAsia="宋体" w:cs="宋体"/>
                <w:b w:val="0"/>
                <w:bCs/>
                <w:kern w:val="2"/>
                <w:sz w:val="24"/>
                <w:szCs w:val="24"/>
                <w:highlight w:val="none"/>
                <w:lang w:val="en-US" w:eastAsia="zh-CN" w:bidi="ar-SA"/>
              </w:rPr>
              <w:t>）</w:t>
            </w:r>
            <w:r>
              <w:rPr>
                <w:rFonts w:hint="eastAsia"/>
                <w:highlight w:val="none"/>
                <w:lang w:val="en-US" w:eastAsia="zh-CN"/>
              </w:rPr>
              <w:t>G2-1，以及盐酸挥发产生的实验室</w:t>
            </w:r>
            <w:r>
              <w:rPr>
                <w:rFonts w:hint="eastAsia" w:ascii="Times New Roman" w:hAnsi="Times New Roman" w:eastAsia="宋体" w:cs="宋体"/>
                <w:b w:val="0"/>
                <w:bCs/>
                <w:kern w:val="2"/>
                <w:sz w:val="24"/>
                <w:szCs w:val="24"/>
                <w:highlight w:val="none"/>
                <w:lang w:val="en-US" w:eastAsia="zh-CN" w:bidi="ar-SA"/>
              </w:rPr>
              <w:t>废气（</w:t>
            </w:r>
            <w:r>
              <w:rPr>
                <w:rFonts w:hint="eastAsia"/>
                <w:highlight w:val="none"/>
                <w:lang w:val="en-US" w:eastAsia="zh-CN"/>
              </w:rPr>
              <w:t>无机废气</w:t>
            </w:r>
            <w:r>
              <w:rPr>
                <w:rFonts w:hint="eastAsia" w:ascii="Times New Roman" w:hAnsi="Times New Roman" w:eastAsia="宋体" w:cs="宋体"/>
                <w:b w:val="0"/>
                <w:bCs/>
                <w:kern w:val="2"/>
                <w:sz w:val="24"/>
                <w:szCs w:val="24"/>
                <w:highlight w:val="none"/>
                <w:lang w:val="en-US" w:eastAsia="zh-CN" w:bidi="ar-SA"/>
              </w:rPr>
              <w:t>）</w:t>
            </w:r>
            <w:r>
              <w:rPr>
                <w:rFonts w:hint="eastAsia"/>
                <w:highlight w:val="none"/>
                <w:lang w:val="en-US" w:eastAsia="zh-CN"/>
              </w:rPr>
              <w:t>G2-1；酸洗、过滤旋干以及纯化过程中，会产生少量的实验室</w:t>
            </w:r>
            <w:r>
              <w:rPr>
                <w:rFonts w:hint="eastAsia" w:ascii="Times New Roman" w:hAnsi="Times New Roman" w:eastAsia="宋体" w:cs="宋体"/>
                <w:b w:val="0"/>
                <w:bCs/>
                <w:kern w:val="2"/>
                <w:sz w:val="24"/>
                <w:szCs w:val="24"/>
                <w:highlight w:val="none"/>
                <w:lang w:val="en-US" w:eastAsia="zh-CN" w:bidi="ar-SA"/>
              </w:rPr>
              <w:t>废气（</w:t>
            </w:r>
            <w:r>
              <w:rPr>
                <w:rFonts w:hint="eastAsia"/>
                <w:highlight w:val="none"/>
                <w:lang w:val="en-US" w:eastAsia="zh-CN"/>
              </w:rPr>
              <w:t>有机废气</w:t>
            </w:r>
            <w:r>
              <w:rPr>
                <w:rFonts w:hint="eastAsia" w:ascii="Times New Roman" w:hAnsi="Times New Roman" w:eastAsia="宋体" w:cs="宋体"/>
                <w:b w:val="0"/>
                <w:bCs/>
                <w:kern w:val="2"/>
                <w:sz w:val="24"/>
                <w:szCs w:val="24"/>
                <w:highlight w:val="none"/>
                <w:lang w:val="en-US" w:eastAsia="zh-CN" w:bidi="ar-SA"/>
              </w:rPr>
              <w:t>）</w:t>
            </w:r>
            <w:r>
              <w:rPr>
                <w:rFonts w:hint="eastAsia"/>
                <w:highlight w:val="none"/>
                <w:lang w:val="en-US" w:eastAsia="zh-CN"/>
              </w:rPr>
              <w:t>G2-1、实验室</w:t>
            </w:r>
            <w:r>
              <w:rPr>
                <w:rFonts w:hint="eastAsia" w:ascii="Times New Roman" w:hAnsi="Times New Roman" w:eastAsia="宋体" w:cs="宋体"/>
                <w:b w:val="0"/>
                <w:bCs/>
                <w:kern w:val="2"/>
                <w:sz w:val="24"/>
                <w:szCs w:val="24"/>
                <w:highlight w:val="none"/>
                <w:lang w:val="en-US" w:eastAsia="zh-CN" w:bidi="ar-SA"/>
              </w:rPr>
              <w:t>废气（</w:t>
            </w:r>
            <w:r>
              <w:rPr>
                <w:rFonts w:hint="eastAsia"/>
                <w:highlight w:val="none"/>
                <w:lang w:val="en-US" w:eastAsia="zh-CN"/>
              </w:rPr>
              <w:t>无机废气</w:t>
            </w:r>
            <w:r>
              <w:rPr>
                <w:rFonts w:hint="eastAsia" w:ascii="Times New Roman" w:hAnsi="Times New Roman" w:eastAsia="宋体" w:cs="宋体"/>
                <w:b w:val="0"/>
                <w:bCs/>
                <w:kern w:val="2"/>
                <w:sz w:val="24"/>
                <w:szCs w:val="24"/>
                <w:highlight w:val="none"/>
                <w:lang w:val="en-US" w:eastAsia="zh-CN" w:bidi="ar-SA"/>
              </w:rPr>
              <w:t>）</w:t>
            </w:r>
            <w:r>
              <w:rPr>
                <w:rFonts w:hint="eastAsia"/>
                <w:highlight w:val="none"/>
                <w:lang w:val="en-US" w:eastAsia="zh-CN"/>
              </w:rPr>
              <w:t>G2-1以及实验室废液S2-3。反应结束后，将乙酸乙酯、石油醚、</w:t>
            </w:r>
            <w:r>
              <w:rPr>
                <w:rFonts w:hint="default"/>
                <w:highlight w:val="none"/>
                <w:lang w:val="en-US" w:eastAsia="zh-CN"/>
              </w:rPr>
              <w:t>DCU</w:t>
            </w:r>
            <w:r>
              <w:rPr>
                <w:rFonts w:hint="eastAsia"/>
                <w:highlight w:val="none"/>
                <w:lang w:val="en-US" w:eastAsia="zh-CN"/>
              </w:rPr>
              <w:t>、硫酸钠回收，盐酸中和后回收。</w:t>
            </w:r>
          </w:p>
          <w:p w14:paraId="0FECD92C">
            <w:pPr>
              <w:pStyle w:val="4"/>
              <w:suppressLineNumbers w:val="0"/>
              <w:adjustRightInd w:val="0"/>
              <w:snapToGrid w:val="0"/>
              <w:spacing w:before="0" w:beforeAutospacing="0" w:after="0" w:afterAutospacing="0" w:line="360" w:lineRule="auto"/>
              <w:ind w:left="0" w:right="0"/>
              <w:rPr>
                <w:rFonts w:hint="default"/>
                <w:snapToGrid w:val="0"/>
                <w:sz w:val="24"/>
                <w:szCs w:val="24"/>
                <w:highlight w:val="none"/>
              </w:rPr>
            </w:pPr>
            <w:r>
              <w:rPr>
                <w:rFonts w:hint="default"/>
                <w:snapToGrid w:val="0"/>
                <w:sz w:val="24"/>
                <w:szCs w:val="24"/>
                <w:highlight w:val="none"/>
              </w:rPr>
              <w:t>2</w:t>
            </w:r>
            <w:r>
              <w:rPr>
                <w:rFonts w:hint="eastAsia"/>
                <w:snapToGrid w:val="0"/>
                <w:sz w:val="24"/>
                <w:szCs w:val="24"/>
                <w:highlight w:val="none"/>
              </w:rPr>
              <w:t>、产污环节</w:t>
            </w:r>
          </w:p>
          <w:p w14:paraId="143B6F0E">
            <w:pPr>
              <w:pStyle w:val="7"/>
              <w:keepNext w:val="0"/>
              <w:keepLines w:val="0"/>
              <w:suppressLineNumbers w:val="0"/>
              <w:tabs>
                <w:tab w:val="left" w:pos="5460"/>
              </w:tabs>
              <w:adjustRightInd w:val="0"/>
              <w:snapToGrid w:val="0"/>
              <w:spacing w:before="0" w:beforeAutospacing="0" w:after="0" w:afterAutospacing="0" w:line="360" w:lineRule="auto"/>
              <w:ind w:left="0" w:right="0" w:firstLine="480"/>
              <w:rPr>
                <w:rFonts w:hint="default" w:hAnsi="仿宋_GB2312" w:cs="仿宋_GB2312"/>
                <w:sz w:val="24"/>
                <w:szCs w:val="24"/>
                <w:highlight w:val="none"/>
                <w:lang w:val="zh-CN"/>
              </w:rPr>
            </w:pPr>
            <w:r>
              <w:rPr>
                <w:rFonts w:hint="eastAsia" w:cs="宋体"/>
                <w:bCs/>
                <w:sz w:val="24"/>
                <w:szCs w:val="24"/>
                <w:highlight w:val="none"/>
                <w:lang w:val="zh-CN"/>
              </w:rPr>
              <w:t>根据前述工艺流程初步判断，本项目主要产污环节见表</w:t>
            </w:r>
            <w:r>
              <w:rPr>
                <w:rFonts w:hint="default" w:hAnsi="仿宋_GB2312" w:cs="仿宋_GB2312"/>
                <w:sz w:val="24"/>
                <w:szCs w:val="24"/>
                <w:highlight w:val="none"/>
                <w:lang w:val="zh-CN"/>
              </w:rPr>
              <w:t>2-</w:t>
            </w:r>
            <w:r>
              <w:rPr>
                <w:rFonts w:hint="eastAsia" w:hAnsi="仿宋_GB2312" w:cs="仿宋_GB2312"/>
                <w:sz w:val="24"/>
                <w:szCs w:val="24"/>
                <w:highlight w:val="none"/>
                <w:lang w:val="en-US" w:eastAsia="zh-CN"/>
              </w:rPr>
              <w:t>6</w:t>
            </w:r>
            <w:r>
              <w:rPr>
                <w:rFonts w:hint="eastAsia" w:hAnsi="仿宋_GB2312" w:cs="仿宋_GB2312"/>
                <w:sz w:val="24"/>
                <w:szCs w:val="24"/>
                <w:highlight w:val="none"/>
                <w:lang w:val="zh-CN"/>
              </w:rPr>
              <w:t>。</w:t>
            </w:r>
          </w:p>
          <w:p w14:paraId="11023124">
            <w:pPr>
              <w:keepNext w:val="0"/>
              <w:keepLines w:val="0"/>
              <w:widowControl/>
              <w:suppressLineNumbers w:val="0"/>
              <w:adjustRightInd w:val="0"/>
              <w:snapToGrid w:val="0"/>
              <w:spacing w:before="0" w:beforeAutospacing="0" w:after="0" w:afterAutospacing="0" w:line="360" w:lineRule="auto"/>
              <w:ind w:left="0" w:right="0" w:firstLine="482" w:firstLineChars="200"/>
              <w:jc w:val="center"/>
              <w:rPr>
                <w:rFonts w:hint="default"/>
                <w:b/>
                <w:bCs/>
                <w:highlight w:val="none"/>
              </w:rPr>
            </w:pPr>
            <w:r>
              <w:rPr>
                <w:rFonts w:hint="eastAsia"/>
                <w:b/>
                <w:bCs/>
                <w:highlight w:val="none"/>
              </w:rPr>
              <w:t>表</w:t>
            </w:r>
            <w:r>
              <w:rPr>
                <w:rFonts w:hint="default"/>
                <w:b/>
                <w:bCs/>
                <w:highlight w:val="none"/>
              </w:rPr>
              <w:t>2-</w:t>
            </w:r>
            <w:r>
              <w:rPr>
                <w:rFonts w:hint="eastAsia"/>
                <w:b/>
                <w:bCs/>
                <w:highlight w:val="none"/>
                <w:lang w:val="en-US" w:eastAsia="zh-CN"/>
              </w:rPr>
              <w:t>6</w:t>
            </w:r>
            <w:r>
              <w:rPr>
                <w:rFonts w:hint="default"/>
                <w:b/>
                <w:bCs/>
                <w:highlight w:val="none"/>
              </w:rPr>
              <w:t xml:space="preserve">  </w:t>
            </w:r>
            <w:r>
              <w:rPr>
                <w:rFonts w:hint="eastAsia"/>
                <w:b/>
                <w:bCs/>
                <w:highlight w:val="none"/>
              </w:rPr>
              <w:t>主要产污环节一览表</w:t>
            </w:r>
          </w:p>
          <w:tbl>
            <w:tblPr>
              <w:tblStyle w:val="32"/>
              <w:tblW w:w="4998"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28" w:type="dxa"/>
                <w:bottom w:w="0" w:type="dxa"/>
                <w:right w:w="28" w:type="dxa"/>
              </w:tblCellMar>
            </w:tblPr>
            <w:tblGrid>
              <w:gridCol w:w="516"/>
              <w:gridCol w:w="683"/>
              <w:gridCol w:w="958"/>
              <w:gridCol w:w="2299"/>
              <w:gridCol w:w="1967"/>
              <w:gridCol w:w="2026"/>
            </w:tblGrid>
            <w:tr w14:paraId="781562F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jc w:val="center"/>
              </w:trPr>
              <w:tc>
                <w:tcPr>
                  <w:tcW w:w="305" w:type="pct"/>
                  <w:vMerge w:val="restart"/>
                  <w:tcBorders>
                    <w:tl2br w:val="nil"/>
                    <w:tr2bl w:val="nil"/>
                  </w:tcBorders>
                  <w:vAlign w:val="center"/>
                </w:tcPr>
                <w:p w14:paraId="5110021D">
                  <w:pPr>
                    <w:keepNext w:val="0"/>
                    <w:keepLines w:val="0"/>
                    <w:suppressLineNumbers w:val="0"/>
                    <w:adjustRightInd w:val="0"/>
                    <w:snapToGrid w:val="0"/>
                    <w:spacing w:before="0" w:beforeAutospacing="0" w:after="0" w:afterAutospacing="0" w:line="276" w:lineRule="auto"/>
                    <w:ind w:left="0" w:right="0"/>
                    <w:jc w:val="center"/>
                    <w:rPr>
                      <w:rFonts w:hint="default"/>
                      <w:sz w:val="21"/>
                      <w:szCs w:val="21"/>
                      <w:highlight w:val="none"/>
                    </w:rPr>
                  </w:pPr>
                  <w:r>
                    <w:rPr>
                      <w:rFonts w:hint="eastAsia"/>
                      <w:sz w:val="21"/>
                      <w:szCs w:val="21"/>
                      <w:highlight w:val="none"/>
                    </w:rPr>
                    <w:t>污染类型</w:t>
                  </w:r>
                </w:p>
              </w:tc>
              <w:tc>
                <w:tcPr>
                  <w:tcW w:w="4694" w:type="pct"/>
                  <w:gridSpan w:val="5"/>
                  <w:tcBorders>
                    <w:tl2br w:val="nil"/>
                    <w:tr2bl w:val="nil"/>
                  </w:tcBorders>
                  <w:vAlign w:val="center"/>
                </w:tcPr>
                <w:p w14:paraId="19FA6E08">
                  <w:pPr>
                    <w:keepNext w:val="0"/>
                    <w:keepLines w:val="0"/>
                    <w:suppressLineNumbers w:val="0"/>
                    <w:adjustRightInd w:val="0"/>
                    <w:snapToGrid w:val="0"/>
                    <w:spacing w:before="0" w:beforeAutospacing="0" w:after="0" w:afterAutospacing="0" w:line="276" w:lineRule="auto"/>
                    <w:ind w:left="0" w:right="0"/>
                    <w:jc w:val="center"/>
                    <w:rPr>
                      <w:rFonts w:hint="default"/>
                      <w:sz w:val="21"/>
                      <w:szCs w:val="21"/>
                      <w:highlight w:val="none"/>
                    </w:rPr>
                  </w:pPr>
                  <w:r>
                    <w:rPr>
                      <w:rFonts w:hint="eastAsia"/>
                      <w:sz w:val="21"/>
                      <w:szCs w:val="21"/>
                      <w:highlight w:val="none"/>
                    </w:rPr>
                    <w:t>运营期</w:t>
                  </w:r>
                </w:p>
              </w:tc>
            </w:tr>
            <w:tr w14:paraId="74B644C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310" w:hRule="atLeast"/>
                <w:jc w:val="center"/>
              </w:trPr>
              <w:tc>
                <w:tcPr>
                  <w:tcW w:w="305" w:type="pct"/>
                  <w:vMerge w:val="continue"/>
                  <w:tcBorders>
                    <w:tl2br w:val="nil"/>
                    <w:tr2bl w:val="nil"/>
                  </w:tcBorders>
                  <w:vAlign w:val="center"/>
                </w:tcPr>
                <w:p w14:paraId="06D9ED4B">
                  <w:pPr>
                    <w:keepNext w:val="0"/>
                    <w:keepLines w:val="0"/>
                    <w:suppressLineNumbers w:val="0"/>
                    <w:adjustRightInd w:val="0"/>
                    <w:snapToGrid w:val="0"/>
                    <w:spacing w:before="0" w:beforeAutospacing="0" w:after="0" w:afterAutospacing="0" w:line="276" w:lineRule="auto"/>
                    <w:ind w:left="0" w:right="0"/>
                    <w:jc w:val="center"/>
                    <w:rPr>
                      <w:rFonts w:hint="default"/>
                      <w:sz w:val="21"/>
                      <w:szCs w:val="21"/>
                      <w:highlight w:val="none"/>
                    </w:rPr>
                  </w:pPr>
                </w:p>
              </w:tc>
              <w:tc>
                <w:tcPr>
                  <w:tcW w:w="404" w:type="pct"/>
                  <w:tcBorders>
                    <w:tl2br w:val="nil"/>
                    <w:tr2bl w:val="nil"/>
                  </w:tcBorders>
                  <w:vAlign w:val="center"/>
                </w:tcPr>
                <w:p w14:paraId="565A0FAD">
                  <w:pPr>
                    <w:keepNext w:val="0"/>
                    <w:keepLines w:val="0"/>
                    <w:suppressLineNumbers w:val="0"/>
                    <w:adjustRightInd w:val="0"/>
                    <w:snapToGrid w:val="0"/>
                    <w:spacing w:before="0" w:beforeAutospacing="0" w:after="0" w:afterAutospacing="0" w:line="276" w:lineRule="auto"/>
                    <w:ind w:left="0" w:right="0"/>
                    <w:jc w:val="center"/>
                    <w:rPr>
                      <w:rFonts w:hint="eastAsia" w:eastAsia="宋体"/>
                      <w:sz w:val="21"/>
                      <w:szCs w:val="21"/>
                      <w:highlight w:val="none"/>
                      <w:lang w:val="en-US" w:eastAsia="zh-CN"/>
                    </w:rPr>
                  </w:pPr>
                  <w:r>
                    <w:rPr>
                      <w:rFonts w:hint="eastAsia"/>
                      <w:sz w:val="21"/>
                      <w:szCs w:val="21"/>
                      <w:highlight w:val="none"/>
                      <w:lang w:val="en-US" w:eastAsia="zh-CN"/>
                    </w:rPr>
                    <w:t>编号</w:t>
                  </w:r>
                </w:p>
              </w:tc>
              <w:tc>
                <w:tcPr>
                  <w:tcW w:w="1927" w:type="pct"/>
                  <w:gridSpan w:val="2"/>
                  <w:tcBorders>
                    <w:tl2br w:val="nil"/>
                    <w:tr2bl w:val="nil"/>
                  </w:tcBorders>
                  <w:vAlign w:val="center"/>
                </w:tcPr>
                <w:p w14:paraId="4959FC46">
                  <w:pPr>
                    <w:keepNext w:val="0"/>
                    <w:keepLines w:val="0"/>
                    <w:suppressLineNumbers w:val="0"/>
                    <w:adjustRightInd w:val="0"/>
                    <w:snapToGrid w:val="0"/>
                    <w:spacing w:before="0" w:beforeAutospacing="0" w:after="0" w:afterAutospacing="0" w:line="276" w:lineRule="auto"/>
                    <w:ind w:left="0" w:right="0"/>
                    <w:jc w:val="center"/>
                    <w:rPr>
                      <w:rFonts w:hint="default"/>
                      <w:sz w:val="21"/>
                      <w:szCs w:val="21"/>
                      <w:highlight w:val="none"/>
                    </w:rPr>
                  </w:pPr>
                  <w:r>
                    <w:rPr>
                      <w:rFonts w:hint="eastAsia"/>
                      <w:sz w:val="21"/>
                      <w:szCs w:val="21"/>
                      <w:highlight w:val="none"/>
                    </w:rPr>
                    <w:t>产污环节</w:t>
                  </w:r>
                </w:p>
              </w:tc>
              <w:tc>
                <w:tcPr>
                  <w:tcW w:w="1164" w:type="pct"/>
                  <w:tcBorders>
                    <w:tl2br w:val="nil"/>
                    <w:tr2bl w:val="nil"/>
                  </w:tcBorders>
                  <w:vAlign w:val="center"/>
                </w:tcPr>
                <w:p w14:paraId="2348EBD8">
                  <w:pPr>
                    <w:keepNext w:val="0"/>
                    <w:keepLines w:val="0"/>
                    <w:suppressLineNumbers w:val="0"/>
                    <w:adjustRightInd w:val="0"/>
                    <w:snapToGrid w:val="0"/>
                    <w:spacing w:before="0" w:beforeAutospacing="0" w:after="0" w:afterAutospacing="0" w:line="276" w:lineRule="auto"/>
                    <w:ind w:left="0" w:right="0"/>
                    <w:jc w:val="center"/>
                    <w:rPr>
                      <w:rFonts w:hint="default"/>
                      <w:sz w:val="21"/>
                      <w:szCs w:val="21"/>
                      <w:highlight w:val="none"/>
                    </w:rPr>
                  </w:pPr>
                  <w:r>
                    <w:rPr>
                      <w:rFonts w:hint="eastAsia"/>
                      <w:sz w:val="21"/>
                      <w:szCs w:val="21"/>
                      <w:highlight w:val="none"/>
                    </w:rPr>
                    <w:t>污染物</w:t>
                  </w:r>
                </w:p>
              </w:tc>
              <w:tc>
                <w:tcPr>
                  <w:tcW w:w="1199" w:type="pct"/>
                  <w:tcBorders>
                    <w:tl2br w:val="nil"/>
                    <w:tr2bl w:val="nil"/>
                  </w:tcBorders>
                  <w:vAlign w:val="center"/>
                </w:tcPr>
                <w:p w14:paraId="63F74C4F">
                  <w:pPr>
                    <w:keepNext w:val="0"/>
                    <w:keepLines w:val="0"/>
                    <w:suppressLineNumbers w:val="0"/>
                    <w:adjustRightInd w:val="0"/>
                    <w:snapToGrid w:val="0"/>
                    <w:spacing w:before="0" w:beforeAutospacing="0" w:after="0" w:afterAutospacing="0" w:line="276" w:lineRule="auto"/>
                    <w:ind w:left="0" w:right="0"/>
                    <w:jc w:val="center"/>
                    <w:rPr>
                      <w:rFonts w:hint="default"/>
                      <w:sz w:val="21"/>
                      <w:szCs w:val="21"/>
                      <w:highlight w:val="none"/>
                    </w:rPr>
                  </w:pPr>
                  <w:r>
                    <w:rPr>
                      <w:rFonts w:hint="eastAsia"/>
                      <w:sz w:val="21"/>
                      <w:szCs w:val="21"/>
                      <w:highlight w:val="none"/>
                    </w:rPr>
                    <w:t>污染因子</w:t>
                  </w:r>
                </w:p>
              </w:tc>
            </w:tr>
            <w:tr w14:paraId="0BC8737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310" w:hRule="atLeast"/>
                <w:jc w:val="center"/>
              </w:trPr>
              <w:tc>
                <w:tcPr>
                  <w:tcW w:w="305" w:type="pct"/>
                  <w:vMerge w:val="restart"/>
                  <w:tcBorders>
                    <w:tl2br w:val="nil"/>
                    <w:tr2bl w:val="nil"/>
                  </w:tcBorders>
                  <w:vAlign w:val="center"/>
                </w:tcPr>
                <w:p w14:paraId="7E1BBB43">
                  <w:pPr>
                    <w:keepNext w:val="0"/>
                    <w:keepLines w:val="0"/>
                    <w:suppressLineNumbers w:val="0"/>
                    <w:adjustRightInd w:val="0"/>
                    <w:snapToGrid w:val="0"/>
                    <w:spacing w:before="0" w:beforeAutospacing="0" w:after="0" w:afterAutospacing="0" w:line="276" w:lineRule="auto"/>
                    <w:ind w:left="0" w:right="0"/>
                    <w:jc w:val="center"/>
                    <w:rPr>
                      <w:rFonts w:hint="default"/>
                      <w:sz w:val="21"/>
                      <w:szCs w:val="21"/>
                      <w:highlight w:val="none"/>
                    </w:rPr>
                  </w:pPr>
                  <w:r>
                    <w:rPr>
                      <w:rFonts w:hint="eastAsia"/>
                      <w:sz w:val="21"/>
                      <w:szCs w:val="21"/>
                      <w:highlight w:val="none"/>
                    </w:rPr>
                    <w:t>废气</w:t>
                  </w:r>
                </w:p>
              </w:tc>
              <w:tc>
                <w:tcPr>
                  <w:tcW w:w="404" w:type="pct"/>
                  <w:tcBorders>
                    <w:tl2br w:val="nil"/>
                    <w:tr2bl w:val="nil"/>
                  </w:tcBorders>
                  <w:vAlign w:val="center"/>
                </w:tcPr>
                <w:p w14:paraId="5D6AB27A">
                  <w:pPr>
                    <w:keepNext w:val="0"/>
                    <w:keepLines w:val="0"/>
                    <w:suppressLineNumbers w:val="0"/>
                    <w:adjustRightInd w:val="0"/>
                    <w:snapToGrid w:val="0"/>
                    <w:spacing w:before="0" w:beforeAutospacing="0" w:after="0" w:afterAutospacing="0" w:line="276" w:lineRule="auto"/>
                    <w:ind w:left="0" w:right="0"/>
                    <w:jc w:val="center"/>
                    <w:rPr>
                      <w:rFonts w:hint="default" w:eastAsia="宋体"/>
                      <w:sz w:val="21"/>
                      <w:szCs w:val="21"/>
                      <w:highlight w:val="none"/>
                      <w:lang w:val="en-US" w:eastAsia="zh-CN"/>
                    </w:rPr>
                  </w:pPr>
                  <w:r>
                    <w:rPr>
                      <w:rFonts w:hint="eastAsia"/>
                      <w:sz w:val="21"/>
                      <w:szCs w:val="21"/>
                      <w:highlight w:val="none"/>
                      <w:lang w:val="en-US" w:eastAsia="zh-CN"/>
                    </w:rPr>
                    <w:t>G1-1</w:t>
                  </w:r>
                </w:p>
              </w:tc>
              <w:tc>
                <w:tcPr>
                  <w:tcW w:w="567" w:type="pct"/>
                  <w:vMerge w:val="restart"/>
                  <w:tcBorders>
                    <w:tl2br w:val="nil"/>
                    <w:tr2bl w:val="nil"/>
                  </w:tcBorders>
                  <w:vAlign w:val="center"/>
                </w:tcPr>
                <w:p w14:paraId="56DC60CF">
                  <w:pPr>
                    <w:keepNext w:val="0"/>
                    <w:keepLines w:val="0"/>
                    <w:suppressLineNumbers w:val="0"/>
                    <w:adjustRightInd w:val="0"/>
                    <w:snapToGrid w:val="0"/>
                    <w:spacing w:before="0" w:beforeAutospacing="0" w:after="0" w:afterAutospacing="0" w:line="276" w:lineRule="auto"/>
                    <w:ind w:left="0" w:right="0"/>
                    <w:jc w:val="center"/>
                    <w:rPr>
                      <w:rFonts w:hint="default" w:eastAsia="宋体"/>
                      <w:sz w:val="21"/>
                      <w:szCs w:val="21"/>
                      <w:highlight w:val="none"/>
                      <w:lang w:val="en-US" w:eastAsia="zh-CN"/>
                    </w:rPr>
                  </w:pPr>
                  <w:r>
                    <w:rPr>
                      <w:rFonts w:hint="eastAsia"/>
                      <w:sz w:val="21"/>
                      <w:szCs w:val="21"/>
                      <w:highlight w:val="none"/>
                      <w:lang w:val="en-US" w:eastAsia="zh-CN"/>
                    </w:rPr>
                    <w:t>实验动物中心</w:t>
                  </w:r>
                </w:p>
              </w:tc>
              <w:tc>
                <w:tcPr>
                  <w:tcW w:w="1360" w:type="pct"/>
                  <w:tcBorders>
                    <w:tl2br w:val="nil"/>
                    <w:tr2bl w:val="nil"/>
                  </w:tcBorders>
                  <w:vAlign w:val="center"/>
                </w:tcPr>
                <w:p w14:paraId="278B82A2">
                  <w:pPr>
                    <w:keepNext w:val="0"/>
                    <w:keepLines w:val="0"/>
                    <w:suppressLineNumbers w:val="0"/>
                    <w:adjustRightInd w:val="0"/>
                    <w:snapToGrid w:val="0"/>
                    <w:spacing w:before="0" w:beforeAutospacing="0" w:after="0" w:afterAutospacing="0" w:line="276" w:lineRule="auto"/>
                    <w:ind w:left="0" w:right="0"/>
                    <w:jc w:val="center"/>
                    <w:rPr>
                      <w:rFonts w:hint="default"/>
                      <w:sz w:val="21"/>
                      <w:szCs w:val="21"/>
                      <w:highlight w:val="none"/>
                    </w:rPr>
                  </w:pPr>
                  <w:r>
                    <w:rPr>
                      <w:rFonts w:hint="eastAsia"/>
                      <w:sz w:val="21"/>
                      <w:szCs w:val="21"/>
                      <w:highlight w:val="none"/>
                    </w:rPr>
                    <w:t>动物饲养</w:t>
                  </w:r>
                </w:p>
              </w:tc>
              <w:tc>
                <w:tcPr>
                  <w:tcW w:w="1164" w:type="pct"/>
                  <w:tcBorders>
                    <w:tl2br w:val="nil"/>
                    <w:tr2bl w:val="nil"/>
                  </w:tcBorders>
                  <w:vAlign w:val="center"/>
                </w:tcPr>
                <w:p w14:paraId="7C2E0D98">
                  <w:pPr>
                    <w:keepNext w:val="0"/>
                    <w:keepLines w:val="0"/>
                    <w:suppressLineNumbers w:val="0"/>
                    <w:adjustRightInd w:val="0"/>
                    <w:snapToGrid w:val="0"/>
                    <w:spacing w:before="0" w:beforeAutospacing="0" w:after="0" w:afterAutospacing="0" w:line="276" w:lineRule="auto"/>
                    <w:ind w:left="0" w:right="0"/>
                    <w:jc w:val="center"/>
                    <w:rPr>
                      <w:rFonts w:hint="default"/>
                      <w:sz w:val="21"/>
                      <w:szCs w:val="21"/>
                      <w:highlight w:val="none"/>
                    </w:rPr>
                  </w:pPr>
                  <w:r>
                    <w:rPr>
                      <w:rFonts w:hint="eastAsia"/>
                      <w:sz w:val="21"/>
                      <w:szCs w:val="21"/>
                      <w:highlight w:val="none"/>
                    </w:rPr>
                    <w:t>恶臭</w:t>
                  </w:r>
                </w:p>
              </w:tc>
              <w:tc>
                <w:tcPr>
                  <w:tcW w:w="1199" w:type="pct"/>
                  <w:tcBorders>
                    <w:tl2br w:val="nil"/>
                    <w:tr2bl w:val="nil"/>
                  </w:tcBorders>
                  <w:vAlign w:val="center"/>
                </w:tcPr>
                <w:p w14:paraId="2FBE6C98">
                  <w:pPr>
                    <w:keepNext w:val="0"/>
                    <w:keepLines w:val="0"/>
                    <w:suppressLineNumbers w:val="0"/>
                    <w:adjustRightInd w:val="0"/>
                    <w:snapToGrid w:val="0"/>
                    <w:spacing w:before="0" w:beforeAutospacing="0" w:after="0" w:afterAutospacing="0" w:line="276" w:lineRule="auto"/>
                    <w:ind w:left="0" w:right="0"/>
                    <w:jc w:val="center"/>
                    <w:rPr>
                      <w:rFonts w:hint="default" w:eastAsia="宋体"/>
                      <w:sz w:val="21"/>
                      <w:szCs w:val="21"/>
                      <w:highlight w:val="none"/>
                      <w:lang w:val="en-US" w:eastAsia="zh-CN"/>
                    </w:rPr>
                  </w:pPr>
                  <w:r>
                    <w:rPr>
                      <w:rFonts w:hint="default"/>
                      <w:color w:val="auto"/>
                      <w:sz w:val="21"/>
                      <w:szCs w:val="21"/>
                      <w:highlight w:val="none"/>
                    </w:rPr>
                    <w:t>NH</w:t>
                  </w:r>
                  <w:r>
                    <w:rPr>
                      <w:rFonts w:hint="default"/>
                      <w:color w:val="auto"/>
                      <w:sz w:val="21"/>
                      <w:szCs w:val="21"/>
                      <w:highlight w:val="none"/>
                      <w:vertAlign w:val="subscript"/>
                    </w:rPr>
                    <w:t>3</w:t>
                  </w:r>
                  <w:r>
                    <w:rPr>
                      <w:rFonts w:hint="eastAsia"/>
                      <w:color w:val="auto"/>
                      <w:sz w:val="21"/>
                      <w:szCs w:val="21"/>
                      <w:highlight w:val="none"/>
                      <w:vertAlign w:val="baseline"/>
                      <w:lang w:eastAsia="zh-CN"/>
                    </w:rPr>
                    <w:t>、</w:t>
                  </w:r>
                  <w:r>
                    <w:rPr>
                      <w:rFonts w:hint="default"/>
                      <w:color w:val="auto"/>
                      <w:sz w:val="21"/>
                      <w:szCs w:val="21"/>
                      <w:highlight w:val="none"/>
                    </w:rPr>
                    <w:t>H</w:t>
                  </w:r>
                  <w:r>
                    <w:rPr>
                      <w:rFonts w:hint="default"/>
                      <w:color w:val="auto"/>
                      <w:sz w:val="21"/>
                      <w:szCs w:val="21"/>
                      <w:highlight w:val="none"/>
                      <w:vertAlign w:val="subscript"/>
                    </w:rPr>
                    <w:t>2</w:t>
                  </w:r>
                  <w:r>
                    <w:rPr>
                      <w:rFonts w:hint="default"/>
                      <w:color w:val="auto"/>
                      <w:sz w:val="21"/>
                      <w:szCs w:val="21"/>
                      <w:highlight w:val="none"/>
                    </w:rPr>
                    <w:t>S、臭气浓度</w:t>
                  </w:r>
                  <w:r>
                    <w:rPr>
                      <w:rFonts w:hint="eastAsia"/>
                      <w:color w:val="auto"/>
                      <w:sz w:val="21"/>
                      <w:szCs w:val="21"/>
                      <w:highlight w:val="none"/>
                      <w:lang w:eastAsia="zh-CN"/>
                    </w:rPr>
                    <w:t>、</w:t>
                  </w:r>
                  <w:r>
                    <w:rPr>
                      <w:rFonts w:hint="eastAsia"/>
                      <w:color w:val="auto"/>
                      <w:sz w:val="21"/>
                      <w:szCs w:val="21"/>
                      <w:highlight w:val="none"/>
                      <w:lang w:val="en-US" w:eastAsia="zh-CN"/>
                    </w:rPr>
                    <w:t>颗粒物</w:t>
                  </w:r>
                </w:p>
              </w:tc>
            </w:tr>
            <w:tr w14:paraId="15043EC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174" w:hRule="atLeast"/>
                <w:jc w:val="center"/>
              </w:trPr>
              <w:tc>
                <w:tcPr>
                  <w:tcW w:w="305" w:type="pct"/>
                  <w:vMerge w:val="continue"/>
                  <w:tcBorders>
                    <w:tl2br w:val="nil"/>
                    <w:tr2bl w:val="nil"/>
                  </w:tcBorders>
                  <w:vAlign w:val="center"/>
                </w:tcPr>
                <w:p w14:paraId="04BB3066">
                  <w:pPr>
                    <w:keepNext w:val="0"/>
                    <w:keepLines w:val="0"/>
                    <w:suppressLineNumbers w:val="0"/>
                    <w:adjustRightInd w:val="0"/>
                    <w:snapToGrid w:val="0"/>
                    <w:spacing w:before="0" w:beforeAutospacing="0" w:after="0" w:afterAutospacing="0" w:line="276" w:lineRule="auto"/>
                    <w:ind w:left="0" w:right="0"/>
                    <w:jc w:val="center"/>
                    <w:rPr>
                      <w:rFonts w:hint="eastAsia"/>
                      <w:sz w:val="21"/>
                      <w:szCs w:val="21"/>
                      <w:highlight w:val="none"/>
                    </w:rPr>
                  </w:pPr>
                </w:p>
              </w:tc>
              <w:tc>
                <w:tcPr>
                  <w:tcW w:w="404" w:type="pct"/>
                  <w:tcBorders>
                    <w:tl2br w:val="nil"/>
                    <w:tr2bl w:val="nil"/>
                  </w:tcBorders>
                  <w:vAlign w:val="center"/>
                </w:tcPr>
                <w:p w14:paraId="5CEDC0A1">
                  <w:pPr>
                    <w:keepNext w:val="0"/>
                    <w:keepLines w:val="0"/>
                    <w:suppressLineNumbers w:val="0"/>
                    <w:adjustRightInd w:val="0"/>
                    <w:snapToGrid w:val="0"/>
                    <w:spacing w:before="0" w:beforeAutospacing="0" w:after="0" w:afterAutospacing="0" w:line="276" w:lineRule="auto"/>
                    <w:ind w:left="0" w:right="0"/>
                    <w:jc w:val="center"/>
                    <w:rPr>
                      <w:rFonts w:hint="default" w:eastAsia="宋体"/>
                      <w:sz w:val="21"/>
                      <w:szCs w:val="21"/>
                      <w:highlight w:val="none"/>
                      <w:lang w:val="en-US" w:eastAsia="zh-CN"/>
                    </w:rPr>
                  </w:pPr>
                  <w:r>
                    <w:rPr>
                      <w:rFonts w:hint="eastAsia"/>
                      <w:sz w:val="21"/>
                      <w:szCs w:val="21"/>
                      <w:highlight w:val="none"/>
                      <w:lang w:val="en-US" w:eastAsia="zh-CN"/>
                    </w:rPr>
                    <w:t>G1-2</w:t>
                  </w:r>
                </w:p>
              </w:tc>
              <w:tc>
                <w:tcPr>
                  <w:tcW w:w="567" w:type="pct"/>
                  <w:vMerge w:val="continue"/>
                  <w:tcBorders>
                    <w:tl2br w:val="nil"/>
                    <w:tr2bl w:val="nil"/>
                  </w:tcBorders>
                  <w:vAlign w:val="center"/>
                </w:tcPr>
                <w:p w14:paraId="2653FB31">
                  <w:pPr>
                    <w:keepNext w:val="0"/>
                    <w:keepLines w:val="0"/>
                    <w:suppressLineNumbers w:val="0"/>
                    <w:adjustRightInd w:val="0"/>
                    <w:snapToGrid w:val="0"/>
                    <w:spacing w:before="0" w:beforeAutospacing="0" w:after="0" w:afterAutospacing="0" w:line="276" w:lineRule="auto"/>
                    <w:ind w:left="0" w:right="0"/>
                    <w:jc w:val="center"/>
                    <w:rPr>
                      <w:rFonts w:hint="default"/>
                      <w:sz w:val="21"/>
                      <w:szCs w:val="21"/>
                      <w:highlight w:val="none"/>
                      <w:lang w:val="en-US" w:eastAsia="zh-CN"/>
                    </w:rPr>
                  </w:pPr>
                </w:p>
              </w:tc>
              <w:tc>
                <w:tcPr>
                  <w:tcW w:w="1360" w:type="pct"/>
                  <w:tcBorders>
                    <w:tl2br w:val="nil"/>
                    <w:tr2bl w:val="nil"/>
                  </w:tcBorders>
                  <w:vAlign w:val="center"/>
                </w:tcPr>
                <w:p w14:paraId="23C8A10B">
                  <w:pPr>
                    <w:keepNext w:val="0"/>
                    <w:keepLines w:val="0"/>
                    <w:suppressLineNumbers w:val="0"/>
                    <w:adjustRightInd w:val="0"/>
                    <w:snapToGrid w:val="0"/>
                    <w:spacing w:before="0" w:beforeAutospacing="0" w:after="0" w:afterAutospacing="0" w:line="276" w:lineRule="auto"/>
                    <w:ind w:left="0" w:right="0"/>
                    <w:jc w:val="center"/>
                    <w:rPr>
                      <w:rFonts w:hint="eastAsia" w:eastAsia="宋体"/>
                      <w:sz w:val="21"/>
                      <w:szCs w:val="21"/>
                      <w:highlight w:val="none"/>
                      <w:lang w:eastAsia="zh-CN"/>
                    </w:rPr>
                  </w:pPr>
                  <w:r>
                    <w:rPr>
                      <w:rFonts w:hint="eastAsia"/>
                      <w:sz w:val="21"/>
                      <w:szCs w:val="21"/>
                      <w:highlight w:val="none"/>
                    </w:rPr>
                    <w:t>动物</w:t>
                  </w:r>
                  <w:r>
                    <w:rPr>
                      <w:rFonts w:hint="eastAsia"/>
                      <w:sz w:val="21"/>
                      <w:szCs w:val="21"/>
                      <w:highlight w:val="none"/>
                      <w:lang w:val="en-US" w:eastAsia="zh-CN"/>
                    </w:rPr>
                    <w:t>实验（手术、解剖）</w:t>
                  </w:r>
                </w:p>
              </w:tc>
              <w:tc>
                <w:tcPr>
                  <w:tcW w:w="1164" w:type="pct"/>
                  <w:tcBorders>
                    <w:tl2br w:val="nil"/>
                    <w:tr2bl w:val="nil"/>
                  </w:tcBorders>
                  <w:vAlign w:val="center"/>
                </w:tcPr>
                <w:p w14:paraId="707F12A7">
                  <w:pPr>
                    <w:keepNext w:val="0"/>
                    <w:keepLines w:val="0"/>
                    <w:suppressLineNumbers w:val="0"/>
                    <w:adjustRightInd w:val="0"/>
                    <w:snapToGrid w:val="0"/>
                    <w:spacing w:before="0" w:beforeAutospacing="0" w:after="0" w:afterAutospacing="0" w:line="276" w:lineRule="auto"/>
                    <w:ind w:left="0" w:right="0"/>
                    <w:jc w:val="center"/>
                    <w:rPr>
                      <w:rFonts w:hint="default" w:eastAsia="宋体"/>
                      <w:sz w:val="21"/>
                      <w:szCs w:val="21"/>
                      <w:highlight w:val="none"/>
                      <w:lang w:val="en-US" w:eastAsia="zh-CN"/>
                    </w:rPr>
                  </w:pPr>
                  <w:r>
                    <w:rPr>
                      <w:rFonts w:hint="eastAsia"/>
                      <w:sz w:val="21"/>
                      <w:szCs w:val="21"/>
                      <w:highlight w:val="none"/>
                    </w:rPr>
                    <w:t>恶臭</w:t>
                  </w:r>
                  <w:r>
                    <w:rPr>
                      <w:rFonts w:hint="eastAsia"/>
                      <w:sz w:val="21"/>
                      <w:szCs w:val="21"/>
                      <w:highlight w:val="none"/>
                      <w:lang w:eastAsia="zh-CN"/>
                    </w:rPr>
                    <w:t>、</w:t>
                  </w:r>
                  <w:r>
                    <w:rPr>
                      <w:rFonts w:hint="eastAsia"/>
                      <w:sz w:val="21"/>
                      <w:szCs w:val="21"/>
                      <w:highlight w:val="none"/>
                      <w:lang w:val="en-US" w:eastAsia="zh-CN"/>
                    </w:rPr>
                    <w:t>有机废气</w:t>
                  </w:r>
                </w:p>
              </w:tc>
              <w:tc>
                <w:tcPr>
                  <w:tcW w:w="1199" w:type="pct"/>
                  <w:tcBorders>
                    <w:tl2br w:val="nil"/>
                    <w:tr2bl w:val="nil"/>
                  </w:tcBorders>
                  <w:vAlign w:val="center"/>
                </w:tcPr>
                <w:p w14:paraId="244D85CE">
                  <w:pPr>
                    <w:keepNext w:val="0"/>
                    <w:keepLines w:val="0"/>
                    <w:suppressLineNumbers w:val="0"/>
                    <w:adjustRightInd w:val="0"/>
                    <w:snapToGrid w:val="0"/>
                    <w:spacing w:before="0" w:beforeAutospacing="0" w:after="0" w:afterAutospacing="0" w:line="276" w:lineRule="auto"/>
                    <w:ind w:left="0" w:right="0"/>
                    <w:jc w:val="center"/>
                    <w:rPr>
                      <w:rFonts w:hint="default" w:eastAsia="宋体"/>
                      <w:sz w:val="21"/>
                      <w:szCs w:val="21"/>
                      <w:highlight w:val="none"/>
                      <w:lang w:val="en-US" w:eastAsia="zh-CN"/>
                    </w:rPr>
                  </w:pPr>
                  <w:r>
                    <w:rPr>
                      <w:rFonts w:hint="default"/>
                      <w:color w:val="auto"/>
                      <w:sz w:val="21"/>
                      <w:szCs w:val="21"/>
                      <w:highlight w:val="none"/>
                    </w:rPr>
                    <w:t>H</w:t>
                  </w:r>
                  <w:r>
                    <w:rPr>
                      <w:rFonts w:hint="default"/>
                      <w:color w:val="auto"/>
                      <w:sz w:val="21"/>
                      <w:szCs w:val="21"/>
                      <w:highlight w:val="none"/>
                      <w:vertAlign w:val="subscript"/>
                    </w:rPr>
                    <w:t>2</w:t>
                  </w:r>
                  <w:r>
                    <w:rPr>
                      <w:rFonts w:hint="default"/>
                      <w:color w:val="auto"/>
                      <w:sz w:val="21"/>
                      <w:szCs w:val="21"/>
                      <w:highlight w:val="none"/>
                    </w:rPr>
                    <w:t>S、NH</w:t>
                  </w:r>
                  <w:r>
                    <w:rPr>
                      <w:rFonts w:hint="default"/>
                      <w:color w:val="auto"/>
                      <w:sz w:val="21"/>
                      <w:szCs w:val="21"/>
                      <w:highlight w:val="none"/>
                      <w:vertAlign w:val="subscript"/>
                    </w:rPr>
                    <w:t>3</w:t>
                  </w:r>
                  <w:r>
                    <w:rPr>
                      <w:rFonts w:hint="default"/>
                      <w:color w:val="auto"/>
                      <w:sz w:val="21"/>
                      <w:szCs w:val="21"/>
                      <w:highlight w:val="none"/>
                    </w:rPr>
                    <w:t>、臭气浓度</w:t>
                  </w:r>
                  <w:r>
                    <w:rPr>
                      <w:rFonts w:hint="eastAsia"/>
                      <w:color w:val="auto"/>
                      <w:sz w:val="21"/>
                      <w:szCs w:val="21"/>
                      <w:highlight w:val="none"/>
                      <w:lang w:eastAsia="zh-CN"/>
                    </w:rPr>
                    <w:t>、</w:t>
                  </w:r>
                  <w:r>
                    <w:rPr>
                      <w:rFonts w:hint="eastAsia"/>
                      <w:color w:val="auto"/>
                      <w:sz w:val="21"/>
                      <w:szCs w:val="21"/>
                      <w:highlight w:val="none"/>
                      <w:lang w:val="en-US" w:eastAsia="zh-CN"/>
                    </w:rPr>
                    <w:t>非甲烷总烃、甲醛</w:t>
                  </w:r>
                </w:p>
              </w:tc>
            </w:tr>
            <w:tr w14:paraId="7D315F5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154" w:hRule="atLeast"/>
                <w:jc w:val="center"/>
              </w:trPr>
              <w:tc>
                <w:tcPr>
                  <w:tcW w:w="305" w:type="pct"/>
                  <w:vMerge w:val="continue"/>
                  <w:tcBorders>
                    <w:tl2br w:val="nil"/>
                    <w:tr2bl w:val="nil"/>
                  </w:tcBorders>
                  <w:vAlign w:val="center"/>
                </w:tcPr>
                <w:p w14:paraId="284106D5">
                  <w:pPr>
                    <w:keepNext w:val="0"/>
                    <w:keepLines w:val="0"/>
                    <w:suppressLineNumbers w:val="0"/>
                    <w:adjustRightInd w:val="0"/>
                    <w:snapToGrid w:val="0"/>
                    <w:spacing w:before="0" w:beforeAutospacing="0" w:after="0" w:afterAutospacing="0" w:line="276" w:lineRule="auto"/>
                    <w:ind w:left="0" w:right="0"/>
                    <w:jc w:val="center"/>
                    <w:rPr>
                      <w:rFonts w:hint="eastAsia"/>
                      <w:sz w:val="21"/>
                      <w:szCs w:val="21"/>
                      <w:highlight w:val="none"/>
                    </w:rPr>
                  </w:pPr>
                </w:p>
              </w:tc>
              <w:tc>
                <w:tcPr>
                  <w:tcW w:w="404" w:type="pct"/>
                  <w:tcBorders>
                    <w:tl2br w:val="nil"/>
                    <w:tr2bl w:val="nil"/>
                  </w:tcBorders>
                  <w:vAlign w:val="center"/>
                </w:tcPr>
                <w:p w14:paraId="026F9CC5">
                  <w:pPr>
                    <w:keepNext w:val="0"/>
                    <w:keepLines w:val="0"/>
                    <w:suppressLineNumbers w:val="0"/>
                    <w:adjustRightInd w:val="0"/>
                    <w:snapToGrid w:val="0"/>
                    <w:spacing w:before="0" w:beforeAutospacing="0" w:after="0" w:afterAutospacing="0" w:line="276" w:lineRule="auto"/>
                    <w:ind w:left="0" w:right="0"/>
                    <w:jc w:val="center"/>
                    <w:rPr>
                      <w:rFonts w:hint="default" w:eastAsia="宋体"/>
                      <w:sz w:val="21"/>
                      <w:szCs w:val="21"/>
                      <w:highlight w:val="none"/>
                      <w:lang w:val="en-US" w:eastAsia="zh-CN"/>
                    </w:rPr>
                  </w:pPr>
                  <w:r>
                    <w:rPr>
                      <w:rFonts w:hint="eastAsia"/>
                      <w:sz w:val="21"/>
                      <w:szCs w:val="21"/>
                      <w:highlight w:val="none"/>
                      <w:lang w:val="en-US" w:eastAsia="zh-CN"/>
                    </w:rPr>
                    <w:t>G1-3</w:t>
                  </w:r>
                </w:p>
              </w:tc>
              <w:tc>
                <w:tcPr>
                  <w:tcW w:w="567" w:type="pct"/>
                  <w:vMerge w:val="continue"/>
                  <w:tcBorders>
                    <w:tl2br w:val="nil"/>
                    <w:tr2bl w:val="nil"/>
                  </w:tcBorders>
                  <w:vAlign w:val="center"/>
                </w:tcPr>
                <w:p w14:paraId="500F4609">
                  <w:pPr>
                    <w:keepNext w:val="0"/>
                    <w:keepLines w:val="0"/>
                    <w:suppressLineNumbers w:val="0"/>
                    <w:adjustRightInd w:val="0"/>
                    <w:snapToGrid w:val="0"/>
                    <w:spacing w:before="0" w:beforeAutospacing="0" w:after="0" w:afterAutospacing="0" w:line="276" w:lineRule="auto"/>
                    <w:ind w:left="0" w:right="0"/>
                    <w:jc w:val="center"/>
                    <w:rPr>
                      <w:rFonts w:hint="default"/>
                      <w:sz w:val="21"/>
                      <w:szCs w:val="21"/>
                      <w:highlight w:val="none"/>
                      <w:lang w:val="en-US" w:eastAsia="zh-CN"/>
                    </w:rPr>
                  </w:pPr>
                </w:p>
              </w:tc>
              <w:tc>
                <w:tcPr>
                  <w:tcW w:w="1360" w:type="pct"/>
                  <w:tcBorders>
                    <w:tl2br w:val="nil"/>
                    <w:tr2bl w:val="nil"/>
                  </w:tcBorders>
                  <w:vAlign w:val="center"/>
                </w:tcPr>
                <w:p w14:paraId="48827929">
                  <w:pPr>
                    <w:keepNext w:val="0"/>
                    <w:keepLines w:val="0"/>
                    <w:suppressLineNumbers w:val="0"/>
                    <w:adjustRightInd w:val="0"/>
                    <w:snapToGrid w:val="0"/>
                    <w:spacing w:before="0" w:beforeAutospacing="0" w:after="0" w:afterAutospacing="0" w:line="276" w:lineRule="auto"/>
                    <w:ind w:left="0" w:right="0"/>
                    <w:jc w:val="center"/>
                    <w:rPr>
                      <w:rFonts w:hint="default"/>
                      <w:sz w:val="21"/>
                      <w:szCs w:val="21"/>
                      <w:highlight w:val="none"/>
                      <w:lang w:val="en-US" w:eastAsia="zh-CN"/>
                    </w:rPr>
                  </w:pPr>
                  <w:r>
                    <w:rPr>
                      <w:rFonts w:hint="eastAsia"/>
                      <w:sz w:val="21"/>
                      <w:szCs w:val="21"/>
                      <w:highlight w:val="none"/>
                      <w:lang w:val="en-US" w:eastAsia="zh-CN"/>
                    </w:rPr>
                    <w:t>实验区域</w:t>
                  </w:r>
                  <w:r>
                    <w:rPr>
                      <w:rFonts w:hint="eastAsia"/>
                      <w:sz w:val="21"/>
                      <w:szCs w:val="21"/>
                      <w:highlight w:val="none"/>
                    </w:rPr>
                    <w:t>消毒</w:t>
                  </w:r>
                </w:p>
              </w:tc>
              <w:tc>
                <w:tcPr>
                  <w:tcW w:w="1164" w:type="pct"/>
                  <w:tcBorders>
                    <w:tl2br w:val="nil"/>
                    <w:tr2bl w:val="nil"/>
                  </w:tcBorders>
                  <w:vAlign w:val="center"/>
                </w:tcPr>
                <w:p w14:paraId="6A2BFC69">
                  <w:pPr>
                    <w:keepNext w:val="0"/>
                    <w:keepLines w:val="0"/>
                    <w:suppressLineNumbers w:val="0"/>
                    <w:adjustRightInd w:val="0"/>
                    <w:snapToGrid w:val="0"/>
                    <w:spacing w:before="0" w:beforeAutospacing="0" w:after="0" w:afterAutospacing="0" w:line="276" w:lineRule="auto"/>
                    <w:ind w:left="0" w:right="0"/>
                    <w:jc w:val="center"/>
                    <w:rPr>
                      <w:rFonts w:hint="default" w:eastAsia="宋体"/>
                      <w:sz w:val="21"/>
                      <w:szCs w:val="21"/>
                      <w:highlight w:val="none"/>
                      <w:lang w:val="en-US" w:eastAsia="zh-CN"/>
                    </w:rPr>
                  </w:pPr>
                  <w:r>
                    <w:rPr>
                      <w:rFonts w:hint="eastAsia"/>
                      <w:sz w:val="21"/>
                      <w:szCs w:val="21"/>
                      <w:highlight w:val="none"/>
                      <w:lang w:val="en-US" w:eastAsia="zh-CN"/>
                    </w:rPr>
                    <w:t>消毒废气</w:t>
                  </w:r>
                </w:p>
              </w:tc>
              <w:tc>
                <w:tcPr>
                  <w:tcW w:w="1199" w:type="pct"/>
                  <w:tcBorders>
                    <w:tl2br w:val="nil"/>
                    <w:tr2bl w:val="nil"/>
                  </w:tcBorders>
                  <w:vAlign w:val="center"/>
                </w:tcPr>
                <w:p w14:paraId="7625CD93">
                  <w:pPr>
                    <w:keepNext w:val="0"/>
                    <w:keepLines w:val="0"/>
                    <w:suppressLineNumbers w:val="0"/>
                    <w:adjustRightInd w:val="0"/>
                    <w:snapToGrid w:val="0"/>
                    <w:spacing w:before="0" w:beforeAutospacing="0" w:after="0" w:afterAutospacing="0" w:line="276" w:lineRule="auto"/>
                    <w:ind w:left="0" w:right="0"/>
                    <w:jc w:val="center"/>
                    <w:rPr>
                      <w:rFonts w:hint="default" w:eastAsia="宋体"/>
                      <w:sz w:val="21"/>
                      <w:szCs w:val="21"/>
                      <w:highlight w:val="none"/>
                      <w:lang w:val="en-US" w:eastAsia="zh-CN"/>
                    </w:rPr>
                  </w:pPr>
                  <w:r>
                    <w:rPr>
                      <w:rFonts w:hint="default"/>
                      <w:color w:val="auto"/>
                      <w:sz w:val="21"/>
                      <w:szCs w:val="21"/>
                      <w:highlight w:val="none"/>
                    </w:rPr>
                    <w:t>非甲烷总烃</w:t>
                  </w:r>
                  <w:r>
                    <w:rPr>
                      <w:rFonts w:hint="eastAsia"/>
                      <w:color w:val="auto"/>
                      <w:sz w:val="21"/>
                      <w:szCs w:val="21"/>
                      <w:highlight w:val="none"/>
                      <w:lang w:eastAsia="zh-CN"/>
                    </w:rPr>
                    <w:t>、</w:t>
                  </w:r>
                  <w:r>
                    <w:rPr>
                      <w:rFonts w:hint="eastAsia"/>
                      <w:color w:val="auto"/>
                      <w:sz w:val="21"/>
                      <w:szCs w:val="21"/>
                      <w:highlight w:val="none"/>
                      <w:lang w:val="en-US" w:eastAsia="zh-CN"/>
                    </w:rPr>
                    <w:t>氯气</w:t>
                  </w:r>
                </w:p>
              </w:tc>
            </w:tr>
            <w:tr w14:paraId="68F295D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154" w:hRule="atLeast"/>
                <w:jc w:val="center"/>
              </w:trPr>
              <w:tc>
                <w:tcPr>
                  <w:tcW w:w="305" w:type="pct"/>
                  <w:vMerge w:val="continue"/>
                  <w:tcBorders>
                    <w:tl2br w:val="nil"/>
                    <w:tr2bl w:val="nil"/>
                  </w:tcBorders>
                  <w:vAlign w:val="center"/>
                </w:tcPr>
                <w:p w14:paraId="48F29FD2">
                  <w:pPr>
                    <w:keepNext w:val="0"/>
                    <w:keepLines w:val="0"/>
                    <w:suppressLineNumbers w:val="0"/>
                    <w:adjustRightInd w:val="0"/>
                    <w:snapToGrid w:val="0"/>
                    <w:spacing w:before="0" w:beforeAutospacing="0" w:after="0" w:afterAutospacing="0" w:line="276" w:lineRule="auto"/>
                    <w:ind w:left="0" w:right="0"/>
                    <w:jc w:val="center"/>
                    <w:rPr>
                      <w:rFonts w:hint="eastAsia"/>
                      <w:sz w:val="21"/>
                      <w:szCs w:val="21"/>
                      <w:highlight w:val="none"/>
                    </w:rPr>
                  </w:pPr>
                </w:p>
              </w:tc>
              <w:tc>
                <w:tcPr>
                  <w:tcW w:w="404" w:type="pct"/>
                  <w:tcBorders>
                    <w:tl2br w:val="nil"/>
                    <w:tr2bl w:val="nil"/>
                  </w:tcBorders>
                  <w:vAlign w:val="center"/>
                </w:tcPr>
                <w:p w14:paraId="1051EC9F">
                  <w:pPr>
                    <w:keepNext w:val="0"/>
                    <w:keepLines w:val="0"/>
                    <w:suppressLineNumbers w:val="0"/>
                    <w:adjustRightInd w:val="0"/>
                    <w:snapToGrid w:val="0"/>
                    <w:spacing w:before="0" w:beforeAutospacing="0" w:after="0" w:afterAutospacing="0" w:line="276" w:lineRule="auto"/>
                    <w:ind w:left="0" w:right="0"/>
                    <w:jc w:val="center"/>
                    <w:rPr>
                      <w:rFonts w:hint="eastAsia"/>
                      <w:sz w:val="21"/>
                      <w:szCs w:val="21"/>
                      <w:highlight w:val="none"/>
                      <w:lang w:val="en-US" w:eastAsia="zh-CN"/>
                    </w:rPr>
                  </w:pPr>
                  <w:r>
                    <w:rPr>
                      <w:rFonts w:hint="eastAsia"/>
                      <w:sz w:val="21"/>
                      <w:szCs w:val="21"/>
                      <w:highlight w:val="none"/>
                      <w:lang w:val="en-US" w:eastAsia="zh-CN"/>
                    </w:rPr>
                    <w:t>/</w:t>
                  </w:r>
                </w:p>
              </w:tc>
              <w:tc>
                <w:tcPr>
                  <w:tcW w:w="567" w:type="pct"/>
                  <w:vMerge w:val="continue"/>
                  <w:tcBorders>
                    <w:tl2br w:val="nil"/>
                    <w:tr2bl w:val="nil"/>
                  </w:tcBorders>
                  <w:vAlign w:val="center"/>
                </w:tcPr>
                <w:p w14:paraId="37C3112D">
                  <w:pPr>
                    <w:keepNext w:val="0"/>
                    <w:keepLines w:val="0"/>
                    <w:suppressLineNumbers w:val="0"/>
                    <w:adjustRightInd w:val="0"/>
                    <w:snapToGrid w:val="0"/>
                    <w:spacing w:before="0" w:beforeAutospacing="0" w:after="0" w:afterAutospacing="0" w:line="276" w:lineRule="auto"/>
                    <w:ind w:left="0" w:right="0"/>
                    <w:jc w:val="center"/>
                    <w:rPr>
                      <w:rFonts w:hint="default"/>
                      <w:sz w:val="21"/>
                      <w:szCs w:val="21"/>
                      <w:highlight w:val="none"/>
                      <w:lang w:val="en-US" w:eastAsia="zh-CN"/>
                    </w:rPr>
                  </w:pPr>
                </w:p>
              </w:tc>
              <w:tc>
                <w:tcPr>
                  <w:tcW w:w="1360" w:type="pct"/>
                  <w:tcBorders>
                    <w:tl2br w:val="nil"/>
                    <w:tr2bl w:val="nil"/>
                  </w:tcBorders>
                  <w:vAlign w:val="center"/>
                </w:tcPr>
                <w:p w14:paraId="5E56F553">
                  <w:pPr>
                    <w:keepNext w:val="0"/>
                    <w:keepLines w:val="0"/>
                    <w:suppressLineNumbers w:val="0"/>
                    <w:adjustRightInd w:val="0"/>
                    <w:snapToGrid w:val="0"/>
                    <w:spacing w:before="0" w:beforeAutospacing="0" w:after="0" w:afterAutospacing="0" w:line="276" w:lineRule="auto"/>
                    <w:ind w:left="0" w:right="0"/>
                    <w:jc w:val="center"/>
                    <w:rPr>
                      <w:rFonts w:hint="eastAsia"/>
                      <w:sz w:val="21"/>
                      <w:szCs w:val="21"/>
                      <w:highlight w:val="none"/>
                      <w:lang w:val="en-US" w:eastAsia="zh-CN"/>
                    </w:rPr>
                  </w:pPr>
                  <w:r>
                    <w:rPr>
                      <w:rFonts w:hint="eastAsia"/>
                      <w:sz w:val="21"/>
                      <w:szCs w:val="21"/>
                      <w:highlight w:val="none"/>
                      <w:lang w:val="en-US" w:eastAsia="zh-CN"/>
                    </w:rPr>
                    <w:t>一般固废、危废暂存</w:t>
                  </w:r>
                </w:p>
              </w:tc>
              <w:tc>
                <w:tcPr>
                  <w:tcW w:w="1164" w:type="pct"/>
                  <w:tcBorders>
                    <w:tl2br w:val="nil"/>
                    <w:tr2bl w:val="nil"/>
                  </w:tcBorders>
                  <w:vAlign w:val="center"/>
                </w:tcPr>
                <w:p w14:paraId="57B528A8">
                  <w:pPr>
                    <w:keepNext w:val="0"/>
                    <w:keepLines w:val="0"/>
                    <w:suppressLineNumbers w:val="0"/>
                    <w:adjustRightInd w:val="0"/>
                    <w:snapToGrid w:val="0"/>
                    <w:spacing w:before="0" w:beforeAutospacing="0" w:after="0" w:afterAutospacing="0" w:line="276" w:lineRule="auto"/>
                    <w:ind w:left="0" w:right="0"/>
                    <w:jc w:val="center"/>
                    <w:rPr>
                      <w:rFonts w:hint="default"/>
                      <w:sz w:val="21"/>
                      <w:szCs w:val="21"/>
                      <w:highlight w:val="none"/>
                      <w:lang w:val="en-US" w:eastAsia="zh-CN"/>
                    </w:rPr>
                  </w:pPr>
                  <w:r>
                    <w:rPr>
                      <w:rFonts w:hint="eastAsia"/>
                      <w:sz w:val="21"/>
                      <w:szCs w:val="21"/>
                      <w:highlight w:val="none"/>
                      <w:lang w:val="en-US" w:eastAsia="zh-CN"/>
                    </w:rPr>
                    <w:t>恶臭</w:t>
                  </w:r>
                </w:p>
              </w:tc>
              <w:tc>
                <w:tcPr>
                  <w:tcW w:w="1199" w:type="pct"/>
                  <w:tcBorders>
                    <w:tl2br w:val="nil"/>
                    <w:tr2bl w:val="nil"/>
                  </w:tcBorders>
                  <w:vAlign w:val="center"/>
                </w:tcPr>
                <w:p w14:paraId="40BE458C">
                  <w:pPr>
                    <w:keepNext w:val="0"/>
                    <w:keepLines w:val="0"/>
                    <w:suppressLineNumbers w:val="0"/>
                    <w:adjustRightInd w:val="0"/>
                    <w:snapToGrid w:val="0"/>
                    <w:spacing w:before="0" w:beforeAutospacing="0" w:after="0" w:afterAutospacing="0" w:line="276" w:lineRule="auto"/>
                    <w:ind w:left="0" w:right="0"/>
                    <w:jc w:val="center"/>
                    <w:rPr>
                      <w:rFonts w:hint="default"/>
                      <w:color w:val="auto"/>
                      <w:sz w:val="21"/>
                      <w:szCs w:val="21"/>
                      <w:highlight w:val="none"/>
                    </w:rPr>
                  </w:pPr>
                  <w:r>
                    <w:rPr>
                      <w:rFonts w:hint="default"/>
                      <w:color w:val="auto"/>
                      <w:sz w:val="21"/>
                      <w:szCs w:val="21"/>
                      <w:highlight w:val="none"/>
                    </w:rPr>
                    <w:t>NH</w:t>
                  </w:r>
                  <w:r>
                    <w:rPr>
                      <w:rFonts w:hint="default"/>
                      <w:color w:val="auto"/>
                      <w:sz w:val="21"/>
                      <w:szCs w:val="21"/>
                      <w:highlight w:val="none"/>
                      <w:vertAlign w:val="subscript"/>
                    </w:rPr>
                    <w:t>3</w:t>
                  </w:r>
                  <w:r>
                    <w:rPr>
                      <w:rFonts w:hint="eastAsia"/>
                      <w:color w:val="auto"/>
                      <w:sz w:val="21"/>
                      <w:szCs w:val="21"/>
                      <w:highlight w:val="none"/>
                      <w:vertAlign w:val="baseline"/>
                      <w:lang w:eastAsia="zh-CN"/>
                    </w:rPr>
                    <w:t>、</w:t>
                  </w:r>
                  <w:r>
                    <w:rPr>
                      <w:rFonts w:hint="default"/>
                      <w:color w:val="auto"/>
                      <w:sz w:val="21"/>
                      <w:szCs w:val="21"/>
                      <w:highlight w:val="none"/>
                    </w:rPr>
                    <w:t>H</w:t>
                  </w:r>
                  <w:r>
                    <w:rPr>
                      <w:rFonts w:hint="default"/>
                      <w:color w:val="auto"/>
                      <w:sz w:val="21"/>
                      <w:szCs w:val="21"/>
                      <w:highlight w:val="none"/>
                      <w:vertAlign w:val="subscript"/>
                    </w:rPr>
                    <w:t>2</w:t>
                  </w:r>
                  <w:r>
                    <w:rPr>
                      <w:rFonts w:hint="default"/>
                      <w:color w:val="auto"/>
                      <w:sz w:val="21"/>
                      <w:szCs w:val="21"/>
                      <w:highlight w:val="none"/>
                    </w:rPr>
                    <w:t>S、臭气浓度</w:t>
                  </w:r>
                </w:p>
              </w:tc>
            </w:tr>
            <w:tr w14:paraId="768E906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154" w:hRule="atLeast"/>
                <w:jc w:val="center"/>
              </w:trPr>
              <w:tc>
                <w:tcPr>
                  <w:tcW w:w="305" w:type="pct"/>
                  <w:vMerge w:val="continue"/>
                  <w:tcBorders>
                    <w:tl2br w:val="nil"/>
                    <w:tr2bl w:val="nil"/>
                  </w:tcBorders>
                  <w:vAlign w:val="center"/>
                </w:tcPr>
                <w:p w14:paraId="370EBBFE">
                  <w:pPr>
                    <w:keepNext w:val="0"/>
                    <w:keepLines w:val="0"/>
                    <w:suppressLineNumbers w:val="0"/>
                    <w:adjustRightInd w:val="0"/>
                    <w:snapToGrid w:val="0"/>
                    <w:spacing w:before="0" w:beforeAutospacing="0" w:after="0" w:afterAutospacing="0" w:line="276" w:lineRule="auto"/>
                    <w:ind w:left="0" w:right="0"/>
                    <w:jc w:val="center"/>
                    <w:rPr>
                      <w:rFonts w:hint="eastAsia"/>
                      <w:sz w:val="21"/>
                      <w:szCs w:val="21"/>
                      <w:highlight w:val="none"/>
                    </w:rPr>
                  </w:pPr>
                </w:p>
              </w:tc>
              <w:tc>
                <w:tcPr>
                  <w:tcW w:w="404" w:type="pct"/>
                  <w:vMerge w:val="restart"/>
                  <w:tcBorders>
                    <w:tl2br w:val="nil"/>
                    <w:tr2bl w:val="nil"/>
                  </w:tcBorders>
                  <w:vAlign w:val="center"/>
                </w:tcPr>
                <w:p w14:paraId="4994A0CB">
                  <w:pPr>
                    <w:keepNext w:val="0"/>
                    <w:keepLines w:val="0"/>
                    <w:suppressLineNumbers w:val="0"/>
                    <w:adjustRightInd w:val="0"/>
                    <w:snapToGrid w:val="0"/>
                    <w:spacing w:before="0" w:beforeAutospacing="0" w:after="0" w:afterAutospacing="0" w:line="276" w:lineRule="auto"/>
                    <w:ind w:left="0" w:right="0"/>
                    <w:jc w:val="center"/>
                    <w:rPr>
                      <w:rFonts w:hint="default" w:eastAsia="宋体"/>
                      <w:sz w:val="21"/>
                      <w:szCs w:val="21"/>
                      <w:highlight w:val="none"/>
                      <w:lang w:val="en-US" w:eastAsia="zh-CN"/>
                    </w:rPr>
                  </w:pPr>
                  <w:r>
                    <w:rPr>
                      <w:rFonts w:hint="eastAsia"/>
                      <w:sz w:val="21"/>
                      <w:szCs w:val="21"/>
                      <w:highlight w:val="none"/>
                      <w:lang w:val="en-US" w:eastAsia="zh-CN"/>
                    </w:rPr>
                    <w:t>G2-1</w:t>
                  </w:r>
                </w:p>
              </w:tc>
              <w:tc>
                <w:tcPr>
                  <w:tcW w:w="567" w:type="pct"/>
                  <w:vMerge w:val="restart"/>
                  <w:tcBorders>
                    <w:tl2br w:val="nil"/>
                    <w:tr2bl w:val="nil"/>
                  </w:tcBorders>
                  <w:vAlign w:val="center"/>
                </w:tcPr>
                <w:p w14:paraId="74556136">
                  <w:pPr>
                    <w:keepNext w:val="0"/>
                    <w:keepLines w:val="0"/>
                    <w:suppressLineNumbers w:val="0"/>
                    <w:adjustRightInd w:val="0"/>
                    <w:snapToGrid w:val="0"/>
                    <w:spacing w:before="0" w:beforeAutospacing="0" w:after="0" w:afterAutospacing="0" w:line="276" w:lineRule="auto"/>
                    <w:ind w:left="0" w:right="0"/>
                    <w:jc w:val="center"/>
                    <w:rPr>
                      <w:rFonts w:hint="default"/>
                      <w:sz w:val="21"/>
                      <w:szCs w:val="21"/>
                      <w:highlight w:val="none"/>
                      <w:lang w:val="en-US" w:eastAsia="zh-CN"/>
                    </w:rPr>
                  </w:pPr>
                  <w:r>
                    <w:rPr>
                      <w:rFonts w:hint="eastAsia"/>
                      <w:sz w:val="21"/>
                      <w:szCs w:val="21"/>
                      <w:highlight w:val="none"/>
                      <w:lang w:val="en-US" w:eastAsia="zh-CN"/>
                    </w:rPr>
                    <w:t>科创综合楼</w:t>
                  </w:r>
                </w:p>
              </w:tc>
              <w:tc>
                <w:tcPr>
                  <w:tcW w:w="1360" w:type="pct"/>
                  <w:tcBorders>
                    <w:tl2br w:val="nil"/>
                    <w:tr2bl w:val="nil"/>
                  </w:tcBorders>
                  <w:vAlign w:val="center"/>
                </w:tcPr>
                <w:p w14:paraId="0D06C5A5">
                  <w:pPr>
                    <w:keepNext w:val="0"/>
                    <w:keepLines w:val="0"/>
                    <w:suppressLineNumbers w:val="0"/>
                    <w:adjustRightInd w:val="0"/>
                    <w:snapToGrid w:val="0"/>
                    <w:spacing w:before="0" w:beforeAutospacing="0" w:after="0" w:afterAutospacing="0" w:line="276" w:lineRule="auto"/>
                    <w:ind w:left="0" w:right="0"/>
                    <w:jc w:val="center"/>
                    <w:rPr>
                      <w:rFonts w:hint="eastAsia"/>
                      <w:sz w:val="21"/>
                      <w:szCs w:val="21"/>
                      <w:highlight w:val="none"/>
                      <w:lang w:val="en-US" w:eastAsia="zh-CN"/>
                    </w:rPr>
                  </w:pPr>
                  <w:r>
                    <w:rPr>
                      <w:rFonts w:hint="eastAsia"/>
                      <w:sz w:val="21"/>
                      <w:szCs w:val="21"/>
                      <w:highlight w:val="none"/>
                      <w:lang w:val="en-US" w:eastAsia="zh-CN"/>
                    </w:rPr>
                    <w:t>细胞生物实验过程</w:t>
                  </w:r>
                </w:p>
              </w:tc>
              <w:tc>
                <w:tcPr>
                  <w:tcW w:w="1164" w:type="pct"/>
                  <w:vMerge w:val="restart"/>
                  <w:tcBorders>
                    <w:tl2br w:val="nil"/>
                    <w:tr2bl w:val="nil"/>
                  </w:tcBorders>
                  <w:vAlign w:val="center"/>
                </w:tcPr>
                <w:p w14:paraId="4D77C3EA">
                  <w:pPr>
                    <w:keepNext w:val="0"/>
                    <w:keepLines w:val="0"/>
                    <w:suppressLineNumbers w:val="0"/>
                    <w:adjustRightInd w:val="0"/>
                    <w:snapToGrid w:val="0"/>
                    <w:spacing w:before="0" w:beforeAutospacing="0" w:after="0" w:afterAutospacing="0" w:line="276" w:lineRule="auto"/>
                    <w:ind w:left="0" w:right="0"/>
                    <w:jc w:val="center"/>
                    <w:rPr>
                      <w:rFonts w:hint="eastAsia"/>
                      <w:sz w:val="21"/>
                      <w:szCs w:val="21"/>
                      <w:highlight w:val="none"/>
                      <w:lang w:val="en-US" w:eastAsia="zh-CN"/>
                    </w:rPr>
                  </w:pPr>
                  <w:r>
                    <w:rPr>
                      <w:rFonts w:hint="eastAsia"/>
                      <w:sz w:val="21"/>
                      <w:szCs w:val="21"/>
                      <w:highlight w:val="none"/>
                      <w:lang w:val="en-US" w:eastAsia="zh-CN"/>
                    </w:rPr>
                    <w:t>实验室废气</w:t>
                  </w:r>
                </w:p>
              </w:tc>
              <w:tc>
                <w:tcPr>
                  <w:tcW w:w="1199" w:type="pct"/>
                  <w:tcBorders>
                    <w:tl2br w:val="nil"/>
                    <w:tr2bl w:val="nil"/>
                  </w:tcBorders>
                  <w:shd w:val="clear" w:color="auto" w:fill="auto"/>
                  <w:vAlign w:val="center"/>
                </w:tcPr>
                <w:p w14:paraId="6EE79B37">
                  <w:pPr>
                    <w:keepNext w:val="0"/>
                    <w:keepLines w:val="0"/>
                    <w:suppressLineNumbers w:val="0"/>
                    <w:adjustRightInd w:val="0"/>
                    <w:snapToGrid w:val="0"/>
                    <w:spacing w:before="0" w:beforeAutospacing="0" w:after="0" w:afterAutospacing="0" w:line="276" w:lineRule="auto"/>
                    <w:ind w:left="0" w:right="0"/>
                    <w:jc w:val="center"/>
                    <w:rPr>
                      <w:rFonts w:hint="eastAsia"/>
                      <w:sz w:val="21"/>
                      <w:szCs w:val="21"/>
                      <w:highlight w:val="none"/>
                      <w:lang w:val="en-US" w:eastAsia="zh-CN"/>
                    </w:rPr>
                  </w:pPr>
                  <w:r>
                    <w:rPr>
                      <w:rFonts w:hint="eastAsia"/>
                      <w:sz w:val="21"/>
                      <w:szCs w:val="21"/>
                      <w:highlight w:val="none"/>
                      <w:lang w:val="en-US" w:eastAsia="zh-CN"/>
                    </w:rPr>
                    <w:t>微生物气溶胶（以颗粒物计）</w:t>
                  </w:r>
                </w:p>
              </w:tc>
            </w:tr>
            <w:tr w14:paraId="5D8E47E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90" w:hRule="atLeast"/>
                <w:jc w:val="center"/>
              </w:trPr>
              <w:tc>
                <w:tcPr>
                  <w:tcW w:w="305" w:type="pct"/>
                  <w:vMerge w:val="continue"/>
                  <w:tcBorders>
                    <w:tl2br w:val="nil"/>
                    <w:tr2bl w:val="nil"/>
                  </w:tcBorders>
                  <w:vAlign w:val="center"/>
                </w:tcPr>
                <w:p w14:paraId="5D1A6C98">
                  <w:pPr>
                    <w:keepNext w:val="0"/>
                    <w:keepLines w:val="0"/>
                    <w:suppressLineNumbers w:val="0"/>
                    <w:adjustRightInd w:val="0"/>
                    <w:snapToGrid w:val="0"/>
                    <w:spacing w:before="0" w:beforeAutospacing="0" w:after="0" w:afterAutospacing="0" w:line="276" w:lineRule="auto"/>
                    <w:ind w:left="0" w:right="0"/>
                    <w:jc w:val="center"/>
                    <w:rPr>
                      <w:rFonts w:hint="eastAsia"/>
                      <w:sz w:val="21"/>
                      <w:szCs w:val="21"/>
                      <w:highlight w:val="none"/>
                    </w:rPr>
                  </w:pPr>
                </w:p>
              </w:tc>
              <w:tc>
                <w:tcPr>
                  <w:tcW w:w="404" w:type="pct"/>
                  <w:vMerge w:val="continue"/>
                  <w:tcBorders>
                    <w:tl2br w:val="nil"/>
                    <w:tr2bl w:val="nil"/>
                  </w:tcBorders>
                  <w:vAlign w:val="center"/>
                </w:tcPr>
                <w:p w14:paraId="45F1BC04">
                  <w:pPr>
                    <w:keepNext w:val="0"/>
                    <w:keepLines w:val="0"/>
                    <w:suppressLineNumbers w:val="0"/>
                    <w:adjustRightInd w:val="0"/>
                    <w:snapToGrid w:val="0"/>
                    <w:spacing w:before="0" w:beforeAutospacing="0" w:after="0" w:afterAutospacing="0" w:line="276" w:lineRule="auto"/>
                    <w:ind w:left="0" w:right="0"/>
                    <w:jc w:val="center"/>
                    <w:rPr>
                      <w:rFonts w:hint="eastAsia"/>
                      <w:sz w:val="21"/>
                      <w:szCs w:val="21"/>
                      <w:highlight w:val="none"/>
                    </w:rPr>
                  </w:pPr>
                </w:p>
              </w:tc>
              <w:tc>
                <w:tcPr>
                  <w:tcW w:w="567" w:type="pct"/>
                  <w:vMerge w:val="continue"/>
                  <w:tcBorders>
                    <w:tl2br w:val="nil"/>
                    <w:tr2bl w:val="nil"/>
                  </w:tcBorders>
                  <w:vAlign w:val="center"/>
                </w:tcPr>
                <w:p w14:paraId="218215BE">
                  <w:pPr>
                    <w:keepNext w:val="0"/>
                    <w:keepLines w:val="0"/>
                    <w:suppressLineNumbers w:val="0"/>
                    <w:adjustRightInd w:val="0"/>
                    <w:snapToGrid w:val="0"/>
                    <w:spacing w:before="0" w:beforeAutospacing="0" w:after="0" w:afterAutospacing="0" w:line="276" w:lineRule="auto"/>
                    <w:ind w:left="0" w:right="0"/>
                    <w:jc w:val="center"/>
                    <w:rPr>
                      <w:rFonts w:hint="eastAsia"/>
                      <w:sz w:val="21"/>
                      <w:szCs w:val="21"/>
                      <w:highlight w:val="none"/>
                      <w:lang w:val="en-US" w:eastAsia="zh-CN"/>
                    </w:rPr>
                  </w:pPr>
                </w:p>
              </w:tc>
              <w:tc>
                <w:tcPr>
                  <w:tcW w:w="1360" w:type="pct"/>
                  <w:tcBorders>
                    <w:tl2br w:val="nil"/>
                    <w:tr2bl w:val="nil"/>
                  </w:tcBorders>
                  <w:vAlign w:val="center"/>
                </w:tcPr>
                <w:p w14:paraId="4AF7B46E">
                  <w:pPr>
                    <w:keepNext w:val="0"/>
                    <w:keepLines w:val="0"/>
                    <w:suppressLineNumbers w:val="0"/>
                    <w:adjustRightInd w:val="0"/>
                    <w:snapToGrid w:val="0"/>
                    <w:spacing w:before="0" w:beforeAutospacing="0" w:after="0" w:afterAutospacing="0" w:line="276" w:lineRule="auto"/>
                    <w:ind w:left="0" w:right="0"/>
                    <w:jc w:val="center"/>
                    <w:rPr>
                      <w:rFonts w:hint="eastAsia"/>
                      <w:sz w:val="21"/>
                      <w:szCs w:val="21"/>
                      <w:highlight w:val="none"/>
                      <w:lang w:val="en-US" w:eastAsia="zh-CN"/>
                    </w:rPr>
                  </w:pPr>
                  <w:r>
                    <w:rPr>
                      <w:rFonts w:hint="eastAsia"/>
                      <w:sz w:val="21"/>
                      <w:szCs w:val="21"/>
                      <w:highlight w:val="none"/>
                      <w:lang w:val="en-US" w:eastAsia="zh-CN"/>
                    </w:rPr>
                    <w:t>分子生物学实验过程</w:t>
                  </w:r>
                </w:p>
              </w:tc>
              <w:tc>
                <w:tcPr>
                  <w:tcW w:w="1164" w:type="pct"/>
                  <w:vMerge w:val="continue"/>
                  <w:tcBorders>
                    <w:tl2br w:val="nil"/>
                    <w:tr2bl w:val="nil"/>
                  </w:tcBorders>
                  <w:vAlign w:val="center"/>
                </w:tcPr>
                <w:p w14:paraId="4FBF2EE9">
                  <w:pPr>
                    <w:keepNext w:val="0"/>
                    <w:keepLines w:val="0"/>
                    <w:suppressLineNumbers w:val="0"/>
                    <w:adjustRightInd w:val="0"/>
                    <w:snapToGrid w:val="0"/>
                    <w:spacing w:before="0" w:beforeAutospacing="0" w:after="0" w:afterAutospacing="0" w:line="276" w:lineRule="auto"/>
                    <w:ind w:left="0" w:right="0"/>
                    <w:jc w:val="center"/>
                    <w:rPr>
                      <w:rFonts w:hint="eastAsia"/>
                      <w:sz w:val="21"/>
                      <w:szCs w:val="21"/>
                      <w:highlight w:val="none"/>
                      <w:lang w:val="en-US" w:eastAsia="zh-CN"/>
                    </w:rPr>
                  </w:pPr>
                </w:p>
              </w:tc>
              <w:tc>
                <w:tcPr>
                  <w:tcW w:w="1199" w:type="pct"/>
                  <w:tcBorders>
                    <w:tl2br w:val="nil"/>
                    <w:tr2bl w:val="nil"/>
                  </w:tcBorders>
                  <w:shd w:val="clear" w:color="auto" w:fill="auto"/>
                  <w:vAlign w:val="center"/>
                </w:tcPr>
                <w:p w14:paraId="395DB626">
                  <w:pPr>
                    <w:keepNext w:val="0"/>
                    <w:keepLines w:val="0"/>
                    <w:suppressLineNumbers w:val="0"/>
                    <w:adjustRightInd w:val="0"/>
                    <w:snapToGrid w:val="0"/>
                    <w:spacing w:before="0" w:beforeAutospacing="0" w:after="0" w:afterAutospacing="0" w:line="276" w:lineRule="auto"/>
                    <w:ind w:left="0" w:right="0"/>
                    <w:jc w:val="center"/>
                    <w:rPr>
                      <w:rFonts w:hint="eastAsia"/>
                      <w:sz w:val="21"/>
                      <w:szCs w:val="21"/>
                      <w:highlight w:val="none"/>
                      <w:lang w:val="en-US" w:eastAsia="zh-CN"/>
                    </w:rPr>
                  </w:pPr>
                  <w:r>
                    <w:rPr>
                      <w:rFonts w:hint="eastAsia"/>
                      <w:sz w:val="21"/>
                      <w:szCs w:val="21"/>
                      <w:highlight w:val="none"/>
                      <w:lang w:val="en-US" w:eastAsia="zh-CN"/>
                    </w:rPr>
                    <w:t>非甲烷总烃</w:t>
                  </w:r>
                </w:p>
              </w:tc>
            </w:tr>
            <w:tr w14:paraId="395786E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154" w:hRule="atLeast"/>
                <w:jc w:val="center"/>
              </w:trPr>
              <w:tc>
                <w:tcPr>
                  <w:tcW w:w="305" w:type="pct"/>
                  <w:vMerge w:val="continue"/>
                  <w:tcBorders>
                    <w:tl2br w:val="nil"/>
                    <w:tr2bl w:val="nil"/>
                  </w:tcBorders>
                  <w:vAlign w:val="center"/>
                </w:tcPr>
                <w:p w14:paraId="0C363609">
                  <w:pPr>
                    <w:keepNext w:val="0"/>
                    <w:keepLines w:val="0"/>
                    <w:suppressLineNumbers w:val="0"/>
                    <w:adjustRightInd w:val="0"/>
                    <w:snapToGrid w:val="0"/>
                    <w:spacing w:before="0" w:beforeAutospacing="0" w:after="0" w:afterAutospacing="0" w:line="276" w:lineRule="auto"/>
                    <w:ind w:left="0" w:right="0"/>
                    <w:jc w:val="center"/>
                    <w:rPr>
                      <w:rFonts w:hint="eastAsia"/>
                      <w:sz w:val="21"/>
                      <w:szCs w:val="21"/>
                      <w:highlight w:val="none"/>
                    </w:rPr>
                  </w:pPr>
                </w:p>
              </w:tc>
              <w:tc>
                <w:tcPr>
                  <w:tcW w:w="404" w:type="pct"/>
                  <w:vMerge w:val="continue"/>
                  <w:tcBorders>
                    <w:tl2br w:val="nil"/>
                    <w:tr2bl w:val="nil"/>
                  </w:tcBorders>
                  <w:vAlign w:val="center"/>
                </w:tcPr>
                <w:p w14:paraId="7202D4DA">
                  <w:pPr>
                    <w:keepNext w:val="0"/>
                    <w:keepLines w:val="0"/>
                    <w:suppressLineNumbers w:val="0"/>
                    <w:adjustRightInd w:val="0"/>
                    <w:snapToGrid w:val="0"/>
                    <w:spacing w:before="0" w:beforeAutospacing="0" w:after="0" w:afterAutospacing="0" w:line="276" w:lineRule="auto"/>
                    <w:ind w:left="0" w:right="0"/>
                    <w:jc w:val="center"/>
                    <w:rPr>
                      <w:rFonts w:hint="eastAsia"/>
                      <w:sz w:val="21"/>
                      <w:szCs w:val="21"/>
                      <w:highlight w:val="none"/>
                    </w:rPr>
                  </w:pPr>
                </w:p>
              </w:tc>
              <w:tc>
                <w:tcPr>
                  <w:tcW w:w="567" w:type="pct"/>
                  <w:vMerge w:val="continue"/>
                  <w:tcBorders>
                    <w:tl2br w:val="nil"/>
                    <w:tr2bl w:val="nil"/>
                  </w:tcBorders>
                  <w:vAlign w:val="center"/>
                </w:tcPr>
                <w:p w14:paraId="3A71BD12">
                  <w:pPr>
                    <w:keepNext w:val="0"/>
                    <w:keepLines w:val="0"/>
                    <w:suppressLineNumbers w:val="0"/>
                    <w:adjustRightInd w:val="0"/>
                    <w:snapToGrid w:val="0"/>
                    <w:spacing w:before="0" w:beforeAutospacing="0" w:after="0" w:afterAutospacing="0" w:line="276" w:lineRule="auto"/>
                    <w:ind w:left="0" w:right="0"/>
                    <w:jc w:val="center"/>
                    <w:rPr>
                      <w:rFonts w:hint="eastAsia"/>
                      <w:sz w:val="21"/>
                      <w:szCs w:val="21"/>
                      <w:highlight w:val="none"/>
                      <w:lang w:val="en-US" w:eastAsia="zh-CN"/>
                    </w:rPr>
                  </w:pPr>
                </w:p>
              </w:tc>
              <w:tc>
                <w:tcPr>
                  <w:tcW w:w="1360" w:type="pct"/>
                  <w:tcBorders>
                    <w:tl2br w:val="nil"/>
                    <w:tr2bl w:val="nil"/>
                  </w:tcBorders>
                  <w:vAlign w:val="center"/>
                </w:tcPr>
                <w:p w14:paraId="63E8D5B6">
                  <w:pPr>
                    <w:keepNext w:val="0"/>
                    <w:keepLines w:val="0"/>
                    <w:suppressLineNumbers w:val="0"/>
                    <w:adjustRightInd w:val="0"/>
                    <w:snapToGrid w:val="0"/>
                    <w:spacing w:before="0" w:beforeAutospacing="0" w:after="0" w:afterAutospacing="0" w:line="276" w:lineRule="auto"/>
                    <w:ind w:left="0" w:right="0"/>
                    <w:jc w:val="center"/>
                    <w:rPr>
                      <w:rFonts w:hint="eastAsia"/>
                      <w:sz w:val="21"/>
                      <w:szCs w:val="21"/>
                      <w:highlight w:val="none"/>
                      <w:lang w:val="en-US" w:eastAsia="zh-CN"/>
                    </w:rPr>
                  </w:pPr>
                  <w:r>
                    <w:rPr>
                      <w:rFonts w:hint="eastAsia"/>
                      <w:sz w:val="21"/>
                      <w:szCs w:val="21"/>
                      <w:highlight w:val="none"/>
                      <w:lang w:val="en-US" w:eastAsia="zh-CN"/>
                    </w:rPr>
                    <w:t>药物有机合成实验过程</w:t>
                  </w:r>
                </w:p>
              </w:tc>
              <w:tc>
                <w:tcPr>
                  <w:tcW w:w="1164" w:type="pct"/>
                  <w:vMerge w:val="continue"/>
                  <w:tcBorders>
                    <w:tl2br w:val="nil"/>
                    <w:tr2bl w:val="nil"/>
                  </w:tcBorders>
                  <w:vAlign w:val="center"/>
                </w:tcPr>
                <w:p w14:paraId="24F30DC9">
                  <w:pPr>
                    <w:keepNext w:val="0"/>
                    <w:keepLines w:val="0"/>
                    <w:suppressLineNumbers w:val="0"/>
                    <w:adjustRightInd w:val="0"/>
                    <w:snapToGrid w:val="0"/>
                    <w:spacing w:before="0" w:beforeAutospacing="0" w:after="0" w:afterAutospacing="0" w:line="276" w:lineRule="auto"/>
                    <w:ind w:left="0" w:right="0"/>
                    <w:jc w:val="center"/>
                    <w:rPr>
                      <w:rFonts w:hint="eastAsia"/>
                      <w:sz w:val="21"/>
                      <w:szCs w:val="21"/>
                      <w:highlight w:val="none"/>
                      <w:lang w:val="en-US" w:eastAsia="zh-CN"/>
                    </w:rPr>
                  </w:pPr>
                </w:p>
              </w:tc>
              <w:tc>
                <w:tcPr>
                  <w:tcW w:w="1199" w:type="pct"/>
                  <w:tcBorders>
                    <w:tl2br w:val="nil"/>
                    <w:tr2bl w:val="nil"/>
                  </w:tcBorders>
                  <w:shd w:val="clear" w:color="auto" w:fill="auto"/>
                  <w:vAlign w:val="center"/>
                </w:tcPr>
                <w:p w14:paraId="2B07974C">
                  <w:pPr>
                    <w:keepNext w:val="0"/>
                    <w:keepLines w:val="0"/>
                    <w:suppressLineNumbers w:val="0"/>
                    <w:adjustRightInd w:val="0"/>
                    <w:snapToGrid w:val="0"/>
                    <w:spacing w:before="0" w:beforeAutospacing="0" w:after="0" w:afterAutospacing="0" w:line="276" w:lineRule="auto"/>
                    <w:ind w:left="0" w:right="0"/>
                    <w:jc w:val="center"/>
                    <w:rPr>
                      <w:rFonts w:hint="default"/>
                      <w:sz w:val="21"/>
                      <w:szCs w:val="21"/>
                      <w:highlight w:val="none"/>
                      <w:lang w:val="en-US" w:eastAsia="zh-CN"/>
                    </w:rPr>
                  </w:pPr>
                  <w:r>
                    <w:rPr>
                      <w:rFonts w:hint="eastAsia"/>
                      <w:sz w:val="21"/>
                      <w:szCs w:val="21"/>
                      <w:highlight w:val="none"/>
                      <w:lang w:val="en-US" w:eastAsia="zh-CN"/>
                    </w:rPr>
                    <w:t>非甲烷总烃、氯化氢、硫酸雾</w:t>
                  </w:r>
                </w:p>
              </w:tc>
            </w:tr>
            <w:tr w14:paraId="262E9F8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310" w:hRule="atLeast"/>
                <w:jc w:val="center"/>
              </w:trPr>
              <w:tc>
                <w:tcPr>
                  <w:tcW w:w="305" w:type="pct"/>
                  <w:vMerge w:val="continue"/>
                  <w:tcBorders>
                    <w:tl2br w:val="nil"/>
                    <w:tr2bl w:val="nil"/>
                  </w:tcBorders>
                  <w:vAlign w:val="center"/>
                </w:tcPr>
                <w:p w14:paraId="4C7C9EFF">
                  <w:pPr>
                    <w:keepNext w:val="0"/>
                    <w:keepLines w:val="0"/>
                    <w:suppressLineNumbers w:val="0"/>
                    <w:adjustRightInd w:val="0"/>
                    <w:snapToGrid w:val="0"/>
                    <w:spacing w:before="0" w:beforeAutospacing="0" w:after="0" w:afterAutospacing="0" w:line="276" w:lineRule="auto"/>
                    <w:ind w:left="0" w:right="0"/>
                    <w:jc w:val="center"/>
                    <w:rPr>
                      <w:rFonts w:hint="default"/>
                      <w:sz w:val="21"/>
                      <w:szCs w:val="21"/>
                      <w:highlight w:val="none"/>
                    </w:rPr>
                  </w:pPr>
                </w:p>
              </w:tc>
              <w:tc>
                <w:tcPr>
                  <w:tcW w:w="404" w:type="pct"/>
                  <w:tcBorders>
                    <w:tl2br w:val="nil"/>
                    <w:tr2bl w:val="nil"/>
                  </w:tcBorders>
                  <w:vAlign w:val="center"/>
                </w:tcPr>
                <w:p w14:paraId="5977C36D">
                  <w:pPr>
                    <w:keepNext w:val="0"/>
                    <w:keepLines w:val="0"/>
                    <w:suppressLineNumbers w:val="0"/>
                    <w:adjustRightInd w:val="0"/>
                    <w:snapToGrid w:val="0"/>
                    <w:spacing w:before="0" w:beforeAutospacing="0" w:after="0" w:afterAutospacing="0" w:line="276" w:lineRule="auto"/>
                    <w:ind w:left="0" w:right="0"/>
                    <w:jc w:val="center"/>
                    <w:rPr>
                      <w:rFonts w:hint="eastAsia" w:eastAsia="宋体"/>
                      <w:sz w:val="21"/>
                      <w:szCs w:val="21"/>
                      <w:highlight w:val="none"/>
                      <w:lang w:val="en-US" w:eastAsia="zh-CN"/>
                    </w:rPr>
                  </w:pPr>
                  <w:r>
                    <w:rPr>
                      <w:rFonts w:hint="eastAsia"/>
                      <w:sz w:val="21"/>
                      <w:szCs w:val="21"/>
                      <w:highlight w:val="none"/>
                      <w:lang w:val="en-US" w:eastAsia="zh-CN"/>
                    </w:rPr>
                    <w:t>/</w:t>
                  </w:r>
                </w:p>
              </w:tc>
              <w:tc>
                <w:tcPr>
                  <w:tcW w:w="567" w:type="pct"/>
                  <w:tcBorders>
                    <w:tl2br w:val="nil"/>
                    <w:tr2bl w:val="nil"/>
                  </w:tcBorders>
                  <w:vAlign w:val="center"/>
                </w:tcPr>
                <w:p w14:paraId="6CB6D26D">
                  <w:pPr>
                    <w:keepNext w:val="0"/>
                    <w:keepLines w:val="0"/>
                    <w:suppressLineNumbers w:val="0"/>
                    <w:adjustRightInd w:val="0"/>
                    <w:snapToGrid w:val="0"/>
                    <w:spacing w:before="0" w:beforeAutospacing="0" w:after="0" w:afterAutospacing="0" w:line="276" w:lineRule="auto"/>
                    <w:ind w:left="0" w:right="0"/>
                    <w:jc w:val="center"/>
                    <w:rPr>
                      <w:rFonts w:hint="default" w:eastAsia="宋体"/>
                      <w:sz w:val="21"/>
                      <w:szCs w:val="21"/>
                      <w:highlight w:val="none"/>
                      <w:lang w:val="en-US" w:eastAsia="zh-CN"/>
                    </w:rPr>
                  </w:pPr>
                  <w:r>
                    <w:rPr>
                      <w:rFonts w:hint="eastAsia"/>
                      <w:sz w:val="21"/>
                      <w:szCs w:val="21"/>
                      <w:highlight w:val="none"/>
                      <w:lang w:val="en-US" w:eastAsia="zh-CN"/>
                    </w:rPr>
                    <w:t>公用单元</w:t>
                  </w:r>
                </w:p>
              </w:tc>
              <w:tc>
                <w:tcPr>
                  <w:tcW w:w="1360" w:type="pct"/>
                  <w:tcBorders>
                    <w:tl2br w:val="nil"/>
                    <w:tr2bl w:val="nil"/>
                  </w:tcBorders>
                  <w:vAlign w:val="center"/>
                </w:tcPr>
                <w:p w14:paraId="7B370850">
                  <w:pPr>
                    <w:keepNext w:val="0"/>
                    <w:keepLines w:val="0"/>
                    <w:suppressLineNumbers w:val="0"/>
                    <w:adjustRightInd w:val="0"/>
                    <w:snapToGrid w:val="0"/>
                    <w:spacing w:before="0" w:beforeAutospacing="0" w:after="0" w:afterAutospacing="0" w:line="276" w:lineRule="auto"/>
                    <w:ind w:left="0" w:right="0"/>
                    <w:jc w:val="center"/>
                    <w:rPr>
                      <w:rFonts w:hint="default"/>
                      <w:sz w:val="21"/>
                      <w:szCs w:val="21"/>
                      <w:highlight w:val="none"/>
                    </w:rPr>
                  </w:pPr>
                  <w:r>
                    <w:rPr>
                      <w:rFonts w:hint="eastAsia"/>
                      <w:sz w:val="21"/>
                      <w:szCs w:val="21"/>
                      <w:highlight w:val="none"/>
                      <w:lang w:eastAsia="zh-CN"/>
                    </w:rPr>
                    <w:t>污水处理</w:t>
                  </w:r>
                </w:p>
              </w:tc>
              <w:tc>
                <w:tcPr>
                  <w:tcW w:w="1164" w:type="pct"/>
                  <w:tcBorders>
                    <w:tl2br w:val="nil"/>
                    <w:tr2bl w:val="nil"/>
                  </w:tcBorders>
                  <w:vAlign w:val="center"/>
                </w:tcPr>
                <w:p w14:paraId="3DE53C21">
                  <w:pPr>
                    <w:keepNext w:val="0"/>
                    <w:keepLines w:val="0"/>
                    <w:suppressLineNumbers w:val="0"/>
                    <w:adjustRightInd w:val="0"/>
                    <w:snapToGrid w:val="0"/>
                    <w:spacing w:before="0" w:beforeAutospacing="0" w:after="0" w:afterAutospacing="0" w:line="276" w:lineRule="auto"/>
                    <w:ind w:left="0" w:right="0"/>
                    <w:jc w:val="center"/>
                    <w:rPr>
                      <w:rFonts w:hint="default"/>
                      <w:sz w:val="21"/>
                      <w:szCs w:val="21"/>
                      <w:highlight w:val="none"/>
                    </w:rPr>
                  </w:pPr>
                  <w:r>
                    <w:rPr>
                      <w:rFonts w:hint="eastAsia"/>
                      <w:sz w:val="21"/>
                      <w:szCs w:val="21"/>
                      <w:highlight w:val="none"/>
                    </w:rPr>
                    <w:t>恶臭</w:t>
                  </w:r>
                </w:p>
              </w:tc>
              <w:tc>
                <w:tcPr>
                  <w:tcW w:w="1199" w:type="pct"/>
                  <w:tcBorders>
                    <w:tl2br w:val="nil"/>
                    <w:tr2bl w:val="nil"/>
                  </w:tcBorders>
                  <w:vAlign w:val="center"/>
                </w:tcPr>
                <w:p w14:paraId="1990C756">
                  <w:pPr>
                    <w:keepNext w:val="0"/>
                    <w:keepLines w:val="0"/>
                    <w:suppressLineNumbers w:val="0"/>
                    <w:adjustRightInd w:val="0"/>
                    <w:snapToGrid w:val="0"/>
                    <w:spacing w:before="0" w:beforeAutospacing="0" w:after="0" w:afterAutospacing="0" w:line="276" w:lineRule="auto"/>
                    <w:ind w:left="0" w:right="0"/>
                    <w:jc w:val="center"/>
                    <w:rPr>
                      <w:rFonts w:hint="default"/>
                      <w:sz w:val="21"/>
                      <w:szCs w:val="21"/>
                      <w:highlight w:val="none"/>
                    </w:rPr>
                  </w:pPr>
                  <w:r>
                    <w:rPr>
                      <w:rFonts w:hint="default"/>
                      <w:color w:val="auto"/>
                      <w:sz w:val="21"/>
                      <w:szCs w:val="21"/>
                      <w:highlight w:val="none"/>
                    </w:rPr>
                    <w:t>NH</w:t>
                  </w:r>
                  <w:r>
                    <w:rPr>
                      <w:rFonts w:hint="default"/>
                      <w:color w:val="auto"/>
                      <w:sz w:val="21"/>
                      <w:szCs w:val="21"/>
                      <w:highlight w:val="none"/>
                      <w:vertAlign w:val="subscript"/>
                    </w:rPr>
                    <w:t>3</w:t>
                  </w:r>
                  <w:r>
                    <w:rPr>
                      <w:rFonts w:hint="eastAsia"/>
                      <w:color w:val="auto"/>
                      <w:sz w:val="21"/>
                      <w:szCs w:val="21"/>
                      <w:highlight w:val="none"/>
                      <w:vertAlign w:val="baseline"/>
                      <w:lang w:eastAsia="zh-CN"/>
                    </w:rPr>
                    <w:t>、</w:t>
                  </w:r>
                  <w:r>
                    <w:rPr>
                      <w:rFonts w:hint="default"/>
                      <w:color w:val="auto"/>
                      <w:sz w:val="21"/>
                      <w:szCs w:val="21"/>
                      <w:highlight w:val="none"/>
                    </w:rPr>
                    <w:t>H</w:t>
                  </w:r>
                  <w:r>
                    <w:rPr>
                      <w:rFonts w:hint="default"/>
                      <w:color w:val="auto"/>
                      <w:sz w:val="21"/>
                      <w:szCs w:val="21"/>
                      <w:highlight w:val="none"/>
                      <w:vertAlign w:val="subscript"/>
                    </w:rPr>
                    <w:t>2</w:t>
                  </w:r>
                  <w:r>
                    <w:rPr>
                      <w:rFonts w:hint="default"/>
                      <w:color w:val="auto"/>
                      <w:sz w:val="21"/>
                      <w:szCs w:val="21"/>
                      <w:highlight w:val="none"/>
                    </w:rPr>
                    <w:t>S、臭气浓度</w:t>
                  </w:r>
                </w:p>
              </w:tc>
            </w:tr>
            <w:tr w14:paraId="3B13E28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242" w:hRule="atLeast"/>
                <w:jc w:val="center"/>
              </w:trPr>
              <w:tc>
                <w:tcPr>
                  <w:tcW w:w="305" w:type="pct"/>
                  <w:vMerge w:val="restart"/>
                  <w:tcBorders>
                    <w:tl2br w:val="nil"/>
                    <w:tr2bl w:val="nil"/>
                  </w:tcBorders>
                  <w:vAlign w:val="center"/>
                </w:tcPr>
                <w:p w14:paraId="5537E3A1">
                  <w:pPr>
                    <w:keepNext w:val="0"/>
                    <w:keepLines w:val="0"/>
                    <w:suppressLineNumbers w:val="0"/>
                    <w:adjustRightInd w:val="0"/>
                    <w:snapToGrid w:val="0"/>
                    <w:spacing w:before="0" w:beforeAutospacing="0" w:after="0" w:afterAutospacing="0" w:line="276" w:lineRule="auto"/>
                    <w:ind w:left="0" w:right="0"/>
                    <w:jc w:val="center"/>
                    <w:rPr>
                      <w:rFonts w:hint="eastAsia" w:eastAsia="宋体"/>
                      <w:sz w:val="21"/>
                      <w:szCs w:val="21"/>
                      <w:highlight w:val="none"/>
                      <w:lang w:val="en-US" w:eastAsia="zh-CN"/>
                    </w:rPr>
                  </w:pPr>
                  <w:r>
                    <w:rPr>
                      <w:rFonts w:hint="eastAsia"/>
                      <w:sz w:val="21"/>
                      <w:szCs w:val="21"/>
                      <w:highlight w:val="none"/>
                      <w:lang w:val="en-US" w:eastAsia="zh-CN"/>
                    </w:rPr>
                    <w:t>废水</w:t>
                  </w:r>
                </w:p>
              </w:tc>
              <w:tc>
                <w:tcPr>
                  <w:tcW w:w="404" w:type="pct"/>
                  <w:tcBorders>
                    <w:tl2br w:val="nil"/>
                    <w:tr2bl w:val="nil"/>
                  </w:tcBorders>
                  <w:vAlign w:val="center"/>
                </w:tcPr>
                <w:p w14:paraId="4D3E9046">
                  <w:pPr>
                    <w:keepNext w:val="0"/>
                    <w:keepLines w:val="0"/>
                    <w:suppressLineNumbers w:val="0"/>
                    <w:adjustRightInd w:val="0"/>
                    <w:snapToGrid w:val="0"/>
                    <w:spacing w:before="0" w:beforeAutospacing="0" w:after="0" w:afterAutospacing="0" w:line="276" w:lineRule="auto"/>
                    <w:ind w:left="0" w:right="0"/>
                    <w:jc w:val="center"/>
                    <w:rPr>
                      <w:rFonts w:hint="default" w:eastAsia="宋体"/>
                      <w:sz w:val="21"/>
                      <w:szCs w:val="21"/>
                      <w:highlight w:val="none"/>
                      <w:lang w:val="en-US" w:eastAsia="zh-CN"/>
                    </w:rPr>
                  </w:pPr>
                  <w:r>
                    <w:rPr>
                      <w:rFonts w:hint="eastAsia"/>
                      <w:sz w:val="21"/>
                      <w:szCs w:val="21"/>
                      <w:highlight w:val="none"/>
                      <w:lang w:val="en-US" w:eastAsia="zh-CN"/>
                    </w:rPr>
                    <w:t>W1-1、W1-2、W1-3</w:t>
                  </w:r>
                </w:p>
              </w:tc>
              <w:tc>
                <w:tcPr>
                  <w:tcW w:w="567" w:type="pct"/>
                  <w:vMerge w:val="restart"/>
                  <w:tcBorders>
                    <w:tl2br w:val="nil"/>
                    <w:tr2bl w:val="nil"/>
                  </w:tcBorders>
                  <w:vAlign w:val="center"/>
                </w:tcPr>
                <w:p w14:paraId="39617BD8">
                  <w:pPr>
                    <w:keepNext w:val="0"/>
                    <w:keepLines w:val="0"/>
                    <w:suppressLineNumbers w:val="0"/>
                    <w:adjustRightInd w:val="0"/>
                    <w:snapToGrid w:val="0"/>
                    <w:spacing w:before="0" w:beforeAutospacing="0" w:after="0" w:afterAutospacing="0" w:line="276" w:lineRule="auto"/>
                    <w:ind w:left="0" w:right="0"/>
                    <w:jc w:val="center"/>
                    <w:rPr>
                      <w:rFonts w:hint="default"/>
                      <w:sz w:val="21"/>
                      <w:szCs w:val="21"/>
                      <w:highlight w:val="none"/>
                      <w:lang w:val="en-US" w:eastAsia="zh-CN"/>
                    </w:rPr>
                  </w:pPr>
                  <w:r>
                    <w:rPr>
                      <w:rFonts w:hint="eastAsia"/>
                      <w:sz w:val="21"/>
                      <w:szCs w:val="21"/>
                      <w:highlight w:val="none"/>
                      <w:lang w:val="en-US" w:eastAsia="zh-CN"/>
                    </w:rPr>
                    <w:t>实验动物中心</w:t>
                  </w:r>
                </w:p>
              </w:tc>
              <w:tc>
                <w:tcPr>
                  <w:tcW w:w="1360" w:type="pct"/>
                  <w:tcBorders>
                    <w:tl2br w:val="nil"/>
                    <w:tr2bl w:val="nil"/>
                  </w:tcBorders>
                  <w:vAlign w:val="center"/>
                </w:tcPr>
                <w:p w14:paraId="20FC2177">
                  <w:pPr>
                    <w:keepNext w:val="0"/>
                    <w:keepLines w:val="0"/>
                    <w:suppressLineNumbers w:val="0"/>
                    <w:adjustRightInd w:val="0"/>
                    <w:snapToGrid w:val="0"/>
                    <w:spacing w:before="0" w:beforeAutospacing="0" w:after="0" w:afterAutospacing="0" w:line="276" w:lineRule="auto"/>
                    <w:ind w:left="0" w:right="0"/>
                    <w:jc w:val="center"/>
                    <w:rPr>
                      <w:rFonts w:hint="eastAsia"/>
                      <w:sz w:val="21"/>
                      <w:szCs w:val="21"/>
                      <w:highlight w:val="none"/>
                    </w:rPr>
                  </w:pPr>
                  <w:r>
                    <w:rPr>
                      <w:rStyle w:val="123"/>
                      <w:rFonts w:hint="default"/>
                      <w:color w:val="auto"/>
                      <w:sz w:val="21"/>
                      <w:szCs w:val="21"/>
                      <w:highlight w:val="none"/>
                    </w:rPr>
                    <w:t>饲养间</w:t>
                  </w:r>
                  <w:r>
                    <w:rPr>
                      <w:rStyle w:val="123"/>
                      <w:rFonts w:hint="eastAsia"/>
                      <w:color w:val="auto"/>
                      <w:sz w:val="21"/>
                      <w:szCs w:val="21"/>
                      <w:highlight w:val="none"/>
                      <w:lang w:val="en-US" w:eastAsia="zh-CN"/>
                    </w:rPr>
                    <w:t>清洗</w:t>
                  </w:r>
                  <w:r>
                    <w:rPr>
                      <w:rStyle w:val="123"/>
                      <w:rFonts w:hint="default"/>
                      <w:color w:val="auto"/>
                      <w:sz w:val="21"/>
                      <w:szCs w:val="21"/>
                      <w:highlight w:val="none"/>
                    </w:rPr>
                    <w:t>、洗笼机、动物洗烘</w:t>
                  </w:r>
                </w:p>
              </w:tc>
              <w:tc>
                <w:tcPr>
                  <w:tcW w:w="1164" w:type="pct"/>
                  <w:tcBorders>
                    <w:tl2br w:val="nil"/>
                    <w:tr2bl w:val="nil"/>
                  </w:tcBorders>
                  <w:vAlign w:val="center"/>
                </w:tcPr>
                <w:p w14:paraId="2BFBDFF1">
                  <w:pPr>
                    <w:keepNext w:val="0"/>
                    <w:keepLines w:val="0"/>
                    <w:suppressLineNumbers w:val="0"/>
                    <w:adjustRightInd w:val="0"/>
                    <w:snapToGrid w:val="0"/>
                    <w:spacing w:before="0" w:beforeAutospacing="0" w:after="0" w:afterAutospacing="0" w:line="276" w:lineRule="auto"/>
                    <w:ind w:left="0" w:right="0"/>
                    <w:jc w:val="center"/>
                    <w:rPr>
                      <w:rFonts w:hint="default" w:eastAsia="宋体"/>
                      <w:sz w:val="21"/>
                      <w:szCs w:val="21"/>
                      <w:highlight w:val="none"/>
                      <w:lang w:val="en-US" w:eastAsia="zh-CN"/>
                    </w:rPr>
                  </w:pPr>
                  <w:r>
                    <w:rPr>
                      <w:rStyle w:val="123"/>
                      <w:rFonts w:hint="default"/>
                      <w:color w:val="auto"/>
                      <w:sz w:val="21"/>
                      <w:szCs w:val="21"/>
                      <w:highlight w:val="none"/>
                    </w:rPr>
                    <w:t>饲养间</w:t>
                  </w:r>
                  <w:r>
                    <w:rPr>
                      <w:rStyle w:val="123"/>
                      <w:rFonts w:hint="eastAsia"/>
                      <w:color w:val="auto"/>
                      <w:sz w:val="21"/>
                      <w:szCs w:val="21"/>
                      <w:highlight w:val="none"/>
                      <w:lang w:val="en-US" w:eastAsia="zh-CN"/>
                    </w:rPr>
                    <w:t>清洗废水</w:t>
                  </w:r>
                  <w:r>
                    <w:rPr>
                      <w:rStyle w:val="123"/>
                      <w:rFonts w:hint="default"/>
                      <w:color w:val="auto"/>
                      <w:sz w:val="21"/>
                      <w:szCs w:val="21"/>
                      <w:highlight w:val="none"/>
                    </w:rPr>
                    <w:t>、洗笼</w:t>
                  </w:r>
                  <w:r>
                    <w:rPr>
                      <w:rStyle w:val="123"/>
                      <w:rFonts w:hint="eastAsia"/>
                      <w:color w:val="auto"/>
                      <w:sz w:val="21"/>
                      <w:szCs w:val="21"/>
                      <w:highlight w:val="none"/>
                      <w:lang w:val="en-US" w:eastAsia="zh-CN"/>
                    </w:rPr>
                    <w:t>废水</w:t>
                  </w:r>
                  <w:r>
                    <w:rPr>
                      <w:rStyle w:val="123"/>
                      <w:rFonts w:hint="default"/>
                      <w:color w:val="auto"/>
                      <w:sz w:val="21"/>
                      <w:szCs w:val="21"/>
                      <w:highlight w:val="none"/>
                    </w:rPr>
                    <w:t>、动物洗烘</w:t>
                  </w:r>
                  <w:r>
                    <w:rPr>
                      <w:rStyle w:val="123"/>
                      <w:rFonts w:hint="eastAsia"/>
                      <w:color w:val="auto"/>
                      <w:sz w:val="21"/>
                      <w:szCs w:val="21"/>
                      <w:highlight w:val="none"/>
                      <w:lang w:val="en-US" w:eastAsia="zh-CN"/>
                    </w:rPr>
                    <w:t>废水、动物尿液</w:t>
                  </w:r>
                </w:p>
              </w:tc>
              <w:tc>
                <w:tcPr>
                  <w:tcW w:w="1199" w:type="pct"/>
                  <w:tcBorders>
                    <w:tl2br w:val="nil"/>
                    <w:tr2bl w:val="nil"/>
                  </w:tcBorders>
                  <w:vAlign w:val="center"/>
                </w:tcPr>
                <w:p w14:paraId="7137593D">
                  <w:pPr>
                    <w:keepNext w:val="0"/>
                    <w:keepLines w:val="0"/>
                    <w:suppressLineNumbers w:val="0"/>
                    <w:adjustRightInd w:val="0"/>
                    <w:snapToGrid w:val="0"/>
                    <w:spacing w:before="0" w:beforeAutospacing="0" w:after="0" w:afterAutospacing="0" w:line="276" w:lineRule="auto"/>
                    <w:ind w:left="0" w:right="0"/>
                    <w:jc w:val="center"/>
                    <w:rPr>
                      <w:rFonts w:hint="default" w:eastAsia="宋体"/>
                      <w:sz w:val="21"/>
                      <w:szCs w:val="21"/>
                      <w:highlight w:val="none"/>
                      <w:lang w:val="en-US" w:eastAsia="zh-CN"/>
                    </w:rPr>
                  </w:pPr>
                  <w:r>
                    <w:rPr>
                      <w:rFonts w:hint="eastAsia"/>
                      <w:sz w:val="21"/>
                      <w:szCs w:val="21"/>
                      <w:highlight w:val="none"/>
                      <w:lang w:val="en-US" w:eastAsia="zh-CN"/>
                    </w:rPr>
                    <w:t>pH、</w:t>
                  </w:r>
                  <w:r>
                    <w:rPr>
                      <w:rFonts w:hint="default"/>
                      <w:sz w:val="21"/>
                      <w:szCs w:val="21"/>
                      <w:highlight w:val="none"/>
                    </w:rPr>
                    <w:t>COD</w:t>
                  </w:r>
                  <w:r>
                    <w:rPr>
                      <w:rFonts w:hint="eastAsia"/>
                      <w:sz w:val="21"/>
                      <w:szCs w:val="21"/>
                      <w:highlight w:val="none"/>
                      <w:vertAlign w:val="subscript"/>
                    </w:rPr>
                    <w:t>C</w:t>
                  </w:r>
                  <w:r>
                    <w:rPr>
                      <w:rFonts w:hint="default"/>
                      <w:sz w:val="21"/>
                      <w:szCs w:val="21"/>
                      <w:highlight w:val="none"/>
                      <w:vertAlign w:val="subscript"/>
                    </w:rPr>
                    <w:t>r</w:t>
                  </w:r>
                  <w:r>
                    <w:rPr>
                      <w:rFonts w:hint="eastAsia"/>
                      <w:sz w:val="21"/>
                      <w:szCs w:val="21"/>
                      <w:highlight w:val="none"/>
                    </w:rPr>
                    <w:t>、</w:t>
                  </w:r>
                  <w:r>
                    <w:rPr>
                      <w:rFonts w:hint="eastAsia"/>
                      <w:sz w:val="21"/>
                      <w:szCs w:val="21"/>
                      <w:highlight w:val="none"/>
                      <w:lang w:val="en-US" w:eastAsia="zh-CN"/>
                    </w:rPr>
                    <w:t>NH</w:t>
                  </w:r>
                  <w:r>
                    <w:rPr>
                      <w:rFonts w:hint="eastAsia"/>
                      <w:sz w:val="21"/>
                      <w:szCs w:val="21"/>
                      <w:highlight w:val="none"/>
                      <w:vertAlign w:val="subscript"/>
                      <w:lang w:val="en-US" w:eastAsia="zh-CN"/>
                    </w:rPr>
                    <w:t>3</w:t>
                  </w:r>
                  <w:r>
                    <w:rPr>
                      <w:rFonts w:hint="eastAsia"/>
                      <w:sz w:val="21"/>
                      <w:szCs w:val="21"/>
                      <w:highlight w:val="none"/>
                      <w:lang w:val="en-US" w:eastAsia="zh-CN"/>
                    </w:rPr>
                    <w:t>-N</w:t>
                  </w:r>
                  <w:r>
                    <w:rPr>
                      <w:rFonts w:hint="eastAsia"/>
                      <w:sz w:val="21"/>
                      <w:szCs w:val="21"/>
                      <w:highlight w:val="none"/>
                    </w:rPr>
                    <w:t>、</w:t>
                  </w:r>
                  <w:r>
                    <w:rPr>
                      <w:rFonts w:hint="eastAsia"/>
                      <w:sz w:val="21"/>
                      <w:szCs w:val="21"/>
                      <w:highlight w:val="none"/>
                      <w:lang w:val="en-US" w:eastAsia="zh-CN"/>
                    </w:rPr>
                    <w:t>TP、TN、</w:t>
                  </w:r>
                  <w:r>
                    <w:rPr>
                      <w:rFonts w:hint="eastAsia"/>
                      <w:sz w:val="21"/>
                      <w:szCs w:val="21"/>
                      <w:highlight w:val="none"/>
                    </w:rPr>
                    <w:t>SS、粪大肠杆菌</w:t>
                  </w:r>
                </w:p>
              </w:tc>
            </w:tr>
            <w:tr w14:paraId="7DA2D15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242" w:hRule="atLeast"/>
                <w:jc w:val="center"/>
              </w:trPr>
              <w:tc>
                <w:tcPr>
                  <w:tcW w:w="305" w:type="pct"/>
                  <w:vMerge w:val="continue"/>
                  <w:tcBorders>
                    <w:tl2br w:val="nil"/>
                    <w:tr2bl w:val="nil"/>
                  </w:tcBorders>
                  <w:vAlign w:val="center"/>
                </w:tcPr>
                <w:p w14:paraId="51E93B23">
                  <w:pPr>
                    <w:keepNext w:val="0"/>
                    <w:keepLines w:val="0"/>
                    <w:suppressLineNumbers w:val="0"/>
                    <w:adjustRightInd w:val="0"/>
                    <w:snapToGrid w:val="0"/>
                    <w:spacing w:before="0" w:beforeAutospacing="0" w:after="0" w:afterAutospacing="0" w:line="276" w:lineRule="auto"/>
                    <w:ind w:left="0" w:right="0"/>
                    <w:jc w:val="center"/>
                    <w:rPr>
                      <w:rFonts w:hint="default"/>
                      <w:sz w:val="21"/>
                      <w:szCs w:val="21"/>
                      <w:highlight w:val="none"/>
                    </w:rPr>
                  </w:pPr>
                </w:p>
              </w:tc>
              <w:tc>
                <w:tcPr>
                  <w:tcW w:w="404" w:type="pct"/>
                  <w:tcBorders>
                    <w:tl2br w:val="nil"/>
                    <w:tr2bl w:val="nil"/>
                  </w:tcBorders>
                  <w:vAlign w:val="center"/>
                </w:tcPr>
                <w:p w14:paraId="77A864AE">
                  <w:pPr>
                    <w:keepNext w:val="0"/>
                    <w:keepLines w:val="0"/>
                    <w:suppressLineNumbers w:val="0"/>
                    <w:adjustRightInd w:val="0"/>
                    <w:snapToGrid w:val="0"/>
                    <w:spacing w:before="0" w:beforeAutospacing="0" w:after="0" w:afterAutospacing="0" w:line="276" w:lineRule="auto"/>
                    <w:ind w:left="0" w:right="0"/>
                    <w:jc w:val="center"/>
                    <w:rPr>
                      <w:rFonts w:hint="default" w:eastAsia="宋体"/>
                      <w:sz w:val="21"/>
                      <w:szCs w:val="21"/>
                      <w:highlight w:val="none"/>
                      <w:lang w:val="en-US" w:eastAsia="zh-CN"/>
                    </w:rPr>
                  </w:pPr>
                  <w:r>
                    <w:rPr>
                      <w:rFonts w:hint="eastAsia"/>
                      <w:sz w:val="21"/>
                      <w:szCs w:val="21"/>
                      <w:highlight w:val="none"/>
                      <w:lang w:val="en-US" w:eastAsia="zh-CN"/>
                    </w:rPr>
                    <w:t>W1-4</w:t>
                  </w:r>
                </w:p>
              </w:tc>
              <w:tc>
                <w:tcPr>
                  <w:tcW w:w="567" w:type="pct"/>
                  <w:vMerge w:val="continue"/>
                  <w:tcBorders>
                    <w:tl2br w:val="nil"/>
                    <w:tr2bl w:val="nil"/>
                  </w:tcBorders>
                  <w:vAlign w:val="center"/>
                </w:tcPr>
                <w:p w14:paraId="697E0338">
                  <w:pPr>
                    <w:keepNext w:val="0"/>
                    <w:keepLines w:val="0"/>
                    <w:suppressLineNumbers w:val="0"/>
                    <w:adjustRightInd w:val="0"/>
                    <w:snapToGrid w:val="0"/>
                    <w:spacing w:before="0" w:beforeAutospacing="0" w:after="0" w:afterAutospacing="0" w:line="276" w:lineRule="auto"/>
                    <w:ind w:left="0" w:right="0"/>
                    <w:jc w:val="center"/>
                    <w:rPr>
                      <w:rFonts w:hint="default"/>
                      <w:sz w:val="21"/>
                      <w:szCs w:val="21"/>
                      <w:highlight w:val="none"/>
                      <w:lang w:val="en-US" w:eastAsia="zh-CN"/>
                    </w:rPr>
                  </w:pPr>
                </w:p>
              </w:tc>
              <w:tc>
                <w:tcPr>
                  <w:tcW w:w="1360" w:type="pct"/>
                  <w:tcBorders>
                    <w:tl2br w:val="nil"/>
                    <w:tr2bl w:val="nil"/>
                  </w:tcBorders>
                  <w:vAlign w:val="center"/>
                </w:tcPr>
                <w:p w14:paraId="580F44E6">
                  <w:pPr>
                    <w:keepNext w:val="0"/>
                    <w:keepLines w:val="0"/>
                    <w:suppressLineNumbers w:val="0"/>
                    <w:adjustRightInd w:val="0"/>
                    <w:snapToGrid w:val="0"/>
                    <w:spacing w:before="0" w:beforeAutospacing="0" w:after="0" w:afterAutospacing="0" w:line="276" w:lineRule="auto"/>
                    <w:ind w:left="0" w:right="0"/>
                    <w:jc w:val="center"/>
                    <w:rPr>
                      <w:rFonts w:hint="default" w:eastAsia="宋体"/>
                      <w:color w:val="auto"/>
                      <w:sz w:val="21"/>
                      <w:szCs w:val="21"/>
                      <w:highlight w:val="none"/>
                      <w:lang w:val="en-US" w:eastAsia="zh-CN"/>
                    </w:rPr>
                  </w:pPr>
                  <w:r>
                    <w:rPr>
                      <w:rFonts w:hint="eastAsia"/>
                      <w:color w:val="auto"/>
                      <w:sz w:val="21"/>
                      <w:szCs w:val="21"/>
                      <w:highlight w:val="none"/>
                      <w:lang w:val="en-US" w:eastAsia="zh-CN"/>
                    </w:rPr>
                    <w:t>灭菌</w:t>
                  </w:r>
                </w:p>
              </w:tc>
              <w:tc>
                <w:tcPr>
                  <w:tcW w:w="1164" w:type="pct"/>
                  <w:tcBorders>
                    <w:tl2br w:val="nil"/>
                    <w:tr2bl w:val="nil"/>
                  </w:tcBorders>
                  <w:vAlign w:val="center"/>
                </w:tcPr>
                <w:p w14:paraId="1D6C5DF1">
                  <w:pPr>
                    <w:keepNext w:val="0"/>
                    <w:keepLines w:val="0"/>
                    <w:suppressLineNumbers w:val="0"/>
                    <w:adjustRightInd w:val="0"/>
                    <w:snapToGrid w:val="0"/>
                    <w:spacing w:before="0" w:beforeAutospacing="0" w:after="0" w:afterAutospacing="0" w:line="276" w:lineRule="auto"/>
                    <w:ind w:left="0" w:right="0"/>
                    <w:jc w:val="center"/>
                    <w:rPr>
                      <w:rFonts w:hint="default"/>
                      <w:color w:val="auto"/>
                      <w:sz w:val="21"/>
                      <w:szCs w:val="21"/>
                      <w:highlight w:val="none"/>
                      <w:lang w:val="en-US" w:eastAsia="zh-CN"/>
                    </w:rPr>
                  </w:pPr>
                  <w:r>
                    <w:rPr>
                      <w:rFonts w:hint="eastAsia"/>
                      <w:color w:val="auto"/>
                      <w:sz w:val="21"/>
                      <w:szCs w:val="21"/>
                      <w:highlight w:val="none"/>
                      <w:lang w:val="en-US" w:eastAsia="zh-CN"/>
                    </w:rPr>
                    <w:t>灭菌废水</w:t>
                  </w:r>
                </w:p>
              </w:tc>
              <w:tc>
                <w:tcPr>
                  <w:tcW w:w="1199" w:type="pct"/>
                  <w:tcBorders>
                    <w:tl2br w:val="nil"/>
                    <w:tr2bl w:val="nil"/>
                  </w:tcBorders>
                  <w:vAlign w:val="center"/>
                </w:tcPr>
                <w:p w14:paraId="5E15E741">
                  <w:pPr>
                    <w:keepNext w:val="0"/>
                    <w:keepLines w:val="0"/>
                    <w:suppressLineNumbers w:val="0"/>
                    <w:adjustRightInd w:val="0"/>
                    <w:snapToGrid w:val="0"/>
                    <w:spacing w:before="0" w:beforeAutospacing="0" w:after="0" w:afterAutospacing="0" w:line="276" w:lineRule="auto"/>
                    <w:ind w:left="0" w:right="0"/>
                    <w:jc w:val="center"/>
                    <w:rPr>
                      <w:rFonts w:hint="default"/>
                      <w:color w:val="auto"/>
                      <w:sz w:val="21"/>
                      <w:szCs w:val="21"/>
                      <w:highlight w:val="none"/>
                    </w:rPr>
                  </w:pPr>
                  <w:r>
                    <w:rPr>
                      <w:rFonts w:hint="eastAsia"/>
                      <w:sz w:val="21"/>
                      <w:szCs w:val="21"/>
                      <w:highlight w:val="none"/>
                      <w:lang w:val="en-US" w:eastAsia="zh-CN"/>
                    </w:rPr>
                    <w:t>pH、</w:t>
                  </w:r>
                  <w:r>
                    <w:rPr>
                      <w:rFonts w:hint="default"/>
                      <w:color w:val="auto"/>
                      <w:sz w:val="21"/>
                      <w:szCs w:val="21"/>
                      <w:highlight w:val="none"/>
                    </w:rPr>
                    <w:t>COD</w:t>
                  </w:r>
                  <w:r>
                    <w:rPr>
                      <w:rFonts w:hint="eastAsia"/>
                      <w:color w:val="auto"/>
                      <w:sz w:val="21"/>
                      <w:szCs w:val="21"/>
                      <w:highlight w:val="none"/>
                      <w:lang w:val="en-US" w:eastAsia="zh-CN"/>
                    </w:rPr>
                    <w:t>cr</w:t>
                  </w:r>
                  <w:r>
                    <w:rPr>
                      <w:rFonts w:hint="default"/>
                      <w:color w:val="auto"/>
                      <w:sz w:val="21"/>
                      <w:szCs w:val="21"/>
                      <w:highlight w:val="none"/>
                    </w:rPr>
                    <w:t>、SS</w:t>
                  </w:r>
                </w:p>
              </w:tc>
            </w:tr>
            <w:tr w14:paraId="0E4D424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86" w:hRule="atLeast"/>
                <w:jc w:val="center"/>
              </w:trPr>
              <w:tc>
                <w:tcPr>
                  <w:tcW w:w="305" w:type="pct"/>
                  <w:vMerge w:val="continue"/>
                  <w:tcBorders>
                    <w:tl2br w:val="nil"/>
                    <w:tr2bl w:val="nil"/>
                  </w:tcBorders>
                  <w:vAlign w:val="center"/>
                </w:tcPr>
                <w:p w14:paraId="2945BE9D">
                  <w:pPr>
                    <w:keepNext w:val="0"/>
                    <w:keepLines w:val="0"/>
                    <w:suppressLineNumbers w:val="0"/>
                    <w:adjustRightInd w:val="0"/>
                    <w:snapToGrid w:val="0"/>
                    <w:spacing w:before="0" w:beforeAutospacing="0" w:after="0" w:afterAutospacing="0" w:line="276" w:lineRule="auto"/>
                    <w:ind w:left="0" w:right="0"/>
                    <w:jc w:val="center"/>
                    <w:rPr>
                      <w:rFonts w:hint="default"/>
                      <w:sz w:val="21"/>
                      <w:szCs w:val="21"/>
                      <w:highlight w:val="none"/>
                    </w:rPr>
                  </w:pPr>
                </w:p>
              </w:tc>
              <w:tc>
                <w:tcPr>
                  <w:tcW w:w="404" w:type="pct"/>
                  <w:tcBorders>
                    <w:tl2br w:val="nil"/>
                    <w:tr2bl w:val="nil"/>
                  </w:tcBorders>
                  <w:vAlign w:val="center"/>
                </w:tcPr>
                <w:p w14:paraId="4686463D">
                  <w:pPr>
                    <w:keepNext w:val="0"/>
                    <w:keepLines w:val="0"/>
                    <w:suppressLineNumbers w:val="0"/>
                    <w:adjustRightInd w:val="0"/>
                    <w:snapToGrid w:val="0"/>
                    <w:spacing w:before="0" w:beforeAutospacing="0" w:after="0" w:afterAutospacing="0" w:line="276" w:lineRule="auto"/>
                    <w:ind w:left="0" w:right="0"/>
                    <w:jc w:val="center"/>
                    <w:rPr>
                      <w:rFonts w:hint="default" w:eastAsia="宋体"/>
                      <w:sz w:val="21"/>
                      <w:szCs w:val="21"/>
                      <w:highlight w:val="none"/>
                      <w:lang w:val="en-US" w:eastAsia="zh-CN"/>
                    </w:rPr>
                  </w:pPr>
                  <w:r>
                    <w:rPr>
                      <w:rFonts w:hint="eastAsia"/>
                      <w:sz w:val="21"/>
                      <w:szCs w:val="21"/>
                      <w:highlight w:val="none"/>
                      <w:lang w:val="en-US" w:eastAsia="zh-CN"/>
                    </w:rPr>
                    <w:t>W1-4</w:t>
                  </w:r>
                </w:p>
              </w:tc>
              <w:tc>
                <w:tcPr>
                  <w:tcW w:w="567" w:type="pct"/>
                  <w:vMerge w:val="continue"/>
                  <w:tcBorders>
                    <w:tl2br w:val="nil"/>
                    <w:tr2bl w:val="nil"/>
                  </w:tcBorders>
                  <w:vAlign w:val="center"/>
                </w:tcPr>
                <w:p w14:paraId="7B2FABB2">
                  <w:pPr>
                    <w:keepNext w:val="0"/>
                    <w:keepLines w:val="0"/>
                    <w:suppressLineNumbers w:val="0"/>
                    <w:adjustRightInd w:val="0"/>
                    <w:snapToGrid w:val="0"/>
                    <w:spacing w:before="0" w:beforeAutospacing="0" w:after="0" w:afterAutospacing="0" w:line="276" w:lineRule="auto"/>
                    <w:ind w:left="0" w:right="0"/>
                    <w:jc w:val="center"/>
                    <w:rPr>
                      <w:rFonts w:hint="default" w:eastAsia="宋体"/>
                      <w:sz w:val="21"/>
                      <w:szCs w:val="21"/>
                      <w:highlight w:val="none"/>
                      <w:lang w:val="en-US" w:eastAsia="zh-CN"/>
                    </w:rPr>
                  </w:pPr>
                </w:p>
              </w:tc>
              <w:tc>
                <w:tcPr>
                  <w:tcW w:w="1360" w:type="pct"/>
                  <w:tcBorders>
                    <w:tl2br w:val="nil"/>
                    <w:tr2bl w:val="nil"/>
                  </w:tcBorders>
                  <w:vAlign w:val="center"/>
                </w:tcPr>
                <w:p w14:paraId="1FE4904E">
                  <w:pPr>
                    <w:keepNext w:val="0"/>
                    <w:keepLines w:val="0"/>
                    <w:suppressLineNumbers w:val="0"/>
                    <w:adjustRightInd w:val="0"/>
                    <w:snapToGrid w:val="0"/>
                    <w:spacing w:before="0" w:beforeAutospacing="0" w:after="0" w:afterAutospacing="0" w:line="276" w:lineRule="auto"/>
                    <w:ind w:left="0" w:right="0"/>
                    <w:jc w:val="center"/>
                    <w:rPr>
                      <w:rFonts w:hint="default"/>
                      <w:sz w:val="21"/>
                      <w:szCs w:val="21"/>
                      <w:highlight w:val="none"/>
                      <w:lang w:val="en-US"/>
                    </w:rPr>
                  </w:pPr>
                  <w:r>
                    <w:rPr>
                      <w:rFonts w:hint="eastAsia"/>
                      <w:sz w:val="21"/>
                      <w:szCs w:val="21"/>
                      <w:highlight w:val="none"/>
                    </w:rPr>
                    <w:t>实验</w:t>
                  </w:r>
                  <w:r>
                    <w:rPr>
                      <w:rFonts w:hint="eastAsia"/>
                      <w:sz w:val="21"/>
                      <w:szCs w:val="21"/>
                      <w:highlight w:val="none"/>
                      <w:lang w:val="en-US" w:eastAsia="zh-CN"/>
                    </w:rPr>
                    <w:t>室设备清洗</w:t>
                  </w:r>
                </w:p>
              </w:tc>
              <w:tc>
                <w:tcPr>
                  <w:tcW w:w="1164" w:type="pct"/>
                  <w:tcBorders>
                    <w:tl2br w:val="nil"/>
                    <w:tr2bl w:val="nil"/>
                  </w:tcBorders>
                  <w:vAlign w:val="center"/>
                </w:tcPr>
                <w:p w14:paraId="24B66019">
                  <w:pPr>
                    <w:keepNext w:val="0"/>
                    <w:keepLines w:val="0"/>
                    <w:suppressLineNumbers w:val="0"/>
                    <w:adjustRightInd w:val="0"/>
                    <w:snapToGrid w:val="0"/>
                    <w:spacing w:before="0" w:beforeAutospacing="0" w:after="0" w:afterAutospacing="0" w:line="276" w:lineRule="auto"/>
                    <w:ind w:left="0" w:right="0"/>
                    <w:jc w:val="center"/>
                    <w:rPr>
                      <w:rFonts w:hint="default"/>
                      <w:sz w:val="21"/>
                      <w:szCs w:val="21"/>
                      <w:highlight w:val="none"/>
                    </w:rPr>
                  </w:pPr>
                  <w:r>
                    <w:rPr>
                      <w:rFonts w:hint="eastAsia"/>
                      <w:sz w:val="21"/>
                      <w:szCs w:val="21"/>
                      <w:highlight w:val="none"/>
                    </w:rPr>
                    <w:t>实验</w:t>
                  </w:r>
                  <w:r>
                    <w:rPr>
                      <w:rFonts w:hint="eastAsia"/>
                      <w:sz w:val="21"/>
                      <w:szCs w:val="21"/>
                      <w:highlight w:val="none"/>
                      <w:lang w:val="en-US" w:eastAsia="zh-CN"/>
                    </w:rPr>
                    <w:t>设备</w:t>
                  </w:r>
                  <w:r>
                    <w:rPr>
                      <w:rFonts w:hint="eastAsia"/>
                      <w:sz w:val="21"/>
                      <w:szCs w:val="21"/>
                      <w:highlight w:val="none"/>
                    </w:rPr>
                    <w:t>清洗废水</w:t>
                  </w:r>
                </w:p>
              </w:tc>
              <w:tc>
                <w:tcPr>
                  <w:tcW w:w="1199" w:type="pct"/>
                  <w:tcBorders>
                    <w:tl2br w:val="nil"/>
                    <w:tr2bl w:val="nil"/>
                  </w:tcBorders>
                  <w:vAlign w:val="center"/>
                </w:tcPr>
                <w:p w14:paraId="362FF5CA">
                  <w:pPr>
                    <w:keepNext w:val="0"/>
                    <w:keepLines w:val="0"/>
                    <w:suppressLineNumbers w:val="0"/>
                    <w:adjustRightInd w:val="0"/>
                    <w:snapToGrid w:val="0"/>
                    <w:spacing w:before="0" w:beforeAutospacing="0" w:after="0" w:afterAutospacing="0" w:line="276" w:lineRule="auto"/>
                    <w:ind w:left="0" w:right="0"/>
                    <w:jc w:val="center"/>
                    <w:rPr>
                      <w:rFonts w:hint="default" w:eastAsia="宋体"/>
                      <w:sz w:val="21"/>
                      <w:szCs w:val="21"/>
                      <w:highlight w:val="none"/>
                      <w:lang w:val="en-US" w:eastAsia="zh-CN"/>
                    </w:rPr>
                  </w:pPr>
                  <w:r>
                    <w:rPr>
                      <w:rFonts w:hint="eastAsia"/>
                      <w:sz w:val="21"/>
                      <w:szCs w:val="21"/>
                      <w:highlight w:val="none"/>
                      <w:lang w:val="en-US" w:eastAsia="zh-CN"/>
                    </w:rPr>
                    <w:t>pH、</w:t>
                  </w:r>
                  <w:r>
                    <w:rPr>
                      <w:rFonts w:hint="eastAsia"/>
                      <w:sz w:val="21"/>
                      <w:szCs w:val="21"/>
                      <w:highlight w:val="none"/>
                    </w:rPr>
                    <w:t>COD</w:t>
                  </w:r>
                  <w:r>
                    <w:rPr>
                      <w:rFonts w:hint="eastAsia"/>
                      <w:sz w:val="21"/>
                      <w:szCs w:val="21"/>
                      <w:highlight w:val="none"/>
                      <w:vertAlign w:val="subscript"/>
                    </w:rPr>
                    <w:t>Cr</w:t>
                  </w:r>
                  <w:r>
                    <w:rPr>
                      <w:rFonts w:hint="eastAsia"/>
                      <w:sz w:val="21"/>
                      <w:szCs w:val="21"/>
                      <w:highlight w:val="none"/>
                    </w:rPr>
                    <w:t>、</w:t>
                  </w:r>
                  <w:r>
                    <w:rPr>
                      <w:rFonts w:hint="eastAsia"/>
                      <w:sz w:val="21"/>
                      <w:szCs w:val="21"/>
                      <w:highlight w:val="none"/>
                      <w:lang w:val="en-US" w:eastAsia="zh-CN"/>
                    </w:rPr>
                    <w:t>NH</w:t>
                  </w:r>
                  <w:r>
                    <w:rPr>
                      <w:rFonts w:hint="eastAsia"/>
                      <w:sz w:val="21"/>
                      <w:szCs w:val="21"/>
                      <w:highlight w:val="none"/>
                      <w:vertAlign w:val="subscript"/>
                      <w:lang w:val="en-US" w:eastAsia="zh-CN"/>
                    </w:rPr>
                    <w:t>3</w:t>
                  </w:r>
                  <w:r>
                    <w:rPr>
                      <w:rFonts w:hint="eastAsia"/>
                      <w:sz w:val="21"/>
                      <w:szCs w:val="21"/>
                      <w:highlight w:val="none"/>
                      <w:lang w:val="en-US" w:eastAsia="zh-CN"/>
                    </w:rPr>
                    <w:t>-N</w:t>
                  </w:r>
                  <w:r>
                    <w:rPr>
                      <w:rFonts w:hint="eastAsia"/>
                      <w:sz w:val="21"/>
                      <w:szCs w:val="21"/>
                      <w:highlight w:val="none"/>
                    </w:rPr>
                    <w:t>、SS、粪大肠杆菌</w:t>
                  </w:r>
                </w:p>
              </w:tc>
            </w:tr>
            <w:tr w14:paraId="6D0605D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86" w:hRule="atLeast"/>
                <w:jc w:val="center"/>
              </w:trPr>
              <w:tc>
                <w:tcPr>
                  <w:tcW w:w="305" w:type="pct"/>
                  <w:vMerge w:val="continue"/>
                  <w:tcBorders>
                    <w:tl2br w:val="nil"/>
                    <w:tr2bl w:val="nil"/>
                  </w:tcBorders>
                  <w:vAlign w:val="center"/>
                </w:tcPr>
                <w:p w14:paraId="7F311583">
                  <w:pPr>
                    <w:keepNext w:val="0"/>
                    <w:keepLines w:val="0"/>
                    <w:suppressLineNumbers w:val="0"/>
                    <w:adjustRightInd w:val="0"/>
                    <w:snapToGrid w:val="0"/>
                    <w:spacing w:before="0" w:beforeAutospacing="0" w:after="0" w:afterAutospacing="0" w:line="276" w:lineRule="auto"/>
                    <w:ind w:left="0" w:right="0"/>
                    <w:jc w:val="center"/>
                    <w:rPr>
                      <w:rFonts w:hint="default"/>
                      <w:sz w:val="21"/>
                      <w:szCs w:val="21"/>
                      <w:highlight w:val="none"/>
                    </w:rPr>
                  </w:pPr>
                </w:p>
              </w:tc>
              <w:tc>
                <w:tcPr>
                  <w:tcW w:w="404" w:type="pct"/>
                  <w:tcBorders>
                    <w:tl2br w:val="nil"/>
                    <w:tr2bl w:val="nil"/>
                  </w:tcBorders>
                  <w:vAlign w:val="center"/>
                </w:tcPr>
                <w:p w14:paraId="36135C86">
                  <w:pPr>
                    <w:keepNext w:val="0"/>
                    <w:keepLines w:val="0"/>
                    <w:suppressLineNumbers w:val="0"/>
                    <w:adjustRightInd w:val="0"/>
                    <w:snapToGrid w:val="0"/>
                    <w:spacing w:before="0" w:beforeAutospacing="0" w:after="0" w:afterAutospacing="0" w:line="276" w:lineRule="auto"/>
                    <w:ind w:left="0" w:right="0"/>
                    <w:jc w:val="center"/>
                    <w:rPr>
                      <w:rFonts w:hint="default"/>
                      <w:sz w:val="21"/>
                      <w:szCs w:val="21"/>
                      <w:highlight w:val="none"/>
                      <w:lang w:val="en-US" w:eastAsia="zh-CN"/>
                    </w:rPr>
                  </w:pPr>
                  <w:r>
                    <w:rPr>
                      <w:rFonts w:hint="eastAsia"/>
                      <w:sz w:val="21"/>
                      <w:szCs w:val="21"/>
                      <w:highlight w:val="none"/>
                      <w:lang w:val="en-US" w:eastAsia="zh-CN"/>
                    </w:rPr>
                    <w:t>W1-5</w:t>
                  </w:r>
                </w:p>
              </w:tc>
              <w:tc>
                <w:tcPr>
                  <w:tcW w:w="567" w:type="pct"/>
                  <w:vMerge w:val="continue"/>
                  <w:tcBorders>
                    <w:tl2br w:val="nil"/>
                    <w:tr2bl w:val="nil"/>
                  </w:tcBorders>
                  <w:vAlign w:val="center"/>
                </w:tcPr>
                <w:p w14:paraId="482BB3ED">
                  <w:pPr>
                    <w:keepNext w:val="0"/>
                    <w:keepLines w:val="0"/>
                    <w:suppressLineNumbers w:val="0"/>
                    <w:adjustRightInd w:val="0"/>
                    <w:snapToGrid w:val="0"/>
                    <w:spacing w:before="0" w:beforeAutospacing="0" w:after="0" w:afterAutospacing="0" w:line="276" w:lineRule="auto"/>
                    <w:ind w:left="0" w:right="0"/>
                    <w:jc w:val="center"/>
                    <w:rPr>
                      <w:rFonts w:hint="default" w:eastAsia="宋体"/>
                      <w:sz w:val="21"/>
                      <w:szCs w:val="21"/>
                      <w:highlight w:val="none"/>
                      <w:lang w:val="en-US" w:eastAsia="zh-CN"/>
                    </w:rPr>
                  </w:pPr>
                </w:p>
              </w:tc>
              <w:tc>
                <w:tcPr>
                  <w:tcW w:w="1360" w:type="pct"/>
                  <w:tcBorders>
                    <w:tl2br w:val="nil"/>
                    <w:tr2bl w:val="nil"/>
                  </w:tcBorders>
                  <w:vAlign w:val="center"/>
                </w:tcPr>
                <w:p w14:paraId="189F4B93">
                  <w:pPr>
                    <w:keepNext w:val="0"/>
                    <w:keepLines w:val="0"/>
                    <w:suppressLineNumbers w:val="0"/>
                    <w:adjustRightInd w:val="0"/>
                    <w:snapToGrid w:val="0"/>
                    <w:spacing w:before="0" w:beforeAutospacing="0" w:after="0" w:afterAutospacing="0" w:line="276" w:lineRule="auto"/>
                    <w:ind w:left="0" w:right="0"/>
                    <w:jc w:val="center"/>
                    <w:rPr>
                      <w:rFonts w:hint="default" w:eastAsia="宋体"/>
                      <w:sz w:val="21"/>
                      <w:szCs w:val="21"/>
                      <w:highlight w:val="none"/>
                      <w:lang w:val="en-US" w:eastAsia="zh-CN"/>
                    </w:rPr>
                  </w:pPr>
                  <w:r>
                    <w:rPr>
                      <w:rFonts w:hint="eastAsia"/>
                      <w:sz w:val="21"/>
                      <w:szCs w:val="21"/>
                      <w:highlight w:val="none"/>
                      <w:lang w:val="en-US" w:eastAsia="zh-CN"/>
                    </w:rPr>
                    <w:t>实验室手术台</w:t>
                  </w:r>
                </w:p>
              </w:tc>
              <w:tc>
                <w:tcPr>
                  <w:tcW w:w="1164" w:type="pct"/>
                  <w:tcBorders>
                    <w:tl2br w:val="nil"/>
                    <w:tr2bl w:val="nil"/>
                  </w:tcBorders>
                  <w:vAlign w:val="center"/>
                </w:tcPr>
                <w:p w14:paraId="1878E970">
                  <w:pPr>
                    <w:keepNext w:val="0"/>
                    <w:keepLines w:val="0"/>
                    <w:suppressLineNumbers w:val="0"/>
                    <w:adjustRightInd w:val="0"/>
                    <w:snapToGrid w:val="0"/>
                    <w:spacing w:before="0" w:beforeAutospacing="0" w:after="0" w:afterAutospacing="0" w:line="276" w:lineRule="auto"/>
                    <w:ind w:left="0" w:right="0"/>
                    <w:jc w:val="center"/>
                    <w:rPr>
                      <w:rFonts w:hint="default"/>
                      <w:sz w:val="21"/>
                      <w:szCs w:val="21"/>
                      <w:highlight w:val="none"/>
                      <w:lang w:val="en-US"/>
                    </w:rPr>
                  </w:pPr>
                  <w:r>
                    <w:rPr>
                      <w:rFonts w:hint="eastAsia"/>
                      <w:sz w:val="21"/>
                      <w:szCs w:val="21"/>
                      <w:highlight w:val="none"/>
                      <w:lang w:val="en-US" w:eastAsia="zh-CN"/>
                    </w:rPr>
                    <w:t>手术台废水</w:t>
                  </w:r>
                </w:p>
              </w:tc>
              <w:tc>
                <w:tcPr>
                  <w:tcW w:w="1199" w:type="pct"/>
                  <w:tcBorders>
                    <w:tl2br w:val="nil"/>
                    <w:tr2bl w:val="nil"/>
                  </w:tcBorders>
                  <w:vAlign w:val="center"/>
                </w:tcPr>
                <w:p w14:paraId="2D7ACE4D">
                  <w:pPr>
                    <w:keepNext w:val="0"/>
                    <w:keepLines w:val="0"/>
                    <w:suppressLineNumbers w:val="0"/>
                    <w:adjustRightInd w:val="0"/>
                    <w:snapToGrid w:val="0"/>
                    <w:spacing w:before="0" w:beforeAutospacing="0" w:after="0" w:afterAutospacing="0" w:line="276" w:lineRule="auto"/>
                    <w:ind w:left="0" w:right="0"/>
                    <w:jc w:val="center"/>
                    <w:rPr>
                      <w:rFonts w:hint="eastAsia"/>
                      <w:sz w:val="21"/>
                      <w:szCs w:val="21"/>
                      <w:highlight w:val="none"/>
                    </w:rPr>
                  </w:pPr>
                  <w:r>
                    <w:rPr>
                      <w:rFonts w:hint="eastAsia"/>
                      <w:sz w:val="21"/>
                      <w:szCs w:val="21"/>
                      <w:highlight w:val="none"/>
                      <w:lang w:val="en-US" w:eastAsia="zh-CN"/>
                    </w:rPr>
                    <w:t>pH、</w:t>
                  </w:r>
                  <w:r>
                    <w:rPr>
                      <w:rFonts w:hint="eastAsia"/>
                      <w:sz w:val="21"/>
                      <w:szCs w:val="21"/>
                      <w:highlight w:val="none"/>
                    </w:rPr>
                    <w:t>COD</w:t>
                  </w:r>
                  <w:r>
                    <w:rPr>
                      <w:rFonts w:hint="eastAsia"/>
                      <w:sz w:val="21"/>
                      <w:szCs w:val="21"/>
                      <w:highlight w:val="none"/>
                      <w:vertAlign w:val="subscript"/>
                    </w:rPr>
                    <w:t>Cr</w:t>
                  </w:r>
                  <w:r>
                    <w:rPr>
                      <w:rFonts w:hint="eastAsia"/>
                      <w:sz w:val="21"/>
                      <w:szCs w:val="21"/>
                      <w:highlight w:val="none"/>
                    </w:rPr>
                    <w:t>、</w:t>
                  </w:r>
                  <w:r>
                    <w:rPr>
                      <w:rFonts w:hint="eastAsia"/>
                      <w:sz w:val="21"/>
                      <w:szCs w:val="21"/>
                      <w:highlight w:val="none"/>
                      <w:lang w:val="en-US" w:eastAsia="zh-CN"/>
                    </w:rPr>
                    <w:t>NH</w:t>
                  </w:r>
                  <w:r>
                    <w:rPr>
                      <w:rFonts w:hint="eastAsia"/>
                      <w:sz w:val="21"/>
                      <w:szCs w:val="21"/>
                      <w:highlight w:val="none"/>
                      <w:vertAlign w:val="subscript"/>
                      <w:lang w:val="en-US" w:eastAsia="zh-CN"/>
                    </w:rPr>
                    <w:t>3</w:t>
                  </w:r>
                  <w:r>
                    <w:rPr>
                      <w:rFonts w:hint="eastAsia"/>
                      <w:sz w:val="21"/>
                      <w:szCs w:val="21"/>
                      <w:highlight w:val="none"/>
                      <w:lang w:val="en-US" w:eastAsia="zh-CN"/>
                    </w:rPr>
                    <w:t>-N</w:t>
                  </w:r>
                  <w:r>
                    <w:rPr>
                      <w:rFonts w:hint="eastAsia"/>
                      <w:sz w:val="21"/>
                      <w:szCs w:val="21"/>
                      <w:highlight w:val="none"/>
                    </w:rPr>
                    <w:t>、SS、粪大肠杆菌</w:t>
                  </w:r>
                </w:p>
              </w:tc>
            </w:tr>
            <w:tr w14:paraId="64CBD8B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86" w:hRule="atLeast"/>
                <w:jc w:val="center"/>
              </w:trPr>
              <w:tc>
                <w:tcPr>
                  <w:tcW w:w="305" w:type="pct"/>
                  <w:vMerge w:val="continue"/>
                  <w:tcBorders>
                    <w:tl2br w:val="nil"/>
                    <w:tr2bl w:val="nil"/>
                  </w:tcBorders>
                  <w:vAlign w:val="center"/>
                </w:tcPr>
                <w:p w14:paraId="06F1A6BE">
                  <w:pPr>
                    <w:keepNext w:val="0"/>
                    <w:keepLines w:val="0"/>
                    <w:suppressLineNumbers w:val="0"/>
                    <w:adjustRightInd w:val="0"/>
                    <w:snapToGrid w:val="0"/>
                    <w:spacing w:before="0" w:beforeAutospacing="0" w:after="0" w:afterAutospacing="0" w:line="276" w:lineRule="auto"/>
                    <w:ind w:left="0" w:right="0"/>
                    <w:jc w:val="center"/>
                    <w:rPr>
                      <w:rFonts w:hint="default"/>
                      <w:sz w:val="21"/>
                      <w:szCs w:val="21"/>
                      <w:highlight w:val="none"/>
                    </w:rPr>
                  </w:pPr>
                </w:p>
              </w:tc>
              <w:tc>
                <w:tcPr>
                  <w:tcW w:w="404" w:type="pct"/>
                  <w:tcBorders>
                    <w:tl2br w:val="nil"/>
                    <w:tr2bl w:val="nil"/>
                  </w:tcBorders>
                  <w:vAlign w:val="center"/>
                </w:tcPr>
                <w:p w14:paraId="2AD4AE78">
                  <w:pPr>
                    <w:keepNext w:val="0"/>
                    <w:keepLines w:val="0"/>
                    <w:suppressLineNumbers w:val="0"/>
                    <w:adjustRightInd w:val="0"/>
                    <w:snapToGrid w:val="0"/>
                    <w:spacing w:before="0" w:beforeAutospacing="0" w:after="0" w:afterAutospacing="0" w:line="276" w:lineRule="auto"/>
                    <w:ind w:left="0" w:right="0"/>
                    <w:jc w:val="center"/>
                    <w:rPr>
                      <w:rFonts w:hint="eastAsia"/>
                      <w:sz w:val="21"/>
                      <w:szCs w:val="21"/>
                      <w:highlight w:val="none"/>
                      <w:lang w:val="en-US" w:eastAsia="zh-CN"/>
                    </w:rPr>
                  </w:pPr>
                  <w:r>
                    <w:rPr>
                      <w:rFonts w:hint="eastAsia"/>
                      <w:sz w:val="21"/>
                      <w:szCs w:val="21"/>
                      <w:highlight w:val="none"/>
                      <w:lang w:val="en-US" w:eastAsia="zh-CN"/>
                    </w:rPr>
                    <w:t>/</w:t>
                  </w:r>
                </w:p>
              </w:tc>
              <w:tc>
                <w:tcPr>
                  <w:tcW w:w="567" w:type="pct"/>
                  <w:vMerge w:val="continue"/>
                  <w:tcBorders>
                    <w:tl2br w:val="nil"/>
                    <w:tr2bl w:val="nil"/>
                  </w:tcBorders>
                  <w:vAlign w:val="center"/>
                </w:tcPr>
                <w:p w14:paraId="5BCCEFB9">
                  <w:pPr>
                    <w:keepNext w:val="0"/>
                    <w:keepLines w:val="0"/>
                    <w:suppressLineNumbers w:val="0"/>
                    <w:adjustRightInd w:val="0"/>
                    <w:snapToGrid w:val="0"/>
                    <w:spacing w:before="0" w:beforeAutospacing="0" w:after="0" w:afterAutospacing="0" w:line="276" w:lineRule="auto"/>
                    <w:ind w:left="0" w:right="0"/>
                    <w:jc w:val="center"/>
                    <w:rPr>
                      <w:rFonts w:hint="default" w:eastAsia="宋体"/>
                      <w:sz w:val="21"/>
                      <w:szCs w:val="21"/>
                      <w:highlight w:val="none"/>
                      <w:lang w:val="en-US" w:eastAsia="zh-CN"/>
                    </w:rPr>
                  </w:pPr>
                </w:p>
              </w:tc>
              <w:tc>
                <w:tcPr>
                  <w:tcW w:w="1360" w:type="pct"/>
                  <w:tcBorders>
                    <w:tl2br w:val="nil"/>
                    <w:tr2bl w:val="nil"/>
                  </w:tcBorders>
                  <w:shd w:val="clear" w:color="auto" w:fill="auto"/>
                  <w:vAlign w:val="center"/>
                </w:tcPr>
                <w:p w14:paraId="0F0C80BA">
                  <w:pPr>
                    <w:keepNext w:val="0"/>
                    <w:keepLines w:val="0"/>
                    <w:suppressLineNumbers w:val="0"/>
                    <w:adjustRightInd w:val="0"/>
                    <w:snapToGrid w:val="0"/>
                    <w:spacing w:before="0" w:beforeAutospacing="0" w:after="0" w:afterAutospacing="0" w:line="276" w:lineRule="auto"/>
                    <w:ind w:left="0" w:right="0"/>
                    <w:jc w:val="center"/>
                    <w:rPr>
                      <w:rFonts w:hint="eastAsia" w:ascii="Times New Roman" w:hAnsi="Times New Roman" w:eastAsia="宋体" w:cs="Times New Roman"/>
                      <w:kern w:val="2"/>
                      <w:sz w:val="21"/>
                      <w:szCs w:val="21"/>
                      <w:highlight w:val="none"/>
                      <w:lang w:val="en-US" w:eastAsia="zh-CN" w:bidi="ar-SA"/>
                    </w:rPr>
                  </w:pPr>
                  <w:r>
                    <w:rPr>
                      <w:rFonts w:hint="eastAsia"/>
                      <w:sz w:val="21"/>
                      <w:szCs w:val="21"/>
                      <w:highlight w:val="none"/>
                      <w:lang w:eastAsia="zh-CN"/>
                    </w:rPr>
                    <w:t>防护服清洗</w:t>
                  </w:r>
                </w:p>
              </w:tc>
              <w:tc>
                <w:tcPr>
                  <w:tcW w:w="1164" w:type="pct"/>
                  <w:tcBorders>
                    <w:tl2br w:val="nil"/>
                    <w:tr2bl w:val="nil"/>
                  </w:tcBorders>
                  <w:shd w:val="clear" w:color="auto" w:fill="auto"/>
                  <w:vAlign w:val="center"/>
                </w:tcPr>
                <w:p w14:paraId="26828716">
                  <w:pPr>
                    <w:keepNext w:val="0"/>
                    <w:keepLines w:val="0"/>
                    <w:suppressLineNumbers w:val="0"/>
                    <w:adjustRightInd w:val="0"/>
                    <w:snapToGrid w:val="0"/>
                    <w:spacing w:before="0" w:beforeAutospacing="0" w:after="0" w:afterAutospacing="0" w:line="276" w:lineRule="auto"/>
                    <w:ind w:left="0" w:right="0"/>
                    <w:jc w:val="center"/>
                    <w:rPr>
                      <w:rFonts w:hint="eastAsia" w:ascii="Times New Roman" w:hAnsi="Times New Roman" w:eastAsia="宋体" w:cs="Times New Roman"/>
                      <w:kern w:val="2"/>
                      <w:sz w:val="21"/>
                      <w:szCs w:val="21"/>
                      <w:highlight w:val="none"/>
                      <w:lang w:val="en-US" w:eastAsia="zh-CN" w:bidi="ar-SA"/>
                    </w:rPr>
                  </w:pPr>
                  <w:r>
                    <w:rPr>
                      <w:rFonts w:hint="eastAsia"/>
                      <w:sz w:val="21"/>
                      <w:szCs w:val="21"/>
                      <w:highlight w:val="none"/>
                      <w:lang w:eastAsia="zh-CN"/>
                    </w:rPr>
                    <w:t>洗衣废水</w:t>
                  </w:r>
                </w:p>
              </w:tc>
              <w:tc>
                <w:tcPr>
                  <w:tcW w:w="1199" w:type="pct"/>
                  <w:tcBorders>
                    <w:tl2br w:val="nil"/>
                    <w:tr2bl w:val="nil"/>
                  </w:tcBorders>
                  <w:shd w:val="clear" w:color="auto" w:fill="auto"/>
                  <w:vAlign w:val="center"/>
                </w:tcPr>
                <w:p w14:paraId="5E041011">
                  <w:pPr>
                    <w:keepNext w:val="0"/>
                    <w:keepLines w:val="0"/>
                    <w:suppressLineNumbers w:val="0"/>
                    <w:adjustRightInd w:val="0"/>
                    <w:snapToGrid w:val="0"/>
                    <w:spacing w:before="0" w:beforeAutospacing="0" w:after="0" w:afterAutospacing="0" w:line="276" w:lineRule="auto"/>
                    <w:ind w:left="0" w:right="0"/>
                    <w:jc w:val="center"/>
                    <w:rPr>
                      <w:rFonts w:hint="eastAsia" w:ascii="Times New Roman" w:hAnsi="Times New Roman" w:eastAsia="宋体" w:cs="Times New Roman"/>
                      <w:kern w:val="2"/>
                      <w:sz w:val="21"/>
                      <w:szCs w:val="21"/>
                      <w:highlight w:val="none"/>
                      <w:lang w:val="en-US" w:eastAsia="zh-CN" w:bidi="ar-SA"/>
                    </w:rPr>
                  </w:pPr>
                  <w:r>
                    <w:rPr>
                      <w:rFonts w:hint="eastAsia"/>
                      <w:sz w:val="21"/>
                      <w:szCs w:val="21"/>
                      <w:highlight w:val="none"/>
                      <w:lang w:val="en-US" w:eastAsia="zh-CN"/>
                    </w:rPr>
                    <w:t>pH、</w:t>
                  </w:r>
                  <w:r>
                    <w:rPr>
                      <w:rFonts w:hint="default"/>
                      <w:sz w:val="21"/>
                      <w:szCs w:val="21"/>
                      <w:highlight w:val="none"/>
                    </w:rPr>
                    <w:t>COD</w:t>
                  </w:r>
                  <w:r>
                    <w:rPr>
                      <w:rFonts w:hint="eastAsia"/>
                      <w:sz w:val="21"/>
                      <w:szCs w:val="21"/>
                      <w:highlight w:val="none"/>
                      <w:vertAlign w:val="subscript"/>
                    </w:rPr>
                    <w:t>C</w:t>
                  </w:r>
                  <w:r>
                    <w:rPr>
                      <w:rFonts w:hint="default"/>
                      <w:sz w:val="21"/>
                      <w:szCs w:val="21"/>
                      <w:highlight w:val="none"/>
                      <w:vertAlign w:val="subscript"/>
                    </w:rPr>
                    <w:t>r</w:t>
                  </w:r>
                  <w:r>
                    <w:rPr>
                      <w:rFonts w:hint="eastAsia"/>
                      <w:sz w:val="21"/>
                      <w:szCs w:val="21"/>
                      <w:highlight w:val="none"/>
                    </w:rPr>
                    <w:t>、</w:t>
                  </w:r>
                  <w:r>
                    <w:rPr>
                      <w:rFonts w:hint="eastAsia"/>
                      <w:sz w:val="21"/>
                      <w:szCs w:val="21"/>
                      <w:highlight w:val="none"/>
                      <w:lang w:val="en-US" w:eastAsia="zh-CN"/>
                    </w:rPr>
                    <w:t>SS、NH</w:t>
                  </w:r>
                  <w:r>
                    <w:rPr>
                      <w:rFonts w:hint="eastAsia"/>
                      <w:sz w:val="21"/>
                      <w:szCs w:val="21"/>
                      <w:highlight w:val="none"/>
                      <w:vertAlign w:val="subscript"/>
                      <w:lang w:val="en-US" w:eastAsia="zh-CN"/>
                    </w:rPr>
                    <w:t>3</w:t>
                  </w:r>
                  <w:r>
                    <w:rPr>
                      <w:rFonts w:hint="eastAsia"/>
                      <w:sz w:val="21"/>
                      <w:szCs w:val="21"/>
                      <w:highlight w:val="none"/>
                      <w:lang w:val="en-US" w:eastAsia="zh-CN"/>
                    </w:rPr>
                    <w:t>-N</w:t>
                  </w:r>
                </w:p>
              </w:tc>
            </w:tr>
            <w:tr w14:paraId="2C73341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86" w:hRule="atLeast"/>
                <w:jc w:val="center"/>
              </w:trPr>
              <w:tc>
                <w:tcPr>
                  <w:tcW w:w="305" w:type="pct"/>
                  <w:vMerge w:val="continue"/>
                  <w:tcBorders>
                    <w:tl2br w:val="nil"/>
                    <w:tr2bl w:val="nil"/>
                  </w:tcBorders>
                  <w:vAlign w:val="center"/>
                </w:tcPr>
                <w:p w14:paraId="2E989E66">
                  <w:pPr>
                    <w:keepNext w:val="0"/>
                    <w:keepLines w:val="0"/>
                    <w:suppressLineNumbers w:val="0"/>
                    <w:adjustRightInd w:val="0"/>
                    <w:snapToGrid w:val="0"/>
                    <w:spacing w:before="0" w:beforeAutospacing="0" w:after="0" w:afterAutospacing="0" w:line="276" w:lineRule="auto"/>
                    <w:ind w:left="0" w:right="0"/>
                    <w:jc w:val="center"/>
                    <w:rPr>
                      <w:rFonts w:hint="default"/>
                      <w:sz w:val="21"/>
                      <w:szCs w:val="21"/>
                      <w:highlight w:val="none"/>
                    </w:rPr>
                  </w:pPr>
                </w:p>
              </w:tc>
              <w:tc>
                <w:tcPr>
                  <w:tcW w:w="404" w:type="pct"/>
                  <w:tcBorders>
                    <w:tl2br w:val="nil"/>
                    <w:tr2bl w:val="nil"/>
                  </w:tcBorders>
                  <w:vAlign w:val="center"/>
                </w:tcPr>
                <w:p w14:paraId="36313332">
                  <w:pPr>
                    <w:keepNext w:val="0"/>
                    <w:keepLines w:val="0"/>
                    <w:suppressLineNumbers w:val="0"/>
                    <w:adjustRightInd w:val="0"/>
                    <w:snapToGrid w:val="0"/>
                    <w:spacing w:before="0" w:beforeAutospacing="0" w:after="0" w:afterAutospacing="0" w:line="276" w:lineRule="auto"/>
                    <w:ind w:left="0" w:right="0"/>
                    <w:jc w:val="center"/>
                    <w:rPr>
                      <w:rFonts w:hint="default"/>
                      <w:sz w:val="21"/>
                      <w:szCs w:val="21"/>
                      <w:highlight w:val="none"/>
                      <w:lang w:val="en-US" w:eastAsia="zh-CN"/>
                    </w:rPr>
                  </w:pPr>
                  <w:r>
                    <w:rPr>
                      <w:rFonts w:hint="eastAsia"/>
                      <w:sz w:val="21"/>
                      <w:szCs w:val="21"/>
                      <w:highlight w:val="none"/>
                      <w:lang w:val="en-US" w:eastAsia="zh-CN"/>
                    </w:rPr>
                    <w:t>W1-6</w:t>
                  </w:r>
                </w:p>
              </w:tc>
              <w:tc>
                <w:tcPr>
                  <w:tcW w:w="567" w:type="pct"/>
                  <w:vMerge w:val="continue"/>
                  <w:tcBorders>
                    <w:tl2br w:val="nil"/>
                    <w:tr2bl w:val="nil"/>
                  </w:tcBorders>
                  <w:vAlign w:val="center"/>
                </w:tcPr>
                <w:p w14:paraId="3C752953">
                  <w:pPr>
                    <w:keepNext w:val="0"/>
                    <w:keepLines w:val="0"/>
                    <w:suppressLineNumbers w:val="0"/>
                    <w:adjustRightInd w:val="0"/>
                    <w:snapToGrid w:val="0"/>
                    <w:spacing w:before="0" w:beforeAutospacing="0" w:after="0" w:afterAutospacing="0" w:line="276" w:lineRule="auto"/>
                    <w:ind w:left="0" w:right="0"/>
                    <w:jc w:val="center"/>
                    <w:rPr>
                      <w:rFonts w:hint="default" w:eastAsia="宋体"/>
                      <w:sz w:val="21"/>
                      <w:szCs w:val="21"/>
                      <w:highlight w:val="none"/>
                      <w:lang w:val="en-US" w:eastAsia="zh-CN"/>
                    </w:rPr>
                  </w:pPr>
                </w:p>
              </w:tc>
              <w:tc>
                <w:tcPr>
                  <w:tcW w:w="1360" w:type="pct"/>
                  <w:vMerge w:val="restart"/>
                  <w:tcBorders>
                    <w:tl2br w:val="nil"/>
                    <w:tr2bl w:val="nil"/>
                  </w:tcBorders>
                  <w:shd w:val="clear" w:color="auto" w:fill="auto"/>
                  <w:vAlign w:val="center"/>
                </w:tcPr>
                <w:p w14:paraId="241E8F57">
                  <w:pPr>
                    <w:keepNext w:val="0"/>
                    <w:keepLines w:val="0"/>
                    <w:suppressLineNumbers w:val="0"/>
                    <w:adjustRightInd w:val="0"/>
                    <w:snapToGrid w:val="0"/>
                    <w:spacing w:before="0" w:beforeAutospacing="0" w:after="0" w:afterAutospacing="0" w:line="276" w:lineRule="auto"/>
                    <w:ind w:left="0" w:right="0"/>
                    <w:jc w:val="center"/>
                    <w:rPr>
                      <w:rFonts w:hint="eastAsia"/>
                      <w:sz w:val="21"/>
                      <w:szCs w:val="21"/>
                      <w:highlight w:val="none"/>
                      <w:lang w:eastAsia="zh-CN"/>
                    </w:rPr>
                  </w:pPr>
                  <w:r>
                    <w:rPr>
                      <w:rFonts w:hint="eastAsia"/>
                      <w:sz w:val="21"/>
                      <w:szCs w:val="21"/>
                      <w:highlight w:val="none"/>
                    </w:rPr>
                    <w:t>纯水</w:t>
                  </w:r>
                  <w:r>
                    <w:rPr>
                      <w:rFonts w:hint="eastAsia"/>
                      <w:sz w:val="21"/>
                      <w:szCs w:val="21"/>
                      <w:highlight w:val="none"/>
                      <w:lang w:val="en-US" w:eastAsia="zh-CN"/>
                    </w:rPr>
                    <w:t>/软水</w:t>
                  </w:r>
                  <w:r>
                    <w:rPr>
                      <w:rFonts w:hint="eastAsia"/>
                      <w:sz w:val="21"/>
                      <w:szCs w:val="21"/>
                      <w:highlight w:val="none"/>
                    </w:rPr>
                    <w:t>制备</w:t>
                  </w:r>
                </w:p>
              </w:tc>
              <w:tc>
                <w:tcPr>
                  <w:tcW w:w="1164" w:type="pct"/>
                  <w:tcBorders>
                    <w:tl2br w:val="nil"/>
                    <w:tr2bl w:val="nil"/>
                  </w:tcBorders>
                  <w:shd w:val="clear" w:color="auto" w:fill="auto"/>
                  <w:vAlign w:val="center"/>
                </w:tcPr>
                <w:p w14:paraId="32489A9A">
                  <w:pPr>
                    <w:keepNext w:val="0"/>
                    <w:keepLines w:val="0"/>
                    <w:suppressLineNumbers w:val="0"/>
                    <w:adjustRightInd w:val="0"/>
                    <w:snapToGrid w:val="0"/>
                    <w:spacing w:before="0" w:beforeAutospacing="0" w:after="0" w:afterAutospacing="0" w:line="276" w:lineRule="auto"/>
                    <w:ind w:left="0" w:right="0"/>
                    <w:jc w:val="center"/>
                    <w:rPr>
                      <w:rFonts w:hint="eastAsia"/>
                      <w:sz w:val="21"/>
                      <w:szCs w:val="21"/>
                      <w:highlight w:val="none"/>
                      <w:lang w:eastAsia="zh-CN"/>
                    </w:rPr>
                  </w:pPr>
                  <w:r>
                    <w:rPr>
                      <w:rFonts w:hint="eastAsia"/>
                      <w:sz w:val="21"/>
                      <w:szCs w:val="21"/>
                      <w:highlight w:val="none"/>
                      <w:lang w:val="en-US" w:eastAsia="zh-CN"/>
                    </w:rPr>
                    <w:t>软水/</w:t>
                  </w:r>
                  <w:r>
                    <w:rPr>
                      <w:rFonts w:hint="eastAsia"/>
                      <w:sz w:val="21"/>
                      <w:szCs w:val="21"/>
                      <w:highlight w:val="none"/>
                      <w:lang w:eastAsia="zh-CN"/>
                    </w:rPr>
                    <w:t>纯水制备浓水</w:t>
                  </w:r>
                </w:p>
              </w:tc>
              <w:tc>
                <w:tcPr>
                  <w:tcW w:w="1199" w:type="pct"/>
                  <w:tcBorders>
                    <w:tl2br w:val="nil"/>
                    <w:tr2bl w:val="nil"/>
                  </w:tcBorders>
                  <w:shd w:val="clear" w:color="auto" w:fill="auto"/>
                  <w:vAlign w:val="center"/>
                </w:tcPr>
                <w:p w14:paraId="4C3996B4">
                  <w:pPr>
                    <w:keepNext w:val="0"/>
                    <w:keepLines w:val="0"/>
                    <w:suppressLineNumbers w:val="0"/>
                    <w:adjustRightInd w:val="0"/>
                    <w:snapToGrid w:val="0"/>
                    <w:spacing w:before="0" w:beforeAutospacing="0" w:after="0" w:afterAutospacing="0" w:line="276" w:lineRule="auto"/>
                    <w:ind w:left="0" w:right="0"/>
                    <w:jc w:val="center"/>
                    <w:rPr>
                      <w:rFonts w:hint="default"/>
                      <w:sz w:val="21"/>
                      <w:szCs w:val="21"/>
                      <w:highlight w:val="none"/>
                    </w:rPr>
                  </w:pPr>
                  <w:r>
                    <w:rPr>
                      <w:rFonts w:hint="eastAsia"/>
                      <w:sz w:val="21"/>
                      <w:szCs w:val="21"/>
                      <w:highlight w:val="none"/>
                      <w:lang w:val="en-US" w:eastAsia="zh-CN"/>
                    </w:rPr>
                    <w:t>pH、</w:t>
                  </w:r>
                  <w:r>
                    <w:rPr>
                      <w:rFonts w:hint="eastAsia"/>
                      <w:sz w:val="21"/>
                      <w:szCs w:val="21"/>
                      <w:highlight w:val="none"/>
                    </w:rPr>
                    <w:t>COD</w:t>
                  </w:r>
                  <w:r>
                    <w:rPr>
                      <w:rFonts w:hint="eastAsia"/>
                      <w:sz w:val="21"/>
                      <w:szCs w:val="21"/>
                      <w:highlight w:val="none"/>
                      <w:vertAlign w:val="subscript"/>
                    </w:rPr>
                    <w:t>Cr</w:t>
                  </w:r>
                  <w:r>
                    <w:rPr>
                      <w:rFonts w:hint="eastAsia"/>
                      <w:sz w:val="21"/>
                      <w:szCs w:val="21"/>
                      <w:highlight w:val="none"/>
                    </w:rPr>
                    <w:t>、SS</w:t>
                  </w:r>
                </w:p>
              </w:tc>
            </w:tr>
            <w:tr w14:paraId="19E73FE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86" w:hRule="atLeast"/>
                <w:jc w:val="center"/>
              </w:trPr>
              <w:tc>
                <w:tcPr>
                  <w:tcW w:w="305" w:type="pct"/>
                  <w:vMerge w:val="continue"/>
                  <w:tcBorders>
                    <w:tl2br w:val="nil"/>
                    <w:tr2bl w:val="nil"/>
                  </w:tcBorders>
                  <w:vAlign w:val="center"/>
                </w:tcPr>
                <w:p w14:paraId="3ACB42D8">
                  <w:pPr>
                    <w:keepNext w:val="0"/>
                    <w:keepLines w:val="0"/>
                    <w:suppressLineNumbers w:val="0"/>
                    <w:adjustRightInd w:val="0"/>
                    <w:snapToGrid w:val="0"/>
                    <w:spacing w:before="0" w:beforeAutospacing="0" w:after="0" w:afterAutospacing="0" w:line="276" w:lineRule="auto"/>
                    <w:ind w:left="0" w:right="0"/>
                    <w:jc w:val="center"/>
                    <w:rPr>
                      <w:rFonts w:hint="default"/>
                      <w:sz w:val="21"/>
                      <w:szCs w:val="21"/>
                      <w:highlight w:val="none"/>
                    </w:rPr>
                  </w:pPr>
                </w:p>
              </w:tc>
              <w:tc>
                <w:tcPr>
                  <w:tcW w:w="404" w:type="pct"/>
                  <w:tcBorders>
                    <w:tl2br w:val="nil"/>
                    <w:tr2bl w:val="nil"/>
                  </w:tcBorders>
                  <w:vAlign w:val="center"/>
                </w:tcPr>
                <w:p w14:paraId="7413444E">
                  <w:pPr>
                    <w:keepNext w:val="0"/>
                    <w:keepLines w:val="0"/>
                    <w:suppressLineNumbers w:val="0"/>
                    <w:adjustRightInd w:val="0"/>
                    <w:snapToGrid w:val="0"/>
                    <w:spacing w:before="0" w:beforeAutospacing="0" w:after="0" w:afterAutospacing="0" w:line="276" w:lineRule="auto"/>
                    <w:ind w:left="0" w:right="0"/>
                    <w:jc w:val="center"/>
                    <w:rPr>
                      <w:rFonts w:hint="default"/>
                      <w:sz w:val="21"/>
                      <w:szCs w:val="21"/>
                      <w:highlight w:val="none"/>
                      <w:lang w:val="en-US" w:eastAsia="zh-CN"/>
                    </w:rPr>
                  </w:pPr>
                  <w:r>
                    <w:rPr>
                      <w:rFonts w:hint="eastAsia"/>
                      <w:sz w:val="21"/>
                      <w:szCs w:val="21"/>
                      <w:highlight w:val="none"/>
                      <w:lang w:val="en-US" w:eastAsia="zh-CN"/>
                    </w:rPr>
                    <w:t>W1-7</w:t>
                  </w:r>
                </w:p>
              </w:tc>
              <w:tc>
                <w:tcPr>
                  <w:tcW w:w="567" w:type="pct"/>
                  <w:vMerge w:val="continue"/>
                  <w:tcBorders>
                    <w:tl2br w:val="nil"/>
                    <w:tr2bl w:val="nil"/>
                  </w:tcBorders>
                  <w:vAlign w:val="center"/>
                </w:tcPr>
                <w:p w14:paraId="2BB4A072">
                  <w:pPr>
                    <w:keepNext w:val="0"/>
                    <w:keepLines w:val="0"/>
                    <w:suppressLineNumbers w:val="0"/>
                    <w:adjustRightInd w:val="0"/>
                    <w:snapToGrid w:val="0"/>
                    <w:spacing w:before="0" w:beforeAutospacing="0" w:after="0" w:afterAutospacing="0" w:line="276" w:lineRule="auto"/>
                    <w:ind w:left="0" w:right="0"/>
                    <w:jc w:val="center"/>
                    <w:rPr>
                      <w:rFonts w:hint="default" w:eastAsia="宋体"/>
                      <w:sz w:val="21"/>
                      <w:szCs w:val="21"/>
                      <w:highlight w:val="none"/>
                      <w:lang w:val="en-US" w:eastAsia="zh-CN"/>
                    </w:rPr>
                  </w:pPr>
                </w:p>
              </w:tc>
              <w:tc>
                <w:tcPr>
                  <w:tcW w:w="1360" w:type="pct"/>
                  <w:vMerge w:val="continue"/>
                  <w:tcBorders>
                    <w:tl2br w:val="nil"/>
                    <w:tr2bl w:val="nil"/>
                  </w:tcBorders>
                  <w:shd w:val="clear" w:color="auto" w:fill="auto"/>
                  <w:vAlign w:val="center"/>
                </w:tcPr>
                <w:p w14:paraId="2C6A243B">
                  <w:pPr>
                    <w:keepNext w:val="0"/>
                    <w:keepLines w:val="0"/>
                    <w:suppressLineNumbers w:val="0"/>
                    <w:adjustRightInd w:val="0"/>
                    <w:snapToGrid w:val="0"/>
                    <w:spacing w:before="0" w:beforeAutospacing="0" w:after="0" w:afterAutospacing="0" w:line="276" w:lineRule="auto"/>
                    <w:ind w:left="0" w:right="0"/>
                    <w:jc w:val="center"/>
                    <w:rPr>
                      <w:rFonts w:hint="eastAsia"/>
                      <w:sz w:val="21"/>
                      <w:szCs w:val="21"/>
                      <w:highlight w:val="none"/>
                      <w:lang w:eastAsia="zh-CN"/>
                    </w:rPr>
                  </w:pPr>
                </w:p>
              </w:tc>
              <w:tc>
                <w:tcPr>
                  <w:tcW w:w="1164" w:type="pct"/>
                  <w:tcBorders>
                    <w:tl2br w:val="nil"/>
                    <w:tr2bl w:val="nil"/>
                  </w:tcBorders>
                  <w:shd w:val="clear" w:color="auto" w:fill="auto"/>
                  <w:vAlign w:val="center"/>
                </w:tcPr>
                <w:p w14:paraId="5C557A9E">
                  <w:pPr>
                    <w:keepNext w:val="0"/>
                    <w:keepLines w:val="0"/>
                    <w:suppressLineNumbers w:val="0"/>
                    <w:adjustRightInd w:val="0"/>
                    <w:snapToGrid w:val="0"/>
                    <w:spacing w:before="0" w:beforeAutospacing="0" w:after="0" w:afterAutospacing="0" w:line="276" w:lineRule="auto"/>
                    <w:ind w:left="0" w:right="0"/>
                    <w:jc w:val="center"/>
                    <w:rPr>
                      <w:rFonts w:hint="eastAsia"/>
                      <w:sz w:val="21"/>
                      <w:szCs w:val="21"/>
                      <w:highlight w:val="none"/>
                      <w:lang w:eastAsia="zh-CN"/>
                    </w:rPr>
                  </w:pPr>
                  <w:r>
                    <w:rPr>
                      <w:rFonts w:hint="eastAsia"/>
                      <w:sz w:val="21"/>
                      <w:szCs w:val="21"/>
                      <w:highlight w:val="none"/>
                      <w:lang w:val="en-US" w:eastAsia="zh-CN"/>
                    </w:rPr>
                    <w:t>反冲洗废水</w:t>
                  </w:r>
                </w:p>
              </w:tc>
              <w:tc>
                <w:tcPr>
                  <w:tcW w:w="1199" w:type="pct"/>
                  <w:tcBorders>
                    <w:tl2br w:val="nil"/>
                    <w:tr2bl w:val="nil"/>
                  </w:tcBorders>
                  <w:shd w:val="clear" w:color="auto" w:fill="auto"/>
                  <w:vAlign w:val="center"/>
                </w:tcPr>
                <w:p w14:paraId="341E91A8">
                  <w:pPr>
                    <w:keepNext w:val="0"/>
                    <w:keepLines w:val="0"/>
                    <w:suppressLineNumbers w:val="0"/>
                    <w:adjustRightInd w:val="0"/>
                    <w:snapToGrid w:val="0"/>
                    <w:spacing w:before="0" w:beforeAutospacing="0" w:after="0" w:afterAutospacing="0" w:line="276" w:lineRule="auto"/>
                    <w:ind w:left="0" w:right="0"/>
                    <w:jc w:val="center"/>
                    <w:rPr>
                      <w:rFonts w:hint="default"/>
                      <w:sz w:val="21"/>
                      <w:szCs w:val="21"/>
                      <w:highlight w:val="none"/>
                    </w:rPr>
                  </w:pPr>
                  <w:r>
                    <w:rPr>
                      <w:rFonts w:hint="eastAsia"/>
                      <w:sz w:val="21"/>
                      <w:szCs w:val="21"/>
                      <w:highlight w:val="none"/>
                      <w:lang w:val="en-US" w:eastAsia="zh-CN"/>
                    </w:rPr>
                    <w:t>pH、</w:t>
                  </w:r>
                  <w:r>
                    <w:rPr>
                      <w:rFonts w:hint="eastAsia"/>
                      <w:sz w:val="21"/>
                      <w:szCs w:val="21"/>
                      <w:highlight w:val="none"/>
                    </w:rPr>
                    <w:t>COD</w:t>
                  </w:r>
                  <w:r>
                    <w:rPr>
                      <w:rFonts w:hint="eastAsia"/>
                      <w:sz w:val="21"/>
                      <w:szCs w:val="21"/>
                      <w:highlight w:val="none"/>
                      <w:vertAlign w:val="subscript"/>
                    </w:rPr>
                    <w:t>Cr</w:t>
                  </w:r>
                  <w:r>
                    <w:rPr>
                      <w:rFonts w:hint="eastAsia"/>
                      <w:sz w:val="21"/>
                      <w:szCs w:val="21"/>
                      <w:highlight w:val="none"/>
                    </w:rPr>
                    <w:t>、SS</w:t>
                  </w:r>
                </w:p>
              </w:tc>
            </w:tr>
            <w:tr w14:paraId="67A1BFB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86" w:hRule="atLeast"/>
                <w:jc w:val="center"/>
              </w:trPr>
              <w:tc>
                <w:tcPr>
                  <w:tcW w:w="305" w:type="pct"/>
                  <w:vMerge w:val="continue"/>
                  <w:tcBorders>
                    <w:tl2br w:val="nil"/>
                    <w:tr2bl w:val="nil"/>
                  </w:tcBorders>
                  <w:vAlign w:val="center"/>
                </w:tcPr>
                <w:p w14:paraId="46848F84">
                  <w:pPr>
                    <w:keepNext w:val="0"/>
                    <w:keepLines w:val="0"/>
                    <w:suppressLineNumbers w:val="0"/>
                    <w:adjustRightInd w:val="0"/>
                    <w:snapToGrid w:val="0"/>
                    <w:spacing w:before="0" w:beforeAutospacing="0" w:after="0" w:afterAutospacing="0" w:line="276" w:lineRule="auto"/>
                    <w:ind w:left="0" w:right="0"/>
                    <w:jc w:val="center"/>
                    <w:rPr>
                      <w:rFonts w:hint="default"/>
                      <w:sz w:val="21"/>
                      <w:szCs w:val="21"/>
                      <w:highlight w:val="none"/>
                    </w:rPr>
                  </w:pPr>
                </w:p>
              </w:tc>
              <w:tc>
                <w:tcPr>
                  <w:tcW w:w="404" w:type="pct"/>
                  <w:vMerge w:val="restart"/>
                  <w:tcBorders>
                    <w:tl2br w:val="nil"/>
                    <w:tr2bl w:val="nil"/>
                  </w:tcBorders>
                  <w:vAlign w:val="center"/>
                </w:tcPr>
                <w:p w14:paraId="563A9578">
                  <w:pPr>
                    <w:keepNext w:val="0"/>
                    <w:keepLines w:val="0"/>
                    <w:suppressLineNumbers w:val="0"/>
                    <w:adjustRightInd w:val="0"/>
                    <w:snapToGrid w:val="0"/>
                    <w:spacing w:before="0" w:beforeAutospacing="0" w:after="0" w:afterAutospacing="0" w:line="276" w:lineRule="auto"/>
                    <w:ind w:left="0" w:right="0"/>
                    <w:jc w:val="center"/>
                    <w:rPr>
                      <w:rFonts w:hint="default" w:eastAsia="宋体"/>
                      <w:sz w:val="21"/>
                      <w:szCs w:val="21"/>
                      <w:highlight w:val="none"/>
                      <w:lang w:val="en-US" w:eastAsia="zh-CN"/>
                    </w:rPr>
                  </w:pPr>
                  <w:r>
                    <w:rPr>
                      <w:rFonts w:hint="eastAsia"/>
                      <w:sz w:val="21"/>
                      <w:szCs w:val="21"/>
                      <w:highlight w:val="none"/>
                      <w:lang w:val="en-US" w:eastAsia="zh-CN"/>
                    </w:rPr>
                    <w:t>W2-1</w:t>
                  </w:r>
                </w:p>
              </w:tc>
              <w:tc>
                <w:tcPr>
                  <w:tcW w:w="567" w:type="pct"/>
                  <w:vMerge w:val="restart"/>
                  <w:tcBorders>
                    <w:tl2br w:val="nil"/>
                    <w:tr2bl w:val="nil"/>
                  </w:tcBorders>
                  <w:vAlign w:val="center"/>
                </w:tcPr>
                <w:p w14:paraId="1FCF31A5">
                  <w:pPr>
                    <w:keepNext w:val="0"/>
                    <w:keepLines w:val="0"/>
                    <w:suppressLineNumbers w:val="0"/>
                    <w:adjustRightInd w:val="0"/>
                    <w:snapToGrid w:val="0"/>
                    <w:spacing w:before="0" w:beforeAutospacing="0" w:after="0" w:afterAutospacing="0" w:line="276" w:lineRule="auto"/>
                    <w:ind w:left="0" w:right="0"/>
                    <w:jc w:val="center"/>
                    <w:rPr>
                      <w:rFonts w:hint="eastAsia"/>
                      <w:sz w:val="21"/>
                      <w:szCs w:val="21"/>
                      <w:highlight w:val="none"/>
                    </w:rPr>
                  </w:pPr>
                  <w:r>
                    <w:rPr>
                      <w:rFonts w:hint="eastAsia"/>
                      <w:sz w:val="21"/>
                      <w:szCs w:val="21"/>
                      <w:highlight w:val="none"/>
                      <w:lang w:val="en-US" w:eastAsia="zh-CN"/>
                    </w:rPr>
                    <w:t>科创综合楼</w:t>
                  </w:r>
                </w:p>
              </w:tc>
              <w:tc>
                <w:tcPr>
                  <w:tcW w:w="1360" w:type="pct"/>
                  <w:tcBorders>
                    <w:tl2br w:val="nil"/>
                    <w:tr2bl w:val="nil"/>
                  </w:tcBorders>
                  <w:vAlign w:val="center"/>
                </w:tcPr>
                <w:p w14:paraId="1D9F113E">
                  <w:pPr>
                    <w:keepNext w:val="0"/>
                    <w:keepLines w:val="0"/>
                    <w:suppressLineNumbers w:val="0"/>
                    <w:adjustRightInd w:val="0"/>
                    <w:snapToGrid w:val="0"/>
                    <w:spacing w:before="0" w:beforeAutospacing="0" w:after="0" w:afterAutospacing="0" w:line="276" w:lineRule="auto"/>
                    <w:ind w:left="0" w:right="0"/>
                    <w:jc w:val="center"/>
                    <w:rPr>
                      <w:rFonts w:hint="eastAsia"/>
                      <w:sz w:val="21"/>
                      <w:szCs w:val="21"/>
                      <w:highlight w:val="none"/>
                    </w:rPr>
                  </w:pPr>
                  <w:r>
                    <w:rPr>
                      <w:rFonts w:hint="eastAsia"/>
                      <w:sz w:val="21"/>
                      <w:szCs w:val="21"/>
                      <w:highlight w:val="none"/>
                      <w:lang w:val="en-US" w:eastAsia="zh-CN"/>
                    </w:rPr>
                    <w:t>细胞生物实验过程</w:t>
                  </w:r>
                </w:p>
              </w:tc>
              <w:tc>
                <w:tcPr>
                  <w:tcW w:w="1164" w:type="pct"/>
                  <w:vMerge w:val="restart"/>
                  <w:tcBorders>
                    <w:tl2br w:val="nil"/>
                    <w:tr2bl w:val="nil"/>
                  </w:tcBorders>
                  <w:vAlign w:val="center"/>
                </w:tcPr>
                <w:p w14:paraId="01C8994A">
                  <w:pPr>
                    <w:keepNext w:val="0"/>
                    <w:keepLines w:val="0"/>
                    <w:widowControl/>
                    <w:suppressLineNumbers w:val="0"/>
                    <w:spacing w:before="0" w:beforeAutospacing="0" w:after="0" w:afterAutospacing="0"/>
                    <w:ind w:left="0" w:right="0"/>
                    <w:jc w:val="center"/>
                    <w:rPr>
                      <w:rFonts w:hint="eastAsia"/>
                      <w:sz w:val="21"/>
                      <w:szCs w:val="21"/>
                      <w:highlight w:val="none"/>
                    </w:rPr>
                  </w:pPr>
                  <w:r>
                    <w:rPr>
                      <w:rFonts w:hint="eastAsia" w:ascii="宋体" w:hAnsi="宋体" w:cs="宋体"/>
                      <w:color w:val="000000"/>
                      <w:kern w:val="0"/>
                      <w:sz w:val="21"/>
                      <w:szCs w:val="21"/>
                      <w:highlight w:val="none"/>
                      <w:lang w:val="en-US" w:eastAsia="zh-CN" w:bidi="ar"/>
                    </w:rPr>
                    <w:t>实验室设备</w:t>
                  </w:r>
                  <w:r>
                    <w:rPr>
                      <w:rFonts w:hint="eastAsia" w:ascii="宋体" w:hAnsi="宋体" w:eastAsia="宋体" w:cs="宋体"/>
                      <w:color w:val="000000"/>
                      <w:kern w:val="0"/>
                      <w:sz w:val="21"/>
                      <w:szCs w:val="21"/>
                      <w:highlight w:val="none"/>
                      <w:lang w:val="en-US" w:eastAsia="zh-CN" w:bidi="ar"/>
                    </w:rPr>
                    <w:t>清洗废水</w:t>
                  </w:r>
                </w:p>
              </w:tc>
              <w:tc>
                <w:tcPr>
                  <w:tcW w:w="1199" w:type="pct"/>
                  <w:vMerge w:val="restart"/>
                  <w:tcBorders>
                    <w:tl2br w:val="nil"/>
                    <w:tr2bl w:val="nil"/>
                  </w:tcBorders>
                  <w:vAlign w:val="center"/>
                </w:tcPr>
                <w:p w14:paraId="3EE0754C">
                  <w:pPr>
                    <w:keepNext w:val="0"/>
                    <w:keepLines w:val="0"/>
                    <w:suppressLineNumbers w:val="0"/>
                    <w:adjustRightInd w:val="0"/>
                    <w:snapToGrid w:val="0"/>
                    <w:spacing w:before="0" w:beforeAutospacing="0" w:after="0" w:afterAutospacing="0" w:line="276" w:lineRule="auto"/>
                    <w:ind w:left="0" w:right="0"/>
                    <w:jc w:val="center"/>
                    <w:rPr>
                      <w:rFonts w:hint="default"/>
                      <w:sz w:val="21"/>
                      <w:szCs w:val="21"/>
                      <w:highlight w:val="none"/>
                      <w:lang w:val="en-US"/>
                    </w:rPr>
                  </w:pPr>
                  <w:r>
                    <w:rPr>
                      <w:rFonts w:hint="eastAsia"/>
                      <w:sz w:val="21"/>
                      <w:szCs w:val="21"/>
                      <w:highlight w:val="none"/>
                      <w:lang w:val="en-US" w:eastAsia="zh-CN"/>
                    </w:rPr>
                    <w:t>pH、</w:t>
                  </w:r>
                  <w:r>
                    <w:rPr>
                      <w:rFonts w:hint="eastAsia"/>
                      <w:sz w:val="21"/>
                      <w:szCs w:val="21"/>
                      <w:highlight w:val="none"/>
                    </w:rPr>
                    <w:t>COD</w:t>
                  </w:r>
                  <w:r>
                    <w:rPr>
                      <w:rFonts w:hint="eastAsia"/>
                      <w:sz w:val="21"/>
                      <w:szCs w:val="21"/>
                      <w:highlight w:val="none"/>
                      <w:vertAlign w:val="subscript"/>
                    </w:rPr>
                    <w:t>Cr</w:t>
                  </w:r>
                  <w:r>
                    <w:rPr>
                      <w:rFonts w:hint="eastAsia"/>
                      <w:sz w:val="21"/>
                      <w:szCs w:val="21"/>
                      <w:highlight w:val="none"/>
                      <w:lang w:val="en-US" w:eastAsia="zh-CN"/>
                    </w:rPr>
                    <w:t>、</w:t>
                  </w:r>
                  <w:r>
                    <w:rPr>
                      <w:rFonts w:hint="default"/>
                      <w:sz w:val="21"/>
                      <w:szCs w:val="21"/>
                      <w:highlight w:val="none"/>
                      <w:lang w:val="en-US" w:eastAsia="zh-CN"/>
                    </w:rPr>
                    <w:t>BOD</w:t>
                  </w:r>
                  <w:r>
                    <w:rPr>
                      <w:rFonts w:hint="eastAsia"/>
                      <w:sz w:val="21"/>
                      <w:szCs w:val="21"/>
                      <w:highlight w:val="none"/>
                      <w:vertAlign w:val="subscript"/>
                      <w:lang w:val="en-US" w:eastAsia="zh-CN"/>
                    </w:rPr>
                    <w:t>5</w:t>
                  </w:r>
                  <w:r>
                    <w:rPr>
                      <w:rFonts w:hint="eastAsia"/>
                      <w:sz w:val="21"/>
                      <w:szCs w:val="21"/>
                      <w:highlight w:val="none"/>
                      <w:lang w:val="en-US" w:eastAsia="zh-CN"/>
                    </w:rPr>
                    <w:t>、</w:t>
                  </w:r>
                  <w:r>
                    <w:rPr>
                      <w:rFonts w:hint="default"/>
                      <w:sz w:val="21"/>
                      <w:szCs w:val="21"/>
                      <w:highlight w:val="none"/>
                      <w:lang w:val="en-US" w:eastAsia="zh-CN"/>
                    </w:rPr>
                    <w:t>SS</w:t>
                  </w:r>
                  <w:r>
                    <w:rPr>
                      <w:rFonts w:hint="eastAsia"/>
                      <w:sz w:val="21"/>
                      <w:szCs w:val="21"/>
                      <w:highlight w:val="none"/>
                      <w:lang w:val="en-US" w:eastAsia="zh-CN"/>
                    </w:rPr>
                    <w:t>、NH</w:t>
                  </w:r>
                  <w:r>
                    <w:rPr>
                      <w:rFonts w:hint="eastAsia"/>
                      <w:sz w:val="21"/>
                      <w:szCs w:val="21"/>
                      <w:highlight w:val="none"/>
                      <w:vertAlign w:val="subscript"/>
                      <w:lang w:val="en-US" w:eastAsia="zh-CN"/>
                    </w:rPr>
                    <w:t>3</w:t>
                  </w:r>
                  <w:r>
                    <w:rPr>
                      <w:rFonts w:hint="eastAsia"/>
                      <w:sz w:val="21"/>
                      <w:szCs w:val="21"/>
                      <w:highlight w:val="none"/>
                      <w:lang w:val="en-US" w:eastAsia="zh-CN"/>
                    </w:rPr>
                    <w:t>-N、LAS</w:t>
                  </w:r>
                </w:p>
              </w:tc>
            </w:tr>
            <w:tr w14:paraId="731BA80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90" w:hRule="atLeast"/>
                <w:jc w:val="center"/>
              </w:trPr>
              <w:tc>
                <w:tcPr>
                  <w:tcW w:w="305" w:type="pct"/>
                  <w:vMerge w:val="continue"/>
                  <w:tcBorders>
                    <w:tl2br w:val="nil"/>
                    <w:tr2bl w:val="nil"/>
                  </w:tcBorders>
                  <w:vAlign w:val="center"/>
                </w:tcPr>
                <w:p w14:paraId="74044E79">
                  <w:pPr>
                    <w:keepNext w:val="0"/>
                    <w:keepLines w:val="0"/>
                    <w:suppressLineNumbers w:val="0"/>
                    <w:adjustRightInd w:val="0"/>
                    <w:snapToGrid w:val="0"/>
                    <w:spacing w:before="0" w:beforeAutospacing="0" w:after="0" w:afterAutospacing="0" w:line="276" w:lineRule="auto"/>
                    <w:ind w:left="0" w:right="0"/>
                    <w:jc w:val="center"/>
                    <w:rPr>
                      <w:rFonts w:hint="default"/>
                      <w:sz w:val="21"/>
                      <w:szCs w:val="21"/>
                      <w:highlight w:val="none"/>
                    </w:rPr>
                  </w:pPr>
                </w:p>
              </w:tc>
              <w:tc>
                <w:tcPr>
                  <w:tcW w:w="404" w:type="pct"/>
                  <w:vMerge w:val="continue"/>
                  <w:tcBorders>
                    <w:tl2br w:val="nil"/>
                    <w:tr2bl w:val="nil"/>
                  </w:tcBorders>
                  <w:vAlign w:val="center"/>
                </w:tcPr>
                <w:p w14:paraId="42BBC827">
                  <w:pPr>
                    <w:keepNext w:val="0"/>
                    <w:keepLines w:val="0"/>
                    <w:suppressLineNumbers w:val="0"/>
                    <w:adjustRightInd w:val="0"/>
                    <w:snapToGrid w:val="0"/>
                    <w:spacing w:before="0" w:beforeAutospacing="0" w:after="0" w:afterAutospacing="0" w:line="276" w:lineRule="auto"/>
                    <w:ind w:left="0" w:right="0"/>
                    <w:jc w:val="center"/>
                    <w:rPr>
                      <w:rFonts w:hint="default"/>
                      <w:sz w:val="21"/>
                      <w:szCs w:val="21"/>
                      <w:highlight w:val="none"/>
                    </w:rPr>
                  </w:pPr>
                </w:p>
              </w:tc>
              <w:tc>
                <w:tcPr>
                  <w:tcW w:w="567" w:type="pct"/>
                  <w:vMerge w:val="continue"/>
                  <w:tcBorders>
                    <w:tl2br w:val="nil"/>
                    <w:tr2bl w:val="nil"/>
                  </w:tcBorders>
                  <w:vAlign w:val="center"/>
                </w:tcPr>
                <w:p w14:paraId="0ABAAA70">
                  <w:pPr>
                    <w:keepNext w:val="0"/>
                    <w:keepLines w:val="0"/>
                    <w:suppressLineNumbers w:val="0"/>
                    <w:adjustRightInd w:val="0"/>
                    <w:snapToGrid w:val="0"/>
                    <w:spacing w:before="0" w:beforeAutospacing="0" w:after="0" w:afterAutospacing="0" w:line="276" w:lineRule="auto"/>
                    <w:ind w:left="0" w:right="0"/>
                    <w:jc w:val="center"/>
                    <w:rPr>
                      <w:rFonts w:hint="eastAsia"/>
                      <w:sz w:val="21"/>
                      <w:szCs w:val="21"/>
                      <w:highlight w:val="none"/>
                    </w:rPr>
                  </w:pPr>
                </w:p>
              </w:tc>
              <w:tc>
                <w:tcPr>
                  <w:tcW w:w="1360" w:type="pct"/>
                  <w:tcBorders>
                    <w:tl2br w:val="nil"/>
                    <w:tr2bl w:val="nil"/>
                  </w:tcBorders>
                  <w:vAlign w:val="center"/>
                </w:tcPr>
                <w:p w14:paraId="02E10A89">
                  <w:pPr>
                    <w:keepNext w:val="0"/>
                    <w:keepLines w:val="0"/>
                    <w:suppressLineNumbers w:val="0"/>
                    <w:adjustRightInd w:val="0"/>
                    <w:snapToGrid w:val="0"/>
                    <w:spacing w:before="0" w:beforeAutospacing="0" w:after="0" w:afterAutospacing="0" w:line="276" w:lineRule="auto"/>
                    <w:ind w:left="0" w:right="0"/>
                    <w:jc w:val="center"/>
                    <w:rPr>
                      <w:rFonts w:hint="eastAsia"/>
                      <w:sz w:val="21"/>
                      <w:szCs w:val="21"/>
                      <w:highlight w:val="none"/>
                    </w:rPr>
                  </w:pPr>
                  <w:r>
                    <w:rPr>
                      <w:rFonts w:hint="eastAsia"/>
                      <w:sz w:val="21"/>
                      <w:szCs w:val="21"/>
                      <w:highlight w:val="none"/>
                      <w:lang w:val="en-US" w:eastAsia="zh-CN"/>
                    </w:rPr>
                    <w:t>分子生物学实验过程</w:t>
                  </w:r>
                </w:p>
              </w:tc>
              <w:tc>
                <w:tcPr>
                  <w:tcW w:w="1164" w:type="pct"/>
                  <w:vMerge w:val="continue"/>
                  <w:tcBorders>
                    <w:tl2br w:val="nil"/>
                    <w:tr2bl w:val="nil"/>
                  </w:tcBorders>
                  <w:vAlign w:val="center"/>
                </w:tcPr>
                <w:p w14:paraId="7A27F3C8">
                  <w:pPr>
                    <w:keepNext w:val="0"/>
                    <w:keepLines w:val="0"/>
                    <w:suppressLineNumbers w:val="0"/>
                    <w:adjustRightInd w:val="0"/>
                    <w:snapToGrid w:val="0"/>
                    <w:spacing w:before="0" w:beforeAutospacing="0" w:after="0" w:afterAutospacing="0" w:line="276" w:lineRule="auto"/>
                    <w:ind w:left="0" w:right="0"/>
                    <w:jc w:val="center"/>
                    <w:rPr>
                      <w:rFonts w:hint="eastAsia"/>
                      <w:sz w:val="21"/>
                      <w:szCs w:val="21"/>
                      <w:highlight w:val="none"/>
                    </w:rPr>
                  </w:pPr>
                </w:p>
              </w:tc>
              <w:tc>
                <w:tcPr>
                  <w:tcW w:w="1199" w:type="pct"/>
                  <w:vMerge w:val="continue"/>
                  <w:tcBorders>
                    <w:tl2br w:val="nil"/>
                    <w:tr2bl w:val="nil"/>
                  </w:tcBorders>
                  <w:vAlign w:val="center"/>
                </w:tcPr>
                <w:p w14:paraId="2840D5C7">
                  <w:pPr>
                    <w:keepNext w:val="0"/>
                    <w:keepLines w:val="0"/>
                    <w:suppressLineNumbers w:val="0"/>
                    <w:adjustRightInd w:val="0"/>
                    <w:snapToGrid w:val="0"/>
                    <w:spacing w:before="0" w:beforeAutospacing="0" w:after="0" w:afterAutospacing="0" w:line="276" w:lineRule="auto"/>
                    <w:ind w:left="0" w:right="0"/>
                    <w:jc w:val="center"/>
                    <w:rPr>
                      <w:rFonts w:hint="eastAsia"/>
                      <w:sz w:val="21"/>
                      <w:szCs w:val="21"/>
                      <w:highlight w:val="none"/>
                    </w:rPr>
                  </w:pPr>
                </w:p>
              </w:tc>
            </w:tr>
            <w:tr w14:paraId="7D7B1F4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86" w:hRule="atLeast"/>
                <w:jc w:val="center"/>
              </w:trPr>
              <w:tc>
                <w:tcPr>
                  <w:tcW w:w="305" w:type="pct"/>
                  <w:vMerge w:val="continue"/>
                  <w:tcBorders>
                    <w:tl2br w:val="nil"/>
                    <w:tr2bl w:val="nil"/>
                  </w:tcBorders>
                  <w:vAlign w:val="center"/>
                </w:tcPr>
                <w:p w14:paraId="0522A817">
                  <w:pPr>
                    <w:keepNext w:val="0"/>
                    <w:keepLines w:val="0"/>
                    <w:suppressLineNumbers w:val="0"/>
                    <w:adjustRightInd w:val="0"/>
                    <w:snapToGrid w:val="0"/>
                    <w:spacing w:before="0" w:beforeAutospacing="0" w:after="0" w:afterAutospacing="0" w:line="276" w:lineRule="auto"/>
                    <w:ind w:left="0" w:right="0"/>
                    <w:jc w:val="center"/>
                    <w:rPr>
                      <w:rFonts w:hint="default"/>
                      <w:sz w:val="21"/>
                      <w:szCs w:val="21"/>
                      <w:highlight w:val="none"/>
                    </w:rPr>
                  </w:pPr>
                </w:p>
              </w:tc>
              <w:tc>
                <w:tcPr>
                  <w:tcW w:w="404" w:type="pct"/>
                  <w:vMerge w:val="continue"/>
                  <w:tcBorders>
                    <w:tl2br w:val="nil"/>
                    <w:tr2bl w:val="nil"/>
                  </w:tcBorders>
                  <w:vAlign w:val="center"/>
                </w:tcPr>
                <w:p w14:paraId="0AD82F27">
                  <w:pPr>
                    <w:keepNext w:val="0"/>
                    <w:keepLines w:val="0"/>
                    <w:suppressLineNumbers w:val="0"/>
                    <w:adjustRightInd w:val="0"/>
                    <w:snapToGrid w:val="0"/>
                    <w:spacing w:before="0" w:beforeAutospacing="0" w:after="0" w:afterAutospacing="0" w:line="276" w:lineRule="auto"/>
                    <w:ind w:left="0" w:right="0"/>
                    <w:jc w:val="center"/>
                    <w:rPr>
                      <w:rFonts w:hint="default"/>
                      <w:sz w:val="21"/>
                      <w:szCs w:val="21"/>
                      <w:highlight w:val="none"/>
                    </w:rPr>
                  </w:pPr>
                </w:p>
              </w:tc>
              <w:tc>
                <w:tcPr>
                  <w:tcW w:w="567" w:type="pct"/>
                  <w:vMerge w:val="continue"/>
                  <w:tcBorders>
                    <w:tl2br w:val="nil"/>
                    <w:tr2bl w:val="nil"/>
                  </w:tcBorders>
                  <w:vAlign w:val="center"/>
                </w:tcPr>
                <w:p w14:paraId="5CB2B551">
                  <w:pPr>
                    <w:keepNext w:val="0"/>
                    <w:keepLines w:val="0"/>
                    <w:suppressLineNumbers w:val="0"/>
                    <w:adjustRightInd w:val="0"/>
                    <w:snapToGrid w:val="0"/>
                    <w:spacing w:before="0" w:beforeAutospacing="0" w:after="0" w:afterAutospacing="0" w:line="276" w:lineRule="auto"/>
                    <w:ind w:left="0" w:right="0"/>
                    <w:jc w:val="center"/>
                    <w:rPr>
                      <w:rFonts w:hint="eastAsia"/>
                      <w:sz w:val="21"/>
                      <w:szCs w:val="21"/>
                      <w:highlight w:val="none"/>
                    </w:rPr>
                  </w:pPr>
                </w:p>
              </w:tc>
              <w:tc>
                <w:tcPr>
                  <w:tcW w:w="1360" w:type="pct"/>
                  <w:tcBorders>
                    <w:tl2br w:val="nil"/>
                    <w:tr2bl w:val="nil"/>
                  </w:tcBorders>
                  <w:vAlign w:val="center"/>
                </w:tcPr>
                <w:p w14:paraId="3269BB8F">
                  <w:pPr>
                    <w:keepNext w:val="0"/>
                    <w:keepLines w:val="0"/>
                    <w:suppressLineNumbers w:val="0"/>
                    <w:adjustRightInd w:val="0"/>
                    <w:snapToGrid w:val="0"/>
                    <w:spacing w:before="0" w:beforeAutospacing="0" w:after="0" w:afterAutospacing="0" w:line="276" w:lineRule="auto"/>
                    <w:ind w:left="0" w:right="0"/>
                    <w:jc w:val="center"/>
                    <w:rPr>
                      <w:rFonts w:hint="eastAsia"/>
                      <w:sz w:val="21"/>
                      <w:szCs w:val="21"/>
                      <w:highlight w:val="none"/>
                    </w:rPr>
                  </w:pPr>
                  <w:r>
                    <w:rPr>
                      <w:rFonts w:hint="eastAsia"/>
                      <w:sz w:val="21"/>
                      <w:szCs w:val="21"/>
                      <w:highlight w:val="none"/>
                      <w:lang w:val="en-US" w:eastAsia="zh-CN"/>
                    </w:rPr>
                    <w:t>药物有机合成实验过程</w:t>
                  </w:r>
                </w:p>
              </w:tc>
              <w:tc>
                <w:tcPr>
                  <w:tcW w:w="1164" w:type="pct"/>
                  <w:vMerge w:val="continue"/>
                  <w:tcBorders>
                    <w:tl2br w:val="nil"/>
                    <w:tr2bl w:val="nil"/>
                  </w:tcBorders>
                  <w:vAlign w:val="center"/>
                </w:tcPr>
                <w:p w14:paraId="51148970">
                  <w:pPr>
                    <w:keepNext w:val="0"/>
                    <w:keepLines w:val="0"/>
                    <w:suppressLineNumbers w:val="0"/>
                    <w:adjustRightInd w:val="0"/>
                    <w:snapToGrid w:val="0"/>
                    <w:spacing w:before="0" w:beforeAutospacing="0" w:after="0" w:afterAutospacing="0" w:line="276" w:lineRule="auto"/>
                    <w:ind w:left="0" w:right="0"/>
                    <w:jc w:val="center"/>
                    <w:rPr>
                      <w:rFonts w:hint="eastAsia"/>
                      <w:sz w:val="21"/>
                      <w:szCs w:val="21"/>
                      <w:highlight w:val="none"/>
                    </w:rPr>
                  </w:pPr>
                </w:p>
              </w:tc>
              <w:tc>
                <w:tcPr>
                  <w:tcW w:w="1199" w:type="pct"/>
                  <w:tcBorders>
                    <w:tl2br w:val="nil"/>
                    <w:tr2bl w:val="nil"/>
                  </w:tcBorders>
                  <w:vAlign w:val="center"/>
                </w:tcPr>
                <w:p w14:paraId="6A9BE252">
                  <w:pPr>
                    <w:keepNext w:val="0"/>
                    <w:keepLines w:val="0"/>
                    <w:suppressLineNumbers w:val="0"/>
                    <w:adjustRightInd w:val="0"/>
                    <w:snapToGrid w:val="0"/>
                    <w:spacing w:before="0" w:beforeAutospacing="0" w:after="0" w:afterAutospacing="0" w:line="276" w:lineRule="auto"/>
                    <w:ind w:left="0" w:right="0"/>
                    <w:jc w:val="center"/>
                    <w:rPr>
                      <w:rFonts w:hint="eastAsia"/>
                      <w:sz w:val="21"/>
                      <w:szCs w:val="21"/>
                      <w:highlight w:val="none"/>
                    </w:rPr>
                  </w:pPr>
                  <w:r>
                    <w:rPr>
                      <w:rFonts w:hint="eastAsia"/>
                      <w:sz w:val="21"/>
                      <w:szCs w:val="21"/>
                      <w:highlight w:val="none"/>
                      <w:lang w:val="en-US" w:eastAsia="zh-CN"/>
                    </w:rPr>
                    <w:t>pH、</w:t>
                  </w:r>
                  <w:r>
                    <w:rPr>
                      <w:rFonts w:hint="eastAsia"/>
                      <w:sz w:val="21"/>
                      <w:szCs w:val="21"/>
                      <w:highlight w:val="none"/>
                    </w:rPr>
                    <w:t>COD</w:t>
                  </w:r>
                  <w:r>
                    <w:rPr>
                      <w:rFonts w:hint="eastAsia"/>
                      <w:sz w:val="21"/>
                      <w:szCs w:val="21"/>
                      <w:highlight w:val="none"/>
                      <w:vertAlign w:val="subscript"/>
                    </w:rPr>
                    <w:t>Cr</w:t>
                  </w:r>
                  <w:r>
                    <w:rPr>
                      <w:rFonts w:hint="eastAsia"/>
                      <w:sz w:val="21"/>
                      <w:szCs w:val="21"/>
                      <w:highlight w:val="none"/>
                      <w:lang w:val="en-US" w:eastAsia="zh-CN"/>
                    </w:rPr>
                    <w:t>、</w:t>
                  </w:r>
                  <w:r>
                    <w:rPr>
                      <w:rFonts w:hint="default"/>
                      <w:sz w:val="21"/>
                      <w:szCs w:val="21"/>
                      <w:highlight w:val="none"/>
                      <w:lang w:val="en-US" w:eastAsia="zh-CN"/>
                    </w:rPr>
                    <w:t>BOD</w:t>
                  </w:r>
                  <w:r>
                    <w:rPr>
                      <w:rFonts w:hint="eastAsia"/>
                      <w:sz w:val="21"/>
                      <w:szCs w:val="21"/>
                      <w:highlight w:val="none"/>
                      <w:vertAlign w:val="subscript"/>
                      <w:lang w:val="en-US" w:eastAsia="zh-CN"/>
                    </w:rPr>
                    <w:t>5</w:t>
                  </w:r>
                </w:p>
              </w:tc>
            </w:tr>
            <w:tr w14:paraId="4A76879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86" w:hRule="atLeast"/>
                <w:jc w:val="center"/>
              </w:trPr>
              <w:tc>
                <w:tcPr>
                  <w:tcW w:w="305" w:type="pct"/>
                  <w:vMerge w:val="continue"/>
                  <w:tcBorders>
                    <w:tl2br w:val="nil"/>
                    <w:tr2bl w:val="nil"/>
                  </w:tcBorders>
                  <w:vAlign w:val="center"/>
                </w:tcPr>
                <w:p w14:paraId="2528E674">
                  <w:pPr>
                    <w:keepNext w:val="0"/>
                    <w:keepLines w:val="0"/>
                    <w:suppressLineNumbers w:val="0"/>
                    <w:adjustRightInd w:val="0"/>
                    <w:snapToGrid w:val="0"/>
                    <w:spacing w:before="0" w:beforeAutospacing="0" w:after="0" w:afterAutospacing="0" w:line="276" w:lineRule="auto"/>
                    <w:ind w:left="0" w:right="0"/>
                    <w:jc w:val="center"/>
                    <w:rPr>
                      <w:rFonts w:hint="default"/>
                      <w:sz w:val="21"/>
                      <w:szCs w:val="21"/>
                      <w:highlight w:val="none"/>
                    </w:rPr>
                  </w:pPr>
                </w:p>
              </w:tc>
              <w:tc>
                <w:tcPr>
                  <w:tcW w:w="404" w:type="pct"/>
                  <w:tcBorders>
                    <w:tl2br w:val="nil"/>
                    <w:tr2bl w:val="nil"/>
                  </w:tcBorders>
                  <w:vAlign w:val="center"/>
                </w:tcPr>
                <w:p w14:paraId="3B8D75D3">
                  <w:pPr>
                    <w:keepNext w:val="0"/>
                    <w:keepLines w:val="0"/>
                    <w:suppressLineNumbers w:val="0"/>
                    <w:adjustRightInd w:val="0"/>
                    <w:snapToGrid w:val="0"/>
                    <w:spacing w:before="0" w:beforeAutospacing="0" w:after="0" w:afterAutospacing="0" w:line="276" w:lineRule="auto"/>
                    <w:ind w:left="0" w:right="0"/>
                    <w:jc w:val="center"/>
                    <w:rPr>
                      <w:rFonts w:hint="default" w:eastAsia="宋体"/>
                      <w:sz w:val="21"/>
                      <w:szCs w:val="21"/>
                      <w:highlight w:val="none"/>
                      <w:lang w:val="en-US" w:eastAsia="zh-CN"/>
                    </w:rPr>
                  </w:pPr>
                  <w:r>
                    <w:rPr>
                      <w:rFonts w:hint="eastAsia"/>
                      <w:sz w:val="21"/>
                      <w:szCs w:val="21"/>
                      <w:highlight w:val="none"/>
                      <w:lang w:val="en-US" w:eastAsia="zh-CN"/>
                    </w:rPr>
                    <w:t>/</w:t>
                  </w:r>
                </w:p>
              </w:tc>
              <w:tc>
                <w:tcPr>
                  <w:tcW w:w="567" w:type="pct"/>
                  <w:vMerge w:val="continue"/>
                  <w:tcBorders>
                    <w:tl2br w:val="nil"/>
                    <w:tr2bl w:val="nil"/>
                  </w:tcBorders>
                  <w:vAlign w:val="center"/>
                </w:tcPr>
                <w:p w14:paraId="03E6A0E4">
                  <w:pPr>
                    <w:keepNext w:val="0"/>
                    <w:keepLines w:val="0"/>
                    <w:suppressLineNumbers w:val="0"/>
                    <w:adjustRightInd w:val="0"/>
                    <w:snapToGrid w:val="0"/>
                    <w:spacing w:before="0" w:beforeAutospacing="0" w:after="0" w:afterAutospacing="0" w:line="276" w:lineRule="auto"/>
                    <w:ind w:left="0" w:right="0"/>
                    <w:jc w:val="center"/>
                    <w:rPr>
                      <w:rFonts w:hint="eastAsia"/>
                      <w:sz w:val="21"/>
                      <w:szCs w:val="21"/>
                      <w:highlight w:val="none"/>
                    </w:rPr>
                  </w:pPr>
                </w:p>
              </w:tc>
              <w:tc>
                <w:tcPr>
                  <w:tcW w:w="1360" w:type="pct"/>
                  <w:tcBorders>
                    <w:tl2br w:val="nil"/>
                    <w:tr2bl w:val="nil"/>
                  </w:tcBorders>
                  <w:vAlign w:val="center"/>
                </w:tcPr>
                <w:p w14:paraId="17CEFE7F">
                  <w:pPr>
                    <w:keepNext w:val="0"/>
                    <w:keepLines w:val="0"/>
                    <w:suppressLineNumbers w:val="0"/>
                    <w:adjustRightInd w:val="0"/>
                    <w:snapToGrid w:val="0"/>
                    <w:spacing w:before="0" w:beforeAutospacing="0" w:after="0" w:afterAutospacing="0" w:line="276" w:lineRule="auto"/>
                    <w:ind w:left="0" w:right="0"/>
                    <w:jc w:val="center"/>
                    <w:rPr>
                      <w:rFonts w:hint="default"/>
                      <w:sz w:val="21"/>
                      <w:szCs w:val="21"/>
                      <w:highlight w:val="none"/>
                      <w:lang w:val="en-US" w:eastAsia="zh-CN"/>
                    </w:rPr>
                  </w:pPr>
                  <w:r>
                    <w:rPr>
                      <w:rFonts w:hint="eastAsia"/>
                      <w:sz w:val="21"/>
                      <w:szCs w:val="21"/>
                      <w:highlight w:val="none"/>
                      <w:lang w:val="en-US" w:eastAsia="zh-CN"/>
                    </w:rPr>
                    <w:t>地面清洗</w:t>
                  </w:r>
                </w:p>
              </w:tc>
              <w:tc>
                <w:tcPr>
                  <w:tcW w:w="1164" w:type="pct"/>
                  <w:tcBorders>
                    <w:tl2br w:val="nil"/>
                    <w:tr2bl w:val="nil"/>
                  </w:tcBorders>
                  <w:vAlign w:val="center"/>
                </w:tcPr>
                <w:p w14:paraId="64EB5C17">
                  <w:pPr>
                    <w:keepNext w:val="0"/>
                    <w:keepLines w:val="0"/>
                    <w:suppressLineNumbers w:val="0"/>
                    <w:adjustRightInd w:val="0"/>
                    <w:snapToGrid w:val="0"/>
                    <w:spacing w:before="0" w:beforeAutospacing="0" w:after="0" w:afterAutospacing="0" w:line="276" w:lineRule="auto"/>
                    <w:ind w:left="0" w:right="0"/>
                    <w:jc w:val="center"/>
                    <w:rPr>
                      <w:rFonts w:hint="eastAsia"/>
                      <w:sz w:val="21"/>
                      <w:szCs w:val="21"/>
                      <w:highlight w:val="none"/>
                    </w:rPr>
                  </w:pPr>
                  <w:r>
                    <w:rPr>
                      <w:rFonts w:hint="eastAsia"/>
                      <w:sz w:val="21"/>
                      <w:szCs w:val="21"/>
                      <w:highlight w:val="none"/>
                      <w:lang w:val="en-US" w:eastAsia="zh-CN"/>
                    </w:rPr>
                    <w:t>地面清洗</w:t>
                  </w:r>
                  <w:r>
                    <w:rPr>
                      <w:rFonts w:hint="eastAsia" w:ascii="宋体" w:hAnsi="宋体" w:eastAsia="宋体" w:cs="宋体"/>
                      <w:color w:val="000000"/>
                      <w:kern w:val="0"/>
                      <w:sz w:val="21"/>
                      <w:szCs w:val="21"/>
                      <w:highlight w:val="none"/>
                      <w:lang w:val="en-US" w:eastAsia="zh-CN" w:bidi="ar"/>
                    </w:rPr>
                    <w:t>废水</w:t>
                  </w:r>
                </w:p>
              </w:tc>
              <w:tc>
                <w:tcPr>
                  <w:tcW w:w="1199" w:type="pct"/>
                  <w:tcBorders>
                    <w:tl2br w:val="nil"/>
                    <w:tr2bl w:val="nil"/>
                  </w:tcBorders>
                  <w:vAlign w:val="center"/>
                </w:tcPr>
                <w:p w14:paraId="625ACFA1">
                  <w:pPr>
                    <w:keepNext w:val="0"/>
                    <w:keepLines w:val="0"/>
                    <w:suppressLineNumbers w:val="0"/>
                    <w:adjustRightInd w:val="0"/>
                    <w:snapToGrid w:val="0"/>
                    <w:spacing w:before="0" w:beforeAutospacing="0" w:after="0" w:afterAutospacing="0" w:line="276" w:lineRule="auto"/>
                    <w:ind w:left="0" w:right="0"/>
                    <w:jc w:val="center"/>
                    <w:rPr>
                      <w:rFonts w:hint="eastAsia"/>
                      <w:sz w:val="21"/>
                      <w:szCs w:val="21"/>
                      <w:highlight w:val="none"/>
                    </w:rPr>
                  </w:pPr>
                  <w:r>
                    <w:rPr>
                      <w:rFonts w:hint="eastAsia"/>
                      <w:sz w:val="21"/>
                      <w:szCs w:val="21"/>
                      <w:highlight w:val="none"/>
                      <w:lang w:val="en-US" w:eastAsia="zh-CN"/>
                    </w:rPr>
                    <w:t>pH、</w:t>
                  </w:r>
                  <w:r>
                    <w:rPr>
                      <w:rFonts w:hint="default"/>
                      <w:color w:val="auto"/>
                      <w:sz w:val="21"/>
                      <w:szCs w:val="21"/>
                      <w:highlight w:val="none"/>
                    </w:rPr>
                    <w:t>COD</w:t>
                  </w:r>
                  <w:r>
                    <w:rPr>
                      <w:rFonts w:hint="eastAsia"/>
                      <w:color w:val="auto"/>
                      <w:sz w:val="21"/>
                      <w:szCs w:val="21"/>
                      <w:highlight w:val="none"/>
                      <w:lang w:val="en-US" w:eastAsia="zh-CN"/>
                    </w:rPr>
                    <w:t>cr</w:t>
                  </w:r>
                  <w:r>
                    <w:rPr>
                      <w:rFonts w:hint="default"/>
                      <w:color w:val="auto"/>
                      <w:sz w:val="21"/>
                      <w:szCs w:val="21"/>
                      <w:highlight w:val="none"/>
                    </w:rPr>
                    <w:t>、SS</w:t>
                  </w:r>
                </w:p>
              </w:tc>
            </w:tr>
            <w:tr w14:paraId="0E18226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86" w:hRule="atLeast"/>
                <w:jc w:val="center"/>
              </w:trPr>
              <w:tc>
                <w:tcPr>
                  <w:tcW w:w="305" w:type="pct"/>
                  <w:vMerge w:val="continue"/>
                  <w:tcBorders>
                    <w:tl2br w:val="nil"/>
                    <w:tr2bl w:val="nil"/>
                  </w:tcBorders>
                  <w:vAlign w:val="center"/>
                </w:tcPr>
                <w:p w14:paraId="6EED9FA3">
                  <w:pPr>
                    <w:keepNext w:val="0"/>
                    <w:keepLines w:val="0"/>
                    <w:suppressLineNumbers w:val="0"/>
                    <w:adjustRightInd w:val="0"/>
                    <w:snapToGrid w:val="0"/>
                    <w:spacing w:before="0" w:beforeAutospacing="0" w:after="0" w:afterAutospacing="0" w:line="276" w:lineRule="auto"/>
                    <w:ind w:left="0" w:right="0"/>
                    <w:jc w:val="center"/>
                    <w:rPr>
                      <w:rFonts w:hint="default"/>
                      <w:sz w:val="21"/>
                      <w:szCs w:val="21"/>
                      <w:highlight w:val="none"/>
                    </w:rPr>
                  </w:pPr>
                </w:p>
              </w:tc>
              <w:tc>
                <w:tcPr>
                  <w:tcW w:w="404" w:type="pct"/>
                  <w:tcBorders>
                    <w:tl2br w:val="nil"/>
                    <w:tr2bl w:val="nil"/>
                  </w:tcBorders>
                  <w:vAlign w:val="center"/>
                </w:tcPr>
                <w:p w14:paraId="2AB4C5D2">
                  <w:pPr>
                    <w:keepNext w:val="0"/>
                    <w:keepLines w:val="0"/>
                    <w:suppressLineNumbers w:val="0"/>
                    <w:adjustRightInd w:val="0"/>
                    <w:snapToGrid w:val="0"/>
                    <w:spacing w:before="0" w:beforeAutospacing="0" w:after="0" w:afterAutospacing="0" w:line="276" w:lineRule="auto"/>
                    <w:ind w:left="0" w:right="0"/>
                    <w:jc w:val="center"/>
                    <w:rPr>
                      <w:rFonts w:hint="eastAsia"/>
                      <w:sz w:val="21"/>
                      <w:szCs w:val="21"/>
                      <w:highlight w:val="none"/>
                      <w:lang w:val="en-US" w:eastAsia="zh-CN"/>
                    </w:rPr>
                  </w:pPr>
                  <w:r>
                    <w:rPr>
                      <w:rFonts w:hint="eastAsia"/>
                      <w:sz w:val="21"/>
                      <w:szCs w:val="21"/>
                      <w:highlight w:val="none"/>
                      <w:lang w:val="en-US" w:eastAsia="zh-CN"/>
                    </w:rPr>
                    <w:t>/</w:t>
                  </w:r>
                </w:p>
              </w:tc>
              <w:tc>
                <w:tcPr>
                  <w:tcW w:w="567" w:type="pct"/>
                  <w:vMerge w:val="continue"/>
                  <w:tcBorders>
                    <w:tl2br w:val="nil"/>
                    <w:tr2bl w:val="nil"/>
                  </w:tcBorders>
                  <w:vAlign w:val="center"/>
                </w:tcPr>
                <w:p w14:paraId="61FEFBD5">
                  <w:pPr>
                    <w:keepNext w:val="0"/>
                    <w:keepLines w:val="0"/>
                    <w:suppressLineNumbers w:val="0"/>
                    <w:adjustRightInd w:val="0"/>
                    <w:snapToGrid w:val="0"/>
                    <w:spacing w:before="0" w:beforeAutospacing="0" w:after="0" w:afterAutospacing="0" w:line="276" w:lineRule="auto"/>
                    <w:ind w:left="0" w:right="0"/>
                    <w:jc w:val="center"/>
                    <w:rPr>
                      <w:rFonts w:hint="eastAsia"/>
                      <w:sz w:val="21"/>
                      <w:szCs w:val="21"/>
                      <w:highlight w:val="none"/>
                    </w:rPr>
                  </w:pPr>
                </w:p>
              </w:tc>
              <w:tc>
                <w:tcPr>
                  <w:tcW w:w="1360" w:type="pct"/>
                  <w:tcBorders>
                    <w:tl2br w:val="nil"/>
                    <w:tr2bl w:val="nil"/>
                  </w:tcBorders>
                  <w:vAlign w:val="center"/>
                </w:tcPr>
                <w:p w14:paraId="58CA1958">
                  <w:pPr>
                    <w:keepNext w:val="0"/>
                    <w:keepLines w:val="0"/>
                    <w:suppressLineNumbers w:val="0"/>
                    <w:adjustRightInd w:val="0"/>
                    <w:snapToGrid w:val="0"/>
                    <w:spacing w:before="0" w:beforeAutospacing="0" w:after="0" w:afterAutospacing="0" w:line="276" w:lineRule="auto"/>
                    <w:ind w:left="0" w:right="0"/>
                    <w:jc w:val="center"/>
                    <w:rPr>
                      <w:rFonts w:hint="eastAsia"/>
                      <w:sz w:val="21"/>
                      <w:szCs w:val="21"/>
                      <w:highlight w:val="none"/>
                      <w:lang w:val="en-US" w:eastAsia="zh-CN"/>
                    </w:rPr>
                  </w:pPr>
                  <w:r>
                    <w:rPr>
                      <w:rFonts w:hint="eastAsia"/>
                      <w:sz w:val="21"/>
                      <w:szCs w:val="21"/>
                      <w:highlight w:val="none"/>
                      <w:lang w:eastAsia="zh-CN"/>
                    </w:rPr>
                    <w:t>防护服清洗</w:t>
                  </w:r>
                </w:p>
              </w:tc>
              <w:tc>
                <w:tcPr>
                  <w:tcW w:w="1164" w:type="pct"/>
                  <w:tcBorders>
                    <w:tl2br w:val="nil"/>
                    <w:tr2bl w:val="nil"/>
                  </w:tcBorders>
                  <w:vAlign w:val="center"/>
                </w:tcPr>
                <w:p w14:paraId="7D900B42">
                  <w:pPr>
                    <w:keepNext w:val="0"/>
                    <w:keepLines w:val="0"/>
                    <w:suppressLineNumbers w:val="0"/>
                    <w:adjustRightInd w:val="0"/>
                    <w:snapToGrid w:val="0"/>
                    <w:spacing w:before="0" w:beforeAutospacing="0" w:after="0" w:afterAutospacing="0" w:line="276" w:lineRule="auto"/>
                    <w:ind w:left="0" w:right="0"/>
                    <w:jc w:val="center"/>
                    <w:rPr>
                      <w:rFonts w:hint="eastAsia"/>
                      <w:sz w:val="21"/>
                      <w:szCs w:val="21"/>
                      <w:highlight w:val="none"/>
                      <w:lang w:val="en-US" w:eastAsia="zh-CN"/>
                    </w:rPr>
                  </w:pPr>
                  <w:r>
                    <w:rPr>
                      <w:rFonts w:hint="eastAsia"/>
                      <w:sz w:val="21"/>
                      <w:szCs w:val="21"/>
                      <w:highlight w:val="none"/>
                      <w:lang w:eastAsia="zh-CN"/>
                    </w:rPr>
                    <w:t>洗衣废水</w:t>
                  </w:r>
                </w:p>
              </w:tc>
              <w:tc>
                <w:tcPr>
                  <w:tcW w:w="1199" w:type="pct"/>
                  <w:tcBorders>
                    <w:tl2br w:val="nil"/>
                    <w:tr2bl w:val="nil"/>
                  </w:tcBorders>
                  <w:vAlign w:val="center"/>
                </w:tcPr>
                <w:p w14:paraId="07446B27">
                  <w:pPr>
                    <w:keepNext w:val="0"/>
                    <w:keepLines w:val="0"/>
                    <w:suppressLineNumbers w:val="0"/>
                    <w:adjustRightInd w:val="0"/>
                    <w:snapToGrid w:val="0"/>
                    <w:spacing w:before="0" w:beforeAutospacing="0" w:after="0" w:afterAutospacing="0" w:line="276" w:lineRule="auto"/>
                    <w:ind w:left="0" w:right="0"/>
                    <w:jc w:val="center"/>
                    <w:rPr>
                      <w:rFonts w:hint="default"/>
                      <w:color w:val="auto"/>
                      <w:sz w:val="21"/>
                      <w:szCs w:val="21"/>
                      <w:highlight w:val="none"/>
                    </w:rPr>
                  </w:pPr>
                  <w:r>
                    <w:rPr>
                      <w:rFonts w:hint="eastAsia"/>
                      <w:sz w:val="21"/>
                      <w:szCs w:val="21"/>
                      <w:highlight w:val="none"/>
                      <w:lang w:val="en-US" w:eastAsia="zh-CN"/>
                    </w:rPr>
                    <w:t>pH、</w:t>
                  </w:r>
                  <w:r>
                    <w:rPr>
                      <w:rFonts w:hint="default"/>
                      <w:sz w:val="21"/>
                      <w:szCs w:val="21"/>
                      <w:highlight w:val="none"/>
                    </w:rPr>
                    <w:t>COD</w:t>
                  </w:r>
                  <w:r>
                    <w:rPr>
                      <w:rFonts w:hint="eastAsia"/>
                      <w:sz w:val="21"/>
                      <w:szCs w:val="21"/>
                      <w:highlight w:val="none"/>
                      <w:vertAlign w:val="subscript"/>
                    </w:rPr>
                    <w:t>C</w:t>
                  </w:r>
                  <w:r>
                    <w:rPr>
                      <w:rFonts w:hint="default"/>
                      <w:sz w:val="21"/>
                      <w:szCs w:val="21"/>
                      <w:highlight w:val="none"/>
                      <w:vertAlign w:val="subscript"/>
                    </w:rPr>
                    <w:t>r</w:t>
                  </w:r>
                  <w:r>
                    <w:rPr>
                      <w:rFonts w:hint="eastAsia"/>
                      <w:sz w:val="21"/>
                      <w:szCs w:val="21"/>
                      <w:highlight w:val="none"/>
                    </w:rPr>
                    <w:t>、</w:t>
                  </w:r>
                  <w:r>
                    <w:rPr>
                      <w:rFonts w:hint="eastAsia"/>
                      <w:sz w:val="21"/>
                      <w:szCs w:val="21"/>
                      <w:highlight w:val="none"/>
                      <w:lang w:val="en-US" w:eastAsia="zh-CN"/>
                    </w:rPr>
                    <w:t>SS、NH</w:t>
                  </w:r>
                  <w:r>
                    <w:rPr>
                      <w:rFonts w:hint="eastAsia"/>
                      <w:sz w:val="21"/>
                      <w:szCs w:val="21"/>
                      <w:highlight w:val="none"/>
                      <w:vertAlign w:val="subscript"/>
                      <w:lang w:val="en-US" w:eastAsia="zh-CN"/>
                    </w:rPr>
                    <w:t>3</w:t>
                  </w:r>
                  <w:r>
                    <w:rPr>
                      <w:rFonts w:hint="eastAsia"/>
                      <w:sz w:val="21"/>
                      <w:szCs w:val="21"/>
                      <w:highlight w:val="none"/>
                      <w:lang w:val="en-US" w:eastAsia="zh-CN"/>
                    </w:rPr>
                    <w:t>-N</w:t>
                  </w:r>
                </w:p>
              </w:tc>
            </w:tr>
            <w:tr w14:paraId="64781E0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86" w:hRule="atLeast"/>
                <w:jc w:val="center"/>
              </w:trPr>
              <w:tc>
                <w:tcPr>
                  <w:tcW w:w="305" w:type="pct"/>
                  <w:vMerge w:val="continue"/>
                  <w:tcBorders>
                    <w:tl2br w:val="nil"/>
                    <w:tr2bl w:val="nil"/>
                  </w:tcBorders>
                  <w:vAlign w:val="center"/>
                </w:tcPr>
                <w:p w14:paraId="6E3CC26E">
                  <w:pPr>
                    <w:keepNext w:val="0"/>
                    <w:keepLines w:val="0"/>
                    <w:suppressLineNumbers w:val="0"/>
                    <w:adjustRightInd w:val="0"/>
                    <w:snapToGrid w:val="0"/>
                    <w:spacing w:before="0" w:beforeAutospacing="0" w:after="0" w:afterAutospacing="0" w:line="276" w:lineRule="auto"/>
                    <w:ind w:left="0" w:right="0"/>
                    <w:jc w:val="center"/>
                    <w:rPr>
                      <w:rFonts w:hint="default"/>
                      <w:sz w:val="21"/>
                      <w:szCs w:val="21"/>
                      <w:highlight w:val="none"/>
                    </w:rPr>
                  </w:pPr>
                </w:p>
              </w:tc>
              <w:tc>
                <w:tcPr>
                  <w:tcW w:w="404" w:type="pct"/>
                  <w:tcBorders>
                    <w:tl2br w:val="nil"/>
                    <w:tr2bl w:val="nil"/>
                  </w:tcBorders>
                  <w:vAlign w:val="center"/>
                </w:tcPr>
                <w:p w14:paraId="3580C7C2">
                  <w:pPr>
                    <w:keepNext w:val="0"/>
                    <w:keepLines w:val="0"/>
                    <w:suppressLineNumbers w:val="0"/>
                    <w:adjustRightInd w:val="0"/>
                    <w:snapToGrid w:val="0"/>
                    <w:spacing w:before="0" w:beforeAutospacing="0" w:after="0" w:afterAutospacing="0" w:line="276" w:lineRule="auto"/>
                    <w:ind w:left="0" w:right="0"/>
                    <w:jc w:val="center"/>
                    <w:rPr>
                      <w:rFonts w:hint="default"/>
                      <w:sz w:val="21"/>
                      <w:szCs w:val="21"/>
                      <w:highlight w:val="none"/>
                    </w:rPr>
                  </w:pPr>
                  <w:r>
                    <w:rPr>
                      <w:rFonts w:hint="eastAsia"/>
                      <w:sz w:val="21"/>
                      <w:szCs w:val="21"/>
                      <w:highlight w:val="none"/>
                      <w:lang w:val="en-US" w:eastAsia="zh-CN"/>
                    </w:rPr>
                    <w:t>/</w:t>
                  </w:r>
                </w:p>
              </w:tc>
              <w:tc>
                <w:tcPr>
                  <w:tcW w:w="567" w:type="pct"/>
                  <w:vMerge w:val="continue"/>
                  <w:tcBorders>
                    <w:tl2br w:val="nil"/>
                    <w:tr2bl w:val="nil"/>
                  </w:tcBorders>
                  <w:vAlign w:val="center"/>
                </w:tcPr>
                <w:p w14:paraId="31CBBCC8">
                  <w:pPr>
                    <w:keepNext w:val="0"/>
                    <w:keepLines w:val="0"/>
                    <w:suppressLineNumbers w:val="0"/>
                    <w:adjustRightInd w:val="0"/>
                    <w:snapToGrid w:val="0"/>
                    <w:spacing w:before="0" w:beforeAutospacing="0" w:after="0" w:afterAutospacing="0" w:line="276" w:lineRule="auto"/>
                    <w:ind w:left="0" w:right="0"/>
                    <w:jc w:val="center"/>
                    <w:rPr>
                      <w:rFonts w:hint="eastAsia"/>
                      <w:sz w:val="21"/>
                      <w:szCs w:val="21"/>
                      <w:highlight w:val="none"/>
                    </w:rPr>
                  </w:pPr>
                </w:p>
              </w:tc>
              <w:tc>
                <w:tcPr>
                  <w:tcW w:w="1360" w:type="pct"/>
                  <w:tcBorders>
                    <w:tl2br w:val="nil"/>
                    <w:tr2bl w:val="nil"/>
                  </w:tcBorders>
                  <w:vAlign w:val="center"/>
                </w:tcPr>
                <w:p w14:paraId="2E669907">
                  <w:pPr>
                    <w:keepNext w:val="0"/>
                    <w:keepLines w:val="0"/>
                    <w:suppressLineNumbers w:val="0"/>
                    <w:adjustRightInd w:val="0"/>
                    <w:snapToGrid w:val="0"/>
                    <w:spacing w:before="0" w:beforeAutospacing="0" w:after="0" w:afterAutospacing="0" w:line="276" w:lineRule="auto"/>
                    <w:ind w:left="0" w:right="0"/>
                    <w:jc w:val="center"/>
                    <w:rPr>
                      <w:rFonts w:hint="eastAsia"/>
                      <w:sz w:val="21"/>
                      <w:szCs w:val="21"/>
                      <w:highlight w:val="none"/>
                      <w:lang w:val="en-US" w:eastAsia="zh-CN"/>
                    </w:rPr>
                  </w:pPr>
                  <w:r>
                    <w:rPr>
                      <w:rFonts w:hint="eastAsia"/>
                      <w:sz w:val="21"/>
                      <w:szCs w:val="21"/>
                      <w:highlight w:val="none"/>
                      <w:lang w:eastAsia="zh-CN"/>
                    </w:rPr>
                    <w:t>纯水制备</w:t>
                  </w:r>
                </w:p>
              </w:tc>
              <w:tc>
                <w:tcPr>
                  <w:tcW w:w="1164" w:type="pct"/>
                  <w:tcBorders>
                    <w:tl2br w:val="nil"/>
                    <w:tr2bl w:val="nil"/>
                  </w:tcBorders>
                  <w:vAlign w:val="center"/>
                </w:tcPr>
                <w:p w14:paraId="7ADBB16F">
                  <w:pPr>
                    <w:keepNext w:val="0"/>
                    <w:keepLines w:val="0"/>
                    <w:suppressLineNumbers w:val="0"/>
                    <w:adjustRightInd w:val="0"/>
                    <w:snapToGrid w:val="0"/>
                    <w:spacing w:before="0" w:beforeAutospacing="0" w:after="0" w:afterAutospacing="0" w:line="276" w:lineRule="auto"/>
                    <w:ind w:left="0" w:right="0"/>
                    <w:jc w:val="center"/>
                    <w:rPr>
                      <w:rFonts w:hint="default"/>
                      <w:sz w:val="21"/>
                      <w:szCs w:val="21"/>
                      <w:highlight w:val="none"/>
                      <w:lang w:val="en-US" w:eastAsia="zh-CN"/>
                    </w:rPr>
                  </w:pPr>
                  <w:r>
                    <w:rPr>
                      <w:rFonts w:hint="eastAsia"/>
                      <w:sz w:val="21"/>
                      <w:szCs w:val="21"/>
                      <w:highlight w:val="none"/>
                      <w:lang w:eastAsia="zh-CN"/>
                    </w:rPr>
                    <w:t>纯水制备</w:t>
                  </w:r>
                  <w:r>
                    <w:rPr>
                      <w:rFonts w:hint="eastAsia"/>
                      <w:sz w:val="21"/>
                      <w:szCs w:val="21"/>
                      <w:highlight w:val="none"/>
                      <w:lang w:val="en-US" w:eastAsia="zh-CN"/>
                    </w:rPr>
                    <w:t>浓水</w:t>
                  </w:r>
                </w:p>
              </w:tc>
              <w:tc>
                <w:tcPr>
                  <w:tcW w:w="1199" w:type="pct"/>
                  <w:tcBorders>
                    <w:tl2br w:val="nil"/>
                    <w:tr2bl w:val="nil"/>
                  </w:tcBorders>
                  <w:vAlign w:val="center"/>
                </w:tcPr>
                <w:p w14:paraId="02F96D85">
                  <w:pPr>
                    <w:keepNext w:val="0"/>
                    <w:keepLines w:val="0"/>
                    <w:suppressLineNumbers w:val="0"/>
                    <w:adjustRightInd w:val="0"/>
                    <w:snapToGrid w:val="0"/>
                    <w:spacing w:before="0" w:beforeAutospacing="0" w:after="0" w:afterAutospacing="0" w:line="276" w:lineRule="auto"/>
                    <w:ind w:left="0" w:right="0"/>
                    <w:jc w:val="center"/>
                    <w:rPr>
                      <w:rFonts w:hint="default"/>
                      <w:color w:val="auto"/>
                      <w:sz w:val="21"/>
                      <w:szCs w:val="21"/>
                      <w:highlight w:val="none"/>
                    </w:rPr>
                  </w:pPr>
                  <w:r>
                    <w:rPr>
                      <w:rFonts w:hint="eastAsia"/>
                      <w:sz w:val="21"/>
                      <w:szCs w:val="21"/>
                      <w:highlight w:val="none"/>
                      <w:lang w:val="en-US" w:eastAsia="zh-CN"/>
                    </w:rPr>
                    <w:t>pH、</w:t>
                  </w:r>
                  <w:r>
                    <w:rPr>
                      <w:rFonts w:hint="default"/>
                      <w:color w:val="auto"/>
                      <w:sz w:val="21"/>
                      <w:szCs w:val="21"/>
                      <w:highlight w:val="none"/>
                    </w:rPr>
                    <w:t>COD</w:t>
                  </w:r>
                  <w:r>
                    <w:rPr>
                      <w:rFonts w:hint="eastAsia"/>
                      <w:color w:val="auto"/>
                      <w:sz w:val="21"/>
                      <w:szCs w:val="21"/>
                      <w:highlight w:val="none"/>
                      <w:lang w:val="en-US" w:eastAsia="zh-CN"/>
                    </w:rPr>
                    <w:t>cr</w:t>
                  </w:r>
                  <w:r>
                    <w:rPr>
                      <w:rFonts w:hint="default"/>
                      <w:color w:val="auto"/>
                      <w:sz w:val="21"/>
                      <w:szCs w:val="21"/>
                      <w:highlight w:val="none"/>
                    </w:rPr>
                    <w:t>、SS</w:t>
                  </w:r>
                </w:p>
              </w:tc>
            </w:tr>
            <w:tr w14:paraId="37BAB53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86" w:hRule="atLeast"/>
                <w:jc w:val="center"/>
              </w:trPr>
              <w:tc>
                <w:tcPr>
                  <w:tcW w:w="305" w:type="pct"/>
                  <w:vMerge w:val="continue"/>
                  <w:tcBorders>
                    <w:tl2br w:val="nil"/>
                    <w:tr2bl w:val="nil"/>
                  </w:tcBorders>
                  <w:vAlign w:val="center"/>
                </w:tcPr>
                <w:p w14:paraId="26331A62">
                  <w:pPr>
                    <w:keepNext w:val="0"/>
                    <w:keepLines w:val="0"/>
                    <w:suppressLineNumbers w:val="0"/>
                    <w:adjustRightInd w:val="0"/>
                    <w:snapToGrid w:val="0"/>
                    <w:spacing w:before="0" w:beforeAutospacing="0" w:after="0" w:afterAutospacing="0" w:line="276" w:lineRule="auto"/>
                    <w:ind w:left="0" w:right="0"/>
                    <w:jc w:val="center"/>
                    <w:rPr>
                      <w:rFonts w:hint="default"/>
                      <w:sz w:val="21"/>
                      <w:szCs w:val="21"/>
                      <w:highlight w:val="none"/>
                    </w:rPr>
                  </w:pPr>
                </w:p>
              </w:tc>
              <w:tc>
                <w:tcPr>
                  <w:tcW w:w="404" w:type="pct"/>
                  <w:tcBorders>
                    <w:tl2br w:val="nil"/>
                    <w:tr2bl w:val="nil"/>
                  </w:tcBorders>
                  <w:shd w:val="clear" w:color="auto" w:fill="auto"/>
                  <w:vAlign w:val="center"/>
                </w:tcPr>
                <w:p w14:paraId="08ABD31D">
                  <w:pPr>
                    <w:keepNext w:val="0"/>
                    <w:keepLines w:val="0"/>
                    <w:suppressLineNumbers w:val="0"/>
                    <w:adjustRightInd w:val="0"/>
                    <w:snapToGrid w:val="0"/>
                    <w:spacing w:before="0" w:beforeAutospacing="0" w:after="0" w:afterAutospacing="0" w:line="276" w:lineRule="auto"/>
                    <w:ind w:left="0" w:right="0"/>
                    <w:jc w:val="center"/>
                    <w:rPr>
                      <w:rFonts w:hint="default"/>
                      <w:sz w:val="21"/>
                      <w:szCs w:val="21"/>
                      <w:highlight w:val="none"/>
                    </w:rPr>
                  </w:pPr>
                  <w:r>
                    <w:rPr>
                      <w:rFonts w:hint="eastAsia"/>
                      <w:sz w:val="21"/>
                      <w:szCs w:val="21"/>
                      <w:highlight w:val="none"/>
                      <w:lang w:val="en-US" w:eastAsia="zh-CN"/>
                    </w:rPr>
                    <w:t>/</w:t>
                  </w:r>
                </w:p>
              </w:tc>
              <w:tc>
                <w:tcPr>
                  <w:tcW w:w="567" w:type="pct"/>
                  <w:tcBorders>
                    <w:tl2br w:val="nil"/>
                    <w:tr2bl w:val="nil"/>
                  </w:tcBorders>
                  <w:shd w:val="clear" w:color="auto" w:fill="auto"/>
                  <w:vAlign w:val="center"/>
                </w:tcPr>
                <w:p w14:paraId="4056CDF1">
                  <w:pPr>
                    <w:keepNext w:val="0"/>
                    <w:keepLines w:val="0"/>
                    <w:suppressLineNumbers w:val="0"/>
                    <w:adjustRightInd w:val="0"/>
                    <w:snapToGrid w:val="0"/>
                    <w:spacing w:before="0" w:beforeAutospacing="0" w:after="0" w:afterAutospacing="0" w:line="276" w:lineRule="auto"/>
                    <w:ind w:left="0" w:right="0"/>
                    <w:jc w:val="center"/>
                    <w:rPr>
                      <w:rFonts w:hint="eastAsia" w:ascii="Times New Roman" w:hAnsi="Times New Roman" w:eastAsia="宋体" w:cs="Times New Roman"/>
                      <w:kern w:val="2"/>
                      <w:sz w:val="21"/>
                      <w:szCs w:val="21"/>
                      <w:highlight w:val="none"/>
                      <w:lang w:val="en-US" w:eastAsia="zh-CN" w:bidi="ar-SA"/>
                    </w:rPr>
                  </w:pPr>
                  <w:r>
                    <w:rPr>
                      <w:rFonts w:hint="eastAsia"/>
                      <w:sz w:val="21"/>
                      <w:szCs w:val="21"/>
                      <w:highlight w:val="none"/>
                      <w:lang w:val="en-US" w:eastAsia="zh-CN"/>
                    </w:rPr>
                    <w:t>公用单元</w:t>
                  </w:r>
                </w:p>
              </w:tc>
              <w:tc>
                <w:tcPr>
                  <w:tcW w:w="1360" w:type="pct"/>
                  <w:tcBorders>
                    <w:tl2br w:val="nil"/>
                    <w:tr2bl w:val="nil"/>
                  </w:tcBorders>
                  <w:shd w:val="clear" w:color="auto" w:fill="auto"/>
                  <w:vAlign w:val="center"/>
                </w:tcPr>
                <w:p w14:paraId="1C8EF704">
                  <w:pPr>
                    <w:keepNext w:val="0"/>
                    <w:keepLines w:val="0"/>
                    <w:suppressLineNumbers w:val="0"/>
                    <w:adjustRightInd w:val="0"/>
                    <w:snapToGrid w:val="0"/>
                    <w:spacing w:before="0" w:beforeAutospacing="0" w:after="0" w:afterAutospacing="0" w:line="276" w:lineRule="auto"/>
                    <w:ind w:left="0" w:right="0"/>
                    <w:jc w:val="center"/>
                    <w:rPr>
                      <w:rFonts w:hint="eastAsia" w:ascii="Times New Roman" w:hAnsi="Times New Roman" w:eastAsia="宋体" w:cs="Times New Roman"/>
                      <w:kern w:val="2"/>
                      <w:sz w:val="21"/>
                      <w:szCs w:val="21"/>
                      <w:highlight w:val="none"/>
                      <w:lang w:val="en-US" w:eastAsia="zh-CN" w:bidi="ar-SA"/>
                    </w:rPr>
                  </w:pPr>
                  <w:r>
                    <w:rPr>
                      <w:rFonts w:hint="eastAsia"/>
                      <w:sz w:val="21"/>
                      <w:szCs w:val="21"/>
                      <w:highlight w:val="none"/>
                    </w:rPr>
                    <w:t>废气处理</w:t>
                  </w:r>
                </w:p>
              </w:tc>
              <w:tc>
                <w:tcPr>
                  <w:tcW w:w="1164" w:type="pct"/>
                  <w:tcBorders>
                    <w:tl2br w:val="nil"/>
                    <w:tr2bl w:val="nil"/>
                  </w:tcBorders>
                  <w:shd w:val="clear" w:color="auto" w:fill="auto"/>
                  <w:vAlign w:val="center"/>
                </w:tcPr>
                <w:p w14:paraId="08DBE112">
                  <w:pPr>
                    <w:keepNext w:val="0"/>
                    <w:keepLines w:val="0"/>
                    <w:suppressLineNumbers w:val="0"/>
                    <w:adjustRightInd w:val="0"/>
                    <w:snapToGrid w:val="0"/>
                    <w:spacing w:before="0" w:beforeAutospacing="0" w:after="0" w:afterAutospacing="0" w:line="276" w:lineRule="auto"/>
                    <w:ind w:left="0" w:right="0"/>
                    <w:jc w:val="center"/>
                    <w:rPr>
                      <w:rFonts w:hint="eastAsia" w:ascii="Times New Roman" w:hAnsi="Times New Roman" w:eastAsia="宋体" w:cs="Times New Roman"/>
                      <w:kern w:val="2"/>
                      <w:sz w:val="21"/>
                      <w:szCs w:val="21"/>
                      <w:highlight w:val="none"/>
                      <w:lang w:val="en-US" w:eastAsia="zh-CN" w:bidi="ar-SA"/>
                    </w:rPr>
                  </w:pPr>
                  <w:r>
                    <w:rPr>
                      <w:rFonts w:hint="eastAsia"/>
                      <w:sz w:val="21"/>
                      <w:szCs w:val="21"/>
                      <w:highlight w:val="none"/>
                      <w:lang w:val="en-US" w:eastAsia="zh-CN"/>
                    </w:rPr>
                    <w:t>废气</w:t>
                  </w:r>
                  <w:r>
                    <w:rPr>
                      <w:rFonts w:hint="eastAsia"/>
                      <w:sz w:val="21"/>
                      <w:szCs w:val="21"/>
                      <w:highlight w:val="none"/>
                    </w:rPr>
                    <w:t>喷淋废水</w:t>
                  </w:r>
                </w:p>
              </w:tc>
              <w:tc>
                <w:tcPr>
                  <w:tcW w:w="1199" w:type="pct"/>
                  <w:tcBorders>
                    <w:tl2br w:val="nil"/>
                    <w:tr2bl w:val="nil"/>
                  </w:tcBorders>
                  <w:shd w:val="clear" w:color="auto" w:fill="auto"/>
                  <w:vAlign w:val="center"/>
                </w:tcPr>
                <w:p w14:paraId="3E6BD75B">
                  <w:pPr>
                    <w:keepNext w:val="0"/>
                    <w:keepLines w:val="0"/>
                    <w:suppressLineNumbers w:val="0"/>
                    <w:adjustRightInd w:val="0"/>
                    <w:snapToGrid w:val="0"/>
                    <w:spacing w:before="0" w:beforeAutospacing="0" w:after="0" w:afterAutospacing="0" w:line="276" w:lineRule="auto"/>
                    <w:ind w:left="0" w:right="0"/>
                    <w:jc w:val="center"/>
                    <w:rPr>
                      <w:rFonts w:hint="default" w:ascii="Times New Roman" w:hAnsi="Times New Roman" w:eastAsia="宋体" w:cs="Times New Roman"/>
                      <w:kern w:val="2"/>
                      <w:sz w:val="21"/>
                      <w:szCs w:val="21"/>
                      <w:highlight w:val="none"/>
                      <w:lang w:val="en-US" w:eastAsia="zh-CN" w:bidi="ar-SA"/>
                    </w:rPr>
                  </w:pPr>
                  <w:r>
                    <w:rPr>
                      <w:rFonts w:hint="eastAsia"/>
                      <w:sz w:val="21"/>
                      <w:szCs w:val="21"/>
                      <w:highlight w:val="none"/>
                      <w:lang w:val="en-US" w:eastAsia="zh-CN"/>
                    </w:rPr>
                    <w:t>pH、</w:t>
                  </w:r>
                  <w:r>
                    <w:rPr>
                      <w:rFonts w:hint="default"/>
                      <w:sz w:val="21"/>
                      <w:szCs w:val="21"/>
                      <w:highlight w:val="none"/>
                    </w:rPr>
                    <w:t>COD</w:t>
                  </w:r>
                  <w:r>
                    <w:rPr>
                      <w:rFonts w:hint="eastAsia"/>
                      <w:sz w:val="21"/>
                      <w:szCs w:val="21"/>
                      <w:highlight w:val="none"/>
                      <w:vertAlign w:val="subscript"/>
                    </w:rPr>
                    <w:t>C</w:t>
                  </w:r>
                  <w:r>
                    <w:rPr>
                      <w:rFonts w:hint="default"/>
                      <w:sz w:val="21"/>
                      <w:szCs w:val="21"/>
                      <w:highlight w:val="none"/>
                      <w:vertAlign w:val="subscript"/>
                    </w:rPr>
                    <w:t>r</w:t>
                  </w:r>
                  <w:r>
                    <w:rPr>
                      <w:rFonts w:hint="eastAsia"/>
                      <w:sz w:val="21"/>
                      <w:szCs w:val="21"/>
                      <w:highlight w:val="none"/>
                    </w:rPr>
                    <w:t>、</w:t>
                  </w:r>
                  <w:r>
                    <w:rPr>
                      <w:rFonts w:hint="eastAsia"/>
                      <w:sz w:val="21"/>
                      <w:szCs w:val="21"/>
                      <w:highlight w:val="none"/>
                      <w:lang w:val="en-US" w:eastAsia="zh-CN"/>
                    </w:rPr>
                    <w:t>NH</w:t>
                  </w:r>
                  <w:r>
                    <w:rPr>
                      <w:rFonts w:hint="eastAsia"/>
                      <w:sz w:val="21"/>
                      <w:szCs w:val="21"/>
                      <w:highlight w:val="none"/>
                      <w:vertAlign w:val="subscript"/>
                      <w:lang w:val="en-US" w:eastAsia="zh-CN"/>
                    </w:rPr>
                    <w:t>3</w:t>
                  </w:r>
                  <w:r>
                    <w:rPr>
                      <w:rFonts w:hint="eastAsia"/>
                      <w:sz w:val="21"/>
                      <w:szCs w:val="21"/>
                      <w:highlight w:val="none"/>
                      <w:lang w:val="en-US" w:eastAsia="zh-CN"/>
                    </w:rPr>
                    <w:t>-N</w:t>
                  </w:r>
                  <w:r>
                    <w:rPr>
                      <w:rFonts w:hint="eastAsia"/>
                      <w:sz w:val="21"/>
                      <w:szCs w:val="21"/>
                      <w:highlight w:val="none"/>
                    </w:rPr>
                    <w:t>、SS、粪大肠杆菌</w:t>
                  </w:r>
                </w:p>
              </w:tc>
            </w:tr>
            <w:tr w14:paraId="1B3CC7F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86" w:hRule="atLeast"/>
                <w:jc w:val="center"/>
              </w:trPr>
              <w:tc>
                <w:tcPr>
                  <w:tcW w:w="305" w:type="pct"/>
                  <w:vMerge w:val="continue"/>
                  <w:tcBorders>
                    <w:tl2br w:val="nil"/>
                    <w:tr2bl w:val="nil"/>
                  </w:tcBorders>
                  <w:vAlign w:val="center"/>
                </w:tcPr>
                <w:p w14:paraId="1FC4807F">
                  <w:pPr>
                    <w:keepNext w:val="0"/>
                    <w:keepLines w:val="0"/>
                    <w:suppressLineNumbers w:val="0"/>
                    <w:adjustRightInd w:val="0"/>
                    <w:snapToGrid w:val="0"/>
                    <w:spacing w:before="0" w:beforeAutospacing="0" w:after="0" w:afterAutospacing="0" w:line="276" w:lineRule="auto"/>
                    <w:ind w:left="0" w:right="0"/>
                    <w:jc w:val="center"/>
                    <w:rPr>
                      <w:rFonts w:hint="default"/>
                      <w:sz w:val="21"/>
                      <w:szCs w:val="21"/>
                      <w:highlight w:val="none"/>
                    </w:rPr>
                  </w:pPr>
                </w:p>
              </w:tc>
              <w:tc>
                <w:tcPr>
                  <w:tcW w:w="404" w:type="pct"/>
                  <w:tcBorders>
                    <w:tl2br w:val="nil"/>
                    <w:tr2bl w:val="nil"/>
                  </w:tcBorders>
                  <w:vAlign w:val="center"/>
                </w:tcPr>
                <w:p w14:paraId="4DFCF763">
                  <w:pPr>
                    <w:keepNext w:val="0"/>
                    <w:keepLines w:val="0"/>
                    <w:suppressLineNumbers w:val="0"/>
                    <w:adjustRightInd w:val="0"/>
                    <w:snapToGrid w:val="0"/>
                    <w:spacing w:before="0" w:beforeAutospacing="0" w:after="0" w:afterAutospacing="0" w:line="276" w:lineRule="auto"/>
                    <w:ind w:left="0" w:right="0"/>
                    <w:jc w:val="center"/>
                    <w:rPr>
                      <w:rFonts w:hint="default"/>
                      <w:sz w:val="21"/>
                      <w:szCs w:val="21"/>
                      <w:highlight w:val="none"/>
                    </w:rPr>
                  </w:pPr>
                  <w:r>
                    <w:rPr>
                      <w:rFonts w:hint="eastAsia"/>
                      <w:sz w:val="21"/>
                      <w:szCs w:val="21"/>
                      <w:highlight w:val="none"/>
                      <w:lang w:val="en-US" w:eastAsia="zh-CN"/>
                    </w:rPr>
                    <w:t>/</w:t>
                  </w:r>
                </w:p>
              </w:tc>
              <w:tc>
                <w:tcPr>
                  <w:tcW w:w="1927" w:type="pct"/>
                  <w:gridSpan w:val="2"/>
                  <w:tcBorders>
                    <w:tl2br w:val="nil"/>
                    <w:tr2bl w:val="nil"/>
                  </w:tcBorders>
                  <w:vAlign w:val="center"/>
                </w:tcPr>
                <w:p w14:paraId="24E603B3">
                  <w:pPr>
                    <w:keepNext w:val="0"/>
                    <w:keepLines w:val="0"/>
                    <w:suppressLineNumbers w:val="0"/>
                    <w:adjustRightInd w:val="0"/>
                    <w:snapToGrid w:val="0"/>
                    <w:spacing w:before="0" w:beforeAutospacing="0" w:after="0" w:afterAutospacing="0" w:line="276" w:lineRule="auto"/>
                    <w:ind w:left="0" w:right="0"/>
                    <w:jc w:val="center"/>
                    <w:rPr>
                      <w:rFonts w:hint="eastAsia" w:ascii="Times New Roman" w:hAnsi="Times New Roman" w:eastAsia="宋体" w:cs="Times New Roman"/>
                      <w:kern w:val="2"/>
                      <w:sz w:val="21"/>
                      <w:szCs w:val="21"/>
                      <w:highlight w:val="none"/>
                      <w:lang w:val="en-US" w:eastAsia="zh-CN" w:bidi="ar-SA"/>
                    </w:rPr>
                  </w:pPr>
                  <w:r>
                    <w:rPr>
                      <w:rFonts w:hint="eastAsia"/>
                      <w:sz w:val="21"/>
                      <w:szCs w:val="21"/>
                      <w:highlight w:val="none"/>
                    </w:rPr>
                    <w:t>员工生活</w:t>
                  </w:r>
                </w:p>
              </w:tc>
              <w:tc>
                <w:tcPr>
                  <w:tcW w:w="1164" w:type="pct"/>
                  <w:tcBorders>
                    <w:tl2br w:val="nil"/>
                    <w:tr2bl w:val="nil"/>
                  </w:tcBorders>
                  <w:shd w:val="clear" w:color="auto" w:fill="auto"/>
                  <w:vAlign w:val="center"/>
                </w:tcPr>
                <w:p w14:paraId="03F53657">
                  <w:pPr>
                    <w:keepNext w:val="0"/>
                    <w:keepLines w:val="0"/>
                    <w:suppressLineNumbers w:val="0"/>
                    <w:adjustRightInd w:val="0"/>
                    <w:snapToGrid w:val="0"/>
                    <w:spacing w:before="0" w:beforeAutospacing="0" w:after="0" w:afterAutospacing="0" w:line="276" w:lineRule="auto"/>
                    <w:ind w:left="0" w:right="0"/>
                    <w:jc w:val="center"/>
                    <w:rPr>
                      <w:rFonts w:hint="eastAsia" w:ascii="Times New Roman" w:hAnsi="Times New Roman" w:eastAsia="宋体" w:cs="Times New Roman"/>
                      <w:kern w:val="2"/>
                      <w:sz w:val="21"/>
                      <w:szCs w:val="21"/>
                      <w:highlight w:val="none"/>
                      <w:lang w:val="en-US" w:eastAsia="zh-CN" w:bidi="ar-SA"/>
                    </w:rPr>
                  </w:pPr>
                  <w:r>
                    <w:rPr>
                      <w:rFonts w:hint="eastAsia"/>
                      <w:sz w:val="21"/>
                      <w:szCs w:val="21"/>
                      <w:highlight w:val="none"/>
                    </w:rPr>
                    <w:t>生活污水</w:t>
                  </w:r>
                </w:p>
              </w:tc>
              <w:tc>
                <w:tcPr>
                  <w:tcW w:w="1199" w:type="pct"/>
                  <w:tcBorders>
                    <w:tl2br w:val="nil"/>
                    <w:tr2bl w:val="nil"/>
                  </w:tcBorders>
                  <w:shd w:val="clear" w:color="auto" w:fill="auto"/>
                  <w:vAlign w:val="center"/>
                </w:tcPr>
                <w:p w14:paraId="635F3713">
                  <w:pPr>
                    <w:keepNext w:val="0"/>
                    <w:keepLines w:val="0"/>
                    <w:suppressLineNumbers w:val="0"/>
                    <w:adjustRightInd w:val="0"/>
                    <w:snapToGrid w:val="0"/>
                    <w:spacing w:before="0" w:beforeAutospacing="0" w:after="0" w:afterAutospacing="0" w:line="276" w:lineRule="auto"/>
                    <w:ind w:left="0" w:right="0"/>
                    <w:jc w:val="center"/>
                    <w:rPr>
                      <w:rFonts w:hint="default" w:ascii="Times New Roman" w:hAnsi="Times New Roman" w:eastAsia="宋体" w:cs="Times New Roman"/>
                      <w:kern w:val="2"/>
                      <w:sz w:val="21"/>
                      <w:szCs w:val="21"/>
                      <w:highlight w:val="none"/>
                      <w:lang w:val="en-US" w:eastAsia="zh-CN" w:bidi="ar-SA"/>
                    </w:rPr>
                  </w:pPr>
                  <w:r>
                    <w:rPr>
                      <w:rFonts w:hint="default"/>
                      <w:sz w:val="21"/>
                      <w:szCs w:val="21"/>
                      <w:highlight w:val="none"/>
                    </w:rPr>
                    <w:t>COD</w:t>
                  </w:r>
                  <w:r>
                    <w:rPr>
                      <w:rFonts w:hint="eastAsia"/>
                      <w:sz w:val="21"/>
                      <w:szCs w:val="21"/>
                      <w:highlight w:val="none"/>
                      <w:vertAlign w:val="subscript"/>
                    </w:rPr>
                    <w:t>C</w:t>
                  </w:r>
                  <w:r>
                    <w:rPr>
                      <w:rFonts w:hint="default"/>
                      <w:sz w:val="21"/>
                      <w:szCs w:val="21"/>
                      <w:highlight w:val="none"/>
                      <w:vertAlign w:val="subscript"/>
                    </w:rPr>
                    <w:t>r</w:t>
                  </w:r>
                  <w:r>
                    <w:rPr>
                      <w:rFonts w:hint="eastAsia"/>
                      <w:sz w:val="21"/>
                      <w:szCs w:val="21"/>
                      <w:highlight w:val="none"/>
                    </w:rPr>
                    <w:t>、</w:t>
                  </w:r>
                  <w:r>
                    <w:rPr>
                      <w:rFonts w:hint="eastAsia"/>
                      <w:sz w:val="21"/>
                      <w:szCs w:val="21"/>
                      <w:highlight w:val="none"/>
                      <w:lang w:val="en-US" w:eastAsia="zh-CN"/>
                    </w:rPr>
                    <w:t>NH</w:t>
                  </w:r>
                  <w:r>
                    <w:rPr>
                      <w:rFonts w:hint="eastAsia"/>
                      <w:sz w:val="21"/>
                      <w:szCs w:val="21"/>
                      <w:highlight w:val="none"/>
                      <w:vertAlign w:val="subscript"/>
                      <w:lang w:val="en-US" w:eastAsia="zh-CN"/>
                    </w:rPr>
                    <w:t>3</w:t>
                  </w:r>
                  <w:r>
                    <w:rPr>
                      <w:rFonts w:hint="eastAsia"/>
                      <w:sz w:val="21"/>
                      <w:szCs w:val="21"/>
                      <w:highlight w:val="none"/>
                      <w:lang w:val="en-US" w:eastAsia="zh-CN"/>
                    </w:rPr>
                    <w:t>-N、动植物油</w:t>
                  </w:r>
                </w:p>
              </w:tc>
            </w:tr>
            <w:tr w14:paraId="1615D87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90" w:hRule="atLeast"/>
                <w:jc w:val="center"/>
              </w:trPr>
              <w:tc>
                <w:tcPr>
                  <w:tcW w:w="305" w:type="pct"/>
                  <w:tcBorders>
                    <w:tl2br w:val="nil"/>
                    <w:tr2bl w:val="nil"/>
                  </w:tcBorders>
                  <w:vAlign w:val="center"/>
                </w:tcPr>
                <w:p w14:paraId="779A31E8">
                  <w:pPr>
                    <w:keepNext w:val="0"/>
                    <w:keepLines w:val="0"/>
                    <w:suppressLineNumbers w:val="0"/>
                    <w:adjustRightInd w:val="0"/>
                    <w:snapToGrid w:val="0"/>
                    <w:spacing w:before="0" w:beforeAutospacing="0" w:after="0" w:afterAutospacing="0" w:line="276" w:lineRule="auto"/>
                    <w:ind w:left="0" w:right="0"/>
                    <w:jc w:val="center"/>
                    <w:rPr>
                      <w:rFonts w:hint="default"/>
                      <w:sz w:val="21"/>
                      <w:szCs w:val="21"/>
                      <w:highlight w:val="none"/>
                    </w:rPr>
                  </w:pPr>
                  <w:r>
                    <w:rPr>
                      <w:rFonts w:hint="eastAsia"/>
                      <w:sz w:val="21"/>
                      <w:szCs w:val="21"/>
                      <w:highlight w:val="none"/>
                    </w:rPr>
                    <w:t>噪声</w:t>
                  </w:r>
                </w:p>
              </w:tc>
              <w:tc>
                <w:tcPr>
                  <w:tcW w:w="2331" w:type="pct"/>
                  <w:gridSpan w:val="3"/>
                  <w:tcBorders>
                    <w:tl2br w:val="nil"/>
                    <w:tr2bl w:val="nil"/>
                  </w:tcBorders>
                  <w:vAlign w:val="center"/>
                </w:tcPr>
                <w:p w14:paraId="0EF5D46D">
                  <w:pPr>
                    <w:keepNext w:val="0"/>
                    <w:keepLines w:val="0"/>
                    <w:suppressLineNumbers w:val="0"/>
                    <w:adjustRightInd w:val="0"/>
                    <w:snapToGrid w:val="0"/>
                    <w:spacing w:before="0" w:beforeAutospacing="0" w:after="0" w:afterAutospacing="0" w:line="276" w:lineRule="auto"/>
                    <w:ind w:left="0" w:right="0"/>
                    <w:jc w:val="center"/>
                    <w:rPr>
                      <w:rFonts w:hint="eastAsia" w:eastAsia="宋体"/>
                      <w:sz w:val="21"/>
                      <w:szCs w:val="21"/>
                      <w:highlight w:val="none"/>
                      <w:lang w:val="en-US" w:eastAsia="zh-CN"/>
                    </w:rPr>
                  </w:pPr>
                  <w:r>
                    <w:rPr>
                      <w:rFonts w:hint="eastAsia"/>
                      <w:sz w:val="21"/>
                      <w:szCs w:val="21"/>
                      <w:highlight w:val="none"/>
                      <w:lang w:val="en-US" w:eastAsia="zh-CN"/>
                    </w:rPr>
                    <w:t>运营过程</w:t>
                  </w:r>
                </w:p>
              </w:tc>
              <w:tc>
                <w:tcPr>
                  <w:tcW w:w="1164" w:type="pct"/>
                  <w:tcBorders>
                    <w:tl2br w:val="nil"/>
                    <w:tr2bl w:val="nil"/>
                  </w:tcBorders>
                  <w:vAlign w:val="center"/>
                </w:tcPr>
                <w:p w14:paraId="432CA044">
                  <w:pPr>
                    <w:keepNext w:val="0"/>
                    <w:keepLines w:val="0"/>
                    <w:suppressLineNumbers w:val="0"/>
                    <w:adjustRightInd w:val="0"/>
                    <w:snapToGrid w:val="0"/>
                    <w:spacing w:before="0" w:beforeAutospacing="0" w:after="0" w:afterAutospacing="0" w:line="276" w:lineRule="auto"/>
                    <w:ind w:left="0" w:right="0"/>
                    <w:jc w:val="center"/>
                    <w:rPr>
                      <w:rFonts w:hint="default"/>
                      <w:sz w:val="21"/>
                      <w:szCs w:val="21"/>
                      <w:highlight w:val="none"/>
                    </w:rPr>
                  </w:pPr>
                  <w:r>
                    <w:rPr>
                      <w:rFonts w:hint="eastAsia"/>
                      <w:sz w:val="21"/>
                      <w:szCs w:val="21"/>
                      <w:highlight w:val="none"/>
                    </w:rPr>
                    <w:t>设备运行噪声</w:t>
                  </w:r>
                </w:p>
              </w:tc>
              <w:tc>
                <w:tcPr>
                  <w:tcW w:w="1199" w:type="pct"/>
                  <w:tcBorders>
                    <w:tl2br w:val="nil"/>
                    <w:tr2bl w:val="nil"/>
                  </w:tcBorders>
                  <w:vAlign w:val="center"/>
                </w:tcPr>
                <w:p w14:paraId="5A0AE63A">
                  <w:pPr>
                    <w:keepNext w:val="0"/>
                    <w:keepLines w:val="0"/>
                    <w:suppressLineNumbers w:val="0"/>
                    <w:adjustRightInd w:val="0"/>
                    <w:snapToGrid w:val="0"/>
                    <w:spacing w:before="0" w:beforeAutospacing="0" w:after="0" w:afterAutospacing="0" w:line="276" w:lineRule="auto"/>
                    <w:ind w:left="0" w:right="0"/>
                    <w:jc w:val="center"/>
                    <w:rPr>
                      <w:rFonts w:hint="default"/>
                      <w:sz w:val="21"/>
                      <w:szCs w:val="21"/>
                      <w:highlight w:val="none"/>
                    </w:rPr>
                  </w:pPr>
                  <w:r>
                    <w:rPr>
                      <w:rFonts w:hint="default"/>
                      <w:color w:val="auto"/>
                      <w:sz w:val="21"/>
                      <w:szCs w:val="21"/>
                      <w:highlight w:val="none"/>
                    </w:rPr>
                    <w:t>等效连续A声级Leq（A）</w:t>
                  </w:r>
                </w:p>
              </w:tc>
            </w:tr>
            <w:tr w14:paraId="6C83498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90" w:hRule="atLeast"/>
                <w:jc w:val="center"/>
              </w:trPr>
              <w:tc>
                <w:tcPr>
                  <w:tcW w:w="305" w:type="pct"/>
                  <w:vMerge w:val="restart"/>
                  <w:tcBorders>
                    <w:tl2br w:val="nil"/>
                    <w:tr2bl w:val="nil"/>
                  </w:tcBorders>
                  <w:vAlign w:val="center"/>
                </w:tcPr>
                <w:p w14:paraId="6DEA736E">
                  <w:pPr>
                    <w:keepNext w:val="0"/>
                    <w:keepLines w:val="0"/>
                    <w:suppressLineNumbers w:val="0"/>
                    <w:adjustRightInd w:val="0"/>
                    <w:snapToGrid w:val="0"/>
                    <w:spacing w:before="0" w:beforeAutospacing="0" w:after="0" w:afterAutospacing="0" w:line="276" w:lineRule="auto"/>
                    <w:ind w:left="0" w:right="0"/>
                    <w:jc w:val="center"/>
                    <w:rPr>
                      <w:rFonts w:hint="default"/>
                      <w:color w:val="FF0000"/>
                      <w:sz w:val="21"/>
                      <w:szCs w:val="21"/>
                      <w:highlight w:val="none"/>
                    </w:rPr>
                  </w:pPr>
                  <w:r>
                    <w:rPr>
                      <w:rFonts w:hint="eastAsia"/>
                      <w:sz w:val="21"/>
                      <w:szCs w:val="21"/>
                      <w:highlight w:val="none"/>
                    </w:rPr>
                    <w:t>固废</w:t>
                  </w:r>
                </w:p>
              </w:tc>
              <w:tc>
                <w:tcPr>
                  <w:tcW w:w="404" w:type="pct"/>
                  <w:tcBorders>
                    <w:tl2br w:val="nil"/>
                    <w:tr2bl w:val="nil"/>
                  </w:tcBorders>
                  <w:vAlign w:val="center"/>
                </w:tcPr>
                <w:p w14:paraId="32B86434">
                  <w:pPr>
                    <w:keepNext w:val="0"/>
                    <w:keepLines w:val="0"/>
                    <w:suppressLineNumbers w:val="0"/>
                    <w:adjustRightInd w:val="0"/>
                    <w:snapToGrid w:val="0"/>
                    <w:spacing w:before="0" w:beforeAutospacing="0" w:after="0" w:afterAutospacing="0" w:line="276" w:lineRule="auto"/>
                    <w:ind w:left="0" w:right="0"/>
                    <w:jc w:val="center"/>
                    <w:rPr>
                      <w:rFonts w:hint="default" w:eastAsia="宋体"/>
                      <w:sz w:val="21"/>
                      <w:szCs w:val="21"/>
                      <w:highlight w:val="none"/>
                      <w:lang w:val="en-US" w:eastAsia="zh-CN"/>
                    </w:rPr>
                  </w:pPr>
                  <w:r>
                    <w:rPr>
                      <w:rFonts w:hint="eastAsia"/>
                      <w:sz w:val="21"/>
                      <w:szCs w:val="21"/>
                      <w:highlight w:val="none"/>
                      <w:lang w:val="en-US" w:eastAsia="zh-CN"/>
                    </w:rPr>
                    <w:t>S1-1</w:t>
                  </w:r>
                </w:p>
              </w:tc>
              <w:tc>
                <w:tcPr>
                  <w:tcW w:w="567" w:type="pct"/>
                  <w:vMerge w:val="restart"/>
                  <w:tcBorders>
                    <w:tl2br w:val="nil"/>
                    <w:tr2bl w:val="nil"/>
                  </w:tcBorders>
                  <w:vAlign w:val="center"/>
                </w:tcPr>
                <w:p w14:paraId="66CBE8B5">
                  <w:pPr>
                    <w:keepNext w:val="0"/>
                    <w:keepLines w:val="0"/>
                    <w:suppressLineNumbers w:val="0"/>
                    <w:adjustRightInd w:val="0"/>
                    <w:snapToGrid w:val="0"/>
                    <w:spacing w:before="0" w:beforeAutospacing="0" w:after="0" w:afterAutospacing="0" w:line="276" w:lineRule="auto"/>
                    <w:ind w:left="0" w:right="0"/>
                    <w:jc w:val="center"/>
                    <w:rPr>
                      <w:rFonts w:hint="default" w:eastAsia="宋体"/>
                      <w:sz w:val="21"/>
                      <w:szCs w:val="21"/>
                      <w:highlight w:val="none"/>
                      <w:lang w:val="en-US" w:eastAsia="zh-CN"/>
                    </w:rPr>
                  </w:pPr>
                  <w:r>
                    <w:rPr>
                      <w:rFonts w:hint="eastAsia"/>
                      <w:sz w:val="21"/>
                      <w:szCs w:val="21"/>
                      <w:highlight w:val="none"/>
                      <w:lang w:val="en-US" w:eastAsia="zh-CN"/>
                    </w:rPr>
                    <w:t>实验动物中心</w:t>
                  </w:r>
                </w:p>
              </w:tc>
              <w:tc>
                <w:tcPr>
                  <w:tcW w:w="1360" w:type="pct"/>
                  <w:vMerge w:val="restart"/>
                  <w:tcBorders>
                    <w:tl2br w:val="nil"/>
                    <w:tr2bl w:val="nil"/>
                  </w:tcBorders>
                  <w:vAlign w:val="center"/>
                </w:tcPr>
                <w:p w14:paraId="22E3929A">
                  <w:pPr>
                    <w:keepNext w:val="0"/>
                    <w:keepLines w:val="0"/>
                    <w:suppressLineNumbers w:val="0"/>
                    <w:adjustRightInd w:val="0"/>
                    <w:snapToGrid w:val="0"/>
                    <w:spacing w:before="0" w:beforeAutospacing="0" w:after="0" w:afterAutospacing="0" w:line="276" w:lineRule="auto"/>
                    <w:ind w:left="0" w:right="0"/>
                    <w:jc w:val="center"/>
                    <w:rPr>
                      <w:rFonts w:hint="default"/>
                      <w:sz w:val="21"/>
                      <w:szCs w:val="21"/>
                      <w:highlight w:val="none"/>
                    </w:rPr>
                  </w:pPr>
                  <w:r>
                    <w:rPr>
                      <w:rFonts w:hint="eastAsia"/>
                      <w:sz w:val="21"/>
                      <w:szCs w:val="21"/>
                      <w:highlight w:val="none"/>
                    </w:rPr>
                    <w:t>动物饲养</w:t>
                  </w:r>
                </w:p>
              </w:tc>
              <w:tc>
                <w:tcPr>
                  <w:tcW w:w="1164" w:type="pct"/>
                  <w:tcBorders>
                    <w:tl2br w:val="nil"/>
                    <w:tr2bl w:val="nil"/>
                  </w:tcBorders>
                  <w:vAlign w:val="center"/>
                </w:tcPr>
                <w:p w14:paraId="5EBC7B60">
                  <w:pPr>
                    <w:keepNext w:val="0"/>
                    <w:keepLines w:val="0"/>
                    <w:suppressLineNumbers w:val="0"/>
                    <w:adjustRightInd w:val="0"/>
                    <w:snapToGrid w:val="0"/>
                    <w:spacing w:before="0" w:beforeAutospacing="0" w:after="0" w:afterAutospacing="0" w:line="276" w:lineRule="auto"/>
                    <w:ind w:left="0" w:right="0"/>
                    <w:jc w:val="center"/>
                    <w:rPr>
                      <w:rFonts w:hint="default"/>
                      <w:sz w:val="21"/>
                      <w:szCs w:val="21"/>
                      <w:highlight w:val="none"/>
                    </w:rPr>
                  </w:pPr>
                  <w:r>
                    <w:rPr>
                      <w:rFonts w:hint="default"/>
                      <w:sz w:val="21"/>
                      <w:szCs w:val="21"/>
                      <w:highlight w:val="none"/>
                    </w:rPr>
                    <w:t>含实验室动物粪便尿液的废垫料</w:t>
                  </w:r>
                </w:p>
              </w:tc>
              <w:tc>
                <w:tcPr>
                  <w:tcW w:w="1199" w:type="pct"/>
                  <w:tcBorders>
                    <w:tl2br w:val="nil"/>
                    <w:tr2bl w:val="nil"/>
                  </w:tcBorders>
                  <w:vAlign w:val="center"/>
                </w:tcPr>
                <w:p w14:paraId="21B5A644">
                  <w:pPr>
                    <w:keepNext w:val="0"/>
                    <w:keepLines w:val="0"/>
                    <w:suppressLineNumbers w:val="0"/>
                    <w:adjustRightInd w:val="0"/>
                    <w:snapToGrid w:val="0"/>
                    <w:spacing w:before="0" w:beforeAutospacing="0" w:after="0" w:afterAutospacing="0" w:line="276" w:lineRule="auto"/>
                    <w:ind w:left="0" w:right="0"/>
                    <w:jc w:val="center"/>
                    <w:rPr>
                      <w:rFonts w:hint="default"/>
                      <w:sz w:val="21"/>
                      <w:szCs w:val="21"/>
                      <w:highlight w:val="none"/>
                    </w:rPr>
                  </w:pPr>
                  <w:r>
                    <w:rPr>
                      <w:rFonts w:hint="eastAsia"/>
                      <w:sz w:val="21"/>
                      <w:szCs w:val="21"/>
                      <w:highlight w:val="none"/>
                    </w:rPr>
                    <w:t>垫料、排泄物</w:t>
                  </w:r>
                </w:p>
              </w:tc>
            </w:tr>
            <w:tr w14:paraId="0C363F9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90" w:hRule="atLeast"/>
                <w:jc w:val="center"/>
              </w:trPr>
              <w:tc>
                <w:tcPr>
                  <w:tcW w:w="305" w:type="pct"/>
                  <w:vMerge w:val="continue"/>
                  <w:tcBorders>
                    <w:tl2br w:val="nil"/>
                    <w:tr2bl w:val="nil"/>
                  </w:tcBorders>
                  <w:vAlign w:val="center"/>
                </w:tcPr>
                <w:p w14:paraId="01969652">
                  <w:pPr>
                    <w:keepNext w:val="0"/>
                    <w:keepLines w:val="0"/>
                    <w:suppressLineNumbers w:val="0"/>
                    <w:adjustRightInd w:val="0"/>
                    <w:snapToGrid w:val="0"/>
                    <w:spacing w:before="0" w:beforeAutospacing="0" w:after="0" w:afterAutospacing="0" w:line="276" w:lineRule="auto"/>
                    <w:ind w:left="0" w:right="0"/>
                    <w:jc w:val="center"/>
                    <w:rPr>
                      <w:rFonts w:hint="eastAsia"/>
                      <w:sz w:val="21"/>
                      <w:szCs w:val="21"/>
                      <w:highlight w:val="none"/>
                    </w:rPr>
                  </w:pPr>
                </w:p>
              </w:tc>
              <w:tc>
                <w:tcPr>
                  <w:tcW w:w="404" w:type="pct"/>
                  <w:vMerge w:val="restart"/>
                  <w:tcBorders>
                    <w:tl2br w:val="nil"/>
                    <w:tr2bl w:val="nil"/>
                  </w:tcBorders>
                  <w:vAlign w:val="center"/>
                </w:tcPr>
                <w:p w14:paraId="71A0510B">
                  <w:pPr>
                    <w:keepNext w:val="0"/>
                    <w:keepLines w:val="0"/>
                    <w:suppressLineNumbers w:val="0"/>
                    <w:adjustRightInd w:val="0"/>
                    <w:snapToGrid w:val="0"/>
                    <w:spacing w:before="0" w:beforeAutospacing="0" w:after="0" w:afterAutospacing="0" w:line="276" w:lineRule="auto"/>
                    <w:ind w:left="0" w:right="0"/>
                    <w:jc w:val="center"/>
                    <w:rPr>
                      <w:rFonts w:hint="default" w:eastAsia="宋体"/>
                      <w:sz w:val="21"/>
                      <w:szCs w:val="21"/>
                      <w:highlight w:val="none"/>
                      <w:lang w:val="en-US" w:eastAsia="zh-CN"/>
                    </w:rPr>
                  </w:pPr>
                  <w:r>
                    <w:rPr>
                      <w:rFonts w:hint="eastAsia"/>
                      <w:color w:val="auto"/>
                      <w:sz w:val="21"/>
                      <w:szCs w:val="21"/>
                      <w:highlight w:val="none"/>
                      <w:lang w:val="en-US" w:eastAsia="zh-CN"/>
                    </w:rPr>
                    <w:t>S1-2、S1-3</w:t>
                  </w:r>
                </w:p>
              </w:tc>
              <w:tc>
                <w:tcPr>
                  <w:tcW w:w="567" w:type="pct"/>
                  <w:vMerge w:val="continue"/>
                  <w:tcBorders>
                    <w:tl2br w:val="nil"/>
                    <w:tr2bl w:val="nil"/>
                  </w:tcBorders>
                  <w:vAlign w:val="center"/>
                </w:tcPr>
                <w:p w14:paraId="27380CF3">
                  <w:pPr>
                    <w:keepNext w:val="0"/>
                    <w:keepLines w:val="0"/>
                    <w:suppressLineNumbers w:val="0"/>
                    <w:adjustRightInd w:val="0"/>
                    <w:snapToGrid w:val="0"/>
                    <w:spacing w:before="0" w:beforeAutospacing="0" w:after="0" w:afterAutospacing="0" w:line="276" w:lineRule="auto"/>
                    <w:ind w:left="0" w:right="0"/>
                    <w:jc w:val="center"/>
                    <w:rPr>
                      <w:rFonts w:hint="eastAsia"/>
                      <w:sz w:val="21"/>
                      <w:szCs w:val="21"/>
                      <w:highlight w:val="none"/>
                      <w:lang w:val="en-US" w:eastAsia="zh-CN"/>
                    </w:rPr>
                  </w:pPr>
                </w:p>
              </w:tc>
              <w:tc>
                <w:tcPr>
                  <w:tcW w:w="1360" w:type="pct"/>
                  <w:vMerge w:val="continue"/>
                  <w:tcBorders>
                    <w:tl2br w:val="nil"/>
                    <w:tr2bl w:val="nil"/>
                  </w:tcBorders>
                  <w:vAlign w:val="center"/>
                </w:tcPr>
                <w:p w14:paraId="454276EB">
                  <w:pPr>
                    <w:keepNext w:val="0"/>
                    <w:keepLines w:val="0"/>
                    <w:suppressLineNumbers w:val="0"/>
                    <w:adjustRightInd w:val="0"/>
                    <w:snapToGrid w:val="0"/>
                    <w:spacing w:before="0" w:beforeAutospacing="0" w:after="0" w:afterAutospacing="0" w:line="276" w:lineRule="auto"/>
                    <w:ind w:left="0" w:right="0"/>
                    <w:jc w:val="center"/>
                    <w:rPr>
                      <w:rFonts w:hint="eastAsia"/>
                      <w:sz w:val="21"/>
                      <w:szCs w:val="21"/>
                      <w:highlight w:val="none"/>
                    </w:rPr>
                  </w:pPr>
                </w:p>
              </w:tc>
              <w:tc>
                <w:tcPr>
                  <w:tcW w:w="1164" w:type="pct"/>
                  <w:tcBorders>
                    <w:tl2br w:val="nil"/>
                    <w:tr2bl w:val="nil"/>
                  </w:tcBorders>
                  <w:vAlign w:val="center"/>
                </w:tcPr>
                <w:p w14:paraId="66298B6D">
                  <w:pPr>
                    <w:keepNext w:val="0"/>
                    <w:keepLines w:val="0"/>
                    <w:suppressLineNumbers w:val="0"/>
                    <w:adjustRightInd w:val="0"/>
                    <w:snapToGrid w:val="0"/>
                    <w:spacing w:before="0" w:beforeAutospacing="0" w:after="0" w:afterAutospacing="0" w:line="276" w:lineRule="auto"/>
                    <w:ind w:left="0" w:right="0"/>
                    <w:jc w:val="center"/>
                    <w:rPr>
                      <w:rFonts w:hint="eastAsia" w:eastAsia="宋体"/>
                      <w:sz w:val="21"/>
                      <w:szCs w:val="21"/>
                      <w:highlight w:val="none"/>
                      <w:lang w:val="en-US" w:eastAsia="zh-CN"/>
                    </w:rPr>
                  </w:pPr>
                  <w:r>
                    <w:rPr>
                      <w:rFonts w:hint="eastAsia"/>
                      <w:sz w:val="21"/>
                      <w:szCs w:val="21"/>
                      <w:highlight w:val="none"/>
                      <w:lang w:val="en-US" w:eastAsia="zh-CN"/>
                    </w:rPr>
                    <w:t>动物尸体</w:t>
                  </w:r>
                </w:p>
              </w:tc>
              <w:tc>
                <w:tcPr>
                  <w:tcW w:w="1199" w:type="pct"/>
                  <w:tcBorders>
                    <w:tl2br w:val="nil"/>
                    <w:tr2bl w:val="nil"/>
                  </w:tcBorders>
                  <w:vAlign w:val="center"/>
                </w:tcPr>
                <w:p w14:paraId="5F0314E4">
                  <w:pPr>
                    <w:keepNext w:val="0"/>
                    <w:keepLines w:val="0"/>
                    <w:suppressLineNumbers w:val="0"/>
                    <w:adjustRightInd w:val="0"/>
                    <w:snapToGrid w:val="0"/>
                    <w:spacing w:before="0" w:beforeAutospacing="0" w:after="0" w:afterAutospacing="0" w:line="276" w:lineRule="auto"/>
                    <w:ind w:left="0" w:right="0"/>
                    <w:jc w:val="center"/>
                    <w:rPr>
                      <w:rFonts w:hint="eastAsia"/>
                      <w:sz w:val="21"/>
                      <w:szCs w:val="21"/>
                      <w:highlight w:val="none"/>
                    </w:rPr>
                  </w:pPr>
                  <w:r>
                    <w:rPr>
                      <w:rFonts w:hint="eastAsia"/>
                      <w:sz w:val="21"/>
                      <w:szCs w:val="21"/>
                      <w:highlight w:val="none"/>
                      <w:lang w:val="en-US" w:eastAsia="zh-CN"/>
                    </w:rPr>
                    <w:t>动物尸体</w:t>
                  </w:r>
                </w:p>
              </w:tc>
            </w:tr>
            <w:tr w14:paraId="1BB084D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90" w:hRule="atLeast"/>
                <w:jc w:val="center"/>
              </w:trPr>
              <w:tc>
                <w:tcPr>
                  <w:tcW w:w="305" w:type="pct"/>
                  <w:vMerge w:val="continue"/>
                  <w:tcBorders>
                    <w:tl2br w:val="nil"/>
                    <w:tr2bl w:val="nil"/>
                  </w:tcBorders>
                  <w:vAlign w:val="center"/>
                </w:tcPr>
                <w:p w14:paraId="44064E7E">
                  <w:pPr>
                    <w:keepNext w:val="0"/>
                    <w:keepLines w:val="0"/>
                    <w:suppressLineNumbers w:val="0"/>
                    <w:adjustRightInd w:val="0"/>
                    <w:snapToGrid w:val="0"/>
                    <w:spacing w:before="0" w:beforeAutospacing="0" w:after="0" w:afterAutospacing="0" w:line="276" w:lineRule="auto"/>
                    <w:ind w:left="0" w:right="0"/>
                    <w:jc w:val="center"/>
                    <w:rPr>
                      <w:rFonts w:hint="default"/>
                      <w:color w:val="FF0000"/>
                      <w:sz w:val="21"/>
                      <w:szCs w:val="21"/>
                      <w:highlight w:val="none"/>
                    </w:rPr>
                  </w:pPr>
                </w:p>
              </w:tc>
              <w:tc>
                <w:tcPr>
                  <w:tcW w:w="404" w:type="pct"/>
                  <w:vMerge w:val="continue"/>
                  <w:tcBorders>
                    <w:tl2br w:val="nil"/>
                    <w:tr2bl w:val="nil"/>
                  </w:tcBorders>
                  <w:vAlign w:val="center"/>
                </w:tcPr>
                <w:p w14:paraId="113ACD86">
                  <w:pPr>
                    <w:keepNext w:val="0"/>
                    <w:keepLines w:val="0"/>
                    <w:suppressLineNumbers w:val="0"/>
                    <w:adjustRightInd w:val="0"/>
                    <w:snapToGrid w:val="0"/>
                    <w:spacing w:before="0" w:beforeAutospacing="0" w:after="0" w:afterAutospacing="0" w:line="276" w:lineRule="auto"/>
                    <w:ind w:left="0" w:right="0"/>
                    <w:jc w:val="center"/>
                    <w:rPr>
                      <w:rFonts w:hint="default"/>
                      <w:color w:val="FF0000"/>
                      <w:sz w:val="21"/>
                      <w:szCs w:val="21"/>
                      <w:highlight w:val="none"/>
                    </w:rPr>
                  </w:pPr>
                </w:p>
              </w:tc>
              <w:tc>
                <w:tcPr>
                  <w:tcW w:w="567" w:type="pct"/>
                  <w:vMerge w:val="continue"/>
                  <w:tcBorders>
                    <w:tl2br w:val="nil"/>
                    <w:tr2bl w:val="nil"/>
                  </w:tcBorders>
                  <w:vAlign w:val="center"/>
                </w:tcPr>
                <w:p w14:paraId="13DF8CC2">
                  <w:pPr>
                    <w:keepNext w:val="0"/>
                    <w:keepLines w:val="0"/>
                    <w:suppressLineNumbers w:val="0"/>
                    <w:adjustRightInd w:val="0"/>
                    <w:snapToGrid w:val="0"/>
                    <w:spacing w:before="0" w:beforeAutospacing="0" w:after="0" w:afterAutospacing="0" w:line="276" w:lineRule="auto"/>
                    <w:ind w:left="0" w:right="0"/>
                    <w:jc w:val="center"/>
                    <w:rPr>
                      <w:rFonts w:hint="default" w:eastAsia="宋体"/>
                      <w:sz w:val="21"/>
                      <w:szCs w:val="21"/>
                      <w:highlight w:val="none"/>
                      <w:lang w:val="en-US" w:eastAsia="zh-CN"/>
                    </w:rPr>
                  </w:pPr>
                </w:p>
              </w:tc>
              <w:tc>
                <w:tcPr>
                  <w:tcW w:w="1360" w:type="pct"/>
                  <w:vMerge w:val="restart"/>
                  <w:tcBorders>
                    <w:tl2br w:val="nil"/>
                    <w:tr2bl w:val="nil"/>
                  </w:tcBorders>
                  <w:vAlign w:val="center"/>
                </w:tcPr>
                <w:p w14:paraId="62A3DF8C">
                  <w:pPr>
                    <w:keepNext w:val="0"/>
                    <w:keepLines w:val="0"/>
                    <w:suppressLineNumbers w:val="0"/>
                    <w:adjustRightInd w:val="0"/>
                    <w:snapToGrid w:val="0"/>
                    <w:spacing w:before="0" w:beforeAutospacing="0" w:after="0" w:afterAutospacing="0" w:line="276" w:lineRule="auto"/>
                    <w:ind w:left="0" w:right="0"/>
                    <w:jc w:val="center"/>
                    <w:rPr>
                      <w:rFonts w:hint="default"/>
                      <w:sz w:val="21"/>
                      <w:szCs w:val="21"/>
                      <w:highlight w:val="none"/>
                    </w:rPr>
                  </w:pPr>
                  <w:r>
                    <w:rPr>
                      <w:rFonts w:hint="eastAsia"/>
                      <w:sz w:val="21"/>
                      <w:szCs w:val="21"/>
                      <w:highlight w:val="none"/>
                    </w:rPr>
                    <w:t>动物实验</w:t>
                  </w:r>
                </w:p>
              </w:tc>
              <w:tc>
                <w:tcPr>
                  <w:tcW w:w="1164" w:type="pct"/>
                  <w:tcBorders>
                    <w:tl2br w:val="nil"/>
                    <w:tr2bl w:val="nil"/>
                  </w:tcBorders>
                  <w:vAlign w:val="center"/>
                </w:tcPr>
                <w:p w14:paraId="7A01D3FD">
                  <w:pPr>
                    <w:keepNext w:val="0"/>
                    <w:keepLines w:val="0"/>
                    <w:suppressLineNumbers w:val="0"/>
                    <w:adjustRightInd w:val="0"/>
                    <w:snapToGrid w:val="0"/>
                    <w:spacing w:before="0" w:beforeAutospacing="0" w:after="0" w:afterAutospacing="0" w:line="276" w:lineRule="auto"/>
                    <w:ind w:left="0" w:right="0"/>
                    <w:jc w:val="center"/>
                    <w:rPr>
                      <w:rFonts w:hint="default"/>
                      <w:sz w:val="21"/>
                      <w:szCs w:val="21"/>
                      <w:highlight w:val="none"/>
                    </w:rPr>
                  </w:pPr>
                  <w:r>
                    <w:rPr>
                      <w:rFonts w:hint="eastAsia"/>
                      <w:sz w:val="21"/>
                      <w:szCs w:val="21"/>
                      <w:highlight w:val="none"/>
                    </w:rPr>
                    <w:t>动物尸体</w:t>
                  </w:r>
                </w:p>
              </w:tc>
              <w:tc>
                <w:tcPr>
                  <w:tcW w:w="1199" w:type="pct"/>
                  <w:tcBorders>
                    <w:tl2br w:val="nil"/>
                    <w:tr2bl w:val="nil"/>
                  </w:tcBorders>
                  <w:vAlign w:val="center"/>
                </w:tcPr>
                <w:p w14:paraId="0A5C8C50">
                  <w:pPr>
                    <w:keepNext w:val="0"/>
                    <w:keepLines w:val="0"/>
                    <w:suppressLineNumbers w:val="0"/>
                    <w:adjustRightInd w:val="0"/>
                    <w:snapToGrid w:val="0"/>
                    <w:spacing w:before="0" w:beforeAutospacing="0" w:after="0" w:afterAutospacing="0" w:line="276" w:lineRule="auto"/>
                    <w:ind w:left="0" w:right="0"/>
                    <w:jc w:val="center"/>
                    <w:rPr>
                      <w:rFonts w:hint="default"/>
                      <w:sz w:val="21"/>
                      <w:szCs w:val="21"/>
                      <w:highlight w:val="none"/>
                    </w:rPr>
                  </w:pPr>
                  <w:r>
                    <w:rPr>
                      <w:rFonts w:hint="eastAsia"/>
                      <w:sz w:val="21"/>
                      <w:szCs w:val="21"/>
                      <w:highlight w:val="none"/>
                    </w:rPr>
                    <w:t>动物尸体</w:t>
                  </w:r>
                </w:p>
              </w:tc>
            </w:tr>
            <w:tr w14:paraId="6C35793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682" w:hRule="atLeast"/>
                <w:jc w:val="center"/>
              </w:trPr>
              <w:tc>
                <w:tcPr>
                  <w:tcW w:w="305" w:type="pct"/>
                  <w:vMerge w:val="continue"/>
                  <w:tcBorders>
                    <w:tl2br w:val="nil"/>
                    <w:tr2bl w:val="nil"/>
                  </w:tcBorders>
                  <w:vAlign w:val="center"/>
                </w:tcPr>
                <w:p w14:paraId="016218A2">
                  <w:pPr>
                    <w:keepNext w:val="0"/>
                    <w:keepLines w:val="0"/>
                    <w:suppressLineNumbers w:val="0"/>
                    <w:adjustRightInd w:val="0"/>
                    <w:snapToGrid w:val="0"/>
                    <w:spacing w:before="0" w:beforeAutospacing="0" w:after="0" w:afterAutospacing="0" w:line="276" w:lineRule="auto"/>
                    <w:ind w:left="0" w:right="0"/>
                    <w:jc w:val="center"/>
                    <w:rPr>
                      <w:rFonts w:hint="default"/>
                      <w:color w:val="FF0000"/>
                      <w:sz w:val="21"/>
                      <w:szCs w:val="21"/>
                      <w:highlight w:val="none"/>
                    </w:rPr>
                  </w:pPr>
                </w:p>
              </w:tc>
              <w:tc>
                <w:tcPr>
                  <w:tcW w:w="404" w:type="pct"/>
                  <w:tcBorders>
                    <w:tl2br w:val="nil"/>
                    <w:tr2bl w:val="nil"/>
                  </w:tcBorders>
                  <w:vAlign w:val="center"/>
                </w:tcPr>
                <w:p w14:paraId="501A92C2">
                  <w:pPr>
                    <w:keepNext w:val="0"/>
                    <w:keepLines w:val="0"/>
                    <w:suppressLineNumbers w:val="0"/>
                    <w:adjustRightInd w:val="0"/>
                    <w:snapToGrid w:val="0"/>
                    <w:spacing w:before="0" w:beforeAutospacing="0" w:after="0" w:afterAutospacing="0" w:line="276" w:lineRule="auto"/>
                    <w:ind w:left="0" w:right="0"/>
                    <w:jc w:val="center"/>
                    <w:rPr>
                      <w:rFonts w:hint="default" w:eastAsia="宋体"/>
                      <w:color w:val="auto"/>
                      <w:sz w:val="21"/>
                      <w:szCs w:val="21"/>
                      <w:highlight w:val="none"/>
                      <w:lang w:val="en-US" w:eastAsia="zh-CN"/>
                    </w:rPr>
                  </w:pPr>
                  <w:r>
                    <w:rPr>
                      <w:rFonts w:hint="eastAsia"/>
                      <w:color w:val="auto"/>
                      <w:sz w:val="21"/>
                      <w:szCs w:val="21"/>
                      <w:highlight w:val="none"/>
                      <w:lang w:val="en-US" w:eastAsia="zh-CN"/>
                    </w:rPr>
                    <w:t>S1-4</w:t>
                  </w:r>
                </w:p>
              </w:tc>
              <w:tc>
                <w:tcPr>
                  <w:tcW w:w="567" w:type="pct"/>
                  <w:vMerge w:val="continue"/>
                  <w:tcBorders>
                    <w:tl2br w:val="nil"/>
                    <w:tr2bl w:val="nil"/>
                  </w:tcBorders>
                  <w:vAlign w:val="center"/>
                </w:tcPr>
                <w:p w14:paraId="4ADA93F1">
                  <w:pPr>
                    <w:keepNext w:val="0"/>
                    <w:keepLines w:val="0"/>
                    <w:suppressLineNumbers w:val="0"/>
                    <w:adjustRightInd w:val="0"/>
                    <w:snapToGrid w:val="0"/>
                    <w:spacing w:before="0" w:beforeAutospacing="0" w:after="0" w:afterAutospacing="0" w:line="276" w:lineRule="auto"/>
                    <w:ind w:left="0" w:right="0"/>
                    <w:jc w:val="center"/>
                    <w:rPr>
                      <w:rFonts w:hint="default" w:eastAsia="宋体"/>
                      <w:sz w:val="21"/>
                      <w:szCs w:val="21"/>
                      <w:highlight w:val="none"/>
                      <w:lang w:val="en-US" w:eastAsia="zh-CN"/>
                    </w:rPr>
                  </w:pPr>
                </w:p>
              </w:tc>
              <w:tc>
                <w:tcPr>
                  <w:tcW w:w="1360" w:type="pct"/>
                  <w:vMerge w:val="continue"/>
                  <w:tcBorders>
                    <w:tl2br w:val="nil"/>
                    <w:tr2bl w:val="nil"/>
                  </w:tcBorders>
                  <w:vAlign w:val="center"/>
                </w:tcPr>
                <w:p w14:paraId="4CE24480">
                  <w:pPr>
                    <w:keepNext w:val="0"/>
                    <w:keepLines w:val="0"/>
                    <w:suppressLineNumbers w:val="0"/>
                    <w:adjustRightInd w:val="0"/>
                    <w:snapToGrid w:val="0"/>
                    <w:spacing w:before="0" w:beforeAutospacing="0" w:after="0" w:afterAutospacing="0" w:line="276" w:lineRule="auto"/>
                    <w:ind w:left="0" w:right="0"/>
                    <w:jc w:val="center"/>
                    <w:rPr>
                      <w:rFonts w:hint="default"/>
                      <w:sz w:val="21"/>
                      <w:szCs w:val="21"/>
                      <w:highlight w:val="none"/>
                    </w:rPr>
                  </w:pPr>
                </w:p>
              </w:tc>
              <w:tc>
                <w:tcPr>
                  <w:tcW w:w="1164" w:type="pct"/>
                  <w:tcBorders>
                    <w:tl2br w:val="nil"/>
                    <w:tr2bl w:val="nil"/>
                  </w:tcBorders>
                  <w:vAlign w:val="center"/>
                </w:tcPr>
                <w:p w14:paraId="6B2A6744">
                  <w:pPr>
                    <w:keepNext w:val="0"/>
                    <w:keepLines w:val="0"/>
                    <w:suppressLineNumbers w:val="0"/>
                    <w:adjustRightInd w:val="0"/>
                    <w:snapToGrid w:val="0"/>
                    <w:spacing w:before="0" w:beforeAutospacing="0" w:after="0" w:afterAutospacing="0" w:line="276" w:lineRule="auto"/>
                    <w:ind w:left="0" w:right="0"/>
                    <w:jc w:val="center"/>
                    <w:rPr>
                      <w:rFonts w:hint="eastAsia" w:ascii="Times New Roman" w:hAnsi="Times New Roman" w:eastAsia="宋体" w:cs="Times New Roman"/>
                      <w:sz w:val="21"/>
                      <w:szCs w:val="21"/>
                      <w:highlight w:val="none"/>
                    </w:rPr>
                  </w:pPr>
                  <w:r>
                    <w:rPr>
                      <w:rFonts w:hint="eastAsia" w:ascii="Times New Roman" w:hAnsi="Times New Roman" w:eastAsia="宋体" w:cs="Times New Roman"/>
                      <w:sz w:val="21"/>
                      <w:szCs w:val="21"/>
                      <w:highlight w:val="none"/>
                    </w:rPr>
                    <w:t>实验废液</w:t>
                  </w:r>
                </w:p>
              </w:tc>
              <w:tc>
                <w:tcPr>
                  <w:tcW w:w="1199" w:type="pct"/>
                  <w:tcBorders>
                    <w:tl2br w:val="nil"/>
                    <w:tr2bl w:val="nil"/>
                  </w:tcBorders>
                  <w:vAlign w:val="center"/>
                </w:tcPr>
                <w:p w14:paraId="6D4F7F8A">
                  <w:pPr>
                    <w:keepNext w:val="0"/>
                    <w:keepLines w:val="0"/>
                    <w:suppressLineNumbers w:val="0"/>
                    <w:adjustRightInd w:val="0"/>
                    <w:snapToGrid w:val="0"/>
                    <w:spacing w:before="0" w:beforeAutospacing="0" w:after="0" w:afterAutospacing="0" w:line="276" w:lineRule="auto"/>
                    <w:ind w:left="0" w:right="0"/>
                    <w:jc w:val="center"/>
                    <w:rPr>
                      <w:rFonts w:hint="default" w:ascii="Times New Roman" w:hAnsi="Times New Roman" w:eastAsia="宋体" w:cs="Times New Roman"/>
                      <w:sz w:val="21"/>
                      <w:szCs w:val="21"/>
                      <w:highlight w:val="none"/>
                      <w:lang w:val="en-US" w:eastAsia="zh-CN"/>
                    </w:rPr>
                  </w:pPr>
                  <w:r>
                    <w:rPr>
                      <w:rFonts w:hint="eastAsia" w:ascii="Times New Roman" w:hAnsi="Times New Roman" w:eastAsia="宋体" w:cs="Times New Roman"/>
                      <w:sz w:val="21"/>
                      <w:szCs w:val="21"/>
                      <w:highlight w:val="none"/>
                      <w:lang w:val="en-US" w:eastAsia="zh-CN"/>
                    </w:rPr>
                    <w:t>第1</w:t>
                  </w:r>
                  <w:r>
                    <w:rPr>
                      <w:rFonts w:hint="eastAsia" w:cs="Times New Roman"/>
                      <w:sz w:val="21"/>
                      <w:szCs w:val="21"/>
                      <w:highlight w:val="none"/>
                      <w:lang w:val="en-US" w:eastAsia="zh-CN"/>
                    </w:rPr>
                    <w:t>道</w:t>
                  </w:r>
                  <w:r>
                    <w:rPr>
                      <w:rFonts w:hint="eastAsia" w:ascii="Times New Roman" w:hAnsi="Times New Roman" w:eastAsia="宋体" w:cs="Times New Roman"/>
                      <w:sz w:val="21"/>
                      <w:szCs w:val="21"/>
                      <w:highlight w:val="none"/>
                      <w:lang w:val="en-US" w:eastAsia="zh-CN"/>
                    </w:rPr>
                    <w:t>清洗废水、实验废液</w:t>
                  </w:r>
                </w:p>
              </w:tc>
            </w:tr>
            <w:tr w14:paraId="7873C24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682" w:hRule="atLeast"/>
                <w:jc w:val="center"/>
              </w:trPr>
              <w:tc>
                <w:tcPr>
                  <w:tcW w:w="305" w:type="pct"/>
                  <w:vMerge w:val="continue"/>
                  <w:tcBorders>
                    <w:tl2br w:val="nil"/>
                    <w:tr2bl w:val="nil"/>
                  </w:tcBorders>
                  <w:vAlign w:val="center"/>
                </w:tcPr>
                <w:p w14:paraId="7A7CC200">
                  <w:pPr>
                    <w:keepNext w:val="0"/>
                    <w:keepLines w:val="0"/>
                    <w:suppressLineNumbers w:val="0"/>
                    <w:adjustRightInd w:val="0"/>
                    <w:snapToGrid w:val="0"/>
                    <w:spacing w:before="0" w:beforeAutospacing="0" w:after="0" w:afterAutospacing="0" w:line="276" w:lineRule="auto"/>
                    <w:ind w:left="0" w:right="0"/>
                    <w:jc w:val="center"/>
                    <w:rPr>
                      <w:rFonts w:hint="default"/>
                      <w:color w:val="FF0000"/>
                      <w:sz w:val="21"/>
                      <w:szCs w:val="21"/>
                      <w:highlight w:val="none"/>
                    </w:rPr>
                  </w:pPr>
                </w:p>
              </w:tc>
              <w:tc>
                <w:tcPr>
                  <w:tcW w:w="404" w:type="pct"/>
                  <w:tcBorders>
                    <w:tl2br w:val="nil"/>
                    <w:tr2bl w:val="nil"/>
                  </w:tcBorders>
                  <w:vAlign w:val="center"/>
                </w:tcPr>
                <w:p w14:paraId="0E89420F">
                  <w:pPr>
                    <w:keepNext w:val="0"/>
                    <w:keepLines w:val="0"/>
                    <w:suppressLineNumbers w:val="0"/>
                    <w:adjustRightInd w:val="0"/>
                    <w:snapToGrid w:val="0"/>
                    <w:spacing w:before="0" w:beforeAutospacing="0" w:after="0" w:afterAutospacing="0" w:line="276" w:lineRule="auto"/>
                    <w:ind w:left="0" w:right="0"/>
                    <w:jc w:val="center"/>
                    <w:rPr>
                      <w:rFonts w:hint="default" w:eastAsia="宋体"/>
                      <w:color w:val="auto"/>
                      <w:sz w:val="21"/>
                      <w:szCs w:val="21"/>
                      <w:highlight w:val="none"/>
                      <w:lang w:val="en-US" w:eastAsia="zh-CN"/>
                    </w:rPr>
                  </w:pPr>
                  <w:r>
                    <w:rPr>
                      <w:rFonts w:hint="eastAsia"/>
                      <w:color w:val="auto"/>
                      <w:sz w:val="21"/>
                      <w:szCs w:val="21"/>
                      <w:highlight w:val="none"/>
                      <w:lang w:val="en-US" w:eastAsia="zh-CN"/>
                    </w:rPr>
                    <w:t>S1-5</w:t>
                  </w:r>
                </w:p>
              </w:tc>
              <w:tc>
                <w:tcPr>
                  <w:tcW w:w="567" w:type="pct"/>
                  <w:vMerge w:val="continue"/>
                  <w:tcBorders>
                    <w:tl2br w:val="nil"/>
                    <w:tr2bl w:val="nil"/>
                  </w:tcBorders>
                  <w:vAlign w:val="center"/>
                </w:tcPr>
                <w:p w14:paraId="0B9F2860">
                  <w:pPr>
                    <w:keepNext w:val="0"/>
                    <w:keepLines w:val="0"/>
                    <w:suppressLineNumbers w:val="0"/>
                    <w:adjustRightInd w:val="0"/>
                    <w:snapToGrid w:val="0"/>
                    <w:spacing w:before="0" w:beforeAutospacing="0" w:after="0" w:afterAutospacing="0" w:line="276" w:lineRule="auto"/>
                    <w:ind w:left="0" w:right="0"/>
                    <w:jc w:val="center"/>
                    <w:rPr>
                      <w:rFonts w:hint="default" w:eastAsia="宋体"/>
                      <w:sz w:val="21"/>
                      <w:szCs w:val="21"/>
                      <w:highlight w:val="none"/>
                      <w:lang w:val="en-US" w:eastAsia="zh-CN"/>
                    </w:rPr>
                  </w:pPr>
                </w:p>
              </w:tc>
              <w:tc>
                <w:tcPr>
                  <w:tcW w:w="1360" w:type="pct"/>
                  <w:vMerge w:val="continue"/>
                  <w:tcBorders>
                    <w:tl2br w:val="nil"/>
                    <w:tr2bl w:val="nil"/>
                  </w:tcBorders>
                  <w:vAlign w:val="center"/>
                </w:tcPr>
                <w:p w14:paraId="072F2CA2">
                  <w:pPr>
                    <w:keepNext w:val="0"/>
                    <w:keepLines w:val="0"/>
                    <w:suppressLineNumbers w:val="0"/>
                    <w:adjustRightInd w:val="0"/>
                    <w:snapToGrid w:val="0"/>
                    <w:spacing w:before="0" w:beforeAutospacing="0" w:after="0" w:afterAutospacing="0" w:line="276" w:lineRule="auto"/>
                    <w:ind w:left="0" w:right="0"/>
                    <w:jc w:val="center"/>
                    <w:rPr>
                      <w:rFonts w:hint="default"/>
                      <w:sz w:val="21"/>
                      <w:szCs w:val="21"/>
                      <w:highlight w:val="none"/>
                    </w:rPr>
                  </w:pPr>
                </w:p>
              </w:tc>
              <w:tc>
                <w:tcPr>
                  <w:tcW w:w="1164" w:type="pct"/>
                  <w:tcBorders>
                    <w:tl2br w:val="nil"/>
                    <w:tr2bl w:val="nil"/>
                  </w:tcBorders>
                  <w:vAlign w:val="center"/>
                </w:tcPr>
                <w:p w14:paraId="6DCFE138">
                  <w:pPr>
                    <w:keepNext w:val="0"/>
                    <w:keepLines w:val="0"/>
                    <w:suppressLineNumbers w:val="0"/>
                    <w:adjustRightInd w:val="0"/>
                    <w:snapToGrid w:val="0"/>
                    <w:spacing w:before="0" w:beforeAutospacing="0" w:after="0" w:afterAutospacing="0" w:line="276" w:lineRule="auto"/>
                    <w:ind w:left="0" w:right="0"/>
                    <w:jc w:val="center"/>
                    <w:rPr>
                      <w:rFonts w:hint="eastAsia" w:ascii="Times New Roman" w:hAnsi="Times New Roman" w:eastAsia="宋体" w:cs="Times New Roman"/>
                      <w:sz w:val="21"/>
                      <w:szCs w:val="21"/>
                      <w:highlight w:val="none"/>
                    </w:rPr>
                  </w:pPr>
                  <w:r>
                    <w:rPr>
                      <w:rFonts w:hint="eastAsia" w:ascii="Times New Roman" w:hAnsi="Times New Roman" w:eastAsia="宋体" w:cs="Times New Roman"/>
                      <w:sz w:val="21"/>
                      <w:szCs w:val="21"/>
                      <w:highlight w:val="none"/>
                    </w:rPr>
                    <w:t>废实验耗材</w:t>
                  </w:r>
                </w:p>
              </w:tc>
              <w:tc>
                <w:tcPr>
                  <w:tcW w:w="1199" w:type="pct"/>
                  <w:tcBorders>
                    <w:tl2br w:val="nil"/>
                    <w:tr2bl w:val="nil"/>
                  </w:tcBorders>
                  <w:vAlign w:val="center"/>
                </w:tcPr>
                <w:p w14:paraId="353085CD">
                  <w:pPr>
                    <w:keepNext w:val="0"/>
                    <w:keepLines w:val="0"/>
                    <w:suppressLineNumbers w:val="0"/>
                    <w:adjustRightInd w:val="0"/>
                    <w:snapToGrid w:val="0"/>
                    <w:spacing w:before="0" w:beforeAutospacing="0" w:after="0" w:afterAutospacing="0" w:line="276" w:lineRule="auto"/>
                    <w:ind w:left="0" w:right="0"/>
                    <w:jc w:val="center"/>
                    <w:rPr>
                      <w:rFonts w:hint="eastAsia" w:ascii="Times New Roman" w:hAnsi="Times New Roman" w:eastAsia="宋体" w:cs="Times New Roman"/>
                      <w:sz w:val="21"/>
                      <w:szCs w:val="21"/>
                      <w:highlight w:val="none"/>
                    </w:rPr>
                  </w:pPr>
                  <w:r>
                    <w:rPr>
                      <w:rFonts w:hint="eastAsia"/>
                      <w:color w:val="auto"/>
                      <w:sz w:val="21"/>
                      <w:szCs w:val="21"/>
                      <w:highlight w:val="none"/>
                      <w:lang w:val="en-US" w:eastAsia="zh-CN"/>
                    </w:rPr>
                    <w:t>废弃的</w:t>
                  </w:r>
                  <w:r>
                    <w:rPr>
                      <w:rFonts w:hint="eastAsia"/>
                      <w:color w:val="auto"/>
                      <w:sz w:val="21"/>
                      <w:szCs w:val="21"/>
                      <w:highlight w:val="none"/>
                    </w:rPr>
                    <w:t>手套</w:t>
                  </w:r>
                  <w:r>
                    <w:rPr>
                      <w:rFonts w:hint="default"/>
                      <w:color w:val="auto"/>
                      <w:sz w:val="21"/>
                      <w:szCs w:val="21"/>
                      <w:highlight w:val="none"/>
                    </w:rPr>
                    <w:t>、口罩、</w:t>
                  </w:r>
                  <w:r>
                    <w:rPr>
                      <w:rFonts w:hint="eastAsia"/>
                      <w:color w:val="auto"/>
                      <w:sz w:val="21"/>
                      <w:szCs w:val="21"/>
                      <w:highlight w:val="none"/>
                    </w:rPr>
                    <w:t>手术</w:t>
                  </w:r>
                  <w:r>
                    <w:rPr>
                      <w:rFonts w:hint="default"/>
                      <w:color w:val="auto"/>
                      <w:sz w:val="21"/>
                      <w:szCs w:val="21"/>
                      <w:highlight w:val="none"/>
                    </w:rPr>
                    <w:t>帽、</w:t>
                  </w:r>
                  <w:r>
                    <w:rPr>
                      <w:rFonts w:hint="eastAsia"/>
                      <w:color w:val="auto"/>
                      <w:sz w:val="21"/>
                      <w:szCs w:val="21"/>
                      <w:highlight w:val="none"/>
                    </w:rPr>
                    <w:t>滴管</w:t>
                  </w:r>
                  <w:r>
                    <w:rPr>
                      <w:rFonts w:hint="default"/>
                      <w:color w:val="auto"/>
                      <w:sz w:val="21"/>
                      <w:szCs w:val="21"/>
                      <w:highlight w:val="none"/>
                    </w:rPr>
                    <w:t>等</w:t>
                  </w:r>
                </w:p>
              </w:tc>
            </w:tr>
            <w:tr w14:paraId="4F53E01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65" w:hRule="atLeast"/>
                <w:jc w:val="center"/>
              </w:trPr>
              <w:tc>
                <w:tcPr>
                  <w:tcW w:w="305" w:type="pct"/>
                  <w:vMerge w:val="continue"/>
                  <w:tcBorders>
                    <w:tl2br w:val="nil"/>
                    <w:tr2bl w:val="nil"/>
                  </w:tcBorders>
                  <w:vAlign w:val="center"/>
                </w:tcPr>
                <w:p w14:paraId="6E745090">
                  <w:pPr>
                    <w:keepNext w:val="0"/>
                    <w:keepLines w:val="0"/>
                    <w:suppressLineNumbers w:val="0"/>
                    <w:adjustRightInd w:val="0"/>
                    <w:snapToGrid w:val="0"/>
                    <w:spacing w:before="0" w:beforeAutospacing="0" w:after="0" w:afterAutospacing="0" w:line="276" w:lineRule="auto"/>
                    <w:ind w:left="0" w:right="0"/>
                    <w:jc w:val="center"/>
                    <w:rPr>
                      <w:rFonts w:hint="default"/>
                      <w:sz w:val="21"/>
                      <w:szCs w:val="21"/>
                      <w:highlight w:val="none"/>
                    </w:rPr>
                  </w:pPr>
                </w:p>
              </w:tc>
              <w:tc>
                <w:tcPr>
                  <w:tcW w:w="404" w:type="pct"/>
                  <w:tcBorders>
                    <w:tl2br w:val="nil"/>
                    <w:tr2bl w:val="nil"/>
                  </w:tcBorders>
                  <w:vAlign w:val="center"/>
                </w:tcPr>
                <w:p w14:paraId="038B8504">
                  <w:pPr>
                    <w:keepNext w:val="0"/>
                    <w:keepLines w:val="0"/>
                    <w:suppressLineNumbers w:val="0"/>
                    <w:adjustRightInd w:val="0"/>
                    <w:snapToGrid w:val="0"/>
                    <w:spacing w:before="0" w:beforeAutospacing="0" w:after="0" w:afterAutospacing="0" w:line="276" w:lineRule="auto"/>
                    <w:ind w:left="0" w:right="0"/>
                    <w:jc w:val="center"/>
                    <w:rPr>
                      <w:rFonts w:hint="default"/>
                      <w:color w:val="auto"/>
                      <w:sz w:val="21"/>
                      <w:szCs w:val="21"/>
                      <w:highlight w:val="none"/>
                      <w:lang w:val="en-US"/>
                    </w:rPr>
                  </w:pPr>
                  <w:r>
                    <w:rPr>
                      <w:rFonts w:hint="eastAsia"/>
                      <w:color w:val="auto"/>
                      <w:sz w:val="21"/>
                      <w:szCs w:val="21"/>
                      <w:highlight w:val="none"/>
                      <w:lang w:val="en-US" w:eastAsia="zh-CN"/>
                    </w:rPr>
                    <w:t>S1-6</w:t>
                  </w:r>
                </w:p>
              </w:tc>
              <w:tc>
                <w:tcPr>
                  <w:tcW w:w="567" w:type="pct"/>
                  <w:vMerge w:val="continue"/>
                  <w:tcBorders>
                    <w:tl2br w:val="nil"/>
                    <w:tr2bl w:val="nil"/>
                  </w:tcBorders>
                  <w:vAlign w:val="center"/>
                </w:tcPr>
                <w:p w14:paraId="672DA955">
                  <w:pPr>
                    <w:keepNext w:val="0"/>
                    <w:keepLines w:val="0"/>
                    <w:suppressLineNumbers w:val="0"/>
                    <w:adjustRightInd w:val="0"/>
                    <w:snapToGrid w:val="0"/>
                    <w:spacing w:before="0" w:beforeAutospacing="0" w:after="0" w:afterAutospacing="0" w:line="276" w:lineRule="auto"/>
                    <w:ind w:left="0" w:right="0"/>
                    <w:jc w:val="center"/>
                    <w:rPr>
                      <w:rFonts w:hint="default"/>
                      <w:sz w:val="21"/>
                      <w:szCs w:val="21"/>
                      <w:highlight w:val="none"/>
                      <w:lang w:val="en-US" w:eastAsia="zh-CN"/>
                    </w:rPr>
                  </w:pPr>
                </w:p>
              </w:tc>
              <w:tc>
                <w:tcPr>
                  <w:tcW w:w="1360" w:type="pct"/>
                  <w:vMerge w:val="restart"/>
                  <w:tcBorders>
                    <w:tl2br w:val="nil"/>
                    <w:tr2bl w:val="nil"/>
                  </w:tcBorders>
                  <w:vAlign w:val="center"/>
                </w:tcPr>
                <w:p w14:paraId="43595E64">
                  <w:pPr>
                    <w:keepNext w:val="0"/>
                    <w:keepLines w:val="0"/>
                    <w:suppressLineNumbers w:val="0"/>
                    <w:adjustRightInd w:val="0"/>
                    <w:snapToGrid w:val="0"/>
                    <w:spacing w:before="0" w:beforeAutospacing="0" w:after="0" w:afterAutospacing="0" w:line="276" w:lineRule="auto"/>
                    <w:ind w:left="0" w:right="0"/>
                    <w:jc w:val="center"/>
                    <w:rPr>
                      <w:rFonts w:hint="eastAsia" w:eastAsia="宋体"/>
                      <w:sz w:val="21"/>
                      <w:szCs w:val="21"/>
                      <w:highlight w:val="none"/>
                      <w:lang w:eastAsia="zh-CN"/>
                    </w:rPr>
                  </w:pPr>
                  <w:r>
                    <w:rPr>
                      <w:rFonts w:hint="eastAsia"/>
                      <w:sz w:val="21"/>
                      <w:szCs w:val="21"/>
                      <w:highlight w:val="none"/>
                      <w:lang w:eastAsia="zh-CN"/>
                    </w:rPr>
                    <w:t>纯水</w:t>
                  </w:r>
                  <w:r>
                    <w:rPr>
                      <w:rFonts w:hint="eastAsia"/>
                      <w:sz w:val="21"/>
                      <w:szCs w:val="21"/>
                      <w:highlight w:val="none"/>
                      <w:lang w:val="en-US" w:eastAsia="zh-CN"/>
                    </w:rPr>
                    <w:t>/软水</w:t>
                  </w:r>
                  <w:r>
                    <w:rPr>
                      <w:rFonts w:hint="eastAsia"/>
                      <w:sz w:val="21"/>
                      <w:szCs w:val="21"/>
                      <w:highlight w:val="none"/>
                      <w:lang w:eastAsia="zh-CN"/>
                    </w:rPr>
                    <w:t>制备</w:t>
                  </w:r>
                </w:p>
              </w:tc>
              <w:tc>
                <w:tcPr>
                  <w:tcW w:w="1164" w:type="pct"/>
                  <w:tcBorders>
                    <w:tl2br w:val="nil"/>
                    <w:tr2bl w:val="nil"/>
                  </w:tcBorders>
                  <w:vAlign w:val="center"/>
                </w:tcPr>
                <w:p w14:paraId="6516DDD8">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76" w:lineRule="auto"/>
                    <w:ind w:left="0" w:right="0"/>
                    <w:jc w:val="center"/>
                    <w:textAlignment w:val="auto"/>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eastAsia="宋体"/>
                      <w:color w:val="auto"/>
                      <w:sz w:val="21"/>
                      <w:szCs w:val="21"/>
                      <w:highlight w:val="none"/>
                    </w:rPr>
                    <w:t>废石英砂</w:t>
                  </w:r>
                </w:p>
              </w:tc>
              <w:tc>
                <w:tcPr>
                  <w:tcW w:w="1199" w:type="pct"/>
                  <w:tcBorders>
                    <w:tl2br w:val="nil"/>
                    <w:tr2bl w:val="nil"/>
                  </w:tcBorders>
                  <w:vAlign w:val="center"/>
                </w:tcPr>
                <w:p w14:paraId="3916B91A">
                  <w:pPr>
                    <w:keepNext w:val="0"/>
                    <w:keepLines w:val="0"/>
                    <w:suppressLineNumbers w:val="0"/>
                    <w:adjustRightInd w:val="0"/>
                    <w:snapToGrid w:val="0"/>
                    <w:spacing w:before="0" w:beforeAutospacing="0" w:after="0" w:afterAutospacing="0" w:line="276" w:lineRule="auto"/>
                    <w:ind w:left="0" w:right="0"/>
                    <w:jc w:val="center"/>
                    <w:rPr>
                      <w:rFonts w:hint="eastAsia" w:eastAsia="宋体"/>
                      <w:sz w:val="21"/>
                      <w:szCs w:val="21"/>
                      <w:highlight w:val="none"/>
                      <w:lang w:eastAsia="zh-CN"/>
                    </w:rPr>
                  </w:pPr>
                  <w:r>
                    <w:rPr>
                      <w:rFonts w:hint="eastAsia"/>
                      <w:sz w:val="21"/>
                      <w:szCs w:val="21"/>
                      <w:highlight w:val="none"/>
                      <w:lang w:val="en-US" w:eastAsia="zh-CN"/>
                    </w:rPr>
                    <w:t>失效</w:t>
                  </w:r>
                  <w:r>
                    <w:rPr>
                      <w:rFonts w:hint="eastAsia"/>
                      <w:sz w:val="21"/>
                      <w:szCs w:val="21"/>
                      <w:highlight w:val="none"/>
                      <w:lang w:eastAsia="zh-CN"/>
                    </w:rPr>
                    <w:t>的</w:t>
                  </w:r>
                  <w:r>
                    <w:rPr>
                      <w:rFonts w:hint="eastAsia"/>
                      <w:sz w:val="21"/>
                      <w:szCs w:val="21"/>
                      <w:highlight w:val="none"/>
                      <w:lang w:val="en-US" w:eastAsia="zh-CN"/>
                    </w:rPr>
                    <w:t>石英砂</w:t>
                  </w:r>
                </w:p>
              </w:tc>
            </w:tr>
            <w:tr w14:paraId="1475B3B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65" w:hRule="atLeast"/>
                <w:jc w:val="center"/>
              </w:trPr>
              <w:tc>
                <w:tcPr>
                  <w:tcW w:w="305" w:type="pct"/>
                  <w:vMerge w:val="continue"/>
                  <w:tcBorders>
                    <w:tl2br w:val="nil"/>
                    <w:tr2bl w:val="nil"/>
                  </w:tcBorders>
                  <w:vAlign w:val="center"/>
                </w:tcPr>
                <w:p w14:paraId="3C5A9666">
                  <w:pPr>
                    <w:keepNext w:val="0"/>
                    <w:keepLines w:val="0"/>
                    <w:suppressLineNumbers w:val="0"/>
                    <w:adjustRightInd w:val="0"/>
                    <w:snapToGrid w:val="0"/>
                    <w:spacing w:before="0" w:beforeAutospacing="0" w:after="0" w:afterAutospacing="0" w:line="276" w:lineRule="auto"/>
                    <w:ind w:left="0" w:right="0"/>
                    <w:jc w:val="center"/>
                    <w:rPr>
                      <w:rFonts w:hint="default"/>
                      <w:sz w:val="21"/>
                      <w:szCs w:val="21"/>
                      <w:highlight w:val="none"/>
                    </w:rPr>
                  </w:pPr>
                </w:p>
              </w:tc>
              <w:tc>
                <w:tcPr>
                  <w:tcW w:w="404" w:type="pct"/>
                  <w:tcBorders>
                    <w:tl2br w:val="nil"/>
                    <w:tr2bl w:val="nil"/>
                  </w:tcBorders>
                  <w:vAlign w:val="center"/>
                </w:tcPr>
                <w:p w14:paraId="0289601A">
                  <w:pPr>
                    <w:keepNext w:val="0"/>
                    <w:keepLines w:val="0"/>
                    <w:suppressLineNumbers w:val="0"/>
                    <w:adjustRightInd w:val="0"/>
                    <w:snapToGrid w:val="0"/>
                    <w:spacing w:before="0" w:beforeAutospacing="0" w:after="0" w:afterAutospacing="0" w:line="276" w:lineRule="auto"/>
                    <w:ind w:left="0" w:right="0"/>
                    <w:jc w:val="center"/>
                    <w:rPr>
                      <w:rFonts w:hint="default"/>
                      <w:color w:val="auto"/>
                      <w:sz w:val="21"/>
                      <w:szCs w:val="21"/>
                      <w:highlight w:val="none"/>
                      <w:lang w:val="en-US"/>
                    </w:rPr>
                  </w:pPr>
                  <w:r>
                    <w:rPr>
                      <w:rFonts w:hint="eastAsia"/>
                      <w:color w:val="auto"/>
                      <w:sz w:val="21"/>
                      <w:szCs w:val="21"/>
                      <w:highlight w:val="none"/>
                      <w:lang w:val="en-US" w:eastAsia="zh-CN"/>
                    </w:rPr>
                    <w:t>S1-7</w:t>
                  </w:r>
                </w:p>
              </w:tc>
              <w:tc>
                <w:tcPr>
                  <w:tcW w:w="567" w:type="pct"/>
                  <w:vMerge w:val="continue"/>
                  <w:tcBorders>
                    <w:tl2br w:val="nil"/>
                    <w:tr2bl w:val="nil"/>
                  </w:tcBorders>
                  <w:vAlign w:val="center"/>
                </w:tcPr>
                <w:p w14:paraId="1106D7FC">
                  <w:pPr>
                    <w:keepNext w:val="0"/>
                    <w:keepLines w:val="0"/>
                    <w:suppressLineNumbers w:val="0"/>
                    <w:adjustRightInd w:val="0"/>
                    <w:snapToGrid w:val="0"/>
                    <w:spacing w:before="0" w:beforeAutospacing="0" w:after="0" w:afterAutospacing="0" w:line="276" w:lineRule="auto"/>
                    <w:ind w:left="0" w:right="0"/>
                    <w:jc w:val="center"/>
                    <w:rPr>
                      <w:rFonts w:hint="default"/>
                      <w:sz w:val="21"/>
                      <w:szCs w:val="21"/>
                      <w:highlight w:val="none"/>
                      <w:lang w:val="en-US" w:eastAsia="zh-CN"/>
                    </w:rPr>
                  </w:pPr>
                </w:p>
              </w:tc>
              <w:tc>
                <w:tcPr>
                  <w:tcW w:w="1360" w:type="pct"/>
                  <w:vMerge w:val="continue"/>
                  <w:tcBorders>
                    <w:tl2br w:val="nil"/>
                    <w:tr2bl w:val="nil"/>
                  </w:tcBorders>
                  <w:vAlign w:val="center"/>
                </w:tcPr>
                <w:p w14:paraId="79D4DC7A">
                  <w:pPr>
                    <w:keepNext w:val="0"/>
                    <w:keepLines w:val="0"/>
                    <w:suppressLineNumbers w:val="0"/>
                    <w:adjustRightInd w:val="0"/>
                    <w:snapToGrid w:val="0"/>
                    <w:spacing w:before="0" w:beforeAutospacing="0" w:after="0" w:afterAutospacing="0" w:line="276" w:lineRule="auto"/>
                    <w:ind w:left="0" w:right="0"/>
                    <w:jc w:val="center"/>
                    <w:rPr>
                      <w:rFonts w:hint="eastAsia"/>
                      <w:sz w:val="21"/>
                      <w:szCs w:val="21"/>
                      <w:highlight w:val="none"/>
                      <w:lang w:eastAsia="zh-CN"/>
                    </w:rPr>
                  </w:pPr>
                </w:p>
              </w:tc>
              <w:tc>
                <w:tcPr>
                  <w:tcW w:w="1164" w:type="pct"/>
                  <w:tcBorders>
                    <w:tl2br w:val="nil"/>
                    <w:tr2bl w:val="nil"/>
                  </w:tcBorders>
                  <w:vAlign w:val="center"/>
                </w:tcPr>
                <w:p w14:paraId="3A303911">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76" w:lineRule="auto"/>
                    <w:ind w:left="0" w:right="0"/>
                    <w:jc w:val="center"/>
                    <w:textAlignment w:val="auto"/>
                    <w:rPr>
                      <w:rFonts w:hint="eastAsia" w:ascii="Times New Roman" w:hAnsi="Times New Roman" w:eastAsia="宋体" w:cs="Times New Roman"/>
                      <w:color w:val="auto"/>
                      <w:kern w:val="2"/>
                      <w:sz w:val="21"/>
                      <w:szCs w:val="21"/>
                      <w:highlight w:val="none"/>
                      <w:lang w:val="en-US" w:eastAsia="zh-CN" w:bidi="ar-SA"/>
                    </w:rPr>
                  </w:pPr>
                  <w:r>
                    <w:rPr>
                      <w:rFonts w:hint="default" w:ascii="Times New Roman" w:hAnsi="Times New Roman" w:eastAsia="宋体"/>
                      <w:color w:val="auto"/>
                      <w:sz w:val="21"/>
                      <w:szCs w:val="21"/>
                      <w:highlight w:val="none"/>
                    </w:rPr>
                    <w:t>废活性炭</w:t>
                  </w:r>
                </w:p>
              </w:tc>
              <w:tc>
                <w:tcPr>
                  <w:tcW w:w="1199" w:type="pct"/>
                  <w:tcBorders>
                    <w:tl2br w:val="nil"/>
                    <w:tr2bl w:val="nil"/>
                  </w:tcBorders>
                  <w:vAlign w:val="center"/>
                </w:tcPr>
                <w:p w14:paraId="43CDD6C0">
                  <w:pPr>
                    <w:keepNext w:val="0"/>
                    <w:keepLines w:val="0"/>
                    <w:suppressLineNumbers w:val="0"/>
                    <w:adjustRightInd w:val="0"/>
                    <w:snapToGrid w:val="0"/>
                    <w:spacing w:before="0" w:beforeAutospacing="0" w:after="0" w:afterAutospacing="0" w:line="276" w:lineRule="auto"/>
                    <w:ind w:left="0" w:right="0"/>
                    <w:jc w:val="center"/>
                    <w:rPr>
                      <w:rFonts w:hint="eastAsia"/>
                      <w:sz w:val="21"/>
                      <w:szCs w:val="21"/>
                      <w:highlight w:val="none"/>
                      <w:lang w:eastAsia="zh-CN"/>
                    </w:rPr>
                  </w:pPr>
                  <w:r>
                    <w:rPr>
                      <w:rFonts w:hint="eastAsia"/>
                      <w:sz w:val="21"/>
                      <w:szCs w:val="21"/>
                      <w:highlight w:val="none"/>
                      <w:lang w:val="en-US" w:eastAsia="zh-CN"/>
                    </w:rPr>
                    <w:t>失效</w:t>
                  </w:r>
                  <w:r>
                    <w:rPr>
                      <w:rFonts w:hint="eastAsia"/>
                      <w:sz w:val="21"/>
                      <w:szCs w:val="21"/>
                      <w:highlight w:val="none"/>
                      <w:lang w:eastAsia="zh-CN"/>
                    </w:rPr>
                    <w:t>的</w:t>
                  </w:r>
                  <w:r>
                    <w:rPr>
                      <w:rFonts w:hint="eastAsia"/>
                      <w:sz w:val="21"/>
                      <w:szCs w:val="21"/>
                      <w:highlight w:val="none"/>
                      <w:lang w:val="en-US" w:eastAsia="zh-CN"/>
                    </w:rPr>
                    <w:t>活性炭</w:t>
                  </w:r>
                </w:p>
              </w:tc>
            </w:tr>
            <w:tr w14:paraId="7472F0B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65" w:hRule="atLeast"/>
                <w:jc w:val="center"/>
              </w:trPr>
              <w:tc>
                <w:tcPr>
                  <w:tcW w:w="305" w:type="pct"/>
                  <w:vMerge w:val="continue"/>
                  <w:tcBorders>
                    <w:tl2br w:val="nil"/>
                    <w:tr2bl w:val="nil"/>
                  </w:tcBorders>
                  <w:vAlign w:val="center"/>
                </w:tcPr>
                <w:p w14:paraId="369A723F">
                  <w:pPr>
                    <w:keepNext w:val="0"/>
                    <w:keepLines w:val="0"/>
                    <w:suppressLineNumbers w:val="0"/>
                    <w:adjustRightInd w:val="0"/>
                    <w:snapToGrid w:val="0"/>
                    <w:spacing w:before="0" w:beforeAutospacing="0" w:after="0" w:afterAutospacing="0" w:line="276" w:lineRule="auto"/>
                    <w:ind w:left="0" w:right="0"/>
                    <w:jc w:val="center"/>
                    <w:rPr>
                      <w:rFonts w:hint="default"/>
                      <w:sz w:val="21"/>
                      <w:szCs w:val="21"/>
                      <w:highlight w:val="none"/>
                    </w:rPr>
                  </w:pPr>
                </w:p>
              </w:tc>
              <w:tc>
                <w:tcPr>
                  <w:tcW w:w="404" w:type="pct"/>
                  <w:tcBorders>
                    <w:tl2br w:val="nil"/>
                    <w:tr2bl w:val="nil"/>
                  </w:tcBorders>
                  <w:shd w:val="clear" w:color="auto" w:fill="auto"/>
                  <w:vAlign w:val="center"/>
                </w:tcPr>
                <w:p w14:paraId="3248199B">
                  <w:pPr>
                    <w:keepNext w:val="0"/>
                    <w:keepLines w:val="0"/>
                    <w:suppressLineNumbers w:val="0"/>
                    <w:adjustRightInd w:val="0"/>
                    <w:snapToGrid w:val="0"/>
                    <w:spacing w:before="0" w:beforeAutospacing="0" w:after="0" w:afterAutospacing="0" w:line="276" w:lineRule="auto"/>
                    <w:ind w:left="0" w:right="0"/>
                    <w:jc w:val="center"/>
                    <w:rPr>
                      <w:rFonts w:hint="default" w:ascii="Times New Roman" w:hAnsi="Times New Roman" w:eastAsia="宋体" w:cs="Times New Roman"/>
                      <w:color w:val="auto"/>
                      <w:kern w:val="2"/>
                      <w:sz w:val="21"/>
                      <w:szCs w:val="21"/>
                      <w:highlight w:val="none"/>
                      <w:lang w:val="en-US" w:eastAsia="zh-CN" w:bidi="ar-SA"/>
                    </w:rPr>
                  </w:pPr>
                  <w:r>
                    <w:rPr>
                      <w:rFonts w:hint="eastAsia"/>
                      <w:color w:val="auto"/>
                      <w:sz w:val="21"/>
                      <w:szCs w:val="21"/>
                      <w:highlight w:val="none"/>
                      <w:lang w:val="en-US" w:eastAsia="zh-CN"/>
                    </w:rPr>
                    <w:t>S1-8</w:t>
                  </w:r>
                </w:p>
              </w:tc>
              <w:tc>
                <w:tcPr>
                  <w:tcW w:w="567" w:type="pct"/>
                  <w:vMerge w:val="continue"/>
                  <w:tcBorders>
                    <w:tl2br w:val="nil"/>
                    <w:tr2bl w:val="nil"/>
                  </w:tcBorders>
                  <w:vAlign w:val="center"/>
                </w:tcPr>
                <w:p w14:paraId="653337D8">
                  <w:pPr>
                    <w:keepNext w:val="0"/>
                    <w:keepLines w:val="0"/>
                    <w:suppressLineNumbers w:val="0"/>
                    <w:adjustRightInd w:val="0"/>
                    <w:snapToGrid w:val="0"/>
                    <w:spacing w:before="0" w:beforeAutospacing="0" w:after="0" w:afterAutospacing="0" w:line="276" w:lineRule="auto"/>
                    <w:ind w:left="0" w:right="0"/>
                    <w:jc w:val="center"/>
                    <w:rPr>
                      <w:rFonts w:hint="default"/>
                      <w:sz w:val="21"/>
                      <w:szCs w:val="21"/>
                      <w:highlight w:val="none"/>
                      <w:lang w:val="en-US" w:eastAsia="zh-CN"/>
                    </w:rPr>
                  </w:pPr>
                </w:p>
              </w:tc>
              <w:tc>
                <w:tcPr>
                  <w:tcW w:w="1360" w:type="pct"/>
                  <w:vMerge w:val="continue"/>
                  <w:tcBorders>
                    <w:tl2br w:val="nil"/>
                    <w:tr2bl w:val="nil"/>
                  </w:tcBorders>
                  <w:vAlign w:val="center"/>
                </w:tcPr>
                <w:p w14:paraId="01C3B5D6">
                  <w:pPr>
                    <w:keepNext w:val="0"/>
                    <w:keepLines w:val="0"/>
                    <w:suppressLineNumbers w:val="0"/>
                    <w:adjustRightInd w:val="0"/>
                    <w:snapToGrid w:val="0"/>
                    <w:spacing w:before="0" w:beforeAutospacing="0" w:after="0" w:afterAutospacing="0" w:line="276" w:lineRule="auto"/>
                    <w:ind w:left="0" w:right="0"/>
                    <w:jc w:val="center"/>
                    <w:rPr>
                      <w:rFonts w:hint="eastAsia"/>
                      <w:sz w:val="21"/>
                      <w:szCs w:val="21"/>
                      <w:highlight w:val="none"/>
                      <w:lang w:eastAsia="zh-CN"/>
                    </w:rPr>
                  </w:pPr>
                </w:p>
              </w:tc>
              <w:tc>
                <w:tcPr>
                  <w:tcW w:w="1164" w:type="pct"/>
                  <w:tcBorders>
                    <w:tl2br w:val="nil"/>
                    <w:tr2bl w:val="nil"/>
                  </w:tcBorders>
                  <w:vAlign w:val="center"/>
                </w:tcPr>
                <w:p w14:paraId="12714B25">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76" w:lineRule="auto"/>
                    <w:ind w:left="0" w:right="0"/>
                    <w:jc w:val="center"/>
                    <w:textAlignment w:val="auto"/>
                    <w:rPr>
                      <w:rFonts w:hint="eastAsia" w:ascii="Times New Roman" w:hAnsi="Times New Roman" w:eastAsia="宋体" w:cs="Times New Roman"/>
                      <w:color w:val="auto"/>
                      <w:kern w:val="2"/>
                      <w:sz w:val="21"/>
                      <w:szCs w:val="21"/>
                      <w:highlight w:val="none"/>
                      <w:lang w:val="en-US" w:eastAsia="zh-CN" w:bidi="ar-SA"/>
                    </w:rPr>
                  </w:pPr>
                  <w:r>
                    <w:rPr>
                      <w:rFonts w:hint="default" w:ascii="Times New Roman" w:hAnsi="Times New Roman" w:eastAsia="宋体"/>
                      <w:color w:val="auto"/>
                      <w:sz w:val="21"/>
                      <w:szCs w:val="21"/>
                      <w:highlight w:val="none"/>
                    </w:rPr>
                    <w:t>废</w:t>
                  </w:r>
                  <w:r>
                    <w:rPr>
                      <w:rFonts w:hint="eastAsia"/>
                      <w:color w:val="auto"/>
                      <w:sz w:val="21"/>
                      <w:szCs w:val="21"/>
                      <w:highlight w:val="none"/>
                      <w:lang w:val="en-US" w:eastAsia="zh-CN"/>
                    </w:rPr>
                    <w:t>滤芯</w:t>
                  </w:r>
                </w:p>
              </w:tc>
              <w:tc>
                <w:tcPr>
                  <w:tcW w:w="1199" w:type="pct"/>
                  <w:tcBorders>
                    <w:tl2br w:val="nil"/>
                    <w:tr2bl w:val="nil"/>
                  </w:tcBorders>
                  <w:vAlign w:val="center"/>
                </w:tcPr>
                <w:p w14:paraId="1F01ED28">
                  <w:pPr>
                    <w:keepNext w:val="0"/>
                    <w:keepLines w:val="0"/>
                    <w:suppressLineNumbers w:val="0"/>
                    <w:adjustRightInd w:val="0"/>
                    <w:snapToGrid w:val="0"/>
                    <w:spacing w:before="0" w:beforeAutospacing="0" w:after="0" w:afterAutospacing="0" w:line="276" w:lineRule="auto"/>
                    <w:ind w:left="0" w:right="0"/>
                    <w:jc w:val="center"/>
                    <w:rPr>
                      <w:rFonts w:hint="default"/>
                      <w:sz w:val="21"/>
                      <w:szCs w:val="21"/>
                      <w:highlight w:val="none"/>
                      <w:lang w:val="en-US" w:eastAsia="zh-CN"/>
                    </w:rPr>
                  </w:pPr>
                  <w:r>
                    <w:rPr>
                      <w:rFonts w:hint="eastAsia"/>
                      <w:sz w:val="21"/>
                      <w:szCs w:val="21"/>
                      <w:highlight w:val="none"/>
                      <w:lang w:val="en-US" w:eastAsia="zh-CN"/>
                    </w:rPr>
                    <w:t>失效</w:t>
                  </w:r>
                  <w:r>
                    <w:rPr>
                      <w:rFonts w:hint="eastAsia"/>
                      <w:sz w:val="21"/>
                      <w:szCs w:val="21"/>
                      <w:highlight w:val="none"/>
                      <w:lang w:eastAsia="zh-CN"/>
                    </w:rPr>
                    <w:t>的</w:t>
                  </w:r>
                  <w:r>
                    <w:rPr>
                      <w:rFonts w:hint="eastAsia"/>
                      <w:sz w:val="21"/>
                      <w:szCs w:val="21"/>
                      <w:highlight w:val="none"/>
                      <w:lang w:val="en-US" w:eastAsia="zh-CN"/>
                    </w:rPr>
                    <w:t>滤芯</w:t>
                  </w:r>
                </w:p>
              </w:tc>
            </w:tr>
            <w:tr w14:paraId="1FDCFD1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65" w:hRule="atLeast"/>
                <w:jc w:val="center"/>
              </w:trPr>
              <w:tc>
                <w:tcPr>
                  <w:tcW w:w="305" w:type="pct"/>
                  <w:vMerge w:val="continue"/>
                  <w:tcBorders>
                    <w:tl2br w:val="nil"/>
                    <w:tr2bl w:val="nil"/>
                  </w:tcBorders>
                  <w:vAlign w:val="center"/>
                </w:tcPr>
                <w:p w14:paraId="359D3330">
                  <w:pPr>
                    <w:keepNext w:val="0"/>
                    <w:keepLines w:val="0"/>
                    <w:suppressLineNumbers w:val="0"/>
                    <w:adjustRightInd w:val="0"/>
                    <w:snapToGrid w:val="0"/>
                    <w:spacing w:before="0" w:beforeAutospacing="0" w:after="0" w:afterAutospacing="0" w:line="276" w:lineRule="auto"/>
                    <w:ind w:left="0" w:right="0"/>
                    <w:jc w:val="center"/>
                    <w:rPr>
                      <w:rFonts w:hint="default"/>
                      <w:sz w:val="21"/>
                      <w:szCs w:val="21"/>
                      <w:highlight w:val="none"/>
                    </w:rPr>
                  </w:pPr>
                </w:p>
              </w:tc>
              <w:tc>
                <w:tcPr>
                  <w:tcW w:w="404" w:type="pct"/>
                  <w:tcBorders>
                    <w:tl2br w:val="nil"/>
                    <w:tr2bl w:val="nil"/>
                  </w:tcBorders>
                  <w:shd w:val="clear" w:color="auto" w:fill="auto"/>
                  <w:vAlign w:val="center"/>
                </w:tcPr>
                <w:p w14:paraId="7E5A320E">
                  <w:pPr>
                    <w:keepNext w:val="0"/>
                    <w:keepLines w:val="0"/>
                    <w:suppressLineNumbers w:val="0"/>
                    <w:adjustRightInd w:val="0"/>
                    <w:snapToGrid w:val="0"/>
                    <w:spacing w:before="0" w:beforeAutospacing="0" w:after="0" w:afterAutospacing="0" w:line="276" w:lineRule="auto"/>
                    <w:ind w:left="0" w:right="0"/>
                    <w:jc w:val="center"/>
                    <w:rPr>
                      <w:rFonts w:hint="default" w:ascii="Times New Roman" w:hAnsi="Times New Roman" w:eastAsia="宋体" w:cs="Times New Roman"/>
                      <w:color w:val="auto"/>
                      <w:kern w:val="2"/>
                      <w:sz w:val="21"/>
                      <w:szCs w:val="21"/>
                      <w:highlight w:val="none"/>
                      <w:lang w:val="en-US" w:eastAsia="zh-CN" w:bidi="ar-SA"/>
                    </w:rPr>
                  </w:pPr>
                  <w:r>
                    <w:rPr>
                      <w:rFonts w:hint="eastAsia"/>
                      <w:color w:val="auto"/>
                      <w:sz w:val="21"/>
                      <w:szCs w:val="21"/>
                      <w:highlight w:val="none"/>
                      <w:lang w:val="en-US" w:eastAsia="zh-CN"/>
                    </w:rPr>
                    <w:t>S1-9</w:t>
                  </w:r>
                </w:p>
              </w:tc>
              <w:tc>
                <w:tcPr>
                  <w:tcW w:w="567" w:type="pct"/>
                  <w:vMerge w:val="continue"/>
                  <w:tcBorders>
                    <w:tl2br w:val="nil"/>
                    <w:tr2bl w:val="nil"/>
                  </w:tcBorders>
                  <w:vAlign w:val="center"/>
                </w:tcPr>
                <w:p w14:paraId="2B7F8247">
                  <w:pPr>
                    <w:keepNext w:val="0"/>
                    <w:keepLines w:val="0"/>
                    <w:suppressLineNumbers w:val="0"/>
                    <w:adjustRightInd w:val="0"/>
                    <w:snapToGrid w:val="0"/>
                    <w:spacing w:before="0" w:beforeAutospacing="0" w:after="0" w:afterAutospacing="0" w:line="276" w:lineRule="auto"/>
                    <w:ind w:left="0" w:right="0"/>
                    <w:jc w:val="center"/>
                    <w:rPr>
                      <w:rFonts w:hint="default"/>
                      <w:sz w:val="21"/>
                      <w:szCs w:val="21"/>
                      <w:highlight w:val="none"/>
                      <w:lang w:val="en-US" w:eastAsia="zh-CN"/>
                    </w:rPr>
                  </w:pPr>
                </w:p>
              </w:tc>
              <w:tc>
                <w:tcPr>
                  <w:tcW w:w="1360" w:type="pct"/>
                  <w:vMerge w:val="continue"/>
                  <w:tcBorders>
                    <w:tl2br w:val="nil"/>
                    <w:tr2bl w:val="nil"/>
                  </w:tcBorders>
                  <w:vAlign w:val="center"/>
                </w:tcPr>
                <w:p w14:paraId="59F79878">
                  <w:pPr>
                    <w:keepNext w:val="0"/>
                    <w:keepLines w:val="0"/>
                    <w:suppressLineNumbers w:val="0"/>
                    <w:adjustRightInd w:val="0"/>
                    <w:snapToGrid w:val="0"/>
                    <w:spacing w:before="0" w:beforeAutospacing="0" w:after="0" w:afterAutospacing="0" w:line="276" w:lineRule="auto"/>
                    <w:ind w:left="0" w:right="0"/>
                    <w:jc w:val="center"/>
                    <w:rPr>
                      <w:rFonts w:hint="eastAsia"/>
                      <w:sz w:val="21"/>
                      <w:szCs w:val="21"/>
                      <w:highlight w:val="none"/>
                      <w:lang w:eastAsia="zh-CN"/>
                    </w:rPr>
                  </w:pPr>
                </w:p>
              </w:tc>
              <w:tc>
                <w:tcPr>
                  <w:tcW w:w="1164" w:type="pct"/>
                  <w:tcBorders>
                    <w:tl2br w:val="nil"/>
                    <w:tr2bl w:val="nil"/>
                  </w:tcBorders>
                  <w:vAlign w:val="center"/>
                </w:tcPr>
                <w:p w14:paraId="46699509">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76" w:lineRule="auto"/>
                    <w:ind w:left="0" w:right="0"/>
                    <w:jc w:val="center"/>
                    <w:textAlignment w:val="auto"/>
                    <w:rPr>
                      <w:rFonts w:hint="eastAsia" w:ascii="Times New Roman" w:hAnsi="Times New Roman" w:eastAsia="宋体" w:cs="Times New Roman"/>
                      <w:color w:val="auto"/>
                      <w:kern w:val="2"/>
                      <w:sz w:val="21"/>
                      <w:szCs w:val="21"/>
                      <w:highlight w:val="none"/>
                      <w:lang w:val="en-US" w:eastAsia="zh-CN" w:bidi="ar-SA"/>
                    </w:rPr>
                  </w:pPr>
                  <w:r>
                    <w:rPr>
                      <w:rFonts w:hint="default" w:ascii="Times New Roman" w:hAnsi="Times New Roman" w:eastAsia="宋体"/>
                      <w:color w:val="auto"/>
                      <w:sz w:val="21"/>
                      <w:szCs w:val="21"/>
                      <w:highlight w:val="none"/>
                    </w:rPr>
                    <w:t>废RO膜</w:t>
                  </w:r>
                </w:p>
              </w:tc>
              <w:tc>
                <w:tcPr>
                  <w:tcW w:w="1199" w:type="pct"/>
                  <w:tcBorders>
                    <w:tl2br w:val="nil"/>
                    <w:tr2bl w:val="nil"/>
                  </w:tcBorders>
                  <w:vAlign w:val="center"/>
                </w:tcPr>
                <w:p w14:paraId="28818D6B">
                  <w:pPr>
                    <w:keepNext w:val="0"/>
                    <w:keepLines w:val="0"/>
                    <w:suppressLineNumbers w:val="0"/>
                    <w:adjustRightInd w:val="0"/>
                    <w:snapToGrid w:val="0"/>
                    <w:spacing w:before="0" w:beforeAutospacing="0" w:after="0" w:afterAutospacing="0" w:line="276" w:lineRule="auto"/>
                    <w:ind w:left="0" w:right="0"/>
                    <w:jc w:val="center"/>
                    <w:rPr>
                      <w:rFonts w:hint="default"/>
                      <w:sz w:val="21"/>
                      <w:szCs w:val="21"/>
                      <w:highlight w:val="none"/>
                      <w:lang w:val="en-US" w:eastAsia="zh-CN"/>
                    </w:rPr>
                  </w:pPr>
                  <w:r>
                    <w:rPr>
                      <w:rFonts w:hint="eastAsia"/>
                      <w:sz w:val="21"/>
                      <w:szCs w:val="21"/>
                      <w:highlight w:val="none"/>
                      <w:lang w:val="en-US" w:eastAsia="zh-CN"/>
                    </w:rPr>
                    <w:t>失效</w:t>
                  </w:r>
                  <w:r>
                    <w:rPr>
                      <w:rFonts w:hint="eastAsia"/>
                      <w:sz w:val="21"/>
                      <w:szCs w:val="21"/>
                      <w:highlight w:val="none"/>
                      <w:lang w:eastAsia="zh-CN"/>
                    </w:rPr>
                    <w:t>的</w:t>
                  </w:r>
                  <w:r>
                    <w:rPr>
                      <w:rFonts w:hint="eastAsia"/>
                      <w:sz w:val="21"/>
                      <w:szCs w:val="21"/>
                      <w:highlight w:val="none"/>
                      <w:lang w:val="en-US" w:eastAsia="zh-CN"/>
                    </w:rPr>
                    <w:t>RO膜</w:t>
                  </w:r>
                </w:p>
              </w:tc>
            </w:tr>
            <w:tr w14:paraId="0CDF28D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65" w:hRule="atLeast"/>
                <w:jc w:val="center"/>
              </w:trPr>
              <w:tc>
                <w:tcPr>
                  <w:tcW w:w="305" w:type="pct"/>
                  <w:vMerge w:val="continue"/>
                  <w:tcBorders>
                    <w:tl2br w:val="nil"/>
                    <w:tr2bl w:val="nil"/>
                  </w:tcBorders>
                  <w:vAlign w:val="center"/>
                </w:tcPr>
                <w:p w14:paraId="5D6F1714">
                  <w:pPr>
                    <w:keepNext w:val="0"/>
                    <w:keepLines w:val="0"/>
                    <w:suppressLineNumbers w:val="0"/>
                    <w:adjustRightInd w:val="0"/>
                    <w:snapToGrid w:val="0"/>
                    <w:spacing w:before="0" w:beforeAutospacing="0" w:after="0" w:afterAutospacing="0" w:line="276" w:lineRule="auto"/>
                    <w:ind w:left="0" w:right="0"/>
                    <w:jc w:val="center"/>
                    <w:rPr>
                      <w:rFonts w:hint="default"/>
                      <w:sz w:val="21"/>
                      <w:szCs w:val="21"/>
                      <w:highlight w:val="none"/>
                    </w:rPr>
                  </w:pPr>
                </w:p>
              </w:tc>
              <w:tc>
                <w:tcPr>
                  <w:tcW w:w="404" w:type="pct"/>
                  <w:tcBorders>
                    <w:tl2br w:val="nil"/>
                    <w:tr2bl w:val="nil"/>
                  </w:tcBorders>
                  <w:vAlign w:val="center"/>
                </w:tcPr>
                <w:p w14:paraId="4ECCCD67">
                  <w:pPr>
                    <w:keepNext w:val="0"/>
                    <w:keepLines w:val="0"/>
                    <w:suppressLineNumbers w:val="0"/>
                    <w:adjustRightInd w:val="0"/>
                    <w:snapToGrid w:val="0"/>
                    <w:spacing w:before="0" w:beforeAutospacing="0" w:after="0" w:afterAutospacing="0" w:line="276" w:lineRule="auto"/>
                    <w:ind w:left="0" w:right="0"/>
                    <w:jc w:val="center"/>
                    <w:rPr>
                      <w:rFonts w:hint="default" w:eastAsia="宋体"/>
                      <w:sz w:val="21"/>
                      <w:szCs w:val="21"/>
                      <w:highlight w:val="none"/>
                      <w:lang w:val="en-US" w:eastAsia="zh-CN"/>
                    </w:rPr>
                  </w:pPr>
                  <w:r>
                    <w:rPr>
                      <w:rFonts w:hint="eastAsia"/>
                      <w:sz w:val="21"/>
                      <w:szCs w:val="21"/>
                      <w:highlight w:val="none"/>
                      <w:lang w:val="en-US" w:eastAsia="zh-CN"/>
                    </w:rPr>
                    <w:t>S1-10</w:t>
                  </w:r>
                </w:p>
              </w:tc>
              <w:tc>
                <w:tcPr>
                  <w:tcW w:w="567" w:type="pct"/>
                  <w:vMerge w:val="continue"/>
                  <w:tcBorders>
                    <w:tl2br w:val="nil"/>
                    <w:tr2bl w:val="nil"/>
                  </w:tcBorders>
                  <w:vAlign w:val="center"/>
                </w:tcPr>
                <w:p w14:paraId="68E43D86">
                  <w:pPr>
                    <w:keepNext w:val="0"/>
                    <w:keepLines w:val="0"/>
                    <w:suppressLineNumbers w:val="0"/>
                    <w:adjustRightInd w:val="0"/>
                    <w:snapToGrid w:val="0"/>
                    <w:spacing w:before="0" w:beforeAutospacing="0" w:after="0" w:afterAutospacing="0" w:line="276" w:lineRule="auto"/>
                    <w:ind w:left="0" w:right="0"/>
                    <w:jc w:val="center"/>
                    <w:rPr>
                      <w:rFonts w:hint="default"/>
                      <w:sz w:val="21"/>
                      <w:szCs w:val="21"/>
                      <w:highlight w:val="none"/>
                      <w:lang w:val="en-US" w:eastAsia="zh-CN"/>
                    </w:rPr>
                  </w:pPr>
                </w:p>
              </w:tc>
              <w:tc>
                <w:tcPr>
                  <w:tcW w:w="1360" w:type="pct"/>
                  <w:vMerge w:val="continue"/>
                  <w:tcBorders>
                    <w:tl2br w:val="nil"/>
                    <w:tr2bl w:val="nil"/>
                  </w:tcBorders>
                  <w:vAlign w:val="center"/>
                </w:tcPr>
                <w:p w14:paraId="2CEA8622">
                  <w:pPr>
                    <w:keepNext w:val="0"/>
                    <w:keepLines w:val="0"/>
                    <w:suppressLineNumbers w:val="0"/>
                    <w:adjustRightInd w:val="0"/>
                    <w:snapToGrid w:val="0"/>
                    <w:spacing w:before="0" w:beforeAutospacing="0" w:after="0" w:afterAutospacing="0" w:line="276" w:lineRule="auto"/>
                    <w:ind w:left="0" w:right="0"/>
                    <w:jc w:val="center"/>
                    <w:rPr>
                      <w:rFonts w:hint="eastAsia"/>
                      <w:sz w:val="21"/>
                      <w:szCs w:val="21"/>
                      <w:highlight w:val="none"/>
                      <w:lang w:eastAsia="zh-CN"/>
                    </w:rPr>
                  </w:pPr>
                </w:p>
              </w:tc>
              <w:tc>
                <w:tcPr>
                  <w:tcW w:w="1164" w:type="pct"/>
                  <w:tcBorders>
                    <w:tl2br w:val="nil"/>
                    <w:tr2bl w:val="nil"/>
                  </w:tcBorders>
                  <w:shd w:val="clear" w:color="auto" w:fill="auto"/>
                  <w:vAlign w:val="center"/>
                </w:tcPr>
                <w:p w14:paraId="6AFDEA93">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76" w:lineRule="auto"/>
                    <w:ind w:left="0" w:right="0"/>
                    <w:jc w:val="center"/>
                    <w:textAlignment w:val="auto"/>
                    <w:rPr>
                      <w:rFonts w:hint="eastAsia" w:ascii="Times New Roman" w:hAnsi="Times New Roman" w:eastAsia="宋体" w:cs="Times New Roman"/>
                      <w:color w:val="auto"/>
                      <w:kern w:val="2"/>
                      <w:sz w:val="21"/>
                      <w:szCs w:val="21"/>
                      <w:highlight w:val="none"/>
                      <w:lang w:val="en-US" w:eastAsia="zh-CN" w:bidi="ar-SA"/>
                    </w:rPr>
                  </w:pPr>
                  <w:r>
                    <w:rPr>
                      <w:rFonts w:hint="eastAsia"/>
                      <w:color w:val="auto"/>
                      <w:sz w:val="21"/>
                      <w:szCs w:val="21"/>
                      <w:highlight w:val="none"/>
                    </w:rPr>
                    <w:t>废</w:t>
                  </w:r>
                  <w:r>
                    <w:rPr>
                      <w:rFonts w:hint="default"/>
                      <w:color w:val="auto"/>
                      <w:sz w:val="21"/>
                      <w:szCs w:val="21"/>
                      <w:highlight w:val="none"/>
                    </w:rPr>
                    <w:t>树脂</w:t>
                  </w:r>
                </w:p>
              </w:tc>
              <w:tc>
                <w:tcPr>
                  <w:tcW w:w="1199" w:type="pct"/>
                  <w:tcBorders>
                    <w:tl2br w:val="nil"/>
                    <w:tr2bl w:val="nil"/>
                  </w:tcBorders>
                  <w:shd w:val="clear" w:color="auto" w:fill="auto"/>
                  <w:vAlign w:val="center"/>
                </w:tcPr>
                <w:p w14:paraId="19AFCF8B">
                  <w:pPr>
                    <w:keepNext w:val="0"/>
                    <w:keepLines w:val="0"/>
                    <w:suppressLineNumbers w:val="0"/>
                    <w:adjustRightInd w:val="0"/>
                    <w:snapToGrid w:val="0"/>
                    <w:spacing w:before="0" w:beforeAutospacing="0" w:after="0" w:afterAutospacing="0" w:line="276" w:lineRule="auto"/>
                    <w:ind w:left="0" w:right="0"/>
                    <w:jc w:val="center"/>
                    <w:rPr>
                      <w:rFonts w:hint="eastAsia" w:ascii="Times New Roman" w:hAnsi="Times New Roman" w:eastAsia="宋体" w:cs="Times New Roman"/>
                      <w:kern w:val="2"/>
                      <w:sz w:val="21"/>
                      <w:szCs w:val="21"/>
                      <w:highlight w:val="none"/>
                      <w:lang w:val="en-US" w:eastAsia="zh-CN" w:bidi="ar-SA"/>
                    </w:rPr>
                  </w:pPr>
                  <w:r>
                    <w:rPr>
                      <w:rFonts w:hint="eastAsia"/>
                      <w:sz w:val="21"/>
                      <w:szCs w:val="21"/>
                      <w:highlight w:val="none"/>
                      <w:lang w:val="en-US" w:eastAsia="zh-CN"/>
                    </w:rPr>
                    <w:t>失效</w:t>
                  </w:r>
                  <w:r>
                    <w:rPr>
                      <w:rFonts w:hint="eastAsia"/>
                      <w:sz w:val="21"/>
                      <w:szCs w:val="21"/>
                      <w:highlight w:val="none"/>
                      <w:lang w:eastAsia="zh-CN"/>
                    </w:rPr>
                    <w:t>的</w:t>
                  </w:r>
                  <w:r>
                    <w:rPr>
                      <w:rFonts w:hint="eastAsia"/>
                      <w:sz w:val="21"/>
                      <w:szCs w:val="21"/>
                      <w:highlight w:val="none"/>
                      <w:lang w:val="en-US" w:eastAsia="zh-CN"/>
                    </w:rPr>
                    <w:t>树脂</w:t>
                  </w:r>
                </w:p>
              </w:tc>
            </w:tr>
            <w:tr w14:paraId="29B3499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65" w:hRule="atLeast"/>
                <w:jc w:val="center"/>
              </w:trPr>
              <w:tc>
                <w:tcPr>
                  <w:tcW w:w="305" w:type="pct"/>
                  <w:vMerge w:val="continue"/>
                  <w:tcBorders>
                    <w:tl2br w:val="nil"/>
                    <w:tr2bl w:val="nil"/>
                  </w:tcBorders>
                  <w:vAlign w:val="center"/>
                </w:tcPr>
                <w:p w14:paraId="6F6E4BEE">
                  <w:pPr>
                    <w:keepNext w:val="0"/>
                    <w:keepLines w:val="0"/>
                    <w:suppressLineNumbers w:val="0"/>
                    <w:adjustRightInd w:val="0"/>
                    <w:snapToGrid w:val="0"/>
                    <w:spacing w:before="0" w:beforeAutospacing="0" w:after="0" w:afterAutospacing="0" w:line="276" w:lineRule="auto"/>
                    <w:ind w:left="0" w:right="0"/>
                    <w:jc w:val="center"/>
                    <w:rPr>
                      <w:rFonts w:hint="default"/>
                      <w:sz w:val="21"/>
                      <w:szCs w:val="21"/>
                      <w:highlight w:val="none"/>
                    </w:rPr>
                  </w:pPr>
                </w:p>
              </w:tc>
              <w:tc>
                <w:tcPr>
                  <w:tcW w:w="404" w:type="pct"/>
                  <w:vMerge w:val="restart"/>
                  <w:tcBorders>
                    <w:tl2br w:val="nil"/>
                    <w:tr2bl w:val="nil"/>
                  </w:tcBorders>
                  <w:vAlign w:val="center"/>
                </w:tcPr>
                <w:p w14:paraId="4A3ABF72">
                  <w:pPr>
                    <w:keepNext w:val="0"/>
                    <w:keepLines w:val="0"/>
                    <w:suppressLineNumbers w:val="0"/>
                    <w:adjustRightInd w:val="0"/>
                    <w:snapToGrid w:val="0"/>
                    <w:spacing w:before="0" w:beforeAutospacing="0" w:after="0" w:afterAutospacing="0" w:line="276" w:lineRule="auto"/>
                    <w:ind w:left="0" w:right="0"/>
                    <w:jc w:val="center"/>
                    <w:rPr>
                      <w:rFonts w:hint="default" w:eastAsia="宋体"/>
                      <w:sz w:val="21"/>
                      <w:szCs w:val="21"/>
                      <w:highlight w:val="none"/>
                      <w:lang w:val="en-US" w:eastAsia="zh-CN"/>
                    </w:rPr>
                  </w:pPr>
                  <w:r>
                    <w:rPr>
                      <w:rFonts w:hint="eastAsia"/>
                      <w:sz w:val="21"/>
                      <w:szCs w:val="21"/>
                      <w:highlight w:val="none"/>
                      <w:lang w:val="en-US" w:eastAsia="zh-CN"/>
                    </w:rPr>
                    <w:t>S2-1</w:t>
                  </w:r>
                </w:p>
              </w:tc>
              <w:tc>
                <w:tcPr>
                  <w:tcW w:w="567" w:type="pct"/>
                  <w:vMerge w:val="restart"/>
                  <w:tcBorders>
                    <w:tl2br w:val="nil"/>
                    <w:tr2bl w:val="nil"/>
                  </w:tcBorders>
                  <w:vAlign w:val="center"/>
                </w:tcPr>
                <w:p w14:paraId="7F34B738">
                  <w:pPr>
                    <w:keepNext w:val="0"/>
                    <w:keepLines w:val="0"/>
                    <w:suppressLineNumbers w:val="0"/>
                    <w:adjustRightInd w:val="0"/>
                    <w:snapToGrid w:val="0"/>
                    <w:spacing w:before="0" w:beforeAutospacing="0" w:after="0" w:afterAutospacing="0" w:line="276" w:lineRule="auto"/>
                    <w:ind w:left="0" w:right="0"/>
                    <w:jc w:val="center"/>
                    <w:rPr>
                      <w:rFonts w:hint="default"/>
                      <w:sz w:val="21"/>
                      <w:szCs w:val="21"/>
                      <w:highlight w:val="none"/>
                      <w:lang w:val="en-US" w:eastAsia="zh-CN"/>
                    </w:rPr>
                  </w:pPr>
                  <w:r>
                    <w:rPr>
                      <w:rFonts w:hint="eastAsia"/>
                      <w:sz w:val="21"/>
                      <w:szCs w:val="21"/>
                      <w:highlight w:val="none"/>
                      <w:lang w:val="en-US" w:eastAsia="zh-CN"/>
                    </w:rPr>
                    <w:t>科创综合楼</w:t>
                  </w:r>
                </w:p>
              </w:tc>
              <w:tc>
                <w:tcPr>
                  <w:tcW w:w="1360" w:type="pct"/>
                  <w:tcBorders>
                    <w:tl2br w:val="nil"/>
                    <w:tr2bl w:val="nil"/>
                  </w:tcBorders>
                  <w:shd w:val="clear" w:color="auto" w:fill="auto"/>
                  <w:vAlign w:val="center"/>
                </w:tcPr>
                <w:p w14:paraId="1A1116F2">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76" w:lineRule="auto"/>
                    <w:ind w:left="0" w:right="0"/>
                    <w:jc w:val="center"/>
                    <w:textAlignment w:val="auto"/>
                    <w:rPr>
                      <w:rFonts w:hint="eastAsia" w:ascii="Times New Roman" w:hAnsi="Times New Roman" w:eastAsia="宋体"/>
                      <w:color w:val="auto"/>
                      <w:sz w:val="21"/>
                      <w:szCs w:val="21"/>
                      <w:highlight w:val="none"/>
                      <w:lang w:val="en-US" w:eastAsia="zh-CN"/>
                    </w:rPr>
                  </w:pPr>
                  <w:r>
                    <w:rPr>
                      <w:rFonts w:hint="eastAsia" w:ascii="Times New Roman" w:hAnsi="Times New Roman" w:eastAsia="宋体"/>
                      <w:color w:val="auto"/>
                      <w:sz w:val="21"/>
                      <w:szCs w:val="21"/>
                      <w:highlight w:val="none"/>
                      <w:lang w:val="en-US" w:eastAsia="zh-CN"/>
                    </w:rPr>
                    <w:t>细胞生物实验过程</w:t>
                  </w:r>
                </w:p>
              </w:tc>
              <w:tc>
                <w:tcPr>
                  <w:tcW w:w="1164" w:type="pct"/>
                  <w:vMerge w:val="restart"/>
                  <w:tcBorders>
                    <w:tl2br w:val="nil"/>
                    <w:tr2bl w:val="nil"/>
                  </w:tcBorders>
                  <w:vAlign w:val="center"/>
                </w:tcPr>
                <w:p w14:paraId="64A82F62">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76" w:lineRule="auto"/>
                    <w:ind w:left="0" w:right="0"/>
                    <w:jc w:val="center"/>
                    <w:textAlignment w:val="auto"/>
                    <w:rPr>
                      <w:rFonts w:hint="default" w:ascii="Times New Roman" w:hAnsi="Times New Roman" w:eastAsia="宋体"/>
                      <w:color w:val="auto"/>
                      <w:sz w:val="21"/>
                      <w:szCs w:val="21"/>
                      <w:highlight w:val="none"/>
                    </w:rPr>
                  </w:pPr>
                  <w:r>
                    <w:rPr>
                      <w:rFonts w:hint="eastAsia" w:ascii="Times New Roman" w:hAnsi="Times New Roman" w:eastAsia="宋体"/>
                      <w:color w:val="auto"/>
                      <w:sz w:val="21"/>
                      <w:szCs w:val="21"/>
                      <w:highlight w:val="none"/>
                      <w:lang w:val="en-US" w:eastAsia="zh-CN"/>
                    </w:rPr>
                    <w:t>废培养基</w:t>
                  </w:r>
                </w:p>
              </w:tc>
              <w:tc>
                <w:tcPr>
                  <w:tcW w:w="1199" w:type="pct"/>
                  <w:vMerge w:val="restart"/>
                  <w:tcBorders>
                    <w:tl2br w:val="nil"/>
                    <w:tr2bl w:val="nil"/>
                  </w:tcBorders>
                  <w:vAlign w:val="center"/>
                </w:tcPr>
                <w:p w14:paraId="69D971E2">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76" w:lineRule="auto"/>
                    <w:ind w:left="0" w:right="0"/>
                    <w:jc w:val="center"/>
                    <w:textAlignment w:val="auto"/>
                    <w:rPr>
                      <w:rFonts w:hint="eastAsia" w:ascii="Times New Roman" w:hAnsi="Times New Roman" w:eastAsia="宋体"/>
                      <w:color w:val="auto"/>
                      <w:sz w:val="21"/>
                      <w:szCs w:val="21"/>
                      <w:highlight w:val="none"/>
                      <w:lang w:val="en-US" w:eastAsia="zh-CN"/>
                    </w:rPr>
                  </w:pPr>
                  <w:r>
                    <w:rPr>
                      <w:rFonts w:hint="eastAsia" w:ascii="Times New Roman" w:hAnsi="Times New Roman" w:eastAsia="宋体"/>
                      <w:color w:val="auto"/>
                      <w:sz w:val="21"/>
                      <w:szCs w:val="21"/>
                      <w:highlight w:val="none"/>
                      <w:lang w:val="en-US" w:eastAsia="zh-CN"/>
                    </w:rPr>
                    <w:t>含有废弃的化学试剂、有害微生物等</w:t>
                  </w:r>
                </w:p>
              </w:tc>
            </w:tr>
            <w:tr w14:paraId="2F14FAC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65" w:hRule="atLeast"/>
                <w:jc w:val="center"/>
              </w:trPr>
              <w:tc>
                <w:tcPr>
                  <w:tcW w:w="305" w:type="pct"/>
                  <w:vMerge w:val="continue"/>
                  <w:tcBorders>
                    <w:tl2br w:val="nil"/>
                    <w:tr2bl w:val="nil"/>
                  </w:tcBorders>
                  <w:vAlign w:val="center"/>
                </w:tcPr>
                <w:p w14:paraId="03B0D60D">
                  <w:pPr>
                    <w:keepNext w:val="0"/>
                    <w:keepLines w:val="0"/>
                    <w:suppressLineNumbers w:val="0"/>
                    <w:adjustRightInd w:val="0"/>
                    <w:snapToGrid w:val="0"/>
                    <w:spacing w:before="0" w:beforeAutospacing="0" w:after="0" w:afterAutospacing="0" w:line="276" w:lineRule="auto"/>
                    <w:ind w:left="0" w:right="0"/>
                    <w:jc w:val="center"/>
                    <w:rPr>
                      <w:rFonts w:hint="default"/>
                      <w:sz w:val="21"/>
                      <w:szCs w:val="21"/>
                      <w:highlight w:val="none"/>
                    </w:rPr>
                  </w:pPr>
                </w:p>
              </w:tc>
              <w:tc>
                <w:tcPr>
                  <w:tcW w:w="404" w:type="pct"/>
                  <w:vMerge w:val="continue"/>
                  <w:tcBorders>
                    <w:tl2br w:val="nil"/>
                    <w:tr2bl w:val="nil"/>
                  </w:tcBorders>
                  <w:vAlign w:val="center"/>
                </w:tcPr>
                <w:p w14:paraId="0C153B23">
                  <w:pPr>
                    <w:keepNext w:val="0"/>
                    <w:keepLines w:val="0"/>
                    <w:suppressLineNumbers w:val="0"/>
                    <w:adjustRightInd w:val="0"/>
                    <w:snapToGrid w:val="0"/>
                    <w:spacing w:before="0" w:beforeAutospacing="0" w:after="0" w:afterAutospacing="0" w:line="276" w:lineRule="auto"/>
                    <w:ind w:left="0" w:right="0"/>
                    <w:jc w:val="center"/>
                    <w:rPr>
                      <w:rFonts w:hint="default"/>
                      <w:sz w:val="21"/>
                      <w:szCs w:val="21"/>
                      <w:highlight w:val="none"/>
                    </w:rPr>
                  </w:pPr>
                </w:p>
              </w:tc>
              <w:tc>
                <w:tcPr>
                  <w:tcW w:w="567" w:type="pct"/>
                  <w:vMerge w:val="continue"/>
                  <w:tcBorders>
                    <w:tl2br w:val="nil"/>
                    <w:tr2bl w:val="nil"/>
                  </w:tcBorders>
                  <w:vAlign w:val="center"/>
                </w:tcPr>
                <w:p w14:paraId="6EFC15A7">
                  <w:pPr>
                    <w:keepNext w:val="0"/>
                    <w:keepLines w:val="0"/>
                    <w:suppressLineNumbers w:val="0"/>
                    <w:adjustRightInd w:val="0"/>
                    <w:snapToGrid w:val="0"/>
                    <w:spacing w:before="0" w:beforeAutospacing="0" w:after="0" w:afterAutospacing="0" w:line="276" w:lineRule="auto"/>
                    <w:ind w:left="0" w:right="0"/>
                    <w:jc w:val="center"/>
                    <w:rPr>
                      <w:rFonts w:hint="default"/>
                      <w:sz w:val="21"/>
                      <w:szCs w:val="21"/>
                      <w:highlight w:val="none"/>
                      <w:lang w:val="en-US" w:eastAsia="zh-CN"/>
                    </w:rPr>
                  </w:pPr>
                </w:p>
              </w:tc>
              <w:tc>
                <w:tcPr>
                  <w:tcW w:w="1360" w:type="pct"/>
                  <w:tcBorders>
                    <w:tl2br w:val="nil"/>
                    <w:tr2bl w:val="nil"/>
                  </w:tcBorders>
                  <w:shd w:val="clear" w:color="auto" w:fill="auto"/>
                  <w:vAlign w:val="center"/>
                </w:tcPr>
                <w:p w14:paraId="49E86E06">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76" w:lineRule="auto"/>
                    <w:ind w:left="0" w:right="0"/>
                    <w:jc w:val="center"/>
                    <w:textAlignment w:val="auto"/>
                    <w:rPr>
                      <w:rFonts w:hint="eastAsia" w:ascii="Times New Roman" w:hAnsi="Times New Roman" w:eastAsia="宋体"/>
                      <w:color w:val="auto"/>
                      <w:sz w:val="21"/>
                      <w:szCs w:val="21"/>
                      <w:highlight w:val="none"/>
                      <w:lang w:val="en-US" w:eastAsia="zh-CN"/>
                    </w:rPr>
                  </w:pPr>
                  <w:r>
                    <w:rPr>
                      <w:rFonts w:hint="eastAsia" w:ascii="Times New Roman" w:hAnsi="Times New Roman" w:eastAsia="宋体"/>
                      <w:color w:val="auto"/>
                      <w:sz w:val="21"/>
                      <w:szCs w:val="21"/>
                      <w:highlight w:val="none"/>
                      <w:lang w:val="en-US" w:eastAsia="zh-CN"/>
                    </w:rPr>
                    <w:t>分子生物学实验过程</w:t>
                  </w:r>
                </w:p>
              </w:tc>
              <w:tc>
                <w:tcPr>
                  <w:tcW w:w="1164" w:type="pct"/>
                  <w:vMerge w:val="continue"/>
                  <w:tcBorders>
                    <w:tl2br w:val="nil"/>
                    <w:tr2bl w:val="nil"/>
                  </w:tcBorders>
                  <w:vAlign w:val="center"/>
                </w:tcPr>
                <w:p w14:paraId="6E992DA0">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76" w:lineRule="auto"/>
                    <w:ind w:left="0" w:right="0"/>
                    <w:jc w:val="center"/>
                    <w:textAlignment w:val="auto"/>
                    <w:rPr>
                      <w:rFonts w:hint="default" w:ascii="Times New Roman" w:hAnsi="Times New Roman" w:eastAsia="宋体"/>
                      <w:color w:val="auto"/>
                      <w:sz w:val="21"/>
                      <w:szCs w:val="21"/>
                      <w:highlight w:val="none"/>
                    </w:rPr>
                  </w:pPr>
                </w:p>
              </w:tc>
              <w:tc>
                <w:tcPr>
                  <w:tcW w:w="1199" w:type="pct"/>
                  <w:vMerge w:val="continue"/>
                  <w:tcBorders>
                    <w:tl2br w:val="nil"/>
                    <w:tr2bl w:val="nil"/>
                  </w:tcBorders>
                  <w:vAlign w:val="center"/>
                </w:tcPr>
                <w:p w14:paraId="73F23255">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76" w:lineRule="auto"/>
                    <w:ind w:left="0" w:right="0"/>
                    <w:jc w:val="center"/>
                    <w:textAlignment w:val="auto"/>
                    <w:rPr>
                      <w:rFonts w:hint="eastAsia" w:ascii="Times New Roman" w:hAnsi="Times New Roman" w:eastAsia="宋体"/>
                      <w:color w:val="auto"/>
                      <w:sz w:val="21"/>
                      <w:szCs w:val="21"/>
                      <w:highlight w:val="none"/>
                      <w:lang w:val="en-US" w:eastAsia="zh-CN"/>
                    </w:rPr>
                  </w:pPr>
                </w:p>
              </w:tc>
            </w:tr>
            <w:tr w14:paraId="6C89D19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65" w:hRule="atLeast"/>
                <w:jc w:val="center"/>
              </w:trPr>
              <w:tc>
                <w:tcPr>
                  <w:tcW w:w="305" w:type="pct"/>
                  <w:vMerge w:val="continue"/>
                  <w:tcBorders>
                    <w:tl2br w:val="nil"/>
                    <w:tr2bl w:val="nil"/>
                  </w:tcBorders>
                  <w:vAlign w:val="center"/>
                </w:tcPr>
                <w:p w14:paraId="2A0E8803">
                  <w:pPr>
                    <w:keepNext w:val="0"/>
                    <w:keepLines w:val="0"/>
                    <w:suppressLineNumbers w:val="0"/>
                    <w:adjustRightInd w:val="0"/>
                    <w:snapToGrid w:val="0"/>
                    <w:spacing w:before="0" w:beforeAutospacing="0" w:after="0" w:afterAutospacing="0" w:line="276" w:lineRule="auto"/>
                    <w:ind w:left="0" w:right="0"/>
                    <w:jc w:val="center"/>
                    <w:rPr>
                      <w:rFonts w:hint="default"/>
                      <w:sz w:val="21"/>
                      <w:szCs w:val="21"/>
                      <w:highlight w:val="none"/>
                    </w:rPr>
                  </w:pPr>
                </w:p>
              </w:tc>
              <w:tc>
                <w:tcPr>
                  <w:tcW w:w="404" w:type="pct"/>
                  <w:vMerge w:val="restart"/>
                  <w:tcBorders>
                    <w:tl2br w:val="nil"/>
                    <w:tr2bl w:val="nil"/>
                  </w:tcBorders>
                  <w:vAlign w:val="center"/>
                </w:tcPr>
                <w:p w14:paraId="6BE09A85">
                  <w:pPr>
                    <w:keepNext w:val="0"/>
                    <w:keepLines w:val="0"/>
                    <w:suppressLineNumbers w:val="0"/>
                    <w:adjustRightInd w:val="0"/>
                    <w:snapToGrid w:val="0"/>
                    <w:spacing w:before="0" w:beforeAutospacing="0" w:after="0" w:afterAutospacing="0" w:line="276" w:lineRule="auto"/>
                    <w:ind w:left="0" w:right="0"/>
                    <w:jc w:val="center"/>
                    <w:rPr>
                      <w:rFonts w:hint="default"/>
                      <w:sz w:val="21"/>
                      <w:szCs w:val="21"/>
                      <w:highlight w:val="none"/>
                      <w:lang w:val="en-US"/>
                    </w:rPr>
                  </w:pPr>
                  <w:r>
                    <w:rPr>
                      <w:rFonts w:hint="eastAsia"/>
                      <w:sz w:val="21"/>
                      <w:szCs w:val="21"/>
                      <w:highlight w:val="none"/>
                      <w:lang w:val="en-US" w:eastAsia="zh-CN"/>
                    </w:rPr>
                    <w:t>S2-2</w:t>
                  </w:r>
                </w:p>
              </w:tc>
              <w:tc>
                <w:tcPr>
                  <w:tcW w:w="567" w:type="pct"/>
                  <w:vMerge w:val="continue"/>
                  <w:tcBorders>
                    <w:tl2br w:val="nil"/>
                    <w:tr2bl w:val="nil"/>
                  </w:tcBorders>
                  <w:vAlign w:val="center"/>
                </w:tcPr>
                <w:p w14:paraId="172159CF">
                  <w:pPr>
                    <w:keepNext w:val="0"/>
                    <w:keepLines w:val="0"/>
                    <w:suppressLineNumbers w:val="0"/>
                    <w:adjustRightInd w:val="0"/>
                    <w:snapToGrid w:val="0"/>
                    <w:spacing w:before="0" w:beforeAutospacing="0" w:after="0" w:afterAutospacing="0" w:line="276" w:lineRule="auto"/>
                    <w:ind w:left="0" w:right="0"/>
                    <w:jc w:val="center"/>
                    <w:rPr>
                      <w:rFonts w:hint="default"/>
                      <w:sz w:val="21"/>
                      <w:szCs w:val="21"/>
                      <w:highlight w:val="none"/>
                      <w:lang w:val="en-US" w:eastAsia="zh-CN"/>
                    </w:rPr>
                  </w:pPr>
                </w:p>
              </w:tc>
              <w:tc>
                <w:tcPr>
                  <w:tcW w:w="1360" w:type="pct"/>
                  <w:tcBorders>
                    <w:tl2br w:val="nil"/>
                    <w:tr2bl w:val="nil"/>
                  </w:tcBorders>
                  <w:shd w:val="clear" w:color="auto" w:fill="auto"/>
                  <w:vAlign w:val="center"/>
                </w:tcPr>
                <w:p w14:paraId="7EED2ABD">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76" w:lineRule="auto"/>
                    <w:ind w:left="0" w:right="0"/>
                    <w:jc w:val="center"/>
                    <w:textAlignment w:val="auto"/>
                    <w:rPr>
                      <w:rFonts w:hint="eastAsia" w:ascii="Times New Roman" w:hAnsi="Times New Roman" w:eastAsia="宋体"/>
                      <w:color w:val="auto"/>
                      <w:sz w:val="21"/>
                      <w:szCs w:val="21"/>
                      <w:highlight w:val="none"/>
                      <w:lang w:val="en-US" w:eastAsia="zh-CN"/>
                    </w:rPr>
                  </w:pPr>
                  <w:r>
                    <w:rPr>
                      <w:rFonts w:hint="eastAsia" w:ascii="Times New Roman" w:hAnsi="Times New Roman" w:eastAsia="宋体"/>
                      <w:color w:val="auto"/>
                      <w:sz w:val="21"/>
                      <w:szCs w:val="21"/>
                      <w:highlight w:val="none"/>
                      <w:lang w:val="en-US" w:eastAsia="zh-CN"/>
                    </w:rPr>
                    <w:t>细胞生物实验过程</w:t>
                  </w:r>
                </w:p>
              </w:tc>
              <w:tc>
                <w:tcPr>
                  <w:tcW w:w="1164" w:type="pct"/>
                  <w:vMerge w:val="restart"/>
                  <w:tcBorders>
                    <w:tl2br w:val="nil"/>
                    <w:tr2bl w:val="nil"/>
                  </w:tcBorders>
                  <w:vAlign w:val="center"/>
                </w:tcPr>
                <w:p w14:paraId="0BCC5F88">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76" w:lineRule="auto"/>
                    <w:ind w:left="0" w:right="0"/>
                    <w:jc w:val="center"/>
                    <w:textAlignment w:val="auto"/>
                    <w:rPr>
                      <w:rFonts w:hint="default" w:ascii="Times New Roman" w:hAnsi="Times New Roman" w:eastAsia="宋体"/>
                      <w:color w:val="auto"/>
                      <w:sz w:val="21"/>
                      <w:szCs w:val="21"/>
                      <w:highlight w:val="none"/>
                    </w:rPr>
                  </w:pPr>
                  <w:r>
                    <w:rPr>
                      <w:rFonts w:hint="eastAsia" w:ascii="Times New Roman" w:hAnsi="Times New Roman" w:eastAsia="宋体"/>
                      <w:color w:val="auto"/>
                      <w:sz w:val="21"/>
                      <w:szCs w:val="21"/>
                      <w:highlight w:val="none"/>
                      <w:lang w:val="en-US" w:eastAsia="zh-CN"/>
                    </w:rPr>
                    <w:t>废实验耗材</w:t>
                  </w:r>
                </w:p>
              </w:tc>
              <w:tc>
                <w:tcPr>
                  <w:tcW w:w="1199" w:type="pct"/>
                  <w:vMerge w:val="restart"/>
                  <w:tcBorders>
                    <w:tl2br w:val="nil"/>
                    <w:tr2bl w:val="nil"/>
                  </w:tcBorders>
                  <w:vAlign w:val="center"/>
                </w:tcPr>
                <w:p w14:paraId="0EE32EF7">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76" w:lineRule="auto"/>
                    <w:ind w:left="0" w:right="0"/>
                    <w:jc w:val="center"/>
                    <w:textAlignment w:val="auto"/>
                    <w:rPr>
                      <w:rFonts w:hint="eastAsia" w:ascii="Times New Roman" w:hAnsi="Times New Roman" w:eastAsia="宋体"/>
                      <w:color w:val="auto"/>
                      <w:sz w:val="21"/>
                      <w:szCs w:val="21"/>
                      <w:highlight w:val="none"/>
                      <w:lang w:val="en-US" w:eastAsia="zh-CN"/>
                    </w:rPr>
                  </w:pPr>
                  <w:r>
                    <w:rPr>
                      <w:rFonts w:hint="eastAsia" w:ascii="Times New Roman" w:hAnsi="Times New Roman" w:eastAsia="宋体"/>
                      <w:color w:val="auto"/>
                      <w:sz w:val="21"/>
                      <w:szCs w:val="21"/>
                      <w:highlight w:val="none"/>
                      <w:lang w:val="en-US" w:eastAsia="zh-CN"/>
                    </w:rPr>
                    <w:t>含有废弃的化学试剂、有害微生物等</w:t>
                  </w:r>
                </w:p>
              </w:tc>
            </w:tr>
            <w:tr w14:paraId="5365704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65" w:hRule="atLeast"/>
                <w:jc w:val="center"/>
              </w:trPr>
              <w:tc>
                <w:tcPr>
                  <w:tcW w:w="305" w:type="pct"/>
                  <w:vMerge w:val="continue"/>
                  <w:tcBorders>
                    <w:tl2br w:val="nil"/>
                    <w:tr2bl w:val="nil"/>
                  </w:tcBorders>
                  <w:vAlign w:val="center"/>
                </w:tcPr>
                <w:p w14:paraId="7FAE24A0">
                  <w:pPr>
                    <w:keepNext w:val="0"/>
                    <w:keepLines w:val="0"/>
                    <w:suppressLineNumbers w:val="0"/>
                    <w:adjustRightInd w:val="0"/>
                    <w:snapToGrid w:val="0"/>
                    <w:spacing w:before="0" w:beforeAutospacing="0" w:after="0" w:afterAutospacing="0" w:line="276" w:lineRule="auto"/>
                    <w:ind w:left="0" w:right="0"/>
                    <w:jc w:val="center"/>
                    <w:rPr>
                      <w:rFonts w:hint="default"/>
                      <w:sz w:val="21"/>
                      <w:szCs w:val="21"/>
                      <w:highlight w:val="none"/>
                    </w:rPr>
                  </w:pPr>
                </w:p>
              </w:tc>
              <w:tc>
                <w:tcPr>
                  <w:tcW w:w="404" w:type="pct"/>
                  <w:vMerge w:val="continue"/>
                  <w:tcBorders>
                    <w:tl2br w:val="nil"/>
                    <w:tr2bl w:val="nil"/>
                  </w:tcBorders>
                  <w:vAlign w:val="center"/>
                </w:tcPr>
                <w:p w14:paraId="32DFFB6C">
                  <w:pPr>
                    <w:keepNext w:val="0"/>
                    <w:keepLines w:val="0"/>
                    <w:suppressLineNumbers w:val="0"/>
                    <w:adjustRightInd w:val="0"/>
                    <w:snapToGrid w:val="0"/>
                    <w:spacing w:before="0" w:beforeAutospacing="0" w:after="0" w:afterAutospacing="0" w:line="276" w:lineRule="auto"/>
                    <w:ind w:left="0" w:right="0"/>
                    <w:jc w:val="center"/>
                    <w:rPr>
                      <w:rFonts w:hint="default"/>
                      <w:sz w:val="21"/>
                      <w:szCs w:val="21"/>
                      <w:highlight w:val="none"/>
                    </w:rPr>
                  </w:pPr>
                </w:p>
              </w:tc>
              <w:tc>
                <w:tcPr>
                  <w:tcW w:w="567" w:type="pct"/>
                  <w:vMerge w:val="continue"/>
                  <w:tcBorders>
                    <w:tl2br w:val="nil"/>
                    <w:tr2bl w:val="nil"/>
                  </w:tcBorders>
                  <w:vAlign w:val="center"/>
                </w:tcPr>
                <w:p w14:paraId="487F5001">
                  <w:pPr>
                    <w:keepNext w:val="0"/>
                    <w:keepLines w:val="0"/>
                    <w:suppressLineNumbers w:val="0"/>
                    <w:adjustRightInd w:val="0"/>
                    <w:snapToGrid w:val="0"/>
                    <w:spacing w:before="0" w:beforeAutospacing="0" w:after="0" w:afterAutospacing="0" w:line="276" w:lineRule="auto"/>
                    <w:ind w:left="0" w:right="0"/>
                    <w:jc w:val="center"/>
                    <w:rPr>
                      <w:rFonts w:hint="default"/>
                      <w:sz w:val="21"/>
                      <w:szCs w:val="21"/>
                      <w:highlight w:val="none"/>
                      <w:lang w:val="en-US" w:eastAsia="zh-CN"/>
                    </w:rPr>
                  </w:pPr>
                </w:p>
              </w:tc>
              <w:tc>
                <w:tcPr>
                  <w:tcW w:w="1360" w:type="pct"/>
                  <w:tcBorders>
                    <w:tl2br w:val="nil"/>
                    <w:tr2bl w:val="nil"/>
                  </w:tcBorders>
                  <w:shd w:val="clear" w:color="auto" w:fill="auto"/>
                  <w:vAlign w:val="center"/>
                </w:tcPr>
                <w:p w14:paraId="048378BE">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76" w:lineRule="auto"/>
                    <w:ind w:left="0" w:right="0"/>
                    <w:jc w:val="center"/>
                    <w:textAlignment w:val="auto"/>
                    <w:rPr>
                      <w:rFonts w:hint="eastAsia" w:ascii="Times New Roman" w:hAnsi="Times New Roman" w:eastAsia="宋体"/>
                      <w:color w:val="auto"/>
                      <w:sz w:val="21"/>
                      <w:szCs w:val="21"/>
                      <w:highlight w:val="none"/>
                      <w:lang w:val="en-US" w:eastAsia="zh-CN"/>
                    </w:rPr>
                  </w:pPr>
                  <w:r>
                    <w:rPr>
                      <w:rFonts w:hint="eastAsia" w:ascii="Times New Roman" w:hAnsi="Times New Roman" w:eastAsia="宋体"/>
                      <w:color w:val="auto"/>
                      <w:sz w:val="21"/>
                      <w:szCs w:val="21"/>
                      <w:highlight w:val="none"/>
                      <w:lang w:val="en-US" w:eastAsia="zh-CN"/>
                    </w:rPr>
                    <w:t>分子生物学实验过程</w:t>
                  </w:r>
                </w:p>
              </w:tc>
              <w:tc>
                <w:tcPr>
                  <w:tcW w:w="1164" w:type="pct"/>
                  <w:vMerge w:val="continue"/>
                  <w:tcBorders>
                    <w:tl2br w:val="nil"/>
                    <w:tr2bl w:val="nil"/>
                  </w:tcBorders>
                  <w:vAlign w:val="center"/>
                </w:tcPr>
                <w:p w14:paraId="452C4E0E">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76" w:lineRule="auto"/>
                    <w:ind w:left="0" w:right="0"/>
                    <w:jc w:val="center"/>
                    <w:textAlignment w:val="auto"/>
                    <w:rPr>
                      <w:rFonts w:hint="default" w:ascii="Times New Roman" w:hAnsi="Times New Roman" w:eastAsia="宋体"/>
                      <w:color w:val="auto"/>
                      <w:sz w:val="21"/>
                      <w:szCs w:val="21"/>
                      <w:highlight w:val="none"/>
                    </w:rPr>
                  </w:pPr>
                </w:p>
              </w:tc>
              <w:tc>
                <w:tcPr>
                  <w:tcW w:w="1199" w:type="pct"/>
                  <w:vMerge w:val="continue"/>
                  <w:tcBorders>
                    <w:tl2br w:val="nil"/>
                    <w:tr2bl w:val="nil"/>
                  </w:tcBorders>
                  <w:vAlign w:val="center"/>
                </w:tcPr>
                <w:p w14:paraId="11FD2B73">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76" w:lineRule="auto"/>
                    <w:ind w:left="0" w:right="0"/>
                    <w:jc w:val="center"/>
                    <w:textAlignment w:val="auto"/>
                    <w:rPr>
                      <w:rFonts w:hint="eastAsia" w:ascii="Times New Roman" w:hAnsi="Times New Roman" w:eastAsia="宋体"/>
                      <w:color w:val="auto"/>
                      <w:sz w:val="21"/>
                      <w:szCs w:val="21"/>
                      <w:highlight w:val="none"/>
                      <w:lang w:val="en-US" w:eastAsia="zh-CN"/>
                    </w:rPr>
                  </w:pPr>
                </w:p>
              </w:tc>
            </w:tr>
            <w:tr w14:paraId="459DA40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308" w:hRule="atLeast"/>
                <w:jc w:val="center"/>
              </w:trPr>
              <w:tc>
                <w:tcPr>
                  <w:tcW w:w="305" w:type="pct"/>
                  <w:vMerge w:val="continue"/>
                  <w:tcBorders>
                    <w:tl2br w:val="nil"/>
                    <w:tr2bl w:val="nil"/>
                  </w:tcBorders>
                  <w:vAlign w:val="center"/>
                </w:tcPr>
                <w:p w14:paraId="19B8AD31">
                  <w:pPr>
                    <w:keepNext w:val="0"/>
                    <w:keepLines w:val="0"/>
                    <w:suppressLineNumbers w:val="0"/>
                    <w:adjustRightInd w:val="0"/>
                    <w:snapToGrid w:val="0"/>
                    <w:spacing w:before="0" w:beforeAutospacing="0" w:after="0" w:afterAutospacing="0" w:line="276" w:lineRule="auto"/>
                    <w:ind w:left="0" w:right="0"/>
                    <w:jc w:val="center"/>
                    <w:rPr>
                      <w:rFonts w:hint="default"/>
                      <w:sz w:val="21"/>
                      <w:szCs w:val="21"/>
                      <w:highlight w:val="none"/>
                    </w:rPr>
                  </w:pPr>
                </w:p>
              </w:tc>
              <w:tc>
                <w:tcPr>
                  <w:tcW w:w="404" w:type="pct"/>
                  <w:vMerge w:val="restart"/>
                  <w:tcBorders>
                    <w:tl2br w:val="nil"/>
                    <w:tr2bl w:val="nil"/>
                  </w:tcBorders>
                  <w:vAlign w:val="center"/>
                </w:tcPr>
                <w:p w14:paraId="3AEFE7B2">
                  <w:pPr>
                    <w:keepNext w:val="0"/>
                    <w:keepLines w:val="0"/>
                    <w:suppressLineNumbers w:val="0"/>
                    <w:adjustRightInd w:val="0"/>
                    <w:snapToGrid w:val="0"/>
                    <w:spacing w:before="0" w:beforeAutospacing="0" w:after="0" w:afterAutospacing="0" w:line="276" w:lineRule="auto"/>
                    <w:ind w:left="0" w:right="0"/>
                    <w:jc w:val="center"/>
                    <w:rPr>
                      <w:rFonts w:hint="default" w:eastAsia="宋体"/>
                      <w:sz w:val="21"/>
                      <w:szCs w:val="21"/>
                      <w:highlight w:val="none"/>
                      <w:lang w:val="en-US" w:eastAsia="zh-CN"/>
                    </w:rPr>
                  </w:pPr>
                  <w:r>
                    <w:rPr>
                      <w:rFonts w:hint="eastAsia"/>
                      <w:sz w:val="21"/>
                      <w:szCs w:val="21"/>
                      <w:highlight w:val="none"/>
                      <w:lang w:val="en-US" w:eastAsia="zh-CN"/>
                    </w:rPr>
                    <w:t>S2-3</w:t>
                  </w:r>
                </w:p>
              </w:tc>
              <w:tc>
                <w:tcPr>
                  <w:tcW w:w="567" w:type="pct"/>
                  <w:vMerge w:val="continue"/>
                  <w:tcBorders>
                    <w:tl2br w:val="nil"/>
                    <w:tr2bl w:val="nil"/>
                  </w:tcBorders>
                  <w:vAlign w:val="center"/>
                </w:tcPr>
                <w:p w14:paraId="1E3FFFC4">
                  <w:pPr>
                    <w:keepNext w:val="0"/>
                    <w:keepLines w:val="0"/>
                    <w:suppressLineNumbers w:val="0"/>
                    <w:adjustRightInd w:val="0"/>
                    <w:snapToGrid w:val="0"/>
                    <w:spacing w:before="0" w:beforeAutospacing="0" w:after="0" w:afterAutospacing="0" w:line="276" w:lineRule="auto"/>
                    <w:ind w:left="0" w:right="0"/>
                    <w:jc w:val="center"/>
                    <w:rPr>
                      <w:rFonts w:hint="default"/>
                      <w:sz w:val="21"/>
                      <w:szCs w:val="21"/>
                      <w:highlight w:val="none"/>
                      <w:lang w:val="en-US" w:eastAsia="zh-CN"/>
                    </w:rPr>
                  </w:pPr>
                </w:p>
              </w:tc>
              <w:tc>
                <w:tcPr>
                  <w:tcW w:w="1360" w:type="pct"/>
                  <w:tcBorders>
                    <w:tl2br w:val="nil"/>
                    <w:tr2bl w:val="nil"/>
                  </w:tcBorders>
                  <w:shd w:val="clear" w:color="auto" w:fill="auto"/>
                  <w:vAlign w:val="center"/>
                </w:tcPr>
                <w:p w14:paraId="2ED04DED">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76" w:lineRule="auto"/>
                    <w:ind w:left="0" w:right="0"/>
                    <w:jc w:val="center"/>
                    <w:textAlignment w:val="auto"/>
                    <w:rPr>
                      <w:rFonts w:hint="eastAsia" w:ascii="Times New Roman" w:hAnsi="Times New Roman" w:eastAsia="宋体" w:cs="Times New Roman"/>
                      <w:color w:val="auto"/>
                      <w:kern w:val="2"/>
                      <w:sz w:val="21"/>
                      <w:szCs w:val="21"/>
                      <w:highlight w:val="none"/>
                      <w:lang w:val="en-US" w:eastAsia="zh-CN" w:bidi="ar-SA"/>
                    </w:rPr>
                  </w:pPr>
                  <w:r>
                    <w:rPr>
                      <w:rFonts w:hint="eastAsia" w:ascii="Times New Roman" w:hAnsi="Times New Roman" w:eastAsia="宋体"/>
                      <w:color w:val="auto"/>
                      <w:sz w:val="21"/>
                      <w:szCs w:val="21"/>
                      <w:highlight w:val="none"/>
                      <w:lang w:val="en-US" w:eastAsia="zh-CN"/>
                    </w:rPr>
                    <w:t>细胞生物实验过程</w:t>
                  </w:r>
                </w:p>
              </w:tc>
              <w:tc>
                <w:tcPr>
                  <w:tcW w:w="1164" w:type="pct"/>
                  <w:vMerge w:val="restart"/>
                  <w:tcBorders>
                    <w:tl2br w:val="nil"/>
                    <w:tr2bl w:val="nil"/>
                  </w:tcBorders>
                  <w:vAlign w:val="center"/>
                </w:tcPr>
                <w:p w14:paraId="1EE83AB6">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76" w:lineRule="auto"/>
                    <w:ind w:left="0" w:right="0"/>
                    <w:jc w:val="center"/>
                    <w:textAlignment w:val="auto"/>
                    <w:rPr>
                      <w:rFonts w:hint="default" w:ascii="Times New Roman" w:hAnsi="Times New Roman" w:eastAsia="宋体"/>
                      <w:color w:val="auto"/>
                      <w:sz w:val="21"/>
                      <w:szCs w:val="21"/>
                      <w:highlight w:val="none"/>
                      <w:lang w:val="en-US" w:eastAsia="zh-CN"/>
                    </w:rPr>
                  </w:pPr>
                  <w:r>
                    <w:rPr>
                      <w:rFonts w:hint="eastAsia"/>
                      <w:color w:val="auto"/>
                      <w:sz w:val="21"/>
                      <w:szCs w:val="21"/>
                      <w:highlight w:val="none"/>
                      <w:lang w:val="en-US" w:eastAsia="zh-CN"/>
                    </w:rPr>
                    <w:t>实验室废液</w:t>
                  </w:r>
                </w:p>
              </w:tc>
              <w:tc>
                <w:tcPr>
                  <w:tcW w:w="1199" w:type="pct"/>
                  <w:vMerge w:val="restart"/>
                  <w:tcBorders>
                    <w:tl2br w:val="nil"/>
                    <w:tr2bl w:val="nil"/>
                  </w:tcBorders>
                  <w:vAlign w:val="center"/>
                </w:tcPr>
                <w:p w14:paraId="6C5A1B57">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76" w:lineRule="auto"/>
                    <w:ind w:left="0" w:right="0"/>
                    <w:jc w:val="center"/>
                    <w:textAlignment w:val="auto"/>
                    <w:rPr>
                      <w:rFonts w:hint="eastAsia" w:ascii="Times New Roman" w:hAnsi="Times New Roman" w:eastAsia="宋体"/>
                      <w:color w:val="auto"/>
                      <w:sz w:val="21"/>
                      <w:szCs w:val="21"/>
                      <w:highlight w:val="none"/>
                      <w:lang w:val="en-US" w:eastAsia="zh-CN"/>
                    </w:rPr>
                  </w:pPr>
                  <w:r>
                    <w:rPr>
                      <w:rFonts w:hint="eastAsia" w:ascii="Times New Roman" w:hAnsi="Times New Roman" w:eastAsia="宋体"/>
                      <w:color w:val="auto"/>
                      <w:sz w:val="21"/>
                      <w:szCs w:val="21"/>
                      <w:highlight w:val="none"/>
                      <w:lang w:val="en-US" w:eastAsia="zh-CN"/>
                    </w:rPr>
                    <w:t>含有废弃的化学试剂、有害微生物等</w:t>
                  </w:r>
                </w:p>
              </w:tc>
            </w:tr>
            <w:tr w14:paraId="09EFAEF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308" w:hRule="atLeast"/>
                <w:jc w:val="center"/>
              </w:trPr>
              <w:tc>
                <w:tcPr>
                  <w:tcW w:w="305" w:type="pct"/>
                  <w:vMerge w:val="continue"/>
                  <w:tcBorders>
                    <w:tl2br w:val="nil"/>
                    <w:tr2bl w:val="nil"/>
                  </w:tcBorders>
                  <w:vAlign w:val="center"/>
                </w:tcPr>
                <w:p w14:paraId="10B2B000">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76" w:lineRule="auto"/>
                    <w:ind w:left="0" w:right="0"/>
                    <w:jc w:val="center"/>
                    <w:textAlignment w:val="auto"/>
                    <w:rPr>
                      <w:rFonts w:hint="default"/>
                      <w:highlight w:val="none"/>
                    </w:rPr>
                  </w:pPr>
                </w:p>
              </w:tc>
              <w:tc>
                <w:tcPr>
                  <w:tcW w:w="404" w:type="pct"/>
                  <w:vMerge w:val="continue"/>
                  <w:tcBorders>
                    <w:tl2br w:val="nil"/>
                    <w:tr2bl w:val="nil"/>
                  </w:tcBorders>
                  <w:vAlign w:val="center"/>
                </w:tcPr>
                <w:p w14:paraId="6A58FEB7">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76" w:lineRule="auto"/>
                    <w:ind w:left="0" w:right="0"/>
                    <w:jc w:val="center"/>
                    <w:textAlignment w:val="auto"/>
                    <w:rPr>
                      <w:rFonts w:hint="default"/>
                      <w:highlight w:val="none"/>
                    </w:rPr>
                  </w:pPr>
                </w:p>
              </w:tc>
              <w:tc>
                <w:tcPr>
                  <w:tcW w:w="567" w:type="pct"/>
                  <w:vMerge w:val="continue"/>
                  <w:tcBorders>
                    <w:tl2br w:val="nil"/>
                    <w:tr2bl w:val="nil"/>
                  </w:tcBorders>
                  <w:vAlign w:val="center"/>
                </w:tcPr>
                <w:p w14:paraId="4853B3AE">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76" w:lineRule="auto"/>
                    <w:ind w:left="0" w:right="0"/>
                    <w:jc w:val="center"/>
                    <w:textAlignment w:val="auto"/>
                    <w:rPr>
                      <w:rFonts w:hint="default"/>
                      <w:highlight w:val="none"/>
                    </w:rPr>
                  </w:pPr>
                </w:p>
              </w:tc>
              <w:tc>
                <w:tcPr>
                  <w:tcW w:w="1360" w:type="pct"/>
                  <w:tcBorders>
                    <w:tl2br w:val="nil"/>
                    <w:tr2bl w:val="nil"/>
                  </w:tcBorders>
                  <w:shd w:val="clear" w:color="auto" w:fill="auto"/>
                  <w:vAlign w:val="center"/>
                </w:tcPr>
                <w:p w14:paraId="13C51EB9">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76" w:lineRule="auto"/>
                    <w:ind w:left="0" w:right="0"/>
                    <w:jc w:val="center"/>
                    <w:textAlignment w:val="auto"/>
                    <w:rPr>
                      <w:rFonts w:hint="eastAsia" w:ascii="Times New Roman" w:hAnsi="Times New Roman" w:eastAsia="宋体" w:cs="Times New Roman"/>
                      <w:color w:val="auto"/>
                      <w:kern w:val="2"/>
                      <w:sz w:val="21"/>
                      <w:szCs w:val="21"/>
                      <w:highlight w:val="none"/>
                      <w:lang w:val="en-US" w:eastAsia="zh-CN" w:bidi="ar-SA"/>
                    </w:rPr>
                  </w:pPr>
                  <w:r>
                    <w:rPr>
                      <w:rFonts w:hint="eastAsia" w:ascii="Times New Roman" w:hAnsi="Times New Roman" w:eastAsia="宋体"/>
                      <w:color w:val="auto"/>
                      <w:sz w:val="21"/>
                      <w:szCs w:val="21"/>
                      <w:highlight w:val="none"/>
                      <w:lang w:val="en-US" w:eastAsia="zh-CN"/>
                    </w:rPr>
                    <w:t>分子生物学实验过程</w:t>
                  </w:r>
                </w:p>
              </w:tc>
              <w:tc>
                <w:tcPr>
                  <w:tcW w:w="1164" w:type="pct"/>
                  <w:vMerge w:val="continue"/>
                  <w:tcBorders>
                    <w:tl2br w:val="nil"/>
                    <w:tr2bl w:val="nil"/>
                  </w:tcBorders>
                  <w:vAlign w:val="center"/>
                </w:tcPr>
                <w:p w14:paraId="11F97D46">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76" w:lineRule="auto"/>
                    <w:ind w:left="0" w:right="0"/>
                    <w:jc w:val="center"/>
                    <w:textAlignment w:val="auto"/>
                    <w:rPr>
                      <w:rFonts w:hint="eastAsia" w:ascii="Times New Roman" w:hAnsi="Times New Roman" w:eastAsia="宋体"/>
                      <w:color w:val="auto"/>
                      <w:sz w:val="21"/>
                      <w:szCs w:val="21"/>
                      <w:highlight w:val="none"/>
                      <w:lang w:val="en-US" w:eastAsia="zh-CN"/>
                    </w:rPr>
                  </w:pPr>
                </w:p>
              </w:tc>
              <w:tc>
                <w:tcPr>
                  <w:tcW w:w="1199" w:type="pct"/>
                  <w:vMerge w:val="continue"/>
                  <w:tcBorders>
                    <w:tl2br w:val="nil"/>
                    <w:tr2bl w:val="nil"/>
                  </w:tcBorders>
                  <w:vAlign w:val="center"/>
                </w:tcPr>
                <w:p w14:paraId="1964CD6F">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76" w:lineRule="auto"/>
                    <w:ind w:left="0" w:right="0"/>
                    <w:jc w:val="center"/>
                    <w:textAlignment w:val="auto"/>
                    <w:rPr>
                      <w:rFonts w:hint="eastAsia" w:ascii="Times New Roman" w:hAnsi="Times New Roman" w:eastAsia="宋体"/>
                      <w:color w:val="auto"/>
                      <w:sz w:val="21"/>
                      <w:szCs w:val="21"/>
                      <w:highlight w:val="none"/>
                      <w:lang w:val="en-US" w:eastAsia="zh-CN"/>
                    </w:rPr>
                  </w:pPr>
                </w:p>
              </w:tc>
            </w:tr>
            <w:tr w14:paraId="06AED04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65" w:hRule="atLeast"/>
                <w:jc w:val="center"/>
              </w:trPr>
              <w:tc>
                <w:tcPr>
                  <w:tcW w:w="305" w:type="pct"/>
                  <w:vMerge w:val="continue"/>
                  <w:tcBorders>
                    <w:tl2br w:val="nil"/>
                    <w:tr2bl w:val="nil"/>
                  </w:tcBorders>
                  <w:vAlign w:val="center"/>
                </w:tcPr>
                <w:p w14:paraId="60D6CC28">
                  <w:pPr>
                    <w:keepNext w:val="0"/>
                    <w:keepLines w:val="0"/>
                    <w:suppressLineNumbers w:val="0"/>
                    <w:adjustRightInd w:val="0"/>
                    <w:snapToGrid w:val="0"/>
                    <w:spacing w:before="0" w:beforeAutospacing="0" w:after="0" w:afterAutospacing="0" w:line="276" w:lineRule="auto"/>
                    <w:ind w:left="0" w:right="0"/>
                    <w:jc w:val="center"/>
                    <w:rPr>
                      <w:rFonts w:hint="default"/>
                      <w:sz w:val="21"/>
                      <w:szCs w:val="21"/>
                      <w:highlight w:val="none"/>
                    </w:rPr>
                  </w:pPr>
                </w:p>
              </w:tc>
              <w:tc>
                <w:tcPr>
                  <w:tcW w:w="404" w:type="pct"/>
                  <w:vMerge w:val="restart"/>
                  <w:tcBorders>
                    <w:tl2br w:val="nil"/>
                    <w:tr2bl w:val="nil"/>
                  </w:tcBorders>
                  <w:vAlign w:val="center"/>
                </w:tcPr>
                <w:p w14:paraId="47DA3A7D">
                  <w:pPr>
                    <w:keepNext w:val="0"/>
                    <w:keepLines w:val="0"/>
                    <w:suppressLineNumbers w:val="0"/>
                    <w:adjustRightInd w:val="0"/>
                    <w:snapToGrid w:val="0"/>
                    <w:spacing w:before="0" w:beforeAutospacing="0" w:after="0" w:afterAutospacing="0" w:line="276" w:lineRule="auto"/>
                    <w:ind w:left="0" w:right="0"/>
                    <w:jc w:val="center"/>
                    <w:rPr>
                      <w:rFonts w:hint="default" w:eastAsia="宋体"/>
                      <w:sz w:val="21"/>
                      <w:szCs w:val="21"/>
                      <w:highlight w:val="none"/>
                      <w:lang w:val="en-US" w:eastAsia="zh-CN"/>
                    </w:rPr>
                  </w:pPr>
                  <w:r>
                    <w:rPr>
                      <w:rFonts w:hint="eastAsia"/>
                      <w:sz w:val="21"/>
                      <w:szCs w:val="21"/>
                      <w:highlight w:val="none"/>
                      <w:lang w:val="en-US" w:eastAsia="zh-CN"/>
                    </w:rPr>
                    <w:t>S2-4</w:t>
                  </w:r>
                </w:p>
              </w:tc>
              <w:tc>
                <w:tcPr>
                  <w:tcW w:w="567" w:type="pct"/>
                  <w:vMerge w:val="continue"/>
                  <w:tcBorders>
                    <w:tl2br w:val="nil"/>
                    <w:tr2bl w:val="nil"/>
                  </w:tcBorders>
                  <w:vAlign w:val="center"/>
                </w:tcPr>
                <w:p w14:paraId="3584F793">
                  <w:pPr>
                    <w:keepNext w:val="0"/>
                    <w:keepLines w:val="0"/>
                    <w:suppressLineNumbers w:val="0"/>
                    <w:adjustRightInd w:val="0"/>
                    <w:snapToGrid w:val="0"/>
                    <w:spacing w:before="0" w:beforeAutospacing="0" w:after="0" w:afterAutospacing="0" w:line="276" w:lineRule="auto"/>
                    <w:ind w:left="0" w:right="0"/>
                    <w:jc w:val="center"/>
                    <w:rPr>
                      <w:rFonts w:hint="default"/>
                      <w:sz w:val="21"/>
                      <w:szCs w:val="21"/>
                      <w:highlight w:val="none"/>
                      <w:lang w:val="en-US" w:eastAsia="zh-CN"/>
                    </w:rPr>
                  </w:pPr>
                </w:p>
              </w:tc>
              <w:tc>
                <w:tcPr>
                  <w:tcW w:w="1360" w:type="pct"/>
                  <w:tcBorders>
                    <w:tl2br w:val="nil"/>
                    <w:tr2bl w:val="nil"/>
                  </w:tcBorders>
                  <w:shd w:val="clear" w:color="auto" w:fill="auto"/>
                  <w:vAlign w:val="center"/>
                </w:tcPr>
                <w:p w14:paraId="383DFC08">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76" w:lineRule="auto"/>
                    <w:ind w:left="0" w:right="0"/>
                    <w:jc w:val="center"/>
                    <w:textAlignment w:val="auto"/>
                    <w:rPr>
                      <w:rFonts w:hint="eastAsia" w:ascii="Times New Roman" w:hAnsi="Times New Roman" w:eastAsia="宋体"/>
                      <w:color w:val="auto"/>
                      <w:sz w:val="21"/>
                      <w:szCs w:val="21"/>
                      <w:highlight w:val="none"/>
                      <w:lang w:val="en-US" w:eastAsia="zh-CN"/>
                    </w:rPr>
                  </w:pPr>
                  <w:r>
                    <w:rPr>
                      <w:rFonts w:hint="eastAsia" w:ascii="Times New Roman" w:hAnsi="Times New Roman" w:eastAsia="宋体"/>
                      <w:color w:val="auto"/>
                      <w:sz w:val="21"/>
                      <w:szCs w:val="21"/>
                      <w:highlight w:val="none"/>
                      <w:lang w:val="en-US" w:eastAsia="zh-CN"/>
                    </w:rPr>
                    <w:t>细胞生物实验过程</w:t>
                  </w:r>
                </w:p>
              </w:tc>
              <w:tc>
                <w:tcPr>
                  <w:tcW w:w="1164" w:type="pct"/>
                  <w:vMerge w:val="restart"/>
                  <w:tcBorders>
                    <w:tl2br w:val="nil"/>
                    <w:tr2bl w:val="nil"/>
                  </w:tcBorders>
                  <w:vAlign w:val="center"/>
                </w:tcPr>
                <w:p w14:paraId="1C5EA399">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76" w:lineRule="auto"/>
                    <w:ind w:left="0" w:right="0"/>
                    <w:jc w:val="center"/>
                    <w:textAlignment w:val="auto"/>
                    <w:rPr>
                      <w:rFonts w:hint="default" w:ascii="Times New Roman" w:hAnsi="Times New Roman" w:eastAsia="宋体"/>
                      <w:color w:val="auto"/>
                      <w:sz w:val="21"/>
                      <w:szCs w:val="21"/>
                      <w:highlight w:val="none"/>
                    </w:rPr>
                  </w:pPr>
                  <w:r>
                    <w:rPr>
                      <w:rFonts w:hint="eastAsia" w:ascii="Times New Roman" w:hAnsi="Times New Roman" w:eastAsia="宋体"/>
                      <w:color w:val="auto"/>
                      <w:sz w:val="21"/>
                      <w:szCs w:val="21"/>
                      <w:highlight w:val="none"/>
                      <w:lang w:val="en-US" w:eastAsia="zh-CN"/>
                    </w:rPr>
                    <w:t>废样本</w:t>
                  </w:r>
                </w:p>
              </w:tc>
              <w:tc>
                <w:tcPr>
                  <w:tcW w:w="1199" w:type="pct"/>
                  <w:vMerge w:val="restart"/>
                  <w:tcBorders>
                    <w:tl2br w:val="nil"/>
                    <w:tr2bl w:val="nil"/>
                  </w:tcBorders>
                  <w:vAlign w:val="center"/>
                </w:tcPr>
                <w:p w14:paraId="545DC149">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76" w:lineRule="auto"/>
                    <w:ind w:left="0" w:right="0"/>
                    <w:jc w:val="center"/>
                    <w:textAlignment w:val="auto"/>
                    <w:rPr>
                      <w:rFonts w:hint="eastAsia" w:ascii="Times New Roman" w:hAnsi="Times New Roman" w:eastAsia="宋体"/>
                      <w:color w:val="auto"/>
                      <w:sz w:val="21"/>
                      <w:szCs w:val="21"/>
                      <w:highlight w:val="none"/>
                      <w:lang w:val="en-US" w:eastAsia="zh-CN"/>
                    </w:rPr>
                  </w:pPr>
                  <w:r>
                    <w:rPr>
                      <w:rFonts w:hint="eastAsia" w:ascii="Times New Roman" w:hAnsi="Times New Roman" w:eastAsia="宋体"/>
                      <w:color w:val="auto"/>
                      <w:sz w:val="21"/>
                      <w:szCs w:val="21"/>
                      <w:highlight w:val="none"/>
                      <w:lang w:val="en-US" w:eastAsia="zh-CN"/>
                    </w:rPr>
                    <w:t>含有废弃的化学试剂、有害微生物等</w:t>
                  </w:r>
                </w:p>
              </w:tc>
            </w:tr>
            <w:tr w14:paraId="3855349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65" w:hRule="atLeast"/>
                <w:jc w:val="center"/>
              </w:trPr>
              <w:tc>
                <w:tcPr>
                  <w:tcW w:w="305" w:type="pct"/>
                  <w:vMerge w:val="continue"/>
                  <w:tcBorders>
                    <w:tl2br w:val="nil"/>
                    <w:tr2bl w:val="nil"/>
                  </w:tcBorders>
                  <w:vAlign w:val="center"/>
                </w:tcPr>
                <w:p w14:paraId="42CFB576">
                  <w:pPr>
                    <w:keepNext w:val="0"/>
                    <w:keepLines w:val="0"/>
                    <w:suppressLineNumbers w:val="0"/>
                    <w:adjustRightInd w:val="0"/>
                    <w:snapToGrid w:val="0"/>
                    <w:spacing w:before="0" w:beforeAutospacing="0" w:after="0" w:afterAutospacing="0" w:line="276" w:lineRule="auto"/>
                    <w:ind w:left="0" w:right="0"/>
                    <w:jc w:val="center"/>
                    <w:rPr>
                      <w:rFonts w:hint="default"/>
                      <w:sz w:val="21"/>
                      <w:szCs w:val="21"/>
                      <w:highlight w:val="none"/>
                    </w:rPr>
                  </w:pPr>
                </w:p>
              </w:tc>
              <w:tc>
                <w:tcPr>
                  <w:tcW w:w="404" w:type="pct"/>
                  <w:vMerge w:val="continue"/>
                  <w:tcBorders>
                    <w:tl2br w:val="nil"/>
                    <w:tr2bl w:val="nil"/>
                  </w:tcBorders>
                  <w:vAlign w:val="center"/>
                </w:tcPr>
                <w:p w14:paraId="072872C5">
                  <w:pPr>
                    <w:keepNext w:val="0"/>
                    <w:keepLines w:val="0"/>
                    <w:suppressLineNumbers w:val="0"/>
                    <w:adjustRightInd w:val="0"/>
                    <w:snapToGrid w:val="0"/>
                    <w:spacing w:before="0" w:beforeAutospacing="0" w:after="0" w:afterAutospacing="0" w:line="276" w:lineRule="auto"/>
                    <w:ind w:left="0" w:right="0"/>
                    <w:jc w:val="center"/>
                    <w:rPr>
                      <w:rFonts w:hint="default"/>
                      <w:sz w:val="21"/>
                      <w:szCs w:val="21"/>
                      <w:highlight w:val="none"/>
                    </w:rPr>
                  </w:pPr>
                </w:p>
              </w:tc>
              <w:tc>
                <w:tcPr>
                  <w:tcW w:w="567" w:type="pct"/>
                  <w:vMerge w:val="continue"/>
                  <w:tcBorders>
                    <w:tl2br w:val="nil"/>
                    <w:tr2bl w:val="nil"/>
                  </w:tcBorders>
                  <w:vAlign w:val="center"/>
                </w:tcPr>
                <w:p w14:paraId="2EC50D8E">
                  <w:pPr>
                    <w:keepNext w:val="0"/>
                    <w:keepLines w:val="0"/>
                    <w:suppressLineNumbers w:val="0"/>
                    <w:adjustRightInd w:val="0"/>
                    <w:snapToGrid w:val="0"/>
                    <w:spacing w:before="0" w:beforeAutospacing="0" w:after="0" w:afterAutospacing="0" w:line="276" w:lineRule="auto"/>
                    <w:ind w:left="0" w:right="0"/>
                    <w:jc w:val="center"/>
                    <w:rPr>
                      <w:rFonts w:hint="default"/>
                      <w:sz w:val="21"/>
                      <w:szCs w:val="21"/>
                      <w:highlight w:val="none"/>
                      <w:lang w:val="en-US" w:eastAsia="zh-CN"/>
                    </w:rPr>
                  </w:pPr>
                </w:p>
              </w:tc>
              <w:tc>
                <w:tcPr>
                  <w:tcW w:w="1360" w:type="pct"/>
                  <w:tcBorders>
                    <w:tl2br w:val="nil"/>
                    <w:tr2bl w:val="nil"/>
                  </w:tcBorders>
                  <w:shd w:val="clear" w:color="auto" w:fill="auto"/>
                  <w:vAlign w:val="center"/>
                </w:tcPr>
                <w:p w14:paraId="796F9E52">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76" w:lineRule="auto"/>
                    <w:ind w:left="0" w:right="0"/>
                    <w:jc w:val="center"/>
                    <w:textAlignment w:val="auto"/>
                    <w:rPr>
                      <w:rFonts w:hint="eastAsia" w:ascii="Times New Roman" w:hAnsi="Times New Roman" w:eastAsia="宋体"/>
                      <w:color w:val="auto"/>
                      <w:sz w:val="21"/>
                      <w:szCs w:val="21"/>
                      <w:highlight w:val="none"/>
                      <w:lang w:val="en-US" w:eastAsia="zh-CN"/>
                    </w:rPr>
                  </w:pPr>
                  <w:r>
                    <w:rPr>
                      <w:rFonts w:hint="eastAsia" w:ascii="Times New Roman" w:hAnsi="Times New Roman" w:eastAsia="宋体"/>
                      <w:color w:val="auto"/>
                      <w:sz w:val="21"/>
                      <w:szCs w:val="21"/>
                      <w:highlight w:val="none"/>
                      <w:lang w:val="en-US" w:eastAsia="zh-CN"/>
                    </w:rPr>
                    <w:t>分子生物学实验过程</w:t>
                  </w:r>
                </w:p>
              </w:tc>
              <w:tc>
                <w:tcPr>
                  <w:tcW w:w="1164" w:type="pct"/>
                  <w:vMerge w:val="continue"/>
                  <w:tcBorders>
                    <w:tl2br w:val="nil"/>
                    <w:tr2bl w:val="nil"/>
                  </w:tcBorders>
                  <w:vAlign w:val="center"/>
                </w:tcPr>
                <w:p w14:paraId="2441977A">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76" w:lineRule="auto"/>
                    <w:ind w:left="0" w:right="0"/>
                    <w:jc w:val="center"/>
                    <w:textAlignment w:val="auto"/>
                    <w:rPr>
                      <w:rFonts w:hint="default" w:ascii="Times New Roman" w:hAnsi="Times New Roman" w:eastAsia="宋体"/>
                      <w:color w:val="auto"/>
                      <w:sz w:val="21"/>
                      <w:szCs w:val="21"/>
                      <w:highlight w:val="none"/>
                    </w:rPr>
                  </w:pPr>
                </w:p>
              </w:tc>
              <w:tc>
                <w:tcPr>
                  <w:tcW w:w="1199" w:type="pct"/>
                  <w:vMerge w:val="continue"/>
                  <w:tcBorders>
                    <w:tl2br w:val="nil"/>
                    <w:tr2bl w:val="nil"/>
                  </w:tcBorders>
                  <w:vAlign w:val="center"/>
                </w:tcPr>
                <w:p w14:paraId="46407FF5">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76" w:lineRule="auto"/>
                    <w:ind w:left="0" w:right="0"/>
                    <w:jc w:val="center"/>
                    <w:textAlignment w:val="auto"/>
                    <w:rPr>
                      <w:rFonts w:hint="eastAsia" w:ascii="Times New Roman" w:hAnsi="Times New Roman" w:eastAsia="宋体"/>
                      <w:color w:val="auto"/>
                      <w:sz w:val="21"/>
                      <w:szCs w:val="21"/>
                      <w:highlight w:val="none"/>
                      <w:lang w:val="en-US" w:eastAsia="zh-CN"/>
                    </w:rPr>
                  </w:pPr>
                </w:p>
              </w:tc>
            </w:tr>
            <w:tr w14:paraId="0A66690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65" w:hRule="atLeast"/>
                <w:jc w:val="center"/>
              </w:trPr>
              <w:tc>
                <w:tcPr>
                  <w:tcW w:w="305" w:type="pct"/>
                  <w:vMerge w:val="continue"/>
                  <w:tcBorders>
                    <w:tl2br w:val="nil"/>
                    <w:tr2bl w:val="nil"/>
                  </w:tcBorders>
                  <w:vAlign w:val="center"/>
                </w:tcPr>
                <w:p w14:paraId="484D137F">
                  <w:pPr>
                    <w:keepNext w:val="0"/>
                    <w:keepLines w:val="0"/>
                    <w:suppressLineNumbers w:val="0"/>
                    <w:adjustRightInd w:val="0"/>
                    <w:snapToGrid w:val="0"/>
                    <w:spacing w:before="0" w:beforeAutospacing="0" w:after="0" w:afterAutospacing="0" w:line="276" w:lineRule="auto"/>
                    <w:ind w:left="0" w:right="0"/>
                    <w:jc w:val="center"/>
                    <w:rPr>
                      <w:rFonts w:hint="default"/>
                      <w:sz w:val="21"/>
                      <w:szCs w:val="21"/>
                      <w:highlight w:val="none"/>
                    </w:rPr>
                  </w:pPr>
                </w:p>
              </w:tc>
              <w:tc>
                <w:tcPr>
                  <w:tcW w:w="404" w:type="pct"/>
                  <w:tcBorders>
                    <w:tl2br w:val="nil"/>
                    <w:tr2bl w:val="nil"/>
                  </w:tcBorders>
                  <w:vAlign w:val="center"/>
                </w:tcPr>
                <w:p w14:paraId="5DFDB321">
                  <w:pPr>
                    <w:keepNext w:val="0"/>
                    <w:keepLines w:val="0"/>
                    <w:suppressLineNumbers w:val="0"/>
                    <w:adjustRightInd w:val="0"/>
                    <w:snapToGrid w:val="0"/>
                    <w:spacing w:before="0" w:beforeAutospacing="0" w:after="0" w:afterAutospacing="0" w:line="276" w:lineRule="auto"/>
                    <w:ind w:left="0" w:right="0"/>
                    <w:jc w:val="center"/>
                    <w:rPr>
                      <w:rFonts w:hint="eastAsia" w:eastAsia="宋体"/>
                      <w:sz w:val="21"/>
                      <w:szCs w:val="21"/>
                      <w:highlight w:val="none"/>
                      <w:lang w:val="en-US" w:eastAsia="zh-CN"/>
                    </w:rPr>
                  </w:pPr>
                  <w:r>
                    <w:rPr>
                      <w:rFonts w:hint="eastAsia"/>
                      <w:sz w:val="21"/>
                      <w:szCs w:val="21"/>
                      <w:highlight w:val="none"/>
                      <w:lang w:val="en-US" w:eastAsia="zh-CN"/>
                    </w:rPr>
                    <w:t>/</w:t>
                  </w:r>
                </w:p>
              </w:tc>
              <w:tc>
                <w:tcPr>
                  <w:tcW w:w="1927" w:type="pct"/>
                  <w:gridSpan w:val="2"/>
                  <w:vMerge w:val="restart"/>
                  <w:tcBorders>
                    <w:tl2br w:val="nil"/>
                    <w:tr2bl w:val="nil"/>
                  </w:tcBorders>
                  <w:vAlign w:val="center"/>
                </w:tcPr>
                <w:p w14:paraId="294B1CAD">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76" w:lineRule="auto"/>
                    <w:ind w:left="0" w:right="0"/>
                    <w:jc w:val="center"/>
                    <w:textAlignment w:val="auto"/>
                    <w:rPr>
                      <w:rFonts w:hint="eastAsia" w:ascii="Times New Roman" w:hAnsi="Times New Roman" w:eastAsia="宋体"/>
                      <w:color w:val="auto"/>
                      <w:sz w:val="21"/>
                      <w:szCs w:val="21"/>
                      <w:highlight w:val="none"/>
                      <w:lang w:val="en-US" w:eastAsia="zh-CN"/>
                    </w:rPr>
                  </w:pPr>
                  <w:r>
                    <w:rPr>
                      <w:rFonts w:hint="eastAsia"/>
                      <w:sz w:val="21"/>
                      <w:szCs w:val="21"/>
                      <w:highlight w:val="none"/>
                      <w:lang w:val="en-US" w:eastAsia="zh-CN"/>
                    </w:rPr>
                    <w:t>原辅材料包装</w:t>
                  </w:r>
                </w:p>
              </w:tc>
              <w:tc>
                <w:tcPr>
                  <w:tcW w:w="1164" w:type="pct"/>
                  <w:tcBorders>
                    <w:tl2br w:val="nil"/>
                    <w:tr2bl w:val="nil"/>
                  </w:tcBorders>
                  <w:shd w:val="clear" w:color="auto" w:fill="auto"/>
                  <w:vAlign w:val="center"/>
                </w:tcPr>
                <w:p w14:paraId="32311014">
                  <w:pPr>
                    <w:keepNext w:val="0"/>
                    <w:keepLines w:val="0"/>
                    <w:suppressLineNumbers w:val="0"/>
                    <w:adjustRightInd w:val="0"/>
                    <w:snapToGrid w:val="0"/>
                    <w:spacing w:before="0" w:beforeAutospacing="0" w:after="0" w:afterAutospacing="0" w:line="276" w:lineRule="auto"/>
                    <w:ind w:left="0" w:right="0"/>
                    <w:jc w:val="center"/>
                    <w:rPr>
                      <w:rFonts w:hint="default" w:ascii="Times New Roman" w:hAnsi="Times New Roman" w:eastAsia="宋体" w:cs="Times New Roman"/>
                      <w:kern w:val="2"/>
                      <w:sz w:val="21"/>
                      <w:szCs w:val="21"/>
                      <w:highlight w:val="none"/>
                      <w:lang w:val="en-US" w:eastAsia="zh-CN" w:bidi="ar-SA"/>
                    </w:rPr>
                  </w:pPr>
                  <w:r>
                    <w:rPr>
                      <w:rFonts w:hint="eastAsia"/>
                      <w:sz w:val="21"/>
                      <w:szCs w:val="21"/>
                      <w:highlight w:val="none"/>
                    </w:rPr>
                    <w:t>一般废包装</w:t>
                  </w:r>
                </w:p>
              </w:tc>
              <w:tc>
                <w:tcPr>
                  <w:tcW w:w="1199" w:type="pct"/>
                  <w:tcBorders>
                    <w:tl2br w:val="nil"/>
                    <w:tr2bl w:val="nil"/>
                  </w:tcBorders>
                  <w:shd w:val="clear" w:color="auto" w:fill="auto"/>
                  <w:vAlign w:val="center"/>
                </w:tcPr>
                <w:p w14:paraId="50EF5FDB">
                  <w:pPr>
                    <w:keepNext w:val="0"/>
                    <w:keepLines w:val="0"/>
                    <w:suppressLineNumbers w:val="0"/>
                    <w:adjustRightInd w:val="0"/>
                    <w:snapToGrid w:val="0"/>
                    <w:spacing w:before="0" w:beforeAutospacing="0" w:after="0" w:afterAutospacing="0" w:line="276" w:lineRule="auto"/>
                    <w:ind w:left="0" w:right="0"/>
                    <w:jc w:val="center"/>
                    <w:rPr>
                      <w:rFonts w:hint="eastAsia" w:ascii="Times New Roman" w:hAnsi="Times New Roman" w:eastAsia="宋体" w:cs="Times New Roman"/>
                      <w:kern w:val="2"/>
                      <w:sz w:val="21"/>
                      <w:szCs w:val="21"/>
                      <w:highlight w:val="none"/>
                      <w:lang w:val="en-US" w:eastAsia="zh-CN" w:bidi="ar-SA"/>
                    </w:rPr>
                  </w:pPr>
                  <w:r>
                    <w:rPr>
                      <w:rFonts w:hint="eastAsia"/>
                      <w:sz w:val="21"/>
                      <w:szCs w:val="21"/>
                      <w:highlight w:val="none"/>
                    </w:rPr>
                    <w:t>塑料、泡沫等</w:t>
                  </w:r>
                </w:p>
              </w:tc>
            </w:tr>
            <w:tr w14:paraId="0CF826B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65" w:hRule="atLeast"/>
                <w:jc w:val="center"/>
              </w:trPr>
              <w:tc>
                <w:tcPr>
                  <w:tcW w:w="305" w:type="pct"/>
                  <w:vMerge w:val="continue"/>
                  <w:tcBorders>
                    <w:tl2br w:val="nil"/>
                    <w:tr2bl w:val="nil"/>
                  </w:tcBorders>
                  <w:vAlign w:val="center"/>
                </w:tcPr>
                <w:p w14:paraId="320C4CAD">
                  <w:pPr>
                    <w:keepNext w:val="0"/>
                    <w:keepLines w:val="0"/>
                    <w:suppressLineNumbers w:val="0"/>
                    <w:adjustRightInd w:val="0"/>
                    <w:snapToGrid w:val="0"/>
                    <w:spacing w:before="0" w:beforeAutospacing="0" w:after="0" w:afterAutospacing="0" w:line="276" w:lineRule="auto"/>
                    <w:ind w:left="0" w:right="0"/>
                    <w:jc w:val="center"/>
                    <w:rPr>
                      <w:rFonts w:hint="default"/>
                      <w:sz w:val="21"/>
                      <w:szCs w:val="21"/>
                      <w:highlight w:val="none"/>
                    </w:rPr>
                  </w:pPr>
                </w:p>
              </w:tc>
              <w:tc>
                <w:tcPr>
                  <w:tcW w:w="404" w:type="pct"/>
                  <w:tcBorders>
                    <w:tl2br w:val="nil"/>
                    <w:tr2bl w:val="nil"/>
                  </w:tcBorders>
                  <w:vAlign w:val="center"/>
                </w:tcPr>
                <w:p w14:paraId="651EC681">
                  <w:pPr>
                    <w:keepNext w:val="0"/>
                    <w:keepLines w:val="0"/>
                    <w:suppressLineNumbers w:val="0"/>
                    <w:adjustRightInd w:val="0"/>
                    <w:snapToGrid w:val="0"/>
                    <w:spacing w:before="0" w:beforeAutospacing="0" w:after="0" w:afterAutospacing="0" w:line="276" w:lineRule="auto"/>
                    <w:ind w:left="0" w:right="0"/>
                    <w:jc w:val="center"/>
                    <w:rPr>
                      <w:rFonts w:hint="default"/>
                      <w:sz w:val="21"/>
                      <w:szCs w:val="21"/>
                      <w:highlight w:val="none"/>
                    </w:rPr>
                  </w:pPr>
                  <w:r>
                    <w:rPr>
                      <w:rFonts w:hint="eastAsia"/>
                      <w:sz w:val="21"/>
                      <w:szCs w:val="21"/>
                      <w:highlight w:val="none"/>
                      <w:lang w:val="en-US" w:eastAsia="zh-CN"/>
                    </w:rPr>
                    <w:t>/</w:t>
                  </w:r>
                </w:p>
              </w:tc>
              <w:tc>
                <w:tcPr>
                  <w:tcW w:w="1927" w:type="pct"/>
                  <w:gridSpan w:val="2"/>
                  <w:vMerge w:val="continue"/>
                  <w:tcBorders>
                    <w:tl2br w:val="nil"/>
                    <w:tr2bl w:val="nil"/>
                  </w:tcBorders>
                  <w:vAlign w:val="center"/>
                </w:tcPr>
                <w:p w14:paraId="45E5371A">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76" w:lineRule="auto"/>
                    <w:ind w:left="0" w:right="0"/>
                    <w:jc w:val="center"/>
                    <w:textAlignment w:val="auto"/>
                    <w:rPr>
                      <w:rFonts w:hint="eastAsia" w:ascii="Times New Roman" w:hAnsi="Times New Roman" w:eastAsia="宋体"/>
                      <w:color w:val="auto"/>
                      <w:sz w:val="21"/>
                      <w:szCs w:val="21"/>
                      <w:highlight w:val="none"/>
                      <w:lang w:val="en-US" w:eastAsia="zh-CN"/>
                    </w:rPr>
                  </w:pPr>
                </w:p>
              </w:tc>
              <w:tc>
                <w:tcPr>
                  <w:tcW w:w="1164" w:type="pct"/>
                  <w:tcBorders>
                    <w:tl2br w:val="nil"/>
                    <w:tr2bl w:val="nil"/>
                  </w:tcBorders>
                  <w:shd w:val="clear" w:color="auto" w:fill="auto"/>
                  <w:vAlign w:val="center"/>
                </w:tcPr>
                <w:p w14:paraId="2CDDE40A">
                  <w:pPr>
                    <w:keepNext w:val="0"/>
                    <w:keepLines w:val="0"/>
                    <w:suppressLineNumbers w:val="0"/>
                    <w:adjustRightInd w:val="0"/>
                    <w:snapToGrid w:val="0"/>
                    <w:spacing w:before="0" w:beforeAutospacing="0" w:after="0" w:afterAutospacing="0" w:line="276" w:lineRule="auto"/>
                    <w:ind w:left="0" w:right="0"/>
                    <w:jc w:val="center"/>
                    <w:rPr>
                      <w:rFonts w:hint="eastAsia" w:ascii="Times New Roman" w:hAnsi="Times New Roman" w:eastAsia="宋体" w:cs="Times New Roman"/>
                      <w:kern w:val="2"/>
                      <w:sz w:val="21"/>
                      <w:szCs w:val="21"/>
                      <w:highlight w:val="none"/>
                      <w:lang w:val="en-US" w:eastAsia="zh-CN" w:bidi="ar-SA"/>
                    </w:rPr>
                  </w:pPr>
                  <w:r>
                    <w:rPr>
                      <w:rFonts w:hint="eastAsia"/>
                      <w:sz w:val="21"/>
                      <w:szCs w:val="21"/>
                      <w:highlight w:val="none"/>
                    </w:rPr>
                    <w:t>危险废包装</w:t>
                  </w:r>
                  <w:r>
                    <w:rPr>
                      <w:rFonts w:hint="eastAsia"/>
                      <w:sz w:val="21"/>
                      <w:szCs w:val="21"/>
                      <w:highlight w:val="none"/>
                      <w:lang w:val="en-US" w:eastAsia="zh-CN"/>
                    </w:rPr>
                    <w:t>材料</w:t>
                  </w:r>
                </w:p>
              </w:tc>
              <w:tc>
                <w:tcPr>
                  <w:tcW w:w="1199" w:type="pct"/>
                  <w:tcBorders>
                    <w:tl2br w:val="nil"/>
                    <w:tr2bl w:val="nil"/>
                  </w:tcBorders>
                  <w:shd w:val="clear" w:color="auto" w:fill="auto"/>
                  <w:vAlign w:val="center"/>
                </w:tcPr>
                <w:p w14:paraId="2C4739D7">
                  <w:pPr>
                    <w:keepNext w:val="0"/>
                    <w:keepLines w:val="0"/>
                    <w:suppressLineNumbers w:val="0"/>
                    <w:adjustRightInd w:val="0"/>
                    <w:snapToGrid w:val="0"/>
                    <w:spacing w:before="0" w:beforeAutospacing="0" w:after="0" w:afterAutospacing="0" w:line="276" w:lineRule="auto"/>
                    <w:ind w:left="0" w:right="0"/>
                    <w:jc w:val="center"/>
                    <w:rPr>
                      <w:rFonts w:hint="eastAsia" w:ascii="Times New Roman" w:hAnsi="Times New Roman" w:eastAsia="宋体" w:cs="Times New Roman"/>
                      <w:kern w:val="2"/>
                      <w:sz w:val="21"/>
                      <w:szCs w:val="21"/>
                      <w:highlight w:val="none"/>
                      <w:lang w:val="en-US" w:eastAsia="zh-CN" w:bidi="ar-SA"/>
                    </w:rPr>
                  </w:pPr>
                  <w:r>
                    <w:rPr>
                      <w:rFonts w:hint="eastAsia"/>
                      <w:sz w:val="21"/>
                      <w:szCs w:val="21"/>
                      <w:highlight w:val="none"/>
                    </w:rPr>
                    <w:t>沾染药品的包装物</w:t>
                  </w:r>
                </w:p>
              </w:tc>
            </w:tr>
            <w:tr w14:paraId="3CBF106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90" w:hRule="atLeast"/>
                <w:jc w:val="center"/>
              </w:trPr>
              <w:tc>
                <w:tcPr>
                  <w:tcW w:w="305" w:type="pct"/>
                  <w:vMerge w:val="continue"/>
                  <w:tcBorders>
                    <w:tl2br w:val="nil"/>
                    <w:tr2bl w:val="nil"/>
                  </w:tcBorders>
                  <w:vAlign w:val="center"/>
                </w:tcPr>
                <w:p w14:paraId="7CB4772A">
                  <w:pPr>
                    <w:keepNext w:val="0"/>
                    <w:keepLines w:val="0"/>
                    <w:suppressLineNumbers w:val="0"/>
                    <w:adjustRightInd w:val="0"/>
                    <w:snapToGrid w:val="0"/>
                    <w:spacing w:before="0" w:beforeAutospacing="0" w:after="0" w:afterAutospacing="0" w:line="276" w:lineRule="auto"/>
                    <w:ind w:left="0" w:right="0"/>
                    <w:jc w:val="center"/>
                    <w:rPr>
                      <w:rFonts w:hint="default"/>
                      <w:sz w:val="21"/>
                      <w:szCs w:val="21"/>
                      <w:highlight w:val="none"/>
                    </w:rPr>
                  </w:pPr>
                </w:p>
              </w:tc>
              <w:tc>
                <w:tcPr>
                  <w:tcW w:w="404" w:type="pct"/>
                  <w:tcBorders>
                    <w:tl2br w:val="nil"/>
                    <w:tr2bl w:val="nil"/>
                  </w:tcBorders>
                  <w:vAlign w:val="center"/>
                </w:tcPr>
                <w:p w14:paraId="1E0F0969">
                  <w:pPr>
                    <w:keepNext w:val="0"/>
                    <w:keepLines w:val="0"/>
                    <w:suppressLineNumbers w:val="0"/>
                    <w:adjustRightInd w:val="0"/>
                    <w:snapToGrid w:val="0"/>
                    <w:spacing w:before="0" w:beforeAutospacing="0" w:after="0" w:afterAutospacing="0" w:line="276" w:lineRule="auto"/>
                    <w:ind w:left="0" w:right="0"/>
                    <w:jc w:val="center"/>
                    <w:rPr>
                      <w:rFonts w:hint="default"/>
                      <w:sz w:val="21"/>
                      <w:szCs w:val="21"/>
                      <w:highlight w:val="none"/>
                    </w:rPr>
                  </w:pPr>
                  <w:r>
                    <w:rPr>
                      <w:rFonts w:hint="eastAsia"/>
                      <w:sz w:val="21"/>
                      <w:szCs w:val="21"/>
                      <w:highlight w:val="none"/>
                      <w:lang w:val="en-US" w:eastAsia="zh-CN"/>
                    </w:rPr>
                    <w:t>/</w:t>
                  </w:r>
                </w:p>
              </w:tc>
              <w:tc>
                <w:tcPr>
                  <w:tcW w:w="1927" w:type="pct"/>
                  <w:gridSpan w:val="2"/>
                  <w:tcBorders>
                    <w:tl2br w:val="nil"/>
                    <w:tr2bl w:val="nil"/>
                  </w:tcBorders>
                  <w:vAlign w:val="center"/>
                </w:tcPr>
                <w:p w14:paraId="4326AAD3">
                  <w:pPr>
                    <w:keepNext w:val="0"/>
                    <w:keepLines w:val="0"/>
                    <w:suppressLineNumbers w:val="0"/>
                    <w:adjustRightInd w:val="0"/>
                    <w:snapToGrid w:val="0"/>
                    <w:spacing w:before="0" w:beforeAutospacing="0" w:after="0" w:afterAutospacing="0" w:line="276" w:lineRule="auto"/>
                    <w:ind w:left="0" w:right="0"/>
                    <w:jc w:val="center"/>
                    <w:rPr>
                      <w:rFonts w:hint="eastAsia" w:eastAsia="宋体"/>
                      <w:sz w:val="21"/>
                      <w:szCs w:val="21"/>
                      <w:highlight w:val="none"/>
                      <w:lang w:eastAsia="zh-CN"/>
                    </w:rPr>
                  </w:pPr>
                  <w:r>
                    <w:rPr>
                      <w:rFonts w:hint="eastAsia"/>
                      <w:sz w:val="21"/>
                      <w:szCs w:val="21"/>
                      <w:highlight w:val="none"/>
                      <w:lang w:eastAsia="zh-CN"/>
                    </w:rPr>
                    <w:t>污水处理</w:t>
                  </w:r>
                </w:p>
              </w:tc>
              <w:tc>
                <w:tcPr>
                  <w:tcW w:w="1164" w:type="pct"/>
                  <w:tcBorders>
                    <w:tl2br w:val="nil"/>
                    <w:tr2bl w:val="nil"/>
                  </w:tcBorders>
                  <w:vAlign w:val="center"/>
                </w:tcPr>
                <w:p w14:paraId="7E307215">
                  <w:pPr>
                    <w:keepNext w:val="0"/>
                    <w:keepLines w:val="0"/>
                    <w:suppressLineNumbers w:val="0"/>
                    <w:adjustRightInd w:val="0"/>
                    <w:snapToGrid w:val="0"/>
                    <w:spacing w:before="0" w:beforeAutospacing="0" w:after="0" w:afterAutospacing="0" w:line="276" w:lineRule="auto"/>
                    <w:ind w:left="0" w:right="0"/>
                    <w:jc w:val="center"/>
                    <w:rPr>
                      <w:rFonts w:hint="default"/>
                      <w:sz w:val="21"/>
                      <w:szCs w:val="21"/>
                      <w:highlight w:val="none"/>
                    </w:rPr>
                  </w:pPr>
                  <w:r>
                    <w:rPr>
                      <w:rFonts w:hint="eastAsia"/>
                      <w:sz w:val="21"/>
                      <w:szCs w:val="21"/>
                      <w:highlight w:val="none"/>
                    </w:rPr>
                    <w:t>污泥</w:t>
                  </w:r>
                </w:p>
              </w:tc>
              <w:tc>
                <w:tcPr>
                  <w:tcW w:w="1199" w:type="pct"/>
                  <w:tcBorders>
                    <w:tl2br w:val="nil"/>
                    <w:tr2bl w:val="nil"/>
                  </w:tcBorders>
                  <w:vAlign w:val="center"/>
                </w:tcPr>
                <w:p w14:paraId="09B940AE">
                  <w:pPr>
                    <w:keepNext w:val="0"/>
                    <w:keepLines w:val="0"/>
                    <w:suppressLineNumbers w:val="0"/>
                    <w:adjustRightInd w:val="0"/>
                    <w:snapToGrid w:val="0"/>
                    <w:spacing w:before="0" w:beforeAutospacing="0" w:after="0" w:afterAutospacing="0" w:line="276" w:lineRule="auto"/>
                    <w:ind w:left="0" w:right="0"/>
                    <w:jc w:val="center"/>
                    <w:rPr>
                      <w:rFonts w:hint="default"/>
                      <w:sz w:val="21"/>
                      <w:szCs w:val="21"/>
                      <w:highlight w:val="none"/>
                    </w:rPr>
                  </w:pPr>
                  <w:r>
                    <w:rPr>
                      <w:rFonts w:hint="eastAsia"/>
                      <w:sz w:val="21"/>
                      <w:szCs w:val="21"/>
                      <w:highlight w:val="none"/>
                    </w:rPr>
                    <w:t>污泥</w:t>
                  </w:r>
                </w:p>
              </w:tc>
            </w:tr>
            <w:tr w14:paraId="34D7E82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90" w:hRule="atLeast"/>
                <w:jc w:val="center"/>
              </w:trPr>
              <w:tc>
                <w:tcPr>
                  <w:tcW w:w="305" w:type="pct"/>
                  <w:vMerge w:val="continue"/>
                  <w:tcBorders>
                    <w:tl2br w:val="nil"/>
                    <w:tr2bl w:val="nil"/>
                  </w:tcBorders>
                  <w:vAlign w:val="center"/>
                </w:tcPr>
                <w:p w14:paraId="6FCBFDC0">
                  <w:pPr>
                    <w:keepNext w:val="0"/>
                    <w:keepLines w:val="0"/>
                    <w:suppressLineNumbers w:val="0"/>
                    <w:adjustRightInd w:val="0"/>
                    <w:snapToGrid w:val="0"/>
                    <w:spacing w:before="0" w:beforeAutospacing="0" w:after="0" w:afterAutospacing="0" w:line="276" w:lineRule="auto"/>
                    <w:ind w:left="0" w:right="0"/>
                    <w:jc w:val="center"/>
                    <w:rPr>
                      <w:rFonts w:hint="default"/>
                      <w:sz w:val="21"/>
                      <w:szCs w:val="21"/>
                      <w:highlight w:val="none"/>
                    </w:rPr>
                  </w:pPr>
                </w:p>
              </w:tc>
              <w:tc>
                <w:tcPr>
                  <w:tcW w:w="404" w:type="pct"/>
                  <w:tcBorders>
                    <w:tl2br w:val="nil"/>
                    <w:tr2bl w:val="nil"/>
                  </w:tcBorders>
                  <w:vAlign w:val="center"/>
                </w:tcPr>
                <w:p w14:paraId="07DFC781">
                  <w:pPr>
                    <w:keepNext w:val="0"/>
                    <w:keepLines w:val="0"/>
                    <w:suppressLineNumbers w:val="0"/>
                    <w:adjustRightInd w:val="0"/>
                    <w:snapToGrid w:val="0"/>
                    <w:spacing w:before="0" w:beforeAutospacing="0" w:after="0" w:afterAutospacing="0" w:line="276" w:lineRule="auto"/>
                    <w:ind w:left="0" w:right="0"/>
                    <w:jc w:val="center"/>
                    <w:rPr>
                      <w:rFonts w:hint="default"/>
                      <w:sz w:val="21"/>
                      <w:szCs w:val="21"/>
                      <w:highlight w:val="none"/>
                    </w:rPr>
                  </w:pPr>
                  <w:r>
                    <w:rPr>
                      <w:rFonts w:hint="eastAsia"/>
                      <w:sz w:val="21"/>
                      <w:szCs w:val="21"/>
                      <w:highlight w:val="none"/>
                      <w:lang w:val="en-US" w:eastAsia="zh-CN"/>
                    </w:rPr>
                    <w:t>/</w:t>
                  </w:r>
                </w:p>
              </w:tc>
              <w:tc>
                <w:tcPr>
                  <w:tcW w:w="1927" w:type="pct"/>
                  <w:gridSpan w:val="2"/>
                  <w:tcBorders>
                    <w:tl2br w:val="nil"/>
                    <w:tr2bl w:val="nil"/>
                  </w:tcBorders>
                  <w:vAlign w:val="center"/>
                </w:tcPr>
                <w:p w14:paraId="300DFEE1">
                  <w:pPr>
                    <w:keepNext w:val="0"/>
                    <w:keepLines w:val="0"/>
                    <w:suppressLineNumbers w:val="0"/>
                    <w:adjustRightInd w:val="0"/>
                    <w:snapToGrid w:val="0"/>
                    <w:spacing w:before="0" w:beforeAutospacing="0" w:after="0" w:afterAutospacing="0" w:line="276" w:lineRule="auto"/>
                    <w:ind w:left="0" w:right="0"/>
                    <w:jc w:val="center"/>
                    <w:rPr>
                      <w:rFonts w:hint="default"/>
                      <w:sz w:val="21"/>
                      <w:szCs w:val="21"/>
                      <w:highlight w:val="none"/>
                      <w:lang w:val="en-US" w:eastAsia="zh-CN"/>
                    </w:rPr>
                  </w:pPr>
                  <w:r>
                    <w:rPr>
                      <w:rFonts w:hint="eastAsia"/>
                      <w:sz w:val="21"/>
                      <w:szCs w:val="21"/>
                      <w:highlight w:val="none"/>
                      <w:lang w:val="en-US" w:eastAsia="zh-CN"/>
                    </w:rPr>
                    <w:t>废气处理</w:t>
                  </w:r>
                </w:p>
              </w:tc>
              <w:tc>
                <w:tcPr>
                  <w:tcW w:w="1164" w:type="pct"/>
                  <w:tcBorders>
                    <w:tl2br w:val="nil"/>
                    <w:tr2bl w:val="nil"/>
                  </w:tcBorders>
                  <w:vAlign w:val="center"/>
                </w:tcPr>
                <w:p w14:paraId="17CFE806">
                  <w:pPr>
                    <w:keepNext w:val="0"/>
                    <w:keepLines w:val="0"/>
                    <w:suppressLineNumbers w:val="0"/>
                    <w:adjustRightInd w:val="0"/>
                    <w:snapToGrid w:val="0"/>
                    <w:spacing w:before="0" w:beforeAutospacing="0" w:after="0" w:afterAutospacing="0" w:line="276" w:lineRule="auto"/>
                    <w:ind w:left="0" w:right="0"/>
                    <w:jc w:val="center"/>
                    <w:rPr>
                      <w:rFonts w:hint="eastAsia" w:eastAsia="宋体"/>
                      <w:sz w:val="21"/>
                      <w:szCs w:val="21"/>
                      <w:highlight w:val="none"/>
                      <w:lang w:val="en-US" w:eastAsia="zh-CN"/>
                    </w:rPr>
                  </w:pPr>
                  <w:r>
                    <w:rPr>
                      <w:rFonts w:hint="eastAsia"/>
                      <w:sz w:val="21"/>
                      <w:szCs w:val="21"/>
                      <w:highlight w:val="none"/>
                      <w:lang w:val="en-US" w:eastAsia="zh-CN"/>
                    </w:rPr>
                    <w:t>废活性炭</w:t>
                  </w:r>
                </w:p>
              </w:tc>
              <w:tc>
                <w:tcPr>
                  <w:tcW w:w="1199" w:type="pct"/>
                  <w:tcBorders>
                    <w:tl2br w:val="nil"/>
                    <w:tr2bl w:val="nil"/>
                  </w:tcBorders>
                  <w:vAlign w:val="center"/>
                </w:tcPr>
                <w:p w14:paraId="6C22EA8F">
                  <w:pPr>
                    <w:keepNext w:val="0"/>
                    <w:keepLines w:val="0"/>
                    <w:suppressLineNumbers w:val="0"/>
                    <w:adjustRightInd w:val="0"/>
                    <w:snapToGrid w:val="0"/>
                    <w:spacing w:before="0" w:beforeAutospacing="0" w:after="0" w:afterAutospacing="0" w:line="276" w:lineRule="auto"/>
                    <w:ind w:left="0" w:right="0"/>
                    <w:jc w:val="center"/>
                    <w:rPr>
                      <w:rFonts w:hint="eastAsia"/>
                      <w:sz w:val="21"/>
                      <w:szCs w:val="21"/>
                      <w:highlight w:val="none"/>
                    </w:rPr>
                  </w:pPr>
                  <w:r>
                    <w:rPr>
                      <w:rFonts w:hint="eastAsia"/>
                      <w:color w:val="auto"/>
                      <w:sz w:val="21"/>
                      <w:szCs w:val="21"/>
                      <w:highlight w:val="none"/>
                    </w:rPr>
                    <w:t>有机物、活性炭</w:t>
                  </w:r>
                </w:p>
              </w:tc>
            </w:tr>
            <w:tr w14:paraId="3CD2625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90" w:hRule="atLeast"/>
                <w:jc w:val="center"/>
              </w:trPr>
              <w:tc>
                <w:tcPr>
                  <w:tcW w:w="305" w:type="pct"/>
                  <w:vMerge w:val="continue"/>
                  <w:tcBorders>
                    <w:tl2br w:val="nil"/>
                    <w:tr2bl w:val="nil"/>
                  </w:tcBorders>
                  <w:vAlign w:val="center"/>
                </w:tcPr>
                <w:p w14:paraId="37053869">
                  <w:pPr>
                    <w:keepNext w:val="0"/>
                    <w:keepLines w:val="0"/>
                    <w:suppressLineNumbers w:val="0"/>
                    <w:adjustRightInd w:val="0"/>
                    <w:snapToGrid w:val="0"/>
                    <w:spacing w:before="0" w:beforeAutospacing="0" w:after="0" w:afterAutospacing="0" w:line="276" w:lineRule="auto"/>
                    <w:ind w:left="0" w:right="0"/>
                    <w:jc w:val="center"/>
                    <w:rPr>
                      <w:rFonts w:hint="default"/>
                      <w:sz w:val="21"/>
                      <w:szCs w:val="21"/>
                      <w:highlight w:val="none"/>
                    </w:rPr>
                  </w:pPr>
                </w:p>
              </w:tc>
              <w:tc>
                <w:tcPr>
                  <w:tcW w:w="404" w:type="pct"/>
                  <w:tcBorders>
                    <w:tl2br w:val="nil"/>
                    <w:tr2bl w:val="nil"/>
                  </w:tcBorders>
                  <w:vAlign w:val="center"/>
                </w:tcPr>
                <w:p w14:paraId="1273FD5B">
                  <w:pPr>
                    <w:keepNext w:val="0"/>
                    <w:keepLines w:val="0"/>
                    <w:suppressLineNumbers w:val="0"/>
                    <w:adjustRightInd w:val="0"/>
                    <w:snapToGrid w:val="0"/>
                    <w:spacing w:before="0" w:beforeAutospacing="0" w:after="0" w:afterAutospacing="0" w:line="276" w:lineRule="auto"/>
                    <w:ind w:left="0" w:right="0"/>
                    <w:jc w:val="center"/>
                    <w:rPr>
                      <w:rFonts w:hint="eastAsia"/>
                      <w:sz w:val="21"/>
                      <w:szCs w:val="21"/>
                      <w:highlight w:val="none"/>
                      <w:lang w:val="en-US" w:eastAsia="zh-CN"/>
                    </w:rPr>
                  </w:pPr>
                  <w:r>
                    <w:rPr>
                      <w:rFonts w:hint="eastAsia"/>
                      <w:sz w:val="21"/>
                      <w:szCs w:val="21"/>
                      <w:highlight w:val="none"/>
                      <w:lang w:val="en-US" w:eastAsia="zh-CN"/>
                    </w:rPr>
                    <w:t>/</w:t>
                  </w:r>
                </w:p>
              </w:tc>
              <w:tc>
                <w:tcPr>
                  <w:tcW w:w="1927" w:type="pct"/>
                  <w:gridSpan w:val="2"/>
                  <w:tcBorders>
                    <w:tl2br w:val="nil"/>
                    <w:tr2bl w:val="nil"/>
                  </w:tcBorders>
                  <w:vAlign w:val="center"/>
                </w:tcPr>
                <w:p w14:paraId="148B4B09">
                  <w:pPr>
                    <w:keepNext w:val="0"/>
                    <w:keepLines w:val="0"/>
                    <w:suppressLineNumbers w:val="0"/>
                    <w:adjustRightInd w:val="0"/>
                    <w:snapToGrid w:val="0"/>
                    <w:spacing w:before="0" w:beforeAutospacing="0" w:after="0" w:afterAutospacing="0" w:line="276" w:lineRule="auto"/>
                    <w:ind w:left="0" w:right="0"/>
                    <w:jc w:val="center"/>
                    <w:rPr>
                      <w:rFonts w:hint="eastAsia"/>
                      <w:sz w:val="21"/>
                      <w:szCs w:val="21"/>
                      <w:highlight w:val="none"/>
                      <w:lang w:val="en-US" w:eastAsia="zh-CN"/>
                    </w:rPr>
                  </w:pPr>
                  <w:r>
                    <w:rPr>
                      <w:rFonts w:hint="eastAsia"/>
                      <w:sz w:val="21"/>
                      <w:szCs w:val="21"/>
                      <w:highlight w:val="none"/>
                      <w:lang w:val="en-US" w:eastAsia="zh-CN"/>
                    </w:rPr>
                    <w:t>废气处理</w:t>
                  </w:r>
                </w:p>
              </w:tc>
              <w:tc>
                <w:tcPr>
                  <w:tcW w:w="1164" w:type="pct"/>
                  <w:tcBorders>
                    <w:tl2br w:val="nil"/>
                    <w:tr2bl w:val="nil"/>
                  </w:tcBorders>
                  <w:vAlign w:val="center"/>
                </w:tcPr>
                <w:p w14:paraId="5E65B081">
                  <w:pPr>
                    <w:keepNext w:val="0"/>
                    <w:keepLines w:val="0"/>
                    <w:suppressLineNumbers w:val="0"/>
                    <w:adjustRightInd w:val="0"/>
                    <w:snapToGrid w:val="0"/>
                    <w:spacing w:before="0" w:beforeAutospacing="0" w:after="0" w:afterAutospacing="0" w:line="276" w:lineRule="auto"/>
                    <w:ind w:left="0" w:right="0"/>
                    <w:jc w:val="center"/>
                    <w:rPr>
                      <w:rFonts w:hint="default"/>
                      <w:sz w:val="21"/>
                      <w:szCs w:val="21"/>
                      <w:highlight w:val="none"/>
                      <w:lang w:val="en-US" w:eastAsia="zh-CN"/>
                    </w:rPr>
                  </w:pPr>
                  <w:r>
                    <w:rPr>
                      <w:rFonts w:hint="eastAsia"/>
                      <w:sz w:val="21"/>
                      <w:szCs w:val="21"/>
                      <w:highlight w:val="none"/>
                      <w:lang w:val="en-US" w:eastAsia="zh-CN"/>
                    </w:rPr>
                    <w:t>废催化剂</w:t>
                  </w:r>
                </w:p>
              </w:tc>
              <w:tc>
                <w:tcPr>
                  <w:tcW w:w="1199" w:type="pct"/>
                  <w:tcBorders>
                    <w:tl2br w:val="nil"/>
                    <w:tr2bl w:val="nil"/>
                  </w:tcBorders>
                  <w:vAlign w:val="center"/>
                </w:tcPr>
                <w:p w14:paraId="08D13EF9">
                  <w:pPr>
                    <w:keepNext w:val="0"/>
                    <w:keepLines w:val="0"/>
                    <w:suppressLineNumbers w:val="0"/>
                    <w:adjustRightInd w:val="0"/>
                    <w:snapToGrid w:val="0"/>
                    <w:spacing w:before="0" w:beforeAutospacing="0" w:after="0" w:afterAutospacing="0" w:line="276" w:lineRule="auto"/>
                    <w:ind w:left="0" w:right="0"/>
                    <w:jc w:val="center"/>
                    <w:rPr>
                      <w:rFonts w:hint="default"/>
                      <w:highlight w:val="none"/>
                      <w:lang w:val="en-US" w:eastAsia="zh-CN"/>
                    </w:rPr>
                  </w:pPr>
                  <w:r>
                    <w:rPr>
                      <w:rFonts w:hint="eastAsia"/>
                      <w:color w:val="auto"/>
                      <w:sz w:val="21"/>
                      <w:szCs w:val="21"/>
                      <w:highlight w:val="none"/>
                      <w:lang w:val="en-US" w:eastAsia="zh-CN"/>
                    </w:rPr>
                    <w:t>恶臭、催化剂</w:t>
                  </w:r>
                </w:p>
              </w:tc>
            </w:tr>
            <w:tr w14:paraId="3E508AA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65" w:hRule="atLeast"/>
                <w:jc w:val="center"/>
              </w:trPr>
              <w:tc>
                <w:tcPr>
                  <w:tcW w:w="305" w:type="pct"/>
                  <w:vMerge w:val="continue"/>
                  <w:tcBorders>
                    <w:tl2br w:val="nil"/>
                    <w:tr2bl w:val="nil"/>
                  </w:tcBorders>
                  <w:vAlign w:val="center"/>
                </w:tcPr>
                <w:p w14:paraId="5BB676BC">
                  <w:pPr>
                    <w:keepNext w:val="0"/>
                    <w:keepLines w:val="0"/>
                    <w:suppressLineNumbers w:val="0"/>
                    <w:adjustRightInd w:val="0"/>
                    <w:snapToGrid w:val="0"/>
                    <w:spacing w:before="0" w:beforeAutospacing="0" w:after="0" w:afterAutospacing="0" w:line="276" w:lineRule="auto"/>
                    <w:ind w:left="0" w:right="0"/>
                    <w:jc w:val="center"/>
                    <w:rPr>
                      <w:rFonts w:hint="default"/>
                      <w:sz w:val="21"/>
                      <w:szCs w:val="21"/>
                      <w:highlight w:val="none"/>
                    </w:rPr>
                  </w:pPr>
                </w:p>
              </w:tc>
              <w:tc>
                <w:tcPr>
                  <w:tcW w:w="404" w:type="pct"/>
                  <w:tcBorders>
                    <w:tl2br w:val="nil"/>
                    <w:tr2bl w:val="nil"/>
                  </w:tcBorders>
                  <w:vAlign w:val="center"/>
                </w:tcPr>
                <w:p w14:paraId="7D28ECBB">
                  <w:pPr>
                    <w:keepNext w:val="0"/>
                    <w:keepLines w:val="0"/>
                    <w:suppressLineNumbers w:val="0"/>
                    <w:adjustRightInd w:val="0"/>
                    <w:snapToGrid w:val="0"/>
                    <w:spacing w:before="0" w:beforeAutospacing="0" w:after="0" w:afterAutospacing="0" w:line="276" w:lineRule="auto"/>
                    <w:ind w:left="0" w:right="0"/>
                    <w:jc w:val="center"/>
                    <w:rPr>
                      <w:rFonts w:hint="default"/>
                      <w:sz w:val="21"/>
                      <w:szCs w:val="21"/>
                      <w:highlight w:val="none"/>
                    </w:rPr>
                  </w:pPr>
                  <w:r>
                    <w:rPr>
                      <w:rFonts w:hint="eastAsia"/>
                      <w:sz w:val="21"/>
                      <w:szCs w:val="21"/>
                      <w:highlight w:val="none"/>
                      <w:lang w:val="en-US" w:eastAsia="zh-CN"/>
                    </w:rPr>
                    <w:t>/</w:t>
                  </w:r>
                </w:p>
              </w:tc>
              <w:tc>
                <w:tcPr>
                  <w:tcW w:w="1927" w:type="pct"/>
                  <w:gridSpan w:val="2"/>
                  <w:tcBorders>
                    <w:tl2br w:val="nil"/>
                    <w:tr2bl w:val="nil"/>
                  </w:tcBorders>
                  <w:vAlign w:val="center"/>
                </w:tcPr>
                <w:p w14:paraId="105639B2">
                  <w:pPr>
                    <w:keepNext w:val="0"/>
                    <w:keepLines w:val="0"/>
                    <w:suppressLineNumbers w:val="0"/>
                    <w:adjustRightInd w:val="0"/>
                    <w:snapToGrid w:val="0"/>
                    <w:spacing w:before="0" w:beforeAutospacing="0" w:after="0" w:afterAutospacing="0" w:line="276" w:lineRule="auto"/>
                    <w:ind w:left="0" w:right="0"/>
                    <w:jc w:val="center"/>
                    <w:rPr>
                      <w:rFonts w:hint="eastAsia" w:eastAsia="宋体"/>
                      <w:sz w:val="21"/>
                      <w:szCs w:val="21"/>
                      <w:highlight w:val="none"/>
                      <w:lang w:eastAsia="zh-CN"/>
                    </w:rPr>
                  </w:pPr>
                  <w:r>
                    <w:rPr>
                      <w:rFonts w:hint="eastAsia"/>
                      <w:color w:val="auto"/>
                      <w:sz w:val="21"/>
                      <w:szCs w:val="21"/>
                      <w:highlight w:val="none"/>
                    </w:rPr>
                    <w:t>净化</w:t>
                  </w:r>
                  <w:r>
                    <w:rPr>
                      <w:rFonts w:hint="default"/>
                      <w:color w:val="auto"/>
                      <w:sz w:val="21"/>
                      <w:szCs w:val="21"/>
                      <w:highlight w:val="none"/>
                    </w:rPr>
                    <w:t>空调系统</w:t>
                  </w:r>
                </w:p>
              </w:tc>
              <w:tc>
                <w:tcPr>
                  <w:tcW w:w="1164" w:type="pct"/>
                  <w:tcBorders>
                    <w:tl2br w:val="nil"/>
                    <w:tr2bl w:val="nil"/>
                  </w:tcBorders>
                  <w:vAlign w:val="center"/>
                </w:tcPr>
                <w:p w14:paraId="466699B6">
                  <w:pPr>
                    <w:keepNext w:val="0"/>
                    <w:keepLines w:val="0"/>
                    <w:suppressLineNumbers w:val="0"/>
                    <w:adjustRightInd w:val="0"/>
                    <w:snapToGrid w:val="0"/>
                    <w:spacing w:before="0" w:beforeAutospacing="0" w:after="0" w:afterAutospacing="0" w:line="276" w:lineRule="auto"/>
                    <w:ind w:left="0" w:right="0"/>
                    <w:jc w:val="center"/>
                    <w:rPr>
                      <w:rFonts w:hint="eastAsia" w:eastAsia="宋体"/>
                      <w:sz w:val="21"/>
                      <w:szCs w:val="21"/>
                      <w:highlight w:val="none"/>
                      <w:lang w:eastAsia="zh-CN"/>
                    </w:rPr>
                  </w:pPr>
                  <w:r>
                    <w:rPr>
                      <w:rFonts w:hint="eastAsia"/>
                      <w:color w:val="auto"/>
                      <w:sz w:val="21"/>
                      <w:szCs w:val="21"/>
                      <w:highlight w:val="none"/>
                    </w:rPr>
                    <w:t>净化</w:t>
                  </w:r>
                  <w:r>
                    <w:rPr>
                      <w:rFonts w:hint="default"/>
                      <w:color w:val="auto"/>
                      <w:sz w:val="21"/>
                      <w:szCs w:val="21"/>
                      <w:highlight w:val="none"/>
                    </w:rPr>
                    <w:t>空调系统</w:t>
                  </w:r>
                  <w:r>
                    <w:rPr>
                      <w:rFonts w:hint="eastAsia"/>
                      <w:color w:val="auto"/>
                      <w:sz w:val="21"/>
                      <w:szCs w:val="21"/>
                      <w:highlight w:val="none"/>
                    </w:rPr>
                    <w:t>废</w:t>
                  </w:r>
                  <w:r>
                    <w:rPr>
                      <w:rFonts w:hint="default"/>
                      <w:color w:val="auto"/>
                      <w:sz w:val="21"/>
                      <w:szCs w:val="21"/>
                      <w:highlight w:val="none"/>
                    </w:rPr>
                    <w:t>过滤材料</w:t>
                  </w:r>
                </w:p>
              </w:tc>
              <w:tc>
                <w:tcPr>
                  <w:tcW w:w="1199" w:type="pct"/>
                  <w:tcBorders>
                    <w:tl2br w:val="nil"/>
                    <w:tr2bl w:val="nil"/>
                  </w:tcBorders>
                  <w:vAlign w:val="center"/>
                </w:tcPr>
                <w:p w14:paraId="77CD993D">
                  <w:pPr>
                    <w:keepNext w:val="0"/>
                    <w:keepLines w:val="0"/>
                    <w:suppressLineNumbers w:val="0"/>
                    <w:adjustRightInd w:val="0"/>
                    <w:snapToGrid w:val="0"/>
                    <w:spacing w:before="0" w:beforeAutospacing="0" w:after="0" w:afterAutospacing="0" w:line="276" w:lineRule="auto"/>
                    <w:ind w:left="0" w:right="0"/>
                    <w:jc w:val="center"/>
                    <w:rPr>
                      <w:rFonts w:hint="eastAsia" w:eastAsia="宋体"/>
                      <w:sz w:val="21"/>
                      <w:szCs w:val="21"/>
                      <w:highlight w:val="none"/>
                      <w:lang w:eastAsia="zh-CN"/>
                    </w:rPr>
                  </w:pPr>
                  <w:r>
                    <w:rPr>
                      <w:rFonts w:hint="eastAsia"/>
                      <w:color w:val="auto"/>
                      <w:sz w:val="21"/>
                      <w:szCs w:val="21"/>
                      <w:highlight w:val="none"/>
                    </w:rPr>
                    <w:t>纤维、</w:t>
                  </w:r>
                  <w:r>
                    <w:rPr>
                      <w:rFonts w:hint="default"/>
                      <w:color w:val="auto"/>
                      <w:sz w:val="21"/>
                      <w:szCs w:val="21"/>
                      <w:highlight w:val="none"/>
                    </w:rPr>
                    <w:t>灰尘</w:t>
                  </w:r>
                </w:p>
              </w:tc>
            </w:tr>
            <w:tr w14:paraId="779D3E6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65" w:hRule="atLeast"/>
                <w:jc w:val="center"/>
              </w:trPr>
              <w:tc>
                <w:tcPr>
                  <w:tcW w:w="305" w:type="pct"/>
                  <w:vMerge w:val="continue"/>
                  <w:tcBorders>
                    <w:tl2br w:val="nil"/>
                    <w:tr2bl w:val="nil"/>
                  </w:tcBorders>
                  <w:vAlign w:val="center"/>
                </w:tcPr>
                <w:p w14:paraId="1CEF868A">
                  <w:pPr>
                    <w:keepNext w:val="0"/>
                    <w:keepLines w:val="0"/>
                    <w:suppressLineNumbers w:val="0"/>
                    <w:adjustRightInd w:val="0"/>
                    <w:snapToGrid w:val="0"/>
                    <w:spacing w:before="0" w:beforeAutospacing="0" w:after="0" w:afterAutospacing="0" w:line="276" w:lineRule="auto"/>
                    <w:ind w:left="0" w:right="0"/>
                    <w:jc w:val="center"/>
                    <w:rPr>
                      <w:rFonts w:hint="default"/>
                      <w:color w:val="FF0000"/>
                      <w:sz w:val="21"/>
                      <w:szCs w:val="21"/>
                      <w:highlight w:val="none"/>
                    </w:rPr>
                  </w:pPr>
                </w:p>
              </w:tc>
              <w:tc>
                <w:tcPr>
                  <w:tcW w:w="404" w:type="pct"/>
                  <w:tcBorders>
                    <w:tl2br w:val="nil"/>
                    <w:tr2bl w:val="nil"/>
                  </w:tcBorders>
                  <w:vAlign w:val="center"/>
                </w:tcPr>
                <w:p w14:paraId="0F61870E">
                  <w:pPr>
                    <w:keepNext w:val="0"/>
                    <w:keepLines w:val="0"/>
                    <w:suppressLineNumbers w:val="0"/>
                    <w:adjustRightInd w:val="0"/>
                    <w:snapToGrid w:val="0"/>
                    <w:spacing w:before="0" w:beforeAutospacing="0" w:after="0" w:afterAutospacing="0" w:line="276" w:lineRule="auto"/>
                    <w:ind w:left="0" w:right="0"/>
                    <w:jc w:val="center"/>
                    <w:rPr>
                      <w:rFonts w:hint="default"/>
                      <w:color w:val="FF0000"/>
                      <w:sz w:val="21"/>
                      <w:szCs w:val="21"/>
                      <w:highlight w:val="none"/>
                    </w:rPr>
                  </w:pPr>
                  <w:r>
                    <w:rPr>
                      <w:rFonts w:hint="eastAsia"/>
                      <w:sz w:val="21"/>
                      <w:szCs w:val="21"/>
                      <w:highlight w:val="none"/>
                      <w:lang w:val="en-US" w:eastAsia="zh-CN"/>
                    </w:rPr>
                    <w:t>/</w:t>
                  </w:r>
                </w:p>
              </w:tc>
              <w:tc>
                <w:tcPr>
                  <w:tcW w:w="1927" w:type="pct"/>
                  <w:gridSpan w:val="2"/>
                  <w:tcBorders>
                    <w:tl2br w:val="nil"/>
                    <w:tr2bl w:val="nil"/>
                  </w:tcBorders>
                  <w:vAlign w:val="center"/>
                </w:tcPr>
                <w:p w14:paraId="09D11E4C">
                  <w:pPr>
                    <w:keepNext w:val="0"/>
                    <w:keepLines w:val="0"/>
                    <w:suppressLineNumbers w:val="0"/>
                    <w:adjustRightInd w:val="0"/>
                    <w:snapToGrid w:val="0"/>
                    <w:spacing w:before="0" w:beforeAutospacing="0" w:after="0" w:afterAutospacing="0" w:line="276" w:lineRule="auto"/>
                    <w:ind w:left="0" w:right="0"/>
                    <w:jc w:val="center"/>
                    <w:rPr>
                      <w:rFonts w:hint="default"/>
                      <w:sz w:val="21"/>
                      <w:szCs w:val="21"/>
                      <w:highlight w:val="none"/>
                    </w:rPr>
                  </w:pPr>
                  <w:r>
                    <w:rPr>
                      <w:rFonts w:hint="eastAsia"/>
                      <w:sz w:val="21"/>
                      <w:szCs w:val="21"/>
                      <w:highlight w:val="none"/>
                    </w:rPr>
                    <w:t>员工生活</w:t>
                  </w:r>
                </w:p>
              </w:tc>
              <w:tc>
                <w:tcPr>
                  <w:tcW w:w="1164" w:type="pct"/>
                  <w:tcBorders>
                    <w:tl2br w:val="nil"/>
                    <w:tr2bl w:val="nil"/>
                  </w:tcBorders>
                  <w:vAlign w:val="center"/>
                </w:tcPr>
                <w:p w14:paraId="6CCDF266">
                  <w:pPr>
                    <w:keepNext w:val="0"/>
                    <w:keepLines w:val="0"/>
                    <w:suppressLineNumbers w:val="0"/>
                    <w:adjustRightInd w:val="0"/>
                    <w:snapToGrid w:val="0"/>
                    <w:spacing w:before="0" w:beforeAutospacing="0" w:after="0" w:afterAutospacing="0" w:line="276" w:lineRule="auto"/>
                    <w:ind w:left="0" w:right="0"/>
                    <w:jc w:val="center"/>
                    <w:rPr>
                      <w:rFonts w:hint="default"/>
                      <w:sz w:val="21"/>
                      <w:szCs w:val="21"/>
                      <w:highlight w:val="none"/>
                    </w:rPr>
                  </w:pPr>
                  <w:r>
                    <w:rPr>
                      <w:rFonts w:hint="eastAsia"/>
                      <w:sz w:val="21"/>
                      <w:szCs w:val="21"/>
                      <w:highlight w:val="none"/>
                    </w:rPr>
                    <w:t>生活垃圾</w:t>
                  </w:r>
                </w:p>
              </w:tc>
              <w:tc>
                <w:tcPr>
                  <w:tcW w:w="1199" w:type="pct"/>
                  <w:tcBorders>
                    <w:tl2br w:val="nil"/>
                    <w:tr2bl w:val="nil"/>
                  </w:tcBorders>
                  <w:vAlign w:val="center"/>
                </w:tcPr>
                <w:p w14:paraId="647798C1">
                  <w:pPr>
                    <w:keepNext w:val="0"/>
                    <w:keepLines w:val="0"/>
                    <w:suppressLineNumbers w:val="0"/>
                    <w:adjustRightInd w:val="0"/>
                    <w:snapToGrid w:val="0"/>
                    <w:spacing w:before="0" w:beforeAutospacing="0" w:after="0" w:afterAutospacing="0" w:line="276" w:lineRule="auto"/>
                    <w:ind w:left="0" w:right="0"/>
                    <w:jc w:val="center"/>
                    <w:rPr>
                      <w:rFonts w:hint="default"/>
                      <w:sz w:val="21"/>
                      <w:szCs w:val="21"/>
                      <w:highlight w:val="none"/>
                    </w:rPr>
                  </w:pPr>
                  <w:r>
                    <w:rPr>
                      <w:rFonts w:hint="eastAsia"/>
                      <w:sz w:val="21"/>
                      <w:szCs w:val="21"/>
                      <w:highlight w:val="none"/>
                      <w:lang w:val="en-US" w:eastAsia="zh-CN"/>
                    </w:rPr>
                    <w:t>果皮、纸屑、</w:t>
                  </w:r>
                  <w:r>
                    <w:rPr>
                      <w:rFonts w:hint="eastAsia"/>
                      <w:sz w:val="21"/>
                      <w:szCs w:val="21"/>
                      <w:highlight w:val="none"/>
                    </w:rPr>
                    <w:t>塑料袋等</w:t>
                  </w:r>
                </w:p>
              </w:tc>
            </w:tr>
          </w:tbl>
          <w:p w14:paraId="210F9D9C">
            <w:pPr>
              <w:pStyle w:val="59"/>
              <w:keepNext w:val="0"/>
              <w:keepLines w:val="0"/>
              <w:suppressLineNumbers w:val="0"/>
              <w:spacing w:before="0" w:beforeAutospacing="0" w:after="0" w:afterAutospacing="0"/>
              <w:ind w:left="0" w:right="0" w:firstLine="0" w:firstLineChars="0"/>
              <w:rPr>
                <w:rFonts w:hint="default"/>
                <w:highlight w:val="none"/>
              </w:rPr>
            </w:pPr>
          </w:p>
        </w:tc>
      </w:tr>
      <w:tr w14:paraId="6FD6F579">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28" w:type="dxa"/>
            <w:bottom w:w="0" w:type="dxa"/>
            <w:right w:w="28" w:type="dxa"/>
          </w:tblCellMar>
        </w:tblPrEx>
        <w:trPr>
          <w:trHeight w:val="2415" w:hRule="atLeast"/>
          <w:jc w:val="center"/>
        </w:trPr>
        <w:tc>
          <w:tcPr>
            <w:tcW w:w="542" w:type="dxa"/>
            <w:vAlign w:val="center"/>
          </w:tcPr>
          <w:p w14:paraId="72BC655F">
            <w:pPr>
              <w:pStyle w:val="27"/>
              <w:keepNext w:val="0"/>
              <w:keepLines w:val="0"/>
              <w:suppressLineNumbers w:val="0"/>
              <w:adjustRightInd w:val="0"/>
              <w:snapToGrid w:val="0"/>
              <w:spacing w:before="0" w:beforeAutospacing="0" w:after="0" w:afterAutospacing="0"/>
              <w:ind w:left="0" w:right="0"/>
              <w:jc w:val="center"/>
              <w:rPr>
                <w:rFonts w:hint="default" w:ascii="Times New Roman" w:hAnsi="Times New Roman"/>
                <w:color w:val="FF0000"/>
                <w:sz w:val="21"/>
                <w:szCs w:val="21"/>
                <w:highlight w:val="none"/>
              </w:rPr>
            </w:pPr>
            <w:r>
              <w:rPr>
                <w:rFonts w:hint="eastAsia" w:ascii="Times New Roman"/>
                <w:bCs/>
                <w:kern w:val="2"/>
                <w:sz w:val="21"/>
                <w:szCs w:val="21"/>
                <w:highlight w:val="none"/>
              </w:rPr>
              <w:t>与项目有关的原有环境污染问题</w:t>
            </w:r>
          </w:p>
        </w:tc>
        <w:tc>
          <w:tcPr>
            <w:tcW w:w="8518" w:type="dxa"/>
          </w:tcPr>
          <w:p w14:paraId="092D2812">
            <w:pPr>
              <w:pStyle w:val="10"/>
              <w:keepNext w:val="0"/>
              <w:keepLines w:val="0"/>
              <w:suppressLineNumbers w:val="0"/>
              <w:spacing w:beforeAutospacing="0" w:afterAutospacing="0" w:line="360" w:lineRule="auto"/>
              <w:ind w:left="0" w:firstLine="480" w:firstLineChars="200"/>
              <w:jc w:val="both"/>
              <w:rPr>
                <w:rFonts w:hint="default"/>
                <w:highlight w:val="none"/>
              </w:rPr>
            </w:pPr>
            <w:r>
              <w:rPr>
                <w:rFonts w:hint="eastAsia" w:ascii="Times New Roman" w:hAnsi="Times New Roman" w:eastAsia="宋体" w:cs="Times New Roman"/>
                <w:color w:val="auto"/>
                <w:sz w:val="24"/>
                <w:szCs w:val="24"/>
                <w:highlight w:val="none"/>
                <w:u w:val="none"/>
              </w:rPr>
              <w:t>本项目为新建项目，</w:t>
            </w:r>
            <w:r>
              <w:rPr>
                <w:rFonts w:hint="eastAsia" w:ascii="Times New Roman" w:hAnsi="Times New Roman" w:eastAsia="宋体" w:cs="Times New Roman"/>
                <w:color w:val="auto"/>
                <w:sz w:val="24"/>
                <w:szCs w:val="24"/>
                <w:highlight w:val="none"/>
                <w:u w:val="none"/>
                <w:lang w:val="en-US" w:eastAsia="zh-CN"/>
              </w:rPr>
              <w:t>经现场勘查，项目</w:t>
            </w:r>
            <w:r>
              <w:rPr>
                <w:rFonts w:hint="eastAsia" w:cs="Times New Roman"/>
                <w:color w:val="auto"/>
                <w:sz w:val="24"/>
                <w:szCs w:val="24"/>
                <w:highlight w:val="none"/>
                <w:u w:val="none"/>
                <w:lang w:val="en-US" w:eastAsia="zh-CN"/>
              </w:rPr>
              <w:t>现场为空地</w:t>
            </w:r>
            <w:r>
              <w:rPr>
                <w:rFonts w:hint="eastAsia" w:ascii="Times New Roman" w:hAnsi="Times New Roman" w:eastAsia="宋体" w:cs="Times New Roman"/>
                <w:color w:val="auto"/>
                <w:sz w:val="24"/>
                <w:szCs w:val="24"/>
                <w:highlight w:val="none"/>
                <w:u w:val="none"/>
                <w:lang w:val="en-US" w:eastAsia="zh-CN"/>
              </w:rPr>
              <w:t>，</w:t>
            </w:r>
            <w:r>
              <w:rPr>
                <w:rFonts w:hint="eastAsia" w:ascii="Times New Roman" w:hAnsi="Times New Roman" w:eastAsia="宋体" w:cs="Times New Roman"/>
                <w:color w:val="auto"/>
                <w:sz w:val="24"/>
                <w:szCs w:val="24"/>
                <w:highlight w:val="none"/>
                <w:u w:val="none"/>
              </w:rPr>
              <w:t>故不存在原有污染及环境问题</w:t>
            </w:r>
            <w:r>
              <w:rPr>
                <w:rFonts w:hint="eastAsia" w:ascii="Times New Roman" w:hAnsi="Times New Roman" w:eastAsia="宋体" w:cs="Times New Roman"/>
                <w:color w:val="auto"/>
                <w:sz w:val="24"/>
                <w:szCs w:val="24"/>
                <w:highlight w:val="none"/>
                <w:u w:val="none"/>
                <w:lang w:eastAsia="zh-CN"/>
              </w:rPr>
              <w:t>。</w:t>
            </w:r>
          </w:p>
        </w:tc>
      </w:tr>
    </w:tbl>
    <w:p w14:paraId="2E5A253B">
      <w:pPr>
        <w:rPr>
          <w:highlight w:val="none"/>
          <w:lang w:val="zh-CN"/>
        </w:rPr>
        <w:sectPr>
          <w:pgSz w:w="11906" w:h="16838"/>
          <w:pgMar w:top="1701" w:right="1531" w:bottom="1701" w:left="1531" w:header="851" w:footer="851" w:gutter="0"/>
          <w:pgBorders>
            <w:top w:val="none" w:sz="0" w:space="0"/>
            <w:left w:val="none" w:sz="0" w:space="0"/>
            <w:bottom w:val="none" w:sz="0" w:space="0"/>
            <w:right w:val="none" w:sz="0" w:space="0"/>
          </w:pgBorders>
          <w:pgNumType w:fmt="decimal"/>
          <w:cols w:space="720" w:num="1"/>
          <w:docGrid w:linePitch="312" w:charSpace="0"/>
        </w:sectPr>
      </w:pPr>
    </w:p>
    <w:p w14:paraId="032CA53B">
      <w:pPr>
        <w:pStyle w:val="2"/>
        <w:keepLines/>
        <w:widowControl/>
        <w:overflowPunct/>
        <w:adjustRightInd w:val="0"/>
        <w:spacing w:before="240" w:beforeLines="100" w:after="240" w:afterLines="100" w:line="240" w:lineRule="auto"/>
        <w:ind w:left="0" w:firstLine="0"/>
        <w:jc w:val="center"/>
        <w:rPr>
          <w:rFonts w:eastAsia="宋体"/>
          <w:b w:val="0"/>
          <w:color w:val="auto"/>
          <w:highlight w:val="none"/>
          <w:lang w:val="zh-CN"/>
        </w:rPr>
      </w:pPr>
      <w:bookmarkStart w:id="12" w:name="_Toc26314"/>
      <w:bookmarkStart w:id="13" w:name="_Toc66538119"/>
      <w:r>
        <w:rPr>
          <w:rFonts w:hint="eastAsia" w:eastAsia="宋体"/>
          <w:b w:val="0"/>
          <w:color w:val="auto"/>
          <w:highlight w:val="none"/>
          <w:lang w:val="zh-CN"/>
        </w:rPr>
        <w:t>三、区域环境质量现状、环境保护目标及评价标准</w:t>
      </w:r>
      <w:bookmarkEnd w:id="12"/>
      <w:bookmarkEnd w:id="13"/>
    </w:p>
    <w:tbl>
      <w:tblPr>
        <w:tblStyle w:val="32"/>
        <w:tblW w:w="9081"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498"/>
        <w:gridCol w:w="8583"/>
      </w:tblGrid>
      <w:tr w14:paraId="0D27D20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498" w:type="dxa"/>
            <w:vAlign w:val="center"/>
          </w:tcPr>
          <w:p w14:paraId="1D48E926">
            <w:pPr>
              <w:keepNext w:val="0"/>
              <w:keepLines w:val="0"/>
              <w:suppressLineNumbers w:val="0"/>
              <w:adjustRightInd w:val="0"/>
              <w:snapToGrid w:val="0"/>
              <w:spacing w:before="0" w:beforeAutospacing="0" w:after="0" w:afterAutospacing="0"/>
              <w:ind w:left="0" w:right="0"/>
              <w:jc w:val="center"/>
              <w:rPr>
                <w:rFonts w:hint="default" w:hAnsi="宋体"/>
                <w:kern w:val="0"/>
                <w:sz w:val="21"/>
                <w:szCs w:val="21"/>
                <w:highlight w:val="none"/>
              </w:rPr>
            </w:pPr>
          </w:p>
          <w:p w14:paraId="4F481B56">
            <w:pPr>
              <w:keepNext w:val="0"/>
              <w:keepLines w:val="0"/>
              <w:suppressLineNumbers w:val="0"/>
              <w:adjustRightInd w:val="0"/>
              <w:snapToGrid w:val="0"/>
              <w:spacing w:before="0" w:beforeAutospacing="0" w:after="0" w:afterAutospacing="0"/>
              <w:ind w:left="0" w:right="0"/>
              <w:jc w:val="center"/>
              <w:rPr>
                <w:rFonts w:hint="default" w:hAnsi="宋体"/>
                <w:kern w:val="0"/>
                <w:sz w:val="21"/>
                <w:szCs w:val="21"/>
                <w:highlight w:val="none"/>
              </w:rPr>
            </w:pPr>
          </w:p>
          <w:p w14:paraId="5B37A8F1">
            <w:pPr>
              <w:keepNext w:val="0"/>
              <w:keepLines w:val="0"/>
              <w:suppressLineNumbers w:val="0"/>
              <w:adjustRightInd w:val="0"/>
              <w:snapToGrid w:val="0"/>
              <w:spacing w:before="0" w:beforeAutospacing="0" w:after="0" w:afterAutospacing="0"/>
              <w:ind w:left="0" w:right="0"/>
              <w:jc w:val="center"/>
              <w:rPr>
                <w:rFonts w:hint="default" w:hAnsi="宋体"/>
                <w:kern w:val="0"/>
                <w:sz w:val="21"/>
                <w:szCs w:val="21"/>
                <w:highlight w:val="none"/>
              </w:rPr>
            </w:pPr>
          </w:p>
          <w:p w14:paraId="597FEB55">
            <w:pPr>
              <w:keepNext w:val="0"/>
              <w:keepLines w:val="0"/>
              <w:suppressLineNumbers w:val="0"/>
              <w:adjustRightInd w:val="0"/>
              <w:snapToGrid w:val="0"/>
              <w:spacing w:before="0" w:beforeAutospacing="0" w:after="0" w:afterAutospacing="0"/>
              <w:ind w:left="0" w:right="0"/>
              <w:jc w:val="center"/>
              <w:rPr>
                <w:rFonts w:hint="default" w:hAnsi="宋体"/>
                <w:kern w:val="0"/>
                <w:sz w:val="21"/>
                <w:szCs w:val="21"/>
                <w:highlight w:val="none"/>
              </w:rPr>
            </w:pPr>
          </w:p>
          <w:p w14:paraId="2E51892E">
            <w:pPr>
              <w:keepNext w:val="0"/>
              <w:keepLines w:val="0"/>
              <w:suppressLineNumbers w:val="0"/>
              <w:adjustRightInd w:val="0"/>
              <w:snapToGrid w:val="0"/>
              <w:spacing w:before="0" w:beforeAutospacing="0" w:after="0" w:afterAutospacing="0"/>
              <w:ind w:left="0" w:right="0"/>
              <w:jc w:val="center"/>
              <w:rPr>
                <w:rFonts w:hint="default" w:hAnsi="宋体"/>
                <w:kern w:val="0"/>
                <w:sz w:val="21"/>
                <w:szCs w:val="21"/>
                <w:highlight w:val="none"/>
              </w:rPr>
            </w:pPr>
          </w:p>
          <w:p w14:paraId="5D3EE911">
            <w:pPr>
              <w:keepNext w:val="0"/>
              <w:keepLines w:val="0"/>
              <w:suppressLineNumbers w:val="0"/>
              <w:adjustRightInd w:val="0"/>
              <w:snapToGrid w:val="0"/>
              <w:spacing w:before="0" w:beforeAutospacing="0" w:after="0" w:afterAutospacing="0"/>
              <w:ind w:left="0" w:right="0"/>
              <w:jc w:val="center"/>
              <w:rPr>
                <w:rFonts w:hint="default" w:hAnsi="宋体"/>
                <w:kern w:val="0"/>
                <w:sz w:val="21"/>
                <w:szCs w:val="21"/>
                <w:highlight w:val="none"/>
              </w:rPr>
            </w:pPr>
          </w:p>
          <w:p w14:paraId="4B8946BC">
            <w:pPr>
              <w:keepNext w:val="0"/>
              <w:keepLines w:val="0"/>
              <w:suppressLineNumbers w:val="0"/>
              <w:adjustRightInd w:val="0"/>
              <w:snapToGrid w:val="0"/>
              <w:spacing w:before="0" w:beforeAutospacing="0" w:after="0" w:afterAutospacing="0"/>
              <w:ind w:left="0" w:right="0"/>
              <w:jc w:val="center"/>
              <w:rPr>
                <w:rFonts w:hint="default" w:hAnsi="宋体"/>
                <w:kern w:val="0"/>
                <w:sz w:val="21"/>
                <w:szCs w:val="21"/>
                <w:highlight w:val="none"/>
              </w:rPr>
            </w:pPr>
          </w:p>
          <w:p w14:paraId="0232620C">
            <w:pPr>
              <w:keepNext w:val="0"/>
              <w:keepLines w:val="0"/>
              <w:suppressLineNumbers w:val="0"/>
              <w:adjustRightInd w:val="0"/>
              <w:snapToGrid w:val="0"/>
              <w:spacing w:before="0" w:beforeAutospacing="0" w:after="0" w:afterAutospacing="0"/>
              <w:ind w:left="0" w:right="0"/>
              <w:jc w:val="center"/>
              <w:rPr>
                <w:rFonts w:hint="default" w:hAnsi="宋体"/>
                <w:kern w:val="0"/>
                <w:sz w:val="21"/>
                <w:szCs w:val="21"/>
                <w:highlight w:val="none"/>
              </w:rPr>
            </w:pPr>
          </w:p>
          <w:p w14:paraId="02456027">
            <w:pPr>
              <w:keepNext w:val="0"/>
              <w:keepLines w:val="0"/>
              <w:suppressLineNumbers w:val="0"/>
              <w:adjustRightInd w:val="0"/>
              <w:snapToGrid w:val="0"/>
              <w:spacing w:before="0" w:beforeAutospacing="0" w:after="0" w:afterAutospacing="0"/>
              <w:ind w:left="0" w:right="0"/>
              <w:jc w:val="center"/>
              <w:rPr>
                <w:rFonts w:hint="default" w:hAnsi="宋体"/>
                <w:kern w:val="0"/>
                <w:sz w:val="21"/>
                <w:szCs w:val="21"/>
                <w:highlight w:val="none"/>
              </w:rPr>
            </w:pPr>
          </w:p>
          <w:p w14:paraId="29B66CFC">
            <w:pPr>
              <w:keepNext w:val="0"/>
              <w:keepLines w:val="0"/>
              <w:suppressLineNumbers w:val="0"/>
              <w:adjustRightInd w:val="0"/>
              <w:snapToGrid w:val="0"/>
              <w:spacing w:before="0" w:beforeAutospacing="0" w:after="0" w:afterAutospacing="0"/>
              <w:ind w:left="0" w:right="0"/>
              <w:jc w:val="center"/>
              <w:rPr>
                <w:rFonts w:hint="default" w:hAnsi="宋体"/>
                <w:kern w:val="0"/>
                <w:sz w:val="21"/>
                <w:szCs w:val="21"/>
                <w:highlight w:val="none"/>
              </w:rPr>
            </w:pPr>
          </w:p>
          <w:p w14:paraId="05A0B7E2">
            <w:pPr>
              <w:keepNext w:val="0"/>
              <w:keepLines w:val="0"/>
              <w:suppressLineNumbers w:val="0"/>
              <w:adjustRightInd w:val="0"/>
              <w:snapToGrid w:val="0"/>
              <w:spacing w:before="0" w:beforeAutospacing="0" w:after="0" w:afterAutospacing="0"/>
              <w:ind w:left="0" w:right="0"/>
              <w:jc w:val="center"/>
              <w:rPr>
                <w:rFonts w:hint="default" w:hAnsi="宋体"/>
                <w:kern w:val="0"/>
                <w:sz w:val="21"/>
                <w:szCs w:val="21"/>
                <w:highlight w:val="none"/>
              </w:rPr>
            </w:pPr>
          </w:p>
          <w:p w14:paraId="1B269FFE">
            <w:pPr>
              <w:keepNext w:val="0"/>
              <w:keepLines w:val="0"/>
              <w:suppressLineNumbers w:val="0"/>
              <w:adjustRightInd w:val="0"/>
              <w:snapToGrid w:val="0"/>
              <w:spacing w:before="0" w:beforeAutospacing="0" w:after="0" w:afterAutospacing="0"/>
              <w:ind w:left="0" w:right="0"/>
              <w:jc w:val="center"/>
              <w:rPr>
                <w:rFonts w:hint="default" w:hAnsi="宋体"/>
                <w:kern w:val="0"/>
                <w:sz w:val="21"/>
                <w:szCs w:val="21"/>
                <w:highlight w:val="none"/>
              </w:rPr>
            </w:pPr>
          </w:p>
          <w:p w14:paraId="3CD893C4">
            <w:pPr>
              <w:keepNext w:val="0"/>
              <w:keepLines w:val="0"/>
              <w:suppressLineNumbers w:val="0"/>
              <w:adjustRightInd w:val="0"/>
              <w:snapToGrid w:val="0"/>
              <w:spacing w:before="0" w:beforeAutospacing="0" w:after="0" w:afterAutospacing="0"/>
              <w:ind w:left="0" w:right="0"/>
              <w:jc w:val="center"/>
              <w:rPr>
                <w:rFonts w:hint="default" w:hAnsi="宋体"/>
                <w:kern w:val="0"/>
                <w:sz w:val="21"/>
                <w:szCs w:val="21"/>
                <w:highlight w:val="none"/>
              </w:rPr>
            </w:pPr>
          </w:p>
          <w:p w14:paraId="1060B88D">
            <w:pPr>
              <w:keepNext w:val="0"/>
              <w:keepLines w:val="0"/>
              <w:suppressLineNumbers w:val="0"/>
              <w:adjustRightInd w:val="0"/>
              <w:snapToGrid w:val="0"/>
              <w:spacing w:before="0" w:beforeAutospacing="0" w:after="0" w:afterAutospacing="0"/>
              <w:ind w:left="0" w:right="0"/>
              <w:jc w:val="center"/>
              <w:rPr>
                <w:rFonts w:hint="default" w:hAnsi="宋体"/>
                <w:kern w:val="0"/>
                <w:sz w:val="21"/>
                <w:szCs w:val="21"/>
                <w:highlight w:val="none"/>
              </w:rPr>
            </w:pPr>
          </w:p>
          <w:p w14:paraId="42D1B2F9">
            <w:pPr>
              <w:keepNext w:val="0"/>
              <w:keepLines w:val="0"/>
              <w:suppressLineNumbers w:val="0"/>
              <w:adjustRightInd w:val="0"/>
              <w:snapToGrid w:val="0"/>
              <w:spacing w:before="0" w:beforeAutospacing="0" w:after="0" w:afterAutospacing="0"/>
              <w:ind w:left="0" w:right="0"/>
              <w:jc w:val="center"/>
              <w:rPr>
                <w:rFonts w:hint="default" w:hAnsi="宋体"/>
                <w:kern w:val="0"/>
                <w:sz w:val="21"/>
                <w:szCs w:val="21"/>
                <w:highlight w:val="none"/>
              </w:rPr>
            </w:pPr>
          </w:p>
          <w:p w14:paraId="52703321">
            <w:pPr>
              <w:keepNext w:val="0"/>
              <w:keepLines w:val="0"/>
              <w:suppressLineNumbers w:val="0"/>
              <w:adjustRightInd w:val="0"/>
              <w:snapToGrid w:val="0"/>
              <w:spacing w:before="0" w:beforeAutospacing="0" w:after="0" w:afterAutospacing="0"/>
              <w:ind w:left="0" w:right="0"/>
              <w:jc w:val="center"/>
              <w:rPr>
                <w:rFonts w:hint="default" w:hAnsi="宋体"/>
                <w:kern w:val="0"/>
                <w:sz w:val="21"/>
                <w:szCs w:val="21"/>
                <w:highlight w:val="none"/>
              </w:rPr>
            </w:pPr>
          </w:p>
          <w:p w14:paraId="76860BCB">
            <w:pPr>
              <w:keepNext w:val="0"/>
              <w:keepLines w:val="0"/>
              <w:suppressLineNumbers w:val="0"/>
              <w:adjustRightInd w:val="0"/>
              <w:snapToGrid w:val="0"/>
              <w:spacing w:before="0" w:beforeAutospacing="0" w:after="0" w:afterAutospacing="0"/>
              <w:ind w:left="0" w:right="0"/>
              <w:jc w:val="center"/>
              <w:rPr>
                <w:rFonts w:hint="default" w:hAnsi="宋体"/>
                <w:kern w:val="0"/>
                <w:sz w:val="21"/>
                <w:szCs w:val="21"/>
                <w:highlight w:val="none"/>
              </w:rPr>
            </w:pPr>
          </w:p>
          <w:p w14:paraId="26D9785C">
            <w:pPr>
              <w:keepNext w:val="0"/>
              <w:keepLines w:val="0"/>
              <w:suppressLineNumbers w:val="0"/>
              <w:adjustRightInd w:val="0"/>
              <w:snapToGrid w:val="0"/>
              <w:spacing w:before="0" w:beforeAutospacing="0" w:after="0" w:afterAutospacing="0"/>
              <w:ind w:left="0" w:right="0"/>
              <w:jc w:val="center"/>
              <w:rPr>
                <w:rFonts w:hint="default" w:hAnsi="宋体"/>
                <w:kern w:val="0"/>
                <w:sz w:val="21"/>
                <w:szCs w:val="21"/>
                <w:highlight w:val="none"/>
              </w:rPr>
            </w:pPr>
          </w:p>
          <w:p w14:paraId="0591890E">
            <w:pPr>
              <w:keepNext w:val="0"/>
              <w:keepLines w:val="0"/>
              <w:suppressLineNumbers w:val="0"/>
              <w:adjustRightInd w:val="0"/>
              <w:snapToGrid w:val="0"/>
              <w:spacing w:before="0" w:beforeAutospacing="0" w:after="0" w:afterAutospacing="0"/>
              <w:ind w:left="0" w:right="0"/>
              <w:jc w:val="center"/>
              <w:rPr>
                <w:rFonts w:hint="default" w:hAnsi="宋体"/>
                <w:kern w:val="0"/>
                <w:sz w:val="21"/>
                <w:szCs w:val="21"/>
                <w:highlight w:val="none"/>
              </w:rPr>
            </w:pPr>
          </w:p>
          <w:p w14:paraId="247B25E0">
            <w:pPr>
              <w:keepNext w:val="0"/>
              <w:keepLines w:val="0"/>
              <w:suppressLineNumbers w:val="0"/>
              <w:adjustRightInd w:val="0"/>
              <w:snapToGrid w:val="0"/>
              <w:spacing w:before="0" w:beforeAutospacing="0" w:after="0" w:afterAutospacing="0"/>
              <w:ind w:left="0" w:right="0"/>
              <w:jc w:val="center"/>
              <w:rPr>
                <w:rFonts w:hint="default" w:hAnsi="宋体"/>
                <w:kern w:val="0"/>
                <w:sz w:val="21"/>
                <w:szCs w:val="21"/>
                <w:highlight w:val="none"/>
              </w:rPr>
            </w:pPr>
          </w:p>
          <w:p w14:paraId="1FBEDA64">
            <w:pPr>
              <w:keepNext w:val="0"/>
              <w:keepLines w:val="0"/>
              <w:suppressLineNumbers w:val="0"/>
              <w:adjustRightInd w:val="0"/>
              <w:snapToGrid w:val="0"/>
              <w:spacing w:before="0" w:beforeAutospacing="0" w:after="0" w:afterAutospacing="0"/>
              <w:ind w:left="0" w:right="0"/>
              <w:jc w:val="center"/>
              <w:rPr>
                <w:rFonts w:hint="default" w:hAnsi="宋体"/>
                <w:kern w:val="0"/>
                <w:sz w:val="21"/>
                <w:szCs w:val="21"/>
                <w:highlight w:val="none"/>
              </w:rPr>
            </w:pPr>
          </w:p>
          <w:p w14:paraId="6D7B93B7">
            <w:pPr>
              <w:keepNext w:val="0"/>
              <w:keepLines w:val="0"/>
              <w:suppressLineNumbers w:val="0"/>
              <w:adjustRightInd w:val="0"/>
              <w:snapToGrid w:val="0"/>
              <w:spacing w:before="0" w:beforeAutospacing="0" w:after="0" w:afterAutospacing="0"/>
              <w:ind w:left="0" w:right="0"/>
              <w:jc w:val="center"/>
              <w:rPr>
                <w:rFonts w:hint="default" w:hAnsi="宋体"/>
                <w:kern w:val="0"/>
                <w:sz w:val="21"/>
                <w:szCs w:val="21"/>
                <w:highlight w:val="none"/>
              </w:rPr>
            </w:pPr>
          </w:p>
          <w:p w14:paraId="0AA3D3E4">
            <w:pPr>
              <w:keepNext w:val="0"/>
              <w:keepLines w:val="0"/>
              <w:suppressLineNumbers w:val="0"/>
              <w:adjustRightInd w:val="0"/>
              <w:snapToGrid w:val="0"/>
              <w:spacing w:before="0" w:beforeAutospacing="0" w:after="0" w:afterAutospacing="0"/>
              <w:ind w:left="0" w:right="0"/>
              <w:jc w:val="center"/>
              <w:rPr>
                <w:rFonts w:hint="default"/>
                <w:kern w:val="0"/>
                <w:sz w:val="21"/>
                <w:szCs w:val="21"/>
                <w:highlight w:val="none"/>
              </w:rPr>
            </w:pPr>
            <w:r>
              <w:rPr>
                <w:rFonts w:hint="eastAsia" w:hAnsi="宋体"/>
                <w:kern w:val="0"/>
                <w:sz w:val="21"/>
                <w:szCs w:val="21"/>
                <w:highlight w:val="none"/>
              </w:rPr>
              <w:t>区域</w:t>
            </w:r>
          </w:p>
          <w:p w14:paraId="5D658AD4">
            <w:pPr>
              <w:keepNext w:val="0"/>
              <w:keepLines w:val="0"/>
              <w:suppressLineNumbers w:val="0"/>
              <w:adjustRightInd w:val="0"/>
              <w:snapToGrid w:val="0"/>
              <w:spacing w:before="0" w:beforeAutospacing="0" w:after="0" w:afterAutospacing="0"/>
              <w:ind w:left="0" w:right="0"/>
              <w:jc w:val="center"/>
              <w:rPr>
                <w:rFonts w:hint="default"/>
                <w:kern w:val="0"/>
                <w:sz w:val="21"/>
                <w:szCs w:val="21"/>
                <w:highlight w:val="none"/>
              </w:rPr>
            </w:pPr>
            <w:r>
              <w:rPr>
                <w:rFonts w:hint="eastAsia" w:hAnsi="宋体"/>
                <w:kern w:val="0"/>
                <w:sz w:val="21"/>
                <w:szCs w:val="21"/>
                <w:highlight w:val="none"/>
              </w:rPr>
              <w:t>环境</w:t>
            </w:r>
          </w:p>
          <w:p w14:paraId="2BFDA43E">
            <w:pPr>
              <w:keepNext w:val="0"/>
              <w:keepLines w:val="0"/>
              <w:suppressLineNumbers w:val="0"/>
              <w:adjustRightInd w:val="0"/>
              <w:snapToGrid w:val="0"/>
              <w:spacing w:before="0" w:beforeAutospacing="0" w:after="0" w:afterAutospacing="0"/>
              <w:ind w:left="0" w:right="0"/>
              <w:jc w:val="center"/>
              <w:rPr>
                <w:rFonts w:hint="default"/>
                <w:kern w:val="0"/>
                <w:sz w:val="21"/>
                <w:szCs w:val="21"/>
                <w:highlight w:val="none"/>
              </w:rPr>
            </w:pPr>
            <w:r>
              <w:rPr>
                <w:rFonts w:hint="eastAsia" w:hAnsi="宋体"/>
                <w:kern w:val="0"/>
                <w:sz w:val="21"/>
                <w:szCs w:val="21"/>
                <w:highlight w:val="none"/>
              </w:rPr>
              <w:t>质量</w:t>
            </w:r>
          </w:p>
          <w:p w14:paraId="49C2A934">
            <w:pPr>
              <w:keepNext w:val="0"/>
              <w:keepLines w:val="0"/>
              <w:suppressLineNumbers w:val="0"/>
              <w:adjustRightInd w:val="0"/>
              <w:snapToGrid w:val="0"/>
              <w:spacing w:before="0" w:beforeAutospacing="0" w:after="0" w:afterAutospacing="0"/>
              <w:ind w:left="0" w:right="0"/>
              <w:jc w:val="center"/>
              <w:rPr>
                <w:rFonts w:hint="default" w:hAnsi="宋体"/>
                <w:kern w:val="0"/>
                <w:sz w:val="21"/>
                <w:szCs w:val="21"/>
                <w:highlight w:val="none"/>
              </w:rPr>
            </w:pPr>
            <w:r>
              <w:rPr>
                <w:rFonts w:hint="eastAsia" w:hAnsi="宋体"/>
                <w:kern w:val="0"/>
                <w:sz w:val="21"/>
                <w:szCs w:val="21"/>
                <w:highlight w:val="none"/>
              </w:rPr>
              <w:t>现状</w:t>
            </w:r>
          </w:p>
          <w:p w14:paraId="709F41E4">
            <w:pPr>
              <w:keepNext w:val="0"/>
              <w:keepLines w:val="0"/>
              <w:suppressLineNumbers w:val="0"/>
              <w:adjustRightInd w:val="0"/>
              <w:snapToGrid w:val="0"/>
              <w:spacing w:before="0" w:beforeAutospacing="0" w:after="0" w:afterAutospacing="0"/>
              <w:ind w:left="0" w:right="0"/>
              <w:jc w:val="center"/>
              <w:rPr>
                <w:rFonts w:hint="default" w:hAnsi="宋体"/>
                <w:kern w:val="0"/>
                <w:sz w:val="21"/>
                <w:szCs w:val="21"/>
                <w:highlight w:val="none"/>
              </w:rPr>
            </w:pPr>
          </w:p>
          <w:p w14:paraId="79C64C72">
            <w:pPr>
              <w:keepNext w:val="0"/>
              <w:keepLines w:val="0"/>
              <w:suppressLineNumbers w:val="0"/>
              <w:adjustRightInd w:val="0"/>
              <w:snapToGrid w:val="0"/>
              <w:spacing w:before="0" w:beforeAutospacing="0" w:after="0" w:afterAutospacing="0"/>
              <w:ind w:left="0" w:right="0"/>
              <w:jc w:val="center"/>
              <w:rPr>
                <w:rFonts w:hint="default" w:hAnsi="宋体"/>
                <w:kern w:val="0"/>
                <w:sz w:val="21"/>
                <w:szCs w:val="21"/>
                <w:highlight w:val="none"/>
              </w:rPr>
            </w:pPr>
          </w:p>
          <w:p w14:paraId="1CFA2CFE">
            <w:pPr>
              <w:keepNext w:val="0"/>
              <w:keepLines w:val="0"/>
              <w:suppressLineNumbers w:val="0"/>
              <w:adjustRightInd w:val="0"/>
              <w:snapToGrid w:val="0"/>
              <w:spacing w:before="0" w:beforeAutospacing="0" w:after="0" w:afterAutospacing="0"/>
              <w:ind w:left="0" w:right="0"/>
              <w:jc w:val="center"/>
              <w:rPr>
                <w:rFonts w:hint="default" w:hAnsi="宋体"/>
                <w:kern w:val="0"/>
                <w:sz w:val="21"/>
                <w:szCs w:val="21"/>
                <w:highlight w:val="none"/>
              </w:rPr>
            </w:pPr>
          </w:p>
          <w:p w14:paraId="4C76E959">
            <w:pPr>
              <w:keepNext w:val="0"/>
              <w:keepLines w:val="0"/>
              <w:suppressLineNumbers w:val="0"/>
              <w:adjustRightInd w:val="0"/>
              <w:snapToGrid w:val="0"/>
              <w:spacing w:before="0" w:beforeAutospacing="0" w:after="0" w:afterAutospacing="0"/>
              <w:ind w:left="0" w:right="0"/>
              <w:jc w:val="center"/>
              <w:rPr>
                <w:rFonts w:hint="default" w:hAnsi="宋体"/>
                <w:kern w:val="0"/>
                <w:sz w:val="21"/>
                <w:szCs w:val="21"/>
                <w:highlight w:val="none"/>
              </w:rPr>
            </w:pPr>
          </w:p>
          <w:p w14:paraId="1A199CC0">
            <w:pPr>
              <w:keepNext w:val="0"/>
              <w:keepLines w:val="0"/>
              <w:suppressLineNumbers w:val="0"/>
              <w:adjustRightInd w:val="0"/>
              <w:snapToGrid w:val="0"/>
              <w:spacing w:before="0" w:beforeAutospacing="0" w:after="0" w:afterAutospacing="0"/>
              <w:ind w:left="0" w:right="0"/>
              <w:jc w:val="center"/>
              <w:rPr>
                <w:rFonts w:hint="default" w:hAnsi="宋体"/>
                <w:kern w:val="0"/>
                <w:sz w:val="21"/>
                <w:szCs w:val="21"/>
                <w:highlight w:val="none"/>
              </w:rPr>
            </w:pPr>
          </w:p>
          <w:p w14:paraId="42ED0957">
            <w:pPr>
              <w:keepNext w:val="0"/>
              <w:keepLines w:val="0"/>
              <w:suppressLineNumbers w:val="0"/>
              <w:adjustRightInd w:val="0"/>
              <w:snapToGrid w:val="0"/>
              <w:spacing w:before="0" w:beforeAutospacing="0" w:after="0" w:afterAutospacing="0"/>
              <w:ind w:left="0" w:right="0"/>
              <w:jc w:val="center"/>
              <w:rPr>
                <w:rFonts w:hint="default" w:hAnsi="宋体"/>
                <w:kern w:val="0"/>
                <w:sz w:val="21"/>
                <w:szCs w:val="21"/>
                <w:highlight w:val="none"/>
              </w:rPr>
            </w:pPr>
          </w:p>
          <w:p w14:paraId="3D9484FB">
            <w:pPr>
              <w:keepNext w:val="0"/>
              <w:keepLines w:val="0"/>
              <w:suppressLineNumbers w:val="0"/>
              <w:adjustRightInd w:val="0"/>
              <w:snapToGrid w:val="0"/>
              <w:spacing w:before="0" w:beforeAutospacing="0" w:after="0" w:afterAutospacing="0"/>
              <w:ind w:left="0" w:right="0"/>
              <w:jc w:val="center"/>
              <w:rPr>
                <w:rFonts w:hint="default" w:hAnsi="宋体"/>
                <w:kern w:val="0"/>
                <w:sz w:val="21"/>
                <w:szCs w:val="21"/>
                <w:highlight w:val="none"/>
              </w:rPr>
            </w:pPr>
          </w:p>
          <w:p w14:paraId="66E0BA9C">
            <w:pPr>
              <w:keepNext w:val="0"/>
              <w:keepLines w:val="0"/>
              <w:suppressLineNumbers w:val="0"/>
              <w:adjustRightInd w:val="0"/>
              <w:snapToGrid w:val="0"/>
              <w:spacing w:before="0" w:beforeAutospacing="0" w:after="0" w:afterAutospacing="0"/>
              <w:ind w:left="0" w:right="0"/>
              <w:jc w:val="center"/>
              <w:rPr>
                <w:rFonts w:hint="default" w:hAnsi="宋体"/>
                <w:kern w:val="0"/>
                <w:sz w:val="21"/>
                <w:szCs w:val="21"/>
                <w:highlight w:val="none"/>
              </w:rPr>
            </w:pPr>
          </w:p>
          <w:p w14:paraId="6FDD25BB">
            <w:pPr>
              <w:keepNext w:val="0"/>
              <w:keepLines w:val="0"/>
              <w:suppressLineNumbers w:val="0"/>
              <w:adjustRightInd w:val="0"/>
              <w:snapToGrid w:val="0"/>
              <w:spacing w:before="0" w:beforeAutospacing="0" w:after="0" w:afterAutospacing="0"/>
              <w:ind w:left="0" w:right="0"/>
              <w:jc w:val="center"/>
              <w:rPr>
                <w:rFonts w:hint="default" w:hAnsi="宋体"/>
                <w:kern w:val="0"/>
                <w:sz w:val="21"/>
                <w:szCs w:val="21"/>
                <w:highlight w:val="none"/>
              </w:rPr>
            </w:pPr>
          </w:p>
          <w:p w14:paraId="53592E09">
            <w:pPr>
              <w:keepNext w:val="0"/>
              <w:keepLines w:val="0"/>
              <w:suppressLineNumbers w:val="0"/>
              <w:adjustRightInd w:val="0"/>
              <w:snapToGrid w:val="0"/>
              <w:spacing w:before="0" w:beforeAutospacing="0" w:after="0" w:afterAutospacing="0"/>
              <w:ind w:left="0" w:right="0"/>
              <w:jc w:val="center"/>
              <w:rPr>
                <w:rFonts w:hint="default" w:hAnsi="宋体"/>
                <w:kern w:val="0"/>
                <w:sz w:val="21"/>
                <w:szCs w:val="21"/>
                <w:highlight w:val="none"/>
              </w:rPr>
            </w:pPr>
          </w:p>
          <w:p w14:paraId="56927190">
            <w:pPr>
              <w:keepNext w:val="0"/>
              <w:keepLines w:val="0"/>
              <w:suppressLineNumbers w:val="0"/>
              <w:adjustRightInd w:val="0"/>
              <w:snapToGrid w:val="0"/>
              <w:spacing w:before="0" w:beforeAutospacing="0" w:after="0" w:afterAutospacing="0"/>
              <w:ind w:left="0" w:right="0"/>
              <w:jc w:val="center"/>
              <w:rPr>
                <w:rFonts w:hint="default" w:hAnsi="宋体"/>
                <w:kern w:val="0"/>
                <w:sz w:val="21"/>
                <w:szCs w:val="21"/>
                <w:highlight w:val="none"/>
              </w:rPr>
            </w:pPr>
          </w:p>
          <w:p w14:paraId="40DB3345">
            <w:pPr>
              <w:keepNext w:val="0"/>
              <w:keepLines w:val="0"/>
              <w:suppressLineNumbers w:val="0"/>
              <w:adjustRightInd w:val="0"/>
              <w:snapToGrid w:val="0"/>
              <w:spacing w:before="0" w:beforeAutospacing="0" w:after="0" w:afterAutospacing="0"/>
              <w:ind w:left="0" w:right="0"/>
              <w:jc w:val="center"/>
              <w:rPr>
                <w:rFonts w:hint="default" w:hAnsi="宋体"/>
                <w:kern w:val="0"/>
                <w:sz w:val="21"/>
                <w:szCs w:val="21"/>
                <w:highlight w:val="none"/>
              </w:rPr>
            </w:pPr>
          </w:p>
          <w:p w14:paraId="0FEB9BED">
            <w:pPr>
              <w:keepNext w:val="0"/>
              <w:keepLines w:val="0"/>
              <w:suppressLineNumbers w:val="0"/>
              <w:adjustRightInd w:val="0"/>
              <w:snapToGrid w:val="0"/>
              <w:spacing w:before="0" w:beforeAutospacing="0" w:after="0" w:afterAutospacing="0"/>
              <w:ind w:left="0" w:right="0"/>
              <w:jc w:val="center"/>
              <w:rPr>
                <w:rFonts w:hint="default" w:hAnsi="宋体"/>
                <w:kern w:val="0"/>
                <w:sz w:val="21"/>
                <w:szCs w:val="21"/>
                <w:highlight w:val="none"/>
              </w:rPr>
            </w:pPr>
          </w:p>
          <w:p w14:paraId="6417C0B2">
            <w:pPr>
              <w:keepNext w:val="0"/>
              <w:keepLines w:val="0"/>
              <w:suppressLineNumbers w:val="0"/>
              <w:adjustRightInd w:val="0"/>
              <w:snapToGrid w:val="0"/>
              <w:spacing w:before="0" w:beforeAutospacing="0" w:after="0" w:afterAutospacing="0"/>
              <w:ind w:left="0" w:right="0"/>
              <w:jc w:val="center"/>
              <w:rPr>
                <w:rFonts w:hint="default" w:hAnsi="宋体"/>
                <w:kern w:val="0"/>
                <w:sz w:val="21"/>
                <w:szCs w:val="21"/>
                <w:highlight w:val="none"/>
              </w:rPr>
            </w:pPr>
          </w:p>
          <w:p w14:paraId="5DFFAD74">
            <w:pPr>
              <w:keepNext w:val="0"/>
              <w:keepLines w:val="0"/>
              <w:suppressLineNumbers w:val="0"/>
              <w:adjustRightInd w:val="0"/>
              <w:snapToGrid w:val="0"/>
              <w:spacing w:before="0" w:beforeAutospacing="0" w:after="0" w:afterAutospacing="0"/>
              <w:ind w:left="0" w:right="0"/>
              <w:jc w:val="center"/>
              <w:rPr>
                <w:rFonts w:hint="default" w:hAnsi="宋体"/>
                <w:kern w:val="0"/>
                <w:sz w:val="21"/>
                <w:szCs w:val="21"/>
                <w:highlight w:val="none"/>
              </w:rPr>
            </w:pPr>
          </w:p>
          <w:p w14:paraId="4F7C488B">
            <w:pPr>
              <w:keepNext w:val="0"/>
              <w:keepLines w:val="0"/>
              <w:suppressLineNumbers w:val="0"/>
              <w:adjustRightInd w:val="0"/>
              <w:snapToGrid w:val="0"/>
              <w:spacing w:before="0" w:beforeAutospacing="0" w:after="0" w:afterAutospacing="0"/>
              <w:ind w:left="0" w:right="0"/>
              <w:jc w:val="center"/>
              <w:rPr>
                <w:rFonts w:hint="default" w:hAnsi="宋体"/>
                <w:kern w:val="0"/>
                <w:sz w:val="21"/>
                <w:szCs w:val="21"/>
                <w:highlight w:val="none"/>
              </w:rPr>
            </w:pPr>
          </w:p>
          <w:p w14:paraId="4D11566A">
            <w:pPr>
              <w:keepNext w:val="0"/>
              <w:keepLines w:val="0"/>
              <w:suppressLineNumbers w:val="0"/>
              <w:adjustRightInd w:val="0"/>
              <w:snapToGrid w:val="0"/>
              <w:spacing w:before="0" w:beforeAutospacing="0" w:after="0" w:afterAutospacing="0"/>
              <w:ind w:left="0" w:right="0"/>
              <w:jc w:val="center"/>
              <w:rPr>
                <w:rFonts w:hint="default" w:hAnsi="宋体"/>
                <w:kern w:val="0"/>
                <w:sz w:val="21"/>
                <w:szCs w:val="21"/>
                <w:highlight w:val="none"/>
              </w:rPr>
            </w:pPr>
          </w:p>
          <w:p w14:paraId="0CE70F6C">
            <w:pPr>
              <w:keepNext w:val="0"/>
              <w:keepLines w:val="0"/>
              <w:suppressLineNumbers w:val="0"/>
              <w:adjustRightInd w:val="0"/>
              <w:snapToGrid w:val="0"/>
              <w:spacing w:before="0" w:beforeAutospacing="0" w:after="0" w:afterAutospacing="0"/>
              <w:ind w:left="0" w:right="0"/>
              <w:jc w:val="center"/>
              <w:rPr>
                <w:rFonts w:hint="default" w:hAnsi="宋体"/>
                <w:kern w:val="0"/>
                <w:sz w:val="21"/>
                <w:szCs w:val="21"/>
                <w:highlight w:val="none"/>
              </w:rPr>
            </w:pPr>
          </w:p>
          <w:p w14:paraId="3FC29DDF">
            <w:pPr>
              <w:keepNext w:val="0"/>
              <w:keepLines w:val="0"/>
              <w:suppressLineNumbers w:val="0"/>
              <w:adjustRightInd w:val="0"/>
              <w:snapToGrid w:val="0"/>
              <w:spacing w:before="0" w:beforeAutospacing="0" w:after="0" w:afterAutospacing="0"/>
              <w:ind w:left="0" w:right="0"/>
              <w:jc w:val="center"/>
              <w:rPr>
                <w:rFonts w:hint="default" w:hAnsi="宋体"/>
                <w:kern w:val="0"/>
                <w:sz w:val="21"/>
                <w:szCs w:val="21"/>
                <w:highlight w:val="none"/>
              </w:rPr>
            </w:pPr>
          </w:p>
          <w:p w14:paraId="2D91F040">
            <w:pPr>
              <w:keepNext w:val="0"/>
              <w:keepLines w:val="0"/>
              <w:suppressLineNumbers w:val="0"/>
              <w:adjustRightInd w:val="0"/>
              <w:snapToGrid w:val="0"/>
              <w:spacing w:before="0" w:beforeAutospacing="0" w:after="0" w:afterAutospacing="0"/>
              <w:ind w:left="0" w:right="0"/>
              <w:jc w:val="center"/>
              <w:rPr>
                <w:rFonts w:hint="default" w:hAnsi="宋体"/>
                <w:kern w:val="0"/>
                <w:sz w:val="21"/>
                <w:szCs w:val="21"/>
                <w:highlight w:val="none"/>
              </w:rPr>
            </w:pPr>
          </w:p>
          <w:p w14:paraId="60974FE4">
            <w:pPr>
              <w:keepNext w:val="0"/>
              <w:keepLines w:val="0"/>
              <w:suppressLineNumbers w:val="0"/>
              <w:adjustRightInd w:val="0"/>
              <w:snapToGrid w:val="0"/>
              <w:spacing w:before="0" w:beforeAutospacing="0" w:after="0" w:afterAutospacing="0"/>
              <w:ind w:left="0" w:right="0"/>
              <w:jc w:val="center"/>
              <w:rPr>
                <w:rFonts w:hint="default" w:hAnsi="宋体"/>
                <w:kern w:val="0"/>
                <w:sz w:val="21"/>
                <w:szCs w:val="21"/>
                <w:highlight w:val="none"/>
              </w:rPr>
            </w:pPr>
          </w:p>
          <w:p w14:paraId="7B1C89C4">
            <w:pPr>
              <w:keepNext w:val="0"/>
              <w:keepLines w:val="0"/>
              <w:suppressLineNumbers w:val="0"/>
              <w:adjustRightInd w:val="0"/>
              <w:snapToGrid w:val="0"/>
              <w:spacing w:before="0" w:beforeAutospacing="0" w:after="0" w:afterAutospacing="0"/>
              <w:ind w:left="0" w:right="0"/>
              <w:jc w:val="center"/>
              <w:rPr>
                <w:rFonts w:hint="default" w:hAnsi="宋体"/>
                <w:kern w:val="0"/>
                <w:sz w:val="21"/>
                <w:szCs w:val="21"/>
                <w:highlight w:val="none"/>
              </w:rPr>
            </w:pPr>
          </w:p>
          <w:p w14:paraId="7FB8E330">
            <w:pPr>
              <w:keepNext w:val="0"/>
              <w:keepLines w:val="0"/>
              <w:suppressLineNumbers w:val="0"/>
              <w:adjustRightInd w:val="0"/>
              <w:snapToGrid w:val="0"/>
              <w:spacing w:before="0" w:beforeAutospacing="0" w:after="0" w:afterAutospacing="0"/>
              <w:ind w:left="0" w:right="0"/>
              <w:jc w:val="center"/>
              <w:rPr>
                <w:rFonts w:hint="default" w:hAnsi="宋体"/>
                <w:kern w:val="0"/>
                <w:sz w:val="21"/>
                <w:szCs w:val="21"/>
                <w:highlight w:val="none"/>
              </w:rPr>
            </w:pPr>
          </w:p>
          <w:p w14:paraId="20C28735">
            <w:pPr>
              <w:keepNext w:val="0"/>
              <w:keepLines w:val="0"/>
              <w:suppressLineNumbers w:val="0"/>
              <w:adjustRightInd w:val="0"/>
              <w:snapToGrid w:val="0"/>
              <w:spacing w:before="0" w:beforeAutospacing="0" w:after="0" w:afterAutospacing="0"/>
              <w:ind w:left="0" w:right="0"/>
              <w:jc w:val="center"/>
              <w:rPr>
                <w:rFonts w:hint="default" w:hAnsi="宋体"/>
                <w:kern w:val="0"/>
                <w:sz w:val="21"/>
                <w:szCs w:val="21"/>
                <w:highlight w:val="none"/>
              </w:rPr>
            </w:pPr>
          </w:p>
          <w:p w14:paraId="59A06BF0">
            <w:pPr>
              <w:keepNext w:val="0"/>
              <w:keepLines w:val="0"/>
              <w:suppressLineNumbers w:val="0"/>
              <w:adjustRightInd w:val="0"/>
              <w:snapToGrid w:val="0"/>
              <w:spacing w:before="0" w:beforeAutospacing="0" w:after="0" w:afterAutospacing="0"/>
              <w:ind w:left="0" w:right="0"/>
              <w:jc w:val="center"/>
              <w:rPr>
                <w:rFonts w:hint="default" w:hAnsi="宋体"/>
                <w:kern w:val="0"/>
                <w:sz w:val="21"/>
                <w:szCs w:val="21"/>
                <w:highlight w:val="none"/>
              </w:rPr>
            </w:pPr>
          </w:p>
          <w:p w14:paraId="2CFA9E0F">
            <w:pPr>
              <w:keepNext w:val="0"/>
              <w:keepLines w:val="0"/>
              <w:suppressLineNumbers w:val="0"/>
              <w:adjustRightInd w:val="0"/>
              <w:snapToGrid w:val="0"/>
              <w:spacing w:before="0" w:beforeAutospacing="0" w:after="0" w:afterAutospacing="0"/>
              <w:ind w:left="0" w:right="0"/>
              <w:jc w:val="center"/>
              <w:rPr>
                <w:rFonts w:hint="default" w:hAnsi="宋体"/>
                <w:kern w:val="0"/>
                <w:sz w:val="21"/>
                <w:szCs w:val="21"/>
                <w:highlight w:val="none"/>
              </w:rPr>
            </w:pPr>
          </w:p>
          <w:p w14:paraId="4BBF3AC8">
            <w:pPr>
              <w:keepNext w:val="0"/>
              <w:keepLines w:val="0"/>
              <w:suppressLineNumbers w:val="0"/>
              <w:adjustRightInd w:val="0"/>
              <w:snapToGrid w:val="0"/>
              <w:spacing w:before="0" w:beforeAutospacing="0" w:after="0" w:afterAutospacing="0"/>
              <w:ind w:left="0" w:right="0"/>
              <w:jc w:val="center"/>
              <w:rPr>
                <w:rFonts w:hint="default" w:hAnsi="宋体"/>
                <w:kern w:val="0"/>
                <w:sz w:val="21"/>
                <w:szCs w:val="21"/>
                <w:highlight w:val="none"/>
              </w:rPr>
            </w:pPr>
          </w:p>
          <w:p w14:paraId="0C58FACA">
            <w:pPr>
              <w:keepNext w:val="0"/>
              <w:keepLines w:val="0"/>
              <w:suppressLineNumbers w:val="0"/>
              <w:adjustRightInd w:val="0"/>
              <w:snapToGrid w:val="0"/>
              <w:spacing w:before="0" w:beforeAutospacing="0" w:after="0" w:afterAutospacing="0"/>
              <w:ind w:left="0" w:right="0"/>
              <w:jc w:val="center"/>
              <w:rPr>
                <w:rFonts w:hint="default" w:hAnsi="宋体"/>
                <w:kern w:val="0"/>
                <w:sz w:val="21"/>
                <w:szCs w:val="21"/>
                <w:highlight w:val="none"/>
              </w:rPr>
            </w:pPr>
          </w:p>
          <w:p w14:paraId="1B5DF1E8">
            <w:pPr>
              <w:keepNext w:val="0"/>
              <w:keepLines w:val="0"/>
              <w:suppressLineNumbers w:val="0"/>
              <w:adjustRightInd w:val="0"/>
              <w:snapToGrid w:val="0"/>
              <w:spacing w:before="0" w:beforeAutospacing="0" w:after="0" w:afterAutospacing="0"/>
              <w:ind w:left="0" w:right="0"/>
              <w:jc w:val="center"/>
              <w:rPr>
                <w:rFonts w:hint="default" w:hAnsi="宋体"/>
                <w:kern w:val="0"/>
                <w:sz w:val="21"/>
                <w:szCs w:val="21"/>
                <w:highlight w:val="none"/>
              </w:rPr>
            </w:pPr>
          </w:p>
          <w:p w14:paraId="3CCEED2A">
            <w:pPr>
              <w:keepNext w:val="0"/>
              <w:keepLines w:val="0"/>
              <w:suppressLineNumbers w:val="0"/>
              <w:adjustRightInd w:val="0"/>
              <w:snapToGrid w:val="0"/>
              <w:spacing w:before="0" w:beforeAutospacing="0" w:after="0" w:afterAutospacing="0"/>
              <w:ind w:left="0" w:right="0"/>
              <w:jc w:val="center"/>
              <w:rPr>
                <w:rFonts w:hint="default" w:hAnsi="宋体"/>
                <w:kern w:val="0"/>
                <w:sz w:val="21"/>
                <w:szCs w:val="21"/>
                <w:highlight w:val="none"/>
              </w:rPr>
            </w:pPr>
          </w:p>
          <w:p w14:paraId="26F7BD65">
            <w:pPr>
              <w:keepNext w:val="0"/>
              <w:keepLines w:val="0"/>
              <w:suppressLineNumbers w:val="0"/>
              <w:adjustRightInd w:val="0"/>
              <w:snapToGrid w:val="0"/>
              <w:spacing w:before="0" w:beforeAutospacing="0" w:after="0" w:afterAutospacing="0"/>
              <w:ind w:left="0" w:right="0"/>
              <w:jc w:val="center"/>
              <w:rPr>
                <w:rFonts w:hint="default" w:hAnsi="宋体"/>
                <w:kern w:val="0"/>
                <w:sz w:val="21"/>
                <w:szCs w:val="21"/>
                <w:highlight w:val="none"/>
              </w:rPr>
            </w:pPr>
          </w:p>
          <w:p w14:paraId="07C79467">
            <w:pPr>
              <w:keepNext w:val="0"/>
              <w:keepLines w:val="0"/>
              <w:suppressLineNumbers w:val="0"/>
              <w:adjustRightInd w:val="0"/>
              <w:snapToGrid w:val="0"/>
              <w:spacing w:before="0" w:beforeAutospacing="0" w:after="0" w:afterAutospacing="0"/>
              <w:ind w:left="0" w:right="0"/>
              <w:jc w:val="center"/>
              <w:rPr>
                <w:rFonts w:hint="default" w:hAnsi="宋体"/>
                <w:kern w:val="0"/>
                <w:sz w:val="21"/>
                <w:szCs w:val="21"/>
                <w:highlight w:val="none"/>
              </w:rPr>
            </w:pPr>
          </w:p>
          <w:p w14:paraId="7BF4A9E4">
            <w:pPr>
              <w:keepNext w:val="0"/>
              <w:keepLines w:val="0"/>
              <w:suppressLineNumbers w:val="0"/>
              <w:adjustRightInd w:val="0"/>
              <w:snapToGrid w:val="0"/>
              <w:spacing w:before="0" w:beforeAutospacing="0" w:after="0" w:afterAutospacing="0"/>
              <w:ind w:left="0" w:right="0"/>
              <w:jc w:val="center"/>
              <w:rPr>
                <w:rFonts w:hint="default" w:hAnsi="宋体"/>
                <w:kern w:val="0"/>
                <w:sz w:val="21"/>
                <w:szCs w:val="21"/>
                <w:highlight w:val="none"/>
              </w:rPr>
            </w:pPr>
          </w:p>
          <w:p w14:paraId="34E5A338">
            <w:pPr>
              <w:keepNext w:val="0"/>
              <w:keepLines w:val="0"/>
              <w:suppressLineNumbers w:val="0"/>
              <w:adjustRightInd w:val="0"/>
              <w:snapToGrid w:val="0"/>
              <w:spacing w:before="0" w:beforeAutospacing="0" w:after="0" w:afterAutospacing="0"/>
              <w:ind w:left="0" w:right="0"/>
              <w:jc w:val="center"/>
              <w:rPr>
                <w:rFonts w:hint="default" w:hAnsi="宋体"/>
                <w:kern w:val="0"/>
                <w:sz w:val="21"/>
                <w:szCs w:val="21"/>
                <w:highlight w:val="none"/>
              </w:rPr>
            </w:pPr>
          </w:p>
          <w:p w14:paraId="59ACF269">
            <w:pPr>
              <w:keepNext w:val="0"/>
              <w:keepLines w:val="0"/>
              <w:suppressLineNumbers w:val="0"/>
              <w:adjustRightInd w:val="0"/>
              <w:snapToGrid w:val="0"/>
              <w:spacing w:before="0" w:beforeAutospacing="0" w:after="0" w:afterAutospacing="0"/>
              <w:ind w:left="0" w:right="0"/>
              <w:jc w:val="center"/>
              <w:rPr>
                <w:rFonts w:hint="default"/>
                <w:kern w:val="0"/>
                <w:sz w:val="21"/>
                <w:szCs w:val="21"/>
                <w:highlight w:val="none"/>
              </w:rPr>
            </w:pPr>
            <w:r>
              <w:rPr>
                <w:rFonts w:hint="eastAsia" w:hAnsi="宋体"/>
                <w:kern w:val="0"/>
                <w:sz w:val="21"/>
                <w:szCs w:val="21"/>
                <w:highlight w:val="none"/>
              </w:rPr>
              <w:t>区域</w:t>
            </w:r>
          </w:p>
          <w:p w14:paraId="1E81DCAF">
            <w:pPr>
              <w:keepNext w:val="0"/>
              <w:keepLines w:val="0"/>
              <w:suppressLineNumbers w:val="0"/>
              <w:adjustRightInd w:val="0"/>
              <w:snapToGrid w:val="0"/>
              <w:spacing w:before="0" w:beforeAutospacing="0" w:after="0" w:afterAutospacing="0"/>
              <w:ind w:left="0" w:right="0"/>
              <w:jc w:val="center"/>
              <w:rPr>
                <w:rFonts w:hint="default"/>
                <w:kern w:val="0"/>
                <w:sz w:val="21"/>
                <w:szCs w:val="21"/>
                <w:highlight w:val="none"/>
              </w:rPr>
            </w:pPr>
            <w:r>
              <w:rPr>
                <w:rFonts w:hint="eastAsia" w:hAnsi="宋体"/>
                <w:kern w:val="0"/>
                <w:sz w:val="21"/>
                <w:szCs w:val="21"/>
                <w:highlight w:val="none"/>
              </w:rPr>
              <w:t>环境</w:t>
            </w:r>
          </w:p>
          <w:p w14:paraId="611CE279">
            <w:pPr>
              <w:keepNext w:val="0"/>
              <w:keepLines w:val="0"/>
              <w:suppressLineNumbers w:val="0"/>
              <w:adjustRightInd w:val="0"/>
              <w:snapToGrid w:val="0"/>
              <w:spacing w:before="0" w:beforeAutospacing="0" w:after="0" w:afterAutospacing="0"/>
              <w:ind w:left="0" w:right="0"/>
              <w:jc w:val="center"/>
              <w:rPr>
                <w:rFonts w:hint="default"/>
                <w:kern w:val="0"/>
                <w:sz w:val="21"/>
                <w:szCs w:val="21"/>
                <w:highlight w:val="none"/>
              </w:rPr>
            </w:pPr>
            <w:r>
              <w:rPr>
                <w:rFonts w:hint="eastAsia" w:hAnsi="宋体"/>
                <w:kern w:val="0"/>
                <w:sz w:val="21"/>
                <w:szCs w:val="21"/>
                <w:highlight w:val="none"/>
              </w:rPr>
              <w:t>质量</w:t>
            </w:r>
          </w:p>
          <w:p w14:paraId="40E0AB9D">
            <w:pPr>
              <w:keepNext w:val="0"/>
              <w:keepLines w:val="0"/>
              <w:suppressLineNumbers w:val="0"/>
              <w:adjustRightInd w:val="0"/>
              <w:snapToGrid w:val="0"/>
              <w:spacing w:before="0" w:beforeAutospacing="0" w:after="0" w:afterAutospacing="0"/>
              <w:ind w:left="0" w:right="0"/>
              <w:jc w:val="center"/>
              <w:rPr>
                <w:rFonts w:hint="default" w:hAnsi="宋体"/>
                <w:kern w:val="0"/>
                <w:sz w:val="21"/>
                <w:szCs w:val="21"/>
                <w:highlight w:val="none"/>
              </w:rPr>
            </w:pPr>
            <w:r>
              <w:rPr>
                <w:rFonts w:hint="eastAsia" w:hAnsi="宋体"/>
                <w:kern w:val="0"/>
                <w:sz w:val="21"/>
                <w:szCs w:val="21"/>
                <w:highlight w:val="none"/>
              </w:rPr>
              <w:t>现状</w:t>
            </w:r>
          </w:p>
          <w:p w14:paraId="4BC7CDDC">
            <w:pPr>
              <w:keepNext w:val="0"/>
              <w:keepLines w:val="0"/>
              <w:suppressLineNumbers w:val="0"/>
              <w:adjustRightInd w:val="0"/>
              <w:snapToGrid w:val="0"/>
              <w:spacing w:before="0" w:beforeAutospacing="0" w:after="0" w:afterAutospacing="0"/>
              <w:ind w:left="0" w:right="0"/>
              <w:rPr>
                <w:rFonts w:hint="default"/>
                <w:kern w:val="0"/>
                <w:sz w:val="21"/>
                <w:szCs w:val="21"/>
                <w:highlight w:val="none"/>
              </w:rPr>
            </w:pPr>
          </w:p>
        </w:tc>
        <w:tc>
          <w:tcPr>
            <w:tcW w:w="8583" w:type="dxa"/>
            <w:vAlign w:val="center"/>
          </w:tcPr>
          <w:p w14:paraId="32412236">
            <w:pPr>
              <w:keepNext w:val="0"/>
              <w:keepLines w:val="0"/>
              <w:suppressLineNumbers w:val="0"/>
              <w:adjustRightInd w:val="0"/>
              <w:snapToGrid w:val="0"/>
              <w:spacing w:before="0" w:beforeAutospacing="0" w:after="0" w:afterAutospacing="0" w:line="360" w:lineRule="auto"/>
              <w:ind w:left="0" w:right="0"/>
              <w:jc w:val="left"/>
              <w:rPr>
                <w:rFonts w:hint="default" w:ascii="Times New Roman" w:hAnsi="Times New Roman" w:eastAsia="宋体" w:cs="Times New Roman"/>
                <w:b/>
                <w:color w:val="auto"/>
                <w:kern w:val="0"/>
                <w:highlight w:val="none"/>
              </w:rPr>
            </w:pPr>
            <w:r>
              <w:rPr>
                <w:rFonts w:hint="default" w:ascii="Times New Roman" w:hAnsi="Times New Roman" w:eastAsia="宋体" w:cs="Times New Roman"/>
                <w:b/>
                <w:color w:val="auto"/>
                <w:kern w:val="0"/>
                <w:highlight w:val="none"/>
              </w:rPr>
              <w:t>1</w:t>
            </w:r>
            <w:r>
              <w:rPr>
                <w:rFonts w:hint="eastAsia" w:ascii="Times New Roman" w:hAnsi="Times New Roman" w:eastAsia="宋体" w:cs="Times New Roman"/>
                <w:b/>
                <w:color w:val="auto"/>
                <w:kern w:val="0"/>
                <w:highlight w:val="none"/>
              </w:rPr>
              <w:t>、大气环境</w:t>
            </w:r>
          </w:p>
          <w:p w14:paraId="5034C5C1">
            <w:pPr>
              <w:keepNext w:val="0"/>
              <w:keepLines w:val="0"/>
              <w:numPr>
                <w:ilvl w:val="0"/>
                <w:numId w:val="0"/>
              </w:numPr>
              <w:suppressLineNumbers w:val="0"/>
              <w:adjustRightInd w:val="0"/>
              <w:snapToGrid w:val="0"/>
              <w:spacing w:before="0" w:beforeAutospacing="0" w:after="0" w:afterAutospacing="0" w:line="360" w:lineRule="auto"/>
              <w:ind w:left="0" w:right="0" w:firstLine="480" w:firstLineChars="200"/>
              <w:rPr>
                <w:rFonts w:hint="eastAsia" w:cs="Times New Roman"/>
                <w:color w:val="auto"/>
                <w:sz w:val="24"/>
                <w:szCs w:val="22"/>
                <w:highlight w:val="none"/>
                <w:lang w:eastAsia="zh-CN"/>
              </w:rPr>
            </w:pPr>
            <w:r>
              <w:rPr>
                <w:rFonts w:hint="eastAsia" w:cs="Times New Roman"/>
                <w:color w:val="auto"/>
                <w:sz w:val="24"/>
                <w:szCs w:val="22"/>
                <w:highlight w:val="none"/>
                <w:lang w:eastAsia="zh-CN"/>
              </w:rPr>
              <w:t>（</w:t>
            </w:r>
            <w:r>
              <w:rPr>
                <w:rFonts w:hint="eastAsia" w:cs="Times New Roman"/>
                <w:color w:val="auto"/>
                <w:sz w:val="24"/>
                <w:szCs w:val="22"/>
                <w:highlight w:val="none"/>
                <w:lang w:val="en-US" w:eastAsia="zh-CN"/>
              </w:rPr>
              <w:t>1</w:t>
            </w:r>
            <w:r>
              <w:rPr>
                <w:rFonts w:hint="eastAsia" w:cs="Times New Roman"/>
                <w:color w:val="auto"/>
                <w:sz w:val="24"/>
                <w:szCs w:val="22"/>
                <w:highlight w:val="none"/>
                <w:lang w:eastAsia="zh-CN"/>
              </w:rPr>
              <w:t>）常规监测数据及达标区判定</w:t>
            </w:r>
          </w:p>
          <w:p w14:paraId="4C9621C9">
            <w:pPr>
              <w:keepNext w:val="0"/>
              <w:keepLines w:val="0"/>
              <w:numPr>
                <w:ilvl w:val="0"/>
                <w:numId w:val="0"/>
              </w:numPr>
              <w:suppressLineNumbers w:val="0"/>
              <w:adjustRightInd w:val="0"/>
              <w:snapToGrid w:val="0"/>
              <w:spacing w:before="0" w:beforeAutospacing="0" w:after="0" w:afterAutospacing="0" w:line="360" w:lineRule="auto"/>
              <w:ind w:left="0" w:right="0" w:firstLine="480" w:firstLineChars="200"/>
              <w:rPr>
                <w:rFonts w:hint="default" w:ascii="Times New Roman" w:hAnsi="Times New Roman" w:eastAsia="宋体" w:cs="Times New Roman"/>
                <w:color w:val="auto"/>
                <w:sz w:val="24"/>
                <w:szCs w:val="22"/>
                <w:highlight w:val="none"/>
              </w:rPr>
            </w:pPr>
            <w:r>
              <w:rPr>
                <w:rFonts w:hint="default"/>
                <w:sz w:val="24"/>
                <w:highlight w:val="none"/>
              </w:rPr>
              <w:t>根据《202</w:t>
            </w:r>
            <w:r>
              <w:rPr>
                <w:rFonts w:hint="eastAsia"/>
                <w:sz w:val="24"/>
                <w:highlight w:val="none"/>
              </w:rPr>
              <w:t>3</w:t>
            </w:r>
            <w:r>
              <w:rPr>
                <w:rFonts w:hint="default"/>
                <w:sz w:val="24"/>
                <w:highlight w:val="none"/>
              </w:rPr>
              <w:t>年衢州市环境质量概要》，</w:t>
            </w:r>
            <w:r>
              <w:rPr>
                <w:rFonts w:hint="eastAsia"/>
                <w:sz w:val="24"/>
                <w:highlight w:val="none"/>
              </w:rPr>
              <w:t>2023年衢州市区环境空气质量六项常规监测指标中，SO</w:t>
            </w:r>
            <w:r>
              <w:rPr>
                <w:rFonts w:hint="eastAsia"/>
                <w:sz w:val="24"/>
                <w:highlight w:val="none"/>
                <w:vertAlign w:val="subscript"/>
              </w:rPr>
              <w:t>2</w:t>
            </w:r>
            <w:r>
              <w:rPr>
                <w:rFonts w:hint="eastAsia"/>
                <w:sz w:val="24"/>
                <w:highlight w:val="none"/>
              </w:rPr>
              <w:t>、NO</w:t>
            </w:r>
            <w:r>
              <w:rPr>
                <w:rFonts w:hint="eastAsia"/>
                <w:sz w:val="24"/>
                <w:highlight w:val="none"/>
                <w:vertAlign w:val="subscript"/>
              </w:rPr>
              <w:t>2</w:t>
            </w:r>
            <w:r>
              <w:rPr>
                <w:rFonts w:hint="eastAsia"/>
                <w:sz w:val="24"/>
                <w:highlight w:val="none"/>
              </w:rPr>
              <w:t>和CO达到国家环境空气质量一级标准，PM</w:t>
            </w:r>
            <w:r>
              <w:rPr>
                <w:rFonts w:hint="eastAsia"/>
                <w:sz w:val="24"/>
                <w:highlight w:val="none"/>
                <w:vertAlign w:val="subscript"/>
              </w:rPr>
              <w:t>2.5</w:t>
            </w:r>
            <w:r>
              <w:rPr>
                <w:rFonts w:hint="eastAsia"/>
                <w:sz w:val="24"/>
                <w:highlight w:val="none"/>
              </w:rPr>
              <w:t>、PM</w:t>
            </w:r>
            <w:r>
              <w:rPr>
                <w:rFonts w:hint="eastAsia"/>
                <w:sz w:val="24"/>
                <w:highlight w:val="none"/>
                <w:vertAlign w:val="subscript"/>
              </w:rPr>
              <w:t>10</w:t>
            </w:r>
            <w:r>
              <w:rPr>
                <w:rFonts w:hint="eastAsia"/>
                <w:sz w:val="24"/>
                <w:highlight w:val="none"/>
              </w:rPr>
              <w:t>和臭氧达到国家环境空气质量二级标准，本项目区域属于环境空气质量达标区。</w:t>
            </w:r>
            <w:r>
              <w:rPr>
                <w:rFonts w:hint="default"/>
                <w:sz w:val="24"/>
                <w:highlight w:val="none"/>
              </w:rPr>
              <w:t>具体如下</w:t>
            </w:r>
            <w:r>
              <w:rPr>
                <w:rFonts w:hint="eastAsia" w:ascii="Times New Roman" w:hAnsi="Times New Roman" w:eastAsia="宋体" w:cs="Times New Roman"/>
                <w:color w:val="auto"/>
                <w:sz w:val="24"/>
                <w:szCs w:val="22"/>
                <w:highlight w:val="none"/>
              </w:rPr>
              <w:t>表3-1。</w:t>
            </w:r>
          </w:p>
          <w:p w14:paraId="0227AE09">
            <w:pPr>
              <w:keepNext w:val="0"/>
              <w:keepLines w:val="0"/>
              <w:widowControl/>
              <w:suppressLineNumbers w:val="0"/>
              <w:adjustRightInd w:val="0"/>
              <w:snapToGrid w:val="0"/>
              <w:spacing w:before="0" w:beforeAutospacing="0" w:after="0" w:afterAutospacing="0" w:line="360" w:lineRule="auto"/>
              <w:ind w:left="0" w:right="0"/>
              <w:jc w:val="center"/>
              <w:rPr>
                <w:rFonts w:hint="default" w:ascii="Times New Roman" w:hAnsi="Times New Roman" w:eastAsia="宋体" w:cs="Times New Roman"/>
                <w:b/>
                <w:snapToGrid w:val="0"/>
                <w:color w:val="auto"/>
                <w:kern w:val="2"/>
                <w:sz w:val="24"/>
                <w:szCs w:val="20"/>
                <w:highlight w:val="none"/>
                <w:lang w:val="en-US" w:eastAsia="zh-CN" w:bidi="ar-SA"/>
              </w:rPr>
            </w:pPr>
            <w:r>
              <w:rPr>
                <w:rFonts w:hint="default" w:ascii="Times New Roman" w:hAnsi="Times New Roman" w:eastAsia="宋体" w:cs="Times New Roman"/>
                <w:b/>
                <w:snapToGrid w:val="0"/>
                <w:color w:val="auto"/>
                <w:kern w:val="2"/>
                <w:sz w:val="24"/>
                <w:szCs w:val="20"/>
                <w:highlight w:val="none"/>
                <w:lang w:val="en-US" w:eastAsia="zh-CN" w:bidi="ar-SA"/>
              </w:rPr>
              <w:t>表3-1</w:t>
            </w:r>
            <w:r>
              <w:rPr>
                <w:rFonts w:hint="eastAsia" w:cs="Times New Roman"/>
                <w:b/>
                <w:snapToGrid w:val="0"/>
                <w:color w:val="auto"/>
                <w:kern w:val="2"/>
                <w:sz w:val="24"/>
                <w:szCs w:val="20"/>
                <w:highlight w:val="none"/>
                <w:lang w:val="en-US" w:eastAsia="zh-CN" w:bidi="ar-SA"/>
              </w:rPr>
              <w:t xml:space="preserve"> 区域</w:t>
            </w:r>
            <w:r>
              <w:rPr>
                <w:rFonts w:hint="eastAsia" w:ascii="Times New Roman" w:hAnsi="Times New Roman" w:eastAsia="宋体" w:cs="Times New Roman"/>
                <w:b/>
                <w:snapToGrid w:val="0"/>
                <w:color w:val="auto"/>
                <w:kern w:val="2"/>
                <w:sz w:val="24"/>
                <w:szCs w:val="20"/>
                <w:highlight w:val="none"/>
                <w:lang w:val="en-US" w:eastAsia="zh-CN" w:bidi="ar-SA"/>
              </w:rPr>
              <w:t>环境空气质量现状评价表</w:t>
            </w:r>
          </w:p>
          <w:tbl>
            <w:tblPr>
              <w:tblStyle w:val="32"/>
              <w:tblW w:w="4998"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
            <w:tblGrid>
              <w:gridCol w:w="857"/>
              <w:gridCol w:w="3182"/>
              <w:gridCol w:w="1078"/>
              <w:gridCol w:w="1078"/>
              <w:gridCol w:w="1078"/>
              <w:gridCol w:w="1081"/>
            </w:tblGrid>
            <w:tr w14:paraId="17AEF0F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503" w:hRule="atLeast"/>
                <w:jc w:val="center"/>
              </w:trPr>
              <w:tc>
                <w:tcPr>
                  <w:tcW w:w="513" w:type="pct"/>
                  <w:shd w:val="clear" w:color="auto" w:fill="auto"/>
                  <w:tcMar>
                    <w:top w:w="15" w:type="dxa"/>
                    <w:left w:w="15" w:type="dxa"/>
                    <w:bottom w:w="0" w:type="dxa"/>
                    <w:right w:w="15" w:type="dxa"/>
                  </w:tcMar>
                  <w:vAlign w:val="center"/>
                </w:tcPr>
                <w:p w14:paraId="34B0D441">
                  <w:pPr>
                    <w:keepNext w:val="0"/>
                    <w:keepLines w:val="0"/>
                    <w:widowControl/>
                    <w:suppressLineNumbers w:val="0"/>
                    <w:spacing w:before="0" w:beforeAutospacing="0" w:after="0" w:afterAutospacing="0"/>
                    <w:ind w:left="0" w:right="0"/>
                    <w:jc w:val="center"/>
                    <w:rPr>
                      <w:rFonts w:hint="default"/>
                      <w:kern w:val="0"/>
                      <w:sz w:val="21"/>
                      <w:szCs w:val="21"/>
                      <w:highlight w:val="none"/>
                    </w:rPr>
                  </w:pPr>
                  <w:bookmarkStart w:id="14" w:name="_Hlk162421678"/>
                  <w:r>
                    <w:rPr>
                      <w:rFonts w:hint="default"/>
                      <w:sz w:val="21"/>
                      <w:szCs w:val="21"/>
                      <w:highlight w:val="none"/>
                    </w:rPr>
                    <w:t>污染物</w:t>
                  </w:r>
                </w:p>
              </w:tc>
              <w:tc>
                <w:tcPr>
                  <w:tcW w:w="1904" w:type="pct"/>
                  <w:shd w:val="clear" w:color="auto" w:fill="auto"/>
                  <w:tcMar>
                    <w:top w:w="15" w:type="dxa"/>
                    <w:left w:w="15" w:type="dxa"/>
                    <w:bottom w:w="0" w:type="dxa"/>
                    <w:right w:w="15" w:type="dxa"/>
                  </w:tcMar>
                  <w:vAlign w:val="center"/>
                </w:tcPr>
                <w:p w14:paraId="0437B746">
                  <w:pPr>
                    <w:keepNext w:val="0"/>
                    <w:keepLines w:val="0"/>
                    <w:widowControl/>
                    <w:suppressLineNumbers w:val="0"/>
                    <w:spacing w:before="0" w:beforeAutospacing="0" w:after="0" w:afterAutospacing="0"/>
                    <w:ind w:left="0" w:right="0"/>
                    <w:jc w:val="center"/>
                    <w:rPr>
                      <w:rFonts w:hint="default"/>
                      <w:sz w:val="21"/>
                      <w:szCs w:val="21"/>
                      <w:highlight w:val="none"/>
                    </w:rPr>
                  </w:pPr>
                  <w:r>
                    <w:rPr>
                      <w:rFonts w:hint="default"/>
                      <w:sz w:val="21"/>
                      <w:szCs w:val="21"/>
                      <w:highlight w:val="none"/>
                    </w:rPr>
                    <w:t>年度评价指标</w:t>
                  </w:r>
                </w:p>
              </w:tc>
              <w:tc>
                <w:tcPr>
                  <w:tcW w:w="645" w:type="pct"/>
                  <w:shd w:val="clear" w:color="auto" w:fill="auto"/>
                  <w:tcMar>
                    <w:top w:w="15" w:type="dxa"/>
                    <w:left w:w="15" w:type="dxa"/>
                    <w:bottom w:w="0" w:type="dxa"/>
                    <w:right w:w="15" w:type="dxa"/>
                  </w:tcMar>
                  <w:vAlign w:val="center"/>
                </w:tcPr>
                <w:p w14:paraId="5307E77F">
                  <w:pPr>
                    <w:keepNext w:val="0"/>
                    <w:keepLines w:val="0"/>
                    <w:widowControl/>
                    <w:suppressLineNumbers w:val="0"/>
                    <w:spacing w:before="0" w:beforeAutospacing="0" w:after="0" w:afterAutospacing="0"/>
                    <w:ind w:left="0" w:right="0"/>
                    <w:jc w:val="center"/>
                    <w:rPr>
                      <w:rFonts w:hint="default"/>
                      <w:b w:val="0"/>
                      <w:bCs w:val="0"/>
                      <w:sz w:val="21"/>
                      <w:szCs w:val="21"/>
                      <w:highlight w:val="none"/>
                    </w:rPr>
                  </w:pPr>
                  <w:r>
                    <w:rPr>
                      <w:rFonts w:hint="default"/>
                      <w:b w:val="0"/>
                      <w:bCs w:val="0"/>
                      <w:sz w:val="21"/>
                      <w:szCs w:val="21"/>
                      <w:highlight w:val="none"/>
                    </w:rPr>
                    <w:t>现状浓度/(</w:t>
                  </w:r>
                  <w:r>
                    <w:rPr>
                      <w:rFonts w:hint="default" w:ascii="Times New Roman" w:hAnsi="Times New Roman" w:eastAsia="宋体" w:cs="Times New Roman"/>
                      <w:b w:val="0"/>
                      <w:bCs w:val="0"/>
                      <w:color w:val="auto"/>
                      <w:sz w:val="21"/>
                      <w:szCs w:val="21"/>
                      <w:highlight w:val="none"/>
                      <w:u w:val="none" w:color="auto"/>
                      <w:shd w:val="clear" w:color="auto" w:fill="FFFFFF"/>
                    </w:rPr>
                    <w:t>μ</w:t>
                  </w:r>
                  <w:r>
                    <w:rPr>
                      <w:rFonts w:hint="default" w:ascii="Times New Roman" w:hAnsi="Times New Roman" w:eastAsia="宋体" w:cs="Times New Roman"/>
                      <w:b w:val="0"/>
                      <w:bCs w:val="0"/>
                      <w:color w:val="auto"/>
                      <w:sz w:val="21"/>
                      <w:szCs w:val="21"/>
                      <w:highlight w:val="none"/>
                      <w:u w:val="none" w:color="auto"/>
                    </w:rPr>
                    <w:t>g/m</w:t>
                  </w:r>
                  <w:r>
                    <w:rPr>
                      <w:rFonts w:hint="default" w:ascii="Times New Roman" w:hAnsi="Times New Roman" w:eastAsia="宋体" w:cs="Times New Roman"/>
                      <w:b w:val="0"/>
                      <w:bCs w:val="0"/>
                      <w:color w:val="auto"/>
                      <w:sz w:val="21"/>
                      <w:szCs w:val="21"/>
                      <w:highlight w:val="none"/>
                      <w:u w:val="none" w:color="auto"/>
                      <w:vertAlign w:val="superscript"/>
                    </w:rPr>
                    <w:t>3</w:t>
                  </w:r>
                  <w:r>
                    <w:rPr>
                      <w:rFonts w:hint="default"/>
                      <w:b w:val="0"/>
                      <w:bCs w:val="0"/>
                      <w:sz w:val="21"/>
                      <w:szCs w:val="21"/>
                      <w:highlight w:val="none"/>
                    </w:rPr>
                    <w:t>)</w:t>
                  </w:r>
                </w:p>
              </w:tc>
              <w:tc>
                <w:tcPr>
                  <w:tcW w:w="645" w:type="pct"/>
                  <w:shd w:val="clear" w:color="auto" w:fill="auto"/>
                  <w:tcMar>
                    <w:top w:w="15" w:type="dxa"/>
                    <w:left w:w="15" w:type="dxa"/>
                    <w:bottom w:w="0" w:type="dxa"/>
                    <w:right w:w="15" w:type="dxa"/>
                  </w:tcMar>
                  <w:vAlign w:val="center"/>
                </w:tcPr>
                <w:p w14:paraId="66956EE4">
                  <w:pPr>
                    <w:keepNext w:val="0"/>
                    <w:keepLines w:val="0"/>
                    <w:widowControl/>
                    <w:suppressLineNumbers w:val="0"/>
                    <w:spacing w:before="0" w:beforeAutospacing="0" w:after="0" w:afterAutospacing="0"/>
                    <w:ind w:left="0" w:right="0"/>
                    <w:jc w:val="center"/>
                    <w:rPr>
                      <w:rFonts w:hint="default"/>
                      <w:b w:val="0"/>
                      <w:bCs w:val="0"/>
                      <w:sz w:val="21"/>
                      <w:szCs w:val="21"/>
                      <w:highlight w:val="none"/>
                    </w:rPr>
                  </w:pPr>
                  <w:r>
                    <w:rPr>
                      <w:rFonts w:hint="default"/>
                      <w:b w:val="0"/>
                      <w:bCs w:val="0"/>
                      <w:sz w:val="21"/>
                      <w:szCs w:val="21"/>
                      <w:highlight w:val="none"/>
                    </w:rPr>
                    <w:t>标准值/(</w:t>
                  </w:r>
                  <w:r>
                    <w:rPr>
                      <w:rFonts w:hint="default" w:ascii="Times New Roman" w:hAnsi="Times New Roman" w:eastAsia="宋体" w:cs="Times New Roman"/>
                      <w:b w:val="0"/>
                      <w:bCs w:val="0"/>
                      <w:color w:val="auto"/>
                      <w:sz w:val="21"/>
                      <w:szCs w:val="21"/>
                      <w:highlight w:val="none"/>
                      <w:u w:val="none" w:color="auto"/>
                      <w:shd w:val="clear" w:color="auto" w:fill="FFFFFF"/>
                    </w:rPr>
                    <w:t>μ</w:t>
                  </w:r>
                  <w:r>
                    <w:rPr>
                      <w:rFonts w:hint="default" w:ascii="Times New Roman" w:hAnsi="Times New Roman" w:eastAsia="宋体" w:cs="Times New Roman"/>
                      <w:b w:val="0"/>
                      <w:bCs w:val="0"/>
                      <w:color w:val="auto"/>
                      <w:sz w:val="21"/>
                      <w:szCs w:val="21"/>
                      <w:highlight w:val="none"/>
                      <w:u w:val="none" w:color="auto"/>
                    </w:rPr>
                    <w:t>g/m</w:t>
                  </w:r>
                  <w:r>
                    <w:rPr>
                      <w:rFonts w:hint="default" w:ascii="Times New Roman" w:hAnsi="Times New Roman" w:eastAsia="宋体" w:cs="Times New Roman"/>
                      <w:b w:val="0"/>
                      <w:bCs w:val="0"/>
                      <w:color w:val="auto"/>
                      <w:sz w:val="21"/>
                      <w:szCs w:val="21"/>
                      <w:highlight w:val="none"/>
                      <w:u w:val="none" w:color="auto"/>
                      <w:vertAlign w:val="superscript"/>
                    </w:rPr>
                    <w:t>3</w:t>
                  </w:r>
                  <w:r>
                    <w:rPr>
                      <w:rFonts w:hint="default"/>
                      <w:b w:val="0"/>
                      <w:bCs w:val="0"/>
                      <w:sz w:val="21"/>
                      <w:szCs w:val="21"/>
                      <w:highlight w:val="none"/>
                    </w:rPr>
                    <w:t>)</w:t>
                  </w:r>
                </w:p>
              </w:tc>
              <w:tc>
                <w:tcPr>
                  <w:tcW w:w="645" w:type="pct"/>
                  <w:shd w:val="clear" w:color="auto" w:fill="auto"/>
                  <w:tcMar>
                    <w:top w:w="15" w:type="dxa"/>
                    <w:left w:w="15" w:type="dxa"/>
                    <w:bottom w:w="0" w:type="dxa"/>
                    <w:right w:w="15" w:type="dxa"/>
                  </w:tcMar>
                  <w:vAlign w:val="center"/>
                </w:tcPr>
                <w:p w14:paraId="5C2061CC">
                  <w:pPr>
                    <w:keepNext w:val="0"/>
                    <w:keepLines w:val="0"/>
                    <w:widowControl/>
                    <w:suppressLineNumbers w:val="0"/>
                    <w:spacing w:before="0" w:beforeAutospacing="0" w:after="0" w:afterAutospacing="0"/>
                    <w:ind w:left="0" w:right="0"/>
                    <w:jc w:val="center"/>
                    <w:rPr>
                      <w:rFonts w:hint="default"/>
                      <w:sz w:val="21"/>
                      <w:szCs w:val="21"/>
                      <w:highlight w:val="none"/>
                    </w:rPr>
                  </w:pPr>
                  <w:r>
                    <w:rPr>
                      <w:rFonts w:hint="default"/>
                      <w:sz w:val="21"/>
                      <w:szCs w:val="21"/>
                      <w:highlight w:val="none"/>
                    </w:rPr>
                    <w:t>占标率/(%)</w:t>
                  </w:r>
                </w:p>
              </w:tc>
              <w:tc>
                <w:tcPr>
                  <w:tcW w:w="646" w:type="pct"/>
                  <w:shd w:val="clear" w:color="auto" w:fill="auto"/>
                  <w:tcMar>
                    <w:top w:w="15" w:type="dxa"/>
                    <w:left w:w="15" w:type="dxa"/>
                    <w:bottom w:w="0" w:type="dxa"/>
                    <w:right w:w="15" w:type="dxa"/>
                  </w:tcMar>
                  <w:vAlign w:val="center"/>
                </w:tcPr>
                <w:p w14:paraId="2C412F59">
                  <w:pPr>
                    <w:keepNext w:val="0"/>
                    <w:keepLines w:val="0"/>
                    <w:widowControl/>
                    <w:suppressLineNumbers w:val="0"/>
                    <w:spacing w:before="0" w:beforeAutospacing="0" w:after="0" w:afterAutospacing="0"/>
                    <w:ind w:left="0" w:right="0"/>
                    <w:jc w:val="center"/>
                    <w:rPr>
                      <w:rFonts w:hint="default"/>
                      <w:sz w:val="21"/>
                      <w:szCs w:val="21"/>
                      <w:highlight w:val="none"/>
                    </w:rPr>
                  </w:pPr>
                  <w:r>
                    <w:rPr>
                      <w:rFonts w:hint="default"/>
                      <w:sz w:val="21"/>
                      <w:szCs w:val="21"/>
                      <w:highlight w:val="none"/>
                    </w:rPr>
                    <w:t>达标情况</w:t>
                  </w:r>
                </w:p>
              </w:tc>
            </w:tr>
            <w:tr w14:paraId="56DC6B0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340" w:hRule="atLeast"/>
                <w:jc w:val="center"/>
              </w:trPr>
              <w:tc>
                <w:tcPr>
                  <w:tcW w:w="513" w:type="pct"/>
                  <w:vMerge w:val="restart"/>
                  <w:shd w:val="clear" w:color="auto" w:fill="auto"/>
                  <w:tcMar>
                    <w:top w:w="15" w:type="dxa"/>
                    <w:left w:w="15" w:type="dxa"/>
                    <w:bottom w:w="0" w:type="dxa"/>
                    <w:right w:w="15" w:type="dxa"/>
                  </w:tcMar>
                  <w:vAlign w:val="center"/>
                </w:tcPr>
                <w:p w14:paraId="0DCBBB04">
                  <w:pPr>
                    <w:keepNext w:val="0"/>
                    <w:keepLines w:val="0"/>
                    <w:widowControl/>
                    <w:suppressLineNumbers w:val="0"/>
                    <w:spacing w:before="0" w:beforeAutospacing="0" w:after="0" w:afterAutospacing="0"/>
                    <w:ind w:left="0" w:right="0"/>
                    <w:jc w:val="center"/>
                    <w:rPr>
                      <w:rFonts w:hint="default"/>
                      <w:sz w:val="21"/>
                      <w:szCs w:val="21"/>
                      <w:highlight w:val="none"/>
                    </w:rPr>
                  </w:pPr>
                  <w:r>
                    <w:rPr>
                      <w:rFonts w:hint="default"/>
                      <w:sz w:val="21"/>
                      <w:szCs w:val="21"/>
                      <w:highlight w:val="none"/>
                    </w:rPr>
                    <w:t>SO</w:t>
                  </w:r>
                  <w:r>
                    <w:rPr>
                      <w:rFonts w:hint="default"/>
                      <w:sz w:val="21"/>
                      <w:szCs w:val="21"/>
                      <w:highlight w:val="none"/>
                      <w:vertAlign w:val="subscript"/>
                    </w:rPr>
                    <w:t>2</w:t>
                  </w:r>
                </w:p>
              </w:tc>
              <w:tc>
                <w:tcPr>
                  <w:tcW w:w="1904" w:type="pct"/>
                  <w:shd w:val="clear" w:color="auto" w:fill="auto"/>
                  <w:tcMar>
                    <w:top w:w="15" w:type="dxa"/>
                    <w:left w:w="15" w:type="dxa"/>
                    <w:bottom w:w="0" w:type="dxa"/>
                    <w:right w:w="15" w:type="dxa"/>
                  </w:tcMar>
                  <w:vAlign w:val="center"/>
                </w:tcPr>
                <w:p w14:paraId="5E2F1B72">
                  <w:pPr>
                    <w:keepNext w:val="0"/>
                    <w:keepLines w:val="0"/>
                    <w:widowControl/>
                    <w:suppressLineNumbers w:val="0"/>
                    <w:spacing w:before="0" w:beforeAutospacing="0" w:after="0" w:afterAutospacing="0"/>
                    <w:ind w:left="0" w:right="0"/>
                    <w:jc w:val="center"/>
                    <w:rPr>
                      <w:rFonts w:hint="default"/>
                      <w:sz w:val="21"/>
                      <w:szCs w:val="21"/>
                      <w:highlight w:val="none"/>
                    </w:rPr>
                  </w:pPr>
                  <w:r>
                    <w:rPr>
                      <w:rFonts w:hint="default"/>
                      <w:sz w:val="21"/>
                      <w:szCs w:val="21"/>
                      <w:highlight w:val="none"/>
                    </w:rPr>
                    <w:t>年平均质量浓度</w:t>
                  </w:r>
                </w:p>
              </w:tc>
              <w:tc>
                <w:tcPr>
                  <w:tcW w:w="645" w:type="pct"/>
                  <w:shd w:val="clear" w:color="auto" w:fill="auto"/>
                  <w:tcMar>
                    <w:top w:w="15" w:type="dxa"/>
                    <w:left w:w="15" w:type="dxa"/>
                    <w:bottom w:w="0" w:type="dxa"/>
                    <w:right w:w="15" w:type="dxa"/>
                  </w:tcMar>
                  <w:vAlign w:val="center"/>
                </w:tcPr>
                <w:p w14:paraId="52F5D022">
                  <w:pPr>
                    <w:keepNext w:val="0"/>
                    <w:keepLines w:val="0"/>
                    <w:widowControl/>
                    <w:suppressLineNumbers w:val="0"/>
                    <w:spacing w:before="0" w:beforeAutospacing="0" w:after="0" w:afterAutospacing="0"/>
                    <w:ind w:left="0" w:right="0"/>
                    <w:jc w:val="center"/>
                    <w:rPr>
                      <w:rFonts w:hint="default"/>
                      <w:sz w:val="21"/>
                      <w:szCs w:val="21"/>
                      <w:highlight w:val="none"/>
                    </w:rPr>
                  </w:pPr>
                  <w:r>
                    <w:rPr>
                      <w:rFonts w:hint="eastAsia"/>
                      <w:sz w:val="21"/>
                      <w:szCs w:val="21"/>
                      <w:highlight w:val="none"/>
                    </w:rPr>
                    <w:t>6</w:t>
                  </w:r>
                </w:p>
              </w:tc>
              <w:tc>
                <w:tcPr>
                  <w:tcW w:w="645" w:type="pct"/>
                  <w:shd w:val="clear" w:color="auto" w:fill="auto"/>
                  <w:tcMar>
                    <w:top w:w="15" w:type="dxa"/>
                    <w:left w:w="15" w:type="dxa"/>
                    <w:bottom w:w="0" w:type="dxa"/>
                    <w:right w:w="15" w:type="dxa"/>
                  </w:tcMar>
                  <w:vAlign w:val="center"/>
                </w:tcPr>
                <w:p w14:paraId="3E440D7F">
                  <w:pPr>
                    <w:keepNext w:val="0"/>
                    <w:keepLines w:val="0"/>
                    <w:widowControl/>
                    <w:suppressLineNumbers w:val="0"/>
                    <w:spacing w:before="0" w:beforeAutospacing="0" w:after="0" w:afterAutospacing="0"/>
                    <w:ind w:left="0" w:right="0"/>
                    <w:jc w:val="center"/>
                    <w:rPr>
                      <w:rFonts w:hint="default"/>
                      <w:sz w:val="21"/>
                      <w:szCs w:val="21"/>
                      <w:highlight w:val="none"/>
                    </w:rPr>
                  </w:pPr>
                  <w:r>
                    <w:rPr>
                      <w:rFonts w:hint="default"/>
                      <w:sz w:val="21"/>
                      <w:szCs w:val="21"/>
                      <w:highlight w:val="none"/>
                    </w:rPr>
                    <w:t>60</w:t>
                  </w:r>
                </w:p>
              </w:tc>
              <w:tc>
                <w:tcPr>
                  <w:tcW w:w="645" w:type="pct"/>
                  <w:shd w:val="clear" w:color="auto" w:fill="auto"/>
                  <w:tcMar>
                    <w:top w:w="15" w:type="dxa"/>
                    <w:left w:w="15" w:type="dxa"/>
                    <w:bottom w:w="0" w:type="dxa"/>
                    <w:right w:w="15" w:type="dxa"/>
                  </w:tcMar>
                  <w:vAlign w:val="center"/>
                </w:tcPr>
                <w:p w14:paraId="197D48C0">
                  <w:pPr>
                    <w:keepNext w:val="0"/>
                    <w:keepLines w:val="0"/>
                    <w:widowControl/>
                    <w:suppressLineNumbers w:val="0"/>
                    <w:spacing w:before="0" w:beforeAutospacing="0" w:after="0" w:afterAutospacing="0"/>
                    <w:ind w:left="0" w:right="0"/>
                    <w:jc w:val="center"/>
                    <w:rPr>
                      <w:rFonts w:hint="default"/>
                      <w:sz w:val="21"/>
                      <w:szCs w:val="21"/>
                      <w:highlight w:val="none"/>
                    </w:rPr>
                  </w:pPr>
                  <w:r>
                    <w:rPr>
                      <w:rFonts w:hint="eastAsia"/>
                      <w:sz w:val="21"/>
                      <w:szCs w:val="21"/>
                      <w:highlight w:val="none"/>
                    </w:rPr>
                    <w:t>10</w:t>
                  </w:r>
                </w:p>
              </w:tc>
              <w:tc>
                <w:tcPr>
                  <w:tcW w:w="646" w:type="pct"/>
                  <w:vMerge w:val="restart"/>
                  <w:shd w:val="clear" w:color="auto" w:fill="auto"/>
                  <w:tcMar>
                    <w:top w:w="15" w:type="dxa"/>
                    <w:left w:w="15" w:type="dxa"/>
                    <w:bottom w:w="0" w:type="dxa"/>
                    <w:right w:w="15" w:type="dxa"/>
                  </w:tcMar>
                  <w:vAlign w:val="center"/>
                </w:tcPr>
                <w:p w14:paraId="46BBEC20">
                  <w:pPr>
                    <w:keepNext w:val="0"/>
                    <w:keepLines w:val="0"/>
                    <w:widowControl/>
                    <w:suppressLineNumbers w:val="0"/>
                    <w:spacing w:before="0" w:beforeAutospacing="0" w:after="0" w:afterAutospacing="0"/>
                    <w:ind w:left="0" w:right="0"/>
                    <w:jc w:val="center"/>
                    <w:rPr>
                      <w:rFonts w:hint="default"/>
                      <w:sz w:val="21"/>
                      <w:szCs w:val="21"/>
                      <w:highlight w:val="none"/>
                    </w:rPr>
                  </w:pPr>
                  <w:r>
                    <w:rPr>
                      <w:rFonts w:hint="default"/>
                      <w:sz w:val="21"/>
                      <w:szCs w:val="21"/>
                      <w:highlight w:val="none"/>
                    </w:rPr>
                    <w:t>达标</w:t>
                  </w:r>
                </w:p>
              </w:tc>
            </w:tr>
            <w:tr w14:paraId="31DA915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340" w:hRule="atLeast"/>
                <w:jc w:val="center"/>
              </w:trPr>
              <w:tc>
                <w:tcPr>
                  <w:tcW w:w="513" w:type="pct"/>
                  <w:vMerge w:val="continue"/>
                  <w:vAlign w:val="center"/>
                </w:tcPr>
                <w:p w14:paraId="356125DB">
                  <w:pPr>
                    <w:keepNext w:val="0"/>
                    <w:keepLines w:val="0"/>
                    <w:widowControl/>
                    <w:suppressLineNumbers w:val="0"/>
                    <w:spacing w:before="0" w:beforeAutospacing="0" w:after="0" w:afterAutospacing="0"/>
                    <w:ind w:left="0" w:right="0"/>
                    <w:jc w:val="center"/>
                    <w:rPr>
                      <w:rFonts w:hint="default"/>
                      <w:sz w:val="21"/>
                      <w:szCs w:val="21"/>
                      <w:highlight w:val="none"/>
                    </w:rPr>
                  </w:pPr>
                </w:p>
              </w:tc>
              <w:tc>
                <w:tcPr>
                  <w:tcW w:w="1904" w:type="pct"/>
                  <w:shd w:val="clear" w:color="auto" w:fill="auto"/>
                  <w:tcMar>
                    <w:top w:w="15" w:type="dxa"/>
                    <w:left w:w="15" w:type="dxa"/>
                    <w:bottom w:w="0" w:type="dxa"/>
                    <w:right w:w="15" w:type="dxa"/>
                  </w:tcMar>
                  <w:vAlign w:val="center"/>
                </w:tcPr>
                <w:p w14:paraId="26B30D2B">
                  <w:pPr>
                    <w:keepNext w:val="0"/>
                    <w:keepLines w:val="0"/>
                    <w:widowControl/>
                    <w:suppressLineNumbers w:val="0"/>
                    <w:spacing w:before="0" w:beforeAutospacing="0" w:after="0" w:afterAutospacing="0"/>
                    <w:ind w:left="0" w:right="0"/>
                    <w:jc w:val="center"/>
                    <w:rPr>
                      <w:rFonts w:hint="default"/>
                      <w:sz w:val="21"/>
                      <w:szCs w:val="21"/>
                      <w:highlight w:val="none"/>
                    </w:rPr>
                  </w:pPr>
                  <w:r>
                    <w:rPr>
                      <w:rFonts w:hint="default"/>
                      <w:sz w:val="21"/>
                      <w:szCs w:val="21"/>
                      <w:highlight w:val="none"/>
                    </w:rPr>
                    <w:t>第98百分位数日平均质量浓度</w:t>
                  </w:r>
                </w:p>
              </w:tc>
              <w:tc>
                <w:tcPr>
                  <w:tcW w:w="645" w:type="pct"/>
                  <w:shd w:val="clear" w:color="auto" w:fill="auto"/>
                  <w:tcMar>
                    <w:top w:w="15" w:type="dxa"/>
                    <w:left w:w="15" w:type="dxa"/>
                    <w:bottom w:w="0" w:type="dxa"/>
                    <w:right w:w="15" w:type="dxa"/>
                  </w:tcMar>
                  <w:vAlign w:val="center"/>
                </w:tcPr>
                <w:p w14:paraId="5C8992A2">
                  <w:pPr>
                    <w:keepNext w:val="0"/>
                    <w:keepLines w:val="0"/>
                    <w:widowControl/>
                    <w:suppressLineNumbers w:val="0"/>
                    <w:spacing w:before="0" w:beforeAutospacing="0" w:after="0" w:afterAutospacing="0"/>
                    <w:ind w:left="0" w:right="0"/>
                    <w:jc w:val="center"/>
                    <w:rPr>
                      <w:rFonts w:hint="default"/>
                      <w:sz w:val="21"/>
                      <w:szCs w:val="21"/>
                      <w:highlight w:val="none"/>
                    </w:rPr>
                  </w:pPr>
                  <w:r>
                    <w:rPr>
                      <w:rFonts w:hint="eastAsia"/>
                      <w:sz w:val="21"/>
                      <w:szCs w:val="21"/>
                      <w:highlight w:val="none"/>
                    </w:rPr>
                    <w:t>12</w:t>
                  </w:r>
                </w:p>
              </w:tc>
              <w:tc>
                <w:tcPr>
                  <w:tcW w:w="645" w:type="pct"/>
                  <w:shd w:val="clear" w:color="auto" w:fill="auto"/>
                  <w:tcMar>
                    <w:top w:w="15" w:type="dxa"/>
                    <w:left w:w="15" w:type="dxa"/>
                    <w:bottom w:w="0" w:type="dxa"/>
                    <w:right w:w="15" w:type="dxa"/>
                  </w:tcMar>
                  <w:vAlign w:val="center"/>
                </w:tcPr>
                <w:p w14:paraId="74D74AC2">
                  <w:pPr>
                    <w:keepNext w:val="0"/>
                    <w:keepLines w:val="0"/>
                    <w:widowControl/>
                    <w:suppressLineNumbers w:val="0"/>
                    <w:spacing w:before="0" w:beforeAutospacing="0" w:after="0" w:afterAutospacing="0"/>
                    <w:ind w:left="0" w:right="0"/>
                    <w:jc w:val="center"/>
                    <w:rPr>
                      <w:rFonts w:hint="default"/>
                      <w:sz w:val="21"/>
                      <w:szCs w:val="21"/>
                      <w:highlight w:val="none"/>
                    </w:rPr>
                  </w:pPr>
                  <w:r>
                    <w:rPr>
                      <w:rFonts w:hint="default"/>
                      <w:sz w:val="21"/>
                      <w:szCs w:val="21"/>
                      <w:highlight w:val="none"/>
                    </w:rPr>
                    <w:t>150</w:t>
                  </w:r>
                </w:p>
              </w:tc>
              <w:tc>
                <w:tcPr>
                  <w:tcW w:w="645" w:type="pct"/>
                  <w:shd w:val="clear" w:color="auto" w:fill="auto"/>
                  <w:tcMar>
                    <w:top w:w="15" w:type="dxa"/>
                    <w:left w:w="15" w:type="dxa"/>
                    <w:bottom w:w="0" w:type="dxa"/>
                    <w:right w:w="15" w:type="dxa"/>
                  </w:tcMar>
                  <w:vAlign w:val="center"/>
                </w:tcPr>
                <w:p w14:paraId="0FA22004">
                  <w:pPr>
                    <w:keepNext w:val="0"/>
                    <w:keepLines w:val="0"/>
                    <w:widowControl/>
                    <w:suppressLineNumbers w:val="0"/>
                    <w:spacing w:before="0" w:beforeAutospacing="0" w:after="0" w:afterAutospacing="0"/>
                    <w:ind w:left="0" w:right="0"/>
                    <w:jc w:val="center"/>
                    <w:rPr>
                      <w:rFonts w:hint="default"/>
                      <w:sz w:val="21"/>
                      <w:szCs w:val="21"/>
                      <w:highlight w:val="none"/>
                    </w:rPr>
                  </w:pPr>
                  <w:r>
                    <w:rPr>
                      <w:rFonts w:hint="default"/>
                      <w:sz w:val="21"/>
                      <w:szCs w:val="21"/>
                      <w:highlight w:val="none"/>
                    </w:rPr>
                    <w:t>8</w:t>
                  </w:r>
                </w:p>
              </w:tc>
              <w:tc>
                <w:tcPr>
                  <w:tcW w:w="646" w:type="pct"/>
                  <w:vMerge w:val="continue"/>
                  <w:vAlign w:val="center"/>
                </w:tcPr>
                <w:p w14:paraId="7D0B21E0">
                  <w:pPr>
                    <w:keepNext w:val="0"/>
                    <w:keepLines w:val="0"/>
                    <w:widowControl/>
                    <w:suppressLineNumbers w:val="0"/>
                    <w:spacing w:before="0" w:beforeAutospacing="0" w:after="0" w:afterAutospacing="0"/>
                    <w:ind w:left="0" w:right="0"/>
                    <w:jc w:val="center"/>
                    <w:rPr>
                      <w:rFonts w:hint="default"/>
                      <w:sz w:val="21"/>
                      <w:szCs w:val="21"/>
                      <w:highlight w:val="none"/>
                    </w:rPr>
                  </w:pPr>
                </w:p>
              </w:tc>
            </w:tr>
            <w:tr w14:paraId="1DAE88B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340" w:hRule="atLeast"/>
                <w:jc w:val="center"/>
              </w:trPr>
              <w:tc>
                <w:tcPr>
                  <w:tcW w:w="513" w:type="pct"/>
                  <w:vMerge w:val="restart"/>
                  <w:shd w:val="clear" w:color="auto" w:fill="auto"/>
                  <w:tcMar>
                    <w:top w:w="15" w:type="dxa"/>
                    <w:left w:w="15" w:type="dxa"/>
                    <w:bottom w:w="0" w:type="dxa"/>
                    <w:right w:w="15" w:type="dxa"/>
                  </w:tcMar>
                  <w:vAlign w:val="center"/>
                </w:tcPr>
                <w:p w14:paraId="590A639B">
                  <w:pPr>
                    <w:keepNext w:val="0"/>
                    <w:keepLines w:val="0"/>
                    <w:widowControl/>
                    <w:suppressLineNumbers w:val="0"/>
                    <w:spacing w:before="0" w:beforeAutospacing="0" w:after="0" w:afterAutospacing="0"/>
                    <w:ind w:left="0" w:right="0"/>
                    <w:jc w:val="center"/>
                    <w:rPr>
                      <w:rFonts w:hint="default"/>
                      <w:sz w:val="21"/>
                      <w:szCs w:val="21"/>
                      <w:highlight w:val="none"/>
                    </w:rPr>
                  </w:pPr>
                  <w:r>
                    <w:rPr>
                      <w:rFonts w:hint="default"/>
                      <w:sz w:val="21"/>
                      <w:szCs w:val="21"/>
                      <w:highlight w:val="none"/>
                    </w:rPr>
                    <w:t>NO</w:t>
                  </w:r>
                  <w:r>
                    <w:rPr>
                      <w:rFonts w:hint="default"/>
                      <w:sz w:val="21"/>
                      <w:szCs w:val="21"/>
                      <w:highlight w:val="none"/>
                      <w:vertAlign w:val="subscript"/>
                    </w:rPr>
                    <w:t>2</w:t>
                  </w:r>
                </w:p>
              </w:tc>
              <w:tc>
                <w:tcPr>
                  <w:tcW w:w="1904" w:type="pct"/>
                  <w:shd w:val="clear" w:color="auto" w:fill="auto"/>
                  <w:tcMar>
                    <w:top w:w="15" w:type="dxa"/>
                    <w:left w:w="15" w:type="dxa"/>
                    <w:bottom w:w="0" w:type="dxa"/>
                    <w:right w:w="15" w:type="dxa"/>
                  </w:tcMar>
                  <w:vAlign w:val="center"/>
                </w:tcPr>
                <w:p w14:paraId="534A40EF">
                  <w:pPr>
                    <w:keepNext w:val="0"/>
                    <w:keepLines w:val="0"/>
                    <w:widowControl/>
                    <w:suppressLineNumbers w:val="0"/>
                    <w:spacing w:before="0" w:beforeAutospacing="0" w:after="0" w:afterAutospacing="0"/>
                    <w:ind w:left="0" w:right="0"/>
                    <w:jc w:val="center"/>
                    <w:rPr>
                      <w:rFonts w:hint="default"/>
                      <w:sz w:val="21"/>
                      <w:szCs w:val="21"/>
                      <w:highlight w:val="none"/>
                    </w:rPr>
                  </w:pPr>
                  <w:r>
                    <w:rPr>
                      <w:rFonts w:hint="default"/>
                      <w:sz w:val="21"/>
                      <w:szCs w:val="21"/>
                      <w:highlight w:val="none"/>
                    </w:rPr>
                    <w:t>年平均质量浓度</w:t>
                  </w:r>
                </w:p>
              </w:tc>
              <w:tc>
                <w:tcPr>
                  <w:tcW w:w="645" w:type="pct"/>
                  <w:shd w:val="clear" w:color="auto" w:fill="auto"/>
                  <w:tcMar>
                    <w:top w:w="15" w:type="dxa"/>
                    <w:left w:w="15" w:type="dxa"/>
                    <w:bottom w:w="0" w:type="dxa"/>
                    <w:right w:w="15" w:type="dxa"/>
                  </w:tcMar>
                  <w:vAlign w:val="center"/>
                </w:tcPr>
                <w:p w14:paraId="2111466B">
                  <w:pPr>
                    <w:keepNext w:val="0"/>
                    <w:keepLines w:val="0"/>
                    <w:widowControl/>
                    <w:suppressLineNumbers w:val="0"/>
                    <w:spacing w:before="0" w:beforeAutospacing="0" w:after="0" w:afterAutospacing="0"/>
                    <w:ind w:left="0" w:right="0"/>
                    <w:jc w:val="center"/>
                    <w:rPr>
                      <w:rFonts w:hint="default"/>
                      <w:sz w:val="21"/>
                      <w:szCs w:val="21"/>
                      <w:highlight w:val="none"/>
                    </w:rPr>
                  </w:pPr>
                  <w:r>
                    <w:rPr>
                      <w:rFonts w:hint="eastAsia"/>
                      <w:sz w:val="21"/>
                      <w:szCs w:val="21"/>
                      <w:highlight w:val="none"/>
                    </w:rPr>
                    <w:t>28</w:t>
                  </w:r>
                </w:p>
              </w:tc>
              <w:tc>
                <w:tcPr>
                  <w:tcW w:w="645" w:type="pct"/>
                  <w:shd w:val="clear" w:color="auto" w:fill="auto"/>
                  <w:tcMar>
                    <w:top w:w="15" w:type="dxa"/>
                    <w:left w:w="15" w:type="dxa"/>
                    <w:bottom w:w="0" w:type="dxa"/>
                    <w:right w:w="15" w:type="dxa"/>
                  </w:tcMar>
                  <w:vAlign w:val="center"/>
                </w:tcPr>
                <w:p w14:paraId="1D766F55">
                  <w:pPr>
                    <w:keepNext w:val="0"/>
                    <w:keepLines w:val="0"/>
                    <w:widowControl/>
                    <w:suppressLineNumbers w:val="0"/>
                    <w:spacing w:before="0" w:beforeAutospacing="0" w:after="0" w:afterAutospacing="0"/>
                    <w:ind w:left="0" w:right="0"/>
                    <w:jc w:val="center"/>
                    <w:rPr>
                      <w:rFonts w:hint="default"/>
                      <w:sz w:val="21"/>
                      <w:szCs w:val="21"/>
                      <w:highlight w:val="none"/>
                    </w:rPr>
                  </w:pPr>
                  <w:r>
                    <w:rPr>
                      <w:rFonts w:hint="default"/>
                      <w:sz w:val="21"/>
                      <w:szCs w:val="21"/>
                      <w:highlight w:val="none"/>
                    </w:rPr>
                    <w:t>40</w:t>
                  </w:r>
                </w:p>
              </w:tc>
              <w:tc>
                <w:tcPr>
                  <w:tcW w:w="645" w:type="pct"/>
                  <w:shd w:val="clear" w:color="auto" w:fill="auto"/>
                  <w:tcMar>
                    <w:top w:w="15" w:type="dxa"/>
                    <w:left w:w="15" w:type="dxa"/>
                    <w:bottom w:w="0" w:type="dxa"/>
                    <w:right w:w="15" w:type="dxa"/>
                  </w:tcMar>
                  <w:vAlign w:val="center"/>
                </w:tcPr>
                <w:p w14:paraId="45506D83">
                  <w:pPr>
                    <w:keepNext w:val="0"/>
                    <w:keepLines w:val="0"/>
                    <w:widowControl/>
                    <w:suppressLineNumbers w:val="0"/>
                    <w:spacing w:before="0" w:beforeAutospacing="0" w:after="0" w:afterAutospacing="0"/>
                    <w:ind w:left="0" w:right="0"/>
                    <w:jc w:val="center"/>
                    <w:rPr>
                      <w:rFonts w:hint="default"/>
                      <w:sz w:val="21"/>
                      <w:szCs w:val="21"/>
                      <w:highlight w:val="none"/>
                    </w:rPr>
                  </w:pPr>
                  <w:r>
                    <w:rPr>
                      <w:rFonts w:hint="eastAsia"/>
                      <w:sz w:val="21"/>
                      <w:szCs w:val="21"/>
                      <w:highlight w:val="none"/>
                    </w:rPr>
                    <w:t>70</w:t>
                  </w:r>
                </w:p>
              </w:tc>
              <w:tc>
                <w:tcPr>
                  <w:tcW w:w="646" w:type="pct"/>
                  <w:vMerge w:val="restart"/>
                  <w:shd w:val="clear" w:color="auto" w:fill="auto"/>
                  <w:tcMar>
                    <w:top w:w="15" w:type="dxa"/>
                    <w:left w:w="15" w:type="dxa"/>
                    <w:bottom w:w="0" w:type="dxa"/>
                    <w:right w:w="15" w:type="dxa"/>
                  </w:tcMar>
                  <w:vAlign w:val="center"/>
                </w:tcPr>
                <w:p w14:paraId="04E5CB13">
                  <w:pPr>
                    <w:keepNext w:val="0"/>
                    <w:keepLines w:val="0"/>
                    <w:widowControl/>
                    <w:suppressLineNumbers w:val="0"/>
                    <w:spacing w:before="0" w:beforeAutospacing="0" w:after="0" w:afterAutospacing="0"/>
                    <w:ind w:left="0" w:right="0"/>
                    <w:jc w:val="center"/>
                    <w:rPr>
                      <w:rFonts w:hint="default"/>
                      <w:sz w:val="21"/>
                      <w:szCs w:val="21"/>
                      <w:highlight w:val="none"/>
                    </w:rPr>
                  </w:pPr>
                  <w:r>
                    <w:rPr>
                      <w:rFonts w:hint="default"/>
                      <w:sz w:val="21"/>
                      <w:szCs w:val="21"/>
                      <w:highlight w:val="none"/>
                    </w:rPr>
                    <w:t>达标</w:t>
                  </w:r>
                </w:p>
              </w:tc>
            </w:tr>
            <w:tr w14:paraId="186905E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340" w:hRule="atLeast"/>
                <w:jc w:val="center"/>
              </w:trPr>
              <w:tc>
                <w:tcPr>
                  <w:tcW w:w="513" w:type="pct"/>
                  <w:vMerge w:val="continue"/>
                  <w:vAlign w:val="center"/>
                </w:tcPr>
                <w:p w14:paraId="077FE22B">
                  <w:pPr>
                    <w:keepNext w:val="0"/>
                    <w:keepLines w:val="0"/>
                    <w:widowControl/>
                    <w:suppressLineNumbers w:val="0"/>
                    <w:spacing w:before="0" w:beforeAutospacing="0" w:after="0" w:afterAutospacing="0"/>
                    <w:ind w:left="0" w:right="0"/>
                    <w:jc w:val="center"/>
                    <w:rPr>
                      <w:rFonts w:hint="default"/>
                      <w:sz w:val="21"/>
                      <w:szCs w:val="21"/>
                      <w:highlight w:val="none"/>
                    </w:rPr>
                  </w:pPr>
                </w:p>
              </w:tc>
              <w:tc>
                <w:tcPr>
                  <w:tcW w:w="1904" w:type="pct"/>
                  <w:shd w:val="clear" w:color="auto" w:fill="auto"/>
                  <w:tcMar>
                    <w:top w:w="15" w:type="dxa"/>
                    <w:left w:w="15" w:type="dxa"/>
                    <w:bottom w:w="0" w:type="dxa"/>
                    <w:right w:w="15" w:type="dxa"/>
                  </w:tcMar>
                  <w:vAlign w:val="center"/>
                </w:tcPr>
                <w:p w14:paraId="23E37664">
                  <w:pPr>
                    <w:keepNext w:val="0"/>
                    <w:keepLines w:val="0"/>
                    <w:widowControl/>
                    <w:suppressLineNumbers w:val="0"/>
                    <w:spacing w:before="0" w:beforeAutospacing="0" w:after="0" w:afterAutospacing="0"/>
                    <w:ind w:left="0" w:right="0"/>
                    <w:jc w:val="center"/>
                    <w:rPr>
                      <w:rFonts w:hint="default"/>
                      <w:sz w:val="21"/>
                      <w:szCs w:val="21"/>
                      <w:highlight w:val="none"/>
                    </w:rPr>
                  </w:pPr>
                  <w:r>
                    <w:rPr>
                      <w:rFonts w:hint="default"/>
                      <w:sz w:val="21"/>
                      <w:szCs w:val="21"/>
                      <w:highlight w:val="none"/>
                    </w:rPr>
                    <w:t>第98百分位数日平均质量浓度</w:t>
                  </w:r>
                </w:p>
              </w:tc>
              <w:tc>
                <w:tcPr>
                  <w:tcW w:w="645" w:type="pct"/>
                  <w:shd w:val="clear" w:color="auto" w:fill="auto"/>
                  <w:tcMar>
                    <w:top w:w="15" w:type="dxa"/>
                    <w:left w:w="15" w:type="dxa"/>
                    <w:bottom w:w="0" w:type="dxa"/>
                    <w:right w:w="15" w:type="dxa"/>
                  </w:tcMar>
                  <w:vAlign w:val="center"/>
                </w:tcPr>
                <w:p w14:paraId="2BD53EF2">
                  <w:pPr>
                    <w:keepNext w:val="0"/>
                    <w:keepLines w:val="0"/>
                    <w:widowControl/>
                    <w:suppressLineNumbers w:val="0"/>
                    <w:spacing w:before="0" w:beforeAutospacing="0" w:after="0" w:afterAutospacing="0"/>
                    <w:ind w:left="0" w:right="0"/>
                    <w:jc w:val="center"/>
                    <w:rPr>
                      <w:rFonts w:hint="default"/>
                      <w:sz w:val="21"/>
                      <w:szCs w:val="21"/>
                      <w:highlight w:val="none"/>
                    </w:rPr>
                  </w:pPr>
                  <w:r>
                    <w:rPr>
                      <w:rFonts w:hint="eastAsia"/>
                      <w:sz w:val="21"/>
                      <w:szCs w:val="21"/>
                      <w:highlight w:val="none"/>
                    </w:rPr>
                    <w:t>62</w:t>
                  </w:r>
                </w:p>
              </w:tc>
              <w:tc>
                <w:tcPr>
                  <w:tcW w:w="645" w:type="pct"/>
                  <w:shd w:val="clear" w:color="auto" w:fill="auto"/>
                  <w:tcMar>
                    <w:top w:w="15" w:type="dxa"/>
                    <w:left w:w="15" w:type="dxa"/>
                    <w:bottom w:w="0" w:type="dxa"/>
                    <w:right w:w="15" w:type="dxa"/>
                  </w:tcMar>
                  <w:vAlign w:val="center"/>
                </w:tcPr>
                <w:p w14:paraId="17A25D11">
                  <w:pPr>
                    <w:keepNext w:val="0"/>
                    <w:keepLines w:val="0"/>
                    <w:widowControl/>
                    <w:suppressLineNumbers w:val="0"/>
                    <w:spacing w:before="0" w:beforeAutospacing="0" w:after="0" w:afterAutospacing="0"/>
                    <w:ind w:left="0" w:right="0"/>
                    <w:jc w:val="center"/>
                    <w:rPr>
                      <w:rFonts w:hint="default"/>
                      <w:sz w:val="21"/>
                      <w:szCs w:val="21"/>
                      <w:highlight w:val="none"/>
                    </w:rPr>
                  </w:pPr>
                  <w:r>
                    <w:rPr>
                      <w:rFonts w:hint="default"/>
                      <w:sz w:val="21"/>
                      <w:szCs w:val="21"/>
                      <w:highlight w:val="none"/>
                    </w:rPr>
                    <w:t>80</w:t>
                  </w:r>
                </w:p>
              </w:tc>
              <w:tc>
                <w:tcPr>
                  <w:tcW w:w="645" w:type="pct"/>
                  <w:shd w:val="clear" w:color="auto" w:fill="auto"/>
                  <w:tcMar>
                    <w:top w:w="15" w:type="dxa"/>
                    <w:left w:w="15" w:type="dxa"/>
                    <w:bottom w:w="0" w:type="dxa"/>
                    <w:right w:w="15" w:type="dxa"/>
                  </w:tcMar>
                  <w:vAlign w:val="center"/>
                </w:tcPr>
                <w:p w14:paraId="0F8F3B7F">
                  <w:pPr>
                    <w:keepNext w:val="0"/>
                    <w:keepLines w:val="0"/>
                    <w:widowControl/>
                    <w:suppressLineNumbers w:val="0"/>
                    <w:spacing w:before="0" w:beforeAutospacing="0" w:after="0" w:afterAutospacing="0"/>
                    <w:ind w:left="0" w:right="0"/>
                    <w:jc w:val="center"/>
                    <w:rPr>
                      <w:rFonts w:hint="default"/>
                      <w:sz w:val="21"/>
                      <w:szCs w:val="21"/>
                      <w:highlight w:val="none"/>
                    </w:rPr>
                  </w:pPr>
                  <w:r>
                    <w:rPr>
                      <w:rFonts w:hint="eastAsia"/>
                      <w:sz w:val="21"/>
                      <w:szCs w:val="21"/>
                      <w:highlight w:val="none"/>
                    </w:rPr>
                    <w:t>77.5</w:t>
                  </w:r>
                </w:p>
              </w:tc>
              <w:tc>
                <w:tcPr>
                  <w:tcW w:w="646" w:type="pct"/>
                  <w:vMerge w:val="continue"/>
                  <w:vAlign w:val="center"/>
                </w:tcPr>
                <w:p w14:paraId="66A55DE4">
                  <w:pPr>
                    <w:keepNext w:val="0"/>
                    <w:keepLines w:val="0"/>
                    <w:widowControl/>
                    <w:suppressLineNumbers w:val="0"/>
                    <w:spacing w:before="0" w:beforeAutospacing="0" w:after="0" w:afterAutospacing="0"/>
                    <w:ind w:left="0" w:right="0"/>
                    <w:jc w:val="center"/>
                    <w:rPr>
                      <w:rFonts w:hint="default"/>
                      <w:sz w:val="21"/>
                      <w:szCs w:val="21"/>
                      <w:highlight w:val="none"/>
                    </w:rPr>
                  </w:pPr>
                </w:p>
              </w:tc>
            </w:tr>
            <w:tr w14:paraId="282D1B9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340" w:hRule="atLeast"/>
                <w:jc w:val="center"/>
              </w:trPr>
              <w:tc>
                <w:tcPr>
                  <w:tcW w:w="513" w:type="pct"/>
                  <w:vMerge w:val="restart"/>
                  <w:shd w:val="clear" w:color="auto" w:fill="auto"/>
                  <w:tcMar>
                    <w:top w:w="15" w:type="dxa"/>
                    <w:left w:w="15" w:type="dxa"/>
                    <w:bottom w:w="0" w:type="dxa"/>
                    <w:right w:w="15" w:type="dxa"/>
                  </w:tcMar>
                  <w:vAlign w:val="center"/>
                </w:tcPr>
                <w:p w14:paraId="5C6757FB">
                  <w:pPr>
                    <w:keepNext w:val="0"/>
                    <w:keepLines w:val="0"/>
                    <w:widowControl/>
                    <w:suppressLineNumbers w:val="0"/>
                    <w:spacing w:before="0" w:beforeAutospacing="0" w:after="0" w:afterAutospacing="0"/>
                    <w:ind w:left="0" w:right="0"/>
                    <w:jc w:val="center"/>
                    <w:rPr>
                      <w:rFonts w:hint="default"/>
                      <w:sz w:val="21"/>
                      <w:szCs w:val="21"/>
                      <w:highlight w:val="none"/>
                    </w:rPr>
                  </w:pPr>
                  <w:r>
                    <w:rPr>
                      <w:rFonts w:hint="default"/>
                      <w:sz w:val="21"/>
                      <w:szCs w:val="21"/>
                      <w:highlight w:val="none"/>
                    </w:rPr>
                    <w:t>PM</w:t>
                  </w:r>
                  <w:r>
                    <w:rPr>
                      <w:rFonts w:hint="default"/>
                      <w:sz w:val="21"/>
                      <w:szCs w:val="21"/>
                      <w:highlight w:val="none"/>
                      <w:vertAlign w:val="subscript"/>
                    </w:rPr>
                    <w:t>10</w:t>
                  </w:r>
                </w:p>
              </w:tc>
              <w:tc>
                <w:tcPr>
                  <w:tcW w:w="1904" w:type="pct"/>
                  <w:shd w:val="clear" w:color="auto" w:fill="auto"/>
                  <w:tcMar>
                    <w:top w:w="15" w:type="dxa"/>
                    <w:left w:w="15" w:type="dxa"/>
                    <w:bottom w:w="0" w:type="dxa"/>
                    <w:right w:w="15" w:type="dxa"/>
                  </w:tcMar>
                  <w:vAlign w:val="center"/>
                </w:tcPr>
                <w:p w14:paraId="05C30B0D">
                  <w:pPr>
                    <w:keepNext w:val="0"/>
                    <w:keepLines w:val="0"/>
                    <w:widowControl/>
                    <w:suppressLineNumbers w:val="0"/>
                    <w:spacing w:before="0" w:beforeAutospacing="0" w:after="0" w:afterAutospacing="0"/>
                    <w:ind w:left="0" w:right="0"/>
                    <w:jc w:val="center"/>
                    <w:rPr>
                      <w:rFonts w:hint="default"/>
                      <w:sz w:val="21"/>
                      <w:szCs w:val="21"/>
                      <w:highlight w:val="none"/>
                    </w:rPr>
                  </w:pPr>
                  <w:r>
                    <w:rPr>
                      <w:rFonts w:hint="default"/>
                      <w:sz w:val="21"/>
                      <w:szCs w:val="21"/>
                      <w:highlight w:val="none"/>
                    </w:rPr>
                    <w:t>年平均质量浓度</w:t>
                  </w:r>
                </w:p>
              </w:tc>
              <w:tc>
                <w:tcPr>
                  <w:tcW w:w="645" w:type="pct"/>
                  <w:shd w:val="clear" w:color="auto" w:fill="auto"/>
                  <w:tcMar>
                    <w:top w:w="15" w:type="dxa"/>
                    <w:left w:w="15" w:type="dxa"/>
                    <w:bottom w:w="0" w:type="dxa"/>
                    <w:right w:w="15" w:type="dxa"/>
                  </w:tcMar>
                  <w:vAlign w:val="center"/>
                </w:tcPr>
                <w:p w14:paraId="466A5B99">
                  <w:pPr>
                    <w:keepNext w:val="0"/>
                    <w:keepLines w:val="0"/>
                    <w:widowControl/>
                    <w:suppressLineNumbers w:val="0"/>
                    <w:spacing w:before="0" w:beforeAutospacing="0" w:after="0" w:afterAutospacing="0"/>
                    <w:ind w:left="0" w:right="0"/>
                    <w:jc w:val="center"/>
                    <w:rPr>
                      <w:rFonts w:hint="default"/>
                      <w:sz w:val="21"/>
                      <w:szCs w:val="21"/>
                      <w:highlight w:val="none"/>
                    </w:rPr>
                  </w:pPr>
                  <w:r>
                    <w:rPr>
                      <w:rFonts w:hint="eastAsia"/>
                      <w:sz w:val="21"/>
                      <w:szCs w:val="21"/>
                      <w:highlight w:val="none"/>
                    </w:rPr>
                    <w:t>53</w:t>
                  </w:r>
                </w:p>
              </w:tc>
              <w:tc>
                <w:tcPr>
                  <w:tcW w:w="645" w:type="pct"/>
                  <w:shd w:val="clear" w:color="auto" w:fill="auto"/>
                  <w:tcMar>
                    <w:top w:w="15" w:type="dxa"/>
                    <w:left w:w="15" w:type="dxa"/>
                    <w:bottom w:w="0" w:type="dxa"/>
                    <w:right w:w="15" w:type="dxa"/>
                  </w:tcMar>
                  <w:vAlign w:val="center"/>
                </w:tcPr>
                <w:p w14:paraId="77F7A7A1">
                  <w:pPr>
                    <w:keepNext w:val="0"/>
                    <w:keepLines w:val="0"/>
                    <w:widowControl/>
                    <w:suppressLineNumbers w:val="0"/>
                    <w:spacing w:before="0" w:beforeAutospacing="0" w:after="0" w:afterAutospacing="0"/>
                    <w:ind w:left="0" w:right="0"/>
                    <w:jc w:val="center"/>
                    <w:rPr>
                      <w:rFonts w:hint="default"/>
                      <w:sz w:val="21"/>
                      <w:szCs w:val="21"/>
                      <w:highlight w:val="none"/>
                    </w:rPr>
                  </w:pPr>
                  <w:r>
                    <w:rPr>
                      <w:rFonts w:hint="default"/>
                      <w:sz w:val="21"/>
                      <w:szCs w:val="21"/>
                      <w:highlight w:val="none"/>
                    </w:rPr>
                    <w:t>70</w:t>
                  </w:r>
                </w:p>
              </w:tc>
              <w:tc>
                <w:tcPr>
                  <w:tcW w:w="645" w:type="pct"/>
                  <w:shd w:val="clear" w:color="auto" w:fill="auto"/>
                  <w:tcMar>
                    <w:top w:w="15" w:type="dxa"/>
                    <w:left w:w="15" w:type="dxa"/>
                    <w:bottom w:w="0" w:type="dxa"/>
                    <w:right w:w="15" w:type="dxa"/>
                  </w:tcMar>
                  <w:vAlign w:val="center"/>
                </w:tcPr>
                <w:p w14:paraId="13AB6BCE">
                  <w:pPr>
                    <w:keepNext w:val="0"/>
                    <w:keepLines w:val="0"/>
                    <w:widowControl/>
                    <w:suppressLineNumbers w:val="0"/>
                    <w:spacing w:before="0" w:beforeAutospacing="0" w:after="0" w:afterAutospacing="0"/>
                    <w:ind w:left="0" w:right="0"/>
                    <w:jc w:val="center"/>
                    <w:rPr>
                      <w:rFonts w:hint="default"/>
                      <w:sz w:val="21"/>
                      <w:szCs w:val="21"/>
                      <w:highlight w:val="none"/>
                    </w:rPr>
                  </w:pPr>
                  <w:r>
                    <w:rPr>
                      <w:rFonts w:hint="eastAsia"/>
                      <w:sz w:val="21"/>
                      <w:szCs w:val="21"/>
                      <w:highlight w:val="none"/>
                    </w:rPr>
                    <w:t>75.71</w:t>
                  </w:r>
                </w:p>
              </w:tc>
              <w:tc>
                <w:tcPr>
                  <w:tcW w:w="646" w:type="pct"/>
                  <w:vMerge w:val="restart"/>
                  <w:shd w:val="clear" w:color="auto" w:fill="auto"/>
                  <w:tcMar>
                    <w:top w:w="15" w:type="dxa"/>
                    <w:left w:w="15" w:type="dxa"/>
                    <w:bottom w:w="0" w:type="dxa"/>
                    <w:right w:w="15" w:type="dxa"/>
                  </w:tcMar>
                  <w:vAlign w:val="center"/>
                </w:tcPr>
                <w:p w14:paraId="66933624">
                  <w:pPr>
                    <w:keepNext w:val="0"/>
                    <w:keepLines w:val="0"/>
                    <w:widowControl/>
                    <w:suppressLineNumbers w:val="0"/>
                    <w:spacing w:before="0" w:beforeAutospacing="0" w:after="0" w:afterAutospacing="0"/>
                    <w:ind w:left="0" w:right="0"/>
                    <w:jc w:val="center"/>
                    <w:rPr>
                      <w:rFonts w:hint="default"/>
                      <w:sz w:val="21"/>
                      <w:szCs w:val="21"/>
                      <w:highlight w:val="none"/>
                    </w:rPr>
                  </w:pPr>
                  <w:r>
                    <w:rPr>
                      <w:rFonts w:hint="default"/>
                      <w:sz w:val="21"/>
                      <w:szCs w:val="21"/>
                      <w:highlight w:val="none"/>
                    </w:rPr>
                    <w:t>达标</w:t>
                  </w:r>
                </w:p>
              </w:tc>
            </w:tr>
            <w:tr w14:paraId="0E98C84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340" w:hRule="atLeast"/>
                <w:jc w:val="center"/>
              </w:trPr>
              <w:tc>
                <w:tcPr>
                  <w:tcW w:w="513" w:type="pct"/>
                  <w:vMerge w:val="continue"/>
                  <w:vAlign w:val="center"/>
                </w:tcPr>
                <w:p w14:paraId="78739129">
                  <w:pPr>
                    <w:keepNext w:val="0"/>
                    <w:keepLines w:val="0"/>
                    <w:widowControl/>
                    <w:suppressLineNumbers w:val="0"/>
                    <w:spacing w:before="0" w:beforeAutospacing="0" w:after="0" w:afterAutospacing="0"/>
                    <w:ind w:left="0" w:right="0"/>
                    <w:jc w:val="center"/>
                    <w:rPr>
                      <w:rFonts w:hint="default"/>
                      <w:sz w:val="21"/>
                      <w:szCs w:val="21"/>
                      <w:highlight w:val="none"/>
                    </w:rPr>
                  </w:pPr>
                </w:p>
              </w:tc>
              <w:tc>
                <w:tcPr>
                  <w:tcW w:w="1904" w:type="pct"/>
                  <w:shd w:val="clear" w:color="auto" w:fill="auto"/>
                  <w:tcMar>
                    <w:top w:w="15" w:type="dxa"/>
                    <w:left w:w="15" w:type="dxa"/>
                    <w:bottom w:w="0" w:type="dxa"/>
                    <w:right w:w="15" w:type="dxa"/>
                  </w:tcMar>
                  <w:vAlign w:val="center"/>
                </w:tcPr>
                <w:p w14:paraId="7F207E5F">
                  <w:pPr>
                    <w:keepNext w:val="0"/>
                    <w:keepLines w:val="0"/>
                    <w:widowControl/>
                    <w:suppressLineNumbers w:val="0"/>
                    <w:spacing w:before="0" w:beforeAutospacing="0" w:after="0" w:afterAutospacing="0"/>
                    <w:ind w:left="0" w:right="0"/>
                    <w:jc w:val="center"/>
                    <w:rPr>
                      <w:rFonts w:hint="default"/>
                      <w:sz w:val="21"/>
                      <w:szCs w:val="21"/>
                      <w:highlight w:val="none"/>
                    </w:rPr>
                  </w:pPr>
                  <w:r>
                    <w:rPr>
                      <w:rFonts w:hint="default"/>
                      <w:sz w:val="21"/>
                      <w:szCs w:val="21"/>
                      <w:highlight w:val="none"/>
                    </w:rPr>
                    <w:t>第95百分位数日平均质量浓度</w:t>
                  </w:r>
                </w:p>
              </w:tc>
              <w:tc>
                <w:tcPr>
                  <w:tcW w:w="645" w:type="pct"/>
                  <w:shd w:val="clear" w:color="auto" w:fill="auto"/>
                  <w:tcMar>
                    <w:top w:w="15" w:type="dxa"/>
                    <w:left w:w="15" w:type="dxa"/>
                    <w:bottom w:w="0" w:type="dxa"/>
                    <w:right w:w="15" w:type="dxa"/>
                  </w:tcMar>
                  <w:vAlign w:val="center"/>
                </w:tcPr>
                <w:p w14:paraId="48C19FD2">
                  <w:pPr>
                    <w:keepNext w:val="0"/>
                    <w:keepLines w:val="0"/>
                    <w:widowControl/>
                    <w:suppressLineNumbers w:val="0"/>
                    <w:spacing w:before="0" w:beforeAutospacing="0" w:after="0" w:afterAutospacing="0"/>
                    <w:ind w:left="0" w:right="0"/>
                    <w:jc w:val="center"/>
                    <w:rPr>
                      <w:rFonts w:hint="default"/>
                      <w:sz w:val="21"/>
                      <w:szCs w:val="21"/>
                      <w:highlight w:val="none"/>
                    </w:rPr>
                  </w:pPr>
                  <w:r>
                    <w:rPr>
                      <w:rFonts w:hint="eastAsia"/>
                      <w:sz w:val="21"/>
                      <w:szCs w:val="21"/>
                      <w:highlight w:val="none"/>
                    </w:rPr>
                    <w:t>98</w:t>
                  </w:r>
                </w:p>
              </w:tc>
              <w:tc>
                <w:tcPr>
                  <w:tcW w:w="645" w:type="pct"/>
                  <w:shd w:val="clear" w:color="auto" w:fill="auto"/>
                  <w:tcMar>
                    <w:top w:w="15" w:type="dxa"/>
                    <w:left w:w="15" w:type="dxa"/>
                    <w:bottom w:w="0" w:type="dxa"/>
                    <w:right w:w="15" w:type="dxa"/>
                  </w:tcMar>
                  <w:vAlign w:val="center"/>
                </w:tcPr>
                <w:p w14:paraId="766EAFB6">
                  <w:pPr>
                    <w:keepNext w:val="0"/>
                    <w:keepLines w:val="0"/>
                    <w:widowControl/>
                    <w:suppressLineNumbers w:val="0"/>
                    <w:spacing w:before="0" w:beforeAutospacing="0" w:after="0" w:afterAutospacing="0"/>
                    <w:ind w:left="0" w:right="0"/>
                    <w:jc w:val="center"/>
                    <w:rPr>
                      <w:rFonts w:hint="default"/>
                      <w:sz w:val="21"/>
                      <w:szCs w:val="21"/>
                      <w:highlight w:val="none"/>
                    </w:rPr>
                  </w:pPr>
                  <w:r>
                    <w:rPr>
                      <w:rFonts w:hint="default"/>
                      <w:sz w:val="21"/>
                      <w:szCs w:val="21"/>
                      <w:highlight w:val="none"/>
                    </w:rPr>
                    <w:t>150</w:t>
                  </w:r>
                </w:p>
              </w:tc>
              <w:tc>
                <w:tcPr>
                  <w:tcW w:w="645" w:type="pct"/>
                  <w:shd w:val="clear" w:color="auto" w:fill="auto"/>
                  <w:tcMar>
                    <w:top w:w="15" w:type="dxa"/>
                    <w:left w:w="15" w:type="dxa"/>
                    <w:bottom w:w="0" w:type="dxa"/>
                    <w:right w:w="15" w:type="dxa"/>
                  </w:tcMar>
                  <w:vAlign w:val="center"/>
                </w:tcPr>
                <w:p w14:paraId="4A43E52D">
                  <w:pPr>
                    <w:keepNext w:val="0"/>
                    <w:keepLines w:val="0"/>
                    <w:widowControl/>
                    <w:suppressLineNumbers w:val="0"/>
                    <w:spacing w:before="0" w:beforeAutospacing="0" w:after="0" w:afterAutospacing="0"/>
                    <w:ind w:left="0" w:right="0"/>
                    <w:jc w:val="center"/>
                    <w:rPr>
                      <w:rFonts w:hint="default"/>
                      <w:sz w:val="21"/>
                      <w:szCs w:val="21"/>
                      <w:highlight w:val="none"/>
                    </w:rPr>
                  </w:pPr>
                  <w:r>
                    <w:rPr>
                      <w:rFonts w:hint="eastAsia"/>
                      <w:sz w:val="21"/>
                      <w:szCs w:val="21"/>
                      <w:highlight w:val="none"/>
                    </w:rPr>
                    <w:t>65.33</w:t>
                  </w:r>
                </w:p>
              </w:tc>
              <w:tc>
                <w:tcPr>
                  <w:tcW w:w="646" w:type="pct"/>
                  <w:vMerge w:val="continue"/>
                  <w:vAlign w:val="center"/>
                </w:tcPr>
                <w:p w14:paraId="5E390E14">
                  <w:pPr>
                    <w:keepNext w:val="0"/>
                    <w:keepLines w:val="0"/>
                    <w:widowControl/>
                    <w:suppressLineNumbers w:val="0"/>
                    <w:spacing w:before="0" w:beforeAutospacing="0" w:after="0" w:afterAutospacing="0"/>
                    <w:ind w:left="0" w:right="0"/>
                    <w:jc w:val="center"/>
                    <w:rPr>
                      <w:rFonts w:hint="default"/>
                      <w:sz w:val="21"/>
                      <w:szCs w:val="21"/>
                      <w:highlight w:val="none"/>
                    </w:rPr>
                  </w:pPr>
                </w:p>
              </w:tc>
            </w:tr>
            <w:tr w14:paraId="60C2871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340" w:hRule="atLeast"/>
                <w:jc w:val="center"/>
              </w:trPr>
              <w:tc>
                <w:tcPr>
                  <w:tcW w:w="513" w:type="pct"/>
                  <w:vMerge w:val="restart"/>
                  <w:shd w:val="clear" w:color="auto" w:fill="auto"/>
                  <w:tcMar>
                    <w:top w:w="15" w:type="dxa"/>
                    <w:left w:w="15" w:type="dxa"/>
                    <w:bottom w:w="0" w:type="dxa"/>
                    <w:right w:w="15" w:type="dxa"/>
                  </w:tcMar>
                  <w:vAlign w:val="center"/>
                </w:tcPr>
                <w:p w14:paraId="64B0A4F0">
                  <w:pPr>
                    <w:keepNext w:val="0"/>
                    <w:keepLines w:val="0"/>
                    <w:widowControl/>
                    <w:suppressLineNumbers w:val="0"/>
                    <w:spacing w:before="0" w:beforeAutospacing="0" w:after="0" w:afterAutospacing="0"/>
                    <w:ind w:left="0" w:right="0"/>
                    <w:jc w:val="center"/>
                    <w:rPr>
                      <w:rFonts w:hint="default"/>
                      <w:sz w:val="21"/>
                      <w:szCs w:val="21"/>
                      <w:highlight w:val="none"/>
                    </w:rPr>
                  </w:pPr>
                  <w:r>
                    <w:rPr>
                      <w:rFonts w:hint="default"/>
                      <w:sz w:val="21"/>
                      <w:szCs w:val="21"/>
                      <w:highlight w:val="none"/>
                    </w:rPr>
                    <w:t>PM</w:t>
                  </w:r>
                  <w:r>
                    <w:rPr>
                      <w:rFonts w:hint="default"/>
                      <w:sz w:val="21"/>
                      <w:szCs w:val="21"/>
                      <w:highlight w:val="none"/>
                      <w:vertAlign w:val="subscript"/>
                    </w:rPr>
                    <w:t>2.5</w:t>
                  </w:r>
                </w:p>
              </w:tc>
              <w:tc>
                <w:tcPr>
                  <w:tcW w:w="1904" w:type="pct"/>
                  <w:shd w:val="clear" w:color="auto" w:fill="auto"/>
                  <w:tcMar>
                    <w:top w:w="15" w:type="dxa"/>
                    <w:left w:w="15" w:type="dxa"/>
                    <w:bottom w:w="0" w:type="dxa"/>
                    <w:right w:w="15" w:type="dxa"/>
                  </w:tcMar>
                  <w:vAlign w:val="center"/>
                </w:tcPr>
                <w:p w14:paraId="39FF8C07">
                  <w:pPr>
                    <w:keepNext w:val="0"/>
                    <w:keepLines w:val="0"/>
                    <w:widowControl/>
                    <w:suppressLineNumbers w:val="0"/>
                    <w:spacing w:before="0" w:beforeAutospacing="0" w:after="0" w:afterAutospacing="0"/>
                    <w:ind w:left="0" w:right="0"/>
                    <w:jc w:val="center"/>
                    <w:rPr>
                      <w:rFonts w:hint="default"/>
                      <w:sz w:val="21"/>
                      <w:szCs w:val="21"/>
                      <w:highlight w:val="none"/>
                    </w:rPr>
                  </w:pPr>
                  <w:r>
                    <w:rPr>
                      <w:rFonts w:hint="default"/>
                      <w:sz w:val="21"/>
                      <w:szCs w:val="21"/>
                      <w:highlight w:val="none"/>
                    </w:rPr>
                    <w:t>年平均质量浓度</w:t>
                  </w:r>
                </w:p>
              </w:tc>
              <w:tc>
                <w:tcPr>
                  <w:tcW w:w="645" w:type="pct"/>
                  <w:shd w:val="clear" w:color="auto" w:fill="auto"/>
                  <w:tcMar>
                    <w:top w:w="15" w:type="dxa"/>
                    <w:left w:w="15" w:type="dxa"/>
                    <w:bottom w:w="0" w:type="dxa"/>
                    <w:right w:w="15" w:type="dxa"/>
                  </w:tcMar>
                  <w:vAlign w:val="center"/>
                </w:tcPr>
                <w:p w14:paraId="1F72D97A">
                  <w:pPr>
                    <w:keepNext w:val="0"/>
                    <w:keepLines w:val="0"/>
                    <w:widowControl/>
                    <w:suppressLineNumbers w:val="0"/>
                    <w:spacing w:before="0" w:beforeAutospacing="0" w:after="0" w:afterAutospacing="0"/>
                    <w:ind w:left="0" w:right="0"/>
                    <w:jc w:val="center"/>
                    <w:rPr>
                      <w:rFonts w:hint="default"/>
                      <w:sz w:val="21"/>
                      <w:szCs w:val="21"/>
                      <w:highlight w:val="none"/>
                    </w:rPr>
                  </w:pPr>
                  <w:r>
                    <w:rPr>
                      <w:rFonts w:hint="eastAsia"/>
                      <w:sz w:val="21"/>
                      <w:szCs w:val="21"/>
                      <w:highlight w:val="none"/>
                    </w:rPr>
                    <w:t>31</w:t>
                  </w:r>
                </w:p>
              </w:tc>
              <w:tc>
                <w:tcPr>
                  <w:tcW w:w="645" w:type="pct"/>
                  <w:shd w:val="clear" w:color="auto" w:fill="auto"/>
                  <w:tcMar>
                    <w:top w:w="15" w:type="dxa"/>
                    <w:left w:w="15" w:type="dxa"/>
                    <w:bottom w:w="0" w:type="dxa"/>
                    <w:right w:w="15" w:type="dxa"/>
                  </w:tcMar>
                  <w:vAlign w:val="center"/>
                </w:tcPr>
                <w:p w14:paraId="512E1E7A">
                  <w:pPr>
                    <w:keepNext w:val="0"/>
                    <w:keepLines w:val="0"/>
                    <w:widowControl/>
                    <w:suppressLineNumbers w:val="0"/>
                    <w:spacing w:before="0" w:beforeAutospacing="0" w:after="0" w:afterAutospacing="0"/>
                    <w:ind w:left="0" w:right="0"/>
                    <w:jc w:val="center"/>
                    <w:rPr>
                      <w:rFonts w:hint="default"/>
                      <w:sz w:val="21"/>
                      <w:szCs w:val="21"/>
                      <w:highlight w:val="none"/>
                    </w:rPr>
                  </w:pPr>
                  <w:r>
                    <w:rPr>
                      <w:rFonts w:hint="default"/>
                      <w:sz w:val="21"/>
                      <w:szCs w:val="21"/>
                      <w:highlight w:val="none"/>
                    </w:rPr>
                    <w:t>35</w:t>
                  </w:r>
                </w:p>
              </w:tc>
              <w:tc>
                <w:tcPr>
                  <w:tcW w:w="645" w:type="pct"/>
                  <w:shd w:val="clear" w:color="auto" w:fill="auto"/>
                  <w:tcMar>
                    <w:top w:w="15" w:type="dxa"/>
                    <w:left w:w="15" w:type="dxa"/>
                    <w:bottom w:w="0" w:type="dxa"/>
                    <w:right w:w="15" w:type="dxa"/>
                  </w:tcMar>
                  <w:vAlign w:val="center"/>
                </w:tcPr>
                <w:p w14:paraId="45606BE6">
                  <w:pPr>
                    <w:keepNext w:val="0"/>
                    <w:keepLines w:val="0"/>
                    <w:widowControl/>
                    <w:suppressLineNumbers w:val="0"/>
                    <w:spacing w:before="0" w:beforeAutospacing="0" w:after="0" w:afterAutospacing="0"/>
                    <w:ind w:left="0" w:right="0"/>
                    <w:jc w:val="center"/>
                    <w:rPr>
                      <w:rFonts w:hint="default"/>
                      <w:sz w:val="21"/>
                      <w:szCs w:val="21"/>
                      <w:highlight w:val="none"/>
                    </w:rPr>
                  </w:pPr>
                  <w:r>
                    <w:rPr>
                      <w:rFonts w:hint="eastAsia"/>
                      <w:sz w:val="21"/>
                      <w:szCs w:val="21"/>
                      <w:highlight w:val="none"/>
                    </w:rPr>
                    <w:t>88.57</w:t>
                  </w:r>
                </w:p>
              </w:tc>
              <w:tc>
                <w:tcPr>
                  <w:tcW w:w="646" w:type="pct"/>
                  <w:vMerge w:val="restart"/>
                  <w:shd w:val="clear" w:color="auto" w:fill="auto"/>
                  <w:tcMar>
                    <w:top w:w="15" w:type="dxa"/>
                    <w:left w:w="15" w:type="dxa"/>
                    <w:bottom w:w="0" w:type="dxa"/>
                    <w:right w:w="15" w:type="dxa"/>
                  </w:tcMar>
                  <w:vAlign w:val="center"/>
                </w:tcPr>
                <w:p w14:paraId="5524260C">
                  <w:pPr>
                    <w:keepNext w:val="0"/>
                    <w:keepLines w:val="0"/>
                    <w:widowControl/>
                    <w:suppressLineNumbers w:val="0"/>
                    <w:spacing w:before="0" w:beforeAutospacing="0" w:after="0" w:afterAutospacing="0"/>
                    <w:ind w:left="0" w:right="0"/>
                    <w:jc w:val="center"/>
                    <w:rPr>
                      <w:rFonts w:hint="default"/>
                      <w:sz w:val="21"/>
                      <w:szCs w:val="21"/>
                      <w:highlight w:val="none"/>
                    </w:rPr>
                  </w:pPr>
                  <w:r>
                    <w:rPr>
                      <w:rFonts w:hint="default"/>
                      <w:sz w:val="21"/>
                      <w:szCs w:val="21"/>
                      <w:highlight w:val="none"/>
                    </w:rPr>
                    <w:t>达标</w:t>
                  </w:r>
                </w:p>
              </w:tc>
            </w:tr>
            <w:tr w14:paraId="5FD7C17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340" w:hRule="atLeast"/>
                <w:jc w:val="center"/>
              </w:trPr>
              <w:tc>
                <w:tcPr>
                  <w:tcW w:w="513" w:type="pct"/>
                  <w:vMerge w:val="continue"/>
                  <w:vAlign w:val="center"/>
                </w:tcPr>
                <w:p w14:paraId="7DE021FC">
                  <w:pPr>
                    <w:keepNext w:val="0"/>
                    <w:keepLines w:val="0"/>
                    <w:widowControl/>
                    <w:suppressLineNumbers w:val="0"/>
                    <w:spacing w:before="0" w:beforeAutospacing="0" w:after="0" w:afterAutospacing="0"/>
                    <w:ind w:left="0" w:right="0"/>
                    <w:jc w:val="center"/>
                    <w:rPr>
                      <w:rFonts w:hint="default"/>
                      <w:sz w:val="21"/>
                      <w:szCs w:val="21"/>
                      <w:highlight w:val="none"/>
                    </w:rPr>
                  </w:pPr>
                </w:p>
              </w:tc>
              <w:tc>
                <w:tcPr>
                  <w:tcW w:w="1904" w:type="pct"/>
                  <w:shd w:val="clear" w:color="auto" w:fill="auto"/>
                  <w:tcMar>
                    <w:top w:w="15" w:type="dxa"/>
                    <w:left w:w="15" w:type="dxa"/>
                    <w:bottom w:w="0" w:type="dxa"/>
                    <w:right w:w="15" w:type="dxa"/>
                  </w:tcMar>
                  <w:vAlign w:val="center"/>
                </w:tcPr>
                <w:p w14:paraId="7EB2A1B8">
                  <w:pPr>
                    <w:keepNext w:val="0"/>
                    <w:keepLines w:val="0"/>
                    <w:widowControl/>
                    <w:suppressLineNumbers w:val="0"/>
                    <w:spacing w:before="0" w:beforeAutospacing="0" w:after="0" w:afterAutospacing="0"/>
                    <w:ind w:left="0" w:right="0"/>
                    <w:jc w:val="center"/>
                    <w:rPr>
                      <w:rFonts w:hint="default"/>
                      <w:sz w:val="21"/>
                      <w:szCs w:val="21"/>
                      <w:highlight w:val="none"/>
                    </w:rPr>
                  </w:pPr>
                  <w:r>
                    <w:rPr>
                      <w:rFonts w:hint="default"/>
                      <w:sz w:val="21"/>
                      <w:szCs w:val="21"/>
                      <w:highlight w:val="none"/>
                    </w:rPr>
                    <w:t>第95百分位数日平均质量浓度</w:t>
                  </w:r>
                </w:p>
              </w:tc>
              <w:tc>
                <w:tcPr>
                  <w:tcW w:w="645" w:type="pct"/>
                  <w:shd w:val="clear" w:color="auto" w:fill="auto"/>
                  <w:tcMar>
                    <w:top w:w="15" w:type="dxa"/>
                    <w:left w:w="15" w:type="dxa"/>
                    <w:bottom w:w="0" w:type="dxa"/>
                    <w:right w:w="15" w:type="dxa"/>
                  </w:tcMar>
                  <w:vAlign w:val="center"/>
                </w:tcPr>
                <w:p w14:paraId="0AE30234">
                  <w:pPr>
                    <w:keepNext w:val="0"/>
                    <w:keepLines w:val="0"/>
                    <w:widowControl/>
                    <w:suppressLineNumbers w:val="0"/>
                    <w:spacing w:before="0" w:beforeAutospacing="0" w:after="0" w:afterAutospacing="0"/>
                    <w:ind w:left="0" w:right="0"/>
                    <w:jc w:val="center"/>
                    <w:rPr>
                      <w:rFonts w:hint="default"/>
                      <w:sz w:val="21"/>
                      <w:szCs w:val="21"/>
                      <w:highlight w:val="none"/>
                    </w:rPr>
                  </w:pPr>
                  <w:r>
                    <w:rPr>
                      <w:rFonts w:hint="eastAsia"/>
                      <w:sz w:val="21"/>
                      <w:szCs w:val="21"/>
                      <w:highlight w:val="none"/>
                    </w:rPr>
                    <w:t>59</w:t>
                  </w:r>
                </w:p>
              </w:tc>
              <w:tc>
                <w:tcPr>
                  <w:tcW w:w="645" w:type="pct"/>
                  <w:shd w:val="clear" w:color="auto" w:fill="auto"/>
                  <w:tcMar>
                    <w:top w:w="15" w:type="dxa"/>
                    <w:left w:w="15" w:type="dxa"/>
                    <w:bottom w:w="0" w:type="dxa"/>
                    <w:right w:w="15" w:type="dxa"/>
                  </w:tcMar>
                  <w:vAlign w:val="center"/>
                </w:tcPr>
                <w:p w14:paraId="47E76ABB">
                  <w:pPr>
                    <w:keepNext w:val="0"/>
                    <w:keepLines w:val="0"/>
                    <w:widowControl/>
                    <w:suppressLineNumbers w:val="0"/>
                    <w:spacing w:before="0" w:beforeAutospacing="0" w:after="0" w:afterAutospacing="0"/>
                    <w:ind w:left="0" w:right="0"/>
                    <w:jc w:val="center"/>
                    <w:rPr>
                      <w:rFonts w:hint="default"/>
                      <w:sz w:val="21"/>
                      <w:szCs w:val="21"/>
                      <w:highlight w:val="none"/>
                    </w:rPr>
                  </w:pPr>
                  <w:r>
                    <w:rPr>
                      <w:rFonts w:hint="default"/>
                      <w:sz w:val="21"/>
                      <w:szCs w:val="21"/>
                      <w:highlight w:val="none"/>
                    </w:rPr>
                    <w:t>75</w:t>
                  </w:r>
                </w:p>
              </w:tc>
              <w:tc>
                <w:tcPr>
                  <w:tcW w:w="645" w:type="pct"/>
                  <w:shd w:val="clear" w:color="auto" w:fill="auto"/>
                  <w:tcMar>
                    <w:top w:w="15" w:type="dxa"/>
                    <w:left w:w="15" w:type="dxa"/>
                    <w:bottom w:w="0" w:type="dxa"/>
                    <w:right w:w="15" w:type="dxa"/>
                  </w:tcMar>
                  <w:vAlign w:val="center"/>
                </w:tcPr>
                <w:p w14:paraId="6F7764DF">
                  <w:pPr>
                    <w:keepNext w:val="0"/>
                    <w:keepLines w:val="0"/>
                    <w:widowControl/>
                    <w:suppressLineNumbers w:val="0"/>
                    <w:spacing w:before="0" w:beforeAutospacing="0" w:after="0" w:afterAutospacing="0"/>
                    <w:ind w:left="0" w:right="0"/>
                    <w:jc w:val="center"/>
                    <w:rPr>
                      <w:rFonts w:hint="default"/>
                      <w:sz w:val="21"/>
                      <w:szCs w:val="21"/>
                      <w:highlight w:val="none"/>
                    </w:rPr>
                  </w:pPr>
                  <w:r>
                    <w:rPr>
                      <w:rFonts w:hint="eastAsia"/>
                      <w:sz w:val="21"/>
                      <w:szCs w:val="21"/>
                      <w:highlight w:val="none"/>
                    </w:rPr>
                    <w:t>78.67</w:t>
                  </w:r>
                </w:p>
              </w:tc>
              <w:tc>
                <w:tcPr>
                  <w:tcW w:w="646" w:type="pct"/>
                  <w:vMerge w:val="continue"/>
                  <w:vAlign w:val="center"/>
                </w:tcPr>
                <w:p w14:paraId="1648D04E">
                  <w:pPr>
                    <w:keepNext w:val="0"/>
                    <w:keepLines w:val="0"/>
                    <w:widowControl/>
                    <w:suppressLineNumbers w:val="0"/>
                    <w:spacing w:before="0" w:beforeAutospacing="0" w:after="0" w:afterAutospacing="0"/>
                    <w:ind w:left="0" w:right="0"/>
                    <w:jc w:val="center"/>
                    <w:rPr>
                      <w:rFonts w:hint="default"/>
                      <w:sz w:val="21"/>
                      <w:szCs w:val="21"/>
                      <w:highlight w:val="none"/>
                    </w:rPr>
                  </w:pPr>
                </w:p>
              </w:tc>
            </w:tr>
            <w:tr w14:paraId="3CC7DB7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340" w:hRule="atLeast"/>
                <w:jc w:val="center"/>
              </w:trPr>
              <w:tc>
                <w:tcPr>
                  <w:tcW w:w="513" w:type="pct"/>
                  <w:shd w:val="clear" w:color="auto" w:fill="auto"/>
                  <w:tcMar>
                    <w:top w:w="15" w:type="dxa"/>
                    <w:left w:w="15" w:type="dxa"/>
                    <w:bottom w:w="0" w:type="dxa"/>
                    <w:right w:w="15" w:type="dxa"/>
                  </w:tcMar>
                  <w:vAlign w:val="center"/>
                </w:tcPr>
                <w:p w14:paraId="5499B830">
                  <w:pPr>
                    <w:keepNext w:val="0"/>
                    <w:keepLines w:val="0"/>
                    <w:widowControl/>
                    <w:suppressLineNumbers w:val="0"/>
                    <w:spacing w:before="0" w:beforeAutospacing="0" w:after="0" w:afterAutospacing="0"/>
                    <w:ind w:left="0" w:right="0"/>
                    <w:jc w:val="center"/>
                    <w:rPr>
                      <w:rFonts w:hint="default"/>
                      <w:sz w:val="21"/>
                      <w:szCs w:val="21"/>
                      <w:highlight w:val="none"/>
                    </w:rPr>
                  </w:pPr>
                  <w:r>
                    <w:rPr>
                      <w:rFonts w:hint="default"/>
                      <w:sz w:val="21"/>
                      <w:szCs w:val="21"/>
                      <w:highlight w:val="none"/>
                    </w:rPr>
                    <w:t>O</w:t>
                  </w:r>
                  <w:r>
                    <w:rPr>
                      <w:rFonts w:hint="default"/>
                      <w:sz w:val="21"/>
                      <w:szCs w:val="21"/>
                      <w:highlight w:val="none"/>
                      <w:vertAlign w:val="subscript"/>
                    </w:rPr>
                    <w:t>3</w:t>
                  </w:r>
                </w:p>
              </w:tc>
              <w:tc>
                <w:tcPr>
                  <w:tcW w:w="1904" w:type="pct"/>
                  <w:shd w:val="clear" w:color="auto" w:fill="auto"/>
                  <w:tcMar>
                    <w:top w:w="15" w:type="dxa"/>
                    <w:left w:w="15" w:type="dxa"/>
                    <w:bottom w:w="0" w:type="dxa"/>
                    <w:right w:w="15" w:type="dxa"/>
                  </w:tcMar>
                  <w:vAlign w:val="center"/>
                </w:tcPr>
                <w:p w14:paraId="09074369">
                  <w:pPr>
                    <w:keepNext w:val="0"/>
                    <w:keepLines w:val="0"/>
                    <w:widowControl/>
                    <w:suppressLineNumbers w:val="0"/>
                    <w:spacing w:before="0" w:beforeAutospacing="0" w:after="0" w:afterAutospacing="0"/>
                    <w:ind w:left="0" w:right="0"/>
                    <w:jc w:val="center"/>
                    <w:rPr>
                      <w:rFonts w:hint="default"/>
                      <w:sz w:val="21"/>
                      <w:szCs w:val="21"/>
                      <w:highlight w:val="none"/>
                    </w:rPr>
                  </w:pPr>
                  <w:r>
                    <w:rPr>
                      <w:rFonts w:hint="default"/>
                      <w:sz w:val="21"/>
                      <w:szCs w:val="21"/>
                      <w:highlight w:val="none"/>
                    </w:rPr>
                    <w:t>第90百分位数最大8h平均质量浓度</w:t>
                  </w:r>
                </w:p>
              </w:tc>
              <w:tc>
                <w:tcPr>
                  <w:tcW w:w="645" w:type="pct"/>
                  <w:shd w:val="clear" w:color="auto" w:fill="auto"/>
                  <w:tcMar>
                    <w:top w:w="15" w:type="dxa"/>
                    <w:left w:w="15" w:type="dxa"/>
                    <w:bottom w:w="0" w:type="dxa"/>
                    <w:right w:w="15" w:type="dxa"/>
                  </w:tcMar>
                  <w:vAlign w:val="center"/>
                </w:tcPr>
                <w:p w14:paraId="7B37D61D">
                  <w:pPr>
                    <w:keepNext w:val="0"/>
                    <w:keepLines w:val="0"/>
                    <w:widowControl/>
                    <w:suppressLineNumbers w:val="0"/>
                    <w:spacing w:before="0" w:beforeAutospacing="0" w:after="0" w:afterAutospacing="0"/>
                    <w:ind w:left="0" w:right="0"/>
                    <w:jc w:val="center"/>
                    <w:rPr>
                      <w:rFonts w:hint="default"/>
                      <w:sz w:val="21"/>
                      <w:szCs w:val="21"/>
                      <w:highlight w:val="none"/>
                    </w:rPr>
                  </w:pPr>
                  <w:r>
                    <w:rPr>
                      <w:rFonts w:hint="eastAsia"/>
                      <w:sz w:val="21"/>
                      <w:szCs w:val="21"/>
                      <w:highlight w:val="none"/>
                    </w:rPr>
                    <w:t>142</w:t>
                  </w:r>
                </w:p>
              </w:tc>
              <w:tc>
                <w:tcPr>
                  <w:tcW w:w="645" w:type="pct"/>
                  <w:shd w:val="clear" w:color="auto" w:fill="auto"/>
                  <w:tcMar>
                    <w:top w:w="15" w:type="dxa"/>
                    <w:left w:w="15" w:type="dxa"/>
                    <w:bottom w:w="0" w:type="dxa"/>
                    <w:right w:w="15" w:type="dxa"/>
                  </w:tcMar>
                  <w:vAlign w:val="center"/>
                </w:tcPr>
                <w:p w14:paraId="6EA210FF">
                  <w:pPr>
                    <w:keepNext w:val="0"/>
                    <w:keepLines w:val="0"/>
                    <w:widowControl/>
                    <w:suppressLineNumbers w:val="0"/>
                    <w:spacing w:before="0" w:beforeAutospacing="0" w:after="0" w:afterAutospacing="0"/>
                    <w:ind w:left="0" w:right="0"/>
                    <w:jc w:val="center"/>
                    <w:rPr>
                      <w:rFonts w:hint="default"/>
                      <w:sz w:val="21"/>
                      <w:szCs w:val="21"/>
                      <w:highlight w:val="none"/>
                    </w:rPr>
                  </w:pPr>
                  <w:r>
                    <w:rPr>
                      <w:rFonts w:hint="default"/>
                      <w:sz w:val="21"/>
                      <w:szCs w:val="21"/>
                      <w:highlight w:val="none"/>
                    </w:rPr>
                    <w:t>160</w:t>
                  </w:r>
                </w:p>
              </w:tc>
              <w:tc>
                <w:tcPr>
                  <w:tcW w:w="645" w:type="pct"/>
                  <w:shd w:val="clear" w:color="auto" w:fill="auto"/>
                  <w:tcMar>
                    <w:top w:w="15" w:type="dxa"/>
                    <w:left w:w="15" w:type="dxa"/>
                    <w:bottom w:w="0" w:type="dxa"/>
                    <w:right w:w="15" w:type="dxa"/>
                  </w:tcMar>
                  <w:vAlign w:val="center"/>
                </w:tcPr>
                <w:p w14:paraId="368A1950">
                  <w:pPr>
                    <w:keepNext w:val="0"/>
                    <w:keepLines w:val="0"/>
                    <w:widowControl/>
                    <w:suppressLineNumbers w:val="0"/>
                    <w:spacing w:before="0" w:beforeAutospacing="0" w:after="0" w:afterAutospacing="0"/>
                    <w:ind w:left="0" w:right="0"/>
                    <w:jc w:val="center"/>
                    <w:rPr>
                      <w:rFonts w:hint="default"/>
                      <w:sz w:val="21"/>
                      <w:szCs w:val="21"/>
                      <w:highlight w:val="none"/>
                    </w:rPr>
                  </w:pPr>
                  <w:r>
                    <w:rPr>
                      <w:rFonts w:hint="eastAsia"/>
                      <w:sz w:val="21"/>
                      <w:szCs w:val="21"/>
                      <w:highlight w:val="none"/>
                    </w:rPr>
                    <w:t>88.75</w:t>
                  </w:r>
                </w:p>
              </w:tc>
              <w:tc>
                <w:tcPr>
                  <w:tcW w:w="646" w:type="pct"/>
                  <w:shd w:val="clear" w:color="auto" w:fill="auto"/>
                  <w:tcMar>
                    <w:top w:w="15" w:type="dxa"/>
                    <w:left w:w="15" w:type="dxa"/>
                    <w:bottom w:w="0" w:type="dxa"/>
                    <w:right w:w="15" w:type="dxa"/>
                  </w:tcMar>
                  <w:vAlign w:val="center"/>
                </w:tcPr>
                <w:p w14:paraId="347DC678">
                  <w:pPr>
                    <w:keepNext w:val="0"/>
                    <w:keepLines w:val="0"/>
                    <w:widowControl/>
                    <w:suppressLineNumbers w:val="0"/>
                    <w:spacing w:before="0" w:beforeAutospacing="0" w:after="0" w:afterAutospacing="0"/>
                    <w:ind w:left="0" w:right="0"/>
                    <w:jc w:val="center"/>
                    <w:rPr>
                      <w:rFonts w:hint="default"/>
                      <w:sz w:val="21"/>
                      <w:szCs w:val="21"/>
                      <w:highlight w:val="none"/>
                    </w:rPr>
                  </w:pPr>
                  <w:r>
                    <w:rPr>
                      <w:rFonts w:hint="default"/>
                      <w:sz w:val="21"/>
                      <w:szCs w:val="21"/>
                      <w:highlight w:val="none"/>
                    </w:rPr>
                    <w:t>达标</w:t>
                  </w:r>
                </w:p>
              </w:tc>
            </w:tr>
            <w:tr w14:paraId="0E166B4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340" w:hRule="atLeast"/>
                <w:jc w:val="center"/>
              </w:trPr>
              <w:tc>
                <w:tcPr>
                  <w:tcW w:w="513" w:type="pct"/>
                  <w:shd w:val="clear" w:color="auto" w:fill="auto"/>
                  <w:tcMar>
                    <w:top w:w="15" w:type="dxa"/>
                    <w:left w:w="15" w:type="dxa"/>
                    <w:bottom w:w="0" w:type="dxa"/>
                    <w:right w:w="15" w:type="dxa"/>
                  </w:tcMar>
                  <w:vAlign w:val="center"/>
                </w:tcPr>
                <w:p w14:paraId="6C313F71">
                  <w:pPr>
                    <w:keepNext w:val="0"/>
                    <w:keepLines w:val="0"/>
                    <w:widowControl/>
                    <w:suppressLineNumbers w:val="0"/>
                    <w:spacing w:before="0" w:beforeAutospacing="0" w:after="0" w:afterAutospacing="0"/>
                    <w:ind w:left="0" w:right="0"/>
                    <w:jc w:val="center"/>
                    <w:rPr>
                      <w:rFonts w:hint="default"/>
                      <w:sz w:val="21"/>
                      <w:szCs w:val="21"/>
                      <w:highlight w:val="none"/>
                    </w:rPr>
                  </w:pPr>
                  <w:r>
                    <w:rPr>
                      <w:rFonts w:hint="default"/>
                      <w:sz w:val="21"/>
                      <w:szCs w:val="21"/>
                      <w:highlight w:val="none"/>
                    </w:rPr>
                    <w:t>CO</w:t>
                  </w:r>
                </w:p>
              </w:tc>
              <w:tc>
                <w:tcPr>
                  <w:tcW w:w="1904" w:type="pct"/>
                  <w:shd w:val="clear" w:color="auto" w:fill="auto"/>
                  <w:tcMar>
                    <w:top w:w="15" w:type="dxa"/>
                    <w:left w:w="15" w:type="dxa"/>
                    <w:bottom w:w="0" w:type="dxa"/>
                    <w:right w:w="15" w:type="dxa"/>
                  </w:tcMar>
                  <w:vAlign w:val="center"/>
                </w:tcPr>
                <w:p w14:paraId="49C7F174">
                  <w:pPr>
                    <w:keepNext w:val="0"/>
                    <w:keepLines w:val="0"/>
                    <w:widowControl/>
                    <w:suppressLineNumbers w:val="0"/>
                    <w:spacing w:before="0" w:beforeAutospacing="0" w:after="0" w:afterAutospacing="0"/>
                    <w:ind w:left="0" w:right="0"/>
                    <w:jc w:val="center"/>
                    <w:rPr>
                      <w:rFonts w:hint="default"/>
                      <w:sz w:val="21"/>
                      <w:szCs w:val="21"/>
                      <w:highlight w:val="none"/>
                    </w:rPr>
                  </w:pPr>
                  <w:r>
                    <w:rPr>
                      <w:rFonts w:hint="default"/>
                      <w:sz w:val="21"/>
                      <w:szCs w:val="21"/>
                      <w:highlight w:val="none"/>
                    </w:rPr>
                    <w:t>第95百分位数日平均质量浓度</w:t>
                  </w:r>
                </w:p>
              </w:tc>
              <w:tc>
                <w:tcPr>
                  <w:tcW w:w="645" w:type="pct"/>
                  <w:shd w:val="clear" w:color="auto" w:fill="auto"/>
                  <w:tcMar>
                    <w:top w:w="15" w:type="dxa"/>
                    <w:left w:w="15" w:type="dxa"/>
                    <w:bottom w:w="0" w:type="dxa"/>
                    <w:right w:w="15" w:type="dxa"/>
                  </w:tcMar>
                  <w:vAlign w:val="center"/>
                </w:tcPr>
                <w:p w14:paraId="2DE858B3">
                  <w:pPr>
                    <w:keepNext w:val="0"/>
                    <w:keepLines w:val="0"/>
                    <w:widowControl/>
                    <w:suppressLineNumbers w:val="0"/>
                    <w:spacing w:before="0" w:beforeAutospacing="0" w:after="0" w:afterAutospacing="0"/>
                    <w:ind w:left="0" w:right="0"/>
                    <w:jc w:val="center"/>
                    <w:rPr>
                      <w:rFonts w:hint="default"/>
                      <w:sz w:val="21"/>
                      <w:szCs w:val="21"/>
                      <w:highlight w:val="none"/>
                    </w:rPr>
                  </w:pPr>
                  <w:r>
                    <w:rPr>
                      <w:rFonts w:hint="eastAsia"/>
                      <w:sz w:val="21"/>
                      <w:szCs w:val="21"/>
                      <w:highlight w:val="none"/>
                    </w:rPr>
                    <w:t>1000</w:t>
                  </w:r>
                </w:p>
              </w:tc>
              <w:tc>
                <w:tcPr>
                  <w:tcW w:w="645" w:type="pct"/>
                  <w:shd w:val="clear" w:color="auto" w:fill="auto"/>
                  <w:tcMar>
                    <w:top w:w="15" w:type="dxa"/>
                    <w:left w:w="15" w:type="dxa"/>
                    <w:bottom w:w="0" w:type="dxa"/>
                    <w:right w:w="15" w:type="dxa"/>
                  </w:tcMar>
                  <w:vAlign w:val="center"/>
                </w:tcPr>
                <w:p w14:paraId="5105B862">
                  <w:pPr>
                    <w:keepNext w:val="0"/>
                    <w:keepLines w:val="0"/>
                    <w:widowControl/>
                    <w:suppressLineNumbers w:val="0"/>
                    <w:spacing w:before="0" w:beforeAutospacing="0" w:after="0" w:afterAutospacing="0"/>
                    <w:ind w:left="0" w:right="0"/>
                    <w:jc w:val="center"/>
                    <w:rPr>
                      <w:rFonts w:hint="default"/>
                      <w:sz w:val="21"/>
                      <w:szCs w:val="21"/>
                      <w:highlight w:val="none"/>
                    </w:rPr>
                  </w:pPr>
                  <w:r>
                    <w:rPr>
                      <w:rFonts w:hint="default"/>
                      <w:sz w:val="21"/>
                      <w:szCs w:val="21"/>
                      <w:highlight w:val="none"/>
                    </w:rPr>
                    <w:t>4000</w:t>
                  </w:r>
                </w:p>
              </w:tc>
              <w:tc>
                <w:tcPr>
                  <w:tcW w:w="645" w:type="pct"/>
                  <w:shd w:val="clear" w:color="auto" w:fill="auto"/>
                  <w:tcMar>
                    <w:top w:w="15" w:type="dxa"/>
                    <w:left w:w="15" w:type="dxa"/>
                    <w:bottom w:w="0" w:type="dxa"/>
                    <w:right w:w="15" w:type="dxa"/>
                  </w:tcMar>
                  <w:vAlign w:val="center"/>
                </w:tcPr>
                <w:p w14:paraId="06E162D5">
                  <w:pPr>
                    <w:keepNext w:val="0"/>
                    <w:keepLines w:val="0"/>
                    <w:widowControl/>
                    <w:suppressLineNumbers w:val="0"/>
                    <w:spacing w:before="0" w:beforeAutospacing="0" w:after="0" w:afterAutospacing="0"/>
                    <w:ind w:left="0" w:right="0"/>
                    <w:jc w:val="center"/>
                    <w:rPr>
                      <w:rFonts w:hint="default"/>
                      <w:sz w:val="21"/>
                      <w:szCs w:val="21"/>
                      <w:highlight w:val="none"/>
                    </w:rPr>
                  </w:pPr>
                  <w:r>
                    <w:rPr>
                      <w:rFonts w:hint="eastAsia"/>
                      <w:sz w:val="21"/>
                      <w:szCs w:val="21"/>
                      <w:highlight w:val="none"/>
                    </w:rPr>
                    <w:t>25</w:t>
                  </w:r>
                </w:p>
              </w:tc>
              <w:tc>
                <w:tcPr>
                  <w:tcW w:w="646" w:type="pct"/>
                  <w:shd w:val="clear" w:color="auto" w:fill="auto"/>
                  <w:tcMar>
                    <w:top w:w="15" w:type="dxa"/>
                    <w:left w:w="15" w:type="dxa"/>
                    <w:bottom w:w="0" w:type="dxa"/>
                    <w:right w:w="15" w:type="dxa"/>
                  </w:tcMar>
                  <w:vAlign w:val="center"/>
                </w:tcPr>
                <w:p w14:paraId="5C715F50">
                  <w:pPr>
                    <w:keepNext w:val="0"/>
                    <w:keepLines w:val="0"/>
                    <w:widowControl/>
                    <w:suppressLineNumbers w:val="0"/>
                    <w:spacing w:before="0" w:beforeAutospacing="0" w:after="0" w:afterAutospacing="0"/>
                    <w:ind w:left="0" w:right="0"/>
                    <w:jc w:val="center"/>
                    <w:rPr>
                      <w:rFonts w:hint="default"/>
                      <w:sz w:val="21"/>
                      <w:szCs w:val="21"/>
                      <w:highlight w:val="none"/>
                    </w:rPr>
                  </w:pPr>
                  <w:r>
                    <w:rPr>
                      <w:rFonts w:hint="default"/>
                      <w:sz w:val="21"/>
                      <w:szCs w:val="21"/>
                      <w:highlight w:val="none"/>
                    </w:rPr>
                    <w:t>达标</w:t>
                  </w:r>
                </w:p>
              </w:tc>
            </w:tr>
            <w:bookmarkEnd w:id="14"/>
          </w:tbl>
          <w:p w14:paraId="29E0E965">
            <w:pPr>
              <w:keepNext w:val="0"/>
              <w:keepLines w:val="0"/>
              <w:suppressLineNumbers w:val="0"/>
              <w:adjustRightInd w:val="0"/>
              <w:snapToGrid w:val="0"/>
              <w:spacing w:before="0" w:beforeAutospacing="0" w:after="0" w:afterAutospacing="0" w:line="360" w:lineRule="auto"/>
              <w:ind w:left="0" w:right="0" w:firstLine="480" w:firstLineChars="200"/>
              <w:rPr>
                <w:rFonts w:hint="eastAsia"/>
                <w:color w:val="auto"/>
                <w:sz w:val="24"/>
                <w:highlight w:val="none"/>
                <w:lang w:bidi="zh-CN"/>
              </w:rPr>
            </w:pPr>
            <w:r>
              <w:rPr>
                <w:rFonts w:hint="default"/>
                <w:sz w:val="24"/>
                <w:highlight w:val="none"/>
              </w:rPr>
              <w:t>综上，区域环境空气质量能满足二类功能区要求，本项目所在地附近环境空气质量良好</w:t>
            </w:r>
            <w:r>
              <w:rPr>
                <w:rFonts w:hint="eastAsia"/>
                <w:color w:val="auto"/>
                <w:sz w:val="24"/>
                <w:highlight w:val="none"/>
                <w:lang w:bidi="zh-CN"/>
              </w:rPr>
              <w:t>。</w:t>
            </w:r>
          </w:p>
          <w:p w14:paraId="6155E7F1">
            <w:pPr>
              <w:keepNext w:val="0"/>
              <w:keepLines w:val="0"/>
              <w:suppressLineNumbers w:val="0"/>
              <w:adjustRightInd w:val="0"/>
              <w:spacing w:before="0" w:beforeAutospacing="0" w:after="0" w:afterAutospacing="0" w:line="360" w:lineRule="auto"/>
              <w:ind w:left="0" w:right="0"/>
              <w:rPr>
                <w:rFonts w:hint="eastAsia" w:ascii="Times New Roman" w:hAnsi="Times New Roman" w:eastAsia="宋体" w:cs="Times New Roman"/>
                <w:b/>
                <w:bCs/>
                <w:color w:val="auto"/>
                <w:sz w:val="24"/>
                <w:szCs w:val="24"/>
                <w:highlight w:val="none"/>
              </w:rPr>
            </w:pPr>
            <w:r>
              <w:rPr>
                <w:rFonts w:hint="eastAsia" w:ascii="Times New Roman" w:hAnsi="Times New Roman" w:eastAsia="宋体" w:cs="Times New Roman"/>
                <w:b/>
                <w:bCs/>
                <w:color w:val="auto"/>
                <w:sz w:val="24"/>
                <w:szCs w:val="24"/>
                <w:highlight w:val="none"/>
              </w:rPr>
              <w:t>2</w:t>
            </w:r>
            <w:r>
              <w:rPr>
                <w:rFonts w:hint="eastAsia" w:cs="Times New Roman"/>
                <w:b/>
                <w:bCs/>
                <w:color w:val="auto"/>
                <w:sz w:val="24"/>
                <w:szCs w:val="24"/>
                <w:highlight w:val="none"/>
                <w:lang w:eastAsia="zh-CN"/>
              </w:rPr>
              <w:t>、</w:t>
            </w:r>
            <w:r>
              <w:rPr>
                <w:rFonts w:hint="eastAsia" w:ascii="Times New Roman" w:hAnsi="Times New Roman" w:eastAsia="宋体" w:cs="Times New Roman"/>
                <w:b/>
                <w:bCs/>
                <w:color w:val="auto"/>
                <w:sz w:val="24"/>
                <w:szCs w:val="24"/>
                <w:highlight w:val="none"/>
              </w:rPr>
              <w:t>地表水环境</w:t>
            </w:r>
          </w:p>
          <w:p w14:paraId="3B283E9B">
            <w:pPr>
              <w:keepNext w:val="0"/>
              <w:keepLines w:val="0"/>
              <w:suppressLineNumbers w:val="0"/>
              <w:adjustRightInd w:val="0"/>
              <w:spacing w:before="0" w:beforeAutospacing="0" w:after="0" w:afterAutospacing="0" w:line="360" w:lineRule="auto"/>
              <w:ind w:left="0" w:right="0" w:firstLine="480" w:firstLineChars="200"/>
              <w:rPr>
                <w:rFonts w:hint="eastAsia" w:ascii="Times New Roman" w:hAnsi="Times New Roman" w:eastAsia="宋体" w:cs="Times New Roman"/>
                <w:color w:val="auto"/>
                <w:sz w:val="24"/>
                <w:szCs w:val="24"/>
                <w:highlight w:val="none"/>
              </w:rPr>
            </w:pPr>
            <w:r>
              <w:rPr>
                <w:rFonts w:hint="eastAsia" w:ascii="Times New Roman" w:hAnsi="Times New Roman" w:eastAsia="宋体" w:cs="Times New Roman"/>
                <w:color w:val="auto"/>
                <w:sz w:val="24"/>
                <w:szCs w:val="24"/>
                <w:highlight w:val="none"/>
              </w:rPr>
              <w:t>本项目附近水体和最终纳污水体均为常山港，根据《浙江省水功能区、水环境功能区划分方案（2015）》，本项目纳污水体属于钱塘12（常山衢州分界线～双港口），水功能区为常山港衢州农业用水区，水环境功能区为农业用水区，目标水质为III类。</w:t>
            </w:r>
          </w:p>
          <w:p w14:paraId="6C94642B">
            <w:pPr>
              <w:keepNext w:val="0"/>
              <w:keepLines w:val="0"/>
              <w:suppressLineNumbers w:val="0"/>
              <w:adjustRightInd w:val="0"/>
              <w:spacing w:before="0" w:beforeAutospacing="0" w:after="0" w:afterAutospacing="0" w:line="360" w:lineRule="auto"/>
              <w:ind w:left="0" w:right="0" w:firstLine="480" w:firstLineChars="200"/>
              <w:rPr>
                <w:rFonts w:hint="eastAsia" w:eastAsia="宋体"/>
                <w:sz w:val="24"/>
                <w:highlight w:val="none"/>
                <w:lang w:eastAsia="zh-CN"/>
              </w:rPr>
            </w:pPr>
            <w:r>
              <w:rPr>
                <w:rFonts w:hint="eastAsia" w:ascii="Times New Roman" w:hAnsi="Times New Roman" w:eastAsia="宋体" w:cs="Times New Roman"/>
                <w:color w:val="auto"/>
                <w:sz w:val="24"/>
                <w:szCs w:val="24"/>
                <w:highlight w:val="none"/>
              </w:rPr>
              <w:t>为了解项目邻近水体地表水水质现状，</w:t>
            </w:r>
            <w:r>
              <w:rPr>
                <w:rFonts w:hint="eastAsia"/>
                <w:sz w:val="24"/>
                <w:highlight w:val="none"/>
              </w:rPr>
              <w:t>本次环评引用《航埠镇工业功能区控制性详细规划环境影响报告书》中于2023年2月14日</w:t>
            </w:r>
            <w:r>
              <w:rPr>
                <w:rFonts w:hint="eastAsia"/>
                <w:sz w:val="24"/>
                <w:highlight w:val="none"/>
                <w:lang w:eastAsia="zh-CN"/>
              </w:rPr>
              <w:t>～</w:t>
            </w:r>
            <w:r>
              <w:rPr>
                <w:rFonts w:hint="eastAsia"/>
                <w:sz w:val="24"/>
                <w:highlight w:val="none"/>
              </w:rPr>
              <w:t>16日对常山港的相关监测数据进行分析评价</w:t>
            </w:r>
            <w:r>
              <w:rPr>
                <w:rFonts w:hint="eastAsia"/>
                <w:sz w:val="24"/>
                <w:highlight w:val="none"/>
                <w:lang w:eastAsia="zh-CN"/>
              </w:rPr>
              <w:t>。</w:t>
            </w:r>
          </w:p>
          <w:p w14:paraId="37E82C19">
            <w:pPr>
              <w:keepNext w:val="0"/>
              <w:keepLines w:val="0"/>
              <w:suppressLineNumbers w:val="0"/>
              <w:spacing w:before="0" w:beforeAutospacing="0" w:after="0" w:afterAutospacing="0" w:line="360" w:lineRule="auto"/>
              <w:ind w:left="0" w:right="0" w:firstLine="480" w:firstLineChars="200"/>
              <w:rPr>
                <w:rFonts w:hint="default"/>
                <w:sz w:val="24"/>
                <w:highlight w:val="none"/>
              </w:rPr>
            </w:pPr>
            <w:r>
              <w:rPr>
                <w:rFonts w:hint="eastAsia"/>
                <w:sz w:val="24"/>
                <w:highlight w:val="none"/>
              </w:rPr>
              <w:t>1）</w:t>
            </w:r>
            <w:r>
              <w:rPr>
                <w:rFonts w:hint="default"/>
                <w:sz w:val="24"/>
                <w:highlight w:val="none"/>
              </w:rPr>
              <w:t>监测断面</w:t>
            </w:r>
          </w:p>
          <w:p w14:paraId="77C44803">
            <w:pPr>
              <w:keepNext w:val="0"/>
              <w:keepLines w:val="0"/>
              <w:suppressLineNumbers w:val="0"/>
              <w:spacing w:before="0" w:beforeAutospacing="0" w:after="0" w:afterAutospacing="0" w:line="360" w:lineRule="auto"/>
              <w:ind w:left="0" w:right="0" w:firstLine="480" w:firstLineChars="200"/>
              <w:rPr>
                <w:rFonts w:hint="default"/>
                <w:sz w:val="24"/>
                <w:highlight w:val="none"/>
              </w:rPr>
            </w:pPr>
            <w:r>
              <w:rPr>
                <w:rFonts w:hint="eastAsia"/>
                <w:sz w:val="24"/>
                <w:highlight w:val="none"/>
              </w:rPr>
              <w:t>W1#航埠镇污水厂排污口上游500m处、W2航埠镇污水厂排污口下游1000m处、W3航埠镇污水厂排污口下游2000m处，详见下图3</w:t>
            </w:r>
            <w:r>
              <w:rPr>
                <w:rFonts w:hint="default"/>
                <w:sz w:val="24"/>
                <w:highlight w:val="none"/>
              </w:rPr>
              <w:t>-1</w:t>
            </w:r>
            <w:r>
              <w:rPr>
                <w:rFonts w:hint="eastAsia"/>
                <w:sz w:val="24"/>
                <w:highlight w:val="none"/>
              </w:rPr>
              <w:t>。</w:t>
            </w:r>
          </w:p>
          <w:p w14:paraId="40DF2828">
            <w:pPr>
              <w:keepNext w:val="0"/>
              <w:keepLines w:val="0"/>
              <w:suppressLineNumbers w:val="0"/>
              <w:spacing w:before="0" w:beforeAutospacing="0" w:after="0" w:afterAutospacing="0" w:line="360" w:lineRule="auto"/>
              <w:ind w:left="0" w:right="0" w:firstLine="480" w:firstLineChars="200"/>
              <w:rPr>
                <w:rFonts w:hint="default"/>
                <w:sz w:val="24"/>
                <w:highlight w:val="none"/>
              </w:rPr>
            </w:pPr>
            <w:r>
              <w:rPr>
                <w:rFonts w:hint="eastAsia"/>
                <w:sz w:val="24"/>
                <w:highlight w:val="none"/>
              </w:rPr>
              <w:t>2）</w:t>
            </w:r>
            <w:r>
              <w:rPr>
                <w:rFonts w:hint="default"/>
                <w:sz w:val="24"/>
                <w:highlight w:val="none"/>
              </w:rPr>
              <w:t>监测时间</w:t>
            </w:r>
            <w:r>
              <w:rPr>
                <w:rFonts w:hint="eastAsia"/>
                <w:sz w:val="24"/>
                <w:highlight w:val="none"/>
              </w:rPr>
              <w:t>、</w:t>
            </w:r>
            <w:r>
              <w:rPr>
                <w:rFonts w:hint="default"/>
                <w:sz w:val="24"/>
                <w:highlight w:val="none"/>
              </w:rPr>
              <w:t>频次</w:t>
            </w:r>
            <w:r>
              <w:rPr>
                <w:rFonts w:hint="eastAsia"/>
                <w:sz w:val="24"/>
                <w:highlight w:val="none"/>
              </w:rPr>
              <w:t>和因子</w:t>
            </w:r>
          </w:p>
          <w:p w14:paraId="04E0F5F5">
            <w:pPr>
              <w:keepNext w:val="0"/>
              <w:keepLines w:val="0"/>
              <w:suppressLineNumbers w:val="0"/>
              <w:spacing w:before="0" w:beforeAutospacing="0" w:after="0" w:afterAutospacing="0" w:line="360" w:lineRule="auto"/>
              <w:ind w:left="0" w:right="0" w:firstLine="480" w:firstLineChars="200"/>
              <w:rPr>
                <w:rFonts w:hint="default"/>
                <w:sz w:val="24"/>
                <w:highlight w:val="none"/>
              </w:rPr>
            </w:pPr>
            <w:r>
              <w:rPr>
                <w:rFonts w:hint="eastAsia"/>
                <w:sz w:val="24"/>
                <w:highlight w:val="none"/>
              </w:rPr>
              <w:t>监测时间和频次：2023年2月14日</w:t>
            </w:r>
            <w:r>
              <w:rPr>
                <w:rFonts w:hint="eastAsia"/>
                <w:sz w:val="24"/>
                <w:highlight w:val="none"/>
                <w:lang w:eastAsia="zh-CN"/>
              </w:rPr>
              <w:t>～</w:t>
            </w:r>
            <w:r>
              <w:rPr>
                <w:rFonts w:hint="eastAsia"/>
                <w:sz w:val="24"/>
                <w:highlight w:val="none"/>
              </w:rPr>
              <w:t>16日；共检测3天，每天检测2次。</w:t>
            </w:r>
          </w:p>
          <w:p w14:paraId="2967BDA6">
            <w:pPr>
              <w:keepNext w:val="0"/>
              <w:keepLines w:val="0"/>
              <w:suppressLineNumbers w:val="0"/>
              <w:spacing w:before="0" w:beforeAutospacing="0" w:after="0" w:afterAutospacing="0" w:line="360" w:lineRule="auto"/>
              <w:ind w:left="0" w:right="0" w:firstLine="480" w:firstLineChars="200"/>
              <w:rPr>
                <w:rFonts w:hint="default"/>
                <w:sz w:val="24"/>
                <w:highlight w:val="none"/>
              </w:rPr>
            </w:pPr>
            <w:r>
              <w:rPr>
                <w:rFonts w:hint="eastAsia"/>
                <w:sz w:val="24"/>
                <w:highlight w:val="none"/>
              </w:rPr>
              <w:t>监测因子：水温、COD</w:t>
            </w:r>
            <w:r>
              <w:rPr>
                <w:rFonts w:hint="eastAsia"/>
                <w:sz w:val="24"/>
                <w:highlight w:val="none"/>
                <w:lang w:val="en-US" w:eastAsia="zh-CN"/>
              </w:rPr>
              <w:t>cr</w:t>
            </w:r>
            <w:r>
              <w:rPr>
                <w:rFonts w:hint="eastAsia"/>
                <w:sz w:val="24"/>
                <w:highlight w:val="none"/>
              </w:rPr>
              <w:t>、BOD</w:t>
            </w:r>
            <w:r>
              <w:rPr>
                <w:rFonts w:hint="eastAsia"/>
                <w:sz w:val="24"/>
                <w:highlight w:val="none"/>
                <w:vertAlign w:val="subscript"/>
              </w:rPr>
              <w:t>5</w:t>
            </w:r>
            <w:r>
              <w:rPr>
                <w:rFonts w:hint="eastAsia"/>
                <w:sz w:val="24"/>
                <w:highlight w:val="none"/>
              </w:rPr>
              <w:t>、石油类、阴离子表面活性剂、总氮、总磷、氨氮、pH、粪大肠菌群数、高锰酸盐指数、溶解氧、锌、SS。</w:t>
            </w:r>
          </w:p>
          <w:p w14:paraId="500DBD47">
            <w:pPr>
              <w:keepNext w:val="0"/>
              <w:keepLines w:val="0"/>
              <w:numPr>
                <w:ilvl w:val="0"/>
                <w:numId w:val="4"/>
              </w:numPr>
              <w:suppressLineNumbers w:val="0"/>
              <w:spacing w:before="0" w:beforeAutospacing="0" w:after="0" w:afterAutospacing="0" w:line="360" w:lineRule="auto"/>
              <w:ind w:left="0" w:right="0" w:firstLine="480" w:firstLineChars="200"/>
              <w:rPr>
                <w:rFonts w:hint="default"/>
                <w:sz w:val="24"/>
                <w:highlight w:val="none"/>
              </w:rPr>
            </w:pPr>
            <w:r>
              <w:rPr>
                <w:rFonts w:hint="default"/>
                <w:sz w:val="24"/>
                <w:highlight w:val="none"/>
              </w:rPr>
              <w:t>采样及分析方法</w:t>
            </w:r>
          </w:p>
          <w:p w14:paraId="5F0839E8">
            <w:pPr>
              <w:keepNext w:val="0"/>
              <w:keepLines w:val="0"/>
              <w:suppressLineNumbers w:val="0"/>
              <w:adjustRightInd w:val="0"/>
              <w:snapToGrid w:val="0"/>
              <w:spacing w:before="0" w:beforeAutospacing="0" w:after="0" w:afterAutospacing="0" w:line="360" w:lineRule="auto"/>
              <w:ind w:left="0" w:right="0" w:firstLine="480" w:firstLineChars="200"/>
              <w:jc w:val="left"/>
              <w:rPr>
                <w:rFonts w:hint="eastAsia" w:eastAsia="宋体"/>
                <w:sz w:val="24"/>
                <w:highlight w:val="none"/>
                <w:lang w:val="en-US" w:eastAsia="zh-CN"/>
              </w:rPr>
            </w:pPr>
            <w:r>
              <w:rPr>
                <w:rFonts w:hint="eastAsia"/>
                <w:sz w:val="24"/>
                <w:highlight w:val="none"/>
              </w:rPr>
              <w:t>按国家有关标准和</w:t>
            </w:r>
            <w:r>
              <w:rPr>
                <w:rFonts w:hint="eastAsia"/>
                <w:sz w:val="24"/>
                <w:highlight w:val="none"/>
                <w:lang w:eastAsia="zh-CN"/>
              </w:rPr>
              <w:t>生态环境部</w:t>
            </w:r>
            <w:r>
              <w:rPr>
                <w:rFonts w:hint="eastAsia"/>
                <w:sz w:val="24"/>
                <w:highlight w:val="none"/>
              </w:rPr>
              <w:t>颁布的《水和废水监测分析方法》（第四版）有关规定执行。质量保证措施按《浙江省环境监测质量保证技术规定》执行</w:t>
            </w:r>
            <w:r>
              <w:rPr>
                <w:rFonts w:hint="eastAsia"/>
                <w:sz w:val="24"/>
                <w:highlight w:val="none"/>
                <w:lang w:eastAsia="zh-CN"/>
              </w:rPr>
              <w:t>。</w:t>
            </w:r>
          </w:p>
          <w:p w14:paraId="43F1D014">
            <w:pPr>
              <w:keepNext w:val="0"/>
              <w:keepLines w:val="0"/>
              <w:suppressLineNumbers w:val="0"/>
              <w:adjustRightInd w:val="0"/>
              <w:snapToGrid w:val="0"/>
              <w:spacing w:before="0" w:beforeAutospacing="0" w:after="0" w:afterAutospacing="0" w:line="360" w:lineRule="auto"/>
              <w:ind w:left="0" w:right="0"/>
              <w:jc w:val="left"/>
              <w:rPr>
                <w:rFonts w:hint="eastAsia"/>
                <w:sz w:val="24"/>
                <w:highlight w:val="none"/>
              </w:rPr>
            </w:pPr>
            <w:r>
              <w:rPr>
                <w:rFonts w:hint="default"/>
                <w:highlight w:val="none"/>
              </w:rPr>
              <mc:AlternateContent>
                <mc:Choice Requires="wps">
                  <w:drawing>
                    <wp:anchor distT="0" distB="0" distL="114300" distR="114300" simplePos="0" relativeHeight="251667456" behindDoc="0" locked="0" layoutInCell="1" allowOverlap="1">
                      <wp:simplePos x="0" y="0"/>
                      <wp:positionH relativeFrom="column">
                        <wp:posOffset>2412365</wp:posOffset>
                      </wp:positionH>
                      <wp:positionV relativeFrom="paragraph">
                        <wp:posOffset>3845560</wp:posOffset>
                      </wp:positionV>
                      <wp:extent cx="645795" cy="452120"/>
                      <wp:effectExtent l="0" t="0" r="0" b="0"/>
                      <wp:wrapNone/>
                      <wp:docPr id="108" name="文本框 3"/>
                      <wp:cNvGraphicFramePr/>
                      <a:graphic xmlns:a="http://schemas.openxmlformats.org/drawingml/2006/main">
                        <a:graphicData uri="http://schemas.microsoft.com/office/word/2010/wordprocessingShape">
                          <wps:wsp>
                            <wps:cNvSpPr txBox="1"/>
                            <wps:spPr>
                              <a:xfrm>
                                <a:off x="0" y="0"/>
                                <a:ext cx="645795" cy="452120"/>
                              </a:xfrm>
                              <a:prstGeom prst="rect">
                                <a:avLst/>
                              </a:prstGeom>
                              <a:noFill/>
                              <a:ln w="6350">
                                <a:noFill/>
                              </a:ln>
                            </wps:spPr>
                            <wps:txbx>
                              <w:txbxContent>
                                <w:p w14:paraId="3253956F">
                                  <w:r>
                                    <w:rPr>
                                      <w:rFonts w:hint="eastAsia"/>
                                      <w:highlight w:val="yellow"/>
                                    </w:rPr>
                                    <w:t>W3</w:t>
                                  </w:r>
                                </w:p>
                              </w:txbxContent>
                            </wps:txbx>
                            <wps:bodyPr rot="0" spcFirstLastPara="0" vertOverflow="overflow" horzOverflow="overflow" vert="horz" wrap="square" lIns="91440" tIns="45720" rIns="91440" bIns="45720" numCol="1" spcCol="0" rtlCol="0" fromWordArt="0" anchor="t" anchorCtr="0" forceAA="0" compatLnSpc="1">
                              <a:noAutofit/>
                            </wps:bodyPr>
                          </wps:wsp>
                        </a:graphicData>
                      </a:graphic>
                    </wp:anchor>
                  </w:drawing>
                </mc:Choice>
                <mc:Fallback>
                  <w:pict>
                    <v:shape id="文本框 3" o:spid="_x0000_s1026" o:spt="202" type="#_x0000_t202" style="position:absolute;left:0pt;margin-left:189.95pt;margin-top:302.8pt;height:35.6pt;width:50.85pt;z-index:251667456;mso-width-relative:page;mso-height-relative:page;" filled="f" stroked="f" coordsize="21600,21600" o:gfxdata="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">
                      <v:fill on="f" focussize="0,0"/>
                      <v:stroke on="f" weight="0.5pt"/>
                      <v:imagedata o:title=""/>
                      <o:lock v:ext="edit" aspectratio="f"/>
                      <v:textbox>
                        <w:txbxContent>
                          <w:p w14:paraId="3253956F">
                            <w:r>
                              <w:rPr>
                                <w:rFonts w:hint="eastAsia"/>
                                <w:highlight w:val="yellow"/>
                              </w:rPr>
                              <w:t>W3</w:t>
                            </w:r>
                          </w:p>
                        </w:txbxContent>
                      </v:textbox>
                    </v:shape>
                  </w:pict>
                </mc:Fallback>
              </mc:AlternateContent>
            </w:r>
            <w:r>
              <w:rPr>
                <w:rFonts w:hint="default"/>
                <w:highlight w:val="none"/>
              </w:rPr>
              <mc:AlternateContent>
                <mc:Choice Requires="wps">
                  <w:drawing>
                    <wp:anchor distT="0" distB="0" distL="114300" distR="114300" simplePos="0" relativeHeight="251666432" behindDoc="0" locked="0" layoutInCell="1" allowOverlap="1">
                      <wp:simplePos x="0" y="0"/>
                      <wp:positionH relativeFrom="column">
                        <wp:posOffset>1762125</wp:posOffset>
                      </wp:positionH>
                      <wp:positionV relativeFrom="paragraph">
                        <wp:posOffset>3661410</wp:posOffset>
                      </wp:positionV>
                      <wp:extent cx="645795" cy="452120"/>
                      <wp:effectExtent l="0" t="0" r="0" b="0"/>
                      <wp:wrapNone/>
                      <wp:docPr id="1476714973" name="文本框 3"/>
                      <wp:cNvGraphicFramePr/>
                      <a:graphic xmlns:a="http://schemas.openxmlformats.org/drawingml/2006/main">
                        <a:graphicData uri="http://schemas.microsoft.com/office/word/2010/wordprocessingShape">
                          <wps:wsp>
                            <wps:cNvSpPr txBox="1"/>
                            <wps:spPr>
                              <a:xfrm>
                                <a:off x="0" y="0"/>
                                <a:ext cx="645795" cy="452120"/>
                              </a:xfrm>
                              <a:prstGeom prst="rect">
                                <a:avLst/>
                              </a:prstGeom>
                              <a:noFill/>
                              <a:ln w="6350">
                                <a:noFill/>
                              </a:ln>
                            </wps:spPr>
                            <wps:txbx>
                              <w:txbxContent>
                                <w:p w14:paraId="70233E5C">
                                  <w:r>
                                    <w:rPr>
                                      <w:rFonts w:hint="eastAsia"/>
                                      <w:highlight w:val="yellow"/>
                                    </w:rPr>
                                    <w:t>W2</w:t>
                                  </w:r>
                                </w:p>
                              </w:txbxContent>
                            </wps:txbx>
                            <wps:bodyPr rot="0" spcFirstLastPara="0" vertOverflow="overflow" horzOverflow="overflow" vert="horz" wrap="square" lIns="91440" tIns="45720" rIns="91440" bIns="45720" numCol="1" spcCol="0" rtlCol="0" fromWordArt="0" anchor="t" anchorCtr="0" forceAA="0" compatLnSpc="1">
                              <a:noAutofit/>
                            </wps:bodyPr>
                          </wps:wsp>
                        </a:graphicData>
                      </a:graphic>
                    </wp:anchor>
                  </w:drawing>
                </mc:Choice>
                <mc:Fallback>
                  <w:pict>
                    <v:shape id="文本框 3" o:spid="_x0000_s1026" o:spt="202" type="#_x0000_t202" style="position:absolute;left:0pt;margin-left:138.75pt;margin-top:288.3pt;height:35.6pt;width:50.85pt;z-index:251666432;mso-width-relative:page;mso-height-relative:page;" filled="f" stroked="f" coordsize="21600,21600" o:gfxdata="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">
                      <v:fill on="f" focussize="0,0"/>
                      <v:stroke on="f" weight="0.5pt"/>
                      <v:imagedata o:title=""/>
                      <o:lock v:ext="edit" aspectratio="f"/>
                      <v:textbox>
                        <w:txbxContent>
                          <w:p w14:paraId="70233E5C">
                            <w:r>
                              <w:rPr>
                                <w:rFonts w:hint="eastAsia"/>
                                <w:highlight w:val="yellow"/>
                              </w:rPr>
                              <w:t>W2</w:t>
                            </w:r>
                          </w:p>
                        </w:txbxContent>
                      </v:textbox>
                    </v:shape>
                  </w:pict>
                </mc:Fallback>
              </mc:AlternateContent>
            </w:r>
            <w:r>
              <w:rPr>
                <w:rFonts w:hint="default"/>
                <w:highlight w:val="none"/>
              </w:rPr>
              <mc:AlternateContent>
                <mc:Choice Requires="wps">
                  <w:drawing>
                    <wp:anchor distT="0" distB="0" distL="114300" distR="114300" simplePos="0" relativeHeight="251665408" behindDoc="0" locked="0" layoutInCell="1" allowOverlap="1">
                      <wp:simplePos x="0" y="0"/>
                      <wp:positionH relativeFrom="column">
                        <wp:posOffset>1398905</wp:posOffset>
                      </wp:positionH>
                      <wp:positionV relativeFrom="paragraph">
                        <wp:posOffset>3192145</wp:posOffset>
                      </wp:positionV>
                      <wp:extent cx="645795" cy="452120"/>
                      <wp:effectExtent l="0" t="0" r="0" b="0"/>
                      <wp:wrapNone/>
                      <wp:docPr id="109" name="文本框 3"/>
                      <wp:cNvGraphicFramePr/>
                      <a:graphic xmlns:a="http://schemas.openxmlformats.org/drawingml/2006/main">
                        <a:graphicData uri="http://schemas.microsoft.com/office/word/2010/wordprocessingShape">
                          <wps:wsp>
                            <wps:cNvSpPr txBox="1"/>
                            <wps:spPr>
                              <a:xfrm>
                                <a:off x="0" y="0"/>
                                <a:ext cx="645795" cy="452120"/>
                              </a:xfrm>
                              <a:prstGeom prst="rect">
                                <a:avLst/>
                              </a:prstGeom>
                              <a:noFill/>
                              <a:ln w="6350">
                                <a:noFill/>
                              </a:ln>
                            </wps:spPr>
                            <wps:txbx>
                              <w:txbxContent>
                                <w:p w14:paraId="24953643">
                                  <w:r>
                                    <w:rPr>
                                      <w:rFonts w:hint="eastAsia"/>
                                      <w:highlight w:val="yellow"/>
                                    </w:rPr>
                                    <w:t>W</w:t>
                                  </w:r>
                                  <w:r>
                                    <w:rPr>
                                      <w:highlight w:val="yellow"/>
                                    </w:rPr>
                                    <w:t>1</w:t>
                                  </w:r>
                                </w:p>
                              </w:txbxContent>
                            </wps:txbx>
                            <wps:bodyPr rot="0" spcFirstLastPara="0" vertOverflow="overflow" horzOverflow="overflow" vert="horz" wrap="square" lIns="91440" tIns="45720" rIns="91440" bIns="45720" numCol="1" spcCol="0" rtlCol="0" fromWordArt="0" anchor="t" anchorCtr="0" forceAA="0" compatLnSpc="1">
                              <a:noAutofit/>
                            </wps:bodyPr>
                          </wps:wsp>
                        </a:graphicData>
                      </a:graphic>
                    </wp:anchor>
                  </w:drawing>
                </mc:Choice>
                <mc:Fallback>
                  <w:pict>
                    <v:shape id="文本框 3" o:spid="_x0000_s1026" o:spt="202" type="#_x0000_t202" style="position:absolute;left:0pt;margin-left:110.15pt;margin-top:251.35pt;height:35.6pt;width:50.85pt;z-index:251665408;mso-width-relative:page;mso-height-relative:page;" filled="f" stroked="f" coordsize="21600,21600" o:gfxdata="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">
                      <v:fill on="f" focussize="0,0"/>
                      <v:stroke on="f" weight="0.5pt"/>
                      <v:imagedata o:title=""/>
                      <o:lock v:ext="edit" aspectratio="f"/>
                      <v:textbox>
                        <w:txbxContent>
                          <w:p w14:paraId="24953643">
                            <w:r>
                              <w:rPr>
                                <w:rFonts w:hint="eastAsia"/>
                                <w:highlight w:val="yellow"/>
                              </w:rPr>
                              <w:t>W</w:t>
                            </w:r>
                            <w:r>
                              <w:rPr>
                                <w:highlight w:val="yellow"/>
                              </w:rPr>
                              <w:t>1</w:t>
                            </w:r>
                          </w:p>
                        </w:txbxContent>
                      </v:textbox>
                    </v:shape>
                  </w:pict>
                </mc:Fallback>
              </mc:AlternateContent>
            </w:r>
            <w:r>
              <w:rPr>
                <w:rFonts w:hint="eastAsia" w:eastAsia="宋体"/>
                <w:sz w:val="24"/>
                <w:highlight w:val="none"/>
                <w:lang w:eastAsia="zh-CN"/>
              </w:rPr>
              <w:drawing>
                <wp:inline distT="0" distB="0" distL="114300" distR="114300">
                  <wp:extent cx="5213350" cy="4228465"/>
                  <wp:effectExtent l="0" t="0" r="6350" b="635"/>
                  <wp:docPr id="4" name="图片 4" descr="c5ca765f025300398aaafae8aaad69b"/>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图片 4" descr="c5ca765f025300398aaafae8aaad69b"/>
                          <pic:cNvPicPr>
                            <a:picLocks noChangeAspect="1"/>
                          </pic:cNvPicPr>
                        </pic:nvPicPr>
                        <pic:blipFill>
                          <a:blip r:embed="rId31"/>
                          <a:stretch>
                            <a:fillRect/>
                          </a:stretch>
                        </pic:blipFill>
                        <pic:spPr>
                          <a:xfrm>
                            <a:off x="0" y="0"/>
                            <a:ext cx="5213350" cy="4228465"/>
                          </a:xfrm>
                          <a:prstGeom prst="rect">
                            <a:avLst/>
                          </a:prstGeom>
                        </pic:spPr>
                      </pic:pic>
                    </a:graphicData>
                  </a:graphic>
                </wp:inline>
              </w:drawing>
            </w:r>
            <w:r>
              <w:rPr>
                <w:rFonts w:hint="default"/>
                <w:highlight w:val="none"/>
              </w:rPr>
              <mc:AlternateContent>
                <mc:Choice Requires="wps">
                  <w:drawing>
                    <wp:anchor distT="0" distB="0" distL="114300" distR="114300" simplePos="0" relativeHeight="251664384" behindDoc="0" locked="0" layoutInCell="1" allowOverlap="1">
                      <wp:simplePos x="0" y="0"/>
                      <wp:positionH relativeFrom="column">
                        <wp:posOffset>2402205</wp:posOffset>
                      </wp:positionH>
                      <wp:positionV relativeFrom="paragraph">
                        <wp:posOffset>3622040</wp:posOffset>
                      </wp:positionV>
                      <wp:extent cx="29845" cy="341630"/>
                      <wp:effectExtent l="31115" t="0" r="34290" b="1270"/>
                      <wp:wrapNone/>
                      <wp:docPr id="107" name="直接箭头连接符 2"/>
                      <wp:cNvGraphicFramePr/>
                      <a:graphic xmlns:a="http://schemas.openxmlformats.org/drawingml/2006/main">
                        <a:graphicData uri="http://schemas.microsoft.com/office/word/2010/wordprocessingShape">
                          <wps:wsp>
                            <wps:cNvCnPr/>
                            <wps:spPr>
                              <a:xfrm flipV="1">
                                <a:off x="0" y="0"/>
                                <a:ext cx="29845" cy="341630"/>
                              </a:xfrm>
                              <a:prstGeom prst="straightConnector1">
                                <a:avLst/>
                              </a:prstGeom>
                              <a:ln>
                                <a:solidFill>
                                  <a:srgbClr val="FF0000"/>
                                </a:solidFill>
                                <a:headEnd type="triangle"/>
                                <a:tailEnd type="triangle"/>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shape id="直接箭头连接符 2" o:spid="_x0000_s1026" o:spt="32" type="#_x0000_t32" style="position:absolute;left:0pt;flip:y;margin-left:189.15pt;margin-top:285.2pt;height:26.9pt;width:2.35pt;z-index:251664384;mso-width-relative:page;mso-height-relative:page;" filled="f" stroked="t" coordsize="21600,21600" o:gfxdata="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">
                      <v:fill on="f" focussize="0,0"/>
                      <v:stroke color="#FF0000 [3204]" joinstyle="round" startarrow="block" endarrow="block"/>
                      <v:imagedata o:title=""/>
                      <o:lock v:ext="edit" aspectratio="f"/>
                    </v:shape>
                  </w:pict>
                </mc:Fallback>
              </mc:AlternateContent>
            </w:r>
            <w:r>
              <w:rPr>
                <w:rFonts w:hint="default"/>
                <w:highlight w:val="none"/>
              </w:rPr>
              <mc:AlternateContent>
                <mc:Choice Requires="wps">
                  <w:drawing>
                    <wp:anchor distT="0" distB="0" distL="114300" distR="114300" simplePos="0" relativeHeight="251663360" behindDoc="0" locked="0" layoutInCell="1" allowOverlap="1">
                      <wp:simplePos x="0" y="0"/>
                      <wp:positionH relativeFrom="column">
                        <wp:posOffset>1894205</wp:posOffset>
                      </wp:positionH>
                      <wp:positionV relativeFrom="paragraph">
                        <wp:posOffset>3378835</wp:posOffset>
                      </wp:positionV>
                      <wp:extent cx="139700" cy="286385"/>
                      <wp:effectExtent l="635" t="0" r="2540" b="8890"/>
                      <wp:wrapNone/>
                      <wp:docPr id="106" name="直接箭头连接符 2"/>
                      <wp:cNvGraphicFramePr/>
                      <a:graphic xmlns:a="http://schemas.openxmlformats.org/drawingml/2006/main">
                        <a:graphicData uri="http://schemas.microsoft.com/office/word/2010/wordprocessingShape">
                          <wps:wsp>
                            <wps:cNvCnPr/>
                            <wps:spPr>
                              <a:xfrm flipV="1">
                                <a:off x="0" y="0"/>
                                <a:ext cx="139700" cy="286385"/>
                              </a:xfrm>
                              <a:prstGeom prst="straightConnector1">
                                <a:avLst/>
                              </a:prstGeom>
                              <a:ln>
                                <a:solidFill>
                                  <a:srgbClr val="FF0000"/>
                                </a:solidFill>
                                <a:headEnd type="triangle"/>
                                <a:tailEnd type="triangle"/>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shape id="直接箭头连接符 2" o:spid="_x0000_s1026" o:spt="32" type="#_x0000_t32" style="position:absolute;left:0pt;flip:y;margin-left:149.15pt;margin-top:266.05pt;height:22.55pt;width:11pt;z-index:251663360;mso-width-relative:page;mso-height-relative:page;" filled="f" stroked="t" coordsize="21600,21600" o:gfxdata="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">
                      <v:fill on="f" focussize="0,0"/>
                      <v:stroke color="#FF0000 [3204]" joinstyle="round" startarrow="block" endarrow="block"/>
                      <v:imagedata o:title=""/>
                      <o:lock v:ext="edit" aspectratio="f"/>
                    </v:shape>
                  </w:pict>
                </mc:Fallback>
              </mc:AlternateContent>
            </w:r>
            <w:r>
              <w:rPr>
                <w:rFonts w:hint="default"/>
                <w:highlight w:val="none"/>
              </w:rPr>
              <mc:AlternateContent>
                <mc:Choice Requires="wps">
                  <w:drawing>
                    <wp:anchor distT="0" distB="0" distL="114300" distR="114300" simplePos="0" relativeHeight="251662336" behindDoc="0" locked="0" layoutInCell="1" allowOverlap="1">
                      <wp:simplePos x="0" y="0"/>
                      <wp:positionH relativeFrom="column">
                        <wp:posOffset>1537335</wp:posOffset>
                      </wp:positionH>
                      <wp:positionV relativeFrom="paragraph">
                        <wp:posOffset>2961640</wp:posOffset>
                      </wp:positionV>
                      <wp:extent cx="252095" cy="208915"/>
                      <wp:effectExtent l="0" t="0" r="5080" b="635"/>
                      <wp:wrapNone/>
                      <wp:docPr id="722129561" name="直接箭头连接符 2"/>
                      <wp:cNvGraphicFramePr/>
                      <a:graphic xmlns:a="http://schemas.openxmlformats.org/drawingml/2006/main">
                        <a:graphicData uri="http://schemas.microsoft.com/office/word/2010/wordprocessingShape">
                          <wps:wsp>
                            <wps:cNvCnPr/>
                            <wps:spPr>
                              <a:xfrm flipV="1">
                                <a:off x="0" y="0"/>
                                <a:ext cx="252095" cy="208915"/>
                              </a:xfrm>
                              <a:prstGeom prst="straightConnector1">
                                <a:avLst/>
                              </a:prstGeom>
                              <a:ln>
                                <a:solidFill>
                                  <a:srgbClr val="FF0000"/>
                                </a:solidFill>
                                <a:headEnd type="triangle"/>
                                <a:tailEnd type="triangle"/>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shape id="直接箭头连接符 2" o:spid="_x0000_s1026" o:spt="32" type="#_x0000_t32" style="position:absolute;left:0pt;flip:y;margin-left:121.05pt;margin-top:233.2pt;height:16.45pt;width:19.85pt;z-index:251662336;mso-width-relative:page;mso-height-relative:page;" filled="f" stroked="t" coordsize="21600,21600" o:gfxdata="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">
                      <v:fill on="f" focussize="0,0"/>
                      <v:stroke color="#FF0000 [3204]" joinstyle="round" startarrow="block" endarrow="block"/>
                      <v:imagedata o:title=""/>
                      <o:lock v:ext="edit" aspectratio="f"/>
                    </v:shape>
                  </w:pict>
                </mc:Fallback>
              </mc:AlternateContent>
            </w:r>
          </w:p>
          <w:p w14:paraId="461E32E5">
            <w:pPr>
              <w:keepNext w:val="0"/>
              <w:keepLines w:val="0"/>
              <w:suppressLineNumbers w:val="0"/>
              <w:adjustRightInd w:val="0"/>
              <w:snapToGrid w:val="0"/>
              <w:spacing w:before="0" w:beforeAutospacing="0" w:after="0" w:afterAutospacing="0" w:line="360" w:lineRule="auto"/>
              <w:ind w:left="0" w:right="0"/>
              <w:jc w:val="center"/>
              <w:rPr>
                <w:rFonts w:hint="eastAsia"/>
                <w:sz w:val="24"/>
                <w:highlight w:val="none"/>
              </w:rPr>
            </w:pPr>
            <w:r>
              <w:rPr>
                <w:rFonts w:hint="eastAsia"/>
                <w:b/>
                <w:bCs/>
                <w:szCs w:val="21"/>
                <w:highlight w:val="none"/>
              </w:rPr>
              <w:t>图3</w:t>
            </w:r>
            <w:r>
              <w:rPr>
                <w:rFonts w:hint="default"/>
                <w:b/>
                <w:bCs/>
                <w:szCs w:val="21"/>
                <w:highlight w:val="none"/>
              </w:rPr>
              <w:t xml:space="preserve">-1 </w:t>
            </w:r>
            <w:r>
              <w:rPr>
                <w:rFonts w:hint="default"/>
                <w:b/>
                <w:highlight w:val="none"/>
              </w:rPr>
              <w:t>地表水监测</w:t>
            </w:r>
            <w:r>
              <w:rPr>
                <w:rFonts w:hint="eastAsia"/>
                <w:b/>
                <w:szCs w:val="21"/>
                <w:highlight w:val="none"/>
              </w:rPr>
              <w:t>断面</w:t>
            </w:r>
            <w:r>
              <w:rPr>
                <w:rFonts w:hint="default"/>
                <w:b/>
                <w:szCs w:val="21"/>
                <w:highlight w:val="none"/>
              </w:rPr>
              <w:t>图</w:t>
            </w:r>
          </w:p>
          <w:p w14:paraId="58E3F0B3">
            <w:pPr>
              <w:keepNext w:val="0"/>
              <w:keepLines w:val="0"/>
              <w:suppressLineNumbers w:val="0"/>
              <w:spacing w:before="0" w:beforeAutospacing="0" w:after="0" w:afterAutospacing="0" w:line="360" w:lineRule="auto"/>
              <w:ind w:left="0" w:right="0" w:firstLine="480" w:firstLineChars="200"/>
              <w:rPr>
                <w:rFonts w:hint="default"/>
                <w:sz w:val="24"/>
                <w:highlight w:val="none"/>
              </w:rPr>
            </w:pPr>
            <w:r>
              <w:rPr>
                <w:rFonts w:hint="default"/>
                <w:sz w:val="24"/>
                <w:highlight w:val="none"/>
              </w:rPr>
              <w:t>4</w:t>
            </w:r>
            <w:r>
              <w:rPr>
                <w:rFonts w:hint="eastAsia"/>
                <w:sz w:val="24"/>
                <w:highlight w:val="none"/>
              </w:rPr>
              <w:t>）</w:t>
            </w:r>
            <w:r>
              <w:rPr>
                <w:rFonts w:hint="default"/>
                <w:kern w:val="0"/>
                <w:sz w:val="24"/>
                <w:highlight w:val="none"/>
              </w:rPr>
              <w:t>监测结果和评价</w:t>
            </w:r>
            <w:r>
              <w:rPr>
                <w:rFonts w:hint="eastAsia"/>
                <w:kern w:val="0"/>
                <w:sz w:val="24"/>
                <w:highlight w:val="none"/>
              </w:rPr>
              <w:t>结果</w:t>
            </w:r>
          </w:p>
          <w:p w14:paraId="3E85E17B">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60" w:lineRule="auto"/>
              <w:ind w:left="0" w:right="0"/>
              <w:jc w:val="center"/>
              <w:textAlignment w:val="auto"/>
              <w:rPr>
                <w:rFonts w:hint="eastAsia"/>
                <w:b/>
                <w:szCs w:val="21"/>
                <w:highlight w:val="none"/>
              </w:rPr>
            </w:pPr>
          </w:p>
          <w:p w14:paraId="17046897">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60" w:lineRule="auto"/>
              <w:ind w:left="0" w:right="0"/>
              <w:jc w:val="center"/>
              <w:textAlignment w:val="auto"/>
              <w:rPr>
                <w:rFonts w:hint="eastAsia"/>
                <w:b/>
                <w:szCs w:val="21"/>
                <w:highlight w:val="none"/>
              </w:rPr>
            </w:pPr>
          </w:p>
          <w:p w14:paraId="55844426">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60" w:lineRule="auto"/>
              <w:ind w:left="0" w:right="0"/>
              <w:jc w:val="center"/>
              <w:textAlignment w:val="auto"/>
              <w:rPr>
                <w:rFonts w:hint="default"/>
                <w:b/>
                <w:szCs w:val="21"/>
                <w:highlight w:val="none"/>
              </w:rPr>
            </w:pPr>
            <w:r>
              <w:rPr>
                <w:rFonts w:hint="eastAsia"/>
                <w:b/>
                <w:szCs w:val="21"/>
                <w:highlight w:val="none"/>
              </w:rPr>
              <w:t>表</w:t>
            </w:r>
            <w:r>
              <w:rPr>
                <w:rFonts w:hint="default"/>
                <w:b/>
                <w:szCs w:val="21"/>
                <w:highlight w:val="none"/>
              </w:rPr>
              <w:t>3-</w:t>
            </w:r>
            <w:r>
              <w:rPr>
                <w:rFonts w:hint="eastAsia"/>
                <w:b/>
                <w:szCs w:val="21"/>
                <w:highlight w:val="none"/>
                <w:lang w:val="en-US" w:eastAsia="zh-CN"/>
              </w:rPr>
              <w:t>2</w:t>
            </w:r>
            <w:r>
              <w:rPr>
                <w:rFonts w:hint="default"/>
                <w:b/>
                <w:szCs w:val="21"/>
                <w:highlight w:val="none"/>
              </w:rPr>
              <w:t xml:space="preserve"> 各断面的水质监测结果</w:t>
            </w:r>
            <w:r>
              <w:rPr>
                <w:rFonts w:hint="eastAsia"/>
                <w:b/>
                <w:szCs w:val="21"/>
                <w:highlight w:val="none"/>
              </w:rPr>
              <w:t xml:space="preserve"> </w:t>
            </w:r>
            <w:r>
              <w:rPr>
                <w:rFonts w:hint="default"/>
                <w:b/>
                <w:szCs w:val="21"/>
                <w:highlight w:val="none"/>
              </w:rPr>
              <w:t xml:space="preserve"> </w:t>
            </w:r>
          </w:p>
          <w:tbl>
            <w:tblPr>
              <w:tblStyle w:val="32"/>
              <w:tblW w:w="4998"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597"/>
              <w:gridCol w:w="978"/>
              <w:gridCol w:w="1501"/>
              <w:gridCol w:w="1499"/>
              <w:gridCol w:w="1506"/>
              <w:gridCol w:w="1273"/>
            </w:tblGrid>
            <w:tr w14:paraId="724F084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5" w:hRule="atLeast"/>
                <w:jc w:val="center"/>
              </w:trPr>
              <w:tc>
                <w:tcPr>
                  <w:tcW w:w="956" w:type="pct"/>
                  <w:vMerge w:val="restart"/>
                  <w:vAlign w:val="center"/>
                </w:tcPr>
                <w:p w14:paraId="7474C0CB">
                  <w:pPr>
                    <w:keepNext w:val="0"/>
                    <w:keepLines w:val="0"/>
                    <w:suppressLineNumbers w:val="0"/>
                    <w:adjustRightInd w:val="0"/>
                    <w:snapToGrid w:val="0"/>
                    <w:spacing w:before="0" w:beforeAutospacing="0" w:after="0" w:afterAutospacing="0"/>
                    <w:ind w:left="0" w:right="0"/>
                    <w:jc w:val="center"/>
                    <w:rPr>
                      <w:rFonts w:hint="default"/>
                      <w:b/>
                      <w:bCs/>
                      <w:color w:val="000000"/>
                      <w:sz w:val="21"/>
                      <w:szCs w:val="21"/>
                      <w:highlight w:val="none"/>
                    </w:rPr>
                  </w:pPr>
                  <w:r>
                    <w:rPr>
                      <w:rFonts w:hint="default"/>
                      <w:b/>
                      <w:bCs/>
                      <w:color w:val="000000"/>
                      <w:sz w:val="21"/>
                      <w:szCs w:val="21"/>
                      <w:highlight w:val="none"/>
                    </w:rPr>
                    <w:t>检测项目</w:t>
                  </w:r>
                </w:p>
              </w:tc>
              <w:tc>
                <w:tcPr>
                  <w:tcW w:w="584" w:type="pct"/>
                  <w:vMerge w:val="restart"/>
                  <w:vAlign w:val="center"/>
                </w:tcPr>
                <w:p w14:paraId="2E0B9744">
                  <w:pPr>
                    <w:keepNext w:val="0"/>
                    <w:keepLines w:val="0"/>
                    <w:suppressLineNumbers w:val="0"/>
                    <w:adjustRightInd w:val="0"/>
                    <w:snapToGrid w:val="0"/>
                    <w:spacing w:before="0" w:beforeAutospacing="0" w:after="0" w:afterAutospacing="0"/>
                    <w:ind w:left="0" w:right="0"/>
                    <w:jc w:val="center"/>
                    <w:rPr>
                      <w:rFonts w:hint="default"/>
                      <w:b/>
                      <w:bCs/>
                      <w:color w:val="000000"/>
                      <w:sz w:val="21"/>
                      <w:szCs w:val="21"/>
                      <w:highlight w:val="none"/>
                    </w:rPr>
                  </w:pPr>
                  <w:r>
                    <w:rPr>
                      <w:rFonts w:hint="default"/>
                      <w:b/>
                      <w:bCs/>
                      <w:color w:val="000000"/>
                      <w:sz w:val="21"/>
                      <w:szCs w:val="21"/>
                      <w:highlight w:val="none"/>
                    </w:rPr>
                    <w:t>单位</w:t>
                  </w:r>
                </w:p>
              </w:tc>
              <w:tc>
                <w:tcPr>
                  <w:tcW w:w="2696" w:type="pct"/>
                  <w:gridSpan w:val="3"/>
                  <w:vAlign w:val="center"/>
                </w:tcPr>
                <w:p w14:paraId="1D70978B">
                  <w:pPr>
                    <w:keepNext w:val="0"/>
                    <w:keepLines w:val="0"/>
                    <w:suppressLineNumbers w:val="0"/>
                    <w:adjustRightInd w:val="0"/>
                    <w:snapToGrid w:val="0"/>
                    <w:spacing w:before="0" w:beforeAutospacing="0" w:after="0" w:afterAutospacing="0"/>
                    <w:ind w:left="0" w:right="0"/>
                    <w:jc w:val="center"/>
                    <w:rPr>
                      <w:rFonts w:hint="default"/>
                      <w:b/>
                      <w:bCs/>
                      <w:color w:val="000000"/>
                      <w:sz w:val="21"/>
                      <w:szCs w:val="21"/>
                      <w:highlight w:val="none"/>
                    </w:rPr>
                  </w:pPr>
                  <w:r>
                    <w:rPr>
                      <w:rFonts w:hint="default"/>
                      <w:b/>
                      <w:bCs/>
                      <w:color w:val="000000"/>
                      <w:sz w:val="21"/>
                      <w:szCs w:val="21"/>
                      <w:highlight w:val="none"/>
                    </w:rPr>
                    <w:t>W1</w:t>
                  </w:r>
                </w:p>
              </w:tc>
              <w:tc>
                <w:tcPr>
                  <w:tcW w:w="762" w:type="pct"/>
                  <w:vMerge w:val="restart"/>
                  <w:vAlign w:val="center"/>
                </w:tcPr>
                <w:p w14:paraId="6CF8D180">
                  <w:pPr>
                    <w:keepNext w:val="0"/>
                    <w:keepLines w:val="0"/>
                    <w:suppressLineNumbers w:val="0"/>
                    <w:adjustRightInd w:val="0"/>
                    <w:snapToGrid w:val="0"/>
                    <w:spacing w:before="0" w:beforeAutospacing="0" w:after="0" w:afterAutospacing="0"/>
                    <w:ind w:left="0" w:right="0"/>
                    <w:jc w:val="center"/>
                    <w:rPr>
                      <w:rFonts w:hint="default"/>
                      <w:b/>
                      <w:bCs/>
                      <w:color w:val="000000"/>
                      <w:sz w:val="21"/>
                      <w:szCs w:val="21"/>
                      <w:highlight w:val="none"/>
                    </w:rPr>
                  </w:pPr>
                  <w:r>
                    <w:rPr>
                      <w:rFonts w:hint="default"/>
                      <w:b/>
                      <w:bCs/>
                      <w:color w:val="000000"/>
                      <w:sz w:val="21"/>
                      <w:szCs w:val="21"/>
                      <w:highlight w:val="none"/>
                    </w:rPr>
                    <w:t>限值</w:t>
                  </w:r>
                </w:p>
              </w:tc>
            </w:tr>
            <w:tr w14:paraId="73071F0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209" w:hRule="atLeast"/>
                <w:jc w:val="center"/>
              </w:trPr>
              <w:tc>
                <w:tcPr>
                  <w:tcW w:w="956" w:type="pct"/>
                  <w:vMerge w:val="continue"/>
                  <w:vAlign w:val="center"/>
                </w:tcPr>
                <w:p w14:paraId="6B4F015F">
                  <w:pPr>
                    <w:keepNext w:val="0"/>
                    <w:keepLines w:val="0"/>
                    <w:suppressLineNumbers w:val="0"/>
                    <w:adjustRightInd w:val="0"/>
                    <w:snapToGrid w:val="0"/>
                    <w:spacing w:before="0" w:beforeAutospacing="0" w:after="0" w:afterAutospacing="0"/>
                    <w:ind w:left="0" w:right="0"/>
                    <w:jc w:val="center"/>
                    <w:rPr>
                      <w:rFonts w:hint="default"/>
                      <w:b/>
                      <w:bCs/>
                      <w:color w:val="000000"/>
                      <w:sz w:val="21"/>
                      <w:szCs w:val="21"/>
                      <w:highlight w:val="none"/>
                    </w:rPr>
                  </w:pPr>
                </w:p>
              </w:tc>
              <w:tc>
                <w:tcPr>
                  <w:tcW w:w="584" w:type="pct"/>
                  <w:vMerge w:val="continue"/>
                  <w:vAlign w:val="center"/>
                </w:tcPr>
                <w:p w14:paraId="22C2122C">
                  <w:pPr>
                    <w:keepNext w:val="0"/>
                    <w:keepLines w:val="0"/>
                    <w:suppressLineNumbers w:val="0"/>
                    <w:adjustRightInd w:val="0"/>
                    <w:snapToGrid w:val="0"/>
                    <w:spacing w:before="0" w:beforeAutospacing="0" w:after="0" w:afterAutospacing="0"/>
                    <w:ind w:left="0" w:right="0"/>
                    <w:jc w:val="center"/>
                    <w:rPr>
                      <w:rFonts w:hint="default"/>
                      <w:b/>
                      <w:bCs/>
                      <w:color w:val="000000"/>
                      <w:sz w:val="21"/>
                      <w:szCs w:val="21"/>
                      <w:highlight w:val="none"/>
                    </w:rPr>
                  </w:pPr>
                </w:p>
              </w:tc>
              <w:tc>
                <w:tcPr>
                  <w:tcW w:w="898" w:type="pct"/>
                  <w:vAlign w:val="center"/>
                </w:tcPr>
                <w:p w14:paraId="54D122B6">
                  <w:pPr>
                    <w:keepNext w:val="0"/>
                    <w:keepLines w:val="0"/>
                    <w:suppressLineNumbers w:val="0"/>
                    <w:adjustRightInd w:val="0"/>
                    <w:snapToGrid w:val="0"/>
                    <w:spacing w:before="0" w:beforeAutospacing="0" w:after="0" w:afterAutospacing="0"/>
                    <w:ind w:left="0" w:right="0"/>
                    <w:jc w:val="center"/>
                    <w:rPr>
                      <w:rFonts w:hint="default"/>
                      <w:b/>
                      <w:bCs/>
                      <w:color w:val="000000"/>
                      <w:sz w:val="21"/>
                      <w:szCs w:val="21"/>
                      <w:highlight w:val="none"/>
                    </w:rPr>
                  </w:pPr>
                  <w:r>
                    <w:rPr>
                      <w:rFonts w:hint="default"/>
                      <w:b/>
                      <w:bCs/>
                      <w:color w:val="000000"/>
                      <w:sz w:val="21"/>
                      <w:szCs w:val="21"/>
                      <w:highlight w:val="none"/>
                    </w:rPr>
                    <w:t>2023.2.14</w:t>
                  </w:r>
                </w:p>
              </w:tc>
              <w:tc>
                <w:tcPr>
                  <w:tcW w:w="897" w:type="pct"/>
                  <w:vAlign w:val="center"/>
                </w:tcPr>
                <w:p w14:paraId="447897D7">
                  <w:pPr>
                    <w:keepNext w:val="0"/>
                    <w:keepLines w:val="0"/>
                    <w:suppressLineNumbers w:val="0"/>
                    <w:adjustRightInd w:val="0"/>
                    <w:snapToGrid w:val="0"/>
                    <w:spacing w:before="0" w:beforeAutospacing="0" w:after="0" w:afterAutospacing="0"/>
                    <w:ind w:left="0" w:right="0"/>
                    <w:jc w:val="center"/>
                    <w:rPr>
                      <w:rFonts w:hint="default"/>
                      <w:b/>
                      <w:bCs/>
                      <w:color w:val="000000"/>
                      <w:sz w:val="21"/>
                      <w:szCs w:val="21"/>
                      <w:highlight w:val="none"/>
                    </w:rPr>
                  </w:pPr>
                  <w:r>
                    <w:rPr>
                      <w:rFonts w:hint="default"/>
                      <w:b/>
                      <w:bCs/>
                      <w:color w:val="000000"/>
                      <w:sz w:val="21"/>
                      <w:szCs w:val="21"/>
                      <w:highlight w:val="none"/>
                    </w:rPr>
                    <w:t>2023.2.15</w:t>
                  </w:r>
                </w:p>
              </w:tc>
              <w:tc>
                <w:tcPr>
                  <w:tcW w:w="900" w:type="pct"/>
                  <w:vAlign w:val="center"/>
                </w:tcPr>
                <w:p w14:paraId="0D74E882">
                  <w:pPr>
                    <w:keepNext w:val="0"/>
                    <w:keepLines w:val="0"/>
                    <w:suppressLineNumbers w:val="0"/>
                    <w:adjustRightInd w:val="0"/>
                    <w:snapToGrid w:val="0"/>
                    <w:spacing w:before="0" w:beforeAutospacing="0" w:after="0" w:afterAutospacing="0"/>
                    <w:ind w:left="0" w:right="0"/>
                    <w:jc w:val="center"/>
                    <w:rPr>
                      <w:rFonts w:hint="default"/>
                      <w:b/>
                      <w:bCs/>
                      <w:color w:val="000000"/>
                      <w:sz w:val="21"/>
                      <w:szCs w:val="21"/>
                      <w:highlight w:val="none"/>
                    </w:rPr>
                  </w:pPr>
                  <w:r>
                    <w:rPr>
                      <w:rFonts w:hint="default"/>
                      <w:b/>
                      <w:bCs/>
                      <w:color w:val="000000"/>
                      <w:sz w:val="21"/>
                      <w:szCs w:val="21"/>
                      <w:highlight w:val="none"/>
                    </w:rPr>
                    <w:t>2023.2.16</w:t>
                  </w:r>
                </w:p>
              </w:tc>
              <w:tc>
                <w:tcPr>
                  <w:tcW w:w="762" w:type="pct"/>
                  <w:vMerge w:val="continue"/>
                  <w:vAlign w:val="center"/>
                </w:tcPr>
                <w:p w14:paraId="135BCF67">
                  <w:pPr>
                    <w:keepNext w:val="0"/>
                    <w:keepLines w:val="0"/>
                    <w:suppressLineNumbers w:val="0"/>
                    <w:adjustRightInd w:val="0"/>
                    <w:snapToGrid w:val="0"/>
                    <w:spacing w:before="0" w:beforeAutospacing="0" w:after="0" w:afterAutospacing="0"/>
                    <w:ind w:left="0" w:right="0"/>
                    <w:jc w:val="center"/>
                    <w:rPr>
                      <w:rFonts w:hint="default"/>
                      <w:b/>
                      <w:bCs/>
                      <w:color w:val="000000"/>
                      <w:sz w:val="21"/>
                      <w:szCs w:val="21"/>
                      <w:highlight w:val="none"/>
                    </w:rPr>
                  </w:pPr>
                </w:p>
              </w:tc>
            </w:tr>
            <w:tr w14:paraId="5C9154B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956" w:type="pct"/>
                  <w:vAlign w:val="center"/>
                </w:tcPr>
                <w:p w14:paraId="37367547">
                  <w:pPr>
                    <w:keepNext w:val="0"/>
                    <w:keepLines w:val="0"/>
                    <w:suppressLineNumbers w:val="0"/>
                    <w:adjustRightInd w:val="0"/>
                    <w:snapToGrid w:val="0"/>
                    <w:spacing w:before="0" w:beforeAutospacing="0" w:after="0" w:afterAutospacing="0"/>
                    <w:ind w:left="0" w:right="0"/>
                    <w:jc w:val="center"/>
                    <w:rPr>
                      <w:rFonts w:hint="default"/>
                      <w:color w:val="000000"/>
                      <w:sz w:val="21"/>
                      <w:szCs w:val="21"/>
                      <w:highlight w:val="none"/>
                    </w:rPr>
                  </w:pPr>
                  <w:r>
                    <w:rPr>
                      <w:rFonts w:hint="default"/>
                      <w:color w:val="000000"/>
                      <w:sz w:val="21"/>
                      <w:szCs w:val="21"/>
                      <w:highlight w:val="none"/>
                    </w:rPr>
                    <w:t>水温</w:t>
                  </w:r>
                </w:p>
              </w:tc>
              <w:tc>
                <w:tcPr>
                  <w:tcW w:w="584" w:type="pct"/>
                  <w:vAlign w:val="center"/>
                </w:tcPr>
                <w:p w14:paraId="6A51B659">
                  <w:pPr>
                    <w:keepNext w:val="0"/>
                    <w:keepLines w:val="0"/>
                    <w:suppressLineNumbers w:val="0"/>
                    <w:adjustRightInd w:val="0"/>
                    <w:snapToGrid w:val="0"/>
                    <w:spacing w:before="0" w:beforeAutospacing="0" w:after="0" w:afterAutospacing="0"/>
                    <w:ind w:left="0" w:right="0"/>
                    <w:jc w:val="center"/>
                    <w:textAlignment w:val="center"/>
                    <w:rPr>
                      <w:rFonts w:hint="default"/>
                      <w:color w:val="000000"/>
                      <w:kern w:val="0"/>
                      <w:sz w:val="21"/>
                      <w:szCs w:val="21"/>
                      <w:highlight w:val="none"/>
                      <w:lang w:bidi="ar"/>
                    </w:rPr>
                  </w:pPr>
                  <w:r>
                    <w:rPr>
                      <w:rFonts w:hint="default"/>
                      <w:color w:val="000000"/>
                      <w:kern w:val="0"/>
                      <w:sz w:val="21"/>
                      <w:szCs w:val="21"/>
                      <w:highlight w:val="none"/>
                      <w:lang w:bidi="ar"/>
                    </w:rPr>
                    <w:t>℃</w:t>
                  </w:r>
                </w:p>
              </w:tc>
              <w:tc>
                <w:tcPr>
                  <w:tcW w:w="898" w:type="pct"/>
                  <w:vAlign w:val="center"/>
                </w:tcPr>
                <w:p w14:paraId="655356BE">
                  <w:pPr>
                    <w:keepNext w:val="0"/>
                    <w:keepLines w:val="0"/>
                    <w:suppressLineNumbers w:val="0"/>
                    <w:adjustRightInd w:val="0"/>
                    <w:snapToGrid w:val="0"/>
                    <w:spacing w:before="0" w:beforeAutospacing="0" w:after="0" w:afterAutospacing="0"/>
                    <w:ind w:left="0" w:right="0"/>
                    <w:jc w:val="center"/>
                    <w:textAlignment w:val="center"/>
                    <w:rPr>
                      <w:rFonts w:hint="default"/>
                      <w:color w:val="000000"/>
                      <w:kern w:val="0"/>
                      <w:sz w:val="21"/>
                      <w:szCs w:val="21"/>
                      <w:highlight w:val="none"/>
                      <w:lang w:bidi="ar"/>
                    </w:rPr>
                  </w:pPr>
                  <w:r>
                    <w:rPr>
                      <w:rFonts w:hint="default"/>
                      <w:color w:val="000000"/>
                      <w:kern w:val="0"/>
                      <w:sz w:val="21"/>
                      <w:szCs w:val="21"/>
                      <w:highlight w:val="none"/>
                      <w:lang w:bidi="ar"/>
                    </w:rPr>
                    <w:t>11.8</w:t>
                  </w:r>
                </w:p>
              </w:tc>
              <w:tc>
                <w:tcPr>
                  <w:tcW w:w="897" w:type="pct"/>
                  <w:vAlign w:val="center"/>
                </w:tcPr>
                <w:p w14:paraId="7C48E5A6">
                  <w:pPr>
                    <w:keepNext w:val="0"/>
                    <w:keepLines w:val="0"/>
                    <w:suppressLineNumbers w:val="0"/>
                    <w:adjustRightInd w:val="0"/>
                    <w:snapToGrid w:val="0"/>
                    <w:spacing w:before="0" w:beforeAutospacing="0" w:after="0" w:afterAutospacing="0"/>
                    <w:ind w:left="0" w:right="0"/>
                    <w:jc w:val="center"/>
                    <w:textAlignment w:val="center"/>
                    <w:rPr>
                      <w:rFonts w:hint="default"/>
                      <w:color w:val="000000"/>
                      <w:kern w:val="0"/>
                      <w:sz w:val="21"/>
                      <w:szCs w:val="21"/>
                      <w:highlight w:val="none"/>
                      <w:lang w:bidi="ar"/>
                    </w:rPr>
                  </w:pPr>
                  <w:r>
                    <w:rPr>
                      <w:rFonts w:hint="default"/>
                      <w:color w:val="000000"/>
                      <w:kern w:val="0"/>
                      <w:sz w:val="21"/>
                      <w:szCs w:val="21"/>
                      <w:highlight w:val="none"/>
                      <w:lang w:bidi="ar"/>
                    </w:rPr>
                    <w:t>12.0</w:t>
                  </w:r>
                </w:p>
              </w:tc>
              <w:tc>
                <w:tcPr>
                  <w:tcW w:w="900" w:type="pct"/>
                  <w:vAlign w:val="center"/>
                </w:tcPr>
                <w:p w14:paraId="78B2D729">
                  <w:pPr>
                    <w:keepNext w:val="0"/>
                    <w:keepLines w:val="0"/>
                    <w:suppressLineNumbers w:val="0"/>
                    <w:adjustRightInd w:val="0"/>
                    <w:snapToGrid w:val="0"/>
                    <w:spacing w:before="0" w:beforeAutospacing="0" w:after="0" w:afterAutospacing="0"/>
                    <w:ind w:left="0" w:right="0"/>
                    <w:jc w:val="center"/>
                    <w:textAlignment w:val="center"/>
                    <w:rPr>
                      <w:rFonts w:hint="default"/>
                      <w:color w:val="000000"/>
                      <w:kern w:val="0"/>
                      <w:sz w:val="21"/>
                      <w:szCs w:val="21"/>
                      <w:highlight w:val="none"/>
                      <w:lang w:bidi="ar"/>
                    </w:rPr>
                  </w:pPr>
                  <w:r>
                    <w:rPr>
                      <w:rFonts w:hint="default"/>
                      <w:color w:val="000000"/>
                      <w:kern w:val="0"/>
                      <w:sz w:val="21"/>
                      <w:szCs w:val="21"/>
                      <w:highlight w:val="none"/>
                      <w:lang w:bidi="ar"/>
                    </w:rPr>
                    <w:t>12.2</w:t>
                  </w:r>
                </w:p>
              </w:tc>
              <w:tc>
                <w:tcPr>
                  <w:tcW w:w="762" w:type="pct"/>
                  <w:vAlign w:val="center"/>
                </w:tcPr>
                <w:p w14:paraId="0B81E391">
                  <w:pPr>
                    <w:keepNext w:val="0"/>
                    <w:keepLines w:val="0"/>
                    <w:suppressLineNumbers w:val="0"/>
                    <w:adjustRightInd w:val="0"/>
                    <w:snapToGrid w:val="0"/>
                    <w:spacing w:before="0" w:beforeAutospacing="0" w:after="0" w:afterAutospacing="0"/>
                    <w:ind w:left="0" w:right="0"/>
                    <w:jc w:val="center"/>
                    <w:textAlignment w:val="center"/>
                    <w:rPr>
                      <w:rFonts w:hint="default"/>
                      <w:color w:val="000000"/>
                      <w:kern w:val="0"/>
                      <w:sz w:val="21"/>
                      <w:szCs w:val="21"/>
                      <w:highlight w:val="none"/>
                      <w:lang w:bidi="ar"/>
                    </w:rPr>
                  </w:pPr>
                  <w:r>
                    <w:rPr>
                      <w:rFonts w:hint="default"/>
                      <w:color w:val="000000"/>
                      <w:kern w:val="0"/>
                      <w:sz w:val="21"/>
                      <w:szCs w:val="21"/>
                      <w:highlight w:val="none"/>
                      <w:lang w:bidi="ar"/>
                    </w:rPr>
                    <w:t>-</w:t>
                  </w:r>
                </w:p>
              </w:tc>
            </w:tr>
            <w:tr w14:paraId="5E18DF0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68" w:hRule="atLeast"/>
                <w:jc w:val="center"/>
              </w:trPr>
              <w:tc>
                <w:tcPr>
                  <w:tcW w:w="956" w:type="pct"/>
                  <w:vAlign w:val="center"/>
                </w:tcPr>
                <w:p w14:paraId="5E2FDD77">
                  <w:pPr>
                    <w:keepNext w:val="0"/>
                    <w:keepLines w:val="0"/>
                    <w:suppressLineNumbers w:val="0"/>
                    <w:adjustRightInd w:val="0"/>
                    <w:snapToGrid w:val="0"/>
                    <w:spacing w:before="0" w:beforeAutospacing="0" w:after="0" w:afterAutospacing="0"/>
                    <w:ind w:left="0" w:right="0"/>
                    <w:jc w:val="center"/>
                    <w:rPr>
                      <w:rFonts w:hint="default"/>
                      <w:color w:val="000000"/>
                      <w:sz w:val="21"/>
                      <w:szCs w:val="21"/>
                      <w:highlight w:val="none"/>
                    </w:rPr>
                  </w:pPr>
                  <w:r>
                    <w:rPr>
                      <w:rFonts w:hint="default"/>
                      <w:color w:val="000000"/>
                      <w:sz w:val="21"/>
                      <w:szCs w:val="21"/>
                      <w:highlight w:val="none"/>
                    </w:rPr>
                    <w:t>pH值</w:t>
                  </w:r>
                </w:p>
              </w:tc>
              <w:tc>
                <w:tcPr>
                  <w:tcW w:w="584" w:type="pct"/>
                  <w:vAlign w:val="center"/>
                </w:tcPr>
                <w:p w14:paraId="381BB90B">
                  <w:pPr>
                    <w:keepNext w:val="0"/>
                    <w:keepLines w:val="0"/>
                    <w:suppressLineNumbers w:val="0"/>
                    <w:adjustRightInd w:val="0"/>
                    <w:snapToGrid w:val="0"/>
                    <w:spacing w:before="0" w:beforeAutospacing="0" w:after="0" w:afterAutospacing="0"/>
                    <w:ind w:left="0" w:right="0"/>
                    <w:jc w:val="center"/>
                    <w:textAlignment w:val="center"/>
                    <w:rPr>
                      <w:rFonts w:hint="default"/>
                      <w:color w:val="000000"/>
                      <w:kern w:val="0"/>
                      <w:sz w:val="21"/>
                      <w:szCs w:val="21"/>
                      <w:highlight w:val="none"/>
                      <w:lang w:bidi="ar"/>
                    </w:rPr>
                  </w:pPr>
                  <w:r>
                    <w:rPr>
                      <w:rFonts w:hint="default"/>
                      <w:color w:val="000000"/>
                      <w:kern w:val="0"/>
                      <w:sz w:val="21"/>
                      <w:szCs w:val="21"/>
                      <w:highlight w:val="none"/>
                      <w:lang w:bidi="ar"/>
                    </w:rPr>
                    <w:t>无量纲</w:t>
                  </w:r>
                </w:p>
              </w:tc>
              <w:tc>
                <w:tcPr>
                  <w:tcW w:w="898" w:type="pct"/>
                  <w:vAlign w:val="center"/>
                </w:tcPr>
                <w:p w14:paraId="6F3FC87B">
                  <w:pPr>
                    <w:keepNext w:val="0"/>
                    <w:keepLines w:val="0"/>
                    <w:suppressLineNumbers w:val="0"/>
                    <w:adjustRightInd w:val="0"/>
                    <w:snapToGrid w:val="0"/>
                    <w:spacing w:before="0" w:beforeAutospacing="0" w:after="0" w:afterAutospacing="0"/>
                    <w:ind w:left="0" w:right="0"/>
                    <w:jc w:val="center"/>
                    <w:textAlignment w:val="center"/>
                    <w:rPr>
                      <w:rFonts w:hint="default"/>
                      <w:color w:val="000000"/>
                      <w:kern w:val="0"/>
                      <w:sz w:val="21"/>
                      <w:szCs w:val="21"/>
                      <w:highlight w:val="none"/>
                      <w:lang w:bidi="ar"/>
                    </w:rPr>
                  </w:pPr>
                  <w:r>
                    <w:rPr>
                      <w:rFonts w:hint="default"/>
                      <w:color w:val="000000"/>
                      <w:kern w:val="0"/>
                      <w:sz w:val="21"/>
                      <w:szCs w:val="21"/>
                      <w:highlight w:val="none"/>
                      <w:lang w:bidi="ar"/>
                    </w:rPr>
                    <w:t>7.8</w:t>
                  </w:r>
                </w:p>
              </w:tc>
              <w:tc>
                <w:tcPr>
                  <w:tcW w:w="897" w:type="pct"/>
                  <w:vAlign w:val="center"/>
                </w:tcPr>
                <w:p w14:paraId="4DB93BE4">
                  <w:pPr>
                    <w:keepNext w:val="0"/>
                    <w:keepLines w:val="0"/>
                    <w:suppressLineNumbers w:val="0"/>
                    <w:adjustRightInd w:val="0"/>
                    <w:snapToGrid w:val="0"/>
                    <w:spacing w:before="0" w:beforeAutospacing="0" w:after="0" w:afterAutospacing="0"/>
                    <w:ind w:left="0" w:right="0"/>
                    <w:jc w:val="center"/>
                    <w:textAlignment w:val="center"/>
                    <w:rPr>
                      <w:rFonts w:hint="default"/>
                      <w:color w:val="000000"/>
                      <w:kern w:val="0"/>
                      <w:sz w:val="21"/>
                      <w:szCs w:val="21"/>
                      <w:highlight w:val="none"/>
                      <w:lang w:bidi="ar"/>
                    </w:rPr>
                  </w:pPr>
                  <w:r>
                    <w:rPr>
                      <w:rFonts w:hint="default"/>
                      <w:color w:val="000000"/>
                      <w:kern w:val="0"/>
                      <w:sz w:val="21"/>
                      <w:szCs w:val="21"/>
                      <w:highlight w:val="none"/>
                      <w:lang w:bidi="ar"/>
                    </w:rPr>
                    <w:t>7.8</w:t>
                  </w:r>
                </w:p>
              </w:tc>
              <w:tc>
                <w:tcPr>
                  <w:tcW w:w="900" w:type="pct"/>
                  <w:vAlign w:val="center"/>
                </w:tcPr>
                <w:p w14:paraId="0072B8B9">
                  <w:pPr>
                    <w:keepNext w:val="0"/>
                    <w:keepLines w:val="0"/>
                    <w:suppressLineNumbers w:val="0"/>
                    <w:adjustRightInd w:val="0"/>
                    <w:snapToGrid w:val="0"/>
                    <w:spacing w:before="0" w:beforeAutospacing="0" w:after="0" w:afterAutospacing="0"/>
                    <w:ind w:left="0" w:right="0"/>
                    <w:jc w:val="center"/>
                    <w:textAlignment w:val="center"/>
                    <w:rPr>
                      <w:rFonts w:hint="default"/>
                      <w:color w:val="000000"/>
                      <w:kern w:val="0"/>
                      <w:sz w:val="21"/>
                      <w:szCs w:val="21"/>
                      <w:highlight w:val="none"/>
                      <w:lang w:bidi="ar"/>
                    </w:rPr>
                  </w:pPr>
                  <w:r>
                    <w:rPr>
                      <w:rFonts w:hint="default"/>
                      <w:color w:val="000000"/>
                      <w:kern w:val="0"/>
                      <w:sz w:val="21"/>
                      <w:szCs w:val="21"/>
                      <w:highlight w:val="none"/>
                      <w:lang w:bidi="ar"/>
                    </w:rPr>
                    <w:t>7.8</w:t>
                  </w:r>
                </w:p>
              </w:tc>
              <w:tc>
                <w:tcPr>
                  <w:tcW w:w="762" w:type="pct"/>
                  <w:vAlign w:val="center"/>
                </w:tcPr>
                <w:p w14:paraId="480FBC1A">
                  <w:pPr>
                    <w:keepNext w:val="0"/>
                    <w:keepLines w:val="0"/>
                    <w:suppressLineNumbers w:val="0"/>
                    <w:adjustRightInd w:val="0"/>
                    <w:snapToGrid w:val="0"/>
                    <w:spacing w:before="0" w:beforeAutospacing="0" w:after="0" w:afterAutospacing="0"/>
                    <w:ind w:left="0" w:right="0"/>
                    <w:jc w:val="center"/>
                    <w:textAlignment w:val="center"/>
                    <w:rPr>
                      <w:rFonts w:hint="default"/>
                      <w:color w:val="000000"/>
                      <w:kern w:val="0"/>
                      <w:sz w:val="21"/>
                      <w:szCs w:val="21"/>
                      <w:highlight w:val="none"/>
                      <w:lang w:bidi="ar"/>
                    </w:rPr>
                  </w:pPr>
                  <w:r>
                    <w:rPr>
                      <w:rFonts w:hint="default"/>
                      <w:color w:val="000000"/>
                      <w:kern w:val="0"/>
                      <w:sz w:val="21"/>
                      <w:szCs w:val="21"/>
                      <w:highlight w:val="none"/>
                      <w:lang w:bidi="ar"/>
                    </w:rPr>
                    <w:t>6~9</w:t>
                  </w:r>
                </w:p>
              </w:tc>
            </w:tr>
            <w:tr w14:paraId="29278AA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3" w:hRule="atLeast"/>
                <w:jc w:val="center"/>
              </w:trPr>
              <w:tc>
                <w:tcPr>
                  <w:tcW w:w="956" w:type="pct"/>
                  <w:vAlign w:val="center"/>
                </w:tcPr>
                <w:p w14:paraId="3B6E695E">
                  <w:pPr>
                    <w:keepNext w:val="0"/>
                    <w:keepLines w:val="0"/>
                    <w:suppressLineNumbers w:val="0"/>
                    <w:adjustRightInd w:val="0"/>
                    <w:snapToGrid w:val="0"/>
                    <w:spacing w:before="0" w:beforeAutospacing="0" w:after="0" w:afterAutospacing="0"/>
                    <w:ind w:left="0" w:right="0"/>
                    <w:jc w:val="center"/>
                    <w:rPr>
                      <w:rFonts w:hint="default"/>
                      <w:color w:val="000000"/>
                      <w:sz w:val="21"/>
                      <w:szCs w:val="21"/>
                      <w:highlight w:val="none"/>
                    </w:rPr>
                  </w:pPr>
                  <w:r>
                    <w:rPr>
                      <w:rFonts w:hint="default"/>
                      <w:color w:val="000000"/>
                      <w:sz w:val="21"/>
                      <w:szCs w:val="21"/>
                      <w:highlight w:val="none"/>
                    </w:rPr>
                    <w:t>LAS</w:t>
                  </w:r>
                </w:p>
              </w:tc>
              <w:tc>
                <w:tcPr>
                  <w:tcW w:w="584" w:type="pct"/>
                  <w:vAlign w:val="center"/>
                </w:tcPr>
                <w:p w14:paraId="1119F64A">
                  <w:pPr>
                    <w:keepNext w:val="0"/>
                    <w:keepLines w:val="0"/>
                    <w:suppressLineNumbers w:val="0"/>
                    <w:adjustRightInd w:val="0"/>
                    <w:snapToGrid w:val="0"/>
                    <w:spacing w:before="0" w:beforeAutospacing="0" w:after="0" w:afterAutospacing="0"/>
                    <w:ind w:left="0" w:right="0"/>
                    <w:jc w:val="center"/>
                    <w:textAlignment w:val="center"/>
                    <w:rPr>
                      <w:rFonts w:hint="default"/>
                      <w:color w:val="000000"/>
                      <w:kern w:val="0"/>
                      <w:sz w:val="21"/>
                      <w:szCs w:val="21"/>
                      <w:highlight w:val="none"/>
                      <w:lang w:bidi="ar"/>
                    </w:rPr>
                  </w:pPr>
                  <w:r>
                    <w:rPr>
                      <w:rFonts w:hint="default"/>
                      <w:color w:val="000000"/>
                      <w:kern w:val="0"/>
                      <w:sz w:val="21"/>
                      <w:szCs w:val="21"/>
                      <w:highlight w:val="none"/>
                      <w:lang w:bidi="ar"/>
                    </w:rPr>
                    <w:t>mg/L</w:t>
                  </w:r>
                </w:p>
              </w:tc>
              <w:tc>
                <w:tcPr>
                  <w:tcW w:w="898" w:type="pct"/>
                  <w:vAlign w:val="center"/>
                </w:tcPr>
                <w:p w14:paraId="72E23F19">
                  <w:pPr>
                    <w:keepNext w:val="0"/>
                    <w:keepLines w:val="0"/>
                    <w:suppressLineNumbers w:val="0"/>
                    <w:adjustRightInd w:val="0"/>
                    <w:snapToGrid w:val="0"/>
                    <w:spacing w:before="0" w:beforeAutospacing="0" w:after="0" w:afterAutospacing="0"/>
                    <w:ind w:left="0" w:right="0"/>
                    <w:jc w:val="center"/>
                    <w:textAlignment w:val="center"/>
                    <w:rPr>
                      <w:rFonts w:hint="default"/>
                      <w:color w:val="000000"/>
                      <w:kern w:val="0"/>
                      <w:sz w:val="21"/>
                      <w:szCs w:val="21"/>
                      <w:highlight w:val="none"/>
                      <w:lang w:bidi="ar"/>
                    </w:rPr>
                  </w:pPr>
                  <w:r>
                    <w:rPr>
                      <w:rFonts w:hint="default"/>
                      <w:color w:val="000000"/>
                      <w:kern w:val="0"/>
                      <w:sz w:val="21"/>
                      <w:szCs w:val="21"/>
                      <w:highlight w:val="none"/>
                      <w:lang w:bidi="ar"/>
                    </w:rPr>
                    <w:t>＜0.05</w:t>
                  </w:r>
                </w:p>
              </w:tc>
              <w:tc>
                <w:tcPr>
                  <w:tcW w:w="897" w:type="pct"/>
                  <w:vAlign w:val="center"/>
                </w:tcPr>
                <w:p w14:paraId="533A6A14">
                  <w:pPr>
                    <w:keepNext w:val="0"/>
                    <w:keepLines w:val="0"/>
                    <w:suppressLineNumbers w:val="0"/>
                    <w:adjustRightInd w:val="0"/>
                    <w:snapToGrid w:val="0"/>
                    <w:spacing w:before="0" w:beforeAutospacing="0" w:after="0" w:afterAutospacing="0"/>
                    <w:ind w:left="0" w:right="0"/>
                    <w:jc w:val="center"/>
                    <w:textAlignment w:val="center"/>
                    <w:rPr>
                      <w:rFonts w:hint="default"/>
                      <w:color w:val="000000"/>
                      <w:kern w:val="0"/>
                      <w:sz w:val="21"/>
                      <w:szCs w:val="21"/>
                      <w:highlight w:val="none"/>
                      <w:lang w:bidi="ar"/>
                    </w:rPr>
                  </w:pPr>
                  <w:r>
                    <w:rPr>
                      <w:rFonts w:hint="default"/>
                      <w:color w:val="000000"/>
                      <w:kern w:val="0"/>
                      <w:sz w:val="21"/>
                      <w:szCs w:val="21"/>
                      <w:highlight w:val="none"/>
                      <w:lang w:bidi="ar"/>
                    </w:rPr>
                    <w:t>＜0.05</w:t>
                  </w:r>
                </w:p>
              </w:tc>
              <w:tc>
                <w:tcPr>
                  <w:tcW w:w="900" w:type="pct"/>
                  <w:vAlign w:val="center"/>
                </w:tcPr>
                <w:p w14:paraId="689AAF98">
                  <w:pPr>
                    <w:keepNext w:val="0"/>
                    <w:keepLines w:val="0"/>
                    <w:suppressLineNumbers w:val="0"/>
                    <w:adjustRightInd w:val="0"/>
                    <w:snapToGrid w:val="0"/>
                    <w:spacing w:before="0" w:beforeAutospacing="0" w:after="0" w:afterAutospacing="0"/>
                    <w:ind w:left="0" w:right="0"/>
                    <w:jc w:val="center"/>
                    <w:textAlignment w:val="center"/>
                    <w:rPr>
                      <w:rFonts w:hint="default"/>
                      <w:color w:val="000000"/>
                      <w:kern w:val="0"/>
                      <w:sz w:val="21"/>
                      <w:szCs w:val="21"/>
                      <w:highlight w:val="none"/>
                      <w:lang w:bidi="ar"/>
                    </w:rPr>
                  </w:pPr>
                  <w:r>
                    <w:rPr>
                      <w:rFonts w:hint="default"/>
                      <w:color w:val="000000"/>
                      <w:kern w:val="0"/>
                      <w:sz w:val="21"/>
                      <w:szCs w:val="21"/>
                      <w:highlight w:val="none"/>
                      <w:lang w:bidi="ar"/>
                    </w:rPr>
                    <w:t>＜0.05</w:t>
                  </w:r>
                </w:p>
              </w:tc>
              <w:tc>
                <w:tcPr>
                  <w:tcW w:w="762" w:type="pct"/>
                  <w:vAlign w:val="center"/>
                </w:tcPr>
                <w:p w14:paraId="5C325480">
                  <w:pPr>
                    <w:keepNext w:val="0"/>
                    <w:keepLines w:val="0"/>
                    <w:suppressLineNumbers w:val="0"/>
                    <w:adjustRightInd w:val="0"/>
                    <w:snapToGrid w:val="0"/>
                    <w:spacing w:before="0" w:beforeAutospacing="0" w:after="0" w:afterAutospacing="0"/>
                    <w:ind w:left="0" w:right="0"/>
                    <w:jc w:val="center"/>
                    <w:textAlignment w:val="center"/>
                    <w:rPr>
                      <w:rFonts w:hint="default"/>
                      <w:color w:val="000000"/>
                      <w:kern w:val="0"/>
                      <w:sz w:val="21"/>
                      <w:szCs w:val="21"/>
                      <w:highlight w:val="none"/>
                      <w:lang w:bidi="ar"/>
                    </w:rPr>
                  </w:pPr>
                  <w:r>
                    <w:rPr>
                      <w:rFonts w:hint="default"/>
                      <w:color w:val="000000"/>
                      <w:kern w:val="0"/>
                      <w:sz w:val="21"/>
                      <w:szCs w:val="21"/>
                      <w:highlight w:val="none"/>
                      <w:lang w:bidi="ar"/>
                    </w:rPr>
                    <w:t>0.2</w:t>
                  </w:r>
                </w:p>
              </w:tc>
            </w:tr>
            <w:tr w14:paraId="7E4F1B1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956" w:type="pct"/>
                  <w:vAlign w:val="center"/>
                </w:tcPr>
                <w:p w14:paraId="2F7D7420">
                  <w:pPr>
                    <w:keepNext w:val="0"/>
                    <w:keepLines w:val="0"/>
                    <w:suppressLineNumbers w:val="0"/>
                    <w:adjustRightInd w:val="0"/>
                    <w:snapToGrid w:val="0"/>
                    <w:spacing w:before="0" w:beforeAutospacing="0" w:after="0" w:afterAutospacing="0"/>
                    <w:ind w:left="0" w:right="0"/>
                    <w:jc w:val="center"/>
                    <w:rPr>
                      <w:rFonts w:hint="default"/>
                      <w:color w:val="000000"/>
                      <w:sz w:val="21"/>
                      <w:szCs w:val="21"/>
                      <w:highlight w:val="none"/>
                    </w:rPr>
                  </w:pPr>
                  <w:r>
                    <w:rPr>
                      <w:rFonts w:hint="default"/>
                      <w:color w:val="000000"/>
                      <w:sz w:val="21"/>
                      <w:szCs w:val="21"/>
                      <w:highlight w:val="none"/>
                    </w:rPr>
                    <w:t>高锰酸盐指数</w:t>
                  </w:r>
                </w:p>
              </w:tc>
              <w:tc>
                <w:tcPr>
                  <w:tcW w:w="584" w:type="pct"/>
                  <w:vAlign w:val="center"/>
                </w:tcPr>
                <w:p w14:paraId="11903384">
                  <w:pPr>
                    <w:keepNext w:val="0"/>
                    <w:keepLines w:val="0"/>
                    <w:suppressLineNumbers w:val="0"/>
                    <w:adjustRightInd w:val="0"/>
                    <w:snapToGrid w:val="0"/>
                    <w:spacing w:before="0" w:beforeAutospacing="0" w:after="0" w:afterAutospacing="0"/>
                    <w:ind w:left="0" w:right="0"/>
                    <w:jc w:val="center"/>
                    <w:textAlignment w:val="center"/>
                    <w:rPr>
                      <w:rFonts w:hint="default"/>
                      <w:color w:val="000000"/>
                      <w:kern w:val="0"/>
                      <w:sz w:val="21"/>
                      <w:szCs w:val="21"/>
                      <w:highlight w:val="none"/>
                      <w:lang w:bidi="ar"/>
                    </w:rPr>
                  </w:pPr>
                  <w:r>
                    <w:rPr>
                      <w:rFonts w:hint="default"/>
                      <w:color w:val="000000"/>
                      <w:kern w:val="0"/>
                      <w:sz w:val="21"/>
                      <w:szCs w:val="21"/>
                      <w:highlight w:val="none"/>
                      <w:lang w:bidi="ar"/>
                    </w:rPr>
                    <w:t>mg/L</w:t>
                  </w:r>
                </w:p>
              </w:tc>
              <w:tc>
                <w:tcPr>
                  <w:tcW w:w="898" w:type="pct"/>
                  <w:vAlign w:val="center"/>
                </w:tcPr>
                <w:p w14:paraId="19AF2F7F">
                  <w:pPr>
                    <w:keepNext w:val="0"/>
                    <w:keepLines w:val="0"/>
                    <w:suppressLineNumbers w:val="0"/>
                    <w:adjustRightInd w:val="0"/>
                    <w:snapToGrid w:val="0"/>
                    <w:spacing w:before="0" w:beforeAutospacing="0" w:after="0" w:afterAutospacing="0"/>
                    <w:ind w:left="0" w:right="0"/>
                    <w:jc w:val="center"/>
                    <w:textAlignment w:val="center"/>
                    <w:rPr>
                      <w:rFonts w:hint="default"/>
                      <w:color w:val="000000"/>
                      <w:kern w:val="0"/>
                      <w:sz w:val="21"/>
                      <w:szCs w:val="21"/>
                      <w:highlight w:val="none"/>
                      <w:lang w:bidi="ar"/>
                    </w:rPr>
                  </w:pPr>
                  <w:r>
                    <w:rPr>
                      <w:rFonts w:hint="default"/>
                      <w:color w:val="000000"/>
                      <w:kern w:val="0"/>
                      <w:sz w:val="21"/>
                      <w:szCs w:val="21"/>
                      <w:highlight w:val="none"/>
                      <w:lang w:bidi="ar"/>
                    </w:rPr>
                    <w:t>3.0</w:t>
                  </w:r>
                </w:p>
              </w:tc>
              <w:tc>
                <w:tcPr>
                  <w:tcW w:w="897" w:type="pct"/>
                  <w:vAlign w:val="center"/>
                </w:tcPr>
                <w:p w14:paraId="6EDA7C32">
                  <w:pPr>
                    <w:keepNext w:val="0"/>
                    <w:keepLines w:val="0"/>
                    <w:suppressLineNumbers w:val="0"/>
                    <w:adjustRightInd w:val="0"/>
                    <w:snapToGrid w:val="0"/>
                    <w:spacing w:before="0" w:beforeAutospacing="0" w:after="0" w:afterAutospacing="0"/>
                    <w:ind w:left="0" w:right="0"/>
                    <w:jc w:val="center"/>
                    <w:textAlignment w:val="center"/>
                    <w:rPr>
                      <w:rFonts w:hint="default"/>
                      <w:color w:val="000000"/>
                      <w:kern w:val="0"/>
                      <w:sz w:val="21"/>
                      <w:szCs w:val="21"/>
                      <w:highlight w:val="none"/>
                      <w:lang w:bidi="ar"/>
                    </w:rPr>
                  </w:pPr>
                  <w:r>
                    <w:rPr>
                      <w:rFonts w:hint="default"/>
                      <w:color w:val="000000"/>
                      <w:kern w:val="0"/>
                      <w:sz w:val="21"/>
                      <w:szCs w:val="21"/>
                      <w:highlight w:val="none"/>
                      <w:lang w:bidi="ar"/>
                    </w:rPr>
                    <w:t>3.2</w:t>
                  </w:r>
                </w:p>
              </w:tc>
              <w:tc>
                <w:tcPr>
                  <w:tcW w:w="900" w:type="pct"/>
                  <w:vAlign w:val="center"/>
                </w:tcPr>
                <w:p w14:paraId="50137C6C">
                  <w:pPr>
                    <w:keepNext w:val="0"/>
                    <w:keepLines w:val="0"/>
                    <w:suppressLineNumbers w:val="0"/>
                    <w:adjustRightInd w:val="0"/>
                    <w:snapToGrid w:val="0"/>
                    <w:spacing w:before="0" w:beforeAutospacing="0" w:after="0" w:afterAutospacing="0"/>
                    <w:ind w:left="0" w:right="0"/>
                    <w:jc w:val="center"/>
                    <w:textAlignment w:val="center"/>
                    <w:rPr>
                      <w:rFonts w:hint="default"/>
                      <w:color w:val="000000"/>
                      <w:kern w:val="0"/>
                      <w:sz w:val="21"/>
                      <w:szCs w:val="21"/>
                      <w:highlight w:val="none"/>
                      <w:lang w:bidi="ar"/>
                    </w:rPr>
                  </w:pPr>
                  <w:r>
                    <w:rPr>
                      <w:rFonts w:hint="default"/>
                      <w:color w:val="000000"/>
                      <w:kern w:val="0"/>
                      <w:sz w:val="21"/>
                      <w:szCs w:val="21"/>
                      <w:highlight w:val="none"/>
                      <w:lang w:bidi="ar"/>
                    </w:rPr>
                    <w:t>3.2</w:t>
                  </w:r>
                </w:p>
              </w:tc>
              <w:tc>
                <w:tcPr>
                  <w:tcW w:w="762" w:type="pct"/>
                  <w:vAlign w:val="center"/>
                </w:tcPr>
                <w:p w14:paraId="45DBA2D9">
                  <w:pPr>
                    <w:keepNext w:val="0"/>
                    <w:keepLines w:val="0"/>
                    <w:suppressLineNumbers w:val="0"/>
                    <w:adjustRightInd w:val="0"/>
                    <w:snapToGrid w:val="0"/>
                    <w:spacing w:before="0" w:beforeAutospacing="0" w:after="0" w:afterAutospacing="0"/>
                    <w:ind w:left="0" w:right="0"/>
                    <w:jc w:val="center"/>
                    <w:textAlignment w:val="center"/>
                    <w:rPr>
                      <w:rFonts w:hint="default"/>
                      <w:color w:val="000000"/>
                      <w:kern w:val="0"/>
                      <w:sz w:val="21"/>
                      <w:szCs w:val="21"/>
                      <w:highlight w:val="none"/>
                      <w:lang w:bidi="ar"/>
                    </w:rPr>
                  </w:pPr>
                  <w:r>
                    <w:rPr>
                      <w:rFonts w:hint="default"/>
                      <w:color w:val="000000"/>
                      <w:kern w:val="0"/>
                      <w:sz w:val="21"/>
                      <w:szCs w:val="21"/>
                      <w:highlight w:val="none"/>
                      <w:lang w:bidi="ar"/>
                    </w:rPr>
                    <w:t>6</w:t>
                  </w:r>
                </w:p>
              </w:tc>
            </w:tr>
            <w:tr w14:paraId="6A0451B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956" w:type="pct"/>
                  <w:vAlign w:val="center"/>
                </w:tcPr>
                <w:p w14:paraId="762168EB">
                  <w:pPr>
                    <w:keepNext w:val="0"/>
                    <w:keepLines w:val="0"/>
                    <w:suppressLineNumbers w:val="0"/>
                    <w:adjustRightInd w:val="0"/>
                    <w:snapToGrid w:val="0"/>
                    <w:spacing w:before="0" w:beforeAutospacing="0" w:after="0" w:afterAutospacing="0"/>
                    <w:ind w:left="0" w:right="0"/>
                    <w:jc w:val="center"/>
                    <w:rPr>
                      <w:rFonts w:hint="default"/>
                      <w:color w:val="000000"/>
                      <w:sz w:val="21"/>
                      <w:szCs w:val="21"/>
                      <w:highlight w:val="none"/>
                    </w:rPr>
                  </w:pPr>
                  <w:r>
                    <w:rPr>
                      <w:rFonts w:hint="default"/>
                      <w:color w:val="000000"/>
                      <w:sz w:val="21"/>
                      <w:szCs w:val="21"/>
                      <w:highlight w:val="none"/>
                    </w:rPr>
                    <w:t>CODcr</w:t>
                  </w:r>
                </w:p>
              </w:tc>
              <w:tc>
                <w:tcPr>
                  <w:tcW w:w="584" w:type="pct"/>
                  <w:vAlign w:val="center"/>
                </w:tcPr>
                <w:p w14:paraId="0AC64659">
                  <w:pPr>
                    <w:keepNext w:val="0"/>
                    <w:keepLines w:val="0"/>
                    <w:suppressLineNumbers w:val="0"/>
                    <w:adjustRightInd w:val="0"/>
                    <w:snapToGrid w:val="0"/>
                    <w:spacing w:before="0" w:beforeAutospacing="0" w:after="0" w:afterAutospacing="0"/>
                    <w:ind w:left="0" w:right="0"/>
                    <w:jc w:val="center"/>
                    <w:textAlignment w:val="center"/>
                    <w:rPr>
                      <w:rFonts w:hint="default"/>
                      <w:color w:val="000000"/>
                      <w:kern w:val="0"/>
                      <w:sz w:val="21"/>
                      <w:szCs w:val="21"/>
                      <w:highlight w:val="none"/>
                      <w:lang w:bidi="ar"/>
                    </w:rPr>
                  </w:pPr>
                  <w:r>
                    <w:rPr>
                      <w:rFonts w:hint="default"/>
                      <w:color w:val="000000"/>
                      <w:kern w:val="0"/>
                      <w:sz w:val="21"/>
                      <w:szCs w:val="21"/>
                      <w:highlight w:val="none"/>
                      <w:lang w:bidi="ar"/>
                    </w:rPr>
                    <w:t>mg/L</w:t>
                  </w:r>
                </w:p>
              </w:tc>
              <w:tc>
                <w:tcPr>
                  <w:tcW w:w="898" w:type="pct"/>
                  <w:vAlign w:val="center"/>
                </w:tcPr>
                <w:p w14:paraId="05DC6B79">
                  <w:pPr>
                    <w:keepNext w:val="0"/>
                    <w:keepLines w:val="0"/>
                    <w:suppressLineNumbers w:val="0"/>
                    <w:adjustRightInd w:val="0"/>
                    <w:snapToGrid w:val="0"/>
                    <w:spacing w:before="0" w:beforeAutospacing="0" w:after="0" w:afterAutospacing="0"/>
                    <w:ind w:left="0" w:right="0"/>
                    <w:jc w:val="center"/>
                    <w:textAlignment w:val="center"/>
                    <w:rPr>
                      <w:rFonts w:hint="default"/>
                      <w:color w:val="000000"/>
                      <w:kern w:val="0"/>
                      <w:sz w:val="21"/>
                      <w:szCs w:val="21"/>
                      <w:highlight w:val="none"/>
                      <w:lang w:bidi="ar"/>
                    </w:rPr>
                  </w:pPr>
                  <w:r>
                    <w:rPr>
                      <w:rFonts w:hint="default"/>
                      <w:color w:val="000000"/>
                      <w:kern w:val="0"/>
                      <w:sz w:val="21"/>
                      <w:szCs w:val="21"/>
                      <w:highlight w:val="none"/>
                      <w:lang w:bidi="ar"/>
                    </w:rPr>
                    <w:t>9</w:t>
                  </w:r>
                </w:p>
              </w:tc>
              <w:tc>
                <w:tcPr>
                  <w:tcW w:w="897" w:type="pct"/>
                  <w:vAlign w:val="center"/>
                </w:tcPr>
                <w:p w14:paraId="7787DF07">
                  <w:pPr>
                    <w:keepNext w:val="0"/>
                    <w:keepLines w:val="0"/>
                    <w:suppressLineNumbers w:val="0"/>
                    <w:adjustRightInd w:val="0"/>
                    <w:snapToGrid w:val="0"/>
                    <w:spacing w:before="0" w:beforeAutospacing="0" w:after="0" w:afterAutospacing="0"/>
                    <w:ind w:left="0" w:right="0"/>
                    <w:jc w:val="center"/>
                    <w:textAlignment w:val="center"/>
                    <w:rPr>
                      <w:rFonts w:hint="default"/>
                      <w:color w:val="000000"/>
                      <w:kern w:val="0"/>
                      <w:sz w:val="21"/>
                      <w:szCs w:val="21"/>
                      <w:highlight w:val="none"/>
                      <w:lang w:bidi="ar"/>
                    </w:rPr>
                  </w:pPr>
                  <w:r>
                    <w:rPr>
                      <w:rFonts w:hint="default"/>
                      <w:color w:val="000000"/>
                      <w:kern w:val="0"/>
                      <w:sz w:val="21"/>
                      <w:szCs w:val="21"/>
                      <w:highlight w:val="none"/>
                      <w:lang w:bidi="ar"/>
                    </w:rPr>
                    <w:t>10</w:t>
                  </w:r>
                </w:p>
              </w:tc>
              <w:tc>
                <w:tcPr>
                  <w:tcW w:w="900" w:type="pct"/>
                  <w:vAlign w:val="center"/>
                </w:tcPr>
                <w:p w14:paraId="02C0AB05">
                  <w:pPr>
                    <w:keepNext w:val="0"/>
                    <w:keepLines w:val="0"/>
                    <w:suppressLineNumbers w:val="0"/>
                    <w:adjustRightInd w:val="0"/>
                    <w:snapToGrid w:val="0"/>
                    <w:spacing w:before="0" w:beforeAutospacing="0" w:after="0" w:afterAutospacing="0"/>
                    <w:ind w:left="0" w:right="0"/>
                    <w:jc w:val="center"/>
                    <w:textAlignment w:val="center"/>
                    <w:rPr>
                      <w:rFonts w:hint="default"/>
                      <w:color w:val="000000"/>
                      <w:kern w:val="0"/>
                      <w:sz w:val="21"/>
                      <w:szCs w:val="21"/>
                      <w:highlight w:val="none"/>
                      <w:lang w:bidi="ar"/>
                    </w:rPr>
                  </w:pPr>
                  <w:r>
                    <w:rPr>
                      <w:rFonts w:hint="default"/>
                      <w:color w:val="000000"/>
                      <w:kern w:val="0"/>
                      <w:sz w:val="21"/>
                      <w:szCs w:val="21"/>
                      <w:highlight w:val="none"/>
                      <w:lang w:bidi="ar"/>
                    </w:rPr>
                    <w:t>10</w:t>
                  </w:r>
                </w:p>
              </w:tc>
              <w:tc>
                <w:tcPr>
                  <w:tcW w:w="762" w:type="pct"/>
                  <w:vAlign w:val="center"/>
                </w:tcPr>
                <w:p w14:paraId="482ED1C7">
                  <w:pPr>
                    <w:keepNext w:val="0"/>
                    <w:keepLines w:val="0"/>
                    <w:suppressLineNumbers w:val="0"/>
                    <w:adjustRightInd w:val="0"/>
                    <w:snapToGrid w:val="0"/>
                    <w:spacing w:before="0" w:beforeAutospacing="0" w:after="0" w:afterAutospacing="0"/>
                    <w:ind w:left="0" w:right="0"/>
                    <w:jc w:val="center"/>
                    <w:textAlignment w:val="center"/>
                    <w:rPr>
                      <w:rFonts w:hint="default"/>
                      <w:color w:val="000000"/>
                      <w:kern w:val="0"/>
                      <w:sz w:val="21"/>
                      <w:szCs w:val="21"/>
                      <w:highlight w:val="none"/>
                      <w:lang w:bidi="ar"/>
                    </w:rPr>
                  </w:pPr>
                  <w:r>
                    <w:rPr>
                      <w:rFonts w:hint="default"/>
                      <w:color w:val="000000"/>
                      <w:kern w:val="0"/>
                      <w:sz w:val="21"/>
                      <w:szCs w:val="21"/>
                      <w:highlight w:val="none"/>
                      <w:lang w:bidi="ar"/>
                    </w:rPr>
                    <w:t>20</w:t>
                  </w:r>
                </w:p>
              </w:tc>
            </w:tr>
            <w:tr w14:paraId="40A0F48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956" w:type="pct"/>
                  <w:vAlign w:val="center"/>
                </w:tcPr>
                <w:p w14:paraId="570E03EC">
                  <w:pPr>
                    <w:keepNext w:val="0"/>
                    <w:keepLines w:val="0"/>
                    <w:suppressLineNumbers w:val="0"/>
                    <w:adjustRightInd w:val="0"/>
                    <w:snapToGrid w:val="0"/>
                    <w:spacing w:before="0" w:beforeAutospacing="0" w:after="0" w:afterAutospacing="0"/>
                    <w:ind w:left="0" w:right="0"/>
                    <w:jc w:val="center"/>
                    <w:rPr>
                      <w:rFonts w:hint="default"/>
                      <w:color w:val="000000"/>
                      <w:sz w:val="21"/>
                      <w:szCs w:val="21"/>
                      <w:highlight w:val="none"/>
                    </w:rPr>
                  </w:pPr>
                  <w:r>
                    <w:rPr>
                      <w:rFonts w:hint="default"/>
                      <w:color w:val="000000"/>
                      <w:sz w:val="21"/>
                      <w:szCs w:val="21"/>
                      <w:highlight w:val="none"/>
                    </w:rPr>
                    <w:t>BOD</w:t>
                  </w:r>
                  <w:r>
                    <w:rPr>
                      <w:rFonts w:hint="default"/>
                      <w:color w:val="000000"/>
                      <w:sz w:val="21"/>
                      <w:szCs w:val="21"/>
                      <w:highlight w:val="none"/>
                      <w:vertAlign w:val="subscript"/>
                    </w:rPr>
                    <w:t>5</w:t>
                  </w:r>
                </w:p>
              </w:tc>
              <w:tc>
                <w:tcPr>
                  <w:tcW w:w="584" w:type="pct"/>
                  <w:vAlign w:val="center"/>
                </w:tcPr>
                <w:p w14:paraId="2C307861">
                  <w:pPr>
                    <w:keepNext w:val="0"/>
                    <w:keepLines w:val="0"/>
                    <w:suppressLineNumbers w:val="0"/>
                    <w:adjustRightInd w:val="0"/>
                    <w:snapToGrid w:val="0"/>
                    <w:spacing w:before="0" w:beforeAutospacing="0" w:after="0" w:afterAutospacing="0"/>
                    <w:ind w:left="0" w:right="0"/>
                    <w:jc w:val="center"/>
                    <w:textAlignment w:val="center"/>
                    <w:rPr>
                      <w:rFonts w:hint="default"/>
                      <w:color w:val="000000"/>
                      <w:kern w:val="0"/>
                      <w:sz w:val="21"/>
                      <w:szCs w:val="21"/>
                      <w:highlight w:val="none"/>
                      <w:lang w:bidi="ar"/>
                    </w:rPr>
                  </w:pPr>
                  <w:r>
                    <w:rPr>
                      <w:rFonts w:hint="default"/>
                      <w:color w:val="000000"/>
                      <w:kern w:val="0"/>
                      <w:sz w:val="21"/>
                      <w:szCs w:val="21"/>
                      <w:highlight w:val="none"/>
                      <w:lang w:bidi="ar"/>
                    </w:rPr>
                    <w:t>mg/L</w:t>
                  </w:r>
                </w:p>
              </w:tc>
              <w:tc>
                <w:tcPr>
                  <w:tcW w:w="898" w:type="pct"/>
                  <w:vAlign w:val="center"/>
                </w:tcPr>
                <w:p w14:paraId="249C3EFB">
                  <w:pPr>
                    <w:keepNext w:val="0"/>
                    <w:keepLines w:val="0"/>
                    <w:suppressLineNumbers w:val="0"/>
                    <w:adjustRightInd w:val="0"/>
                    <w:snapToGrid w:val="0"/>
                    <w:spacing w:before="0" w:beforeAutospacing="0" w:after="0" w:afterAutospacing="0"/>
                    <w:ind w:left="0" w:right="0"/>
                    <w:jc w:val="center"/>
                    <w:textAlignment w:val="center"/>
                    <w:rPr>
                      <w:rFonts w:hint="default"/>
                      <w:color w:val="000000"/>
                      <w:kern w:val="0"/>
                      <w:sz w:val="21"/>
                      <w:szCs w:val="21"/>
                      <w:highlight w:val="none"/>
                      <w:lang w:bidi="ar"/>
                    </w:rPr>
                  </w:pPr>
                  <w:r>
                    <w:rPr>
                      <w:rFonts w:hint="default"/>
                      <w:color w:val="000000"/>
                      <w:kern w:val="0"/>
                      <w:sz w:val="21"/>
                      <w:szCs w:val="21"/>
                      <w:highlight w:val="none"/>
                      <w:lang w:bidi="ar"/>
                    </w:rPr>
                    <w:t>2.8</w:t>
                  </w:r>
                </w:p>
              </w:tc>
              <w:tc>
                <w:tcPr>
                  <w:tcW w:w="897" w:type="pct"/>
                  <w:vAlign w:val="center"/>
                </w:tcPr>
                <w:p w14:paraId="777976A2">
                  <w:pPr>
                    <w:keepNext w:val="0"/>
                    <w:keepLines w:val="0"/>
                    <w:suppressLineNumbers w:val="0"/>
                    <w:adjustRightInd w:val="0"/>
                    <w:snapToGrid w:val="0"/>
                    <w:spacing w:before="0" w:beforeAutospacing="0" w:after="0" w:afterAutospacing="0"/>
                    <w:ind w:left="0" w:right="0"/>
                    <w:jc w:val="center"/>
                    <w:textAlignment w:val="center"/>
                    <w:rPr>
                      <w:rFonts w:hint="default"/>
                      <w:color w:val="000000"/>
                      <w:kern w:val="0"/>
                      <w:sz w:val="21"/>
                      <w:szCs w:val="21"/>
                      <w:highlight w:val="none"/>
                      <w:lang w:bidi="ar"/>
                    </w:rPr>
                  </w:pPr>
                  <w:r>
                    <w:rPr>
                      <w:rFonts w:hint="default"/>
                      <w:color w:val="000000"/>
                      <w:kern w:val="0"/>
                      <w:sz w:val="21"/>
                      <w:szCs w:val="21"/>
                      <w:highlight w:val="none"/>
                      <w:lang w:bidi="ar"/>
                    </w:rPr>
                    <w:t>2.6</w:t>
                  </w:r>
                </w:p>
              </w:tc>
              <w:tc>
                <w:tcPr>
                  <w:tcW w:w="900" w:type="pct"/>
                  <w:vAlign w:val="center"/>
                </w:tcPr>
                <w:p w14:paraId="51086B86">
                  <w:pPr>
                    <w:keepNext w:val="0"/>
                    <w:keepLines w:val="0"/>
                    <w:suppressLineNumbers w:val="0"/>
                    <w:adjustRightInd w:val="0"/>
                    <w:snapToGrid w:val="0"/>
                    <w:spacing w:before="0" w:beforeAutospacing="0" w:after="0" w:afterAutospacing="0"/>
                    <w:ind w:left="0" w:right="0"/>
                    <w:jc w:val="center"/>
                    <w:textAlignment w:val="center"/>
                    <w:rPr>
                      <w:rFonts w:hint="default"/>
                      <w:color w:val="000000"/>
                      <w:kern w:val="0"/>
                      <w:sz w:val="21"/>
                      <w:szCs w:val="21"/>
                      <w:highlight w:val="none"/>
                      <w:lang w:bidi="ar"/>
                    </w:rPr>
                  </w:pPr>
                  <w:r>
                    <w:rPr>
                      <w:rFonts w:hint="default"/>
                      <w:color w:val="000000"/>
                      <w:kern w:val="0"/>
                      <w:sz w:val="21"/>
                      <w:szCs w:val="21"/>
                      <w:highlight w:val="none"/>
                      <w:lang w:bidi="ar"/>
                    </w:rPr>
                    <w:t>2.9</w:t>
                  </w:r>
                </w:p>
              </w:tc>
              <w:tc>
                <w:tcPr>
                  <w:tcW w:w="762" w:type="pct"/>
                  <w:vAlign w:val="center"/>
                </w:tcPr>
                <w:p w14:paraId="572029DE">
                  <w:pPr>
                    <w:keepNext w:val="0"/>
                    <w:keepLines w:val="0"/>
                    <w:suppressLineNumbers w:val="0"/>
                    <w:adjustRightInd w:val="0"/>
                    <w:snapToGrid w:val="0"/>
                    <w:spacing w:before="0" w:beforeAutospacing="0" w:after="0" w:afterAutospacing="0"/>
                    <w:ind w:left="0" w:right="0"/>
                    <w:jc w:val="center"/>
                    <w:textAlignment w:val="center"/>
                    <w:rPr>
                      <w:rFonts w:hint="default"/>
                      <w:color w:val="000000"/>
                      <w:kern w:val="0"/>
                      <w:sz w:val="21"/>
                      <w:szCs w:val="21"/>
                      <w:highlight w:val="none"/>
                      <w:lang w:bidi="ar"/>
                    </w:rPr>
                  </w:pPr>
                  <w:r>
                    <w:rPr>
                      <w:rFonts w:hint="default"/>
                      <w:color w:val="000000"/>
                      <w:kern w:val="0"/>
                      <w:sz w:val="21"/>
                      <w:szCs w:val="21"/>
                      <w:highlight w:val="none"/>
                      <w:lang w:bidi="ar"/>
                    </w:rPr>
                    <w:t>4</w:t>
                  </w:r>
                </w:p>
              </w:tc>
            </w:tr>
            <w:tr w14:paraId="753AF41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956" w:type="pct"/>
                  <w:vAlign w:val="center"/>
                </w:tcPr>
                <w:p w14:paraId="2B15DC69">
                  <w:pPr>
                    <w:keepNext w:val="0"/>
                    <w:keepLines w:val="0"/>
                    <w:suppressLineNumbers w:val="0"/>
                    <w:adjustRightInd w:val="0"/>
                    <w:snapToGrid w:val="0"/>
                    <w:spacing w:before="0" w:beforeAutospacing="0" w:after="0" w:afterAutospacing="0"/>
                    <w:ind w:left="0" w:right="0"/>
                    <w:jc w:val="center"/>
                    <w:rPr>
                      <w:rFonts w:hint="default"/>
                      <w:color w:val="000000"/>
                      <w:sz w:val="21"/>
                      <w:szCs w:val="21"/>
                      <w:highlight w:val="none"/>
                    </w:rPr>
                  </w:pPr>
                  <w:r>
                    <w:rPr>
                      <w:rFonts w:hint="default"/>
                      <w:color w:val="000000"/>
                      <w:sz w:val="21"/>
                      <w:szCs w:val="21"/>
                      <w:highlight w:val="none"/>
                    </w:rPr>
                    <w:t>氨氮</w:t>
                  </w:r>
                </w:p>
              </w:tc>
              <w:tc>
                <w:tcPr>
                  <w:tcW w:w="584" w:type="pct"/>
                  <w:vAlign w:val="center"/>
                </w:tcPr>
                <w:p w14:paraId="43BBA18E">
                  <w:pPr>
                    <w:keepNext w:val="0"/>
                    <w:keepLines w:val="0"/>
                    <w:suppressLineNumbers w:val="0"/>
                    <w:adjustRightInd w:val="0"/>
                    <w:snapToGrid w:val="0"/>
                    <w:spacing w:before="0" w:beforeAutospacing="0" w:after="0" w:afterAutospacing="0"/>
                    <w:ind w:left="0" w:right="0"/>
                    <w:jc w:val="center"/>
                    <w:textAlignment w:val="center"/>
                    <w:rPr>
                      <w:rFonts w:hint="default"/>
                      <w:color w:val="000000"/>
                      <w:kern w:val="0"/>
                      <w:sz w:val="21"/>
                      <w:szCs w:val="21"/>
                      <w:highlight w:val="none"/>
                      <w:lang w:bidi="ar"/>
                    </w:rPr>
                  </w:pPr>
                  <w:r>
                    <w:rPr>
                      <w:rFonts w:hint="default"/>
                      <w:color w:val="000000"/>
                      <w:kern w:val="0"/>
                      <w:sz w:val="21"/>
                      <w:szCs w:val="21"/>
                      <w:highlight w:val="none"/>
                      <w:lang w:bidi="ar"/>
                    </w:rPr>
                    <w:t>mg/L</w:t>
                  </w:r>
                </w:p>
              </w:tc>
              <w:tc>
                <w:tcPr>
                  <w:tcW w:w="898" w:type="pct"/>
                  <w:vAlign w:val="center"/>
                </w:tcPr>
                <w:p w14:paraId="09C7A8DE">
                  <w:pPr>
                    <w:keepNext w:val="0"/>
                    <w:keepLines w:val="0"/>
                    <w:suppressLineNumbers w:val="0"/>
                    <w:adjustRightInd w:val="0"/>
                    <w:snapToGrid w:val="0"/>
                    <w:spacing w:before="0" w:beforeAutospacing="0" w:after="0" w:afterAutospacing="0"/>
                    <w:ind w:left="0" w:right="0"/>
                    <w:jc w:val="center"/>
                    <w:textAlignment w:val="center"/>
                    <w:rPr>
                      <w:rFonts w:hint="default"/>
                      <w:color w:val="000000"/>
                      <w:kern w:val="0"/>
                      <w:sz w:val="21"/>
                      <w:szCs w:val="21"/>
                      <w:highlight w:val="none"/>
                      <w:lang w:bidi="ar"/>
                    </w:rPr>
                  </w:pPr>
                  <w:r>
                    <w:rPr>
                      <w:rFonts w:hint="default"/>
                      <w:color w:val="000000"/>
                      <w:kern w:val="0"/>
                      <w:sz w:val="21"/>
                      <w:szCs w:val="21"/>
                      <w:highlight w:val="none"/>
                      <w:lang w:bidi="ar"/>
                    </w:rPr>
                    <w:t>0.067</w:t>
                  </w:r>
                </w:p>
              </w:tc>
              <w:tc>
                <w:tcPr>
                  <w:tcW w:w="897" w:type="pct"/>
                  <w:vAlign w:val="center"/>
                </w:tcPr>
                <w:p w14:paraId="44085F85">
                  <w:pPr>
                    <w:keepNext w:val="0"/>
                    <w:keepLines w:val="0"/>
                    <w:suppressLineNumbers w:val="0"/>
                    <w:adjustRightInd w:val="0"/>
                    <w:snapToGrid w:val="0"/>
                    <w:spacing w:before="0" w:beforeAutospacing="0" w:after="0" w:afterAutospacing="0"/>
                    <w:ind w:left="0" w:right="0"/>
                    <w:jc w:val="center"/>
                    <w:textAlignment w:val="center"/>
                    <w:rPr>
                      <w:rFonts w:hint="default"/>
                      <w:color w:val="000000"/>
                      <w:kern w:val="0"/>
                      <w:sz w:val="21"/>
                      <w:szCs w:val="21"/>
                      <w:highlight w:val="none"/>
                      <w:lang w:bidi="ar"/>
                    </w:rPr>
                  </w:pPr>
                  <w:r>
                    <w:rPr>
                      <w:rFonts w:hint="default"/>
                      <w:color w:val="000000"/>
                      <w:kern w:val="0"/>
                      <w:sz w:val="21"/>
                      <w:szCs w:val="21"/>
                      <w:highlight w:val="none"/>
                      <w:lang w:bidi="ar"/>
                    </w:rPr>
                    <w:t>0.052</w:t>
                  </w:r>
                </w:p>
              </w:tc>
              <w:tc>
                <w:tcPr>
                  <w:tcW w:w="900" w:type="pct"/>
                  <w:vAlign w:val="center"/>
                </w:tcPr>
                <w:p w14:paraId="753CB9BC">
                  <w:pPr>
                    <w:keepNext w:val="0"/>
                    <w:keepLines w:val="0"/>
                    <w:suppressLineNumbers w:val="0"/>
                    <w:adjustRightInd w:val="0"/>
                    <w:snapToGrid w:val="0"/>
                    <w:spacing w:before="0" w:beforeAutospacing="0" w:after="0" w:afterAutospacing="0"/>
                    <w:ind w:left="0" w:right="0"/>
                    <w:jc w:val="center"/>
                    <w:textAlignment w:val="center"/>
                    <w:rPr>
                      <w:rFonts w:hint="default"/>
                      <w:color w:val="000000"/>
                      <w:kern w:val="0"/>
                      <w:sz w:val="21"/>
                      <w:szCs w:val="21"/>
                      <w:highlight w:val="none"/>
                      <w:lang w:bidi="ar"/>
                    </w:rPr>
                  </w:pPr>
                  <w:r>
                    <w:rPr>
                      <w:rFonts w:hint="default"/>
                      <w:color w:val="000000"/>
                      <w:kern w:val="0"/>
                      <w:sz w:val="21"/>
                      <w:szCs w:val="21"/>
                      <w:highlight w:val="none"/>
                      <w:lang w:bidi="ar"/>
                    </w:rPr>
                    <w:t>0.054</w:t>
                  </w:r>
                </w:p>
              </w:tc>
              <w:tc>
                <w:tcPr>
                  <w:tcW w:w="762" w:type="pct"/>
                  <w:vAlign w:val="center"/>
                </w:tcPr>
                <w:p w14:paraId="2DD404E4">
                  <w:pPr>
                    <w:keepNext w:val="0"/>
                    <w:keepLines w:val="0"/>
                    <w:suppressLineNumbers w:val="0"/>
                    <w:adjustRightInd w:val="0"/>
                    <w:snapToGrid w:val="0"/>
                    <w:spacing w:before="0" w:beforeAutospacing="0" w:after="0" w:afterAutospacing="0"/>
                    <w:ind w:left="0" w:right="0"/>
                    <w:jc w:val="center"/>
                    <w:textAlignment w:val="center"/>
                    <w:rPr>
                      <w:rFonts w:hint="default"/>
                      <w:color w:val="000000"/>
                      <w:kern w:val="0"/>
                      <w:sz w:val="21"/>
                      <w:szCs w:val="21"/>
                      <w:highlight w:val="none"/>
                      <w:lang w:bidi="ar"/>
                    </w:rPr>
                  </w:pPr>
                  <w:r>
                    <w:rPr>
                      <w:rFonts w:hint="default"/>
                      <w:color w:val="000000"/>
                      <w:kern w:val="0"/>
                      <w:sz w:val="21"/>
                      <w:szCs w:val="21"/>
                      <w:highlight w:val="none"/>
                      <w:lang w:bidi="ar"/>
                    </w:rPr>
                    <w:t>1.0</w:t>
                  </w:r>
                </w:p>
              </w:tc>
            </w:tr>
            <w:tr w14:paraId="5B2D3CB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956" w:type="pct"/>
                  <w:vAlign w:val="center"/>
                </w:tcPr>
                <w:p w14:paraId="2427D53F">
                  <w:pPr>
                    <w:keepNext w:val="0"/>
                    <w:keepLines w:val="0"/>
                    <w:suppressLineNumbers w:val="0"/>
                    <w:adjustRightInd w:val="0"/>
                    <w:snapToGrid w:val="0"/>
                    <w:spacing w:before="0" w:beforeAutospacing="0" w:after="0" w:afterAutospacing="0"/>
                    <w:ind w:left="0" w:right="0"/>
                    <w:jc w:val="center"/>
                    <w:rPr>
                      <w:rFonts w:hint="default"/>
                      <w:color w:val="000000"/>
                      <w:sz w:val="21"/>
                      <w:szCs w:val="21"/>
                      <w:highlight w:val="none"/>
                    </w:rPr>
                  </w:pPr>
                  <w:r>
                    <w:rPr>
                      <w:rFonts w:hint="default"/>
                      <w:color w:val="000000"/>
                      <w:sz w:val="21"/>
                      <w:szCs w:val="21"/>
                      <w:highlight w:val="none"/>
                    </w:rPr>
                    <w:t>总氮</w:t>
                  </w:r>
                </w:p>
              </w:tc>
              <w:tc>
                <w:tcPr>
                  <w:tcW w:w="584" w:type="pct"/>
                  <w:vAlign w:val="center"/>
                </w:tcPr>
                <w:p w14:paraId="1CD40C5B">
                  <w:pPr>
                    <w:keepNext w:val="0"/>
                    <w:keepLines w:val="0"/>
                    <w:suppressLineNumbers w:val="0"/>
                    <w:adjustRightInd w:val="0"/>
                    <w:snapToGrid w:val="0"/>
                    <w:spacing w:before="0" w:beforeAutospacing="0" w:after="0" w:afterAutospacing="0"/>
                    <w:ind w:left="0" w:right="0"/>
                    <w:jc w:val="center"/>
                    <w:textAlignment w:val="center"/>
                    <w:rPr>
                      <w:rFonts w:hint="default"/>
                      <w:color w:val="000000"/>
                      <w:kern w:val="0"/>
                      <w:sz w:val="21"/>
                      <w:szCs w:val="21"/>
                      <w:highlight w:val="none"/>
                      <w:lang w:bidi="ar"/>
                    </w:rPr>
                  </w:pPr>
                  <w:r>
                    <w:rPr>
                      <w:rFonts w:hint="default"/>
                      <w:color w:val="000000"/>
                      <w:kern w:val="0"/>
                      <w:sz w:val="21"/>
                      <w:szCs w:val="21"/>
                      <w:highlight w:val="none"/>
                      <w:lang w:bidi="ar"/>
                    </w:rPr>
                    <w:t>mg/L</w:t>
                  </w:r>
                </w:p>
              </w:tc>
              <w:tc>
                <w:tcPr>
                  <w:tcW w:w="898" w:type="pct"/>
                  <w:vAlign w:val="center"/>
                </w:tcPr>
                <w:p w14:paraId="03DF7528">
                  <w:pPr>
                    <w:keepNext w:val="0"/>
                    <w:keepLines w:val="0"/>
                    <w:suppressLineNumbers w:val="0"/>
                    <w:adjustRightInd w:val="0"/>
                    <w:snapToGrid w:val="0"/>
                    <w:spacing w:before="0" w:beforeAutospacing="0" w:after="0" w:afterAutospacing="0"/>
                    <w:ind w:left="0" w:right="0"/>
                    <w:jc w:val="center"/>
                    <w:textAlignment w:val="center"/>
                    <w:rPr>
                      <w:rFonts w:hint="default"/>
                      <w:color w:val="000000"/>
                      <w:kern w:val="0"/>
                      <w:sz w:val="21"/>
                      <w:szCs w:val="21"/>
                      <w:highlight w:val="none"/>
                      <w:lang w:bidi="ar"/>
                    </w:rPr>
                  </w:pPr>
                  <w:r>
                    <w:rPr>
                      <w:rFonts w:hint="default"/>
                      <w:color w:val="000000"/>
                      <w:kern w:val="0"/>
                      <w:sz w:val="21"/>
                      <w:szCs w:val="21"/>
                      <w:highlight w:val="none"/>
                      <w:lang w:bidi="ar"/>
                    </w:rPr>
                    <w:t>2.58</w:t>
                  </w:r>
                </w:p>
              </w:tc>
              <w:tc>
                <w:tcPr>
                  <w:tcW w:w="897" w:type="pct"/>
                  <w:vAlign w:val="center"/>
                </w:tcPr>
                <w:p w14:paraId="56572683">
                  <w:pPr>
                    <w:keepNext w:val="0"/>
                    <w:keepLines w:val="0"/>
                    <w:suppressLineNumbers w:val="0"/>
                    <w:adjustRightInd w:val="0"/>
                    <w:snapToGrid w:val="0"/>
                    <w:spacing w:before="0" w:beforeAutospacing="0" w:after="0" w:afterAutospacing="0"/>
                    <w:ind w:left="0" w:right="0"/>
                    <w:jc w:val="center"/>
                    <w:textAlignment w:val="center"/>
                    <w:rPr>
                      <w:rFonts w:hint="default"/>
                      <w:color w:val="000000"/>
                      <w:kern w:val="0"/>
                      <w:sz w:val="21"/>
                      <w:szCs w:val="21"/>
                      <w:highlight w:val="none"/>
                      <w:lang w:bidi="ar"/>
                    </w:rPr>
                  </w:pPr>
                  <w:r>
                    <w:rPr>
                      <w:rFonts w:hint="default"/>
                      <w:color w:val="000000"/>
                      <w:kern w:val="0"/>
                      <w:sz w:val="21"/>
                      <w:szCs w:val="21"/>
                      <w:highlight w:val="none"/>
                      <w:lang w:bidi="ar"/>
                    </w:rPr>
                    <w:t>2.64</w:t>
                  </w:r>
                </w:p>
              </w:tc>
              <w:tc>
                <w:tcPr>
                  <w:tcW w:w="900" w:type="pct"/>
                  <w:vAlign w:val="center"/>
                </w:tcPr>
                <w:p w14:paraId="67E1CE06">
                  <w:pPr>
                    <w:keepNext w:val="0"/>
                    <w:keepLines w:val="0"/>
                    <w:suppressLineNumbers w:val="0"/>
                    <w:adjustRightInd w:val="0"/>
                    <w:snapToGrid w:val="0"/>
                    <w:spacing w:before="0" w:beforeAutospacing="0" w:after="0" w:afterAutospacing="0"/>
                    <w:ind w:left="0" w:right="0"/>
                    <w:jc w:val="center"/>
                    <w:textAlignment w:val="center"/>
                    <w:rPr>
                      <w:rFonts w:hint="default"/>
                      <w:color w:val="000000"/>
                      <w:kern w:val="0"/>
                      <w:sz w:val="21"/>
                      <w:szCs w:val="21"/>
                      <w:highlight w:val="none"/>
                      <w:lang w:bidi="ar"/>
                    </w:rPr>
                  </w:pPr>
                  <w:r>
                    <w:rPr>
                      <w:rFonts w:hint="default"/>
                      <w:color w:val="000000"/>
                      <w:kern w:val="0"/>
                      <w:sz w:val="21"/>
                      <w:szCs w:val="21"/>
                      <w:highlight w:val="none"/>
                      <w:lang w:bidi="ar"/>
                    </w:rPr>
                    <w:t>2.76</w:t>
                  </w:r>
                </w:p>
              </w:tc>
              <w:tc>
                <w:tcPr>
                  <w:tcW w:w="762" w:type="pct"/>
                  <w:vAlign w:val="center"/>
                </w:tcPr>
                <w:p w14:paraId="1F21672B">
                  <w:pPr>
                    <w:keepNext w:val="0"/>
                    <w:keepLines w:val="0"/>
                    <w:suppressLineNumbers w:val="0"/>
                    <w:adjustRightInd w:val="0"/>
                    <w:snapToGrid w:val="0"/>
                    <w:spacing w:before="0" w:beforeAutospacing="0" w:after="0" w:afterAutospacing="0"/>
                    <w:ind w:left="0" w:right="0"/>
                    <w:jc w:val="center"/>
                    <w:textAlignment w:val="center"/>
                    <w:rPr>
                      <w:rFonts w:hint="default"/>
                      <w:color w:val="000000"/>
                      <w:kern w:val="0"/>
                      <w:sz w:val="21"/>
                      <w:szCs w:val="21"/>
                      <w:highlight w:val="none"/>
                      <w:lang w:bidi="ar"/>
                    </w:rPr>
                  </w:pPr>
                  <w:r>
                    <w:rPr>
                      <w:rFonts w:hint="default"/>
                      <w:color w:val="000000"/>
                      <w:kern w:val="0"/>
                      <w:sz w:val="21"/>
                      <w:szCs w:val="21"/>
                      <w:highlight w:val="none"/>
                      <w:lang w:bidi="ar"/>
                    </w:rPr>
                    <w:t>-</w:t>
                  </w:r>
                </w:p>
              </w:tc>
            </w:tr>
            <w:tr w14:paraId="7EE3A6D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956" w:type="pct"/>
                  <w:vAlign w:val="center"/>
                </w:tcPr>
                <w:p w14:paraId="466D7DC8">
                  <w:pPr>
                    <w:keepNext w:val="0"/>
                    <w:keepLines w:val="0"/>
                    <w:suppressLineNumbers w:val="0"/>
                    <w:adjustRightInd w:val="0"/>
                    <w:snapToGrid w:val="0"/>
                    <w:spacing w:before="0" w:beforeAutospacing="0" w:after="0" w:afterAutospacing="0"/>
                    <w:ind w:left="0" w:right="0"/>
                    <w:jc w:val="center"/>
                    <w:rPr>
                      <w:rFonts w:hint="default"/>
                      <w:color w:val="000000"/>
                      <w:sz w:val="21"/>
                      <w:szCs w:val="21"/>
                      <w:highlight w:val="none"/>
                    </w:rPr>
                  </w:pPr>
                  <w:r>
                    <w:rPr>
                      <w:rFonts w:hint="default"/>
                      <w:color w:val="000000"/>
                      <w:sz w:val="21"/>
                      <w:szCs w:val="21"/>
                      <w:highlight w:val="none"/>
                    </w:rPr>
                    <w:t>锌</w:t>
                  </w:r>
                </w:p>
              </w:tc>
              <w:tc>
                <w:tcPr>
                  <w:tcW w:w="584" w:type="pct"/>
                  <w:vAlign w:val="center"/>
                </w:tcPr>
                <w:p w14:paraId="2AE1358A">
                  <w:pPr>
                    <w:keepNext w:val="0"/>
                    <w:keepLines w:val="0"/>
                    <w:suppressLineNumbers w:val="0"/>
                    <w:adjustRightInd w:val="0"/>
                    <w:snapToGrid w:val="0"/>
                    <w:spacing w:before="0" w:beforeAutospacing="0" w:after="0" w:afterAutospacing="0"/>
                    <w:ind w:left="0" w:right="0"/>
                    <w:jc w:val="center"/>
                    <w:textAlignment w:val="center"/>
                    <w:rPr>
                      <w:rFonts w:hint="default"/>
                      <w:color w:val="000000"/>
                      <w:kern w:val="0"/>
                      <w:sz w:val="21"/>
                      <w:szCs w:val="21"/>
                      <w:highlight w:val="none"/>
                      <w:lang w:bidi="ar"/>
                    </w:rPr>
                  </w:pPr>
                  <w:r>
                    <w:rPr>
                      <w:rFonts w:hint="default"/>
                      <w:color w:val="000000"/>
                      <w:kern w:val="0"/>
                      <w:sz w:val="21"/>
                      <w:szCs w:val="21"/>
                      <w:highlight w:val="none"/>
                      <w:lang w:bidi="ar"/>
                    </w:rPr>
                    <w:t>mg/L</w:t>
                  </w:r>
                </w:p>
              </w:tc>
              <w:tc>
                <w:tcPr>
                  <w:tcW w:w="898" w:type="pct"/>
                  <w:vAlign w:val="center"/>
                </w:tcPr>
                <w:p w14:paraId="2D2BE933">
                  <w:pPr>
                    <w:keepNext w:val="0"/>
                    <w:keepLines w:val="0"/>
                    <w:suppressLineNumbers w:val="0"/>
                    <w:adjustRightInd w:val="0"/>
                    <w:snapToGrid w:val="0"/>
                    <w:spacing w:before="0" w:beforeAutospacing="0" w:after="0" w:afterAutospacing="0"/>
                    <w:ind w:left="0" w:right="0"/>
                    <w:jc w:val="center"/>
                    <w:textAlignment w:val="center"/>
                    <w:rPr>
                      <w:rFonts w:hint="default"/>
                      <w:color w:val="000000"/>
                      <w:kern w:val="0"/>
                      <w:sz w:val="21"/>
                      <w:szCs w:val="21"/>
                      <w:highlight w:val="none"/>
                      <w:lang w:bidi="ar"/>
                    </w:rPr>
                  </w:pPr>
                  <w:r>
                    <w:rPr>
                      <w:rFonts w:hint="default"/>
                      <w:color w:val="000000"/>
                      <w:kern w:val="0"/>
                      <w:sz w:val="21"/>
                      <w:szCs w:val="21"/>
                      <w:highlight w:val="none"/>
                      <w:lang w:bidi="ar"/>
                    </w:rPr>
                    <w:t>＜0.009</w:t>
                  </w:r>
                </w:p>
              </w:tc>
              <w:tc>
                <w:tcPr>
                  <w:tcW w:w="897" w:type="pct"/>
                  <w:vAlign w:val="center"/>
                </w:tcPr>
                <w:p w14:paraId="14B2BEB8">
                  <w:pPr>
                    <w:keepNext w:val="0"/>
                    <w:keepLines w:val="0"/>
                    <w:suppressLineNumbers w:val="0"/>
                    <w:adjustRightInd w:val="0"/>
                    <w:snapToGrid w:val="0"/>
                    <w:spacing w:before="0" w:beforeAutospacing="0" w:after="0" w:afterAutospacing="0"/>
                    <w:ind w:left="0" w:right="0"/>
                    <w:jc w:val="center"/>
                    <w:textAlignment w:val="center"/>
                    <w:rPr>
                      <w:rFonts w:hint="default"/>
                      <w:color w:val="000000"/>
                      <w:kern w:val="0"/>
                      <w:sz w:val="21"/>
                      <w:szCs w:val="21"/>
                      <w:highlight w:val="none"/>
                      <w:lang w:bidi="ar"/>
                    </w:rPr>
                  </w:pPr>
                  <w:r>
                    <w:rPr>
                      <w:rFonts w:hint="default"/>
                      <w:color w:val="000000"/>
                      <w:kern w:val="0"/>
                      <w:sz w:val="21"/>
                      <w:szCs w:val="21"/>
                      <w:highlight w:val="none"/>
                      <w:lang w:bidi="ar"/>
                    </w:rPr>
                    <w:t>＜0.009</w:t>
                  </w:r>
                </w:p>
              </w:tc>
              <w:tc>
                <w:tcPr>
                  <w:tcW w:w="900" w:type="pct"/>
                  <w:vAlign w:val="center"/>
                </w:tcPr>
                <w:p w14:paraId="3FC2C596">
                  <w:pPr>
                    <w:keepNext w:val="0"/>
                    <w:keepLines w:val="0"/>
                    <w:suppressLineNumbers w:val="0"/>
                    <w:adjustRightInd w:val="0"/>
                    <w:snapToGrid w:val="0"/>
                    <w:spacing w:before="0" w:beforeAutospacing="0" w:after="0" w:afterAutospacing="0"/>
                    <w:ind w:left="0" w:right="0"/>
                    <w:jc w:val="center"/>
                    <w:textAlignment w:val="center"/>
                    <w:rPr>
                      <w:rFonts w:hint="default"/>
                      <w:color w:val="000000"/>
                      <w:kern w:val="0"/>
                      <w:sz w:val="21"/>
                      <w:szCs w:val="21"/>
                      <w:highlight w:val="none"/>
                      <w:lang w:bidi="ar"/>
                    </w:rPr>
                  </w:pPr>
                  <w:r>
                    <w:rPr>
                      <w:rFonts w:hint="default"/>
                      <w:color w:val="000000"/>
                      <w:kern w:val="0"/>
                      <w:sz w:val="21"/>
                      <w:szCs w:val="21"/>
                      <w:highlight w:val="none"/>
                      <w:lang w:bidi="ar"/>
                    </w:rPr>
                    <w:t>＜0.009</w:t>
                  </w:r>
                </w:p>
              </w:tc>
              <w:tc>
                <w:tcPr>
                  <w:tcW w:w="762" w:type="pct"/>
                  <w:vAlign w:val="center"/>
                </w:tcPr>
                <w:p w14:paraId="1D0214C1">
                  <w:pPr>
                    <w:keepNext w:val="0"/>
                    <w:keepLines w:val="0"/>
                    <w:suppressLineNumbers w:val="0"/>
                    <w:adjustRightInd w:val="0"/>
                    <w:snapToGrid w:val="0"/>
                    <w:spacing w:before="0" w:beforeAutospacing="0" w:after="0" w:afterAutospacing="0"/>
                    <w:ind w:left="0" w:right="0"/>
                    <w:jc w:val="center"/>
                    <w:textAlignment w:val="center"/>
                    <w:rPr>
                      <w:rFonts w:hint="default"/>
                      <w:color w:val="000000"/>
                      <w:kern w:val="0"/>
                      <w:sz w:val="21"/>
                      <w:szCs w:val="21"/>
                      <w:highlight w:val="none"/>
                      <w:lang w:bidi="ar"/>
                    </w:rPr>
                  </w:pPr>
                  <w:r>
                    <w:rPr>
                      <w:rFonts w:hint="default"/>
                      <w:color w:val="000000"/>
                      <w:kern w:val="0"/>
                      <w:sz w:val="21"/>
                      <w:szCs w:val="21"/>
                      <w:highlight w:val="none"/>
                      <w:lang w:bidi="ar"/>
                    </w:rPr>
                    <w:t>1.0</w:t>
                  </w:r>
                </w:p>
              </w:tc>
            </w:tr>
            <w:tr w14:paraId="59D2984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956" w:type="pct"/>
                  <w:vAlign w:val="center"/>
                </w:tcPr>
                <w:p w14:paraId="7F68BF84">
                  <w:pPr>
                    <w:keepNext w:val="0"/>
                    <w:keepLines w:val="0"/>
                    <w:suppressLineNumbers w:val="0"/>
                    <w:adjustRightInd w:val="0"/>
                    <w:snapToGrid w:val="0"/>
                    <w:spacing w:before="0" w:beforeAutospacing="0" w:after="0" w:afterAutospacing="0"/>
                    <w:ind w:left="0" w:right="0"/>
                    <w:jc w:val="center"/>
                    <w:rPr>
                      <w:rFonts w:hint="default"/>
                      <w:color w:val="000000"/>
                      <w:sz w:val="21"/>
                      <w:szCs w:val="21"/>
                      <w:highlight w:val="none"/>
                    </w:rPr>
                  </w:pPr>
                  <w:r>
                    <w:rPr>
                      <w:rFonts w:hint="default"/>
                      <w:color w:val="000000"/>
                      <w:sz w:val="21"/>
                      <w:szCs w:val="21"/>
                      <w:highlight w:val="none"/>
                    </w:rPr>
                    <w:t>石油类</w:t>
                  </w:r>
                </w:p>
              </w:tc>
              <w:tc>
                <w:tcPr>
                  <w:tcW w:w="584" w:type="pct"/>
                  <w:vAlign w:val="center"/>
                </w:tcPr>
                <w:p w14:paraId="1CAF3F7E">
                  <w:pPr>
                    <w:keepNext w:val="0"/>
                    <w:keepLines w:val="0"/>
                    <w:suppressLineNumbers w:val="0"/>
                    <w:adjustRightInd w:val="0"/>
                    <w:snapToGrid w:val="0"/>
                    <w:spacing w:before="0" w:beforeAutospacing="0" w:after="0" w:afterAutospacing="0"/>
                    <w:ind w:left="0" w:right="0"/>
                    <w:jc w:val="center"/>
                    <w:textAlignment w:val="center"/>
                    <w:rPr>
                      <w:rFonts w:hint="default"/>
                      <w:color w:val="000000"/>
                      <w:kern w:val="0"/>
                      <w:sz w:val="21"/>
                      <w:szCs w:val="21"/>
                      <w:highlight w:val="none"/>
                      <w:lang w:bidi="ar"/>
                    </w:rPr>
                  </w:pPr>
                  <w:r>
                    <w:rPr>
                      <w:rFonts w:hint="default"/>
                      <w:color w:val="000000"/>
                      <w:kern w:val="0"/>
                      <w:sz w:val="21"/>
                      <w:szCs w:val="21"/>
                      <w:highlight w:val="none"/>
                      <w:lang w:bidi="ar"/>
                    </w:rPr>
                    <w:t>mg/L</w:t>
                  </w:r>
                </w:p>
              </w:tc>
              <w:tc>
                <w:tcPr>
                  <w:tcW w:w="898" w:type="pct"/>
                  <w:vAlign w:val="center"/>
                </w:tcPr>
                <w:p w14:paraId="717BDF6D">
                  <w:pPr>
                    <w:keepNext w:val="0"/>
                    <w:keepLines w:val="0"/>
                    <w:suppressLineNumbers w:val="0"/>
                    <w:adjustRightInd w:val="0"/>
                    <w:snapToGrid w:val="0"/>
                    <w:spacing w:before="0" w:beforeAutospacing="0" w:after="0" w:afterAutospacing="0"/>
                    <w:ind w:left="0" w:right="0"/>
                    <w:jc w:val="center"/>
                    <w:textAlignment w:val="center"/>
                    <w:rPr>
                      <w:rFonts w:hint="default"/>
                      <w:color w:val="000000"/>
                      <w:kern w:val="0"/>
                      <w:sz w:val="21"/>
                      <w:szCs w:val="21"/>
                      <w:highlight w:val="none"/>
                      <w:lang w:bidi="ar"/>
                    </w:rPr>
                  </w:pPr>
                  <w:r>
                    <w:rPr>
                      <w:rFonts w:hint="default"/>
                      <w:color w:val="000000"/>
                      <w:kern w:val="0"/>
                      <w:sz w:val="21"/>
                      <w:szCs w:val="21"/>
                      <w:highlight w:val="none"/>
                      <w:lang w:bidi="ar"/>
                    </w:rPr>
                    <w:t>＜0.01</w:t>
                  </w:r>
                </w:p>
              </w:tc>
              <w:tc>
                <w:tcPr>
                  <w:tcW w:w="897" w:type="pct"/>
                  <w:vAlign w:val="center"/>
                </w:tcPr>
                <w:p w14:paraId="48D5C851">
                  <w:pPr>
                    <w:keepNext w:val="0"/>
                    <w:keepLines w:val="0"/>
                    <w:suppressLineNumbers w:val="0"/>
                    <w:adjustRightInd w:val="0"/>
                    <w:snapToGrid w:val="0"/>
                    <w:spacing w:before="0" w:beforeAutospacing="0" w:after="0" w:afterAutospacing="0"/>
                    <w:ind w:left="0" w:right="0"/>
                    <w:jc w:val="center"/>
                    <w:textAlignment w:val="center"/>
                    <w:rPr>
                      <w:rFonts w:hint="default"/>
                      <w:color w:val="000000"/>
                      <w:kern w:val="0"/>
                      <w:sz w:val="21"/>
                      <w:szCs w:val="21"/>
                      <w:highlight w:val="none"/>
                      <w:lang w:bidi="ar"/>
                    </w:rPr>
                  </w:pPr>
                  <w:r>
                    <w:rPr>
                      <w:rFonts w:hint="default"/>
                      <w:color w:val="000000"/>
                      <w:kern w:val="0"/>
                      <w:sz w:val="21"/>
                      <w:szCs w:val="21"/>
                      <w:highlight w:val="none"/>
                      <w:lang w:bidi="ar"/>
                    </w:rPr>
                    <w:t>＜0.01</w:t>
                  </w:r>
                </w:p>
              </w:tc>
              <w:tc>
                <w:tcPr>
                  <w:tcW w:w="900" w:type="pct"/>
                  <w:vAlign w:val="center"/>
                </w:tcPr>
                <w:p w14:paraId="49637D8C">
                  <w:pPr>
                    <w:keepNext w:val="0"/>
                    <w:keepLines w:val="0"/>
                    <w:suppressLineNumbers w:val="0"/>
                    <w:adjustRightInd w:val="0"/>
                    <w:snapToGrid w:val="0"/>
                    <w:spacing w:before="0" w:beforeAutospacing="0" w:after="0" w:afterAutospacing="0"/>
                    <w:ind w:left="0" w:right="0"/>
                    <w:jc w:val="center"/>
                    <w:textAlignment w:val="center"/>
                    <w:rPr>
                      <w:rFonts w:hint="default"/>
                      <w:color w:val="000000"/>
                      <w:kern w:val="0"/>
                      <w:sz w:val="21"/>
                      <w:szCs w:val="21"/>
                      <w:highlight w:val="none"/>
                      <w:lang w:bidi="ar"/>
                    </w:rPr>
                  </w:pPr>
                  <w:r>
                    <w:rPr>
                      <w:rFonts w:hint="default"/>
                      <w:color w:val="000000"/>
                      <w:kern w:val="0"/>
                      <w:sz w:val="21"/>
                      <w:szCs w:val="21"/>
                      <w:highlight w:val="none"/>
                      <w:lang w:bidi="ar"/>
                    </w:rPr>
                    <w:t>＜0.01</w:t>
                  </w:r>
                </w:p>
              </w:tc>
              <w:tc>
                <w:tcPr>
                  <w:tcW w:w="762" w:type="pct"/>
                  <w:vAlign w:val="center"/>
                </w:tcPr>
                <w:p w14:paraId="15D281AA">
                  <w:pPr>
                    <w:keepNext w:val="0"/>
                    <w:keepLines w:val="0"/>
                    <w:suppressLineNumbers w:val="0"/>
                    <w:adjustRightInd w:val="0"/>
                    <w:snapToGrid w:val="0"/>
                    <w:spacing w:before="0" w:beforeAutospacing="0" w:after="0" w:afterAutospacing="0"/>
                    <w:ind w:left="0" w:right="0"/>
                    <w:jc w:val="center"/>
                    <w:textAlignment w:val="center"/>
                    <w:rPr>
                      <w:rFonts w:hint="default"/>
                      <w:color w:val="000000"/>
                      <w:kern w:val="0"/>
                      <w:sz w:val="21"/>
                      <w:szCs w:val="21"/>
                      <w:highlight w:val="none"/>
                      <w:lang w:bidi="ar"/>
                    </w:rPr>
                  </w:pPr>
                  <w:r>
                    <w:rPr>
                      <w:rFonts w:hint="default"/>
                      <w:color w:val="000000"/>
                      <w:kern w:val="0"/>
                      <w:sz w:val="21"/>
                      <w:szCs w:val="21"/>
                      <w:highlight w:val="none"/>
                      <w:lang w:bidi="ar"/>
                    </w:rPr>
                    <w:t>0.05</w:t>
                  </w:r>
                </w:p>
              </w:tc>
            </w:tr>
            <w:tr w14:paraId="001133A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956" w:type="pct"/>
                  <w:vAlign w:val="center"/>
                </w:tcPr>
                <w:p w14:paraId="094BAC7C">
                  <w:pPr>
                    <w:keepNext w:val="0"/>
                    <w:keepLines w:val="0"/>
                    <w:suppressLineNumbers w:val="0"/>
                    <w:adjustRightInd w:val="0"/>
                    <w:snapToGrid w:val="0"/>
                    <w:spacing w:before="0" w:beforeAutospacing="0" w:after="0" w:afterAutospacing="0"/>
                    <w:ind w:left="0" w:right="0"/>
                    <w:jc w:val="center"/>
                    <w:rPr>
                      <w:rFonts w:hint="default"/>
                      <w:color w:val="000000"/>
                      <w:sz w:val="21"/>
                      <w:szCs w:val="21"/>
                      <w:highlight w:val="none"/>
                    </w:rPr>
                  </w:pPr>
                  <w:r>
                    <w:rPr>
                      <w:rFonts w:hint="default"/>
                      <w:color w:val="000000"/>
                      <w:sz w:val="21"/>
                      <w:szCs w:val="21"/>
                      <w:highlight w:val="none"/>
                    </w:rPr>
                    <w:t>粪大肠菌群</w:t>
                  </w:r>
                </w:p>
              </w:tc>
              <w:tc>
                <w:tcPr>
                  <w:tcW w:w="584" w:type="pct"/>
                  <w:vAlign w:val="center"/>
                </w:tcPr>
                <w:p w14:paraId="5687D030">
                  <w:pPr>
                    <w:keepNext w:val="0"/>
                    <w:keepLines w:val="0"/>
                    <w:suppressLineNumbers w:val="0"/>
                    <w:adjustRightInd w:val="0"/>
                    <w:snapToGrid w:val="0"/>
                    <w:spacing w:before="0" w:beforeAutospacing="0" w:after="0" w:afterAutospacing="0"/>
                    <w:ind w:left="0" w:right="0"/>
                    <w:jc w:val="center"/>
                    <w:textAlignment w:val="center"/>
                    <w:rPr>
                      <w:rFonts w:hint="default"/>
                      <w:color w:val="000000"/>
                      <w:kern w:val="0"/>
                      <w:sz w:val="21"/>
                      <w:szCs w:val="21"/>
                      <w:highlight w:val="none"/>
                      <w:lang w:bidi="ar"/>
                    </w:rPr>
                  </w:pPr>
                  <w:r>
                    <w:rPr>
                      <w:rFonts w:hint="default"/>
                      <w:color w:val="000000"/>
                      <w:kern w:val="0"/>
                      <w:sz w:val="21"/>
                      <w:szCs w:val="21"/>
                      <w:highlight w:val="none"/>
                      <w:lang w:bidi="ar"/>
                    </w:rPr>
                    <w:t>个/L</w:t>
                  </w:r>
                </w:p>
              </w:tc>
              <w:tc>
                <w:tcPr>
                  <w:tcW w:w="898" w:type="pct"/>
                  <w:vAlign w:val="center"/>
                </w:tcPr>
                <w:p w14:paraId="0E8C0407">
                  <w:pPr>
                    <w:keepNext w:val="0"/>
                    <w:keepLines w:val="0"/>
                    <w:suppressLineNumbers w:val="0"/>
                    <w:adjustRightInd w:val="0"/>
                    <w:snapToGrid w:val="0"/>
                    <w:spacing w:before="0" w:beforeAutospacing="0" w:after="0" w:afterAutospacing="0"/>
                    <w:ind w:left="0" w:right="0"/>
                    <w:jc w:val="center"/>
                    <w:textAlignment w:val="center"/>
                    <w:rPr>
                      <w:rFonts w:hint="default"/>
                      <w:color w:val="000000"/>
                      <w:kern w:val="0"/>
                      <w:sz w:val="21"/>
                      <w:szCs w:val="21"/>
                      <w:highlight w:val="none"/>
                      <w:lang w:bidi="ar"/>
                    </w:rPr>
                  </w:pPr>
                  <w:r>
                    <w:rPr>
                      <w:rFonts w:hint="default"/>
                      <w:color w:val="000000"/>
                      <w:kern w:val="0"/>
                      <w:sz w:val="21"/>
                      <w:szCs w:val="21"/>
                      <w:highlight w:val="none"/>
                      <w:lang w:bidi="ar"/>
                    </w:rPr>
                    <w:t>6.4×10</w:t>
                  </w:r>
                  <w:r>
                    <w:rPr>
                      <w:rFonts w:hint="default"/>
                      <w:color w:val="000000"/>
                      <w:kern w:val="0"/>
                      <w:sz w:val="21"/>
                      <w:szCs w:val="21"/>
                      <w:highlight w:val="none"/>
                      <w:vertAlign w:val="superscript"/>
                      <w:lang w:bidi="ar"/>
                    </w:rPr>
                    <w:t>2</w:t>
                  </w:r>
                </w:p>
              </w:tc>
              <w:tc>
                <w:tcPr>
                  <w:tcW w:w="897" w:type="pct"/>
                  <w:vAlign w:val="center"/>
                </w:tcPr>
                <w:p w14:paraId="6D5EEB3A">
                  <w:pPr>
                    <w:keepNext w:val="0"/>
                    <w:keepLines w:val="0"/>
                    <w:suppressLineNumbers w:val="0"/>
                    <w:adjustRightInd w:val="0"/>
                    <w:snapToGrid w:val="0"/>
                    <w:spacing w:before="0" w:beforeAutospacing="0" w:after="0" w:afterAutospacing="0"/>
                    <w:ind w:left="0" w:right="0"/>
                    <w:jc w:val="center"/>
                    <w:textAlignment w:val="center"/>
                    <w:rPr>
                      <w:rFonts w:hint="default"/>
                      <w:color w:val="000000"/>
                      <w:kern w:val="0"/>
                      <w:sz w:val="21"/>
                      <w:szCs w:val="21"/>
                      <w:highlight w:val="none"/>
                      <w:lang w:bidi="ar"/>
                    </w:rPr>
                  </w:pPr>
                  <w:r>
                    <w:rPr>
                      <w:rFonts w:hint="default"/>
                      <w:color w:val="000000"/>
                      <w:kern w:val="0"/>
                      <w:sz w:val="21"/>
                      <w:szCs w:val="21"/>
                      <w:highlight w:val="none"/>
                      <w:lang w:bidi="ar"/>
                    </w:rPr>
                    <w:t>8.2×10</w:t>
                  </w:r>
                  <w:r>
                    <w:rPr>
                      <w:rFonts w:hint="default"/>
                      <w:color w:val="000000"/>
                      <w:kern w:val="0"/>
                      <w:sz w:val="21"/>
                      <w:szCs w:val="21"/>
                      <w:highlight w:val="none"/>
                      <w:vertAlign w:val="superscript"/>
                      <w:lang w:bidi="ar"/>
                    </w:rPr>
                    <w:t>2</w:t>
                  </w:r>
                </w:p>
              </w:tc>
              <w:tc>
                <w:tcPr>
                  <w:tcW w:w="900" w:type="pct"/>
                  <w:vAlign w:val="center"/>
                </w:tcPr>
                <w:p w14:paraId="1F085BB3">
                  <w:pPr>
                    <w:keepNext w:val="0"/>
                    <w:keepLines w:val="0"/>
                    <w:suppressLineNumbers w:val="0"/>
                    <w:adjustRightInd w:val="0"/>
                    <w:snapToGrid w:val="0"/>
                    <w:spacing w:before="0" w:beforeAutospacing="0" w:after="0" w:afterAutospacing="0"/>
                    <w:ind w:left="0" w:right="0"/>
                    <w:jc w:val="center"/>
                    <w:textAlignment w:val="center"/>
                    <w:rPr>
                      <w:rFonts w:hint="default"/>
                      <w:color w:val="000000"/>
                      <w:kern w:val="0"/>
                      <w:sz w:val="21"/>
                      <w:szCs w:val="21"/>
                      <w:highlight w:val="none"/>
                      <w:lang w:bidi="ar"/>
                    </w:rPr>
                  </w:pPr>
                  <w:r>
                    <w:rPr>
                      <w:rFonts w:hint="default"/>
                      <w:color w:val="000000"/>
                      <w:kern w:val="0"/>
                      <w:sz w:val="21"/>
                      <w:szCs w:val="21"/>
                      <w:highlight w:val="none"/>
                      <w:lang w:bidi="ar"/>
                    </w:rPr>
                    <w:t>6.0×10</w:t>
                  </w:r>
                  <w:r>
                    <w:rPr>
                      <w:rFonts w:hint="default"/>
                      <w:color w:val="000000"/>
                      <w:kern w:val="0"/>
                      <w:sz w:val="21"/>
                      <w:szCs w:val="21"/>
                      <w:highlight w:val="none"/>
                      <w:vertAlign w:val="superscript"/>
                      <w:lang w:bidi="ar"/>
                    </w:rPr>
                    <w:t>2</w:t>
                  </w:r>
                </w:p>
              </w:tc>
              <w:tc>
                <w:tcPr>
                  <w:tcW w:w="762" w:type="pct"/>
                  <w:vAlign w:val="center"/>
                </w:tcPr>
                <w:p w14:paraId="2F86B1FD">
                  <w:pPr>
                    <w:keepNext w:val="0"/>
                    <w:keepLines w:val="0"/>
                    <w:suppressLineNumbers w:val="0"/>
                    <w:adjustRightInd w:val="0"/>
                    <w:snapToGrid w:val="0"/>
                    <w:spacing w:before="0" w:beforeAutospacing="0" w:after="0" w:afterAutospacing="0"/>
                    <w:ind w:left="0" w:right="0"/>
                    <w:jc w:val="center"/>
                    <w:textAlignment w:val="center"/>
                    <w:rPr>
                      <w:rFonts w:hint="default"/>
                      <w:color w:val="000000"/>
                      <w:kern w:val="0"/>
                      <w:sz w:val="21"/>
                      <w:szCs w:val="21"/>
                      <w:highlight w:val="none"/>
                      <w:lang w:bidi="ar"/>
                    </w:rPr>
                  </w:pPr>
                  <w:r>
                    <w:rPr>
                      <w:rFonts w:hint="default"/>
                      <w:color w:val="000000"/>
                      <w:kern w:val="0"/>
                      <w:sz w:val="21"/>
                      <w:szCs w:val="21"/>
                      <w:highlight w:val="none"/>
                      <w:lang w:bidi="ar"/>
                    </w:rPr>
                    <w:t>10000</w:t>
                  </w:r>
                </w:p>
              </w:tc>
            </w:tr>
            <w:tr w14:paraId="4B7E38A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956" w:type="pct"/>
                  <w:vAlign w:val="center"/>
                </w:tcPr>
                <w:p w14:paraId="1F958220">
                  <w:pPr>
                    <w:keepNext w:val="0"/>
                    <w:keepLines w:val="0"/>
                    <w:suppressLineNumbers w:val="0"/>
                    <w:adjustRightInd w:val="0"/>
                    <w:snapToGrid w:val="0"/>
                    <w:spacing w:before="0" w:beforeAutospacing="0" w:after="0" w:afterAutospacing="0"/>
                    <w:ind w:left="0" w:right="0"/>
                    <w:jc w:val="center"/>
                    <w:rPr>
                      <w:rFonts w:hint="default"/>
                      <w:color w:val="000000"/>
                      <w:sz w:val="21"/>
                      <w:szCs w:val="21"/>
                      <w:highlight w:val="none"/>
                    </w:rPr>
                  </w:pPr>
                  <w:r>
                    <w:rPr>
                      <w:rFonts w:hint="default"/>
                      <w:color w:val="000000"/>
                      <w:sz w:val="21"/>
                      <w:szCs w:val="21"/>
                      <w:highlight w:val="none"/>
                    </w:rPr>
                    <w:t>溶解氧</w:t>
                  </w:r>
                </w:p>
              </w:tc>
              <w:tc>
                <w:tcPr>
                  <w:tcW w:w="584" w:type="pct"/>
                  <w:vAlign w:val="center"/>
                </w:tcPr>
                <w:p w14:paraId="46BD1076">
                  <w:pPr>
                    <w:keepNext w:val="0"/>
                    <w:keepLines w:val="0"/>
                    <w:suppressLineNumbers w:val="0"/>
                    <w:adjustRightInd w:val="0"/>
                    <w:snapToGrid w:val="0"/>
                    <w:spacing w:before="0" w:beforeAutospacing="0" w:after="0" w:afterAutospacing="0"/>
                    <w:ind w:left="0" w:right="0"/>
                    <w:jc w:val="center"/>
                    <w:textAlignment w:val="center"/>
                    <w:rPr>
                      <w:rFonts w:hint="default"/>
                      <w:color w:val="000000"/>
                      <w:kern w:val="0"/>
                      <w:sz w:val="21"/>
                      <w:szCs w:val="21"/>
                      <w:highlight w:val="none"/>
                      <w:lang w:bidi="ar"/>
                    </w:rPr>
                  </w:pPr>
                  <w:r>
                    <w:rPr>
                      <w:rFonts w:hint="default"/>
                      <w:color w:val="000000"/>
                      <w:kern w:val="0"/>
                      <w:sz w:val="21"/>
                      <w:szCs w:val="21"/>
                      <w:highlight w:val="none"/>
                      <w:lang w:bidi="ar"/>
                    </w:rPr>
                    <w:t>mg/L</w:t>
                  </w:r>
                </w:p>
              </w:tc>
              <w:tc>
                <w:tcPr>
                  <w:tcW w:w="898" w:type="pct"/>
                  <w:vAlign w:val="center"/>
                </w:tcPr>
                <w:p w14:paraId="03745626">
                  <w:pPr>
                    <w:keepNext w:val="0"/>
                    <w:keepLines w:val="0"/>
                    <w:suppressLineNumbers w:val="0"/>
                    <w:adjustRightInd w:val="0"/>
                    <w:snapToGrid w:val="0"/>
                    <w:spacing w:before="0" w:beforeAutospacing="0" w:after="0" w:afterAutospacing="0"/>
                    <w:ind w:left="0" w:right="0"/>
                    <w:jc w:val="center"/>
                    <w:textAlignment w:val="center"/>
                    <w:rPr>
                      <w:rFonts w:hint="default"/>
                      <w:color w:val="000000"/>
                      <w:kern w:val="0"/>
                      <w:sz w:val="21"/>
                      <w:szCs w:val="21"/>
                      <w:highlight w:val="none"/>
                      <w:lang w:bidi="ar"/>
                    </w:rPr>
                  </w:pPr>
                  <w:r>
                    <w:rPr>
                      <w:rFonts w:hint="default"/>
                      <w:color w:val="000000"/>
                      <w:kern w:val="0"/>
                      <w:sz w:val="21"/>
                      <w:szCs w:val="21"/>
                      <w:highlight w:val="none"/>
                      <w:lang w:bidi="ar"/>
                    </w:rPr>
                    <w:t>7.8</w:t>
                  </w:r>
                </w:p>
              </w:tc>
              <w:tc>
                <w:tcPr>
                  <w:tcW w:w="897" w:type="pct"/>
                  <w:vAlign w:val="center"/>
                </w:tcPr>
                <w:p w14:paraId="630C2D18">
                  <w:pPr>
                    <w:keepNext w:val="0"/>
                    <w:keepLines w:val="0"/>
                    <w:suppressLineNumbers w:val="0"/>
                    <w:adjustRightInd w:val="0"/>
                    <w:snapToGrid w:val="0"/>
                    <w:spacing w:before="0" w:beforeAutospacing="0" w:after="0" w:afterAutospacing="0"/>
                    <w:ind w:left="0" w:right="0"/>
                    <w:jc w:val="center"/>
                    <w:textAlignment w:val="center"/>
                    <w:rPr>
                      <w:rFonts w:hint="default"/>
                      <w:color w:val="000000"/>
                      <w:kern w:val="0"/>
                      <w:sz w:val="21"/>
                      <w:szCs w:val="21"/>
                      <w:highlight w:val="none"/>
                      <w:lang w:bidi="ar"/>
                    </w:rPr>
                  </w:pPr>
                  <w:r>
                    <w:rPr>
                      <w:rFonts w:hint="default"/>
                      <w:color w:val="000000"/>
                      <w:kern w:val="0"/>
                      <w:sz w:val="21"/>
                      <w:szCs w:val="21"/>
                      <w:highlight w:val="none"/>
                      <w:lang w:bidi="ar"/>
                    </w:rPr>
                    <w:t>8.0</w:t>
                  </w:r>
                </w:p>
              </w:tc>
              <w:tc>
                <w:tcPr>
                  <w:tcW w:w="900" w:type="pct"/>
                  <w:vAlign w:val="center"/>
                </w:tcPr>
                <w:p w14:paraId="181B3D59">
                  <w:pPr>
                    <w:keepNext w:val="0"/>
                    <w:keepLines w:val="0"/>
                    <w:suppressLineNumbers w:val="0"/>
                    <w:adjustRightInd w:val="0"/>
                    <w:snapToGrid w:val="0"/>
                    <w:spacing w:before="0" w:beforeAutospacing="0" w:after="0" w:afterAutospacing="0"/>
                    <w:ind w:left="0" w:right="0"/>
                    <w:jc w:val="center"/>
                    <w:textAlignment w:val="center"/>
                    <w:rPr>
                      <w:rFonts w:hint="default"/>
                      <w:color w:val="000000"/>
                      <w:kern w:val="0"/>
                      <w:sz w:val="21"/>
                      <w:szCs w:val="21"/>
                      <w:highlight w:val="none"/>
                      <w:lang w:bidi="ar"/>
                    </w:rPr>
                  </w:pPr>
                  <w:r>
                    <w:rPr>
                      <w:rFonts w:hint="default"/>
                      <w:color w:val="000000"/>
                      <w:kern w:val="0"/>
                      <w:sz w:val="21"/>
                      <w:szCs w:val="21"/>
                      <w:highlight w:val="none"/>
                      <w:lang w:bidi="ar"/>
                    </w:rPr>
                    <w:t>8.1</w:t>
                  </w:r>
                </w:p>
              </w:tc>
              <w:tc>
                <w:tcPr>
                  <w:tcW w:w="762" w:type="pct"/>
                  <w:vAlign w:val="center"/>
                </w:tcPr>
                <w:p w14:paraId="71BDEF03">
                  <w:pPr>
                    <w:keepNext w:val="0"/>
                    <w:keepLines w:val="0"/>
                    <w:suppressLineNumbers w:val="0"/>
                    <w:adjustRightInd w:val="0"/>
                    <w:snapToGrid w:val="0"/>
                    <w:spacing w:before="0" w:beforeAutospacing="0" w:after="0" w:afterAutospacing="0"/>
                    <w:ind w:left="0" w:right="0"/>
                    <w:jc w:val="center"/>
                    <w:textAlignment w:val="center"/>
                    <w:rPr>
                      <w:rFonts w:hint="default"/>
                      <w:color w:val="000000"/>
                      <w:kern w:val="0"/>
                      <w:sz w:val="21"/>
                      <w:szCs w:val="21"/>
                      <w:highlight w:val="none"/>
                      <w:lang w:bidi="ar"/>
                    </w:rPr>
                  </w:pPr>
                  <w:r>
                    <w:rPr>
                      <w:rFonts w:hint="default"/>
                      <w:color w:val="000000"/>
                      <w:kern w:val="0"/>
                      <w:sz w:val="21"/>
                      <w:szCs w:val="21"/>
                      <w:highlight w:val="none"/>
                      <w:lang w:bidi="ar"/>
                    </w:rPr>
                    <w:t>≥5</w:t>
                  </w:r>
                </w:p>
              </w:tc>
            </w:tr>
            <w:tr w14:paraId="3B4AAA3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956" w:type="pct"/>
                  <w:vAlign w:val="center"/>
                </w:tcPr>
                <w:p w14:paraId="7065DBDE">
                  <w:pPr>
                    <w:keepNext w:val="0"/>
                    <w:keepLines w:val="0"/>
                    <w:suppressLineNumbers w:val="0"/>
                    <w:adjustRightInd w:val="0"/>
                    <w:snapToGrid w:val="0"/>
                    <w:spacing w:before="0" w:beforeAutospacing="0" w:after="0" w:afterAutospacing="0"/>
                    <w:ind w:left="0" w:right="0"/>
                    <w:jc w:val="center"/>
                    <w:rPr>
                      <w:rFonts w:hint="default"/>
                      <w:color w:val="000000"/>
                      <w:sz w:val="21"/>
                      <w:szCs w:val="21"/>
                      <w:highlight w:val="none"/>
                    </w:rPr>
                  </w:pPr>
                  <w:r>
                    <w:rPr>
                      <w:rFonts w:hint="default"/>
                      <w:color w:val="000000"/>
                      <w:sz w:val="21"/>
                      <w:szCs w:val="21"/>
                      <w:highlight w:val="none"/>
                    </w:rPr>
                    <w:t>总磷</w:t>
                  </w:r>
                </w:p>
              </w:tc>
              <w:tc>
                <w:tcPr>
                  <w:tcW w:w="584" w:type="pct"/>
                  <w:vAlign w:val="center"/>
                </w:tcPr>
                <w:p w14:paraId="09D8E461">
                  <w:pPr>
                    <w:keepNext w:val="0"/>
                    <w:keepLines w:val="0"/>
                    <w:suppressLineNumbers w:val="0"/>
                    <w:adjustRightInd w:val="0"/>
                    <w:snapToGrid w:val="0"/>
                    <w:spacing w:before="0" w:beforeAutospacing="0" w:after="0" w:afterAutospacing="0"/>
                    <w:ind w:left="0" w:right="0"/>
                    <w:jc w:val="center"/>
                    <w:textAlignment w:val="center"/>
                    <w:rPr>
                      <w:rFonts w:hint="default"/>
                      <w:color w:val="000000"/>
                      <w:kern w:val="0"/>
                      <w:sz w:val="21"/>
                      <w:szCs w:val="21"/>
                      <w:highlight w:val="none"/>
                      <w:lang w:bidi="ar"/>
                    </w:rPr>
                  </w:pPr>
                  <w:r>
                    <w:rPr>
                      <w:rFonts w:hint="default"/>
                      <w:color w:val="000000"/>
                      <w:kern w:val="0"/>
                      <w:sz w:val="21"/>
                      <w:szCs w:val="21"/>
                      <w:highlight w:val="none"/>
                      <w:lang w:bidi="ar"/>
                    </w:rPr>
                    <w:t>mg/L</w:t>
                  </w:r>
                </w:p>
              </w:tc>
              <w:tc>
                <w:tcPr>
                  <w:tcW w:w="898" w:type="pct"/>
                  <w:vAlign w:val="center"/>
                </w:tcPr>
                <w:p w14:paraId="0803B731">
                  <w:pPr>
                    <w:keepNext w:val="0"/>
                    <w:keepLines w:val="0"/>
                    <w:suppressLineNumbers w:val="0"/>
                    <w:adjustRightInd w:val="0"/>
                    <w:snapToGrid w:val="0"/>
                    <w:spacing w:before="0" w:beforeAutospacing="0" w:after="0" w:afterAutospacing="0"/>
                    <w:ind w:left="0" w:right="0"/>
                    <w:jc w:val="center"/>
                    <w:textAlignment w:val="center"/>
                    <w:rPr>
                      <w:rFonts w:hint="default"/>
                      <w:color w:val="000000"/>
                      <w:kern w:val="0"/>
                      <w:sz w:val="21"/>
                      <w:szCs w:val="21"/>
                      <w:highlight w:val="none"/>
                      <w:lang w:bidi="ar"/>
                    </w:rPr>
                  </w:pPr>
                  <w:r>
                    <w:rPr>
                      <w:rFonts w:hint="default"/>
                      <w:color w:val="000000"/>
                      <w:kern w:val="0"/>
                      <w:sz w:val="21"/>
                      <w:szCs w:val="21"/>
                      <w:highlight w:val="none"/>
                      <w:lang w:bidi="ar"/>
                    </w:rPr>
                    <w:t>＜0.01</w:t>
                  </w:r>
                </w:p>
              </w:tc>
              <w:tc>
                <w:tcPr>
                  <w:tcW w:w="897" w:type="pct"/>
                  <w:vAlign w:val="center"/>
                </w:tcPr>
                <w:p w14:paraId="15BA5AF2">
                  <w:pPr>
                    <w:keepNext w:val="0"/>
                    <w:keepLines w:val="0"/>
                    <w:suppressLineNumbers w:val="0"/>
                    <w:adjustRightInd w:val="0"/>
                    <w:snapToGrid w:val="0"/>
                    <w:spacing w:before="0" w:beforeAutospacing="0" w:after="0" w:afterAutospacing="0"/>
                    <w:ind w:left="0" w:right="0"/>
                    <w:jc w:val="center"/>
                    <w:textAlignment w:val="center"/>
                    <w:rPr>
                      <w:rFonts w:hint="default"/>
                      <w:color w:val="000000"/>
                      <w:kern w:val="0"/>
                      <w:sz w:val="21"/>
                      <w:szCs w:val="21"/>
                      <w:highlight w:val="none"/>
                      <w:lang w:bidi="ar"/>
                    </w:rPr>
                  </w:pPr>
                  <w:r>
                    <w:rPr>
                      <w:rFonts w:hint="default"/>
                      <w:color w:val="000000"/>
                      <w:kern w:val="0"/>
                      <w:sz w:val="21"/>
                      <w:szCs w:val="21"/>
                      <w:highlight w:val="none"/>
                      <w:lang w:bidi="ar"/>
                    </w:rPr>
                    <w:t>＜0.01</w:t>
                  </w:r>
                </w:p>
              </w:tc>
              <w:tc>
                <w:tcPr>
                  <w:tcW w:w="900" w:type="pct"/>
                  <w:vAlign w:val="center"/>
                </w:tcPr>
                <w:p w14:paraId="15E9003C">
                  <w:pPr>
                    <w:keepNext w:val="0"/>
                    <w:keepLines w:val="0"/>
                    <w:suppressLineNumbers w:val="0"/>
                    <w:adjustRightInd w:val="0"/>
                    <w:snapToGrid w:val="0"/>
                    <w:spacing w:before="0" w:beforeAutospacing="0" w:after="0" w:afterAutospacing="0"/>
                    <w:ind w:left="0" w:right="0"/>
                    <w:jc w:val="center"/>
                    <w:textAlignment w:val="center"/>
                    <w:rPr>
                      <w:rFonts w:hint="default"/>
                      <w:color w:val="000000"/>
                      <w:kern w:val="0"/>
                      <w:sz w:val="21"/>
                      <w:szCs w:val="21"/>
                      <w:highlight w:val="none"/>
                      <w:lang w:bidi="ar"/>
                    </w:rPr>
                  </w:pPr>
                  <w:r>
                    <w:rPr>
                      <w:rFonts w:hint="default"/>
                      <w:color w:val="000000"/>
                      <w:kern w:val="0"/>
                      <w:sz w:val="21"/>
                      <w:szCs w:val="21"/>
                      <w:highlight w:val="none"/>
                      <w:lang w:bidi="ar"/>
                    </w:rPr>
                    <w:t>＜0.01</w:t>
                  </w:r>
                </w:p>
              </w:tc>
              <w:tc>
                <w:tcPr>
                  <w:tcW w:w="762" w:type="pct"/>
                  <w:vAlign w:val="center"/>
                </w:tcPr>
                <w:p w14:paraId="076DC2CB">
                  <w:pPr>
                    <w:keepNext w:val="0"/>
                    <w:keepLines w:val="0"/>
                    <w:suppressLineNumbers w:val="0"/>
                    <w:adjustRightInd w:val="0"/>
                    <w:snapToGrid w:val="0"/>
                    <w:spacing w:before="0" w:beforeAutospacing="0" w:after="0" w:afterAutospacing="0"/>
                    <w:ind w:left="0" w:right="0"/>
                    <w:jc w:val="center"/>
                    <w:textAlignment w:val="center"/>
                    <w:rPr>
                      <w:rFonts w:hint="default"/>
                      <w:color w:val="000000"/>
                      <w:kern w:val="0"/>
                      <w:sz w:val="21"/>
                      <w:szCs w:val="21"/>
                      <w:highlight w:val="none"/>
                      <w:lang w:bidi="ar"/>
                    </w:rPr>
                  </w:pPr>
                  <w:r>
                    <w:rPr>
                      <w:rFonts w:hint="default"/>
                      <w:color w:val="000000"/>
                      <w:kern w:val="0"/>
                      <w:sz w:val="21"/>
                      <w:szCs w:val="21"/>
                      <w:highlight w:val="none"/>
                      <w:lang w:bidi="ar"/>
                    </w:rPr>
                    <w:t>0.2</w:t>
                  </w:r>
                </w:p>
              </w:tc>
            </w:tr>
            <w:tr w14:paraId="15194EA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956" w:type="pct"/>
                  <w:vAlign w:val="center"/>
                </w:tcPr>
                <w:p w14:paraId="7B64AD97">
                  <w:pPr>
                    <w:keepNext w:val="0"/>
                    <w:keepLines w:val="0"/>
                    <w:suppressLineNumbers w:val="0"/>
                    <w:adjustRightInd w:val="0"/>
                    <w:snapToGrid w:val="0"/>
                    <w:spacing w:before="0" w:beforeAutospacing="0" w:after="0" w:afterAutospacing="0"/>
                    <w:ind w:left="0" w:right="0"/>
                    <w:jc w:val="center"/>
                    <w:rPr>
                      <w:rFonts w:hint="default"/>
                      <w:color w:val="000000"/>
                      <w:sz w:val="21"/>
                      <w:szCs w:val="21"/>
                      <w:highlight w:val="none"/>
                    </w:rPr>
                  </w:pPr>
                  <w:r>
                    <w:rPr>
                      <w:rFonts w:hint="default"/>
                      <w:color w:val="000000"/>
                      <w:sz w:val="21"/>
                      <w:szCs w:val="21"/>
                      <w:highlight w:val="none"/>
                    </w:rPr>
                    <w:t>悬浮物</w:t>
                  </w:r>
                </w:p>
              </w:tc>
              <w:tc>
                <w:tcPr>
                  <w:tcW w:w="584" w:type="pct"/>
                  <w:vAlign w:val="center"/>
                </w:tcPr>
                <w:p w14:paraId="00822798">
                  <w:pPr>
                    <w:keepNext w:val="0"/>
                    <w:keepLines w:val="0"/>
                    <w:suppressLineNumbers w:val="0"/>
                    <w:adjustRightInd w:val="0"/>
                    <w:snapToGrid w:val="0"/>
                    <w:spacing w:before="0" w:beforeAutospacing="0" w:after="0" w:afterAutospacing="0"/>
                    <w:ind w:left="0" w:right="0"/>
                    <w:jc w:val="center"/>
                    <w:textAlignment w:val="center"/>
                    <w:rPr>
                      <w:rFonts w:hint="default"/>
                      <w:color w:val="000000"/>
                      <w:kern w:val="0"/>
                      <w:sz w:val="21"/>
                      <w:szCs w:val="21"/>
                      <w:highlight w:val="none"/>
                      <w:lang w:bidi="ar"/>
                    </w:rPr>
                  </w:pPr>
                  <w:r>
                    <w:rPr>
                      <w:rFonts w:hint="default"/>
                      <w:color w:val="000000"/>
                      <w:kern w:val="0"/>
                      <w:sz w:val="21"/>
                      <w:szCs w:val="21"/>
                      <w:highlight w:val="none"/>
                      <w:lang w:bidi="ar"/>
                    </w:rPr>
                    <w:t>mg/L</w:t>
                  </w:r>
                </w:p>
              </w:tc>
              <w:tc>
                <w:tcPr>
                  <w:tcW w:w="898" w:type="pct"/>
                  <w:vAlign w:val="center"/>
                </w:tcPr>
                <w:p w14:paraId="445881FD">
                  <w:pPr>
                    <w:keepNext w:val="0"/>
                    <w:keepLines w:val="0"/>
                    <w:suppressLineNumbers w:val="0"/>
                    <w:adjustRightInd w:val="0"/>
                    <w:snapToGrid w:val="0"/>
                    <w:spacing w:before="0" w:beforeAutospacing="0" w:after="0" w:afterAutospacing="0"/>
                    <w:ind w:left="0" w:right="0"/>
                    <w:jc w:val="center"/>
                    <w:textAlignment w:val="center"/>
                    <w:rPr>
                      <w:rFonts w:hint="default"/>
                      <w:color w:val="000000"/>
                      <w:kern w:val="0"/>
                      <w:sz w:val="21"/>
                      <w:szCs w:val="21"/>
                      <w:highlight w:val="none"/>
                      <w:lang w:bidi="ar"/>
                    </w:rPr>
                  </w:pPr>
                  <w:r>
                    <w:rPr>
                      <w:rFonts w:hint="default"/>
                      <w:color w:val="000000"/>
                      <w:kern w:val="0"/>
                      <w:sz w:val="21"/>
                      <w:szCs w:val="21"/>
                      <w:highlight w:val="none"/>
                      <w:lang w:bidi="ar"/>
                    </w:rPr>
                    <w:t>13</w:t>
                  </w:r>
                </w:p>
              </w:tc>
              <w:tc>
                <w:tcPr>
                  <w:tcW w:w="897" w:type="pct"/>
                  <w:vAlign w:val="center"/>
                </w:tcPr>
                <w:p w14:paraId="33DF59F0">
                  <w:pPr>
                    <w:keepNext w:val="0"/>
                    <w:keepLines w:val="0"/>
                    <w:suppressLineNumbers w:val="0"/>
                    <w:adjustRightInd w:val="0"/>
                    <w:snapToGrid w:val="0"/>
                    <w:spacing w:before="0" w:beforeAutospacing="0" w:after="0" w:afterAutospacing="0"/>
                    <w:ind w:left="0" w:right="0"/>
                    <w:jc w:val="center"/>
                    <w:textAlignment w:val="center"/>
                    <w:rPr>
                      <w:rFonts w:hint="default"/>
                      <w:color w:val="000000"/>
                      <w:kern w:val="0"/>
                      <w:sz w:val="21"/>
                      <w:szCs w:val="21"/>
                      <w:highlight w:val="none"/>
                      <w:lang w:bidi="ar"/>
                    </w:rPr>
                  </w:pPr>
                  <w:r>
                    <w:rPr>
                      <w:rFonts w:hint="default"/>
                      <w:color w:val="000000"/>
                      <w:kern w:val="0"/>
                      <w:sz w:val="21"/>
                      <w:szCs w:val="21"/>
                      <w:highlight w:val="none"/>
                      <w:lang w:bidi="ar"/>
                    </w:rPr>
                    <w:t>15</w:t>
                  </w:r>
                </w:p>
              </w:tc>
              <w:tc>
                <w:tcPr>
                  <w:tcW w:w="900" w:type="pct"/>
                  <w:vAlign w:val="center"/>
                </w:tcPr>
                <w:p w14:paraId="7BE63AFD">
                  <w:pPr>
                    <w:keepNext w:val="0"/>
                    <w:keepLines w:val="0"/>
                    <w:suppressLineNumbers w:val="0"/>
                    <w:adjustRightInd w:val="0"/>
                    <w:snapToGrid w:val="0"/>
                    <w:spacing w:before="0" w:beforeAutospacing="0" w:after="0" w:afterAutospacing="0"/>
                    <w:ind w:left="0" w:right="0"/>
                    <w:jc w:val="center"/>
                    <w:textAlignment w:val="center"/>
                    <w:rPr>
                      <w:rFonts w:hint="default"/>
                      <w:color w:val="000000"/>
                      <w:kern w:val="0"/>
                      <w:sz w:val="21"/>
                      <w:szCs w:val="21"/>
                      <w:highlight w:val="none"/>
                      <w:lang w:bidi="ar"/>
                    </w:rPr>
                  </w:pPr>
                  <w:r>
                    <w:rPr>
                      <w:rFonts w:hint="default"/>
                      <w:color w:val="000000"/>
                      <w:kern w:val="0"/>
                      <w:sz w:val="21"/>
                      <w:szCs w:val="21"/>
                      <w:highlight w:val="none"/>
                      <w:lang w:bidi="ar"/>
                    </w:rPr>
                    <w:t>15</w:t>
                  </w:r>
                </w:p>
              </w:tc>
              <w:tc>
                <w:tcPr>
                  <w:tcW w:w="762" w:type="pct"/>
                  <w:vAlign w:val="center"/>
                </w:tcPr>
                <w:p w14:paraId="3FE483C5">
                  <w:pPr>
                    <w:keepNext w:val="0"/>
                    <w:keepLines w:val="0"/>
                    <w:suppressLineNumbers w:val="0"/>
                    <w:adjustRightInd w:val="0"/>
                    <w:snapToGrid w:val="0"/>
                    <w:spacing w:before="0" w:beforeAutospacing="0" w:after="0" w:afterAutospacing="0"/>
                    <w:ind w:left="0" w:right="0"/>
                    <w:jc w:val="center"/>
                    <w:textAlignment w:val="center"/>
                    <w:rPr>
                      <w:rFonts w:hint="default"/>
                      <w:color w:val="000000"/>
                      <w:kern w:val="0"/>
                      <w:sz w:val="21"/>
                      <w:szCs w:val="21"/>
                      <w:highlight w:val="none"/>
                      <w:lang w:bidi="ar"/>
                    </w:rPr>
                  </w:pPr>
                  <w:r>
                    <w:rPr>
                      <w:rFonts w:hint="default"/>
                      <w:color w:val="000000"/>
                      <w:kern w:val="0"/>
                      <w:sz w:val="21"/>
                      <w:szCs w:val="21"/>
                      <w:highlight w:val="none"/>
                      <w:lang w:bidi="ar"/>
                    </w:rPr>
                    <w:t>-</w:t>
                  </w:r>
                </w:p>
              </w:tc>
            </w:tr>
            <w:tr w14:paraId="0146CB7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1541" w:type="pct"/>
                  <w:gridSpan w:val="2"/>
                  <w:vMerge w:val="restart"/>
                  <w:vAlign w:val="center"/>
                </w:tcPr>
                <w:p w14:paraId="1B9B90C6">
                  <w:pPr>
                    <w:keepNext w:val="0"/>
                    <w:keepLines w:val="0"/>
                    <w:suppressLineNumbers w:val="0"/>
                    <w:adjustRightInd w:val="0"/>
                    <w:snapToGrid w:val="0"/>
                    <w:spacing w:before="0" w:beforeAutospacing="0" w:after="0" w:afterAutospacing="0"/>
                    <w:ind w:left="0" w:right="0"/>
                    <w:jc w:val="center"/>
                    <w:textAlignment w:val="center"/>
                    <w:rPr>
                      <w:rFonts w:hint="default"/>
                      <w:color w:val="000000"/>
                      <w:kern w:val="0"/>
                      <w:sz w:val="21"/>
                      <w:szCs w:val="21"/>
                      <w:highlight w:val="none"/>
                      <w:lang w:bidi="ar"/>
                    </w:rPr>
                  </w:pPr>
                  <w:r>
                    <w:rPr>
                      <w:rFonts w:hint="eastAsia"/>
                      <w:color w:val="000000"/>
                      <w:kern w:val="0"/>
                      <w:sz w:val="21"/>
                      <w:szCs w:val="21"/>
                      <w:highlight w:val="none"/>
                      <w:lang w:bidi="ar"/>
                    </w:rPr>
                    <w:t>/</w:t>
                  </w:r>
                </w:p>
              </w:tc>
              <w:tc>
                <w:tcPr>
                  <w:tcW w:w="2696" w:type="pct"/>
                  <w:gridSpan w:val="3"/>
                  <w:vAlign w:val="center"/>
                </w:tcPr>
                <w:p w14:paraId="76A1BF8A">
                  <w:pPr>
                    <w:keepNext w:val="0"/>
                    <w:keepLines w:val="0"/>
                    <w:suppressLineNumbers w:val="0"/>
                    <w:adjustRightInd w:val="0"/>
                    <w:snapToGrid w:val="0"/>
                    <w:spacing w:before="0" w:beforeAutospacing="0" w:after="0" w:afterAutospacing="0"/>
                    <w:ind w:left="0" w:right="0"/>
                    <w:jc w:val="center"/>
                    <w:textAlignment w:val="center"/>
                    <w:rPr>
                      <w:rFonts w:hint="default"/>
                      <w:color w:val="000000"/>
                      <w:kern w:val="0"/>
                      <w:sz w:val="21"/>
                      <w:szCs w:val="21"/>
                      <w:highlight w:val="none"/>
                      <w:lang w:bidi="ar"/>
                    </w:rPr>
                  </w:pPr>
                  <w:r>
                    <w:rPr>
                      <w:rFonts w:hint="eastAsia"/>
                      <w:b/>
                      <w:bCs/>
                      <w:color w:val="000000"/>
                      <w:sz w:val="21"/>
                      <w:szCs w:val="21"/>
                      <w:highlight w:val="none"/>
                    </w:rPr>
                    <w:t>W</w:t>
                  </w:r>
                  <w:r>
                    <w:rPr>
                      <w:rFonts w:hint="default"/>
                      <w:b/>
                      <w:bCs/>
                      <w:color w:val="000000"/>
                      <w:sz w:val="21"/>
                      <w:szCs w:val="21"/>
                      <w:highlight w:val="none"/>
                    </w:rPr>
                    <w:t>2</w:t>
                  </w:r>
                </w:p>
              </w:tc>
              <w:tc>
                <w:tcPr>
                  <w:tcW w:w="762" w:type="pct"/>
                  <w:vMerge w:val="restart"/>
                  <w:vAlign w:val="center"/>
                </w:tcPr>
                <w:p w14:paraId="7EA2E69C">
                  <w:pPr>
                    <w:keepNext w:val="0"/>
                    <w:keepLines w:val="0"/>
                    <w:suppressLineNumbers w:val="0"/>
                    <w:adjustRightInd w:val="0"/>
                    <w:snapToGrid w:val="0"/>
                    <w:spacing w:before="0" w:beforeAutospacing="0" w:after="0" w:afterAutospacing="0"/>
                    <w:ind w:left="0" w:right="0"/>
                    <w:jc w:val="center"/>
                    <w:textAlignment w:val="center"/>
                    <w:rPr>
                      <w:rFonts w:hint="default"/>
                      <w:color w:val="000000"/>
                      <w:kern w:val="0"/>
                      <w:sz w:val="21"/>
                      <w:szCs w:val="21"/>
                      <w:highlight w:val="none"/>
                      <w:lang w:bidi="ar"/>
                    </w:rPr>
                  </w:pPr>
                  <w:r>
                    <w:rPr>
                      <w:rFonts w:hint="eastAsia"/>
                      <w:color w:val="000000"/>
                      <w:kern w:val="0"/>
                      <w:sz w:val="21"/>
                      <w:szCs w:val="21"/>
                      <w:highlight w:val="none"/>
                      <w:lang w:bidi="ar"/>
                    </w:rPr>
                    <w:t>/</w:t>
                  </w:r>
                </w:p>
              </w:tc>
            </w:tr>
            <w:tr w14:paraId="2D29979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1541" w:type="pct"/>
                  <w:gridSpan w:val="2"/>
                  <w:vMerge w:val="continue"/>
                  <w:vAlign w:val="center"/>
                </w:tcPr>
                <w:p w14:paraId="55265711">
                  <w:pPr>
                    <w:keepNext w:val="0"/>
                    <w:keepLines w:val="0"/>
                    <w:suppressLineNumbers w:val="0"/>
                    <w:adjustRightInd w:val="0"/>
                    <w:snapToGrid w:val="0"/>
                    <w:spacing w:before="0" w:beforeAutospacing="0" w:after="0" w:afterAutospacing="0"/>
                    <w:ind w:left="0" w:right="0"/>
                    <w:jc w:val="center"/>
                    <w:textAlignment w:val="center"/>
                    <w:rPr>
                      <w:rFonts w:hint="default"/>
                      <w:color w:val="000000"/>
                      <w:kern w:val="0"/>
                      <w:sz w:val="21"/>
                      <w:szCs w:val="21"/>
                      <w:highlight w:val="none"/>
                      <w:lang w:bidi="ar"/>
                    </w:rPr>
                  </w:pPr>
                </w:p>
              </w:tc>
              <w:tc>
                <w:tcPr>
                  <w:tcW w:w="898" w:type="pct"/>
                  <w:vAlign w:val="center"/>
                </w:tcPr>
                <w:p w14:paraId="0D9BC3D4">
                  <w:pPr>
                    <w:keepNext w:val="0"/>
                    <w:keepLines w:val="0"/>
                    <w:suppressLineNumbers w:val="0"/>
                    <w:adjustRightInd w:val="0"/>
                    <w:snapToGrid w:val="0"/>
                    <w:spacing w:before="0" w:beforeAutospacing="0" w:after="0" w:afterAutospacing="0"/>
                    <w:ind w:left="0" w:right="0"/>
                    <w:jc w:val="center"/>
                    <w:rPr>
                      <w:rFonts w:hint="default"/>
                      <w:b/>
                      <w:bCs/>
                      <w:color w:val="000000"/>
                      <w:sz w:val="21"/>
                      <w:szCs w:val="21"/>
                      <w:highlight w:val="none"/>
                    </w:rPr>
                  </w:pPr>
                  <w:r>
                    <w:rPr>
                      <w:rFonts w:hint="default"/>
                      <w:b/>
                      <w:bCs/>
                      <w:color w:val="000000"/>
                      <w:sz w:val="21"/>
                      <w:szCs w:val="21"/>
                      <w:highlight w:val="none"/>
                    </w:rPr>
                    <w:t>2023.2.14</w:t>
                  </w:r>
                </w:p>
              </w:tc>
              <w:tc>
                <w:tcPr>
                  <w:tcW w:w="897" w:type="pct"/>
                  <w:vAlign w:val="center"/>
                </w:tcPr>
                <w:p w14:paraId="1722809D">
                  <w:pPr>
                    <w:keepNext w:val="0"/>
                    <w:keepLines w:val="0"/>
                    <w:suppressLineNumbers w:val="0"/>
                    <w:adjustRightInd w:val="0"/>
                    <w:snapToGrid w:val="0"/>
                    <w:spacing w:before="0" w:beforeAutospacing="0" w:after="0" w:afterAutospacing="0"/>
                    <w:ind w:left="0" w:right="0"/>
                    <w:jc w:val="center"/>
                    <w:rPr>
                      <w:rFonts w:hint="default"/>
                      <w:b/>
                      <w:bCs/>
                      <w:color w:val="000000"/>
                      <w:sz w:val="21"/>
                      <w:szCs w:val="21"/>
                      <w:highlight w:val="none"/>
                    </w:rPr>
                  </w:pPr>
                  <w:r>
                    <w:rPr>
                      <w:rFonts w:hint="default"/>
                      <w:b/>
                      <w:bCs/>
                      <w:color w:val="000000"/>
                      <w:sz w:val="21"/>
                      <w:szCs w:val="21"/>
                      <w:highlight w:val="none"/>
                    </w:rPr>
                    <w:t>2023.2.15</w:t>
                  </w:r>
                </w:p>
              </w:tc>
              <w:tc>
                <w:tcPr>
                  <w:tcW w:w="900" w:type="pct"/>
                  <w:vAlign w:val="center"/>
                </w:tcPr>
                <w:p w14:paraId="400873FE">
                  <w:pPr>
                    <w:keepNext w:val="0"/>
                    <w:keepLines w:val="0"/>
                    <w:suppressLineNumbers w:val="0"/>
                    <w:adjustRightInd w:val="0"/>
                    <w:snapToGrid w:val="0"/>
                    <w:spacing w:before="0" w:beforeAutospacing="0" w:after="0" w:afterAutospacing="0"/>
                    <w:ind w:left="0" w:right="0"/>
                    <w:jc w:val="center"/>
                    <w:rPr>
                      <w:rFonts w:hint="default"/>
                      <w:b/>
                      <w:bCs/>
                      <w:color w:val="000000"/>
                      <w:sz w:val="21"/>
                      <w:szCs w:val="21"/>
                      <w:highlight w:val="none"/>
                    </w:rPr>
                  </w:pPr>
                  <w:r>
                    <w:rPr>
                      <w:rFonts w:hint="default"/>
                      <w:b/>
                      <w:bCs/>
                      <w:color w:val="000000"/>
                      <w:sz w:val="21"/>
                      <w:szCs w:val="21"/>
                      <w:highlight w:val="none"/>
                    </w:rPr>
                    <w:t>2023.2.16</w:t>
                  </w:r>
                </w:p>
              </w:tc>
              <w:tc>
                <w:tcPr>
                  <w:tcW w:w="762" w:type="pct"/>
                  <w:vMerge w:val="continue"/>
                  <w:vAlign w:val="center"/>
                </w:tcPr>
                <w:p w14:paraId="6B2399C6">
                  <w:pPr>
                    <w:keepNext w:val="0"/>
                    <w:keepLines w:val="0"/>
                    <w:suppressLineNumbers w:val="0"/>
                    <w:adjustRightInd w:val="0"/>
                    <w:snapToGrid w:val="0"/>
                    <w:spacing w:before="0" w:beforeAutospacing="0" w:after="0" w:afterAutospacing="0"/>
                    <w:ind w:left="0" w:right="0"/>
                    <w:jc w:val="center"/>
                    <w:textAlignment w:val="center"/>
                    <w:rPr>
                      <w:rFonts w:hint="default"/>
                      <w:color w:val="000000"/>
                      <w:kern w:val="0"/>
                      <w:sz w:val="21"/>
                      <w:szCs w:val="21"/>
                      <w:highlight w:val="none"/>
                      <w:lang w:bidi="ar"/>
                    </w:rPr>
                  </w:pPr>
                </w:p>
              </w:tc>
            </w:tr>
            <w:tr w14:paraId="7063444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956" w:type="pct"/>
                  <w:vAlign w:val="center"/>
                </w:tcPr>
                <w:p w14:paraId="2B22ED26">
                  <w:pPr>
                    <w:keepNext w:val="0"/>
                    <w:keepLines w:val="0"/>
                    <w:suppressLineNumbers w:val="0"/>
                    <w:adjustRightInd w:val="0"/>
                    <w:snapToGrid w:val="0"/>
                    <w:spacing w:before="0" w:beforeAutospacing="0" w:after="0" w:afterAutospacing="0"/>
                    <w:ind w:left="0" w:right="0"/>
                    <w:jc w:val="center"/>
                    <w:rPr>
                      <w:rFonts w:hint="default"/>
                      <w:color w:val="000000"/>
                      <w:sz w:val="21"/>
                      <w:szCs w:val="21"/>
                      <w:highlight w:val="none"/>
                    </w:rPr>
                  </w:pPr>
                  <w:r>
                    <w:rPr>
                      <w:rFonts w:hint="default"/>
                      <w:color w:val="000000"/>
                      <w:sz w:val="21"/>
                      <w:szCs w:val="21"/>
                      <w:highlight w:val="none"/>
                    </w:rPr>
                    <w:t>水温</w:t>
                  </w:r>
                </w:p>
              </w:tc>
              <w:tc>
                <w:tcPr>
                  <w:tcW w:w="584" w:type="pct"/>
                  <w:vAlign w:val="center"/>
                </w:tcPr>
                <w:p w14:paraId="58D96C10">
                  <w:pPr>
                    <w:keepNext w:val="0"/>
                    <w:keepLines w:val="0"/>
                    <w:suppressLineNumbers w:val="0"/>
                    <w:adjustRightInd w:val="0"/>
                    <w:snapToGrid w:val="0"/>
                    <w:spacing w:before="0" w:beforeAutospacing="0" w:after="0" w:afterAutospacing="0"/>
                    <w:ind w:left="0" w:right="0"/>
                    <w:jc w:val="center"/>
                    <w:textAlignment w:val="center"/>
                    <w:rPr>
                      <w:rFonts w:hint="default"/>
                      <w:color w:val="000000"/>
                      <w:kern w:val="0"/>
                      <w:sz w:val="21"/>
                      <w:szCs w:val="21"/>
                      <w:highlight w:val="none"/>
                      <w:lang w:bidi="ar"/>
                    </w:rPr>
                  </w:pPr>
                  <w:r>
                    <w:rPr>
                      <w:rFonts w:hint="default"/>
                      <w:color w:val="000000"/>
                      <w:kern w:val="0"/>
                      <w:sz w:val="21"/>
                      <w:szCs w:val="21"/>
                      <w:highlight w:val="none"/>
                      <w:lang w:bidi="ar"/>
                    </w:rPr>
                    <w:t>℃</w:t>
                  </w:r>
                </w:p>
              </w:tc>
              <w:tc>
                <w:tcPr>
                  <w:tcW w:w="898" w:type="pct"/>
                  <w:vAlign w:val="center"/>
                </w:tcPr>
                <w:p w14:paraId="3510C768">
                  <w:pPr>
                    <w:keepNext w:val="0"/>
                    <w:keepLines w:val="0"/>
                    <w:suppressLineNumbers w:val="0"/>
                    <w:adjustRightInd w:val="0"/>
                    <w:snapToGrid w:val="0"/>
                    <w:spacing w:before="0" w:beforeAutospacing="0" w:after="0" w:afterAutospacing="0"/>
                    <w:ind w:left="0" w:right="0"/>
                    <w:jc w:val="center"/>
                    <w:textAlignment w:val="center"/>
                    <w:rPr>
                      <w:rFonts w:hint="default"/>
                      <w:color w:val="000000"/>
                      <w:kern w:val="0"/>
                      <w:sz w:val="21"/>
                      <w:szCs w:val="21"/>
                      <w:highlight w:val="none"/>
                      <w:lang w:bidi="ar"/>
                    </w:rPr>
                  </w:pPr>
                  <w:r>
                    <w:rPr>
                      <w:rFonts w:hint="default"/>
                      <w:color w:val="000000"/>
                      <w:kern w:val="0"/>
                      <w:sz w:val="21"/>
                      <w:szCs w:val="21"/>
                      <w:highlight w:val="none"/>
                      <w:lang w:bidi="ar"/>
                    </w:rPr>
                    <w:t>12.7</w:t>
                  </w:r>
                </w:p>
              </w:tc>
              <w:tc>
                <w:tcPr>
                  <w:tcW w:w="897" w:type="pct"/>
                  <w:vAlign w:val="center"/>
                </w:tcPr>
                <w:p w14:paraId="33F607CD">
                  <w:pPr>
                    <w:keepNext w:val="0"/>
                    <w:keepLines w:val="0"/>
                    <w:suppressLineNumbers w:val="0"/>
                    <w:adjustRightInd w:val="0"/>
                    <w:snapToGrid w:val="0"/>
                    <w:spacing w:before="0" w:beforeAutospacing="0" w:after="0" w:afterAutospacing="0"/>
                    <w:ind w:left="0" w:right="0"/>
                    <w:jc w:val="center"/>
                    <w:textAlignment w:val="center"/>
                    <w:rPr>
                      <w:rFonts w:hint="default"/>
                      <w:color w:val="000000"/>
                      <w:kern w:val="0"/>
                      <w:sz w:val="21"/>
                      <w:szCs w:val="21"/>
                      <w:highlight w:val="none"/>
                      <w:lang w:bidi="ar"/>
                    </w:rPr>
                  </w:pPr>
                  <w:r>
                    <w:rPr>
                      <w:rFonts w:hint="default"/>
                      <w:color w:val="000000"/>
                      <w:kern w:val="0"/>
                      <w:sz w:val="21"/>
                      <w:szCs w:val="21"/>
                      <w:highlight w:val="none"/>
                      <w:lang w:bidi="ar"/>
                    </w:rPr>
                    <w:t>12.5</w:t>
                  </w:r>
                </w:p>
              </w:tc>
              <w:tc>
                <w:tcPr>
                  <w:tcW w:w="900" w:type="pct"/>
                  <w:vAlign w:val="center"/>
                </w:tcPr>
                <w:p w14:paraId="423AE05D">
                  <w:pPr>
                    <w:keepNext w:val="0"/>
                    <w:keepLines w:val="0"/>
                    <w:suppressLineNumbers w:val="0"/>
                    <w:adjustRightInd w:val="0"/>
                    <w:snapToGrid w:val="0"/>
                    <w:spacing w:before="0" w:beforeAutospacing="0" w:after="0" w:afterAutospacing="0"/>
                    <w:ind w:left="0" w:right="0"/>
                    <w:jc w:val="center"/>
                    <w:textAlignment w:val="center"/>
                    <w:rPr>
                      <w:rFonts w:hint="default"/>
                      <w:color w:val="000000"/>
                      <w:kern w:val="0"/>
                      <w:sz w:val="21"/>
                      <w:szCs w:val="21"/>
                      <w:highlight w:val="none"/>
                      <w:lang w:bidi="ar"/>
                    </w:rPr>
                  </w:pPr>
                  <w:r>
                    <w:rPr>
                      <w:rFonts w:hint="default"/>
                      <w:color w:val="000000"/>
                      <w:kern w:val="0"/>
                      <w:sz w:val="21"/>
                      <w:szCs w:val="21"/>
                      <w:highlight w:val="none"/>
                      <w:lang w:bidi="ar"/>
                    </w:rPr>
                    <w:t>12.5</w:t>
                  </w:r>
                </w:p>
              </w:tc>
              <w:tc>
                <w:tcPr>
                  <w:tcW w:w="762" w:type="pct"/>
                  <w:vAlign w:val="center"/>
                </w:tcPr>
                <w:p w14:paraId="0720E4D3">
                  <w:pPr>
                    <w:keepNext w:val="0"/>
                    <w:keepLines w:val="0"/>
                    <w:suppressLineNumbers w:val="0"/>
                    <w:adjustRightInd w:val="0"/>
                    <w:snapToGrid w:val="0"/>
                    <w:spacing w:before="0" w:beforeAutospacing="0" w:after="0" w:afterAutospacing="0"/>
                    <w:ind w:left="0" w:right="0"/>
                    <w:jc w:val="center"/>
                    <w:textAlignment w:val="center"/>
                    <w:rPr>
                      <w:rFonts w:hint="default"/>
                      <w:color w:val="000000"/>
                      <w:kern w:val="0"/>
                      <w:sz w:val="21"/>
                      <w:szCs w:val="21"/>
                      <w:highlight w:val="none"/>
                      <w:lang w:bidi="ar"/>
                    </w:rPr>
                  </w:pPr>
                  <w:r>
                    <w:rPr>
                      <w:rFonts w:hint="default"/>
                      <w:color w:val="000000"/>
                      <w:kern w:val="0"/>
                      <w:sz w:val="21"/>
                      <w:szCs w:val="21"/>
                      <w:highlight w:val="none"/>
                      <w:lang w:bidi="ar"/>
                    </w:rPr>
                    <w:t>-</w:t>
                  </w:r>
                </w:p>
              </w:tc>
            </w:tr>
            <w:tr w14:paraId="36302BC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956" w:type="pct"/>
                  <w:vAlign w:val="center"/>
                </w:tcPr>
                <w:p w14:paraId="3D9583FF">
                  <w:pPr>
                    <w:keepNext w:val="0"/>
                    <w:keepLines w:val="0"/>
                    <w:suppressLineNumbers w:val="0"/>
                    <w:adjustRightInd w:val="0"/>
                    <w:snapToGrid w:val="0"/>
                    <w:spacing w:before="0" w:beforeAutospacing="0" w:after="0" w:afterAutospacing="0"/>
                    <w:ind w:left="0" w:right="0"/>
                    <w:jc w:val="center"/>
                    <w:rPr>
                      <w:rFonts w:hint="default"/>
                      <w:color w:val="000000"/>
                      <w:sz w:val="21"/>
                      <w:szCs w:val="21"/>
                      <w:highlight w:val="none"/>
                    </w:rPr>
                  </w:pPr>
                  <w:r>
                    <w:rPr>
                      <w:rFonts w:hint="default"/>
                      <w:color w:val="000000"/>
                      <w:sz w:val="21"/>
                      <w:szCs w:val="21"/>
                      <w:highlight w:val="none"/>
                    </w:rPr>
                    <w:t>pH值</w:t>
                  </w:r>
                </w:p>
              </w:tc>
              <w:tc>
                <w:tcPr>
                  <w:tcW w:w="584" w:type="pct"/>
                  <w:vAlign w:val="center"/>
                </w:tcPr>
                <w:p w14:paraId="658DD8A9">
                  <w:pPr>
                    <w:keepNext w:val="0"/>
                    <w:keepLines w:val="0"/>
                    <w:suppressLineNumbers w:val="0"/>
                    <w:adjustRightInd w:val="0"/>
                    <w:snapToGrid w:val="0"/>
                    <w:spacing w:before="0" w:beforeAutospacing="0" w:after="0" w:afterAutospacing="0"/>
                    <w:ind w:left="0" w:right="0"/>
                    <w:jc w:val="center"/>
                    <w:textAlignment w:val="center"/>
                    <w:rPr>
                      <w:rFonts w:hint="default"/>
                      <w:color w:val="000000"/>
                      <w:kern w:val="0"/>
                      <w:sz w:val="21"/>
                      <w:szCs w:val="21"/>
                      <w:highlight w:val="none"/>
                      <w:lang w:bidi="ar"/>
                    </w:rPr>
                  </w:pPr>
                  <w:r>
                    <w:rPr>
                      <w:rFonts w:hint="default"/>
                      <w:color w:val="000000"/>
                      <w:kern w:val="0"/>
                      <w:sz w:val="21"/>
                      <w:szCs w:val="21"/>
                      <w:highlight w:val="none"/>
                      <w:lang w:bidi="ar"/>
                    </w:rPr>
                    <w:t>无量纲</w:t>
                  </w:r>
                </w:p>
              </w:tc>
              <w:tc>
                <w:tcPr>
                  <w:tcW w:w="898" w:type="pct"/>
                  <w:vAlign w:val="center"/>
                </w:tcPr>
                <w:p w14:paraId="7E4BC25D">
                  <w:pPr>
                    <w:keepNext w:val="0"/>
                    <w:keepLines w:val="0"/>
                    <w:suppressLineNumbers w:val="0"/>
                    <w:adjustRightInd w:val="0"/>
                    <w:snapToGrid w:val="0"/>
                    <w:spacing w:before="0" w:beforeAutospacing="0" w:after="0" w:afterAutospacing="0"/>
                    <w:ind w:left="0" w:right="0"/>
                    <w:jc w:val="center"/>
                    <w:textAlignment w:val="center"/>
                    <w:rPr>
                      <w:rFonts w:hint="default"/>
                      <w:color w:val="000000"/>
                      <w:kern w:val="0"/>
                      <w:sz w:val="21"/>
                      <w:szCs w:val="21"/>
                      <w:highlight w:val="none"/>
                      <w:lang w:bidi="ar"/>
                    </w:rPr>
                  </w:pPr>
                  <w:r>
                    <w:rPr>
                      <w:rFonts w:hint="default"/>
                      <w:color w:val="000000"/>
                      <w:kern w:val="0"/>
                      <w:sz w:val="21"/>
                      <w:szCs w:val="21"/>
                      <w:highlight w:val="none"/>
                      <w:lang w:bidi="ar"/>
                    </w:rPr>
                    <w:t>7.3</w:t>
                  </w:r>
                </w:p>
              </w:tc>
              <w:tc>
                <w:tcPr>
                  <w:tcW w:w="897" w:type="pct"/>
                  <w:vAlign w:val="center"/>
                </w:tcPr>
                <w:p w14:paraId="0FE12FB8">
                  <w:pPr>
                    <w:keepNext w:val="0"/>
                    <w:keepLines w:val="0"/>
                    <w:suppressLineNumbers w:val="0"/>
                    <w:adjustRightInd w:val="0"/>
                    <w:snapToGrid w:val="0"/>
                    <w:spacing w:before="0" w:beforeAutospacing="0" w:after="0" w:afterAutospacing="0"/>
                    <w:ind w:left="0" w:right="0"/>
                    <w:jc w:val="center"/>
                    <w:textAlignment w:val="center"/>
                    <w:rPr>
                      <w:rFonts w:hint="default"/>
                      <w:color w:val="000000"/>
                      <w:kern w:val="0"/>
                      <w:sz w:val="21"/>
                      <w:szCs w:val="21"/>
                      <w:highlight w:val="none"/>
                      <w:lang w:bidi="ar"/>
                    </w:rPr>
                  </w:pPr>
                  <w:r>
                    <w:rPr>
                      <w:rFonts w:hint="default"/>
                      <w:color w:val="000000"/>
                      <w:kern w:val="0"/>
                      <w:sz w:val="21"/>
                      <w:szCs w:val="21"/>
                      <w:highlight w:val="none"/>
                      <w:lang w:bidi="ar"/>
                    </w:rPr>
                    <w:t>7.3</w:t>
                  </w:r>
                </w:p>
              </w:tc>
              <w:tc>
                <w:tcPr>
                  <w:tcW w:w="900" w:type="pct"/>
                  <w:vAlign w:val="center"/>
                </w:tcPr>
                <w:p w14:paraId="4490116A">
                  <w:pPr>
                    <w:keepNext w:val="0"/>
                    <w:keepLines w:val="0"/>
                    <w:suppressLineNumbers w:val="0"/>
                    <w:adjustRightInd w:val="0"/>
                    <w:snapToGrid w:val="0"/>
                    <w:spacing w:before="0" w:beforeAutospacing="0" w:after="0" w:afterAutospacing="0"/>
                    <w:ind w:left="0" w:right="0"/>
                    <w:jc w:val="center"/>
                    <w:textAlignment w:val="center"/>
                    <w:rPr>
                      <w:rFonts w:hint="default"/>
                      <w:color w:val="000000"/>
                      <w:kern w:val="0"/>
                      <w:sz w:val="21"/>
                      <w:szCs w:val="21"/>
                      <w:highlight w:val="none"/>
                      <w:lang w:bidi="ar"/>
                    </w:rPr>
                  </w:pPr>
                  <w:r>
                    <w:rPr>
                      <w:rFonts w:hint="default"/>
                      <w:color w:val="000000"/>
                      <w:kern w:val="0"/>
                      <w:sz w:val="21"/>
                      <w:szCs w:val="21"/>
                      <w:highlight w:val="none"/>
                      <w:lang w:bidi="ar"/>
                    </w:rPr>
                    <w:t>7.3</w:t>
                  </w:r>
                </w:p>
              </w:tc>
              <w:tc>
                <w:tcPr>
                  <w:tcW w:w="762" w:type="pct"/>
                  <w:vAlign w:val="center"/>
                </w:tcPr>
                <w:p w14:paraId="0E8E369D">
                  <w:pPr>
                    <w:keepNext w:val="0"/>
                    <w:keepLines w:val="0"/>
                    <w:suppressLineNumbers w:val="0"/>
                    <w:adjustRightInd w:val="0"/>
                    <w:snapToGrid w:val="0"/>
                    <w:spacing w:before="0" w:beforeAutospacing="0" w:after="0" w:afterAutospacing="0"/>
                    <w:ind w:left="0" w:right="0"/>
                    <w:jc w:val="center"/>
                    <w:textAlignment w:val="center"/>
                    <w:rPr>
                      <w:rFonts w:hint="default"/>
                      <w:color w:val="000000"/>
                      <w:kern w:val="0"/>
                      <w:sz w:val="21"/>
                      <w:szCs w:val="21"/>
                      <w:highlight w:val="none"/>
                      <w:lang w:bidi="ar"/>
                    </w:rPr>
                  </w:pPr>
                  <w:r>
                    <w:rPr>
                      <w:rFonts w:hint="default"/>
                      <w:color w:val="000000"/>
                      <w:kern w:val="0"/>
                      <w:sz w:val="21"/>
                      <w:szCs w:val="21"/>
                      <w:highlight w:val="none"/>
                      <w:lang w:bidi="ar"/>
                    </w:rPr>
                    <w:t>6~9</w:t>
                  </w:r>
                </w:p>
              </w:tc>
            </w:tr>
            <w:tr w14:paraId="7A1A78F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956" w:type="pct"/>
                  <w:vAlign w:val="center"/>
                </w:tcPr>
                <w:p w14:paraId="4B827299">
                  <w:pPr>
                    <w:keepNext w:val="0"/>
                    <w:keepLines w:val="0"/>
                    <w:suppressLineNumbers w:val="0"/>
                    <w:adjustRightInd w:val="0"/>
                    <w:snapToGrid w:val="0"/>
                    <w:spacing w:before="0" w:beforeAutospacing="0" w:after="0" w:afterAutospacing="0"/>
                    <w:ind w:left="0" w:right="0"/>
                    <w:jc w:val="center"/>
                    <w:rPr>
                      <w:rFonts w:hint="default"/>
                      <w:color w:val="000000"/>
                      <w:sz w:val="21"/>
                      <w:szCs w:val="21"/>
                      <w:highlight w:val="none"/>
                    </w:rPr>
                  </w:pPr>
                  <w:r>
                    <w:rPr>
                      <w:rFonts w:hint="default"/>
                      <w:color w:val="000000"/>
                      <w:sz w:val="21"/>
                      <w:szCs w:val="21"/>
                      <w:highlight w:val="none"/>
                    </w:rPr>
                    <w:t>LAS</w:t>
                  </w:r>
                </w:p>
              </w:tc>
              <w:tc>
                <w:tcPr>
                  <w:tcW w:w="584" w:type="pct"/>
                  <w:vAlign w:val="center"/>
                </w:tcPr>
                <w:p w14:paraId="2A653BD2">
                  <w:pPr>
                    <w:keepNext w:val="0"/>
                    <w:keepLines w:val="0"/>
                    <w:suppressLineNumbers w:val="0"/>
                    <w:adjustRightInd w:val="0"/>
                    <w:snapToGrid w:val="0"/>
                    <w:spacing w:before="0" w:beforeAutospacing="0" w:after="0" w:afterAutospacing="0"/>
                    <w:ind w:left="0" w:right="0"/>
                    <w:jc w:val="center"/>
                    <w:textAlignment w:val="center"/>
                    <w:rPr>
                      <w:rFonts w:hint="default"/>
                      <w:color w:val="000000"/>
                      <w:kern w:val="0"/>
                      <w:sz w:val="21"/>
                      <w:szCs w:val="21"/>
                      <w:highlight w:val="none"/>
                      <w:lang w:bidi="ar"/>
                    </w:rPr>
                  </w:pPr>
                  <w:r>
                    <w:rPr>
                      <w:rFonts w:hint="default"/>
                      <w:color w:val="000000"/>
                      <w:kern w:val="0"/>
                      <w:sz w:val="21"/>
                      <w:szCs w:val="21"/>
                      <w:highlight w:val="none"/>
                      <w:lang w:bidi="ar"/>
                    </w:rPr>
                    <w:t>mg/L</w:t>
                  </w:r>
                </w:p>
              </w:tc>
              <w:tc>
                <w:tcPr>
                  <w:tcW w:w="898" w:type="pct"/>
                  <w:vAlign w:val="center"/>
                </w:tcPr>
                <w:p w14:paraId="4AD85996">
                  <w:pPr>
                    <w:keepNext w:val="0"/>
                    <w:keepLines w:val="0"/>
                    <w:suppressLineNumbers w:val="0"/>
                    <w:adjustRightInd w:val="0"/>
                    <w:snapToGrid w:val="0"/>
                    <w:spacing w:before="0" w:beforeAutospacing="0" w:after="0" w:afterAutospacing="0"/>
                    <w:ind w:left="0" w:right="0"/>
                    <w:jc w:val="center"/>
                    <w:textAlignment w:val="center"/>
                    <w:rPr>
                      <w:rFonts w:hint="default"/>
                      <w:color w:val="000000"/>
                      <w:kern w:val="0"/>
                      <w:sz w:val="21"/>
                      <w:szCs w:val="21"/>
                      <w:highlight w:val="none"/>
                      <w:lang w:bidi="ar"/>
                    </w:rPr>
                  </w:pPr>
                  <w:r>
                    <w:rPr>
                      <w:rFonts w:hint="default"/>
                      <w:color w:val="000000"/>
                      <w:kern w:val="0"/>
                      <w:sz w:val="21"/>
                      <w:szCs w:val="21"/>
                      <w:highlight w:val="none"/>
                      <w:lang w:bidi="ar"/>
                    </w:rPr>
                    <w:t>＜0.05</w:t>
                  </w:r>
                </w:p>
              </w:tc>
              <w:tc>
                <w:tcPr>
                  <w:tcW w:w="897" w:type="pct"/>
                  <w:vAlign w:val="center"/>
                </w:tcPr>
                <w:p w14:paraId="1E3D1541">
                  <w:pPr>
                    <w:keepNext w:val="0"/>
                    <w:keepLines w:val="0"/>
                    <w:suppressLineNumbers w:val="0"/>
                    <w:adjustRightInd w:val="0"/>
                    <w:snapToGrid w:val="0"/>
                    <w:spacing w:before="0" w:beforeAutospacing="0" w:after="0" w:afterAutospacing="0"/>
                    <w:ind w:left="0" w:right="0"/>
                    <w:jc w:val="center"/>
                    <w:textAlignment w:val="center"/>
                    <w:rPr>
                      <w:rFonts w:hint="default"/>
                      <w:color w:val="000000"/>
                      <w:kern w:val="0"/>
                      <w:sz w:val="21"/>
                      <w:szCs w:val="21"/>
                      <w:highlight w:val="none"/>
                      <w:lang w:bidi="ar"/>
                    </w:rPr>
                  </w:pPr>
                  <w:r>
                    <w:rPr>
                      <w:rFonts w:hint="default"/>
                      <w:color w:val="000000"/>
                      <w:kern w:val="0"/>
                      <w:sz w:val="21"/>
                      <w:szCs w:val="21"/>
                      <w:highlight w:val="none"/>
                      <w:lang w:bidi="ar"/>
                    </w:rPr>
                    <w:t>＜0.05</w:t>
                  </w:r>
                </w:p>
              </w:tc>
              <w:tc>
                <w:tcPr>
                  <w:tcW w:w="900" w:type="pct"/>
                  <w:vAlign w:val="center"/>
                </w:tcPr>
                <w:p w14:paraId="076357B0">
                  <w:pPr>
                    <w:keepNext w:val="0"/>
                    <w:keepLines w:val="0"/>
                    <w:suppressLineNumbers w:val="0"/>
                    <w:adjustRightInd w:val="0"/>
                    <w:snapToGrid w:val="0"/>
                    <w:spacing w:before="0" w:beforeAutospacing="0" w:after="0" w:afterAutospacing="0"/>
                    <w:ind w:left="0" w:right="0"/>
                    <w:jc w:val="center"/>
                    <w:textAlignment w:val="center"/>
                    <w:rPr>
                      <w:rFonts w:hint="default"/>
                      <w:color w:val="000000"/>
                      <w:kern w:val="0"/>
                      <w:sz w:val="21"/>
                      <w:szCs w:val="21"/>
                      <w:highlight w:val="none"/>
                      <w:lang w:bidi="ar"/>
                    </w:rPr>
                  </w:pPr>
                  <w:r>
                    <w:rPr>
                      <w:rFonts w:hint="default"/>
                      <w:color w:val="000000"/>
                      <w:kern w:val="0"/>
                      <w:sz w:val="21"/>
                      <w:szCs w:val="21"/>
                      <w:highlight w:val="none"/>
                      <w:lang w:bidi="ar"/>
                    </w:rPr>
                    <w:t>＜0.05</w:t>
                  </w:r>
                </w:p>
              </w:tc>
              <w:tc>
                <w:tcPr>
                  <w:tcW w:w="762" w:type="pct"/>
                  <w:vAlign w:val="center"/>
                </w:tcPr>
                <w:p w14:paraId="390EC90D">
                  <w:pPr>
                    <w:keepNext w:val="0"/>
                    <w:keepLines w:val="0"/>
                    <w:suppressLineNumbers w:val="0"/>
                    <w:adjustRightInd w:val="0"/>
                    <w:snapToGrid w:val="0"/>
                    <w:spacing w:before="0" w:beforeAutospacing="0" w:after="0" w:afterAutospacing="0"/>
                    <w:ind w:left="0" w:right="0"/>
                    <w:jc w:val="center"/>
                    <w:textAlignment w:val="center"/>
                    <w:rPr>
                      <w:rFonts w:hint="default"/>
                      <w:color w:val="000000"/>
                      <w:kern w:val="0"/>
                      <w:sz w:val="21"/>
                      <w:szCs w:val="21"/>
                      <w:highlight w:val="none"/>
                      <w:lang w:bidi="ar"/>
                    </w:rPr>
                  </w:pPr>
                  <w:r>
                    <w:rPr>
                      <w:rFonts w:hint="default"/>
                      <w:color w:val="000000"/>
                      <w:kern w:val="0"/>
                      <w:sz w:val="21"/>
                      <w:szCs w:val="21"/>
                      <w:highlight w:val="none"/>
                      <w:lang w:bidi="ar"/>
                    </w:rPr>
                    <w:t>0.2</w:t>
                  </w:r>
                </w:p>
              </w:tc>
            </w:tr>
            <w:tr w14:paraId="06969B5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956" w:type="pct"/>
                  <w:vAlign w:val="center"/>
                </w:tcPr>
                <w:p w14:paraId="7EFA1C66">
                  <w:pPr>
                    <w:keepNext w:val="0"/>
                    <w:keepLines w:val="0"/>
                    <w:suppressLineNumbers w:val="0"/>
                    <w:adjustRightInd w:val="0"/>
                    <w:snapToGrid w:val="0"/>
                    <w:spacing w:before="0" w:beforeAutospacing="0" w:after="0" w:afterAutospacing="0"/>
                    <w:ind w:left="0" w:right="0"/>
                    <w:jc w:val="center"/>
                    <w:rPr>
                      <w:rFonts w:hint="default"/>
                      <w:color w:val="000000"/>
                      <w:sz w:val="21"/>
                      <w:szCs w:val="21"/>
                      <w:highlight w:val="none"/>
                    </w:rPr>
                  </w:pPr>
                  <w:r>
                    <w:rPr>
                      <w:rFonts w:hint="default"/>
                      <w:color w:val="000000"/>
                      <w:sz w:val="21"/>
                      <w:szCs w:val="21"/>
                      <w:highlight w:val="none"/>
                    </w:rPr>
                    <w:t>高锰酸盐指数</w:t>
                  </w:r>
                </w:p>
              </w:tc>
              <w:tc>
                <w:tcPr>
                  <w:tcW w:w="584" w:type="pct"/>
                  <w:vAlign w:val="center"/>
                </w:tcPr>
                <w:p w14:paraId="4F8F39E5">
                  <w:pPr>
                    <w:keepNext w:val="0"/>
                    <w:keepLines w:val="0"/>
                    <w:suppressLineNumbers w:val="0"/>
                    <w:adjustRightInd w:val="0"/>
                    <w:snapToGrid w:val="0"/>
                    <w:spacing w:before="0" w:beforeAutospacing="0" w:after="0" w:afterAutospacing="0"/>
                    <w:ind w:left="0" w:right="0"/>
                    <w:jc w:val="center"/>
                    <w:textAlignment w:val="center"/>
                    <w:rPr>
                      <w:rFonts w:hint="default"/>
                      <w:color w:val="000000"/>
                      <w:kern w:val="0"/>
                      <w:sz w:val="21"/>
                      <w:szCs w:val="21"/>
                      <w:highlight w:val="none"/>
                      <w:lang w:bidi="ar"/>
                    </w:rPr>
                  </w:pPr>
                  <w:r>
                    <w:rPr>
                      <w:rFonts w:hint="default"/>
                      <w:color w:val="000000"/>
                      <w:kern w:val="0"/>
                      <w:sz w:val="21"/>
                      <w:szCs w:val="21"/>
                      <w:highlight w:val="none"/>
                      <w:lang w:bidi="ar"/>
                    </w:rPr>
                    <w:t>mg/L</w:t>
                  </w:r>
                </w:p>
              </w:tc>
              <w:tc>
                <w:tcPr>
                  <w:tcW w:w="898" w:type="pct"/>
                  <w:vAlign w:val="center"/>
                </w:tcPr>
                <w:p w14:paraId="3CE63BC4">
                  <w:pPr>
                    <w:keepNext w:val="0"/>
                    <w:keepLines w:val="0"/>
                    <w:suppressLineNumbers w:val="0"/>
                    <w:adjustRightInd w:val="0"/>
                    <w:snapToGrid w:val="0"/>
                    <w:spacing w:before="0" w:beforeAutospacing="0" w:after="0" w:afterAutospacing="0"/>
                    <w:ind w:left="0" w:right="0"/>
                    <w:jc w:val="center"/>
                    <w:textAlignment w:val="center"/>
                    <w:rPr>
                      <w:rFonts w:hint="default"/>
                      <w:color w:val="000000"/>
                      <w:kern w:val="0"/>
                      <w:sz w:val="21"/>
                      <w:szCs w:val="21"/>
                      <w:highlight w:val="none"/>
                      <w:lang w:bidi="ar"/>
                    </w:rPr>
                  </w:pPr>
                  <w:r>
                    <w:rPr>
                      <w:rFonts w:hint="default"/>
                      <w:color w:val="000000"/>
                      <w:kern w:val="0"/>
                      <w:sz w:val="21"/>
                      <w:szCs w:val="21"/>
                      <w:highlight w:val="none"/>
                      <w:lang w:bidi="ar"/>
                    </w:rPr>
                    <w:t>3.3</w:t>
                  </w:r>
                </w:p>
              </w:tc>
              <w:tc>
                <w:tcPr>
                  <w:tcW w:w="897" w:type="pct"/>
                  <w:vAlign w:val="center"/>
                </w:tcPr>
                <w:p w14:paraId="1EFEEC1B">
                  <w:pPr>
                    <w:keepNext w:val="0"/>
                    <w:keepLines w:val="0"/>
                    <w:suppressLineNumbers w:val="0"/>
                    <w:adjustRightInd w:val="0"/>
                    <w:snapToGrid w:val="0"/>
                    <w:spacing w:before="0" w:beforeAutospacing="0" w:after="0" w:afterAutospacing="0"/>
                    <w:ind w:left="0" w:right="0"/>
                    <w:jc w:val="center"/>
                    <w:textAlignment w:val="center"/>
                    <w:rPr>
                      <w:rFonts w:hint="default"/>
                      <w:color w:val="000000"/>
                      <w:kern w:val="0"/>
                      <w:sz w:val="21"/>
                      <w:szCs w:val="21"/>
                      <w:highlight w:val="none"/>
                      <w:lang w:bidi="ar"/>
                    </w:rPr>
                  </w:pPr>
                  <w:r>
                    <w:rPr>
                      <w:rFonts w:hint="default"/>
                      <w:color w:val="000000"/>
                      <w:kern w:val="0"/>
                      <w:sz w:val="21"/>
                      <w:szCs w:val="21"/>
                      <w:highlight w:val="none"/>
                      <w:lang w:bidi="ar"/>
                    </w:rPr>
                    <w:t>3.0</w:t>
                  </w:r>
                </w:p>
              </w:tc>
              <w:tc>
                <w:tcPr>
                  <w:tcW w:w="900" w:type="pct"/>
                  <w:vAlign w:val="center"/>
                </w:tcPr>
                <w:p w14:paraId="32CF060F">
                  <w:pPr>
                    <w:keepNext w:val="0"/>
                    <w:keepLines w:val="0"/>
                    <w:suppressLineNumbers w:val="0"/>
                    <w:adjustRightInd w:val="0"/>
                    <w:snapToGrid w:val="0"/>
                    <w:spacing w:before="0" w:beforeAutospacing="0" w:after="0" w:afterAutospacing="0"/>
                    <w:ind w:left="0" w:right="0"/>
                    <w:jc w:val="center"/>
                    <w:textAlignment w:val="center"/>
                    <w:rPr>
                      <w:rFonts w:hint="default"/>
                      <w:color w:val="000000"/>
                      <w:kern w:val="0"/>
                      <w:sz w:val="21"/>
                      <w:szCs w:val="21"/>
                      <w:highlight w:val="none"/>
                      <w:lang w:bidi="ar"/>
                    </w:rPr>
                  </w:pPr>
                  <w:r>
                    <w:rPr>
                      <w:rFonts w:hint="default"/>
                      <w:color w:val="000000"/>
                      <w:kern w:val="0"/>
                      <w:sz w:val="21"/>
                      <w:szCs w:val="21"/>
                      <w:highlight w:val="none"/>
                      <w:lang w:bidi="ar"/>
                    </w:rPr>
                    <w:t>3.0</w:t>
                  </w:r>
                </w:p>
              </w:tc>
              <w:tc>
                <w:tcPr>
                  <w:tcW w:w="762" w:type="pct"/>
                  <w:vAlign w:val="center"/>
                </w:tcPr>
                <w:p w14:paraId="0D63AE8C">
                  <w:pPr>
                    <w:keepNext w:val="0"/>
                    <w:keepLines w:val="0"/>
                    <w:suppressLineNumbers w:val="0"/>
                    <w:adjustRightInd w:val="0"/>
                    <w:snapToGrid w:val="0"/>
                    <w:spacing w:before="0" w:beforeAutospacing="0" w:after="0" w:afterAutospacing="0"/>
                    <w:ind w:left="0" w:right="0"/>
                    <w:jc w:val="center"/>
                    <w:textAlignment w:val="center"/>
                    <w:rPr>
                      <w:rFonts w:hint="default"/>
                      <w:color w:val="000000"/>
                      <w:kern w:val="0"/>
                      <w:sz w:val="21"/>
                      <w:szCs w:val="21"/>
                      <w:highlight w:val="none"/>
                      <w:lang w:bidi="ar"/>
                    </w:rPr>
                  </w:pPr>
                  <w:r>
                    <w:rPr>
                      <w:rFonts w:hint="default"/>
                      <w:color w:val="000000"/>
                      <w:kern w:val="0"/>
                      <w:sz w:val="21"/>
                      <w:szCs w:val="21"/>
                      <w:highlight w:val="none"/>
                      <w:lang w:bidi="ar"/>
                    </w:rPr>
                    <w:t>6</w:t>
                  </w:r>
                </w:p>
              </w:tc>
            </w:tr>
            <w:tr w14:paraId="7E28EBA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956" w:type="pct"/>
                  <w:vAlign w:val="center"/>
                </w:tcPr>
                <w:p w14:paraId="1DE68D4F">
                  <w:pPr>
                    <w:keepNext w:val="0"/>
                    <w:keepLines w:val="0"/>
                    <w:suppressLineNumbers w:val="0"/>
                    <w:adjustRightInd w:val="0"/>
                    <w:snapToGrid w:val="0"/>
                    <w:spacing w:before="0" w:beforeAutospacing="0" w:after="0" w:afterAutospacing="0"/>
                    <w:ind w:left="0" w:right="0"/>
                    <w:jc w:val="center"/>
                    <w:rPr>
                      <w:rFonts w:hint="default"/>
                      <w:color w:val="000000"/>
                      <w:sz w:val="21"/>
                      <w:szCs w:val="21"/>
                      <w:highlight w:val="none"/>
                    </w:rPr>
                  </w:pPr>
                  <w:r>
                    <w:rPr>
                      <w:rFonts w:hint="default"/>
                      <w:color w:val="000000"/>
                      <w:sz w:val="21"/>
                      <w:szCs w:val="21"/>
                      <w:highlight w:val="none"/>
                    </w:rPr>
                    <w:t>CODcr</w:t>
                  </w:r>
                </w:p>
              </w:tc>
              <w:tc>
                <w:tcPr>
                  <w:tcW w:w="584" w:type="pct"/>
                  <w:vAlign w:val="center"/>
                </w:tcPr>
                <w:p w14:paraId="45A2DE4C">
                  <w:pPr>
                    <w:keepNext w:val="0"/>
                    <w:keepLines w:val="0"/>
                    <w:suppressLineNumbers w:val="0"/>
                    <w:adjustRightInd w:val="0"/>
                    <w:snapToGrid w:val="0"/>
                    <w:spacing w:before="0" w:beforeAutospacing="0" w:after="0" w:afterAutospacing="0"/>
                    <w:ind w:left="0" w:right="0"/>
                    <w:jc w:val="center"/>
                    <w:textAlignment w:val="center"/>
                    <w:rPr>
                      <w:rFonts w:hint="default"/>
                      <w:color w:val="000000"/>
                      <w:kern w:val="0"/>
                      <w:sz w:val="21"/>
                      <w:szCs w:val="21"/>
                      <w:highlight w:val="none"/>
                      <w:lang w:bidi="ar"/>
                    </w:rPr>
                  </w:pPr>
                  <w:r>
                    <w:rPr>
                      <w:rFonts w:hint="default"/>
                      <w:color w:val="000000"/>
                      <w:kern w:val="0"/>
                      <w:sz w:val="21"/>
                      <w:szCs w:val="21"/>
                      <w:highlight w:val="none"/>
                      <w:lang w:bidi="ar"/>
                    </w:rPr>
                    <w:t>mg/L</w:t>
                  </w:r>
                </w:p>
              </w:tc>
              <w:tc>
                <w:tcPr>
                  <w:tcW w:w="898" w:type="pct"/>
                  <w:vAlign w:val="center"/>
                </w:tcPr>
                <w:p w14:paraId="0A009173">
                  <w:pPr>
                    <w:keepNext w:val="0"/>
                    <w:keepLines w:val="0"/>
                    <w:suppressLineNumbers w:val="0"/>
                    <w:adjustRightInd w:val="0"/>
                    <w:snapToGrid w:val="0"/>
                    <w:spacing w:before="0" w:beforeAutospacing="0" w:after="0" w:afterAutospacing="0"/>
                    <w:ind w:left="0" w:right="0"/>
                    <w:jc w:val="center"/>
                    <w:textAlignment w:val="center"/>
                    <w:rPr>
                      <w:rFonts w:hint="default"/>
                      <w:color w:val="000000"/>
                      <w:kern w:val="0"/>
                      <w:sz w:val="21"/>
                      <w:szCs w:val="21"/>
                      <w:highlight w:val="none"/>
                      <w:lang w:bidi="ar"/>
                    </w:rPr>
                  </w:pPr>
                  <w:r>
                    <w:rPr>
                      <w:rFonts w:hint="default"/>
                      <w:color w:val="000000"/>
                      <w:kern w:val="0"/>
                      <w:sz w:val="21"/>
                      <w:szCs w:val="21"/>
                      <w:highlight w:val="none"/>
                      <w:lang w:bidi="ar"/>
                    </w:rPr>
                    <w:t>8</w:t>
                  </w:r>
                </w:p>
              </w:tc>
              <w:tc>
                <w:tcPr>
                  <w:tcW w:w="897" w:type="pct"/>
                  <w:vAlign w:val="center"/>
                </w:tcPr>
                <w:p w14:paraId="6587C5F1">
                  <w:pPr>
                    <w:keepNext w:val="0"/>
                    <w:keepLines w:val="0"/>
                    <w:suppressLineNumbers w:val="0"/>
                    <w:adjustRightInd w:val="0"/>
                    <w:snapToGrid w:val="0"/>
                    <w:spacing w:before="0" w:beforeAutospacing="0" w:after="0" w:afterAutospacing="0"/>
                    <w:ind w:left="0" w:right="0"/>
                    <w:jc w:val="center"/>
                    <w:textAlignment w:val="center"/>
                    <w:rPr>
                      <w:rFonts w:hint="default"/>
                      <w:color w:val="000000"/>
                      <w:kern w:val="0"/>
                      <w:sz w:val="21"/>
                      <w:szCs w:val="21"/>
                      <w:highlight w:val="none"/>
                      <w:lang w:bidi="ar"/>
                    </w:rPr>
                  </w:pPr>
                  <w:r>
                    <w:rPr>
                      <w:rFonts w:hint="default"/>
                      <w:color w:val="000000"/>
                      <w:kern w:val="0"/>
                      <w:sz w:val="21"/>
                      <w:szCs w:val="21"/>
                      <w:highlight w:val="none"/>
                      <w:lang w:bidi="ar"/>
                    </w:rPr>
                    <w:t>7</w:t>
                  </w:r>
                </w:p>
              </w:tc>
              <w:tc>
                <w:tcPr>
                  <w:tcW w:w="900" w:type="pct"/>
                  <w:vAlign w:val="center"/>
                </w:tcPr>
                <w:p w14:paraId="56F21FF0">
                  <w:pPr>
                    <w:keepNext w:val="0"/>
                    <w:keepLines w:val="0"/>
                    <w:suppressLineNumbers w:val="0"/>
                    <w:adjustRightInd w:val="0"/>
                    <w:snapToGrid w:val="0"/>
                    <w:spacing w:before="0" w:beforeAutospacing="0" w:after="0" w:afterAutospacing="0"/>
                    <w:ind w:left="0" w:right="0"/>
                    <w:jc w:val="center"/>
                    <w:textAlignment w:val="center"/>
                    <w:rPr>
                      <w:rFonts w:hint="default"/>
                      <w:color w:val="000000"/>
                      <w:kern w:val="0"/>
                      <w:sz w:val="21"/>
                      <w:szCs w:val="21"/>
                      <w:highlight w:val="none"/>
                      <w:lang w:bidi="ar"/>
                    </w:rPr>
                  </w:pPr>
                  <w:r>
                    <w:rPr>
                      <w:rFonts w:hint="default"/>
                      <w:color w:val="000000"/>
                      <w:kern w:val="0"/>
                      <w:sz w:val="21"/>
                      <w:szCs w:val="21"/>
                      <w:highlight w:val="none"/>
                      <w:lang w:bidi="ar"/>
                    </w:rPr>
                    <w:t>9</w:t>
                  </w:r>
                </w:p>
              </w:tc>
              <w:tc>
                <w:tcPr>
                  <w:tcW w:w="762" w:type="pct"/>
                  <w:vAlign w:val="center"/>
                </w:tcPr>
                <w:p w14:paraId="24E07C7C">
                  <w:pPr>
                    <w:keepNext w:val="0"/>
                    <w:keepLines w:val="0"/>
                    <w:suppressLineNumbers w:val="0"/>
                    <w:adjustRightInd w:val="0"/>
                    <w:snapToGrid w:val="0"/>
                    <w:spacing w:before="0" w:beforeAutospacing="0" w:after="0" w:afterAutospacing="0"/>
                    <w:ind w:left="0" w:right="0"/>
                    <w:jc w:val="center"/>
                    <w:textAlignment w:val="center"/>
                    <w:rPr>
                      <w:rFonts w:hint="default"/>
                      <w:color w:val="000000"/>
                      <w:kern w:val="0"/>
                      <w:sz w:val="21"/>
                      <w:szCs w:val="21"/>
                      <w:highlight w:val="none"/>
                      <w:lang w:bidi="ar"/>
                    </w:rPr>
                  </w:pPr>
                  <w:r>
                    <w:rPr>
                      <w:rFonts w:hint="default"/>
                      <w:color w:val="000000"/>
                      <w:kern w:val="0"/>
                      <w:sz w:val="21"/>
                      <w:szCs w:val="21"/>
                      <w:highlight w:val="none"/>
                      <w:lang w:bidi="ar"/>
                    </w:rPr>
                    <w:t>20</w:t>
                  </w:r>
                </w:p>
              </w:tc>
            </w:tr>
            <w:tr w14:paraId="1ADE71D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956" w:type="pct"/>
                  <w:vAlign w:val="center"/>
                </w:tcPr>
                <w:p w14:paraId="4917CFFE">
                  <w:pPr>
                    <w:keepNext w:val="0"/>
                    <w:keepLines w:val="0"/>
                    <w:suppressLineNumbers w:val="0"/>
                    <w:adjustRightInd w:val="0"/>
                    <w:snapToGrid w:val="0"/>
                    <w:spacing w:before="0" w:beforeAutospacing="0" w:after="0" w:afterAutospacing="0"/>
                    <w:ind w:left="0" w:right="0"/>
                    <w:jc w:val="center"/>
                    <w:rPr>
                      <w:rFonts w:hint="default"/>
                      <w:color w:val="000000"/>
                      <w:sz w:val="21"/>
                      <w:szCs w:val="21"/>
                      <w:highlight w:val="none"/>
                    </w:rPr>
                  </w:pPr>
                  <w:r>
                    <w:rPr>
                      <w:rFonts w:hint="default"/>
                      <w:color w:val="000000"/>
                      <w:sz w:val="21"/>
                      <w:szCs w:val="21"/>
                      <w:highlight w:val="none"/>
                    </w:rPr>
                    <w:t>BOD</w:t>
                  </w:r>
                  <w:r>
                    <w:rPr>
                      <w:rFonts w:hint="default"/>
                      <w:color w:val="000000"/>
                      <w:sz w:val="21"/>
                      <w:szCs w:val="21"/>
                      <w:highlight w:val="none"/>
                      <w:vertAlign w:val="subscript"/>
                    </w:rPr>
                    <w:t>5</w:t>
                  </w:r>
                </w:p>
              </w:tc>
              <w:tc>
                <w:tcPr>
                  <w:tcW w:w="584" w:type="pct"/>
                  <w:vAlign w:val="center"/>
                </w:tcPr>
                <w:p w14:paraId="5D4B6E02">
                  <w:pPr>
                    <w:keepNext w:val="0"/>
                    <w:keepLines w:val="0"/>
                    <w:suppressLineNumbers w:val="0"/>
                    <w:adjustRightInd w:val="0"/>
                    <w:snapToGrid w:val="0"/>
                    <w:spacing w:before="0" w:beforeAutospacing="0" w:after="0" w:afterAutospacing="0"/>
                    <w:ind w:left="0" w:right="0"/>
                    <w:jc w:val="center"/>
                    <w:textAlignment w:val="center"/>
                    <w:rPr>
                      <w:rFonts w:hint="default"/>
                      <w:color w:val="000000"/>
                      <w:kern w:val="0"/>
                      <w:sz w:val="21"/>
                      <w:szCs w:val="21"/>
                      <w:highlight w:val="none"/>
                      <w:lang w:bidi="ar"/>
                    </w:rPr>
                  </w:pPr>
                  <w:r>
                    <w:rPr>
                      <w:rFonts w:hint="default"/>
                      <w:color w:val="000000"/>
                      <w:kern w:val="0"/>
                      <w:sz w:val="21"/>
                      <w:szCs w:val="21"/>
                      <w:highlight w:val="none"/>
                      <w:lang w:bidi="ar"/>
                    </w:rPr>
                    <w:t>mg/L</w:t>
                  </w:r>
                </w:p>
              </w:tc>
              <w:tc>
                <w:tcPr>
                  <w:tcW w:w="898" w:type="pct"/>
                  <w:vAlign w:val="center"/>
                </w:tcPr>
                <w:p w14:paraId="31B54908">
                  <w:pPr>
                    <w:keepNext w:val="0"/>
                    <w:keepLines w:val="0"/>
                    <w:suppressLineNumbers w:val="0"/>
                    <w:adjustRightInd w:val="0"/>
                    <w:snapToGrid w:val="0"/>
                    <w:spacing w:before="0" w:beforeAutospacing="0" w:after="0" w:afterAutospacing="0"/>
                    <w:ind w:left="0" w:right="0"/>
                    <w:jc w:val="center"/>
                    <w:textAlignment w:val="center"/>
                    <w:rPr>
                      <w:rFonts w:hint="default"/>
                      <w:color w:val="000000"/>
                      <w:kern w:val="0"/>
                      <w:sz w:val="21"/>
                      <w:szCs w:val="21"/>
                      <w:highlight w:val="none"/>
                      <w:lang w:bidi="ar"/>
                    </w:rPr>
                  </w:pPr>
                  <w:r>
                    <w:rPr>
                      <w:rFonts w:hint="default"/>
                      <w:color w:val="000000"/>
                      <w:kern w:val="0"/>
                      <w:sz w:val="21"/>
                      <w:szCs w:val="21"/>
                      <w:highlight w:val="none"/>
                      <w:lang w:bidi="ar"/>
                    </w:rPr>
                    <w:t>2.3</w:t>
                  </w:r>
                </w:p>
              </w:tc>
              <w:tc>
                <w:tcPr>
                  <w:tcW w:w="897" w:type="pct"/>
                  <w:vAlign w:val="center"/>
                </w:tcPr>
                <w:p w14:paraId="17876F6B">
                  <w:pPr>
                    <w:keepNext w:val="0"/>
                    <w:keepLines w:val="0"/>
                    <w:suppressLineNumbers w:val="0"/>
                    <w:adjustRightInd w:val="0"/>
                    <w:snapToGrid w:val="0"/>
                    <w:spacing w:before="0" w:beforeAutospacing="0" w:after="0" w:afterAutospacing="0"/>
                    <w:ind w:left="0" w:right="0"/>
                    <w:jc w:val="center"/>
                    <w:textAlignment w:val="center"/>
                    <w:rPr>
                      <w:rFonts w:hint="default"/>
                      <w:color w:val="000000"/>
                      <w:kern w:val="0"/>
                      <w:sz w:val="21"/>
                      <w:szCs w:val="21"/>
                      <w:highlight w:val="none"/>
                      <w:lang w:bidi="ar"/>
                    </w:rPr>
                  </w:pPr>
                  <w:r>
                    <w:rPr>
                      <w:rFonts w:hint="default"/>
                      <w:color w:val="000000"/>
                      <w:kern w:val="0"/>
                      <w:sz w:val="21"/>
                      <w:szCs w:val="21"/>
                      <w:highlight w:val="none"/>
                      <w:lang w:bidi="ar"/>
                    </w:rPr>
                    <w:t>2.2</w:t>
                  </w:r>
                </w:p>
              </w:tc>
              <w:tc>
                <w:tcPr>
                  <w:tcW w:w="900" w:type="pct"/>
                  <w:vAlign w:val="center"/>
                </w:tcPr>
                <w:p w14:paraId="79B46FA9">
                  <w:pPr>
                    <w:keepNext w:val="0"/>
                    <w:keepLines w:val="0"/>
                    <w:suppressLineNumbers w:val="0"/>
                    <w:adjustRightInd w:val="0"/>
                    <w:snapToGrid w:val="0"/>
                    <w:spacing w:before="0" w:beforeAutospacing="0" w:after="0" w:afterAutospacing="0"/>
                    <w:ind w:left="0" w:right="0"/>
                    <w:jc w:val="center"/>
                    <w:textAlignment w:val="center"/>
                    <w:rPr>
                      <w:rFonts w:hint="default"/>
                      <w:color w:val="000000"/>
                      <w:kern w:val="0"/>
                      <w:sz w:val="21"/>
                      <w:szCs w:val="21"/>
                      <w:highlight w:val="none"/>
                      <w:lang w:bidi="ar"/>
                    </w:rPr>
                  </w:pPr>
                  <w:r>
                    <w:rPr>
                      <w:rFonts w:hint="default"/>
                      <w:color w:val="000000"/>
                      <w:kern w:val="0"/>
                      <w:sz w:val="21"/>
                      <w:szCs w:val="21"/>
                      <w:highlight w:val="none"/>
                      <w:lang w:bidi="ar"/>
                    </w:rPr>
                    <w:t>2.5</w:t>
                  </w:r>
                </w:p>
              </w:tc>
              <w:tc>
                <w:tcPr>
                  <w:tcW w:w="762" w:type="pct"/>
                  <w:vAlign w:val="center"/>
                </w:tcPr>
                <w:p w14:paraId="6E631A0F">
                  <w:pPr>
                    <w:keepNext w:val="0"/>
                    <w:keepLines w:val="0"/>
                    <w:suppressLineNumbers w:val="0"/>
                    <w:adjustRightInd w:val="0"/>
                    <w:snapToGrid w:val="0"/>
                    <w:spacing w:before="0" w:beforeAutospacing="0" w:after="0" w:afterAutospacing="0"/>
                    <w:ind w:left="0" w:right="0"/>
                    <w:jc w:val="center"/>
                    <w:textAlignment w:val="center"/>
                    <w:rPr>
                      <w:rFonts w:hint="default"/>
                      <w:color w:val="000000"/>
                      <w:kern w:val="0"/>
                      <w:sz w:val="21"/>
                      <w:szCs w:val="21"/>
                      <w:highlight w:val="none"/>
                      <w:lang w:bidi="ar"/>
                    </w:rPr>
                  </w:pPr>
                  <w:r>
                    <w:rPr>
                      <w:rFonts w:hint="default"/>
                      <w:color w:val="000000"/>
                      <w:kern w:val="0"/>
                      <w:sz w:val="21"/>
                      <w:szCs w:val="21"/>
                      <w:highlight w:val="none"/>
                      <w:lang w:bidi="ar"/>
                    </w:rPr>
                    <w:t>4</w:t>
                  </w:r>
                </w:p>
              </w:tc>
            </w:tr>
            <w:tr w14:paraId="074907B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956" w:type="pct"/>
                  <w:vAlign w:val="center"/>
                </w:tcPr>
                <w:p w14:paraId="1FF66CAB">
                  <w:pPr>
                    <w:keepNext w:val="0"/>
                    <w:keepLines w:val="0"/>
                    <w:suppressLineNumbers w:val="0"/>
                    <w:adjustRightInd w:val="0"/>
                    <w:snapToGrid w:val="0"/>
                    <w:spacing w:before="0" w:beforeAutospacing="0" w:after="0" w:afterAutospacing="0"/>
                    <w:ind w:left="0" w:right="0"/>
                    <w:jc w:val="center"/>
                    <w:rPr>
                      <w:rFonts w:hint="default"/>
                      <w:color w:val="000000"/>
                      <w:sz w:val="21"/>
                      <w:szCs w:val="21"/>
                      <w:highlight w:val="none"/>
                    </w:rPr>
                  </w:pPr>
                  <w:r>
                    <w:rPr>
                      <w:rFonts w:hint="default"/>
                      <w:color w:val="000000"/>
                      <w:sz w:val="21"/>
                      <w:szCs w:val="21"/>
                      <w:highlight w:val="none"/>
                    </w:rPr>
                    <w:t>氨氮</w:t>
                  </w:r>
                </w:p>
              </w:tc>
              <w:tc>
                <w:tcPr>
                  <w:tcW w:w="584" w:type="pct"/>
                  <w:vAlign w:val="center"/>
                </w:tcPr>
                <w:p w14:paraId="31BB72DC">
                  <w:pPr>
                    <w:keepNext w:val="0"/>
                    <w:keepLines w:val="0"/>
                    <w:suppressLineNumbers w:val="0"/>
                    <w:adjustRightInd w:val="0"/>
                    <w:snapToGrid w:val="0"/>
                    <w:spacing w:before="0" w:beforeAutospacing="0" w:after="0" w:afterAutospacing="0"/>
                    <w:ind w:left="0" w:right="0"/>
                    <w:jc w:val="center"/>
                    <w:textAlignment w:val="center"/>
                    <w:rPr>
                      <w:rFonts w:hint="default"/>
                      <w:color w:val="000000"/>
                      <w:kern w:val="0"/>
                      <w:sz w:val="21"/>
                      <w:szCs w:val="21"/>
                      <w:highlight w:val="none"/>
                      <w:lang w:bidi="ar"/>
                    </w:rPr>
                  </w:pPr>
                  <w:r>
                    <w:rPr>
                      <w:rFonts w:hint="default"/>
                      <w:color w:val="000000"/>
                      <w:kern w:val="0"/>
                      <w:sz w:val="21"/>
                      <w:szCs w:val="21"/>
                      <w:highlight w:val="none"/>
                      <w:lang w:bidi="ar"/>
                    </w:rPr>
                    <w:t>mg/L</w:t>
                  </w:r>
                </w:p>
              </w:tc>
              <w:tc>
                <w:tcPr>
                  <w:tcW w:w="898" w:type="pct"/>
                  <w:vAlign w:val="center"/>
                </w:tcPr>
                <w:p w14:paraId="62AB96A2">
                  <w:pPr>
                    <w:keepNext w:val="0"/>
                    <w:keepLines w:val="0"/>
                    <w:suppressLineNumbers w:val="0"/>
                    <w:adjustRightInd w:val="0"/>
                    <w:snapToGrid w:val="0"/>
                    <w:spacing w:before="0" w:beforeAutospacing="0" w:after="0" w:afterAutospacing="0"/>
                    <w:ind w:left="0" w:right="0"/>
                    <w:jc w:val="center"/>
                    <w:textAlignment w:val="center"/>
                    <w:rPr>
                      <w:rFonts w:hint="default"/>
                      <w:color w:val="000000"/>
                      <w:kern w:val="0"/>
                      <w:sz w:val="21"/>
                      <w:szCs w:val="21"/>
                      <w:highlight w:val="none"/>
                      <w:lang w:bidi="ar"/>
                    </w:rPr>
                  </w:pPr>
                  <w:r>
                    <w:rPr>
                      <w:rFonts w:hint="default"/>
                      <w:color w:val="000000"/>
                      <w:kern w:val="0"/>
                      <w:sz w:val="21"/>
                      <w:szCs w:val="21"/>
                      <w:highlight w:val="none"/>
                      <w:lang w:bidi="ar"/>
                    </w:rPr>
                    <w:t>0.057</w:t>
                  </w:r>
                </w:p>
              </w:tc>
              <w:tc>
                <w:tcPr>
                  <w:tcW w:w="897" w:type="pct"/>
                  <w:vAlign w:val="center"/>
                </w:tcPr>
                <w:p w14:paraId="383BDCFB">
                  <w:pPr>
                    <w:keepNext w:val="0"/>
                    <w:keepLines w:val="0"/>
                    <w:suppressLineNumbers w:val="0"/>
                    <w:adjustRightInd w:val="0"/>
                    <w:snapToGrid w:val="0"/>
                    <w:spacing w:before="0" w:beforeAutospacing="0" w:after="0" w:afterAutospacing="0"/>
                    <w:ind w:left="0" w:right="0"/>
                    <w:jc w:val="center"/>
                    <w:textAlignment w:val="center"/>
                    <w:rPr>
                      <w:rFonts w:hint="default"/>
                      <w:color w:val="000000"/>
                      <w:kern w:val="0"/>
                      <w:sz w:val="21"/>
                      <w:szCs w:val="21"/>
                      <w:highlight w:val="none"/>
                      <w:lang w:bidi="ar"/>
                    </w:rPr>
                  </w:pPr>
                  <w:r>
                    <w:rPr>
                      <w:rFonts w:hint="default"/>
                      <w:color w:val="000000"/>
                      <w:kern w:val="0"/>
                      <w:sz w:val="21"/>
                      <w:szCs w:val="21"/>
                      <w:highlight w:val="none"/>
                      <w:lang w:bidi="ar"/>
                    </w:rPr>
                    <w:t>0.042</w:t>
                  </w:r>
                </w:p>
              </w:tc>
              <w:tc>
                <w:tcPr>
                  <w:tcW w:w="900" w:type="pct"/>
                  <w:vAlign w:val="center"/>
                </w:tcPr>
                <w:p w14:paraId="1C2B0F6D">
                  <w:pPr>
                    <w:keepNext w:val="0"/>
                    <w:keepLines w:val="0"/>
                    <w:suppressLineNumbers w:val="0"/>
                    <w:adjustRightInd w:val="0"/>
                    <w:snapToGrid w:val="0"/>
                    <w:spacing w:before="0" w:beforeAutospacing="0" w:after="0" w:afterAutospacing="0"/>
                    <w:ind w:left="0" w:right="0"/>
                    <w:jc w:val="center"/>
                    <w:textAlignment w:val="center"/>
                    <w:rPr>
                      <w:rFonts w:hint="default"/>
                      <w:color w:val="000000"/>
                      <w:kern w:val="0"/>
                      <w:sz w:val="21"/>
                      <w:szCs w:val="21"/>
                      <w:highlight w:val="none"/>
                      <w:lang w:bidi="ar"/>
                    </w:rPr>
                  </w:pPr>
                  <w:r>
                    <w:rPr>
                      <w:rFonts w:hint="default"/>
                      <w:color w:val="000000"/>
                      <w:kern w:val="0"/>
                      <w:sz w:val="21"/>
                      <w:szCs w:val="21"/>
                      <w:highlight w:val="none"/>
                      <w:lang w:bidi="ar"/>
                    </w:rPr>
                    <w:t>0.047</w:t>
                  </w:r>
                </w:p>
              </w:tc>
              <w:tc>
                <w:tcPr>
                  <w:tcW w:w="762" w:type="pct"/>
                  <w:vAlign w:val="center"/>
                </w:tcPr>
                <w:p w14:paraId="0FDD5D13">
                  <w:pPr>
                    <w:keepNext w:val="0"/>
                    <w:keepLines w:val="0"/>
                    <w:suppressLineNumbers w:val="0"/>
                    <w:adjustRightInd w:val="0"/>
                    <w:snapToGrid w:val="0"/>
                    <w:spacing w:before="0" w:beforeAutospacing="0" w:after="0" w:afterAutospacing="0"/>
                    <w:ind w:left="0" w:right="0"/>
                    <w:jc w:val="center"/>
                    <w:textAlignment w:val="center"/>
                    <w:rPr>
                      <w:rFonts w:hint="default"/>
                      <w:color w:val="000000"/>
                      <w:kern w:val="0"/>
                      <w:sz w:val="21"/>
                      <w:szCs w:val="21"/>
                      <w:highlight w:val="none"/>
                      <w:lang w:bidi="ar"/>
                    </w:rPr>
                  </w:pPr>
                  <w:r>
                    <w:rPr>
                      <w:rFonts w:hint="default"/>
                      <w:color w:val="000000"/>
                      <w:kern w:val="0"/>
                      <w:sz w:val="21"/>
                      <w:szCs w:val="21"/>
                      <w:highlight w:val="none"/>
                      <w:lang w:bidi="ar"/>
                    </w:rPr>
                    <w:t>1.0</w:t>
                  </w:r>
                </w:p>
              </w:tc>
            </w:tr>
            <w:tr w14:paraId="1D35C72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956" w:type="pct"/>
                  <w:vAlign w:val="center"/>
                </w:tcPr>
                <w:p w14:paraId="50284FF2">
                  <w:pPr>
                    <w:keepNext w:val="0"/>
                    <w:keepLines w:val="0"/>
                    <w:suppressLineNumbers w:val="0"/>
                    <w:adjustRightInd w:val="0"/>
                    <w:snapToGrid w:val="0"/>
                    <w:spacing w:before="0" w:beforeAutospacing="0" w:after="0" w:afterAutospacing="0"/>
                    <w:ind w:left="0" w:right="0"/>
                    <w:jc w:val="center"/>
                    <w:rPr>
                      <w:rFonts w:hint="default"/>
                      <w:color w:val="000000"/>
                      <w:sz w:val="21"/>
                      <w:szCs w:val="21"/>
                      <w:highlight w:val="none"/>
                    </w:rPr>
                  </w:pPr>
                  <w:r>
                    <w:rPr>
                      <w:rFonts w:hint="default"/>
                      <w:color w:val="000000"/>
                      <w:sz w:val="21"/>
                      <w:szCs w:val="21"/>
                      <w:highlight w:val="none"/>
                    </w:rPr>
                    <w:t>总氮</w:t>
                  </w:r>
                </w:p>
              </w:tc>
              <w:tc>
                <w:tcPr>
                  <w:tcW w:w="584" w:type="pct"/>
                  <w:vAlign w:val="center"/>
                </w:tcPr>
                <w:p w14:paraId="3AC0A28E">
                  <w:pPr>
                    <w:keepNext w:val="0"/>
                    <w:keepLines w:val="0"/>
                    <w:suppressLineNumbers w:val="0"/>
                    <w:adjustRightInd w:val="0"/>
                    <w:snapToGrid w:val="0"/>
                    <w:spacing w:before="0" w:beforeAutospacing="0" w:after="0" w:afterAutospacing="0"/>
                    <w:ind w:left="0" w:right="0"/>
                    <w:jc w:val="center"/>
                    <w:textAlignment w:val="center"/>
                    <w:rPr>
                      <w:rFonts w:hint="default"/>
                      <w:color w:val="000000"/>
                      <w:kern w:val="0"/>
                      <w:sz w:val="21"/>
                      <w:szCs w:val="21"/>
                      <w:highlight w:val="none"/>
                      <w:lang w:bidi="ar"/>
                    </w:rPr>
                  </w:pPr>
                  <w:r>
                    <w:rPr>
                      <w:rFonts w:hint="default"/>
                      <w:color w:val="000000"/>
                      <w:kern w:val="0"/>
                      <w:sz w:val="21"/>
                      <w:szCs w:val="21"/>
                      <w:highlight w:val="none"/>
                      <w:lang w:bidi="ar"/>
                    </w:rPr>
                    <w:t>mg/L</w:t>
                  </w:r>
                </w:p>
              </w:tc>
              <w:tc>
                <w:tcPr>
                  <w:tcW w:w="898" w:type="pct"/>
                  <w:vAlign w:val="center"/>
                </w:tcPr>
                <w:p w14:paraId="753CEC31">
                  <w:pPr>
                    <w:keepNext w:val="0"/>
                    <w:keepLines w:val="0"/>
                    <w:suppressLineNumbers w:val="0"/>
                    <w:adjustRightInd w:val="0"/>
                    <w:snapToGrid w:val="0"/>
                    <w:spacing w:before="0" w:beforeAutospacing="0" w:after="0" w:afterAutospacing="0"/>
                    <w:ind w:left="0" w:right="0"/>
                    <w:jc w:val="center"/>
                    <w:textAlignment w:val="center"/>
                    <w:rPr>
                      <w:rFonts w:hint="default"/>
                      <w:color w:val="000000"/>
                      <w:kern w:val="0"/>
                      <w:sz w:val="21"/>
                      <w:szCs w:val="21"/>
                      <w:highlight w:val="none"/>
                      <w:lang w:bidi="ar"/>
                    </w:rPr>
                  </w:pPr>
                  <w:r>
                    <w:rPr>
                      <w:rFonts w:hint="default"/>
                      <w:color w:val="000000"/>
                      <w:kern w:val="0"/>
                      <w:sz w:val="21"/>
                      <w:szCs w:val="21"/>
                      <w:highlight w:val="none"/>
                      <w:lang w:bidi="ar"/>
                    </w:rPr>
                    <w:t>2.68</w:t>
                  </w:r>
                </w:p>
              </w:tc>
              <w:tc>
                <w:tcPr>
                  <w:tcW w:w="897" w:type="pct"/>
                  <w:vAlign w:val="center"/>
                </w:tcPr>
                <w:p w14:paraId="28928947">
                  <w:pPr>
                    <w:keepNext w:val="0"/>
                    <w:keepLines w:val="0"/>
                    <w:suppressLineNumbers w:val="0"/>
                    <w:adjustRightInd w:val="0"/>
                    <w:snapToGrid w:val="0"/>
                    <w:spacing w:before="0" w:beforeAutospacing="0" w:after="0" w:afterAutospacing="0"/>
                    <w:ind w:left="0" w:right="0"/>
                    <w:jc w:val="center"/>
                    <w:textAlignment w:val="center"/>
                    <w:rPr>
                      <w:rFonts w:hint="default"/>
                      <w:color w:val="000000"/>
                      <w:kern w:val="0"/>
                      <w:sz w:val="21"/>
                      <w:szCs w:val="21"/>
                      <w:highlight w:val="none"/>
                      <w:lang w:bidi="ar"/>
                    </w:rPr>
                  </w:pPr>
                  <w:r>
                    <w:rPr>
                      <w:rFonts w:hint="default"/>
                      <w:color w:val="000000"/>
                      <w:kern w:val="0"/>
                      <w:sz w:val="21"/>
                      <w:szCs w:val="21"/>
                      <w:highlight w:val="none"/>
                      <w:lang w:bidi="ar"/>
                    </w:rPr>
                    <w:t>2.73</w:t>
                  </w:r>
                </w:p>
              </w:tc>
              <w:tc>
                <w:tcPr>
                  <w:tcW w:w="900" w:type="pct"/>
                  <w:vAlign w:val="center"/>
                </w:tcPr>
                <w:p w14:paraId="3BD2BFE2">
                  <w:pPr>
                    <w:keepNext w:val="0"/>
                    <w:keepLines w:val="0"/>
                    <w:suppressLineNumbers w:val="0"/>
                    <w:adjustRightInd w:val="0"/>
                    <w:snapToGrid w:val="0"/>
                    <w:spacing w:before="0" w:beforeAutospacing="0" w:after="0" w:afterAutospacing="0"/>
                    <w:ind w:left="0" w:right="0"/>
                    <w:jc w:val="center"/>
                    <w:textAlignment w:val="center"/>
                    <w:rPr>
                      <w:rFonts w:hint="default"/>
                      <w:color w:val="000000"/>
                      <w:kern w:val="0"/>
                      <w:sz w:val="21"/>
                      <w:szCs w:val="21"/>
                      <w:highlight w:val="none"/>
                      <w:lang w:bidi="ar"/>
                    </w:rPr>
                  </w:pPr>
                  <w:r>
                    <w:rPr>
                      <w:rFonts w:hint="default"/>
                      <w:color w:val="000000"/>
                      <w:kern w:val="0"/>
                      <w:sz w:val="21"/>
                      <w:szCs w:val="21"/>
                      <w:highlight w:val="none"/>
                      <w:lang w:bidi="ar"/>
                    </w:rPr>
                    <w:t>2.67</w:t>
                  </w:r>
                </w:p>
              </w:tc>
              <w:tc>
                <w:tcPr>
                  <w:tcW w:w="762" w:type="pct"/>
                  <w:vAlign w:val="center"/>
                </w:tcPr>
                <w:p w14:paraId="4CC80B50">
                  <w:pPr>
                    <w:keepNext w:val="0"/>
                    <w:keepLines w:val="0"/>
                    <w:suppressLineNumbers w:val="0"/>
                    <w:adjustRightInd w:val="0"/>
                    <w:snapToGrid w:val="0"/>
                    <w:spacing w:before="0" w:beforeAutospacing="0" w:after="0" w:afterAutospacing="0"/>
                    <w:ind w:left="0" w:right="0"/>
                    <w:jc w:val="center"/>
                    <w:textAlignment w:val="center"/>
                    <w:rPr>
                      <w:rFonts w:hint="default"/>
                      <w:color w:val="000000"/>
                      <w:kern w:val="0"/>
                      <w:sz w:val="21"/>
                      <w:szCs w:val="21"/>
                      <w:highlight w:val="none"/>
                      <w:lang w:bidi="ar"/>
                    </w:rPr>
                  </w:pPr>
                  <w:r>
                    <w:rPr>
                      <w:rFonts w:hint="default"/>
                      <w:color w:val="000000"/>
                      <w:kern w:val="0"/>
                      <w:sz w:val="21"/>
                      <w:szCs w:val="21"/>
                      <w:highlight w:val="none"/>
                      <w:lang w:bidi="ar"/>
                    </w:rPr>
                    <w:t>-</w:t>
                  </w:r>
                </w:p>
              </w:tc>
            </w:tr>
            <w:tr w14:paraId="356AC31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956" w:type="pct"/>
                  <w:vAlign w:val="center"/>
                </w:tcPr>
                <w:p w14:paraId="4385C5DB">
                  <w:pPr>
                    <w:keepNext w:val="0"/>
                    <w:keepLines w:val="0"/>
                    <w:suppressLineNumbers w:val="0"/>
                    <w:adjustRightInd w:val="0"/>
                    <w:snapToGrid w:val="0"/>
                    <w:spacing w:before="0" w:beforeAutospacing="0" w:after="0" w:afterAutospacing="0"/>
                    <w:ind w:left="0" w:right="0"/>
                    <w:jc w:val="center"/>
                    <w:rPr>
                      <w:rFonts w:hint="default"/>
                      <w:color w:val="000000"/>
                      <w:sz w:val="21"/>
                      <w:szCs w:val="21"/>
                      <w:highlight w:val="none"/>
                    </w:rPr>
                  </w:pPr>
                  <w:r>
                    <w:rPr>
                      <w:rFonts w:hint="default"/>
                      <w:color w:val="000000"/>
                      <w:sz w:val="21"/>
                      <w:szCs w:val="21"/>
                      <w:highlight w:val="none"/>
                    </w:rPr>
                    <w:t>锌</w:t>
                  </w:r>
                </w:p>
              </w:tc>
              <w:tc>
                <w:tcPr>
                  <w:tcW w:w="584" w:type="pct"/>
                  <w:vAlign w:val="center"/>
                </w:tcPr>
                <w:p w14:paraId="04286222">
                  <w:pPr>
                    <w:keepNext w:val="0"/>
                    <w:keepLines w:val="0"/>
                    <w:suppressLineNumbers w:val="0"/>
                    <w:adjustRightInd w:val="0"/>
                    <w:snapToGrid w:val="0"/>
                    <w:spacing w:before="0" w:beforeAutospacing="0" w:after="0" w:afterAutospacing="0"/>
                    <w:ind w:left="0" w:right="0"/>
                    <w:jc w:val="center"/>
                    <w:textAlignment w:val="center"/>
                    <w:rPr>
                      <w:rFonts w:hint="default"/>
                      <w:color w:val="000000"/>
                      <w:kern w:val="0"/>
                      <w:sz w:val="21"/>
                      <w:szCs w:val="21"/>
                      <w:highlight w:val="none"/>
                      <w:lang w:bidi="ar"/>
                    </w:rPr>
                  </w:pPr>
                  <w:r>
                    <w:rPr>
                      <w:rFonts w:hint="default"/>
                      <w:color w:val="000000"/>
                      <w:kern w:val="0"/>
                      <w:sz w:val="21"/>
                      <w:szCs w:val="21"/>
                      <w:highlight w:val="none"/>
                      <w:lang w:bidi="ar"/>
                    </w:rPr>
                    <w:t>mg/L</w:t>
                  </w:r>
                </w:p>
              </w:tc>
              <w:tc>
                <w:tcPr>
                  <w:tcW w:w="898" w:type="pct"/>
                  <w:vAlign w:val="center"/>
                </w:tcPr>
                <w:p w14:paraId="272E7C5E">
                  <w:pPr>
                    <w:keepNext w:val="0"/>
                    <w:keepLines w:val="0"/>
                    <w:suppressLineNumbers w:val="0"/>
                    <w:adjustRightInd w:val="0"/>
                    <w:snapToGrid w:val="0"/>
                    <w:spacing w:before="0" w:beforeAutospacing="0" w:after="0" w:afterAutospacing="0"/>
                    <w:ind w:left="0" w:right="0"/>
                    <w:jc w:val="center"/>
                    <w:textAlignment w:val="center"/>
                    <w:rPr>
                      <w:rFonts w:hint="default"/>
                      <w:color w:val="000000"/>
                      <w:kern w:val="0"/>
                      <w:sz w:val="21"/>
                      <w:szCs w:val="21"/>
                      <w:highlight w:val="none"/>
                      <w:lang w:bidi="ar"/>
                    </w:rPr>
                  </w:pPr>
                  <w:r>
                    <w:rPr>
                      <w:rFonts w:hint="default"/>
                      <w:color w:val="000000"/>
                      <w:kern w:val="0"/>
                      <w:sz w:val="21"/>
                      <w:szCs w:val="21"/>
                      <w:highlight w:val="none"/>
                      <w:lang w:bidi="ar"/>
                    </w:rPr>
                    <w:t>＜0.009</w:t>
                  </w:r>
                </w:p>
              </w:tc>
              <w:tc>
                <w:tcPr>
                  <w:tcW w:w="897" w:type="pct"/>
                  <w:vAlign w:val="center"/>
                </w:tcPr>
                <w:p w14:paraId="127A6928">
                  <w:pPr>
                    <w:keepNext w:val="0"/>
                    <w:keepLines w:val="0"/>
                    <w:suppressLineNumbers w:val="0"/>
                    <w:adjustRightInd w:val="0"/>
                    <w:snapToGrid w:val="0"/>
                    <w:spacing w:before="0" w:beforeAutospacing="0" w:after="0" w:afterAutospacing="0"/>
                    <w:ind w:left="0" w:right="0"/>
                    <w:jc w:val="center"/>
                    <w:textAlignment w:val="center"/>
                    <w:rPr>
                      <w:rFonts w:hint="default"/>
                      <w:color w:val="000000"/>
                      <w:kern w:val="0"/>
                      <w:sz w:val="21"/>
                      <w:szCs w:val="21"/>
                      <w:highlight w:val="none"/>
                      <w:lang w:bidi="ar"/>
                    </w:rPr>
                  </w:pPr>
                  <w:r>
                    <w:rPr>
                      <w:rFonts w:hint="default"/>
                      <w:color w:val="000000"/>
                      <w:kern w:val="0"/>
                      <w:sz w:val="21"/>
                      <w:szCs w:val="21"/>
                      <w:highlight w:val="none"/>
                      <w:lang w:bidi="ar"/>
                    </w:rPr>
                    <w:t>＜0.009</w:t>
                  </w:r>
                </w:p>
              </w:tc>
              <w:tc>
                <w:tcPr>
                  <w:tcW w:w="900" w:type="pct"/>
                  <w:vAlign w:val="center"/>
                </w:tcPr>
                <w:p w14:paraId="0A8E6EE4">
                  <w:pPr>
                    <w:keepNext w:val="0"/>
                    <w:keepLines w:val="0"/>
                    <w:suppressLineNumbers w:val="0"/>
                    <w:adjustRightInd w:val="0"/>
                    <w:snapToGrid w:val="0"/>
                    <w:spacing w:before="0" w:beforeAutospacing="0" w:after="0" w:afterAutospacing="0"/>
                    <w:ind w:left="0" w:right="0"/>
                    <w:jc w:val="center"/>
                    <w:textAlignment w:val="center"/>
                    <w:rPr>
                      <w:rFonts w:hint="default"/>
                      <w:color w:val="000000"/>
                      <w:kern w:val="0"/>
                      <w:sz w:val="21"/>
                      <w:szCs w:val="21"/>
                      <w:highlight w:val="none"/>
                      <w:lang w:bidi="ar"/>
                    </w:rPr>
                  </w:pPr>
                  <w:r>
                    <w:rPr>
                      <w:rFonts w:hint="default"/>
                      <w:color w:val="000000"/>
                      <w:kern w:val="0"/>
                      <w:sz w:val="21"/>
                      <w:szCs w:val="21"/>
                      <w:highlight w:val="none"/>
                      <w:lang w:bidi="ar"/>
                    </w:rPr>
                    <w:t>＜0.009</w:t>
                  </w:r>
                </w:p>
              </w:tc>
              <w:tc>
                <w:tcPr>
                  <w:tcW w:w="762" w:type="pct"/>
                  <w:vAlign w:val="center"/>
                </w:tcPr>
                <w:p w14:paraId="27676F3C">
                  <w:pPr>
                    <w:keepNext w:val="0"/>
                    <w:keepLines w:val="0"/>
                    <w:suppressLineNumbers w:val="0"/>
                    <w:adjustRightInd w:val="0"/>
                    <w:snapToGrid w:val="0"/>
                    <w:spacing w:before="0" w:beforeAutospacing="0" w:after="0" w:afterAutospacing="0"/>
                    <w:ind w:left="0" w:right="0"/>
                    <w:jc w:val="center"/>
                    <w:textAlignment w:val="center"/>
                    <w:rPr>
                      <w:rFonts w:hint="default"/>
                      <w:color w:val="000000"/>
                      <w:kern w:val="0"/>
                      <w:sz w:val="21"/>
                      <w:szCs w:val="21"/>
                      <w:highlight w:val="none"/>
                      <w:lang w:bidi="ar"/>
                    </w:rPr>
                  </w:pPr>
                  <w:r>
                    <w:rPr>
                      <w:rFonts w:hint="default"/>
                      <w:color w:val="000000"/>
                      <w:kern w:val="0"/>
                      <w:sz w:val="21"/>
                      <w:szCs w:val="21"/>
                      <w:highlight w:val="none"/>
                      <w:lang w:bidi="ar"/>
                    </w:rPr>
                    <w:t>1.0</w:t>
                  </w:r>
                </w:p>
              </w:tc>
            </w:tr>
            <w:tr w14:paraId="2B3685E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956" w:type="pct"/>
                  <w:vAlign w:val="center"/>
                </w:tcPr>
                <w:p w14:paraId="1F7C6D2D">
                  <w:pPr>
                    <w:keepNext w:val="0"/>
                    <w:keepLines w:val="0"/>
                    <w:suppressLineNumbers w:val="0"/>
                    <w:adjustRightInd w:val="0"/>
                    <w:snapToGrid w:val="0"/>
                    <w:spacing w:before="0" w:beforeAutospacing="0" w:after="0" w:afterAutospacing="0"/>
                    <w:ind w:left="0" w:right="0"/>
                    <w:jc w:val="center"/>
                    <w:rPr>
                      <w:rFonts w:hint="default"/>
                      <w:color w:val="000000"/>
                      <w:sz w:val="21"/>
                      <w:szCs w:val="21"/>
                      <w:highlight w:val="none"/>
                    </w:rPr>
                  </w:pPr>
                  <w:r>
                    <w:rPr>
                      <w:rFonts w:hint="default"/>
                      <w:color w:val="000000"/>
                      <w:sz w:val="21"/>
                      <w:szCs w:val="21"/>
                      <w:highlight w:val="none"/>
                    </w:rPr>
                    <w:t>石油类</w:t>
                  </w:r>
                </w:p>
              </w:tc>
              <w:tc>
                <w:tcPr>
                  <w:tcW w:w="584" w:type="pct"/>
                  <w:vAlign w:val="center"/>
                </w:tcPr>
                <w:p w14:paraId="497E1404">
                  <w:pPr>
                    <w:keepNext w:val="0"/>
                    <w:keepLines w:val="0"/>
                    <w:suppressLineNumbers w:val="0"/>
                    <w:adjustRightInd w:val="0"/>
                    <w:snapToGrid w:val="0"/>
                    <w:spacing w:before="0" w:beforeAutospacing="0" w:after="0" w:afterAutospacing="0"/>
                    <w:ind w:left="0" w:right="0"/>
                    <w:jc w:val="center"/>
                    <w:textAlignment w:val="center"/>
                    <w:rPr>
                      <w:rFonts w:hint="default"/>
                      <w:color w:val="000000"/>
                      <w:kern w:val="0"/>
                      <w:sz w:val="21"/>
                      <w:szCs w:val="21"/>
                      <w:highlight w:val="none"/>
                      <w:lang w:bidi="ar"/>
                    </w:rPr>
                  </w:pPr>
                  <w:r>
                    <w:rPr>
                      <w:rFonts w:hint="default"/>
                      <w:color w:val="000000"/>
                      <w:kern w:val="0"/>
                      <w:sz w:val="21"/>
                      <w:szCs w:val="21"/>
                      <w:highlight w:val="none"/>
                      <w:lang w:bidi="ar"/>
                    </w:rPr>
                    <w:t>mg/L</w:t>
                  </w:r>
                </w:p>
              </w:tc>
              <w:tc>
                <w:tcPr>
                  <w:tcW w:w="898" w:type="pct"/>
                  <w:vAlign w:val="center"/>
                </w:tcPr>
                <w:p w14:paraId="2E0FF16B">
                  <w:pPr>
                    <w:keepNext w:val="0"/>
                    <w:keepLines w:val="0"/>
                    <w:suppressLineNumbers w:val="0"/>
                    <w:adjustRightInd w:val="0"/>
                    <w:snapToGrid w:val="0"/>
                    <w:spacing w:before="0" w:beforeAutospacing="0" w:after="0" w:afterAutospacing="0"/>
                    <w:ind w:left="0" w:right="0"/>
                    <w:jc w:val="center"/>
                    <w:textAlignment w:val="center"/>
                    <w:rPr>
                      <w:rFonts w:hint="default"/>
                      <w:color w:val="000000"/>
                      <w:kern w:val="0"/>
                      <w:sz w:val="21"/>
                      <w:szCs w:val="21"/>
                      <w:highlight w:val="none"/>
                      <w:lang w:bidi="ar"/>
                    </w:rPr>
                  </w:pPr>
                  <w:r>
                    <w:rPr>
                      <w:rFonts w:hint="default"/>
                      <w:color w:val="000000"/>
                      <w:kern w:val="0"/>
                      <w:sz w:val="21"/>
                      <w:szCs w:val="21"/>
                      <w:highlight w:val="none"/>
                      <w:lang w:bidi="ar"/>
                    </w:rPr>
                    <w:t>＜0.01</w:t>
                  </w:r>
                </w:p>
              </w:tc>
              <w:tc>
                <w:tcPr>
                  <w:tcW w:w="897" w:type="pct"/>
                  <w:vAlign w:val="center"/>
                </w:tcPr>
                <w:p w14:paraId="43437101">
                  <w:pPr>
                    <w:keepNext w:val="0"/>
                    <w:keepLines w:val="0"/>
                    <w:suppressLineNumbers w:val="0"/>
                    <w:adjustRightInd w:val="0"/>
                    <w:snapToGrid w:val="0"/>
                    <w:spacing w:before="0" w:beforeAutospacing="0" w:after="0" w:afterAutospacing="0"/>
                    <w:ind w:left="0" w:right="0"/>
                    <w:jc w:val="center"/>
                    <w:textAlignment w:val="center"/>
                    <w:rPr>
                      <w:rFonts w:hint="default"/>
                      <w:color w:val="000000"/>
                      <w:kern w:val="0"/>
                      <w:sz w:val="21"/>
                      <w:szCs w:val="21"/>
                      <w:highlight w:val="none"/>
                      <w:lang w:bidi="ar"/>
                    </w:rPr>
                  </w:pPr>
                  <w:r>
                    <w:rPr>
                      <w:rFonts w:hint="default"/>
                      <w:color w:val="000000"/>
                      <w:kern w:val="0"/>
                      <w:sz w:val="21"/>
                      <w:szCs w:val="21"/>
                      <w:highlight w:val="none"/>
                      <w:lang w:bidi="ar"/>
                    </w:rPr>
                    <w:t>＜0.01</w:t>
                  </w:r>
                </w:p>
              </w:tc>
              <w:tc>
                <w:tcPr>
                  <w:tcW w:w="900" w:type="pct"/>
                  <w:vAlign w:val="center"/>
                </w:tcPr>
                <w:p w14:paraId="5609B6BF">
                  <w:pPr>
                    <w:keepNext w:val="0"/>
                    <w:keepLines w:val="0"/>
                    <w:suppressLineNumbers w:val="0"/>
                    <w:adjustRightInd w:val="0"/>
                    <w:snapToGrid w:val="0"/>
                    <w:spacing w:before="0" w:beforeAutospacing="0" w:after="0" w:afterAutospacing="0"/>
                    <w:ind w:left="0" w:right="0"/>
                    <w:jc w:val="center"/>
                    <w:textAlignment w:val="center"/>
                    <w:rPr>
                      <w:rFonts w:hint="default"/>
                      <w:color w:val="000000"/>
                      <w:kern w:val="0"/>
                      <w:sz w:val="21"/>
                      <w:szCs w:val="21"/>
                      <w:highlight w:val="none"/>
                      <w:lang w:bidi="ar"/>
                    </w:rPr>
                  </w:pPr>
                  <w:r>
                    <w:rPr>
                      <w:rFonts w:hint="default"/>
                      <w:color w:val="000000"/>
                      <w:kern w:val="0"/>
                      <w:sz w:val="21"/>
                      <w:szCs w:val="21"/>
                      <w:highlight w:val="none"/>
                      <w:lang w:bidi="ar"/>
                    </w:rPr>
                    <w:t>＜0.01</w:t>
                  </w:r>
                </w:p>
              </w:tc>
              <w:tc>
                <w:tcPr>
                  <w:tcW w:w="762" w:type="pct"/>
                  <w:vAlign w:val="center"/>
                </w:tcPr>
                <w:p w14:paraId="7424D6E3">
                  <w:pPr>
                    <w:keepNext w:val="0"/>
                    <w:keepLines w:val="0"/>
                    <w:suppressLineNumbers w:val="0"/>
                    <w:adjustRightInd w:val="0"/>
                    <w:snapToGrid w:val="0"/>
                    <w:spacing w:before="0" w:beforeAutospacing="0" w:after="0" w:afterAutospacing="0"/>
                    <w:ind w:left="0" w:right="0"/>
                    <w:jc w:val="center"/>
                    <w:textAlignment w:val="center"/>
                    <w:rPr>
                      <w:rFonts w:hint="default"/>
                      <w:color w:val="000000"/>
                      <w:kern w:val="0"/>
                      <w:sz w:val="21"/>
                      <w:szCs w:val="21"/>
                      <w:highlight w:val="none"/>
                      <w:lang w:bidi="ar"/>
                    </w:rPr>
                  </w:pPr>
                  <w:r>
                    <w:rPr>
                      <w:rFonts w:hint="default"/>
                      <w:color w:val="000000"/>
                      <w:kern w:val="0"/>
                      <w:sz w:val="21"/>
                      <w:szCs w:val="21"/>
                      <w:highlight w:val="none"/>
                      <w:lang w:bidi="ar"/>
                    </w:rPr>
                    <w:t>0.05</w:t>
                  </w:r>
                </w:p>
              </w:tc>
            </w:tr>
            <w:tr w14:paraId="2013209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956" w:type="pct"/>
                  <w:vAlign w:val="center"/>
                </w:tcPr>
                <w:p w14:paraId="4B39101D">
                  <w:pPr>
                    <w:keepNext w:val="0"/>
                    <w:keepLines w:val="0"/>
                    <w:suppressLineNumbers w:val="0"/>
                    <w:adjustRightInd w:val="0"/>
                    <w:snapToGrid w:val="0"/>
                    <w:spacing w:before="0" w:beforeAutospacing="0" w:after="0" w:afterAutospacing="0"/>
                    <w:ind w:left="0" w:right="0"/>
                    <w:jc w:val="center"/>
                    <w:rPr>
                      <w:rFonts w:hint="default"/>
                      <w:color w:val="000000"/>
                      <w:sz w:val="21"/>
                      <w:szCs w:val="21"/>
                      <w:highlight w:val="none"/>
                    </w:rPr>
                  </w:pPr>
                  <w:r>
                    <w:rPr>
                      <w:rFonts w:hint="default"/>
                      <w:color w:val="000000"/>
                      <w:sz w:val="21"/>
                      <w:szCs w:val="21"/>
                      <w:highlight w:val="none"/>
                    </w:rPr>
                    <w:t>粪大肠菌群</w:t>
                  </w:r>
                </w:p>
              </w:tc>
              <w:tc>
                <w:tcPr>
                  <w:tcW w:w="584" w:type="pct"/>
                  <w:vAlign w:val="center"/>
                </w:tcPr>
                <w:p w14:paraId="67D74D6F">
                  <w:pPr>
                    <w:keepNext w:val="0"/>
                    <w:keepLines w:val="0"/>
                    <w:suppressLineNumbers w:val="0"/>
                    <w:adjustRightInd w:val="0"/>
                    <w:snapToGrid w:val="0"/>
                    <w:spacing w:before="0" w:beforeAutospacing="0" w:after="0" w:afterAutospacing="0"/>
                    <w:ind w:left="0" w:right="0"/>
                    <w:jc w:val="center"/>
                    <w:textAlignment w:val="center"/>
                    <w:rPr>
                      <w:rFonts w:hint="default"/>
                      <w:color w:val="000000"/>
                      <w:kern w:val="0"/>
                      <w:sz w:val="21"/>
                      <w:szCs w:val="21"/>
                      <w:highlight w:val="none"/>
                      <w:lang w:bidi="ar"/>
                    </w:rPr>
                  </w:pPr>
                  <w:r>
                    <w:rPr>
                      <w:rFonts w:hint="default"/>
                      <w:color w:val="000000"/>
                      <w:kern w:val="0"/>
                      <w:sz w:val="21"/>
                      <w:szCs w:val="21"/>
                      <w:highlight w:val="none"/>
                      <w:lang w:bidi="ar"/>
                    </w:rPr>
                    <w:t>个/L</w:t>
                  </w:r>
                </w:p>
              </w:tc>
              <w:tc>
                <w:tcPr>
                  <w:tcW w:w="898" w:type="pct"/>
                  <w:vAlign w:val="center"/>
                </w:tcPr>
                <w:p w14:paraId="06A0092F">
                  <w:pPr>
                    <w:keepNext w:val="0"/>
                    <w:keepLines w:val="0"/>
                    <w:suppressLineNumbers w:val="0"/>
                    <w:adjustRightInd w:val="0"/>
                    <w:snapToGrid w:val="0"/>
                    <w:spacing w:before="0" w:beforeAutospacing="0" w:after="0" w:afterAutospacing="0"/>
                    <w:ind w:left="0" w:right="0"/>
                    <w:jc w:val="center"/>
                    <w:textAlignment w:val="center"/>
                    <w:rPr>
                      <w:rFonts w:hint="default"/>
                      <w:color w:val="000000"/>
                      <w:kern w:val="0"/>
                      <w:sz w:val="21"/>
                      <w:szCs w:val="21"/>
                      <w:highlight w:val="none"/>
                      <w:lang w:bidi="ar"/>
                    </w:rPr>
                  </w:pPr>
                  <w:r>
                    <w:rPr>
                      <w:rFonts w:hint="default"/>
                      <w:color w:val="000000"/>
                      <w:kern w:val="0"/>
                      <w:sz w:val="21"/>
                      <w:szCs w:val="21"/>
                      <w:highlight w:val="none"/>
                      <w:lang w:bidi="ar"/>
                    </w:rPr>
                    <w:t>1.4×10</w:t>
                  </w:r>
                  <w:r>
                    <w:rPr>
                      <w:rFonts w:hint="default"/>
                      <w:color w:val="000000"/>
                      <w:kern w:val="0"/>
                      <w:sz w:val="21"/>
                      <w:szCs w:val="21"/>
                      <w:highlight w:val="none"/>
                      <w:vertAlign w:val="superscript"/>
                      <w:lang w:bidi="ar"/>
                    </w:rPr>
                    <w:t>2</w:t>
                  </w:r>
                </w:p>
              </w:tc>
              <w:tc>
                <w:tcPr>
                  <w:tcW w:w="897" w:type="pct"/>
                  <w:vAlign w:val="center"/>
                </w:tcPr>
                <w:p w14:paraId="5802DD45">
                  <w:pPr>
                    <w:keepNext w:val="0"/>
                    <w:keepLines w:val="0"/>
                    <w:suppressLineNumbers w:val="0"/>
                    <w:adjustRightInd w:val="0"/>
                    <w:snapToGrid w:val="0"/>
                    <w:spacing w:before="0" w:beforeAutospacing="0" w:after="0" w:afterAutospacing="0"/>
                    <w:ind w:left="0" w:right="0"/>
                    <w:jc w:val="center"/>
                    <w:textAlignment w:val="center"/>
                    <w:rPr>
                      <w:rFonts w:hint="default"/>
                      <w:color w:val="000000"/>
                      <w:kern w:val="0"/>
                      <w:sz w:val="21"/>
                      <w:szCs w:val="21"/>
                      <w:highlight w:val="none"/>
                      <w:lang w:bidi="ar"/>
                    </w:rPr>
                  </w:pPr>
                  <w:r>
                    <w:rPr>
                      <w:rFonts w:hint="default"/>
                      <w:color w:val="000000"/>
                      <w:kern w:val="0"/>
                      <w:sz w:val="21"/>
                      <w:szCs w:val="21"/>
                      <w:highlight w:val="none"/>
                      <w:lang w:bidi="ar"/>
                    </w:rPr>
                    <w:t>9.4×10</w:t>
                  </w:r>
                  <w:r>
                    <w:rPr>
                      <w:rFonts w:hint="default"/>
                      <w:color w:val="000000"/>
                      <w:kern w:val="0"/>
                      <w:sz w:val="21"/>
                      <w:szCs w:val="21"/>
                      <w:highlight w:val="none"/>
                      <w:vertAlign w:val="superscript"/>
                      <w:lang w:bidi="ar"/>
                    </w:rPr>
                    <w:t>2</w:t>
                  </w:r>
                </w:p>
              </w:tc>
              <w:tc>
                <w:tcPr>
                  <w:tcW w:w="900" w:type="pct"/>
                  <w:vAlign w:val="center"/>
                </w:tcPr>
                <w:p w14:paraId="19717CC4">
                  <w:pPr>
                    <w:keepNext w:val="0"/>
                    <w:keepLines w:val="0"/>
                    <w:suppressLineNumbers w:val="0"/>
                    <w:adjustRightInd w:val="0"/>
                    <w:snapToGrid w:val="0"/>
                    <w:spacing w:before="0" w:beforeAutospacing="0" w:after="0" w:afterAutospacing="0"/>
                    <w:ind w:left="0" w:right="0"/>
                    <w:jc w:val="center"/>
                    <w:textAlignment w:val="center"/>
                    <w:rPr>
                      <w:rFonts w:hint="default"/>
                      <w:color w:val="000000"/>
                      <w:kern w:val="0"/>
                      <w:sz w:val="21"/>
                      <w:szCs w:val="21"/>
                      <w:highlight w:val="none"/>
                      <w:lang w:bidi="ar"/>
                    </w:rPr>
                  </w:pPr>
                  <w:r>
                    <w:rPr>
                      <w:rFonts w:hint="default"/>
                      <w:color w:val="000000"/>
                      <w:kern w:val="0"/>
                      <w:sz w:val="21"/>
                      <w:szCs w:val="21"/>
                      <w:highlight w:val="none"/>
                      <w:lang w:bidi="ar"/>
                    </w:rPr>
                    <w:t>1.1×10</w:t>
                  </w:r>
                  <w:r>
                    <w:rPr>
                      <w:rFonts w:hint="default"/>
                      <w:color w:val="000000"/>
                      <w:kern w:val="0"/>
                      <w:sz w:val="21"/>
                      <w:szCs w:val="21"/>
                      <w:highlight w:val="none"/>
                      <w:vertAlign w:val="superscript"/>
                      <w:lang w:bidi="ar"/>
                    </w:rPr>
                    <w:t>2</w:t>
                  </w:r>
                </w:p>
              </w:tc>
              <w:tc>
                <w:tcPr>
                  <w:tcW w:w="762" w:type="pct"/>
                  <w:vAlign w:val="center"/>
                </w:tcPr>
                <w:p w14:paraId="01A17EA2">
                  <w:pPr>
                    <w:keepNext w:val="0"/>
                    <w:keepLines w:val="0"/>
                    <w:suppressLineNumbers w:val="0"/>
                    <w:adjustRightInd w:val="0"/>
                    <w:snapToGrid w:val="0"/>
                    <w:spacing w:before="0" w:beforeAutospacing="0" w:after="0" w:afterAutospacing="0"/>
                    <w:ind w:left="0" w:right="0"/>
                    <w:jc w:val="center"/>
                    <w:textAlignment w:val="center"/>
                    <w:rPr>
                      <w:rFonts w:hint="default"/>
                      <w:color w:val="000000"/>
                      <w:kern w:val="0"/>
                      <w:sz w:val="21"/>
                      <w:szCs w:val="21"/>
                      <w:highlight w:val="none"/>
                      <w:lang w:bidi="ar"/>
                    </w:rPr>
                  </w:pPr>
                  <w:r>
                    <w:rPr>
                      <w:rFonts w:hint="default"/>
                      <w:color w:val="000000"/>
                      <w:kern w:val="0"/>
                      <w:sz w:val="21"/>
                      <w:szCs w:val="21"/>
                      <w:highlight w:val="none"/>
                      <w:lang w:bidi="ar"/>
                    </w:rPr>
                    <w:t>10000</w:t>
                  </w:r>
                </w:p>
              </w:tc>
            </w:tr>
            <w:tr w14:paraId="686D08B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956" w:type="pct"/>
                  <w:vAlign w:val="center"/>
                </w:tcPr>
                <w:p w14:paraId="69692975">
                  <w:pPr>
                    <w:keepNext w:val="0"/>
                    <w:keepLines w:val="0"/>
                    <w:suppressLineNumbers w:val="0"/>
                    <w:adjustRightInd w:val="0"/>
                    <w:snapToGrid w:val="0"/>
                    <w:spacing w:before="0" w:beforeAutospacing="0" w:after="0" w:afterAutospacing="0"/>
                    <w:ind w:left="0" w:right="0"/>
                    <w:jc w:val="center"/>
                    <w:rPr>
                      <w:rFonts w:hint="default"/>
                      <w:color w:val="000000"/>
                      <w:sz w:val="21"/>
                      <w:szCs w:val="21"/>
                      <w:highlight w:val="none"/>
                    </w:rPr>
                  </w:pPr>
                  <w:r>
                    <w:rPr>
                      <w:rFonts w:hint="default"/>
                      <w:color w:val="000000"/>
                      <w:sz w:val="21"/>
                      <w:szCs w:val="21"/>
                      <w:highlight w:val="none"/>
                    </w:rPr>
                    <w:t>溶解氧</w:t>
                  </w:r>
                </w:p>
              </w:tc>
              <w:tc>
                <w:tcPr>
                  <w:tcW w:w="584" w:type="pct"/>
                  <w:vAlign w:val="center"/>
                </w:tcPr>
                <w:p w14:paraId="50CD002C">
                  <w:pPr>
                    <w:keepNext w:val="0"/>
                    <w:keepLines w:val="0"/>
                    <w:suppressLineNumbers w:val="0"/>
                    <w:adjustRightInd w:val="0"/>
                    <w:snapToGrid w:val="0"/>
                    <w:spacing w:before="0" w:beforeAutospacing="0" w:after="0" w:afterAutospacing="0"/>
                    <w:ind w:left="0" w:right="0"/>
                    <w:jc w:val="center"/>
                    <w:textAlignment w:val="center"/>
                    <w:rPr>
                      <w:rFonts w:hint="default"/>
                      <w:color w:val="000000"/>
                      <w:kern w:val="0"/>
                      <w:sz w:val="21"/>
                      <w:szCs w:val="21"/>
                      <w:highlight w:val="none"/>
                      <w:lang w:bidi="ar"/>
                    </w:rPr>
                  </w:pPr>
                  <w:r>
                    <w:rPr>
                      <w:rFonts w:hint="default"/>
                      <w:color w:val="000000"/>
                      <w:kern w:val="0"/>
                      <w:sz w:val="21"/>
                      <w:szCs w:val="21"/>
                      <w:highlight w:val="none"/>
                      <w:lang w:bidi="ar"/>
                    </w:rPr>
                    <w:t>mg/L</w:t>
                  </w:r>
                </w:p>
              </w:tc>
              <w:tc>
                <w:tcPr>
                  <w:tcW w:w="898" w:type="pct"/>
                  <w:vAlign w:val="center"/>
                </w:tcPr>
                <w:p w14:paraId="701DCA4A">
                  <w:pPr>
                    <w:keepNext w:val="0"/>
                    <w:keepLines w:val="0"/>
                    <w:suppressLineNumbers w:val="0"/>
                    <w:adjustRightInd w:val="0"/>
                    <w:snapToGrid w:val="0"/>
                    <w:spacing w:before="0" w:beforeAutospacing="0" w:after="0" w:afterAutospacing="0"/>
                    <w:ind w:left="0" w:right="0"/>
                    <w:jc w:val="center"/>
                    <w:textAlignment w:val="center"/>
                    <w:rPr>
                      <w:rFonts w:hint="default"/>
                      <w:color w:val="000000"/>
                      <w:kern w:val="0"/>
                      <w:sz w:val="21"/>
                      <w:szCs w:val="21"/>
                      <w:highlight w:val="none"/>
                      <w:lang w:bidi="ar"/>
                    </w:rPr>
                  </w:pPr>
                  <w:r>
                    <w:rPr>
                      <w:rFonts w:hint="default"/>
                      <w:color w:val="000000"/>
                      <w:kern w:val="0"/>
                      <w:sz w:val="21"/>
                      <w:szCs w:val="21"/>
                      <w:highlight w:val="none"/>
                      <w:lang w:bidi="ar"/>
                    </w:rPr>
                    <w:t>7.9</w:t>
                  </w:r>
                </w:p>
              </w:tc>
              <w:tc>
                <w:tcPr>
                  <w:tcW w:w="897" w:type="pct"/>
                  <w:vAlign w:val="center"/>
                </w:tcPr>
                <w:p w14:paraId="68D222A4">
                  <w:pPr>
                    <w:keepNext w:val="0"/>
                    <w:keepLines w:val="0"/>
                    <w:suppressLineNumbers w:val="0"/>
                    <w:adjustRightInd w:val="0"/>
                    <w:snapToGrid w:val="0"/>
                    <w:spacing w:before="0" w:beforeAutospacing="0" w:after="0" w:afterAutospacing="0"/>
                    <w:ind w:left="0" w:right="0"/>
                    <w:jc w:val="center"/>
                    <w:textAlignment w:val="center"/>
                    <w:rPr>
                      <w:rFonts w:hint="default"/>
                      <w:color w:val="000000"/>
                      <w:kern w:val="0"/>
                      <w:sz w:val="21"/>
                      <w:szCs w:val="21"/>
                      <w:highlight w:val="none"/>
                      <w:lang w:bidi="ar"/>
                    </w:rPr>
                  </w:pPr>
                  <w:r>
                    <w:rPr>
                      <w:rFonts w:hint="default"/>
                      <w:color w:val="000000"/>
                      <w:kern w:val="0"/>
                      <w:sz w:val="21"/>
                      <w:szCs w:val="21"/>
                      <w:highlight w:val="none"/>
                      <w:lang w:bidi="ar"/>
                    </w:rPr>
                    <w:t>7.9</w:t>
                  </w:r>
                </w:p>
              </w:tc>
              <w:tc>
                <w:tcPr>
                  <w:tcW w:w="900" w:type="pct"/>
                  <w:vAlign w:val="center"/>
                </w:tcPr>
                <w:p w14:paraId="4AE181D7">
                  <w:pPr>
                    <w:keepNext w:val="0"/>
                    <w:keepLines w:val="0"/>
                    <w:suppressLineNumbers w:val="0"/>
                    <w:adjustRightInd w:val="0"/>
                    <w:snapToGrid w:val="0"/>
                    <w:spacing w:before="0" w:beforeAutospacing="0" w:after="0" w:afterAutospacing="0"/>
                    <w:ind w:left="0" w:right="0"/>
                    <w:jc w:val="center"/>
                    <w:textAlignment w:val="center"/>
                    <w:rPr>
                      <w:rFonts w:hint="default"/>
                      <w:color w:val="000000"/>
                      <w:kern w:val="0"/>
                      <w:sz w:val="21"/>
                      <w:szCs w:val="21"/>
                      <w:highlight w:val="none"/>
                      <w:lang w:bidi="ar"/>
                    </w:rPr>
                  </w:pPr>
                  <w:r>
                    <w:rPr>
                      <w:rFonts w:hint="default"/>
                      <w:color w:val="000000"/>
                      <w:kern w:val="0"/>
                      <w:sz w:val="21"/>
                      <w:szCs w:val="21"/>
                      <w:highlight w:val="none"/>
                      <w:lang w:bidi="ar"/>
                    </w:rPr>
                    <w:t>7.8</w:t>
                  </w:r>
                </w:p>
              </w:tc>
              <w:tc>
                <w:tcPr>
                  <w:tcW w:w="762" w:type="pct"/>
                  <w:vAlign w:val="center"/>
                </w:tcPr>
                <w:p w14:paraId="2C69393F">
                  <w:pPr>
                    <w:keepNext w:val="0"/>
                    <w:keepLines w:val="0"/>
                    <w:suppressLineNumbers w:val="0"/>
                    <w:adjustRightInd w:val="0"/>
                    <w:snapToGrid w:val="0"/>
                    <w:spacing w:before="0" w:beforeAutospacing="0" w:after="0" w:afterAutospacing="0"/>
                    <w:ind w:left="0" w:right="0"/>
                    <w:jc w:val="center"/>
                    <w:textAlignment w:val="center"/>
                    <w:rPr>
                      <w:rFonts w:hint="default"/>
                      <w:color w:val="000000"/>
                      <w:kern w:val="0"/>
                      <w:sz w:val="21"/>
                      <w:szCs w:val="21"/>
                      <w:highlight w:val="none"/>
                      <w:lang w:bidi="ar"/>
                    </w:rPr>
                  </w:pPr>
                  <w:r>
                    <w:rPr>
                      <w:rFonts w:hint="default"/>
                      <w:color w:val="000000"/>
                      <w:kern w:val="0"/>
                      <w:sz w:val="21"/>
                      <w:szCs w:val="21"/>
                      <w:highlight w:val="none"/>
                      <w:lang w:bidi="ar"/>
                    </w:rPr>
                    <w:t>≥5</w:t>
                  </w:r>
                </w:p>
              </w:tc>
            </w:tr>
            <w:tr w14:paraId="444AC2E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956" w:type="pct"/>
                  <w:vAlign w:val="center"/>
                </w:tcPr>
                <w:p w14:paraId="1954D9FB">
                  <w:pPr>
                    <w:keepNext w:val="0"/>
                    <w:keepLines w:val="0"/>
                    <w:suppressLineNumbers w:val="0"/>
                    <w:adjustRightInd w:val="0"/>
                    <w:snapToGrid w:val="0"/>
                    <w:spacing w:before="0" w:beforeAutospacing="0" w:after="0" w:afterAutospacing="0"/>
                    <w:ind w:left="0" w:right="0"/>
                    <w:jc w:val="center"/>
                    <w:rPr>
                      <w:rFonts w:hint="default"/>
                      <w:color w:val="000000"/>
                      <w:sz w:val="21"/>
                      <w:szCs w:val="21"/>
                      <w:highlight w:val="none"/>
                    </w:rPr>
                  </w:pPr>
                  <w:r>
                    <w:rPr>
                      <w:rFonts w:hint="default"/>
                      <w:color w:val="000000"/>
                      <w:sz w:val="21"/>
                      <w:szCs w:val="21"/>
                      <w:highlight w:val="none"/>
                    </w:rPr>
                    <w:t>总磷</w:t>
                  </w:r>
                </w:p>
              </w:tc>
              <w:tc>
                <w:tcPr>
                  <w:tcW w:w="584" w:type="pct"/>
                  <w:vAlign w:val="center"/>
                </w:tcPr>
                <w:p w14:paraId="4858A2E3">
                  <w:pPr>
                    <w:keepNext w:val="0"/>
                    <w:keepLines w:val="0"/>
                    <w:suppressLineNumbers w:val="0"/>
                    <w:adjustRightInd w:val="0"/>
                    <w:snapToGrid w:val="0"/>
                    <w:spacing w:before="0" w:beforeAutospacing="0" w:after="0" w:afterAutospacing="0"/>
                    <w:ind w:left="0" w:right="0"/>
                    <w:jc w:val="center"/>
                    <w:textAlignment w:val="center"/>
                    <w:rPr>
                      <w:rFonts w:hint="default"/>
                      <w:color w:val="000000"/>
                      <w:kern w:val="0"/>
                      <w:sz w:val="21"/>
                      <w:szCs w:val="21"/>
                      <w:highlight w:val="none"/>
                      <w:lang w:bidi="ar"/>
                    </w:rPr>
                  </w:pPr>
                  <w:r>
                    <w:rPr>
                      <w:rFonts w:hint="default"/>
                      <w:color w:val="000000"/>
                      <w:kern w:val="0"/>
                      <w:sz w:val="21"/>
                      <w:szCs w:val="21"/>
                      <w:highlight w:val="none"/>
                      <w:lang w:bidi="ar"/>
                    </w:rPr>
                    <w:t>mg/L</w:t>
                  </w:r>
                </w:p>
              </w:tc>
              <w:tc>
                <w:tcPr>
                  <w:tcW w:w="898" w:type="pct"/>
                  <w:vAlign w:val="center"/>
                </w:tcPr>
                <w:p w14:paraId="4B7A7217">
                  <w:pPr>
                    <w:keepNext w:val="0"/>
                    <w:keepLines w:val="0"/>
                    <w:suppressLineNumbers w:val="0"/>
                    <w:adjustRightInd w:val="0"/>
                    <w:snapToGrid w:val="0"/>
                    <w:spacing w:before="0" w:beforeAutospacing="0" w:after="0" w:afterAutospacing="0"/>
                    <w:ind w:left="0" w:right="0"/>
                    <w:jc w:val="center"/>
                    <w:textAlignment w:val="center"/>
                    <w:rPr>
                      <w:rFonts w:hint="default"/>
                      <w:color w:val="000000"/>
                      <w:kern w:val="0"/>
                      <w:sz w:val="21"/>
                      <w:szCs w:val="21"/>
                      <w:highlight w:val="none"/>
                      <w:lang w:bidi="ar"/>
                    </w:rPr>
                  </w:pPr>
                  <w:r>
                    <w:rPr>
                      <w:rFonts w:hint="default"/>
                      <w:color w:val="000000"/>
                      <w:kern w:val="0"/>
                      <w:sz w:val="21"/>
                      <w:szCs w:val="21"/>
                      <w:highlight w:val="none"/>
                      <w:lang w:bidi="ar"/>
                    </w:rPr>
                    <w:t>＜0.01</w:t>
                  </w:r>
                </w:p>
              </w:tc>
              <w:tc>
                <w:tcPr>
                  <w:tcW w:w="897" w:type="pct"/>
                  <w:vAlign w:val="center"/>
                </w:tcPr>
                <w:p w14:paraId="3E1AF66E">
                  <w:pPr>
                    <w:keepNext w:val="0"/>
                    <w:keepLines w:val="0"/>
                    <w:suppressLineNumbers w:val="0"/>
                    <w:adjustRightInd w:val="0"/>
                    <w:snapToGrid w:val="0"/>
                    <w:spacing w:before="0" w:beforeAutospacing="0" w:after="0" w:afterAutospacing="0"/>
                    <w:ind w:left="0" w:right="0"/>
                    <w:jc w:val="center"/>
                    <w:textAlignment w:val="center"/>
                    <w:rPr>
                      <w:rFonts w:hint="default"/>
                      <w:color w:val="000000"/>
                      <w:kern w:val="0"/>
                      <w:sz w:val="21"/>
                      <w:szCs w:val="21"/>
                      <w:highlight w:val="none"/>
                      <w:lang w:bidi="ar"/>
                    </w:rPr>
                  </w:pPr>
                  <w:r>
                    <w:rPr>
                      <w:rFonts w:hint="default"/>
                      <w:color w:val="000000"/>
                      <w:kern w:val="0"/>
                      <w:sz w:val="21"/>
                      <w:szCs w:val="21"/>
                      <w:highlight w:val="none"/>
                      <w:lang w:bidi="ar"/>
                    </w:rPr>
                    <w:t>＜0.01</w:t>
                  </w:r>
                </w:p>
              </w:tc>
              <w:tc>
                <w:tcPr>
                  <w:tcW w:w="900" w:type="pct"/>
                  <w:vAlign w:val="center"/>
                </w:tcPr>
                <w:p w14:paraId="5A6FF3EE">
                  <w:pPr>
                    <w:keepNext w:val="0"/>
                    <w:keepLines w:val="0"/>
                    <w:suppressLineNumbers w:val="0"/>
                    <w:adjustRightInd w:val="0"/>
                    <w:snapToGrid w:val="0"/>
                    <w:spacing w:before="0" w:beforeAutospacing="0" w:after="0" w:afterAutospacing="0"/>
                    <w:ind w:left="0" w:right="0"/>
                    <w:jc w:val="center"/>
                    <w:textAlignment w:val="center"/>
                    <w:rPr>
                      <w:rFonts w:hint="default"/>
                      <w:color w:val="000000"/>
                      <w:kern w:val="0"/>
                      <w:sz w:val="21"/>
                      <w:szCs w:val="21"/>
                      <w:highlight w:val="none"/>
                      <w:lang w:bidi="ar"/>
                    </w:rPr>
                  </w:pPr>
                  <w:r>
                    <w:rPr>
                      <w:rFonts w:hint="default"/>
                      <w:color w:val="000000"/>
                      <w:kern w:val="0"/>
                      <w:sz w:val="21"/>
                      <w:szCs w:val="21"/>
                      <w:highlight w:val="none"/>
                      <w:lang w:bidi="ar"/>
                    </w:rPr>
                    <w:t>＜0.01</w:t>
                  </w:r>
                </w:p>
              </w:tc>
              <w:tc>
                <w:tcPr>
                  <w:tcW w:w="762" w:type="pct"/>
                  <w:vAlign w:val="center"/>
                </w:tcPr>
                <w:p w14:paraId="47F40F81">
                  <w:pPr>
                    <w:keepNext w:val="0"/>
                    <w:keepLines w:val="0"/>
                    <w:suppressLineNumbers w:val="0"/>
                    <w:adjustRightInd w:val="0"/>
                    <w:snapToGrid w:val="0"/>
                    <w:spacing w:before="0" w:beforeAutospacing="0" w:after="0" w:afterAutospacing="0"/>
                    <w:ind w:left="0" w:right="0"/>
                    <w:jc w:val="center"/>
                    <w:textAlignment w:val="center"/>
                    <w:rPr>
                      <w:rFonts w:hint="default"/>
                      <w:color w:val="000000"/>
                      <w:kern w:val="0"/>
                      <w:sz w:val="21"/>
                      <w:szCs w:val="21"/>
                      <w:highlight w:val="none"/>
                      <w:lang w:bidi="ar"/>
                    </w:rPr>
                  </w:pPr>
                  <w:r>
                    <w:rPr>
                      <w:rFonts w:hint="default"/>
                      <w:color w:val="000000"/>
                      <w:kern w:val="0"/>
                      <w:sz w:val="21"/>
                      <w:szCs w:val="21"/>
                      <w:highlight w:val="none"/>
                      <w:lang w:bidi="ar"/>
                    </w:rPr>
                    <w:t>0.2</w:t>
                  </w:r>
                </w:p>
              </w:tc>
            </w:tr>
            <w:tr w14:paraId="36E1284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956" w:type="pct"/>
                  <w:vAlign w:val="center"/>
                </w:tcPr>
                <w:p w14:paraId="0A47DB37">
                  <w:pPr>
                    <w:keepNext w:val="0"/>
                    <w:keepLines w:val="0"/>
                    <w:suppressLineNumbers w:val="0"/>
                    <w:adjustRightInd w:val="0"/>
                    <w:snapToGrid w:val="0"/>
                    <w:spacing w:before="0" w:beforeAutospacing="0" w:after="0" w:afterAutospacing="0"/>
                    <w:ind w:left="0" w:right="0"/>
                    <w:jc w:val="center"/>
                    <w:rPr>
                      <w:rFonts w:hint="default"/>
                      <w:color w:val="000000"/>
                      <w:sz w:val="21"/>
                      <w:szCs w:val="21"/>
                      <w:highlight w:val="none"/>
                    </w:rPr>
                  </w:pPr>
                  <w:r>
                    <w:rPr>
                      <w:rFonts w:hint="default"/>
                      <w:color w:val="000000"/>
                      <w:sz w:val="21"/>
                      <w:szCs w:val="21"/>
                      <w:highlight w:val="none"/>
                    </w:rPr>
                    <w:t>悬浮物</w:t>
                  </w:r>
                </w:p>
              </w:tc>
              <w:tc>
                <w:tcPr>
                  <w:tcW w:w="584" w:type="pct"/>
                  <w:vAlign w:val="center"/>
                </w:tcPr>
                <w:p w14:paraId="6F7D089A">
                  <w:pPr>
                    <w:keepNext w:val="0"/>
                    <w:keepLines w:val="0"/>
                    <w:suppressLineNumbers w:val="0"/>
                    <w:adjustRightInd w:val="0"/>
                    <w:snapToGrid w:val="0"/>
                    <w:spacing w:before="0" w:beforeAutospacing="0" w:after="0" w:afterAutospacing="0"/>
                    <w:ind w:left="0" w:right="0"/>
                    <w:jc w:val="center"/>
                    <w:textAlignment w:val="center"/>
                    <w:rPr>
                      <w:rFonts w:hint="default"/>
                      <w:color w:val="000000"/>
                      <w:kern w:val="0"/>
                      <w:sz w:val="21"/>
                      <w:szCs w:val="21"/>
                      <w:highlight w:val="none"/>
                      <w:lang w:bidi="ar"/>
                    </w:rPr>
                  </w:pPr>
                  <w:r>
                    <w:rPr>
                      <w:rFonts w:hint="default"/>
                      <w:color w:val="000000"/>
                      <w:kern w:val="0"/>
                      <w:sz w:val="21"/>
                      <w:szCs w:val="21"/>
                      <w:highlight w:val="none"/>
                      <w:lang w:bidi="ar"/>
                    </w:rPr>
                    <w:t>mg/L</w:t>
                  </w:r>
                </w:p>
              </w:tc>
              <w:tc>
                <w:tcPr>
                  <w:tcW w:w="898" w:type="pct"/>
                  <w:vAlign w:val="center"/>
                </w:tcPr>
                <w:p w14:paraId="1D4C57AE">
                  <w:pPr>
                    <w:keepNext w:val="0"/>
                    <w:keepLines w:val="0"/>
                    <w:suppressLineNumbers w:val="0"/>
                    <w:adjustRightInd w:val="0"/>
                    <w:snapToGrid w:val="0"/>
                    <w:spacing w:before="0" w:beforeAutospacing="0" w:after="0" w:afterAutospacing="0"/>
                    <w:ind w:left="0" w:right="0"/>
                    <w:jc w:val="center"/>
                    <w:textAlignment w:val="center"/>
                    <w:rPr>
                      <w:rFonts w:hint="default"/>
                      <w:color w:val="000000"/>
                      <w:kern w:val="0"/>
                      <w:sz w:val="21"/>
                      <w:szCs w:val="21"/>
                      <w:highlight w:val="none"/>
                      <w:lang w:bidi="ar"/>
                    </w:rPr>
                  </w:pPr>
                  <w:r>
                    <w:rPr>
                      <w:rFonts w:hint="default"/>
                      <w:color w:val="000000"/>
                      <w:kern w:val="0"/>
                      <w:sz w:val="21"/>
                      <w:szCs w:val="21"/>
                      <w:highlight w:val="none"/>
                      <w:lang w:bidi="ar"/>
                    </w:rPr>
                    <w:t>22</w:t>
                  </w:r>
                </w:p>
              </w:tc>
              <w:tc>
                <w:tcPr>
                  <w:tcW w:w="897" w:type="pct"/>
                  <w:vAlign w:val="center"/>
                </w:tcPr>
                <w:p w14:paraId="2142DE25">
                  <w:pPr>
                    <w:keepNext w:val="0"/>
                    <w:keepLines w:val="0"/>
                    <w:suppressLineNumbers w:val="0"/>
                    <w:adjustRightInd w:val="0"/>
                    <w:snapToGrid w:val="0"/>
                    <w:spacing w:before="0" w:beforeAutospacing="0" w:after="0" w:afterAutospacing="0"/>
                    <w:ind w:left="0" w:right="0"/>
                    <w:jc w:val="center"/>
                    <w:textAlignment w:val="center"/>
                    <w:rPr>
                      <w:rFonts w:hint="default"/>
                      <w:color w:val="000000"/>
                      <w:kern w:val="0"/>
                      <w:sz w:val="21"/>
                      <w:szCs w:val="21"/>
                      <w:highlight w:val="none"/>
                      <w:lang w:bidi="ar"/>
                    </w:rPr>
                  </w:pPr>
                  <w:r>
                    <w:rPr>
                      <w:rFonts w:hint="default"/>
                      <w:color w:val="000000"/>
                      <w:kern w:val="0"/>
                      <w:sz w:val="21"/>
                      <w:szCs w:val="21"/>
                      <w:highlight w:val="none"/>
                      <w:lang w:bidi="ar"/>
                    </w:rPr>
                    <w:t>23</w:t>
                  </w:r>
                </w:p>
              </w:tc>
              <w:tc>
                <w:tcPr>
                  <w:tcW w:w="900" w:type="pct"/>
                  <w:vAlign w:val="center"/>
                </w:tcPr>
                <w:p w14:paraId="503072FD">
                  <w:pPr>
                    <w:keepNext w:val="0"/>
                    <w:keepLines w:val="0"/>
                    <w:suppressLineNumbers w:val="0"/>
                    <w:adjustRightInd w:val="0"/>
                    <w:snapToGrid w:val="0"/>
                    <w:spacing w:before="0" w:beforeAutospacing="0" w:after="0" w:afterAutospacing="0"/>
                    <w:ind w:left="0" w:right="0"/>
                    <w:jc w:val="center"/>
                    <w:textAlignment w:val="center"/>
                    <w:rPr>
                      <w:rFonts w:hint="default"/>
                      <w:color w:val="000000"/>
                      <w:kern w:val="0"/>
                      <w:sz w:val="21"/>
                      <w:szCs w:val="21"/>
                      <w:highlight w:val="none"/>
                      <w:lang w:bidi="ar"/>
                    </w:rPr>
                  </w:pPr>
                  <w:r>
                    <w:rPr>
                      <w:rFonts w:hint="default"/>
                      <w:color w:val="000000"/>
                      <w:kern w:val="0"/>
                      <w:sz w:val="21"/>
                      <w:szCs w:val="21"/>
                      <w:highlight w:val="none"/>
                      <w:lang w:bidi="ar"/>
                    </w:rPr>
                    <w:t>20</w:t>
                  </w:r>
                </w:p>
              </w:tc>
              <w:tc>
                <w:tcPr>
                  <w:tcW w:w="762" w:type="pct"/>
                  <w:vAlign w:val="center"/>
                </w:tcPr>
                <w:p w14:paraId="73787E94">
                  <w:pPr>
                    <w:keepNext w:val="0"/>
                    <w:keepLines w:val="0"/>
                    <w:suppressLineNumbers w:val="0"/>
                    <w:adjustRightInd w:val="0"/>
                    <w:snapToGrid w:val="0"/>
                    <w:spacing w:before="0" w:beforeAutospacing="0" w:after="0" w:afterAutospacing="0"/>
                    <w:ind w:left="0" w:right="0"/>
                    <w:jc w:val="center"/>
                    <w:textAlignment w:val="center"/>
                    <w:rPr>
                      <w:rFonts w:hint="default"/>
                      <w:color w:val="000000"/>
                      <w:kern w:val="0"/>
                      <w:sz w:val="21"/>
                      <w:szCs w:val="21"/>
                      <w:highlight w:val="none"/>
                      <w:lang w:bidi="ar"/>
                    </w:rPr>
                  </w:pPr>
                  <w:r>
                    <w:rPr>
                      <w:rFonts w:hint="default"/>
                      <w:color w:val="000000"/>
                      <w:kern w:val="0"/>
                      <w:sz w:val="21"/>
                      <w:szCs w:val="21"/>
                      <w:highlight w:val="none"/>
                      <w:lang w:bidi="ar"/>
                    </w:rPr>
                    <w:t>-</w:t>
                  </w:r>
                </w:p>
              </w:tc>
            </w:tr>
            <w:tr w14:paraId="6160A61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1541" w:type="pct"/>
                  <w:gridSpan w:val="2"/>
                  <w:vMerge w:val="restart"/>
                  <w:vAlign w:val="center"/>
                </w:tcPr>
                <w:p w14:paraId="45E777B7">
                  <w:pPr>
                    <w:keepNext w:val="0"/>
                    <w:keepLines w:val="0"/>
                    <w:suppressLineNumbers w:val="0"/>
                    <w:adjustRightInd w:val="0"/>
                    <w:snapToGrid w:val="0"/>
                    <w:spacing w:before="0" w:beforeAutospacing="0" w:after="0" w:afterAutospacing="0"/>
                    <w:ind w:left="0" w:right="0"/>
                    <w:jc w:val="center"/>
                    <w:textAlignment w:val="center"/>
                    <w:rPr>
                      <w:rFonts w:hint="default"/>
                      <w:color w:val="000000"/>
                      <w:kern w:val="0"/>
                      <w:sz w:val="21"/>
                      <w:szCs w:val="21"/>
                      <w:highlight w:val="none"/>
                      <w:lang w:bidi="ar"/>
                    </w:rPr>
                  </w:pPr>
                  <w:r>
                    <w:rPr>
                      <w:rFonts w:hint="eastAsia"/>
                      <w:color w:val="000000"/>
                      <w:kern w:val="0"/>
                      <w:sz w:val="21"/>
                      <w:szCs w:val="21"/>
                      <w:highlight w:val="none"/>
                      <w:lang w:bidi="ar"/>
                    </w:rPr>
                    <w:t>/</w:t>
                  </w:r>
                </w:p>
              </w:tc>
              <w:tc>
                <w:tcPr>
                  <w:tcW w:w="2696" w:type="pct"/>
                  <w:gridSpan w:val="3"/>
                  <w:vAlign w:val="center"/>
                </w:tcPr>
                <w:p w14:paraId="4154C249">
                  <w:pPr>
                    <w:keepNext w:val="0"/>
                    <w:keepLines w:val="0"/>
                    <w:suppressLineNumbers w:val="0"/>
                    <w:adjustRightInd w:val="0"/>
                    <w:snapToGrid w:val="0"/>
                    <w:spacing w:before="0" w:beforeAutospacing="0" w:after="0" w:afterAutospacing="0"/>
                    <w:ind w:left="0" w:right="0"/>
                    <w:jc w:val="center"/>
                    <w:textAlignment w:val="center"/>
                    <w:rPr>
                      <w:rFonts w:hint="default"/>
                      <w:color w:val="000000"/>
                      <w:kern w:val="0"/>
                      <w:sz w:val="21"/>
                      <w:szCs w:val="21"/>
                      <w:highlight w:val="none"/>
                      <w:lang w:bidi="ar"/>
                    </w:rPr>
                  </w:pPr>
                  <w:r>
                    <w:rPr>
                      <w:rFonts w:hint="default"/>
                      <w:b/>
                      <w:bCs/>
                      <w:color w:val="000000"/>
                      <w:sz w:val="21"/>
                      <w:szCs w:val="21"/>
                      <w:highlight w:val="none"/>
                    </w:rPr>
                    <w:t>W3</w:t>
                  </w:r>
                </w:p>
              </w:tc>
              <w:tc>
                <w:tcPr>
                  <w:tcW w:w="762" w:type="pct"/>
                  <w:vMerge w:val="restart"/>
                  <w:vAlign w:val="center"/>
                </w:tcPr>
                <w:p w14:paraId="7702CA6E">
                  <w:pPr>
                    <w:keepNext w:val="0"/>
                    <w:keepLines w:val="0"/>
                    <w:suppressLineNumbers w:val="0"/>
                    <w:adjustRightInd w:val="0"/>
                    <w:snapToGrid w:val="0"/>
                    <w:spacing w:before="0" w:beforeAutospacing="0" w:after="0" w:afterAutospacing="0"/>
                    <w:ind w:left="0" w:right="0"/>
                    <w:jc w:val="center"/>
                    <w:textAlignment w:val="center"/>
                    <w:rPr>
                      <w:rFonts w:hint="default"/>
                      <w:color w:val="000000"/>
                      <w:kern w:val="0"/>
                      <w:sz w:val="21"/>
                      <w:szCs w:val="21"/>
                      <w:highlight w:val="none"/>
                      <w:lang w:bidi="ar"/>
                    </w:rPr>
                  </w:pPr>
                  <w:r>
                    <w:rPr>
                      <w:rFonts w:hint="eastAsia"/>
                      <w:color w:val="000000"/>
                      <w:kern w:val="0"/>
                      <w:sz w:val="21"/>
                      <w:szCs w:val="21"/>
                      <w:highlight w:val="none"/>
                      <w:lang w:bidi="ar"/>
                    </w:rPr>
                    <w:t>/</w:t>
                  </w:r>
                </w:p>
              </w:tc>
            </w:tr>
            <w:tr w14:paraId="7EC9F86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1541" w:type="pct"/>
                  <w:gridSpan w:val="2"/>
                  <w:vMerge w:val="continue"/>
                  <w:vAlign w:val="center"/>
                </w:tcPr>
                <w:p w14:paraId="689C8646">
                  <w:pPr>
                    <w:keepNext w:val="0"/>
                    <w:keepLines w:val="0"/>
                    <w:suppressLineNumbers w:val="0"/>
                    <w:adjustRightInd w:val="0"/>
                    <w:snapToGrid w:val="0"/>
                    <w:spacing w:before="0" w:beforeAutospacing="0" w:after="0" w:afterAutospacing="0"/>
                    <w:ind w:left="0" w:right="0"/>
                    <w:jc w:val="center"/>
                    <w:textAlignment w:val="center"/>
                    <w:rPr>
                      <w:rFonts w:hint="default"/>
                      <w:color w:val="000000"/>
                      <w:kern w:val="0"/>
                      <w:sz w:val="21"/>
                      <w:szCs w:val="21"/>
                      <w:highlight w:val="none"/>
                      <w:lang w:bidi="ar"/>
                    </w:rPr>
                  </w:pPr>
                </w:p>
              </w:tc>
              <w:tc>
                <w:tcPr>
                  <w:tcW w:w="898" w:type="pct"/>
                  <w:vAlign w:val="center"/>
                </w:tcPr>
                <w:p w14:paraId="405C35C1">
                  <w:pPr>
                    <w:keepNext w:val="0"/>
                    <w:keepLines w:val="0"/>
                    <w:suppressLineNumbers w:val="0"/>
                    <w:adjustRightInd w:val="0"/>
                    <w:snapToGrid w:val="0"/>
                    <w:spacing w:before="0" w:beforeAutospacing="0" w:after="0" w:afterAutospacing="0"/>
                    <w:ind w:left="0" w:right="0"/>
                    <w:jc w:val="center"/>
                    <w:rPr>
                      <w:rFonts w:hint="default"/>
                      <w:b/>
                      <w:bCs/>
                      <w:color w:val="000000"/>
                      <w:sz w:val="21"/>
                      <w:szCs w:val="21"/>
                      <w:highlight w:val="none"/>
                    </w:rPr>
                  </w:pPr>
                  <w:r>
                    <w:rPr>
                      <w:rFonts w:hint="default"/>
                      <w:b/>
                      <w:bCs/>
                      <w:color w:val="000000"/>
                      <w:sz w:val="21"/>
                      <w:szCs w:val="21"/>
                      <w:highlight w:val="none"/>
                    </w:rPr>
                    <w:t>2023.2.14</w:t>
                  </w:r>
                </w:p>
              </w:tc>
              <w:tc>
                <w:tcPr>
                  <w:tcW w:w="897" w:type="pct"/>
                  <w:vAlign w:val="center"/>
                </w:tcPr>
                <w:p w14:paraId="2C57630A">
                  <w:pPr>
                    <w:keepNext w:val="0"/>
                    <w:keepLines w:val="0"/>
                    <w:suppressLineNumbers w:val="0"/>
                    <w:adjustRightInd w:val="0"/>
                    <w:snapToGrid w:val="0"/>
                    <w:spacing w:before="0" w:beforeAutospacing="0" w:after="0" w:afterAutospacing="0"/>
                    <w:ind w:left="0" w:right="0"/>
                    <w:jc w:val="center"/>
                    <w:rPr>
                      <w:rFonts w:hint="default"/>
                      <w:b/>
                      <w:bCs/>
                      <w:color w:val="000000"/>
                      <w:sz w:val="21"/>
                      <w:szCs w:val="21"/>
                      <w:highlight w:val="none"/>
                    </w:rPr>
                  </w:pPr>
                  <w:r>
                    <w:rPr>
                      <w:rFonts w:hint="default"/>
                      <w:b/>
                      <w:bCs/>
                      <w:color w:val="000000"/>
                      <w:sz w:val="21"/>
                      <w:szCs w:val="21"/>
                      <w:highlight w:val="none"/>
                    </w:rPr>
                    <w:t>2023.2.15</w:t>
                  </w:r>
                </w:p>
              </w:tc>
              <w:tc>
                <w:tcPr>
                  <w:tcW w:w="900" w:type="pct"/>
                  <w:vAlign w:val="center"/>
                </w:tcPr>
                <w:p w14:paraId="2918FAC6">
                  <w:pPr>
                    <w:keepNext w:val="0"/>
                    <w:keepLines w:val="0"/>
                    <w:suppressLineNumbers w:val="0"/>
                    <w:adjustRightInd w:val="0"/>
                    <w:snapToGrid w:val="0"/>
                    <w:spacing w:before="0" w:beforeAutospacing="0" w:after="0" w:afterAutospacing="0"/>
                    <w:ind w:left="0" w:right="0"/>
                    <w:jc w:val="center"/>
                    <w:rPr>
                      <w:rFonts w:hint="default"/>
                      <w:b/>
                      <w:bCs/>
                      <w:color w:val="000000"/>
                      <w:sz w:val="21"/>
                      <w:szCs w:val="21"/>
                      <w:highlight w:val="none"/>
                    </w:rPr>
                  </w:pPr>
                  <w:r>
                    <w:rPr>
                      <w:rFonts w:hint="default"/>
                      <w:b/>
                      <w:bCs/>
                      <w:color w:val="000000"/>
                      <w:sz w:val="21"/>
                      <w:szCs w:val="21"/>
                      <w:highlight w:val="none"/>
                    </w:rPr>
                    <w:t>2023.2.16</w:t>
                  </w:r>
                </w:p>
              </w:tc>
              <w:tc>
                <w:tcPr>
                  <w:tcW w:w="762" w:type="pct"/>
                  <w:vMerge w:val="continue"/>
                  <w:vAlign w:val="center"/>
                </w:tcPr>
                <w:p w14:paraId="182F47F6">
                  <w:pPr>
                    <w:keepNext w:val="0"/>
                    <w:keepLines w:val="0"/>
                    <w:suppressLineNumbers w:val="0"/>
                    <w:adjustRightInd w:val="0"/>
                    <w:snapToGrid w:val="0"/>
                    <w:spacing w:before="0" w:beforeAutospacing="0" w:after="0" w:afterAutospacing="0"/>
                    <w:ind w:left="0" w:right="0"/>
                    <w:jc w:val="center"/>
                    <w:textAlignment w:val="center"/>
                    <w:rPr>
                      <w:rFonts w:hint="default"/>
                      <w:color w:val="000000"/>
                      <w:kern w:val="0"/>
                      <w:sz w:val="21"/>
                      <w:szCs w:val="21"/>
                      <w:highlight w:val="none"/>
                      <w:lang w:bidi="ar"/>
                    </w:rPr>
                  </w:pPr>
                </w:p>
              </w:tc>
            </w:tr>
            <w:tr w14:paraId="4659139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956" w:type="pct"/>
                  <w:vAlign w:val="center"/>
                </w:tcPr>
                <w:p w14:paraId="7B33F1D8">
                  <w:pPr>
                    <w:keepNext w:val="0"/>
                    <w:keepLines w:val="0"/>
                    <w:suppressLineNumbers w:val="0"/>
                    <w:adjustRightInd w:val="0"/>
                    <w:snapToGrid w:val="0"/>
                    <w:spacing w:before="0" w:beforeAutospacing="0" w:after="0" w:afterAutospacing="0"/>
                    <w:ind w:left="0" w:right="0"/>
                    <w:jc w:val="center"/>
                    <w:rPr>
                      <w:rFonts w:hint="default"/>
                      <w:color w:val="000000"/>
                      <w:sz w:val="21"/>
                      <w:szCs w:val="21"/>
                      <w:highlight w:val="none"/>
                    </w:rPr>
                  </w:pPr>
                  <w:r>
                    <w:rPr>
                      <w:rFonts w:hint="default"/>
                      <w:color w:val="000000"/>
                      <w:sz w:val="21"/>
                      <w:szCs w:val="21"/>
                      <w:highlight w:val="none"/>
                    </w:rPr>
                    <w:t>水温</w:t>
                  </w:r>
                </w:p>
              </w:tc>
              <w:tc>
                <w:tcPr>
                  <w:tcW w:w="584" w:type="pct"/>
                  <w:vAlign w:val="center"/>
                </w:tcPr>
                <w:p w14:paraId="474914E3">
                  <w:pPr>
                    <w:keepNext w:val="0"/>
                    <w:keepLines w:val="0"/>
                    <w:suppressLineNumbers w:val="0"/>
                    <w:adjustRightInd w:val="0"/>
                    <w:snapToGrid w:val="0"/>
                    <w:spacing w:before="0" w:beforeAutospacing="0" w:after="0" w:afterAutospacing="0"/>
                    <w:ind w:left="0" w:right="0"/>
                    <w:jc w:val="center"/>
                    <w:textAlignment w:val="center"/>
                    <w:rPr>
                      <w:rFonts w:hint="default"/>
                      <w:color w:val="000000"/>
                      <w:kern w:val="0"/>
                      <w:sz w:val="21"/>
                      <w:szCs w:val="21"/>
                      <w:highlight w:val="none"/>
                      <w:lang w:bidi="ar"/>
                    </w:rPr>
                  </w:pPr>
                  <w:r>
                    <w:rPr>
                      <w:rFonts w:hint="default"/>
                      <w:color w:val="000000"/>
                      <w:kern w:val="0"/>
                      <w:sz w:val="21"/>
                      <w:szCs w:val="21"/>
                      <w:highlight w:val="none"/>
                      <w:lang w:bidi="ar"/>
                    </w:rPr>
                    <w:t>℃</w:t>
                  </w:r>
                </w:p>
              </w:tc>
              <w:tc>
                <w:tcPr>
                  <w:tcW w:w="898" w:type="pct"/>
                  <w:vAlign w:val="center"/>
                </w:tcPr>
                <w:p w14:paraId="4BD69044">
                  <w:pPr>
                    <w:keepNext w:val="0"/>
                    <w:keepLines w:val="0"/>
                    <w:suppressLineNumbers w:val="0"/>
                    <w:adjustRightInd w:val="0"/>
                    <w:snapToGrid w:val="0"/>
                    <w:spacing w:before="0" w:beforeAutospacing="0" w:after="0" w:afterAutospacing="0"/>
                    <w:ind w:left="0" w:right="0"/>
                    <w:jc w:val="center"/>
                    <w:textAlignment w:val="center"/>
                    <w:rPr>
                      <w:rFonts w:hint="default"/>
                      <w:color w:val="000000"/>
                      <w:kern w:val="0"/>
                      <w:sz w:val="21"/>
                      <w:szCs w:val="21"/>
                      <w:highlight w:val="none"/>
                      <w:lang w:bidi="ar"/>
                    </w:rPr>
                  </w:pPr>
                  <w:r>
                    <w:rPr>
                      <w:rFonts w:hint="default"/>
                      <w:color w:val="000000"/>
                      <w:kern w:val="0"/>
                      <w:sz w:val="21"/>
                      <w:szCs w:val="21"/>
                      <w:highlight w:val="none"/>
                      <w:lang w:bidi="ar"/>
                    </w:rPr>
                    <w:t>11.9</w:t>
                  </w:r>
                </w:p>
              </w:tc>
              <w:tc>
                <w:tcPr>
                  <w:tcW w:w="897" w:type="pct"/>
                  <w:vAlign w:val="center"/>
                </w:tcPr>
                <w:p w14:paraId="4A0AFDF0">
                  <w:pPr>
                    <w:keepNext w:val="0"/>
                    <w:keepLines w:val="0"/>
                    <w:suppressLineNumbers w:val="0"/>
                    <w:adjustRightInd w:val="0"/>
                    <w:snapToGrid w:val="0"/>
                    <w:spacing w:before="0" w:beforeAutospacing="0" w:after="0" w:afterAutospacing="0"/>
                    <w:ind w:left="0" w:right="0"/>
                    <w:jc w:val="center"/>
                    <w:textAlignment w:val="center"/>
                    <w:rPr>
                      <w:rFonts w:hint="default"/>
                      <w:color w:val="000000"/>
                      <w:kern w:val="0"/>
                      <w:sz w:val="21"/>
                      <w:szCs w:val="21"/>
                      <w:highlight w:val="none"/>
                      <w:lang w:bidi="ar"/>
                    </w:rPr>
                  </w:pPr>
                  <w:r>
                    <w:rPr>
                      <w:rFonts w:hint="default"/>
                      <w:color w:val="000000"/>
                      <w:kern w:val="0"/>
                      <w:sz w:val="21"/>
                      <w:szCs w:val="21"/>
                      <w:highlight w:val="none"/>
                      <w:lang w:bidi="ar"/>
                    </w:rPr>
                    <w:t>11.6</w:t>
                  </w:r>
                </w:p>
              </w:tc>
              <w:tc>
                <w:tcPr>
                  <w:tcW w:w="900" w:type="pct"/>
                  <w:vAlign w:val="center"/>
                </w:tcPr>
                <w:p w14:paraId="5BC22A27">
                  <w:pPr>
                    <w:keepNext w:val="0"/>
                    <w:keepLines w:val="0"/>
                    <w:suppressLineNumbers w:val="0"/>
                    <w:adjustRightInd w:val="0"/>
                    <w:snapToGrid w:val="0"/>
                    <w:spacing w:before="0" w:beforeAutospacing="0" w:after="0" w:afterAutospacing="0"/>
                    <w:ind w:left="0" w:right="0"/>
                    <w:jc w:val="center"/>
                    <w:textAlignment w:val="center"/>
                    <w:rPr>
                      <w:rFonts w:hint="default"/>
                      <w:color w:val="000000"/>
                      <w:kern w:val="0"/>
                      <w:sz w:val="21"/>
                      <w:szCs w:val="21"/>
                      <w:highlight w:val="none"/>
                      <w:lang w:bidi="ar"/>
                    </w:rPr>
                  </w:pPr>
                  <w:r>
                    <w:rPr>
                      <w:rFonts w:hint="default"/>
                      <w:color w:val="000000"/>
                      <w:kern w:val="0"/>
                      <w:sz w:val="21"/>
                      <w:szCs w:val="21"/>
                      <w:highlight w:val="none"/>
                      <w:lang w:bidi="ar"/>
                    </w:rPr>
                    <w:t>12.3</w:t>
                  </w:r>
                </w:p>
              </w:tc>
              <w:tc>
                <w:tcPr>
                  <w:tcW w:w="762" w:type="pct"/>
                  <w:vAlign w:val="center"/>
                </w:tcPr>
                <w:p w14:paraId="38C4DBCD">
                  <w:pPr>
                    <w:keepNext w:val="0"/>
                    <w:keepLines w:val="0"/>
                    <w:suppressLineNumbers w:val="0"/>
                    <w:adjustRightInd w:val="0"/>
                    <w:snapToGrid w:val="0"/>
                    <w:spacing w:before="0" w:beforeAutospacing="0" w:after="0" w:afterAutospacing="0"/>
                    <w:ind w:left="0" w:right="0"/>
                    <w:jc w:val="center"/>
                    <w:textAlignment w:val="center"/>
                    <w:rPr>
                      <w:rFonts w:hint="default"/>
                      <w:color w:val="000000"/>
                      <w:kern w:val="0"/>
                      <w:sz w:val="21"/>
                      <w:szCs w:val="21"/>
                      <w:highlight w:val="none"/>
                      <w:lang w:bidi="ar"/>
                    </w:rPr>
                  </w:pPr>
                  <w:r>
                    <w:rPr>
                      <w:rFonts w:hint="default"/>
                      <w:color w:val="000000"/>
                      <w:kern w:val="0"/>
                      <w:sz w:val="21"/>
                      <w:szCs w:val="21"/>
                      <w:highlight w:val="none"/>
                      <w:lang w:bidi="ar"/>
                    </w:rPr>
                    <w:t>-</w:t>
                  </w:r>
                </w:p>
              </w:tc>
            </w:tr>
            <w:tr w14:paraId="3661710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956" w:type="pct"/>
                  <w:vAlign w:val="center"/>
                </w:tcPr>
                <w:p w14:paraId="7C300223">
                  <w:pPr>
                    <w:keepNext w:val="0"/>
                    <w:keepLines w:val="0"/>
                    <w:suppressLineNumbers w:val="0"/>
                    <w:adjustRightInd w:val="0"/>
                    <w:snapToGrid w:val="0"/>
                    <w:spacing w:before="0" w:beforeAutospacing="0" w:after="0" w:afterAutospacing="0"/>
                    <w:ind w:left="0" w:right="0"/>
                    <w:jc w:val="center"/>
                    <w:rPr>
                      <w:rFonts w:hint="default"/>
                      <w:color w:val="000000"/>
                      <w:sz w:val="21"/>
                      <w:szCs w:val="21"/>
                      <w:highlight w:val="none"/>
                    </w:rPr>
                  </w:pPr>
                  <w:r>
                    <w:rPr>
                      <w:rFonts w:hint="default"/>
                      <w:color w:val="000000"/>
                      <w:sz w:val="21"/>
                      <w:szCs w:val="21"/>
                      <w:highlight w:val="none"/>
                    </w:rPr>
                    <w:t>pH值</w:t>
                  </w:r>
                </w:p>
              </w:tc>
              <w:tc>
                <w:tcPr>
                  <w:tcW w:w="584" w:type="pct"/>
                  <w:vAlign w:val="center"/>
                </w:tcPr>
                <w:p w14:paraId="63EF3701">
                  <w:pPr>
                    <w:keepNext w:val="0"/>
                    <w:keepLines w:val="0"/>
                    <w:suppressLineNumbers w:val="0"/>
                    <w:adjustRightInd w:val="0"/>
                    <w:snapToGrid w:val="0"/>
                    <w:spacing w:before="0" w:beforeAutospacing="0" w:after="0" w:afterAutospacing="0"/>
                    <w:ind w:left="0" w:right="0"/>
                    <w:jc w:val="center"/>
                    <w:textAlignment w:val="center"/>
                    <w:rPr>
                      <w:rFonts w:hint="default"/>
                      <w:color w:val="000000"/>
                      <w:kern w:val="0"/>
                      <w:sz w:val="21"/>
                      <w:szCs w:val="21"/>
                      <w:highlight w:val="none"/>
                      <w:lang w:bidi="ar"/>
                    </w:rPr>
                  </w:pPr>
                  <w:r>
                    <w:rPr>
                      <w:rFonts w:hint="default"/>
                      <w:color w:val="000000"/>
                      <w:kern w:val="0"/>
                      <w:sz w:val="21"/>
                      <w:szCs w:val="21"/>
                      <w:highlight w:val="none"/>
                      <w:lang w:bidi="ar"/>
                    </w:rPr>
                    <w:t>无量纲</w:t>
                  </w:r>
                </w:p>
              </w:tc>
              <w:tc>
                <w:tcPr>
                  <w:tcW w:w="898" w:type="pct"/>
                  <w:vAlign w:val="center"/>
                </w:tcPr>
                <w:p w14:paraId="2E5F4C29">
                  <w:pPr>
                    <w:keepNext w:val="0"/>
                    <w:keepLines w:val="0"/>
                    <w:suppressLineNumbers w:val="0"/>
                    <w:adjustRightInd w:val="0"/>
                    <w:snapToGrid w:val="0"/>
                    <w:spacing w:before="0" w:beforeAutospacing="0" w:after="0" w:afterAutospacing="0"/>
                    <w:ind w:left="0" w:right="0"/>
                    <w:jc w:val="center"/>
                    <w:textAlignment w:val="center"/>
                    <w:rPr>
                      <w:rFonts w:hint="default"/>
                      <w:color w:val="000000"/>
                      <w:kern w:val="0"/>
                      <w:sz w:val="21"/>
                      <w:szCs w:val="21"/>
                      <w:highlight w:val="none"/>
                      <w:lang w:bidi="ar"/>
                    </w:rPr>
                  </w:pPr>
                  <w:r>
                    <w:rPr>
                      <w:rFonts w:hint="default"/>
                      <w:color w:val="000000"/>
                      <w:kern w:val="0"/>
                      <w:sz w:val="21"/>
                      <w:szCs w:val="21"/>
                      <w:highlight w:val="none"/>
                      <w:lang w:bidi="ar"/>
                    </w:rPr>
                    <w:t>7.5</w:t>
                  </w:r>
                </w:p>
              </w:tc>
              <w:tc>
                <w:tcPr>
                  <w:tcW w:w="897" w:type="pct"/>
                  <w:vAlign w:val="center"/>
                </w:tcPr>
                <w:p w14:paraId="7C01CCF7">
                  <w:pPr>
                    <w:keepNext w:val="0"/>
                    <w:keepLines w:val="0"/>
                    <w:suppressLineNumbers w:val="0"/>
                    <w:adjustRightInd w:val="0"/>
                    <w:snapToGrid w:val="0"/>
                    <w:spacing w:before="0" w:beforeAutospacing="0" w:after="0" w:afterAutospacing="0"/>
                    <w:ind w:left="0" w:right="0"/>
                    <w:jc w:val="center"/>
                    <w:textAlignment w:val="center"/>
                    <w:rPr>
                      <w:rFonts w:hint="default"/>
                      <w:color w:val="000000"/>
                      <w:kern w:val="0"/>
                      <w:sz w:val="21"/>
                      <w:szCs w:val="21"/>
                      <w:highlight w:val="none"/>
                      <w:lang w:bidi="ar"/>
                    </w:rPr>
                  </w:pPr>
                  <w:r>
                    <w:rPr>
                      <w:rFonts w:hint="default"/>
                      <w:color w:val="000000"/>
                      <w:kern w:val="0"/>
                      <w:sz w:val="21"/>
                      <w:szCs w:val="21"/>
                      <w:highlight w:val="none"/>
                      <w:lang w:bidi="ar"/>
                    </w:rPr>
                    <w:t>7.5</w:t>
                  </w:r>
                </w:p>
              </w:tc>
              <w:tc>
                <w:tcPr>
                  <w:tcW w:w="900" w:type="pct"/>
                  <w:vAlign w:val="center"/>
                </w:tcPr>
                <w:p w14:paraId="4063CE79">
                  <w:pPr>
                    <w:keepNext w:val="0"/>
                    <w:keepLines w:val="0"/>
                    <w:suppressLineNumbers w:val="0"/>
                    <w:adjustRightInd w:val="0"/>
                    <w:snapToGrid w:val="0"/>
                    <w:spacing w:before="0" w:beforeAutospacing="0" w:after="0" w:afterAutospacing="0"/>
                    <w:ind w:left="0" w:right="0"/>
                    <w:jc w:val="center"/>
                    <w:textAlignment w:val="center"/>
                    <w:rPr>
                      <w:rFonts w:hint="default"/>
                      <w:color w:val="000000"/>
                      <w:kern w:val="0"/>
                      <w:sz w:val="21"/>
                      <w:szCs w:val="21"/>
                      <w:highlight w:val="none"/>
                      <w:lang w:bidi="ar"/>
                    </w:rPr>
                  </w:pPr>
                  <w:r>
                    <w:rPr>
                      <w:rFonts w:hint="default"/>
                      <w:color w:val="000000"/>
                      <w:kern w:val="0"/>
                      <w:sz w:val="21"/>
                      <w:szCs w:val="21"/>
                      <w:highlight w:val="none"/>
                      <w:lang w:bidi="ar"/>
                    </w:rPr>
                    <w:t>7.6</w:t>
                  </w:r>
                </w:p>
              </w:tc>
              <w:tc>
                <w:tcPr>
                  <w:tcW w:w="762" w:type="pct"/>
                  <w:vAlign w:val="center"/>
                </w:tcPr>
                <w:p w14:paraId="0468C5AF">
                  <w:pPr>
                    <w:keepNext w:val="0"/>
                    <w:keepLines w:val="0"/>
                    <w:suppressLineNumbers w:val="0"/>
                    <w:adjustRightInd w:val="0"/>
                    <w:snapToGrid w:val="0"/>
                    <w:spacing w:before="0" w:beforeAutospacing="0" w:after="0" w:afterAutospacing="0"/>
                    <w:ind w:left="0" w:right="0"/>
                    <w:jc w:val="center"/>
                    <w:textAlignment w:val="center"/>
                    <w:rPr>
                      <w:rFonts w:hint="default"/>
                      <w:color w:val="000000"/>
                      <w:kern w:val="0"/>
                      <w:sz w:val="21"/>
                      <w:szCs w:val="21"/>
                      <w:highlight w:val="none"/>
                      <w:lang w:bidi="ar"/>
                    </w:rPr>
                  </w:pPr>
                  <w:r>
                    <w:rPr>
                      <w:rFonts w:hint="default"/>
                      <w:color w:val="000000"/>
                      <w:kern w:val="0"/>
                      <w:sz w:val="21"/>
                      <w:szCs w:val="21"/>
                      <w:highlight w:val="none"/>
                      <w:lang w:bidi="ar"/>
                    </w:rPr>
                    <w:t>6~9</w:t>
                  </w:r>
                </w:p>
              </w:tc>
            </w:tr>
            <w:tr w14:paraId="70A5E11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956" w:type="pct"/>
                  <w:vAlign w:val="center"/>
                </w:tcPr>
                <w:p w14:paraId="772ED477">
                  <w:pPr>
                    <w:keepNext w:val="0"/>
                    <w:keepLines w:val="0"/>
                    <w:suppressLineNumbers w:val="0"/>
                    <w:adjustRightInd w:val="0"/>
                    <w:snapToGrid w:val="0"/>
                    <w:spacing w:before="0" w:beforeAutospacing="0" w:after="0" w:afterAutospacing="0"/>
                    <w:ind w:left="0" w:right="0"/>
                    <w:jc w:val="center"/>
                    <w:rPr>
                      <w:rFonts w:hint="default"/>
                      <w:color w:val="000000"/>
                      <w:sz w:val="21"/>
                      <w:szCs w:val="21"/>
                      <w:highlight w:val="none"/>
                    </w:rPr>
                  </w:pPr>
                  <w:r>
                    <w:rPr>
                      <w:rFonts w:hint="default"/>
                      <w:color w:val="000000"/>
                      <w:sz w:val="21"/>
                      <w:szCs w:val="21"/>
                      <w:highlight w:val="none"/>
                    </w:rPr>
                    <w:t>LAS</w:t>
                  </w:r>
                </w:p>
              </w:tc>
              <w:tc>
                <w:tcPr>
                  <w:tcW w:w="584" w:type="pct"/>
                  <w:vAlign w:val="center"/>
                </w:tcPr>
                <w:p w14:paraId="7B8315CE">
                  <w:pPr>
                    <w:keepNext w:val="0"/>
                    <w:keepLines w:val="0"/>
                    <w:suppressLineNumbers w:val="0"/>
                    <w:adjustRightInd w:val="0"/>
                    <w:snapToGrid w:val="0"/>
                    <w:spacing w:before="0" w:beforeAutospacing="0" w:after="0" w:afterAutospacing="0"/>
                    <w:ind w:left="0" w:right="0"/>
                    <w:jc w:val="center"/>
                    <w:textAlignment w:val="center"/>
                    <w:rPr>
                      <w:rFonts w:hint="default"/>
                      <w:color w:val="000000"/>
                      <w:kern w:val="0"/>
                      <w:sz w:val="21"/>
                      <w:szCs w:val="21"/>
                      <w:highlight w:val="none"/>
                      <w:lang w:bidi="ar"/>
                    </w:rPr>
                  </w:pPr>
                  <w:r>
                    <w:rPr>
                      <w:rFonts w:hint="default"/>
                      <w:color w:val="000000"/>
                      <w:kern w:val="0"/>
                      <w:sz w:val="21"/>
                      <w:szCs w:val="21"/>
                      <w:highlight w:val="none"/>
                      <w:lang w:bidi="ar"/>
                    </w:rPr>
                    <w:t>mg/L</w:t>
                  </w:r>
                </w:p>
              </w:tc>
              <w:tc>
                <w:tcPr>
                  <w:tcW w:w="898" w:type="pct"/>
                  <w:vAlign w:val="center"/>
                </w:tcPr>
                <w:p w14:paraId="7867FA25">
                  <w:pPr>
                    <w:keepNext w:val="0"/>
                    <w:keepLines w:val="0"/>
                    <w:suppressLineNumbers w:val="0"/>
                    <w:adjustRightInd w:val="0"/>
                    <w:snapToGrid w:val="0"/>
                    <w:spacing w:before="0" w:beforeAutospacing="0" w:after="0" w:afterAutospacing="0"/>
                    <w:ind w:left="0" w:right="0"/>
                    <w:jc w:val="center"/>
                    <w:textAlignment w:val="center"/>
                    <w:rPr>
                      <w:rFonts w:hint="default"/>
                      <w:color w:val="000000"/>
                      <w:kern w:val="0"/>
                      <w:sz w:val="21"/>
                      <w:szCs w:val="21"/>
                      <w:highlight w:val="none"/>
                      <w:lang w:bidi="ar"/>
                    </w:rPr>
                  </w:pPr>
                  <w:r>
                    <w:rPr>
                      <w:rFonts w:hint="default"/>
                      <w:color w:val="000000"/>
                      <w:kern w:val="0"/>
                      <w:sz w:val="21"/>
                      <w:szCs w:val="21"/>
                      <w:highlight w:val="none"/>
                      <w:lang w:bidi="ar"/>
                    </w:rPr>
                    <w:t>＜0.05</w:t>
                  </w:r>
                </w:p>
              </w:tc>
              <w:tc>
                <w:tcPr>
                  <w:tcW w:w="897" w:type="pct"/>
                  <w:vAlign w:val="center"/>
                </w:tcPr>
                <w:p w14:paraId="09912197">
                  <w:pPr>
                    <w:keepNext w:val="0"/>
                    <w:keepLines w:val="0"/>
                    <w:suppressLineNumbers w:val="0"/>
                    <w:adjustRightInd w:val="0"/>
                    <w:snapToGrid w:val="0"/>
                    <w:spacing w:before="0" w:beforeAutospacing="0" w:after="0" w:afterAutospacing="0"/>
                    <w:ind w:left="0" w:right="0"/>
                    <w:jc w:val="center"/>
                    <w:textAlignment w:val="center"/>
                    <w:rPr>
                      <w:rFonts w:hint="default"/>
                      <w:color w:val="000000"/>
                      <w:kern w:val="0"/>
                      <w:sz w:val="21"/>
                      <w:szCs w:val="21"/>
                      <w:highlight w:val="none"/>
                      <w:lang w:bidi="ar"/>
                    </w:rPr>
                  </w:pPr>
                  <w:r>
                    <w:rPr>
                      <w:rFonts w:hint="default"/>
                      <w:color w:val="000000"/>
                      <w:kern w:val="0"/>
                      <w:sz w:val="21"/>
                      <w:szCs w:val="21"/>
                      <w:highlight w:val="none"/>
                      <w:lang w:bidi="ar"/>
                    </w:rPr>
                    <w:t>＜0.05</w:t>
                  </w:r>
                </w:p>
              </w:tc>
              <w:tc>
                <w:tcPr>
                  <w:tcW w:w="900" w:type="pct"/>
                  <w:vAlign w:val="center"/>
                </w:tcPr>
                <w:p w14:paraId="6D14AC43">
                  <w:pPr>
                    <w:keepNext w:val="0"/>
                    <w:keepLines w:val="0"/>
                    <w:suppressLineNumbers w:val="0"/>
                    <w:adjustRightInd w:val="0"/>
                    <w:snapToGrid w:val="0"/>
                    <w:spacing w:before="0" w:beforeAutospacing="0" w:after="0" w:afterAutospacing="0"/>
                    <w:ind w:left="0" w:right="0"/>
                    <w:jc w:val="center"/>
                    <w:textAlignment w:val="center"/>
                    <w:rPr>
                      <w:rFonts w:hint="default"/>
                      <w:color w:val="000000"/>
                      <w:kern w:val="0"/>
                      <w:sz w:val="21"/>
                      <w:szCs w:val="21"/>
                      <w:highlight w:val="none"/>
                      <w:lang w:bidi="ar"/>
                    </w:rPr>
                  </w:pPr>
                  <w:r>
                    <w:rPr>
                      <w:rFonts w:hint="default"/>
                      <w:color w:val="000000"/>
                      <w:kern w:val="0"/>
                      <w:sz w:val="21"/>
                      <w:szCs w:val="21"/>
                      <w:highlight w:val="none"/>
                      <w:lang w:bidi="ar"/>
                    </w:rPr>
                    <w:t>＜0.05</w:t>
                  </w:r>
                </w:p>
              </w:tc>
              <w:tc>
                <w:tcPr>
                  <w:tcW w:w="762" w:type="pct"/>
                  <w:vAlign w:val="center"/>
                </w:tcPr>
                <w:p w14:paraId="524548EE">
                  <w:pPr>
                    <w:keepNext w:val="0"/>
                    <w:keepLines w:val="0"/>
                    <w:suppressLineNumbers w:val="0"/>
                    <w:adjustRightInd w:val="0"/>
                    <w:snapToGrid w:val="0"/>
                    <w:spacing w:before="0" w:beforeAutospacing="0" w:after="0" w:afterAutospacing="0"/>
                    <w:ind w:left="0" w:right="0"/>
                    <w:jc w:val="center"/>
                    <w:textAlignment w:val="center"/>
                    <w:rPr>
                      <w:rFonts w:hint="default"/>
                      <w:color w:val="000000"/>
                      <w:kern w:val="0"/>
                      <w:sz w:val="21"/>
                      <w:szCs w:val="21"/>
                      <w:highlight w:val="none"/>
                      <w:lang w:bidi="ar"/>
                    </w:rPr>
                  </w:pPr>
                  <w:r>
                    <w:rPr>
                      <w:rFonts w:hint="default"/>
                      <w:color w:val="000000"/>
                      <w:kern w:val="0"/>
                      <w:sz w:val="21"/>
                      <w:szCs w:val="21"/>
                      <w:highlight w:val="none"/>
                      <w:lang w:bidi="ar"/>
                    </w:rPr>
                    <w:t>0.2</w:t>
                  </w:r>
                </w:p>
              </w:tc>
            </w:tr>
            <w:tr w14:paraId="1DBD1B3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956" w:type="pct"/>
                  <w:vAlign w:val="center"/>
                </w:tcPr>
                <w:p w14:paraId="116F775E">
                  <w:pPr>
                    <w:keepNext w:val="0"/>
                    <w:keepLines w:val="0"/>
                    <w:suppressLineNumbers w:val="0"/>
                    <w:adjustRightInd w:val="0"/>
                    <w:snapToGrid w:val="0"/>
                    <w:spacing w:before="0" w:beforeAutospacing="0" w:after="0" w:afterAutospacing="0"/>
                    <w:ind w:left="0" w:right="0"/>
                    <w:jc w:val="center"/>
                    <w:rPr>
                      <w:rFonts w:hint="default"/>
                      <w:color w:val="000000"/>
                      <w:sz w:val="21"/>
                      <w:szCs w:val="21"/>
                      <w:highlight w:val="none"/>
                    </w:rPr>
                  </w:pPr>
                  <w:r>
                    <w:rPr>
                      <w:rFonts w:hint="default"/>
                      <w:color w:val="000000"/>
                      <w:sz w:val="21"/>
                      <w:szCs w:val="21"/>
                      <w:highlight w:val="none"/>
                    </w:rPr>
                    <w:t>高锰酸盐指数</w:t>
                  </w:r>
                </w:p>
              </w:tc>
              <w:tc>
                <w:tcPr>
                  <w:tcW w:w="584" w:type="pct"/>
                  <w:vAlign w:val="center"/>
                </w:tcPr>
                <w:p w14:paraId="127E7F05">
                  <w:pPr>
                    <w:keepNext w:val="0"/>
                    <w:keepLines w:val="0"/>
                    <w:suppressLineNumbers w:val="0"/>
                    <w:adjustRightInd w:val="0"/>
                    <w:snapToGrid w:val="0"/>
                    <w:spacing w:before="0" w:beforeAutospacing="0" w:after="0" w:afterAutospacing="0"/>
                    <w:ind w:left="0" w:right="0"/>
                    <w:jc w:val="center"/>
                    <w:textAlignment w:val="center"/>
                    <w:rPr>
                      <w:rFonts w:hint="default"/>
                      <w:color w:val="000000"/>
                      <w:kern w:val="0"/>
                      <w:sz w:val="21"/>
                      <w:szCs w:val="21"/>
                      <w:highlight w:val="none"/>
                      <w:lang w:bidi="ar"/>
                    </w:rPr>
                  </w:pPr>
                  <w:r>
                    <w:rPr>
                      <w:rFonts w:hint="default"/>
                      <w:color w:val="000000"/>
                      <w:kern w:val="0"/>
                      <w:sz w:val="21"/>
                      <w:szCs w:val="21"/>
                      <w:highlight w:val="none"/>
                      <w:lang w:bidi="ar"/>
                    </w:rPr>
                    <w:t>mg/L</w:t>
                  </w:r>
                </w:p>
              </w:tc>
              <w:tc>
                <w:tcPr>
                  <w:tcW w:w="898" w:type="pct"/>
                  <w:vAlign w:val="center"/>
                </w:tcPr>
                <w:p w14:paraId="509C3B19">
                  <w:pPr>
                    <w:keepNext w:val="0"/>
                    <w:keepLines w:val="0"/>
                    <w:suppressLineNumbers w:val="0"/>
                    <w:adjustRightInd w:val="0"/>
                    <w:snapToGrid w:val="0"/>
                    <w:spacing w:before="0" w:beforeAutospacing="0" w:after="0" w:afterAutospacing="0"/>
                    <w:ind w:left="0" w:right="0"/>
                    <w:jc w:val="center"/>
                    <w:textAlignment w:val="center"/>
                    <w:rPr>
                      <w:rFonts w:hint="default"/>
                      <w:color w:val="000000"/>
                      <w:kern w:val="0"/>
                      <w:sz w:val="21"/>
                      <w:szCs w:val="21"/>
                      <w:highlight w:val="none"/>
                      <w:lang w:bidi="ar"/>
                    </w:rPr>
                  </w:pPr>
                  <w:r>
                    <w:rPr>
                      <w:rFonts w:hint="default"/>
                      <w:color w:val="000000"/>
                      <w:kern w:val="0"/>
                      <w:sz w:val="21"/>
                      <w:szCs w:val="21"/>
                      <w:highlight w:val="none"/>
                      <w:lang w:bidi="ar"/>
                    </w:rPr>
                    <w:t>3.4</w:t>
                  </w:r>
                </w:p>
              </w:tc>
              <w:tc>
                <w:tcPr>
                  <w:tcW w:w="897" w:type="pct"/>
                  <w:vAlign w:val="center"/>
                </w:tcPr>
                <w:p w14:paraId="2E864191">
                  <w:pPr>
                    <w:keepNext w:val="0"/>
                    <w:keepLines w:val="0"/>
                    <w:suppressLineNumbers w:val="0"/>
                    <w:adjustRightInd w:val="0"/>
                    <w:snapToGrid w:val="0"/>
                    <w:spacing w:before="0" w:beforeAutospacing="0" w:after="0" w:afterAutospacing="0"/>
                    <w:ind w:left="0" w:right="0"/>
                    <w:jc w:val="center"/>
                    <w:textAlignment w:val="center"/>
                    <w:rPr>
                      <w:rFonts w:hint="default"/>
                      <w:color w:val="000000"/>
                      <w:kern w:val="0"/>
                      <w:sz w:val="21"/>
                      <w:szCs w:val="21"/>
                      <w:highlight w:val="none"/>
                      <w:lang w:bidi="ar"/>
                    </w:rPr>
                  </w:pPr>
                  <w:r>
                    <w:rPr>
                      <w:rFonts w:hint="default"/>
                      <w:color w:val="000000"/>
                      <w:kern w:val="0"/>
                      <w:sz w:val="21"/>
                      <w:szCs w:val="21"/>
                      <w:highlight w:val="none"/>
                      <w:lang w:bidi="ar"/>
                    </w:rPr>
                    <w:t>3.2</w:t>
                  </w:r>
                </w:p>
              </w:tc>
              <w:tc>
                <w:tcPr>
                  <w:tcW w:w="900" w:type="pct"/>
                  <w:vAlign w:val="center"/>
                </w:tcPr>
                <w:p w14:paraId="282A1D29">
                  <w:pPr>
                    <w:keepNext w:val="0"/>
                    <w:keepLines w:val="0"/>
                    <w:suppressLineNumbers w:val="0"/>
                    <w:adjustRightInd w:val="0"/>
                    <w:snapToGrid w:val="0"/>
                    <w:spacing w:before="0" w:beforeAutospacing="0" w:after="0" w:afterAutospacing="0"/>
                    <w:ind w:left="0" w:right="0"/>
                    <w:jc w:val="center"/>
                    <w:textAlignment w:val="center"/>
                    <w:rPr>
                      <w:rFonts w:hint="default"/>
                      <w:color w:val="000000"/>
                      <w:kern w:val="0"/>
                      <w:sz w:val="21"/>
                      <w:szCs w:val="21"/>
                      <w:highlight w:val="none"/>
                      <w:lang w:bidi="ar"/>
                    </w:rPr>
                  </w:pPr>
                  <w:r>
                    <w:rPr>
                      <w:rFonts w:hint="default"/>
                      <w:color w:val="000000"/>
                      <w:kern w:val="0"/>
                      <w:sz w:val="21"/>
                      <w:szCs w:val="21"/>
                      <w:highlight w:val="none"/>
                      <w:lang w:bidi="ar"/>
                    </w:rPr>
                    <w:t>3.2</w:t>
                  </w:r>
                </w:p>
              </w:tc>
              <w:tc>
                <w:tcPr>
                  <w:tcW w:w="762" w:type="pct"/>
                  <w:vAlign w:val="center"/>
                </w:tcPr>
                <w:p w14:paraId="73BB4F0A">
                  <w:pPr>
                    <w:keepNext w:val="0"/>
                    <w:keepLines w:val="0"/>
                    <w:suppressLineNumbers w:val="0"/>
                    <w:adjustRightInd w:val="0"/>
                    <w:snapToGrid w:val="0"/>
                    <w:spacing w:before="0" w:beforeAutospacing="0" w:after="0" w:afterAutospacing="0"/>
                    <w:ind w:left="0" w:right="0"/>
                    <w:jc w:val="center"/>
                    <w:textAlignment w:val="center"/>
                    <w:rPr>
                      <w:rFonts w:hint="default"/>
                      <w:color w:val="000000"/>
                      <w:kern w:val="0"/>
                      <w:sz w:val="21"/>
                      <w:szCs w:val="21"/>
                      <w:highlight w:val="none"/>
                      <w:lang w:bidi="ar"/>
                    </w:rPr>
                  </w:pPr>
                  <w:r>
                    <w:rPr>
                      <w:rFonts w:hint="default"/>
                      <w:color w:val="000000"/>
                      <w:kern w:val="0"/>
                      <w:sz w:val="21"/>
                      <w:szCs w:val="21"/>
                      <w:highlight w:val="none"/>
                      <w:lang w:bidi="ar"/>
                    </w:rPr>
                    <w:t>6</w:t>
                  </w:r>
                </w:p>
              </w:tc>
            </w:tr>
            <w:tr w14:paraId="6F39EE2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956" w:type="pct"/>
                  <w:vAlign w:val="center"/>
                </w:tcPr>
                <w:p w14:paraId="3BD10AFE">
                  <w:pPr>
                    <w:keepNext w:val="0"/>
                    <w:keepLines w:val="0"/>
                    <w:suppressLineNumbers w:val="0"/>
                    <w:adjustRightInd w:val="0"/>
                    <w:snapToGrid w:val="0"/>
                    <w:spacing w:before="0" w:beforeAutospacing="0" w:after="0" w:afterAutospacing="0"/>
                    <w:ind w:left="0" w:right="0"/>
                    <w:jc w:val="center"/>
                    <w:rPr>
                      <w:rFonts w:hint="default"/>
                      <w:color w:val="000000"/>
                      <w:sz w:val="21"/>
                      <w:szCs w:val="21"/>
                      <w:highlight w:val="none"/>
                    </w:rPr>
                  </w:pPr>
                  <w:r>
                    <w:rPr>
                      <w:rFonts w:hint="default"/>
                      <w:color w:val="000000"/>
                      <w:sz w:val="21"/>
                      <w:szCs w:val="21"/>
                      <w:highlight w:val="none"/>
                    </w:rPr>
                    <w:t>CODcr</w:t>
                  </w:r>
                </w:p>
              </w:tc>
              <w:tc>
                <w:tcPr>
                  <w:tcW w:w="584" w:type="pct"/>
                  <w:vAlign w:val="center"/>
                </w:tcPr>
                <w:p w14:paraId="0E52266E">
                  <w:pPr>
                    <w:keepNext w:val="0"/>
                    <w:keepLines w:val="0"/>
                    <w:suppressLineNumbers w:val="0"/>
                    <w:adjustRightInd w:val="0"/>
                    <w:snapToGrid w:val="0"/>
                    <w:spacing w:before="0" w:beforeAutospacing="0" w:after="0" w:afterAutospacing="0"/>
                    <w:ind w:left="0" w:right="0"/>
                    <w:jc w:val="center"/>
                    <w:textAlignment w:val="center"/>
                    <w:rPr>
                      <w:rFonts w:hint="default"/>
                      <w:color w:val="000000"/>
                      <w:kern w:val="0"/>
                      <w:sz w:val="21"/>
                      <w:szCs w:val="21"/>
                      <w:highlight w:val="none"/>
                      <w:lang w:bidi="ar"/>
                    </w:rPr>
                  </w:pPr>
                  <w:r>
                    <w:rPr>
                      <w:rFonts w:hint="default"/>
                      <w:color w:val="000000"/>
                      <w:kern w:val="0"/>
                      <w:sz w:val="21"/>
                      <w:szCs w:val="21"/>
                      <w:highlight w:val="none"/>
                      <w:lang w:bidi="ar"/>
                    </w:rPr>
                    <w:t>mg/L</w:t>
                  </w:r>
                </w:p>
              </w:tc>
              <w:tc>
                <w:tcPr>
                  <w:tcW w:w="898" w:type="pct"/>
                  <w:vAlign w:val="center"/>
                </w:tcPr>
                <w:p w14:paraId="2E663B44">
                  <w:pPr>
                    <w:keepNext w:val="0"/>
                    <w:keepLines w:val="0"/>
                    <w:suppressLineNumbers w:val="0"/>
                    <w:adjustRightInd w:val="0"/>
                    <w:snapToGrid w:val="0"/>
                    <w:spacing w:before="0" w:beforeAutospacing="0" w:after="0" w:afterAutospacing="0"/>
                    <w:ind w:left="0" w:right="0"/>
                    <w:jc w:val="center"/>
                    <w:textAlignment w:val="center"/>
                    <w:rPr>
                      <w:rFonts w:hint="default"/>
                      <w:color w:val="000000"/>
                      <w:kern w:val="0"/>
                      <w:sz w:val="21"/>
                      <w:szCs w:val="21"/>
                      <w:highlight w:val="none"/>
                      <w:lang w:bidi="ar"/>
                    </w:rPr>
                  </w:pPr>
                  <w:r>
                    <w:rPr>
                      <w:rFonts w:hint="default"/>
                      <w:color w:val="000000"/>
                      <w:kern w:val="0"/>
                      <w:sz w:val="21"/>
                      <w:szCs w:val="21"/>
                      <w:highlight w:val="none"/>
                      <w:lang w:bidi="ar"/>
                    </w:rPr>
                    <w:t>13</w:t>
                  </w:r>
                </w:p>
              </w:tc>
              <w:tc>
                <w:tcPr>
                  <w:tcW w:w="897" w:type="pct"/>
                  <w:vAlign w:val="center"/>
                </w:tcPr>
                <w:p w14:paraId="2B09CAFD">
                  <w:pPr>
                    <w:keepNext w:val="0"/>
                    <w:keepLines w:val="0"/>
                    <w:suppressLineNumbers w:val="0"/>
                    <w:adjustRightInd w:val="0"/>
                    <w:snapToGrid w:val="0"/>
                    <w:spacing w:before="0" w:beforeAutospacing="0" w:after="0" w:afterAutospacing="0"/>
                    <w:ind w:left="0" w:right="0"/>
                    <w:jc w:val="center"/>
                    <w:textAlignment w:val="center"/>
                    <w:rPr>
                      <w:rFonts w:hint="default"/>
                      <w:color w:val="000000"/>
                      <w:kern w:val="0"/>
                      <w:sz w:val="21"/>
                      <w:szCs w:val="21"/>
                      <w:highlight w:val="none"/>
                      <w:lang w:bidi="ar"/>
                    </w:rPr>
                  </w:pPr>
                  <w:r>
                    <w:rPr>
                      <w:rFonts w:hint="default"/>
                      <w:color w:val="000000"/>
                      <w:kern w:val="0"/>
                      <w:sz w:val="21"/>
                      <w:szCs w:val="21"/>
                      <w:highlight w:val="none"/>
                      <w:lang w:bidi="ar"/>
                    </w:rPr>
                    <w:t>11</w:t>
                  </w:r>
                </w:p>
              </w:tc>
              <w:tc>
                <w:tcPr>
                  <w:tcW w:w="900" w:type="pct"/>
                  <w:vAlign w:val="center"/>
                </w:tcPr>
                <w:p w14:paraId="7802EE80">
                  <w:pPr>
                    <w:keepNext w:val="0"/>
                    <w:keepLines w:val="0"/>
                    <w:suppressLineNumbers w:val="0"/>
                    <w:adjustRightInd w:val="0"/>
                    <w:snapToGrid w:val="0"/>
                    <w:spacing w:before="0" w:beforeAutospacing="0" w:after="0" w:afterAutospacing="0"/>
                    <w:ind w:left="0" w:right="0"/>
                    <w:jc w:val="center"/>
                    <w:textAlignment w:val="center"/>
                    <w:rPr>
                      <w:rFonts w:hint="default"/>
                      <w:color w:val="000000"/>
                      <w:kern w:val="0"/>
                      <w:sz w:val="21"/>
                      <w:szCs w:val="21"/>
                      <w:highlight w:val="none"/>
                      <w:lang w:bidi="ar"/>
                    </w:rPr>
                  </w:pPr>
                  <w:r>
                    <w:rPr>
                      <w:rFonts w:hint="default"/>
                      <w:color w:val="000000"/>
                      <w:kern w:val="0"/>
                      <w:sz w:val="21"/>
                      <w:szCs w:val="21"/>
                      <w:highlight w:val="none"/>
                      <w:lang w:bidi="ar"/>
                    </w:rPr>
                    <w:t>14</w:t>
                  </w:r>
                </w:p>
              </w:tc>
              <w:tc>
                <w:tcPr>
                  <w:tcW w:w="762" w:type="pct"/>
                  <w:vAlign w:val="center"/>
                </w:tcPr>
                <w:p w14:paraId="481976A6">
                  <w:pPr>
                    <w:keepNext w:val="0"/>
                    <w:keepLines w:val="0"/>
                    <w:suppressLineNumbers w:val="0"/>
                    <w:adjustRightInd w:val="0"/>
                    <w:snapToGrid w:val="0"/>
                    <w:spacing w:before="0" w:beforeAutospacing="0" w:after="0" w:afterAutospacing="0"/>
                    <w:ind w:left="0" w:right="0"/>
                    <w:jc w:val="center"/>
                    <w:textAlignment w:val="center"/>
                    <w:rPr>
                      <w:rFonts w:hint="default"/>
                      <w:color w:val="000000"/>
                      <w:kern w:val="0"/>
                      <w:sz w:val="21"/>
                      <w:szCs w:val="21"/>
                      <w:highlight w:val="none"/>
                      <w:lang w:bidi="ar"/>
                    </w:rPr>
                  </w:pPr>
                  <w:r>
                    <w:rPr>
                      <w:rFonts w:hint="default"/>
                      <w:color w:val="000000"/>
                      <w:kern w:val="0"/>
                      <w:sz w:val="21"/>
                      <w:szCs w:val="21"/>
                      <w:highlight w:val="none"/>
                      <w:lang w:bidi="ar"/>
                    </w:rPr>
                    <w:t>20</w:t>
                  </w:r>
                </w:p>
              </w:tc>
            </w:tr>
            <w:tr w14:paraId="39921E5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956" w:type="pct"/>
                  <w:vAlign w:val="center"/>
                </w:tcPr>
                <w:p w14:paraId="67D7E45C">
                  <w:pPr>
                    <w:keepNext w:val="0"/>
                    <w:keepLines w:val="0"/>
                    <w:suppressLineNumbers w:val="0"/>
                    <w:adjustRightInd w:val="0"/>
                    <w:snapToGrid w:val="0"/>
                    <w:spacing w:before="0" w:beforeAutospacing="0" w:after="0" w:afterAutospacing="0"/>
                    <w:ind w:left="0" w:right="0"/>
                    <w:jc w:val="center"/>
                    <w:rPr>
                      <w:rFonts w:hint="default"/>
                      <w:color w:val="000000"/>
                      <w:sz w:val="21"/>
                      <w:szCs w:val="21"/>
                      <w:highlight w:val="none"/>
                    </w:rPr>
                  </w:pPr>
                  <w:r>
                    <w:rPr>
                      <w:rFonts w:hint="default"/>
                      <w:color w:val="000000"/>
                      <w:sz w:val="21"/>
                      <w:szCs w:val="21"/>
                      <w:highlight w:val="none"/>
                    </w:rPr>
                    <w:t>BOD</w:t>
                  </w:r>
                  <w:r>
                    <w:rPr>
                      <w:rFonts w:hint="default"/>
                      <w:color w:val="000000"/>
                      <w:sz w:val="21"/>
                      <w:szCs w:val="21"/>
                      <w:highlight w:val="none"/>
                      <w:vertAlign w:val="subscript"/>
                    </w:rPr>
                    <w:t>5</w:t>
                  </w:r>
                </w:p>
              </w:tc>
              <w:tc>
                <w:tcPr>
                  <w:tcW w:w="584" w:type="pct"/>
                  <w:vAlign w:val="center"/>
                </w:tcPr>
                <w:p w14:paraId="10B6F81B">
                  <w:pPr>
                    <w:keepNext w:val="0"/>
                    <w:keepLines w:val="0"/>
                    <w:suppressLineNumbers w:val="0"/>
                    <w:adjustRightInd w:val="0"/>
                    <w:snapToGrid w:val="0"/>
                    <w:spacing w:before="0" w:beforeAutospacing="0" w:after="0" w:afterAutospacing="0"/>
                    <w:ind w:left="0" w:right="0"/>
                    <w:jc w:val="center"/>
                    <w:textAlignment w:val="center"/>
                    <w:rPr>
                      <w:rFonts w:hint="default"/>
                      <w:color w:val="000000"/>
                      <w:kern w:val="0"/>
                      <w:sz w:val="21"/>
                      <w:szCs w:val="21"/>
                      <w:highlight w:val="none"/>
                      <w:lang w:bidi="ar"/>
                    </w:rPr>
                  </w:pPr>
                  <w:r>
                    <w:rPr>
                      <w:rFonts w:hint="default"/>
                      <w:color w:val="000000"/>
                      <w:kern w:val="0"/>
                      <w:sz w:val="21"/>
                      <w:szCs w:val="21"/>
                      <w:highlight w:val="none"/>
                      <w:lang w:bidi="ar"/>
                    </w:rPr>
                    <w:t>mg/L</w:t>
                  </w:r>
                </w:p>
              </w:tc>
              <w:tc>
                <w:tcPr>
                  <w:tcW w:w="898" w:type="pct"/>
                  <w:vAlign w:val="center"/>
                </w:tcPr>
                <w:p w14:paraId="0355B1D6">
                  <w:pPr>
                    <w:keepNext w:val="0"/>
                    <w:keepLines w:val="0"/>
                    <w:suppressLineNumbers w:val="0"/>
                    <w:adjustRightInd w:val="0"/>
                    <w:snapToGrid w:val="0"/>
                    <w:spacing w:before="0" w:beforeAutospacing="0" w:after="0" w:afterAutospacing="0"/>
                    <w:ind w:left="0" w:right="0"/>
                    <w:jc w:val="center"/>
                    <w:textAlignment w:val="center"/>
                    <w:rPr>
                      <w:rFonts w:hint="default"/>
                      <w:color w:val="000000"/>
                      <w:kern w:val="0"/>
                      <w:sz w:val="21"/>
                      <w:szCs w:val="21"/>
                      <w:highlight w:val="none"/>
                      <w:lang w:bidi="ar"/>
                    </w:rPr>
                  </w:pPr>
                  <w:r>
                    <w:rPr>
                      <w:rFonts w:hint="default"/>
                      <w:color w:val="000000"/>
                      <w:kern w:val="0"/>
                      <w:sz w:val="21"/>
                      <w:szCs w:val="21"/>
                      <w:highlight w:val="none"/>
                      <w:lang w:bidi="ar"/>
                    </w:rPr>
                    <w:t>3.5</w:t>
                  </w:r>
                </w:p>
              </w:tc>
              <w:tc>
                <w:tcPr>
                  <w:tcW w:w="897" w:type="pct"/>
                  <w:vAlign w:val="center"/>
                </w:tcPr>
                <w:p w14:paraId="1B14D70E">
                  <w:pPr>
                    <w:keepNext w:val="0"/>
                    <w:keepLines w:val="0"/>
                    <w:suppressLineNumbers w:val="0"/>
                    <w:adjustRightInd w:val="0"/>
                    <w:snapToGrid w:val="0"/>
                    <w:spacing w:before="0" w:beforeAutospacing="0" w:after="0" w:afterAutospacing="0"/>
                    <w:ind w:left="0" w:right="0"/>
                    <w:jc w:val="center"/>
                    <w:textAlignment w:val="center"/>
                    <w:rPr>
                      <w:rFonts w:hint="default"/>
                      <w:color w:val="000000"/>
                      <w:kern w:val="0"/>
                      <w:sz w:val="21"/>
                      <w:szCs w:val="21"/>
                      <w:highlight w:val="none"/>
                      <w:lang w:bidi="ar"/>
                    </w:rPr>
                  </w:pPr>
                  <w:r>
                    <w:rPr>
                      <w:rFonts w:hint="default"/>
                      <w:color w:val="000000"/>
                      <w:kern w:val="0"/>
                      <w:sz w:val="21"/>
                      <w:szCs w:val="21"/>
                      <w:highlight w:val="none"/>
                      <w:lang w:bidi="ar"/>
                    </w:rPr>
                    <w:t>3.1</w:t>
                  </w:r>
                </w:p>
              </w:tc>
              <w:tc>
                <w:tcPr>
                  <w:tcW w:w="900" w:type="pct"/>
                  <w:vAlign w:val="center"/>
                </w:tcPr>
                <w:p w14:paraId="2F8B27B8">
                  <w:pPr>
                    <w:keepNext w:val="0"/>
                    <w:keepLines w:val="0"/>
                    <w:suppressLineNumbers w:val="0"/>
                    <w:adjustRightInd w:val="0"/>
                    <w:snapToGrid w:val="0"/>
                    <w:spacing w:before="0" w:beforeAutospacing="0" w:after="0" w:afterAutospacing="0"/>
                    <w:ind w:left="0" w:right="0"/>
                    <w:jc w:val="center"/>
                    <w:textAlignment w:val="center"/>
                    <w:rPr>
                      <w:rFonts w:hint="default"/>
                      <w:color w:val="000000"/>
                      <w:kern w:val="0"/>
                      <w:sz w:val="21"/>
                      <w:szCs w:val="21"/>
                      <w:highlight w:val="none"/>
                      <w:lang w:bidi="ar"/>
                    </w:rPr>
                  </w:pPr>
                  <w:r>
                    <w:rPr>
                      <w:rFonts w:hint="default"/>
                      <w:color w:val="000000"/>
                      <w:kern w:val="0"/>
                      <w:sz w:val="21"/>
                      <w:szCs w:val="21"/>
                      <w:highlight w:val="none"/>
                      <w:lang w:bidi="ar"/>
                    </w:rPr>
                    <w:t>3.9</w:t>
                  </w:r>
                </w:p>
              </w:tc>
              <w:tc>
                <w:tcPr>
                  <w:tcW w:w="762" w:type="pct"/>
                  <w:vAlign w:val="center"/>
                </w:tcPr>
                <w:p w14:paraId="6E17C7CF">
                  <w:pPr>
                    <w:keepNext w:val="0"/>
                    <w:keepLines w:val="0"/>
                    <w:suppressLineNumbers w:val="0"/>
                    <w:adjustRightInd w:val="0"/>
                    <w:snapToGrid w:val="0"/>
                    <w:spacing w:before="0" w:beforeAutospacing="0" w:after="0" w:afterAutospacing="0"/>
                    <w:ind w:left="0" w:right="0"/>
                    <w:jc w:val="center"/>
                    <w:textAlignment w:val="center"/>
                    <w:rPr>
                      <w:rFonts w:hint="default"/>
                      <w:color w:val="000000"/>
                      <w:kern w:val="0"/>
                      <w:sz w:val="21"/>
                      <w:szCs w:val="21"/>
                      <w:highlight w:val="none"/>
                      <w:lang w:bidi="ar"/>
                    </w:rPr>
                  </w:pPr>
                  <w:r>
                    <w:rPr>
                      <w:rFonts w:hint="default"/>
                      <w:color w:val="000000"/>
                      <w:kern w:val="0"/>
                      <w:sz w:val="21"/>
                      <w:szCs w:val="21"/>
                      <w:highlight w:val="none"/>
                      <w:lang w:bidi="ar"/>
                    </w:rPr>
                    <w:t>4</w:t>
                  </w:r>
                </w:p>
              </w:tc>
            </w:tr>
            <w:tr w14:paraId="71F14D3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956" w:type="pct"/>
                  <w:vAlign w:val="center"/>
                </w:tcPr>
                <w:p w14:paraId="5FCA62AB">
                  <w:pPr>
                    <w:keepNext w:val="0"/>
                    <w:keepLines w:val="0"/>
                    <w:suppressLineNumbers w:val="0"/>
                    <w:adjustRightInd w:val="0"/>
                    <w:snapToGrid w:val="0"/>
                    <w:spacing w:before="0" w:beforeAutospacing="0" w:after="0" w:afterAutospacing="0"/>
                    <w:ind w:left="0" w:right="0"/>
                    <w:jc w:val="center"/>
                    <w:rPr>
                      <w:rFonts w:hint="default"/>
                      <w:color w:val="000000"/>
                      <w:sz w:val="21"/>
                      <w:szCs w:val="21"/>
                      <w:highlight w:val="none"/>
                    </w:rPr>
                  </w:pPr>
                  <w:r>
                    <w:rPr>
                      <w:rFonts w:hint="default"/>
                      <w:color w:val="000000"/>
                      <w:sz w:val="21"/>
                      <w:szCs w:val="21"/>
                      <w:highlight w:val="none"/>
                    </w:rPr>
                    <w:t>氨氮</w:t>
                  </w:r>
                </w:p>
              </w:tc>
              <w:tc>
                <w:tcPr>
                  <w:tcW w:w="584" w:type="pct"/>
                  <w:vAlign w:val="center"/>
                </w:tcPr>
                <w:p w14:paraId="07D923B4">
                  <w:pPr>
                    <w:keepNext w:val="0"/>
                    <w:keepLines w:val="0"/>
                    <w:suppressLineNumbers w:val="0"/>
                    <w:adjustRightInd w:val="0"/>
                    <w:snapToGrid w:val="0"/>
                    <w:spacing w:before="0" w:beforeAutospacing="0" w:after="0" w:afterAutospacing="0"/>
                    <w:ind w:left="0" w:right="0"/>
                    <w:jc w:val="center"/>
                    <w:textAlignment w:val="center"/>
                    <w:rPr>
                      <w:rFonts w:hint="default"/>
                      <w:color w:val="000000"/>
                      <w:kern w:val="0"/>
                      <w:sz w:val="21"/>
                      <w:szCs w:val="21"/>
                      <w:highlight w:val="none"/>
                      <w:lang w:bidi="ar"/>
                    </w:rPr>
                  </w:pPr>
                  <w:r>
                    <w:rPr>
                      <w:rFonts w:hint="default"/>
                      <w:color w:val="000000"/>
                      <w:kern w:val="0"/>
                      <w:sz w:val="21"/>
                      <w:szCs w:val="21"/>
                      <w:highlight w:val="none"/>
                      <w:lang w:bidi="ar"/>
                    </w:rPr>
                    <w:t>mg/L</w:t>
                  </w:r>
                </w:p>
              </w:tc>
              <w:tc>
                <w:tcPr>
                  <w:tcW w:w="898" w:type="pct"/>
                  <w:vAlign w:val="center"/>
                </w:tcPr>
                <w:p w14:paraId="4F03B298">
                  <w:pPr>
                    <w:keepNext w:val="0"/>
                    <w:keepLines w:val="0"/>
                    <w:suppressLineNumbers w:val="0"/>
                    <w:adjustRightInd w:val="0"/>
                    <w:snapToGrid w:val="0"/>
                    <w:spacing w:before="0" w:beforeAutospacing="0" w:after="0" w:afterAutospacing="0"/>
                    <w:ind w:left="0" w:right="0"/>
                    <w:jc w:val="center"/>
                    <w:textAlignment w:val="center"/>
                    <w:rPr>
                      <w:rFonts w:hint="default"/>
                      <w:color w:val="000000"/>
                      <w:kern w:val="0"/>
                      <w:sz w:val="21"/>
                      <w:szCs w:val="21"/>
                      <w:highlight w:val="none"/>
                      <w:lang w:bidi="ar"/>
                    </w:rPr>
                  </w:pPr>
                  <w:r>
                    <w:rPr>
                      <w:rFonts w:hint="default"/>
                      <w:color w:val="000000"/>
                      <w:kern w:val="0"/>
                      <w:sz w:val="21"/>
                      <w:szCs w:val="21"/>
                      <w:highlight w:val="none"/>
                      <w:lang w:bidi="ar"/>
                    </w:rPr>
                    <w:t>0.039</w:t>
                  </w:r>
                </w:p>
              </w:tc>
              <w:tc>
                <w:tcPr>
                  <w:tcW w:w="897" w:type="pct"/>
                  <w:vAlign w:val="center"/>
                </w:tcPr>
                <w:p w14:paraId="5E931046">
                  <w:pPr>
                    <w:keepNext w:val="0"/>
                    <w:keepLines w:val="0"/>
                    <w:suppressLineNumbers w:val="0"/>
                    <w:adjustRightInd w:val="0"/>
                    <w:snapToGrid w:val="0"/>
                    <w:spacing w:before="0" w:beforeAutospacing="0" w:after="0" w:afterAutospacing="0"/>
                    <w:ind w:left="0" w:right="0"/>
                    <w:jc w:val="center"/>
                    <w:textAlignment w:val="center"/>
                    <w:rPr>
                      <w:rFonts w:hint="default"/>
                      <w:color w:val="000000"/>
                      <w:kern w:val="0"/>
                      <w:sz w:val="21"/>
                      <w:szCs w:val="21"/>
                      <w:highlight w:val="none"/>
                      <w:lang w:bidi="ar"/>
                    </w:rPr>
                  </w:pPr>
                  <w:r>
                    <w:rPr>
                      <w:rFonts w:hint="default"/>
                      <w:color w:val="000000"/>
                      <w:kern w:val="0"/>
                      <w:sz w:val="21"/>
                      <w:szCs w:val="21"/>
                      <w:highlight w:val="none"/>
                      <w:lang w:bidi="ar"/>
                    </w:rPr>
                    <w:t>0.036</w:t>
                  </w:r>
                </w:p>
              </w:tc>
              <w:tc>
                <w:tcPr>
                  <w:tcW w:w="900" w:type="pct"/>
                  <w:vAlign w:val="center"/>
                </w:tcPr>
                <w:p w14:paraId="12866929">
                  <w:pPr>
                    <w:keepNext w:val="0"/>
                    <w:keepLines w:val="0"/>
                    <w:suppressLineNumbers w:val="0"/>
                    <w:adjustRightInd w:val="0"/>
                    <w:snapToGrid w:val="0"/>
                    <w:spacing w:before="0" w:beforeAutospacing="0" w:after="0" w:afterAutospacing="0"/>
                    <w:ind w:left="0" w:right="0"/>
                    <w:jc w:val="center"/>
                    <w:textAlignment w:val="center"/>
                    <w:rPr>
                      <w:rFonts w:hint="default"/>
                      <w:color w:val="000000"/>
                      <w:kern w:val="0"/>
                      <w:sz w:val="21"/>
                      <w:szCs w:val="21"/>
                      <w:highlight w:val="none"/>
                      <w:lang w:bidi="ar"/>
                    </w:rPr>
                  </w:pPr>
                  <w:r>
                    <w:rPr>
                      <w:rFonts w:hint="default"/>
                      <w:color w:val="000000"/>
                      <w:kern w:val="0"/>
                      <w:sz w:val="21"/>
                      <w:szCs w:val="21"/>
                      <w:highlight w:val="none"/>
                      <w:lang w:bidi="ar"/>
                    </w:rPr>
                    <w:t>0.033</w:t>
                  </w:r>
                </w:p>
              </w:tc>
              <w:tc>
                <w:tcPr>
                  <w:tcW w:w="762" w:type="pct"/>
                  <w:vAlign w:val="center"/>
                </w:tcPr>
                <w:p w14:paraId="339061B8">
                  <w:pPr>
                    <w:keepNext w:val="0"/>
                    <w:keepLines w:val="0"/>
                    <w:suppressLineNumbers w:val="0"/>
                    <w:adjustRightInd w:val="0"/>
                    <w:snapToGrid w:val="0"/>
                    <w:spacing w:before="0" w:beforeAutospacing="0" w:after="0" w:afterAutospacing="0"/>
                    <w:ind w:left="0" w:right="0"/>
                    <w:jc w:val="center"/>
                    <w:textAlignment w:val="center"/>
                    <w:rPr>
                      <w:rFonts w:hint="default"/>
                      <w:color w:val="000000"/>
                      <w:kern w:val="0"/>
                      <w:sz w:val="21"/>
                      <w:szCs w:val="21"/>
                      <w:highlight w:val="none"/>
                      <w:lang w:bidi="ar"/>
                    </w:rPr>
                  </w:pPr>
                  <w:r>
                    <w:rPr>
                      <w:rFonts w:hint="default"/>
                      <w:color w:val="000000"/>
                      <w:kern w:val="0"/>
                      <w:sz w:val="21"/>
                      <w:szCs w:val="21"/>
                      <w:highlight w:val="none"/>
                      <w:lang w:bidi="ar"/>
                    </w:rPr>
                    <w:t>1.0</w:t>
                  </w:r>
                </w:p>
              </w:tc>
            </w:tr>
            <w:tr w14:paraId="2A432D9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956" w:type="pct"/>
                  <w:vAlign w:val="center"/>
                </w:tcPr>
                <w:p w14:paraId="3C0D47C0">
                  <w:pPr>
                    <w:keepNext w:val="0"/>
                    <w:keepLines w:val="0"/>
                    <w:suppressLineNumbers w:val="0"/>
                    <w:adjustRightInd w:val="0"/>
                    <w:snapToGrid w:val="0"/>
                    <w:spacing w:before="0" w:beforeAutospacing="0" w:after="0" w:afterAutospacing="0"/>
                    <w:ind w:left="0" w:right="0"/>
                    <w:jc w:val="center"/>
                    <w:rPr>
                      <w:rFonts w:hint="default"/>
                      <w:color w:val="000000"/>
                      <w:sz w:val="21"/>
                      <w:szCs w:val="21"/>
                      <w:highlight w:val="none"/>
                    </w:rPr>
                  </w:pPr>
                  <w:r>
                    <w:rPr>
                      <w:rFonts w:hint="default"/>
                      <w:color w:val="000000"/>
                      <w:sz w:val="21"/>
                      <w:szCs w:val="21"/>
                      <w:highlight w:val="none"/>
                    </w:rPr>
                    <w:t>总氮</w:t>
                  </w:r>
                </w:p>
              </w:tc>
              <w:tc>
                <w:tcPr>
                  <w:tcW w:w="584" w:type="pct"/>
                  <w:vAlign w:val="center"/>
                </w:tcPr>
                <w:p w14:paraId="5AC211E0">
                  <w:pPr>
                    <w:keepNext w:val="0"/>
                    <w:keepLines w:val="0"/>
                    <w:suppressLineNumbers w:val="0"/>
                    <w:adjustRightInd w:val="0"/>
                    <w:snapToGrid w:val="0"/>
                    <w:spacing w:before="0" w:beforeAutospacing="0" w:after="0" w:afterAutospacing="0"/>
                    <w:ind w:left="0" w:right="0"/>
                    <w:jc w:val="center"/>
                    <w:textAlignment w:val="center"/>
                    <w:rPr>
                      <w:rFonts w:hint="default"/>
                      <w:color w:val="000000"/>
                      <w:kern w:val="0"/>
                      <w:sz w:val="21"/>
                      <w:szCs w:val="21"/>
                      <w:highlight w:val="none"/>
                      <w:lang w:bidi="ar"/>
                    </w:rPr>
                  </w:pPr>
                  <w:r>
                    <w:rPr>
                      <w:rFonts w:hint="default"/>
                      <w:color w:val="000000"/>
                      <w:kern w:val="0"/>
                      <w:sz w:val="21"/>
                      <w:szCs w:val="21"/>
                      <w:highlight w:val="none"/>
                      <w:lang w:bidi="ar"/>
                    </w:rPr>
                    <w:t>mg/L</w:t>
                  </w:r>
                </w:p>
              </w:tc>
              <w:tc>
                <w:tcPr>
                  <w:tcW w:w="898" w:type="pct"/>
                  <w:vAlign w:val="center"/>
                </w:tcPr>
                <w:p w14:paraId="13664107">
                  <w:pPr>
                    <w:keepNext w:val="0"/>
                    <w:keepLines w:val="0"/>
                    <w:suppressLineNumbers w:val="0"/>
                    <w:adjustRightInd w:val="0"/>
                    <w:snapToGrid w:val="0"/>
                    <w:spacing w:before="0" w:beforeAutospacing="0" w:after="0" w:afterAutospacing="0"/>
                    <w:ind w:left="0" w:right="0"/>
                    <w:jc w:val="center"/>
                    <w:textAlignment w:val="center"/>
                    <w:rPr>
                      <w:rFonts w:hint="default"/>
                      <w:color w:val="000000"/>
                      <w:kern w:val="0"/>
                      <w:sz w:val="21"/>
                      <w:szCs w:val="21"/>
                      <w:highlight w:val="none"/>
                      <w:lang w:bidi="ar"/>
                    </w:rPr>
                  </w:pPr>
                  <w:r>
                    <w:rPr>
                      <w:rFonts w:hint="default"/>
                      <w:color w:val="000000"/>
                      <w:kern w:val="0"/>
                      <w:sz w:val="21"/>
                      <w:szCs w:val="21"/>
                      <w:highlight w:val="none"/>
                      <w:lang w:bidi="ar"/>
                    </w:rPr>
                    <w:t>2.47</w:t>
                  </w:r>
                </w:p>
              </w:tc>
              <w:tc>
                <w:tcPr>
                  <w:tcW w:w="897" w:type="pct"/>
                  <w:vAlign w:val="center"/>
                </w:tcPr>
                <w:p w14:paraId="6B1536BB">
                  <w:pPr>
                    <w:keepNext w:val="0"/>
                    <w:keepLines w:val="0"/>
                    <w:suppressLineNumbers w:val="0"/>
                    <w:adjustRightInd w:val="0"/>
                    <w:snapToGrid w:val="0"/>
                    <w:spacing w:before="0" w:beforeAutospacing="0" w:after="0" w:afterAutospacing="0"/>
                    <w:ind w:left="0" w:right="0"/>
                    <w:jc w:val="center"/>
                    <w:textAlignment w:val="center"/>
                    <w:rPr>
                      <w:rFonts w:hint="default"/>
                      <w:color w:val="000000"/>
                      <w:kern w:val="0"/>
                      <w:sz w:val="21"/>
                      <w:szCs w:val="21"/>
                      <w:highlight w:val="none"/>
                      <w:lang w:bidi="ar"/>
                    </w:rPr>
                  </w:pPr>
                  <w:r>
                    <w:rPr>
                      <w:rFonts w:hint="default"/>
                      <w:color w:val="000000"/>
                      <w:kern w:val="0"/>
                      <w:sz w:val="21"/>
                      <w:szCs w:val="21"/>
                      <w:highlight w:val="none"/>
                      <w:lang w:bidi="ar"/>
                    </w:rPr>
                    <w:t>2.58</w:t>
                  </w:r>
                </w:p>
              </w:tc>
              <w:tc>
                <w:tcPr>
                  <w:tcW w:w="900" w:type="pct"/>
                  <w:vAlign w:val="center"/>
                </w:tcPr>
                <w:p w14:paraId="07EAD678">
                  <w:pPr>
                    <w:keepNext w:val="0"/>
                    <w:keepLines w:val="0"/>
                    <w:suppressLineNumbers w:val="0"/>
                    <w:adjustRightInd w:val="0"/>
                    <w:snapToGrid w:val="0"/>
                    <w:spacing w:before="0" w:beforeAutospacing="0" w:after="0" w:afterAutospacing="0"/>
                    <w:ind w:left="0" w:right="0"/>
                    <w:jc w:val="center"/>
                    <w:textAlignment w:val="center"/>
                    <w:rPr>
                      <w:rFonts w:hint="default"/>
                      <w:color w:val="000000"/>
                      <w:kern w:val="0"/>
                      <w:sz w:val="21"/>
                      <w:szCs w:val="21"/>
                      <w:highlight w:val="none"/>
                      <w:lang w:bidi="ar"/>
                    </w:rPr>
                  </w:pPr>
                  <w:r>
                    <w:rPr>
                      <w:rFonts w:hint="default"/>
                      <w:color w:val="000000"/>
                      <w:kern w:val="0"/>
                      <w:sz w:val="21"/>
                      <w:szCs w:val="21"/>
                      <w:highlight w:val="none"/>
                      <w:lang w:bidi="ar"/>
                    </w:rPr>
                    <w:t>2.73</w:t>
                  </w:r>
                </w:p>
              </w:tc>
              <w:tc>
                <w:tcPr>
                  <w:tcW w:w="762" w:type="pct"/>
                  <w:vAlign w:val="center"/>
                </w:tcPr>
                <w:p w14:paraId="302C9CF7">
                  <w:pPr>
                    <w:keepNext w:val="0"/>
                    <w:keepLines w:val="0"/>
                    <w:suppressLineNumbers w:val="0"/>
                    <w:adjustRightInd w:val="0"/>
                    <w:snapToGrid w:val="0"/>
                    <w:spacing w:before="0" w:beforeAutospacing="0" w:after="0" w:afterAutospacing="0"/>
                    <w:ind w:left="0" w:right="0"/>
                    <w:jc w:val="center"/>
                    <w:textAlignment w:val="center"/>
                    <w:rPr>
                      <w:rFonts w:hint="default"/>
                      <w:color w:val="000000"/>
                      <w:kern w:val="0"/>
                      <w:sz w:val="21"/>
                      <w:szCs w:val="21"/>
                      <w:highlight w:val="none"/>
                      <w:lang w:bidi="ar"/>
                    </w:rPr>
                  </w:pPr>
                  <w:r>
                    <w:rPr>
                      <w:rFonts w:hint="default"/>
                      <w:color w:val="000000"/>
                      <w:kern w:val="0"/>
                      <w:sz w:val="21"/>
                      <w:szCs w:val="21"/>
                      <w:highlight w:val="none"/>
                      <w:lang w:bidi="ar"/>
                    </w:rPr>
                    <w:t>-</w:t>
                  </w:r>
                </w:p>
              </w:tc>
            </w:tr>
            <w:tr w14:paraId="6003A67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956" w:type="pct"/>
                  <w:vAlign w:val="center"/>
                </w:tcPr>
                <w:p w14:paraId="0977BA09">
                  <w:pPr>
                    <w:keepNext w:val="0"/>
                    <w:keepLines w:val="0"/>
                    <w:suppressLineNumbers w:val="0"/>
                    <w:adjustRightInd w:val="0"/>
                    <w:snapToGrid w:val="0"/>
                    <w:spacing w:before="0" w:beforeAutospacing="0" w:after="0" w:afterAutospacing="0"/>
                    <w:ind w:left="0" w:right="0"/>
                    <w:jc w:val="center"/>
                    <w:rPr>
                      <w:rFonts w:hint="default"/>
                      <w:color w:val="000000"/>
                      <w:sz w:val="21"/>
                      <w:szCs w:val="21"/>
                      <w:highlight w:val="none"/>
                    </w:rPr>
                  </w:pPr>
                  <w:r>
                    <w:rPr>
                      <w:rFonts w:hint="default"/>
                      <w:color w:val="000000"/>
                      <w:sz w:val="21"/>
                      <w:szCs w:val="21"/>
                      <w:highlight w:val="none"/>
                    </w:rPr>
                    <w:t>锌</w:t>
                  </w:r>
                </w:p>
              </w:tc>
              <w:tc>
                <w:tcPr>
                  <w:tcW w:w="584" w:type="pct"/>
                  <w:vAlign w:val="center"/>
                </w:tcPr>
                <w:p w14:paraId="2C25E9DB">
                  <w:pPr>
                    <w:keepNext w:val="0"/>
                    <w:keepLines w:val="0"/>
                    <w:suppressLineNumbers w:val="0"/>
                    <w:adjustRightInd w:val="0"/>
                    <w:snapToGrid w:val="0"/>
                    <w:spacing w:before="0" w:beforeAutospacing="0" w:after="0" w:afterAutospacing="0"/>
                    <w:ind w:left="0" w:right="0"/>
                    <w:jc w:val="center"/>
                    <w:textAlignment w:val="center"/>
                    <w:rPr>
                      <w:rFonts w:hint="default"/>
                      <w:color w:val="000000"/>
                      <w:kern w:val="0"/>
                      <w:sz w:val="21"/>
                      <w:szCs w:val="21"/>
                      <w:highlight w:val="none"/>
                      <w:lang w:bidi="ar"/>
                    </w:rPr>
                  </w:pPr>
                  <w:r>
                    <w:rPr>
                      <w:rFonts w:hint="default"/>
                      <w:color w:val="000000"/>
                      <w:kern w:val="0"/>
                      <w:sz w:val="21"/>
                      <w:szCs w:val="21"/>
                      <w:highlight w:val="none"/>
                      <w:lang w:bidi="ar"/>
                    </w:rPr>
                    <w:t>mg/L</w:t>
                  </w:r>
                </w:p>
              </w:tc>
              <w:tc>
                <w:tcPr>
                  <w:tcW w:w="898" w:type="pct"/>
                  <w:vAlign w:val="center"/>
                </w:tcPr>
                <w:p w14:paraId="3036EE6B">
                  <w:pPr>
                    <w:keepNext w:val="0"/>
                    <w:keepLines w:val="0"/>
                    <w:suppressLineNumbers w:val="0"/>
                    <w:adjustRightInd w:val="0"/>
                    <w:snapToGrid w:val="0"/>
                    <w:spacing w:before="0" w:beforeAutospacing="0" w:after="0" w:afterAutospacing="0"/>
                    <w:ind w:left="0" w:right="0"/>
                    <w:jc w:val="center"/>
                    <w:textAlignment w:val="center"/>
                    <w:rPr>
                      <w:rFonts w:hint="default"/>
                      <w:color w:val="000000"/>
                      <w:kern w:val="0"/>
                      <w:sz w:val="21"/>
                      <w:szCs w:val="21"/>
                      <w:highlight w:val="none"/>
                      <w:lang w:bidi="ar"/>
                    </w:rPr>
                  </w:pPr>
                  <w:r>
                    <w:rPr>
                      <w:rFonts w:hint="default"/>
                      <w:color w:val="000000"/>
                      <w:kern w:val="0"/>
                      <w:sz w:val="21"/>
                      <w:szCs w:val="21"/>
                      <w:highlight w:val="none"/>
                      <w:lang w:bidi="ar"/>
                    </w:rPr>
                    <w:t>＜0.009</w:t>
                  </w:r>
                </w:p>
              </w:tc>
              <w:tc>
                <w:tcPr>
                  <w:tcW w:w="897" w:type="pct"/>
                  <w:vAlign w:val="center"/>
                </w:tcPr>
                <w:p w14:paraId="2E88CA4A">
                  <w:pPr>
                    <w:keepNext w:val="0"/>
                    <w:keepLines w:val="0"/>
                    <w:suppressLineNumbers w:val="0"/>
                    <w:adjustRightInd w:val="0"/>
                    <w:snapToGrid w:val="0"/>
                    <w:spacing w:before="0" w:beforeAutospacing="0" w:after="0" w:afterAutospacing="0"/>
                    <w:ind w:left="0" w:right="0"/>
                    <w:jc w:val="center"/>
                    <w:textAlignment w:val="center"/>
                    <w:rPr>
                      <w:rFonts w:hint="default"/>
                      <w:color w:val="000000"/>
                      <w:kern w:val="0"/>
                      <w:sz w:val="21"/>
                      <w:szCs w:val="21"/>
                      <w:highlight w:val="none"/>
                      <w:lang w:bidi="ar"/>
                    </w:rPr>
                  </w:pPr>
                  <w:r>
                    <w:rPr>
                      <w:rFonts w:hint="default"/>
                      <w:color w:val="000000"/>
                      <w:kern w:val="0"/>
                      <w:sz w:val="21"/>
                      <w:szCs w:val="21"/>
                      <w:highlight w:val="none"/>
                      <w:lang w:bidi="ar"/>
                    </w:rPr>
                    <w:t>＜0.009</w:t>
                  </w:r>
                </w:p>
              </w:tc>
              <w:tc>
                <w:tcPr>
                  <w:tcW w:w="900" w:type="pct"/>
                  <w:vAlign w:val="center"/>
                </w:tcPr>
                <w:p w14:paraId="508F2E24">
                  <w:pPr>
                    <w:keepNext w:val="0"/>
                    <w:keepLines w:val="0"/>
                    <w:suppressLineNumbers w:val="0"/>
                    <w:adjustRightInd w:val="0"/>
                    <w:snapToGrid w:val="0"/>
                    <w:spacing w:before="0" w:beforeAutospacing="0" w:after="0" w:afterAutospacing="0"/>
                    <w:ind w:left="0" w:right="0"/>
                    <w:jc w:val="center"/>
                    <w:textAlignment w:val="center"/>
                    <w:rPr>
                      <w:rFonts w:hint="default"/>
                      <w:color w:val="000000"/>
                      <w:kern w:val="0"/>
                      <w:sz w:val="21"/>
                      <w:szCs w:val="21"/>
                      <w:highlight w:val="none"/>
                      <w:lang w:bidi="ar"/>
                    </w:rPr>
                  </w:pPr>
                  <w:r>
                    <w:rPr>
                      <w:rFonts w:hint="default"/>
                      <w:color w:val="000000"/>
                      <w:kern w:val="0"/>
                      <w:sz w:val="21"/>
                      <w:szCs w:val="21"/>
                      <w:highlight w:val="none"/>
                      <w:lang w:bidi="ar"/>
                    </w:rPr>
                    <w:t>＜0.009</w:t>
                  </w:r>
                </w:p>
              </w:tc>
              <w:tc>
                <w:tcPr>
                  <w:tcW w:w="762" w:type="pct"/>
                  <w:vAlign w:val="center"/>
                </w:tcPr>
                <w:p w14:paraId="5947AC4C">
                  <w:pPr>
                    <w:keepNext w:val="0"/>
                    <w:keepLines w:val="0"/>
                    <w:suppressLineNumbers w:val="0"/>
                    <w:adjustRightInd w:val="0"/>
                    <w:snapToGrid w:val="0"/>
                    <w:spacing w:before="0" w:beforeAutospacing="0" w:after="0" w:afterAutospacing="0"/>
                    <w:ind w:left="0" w:right="0"/>
                    <w:jc w:val="center"/>
                    <w:textAlignment w:val="center"/>
                    <w:rPr>
                      <w:rFonts w:hint="default"/>
                      <w:color w:val="000000"/>
                      <w:kern w:val="0"/>
                      <w:sz w:val="21"/>
                      <w:szCs w:val="21"/>
                      <w:highlight w:val="none"/>
                      <w:lang w:bidi="ar"/>
                    </w:rPr>
                  </w:pPr>
                  <w:r>
                    <w:rPr>
                      <w:rFonts w:hint="default"/>
                      <w:color w:val="000000"/>
                      <w:kern w:val="0"/>
                      <w:sz w:val="21"/>
                      <w:szCs w:val="21"/>
                      <w:highlight w:val="none"/>
                      <w:lang w:bidi="ar"/>
                    </w:rPr>
                    <w:t>1.0</w:t>
                  </w:r>
                </w:p>
              </w:tc>
            </w:tr>
            <w:tr w14:paraId="1F2D84B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956" w:type="pct"/>
                  <w:vAlign w:val="center"/>
                </w:tcPr>
                <w:p w14:paraId="525ADBF3">
                  <w:pPr>
                    <w:keepNext w:val="0"/>
                    <w:keepLines w:val="0"/>
                    <w:suppressLineNumbers w:val="0"/>
                    <w:adjustRightInd w:val="0"/>
                    <w:snapToGrid w:val="0"/>
                    <w:spacing w:before="0" w:beforeAutospacing="0" w:after="0" w:afterAutospacing="0"/>
                    <w:ind w:left="0" w:right="0"/>
                    <w:jc w:val="center"/>
                    <w:rPr>
                      <w:rFonts w:hint="default"/>
                      <w:color w:val="000000"/>
                      <w:sz w:val="21"/>
                      <w:szCs w:val="21"/>
                      <w:highlight w:val="none"/>
                    </w:rPr>
                  </w:pPr>
                  <w:r>
                    <w:rPr>
                      <w:rFonts w:hint="default"/>
                      <w:color w:val="000000"/>
                      <w:sz w:val="21"/>
                      <w:szCs w:val="21"/>
                      <w:highlight w:val="none"/>
                    </w:rPr>
                    <w:t>石油类</w:t>
                  </w:r>
                </w:p>
              </w:tc>
              <w:tc>
                <w:tcPr>
                  <w:tcW w:w="584" w:type="pct"/>
                  <w:vAlign w:val="center"/>
                </w:tcPr>
                <w:p w14:paraId="2B3AEEF3">
                  <w:pPr>
                    <w:keepNext w:val="0"/>
                    <w:keepLines w:val="0"/>
                    <w:suppressLineNumbers w:val="0"/>
                    <w:adjustRightInd w:val="0"/>
                    <w:snapToGrid w:val="0"/>
                    <w:spacing w:before="0" w:beforeAutospacing="0" w:after="0" w:afterAutospacing="0"/>
                    <w:ind w:left="0" w:right="0"/>
                    <w:jc w:val="center"/>
                    <w:textAlignment w:val="center"/>
                    <w:rPr>
                      <w:rFonts w:hint="default"/>
                      <w:color w:val="000000"/>
                      <w:kern w:val="0"/>
                      <w:sz w:val="21"/>
                      <w:szCs w:val="21"/>
                      <w:highlight w:val="none"/>
                      <w:lang w:bidi="ar"/>
                    </w:rPr>
                  </w:pPr>
                  <w:r>
                    <w:rPr>
                      <w:rFonts w:hint="default"/>
                      <w:color w:val="000000"/>
                      <w:kern w:val="0"/>
                      <w:sz w:val="21"/>
                      <w:szCs w:val="21"/>
                      <w:highlight w:val="none"/>
                      <w:lang w:bidi="ar"/>
                    </w:rPr>
                    <w:t>mg/L</w:t>
                  </w:r>
                </w:p>
              </w:tc>
              <w:tc>
                <w:tcPr>
                  <w:tcW w:w="898" w:type="pct"/>
                  <w:vAlign w:val="center"/>
                </w:tcPr>
                <w:p w14:paraId="04B8E2FC">
                  <w:pPr>
                    <w:keepNext w:val="0"/>
                    <w:keepLines w:val="0"/>
                    <w:suppressLineNumbers w:val="0"/>
                    <w:adjustRightInd w:val="0"/>
                    <w:snapToGrid w:val="0"/>
                    <w:spacing w:before="0" w:beforeAutospacing="0" w:after="0" w:afterAutospacing="0"/>
                    <w:ind w:left="0" w:right="0"/>
                    <w:jc w:val="center"/>
                    <w:textAlignment w:val="center"/>
                    <w:rPr>
                      <w:rFonts w:hint="default"/>
                      <w:color w:val="000000"/>
                      <w:kern w:val="0"/>
                      <w:sz w:val="21"/>
                      <w:szCs w:val="21"/>
                      <w:highlight w:val="none"/>
                      <w:lang w:bidi="ar"/>
                    </w:rPr>
                  </w:pPr>
                  <w:r>
                    <w:rPr>
                      <w:rFonts w:hint="default"/>
                      <w:color w:val="000000"/>
                      <w:kern w:val="0"/>
                      <w:sz w:val="21"/>
                      <w:szCs w:val="21"/>
                      <w:highlight w:val="none"/>
                      <w:lang w:bidi="ar"/>
                    </w:rPr>
                    <w:t>＜0.01</w:t>
                  </w:r>
                </w:p>
              </w:tc>
              <w:tc>
                <w:tcPr>
                  <w:tcW w:w="897" w:type="pct"/>
                  <w:vAlign w:val="center"/>
                </w:tcPr>
                <w:p w14:paraId="4A46BB8D">
                  <w:pPr>
                    <w:keepNext w:val="0"/>
                    <w:keepLines w:val="0"/>
                    <w:suppressLineNumbers w:val="0"/>
                    <w:adjustRightInd w:val="0"/>
                    <w:snapToGrid w:val="0"/>
                    <w:spacing w:before="0" w:beforeAutospacing="0" w:after="0" w:afterAutospacing="0"/>
                    <w:ind w:left="0" w:right="0"/>
                    <w:jc w:val="center"/>
                    <w:textAlignment w:val="center"/>
                    <w:rPr>
                      <w:rFonts w:hint="default"/>
                      <w:color w:val="000000"/>
                      <w:kern w:val="0"/>
                      <w:sz w:val="21"/>
                      <w:szCs w:val="21"/>
                      <w:highlight w:val="none"/>
                      <w:lang w:bidi="ar"/>
                    </w:rPr>
                  </w:pPr>
                  <w:r>
                    <w:rPr>
                      <w:rFonts w:hint="default"/>
                      <w:color w:val="000000"/>
                      <w:kern w:val="0"/>
                      <w:sz w:val="21"/>
                      <w:szCs w:val="21"/>
                      <w:highlight w:val="none"/>
                      <w:lang w:bidi="ar"/>
                    </w:rPr>
                    <w:t>＜0.01</w:t>
                  </w:r>
                </w:p>
              </w:tc>
              <w:tc>
                <w:tcPr>
                  <w:tcW w:w="900" w:type="pct"/>
                  <w:vAlign w:val="center"/>
                </w:tcPr>
                <w:p w14:paraId="2AAAC81C">
                  <w:pPr>
                    <w:keepNext w:val="0"/>
                    <w:keepLines w:val="0"/>
                    <w:suppressLineNumbers w:val="0"/>
                    <w:adjustRightInd w:val="0"/>
                    <w:snapToGrid w:val="0"/>
                    <w:spacing w:before="0" w:beforeAutospacing="0" w:after="0" w:afterAutospacing="0"/>
                    <w:ind w:left="0" w:right="0"/>
                    <w:jc w:val="center"/>
                    <w:textAlignment w:val="center"/>
                    <w:rPr>
                      <w:rFonts w:hint="default"/>
                      <w:color w:val="000000"/>
                      <w:kern w:val="0"/>
                      <w:sz w:val="21"/>
                      <w:szCs w:val="21"/>
                      <w:highlight w:val="none"/>
                      <w:lang w:bidi="ar"/>
                    </w:rPr>
                  </w:pPr>
                  <w:r>
                    <w:rPr>
                      <w:rFonts w:hint="default"/>
                      <w:color w:val="000000"/>
                      <w:kern w:val="0"/>
                      <w:sz w:val="21"/>
                      <w:szCs w:val="21"/>
                      <w:highlight w:val="none"/>
                      <w:lang w:bidi="ar"/>
                    </w:rPr>
                    <w:t>＜0.01</w:t>
                  </w:r>
                </w:p>
              </w:tc>
              <w:tc>
                <w:tcPr>
                  <w:tcW w:w="762" w:type="pct"/>
                  <w:vAlign w:val="center"/>
                </w:tcPr>
                <w:p w14:paraId="30FEA0CB">
                  <w:pPr>
                    <w:keepNext w:val="0"/>
                    <w:keepLines w:val="0"/>
                    <w:suppressLineNumbers w:val="0"/>
                    <w:adjustRightInd w:val="0"/>
                    <w:snapToGrid w:val="0"/>
                    <w:spacing w:before="0" w:beforeAutospacing="0" w:after="0" w:afterAutospacing="0"/>
                    <w:ind w:left="0" w:right="0"/>
                    <w:jc w:val="center"/>
                    <w:textAlignment w:val="center"/>
                    <w:rPr>
                      <w:rFonts w:hint="default"/>
                      <w:color w:val="000000"/>
                      <w:kern w:val="0"/>
                      <w:sz w:val="21"/>
                      <w:szCs w:val="21"/>
                      <w:highlight w:val="none"/>
                      <w:lang w:bidi="ar"/>
                    </w:rPr>
                  </w:pPr>
                  <w:r>
                    <w:rPr>
                      <w:rFonts w:hint="default"/>
                      <w:color w:val="000000"/>
                      <w:kern w:val="0"/>
                      <w:sz w:val="21"/>
                      <w:szCs w:val="21"/>
                      <w:highlight w:val="none"/>
                      <w:lang w:bidi="ar"/>
                    </w:rPr>
                    <w:t>0.05</w:t>
                  </w:r>
                </w:p>
              </w:tc>
            </w:tr>
            <w:tr w14:paraId="612B3BF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956" w:type="pct"/>
                  <w:vAlign w:val="center"/>
                </w:tcPr>
                <w:p w14:paraId="3AA7DFFB">
                  <w:pPr>
                    <w:keepNext w:val="0"/>
                    <w:keepLines w:val="0"/>
                    <w:suppressLineNumbers w:val="0"/>
                    <w:adjustRightInd w:val="0"/>
                    <w:snapToGrid w:val="0"/>
                    <w:spacing w:before="0" w:beforeAutospacing="0" w:after="0" w:afterAutospacing="0"/>
                    <w:ind w:left="0" w:right="0"/>
                    <w:jc w:val="center"/>
                    <w:rPr>
                      <w:rFonts w:hint="default"/>
                      <w:color w:val="000000"/>
                      <w:sz w:val="21"/>
                      <w:szCs w:val="21"/>
                      <w:highlight w:val="none"/>
                    </w:rPr>
                  </w:pPr>
                  <w:r>
                    <w:rPr>
                      <w:rFonts w:hint="default"/>
                      <w:color w:val="000000"/>
                      <w:sz w:val="21"/>
                      <w:szCs w:val="21"/>
                      <w:highlight w:val="none"/>
                    </w:rPr>
                    <w:t>粪大肠菌群</w:t>
                  </w:r>
                </w:p>
              </w:tc>
              <w:tc>
                <w:tcPr>
                  <w:tcW w:w="584" w:type="pct"/>
                  <w:vAlign w:val="center"/>
                </w:tcPr>
                <w:p w14:paraId="1C7D0C6F">
                  <w:pPr>
                    <w:keepNext w:val="0"/>
                    <w:keepLines w:val="0"/>
                    <w:suppressLineNumbers w:val="0"/>
                    <w:adjustRightInd w:val="0"/>
                    <w:snapToGrid w:val="0"/>
                    <w:spacing w:before="0" w:beforeAutospacing="0" w:after="0" w:afterAutospacing="0"/>
                    <w:ind w:left="0" w:right="0"/>
                    <w:jc w:val="center"/>
                    <w:textAlignment w:val="center"/>
                    <w:rPr>
                      <w:rFonts w:hint="default"/>
                      <w:color w:val="000000"/>
                      <w:kern w:val="0"/>
                      <w:sz w:val="21"/>
                      <w:szCs w:val="21"/>
                      <w:highlight w:val="none"/>
                      <w:lang w:bidi="ar"/>
                    </w:rPr>
                  </w:pPr>
                  <w:r>
                    <w:rPr>
                      <w:rFonts w:hint="default"/>
                      <w:color w:val="000000"/>
                      <w:kern w:val="0"/>
                      <w:sz w:val="21"/>
                      <w:szCs w:val="21"/>
                      <w:highlight w:val="none"/>
                      <w:lang w:bidi="ar"/>
                    </w:rPr>
                    <w:t>个/L</w:t>
                  </w:r>
                </w:p>
              </w:tc>
              <w:tc>
                <w:tcPr>
                  <w:tcW w:w="898" w:type="pct"/>
                  <w:vAlign w:val="center"/>
                </w:tcPr>
                <w:p w14:paraId="45A29593">
                  <w:pPr>
                    <w:keepNext w:val="0"/>
                    <w:keepLines w:val="0"/>
                    <w:suppressLineNumbers w:val="0"/>
                    <w:adjustRightInd w:val="0"/>
                    <w:snapToGrid w:val="0"/>
                    <w:spacing w:before="0" w:beforeAutospacing="0" w:after="0" w:afterAutospacing="0"/>
                    <w:ind w:left="0" w:right="0"/>
                    <w:jc w:val="center"/>
                    <w:textAlignment w:val="center"/>
                    <w:rPr>
                      <w:rFonts w:hint="default"/>
                      <w:color w:val="000000"/>
                      <w:kern w:val="0"/>
                      <w:sz w:val="21"/>
                      <w:szCs w:val="21"/>
                      <w:highlight w:val="none"/>
                      <w:lang w:bidi="ar"/>
                    </w:rPr>
                  </w:pPr>
                  <w:r>
                    <w:rPr>
                      <w:rFonts w:hint="default"/>
                      <w:color w:val="000000"/>
                      <w:kern w:val="0"/>
                      <w:sz w:val="21"/>
                      <w:szCs w:val="21"/>
                      <w:highlight w:val="none"/>
                      <w:lang w:bidi="ar"/>
                    </w:rPr>
                    <w:t>7.9×10</w:t>
                  </w:r>
                  <w:r>
                    <w:rPr>
                      <w:rFonts w:hint="default"/>
                      <w:color w:val="000000"/>
                      <w:kern w:val="0"/>
                      <w:sz w:val="21"/>
                      <w:szCs w:val="21"/>
                      <w:highlight w:val="none"/>
                      <w:vertAlign w:val="superscript"/>
                      <w:lang w:bidi="ar"/>
                    </w:rPr>
                    <w:t>2</w:t>
                  </w:r>
                </w:p>
              </w:tc>
              <w:tc>
                <w:tcPr>
                  <w:tcW w:w="897" w:type="pct"/>
                  <w:vAlign w:val="center"/>
                </w:tcPr>
                <w:p w14:paraId="35784C93">
                  <w:pPr>
                    <w:keepNext w:val="0"/>
                    <w:keepLines w:val="0"/>
                    <w:suppressLineNumbers w:val="0"/>
                    <w:adjustRightInd w:val="0"/>
                    <w:snapToGrid w:val="0"/>
                    <w:spacing w:before="0" w:beforeAutospacing="0" w:after="0" w:afterAutospacing="0"/>
                    <w:ind w:left="0" w:right="0"/>
                    <w:jc w:val="center"/>
                    <w:textAlignment w:val="center"/>
                    <w:rPr>
                      <w:rFonts w:hint="default"/>
                      <w:color w:val="000000"/>
                      <w:kern w:val="0"/>
                      <w:sz w:val="21"/>
                      <w:szCs w:val="21"/>
                      <w:highlight w:val="none"/>
                      <w:lang w:bidi="ar"/>
                    </w:rPr>
                  </w:pPr>
                  <w:r>
                    <w:rPr>
                      <w:rFonts w:hint="default"/>
                      <w:color w:val="000000"/>
                      <w:kern w:val="0"/>
                      <w:sz w:val="21"/>
                      <w:szCs w:val="21"/>
                      <w:highlight w:val="none"/>
                      <w:lang w:bidi="ar"/>
                    </w:rPr>
                    <w:t>9.4×10</w:t>
                  </w:r>
                  <w:r>
                    <w:rPr>
                      <w:rFonts w:hint="default"/>
                      <w:color w:val="000000"/>
                      <w:kern w:val="0"/>
                      <w:sz w:val="21"/>
                      <w:szCs w:val="21"/>
                      <w:highlight w:val="none"/>
                      <w:vertAlign w:val="superscript"/>
                      <w:lang w:bidi="ar"/>
                    </w:rPr>
                    <w:t>2</w:t>
                  </w:r>
                </w:p>
              </w:tc>
              <w:tc>
                <w:tcPr>
                  <w:tcW w:w="900" w:type="pct"/>
                  <w:vAlign w:val="center"/>
                </w:tcPr>
                <w:p w14:paraId="3F9A2D26">
                  <w:pPr>
                    <w:keepNext w:val="0"/>
                    <w:keepLines w:val="0"/>
                    <w:suppressLineNumbers w:val="0"/>
                    <w:adjustRightInd w:val="0"/>
                    <w:snapToGrid w:val="0"/>
                    <w:spacing w:before="0" w:beforeAutospacing="0" w:after="0" w:afterAutospacing="0"/>
                    <w:ind w:left="0" w:right="0"/>
                    <w:jc w:val="center"/>
                    <w:textAlignment w:val="center"/>
                    <w:rPr>
                      <w:rFonts w:hint="default"/>
                      <w:color w:val="000000"/>
                      <w:kern w:val="0"/>
                      <w:sz w:val="21"/>
                      <w:szCs w:val="21"/>
                      <w:highlight w:val="none"/>
                      <w:lang w:bidi="ar"/>
                    </w:rPr>
                  </w:pPr>
                  <w:r>
                    <w:rPr>
                      <w:rFonts w:hint="default"/>
                      <w:color w:val="000000"/>
                      <w:kern w:val="0"/>
                      <w:sz w:val="21"/>
                      <w:szCs w:val="21"/>
                      <w:highlight w:val="none"/>
                      <w:lang w:bidi="ar"/>
                    </w:rPr>
                    <w:t>7.9×10</w:t>
                  </w:r>
                  <w:r>
                    <w:rPr>
                      <w:rFonts w:hint="default"/>
                      <w:color w:val="000000"/>
                      <w:kern w:val="0"/>
                      <w:sz w:val="21"/>
                      <w:szCs w:val="21"/>
                      <w:highlight w:val="none"/>
                      <w:vertAlign w:val="superscript"/>
                      <w:lang w:bidi="ar"/>
                    </w:rPr>
                    <w:t>2</w:t>
                  </w:r>
                </w:p>
              </w:tc>
              <w:tc>
                <w:tcPr>
                  <w:tcW w:w="762" w:type="pct"/>
                  <w:vAlign w:val="center"/>
                </w:tcPr>
                <w:p w14:paraId="7012D262">
                  <w:pPr>
                    <w:keepNext w:val="0"/>
                    <w:keepLines w:val="0"/>
                    <w:suppressLineNumbers w:val="0"/>
                    <w:adjustRightInd w:val="0"/>
                    <w:snapToGrid w:val="0"/>
                    <w:spacing w:before="0" w:beforeAutospacing="0" w:after="0" w:afterAutospacing="0"/>
                    <w:ind w:left="0" w:right="0"/>
                    <w:jc w:val="center"/>
                    <w:textAlignment w:val="center"/>
                    <w:rPr>
                      <w:rFonts w:hint="default"/>
                      <w:color w:val="000000"/>
                      <w:kern w:val="0"/>
                      <w:sz w:val="21"/>
                      <w:szCs w:val="21"/>
                      <w:highlight w:val="none"/>
                      <w:lang w:bidi="ar"/>
                    </w:rPr>
                  </w:pPr>
                  <w:r>
                    <w:rPr>
                      <w:rFonts w:hint="default"/>
                      <w:color w:val="000000"/>
                      <w:kern w:val="0"/>
                      <w:sz w:val="21"/>
                      <w:szCs w:val="21"/>
                      <w:highlight w:val="none"/>
                      <w:lang w:bidi="ar"/>
                    </w:rPr>
                    <w:t>10000</w:t>
                  </w:r>
                </w:p>
              </w:tc>
            </w:tr>
            <w:tr w14:paraId="3418FC3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956" w:type="pct"/>
                  <w:vAlign w:val="center"/>
                </w:tcPr>
                <w:p w14:paraId="4D6965EB">
                  <w:pPr>
                    <w:keepNext w:val="0"/>
                    <w:keepLines w:val="0"/>
                    <w:suppressLineNumbers w:val="0"/>
                    <w:adjustRightInd w:val="0"/>
                    <w:snapToGrid w:val="0"/>
                    <w:spacing w:before="0" w:beforeAutospacing="0" w:after="0" w:afterAutospacing="0"/>
                    <w:ind w:left="0" w:right="0"/>
                    <w:jc w:val="center"/>
                    <w:rPr>
                      <w:rFonts w:hint="default"/>
                      <w:color w:val="000000"/>
                      <w:sz w:val="21"/>
                      <w:szCs w:val="21"/>
                      <w:highlight w:val="none"/>
                    </w:rPr>
                  </w:pPr>
                  <w:r>
                    <w:rPr>
                      <w:rFonts w:hint="default"/>
                      <w:color w:val="000000"/>
                      <w:sz w:val="21"/>
                      <w:szCs w:val="21"/>
                      <w:highlight w:val="none"/>
                    </w:rPr>
                    <w:t>溶解氧</w:t>
                  </w:r>
                </w:p>
              </w:tc>
              <w:tc>
                <w:tcPr>
                  <w:tcW w:w="584" w:type="pct"/>
                  <w:vAlign w:val="center"/>
                </w:tcPr>
                <w:p w14:paraId="28EEA3CB">
                  <w:pPr>
                    <w:keepNext w:val="0"/>
                    <w:keepLines w:val="0"/>
                    <w:suppressLineNumbers w:val="0"/>
                    <w:adjustRightInd w:val="0"/>
                    <w:snapToGrid w:val="0"/>
                    <w:spacing w:before="0" w:beforeAutospacing="0" w:after="0" w:afterAutospacing="0"/>
                    <w:ind w:left="0" w:right="0"/>
                    <w:jc w:val="center"/>
                    <w:textAlignment w:val="center"/>
                    <w:rPr>
                      <w:rFonts w:hint="default"/>
                      <w:color w:val="000000"/>
                      <w:kern w:val="0"/>
                      <w:sz w:val="21"/>
                      <w:szCs w:val="21"/>
                      <w:highlight w:val="none"/>
                      <w:lang w:bidi="ar"/>
                    </w:rPr>
                  </w:pPr>
                  <w:r>
                    <w:rPr>
                      <w:rFonts w:hint="default"/>
                      <w:color w:val="000000"/>
                      <w:kern w:val="0"/>
                      <w:sz w:val="21"/>
                      <w:szCs w:val="21"/>
                      <w:highlight w:val="none"/>
                      <w:lang w:bidi="ar"/>
                    </w:rPr>
                    <w:t>mg/L</w:t>
                  </w:r>
                </w:p>
              </w:tc>
              <w:tc>
                <w:tcPr>
                  <w:tcW w:w="898" w:type="pct"/>
                  <w:vAlign w:val="center"/>
                </w:tcPr>
                <w:p w14:paraId="69F8E761">
                  <w:pPr>
                    <w:keepNext w:val="0"/>
                    <w:keepLines w:val="0"/>
                    <w:suppressLineNumbers w:val="0"/>
                    <w:adjustRightInd w:val="0"/>
                    <w:snapToGrid w:val="0"/>
                    <w:spacing w:before="0" w:beforeAutospacing="0" w:after="0" w:afterAutospacing="0"/>
                    <w:ind w:left="0" w:right="0"/>
                    <w:jc w:val="center"/>
                    <w:textAlignment w:val="center"/>
                    <w:rPr>
                      <w:rFonts w:hint="default"/>
                      <w:color w:val="000000"/>
                      <w:kern w:val="0"/>
                      <w:sz w:val="21"/>
                      <w:szCs w:val="21"/>
                      <w:highlight w:val="none"/>
                      <w:lang w:bidi="ar"/>
                    </w:rPr>
                  </w:pPr>
                  <w:r>
                    <w:rPr>
                      <w:rFonts w:hint="default"/>
                      <w:color w:val="000000"/>
                      <w:kern w:val="0"/>
                      <w:sz w:val="21"/>
                      <w:szCs w:val="21"/>
                      <w:highlight w:val="none"/>
                      <w:lang w:bidi="ar"/>
                    </w:rPr>
                    <w:t>7.8</w:t>
                  </w:r>
                </w:p>
              </w:tc>
              <w:tc>
                <w:tcPr>
                  <w:tcW w:w="897" w:type="pct"/>
                  <w:vAlign w:val="center"/>
                </w:tcPr>
                <w:p w14:paraId="034AF263">
                  <w:pPr>
                    <w:keepNext w:val="0"/>
                    <w:keepLines w:val="0"/>
                    <w:suppressLineNumbers w:val="0"/>
                    <w:adjustRightInd w:val="0"/>
                    <w:snapToGrid w:val="0"/>
                    <w:spacing w:before="0" w:beforeAutospacing="0" w:after="0" w:afterAutospacing="0"/>
                    <w:ind w:left="0" w:right="0"/>
                    <w:jc w:val="center"/>
                    <w:textAlignment w:val="center"/>
                    <w:rPr>
                      <w:rFonts w:hint="default"/>
                      <w:color w:val="000000"/>
                      <w:kern w:val="0"/>
                      <w:sz w:val="21"/>
                      <w:szCs w:val="21"/>
                      <w:highlight w:val="none"/>
                      <w:lang w:bidi="ar"/>
                    </w:rPr>
                  </w:pPr>
                  <w:r>
                    <w:rPr>
                      <w:rFonts w:hint="default"/>
                      <w:color w:val="000000"/>
                      <w:kern w:val="0"/>
                      <w:sz w:val="21"/>
                      <w:szCs w:val="21"/>
                      <w:highlight w:val="none"/>
                      <w:lang w:bidi="ar"/>
                    </w:rPr>
                    <w:t>8.0</w:t>
                  </w:r>
                </w:p>
              </w:tc>
              <w:tc>
                <w:tcPr>
                  <w:tcW w:w="900" w:type="pct"/>
                  <w:vAlign w:val="center"/>
                </w:tcPr>
                <w:p w14:paraId="3C290E53">
                  <w:pPr>
                    <w:keepNext w:val="0"/>
                    <w:keepLines w:val="0"/>
                    <w:suppressLineNumbers w:val="0"/>
                    <w:adjustRightInd w:val="0"/>
                    <w:snapToGrid w:val="0"/>
                    <w:spacing w:before="0" w:beforeAutospacing="0" w:after="0" w:afterAutospacing="0"/>
                    <w:ind w:left="0" w:right="0"/>
                    <w:jc w:val="center"/>
                    <w:textAlignment w:val="center"/>
                    <w:rPr>
                      <w:rFonts w:hint="default"/>
                      <w:color w:val="000000"/>
                      <w:kern w:val="0"/>
                      <w:sz w:val="21"/>
                      <w:szCs w:val="21"/>
                      <w:highlight w:val="none"/>
                      <w:lang w:bidi="ar"/>
                    </w:rPr>
                  </w:pPr>
                  <w:r>
                    <w:rPr>
                      <w:rFonts w:hint="default"/>
                      <w:color w:val="000000"/>
                      <w:kern w:val="0"/>
                      <w:sz w:val="21"/>
                      <w:szCs w:val="21"/>
                      <w:highlight w:val="none"/>
                      <w:lang w:bidi="ar"/>
                    </w:rPr>
                    <w:t>7.9</w:t>
                  </w:r>
                </w:p>
              </w:tc>
              <w:tc>
                <w:tcPr>
                  <w:tcW w:w="762" w:type="pct"/>
                  <w:vAlign w:val="center"/>
                </w:tcPr>
                <w:p w14:paraId="174E6255">
                  <w:pPr>
                    <w:keepNext w:val="0"/>
                    <w:keepLines w:val="0"/>
                    <w:suppressLineNumbers w:val="0"/>
                    <w:adjustRightInd w:val="0"/>
                    <w:snapToGrid w:val="0"/>
                    <w:spacing w:before="0" w:beforeAutospacing="0" w:after="0" w:afterAutospacing="0"/>
                    <w:ind w:left="0" w:right="0"/>
                    <w:jc w:val="center"/>
                    <w:textAlignment w:val="center"/>
                    <w:rPr>
                      <w:rFonts w:hint="default"/>
                      <w:color w:val="000000"/>
                      <w:kern w:val="0"/>
                      <w:sz w:val="21"/>
                      <w:szCs w:val="21"/>
                      <w:highlight w:val="none"/>
                      <w:lang w:bidi="ar"/>
                    </w:rPr>
                  </w:pPr>
                  <w:r>
                    <w:rPr>
                      <w:rFonts w:hint="default"/>
                      <w:color w:val="000000"/>
                      <w:kern w:val="0"/>
                      <w:sz w:val="21"/>
                      <w:szCs w:val="21"/>
                      <w:highlight w:val="none"/>
                      <w:lang w:bidi="ar"/>
                    </w:rPr>
                    <w:t>≥5</w:t>
                  </w:r>
                </w:p>
              </w:tc>
            </w:tr>
            <w:tr w14:paraId="7945DB8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956" w:type="pct"/>
                  <w:vAlign w:val="center"/>
                </w:tcPr>
                <w:p w14:paraId="4B112172">
                  <w:pPr>
                    <w:keepNext w:val="0"/>
                    <w:keepLines w:val="0"/>
                    <w:suppressLineNumbers w:val="0"/>
                    <w:adjustRightInd w:val="0"/>
                    <w:snapToGrid w:val="0"/>
                    <w:spacing w:before="0" w:beforeAutospacing="0" w:after="0" w:afterAutospacing="0"/>
                    <w:ind w:left="0" w:right="0"/>
                    <w:jc w:val="center"/>
                    <w:rPr>
                      <w:rFonts w:hint="default"/>
                      <w:color w:val="000000"/>
                      <w:sz w:val="21"/>
                      <w:szCs w:val="21"/>
                      <w:highlight w:val="none"/>
                    </w:rPr>
                  </w:pPr>
                  <w:r>
                    <w:rPr>
                      <w:rFonts w:hint="default"/>
                      <w:color w:val="000000"/>
                      <w:sz w:val="21"/>
                      <w:szCs w:val="21"/>
                      <w:highlight w:val="none"/>
                    </w:rPr>
                    <w:t>总磷</w:t>
                  </w:r>
                </w:p>
              </w:tc>
              <w:tc>
                <w:tcPr>
                  <w:tcW w:w="584" w:type="pct"/>
                  <w:vAlign w:val="center"/>
                </w:tcPr>
                <w:p w14:paraId="2D091CBB">
                  <w:pPr>
                    <w:keepNext w:val="0"/>
                    <w:keepLines w:val="0"/>
                    <w:suppressLineNumbers w:val="0"/>
                    <w:adjustRightInd w:val="0"/>
                    <w:snapToGrid w:val="0"/>
                    <w:spacing w:before="0" w:beforeAutospacing="0" w:after="0" w:afterAutospacing="0"/>
                    <w:ind w:left="0" w:right="0"/>
                    <w:jc w:val="center"/>
                    <w:textAlignment w:val="center"/>
                    <w:rPr>
                      <w:rFonts w:hint="default"/>
                      <w:color w:val="000000"/>
                      <w:kern w:val="0"/>
                      <w:sz w:val="21"/>
                      <w:szCs w:val="21"/>
                      <w:highlight w:val="none"/>
                      <w:lang w:bidi="ar"/>
                    </w:rPr>
                  </w:pPr>
                  <w:r>
                    <w:rPr>
                      <w:rFonts w:hint="default"/>
                      <w:color w:val="000000"/>
                      <w:kern w:val="0"/>
                      <w:sz w:val="21"/>
                      <w:szCs w:val="21"/>
                      <w:highlight w:val="none"/>
                      <w:lang w:bidi="ar"/>
                    </w:rPr>
                    <w:t>mg/L</w:t>
                  </w:r>
                </w:p>
              </w:tc>
              <w:tc>
                <w:tcPr>
                  <w:tcW w:w="898" w:type="pct"/>
                  <w:vAlign w:val="center"/>
                </w:tcPr>
                <w:p w14:paraId="711D9494">
                  <w:pPr>
                    <w:keepNext w:val="0"/>
                    <w:keepLines w:val="0"/>
                    <w:suppressLineNumbers w:val="0"/>
                    <w:adjustRightInd w:val="0"/>
                    <w:snapToGrid w:val="0"/>
                    <w:spacing w:before="0" w:beforeAutospacing="0" w:after="0" w:afterAutospacing="0"/>
                    <w:ind w:left="0" w:right="0"/>
                    <w:jc w:val="center"/>
                    <w:textAlignment w:val="center"/>
                    <w:rPr>
                      <w:rFonts w:hint="default"/>
                      <w:color w:val="000000"/>
                      <w:kern w:val="0"/>
                      <w:sz w:val="21"/>
                      <w:szCs w:val="21"/>
                      <w:highlight w:val="none"/>
                      <w:lang w:bidi="ar"/>
                    </w:rPr>
                  </w:pPr>
                  <w:r>
                    <w:rPr>
                      <w:rFonts w:hint="default"/>
                      <w:color w:val="000000"/>
                      <w:kern w:val="0"/>
                      <w:sz w:val="21"/>
                      <w:szCs w:val="21"/>
                      <w:highlight w:val="none"/>
                      <w:lang w:bidi="ar"/>
                    </w:rPr>
                    <w:t>＜0.01</w:t>
                  </w:r>
                </w:p>
              </w:tc>
              <w:tc>
                <w:tcPr>
                  <w:tcW w:w="897" w:type="pct"/>
                  <w:vAlign w:val="center"/>
                </w:tcPr>
                <w:p w14:paraId="4A243779">
                  <w:pPr>
                    <w:keepNext w:val="0"/>
                    <w:keepLines w:val="0"/>
                    <w:suppressLineNumbers w:val="0"/>
                    <w:adjustRightInd w:val="0"/>
                    <w:snapToGrid w:val="0"/>
                    <w:spacing w:before="0" w:beforeAutospacing="0" w:after="0" w:afterAutospacing="0"/>
                    <w:ind w:left="0" w:right="0"/>
                    <w:jc w:val="center"/>
                    <w:textAlignment w:val="center"/>
                    <w:rPr>
                      <w:rFonts w:hint="default"/>
                      <w:color w:val="000000"/>
                      <w:kern w:val="0"/>
                      <w:sz w:val="21"/>
                      <w:szCs w:val="21"/>
                      <w:highlight w:val="none"/>
                      <w:lang w:bidi="ar"/>
                    </w:rPr>
                  </w:pPr>
                  <w:r>
                    <w:rPr>
                      <w:rFonts w:hint="default"/>
                      <w:color w:val="000000"/>
                      <w:kern w:val="0"/>
                      <w:sz w:val="21"/>
                      <w:szCs w:val="21"/>
                      <w:highlight w:val="none"/>
                      <w:lang w:bidi="ar"/>
                    </w:rPr>
                    <w:t>＜0.01</w:t>
                  </w:r>
                </w:p>
              </w:tc>
              <w:tc>
                <w:tcPr>
                  <w:tcW w:w="900" w:type="pct"/>
                  <w:vAlign w:val="center"/>
                </w:tcPr>
                <w:p w14:paraId="0D02D7E0">
                  <w:pPr>
                    <w:keepNext w:val="0"/>
                    <w:keepLines w:val="0"/>
                    <w:suppressLineNumbers w:val="0"/>
                    <w:adjustRightInd w:val="0"/>
                    <w:snapToGrid w:val="0"/>
                    <w:spacing w:before="0" w:beforeAutospacing="0" w:after="0" w:afterAutospacing="0"/>
                    <w:ind w:left="0" w:right="0"/>
                    <w:jc w:val="center"/>
                    <w:textAlignment w:val="center"/>
                    <w:rPr>
                      <w:rFonts w:hint="default"/>
                      <w:color w:val="000000"/>
                      <w:kern w:val="0"/>
                      <w:sz w:val="21"/>
                      <w:szCs w:val="21"/>
                      <w:highlight w:val="none"/>
                      <w:lang w:bidi="ar"/>
                    </w:rPr>
                  </w:pPr>
                  <w:r>
                    <w:rPr>
                      <w:rFonts w:hint="default"/>
                      <w:color w:val="000000"/>
                      <w:kern w:val="0"/>
                      <w:sz w:val="21"/>
                      <w:szCs w:val="21"/>
                      <w:highlight w:val="none"/>
                      <w:lang w:bidi="ar"/>
                    </w:rPr>
                    <w:t>＜0.01</w:t>
                  </w:r>
                </w:p>
              </w:tc>
              <w:tc>
                <w:tcPr>
                  <w:tcW w:w="762" w:type="pct"/>
                  <w:vAlign w:val="center"/>
                </w:tcPr>
                <w:p w14:paraId="7573762D">
                  <w:pPr>
                    <w:keepNext w:val="0"/>
                    <w:keepLines w:val="0"/>
                    <w:suppressLineNumbers w:val="0"/>
                    <w:adjustRightInd w:val="0"/>
                    <w:snapToGrid w:val="0"/>
                    <w:spacing w:before="0" w:beforeAutospacing="0" w:after="0" w:afterAutospacing="0"/>
                    <w:ind w:left="0" w:right="0"/>
                    <w:jc w:val="center"/>
                    <w:textAlignment w:val="center"/>
                    <w:rPr>
                      <w:rFonts w:hint="default"/>
                      <w:color w:val="000000"/>
                      <w:kern w:val="0"/>
                      <w:sz w:val="21"/>
                      <w:szCs w:val="21"/>
                      <w:highlight w:val="none"/>
                      <w:lang w:bidi="ar"/>
                    </w:rPr>
                  </w:pPr>
                  <w:r>
                    <w:rPr>
                      <w:rFonts w:hint="default"/>
                      <w:color w:val="000000"/>
                      <w:kern w:val="0"/>
                      <w:sz w:val="21"/>
                      <w:szCs w:val="21"/>
                      <w:highlight w:val="none"/>
                      <w:lang w:bidi="ar"/>
                    </w:rPr>
                    <w:t>0.2</w:t>
                  </w:r>
                </w:p>
              </w:tc>
            </w:tr>
            <w:tr w14:paraId="092A3EB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956" w:type="pct"/>
                  <w:vAlign w:val="center"/>
                </w:tcPr>
                <w:p w14:paraId="2113F40B">
                  <w:pPr>
                    <w:keepNext w:val="0"/>
                    <w:keepLines w:val="0"/>
                    <w:suppressLineNumbers w:val="0"/>
                    <w:adjustRightInd w:val="0"/>
                    <w:snapToGrid w:val="0"/>
                    <w:spacing w:before="0" w:beforeAutospacing="0" w:after="0" w:afterAutospacing="0"/>
                    <w:ind w:left="0" w:right="0"/>
                    <w:jc w:val="center"/>
                    <w:rPr>
                      <w:rFonts w:hint="default"/>
                      <w:color w:val="000000"/>
                      <w:sz w:val="21"/>
                      <w:szCs w:val="21"/>
                      <w:highlight w:val="none"/>
                    </w:rPr>
                  </w:pPr>
                  <w:r>
                    <w:rPr>
                      <w:rFonts w:hint="default"/>
                      <w:color w:val="000000"/>
                      <w:sz w:val="21"/>
                      <w:szCs w:val="21"/>
                      <w:highlight w:val="none"/>
                    </w:rPr>
                    <w:t>悬浮物</w:t>
                  </w:r>
                </w:p>
              </w:tc>
              <w:tc>
                <w:tcPr>
                  <w:tcW w:w="584" w:type="pct"/>
                  <w:vAlign w:val="center"/>
                </w:tcPr>
                <w:p w14:paraId="35C2301B">
                  <w:pPr>
                    <w:keepNext w:val="0"/>
                    <w:keepLines w:val="0"/>
                    <w:suppressLineNumbers w:val="0"/>
                    <w:adjustRightInd w:val="0"/>
                    <w:snapToGrid w:val="0"/>
                    <w:spacing w:before="0" w:beforeAutospacing="0" w:after="0" w:afterAutospacing="0"/>
                    <w:ind w:left="0" w:right="0"/>
                    <w:jc w:val="center"/>
                    <w:textAlignment w:val="center"/>
                    <w:rPr>
                      <w:rFonts w:hint="default"/>
                      <w:color w:val="000000"/>
                      <w:kern w:val="0"/>
                      <w:sz w:val="21"/>
                      <w:szCs w:val="21"/>
                      <w:highlight w:val="none"/>
                      <w:lang w:bidi="ar"/>
                    </w:rPr>
                  </w:pPr>
                  <w:r>
                    <w:rPr>
                      <w:rFonts w:hint="default"/>
                      <w:color w:val="000000"/>
                      <w:kern w:val="0"/>
                      <w:sz w:val="21"/>
                      <w:szCs w:val="21"/>
                      <w:highlight w:val="none"/>
                      <w:lang w:bidi="ar"/>
                    </w:rPr>
                    <w:t>mg/L</w:t>
                  </w:r>
                </w:p>
              </w:tc>
              <w:tc>
                <w:tcPr>
                  <w:tcW w:w="898" w:type="pct"/>
                  <w:vAlign w:val="center"/>
                </w:tcPr>
                <w:p w14:paraId="47805DCE">
                  <w:pPr>
                    <w:keepNext w:val="0"/>
                    <w:keepLines w:val="0"/>
                    <w:suppressLineNumbers w:val="0"/>
                    <w:adjustRightInd w:val="0"/>
                    <w:snapToGrid w:val="0"/>
                    <w:spacing w:before="0" w:beforeAutospacing="0" w:after="0" w:afterAutospacing="0"/>
                    <w:ind w:left="0" w:right="0"/>
                    <w:jc w:val="center"/>
                    <w:textAlignment w:val="center"/>
                    <w:rPr>
                      <w:rFonts w:hint="default"/>
                      <w:color w:val="000000"/>
                      <w:kern w:val="0"/>
                      <w:sz w:val="21"/>
                      <w:szCs w:val="21"/>
                      <w:highlight w:val="none"/>
                      <w:lang w:bidi="ar"/>
                    </w:rPr>
                  </w:pPr>
                  <w:r>
                    <w:rPr>
                      <w:rFonts w:hint="default"/>
                      <w:color w:val="000000"/>
                      <w:kern w:val="0"/>
                      <w:sz w:val="21"/>
                      <w:szCs w:val="21"/>
                      <w:highlight w:val="none"/>
                      <w:lang w:bidi="ar"/>
                    </w:rPr>
                    <w:t>14</w:t>
                  </w:r>
                </w:p>
              </w:tc>
              <w:tc>
                <w:tcPr>
                  <w:tcW w:w="897" w:type="pct"/>
                  <w:vAlign w:val="center"/>
                </w:tcPr>
                <w:p w14:paraId="39883BAF">
                  <w:pPr>
                    <w:keepNext w:val="0"/>
                    <w:keepLines w:val="0"/>
                    <w:suppressLineNumbers w:val="0"/>
                    <w:adjustRightInd w:val="0"/>
                    <w:snapToGrid w:val="0"/>
                    <w:spacing w:before="0" w:beforeAutospacing="0" w:after="0" w:afterAutospacing="0"/>
                    <w:ind w:left="0" w:right="0"/>
                    <w:jc w:val="center"/>
                    <w:textAlignment w:val="center"/>
                    <w:rPr>
                      <w:rFonts w:hint="default"/>
                      <w:color w:val="000000"/>
                      <w:kern w:val="0"/>
                      <w:sz w:val="21"/>
                      <w:szCs w:val="21"/>
                      <w:highlight w:val="none"/>
                      <w:lang w:bidi="ar"/>
                    </w:rPr>
                  </w:pPr>
                  <w:r>
                    <w:rPr>
                      <w:rFonts w:hint="default"/>
                      <w:color w:val="000000"/>
                      <w:kern w:val="0"/>
                      <w:sz w:val="21"/>
                      <w:szCs w:val="21"/>
                      <w:highlight w:val="none"/>
                      <w:lang w:bidi="ar"/>
                    </w:rPr>
                    <w:t>14</w:t>
                  </w:r>
                </w:p>
              </w:tc>
              <w:tc>
                <w:tcPr>
                  <w:tcW w:w="900" w:type="pct"/>
                  <w:vAlign w:val="center"/>
                </w:tcPr>
                <w:p w14:paraId="4823FD28">
                  <w:pPr>
                    <w:keepNext w:val="0"/>
                    <w:keepLines w:val="0"/>
                    <w:suppressLineNumbers w:val="0"/>
                    <w:adjustRightInd w:val="0"/>
                    <w:snapToGrid w:val="0"/>
                    <w:spacing w:before="0" w:beforeAutospacing="0" w:after="0" w:afterAutospacing="0"/>
                    <w:ind w:left="0" w:right="0"/>
                    <w:jc w:val="center"/>
                    <w:textAlignment w:val="center"/>
                    <w:rPr>
                      <w:rFonts w:hint="default"/>
                      <w:color w:val="000000"/>
                      <w:kern w:val="0"/>
                      <w:sz w:val="21"/>
                      <w:szCs w:val="21"/>
                      <w:highlight w:val="none"/>
                      <w:lang w:bidi="ar"/>
                    </w:rPr>
                  </w:pPr>
                  <w:r>
                    <w:rPr>
                      <w:rFonts w:hint="default"/>
                      <w:color w:val="000000"/>
                      <w:kern w:val="0"/>
                      <w:sz w:val="21"/>
                      <w:szCs w:val="21"/>
                      <w:highlight w:val="none"/>
                      <w:lang w:bidi="ar"/>
                    </w:rPr>
                    <w:t>16</w:t>
                  </w:r>
                </w:p>
              </w:tc>
              <w:tc>
                <w:tcPr>
                  <w:tcW w:w="762" w:type="pct"/>
                  <w:vAlign w:val="center"/>
                </w:tcPr>
                <w:p w14:paraId="77BDF4D7">
                  <w:pPr>
                    <w:keepNext w:val="0"/>
                    <w:keepLines w:val="0"/>
                    <w:suppressLineNumbers w:val="0"/>
                    <w:adjustRightInd w:val="0"/>
                    <w:snapToGrid w:val="0"/>
                    <w:spacing w:before="0" w:beforeAutospacing="0" w:after="0" w:afterAutospacing="0"/>
                    <w:ind w:left="0" w:right="0"/>
                    <w:jc w:val="center"/>
                    <w:textAlignment w:val="center"/>
                    <w:rPr>
                      <w:rFonts w:hint="default"/>
                      <w:color w:val="000000"/>
                      <w:kern w:val="0"/>
                      <w:sz w:val="21"/>
                      <w:szCs w:val="21"/>
                      <w:highlight w:val="none"/>
                      <w:lang w:bidi="ar"/>
                    </w:rPr>
                  </w:pPr>
                  <w:r>
                    <w:rPr>
                      <w:rFonts w:hint="default"/>
                      <w:color w:val="000000"/>
                      <w:kern w:val="0"/>
                      <w:sz w:val="21"/>
                      <w:szCs w:val="21"/>
                      <w:highlight w:val="none"/>
                      <w:lang w:bidi="ar"/>
                    </w:rPr>
                    <w:t>-</w:t>
                  </w:r>
                </w:p>
              </w:tc>
            </w:tr>
          </w:tbl>
          <w:p w14:paraId="24E31D9B">
            <w:pPr>
              <w:keepNext w:val="0"/>
              <w:keepLines w:val="0"/>
              <w:suppressLineNumbers w:val="0"/>
              <w:adjustRightInd w:val="0"/>
              <w:snapToGrid w:val="0"/>
              <w:spacing w:before="0" w:beforeAutospacing="0" w:after="0" w:afterAutospacing="0" w:line="360" w:lineRule="auto"/>
              <w:ind w:left="0" w:right="0" w:firstLine="480" w:firstLineChars="200"/>
              <w:jc w:val="left"/>
              <w:rPr>
                <w:rFonts w:hint="eastAsia" w:eastAsia="宋体"/>
                <w:sz w:val="24"/>
                <w:highlight w:val="none"/>
                <w:lang w:eastAsia="zh-CN"/>
              </w:rPr>
            </w:pPr>
            <w:r>
              <w:rPr>
                <w:rFonts w:hint="eastAsia"/>
                <w:highlight w:val="none"/>
              </w:rPr>
              <w:t>由上述</w:t>
            </w:r>
            <w:r>
              <w:rPr>
                <w:rFonts w:hint="default"/>
                <w:highlight w:val="none"/>
              </w:rPr>
              <w:t>监</w:t>
            </w:r>
            <w:r>
              <w:rPr>
                <w:rFonts w:hint="default"/>
                <w:szCs w:val="24"/>
                <w:highlight w:val="none"/>
              </w:rPr>
              <w:t>测数据可知，</w:t>
            </w:r>
            <w:r>
              <w:rPr>
                <w:rFonts w:hint="eastAsia"/>
                <w:szCs w:val="24"/>
                <w:highlight w:val="none"/>
              </w:rPr>
              <w:t>各</w:t>
            </w:r>
            <w:r>
              <w:rPr>
                <w:rFonts w:hint="default"/>
                <w:szCs w:val="24"/>
                <w:highlight w:val="none"/>
              </w:rPr>
              <w:t>监测断面</w:t>
            </w:r>
            <w:r>
              <w:rPr>
                <w:rFonts w:hint="eastAsia"/>
                <w:szCs w:val="24"/>
                <w:highlight w:val="none"/>
              </w:rPr>
              <w:t>各</w:t>
            </w:r>
            <w:r>
              <w:rPr>
                <w:rFonts w:hint="default"/>
                <w:szCs w:val="24"/>
                <w:highlight w:val="none"/>
              </w:rPr>
              <w:t>水质</w:t>
            </w:r>
            <w:r>
              <w:rPr>
                <w:rFonts w:hint="eastAsia"/>
                <w:szCs w:val="24"/>
                <w:highlight w:val="none"/>
              </w:rPr>
              <w:t>指标</w:t>
            </w:r>
            <w:r>
              <w:rPr>
                <w:rFonts w:hint="default"/>
                <w:szCs w:val="24"/>
                <w:highlight w:val="none"/>
              </w:rPr>
              <w:t>均能满足《地表水环境质量标准》（GB3838-2002）中的Ⅲ类标准限值要求</w:t>
            </w:r>
            <w:r>
              <w:rPr>
                <w:rFonts w:hint="eastAsia"/>
                <w:szCs w:val="24"/>
                <w:highlight w:val="none"/>
                <w:lang w:eastAsia="zh-CN"/>
              </w:rPr>
              <w:t>，</w:t>
            </w:r>
            <w:r>
              <w:rPr>
                <w:rFonts w:hint="eastAsia"/>
                <w:szCs w:val="24"/>
                <w:highlight w:val="none"/>
              </w:rPr>
              <w:t>说明纳污水体水质总体良好</w:t>
            </w:r>
            <w:r>
              <w:rPr>
                <w:rFonts w:hint="eastAsia"/>
                <w:szCs w:val="24"/>
                <w:highlight w:val="none"/>
                <w:lang w:eastAsia="zh-CN"/>
              </w:rPr>
              <w:t>。</w:t>
            </w:r>
          </w:p>
          <w:p w14:paraId="5138865B">
            <w:pPr>
              <w:keepNext w:val="0"/>
              <w:keepLines w:val="0"/>
              <w:suppressLineNumbers w:val="0"/>
              <w:adjustRightInd w:val="0"/>
              <w:snapToGrid w:val="0"/>
              <w:spacing w:before="0" w:beforeAutospacing="0" w:after="0" w:afterAutospacing="0" w:line="360" w:lineRule="auto"/>
              <w:ind w:left="0" w:right="0"/>
              <w:jc w:val="left"/>
              <w:rPr>
                <w:rFonts w:hint="default"/>
                <w:b/>
                <w:kern w:val="0"/>
                <w:highlight w:val="none"/>
              </w:rPr>
            </w:pPr>
            <w:r>
              <w:rPr>
                <w:rFonts w:hint="default"/>
                <w:b/>
                <w:kern w:val="0"/>
                <w:highlight w:val="none"/>
              </w:rPr>
              <w:t>3</w:t>
            </w:r>
            <w:r>
              <w:rPr>
                <w:rFonts w:hint="eastAsia"/>
                <w:b/>
                <w:kern w:val="0"/>
                <w:highlight w:val="none"/>
              </w:rPr>
              <w:t>、声环境</w:t>
            </w:r>
          </w:p>
          <w:p w14:paraId="7659D694">
            <w:pPr>
              <w:keepNext w:val="0"/>
              <w:keepLines w:val="0"/>
              <w:suppressLineNumbers w:val="0"/>
              <w:tabs>
                <w:tab w:val="left" w:pos="2625"/>
              </w:tabs>
              <w:adjustRightInd w:val="0"/>
              <w:snapToGrid w:val="0"/>
              <w:spacing w:before="0" w:beforeAutospacing="0" w:after="0" w:afterAutospacing="0" w:line="360" w:lineRule="auto"/>
              <w:ind w:left="0" w:right="0" w:firstLine="480" w:firstLineChars="200"/>
              <w:rPr>
                <w:rFonts w:hint="eastAsia" w:ascii="Times New Roman" w:hAnsi="Times New Roman" w:eastAsia="宋体" w:cs="Times New Roman"/>
                <w:color w:val="auto"/>
                <w:kern w:val="0"/>
                <w:highlight w:val="none"/>
              </w:rPr>
            </w:pPr>
            <w:r>
              <w:rPr>
                <w:rFonts w:hint="eastAsia" w:ascii="Times New Roman" w:hAnsi="Times New Roman" w:eastAsia="宋体" w:cs="Times New Roman"/>
                <w:color w:val="auto"/>
                <w:kern w:val="0"/>
                <w:highlight w:val="none"/>
              </w:rPr>
              <w:t>为了解项目所在地声环境质量现状，本环评</w:t>
            </w:r>
            <w:r>
              <w:rPr>
                <w:rFonts w:hint="eastAsia" w:cs="Times New Roman"/>
                <w:color w:val="auto"/>
                <w:kern w:val="0"/>
                <w:highlight w:val="none"/>
                <w:lang w:val="en-US" w:eastAsia="zh-CN"/>
              </w:rPr>
              <w:t>委托浙江环资检测科技有限公司</w:t>
            </w:r>
            <w:r>
              <w:rPr>
                <w:rFonts w:hint="eastAsia" w:ascii="Times New Roman" w:hAnsi="Times New Roman" w:eastAsia="宋体" w:cs="Times New Roman"/>
                <w:color w:val="auto"/>
                <w:kern w:val="0"/>
                <w:highlight w:val="none"/>
              </w:rPr>
              <w:t>于202</w:t>
            </w:r>
            <w:r>
              <w:rPr>
                <w:rFonts w:hint="eastAsia" w:cs="Times New Roman"/>
                <w:color w:val="auto"/>
                <w:kern w:val="0"/>
                <w:highlight w:val="none"/>
                <w:lang w:val="en-US" w:eastAsia="zh-CN"/>
              </w:rPr>
              <w:t>4</w:t>
            </w:r>
            <w:r>
              <w:rPr>
                <w:rFonts w:hint="eastAsia" w:ascii="Times New Roman" w:hAnsi="Times New Roman" w:eastAsia="宋体" w:cs="Times New Roman"/>
                <w:color w:val="auto"/>
                <w:kern w:val="0"/>
                <w:highlight w:val="none"/>
              </w:rPr>
              <w:t>年</w:t>
            </w:r>
            <w:r>
              <w:rPr>
                <w:rFonts w:hint="eastAsia" w:cs="Times New Roman"/>
                <w:color w:val="auto"/>
                <w:kern w:val="0"/>
                <w:highlight w:val="none"/>
                <w:lang w:val="en-US" w:eastAsia="zh-CN"/>
              </w:rPr>
              <w:t>9</w:t>
            </w:r>
            <w:r>
              <w:rPr>
                <w:rFonts w:hint="eastAsia" w:ascii="Times New Roman" w:hAnsi="Times New Roman" w:eastAsia="宋体" w:cs="Times New Roman"/>
                <w:color w:val="auto"/>
                <w:kern w:val="0"/>
                <w:highlight w:val="none"/>
              </w:rPr>
              <w:t>月</w:t>
            </w:r>
            <w:r>
              <w:rPr>
                <w:rFonts w:hint="eastAsia" w:cs="Times New Roman"/>
                <w:color w:val="auto"/>
                <w:kern w:val="0"/>
                <w:highlight w:val="none"/>
                <w:lang w:val="en-US" w:eastAsia="zh-CN"/>
              </w:rPr>
              <w:t>4</w:t>
            </w:r>
            <w:r>
              <w:rPr>
                <w:rFonts w:hint="eastAsia" w:ascii="Times New Roman" w:hAnsi="Times New Roman" w:eastAsia="宋体" w:cs="Times New Roman"/>
                <w:color w:val="auto"/>
                <w:kern w:val="0"/>
                <w:highlight w:val="none"/>
              </w:rPr>
              <w:t>日</w:t>
            </w:r>
            <w:r>
              <w:rPr>
                <w:rFonts w:hint="eastAsia" w:cs="Times New Roman"/>
                <w:color w:val="auto"/>
                <w:kern w:val="0"/>
                <w:highlight w:val="none"/>
                <w:lang w:val="en-US" w:eastAsia="zh-CN"/>
              </w:rPr>
              <w:t>~9月5日</w:t>
            </w:r>
            <w:r>
              <w:rPr>
                <w:rFonts w:hint="eastAsia" w:ascii="Times New Roman" w:hAnsi="Times New Roman" w:eastAsia="宋体" w:cs="Times New Roman"/>
                <w:color w:val="auto"/>
                <w:kern w:val="0"/>
                <w:highlight w:val="none"/>
              </w:rPr>
              <w:t>在本项目拟建地</w:t>
            </w:r>
            <w:r>
              <w:rPr>
                <w:rFonts w:hint="eastAsia" w:cs="Times New Roman"/>
                <w:color w:val="auto"/>
                <w:kern w:val="0"/>
                <w:highlight w:val="none"/>
                <w:lang w:val="en-US" w:eastAsia="zh-CN"/>
              </w:rPr>
              <w:t>北</w:t>
            </w:r>
            <w:r>
              <w:rPr>
                <w:rFonts w:hint="eastAsia" w:ascii="Times New Roman" w:hAnsi="Times New Roman" w:eastAsia="宋体" w:cs="Times New Roman"/>
                <w:color w:val="auto"/>
                <w:kern w:val="0"/>
                <w:highlight w:val="none"/>
              </w:rPr>
              <w:t>侧</w:t>
            </w:r>
            <w:r>
              <w:rPr>
                <w:rFonts w:hint="eastAsia" w:ascii="Times New Roman" w:hAnsi="Times New Roman" w:eastAsia="宋体" w:cs="Times New Roman"/>
                <w:color w:val="auto"/>
                <w:kern w:val="0"/>
                <w:highlight w:val="none"/>
                <w:lang w:val="en-US" w:eastAsia="zh-CN"/>
              </w:rPr>
              <w:t>四省边际中心医院（闽江大道院区）</w:t>
            </w:r>
            <w:r>
              <w:rPr>
                <w:rFonts w:hint="eastAsia" w:cs="Times New Roman"/>
                <w:color w:val="auto"/>
                <w:kern w:val="0"/>
                <w:highlight w:val="none"/>
                <w:lang w:val="en-US" w:eastAsia="zh-CN"/>
              </w:rPr>
              <w:t>南门</w:t>
            </w:r>
            <w:r>
              <w:rPr>
                <w:rFonts w:hint="eastAsia" w:ascii="Times New Roman" w:hAnsi="Times New Roman" w:eastAsia="宋体" w:cs="Times New Roman"/>
                <w:color w:val="auto"/>
                <w:kern w:val="0"/>
                <w:highlight w:val="none"/>
              </w:rPr>
              <w:t>进行监测，监测点位见</w:t>
            </w:r>
            <w:r>
              <w:rPr>
                <w:rFonts w:hint="eastAsia" w:cs="Times New Roman"/>
                <w:color w:val="auto"/>
                <w:kern w:val="0"/>
                <w:highlight w:val="none"/>
                <w:lang w:val="en-US" w:eastAsia="zh-CN"/>
              </w:rPr>
              <w:t>图3-1</w:t>
            </w:r>
            <w:r>
              <w:rPr>
                <w:rFonts w:hint="eastAsia" w:ascii="Times New Roman" w:hAnsi="Times New Roman" w:eastAsia="宋体" w:cs="Times New Roman"/>
                <w:color w:val="auto"/>
                <w:kern w:val="0"/>
                <w:highlight w:val="none"/>
              </w:rPr>
              <w:t>。</w:t>
            </w:r>
          </w:p>
          <w:p w14:paraId="3172811D">
            <w:pPr>
              <w:keepNext w:val="0"/>
              <w:keepLines w:val="0"/>
              <w:suppressLineNumbers w:val="0"/>
              <w:tabs>
                <w:tab w:val="left" w:pos="2625"/>
              </w:tabs>
              <w:adjustRightInd w:val="0"/>
              <w:snapToGrid w:val="0"/>
              <w:spacing w:before="0" w:beforeAutospacing="0" w:after="0" w:afterAutospacing="0" w:line="360" w:lineRule="auto"/>
              <w:ind w:left="0" w:right="0" w:firstLine="480" w:firstLineChars="200"/>
              <w:rPr>
                <w:rFonts w:hint="eastAsia" w:ascii="Times New Roman" w:hAnsi="Times New Roman" w:eastAsia="宋体" w:cs="Times New Roman"/>
                <w:color w:val="auto"/>
                <w:kern w:val="0"/>
                <w:highlight w:val="none"/>
              </w:rPr>
            </w:pPr>
            <w:r>
              <w:rPr>
                <w:rFonts w:hint="eastAsia" w:ascii="Times New Roman" w:hAnsi="Times New Roman" w:eastAsia="宋体" w:cs="Times New Roman"/>
                <w:color w:val="auto"/>
                <w:kern w:val="0"/>
                <w:highlight w:val="none"/>
              </w:rPr>
              <w:t>（1）监测项目：各测点昼、夜间等效连续A声级（LAeq）。</w:t>
            </w:r>
          </w:p>
          <w:p w14:paraId="5BC78A74">
            <w:pPr>
              <w:keepNext w:val="0"/>
              <w:keepLines w:val="0"/>
              <w:suppressLineNumbers w:val="0"/>
              <w:tabs>
                <w:tab w:val="left" w:pos="2625"/>
              </w:tabs>
              <w:adjustRightInd w:val="0"/>
              <w:snapToGrid w:val="0"/>
              <w:spacing w:before="0" w:beforeAutospacing="0" w:after="0" w:afterAutospacing="0" w:line="360" w:lineRule="auto"/>
              <w:ind w:left="0" w:right="0" w:firstLine="480" w:firstLineChars="200"/>
              <w:rPr>
                <w:rFonts w:hint="eastAsia" w:ascii="Times New Roman" w:hAnsi="Times New Roman" w:eastAsia="宋体" w:cs="Times New Roman"/>
                <w:color w:val="auto"/>
                <w:kern w:val="0"/>
                <w:highlight w:val="none"/>
              </w:rPr>
            </w:pPr>
            <w:r>
              <w:rPr>
                <w:rFonts w:hint="eastAsia" w:ascii="Times New Roman" w:hAnsi="Times New Roman" w:eastAsia="宋体" w:cs="Times New Roman"/>
                <w:color w:val="auto"/>
                <w:kern w:val="0"/>
                <w:highlight w:val="none"/>
              </w:rPr>
              <w:t>（2）监测方法：按《声环境质量标准》（GB3096-2008）规定进行监测。</w:t>
            </w:r>
          </w:p>
          <w:p w14:paraId="29BB6653">
            <w:pPr>
              <w:keepNext w:val="0"/>
              <w:keepLines w:val="0"/>
              <w:suppressLineNumbers w:val="0"/>
              <w:tabs>
                <w:tab w:val="left" w:pos="2625"/>
              </w:tabs>
              <w:adjustRightInd w:val="0"/>
              <w:snapToGrid w:val="0"/>
              <w:spacing w:before="0" w:beforeAutospacing="0" w:after="0" w:afterAutospacing="0" w:line="360" w:lineRule="auto"/>
              <w:ind w:left="0" w:right="0" w:firstLine="480" w:firstLineChars="200"/>
              <w:rPr>
                <w:rFonts w:hint="eastAsia" w:ascii="Times New Roman" w:hAnsi="Times New Roman" w:eastAsia="宋体" w:cs="Times New Roman"/>
                <w:color w:val="auto"/>
                <w:kern w:val="0"/>
                <w:highlight w:val="none"/>
                <w:lang w:val="en-US" w:eastAsia="zh-CN"/>
              </w:rPr>
            </w:pPr>
            <w:r>
              <w:rPr>
                <w:rFonts w:hint="eastAsia" w:ascii="Times New Roman" w:hAnsi="Times New Roman" w:eastAsia="宋体" w:cs="Times New Roman"/>
                <w:color w:val="auto"/>
                <w:kern w:val="0"/>
                <w:highlight w:val="none"/>
              </w:rPr>
              <w:t>（3）评价标准：本项目位于</w:t>
            </w:r>
            <w:r>
              <w:rPr>
                <w:rFonts w:hint="eastAsia" w:cs="Times New Roman"/>
                <w:color w:val="auto"/>
                <w:kern w:val="0"/>
                <w:highlight w:val="none"/>
                <w:lang w:val="en-US" w:eastAsia="zh-CN"/>
              </w:rPr>
              <w:t>衢州市高铁新城闽江大道以南、龙游路以西、常山港以北</w:t>
            </w:r>
            <w:r>
              <w:rPr>
                <w:rFonts w:hint="eastAsia" w:ascii="Times New Roman" w:hAnsi="Times New Roman" w:eastAsia="宋体" w:cs="Times New Roman"/>
                <w:color w:val="auto"/>
                <w:kern w:val="0"/>
                <w:highlight w:val="none"/>
              </w:rPr>
              <w:t>，</w:t>
            </w:r>
            <w:r>
              <w:rPr>
                <w:rFonts w:hint="eastAsia" w:ascii="Times New Roman" w:hAnsi="Times New Roman" w:eastAsia="宋体" w:cs="Times New Roman"/>
                <w:color w:val="auto"/>
                <w:kern w:val="0"/>
                <w:highlight w:val="none"/>
                <w:lang w:val="en-US" w:eastAsia="zh-CN"/>
              </w:rPr>
              <w:t>北侧边界</w:t>
            </w:r>
            <w:r>
              <w:rPr>
                <w:rFonts w:hint="eastAsia" w:ascii="Times New Roman" w:hAnsi="Times New Roman" w:eastAsia="宋体" w:cs="Times New Roman"/>
                <w:color w:val="auto"/>
                <w:kern w:val="0"/>
                <w:highlight w:val="none"/>
              </w:rPr>
              <w:t>隔</w:t>
            </w:r>
            <w:r>
              <w:rPr>
                <w:rFonts w:hint="eastAsia" w:ascii="Times New Roman" w:hAnsi="Times New Roman" w:eastAsia="宋体" w:cs="Times New Roman"/>
                <w:color w:val="auto"/>
                <w:kern w:val="0"/>
                <w:highlight w:val="none"/>
                <w:lang w:val="en-US" w:eastAsia="zh-CN"/>
              </w:rPr>
              <w:t>41</w:t>
            </w:r>
            <w:r>
              <w:rPr>
                <w:rFonts w:hint="eastAsia" w:ascii="Times New Roman" w:hAnsi="Times New Roman" w:eastAsia="宋体" w:cs="Times New Roman"/>
                <w:color w:val="auto"/>
                <w:kern w:val="0"/>
                <w:highlight w:val="none"/>
              </w:rPr>
              <w:t>m为</w:t>
            </w:r>
            <w:r>
              <w:rPr>
                <w:rFonts w:hint="eastAsia" w:ascii="Times New Roman" w:hAnsi="Times New Roman" w:eastAsia="宋体" w:cs="Times New Roman"/>
                <w:color w:val="auto"/>
                <w:kern w:val="0"/>
                <w:highlight w:val="none"/>
                <w:lang w:val="en-US" w:eastAsia="zh-CN"/>
              </w:rPr>
              <w:t>四省边际中心医院（闽江大道院区）</w:t>
            </w:r>
            <w:r>
              <w:rPr>
                <w:rFonts w:hint="eastAsia" w:ascii="Times New Roman" w:hAnsi="Times New Roman" w:eastAsia="宋体" w:cs="Times New Roman"/>
                <w:color w:val="auto"/>
                <w:kern w:val="0"/>
                <w:highlight w:val="none"/>
              </w:rPr>
              <w:t>。本项目</w:t>
            </w:r>
            <w:r>
              <w:rPr>
                <w:rFonts w:hint="eastAsia" w:cs="Times New Roman"/>
                <w:color w:val="auto"/>
                <w:kern w:val="0"/>
                <w:highlight w:val="none"/>
                <w:lang w:val="en-US" w:eastAsia="zh-CN"/>
              </w:rPr>
              <w:t>北</w:t>
            </w:r>
            <w:r>
              <w:rPr>
                <w:rFonts w:hint="eastAsia" w:ascii="Times New Roman" w:hAnsi="Times New Roman" w:eastAsia="宋体" w:cs="Times New Roman"/>
                <w:color w:val="auto"/>
                <w:kern w:val="0"/>
                <w:highlight w:val="none"/>
              </w:rPr>
              <w:t>侧</w:t>
            </w:r>
            <w:r>
              <w:rPr>
                <w:rFonts w:hint="eastAsia" w:ascii="Times New Roman" w:hAnsi="Times New Roman" w:eastAsia="宋体" w:cs="Times New Roman"/>
                <w:color w:val="auto"/>
                <w:kern w:val="0"/>
                <w:highlight w:val="none"/>
                <w:lang w:val="en-US" w:eastAsia="zh-CN"/>
              </w:rPr>
              <w:t>四省边际中心医院（闽江大道院区）</w:t>
            </w:r>
            <w:r>
              <w:rPr>
                <w:rFonts w:hint="eastAsia" w:ascii="Times New Roman" w:hAnsi="Times New Roman" w:eastAsia="宋体" w:cs="Times New Roman"/>
                <w:color w:val="auto"/>
                <w:kern w:val="0"/>
                <w:highlight w:val="none"/>
              </w:rPr>
              <w:t>所在区</w:t>
            </w:r>
            <w:r>
              <w:rPr>
                <w:rFonts w:hint="eastAsia" w:ascii="Times New Roman" w:hAnsi="Times New Roman" w:eastAsia="宋体" w:cs="Times New Roman"/>
                <w:color w:val="auto"/>
                <w:kern w:val="0"/>
                <w:highlight w:val="none"/>
                <w:lang w:val="en-US" w:eastAsia="zh-CN"/>
              </w:rPr>
              <w:t>域声环境功能区属于</w:t>
            </w:r>
            <w:r>
              <w:rPr>
                <w:rFonts w:hint="eastAsia" w:cs="Times New Roman"/>
                <w:color w:val="auto"/>
                <w:kern w:val="0"/>
                <w:highlight w:val="none"/>
                <w:lang w:val="en-US" w:eastAsia="zh-CN"/>
              </w:rPr>
              <w:t>1</w:t>
            </w:r>
            <w:r>
              <w:rPr>
                <w:rFonts w:hint="eastAsia" w:ascii="Times New Roman" w:hAnsi="Times New Roman" w:eastAsia="宋体" w:cs="Times New Roman"/>
                <w:color w:val="auto"/>
                <w:kern w:val="0"/>
                <w:highlight w:val="none"/>
                <w:lang w:val="en-US" w:eastAsia="zh-CN"/>
              </w:rPr>
              <w:t>类声环境功能区。</w:t>
            </w:r>
          </w:p>
          <w:p w14:paraId="556B5750">
            <w:pPr>
              <w:keepNext w:val="0"/>
              <w:keepLines w:val="0"/>
              <w:suppressLineNumbers w:val="0"/>
              <w:tabs>
                <w:tab w:val="left" w:pos="2625"/>
              </w:tabs>
              <w:adjustRightInd w:val="0"/>
              <w:snapToGrid w:val="0"/>
              <w:spacing w:before="0" w:beforeAutospacing="0" w:after="0" w:afterAutospacing="0" w:line="360" w:lineRule="auto"/>
              <w:ind w:left="0" w:right="0" w:firstLine="480" w:firstLineChars="200"/>
              <w:rPr>
                <w:rFonts w:hint="eastAsia" w:ascii="Times New Roman" w:hAnsi="Times New Roman" w:eastAsia="宋体" w:cs="Times New Roman"/>
                <w:color w:val="auto"/>
                <w:kern w:val="0"/>
                <w:highlight w:val="none"/>
              </w:rPr>
            </w:pPr>
            <w:r>
              <w:rPr>
                <w:rFonts w:hint="eastAsia" w:ascii="Times New Roman" w:hAnsi="Times New Roman" w:eastAsia="宋体" w:cs="Times New Roman"/>
                <w:color w:val="auto"/>
                <w:kern w:val="0"/>
                <w:highlight w:val="none"/>
              </w:rPr>
              <w:t>因此，本项目</w:t>
            </w:r>
            <w:r>
              <w:rPr>
                <w:rFonts w:hint="eastAsia" w:cs="Times New Roman"/>
                <w:color w:val="auto"/>
                <w:kern w:val="0"/>
                <w:highlight w:val="none"/>
                <w:lang w:val="en-US" w:eastAsia="zh-CN"/>
              </w:rPr>
              <w:t>厂界四周及北侧医院</w:t>
            </w:r>
            <w:r>
              <w:rPr>
                <w:rFonts w:hint="eastAsia" w:ascii="Times New Roman" w:hAnsi="Times New Roman" w:eastAsia="宋体" w:cs="Times New Roman"/>
                <w:color w:val="auto"/>
                <w:kern w:val="0"/>
                <w:highlight w:val="none"/>
              </w:rPr>
              <w:t>声环境</w:t>
            </w:r>
            <w:r>
              <w:rPr>
                <w:rFonts w:hint="eastAsia" w:cs="Times New Roman"/>
                <w:color w:val="auto"/>
                <w:kern w:val="0"/>
                <w:highlight w:val="none"/>
                <w:lang w:val="en-US" w:eastAsia="zh-CN"/>
              </w:rPr>
              <w:t>质量</w:t>
            </w:r>
            <w:r>
              <w:rPr>
                <w:rFonts w:hint="eastAsia" w:ascii="Times New Roman" w:hAnsi="Times New Roman" w:eastAsia="宋体" w:cs="Times New Roman"/>
                <w:color w:val="auto"/>
                <w:kern w:val="0"/>
                <w:highlight w:val="none"/>
              </w:rPr>
              <w:t>执行《声环境质量标准》（GB3096-2008）中</w:t>
            </w:r>
            <w:r>
              <w:rPr>
                <w:rFonts w:hint="eastAsia" w:cs="Times New Roman"/>
                <w:color w:val="auto"/>
                <w:kern w:val="0"/>
                <w:highlight w:val="none"/>
                <w:lang w:val="en-US" w:eastAsia="zh-CN"/>
              </w:rPr>
              <w:t>1</w:t>
            </w:r>
            <w:r>
              <w:rPr>
                <w:rFonts w:hint="eastAsia" w:ascii="Times New Roman" w:hAnsi="Times New Roman" w:eastAsia="宋体" w:cs="Times New Roman"/>
                <w:color w:val="auto"/>
                <w:kern w:val="0"/>
                <w:highlight w:val="none"/>
              </w:rPr>
              <w:t>类标准。</w:t>
            </w:r>
          </w:p>
          <w:p w14:paraId="55C0622C">
            <w:pPr>
              <w:keepNext w:val="0"/>
              <w:keepLines w:val="0"/>
              <w:suppressLineNumbers w:val="0"/>
              <w:tabs>
                <w:tab w:val="left" w:pos="2625"/>
              </w:tabs>
              <w:adjustRightInd w:val="0"/>
              <w:snapToGrid w:val="0"/>
              <w:spacing w:before="0" w:beforeAutospacing="0" w:after="0" w:afterAutospacing="0" w:line="360" w:lineRule="auto"/>
              <w:ind w:left="0" w:right="0" w:firstLine="480" w:firstLineChars="200"/>
              <w:rPr>
                <w:rFonts w:hint="eastAsia" w:ascii="Times New Roman" w:hAnsi="Times New Roman" w:eastAsia="宋体" w:cs="Times New Roman"/>
                <w:color w:val="auto"/>
                <w:kern w:val="0"/>
                <w:highlight w:val="none"/>
              </w:rPr>
            </w:pPr>
            <w:r>
              <w:rPr>
                <w:rFonts w:hint="eastAsia" w:ascii="Times New Roman" w:hAnsi="Times New Roman" w:eastAsia="宋体" w:cs="Times New Roman"/>
                <w:color w:val="auto"/>
                <w:kern w:val="0"/>
                <w:highlight w:val="none"/>
                <w:lang w:val="en-US" w:eastAsia="zh-CN"/>
              </w:rPr>
              <w:t>（4）评价方法：按实测值（</w:t>
            </w:r>
            <w:r>
              <w:rPr>
                <w:rFonts w:hint="default" w:ascii="Times New Roman" w:hAnsi="Times New Roman" w:eastAsia="宋体" w:cs="Times New Roman"/>
                <w:color w:val="auto"/>
                <w:kern w:val="0"/>
                <w:highlight w:val="none"/>
                <w:lang w:val="en-US" w:eastAsia="zh-CN"/>
              </w:rPr>
              <w:t>L</w:t>
            </w:r>
            <w:r>
              <w:rPr>
                <w:rFonts w:hint="default" w:ascii="Times New Roman" w:hAnsi="Times New Roman" w:eastAsia="宋体" w:cs="Times New Roman"/>
                <w:color w:val="auto"/>
                <w:kern w:val="0"/>
                <w:highlight w:val="none"/>
                <w:vertAlign w:val="subscript"/>
                <w:lang w:val="en-US" w:eastAsia="zh-CN"/>
              </w:rPr>
              <w:t>Aeq</w:t>
            </w:r>
            <w:r>
              <w:rPr>
                <w:rFonts w:hint="default" w:ascii="Times New Roman" w:hAnsi="Times New Roman" w:eastAsia="宋体" w:cs="Times New Roman"/>
                <w:color w:val="auto"/>
                <w:kern w:val="0"/>
                <w:highlight w:val="none"/>
                <w:lang w:val="en-US" w:eastAsia="zh-CN"/>
              </w:rPr>
              <w:t>）与评价标准直接比较进行。</w:t>
            </w:r>
          </w:p>
          <w:p w14:paraId="6A088044">
            <w:pPr>
              <w:keepNext w:val="0"/>
              <w:keepLines w:val="0"/>
              <w:suppressLineNumbers w:val="0"/>
              <w:tabs>
                <w:tab w:val="left" w:pos="2625"/>
              </w:tabs>
              <w:adjustRightInd w:val="0"/>
              <w:snapToGrid w:val="0"/>
              <w:spacing w:before="0" w:beforeAutospacing="0" w:after="0" w:afterAutospacing="0" w:line="360" w:lineRule="auto"/>
              <w:ind w:left="0" w:right="0" w:firstLine="480" w:firstLineChars="200"/>
              <w:rPr>
                <w:rFonts w:hint="eastAsia" w:ascii="Times New Roman" w:hAnsi="Times New Roman" w:eastAsia="宋体" w:cs="Times New Roman"/>
                <w:color w:val="auto"/>
                <w:kern w:val="0"/>
                <w:highlight w:val="none"/>
              </w:rPr>
            </w:pPr>
            <w:r>
              <w:rPr>
                <w:rFonts w:hint="default" w:ascii="Times New Roman" w:hAnsi="Times New Roman" w:eastAsia="宋体" w:cs="Times New Roman"/>
                <w:color w:val="auto"/>
                <w:kern w:val="0"/>
                <w:highlight w:val="none"/>
                <w:lang w:val="en-US" w:eastAsia="zh-CN"/>
              </w:rPr>
              <w:t>（5）监测结果及评价结果见表3-</w:t>
            </w:r>
            <w:r>
              <w:rPr>
                <w:rFonts w:hint="eastAsia" w:cs="Times New Roman"/>
                <w:color w:val="auto"/>
                <w:kern w:val="0"/>
                <w:highlight w:val="none"/>
                <w:lang w:val="en-US" w:eastAsia="zh-CN"/>
              </w:rPr>
              <w:t>3</w:t>
            </w:r>
            <w:r>
              <w:rPr>
                <w:rFonts w:hint="default" w:ascii="Times New Roman" w:hAnsi="Times New Roman" w:eastAsia="宋体" w:cs="Times New Roman"/>
                <w:color w:val="auto"/>
                <w:kern w:val="0"/>
                <w:highlight w:val="none"/>
                <w:lang w:val="en-US" w:eastAsia="zh-CN"/>
              </w:rPr>
              <w:t>。</w:t>
            </w:r>
          </w:p>
          <w:p w14:paraId="22B1F57D">
            <w:pPr>
              <w:keepNext w:val="0"/>
              <w:keepLines w:val="0"/>
              <w:widowControl/>
              <w:suppressLineNumbers w:val="0"/>
              <w:adjustRightInd w:val="0"/>
              <w:snapToGrid w:val="0"/>
              <w:spacing w:before="0" w:beforeAutospacing="0" w:after="0" w:afterAutospacing="0" w:line="360" w:lineRule="auto"/>
              <w:ind w:left="0" w:right="0"/>
              <w:jc w:val="center"/>
              <w:rPr>
                <w:rFonts w:hint="eastAsia" w:ascii="Times New Roman" w:hAnsi="Times New Roman" w:eastAsia="宋体" w:cs="Times New Roman"/>
                <w:b/>
                <w:snapToGrid w:val="0"/>
                <w:color w:val="auto"/>
                <w:kern w:val="2"/>
                <w:sz w:val="24"/>
                <w:szCs w:val="20"/>
                <w:highlight w:val="none"/>
                <w:lang w:val="en-US" w:eastAsia="zh-CN" w:bidi="ar-SA"/>
              </w:rPr>
            </w:pPr>
            <w:r>
              <w:rPr>
                <w:rFonts w:hint="eastAsia" w:ascii="Times New Roman" w:hAnsi="Times New Roman" w:eastAsia="宋体" w:cs="Times New Roman"/>
                <w:b/>
                <w:snapToGrid w:val="0"/>
                <w:color w:val="auto"/>
                <w:kern w:val="2"/>
                <w:sz w:val="24"/>
                <w:szCs w:val="20"/>
                <w:highlight w:val="none"/>
                <w:lang w:val="en-US" w:eastAsia="zh-CN" w:bidi="ar-SA"/>
              </w:rPr>
              <w:t>表3-</w:t>
            </w:r>
            <w:r>
              <w:rPr>
                <w:rFonts w:hint="eastAsia" w:cs="Times New Roman"/>
                <w:b/>
                <w:snapToGrid w:val="0"/>
                <w:color w:val="auto"/>
                <w:kern w:val="2"/>
                <w:sz w:val="24"/>
                <w:szCs w:val="20"/>
                <w:highlight w:val="none"/>
                <w:lang w:val="en-US" w:eastAsia="zh-CN" w:bidi="ar-SA"/>
              </w:rPr>
              <w:t>3</w:t>
            </w:r>
            <w:r>
              <w:rPr>
                <w:rFonts w:hint="eastAsia" w:ascii="Times New Roman" w:hAnsi="Times New Roman" w:eastAsia="宋体" w:cs="Times New Roman"/>
                <w:b/>
                <w:snapToGrid w:val="0"/>
                <w:color w:val="auto"/>
                <w:kern w:val="2"/>
                <w:sz w:val="24"/>
                <w:szCs w:val="20"/>
                <w:highlight w:val="none"/>
                <w:lang w:val="en-US" w:eastAsia="zh-CN" w:bidi="ar-SA"/>
              </w:rPr>
              <w:t xml:space="preserve"> 声环境质量监测结果  单位：dB(A) </w:t>
            </w:r>
          </w:p>
          <w:tbl>
            <w:tblPr>
              <w:tblStyle w:val="33"/>
              <w:tblW w:w="8220"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687"/>
              <w:gridCol w:w="1328"/>
              <w:gridCol w:w="2248"/>
              <w:gridCol w:w="989"/>
              <w:gridCol w:w="989"/>
              <w:gridCol w:w="989"/>
              <w:gridCol w:w="990"/>
            </w:tblGrid>
            <w:tr w14:paraId="4933E9F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6" w:hRule="atLeast"/>
              </w:trPr>
              <w:tc>
                <w:tcPr>
                  <w:tcW w:w="687" w:type="dxa"/>
                  <w:vMerge w:val="restart"/>
                  <w:vAlign w:val="center"/>
                </w:tcPr>
                <w:p w14:paraId="245FDD0C">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right="0"/>
                    <w:jc w:val="center"/>
                    <w:textAlignment w:val="auto"/>
                    <w:rPr>
                      <w:rFonts w:hint="default" w:ascii="Times New Roman" w:hAnsi="Times New Roman" w:eastAsia="宋体" w:cs="Times New Roman"/>
                      <w:b w:val="0"/>
                      <w:bCs/>
                      <w:color w:val="auto"/>
                      <w:kern w:val="0"/>
                      <w:sz w:val="21"/>
                      <w:szCs w:val="21"/>
                      <w:highlight w:val="none"/>
                      <w:vertAlign w:val="baseline"/>
                      <w:lang w:val="en-US" w:eastAsia="zh-CN"/>
                    </w:rPr>
                  </w:pPr>
                  <w:r>
                    <w:rPr>
                      <w:rFonts w:hint="eastAsia" w:cs="Times New Roman"/>
                      <w:b w:val="0"/>
                      <w:bCs/>
                      <w:color w:val="auto"/>
                      <w:kern w:val="0"/>
                      <w:sz w:val="21"/>
                      <w:szCs w:val="21"/>
                      <w:highlight w:val="none"/>
                      <w:vertAlign w:val="baseline"/>
                      <w:lang w:val="en-US" w:eastAsia="zh-CN"/>
                    </w:rPr>
                    <w:t>序号</w:t>
                  </w:r>
                </w:p>
              </w:tc>
              <w:tc>
                <w:tcPr>
                  <w:tcW w:w="1328" w:type="dxa"/>
                  <w:vMerge w:val="restart"/>
                  <w:vAlign w:val="center"/>
                </w:tcPr>
                <w:p w14:paraId="52B850ED">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right="0"/>
                    <w:jc w:val="center"/>
                    <w:textAlignment w:val="auto"/>
                    <w:rPr>
                      <w:rFonts w:hint="default" w:ascii="Times New Roman" w:hAnsi="Times New Roman" w:eastAsia="宋体" w:cs="Times New Roman"/>
                      <w:b w:val="0"/>
                      <w:bCs/>
                      <w:color w:val="auto"/>
                      <w:kern w:val="0"/>
                      <w:sz w:val="21"/>
                      <w:szCs w:val="21"/>
                      <w:highlight w:val="none"/>
                      <w:vertAlign w:val="baseline"/>
                      <w:lang w:val="en-US" w:eastAsia="zh-CN"/>
                    </w:rPr>
                  </w:pPr>
                  <w:r>
                    <w:rPr>
                      <w:rFonts w:hint="eastAsia" w:cs="Times New Roman"/>
                      <w:b w:val="0"/>
                      <w:bCs/>
                      <w:color w:val="auto"/>
                      <w:kern w:val="0"/>
                      <w:sz w:val="21"/>
                      <w:szCs w:val="21"/>
                      <w:highlight w:val="none"/>
                      <w:vertAlign w:val="baseline"/>
                      <w:lang w:val="en-US" w:eastAsia="zh-CN"/>
                    </w:rPr>
                    <w:t>监测时间</w:t>
                  </w:r>
                </w:p>
              </w:tc>
              <w:tc>
                <w:tcPr>
                  <w:tcW w:w="2248" w:type="dxa"/>
                  <w:vMerge w:val="restart"/>
                  <w:tcBorders>
                    <w:tl2br w:val="single" w:color="auto" w:sz="4" w:space="0"/>
                  </w:tcBorders>
                  <w:vAlign w:val="center"/>
                </w:tcPr>
                <w:p w14:paraId="717DCB0F">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right="0"/>
                    <w:jc w:val="right"/>
                    <w:textAlignment w:val="auto"/>
                    <w:rPr>
                      <w:rFonts w:hint="eastAsia" w:cs="Times New Roman"/>
                      <w:b w:val="0"/>
                      <w:bCs/>
                      <w:color w:val="auto"/>
                      <w:kern w:val="0"/>
                      <w:sz w:val="21"/>
                      <w:szCs w:val="21"/>
                      <w:highlight w:val="none"/>
                      <w:vertAlign w:val="baseline"/>
                      <w:lang w:val="en-US" w:eastAsia="zh-CN"/>
                    </w:rPr>
                  </w:pPr>
                  <w:r>
                    <w:rPr>
                      <w:rFonts w:hint="eastAsia" w:cs="Times New Roman"/>
                      <w:b w:val="0"/>
                      <w:bCs/>
                      <w:color w:val="auto"/>
                      <w:kern w:val="0"/>
                      <w:sz w:val="21"/>
                      <w:szCs w:val="21"/>
                      <w:highlight w:val="none"/>
                      <w:vertAlign w:val="baseline"/>
                      <w:lang w:val="en-US" w:eastAsia="zh-CN"/>
                    </w:rPr>
                    <w:t>测点位置</w:t>
                  </w:r>
                </w:p>
                <w:p w14:paraId="7138DDDA">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right="0"/>
                    <w:jc w:val="both"/>
                    <w:textAlignment w:val="auto"/>
                    <w:rPr>
                      <w:rFonts w:hint="default" w:ascii="Times New Roman" w:hAnsi="Times New Roman" w:eastAsia="宋体" w:cs="Times New Roman"/>
                      <w:b w:val="0"/>
                      <w:bCs/>
                      <w:color w:val="auto"/>
                      <w:kern w:val="0"/>
                      <w:sz w:val="21"/>
                      <w:szCs w:val="21"/>
                      <w:highlight w:val="none"/>
                      <w:vertAlign w:val="baseline"/>
                      <w:lang w:val="en-US" w:eastAsia="zh-CN"/>
                    </w:rPr>
                  </w:pPr>
                  <w:r>
                    <w:rPr>
                      <w:rFonts w:hint="eastAsia" w:cs="Times New Roman"/>
                      <w:b w:val="0"/>
                      <w:bCs/>
                      <w:color w:val="auto"/>
                      <w:kern w:val="0"/>
                      <w:sz w:val="21"/>
                      <w:szCs w:val="21"/>
                      <w:highlight w:val="none"/>
                      <w:vertAlign w:val="baseline"/>
                      <w:lang w:val="en-US" w:eastAsia="zh-CN"/>
                    </w:rPr>
                    <w:t>噪声</w:t>
                  </w:r>
                </w:p>
              </w:tc>
              <w:tc>
                <w:tcPr>
                  <w:tcW w:w="1978" w:type="dxa"/>
                  <w:gridSpan w:val="2"/>
                  <w:vAlign w:val="center"/>
                </w:tcPr>
                <w:p w14:paraId="20CBBA3F">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right="0"/>
                    <w:jc w:val="center"/>
                    <w:textAlignment w:val="auto"/>
                    <w:rPr>
                      <w:rFonts w:hint="default" w:ascii="Times New Roman" w:hAnsi="Times New Roman" w:eastAsia="宋体" w:cs="Times New Roman"/>
                      <w:b w:val="0"/>
                      <w:bCs/>
                      <w:color w:val="auto"/>
                      <w:kern w:val="0"/>
                      <w:sz w:val="21"/>
                      <w:szCs w:val="21"/>
                      <w:highlight w:val="none"/>
                      <w:vertAlign w:val="baseline"/>
                      <w:lang w:val="en-US" w:eastAsia="zh-CN"/>
                    </w:rPr>
                  </w:pPr>
                  <w:r>
                    <w:rPr>
                      <w:rFonts w:hint="eastAsia" w:cs="Times New Roman"/>
                      <w:b w:val="0"/>
                      <w:bCs/>
                      <w:color w:val="auto"/>
                      <w:kern w:val="0"/>
                      <w:sz w:val="21"/>
                      <w:szCs w:val="21"/>
                      <w:highlight w:val="none"/>
                      <w:vertAlign w:val="baseline"/>
                      <w:lang w:val="en-US" w:eastAsia="zh-CN"/>
                    </w:rPr>
                    <w:t>监测结果</w:t>
                  </w:r>
                </w:p>
              </w:tc>
              <w:tc>
                <w:tcPr>
                  <w:tcW w:w="1979" w:type="dxa"/>
                  <w:gridSpan w:val="2"/>
                  <w:vAlign w:val="center"/>
                </w:tcPr>
                <w:p w14:paraId="02FB64B7">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right="0"/>
                    <w:jc w:val="center"/>
                    <w:textAlignment w:val="auto"/>
                    <w:rPr>
                      <w:rFonts w:hint="default" w:ascii="Times New Roman" w:hAnsi="Times New Roman" w:eastAsia="宋体" w:cs="Times New Roman"/>
                      <w:b w:val="0"/>
                      <w:bCs/>
                      <w:color w:val="auto"/>
                      <w:kern w:val="0"/>
                      <w:sz w:val="21"/>
                      <w:szCs w:val="21"/>
                      <w:highlight w:val="none"/>
                      <w:vertAlign w:val="baseline"/>
                      <w:lang w:val="en-US" w:eastAsia="zh-CN"/>
                    </w:rPr>
                  </w:pPr>
                  <w:r>
                    <w:rPr>
                      <w:rFonts w:hint="eastAsia" w:cs="Times New Roman"/>
                      <w:b w:val="0"/>
                      <w:bCs/>
                      <w:color w:val="auto"/>
                      <w:kern w:val="0"/>
                      <w:sz w:val="21"/>
                      <w:szCs w:val="21"/>
                      <w:highlight w:val="none"/>
                      <w:vertAlign w:val="baseline"/>
                      <w:lang w:val="en-US" w:eastAsia="zh-CN"/>
                    </w:rPr>
                    <w:t>标准要求</w:t>
                  </w:r>
                </w:p>
              </w:tc>
            </w:tr>
            <w:tr w14:paraId="2B52681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6" w:hRule="atLeast"/>
              </w:trPr>
              <w:tc>
                <w:tcPr>
                  <w:tcW w:w="687" w:type="dxa"/>
                  <w:vMerge w:val="continue"/>
                  <w:vAlign w:val="center"/>
                </w:tcPr>
                <w:p w14:paraId="0B03D976">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right="0"/>
                    <w:jc w:val="center"/>
                    <w:textAlignment w:val="auto"/>
                    <w:rPr>
                      <w:rFonts w:hint="default"/>
                      <w:b w:val="0"/>
                      <w:bCs/>
                      <w:color w:val="auto"/>
                      <w:sz w:val="21"/>
                      <w:szCs w:val="21"/>
                      <w:highlight w:val="none"/>
                    </w:rPr>
                  </w:pPr>
                </w:p>
              </w:tc>
              <w:tc>
                <w:tcPr>
                  <w:tcW w:w="1328" w:type="dxa"/>
                  <w:vMerge w:val="continue"/>
                  <w:vAlign w:val="center"/>
                </w:tcPr>
                <w:p w14:paraId="45BB9C8D">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right="0"/>
                    <w:jc w:val="center"/>
                    <w:textAlignment w:val="auto"/>
                    <w:rPr>
                      <w:rFonts w:hint="default"/>
                      <w:b w:val="0"/>
                      <w:bCs/>
                      <w:color w:val="auto"/>
                      <w:sz w:val="21"/>
                      <w:szCs w:val="21"/>
                      <w:highlight w:val="none"/>
                    </w:rPr>
                  </w:pPr>
                </w:p>
              </w:tc>
              <w:tc>
                <w:tcPr>
                  <w:tcW w:w="2248" w:type="dxa"/>
                  <w:vMerge w:val="continue"/>
                  <w:tcBorders>
                    <w:tl2br w:val="single" w:color="auto" w:sz="4" w:space="0"/>
                  </w:tcBorders>
                  <w:vAlign w:val="center"/>
                </w:tcPr>
                <w:p w14:paraId="15B7DF80">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right="0"/>
                    <w:jc w:val="center"/>
                    <w:textAlignment w:val="auto"/>
                    <w:rPr>
                      <w:rFonts w:hint="default"/>
                      <w:b w:val="0"/>
                      <w:bCs/>
                      <w:color w:val="auto"/>
                      <w:sz w:val="21"/>
                      <w:szCs w:val="21"/>
                      <w:highlight w:val="none"/>
                    </w:rPr>
                  </w:pPr>
                </w:p>
              </w:tc>
              <w:tc>
                <w:tcPr>
                  <w:tcW w:w="989" w:type="dxa"/>
                  <w:vAlign w:val="center"/>
                </w:tcPr>
                <w:p w14:paraId="2BA7A370">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right="0"/>
                    <w:jc w:val="center"/>
                    <w:textAlignment w:val="auto"/>
                    <w:rPr>
                      <w:rFonts w:hint="default" w:ascii="Times New Roman" w:hAnsi="Times New Roman" w:eastAsia="宋体" w:cs="Times New Roman"/>
                      <w:b w:val="0"/>
                      <w:bCs/>
                      <w:color w:val="auto"/>
                      <w:kern w:val="0"/>
                      <w:sz w:val="21"/>
                      <w:szCs w:val="21"/>
                      <w:highlight w:val="none"/>
                      <w:vertAlign w:val="baseline"/>
                      <w:lang w:val="en-US" w:eastAsia="zh-CN"/>
                    </w:rPr>
                  </w:pPr>
                  <w:r>
                    <w:rPr>
                      <w:rFonts w:hint="eastAsia" w:cs="Times New Roman"/>
                      <w:b w:val="0"/>
                      <w:bCs/>
                      <w:color w:val="auto"/>
                      <w:kern w:val="0"/>
                      <w:sz w:val="21"/>
                      <w:szCs w:val="21"/>
                      <w:highlight w:val="none"/>
                      <w:vertAlign w:val="baseline"/>
                      <w:lang w:val="en-US" w:eastAsia="zh-CN"/>
                    </w:rPr>
                    <w:t>昼间</w:t>
                  </w:r>
                </w:p>
              </w:tc>
              <w:tc>
                <w:tcPr>
                  <w:tcW w:w="989" w:type="dxa"/>
                  <w:vAlign w:val="center"/>
                </w:tcPr>
                <w:p w14:paraId="01423A7A">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right="0"/>
                    <w:jc w:val="center"/>
                    <w:textAlignment w:val="auto"/>
                    <w:rPr>
                      <w:rFonts w:hint="default" w:ascii="Times New Roman" w:hAnsi="Times New Roman" w:eastAsia="宋体" w:cs="Times New Roman"/>
                      <w:b w:val="0"/>
                      <w:bCs/>
                      <w:color w:val="auto"/>
                      <w:kern w:val="0"/>
                      <w:sz w:val="21"/>
                      <w:szCs w:val="21"/>
                      <w:highlight w:val="none"/>
                      <w:vertAlign w:val="baseline"/>
                      <w:lang w:val="en-US" w:eastAsia="zh-CN"/>
                    </w:rPr>
                  </w:pPr>
                  <w:r>
                    <w:rPr>
                      <w:rFonts w:hint="eastAsia" w:cs="Times New Roman"/>
                      <w:b w:val="0"/>
                      <w:bCs/>
                      <w:color w:val="auto"/>
                      <w:kern w:val="0"/>
                      <w:sz w:val="21"/>
                      <w:szCs w:val="21"/>
                      <w:highlight w:val="none"/>
                      <w:vertAlign w:val="baseline"/>
                      <w:lang w:val="en-US" w:eastAsia="zh-CN"/>
                    </w:rPr>
                    <w:t>夜间</w:t>
                  </w:r>
                </w:p>
              </w:tc>
              <w:tc>
                <w:tcPr>
                  <w:tcW w:w="989" w:type="dxa"/>
                  <w:vAlign w:val="center"/>
                </w:tcPr>
                <w:p w14:paraId="257F1B39">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right="0"/>
                    <w:jc w:val="center"/>
                    <w:textAlignment w:val="auto"/>
                    <w:rPr>
                      <w:rFonts w:hint="default" w:ascii="Times New Roman" w:hAnsi="Times New Roman" w:eastAsia="宋体" w:cs="Times New Roman"/>
                      <w:b w:val="0"/>
                      <w:bCs/>
                      <w:color w:val="auto"/>
                      <w:kern w:val="0"/>
                      <w:sz w:val="21"/>
                      <w:szCs w:val="21"/>
                      <w:highlight w:val="none"/>
                      <w:vertAlign w:val="baseline"/>
                      <w:lang w:val="en-US" w:eastAsia="zh-CN" w:bidi="ar-SA"/>
                    </w:rPr>
                  </w:pPr>
                  <w:r>
                    <w:rPr>
                      <w:rFonts w:hint="eastAsia" w:cs="Times New Roman"/>
                      <w:b w:val="0"/>
                      <w:bCs/>
                      <w:color w:val="auto"/>
                      <w:kern w:val="0"/>
                      <w:sz w:val="21"/>
                      <w:szCs w:val="21"/>
                      <w:highlight w:val="none"/>
                      <w:vertAlign w:val="baseline"/>
                      <w:lang w:val="en-US" w:eastAsia="zh-CN"/>
                    </w:rPr>
                    <w:t>昼间</w:t>
                  </w:r>
                </w:p>
              </w:tc>
              <w:tc>
                <w:tcPr>
                  <w:tcW w:w="990" w:type="dxa"/>
                  <w:vAlign w:val="center"/>
                </w:tcPr>
                <w:p w14:paraId="1EA810E6">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right="0"/>
                    <w:jc w:val="center"/>
                    <w:textAlignment w:val="auto"/>
                    <w:rPr>
                      <w:rFonts w:hint="default" w:ascii="Times New Roman" w:hAnsi="Times New Roman" w:eastAsia="宋体" w:cs="Times New Roman"/>
                      <w:b w:val="0"/>
                      <w:bCs/>
                      <w:color w:val="auto"/>
                      <w:kern w:val="0"/>
                      <w:sz w:val="21"/>
                      <w:szCs w:val="21"/>
                      <w:highlight w:val="none"/>
                      <w:vertAlign w:val="baseline"/>
                      <w:lang w:val="en-US" w:eastAsia="zh-CN" w:bidi="ar-SA"/>
                    </w:rPr>
                  </w:pPr>
                  <w:r>
                    <w:rPr>
                      <w:rFonts w:hint="eastAsia" w:cs="Times New Roman"/>
                      <w:b w:val="0"/>
                      <w:bCs/>
                      <w:color w:val="auto"/>
                      <w:kern w:val="0"/>
                      <w:sz w:val="21"/>
                      <w:szCs w:val="21"/>
                      <w:highlight w:val="none"/>
                      <w:vertAlign w:val="baseline"/>
                      <w:lang w:val="en-US" w:eastAsia="zh-CN"/>
                    </w:rPr>
                    <w:t>夜间</w:t>
                  </w:r>
                </w:p>
              </w:tc>
            </w:tr>
            <w:tr w14:paraId="5DD2D6A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87" w:type="dxa"/>
                  <w:vAlign w:val="center"/>
                </w:tcPr>
                <w:p w14:paraId="739E0FE1">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right="0"/>
                    <w:jc w:val="center"/>
                    <w:textAlignment w:val="auto"/>
                    <w:rPr>
                      <w:rFonts w:hint="default" w:ascii="Times New Roman" w:hAnsi="Times New Roman" w:eastAsia="宋体" w:cs="Times New Roman"/>
                      <w:b w:val="0"/>
                      <w:bCs/>
                      <w:color w:val="auto"/>
                      <w:kern w:val="0"/>
                      <w:sz w:val="21"/>
                      <w:szCs w:val="21"/>
                      <w:highlight w:val="none"/>
                      <w:vertAlign w:val="baseline"/>
                      <w:lang w:val="en-US" w:eastAsia="zh-CN"/>
                    </w:rPr>
                  </w:pPr>
                  <w:r>
                    <w:rPr>
                      <w:rFonts w:hint="eastAsia" w:cs="Times New Roman"/>
                      <w:b w:val="0"/>
                      <w:bCs/>
                      <w:color w:val="auto"/>
                      <w:kern w:val="0"/>
                      <w:sz w:val="21"/>
                      <w:szCs w:val="21"/>
                      <w:highlight w:val="none"/>
                      <w:vertAlign w:val="baseline"/>
                      <w:lang w:val="en-US" w:eastAsia="zh-CN"/>
                    </w:rPr>
                    <w:t>1</w:t>
                  </w:r>
                </w:p>
              </w:tc>
              <w:tc>
                <w:tcPr>
                  <w:tcW w:w="1328" w:type="dxa"/>
                  <w:vAlign w:val="center"/>
                </w:tcPr>
                <w:p w14:paraId="297E9E29">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right="0"/>
                    <w:jc w:val="center"/>
                    <w:textAlignment w:val="auto"/>
                    <w:rPr>
                      <w:rFonts w:hint="default" w:ascii="Times New Roman" w:hAnsi="Times New Roman" w:eastAsia="宋体" w:cs="Times New Roman"/>
                      <w:b w:val="0"/>
                      <w:bCs/>
                      <w:color w:val="auto"/>
                      <w:kern w:val="0"/>
                      <w:sz w:val="21"/>
                      <w:szCs w:val="21"/>
                      <w:highlight w:val="none"/>
                      <w:vertAlign w:val="baseline"/>
                      <w:lang w:val="en-US" w:eastAsia="zh-CN"/>
                    </w:rPr>
                  </w:pPr>
                  <w:r>
                    <w:rPr>
                      <w:rFonts w:hint="eastAsia" w:cs="Times New Roman"/>
                      <w:b w:val="0"/>
                      <w:bCs/>
                      <w:color w:val="auto"/>
                      <w:kern w:val="0"/>
                      <w:sz w:val="21"/>
                      <w:szCs w:val="21"/>
                      <w:highlight w:val="none"/>
                      <w:vertAlign w:val="baseline"/>
                      <w:lang w:val="en-US" w:eastAsia="zh-CN"/>
                    </w:rPr>
                    <w:t>2024.9.4~9.5</w:t>
                  </w:r>
                </w:p>
              </w:tc>
              <w:tc>
                <w:tcPr>
                  <w:tcW w:w="2248" w:type="dxa"/>
                  <w:vAlign w:val="center"/>
                </w:tcPr>
                <w:p w14:paraId="18685059">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right="0"/>
                    <w:jc w:val="center"/>
                    <w:textAlignment w:val="auto"/>
                    <w:rPr>
                      <w:rFonts w:hint="default" w:ascii="Times New Roman" w:hAnsi="Times New Roman" w:eastAsia="宋体" w:cs="Times New Roman"/>
                      <w:b w:val="0"/>
                      <w:bCs/>
                      <w:color w:val="auto"/>
                      <w:kern w:val="0"/>
                      <w:sz w:val="21"/>
                      <w:szCs w:val="21"/>
                      <w:highlight w:val="none"/>
                      <w:vertAlign w:val="baseline"/>
                      <w:lang w:val="en-US" w:eastAsia="zh-CN"/>
                    </w:rPr>
                  </w:pPr>
                  <w:r>
                    <w:rPr>
                      <w:rFonts w:hint="eastAsia" w:ascii="Times New Roman" w:hAnsi="Times New Roman" w:eastAsia="宋体" w:cs="Times New Roman"/>
                      <w:color w:val="auto"/>
                      <w:kern w:val="0"/>
                      <w:sz w:val="21"/>
                      <w:szCs w:val="21"/>
                      <w:highlight w:val="none"/>
                      <w:lang w:val="en-US" w:eastAsia="zh-CN"/>
                    </w:rPr>
                    <w:t>四省边际中心医院（闽江大道院区）</w:t>
                  </w:r>
                </w:p>
              </w:tc>
              <w:tc>
                <w:tcPr>
                  <w:tcW w:w="989" w:type="dxa"/>
                  <w:vAlign w:val="center"/>
                </w:tcPr>
                <w:p w14:paraId="5A4DD131">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right="0"/>
                    <w:jc w:val="center"/>
                    <w:textAlignment w:val="auto"/>
                    <w:rPr>
                      <w:rFonts w:hint="default" w:ascii="Times New Roman" w:hAnsi="Times New Roman" w:eastAsia="宋体" w:cs="Times New Roman"/>
                      <w:b w:val="0"/>
                      <w:bCs/>
                      <w:color w:val="auto"/>
                      <w:kern w:val="0"/>
                      <w:sz w:val="21"/>
                      <w:szCs w:val="21"/>
                      <w:highlight w:val="none"/>
                      <w:vertAlign w:val="baseline"/>
                      <w:lang w:val="en-US" w:eastAsia="zh-CN"/>
                    </w:rPr>
                  </w:pPr>
                  <w:r>
                    <w:rPr>
                      <w:rFonts w:hint="eastAsia" w:cs="Times New Roman"/>
                      <w:b w:val="0"/>
                      <w:bCs/>
                      <w:color w:val="auto"/>
                      <w:kern w:val="0"/>
                      <w:sz w:val="21"/>
                      <w:szCs w:val="21"/>
                      <w:highlight w:val="none"/>
                      <w:vertAlign w:val="baseline"/>
                      <w:lang w:val="en-US" w:eastAsia="zh-CN"/>
                    </w:rPr>
                    <w:t>66</w:t>
                  </w:r>
                </w:p>
              </w:tc>
              <w:tc>
                <w:tcPr>
                  <w:tcW w:w="989" w:type="dxa"/>
                  <w:vAlign w:val="center"/>
                </w:tcPr>
                <w:p w14:paraId="0A0E9825">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right="0"/>
                    <w:jc w:val="center"/>
                    <w:textAlignment w:val="auto"/>
                    <w:rPr>
                      <w:rFonts w:hint="default" w:ascii="Times New Roman" w:hAnsi="Times New Roman" w:eastAsia="宋体" w:cs="Times New Roman"/>
                      <w:b w:val="0"/>
                      <w:bCs/>
                      <w:color w:val="auto"/>
                      <w:kern w:val="0"/>
                      <w:sz w:val="21"/>
                      <w:szCs w:val="21"/>
                      <w:highlight w:val="none"/>
                      <w:vertAlign w:val="baseline"/>
                      <w:lang w:val="en-US" w:eastAsia="zh-CN"/>
                    </w:rPr>
                  </w:pPr>
                  <w:r>
                    <w:rPr>
                      <w:rFonts w:hint="eastAsia" w:cs="Times New Roman"/>
                      <w:b w:val="0"/>
                      <w:bCs/>
                      <w:color w:val="auto"/>
                      <w:kern w:val="0"/>
                      <w:sz w:val="21"/>
                      <w:szCs w:val="21"/>
                      <w:highlight w:val="none"/>
                      <w:vertAlign w:val="baseline"/>
                      <w:lang w:val="en-US" w:eastAsia="zh-CN"/>
                    </w:rPr>
                    <w:t>47</w:t>
                  </w:r>
                </w:p>
              </w:tc>
              <w:tc>
                <w:tcPr>
                  <w:tcW w:w="989" w:type="dxa"/>
                  <w:vAlign w:val="center"/>
                </w:tcPr>
                <w:p w14:paraId="091031C2">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right="0"/>
                    <w:jc w:val="center"/>
                    <w:textAlignment w:val="auto"/>
                    <w:rPr>
                      <w:rFonts w:hint="default" w:ascii="Times New Roman" w:hAnsi="Times New Roman" w:eastAsia="宋体" w:cs="Times New Roman"/>
                      <w:b w:val="0"/>
                      <w:bCs/>
                      <w:color w:val="auto"/>
                      <w:kern w:val="0"/>
                      <w:sz w:val="21"/>
                      <w:szCs w:val="21"/>
                      <w:highlight w:val="none"/>
                      <w:vertAlign w:val="baseline"/>
                      <w:lang w:val="en-US" w:eastAsia="zh-CN"/>
                    </w:rPr>
                  </w:pPr>
                  <w:r>
                    <w:rPr>
                      <w:rFonts w:hint="eastAsia" w:cs="Times New Roman"/>
                      <w:b w:val="0"/>
                      <w:bCs/>
                      <w:color w:val="auto"/>
                      <w:kern w:val="0"/>
                      <w:sz w:val="21"/>
                      <w:szCs w:val="21"/>
                      <w:highlight w:val="none"/>
                      <w:vertAlign w:val="baseline"/>
                      <w:lang w:val="en-US" w:eastAsia="zh-CN"/>
                    </w:rPr>
                    <w:t>70</w:t>
                  </w:r>
                </w:p>
              </w:tc>
              <w:tc>
                <w:tcPr>
                  <w:tcW w:w="990" w:type="dxa"/>
                  <w:vAlign w:val="center"/>
                </w:tcPr>
                <w:p w14:paraId="53F61B28">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right="0"/>
                    <w:jc w:val="center"/>
                    <w:textAlignment w:val="auto"/>
                    <w:rPr>
                      <w:rFonts w:hint="default" w:ascii="Times New Roman" w:hAnsi="Times New Roman" w:eastAsia="宋体" w:cs="Times New Roman"/>
                      <w:b w:val="0"/>
                      <w:bCs/>
                      <w:color w:val="auto"/>
                      <w:kern w:val="0"/>
                      <w:sz w:val="21"/>
                      <w:szCs w:val="21"/>
                      <w:highlight w:val="none"/>
                      <w:vertAlign w:val="baseline"/>
                      <w:lang w:val="en-US" w:eastAsia="zh-CN"/>
                    </w:rPr>
                  </w:pPr>
                  <w:r>
                    <w:rPr>
                      <w:rFonts w:hint="eastAsia" w:cs="Times New Roman"/>
                      <w:b w:val="0"/>
                      <w:bCs/>
                      <w:color w:val="auto"/>
                      <w:kern w:val="0"/>
                      <w:sz w:val="21"/>
                      <w:szCs w:val="21"/>
                      <w:highlight w:val="none"/>
                      <w:vertAlign w:val="baseline"/>
                      <w:lang w:val="en-US" w:eastAsia="zh-CN"/>
                    </w:rPr>
                    <w:t>55</w:t>
                  </w:r>
                </w:p>
              </w:tc>
            </w:tr>
          </w:tbl>
          <w:p w14:paraId="4D10FDC2">
            <w:pPr>
              <w:keepNext w:val="0"/>
              <w:keepLines w:val="0"/>
              <w:suppressLineNumbers w:val="0"/>
              <w:adjustRightInd w:val="0"/>
              <w:snapToGrid w:val="0"/>
              <w:spacing w:before="0" w:beforeAutospacing="0" w:after="0" w:afterAutospacing="0" w:line="360" w:lineRule="auto"/>
              <w:ind w:left="0" w:right="0"/>
              <w:jc w:val="center"/>
              <w:rPr>
                <w:rFonts w:hint="eastAsia" w:eastAsia="宋体"/>
                <w:highlight w:val="none"/>
                <w:lang w:eastAsia="zh-CN"/>
              </w:rPr>
            </w:pPr>
            <w:r>
              <w:rPr>
                <w:rFonts w:hint="eastAsia" w:eastAsia="宋体"/>
                <w:highlight w:val="none"/>
                <w:lang w:eastAsia="zh-CN"/>
              </w:rPr>
              <w:drawing>
                <wp:inline distT="0" distB="0" distL="114300" distR="114300">
                  <wp:extent cx="3975735" cy="3637915"/>
                  <wp:effectExtent l="0" t="0" r="5715" b="635"/>
                  <wp:docPr id="10" name="图片 6" descr="5d3a10a8ba7084be5a6ccf76cf7027c"/>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 name="图片 6" descr="5d3a10a8ba7084be5a6ccf76cf7027c"/>
                          <pic:cNvPicPr>
                            <a:picLocks noChangeAspect="1"/>
                          </pic:cNvPicPr>
                        </pic:nvPicPr>
                        <pic:blipFill>
                          <a:blip r:embed="rId32"/>
                          <a:stretch>
                            <a:fillRect/>
                          </a:stretch>
                        </pic:blipFill>
                        <pic:spPr>
                          <a:xfrm>
                            <a:off x="0" y="0"/>
                            <a:ext cx="3975735" cy="3637915"/>
                          </a:xfrm>
                          <a:prstGeom prst="rect">
                            <a:avLst/>
                          </a:prstGeom>
                          <a:noFill/>
                          <a:ln>
                            <a:noFill/>
                          </a:ln>
                        </pic:spPr>
                      </pic:pic>
                    </a:graphicData>
                  </a:graphic>
                </wp:inline>
              </w:drawing>
            </w:r>
          </w:p>
          <w:p w14:paraId="28C747BC">
            <w:pPr>
              <w:keepNext w:val="0"/>
              <w:keepLines w:val="0"/>
              <w:suppressLineNumbers w:val="0"/>
              <w:tabs>
                <w:tab w:val="left" w:pos="2625"/>
              </w:tabs>
              <w:adjustRightInd w:val="0"/>
              <w:snapToGrid w:val="0"/>
              <w:spacing w:before="0" w:beforeAutospacing="0" w:after="0" w:afterAutospacing="0" w:line="360" w:lineRule="auto"/>
              <w:ind w:left="0" w:right="0" w:firstLine="482" w:firstLineChars="200"/>
              <w:jc w:val="center"/>
              <w:rPr>
                <w:rFonts w:hint="default" w:hAnsi="宋体"/>
                <w:kern w:val="0"/>
                <w:highlight w:val="none"/>
              </w:rPr>
            </w:pPr>
            <w:r>
              <w:rPr>
                <w:rFonts w:hint="eastAsia" w:ascii="Times New Roman" w:hAnsi="Times New Roman" w:eastAsia="宋体" w:cs="Times New Roman"/>
                <w:b/>
                <w:color w:val="auto"/>
                <w:kern w:val="0"/>
                <w:highlight w:val="none"/>
              </w:rPr>
              <w:t>图</w:t>
            </w:r>
            <w:r>
              <w:rPr>
                <w:rFonts w:hint="default" w:ascii="Times New Roman" w:hAnsi="Times New Roman" w:eastAsia="宋体" w:cs="Times New Roman"/>
                <w:b/>
                <w:color w:val="auto"/>
                <w:kern w:val="0"/>
                <w:highlight w:val="none"/>
              </w:rPr>
              <w:t>3-</w:t>
            </w:r>
            <w:r>
              <w:rPr>
                <w:rFonts w:hint="eastAsia" w:cs="Times New Roman"/>
                <w:b/>
                <w:color w:val="auto"/>
                <w:kern w:val="0"/>
                <w:highlight w:val="none"/>
                <w:lang w:val="en-US" w:eastAsia="zh-CN"/>
              </w:rPr>
              <w:t>2</w:t>
            </w:r>
            <w:r>
              <w:rPr>
                <w:rFonts w:hint="default" w:ascii="Times New Roman" w:hAnsi="Times New Roman" w:eastAsia="宋体" w:cs="Times New Roman"/>
                <w:b/>
                <w:color w:val="auto"/>
                <w:kern w:val="0"/>
                <w:highlight w:val="none"/>
              </w:rPr>
              <w:t xml:space="preserve"> </w:t>
            </w:r>
            <w:r>
              <w:rPr>
                <w:rFonts w:hint="eastAsia" w:cs="Times New Roman"/>
                <w:b/>
                <w:color w:val="auto"/>
                <w:kern w:val="0"/>
                <w:highlight w:val="none"/>
                <w:lang w:val="en-US" w:eastAsia="zh-CN"/>
              </w:rPr>
              <w:t>声环境质量监测点位</w:t>
            </w:r>
            <w:r>
              <w:rPr>
                <w:rFonts w:hint="eastAsia" w:ascii="Times New Roman" w:hAnsi="Times New Roman" w:eastAsia="宋体" w:cs="Times New Roman"/>
                <w:b/>
                <w:color w:val="auto"/>
                <w:kern w:val="0"/>
                <w:highlight w:val="none"/>
              </w:rPr>
              <w:t>图</w:t>
            </w:r>
          </w:p>
          <w:p w14:paraId="5DCD2BCF">
            <w:pPr>
              <w:keepNext w:val="0"/>
              <w:keepLines w:val="0"/>
              <w:suppressLineNumbers w:val="0"/>
              <w:adjustRightInd w:val="0"/>
              <w:snapToGrid w:val="0"/>
              <w:spacing w:before="0" w:beforeAutospacing="0" w:after="0" w:afterAutospacing="0" w:line="360" w:lineRule="auto"/>
              <w:ind w:left="0" w:right="0"/>
              <w:jc w:val="left"/>
              <w:rPr>
                <w:rFonts w:hint="default"/>
                <w:b/>
                <w:kern w:val="0"/>
                <w:highlight w:val="none"/>
              </w:rPr>
            </w:pPr>
            <w:r>
              <w:rPr>
                <w:rFonts w:hint="default"/>
                <w:b/>
                <w:kern w:val="0"/>
                <w:highlight w:val="none"/>
              </w:rPr>
              <w:t>4</w:t>
            </w:r>
            <w:r>
              <w:rPr>
                <w:rFonts w:hint="eastAsia"/>
                <w:b/>
                <w:kern w:val="0"/>
                <w:highlight w:val="none"/>
              </w:rPr>
              <w:t>、生态环境</w:t>
            </w:r>
          </w:p>
          <w:p w14:paraId="694E1933">
            <w:pPr>
              <w:keepNext w:val="0"/>
              <w:keepLines w:val="0"/>
              <w:suppressLineNumbers w:val="0"/>
              <w:spacing w:before="0" w:beforeAutospacing="0" w:after="0" w:afterAutospacing="0" w:line="360" w:lineRule="auto"/>
              <w:ind w:left="0" w:right="0" w:firstLine="480" w:firstLineChars="200"/>
              <w:rPr>
                <w:rFonts w:hint="default" w:hAnsi="宋体"/>
                <w:kern w:val="0"/>
                <w:highlight w:val="none"/>
              </w:rPr>
            </w:pPr>
            <w:r>
              <w:rPr>
                <w:rFonts w:hint="eastAsia"/>
                <w:sz w:val="24"/>
                <w:highlight w:val="none"/>
              </w:rPr>
              <w:t>根据《建设项目环境影响报告表编制技术指南（污染影响类）（试行）》，本项目所在地不涉及自然保护区、风景名胜区及森林公园生态敏感区、永久基本农田等生态保护目标，无需进行生态环境现状调查</w:t>
            </w:r>
            <w:r>
              <w:rPr>
                <w:rFonts w:hint="eastAsia" w:hAnsi="宋体"/>
                <w:kern w:val="0"/>
                <w:highlight w:val="none"/>
              </w:rPr>
              <w:t>。</w:t>
            </w:r>
          </w:p>
          <w:p w14:paraId="2A82E2EB">
            <w:pPr>
              <w:keepNext w:val="0"/>
              <w:keepLines w:val="0"/>
              <w:suppressLineNumbers w:val="0"/>
              <w:adjustRightInd w:val="0"/>
              <w:snapToGrid w:val="0"/>
              <w:spacing w:before="0" w:beforeAutospacing="0" w:after="0" w:afterAutospacing="0" w:line="360" w:lineRule="auto"/>
              <w:ind w:left="0" w:right="0"/>
              <w:jc w:val="left"/>
              <w:rPr>
                <w:rFonts w:hint="default"/>
                <w:b/>
                <w:kern w:val="0"/>
                <w:highlight w:val="none"/>
              </w:rPr>
            </w:pPr>
            <w:r>
              <w:rPr>
                <w:rFonts w:hint="default"/>
                <w:b/>
                <w:kern w:val="0"/>
                <w:highlight w:val="none"/>
              </w:rPr>
              <w:t>5</w:t>
            </w:r>
            <w:r>
              <w:rPr>
                <w:rFonts w:hint="eastAsia"/>
                <w:b/>
                <w:kern w:val="0"/>
                <w:highlight w:val="none"/>
              </w:rPr>
              <w:t>、电磁辐射</w:t>
            </w:r>
          </w:p>
          <w:p w14:paraId="5853CEC0">
            <w:pPr>
              <w:keepNext w:val="0"/>
              <w:keepLines w:val="0"/>
              <w:suppressLineNumbers w:val="0"/>
              <w:tabs>
                <w:tab w:val="left" w:pos="2625"/>
              </w:tabs>
              <w:adjustRightInd w:val="0"/>
              <w:snapToGrid w:val="0"/>
              <w:spacing w:before="0" w:beforeAutospacing="0" w:after="0" w:afterAutospacing="0" w:line="360" w:lineRule="auto"/>
              <w:ind w:left="0" w:right="0" w:firstLine="480" w:firstLineChars="200"/>
              <w:rPr>
                <w:rFonts w:hint="default" w:hAnsi="宋体"/>
                <w:kern w:val="0"/>
                <w:highlight w:val="none"/>
              </w:rPr>
            </w:pPr>
            <w:r>
              <w:rPr>
                <w:rFonts w:hint="eastAsia"/>
                <w:sz w:val="24"/>
                <w:highlight w:val="none"/>
              </w:rPr>
              <w:t>根据《建设项目环境影响报告表编制技术指南（污染影响类）（试行）》，本项目不属于新建或改建、扩建广播电台、差转台、电视塔台、卫星地球上行站、雷达等电磁辐射类项目，无需对电磁辐射现状开展监测与评价</w:t>
            </w:r>
            <w:r>
              <w:rPr>
                <w:rFonts w:hint="eastAsia" w:hAnsi="宋体"/>
                <w:kern w:val="0"/>
                <w:highlight w:val="none"/>
              </w:rPr>
              <w:t>。</w:t>
            </w:r>
          </w:p>
          <w:p w14:paraId="76DDC30C">
            <w:pPr>
              <w:keepNext w:val="0"/>
              <w:keepLines w:val="0"/>
              <w:suppressLineNumbers w:val="0"/>
              <w:tabs>
                <w:tab w:val="left" w:pos="2625"/>
              </w:tabs>
              <w:adjustRightInd w:val="0"/>
              <w:snapToGrid w:val="0"/>
              <w:spacing w:before="0" w:beforeAutospacing="0" w:after="0" w:afterAutospacing="0" w:line="360" w:lineRule="auto"/>
              <w:ind w:left="0" w:right="0"/>
              <w:rPr>
                <w:rFonts w:hint="default" w:hAnsi="宋体"/>
                <w:b/>
                <w:kern w:val="0"/>
                <w:highlight w:val="none"/>
              </w:rPr>
            </w:pPr>
            <w:r>
              <w:rPr>
                <w:rFonts w:hint="default" w:hAnsi="宋体"/>
                <w:b/>
                <w:kern w:val="0"/>
                <w:highlight w:val="none"/>
              </w:rPr>
              <w:t>6</w:t>
            </w:r>
            <w:r>
              <w:rPr>
                <w:rFonts w:hint="eastAsia" w:hAnsi="宋体"/>
                <w:b/>
                <w:kern w:val="0"/>
                <w:highlight w:val="none"/>
              </w:rPr>
              <w:t>、地下水、土壤</w:t>
            </w:r>
          </w:p>
          <w:p w14:paraId="4B6A835E">
            <w:pPr>
              <w:keepNext w:val="0"/>
              <w:keepLines w:val="0"/>
              <w:suppressLineNumbers w:val="0"/>
              <w:spacing w:before="0" w:beforeAutospacing="0" w:after="0" w:afterAutospacing="0" w:line="360" w:lineRule="auto"/>
              <w:ind w:left="0" w:right="0" w:firstLine="480" w:firstLineChars="200"/>
              <w:rPr>
                <w:rFonts w:hint="default"/>
                <w:sz w:val="24"/>
                <w:highlight w:val="none"/>
              </w:rPr>
            </w:pPr>
            <w:r>
              <w:rPr>
                <w:rFonts w:hint="eastAsia"/>
                <w:sz w:val="24"/>
                <w:highlight w:val="none"/>
              </w:rPr>
              <w:t>根据《建设项目环境影响报告表编制技术指南》（污染影响类）（试行）中要求，原则上不开展土壤和地下水环境质量现状调查。根据《环境影响评价技术导则 土壤环境（试行）</w:t>
            </w:r>
            <w:r>
              <w:rPr>
                <w:rFonts w:hint="eastAsia"/>
                <w:sz w:val="24"/>
                <w:highlight w:val="none"/>
                <w:lang w:eastAsia="zh-CN"/>
              </w:rPr>
              <w:t>》《</w:t>
            </w:r>
            <w:r>
              <w:rPr>
                <w:rFonts w:hint="eastAsia"/>
                <w:sz w:val="24"/>
                <w:highlight w:val="none"/>
              </w:rPr>
              <w:t>环境影响评价技术导则 地下水环境》，均属于其中的“</w:t>
            </w:r>
            <w:r>
              <w:rPr>
                <w:rFonts w:hint="default"/>
                <w:sz w:val="24"/>
                <w:highlight w:val="none"/>
              </w:rPr>
              <w:fldChar w:fldCharType="begin"/>
            </w:r>
            <w:r>
              <w:rPr>
                <w:rFonts w:hint="default"/>
                <w:sz w:val="24"/>
                <w:highlight w:val="none"/>
              </w:rPr>
              <w:instrText xml:space="preserve"> </w:instrText>
            </w:r>
            <w:r>
              <w:rPr>
                <w:rFonts w:hint="eastAsia"/>
                <w:sz w:val="24"/>
                <w:highlight w:val="none"/>
              </w:rPr>
              <w:instrText xml:space="preserve">= 4 \* ROMAN</w:instrText>
            </w:r>
            <w:r>
              <w:rPr>
                <w:rFonts w:hint="default"/>
                <w:sz w:val="24"/>
                <w:highlight w:val="none"/>
              </w:rPr>
              <w:instrText xml:space="preserve"> </w:instrText>
            </w:r>
            <w:r>
              <w:rPr>
                <w:rFonts w:hint="default"/>
                <w:sz w:val="24"/>
                <w:highlight w:val="none"/>
              </w:rPr>
              <w:fldChar w:fldCharType="separate"/>
            </w:r>
            <w:r>
              <w:rPr>
                <w:rFonts w:hint="default"/>
                <w:sz w:val="24"/>
                <w:highlight w:val="none"/>
              </w:rPr>
              <w:t>IV</w:t>
            </w:r>
            <w:r>
              <w:rPr>
                <w:rFonts w:hint="default"/>
                <w:sz w:val="24"/>
                <w:highlight w:val="none"/>
              </w:rPr>
              <w:fldChar w:fldCharType="end"/>
            </w:r>
            <w:r>
              <w:rPr>
                <w:rFonts w:hint="eastAsia"/>
                <w:sz w:val="24"/>
                <w:highlight w:val="none"/>
              </w:rPr>
              <w:t>项目”，可不开展土壤和地下水环境质量现状调查工作。</w:t>
            </w:r>
          </w:p>
          <w:p w14:paraId="058E71A8">
            <w:pPr>
              <w:keepNext w:val="0"/>
              <w:keepLines w:val="0"/>
              <w:suppressLineNumbers w:val="0"/>
              <w:tabs>
                <w:tab w:val="left" w:pos="2625"/>
              </w:tabs>
              <w:adjustRightInd w:val="0"/>
              <w:snapToGrid w:val="0"/>
              <w:spacing w:before="0" w:beforeAutospacing="0" w:after="0" w:afterAutospacing="0" w:line="360" w:lineRule="auto"/>
              <w:ind w:left="0" w:right="0" w:firstLine="480" w:firstLineChars="200"/>
              <w:rPr>
                <w:rFonts w:hint="default" w:hAnsi="宋体"/>
                <w:color w:val="FF0000"/>
                <w:kern w:val="0"/>
                <w:highlight w:val="none"/>
              </w:rPr>
            </w:pPr>
            <w:r>
              <w:rPr>
                <w:rFonts w:hint="default"/>
                <w:sz w:val="24"/>
                <w:highlight w:val="none"/>
              </w:rPr>
              <w:t>另外</w:t>
            </w:r>
            <w:r>
              <w:rPr>
                <w:rFonts w:hint="eastAsia"/>
                <w:sz w:val="24"/>
                <w:highlight w:val="none"/>
              </w:rPr>
              <w:t>，本项目废气不涉及重金属和持久性污染物，因此不考虑大气沉降途径影响；本项目实施后废水经预处理达标纳管进入高铁新城再生水厂处理达标后排放，</w:t>
            </w:r>
            <w:r>
              <w:rPr>
                <w:rFonts w:hint="eastAsia"/>
                <w:sz w:val="24"/>
                <w:highlight w:val="none"/>
                <w:lang w:val="en-US" w:eastAsia="zh-CN"/>
              </w:rPr>
              <w:t>厂界</w:t>
            </w:r>
            <w:r>
              <w:rPr>
                <w:rFonts w:hint="eastAsia"/>
                <w:sz w:val="24"/>
                <w:highlight w:val="none"/>
              </w:rPr>
              <w:t>外500米范围内无地下水集中式饮用水水源和热水、矿泉水、温泉等特殊地下水资源，项目正常运营情况下，对土壤、地下水环境基本不存在污染途径，故不开展土壤和地下水环境质量现状调查工作及评价</w:t>
            </w:r>
            <w:r>
              <w:rPr>
                <w:rFonts w:hint="eastAsia" w:hAnsi="宋体"/>
                <w:kern w:val="0"/>
                <w:highlight w:val="none"/>
              </w:rPr>
              <w:t>。</w:t>
            </w:r>
          </w:p>
        </w:tc>
      </w:tr>
      <w:tr w14:paraId="6E01BA7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498" w:type="dxa"/>
            <w:vAlign w:val="center"/>
          </w:tcPr>
          <w:p w14:paraId="2B7043F8">
            <w:pPr>
              <w:keepNext w:val="0"/>
              <w:keepLines w:val="0"/>
              <w:suppressLineNumbers w:val="0"/>
              <w:adjustRightInd w:val="0"/>
              <w:snapToGrid w:val="0"/>
              <w:spacing w:before="0" w:beforeAutospacing="0" w:after="0" w:afterAutospacing="0"/>
              <w:ind w:left="0" w:right="0"/>
              <w:jc w:val="center"/>
              <w:rPr>
                <w:rFonts w:hint="default" w:hAnsi="宋体"/>
                <w:kern w:val="0"/>
                <w:sz w:val="21"/>
                <w:szCs w:val="21"/>
                <w:highlight w:val="none"/>
              </w:rPr>
            </w:pPr>
          </w:p>
          <w:p w14:paraId="5D54E854">
            <w:pPr>
              <w:keepNext w:val="0"/>
              <w:keepLines w:val="0"/>
              <w:suppressLineNumbers w:val="0"/>
              <w:adjustRightInd w:val="0"/>
              <w:snapToGrid w:val="0"/>
              <w:spacing w:before="0" w:beforeAutospacing="0" w:after="0" w:afterAutospacing="0"/>
              <w:ind w:left="0" w:right="0"/>
              <w:jc w:val="center"/>
              <w:rPr>
                <w:rFonts w:hint="default" w:hAnsi="宋体"/>
                <w:kern w:val="0"/>
                <w:sz w:val="21"/>
                <w:szCs w:val="21"/>
                <w:highlight w:val="none"/>
              </w:rPr>
            </w:pPr>
          </w:p>
          <w:p w14:paraId="29886148">
            <w:pPr>
              <w:keepNext w:val="0"/>
              <w:keepLines w:val="0"/>
              <w:suppressLineNumbers w:val="0"/>
              <w:adjustRightInd w:val="0"/>
              <w:snapToGrid w:val="0"/>
              <w:spacing w:before="0" w:beforeAutospacing="0" w:after="0" w:afterAutospacing="0"/>
              <w:ind w:left="0" w:right="0"/>
              <w:jc w:val="center"/>
              <w:rPr>
                <w:rFonts w:hint="default"/>
                <w:kern w:val="0"/>
                <w:sz w:val="21"/>
                <w:szCs w:val="21"/>
                <w:highlight w:val="none"/>
              </w:rPr>
            </w:pPr>
          </w:p>
          <w:p w14:paraId="62A6AB52">
            <w:pPr>
              <w:keepNext w:val="0"/>
              <w:keepLines w:val="0"/>
              <w:suppressLineNumbers w:val="0"/>
              <w:adjustRightInd w:val="0"/>
              <w:snapToGrid w:val="0"/>
              <w:spacing w:before="0" w:beforeAutospacing="0" w:after="0" w:afterAutospacing="0"/>
              <w:ind w:left="0" w:right="0"/>
              <w:jc w:val="center"/>
              <w:rPr>
                <w:rFonts w:hint="default"/>
                <w:kern w:val="0"/>
                <w:sz w:val="21"/>
                <w:szCs w:val="21"/>
                <w:highlight w:val="none"/>
              </w:rPr>
            </w:pPr>
          </w:p>
          <w:p w14:paraId="22FCFB28">
            <w:pPr>
              <w:keepNext w:val="0"/>
              <w:keepLines w:val="0"/>
              <w:suppressLineNumbers w:val="0"/>
              <w:adjustRightInd w:val="0"/>
              <w:snapToGrid w:val="0"/>
              <w:spacing w:before="0" w:beforeAutospacing="0" w:after="0" w:afterAutospacing="0"/>
              <w:ind w:left="0" w:right="0"/>
              <w:jc w:val="center"/>
              <w:rPr>
                <w:rFonts w:hint="default"/>
                <w:kern w:val="0"/>
                <w:sz w:val="21"/>
                <w:szCs w:val="21"/>
                <w:highlight w:val="none"/>
              </w:rPr>
            </w:pPr>
          </w:p>
          <w:p w14:paraId="0C372DB5">
            <w:pPr>
              <w:keepNext w:val="0"/>
              <w:keepLines w:val="0"/>
              <w:suppressLineNumbers w:val="0"/>
              <w:adjustRightInd w:val="0"/>
              <w:snapToGrid w:val="0"/>
              <w:spacing w:before="0" w:beforeAutospacing="0" w:after="0" w:afterAutospacing="0"/>
              <w:ind w:left="0" w:right="0"/>
              <w:jc w:val="center"/>
              <w:rPr>
                <w:rFonts w:hint="default"/>
                <w:kern w:val="0"/>
                <w:sz w:val="21"/>
                <w:szCs w:val="21"/>
                <w:highlight w:val="none"/>
              </w:rPr>
            </w:pPr>
          </w:p>
          <w:p w14:paraId="75580AC6">
            <w:pPr>
              <w:keepNext w:val="0"/>
              <w:keepLines w:val="0"/>
              <w:suppressLineNumbers w:val="0"/>
              <w:adjustRightInd w:val="0"/>
              <w:snapToGrid w:val="0"/>
              <w:spacing w:before="0" w:beforeAutospacing="0" w:after="0" w:afterAutospacing="0"/>
              <w:ind w:left="0" w:right="0"/>
              <w:jc w:val="center"/>
              <w:rPr>
                <w:rFonts w:hint="default" w:hAnsi="宋体"/>
                <w:kern w:val="0"/>
                <w:sz w:val="21"/>
                <w:szCs w:val="21"/>
                <w:highlight w:val="none"/>
              </w:rPr>
            </w:pPr>
          </w:p>
          <w:p w14:paraId="699578C2">
            <w:pPr>
              <w:keepNext w:val="0"/>
              <w:keepLines w:val="0"/>
              <w:suppressLineNumbers w:val="0"/>
              <w:adjustRightInd w:val="0"/>
              <w:snapToGrid w:val="0"/>
              <w:spacing w:before="0" w:beforeAutospacing="0" w:after="0" w:afterAutospacing="0"/>
              <w:ind w:left="0" w:right="0"/>
              <w:jc w:val="center"/>
              <w:rPr>
                <w:rFonts w:hint="default" w:hAnsi="宋体"/>
                <w:kern w:val="0"/>
                <w:sz w:val="21"/>
                <w:szCs w:val="21"/>
                <w:highlight w:val="none"/>
              </w:rPr>
            </w:pPr>
          </w:p>
          <w:p w14:paraId="38DB982C">
            <w:pPr>
              <w:keepNext w:val="0"/>
              <w:keepLines w:val="0"/>
              <w:suppressLineNumbers w:val="0"/>
              <w:adjustRightInd w:val="0"/>
              <w:snapToGrid w:val="0"/>
              <w:spacing w:before="0" w:beforeAutospacing="0" w:after="0" w:afterAutospacing="0"/>
              <w:ind w:left="0" w:right="0"/>
              <w:jc w:val="center"/>
              <w:rPr>
                <w:rFonts w:hint="default"/>
                <w:kern w:val="0"/>
                <w:sz w:val="21"/>
                <w:szCs w:val="21"/>
                <w:highlight w:val="none"/>
              </w:rPr>
            </w:pPr>
          </w:p>
          <w:p w14:paraId="0B7CDC2F">
            <w:pPr>
              <w:keepNext w:val="0"/>
              <w:keepLines w:val="0"/>
              <w:suppressLineNumbers w:val="0"/>
              <w:adjustRightInd w:val="0"/>
              <w:snapToGrid w:val="0"/>
              <w:spacing w:before="0" w:beforeAutospacing="0" w:after="0" w:afterAutospacing="0"/>
              <w:ind w:left="0" w:right="0"/>
              <w:jc w:val="center"/>
              <w:rPr>
                <w:rFonts w:hint="default"/>
                <w:kern w:val="0"/>
                <w:sz w:val="21"/>
                <w:szCs w:val="21"/>
                <w:highlight w:val="none"/>
              </w:rPr>
            </w:pPr>
          </w:p>
          <w:p w14:paraId="5A744502">
            <w:pPr>
              <w:keepNext w:val="0"/>
              <w:keepLines w:val="0"/>
              <w:suppressLineNumbers w:val="0"/>
              <w:adjustRightInd w:val="0"/>
              <w:snapToGrid w:val="0"/>
              <w:spacing w:before="0" w:beforeAutospacing="0" w:after="0" w:afterAutospacing="0"/>
              <w:ind w:left="0" w:right="0"/>
              <w:jc w:val="center"/>
              <w:rPr>
                <w:rFonts w:hint="default"/>
                <w:kern w:val="0"/>
                <w:sz w:val="21"/>
                <w:szCs w:val="21"/>
                <w:highlight w:val="none"/>
              </w:rPr>
            </w:pPr>
          </w:p>
          <w:p w14:paraId="109E1C8C">
            <w:pPr>
              <w:keepNext w:val="0"/>
              <w:keepLines w:val="0"/>
              <w:suppressLineNumbers w:val="0"/>
              <w:adjustRightInd w:val="0"/>
              <w:snapToGrid w:val="0"/>
              <w:spacing w:before="0" w:beforeAutospacing="0" w:after="0" w:afterAutospacing="0"/>
              <w:ind w:left="0" w:right="0"/>
              <w:jc w:val="center"/>
              <w:rPr>
                <w:rFonts w:hint="default"/>
                <w:kern w:val="0"/>
                <w:sz w:val="21"/>
                <w:szCs w:val="21"/>
                <w:highlight w:val="none"/>
              </w:rPr>
            </w:pPr>
          </w:p>
          <w:p w14:paraId="6A6CEE67">
            <w:pPr>
              <w:keepNext w:val="0"/>
              <w:keepLines w:val="0"/>
              <w:suppressLineNumbers w:val="0"/>
              <w:adjustRightInd w:val="0"/>
              <w:snapToGrid w:val="0"/>
              <w:spacing w:before="0" w:beforeAutospacing="0" w:after="0" w:afterAutospacing="0"/>
              <w:ind w:left="0" w:right="0"/>
              <w:jc w:val="center"/>
              <w:rPr>
                <w:rFonts w:hint="default"/>
                <w:kern w:val="0"/>
                <w:sz w:val="21"/>
                <w:szCs w:val="21"/>
                <w:highlight w:val="none"/>
              </w:rPr>
            </w:pPr>
          </w:p>
          <w:p w14:paraId="0D60C9B6">
            <w:pPr>
              <w:keepNext w:val="0"/>
              <w:keepLines w:val="0"/>
              <w:suppressLineNumbers w:val="0"/>
              <w:adjustRightInd w:val="0"/>
              <w:snapToGrid w:val="0"/>
              <w:spacing w:before="0" w:beforeAutospacing="0" w:after="0" w:afterAutospacing="0"/>
              <w:ind w:left="0" w:right="0"/>
              <w:jc w:val="center"/>
              <w:rPr>
                <w:rFonts w:hint="default"/>
                <w:kern w:val="0"/>
                <w:sz w:val="21"/>
                <w:szCs w:val="21"/>
                <w:highlight w:val="none"/>
              </w:rPr>
            </w:pPr>
          </w:p>
          <w:p w14:paraId="22F5B316">
            <w:pPr>
              <w:keepNext w:val="0"/>
              <w:keepLines w:val="0"/>
              <w:suppressLineNumbers w:val="0"/>
              <w:adjustRightInd w:val="0"/>
              <w:snapToGrid w:val="0"/>
              <w:spacing w:before="0" w:beforeAutospacing="0" w:after="0" w:afterAutospacing="0"/>
              <w:ind w:left="0" w:right="0"/>
              <w:jc w:val="center"/>
              <w:rPr>
                <w:rFonts w:hint="default"/>
                <w:kern w:val="0"/>
                <w:sz w:val="21"/>
                <w:szCs w:val="21"/>
                <w:highlight w:val="none"/>
              </w:rPr>
            </w:pPr>
          </w:p>
          <w:p w14:paraId="6D0EFB7C">
            <w:pPr>
              <w:keepNext w:val="0"/>
              <w:keepLines w:val="0"/>
              <w:suppressLineNumbers w:val="0"/>
              <w:adjustRightInd w:val="0"/>
              <w:snapToGrid w:val="0"/>
              <w:spacing w:before="0" w:beforeAutospacing="0" w:after="0" w:afterAutospacing="0"/>
              <w:ind w:left="0" w:right="0"/>
              <w:jc w:val="center"/>
              <w:rPr>
                <w:rFonts w:hint="default" w:hAnsi="宋体"/>
                <w:kern w:val="0"/>
                <w:sz w:val="21"/>
                <w:szCs w:val="21"/>
                <w:highlight w:val="none"/>
              </w:rPr>
            </w:pPr>
          </w:p>
          <w:p w14:paraId="7DFE0082">
            <w:pPr>
              <w:keepNext w:val="0"/>
              <w:keepLines w:val="0"/>
              <w:suppressLineNumbers w:val="0"/>
              <w:adjustRightInd w:val="0"/>
              <w:snapToGrid w:val="0"/>
              <w:spacing w:before="0" w:beforeAutospacing="0" w:after="0" w:afterAutospacing="0"/>
              <w:ind w:left="0" w:right="0"/>
              <w:jc w:val="center"/>
              <w:rPr>
                <w:rFonts w:hint="default" w:hAnsi="宋体"/>
                <w:kern w:val="0"/>
                <w:sz w:val="21"/>
                <w:szCs w:val="21"/>
                <w:highlight w:val="none"/>
              </w:rPr>
            </w:pPr>
          </w:p>
          <w:p w14:paraId="0D8FBFF5">
            <w:pPr>
              <w:keepNext w:val="0"/>
              <w:keepLines w:val="0"/>
              <w:suppressLineNumbers w:val="0"/>
              <w:adjustRightInd w:val="0"/>
              <w:snapToGrid w:val="0"/>
              <w:spacing w:before="0" w:beforeAutospacing="0" w:after="0" w:afterAutospacing="0"/>
              <w:ind w:left="0" w:right="0"/>
              <w:jc w:val="center"/>
              <w:rPr>
                <w:rFonts w:hint="default"/>
                <w:kern w:val="0"/>
                <w:sz w:val="21"/>
                <w:szCs w:val="21"/>
                <w:highlight w:val="none"/>
              </w:rPr>
            </w:pPr>
          </w:p>
          <w:p w14:paraId="1701E6EB">
            <w:pPr>
              <w:keepNext w:val="0"/>
              <w:keepLines w:val="0"/>
              <w:suppressLineNumbers w:val="0"/>
              <w:adjustRightInd w:val="0"/>
              <w:snapToGrid w:val="0"/>
              <w:spacing w:before="0" w:beforeAutospacing="0" w:after="0" w:afterAutospacing="0"/>
              <w:ind w:left="0" w:right="0"/>
              <w:jc w:val="center"/>
              <w:rPr>
                <w:rFonts w:hint="default"/>
                <w:kern w:val="0"/>
                <w:sz w:val="21"/>
                <w:szCs w:val="21"/>
                <w:highlight w:val="none"/>
              </w:rPr>
            </w:pPr>
          </w:p>
          <w:p w14:paraId="00928DA8">
            <w:pPr>
              <w:keepNext w:val="0"/>
              <w:keepLines w:val="0"/>
              <w:suppressLineNumbers w:val="0"/>
              <w:adjustRightInd w:val="0"/>
              <w:snapToGrid w:val="0"/>
              <w:spacing w:before="0" w:beforeAutospacing="0" w:after="0" w:afterAutospacing="0"/>
              <w:ind w:left="0" w:right="0"/>
              <w:jc w:val="center"/>
              <w:rPr>
                <w:rFonts w:hint="default"/>
                <w:kern w:val="0"/>
                <w:sz w:val="21"/>
                <w:szCs w:val="21"/>
                <w:highlight w:val="none"/>
              </w:rPr>
            </w:pPr>
          </w:p>
          <w:p w14:paraId="2BE3FE33">
            <w:pPr>
              <w:keepNext w:val="0"/>
              <w:keepLines w:val="0"/>
              <w:suppressLineNumbers w:val="0"/>
              <w:adjustRightInd w:val="0"/>
              <w:snapToGrid w:val="0"/>
              <w:spacing w:before="0" w:beforeAutospacing="0" w:after="0" w:afterAutospacing="0"/>
              <w:ind w:left="0" w:right="0"/>
              <w:jc w:val="center"/>
              <w:rPr>
                <w:rFonts w:hint="default"/>
                <w:kern w:val="0"/>
                <w:sz w:val="21"/>
                <w:szCs w:val="21"/>
                <w:highlight w:val="none"/>
              </w:rPr>
            </w:pPr>
          </w:p>
          <w:p w14:paraId="67A63D86">
            <w:pPr>
              <w:keepNext w:val="0"/>
              <w:keepLines w:val="0"/>
              <w:suppressLineNumbers w:val="0"/>
              <w:adjustRightInd w:val="0"/>
              <w:snapToGrid w:val="0"/>
              <w:spacing w:before="0" w:beforeAutospacing="0" w:after="0" w:afterAutospacing="0"/>
              <w:ind w:left="0" w:right="0"/>
              <w:jc w:val="center"/>
              <w:rPr>
                <w:rFonts w:hint="default"/>
                <w:kern w:val="0"/>
                <w:sz w:val="21"/>
                <w:szCs w:val="21"/>
                <w:highlight w:val="none"/>
              </w:rPr>
            </w:pPr>
            <w:r>
              <w:rPr>
                <w:rFonts w:hint="eastAsia"/>
                <w:kern w:val="0"/>
                <w:sz w:val="21"/>
                <w:szCs w:val="21"/>
                <w:highlight w:val="none"/>
              </w:rPr>
              <w:t>环境</w:t>
            </w:r>
          </w:p>
          <w:p w14:paraId="1674F4B8">
            <w:pPr>
              <w:keepNext w:val="0"/>
              <w:keepLines w:val="0"/>
              <w:suppressLineNumbers w:val="0"/>
              <w:adjustRightInd w:val="0"/>
              <w:snapToGrid w:val="0"/>
              <w:spacing w:before="0" w:beforeAutospacing="0" w:after="0" w:afterAutospacing="0"/>
              <w:ind w:left="0" w:right="0"/>
              <w:jc w:val="center"/>
              <w:rPr>
                <w:rFonts w:hint="default"/>
                <w:kern w:val="0"/>
                <w:sz w:val="21"/>
                <w:szCs w:val="21"/>
                <w:highlight w:val="none"/>
              </w:rPr>
            </w:pPr>
            <w:r>
              <w:rPr>
                <w:rFonts w:hint="eastAsia"/>
                <w:kern w:val="0"/>
                <w:sz w:val="21"/>
                <w:szCs w:val="21"/>
                <w:highlight w:val="none"/>
              </w:rPr>
              <w:t>保护</w:t>
            </w:r>
          </w:p>
          <w:p w14:paraId="061497C3">
            <w:pPr>
              <w:keepNext w:val="0"/>
              <w:keepLines w:val="0"/>
              <w:suppressLineNumbers w:val="0"/>
              <w:adjustRightInd w:val="0"/>
              <w:snapToGrid w:val="0"/>
              <w:spacing w:before="0" w:beforeAutospacing="0" w:after="0" w:afterAutospacing="0"/>
              <w:ind w:left="0" w:right="0"/>
              <w:jc w:val="center"/>
              <w:rPr>
                <w:rFonts w:hint="default"/>
                <w:kern w:val="0"/>
                <w:sz w:val="21"/>
                <w:szCs w:val="21"/>
                <w:highlight w:val="none"/>
              </w:rPr>
            </w:pPr>
            <w:r>
              <w:rPr>
                <w:rFonts w:hint="eastAsia"/>
                <w:kern w:val="0"/>
                <w:sz w:val="21"/>
                <w:szCs w:val="21"/>
                <w:highlight w:val="none"/>
              </w:rPr>
              <w:t>目标</w:t>
            </w:r>
          </w:p>
          <w:p w14:paraId="3B7707B7">
            <w:pPr>
              <w:keepNext w:val="0"/>
              <w:keepLines w:val="0"/>
              <w:suppressLineNumbers w:val="0"/>
              <w:adjustRightInd w:val="0"/>
              <w:snapToGrid w:val="0"/>
              <w:spacing w:before="0" w:beforeAutospacing="0" w:after="0" w:afterAutospacing="0"/>
              <w:ind w:left="0" w:right="0"/>
              <w:jc w:val="center"/>
              <w:rPr>
                <w:rFonts w:hint="default"/>
                <w:kern w:val="0"/>
                <w:sz w:val="21"/>
                <w:szCs w:val="21"/>
                <w:highlight w:val="none"/>
              </w:rPr>
            </w:pPr>
          </w:p>
          <w:p w14:paraId="299D330E">
            <w:pPr>
              <w:keepNext w:val="0"/>
              <w:keepLines w:val="0"/>
              <w:suppressLineNumbers w:val="0"/>
              <w:adjustRightInd w:val="0"/>
              <w:snapToGrid w:val="0"/>
              <w:spacing w:before="0" w:beforeAutospacing="0" w:after="0" w:afterAutospacing="0"/>
              <w:ind w:left="0" w:right="0"/>
              <w:jc w:val="center"/>
              <w:rPr>
                <w:rFonts w:hint="default"/>
                <w:kern w:val="0"/>
                <w:sz w:val="21"/>
                <w:szCs w:val="21"/>
                <w:highlight w:val="none"/>
              </w:rPr>
            </w:pPr>
          </w:p>
          <w:p w14:paraId="300F774F">
            <w:pPr>
              <w:keepNext w:val="0"/>
              <w:keepLines w:val="0"/>
              <w:suppressLineNumbers w:val="0"/>
              <w:adjustRightInd w:val="0"/>
              <w:snapToGrid w:val="0"/>
              <w:spacing w:before="0" w:beforeAutospacing="0" w:after="0" w:afterAutospacing="0"/>
              <w:ind w:left="0" w:right="0"/>
              <w:jc w:val="center"/>
              <w:rPr>
                <w:rFonts w:hint="default"/>
                <w:kern w:val="0"/>
                <w:sz w:val="21"/>
                <w:szCs w:val="21"/>
                <w:highlight w:val="none"/>
              </w:rPr>
            </w:pPr>
          </w:p>
          <w:p w14:paraId="231C445D">
            <w:pPr>
              <w:keepNext w:val="0"/>
              <w:keepLines w:val="0"/>
              <w:suppressLineNumbers w:val="0"/>
              <w:adjustRightInd w:val="0"/>
              <w:snapToGrid w:val="0"/>
              <w:spacing w:before="0" w:beforeAutospacing="0" w:after="0" w:afterAutospacing="0"/>
              <w:ind w:left="0" w:right="0"/>
              <w:jc w:val="center"/>
              <w:rPr>
                <w:rFonts w:hint="default" w:hAnsi="宋体"/>
                <w:kern w:val="0"/>
                <w:sz w:val="21"/>
                <w:szCs w:val="21"/>
                <w:highlight w:val="none"/>
              </w:rPr>
            </w:pPr>
          </w:p>
          <w:p w14:paraId="0FC9369B">
            <w:pPr>
              <w:keepNext w:val="0"/>
              <w:keepLines w:val="0"/>
              <w:suppressLineNumbers w:val="0"/>
              <w:adjustRightInd w:val="0"/>
              <w:snapToGrid w:val="0"/>
              <w:spacing w:before="0" w:beforeAutospacing="0" w:after="0" w:afterAutospacing="0"/>
              <w:ind w:left="0" w:right="0"/>
              <w:jc w:val="center"/>
              <w:rPr>
                <w:rFonts w:hint="default" w:hAnsi="宋体"/>
                <w:kern w:val="0"/>
                <w:sz w:val="21"/>
                <w:szCs w:val="21"/>
                <w:highlight w:val="none"/>
              </w:rPr>
            </w:pPr>
          </w:p>
          <w:p w14:paraId="0AA8E5DD">
            <w:pPr>
              <w:keepNext w:val="0"/>
              <w:keepLines w:val="0"/>
              <w:suppressLineNumbers w:val="0"/>
              <w:adjustRightInd w:val="0"/>
              <w:snapToGrid w:val="0"/>
              <w:spacing w:before="0" w:beforeAutospacing="0" w:after="0" w:afterAutospacing="0"/>
              <w:ind w:left="0" w:right="0"/>
              <w:jc w:val="center"/>
              <w:rPr>
                <w:rFonts w:hint="default"/>
                <w:kern w:val="0"/>
                <w:sz w:val="21"/>
                <w:szCs w:val="21"/>
                <w:highlight w:val="none"/>
              </w:rPr>
            </w:pPr>
          </w:p>
          <w:p w14:paraId="5A6BE843">
            <w:pPr>
              <w:keepNext w:val="0"/>
              <w:keepLines w:val="0"/>
              <w:suppressLineNumbers w:val="0"/>
              <w:adjustRightInd w:val="0"/>
              <w:snapToGrid w:val="0"/>
              <w:spacing w:before="0" w:beforeAutospacing="0" w:after="0" w:afterAutospacing="0"/>
              <w:ind w:left="0" w:right="0"/>
              <w:jc w:val="center"/>
              <w:rPr>
                <w:rFonts w:hint="default"/>
                <w:kern w:val="0"/>
                <w:sz w:val="21"/>
                <w:szCs w:val="21"/>
                <w:highlight w:val="none"/>
              </w:rPr>
            </w:pPr>
          </w:p>
          <w:p w14:paraId="411C6260">
            <w:pPr>
              <w:keepNext w:val="0"/>
              <w:keepLines w:val="0"/>
              <w:suppressLineNumbers w:val="0"/>
              <w:adjustRightInd w:val="0"/>
              <w:snapToGrid w:val="0"/>
              <w:spacing w:before="0" w:beforeAutospacing="0" w:after="0" w:afterAutospacing="0"/>
              <w:ind w:left="0" w:right="0"/>
              <w:jc w:val="center"/>
              <w:rPr>
                <w:rFonts w:hint="default"/>
                <w:kern w:val="0"/>
                <w:sz w:val="21"/>
                <w:szCs w:val="21"/>
                <w:highlight w:val="none"/>
              </w:rPr>
            </w:pPr>
          </w:p>
          <w:p w14:paraId="3012E8E7">
            <w:pPr>
              <w:keepNext w:val="0"/>
              <w:keepLines w:val="0"/>
              <w:suppressLineNumbers w:val="0"/>
              <w:adjustRightInd w:val="0"/>
              <w:snapToGrid w:val="0"/>
              <w:spacing w:before="0" w:beforeAutospacing="0" w:after="0" w:afterAutospacing="0"/>
              <w:ind w:left="0" w:right="0"/>
              <w:jc w:val="center"/>
              <w:rPr>
                <w:rFonts w:hint="default"/>
                <w:kern w:val="0"/>
                <w:sz w:val="21"/>
                <w:szCs w:val="21"/>
                <w:highlight w:val="none"/>
              </w:rPr>
            </w:pPr>
          </w:p>
          <w:p w14:paraId="1AA9CA8F">
            <w:pPr>
              <w:keepNext w:val="0"/>
              <w:keepLines w:val="0"/>
              <w:suppressLineNumbers w:val="0"/>
              <w:adjustRightInd w:val="0"/>
              <w:snapToGrid w:val="0"/>
              <w:spacing w:before="0" w:beforeAutospacing="0" w:after="0" w:afterAutospacing="0"/>
              <w:ind w:left="0" w:right="0"/>
              <w:jc w:val="center"/>
              <w:rPr>
                <w:rFonts w:hint="default" w:hAnsi="宋体"/>
                <w:kern w:val="0"/>
                <w:sz w:val="21"/>
                <w:szCs w:val="21"/>
                <w:highlight w:val="none"/>
              </w:rPr>
            </w:pPr>
          </w:p>
          <w:p w14:paraId="5AE64FF3">
            <w:pPr>
              <w:keepNext w:val="0"/>
              <w:keepLines w:val="0"/>
              <w:suppressLineNumbers w:val="0"/>
              <w:adjustRightInd w:val="0"/>
              <w:snapToGrid w:val="0"/>
              <w:spacing w:before="0" w:beforeAutospacing="0" w:after="0" w:afterAutospacing="0"/>
              <w:ind w:left="0" w:right="0"/>
              <w:jc w:val="center"/>
              <w:rPr>
                <w:rFonts w:hint="default" w:hAnsi="宋体"/>
                <w:kern w:val="0"/>
                <w:sz w:val="21"/>
                <w:szCs w:val="21"/>
                <w:highlight w:val="none"/>
              </w:rPr>
            </w:pPr>
          </w:p>
          <w:p w14:paraId="4501EC24">
            <w:pPr>
              <w:keepNext w:val="0"/>
              <w:keepLines w:val="0"/>
              <w:suppressLineNumbers w:val="0"/>
              <w:adjustRightInd w:val="0"/>
              <w:snapToGrid w:val="0"/>
              <w:spacing w:before="0" w:beforeAutospacing="0" w:after="0" w:afterAutospacing="0"/>
              <w:ind w:left="0" w:right="0"/>
              <w:jc w:val="center"/>
              <w:rPr>
                <w:rFonts w:hint="default"/>
                <w:kern w:val="0"/>
                <w:sz w:val="21"/>
                <w:szCs w:val="21"/>
                <w:highlight w:val="none"/>
              </w:rPr>
            </w:pPr>
          </w:p>
          <w:p w14:paraId="413997D3">
            <w:pPr>
              <w:keepNext w:val="0"/>
              <w:keepLines w:val="0"/>
              <w:suppressLineNumbers w:val="0"/>
              <w:adjustRightInd w:val="0"/>
              <w:snapToGrid w:val="0"/>
              <w:spacing w:before="0" w:beforeAutospacing="0" w:after="0" w:afterAutospacing="0"/>
              <w:ind w:left="0" w:right="0"/>
              <w:jc w:val="center"/>
              <w:rPr>
                <w:rFonts w:hint="default"/>
                <w:kern w:val="0"/>
                <w:sz w:val="21"/>
                <w:szCs w:val="21"/>
                <w:highlight w:val="none"/>
              </w:rPr>
            </w:pPr>
          </w:p>
          <w:p w14:paraId="4C7697A8">
            <w:pPr>
              <w:keepNext w:val="0"/>
              <w:keepLines w:val="0"/>
              <w:suppressLineNumbers w:val="0"/>
              <w:adjustRightInd w:val="0"/>
              <w:snapToGrid w:val="0"/>
              <w:spacing w:before="0" w:beforeAutospacing="0" w:after="0" w:afterAutospacing="0"/>
              <w:ind w:left="0" w:right="0"/>
              <w:jc w:val="center"/>
              <w:rPr>
                <w:rFonts w:hint="default"/>
                <w:kern w:val="0"/>
                <w:sz w:val="21"/>
                <w:szCs w:val="21"/>
                <w:highlight w:val="none"/>
              </w:rPr>
            </w:pPr>
          </w:p>
          <w:p w14:paraId="67C665CB">
            <w:pPr>
              <w:keepNext w:val="0"/>
              <w:keepLines w:val="0"/>
              <w:suppressLineNumbers w:val="0"/>
              <w:adjustRightInd w:val="0"/>
              <w:snapToGrid w:val="0"/>
              <w:spacing w:before="0" w:beforeAutospacing="0" w:after="0" w:afterAutospacing="0"/>
              <w:ind w:left="0" w:right="0"/>
              <w:jc w:val="center"/>
              <w:rPr>
                <w:rFonts w:hint="default"/>
                <w:kern w:val="0"/>
                <w:sz w:val="21"/>
                <w:szCs w:val="21"/>
                <w:highlight w:val="none"/>
              </w:rPr>
            </w:pPr>
          </w:p>
          <w:p w14:paraId="7C654592">
            <w:pPr>
              <w:keepNext w:val="0"/>
              <w:keepLines w:val="0"/>
              <w:suppressLineNumbers w:val="0"/>
              <w:adjustRightInd w:val="0"/>
              <w:snapToGrid w:val="0"/>
              <w:spacing w:before="0" w:beforeAutospacing="0" w:after="0" w:afterAutospacing="0"/>
              <w:ind w:left="0" w:right="0"/>
              <w:jc w:val="center"/>
              <w:rPr>
                <w:rFonts w:hint="default" w:hAnsi="宋体"/>
                <w:kern w:val="0"/>
                <w:sz w:val="21"/>
                <w:szCs w:val="21"/>
                <w:highlight w:val="none"/>
              </w:rPr>
            </w:pPr>
          </w:p>
          <w:p w14:paraId="16E5C900">
            <w:pPr>
              <w:keepNext w:val="0"/>
              <w:keepLines w:val="0"/>
              <w:suppressLineNumbers w:val="0"/>
              <w:adjustRightInd w:val="0"/>
              <w:snapToGrid w:val="0"/>
              <w:spacing w:before="0" w:beforeAutospacing="0" w:after="0" w:afterAutospacing="0"/>
              <w:ind w:left="0" w:right="0"/>
              <w:jc w:val="center"/>
              <w:rPr>
                <w:rFonts w:hint="default" w:hAnsi="宋体"/>
                <w:kern w:val="0"/>
                <w:sz w:val="21"/>
                <w:szCs w:val="21"/>
                <w:highlight w:val="none"/>
              </w:rPr>
            </w:pPr>
          </w:p>
          <w:p w14:paraId="504E32D7">
            <w:pPr>
              <w:keepNext w:val="0"/>
              <w:keepLines w:val="0"/>
              <w:suppressLineNumbers w:val="0"/>
              <w:adjustRightInd w:val="0"/>
              <w:snapToGrid w:val="0"/>
              <w:spacing w:before="0" w:beforeAutospacing="0" w:after="0" w:afterAutospacing="0"/>
              <w:ind w:left="0" w:right="0"/>
              <w:jc w:val="center"/>
              <w:rPr>
                <w:rFonts w:hint="default"/>
                <w:kern w:val="0"/>
                <w:sz w:val="21"/>
                <w:szCs w:val="21"/>
                <w:highlight w:val="none"/>
              </w:rPr>
            </w:pPr>
          </w:p>
          <w:p w14:paraId="17EF1DE7">
            <w:pPr>
              <w:keepNext w:val="0"/>
              <w:keepLines w:val="0"/>
              <w:suppressLineNumbers w:val="0"/>
              <w:adjustRightInd w:val="0"/>
              <w:snapToGrid w:val="0"/>
              <w:spacing w:before="0" w:beforeAutospacing="0" w:after="0" w:afterAutospacing="0"/>
              <w:ind w:left="0" w:right="0"/>
              <w:jc w:val="center"/>
              <w:rPr>
                <w:rFonts w:hint="default"/>
                <w:kern w:val="0"/>
                <w:sz w:val="21"/>
                <w:szCs w:val="21"/>
                <w:highlight w:val="none"/>
              </w:rPr>
            </w:pPr>
          </w:p>
          <w:p w14:paraId="5935A9CB">
            <w:pPr>
              <w:keepNext w:val="0"/>
              <w:keepLines w:val="0"/>
              <w:suppressLineNumbers w:val="0"/>
              <w:adjustRightInd w:val="0"/>
              <w:snapToGrid w:val="0"/>
              <w:spacing w:before="0" w:beforeAutospacing="0" w:after="0" w:afterAutospacing="0"/>
              <w:ind w:left="0" w:right="0"/>
              <w:jc w:val="center"/>
              <w:rPr>
                <w:rFonts w:hint="default"/>
                <w:kern w:val="0"/>
                <w:sz w:val="21"/>
                <w:szCs w:val="21"/>
                <w:highlight w:val="none"/>
              </w:rPr>
            </w:pPr>
          </w:p>
          <w:p w14:paraId="610302D7">
            <w:pPr>
              <w:keepNext w:val="0"/>
              <w:keepLines w:val="0"/>
              <w:suppressLineNumbers w:val="0"/>
              <w:adjustRightInd w:val="0"/>
              <w:snapToGrid w:val="0"/>
              <w:spacing w:before="0" w:beforeAutospacing="0" w:after="0" w:afterAutospacing="0"/>
              <w:ind w:left="0" w:right="0"/>
              <w:jc w:val="center"/>
              <w:rPr>
                <w:rFonts w:hint="default"/>
                <w:kern w:val="0"/>
                <w:sz w:val="21"/>
                <w:szCs w:val="21"/>
                <w:highlight w:val="none"/>
              </w:rPr>
            </w:pPr>
          </w:p>
          <w:p w14:paraId="44401F83">
            <w:pPr>
              <w:keepNext w:val="0"/>
              <w:keepLines w:val="0"/>
              <w:suppressLineNumbers w:val="0"/>
              <w:adjustRightInd w:val="0"/>
              <w:snapToGrid w:val="0"/>
              <w:spacing w:before="0" w:beforeAutospacing="0" w:after="0" w:afterAutospacing="0"/>
              <w:ind w:left="0" w:right="0"/>
              <w:jc w:val="center"/>
              <w:rPr>
                <w:rFonts w:hint="default" w:hAnsi="宋体"/>
                <w:kern w:val="0"/>
                <w:sz w:val="21"/>
                <w:szCs w:val="21"/>
                <w:highlight w:val="none"/>
              </w:rPr>
            </w:pPr>
          </w:p>
          <w:p w14:paraId="5405E875">
            <w:pPr>
              <w:keepNext w:val="0"/>
              <w:keepLines w:val="0"/>
              <w:suppressLineNumbers w:val="0"/>
              <w:adjustRightInd w:val="0"/>
              <w:snapToGrid w:val="0"/>
              <w:spacing w:before="0" w:beforeAutospacing="0" w:after="0" w:afterAutospacing="0"/>
              <w:ind w:left="0" w:right="0"/>
              <w:jc w:val="center"/>
              <w:rPr>
                <w:rFonts w:hint="default" w:hAnsi="宋体"/>
                <w:kern w:val="0"/>
                <w:sz w:val="21"/>
                <w:szCs w:val="21"/>
                <w:highlight w:val="none"/>
              </w:rPr>
            </w:pPr>
          </w:p>
          <w:p w14:paraId="0526B7DA">
            <w:pPr>
              <w:keepNext w:val="0"/>
              <w:keepLines w:val="0"/>
              <w:suppressLineNumbers w:val="0"/>
              <w:adjustRightInd w:val="0"/>
              <w:snapToGrid w:val="0"/>
              <w:spacing w:before="0" w:beforeAutospacing="0" w:after="0" w:afterAutospacing="0"/>
              <w:ind w:left="0" w:right="0"/>
              <w:jc w:val="center"/>
              <w:rPr>
                <w:rFonts w:hint="default"/>
                <w:kern w:val="0"/>
                <w:sz w:val="21"/>
                <w:szCs w:val="21"/>
                <w:highlight w:val="none"/>
              </w:rPr>
            </w:pPr>
          </w:p>
          <w:p w14:paraId="2CBFAB9F">
            <w:pPr>
              <w:keepNext w:val="0"/>
              <w:keepLines w:val="0"/>
              <w:suppressLineNumbers w:val="0"/>
              <w:adjustRightInd w:val="0"/>
              <w:snapToGrid w:val="0"/>
              <w:spacing w:before="0" w:beforeAutospacing="0" w:after="0" w:afterAutospacing="0"/>
              <w:ind w:left="0" w:right="0"/>
              <w:jc w:val="center"/>
              <w:rPr>
                <w:rFonts w:hint="default"/>
                <w:kern w:val="0"/>
                <w:sz w:val="21"/>
                <w:szCs w:val="21"/>
                <w:highlight w:val="none"/>
              </w:rPr>
            </w:pPr>
          </w:p>
          <w:p w14:paraId="6DA8D104">
            <w:pPr>
              <w:keepNext w:val="0"/>
              <w:keepLines w:val="0"/>
              <w:suppressLineNumbers w:val="0"/>
              <w:adjustRightInd w:val="0"/>
              <w:snapToGrid w:val="0"/>
              <w:spacing w:before="0" w:beforeAutospacing="0" w:after="0" w:afterAutospacing="0"/>
              <w:ind w:left="0" w:right="0"/>
              <w:jc w:val="center"/>
              <w:rPr>
                <w:rFonts w:hint="default"/>
                <w:kern w:val="0"/>
                <w:sz w:val="21"/>
                <w:szCs w:val="21"/>
                <w:highlight w:val="none"/>
              </w:rPr>
            </w:pPr>
          </w:p>
          <w:p w14:paraId="0FA2B947">
            <w:pPr>
              <w:keepNext w:val="0"/>
              <w:keepLines w:val="0"/>
              <w:suppressLineNumbers w:val="0"/>
              <w:adjustRightInd w:val="0"/>
              <w:snapToGrid w:val="0"/>
              <w:spacing w:before="0" w:beforeAutospacing="0" w:after="0" w:afterAutospacing="0"/>
              <w:ind w:left="0" w:right="0"/>
              <w:jc w:val="center"/>
              <w:rPr>
                <w:rFonts w:hint="default"/>
                <w:kern w:val="0"/>
                <w:sz w:val="21"/>
                <w:szCs w:val="21"/>
                <w:highlight w:val="none"/>
              </w:rPr>
            </w:pPr>
          </w:p>
          <w:p w14:paraId="1A632773">
            <w:pPr>
              <w:keepNext w:val="0"/>
              <w:keepLines w:val="0"/>
              <w:suppressLineNumbers w:val="0"/>
              <w:adjustRightInd w:val="0"/>
              <w:snapToGrid w:val="0"/>
              <w:spacing w:before="0" w:beforeAutospacing="0" w:after="0" w:afterAutospacing="0"/>
              <w:ind w:left="0" w:right="0"/>
              <w:jc w:val="center"/>
              <w:rPr>
                <w:rFonts w:hint="default" w:hAnsi="宋体"/>
                <w:kern w:val="0"/>
                <w:sz w:val="21"/>
                <w:szCs w:val="21"/>
                <w:highlight w:val="none"/>
              </w:rPr>
            </w:pPr>
          </w:p>
          <w:p w14:paraId="41EAB8CD">
            <w:pPr>
              <w:keepNext w:val="0"/>
              <w:keepLines w:val="0"/>
              <w:suppressLineNumbers w:val="0"/>
              <w:adjustRightInd w:val="0"/>
              <w:snapToGrid w:val="0"/>
              <w:spacing w:before="0" w:beforeAutospacing="0" w:after="0" w:afterAutospacing="0"/>
              <w:ind w:left="0" w:right="0"/>
              <w:jc w:val="center"/>
              <w:rPr>
                <w:rFonts w:hint="default" w:hAnsi="宋体"/>
                <w:kern w:val="0"/>
                <w:sz w:val="21"/>
                <w:szCs w:val="21"/>
                <w:highlight w:val="none"/>
              </w:rPr>
            </w:pPr>
          </w:p>
          <w:p w14:paraId="195A25A1">
            <w:pPr>
              <w:keepNext w:val="0"/>
              <w:keepLines w:val="0"/>
              <w:suppressLineNumbers w:val="0"/>
              <w:adjustRightInd w:val="0"/>
              <w:snapToGrid w:val="0"/>
              <w:spacing w:before="0" w:beforeAutospacing="0" w:after="0" w:afterAutospacing="0"/>
              <w:ind w:left="0" w:right="0"/>
              <w:jc w:val="center"/>
              <w:rPr>
                <w:rFonts w:hint="default"/>
                <w:kern w:val="0"/>
                <w:sz w:val="21"/>
                <w:szCs w:val="21"/>
                <w:highlight w:val="none"/>
              </w:rPr>
            </w:pPr>
          </w:p>
          <w:p w14:paraId="0B31D62D">
            <w:pPr>
              <w:keepNext w:val="0"/>
              <w:keepLines w:val="0"/>
              <w:suppressLineNumbers w:val="0"/>
              <w:adjustRightInd w:val="0"/>
              <w:snapToGrid w:val="0"/>
              <w:spacing w:before="0" w:beforeAutospacing="0" w:after="0" w:afterAutospacing="0"/>
              <w:ind w:left="0" w:right="0"/>
              <w:jc w:val="center"/>
              <w:rPr>
                <w:rFonts w:hint="default"/>
                <w:kern w:val="0"/>
                <w:sz w:val="21"/>
                <w:szCs w:val="21"/>
                <w:highlight w:val="none"/>
              </w:rPr>
            </w:pPr>
          </w:p>
          <w:p w14:paraId="3AE2D3D9">
            <w:pPr>
              <w:keepNext w:val="0"/>
              <w:keepLines w:val="0"/>
              <w:suppressLineNumbers w:val="0"/>
              <w:adjustRightInd w:val="0"/>
              <w:snapToGrid w:val="0"/>
              <w:spacing w:before="0" w:beforeAutospacing="0" w:after="0" w:afterAutospacing="0"/>
              <w:ind w:left="0" w:right="0"/>
              <w:jc w:val="center"/>
              <w:rPr>
                <w:rFonts w:hint="default"/>
                <w:kern w:val="0"/>
                <w:sz w:val="21"/>
                <w:szCs w:val="21"/>
                <w:highlight w:val="none"/>
              </w:rPr>
            </w:pPr>
          </w:p>
          <w:p w14:paraId="4973234F">
            <w:pPr>
              <w:keepNext w:val="0"/>
              <w:keepLines w:val="0"/>
              <w:suppressLineNumbers w:val="0"/>
              <w:adjustRightInd w:val="0"/>
              <w:snapToGrid w:val="0"/>
              <w:spacing w:before="0" w:beforeAutospacing="0" w:after="0" w:afterAutospacing="0"/>
              <w:ind w:left="0" w:right="0"/>
              <w:jc w:val="center"/>
              <w:rPr>
                <w:rFonts w:hint="default"/>
                <w:kern w:val="0"/>
                <w:sz w:val="21"/>
                <w:szCs w:val="21"/>
                <w:highlight w:val="none"/>
              </w:rPr>
            </w:pPr>
          </w:p>
          <w:p w14:paraId="51C02249">
            <w:pPr>
              <w:keepNext w:val="0"/>
              <w:keepLines w:val="0"/>
              <w:suppressLineNumbers w:val="0"/>
              <w:adjustRightInd w:val="0"/>
              <w:snapToGrid w:val="0"/>
              <w:spacing w:before="0" w:beforeAutospacing="0" w:after="0" w:afterAutospacing="0"/>
              <w:ind w:left="0" w:right="0"/>
              <w:jc w:val="center"/>
              <w:rPr>
                <w:rFonts w:hint="default"/>
                <w:kern w:val="0"/>
                <w:sz w:val="21"/>
                <w:szCs w:val="21"/>
                <w:highlight w:val="none"/>
              </w:rPr>
            </w:pPr>
          </w:p>
          <w:p w14:paraId="4C72F1A2">
            <w:pPr>
              <w:keepNext w:val="0"/>
              <w:keepLines w:val="0"/>
              <w:suppressLineNumbers w:val="0"/>
              <w:adjustRightInd w:val="0"/>
              <w:snapToGrid w:val="0"/>
              <w:spacing w:before="0" w:beforeAutospacing="0" w:after="0" w:afterAutospacing="0"/>
              <w:ind w:left="0" w:right="0"/>
              <w:jc w:val="center"/>
              <w:rPr>
                <w:rFonts w:hint="default" w:hAnsi="宋体"/>
                <w:kern w:val="0"/>
                <w:sz w:val="21"/>
                <w:szCs w:val="21"/>
                <w:highlight w:val="none"/>
              </w:rPr>
            </w:pPr>
          </w:p>
          <w:p w14:paraId="7880A0E6">
            <w:pPr>
              <w:keepNext w:val="0"/>
              <w:keepLines w:val="0"/>
              <w:suppressLineNumbers w:val="0"/>
              <w:adjustRightInd w:val="0"/>
              <w:snapToGrid w:val="0"/>
              <w:spacing w:before="0" w:beforeAutospacing="0" w:after="0" w:afterAutospacing="0"/>
              <w:ind w:left="0" w:right="0"/>
              <w:jc w:val="center"/>
              <w:rPr>
                <w:rFonts w:hint="default" w:hAnsi="宋体"/>
                <w:kern w:val="0"/>
                <w:sz w:val="21"/>
                <w:szCs w:val="21"/>
                <w:highlight w:val="none"/>
              </w:rPr>
            </w:pPr>
          </w:p>
          <w:p w14:paraId="12B7D83E">
            <w:pPr>
              <w:keepNext w:val="0"/>
              <w:keepLines w:val="0"/>
              <w:suppressLineNumbers w:val="0"/>
              <w:adjustRightInd w:val="0"/>
              <w:snapToGrid w:val="0"/>
              <w:spacing w:before="0" w:beforeAutospacing="0" w:after="0" w:afterAutospacing="0"/>
              <w:ind w:left="0" w:right="0"/>
              <w:jc w:val="center"/>
              <w:rPr>
                <w:rFonts w:hint="default"/>
                <w:kern w:val="0"/>
                <w:sz w:val="21"/>
                <w:szCs w:val="21"/>
                <w:highlight w:val="none"/>
              </w:rPr>
            </w:pPr>
          </w:p>
          <w:p w14:paraId="52757F51">
            <w:pPr>
              <w:keepNext w:val="0"/>
              <w:keepLines w:val="0"/>
              <w:suppressLineNumbers w:val="0"/>
              <w:adjustRightInd w:val="0"/>
              <w:snapToGrid w:val="0"/>
              <w:spacing w:before="0" w:beforeAutospacing="0" w:after="0" w:afterAutospacing="0"/>
              <w:ind w:left="0" w:right="0"/>
              <w:jc w:val="center"/>
              <w:rPr>
                <w:rFonts w:hint="default"/>
                <w:kern w:val="0"/>
                <w:sz w:val="21"/>
                <w:szCs w:val="21"/>
                <w:highlight w:val="none"/>
              </w:rPr>
            </w:pPr>
          </w:p>
          <w:p w14:paraId="144665B5">
            <w:pPr>
              <w:keepNext w:val="0"/>
              <w:keepLines w:val="0"/>
              <w:suppressLineNumbers w:val="0"/>
              <w:adjustRightInd w:val="0"/>
              <w:snapToGrid w:val="0"/>
              <w:spacing w:before="0" w:beforeAutospacing="0" w:after="0" w:afterAutospacing="0"/>
              <w:ind w:left="0" w:right="0"/>
              <w:jc w:val="center"/>
              <w:rPr>
                <w:rFonts w:hint="default"/>
                <w:kern w:val="0"/>
                <w:sz w:val="21"/>
                <w:szCs w:val="21"/>
                <w:highlight w:val="none"/>
              </w:rPr>
            </w:pPr>
          </w:p>
          <w:p w14:paraId="4958ED76">
            <w:pPr>
              <w:keepNext w:val="0"/>
              <w:keepLines w:val="0"/>
              <w:suppressLineNumbers w:val="0"/>
              <w:adjustRightInd w:val="0"/>
              <w:snapToGrid w:val="0"/>
              <w:spacing w:before="0" w:beforeAutospacing="0" w:after="0" w:afterAutospacing="0"/>
              <w:ind w:left="0" w:right="0"/>
              <w:jc w:val="center"/>
              <w:rPr>
                <w:rFonts w:hint="default"/>
                <w:kern w:val="0"/>
                <w:sz w:val="21"/>
                <w:szCs w:val="21"/>
                <w:highlight w:val="none"/>
              </w:rPr>
            </w:pPr>
          </w:p>
          <w:p w14:paraId="448386CC">
            <w:pPr>
              <w:keepNext w:val="0"/>
              <w:keepLines w:val="0"/>
              <w:suppressLineNumbers w:val="0"/>
              <w:adjustRightInd w:val="0"/>
              <w:snapToGrid w:val="0"/>
              <w:spacing w:before="0" w:beforeAutospacing="0" w:after="0" w:afterAutospacing="0"/>
              <w:ind w:left="0" w:right="0"/>
              <w:jc w:val="center"/>
              <w:rPr>
                <w:rFonts w:hint="default"/>
                <w:kern w:val="0"/>
                <w:sz w:val="21"/>
                <w:szCs w:val="21"/>
                <w:highlight w:val="none"/>
              </w:rPr>
            </w:pPr>
          </w:p>
          <w:p w14:paraId="0258F005">
            <w:pPr>
              <w:keepNext w:val="0"/>
              <w:keepLines w:val="0"/>
              <w:suppressLineNumbers w:val="0"/>
              <w:adjustRightInd w:val="0"/>
              <w:snapToGrid w:val="0"/>
              <w:spacing w:before="0" w:beforeAutospacing="0" w:after="0" w:afterAutospacing="0"/>
              <w:ind w:left="0" w:right="0"/>
              <w:jc w:val="center"/>
              <w:rPr>
                <w:rFonts w:hint="default"/>
                <w:kern w:val="0"/>
                <w:sz w:val="21"/>
                <w:szCs w:val="21"/>
                <w:highlight w:val="none"/>
              </w:rPr>
            </w:pPr>
          </w:p>
          <w:p w14:paraId="40178216">
            <w:pPr>
              <w:keepNext w:val="0"/>
              <w:keepLines w:val="0"/>
              <w:suppressLineNumbers w:val="0"/>
              <w:adjustRightInd w:val="0"/>
              <w:snapToGrid w:val="0"/>
              <w:spacing w:before="0" w:beforeAutospacing="0" w:after="0" w:afterAutospacing="0"/>
              <w:ind w:left="0" w:right="0"/>
              <w:jc w:val="center"/>
              <w:rPr>
                <w:rFonts w:hint="default"/>
                <w:kern w:val="0"/>
                <w:sz w:val="21"/>
                <w:szCs w:val="21"/>
                <w:highlight w:val="none"/>
              </w:rPr>
            </w:pPr>
            <w:r>
              <w:rPr>
                <w:rFonts w:hint="eastAsia"/>
                <w:kern w:val="0"/>
                <w:sz w:val="21"/>
                <w:szCs w:val="21"/>
                <w:highlight w:val="none"/>
              </w:rPr>
              <w:t>环境</w:t>
            </w:r>
          </w:p>
          <w:p w14:paraId="3E864D2F">
            <w:pPr>
              <w:keepNext w:val="0"/>
              <w:keepLines w:val="0"/>
              <w:suppressLineNumbers w:val="0"/>
              <w:adjustRightInd w:val="0"/>
              <w:snapToGrid w:val="0"/>
              <w:spacing w:before="0" w:beforeAutospacing="0" w:after="0" w:afterAutospacing="0"/>
              <w:ind w:left="0" w:right="0"/>
              <w:jc w:val="center"/>
              <w:rPr>
                <w:rFonts w:hint="default"/>
                <w:kern w:val="0"/>
                <w:sz w:val="21"/>
                <w:szCs w:val="21"/>
                <w:highlight w:val="none"/>
              </w:rPr>
            </w:pPr>
            <w:r>
              <w:rPr>
                <w:rFonts w:hint="eastAsia"/>
                <w:kern w:val="0"/>
                <w:sz w:val="21"/>
                <w:szCs w:val="21"/>
                <w:highlight w:val="none"/>
              </w:rPr>
              <w:t>保</w:t>
            </w:r>
            <w:r>
              <w:rPr>
                <w:rFonts w:hint="eastAsia" w:hAnsi="宋体"/>
                <w:kern w:val="0"/>
                <w:sz w:val="21"/>
                <w:szCs w:val="21"/>
                <w:highlight w:val="none"/>
              </w:rPr>
              <w:t>护</w:t>
            </w:r>
          </w:p>
          <w:p w14:paraId="36D0B347">
            <w:pPr>
              <w:keepNext w:val="0"/>
              <w:keepLines w:val="0"/>
              <w:suppressLineNumbers w:val="0"/>
              <w:adjustRightInd w:val="0"/>
              <w:snapToGrid w:val="0"/>
              <w:spacing w:before="0" w:beforeAutospacing="0" w:after="0" w:afterAutospacing="0"/>
              <w:ind w:left="0" w:right="0"/>
              <w:jc w:val="center"/>
              <w:rPr>
                <w:rFonts w:hint="default"/>
                <w:kern w:val="0"/>
                <w:sz w:val="21"/>
                <w:szCs w:val="21"/>
                <w:highlight w:val="none"/>
              </w:rPr>
            </w:pPr>
            <w:r>
              <w:rPr>
                <w:rFonts w:hint="eastAsia" w:hAnsi="宋体"/>
                <w:kern w:val="0"/>
                <w:sz w:val="21"/>
                <w:szCs w:val="21"/>
                <w:highlight w:val="none"/>
              </w:rPr>
              <w:t>目标</w:t>
            </w:r>
          </w:p>
          <w:p w14:paraId="3E2E03EA">
            <w:pPr>
              <w:keepNext w:val="0"/>
              <w:keepLines w:val="0"/>
              <w:suppressLineNumbers w:val="0"/>
              <w:adjustRightInd w:val="0"/>
              <w:snapToGrid w:val="0"/>
              <w:spacing w:before="0" w:beforeAutospacing="0" w:after="0" w:afterAutospacing="0"/>
              <w:ind w:left="0" w:right="0"/>
              <w:jc w:val="center"/>
              <w:rPr>
                <w:rFonts w:hint="default"/>
                <w:kern w:val="0"/>
                <w:sz w:val="21"/>
                <w:szCs w:val="21"/>
                <w:highlight w:val="none"/>
              </w:rPr>
            </w:pPr>
          </w:p>
          <w:p w14:paraId="7DB43D47">
            <w:pPr>
              <w:keepNext w:val="0"/>
              <w:keepLines w:val="0"/>
              <w:suppressLineNumbers w:val="0"/>
              <w:adjustRightInd w:val="0"/>
              <w:snapToGrid w:val="0"/>
              <w:spacing w:before="0" w:beforeAutospacing="0" w:after="0" w:afterAutospacing="0"/>
              <w:ind w:left="0" w:right="0"/>
              <w:jc w:val="center"/>
              <w:rPr>
                <w:rFonts w:hint="default"/>
                <w:kern w:val="0"/>
                <w:sz w:val="21"/>
                <w:szCs w:val="21"/>
                <w:highlight w:val="none"/>
              </w:rPr>
            </w:pPr>
          </w:p>
          <w:p w14:paraId="696F0A13">
            <w:pPr>
              <w:keepNext w:val="0"/>
              <w:keepLines w:val="0"/>
              <w:suppressLineNumbers w:val="0"/>
              <w:adjustRightInd w:val="0"/>
              <w:snapToGrid w:val="0"/>
              <w:spacing w:before="0" w:beforeAutospacing="0" w:after="0" w:afterAutospacing="0"/>
              <w:ind w:left="0" w:right="0"/>
              <w:jc w:val="center"/>
              <w:rPr>
                <w:rFonts w:hint="default"/>
                <w:kern w:val="0"/>
                <w:sz w:val="21"/>
                <w:szCs w:val="21"/>
                <w:highlight w:val="none"/>
              </w:rPr>
            </w:pPr>
          </w:p>
        </w:tc>
        <w:tc>
          <w:tcPr>
            <w:tcW w:w="8583" w:type="dxa"/>
          </w:tcPr>
          <w:p w14:paraId="107B110F">
            <w:pPr>
              <w:keepNext w:val="0"/>
              <w:keepLines w:val="0"/>
              <w:numPr>
                <w:ilvl w:val="0"/>
                <w:numId w:val="0"/>
              </w:numPr>
              <w:suppressLineNumbers w:val="0"/>
              <w:tabs>
                <w:tab w:val="left" w:pos="2625"/>
              </w:tabs>
              <w:adjustRightInd w:val="0"/>
              <w:snapToGrid w:val="0"/>
              <w:spacing w:before="0" w:beforeAutospacing="0" w:after="0" w:afterAutospacing="0" w:line="360" w:lineRule="auto"/>
              <w:ind w:left="0" w:right="0"/>
              <w:jc w:val="both"/>
              <w:rPr>
                <w:rFonts w:hint="eastAsia" w:hAnsi="宋体"/>
                <w:b/>
                <w:bCs/>
                <w:kern w:val="0"/>
                <w:sz w:val="24"/>
                <w:highlight w:val="none"/>
                <w:lang w:val="en-US" w:eastAsia="zh-CN"/>
              </w:rPr>
            </w:pPr>
            <w:r>
              <w:rPr>
                <w:rFonts w:hint="eastAsia" w:hAnsi="宋体"/>
                <w:b/>
                <w:bCs/>
                <w:kern w:val="0"/>
                <w:sz w:val="24"/>
                <w:highlight w:val="none"/>
                <w:lang w:val="en-US" w:eastAsia="zh-CN"/>
              </w:rPr>
              <w:t>1、大气环境</w:t>
            </w:r>
          </w:p>
          <w:p w14:paraId="10880361">
            <w:pPr>
              <w:keepNext w:val="0"/>
              <w:keepLines w:val="0"/>
              <w:numPr>
                <w:ilvl w:val="0"/>
                <w:numId w:val="0"/>
              </w:numPr>
              <w:suppressLineNumbers w:val="0"/>
              <w:tabs>
                <w:tab w:val="left" w:pos="2625"/>
              </w:tabs>
              <w:adjustRightInd w:val="0"/>
              <w:snapToGrid w:val="0"/>
              <w:spacing w:before="0" w:beforeAutospacing="0" w:after="0" w:afterAutospacing="0" w:line="360" w:lineRule="auto"/>
              <w:ind w:left="0" w:right="0" w:firstLine="480" w:firstLineChars="200"/>
              <w:jc w:val="both"/>
              <w:rPr>
                <w:rFonts w:hint="eastAsia" w:hAnsi="宋体"/>
                <w:b w:val="0"/>
                <w:bCs w:val="0"/>
                <w:kern w:val="0"/>
                <w:sz w:val="24"/>
                <w:highlight w:val="none"/>
                <w:lang w:val="en-US" w:eastAsia="zh-CN"/>
              </w:rPr>
            </w:pPr>
            <w:r>
              <w:rPr>
                <w:rFonts w:hint="eastAsia" w:hAnsi="宋体"/>
                <w:b w:val="0"/>
                <w:bCs w:val="0"/>
                <w:kern w:val="0"/>
                <w:sz w:val="24"/>
                <w:highlight w:val="none"/>
                <w:lang w:val="en-US" w:eastAsia="zh-CN"/>
              </w:rPr>
              <w:t>（1）内部环境保护目标</w:t>
            </w:r>
          </w:p>
          <w:p w14:paraId="44168D0E">
            <w:pPr>
              <w:keepNext w:val="0"/>
              <w:keepLines w:val="0"/>
              <w:numPr>
                <w:ilvl w:val="0"/>
                <w:numId w:val="0"/>
              </w:numPr>
              <w:suppressLineNumbers w:val="0"/>
              <w:tabs>
                <w:tab w:val="left" w:pos="2625"/>
              </w:tabs>
              <w:adjustRightInd w:val="0"/>
              <w:snapToGrid w:val="0"/>
              <w:spacing w:before="0" w:beforeAutospacing="0" w:after="0" w:afterAutospacing="0" w:line="360" w:lineRule="auto"/>
              <w:ind w:left="0" w:right="0" w:firstLine="480" w:firstLineChars="200"/>
              <w:jc w:val="both"/>
              <w:rPr>
                <w:rFonts w:hint="eastAsia" w:hAnsi="宋体"/>
                <w:b w:val="0"/>
                <w:bCs w:val="0"/>
                <w:kern w:val="0"/>
                <w:sz w:val="24"/>
                <w:highlight w:val="none"/>
                <w:lang w:val="en-US" w:eastAsia="zh-CN"/>
              </w:rPr>
            </w:pPr>
            <w:r>
              <w:rPr>
                <w:rFonts w:hint="eastAsia" w:hAnsi="宋体"/>
                <w:b w:val="0"/>
                <w:bCs w:val="0"/>
                <w:kern w:val="0"/>
                <w:sz w:val="24"/>
                <w:highlight w:val="none"/>
                <w:lang w:val="en-US" w:eastAsia="zh-CN"/>
              </w:rPr>
              <w:t>项目本身也是环境保护目标，可能受到饲养废气以及外环境中的各种污染因素的影响。</w:t>
            </w:r>
          </w:p>
          <w:p w14:paraId="692DC1A7">
            <w:pPr>
              <w:keepNext w:val="0"/>
              <w:keepLines w:val="0"/>
              <w:numPr>
                <w:ilvl w:val="0"/>
                <w:numId w:val="0"/>
              </w:numPr>
              <w:suppressLineNumbers w:val="0"/>
              <w:tabs>
                <w:tab w:val="left" w:pos="2625"/>
              </w:tabs>
              <w:adjustRightInd w:val="0"/>
              <w:snapToGrid w:val="0"/>
              <w:spacing w:before="0" w:beforeAutospacing="0" w:after="0" w:afterAutospacing="0" w:line="360" w:lineRule="auto"/>
              <w:ind w:left="0" w:right="0" w:firstLine="480" w:firstLineChars="200"/>
              <w:jc w:val="both"/>
              <w:rPr>
                <w:rFonts w:hint="eastAsia" w:hAnsi="宋体"/>
                <w:b w:val="0"/>
                <w:bCs w:val="0"/>
                <w:kern w:val="0"/>
                <w:sz w:val="24"/>
                <w:highlight w:val="none"/>
                <w:lang w:val="en-US" w:eastAsia="zh-CN"/>
              </w:rPr>
            </w:pPr>
            <w:r>
              <w:rPr>
                <w:rFonts w:hint="eastAsia" w:hAnsi="宋体"/>
                <w:b w:val="0"/>
                <w:bCs w:val="0"/>
                <w:kern w:val="0"/>
                <w:sz w:val="24"/>
                <w:highlight w:val="none"/>
                <w:lang w:val="en-US" w:eastAsia="zh-CN"/>
              </w:rPr>
              <w:t>（2）外部环境保护目标</w:t>
            </w:r>
          </w:p>
          <w:p w14:paraId="730F982E">
            <w:pPr>
              <w:keepNext w:val="0"/>
              <w:keepLines w:val="0"/>
              <w:numPr>
                <w:ilvl w:val="0"/>
                <w:numId w:val="0"/>
              </w:numPr>
              <w:suppressLineNumbers w:val="0"/>
              <w:tabs>
                <w:tab w:val="left" w:pos="2625"/>
              </w:tabs>
              <w:adjustRightInd w:val="0"/>
              <w:snapToGrid w:val="0"/>
              <w:spacing w:before="0" w:beforeAutospacing="0" w:after="0" w:afterAutospacing="0" w:line="360" w:lineRule="auto"/>
              <w:ind w:left="0" w:right="0" w:firstLine="480" w:firstLineChars="200"/>
              <w:jc w:val="both"/>
              <w:rPr>
                <w:rFonts w:hint="eastAsia" w:hAnsi="宋体"/>
                <w:b w:val="0"/>
                <w:bCs w:val="0"/>
                <w:kern w:val="0"/>
                <w:sz w:val="24"/>
                <w:highlight w:val="none"/>
                <w:lang w:val="en-US" w:eastAsia="zh-CN"/>
              </w:rPr>
            </w:pPr>
            <w:r>
              <w:rPr>
                <w:rFonts w:hint="eastAsia" w:hAnsi="宋体"/>
                <w:b w:val="0"/>
                <w:bCs w:val="0"/>
                <w:kern w:val="0"/>
                <w:sz w:val="24"/>
                <w:highlight w:val="none"/>
                <w:lang w:val="en-US" w:eastAsia="zh-CN"/>
              </w:rPr>
              <w:t>本项目外部环境保护目标主要为项目建设地周边500m范围内的居住区、研究院、学校和医院。</w:t>
            </w:r>
          </w:p>
          <w:p w14:paraId="1CED6659">
            <w:pPr>
              <w:keepNext w:val="0"/>
              <w:keepLines w:val="0"/>
              <w:numPr>
                <w:ilvl w:val="0"/>
                <w:numId w:val="0"/>
              </w:numPr>
              <w:suppressLineNumbers w:val="0"/>
              <w:tabs>
                <w:tab w:val="left" w:pos="2625"/>
              </w:tabs>
              <w:adjustRightInd w:val="0"/>
              <w:snapToGrid w:val="0"/>
              <w:spacing w:before="0" w:beforeAutospacing="0" w:after="0" w:afterAutospacing="0" w:line="360" w:lineRule="auto"/>
              <w:ind w:left="0" w:right="0"/>
              <w:jc w:val="both"/>
              <w:rPr>
                <w:rFonts w:hint="eastAsia" w:hAnsi="宋体"/>
                <w:b/>
                <w:bCs/>
                <w:kern w:val="0"/>
                <w:sz w:val="24"/>
                <w:highlight w:val="none"/>
                <w:lang w:val="en-US" w:eastAsia="zh-CN"/>
              </w:rPr>
            </w:pPr>
            <w:r>
              <w:rPr>
                <w:rFonts w:hint="eastAsia" w:hAnsi="宋体"/>
                <w:b/>
                <w:bCs/>
                <w:kern w:val="0"/>
                <w:sz w:val="24"/>
                <w:highlight w:val="none"/>
                <w:lang w:val="en-US" w:eastAsia="zh-CN"/>
              </w:rPr>
              <w:t>2、声环境</w:t>
            </w:r>
          </w:p>
          <w:p w14:paraId="6EC9D1B0">
            <w:pPr>
              <w:keepNext w:val="0"/>
              <w:keepLines w:val="0"/>
              <w:numPr>
                <w:ilvl w:val="0"/>
                <w:numId w:val="0"/>
              </w:numPr>
              <w:suppressLineNumbers w:val="0"/>
              <w:tabs>
                <w:tab w:val="left" w:pos="2625"/>
              </w:tabs>
              <w:adjustRightInd w:val="0"/>
              <w:snapToGrid w:val="0"/>
              <w:spacing w:before="0" w:beforeAutospacing="0" w:after="0" w:afterAutospacing="0" w:line="360" w:lineRule="auto"/>
              <w:ind w:left="0" w:right="0" w:firstLine="480" w:firstLineChars="200"/>
              <w:jc w:val="both"/>
              <w:rPr>
                <w:rFonts w:hint="eastAsia" w:hAnsi="宋体"/>
                <w:b w:val="0"/>
                <w:bCs w:val="0"/>
                <w:kern w:val="0"/>
                <w:sz w:val="24"/>
                <w:highlight w:val="none"/>
                <w:lang w:val="en-US" w:eastAsia="zh-CN"/>
              </w:rPr>
            </w:pPr>
            <w:r>
              <w:rPr>
                <w:rFonts w:hint="eastAsia" w:hAnsi="宋体"/>
                <w:b w:val="0"/>
                <w:bCs w:val="0"/>
                <w:kern w:val="0"/>
                <w:sz w:val="24"/>
                <w:highlight w:val="none"/>
                <w:lang w:val="en-US" w:eastAsia="zh-CN"/>
              </w:rPr>
              <w:t>项目场界外50m范围内的声环境保护目标主要为研究院、学校和医院。</w:t>
            </w:r>
          </w:p>
          <w:p w14:paraId="73FBBB1B">
            <w:pPr>
              <w:keepNext w:val="0"/>
              <w:keepLines w:val="0"/>
              <w:numPr>
                <w:ilvl w:val="0"/>
                <w:numId w:val="0"/>
              </w:numPr>
              <w:suppressLineNumbers w:val="0"/>
              <w:tabs>
                <w:tab w:val="left" w:pos="2625"/>
              </w:tabs>
              <w:adjustRightInd w:val="0"/>
              <w:snapToGrid w:val="0"/>
              <w:spacing w:before="0" w:beforeAutospacing="0" w:after="0" w:afterAutospacing="0" w:line="360" w:lineRule="auto"/>
              <w:ind w:left="0" w:right="0"/>
              <w:jc w:val="both"/>
              <w:rPr>
                <w:rFonts w:hint="eastAsia" w:hAnsi="宋体"/>
                <w:b/>
                <w:bCs/>
                <w:kern w:val="0"/>
                <w:sz w:val="24"/>
                <w:highlight w:val="none"/>
                <w:lang w:val="en-US" w:eastAsia="zh-CN"/>
              </w:rPr>
            </w:pPr>
            <w:r>
              <w:rPr>
                <w:rFonts w:hint="eastAsia" w:hAnsi="宋体"/>
                <w:b/>
                <w:bCs/>
                <w:kern w:val="0"/>
                <w:sz w:val="24"/>
                <w:highlight w:val="none"/>
                <w:lang w:val="en-US" w:eastAsia="zh-CN"/>
              </w:rPr>
              <w:t>3、地下水环境</w:t>
            </w:r>
          </w:p>
          <w:p w14:paraId="5320401B">
            <w:pPr>
              <w:keepNext w:val="0"/>
              <w:keepLines w:val="0"/>
              <w:numPr>
                <w:ilvl w:val="0"/>
                <w:numId w:val="0"/>
              </w:numPr>
              <w:suppressLineNumbers w:val="0"/>
              <w:tabs>
                <w:tab w:val="left" w:pos="2625"/>
              </w:tabs>
              <w:adjustRightInd w:val="0"/>
              <w:snapToGrid w:val="0"/>
              <w:spacing w:before="0" w:beforeAutospacing="0" w:after="0" w:afterAutospacing="0" w:line="360" w:lineRule="auto"/>
              <w:ind w:left="0" w:right="0" w:firstLine="480" w:firstLineChars="200"/>
              <w:jc w:val="both"/>
              <w:rPr>
                <w:rFonts w:hint="eastAsia" w:hAnsi="宋体"/>
                <w:b w:val="0"/>
                <w:bCs w:val="0"/>
                <w:kern w:val="0"/>
                <w:sz w:val="24"/>
                <w:highlight w:val="none"/>
                <w:lang w:val="en-US" w:eastAsia="zh-CN"/>
              </w:rPr>
            </w:pPr>
            <w:r>
              <w:rPr>
                <w:rFonts w:hint="eastAsia" w:hAnsi="宋体"/>
                <w:b w:val="0"/>
                <w:bCs w:val="0"/>
                <w:kern w:val="0"/>
                <w:sz w:val="24"/>
                <w:highlight w:val="none"/>
                <w:lang w:val="en-US" w:eastAsia="zh-CN"/>
              </w:rPr>
              <w:t>本项目场界外周边500m范围内无地下水集中式饮用水水源和热水、矿泉水、温泉等特殊地下水资源。</w:t>
            </w:r>
          </w:p>
          <w:p w14:paraId="58342CFF">
            <w:pPr>
              <w:keepNext w:val="0"/>
              <w:keepLines w:val="0"/>
              <w:numPr>
                <w:ilvl w:val="0"/>
                <w:numId w:val="0"/>
              </w:numPr>
              <w:suppressLineNumbers w:val="0"/>
              <w:tabs>
                <w:tab w:val="left" w:pos="2625"/>
              </w:tabs>
              <w:adjustRightInd w:val="0"/>
              <w:snapToGrid w:val="0"/>
              <w:spacing w:before="0" w:beforeAutospacing="0" w:after="0" w:afterAutospacing="0" w:line="360" w:lineRule="auto"/>
              <w:ind w:left="0" w:right="0"/>
              <w:jc w:val="both"/>
              <w:rPr>
                <w:rFonts w:hint="eastAsia" w:hAnsi="宋体"/>
                <w:b/>
                <w:bCs/>
                <w:kern w:val="0"/>
                <w:sz w:val="24"/>
                <w:highlight w:val="none"/>
                <w:lang w:val="en-US" w:eastAsia="zh-CN"/>
              </w:rPr>
            </w:pPr>
            <w:r>
              <w:rPr>
                <w:rFonts w:hint="eastAsia" w:hAnsi="宋体"/>
                <w:b/>
                <w:bCs/>
                <w:kern w:val="0"/>
                <w:sz w:val="24"/>
                <w:highlight w:val="none"/>
                <w:lang w:val="en-US" w:eastAsia="zh-CN"/>
              </w:rPr>
              <w:t>4、生态环境</w:t>
            </w:r>
          </w:p>
          <w:p w14:paraId="03568F6B">
            <w:pPr>
              <w:keepNext w:val="0"/>
              <w:keepLines w:val="0"/>
              <w:numPr>
                <w:ilvl w:val="0"/>
                <w:numId w:val="0"/>
              </w:numPr>
              <w:suppressLineNumbers w:val="0"/>
              <w:tabs>
                <w:tab w:val="left" w:pos="2625"/>
              </w:tabs>
              <w:adjustRightInd w:val="0"/>
              <w:snapToGrid w:val="0"/>
              <w:spacing w:before="0" w:beforeAutospacing="0" w:after="0" w:afterAutospacing="0" w:line="360" w:lineRule="auto"/>
              <w:ind w:left="0" w:right="0" w:firstLine="480" w:firstLineChars="200"/>
              <w:jc w:val="both"/>
              <w:rPr>
                <w:rFonts w:hint="eastAsia" w:hAnsi="宋体"/>
                <w:b w:val="0"/>
                <w:bCs w:val="0"/>
                <w:kern w:val="0"/>
                <w:sz w:val="24"/>
                <w:highlight w:val="none"/>
                <w:lang w:val="en-US" w:eastAsia="zh-CN"/>
              </w:rPr>
            </w:pPr>
            <w:r>
              <w:rPr>
                <w:rFonts w:hint="eastAsia" w:hAnsi="宋体"/>
                <w:b w:val="0"/>
                <w:bCs w:val="0"/>
                <w:kern w:val="0"/>
                <w:sz w:val="24"/>
                <w:highlight w:val="none"/>
                <w:lang w:val="en-US" w:eastAsia="zh-CN"/>
              </w:rPr>
              <w:t>项目用地范围内不涉及生态环境保护目标。</w:t>
            </w:r>
          </w:p>
          <w:p w14:paraId="29532594">
            <w:pPr>
              <w:keepNext w:val="0"/>
              <w:keepLines w:val="0"/>
              <w:numPr>
                <w:ilvl w:val="0"/>
                <w:numId w:val="0"/>
              </w:numPr>
              <w:suppressLineNumbers w:val="0"/>
              <w:tabs>
                <w:tab w:val="left" w:pos="2625"/>
              </w:tabs>
              <w:adjustRightInd w:val="0"/>
              <w:snapToGrid w:val="0"/>
              <w:spacing w:before="0" w:beforeAutospacing="0" w:after="0" w:afterAutospacing="0" w:line="360" w:lineRule="auto"/>
              <w:ind w:left="0" w:right="0"/>
              <w:jc w:val="both"/>
              <w:rPr>
                <w:rFonts w:hint="eastAsia" w:hAnsi="宋体"/>
                <w:b/>
                <w:bCs/>
                <w:kern w:val="0"/>
                <w:sz w:val="24"/>
                <w:highlight w:val="none"/>
                <w:lang w:val="en-US" w:eastAsia="zh-CN"/>
              </w:rPr>
            </w:pPr>
            <w:r>
              <w:rPr>
                <w:rFonts w:hint="eastAsia" w:hAnsi="宋体"/>
                <w:b/>
                <w:bCs/>
                <w:kern w:val="0"/>
                <w:sz w:val="24"/>
                <w:highlight w:val="none"/>
                <w:lang w:val="en-US" w:eastAsia="zh-CN"/>
              </w:rPr>
              <w:t>5、汇总</w:t>
            </w:r>
          </w:p>
          <w:p w14:paraId="47A95B1F">
            <w:pPr>
              <w:keepNext w:val="0"/>
              <w:keepLines w:val="0"/>
              <w:suppressLineNumbers w:val="0"/>
              <w:tabs>
                <w:tab w:val="left" w:pos="2625"/>
              </w:tabs>
              <w:adjustRightInd w:val="0"/>
              <w:snapToGrid w:val="0"/>
              <w:spacing w:before="0" w:beforeAutospacing="0" w:after="0" w:afterAutospacing="0" w:line="360" w:lineRule="auto"/>
              <w:ind w:left="0" w:right="0" w:firstLine="480" w:firstLineChars="200"/>
              <w:rPr>
                <w:rFonts w:hint="eastAsia" w:cs="Times New Roman"/>
                <w:color w:val="auto"/>
                <w:kern w:val="0"/>
                <w:highlight w:val="none"/>
                <w:lang w:val="en-US" w:eastAsia="zh-CN"/>
              </w:rPr>
            </w:pPr>
            <w:r>
              <w:rPr>
                <w:rFonts w:hint="eastAsia" w:ascii="Times New Roman" w:hAnsi="Times New Roman" w:eastAsia="宋体" w:cs="Times New Roman"/>
                <w:color w:val="auto"/>
                <w:kern w:val="0"/>
                <w:highlight w:val="none"/>
              </w:rPr>
              <w:t>根据现场踏勘结果，结合项目生产特点及区域环境现状，本项目周边主要环境保护目标见表</w:t>
            </w:r>
            <w:r>
              <w:rPr>
                <w:rFonts w:hint="default" w:ascii="Times New Roman" w:hAnsi="Times New Roman" w:eastAsia="宋体" w:cs="Times New Roman"/>
                <w:color w:val="auto"/>
                <w:kern w:val="0"/>
                <w:highlight w:val="none"/>
              </w:rPr>
              <w:t>3-</w:t>
            </w:r>
            <w:r>
              <w:rPr>
                <w:rFonts w:hint="eastAsia" w:cs="Times New Roman"/>
                <w:color w:val="auto"/>
                <w:kern w:val="0"/>
                <w:highlight w:val="none"/>
                <w:lang w:val="en-US" w:eastAsia="zh-CN"/>
              </w:rPr>
              <w:t>4</w:t>
            </w:r>
            <w:r>
              <w:rPr>
                <w:rFonts w:hint="eastAsia" w:ascii="Times New Roman" w:hAnsi="Times New Roman" w:eastAsia="宋体" w:cs="Times New Roman"/>
                <w:color w:val="auto"/>
                <w:kern w:val="0"/>
                <w:highlight w:val="none"/>
              </w:rPr>
              <w:t>，主要环境保护目标位置分布见图</w:t>
            </w:r>
            <w:r>
              <w:rPr>
                <w:rFonts w:hint="default" w:ascii="Times New Roman" w:hAnsi="Times New Roman" w:eastAsia="宋体" w:cs="Times New Roman"/>
                <w:color w:val="auto"/>
                <w:kern w:val="0"/>
                <w:highlight w:val="none"/>
              </w:rPr>
              <w:t>3-</w:t>
            </w:r>
            <w:r>
              <w:rPr>
                <w:rFonts w:hint="eastAsia" w:cs="Times New Roman"/>
                <w:color w:val="auto"/>
                <w:kern w:val="0"/>
                <w:highlight w:val="none"/>
                <w:lang w:val="en-US" w:eastAsia="zh-CN"/>
              </w:rPr>
              <w:t>3。</w:t>
            </w:r>
          </w:p>
          <w:p w14:paraId="79F458B1">
            <w:pPr>
              <w:pStyle w:val="18"/>
              <w:keepNext w:val="0"/>
              <w:keepLines w:val="0"/>
              <w:suppressLineNumbers w:val="0"/>
              <w:tabs>
                <w:tab w:val="left" w:pos="2625"/>
              </w:tabs>
              <w:adjustRightInd w:val="0"/>
              <w:snapToGrid w:val="0"/>
              <w:spacing w:before="0" w:beforeAutospacing="0" w:after="0" w:afterAutospacing="0" w:line="360" w:lineRule="auto"/>
              <w:ind w:left="0" w:leftChars="0" w:right="0"/>
              <w:jc w:val="center"/>
              <w:rPr>
                <w:rFonts w:hint="default" w:hAnsi="宋体"/>
                <w:b/>
                <w:kern w:val="0"/>
                <w:highlight w:val="none"/>
              </w:rPr>
            </w:pPr>
            <w:r>
              <w:rPr>
                <w:rFonts w:hint="eastAsia" w:hAnsi="宋体"/>
                <w:b/>
                <w:kern w:val="0"/>
                <w:highlight w:val="none"/>
              </w:rPr>
              <w:t>表</w:t>
            </w:r>
            <w:r>
              <w:rPr>
                <w:rFonts w:hint="default" w:hAnsi="宋体"/>
                <w:b/>
                <w:kern w:val="0"/>
                <w:highlight w:val="none"/>
              </w:rPr>
              <w:t>3-</w:t>
            </w:r>
            <w:r>
              <w:rPr>
                <w:rFonts w:hint="eastAsia" w:hAnsi="宋体"/>
                <w:b/>
                <w:kern w:val="0"/>
                <w:highlight w:val="none"/>
                <w:lang w:val="en-US" w:eastAsia="zh-CN"/>
              </w:rPr>
              <w:t>4</w:t>
            </w:r>
            <w:r>
              <w:rPr>
                <w:rFonts w:hint="default" w:hAnsi="宋体"/>
                <w:b/>
                <w:kern w:val="0"/>
                <w:highlight w:val="none"/>
              </w:rPr>
              <w:t xml:space="preserve"> </w:t>
            </w:r>
            <w:r>
              <w:rPr>
                <w:rFonts w:hint="eastAsia" w:hAnsi="宋体"/>
                <w:b/>
                <w:kern w:val="0"/>
                <w:highlight w:val="none"/>
              </w:rPr>
              <w:t>主要环境保护目标一览表</w:t>
            </w:r>
          </w:p>
          <w:tbl>
            <w:tblPr>
              <w:tblStyle w:val="32"/>
              <w:tblW w:w="4998"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28" w:type="dxa"/>
                <w:bottom w:w="0" w:type="dxa"/>
                <w:right w:w="28" w:type="dxa"/>
              </w:tblCellMar>
            </w:tblPr>
            <w:tblGrid>
              <w:gridCol w:w="1380"/>
              <w:gridCol w:w="435"/>
              <w:gridCol w:w="2370"/>
              <w:gridCol w:w="1380"/>
              <w:gridCol w:w="1281"/>
              <w:gridCol w:w="540"/>
              <w:gridCol w:w="968"/>
            </w:tblGrid>
            <w:tr w14:paraId="4733BE1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151" w:hRule="atLeast"/>
                <w:jc w:val="center"/>
              </w:trPr>
              <w:tc>
                <w:tcPr>
                  <w:tcW w:w="825" w:type="pct"/>
                  <w:vMerge w:val="restart"/>
                  <w:tcBorders>
                    <w:top w:val="single" w:color="auto" w:sz="4" w:space="0"/>
                    <w:left w:val="single" w:color="auto" w:sz="4" w:space="0"/>
                    <w:right w:val="single" w:color="auto" w:sz="4" w:space="0"/>
                  </w:tcBorders>
                  <w:tcMar>
                    <w:left w:w="57" w:type="dxa"/>
                    <w:right w:w="57" w:type="dxa"/>
                  </w:tcMar>
                  <w:vAlign w:val="center"/>
                </w:tcPr>
                <w:p w14:paraId="492B27ED">
                  <w:pPr>
                    <w:pStyle w:val="85"/>
                    <w:keepNext w:val="0"/>
                    <w:keepLines w:val="0"/>
                    <w:suppressLineNumbers w:val="0"/>
                    <w:tabs>
                      <w:tab w:val="left" w:pos="2625"/>
                    </w:tabs>
                    <w:adjustRightInd w:val="0"/>
                    <w:snapToGrid w:val="0"/>
                    <w:spacing w:before="0" w:beforeAutospacing="0" w:after="0" w:afterAutospacing="0" w:line="276" w:lineRule="auto"/>
                    <w:ind w:left="0" w:right="0" w:firstLine="0" w:firstLineChars="0"/>
                    <w:jc w:val="center"/>
                    <w:rPr>
                      <w:rFonts w:hint="default" w:eastAsia="宋体"/>
                      <w:kern w:val="0"/>
                      <w:sz w:val="21"/>
                      <w:szCs w:val="21"/>
                      <w:highlight w:val="none"/>
                    </w:rPr>
                  </w:pPr>
                  <w:r>
                    <w:rPr>
                      <w:rFonts w:hint="eastAsia" w:eastAsia="宋体"/>
                      <w:kern w:val="0"/>
                      <w:sz w:val="21"/>
                      <w:szCs w:val="21"/>
                      <w:highlight w:val="none"/>
                    </w:rPr>
                    <w:t>环境要素</w:t>
                  </w:r>
                </w:p>
              </w:tc>
              <w:tc>
                <w:tcPr>
                  <w:tcW w:w="260" w:type="pct"/>
                  <w:vMerge w:val="restart"/>
                  <w:tcBorders>
                    <w:top w:val="single" w:color="auto" w:sz="4" w:space="0"/>
                    <w:left w:val="single" w:color="auto" w:sz="4" w:space="0"/>
                    <w:right w:val="single" w:color="auto" w:sz="4" w:space="0"/>
                  </w:tcBorders>
                  <w:tcMar>
                    <w:left w:w="57" w:type="dxa"/>
                    <w:right w:w="57" w:type="dxa"/>
                  </w:tcMar>
                  <w:vAlign w:val="center"/>
                </w:tcPr>
                <w:p w14:paraId="09324176">
                  <w:pPr>
                    <w:pStyle w:val="85"/>
                    <w:keepNext w:val="0"/>
                    <w:keepLines w:val="0"/>
                    <w:suppressLineNumbers w:val="0"/>
                    <w:tabs>
                      <w:tab w:val="left" w:pos="2625"/>
                    </w:tabs>
                    <w:adjustRightInd w:val="0"/>
                    <w:snapToGrid w:val="0"/>
                    <w:spacing w:before="0" w:beforeAutospacing="0" w:after="0" w:afterAutospacing="0" w:line="276" w:lineRule="auto"/>
                    <w:ind w:left="0" w:right="0" w:firstLine="0" w:firstLineChars="0"/>
                    <w:jc w:val="center"/>
                    <w:rPr>
                      <w:rFonts w:hint="default" w:eastAsia="宋体"/>
                      <w:kern w:val="0"/>
                      <w:sz w:val="21"/>
                      <w:szCs w:val="21"/>
                      <w:highlight w:val="none"/>
                    </w:rPr>
                  </w:pPr>
                  <w:r>
                    <w:rPr>
                      <w:rFonts w:hint="eastAsia" w:eastAsia="宋体"/>
                      <w:kern w:val="0"/>
                      <w:sz w:val="21"/>
                      <w:szCs w:val="21"/>
                      <w:highlight w:val="none"/>
                    </w:rPr>
                    <w:t>序号</w:t>
                  </w:r>
                </w:p>
              </w:tc>
              <w:tc>
                <w:tcPr>
                  <w:tcW w:w="1418" w:type="pct"/>
                  <w:vMerge w:val="restart"/>
                  <w:tcBorders>
                    <w:top w:val="single" w:color="auto" w:sz="4" w:space="0"/>
                    <w:left w:val="single" w:color="auto" w:sz="4" w:space="0"/>
                    <w:right w:val="single" w:color="auto" w:sz="4" w:space="0"/>
                  </w:tcBorders>
                  <w:tcMar>
                    <w:left w:w="57" w:type="dxa"/>
                    <w:right w:w="57" w:type="dxa"/>
                  </w:tcMar>
                  <w:vAlign w:val="center"/>
                </w:tcPr>
                <w:p w14:paraId="612EC0C9">
                  <w:pPr>
                    <w:pStyle w:val="18"/>
                    <w:keepNext w:val="0"/>
                    <w:keepLines w:val="0"/>
                    <w:suppressLineNumbers w:val="0"/>
                    <w:tabs>
                      <w:tab w:val="left" w:pos="2625"/>
                    </w:tabs>
                    <w:adjustRightInd w:val="0"/>
                    <w:snapToGrid w:val="0"/>
                    <w:spacing w:before="0" w:beforeAutospacing="0" w:after="0" w:afterAutospacing="0" w:line="276" w:lineRule="auto"/>
                    <w:ind w:left="0" w:leftChars="0" w:right="0"/>
                    <w:jc w:val="center"/>
                    <w:rPr>
                      <w:rFonts w:hint="default"/>
                      <w:kern w:val="0"/>
                      <w:sz w:val="21"/>
                      <w:szCs w:val="21"/>
                      <w:highlight w:val="none"/>
                    </w:rPr>
                  </w:pPr>
                  <w:r>
                    <w:rPr>
                      <w:rFonts w:hint="eastAsia"/>
                      <w:kern w:val="0"/>
                      <w:sz w:val="21"/>
                      <w:szCs w:val="21"/>
                      <w:highlight w:val="none"/>
                    </w:rPr>
                    <w:t>保护目标</w:t>
                  </w:r>
                </w:p>
              </w:tc>
              <w:tc>
                <w:tcPr>
                  <w:tcW w:w="1592" w:type="pct"/>
                  <w:gridSpan w:val="2"/>
                  <w:tcBorders>
                    <w:top w:val="single" w:color="auto" w:sz="4" w:space="0"/>
                    <w:left w:val="single" w:color="auto" w:sz="4" w:space="0"/>
                    <w:bottom w:val="single" w:color="auto" w:sz="4" w:space="0"/>
                    <w:right w:val="single" w:color="auto" w:sz="4" w:space="0"/>
                  </w:tcBorders>
                  <w:tcMar>
                    <w:left w:w="57" w:type="dxa"/>
                    <w:right w:w="57" w:type="dxa"/>
                  </w:tcMar>
                  <w:vAlign w:val="center"/>
                </w:tcPr>
                <w:p w14:paraId="5EC642A2">
                  <w:pPr>
                    <w:pStyle w:val="18"/>
                    <w:keepNext w:val="0"/>
                    <w:keepLines w:val="0"/>
                    <w:suppressLineNumbers w:val="0"/>
                    <w:tabs>
                      <w:tab w:val="left" w:pos="2625"/>
                    </w:tabs>
                    <w:adjustRightInd w:val="0"/>
                    <w:snapToGrid w:val="0"/>
                    <w:spacing w:before="0" w:beforeAutospacing="0" w:after="0" w:afterAutospacing="0" w:line="276" w:lineRule="auto"/>
                    <w:ind w:left="0" w:leftChars="0" w:right="0"/>
                    <w:jc w:val="center"/>
                    <w:rPr>
                      <w:rFonts w:hint="eastAsia" w:eastAsia="宋体"/>
                      <w:kern w:val="0"/>
                      <w:sz w:val="21"/>
                      <w:szCs w:val="21"/>
                      <w:highlight w:val="none"/>
                      <w:lang w:val="en-US" w:eastAsia="zh-CN"/>
                    </w:rPr>
                  </w:pPr>
                  <w:r>
                    <w:rPr>
                      <w:rFonts w:hint="eastAsia"/>
                      <w:kern w:val="0"/>
                      <w:sz w:val="21"/>
                      <w:szCs w:val="21"/>
                      <w:highlight w:val="none"/>
                      <w:lang w:val="en-US" w:eastAsia="zh-CN"/>
                    </w:rPr>
                    <w:t>坐标</w:t>
                  </w:r>
                </w:p>
              </w:tc>
              <w:tc>
                <w:tcPr>
                  <w:tcW w:w="323" w:type="pct"/>
                  <w:vMerge w:val="restart"/>
                  <w:tcBorders>
                    <w:top w:val="single" w:color="auto" w:sz="4" w:space="0"/>
                    <w:left w:val="single" w:color="auto" w:sz="4" w:space="0"/>
                    <w:right w:val="single" w:color="auto" w:sz="4" w:space="0"/>
                  </w:tcBorders>
                  <w:tcMar>
                    <w:left w:w="57" w:type="dxa"/>
                    <w:right w:w="57" w:type="dxa"/>
                  </w:tcMar>
                  <w:vAlign w:val="center"/>
                </w:tcPr>
                <w:p w14:paraId="21272C04">
                  <w:pPr>
                    <w:pStyle w:val="18"/>
                    <w:keepNext w:val="0"/>
                    <w:keepLines w:val="0"/>
                    <w:suppressLineNumbers w:val="0"/>
                    <w:tabs>
                      <w:tab w:val="left" w:pos="2625"/>
                    </w:tabs>
                    <w:adjustRightInd w:val="0"/>
                    <w:snapToGrid w:val="0"/>
                    <w:spacing w:before="0" w:beforeAutospacing="0" w:after="0" w:afterAutospacing="0" w:line="276" w:lineRule="auto"/>
                    <w:ind w:left="0" w:leftChars="0" w:right="0"/>
                    <w:jc w:val="center"/>
                    <w:rPr>
                      <w:rFonts w:hint="default"/>
                      <w:kern w:val="0"/>
                      <w:sz w:val="21"/>
                      <w:szCs w:val="21"/>
                      <w:highlight w:val="none"/>
                    </w:rPr>
                  </w:pPr>
                  <w:r>
                    <w:rPr>
                      <w:rFonts w:hint="eastAsia"/>
                      <w:kern w:val="0"/>
                      <w:sz w:val="21"/>
                      <w:szCs w:val="21"/>
                      <w:highlight w:val="none"/>
                    </w:rPr>
                    <w:t>方位</w:t>
                  </w:r>
                </w:p>
              </w:tc>
              <w:tc>
                <w:tcPr>
                  <w:tcW w:w="579" w:type="pct"/>
                  <w:vMerge w:val="restart"/>
                  <w:tcBorders>
                    <w:top w:val="single" w:color="auto" w:sz="4" w:space="0"/>
                    <w:left w:val="single" w:color="auto" w:sz="4" w:space="0"/>
                    <w:right w:val="single" w:color="auto" w:sz="4" w:space="0"/>
                  </w:tcBorders>
                  <w:tcMar>
                    <w:left w:w="57" w:type="dxa"/>
                    <w:right w:w="57" w:type="dxa"/>
                  </w:tcMar>
                  <w:vAlign w:val="center"/>
                </w:tcPr>
                <w:p w14:paraId="04D80497">
                  <w:pPr>
                    <w:pStyle w:val="18"/>
                    <w:keepNext w:val="0"/>
                    <w:keepLines w:val="0"/>
                    <w:suppressLineNumbers w:val="0"/>
                    <w:tabs>
                      <w:tab w:val="left" w:pos="2625"/>
                    </w:tabs>
                    <w:adjustRightInd w:val="0"/>
                    <w:snapToGrid w:val="0"/>
                    <w:spacing w:before="0" w:beforeAutospacing="0" w:after="0" w:afterAutospacing="0" w:line="276" w:lineRule="auto"/>
                    <w:ind w:left="0" w:leftChars="0" w:right="0"/>
                    <w:jc w:val="center"/>
                    <w:rPr>
                      <w:rFonts w:hint="default"/>
                      <w:kern w:val="0"/>
                      <w:sz w:val="21"/>
                      <w:szCs w:val="21"/>
                      <w:highlight w:val="none"/>
                    </w:rPr>
                  </w:pPr>
                  <w:r>
                    <w:rPr>
                      <w:rFonts w:hint="eastAsia"/>
                      <w:kern w:val="0"/>
                      <w:sz w:val="21"/>
                      <w:szCs w:val="21"/>
                      <w:highlight w:val="none"/>
                    </w:rPr>
                    <w:t>距厂界距离（</w:t>
                  </w:r>
                  <w:r>
                    <w:rPr>
                      <w:rFonts w:hint="default"/>
                      <w:kern w:val="0"/>
                      <w:sz w:val="21"/>
                      <w:szCs w:val="21"/>
                      <w:highlight w:val="none"/>
                    </w:rPr>
                    <w:t>m</w:t>
                  </w:r>
                  <w:r>
                    <w:rPr>
                      <w:rFonts w:hint="eastAsia"/>
                      <w:kern w:val="0"/>
                      <w:sz w:val="21"/>
                      <w:szCs w:val="21"/>
                      <w:highlight w:val="none"/>
                    </w:rPr>
                    <w:t>）</w:t>
                  </w:r>
                </w:p>
              </w:tc>
            </w:tr>
            <w:tr w14:paraId="7455DE0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151" w:hRule="atLeast"/>
                <w:jc w:val="center"/>
              </w:trPr>
              <w:tc>
                <w:tcPr>
                  <w:tcW w:w="825" w:type="pct"/>
                  <w:vMerge w:val="continue"/>
                  <w:tcBorders>
                    <w:left w:val="single" w:color="auto" w:sz="4" w:space="0"/>
                    <w:bottom w:val="single" w:color="auto" w:sz="4" w:space="0"/>
                    <w:right w:val="single" w:color="auto" w:sz="4" w:space="0"/>
                  </w:tcBorders>
                  <w:tcMar>
                    <w:left w:w="57" w:type="dxa"/>
                    <w:right w:w="57" w:type="dxa"/>
                  </w:tcMar>
                  <w:vAlign w:val="center"/>
                </w:tcPr>
                <w:p w14:paraId="1F040F39">
                  <w:pPr>
                    <w:pStyle w:val="18"/>
                    <w:keepNext w:val="0"/>
                    <w:keepLines w:val="0"/>
                    <w:suppressLineNumbers w:val="0"/>
                    <w:tabs>
                      <w:tab w:val="left" w:pos="2625"/>
                    </w:tabs>
                    <w:adjustRightInd w:val="0"/>
                    <w:snapToGrid w:val="0"/>
                    <w:spacing w:before="0" w:beforeAutospacing="0" w:after="0" w:afterAutospacing="0" w:line="276" w:lineRule="auto"/>
                    <w:ind w:left="0" w:leftChars="0" w:right="0"/>
                    <w:jc w:val="center"/>
                    <w:rPr>
                      <w:rFonts w:hint="default"/>
                      <w:highlight w:val="none"/>
                    </w:rPr>
                  </w:pPr>
                </w:p>
              </w:tc>
              <w:tc>
                <w:tcPr>
                  <w:tcW w:w="260" w:type="pct"/>
                  <w:vMerge w:val="continue"/>
                  <w:tcBorders>
                    <w:left w:val="single" w:color="auto" w:sz="4" w:space="0"/>
                    <w:bottom w:val="single" w:color="auto" w:sz="4" w:space="0"/>
                    <w:right w:val="single" w:color="auto" w:sz="4" w:space="0"/>
                  </w:tcBorders>
                  <w:tcMar>
                    <w:left w:w="57" w:type="dxa"/>
                    <w:right w:w="57" w:type="dxa"/>
                  </w:tcMar>
                  <w:vAlign w:val="center"/>
                </w:tcPr>
                <w:p w14:paraId="6F53A0DC">
                  <w:pPr>
                    <w:pStyle w:val="18"/>
                    <w:keepNext w:val="0"/>
                    <w:keepLines w:val="0"/>
                    <w:suppressLineNumbers w:val="0"/>
                    <w:tabs>
                      <w:tab w:val="left" w:pos="2625"/>
                    </w:tabs>
                    <w:adjustRightInd w:val="0"/>
                    <w:snapToGrid w:val="0"/>
                    <w:spacing w:before="0" w:beforeAutospacing="0" w:after="0" w:afterAutospacing="0" w:line="276" w:lineRule="auto"/>
                    <w:ind w:left="0" w:leftChars="0" w:right="0"/>
                    <w:jc w:val="center"/>
                    <w:rPr>
                      <w:rFonts w:hint="default"/>
                      <w:highlight w:val="none"/>
                    </w:rPr>
                  </w:pPr>
                </w:p>
              </w:tc>
              <w:tc>
                <w:tcPr>
                  <w:tcW w:w="1418" w:type="pct"/>
                  <w:vMerge w:val="continue"/>
                  <w:tcBorders>
                    <w:left w:val="single" w:color="auto" w:sz="4" w:space="0"/>
                    <w:bottom w:val="single" w:color="auto" w:sz="4" w:space="0"/>
                    <w:right w:val="single" w:color="auto" w:sz="4" w:space="0"/>
                  </w:tcBorders>
                  <w:tcMar>
                    <w:left w:w="57" w:type="dxa"/>
                    <w:right w:w="57" w:type="dxa"/>
                  </w:tcMar>
                  <w:vAlign w:val="center"/>
                </w:tcPr>
                <w:p w14:paraId="4E3C6D47">
                  <w:pPr>
                    <w:pStyle w:val="18"/>
                    <w:keepNext w:val="0"/>
                    <w:keepLines w:val="0"/>
                    <w:suppressLineNumbers w:val="0"/>
                    <w:tabs>
                      <w:tab w:val="left" w:pos="2625"/>
                    </w:tabs>
                    <w:adjustRightInd w:val="0"/>
                    <w:snapToGrid w:val="0"/>
                    <w:spacing w:before="0" w:beforeAutospacing="0" w:after="0" w:afterAutospacing="0" w:line="276" w:lineRule="auto"/>
                    <w:ind w:left="0" w:leftChars="0" w:right="0"/>
                    <w:jc w:val="center"/>
                    <w:rPr>
                      <w:rFonts w:hint="default"/>
                      <w:highlight w:val="none"/>
                    </w:rPr>
                  </w:pPr>
                </w:p>
              </w:tc>
              <w:tc>
                <w:tcPr>
                  <w:tcW w:w="825" w:type="pct"/>
                  <w:tcBorders>
                    <w:top w:val="single" w:color="auto" w:sz="4" w:space="0"/>
                    <w:left w:val="single" w:color="auto" w:sz="4" w:space="0"/>
                    <w:bottom w:val="single" w:color="auto" w:sz="4" w:space="0"/>
                    <w:right w:val="single" w:color="auto" w:sz="4" w:space="0"/>
                  </w:tcBorders>
                  <w:tcMar>
                    <w:left w:w="57" w:type="dxa"/>
                    <w:right w:w="57" w:type="dxa"/>
                  </w:tcMar>
                  <w:vAlign w:val="center"/>
                </w:tcPr>
                <w:p w14:paraId="00AB5840">
                  <w:pPr>
                    <w:pStyle w:val="18"/>
                    <w:keepNext w:val="0"/>
                    <w:keepLines w:val="0"/>
                    <w:suppressLineNumbers w:val="0"/>
                    <w:tabs>
                      <w:tab w:val="left" w:pos="2625"/>
                    </w:tabs>
                    <w:adjustRightInd w:val="0"/>
                    <w:snapToGrid w:val="0"/>
                    <w:spacing w:before="0" w:beforeAutospacing="0" w:after="0" w:afterAutospacing="0" w:line="276" w:lineRule="auto"/>
                    <w:ind w:left="0" w:leftChars="0" w:right="0"/>
                    <w:jc w:val="center"/>
                    <w:rPr>
                      <w:rFonts w:hint="eastAsia" w:eastAsia="宋体"/>
                      <w:kern w:val="0"/>
                      <w:sz w:val="21"/>
                      <w:szCs w:val="21"/>
                      <w:highlight w:val="none"/>
                      <w:lang w:val="en-US" w:eastAsia="zh-CN"/>
                    </w:rPr>
                  </w:pPr>
                  <w:r>
                    <w:rPr>
                      <w:rFonts w:hint="eastAsia"/>
                      <w:kern w:val="0"/>
                      <w:sz w:val="21"/>
                      <w:szCs w:val="21"/>
                      <w:highlight w:val="none"/>
                      <w:lang w:val="en-US" w:eastAsia="zh-CN"/>
                    </w:rPr>
                    <w:t>经度</w:t>
                  </w:r>
                </w:p>
              </w:tc>
              <w:tc>
                <w:tcPr>
                  <w:tcW w:w="766" w:type="pct"/>
                  <w:tcBorders>
                    <w:top w:val="single" w:color="auto" w:sz="4" w:space="0"/>
                    <w:left w:val="single" w:color="auto" w:sz="4" w:space="0"/>
                    <w:bottom w:val="single" w:color="auto" w:sz="4" w:space="0"/>
                    <w:right w:val="single" w:color="auto" w:sz="4" w:space="0"/>
                  </w:tcBorders>
                  <w:tcMar>
                    <w:left w:w="57" w:type="dxa"/>
                    <w:right w:w="57" w:type="dxa"/>
                  </w:tcMar>
                  <w:vAlign w:val="center"/>
                </w:tcPr>
                <w:p w14:paraId="668E1036">
                  <w:pPr>
                    <w:pStyle w:val="18"/>
                    <w:keepNext w:val="0"/>
                    <w:keepLines w:val="0"/>
                    <w:suppressLineNumbers w:val="0"/>
                    <w:tabs>
                      <w:tab w:val="left" w:pos="2625"/>
                    </w:tabs>
                    <w:adjustRightInd w:val="0"/>
                    <w:snapToGrid w:val="0"/>
                    <w:spacing w:before="0" w:beforeAutospacing="0" w:after="0" w:afterAutospacing="0" w:line="276" w:lineRule="auto"/>
                    <w:ind w:left="0" w:leftChars="0" w:right="0"/>
                    <w:jc w:val="center"/>
                    <w:rPr>
                      <w:rFonts w:hint="eastAsia" w:eastAsia="宋体"/>
                      <w:kern w:val="0"/>
                      <w:sz w:val="21"/>
                      <w:szCs w:val="21"/>
                      <w:highlight w:val="none"/>
                      <w:lang w:val="en-US" w:eastAsia="zh-CN"/>
                    </w:rPr>
                  </w:pPr>
                  <w:r>
                    <w:rPr>
                      <w:rFonts w:hint="eastAsia"/>
                      <w:kern w:val="0"/>
                      <w:sz w:val="21"/>
                      <w:szCs w:val="21"/>
                      <w:highlight w:val="none"/>
                      <w:lang w:val="en-US" w:eastAsia="zh-CN"/>
                    </w:rPr>
                    <w:t>纬度</w:t>
                  </w:r>
                </w:p>
              </w:tc>
              <w:tc>
                <w:tcPr>
                  <w:tcW w:w="323" w:type="pct"/>
                  <w:vMerge w:val="continue"/>
                  <w:tcBorders>
                    <w:left w:val="single" w:color="auto" w:sz="4" w:space="0"/>
                    <w:bottom w:val="single" w:color="auto" w:sz="4" w:space="0"/>
                    <w:right w:val="single" w:color="auto" w:sz="4" w:space="0"/>
                  </w:tcBorders>
                  <w:tcMar>
                    <w:left w:w="57" w:type="dxa"/>
                    <w:right w:w="57" w:type="dxa"/>
                  </w:tcMar>
                  <w:vAlign w:val="center"/>
                </w:tcPr>
                <w:p w14:paraId="05F13527">
                  <w:pPr>
                    <w:pStyle w:val="18"/>
                    <w:keepNext w:val="0"/>
                    <w:keepLines w:val="0"/>
                    <w:suppressLineNumbers w:val="0"/>
                    <w:tabs>
                      <w:tab w:val="left" w:pos="2625"/>
                    </w:tabs>
                    <w:adjustRightInd w:val="0"/>
                    <w:snapToGrid w:val="0"/>
                    <w:spacing w:before="0" w:beforeAutospacing="0" w:after="0" w:afterAutospacing="0" w:line="276" w:lineRule="auto"/>
                    <w:ind w:left="0" w:leftChars="0" w:right="0"/>
                    <w:jc w:val="center"/>
                    <w:rPr>
                      <w:rFonts w:hint="eastAsia"/>
                      <w:kern w:val="0"/>
                      <w:sz w:val="21"/>
                      <w:szCs w:val="21"/>
                      <w:highlight w:val="none"/>
                    </w:rPr>
                  </w:pPr>
                </w:p>
              </w:tc>
              <w:tc>
                <w:tcPr>
                  <w:tcW w:w="579" w:type="pct"/>
                  <w:vMerge w:val="continue"/>
                  <w:tcBorders>
                    <w:left w:val="single" w:color="auto" w:sz="4" w:space="0"/>
                    <w:bottom w:val="single" w:color="auto" w:sz="4" w:space="0"/>
                    <w:right w:val="single" w:color="auto" w:sz="4" w:space="0"/>
                  </w:tcBorders>
                  <w:tcMar>
                    <w:left w:w="57" w:type="dxa"/>
                    <w:right w:w="57" w:type="dxa"/>
                  </w:tcMar>
                  <w:vAlign w:val="center"/>
                </w:tcPr>
                <w:p w14:paraId="16FE05A7">
                  <w:pPr>
                    <w:pStyle w:val="18"/>
                    <w:keepNext w:val="0"/>
                    <w:keepLines w:val="0"/>
                    <w:suppressLineNumbers w:val="0"/>
                    <w:tabs>
                      <w:tab w:val="left" w:pos="2625"/>
                    </w:tabs>
                    <w:adjustRightInd w:val="0"/>
                    <w:snapToGrid w:val="0"/>
                    <w:spacing w:before="0" w:beforeAutospacing="0" w:after="0" w:afterAutospacing="0" w:line="276" w:lineRule="auto"/>
                    <w:ind w:left="0" w:leftChars="0" w:right="0"/>
                    <w:jc w:val="center"/>
                    <w:rPr>
                      <w:rFonts w:hint="eastAsia"/>
                      <w:kern w:val="0"/>
                      <w:sz w:val="21"/>
                      <w:szCs w:val="21"/>
                      <w:highlight w:val="none"/>
                    </w:rPr>
                  </w:pPr>
                </w:p>
              </w:tc>
            </w:tr>
            <w:tr w14:paraId="4BF941D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319" w:hRule="atLeast"/>
                <w:jc w:val="center"/>
              </w:trPr>
              <w:tc>
                <w:tcPr>
                  <w:tcW w:w="825" w:type="pct"/>
                  <w:vMerge w:val="restart"/>
                  <w:tcBorders>
                    <w:top w:val="single" w:color="auto" w:sz="4" w:space="0"/>
                    <w:left w:val="single" w:color="auto" w:sz="4" w:space="0"/>
                    <w:right w:val="single" w:color="auto" w:sz="4" w:space="0"/>
                  </w:tcBorders>
                  <w:tcMar>
                    <w:left w:w="57" w:type="dxa"/>
                    <w:right w:w="57" w:type="dxa"/>
                  </w:tcMar>
                  <w:vAlign w:val="center"/>
                </w:tcPr>
                <w:p w14:paraId="6096981F">
                  <w:pPr>
                    <w:pStyle w:val="85"/>
                    <w:keepNext w:val="0"/>
                    <w:keepLines w:val="0"/>
                    <w:suppressLineNumbers w:val="0"/>
                    <w:tabs>
                      <w:tab w:val="left" w:pos="2625"/>
                    </w:tabs>
                    <w:adjustRightInd w:val="0"/>
                    <w:snapToGrid w:val="0"/>
                    <w:spacing w:before="0" w:beforeAutospacing="0" w:after="0" w:afterAutospacing="0" w:line="276" w:lineRule="auto"/>
                    <w:ind w:left="0" w:right="0" w:firstLine="0" w:firstLineChars="0"/>
                    <w:jc w:val="center"/>
                    <w:rPr>
                      <w:rFonts w:hint="default" w:eastAsia="宋体"/>
                      <w:kern w:val="0"/>
                      <w:sz w:val="21"/>
                      <w:szCs w:val="21"/>
                      <w:highlight w:val="none"/>
                    </w:rPr>
                  </w:pPr>
                  <w:r>
                    <w:rPr>
                      <w:rFonts w:hint="eastAsia" w:eastAsia="宋体"/>
                      <w:kern w:val="0"/>
                      <w:sz w:val="21"/>
                      <w:szCs w:val="21"/>
                      <w:highlight w:val="none"/>
                    </w:rPr>
                    <w:t>大气环境（</w:t>
                  </w:r>
                  <w:r>
                    <w:rPr>
                      <w:rFonts w:hint="default" w:eastAsia="宋体"/>
                      <w:kern w:val="0"/>
                      <w:sz w:val="21"/>
                      <w:szCs w:val="21"/>
                      <w:highlight w:val="none"/>
                    </w:rPr>
                    <w:t>500m</w:t>
                  </w:r>
                  <w:r>
                    <w:rPr>
                      <w:rFonts w:hint="eastAsia" w:eastAsia="宋体"/>
                      <w:kern w:val="0"/>
                      <w:sz w:val="21"/>
                      <w:szCs w:val="21"/>
                      <w:highlight w:val="none"/>
                    </w:rPr>
                    <w:t>范围）</w:t>
                  </w:r>
                </w:p>
              </w:tc>
              <w:tc>
                <w:tcPr>
                  <w:tcW w:w="260" w:type="pct"/>
                  <w:tcBorders>
                    <w:top w:val="single" w:color="auto" w:sz="4" w:space="0"/>
                    <w:left w:val="single" w:color="auto" w:sz="4" w:space="0"/>
                    <w:bottom w:val="single" w:color="auto" w:sz="4" w:space="0"/>
                    <w:right w:val="single" w:color="auto" w:sz="4" w:space="0"/>
                  </w:tcBorders>
                  <w:shd w:val="clear" w:color="auto" w:fill="auto"/>
                  <w:tcMar>
                    <w:left w:w="57" w:type="dxa"/>
                    <w:right w:w="57" w:type="dxa"/>
                  </w:tcMar>
                  <w:vAlign w:val="center"/>
                </w:tcPr>
                <w:p w14:paraId="2662F4F2">
                  <w:pPr>
                    <w:pStyle w:val="85"/>
                    <w:keepNext w:val="0"/>
                    <w:keepLines w:val="0"/>
                    <w:suppressLineNumbers w:val="0"/>
                    <w:tabs>
                      <w:tab w:val="left" w:pos="2625"/>
                    </w:tabs>
                    <w:adjustRightInd w:val="0"/>
                    <w:snapToGrid w:val="0"/>
                    <w:spacing w:before="0" w:beforeAutospacing="0" w:after="0" w:afterAutospacing="0" w:line="276" w:lineRule="auto"/>
                    <w:ind w:left="0" w:leftChars="0" w:right="0" w:rightChars="0" w:firstLine="0" w:firstLineChars="0"/>
                    <w:jc w:val="center"/>
                    <w:rPr>
                      <w:rFonts w:hint="default" w:ascii="Times New Roman" w:hAnsi="Times New Roman" w:eastAsia="宋体" w:cs="Times New Roman"/>
                      <w:kern w:val="0"/>
                      <w:sz w:val="21"/>
                      <w:szCs w:val="21"/>
                      <w:highlight w:val="none"/>
                      <w:lang w:val="en-US" w:eastAsia="zh-CN" w:bidi="ar-SA"/>
                    </w:rPr>
                  </w:pPr>
                  <w:r>
                    <w:rPr>
                      <w:rFonts w:hint="default" w:eastAsia="宋体"/>
                      <w:kern w:val="0"/>
                      <w:sz w:val="21"/>
                      <w:szCs w:val="21"/>
                      <w:highlight w:val="none"/>
                    </w:rPr>
                    <w:t>1</w:t>
                  </w:r>
                </w:p>
              </w:tc>
              <w:tc>
                <w:tcPr>
                  <w:tcW w:w="1418" w:type="pct"/>
                  <w:tcBorders>
                    <w:top w:val="single" w:color="auto" w:sz="4" w:space="0"/>
                    <w:left w:val="single" w:color="auto" w:sz="4" w:space="0"/>
                    <w:bottom w:val="single" w:color="auto" w:sz="4" w:space="0"/>
                    <w:right w:val="single" w:color="auto" w:sz="4" w:space="0"/>
                  </w:tcBorders>
                  <w:tcMar>
                    <w:left w:w="57" w:type="dxa"/>
                    <w:right w:w="57" w:type="dxa"/>
                  </w:tcMar>
                  <w:vAlign w:val="center"/>
                </w:tcPr>
                <w:p w14:paraId="2E9FBFF9">
                  <w:pPr>
                    <w:pStyle w:val="85"/>
                    <w:keepNext w:val="0"/>
                    <w:keepLines w:val="0"/>
                    <w:suppressLineNumbers w:val="0"/>
                    <w:adjustRightInd w:val="0"/>
                    <w:snapToGrid w:val="0"/>
                    <w:spacing w:before="0" w:beforeAutospacing="0" w:after="0" w:afterAutospacing="0"/>
                    <w:ind w:left="0" w:right="0" w:firstLine="0" w:firstLineChars="0"/>
                    <w:jc w:val="center"/>
                    <w:rPr>
                      <w:rFonts w:hint="eastAsia" w:eastAsia="宋体" w:cs="Times New Roman"/>
                      <w:color w:val="auto"/>
                      <w:kern w:val="0"/>
                      <w:sz w:val="21"/>
                      <w:szCs w:val="21"/>
                      <w:highlight w:val="none"/>
                      <w:lang w:val="en-US" w:eastAsia="zh-CN"/>
                    </w:rPr>
                  </w:pPr>
                  <w:r>
                    <w:rPr>
                      <w:rFonts w:hint="eastAsia" w:eastAsia="宋体" w:cs="Times New Roman"/>
                      <w:color w:val="auto"/>
                      <w:kern w:val="0"/>
                      <w:sz w:val="21"/>
                      <w:szCs w:val="21"/>
                      <w:highlight w:val="none"/>
                      <w:lang w:val="en-US" w:eastAsia="zh-CN"/>
                    </w:rPr>
                    <w:t>本项目</w:t>
                  </w:r>
                </w:p>
              </w:tc>
              <w:tc>
                <w:tcPr>
                  <w:tcW w:w="825" w:type="pct"/>
                  <w:tcBorders>
                    <w:top w:val="single" w:color="auto" w:sz="4" w:space="0"/>
                    <w:left w:val="single" w:color="auto" w:sz="4" w:space="0"/>
                    <w:bottom w:val="single" w:color="auto" w:sz="4" w:space="0"/>
                    <w:right w:val="single" w:color="auto" w:sz="4" w:space="0"/>
                  </w:tcBorders>
                  <w:tcMar>
                    <w:left w:w="57" w:type="dxa"/>
                    <w:right w:w="57" w:type="dxa"/>
                  </w:tcMar>
                  <w:vAlign w:val="center"/>
                </w:tcPr>
                <w:p w14:paraId="0C2F1DF3">
                  <w:pPr>
                    <w:pStyle w:val="85"/>
                    <w:keepNext w:val="0"/>
                    <w:keepLines w:val="0"/>
                    <w:suppressLineNumbers w:val="0"/>
                    <w:adjustRightInd w:val="0"/>
                    <w:snapToGrid w:val="0"/>
                    <w:spacing w:before="0" w:beforeAutospacing="0" w:after="0" w:afterAutospacing="0"/>
                    <w:ind w:left="0" w:right="0" w:firstLine="0" w:firstLineChars="0"/>
                    <w:jc w:val="center"/>
                    <w:rPr>
                      <w:rFonts w:hint="eastAsia" w:eastAsia="宋体" w:cs="Times New Roman"/>
                      <w:color w:val="auto"/>
                      <w:kern w:val="0"/>
                      <w:sz w:val="21"/>
                      <w:szCs w:val="21"/>
                      <w:highlight w:val="none"/>
                      <w:lang w:val="en-US" w:eastAsia="zh-CN"/>
                    </w:rPr>
                  </w:pPr>
                  <w:r>
                    <w:rPr>
                      <w:rFonts w:hint="eastAsia" w:eastAsia="宋体" w:cs="Times New Roman"/>
                      <w:color w:val="auto"/>
                      <w:kern w:val="0"/>
                      <w:sz w:val="21"/>
                      <w:szCs w:val="21"/>
                      <w:highlight w:val="none"/>
                      <w:lang w:val="en-US" w:eastAsia="zh-CN"/>
                    </w:rPr>
                    <w:t>E118.832013</w:t>
                  </w:r>
                  <w:r>
                    <w:rPr>
                      <w:rFonts w:hint="default" w:eastAsia="Times New Roman"/>
                      <w:sz w:val="21"/>
                      <w:szCs w:val="21"/>
                      <w:highlight w:val="none"/>
                    </w:rPr>
                    <w:t>°</w:t>
                  </w:r>
                </w:p>
              </w:tc>
              <w:tc>
                <w:tcPr>
                  <w:tcW w:w="766" w:type="pct"/>
                  <w:tcBorders>
                    <w:top w:val="single" w:color="auto" w:sz="4" w:space="0"/>
                    <w:left w:val="single" w:color="auto" w:sz="4" w:space="0"/>
                    <w:bottom w:val="single" w:color="auto" w:sz="4" w:space="0"/>
                    <w:right w:val="single" w:color="auto" w:sz="4" w:space="0"/>
                  </w:tcBorders>
                  <w:tcMar>
                    <w:left w:w="57" w:type="dxa"/>
                    <w:right w:w="57" w:type="dxa"/>
                  </w:tcMar>
                  <w:vAlign w:val="center"/>
                </w:tcPr>
                <w:p w14:paraId="3488C489">
                  <w:pPr>
                    <w:pStyle w:val="85"/>
                    <w:keepNext w:val="0"/>
                    <w:keepLines w:val="0"/>
                    <w:suppressLineNumbers w:val="0"/>
                    <w:adjustRightInd w:val="0"/>
                    <w:snapToGrid w:val="0"/>
                    <w:spacing w:before="0" w:beforeAutospacing="0" w:after="0" w:afterAutospacing="0"/>
                    <w:ind w:left="0" w:right="0" w:firstLine="0" w:firstLineChars="0"/>
                    <w:jc w:val="center"/>
                    <w:rPr>
                      <w:rFonts w:hint="eastAsia" w:eastAsia="宋体" w:cs="Times New Roman"/>
                      <w:color w:val="auto"/>
                      <w:kern w:val="0"/>
                      <w:sz w:val="21"/>
                      <w:szCs w:val="21"/>
                      <w:highlight w:val="none"/>
                      <w:lang w:val="en-US" w:eastAsia="zh-CN"/>
                    </w:rPr>
                  </w:pPr>
                  <w:r>
                    <w:rPr>
                      <w:rFonts w:hint="eastAsia" w:eastAsia="宋体" w:cs="Times New Roman"/>
                      <w:color w:val="auto"/>
                      <w:kern w:val="0"/>
                      <w:sz w:val="21"/>
                      <w:szCs w:val="21"/>
                      <w:highlight w:val="none"/>
                      <w:lang w:val="en-US" w:eastAsia="zh-CN"/>
                    </w:rPr>
                    <w:t>N28.952227</w:t>
                  </w:r>
                  <w:r>
                    <w:rPr>
                      <w:rFonts w:hint="default" w:eastAsia="Times New Roman"/>
                      <w:sz w:val="21"/>
                      <w:szCs w:val="21"/>
                      <w:highlight w:val="none"/>
                    </w:rPr>
                    <w:t>°</w:t>
                  </w:r>
                </w:p>
              </w:tc>
              <w:tc>
                <w:tcPr>
                  <w:tcW w:w="323" w:type="pct"/>
                  <w:tcBorders>
                    <w:top w:val="single" w:color="auto" w:sz="4" w:space="0"/>
                    <w:left w:val="single" w:color="auto" w:sz="4" w:space="0"/>
                    <w:bottom w:val="single" w:color="auto" w:sz="4" w:space="0"/>
                    <w:right w:val="single" w:color="auto" w:sz="4" w:space="0"/>
                  </w:tcBorders>
                  <w:tcMar>
                    <w:left w:w="57" w:type="dxa"/>
                    <w:right w:w="57" w:type="dxa"/>
                  </w:tcMar>
                  <w:vAlign w:val="center"/>
                </w:tcPr>
                <w:p w14:paraId="1511A8C6">
                  <w:pPr>
                    <w:pStyle w:val="85"/>
                    <w:keepNext w:val="0"/>
                    <w:keepLines w:val="0"/>
                    <w:suppressLineNumbers w:val="0"/>
                    <w:adjustRightInd w:val="0"/>
                    <w:snapToGrid w:val="0"/>
                    <w:spacing w:before="0" w:beforeAutospacing="0" w:after="0" w:afterAutospacing="0"/>
                    <w:ind w:left="0" w:right="0" w:firstLine="0" w:firstLineChars="0"/>
                    <w:jc w:val="center"/>
                    <w:rPr>
                      <w:rFonts w:hint="default" w:eastAsia="宋体"/>
                      <w:sz w:val="21"/>
                      <w:szCs w:val="21"/>
                      <w:highlight w:val="none"/>
                      <w:lang w:val="en-US" w:eastAsia="zh-CN"/>
                    </w:rPr>
                  </w:pPr>
                  <w:r>
                    <w:rPr>
                      <w:rFonts w:hint="eastAsia" w:eastAsia="宋体"/>
                      <w:sz w:val="21"/>
                      <w:szCs w:val="21"/>
                      <w:highlight w:val="none"/>
                      <w:lang w:val="en-US" w:eastAsia="zh-CN"/>
                    </w:rPr>
                    <w:t>/</w:t>
                  </w:r>
                </w:p>
              </w:tc>
              <w:tc>
                <w:tcPr>
                  <w:tcW w:w="579" w:type="pct"/>
                  <w:tcBorders>
                    <w:top w:val="single" w:color="auto" w:sz="4" w:space="0"/>
                    <w:left w:val="single" w:color="auto" w:sz="4" w:space="0"/>
                    <w:bottom w:val="single" w:color="auto" w:sz="4" w:space="0"/>
                    <w:right w:val="single" w:color="auto" w:sz="4" w:space="0"/>
                  </w:tcBorders>
                  <w:tcMar>
                    <w:left w:w="57" w:type="dxa"/>
                    <w:right w:w="57" w:type="dxa"/>
                  </w:tcMar>
                  <w:vAlign w:val="center"/>
                </w:tcPr>
                <w:p w14:paraId="568C7E94">
                  <w:pPr>
                    <w:keepNext w:val="0"/>
                    <w:keepLines w:val="0"/>
                    <w:suppressLineNumbers w:val="0"/>
                    <w:adjustRightInd w:val="0"/>
                    <w:snapToGrid w:val="0"/>
                    <w:spacing w:before="0" w:beforeAutospacing="0" w:after="0" w:afterAutospacing="0"/>
                    <w:ind w:left="0" w:right="0"/>
                    <w:jc w:val="center"/>
                    <w:rPr>
                      <w:rFonts w:hint="default"/>
                      <w:sz w:val="21"/>
                      <w:szCs w:val="21"/>
                      <w:highlight w:val="none"/>
                      <w:lang w:val="en-US" w:eastAsia="zh-CN"/>
                    </w:rPr>
                  </w:pPr>
                  <w:r>
                    <w:rPr>
                      <w:rFonts w:hint="eastAsia"/>
                      <w:sz w:val="21"/>
                      <w:szCs w:val="21"/>
                      <w:highlight w:val="none"/>
                      <w:lang w:val="en-US" w:eastAsia="zh-CN"/>
                    </w:rPr>
                    <w:t>0</w:t>
                  </w:r>
                </w:p>
              </w:tc>
            </w:tr>
            <w:tr w14:paraId="500A110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319" w:hRule="atLeast"/>
                <w:jc w:val="center"/>
              </w:trPr>
              <w:tc>
                <w:tcPr>
                  <w:tcW w:w="825" w:type="pct"/>
                  <w:vMerge w:val="continue"/>
                  <w:tcBorders>
                    <w:left w:val="single" w:color="auto" w:sz="4" w:space="0"/>
                    <w:right w:val="single" w:color="auto" w:sz="4" w:space="0"/>
                  </w:tcBorders>
                  <w:tcMar>
                    <w:left w:w="57" w:type="dxa"/>
                    <w:right w:w="57" w:type="dxa"/>
                  </w:tcMar>
                  <w:vAlign w:val="center"/>
                </w:tcPr>
                <w:p w14:paraId="2AB2855D">
                  <w:pPr>
                    <w:pStyle w:val="85"/>
                    <w:keepNext w:val="0"/>
                    <w:keepLines w:val="0"/>
                    <w:suppressLineNumbers w:val="0"/>
                    <w:tabs>
                      <w:tab w:val="left" w:pos="2625"/>
                    </w:tabs>
                    <w:adjustRightInd w:val="0"/>
                    <w:snapToGrid w:val="0"/>
                    <w:spacing w:before="0" w:beforeAutospacing="0" w:after="0" w:afterAutospacing="0" w:line="276" w:lineRule="auto"/>
                    <w:ind w:left="0" w:right="0" w:firstLine="0" w:firstLineChars="0"/>
                    <w:jc w:val="center"/>
                    <w:rPr>
                      <w:rFonts w:hint="default" w:eastAsia="宋体"/>
                      <w:kern w:val="0"/>
                      <w:sz w:val="21"/>
                      <w:szCs w:val="21"/>
                      <w:highlight w:val="none"/>
                    </w:rPr>
                  </w:pPr>
                </w:p>
              </w:tc>
              <w:tc>
                <w:tcPr>
                  <w:tcW w:w="260" w:type="pct"/>
                  <w:tcBorders>
                    <w:top w:val="single" w:color="auto" w:sz="4" w:space="0"/>
                    <w:left w:val="single" w:color="auto" w:sz="4" w:space="0"/>
                    <w:bottom w:val="single" w:color="auto" w:sz="4" w:space="0"/>
                    <w:right w:val="single" w:color="auto" w:sz="4" w:space="0"/>
                  </w:tcBorders>
                  <w:shd w:val="clear" w:color="auto" w:fill="auto"/>
                  <w:tcMar>
                    <w:left w:w="57" w:type="dxa"/>
                    <w:right w:w="57" w:type="dxa"/>
                  </w:tcMar>
                  <w:vAlign w:val="center"/>
                </w:tcPr>
                <w:p w14:paraId="4F75FE58">
                  <w:pPr>
                    <w:pStyle w:val="85"/>
                    <w:keepNext w:val="0"/>
                    <w:keepLines w:val="0"/>
                    <w:suppressLineNumbers w:val="0"/>
                    <w:tabs>
                      <w:tab w:val="left" w:pos="2625"/>
                    </w:tabs>
                    <w:adjustRightInd w:val="0"/>
                    <w:snapToGrid w:val="0"/>
                    <w:spacing w:before="0" w:beforeAutospacing="0" w:after="0" w:afterAutospacing="0" w:line="276" w:lineRule="auto"/>
                    <w:ind w:left="0" w:leftChars="0" w:right="0" w:rightChars="0" w:firstLine="0" w:firstLineChars="0"/>
                    <w:jc w:val="center"/>
                    <w:rPr>
                      <w:rFonts w:hint="default" w:ascii="Times New Roman" w:hAnsi="Times New Roman" w:eastAsia="宋体" w:cs="Times New Roman"/>
                      <w:kern w:val="0"/>
                      <w:sz w:val="21"/>
                      <w:szCs w:val="21"/>
                      <w:highlight w:val="none"/>
                      <w:lang w:val="en-US" w:eastAsia="zh-CN" w:bidi="ar-SA"/>
                    </w:rPr>
                  </w:pPr>
                  <w:r>
                    <w:rPr>
                      <w:rFonts w:hint="eastAsia" w:eastAsia="宋体"/>
                      <w:kern w:val="0"/>
                      <w:sz w:val="21"/>
                      <w:szCs w:val="21"/>
                      <w:highlight w:val="none"/>
                    </w:rPr>
                    <w:t>2</w:t>
                  </w:r>
                </w:p>
              </w:tc>
              <w:tc>
                <w:tcPr>
                  <w:tcW w:w="1418" w:type="pct"/>
                  <w:tcBorders>
                    <w:top w:val="single" w:color="auto" w:sz="4" w:space="0"/>
                    <w:left w:val="single" w:color="auto" w:sz="4" w:space="0"/>
                    <w:bottom w:val="single" w:color="auto" w:sz="4" w:space="0"/>
                    <w:right w:val="single" w:color="auto" w:sz="4" w:space="0"/>
                  </w:tcBorders>
                  <w:tcMar>
                    <w:left w:w="57" w:type="dxa"/>
                    <w:right w:w="57" w:type="dxa"/>
                  </w:tcMar>
                  <w:vAlign w:val="center"/>
                </w:tcPr>
                <w:p w14:paraId="13F5046E">
                  <w:pPr>
                    <w:pStyle w:val="85"/>
                    <w:keepNext w:val="0"/>
                    <w:keepLines w:val="0"/>
                    <w:suppressLineNumbers w:val="0"/>
                    <w:adjustRightInd w:val="0"/>
                    <w:snapToGrid w:val="0"/>
                    <w:spacing w:before="0" w:beforeAutospacing="0" w:after="0" w:afterAutospacing="0"/>
                    <w:ind w:left="0" w:right="0" w:firstLine="0" w:firstLineChars="0"/>
                    <w:jc w:val="center"/>
                    <w:rPr>
                      <w:rFonts w:hint="default" w:eastAsia="宋体" w:cs="Times New Roman"/>
                      <w:color w:val="auto"/>
                      <w:kern w:val="0"/>
                      <w:sz w:val="21"/>
                      <w:szCs w:val="21"/>
                      <w:highlight w:val="none"/>
                      <w:lang w:val="en-US" w:eastAsia="zh-CN"/>
                    </w:rPr>
                  </w:pPr>
                  <w:r>
                    <w:rPr>
                      <w:rFonts w:hint="eastAsia" w:eastAsia="宋体" w:cs="Times New Roman"/>
                      <w:color w:val="auto"/>
                      <w:kern w:val="0"/>
                      <w:sz w:val="21"/>
                      <w:szCs w:val="21"/>
                      <w:highlight w:val="none"/>
                      <w:lang w:val="en-US" w:eastAsia="zh-CN"/>
                    </w:rPr>
                    <w:t>西侧规划高等院校</w:t>
                  </w:r>
                </w:p>
              </w:tc>
              <w:tc>
                <w:tcPr>
                  <w:tcW w:w="825" w:type="pct"/>
                  <w:tcBorders>
                    <w:top w:val="single" w:color="auto" w:sz="4" w:space="0"/>
                    <w:left w:val="single" w:color="auto" w:sz="4" w:space="0"/>
                    <w:bottom w:val="single" w:color="auto" w:sz="4" w:space="0"/>
                    <w:right w:val="single" w:color="auto" w:sz="4" w:space="0"/>
                  </w:tcBorders>
                  <w:tcMar>
                    <w:left w:w="57" w:type="dxa"/>
                    <w:right w:w="57" w:type="dxa"/>
                  </w:tcMar>
                  <w:vAlign w:val="center"/>
                </w:tcPr>
                <w:p w14:paraId="49AB08FB">
                  <w:pPr>
                    <w:pStyle w:val="85"/>
                    <w:keepNext w:val="0"/>
                    <w:keepLines w:val="0"/>
                    <w:suppressLineNumbers w:val="0"/>
                    <w:adjustRightInd w:val="0"/>
                    <w:snapToGrid w:val="0"/>
                    <w:spacing w:before="0" w:beforeAutospacing="0" w:after="0" w:afterAutospacing="0"/>
                    <w:ind w:left="0" w:right="0" w:firstLine="0" w:firstLineChars="0"/>
                    <w:jc w:val="center"/>
                    <w:rPr>
                      <w:rFonts w:hint="default" w:eastAsia="宋体" w:cs="Times New Roman"/>
                      <w:color w:val="auto"/>
                      <w:kern w:val="0"/>
                      <w:sz w:val="21"/>
                      <w:szCs w:val="21"/>
                      <w:highlight w:val="none"/>
                      <w:lang w:val="en-US" w:eastAsia="zh-CN"/>
                    </w:rPr>
                  </w:pPr>
                  <w:r>
                    <w:rPr>
                      <w:rFonts w:hint="eastAsia" w:eastAsia="宋体" w:cs="Times New Roman"/>
                      <w:color w:val="auto"/>
                      <w:kern w:val="0"/>
                      <w:sz w:val="21"/>
                      <w:szCs w:val="21"/>
                      <w:highlight w:val="none"/>
                      <w:lang w:val="en-US" w:eastAsia="zh-CN"/>
                    </w:rPr>
                    <w:t>E118.828733</w:t>
                  </w:r>
                  <w:r>
                    <w:rPr>
                      <w:rFonts w:hint="default" w:eastAsia="Times New Roman"/>
                      <w:sz w:val="21"/>
                      <w:szCs w:val="21"/>
                      <w:highlight w:val="none"/>
                    </w:rPr>
                    <w:t>°</w:t>
                  </w:r>
                </w:p>
              </w:tc>
              <w:tc>
                <w:tcPr>
                  <w:tcW w:w="766" w:type="pct"/>
                  <w:tcBorders>
                    <w:top w:val="single" w:color="auto" w:sz="4" w:space="0"/>
                    <w:left w:val="single" w:color="auto" w:sz="4" w:space="0"/>
                    <w:bottom w:val="single" w:color="auto" w:sz="4" w:space="0"/>
                    <w:right w:val="single" w:color="auto" w:sz="4" w:space="0"/>
                  </w:tcBorders>
                  <w:tcMar>
                    <w:left w:w="57" w:type="dxa"/>
                    <w:right w:w="57" w:type="dxa"/>
                  </w:tcMar>
                  <w:vAlign w:val="center"/>
                </w:tcPr>
                <w:p w14:paraId="4013949B">
                  <w:pPr>
                    <w:pStyle w:val="85"/>
                    <w:keepNext w:val="0"/>
                    <w:keepLines w:val="0"/>
                    <w:suppressLineNumbers w:val="0"/>
                    <w:adjustRightInd w:val="0"/>
                    <w:snapToGrid w:val="0"/>
                    <w:spacing w:before="0" w:beforeAutospacing="0" w:after="0" w:afterAutospacing="0"/>
                    <w:ind w:left="0" w:right="0" w:firstLine="0" w:firstLineChars="0"/>
                    <w:jc w:val="center"/>
                    <w:rPr>
                      <w:rFonts w:hint="default" w:eastAsia="宋体" w:cs="Times New Roman"/>
                      <w:color w:val="auto"/>
                      <w:kern w:val="0"/>
                      <w:sz w:val="21"/>
                      <w:szCs w:val="21"/>
                      <w:highlight w:val="none"/>
                      <w:lang w:val="en-US" w:eastAsia="zh-CN"/>
                    </w:rPr>
                  </w:pPr>
                  <w:r>
                    <w:rPr>
                      <w:rFonts w:hint="eastAsia" w:eastAsia="宋体" w:cs="Times New Roman"/>
                      <w:color w:val="auto"/>
                      <w:kern w:val="0"/>
                      <w:sz w:val="21"/>
                      <w:szCs w:val="21"/>
                      <w:highlight w:val="none"/>
                      <w:lang w:val="en-US" w:eastAsia="zh-CN"/>
                    </w:rPr>
                    <w:t>N28.952069</w:t>
                  </w:r>
                  <w:r>
                    <w:rPr>
                      <w:rFonts w:hint="default" w:eastAsia="Times New Roman"/>
                      <w:sz w:val="21"/>
                      <w:szCs w:val="21"/>
                      <w:highlight w:val="none"/>
                    </w:rPr>
                    <w:t>°</w:t>
                  </w:r>
                </w:p>
              </w:tc>
              <w:tc>
                <w:tcPr>
                  <w:tcW w:w="323" w:type="pct"/>
                  <w:tcBorders>
                    <w:top w:val="single" w:color="auto" w:sz="4" w:space="0"/>
                    <w:left w:val="single" w:color="auto" w:sz="4" w:space="0"/>
                    <w:bottom w:val="single" w:color="auto" w:sz="4" w:space="0"/>
                    <w:right w:val="single" w:color="auto" w:sz="4" w:space="0"/>
                  </w:tcBorders>
                  <w:tcMar>
                    <w:left w:w="57" w:type="dxa"/>
                    <w:right w:w="57" w:type="dxa"/>
                  </w:tcMar>
                  <w:vAlign w:val="center"/>
                </w:tcPr>
                <w:p w14:paraId="435D63EC">
                  <w:pPr>
                    <w:pStyle w:val="85"/>
                    <w:keepNext w:val="0"/>
                    <w:keepLines w:val="0"/>
                    <w:suppressLineNumbers w:val="0"/>
                    <w:adjustRightInd w:val="0"/>
                    <w:snapToGrid w:val="0"/>
                    <w:spacing w:before="0" w:beforeAutospacing="0" w:after="0" w:afterAutospacing="0"/>
                    <w:ind w:left="0" w:right="0" w:firstLine="0" w:firstLineChars="0"/>
                    <w:jc w:val="center"/>
                    <w:rPr>
                      <w:rFonts w:hint="default" w:eastAsia="宋体"/>
                      <w:sz w:val="21"/>
                      <w:szCs w:val="21"/>
                      <w:highlight w:val="none"/>
                      <w:lang w:val="en-US" w:eastAsia="zh-CN"/>
                    </w:rPr>
                  </w:pPr>
                  <w:r>
                    <w:rPr>
                      <w:rFonts w:hint="eastAsia" w:eastAsia="宋体"/>
                      <w:sz w:val="21"/>
                      <w:szCs w:val="21"/>
                      <w:highlight w:val="none"/>
                      <w:lang w:val="en-US" w:eastAsia="zh-CN"/>
                    </w:rPr>
                    <w:t>西</w:t>
                  </w:r>
                </w:p>
              </w:tc>
              <w:tc>
                <w:tcPr>
                  <w:tcW w:w="579" w:type="pct"/>
                  <w:tcBorders>
                    <w:top w:val="single" w:color="auto" w:sz="4" w:space="0"/>
                    <w:left w:val="single" w:color="auto" w:sz="4" w:space="0"/>
                    <w:bottom w:val="single" w:color="auto" w:sz="4" w:space="0"/>
                    <w:right w:val="single" w:color="auto" w:sz="4" w:space="0"/>
                  </w:tcBorders>
                  <w:tcMar>
                    <w:left w:w="57" w:type="dxa"/>
                    <w:right w:w="57" w:type="dxa"/>
                  </w:tcMar>
                  <w:vAlign w:val="center"/>
                </w:tcPr>
                <w:p w14:paraId="75D8BE69">
                  <w:pPr>
                    <w:keepNext w:val="0"/>
                    <w:keepLines w:val="0"/>
                    <w:suppressLineNumbers w:val="0"/>
                    <w:adjustRightInd w:val="0"/>
                    <w:snapToGrid w:val="0"/>
                    <w:spacing w:before="0" w:beforeAutospacing="0" w:after="0" w:afterAutospacing="0"/>
                    <w:ind w:left="0" w:right="0"/>
                    <w:jc w:val="center"/>
                    <w:rPr>
                      <w:rFonts w:hint="default"/>
                      <w:sz w:val="21"/>
                      <w:szCs w:val="21"/>
                      <w:highlight w:val="none"/>
                      <w:lang w:val="en-US" w:eastAsia="zh-CN"/>
                    </w:rPr>
                  </w:pPr>
                  <w:r>
                    <w:rPr>
                      <w:rFonts w:hint="eastAsia"/>
                      <w:sz w:val="21"/>
                      <w:szCs w:val="21"/>
                      <w:highlight w:val="none"/>
                      <w:lang w:val="en-US" w:eastAsia="zh-CN"/>
                    </w:rPr>
                    <w:t>5</w:t>
                  </w:r>
                </w:p>
              </w:tc>
            </w:tr>
            <w:tr w14:paraId="2AB2636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319" w:hRule="atLeast"/>
                <w:jc w:val="center"/>
              </w:trPr>
              <w:tc>
                <w:tcPr>
                  <w:tcW w:w="825" w:type="pct"/>
                  <w:vMerge w:val="continue"/>
                  <w:tcBorders>
                    <w:left w:val="single" w:color="auto" w:sz="4" w:space="0"/>
                    <w:right w:val="single" w:color="auto" w:sz="4" w:space="0"/>
                  </w:tcBorders>
                  <w:tcMar>
                    <w:left w:w="57" w:type="dxa"/>
                    <w:right w:w="57" w:type="dxa"/>
                  </w:tcMar>
                  <w:vAlign w:val="center"/>
                </w:tcPr>
                <w:p w14:paraId="3C7DCACF">
                  <w:pPr>
                    <w:pStyle w:val="85"/>
                    <w:keepNext w:val="0"/>
                    <w:keepLines w:val="0"/>
                    <w:suppressLineNumbers w:val="0"/>
                    <w:tabs>
                      <w:tab w:val="left" w:pos="2625"/>
                    </w:tabs>
                    <w:adjustRightInd w:val="0"/>
                    <w:snapToGrid w:val="0"/>
                    <w:spacing w:before="0" w:beforeAutospacing="0" w:after="0" w:afterAutospacing="0" w:line="276" w:lineRule="auto"/>
                    <w:ind w:left="0" w:right="0" w:firstLine="0" w:firstLineChars="0"/>
                    <w:jc w:val="center"/>
                    <w:rPr>
                      <w:rFonts w:hint="eastAsia" w:eastAsia="宋体"/>
                      <w:kern w:val="0"/>
                      <w:sz w:val="21"/>
                      <w:szCs w:val="21"/>
                      <w:highlight w:val="none"/>
                    </w:rPr>
                  </w:pPr>
                </w:p>
              </w:tc>
              <w:tc>
                <w:tcPr>
                  <w:tcW w:w="260" w:type="pct"/>
                  <w:tcBorders>
                    <w:top w:val="single" w:color="auto" w:sz="4" w:space="0"/>
                    <w:left w:val="single" w:color="auto" w:sz="4" w:space="0"/>
                    <w:bottom w:val="single" w:color="auto" w:sz="4" w:space="0"/>
                    <w:right w:val="single" w:color="auto" w:sz="4" w:space="0"/>
                  </w:tcBorders>
                  <w:shd w:val="clear" w:color="auto" w:fill="auto"/>
                  <w:tcMar>
                    <w:left w:w="57" w:type="dxa"/>
                    <w:right w:w="57" w:type="dxa"/>
                  </w:tcMar>
                  <w:vAlign w:val="center"/>
                </w:tcPr>
                <w:p w14:paraId="35DE1B44">
                  <w:pPr>
                    <w:pStyle w:val="85"/>
                    <w:keepNext w:val="0"/>
                    <w:keepLines w:val="0"/>
                    <w:suppressLineNumbers w:val="0"/>
                    <w:tabs>
                      <w:tab w:val="left" w:pos="2625"/>
                    </w:tabs>
                    <w:adjustRightInd w:val="0"/>
                    <w:snapToGrid w:val="0"/>
                    <w:spacing w:before="0" w:beforeAutospacing="0" w:after="0" w:afterAutospacing="0" w:line="276" w:lineRule="auto"/>
                    <w:ind w:left="0" w:leftChars="0" w:right="0" w:rightChars="0" w:firstLine="0" w:firstLineChars="0"/>
                    <w:jc w:val="center"/>
                    <w:rPr>
                      <w:rFonts w:hint="default" w:ascii="Times New Roman" w:hAnsi="Times New Roman" w:eastAsia="宋体" w:cs="Times New Roman"/>
                      <w:kern w:val="0"/>
                      <w:sz w:val="21"/>
                      <w:szCs w:val="21"/>
                      <w:highlight w:val="none"/>
                      <w:lang w:val="en-US" w:eastAsia="zh-CN" w:bidi="ar-SA"/>
                    </w:rPr>
                  </w:pPr>
                  <w:r>
                    <w:rPr>
                      <w:rFonts w:hint="eastAsia" w:eastAsia="宋体"/>
                      <w:kern w:val="0"/>
                      <w:sz w:val="21"/>
                      <w:szCs w:val="21"/>
                      <w:highlight w:val="none"/>
                    </w:rPr>
                    <w:t>3</w:t>
                  </w:r>
                </w:p>
              </w:tc>
              <w:tc>
                <w:tcPr>
                  <w:tcW w:w="1418" w:type="pct"/>
                  <w:tcBorders>
                    <w:top w:val="single" w:color="auto" w:sz="4" w:space="0"/>
                    <w:left w:val="single" w:color="auto" w:sz="4" w:space="0"/>
                    <w:bottom w:val="single" w:color="auto" w:sz="4" w:space="0"/>
                    <w:right w:val="single" w:color="auto" w:sz="4" w:space="0"/>
                  </w:tcBorders>
                  <w:shd w:val="clear" w:color="auto" w:fill="auto"/>
                  <w:tcMar>
                    <w:left w:w="57" w:type="dxa"/>
                    <w:right w:w="57" w:type="dxa"/>
                  </w:tcMar>
                  <w:vAlign w:val="center"/>
                </w:tcPr>
                <w:p w14:paraId="28F2CC68">
                  <w:pPr>
                    <w:pStyle w:val="85"/>
                    <w:keepNext w:val="0"/>
                    <w:keepLines w:val="0"/>
                    <w:suppressLineNumbers w:val="0"/>
                    <w:adjustRightInd w:val="0"/>
                    <w:snapToGrid w:val="0"/>
                    <w:spacing w:before="0" w:beforeAutospacing="0" w:after="0" w:afterAutospacing="0"/>
                    <w:ind w:left="0" w:right="0" w:firstLine="0" w:firstLineChars="0"/>
                    <w:jc w:val="center"/>
                    <w:rPr>
                      <w:rFonts w:hint="eastAsia" w:ascii="Times New Roman" w:hAnsi="Times New Roman" w:eastAsia="宋体" w:cs="Times New Roman"/>
                      <w:kern w:val="2"/>
                      <w:sz w:val="21"/>
                      <w:szCs w:val="21"/>
                      <w:highlight w:val="none"/>
                      <w:lang w:val="en-US" w:eastAsia="zh-CN" w:bidi="ar-SA"/>
                    </w:rPr>
                  </w:pPr>
                  <w:r>
                    <w:rPr>
                      <w:rFonts w:hint="eastAsia" w:eastAsia="宋体"/>
                      <w:sz w:val="21"/>
                      <w:szCs w:val="21"/>
                      <w:highlight w:val="none"/>
                    </w:rPr>
                    <w:t>电子科技大学长三角研究院</w:t>
                  </w:r>
                </w:p>
              </w:tc>
              <w:tc>
                <w:tcPr>
                  <w:tcW w:w="825" w:type="pct"/>
                  <w:tcBorders>
                    <w:top w:val="single" w:color="auto" w:sz="4" w:space="0"/>
                    <w:left w:val="single" w:color="auto" w:sz="4" w:space="0"/>
                    <w:bottom w:val="single" w:color="auto" w:sz="4" w:space="0"/>
                    <w:right w:val="single" w:color="auto" w:sz="4" w:space="0"/>
                  </w:tcBorders>
                  <w:shd w:val="clear" w:color="auto" w:fill="auto"/>
                  <w:tcMar>
                    <w:left w:w="57" w:type="dxa"/>
                    <w:right w:w="57" w:type="dxa"/>
                  </w:tcMar>
                  <w:vAlign w:val="center"/>
                </w:tcPr>
                <w:p w14:paraId="7F5C1767">
                  <w:pPr>
                    <w:pStyle w:val="85"/>
                    <w:keepNext w:val="0"/>
                    <w:keepLines w:val="0"/>
                    <w:suppressLineNumbers w:val="0"/>
                    <w:adjustRightInd w:val="0"/>
                    <w:snapToGrid w:val="0"/>
                    <w:spacing w:before="0" w:beforeAutospacing="0" w:after="0" w:afterAutospacing="0"/>
                    <w:ind w:left="0" w:right="0" w:firstLine="0" w:firstLineChars="0"/>
                    <w:jc w:val="center"/>
                    <w:rPr>
                      <w:rFonts w:hint="eastAsia" w:ascii="Times New Roman" w:hAnsi="Times New Roman" w:eastAsia="宋体" w:cs="Times New Roman"/>
                      <w:kern w:val="2"/>
                      <w:sz w:val="21"/>
                      <w:szCs w:val="21"/>
                      <w:highlight w:val="none"/>
                      <w:lang w:val="en-US" w:eastAsia="zh-CN" w:bidi="ar-SA"/>
                    </w:rPr>
                  </w:pPr>
                  <w:r>
                    <w:rPr>
                      <w:rFonts w:hint="eastAsia" w:eastAsia="宋体" w:cs="Times New Roman"/>
                      <w:color w:val="auto"/>
                      <w:kern w:val="0"/>
                      <w:sz w:val="21"/>
                      <w:szCs w:val="21"/>
                      <w:highlight w:val="none"/>
                      <w:lang w:val="en-US" w:eastAsia="zh-CN"/>
                    </w:rPr>
                    <w:t>E</w:t>
                  </w:r>
                  <w:r>
                    <w:rPr>
                      <w:rFonts w:hint="eastAsia" w:eastAsia="宋体"/>
                      <w:sz w:val="21"/>
                      <w:szCs w:val="21"/>
                      <w:highlight w:val="none"/>
                    </w:rPr>
                    <w:t>118.83555</w:t>
                  </w:r>
                  <w:r>
                    <w:rPr>
                      <w:rFonts w:hint="eastAsia" w:eastAsia="宋体"/>
                      <w:sz w:val="21"/>
                      <w:szCs w:val="21"/>
                      <w:highlight w:val="none"/>
                      <w:lang w:val="en-US" w:eastAsia="zh-CN"/>
                    </w:rPr>
                    <w:t>3</w:t>
                  </w:r>
                  <w:r>
                    <w:rPr>
                      <w:rFonts w:hint="default" w:eastAsia="Times New Roman"/>
                      <w:sz w:val="21"/>
                      <w:szCs w:val="21"/>
                      <w:highlight w:val="none"/>
                    </w:rPr>
                    <w:t>°</w:t>
                  </w:r>
                </w:p>
              </w:tc>
              <w:tc>
                <w:tcPr>
                  <w:tcW w:w="766" w:type="pct"/>
                  <w:tcBorders>
                    <w:top w:val="single" w:color="auto" w:sz="4" w:space="0"/>
                    <w:left w:val="single" w:color="auto" w:sz="4" w:space="0"/>
                    <w:bottom w:val="single" w:color="auto" w:sz="4" w:space="0"/>
                    <w:right w:val="single" w:color="auto" w:sz="4" w:space="0"/>
                  </w:tcBorders>
                  <w:shd w:val="clear" w:color="auto" w:fill="auto"/>
                  <w:tcMar>
                    <w:left w:w="57" w:type="dxa"/>
                    <w:right w:w="57" w:type="dxa"/>
                  </w:tcMar>
                  <w:vAlign w:val="center"/>
                </w:tcPr>
                <w:p w14:paraId="60EB320F">
                  <w:pPr>
                    <w:pStyle w:val="85"/>
                    <w:keepNext w:val="0"/>
                    <w:keepLines w:val="0"/>
                    <w:suppressLineNumbers w:val="0"/>
                    <w:adjustRightInd w:val="0"/>
                    <w:snapToGrid w:val="0"/>
                    <w:spacing w:before="0" w:beforeAutospacing="0" w:after="0" w:afterAutospacing="0"/>
                    <w:ind w:left="0" w:right="0" w:firstLine="0" w:firstLineChars="0"/>
                    <w:jc w:val="center"/>
                    <w:rPr>
                      <w:rFonts w:hint="eastAsia" w:ascii="Times New Roman" w:hAnsi="Times New Roman" w:eastAsia="宋体" w:cs="Times New Roman"/>
                      <w:kern w:val="2"/>
                      <w:sz w:val="21"/>
                      <w:szCs w:val="21"/>
                      <w:highlight w:val="none"/>
                      <w:lang w:val="en-US" w:eastAsia="zh-CN" w:bidi="ar-SA"/>
                    </w:rPr>
                  </w:pPr>
                  <w:r>
                    <w:rPr>
                      <w:rFonts w:hint="eastAsia" w:eastAsia="宋体" w:cs="Times New Roman"/>
                      <w:color w:val="auto"/>
                      <w:kern w:val="0"/>
                      <w:sz w:val="21"/>
                      <w:szCs w:val="21"/>
                      <w:highlight w:val="none"/>
                      <w:lang w:val="en-US" w:eastAsia="zh-CN"/>
                    </w:rPr>
                    <w:t>N</w:t>
                  </w:r>
                  <w:r>
                    <w:rPr>
                      <w:rFonts w:hint="eastAsia" w:eastAsia="宋体"/>
                      <w:sz w:val="21"/>
                      <w:szCs w:val="21"/>
                      <w:highlight w:val="none"/>
                    </w:rPr>
                    <w:t>28.950355</w:t>
                  </w:r>
                  <w:r>
                    <w:rPr>
                      <w:rFonts w:hint="default" w:eastAsia="Times New Roman"/>
                      <w:sz w:val="21"/>
                      <w:szCs w:val="21"/>
                      <w:highlight w:val="none"/>
                    </w:rPr>
                    <w:t>°</w:t>
                  </w:r>
                </w:p>
              </w:tc>
              <w:tc>
                <w:tcPr>
                  <w:tcW w:w="323" w:type="pct"/>
                  <w:tcBorders>
                    <w:top w:val="single" w:color="auto" w:sz="4" w:space="0"/>
                    <w:left w:val="single" w:color="auto" w:sz="4" w:space="0"/>
                    <w:bottom w:val="single" w:color="auto" w:sz="4" w:space="0"/>
                    <w:right w:val="single" w:color="auto" w:sz="4" w:space="0"/>
                  </w:tcBorders>
                  <w:shd w:val="clear" w:color="auto" w:fill="auto"/>
                  <w:tcMar>
                    <w:left w:w="57" w:type="dxa"/>
                    <w:right w:w="57" w:type="dxa"/>
                  </w:tcMar>
                  <w:vAlign w:val="center"/>
                </w:tcPr>
                <w:p w14:paraId="4904F36F">
                  <w:pPr>
                    <w:pStyle w:val="85"/>
                    <w:keepNext w:val="0"/>
                    <w:keepLines w:val="0"/>
                    <w:suppressLineNumbers w:val="0"/>
                    <w:adjustRightInd w:val="0"/>
                    <w:snapToGrid w:val="0"/>
                    <w:spacing w:before="0" w:beforeAutospacing="0" w:after="0" w:afterAutospacing="0"/>
                    <w:ind w:left="0" w:right="0" w:firstLine="0" w:firstLineChars="0"/>
                    <w:jc w:val="center"/>
                    <w:rPr>
                      <w:rFonts w:hint="eastAsia" w:ascii="Times New Roman" w:hAnsi="Times New Roman" w:eastAsia="宋体" w:cs="Times New Roman"/>
                      <w:kern w:val="2"/>
                      <w:sz w:val="21"/>
                      <w:szCs w:val="21"/>
                      <w:highlight w:val="none"/>
                      <w:lang w:val="en-US" w:eastAsia="zh-CN" w:bidi="ar-SA"/>
                    </w:rPr>
                  </w:pPr>
                  <w:r>
                    <w:rPr>
                      <w:rFonts w:hint="eastAsia" w:eastAsia="宋体"/>
                      <w:sz w:val="21"/>
                      <w:szCs w:val="21"/>
                      <w:highlight w:val="none"/>
                      <w:lang w:val="en-US" w:eastAsia="zh-CN"/>
                    </w:rPr>
                    <w:t>东南</w:t>
                  </w:r>
                </w:p>
              </w:tc>
              <w:tc>
                <w:tcPr>
                  <w:tcW w:w="579" w:type="pct"/>
                  <w:tcBorders>
                    <w:top w:val="single" w:color="auto" w:sz="4" w:space="0"/>
                    <w:left w:val="single" w:color="auto" w:sz="4" w:space="0"/>
                    <w:bottom w:val="single" w:color="auto" w:sz="4" w:space="0"/>
                    <w:right w:val="single" w:color="auto" w:sz="4" w:space="0"/>
                  </w:tcBorders>
                  <w:shd w:val="clear" w:color="auto" w:fill="auto"/>
                  <w:tcMar>
                    <w:left w:w="57" w:type="dxa"/>
                    <w:right w:w="57" w:type="dxa"/>
                  </w:tcMar>
                  <w:vAlign w:val="center"/>
                </w:tcPr>
                <w:p w14:paraId="0A5E9061">
                  <w:pPr>
                    <w:pStyle w:val="85"/>
                    <w:keepNext w:val="0"/>
                    <w:keepLines w:val="0"/>
                    <w:suppressLineNumbers w:val="0"/>
                    <w:adjustRightInd w:val="0"/>
                    <w:snapToGrid w:val="0"/>
                    <w:spacing w:before="0" w:beforeAutospacing="0" w:after="0" w:afterAutospacing="0"/>
                    <w:ind w:left="0" w:right="0" w:firstLine="0" w:firstLineChars="0"/>
                    <w:jc w:val="center"/>
                    <w:rPr>
                      <w:rFonts w:hint="default" w:ascii="Times New Roman" w:hAnsi="Times New Roman" w:eastAsia="宋体" w:cs="Times New Roman"/>
                      <w:kern w:val="2"/>
                      <w:sz w:val="21"/>
                      <w:szCs w:val="21"/>
                      <w:highlight w:val="none"/>
                      <w:lang w:val="en-US" w:eastAsia="zh-CN" w:bidi="ar-SA"/>
                    </w:rPr>
                  </w:pPr>
                  <w:r>
                    <w:rPr>
                      <w:rFonts w:hint="eastAsia" w:eastAsia="宋体"/>
                      <w:sz w:val="21"/>
                      <w:szCs w:val="21"/>
                      <w:highlight w:val="none"/>
                      <w:lang w:val="en-US" w:eastAsia="zh-CN"/>
                    </w:rPr>
                    <w:t>27</w:t>
                  </w:r>
                </w:p>
              </w:tc>
            </w:tr>
            <w:tr w14:paraId="3F3159F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319" w:hRule="atLeast"/>
                <w:jc w:val="center"/>
              </w:trPr>
              <w:tc>
                <w:tcPr>
                  <w:tcW w:w="825" w:type="pct"/>
                  <w:vMerge w:val="continue"/>
                  <w:tcBorders>
                    <w:left w:val="single" w:color="auto" w:sz="4" w:space="0"/>
                    <w:right w:val="single" w:color="auto" w:sz="4" w:space="0"/>
                  </w:tcBorders>
                  <w:tcMar>
                    <w:left w:w="57" w:type="dxa"/>
                    <w:right w:w="57" w:type="dxa"/>
                  </w:tcMar>
                  <w:vAlign w:val="center"/>
                </w:tcPr>
                <w:p w14:paraId="53B27DAC">
                  <w:pPr>
                    <w:pStyle w:val="85"/>
                    <w:keepNext w:val="0"/>
                    <w:keepLines w:val="0"/>
                    <w:suppressLineNumbers w:val="0"/>
                    <w:tabs>
                      <w:tab w:val="left" w:pos="2625"/>
                    </w:tabs>
                    <w:adjustRightInd w:val="0"/>
                    <w:snapToGrid w:val="0"/>
                    <w:spacing w:before="0" w:beforeAutospacing="0" w:after="0" w:afterAutospacing="0" w:line="276" w:lineRule="auto"/>
                    <w:ind w:left="0" w:right="0" w:firstLine="0" w:firstLineChars="0"/>
                    <w:jc w:val="center"/>
                    <w:rPr>
                      <w:rFonts w:hint="eastAsia" w:eastAsia="宋体"/>
                      <w:kern w:val="0"/>
                      <w:sz w:val="21"/>
                      <w:szCs w:val="21"/>
                      <w:highlight w:val="none"/>
                    </w:rPr>
                  </w:pPr>
                </w:p>
              </w:tc>
              <w:tc>
                <w:tcPr>
                  <w:tcW w:w="260" w:type="pct"/>
                  <w:tcBorders>
                    <w:top w:val="single" w:color="auto" w:sz="4" w:space="0"/>
                    <w:left w:val="single" w:color="auto" w:sz="4" w:space="0"/>
                    <w:bottom w:val="single" w:color="auto" w:sz="4" w:space="0"/>
                    <w:right w:val="single" w:color="auto" w:sz="4" w:space="0"/>
                  </w:tcBorders>
                  <w:shd w:val="clear" w:color="auto" w:fill="auto"/>
                  <w:tcMar>
                    <w:left w:w="57" w:type="dxa"/>
                    <w:right w:w="57" w:type="dxa"/>
                  </w:tcMar>
                  <w:vAlign w:val="center"/>
                </w:tcPr>
                <w:p w14:paraId="00257E38">
                  <w:pPr>
                    <w:pStyle w:val="85"/>
                    <w:keepNext w:val="0"/>
                    <w:keepLines w:val="0"/>
                    <w:suppressLineNumbers w:val="0"/>
                    <w:tabs>
                      <w:tab w:val="left" w:pos="2625"/>
                    </w:tabs>
                    <w:adjustRightInd w:val="0"/>
                    <w:snapToGrid w:val="0"/>
                    <w:spacing w:before="0" w:beforeAutospacing="0" w:after="0" w:afterAutospacing="0" w:line="276" w:lineRule="auto"/>
                    <w:ind w:left="0" w:leftChars="0" w:right="0" w:rightChars="0" w:firstLine="0" w:firstLineChars="0"/>
                    <w:jc w:val="center"/>
                    <w:rPr>
                      <w:rFonts w:hint="eastAsia" w:ascii="Times New Roman" w:hAnsi="Times New Roman" w:eastAsia="宋体" w:cs="Times New Roman"/>
                      <w:kern w:val="0"/>
                      <w:sz w:val="21"/>
                      <w:szCs w:val="21"/>
                      <w:highlight w:val="none"/>
                      <w:lang w:val="en-US" w:eastAsia="zh-CN" w:bidi="ar-SA"/>
                    </w:rPr>
                  </w:pPr>
                  <w:r>
                    <w:rPr>
                      <w:rFonts w:hint="eastAsia" w:eastAsia="宋体"/>
                      <w:kern w:val="0"/>
                      <w:sz w:val="21"/>
                      <w:szCs w:val="21"/>
                      <w:highlight w:val="none"/>
                      <w:lang w:val="en-US" w:eastAsia="zh-CN"/>
                    </w:rPr>
                    <w:t>4</w:t>
                  </w:r>
                </w:p>
              </w:tc>
              <w:tc>
                <w:tcPr>
                  <w:tcW w:w="1418" w:type="pct"/>
                  <w:tcBorders>
                    <w:top w:val="single" w:color="auto" w:sz="4" w:space="0"/>
                    <w:left w:val="single" w:color="auto" w:sz="4" w:space="0"/>
                    <w:bottom w:val="single" w:color="auto" w:sz="4" w:space="0"/>
                    <w:right w:val="single" w:color="auto" w:sz="4" w:space="0"/>
                  </w:tcBorders>
                  <w:tcMar>
                    <w:left w:w="57" w:type="dxa"/>
                    <w:right w:w="57" w:type="dxa"/>
                  </w:tcMar>
                  <w:vAlign w:val="center"/>
                </w:tcPr>
                <w:p w14:paraId="1EEA3441">
                  <w:pPr>
                    <w:pStyle w:val="85"/>
                    <w:keepNext w:val="0"/>
                    <w:keepLines w:val="0"/>
                    <w:suppressLineNumbers w:val="0"/>
                    <w:adjustRightInd w:val="0"/>
                    <w:snapToGrid w:val="0"/>
                    <w:spacing w:before="0" w:beforeAutospacing="0" w:after="0" w:afterAutospacing="0"/>
                    <w:ind w:left="0" w:right="0" w:firstLine="0" w:firstLineChars="0"/>
                    <w:jc w:val="center"/>
                    <w:rPr>
                      <w:rFonts w:hint="eastAsia" w:ascii="Times New Roman" w:hAnsi="Times New Roman" w:eastAsia="宋体" w:cs="Times New Roman"/>
                      <w:color w:val="auto"/>
                      <w:kern w:val="0"/>
                      <w:sz w:val="21"/>
                      <w:szCs w:val="21"/>
                      <w:highlight w:val="none"/>
                      <w:lang w:val="en-US" w:eastAsia="zh-CN"/>
                    </w:rPr>
                  </w:pPr>
                  <w:r>
                    <w:rPr>
                      <w:rFonts w:hint="eastAsia" w:eastAsia="宋体" w:cs="Times New Roman"/>
                      <w:color w:val="auto"/>
                      <w:kern w:val="0"/>
                      <w:sz w:val="21"/>
                      <w:szCs w:val="21"/>
                      <w:highlight w:val="none"/>
                      <w:lang w:val="en-US" w:eastAsia="zh-CN"/>
                    </w:rPr>
                    <w:t>东侧规划高等院校</w:t>
                  </w:r>
                </w:p>
              </w:tc>
              <w:tc>
                <w:tcPr>
                  <w:tcW w:w="825" w:type="pct"/>
                  <w:tcBorders>
                    <w:top w:val="single" w:color="auto" w:sz="4" w:space="0"/>
                    <w:left w:val="single" w:color="auto" w:sz="4" w:space="0"/>
                    <w:bottom w:val="single" w:color="auto" w:sz="4" w:space="0"/>
                    <w:right w:val="single" w:color="auto" w:sz="4" w:space="0"/>
                  </w:tcBorders>
                  <w:tcMar>
                    <w:left w:w="57" w:type="dxa"/>
                    <w:right w:w="57" w:type="dxa"/>
                  </w:tcMar>
                  <w:vAlign w:val="center"/>
                </w:tcPr>
                <w:p w14:paraId="047CA7F1">
                  <w:pPr>
                    <w:pStyle w:val="85"/>
                    <w:keepNext w:val="0"/>
                    <w:keepLines w:val="0"/>
                    <w:suppressLineNumbers w:val="0"/>
                    <w:adjustRightInd w:val="0"/>
                    <w:snapToGrid w:val="0"/>
                    <w:spacing w:before="0" w:beforeAutospacing="0" w:after="0" w:afterAutospacing="0"/>
                    <w:ind w:left="0" w:right="0" w:firstLine="0" w:firstLineChars="0"/>
                    <w:jc w:val="center"/>
                    <w:rPr>
                      <w:rFonts w:hint="eastAsia" w:eastAsia="宋体" w:cs="Times New Roman"/>
                      <w:color w:val="auto"/>
                      <w:kern w:val="0"/>
                      <w:sz w:val="21"/>
                      <w:szCs w:val="21"/>
                      <w:highlight w:val="none"/>
                      <w:lang w:val="en-US" w:eastAsia="zh-CN"/>
                    </w:rPr>
                  </w:pPr>
                  <w:r>
                    <w:rPr>
                      <w:rFonts w:hint="eastAsia" w:eastAsia="宋体" w:cs="Times New Roman"/>
                      <w:color w:val="auto"/>
                      <w:kern w:val="0"/>
                      <w:sz w:val="21"/>
                      <w:szCs w:val="21"/>
                      <w:highlight w:val="none"/>
                      <w:lang w:val="en-US" w:eastAsia="zh-CN"/>
                    </w:rPr>
                    <w:t>E118.833652</w:t>
                  </w:r>
                  <w:r>
                    <w:rPr>
                      <w:rFonts w:hint="default" w:eastAsia="Times New Roman"/>
                      <w:sz w:val="21"/>
                      <w:szCs w:val="21"/>
                      <w:highlight w:val="none"/>
                    </w:rPr>
                    <w:t>°</w:t>
                  </w:r>
                </w:p>
              </w:tc>
              <w:tc>
                <w:tcPr>
                  <w:tcW w:w="766" w:type="pct"/>
                  <w:tcBorders>
                    <w:top w:val="single" w:color="auto" w:sz="4" w:space="0"/>
                    <w:left w:val="single" w:color="auto" w:sz="4" w:space="0"/>
                    <w:bottom w:val="single" w:color="auto" w:sz="4" w:space="0"/>
                    <w:right w:val="single" w:color="auto" w:sz="4" w:space="0"/>
                  </w:tcBorders>
                  <w:tcMar>
                    <w:left w:w="57" w:type="dxa"/>
                    <w:right w:w="57" w:type="dxa"/>
                  </w:tcMar>
                  <w:vAlign w:val="center"/>
                </w:tcPr>
                <w:p w14:paraId="2C10C938">
                  <w:pPr>
                    <w:pStyle w:val="85"/>
                    <w:keepNext w:val="0"/>
                    <w:keepLines w:val="0"/>
                    <w:suppressLineNumbers w:val="0"/>
                    <w:adjustRightInd w:val="0"/>
                    <w:snapToGrid w:val="0"/>
                    <w:spacing w:before="0" w:beforeAutospacing="0" w:after="0" w:afterAutospacing="0"/>
                    <w:ind w:left="0" w:right="0" w:firstLine="0" w:firstLineChars="0"/>
                    <w:jc w:val="center"/>
                    <w:rPr>
                      <w:rFonts w:hint="default" w:eastAsia="宋体" w:cs="Times New Roman"/>
                      <w:color w:val="auto"/>
                      <w:kern w:val="0"/>
                      <w:sz w:val="21"/>
                      <w:szCs w:val="21"/>
                      <w:highlight w:val="none"/>
                      <w:lang w:val="en-US" w:eastAsia="zh-CN"/>
                    </w:rPr>
                  </w:pPr>
                  <w:r>
                    <w:rPr>
                      <w:rFonts w:hint="eastAsia" w:eastAsia="宋体" w:cs="Times New Roman"/>
                      <w:color w:val="auto"/>
                      <w:kern w:val="0"/>
                      <w:sz w:val="21"/>
                      <w:szCs w:val="21"/>
                      <w:highlight w:val="none"/>
                      <w:lang w:val="en-US" w:eastAsia="zh-CN"/>
                    </w:rPr>
                    <w:t>N28.952643</w:t>
                  </w:r>
                  <w:r>
                    <w:rPr>
                      <w:rFonts w:hint="default" w:eastAsia="Times New Roman"/>
                      <w:sz w:val="21"/>
                      <w:szCs w:val="21"/>
                      <w:highlight w:val="none"/>
                    </w:rPr>
                    <w:t>°</w:t>
                  </w:r>
                </w:p>
              </w:tc>
              <w:tc>
                <w:tcPr>
                  <w:tcW w:w="323" w:type="pct"/>
                  <w:tcBorders>
                    <w:top w:val="single" w:color="auto" w:sz="4" w:space="0"/>
                    <w:left w:val="single" w:color="auto" w:sz="4" w:space="0"/>
                    <w:bottom w:val="single" w:color="auto" w:sz="4" w:space="0"/>
                    <w:right w:val="single" w:color="auto" w:sz="4" w:space="0"/>
                  </w:tcBorders>
                  <w:tcMar>
                    <w:left w:w="57" w:type="dxa"/>
                    <w:right w:w="57" w:type="dxa"/>
                  </w:tcMar>
                  <w:vAlign w:val="center"/>
                </w:tcPr>
                <w:p w14:paraId="5D78F56A">
                  <w:pPr>
                    <w:pStyle w:val="85"/>
                    <w:keepNext w:val="0"/>
                    <w:keepLines w:val="0"/>
                    <w:suppressLineNumbers w:val="0"/>
                    <w:adjustRightInd w:val="0"/>
                    <w:snapToGrid w:val="0"/>
                    <w:spacing w:before="0" w:beforeAutospacing="0" w:after="0" w:afterAutospacing="0"/>
                    <w:ind w:left="0" w:right="0" w:firstLine="0" w:firstLineChars="0"/>
                    <w:jc w:val="center"/>
                    <w:rPr>
                      <w:rFonts w:hint="eastAsia" w:eastAsia="宋体"/>
                      <w:sz w:val="21"/>
                      <w:szCs w:val="21"/>
                      <w:highlight w:val="none"/>
                      <w:lang w:val="en-US" w:eastAsia="zh-CN"/>
                    </w:rPr>
                  </w:pPr>
                  <w:r>
                    <w:rPr>
                      <w:rFonts w:hint="eastAsia" w:eastAsia="宋体"/>
                      <w:sz w:val="21"/>
                      <w:szCs w:val="21"/>
                      <w:highlight w:val="none"/>
                      <w:lang w:val="en-US" w:eastAsia="zh-CN"/>
                    </w:rPr>
                    <w:t>东</w:t>
                  </w:r>
                </w:p>
              </w:tc>
              <w:tc>
                <w:tcPr>
                  <w:tcW w:w="579" w:type="pct"/>
                  <w:tcBorders>
                    <w:top w:val="single" w:color="auto" w:sz="4" w:space="0"/>
                    <w:left w:val="single" w:color="auto" w:sz="4" w:space="0"/>
                    <w:bottom w:val="single" w:color="auto" w:sz="4" w:space="0"/>
                    <w:right w:val="single" w:color="auto" w:sz="4" w:space="0"/>
                  </w:tcBorders>
                  <w:tcMar>
                    <w:left w:w="57" w:type="dxa"/>
                    <w:right w:w="57" w:type="dxa"/>
                  </w:tcMar>
                  <w:vAlign w:val="center"/>
                </w:tcPr>
                <w:p w14:paraId="2643E9EF">
                  <w:pPr>
                    <w:keepNext w:val="0"/>
                    <w:keepLines w:val="0"/>
                    <w:suppressLineNumbers w:val="0"/>
                    <w:adjustRightInd w:val="0"/>
                    <w:snapToGrid w:val="0"/>
                    <w:spacing w:before="0" w:beforeAutospacing="0" w:after="0" w:afterAutospacing="0"/>
                    <w:ind w:left="0" w:right="0"/>
                    <w:jc w:val="center"/>
                    <w:rPr>
                      <w:rFonts w:hint="default"/>
                      <w:sz w:val="21"/>
                      <w:szCs w:val="21"/>
                      <w:highlight w:val="none"/>
                      <w:lang w:val="en-US" w:eastAsia="zh-CN"/>
                    </w:rPr>
                  </w:pPr>
                  <w:r>
                    <w:rPr>
                      <w:rFonts w:hint="eastAsia"/>
                      <w:sz w:val="21"/>
                      <w:szCs w:val="21"/>
                      <w:highlight w:val="none"/>
                      <w:lang w:val="en-US" w:eastAsia="zh-CN"/>
                    </w:rPr>
                    <w:t>28</w:t>
                  </w:r>
                </w:p>
              </w:tc>
            </w:tr>
            <w:tr w14:paraId="2920B59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319" w:hRule="atLeast"/>
                <w:jc w:val="center"/>
              </w:trPr>
              <w:tc>
                <w:tcPr>
                  <w:tcW w:w="825" w:type="pct"/>
                  <w:vMerge w:val="continue"/>
                  <w:tcBorders>
                    <w:left w:val="single" w:color="auto" w:sz="4" w:space="0"/>
                    <w:right w:val="single" w:color="auto" w:sz="4" w:space="0"/>
                  </w:tcBorders>
                  <w:tcMar>
                    <w:left w:w="57" w:type="dxa"/>
                    <w:right w:w="57" w:type="dxa"/>
                  </w:tcMar>
                  <w:vAlign w:val="center"/>
                </w:tcPr>
                <w:p w14:paraId="06A96BAE">
                  <w:pPr>
                    <w:pStyle w:val="85"/>
                    <w:keepNext w:val="0"/>
                    <w:keepLines w:val="0"/>
                    <w:suppressLineNumbers w:val="0"/>
                    <w:tabs>
                      <w:tab w:val="left" w:pos="2625"/>
                    </w:tabs>
                    <w:adjustRightInd w:val="0"/>
                    <w:snapToGrid w:val="0"/>
                    <w:spacing w:before="0" w:beforeAutospacing="0" w:after="0" w:afterAutospacing="0" w:line="276" w:lineRule="auto"/>
                    <w:ind w:left="0" w:right="0" w:firstLine="0" w:firstLineChars="0"/>
                    <w:jc w:val="center"/>
                    <w:rPr>
                      <w:rFonts w:hint="default" w:eastAsia="宋体"/>
                      <w:kern w:val="0"/>
                      <w:sz w:val="21"/>
                      <w:szCs w:val="21"/>
                      <w:highlight w:val="none"/>
                    </w:rPr>
                  </w:pPr>
                </w:p>
              </w:tc>
              <w:tc>
                <w:tcPr>
                  <w:tcW w:w="260" w:type="pct"/>
                  <w:tcBorders>
                    <w:top w:val="single" w:color="auto" w:sz="4" w:space="0"/>
                    <w:left w:val="single" w:color="auto" w:sz="4" w:space="0"/>
                    <w:bottom w:val="single" w:color="auto" w:sz="4" w:space="0"/>
                    <w:right w:val="single" w:color="auto" w:sz="4" w:space="0"/>
                  </w:tcBorders>
                  <w:shd w:val="clear" w:color="auto" w:fill="auto"/>
                  <w:tcMar>
                    <w:left w:w="57" w:type="dxa"/>
                    <w:right w:w="57" w:type="dxa"/>
                  </w:tcMar>
                  <w:vAlign w:val="center"/>
                </w:tcPr>
                <w:p w14:paraId="7D902A5E">
                  <w:pPr>
                    <w:pStyle w:val="85"/>
                    <w:keepNext w:val="0"/>
                    <w:keepLines w:val="0"/>
                    <w:suppressLineNumbers w:val="0"/>
                    <w:tabs>
                      <w:tab w:val="left" w:pos="2625"/>
                    </w:tabs>
                    <w:adjustRightInd w:val="0"/>
                    <w:snapToGrid w:val="0"/>
                    <w:spacing w:before="0" w:beforeAutospacing="0" w:after="0" w:afterAutospacing="0" w:line="276" w:lineRule="auto"/>
                    <w:ind w:left="0" w:leftChars="0" w:right="0" w:rightChars="0" w:firstLine="0" w:firstLineChars="0"/>
                    <w:jc w:val="center"/>
                    <w:rPr>
                      <w:rFonts w:hint="eastAsia" w:ascii="Times New Roman" w:hAnsi="Times New Roman" w:eastAsia="宋体" w:cs="Times New Roman"/>
                      <w:kern w:val="0"/>
                      <w:sz w:val="21"/>
                      <w:szCs w:val="21"/>
                      <w:highlight w:val="none"/>
                      <w:lang w:val="en-US" w:eastAsia="zh-CN" w:bidi="ar-SA"/>
                    </w:rPr>
                  </w:pPr>
                  <w:r>
                    <w:rPr>
                      <w:rFonts w:hint="eastAsia" w:eastAsia="宋体"/>
                      <w:kern w:val="0"/>
                      <w:sz w:val="21"/>
                      <w:szCs w:val="21"/>
                      <w:highlight w:val="none"/>
                      <w:lang w:val="en-US" w:eastAsia="zh-CN"/>
                    </w:rPr>
                    <w:t>5</w:t>
                  </w:r>
                </w:p>
              </w:tc>
              <w:tc>
                <w:tcPr>
                  <w:tcW w:w="1418" w:type="pct"/>
                  <w:tcBorders>
                    <w:top w:val="single" w:color="auto" w:sz="4" w:space="0"/>
                    <w:left w:val="single" w:color="auto" w:sz="4" w:space="0"/>
                    <w:bottom w:val="single" w:color="auto" w:sz="4" w:space="0"/>
                    <w:right w:val="single" w:color="auto" w:sz="4" w:space="0"/>
                  </w:tcBorders>
                  <w:tcMar>
                    <w:left w:w="57" w:type="dxa"/>
                    <w:right w:w="57" w:type="dxa"/>
                  </w:tcMar>
                  <w:vAlign w:val="center"/>
                </w:tcPr>
                <w:p w14:paraId="3258E771">
                  <w:pPr>
                    <w:pStyle w:val="85"/>
                    <w:keepNext w:val="0"/>
                    <w:keepLines w:val="0"/>
                    <w:suppressLineNumbers w:val="0"/>
                    <w:adjustRightInd w:val="0"/>
                    <w:snapToGrid w:val="0"/>
                    <w:spacing w:before="0" w:beforeAutospacing="0" w:after="0" w:afterAutospacing="0"/>
                    <w:ind w:left="0" w:right="0" w:firstLine="0" w:firstLineChars="0"/>
                    <w:jc w:val="center"/>
                    <w:rPr>
                      <w:rFonts w:hint="default" w:eastAsia="宋体"/>
                      <w:sz w:val="21"/>
                      <w:szCs w:val="21"/>
                      <w:highlight w:val="none"/>
                    </w:rPr>
                  </w:pPr>
                  <w:r>
                    <w:rPr>
                      <w:rFonts w:hint="eastAsia" w:ascii="Times New Roman" w:hAnsi="Times New Roman" w:eastAsia="宋体" w:cs="Times New Roman"/>
                      <w:color w:val="auto"/>
                      <w:kern w:val="0"/>
                      <w:sz w:val="21"/>
                      <w:szCs w:val="21"/>
                      <w:highlight w:val="none"/>
                      <w:lang w:val="en-US" w:eastAsia="zh-CN"/>
                    </w:rPr>
                    <w:t>四省边际中心医院（闽江大道院区）</w:t>
                  </w:r>
                </w:p>
              </w:tc>
              <w:tc>
                <w:tcPr>
                  <w:tcW w:w="825" w:type="pct"/>
                  <w:tcBorders>
                    <w:top w:val="single" w:color="auto" w:sz="4" w:space="0"/>
                    <w:left w:val="single" w:color="auto" w:sz="4" w:space="0"/>
                    <w:bottom w:val="single" w:color="auto" w:sz="4" w:space="0"/>
                    <w:right w:val="single" w:color="auto" w:sz="4" w:space="0"/>
                  </w:tcBorders>
                  <w:tcMar>
                    <w:left w:w="57" w:type="dxa"/>
                    <w:right w:w="57" w:type="dxa"/>
                  </w:tcMar>
                  <w:vAlign w:val="center"/>
                </w:tcPr>
                <w:p w14:paraId="223FF8FE">
                  <w:pPr>
                    <w:pStyle w:val="85"/>
                    <w:keepNext w:val="0"/>
                    <w:keepLines w:val="0"/>
                    <w:suppressLineNumbers w:val="0"/>
                    <w:adjustRightInd w:val="0"/>
                    <w:snapToGrid w:val="0"/>
                    <w:spacing w:before="0" w:beforeAutospacing="0" w:after="0" w:afterAutospacing="0"/>
                    <w:ind w:left="0" w:right="0" w:firstLine="0" w:firstLineChars="0"/>
                    <w:jc w:val="center"/>
                    <w:rPr>
                      <w:rFonts w:hint="eastAsia" w:ascii="Times New Roman" w:hAnsi="Times New Roman" w:eastAsia="宋体" w:cs="Times New Roman"/>
                      <w:color w:val="auto"/>
                      <w:kern w:val="0"/>
                      <w:sz w:val="21"/>
                      <w:szCs w:val="21"/>
                      <w:highlight w:val="none"/>
                      <w:lang w:val="en-US" w:eastAsia="zh-CN"/>
                    </w:rPr>
                  </w:pPr>
                  <w:r>
                    <w:rPr>
                      <w:rFonts w:hint="eastAsia" w:eastAsia="宋体" w:cs="Times New Roman"/>
                      <w:color w:val="auto"/>
                      <w:kern w:val="0"/>
                      <w:sz w:val="21"/>
                      <w:szCs w:val="21"/>
                      <w:highlight w:val="none"/>
                      <w:lang w:val="en-US" w:eastAsia="zh-CN"/>
                    </w:rPr>
                    <w:t>E</w:t>
                  </w:r>
                  <w:r>
                    <w:rPr>
                      <w:rFonts w:hint="eastAsia" w:ascii="Times New Roman" w:hAnsi="Times New Roman" w:eastAsia="宋体" w:cs="Times New Roman"/>
                      <w:color w:val="auto"/>
                      <w:kern w:val="0"/>
                      <w:sz w:val="21"/>
                      <w:szCs w:val="21"/>
                      <w:highlight w:val="none"/>
                      <w:lang w:val="en-US" w:eastAsia="zh-CN"/>
                    </w:rPr>
                    <w:t>118.830177</w:t>
                  </w:r>
                  <w:r>
                    <w:rPr>
                      <w:rFonts w:hint="default" w:eastAsia="Times New Roman"/>
                      <w:sz w:val="21"/>
                      <w:szCs w:val="21"/>
                      <w:highlight w:val="none"/>
                    </w:rPr>
                    <w:t>°</w:t>
                  </w:r>
                </w:p>
              </w:tc>
              <w:tc>
                <w:tcPr>
                  <w:tcW w:w="766" w:type="pct"/>
                  <w:tcBorders>
                    <w:top w:val="single" w:color="auto" w:sz="4" w:space="0"/>
                    <w:left w:val="single" w:color="auto" w:sz="4" w:space="0"/>
                    <w:bottom w:val="single" w:color="auto" w:sz="4" w:space="0"/>
                    <w:right w:val="single" w:color="auto" w:sz="4" w:space="0"/>
                  </w:tcBorders>
                  <w:tcMar>
                    <w:left w:w="57" w:type="dxa"/>
                    <w:right w:w="57" w:type="dxa"/>
                  </w:tcMar>
                  <w:vAlign w:val="center"/>
                </w:tcPr>
                <w:p w14:paraId="761FF971">
                  <w:pPr>
                    <w:pStyle w:val="85"/>
                    <w:keepNext w:val="0"/>
                    <w:keepLines w:val="0"/>
                    <w:suppressLineNumbers w:val="0"/>
                    <w:adjustRightInd w:val="0"/>
                    <w:snapToGrid w:val="0"/>
                    <w:spacing w:before="0" w:beforeAutospacing="0" w:after="0" w:afterAutospacing="0"/>
                    <w:ind w:left="0" w:right="0" w:firstLine="0" w:firstLineChars="0"/>
                    <w:jc w:val="center"/>
                    <w:rPr>
                      <w:rFonts w:hint="eastAsia" w:ascii="Times New Roman" w:hAnsi="Times New Roman" w:eastAsia="宋体" w:cs="Times New Roman"/>
                      <w:color w:val="auto"/>
                      <w:kern w:val="0"/>
                      <w:sz w:val="21"/>
                      <w:szCs w:val="21"/>
                      <w:highlight w:val="none"/>
                      <w:lang w:val="en-US" w:eastAsia="zh-CN"/>
                    </w:rPr>
                  </w:pPr>
                  <w:r>
                    <w:rPr>
                      <w:rFonts w:hint="eastAsia" w:eastAsia="宋体" w:cs="Times New Roman"/>
                      <w:color w:val="auto"/>
                      <w:kern w:val="0"/>
                      <w:sz w:val="21"/>
                      <w:szCs w:val="21"/>
                      <w:highlight w:val="none"/>
                      <w:lang w:val="en-US" w:eastAsia="zh-CN"/>
                    </w:rPr>
                    <w:t>N</w:t>
                  </w:r>
                  <w:r>
                    <w:rPr>
                      <w:rFonts w:hint="eastAsia" w:ascii="Times New Roman" w:hAnsi="Times New Roman" w:eastAsia="宋体" w:cs="Times New Roman"/>
                      <w:color w:val="auto"/>
                      <w:kern w:val="0"/>
                      <w:sz w:val="21"/>
                      <w:szCs w:val="21"/>
                      <w:highlight w:val="none"/>
                      <w:lang w:val="en-US" w:eastAsia="zh-CN"/>
                    </w:rPr>
                    <w:t>28.954346</w:t>
                  </w:r>
                  <w:r>
                    <w:rPr>
                      <w:rFonts w:hint="default" w:eastAsia="Times New Roman"/>
                      <w:sz w:val="21"/>
                      <w:szCs w:val="21"/>
                      <w:highlight w:val="none"/>
                    </w:rPr>
                    <w:t>°</w:t>
                  </w:r>
                </w:p>
              </w:tc>
              <w:tc>
                <w:tcPr>
                  <w:tcW w:w="323" w:type="pct"/>
                  <w:tcBorders>
                    <w:top w:val="single" w:color="auto" w:sz="4" w:space="0"/>
                    <w:left w:val="single" w:color="auto" w:sz="4" w:space="0"/>
                    <w:bottom w:val="single" w:color="auto" w:sz="4" w:space="0"/>
                    <w:right w:val="single" w:color="auto" w:sz="4" w:space="0"/>
                  </w:tcBorders>
                  <w:tcMar>
                    <w:left w:w="57" w:type="dxa"/>
                    <w:right w:w="57" w:type="dxa"/>
                  </w:tcMar>
                  <w:vAlign w:val="center"/>
                </w:tcPr>
                <w:p w14:paraId="13524A9B">
                  <w:pPr>
                    <w:pStyle w:val="85"/>
                    <w:keepNext w:val="0"/>
                    <w:keepLines w:val="0"/>
                    <w:suppressLineNumbers w:val="0"/>
                    <w:adjustRightInd w:val="0"/>
                    <w:snapToGrid w:val="0"/>
                    <w:spacing w:before="0" w:beforeAutospacing="0" w:after="0" w:afterAutospacing="0"/>
                    <w:ind w:left="0" w:right="0" w:firstLine="0" w:firstLineChars="0"/>
                    <w:jc w:val="center"/>
                    <w:rPr>
                      <w:rFonts w:hint="eastAsia" w:eastAsia="宋体"/>
                      <w:sz w:val="21"/>
                      <w:szCs w:val="21"/>
                      <w:highlight w:val="none"/>
                      <w:lang w:val="en-US" w:eastAsia="zh-CN"/>
                    </w:rPr>
                  </w:pPr>
                  <w:r>
                    <w:rPr>
                      <w:rFonts w:hint="eastAsia" w:eastAsia="宋体"/>
                      <w:sz w:val="21"/>
                      <w:szCs w:val="21"/>
                      <w:highlight w:val="none"/>
                      <w:lang w:val="en-US" w:eastAsia="zh-CN"/>
                    </w:rPr>
                    <w:t>北</w:t>
                  </w:r>
                </w:p>
              </w:tc>
              <w:tc>
                <w:tcPr>
                  <w:tcW w:w="579" w:type="pct"/>
                  <w:tcBorders>
                    <w:top w:val="single" w:color="auto" w:sz="4" w:space="0"/>
                    <w:left w:val="single" w:color="auto" w:sz="4" w:space="0"/>
                    <w:bottom w:val="single" w:color="auto" w:sz="4" w:space="0"/>
                    <w:right w:val="single" w:color="auto" w:sz="4" w:space="0"/>
                  </w:tcBorders>
                  <w:tcMar>
                    <w:left w:w="57" w:type="dxa"/>
                    <w:right w:w="57" w:type="dxa"/>
                  </w:tcMar>
                  <w:vAlign w:val="center"/>
                </w:tcPr>
                <w:p w14:paraId="3BF4B72D">
                  <w:pPr>
                    <w:keepNext w:val="0"/>
                    <w:keepLines w:val="0"/>
                    <w:suppressLineNumbers w:val="0"/>
                    <w:adjustRightInd w:val="0"/>
                    <w:snapToGrid w:val="0"/>
                    <w:spacing w:before="0" w:beforeAutospacing="0" w:after="0" w:afterAutospacing="0"/>
                    <w:ind w:left="0" w:right="0"/>
                    <w:jc w:val="center"/>
                    <w:rPr>
                      <w:rFonts w:hint="default" w:eastAsia="宋体"/>
                      <w:sz w:val="21"/>
                      <w:szCs w:val="21"/>
                      <w:highlight w:val="none"/>
                      <w:lang w:val="en-US" w:eastAsia="zh-CN"/>
                    </w:rPr>
                  </w:pPr>
                  <w:r>
                    <w:rPr>
                      <w:rFonts w:hint="eastAsia"/>
                      <w:sz w:val="21"/>
                      <w:szCs w:val="21"/>
                      <w:highlight w:val="none"/>
                      <w:lang w:val="en-US" w:eastAsia="zh-CN"/>
                    </w:rPr>
                    <w:t>41</w:t>
                  </w:r>
                </w:p>
              </w:tc>
            </w:tr>
            <w:tr w14:paraId="2EAE1B8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319" w:hRule="atLeast"/>
                <w:jc w:val="center"/>
              </w:trPr>
              <w:tc>
                <w:tcPr>
                  <w:tcW w:w="825" w:type="pct"/>
                  <w:vMerge w:val="continue"/>
                  <w:tcBorders>
                    <w:left w:val="single" w:color="auto" w:sz="4" w:space="0"/>
                    <w:right w:val="single" w:color="auto" w:sz="4" w:space="0"/>
                  </w:tcBorders>
                  <w:tcMar>
                    <w:left w:w="57" w:type="dxa"/>
                    <w:right w:w="57" w:type="dxa"/>
                  </w:tcMar>
                  <w:vAlign w:val="center"/>
                </w:tcPr>
                <w:p w14:paraId="050C58E9">
                  <w:pPr>
                    <w:pStyle w:val="85"/>
                    <w:keepNext w:val="0"/>
                    <w:keepLines w:val="0"/>
                    <w:suppressLineNumbers w:val="0"/>
                    <w:tabs>
                      <w:tab w:val="left" w:pos="2625"/>
                    </w:tabs>
                    <w:adjustRightInd w:val="0"/>
                    <w:snapToGrid w:val="0"/>
                    <w:spacing w:before="0" w:beforeAutospacing="0" w:after="0" w:afterAutospacing="0" w:line="276" w:lineRule="auto"/>
                    <w:ind w:left="0" w:right="0" w:firstLine="0" w:firstLineChars="0"/>
                    <w:jc w:val="center"/>
                    <w:rPr>
                      <w:rFonts w:hint="default" w:eastAsia="宋体"/>
                      <w:kern w:val="0"/>
                      <w:sz w:val="21"/>
                      <w:szCs w:val="21"/>
                      <w:highlight w:val="none"/>
                    </w:rPr>
                  </w:pPr>
                </w:p>
              </w:tc>
              <w:tc>
                <w:tcPr>
                  <w:tcW w:w="260" w:type="pct"/>
                  <w:tcBorders>
                    <w:top w:val="single" w:color="auto" w:sz="4" w:space="0"/>
                    <w:left w:val="single" w:color="auto" w:sz="4" w:space="0"/>
                    <w:bottom w:val="single" w:color="auto" w:sz="4" w:space="0"/>
                    <w:right w:val="single" w:color="auto" w:sz="4" w:space="0"/>
                  </w:tcBorders>
                  <w:shd w:val="clear" w:color="auto" w:fill="auto"/>
                  <w:tcMar>
                    <w:left w:w="57" w:type="dxa"/>
                    <w:right w:w="57" w:type="dxa"/>
                  </w:tcMar>
                  <w:vAlign w:val="center"/>
                </w:tcPr>
                <w:p w14:paraId="18BDBCD6">
                  <w:pPr>
                    <w:pStyle w:val="85"/>
                    <w:keepNext w:val="0"/>
                    <w:keepLines w:val="0"/>
                    <w:suppressLineNumbers w:val="0"/>
                    <w:tabs>
                      <w:tab w:val="left" w:pos="2625"/>
                    </w:tabs>
                    <w:adjustRightInd w:val="0"/>
                    <w:snapToGrid w:val="0"/>
                    <w:spacing w:before="0" w:beforeAutospacing="0" w:after="0" w:afterAutospacing="0" w:line="276" w:lineRule="auto"/>
                    <w:ind w:left="0" w:leftChars="0" w:right="0" w:rightChars="0" w:firstLine="0" w:firstLineChars="0"/>
                    <w:jc w:val="center"/>
                    <w:rPr>
                      <w:rFonts w:hint="default" w:ascii="Times New Roman" w:hAnsi="Times New Roman" w:eastAsia="宋体" w:cs="Times New Roman"/>
                      <w:kern w:val="0"/>
                      <w:sz w:val="21"/>
                      <w:szCs w:val="21"/>
                      <w:highlight w:val="none"/>
                      <w:lang w:val="en-US" w:eastAsia="zh-CN" w:bidi="ar-SA"/>
                    </w:rPr>
                  </w:pPr>
                  <w:r>
                    <w:rPr>
                      <w:rFonts w:hint="eastAsia" w:eastAsia="宋体"/>
                      <w:kern w:val="0"/>
                      <w:sz w:val="21"/>
                      <w:szCs w:val="21"/>
                      <w:highlight w:val="none"/>
                      <w:lang w:val="en-US" w:eastAsia="zh-CN"/>
                    </w:rPr>
                    <w:t>6</w:t>
                  </w:r>
                </w:p>
              </w:tc>
              <w:tc>
                <w:tcPr>
                  <w:tcW w:w="1418" w:type="pct"/>
                  <w:tcBorders>
                    <w:top w:val="single" w:color="auto" w:sz="4" w:space="0"/>
                    <w:left w:val="single" w:color="auto" w:sz="4" w:space="0"/>
                    <w:bottom w:val="single" w:color="auto" w:sz="4" w:space="0"/>
                    <w:right w:val="single" w:color="auto" w:sz="4" w:space="0"/>
                  </w:tcBorders>
                  <w:tcMar>
                    <w:left w:w="57" w:type="dxa"/>
                    <w:right w:w="57" w:type="dxa"/>
                  </w:tcMar>
                  <w:vAlign w:val="center"/>
                </w:tcPr>
                <w:p w14:paraId="79470BFC">
                  <w:pPr>
                    <w:pStyle w:val="85"/>
                    <w:keepNext w:val="0"/>
                    <w:keepLines w:val="0"/>
                    <w:suppressLineNumbers w:val="0"/>
                    <w:adjustRightInd w:val="0"/>
                    <w:snapToGrid w:val="0"/>
                    <w:spacing w:before="0" w:beforeAutospacing="0" w:after="0" w:afterAutospacing="0"/>
                    <w:ind w:left="0" w:right="0" w:firstLine="0" w:firstLineChars="0"/>
                    <w:jc w:val="center"/>
                    <w:rPr>
                      <w:rFonts w:hint="default" w:eastAsia="宋体"/>
                      <w:sz w:val="21"/>
                      <w:szCs w:val="21"/>
                      <w:highlight w:val="none"/>
                    </w:rPr>
                  </w:pPr>
                  <w:r>
                    <w:rPr>
                      <w:rFonts w:hint="eastAsia" w:eastAsia="宋体"/>
                      <w:sz w:val="21"/>
                      <w:szCs w:val="21"/>
                      <w:highlight w:val="none"/>
                    </w:rPr>
                    <w:t>柯城区新华幼儿园</w:t>
                  </w:r>
                </w:p>
              </w:tc>
              <w:tc>
                <w:tcPr>
                  <w:tcW w:w="825" w:type="pct"/>
                  <w:tcBorders>
                    <w:top w:val="single" w:color="auto" w:sz="4" w:space="0"/>
                    <w:left w:val="single" w:color="auto" w:sz="4" w:space="0"/>
                    <w:bottom w:val="single" w:color="auto" w:sz="4" w:space="0"/>
                    <w:right w:val="single" w:color="auto" w:sz="4" w:space="0"/>
                  </w:tcBorders>
                  <w:tcMar>
                    <w:left w:w="57" w:type="dxa"/>
                    <w:right w:w="57" w:type="dxa"/>
                  </w:tcMar>
                  <w:vAlign w:val="center"/>
                </w:tcPr>
                <w:p w14:paraId="471F7270">
                  <w:pPr>
                    <w:pStyle w:val="85"/>
                    <w:keepNext w:val="0"/>
                    <w:keepLines w:val="0"/>
                    <w:suppressLineNumbers w:val="0"/>
                    <w:adjustRightInd w:val="0"/>
                    <w:snapToGrid w:val="0"/>
                    <w:spacing w:before="0" w:beforeAutospacing="0" w:after="0" w:afterAutospacing="0"/>
                    <w:ind w:left="0" w:right="0" w:firstLine="0" w:firstLineChars="0"/>
                    <w:jc w:val="center"/>
                    <w:rPr>
                      <w:rFonts w:hint="eastAsia" w:eastAsia="宋体"/>
                      <w:sz w:val="21"/>
                      <w:szCs w:val="21"/>
                      <w:highlight w:val="none"/>
                    </w:rPr>
                  </w:pPr>
                  <w:r>
                    <w:rPr>
                      <w:rFonts w:hint="eastAsia" w:eastAsia="宋体" w:cs="Times New Roman"/>
                      <w:color w:val="auto"/>
                      <w:kern w:val="0"/>
                      <w:sz w:val="21"/>
                      <w:szCs w:val="21"/>
                      <w:highlight w:val="none"/>
                      <w:lang w:val="en-US" w:eastAsia="zh-CN"/>
                    </w:rPr>
                    <w:t>E</w:t>
                  </w:r>
                  <w:r>
                    <w:rPr>
                      <w:rFonts w:hint="eastAsia" w:eastAsia="宋体"/>
                      <w:sz w:val="21"/>
                      <w:szCs w:val="21"/>
                      <w:highlight w:val="none"/>
                    </w:rPr>
                    <w:t>118.83474</w:t>
                  </w:r>
                  <w:r>
                    <w:rPr>
                      <w:rFonts w:hint="eastAsia" w:eastAsia="宋体"/>
                      <w:sz w:val="21"/>
                      <w:szCs w:val="21"/>
                      <w:highlight w:val="none"/>
                      <w:lang w:val="en-US" w:eastAsia="zh-CN"/>
                    </w:rPr>
                    <w:t>8</w:t>
                  </w:r>
                  <w:r>
                    <w:rPr>
                      <w:rFonts w:hint="default" w:eastAsia="Times New Roman"/>
                      <w:sz w:val="21"/>
                      <w:szCs w:val="21"/>
                      <w:highlight w:val="none"/>
                    </w:rPr>
                    <w:t>°</w:t>
                  </w:r>
                </w:p>
              </w:tc>
              <w:tc>
                <w:tcPr>
                  <w:tcW w:w="766" w:type="pct"/>
                  <w:tcBorders>
                    <w:top w:val="single" w:color="auto" w:sz="4" w:space="0"/>
                    <w:left w:val="single" w:color="auto" w:sz="4" w:space="0"/>
                    <w:bottom w:val="single" w:color="auto" w:sz="4" w:space="0"/>
                    <w:right w:val="single" w:color="auto" w:sz="4" w:space="0"/>
                  </w:tcBorders>
                  <w:tcMar>
                    <w:left w:w="57" w:type="dxa"/>
                    <w:right w:w="57" w:type="dxa"/>
                  </w:tcMar>
                  <w:vAlign w:val="center"/>
                </w:tcPr>
                <w:p w14:paraId="09BE2E13">
                  <w:pPr>
                    <w:pStyle w:val="85"/>
                    <w:keepNext w:val="0"/>
                    <w:keepLines w:val="0"/>
                    <w:suppressLineNumbers w:val="0"/>
                    <w:adjustRightInd w:val="0"/>
                    <w:snapToGrid w:val="0"/>
                    <w:spacing w:before="0" w:beforeAutospacing="0" w:after="0" w:afterAutospacing="0"/>
                    <w:ind w:left="0" w:right="0" w:firstLine="0" w:firstLineChars="0"/>
                    <w:jc w:val="center"/>
                    <w:rPr>
                      <w:rFonts w:hint="eastAsia" w:eastAsia="宋体"/>
                      <w:sz w:val="21"/>
                      <w:szCs w:val="21"/>
                      <w:highlight w:val="none"/>
                    </w:rPr>
                  </w:pPr>
                  <w:r>
                    <w:rPr>
                      <w:rFonts w:hint="eastAsia" w:eastAsia="宋体" w:cs="Times New Roman"/>
                      <w:color w:val="auto"/>
                      <w:kern w:val="0"/>
                      <w:sz w:val="21"/>
                      <w:szCs w:val="21"/>
                      <w:highlight w:val="none"/>
                      <w:lang w:val="en-US" w:eastAsia="zh-CN"/>
                    </w:rPr>
                    <w:t>N</w:t>
                  </w:r>
                  <w:r>
                    <w:rPr>
                      <w:rFonts w:hint="eastAsia" w:eastAsia="宋体"/>
                      <w:sz w:val="21"/>
                      <w:szCs w:val="21"/>
                      <w:highlight w:val="none"/>
                    </w:rPr>
                    <w:t>28.952023</w:t>
                  </w:r>
                  <w:r>
                    <w:rPr>
                      <w:rFonts w:hint="default" w:eastAsia="Times New Roman"/>
                      <w:sz w:val="21"/>
                      <w:szCs w:val="21"/>
                      <w:highlight w:val="none"/>
                    </w:rPr>
                    <w:t>°</w:t>
                  </w:r>
                </w:p>
              </w:tc>
              <w:tc>
                <w:tcPr>
                  <w:tcW w:w="323" w:type="pct"/>
                  <w:tcBorders>
                    <w:top w:val="single" w:color="auto" w:sz="4" w:space="0"/>
                    <w:left w:val="single" w:color="auto" w:sz="4" w:space="0"/>
                    <w:bottom w:val="single" w:color="auto" w:sz="4" w:space="0"/>
                    <w:right w:val="single" w:color="auto" w:sz="4" w:space="0"/>
                  </w:tcBorders>
                  <w:tcMar>
                    <w:left w:w="57" w:type="dxa"/>
                    <w:right w:w="57" w:type="dxa"/>
                  </w:tcMar>
                  <w:vAlign w:val="center"/>
                </w:tcPr>
                <w:p w14:paraId="2E92FD4A">
                  <w:pPr>
                    <w:pStyle w:val="85"/>
                    <w:keepNext w:val="0"/>
                    <w:keepLines w:val="0"/>
                    <w:suppressLineNumbers w:val="0"/>
                    <w:adjustRightInd w:val="0"/>
                    <w:snapToGrid w:val="0"/>
                    <w:spacing w:before="0" w:beforeAutospacing="0" w:after="0" w:afterAutospacing="0"/>
                    <w:ind w:left="0" w:right="0" w:firstLine="0" w:firstLineChars="0"/>
                    <w:jc w:val="center"/>
                    <w:rPr>
                      <w:rFonts w:hint="eastAsia" w:eastAsia="宋体"/>
                      <w:sz w:val="21"/>
                      <w:szCs w:val="21"/>
                      <w:highlight w:val="none"/>
                      <w:lang w:val="en-US" w:eastAsia="zh-CN"/>
                    </w:rPr>
                  </w:pPr>
                  <w:r>
                    <w:rPr>
                      <w:rFonts w:hint="eastAsia" w:eastAsia="宋体"/>
                      <w:sz w:val="21"/>
                      <w:szCs w:val="21"/>
                      <w:highlight w:val="none"/>
                      <w:lang w:val="en-US" w:eastAsia="zh-CN"/>
                    </w:rPr>
                    <w:t>东</w:t>
                  </w:r>
                </w:p>
              </w:tc>
              <w:tc>
                <w:tcPr>
                  <w:tcW w:w="579" w:type="pct"/>
                  <w:tcBorders>
                    <w:top w:val="single" w:color="auto" w:sz="4" w:space="0"/>
                    <w:left w:val="single" w:color="auto" w:sz="4" w:space="0"/>
                    <w:bottom w:val="single" w:color="auto" w:sz="4" w:space="0"/>
                    <w:right w:val="single" w:color="auto" w:sz="4" w:space="0"/>
                  </w:tcBorders>
                  <w:tcMar>
                    <w:left w:w="57" w:type="dxa"/>
                    <w:right w:w="57" w:type="dxa"/>
                  </w:tcMar>
                  <w:vAlign w:val="center"/>
                </w:tcPr>
                <w:p w14:paraId="03BC9FFD">
                  <w:pPr>
                    <w:keepNext w:val="0"/>
                    <w:keepLines w:val="0"/>
                    <w:suppressLineNumbers w:val="0"/>
                    <w:adjustRightInd w:val="0"/>
                    <w:snapToGrid w:val="0"/>
                    <w:spacing w:before="0" w:beforeAutospacing="0" w:after="0" w:afterAutospacing="0"/>
                    <w:ind w:left="0" w:right="0"/>
                    <w:jc w:val="center"/>
                    <w:rPr>
                      <w:rFonts w:hint="default" w:eastAsia="宋体"/>
                      <w:sz w:val="21"/>
                      <w:szCs w:val="21"/>
                      <w:highlight w:val="none"/>
                      <w:lang w:val="en-US" w:eastAsia="zh-CN"/>
                    </w:rPr>
                  </w:pPr>
                  <w:r>
                    <w:rPr>
                      <w:rFonts w:hint="eastAsia"/>
                      <w:sz w:val="21"/>
                      <w:szCs w:val="21"/>
                      <w:highlight w:val="none"/>
                      <w:lang w:val="en-US" w:eastAsia="zh-CN"/>
                    </w:rPr>
                    <w:t>94</w:t>
                  </w:r>
                </w:p>
              </w:tc>
            </w:tr>
            <w:tr w14:paraId="2094C2A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319" w:hRule="atLeast"/>
                <w:jc w:val="center"/>
              </w:trPr>
              <w:tc>
                <w:tcPr>
                  <w:tcW w:w="825" w:type="pct"/>
                  <w:vMerge w:val="continue"/>
                  <w:tcBorders>
                    <w:left w:val="single" w:color="auto" w:sz="4" w:space="0"/>
                    <w:right w:val="single" w:color="auto" w:sz="4" w:space="0"/>
                  </w:tcBorders>
                  <w:tcMar>
                    <w:left w:w="57" w:type="dxa"/>
                    <w:right w:w="57" w:type="dxa"/>
                  </w:tcMar>
                  <w:vAlign w:val="center"/>
                </w:tcPr>
                <w:p w14:paraId="3A1863BA">
                  <w:pPr>
                    <w:pStyle w:val="85"/>
                    <w:keepNext w:val="0"/>
                    <w:keepLines w:val="0"/>
                    <w:suppressLineNumbers w:val="0"/>
                    <w:tabs>
                      <w:tab w:val="left" w:pos="2625"/>
                    </w:tabs>
                    <w:adjustRightInd w:val="0"/>
                    <w:snapToGrid w:val="0"/>
                    <w:spacing w:before="0" w:beforeAutospacing="0" w:after="0" w:afterAutospacing="0" w:line="276" w:lineRule="auto"/>
                    <w:ind w:left="0" w:right="0" w:firstLine="0" w:firstLineChars="0"/>
                    <w:jc w:val="center"/>
                    <w:rPr>
                      <w:rFonts w:hint="default" w:eastAsia="宋体"/>
                      <w:kern w:val="0"/>
                      <w:sz w:val="21"/>
                      <w:szCs w:val="21"/>
                      <w:highlight w:val="none"/>
                    </w:rPr>
                  </w:pPr>
                </w:p>
              </w:tc>
              <w:tc>
                <w:tcPr>
                  <w:tcW w:w="260" w:type="pct"/>
                  <w:tcBorders>
                    <w:top w:val="single" w:color="auto" w:sz="4" w:space="0"/>
                    <w:left w:val="single" w:color="auto" w:sz="4" w:space="0"/>
                    <w:bottom w:val="single" w:color="auto" w:sz="4" w:space="0"/>
                    <w:right w:val="single" w:color="auto" w:sz="4" w:space="0"/>
                  </w:tcBorders>
                  <w:shd w:val="clear" w:color="auto" w:fill="auto"/>
                  <w:tcMar>
                    <w:left w:w="57" w:type="dxa"/>
                    <w:right w:w="57" w:type="dxa"/>
                  </w:tcMar>
                  <w:vAlign w:val="center"/>
                </w:tcPr>
                <w:p w14:paraId="5A1B9DA5">
                  <w:pPr>
                    <w:pStyle w:val="85"/>
                    <w:keepNext w:val="0"/>
                    <w:keepLines w:val="0"/>
                    <w:suppressLineNumbers w:val="0"/>
                    <w:tabs>
                      <w:tab w:val="left" w:pos="2625"/>
                    </w:tabs>
                    <w:adjustRightInd w:val="0"/>
                    <w:snapToGrid w:val="0"/>
                    <w:spacing w:before="0" w:beforeAutospacing="0" w:after="0" w:afterAutospacing="0" w:line="276" w:lineRule="auto"/>
                    <w:ind w:left="0" w:leftChars="0" w:right="0" w:rightChars="0" w:firstLine="0" w:firstLineChars="0"/>
                    <w:jc w:val="center"/>
                    <w:rPr>
                      <w:rFonts w:hint="eastAsia" w:ascii="Times New Roman" w:hAnsi="Times New Roman" w:eastAsia="宋体" w:cs="Times New Roman"/>
                      <w:kern w:val="0"/>
                      <w:sz w:val="21"/>
                      <w:szCs w:val="21"/>
                      <w:highlight w:val="none"/>
                      <w:lang w:val="en-US" w:eastAsia="zh-CN" w:bidi="ar-SA"/>
                    </w:rPr>
                  </w:pPr>
                  <w:r>
                    <w:rPr>
                      <w:rFonts w:hint="eastAsia" w:eastAsia="宋体"/>
                      <w:kern w:val="0"/>
                      <w:sz w:val="21"/>
                      <w:szCs w:val="21"/>
                      <w:highlight w:val="none"/>
                      <w:lang w:val="en-US" w:eastAsia="zh-CN"/>
                    </w:rPr>
                    <w:t>7</w:t>
                  </w:r>
                </w:p>
              </w:tc>
              <w:tc>
                <w:tcPr>
                  <w:tcW w:w="1418" w:type="pct"/>
                  <w:tcBorders>
                    <w:top w:val="single" w:color="auto" w:sz="4" w:space="0"/>
                    <w:left w:val="single" w:color="auto" w:sz="4" w:space="0"/>
                    <w:bottom w:val="single" w:color="auto" w:sz="4" w:space="0"/>
                    <w:right w:val="single" w:color="auto" w:sz="4" w:space="0"/>
                  </w:tcBorders>
                  <w:shd w:val="clear" w:color="auto" w:fill="auto"/>
                  <w:tcMar>
                    <w:left w:w="57" w:type="dxa"/>
                    <w:right w:w="57" w:type="dxa"/>
                  </w:tcMar>
                  <w:vAlign w:val="center"/>
                </w:tcPr>
                <w:p w14:paraId="641DA0F7">
                  <w:pPr>
                    <w:pStyle w:val="85"/>
                    <w:keepNext w:val="0"/>
                    <w:keepLines w:val="0"/>
                    <w:suppressLineNumbers w:val="0"/>
                    <w:adjustRightInd w:val="0"/>
                    <w:snapToGrid w:val="0"/>
                    <w:spacing w:before="0" w:beforeAutospacing="0" w:after="0" w:afterAutospacing="0"/>
                    <w:ind w:left="0" w:right="0" w:firstLine="0" w:firstLineChars="0"/>
                    <w:jc w:val="center"/>
                    <w:rPr>
                      <w:rFonts w:hint="eastAsia" w:ascii="Times New Roman" w:hAnsi="Times New Roman" w:eastAsia="宋体" w:cs="Times New Roman"/>
                      <w:kern w:val="2"/>
                      <w:sz w:val="21"/>
                      <w:szCs w:val="21"/>
                      <w:highlight w:val="none"/>
                      <w:lang w:val="en-US" w:eastAsia="zh-CN" w:bidi="ar-SA"/>
                    </w:rPr>
                  </w:pPr>
                  <w:r>
                    <w:rPr>
                      <w:rFonts w:hint="eastAsia" w:eastAsia="宋体"/>
                      <w:sz w:val="21"/>
                      <w:szCs w:val="21"/>
                      <w:highlight w:val="none"/>
                    </w:rPr>
                    <w:t>鹿鸣山村</w:t>
                  </w:r>
                </w:p>
              </w:tc>
              <w:tc>
                <w:tcPr>
                  <w:tcW w:w="825" w:type="pct"/>
                  <w:tcBorders>
                    <w:top w:val="single" w:color="auto" w:sz="4" w:space="0"/>
                    <w:left w:val="single" w:color="auto" w:sz="4" w:space="0"/>
                    <w:bottom w:val="single" w:color="auto" w:sz="4" w:space="0"/>
                    <w:right w:val="single" w:color="auto" w:sz="4" w:space="0"/>
                  </w:tcBorders>
                  <w:shd w:val="clear" w:color="auto" w:fill="auto"/>
                  <w:tcMar>
                    <w:left w:w="57" w:type="dxa"/>
                    <w:right w:w="57" w:type="dxa"/>
                  </w:tcMar>
                  <w:vAlign w:val="center"/>
                </w:tcPr>
                <w:p w14:paraId="417A44BE">
                  <w:pPr>
                    <w:pStyle w:val="85"/>
                    <w:keepNext w:val="0"/>
                    <w:keepLines w:val="0"/>
                    <w:suppressLineNumbers w:val="0"/>
                    <w:adjustRightInd w:val="0"/>
                    <w:snapToGrid w:val="0"/>
                    <w:spacing w:before="0" w:beforeAutospacing="0" w:after="0" w:afterAutospacing="0"/>
                    <w:ind w:left="0" w:right="0" w:firstLine="0" w:firstLineChars="0"/>
                    <w:jc w:val="center"/>
                    <w:rPr>
                      <w:rFonts w:hint="eastAsia" w:ascii="Times New Roman" w:hAnsi="Times New Roman" w:eastAsia="宋体" w:cs="Times New Roman"/>
                      <w:kern w:val="2"/>
                      <w:sz w:val="21"/>
                      <w:szCs w:val="21"/>
                      <w:highlight w:val="none"/>
                      <w:lang w:val="en-US" w:eastAsia="zh-CN" w:bidi="ar-SA"/>
                    </w:rPr>
                  </w:pPr>
                  <w:r>
                    <w:rPr>
                      <w:rFonts w:hint="eastAsia" w:eastAsia="宋体" w:cs="Times New Roman"/>
                      <w:color w:val="auto"/>
                      <w:kern w:val="0"/>
                      <w:sz w:val="21"/>
                      <w:szCs w:val="21"/>
                      <w:highlight w:val="none"/>
                      <w:lang w:val="en-US" w:eastAsia="zh-CN"/>
                    </w:rPr>
                    <w:t>E</w:t>
                  </w:r>
                  <w:r>
                    <w:rPr>
                      <w:rFonts w:hint="eastAsia" w:eastAsia="宋体"/>
                      <w:sz w:val="21"/>
                      <w:szCs w:val="21"/>
                      <w:highlight w:val="none"/>
                    </w:rPr>
                    <w:t>118.8346</w:t>
                  </w:r>
                  <w:r>
                    <w:rPr>
                      <w:rFonts w:hint="eastAsia" w:eastAsia="宋体"/>
                      <w:sz w:val="21"/>
                      <w:szCs w:val="21"/>
                      <w:highlight w:val="none"/>
                      <w:lang w:val="en-US" w:eastAsia="zh-CN"/>
                    </w:rPr>
                    <w:t>30</w:t>
                  </w:r>
                  <w:r>
                    <w:rPr>
                      <w:rFonts w:hint="default" w:eastAsia="Times New Roman"/>
                      <w:sz w:val="21"/>
                      <w:szCs w:val="21"/>
                      <w:highlight w:val="none"/>
                    </w:rPr>
                    <w:t>°</w:t>
                  </w:r>
                </w:p>
              </w:tc>
              <w:tc>
                <w:tcPr>
                  <w:tcW w:w="766" w:type="pct"/>
                  <w:tcBorders>
                    <w:top w:val="single" w:color="auto" w:sz="4" w:space="0"/>
                    <w:left w:val="single" w:color="auto" w:sz="4" w:space="0"/>
                    <w:bottom w:val="single" w:color="auto" w:sz="4" w:space="0"/>
                    <w:right w:val="single" w:color="auto" w:sz="4" w:space="0"/>
                  </w:tcBorders>
                  <w:shd w:val="clear" w:color="auto" w:fill="auto"/>
                  <w:tcMar>
                    <w:left w:w="57" w:type="dxa"/>
                    <w:right w:w="57" w:type="dxa"/>
                  </w:tcMar>
                  <w:vAlign w:val="center"/>
                </w:tcPr>
                <w:p w14:paraId="0005FFB5">
                  <w:pPr>
                    <w:pStyle w:val="85"/>
                    <w:keepNext w:val="0"/>
                    <w:keepLines w:val="0"/>
                    <w:suppressLineNumbers w:val="0"/>
                    <w:adjustRightInd w:val="0"/>
                    <w:snapToGrid w:val="0"/>
                    <w:spacing w:before="0" w:beforeAutospacing="0" w:after="0" w:afterAutospacing="0"/>
                    <w:ind w:left="0" w:right="0" w:firstLine="0" w:firstLineChars="0"/>
                    <w:jc w:val="center"/>
                    <w:rPr>
                      <w:rFonts w:hint="eastAsia" w:ascii="Times New Roman" w:hAnsi="Times New Roman" w:eastAsia="宋体" w:cs="Times New Roman"/>
                      <w:kern w:val="2"/>
                      <w:sz w:val="21"/>
                      <w:szCs w:val="21"/>
                      <w:highlight w:val="none"/>
                      <w:lang w:val="en-US" w:eastAsia="zh-CN" w:bidi="ar-SA"/>
                    </w:rPr>
                  </w:pPr>
                  <w:r>
                    <w:rPr>
                      <w:rFonts w:hint="eastAsia" w:eastAsia="宋体" w:cs="Times New Roman"/>
                      <w:color w:val="auto"/>
                      <w:kern w:val="0"/>
                      <w:sz w:val="21"/>
                      <w:szCs w:val="21"/>
                      <w:highlight w:val="none"/>
                      <w:lang w:val="en-US" w:eastAsia="zh-CN"/>
                    </w:rPr>
                    <w:t>N</w:t>
                  </w:r>
                  <w:r>
                    <w:rPr>
                      <w:rFonts w:hint="eastAsia" w:eastAsia="宋体"/>
                      <w:sz w:val="21"/>
                      <w:szCs w:val="21"/>
                      <w:highlight w:val="none"/>
                    </w:rPr>
                    <w:t>28.95633</w:t>
                  </w:r>
                  <w:r>
                    <w:rPr>
                      <w:rFonts w:hint="eastAsia" w:eastAsia="宋体"/>
                      <w:sz w:val="21"/>
                      <w:szCs w:val="21"/>
                      <w:highlight w:val="none"/>
                      <w:lang w:val="en-US" w:eastAsia="zh-CN"/>
                    </w:rPr>
                    <w:t>1</w:t>
                  </w:r>
                  <w:r>
                    <w:rPr>
                      <w:rFonts w:hint="default" w:eastAsia="Times New Roman"/>
                      <w:sz w:val="21"/>
                      <w:szCs w:val="21"/>
                      <w:highlight w:val="none"/>
                    </w:rPr>
                    <w:t>°</w:t>
                  </w:r>
                </w:p>
              </w:tc>
              <w:tc>
                <w:tcPr>
                  <w:tcW w:w="323" w:type="pct"/>
                  <w:tcBorders>
                    <w:top w:val="single" w:color="auto" w:sz="4" w:space="0"/>
                    <w:left w:val="single" w:color="auto" w:sz="4" w:space="0"/>
                    <w:bottom w:val="single" w:color="auto" w:sz="4" w:space="0"/>
                    <w:right w:val="single" w:color="auto" w:sz="4" w:space="0"/>
                  </w:tcBorders>
                  <w:shd w:val="clear" w:color="auto" w:fill="auto"/>
                  <w:tcMar>
                    <w:left w:w="57" w:type="dxa"/>
                    <w:right w:w="57" w:type="dxa"/>
                  </w:tcMar>
                  <w:vAlign w:val="center"/>
                </w:tcPr>
                <w:p w14:paraId="3E1AD81C">
                  <w:pPr>
                    <w:pStyle w:val="85"/>
                    <w:keepNext w:val="0"/>
                    <w:keepLines w:val="0"/>
                    <w:suppressLineNumbers w:val="0"/>
                    <w:adjustRightInd w:val="0"/>
                    <w:snapToGrid w:val="0"/>
                    <w:spacing w:before="0" w:beforeAutospacing="0" w:after="0" w:afterAutospacing="0"/>
                    <w:ind w:left="0" w:right="0" w:firstLine="0" w:firstLineChars="0"/>
                    <w:jc w:val="center"/>
                    <w:rPr>
                      <w:rFonts w:hint="eastAsia" w:ascii="Times New Roman" w:hAnsi="Times New Roman" w:eastAsia="宋体" w:cs="Times New Roman"/>
                      <w:kern w:val="2"/>
                      <w:sz w:val="21"/>
                      <w:szCs w:val="21"/>
                      <w:highlight w:val="none"/>
                      <w:lang w:val="en-US" w:eastAsia="zh-CN" w:bidi="ar-SA"/>
                    </w:rPr>
                  </w:pPr>
                  <w:r>
                    <w:rPr>
                      <w:rFonts w:hint="eastAsia" w:eastAsia="宋体"/>
                      <w:sz w:val="21"/>
                      <w:szCs w:val="21"/>
                      <w:highlight w:val="none"/>
                      <w:lang w:val="en-US" w:eastAsia="zh-CN"/>
                    </w:rPr>
                    <w:t>东北</w:t>
                  </w:r>
                </w:p>
              </w:tc>
              <w:tc>
                <w:tcPr>
                  <w:tcW w:w="579" w:type="pct"/>
                  <w:tcBorders>
                    <w:top w:val="single" w:color="auto" w:sz="4" w:space="0"/>
                    <w:left w:val="single" w:color="auto" w:sz="4" w:space="0"/>
                    <w:bottom w:val="single" w:color="auto" w:sz="4" w:space="0"/>
                    <w:right w:val="single" w:color="auto" w:sz="4" w:space="0"/>
                  </w:tcBorders>
                  <w:shd w:val="clear" w:color="auto" w:fill="auto"/>
                  <w:tcMar>
                    <w:left w:w="57" w:type="dxa"/>
                    <w:right w:w="57" w:type="dxa"/>
                  </w:tcMar>
                  <w:vAlign w:val="center"/>
                </w:tcPr>
                <w:p w14:paraId="1F092BBB">
                  <w:pPr>
                    <w:pStyle w:val="85"/>
                    <w:keepNext w:val="0"/>
                    <w:keepLines w:val="0"/>
                    <w:suppressLineNumbers w:val="0"/>
                    <w:adjustRightInd w:val="0"/>
                    <w:snapToGrid w:val="0"/>
                    <w:spacing w:before="0" w:beforeAutospacing="0" w:after="0" w:afterAutospacing="0"/>
                    <w:ind w:left="0" w:right="0" w:firstLine="0" w:firstLineChars="0"/>
                    <w:jc w:val="center"/>
                    <w:rPr>
                      <w:rFonts w:hint="eastAsia" w:ascii="Times New Roman" w:hAnsi="Times New Roman" w:eastAsia="宋体" w:cs="Times New Roman"/>
                      <w:kern w:val="2"/>
                      <w:sz w:val="21"/>
                      <w:szCs w:val="21"/>
                      <w:highlight w:val="none"/>
                      <w:lang w:val="en-US" w:eastAsia="zh-CN" w:bidi="ar-SA"/>
                    </w:rPr>
                  </w:pPr>
                  <w:r>
                    <w:rPr>
                      <w:rFonts w:hint="eastAsia" w:eastAsia="宋体"/>
                      <w:sz w:val="21"/>
                      <w:szCs w:val="21"/>
                      <w:highlight w:val="none"/>
                      <w:lang w:val="en-US" w:eastAsia="zh-CN"/>
                    </w:rPr>
                    <w:t>111</w:t>
                  </w:r>
                </w:p>
              </w:tc>
            </w:tr>
            <w:tr w14:paraId="29F621B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319" w:hRule="atLeast"/>
                <w:jc w:val="center"/>
              </w:trPr>
              <w:tc>
                <w:tcPr>
                  <w:tcW w:w="825" w:type="pct"/>
                  <w:vMerge w:val="continue"/>
                  <w:tcBorders>
                    <w:left w:val="single" w:color="auto" w:sz="4" w:space="0"/>
                    <w:right w:val="single" w:color="auto" w:sz="4" w:space="0"/>
                  </w:tcBorders>
                  <w:tcMar>
                    <w:left w:w="57" w:type="dxa"/>
                    <w:right w:w="57" w:type="dxa"/>
                  </w:tcMar>
                  <w:vAlign w:val="center"/>
                </w:tcPr>
                <w:p w14:paraId="08FE8268">
                  <w:pPr>
                    <w:pStyle w:val="85"/>
                    <w:keepNext w:val="0"/>
                    <w:keepLines w:val="0"/>
                    <w:suppressLineNumbers w:val="0"/>
                    <w:tabs>
                      <w:tab w:val="left" w:pos="2625"/>
                    </w:tabs>
                    <w:adjustRightInd w:val="0"/>
                    <w:snapToGrid w:val="0"/>
                    <w:spacing w:before="0" w:beforeAutospacing="0" w:after="0" w:afterAutospacing="0" w:line="276" w:lineRule="auto"/>
                    <w:ind w:left="0" w:right="0" w:firstLine="0" w:firstLineChars="0"/>
                    <w:jc w:val="center"/>
                    <w:rPr>
                      <w:rFonts w:hint="default" w:eastAsia="宋体"/>
                      <w:kern w:val="0"/>
                      <w:sz w:val="21"/>
                      <w:szCs w:val="21"/>
                      <w:highlight w:val="none"/>
                    </w:rPr>
                  </w:pPr>
                </w:p>
              </w:tc>
              <w:tc>
                <w:tcPr>
                  <w:tcW w:w="260" w:type="pct"/>
                  <w:tcBorders>
                    <w:top w:val="single" w:color="auto" w:sz="4" w:space="0"/>
                    <w:left w:val="single" w:color="auto" w:sz="4" w:space="0"/>
                    <w:bottom w:val="single" w:color="auto" w:sz="4" w:space="0"/>
                    <w:right w:val="single" w:color="auto" w:sz="4" w:space="0"/>
                  </w:tcBorders>
                  <w:shd w:val="clear" w:color="auto" w:fill="auto"/>
                  <w:tcMar>
                    <w:left w:w="57" w:type="dxa"/>
                    <w:right w:w="57" w:type="dxa"/>
                  </w:tcMar>
                  <w:vAlign w:val="center"/>
                </w:tcPr>
                <w:p w14:paraId="31C44519">
                  <w:pPr>
                    <w:pStyle w:val="85"/>
                    <w:keepNext w:val="0"/>
                    <w:keepLines w:val="0"/>
                    <w:suppressLineNumbers w:val="0"/>
                    <w:tabs>
                      <w:tab w:val="left" w:pos="2625"/>
                    </w:tabs>
                    <w:adjustRightInd w:val="0"/>
                    <w:snapToGrid w:val="0"/>
                    <w:spacing w:before="0" w:beforeAutospacing="0" w:after="0" w:afterAutospacing="0" w:line="276" w:lineRule="auto"/>
                    <w:ind w:left="0" w:leftChars="0" w:right="0" w:rightChars="0" w:firstLine="0" w:firstLineChars="0"/>
                    <w:jc w:val="center"/>
                    <w:rPr>
                      <w:rFonts w:hint="default" w:ascii="Times New Roman" w:hAnsi="Times New Roman" w:eastAsia="宋体" w:cs="Times New Roman"/>
                      <w:kern w:val="0"/>
                      <w:sz w:val="21"/>
                      <w:szCs w:val="21"/>
                      <w:highlight w:val="none"/>
                      <w:lang w:val="en-US" w:eastAsia="zh-CN" w:bidi="ar-SA"/>
                    </w:rPr>
                  </w:pPr>
                  <w:r>
                    <w:rPr>
                      <w:rFonts w:hint="eastAsia" w:eastAsia="宋体"/>
                      <w:kern w:val="0"/>
                      <w:sz w:val="21"/>
                      <w:szCs w:val="21"/>
                      <w:highlight w:val="none"/>
                      <w:lang w:val="en-US" w:eastAsia="zh-CN"/>
                    </w:rPr>
                    <w:t>8</w:t>
                  </w:r>
                </w:p>
              </w:tc>
              <w:tc>
                <w:tcPr>
                  <w:tcW w:w="1418" w:type="pct"/>
                  <w:tcBorders>
                    <w:top w:val="single" w:color="auto" w:sz="4" w:space="0"/>
                    <w:left w:val="single" w:color="auto" w:sz="4" w:space="0"/>
                    <w:bottom w:val="single" w:color="auto" w:sz="4" w:space="0"/>
                    <w:right w:val="single" w:color="auto" w:sz="4" w:space="0"/>
                  </w:tcBorders>
                  <w:tcMar>
                    <w:left w:w="57" w:type="dxa"/>
                    <w:right w:w="57" w:type="dxa"/>
                  </w:tcMar>
                  <w:vAlign w:val="center"/>
                </w:tcPr>
                <w:p w14:paraId="5A94DA87">
                  <w:pPr>
                    <w:pStyle w:val="85"/>
                    <w:keepNext w:val="0"/>
                    <w:keepLines w:val="0"/>
                    <w:suppressLineNumbers w:val="0"/>
                    <w:adjustRightInd w:val="0"/>
                    <w:snapToGrid w:val="0"/>
                    <w:spacing w:before="0" w:beforeAutospacing="0" w:after="0" w:afterAutospacing="0"/>
                    <w:ind w:left="0" w:right="0" w:firstLine="0" w:firstLineChars="0"/>
                    <w:jc w:val="center"/>
                    <w:rPr>
                      <w:rFonts w:hint="default" w:eastAsia="宋体"/>
                      <w:sz w:val="21"/>
                      <w:szCs w:val="21"/>
                      <w:highlight w:val="none"/>
                    </w:rPr>
                  </w:pPr>
                  <w:r>
                    <w:rPr>
                      <w:rFonts w:hint="eastAsia" w:eastAsia="宋体"/>
                      <w:sz w:val="21"/>
                      <w:szCs w:val="21"/>
                      <w:highlight w:val="none"/>
                    </w:rPr>
                    <w:t>北京十一衢州实验学校</w:t>
                  </w:r>
                </w:p>
              </w:tc>
              <w:tc>
                <w:tcPr>
                  <w:tcW w:w="825" w:type="pct"/>
                  <w:tcBorders>
                    <w:top w:val="single" w:color="auto" w:sz="4" w:space="0"/>
                    <w:left w:val="single" w:color="auto" w:sz="4" w:space="0"/>
                    <w:bottom w:val="single" w:color="auto" w:sz="4" w:space="0"/>
                    <w:right w:val="single" w:color="auto" w:sz="4" w:space="0"/>
                  </w:tcBorders>
                  <w:tcMar>
                    <w:left w:w="57" w:type="dxa"/>
                    <w:right w:w="57" w:type="dxa"/>
                  </w:tcMar>
                  <w:vAlign w:val="center"/>
                </w:tcPr>
                <w:p w14:paraId="28466231">
                  <w:pPr>
                    <w:pStyle w:val="85"/>
                    <w:keepNext w:val="0"/>
                    <w:keepLines w:val="0"/>
                    <w:suppressLineNumbers w:val="0"/>
                    <w:adjustRightInd w:val="0"/>
                    <w:snapToGrid w:val="0"/>
                    <w:spacing w:before="0" w:beforeAutospacing="0" w:after="0" w:afterAutospacing="0"/>
                    <w:ind w:left="0" w:right="0" w:firstLine="0" w:firstLineChars="0"/>
                    <w:jc w:val="center"/>
                    <w:rPr>
                      <w:rFonts w:hint="eastAsia" w:eastAsia="宋体"/>
                      <w:sz w:val="21"/>
                      <w:szCs w:val="21"/>
                      <w:highlight w:val="none"/>
                    </w:rPr>
                  </w:pPr>
                  <w:r>
                    <w:rPr>
                      <w:rFonts w:hint="eastAsia" w:eastAsia="宋体" w:cs="Times New Roman"/>
                      <w:color w:val="auto"/>
                      <w:kern w:val="0"/>
                      <w:sz w:val="21"/>
                      <w:szCs w:val="21"/>
                      <w:highlight w:val="none"/>
                      <w:lang w:val="en-US" w:eastAsia="zh-CN"/>
                    </w:rPr>
                    <w:t>E</w:t>
                  </w:r>
                  <w:r>
                    <w:rPr>
                      <w:rFonts w:hint="eastAsia" w:eastAsia="宋体"/>
                      <w:sz w:val="21"/>
                      <w:szCs w:val="21"/>
                      <w:highlight w:val="none"/>
                    </w:rPr>
                    <w:t>118.83704</w:t>
                  </w:r>
                  <w:r>
                    <w:rPr>
                      <w:rFonts w:hint="eastAsia" w:eastAsia="宋体"/>
                      <w:sz w:val="21"/>
                      <w:szCs w:val="21"/>
                      <w:highlight w:val="none"/>
                      <w:lang w:val="en-US" w:eastAsia="zh-CN"/>
                    </w:rPr>
                    <w:t>4</w:t>
                  </w:r>
                  <w:r>
                    <w:rPr>
                      <w:rFonts w:hint="default" w:eastAsia="Times New Roman"/>
                      <w:sz w:val="21"/>
                      <w:szCs w:val="21"/>
                      <w:highlight w:val="none"/>
                    </w:rPr>
                    <w:t>°</w:t>
                  </w:r>
                </w:p>
              </w:tc>
              <w:tc>
                <w:tcPr>
                  <w:tcW w:w="766" w:type="pct"/>
                  <w:tcBorders>
                    <w:top w:val="single" w:color="auto" w:sz="4" w:space="0"/>
                    <w:left w:val="single" w:color="auto" w:sz="4" w:space="0"/>
                    <w:bottom w:val="single" w:color="auto" w:sz="4" w:space="0"/>
                    <w:right w:val="single" w:color="auto" w:sz="4" w:space="0"/>
                  </w:tcBorders>
                  <w:tcMar>
                    <w:left w:w="57" w:type="dxa"/>
                    <w:right w:w="57" w:type="dxa"/>
                  </w:tcMar>
                  <w:vAlign w:val="center"/>
                </w:tcPr>
                <w:p w14:paraId="254CEDCB">
                  <w:pPr>
                    <w:pStyle w:val="85"/>
                    <w:keepNext w:val="0"/>
                    <w:keepLines w:val="0"/>
                    <w:suppressLineNumbers w:val="0"/>
                    <w:adjustRightInd w:val="0"/>
                    <w:snapToGrid w:val="0"/>
                    <w:spacing w:before="0" w:beforeAutospacing="0" w:after="0" w:afterAutospacing="0"/>
                    <w:ind w:left="0" w:right="0" w:firstLine="0" w:firstLineChars="0"/>
                    <w:jc w:val="center"/>
                    <w:rPr>
                      <w:rFonts w:hint="eastAsia" w:eastAsia="宋体"/>
                      <w:sz w:val="21"/>
                      <w:szCs w:val="21"/>
                      <w:highlight w:val="none"/>
                    </w:rPr>
                  </w:pPr>
                  <w:r>
                    <w:rPr>
                      <w:rFonts w:hint="eastAsia" w:eastAsia="宋体" w:cs="Times New Roman"/>
                      <w:color w:val="auto"/>
                      <w:kern w:val="0"/>
                      <w:sz w:val="21"/>
                      <w:szCs w:val="21"/>
                      <w:highlight w:val="none"/>
                      <w:lang w:val="en-US" w:eastAsia="zh-CN"/>
                    </w:rPr>
                    <w:t>N</w:t>
                  </w:r>
                  <w:r>
                    <w:rPr>
                      <w:rFonts w:hint="eastAsia" w:eastAsia="宋体"/>
                      <w:sz w:val="21"/>
                      <w:szCs w:val="21"/>
                      <w:highlight w:val="none"/>
                    </w:rPr>
                    <w:t>28.953187</w:t>
                  </w:r>
                  <w:r>
                    <w:rPr>
                      <w:rFonts w:hint="default" w:eastAsia="Times New Roman"/>
                      <w:sz w:val="21"/>
                      <w:szCs w:val="21"/>
                      <w:highlight w:val="none"/>
                    </w:rPr>
                    <w:t>°</w:t>
                  </w:r>
                </w:p>
              </w:tc>
              <w:tc>
                <w:tcPr>
                  <w:tcW w:w="323" w:type="pct"/>
                  <w:tcBorders>
                    <w:top w:val="single" w:color="auto" w:sz="4" w:space="0"/>
                    <w:left w:val="single" w:color="auto" w:sz="4" w:space="0"/>
                    <w:bottom w:val="single" w:color="auto" w:sz="4" w:space="0"/>
                    <w:right w:val="single" w:color="auto" w:sz="4" w:space="0"/>
                  </w:tcBorders>
                  <w:tcMar>
                    <w:left w:w="57" w:type="dxa"/>
                    <w:right w:w="57" w:type="dxa"/>
                  </w:tcMar>
                  <w:vAlign w:val="center"/>
                </w:tcPr>
                <w:p w14:paraId="11B00FE7">
                  <w:pPr>
                    <w:pStyle w:val="85"/>
                    <w:keepNext w:val="0"/>
                    <w:keepLines w:val="0"/>
                    <w:suppressLineNumbers w:val="0"/>
                    <w:adjustRightInd w:val="0"/>
                    <w:snapToGrid w:val="0"/>
                    <w:spacing w:before="0" w:beforeAutospacing="0" w:after="0" w:afterAutospacing="0"/>
                    <w:ind w:left="0" w:right="0" w:firstLine="0" w:firstLineChars="0"/>
                    <w:jc w:val="center"/>
                    <w:rPr>
                      <w:rFonts w:hint="default" w:eastAsia="宋体"/>
                      <w:sz w:val="21"/>
                      <w:szCs w:val="21"/>
                      <w:highlight w:val="none"/>
                    </w:rPr>
                  </w:pPr>
                  <w:r>
                    <w:rPr>
                      <w:rFonts w:hint="eastAsia" w:eastAsia="宋体"/>
                      <w:sz w:val="21"/>
                      <w:szCs w:val="21"/>
                      <w:highlight w:val="none"/>
                      <w:lang w:val="en-US" w:eastAsia="zh-CN"/>
                    </w:rPr>
                    <w:t>东</w:t>
                  </w:r>
                </w:p>
              </w:tc>
              <w:tc>
                <w:tcPr>
                  <w:tcW w:w="579" w:type="pct"/>
                  <w:tcBorders>
                    <w:top w:val="single" w:color="auto" w:sz="4" w:space="0"/>
                    <w:left w:val="single" w:color="auto" w:sz="4" w:space="0"/>
                    <w:bottom w:val="single" w:color="auto" w:sz="4" w:space="0"/>
                    <w:right w:val="single" w:color="auto" w:sz="4" w:space="0"/>
                  </w:tcBorders>
                  <w:tcMar>
                    <w:left w:w="57" w:type="dxa"/>
                    <w:right w:w="57" w:type="dxa"/>
                  </w:tcMar>
                  <w:vAlign w:val="center"/>
                </w:tcPr>
                <w:p w14:paraId="5FAD5BE0">
                  <w:pPr>
                    <w:pStyle w:val="85"/>
                    <w:keepNext w:val="0"/>
                    <w:keepLines w:val="0"/>
                    <w:suppressLineNumbers w:val="0"/>
                    <w:adjustRightInd w:val="0"/>
                    <w:snapToGrid w:val="0"/>
                    <w:spacing w:before="0" w:beforeAutospacing="0" w:after="0" w:afterAutospacing="0"/>
                    <w:ind w:left="0" w:right="0" w:firstLine="0" w:firstLineChars="0"/>
                    <w:jc w:val="center"/>
                    <w:rPr>
                      <w:rFonts w:hint="default" w:eastAsia="宋体"/>
                      <w:sz w:val="21"/>
                      <w:szCs w:val="21"/>
                      <w:highlight w:val="none"/>
                      <w:lang w:val="en-US" w:eastAsia="zh-CN"/>
                    </w:rPr>
                  </w:pPr>
                  <w:r>
                    <w:rPr>
                      <w:rFonts w:hint="eastAsia" w:eastAsia="宋体"/>
                      <w:sz w:val="21"/>
                      <w:szCs w:val="21"/>
                      <w:highlight w:val="none"/>
                      <w:lang w:val="en-US" w:eastAsia="zh-CN"/>
                    </w:rPr>
                    <w:t>192</w:t>
                  </w:r>
                </w:p>
              </w:tc>
            </w:tr>
            <w:tr w14:paraId="78169F0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319" w:hRule="atLeast"/>
                <w:jc w:val="center"/>
              </w:trPr>
              <w:tc>
                <w:tcPr>
                  <w:tcW w:w="825" w:type="pct"/>
                  <w:vMerge w:val="continue"/>
                  <w:tcBorders>
                    <w:left w:val="single" w:color="auto" w:sz="4" w:space="0"/>
                    <w:right w:val="single" w:color="auto" w:sz="4" w:space="0"/>
                  </w:tcBorders>
                  <w:tcMar>
                    <w:left w:w="57" w:type="dxa"/>
                    <w:right w:w="57" w:type="dxa"/>
                  </w:tcMar>
                  <w:vAlign w:val="center"/>
                </w:tcPr>
                <w:p w14:paraId="2538BCE8">
                  <w:pPr>
                    <w:pStyle w:val="85"/>
                    <w:keepNext w:val="0"/>
                    <w:keepLines w:val="0"/>
                    <w:suppressLineNumbers w:val="0"/>
                    <w:tabs>
                      <w:tab w:val="left" w:pos="2625"/>
                    </w:tabs>
                    <w:adjustRightInd w:val="0"/>
                    <w:snapToGrid w:val="0"/>
                    <w:spacing w:before="0" w:beforeAutospacing="0" w:after="0" w:afterAutospacing="0" w:line="276" w:lineRule="auto"/>
                    <w:ind w:left="0" w:right="0" w:firstLine="0" w:firstLineChars="0"/>
                    <w:jc w:val="center"/>
                    <w:rPr>
                      <w:rFonts w:hint="default" w:eastAsia="宋体"/>
                      <w:kern w:val="0"/>
                      <w:sz w:val="21"/>
                      <w:szCs w:val="21"/>
                      <w:highlight w:val="none"/>
                    </w:rPr>
                  </w:pPr>
                </w:p>
              </w:tc>
              <w:tc>
                <w:tcPr>
                  <w:tcW w:w="260" w:type="pct"/>
                  <w:tcBorders>
                    <w:top w:val="single" w:color="auto" w:sz="4" w:space="0"/>
                    <w:left w:val="single" w:color="auto" w:sz="4" w:space="0"/>
                    <w:bottom w:val="single" w:color="auto" w:sz="4" w:space="0"/>
                    <w:right w:val="single" w:color="auto" w:sz="4" w:space="0"/>
                  </w:tcBorders>
                  <w:shd w:val="clear" w:color="auto" w:fill="auto"/>
                  <w:tcMar>
                    <w:left w:w="57" w:type="dxa"/>
                    <w:right w:w="57" w:type="dxa"/>
                  </w:tcMar>
                  <w:vAlign w:val="center"/>
                </w:tcPr>
                <w:p w14:paraId="676F673D">
                  <w:pPr>
                    <w:pStyle w:val="85"/>
                    <w:keepNext w:val="0"/>
                    <w:keepLines w:val="0"/>
                    <w:suppressLineNumbers w:val="0"/>
                    <w:tabs>
                      <w:tab w:val="left" w:pos="2625"/>
                    </w:tabs>
                    <w:adjustRightInd w:val="0"/>
                    <w:snapToGrid w:val="0"/>
                    <w:spacing w:before="0" w:beforeAutospacing="0" w:after="0" w:afterAutospacing="0" w:line="276" w:lineRule="auto"/>
                    <w:ind w:left="0" w:leftChars="0" w:right="0" w:rightChars="0" w:firstLine="0" w:firstLineChars="0"/>
                    <w:jc w:val="center"/>
                    <w:rPr>
                      <w:rFonts w:hint="eastAsia" w:ascii="Times New Roman" w:hAnsi="Times New Roman" w:eastAsia="宋体" w:cs="Times New Roman"/>
                      <w:kern w:val="0"/>
                      <w:sz w:val="21"/>
                      <w:szCs w:val="21"/>
                      <w:highlight w:val="none"/>
                      <w:lang w:val="en-US" w:eastAsia="zh-CN" w:bidi="ar-SA"/>
                    </w:rPr>
                  </w:pPr>
                  <w:r>
                    <w:rPr>
                      <w:rFonts w:hint="eastAsia" w:eastAsia="宋体"/>
                      <w:kern w:val="0"/>
                      <w:sz w:val="21"/>
                      <w:szCs w:val="21"/>
                      <w:highlight w:val="none"/>
                      <w:lang w:val="en-US" w:eastAsia="zh-CN"/>
                    </w:rPr>
                    <w:t>9</w:t>
                  </w:r>
                </w:p>
              </w:tc>
              <w:tc>
                <w:tcPr>
                  <w:tcW w:w="1418" w:type="pct"/>
                  <w:tcBorders>
                    <w:top w:val="single" w:color="auto" w:sz="4" w:space="0"/>
                    <w:left w:val="single" w:color="auto" w:sz="4" w:space="0"/>
                    <w:bottom w:val="single" w:color="auto" w:sz="4" w:space="0"/>
                    <w:right w:val="single" w:color="auto" w:sz="4" w:space="0"/>
                  </w:tcBorders>
                  <w:tcMar>
                    <w:left w:w="57" w:type="dxa"/>
                    <w:right w:w="57" w:type="dxa"/>
                  </w:tcMar>
                  <w:vAlign w:val="center"/>
                </w:tcPr>
                <w:p w14:paraId="100E9138">
                  <w:pPr>
                    <w:pStyle w:val="85"/>
                    <w:keepNext w:val="0"/>
                    <w:keepLines w:val="0"/>
                    <w:suppressLineNumbers w:val="0"/>
                    <w:adjustRightInd w:val="0"/>
                    <w:snapToGrid w:val="0"/>
                    <w:spacing w:before="0" w:beforeAutospacing="0" w:after="0" w:afterAutospacing="0"/>
                    <w:ind w:left="0" w:right="0" w:firstLine="0" w:firstLineChars="0"/>
                    <w:jc w:val="center"/>
                    <w:rPr>
                      <w:rFonts w:hint="eastAsia" w:eastAsia="宋体"/>
                      <w:sz w:val="21"/>
                      <w:szCs w:val="21"/>
                      <w:highlight w:val="none"/>
                    </w:rPr>
                  </w:pPr>
                  <w:r>
                    <w:rPr>
                      <w:rFonts w:hint="eastAsia" w:eastAsia="宋体"/>
                      <w:sz w:val="21"/>
                      <w:szCs w:val="21"/>
                      <w:highlight w:val="none"/>
                    </w:rPr>
                    <w:t>瑞文府</w:t>
                  </w:r>
                </w:p>
              </w:tc>
              <w:tc>
                <w:tcPr>
                  <w:tcW w:w="825" w:type="pct"/>
                  <w:tcBorders>
                    <w:top w:val="single" w:color="auto" w:sz="4" w:space="0"/>
                    <w:left w:val="single" w:color="auto" w:sz="4" w:space="0"/>
                    <w:bottom w:val="single" w:color="auto" w:sz="4" w:space="0"/>
                    <w:right w:val="single" w:color="auto" w:sz="4" w:space="0"/>
                  </w:tcBorders>
                  <w:tcMar>
                    <w:left w:w="57" w:type="dxa"/>
                    <w:right w:w="57" w:type="dxa"/>
                  </w:tcMar>
                  <w:vAlign w:val="center"/>
                </w:tcPr>
                <w:p w14:paraId="5860A78C">
                  <w:pPr>
                    <w:pStyle w:val="85"/>
                    <w:keepNext w:val="0"/>
                    <w:keepLines w:val="0"/>
                    <w:suppressLineNumbers w:val="0"/>
                    <w:adjustRightInd w:val="0"/>
                    <w:snapToGrid w:val="0"/>
                    <w:spacing w:before="0" w:beforeAutospacing="0" w:after="0" w:afterAutospacing="0"/>
                    <w:ind w:left="0" w:right="0" w:firstLine="0" w:firstLineChars="0"/>
                    <w:jc w:val="center"/>
                    <w:rPr>
                      <w:rFonts w:hint="eastAsia" w:eastAsia="宋体"/>
                      <w:sz w:val="21"/>
                      <w:szCs w:val="21"/>
                      <w:highlight w:val="none"/>
                    </w:rPr>
                  </w:pPr>
                  <w:r>
                    <w:rPr>
                      <w:rFonts w:hint="eastAsia" w:eastAsia="宋体" w:cs="Times New Roman"/>
                      <w:color w:val="auto"/>
                      <w:kern w:val="0"/>
                      <w:sz w:val="21"/>
                      <w:szCs w:val="21"/>
                      <w:highlight w:val="none"/>
                      <w:lang w:val="en-US" w:eastAsia="zh-CN"/>
                    </w:rPr>
                    <w:t>E</w:t>
                  </w:r>
                  <w:r>
                    <w:rPr>
                      <w:rFonts w:hint="eastAsia" w:eastAsia="宋体"/>
                      <w:sz w:val="21"/>
                      <w:szCs w:val="21"/>
                      <w:highlight w:val="none"/>
                    </w:rPr>
                    <w:t>118.83738</w:t>
                  </w:r>
                  <w:r>
                    <w:rPr>
                      <w:rFonts w:hint="eastAsia" w:eastAsia="宋体"/>
                      <w:sz w:val="21"/>
                      <w:szCs w:val="21"/>
                      <w:highlight w:val="none"/>
                      <w:lang w:val="en-US" w:eastAsia="zh-CN"/>
                    </w:rPr>
                    <w:t>2</w:t>
                  </w:r>
                  <w:r>
                    <w:rPr>
                      <w:rFonts w:hint="default" w:eastAsia="Times New Roman"/>
                      <w:sz w:val="21"/>
                      <w:szCs w:val="21"/>
                      <w:highlight w:val="none"/>
                    </w:rPr>
                    <w:t>°</w:t>
                  </w:r>
                </w:p>
              </w:tc>
              <w:tc>
                <w:tcPr>
                  <w:tcW w:w="766" w:type="pct"/>
                  <w:tcBorders>
                    <w:top w:val="single" w:color="auto" w:sz="4" w:space="0"/>
                    <w:left w:val="single" w:color="auto" w:sz="4" w:space="0"/>
                    <w:bottom w:val="single" w:color="auto" w:sz="4" w:space="0"/>
                    <w:right w:val="single" w:color="auto" w:sz="4" w:space="0"/>
                  </w:tcBorders>
                  <w:tcMar>
                    <w:left w:w="57" w:type="dxa"/>
                    <w:right w:w="57" w:type="dxa"/>
                  </w:tcMar>
                  <w:vAlign w:val="center"/>
                </w:tcPr>
                <w:p w14:paraId="37B37CD1">
                  <w:pPr>
                    <w:pStyle w:val="85"/>
                    <w:keepNext w:val="0"/>
                    <w:keepLines w:val="0"/>
                    <w:suppressLineNumbers w:val="0"/>
                    <w:adjustRightInd w:val="0"/>
                    <w:snapToGrid w:val="0"/>
                    <w:spacing w:before="0" w:beforeAutospacing="0" w:after="0" w:afterAutospacing="0"/>
                    <w:ind w:left="0" w:right="0" w:firstLine="0" w:firstLineChars="0"/>
                    <w:jc w:val="center"/>
                    <w:rPr>
                      <w:rFonts w:hint="eastAsia" w:eastAsia="宋体"/>
                      <w:sz w:val="21"/>
                      <w:szCs w:val="21"/>
                      <w:highlight w:val="none"/>
                    </w:rPr>
                  </w:pPr>
                  <w:r>
                    <w:rPr>
                      <w:rFonts w:hint="eastAsia" w:eastAsia="宋体" w:cs="Times New Roman"/>
                      <w:color w:val="auto"/>
                      <w:kern w:val="0"/>
                      <w:sz w:val="21"/>
                      <w:szCs w:val="21"/>
                      <w:highlight w:val="none"/>
                      <w:lang w:val="en-US" w:eastAsia="zh-CN"/>
                    </w:rPr>
                    <w:t>N</w:t>
                  </w:r>
                  <w:r>
                    <w:rPr>
                      <w:rFonts w:hint="eastAsia" w:eastAsia="宋体"/>
                      <w:sz w:val="21"/>
                      <w:szCs w:val="21"/>
                      <w:highlight w:val="none"/>
                    </w:rPr>
                    <w:t>28.95145</w:t>
                  </w:r>
                  <w:r>
                    <w:rPr>
                      <w:rFonts w:hint="eastAsia" w:eastAsia="宋体"/>
                      <w:sz w:val="21"/>
                      <w:szCs w:val="21"/>
                      <w:highlight w:val="none"/>
                      <w:lang w:val="en-US" w:eastAsia="zh-CN"/>
                    </w:rPr>
                    <w:t>5</w:t>
                  </w:r>
                  <w:r>
                    <w:rPr>
                      <w:rFonts w:hint="default" w:eastAsia="Times New Roman"/>
                      <w:sz w:val="21"/>
                      <w:szCs w:val="21"/>
                      <w:highlight w:val="none"/>
                    </w:rPr>
                    <w:t>°</w:t>
                  </w:r>
                </w:p>
              </w:tc>
              <w:tc>
                <w:tcPr>
                  <w:tcW w:w="323" w:type="pct"/>
                  <w:tcBorders>
                    <w:top w:val="single" w:color="auto" w:sz="4" w:space="0"/>
                    <w:left w:val="single" w:color="auto" w:sz="4" w:space="0"/>
                    <w:bottom w:val="single" w:color="auto" w:sz="4" w:space="0"/>
                    <w:right w:val="single" w:color="auto" w:sz="4" w:space="0"/>
                  </w:tcBorders>
                  <w:tcMar>
                    <w:left w:w="57" w:type="dxa"/>
                    <w:right w:w="57" w:type="dxa"/>
                  </w:tcMar>
                  <w:vAlign w:val="center"/>
                </w:tcPr>
                <w:p w14:paraId="56E3C172">
                  <w:pPr>
                    <w:pStyle w:val="85"/>
                    <w:keepNext w:val="0"/>
                    <w:keepLines w:val="0"/>
                    <w:suppressLineNumbers w:val="0"/>
                    <w:adjustRightInd w:val="0"/>
                    <w:snapToGrid w:val="0"/>
                    <w:spacing w:before="0" w:beforeAutospacing="0" w:after="0" w:afterAutospacing="0"/>
                    <w:ind w:left="0" w:right="0" w:firstLine="0" w:firstLineChars="0"/>
                    <w:jc w:val="center"/>
                    <w:rPr>
                      <w:rFonts w:hint="eastAsia" w:eastAsia="宋体"/>
                      <w:sz w:val="21"/>
                      <w:szCs w:val="21"/>
                      <w:highlight w:val="none"/>
                    </w:rPr>
                  </w:pPr>
                  <w:r>
                    <w:rPr>
                      <w:rFonts w:hint="eastAsia" w:eastAsia="宋体"/>
                      <w:sz w:val="21"/>
                      <w:szCs w:val="21"/>
                      <w:highlight w:val="none"/>
                      <w:lang w:val="en-US" w:eastAsia="zh-CN"/>
                    </w:rPr>
                    <w:t>东</w:t>
                  </w:r>
                </w:p>
              </w:tc>
              <w:tc>
                <w:tcPr>
                  <w:tcW w:w="579" w:type="pct"/>
                  <w:tcBorders>
                    <w:top w:val="single" w:color="auto" w:sz="4" w:space="0"/>
                    <w:left w:val="single" w:color="auto" w:sz="4" w:space="0"/>
                    <w:bottom w:val="single" w:color="auto" w:sz="4" w:space="0"/>
                    <w:right w:val="single" w:color="auto" w:sz="4" w:space="0"/>
                  </w:tcBorders>
                  <w:tcMar>
                    <w:left w:w="57" w:type="dxa"/>
                    <w:right w:w="57" w:type="dxa"/>
                  </w:tcMar>
                  <w:vAlign w:val="center"/>
                </w:tcPr>
                <w:p w14:paraId="489AAAFD">
                  <w:pPr>
                    <w:pStyle w:val="85"/>
                    <w:keepNext w:val="0"/>
                    <w:keepLines w:val="0"/>
                    <w:suppressLineNumbers w:val="0"/>
                    <w:adjustRightInd w:val="0"/>
                    <w:snapToGrid w:val="0"/>
                    <w:spacing w:before="0" w:beforeAutospacing="0" w:after="0" w:afterAutospacing="0"/>
                    <w:ind w:left="0" w:right="0" w:firstLine="0" w:firstLineChars="0"/>
                    <w:jc w:val="center"/>
                    <w:rPr>
                      <w:rFonts w:hint="default" w:eastAsia="宋体"/>
                      <w:sz w:val="21"/>
                      <w:szCs w:val="21"/>
                      <w:highlight w:val="none"/>
                      <w:lang w:val="en-US" w:eastAsia="zh-CN"/>
                    </w:rPr>
                  </w:pPr>
                  <w:r>
                    <w:rPr>
                      <w:rFonts w:hint="eastAsia" w:eastAsia="宋体"/>
                      <w:sz w:val="21"/>
                      <w:szCs w:val="21"/>
                      <w:highlight w:val="none"/>
                      <w:lang w:val="en-US" w:eastAsia="zh-CN"/>
                    </w:rPr>
                    <w:t>210</w:t>
                  </w:r>
                </w:p>
              </w:tc>
            </w:tr>
            <w:tr w14:paraId="53C1736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319" w:hRule="atLeast"/>
                <w:jc w:val="center"/>
              </w:trPr>
              <w:tc>
                <w:tcPr>
                  <w:tcW w:w="825" w:type="pct"/>
                  <w:vMerge w:val="continue"/>
                  <w:tcBorders>
                    <w:left w:val="single" w:color="auto" w:sz="4" w:space="0"/>
                    <w:right w:val="single" w:color="auto" w:sz="4" w:space="0"/>
                  </w:tcBorders>
                  <w:tcMar>
                    <w:left w:w="57" w:type="dxa"/>
                    <w:right w:w="57" w:type="dxa"/>
                  </w:tcMar>
                  <w:vAlign w:val="center"/>
                </w:tcPr>
                <w:p w14:paraId="69F29AC5">
                  <w:pPr>
                    <w:pStyle w:val="85"/>
                    <w:keepNext w:val="0"/>
                    <w:keepLines w:val="0"/>
                    <w:suppressLineNumbers w:val="0"/>
                    <w:tabs>
                      <w:tab w:val="left" w:pos="2625"/>
                    </w:tabs>
                    <w:adjustRightInd w:val="0"/>
                    <w:snapToGrid w:val="0"/>
                    <w:spacing w:before="0" w:beforeAutospacing="0" w:after="0" w:afterAutospacing="0" w:line="276" w:lineRule="auto"/>
                    <w:ind w:left="0" w:right="0" w:firstLine="0" w:firstLineChars="0"/>
                    <w:jc w:val="center"/>
                    <w:rPr>
                      <w:rFonts w:hint="default" w:eastAsia="宋体"/>
                      <w:kern w:val="0"/>
                      <w:sz w:val="21"/>
                      <w:szCs w:val="21"/>
                      <w:highlight w:val="none"/>
                    </w:rPr>
                  </w:pPr>
                </w:p>
              </w:tc>
              <w:tc>
                <w:tcPr>
                  <w:tcW w:w="260" w:type="pct"/>
                  <w:tcBorders>
                    <w:top w:val="single" w:color="auto" w:sz="4" w:space="0"/>
                    <w:left w:val="single" w:color="auto" w:sz="4" w:space="0"/>
                    <w:bottom w:val="single" w:color="auto" w:sz="4" w:space="0"/>
                    <w:right w:val="single" w:color="auto" w:sz="4" w:space="0"/>
                  </w:tcBorders>
                  <w:shd w:val="clear" w:color="auto" w:fill="auto"/>
                  <w:tcMar>
                    <w:left w:w="57" w:type="dxa"/>
                    <w:right w:w="57" w:type="dxa"/>
                  </w:tcMar>
                  <w:vAlign w:val="center"/>
                </w:tcPr>
                <w:p w14:paraId="51A59C24">
                  <w:pPr>
                    <w:pStyle w:val="85"/>
                    <w:keepNext w:val="0"/>
                    <w:keepLines w:val="0"/>
                    <w:suppressLineNumbers w:val="0"/>
                    <w:tabs>
                      <w:tab w:val="left" w:pos="2625"/>
                    </w:tabs>
                    <w:adjustRightInd w:val="0"/>
                    <w:snapToGrid w:val="0"/>
                    <w:spacing w:before="0" w:beforeAutospacing="0" w:after="0" w:afterAutospacing="0" w:line="276" w:lineRule="auto"/>
                    <w:ind w:left="0" w:leftChars="0" w:right="0" w:rightChars="0" w:firstLine="0" w:firstLineChars="0"/>
                    <w:jc w:val="center"/>
                    <w:rPr>
                      <w:rFonts w:hint="eastAsia" w:ascii="Times New Roman" w:hAnsi="Times New Roman" w:eastAsia="宋体" w:cs="Times New Roman"/>
                      <w:kern w:val="0"/>
                      <w:sz w:val="21"/>
                      <w:szCs w:val="21"/>
                      <w:highlight w:val="none"/>
                      <w:lang w:val="en-US" w:eastAsia="zh-CN" w:bidi="ar-SA"/>
                    </w:rPr>
                  </w:pPr>
                  <w:r>
                    <w:rPr>
                      <w:rFonts w:hint="eastAsia" w:eastAsia="宋体"/>
                      <w:kern w:val="0"/>
                      <w:sz w:val="21"/>
                      <w:szCs w:val="21"/>
                      <w:highlight w:val="none"/>
                      <w:lang w:val="en-US" w:eastAsia="zh-CN"/>
                    </w:rPr>
                    <w:t>10</w:t>
                  </w:r>
                </w:p>
              </w:tc>
              <w:tc>
                <w:tcPr>
                  <w:tcW w:w="1418" w:type="pct"/>
                  <w:tcBorders>
                    <w:top w:val="single" w:color="auto" w:sz="4" w:space="0"/>
                    <w:left w:val="single" w:color="auto" w:sz="4" w:space="0"/>
                    <w:bottom w:val="single" w:color="auto" w:sz="4" w:space="0"/>
                    <w:right w:val="single" w:color="auto" w:sz="4" w:space="0"/>
                  </w:tcBorders>
                  <w:tcMar>
                    <w:left w:w="57" w:type="dxa"/>
                    <w:right w:w="57" w:type="dxa"/>
                  </w:tcMar>
                  <w:vAlign w:val="center"/>
                </w:tcPr>
                <w:p w14:paraId="7FC7B7A5">
                  <w:pPr>
                    <w:pStyle w:val="85"/>
                    <w:keepNext w:val="0"/>
                    <w:keepLines w:val="0"/>
                    <w:suppressLineNumbers w:val="0"/>
                    <w:adjustRightInd w:val="0"/>
                    <w:snapToGrid w:val="0"/>
                    <w:spacing w:before="0" w:beforeAutospacing="0" w:after="0" w:afterAutospacing="0"/>
                    <w:ind w:left="0" w:right="0" w:firstLine="0" w:firstLineChars="0"/>
                    <w:jc w:val="center"/>
                    <w:rPr>
                      <w:rFonts w:hint="eastAsia" w:eastAsia="宋体"/>
                      <w:sz w:val="21"/>
                      <w:szCs w:val="21"/>
                      <w:highlight w:val="none"/>
                    </w:rPr>
                  </w:pPr>
                  <w:r>
                    <w:rPr>
                      <w:rFonts w:hint="eastAsia" w:eastAsia="宋体"/>
                      <w:sz w:val="21"/>
                      <w:szCs w:val="21"/>
                      <w:highlight w:val="none"/>
                    </w:rPr>
                    <w:t>衢州市公共卫生服务中心</w:t>
                  </w:r>
                </w:p>
              </w:tc>
              <w:tc>
                <w:tcPr>
                  <w:tcW w:w="825" w:type="pct"/>
                  <w:tcBorders>
                    <w:top w:val="single" w:color="auto" w:sz="4" w:space="0"/>
                    <w:left w:val="single" w:color="auto" w:sz="4" w:space="0"/>
                    <w:bottom w:val="single" w:color="auto" w:sz="4" w:space="0"/>
                    <w:right w:val="single" w:color="auto" w:sz="4" w:space="0"/>
                  </w:tcBorders>
                  <w:tcMar>
                    <w:left w:w="57" w:type="dxa"/>
                    <w:right w:w="57" w:type="dxa"/>
                  </w:tcMar>
                  <w:vAlign w:val="center"/>
                </w:tcPr>
                <w:p w14:paraId="59414951">
                  <w:pPr>
                    <w:pStyle w:val="85"/>
                    <w:keepNext w:val="0"/>
                    <w:keepLines w:val="0"/>
                    <w:suppressLineNumbers w:val="0"/>
                    <w:adjustRightInd w:val="0"/>
                    <w:snapToGrid w:val="0"/>
                    <w:spacing w:before="0" w:beforeAutospacing="0" w:after="0" w:afterAutospacing="0"/>
                    <w:ind w:left="0" w:right="0" w:firstLine="0" w:firstLineChars="0"/>
                    <w:jc w:val="center"/>
                    <w:rPr>
                      <w:rFonts w:hint="eastAsia" w:eastAsia="宋体" w:cs="Times New Roman"/>
                      <w:color w:val="auto"/>
                      <w:kern w:val="0"/>
                      <w:sz w:val="21"/>
                      <w:szCs w:val="21"/>
                      <w:highlight w:val="none"/>
                      <w:lang w:val="en-US" w:eastAsia="zh-CN"/>
                    </w:rPr>
                  </w:pPr>
                  <w:r>
                    <w:rPr>
                      <w:rFonts w:hint="eastAsia" w:eastAsia="宋体" w:cs="Times New Roman"/>
                      <w:color w:val="auto"/>
                      <w:kern w:val="0"/>
                      <w:sz w:val="21"/>
                      <w:szCs w:val="21"/>
                      <w:highlight w:val="none"/>
                      <w:lang w:val="en-US" w:eastAsia="zh-CN"/>
                    </w:rPr>
                    <w:t>E118.826694</w:t>
                  </w:r>
                  <w:r>
                    <w:rPr>
                      <w:rFonts w:hint="default" w:eastAsia="Times New Roman"/>
                      <w:sz w:val="21"/>
                      <w:szCs w:val="21"/>
                      <w:highlight w:val="none"/>
                    </w:rPr>
                    <w:t>°</w:t>
                  </w:r>
                </w:p>
              </w:tc>
              <w:tc>
                <w:tcPr>
                  <w:tcW w:w="766" w:type="pct"/>
                  <w:tcBorders>
                    <w:top w:val="single" w:color="auto" w:sz="4" w:space="0"/>
                    <w:left w:val="single" w:color="auto" w:sz="4" w:space="0"/>
                    <w:bottom w:val="single" w:color="auto" w:sz="4" w:space="0"/>
                    <w:right w:val="single" w:color="auto" w:sz="4" w:space="0"/>
                  </w:tcBorders>
                  <w:tcMar>
                    <w:left w:w="57" w:type="dxa"/>
                    <w:right w:w="57" w:type="dxa"/>
                  </w:tcMar>
                  <w:vAlign w:val="center"/>
                </w:tcPr>
                <w:p w14:paraId="2ACAB9CB">
                  <w:pPr>
                    <w:pStyle w:val="85"/>
                    <w:keepNext w:val="0"/>
                    <w:keepLines w:val="0"/>
                    <w:suppressLineNumbers w:val="0"/>
                    <w:adjustRightInd w:val="0"/>
                    <w:snapToGrid w:val="0"/>
                    <w:spacing w:before="0" w:beforeAutospacing="0" w:after="0" w:afterAutospacing="0"/>
                    <w:ind w:left="0" w:right="0" w:firstLine="0" w:firstLineChars="0"/>
                    <w:jc w:val="center"/>
                    <w:rPr>
                      <w:rFonts w:hint="eastAsia" w:eastAsia="宋体" w:cs="Times New Roman"/>
                      <w:color w:val="auto"/>
                      <w:kern w:val="0"/>
                      <w:sz w:val="21"/>
                      <w:szCs w:val="21"/>
                      <w:highlight w:val="none"/>
                      <w:lang w:val="en-US" w:eastAsia="zh-CN"/>
                    </w:rPr>
                  </w:pPr>
                  <w:r>
                    <w:rPr>
                      <w:rFonts w:hint="eastAsia" w:eastAsia="宋体" w:cs="Times New Roman"/>
                      <w:color w:val="auto"/>
                      <w:kern w:val="0"/>
                      <w:sz w:val="21"/>
                      <w:szCs w:val="21"/>
                      <w:highlight w:val="none"/>
                      <w:lang w:val="en-US" w:eastAsia="zh-CN"/>
                    </w:rPr>
                    <w:t>N28.953297</w:t>
                  </w:r>
                  <w:r>
                    <w:rPr>
                      <w:rFonts w:hint="default" w:eastAsia="Times New Roman"/>
                      <w:sz w:val="21"/>
                      <w:szCs w:val="21"/>
                      <w:highlight w:val="none"/>
                    </w:rPr>
                    <w:t>°</w:t>
                  </w:r>
                </w:p>
              </w:tc>
              <w:tc>
                <w:tcPr>
                  <w:tcW w:w="323" w:type="pct"/>
                  <w:tcBorders>
                    <w:top w:val="single" w:color="auto" w:sz="4" w:space="0"/>
                    <w:left w:val="single" w:color="auto" w:sz="4" w:space="0"/>
                    <w:bottom w:val="single" w:color="auto" w:sz="4" w:space="0"/>
                    <w:right w:val="single" w:color="auto" w:sz="4" w:space="0"/>
                  </w:tcBorders>
                  <w:tcMar>
                    <w:left w:w="57" w:type="dxa"/>
                    <w:right w:w="57" w:type="dxa"/>
                  </w:tcMar>
                  <w:vAlign w:val="center"/>
                </w:tcPr>
                <w:p w14:paraId="40AD8E41">
                  <w:pPr>
                    <w:pStyle w:val="85"/>
                    <w:keepNext w:val="0"/>
                    <w:keepLines w:val="0"/>
                    <w:suppressLineNumbers w:val="0"/>
                    <w:adjustRightInd w:val="0"/>
                    <w:snapToGrid w:val="0"/>
                    <w:spacing w:before="0" w:beforeAutospacing="0" w:after="0" w:afterAutospacing="0"/>
                    <w:ind w:left="0" w:right="0" w:firstLine="0" w:firstLineChars="0"/>
                    <w:jc w:val="center"/>
                    <w:rPr>
                      <w:rFonts w:hint="default" w:eastAsia="宋体"/>
                      <w:sz w:val="21"/>
                      <w:szCs w:val="21"/>
                      <w:highlight w:val="none"/>
                      <w:lang w:val="en-US" w:eastAsia="zh-CN"/>
                    </w:rPr>
                  </w:pPr>
                  <w:r>
                    <w:rPr>
                      <w:rFonts w:hint="eastAsia" w:eastAsia="宋体"/>
                      <w:sz w:val="21"/>
                      <w:szCs w:val="21"/>
                      <w:highlight w:val="none"/>
                      <w:lang w:val="en-US" w:eastAsia="zh-CN"/>
                    </w:rPr>
                    <w:t>西北</w:t>
                  </w:r>
                </w:p>
              </w:tc>
              <w:tc>
                <w:tcPr>
                  <w:tcW w:w="579" w:type="pct"/>
                  <w:tcBorders>
                    <w:top w:val="single" w:color="auto" w:sz="4" w:space="0"/>
                    <w:left w:val="single" w:color="auto" w:sz="4" w:space="0"/>
                    <w:bottom w:val="single" w:color="auto" w:sz="4" w:space="0"/>
                    <w:right w:val="single" w:color="auto" w:sz="4" w:space="0"/>
                  </w:tcBorders>
                  <w:tcMar>
                    <w:left w:w="57" w:type="dxa"/>
                    <w:right w:w="57" w:type="dxa"/>
                  </w:tcMar>
                  <w:vAlign w:val="center"/>
                </w:tcPr>
                <w:p w14:paraId="28898A84">
                  <w:pPr>
                    <w:pStyle w:val="85"/>
                    <w:keepNext w:val="0"/>
                    <w:keepLines w:val="0"/>
                    <w:suppressLineNumbers w:val="0"/>
                    <w:adjustRightInd w:val="0"/>
                    <w:snapToGrid w:val="0"/>
                    <w:spacing w:before="0" w:beforeAutospacing="0" w:after="0" w:afterAutospacing="0"/>
                    <w:ind w:left="0" w:right="0" w:firstLine="0" w:firstLineChars="0"/>
                    <w:jc w:val="center"/>
                    <w:rPr>
                      <w:rFonts w:hint="default" w:eastAsia="宋体"/>
                      <w:sz w:val="21"/>
                      <w:szCs w:val="21"/>
                      <w:highlight w:val="none"/>
                      <w:lang w:val="en-US" w:eastAsia="zh-CN"/>
                    </w:rPr>
                  </w:pPr>
                  <w:r>
                    <w:rPr>
                      <w:rFonts w:hint="eastAsia" w:eastAsia="宋体"/>
                      <w:sz w:val="21"/>
                      <w:szCs w:val="21"/>
                      <w:highlight w:val="none"/>
                      <w:lang w:val="en-US" w:eastAsia="zh-CN"/>
                    </w:rPr>
                    <w:t>291</w:t>
                  </w:r>
                </w:p>
              </w:tc>
            </w:tr>
            <w:tr w14:paraId="2ACC90C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319" w:hRule="atLeast"/>
                <w:jc w:val="center"/>
              </w:trPr>
              <w:tc>
                <w:tcPr>
                  <w:tcW w:w="825" w:type="pct"/>
                  <w:vMerge w:val="continue"/>
                  <w:tcBorders>
                    <w:left w:val="single" w:color="auto" w:sz="4" w:space="0"/>
                    <w:right w:val="single" w:color="auto" w:sz="4" w:space="0"/>
                  </w:tcBorders>
                  <w:tcMar>
                    <w:left w:w="57" w:type="dxa"/>
                    <w:right w:w="57" w:type="dxa"/>
                  </w:tcMar>
                  <w:vAlign w:val="center"/>
                </w:tcPr>
                <w:p w14:paraId="46E12E84">
                  <w:pPr>
                    <w:pStyle w:val="85"/>
                    <w:keepNext w:val="0"/>
                    <w:keepLines w:val="0"/>
                    <w:suppressLineNumbers w:val="0"/>
                    <w:tabs>
                      <w:tab w:val="left" w:pos="2625"/>
                    </w:tabs>
                    <w:adjustRightInd w:val="0"/>
                    <w:snapToGrid w:val="0"/>
                    <w:spacing w:before="0" w:beforeAutospacing="0" w:after="0" w:afterAutospacing="0" w:line="276" w:lineRule="auto"/>
                    <w:ind w:left="0" w:right="0" w:firstLine="0" w:firstLineChars="0"/>
                    <w:jc w:val="center"/>
                    <w:rPr>
                      <w:rFonts w:hint="default" w:eastAsia="宋体"/>
                      <w:kern w:val="0"/>
                      <w:sz w:val="21"/>
                      <w:szCs w:val="21"/>
                      <w:highlight w:val="none"/>
                    </w:rPr>
                  </w:pPr>
                </w:p>
              </w:tc>
              <w:tc>
                <w:tcPr>
                  <w:tcW w:w="260" w:type="pct"/>
                  <w:tcBorders>
                    <w:top w:val="single" w:color="auto" w:sz="4" w:space="0"/>
                    <w:left w:val="single" w:color="auto" w:sz="4" w:space="0"/>
                    <w:bottom w:val="single" w:color="auto" w:sz="4" w:space="0"/>
                    <w:right w:val="single" w:color="auto" w:sz="4" w:space="0"/>
                  </w:tcBorders>
                  <w:shd w:val="clear" w:color="auto" w:fill="auto"/>
                  <w:tcMar>
                    <w:left w:w="57" w:type="dxa"/>
                    <w:right w:w="57" w:type="dxa"/>
                  </w:tcMar>
                  <w:vAlign w:val="center"/>
                </w:tcPr>
                <w:p w14:paraId="5916C6E1">
                  <w:pPr>
                    <w:pStyle w:val="85"/>
                    <w:keepNext w:val="0"/>
                    <w:keepLines w:val="0"/>
                    <w:suppressLineNumbers w:val="0"/>
                    <w:tabs>
                      <w:tab w:val="left" w:pos="2625"/>
                    </w:tabs>
                    <w:adjustRightInd w:val="0"/>
                    <w:snapToGrid w:val="0"/>
                    <w:spacing w:before="0" w:beforeAutospacing="0" w:after="0" w:afterAutospacing="0" w:line="276" w:lineRule="auto"/>
                    <w:ind w:left="0" w:leftChars="0" w:right="0" w:rightChars="0" w:firstLine="0" w:firstLineChars="0"/>
                    <w:jc w:val="center"/>
                    <w:rPr>
                      <w:rFonts w:hint="default" w:ascii="Times New Roman" w:hAnsi="Times New Roman" w:eastAsia="宋体" w:cs="Times New Roman"/>
                      <w:kern w:val="0"/>
                      <w:sz w:val="21"/>
                      <w:szCs w:val="21"/>
                      <w:highlight w:val="none"/>
                      <w:lang w:val="en-US" w:eastAsia="zh-CN" w:bidi="ar-SA"/>
                    </w:rPr>
                  </w:pPr>
                  <w:r>
                    <w:rPr>
                      <w:rFonts w:hint="eastAsia" w:eastAsia="宋体"/>
                      <w:kern w:val="0"/>
                      <w:sz w:val="21"/>
                      <w:szCs w:val="21"/>
                      <w:highlight w:val="none"/>
                      <w:lang w:val="en-US" w:eastAsia="zh-CN"/>
                    </w:rPr>
                    <w:t>11</w:t>
                  </w:r>
                </w:p>
              </w:tc>
              <w:tc>
                <w:tcPr>
                  <w:tcW w:w="1418" w:type="pct"/>
                  <w:tcBorders>
                    <w:top w:val="single" w:color="auto" w:sz="4" w:space="0"/>
                    <w:left w:val="single" w:color="auto" w:sz="4" w:space="0"/>
                    <w:bottom w:val="single" w:color="auto" w:sz="4" w:space="0"/>
                    <w:right w:val="single" w:color="auto" w:sz="4" w:space="0"/>
                  </w:tcBorders>
                  <w:tcMar>
                    <w:left w:w="57" w:type="dxa"/>
                    <w:right w:w="57" w:type="dxa"/>
                  </w:tcMar>
                  <w:vAlign w:val="center"/>
                </w:tcPr>
                <w:p w14:paraId="60E402F8">
                  <w:pPr>
                    <w:pStyle w:val="85"/>
                    <w:keepNext w:val="0"/>
                    <w:keepLines w:val="0"/>
                    <w:suppressLineNumbers w:val="0"/>
                    <w:adjustRightInd w:val="0"/>
                    <w:snapToGrid w:val="0"/>
                    <w:spacing w:before="0" w:beforeAutospacing="0" w:after="0" w:afterAutospacing="0"/>
                    <w:ind w:left="0" w:right="0" w:firstLine="0" w:firstLineChars="0"/>
                    <w:jc w:val="center"/>
                    <w:rPr>
                      <w:rFonts w:hint="default" w:eastAsia="宋体"/>
                      <w:sz w:val="21"/>
                      <w:szCs w:val="21"/>
                      <w:highlight w:val="none"/>
                      <w:lang w:val="en-US" w:eastAsia="zh-CN"/>
                    </w:rPr>
                  </w:pPr>
                  <w:r>
                    <w:rPr>
                      <w:rFonts w:hint="eastAsia" w:eastAsia="宋体"/>
                      <w:sz w:val="21"/>
                      <w:szCs w:val="21"/>
                      <w:highlight w:val="none"/>
                      <w:lang w:val="en-US" w:eastAsia="zh-CN"/>
                    </w:rPr>
                    <w:t>规划医院</w:t>
                  </w:r>
                </w:p>
              </w:tc>
              <w:tc>
                <w:tcPr>
                  <w:tcW w:w="825" w:type="pct"/>
                  <w:tcBorders>
                    <w:top w:val="single" w:color="auto" w:sz="4" w:space="0"/>
                    <w:left w:val="single" w:color="auto" w:sz="4" w:space="0"/>
                    <w:bottom w:val="single" w:color="auto" w:sz="4" w:space="0"/>
                    <w:right w:val="single" w:color="auto" w:sz="4" w:space="0"/>
                  </w:tcBorders>
                  <w:tcMar>
                    <w:left w:w="57" w:type="dxa"/>
                    <w:right w:w="57" w:type="dxa"/>
                  </w:tcMar>
                  <w:vAlign w:val="center"/>
                </w:tcPr>
                <w:p w14:paraId="1D52FE2F">
                  <w:pPr>
                    <w:pStyle w:val="85"/>
                    <w:keepNext w:val="0"/>
                    <w:keepLines w:val="0"/>
                    <w:suppressLineNumbers w:val="0"/>
                    <w:adjustRightInd w:val="0"/>
                    <w:snapToGrid w:val="0"/>
                    <w:spacing w:before="0" w:beforeAutospacing="0" w:after="0" w:afterAutospacing="0"/>
                    <w:ind w:left="0" w:right="0" w:firstLine="0" w:firstLineChars="0"/>
                    <w:jc w:val="center"/>
                    <w:rPr>
                      <w:rFonts w:hint="default" w:eastAsia="宋体" w:cs="Times New Roman"/>
                      <w:color w:val="auto"/>
                      <w:kern w:val="0"/>
                      <w:sz w:val="21"/>
                      <w:szCs w:val="21"/>
                      <w:highlight w:val="none"/>
                      <w:lang w:val="en-US" w:eastAsia="zh-CN"/>
                    </w:rPr>
                  </w:pPr>
                  <w:r>
                    <w:rPr>
                      <w:rFonts w:hint="eastAsia" w:eastAsia="宋体" w:cs="Times New Roman"/>
                      <w:color w:val="auto"/>
                      <w:kern w:val="0"/>
                      <w:sz w:val="21"/>
                      <w:szCs w:val="21"/>
                      <w:highlight w:val="none"/>
                      <w:lang w:val="en-US" w:eastAsia="zh-CN"/>
                    </w:rPr>
                    <w:t>E118.828835</w:t>
                  </w:r>
                  <w:r>
                    <w:rPr>
                      <w:rFonts w:hint="default" w:eastAsia="Times New Roman"/>
                      <w:sz w:val="21"/>
                      <w:szCs w:val="21"/>
                      <w:highlight w:val="none"/>
                    </w:rPr>
                    <w:t>°</w:t>
                  </w:r>
                </w:p>
              </w:tc>
              <w:tc>
                <w:tcPr>
                  <w:tcW w:w="766" w:type="pct"/>
                  <w:tcBorders>
                    <w:top w:val="single" w:color="auto" w:sz="4" w:space="0"/>
                    <w:left w:val="single" w:color="auto" w:sz="4" w:space="0"/>
                    <w:bottom w:val="single" w:color="auto" w:sz="4" w:space="0"/>
                    <w:right w:val="single" w:color="auto" w:sz="4" w:space="0"/>
                  </w:tcBorders>
                  <w:tcMar>
                    <w:left w:w="57" w:type="dxa"/>
                    <w:right w:w="57" w:type="dxa"/>
                  </w:tcMar>
                  <w:vAlign w:val="center"/>
                </w:tcPr>
                <w:p w14:paraId="1EA0D250">
                  <w:pPr>
                    <w:pStyle w:val="85"/>
                    <w:keepNext w:val="0"/>
                    <w:keepLines w:val="0"/>
                    <w:suppressLineNumbers w:val="0"/>
                    <w:adjustRightInd w:val="0"/>
                    <w:snapToGrid w:val="0"/>
                    <w:spacing w:before="0" w:beforeAutospacing="0" w:after="0" w:afterAutospacing="0"/>
                    <w:ind w:left="0" w:right="0" w:firstLine="0" w:firstLineChars="0"/>
                    <w:jc w:val="center"/>
                    <w:rPr>
                      <w:rFonts w:hint="default" w:eastAsia="宋体" w:cs="Times New Roman"/>
                      <w:color w:val="auto"/>
                      <w:kern w:val="0"/>
                      <w:sz w:val="21"/>
                      <w:szCs w:val="21"/>
                      <w:highlight w:val="none"/>
                      <w:lang w:val="en-US" w:eastAsia="zh-CN"/>
                    </w:rPr>
                  </w:pPr>
                  <w:r>
                    <w:rPr>
                      <w:rFonts w:hint="eastAsia" w:eastAsia="宋体" w:cs="Times New Roman"/>
                      <w:color w:val="auto"/>
                      <w:kern w:val="0"/>
                      <w:sz w:val="21"/>
                      <w:szCs w:val="21"/>
                      <w:highlight w:val="none"/>
                      <w:lang w:val="en-US" w:eastAsia="zh-CN"/>
                    </w:rPr>
                    <w:t>N28.956500</w:t>
                  </w:r>
                  <w:r>
                    <w:rPr>
                      <w:rFonts w:hint="default" w:eastAsia="Times New Roman"/>
                      <w:sz w:val="21"/>
                      <w:szCs w:val="21"/>
                      <w:highlight w:val="none"/>
                    </w:rPr>
                    <w:t>°</w:t>
                  </w:r>
                </w:p>
              </w:tc>
              <w:tc>
                <w:tcPr>
                  <w:tcW w:w="323" w:type="pct"/>
                  <w:tcBorders>
                    <w:top w:val="single" w:color="auto" w:sz="4" w:space="0"/>
                    <w:left w:val="single" w:color="auto" w:sz="4" w:space="0"/>
                    <w:bottom w:val="single" w:color="auto" w:sz="4" w:space="0"/>
                    <w:right w:val="single" w:color="auto" w:sz="4" w:space="0"/>
                  </w:tcBorders>
                  <w:tcMar>
                    <w:left w:w="57" w:type="dxa"/>
                    <w:right w:w="57" w:type="dxa"/>
                  </w:tcMar>
                  <w:vAlign w:val="center"/>
                </w:tcPr>
                <w:p w14:paraId="5494D446">
                  <w:pPr>
                    <w:pStyle w:val="85"/>
                    <w:keepNext w:val="0"/>
                    <w:keepLines w:val="0"/>
                    <w:suppressLineNumbers w:val="0"/>
                    <w:adjustRightInd w:val="0"/>
                    <w:snapToGrid w:val="0"/>
                    <w:spacing w:before="0" w:beforeAutospacing="0" w:after="0" w:afterAutospacing="0"/>
                    <w:ind w:left="0" w:right="0" w:firstLine="0" w:firstLineChars="0"/>
                    <w:jc w:val="center"/>
                    <w:rPr>
                      <w:rFonts w:hint="default" w:eastAsia="宋体"/>
                      <w:sz w:val="21"/>
                      <w:szCs w:val="21"/>
                      <w:highlight w:val="none"/>
                      <w:lang w:val="en-US" w:eastAsia="zh-CN"/>
                    </w:rPr>
                  </w:pPr>
                  <w:r>
                    <w:rPr>
                      <w:rFonts w:hint="eastAsia" w:eastAsia="宋体"/>
                      <w:sz w:val="21"/>
                      <w:szCs w:val="21"/>
                      <w:highlight w:val="none"/>
                      <w:lang w:val="en-US" w:eastAsia="zh-CN"/>
                    </w:rPr>
                    <w:t>北</w:t>
                  </w:r>
                </w:p>
              </w:tc>
              <w:tc>
                <w:tcPr>
                  <w:tcW w:w="579" w:type="pct"/>
                  <w:tcBorders>
                    <w:top w:val="single" w:color="auto" w:sz="4" w:space="0"/>
                    <w:left w:val="single" w:color="auto" w:sz="4" w:space="0"/>
                    <w:bottom w:val="single" w:color="auto" w:sz="4" w:space="0"/>
                    <w:right w:val="single" w:color="auto" w:sz="4" w:space="0"/>
                  </w:tcBorders>
                  <w:tcMar>
                    <w:left w:w="57" w:type="dxa"/>
                    <w:right w:w="57" w:type="dxa"/>
                  </w:tcMar>
                  <w:vAlign w:val="center"/>
                </w:tcPr>
                <w:p w14:paraId="46C9BB66">
                  <w:pPr>
                    <w:pStyle w:val="85"/>
                    <w:keepNext w:val="0"/>
                    <w:keepLines w:val="0"/>
                    <w:suppressLineNumbers w:val="0"/>
                    <w:adjustRightInd w:val="0"/>
                    <w:snapToGrid w:val="0"/>
                    <w:spacing w:before="0" w:beforeAutospacing="0" w:after="0" w:afterAutospacing="0"/>
                    <w:ind w:left="0" w:right="0" w:firstLine="0" w:firstLineChars="0"/>
                    <w:jc w:val="center"/>
                    <w:rPr>
                      <w:rFonts w:hint="default" w:eastAsia="宋体"/>
                      <w:sz w:val="21"/>
                      <w:szCs w:val="21"/>
                      <w:highlight w:val="none"/>
                      <w:lang w:val="en-US" w:eastAsia="zh-CN"/>
                    </w:rPr>
                  </w:pPr>
                  <w:r>
                    <w:rPr>
                      <w:rFonts w:hint="eastAsia" w:eastAsia="宋体"/>
                      <w:sz w:val="21"/>
                      <w:szCs w:val="21"/>
                      <w:highlight w:val="none"/>
                      <w:lang w:val="en-US" w:eastAsia="zh-CN"/>
                    </w:rPr>
                    <w:t>434</w:t>
                  </w:r>
                </w:p>
              </w:tc>
            </w:tr>
            <w:tr w14:paraId="37CDC40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319" w:hRule="atLeast"/>
                <w:jc w:val="center"/>
              </w:trPr>
              <w:tc>
                <w:tcPr>
                  <w:tcW w:w="825" w:type="pct"/>
                  <w:vMerge w:val="continue"/>
                  <w:tcBorders>
                    <w:left w:val="single" w:color="auto" w:sz="4" w:space="0"/>
                    <w:right w:val="single" w:color="auto" w:sz="4" w:space="0"/>
                  </w:tcBorders>
                  <w:tcMar>
                    <w:left w:w="57" w:type="dxa"/>
                    <w:right w:w="57" w:type="dxa"/>
                  </w:tcMar>
                  <w:vAlign w:val="center"/>
                </w:tcPr>
                <w:p w14:paraId="73446ED1">
                  <w:pPr>
                    <w:pStyle w:val="85"/>
                    <w:keepNext w:val="0"/>
                    <w:keepLines w:val="0"/>
                    <w:suppressLineNumbers w:val="0"/>
                    <w:tabs>
                      <w:tab w:val="left" w:pos="2625"/>
                    </w:tabs>
                    <w:adjustRightInd w:val="0"/>
                    <w:snapToGrid w:val="0"/>
                    <w:spacing w:before="0" w:beforeAutospacing="0" w:after="0" w:afterAutospacing="0" w:line="276" w:lineRule="auto"/>
                    <w:ind w:left="0" w:right="0" w:firstLine="0" w:firstLineChars="0"/>
                    <w:jc w:val="center"/>
                    <w:rPr>
                      <w:rFonts w:hint="default" w:eastAsia="宋体"/>
                      <w:kern w:val="0"/>
                      <w:sz w:val="21"/>
                      <w:szCs w:val="21"/>
                      <w:highlight w:val="none"/>
                    </w:rPr>
                  </w:pPr>
                </w:p>
              </w:tc>
              <w:tc>
                <w:tcPr>
                  <w:tcW w:w="260" w:type="pct"/>
                  <w:tcBorders>
                    <w:top w:val="single" w:color="auto" w:sz="4" w:space="0"/>
                    <w:left w:val="single" w:color="auto" w:sz="4" w:space="0"/>
                    <w:bottom w:val="single" w:color="auto" w:sz="4" w:space="0"/>
                    <w:right w:val="single" w:color="auto" w:sz="4" w:space="0"/>
                  </w:tcBorders>
                  <w:shd w:val="clear" w:color="auto" w:fill="auto"/>
                  <w:tcMar>
                    <w:left w:w="57" w:type="dxa"/>
                    <w:right w:w="57" w:type="dxa"/>
                  </w:tcMar>
                  <w:vAlign w:val="center"/>
                </w:tcPr>
                <w:p w14:paraId="2026F9F2">
                  <w:pPr>
                    <w:pStyle w:val="85"/>
                    <w:keepNext w:val="0"/>
                    <w:keepLines w:val="0"/>
                    <w:suppressLineNumbers w:val="0"/>
                    <w:tabs>
                      <w:tab w:val="left" w:pos="2625"/>
                    </w:tabs>
                    <w:adjustRightInd w:val="0"/>
                    <w:snapToGrid w:val="0"/>
                    <w:spacing w:before="0" w:beforeAutospacing="0" w:after="0" w:afterAutospacing="0" w:line="276" w:lineRule="auto"/>
                    <w:ind w:left="0" w:leftChars="0" w:right="0" w:rightChars="0" w:firstLine="0" w:firstLineChars="0"/>
                    <w:jc w:val="center"/>
                    <w:rPr>
                      <w:rFonts w:hint="default" w:ascii="Times New Roman" w:hAnsi="Times New Roman" w:eastAsia="宋体" w:cs="Times New Roman"/>
                      <w:kern w:val="0"/>
                      <w:sz w:val="21"/>
                      <w:szCs w:val="21"/>
                      <w:highlight w:val="none"/>
                      <w:lang w:val="en-US" w:eastAsia="zh-CN" w:bidi="ar-SA"/>
                    </w:rPr>
                  </w:pPr>
                  <w:r>
                    <w:rPr>
                      <w:rFonts w:hint="eastAsia" w:eastAsia="宋体"/>
                      <w:kern w:val="0"/>
                      <w:sz w:val="21"/>
                      <w:szCs w:val="21"/>
                      <w:highlight w:val="none"/>
                      <w:lang w:val="en-US" w:eastAsia="zh-CN"/>
                    </w:rPr>
                    <w:t>12</w:t>
                  </w:r>
                </w:p>
              </w:tc>
              <w:tc>
                <w:tcPr>
                  <w:tcW w:w="1418" w:type="pct"/>
                  <w:tcBorders>
                    <w:top w:val="single" w:color="auto" w:sz="4" w:space="0"/>
                    <w:left w:val="single" w:color="auto" w:sz="4" w:space="0"/>
                    <w:bottom w:val="single" w:color="auto" w:sz="4" w:space="0"/>
                    <w:right w:val="single" w:color="auto" w:sz="4" w:space="0"/>
                  </w:tcBorders>
                  <w:tcMar>
                    <w:left w:w="57" w:type="dxa"/>
                    <w:right w:w="57" w:type="dxa"/>
                  </w:tcMar>
                  <w:vAlign w:val="center"/>
                </w:tcPr>
                <w:p w14:paraId="74E8207E">
                  <w:pPr>
                    <w:pStyle w:val="85"/>
                    <w:keepNext w:val="0"/>
                    <w:keepLines w:val="0"/>
                    <w:suppressLineNumbers w:val="0"/>
                    <w:adjustRightInd w:val="0"/>
                    <w:snapToGrid w:val="0"/>
                    <w:spacing w:before="0" w:beforeAutospacing="0" w:after="0" w:afterAutospacing="0"/>
                    <w:ind w:left="0" w:right="0" w:firstLine="0" w:firstLineChars="0"/>
                    <w:jc w:val="center"/>
                    <w:rPr>
                      <w:rFonts w:hint="eastAsia" w:eastAsia="宋体"/>
                      <w:sz w:val="21"/>
                      <w:szCs w:val="21"/>
                      <w:highlight w:val="none"/>
                    </w:rPr>
                  </w:pPr>
                  <w:r>
                    <w:rPr>
                      <w:rFonts w:hint="eastAsia" w:eastAsia="宋体"/>
                      <w:sz w:val="21"/>
                      <w:szCs w:val="21"/>
                      <w:highlight w:val="none"/>
                    </w:rPr>
                    <w:t>钱家山村</w:t>
                  </w:r>
                </w:p>
              </w:tc>
              <w:tc>
                <w:tcPr>
                  <w:tcW w:w="825" w:type="pct"/>
                  <w:tcBorders>
                    <w:top w:val="single" w:color="auto" w:sz="4" w:space="0"/>
                    <w:left w:val="single" w:color="auto" w:sz="4" w:space="0"/>
                    <w:bottom w:val="single" w:color="auto" w:sz="4" w:space="0"/>
                    <w:right w:val="single" w:color="auto" w:sz="4" w:space="0"/>
                  </w:tcBorders>
                  <w:tcMar>
                    <w:left w:w="57" w:type="dxa"/>
                    <w:right w:w="57" w:type="dxa"/>
                  </w:tcMar>
                  <w:vAlign w:val="center"/>
                </w:tcPr>
                <w:p w14:paraId="228BD42E">
                  <w:pPr>
                    <w:pStyle w:val="85"/>
                    <w:keepNext w:val="0"/>
                    <w:keepLines w:val="0"/>
                    <w:suppressLineNumbers w:val="0"/>
                    <w:adjustRightInd w:val="0"/>
                    <w:snapToGrid w:val="0"/>
                    <w:spacing w:before="0" w:beforeAutospacing="0" w:after="0" w:afterAutospacing="0"/>
                    <w:ind w:left="0" w:right="0" w:firstLine="0" w:firstLineChars="0"/>
                    <w:jc w:val="center"/>
                    <w:rPr>
                      <w:rFonts w:hint="eastAsia" w:eastAsia="宋体"/>
                      <w:sz w:val="21"/>
                      <w:szCs w:val="21"/>
                      <w:highlight w:val="none"/>
                    </w:rPr>
                  </w:pPr>
                  <w:r>
                    <w:rPr>
                      <w:rFonts w:hint="eastAsia" w:eastAsia="宋体" w:cs="Times New Roman"/>
                      <w:color w:val="auto"/>
                      <w:kern w:val="0"/>
                      <w:sz w:val="21"/>
                      <w:szCs w:val="21"/>
                      <w:highlight w:val="none"/>
                      <w:lang w:val="en-US" w:eastAsia="zh-CN"/>
                    </w:rPr>
                    <w:t>E</w:t>
                  </w:r>
                  <w:r>
                    <w:rPr>
                      <w:rFonts w:hint="eastAsia" w:eastAsia="宋体"/>
                      <w:sz w:val="21"/>
                      <w:szCs w:val="21"/>
                      <w:highlight w:val="none"/>
                    </w:rPr>
                    <w:t>118.835091</w:t>
                  </w:r>
                  <w:r>
                    <w:rPr>
                      <w:rFonts w:hint="default" w:eastAsia="Times New Roman"/>
                      <w:sz w:val="21"/>
                      <w:szCs w:val="21"/>
                      <w:highlight w:val="none"/>
                    </w:rPr>
                    <w:t>°</w:t>
                  </w:r>
                </w:p>
              </w:tc>
              <w:tc>
                <w:tcPr>
                  <w:tcW w:w="766" w:type="pct"/>
                  <w:tcBorders>
                    <w:top w:val="single" w:color="auto" w:sz="4" w:space="0"/>
                    <w:left w:val="single" w:color="auto" w:sz="4" w:space="0"/>
                    <w:bottom w:val="single" w:color="auto" w:sz="4" w:space="0"/>
                    <w:right w:val="single" w:color="auto" w:sz="4" w:space="0"/>
                  </w:tcBorders>
                  <w:tcMar>
                    <w:left w:w="57" w:type="dxa"/>
                    <w:right w:w="57" w:type="dxa"/>
                  </w:tcMar>
                  <w:vAlign w:val="center"/>
                </w:tcPr>
                <w:p w14:paraId="7B1C849F">
                  <w:pPr>
                    <w:pStyle w:val="85"/>
                    <w:keepNext w:val="0"/>
                    <w:keepLines w:val="0"/>
                    <w:suppressLineNumbers w:val="0"/>
                    <w:adjustRightInd w:val="0"/>
                    <w:snapToGrid w:val="0"/>
                    <w:spacing w:before="0" w:beforeAutospacing="0" w:after="0" w:afterAutospacing="0"/>
                    <w:ind w:left="0" w:right="0" w:firstLine="0" w:firstLineChars="0"/>
                    <w:jc w:val="center"/>
                    <w:rPr>
                      <w:rFonts w:hint="eastAsia" w:eastAsia="宋体"/>
                      <w:sz w:val="21"/>
                      <w:szCs w:val="21"/>
                      <w:highlight w:val="none"/>
                    </w:rPr>
                  </w:pPr>
                  <w:r>
                    <w:rPr>
                      <w:rFonts w:hint="eastAsia" w:eastAsia="宋体" w:cs="Times New Roman"/>
                      <w:color w:val="auto"/>
                      <w:kern w:val="0"/>
                      <w:sz w:val="21"/>
                      <w:szCs w:val="21"/>
                      <w:highlight w:val="none"/>
                      <w:lang w:val="en-US" w:eastAsia="zh-CN"/>
                    </w:rPr>
                    <w:t>N</w:t>
                  </w:r>
                  <w:r>
                    <w:rPr>
                      <w:rFonts w:hint="eastAsia" w:eastAsia="宋体"/>
                      <w:sz w:val="21"/>
                      <w:szCs w:val="21"/>
                      <w:highlight w:val="none"/>
                    </w:rPr>
                    <w:t>28.959099</w:t>
                  </w:r>
                  <w:r>
                    <w:rPr>
                      <w:rFonts w:hint="default" w:eastAsia="Times New Roman"/>
                      <w:sz w:val="21"/>
                      <w:szCs w:val="21"/>
                      <w:highlight w:val="none"/>
                    </w:rPr>
                    <w:t>°</w:t>
                  </w:r>
                </w:p>
              </w:tc>
              <w:tc>
                <w:tcPr>
                  <w:tcW w:w="323" w:type="pct"/>
                  <w:tcBorders>
                    <w:top w:val="single" w:color="auto" w:sz="4" w:space="0"/>
                    <w:left w:val="single" w:color="auto" w:sz="4" w:space="0"/>
                    <w:bottom w:val="single" w:color="auto" w:sz="4" w:space="0"/>
                    <w:right w:val="single" w:color="auto" w:sz="4" w:space="0"/>
                  </w:tcBorders>
                  <w:tcMar>
                    <w:left w:w="57" w:type="dxa"/>
                    <w:right w:w="57" w:type="dxa"/>
                  </w:tcMar>
                  <w:vAlign w:val="center"/>
                </w:tcPr>
                <w:p w14:paraId="15B7D812">
                  <w:pPr>
                    <w:keepNext w:val="0"/>
                    <w:keepLines w:val="0"/>
                    <w:suppressLineNumbers w:val="0"/>
                    <w:adjustRightInd w:val="0"/>
                    <w:snapToGrid w:val="0"/>
                    <w:spacing w:before="0" w:beforeAutospacing="0" w:after="0" w:afterAutospacing="0"/>
                    <w:ind w:left="0" w:right="0" w:firstLine="0" w:firstLineChars="0"/>
                    <w:jc w:val="center"/>
                    <w:rPr>
                      <w:rFonts w:hint="default" w:eastAsia="宋体"/>
                      <w:sz w:val="21"/>
                      <w:szCs w:val="21"/>
                      <w:highlight w:val="none"/>
                      <w:lang w:val="en-US" w:eastAsia="zh-CN"/>
                    </w:rPr>
                  </w:pPr>
                  <w:r>
                    <w:rPr>
                      <w:rFonts w:hint="eastAsia" w:eastAsia="宋体"/>
                      <w:sz w:val="21"/>
                      <w:szCs w:val="21"/>
                      <w:highlight w:val="none"/>
                      <w:lang w:val="en-US" w:eastAsia="zh-CN"/>
                    </w:rPr>
                    <w:t>东北</w:t>
                  </w:r>
                </w:p>
              </w:tc>
              <w:tc>
                <w:tcPr>
                  <w:tcW w:w="579" w:type="pct"/>
                  <w:tcBorders>
                    <w:top w:val="single" w:color="auto" w:sz="4" w:space="0"/>
                    <w:left w:val="single" w:color="auto" w:sz="4" w:space="0"/>
                    <w:bottom w:val="single" w:color="auto" w:sz="4" w:space="0"/>
                    <w:right w:val="single" w:color="auto" w:sz="4" w:space="0"/>
                  </w:tcBorders>
                  <w:shd w:val="clear" w:color="auto" w:fill="auto"/>
                  <w:tcMar>
                    <w:left w:w="57" w:type="dxa"/>
                    <w:right w:w="57" w:type="dxa"/>
                  </w:tcMar>
                  <w:vAlign w:val="center"/>
                </w:tcPr>
                <w:p w14:paraId="3324C1B8">
                  <w:pPr>
                    <w:pStyle w:val="85"/>
                    <w:keepNext w:val="0"/>
                    <w:keepLines w:val="0"/>
                    <w:suppressLineNumbers w:val="0"/>
                    <w:adjustRightInd w:val="0"/>
                    <w:snapToGrid w:val="0"/>
                    <w:spacing w:before="0" w:beforeAutospacing="0" w:after="0" w:afterAutospacing="0"/>
                    <w:ind w:left="0" w:right="0" w:firstLine="0" w:firstLineChars="0"/>
                    <w:jc w:val="center"/>
                    <w:rPr>
                      <w:rFonts w:hint="eastAsia" w:ascii="Times New Roman" w:hAnsi="Times New Roman" w:eastAsia="宋体" w:cs="Times New Roman"/>
                      <w:kern w:val="2"/>
                      <w:sz w:val="21"/>
                      <w:szCs w:val="21"/>
                      <w:highlight w:val="none"/>
                      <w:lang w:val="en-US" w:eastAsia="zh-CN" w:bidi="ar-SA"/>
                    </w:rPr>
                  </w:pPr>
                  <w:r>
                    <w:rPr>
                      <w:rFonts w:hint="eastAsia" w:eastAsia="宋体"/>
                      <w:sz w:val="21"/>
                      <w:szCs w:val="21"/>
                      <w:highlight w:val="none"/>
                      <w:lang w:val="en-US" w:eastAsia="zh-CN"/>
                    </w:rPr>
                    <w:t>447</w:t>
                  </w:r>
                </w:p>
              </w:tc>
            </w:tr>
            <w:tr w14:paraId="58DB580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319" w:hRule="atLeast"/>
                <w:jc w:val="center"/>
              </w:trPr>
              <w:tc>
                <w:tcPr>
                  <w:tcW w:w="825" w:type="pct"/>
                  <w:vMerge w:val="continue"/>
                  <w:tcBorders>
                    <w:left w:val="single" w:color="auto" w:sz="4" w:space="0"/>
                    <w:right w:val="single" w:color="auto" w:sz="4" w:space="0"/>
                  </w:tcBorders>
                  <w:tcMar>
                    <w:left w:w="57" w:type="dxa"/>
                    <w:right w:w="57" w:type="dxa"/>
                  </w:tcMar>
                  <w:vAlign w:val="center"/>
                </w:tcPr>
                <w:p w14:paraId="03017353">
                  <w:pPr>
                    <w:pStyle w:val="85"/>
                    <w:keepNext w:val="0"/>
                    <w:keepLines w:val="0"/>
                    <w:suppressLineNumbers w:val="0"/>
                    <w:tabs>
                      <w:tab w:val="left" w:pos="2625"/>
                    </w:tabs>
                    <w:adjustRightInd w:val="0"/>
                    <w:snapToGrid w:val="0"/>
                    <w:spacing w:before="0" w:beforeAutospacing="0" w:after="0" w:afterAutospacing="0" w:line="276" w:lineRule="auto"/>
                    <w:ind w:left="0" w:right="0" w:firstLine="0" w:firstLineChars="0"/>
                    <w:jc w:val="center"/>
                    <w:rPr>
                      <w:rFonts w:hint="default" w:eastAsia="宋体"/>
                      <w:kern w:val="0"/>
                      <w:sz w:val="21"/>
                      <w:szCs w:val="21"/>
                      <w:highlight w:val="none"/>
                    </w:rPr>
                  </w:pPr>
                </w:p>
              </w:tc>
              <w:tc>
                <w:tcPr>
                  <w:tcW w:w="260" w:type="pct"/>
                  <w:tcBorders>
                    <w:top w:val="single" w:color="auto" w:sz="4" w:space="0"/>
                    <w:left w:val="single" w:color="auto" w:sz="4" w:space="0"/>
                    <w:bottom w:val="single" w:color="auto" w:sz="4" w:space="0"/>
                    <w:right w:val="single" w:color="auto" w:sz="4" w:space="0"/>
                  </w:tcBorders>
                  <w:shd w:val="clear" w:color="auto" w:fill="auto"/>
                  <w:tcMar>
                    <w:left w:w="57" w:type="dxa"/>
                    <w:right w:w="57" w:type="dxa"/>
                  </w:tcMar>
                  <w:vAlign w:val="center"/>
                </w:tcPr>
                <w:p w14:paraId="163A5B4E">
                  <w:pPr>
                    <w:pStyle w:val="85"/>
                    <w:keepNext w:val="0"/>
                    <w:keepLines w:val="0"/>
                    <w:suppressLineNumbers w:val="0"/>
                    <w:tabs>
                      <w:tab w:val="left" w:pos="2625"/>
                    </w:tabs>
                    <w:adjustRightInd w:val="0"/>
                    <w:snapToGrid w:val="0"/>
                    <w:spacing w:before="0" w:beforeAutospacing="0" w:after="0" w:afterAutospacing="0" w:line="276" w:lineRule="auto"/>
                    <w:ind w:left="0" w:leftChars="0" w:right="0" w:rightChars="0" w:firstLine="0" w:firstLineChars="0"/>
                    <w:jc w:val="center"/>
                    <w:rPr>
                      <w:rFonts w:hint="default" w:ascii="Times New Roman" w:hAnsi="Times New Roman" w:eastAsia="宋体" w:cs="Times New Roman"/>
                      <w:kern w:val="0"/>
                      <w:sz w:val="21"/>
                      <w:szCs w:val="21"/>
                      <w:highlight w:val="none"/>
                      <w:lang w:val="en-US" w:eastAsia="zh-CN" w:bidi="ar-SA"/>
                    </w:rPr>
                  </w:pPr>
                  <w:r>
                    <w:rPr>
                      <w:rFonts w:hint="eastAsia" w:eastAsia="宋体"/>
                      <w:kern w:val="0"/>
                      <w:sz w:val="21"/>
                      <w:szCs w:val="21"/>
                      <w:highlight w:val="none"/>
                      <w:lang w:val="en-US" w:eastAsia="zh-CN"/>
                    </w:rPr>
                    <w:t>13</w:t>
                  </w:r>
                </w:p>
              </w:tc>
              <w:tc>
                <w:tcPr>
                  <w:tcW w:w="1418" w:type="pct"/>
                  <w:tcBorders>
                    <w:top w:val="single" w:color="auto" w:sz="4" w:space="0"/>
                    <w:left w:val="single" w:color="auto" w:sz="4" w:space="0"/>
                    <w:bottom w:val="single" w:color="auto" w:sz="4" w:space="0"/>
                    <w:right w:val="single" w:color="auto" w:sz="4" w:space="0"/>
                  </w:tcBorders>
                  <w:tcMar>
                    <w:left w:w="57" w:type="dxa"/>
                    <w:right w:w="57" w:type="dxa"/>
                  </w:tcMar>
                  <w:vAlign w:val="center"/>
                </w:tcPr>
                <w:p w14:paraId="1761EF8F">
                  <w:pPr>
                    <w:pStyle w:val="85"/>
                    <w:keepNext w:val="0"/>
                    <w:keepLines w:val="0"/>
                    <w:suppressLineNumbers w:val="0"/>
                    <w:adjustRightInd w:val="0"/>
                    <w:snapToGrid w:val="0"/>
                    <w:spacing w:before="0" w:beforeAutospacing="0" w:after="0" w:afterAutospacing="0"/>
                    <w:ind w:left="0" w:right="0" w:firstLine="0" w:firstLineChars="0"/>
                    <w:jc w:val="center"/>
                    <w:rPr>
                      <w:rFonts w:hint="eastAsia" w:eastAsia="宋体"/>
                      <w:sz w:val="21"/>
                      <w:szCs w:val="21"/>
                      <w:highlight w:val="none"/>
                    </w:rPr>
                  </w:pPr>
                  <w:r>
                    <w:rPr>
                      <w:rFonts w:hint="eastAsia" w:eastAsia="宋体"/>
                      <w:sz w:val="21"/>
                      <w:szCs w:val="21"/>
                      <w:highlight w:val="none"/>
                    </w:rPr>
                    <w:t>聚龙嘉苑</w:t>
                  </w:r>
                </w:p>
              </w:tc>
              <w:tc>
                <w:tcPr>
                  <w:tcW w:w="825" w:type="pct"/>
                  <w:tcBorders>
                    <w:top w:val="single" w:color="auto" w:sz="4" w:space="0"/>
                    <w:left w:val="single" w:color="auto" w:sz="4" w:space="0"/>
                    <w:bottom w:val="single" w:color="auto" w:sz="4" w:space="0"/>
                    <w:right w:val="single" w:color="auto" w:sz="4" w:space="0"/>
                  </w:tcBorders>
                  <w:tcMar>
                    <w:left w:w="57" w:type="dxa"/>
                    <w:right w:w="57" w:type="dxa"/>
                  </w:tcMar>
                  <w:vAlign w:val="center"/>
                </w:tcPr>
                <w:p w14:paraId="7AEBE674">
                  <w:pPr>
                    <w:pStyle w:val="85"/>
                    <w:keepNext w:val="0"/>
                    <w:keepLines w:val="0"/>
                    <w:suppressLineNumbers w:val="0"/>
                    <w:adjustRightInd w:val="0"/>
                    <w:snapToGrid w:val="0"/>
                    <w:spacing w:before="0" w:beforeAutospacing="0" w:after="0" w:afterAutospacing="0"/>
                    <w:ind w:left="0" w:right="0" w:firstLine="0" w:firstLineChars="0"/>
                    <w:jc w:val="center"/>
                    <w:rPr>
                      <w:rFonts w:hint="eastAsia" w:eastAsia="宋体"/>
                      <w:sz w:val="21"/>
                      <w:szCs w:val="21"/>
                      <w:highlight w:val="none"/>
                    </w:rPr>
                  </w:pPr>
                  <w:r>
                    <w:rPr>
                      <w:rFonts w:hint="eastAsia" w:eastAsia="宋体" w:cs="Times New Roman"/>
                      <w:color w:val="auto"/>
                      <w:kern w:val="0"/>
                      <w:sz w:val="21"/>
                      <w:szCs w:val="21"/>
                      <w:highlight w:val="none"/>
                      <w:lang w:val="en-US" w:eastAsia="zh-CN"/>
                    </w:rPr>
                    <w:t>E</w:t>
                  </w:r>
                  <w:r>
                    <w:rPr>
                      <w:rFonts w:hint="eastAsia" w:eastAsia="宋体"/>
                      <w:sz w:val="21"/>
                      <w:szCs w:val="21"/>
                      <w:highlight w:val="none"/>
                    </w:rPr>
                    <w:t>118.832044</w:t>
                  </w:r>
                  <w:r>
                    <w:rPr>
                      <w:rFonts w:hint="default" w:eastAsia="Times New Roman"/>
                      <w:sz w:val="21"/>
                      <w:szCs w:val="21"/>
                      <w:highlight w:val="none"/>
                    </w:rPr>
                    <w:t>°</w:t>
                  </w:r>
                </w:p>
              </w:tc>
              <w:tc>
                <w:tcPr>
                  <w:tcW w:w="766" w:type="pct"/>
                  <w:tcBorders>
                    <w:top w:val="single" w:color="auto" w:sz="4" w:space="0"/>
                    <w:left w:val="single" w:color="auto" w:sz="4" w:space="0"/>
                    <w:bottom w:val="single" w:color="auto" w:sz="4" w:space="0"/>
                    <w:right w:val="single" w:color="auto" w:sz="4" w:space="0"/>
                  </w:tcBorders>
                  <w:tcMar>
                    <w:left w:w="57" w:type="dxa"/>
                    <w:right w:w="57" w:type="dxa"/>
                  </w:tcMar>
                  <w:vAlign w:val="center"/>
                </w:tcPr>
                <w:p w14:paraId="5A20DF4B">
                  <w:pPr>
                    <w:pStyle w:val="85"/>
                    <w:keepNext w:val="0"/>
                    <w:keepLines w:val="0"/>
                    <w:suppressLineNumbers w:val="0"/>
                    <w:adjustRightInd w:val="0"/>
                    <w:snapToGrid w:val="0"/>
                    <w:spacing w:before="0" w:beforeAutospacing="0" w:after="0" w:afterAutospacing="0"/>
                    <w:ind w:left="0" w:right="0" w:firstLine="0" w:firstLineChars="0"/>
                    <w:jc w:val="center"/>
                    <w:rPr>
                      <w:rFonts w:hint="eastAsia" w:eastAsia="宋体"/>
                      <w:sz w:val="21"/>
                      <w:szCs w:val="21"/>
                      <w:highlight w:val="none"/>
                    </w:rPr>
                  </w:pPr>
                  <w:r>
                    <w:rPr>
                      <w:rFonts w:hint="eastAsia" w:eastAsia="宋体" w:cs="Times New Roman"/>
                      <w:color w:val="auto"/>
                      <w:kern w:val="0"/>
                      <w:sz w:val="21"/>
                      <w:szCs w:val="21"/>
                      <w:highlight w:val="none"/>
                      <w:lang w:val="en-US" w:eastAsia="zh-CN"/>
                    </w:rPr>
                    <w:t>N</w:t>
                  </w:r>
                  <w:r>
                    <w:rPr>
                      <w:rFonts w:hint="eastAsia" w:eastAsia="宋体"/>
                      <w:sz w:val="21"/>
                      <w:szCs w:val="21"/>
                      <w:highlight w:val="none"/>
                    </w:rPr>
                    <w:t>28.957747</w:t>
                  </w:r>
                  <w:r>
                    <w:rPr>
                      <w:rFonts w:hint="default" w:eastAsia="Times New Roman"/>
                      <w:sz w:val="21"/>
                      <w:szCs w:val="21"/>
                      <w:highlight w:val="none"/>
                    </w:rPr>
                    <w:t>°</w:t>
                  </w:r>
                </w:p>
              </w:tc>
              <w:tc>
                <w:tcPr>
                  <w:tcW w:w="323" w:type="pct"/>
                  <w:tcBorders>
                    <w:top w:val="single" w:color="auto" w:sz="4" w:space="0"/>
                    <w:left w:val="single" w:color="auto" w:sz="4" w:space="0"/>
                    <w:bottom w:val="single" w:color="auto" w:sz="4" w:space="0"/>
                    <w:right w:val="single" w:color="auto" w:sz="4" w:space="0"/>
                  </w:tcBorders>
                  <w:tcMar>
                    <w:left w:w="57" w:type="dxa"/>
                    <w:right w:w="57" w:type="dxa"/>
                  </w:tcMar>
                  <w:vAlign w:val="center"/>
                </w:tcPr>
                <w:p w14:paraId="57BB05EF">
                  <w:pPr>
                    <w:keepNext w:val="0"/>
                    <w:keepLines w:val="0"/>
                    <w:suppressLineNumbers w:val="0"/>
                    <w:adjustRightInd w:val="0"/>
                    <w:snapToGrid w:val="0"/>
                    <w:spacing w:before="0" w:beforeAutospacing="0" w:after="0" w:afterAutospacing="0"/>
                    <w:ind w:left="0" w:right="0" w:firstLine="0" w:firstLineChars="0"/>
                    <w:jc w:val="center"/>
                    <w:rPr>
                      <w:rFonts w:hint="default" w:eastAsia="宋体"/>
                      <w:sz w:val="21"/>
                      <w:szCs w:val="21"/>
                      <w:highlight w:val="none"/>
                      <w:lang w:val="en-US" w:eastAsia="zh-CN"/>
                    </w:rPr>
                  </w:pPr>
                  <w:r>
                    <w:rPr>
                      <w:rFonts w:hint="eastAsia" w:eastAsia="宋体"/>
                      <w:sz w:val="21"/>
                      <w:szCs w:val="21"/>
                      <w:highlight w:val="none"/>
                      <w:lang w:val="en-US" w:eastAsia="zh-CN"/>
                    </w:rPr>
                    <w:t>东北</w:t>
                  </w:r>
                </w:p>
              </w:tc>
              <w:tc>
                <w:tcPr>
                  <w:tcW w:w="579" w:type="pct"/>
                  <w:tcBorders>
                    <w:top w:val="single" w:color="auto" w:sz="4" w:space="0"/>
                    <w:left w:val="single" w:color="auto" w:sz="4" w:space="0"/>
                    <w:bottom w:val="single" w:color="auto" w:sz="4" w:space="0"/>
                    <w:right w:val="single" w:color="auto" w:sz="4" w:space="0"/>
                  </w:tcBorders>
                  <w:shd w:val="clear" w:color="auto" w:fill="auto"/>
                  <w:tcMar>
                    <w:left w:w="57" w:type="dxa"/>
                    <w:right w:w="57" w:type="dxa"/>
                  </w:tcMar>
                  <w:vAlign w:val="center"/>
                </w:tcPr>
                <w:p w14:paraId="121AC25C">
                  <w:pPr>
                    <w:pStyle w:val="85"/>
                    <w:keepNext w:val="0"/>
                    <w:keepLines w:val="0"/>
                    <w:suppressLineNumbers w:val="0"/>
                    <w:adjustRightInd w:val="0"/>
                    <w:snapToGrid w:val="0"/>
                    <w:spacing w:before="0" w:beforeAutospacing="0" w:after="0" w:afterAutospacing="0"/>
                    <w:ind w:left="0" w:right="0" w:firstLine="0" w:firstLineChars="0"/>
                    <w:jc w:val="center"/>
                    <w:rPr>
                      <w:rFonts w:hint="eastAsia" w:ascii="Times New Roman" w:hAnsi="Times New Roman" w:eastAsia="宋体" w:cs="Times New Roman"/>
                      <w:kern w:val="2"/>
                      <w:sz w:val="21"/>
                      <w:szCs w:val="21"/>
                      <w:highlight w:val="none"/>
                      <w:lang w:val="en-US" w:eastAsia="zh-CN" w:bidi="ar-SA"/>
                    </w:rPr>
                  </w:pPr>
                  <w:r>
                    <w:rPr>
                      <w:rFonts w:hint="eastAsia" w:eastAsia="宋体"/>
                      <w:sz w:val="21"/>
                      <w:szCs w:val="21"/>
                      <w:highlight w:val="none"/>
                      <w:lang w:val="en-US" w:eastAsia="zh-CN"/>
                    </w:rPr>
                    <w:t>468</w:t>
                  </w:r>
                </w:p>
              </w:tc>
            </w:tr>
            <w:tr w14:paraId="1F21CF7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319" w:hRule="atLeast"/>
                <w:jc w:val="center"/>
              </w:trPr>
              <w:tc>
                <w:tcPr>
                  <w:tcW w:w="825" w:type="pct"/>
                  <w:vMerge w:val="continue"/>
                  <w:tcBorders>
                    <w:left w:val="single" w:color="auto" w:sz="4" w:space="0"/>
                    <w:right w:val="single" w:color="auto" w:sz="4" w:space="0"/>
                  </w:tcBorders>
                  <w:tcMar>
                    <w:left w:w="57" w:type="dxa"/>
                    <w:right w:w="57" w:type="dxa"/>
                  </w:tcMar>
                  <w:vAlign w:val="center"/>
                </w:tcPr>
                <w:p w14:paraId="3B21642F">
                  <w:pPr>
                    <w:pStyle w:val="85"/>
                    <w:keepNext w:val="0"/>
                    <w:keepLines w:val="0"/>
                    <w:suppressLineNumbers w:val="0"/>
                    <w:tabs>
                      <w:tab w:val="left" w:pos="2625"/>
                    </w:tabs>
                    <w:adjustRightInd w:val="0"/>
                    <w:snapToGrid w:val="0"/>
                    <w:spacing w:before="0" w:beforeAutospacing="0" w:after="0" w:afterAutospacing="0" w:line="276" w:lineRule="auto"/>
                    <w:ind w:left="0" w:right="0" w:firstLine="0" w:firstLineChars="0"/>
                    <w:jc w:val="center"/>
                    <w:rPr>
                      <w:rFonts w:hint="default" w:eastAsia="宋体"/>
                      <w:kern w:val="0"/>
                      <w:sz w:val="21"/>
                      <w:szCs w:val="21"/>
                      <w:highlight w:val="none"/>
                    </w:rPr>
                  </w:pPr>
                </w:p>
              </w:tc>
              <w:tc>
                <w:tcPr>
                  <w:tcW w:w="260" w:type="pct"/>
                  <w:tcBorders>
                    <w:top w:val="single" w:color="auto" w:sz="4" w:space="0"/>
                    <w:left w:val="single" w:color="auto" w:sz="4" w:space="0"/>
                    <w:bottom w:val="single" w:color="auto" w:sz="4" w:space="0"/>
                    <w:right w:val="single" w:color="auto" w:sz="4" w:space="0"/>
                  </w:tcBorders>
                  <w:tcMar>
                    <w:left w:w="57" w:type="dxa"/>
                    <w:right w:w="57" w:type="dxa"/>
                  </w:tcMar>
                  <w:vAlign w:val="center"/>
                </w:tcPr>
                <w:p w14:paraId="18C43CDD">
                  <w:pPr>
                    <w:pStyle w:val="85"/>
                    <w:keepNext w:val="0"/>
                    <w:keepLines w:val="0"/>
                    <w:suppressLineNumbers w:val="0"/>
                    <w:tabs>
                      <w:tab w:val="left" w:pos="2625"/>
                    </w:tabs>
                    <w:adjustRightInd w:val="0"/>
                    <w:snapToGrid w:val="0"/>
                    <w:spacing w:before="0" w:beforeAutospacing="0" w:after="0" w:afterAutospacing="0" w:line="276" w:lineRule="auto"/>
                    <w:ind w:left="0" w:right="0" w:firstLine="0" w:firstLineChars="0"/>
                    <w:jc w:val="center"/>
                    <w:rPr>
                      <w:rFonts w:hint="default" w:eastAsia="宋体"/>
                      <w:kern w:val="0"/>
                      <w:sz w:val="21"/>
                      <w:szCs w:val="21"/>
                      <w:highlight w:val="none"/>
                      <w:lang w:val="en-US" w:eastAsia="zh-CN"/>
                    </w:rPr>
                  </w:pPr>
                  <w:r>
                    <w:rPr>
                      <w:rFonts w:hint="eastAsia" w:eastAsia="宋体"/>
                      <w:kern w:val="0"/>
                      <w:sz w:val="21"/>
                      <w:szCs w:val="21"/>
                      <w:highlight w:val="none"/>
                      <w:lang w:val="en-US" w:eastAsia="zh-CN"/>
                    </w:rPr>
                    <w:t>14</w:t>
                  </w:r>
                </w:p>
              </w:tc>
              <w:tc>
                <w:tcPr>
                  <w:tcW w:w="1418" w:type="pct"/>
                  <w:tcBorders>
                    <w:top w:val="single" w:color="auto" w:sz="4" w:space="0"/>
                    <w:left w:val="single" w:color="auto" w:sz="4" w:space="0"/>
                    <w:bottom w:val="single" w:color="auto" w:sz="4" w:space="0"/>
                    <w:right w:val="single" w:color="auto" w:sz="4" w:space="0"/>
                  </w:tcBorders>
                  <w:tcMar>
                    <w:left w:w="57" w:type="dxa"/>
                    <w:right w:w="57" w:type="dxa"/>
                  </w:tcMar>
                  <w:vAlign w:val="center"/>
                </w:tcPr>
                <w:p w14:paraId="2B162078">
                  <w:pPr>
                    <w:pStyle w:val="85"/>
                    <w:keepNext w:val="0"/>
                    <w:keepLines w:val="0"/>
                    <w:suppressLineNumbers w:val="0"/>
                    <w:adjustRightInd w:val="0"/>
                    <w:snapToGrid w:val="0"/>
                    <w:spacing w:before="0" w:beforeAutospacing="0" w:after="0" w:afterAutospacing="0"/>
                    <w:ind w:left="0" w:right="0" w:firstLine="0" w:firstLineChars="0"/>
                    <w:jc w:val="center"/>
                    <w:rPr>
                      <w:rFonts w:hint="eastAsia" w:eastAsia="宋体"/>
                      <w:sz w:val="21"/>
                      <w:szCs w:val="21"/>
                      <w:highlight w:val="none"/>
                    </w:rPr>
                  </w:pPr>
                  <w:r>
                    <w:rPr>
                      <w:rFonts w:hint="eastAsia" w:eastAsia="宋体"/>
                      <w:sz w:val="21"/>
                      <w:szCs w:val="21"/>
                      <w:highlight w:val="none"/>
                    </w:rPr>
                    <w:t>阳光城檀境</w:t>
                  </w:r>
                </w:p>
              </w:tc>
              <w:tc>
                <w:tcPr>
                  <w:tcW w:w="825" w:type="pct"/>
                  <w:tcBorders>
                    <w:top w:val="single" w:color="auto" w:sz="4" w:space="0"/>
                    <w:left w:val="single" w:color="auto" w:sz="4" w:space="0"/>
                    <w:bottom w:val="single" w:color="auto" w:sz="4" w:space="0"/>
                    <w:right w:val="single" w:color="auto" w:sz="4" w:space="0"/>
                  </w:tcBorders>
                  <w:tcMar>
                    <w:left w:w="57" w:type="dxa"/>
                    <w:right w:w="57" w:type="dxa"/>
                  </w:tcMar>
                  <w:vAlign w:val="center"/>
                </w:tcPr>
                <w:p w14:paraId="13B3E810">
                  <w:pPr>
                    <w:pStyle w:val="85"/>
                    <w:keepNext w:val="0"/>
                    <w:keepLines w:val="0"/>
                    <w:suppressLineNumbers w:val="0"/>
                    <w:adjustRightInd w:val="0"/>
                    <w:snapToGrid w:val="0"/>
                    <w:spacing w:before="0" w:beforeAutospacing="0" w:after="0" w:afterAutospacing="0"/>
                    <w:ind w:left="0" w:right="0" w:firstLine="0" w:firstLineChars="0"/>
                    <w:jc w:val="center"/>
                    <w:rPr>
                      <w:rFonts w:hint="eastAsia" w:eastAsia="宋体"/>
                      <w:sz w:val="21"/>
                      <w:szCs w:val="21"/>
                      <w:highlight w:val="none"/>
                    </w:rPr>
                  </w:pPr>
                  <w:r>
                    <w:rPr>
                      <w:rFonts w:hint="eastAsia" w:eastAsia="宋体" w:cs="Times New Roman"/>
                      <w:color w:val="auto"/>
                      <w:kern w:val="0"/>
                      <w:sz w:val="21"/>
                      <w:szCs w:val="21"/>
                      <w:highlight w:val="none"/>
                      <w:lang w:val="en-US" w:eastAsia="zh-CN"/>
                    </w:rPr>
                    <w:t>E</w:t>
                  </w:r>
                  <w:r>
                    <w:rPr>
                      <w:rFonts w:hint="eastAsia" w:eastAsia="宋体"/>
                      <w:sz w:val="21"/>
                      <w:szCs w:val="21"/>
                      <w:highlight w:val="none"/>
                    </w:rPr>
                    <w:t>118.825746</w:t>
                  </w:r>
                  <w:r>
                    <w:rPr>
                      <w:rFonts w:hint="default" w:eastAsia="Times New Roman"/>
                      <w:sz w:val="21"/>
                      <w:szCs w:val="21"/>
                      <w:highlight w:val="none"/>
                    </w:rPr>
                    <w:t>°</w:t>
                  </w:r>
                </w:p>
              </w:tc>
              <w:tc>
                <w:tcPr>
                  <w:tcW w:w="766" w:type="pct"/>
                  <w:tcBorders>
                    <w:top w:val="single" w:color="auto" w:sz="4" w:space="0"/>
                    <w:left w:val="single" w:color="auto" w:sz="4" w:space="0"/>
                    <w:bottom w:val="single" w:color="auto" w:sz="4" w:space="0"/>
                    <w:right w:val="single" w:color="auto" w:sz="4" w:space="0"/>
                  </w:tcBorders>
                  <w:tcMar>
                    <w:left w:w="57" w:type="dxa"/>
                    <w:right w:w="57" w:type="dxa"/>
                  </w:tcMar>
                  <w:vAlign w:val="center"/>
                </w:tcPr>
                <w:p w14:paraId="3619A926">
                  <w:pPr>
                    <w:pStyle w:val="85"/>
                    <w:keepNext w:val="0"/>
                    <w:keepLines w:val="0"/>
                    <w:suppressLineNumbers w:val="0"/>
                    <w:adjustRightInd w:val="0"/>
                    <w:snapToGrid w:val="0"/>
                    <w:spacing w:before="0" w:beforeAutospacing="0" w:after="0" w:afterAutospacing="0"/>
                    <w:ind w:left="0" w:right="0" w:firstLine="0" w:firstLineChars="0"/>
                    <w:jc w:val="center"/>
                    <w:rPr>
                      <w:rFonts w:hint="eastAsia" w:eastAsia="宋体"/>
                      <w:sz w:val="21"/>
                      <w:szCs w:val="21"/>
                      <w:highlight w:val="none"/>
                    </w:rPr>
                  </w:pPr>
                  <w:r>
                    <w:rPr>
                      <w:rFonts w:hint="eastAsia" w:eastAsia="宋体" w:cs="Times New Roman"/>
                      <w:color w:val="auto"/>
                      <w:kern w:val="0"/>
                      <w:sz w:val="21"/>
                      <w:szCs w:val="21"/>
                      <w:highlight w:val="none"/>
                      <w:lang w:val="en-US" w:eastAsia="zh-CN"/>
                    </w:rPr>
                    <w:t>N</w:t>
                  </w:r>
                  <w:r>
                    <w:rPr>
                      <w:rFonts w:hint="eastAsia" w:eastAsia="宋体"/>
                      <w:sz w:val="21"/>
                      <w:szCs w:val="21"/>
                      <w:highlight w:val="none"/>
                    </w:rPr>
                    <w:t>28.95488</w:t>
                  </w:r>
                  <w:r>
                    <w:rPr>
                      <w:rFonts w:hint="eastAsia" w:eastAsia="宋体"/>
                      <w:sz w:val="21"/>
                      <w:szCs w:val="21"/>
                      <w:highlight w:val="none"/>
                      <w:lang w:val="en-US" w:eastAsia="zh-CN"/>
                    </w:rPr>
                    <w:t>3</w:t>
                  </w:r>
                  <w:r>
                    <w:rPr>
                      <w:rFonts w:hint="default" w:eastAsia="Times New Roman"/>
                      <w:sz w:val="21"/>
                      <w:szCs w:val="21"/>
                      <w:highlight w:val="none"/>
                    </w:rPr>
                    <w:t>°</w:t>
                  </w:r>
                </w:p>
              </w:tc>
              <w:tc>
                <w:tcPr>
                  <w:tcW w:w="323" w:type="pct"/>
                  <w:tcBorders>
                    <w:top w:val="single" w:color="auto" w:sz="4" w:space="0"/>
                    <w:left w:val="single" w:color="auto" w:sz="4" w:space="0"/>
                    <w:bottom w:val="single" w:color="auto" w:sz="4" w:space="0"/>
                    <w:right w:val="single" w:color="auto" w:sz="4" w:space="0"/>
                  </w:tcBorders>
                  <w:tcMar>
                    <w:left w:w="57" w:type="dxa"/>
                    <w:right w:w="57" w:type="dxa"/>
                  </w:tcMar>
                  <w:vAlign w:val="center"/>
                </w:tcPr>
                <w:p w14:paraId="5BCDB630">
                  <w:pPr>
                    <w:pStyle w:val="85"/>
                    <w:keepNext w:val="0"/>
                    <w:keepLines w:val="0"/>
                    <w:suppressLineNumbers w:val="0"/>
                    <w:adjustRightInd w:val="0"/>
                    <w:snapToGrid w:val="0"/>
                    <w:spacing w:before="0" w:beforeAutospacing="0" w:after="0" w:afterAutospacing="0"/>
                    <w:ind w:left="0" w:right="0" w:firstLine="0" w:firstLineChars="0"/>
                    <w:jc w:val="center"/>
                    <w:rPr>
                      <w:rFonts w:hint="eastAsia" w:eastAsia="宋体"/>
                      <w:sz w:val="21"/>
                      <w:szCs w:val="21"/>
                      <w:highlight w:val="none"/>
                      <w:lang w:val="en-US" w:eastAsia="zh-CN"/>
                    </w:rPr>
                  </w:pPr>
                  <w:r>
                    <w:rPr>
                      <w:rFonts w:hint="eastAsia" w:eastAsia="宋体"/>
                      <w:sz w:val="21"/>
                      <w:szCs w:val="21"/>
                      <w:highlight w:val="none"/>
                      <w:lang w:val="en-US" w:eastAsia="zh-CN"/>
                    </w:rPr>
                    <w:t>西北</w:t>
                  </w:r>
                </w:p>
              </w:tc>
              <w:tc>
                <w:tcPr>
                  <w:tcW w:w="579" w:type="pct"/>
                  <w:tcBorders>
                    <w:top w:val="single" w:color="auto" w:sz="4" w:space="0"/>
                    <w:left w:val="single" w:color="auto" w:sz="4" w:space="0"/>
                    <w:bottom w:val="single" w:color="auto" w:sz="4" w:space="0"/>
                    <w:right w:val="single" w:color="auto" w:sz="4" w:space="0"/>
                  </w:tcBorders>
                  <w:tcMar>
                    <w:left w:w="57" w:type="dxa"/>
                    <w:right w:w="57" w:type="dxa"/>
                  </w:tcMar>
                  <w:vAlign w:val="center"/>
                </w:tcPr>
                <w:p w14:paraId="1D1AAB6B">
                  <w:pPr>
                    <w:pStyle w:val="85"/>
                    <w:keepNext w:val="0"/>
                    <w:keepLines w:val="0"/>
                    <w:suppressLineNumbers w:val="0"/>
                    <w:adjustRightInd w:val="0"/>
                    <w:snapToGrid w:val="0"/>
                    <w:spacing w:before="0" w:beforeAutospacing="0" w:after="0" w:afterAutospacing="0"/>
                    <w:ind w:left="0" w:right="0" w:firstLine="0" w:firstLineChars="0"/>
                    <w:jc w:val="center"/>
                    <w:rPr>
                      <w:rFonts w:hint="default" w:eastAsia="宋体"/>
                      <w:sz w:val="21"/>
                      <w:szCs w:val="21"/>
                      <w:highlight w:val="none"/>
                      <w:lang w:val="en-US" w:eastAsia="zh-CN"/>
                    </w:rPr>
                  </w:pPr>
                  <w:r>
                    <w:rPr>
                      <w:rFonts w:hint="eastAsia" w:eastAsia="宋体"/>
                      <w:sz w:val="21"/>
                      <w:szCs w:val="21"/>
                      <w:highlight w:val="none"/>
                      <w:lang w:val="en-US" w:eastAsia="zh-CN"/>
                    </w:rPr>
                    <w:t>498</w:t>
                  </w:r>
                </w:p>
              </w:tc>
            </w:tr>
            <w:tr w14:paraId="5774E00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20" w:hRule="atLeast"/>
                <w:jc w:val="center"/>
              </w:trPr>
              <w:tc>
                <w:tcPr>
                  <w:tcW w:w="825" w:type="pct"/>
                  <w:vMerge w:val="restart"/>
                  <w:tcBorders>
                    <w:top w:val="single" w:color="auto" w:sz="4" w:space="0"/>
                    <w:left w:val="single" w:color="auto" w:sz="4" w:space="0"/>
                    <w:right w:val="single" w:color="auto" w:sz="4" w:space="0"/>
                  </w:tcBorders>
                  <w:tcMar>
                    <w:left w:w="57" w:type="dxa"/>
                    <w:right w:w="57" w:type="dxa"/>
                  </w:tcMar>
                  <w:vAlign w:val="center"/>
                </w:tcPr>
                <w:p w14:paraId="1D656F46">
                  <w:pPr>
                    <w:pStyle w:val="85"/>
                    <w:keepNext w:val="0"/>
                    <w:keepLines w:val="0"/>
                    <w:suppressLineNumbers w:val="0"/>
                    <w:tabs>
                      <w:tab w:val="left" w:pos="2625"/>
                    </w:tabs>
                    <w:adjustRightInd w:val="0"/>
                    <w:snapToGrid w:val="0"/>
                    <w:spacing w:before="0" w:beforeAutospacing="0" w:after="0" w:afterAutospacing="0" w:line="276" w:lineRule="auto"/>
                    <w:ind w:left="0" w:right="0" w:firstLine="0" w:firstLineChars="0"/>
                    <w:jc w:val="center"/>
                    <w:rPr>
                      <w:rFonts w:hint="default" w:eastAsia="宋体"/>
                      <w:kern w:val="0"/>
                      <w:sz w:val="21"/>
                      <w:szCs w:val="21"/>
                      <w:highlight w:val="none"/>
                    </w:rPr>
                  </w:pPr>
                  <w:r>
                    <w:rPr>
                      <w:rFonts w:hint="eastAsia" w:eastAsia="宋体"/>
                      <w:kern w:val="0"/>
                      <w:sz w:val="21"/>
                      <w:szCs w:val="21"/>
                      <w:highlight w:val="none"/>
                    </w:rPr>
                    <w:t>声环境（</w:t>
                  </w:r>
                  <w:r>
                    <w:rPr>
                      <w:rFonts w:hint="default" w:eastAsia="宋体"/>
                      <w:kern w:val="0"/>
                      <w:sz w:val="21"/>
                      <w:szCs w:val="21"/>
                      <w:highlight w:val="none"/>
                    </w:rPr>
                    <w:t>50m</w:t>
                  </w:r>
                  <w:r>
                    <w:rPr>
                      <w:rFonts w:hint="eastAsia" w:eastAsia="宋体"/>
                      <w:kern w:val="0"/>
                      <w:sz w:val="21"/>
                      <w:szCs w:val="21"/>
                      <w:highlight w:val="none"/>
                    </w:rPr>
                    <w:t>范围）</w:t>
                  </w:r>
                </w:p>
              </w:tc>
              <w:tc>
                <w:tcPr>
                  <w:tcW w:w="260" w:type="pct"/>
                  <w:tcBorders>
                    <w:top w:val="single" w:color="auto" w:sz="4" w:space="0"/>
                    <w:left w:val="single" w:color="auto" w:sz="4" w:space="0"/>
                    <w:bottom w:val="single" w:color="auto" w:sz="4" w:space="0"/>
                    <w:right w:val="single" w:color="auto" w:sz="4" w:space="0"/>
                  </w:tcBorders>
                  <w:tcMar>
                    <w:left w:w="57" w:type="dxa"/>
                    <w:right w:w="57" w:type="dxa"/>
                  </w:tcMar>
                  <w:vAlign w:val="center"/>
                </w:tcPr>
                <w:p w14:paraId="0639AE03">
                  <w:pPr>
                    <w:pStyle w:val="18"/>
                    <w:keepNext w:val="0"/>
                    <w:keepLines w:val="0"/>
                    <w:suppressLineNumbers w:val="0"/>
                    <w:tabs>
                      <w:tab w:val="left" w:pos="2625"/>
                    </w:tabs>
                    <w:adjustRightInd w:val="0"/>
                    <w:snapToGrid w:val="0"/>
                    <w:spacing w:before="0" w:beforeAutospacing="0" w:after="0" w:afterAutospacing="0" w:line="276" w:lineRule="auto"/>
                    <w:ind w:left="0" w:leftChars="0" w:right="0"/>
                    <w:jc w:val="center"/>
                    <w:rPr>
                      <w:rFonts w:hint="eastAsia"/>
                      <w:kern w:val="0"/>
                      <w:sz w:val="21"/>
                      <w:szCs w:val="21"/>
                      <w:highlight w:val="none"/>
                      <w:lang w:val="en-US" w:eastAsia="zh-CN"/>
                    </w:rPr>
                  </w:pPr>
                  <w:r>
                    <w:rPr>
                      <w:rFonts w:hint="eastAsia"/>
                      <w:kern w:val="0"/>
                      <w:sz w:val="21"/>
                      <w:szCs w:val="21"/>
                      <w:highlight w:val="none"/>
                      <w:lang w:val="en-US" w:eastAsia="zh-CN"/>
                    </w:rPr>
                    <w:t>1</w:t>
                  </w:r>
                </w:p>
              </w:tc>
              <w:tc>
                <w:tcPr>
                  <w:tcW w:w="1418" w:type="pct"/>
                  <w:tcBorders>
                    <w:top w:val="single" w:color="auto" w:sz="4" w:space="0"/>
                    <w:left w:val="single" w:color="auto" w:sz="4" w:space="0"/>
                    <w:bottom w:val="single" w:color="auto" w:sz="4" w:space="0"/>
                    <w:right w:val="single" w:color="auto" w:sz="4" w:space="0"/>
                  </w:tcBorders>
                  <w:tcMar>
                    <w:left w:w="57" w:type="dxa"/>
                    <w:right w:w="57" w:type="dxa"/>
                  </w:tcMar>
                  <w:vAlign w:val="center"/>
                </w:tcPr>
                <w:p w14:paraId="0A2A674A">
                  <w:pPr>
                    <w:pStyle w:val="18"/>
                    <w:keepNext w:val="0"/>
                    <w:keepLines w:val="0"/>
                    <w:suppressLineNumbers w:val="0"/>
                    <w:tabs>
                      <w:tab w:val="left" w:pos="2625"/>
                    </w:tabs>
                    <w:adjustRightInd w:val="0"/>
                    <w:snapToGrid w:val="0"/>
                    <w:spacing w:before="0" w:beforeAutospacing="0" w:after="0" w:afterAutospacing="0" w:line="276" w:lineRule="auto"/>
                    <w:ind w:left="0" w:leftChars="0" w:right="0"/>
                    <w:jc w:val="center"/>
                    <w:rPr>
                      <w:rFonts w:hint="eastAsia" w:ascii="Times New Roman" w:hAnsi="Times New Roman" w:eastAsia="宋体" w:cs="Times New Roman"/>
                      <w:color w:val="auto"/>
                      <w:kern w:val="0"/>
                      <w:sz w:val="21"/>
                      <w:szCs w:val="21"/>
                      <w:highlight w:val="none"/>
                      <w:lang w:val="en-US" w:eastAsia="zh-CN"/>
                    </w:rPr>
                  </w:pPr>
                  <w:r>
                    <w:rPr>
                      <w:rFonts w:hint="eastAsia" w:eastAsia="宋体" w:cs="Times New Roman"/>
                      <w:color w:val="auto"/>
                      <w:kern w:val="0"/>
                      <w:sz w:val="21"/>
                      <w:szCs w:val="21"/>
                      <w:highlight w:val="none"/>
                      <w:lang w:val="en-US" w:eastAsia="zh-CN"/>
                    </w:rPr>
                    <w:t>西侧规划高等院校</w:t>
                  </w:r>
                </w:p>
              </w:tc>
              <w:tc>
                <w:tcPr>
                  <w:tcW w:w="825" w:type="pct"/>
                  <w:tcBorders>
                    <w:top w:val="single" w:color="auto" w:sz="4" w:space="0"/>
                    <w:left w:val="single" w:color="auto" w:sz="4" w:space="0"/>
                    <w:bottom w:val="single" w:color="auto" w:sz="4" w:space="0"/>
                    <w:right w:val="single" w:color="auto" w:sz="4" w:space="0"/>
                  </w:tcBorders>
                  <w:shd w:val="clear" w:color="auto" w:fill="auto"/>
                  <w:tcMar>
                    <w:left w:w="57" w:type="dxa"/>
                    <w:right w:w="57" w:type="dxa"/>
                  </w:tcMar>
                  <w:vAlign w:val="center"/>
                </w:tcPr>
                <w:p w14:paraId="29DC0532">
                  <w:pPr>
                    <w:pStyle w:val="85"/>
                    <w:keepNext w:val="0"/>
                    <w:keepLines w:val="0"/>
                    <w:suppressLineNumbers w:val="0"/>
                    <w:adjustRightInd w:val="0"/>
                    <w:snapToGrid w:val="0"/>
                    <w:spacing w:before="0" w:beforeAutospacing="0" w:after="0" w:afterAutospacing="0"/>
                    <w:ind w:left="0" w:right="0" w:firstLine="0" w:firstLineChars="0"/>
                    <w:jc w:val="center"/>
                    <w:rPr>
                      <w:rFonts w:hint="eastAsia" w:ascii="Times New Roman" w:hAnsi="Times New Roman" w:eastAsia="宋体" w:cs="Times New Roman"/>
                      <w:color w:val="auto"/>
                      <w:kern w:val="0"/>
                      <w:sz w:val="21"/>
                      <w:szCs w:val="21"/>
                      <w:highlight w:val="none"/>
                      <w:lang w:val="en-US" w:eastAsia="zh-CN" w:bidi="ar-SA"/>
                    </w:rPr>
                  </w:pPr>
                  <w:r>
                    <w:rPr>
                      <w:rFonts w:hint="eastAsia" w:eastAsia="宋体" w:cs="Times New Roman"/>
                      <w:color w:val="auto"/>
                      <w:kern w:val="0"/>
                      <w:sz w:val="21"/>
                      <w:szCs w:val="21"/>
                      <w:highlight w:val="none"/>
                      <w:lang w:val="en-US" w:eastAsia="zh-CN"/>
                    </w:rPr>
                    <w:t>E118.828733</w:t>
                  </w:r>
                  <w:r>
                    <w:rPr>
                      <w:rFonts w:hint="default" w:eastAsia="Times New Roman"/>
                      <w:sz w:val="21"/>
                      <w:szCs w:val="21"/>
                      <w:highlight w:val="none"/>
                    </w:rPr>
                    <w:t>°</w:t>
                  </w:r>
                </w:p>
              </w:tc>
              <w:tc>
                <w:tcPr>
                  <w:tcW w:w="766" w:type="pct"/>
                  <w:tcBorders>
                    <w:top w:val="single" w:color="auto" w:sz="4" w:space="0"/>
                    <w:left w:val="single" w:color="auto" w:sz="4" w:space="0"/>
                    <w:bottom w:val="single" w:color="auto" w:sz="4" w:space="0"/>
                    <w:right w:val="single" w:color="auto" w:sz="4" w:space="0"/>
                  </w:tcBorders>
                  <w:shd w:val="clear" w:color="auto" w:fill="auto"/>
                  <w:tcMar>
                    <w:left w:w="57" w:type="dxa"/>
                    <w:right w:w="57" w:type="dxa"/>
                  </w:tcMar>
                  <w:vAlign w:val="center"/>
                </w:tcPr>
                <w:p w14:paraId="0B17BF45">
                  <w:pPr>
                    <w:pStyle w:val="85"/>
                    <w:keepNext w:val="0"/>
                    <w:keepLines w:val="0"/>
                    <w:suppressLineNumbers w:val="0"/>
                    <w:adjustRightInd w:val="0"/>
                    <w:snapToGrid w:val="0"/>
                    <w:spacing w:before="0" w:beforeAutospacing="0" w:after="0" w:afterAutospacing="0"/>
                    <w:ind w:left="0" w:right="0" w:firstLine="0" w:firstLineChars="0"/>
                    <w:jc w:val="center"/>
                    <w:rPr>
                      <w:rFonts w:hint="eastAsia" w:ascii="Times New Roman" w:hAnsi="Times New Roman" w:eastAsia="宋体" w:cs="Times New Roman"/>
                      <w:color w:val="auto"/>
                      <w:kern w:val="0"/>
                      <w:sz w:val="21"/>
                      <w:szCs w:val="21"/>
                      <w:highlight w:val="none"/>
                      <w:lang w:val="en-US" w:eastAsia="zh-CN" w:bidi="ar-SA"/>
                    </w:rPr>
                  </w:pPr>
                  <w:r>
                    <w:rPr>
                      <w:rFonts w:hint="eastAsia" w:eastAsia="宋体" w:cs="Times New Roman"/>
                      <w:color w:val="auto"/>
                      <w:kern w:val="0"/>
                      <w:sz w:val="21"/>
                      <w:szCs w:val="21"/>
                      <w:highlight w:val="none"/>
                      <w:lang w:val="en-US" w:eastAsia="zh-CN"/>
                    </w:rPr>
                    <w:t>N28.952069</w:t>
                  </w:r>
                  <w:r>
                    <w:rPr>
                      <w:rFonts w:hint="default" w:eastAsia="Times New Roman"/>
                      <w:sz w:val="21"/>
                      <w:szCs w:val="21"/>
                      <w:highlight w:val="none"/>
                    </w:rPr>
                    <w:t>°</w:t>
                  </w:r>
                </w:p>
              </w:tc>
              <w:tc>
                <w:tcPr>
                  <w:tcW w:w="323" w:type="pct"/>
                  <w:tcBorders>
                    <w:top w:val="single" w:color="auto" w:sz="4" w:space="0"/>
                    <w:left w:val="single" w:color="auto" w:sz="4" w:space="0"/>
                    <w:bottom w:val="single" w:color="auto" w:sz="4" w:space="0"/>
                    <w:right w:val="single" w:color="auto" w:sz="4" w:space="0"/>
                  </w:tcBorders>
                  <w:shd w:val="clear" w:color="auto" w:fill="auto"/>
                  <w:tcMar>
                    <w:left w:w="57" w:type="dxa"/>
                    <w:right w:w="57" w:type="dxa"/>
                  </w:tcMar>
                  <w:vAlign w:val="center"/>
                </w:tcPr>
                <w:p w14:paraId="63440D86">
                  <w:pPr>
                    <w:pStyle w:val="85"/>
                    <w:keepNext w:val="0"/>
                    <w:keepLines w:val="0"/>
                    <w:suppressLineNumbers w:val="0"/>
                    <w:adjustRightInd w:val="0"/>
                    <w:snapToGrid w:val="0"/>
                    <w:spacing w:before="0" w:beforeAutospacing="0" w:after="0" w:afterAutospacing="0"/>
                    <w:ind w:left="0" w:right="0" w:firstLine="0" w:firstLineChars="0"/>
                    <w:jc w:val="center"/>
                    <w:rPr>
                      <w:rFonts w:hint="eastAsia" w:ascii="Times New Roman" w:hAnsi="Times New Roman" w:eastAsia="宋体" w:cs="Times New Roman"/>
                      <w:kern w:val="2"/>
                      <w:sz w:val="21"/>
                      <w:szCs w:val="21"/>
                      <w:highlight w:val="none"/>
                      <w:lang w:val="en-US" w:eastAsia="zh-CN" w:bidi="ar-SA"/>
                    </w:rPr>
                  </w:pPr>
                  <w:r>
                    <w:rPr>
                      <w:rFonts w:hint="eastAsia" w:eastAsia="宋体"/>
                      <w:sz w:val="21"/>
                      <w:szCs w:val="21"/>
                      <w:highlight w:val="none"/>
                      <w:lang w:val="en-US" w:eastAsia="zh-CN"/>
                    </w:rPr>
                    <w:t>西</w:t>
                  </w:r>
                </w:p>
              </w:tc>
              <w:tc>
                <w:tcPr>
                  <w:tcW w:w="579" w:type="pct"/>
                  <w:tcBorders>
                    <w:top w:val="single" w:color="auto" w:sz="4" w:space="0"/>
                    <w:left w:val="single" w:color="auto" w:sz="4" w:space="0"/>
                    <w:bottom w:val="single" w:color="auto" w:sz="4" w:space="0"/>
                    <w:right w:val="single" w:color="auto" w:sz="4" w:space="0"/>
                  </w:tcBorders>
                  <w:shd w:val="clear" w:color="auto" w:fill="auto"/>
                  <w:tcMar>
                    <w:left w:w="57" w:type="dxa"/>
                    <w:right w:w="57" w:type="dxa"/>
                  </w:tcMar>
                  <w:vAlign w:val="center"/>
                </w:tcPr>
                <w:p w14:paraId="2F5DEE59">
                  <w:pPr>
                    <w:keepNext w:val="0"/>
                    <w:keepLines w:val="0"/>
                    <w:suppressLineNumbers w:val="0"/>
                    <w:adjustRightInd w:val="0"/>
                    <w:snapToGrid w:val="0"/>
                    <w:spacing w:before="0" w:beforeAutospacing="0" w:after="0" w:afterAutospacing="0"/>
                    <w:ind w:left="0" w:right="0"/>
                    <w:jc w:val="center"/>
                    <w:rPr>
                      <w:rFonts w:hint="eastAsia" w:ascii="Times New Roman" w:hAnsi="Times New Roman" w:eastAsia="宋体" w:cs="Times New Roman"/>
                      <w:kern w:val="2"/>
                      <w:sz w:val="21"/>
                      <w:szCs w:val="21"/>
                      <w:highlight w:val="none"/>
                      <w:lang w:val="en-US" w:eastAsia="zh-CN" w:bidi="ar-SA"/>
                    </w:rPr>
                  </w:pPr>
                  <w:r>
                    <w:rPr>
                      <w:rFonts w:hint="eastAsia"/>
                      <w:sz w:val="21"/>
                      <w:szCs w:val="21"/>
                      <w:highlight w:val="none"/>
                      <w:lang w:val="en-US" w:eastAsia="zh-CN"/>
                    </w:rPr>
                    <w:t>5</w:t>
                  </w:r>
                </w:p>
              </w:tc>
            </w:tr>
            <w:tr w14:paraId="418A74E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20" w:hRule="atLeast"/>
                <w:jc w:val="center"/>
              </w:trPr>
              <w:tc>
                <w:tcPr>
                  <w:tcW w:w="825" w:type="pct"/>
                  <w:vMerge w:val="continue"/>
                  <w:tcBorders>
                    <w:left w:val="single" w:color="auto" w:sz="4" w:space="0"/>
                    <w:right w:val="single" w:color="auto" w:sz="4" w:space="0"/>
                  </w:tcBorders>
                  <w:tcMar>
                    <w:left w:w="57" w:type="dxa"/>
                    <w:right w:w="57" w:type="dxa"/>
                  </w:tcMar>
                  <w:vAlign w:val="center"/>
                </w:tcPr>
                <w:p w14:paraId="55CCFB08">
                  <w:pPr>
                    <w:pStyle w:val="85"/>
                    <w:keepNext w:val="0"/>
                    <w:keepLines w:val="0"/>
                    <w:suppressLineNumbers w:val="0"/>
                    <w:tabs>
                      <w:tab w:val="left" w:pos="2625"/>
                    </w:tabs>
                    <w:adjustRightInd w:val="0"/>
                    <w:snapToGrid w:val="0"/>
                    <w:spacing w:before="0" w:beforeAutospacing="0" w:after="0" w:afterAutospacing="0" w:line="276" w:lineRule="auto"/>
                    <w:ind w:left="0" w:right="0" w:firstLine="0" w:firstLineChars="0"/>
                    <w:jc w:val="center"/>
                    <w:rPr>
                      <w:rFonts w:hint="eastAsia" w:eastAsia="宋体"/>
                      <w:kern w:val="0"/>
                      <w:sz w:val="21"/>
                      <w:szCs w:val="21"/>
                      <w:highlight w:val="none"/>
                    </w:rPr>
                  </w:pPr>
                </w:p>
              </w:tc>
              <w:tc>
                <w:tcPr>
                  <w:tcW w:w="260" w:type="pct"/>
                  <w:tcBorders>
                    <w:top w:val="single" w:color="auto" w:sz="4" w:space="0"/>
                    <w:left w:val="single" w:color="auto" w:sz="4" w:space="0"/>
                    <w:bottom w:val="single" w:color="auto" w:sz="4" w:space="0"/>
                    <w:right w:val="single" w:color="auto" w:sz="4" w:space="0"/>
                  </w:tcBorders>
                  <w:tcMar>
                    <w:left w:w="57" w:type="dxa"/>
                    <w:right w:w="57" w:type="dxa"/>
                  </w:tcMar>
                  <w:vAlign w:val="center"/>
                </w:tcPr>
                <w:p w14:paraId="18843DEF">
                  <w:pPr>
                    <w:pStyle w:val="18"/>
                    <w:keepNext w:val="0"/>
                    <w:keepLines w:val="0"/>
                    <w:suppressLineNumbers w:val="0"/>
                    <w:tabs>
                      <w:tab w:val="left" w:pos="2625"/>
                    </w:tabs>
                    <w:adjustRightInd w:val="0"/>
                    <w:snapToGrid w:val="0"/>
                    <w:spacing w:before="0" w:beforeAutospacing="0" w:after="0" w:afterAutospacing="0" w:line="276" w:lineRule="auto"/>
                    <w:ind w:left="0" w:leftChars="0" w:right="0"/>
                    <w:jc w:val="center"/>
                    <w:rPr>
                      <w:rFonts w:hint="default"/>
                      <w:kern w:val="0"/>
                      <w:sz w:val="21"/>
                      <w:szCs w:val="21"/>
                      <w:highlight w:val="none"/>
                      <w:lang w:val="en-US" w:eastAsia="zh-CN"/>
                    </w:rPr>
                  </w:pPr>
                  <w:r>
                    <w:rPr>
                      <w:rFonts w:hint="eastAsia"/>
                      <w:kern w:val="0"/>
                      <w:sz w:val="21"/>
                      <w:szCs w:val="21"/>
                      <w:highlight w:val="none"/>
                      <w:lang w:val="en-US" w:eastAsia="zh-CN"/>
                    </w:rPr>
                    <w:t>2</w:t>
                  </w:r>
                </w:p>
              </w:tc>
              <w:tc>
                <w:tcPr>
                  <w:tcW w:w="1418" w:type="pct"/>
                  <w:tcBorders>
                    <w:top w:val="single" w:color="auto" w:sz="4" w:space="0"/>
                    <w:left w:val="single" w:color="auto" w:sz="4" w:space="0"/>
                    <w:bottom w:val="single" w:color="auto" w:sz="4" w:space="0"/>
                    <w:right w:val="single" w:color="auto" w:sz="4" w:space="0"/>
                  </w:tcBorders>
                  <w:tcMar>
                    <w:left w:w="57" w:type="dxa"/>
                    <w:right w:w="57" w:type="dxa"/>
                  </w:tcMar>
                  <w:vAlign w:val="center"/>
                </w:tcPr>
                <w:p w14:paraId="66B530A3">
                  <w:pPr>
                    <w:pStyle w:val="85"/>
                    <w:keepNext w:val="0"/>
                    <w:keepLines w:val="0"/>
                    <w:suppressLineNumbers w:val="0"/>
                    <w:adjustRightInd w:val="0"/>
                    <w:snapToGrid w:val="0"/>
                    <w:spacing w:before="0" w:beforeAutospacing="0" w:after="0" w:afterAutospacing="0"/>
                    <w:ind w:left="0" w:right="0" w:firstLine="0" w:firstLineChars="0"/>
                    <w:jc w:val="center"/>
                    <w:rPr>
                      <w:rFonts w:hint="eastAsia" w:eastAsia="宋体" w:cs="Times New Roman"/>
                      <w:color w:val="auto"/>
                      <w:kern w:val="0"/>
                      <w:sz w:val="21"/>
                      <w:szCs w:val="21"/>
                      <w:highlight w:val="none"/>
                      <w:lang w:val="en-US" w:eastAsia="zh-CN"/>
                    </w:rPr>
                  </w:pPr>
                  <w:r>
                    <w:rPr>
                      <w:rFonts w:hint="eastAsia" w:eastAsia="宋体"/>
                      <w:sz w:val="21"/>
                      <w:szCs w:val="21"/>
                      <w:highlight w:val="none"/>
                    </w:rPr>
                    <w:t>电子科技大学长三角研究院</w:t>
                  </w:r>
                </w:p>
              </w:tc>
              <w:tc>
                <w:tcPr>
                  <w:tcW w:w="825" w:type="pct"/>
                  <w:tcBorders>
                    <w:top w:val="single" w:color="auto" w:sz="4" w:space="0"/>
                    <w:left w:val="single" w:color="auto" w:sz="4" w:space="0"/>
                    <w:bottom w:val="single" w:color="auto" w:sz="4" w:space="0"/>
                    <w:right w:val="single" w:color="auto" w:sz="4" w:space="0"/>
                  </w:tcBorders>
                  <w:shd w:val="clear" w:color="auto" w:fill="auto"/>
                  <w:tcMar>
                    <w:left w:w="57" w:type="dxa"/>
                    <w:right w:w="57" w:type="dxa"/>
                  </w:tcMar>
                  <w:vAlign w:val="center"/>
                </w:tcPr>
                <w:p w14:paraId="559F265B">
                  <w:pPr>
                    <w:pStyle w:val="85"/>
                    <w:keepNext w:val="0"/>
                    <w:keepLines w:val="0"/>
                    <w:suppressLineNumbers w:val="0"/>
                    <w:adjustRightInd w:val="0"/>
                    <w:snapToGrid w:val="0"/>
                    <w:spacing w:before="0" w:beforeAutospacing="0" w:after="0" w:afterAutospacing="0"/>
                    <w:ind w:left="0" w:right="0" w:firstLine="0" w:firstLineChars="0"/>
                    <w:jc w:val="center"/>
                    <w:rPr>
                      <w:rFonts w:hint="eastAsia" w:eastAsia="宋体" w:cs="Times New Roman"/>
                      <w:color w:val="auto"/>
                      <w:kern w:val="0"/>
                      <w:sz w:val="21"/>
                      <w:szCs w:val="21"/>
                      <w:highlight w:val="none"/>
                      <w:lang w:val="en-US" w:eastAsia="zh-CN"/>
                    </w:rPr>
                  </w:pPr>
                  <w:r>
                    <w:rPr>
                      <w:rFonts w:hint="eastAsia" w:eastAsia="宋体" w:cs="Times New Roman"/>
                      <w:color w:val="auto"/>
                      <w:kern w:val="0"/>
                      <w:sz w:val="21"/>
                      <w:szCs w:val="21"/>
                      <w:highlight w:val="none"/>
                      <w:lang w:val="en-US" w:eastAsia="zh-CN"/>
                    </w:rPr>
                    <w:t>E</w:t>
                  </w:r>
                  <w:r>
                    <w:rPr>
                      <w:rFonts w:hint="eastAsia" w:eastAsia="宋体"/>
                      <w:sz w:val="21"/>
                      <w:szCs w:val="21"/>
                      <w:highlight w:val="none"/>
                    </w:rPr>
                    <w:t>118.83555</w:t>
                  </w:r>
                  <w:r>
                    <w:rPr>
                      <w:rFonts w:hint="eastAsia" w:eastAsia="宋体"/>
                      <w:sz w:val="21"/>
                      <w:szCs w:val="21"/>
                      <w:highlight w:val="none"/>
                      <w:lang w:val="en-US" w:eastAsia="zh-CN"/>
                    </w:rPr>
                    <w:t>3</w:t>
                  </w:r>
                  <w:r>
                    <w:rPr>
                      <w:rFonts w:hint="default" w:eastAsia="Times New Roman"/>
                      <w:sz w:val="21"/>
                      <w:szCs w:val="21"/>
                      <w:highlight w:val="none"/>
                    </w:rPr>
                    <w:t>°</w:t>
                  </w:r>
                </w:p>
              </w:tc>
              <w:tc>
                <w:tcPr>
                  <w:tcW w:w="766" w:type="pct"/>
                  <w:tcBorders>
                    <w:top w:val="single" w:color="auto" w:sz="4" w:space="0"/>
                    <w:left w:val="single" w:color="auto" w:sz="4" w:space="0"/>
                    <w:bottom w:val="single" w:color="auto" w:sz="4" w:space="0"/>
                    <w:right w:val="single" w:color="auto" w:sz="4" w:space="0"/>
                  </w:tcBorders>
                  <w:shd w:val="clear" w:color="auto" w:fill="auto"/>
                  <w:tcMar>
                    <w:left w:w="57" w:type="dxa"/>
                    <w:right w:w="57" w:type="dxa"/>
                  </w:tcMar>
                  <w:vAlign w:val="center"/>
                </w:tcPr>
                <w:p w14:paraId="6003CF89">
                  <w:pPr>
                    <w:pStyle w:val="85"/>
                    <w:keepNext w:val="0"/>
                    <w:keepLines w:val="0"/>
                    <w:suppressLineNumbers w:val="0"/>
                    <w:adjustRightInd w:val="0"/>
                    <w:snapToGrid w:val="0"/>
                    <w:spacing w:before="0" w:beforeAutospacing="0" w:after="0" w:afterAutospacing="0"/>
                    <w:ind w:left="0" w:right="0" w:firstLine="0" w:firstLineChars="0"/>
                    <w:jc w:val="center"/>
                    <w:rPr>
                      <w:rFonts w:hint="eastAsia" w:eastAsia="宋体" w:cs="Times New Roman"/>
                      <w:color w:val="auto"/>
                      <w:kern w:val="0"/>
                      <w:sz w:val="21"/>
                      <w:szCs w:val="21"/>
                      <w:highlight w:val="none"/>
                      <w:lang w:val="en-US" w:eastAsia="zh-CN"/>
                    </w:rPr>
                  </w:pPr>
                  <w:r>
                    <w:rPr>
                      <w:rFonts w:hint="eastAsia" w:eastAsia="宋体" w:cs="Times New Roman"/>
                      <w:color w:val="auto"/>
                      <w:kern w:val="0"/>
                      <w:sz w:val="21"/>
                      <w:szCs w:val="21"/>
                      <w:highlight w:val="none"/>
                      <w:lang w:val="en-US" w:eastAsia="zh-CN"/>
                    </w:rPr>
                    <w:t>N</w:t>
                  </w:r>
                  <w:r>
                    <w:rPr>
                      <w:rFonts w:hint="eastAsia" w:eastAsia="宋体"/>
                      <w:sz w:val="21"/>
                      <w:szCs w:val="21"/>
                      <w:highlight w:val="none"/>
                    </w:rPr>
                    <w:t>28.950355</w:t>
                  </w:r>
                  <w:r>
                    <w:rPr>
                      <w:rFonts w:hint="default" w:eastAsia="Times New Roman"/>
                      <w:sz w:val="21"/>
                      <w:szCs w:val="21"/>
                      <w:highlight w:val="none"/>
                    </w:rPr>
                    <w:t>°</w:t>
                  </w:r>
                </w:p>
              </w:tc>
              <w:tc>
                <w:tcPr>
                  <w:tcW w:w="323" w:type="pct"/>
                  <w:tcBorders>
                    <w:top w:val="single" w:color="auto" w:sz="4" w:space="0"/>
                    <w:left w:val="single" w:color="auto" w:sz="4" w:space="0"/>
                    <w:bottom w:val="single" w:color="auto" w:sz="4" w:space="0"/>
                    <w:right w:val="single" w:color="auto" w:sz="4" w:space="0"/>
                  </w:tcBorders>
                  <w:shd w:val="clear" w:color="auto" w:fill="auto"/>
                  <w:tcMar>
                    <w:left w:w="57" w:type="dxa"/>
                    <w:right w:w="57" w:type="dxa"/>
                  </w:tcMar>
                  <w:vAlign w:val="center"/>
                </w:tcPr>
                <w:p w14:paraId="5B3BF806">
                  <w:pPr>
                    <w:pStyle w:val="85"/>
                    <w:keepNext w:val="0"/>
                    <w:keepLines w:val="0"/>
                    <w:suppressLineNumbers w:val="0"/>
                    <w:adjustRightInd w:val="0"/>
                    <w:snapToGrid w:val="0"/>
                    <w:spacing w:before="0" w:beforeAutospacing="0" w:after="0" w:afterAutospacing="0"/>
                    <w:ind w:left="0" w:right="0" w:firstLine="0" w:firstLineChars="0"/>
                    <w:jc w:val="center"/>
                    <w:rPr>
                      <w:rFonts w:hint="eastAsia" w:eastAsia="宋体"/>
                      <w:sz w:val="21"/>
                      <w:szCs w:val="21"/>
                      <w:highlight w:val="none"/>
                      <w:lang w:val="en-US" w:eastAsia="zh-CN"/>
                    </w:rPr>
                  </w:pPr>
                  <w:r>
                    <w:rPr>
                      <w:rFonts w:hint="eastAsia" w:eastAsia="宋体"/>
                      <w:sz w:val="21"/>
                      <w:szCs w:val="21"/>
                      <w:highlight w:val="none"/>
                      <w:lang w:val="en-US" w:eastAsia="zh-CN"/>
                    </w:rPr>
                    <w:t>东南</w:t>
                  </w:r>
                </w:p>
              </w:tc>
              <w:tc>
                <w:tcPr>
                  <w:tcW w:w="579" w:type="pct"/>
                  <w:tcBorders>
                    <w:top w:val="single" w:color="auto" w:sz="4" w:space="0"/>
                    <w:left w:val="single" w:color="auto" w:sz="4" w:space="0"/>
                    <w:bottom w:val="single" w:color="auto" w:sz="4" w:space="0"/>
                    <w:right w:val="single" w:color="auto" w:sz="4" w:space="0"/>
                  </w:tcBorders>
                  <w:shd w:val="clear" w:color="auto" w:fill="auto"/>
                  <w:tcMar>
                    <w:left w:w="57" w:type="dxa"/>
                    <w:right w:w="57" w:type="dxa"/>
                  </w:tcMar>
                  <w:vAlign w:val="center"/>
                </w:tcPr>
                <w:p w14:paraId="35BC308C">
                  <w:pPr>
                    <w:pStyle w:val="85"/>
                    <w:keepNext w:val="0"/>
                    <w:keepLines w:val="0"/>
                    <w:suppressLineNumbers w:val="0"/>
                    <w:adjustRightInd w:val="0"/>
                    <w:snapToGrid w:val="0"/>
                    <w:spacing w:before="0" w:beforeAutospacing="0" w:after="0" w:afterAutospacing="0"/>
                    <w:ind w:left="0" w:right="0" w:firstLine="0" w:firstLineChars="0"/>
                    <w:jc w:val="center"/>
                    <w:rPr>
                      <w:rFonts w:hint="eastAsia"/>
                      <w:sz w:val="21"/>
                      <w:szCs w:val="21"/>
                      <w:highlight w:val="none"/>
                      <w:lang w:val="en-US" w:eastAsia="zh-CN"/>
                    </w:rPr>
                  </w:pPr>
                  <w:r>
                    <w:rPr>
                      <w:rFonts w:hint="eastAsia" w:eastAsia="宋体"/>
                      <w:sz w:val="21"/>
                      <w:szCs w:val="21"/>
                      <w:highlight w:val="none"/>
                      <w:lang w:val="en-US" w:eastAsia="zh-CN"/>
                    </w:rPr>
                    <w:t>27</w:t>
                  </w:r>
                </w:p>
              </w:tc>
            </w:tr>
            <w:tr w14:paraId="22AF03F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20" w:hRule="atLeast"/>
                <w:jc w:val="center"/>
              </w:trPr>
              <w:tc>
                <w:tcPr>
                  <w:tcW w:w="825" w:type="pct"/>
                  <w:vMerge w:val="continue"/>
                  <w:tcBorders>
                    <w:left w:val="single" w:color="auto" w:sz="4" w:space="0"/>
                    <w:right w:val="single" w:color="auto" w:sz="4" w:space="0"/>
                  </w:tcBorders>
                  <w:tcMar>
                    <w:left w:w="57" w:type="dxa"/>
                    <w:right w:w="57" w:type="dxa"/>
                  </w:tcMar>
                  <w:vAlign w:val="center"/>
                </w:tcPr>
                <w:p w14:paraId="441581D0">
                  <w:pPr>
                    <w:pStyle w:val="85"/>
                    <w:keepNext w:val="0"/>
                    <w:keepLines w:val="0"/>
                    <w:suppressLineNumbers w:val="0"/>
                    <w:tabs>
                      <w:tab w:val="left" w:pos="2625"/>
                    </w:tabs>
                    <w:adjustRightInd w:val="0"/>
                    <w:snapToGrid w:val="0"/>
                    <w:spacing w:before="0" w:beforeAutospacing="0" w:after="0" w:afterAutospacing="0" w:line="276" w:lineRule="auto"/>
                    <w:ind w:left="0" w:right="0" w:firstLine="0" w:firstLineChars="0"/>
                    <w:jc w:val="center"/>
                    <w:rPr>
                      <w:rFonts w:hint="eastAsia" w:eastAsia="宋体"/>
                      <w:kern w:val="0"/>
                      <w:sz w:val="21"/>
                      <w:szCs w:val="21"/>
                      <w:highlight w:val="none"/>
                    </w:rPr>
                  </w:pPr>
                </w:p>
              </w:tc>
              <w:tc>
                <w:tcPr>
                  <w:tcW w:w="260" w:type="pct"/>
                  <w:tcBorders>
                    <w:top w:val="single" w:color="auto" w:sz="4" w:space="0"/>
                    <w:left w:val="single" w:color="auto" w:sz="4" w:space="0"/>
                    <w:bottom w:val="single" w:color="auto" w:sz="4" w:space="0"/>
                    <w:right w:val="single" w:color="auto" w:sz="4" w:space="0"/>
                  </w:tcBorders>
                  <w:tcMar>
                    <w:left w:w="57" w:type="dxa"/>
                    <w:right w:w="57" w:type="dxa"/>
                  </w:tcMar>
                  <w:vAlign w:val="center"/>
                </w:tcPr>
                <w:p w14:paraId="2EFD20BB">
                  <w:pPr>
                    <w:pStyle w:val="18"/>
                    <w:keepNext w:val="0"/>
                    <w:keepLines w:val="0"/>
                    <w:suppressLineNumbers w:val="0"/>
                    <w:tabs>
                      <w:tab w:val="left" w:pos="2625"/>
                    </w:tabs>
                    <w:adjustRightInd w:val="0"/>
                    <w:snapToGrid w:val="0"/>
                    <w:spacing w:before="0" w:beforeAutospacing="0" w:after="0" w:afterAutospacing="0" w:line="276" w:lineRule="auto"/>
                    <w:ind w:left="0" w:leftChars="0" w:right="0"/>
                    <w:jc w:val="center"/>
                    <w:rPr>
                      <w:rFonts w:hint="default"/>
                      <w:kern w:val="0"/>
                      <w:sz w:val="21"/>
                      <w:szCs w:val="21"/>
                      <w:highlight w:val="none"/>
                      <w:lang w:val="en-US" w:eastAsia="zh-CN"/>
                    </w:rPr>
                  </w:pPr>
                  <w:r>
                    <w:rPr>
                      <w:rFonts w:hint="eastAsia"/>
                      <w:kern w:val="0"/>
                      <w:sz w:val="21"/>
                      <w:szCs w:val="21"/>
                      <w:highlight w:val="none"/>
                      <w:lang w:val="en-US" w:eastAsia="zh-CN"/>
                    </w:rPr>
                    <w:t>3</w:t>
                  </w:r>
                </w:p>
              </w:tc>
              <w:tc>
                <w:tcPr>
                  <w:tcW w:w="1418" w:type="pct"/>
                  <w:tcBorders>
                    <w:top w:val="single" w:color="auto" w:sz="4" w:space="0"/>
                    <w:left w:val="single" w:color="auto" w:sz="4" w:space="0"/>
                    <w:bottom w:val="single" w:color="auto" w:sz="4" w:space="0"/>
                    <w:right w:val="single" w:color="auto" w:sz="4" w:space="0"/>
                  </w:tcBorders>
                  <w:tcMar>
                    <w:left w:w="57" w:type="dxa"/>
                    <w:right w:w="57" w:type="dxa"/>
                  </w:tcMar>
                  <w:vAlign w:val="center"/>
                </w:tcPr>
                <w:p w14:paraId="4D6E62A0">
                  <w:pPr>
                    <w:pStyle w:val="85"/>
                    <w:keepNext w:val="0"/>
                    <w:keepLines w:val="0"/>
                    <w:suppressLineNumbers w:val="0"/>
                    <w:adjustRightInd w:val="0"/>
                    <w:snapToGrid w:val="0"/>
                    <w:spacing w:before="0" w:beforeAutospacing="0" w:after="0" w:afterAutospacing="0"/>
                    <w:ind w:left="0" w:right="0" w:firstLine="0" w:firstLineChars="0"/>
                    <w:jc w:val="center"/>
                    <w:rPr>
                      <w:rFonts w:hint="eastAsia" w:eastAsia="宋体"/>
                      <w:sz w:val="21"/>
                      <w:szCs w:val="21"/>
                      <w:highlight w:val="none"/>
                    </w:rPr>
                  </w:pPr>
                  <w:r>
                    <w:rPr>
                      <w:rFonts w:hint="eastAsia" w:eastAsia="宋体" w:cs="Times New Roman"/>
                      <w:color w:val="auto"/>
                      <w:kern w:val="0"/>
                      <w:sz w:val="21"/>
                      <w:szCs w:val="21"/>
                      <w:highlight w:val="none"/>
                      <w:lang w:val="en-US" w:eastAsia="zh-CN"/>
                    </w:rPr>
                    <w:t>东侧规划高等院校</w:t>
                  </w:r>
                </w:p>
              </w:tc>
              <w:tc>
                <w:tcPr>
                  <w:tcW w:w="825" w:type="pct"/>
                  <w:tcBorders>
                    <w:top w:val="single" w:color="auto" w:sz="4" w:space="0"/>
                    <w:left w:val="single" w:color="auto" w:sz="4" w:space="0"/>
                    <w:bottom w:val="single" w:color="auto" w:sz="4" w:space="0"/>
                    <w:right w:val="single" w:color="auto" w:sz="4" w:space="0"/>
                  </w:tcBorders>
                  <w:shd w:val="clear" w:color="auto" w:fill="auto"/>
                  <w:tcMar>
                    <w:left w:w="57" w:type="dxa"/>
                    <w:right w:w="57" w:type="dxa"/>
                  </w:tcMar>
                  <w:vAlign w:val="center"/>
                </w:tcPr>
                <w:p w14:paraId="69F42A9F">
                  <w:pPr>
                    <w:pStyle w:val="85"/>
                    <w:keepNext w:val="0"/>
                    <w:keepLines w:val="0"/>
                    <w:suppressLineNumbers w:val="0"/>
                    <w:adjustRightInd w:val="0"/>
                    <w:snapToGrid w:val="0"/>
                    <w:spacing w:before="0" w:beforeAutospacing="0" w:after="0" w:afterAutospacing="0"/>
                    <w:ind w:left="0" w:right="0" w:firstLine="0" w:firstLineChars="0"/>
                    <w:jc w:val="center"/>
                    <w:rPr>
                      <w:rFonts w:hint="eastAsia" w:eastAsia="宋体" w:cs="Times New Roman"/>
                      <w:color w:val="auto"/>
                      <w:kern w:val="0"/>
                      <w:sz w:val="21"/>
                      <w:szCs w:val="21"/>
                      <w:highlight w:val="none"/>
                      <w:lang w:val="en-US" w:eastAsia="zh-CN"/>
                    </w:rPr>
                  </w:pPr>
                  <w:r>
                    <w:rPr>
                      <w:rFonts w:hint="eastAsia" w:eastAsia="宋体" w:cs="Times New Roman"/>
                      <w:color w:val="auto"/>
                      <w:kern w:val="0"/>
                      <w:sz w:val="21"/>
                      <w:szCs w:val="21"/>
                      <w:highlight w:val="none"/>
                      <w:lang w:val="en-US" w:eastAsia="zh-CN"/>
                    </w:rPr>
                    <w:t>E118.833652</w:t>
                  </w:r>
                  <w:r>
                    <w:rPr>
                      <w:rFonts w:hint="default" w:eastAsia="Times New Roman"/>
                      <w:sz w:val="21"/>
                      <w:szCs w:val="21"/>
                      <w:highlight w:val="none"/>
                    </w:rPr>
                    <w:t>°</w:t>
                  </w:r>
                </w:p>
              </w:tc>
              <w:tc>
                <w:tcPr>
                  <w:tcW w:w="766" w:type="pct"/>
                  <w:tcBorders>
                    <w:top w:val="single" w:color="auto" w:sz="4" w:space="0"/>
                    <w:left w:val="single" w:color="auto" w:sz="4" w:space="0"/>
                    <w:bottom w:val="single" w:color="auto" w:sz="4" w:space="0"/>
                    <w:right w:val="single" w:color="auto" w:sz="4" w:space="0"/>
                  </w:tcBorders>
                  <w:shd w:val="clear" w:color="auto" w:fill="auto"/>
                  <w:tcMar>
                    <w:left w:w="57" w:type="dxa"/>
                    <w:right w:w="57" w:type="dxa"/>
                  </w:tcMar>
                  <w:vAlign w:val="center"/>
                </w:tcPr>
                <w:p w14:paraId="49479E13">
                  <w:pPr>
                    <w:pStyle w:val="85"/>
                    <w:keepNext w:val="0"/>
                    <w:keepLines w:val="0"/>
                    <w:suppressLineNumbers w:val="0"/>
                    <w:adjustRightInd w:val="0"/>
                    <w:snapToGrid w:val="0"/>
                    <w:spacing w:before="0" w:beforeAutospacing="0" w:after="0" w:afterAutospacing="0"/>
                    <w:ind w:left="0" w:right="0" w:firstLine="0" w:firstLineChars="0"/>
                    <w:jc w:val="center"/>
                    <w:rPr>
                      <w:rFonts w:hint="eastAsia" w:eastAsia="宋体" w:cs="Times New Roman"/>
                      <w:color w:val="auto"/>
                      <w:kern w:val="0"/>
                      <w:sz w:val="21"/>
                      <w:szCs w:val="21"/>
                      <w:highlight w:val="none"/>
                      <w:lang w:val="en-US" w:eastAsia="zh-CN"/>
                    </w:rPr>
                  </w:pPr>
                  <w:r>
                    <w:rPr>
                      <w:rFonts w:hint="eastAsia" w:eastAsia="宋体" w:cs="Times New Roman"/>
                      <w:color w:val="auto"/>
                      <w:kern w:val="0"/>
                      <w:sz w:val="21"/>
                      <w:szCs w:val="21"/>
                      <w:highlight w:val="none"/>
                      <w:lang w:val="en-US" w:eastAsia="zh-CN"/>
                    </w:rPr>
                    <w:t>N28.952643</w:t>
                  </w:r>
                  <w:r>
                    <w:rPr>
                      <w:rFonts w:hint="default" w:eastAsia="Times New Roman"/>
                      <w:sz w:val="21"/>
                      <w:szCs w:val="21"/>
                      <w:highlight w:val="none"/>
                    </w:rPr>
                    <w:t>°</w:t>
                  </w:r>
                </w:p>
              </w:tc>
              <w:tc>
                <w:tcPr>
                  <w:tcW w:w="323" w:type="pct"/>
                  <w:tcBorders>
                    <w:top w:val="single" w:color="auto" w:sz="4" w:space="0"/>
                    <w:left w:val="single" w:color="auto" w:sz="4" w:space="0"/>
                    <w:bottom w:val="single" w:color="auto" w:sz="4" w:space="0"/>
                    <w:right w:val="single" w:color="auto" w:sz="4" w:space="0"/>
                  </w:tcBorders>
                  <w:shd w:val="clear" w:color="auto" w:fill="auto"/>
                  <w:tcMar>
                    <w:left w:w="57" w:type="dxa"/>
                    <w:right w:w="57" w:type="dxa"/>
                  </w:tcMar>
                  <w:vAlign w:val="center"/>
                </w:tcPr>
                <w:p w14:paraId="6E1560BB">
                  <w:pPr>
                    <w:pStyle w:val="85"/>
                    <w:keepNext w:val="0"/>
                    <w:keepLines w:val="0"/>
                    <w:suppressLineNumbers w:val="0"/>
                    <w:adjustRightInd w:val="0"/>
                    <w:snapToGrid w:val="0"/>
                    <w:spacing w:before="0" w:beforeAutospacing="0" w:after="0" w:afterAutospacing="0"/>
                    <w:ind w:left="0" w:right="0" w:firstLine="0" w:firstLineChars="0"/>
                    <w:jc w:val="center"/>
                    <w:rPr>
                      <w:rFonts w:hint="eastAsia" w:eastAsia="宋体"/>
                      <w:sz w:val="21"/>
                      <w:szCs w:val="21"/>
                      <w:highlight w:val="none"/>
                      <w:lang w:val="en-US" w:eastAsia="zh-CN"/>
                    </w:rPr>
                  </w:pPr>
                  <w:r>
                    <w:rPr>
                      <w:rFonts w:hint="eastAsia" w:eastAsia="宋体"/>
                      <w:sz w:val="21"/>
                      <w:szCs w:val="21"/>
                      <w:highlight w:val="none"/>
                      <w:lang w:val="en-US" w:eastAsia="zh-CN"/>
                    </w:rPr>
                    <w:t>东</w:t>
                  </w:r>
                </w:p>
              </w:tc>
              <w:tc>
                <w:tcPr>
                  <w:tcW w:w="579" w:type="pct"/>
                  <w:tcBorders>
                    <w:top w:val="single" w:color="auto" w:sz="4" w:space="0"/>
                    <w:left w:val="single" w:color="auto" w:sz="4" w:space="0"/>
                    <w:bottom w:val="single" w:color="auto" w:sz="4" w:space="0"/>
                    <w:right w:val="single" w:color="auto" w:sz="4" w:space="0"/>
                  </w:tcBorders>
                  <w:shd w:val="clear" w:color="auto" w:fill="auto"/>
                  <w:tcMar>
                    <w:left w:w="57" w:type="dxa"/>
                    <w:right w:w="57" w:type="dxa"/>
                  </w:tcMar>
                  <w:vAlign w:val="center"/>
                </w:tcPr>
                <w:p w14:paraId="38806595">
                  <w:pPr>
                    <w:keepNext w:val="0"/>
                    <w:keepLines w:val="0"/>
                    <w:suppressLineNumbers w:val="0"/>
                    <w:adjustRightInd w:val="0"/>
                    <w:snapToGrid w:val="0"/>
                    <w:spacing w:before="0" w:beforeAutospacing="0" w:after="0" w:afterAutospacing="0"/>
                    <w:ind w:left="0" w:right="0"/>
                    <w:jc w:val="center"/>
                    <w:rPr>
                      <w:rFonts w:hint="eastAsia" w:eastAsia="宋体"/>
                      <w:sz w:val="21"/>
                      <w:szCs w:val="21"/>
                      <w:highlight w:val="none"/>
                      <w:lang w:val="en-US" w:eastAsia="zh-CN"/>
                    </w:rPr>
                  </w:pPr>
                  <w:r>
                    <w:rPr>
                      <w:rFonts w:hint="eastAsia"/>
                      <w:sz w:val="21"/>
                      <w:szCs w:val="21"/>
                      <w:highlight w:val="none"/>
                      <w:lang w:val="en-US" w:eastAsia="zh-CN"/>
                    </w:rPr>
                    <w:t>28</w:t>
                  </w:r>
                </w:p>
              </w:tc>
            </w:tr>
            <w:tr w14:paraId="5421B58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20" w:hRule="atLeast"/>
                <w:jc w:val="center"/>
              </w:trPr>
              <w:tc>
                <w:tcPr>
                  <w:tcW w:w="825" w:type="pct"/>
                  <w:vMerge w:val="continue"/>
                  <w:tcBorders>
                    <w:left w:val="single" w:color="auto" w:sz="4" w:space="0"/>
                    <w:bottom w:val="single" w:color="auto" w:sz="4" w:space="0"/>
                    <w:right w:val="single" w:color="auto" w:sz="4" w:space="0"/>
                  </w:tcBorders>
                  <w:tcMar>
                    <w:left w:w="57" w:type="dxa"/>
                    <w:right w:w="57" w:type="dxa"/>
                  </w:tcMar>
                  <w:vAlign w:val="center"/>
                </w:tcPr>
                <w:p w14:paraId="0EB9A63E">
                  <w:pPr>
                    <w:pStyle w:val="85"/>
                    <w:keepNext w:val="0"/>
                    <w:keepLines w:val="0"/>
                    <w:suppressLineNumbers w:val="0"/>
                    <w:tabs>
                      <w:tab w:val="left" w:pos="2625"/>
                    </w:tabs>
                    <w:adjustRightInd w:val="0"/>
                    <w:snapToGrid w:val="0"/>
                    <w:spacing w:before="0" w:beforeAutospacing="0" w:after="0" w:afterAutospacing="0" w:line="276" w:lineRule="auto"/>
                    <w:ind w:left="0" w:right="0" w:firstLine="0" w:firstLineChars="0"/>
                    <w:jc w:val="center"/>
                    <w:rPr>
                      <w:rFonts w:hint="default" w:eastAsia="宋体"/>
                      <w:kern w:val="0"/>
                      <w:sz w:val="21"/>
                      <w:szCs w:val="21"/>
                      <w:highlight w:val="none"/>
                    </w:rPr>
                  </w:pPr>
                </w:p>
              </w:tc>
              <w:tc>
                <w:tcPr>
                  <w:tcW w:w="260" w:type="pct"/>
                  <w:tcBorders>
                    <w:top w:val="single" w:color="auto" w:sz="4" w:space="0"/>
                    <w:left w:val="single" w:color="auto" w:sz="4" w:space="0"/>
                    <w:bottom w:val="single" w:color="auto" w:sz="4" w:space="0"/>
                    <w:right w:val="single" w:color="auto" w:sz="4" w:space="0"/>
                  </w:tcBorders>
                  <w:tcMar>
                    <w:left w:w="57" w:type="dxa"/>
                    <w:right w:w="57" w:type="dxa"/>
                  </w:tcMar>
                  <w:vAlign w:val="center"/>
                </w:tcPr>
                <w:p w14:paraId="19AD5557">
                  <w:pPr>
                    <w:pStyle w:val="18"/>
                    <w:keepNext w:val="0"/>
                    <w:keepLines w:val="0"/>
                    <w:suppressLineNumbers w:val="0"/>
                    <w:tabs>
                      <w:tab w:val="left" w:pos="2625"/>
                    </w:tabs>
                    <w:adjustRightInd w:val="0"/>
                    <w:snapToGrid w:val="0"/>
                    <w:spacing w:before="0" w:beforeAutospacing="0" w:after="0" w:afterAutospacing="0" w:line="276" w:lineRule="auto"/>
                    <w:ind w:left="0" w:leftChars="0" w:right="0"/>
                    <w:jc w:val="center"/>
                    <w:rPr>
                      <w:rFonts w:hint="default" w:eastAsia="宋体"/>
                      <w:kern w:val="0"/>
                      <w:sz w:val="21"/>
                      <w:szCs w:val="21"/>
                      <w:highlight w:val="none"/>
                      <w:lang w:val="en-US" w:eastAsia="zh-CN"/>
                    </w:rPr>
                  </w:pPr>
                  <w:r>
                    <w:rPr>
                      <w:rFonts w:hint="eastAsia"/>
                      <w:kern w:val="0"/>
                      <w:sz w:val="21"/>
                      <w:szCs w:val="21"/>
                      <w:highlight w:val="none"/>
                      <w:lang w:val="en-US" w:eastAsia="zh-CN"/>
                    </w:rPr>
                    <w:t>4</w:t>
                  </w:r>
                </w:p>
              </w:tc>
              <w:tc>
                <w:tcPr>
                  <w:tcW w:w="1418" w:type="pct"/>
                  <w:tcBorders>
                    <w:top w:val="single" w:color="auto" w:sz="4" w:space="0"/>
                    <w:left w:val="single" w:color="auto" w:sz="4" w:space="0"/>
                    <w:bottom w:val="single" w:color="auto" w:sz="4" w:space="0"/>
                    <w:right w:val="single" w:color="auto" w:sz="4" w:space="0"/>
                  </w:tcBorders>
                  <w:tcMar>
                    <w:left w:w="57" w:type="dxa"/>
                    <w:right w:w="57" w:type="dxa"/>
                  </w:tcMar>
                  <w:vAlign w:val="center"/>
                </w:tcPr>
                <w:p w14:paraId="16E21BFE">
                  <w:pPr>
                    <w:pStyle w:val="18"/>
                    <w:keepNext w:val="0"/>
                    <w:keepLines w:val="0"/>
                    <w:suppressLineNumbers w:val="0"/>
                    <w:tabs>
                      <w:tab w:val="left" w:pos="2625"/>
                    </w:tabs>
                    <w:adjustRightInd w:val="0"/>
                    <w:snapToGrid w:val="0"/>
                    <w:spacing w:before="0" w:beforeAutospacing="0" w:after="0" w:afterAutospacing="0" w:line="276" w:lineRule="auto"/>
                    <w:ind w:left="0" w:leftChars="0" w:right="0"/>
                    <w:jc w:val="center"/>
                    <w:rPr>
                      <w:rFonts w:hint="default"/>
                      <w:kern w:val="0"/>
                      <w:sz w:val="21"/>
                      <w:szCs w:val="21"/>
                      <w:highlight w:val="none"/>
                    </w:rPr>
                  </w:pPr>
                  <w:r>
                    <w:rPr>
                      <w:rFonts w:hint="eastAsia" w:ascii="Times New Roman" w:hAnsi="Times New Roman" w:eastAsia="宋体" w:cs="Times New Roman"/>
                      <w:color w:val="auto"/>
                      <w:kern w:val="0"/>
                      <w:sz w:val="21"/>
                      <w:szCs w:val="21"/>
                      <w:highlight w:val="none"/>
                      <w:lang w:val="en-US" w:eastAsia="zh-CN"/>
                    </w:rPr>
                    <w:t>四省边际中心医院（闽江大道院区）</w:t>
                  </w:r>
                </w:p>
              </w:tc>
              <w:tc>
                <w:tcPr>
                  <w:tcW w:w="825" w:type="pct"/>
                  <w:tcBorders>
                    <w:top w:val="single" w:color="auto" w:sz="4" w:space="0"/>
                    <w:left w:val="single" w:color="auto" w:sz="4" w:space="0"/>
                    <w:bottom w:val="single" w:color="auto" w:sz="4" w:space="0"/>
                    <w:right w:val="single" w:color="auto" w:sz="4" w:space="0"/>
                  </w:tcBorders>
                  <w:shd w:val="clear" w:color="auto" w:fill="auto"/>
                  <w:tcMar>
                    <w:left w:w="57" w:type="dxa"/>
                    <w:right w:w="57" w:type="dxa"/>
                  </w:tcMar>
                  <w:vAlign w:val="center"/>
                </w:tcPr>
                <w:p w14:paraId="0070A2C9">
                  <w:pPr>
                    <w:pStyle w:val="85"/>
                    <w:keepNext w:val="0"/>
                    <w:keepLines w:val="0"/>
                    <w:suppressLineNumbers w:val="0"/>
                    <w:adjustRightInd w:val="0"/>
                    <w:snapToGrid w:val="0"/>
                    <w:spacing w:before="0" w:beforeAutospacing="0" w:after="0" w:afterAutospacing="0"/>
                    <w:ind w:left="0" w:right="0" w:firstLine="0" w:firstLineChars="0"/>
                    <w:jc w:val="center"/>
                    <w:rPr>
                      <w:rFonts w:hint="default" w:ascii="Times New Roman" w:hAnsi="Times New Roman" w:eastAsia="宋体" w:cs="Times New Roman"/>
                      <w:color w:val="auto"/>
                      <w:kern w:val="0"/>
                      <w:sz w:val="21"/>
                      <w:szCs w:val="21"/>
                      <w:highlight w:val="none"/>
                      <w:lang w:val="en-US" w:eastAsia="zh-CN"/>
                    </w:rPr>
                  </w:pPr>
                  <w:r>
                    <w:rPr>
                      <w:rFonts w:hint="default" w:ascii="Times New Roman" w:hAnsi="Times New Roman" w:eastAsia="宋体" w:cs="Times New Roman"/>
                      <w:color w:val="auto"/>
                      <w:kern w:val="0"/>
                      <w:sz w:val="21"/>
                      <w:szCs w:val="21"/>
                      <w:highlight w:val="none"/>
                      <w:lang w:val="en-US" w:eastAsia="zh-CN"/>
                    </w:rPr>
                    <w:t>E118.830177°</w:t>
                  </w:r>
                </w:p>
              </w:tc>
              <w:tc>
                <w:tcPr>
                  <w:tcW w:w="766" w:type="pct"/>
                  <w:tcBorders>
                    <w:top w:val="single" w:color="auto" w:sz="4" w:space="0"/>
                    <w:left w:val="single" w:color="auto" w:sz="4" w:space="0"/>
                    <w:bottom w:val="single" w:color="auto" w:sz="4" w:space="0"/>
                    <w:right w:val="single" w:color="auto" w:sz="4" w:space="0"/>
                  </w:tcBorders>
                  <w:shd w:val="clear" w:color="auto" w:fill="auto"/>
                  <w:tcMar>
                    <w:left w:w="57" w:type="dxa"/>
                    <w:right w:w="57" w:type="dxa"/>
                  </w:tcMar>
                  <w:vAlign w:val="center"/>
                </w:tcPr>
                <w:p w14:paraId="0E38EC05">
                  <w:pPr>
                    <w:pStyle w:val="85"/>
                    <w:keepNext w:val="0"/>
                    <w:keepLines w:val="0"/>
                    <w:suppressLineNumbers w:val="0"/>
                    <w:adjustRightInd w:val="0"/>
                    <w:snapToGrid w:val="0"/>
                    <w:spacing w:before="0" w:beforeAutospacing="0" w:after="0" w:afterAutospacing="0"/>
                    <w:ind w:left="0" w:right="0" w:firstLine="0" w:firstLineChars="0"/>
                    <w:jc w:val="center"/>
                    <w:rPr>
                      <w:rFonts w:hint="default" w:ascii="Times New Roman" w:hAnsi="Times New Roman" w:eastAsia="宋体" w:cs="Times New Roman"/>
                      <w:color w:val="auto"/>
                      <w:kern w:val="0"/>
                      <w:sz w:val="21"/>
                      <w:szCs w:val="21"/>
                      <w:highlight w:val="none"/>
                      <w:lang w:val="en-US" w:eastAsia="zh-CN"/>
                    </w:rPr>
                  </w:pPr>
                  <w:r>
                    <w:rPr>
                      <w:rFonts w:hint="default" w:ascii="Times New Roman" w:hAnsi="Times New Roman" w:eastAsia="宋体" w:cs="Times New Roman"/>
                      <w:color w:val="auto"/>
                      <w:kern w:val="0"/>
                      <w:sz w:val="21"/>
                      <w:szCs w:val="21"/>
                      <w:highlight w:val="none"/>
                      <w:lang w:val="en-US" w:eastAsia="zh-CN"/>
                    </w:rPr>
                    <w:t>N28.954346°</w:t>
                  </w:r>
                </w:p>
              </w:tc>
              <w:tc>
                <w:tcPr>
                  <w:tcW w:w="323" w:type="pct"/>
                  <w:tcBorders>
                    <w:top w:val="single" w:color="auto" w:sz="4" w:space="0"/>
                    <w:left w:val="single" w:color="auto" w:sz="4" w:space="0"/>
                    <w:bottom w:val="single" w:color="auto" w:sz="4" w:space="0"/>
                    <w:right w:val="single" w:color="auto" w:sz="4" w:space="0"/>
                  </w:tcBorders>
                  <w:tcMar>
                    <w:left w:w="57" w:type="dxa"/>
                    <w:right w:w="57" w:type="dxa"/>
                  </w:tcMar>
                  <w:vAlign w:val="center"/>
                </w:tcPr>
                <w:p w14:paraId="3385EDD6">
                  <w:pPr>
                    <w:pStyle w:val="18"/>
                    <w:keepNext w:val="0"/>
                    <w:keepLines w:val="0"/>
                    <w:suppressLineNumbers w:val="0"/>
                    <w:tabs>
                      <w:tab w:val="left" w:pos="2625"/>
                    </w:tabs>
                    <w:adjustRightInd w:val="0"/>
                    <w:snapToGrid w:val="0"/>
                    <w:spacing w:before="0" w:beforeAutospacing="0" w:after="0" w:afterAutospacing="0" w:line="276" w:lineRule="auto"/>
                    <w:ind w:left="0" w:leftChars="0" w:right="0"/>
                    <w:jc w:val="center"/>
                    <w:rPr>
                      <w:rFonts w:hint="default" w:eastAsia="宋体"/>
                      <w:kern w:val="0"/>
                      <w:sz w:val="21"/>
                      <w:szCs w:val="21"/>
                      <w:highlight w:val="none"/>
                      <w:lang w:val="en-US" w:eastAsia="zh-CN"/>
                    </w:rPr>
                  </w:pPr>
                  <w:r>
                    <w:rPr>
                      <w:rFonts w:hint="eastAsia"/>
                      <w:kern w:val="0"/>
                      <w:sz w:val="21"/>
                      <w:szCs w:val="21"/>
                      <w:highlight w:val="none"/>
                      <w:lang w:val="en-US" w:eastAsia="zh-CN"/>
                    </w:rPr>
                    <w:t>北</w:t>
                  </w:r>
                </w:p>
              </w:tc>
              <w:tc>
                <w:tcPr>
                  <w:tcW w:w="579" w:type="pct"/>
                  <w:tcBorders>
                    <w:top w:val="single" w:color="auto" w:sz="4" w:space="0"/>
                    <w:left w:val="single" w:color="auto" w:sz="4" w:space="0"/>
                    <w:bottom w:val="single" w:color="auto" w:sz="4" w:space="0"/>
                    <w:right w:val="single" w:color="auto" w:sz="4" w:space="0"/>
                  </w:tcBorders>
                  <w:tcMar>
                    <w:left w:w="57" w:type="dxa"/>
                    <w:right w:w="57" w:type="dxa"/>
                  </w:tcMar>
                  <w:vAlign w:val="center"/>
                </w:tcPr>
                <w:p w14:paraId="0C8E12DD">
                  <w:pPr>
                    <w:pStyle w:val="18"/>
                    <w:keepNext w:val="0"/>
                    <w:keepLines w:val="0"/>
                    <w:suppressLineNumbers w:val="0"/>
                    <w:tabs>
                      <w:tab w:val="left" w:pos="2625"/>
                    </w:tabs>
                    <w:adjustRightInd w:val="0"/>
                    <w:snapToGrid w:val="0"/>
                    <w:spacing w:before="0" w:beforeAutospacing="0" w:after="0" w:afterAutospacing="0" w:line="276" w:lineRule="auto"/>
                    <w:ind w:left="0" w:leftChars="0" w:right="0"/>
                    <w:jc w:val="center"/>
                    <w:rPr>
                      <w:rFonts w:hint="default" w:eastAsia="宋体"/>
                      <w:kern w:val="0"/>
                      <w:sz w:val="21"/>
                      <w:szCs w:val="21"/>
                      <w:highlight w:val="none"/>
                      <w:lang w:val="en-US" w:eastAsia="zh-CN"/>
                    </w:rPr>
                  </w:pPr>
                  <w:r>
                    <w:rPr>
                      <w:rFonts w:hint="eastAsia"/>
                      <w:kern w:val="0"/>
                      <w:sz w:val="21"/>
                      <w:szCs w:val="21"/>
                      <w:highlight w:val="none"/>
                      <w:lang w:val="en-US" w:eastAsia="zh-CN"/>
                    </w:rPr>
                    <w:t>41</w:t>
                  </w:r>
                </w:p>
              </w:tc>
            </w:tr>
            <w:tr w14:paraId="7962B99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232" w:hRule="atLeast"/>
                <w:jc w:val="center"/>
              </w:trPr>
              <w:tc>
                <w:tcPr>
                  <w:tcW w:w="825" w:type="pct"/>
                  <w:tcBorders>
                    <w:top w:val="single" w:color="auto" w:sz="4" w:space="0"/>
                    <w:left w:val="single" w:color="auto" w:sz="4" w:space="0"/>
                    <w:bottom w:val="single" w:color="auto" w:sz="4" w:space="0"/>
                    <w:right w:val="single" w:color="auto" w:sz="4" w:space="0"/>
                  </w:tcBorders>
                  <w:tcMar>
                    <w:left w:w="57" w:type="dxa"/>
                    <w:right w:w="57" w:type="dxa"/>
                  </w:tcMar>
                  <w:vAlign w:val="center"/>
                </w:tcPr>
                <w:p w14:paraId="42585F44">
                  <w:pPr>
                    <w:pStyle w:val="85"/>
                    <w:keepNext w:val="0"/>
                    <w:keepLines w:val="0"/>
                    <w:suppressLineNumbers w:val="0"/>
                    <w:tabs>
                      <w:tab w:val="left" w:pos="2625"/>
                    </w:tabs>
                    <w:adjustRightInd w:val="0"/>
                    <w:snapToGrid w:val="0"/>
                    <w:spacing w:before="0" w:beforeAutospacing="0" w:after="0" w:afterAutospacing="0" w:line="276" w:lineRule="auto"/>
                    <w:ind w:left="0" w:right="0" w:firstLine="0" w:firstLineChars="0"/>
                    <w:jc w:val="center"/>
                    <w:rPr>
                      <w:rFonts w:hint="default" w:eastAsia="宋体"/>
                      <w:kern w:val="0"/>
                      <w:sz w:val="21"/>
                      <w:szCs w:val="21"/>
                      <w:highlight w:val="none"/>
                    </w:rPr>
                  </w:pPr>
                  <w:r>
                    <w:rPr>
                      <w:rFonts w:hint="eastAsia" w:eastAsia="宋体"/>
                      <w:kern w:val="0"/>
                      <w:sz w:val="21"/>
                      <w:szCs w:val="21"/>
                      <w:highlight w:val="none"/>
                    </w:rPr>
                    <w:t>地下水环境（</w:t>
                  </w:r>
                  <w:r>
                    <w:rPr>
                      <w:rFonts w:hint="default" w:eastAsia="宋体"/>
                      <w:kern w:val="0"/>
                      <w:sz w:val="21"/>
                      <w:szCs w:val="21"/>
                      <w:highlight w:val="none"/>
                    </w:rPr>
                    <w:t>500m</w:t>
                  </w:r>
                  <w:r>
                    <w:rPr>
                      <w:rFonts w:hint="eastAsia" w:eastAsia="宋体"/>
                      <w:kern w:val="0"/>
                      <w:sz w:val="21"/>
                      <w:szCs w:val="21"/>
                      <w:highlight w:val="none"/>
                    </w:rPr>
                    <w:t>范围）</w:t>
                  </w:r>
                </w:p>
              </w:tc>
              <w:tc>
                <w:tcPr>
                  <w:tcW w:w="4174" w:type="pct"/>
                  <w:gridSpan w:val="6"/>
                  <w:tcBorders>
                    <w:top w:val="single" w:color="auto" w:sz="4" w:space="0"/>
                    <w:left w:val="single" w:color="auto" w:sz="4" w:space="0"/>
                    <w:bottom w:val="single" w:color="auto" w:sz="4" w:space="0"/>
                    <w:right w:val="single" w:color="auto" w:sz="4" w:space="0"/>
                  </w:tcBorders>
                  <w:tcMar>
                    <w:left w:w="57" w:type="dxa"/>
                    <w:right w:w="57" w:type="dxa"/>
                  </w:tcMar>
                  <w:vAlign w:val="center"/>
                </w:tcPr>
                <w:p w14:paraId="4A9FFF8C">
                  <w:pPr>
                    <w:pStyle w:val="18"/>
                    <w:keepNext w:val="0"/>
                    <w:keepLines w:val="0"/>
                    <w:suppressLineNumbers w:val="0"/>
                    <w:tabs>
                      <w:tab w:val="left" w:pos="2625"/>
                    </w:tabs>
                    <w:adjustRightInd w:val="0"/>
                    <w:snapToGrid w:val="0"/>
                    <w:spacing w:before="0" w:beforeAutospacing="0" w:after="0" w:afterAutospacing="0" w:line="276" w:lineRule="auto"/>
                    <w:ind w:left="0" w:leftChars="0" w:right="0"/>
                    <w:jc w:val="center"/>
                    <w:rPr>
                      <w:rFonts w:hint="eastAsia"/>
                      <w:kern w:val="0"/>
                      <w:sz w:val="21"/>
                      <w:szCs w:val="21"/>
                      <w:highlight w:val="none"/>
                    </w:rPr>
                  </w:pPr>
                  <w:r>
                    <w:rPr>
                      <w:rFonts w:hint="eastAsia"/>
                      <w:kern w:val="0"/>
                      <w:sz w:val="21"/>
                      <w:szCs w:val="21"/>
                      <w:highlight w:val="none"/>
                    </w:rPr>
                    <w:t>不涉及</w:t>
                  </w:r>
                </w:p>
              </w:tc>
            </w:tr>
            <w:tr w14:paraId="19D38A6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20" w:hRule="atLeast"/>
                <w:jc w:val="center"/>
              </w:trPr>
              <w:tc>
                <w:tcPr>
                  <w:tcW w:w="825" w:type="pct"/>
                  <w:tcBorders>
                    <w:top w:val="single" w:color="auto" w:sz="4" w:space="0"/>
                    <w:left w:val="single" w:color="auto" w:sz="4" w:space="0"/>
                    <w:bottom w:val="single" w:color="auto" w:sz="4" w:space="0"/>
                    <w:right w:val="single" w:color="auto" w:sz="4" w:space="0"/>
                  </w:tcBorders>
                  <w:tcMar>
                    <w:left w:w="57" w:type="dxa"/>
                    <w:right w:w="57" w:type="dxa"/>
                  </w:tcMar>
                  <w:vAlign w:val="center"/>
                </w:tcPr>
                <w:p w14:paraId="2956A162">
                  <w:pPr>
                    <w:pStyle w:val="85"/>
                    <w:keepNext w:val="0"/>
                    <w:keepLines w:val="0"/>
                    <w:suppressLineNumbers w:val="0"/>
                    <w:tabs>
                      <w:tab w:val="left" w:pos="2625"/>
                    </w:tabs>
                    <w:adjustRightInd w:val="0"/>
                    <w:snapToGrid w:val="0"/>
                    <w:spacing w:before="0" w:beforeAutospacing="0" w:after="0" w:afterAutospacing="0" w:line="276" w:lineRule="auto"/>
                    <w:ind w:left="0" w:right="0" w:firstLine="0" w:firstLineChars="0"/>
                    <w:jc w:val="center"/>
                    <w:rPr>
                      <w:rFonts w:hint="default" w:eastAsia="宋体"/>
                      <w:kern w:val="0"/>
                      <w:sz w:val="21"/>
                      <w:szCs w:val="21"/>
                      <w:highlight w:val="none"/>
                    </w:rPr>
                  </w:pPr>
                  <w:r>
                    <w:rPr>
                      <w:rFonts w:hint="eastAsia" w:eastAsia="宋体"/>
                      <w:kern w:val="0"/>
                      <w:sz w:val="21"/>
                      <w:szCs w:val="21"/>
                      <w:highlight w:val="none"/>
                    </w:rPr>
                    <w:t>生态环境</w:t>
                  </w:r>
                </w:p>
              </w:tc>
              <w:tc>
                <w:tcPr>
                  <w:tcW w:w="4174" w:type="pct"/>
                  <w:gridSpan w:val="6"/>
                  <w:tcBorders>
                    <w:top w:val="single" w:color="auto" w:sz="4" w:space="0"/>
                    <w:left w:val="single" w:color="auto" w:sz="4" w:space="0"/>
                    <w:bottom w:val="single" w:color="auto" w:sz="4" w:space="0"/>
                    <w:right w:val="single" w:color="auto" w:sz="4" w:space="0"/>
                  </w:tcBorders>
                  <w:tcMar>
                    <w:left w:w="57" w:type="dxa"/>
                    <w:right w:w="57" w:type="dxa"/>
                  </w:tcMar>
                  <w:vAlign w:val="center"/>
                </w:tcPr>
                <w:p w14:paraId="1B581512">
                  <w:pPr>
                    <w:pStyle w:val="18"/>
                    <w:keepNext w:val="0"/>
                    <w:keepLines w:val="0"/>
                    <w:suppressLineNumbers w:val="0"/>
                    <w:tabs>
                      <w:tab w:val="left" w:pos="2625"/>
                    </w:tabs>
                    <w:adjustRightInd w:val="0"/>
                    <w:snapToGrid w:val="0"/>
                    <w:spacing w:before="0" w:beforeAutospacing="0" w:after="0" w:afterAutospacing="0" w:line="276" w:lineRule="auto"/>
                    <w:ind w:left="0" w:leftChars="0" w:right="0"/>
                    <w:jc w:val="center"/>
                    <w:rPr>
                      <w:rFonts w:hint="eastAsia"/>
                      <w:kern w:val="0"/>
                      <w:sz w:val="21"/>
                      <w:szCs w:val="21"/>
                      <w:highlight w:val="none"/>
                    </w:rPr>
                  </w:pPr>
                  <w:r>
                    <w:rPr>
                      <w:rFonts w:hint="eastAsia"/>
                      <w:kern w:val="0"/>
                      <w:sz w:val="21"/>
                      <w:szCs w:val="21"/>
                      <w:highlight w:val="none"/>
                    </w:rPr>
                    <w:t>不涉及</w:t>
                  </w:r>
                </w:p>
              </w:tc>
            </w:tr>
          </w:tbl>
          <w:p w14:paraId="492F4129">
            <w:pPr>
              <w:keepNext w:val="0"/>
              <w:keepLines w:val="0"/>
              <w:suppressLineNumbers w:val="0"/>
              <w:tabs>
                <w:tab w:val="left" w:pos="2625"/>
              </w:tabs>
              <w:adjustRightInd w:val="0"/>
              <w:snapToGrid w:val="0"/>
              <w:spacing w:before="120" w:beforeLines="50" w:beforeAutospacing="0" w:after="120" w:afterLines="50" w:afterAutospacing="0"/>
              <w:ind w:left="0" w:right="0"/>
              <w:jc w:val="center"/>
              <w:rPr>
                <w:rFonts w:hint="eastAsia" w:hAnsi="宋体" w:eastAsia="宋体"/>
                <w:kern w:val="0"/>
                <w:highlight w:val="none"/>
                <w:lang w:eastAsia="zh-CN"/>
              </w:rPr>
            </w:pPr>
            <w:r>
              <w:rPr>
                <w:rFonts w:hint="eastAsia" w:hAnsi="宋体" w:eastAsia="宋体"/>
                <w:kern w:val="0"/>
                <w:highlight w:val="none"/>
                <w:lang w:eastAsia="zh-CN"/>
              </w:rPr>
              <w:drawing>
                <wp:inline distT="0" distB="0" distL="114300" distR="114300">
                  <wp:extent cx="4827905" cy="4703445"/>
                  <wp:effectExtent l="0" t="0" r="1270" b="1905"/>
                  <wp:docPr id="3" name="图片 3" descr="e5e724af42ee714950b43782b0433ab"/>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图片 3" descr="e5e724af42ee714950b43782b0433ab"/>
                          <pic:cNvPicPr>
                            <a:picLocks noChangeAspect="1"/>
                          </pic:cNvPicPr>
                        </pic:nvPicPr>
                        <pic:blipFill>
                          <a:blip r:embed="rId33"/>
                          <a:stretch>
                            <a:fillRect/>
                          </a:stretch>
                        </pic:blipFill>
                        <pic:spPr>
                          <a:xfrm>
                            <a:off x="0" y="0"/>
                            <a:ext cx="4827905" cy="4703445"/>
                          </a:xfrm>
                          <a:prstGeom prst="rect">
                            <a:avLst/>
                          </a:prstGeom>
                        </pic:spPr>
                      </pic:pic>
                    </a:graphicData>
                  </a:graphic>
                </wp:inline>
              </w:drawing>
            </w:r>
          </w:p>
          <w:p w14:paraId="3C650A41">
            <w:pPr>
              <w:keepNext w:val="0"/>
              <w:keepLines w:val="0"/>
              <w:suppressLineNumbers w:val="0"/>
              <w:tabs>
                <w:tab w:val="left" w:pos="2625"/>
              </w:tabs>
              <w:adjustRightInd w:val="0"/>
              <w:snapToGrid w:val="0"/>
              <w:spacing w:before="0" w:beforeAutospacing="0" w:after="0" w:afterAutospacing="0" w:line="360" w:lineRule="auto"/>
              <w:ind w:left="0" w:right="0"/>
              <w:jc w:val="center"/>
              <w:rPr>
                <w:rFonts w:hint="default" w:hAnsi="宋体"/>
                <w:b/>
                <w:kern w:val="0"/>
                <w:highlight w:val="none"/>
              </w:rPr>
            </w:pPr>
            <w:r>
              <w:rPr>
                <w:rFonts w:hint="eastAsia" w:hAnsi="宋体"/>
                <w:b/>
                <w:bCs/>
                <w:kern w:val="0"/>
                <w:highlight w:val="none"/>
              </w:rPr>
              <w:t>图3-</w:t>
            </w:r>
            <w:r>
              <w:rPr>
                <w:rFonts w:hint="eastAsia" w:hAnsi="宋体"/>
                <w:b/>
                <w:bCs/>
                <w:kern w:val="0"/>
                <w:highlight w:val="none"/>
                <w:lang w:val="en-US" w:eastAsia="zh-CN"/>
              </w:rPr>
              <w:t>3</w:t>
            </w:r>
            <w:r>
              <w:rPr>
                <w:rFonts w:hint="eastAsia" w:hAnsi="宋体"/>
                <w:b/>
                <w:bCs/>
                <w:kern w:val="0"/>
                <w:highlight w:val="none"/>
              </w:rPr>
              <w:t xml:space="preserve">  主要保护目标位置分布图</w:t>
            </w:r>
          </w:p>
        </w:tc>
      </w:tr>
      <w:tr w14:paraId="10ACA33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24" w:hRule="atLeast"/>
          <w:jc w:val="center"/>
        </w:trPr>
        <w:tc>
          <w:tcPr>
            <w:tcW w:w="498" w:type="dxa"/>
            <w:tcMar>
              <w:left w:w="28" w:type="dxa"/>
              <w:right w:w="28" w:type="dxa"/>
            </w:tcMar>
            <w:vAlign w:val="center"/>
          </w:tcPr>
          <w:p w14:paraId="6742AA4A">
            <w:pPr>
              <w:keepNext w:val="0"/>
              <w:keepLines w:val="0"/>
              <w:suppressLineNumbers w:val="0"/>
              <w:adjustRightInd w:val="0"/>
              <w:snapToGrid w:val="0"/>
              <w:spacing w:before="0" w:beforeAutospacing="0" w:after="0" w:afterAutospacing="0"/>
              <w:ind w:left="0" w:right="0"/>
              <w:jc w:val="center"/>
              <w:rPr>
                <w:rFonts w:hint="default" w:hAnsi="宋体"/>
                <w:kern w:val="0"/>
                <w:sz w:val="21"/>
                <w:szCs w:val="21"/>
                <w:highlight w:val="none"/>
              </w:rPr>
            </w:pPr>
          </w:p>
          <w:p w14:paraId="17069FFC">
            <w:pPr>
              <w:keepNext w:val="0"/>
              <w:keepLines w:val="0"/>
              <w:suppressLineNumbers w:val="0"/>
              <w:adjustRightInd w:val="0"/>
              <w:snapToGrid w:val="0"/>
              <w:spacing w:before="0" w:beforeAutospacing="0" w:after="0" w:afterAutospacing="0"/>
              <w:ind w:left="0" w:right="0"/>
              <w:jc w:val="center"/>
              <w:rPr>
                <w:rFonts w:hint="default" w:hAnsi="宋体"/>
                <w:kern w:val="0"/>
                <w:sz w:val="21"/>
                <w:szCs w:val="21"/>
                <w:highlight w:val="none"/>
              </w:rPr>
            </w:pPr>
          </w:p>
          <w:p w14:paraId="0F7F40BC">
            <w:pPr>
              <w:keepNext w:val="0"/>
              <w:keepLines w:val="0"/>
              <w:suppressLineNumbers w:val="0"/>
              <w:adjustRightInd w:val="0"/>
              <w:snapToGrid w:val="0"/>
              <w:spacing w:before="0" w:beforeAutospacing="0" w:after="0" w:afterAutospacing="0"/>
              <w:ind w:left="0" w:right="0"/>
              <w:jc w:val="center"/>
              <w:rPr>
                <w:rFonts w:hint="default" w:hAnsi="宋体"/>
                <w:kern w:val="0"/>
                <w:sz w:val="21"/>
                <w:szCs w:val="21"/>
                <w:highlight w:val="none"/>
              </w:rPr>
            </w:pPr>
          </w:p>
          <w:p w14:paraId="2CC8380D">
            <w:pPr>
              <w:keepNext w:val="0"/>
              <w:keepLines w:val="0"/>
              <w:suppressLineNumbers w:val="0"/>
              <w:adjustRightInd w:val="0"/>
              <w:snapToGrid w:val="0"/>
              <w:spacing w:before="0" w:beforeAutospacing="0" w:after="0" w:afterAutospacing="0"/>
              <w:ind w:left="0" w:right="0"/>
              <w:jc w:val="center"/>
              <w:rPr>
                <w:rFonts w:hint="default" w:hAnsi="宋体"/>
                <w:kern w:val="0"/>
                <w:sz w:val="21"/>
                <w:szCs w:val="21"/>
                <w:highlight w:val="none"/>
              </w:rPr>
            </w:pPr>
          </w:p>
          <w:p w14:paraId="38ECCA57">
            <w:pPr>
              <w:keepNext w:val="0"/>
              <w:keepLines w:val="0"/>
              <w:suppressLineNumbers w:val="0"/>
              <w:adjustRightInd w:val="0"/>
              <w:snapToGrid w:val="0"/>
              <w:spacing w:before="0" w:beforeAutospacing="0" w:after="0" w:afterAutospacing="0"/>
              <w:ind w:left="0" w:right="0"/>
              <w:jc w:val="center"/>
              <w:rPr>
                <w:rFonts w:hint="default" w:hAnsi="宋体"/>
                <w:kern w:val="0"/>
                <w:sz w:val="21"/>
                <w:szCs w:val="21"/>
                <w:highlight w:val="none"/>
              </w:rPr>
            </w:pPr>
          </w:p>
          <w:p w14:paraId="75C5DE05">
            <w:pPr>
              <w:keepNext w:val="0"/>
              <w:keepLines w:val="0"/>
              <w:suppressLineNumbers w:val="0"/>
              <w:adjustRightInd w:val="0"/>
              <w:snapToGrid w:val="0"/>
              <w:spacing w:before="0" w:beforeAutospacing="0" w:after="0" w:afterAutospacing="0"/>
              <w:ind w:left="0" w:right="0"/>
              <w:jc w:val="center"/>
              <w:rPr>
                <w:rFonts w:hint="default" w:hAnsi="宋体"/>
                <w:kern w:val="0"/>
                <w:sz w:val="21"/>
                <w:szCs w:val="21"/>
                <w:highlight w:val="none"/>
              </w:rPr>
            </w:pPr>
          </w:p>
          <w:p w14:paraId="5C055E34">
            <w:pPr>
              <w:keepNext w:val="0"/>
              <w:keepLines w:val="0"/>
              <w:suppressLineNumbers w:val="0"/>
              <w:adjustRightInd w:val="0"/>
              <w:snapToGrid w:val="0"/>
              <w:spacing w:before="0" w:beforeAutospacing="0" w:after="0" w:afterAutospacing="0"/>
              <w:ind w:left="0" w:right="0"/>
              <w:jc w:val="center"/>
              <w:rPr>
                <w:rFonts w:hint="default"/>
                <w:kern w:val="0"/>
                <w:sz w:val="21"/>
                <w:szCs w:val="21"/>
                <w:highlight w:val="none"/>
              </w:rPr>
            </w:pPr>
            <w:r>
              <w:rPr>
                <w:rFonts w:hint="eastAsia" w:hAnsi="宋体"/>
                <w:kern w:val="0"/>
                <w:sz w:val="21"/>
                <w:szCs w:val="21"/>
                <w:highlight w:val="none"/>
              </w:rPr>
              <w:t>污染</w:t>
            </w:r>
          </w:p>
          <w:p w14:paraId="068BCDD0">
            <w:pPr>
              <w:keepNext w:val="0"/>
              <w:keepLines w:val="0"/>
              <w:suppressLineNumbers w:val="0"/>
              <w:adjustRightInd w:val="0"/>
              <w:snapToGrid w:val="0"/>
              <w:spacing w:before="0" w:beforeAutospacing="0" w:after="0" w:afterAutospacing="0"/>
              <w:ind w:left="0" w:right="0"/>
              <w:jc w:val="center"/>
              <w:rPr>
                <w:rFonts w:hint="default"/>
                <w:kern w:val="0"/>
                <w:sz w:val="21"/>
                <w:szCs w:val="21"/>
                <w:highlight w:val="none"/>
              </w:rPr>
            </w:pPr>
            <w:r>
              <w:rPr>
                <w:rFonts w:hint="eastAsia" w:hAnsi="宋体"/>
                <w:kern w:val="0"/>
                <w:sz w:val="21"/>
                <w:szCs w:val="21"/>
                <w:highlight w:val="none"/>
              </w:rPr>
              <w:t>物排</w:t>
            </w:r>
          </w:p>
          <w:p w14:paraId="19443E70">
            <w:pPr>
              <w:keepNext w:val="0"/>
              <w:keepLines w:val="0"/>
              <w:suppressLineNumbers w:val="0"/>
              <w:adjustRightInd w:val="0"/>
              <w:snapToGrid w:val="0"/>
              <w:spacing w:before="0" w:beforeAutospacing="0" w:after="0" w:afterAutospacing="0"/>
              <w:ind w:left="0" w:right="0"/>
              <w:jc w:val="center"/>
              <w:rPr>
                <w:rFonts w:hint="default"/>
                <w:kern w:val="0"/>
                <w:sz w:val="21"/>
                <w:szCs w:val="21"/>
                <w:highlight w:val="none"/>
              </w:rPr>
            </w:pPr>
            <w:r>
              <w:rPr>
                <w:rFonts w:hint="eastAsia" w:hAnsi="宋体"/>
                <w:kern w:val="0"/>
                <w:sz w:val="21"/>
                <w:szCs w:val="21"/>
                <w:highlight w:val="none"/>
              </w:rPr>
              <w:t>放控</w:t>
            </w:r>
          </w:p>
          <w:p w14:paraId="4B23275B">
            <w:pPr>
              <w:keepNext w:val="0"/>
              <w:keepLines w:val="0"/>
              <w:suppressLineNumbers w:val="0"/>
              <w:adjustRightInd w:val="0"/>
              <w:snapToGrid w:val="0"/>
              <w:spacing w:before="0" w:beforeAutospacing="0" w:after="0" w:afterAutospacing="0"/>
              <w:ind w:left="0" w:right="0"/>
              <w:jc w:val="center"/>
              <w:rPr>
                <w:rFonts w:hint="default"/>
                <w:kern w:val="0"/>
                <w:sz w:val="21"/>
                <w:szCs w:val="21"/>
                <w:highlight w:val="none"/>
              </w:rPr>
            </w:pPr>
            <w:r>
              <w:rPr>
                <w:rFonts w:hint="eastAsia" w:hAnsi="宋体"/>
                <w:kern w:val="0"/>
                <w:sz w:val="21"/>
                <w:szCs w:val="21"/>
                <w:highlight w:val="none"/>
              </w:rPr>
              <w:t>制标</w:t>
            </w:r>
          </w:p>
          <w:p w14:paraId="06810619">
            <w:pPr>
              <w:keepNext w:val="0"/>
              <w:keepLines w:val="0"/>
              <w:suppressLineNumbers w:val="0"/>
              <w:adjustRightInd w:val="0"/>
              <w:snapToGrid w:val="0"/>
              <w:spacing w:before="0" w:beforeAutospacing="0" w:after="0" w:afterAutospacing="0"/>
              <w:ind w:left="0" w:right="0"/>
              <w:jc w:val="center"/>
              <w:rPr>
                <w:rFonts w:hint="default" w:hAnsi="宋体"/>
                <w:kern w:val="0"/>
                <w:sz w:val="21"/>
                <w:szCs w:val="21"/>
                <w:highlight w:val="none"/>
              </w:rPr>
            </w:pPr>
            <w:r>
              <w:rPr>
                <w:rFonts w:hint="eastAsia" w:hAnsi="宋体"/>
                <w:kern w:val="0"/>
                <w:sz w:val="21"/>
                <w:szCs w:val="21"/>
                <w:highlight w:val="none"/>
              </w:rPr>
              <w:t>准</w:t>
            </w:r>
          </w:p>
          <w:p w14:paraId="1965ED2F">
            <w:pPr>
              <w:keepNext w:val="0"/>
              <w:keepLines w:val="0"/>
              <w:suppressLineNumbers w:val="0"/>
              <w:adjustRightInd w:val="0"/>
              <w:snapToGrid w:val="0"/>
              <w:spacing w:before="0" w:beforeAutospacing="0" w:after="0" w:afterAutospacing="0"/>
              <w:ind w:left="0" w:right="0"/>
              <w:jc w:val="center"/>
              <w:rPr>
                <w:rFonts w:hint="default" w:hAnsi="宋体"/>
                <w:kern w:val="0"/>
                <w:sz w:val="21"/>
                <w:szCs w:val="21"/>
                <w:highlight w:val="none"/>
              </w:rPr>
            </w:pPr>
          </w:p>
          <w:p w14:paraId="688D63B9">
            <w:pPr>
              <w:keepNext w:val="0"/>
              <w:keepLines w:val="0"/>
              <w:suppressLineNumbers w:val="0"/>
              <w:adjustRightInd w:val="0"/>
              <w:snapToGrid w:val="0"/>
              <w:spacing w:before="0" w:beforeAutospacing="0" w:after="0" w:afterAutospacing="0"/>
              <w:ind w:left="0" w:right="0"/>
              <w:jc w:val="center"/>
              <w:rPr>
                <w:rFonts w:hint="default" w:hAnsi="宋体"/>
                <w:kern w:val="0"/>
                <w:sz w:val="21"/>
                <w:szCs w:val="21"/>
                <w:highlight w:val="none"/>
              </w:rPr>
            </w:pPr>
          </w:p>
          <w:p w14:paraId="6B83599C">
            <w:pPr>
              <w:keepNext w:val="0"/>
              <w:keepLines w:val="0"/>
              <w:suppressLineNumbers w:val="0"/>
              <w:adjustRightInd w:val="0"/>
              <w:snapToGrid w:val="0"/>
              <w:spacing w:before="0" w:beforeAutospacing="0" w:after="0" w:afterAutospacing="0"/>
              <w:ind w:left="0" w:right="0"/>
              <w:jc w:val="center"/>
              <w:rPr>
                <w:rFonts w:hint="default" w:hAnsi="宋体"/>
                <w:kern w:val="0"/>
                <w:sz w:val="21"/>
                <w:szCs w:val="21"/>
                <w:highlight w:val="none"/>
              </w:rPr>
            </w:pPr>
          </w:p>
          <w:p w14:paraId="003AE8A6">
            <w:pPr>
              <w:keepNext w:val="0"/>
              <w:keepLines w:val="0"/>
              <w:suppressLineNumbers w:val="0"/>
              <w:adjustRightInd w:val="0"/>
              <w:snapToGrid w:val="0"/>
              <w:spacing w:before="0" w:beforeAutospacing="0" w:after="0" w:afterAutospacing="0"/>
              <w:ind w:left="0" w:right="0"/>
              <w:jc w:val="center"/>
              <w:rPr>
                <w:rFonts w:hint="default" w:hAnsi="宋体"/>
                <w:kern w:val="0"/>
                <w:sz w:val="21"/>
                <w:szCs w:val="21"/>
                <w:highlight w:val="none"/>
              </w:rPr>
            </w:pPr>
          </w:p>
          <w:p w14:paraId="6FC23A7A">
            <w:pPr>
              <w:keepNext w:val="0"/>
              <w:keepLines w:val="0"/>
              <w:suppressLineNumbers w:val="0"/>
              <w:adjustRightInd w:val="0"/>
              <w:snapToGrid w:val="0"/>
              <w:spacing w:before="0" w:beforeAutospacing="0" w:after="0" w:afterAutospacing="0"/>
              <w:ind w:left="0" w:right="0"/>
              <w:jc w:val="center"/>
              <w:rPr>
                <w:rFonts w:hint="default" w:hAnsi="宋体"/>
                <w:kern w:val="0"/>
                <w:sz w:val="21"/>
                <w:szCs w:val="21"/>
                <w:highlight w:val="none"/>
              </w:rPr>
            </w:pPr>
          </w:p>
          <w:p w14:paraId="66892971">
            <w:pPr>
              <w:keepNext w:val="0"/>
              <w:keepLines w:val="0"/>
              <w:suppressLineNumbers w:val="0"/>
              <w:adjustRightInd w:val="0"/>
              <w:snapToGrid w:val="0"/>
              <w:spacing w:before="0" w:beforeAutospacing="0" w:after="0" w:afterAutospacing="0"/>
              <w:ind w:left="0" w:right="0"/>
              <w:jc w:val="center"/>
              <w:rPr>
                <w:rFonts w:hint="default" w:hAnsi="宋体"/>
                <w:kern w:val="0"/>
                <w:sz w:val="21"/>
                <w:szCs w:val="21"/>
                <w:highlight w:val="none"/>
              </w:rPr>
            </w:pPr>
          </w:p>
          <w:p w14:paraId="6140C315">
            <w:pPr>
              <w:keepNext w:val="0"/>
              <w:keepLines w:val="0"/>
              <w:suppressLineNumbers w:val="0"/>
              <w:adjustRightInd w:val="0"/>
              <w:snapToGrid w:val="0"/>
              <w:spacing w:before="0" w:beforeAutospacing="0" w:after="0" w:afterAutospacing="0"/>
              <w:ind w:left="0" w:right="0"/>
              <w:jc w:val="center"/>
              <w:rPr>
                <w:rFonts w:hint="default" w:hAnsi="宋体"/>
                <w:kern w:val="0"/>
                <w:sz w:val="21"/>
                <w:szCs w:val="21"/>
                <w:highlight w:val="none"/>
              </w:rPr>
            </w:pPr>
          </w:p>
          <w:p w14:paraId="23E6C846">
            <w:pPr>
              <w:keepNext w:val="0"/>
              <w:keepLines w:val="0"/>
              <w:suppressLineNumbers w:val="0"/>
              <w:adjustRightInd w:val="0"/>
              <w:snapToGrid w:val="0"/>
              <w:spacing w:before="0" w:beforeAutospacing="0" w:after="0" w:afterAutospacing="0"/>
              <w:ind w:left="0" w:right="0"/>
              <w:jc w:val="center"/>
              <w:rPr>
                <w:rFonts w:hint="default" w:hAnsi="宋体"/>
                <w:kern w:val="0"/>
                <w:sz w:val="21"/>
                <w:szCs w:val="21"/>
                <w:highlight w:val="none"/>
              </w:rPr>
            </w:pPr>
          </w:p>
          <w:p w14:paraId="5B2D4280">
            <w:pPr>
              <w:keepNext w:val="0"/>
              <w:keepLines w:val="0"/>
              <w:suppressLineNumbers w:val="0"/>
              <w:adjustRightInd w:val="0"/>
              <w:snapToGrid w:val="0"/>
              <w:spacing w:before="0" w:beforeAutospacing="0" w:after="0" w:afterAutospacing="0"/>
              <w:ind w:left="0" w:right="0"/>
              <w:jc w:val="center"/>
              <w:rPr>
                <w:rFonts w:hint="default" w:hAnsi="宋体"/>
                <w:kern w:val="0"/>
                <w:sz w:val="21"/>
                <w:szCs w:val="21"/>
                <w:highlight w:val="none"/>
              </w:rPr>
            </w:pPr>
          </w:p>
          <w:p w14:paraId="06652ABA">
            <w:pPr>
              <w:keepNext w:val="0"/>
              <w:keepLines w:val="0"/>
              <w:suppressLineNumbers w:val="0"/>
              <w:adjustRightInd w:val="0"/>
              <w:snapToGrid w:val="0"/>
              <w:spacing w:before="0" w:beforeAutospacing="0" w:after="0" w:afterAutospacing="0"/>
              <w:ind w:left="0" w:right="0"/>
              <w:jc w:val="center"/>
              <w:rPr>
                <w:rFonts w:hint="default" w:hAnsi="宋体"/>
                <w:kern w:val="0"/>
                <w:sz w:val="21"/>
                <w:szCs w:val="21"/>
                <w:highlight w:val="none"/>
              </w:rPr>
            </w:pPr>
          </w:p>
          <w:p w14:paraId="2E693CE3">
            <w:pPr>
              <w:keepNext w:val="0"/>
              <w:keepLines w:val="0"/>
              <w:suppressLineNumbers w:val="0"/>
              <w:adjustRightInd w:val="0"/>
              <w:snapToGrid w:val="0"/>
              <w:spacing w:before="0" w:beforeAutospacing="0" w:after="0" w:afterAutospacing="0"/>
              <w:ind w:left="0" w:right="0"/>
              <w:jc w:val="center"/>
              <w:rPr>
                <w:rFonts w:hint="default" w:hAnsi="宋体"/>
                <w:kern w:val="0"/>
                <w:sz w:val="21"/>
                <w:szCs w:val="21"/>
                <w:highlight w:val="none"/>
              </w:rPr>
            </w:pPr>
          </w:p>
          <w:p w14:paraId="159D95F5">
            <w:pPr>
              <w:keepNext w:val="0"/>
              <w:keepLines w:val="0"/>
              <w:suppressLineNumbers w:val="0"/>
              <w:adjustRightInd w:val="0"/>
              <w:snapToGrid w:val="0"/>
              <w:spacing w:before="0" w:beforeAutospacing="0" w:after="0" w:afterAutospacing="0"/>
              <w:ind w:left="0" w:right="0"/>
              <w:jc w:val="center"/>
              <w:rPr>
                <w:rFonts w:hint="default" w:hAnsi="宋体"/>
                <w:kern w:val="0"/>
                <w:sz w:val="21"/>
                <w:szCs w:val="21"/>
                <w:highlight w:val="none"/>
              </w:rPr>
            </w:pPr>
          </w:p>
          <w:p w14:paraId="7772CCD0">
            <w:pPr>
              <w:keepNext w:val="0"/>
              <w:keepLines w:val="0"/>
              <w:suppressLineNumbers w:val="0"/>
              <w:adjustRightInd w:val="0"/>
              <w:snapToGrid w:val="0"/>
              <w:spacing w:before="0" w:beforeAutospacing="0" w:after="0" w:afterAutospacing="0"/>
              <w:ind w:left="0" w:right="0"/>
              <w:jc w:val="center"/>
              <w:rPr>
                <w:rFonts w:hint="default" w:hAnsi="宋体"/>
                <w:kern w:val="0"/>
                <w:sz w:val="21"/>
                <w:szCs w:val="21"/>
                <w:highlight w:val="none"/>
              </w:rPr>
            </w:pPr>
          </w:p>
          <w:p w14:paraId="1541C088">
            <w:pPr>
              <w:keepNext w:val="0"/>
              <w:keepLines w:val="0"/>
              <w:suppressLineNumbers w:val="0"/>
              <w:adjustRightInd w:val="0"/>
              <w:snapToGrid w:val="0"/>
              <w:spacing w:before="0" w:beforeAutospacing="0" w:after="0" w:afterAutospacing="0"/>
              <w:ind w:left="0" w:right="0"/>
              <w:jc w:val="center"/>
              <w:rPr>
                <w:rFonts w:hint="default" w:hAnsi="宋体"/>
                <w:kern w:val="0"/>
                <w:sz w:val="21"/>
                <w:szCs w:val="21"/>
                <w:highlight w:val="none"/>
              </w:rPr>
            </w:pPr>
          </w:p>
          <w:p w14:paraId="6DE75BDA">
            <w:pPr>
              <w:keepNext w:val="0"/>
              <w:keepLines w:val="0"/>
              <w:suppressLineNumbers w:val="0"/>
              <w:adjustRightInd w:val="0"/>
              <w:snapToGrid w:val="0"/>
              <w:spacing w:before="0" w:beforeAutospacing="0" w:after="0" w:afterAutospacing="0"/>
              <w:ind w:left="0" w:right="0"/>
              <w:jc w:val="center"/>
              <w:rPr>
                <w:rFonts w:hint="default" w:hAnsi="宋体"/>
                <w:kern w:val="0"/>
                <w:sz w:val="21"/>
                <w:szCs w:val="21"/>
                <w:highlight w:val="none"/>
              </w:rPr>
            </w:pPr>
          </w:p>
          <w:p w14:paraId="05D81E65">
            <w:pPr>
              <w:keepNext w:val="0"/>
              <w:keepLines w:val="0"/>
              <w:suppressLineNumbers w:val="0"/>
              <w:adjustRightInd w:val="0"/>
              <w:snapToGrid w:val="0"/>
              <w:spacing w:before="0" w:beforeAutospacing="0" w:after="0" w:afterAutospacing="0"/>
              <w:ind w:left="0" w:right="0"/>
              <w:jc w:val="center"/>
              <w:rPr>
                <w:rFonts w:hint="default" w:hAnsi="宋体"/>
                <w:kern w:val="0"/>
                <w:sz w:val="21"/>
                <w:szCs w:val="21"/>
                <w:highlight w:val="none"/>
              </w:rPr>
            </w:pPr>
          </w:p>
          <w:p w14:paraId="4A4D5812">
            <w:pPr>
              <w:keepNext w:val="0"/>
              <w:keepLines w:val="0"/>
              <w:suppressLineNumbers w:val="0"/>
              <w:adjustRightInd w:val="0"/>
              <w:snapToGrid w:val="0"/>
              <w:spacing w:before="0" w:beforeAutospacing="0" w:after="0" w:afterAutospacing="0"/>
              <w:ind w:left="0" w:right="0"/>
              <w:jc w:val="center"/>
              <w:rPr>
                <w:rFonts w:hint="default" w:hAnsi="宋体"/>
                <w:kern w:val="0"/>
                <w:sz w:val="21"/>
                <w:szCs w:val="21"/>
                <w:highlight w:val="none"/>
              </w:rPr>
            </w:pPr>
          </w:p>
          <w:p w14:paraId="7EA32248">
            <w:pPr>
              <w:keepNext w:val="0"/>
              <w:keepLines w:val="0"/>
              <w:suppressLineNumbers w:val="0"/>
              <w:adjustRightInd w:val="0"/>
              <w:snapToGrid w:val="0"/>
              <w:spacing w:before="0" w:beforeAutospacing="0" w:after="0" w:afterAutospacing="0"/>
              <w:ind w:left="0" w:right="0"/>
              <w:jc w:val="center"/>
              <w:rPr>
                <w:rFonts w:hint="default" w:hAnsi="宋体"/>
                <w:kern w:val="0"/>
                <w:sz w:val="21"/>
                <w:szCs w:val="21"/>
                <w:highlight w:val="none"/>
              </w:rPr>
            </w:pPr>
          </w:p>
          <w:p w14:paraId="607C1927">
            <w:pPr>
              <w:keepNext w:val="0"/>
              <w:keepLines w:val="0"/>
              <w:suppressLineNumbers w:val="0"/>
              <w:adjustRightInd w:val="0"/>
              <w:snapToGrid w:val="0"/>
              <w:spacing w:before="0" w:beforeAutospacing="0" w:after="0" w:afterAutospacing="0"/>
              <w:ind w:left="0" w:right="0"/>
              <w:jc w:val="center"/>
              <w:rPr>
                <w:rFonts w:hint="default" w:hAnsi="宋体"/>
                <w:kern w:val="0"/>
                <w:sz w:val="21"/>
                <w:szCs w:val="21"/>
                <w:highlight w:val="none"/>
              </w:rPr>
            </w:pPr>
          </w:p>
          <w:p w14:paraId="0FA090C4">
            <w:pPr>
              <w:keepNext w:val="0"/>
              <w:keepLines w:val="0"/>
              <w:suppressLineNumbers w:val="0"/>
              <w:adjustRightInd w:val="0"/>
              <w:snapToGrid w:val="0"/>
              <w:spacing w:before="0" w:beforeAutospacing="0" w:after="0" w:afterAutospacing="0"/>
              <w:ind w:left="0" w:right="0"/>
              <w:jc w:val="center"/>
              <w:rPr>
                <w:rFonts w:hint="default" w:hAnsi="宋体"/>
                <w:kern w:val="0"/>
                <w:sz w:val="21"/>
                <w:szCs w:val="21"/>
                <w:highlight w:val="none"/>
              </w:rPr>
            </w:pPr>
          </w:p>
          <w:p w14:paraId="4AC6AF8A">
            <w:pPr>
              <w:keepNext w:val="0"/>
              <w:keepLines w:val="0"/>
              <w:suppressLineNumbers w:val="0"/>
              <w:adjustRightInd w:val="0"/>
              <w:snapToGrid w:val="0"/>
              <w:spacing w:before="0" w:beforeAutospacing="0" w:after="0" w:afterAutospacing="0"/>
              <w:ind w:left="0" w:right="0"/>
              <w:jc w:val="center"/>
              <w:rPr>
                <w:rFonts w:hint="default" w:hAnsi="宋体"/>
                <w:kern w:val="0"/>
                <w:sz w:val="21"/>
                <w:szCs w:val="21"/>
                <w:highlight w:val="none"/>
              </w:rPr>
            </w:pPr>
          </w:p>
          <w:p w14:paraId="54898A9C">
            <w:pPr>
              <w:keepNext w:val="0"/>
              <w:keepLines w:val="0"/>
              <w:suppressLineNumbers w:val="0"/>
              <w:adjustRightInd w:val="0"/>
              <w:snapToGrid w:val="0"/>
              <w:spacing w:before="0" w:beforeAutospacing="0" w:after="0" w:afterAutospacing="0"/>
              <w:ind w:left="0" w:right="0"/>
              <w:jc w:val="center"/>
              <w:rPr>
                <w:rFonts w:hint="default" w:hAnsi="宋体"/>
                <w:kern w:val="0"/>
                <w:sz w:val="21"/>
                <w:szCs w:val="21"/>
                <w:highlight w:val="none"/>
              </w:rPr>
            </w:pPr>
          </w:p>
          <w:p w14:paraId="5610D39A">
            <w:pPr>
              <w:keepNext w:val="0"/>
              <w:keepLines w:val="0"/>
              <w:suppressLineNumbers w:val="0"/>
              <w:adjustRightInd w:val="0"/>
              <w:snapToGrid w:val="0"/>
              <w:spacing w:before="0" w:beforeAutospacing="0" w:after="0" w:afterAutospacing="0"/>
              <w:ind w:left="0" w:right="0"/>
              <w:jc w:val="center"/>
              <w:rPr>
                <w:rFonts w:hint="default" w:hAnsi="宋体"/>
                <w:kern w:val="0"/>
                <w:sz w:val="21"/>
                <w:szCs w:val="21"/>
                <w:highlight w:val="none"/>
              </w:rPr>
            </w:pPr>
          </w:p>
          <w:p w14:paraId="500A47F6">
            <w:pPr>
              <w:keepNext w:val="0"/>
              <w:keepLines w:val="0"/>
              <w:suppressLineNumbers w:val="0"/>
              <w:adjustRightInd w:val="0"/>
              <w:snapToGrid w:val="0"/>
              <w:spacing w:before="0" w:beforeAutospacing="0" w:after="0" w:afterAutospacing="0"/>
              <w:ind w:left="0" w:right="0"/>
              <w:jc w:val="center"/>
              <w:rPr>
                <w:rFonts w:hint="default" w:hAnsi="宋体"/>
                <w:kern w:val="0"/>
                <w:sz w:val="21"/>
                <w:szCs w:val="21"/>
                <w:highlight w:val="none"/>
              </w:rPr>
            </w:pPr>
          </w:p>
          <w:p w14:paraId="2FF8C153">
            <w:pPr>
              <w:keepNext w:val="0"/>
              <w:keepLines w:val="0"/>
              <w:suppressLineNumbers w:val="0"/>
              <w:adjustRightInd w:val="0"/>
              <w:snapToGrid w:val="0"/>
              <w:spacing w:before="0" w:beforeAutospacing="0" w:after="0" w:afterAutospacing="0"/>
              <w:ind w:left="0" w:right="0"/>
              <w:jc w:val="center"/>
              <w:rPr>
                <w:rFonts w:hint="default" w:hAnsi="宋体"/>
                <w:kern w:val="0"/>
                <w:sz w:val="21"/>
                <w:szCs w:val="21"/>
                <w:highlight w:val="none"/>
              </w:rPr>
            </w:pPr>
          </w:p>
          <w:p w14:paraId="6AF3DDCF">
            <w:pPr>
              <w:keepNext w:val="0"/>
              <w:keepLines w:val="0"/>
              <w:suppressLineNumbers w:val="0"/>
              <w:adjustRightInd w:val="0"/>
              <w:snapToGrid w:val="0"/>
              <w:spacing w:before="0" w:beforeAutospacing="0" w:after="0" w:afterAutospacing="0"/>
              <w:ind w:left="0" w:right="0"/>
              <w:jc w:val="center"/>
              <w:rPr>
                <w:rFonts w:hint="default" w:hAnsi="宋体"/>
                <w:kern w:val="0"/>
                <w:sz w:val="21"/>
                <w:szCs w:val="21"/>
                <w:highlight w:val="none"/>
              </w:rPr>
            </w:pPr>
          </w:p>
          <w:p w14:paraId="306DD6EF">
            <w:pPr>
              <w:keepNext w:val="0"/>
              <w:keepLines w:val="0"/>
              <w:suppressLineNumbers w:val="0"/>
              <w:adjustRightInd w:val="0"/>
              <w:snapToGrid w:val="0"/>
              <w:spacing w:before="0" w:beforeAutospacing="0" w:after="0" w:afterAutospacing="0"/>
              <w:ind w:left="0" w:right="0"/>
              <w:jc w:val="center"/>
              <w:rPr>
                <w:rFonts w:hint="default" w:hAnsi="宋体"/>
                <w:kern w:val="0"/>
                <w:sz w:val="21"/>
                <w:szCs w:val="21"/>
                <w:highlight w:val="none"/>
              </w:rPr>
            </w:pPr>
          </w:p>
          <w:p w14:paraId="2928C7FA">
            <w:pPr>
              <w:keepNext w:val="0"/>
              <w:keepLines w:val="0"/>
              <w:suppressLineNumbers w:val="0"/>
              <w:adjustRightInd w:val="0"/>
              <w:snapToGrid w:val="0"/>
              <w:spacing w:before="0" w:beforeAutospacing="0" w:after="0" w:afterAutospacing="0"/>
              <w:ind w:left="0" w:right="0"/>
              <w:jc w:val="center"/>
              <w:rPr>
                <w:rFonts w:hint="default"/>
                <w:kern w:val="0"/>
                <w:sz w:val="21"/>
                <w:szCs w:val="21"/>
                <w:highlight w:val="none"/>
              </w:rPr>
            </w:pPr>
            <w:r>
              <w:rPr>
                <w:rFonts w:hint="eastAsia" w:hAnsi="宋体"/>
                <w:kern w:val="0"/>
                <w:sz w:val="21"/>
                <w:szCs w:val="21"/>
                <w:highlight w:val="none"/>
              </w:rPr>
              <w:t>污染</w:t>
            </w:r>
          </w:p>
          <w:p w14:paraId="7163A019">
            <w:pPr>
              <w:keepNext w:val="0"/>
              <w:keepLines w:val="0"/>
              <w:suppressLineNumbers w:val="0"/>
              <w:adjustRightInd w:val="0"/>
              <w:snapToGrid w:val="0"/>
              <w:spacing w:before="0" w:beforeAutospacing="0" w:after="0" w:afterAutospacing="0"/>
              <w:ind w:left="0" w:right="0"/>
              <w:jc w:val="center"/>
              <w:rPr>
                <w:rFonts w:hint="default"/>
                <w:kern w:val="0"/>
                <w:sz w:val="21"/>
                <w:szCs w:val="21"/>
                <w:highlight w:val="none"/>
              </w:rPr>
            </w:pPr>
            <w:r>
              <w:rPr>
                <w:rFonts w:hint="eastAsia" w:hAnsi="宋体"/>
                <w:kern w:val="0"/>
                <w:sz w:val="21"/>
                <w:szCs w:val="21"/>
                <w:highlight w:val="none"/>
              </w:rPr>
              <w:t>物排</w:t>
            </w:r>
          </w:p>
          <w:p w14:paraId="1AB89DC8">
            <w:pPr>
              <w:keepNext w:val="0"/>
              <w:keepLines w:val="0"/>
              <w:suppressLineNumbers w:val="0"/>
              <w:adjustRightInd w:val="0"/>
              <w:snapToGrid w:val="0"/>
              <w:spacing w:before="0" w:beforeAutospacing="0" w:after="0" w:afterAutospacing="0"/>
              <w:ind w:left="0" w:right="0"/>
              <w:jc w:val="center"/>
              <w:rPr>
                <w:rFonts w:hint="default"/>
                <w:kern w:val="0"/>
                <w:sz w:val="21"/>
                <w:szCs w:val="21"/>
                <w:highlight w:val="none"/>
              </w:rPr>
            </w:pPr>
            <w:r>
              <w:rPr>
                <w:rFonts w:hint="eastAsia" w:hAnsi="宋体"/>
                <w:kern w:val="0"/>
                <w:sz w:val="21"/>
                <w:szCs w:val="21"/>
                <w:highlight w:val="none"/>
              </w:rPr>
              <w:t>放控</w:t>
            </w:r>
          </w:p>
          <w:p w14:paraId="0204F9F0">
            <w:pPr>
              <w:keepNext w:val="0"/>
              <w:keepLines w:val="0"/>
              <w:suppressLineNumbers w:val="0"/>
              <w:adjustRightInd w:val="0"/>
              <w:snapToGrid w:val="0"/>
              <w:spacing w:before="0" w:beforeAutospacing="0" w:after="0" w:afterAutospacing="0"/>
              <w:ind w:left="0" w:right="0"/>
              <w:jc w:val="center"/>
              <w:rPr>
                <w:rFonts w:hint="default"/>
                <w:kern w:val="0"/>
                <w:sz w:val="21"/>
                <w:szCs w:val="21"/>
                <w:highlight w:val="none"/>
              </w:rPr>
            </w:pPr>
            <w:r>
              <w:rPr>
                <w:rFonts w:hint="eastAsia" w:hAnsi="宋体"/>
                <w:kern w:val="0"/>
                <w:sz w:val="21"/>
                <w:szCs w:val="21"/>
                <w:highlight w:val="none"/>
              </w:rPr>
              <w:t>制标</w:t>
            </w:r>
          </w:p>
          <w:p w14:paraId="2795AFE5">
            <w:pPr>
              <w:keepNext w:val="0"/>
              <w:keepLines w:val="0"/>
              <w:suppressLineNumbers w:val="0"/>
              <w:adjustRightInd w:val="0"/>
              <w:snapToGrid w:val="0"/>
              <w:spacing w:before="0" w:beforeAutospacing="0" w:after="0" w:afterAutospacing="0"/>
              <w:ind w:left="0" w:right="0"/>
              <w:jc w:val="center"/>
              <w:rPr>
                <w:rFonts w:hint="default" w:hAnsi="宋体"/>
                <w:kern w:val="0"/>
                <w:sz w:val="21"/>
                <w:szCs w:val="21"/>
                <w:highlight w:val="none"/>
              </w:rPr>
            </w:pPr>
            <w:r>
              <w:rPr>
                <w:rFonts w:hint="eastAsia" w:hAnsi="宋体"/>
                <w:kern w:val="0"/>
                <w:sz w:val="21"/>
                <w:szCs w:val="21"/>
                <w:highlight w:val="none"/>
              </w:rPr>
              <w:t>准</w:t>
            </w:r>
          </w:p>
          <w:p w14:paraId="4B17F30C">
            <w:pPr>
              <w:keepNext w:val="0"/>
              <w:keepLines w:val="0"/>
              <w:suppressLineNumbers w:val="0"/>
              <w:adjustRightInd w:val="0"/>
              <w:snapToGrid w:val="0"/>
              <w:spacing w:before="0" w:beforeAutospacing="0" w:after="0" w:afterAutospacing="0"/>
              <w:ind w:left="0" w:right="0"/>
              <w:jc w:val="center"/>
              <w:rPr>
                <w:rFonts w:hint="default" w:hAnsi="宋体"/>
                <w:kern w:val="0"/>
                <w:sz w:val="21"/>
                <w:szCs w:val="21"/>
                <w:highlight w:val="none"/>
              </w:rPr>
            </w:pPr>
          </w:p>
          <w:p w14:paraId="3D3D20D6">
            <w:pPr>
              <w:keepNext w:val="0"/>
              <w:keepLines w:val="0"/>
              <w:suppressLineNumbers w:val="0"/>
              <w:adjustRightInd w:val="0"/>
              <w:snapToGrid w:val="0"/>
              <w:spacing w:before="0" w:beforeAutospacing="0" w:after="0" w:afterAutospacing="0"/>
              <w:ind w:left="0" w:right="0"/>
              <w:jc w:val="center"/>
              <w:rPr>
                <w:rFonts w:hint="default"/>
                <w:kern w:val="0"/>
                <w:sz w:val="21"/>
                <w:szCs w:val="21"/>
                <w:highlight w:val="none"/>
              </w:rPr>
            </w:pPr>
          </w:p>
          <w:p w14:paraId="1C5BB556">
            <w:pPr>
              <w:keepNext w:val="0"/>
              <w:keepLines w:val="0"/>
              <w:suppressLineNumbers w:val="0"/>
              <w:adjustRightInd w:val="0"/>
              <w:snapToGrid w:val="0"/>
              <w:spacing w:before="0" w:beforeAutospacing="0" w:after="0" w:afterAutospacing="0"/>
              <w:ind w:left="0" w:right="0"/>
              <w:jc w:val="center"/>
              <w:rPr>
                <w:rFonts w:hint="default"/>
                <w:kern w:val="0"/>
                <w:sz w:val="21"/>
                <w:szCs w:val="21"/>
                <w:highlight w:val="none"/>
              </w:rPr>
            </w:pPr>
          </w:p>
          <w:p w14:paraId="7FFB6F3B">
            <w:pPr>
              <w:keepNext w:val="0"/>
              <w:keepLines w:val="0"/>
              <w:suppressLineNumbers w:val="0"/>
              <w:adjustRightInd w:val="0"/>
              <w:snapToGrid w:val="0"/>
              <w:spacing w:before="0" w:beforeAutospacing="0" w:after="0" w:afterAutospacing="0"/>
              <w:ind w:left="0" w:right="0"/>
              <w:jc w:val="center"/>
              <w:rPr>
                <w:rFonts w:hint="default"/>
                <w:kern w:val="0"/>
                <w:sz w:val="21"/>
                <w:szCs w:val="21"/>
                <w:highlight w:val="none"/>
              </w:rPr>
            </w:pPr>
          </w:p>
          <w:p w14:paraId="684B64D6">
            <w:pPr>
              <w:keepNext w:val="0"/>
              <w:keepLines w:val="0"/>
              <w:suppressLineNumbers w:val="0"/>
              <w:adjustRightInd w:val="0"/>
              <w:snapToGrid w:val="0"/>
              <w:spacing w:before="0" w:beforeAutospacing="0" w:after="0" w:afterAutospacing="0"/>
              <w:ind w:left="0" w:right="0"/>
              <w:jc w:val="center"/>
              <w:rPr>
                <w:rFonts w:hint="default" w:hAnsi="宋体"/>
                <w:kern w:val="0"/>
                <w:sz w:val="21"/>
                <w:szCs w:val="21"/>
                <w:highlight w:val="none"/>
              </w:rPr>
            </w:pPr>
          </w:p>
          <w:p w14:paraId="5D7A9167">
            <w:pPr>
              <w:keepNext w:val="0"/>
              <w:keepLines w:val="0"/>
              <w:suppressLineNumbers w:val="0"/>
              <w:adjustRightInd w:val="0"/>
              <w:snapToGrid w:val="0"/>
              <w:spacing w:before="0" w:beforeAutospacing="0" w:after="0" w:afterAutospacing="0"/>
              <w:ind w:left="0" w:right="0"/>
              <w:jc w:val="center"/>
              <w:rPr>
                <w:rFonts w:hint="default" w:hAnsi="宋体"/>
                <w:kern w:val="0"/>
                <w:sz w:val="21"/>
                <w:szCs w:val="21"/>
                <w:highlight w:val="none"/>
              </w:rPr>
            </w:pPr>
          </w:p>
          <w:p w14:paraId="3DD66A17">
            <w:pPr>
              <w:keepNext w:val="0"/>
              <w:keepLines w:val="0"/>
              <w:suppressLineNumbers w:val="0"/>
              <w:adjustRightInd w:val="0"/>
              <w:snapToGrid w:val="0"/>
              <w:spacing w:before="0" w:beforeAutospacing="0" w:after="0" w:afterAutospacing="0"/>
              <w:ind w:left="0" w:right="0"/>
              <w:jc w:val="center"/>
              <w:rPr>
                <w:rFonts w:hint="default" w:hAnsi="宋体"/>
                <w:kern w:val="0"/>
                <w:sz w:val="21"/>
                <w:szCs w:val="21"/>
                <w:highlight w:val="none"/>
              </w:rPr>
            </w:pPr>
          </w:p>
          <w:p w14:paraId="221FF523">
            <w:pPr>
              <w:keepNext w:val="0"/>
              <w:keepLines w:val="0"/>
              <w:suppressLineNumbers w:val="0"/>
              <w:adjustRightInd w:val="0"/>
              <w:snapToGrid w:val="0"/>
              <w:spacing w:before="0" w:beforeAutospacing="0" w:after="0" w:afterAutospacing="0"/>
              <w:ind w:left="0" w:right="0"/>
              <w:jc w:val="center"/>
              <w:rPr>
                <w:rFonts w:hint="default" w:hAnsi="宋体"/>
                <w:kern w:val="0"/>
                <w:sz w:val="21"/>
                <w:szCs w:val="21"/>
                <w:highlight w:val="none"/>
              </w:rPr>
            </w:pPr>
          </w:p>
          <w:p w14:paraId="0D5C05F7">
            <w:pPr>
              <w:keepNext w:val="0"/>
              <w:keepLines w:val="0"/>
              <w:suppressLineNumbers w:val="0"/>
              <w:adjustRightInd w:val="0"/>
              <w:snapToGrid w:val="0"/>
              <w:spacing w:before="0" w:beforeAutospacing="0" w:after="0" w:afterAutospacing="0"/>
              <w:ind w:left="0" w:right="0"/>
              <w:jc w:val="center"/>
              <w:rPr>
                <w:rFonts w:hint="default" w:hAnsi="宋体"/>
                <w:kern w:val="0"/>
                <w:sz w:val="21"/>
                <w:szCs w:val="21"/>
                <w:highlight w:val="none"/>
              </w:rPr>
            </w:pPr>
          </w:p>
          <w:p w14:paraId="0FB86254">
            <w:pPr>
              <w:keepNext w:val="0"/>
              <w:keepLines w:val="0"/>
              <w:suppressLineNumbers w:val="0"/>
              <w:adjustRightInd w:val="0"/>
              <w:snapToGrid w:val="0"/>
              <w:spacing w:before="0" w:beforeAutospacing="0" w:after="0" w:afterAutospacing="0"/>
              <w:ind w:left="0" w:right="0"/>
              <w:jc w:val="center"/>
              <w:rPr>
                <w:rFonts w:hint="default" w:hAnsi="宋体"/>
                <w:kern w:val="0"/>
                <w:sz w:val="21"/>
                <w:szCs w:val="21"/>
                <w:highlight w:val="none"/>
              </w:rPr>
            </w:pPr>
          </w:p>
          <w:p w14:paraId="1FACBBF2">
            <w:pPr>
              <w:keepNext w:val="0"/>
              <w:keepLines w:val="0"/>
              <w:suppressLineNumbers w:val="0"/>
              <w:adjustRightInd w:val="0"/>
              <w:snapToGrid w:val="0"/>
              <w:spacing w:before="0" w:beforeAutospacing="0" w:after="0" w:afterAutospacing="0"/>
              <w:ind w:left="0" w:right="0"/>
              <w:jc w:val="center"/>
              <w:rPr>
                <w:rFonts w:hint="default" w:hAnsi="宋体"/>
                <w:kern w:val="0"/>
                <w:sz w:val="21"/>
                <w:szCs w:val="21"/>
                <w:highlight w:val="none"/>
              </w:rPr>
            </w:pPr>
          </w:p>
          <w:p w14:paraId="4B2CDC6A">
            <w:pPr>
              <w:keepNext w:val="0"/>
              <w:keepLines w:val="0"/>
              <w:suppressLineNumbers w:val="0"/>
              <w:adjustRightInd w:val="0"/>
              <w:snapToGrid w:val="0"/>
              <w:spacing w:before="0" w:beforeAutospacing="0" w:after="0" w:afterAutospacing="0"/>
              <w:ind w:left="0" w:right="0"/>
              <w:jc w:val="center"/>
              <w:rPr>
                <w:rFonts w:hint="default" w:hAnsi="宋体"/>
                <w:kern w:val="0"/>
                <w:sz w:val="21"/>
                <w:szCs w:val="21"/>
                <w:highlight w:val="none"/>
              </w:rPr>
            </w:pPr>
          </w:p>
          <w:p w14:paraId="62F12F4F">
            <w:pPr>
              <w:keepNext w:val="0"/>
              <w:keepLines w:val="0"/>
              <w:suppressLineNumbers w:val="0"/>
              <w:adjustRightInd w:val="0"/>
              <w:snapToGrid w:val="0"/>
              <w:spacing w:before="0" w:beforeAutospacing="0" w:after="0" w:afterAutospacing="0"/>
              <w:ind w:left="0" w:right="0"/>
              <w:jc w:val="center"/>
              <w:rPr>
                <w:rFonts w:hint="default" w:hAnsi="宋体"/>
                <w:kern w:val="0"/>
                <w:sz w:val="21"/>
                <w:szCs w:val="21"/>
                <w:highlight w:val="none"/>
              </w:rPr>
            </w:pPr>
          </w:p>
          <w:p w14:paraId="64A367C2">
            <w:pPr>
              <w:keepNext w:val="0"/>
              <w:keepLines w:val="0"/>
              <w:suppressLineNumbers w:val="0"/>
              <w:adjustRightInd w:val="0"/>
              <w:snapToGrid w:val="0"/>
              <w:spacing w:before="0" w:beforeAutospacing="0" w:after="0" w:afterAutospacing="0"/>
              <w:ind w:left="0" w:right="0"/>
              <w:jc w:val="center"/>
              <w:rPr>
                <w:rFonts w:hint="default" w:hAnsi="宋体"/>
                <w:kern w:val="0"/>
                <w:sz w:val="21"/>
                <w:szCs w:val="21"/>
                <w:highlight w:val="none"/>
              </w:rPr>
            </w:pPr>
          </w:p>
          <w:p w14:paraId="4E4C076F">
            <w:pPr>
              <w:keepNext w:val="0"/>
              <w:keepLines w:val="0"/>
              <w:suppressLineNumbers w:val="0"/>
              <w:adjustRightInd w:val="0"/>
              <w:snapToGrid w:val="0"/>
              <w:spacing w:before="0" w:beforeAutospacing="0" w:after="0" w:afterAutospacing="0"/>
              <w:ind w:left="0" w:right="0"/>
              <w:jc w:val="center"/>
              <w:rPr>
                <w:rFonts w:hint="default" w:hAnsi="宋体"/>
                <w:kern w:val="0"/>
                <w:sz w:val="21"/>
                <w:szCs w:val="21"/>
                <w:highlight w:val="none"/>
              </w:rPr>
            </w:pPr>
          </w:p>
          <w:p w14:paraId="12ED7168">
            <w:pPr>
              <w:keepNext w:val="0"/>
              <w:keepLines w:val="0"/>
              <w:suppressLineNumbers w:val="0"/>
              <w:adjustRightInd w:val="0"/>
              <w:snapToGrid w:val="0"/>
              <w:spacing w:before="0" w:beforeAutospacing="0" w:after="0" w:afterAutospacing="0"/>
              <w:ind w:left="0" w:right="0"/>
              <w:jc w:val="center"/>
              <w:rPr>
                <w:rFonts w:hint="default" w:hAnsi="宋体"/>
                <w:kern w:val="0"/>
                <w:sz w:val="21"/>
                <w:szCs w:val="21"/>
                <w:highlight w:val="none"/>
              </w:rPr>
            </w:pPr>
          </w:p>
          <w:p w14:paraId="100D87D0">
            <w:pPr>
              <w:keepNext w:val="0"/>
              <w:keepLines w:val="0"/>
              <w:suppressLineNumbers w:val="0"/>
              <w:adjustRightInd w:val="0"/>
              <w:snapToGrid w:val="0"/>
              <w:spacing w:before="0" w:beforeAutospacing="0" w:after="0" w:afterAutospacing="0"/>
              <w:ind w:left="0" w:right="0"/>
              <w:jc w:val="center"/>
              <w:rPr>
                <w:rFonts w:hint="default" w:hAnsi="宋体"/>
                <w:kern w:val="0"/>
                <w:sz w:val="21"/>
                <w:szCs w:val="21"/>
                <w:highlight w:val="none"/>
              </w:rPr>
            </w:pPr>
          </w:p>
          <w:p w14:paraId="5248E7A3">
            <w:pPr>
              <w:keepNext w:val="0"/>
              <w:keepLines w:val="0"/>
              <w:suppressLineNumbers w:val="0"/>
              <w:adjustRightInd w:val="0"/>
              <w:snapToGrid w:val="0"/>
              <w:spacing w:before="0" w:beforeAutospacing="0" w:after="0" w:afterAutospacing="0"/>
              <w:ind w:left="0" w:right="0"/>
              <w:jc w:val="center"/>
              <w:rPr>
                <w:rFonts w:hint="default" w:hAnsi="宋体"/>
                <w:kern w:val="0"/>
                <w:sz w:val="21"/>
                <w:szCs w:val="21"/>
                <w:highlight w:val="none"/>
              </w:rPr>
            </w:pPr>
          </w:p>
          <w:p w14:paraId="194DE3EB">
            <w:pPr>
              <w:keepNext w:val="0"/>
              <w:keepLines w:val="0"/>
              <w:suppressLineNumbers w:val="0"/>
              <w:adjustRightInd w:val="0"/>
              <w:snapToGrid w:val="0"/>
              <w:spacing w:before="0" w:beforeAutospacing="0" w:after="0" w:afterAutospacing="0"/>
              <w:ind w:left="0" w:right="0"/>
              <w:jc w:val="center"/>
              <w:rPr>
                <w:rFonts w:hint="default" w:hAnsi="宋体"/>
                <w:kern w:val="0"/>
                <w:sz w:val="21"/>
                <w:szCs w:val="21"/>
                <w:highlight w:val="none"/>
              </w:rPr>
            </w:pPr>
          </w:p>
          <w:p w14:paraId="1F1BDD8C">
            <w:pPr>
              <w:keepNext w:val="0"/>
              <w:keepLines w:val="0"/>
              <w:suppressLineNumbers w:val="0"/>
              <w:adjustRightInd w:val="0"/>
              <w:snapToGrid w:val="0"/>
              <w:spacing w:before="0" w:beforeAutospacing="0" w:after="0" w:afterAutospacing="0"/>
              <w:ind w:left="0" w:right="0"/>
              <w:jc w:val="center"/>
              <w:rPr>
                <w:rFonts w:hint="default" w:hAnsi="宋体"/>
                <w:kern w:val="0"/>
                <w:sz w:val="21"/>
                <w:szCs w:val="21"/>
                <w:highlight w:val="none"/>
              </w:rPr>
            </w:pPr>
          </w:p>
          <w:p w14:paraId="6FF66177">
            <w:pPr>
              <w:keepNext w:val="0"/>
              <w:keepLines w:val="0"/>
              <w:suppressLineNumbers w:val="0"/>
              <w:adjustRightInd w:val="0"/>
              <w:snapToGrid w:val="0"/>
              <w:spacing w:before="0" w:beforeAutospacing="0" w:after="0" w:afterAutospacing="0"/>
              <w:ind w:left="0" w:right="0"/>
              <w:jc w:val="center"/>
              <w:rPr>
                <w:rFonts w:hint="default" w:hAnsi="宋体"/>
                <w:kern w:val="0"/>
                <w:sz w:val="21"/>
                <w:szCs w:val="21"/>
                <w:highlight w:val="none"/>
              </w:rPr>
            </w:pPr>
          </w:p>
          <w:p w14:paraId="47441F94">
            <w:pPr>
              <w:keepNext w:val="0"/>
              <w:keepLines w:val="0"/>
              <w:suppressLineNumbers w:val="0"/>
              <w:adjustRightInd w:val="0"/>
              <w:snapToGrid w:val="0"/>
              <w:spacing w:before="0" w:beforeAutospacing="0" w:after="0" w:afterAutospacing="0"/>
              <w:ind w:left="0" w:right="0"/>
              <w:jc w:val="center"/>
              <w:rPr>
                <w:rFonts w:hint="default" w:hAnsi="宋体"/>
                <w:kern w:val="0"/>
                <w:sz w:val="21"/>
                <w:szCs w:val="21"/>
                <w:highlight w:val="none"/>
              </w:rPr>
            </w:pPr>
          </w:p>
          <w:p w14:paraId="498212B2">
            <w:pPr>
              <w:keepNext w:val="0"/>
              <w:keepLines w:val="0"/>
              <w:suppressLineNumbers w:val="0"/>
              <w:adjustRightInd w:val="0"/>
              <w:snapToGrid w:val="0"/>
              <w:spacing w:before="0" w:beforeAutospacing="0" w:after="0" w:afterAutospacing="0"/>
              <w:ind w:left="0" w:right="0"/>
              <w:jc w:val="center"/>
              <w:rPr>
                <w:rFonts w:hint="default" w:hAnsi="宋体"/>
                <w:kern w:val="0"/>
                <w:sz w:val="21"/>
                <w:szCs w:val="21"/>
                <w:highlight w:val="none"/>
              </w:rPr>
            </w:pPr>
          </w:p>
          <w:p w14:paraId="611A27F1">
            <w:pPr>
              <w:keepNext w:val="0"/>
              <w:keepLines w:val="0"/>
              <w:suppressLineNumbers w:val="0"/>
              <w:adjustRightInd w:val="0"/>
              <w:snapToGrid w:val="0"/>
              <w:spacing w:before="0" w:beforeAutospacing="0" w:after="0" w:afterAutospacing="0"/>
              <w:ind w:left="0" w:right="0"/>
              <w:jc w:val="center"/>
              <w:rPr>
                <w:rFonts w:hint="default" w:hAnsi="宋体"/>
                <w:kern w:val="0"/>
                <w:sz w:val="21"/>
                <w:szCs w:val="21"/>
                <w:highlight w:val="none"/>
              </w:rPr>
            </w:pPr>
          </w:p>
          <w:p w14:paraId="3EA1B98A">
            <w:pPr>
              <w:keepNext w:val="0"/>
              <w:keepLines w:val="0"/>
              <w:suppressLineNumbers w:val="0"/>
              <w:adjustRightInd w:val="0"/>
              <w:snapToGrid w:val="0"/>
              <w:spacing w:before="0" w:beforeAutospacing="0" w:after="0" w:afterAutospacing="0"/>
              <w:ind w:left="0" w:right="0"/>
              <w:jc w:val="center"/>
              <w:rPr>
                <w:rFonts w:hint="default" w:hAnsi="宋体"/>
                <w:kern w:val="0"/>
                <w:sz w:val="21"/>
                <w:szCs w:val="21"/>
                <w:highlight w:val="none"/>
              </w:rPr>
            </w:pPr>
          </w:p>
          <w:p w14:paraId="22AC5B83">
            <w:pPr>
              <w:keepNext w:val="0"/>
              <w:keepLines w:val="0"/>
              <w:suppressLineNumbers w:val="0"/>
              <w:adjustRightInd w:val="0"/>
              <w:snapToGrid w:val="0"/>
              <w:spacing w:before="0" w:beforeAutospacing="0" w:after="0" w:afterAutospacing="0"/>
              <w:ind w:left="0" w:right="0"/>
              <w:jc w:val="center"/>
              <w:rPr>
                <w:rFonts w:hint="default"/>
                <w:kern w:val="0"/>
                <w:sz w:val="21"/>
                <w:szCs w:val="21"/>
                <w:highlight w:val="none"/>
              </w:rPr>
            </w:pPr>
          </w:p>
          <w:p w14:paraId="7AE48D91">
            <w:pPr>
              <w:keepNext w:val="0"/>
              <w:keepLines w:val="0"/>
              <w:suppressLineNumbers w:val="0"/>
              <w:adjustRightInd w:val="0"/>
              <w:snapToGrid w:val="0"/>
              <w:spacing w:before="0" w:beforeAutospacing="0" w:after="0" w:afterAutospacing="0"/>
              <w:ind w:left="0" w:right="0"/>
              <w:jc w:val="center"/>
              <w:rPr>
                <w:rFonts w:hint="default"/>
                <w:kern w:val="0"/>
                <w:sz w:val="21"/>
                <w:szCs w:val="21"/>
                <w:highlight w:val="none"/>
              </w:rPr>
            </w:pPr>
          </w:p>
          <w:p w14:paraId="7A2CCF44">
            <w:pPr>
              <w:keepNext w:val="0"/>
              <w:keepLines w:val="0"/>
              <w:suppressLineNumbers w:val="0"/>
              <w:adjustRightInd w:val="0"/>
              <w:snapToGrid w:val="0"/>
              <w:spacing w:before="0" w:beforeAutospacing="0" w:after="0" w:afterAutospacing="0"/>
              <w:ind w:left="0" w:right="0"/>
              <w:jc w:val="center"/>
              <w:rPr>
                <w:rFonts w:hint="default"/>
                <w:kern w:val="0"/>
                <w:sz w:val="21"/>
                <w:szCs w:val="21"/>
                <w:highlight w:val="none"/>
              </w:rPr>
            </w:pPr>
          </w:p>
          <w:p w14:paraId="255AEA22">
            <w:pPr>
              <w:keepNext w:val="0"/>
              <w:keepLines w:val="0"/>
              <w:suppressLineNumbers w:val="0"/>
              <w:adjustRightInd w:val="0"/>
              <w:snapToGrid w:val="0"/>
              <w:spacing w:before="0" w:beforeAutospacing="0" w:after="0" w:afterAutospacing="0"/>
              <w:ind w:left="0" w:right="0"/>
              <w:jc w:val="center"/>
              <w:rPr>
                <w:rFonts w:hint="default" w:hAnsi="宋体"/>
                <w:kern w:val="0"/>
                <w:sz w:val="21"/>
                <w:szCs w:val="21"/>
                <w:highlight w:val="none"/>
              </w:rPr>
            </w:pPr>
          </w:p>
          <w:p w14:paraId="27F9D44D">
            <w:pPr>
              <w:keepNext w:val="0"/>
              <w:keepLines w:val="0"/>
              <w:suppressLineNumbers w:val="0"/>
              <w:adjustRightInd w:val="0"/>
              <w:snapToGrid w:val="0"/>
              <w:spacing w:before="0" w:beforeAutospacing="0" w:after="0" w:afterAutospacing="0"/>
              <w:ind w:left="0" w:right="0"/>
              <w:jc w:val="center"/>
              <w:rPr>
                <w:rFonts w:hint="default"/>
                <w:kern w:val="0"/>
                <w:sz w:val="21"/>
                <w:szCs w:val="21"/>
                <w:highlight w:val="none"/>
              </w:rPr>
            </w:pPr>
          </w:p>
          <w:p w14:paraId="585990C3">
            <w:pPr>
              <w:keepNext w:val="0"/>
              <w:keepLines w:val="0"/>
              <w:suppressLineNumbers w:val="0"/>
              <w:adjustRightInd w:val="0"/>
              <w:snapToGrid w:val="0"/>
              <w:spacing w:before="0" w:beforeAutospacing="0" w:after="0" w:afterAutospacing="0"/>
              <w:ind w:left="0" w:right="0"/>
              <w:jc w:val="center"/>
              <w:rPr>
                <w:rFonts w:hint="default"/>
                <w:kern w:val="0"/>
                <w:sz w:val="21"/>
                <w:szCs w:val="21"/>
                <w:highlight w:val="none"/>
              </w:rPr>
            </w:pPr>
          </w:p>
          <w:p w14:paraId="7E74902F">
            <w:pPr>
              <w:keepNext w:val="0"/>
              <w:keepLines w:val="0"/>
              <w:suppressLineNumbers w:val="0"/>
              <w:adjustRightInd w:val="0"/>
              <w:snapToGrid w:val="0"/>
              <w:spacing w:before="0" w:beforeAutospacing="0" w:after="0" w:afterAutospacing="0"/>
              <w:ind w:left="0" w:right="0"/>
              <w:jc w:val="center"/>
              <w:rPr>
                <w:rFonts w:hint="default"/>
                <w:kern w:val="0"/>
                <w:sz w:val="21"/>
                <w:szCs w:val="21"/>
                <w:highlight w:val="none"/>
              </w:rPr>
            </w:pPr>
          </w:p>
          <w:p w14:paraId="40CCC567">
            <w:pPr>
              <w:keepNext w:val="0"/>
              <w:keepLines w:val="0"/>
              <w:suppressLineNumbers w:val="0"/>
              <w:adjustRightInd w:val="0"/>
              <w:snapToGrid w:val="0"/>
              <w:spacing w:before="0" w:beforeAutospacing="0" w:after="0" w:afterAutospacing="0"/>
              <w:ind w:left="0" w:right="0"/>
              <w:jc w:val="center"/>
              <w:rPr>
                <w:rFonts w:hint="default"/>
                <w:kern w:val="0"/>
                <w:sz w:val="21"/>
                <w:szCs w:val="21"/>
                <w:highlight w:val="none"/>
              </w:rPr>
            </w:pPr>
          </w:p>
          <w:p w14:paraId="72EAD38F">
            <w:pPr>
              <w:keepNext w:val="0"/>
              <w:keepLines w:val="0"/>
              <w:suppressLineNumbers w:val="0"/>
              <w:adjustRightInd w:val="0"/>
              <w:snapToGrid w:val="0"/>
              <w:spacing w:before="0" w:beforeAutospacing="0" w:after="0" w:afterAutospacing="0"/>
              <w:ind w:left="0" w:right="0"/>
              <w:jc w:val="center"/>
              <w:rPr>
                <w:rFonts w:hint="default"/>
                <w:kern w:val="0"/>
                <w:sz w:val="21"/>
                <w:szCs w:val="21"/>
                <w:highlight w:val="none"/>
              </w:rPr>
            </w:pPr>
          </w:p>
          <w:p w14:paraId="5DEB4E4E">
            <w:pPr>
              <w:keepNext w:val="0"/>
              <w:keepLines w:val="0"/>
              <w:suppressLineNumbers w:val="0"/>
              <w:adjustRightInd w:val="0"/>
              <w:snapToGrid w:val="0"/>
              <w:spacing w:before="0" w:beforeAutospacing="0" w:after="0" w:afterAutospacing="0"/>
              <w:ind w:left="0" w:right="0"/>
              <w:jc w:val="center"/>
              <w:rPr>
                <w:rFonts w:hint="default" w:hAnsi="宋体"/>
                <w:kern w:val="0"/>
                <w:sz w:val="21"/>
                <w:szCs w:val="21"/>
                <w:highlight w:val="none"/>
              </w:rPr>
            </w:pPr>
          </w:p>
          <w:p w14:paraId="1D2213D8">
            <w:pPr>
              <w:keepNext w:val="0"/>
              <w:keepLines w:val="0"/>
              <w:suppressLineNumbers w:val="0"/>
              <w:adjustRightInd w:val="0"/>
              <w:snapToGrid w:val="0"/>
              <w:spacing w:before="0" w:beforeAutospacing="0" w:after="0" w:afterAutospacing="0"/>
              <w:ind w:left="0" w:right="0"/>
              <w:jc w:val="center"/>
              <w:rPr>
                <w:rFonts w:hint="default"/>
                <w:kern w:val="0"/>
                <w:sz w:val="21"/>
                <w:szCs w:val="21"/>
                <w:highlight w:val="none"/>
              </w:rPr>
            </w:pPr>
          </w:p>
          <w:p w14:paraId="63107493">
            <w:pPr>
              <w:keepNext w:val="0"/>
              <w:keepLines w:val="0"/>
              <w:suppressLineNumbers w:val="0"/>
              <w:adjustRightInd w:val="0"/>
              <w:snapToGrid w:val="0"/>
              <w:spacing w:before="0" w:beforeAutospacing="0" w:after="0" w:afterAutospacing="0"/>
              <w:ind w:left="0" w:right="0"/>
              <w:jc w:val="center"/>
              <w:rPr>
                <w:rFonts w:hint="default"/>
                <w:kern w:val="0"/>
                <w:sz w:val="21"/>
                <w:szCs w:val="21"/>
                <w:highlight w:val="none"/>
              </w:rPr>
            </w:pPr>
          </w:p>
          <w:p w14:paraId="41F5FD1A">
            <w:pPr>
              <w:keepNext w:val="0"/>
              <w:keepLines w:val="0"/>
              <w:suppressLineNumbers w:val="0"/>
              <w:adjustRightInd w:val="0"/>
              <w:snapToGrid w:val="0"/>
              <w:spacing w:before="0" w:beforeAutospacing="0" w:after="0" w:afterAutospacing="0"/>
              <w:ind w:left="0" w:right="0"/>
              <w:jc w:val="center"/>
              <w:rPr>
                <w:rFonts w:hint="default"/>
                <w:kern w:val="0"/>
                <w:sz w:val="21"/>
                <w:szCs w:val="21"/>
                <w:highlight w:val="none"/>
              </w:rPr>
            </w:pPr>
          </w:p>
          <w:p w14:paraId="520663A6">
            <w:pPr>
              <w:keepNext w:val="0"/>
              <w:keepLines w:val="0"/>
              <w:suppressLineNumbers w:val="0"/>
              <w:adjustRightInd w:val="0"/>
              <w:snapToGrid w:val="0"/>
              <w:spacing w:before="0" w:beforeAutospacing="0" w:after="0" w:afterAutospacing="0"/>
              <w:ind w:left="0" w:right="0"/>
              <w:jc w:val="center"/>
              <w:rPr>
                <w:rFonts w:hint="default"/>
                <w:kern w:val="0"/>
                <w:sz w:val="21"/>
                <w:szCs w:val="21"/>
                <w:highlight w:val="none"/>
              </w:rPr>
            </w:pPr>
          </w:p>
          <w:p w14:paraId="0416D584">
            <w:pPr>
              <w:keepNext w:val="0"/>
              <w:keepLines w:val="0"/>
              <w:suppressLineNumbers w:val="0"/>
              <w:adjustRightInd w:val="0"/>
              <w:snapToGrid w:val="0"/>
              <w:spacing w:before="0" w:beforeAutospacing="0" w:after="0" w:afterAutospacing="0"/>
              <w:ind w:left="0" w:right="0"/>
              <w:jc w:val="center"/>
              <w:rPr>
                <w:rFonts w:hint="default" w:hAnsi="宋体"/>
                <w:kern w:val="0"/>
                <w:sz w:val="21"/>
                <w:szCs w:val="21"/>
                <w:highlight w:val="none"/>
              </w:rPr>
            </w:pPr>
          </w:p>
          <w:p w14:paraId="4514C7A2">
            <w:pPr>
              <w:keepNext w:val="0"/>
              <w:keepLines w:val="0"/>
              <w:suppressLineNumbers w:val="0"/>
              <w:adjustRightInd w:val="0"/>
              <w:snapToGrid w:val="0"/>
              <w:spacing w:before="0" w:beforeAutospacing="0" w:after="0" w:afterAutospacing="0"/>
              <w:ind w:left="0" w:right="0"/>
              <w:jc w:val="center"/>
              <w:rPr>
                <w:rFonts w:hint="default"/>
                <w:kern w:val="0"/>
                <w:sz w:val="21"/>
                <w:szCs w:val="21"/>
                <w:highlight w:val="none"/>
              </w:rPr>
            </w:pPr>
          </w:p>
          <w:p w14:paraId="6B178654">
            <w:pPr>
              <w:keepNext w:val="0"/>
              <w:keepLines w:val="0"/>
              <w:suppressLineNumbers w:val="0"/>
              <w:adjustRightInd w:val="0"/>
              <w:snapToGrid w:val="0"/>
              <w:spacing w:before="0" w:beforeAutospacing="0" w:after="0" w:afterAutospacing="0"/>
              <w:ind w:left="0" w:right="0"/>
              <w:jc w:val="center"/>
              <w:rPr>
                <w:rFonts w:hint="default"/>
                <w:kern w:val="0"/>
                <w:sz w:val="21"/>
                <w:szCs w:val="21"/>
                <w:highlight w:val="none"/>
              </w:rPr>
            </w:pPr>
          </w:p>
          <w:p w14:paraId="3CEF9BB7">
            <w:pPr>
              <w:keepNext w:val="0"/>
              <w:keepLines w:val="0"/>
              <w:suppressLineNumbers w:val="0"/>
              <w:adjustRightInd w:val="0"/>
              <w:snapToGrid w:val="0"/>
              <w:spacing w:before="0" w:beforeAutospacing="0" w:after="0" w:afterAutospacing="0"/>
              <w:ind w:left="0" w:right="0"/>
              <w:jc w:val="center"/>
              <w:rPr>
                <w:rFonts w:hint="default"/>
                <w:kern w:val="0"/>
                <w:sz w:val="21"/>
                <w:szCs w:val="21"/>
                <w:highlight w:val="none"/>
              </w:rPr>
            </w:pPr>
          </w:p>
          <w:p w14:paraId="4DA9C755">
            <w:pPr>
              <w:keepNext w:val="0"/>
              <w:keepLines w:val="0"/>
              <w:suppressLineNumbers w:val="0"/>
              <w:adjustRightInd w:val="0"/>
              <w:snapToGrid w:val="0"/>
              <w:spacing w:before="0" w:beforeAutospacing="0" w:after="0" w:afterAutospacing="0"/>
              <w:ind w:left="0" w:right="0"/>
              <w:jc w:val="center"/>
              <w:rPr>
                <w:rFonts w:hint="default" w:hAnsi="宋体"/>
                <w:kern w:val="0"/>
                <w:sz w:val="21"/>
                <w:szCs w:val="21"/>
                <w:highlight w:val="none"/>
              </w:rPr>
            </w:pPr>
          </w:p>
          <w:p w14:paraId="486012A7">
            <w:pPr>
              <w:keepNext w:val="0"/>
              <w:keepLines w:val="0"/>
              <w:suppressLineNumbers w:val="0"/>
              <w:adjustRightInd w:val="0"/>
              <w:snapToGrid w:val="0"/>
              <w:spacing w:before="0" w:beforeAutospacing="0" w:after="0" w:afterAutospacing="0"/>
              <w:ind w:left="0" w:right="0"/>
              <w:jc w:val="center"/>
              <w:rPr>
                <w:rFonts w:hint="default"/>
                <w:kern w:val="0"/>
                <w:sz w:val="21"/>
                <w:szCs w:val="21"/>
                <w:highlight w:val="none"/>
              </w:rPr>
            </w:pPr>
            <w:r>
              <w:rPr>
                <w:rFonts w:hint="eastAsia" w:hAnsi="宋体"/>
                <w:kern w:val="0"/>
                <w:sz w:val="21"/>
                <w:szCs w:val="21"/>
                <w:highlight w:val="none"/>
              </w:rPr>
              <w:t>污染</w:t>
            </w:r>
          </w:p>
          <w:p w14:paraId="3554218A">
            <w:pPr>
              <w:keepNext w:val="0"/>
              <w:keepLines w:val="0"/>
              <w:suppressLineNumbers w:val="0"/>
              <w:adjustRightInd w:val="0"/>
              <w:snapToGrid w:val="0"/>
              <w:spacing w:before="0" w:beforeAutospacing="0" w:after="0" w:afterAutospacing="0"/>
              <w:ind w:left="0" w:right="0"/>
              <w:jc w:val="center"/>
              <w:rPr>
                <w:rFonts w:hint="default"/>
                <w:kern w:val="0"/>
                <w:sz w:val="21"/>
                <w:szCs w:val="21"/>
                <w:highlight w:val="none"/>
              </w:rPr>
            </w:pPr>
            <w:r>
              <w:rPr>
                <w:rFonts w:hint="eastAsia" w:hAnsi="宋体"/>
                <w:kern w:val="0"/>
                <w:sz w:val="21"/>
                <w:szCs w:val="21"/>
                <w:highlight w:val="none"/>
              </w:rPr>
              <w:t>物排</w:t>
            </w:r>
          </w:p>
          <w:p w14:paraId="4B5D1DC0">
            <w:pPr>
              <w:keepNext w:val="0"/>
              <w:keepLines w:val="0"/>
              <w:suppressLineNumbers w:val="0"/>
              <w:adjustRightInd w:val="0"/>
              <w:snapToGrid w:val="0"/>
              <w:spacing w:before="0" w:beforeAutospacing="0" w:after="0" w:afterAutospacing="0"/>
              <w:ind w:left="0" w:right="0"/>
              <w:jc w:val="center"/>
              <w:rPr>
                <w:rFonts w:hint="default"/>
                <w:kern w:val="0"/>
                <w:sz w:val="21"/>
                <w:szCs w:val="21"/>
                <w:highlight w:val="none"/>
              </w:rPr>
            </w:pPr>
            <w:r>
              <w:rPr>
                <w:rFonts w:hint="eastAsia" w:hAnsi="宋体"/>
                <w:kern w:val="0"/>
                <w:sz w:val="21"/>
                <w:szCs w:val="21"/>
                <w:highlight w:val="none"/>
              </w:rPr>
              <w:t>放控</w:t>
            </w:r>
          </w:p>
          <w:p w14:paraId="5A0ACE91">
            <w:pPr>
              <w:keepNext w:val="0"/>
              <w:keepLines w:val="0"/>
              <w:suppressLineNumbers w:val="0"/>
              <w:adjustRightInd w:val="0"/>
              <w:snapToGrid w:val="0"/>
              <w:spacing w:before="0" w:beforeAutospacing="0" w:after="0" w:afterAutospacing="0"/>
              <w:ind w:left="0" w:right="0"/>
              <w:jc w:val="center"/>
              <w:rPr>
                <w:rFonts w:hint="default"/>
                <w:kern w:val="0"/>
                <w:sz w:val="21"/>
                <w:szCs w:val="21"/>
                <w:highlight w:val="none"/>
              </w:rPr>
            </w:pPr>
            <w:r>
              <w:rPr>
                <w:rFonts w:hint="eastAsia" w:hAnsi="宋体"/>
                <w:kern w:val="0"/>
                <w:sz w:val="21"/>
                <w:szCs w:val="21"/>
                <w:highlight w:val="none"/>
              </w:rPr>
              <w:t>制标</w:t>
            </w:r>
          </w:p>
          <w:p w14:paraId="5C5D2ED9">
            <w:pPr>
              <w:keepNext w:val="0"/>
              <w:keepLines w:val="0"/>
              <w:suppressLineNumbers w:val="0"/>
              <w:adjustRightInd w:val="0"/>
              <w:snapToGrid w:val="0"/>
              <w:spacing w:before="0" w:beforeAutospacing="0" w:after="0" w:afterAutospacing="0"/>
              <w:ind w:left="0" w:right="0"/>
              <w:jc w:val="center"/>
              <w:rPr>
                <w:rFonts w:hint="default" w:hAnsi="宋体"/>
                <w:kern w:val="0"/>
                <w:sz w:val="21"/>
                <w:szCs w:val="21"/>
                <w:highlight w:val="none"/>
              </w:rPr>
            </w:pPr>
            <w:r>
              <w:rPr>
                <w:rFonts w:hint="eastAsia" w:hAnsi="宋体"/>
                <w:kern w:val="0"/>
                <w:sz w:val="21"/>
                <w:szCs w:val="21"/>
                <w:highlight w:val="none"/>
              </w:rPr>
              <w:t>准</w:t>
            </w:r>
          </w:p>
          <w:p w14:paraId="4F3DF76E">
            <w:pPr>
              <w:keepNext w:val="0"/>
              <w:keepLines w:val="0"/>
              <w:suppressLineNumbers w:val="0"/>
              <w:adjustRightInd w:val="0"/>
              <w:snapToGrid w:val="0"/>
              <w:spacing w:before="0" w:beforeAutospacing="0" w:after="0" w:afterAutospacing="0"/>
              <w:ind w:left="0" w:right="0"/>
              <w:jc w:val="center"/>
              <w:rPr>
                <w:rFonts w:hint="default" w:hAnsi="宋体"/>
                <w:kern w:val="0"/>
                <w:sz w:val="21"/>
                <w:szCs w:val="21"/>
                <w:highlight w:val="none"/>
              </w:rPr>
            </w:pPr>
          </w:p>
          <w:p w14:paraId="11C256C9">
            <w:pPr>
              <w:keepNext w:val="0"/>
              <w:keepLines w:val="0"/>
              <w:suppressLineNumbers w:val="0"/>
              <w:adjustRightInd w:val="0"/>
              <w:snapToGrid w:val="0"/>
              <w:spacing w:before="0" w:beforeAutospacing="0" w:after="0" w:afterAutospacing="0"/>
              <w:ind w:left="0" w:right="0"/>
              <w:jc w:val="center"/>
              <w:rPr>
                <w:rFonts w:hint="default"/>
                <w:kern w:val="0"/>
                <w:sz w:val="21"/>
                <w:szCs w:val="21"/>
                <w:highlight w:val="none"/>
              </w:rPr>
            </w:pPr>
          </w:p>
          <w:p w14:paraId="622F38D6">
            <w:pPr>
              <w:keepNext w:val="0"/>
              <w:keepLines w:val="0"/>
              <w:suppressLineNumbers w:val="0"/>
              <w:adjustRightInd w:val="0"/>
              <w:snapToGrid w:val="0"/>
              <w:spacing w:before="0" w:beforeAutospacing="0" w:after="0" w:afterAutospacing="0"/>
              <w:ind w:left="0" w:right="0"/>
              <w:jc w:val="center"/>
              <w:rPr>
                <w:rFonts w:hint="default"/>
                <w:kern w:val="0"/>
                <w:sz w:val="21"/>
                <w:szCs w:val="21"/>
                <w:highlight w:val="none"/>
              </w:rPr>
            </w:pPr>
          </w:p>
          <w:p w14:paraId="42C471B4">
            <w:pPr>
              <w:keepNext w:val="0"/>
              <w:keepLines w:val="0"/>
              <w:suppressLineNumbers w:val="0"/>
              <w:adjustRightInd w:val="0"/>
              <w:snapToGrid w:val="0"/>
              <w:spacing w:before="0" w:beforeAutospacing="0" w:after="0" w:afterAutospacing="0"/>
              <w:ind w:left="0" w:right="0"/>
              <w:jc w:val="center"/>
              <w:rPr>
                <w:rFonts w:hint="default"/>
                <w:kern w:val="0"/>
                <w:sz w:val="21"/>
                <w:szCs w:val="21"/>
                <w:highlight w:val="none"/>
              </w:rPr>
            </w:pPr>
          </w:p>
          <w:p w14:paraId="3EA8427B">
            <w:pPr>
              <w:keepNext w:val="0"/>
              <w:keepLines w:val="0"/>
              <w:suppressLineNumbers w:val="0"/>
              <w:adjustRightInd w:val="0"/>
              <w:snapToGrid w:val="0"/>
              <w:spacing w:before="0" w:beforeAutospacing="0" w:after="0" w:afterAutospacing="0"/>
              <w:ind w:left="0" w:right="0"/>
              <w:jc w:val="center"/>
              <w:rPr>
                <w:rFonts w:hint="default"/>
                <w:sz w:val="21"/>
                <w:szCs w:val="21"/>
                <w:highlight w:val="none"/>
              </w:rPr>
            </w:pPr>
          </w:p>
        </w:tc>
        <w:tc>
          <w:tcPr>
            <w:tcW w:w="8583" w:type="dxa"/>
            <w:vAlign w:val="center"/>
          </w:tcPr>
          <w:p w14:paraId="333CBF7B">
            <w:pPr>
              <w:keepNext w:val="0"/>
              <w:keepLines w:val="0"/>
              <w:numPr>
                <w:ilvl w:val="0"/>
                <w:numId w:val="5"/>
              </w:numPr>
              <w:suppressLineNumbers w:val="0"/>
              <w:tabs>
                <w:tab w:val="left" w:pos="2625"/>
              </w:tabs>
              <w:adjustRightInd w:val="0"/>
              <w:snapToGrid w:val="0"/>
              <w:spacing w:before="0" w:beforeAutospacing="0" w:after="0" w:afterAutospacing="0" w:line="360" w:lineRule="auto"/>
              <w:ind w:left="0" w:right="0"/>
              <w:rPr>
                <w:rFonts w:hint="default" w:hAnsi="宋体"/>
                <w:b/>
                <w:kern w:val="0"/>
                <w:highlight w:val="none"/>
              </w:rPr>
            </w:pPr>
            <w:bookmarkStart w:id="15" w:name="_Hlk27231304"/>
            <w:r>
              <w:rPr>
                <w:rFonts w:hint="eastAsia" w:hAnsi="宋体"/>
                <w:b/>
                <w:kern w:val="0"/>
                <w:highlight w:val="none"/>
              </w:rPr>
              <w:t>废水</w:t>
            </w:r>
          </w:p>
          <w:p w14:paraId="604E7468">
            <w:pPr>
              <w:keepNext w:val="0"/>
              <w:keepLines w:val="0"/>
              <w:widowControl/>
              <w:suppressLineNumbers w:val="0"/>
              <w:spacing w:before="0" w:beforeAutospacing="0" w:after="0" w:afterAutospacing="0" w:line="360" w:lineRule="auto"/>
              <w:ind w:left="0" w:right="0" w:firstLine="480" w:firstLineChars="200"/>
              <w:rPr>
                <w:rFonts w:hint="default" w:ascii="宋体" w:hAnsi="宋体" w:cs="宋体"/>
                <w:color w:val="000000"/>
                <w:kern w:val="0"/>
                <w:highlight w:val="none"/>
              </w:rPr>
            </w:pPr>
            <w:r>
              <w:rPr>
                <w:rFonts w:hint="eastAsia"/>
                <w:kern w:val="0"/>
                <w:highlight w:val="none"/>
              </w:rPr>
              <w:t>本项目生产期间产生的废水主要有员工生活污水</w:t>
            </w:r>
            <w:r>
              <w:rPr>
                <w:rFonts w:hint="eastAsia"/>
                <w:kern w:val="0"/>
                <w:highlight w:val="none"/>
                <w:lang w:eastAsia="zh-CN"/>
              </w:rPr>
              <w:t>，</w:t>
            </w:r>
            <w:r>
              <w:rPr>
                <w:rFonts w:hint="eastAsia"/>
                <w:kern w:val="0"/>
                <w:highlight w:val="none"/>
              </w:rPr>
              <w:t>饲养</w:t>
            </w:r>
            <w:r>
              <w:rPr>
                <w:rFonts w:hint="eastAsia"/>
                <w:kern w:val="0"/>
                <w:highlight w:val="none"/>
                <w:lang w:val="en-US" w:eastAsia="zh-CN"/>
              </w:rPr>
              <w:t>间</w:t>
            </w:r>
            <w:r>
              <w:rPr>
                <w:rFonts w:hint="eastAsia"/>
                <w:kern w:val="0"/>
                <w:highlight w:val="none"/>
              </w:rPr>
              <w:t>清洗废水</w:t>
            </w:r>
            <w:r>
              <w:rPr>
                <w:rFonts w:hint="eastAsia"/>
                <w:kern w:val="0"/>
                <w:highlight w:val="none"/>
                <w:lang w:eastAsia="zh-CN"/>
              </w:rPr>
              <w:t>，</w:t>
            </w:r>
            <w:r>
              <w:rPr>
                <w:rFonts w:hint="eastAsia"/>
                <w:kern w:val="0"/>
                <w:highlight w:val="none"/>
              </w:rPr>
              <w:t>洗笼、动物洗烘</w:t>
            </w:r>
            <w:r>
              <w:rPr>
                <w:rFonts w:hint="eastAsia"/>
                <w:kern w:val="0"/>
                <w:highlight w:val="none"/>
                <w:lang w:val="en-US" w:eastAsia="zh-CN"/>
              </w:rPr>
              <w:t>废水</w:t>
            </w:r>
            <w:r>
              <w:rPr>
                <w:rFonts w:hint="eastAsia"/>
                <w:kern w:val="0"/>
                <w:highlight w:val="none"/>
                <w:lang w:eastAsia="zh-CN"/>
              </w:rPr>
              <w:t>，</w:t>
            </w:r>
            <w:r>
              <w:rPr>
                <w:rFonts w:hint="eastAsia"/>
                <w:kern w:val="0"/>
                <w:highlight w:val="none"/>
                <w:lang w:val="en-US" w:eastAsia="zh-CN"/>
              </w:rPr>
              <w:t>洗衣废水，灭菌废水（包括一般实验室灭菌废水、P2实验室灭菌废水），实验动物中心实验室清洗废水、手术台废水，科创综合楼实验室清洗废水</w:t>
            </w:r>
            <w:r>
              <w:rPr>
                <w:rFonts w:hint="eastAsia"/>
                <w:kern w:val="0"/>
                <w:highlight w:val="none"/>
                <w:lang w:eastAsia="zh-CN"/>
              </w:rPr>
              <w:t>，</w:t>
            </w:r>
            <w:r>
              <w:rPr>
                <w:rFonts w:hint="eastAsia"/>
                <w:kern w:val="0"/>
                <w:highlight w:val="none"/>
                <w:lang w:val="en-US" w:eastAsia="zh-CN"/>
              </w:rPr>
              <w:t>科创综合楼实验室地面清洗废水，废气</w:t>
            </w:r>
            <w:r>
              <w:rPr>
                <w:rFonts w:hint="eastAsia"/>
                <w:kern w:val="0"/>
                <w:highlight w:val="none"/>
              </w:rPr>
              <w:t>喷淋废水</w:t>
            </w:r>
            <w:r>
              <w:rPr>
                <w:rFonts w:hint="eastAsia"/>
                <w:kern w:val="0"/>
                <w:highlight w:val="none"/>
                <w:lang w:eastAsia="zh-CN"/>
              </w:rPr>
              <w:t>，</w:t>
            </w:r>
            <w:r>
              <w:rPr>
                <w:rFonts w:hint="eastAsia"/>
                <w:kern w:val="0"/>
                <w:highlight w:val="none"/>
                <w:lang w:val="en-US" w:eastAsia="zh-CN"/>
              </w:rPr>
              <w:t>软水/</w:t>
            </w:r>
            <w:r>
              <w:rPr>
                <w:rFonts w:hint="eastAsia"/>
                <w:kern w:val="0"/>
                <w:highlight w:val="none"/>
              </w:rPr>
              <w:t>纯水</w:t>
            </w:r>
            <w:r>
              <w:rPr>
                <w:rFonts w:hint="eastAsia"/>
                <w:kern w:val="0"/>
                <w:highlight w:val="none"/>
                <w:lang w:val="en-US" w:eastAsia="zh-CN"/>
              </w:rPr>
              <w:t>制备浓水和反冲洗废水</w:t>
            </w:r>
            <w:r>
              <w:rPr>
                <w:rFonts w:hint="eastAsia"/>
                <w:kern w:val="0"/>
                <w:highlight w:val="none"/>
              </w:rPr>
              <w:t>。生活污水经</w:t>
            </w:r>
            <w:r>
              <w:rPr>
                <w:rFonts w:hint="eastAsia"/>
                <w:kern w:val="0"/>
                <w:highlight w:val="none"/>
                <w:lang w:val="en-US" w:eastAsia="zh-CN"/>
              </w:rPr>
              <w:t>隔油池、</w:t>
            </w:r>
            <w:r>
              <w:rPr>
                <w:rFonts w:hint="eastAsia"/>
                <w:kern w:val="0"/>
                <w:highlight w:val="none"/>
              </w:rPr>
              <w:t>化粪池预处理达标后接入市政污水管网；</w:t>
            </w:r>
            <w:r>
              <w:rPr>
                <w:rFonts w:hint="eastAsia"/>
                <w:kern w:val="0"/>
                <w:highlight w:val="none"/>
                <w:lang w:val="en-US" w:eastAsia="zh-CN"/>
              </w:rPr>
              <w:t>其他废水中生物实验室废水需先进行灭菌灭活，然后与其他废水一并进入污水处理站，污水站</w:t>
            </w:r>
            <w:r>
              <w:rPr>
                <w:rFonts w:hint="eastAsia"/>
                <w:color w:val="auto"/>
                <w:kern w:val="0"/>
                <w:highlight w:val="none"/>
              </w:rPr>
              <w:t>采用生化处理后再消毒，达标后接入市政污水管网。</w:t>
            </w:r>
            <w:r>
              <w:rPr>
                <w:rFonts w:hint="eastAsia"/>
                <w:color w:val="auto"/>
                <w:kern w:val="0"/>
                <w:highlight w:val="none"/>
                <w:lang w:val="en-US" w:eastAsia="zh-CN"/>
              </w:rPr>
              <w:t>软水/</w:t>
            </w:r>
            <w:r>
              <w:rPr>
                <w:rFonts w:hint="eastAsia"/>
                <w:color w:val="auto"/>
                <w:kern w:val="0"/>
                <w:highlight w:val="none"/>
              </w:rPr>
              <w:t>纯水制备浓水</w:t>
            </w:r>
            <w:r>
              <w:rPr>
                <w:rFonts w:hint="eastAsia"/>
                <w:color w:val="auto"/>
                <w:kern w:val="0"/>
                <w:highlight w:val="none"/>
                <w:lang w:eastAsia="zh-CN"/>
              </w:rPr>
              <w:t>、</w:t>
            </w:r>
            <w:r>
              <w:rPr>
                <w:rFonts w:hint="eastAsia"/>
                <w:color w:val="auto"/>
                <w:kern w:val="0"/>
                <w:highlight w:val="none"/>
                <w:lang w:val="en-US" w:eastAsia="zh-CN"/>
              </w:rPr>
              <w:t>反冲洗废水、一般实验室灭菌废水</w:t>
            </w:r>
            <w:r>
              <w:rPr>
                <w:rFonts w:hint="eastAsia"/>
                <w:color w:val="auto"/>
                <w:kern w:val="0"/>
                <w:highlight w:val="none"/>
              </w:rPr>
              <w:t>污染物</w:t>
            </w:r>
            <w:r>
              <w:rPr>
                <w:rFonts w:hint="eastAsia"/>
                <w:color w:val="auto"/>
                <w:kern w:val="0"/>
                <w:highlight w:val="none"/>
                <w:lang w:val="en-US" w:eastAsia="zh-CN"/>
              </w:rPr>
              <w:t>水质简单、</w:t>
            </w:r>
            <w:r>
              <w:rPr>
                <w:rFonts w:hint="eastAsia"/>
                <w:color w:val="auto"/>
                <w:kern w:val="0"/>
                <w:highlight w:val="none"/>
              </w:rPr>
              <w:t>浓度</w:t>
            </w:r>
            <w:r>
              <w:rPr>
                <w:rFonts w:hint="eastAsia"/>
                <w:color w:val="auto"/>
                <w:kern w:val="0"/>
                <w:highlight w:val="none"/>
                <w:lang w:val="en-US" w:eastAsia="zh-CN"/>
              </w:rPr>
              <w:t>较低</w:t>
            </w:r>
            <w:r>
              <w:rPr>
                <w:rFonts w:hint="eastAsia"/>
                <w:color w:val="auto"/>
                <w:kern w:val="0"/>
                <w:highlight w:val="none"/>
              </w:rPr>
              <w:t>，可直接接入市政污水管网。项目</w:t>
            </w:r>
            <w:r>
              <w:rPr>
                <w:rFonts w:hint="eastAsia"/>
                <w:kern w:val="0"/>
                <w:highlight w:val="none"/>
              </w:rPr>
              <w:t>废水最终</w:t>
            </w:r>
            <w:r>
              <w:rPr>
                <w:rFonts w:hint="eastAsia" w:ascii="宋体" w:hAnsi="宋体" w:cs="宋体"/>
                <w:color w:val="000000"/>
                <w:kern w:val="0"/>
                <w:highlight w:val="none"/>
              </w:rPr>
              <w:t>经</w:t>
            </w:r>
            <w:r>
              <w:rPr>
                <w:rFonts w:hint="eastAsia"/>
                <w:sz w:val="24"/>
                <w:highlight w:val="none"/>
              </w:rPr>
              <w:t>高铁新城再生水厂</w:t>
            </w:r>
            <w:r>
              <w:rPr>
                <w:rFonts w:hint="eastAsia" w:ascii="宋体" w:hAnsi="宋体" w:cs="宋体"/>
                <w:color w:val="000000"/>
                <w:kern w:val="0"/>
                <w:highlight w:val="none"/>
              </w:rPr>
              <w:t>统一处理达标后</w:t>
            </w:r>
            <w:r>
              <w:rPr>
                <w:rFonts w:hint="eastAsia"/>
                <w:sz w:val="24"/>
                <w:highlight w:val="none"/>
              </w:rPr>
              <w:t>排入衢州市高铁新城水环境治理项目—湿地工程，流入丰收溪，最终汇入常山港</w:t>
            </w:r>
            <w:r>
              <w:rPr>
                <w:rFonts w:hint="eastAsia" w:ascii="宋体" w:hAnsi="宋体" w:cs="宋体"/>
                <w:color w:val="000000"/>
                <w:kern w:val="0"/>
                <w:highlight w:val="none"/>
              </w:rPr>
              <w:t>。</w:t>
            </w:r>
          </w:p>
          <w:p w14:paraId="2707CC03">
            <w:pPr>
              <w:keepNext w:val="0"/>
              <w:keepLines w:val="0"/>
              <w:widowControl/>
              <w:suppressLineNumbers w:val="0"/>
              <w:spacing w:before="0" w:beforeAutospacing="0" w:after="0" w:afterAutospacing="0" w:line="360" w:lineRule="auto"/>
              <w:ind w:left="0" w:right="0" w:firstLine="480" w:firstLineChars="200"/>
              <w:rPr>
                <w:rFonts w:hint="default"/>
                <w:highlight w:val="none"/>
              </w:rPr>
            </w:pPr>
            <w:r>
              <w:rPr>
                <w:rFonts w:hint="eastAsia"/>
                <w:highlight w:val="none"/>
              </w:rPr>
              <w:t>纳管标准执行</w:t>
            </w:r>
            <w:r>
              <w:rPr>
                <w:rFonts w:hint="eastAsia"/>
                <w:sz w:val="24"/>
                <w:highlight w:val="none"/>
              </w:rPr>
              <w:t>《污水综合排放标准》（GB8978-1996）中的三级标准和</w:t>
            </w:r>
            <w:r>
              <w:rPr>
                <w:rFonts w:hint="eastAsia"/>
                <w:highlight w:val="none"/>
              </w:rPr>
              <w:t>高铁新城</w:t>
            </w:r>
            <w:r>
              <w:rPr>
                <w:rFonts w:hint="eastAsia"/>
                <w:sz w:val="24"/>
                <w:highlight w:val="none"/>
              </w:rPr>
              <w:t>再生水厂设计进水水质标准</w:t>
            </w:r>
            <w:r>
              <w:rPr>
                <w:rFonts w:hint="eastAsia"/>
                <w:highlight w:val="none"/>
              </w:rPr>
              <w:t>；</w:t>
            </w:r>
            <w:r>
              <w:rPr>
                <w:rFonts w:hint="eastAsia"/>
                <w:sz w:val="24"/>
                <w:highlight w:val="none"/>
              </w:rPr>
              <w:t>高铁新城再生水厂</w:t>
            </w:r>
            <w:r>
              <w:rPr>
                <w:rFonts w:hint="eastAsia"/>
                <w:highlight w:val="none"/>
              </w:rPr>
              <w:t>尾水</w:t>
            </w:r>
            <w:r>
              <w:rPr>
                <w:rFonts w:hint="eastAsia"/>
                <w:highlight w:val="none"/>
                <w:lang w:val="en-US" w:eastAsia="zh-CN"/>
              </w:rPr>
              <w:t>排放执行</w:t>
            </w:r>
            <w:r>
              <w:rPr>
                <w:rFonts w:hint="eastAsia"/>
                <w:sz w:val="24"/>
                <w:highlight w:val="none"/>
              </w:rPr>
              <w:t>《城镇污水处理厂主要水污染物排放标准》（DB33/2169-2018）中表2排放限值和《城镇污水处理厂污染物排放标准》（GB18918-2002）中一级A标准</w:t>
            </w:r>
            <w:r>
              <w:rPr>
                <w:rFonts w:hint="eastAsia"/>
                <w:highlight w:val="none"/>
              </w:rPr>
              <w:t>。具体标准值详见表</w:t>
            </w:r>
            <w:r>
              <w:rPr>
                <w:rFonts w:hint="default"/>
                <w:highlight w:val="none"/>
              </w:rPr>
              <w:t>3-</w:t>
            </w:r>
            <w:r>
              <w:rPr>
                <w:rFonts w:hint="eastAsia"/>
                <w:highlight w:val="none"/>
                <w:lang w:val="en-US" w:eastAsia="zh-CN"/>
              </w:rPr>
              <w:t>5</w:t>
            </w:r>
            <w:r>
              <w:rPr>
                <w:rFonts w:hint="eastAsia"/>
                <w:highlight w:val="none"/>
              </w:rPr>
              <w:t>、表</w:t>
            </w:r>
            <w:r>
              <w:rPr>
                <w:rFonts w:hint="default"/>
                <w:highlight w:val="none"/>
              </w:rPr>
              <w:t>3-</w:t>
            </w:r>
            <w:r>
              <w:rPr>
                <w:rFonts w:hint="eastAsia"/>
                <w:highlight w:val="none"/>
                <w:lang w:val="en-US" w:eastAsia="zh-CN"/>
              </w:rPr>
              <w:t>6</w:t>
            </w:r>
            <w:r>
              <w:rPr>
                <w:rFonts w:hint="eastAsia"/>
                <w:highlight w:val="none"/>
              </w:rPr>
              <w:t>。</w:t>
            </w:r>
          </w:p>
          <w:p w14:paraId="15548EB4">
            <w:pPr>
              <w:pStyle w:val="117"/>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60" w:lineRule="auto"/>
              <w:ind w:left="0" w:right="0" w:firstLine="482"/>
              <w:jc w:val="center"/>
              <w:textAlignment w:val="auto"/>
              <w:rPr>
                <w:rFonts w:hint="default" w:ascii="Times New Roman" w:hAnsi="Times New Roman" w:cs="Times New Roman"/>
                <w:b/>
                <w:bCs/>
                <w:sz w:val="24"/>
                <w:szCs w:val="24"/>
                <w:highlight w:val="none"/>
              </w:rPr>
            </w:pPr>
            <w:r>
              <w:rPr>
                <w:rFonts w:hint="default" w:ascii="Times New Roman" w:hAnsi="Times New Roman" w:cs="Times New Roman"/>
                <w:b/>
                <w:bCs/>
                <w:sz w:val="24"/>
                <w:szCs w:val="24"/>
                <w:highlight w:val="none"/>
              </w:rPr>
              <w:t>表3-</w:t>
            </w:r>
            <w:r>
              <w:rPr>
                <w:rFonts w:hint="eastAsia" w:cs="Times New Roman"/>
                <w:b/>
                <w:bCs/>
                <w:sz w:val="24"/>
                <w:szCs w:val="24"/>
                <w:highlight w:val="none"/>
                <w:lang w:val="en-US" w:eastAsia="zh-CN"/>
              </w:rPr>
              <w:t>5</w:t>
            </w:r>
            <w:r>
              <w:rPr>
                <w:rFonts w:hint="default" w:ascii="Times New Roman" w:hAnsi="Times New Roman" w:cs="Times New Roman"/>
                <w:b/>
                <w:bCs/>
                <w:sz w:val="24"/>
                <w:szCs w:val="24"/>
                <w:highlight w:val="none"/>
              </w:rPr>
              <w:t xml:space="preserve"> 项目预处理废水纳管标准</w:t>
            </w:r>
            <w:r>
              <w:rPr>
                <w:rFonts w:hint="eastAsia" w:ascii="Times New Roman" w:hAnsi="Times New Roman" w:cs="Times New Roman"/>
                <w:b/>
                <w:bCs/>
                <w:sz w:val="24"/>
                <w:szCs w:val="24"/>
                <w:highlight w:val="none"/>
              </w:rPr>
              <w:t xml:space="preserve"> </w:t>
            </w:r>
            <w:r>
              <w:rPr>
                <w:rFonts w:hint="default" w:ascii="Times New Roman" w:hAnsi="Times New Roman" w:cs="Times New Roman"/>
                <w:b/>
                <w:bCs/>
                <w:sz w:val="24"/>
                <w:szCs w:val="24"/>
                <w:highlight w:val="none"/>
              </w:rPr>
              <w:t>（单位：mg/L，pH值无量纲）</w:t>
            </w:r>
          </w:p>
          <w:tbl>
            <w:tblPr>
              <w:tblStyle w:val="32"/>
              <w:tblW w:w="4995"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28" w:type="dxa"/>
                <w:bottom w:w="0" w:type="dxa"/>
                <w:right w:w="28" w:type="dxa"/>
              </w:tblCellMar>
            </w:tblPr>
            <w:tblGrid>
              <w:gridCol w:w="1768"/>
              <w:gridCol w:w="705"/>
              <w:gridCol w:w="775"/>
              <w:gridCol w:w="740"/>
              <w:gridCol w:w="645"/>
              <w:gridCol w:w="600"/>
              <w:gridCol w:w="660"/>
              <w:gridCol w:w="690"/>
              <w:gridCol w:w="765"/>
              <w:gridCol w:w="1002"/>
            </w:tblGrid>
            <w:tr w14:paraId="0774EC3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340" w:hRule="atLeast"/>
                <w:jc w:val="center"/>
              </w:trPr>
              <w:tc>
                <w:tcPr>
                  <w:tcW w:w="1058" w:type="pct"/>
                  <w:noWrap w:val="0"/>
                  <w:vAlign w:val="center"/>
                </w:tcPr>
                <w:p w14:paraId="76824B59">
                  <w:pPr>
                    <w:keepNext w:val="0"/>
                    <w:keepLines w:val="0"/>
                    <w:suppressLineNumbers w:val="0"/>
                    <w:spacing w:before="0" w:beforeAutospacing="0" w:after="0" w:afterAutospacing="0"/>
                    <w:ind w:left="0" w:right="0"/>
                    <w:jc w:val="center"/>
                    <w:rPr>
                      <w:rFonts w:hint="default"/>
                      <w:sz w:val="21"/>
                      <w:szCs w:val="21"/>
                      <w:highlight w:val="none"/>
                    </w:rPr>
                  </w:pPr>
                  <w:r>
                    <w:rPr>
                      <w:rFonts w:hint="default"/>
                      <w:sz w:val="21"/>
                      <w:szCs w:val="21"/>
                      <w:highlight w:val="none"/>
                    </w:rPr>
                    <w:t>标准类别</w:t>
                  </w:r>
                </w:p>
              </w:tc>
              <w:tc>
                <w:tcPr>
                  <w:tcW w:w="422" w:type="pct"/>
                  <w:noWrap w:val="0"/>
                  <w:vAlign w:val="center"/>
                </w:tcPr>
                <w:p w14:paraId="3C79E6A4">
                  <w:pPr>
                    <w:keepNext w:val="0"/>
                    <w:keepLines w:val="0"/>
                    <w:suppressLineNumbers w:val="0"/>
                    <w:spacing w:before="0" w:beforeAutospacing="0" w:after="0" w:afterAutospacing="0"/>
                    <w:ind w:left="0" w:right="0"/>
                    <w:jc w:val="center"/>
                    <w:rPr>
                      <w:rFonts w:hint="default"/>
                      <w:sz w:val="21"/>
                      <w:szCs w:val="21"/>
                      <w:highlight w:val="none"/>
                    </w:rPr>
                  </w:pPr>
                  <w:r>
                    <w:rPr>
                      <w:rFonts w:hint="default"/>
                      <w:sz w:val="21"/>
                      <w:szCs w:val="21"/>
                      <w:highlight w:val="none"/>
                    </w:rPr>
                    <w:t>pH</w:t>
                  </w:r>
                </w:p>
              </w:tc>
              <w:tc>
                <w:tcPr>
                  <w:tcW w:w="464" w:type="pct"/>
                  <w:noWrap w:val="0"/>
                  <w:vAlign w:val="center"/>
                </w:tcPr>
                <w:p w14:paraId="323533DC">
                  <w:pPr>
                    <w:pStyle w:val="28"/>
                    <w:keepNext w:val="0"/>
                    <w:keepLines w:val="0"/>
                    <w:suppressLineNumbers w:val="0"/>
                    <w:spacing w:before="0" w:beforeAutospacing="0" w:after="0" w:afterAutospacing="0" w:line="240" w:lineRule="auto"/>
                    <w:ind w:left="0" w:right="0"/>
                    <w:rPr>
                      <w:rFonts w:hint="default" w:ascii="Times New Roman" w:hAnsi="Times New Roman"/>
                      <w:sz w:val="21"/>
                      <w:highlight w:val="none"/>
                    </w:rPr>
                  </w:pPr>
                  <w:r>
                    <w:rPr>
                      <w:rFonts w:hint="default" w:ascii="Times New Roman" w:hAnsi="Times New Roman"/>
                      <w:sz w:val="21"/>
                      <w:highlight w:val="none"/>
                    </w:rPr>
                    <w:t>COD</w:t>
                  </w:r>
                  <w:r>
                    <w:rPr>
                      <w:rFonts w:hint="default" w:ascii="Times New Roman" w:hAnsi="Times New Roman"/>
                      <w:sz w:val="21"/>
                      <w:highlight w:val="none"/>
                      <w:vertAlign w:val="subscript"/>
                    </w:rPr>
                    <w:t>Cr</w:t>
                  </w:r>
                </w:p>
              </w:tc>
              <w:tc>
                <w:tcPr>
                  <w:tcW w:w="443" w:type="pct"/>
                  <w:noWrap w:val="0"/>
                  <w:vAlign w:val="center"/>
                </w:tcPr>
                <w:p w14:paraId="5AD24DD4">
                  <w:pPr>
                    <w:keepNext w:val="0"/>
                    <w:keepLines w:val="0"/>
                    <w:suppressLineNumbers w:val="0"/>
                    <w:spacing w:before="0" w:beforeAutospacing="0" w:after="0" w:afterAutospacing="0"/>
                    <w:ind w:left="0" w:right="0"/>
                    <w:jc w:val="center"/>
                    <w:rPr>
                      <w:rFonts w:hint="default"/>
                      <w:sz w:val="21"/>
                      <w:szCs w:val="21"/>
                      <w:highlight w:val="none"/>
                      <w:vertAlign w:val="subscript"/>
                    </w:rPr>
                  </w:pPr>
                  <w:r>
                    <w:rPr>
                      <w:rFonts w:hint="default"/>
                      <w:sz w:val="21"/>
                      <w:szCs w:val="21"/>
                      <w:highlight w:val="none"/>
                    </w:rPr>
                    <w:t>BOD</w:t>
                  </w:r>
                  <w:r>
                    <w:rPr>
                      <w:rFonts w:hint="default"/>
                      <w:sz w:val="21"/>
                      <w:szCs w:val="21"/>
                      <w:highlight w:val="none"/>
                      <w:vertAlign w:val="subscript"/>
                    </w:rPr>
                    <w:t>5</w:t>
                  </w:r>
                </w:p>
              </w:tc>
              <w:tc>
                <w:tcPr>
                  <w:tcW w:w="386" w:type="pct"/>
                  <w:noWrap w:val="0"/>
                  <w:vAlign w:val="center"/>
                </w:tcPr>
                <w:p w14:paraId="324FEFB4">
                  <w:pPr>
                    <w:keepNext w:val="0"/>
                    <w:keepLines w:val="0"/>
                    <w:suppressLineNumbers w:val="0"/>
                    <w:spacing w:before="0" w:beforeAutospacing="0" w:after="0" w:afterAutospacing="0"/>
                    <w:ind w:left="0" w:right="0"/>
                    <w:jc w:val="center"/>
                    <w:rPr>
                      <w:rFonts w:hint="default"/>
                      <w:sz w:val="21"/>
                      <w:szCs w:val="21"/>
                      <w:highlight w:val="none"/>
                    </w:rPr>
                  </w:pPr>
                  <w:r>
                    <w:rPr>
                      <w:rFonts w:hint="default"/>
                      <w:sz w:val="21"/>
                      <w:szCs w:val="21"/>
                      <w:highlight w:val="none"/>
                    </w:rPr>
                    <w:t>氨氮</w:t>
                  </w:r>
                </w:p>
              </w:tc>
              <w:tc>
                <w:tcPr>
                  <w:tcW w:w="359" w:type="pct"/>
                  <w:noWrap w:val="0"/>
                  <w:vAlign w:val="center"/>
                </w:tcPr>
                <w:p w14:paraId="600B77D7">
                  <w:pPr>
                    <w:keepNext w:val="0"/>
                    <w:keepLines w:val="0"/>
                    <w:suppressLineNumbers w:val="0"/>
                    <w:spacing w:before="0" w:beforeAutospacing="0" w:after="0" w:afterAutospacing="0"/>
                    <w:ind w:left="0" w:right="0"/>
                    <w:jc w:val="center"/>
                    <w:rPr>
                      <w:rFonts w:hint="default"/>
                      <w:sz w:val="21"/>
                      <w:szCs w:val="21"/>
                      <w:highlight w:val="none"/>
                    </w:rPr>
                  </w:pPr>
                  <w:r>
                    <w:rPr>
                      <w:rFonts w:hint="default"/>
                      <w:sz w:val="21"/>
                      <w:szCs w:val="21"/>
                      <w:highlight w:val="none"/>
                    </w:rPr>
                    <w:t>SS</w:t>
                  </w:r>
                </w:p>
              </w:tc>
              <w:tc>
                <w:tcPr>
                  <w:tcW w:w="395" w:type="pct"/>
                  <w:noWrap w:val="0"/>
                  <w:vAlign w:val="center"/>
                </w:tcPr>
                <w:p w14:paraId="673FDB1E">
                  <w:pPr>
                    <w:keepNext w:val="0"/>
                    <w:keepLines w:val="0"/>
                    <w:suppressLineNumbers w:val="0"/>
                    <w:spacing w:before="0" w:beforeAutospacing="0" w:after="0" w:afterAutospacing="0"/>
                    <w:ind w:left="0" w:right="0"/>
                    <w:jc w:val="center"/>
                    <w:rPr>
                      <w:rFonts w:hint="default"/>
                      <w:sz w:val="21"/>
                      <w:szCs w:val="21"/>
                      <w:highlight w:val="none"/>
                    </w:rPr>
                  </w:pPr>
                  <w:r>
                    <w:rPr>
                      <w:rFonts w:hint="eastAsia"/>
                      <w:sz w:val="21"/>
                      <w:szCs w:val="21"/>
                      <w:highlight w:val="none"/>
                    </w:rPr>
                    <w:t>T</w:t>
                  </w:r>
                  <w:r>
                    <w:rPr>
                      <w:rFonts w:hint="default"/>
                      <w:sz w:val="21"/>
                      <w:szCs w:val="21"/>
                      <w:highlight w:val="none"/>
                    </w:rPr>
                    <w:t>P</w:t>
                  </w:r>
                </w:p>
              </w:tc>
              <w:tc>
                <w:tcPr>
                  <w:tcW w:w="413" w:type="pct"/>
                  <w:noWrap w:val="0"/>
                  <w:vAlign w:val="center"/>
                </w:tcPr>
                <w:p w14:paraId="19C48606">
                  <w:pPr>
                    <w:keepNext w:val="0"/>
                    <w:keepLines w:val="0"/>
                    <w:suppressLineNumbers w:val="0"/>
                    <w:spacing w:before="0" w:beforeAutospacing="0" w:after="0" w:afterAutospacing="0"/>
                    <w:ind w:left="0" w:right="0"/>
                    <w:jc w:val="center"/>
                    <w:rPr>
                      <w:rFonts w:hint="default"/>
                      <w:sz w:val="21"/>
                      <w:szCs w:val="21"/>
                      <w:highlight w:val="none"/>
                    </w:rPr>
                  </w:pPr>
                  <w:r>
                    <w:rPr>
                      <w:rFonts w:hint="eastAsia"/>
                      <w:sz w:val="21"/>
                      <w:szCs w:val="21"/>
                      <w:highlight w:val="none"/>
                    </w:rPr>
                    <w:t>T</w:t>
                  </w:r>
                  <w:r>
                    <w:rPr>
                      <w:rFonts w:hint="default"/>
                      <w:sz w:val="21"/>
                      <w:szCs w:val="21"/>
                      <w:highlight w:val="none"/>
                    </w:rPr>
                    <w:t>N</w:t>
                  </w:r>
                </w:p>
              </w:tc>
              <w:tc>
                <w:tcPr>
                  <w:tcW w:w="458" w:type="pct"/>
                  <w:noWrap w:val="0"/>
                  <w:vAlign w:val="center"/>
                </w:tcPr>
                <w:p w14:paraId="06412733">
                  <w:pPr>
                    <w:keepNext w:val="0"/>
                    <w:keepLines w:val="0"/>
                    <w:suppressLineNumbers w:val="0"/>
                    <w:spacing w:before="0" w:beforeAutospacing="0" w:after="0" w:afterAutospacing="0"/>
                    <w:ind w:left="0" w:right="0"/>
                    <w:jc w:val="center"/>
                    <w:rPr>
                      <w:rFonts w:hint="default"/>
                      <w:sz w:val="21"/>
                      <w:szCs w:val="21"/>
                      <w:highlight w:val="none"/>
                    </w:rPr>
                  </w:pPr>
                  <w:r>
                    <w:rPr>
                      <w:rFonts w:hint="default"/>
                      <w:sz w:val="21"/>
                      <w:szCs w:val="21"/>
                      <w:highlight w:val="none"/>
                    </w:rPr>
                    <w:t>动植物油</w:t>
                  </w:r>
                </w:p>
              </w:tc>
              <w:tc>
                <w:tcPr>
                  <w:tcW w:w="600" w:type="pct"/>
                  <w:noWrap w:val="0"/>
                  <w:vAlign w:val="center"/>
                </w:tcPr>
                <w:p w14:paraId="20E6B675">
                  <w:pPr>
                    <w:keepNext w:val="0"/>
                    <w:keepLines w:val="0"/>
                    <w:suppressLineNumbers w:val="0"/>
                    <w:spacing w:before="0" w:beforeAutospacing="0" w:after="0" w:afterAutospacing="0"/>
                    <w:ind w:left="0" w:right="0"/>
                    <w:jc w:val="center"/>
                    <w:rPr>
                      <w:rFonts w:hint="default"/>
                      <w:sz w:val="21"/>
                      <w:szCs w:val="21"/>
                      <w:highlight w:val="none"/>
                    </w:rPr>
                  </w:pPr>
                  <w:r>
                    <w:rPr>
                      <w:rFonts w:hint="eastAsia" w:ascii="Times New Roman"/>
                      <w:sz w:val="21"/>
                      <w:szCs w:val="21"/>
                      <w:highlight w:val="none"/>
                      <w:lang w:val="en-US"/>
                    </w:rPr>
                    <w:t>粪大肠菌群数</w:t>
                  </w:r>
                </w:p>
              </w:tc>
            </w:tr>
            <w:tr w14:paraId="53135C7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340" w:hRule="atLeast"/>
                <w:jc w:val="center"/>
              </w:trPr>
              <w:tc>
                <w:tcPr>
                  <w:tcW w:w="1058" w:type="pct"/>
                  <w:noWrap w:val="0"/>
                  <w:vAlign w:val="center"/>
                </w:tcPr>
                <w:p w14:paraId="431E5A57">
                  <w:pPr>
                    <w:keepNext w:val="0"/>
                    <w:keepLines w:val="0"/>
                    <w:suppressLineNumbers w:val="0"/>
                    <w:spacing w:before="0" w:beforeAutospacing="0" w:after="0" w:afterAutospacing="0"/>
                    <w:ind w:left="0" w:right="0"/>
                    <w:jc w:val="center"/>
                    <w:rPr>
                      <w:rFonts w:hint="default" w:eastAsia="宋体"/>
                      <w:sz w:val="21"/>
                      <w:szCs w:val="21"/>
                      <w:highlight w:val="none"/>
                      <w:lang w:val="en-US" w:eastAsia="zh-CN"/>
                    </w:rPr>
                  </w:pPr>
                  <w:r>
                    <w:rPr>
                      <w:rFonts w:hint="eastAsia" w:ascii="Times New Roman" w:hAnsi="Times New Roman" w:eastAsia="宋体" w:cs="Times New Roman"/>
                      <w:sz w:val="21"/>
                      <w:szCs w:val="21"/>
                      <w:highlight w:val="none"/>
                    </w:rPr>
                    <w:t>高铁新城再生水厂</w:t>
                  </w:r>
                  <w:r>
                    <w:rPr>
                      <w:rFonts w:hint="eastAsia" w:ascii="Times New Roman" w:hAnsi="Times New Roman" w:eastAsia="宋体" w:cs="Times New Roman"/>
                      <w:sz w:val="21"/>
                      <w:szCs w:val="21"/>
                      <w:highlight w:val="none"/>
                      <w:lang w:val="en-US" w:eastAsia="zh-CN"/>
                    </w:rPr>
                    <w:t>进水水质标准</w:t>
                  </w:r>
                </w:p>
              </w:tc>
              <w:tc>
                <w:tcPr>
                  <w:tcW w:w="422" w:type="pct"/>
                  <w:noWrap w:val="0"/>
                  <w:vAlign w:val="center"/>
                </w:tcPr>
                <w:p w14:paraId="6C0F7584">
                  <w:pPr>
                    <w:keepNext w:val="0"/>
                    <w:keepLines w:val="0"/>
                    <w:suppressLineNumbers w:val="0"/>
                    <w:spacing w:before="0" w:beforeAutospacing="0" w:after="0" w:afterAutospacing="0"/>
                    <w:ind w:left="0" w:right="0"/>
                    <w:jc w:val="center"/>
                    <w:rPr>
                      <w:rFonts w:hint="default"/>
                      <w:sz w:val="21"/>
                      <w:szCs w:val="21"/>
                      <w:highlight w:val="none"/>
                    </w:rPr>
                  </w:pPr>
                  <w:r>
                    <w:rPr>
                      <w:rFonts w:hint="default"/>
                      <w:sz w:val="21"/>
                      <w:szCs w:val="21"/>
                      <w:highlight w:val="none"/>
                    </w:rPr>
                    <w:t>6～9</w:t>
                  </w:r>
                </w:p>
              </w:tc>
              <w:tc>
                <w:tcPr>
                  <w:tcW w:w="464" w:type="pct"/>
                  <w:noWrap w:val="0"/>
                  <w:vAlign w:val="center"/>
                </w:tcPr>
                <w:p w14:paraId="6E398C98">
                  <w:pPr>
                    <w:keepNext w:val="0"/>
                    <w:keepLines w:val="0"/>
                    <w:suppressLineNumbers w:val="0"/>
                    <w:spacing w:before="0" w:beforeAutospacing="0" w:after="0" w:afterAutospacing="0"/>
                    <w:ind w:left="0" w:right="0"/>
                    <w:jc w:val="center"/>
                    <w:rPr>
                      <w:rFonts w:hint="default" w:eastAsia="宋体"/>
                      <w:sz w:val="21"/>
                      <w:szCs w:val="21"/>
                      <w:highlight w:val="none"/>
                      <w:lang w:val="en-US" w:eastAsia="zh-CN"/>
                    </w:rPr>
                  </w:pPr>
                  <w:r>
                    <w:rPr>
                      <w:rFonts w:hint="eastAsia"/>
                      <w:sz w:val="21"/>
                      <w:szCs w:val="21"/>
                      <w:highlight w:val="none"/>
                      <w:lang w:val="en-US" w:eastAsia="zh-CN"/>
                    </w:rPr>
                    <w:t>400</w:t>
                  </w:r>
                </w:p>
              </w:tc>
              <w:tc>
                <w:tcPr>
                  <w:tcW w:w="443" w:type="pct"/>
                  <w:noWrap w:val="0"/>
                  <w:vAlign w:val="center"/>
                </w:tcPr>
                <w:p w14:paraId="7D16F50F">
                  <w:pPr>
                    <w:keepNext w:val="0"/>
                    <w:keepLines w:val="0"/>
                    <w:suppressLineNumbers w:val="0"/>
                    <w:spacing w:before="0" w:beforeAutospacing="0" w:after="0" w:afterAutospacing="0"/>
                    <w:ind w:left="0" w:right="0"/>
                    <w:jc w:val="center"/>
                    <w:rPr>
                      <w:rFonts w:hint="default" w:eastAsia="宋体"/>
                      <w:sz w:val="21"/>
                      <w:szCs w:val="21"/>
                      <w:highlight w:val="none"/>
                      <w:lang w:val="en-US" w:eastAsia="zh-CN"/>
                    </w:rPr>
                  </w:pPr>
                  <w:r>
                    <w:rPr>
                      <w:rFonts w:hint="eastAsia"/>
                      <w:sz w:val="21"/>
                      <w:szCs w:val="21"/>
                      <w:highlight w:val="none"/>
                      <w:lang w:val="en-US" w:eastAsia="zh-CN"/>
                    </w:rPr>
                    <w:t>200</w:t>
                  </w:r>
                </w:p>
              </w:tc>
              <w:tc>
                <w:tcPr>
                  <w:tcW w:w="386" w:type="pct"/>
                  <w:noWrap w:val="0"/>
                  <w:vAlign w:val="center"/>
                </w:tcPr>
                <w:p w14:paraId="6E9164C4">
                  <w:pPr>
                    <w:keepNext w:val="0"/>
                    <w:keepLines w:val="0"/>
                    <w:suppressLineNumbers w:val="0"/>
                    <w:spacing w:before="0" w:beforeAutospacing="0" w:after="0" w:afterAutospacing="0"/>
                    <w:ind w:left="0" w:right="0"/>
                    <w:jc w:val="center"/>
                    <w:rPr>
                      <w:rFonts w:hint="default" w:eastAsia="宋体"/>
                      <w:sz w:val="21"/>
                      <w:szCs w:val="21"/>
                      <w:highlight w:val="none"/>
                      <w:lang w:val="en-US" w:eastAsia="zh-CN"/>
                    </w:rPr>
                  </w:pPr>
                  <w:r>
                    <w:rPr>
                      <w:rFonts w:hint="eastAsia"/>
                      <w:sz w:val="21"/>
                      <w:szCs w:val="21"/>
                      <w:highlight w:val="none"/>
                      <w:lang w:val="en-US" w:eastAsia="zh-CN"/>
                    </w:rPr>
                    <w:t>35</w:t>
                  </w:r>
                </w:p>
              </w:tc>
              <w:tc>
                <w:tcPr>
                  <w:tcW w:w="359" w:type="pct"/>
                  <w:noWrap w:val="0"/>
                  <w:vAlign w:val="center"/>
                </w:tcPr>
                <w:p w14:paraId="146FCA74">
                  <w:pPr>
                    <w:pStyle w:val="21"/>
                    <w:keepNext w:val="0"/>
                    <w:keepLines w:val="0"/>
                    <w:suppressLineNumbers w:val="0"/>
                    <w:pBdr>
                      <w:bottom w:val="none" w:color="auto" w:sz="0" w:space="0"/>
                    </w:pBdr>
                    <w:tabs>
                      <w:tab w:val="clear" w:pos="4153"/>
                      <w:tab w:val="clear" w:pos="8306"/>
                    </w:tabs>
                    <w:snapToGrid/>
                    <w:spacing w:before="0" w:beforeAutospacing="0" w:after="0" w:afterAutospacing="0"/>
                    <w:ind w:left="0" w:right="0"/>
                    <w:rPr>
                      <w:rFonts w:hint="default" w:eastAsia="宋体"/>
                      <w:sz w:val="21"/>
                      <w:szCs w:val="21"/>
                      <w:highlight w:val="none"/>
                      <w:lang w:val="en-US" w:eastAsia="zh-CN"/>
                    </w:rPr>
                  </w:pPr>
                  <w:r>
                    <w:rPr>
                      <w:rFonts w:hint="eastAsia"/>
                      <w:sz w:val="21"/>
                      <w:szCs w:val="21"/>
                      <w:highlight w:val="none"/>
                      <w:lang w:val="en-US" w:eastAsia="zh-CN"/>
                    </w:rPr>
                    <w:t>250</w:t>
                  </w:r>
                </w:p>
              </w:tc>
              <w:tc>
                <w:tcPr>
                  <w:tcW w:w="395" w:type="pct"/>
                  <w:noWrap w:val="0"/>
                  <w:vAlign w:val="center"/>
                </w:tcPr>
                <w:p w14:paraId="2ACBF3DE">
                  <w:pPr>
                    <w:pStyle w:val="21"/>
                    <w:keepNext w:val="0"/>
                    <w:keepLines w:val="0"/>
                    <w:suppressLineNumbers w:val="0"/>
                    <w:pBdr>
                      <w:bottom w:val="none" w:color="auto" w:sz="0" w:space="0"/>
                    </w:pBdr>
                    <w:tabs>
                      <w:tab w:val="clear" w:pos="4153"/>
                      <w:tab w:val="clear" w:pos="8306"/>
                    </w:tabs>
                    <w:snapToGrid/>
                    <w:spacing w:before="0" w:beforeAutospacing="0" w:after="0" w:afterAutospacing="0"/>
                    <w:ind w:left="0" w:right="0"/>
                    <w:rPr>
                      <w:rFonts w:hint="default" w:eastAsia="宋体"/>
                      <w:sz w:val="21"/>
                      <w:szCs w:val="21"/>
                      <w:highlight w:val="none"/>
                      <w:lang w:val="en-US" w:eastAsia="zh-CN"/>
                    </w:rPr>
                  </w:pPr>
                  <w:r>
                    <w:rPr>
                      <w:rFonts w:hint="eastAsia"/>
                      <w:sz w:val="21"/>
                      <w:szCs w:val="21"/>
                      <w:highlight w:val="none"/>
                      <w:lang w:val="en-US" w:eastAsia="zh-CN"/>
                    </w:rPr>
                    <w:t>4.0</w:t>
                  </w:r>
                </w:p>
              </w:tc>
              <w:tc>
                <w:tcPr>
                  <w:tcW w:w="413" w:type="pct"/>
                  <w:noWrap w:val="0"/>
                  <w:vAlign w:val="center"/>
                </w:tcPr>
                <w:p w14:paraId="1CEEE4FB">
                  <w:pPr>
                    <w:pStyle w:val="21"/>
                    <w:keepNext w:val="0"/>
                    <w:keepLines w:val="0"/>
                    <w:suppressLineNumbers w:val="0"/>
                    <w:pBdr>
                      <w:bottom w:val="none" w:color="auto" w:sz="0" w:space="0"/>
                    </w:pBdr>
                    <w:tabs>
                      <w:tab w:val="clear" w:pos="4153"/>
                      <w:tab w:val="clear" w:pos="8306"/>
                    </w:tabs>
                    <w:snapToGrid/>
                    <w:spacing w:before="0" w:beforeAutospacing="0" w:after="0" w:afterAutospacing="0"/>
                    <w:ind w:left="0" w:right="0"/>
                    <w:rPr>
                      <w:rFonts w:hint="default" w:eastAsia="宋体"/>
                      <w:sz w:val="21"/>
                      <w:szCs w:val="21"/>
                      <w:highlight w:val="none"/>
                      <w:lang w:val="en-US" w:eastAsia="zh-CN"/>
                    </w:rPr>
                  </w:pPr>
                  <w:r>
                    <w:rPr>
                      <w:rFonts w:hint="eastAsia"/>
                      <w:sz w:val="21"/>
                      <w:szCs w:val="21"/>
                      <w:highlight w:val="none"/>
                      <w:lang w:val="en-US" w:eastAsia="zh-CN"/>
                    </w:rPr>
                    <w:t>45</w:t>
                  </w:r>
                </w:p>
              </w:tc>
              <w:tc>
                <w:tcPr>
                  <w:tcW w:w="458" w:type="pct"/>
                  <w:noWrap w:val="0"/>
                  <w:vAlign w:val="center"/>
                </w:tcPr>
                <w:p w14:paraId="76454BA3">
                  <w:pPr>
                    <w:pStyle w:val="21"/>
                    <w:keepNext w:val="0"/>
                    <w:keepLines w:val="0"/>
                    <w:suppressLineNumbers w:val="0"/>
                    <w:pBdr>
                      <w:bottom w:val="none" w:color="auto" w:sz="0" w:space="0"/>
                    </w:pBdr>
                    <w:tabs>
                      <w:tab w:val="clear" w:pos="4153"/>
                      <w:tab w:val="clear" w:pos="8306"/>
                    </w:tabs>
                    <w:snapToGrid/>
                    <w:spacing w:before="0" w:beforeAutospacing="0" w:after="0" w:afterAutospacing="0"/>
                    <w:ind w:left="0" w:right="0"/>
                    <w:rPr>
                      <w:rFonts w:hint="eastAsia"/>
                      <w:sz w:val="21"/>
                      <w:szCs w:val="21"/>
                      <w:highlight w:val="none"/>
                    </w:rPr>
                  </w:pPr>
                  <w:r>
                    <w:rPr>
                      <w:rFonts w:hint="default"/>
                      <w:sz w:val="21"/>
                      <w:szCs w:val="21"/>
                      <w:highlight w:val="none"/>
                    </w:rPr>
                    <w:t>/</w:t>
                  </w:r>
                </w:p>
              </w:tc>
              <w:tc>
                <w:tcPr>
                  <w:tcW w:w="600" w:type="pct"/>
                  <w:noWrap w:val="0"/>
                  <w:vAlign w:val="center"/>
                </w:tcPr>
                <w:p w14:paraId="66D212AA">
                  <w:pPr>
                    <w:pStyle w:val="21"/>
                    <w:keepNext w:val="0"/>
                    <w:keepLines w:val="0"/>
                    <w:suppressLineNumbers w:val="0"/>
                    <w:pBdr>
                      <w:bottom w:val="none" w:color="auto" w:sz="0" w:space="0"/>
                    </w:pBdr>
                    <w:tabs>
                      <w:tab w:val="clear" w:pos="4153"/>
                      <w:tab w:val="clear" w:pos="8306"/>
                    </w:tabs>
                    <w:snapToGrid/>
                    <w:spacing w:before="0" w:beforeAutospacing="0" w:after="0" w:afterAutospacing="0"/>
                    <w:ind w:left="0" w:right="0"/>
                    <w:rPr>
                      <w:rFonts w:hint="eastAsia"/>
                      <w:sz w:val="21"/>
                      <w:szCs w:val="21"/>
                      <w:highlight w:val="none"/>
                      <w:lang w:val="en-US" w:eastAsia="zh-CN"/>
                    </w:rPr>
                  </w:pPr>
                  <w:r>
                    <w:rPr>
                      <w:rFonts w:hint="default"/>
                      <w:sz w:val="21"/>
                      <w:szCs w:val="21"/>
                      <w:highlight w:val="none"/>
                    </w:rPr>
                    <w:t>/</w:t>
                  </w:r>
                </w:p>
              </w:tc>
            </w:tr>
            <w:tr w14:paraId="6F1701A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340" w:hRule="atLeast"/>
                <w:jc w:val="center"/>
              </w:trPr>
              <w:tc>
                <w:tcPr>
                  <w:tcW w:w="1058" w:type="pct"/>
                  <w:noWrap w:val="0"/>
                  <w:vAlign w:val="center"/>
                </w:tcPr>
                <w:p w14:paraId="44FAAE21">
                  <w:pPr>
                    <w:keepNext w:val="0"/>
                    <w:keepLines w:val="0"/>
                    <w:suppressLineNumbers w:val="0"/>
                    <w:spacing w:before="0" w:beforeAutospacing="0" w:after="0" w:afterAutospacing="0"/>
                    <w:ind w:left="0" w:right="0"/>
                    <w:jc w:val="center"/>
                    <w:rPr>
                      <w:rFonts w:hint="default"/>
                      <w:sz w:val="21"/>
                      <w:szCs w:val="21"/>
                      <w:highlight w:val="none"/>
                    </w:rPr>
                  </w:pPr>
                  <w:r>
                    <w:rPr>
                      <w:rFonts w:hint="default"/>
                      <w:sz w:val="21"/>
                      <w:szCs w:val="21"/>
                      <w:highlight w:val="none"/>
                    </w:rPr>
                    <w:t>GB8978-1996中</w:t>
                  </w:r>
                  <w:r>
                    <w:rPr>
                      <w:rFonts w:hint="eastAsia"/>
                      <w:sz w:val="21"/>
                      <w:szCs w:val="21"/>
                      <w:highlight w:val="none"/>
                    </w:rPr>
                    <w:t>三级标准</w:t>
                  </w:r>
                </w:p>
              </w:tc>
              <w:tc>
                <w:tcPr>
                  <w:tcW w:w="422" w:type="pct"/>
                  <w:noWrap w:val="0"/>
                  <w:vAlign w:val="center"/>
                </w:tcPr>
                <w:p w14:paraId="0FA57ABA">
                  <w:pPr>
                    <w:keepNext w:val="0"/>
                    <w:keepLines w:val="0"/>
                    <w:suppressLineNumbers w:val="0"/>
                    <w:spacing w:before="0" w:beforeAutospacing="0" w:after="0" w:afterAutospacing="0"/>
                    <w:ind w:left="0" w:right="0"/>
                    <w:jc w:val="center"/>
                    <w:rPr>
                      <w:rFonts w:hint="default"/>
                      <w:sz w:val="21"/>
                      <w:szCs w:val="21"/>
                      <w:highlight w:val="none"/>
                    </w:rPr>
                  </w:pPr>
                  <w:r>
                    <w:rPr>
                      <w:rFonts w:hint="default"/>
                      <w:sz w:val="21"/>
                      <w:szCs w:val="21"/>
                      <w:highlight w:val="none"/>
                    </w:rPr>
                    <w:t>/</w:t>
                  </w:r>
                </w:p>
              </w:tc>
              <w:tc>
                <w:tcPr>
                  <w:tcW w:w="464" w:type="pct"/>
                  <w:noWrap w:val="0"/>
                  <w:vAlign w:val="center"/>
                </w:tcPr>
                <w:p w14:paraId="7B2F7D44">
                  <w:pPr>
                    <w:keepNext w:val="0"/>
                    <w:keepLines w:val="0"/>
                    <w:suppressLineNumbers w:val="0"/>
                    <w:spacing w:before="0" w:beforeAutospacing="0" w:after="0" w:afterAutospacing="0"/>
                    <w:ind w:left="0" w:right="0"/>
                    <w:jc w:val="center"/>
                    <w:rPr>
                      <w:rFonts w:hint="default"/>
                      <w:sz w:val="21"/>
                      <w:szCs w:val="21"/>
                      <w:highlight w:val="none"/>
                    </w:rPr>
                  </w:pPr>
                  <w:r>
                    <w:rPr>
                      <w:rFonts w:hint="default"/>
                      <w:sz w:val="21"/>
                      <w:szCs w:val="21"/>
                      <w:highlight w:val="none"/>
                    </w:rPr>
                    <w:t>/</w:t>
                  </w:r>
                </w:p>
              </w:tc>
              <w:tc>
                <w:tcPr>
                  <w:tcW w:w="443" w:type="pct"/>
                  <w:noWrap w:val="0"/>
                  <w:vAlign w:val="center"/>
                </w:tcPr>
                <w:p w14:paraId="3292C7C6">
                  <w:pPr>
                    <w:keepNext w:val="0"/>
                    <w:keepLines w:val="0"/>
                    <w:suppressLineNumbers w:val="0"/>
                    <w:spacing w:before="0" w:beforeAutospacing="0" w:after="0" w:afterAutospacing="0"/>
                    <w:ind w:left="0" w:right="0"/>
                    <w:jc w:val="center"/>
                    <w:rPr>
                      <w:rFonts w:hint="default"/>
                      <w:sz w:val="21"/>
                      <w:szCs w:val="21"/>
                      <w:highlight w:val="none"/>
                    </w:rPr>
                  </w:pPr>
                  <w:r>
                    <w:rPr>
                      <w:rFonts w:hint="default"/>
                      <w:sz w:val="21"/>
                      <w:szCs w:val="21"/>
                      <w:highlight w:val="none"/>
                    </w:rPr>
                    <w:t>/</w:t>
                  </w:r>
                </w:p>
              </w:tc>
              <w:tc>
                <w:tcPr>
                  <w:tcW w:w="386" w:type="pct"/>
                  <w:noWrap w:val="0"/>
                  <w:vAlign w:val="center"/>
                </w:tcPr>
                <w:p w14:paraId="02985F02">
                  <w:pPr>
                    <w:keepNext w:val="0"/>
                    <w:keepLines w:val="0"/>
                    <w:suppressLineNumbers w:val="0"/>
                    <w:spacing w:before="0" w:beforeAutospacing="0" w:after="0" w:afterAutospacing="0"/>
                    <w:ind w:left="0" w:right="0"/>
                    <w:jc w:val="center"/>
                    <w:rPr>
                      <w:rFonts w:hint="default"/>
                      <w:sz w:val="21"/>
                      <w:szCs w:val="21"/>
                      <w:highlight w:val="none"/>
                    </w:rPr>
                  </w:pPr>
                  <w:r>
                    <w:rPr>
                      <w:rFonts w:hint="default"/>
                      <w:sz w:val="21"/>
                      <w:szCs w:val="21"/>
                      <w:highlight w:val="none"/>
                    </w:rPr>
                    <w:t>/</w:t>
                  </w:r>
                </w:p>
              </w:tc>
              <w:tc>
                <w:tcPr>
                  <w:tcW w:w="359" w:type="pct"/>
                  <w:noWrap w:val="0"/>
                  <w:vAlign w:val="center"/>
                </w:tcPr>
                <w:p w14:paraId="7706835B">
                  <w:pPr>
                    <w:pStyle w:val="21"/>
                    <w:keepNext w:val="0"/>
                    <w:keepLines w:val="0"/>
                    <w:suppressLineNumbers w:val="0"/>
                    <w:pBdr>
                      <w:bottom w:val="none" w:color="auto" w:sz="0" w:space="0"/>
                    </w:pBdr>
                    <w:tabs>
                      <w:tab w:val="clear" w:pos="4153"/>
                      <w:tab w:val="clear" w:pos="8306"/>
                    </w:tabs>
                    <w:snapToGrid/>
                    <w:spacing w:before="0" w:beforeAutospacing="0" w:after="0" w:afterAutospacing="0"/>
                    <w:ind w:left="0" w:right="0"/>
                    <w:rPr>
                      <w:rFonts w:hint="default"/>
                      <w:sz w:val="21"/>
                      <w:szCs w:val="21"/>
                      <w:highlight w:val="none"/>
                    </w:rPr>
                  </w:pPr>
                  <w:r>
                    <w:rPr>
                      <w:rFonts w:hint="eastAsia"/>
                      <w:sz w:val="21"/>
                      <w:szCs w:val="21"/>
                      <w:highlight w:val="none"/>
                    </w:rPr>
                    <w:t>/</w:t>
                  </w:r>
                </w:p>
              </w:tc>
              <w:tc>
                <w:tcPr>
                  <w:tcW w:w="395" w:type="pct"/>
                  <w:noWrap w:val="0"/>
                  <w:vAlign w:val="center"/>
                </w:tcPr>
                <w:p w14:paraId="6B192A2E">
                  <w:pPr>
                    <w:keepNext w:val="0"/>
                    <w:keepLines w:val="0"/>
                    <w:suppressLineNumbers w:val="0"/>
                    <w:pBdr>
                      <w:bottom w:val="none" w:color="auto" w:sz="0" w:space="0"/>
                    </w:pBdr>
                    <w:snapToGrid/>
                    <w:spacing w:before="0" w:beforeAutospacing="0" w:after="0" w:afterAutospacing="0"/>
                    <w:ind w:left="0" w:right="0"/>
                    <w:jc w:val="center"/>
                    <w:rPr>
                      <w:rFonts w:hint="default"/>
                      <w:sz w:val="21"/>
                      <w:szCs w:val="21"/>
                      <w:highlight w:val="none"/>
                    </w:rPr>
                  </w:pPr>
                  <w:r>
                    <w:rPr>
                      <w:rFonts w:hint="eastAsia"/>
                      <w:sz w:val="21"/>
                      <w:szCs w:val="21"/>
                      <w:highlight w:val="none"/>
                    </w:rPr>
                    <w:t>/</w:t>
                  </w:r>
                </w:p>
              </w:tc>
              <w:tc>
                <w:tcPr>
                  <w:tcW w:w="413" w:type="pct"/>
                  <w:noWrap w:val="0"/>
                  <w:vAlign w:val="center"/>
                </w:tcPr>
                <w:p w14:paraId="3DD994B7">
                  <w:pPr>
                    <w:keepNext w:val="0"/>
                    <w:keepLines w:val="0"/>
                    <w:suppressLineNumbers w:val="0"/>
                    <w:pBdr>
                      <w:bottom w:val="none" w:color="auto" w:sz="0" w:space="0"/>
                    </w:pBdr>
                    <w:snapToGrid/>
                    <w:spacing w:before="0" w:beforeAutospacing="0" w:after="0" w:afterAutospacing="0"/>
                    <w:ind w:left="0" w:right="0"/>
                    <w:jc w:val="center"/>
                    <w:rPr>
                      <w:rFonts w:hint="default"/>
                      <w:sz w:val="21"/>
                      <w:szCs w:val="21"/>
                      <w:highlight w:val="none"/>
                    </w:rPr>
                  </w:pPr>
                  <w:r>
                    <w:rPr>
                      <w:rFonts w:hint="eastAsia"/>
                      <w:sz w:val="21"/>
                      <w:szCs w:val="21"/>
                      <w:highlight w:val="none"/>
                    </w:rPr>
                    <w:t>/</w:t>
                  </w:r>
                </w:p>
              </w:tc>
              <w:tc>
                <w:tcPr>
                  <w:tcW w:w="458" w:type="pct"/>
                  <w:noWrap w:val="0"/>
                  <w:vAlign w:val="center"/>
                </w:tcPr>
                <w:p w14:paraId="7FC7F59E">
                  <w:pPr>
                    <w:pStyle w:val="21"/>
                    <w:keepNext w:val="0"/>
                    <w:keepLines w:val="0"/>
                    <w:suppressLineNumbers w:val="0"/>
                    <w:pBdr>
                      <w:bottom w:val="none" w:color="auto" w:sz="0" w:space="0"/>
                    </w:pBdr>
                    <w:tabs>
                      <w:tab w:val="clear" w:pos="4153"/>
                      <w:tab w:val="clear" w:pos="8306"/>
                    </w:tabs>
                    <w:snapToGrid/>
                    <w:spacing w:before="0" w:beforeAutospacing="0" w:after="0" w:afterAutospacing="0"/>
                    <w:ind w:left="0" w:right="0"/>
                    <w:rPr>
                      <w:rFonts w:hint="default" w:eastAsia="宋体"/>
                      <w:sz w:val="21"/>
                      <w:szCs w:val="21"/>
                      <w:highlight w:val="none"/>
                      <w:lang w:val="en-US" w:eastAsia="zh-CN"/>
                    </w:rPr>
                  </w:pPr>
                  <w:r>
                    <w:rPr>
                      <w:rFonts w:hint="eastAsia"/>
                      <w:sz w:val="21"/>
                      <w:szCs w:val="21"/>
                      <w:highlight w:val="none"/>
                      <w:lang w:val="en-US" w:eastAsia="zh-CN"/>
                    </w:rPr>
                    <w:t>100</w:t>
                  </w:r>
                </w:p>
              </w:tc>
              <w:tc>
                <w:tcPr>
                  <w:tcW w:w="600" w:type="pct"/>
                  <w:noWrap w:val="0"/>
                  <w:vAlign w:val="center"/>
                </w:tcPr>
                <w:p w14:paraId="37FE041C">
                  <w:pPr>
                    <w:pStyle w:val="21"/>
                    <w:keepNext w:val="0"/>
                    <w:keepLines w:val="0"/>
                    <w:suppressLineNumbers w:val="0"/>
                    <w:pBdr>
                      <w:bottom w:val="none" w:color="auto" w:sz="0" w:space="0"/>
                    </w:pBdr>
                    <w:tabs>
                      <w:tab w:val="clear" w:pos="4153"/>
                      <w:tab w:val="clear" w:pos="8306"/>
                    </w:tabs>
                    <w:snapToGrid/>
                    <w:spacing w:before="0" w:beforeAutospacing="0" w:after="0" w:afterAutospacing="0"/>
                    <w:ind w:left="0" w:right="0"/>
                    <w:rPr>
                      <w:rFonts w:hint="default" w:eastAsia="宋体"/>
                      <w:sz w:val="21"/>
                      <w:szCs w:val="21"/>
                      <w:highlight w:val="none"/>
                      <w:lang w:val="en-US" w:eastAsia="zh-CN"/>
                    </w:rPr>
                  </w:pPr>
                  <w:r>
                    <w:rPr>
                      <w:rFonts w:hint="eastAsia" w:ascii="Times New Roman"/>
                      <w:sz w:val="21"/>
                      <w:szCs w:val="21"/>
                      <w:highlight w:val="none"/>
                      <w:lang w:val="en-US"/>
                    </w:rPr>
                    <w:t>5000个/L</w:t>
                  </w:r>
                </w:p>
              </w:tc>
            </w:tr>
            <w:tr w14:paraId="107D177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340" w:hRule="atLeast"/>
                <w:jc w:val="center"/>
              </w:trPr>
              <w:tc>
                <w:tcPr>
                  <w:tcW w:w="1058" w:type="pct"/>
                  <w:noWrap w:val="0"/>
                  <w:vAlign w:val="center"/>
                </w:tcPr>
                <w:p w14:paraId="70C76FB2">
                  <w:pPr>
                    <w:keepNext w:val="0"/>
                    <w:keepLines w:val="0"/>
                    <w:suppressLineNumbers w:val="0"/>
                    <w:spacing w:before="0" w:beforeAutospacing="0" w:after="0" w:afterAutospacing="0"/>
                    <w:ind w:left="0" w:right="0"/>
                    <w:jc w:val="center"/>
                    <w:rPr>
                      <w:rFonts w:hint="default"/>
                      <w:sz w:val="21"/>
                      <w:szCs w:val="21"/>
                      <w:highlight w:val="none"/>
                    </w:rPr>
                  </w:pPr>
                  <w:r>
                    <w:rPr>
                      <w:rFonts w:hint="eastAsia"/>
                      <w:sz w:val="21"/>
                      <w:szCs w:val="21"/>
                      <w:highlight w:val="none"/>
                    </w:rPr>
                    <w:t>执行标准</w:t>
                  </w:r>
                </w:p>
              </w:tc>
              <w:tc>
                <w:tcPr>
                  <w:tcW w:w="422" w:type="pct"/>
                  <w:noWrap w:val="0"/>
                  <w:vAlign w:val="center"/>
                </w:tcPr>
                <w:p w14:paraId="3A183482">
                  <w:pPr>
                    <w:keepNext w:val="0"/>
                    <w:keepLines w:val="0"/>
                    <w:suppressLineNumbers w:val="0"/>
                    <w:spacing w:before="0" w:beforeAutospacing="0" w:after="0" w:afterAutospacing="0"/>
                    <w:ind w:left="0" w:right="0"/>
                    <w:jc w:val="center"/>
                    <w:rPr>
                      <w:rFonts w:hint="default"/>
                      <w:sz w:val="21"/>
                      <w:szCs w:val="21"/>
                      <w:highlight w:val="none"/>
                    </w:rPr>
                  </w:pPr>
                  <w:r>
                    <w:rPr>
                      <w:rFonts w:hint="default"/>
                      <w:sz w:val="21"/>
                      <w:szCs w:val="21"/>
                      <w:highlight w:val="none"/>
                    </w:rPr>
                    <w:t>6～9</w:t>
                  </w:r>
                </w:p>
              </w:tc>
              <w:tc>
                <w:tcPr>
                  <w:tcW w:w="464" w:type="pct"/>
                  <w:noWrap w:val="0"/>
                  <w:vAlign w:val="center"/>
                </w:tcPr>
                <w:p w14:paraId="739C216F">
                  <w:pPr>
                    <w:keepNext w:val="0"/>
                    <w:keepLines w:val="0"/>
                    <w:suppressLineNumbers w:val="0"/>
                    <w:spacing w:before="0" w:beforeAutospacing="0" w:after="0" w:afterAutospacing="0"/>
                    <w:ind w:left="0" w:right="0"/>
                    <w:jc w:val="center"/>
                    <w:rPr>
                      <w:rFonts w:hint="default"/>
                      <w:sz w:val="21"/>
                      <w:szCs w:val="21"/>
                      <w:highlight w:val="none"/>
                    </w:rPr>
                  </w:pPr>
                  <w:r>
                    <w:rPr>
                      <w:rFonts w:hint="eastAsia"/>
                      <w:sz w:val="21"/>
                      <w:szCs w:val="21"/>
                      <w:highlight w:val="none"/>
                      <w:lang w:val="en-US" w:eastAsia="zh-CN"/>
                    </w:rPr>
                    <w:t>400</w:t>
                  </w:r>
                </w:p>
              </w:tc>
              <w:tc>
                <w:tcPr>
                  <w:tcW w:w="443" w:type="pct"/>
                  <w:noWrap w:val="0"/>
                  <w:vAlign w:val="center"/>
                </w:tcPr>
                <w:p w14:paraId="270ADA3A">
                  <w:pPr>
                    <w:keepNext w:val="0"/>
                    <w:keepLines w:val="0"/>
                    <w:suppressLineNumbers w:val="0"/>
                    <w:spacing w:before="0" w:beforeAutospacing="0" w:after="0" w:afterAutospacing="0"/>
                    <w:ind w:left="0" w:right="0"/>
                    <w:jc w:val="center"/>
                    <w:rPr>
                      <w:rFonts w:hint="default"/>
                      <w:sz w:val="21"/>
                      <w:szCs w:val="21"/>
                      <w:highlight w:val="none"/>
                    </w:rPr>
                  </w:pPr>
                  <w:r>
                    <w:rPr>
                      <w:rFonts w:hint="eastAsia"/>
                      <w:sz w:val="21"/>
                      <w:szCs w:val="21"/>
                      <w:highlight w:val="none"/>
                      <w:lang w:val="en-US" w:eastAsia="zh-CN"/>
                    </w:rPr>
                    <w:t>200</w:t>
                  </w:r>
                </w:p>
              </w:tc>
              <w:tc>
                <w:tcPr>
                  <w:tcW w:w="386" w:type="pct"/>
                  <w:noWrap w:val="0"/>
                  <w:vAlign w:val="center"/>
                </w:tcPr>
                <w:p w14:paraId="68AE6577">
                  <w:pPr>
                    <w:keepNext w:val="0"/>
                    <w:keepLines w:val="0"/>
                    <w:suppressLineNumbers w:val="0"/>
                    <w:spacing w:before="0" w:beforeAutospacing="0" w:after="0" w:afterAutospacing="0"/>
                    <w:ind w:left="0" w:right="0"/>
                    <w:jc w:val="center"/>
                    <w:rPr>
                      <w:rFonts w:hint="default"/>
                      <w:sz w:val="21"/>
                      <w:szCs w:val="21"/>
                      <w:highlight w:val="none"/>
                    </w:rPr>
                  </w:pPr>
                  <w:r>
                    <w:rPr>
                      <w:rFonts w:hint="eastAsia"/>
                      <w:sz w:val="21"/>
                      <w:szCs w:val="21"/>
                      <w:highlight w:val="none"/>
                      <w:lang w:val="en-US" w:eastAsia="zh-CN"/>
                    </w:rPr>
                    <w:t>35</w:t>
                  </w:r>
                </w:p>
              </w:tc>
              <w:tc>
                <w:tcPr>
                  <w:tcW w:w="359" w:type="pct"/>
                  <w:noWrap w:val="0"/>
                  <w:vAlign w:val="center"/>
                </w:tcPr>
                <w:p w14:paraId="22DA6060">
                  <w:pPr>
                    <w:pStyle w:val="21"/>
                    <w:keepNext w:val="0"/>
                    <w:keepLines w:val="0"/>
                    <w:suppressLineNumbers w:val="0"/>
                    <w:pBdr>
                      <w:bottom w:val="none" w:color="auto" w:sz="0" w:space="0"/>
                    </w:pBdr>
                    <w:tabs>
                      <w:tab w:val="clear" w:pos="4153"/>
                      <w:tab w:val="clear" w:pos="8306"/>
                    </w:tabs>
                    <w:snapToGrid/>
                    <w:spacing w:before="0" w:beforeAutospacing="0" w:after="0" w:afterAutospacing="0"/>
                    <w:ind w:left="0" w:right="0"/>
                    <w:rPr>
                      <w:rFonts w:hint="default"/>
                      <w:sz w:val="21"/>
                      <w:szCs w:val="21"/>
                      <w:highlight w:val="none"/>
                    </w:rPr>
                  </w:pPr>
                  <w:r>
                    <w:rPr>
                      <w:rFonts w:hint="eastAsia"/>
                      <w:sz w:val="21"/>
                      <w:szCs w:val="21"/>
                      <w:highlight w:val="none"/>
                      <w:lang w:val="en-US" w:eastAsia="zh-CN"/>
                    </w:rPr>
                    <w:t>250</w:t>
                  </w:r>
                </w:p>
              </w:tc>
              <w:tc>
                <w:tcPr>
                  <w:tcW w:w="395" w:type="pct"/>
                  <w:noWrap w:val="0"/>
                  <w:vAlign w:val="center"/>
                </w:tcPr>
                <w:p w14:paraId="60477584">
                  <w:pPr>
                    <w:pStyle w:val="21"/>
                    <w:keepNext w:val="0"/>
                    <w:keepLines w:val="0"/>
                    <w:suppressLineNumbers w:val="0"/>
                    <w:pBdr>
                      <w:bottom w:val="none" w:color="auto" w:sz="0" w:space="0"/>
                    </w:pBdr>
                    <w:tabs>
                      <w:tab w:val="clear" w:pos="4153"/>
                      <w:tab w:val="clear" w:pos="8306"/>
                    </w:tabs>
                    <w:snapToGrid/>
                    <w:spacing w:before="0" w:beforeAutospacing="0" w:after="0" w:afterAutospacing="0"/>
                    <w:ind w:left="0" w:right="0"/>
                    <w:rPr>
                      <w:rFonts w:hint="default"/>
                      <w:sz w:val="21"/>
                      <w:szCs w:val="21"/>
                      <w:highlight w:val="none"/>
                    </w:rPr>
                  </w:pPr>
                  <w:r>
                    <w:rPr>
                      <w:rFonts w:hint="eastAsia"/>
                      <w:sz w:val="21"/>
                      <w:szCs w:val="21"/>
                      <w:highlight w:val="none"/>
                      <w:lang w:val="en-US" w:eastAsia="zh-CN"/>
                    </w:rPr>
                    <w:t>4.0</w:t>
                  </w:r>
                </w:p>
              </w:tc>
              <w:tc>
                <w:tcPr>
                  <w:tcW w:w="413" w:type="pct"/>
                  <w:noWrap w:val="0"/>
                  <w:vAlign w:val="center"/>
                </w:tcPr>
                <w:p w14:paraId="023A9F0A">
                  <w:pPr>
                    <w:pStyle w:val="21"/>
                    <w:keepNext w:val="0"/>
                    <w:keepLines w:val="0"/>
                    <w:suppressLineNumbers w:val="0"/>
                    <w:pBdr>
                      <w:bottom w:val="none" w:color="auto" w:sz="0" w:space="0"/>
                    </w:pBdr>
                    <w:tabs>
                      <w:tab w:val="clear" w:pos="4153"/>
                      <w:tab w:val="clear" w:pos="8306"/>
                    </w:tabs>
                    <w:snapToGrid/>
                    <w:spacing w:before="0" w:beforeAutospacing="0" w:after="0" w:afterAutospacing="0"/>
                    <w:ind w:left="0" w:right="0"/>
                    <w:rPr>
                      <w:rFonts w:hint="default"/>
                      <w:sz w:val="21"/>
                      <w:szCs w:val="21"/>
                      <w:highlight w:val="none"/>
                    </w:rPr>
                  </w:pPr>
                  <w:r>
                    <w:rPr>
                      <w:rFonts w:hint="eastAsia"/>
                      <w:sz w:val="21"/>
                      <w:szCs w:val="21"/>
                      <w:highlight w:val="none"/>
                      <w:lang w:val="en-US" w:eastAsia="zh-CN"/>
                    </w:rPr>
                    <w:t>45</w:t>
                  </w:r>
                </w:p>
              </w:tc>
              <w:tc>
                <w:tcPr>
                  <w:tcW w:w="458" w:type="pct"/>
                  <w:noWrap w:val="0"/>
                  <w:vAlign w:val="center"/>
                </w:tcPr>
                <w:p w14:paraId="7DDA39B2">
                  <w:pPr>
                    <w:pStyle w:val="21"/>
                    <w:keepNext w:val="0"/>
                    <w:keepLines w:val="0"/>
                    <w:suppressLineNumbers w:val="0"/>
                    <w:pBdr>
                      <w:bottom w:val="none" w:color="auto" w:sz="0" w:space="0"/>
                    </w:pBdr>
                    <w:tabs>
                      <w:tab w:val="clear" w:pos="4153"/>
                      <w:tab w:val="clear" w:pos="8306"/>
                    </w:tabs>
                    <w:snapToGrid/>
                    <w:spacing w:before="0" w:beforeAutospacing="0" w:after="0" w:afterAutospacing="0"/>
                    <w:ind w:left="0" w:right="0"/>
                    <w:rPr>
                      <w:rFonts w:hint="default"/>
                      <w:sz w:val="21"/>
                      <w:szCs w:val="21"/>
                      <w:highlight w:val="none"/>
                    </w:rPr>
                  </w:pPr>
                  <w:r>
                    <w:rPr>
                      <w:rFonts w:hint="eastAsia"/>
                      <w:sz w:val="21"/>
                      <w:szCs w:val="21"/>
                      <w:highlight w:val="none"/>
                    </w:rPr>
                    <w:t>1</w:t>
                  </w:r>
                  <w:r>
                    <w:rPr>
                      <w:rFonts w:hint="default"/>
                      <w:sz w:val="21"/>
                      <w:szCs w:val="21"/>
                      <w:highlight w:val="none"/>
                    </w:rPr>
                    <w:t>00</w:t>
                  </w:r>
                </w:p>
              </w:tc>
              <w:tc>
                <w:tcPr>
                  <w:tcW w:w="600" w:type="pct"/>
                  <w:noWrap w:val="0"/>
                  <w:vAlign w:val="center"/>
                </w:tcPr>
                <w:p w14:paraId="2E85D399">
                  <w:pPr>
                    <w:pStyle w:val="21"/>
                    <w:keepNext w:val="0"/>
                    <w:keepLines w:val="0"/>
                    <w:suppressLineNumbers w:val="0"/>
                    <w:pBdr>
                      <w:bottom w:val="none" w:color="auto" w:sz="0" w:space="0"/>
                    </w:pBdr>
                    <w:tabs>
                      <w:tab w:val="clear" w:pos="4153"/>
                      <w:tab w:val="clear" w:pos="8306"/>
                    </w:tabs>
                    <w:snapToGrid/>
                    <w:spacing w:before="0" w:beforeAutospacing="0" w:after="0" w:afterAutospacing="0"/>
                    <w:ind w:left="0" w:right="0"/>
                    <w:rPr>
                      <w:rFonts w:hint="default" w:eastAsia="宋体"/>
                      <w:sz w:val="21"/>
                      <w:szCs w:val="21"/>
                      <w:highlight w:val="none"/>
                      <w:lang w:val="en-US" w:eastAsia="zh-CN"/>
                    </w:rPr>
                  </w:pPr>
                  <w:r>
                    <w:rPr>
                      <w:rFonts w:hint="eastAsia" w:ascii="Times New Roman"/>
                      <w:sz w:val="21"/>
                      <w:szCs w:val="21"/>
                      <w:highlight w:val="none"/>
                      <w:lang w:val="en-US"/>
                    </w:rPr>
                    <w:t>5000个/L</w:t>
                  </w:r>
                </w:p>
              </w:tc>
            </w:tr>
          </w:tbl>
          <w:p w14:paraId="0EBF621F">
            <w:pPr>
              <w:pStyle w:val="117"/>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60" w:lineRule="auto"/>
              <w:ind w:left="0" w:right="0" w:firstLine="482"/>
              <w:jc w:val="center"/>
              <w:textAlignment w:val="auto"/>
              <w:rPr>
                <w:rFonts w:hint="default" w:ascii="Times New Roman" w:hAnsi="Times New Roman" w:cs="Times New Roman"/>
                <w:b/>
                <w:bCs/>
                <w:sz w:val="21"/>
                <w:szCs w:val="21"/>
                <w:highlight w:val="none"/>
              </w:rPr>
            </w:pPr>
            <w:r>
              <w:rPr>
                <w:rFonts w:hint="default" w:ascii="Times New Roman" w:hAnsi="Times New Roman" w:cs="Times New Roman"/>
                <w:b/>
                <w:bCs/>
                <w:sz w:val="24"/>
                <w:szCs w:val="24"/>
                <w:highlight w:val="none"/>
              </w:rPr>
              <w:t>表3-</w:t>
            </w:r>
            <w:r>
              <w:rPr>
                <w:rFonts w:hint="eastAsia" w:cs="Times New Roman"/>
                <w:b/>
                <w:bCs/>
                <w:sz w:val="24"/>
                <w:szCs w:val="24"/>
                <w:highlight w:val="none"/>
                <w:lang w:val="en-US" w:eastAsia="zh-CN"/>
              </w:rPr>
              <w:t>6</w:t>
            </w:r>
            <w:r>
              <w:rPr>
                <w:rFonts w:hint="eastAsia" w:ascii="Times New Roman" w:hAnsi="Times New Roman" w:cs="Times New Roman"/>
                <w:b/>
                <w:bCs/>
                <w:sz w:val="24"/>
                <w:szCs w:val="24"/>
                <w:highlight w:val="none"/>
              </w:rPr>
              <w:t xml:space="preserve"> 再生水厂尾水</w:t>
            </w:r>
            <w:r>
              <w:rPr>
                <w:rFonts w:hint="default" w:ascii="Times New Roman" w:hAnsi="Times New Roman" w:cs="Times New Roman"/>
                <w:b/>
                <w:bCs/>
                <w:sz w:val="24"/>
                <w:szCs w:val="24"/>
                <w:highlight w:val="none"/>
              </w:rPr>
              <w:t>排放标准</w:t>
            </w:r>
            <w:r>
              <w:rPr>
                <w:rFonts w:hint="eastAsia" w:ascii="Times New Roman" w:hAnsi="Times New Roman" w:cs="Times New Roman"/>
                <w:b/>
                <w:bCs/>
                <w:sz w:val="24"/>
                <w:szCs w:val="24"/>
                <w:highlight w:val="none"/>
              </w:rPr>
              <w:t xml:space="preserve"> </w:t>
            </w:r>
            <w:r>
              <w:rPr>
                <w:rFonts w:hint="default" w:ascii="Times New Roman" w:hAnsi="Times New Roman" w:cs="Times New Roman"/>
                <w:b/>
                <w:bCs/>
                <w:sz w:val="24"/>
                <w:szCs w:val="24"/>
                <w:highlight w:val="none"/>
              </w:rPr>
              <w:t>（单位：mg/L，pH值无量纲）</w:t>
            </w:r>
          </w:p>
          <w:tbl>
            <w:tblPr>
              <w:tblStyle w:val="32"/>
              <w:tblW w:w="4995"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28" w:type="dxa"/>
                <w:bottom w:w="0" w:type="dxa"/>
                <w:right w:w="28" w:type="dxa"/>
              </w:tblCellMar>
            </w:tblPr>
            <w:tblGrid>
              <w:gridCol w:w="1512"/>
              <w:gridCol w:w="780"/>
              <w:gridCol w:w="795"/>
              <w:gridCol w:w="720"/>
              <w:gridCol w:w="780"/>
              <w:gridCol w:w="682"/>
              <w:gridCol w:w="683"/>
              <w:gridCol w:w="795"/>
              <w:gridCol w:w="630"/>
              <w:gridCol w:w="972"/>
            </w:tblGrid>
            <w:tr w14:paraId="34727CE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312" w:hRule="atLeast"/>
                <w:jc w:val="center"/>
              </w:trPr>
              <w:tc>
                <w:tcPr>
                  <w:tcW w:w="905" w:type="pct"/>
                  <w:vAlign w:val="center"/>
                </w:tcPr>
                <w:p w14:paraId="6E077F2B">
                  <w:pPr>
                    <w:keepNext w:val="0"/>
                    <w:keepLines w:val="0"/>
                    <w:suppressLineNumbers w:val="0"/>
                    <w:spacing w:before="0" w:beforeAutospacing="0" w:after="0" w:afterAutospacing="0"/>
                    <w:ind w:left="0" w:right="0"/>
                    <w:jc w:val="center"/>
                    <w:rPr>
                      <w:rFonts w:hint="default"/>
                      <w:sz w:val="21"/>
                      <w:szCs w:val="21"/>
                      <w:highlight w:val="none"/>
                    </w:rPr>
                  </w:pPr>
                  <w:r>
                    <w:rPr>
                      <w:rFonts w:hint="default"/>
                      <w:sz w:val="21"/>
                      <w:szCs w:val="21"/>
                      <w:highlight w:val="none"/>
                    </w:rPr>
                    <w:t>标准类别</w:t>
                  </w:r>
                </w:p>
              </w:tc>
              <w:tc>
                <w:tcPr>
                  <w:tcW w:w="467" w:type="pct"/>
                  <w:vAlign w:val="center"/>
                </w:tcPr>
                <w:p w14:paraId="335F4DAB">
                  <w:pPr>
                    <w:keepNext w:val="0"/>
                    <w:keepLines w:val="0"/>
                    <w:suppressLineNumbers w:val="0"/>
                    <w:spacing w:before="0" w:beforeAutospacing="0" w:after="0" w:afterAutospacing="0"/>
                    <w:ind w:left="0" w:right="0"/>
                    <w:jc w:val="center"/>
                    <w:rPr>
                      <w:rFonts w:hint="default"/>
                      <w:sz w:val="21"/>
                      <w:szCs w:val="21"/>
                      <w:highlight w:val="none"/>
                    </w:rPr>
                  </w:pPr>
                  <w:r>
                    <w:rPr>
                      <w:rFonts w:hint="default"/>
                      <w:sz w:val="21"/>
                      <w:szCs w:val="21"/>
                      <w:highlight w:val="none"/>
                    </w:rPr>
                    <w:t>pH</w:t>
                  </w:r>
                </w:p>
              </w:tc>
              <w:tc>
                <w:tcPr>
                  <w:tcW w:w="476" w:type="pct"/>
                  <w:vAlign w:val="center"/>
                </w:tcPr>
                <w:p w14:paraId="44A6A708">
                  <w:pPr>
                    <w:pStyle w:val="28"/>
                    <w:keepNext w:val="0"/>
                    <w:keepLines w:val="0"/>
                    <w:suppressLineNumbers w:val="0"/>
                    <w:spacing w:before="0" w:beforeAutospacing="0" w:after="0" w:afterAutospacing="0" w:line="240" w:lineRule="auto"/>
                    <w:ind w:left="0" w:right="0"/>
                    <w:rPr>
                      <w:rFonts w:hint="default" w:ascii="Times New Roman" w:hAnsi="Times New Roman"/>
                      <w:sz w:val="21"/>
                      <w:szCs w:val="21"/>
                      <w:highlight w:val="none"/>
                    </w:rPr>
                  </w:pPr>
                  <w:r>
                    <w:rPr>
                      <w:rFonts w:hint="default" w:ascii="Times New Roman" w:hAnsi="Times New Roman"/>
                      <w:sz w:val="21"/>
                      <w:szCs w:val="21"/>
                      <w:highlight w:val="none"/>
                    </w:rPr>
                    <w:t>COD</w:t>
                  </w:r>
                  <w:r>
                    <w:rPr>
                      <w:rFonts w:hint="default" w:ascii="Times New Roman" w:hAnsi="Times New Roman"/>
                      <w:sz w:val="21"/>
                      <w:szCs w:val="21"/>
                      <w:highlight w:val="none"/>
                      <w:vertAlign w:val="subscript"/>
                    </w:rPr>
                    <w:t>Cr</w:t>
                  </w:r>
                </w:p>
              </w:tc>
              <w:tc>
                <w:tcPr>
                  <w:tcW w:w="431" w:type="pct"/>
                  <w:vAlign w:val="center"/>
                </w:tcPr>
                <w:p w14:paraId="1920DCE2">
                  <w:pPr>
                    <w:keepNext w:val="0"/>
                    <w:keepLines w:val="0"/>
                    <w:suppressLineNumbers w:val="0"/>
                    <w:spacing w:before="0" w:beforeAutospacing="0" w:after="0" w:afterAutospacing="0"/>
                    <w:ind w:left="0" w:right="0"/>
                    <w:jc w:val="center"/>
                    <w:rPr>
                      <w:rFonts w:hint="default"/>
                      <w:sz w:val="21"/>
                      <w:szCs w:val="21"/>
                      <w:highlight w:val="none"/>
                      <w:vertAlign w:val="subscript"/>
                    </w:rPr>
                  </w:pPr>
                  <w:r>
                    <w:rPr>
                      <w:rFonts w:hint="default"/>
                      <w:sz w:val="21"/>
                      <w:szCs w:val="21"/>
                      <w:highlight w:val="none"/>
                    </w:rPr>
                    <w:t>BOD</w:t>
                  </w:r>
                  <w:r>
                    <w:rPr>
                      <w:rFonts w:hint="default"/>
                      <w:sz w:val="21"/>
                      <w:szCs w:val="21"/>
                      <w:highlight w:val="none"/>
                      <w:vertAlign w:val="subscript"/>
                    </w:rPr>
                    <w:t>5</w:t>
                  </w:r>
                </w:p>
              </w:tc>
              <w:tc>
                <w:tcPr>
                  <w:tcW w:w="467" w:type="pct"/>
                  <w:vAlign w:val="center"/>
                </w:tcPr>
                <w:p w14:paraId="6D76D475">
                  <w:pPr>
                    <w:keepNext w:val="0"/>
                    <w:keepLines w:val="0"/>
                    <w:suppressLineNumbers w:val="0"/>
                    <w:spacing w:before="0" w:beforeAutospacing="0" w:after="0" w:afterAutospacing="0"/>
                    <w:ind w:left="0" w:right="0"/>
                    <w:jc w:val="center"/>
                    <w:rPr>
                      <w:rFonts w:hint="default"/>
                      <w:sz w:val="21"/>
                      <w:szCs w:val="21"/>
                      <w:highlight w:val="none"/>
                    </w:rPr>
                  </w:pPr>
                  <w:r>
                    <w:rPr>
                      <w:rFonts w:hint="default"/>
                      <w:sz w:val="21"/>
                      <w:szCs w:val="21"/>
                      <w:highlight w:val="none"/>
                    </w:rPr>
                    <w:t>氨氮</w:t>
                  </w:r>
                </w:p>
              </w:tc>
              <w:tc>
                <w:tcPr>
                  <w:tcW w:w="408" w:type="pct"/>
                  <w:vAlign w:val="center"/>
                </w:tcPr>
                <w:p w14:paraId="7A7E0559">
                  <w:pPr>
                    <w:keepNext w:val="0"/>
                    <w:keepLines w:val="0"/>
                    <w:suppressLineNumbers w:val="0"/>
                    <w:spacing w:before="0" w:beforeAutospacing="0" w:after="0" w:afterAutospacing="0"/>
                    <w:ind w:left="0" w:right="0"/>
                    <w:jc w:val="center"/>
                    <w:rPr>
                      <w:rFonts w:hint="default"/>
                      <w:sz w:val="21"/>
                      <w:szCs w:val="21"/>
                      <w:highlight w:val="none"/>
                    </w:rPr>
                  </w:pPr>
                  <w:r>
                    <w:rPr>
                      <w:rFonts w:hint="default"/>
                      <w:sz w:val="21"/>
                      <w:szCs w:val="21"/>
                      <w:highlight w:val="none"/>
                    </w:rPr>
                    <w:t>SS</w:t>
                  </w:r>
                </w:p>
              </w:tc>
              <w:tc>
                <w:tcPr>
                  <w:tcW w:w="409" w:type="pct"/>
                  <w:vAlign w:val="center"/>
                </w:tcPr>
                <w:p w14:paraId="21469535">
                  <w:pPr>
                    <w:keepNext w:val="0"/>
                    <w:keepLines w:val="0"/>
                    <w:suppressLineNumbers w:val="0"/>
                    <w:spacing w:before="0" w:beforeAutospacing="0" w:after="0" w:afterAutospacing="0"/>
                    <w:ind w:left="0" w:right="0"/>
                    <w:jc w:val="center"/>
                    <w:rPr>
                      <w:rFonts w:hint="eastAsia" w:eastAsia="宋体"/>
                      <w:sz w:val="21"/>
                      <w:szCs w:val="21"/>
                      <w:highlight w:val="none"/>
                      <w:lang w:val="en-US" w:eastAsia="zh-CN"/>
                    </w:rPr>
                  </w:pPr>
                  <w:r>
                    <w:rPr>
                      <w:rFonts w:hint="eastAsia"/>
                      <w:sz w:val="21"/>
                      <w:szCs w:val="21"/>
                      <w:highlight w:val="none"/>
                    </w:rPr>
                    <w:t>T</w:t>
                  </w:r>
                  <w:r>
                    <w:rPr>
                      <w:rFonts w:hint="default"/>
                      <w:sz w:val="21"/>
                      <w:szCs w:val="21"/>
                      <w:highlight w:val="none"/>
                    </w:rPr>
                    <w:t>P</w:t>
                  </w:r>
                </w:p>
              </w:tc>
              <w:tc>
                <w:tcPr>
                  <w:tcW w:w="476" w:type="pct"/>
                  <w:vAlign w:val="center"/>
                </w:tcPr>
                <w:p w14:paraId="38529502">
                  <w:pPr>
                    <w:keepNext w:val="0"/>
                    <w:keepLines w:val="0"/>
                    <w:suppressLineNumbers w:val="0"/>
                    <w:spacing w:before="0" w:beforeAutospacing="0" w:after="0" w:afterAutospacing="0"/>
                    <w:ind w:left="0" w:right="0"/>
                    <w:jc w:val="center"/>
                    <w:rPr>
                      <w:rFonts w:hint="default"/>
                      <w:sz w:val="21"/>
                      <w:szCs w:val="21"/>
                      <w:highlight w:val="none"/>
                      <w:lang w:val="en-US"/>
                    </w:rPr>
                  </w:pPr>
                  <w:r>
                    <w:rPr>
                      <w:rFonts w:hint="eastAsia"/>
                      <w:sz w:val="21"/>
                      <w:szCs w:val="21"/>
                      <w:highlight w:val="none"/>
                    </w:rPr>
                    <w:t>T</w:t>
                  </w:r>
                  <w:r>
                    <w:rPr>
                      <w:rFonts w:hint="default"/>
                      <w:sz w:val="21"/>
                      <w:szCs w:val="21"/>
                      <w:highlight w:val="none"/>
                    </w:rPr>
                    <w:t>N</w:t>
                  </w:r>
                </w:p>
              </w:tc>
              <w:tc>
                <w:tcPr>
                  <w:tcW w:w="377" w:type="pct"/>
                  <w:vAlign w:val="center"/>
                </w:tcPr>
                <w:p w14:paraId="2539D241">
                  <w:pPr>
                    <w:keepNext w:val="0"/>
                    <w:keepLines w:val="0"/>
                    <w:suppressLineNumbers w:val="0"/>
                    <w:spacing w:before="0" w:beforeAutospacing="0" w:after="0" w:afterAutospacing="0"/>
                    <w:ind w:left="0" w:right="0"/>
                    <w:jc w:val="center"/>
                    <w:rPr>
                      <w:rFonts w:hint="default"/>
                      <w:sz w:val="21"/>
                      <w:szCs w:val="21"/>
                      <w:highlight w:val="none"/>
                    </w:rPr>
                  </w:pPr>
                  <w:r>
                    <w:rPr>
                      <w:rFonts w:hint="default"/>
                      <w:sz w:val="21"/>
                      <w:szCs w:val="21"/>
                      <w:highlight w:val="none"/>
                    </w:rPr>
                    <w:t>动植物油</w:t>
                  </w:r>
                </w:p>
              </w:tc>
              <w:tc>
                <w:tcPr>
                  <w:tcW w:w="582" w:type="pct"/>
                  <w:vAlign w:val="center"/>
                </w:tcPr>
                <w:p w14:paraId="5D81758E">
                  <w:pPr>
                    <w:keepNext w:val="0"/>
                    <w:keepLines w:val="0"/>
                    <w:suppressLineNumbers w:val="0"/>
                    <w:spacing w:before="0" w:beforeAutospacing="0" w:after="0" w:afterAutospacing="0"/>
                    <w:ind w:left="0" w:right="0"/>
                    <w:jc w:val="center"/>
                    <w:rPr>
                      <w:rFonts w:hint="default" w:eastAsia="宋体"/>
                      <w:sz w:val="21"/>
                      <w:szCs w:val="21"/>
                      <w:highlight w:val="none"/>
                      <w:lang w:val="en-US" w:eastAsia="zh-CN"/>
                    </w:rPr>
                  </w:pPr>
                  <w:r>
                    <w:rPr>
                      <w:rFonts w:hint="eastAsia" w:ascii="Times New Roman"/>
                      <w:sz w:val="21"/>
                      <w:szCs w:val="21"/>
                      <w:highlight w:val="none"/>
                      <w:lang w:val="en-US"/>
                    </w:rPr>
                    <w:t>粪大肠菌群数</w:t>
                  </w:r>
                </w:p>
              </w:tc>
            </w:tr>
            <w:tr w14:paraId="167E284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312" w:hRule="atLeast"/>
                <w:jc w:val="center"/>
              </w:trPr>
              <w:tc>
                <w:tcPr>
                  <w:tcW w:w="905" w:type="pct"/>
                  <w:vAlign w:val="center"/>
                </w:tcPr>
                <w:p w14:paraId="2F3CEFD3">
                  <w:pPr>
                    <w:keepNext w:val="0"/>
                    <w:keepLines w:val="0"/>
                    <w:suppressLineNumbers w:val="0"/>
                    <w:spacing w:before="0" w:beforeAutospacing="0" w:after="0" w:afterAutospacing="0"/>
                    <w:ind w:left="0" w:right="0"/>
                    <w:jc w:val="center"/>
                    <w:rPr>
                      <w:rFonts w:hint="default"/>
                      <w:sz w:val="21"/>
                      <w:szCs w:val="21"/>
                      <w:highlight w:val="none"/>
                    </w:rPr>
                  </w:pPr>
                  <w:r>
                    <w:rPr>
                      <w:rFonts w:hint="default"/>
                      <w:sz w:val="21"/>
                      <w:szCs w:val="21"/>
                      <w:highlight w:val="none"/>
                    </w:rPr>
                    <w:t>DB33/2169-2018表2限值</w:t>
                  </w:r>
                </w:p>
              </w:tc>
              <w:tc>
                <w:tcPr>
                  <w:tcW w:w="467" w:type="pct"/>
                  <w:vAlign w:val="center"/>
                </w:tcPr>
                <w:p w14:paraId="5B44A20B">
                  <w:pPr>
                    <w:keepNext w:val="0"/>
                    <w:keepLines w:val="0"/>
                    <w:suppressLineNumbers w:val="0"/>
                    <w:spacing w:before="0" w:beforeAutospacing="0" w:after="0" w:afterAutospacing="0"/>
                    <w:ind w:left="0" w:right="0"/>
                    <w:jc w:val="center"/>
                    <w:rPr>
                      <w:rFonts w:hint="default"/>
                      <w:sz w:val="21"/>
                      <w:szCs w:val="21"/>
                      <w:highlight w:val="none"/>
                    </w:rPr>
                  </w:pPr>
                  <w:r>
                    <w:rPr>
                      <w:rFonts w:hint="default"/>
                      <w:sz w:val="21"/>
                      <w:szCs w:val="21"/>
                      <w:highlight w:val="none"/>
                    </w:rPr>
                    <w:t>/</w:t>
                  </w:r>
                </w:p>
              </w:tc>
              <w:tc>
                <w:tcPr>
                  <w:tcW w:w="476" w:type="pct"/>
                  <w:vAlign w:val="center"/>
                </w:tcPr>
                <w:p w14:paraId="402C4300">
                  <w:pPr>
                    <w:keepNext w:val="0"/>
                    <w:keepLines w:val="0"/>
                    <w:suppressLineNumbers w:val="0"/>
                    <w:spacing w:before="0" w:beforeAutospacing="0" w:after="0" w:afterAutospacing="0"/>
                    <w:ind w:left="0" w:right="0"/>
                    <w:jc w:val="center"/>
                    <w:rPr>
                      <w:rFonts w:hint="default"/>
                      <w:sz w:val="21"/>
                      <w:szCs w:val="21"/>
                      <w:highlight w:val="none"/>
                    </w:rPr>
                  </w:pPr>
                  <w:r>
                    <w:rPr>
                      <w:rFonts w:hint="default"/>
                      <w:sz w:val="21"/>
                      <w:szCs w:val="21"/>
                      <w:highlight w:val="none"/>
                    </w:rPr>
                    <w:t>30</w:t>
                  </w:r>
                </w:p>
              </w:tc>
              <w:tc>
                <w:tcPr>
                  <w:tcW w:w="431" w:type="pct"/>
                  <w:vAlign w:val="center"/>
                </w:tcPr>
                <w:p w14:paraId="0ED3C33B">
                  <w:pPr>
                    <w:keepNext w:val="0"/>
                    <w:keepLines w:val="0"/>
                    <w:suppressLineNumbers w:val="0"/>
                    <w:spacing w:before="0" w:beforeAutospacing="0" w:after="0" w:afterAutospacing="0"/>
                    <w:ind w:left="0" w:right="0"/>
                    <w:jc w:val="center"/>
                    <w:rPr>
                      <w:rFonts w:hint="default"/>
                      <w:sz w:val="21"/>
                      <w:szCs w:val="21"/>
                      <w:highlight w:val="none"/>
                    </w:rPr>
                  </w:pPr>
                  <w:r>
                    <w:rPr>
                      <w:rFonts w:hint="default"/>
                      <w:sz w:val="21"/>
                      <w:szCs w:val="21"/>
                      <w:highlight w:val="none"/>
                    </w:rPr>
                    <w:t>/</w:t>
                  </w:r>
                </w:p>
              </w:tc>
              <w:tc>
                <w:tcPr>
                  <w:tcW w:w="467" w:type="pct"/>
                  <w:vAlign w:val="center"/>
                </w:tcPr>
                <w:p w14:paraId="34BC09DC">
                  <w:pPr>
                    <w:keepNext w:val="0"/>
                    <w:keepLines w:val="0"/>
                    <w:suppressLineNumbers w:val="0"/>
                    <w:spacing w:before="0" w:beforeAutospacing="0" w:after="0" w:afterAutospacing="0"/>
                    <w:ind w:left="0" w:right="0"/>
                    <w:jc w:val="center"/>
                    <w:rPr>
                      <w:rFonts w:hint="default"/>
                      <w:sz w:val="21"/>
                      <w:szCs w:val="21"/>
                      <w:highlight w:val="none"/>
                    </w:rPr>
                  </w:pPr>
                  <w:r>
                    <w:rPr>
                      <w:rFonts w:hint="default"/>
                      <w:sz w:val="21"/>
                      <w:szCs w:val="21"/>
                      <w:highlight w:val="none"/>
                    </w:rPr>
                    <w:t>1.5</w:t>
                  </w:r>
                  <w:r>
                    <w:rPr>
                      <w:rFonts w:hint="eastAsia"/>
                      <w:sz w:val="21"/>
                      <w:szCs w:val="21"/>
                      <w:highlight w:val="none"/>
                    </w:rPr>
                    <w:t>(</w:t>
                  </w:r>
                  <w:r>
                    <w:rPr>
                      <w:rFonts w:hint="default"/>
                      <w:sz w:val="21"/>
                      <w:szCs w:val="21"/>
                      <w:highlight w:val="none"/>
                    </w:rPr>
                    <w:t>3)</w:t>
                  </w:r>
                  <w:r>
                    <w:rPr>
                      <w:rFonts w:hint="default"/>
                      <w:sz w:val="21"/>
                      <w:szCs w:val="21"/>
                      <w:highlight w:val="none"/>
                      <w:vertAlign w:val="superscript"/>
                    </w:rPr>
                    <w:t>*</w:t>
                  </w:r>
                </w:p>
              </w:tc>
              <w:tc>
                <w:tcPr>
                  <w:tcW w:w="408" w:type="pct"/>
                  <w:vAlign w:val="center"/>
                </w:tcPr>
                <w:p w14:paraId="0769D88F">
                  <w:pPr>
                    <w:pStyle w:val="21"/>
                    <w:keepNext w:val="0"/>
                    <w:keepLines w:val="0"/>
                    <w:suppressLineNumbers w:val="0"/>
                    <w:pBdr>
                      <w:bottom w:val="none" w:color="auto" w:sz="0" w:space="0"/>
                    </w:pBdr>
                    <w:tabs>
                      <w:tab w:val="clear" w:pos="4153"/>
                      <w:tab w:val="clear" w:pos="8306"/>
                    </w:tabs>
                    <w:snapToGrid/>
                    <w:spacing w:before="0" w:beforeAutospacing="0" w:after="0" w:afterAutospacing="0"/>
                    <w:ind w:left="0" w:right="0"/>
                    <w:rPr>
                      <w:rFonts w:hint="default"/>
                      <w:sz w:val="21"/>
                      <w:szCs w:val="21"/>
                      <w:highlight w:val="none"/>
                    </w:rPr>
                  </w:pPr>
                  <w:r>
                    <w:rPr>
                      <w:rFonts w:hint="default"/>
                      <w:sz w:val="21"/>
                      <w:szCs w:val="21"/>
                      <w:highlight w:val="none"/>
                    </w:rPr>
                    <w:t>/</w:t>
                  </w:r>
                </w:p>
              </w:tc>
              <w:tc>
                <w:tcPr>
                  <w:tcW w:w="409" w:type="pct"/>
                  <w:vAlign w:val="center"/>
                </w:tcPr>
                <w:p w14:paraId="708BA47B">
                  <w:pPr>
                    <w:pStyle w:val="21"/>
                    <w:keepNext w:val="0"/>
                    <w:keepLines w:val="0"/>
                    <w:suppressLineNumbers w:val="0"/>
                    <w:pBdr>
                      <w:bottom w:val="none" w:color="auto" w:sz="0" w:space="0"/>
                    </w:pBdr>
                    <w:tabs>
                      <w:tab w:val="clear" w:pos="4153"/>
                      <w:tab w:val="clear" w:pos="8306"/>
                    </w:tabs>
                    <w:snapToGrid/>
                    <w:spacing w:before="0" w:beforeAutospacing="0" w:after="0" w:afterAutospacing="0"/>
                    <w:ind w:left="0" w:right="0"/>
                    <w:rPr>
                      <w:rFonts w:hint="default"/>
                      <w:sz w:val="21"/>
                      <w:szCs w:val="21"/>
                      <w:highlight w:val="none"/>
                    </w:rPr>
                  </w:pPr>
                  <w:r>
                    <w:rPr>
                      <w:rFonts w:hint="default"/>
                      <w:sz w:val="21"/>
                      <w:szCs w:val="21"/>
                      <w:highlight w:val="none"/>
                    </w:rPr>
                    <w:t>0.3</w:t>
                  </w:r>
                </w:p>
              </w:tc>
              <w:tc>
                <w:tcPr>
                  <w:tcW w:w="476" w:type="pct"/>
                  <w:vAlign w:val="center"/>
                </w:tcPr>
                <w:p w14:paraId="56F30F79">
                  <w:pPr>
                    <w:pStyle w:val="21"/>
                    <w:keepNext w:val="0"/>
                    <w:keepLines w:val="0"/>
                    <w:suppressLineNumbers w:val="0"/>
                    <w:pBdr>
                      <w:bottom w:val="none" w:color="auto" w:sz="0" w:space="0"/>
                    </w:pBdr>
                    <w:tabs>
                      <w:tab w:val="clear" w:pos="4153"/>
                      <w:tab w:val="clear" w:pos="8306"/>
                    </w:tabs>
                    <w:snapToGrid/>
                    <w:spacing w:before="0" w:beforeAutospacing="0" w:after="0" w:afterAutospacing="0"/>
                    <w:ind w:left="0" w:right="0"/>
                    <w:rPr>
                      <w:rFonts w:hint="default"/>
                      <w:sz w:val="21"/>
                      <w:szCs w:val="21"/>
                      <w:highlight w:val="none"/>
                    </w:rPr>
                  </w:pPr>
                  <w:r>
                    <w:rPr>
                      <w:rFonts w:hint="default"/>
                      <w:sz w:val="21"/>
                      <w:szCs w:val="21"/>
                      <w:highlight w:val="none"/>
                    </w:rPr>
                    <w:t>10(12)</w:t>
                  </w:r>
                  <w:r>
                    <w:rPr>
                      <w:rFonts w:hint="default"/>
                      <w:sz w:val="21"/>
                      <w:szCs w:val="21"/>
                      <w:highlight w:val="none"/>
                      <w:vertAlign w:val="superscript"/>
                    </w:rPr>
                    <w:t>*</w:t>
                  </w:r>
                </w:p>
              </w:tc>
              <w:tc>
                <w:tcPr>
                  <w:tcW w:w="377" w:type="pct"/>
                  <w:vAlign w:val="center"/>
                </w:tcPr>
                <w:p w14:paraId="08CEC6E6">
                  <w:pPr>
                    <w:pStyle w:val="21"/>
                    <w:keepNext w:val="0"/>
                    <w:keepLines w:val="0"/>
                    <w:suppressLineNumbers w:val="0"/>
                    <w:pBdr>
                      <w:bottom w:val="none" w:color="auto" w:sz="0" w:space="0"/>
                    </w:pBdr>
                    <w:tabs>
                      <w:tab w:val="clear" w:pos="4153"/>
                      <w:tab w:val="clear" w:pos="8306"/>
                    </w:tabs>
                    <w:snapToGrid/>
                    <w:spacing w:before="0" w:beforeAutospacing="0" w:after="0" w:afterAutospacing="0"/>
                    <w:ind w:left="0" w:right="0"/>
                    <w:rPr>
                      <w:rFonts w:hint="default"/>
                      <w:sz w:val="21"/>
                      <w:szCs w:val="21"/>
                      <w:highlight w:val="none"/>
                    </w:rPr>
                  </w:pPr>
                  <w:r>
                    <w:rPr>
                      <w:rFonts w:hint="default"/>
                      <w:sz w:val="21"/>
                      <w:szCs w:val="21"/>
                      <w:highlight w:val="none"/>
                    </w:rPr>
                    <w:t>/</w:t>
                  </w:r>
                </w:p>
              </w:tc>
              <w:tc>
                <w:tcPr>
                  <w:tcW w:w="582" w:type="pct"/>
                  <w:vAlign w:val="center"/>
                </w:tcPr>
                <w:p w14:paraId="7B668B96">
                  <w:pPr>
                    <w:pStyle w:val="21"/>
                    <w:keepNext w:val="0"/>
                    <w:keepLines w:val="0"/>
                    <w:suppressLineNumbers w:val="0"/>
                    <w:pBdr>
                      <w:bottom w:val="none" w:color="auto" w:sz="0" w:space="0"/>
                    </w:pBdr>
                    <w:tabs>
                      <w:tab w:val="clear" w:pos="4153"/>
                      <w:tab w:val="clear" w:pos="8306"/>
                    </w:tabs>
                    <w:snapToGrid/>
                    <w:spacing w:before="0" w:beforeAutospacing="0" w:after="0" w:afterAutospacing="0"/>
                    <w:ind w:left="0" w:right="0"/>
                    <w:rPr>
                      <w:rFonts w:hint="default"/>
                      <w:sz w:val="21"/>
                      <w:szCs w:val="21"/>
                      <w:highlight w:val="none"/>
                    </w:rPr>
                  </w:pPr>
                  <w:r>
                    <w:rPr>
                      <w:rFonts w:hint="eastAsia"/>
                      <w:sz w:val="21"/>
                      <w:szCs w:val="21"/>
                      <w:highlight w:val="none"/>
                    </w:rPr>
                    <w:t>/</w:t>
                  </w:r>
                </w:p>
              </w:tc>
            </w:tr>
            <w:tr w14:paraId="659399D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312" w:hRule="atLeast"/>
                <w:jc w:val="center"/>
              </w:trPr>
              <w:tc>
                <w:tcPr>
                  <w:tcW w:w="905" w:type="pct"/>
                  <w:vAlign w:val="center"/>
                </w:tcPr>
                <w:p w14:paraId="3AC78860">
                  <w:pPr>
                    <w:keepNext w:val="0"/>
                    <w:keepLines w:val="0"/>
                    <w:suppressLineNumbers w:val="0"/>
                    <w:spacing w:before="0" w:beforeAutospacing="0" w:after="0" w:afterAutospacing="0"/>
                    <w:ind w:left="0" w:right="0"/>
                    <w:jc w:val="center"/>
                    <w:rPr>
                      <w:rFonts w:hint="default"/>
                      <w:sz w:val="21"/>
                      <w:szCs w:val="21"/>
                      <w:highlight w:val="none"/>
                    </w:rPr>
                  </w:pPr>
                  <w:r>
                    <w:rPr>
                      <w:rFonts w:hint="default"/>
                      <w:sz w:val="21"/>
                      <w:szCs w:val="21"/>
                      <w:highlight w:val="none"/>
                    </w:rPr>
                    <w:t>一级A标准</w:t>
                  </w:r>
                </w:p>
              </w:tc>
              <w:tc>
                <w:tcPr>
                  <w:tcW w:w="467" w:type="pct"/>
                  <w:vAlign w:val="center"/>
                </w:tcPr>
                <w:p w14:paraId="0ECFFE37">
                  <w:pPr>
                    <w:keepNext w:val="0"/>
                    <w:keepLines w:val="0"/>
                    <w:suppressLineNumbers w:val="0"/>
                    <w:spacing w:before="0" w:beforeAutospacing="0" w:after="0" w:afterAutospacing="0"/>
                    <w:ind w:left="0" w:right="0"/>
                    <w:jc w:val="center"/>
                    <w:rPr>
                      <w:rFonts w:hint="default"/>
                      <w:sz w:val="21"/>
                      <w:szCs w:val="21"/>
                      <w:highlight w:val="none"/>
                    </w:rPr>
                  </w:pPr>
                  <w:r>
                    <w:rPr>
                      <w:rFonts w:hint="default"/>
                      <w:sz w:val="21"/>
                      <w:szCs w:val="21"/>
                      <w:highlight w:val="none"/>
                    </w:rPr>
                    <w:t>6～9</w:t>
                  </w:r>
                </w:p>
              </w:tc>
              <w:tc>
                <w:tcPr>
                  <w:tcW w:w="476" w:type="pct"/>
                  <w:vAlign w:val="center"/>
                </w:tcPr>
                <w:p w14:paraId="57B8835A">
                  <w:pPr>
                    <w:keepNext w:val="0"/>
                    <w:keepLines w:val="0"/>
                    <w:suppressLineNumbers w:val="0"/>
                    <w:spacing w:before="0" w:beforeAutospacing="0" w:after="0" w:afterAutospacing="0"/>
                    <w:ind w:left="0" w:right="0"/>
                    <w:jc w:val="center"/>
                    <w:rPr>
                      <w:rFonts w:hint="default"/>
                      <w:sz w:val="21"/>
                      <w:szCs w:val="21"/>
                      <w:highlight w:val="none"/>
                    </w:rPr>
                  </w:pPr>
                  <w:r>
                    <w:rPr>
                      <w:rFonts w:hint="default"/>
                      <w:sz w:val="21"/>
                      <w:szCs w:val="21"/>
                      <w:highlight w:val="none"/>
                    </w:rPr>
                    <w:t>/</w:t>
                  </w:r>
                </w:p>
              </w:tc>
              <w:tc>
                <w:tcPr>
                  <w:tcW w:w="431" w:type="pct"/>
                  <w:vAlign w:val="center"/>
                </w:tcPr>
                <w:p w14:paraId="236EF2F0">
                  <w:pPr>
                    <w:keepNext w:val="0"/>
                    <w:keepLines w:val="0"/>
                    <w:suppressLineNumbers w:val="0"/>
                    <w:spacing w:before="0" w:beforeAutospacing="0" w:after="0" w:afterAutospacing="0"/>
                    <w:ind w:left="0" w:right="0"/>
                    <w:jc w:val="center"/>
                    <w:rPr>
                      <w:rFonts w:hint="default"/>
                      <w:sz w:val="21"/>
                      <w:szCs w:val="21"/>
                      <w:highlight w:val="none"/>
                    </w:rPr>
                  </w:pPr>
                  <w:r>
                    <w:rPr>
                      <w:rFonts w:hint="default"/>
                      <w:sz w:val="21"/>
                      <w:szCs w:val="21"/>
                      <w:highlight w:val="none"/>
                    </w:rPr>
                    <w:t>10</w:t>
                  </w:r>
                </w:p>
              </w:tc>
              <w:tc>
                <w:tcPr>
                  <w:tcW w:w="467" w:type="pct"/>
                  <w:vAlign w:val="center"/>
                </w:tcPr>
                <w:p w14:paraId="256F0F5A">
                  <w:pPr>
                    <w:keepNext w:val="0"/>
                    <w:keepLines w:val="0"/>
                    <w:suppressLineNumbers w:val="0"/>
                    <w:spacing w:before="0" w:beforeAutospacing="0" w:after="0" w:afterAutospacing="0"/>
                    <w:ind w:left="0" w:right="0"/>
                    <w:jc w:val="center"/>
                    <w:rPr>
                      <w:rFonts w:hint="default"/>
                      <w:sz w:val="21"/>
                      <w:szCs w:val="21"/>
                      <w:highlight w:val="none"/>
                    </w:rPr>
                  </w:pPr>
                  <w:r>
                    <w:rPr>
                      <w:rFonts w:hint="default"/>
                      <w:sz w:val="21"/>
                      <w:szCs w:val="21"/>
                      <w:highlight w:val="none"/>
                    </w:rPr>
                    <w:t>/</w:t>
                  </w:r>
                </w:p>
              </w:tc>
              <w:tc>
                <w:tcPr>
                  <w:tcW w:w="408" w:type="pct"/>
                  <w:vAlign w:val="center"/>
                </w:tcPr>
                <w:p w14:paraId="05AEE955">
                  <w:pPr>
                    <w:pStyle w:val="21"/>
                    <w:keepNext w:val="0"/>
                    <w:keepLines w:val="0"/>
                    <w:suppressLineNumbers w:val="0"/>
                    <w:pBdr>
                      <w:bottom w:val="none" w:color="auto" w:sz="0" w:space="0"/>
                    </w:pBdr>
                    <w:tabs>
                      <w:tab w:val="clear" w:pos="4153"/>
                      <w:tab w:val="clear" w:pos="8306"/>
                    </w:tabs>
                    <w:snapToGrid/>
                    <w:spacing w:before="0" w:beforeAutospacing="0" w:after="0" w:afterAutospacing="0"/>
                    <w:ind w:left="0" w:right="0"/>
                    <w:rPr>
                      <w:rFonts w:hint="default"/>
                      <w:sz w:val="21"/>
                      <w:szCs w:val="21"/>
                      <w:highlight w:val="none"/>
                    </w:rPr>
                  </w:pPr>
                  <w:r>
                    <w:rPr>
                      <w:rFonts w:hint="default"/>
                      <w:sz w:val="21"/>
                      <w:szCs w:val="21"/>
                      <w:highlight w:val="none"/>
                    </w:rPr>
                    <w:t>10</w:t>
                  </w:r>
                </w:p>
              </w:tc>
              <w:tc>
                <w:tcPr>
                  <w:tcW w:w="409" w:type="pct"/>
                  <w:vAlign w:val="center"/>
                </w:tcPr>
                <w:p w14:paraId="1B4D4513">
                  <w:pPr>
                    <w:pStyle w:val="21"/>
                    <w:keepNext w:val="0"/>
                    <w:keepLines w:val="0"/>
                    <w:suppressLineNumbers w:val="0"/>
                    <w:pBdr>
                      <w:bottom w:val="none" w:color="auto" w:sz="0" w:space="0"/>
                    </w:pBdr>
                    <w:tabs>
                      <w:tab w:val="clear" w:pos="4153"/>
                      <w:tab w:val="clear" w:pos="8306"/>
                    </w:tabs>
                    <w:snapToGrid/>
                    <w:spacing w:before="0" w:beforeAutospacing="0" w:after="0" w:afterAutospacing="0"/>
                    <w:ind w:left="0" w:right="0"/>
                    <w:rPr>
                      <w:rFonts w:hint="default"/>
                      <w:sz w:val="21"/>
                      <w:szCs w:val="21"/>
                      <w:highlight w:val="none"/>
                    </w:rPr>
                  </w:pPr>
                  <w:r>
                    <w:rPr>
                      <w:rFonts w:hint="default"/>
                      <w:sz w:val="21"/>
                      <w:szCs w:val="21"/>
                      <w:highlight w:val="none"/>
                    </w:rPr>
                    <w:t>/</w:t>
                  </w:r>
                </w:p>
              </w:tc>
              <w:tc>
                <w:tcPr>
                  <w:tcW w:w="476" w:type="pct"/>
                  <w:vAlign w:val="center"/>
                </w:tcPr>
                <w:p w14:paraId="765F9D56">
                  <w:pPr>
                    <w:pStyle w:val="21"/>
                    <w:keepNext w:val="0"/>
                    <w:keepLines w:val="0"/>
                    <w:suppressLineNumbers w:val="0"/>
                    <w:pBdr>
                      <w:bottom w:val="none" w:color="auto" w:sz="0" w:space="0"/>
                    </w:pBdr>
                    <w:tabs>
                      <w:tab w:val="clear" w:pos="4153"/>
                      <w:tab w:val="clear" w:pos="8306"/>
                    </w:tabs>
                    <w:snapToGrid/>
                    <w:spacing w:before="0" w:beforeAutospacing="0" w:after="0" w:afterAutospacing="0"/>
                    <w:ind w:left="0" w:right="0"/>
                    <w:rPr>
                      <w:rFonts w:hint="default"/>
                      <w:sz w:val="21"/>
                      <w:szCs w:val="21"/>
                      <w:highlight w:val="none"/>
                    </w:rPr>
                  </w:pPr>
                  <w:r>
                    <w:rPr>
                      <w:rFonts w:hint="eastAsia"/>
                      <w:sz w:val="21"/>
                      <w:szCs w:val="21"/>
                      <w:highlight w:val="none"/>
                    </w:rPr>
                    <w:t>/</w:t>
                  </w:r>
                </w:p>
              </w:tc>
              <w:tc>
                <w:tcPr>
                  <w:tcW w:w="377" w:type="pct"/>
                  <w:vAlign w:val="center"/>
                </w:tcPr>
                <w:p w14:paraId="4A58727B">
                  <w:pPr>
                    <w:pStyle w:val="21"/>
                    <w:keepNext w:val="0"/>
                    <w:keepLines w:val="0"/>
                    <w:suppressLineNumbers w:val="0"/>
                    <w:pBdr>
                      <w:bottom w:val="none" w:color="auto" w:sz="0" w:space="0"/>
                    </w:pBdr>
                    <w:tabs>
                      <w:tab w:val="clear" w:pos="4153"/>
                      <w:tab w:val="clear" w:pos="8306"/>
                    </w:tabs>
                    <w:snapToGrid/>
                    <w:spacing w:before="0" w:beforeAutospacing="0" w:after="0" w:afterAutospacing="0"/>
                    <w:ind w:left="0" w:right="0"/>
                    <w:rPr>
                      <w:rFonts w:hint="default"/>
                      <w:sz w:val="21"/>
                      <w:szCs w:val="21"/>
                      <w:highlight w:val="none"/>
                    </w:rPr>
                  </w:pPr>
                  <w:r>
                    <w:rPr>
                      <w:rFonts w:hint="default"/>
                      <w:sz w:val="21"/>
                      <w:szCs w:val="21"/>
                      <w:highlight w:val="none"/>
                    </w:rPr>
                    <w:t>1</w:t>
                  </w:r>
                </w:p>
              </w:tc>
              <w:tc>
                <w:tcPr>
                  <w:tcW w:w="582" w:type="pct"/>
                  <w:vAlign w:val="center"/>
                </w:tcPr>
                <w:p w14:paraId="2298F6BA">
                  <w:pPr>
                    <w:pStyle w:val="21"/>
                    <w:keepNext w:val="0"/>
                    <w:keepLines w:val="0"/>
                    <w:suppressLineNumbers w:val="0"/>
                    <w:pBdr>
                      <w:bottom w:val="none" w:color="auto" w:sz="0" w:space="0"/>
                    </w:pBdr>
                    <w:tabs>
                      <w:tab w:val="clear" w:pos="4153"/>
                      <w:tab w:val="clear" w:pos="8306"/>
                    </w:tabs>
                    <w:snapToGrid/>
                    <w:spacing w:before="0" w:beforeAutospacing="0" w:after="0" w:afterAutospacing="0"/>
                    <w:ind w:left="0" w:right="0"/>
                    <w:rPr>
                      <w:rFonts w:hint="eastAsia" w:eastAsia="宋体"/>
                      <w:sz w:val="21"/>
                      <w:szCs w:val="21"/>
                      <w:highlight w:val="none"/>
                      <w:lang w:eastAsia="zh-CN"/>
                    </w:rPr>
                  </w:pPr>
                  <w:r>
                    <w:rPr>
                      <w:rFonts w:hint="eastAsia"/>
                      <w:sz w:val="21"/>
                      <w:szCs w:val="21"/>
                      <w:highlight w:val="none"/>
                    </w:rPr>
                    <w:t>1000个/L</w:t>
                  </w:r>
                </w:p>
              </w:tc>
            </w:tr>
            <w:tr w14:paraId="25D35A7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312" w:hRule="atLeast"/>
                <w:jc w:val="center"/>
              </w:trPr>
              <w:tc>
                <w:tcPr>
                  <w:tcW w:w="905" w:type="pct"/>
                  <w:vAlign w:val="center"/>
                </w:tcPr>
                <w:p w14:paraId="7CE1885E">
                  <w:pPr>
                    <w:keepNext w:val="0"/>
                    <w:keepLines w:val="0"/>
                    <w:suppressLineNumbers w:val="0"/>
                    <w:spacing w:before="0" w:beforeAutospacing="0" w:after="0" w:afterAutospacing="0"/>
                    <w:ind w:left="0" w:right="0"/>
                    <w:jc w:val="center"/>
                    <w:rPr>
                      <w:rFonts w:hint="default"/>
                      <w:sz w:val="21"/>
                      <w:szCs w:val="21"/>
                      <w:highlight w:val="none"/>
                    </w:rPr>
                  </w:pPr>
                  <w:r>
                    <w:rPr>
                      <w:rFonts w:hint="eastAsia"/>
                      <w:sz w:val="21"/>
                      <w:szCs w:val="21"/>
                      <w:highlight w:val="none"/>
                    </w:rPr>
                    <w:t>执行标准</w:t>
                  </w:r>
                </w:p>
              </w:tc>
              <w:tc>
                <w:tcPr>
                  <w:tcW w:w="467" w:type="pct"/>
                  <w:vAlign w:val="center"/>
                </w:tcPr>
                <w:p w14:paraId="6D708B6E">
                  <w:pPr>
                    <w:keepNext w:val="0"/>
                    <w:keepLines w:val="0"/>
                    <w:suppressLineNumbers w:val="0"/>
                    <w:spacing w:before="0" w:beforeAutospacing="0" w:after="0" w:afterAutospacing="0"/>
                    <w:ind w:left="0" w:right="0"/>
                    <w:jc w:val="center"/>
                    <w:rPr>
                      <w:rFonts w:hint="default"/>
                      <w:sz w:val="21"/>
                      <w:szCs w:val="21"/>
                      <w:highlight w:val="none"/>
                    </w:rPr>
                  </w:pPr>
                  <w:r>
                    <w:rPr>
                      <w:rFonts w:hint="default"/>
                      <w:sz w:val="21"/>
                      <w:szCs w:val="21"/>
                      <w:highlight w:val="none"/>
                    </w:rPr>
                    <w:t>6～9</w:t>
                  </w:r>
                </w:p>
              </w:tc>
              <w:tc>
                <w:tcPr>
                  <w:tcW w:w="476" w:type="pct"/>
                  <w:vAlign w:val="center"/>
                </w:tcPr>
                <w:p w14:paraId="5DDC8480">
                  <w:pPr>
                    <w:keepNext w:val="0"/>
                    <w:keepLines w:val="0"/>
                    <w:suppressLineNumbers w:val="0"/>
                    <w:spacing w:before="0" w:beforeAutospacing="0" w:after="0" w:afterAutospacing="0"/>
                    <w:ind w:left="0" w:right="0"/>
                    <w:jc w:val="center"/>
                    <w:rPr>
                      <w:rFonts w:hint="default"/>
                      <w:sz w:val="21"/>
                      <w:szCs w:val="21"/>
                      <w:highlight w:val="none"/>
                    </w:rPr>
                  </w:pPr>
                  <w:r>
                    <w:rPr>
                      <w:rFonts w:hint="eastAsia"/>
                      <w:sz w:val="21"/>
                      <w:szCs w:val="21"/>
                      <w:highlight w:val="none"/>
                    </w:rPr>
                    <w:t>3</w:t>
                  </w:r>
                  <w:r>
                    <w:rPr>
                      <w:rFonts w:hint="default"/>
                      <w:sz w:val="21"/>
                      <w:szCs w:val="21"/>
                      <w:highlight w:val="none"/>
                    </w:rPr>
                    <w:t>0</w:t>
                  </w:r>
                </w:p>
              </w:tc>
              <w:tc>
                <w:tcPr>
                  <w:tcW w:w="431" w:type="pct"/>
                  <w:vAlign w:val="center"/>
                </w:tcPr>
                <w:p w14:paraId="1318D129">
                  <w:pPr>
                    <w:keepNext w:val="0"/>
                    <w:keepLines w:val="0"/>
                    <w:suppressLineNumbers w:val="0"/>
                    <w:spacing w:before="0" w:beforeAutospacing="0" w:after="0" w:afterAutospacing="0"/>
                    <w:ind w:left="0" w:right="0"/>
                    <w:jc w:val="center"/>
                    <w:rPr>
                      <w:rFonts w:hint="default"/>
                      <w:sz w:val="21"/>
                      <w:szCs w:val="21"/>
                      <w:highlight w:val="none"/>
                    </w:rPr>
                  </w:pPr>
                  <w:r>
                    <w:rPr>
                      <w:rFonts w:hint="eastAsia"/>
                      <w:sz w:val="21"/>
                      <w:szCs w:val="21"/>
                      <w:highlight w:val="none"/>
                    </w:rPr>
                    <w:t>1</w:t>
                  </w:r>
                  <w:r>
                    <w:rPr>
                      <w:rFonts w:hint="default"/>
                      <w:sz w:val="21"/>
                      <w:szCs w:val="21"/>
                      <w:highlight w:val="none"/>
                    </w:rPr>
                    <w:t>0</w:t>
                  </w:r>
                </w:p>
              </w:tc>
              <w:tc>
                <w:tcPr>
                  <w:tcW w:w="467" w:type="pct"/>
                  <w:vAlign w:val="center"/>
                </w:tcPr>
                <w:p w14:paraId="57CB1C45">
                  <w:pPr>
                    <w:keepNext w:val="0"/>
                    <w:keepLines w:val="0"/>
                    <w:suppressLineNumbers w:val="0"/>
                    <w:spacing w:before="0" w:beforeAutospacing="0" w:after="0" w:afterAutospacing="0"/>
                    <w:ind w:left="0" w:right="0"/>
                    <w:jc w:val="center"/>
                    <w:rPr>
                      <w:rFonts w:hint="default"/>
                      <w:sz w:val="21"/>
                      <w:szCs w:val="21"/>
                      <w:highlight w:val="none"/>
                    </w:rPr>
                  </w:pPr>
                  <w:r>
                    <w:rPr>
                      <w:rFonts w:hint="default"/>
                      <w:sz w:val="21"/>
                      <w:szCs w:val="21"/>
                      <w:highlight w:val="none"/>
                    </w:rPr>
                    <w:t>1.5</w:t>
                  </w:r>
                  <w:r>
                    <w:rPr>
                      <w:rFonts w:hint="eastAsia"/>
                      <w:sz w:val="21"/>
                      <w:szCs w:val="21"/>
                      <w:highlight w:val="none"/>
                    </w:rPr>
                    <w:t>(</w:t>
                  </w:r>
                  <w:r>
                    <w:rPr>
                      <w:rFonts w:hint="default"/>
                      <w:sz w:val="21"/>
                      <w:szCs w:val="21"/>
                      <w:highlight w:val="none"/>
                    </w:rPr>
                    <w:t>3)</w:t>
                  </w:r>
                  <w:r>
                    <w:rPr>
                      <w:rFonts w:hint="default"/>
                      <w:sz w:val="21"/>
                      <w:szCs w:val="21"/>
                      <w:highlight w:val="none"/>
                      <w:vertAlign w:val="superscript"/>
                    </w:rPr>
                    <w:t>*</w:t>
                  </w:r>
                </w:p>
              </w:tc>
              <w:tc>
                <w:tcPr>
                  <w:tcW w:w="408" w:type="pct"/>
                  <w:vAlign w:val="center"/>
                </w:tcPr>
                <w:p w14:paraId="1D98E3C7">
                  <w:pPr>
                    <w:pStyle w:val="21"/>
                    <w:keepNext w:val="0"/>
                    <w:keepLines w:val="0"/>
                    <w:suppressLineNumbers w:val="0"/>
                    <w:pBdr>
                      <w:bottom w:val="none" w:color="auto" w:sz="0" w:space="0"/>
                    </w:pBdr>
                    <w:tabs>
                      <w:tab w:val="clear" w:pos="4153"/>
                      <w:tab w:val="clear" w:pos="8306"/>
                    </w:tabs>
                    <w:snapToGrid/>
                    <w:spacing w:before="0" w:beforeAutospacing="0" w:after="0" w:afterAutospacing="0"/>
                    <w:ind w:left="0" w:right="0"/>
                    <w:rPr>
                      <w:rFonts w:hint="default"/>
                      <w:sz w:val="21"/>
                      <w:szCs w:val="21"/>
                      <w:highlight w:val="none"/>
                    </w:rPr>
                  </w:pPr>
                  <w:r>
                    <w:rPr>
                      <w:rFonts w:hint="eastAsia"/>
                      <w:sz w:val="21"/>
                      <w:szCs w:val="21"/>
                      <w:highlight w:val="none"/>
                    </w:rPr>
                    <w:t>1</w:t>
                  </w:r>
                  <w:r>
                    <w:rPr>
                      <w:rFonts w:hint="default"/>
                      <w:sz w:val="21"/>
                      <w:szCs w:val="21"/>
                      <w:highlight w:val="none"/>
                    </w:rPr>
                    <w:t>0</w:t>
                  </w:r>
                </w:p>
              </w:tc>
              <w:tc>
                <w:tcPr>
                  <w:tcW w:w="409" w:type="pct"/>
                  <w:vAlign w:val="center"/>
                </w:tcPr>
                <w:p w14:paraId="2E97E8C4">
                  <w:pPr>
                    <w:pStyle w:val="21"/>
                    <w:keepNext w:val="0"/>
                    <w:keepLines w:val="0"/>
                    <w:suppressLineNumbers w:val="0"/>
                    <w:pBdr>
                      <w:bottom w:val="none" w:color="auto" w:sz="0" w:space="0"/>
                    </w:pBdr>
                    <w:tabs>
                      <w:tab w:val="clear" w:pos="4153"/>
                      <w:tab w:val="clear" w:pos="8306"/>
                    </w:tabs>
                    <w:snapToGrid/>
                    <w:spacing w:before="0" w:beforeAutospacing="0" w:after="0" w:afterAutospacing="0"/>
                    <w:ind w:left="0" w:right="0"/>
                    <w:rPr>
                      <w:rFonts w:hint="default"/>
                      <w:sz w:val="21"/>
                      <w:szCs w:val="21"/>
                      <w:highlight w:val="none"/>
                    </w:rPr>
                  </w:pPr>
                  <w:r>
                    <w:rPr>
                      <w:rFonts w:hint="eastAsia"/>
                      <w:sz w:val="21"/>
                      <w:szCs w:val="21"/>
                      <w:highlight w:val="none"/>
                    </w:rPr>
                    <w:t>0</w:t>
                  </w:r>
                  <w:r>
                    <w:rPr>
                      <w:rFonts w:hint="default"/>
                      <w:sz w:val="21"/>
                      <w:szCs w:val="21"/>
                      <w:highlight w:val="none"/>
                    </w:rPr>
                    <w:t>.3</w:t>
                  </w:r>
                </w:p>
              </w:tc>
              <w:tc>
                <w:tcPr>
                  <w:tcW w:w="476" w:type="pct"/>
                  <w:vAlign w:val="center"/>
                </w:tcPr>
                <w:p w14:paraId="1C22C34B">
                  <w:pPr>
                    <w:pStyle w:val="21"/>
                    <w:keepNext w:val="0"/>
                    <w:keepLines w:val="0"/>
                    <w:suppressLineNumbers w:val="0"/>
                    <w:pBdr>
                      <w:bottom w:val="none" w:color="auto" w:sz="0" w:space="0"/>
                    </w:pBdr>
                    <w:tabs>
                      <w:tab w:val="clear" w:pos="4153"/>
                      <w:tab w:val="clear" w:pos="8306"/>
                    </w:tabs>
                    <w:snapToGrid/>
                    <w:spacing w:before="0" w:beforeAutospacing="0" w:after="0" w:afterAutospacing="0"/>
                    <w:ind w:left="0" w:right="0"/>
                    <w:rPr>
                      <w:rFonts w:hint="default"/>
                      <w:sz w:val="21"/>
                      <w:szCs w:val="21"/>
                      <w:highlight w:val="none"/>
                    </w:rPr>
                  </w:pPr>
                  <w:r>
                    <w:rPr>
                      <w:rFonts w:hint="default"/>
                      <w:sz w:val="21"/>
                      <w:szCs w:val="21"/>
                      <w:highlight w:val="none"/>
                    </w:rPr>
                    <w:t>10(12)</w:t>
                  </w:r>
                  <w:r>
                    <w:rPr>
                      <w:rFonts w:hint="default"/>
                      <w:sz w:val="21"/>
                      <w:szCs w:val="21"/>
                      <w:highlight w:val="none"/>
                      <w:vertAlign w:val="superscript"/>
                    </w:rPr>
                    <w:t>*</w:t>
                  </w:r>
                </w:p>
              </w:tc>
              <w:tc>
                <w:tcPr>
                  <w:tcW w:w="377" w:type="pct"/>
                  <w:vAlign w:val="center"/>
                </w:tcPr>
                <w:p w14:paraId="2CD7C778">
                  <w:pPr>
                    <w:pStyle w:val="21"/>
                    <w:keepNext w:val="0"/>
                    <w:keepLines w:val="0"/>
                    <w:suppressLineNumbers w:val="0"/>
                    <w:pBdr>
                      <w:bottom w:val="none" w:color="auto" w:sz="0" w:space="0"/>
                    </w:pBdr>
                    <w:tabs>
                      <w:tab w:val="clear" w:pos="4153"/>
                      <w:tab w:val="clear" w:pos="8306"/>
                    </w:tabs>
                    <w:snapToGrid/>
                    <w:spacing w:before="0" w:beforeAutospacing="0" w:after="0" w:afterAutospacing="0"/>
                    <w:ind w:left="0" w:right="0"/>
                    <w:rPr>
                      <w:rFonts w:hint="default"/>
                      <w:sz w:val="21"/>
                      <w:szCs w:val="21"/>
                      <w:highlight w:val="none"/>
                    </w:rPr>
                  </w:pPr>
                  <w:r>
                    <w:rPr>
                      <w:rFonts w:hint="eastAsia"/>
                      <w:sz w:val="21"/>
                      <w:szCs w:val="21"/>
                      <w:highlight w:val="none"/>
                    </w:rPr>
                    <w:t>1</w:t>
                  </w:r>
                </w:p>
              </w:tc>
              <w:tc>
                <w:tcPr>
                  <w:tcW w:w="582" w:type="pct"/>
                  <w:vAlign w:val="center"/>
                </w:tcPr>
                <w:p w14:paraId="7274DDBD">
                  <w:pPr>
                    <w:pStyle w:val="21"/>
                    <w:keepNext w:val="0"/>
                    <w:keepLines w:val="0"/>
                    <w:suppressLineNumbers w:val="0"/>
                    <w:pBdr>
                      <w:bottom w:val="none" w:color="auto" w:sz="0" w:space="0"/>
                    </w:pBdr>
                    <w:tabs>
                      <w:tab w:val="clear" w:pos="4153"/>
                      <w:tab w:val="clear" w:pos="8306"/>
                    </w:tabs>
                    <w:snapToGrid/>
                    <w:spacing w:before="0" w:beforeAutospacing="0" w:after="0" w:afterAutospacing="0"/>
                    <w:ind w:left="0" w:right="0"/>
                    <w:rPr>
                      <w:rFonts w:hint="eastAsia" w:eastAsia="宋体"/>
                      <w:sz w:val="21"/>
                      <w:szCs w:val="21"/>
                      <w:highlight w:val="none"/>
                      <w:lang w:eastAsia="zh-CN"/>
                    </w:rPr>
                  </w:pPr>
                  <w:r>
                    <w:rPr>
                      <w:rFonts w:hint="eastAsia"/>
                      <w:sz w:val="21"/>
                      <w:szCs w:val="21"/>
                      <w:highlight w:val="none"/>
                    </w:rPr>
                    <w:t>1000个/L</w:t>
                  </w:r>
                </w:p>
              </w:tc>
            </w:tr>
            <w:tr w14:paraId="1A4DA4EF">
              <w:tblPrEx>
                <w:tblBorders>
                  <w:top w:val="single" w:color="auto" w:sz="4" w:space="0"/>
                  <w:left w:val="single" w:color="auto" w:sz="4" w:space="0"/>
                  <w:bottom w:val="none" w:color="auto" w:sz="0"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312" w:hRule="atLeast"/>
                <w:jc w:val="center"/>
              </w:trPr>
              <w:tc>
                <w:tcPr>
                  <w:tcW w:w="5000" w:type="pct"/>
                  <w:gridSpan w:val="10"/>
                  <w:tcBorders>
                    <w:bottom w:val="single" w:color="auto" w:sz="4" w:space="0"/>
                  </w:tcBorders>
                  <w:vAlign w:val="center"/>
                </w:tcPr>
                <w:p w14:paraId="5AAD8371">
                  <w:pPr>
                    <w:pStyle w:val="21"/>
                    <w:keepNext w:val="0"/>
                    <w:keepLines w:val="0"/>
                    <w:suppressLineNumbers w:val="0"/>
                    <w:pBdr>
                      <w:bottom w:val="none" w:color="auto" w:sz="0" w:space="0"/>
                    </w:pBdr>
                    <w:tabs>
                      <w:tab w:val="clear" w:pos="4153"/>
                      <w:tab w:val="clear" w:pos="8306"/>
                    </w:tabs>
                    <w:snapToGrid/>
                    <w:spacing w:before="0" w:beforeAutospacing="0" w:after="0" w:afterAutospacing="0"/>
                    <w:ind w:left="0" w:right="0"/>
                    <w:jc w:val="left"/>
                    <w:rPr>
                      <w:rFonts w:hint="default"/>
                      <w:sz w:val="21"/>
                      <w:szCs w:val="21"/>
                      <w:highlight w:val="none"/>
                    </w:rPr>
                  </w:pPr>
                  <w:r>
                    <w:rPr>
                      <w:rFonts w:hint="default"/>
                      <w:sz w:val="21"/>
                      <w:szCs w:val="21"/>
                      <w:highlight w:val="none"/>
                    </w:rPr>
                    <w:t>注：*括号内数值为每年11月1日至次年3月31日</w:t>
                  </w:r>
                  <w:r>
                    <w:rPr>
                      <w:rFonts w:hint="eastAsia"/>
                      <w:sz w:val="21"/>
                      <w:szCs w:val="21"/>
                      <w:highlight w:val="none"/>
                      <w:lang w:eastAsia="zh-CN"/>
                    </w:rPr>
                    <w:t>实</w:t>
                  </w:r>
                  <w:r>
                    <w:rPr>
                      <w:rFonts w:hint="default"/>
                      <w:sz w:val="21"/>
                      <w:szCs w:val="21"/>
                      <w:highlight w:val="none"/>
                    </w:rPr>
                    <w:t>行。</w:t>
                  </w:r>
                </w:p>
              </w:tc>
            </w:tr>
          </w:tbl>
          <w:p w14:paraId="4C6CF2C1">
            <w:pPr>
              <w:keepNext w:val="0"/>
              <w:keepLines w:val="0"/>
              <w:numPr>
                <w:ilvl w:val="0"/>
                <w:numId w:val="5"/>
              </w:numPr>
              <w:suppressLineNumbers w:val="0"/>
              <w:tabs>
                <w:tab w:val="left" w:pos="2625"/>
              </w:tabs>
              <w:adjustRightInd w:val="0"/>
              <w:snapToGrid w:val="0"/>
              <w:spacing w:before="0" w:beforeAutospacing="0" w:after="0" w:afterAutospacing="0" w:line="360" w:lineRule="auto"/>
              <w:ind w:left="0" w:right="0"/>
              <w:rPr>
                <w:rFonts w:hint="default" w:hAnsi="宋体"/>
                <w:b/>
                <w:kern w:val="0"/>
                <w:highlight w:val="none"/>
              </w:rPr>
            </w:pPr>
            <w:r>
              <w:rPr>
                <w:rFonts w:hint="eastAsia" w:hAnsi="宋体"/>
                <w:b/>
                <w:kern w:val="0"/>
                <w:highlight w:val="none"/>
              </w:rPr>
              <w:t>废气</w:t>
            </w:r>
          </w:p>
          <w:p w14:paraId="41267009">
            <w:pPr>
              <w:pStyle w:val="7"/>
              <w:keepNext w:val="0"/>
              <w:keepLines w:val="0"/>
              <w:suppressLineNumbers w:val="0"/>
              <w:spacing w:before="0" w:beforeAutospacing="0" w:after="0" w:afterAutospacing="0" w:line="360" w:lineRule="auto"/>
              <w:ind w:left="0" w:right="0" w:firstLine="480"/>
              <w:rPr>
                <w:rFonts w:hint="default"/>
                <w:kern w:val="0"/>
                <w:sz w:val="24"/>
                <w:szCs w:val="24"/>
                <w:highlight w:val="none"/>
                <w:lang w:val="en-US"/>
              </w:rPr>
            </w:pPr>
            <w:r>
              <w:rPr>
                <w:rFonts w:hint="eastAsia"/>
                <w:kern w:val="0"/>
                <w:sz w:val="24"/>
                <w:szCs w:val="24"/>
                <w:highlight w:val="none"/>
              </w:rPr>
              <w:t>项目产生的废气主要为</w:t>
            </w:r>
            <w:r>
              <w:rPr>
                <w:rFonts w:hint="eastAsia"/>
                <w:kern w:val="0"/>
                <w:sz w:val="24"/>
                <w:szCs w:val="24"/>
                <w:highlight w:val="none"/>
                <w:lang w:eastAsia="zh-CN"/>
              </w:rPr>
              <w:t>：（</w:t>
            </w:r>
            <w:r>
              <w:rPr>
                <w:rFonts w:hint="eastAsia"/>
                <w:kern w:val="0"/>
                <w:sz w:val="24"/>
                <w:szCs w:val="24"/>
                <w:highlight w:val="none"/>
                <w:lang w:val="en-US" w:eastAsia="zh-CN"/>
              </w:rPr>
              <w:t>1</w:t>
            </w:r>
            <w:r>
              <w:rPr>
                <w:rFonts w:hint="eastAsia"/>
                <w:kern w:val="0"/>
                <w:sz w:val="24"/>
                <w:szCs w:val="24"/>
                <w:highlight w:val="none"/>
                <w:lang w:eastAsia="zh-CN"/>
              </w:rPr>
              <w:t>）</w:t>
            </w:r>
            <w:r>
              <w:rPr>
                <w:rFonts w:hint="eastAsia"/>
                <w:kern w:val="0"/>
                <w:sz w:val="24"/>
                <w:szCs w:val="24"/>
                <w:highlight w:val="none"/>
                <w:lang w:val="en-US" w:eastAsia="zh-CN"/>
              </w:rPr>
              <w:t>实验动物中心</w:t>
            </w:r>
            <w:r>
              <w:rPr>
                <w:rFonts w:hint="eastAsia"/>
                <w:kern w:val="0"/>
                <w:sz w:val="24"/>
                <w:szCs w:val="24"/>
                <w:highlight w:val="none"/>
              </w:rPr>
              <w:t>饲养间饲养过程产生的</w:t>
            </w:r>
            <w:r>
              <w:rPr>
                <w:rFonts w:hint="eastAsia"/>
                <w:kern w:val="0"/>
                <w:sz w:val="24"/>
                <w:szCs w:val="24"/>
                <w:highlight w:val="none"/>
                <w:lang w:val="en-US" w:eastAsia="zh-CN"/>
              </w:rPr>
              <w:t>恶臭异味，动物实验</w:t>
            </w:r>
            <w:r>
              <w:rPr>
                <w:rFonts w:hint="eastAsia"/>
                <w:kern w:val="0"/>
                <w:sz w:val="24"/>
                <w:szCs w:val="24"/>
                <w:highlight w:val="none"/>
              </w:rPr>
              <w:t>过程产生的</w:t>
            </w:r>
            <w:r>
              <w:rPr>
                <w:rFonts w:hint="eastAsia"/>
                <w:kern w:val="0"/>
                <w:sz w:val="24"/>
                <w:szCs w:val="24"/>
                <w:highlight w:val="none"/>
                <w:lang w:val="en-US" w:eastAsia="zh-CN"/>
              </w:rPr>
              <w:t>有机废气、恶臭</w:t>
            </w:r>
            <w:r>
              <w:rPr>
                <w:rFonts w:hint="eastAsia"/>
                <w:kern w:val="0"/>
                <w:sz w:val="24"/>
                <w:szCs w:val="24"/>
                <w:highlight w:val="none"/>
              </w:rPr>
              <w:t>异味以及消毒</w:t>
            </w:r>
            <w:r>
              <w:rPr>
                <w:rFonts w:hint="eastAsia"/>
                <w:kern w:val="0"/>
                <w:sz w:val="24"/>
                <w:szCs w:val="24"/>
                <w:highlight w:val="none"/>
                <w:lang w:val="en-US" w:eastAsia="zh-CN"/>
              </w:rPr>
              <w:t>过程中</w:t>
            </w:r>
            <w:r>
              <w:rPr>
                <w:rFonts w:hint="eastAsia"/>
                <w:kern w:val="0"/>
                <w:sz w:val="24"/>
                <w:szCs w:val="24"/>
                <w:highlight w:val="none"/>
              </w:rPr>
              <w:t>产生的有机废气</w:t>
            </w:r>
            <w:r>
              <w:rPr>
                <w:rFonts w:hint="eastAsia"/>
                <w:kern w:val="0"/>
                <w:sz w:val="24"/>
                <w:szCs w:val="24"/>
                <w:highlight w:val="none"/>
                <w:lang w:eastAsia="zh-CN"/>
              </w:rPr>
              <w:t>、</w:t>
            </w:r>
            <w:r>
              <w:rPr>
                <w:rFonts w:hint="eastAsia"/>
                <w:kern w:val="0"/>
                <w:sz w:val="24"/>
                <w:szCs w:val="24"/>
                <w:highlight w:val="none"/>
                <w:lang w:val="en-US" w:eastAsia="zh-CN"/>
              </w:rPr>
              <w:t>氯气</w:t>
            </w:r>
            <w:r>
              <w:rPr>
                <w:rFonts w:hint="eastAsia"/>
                <w:kern w:val="0"/>
                <w:sz w:val="24"/>
                <w:szCs w:val="24"/>
                <w:highlight w:val="none"/>
              </w:rPr>
              <w:t>，主要污染物为非甲烷总烃、氨、硫化氢、臭气浓度</w:t>
            </w:r>
            <w:r>
              <w:rPr>
                <w:rFonts w:hint="eastAsia"/>
                <w:kern w:val="0"/>
                <w:sz w:val="24"/>
                <w:szCs w:val="24"/>
                <w:highlight w:val="none"/>
                <w:lang w:eastAsia="zh-CN"/>
              </w:rPr>
              <w:t>、</w:t>
            </w:r>
            <w:r>
              <w:rPr>
                <w:rFonts w:hint="eastAsia"/>
                <w:kern w:val="0"/>
                <w:sz w:val="24"/>
                <w:szCs w:val="24"/>
                <w:highlight w:val="none"/>
                <w:lang w:val="en-US" w:eastAsia="zh-CN"/>
              </w:rPr>
              <w:t>氯气、甲醛；（2）科创综合楼实验室产生的有机废气（以</w:t>
            </w:r>
            <w:r>
              <w:rPr>
                <w:rFonts w:hint="eastAsia"/>
                <w:kern w:val="0"/>
                <w:sz w:val="24"/>
                <w:szCs w:val="24"/>
                <w:highlight w:val="none"/>
              </w:rPr>
              <w:t>非甲烷总烃</w:t>
            </w:r>
            <w:r>
              <w:rPr>
                <w:rFonts w:hint="eastAsia"/>
                <w:kern w:val="0"/>
                <w:sz w:val="24"/>
                <w:szCs w:val="24"/>
                <w:highlight w:val="none"/>
                <w:lang w:val="en-US" w:eastAsia="zh-CN"/>
              </w:rPr>
              <w:t>计）、氯化氢、硫酸雾；（3）污水处理站产生的恶臭气体，主要为</w:t>
            </w:r>
            <w:r>
              <w:rPr>
                <w:rFonts w:hint="eastAsia"/>
                <w:kern w:val="0"/>
                <w:sz w:val="24"/>
                <w:szCs w:val="24"/>
                <w:highlight w:val="none"/>
              </w:rPr>
              <w:t>氨、硫化氢、臭气浓度</w:t>
            </w:r>
            <w:r>
              <w:rPr>
                <w:rFonts w:hint="eastAsia"/>
                <w:kern w:val="0"/>
                <w:sz w:val="24"/>
                <w:szCs w:val="24"/>
                <w:highlight w:val="none"/>
                <w:lang w:val="en-US" w:eastAsia="zh-CN"/>
              </w:rPr>
              <w:t>。</w:t>
            </w:r>
          </w:p>
          <w:p w14:paraId="2A53936D">
            <w:pPr>
              <w:pStyle w:val="7"/>
              <w:keepNext w:val="0"/>
              <w:keepLines w:val="0"/>
              <w:suppressLineNumbers w:val="0"/>
              <w:spacing w:before="0" w:beforeAutospacing="0" w:after="0" w:afterAutospacing="0" w:line="360" w:lineRule="auto"/>
              <w:ind w:left="0" w:right="0" w:firstLine="480"/>
              <w:rPr>
                <w:rFonts w:hint="default"/>
                <w:kern w:val="0"/>
                <w:sz w:val="24"/>
                <w:szCs w:val="24"/>
                <w:highlight w:val="none"/>
              </w:rPr>
            </w:pPr>
            <w:r>
              <w:rPr>
                <w:rFonts w:hint="eastAsia"/>
                <w:kern w:val="0"/>
                <w:sz w:val="24"/>
                <w:szCs w:val="24"/>
                <w:highlight w:val="none"/>
              </w:rPr>
              <w:t>废气中氨</w:t>
            </w:r>
            <w:r>
              <w:rPr>
                <w:rFonts w:hint="eastAsia"/>
                <w:kern w:val="0"/>
                <w:sz w:val="24"/>
                <w:szCs w:val="24"/>
                <w:highlight w:val="none"/>
                <w:lang w:eastAsia="zh-CN"/>
              </w:rPr>
              <w:t>、</w:t>
            </w:r>
            <w:r>
              <w:rPr>
                <w:rFonts w:hint="eastAsia"/>
                <w:kern w:val="0"/>
                <w:sz w:val="24"/>
                <w:szCs w:val="24"/>
                <w:highlight w:val="none"/>
              </w:rPr>
              <w:t>硫化氢、臭气浓度的排放执行《恶臭污染物排放标准》（GB14554-93）表1、表2中的相关标准；</w:t>
            </w:r>
            <w:r>
              <w:rPr>
                <w:rFonts w:hint="eastAsia"/>
                <w:kern w:val="0"/>
                <w:sz w:val="24"/>
                <w:szCs w:val="24"/>
                <w:highlight w:val="none"/>
                <w:lang w:val="en-US" w:eastAsia="zh-CN"/>
              </w:rPr>
              <w:t>实验动物中心产生的</w:t>
            </w:r>
            <w:r>
              <w:rPr>
                <w:rFonts w:hint="eastAsia"/>
                <w:kern w:val="0"/>
                <w:sz w:val="24"/>
                <w:szCs w:val="24"/>
                <w:highlight w:val="none"/>
              </w:rPr>
              <w:t>非甲烷总烃</w:t>
            </w:r>
            <w:r>
              <w:rPr>
                <w:rFonts w:hint="eastAsia"/>
                <w:kern w:val="0"/>
                <w:sz w:val="24"/>
                <w:szCs w:val="24"/>
                <w:highlight w:val="none"/>
                <w:lang w:eastAsia="zh-CN"/>
              </w:rPr>
              <w:t>、</w:t>
            </w:r>
            <w:r>
              <w:rPr>
                <w:rFonts w:hint="eastAsia"/>
                <w:kern w:val="0"/>
                <w:sz w:val="24"/>
                <w:szCs w:val="24"/>
                <w:highlight w:val="none"/>
                <w:lang w:val="en-US" w:eastAsia="zh-CN"/>
              </w:rPr>
              <w:t>颗粒物、氯气、甲醛</w:t>
            </w:r>
            <w:r>
              <w:rPr>
                <w:rFonts w:hint="eastAsia"/>
                <w:kern w:val="0"/>
                <w:sz w:val="24"/>
                <w:szCs w:val="24"/>
                <w:highlight w:val="none"/>
              </w:rPr>
              <w:t>执行《大气污染物综合排放标准》（GB16297-1996）中表2中的二级标准</w:t>
            </w:r>
            <w:r>
              <w:rPr>
                <w:rFonts w:hint="eastAsia"/>
                <w:kern w:val="0"/>
                <w:sz w:val="24"/>
                <w:szCs w:val="24"/>
                <w:highlight w:val="none"/>
                <w:lang w:eastAsia="zh-CN"/>
              </w:rPr>
              <w:t>；</w:t>
            </w:r>
            <w:r>
              <w:rPr>
                <w:rFonts w:hint="eastAsia"/>
                <w:kern w:val="0"/>
                <w:sz w:val="24"/>
                <w:szCs w:val="24"/>
                <w:highlight w:val="none"/>
                <w:lang w:val="en-US" w:eastAsia="zh-CN"/>
              </w:rPr>
              <w:t>科创综合楼实验室产生的</w:t>
            </w:r>
            <w:r>
              <w:rPr>
                <w:rFonts w:hint="eastAsia"/>
                <w:kern w:val="0"/>
                <w:sz w:val="24"/>
                <w:szCs w:val="24"/>
                <w:highlight w:val="none"/>
              </w:rPr>
              <w:t>非甲烷总烃</w:t>
            </w:r>
            <w:r>
              <w:rPr>
                <w:rFonts w:hint="eastAsia"/>
                <w:kern w:val="0"/>
                <w:sz w:val="24"/>
                <w:szCs w:val="24"/>
                <w:highlight w:val="none"/>
                <w:lang w:val="en-US" w:eastAsia="zh-CN"/>
              </w:rPr>
              <w:t>、氯化氢有组织排放执行《制药工业大气污染物排放标准》（GB37823-2019）表2中“化学药品原料药制造、兽用药品原料药制造、生物药品制品制造、医药中间体生产和药物研发机构工艺废气”的特别排放限值要求，氯化氢无组织排放执行《制药工业大气污染物排放标准》（GB37823-2019）表4中</w:t>
            </w:r>
            <w:r>
              <w:rPr>
                <w:rFonts w:hint="eastAsia" w:ascii="Times New Roman" w:hAnsi="Times New Roman" w:eastAsia="宋体" w:cs="Times New Roman"/>
                <w:kern w:val="0"/>
                <w:sz w:val="24"/>
                <w:szCs w:val="24"/>
                <w:highlight w:val="none"/>
                <w:lang w:val="en-US" w:eastAsia="zh-CN"/>
              </w:rPr>
              <w:t>企业边界大气污染物浓度限值，</w:t>
            </w:r>
            <w:r>
              <w:rPr>
                <w:rFonts w:hint="eastAsia"/>
                <w:kern w:val="0"/>
                <w:sz w:val="24"/>
                <w:szCs w:val="24"/>
                <w:highlight w:val="none"/>
              </w:rPr>
              <w:t>非甲烷总烃</w:t>
            </w:r>
            <w:r>
              <w:rPr>
                <w:rFonts w:hint="eastAsia"/>
                <w:kern w:val="0"/>
                <w:sz w:val="24"/>
                <w:szCs w:val="24"/>
                <w:highlight w:val="none"/>
                <w:lang w:val="en-US" w:eastAsia="zh-CN"/>
              </w:rPr>
              <w:t>、硫酸雾无组织排放</w:t>
            </w:r>
            <w:r>
              <w:rPr>
                <w:rFonts w:hint="eastAsia"/>
                <w:kern w:val="0"/>
                <w:sz w:val="24"/>
                <w:szCs w:val="24"/>
                <w:highlight w:val="none"/>
              </w:rPr>
              <w:t>执行《大气污染物综合排放标准》（GB16297-1996）中表2中的二级标准</w:t>
            </w:r>
            <w:r>
              <w:rPr>
                <w:rFonts w:hint="eastAsia"/>
                <w:kern w:val="0"/>
                <w:sz w:val="24"/>
                <w:szCs w:val="24"/>
                <w:highlight w:val="none"/>
                <w:lang w:eastAsia="zh-CN"/>
              </w:rPr>
              <w:t>，</w:t>
            </w:r>
            <w:r>
              <w:rPr>
                <w:rFonts w:hint="eastAsia"/>
                <w:kern w:val="0"/>
                <w:sz w:val="24"/>
                <w:szCs w:val="24"/>
                <w:highlight w:val="none"/>
              </w:rPr>
              <w:t>详见表3-</w:t>
            </w:r>
            <w:r>
              <w:rPr>
                <w:rFonts w:hint="eastAsia"/>
                <w:kern w:val="0"/>
                <w:sz w:val="24"/>
                <w:szCs w:val="24"/>
                <w:highlight w:val="none"/>
                <w:lang w:val="en-US" w:eastAsia="zh-CN"/>
              </w:rPr>
              <w:t>7~</w:t>
            </w:r>
            <w:r>
              <w:rPr>
                <w:rFonts w:hint="eastAsia"/>
                <w:kern w:val="0"/>
                <w:sz w:val="24"/>
                <w:szCs w:val="24"/>
                <w:highlight w:val="none"/>
              </w:rPr>
              <w:t>3-</w:t>
            </w:r>
            <w:r>
              <w:rPr>
                <w:rFonts w:hint="eastAsia"/>
                <w:kern w:val="0"/>
                <w:sz w:val="24"/>
                <w:szCs w:val="24"/>
                <w:highlight w:val="none"/>
                <w:lang w:val="en-US" w:eastAsia="zh-CN"/>
              </w:rPr>
              <w:t>9</w:t>
            </w:r>
            <w:r>
              <w:rPr>
                <w:rFonts w:hint="eastAsia"/>
                <w:kern w:val="0"/>
                <w:sz w:val="24"/>
                <w:szCs w:val="24"/>
                <w:highlight w:val="none"/>
              </w:rPr>
              <w:t>。</w:t>
            </w:r>
          </w:p>
          <w:p w14:paraId="7C12C42E">
            <w:pPr>
              <w:keepNext w:val="0"/>
              <w:keepLines w:val="0"/>
              <w:widowControl/>
              <w:suppressLineNumbers w:val="0"/>
              <w:spacing w:before="0" w:beforeAutospacing="0" w:after="0" w:afterAutospacing="0" w:line="360" w:lineRule="auto"/>
              <w:ind w:left="0" w:right="0"/>
              <w:jc w:val="center"/>
              <w:rPr>
                <w:rFonts w:hint="default"/>
                <w:b/>
                <w:bCs/>
                <w:kern w:val="0"/>
                <w:highlight w:val="none"/>
              </w:rPr>
            </w:pPr>
            <w:r>
              <w:rPr>
                <w:rFonts w:hint="eastAsia"/>
                <w:b/>
                <w:bCs/>
                <w:kern w:val="0"/>
                <w:highlight w:val="none"/>
              </w:rPr>
              <w:t>表3-</w:t>
            </w:r>
            <w:r>
              <w:rPr>
                <w:rFonts w:hint="eastAsia"/>
                <w:b/>
                <w:bCs/>
                <w:kern w:val="0"/>
                <w:highlight w:val="none"/>
                <w:lang w:val="en-US" w:eastAsia="zh-CN"/>
              </w:rPr>
              <w:t>7</w:t>
            </w:r>
            <w:r>
              <w:rPr>
                <w:rFonts w:hint="eastAsia"/>
                <w:b/>
                <w:bCs/>
                <w:kern w:val="0"/>
                <w:highlight w:val="none"/>
              </w:rPr>
              <w:t xml:space="preserve"> 《大气污染物综合排放标准》（GB16297-1996）</w:t>
            </w:r>
          </w:p>
          <w:tbl>
            <w:tblPr>
              <w:tblStyle w:val="33"/>
              <w:tblW w:w="4998"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
            <w:tblGrid>
              <w:gridCol w:w="1839"/>
              <w:gridCol w:w="1230"/>
              <w:gridCol w:w="966"/>
              <w:gridCol w:w="1065"/>
              <w:gridCol w:w="1065"/>
              <w:gridCol w:w="817"/>
              <w:gridCol w:w="1372"/>
            </w:tblGrid>
            <w:tr w14:paraId="76DD290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375" w:hRule="atLeast"/>
                <w:jc w:val="center"/>
              </w:trPr>
              <w:tc>
                <w:tcPr>
                  <w:tcW w:w="1836" w:type="pct"/>
                  <w:gridSpan w:val="2"/>
                  <w:vMerge w:val="restart"/>
                  <w:vAlign w:val="center"/>
                </w:tcPr>
                <w:p w14:paraId="0856F0FD">
                  <w:pPr>
                    <w:keepNext w:val="0"/>
                    <w:keepLines w:val="0"/>
                    <w:widowControl/>
                    <w:suppressLineNumbers w:val="0"/>
                    <w:spacing w:before="0" w:beforeAutospacing="0" w:after="0" w:afterAutospacing="0" w:line="276" w:lineRule="auto"/>
                    <w:ind w:left="0" w:right="0"/>
                    <w:jc w:val="center"/>
                    <w:rPr>
                      <w:rFonts w:hint="eastAsia"/>
                      <w:kern w:val="0"/>
                      <w:sz w:val="21"/>
                      <w:szCs w:val="21"/>
                      <w:highlight w:val="none"/>
                    </w:rPr>
                  </w:pPr>
                  <w:r>
                    <w:rPr>
                      <w:rFonts w:hint="eastAsia"/>
                      <w:kern w:val="0"/>
                      <w:sz w:val="21"/>
                      <w:szCs w:val="21"/>
                      <w:highlight w:val="none"/>
                    </w:rPr>
                    <w:t>污染物</w:t>
                  </w:r>
                </w:p>
              </w:tc>
              <w:tc>
                <w:tcPr>
                  <w:tcW w:w="578" w:type="pct"/>
                  <w:vMerge w:val="restart"/>
                  <w:vAlign w:val="center"/>
                </w:tcPr>
                <w:p w14:paraId="3F51A996">
                  <w:pPr>
                    <w:keepNext w:val="0"/>
                    <w:keepLines w:val="0"/>
                    <w:widowControl/>
                    <w:suppressLineNumbers w:val="0"/>
                    <w:spacing w:before="0" w:beforeAutospacing="0" w:after="0" w:afterAutospacing="0" w:line="276" w:lineRule="auto"/>
                    <w:ind w:left="0" w:right="0"/>
                    <w:jc w:val="center"/>
                    <w:rPr>
                      <w:rFonts w:hint="eastAsia"/>
                      <w:kern w:val="0"/>
                      <w:sz w:val="21"/>
                      <w:szCs w:val="21"/>
                      <w:highlight w:val="none"/>
                    </w:rPr>
                  </w:pPr>
                  <w:r>
                    <w:rPr>
                      <w:rFonts w:hint="eastAsia"/>
                      <w:kern w:val="0"/>
                      <w:sz w:val="21"/>
                      <w:szCs w:val="21"/>
                      <w:highlight w:val="none"/>
                    </w:rPr>
                    <w:t>排气筒高度（m）</w:t>
                  </w:r>
                </w:p>
              </w:tc>
              <w:tc>
                <w:tcPr>
                  <w:tcW w:w="637" w:type="pct"/>
                  <w:vMerge w:val="restart"/>
                  <w:vAlign w:val="center"/>
                </w:tcPr>
                <w:p w14:paraId="7EBC397A">
                  <w:pPr>
                    <w:keepNext w:val="0"/>
                    <w:keepLines w:val="0"/>
                    <w:widowControl/>
                    <w:suppressLineNumbers w:val="0"/>
                    <w:spacing w:before="0" w:beforeAutospacing="0" w:after="0" w:afterAutospacing="0" w:line="276" w:lineRule="auto"/>
                    <w:ind w:left="0" w:right="0"/>
                    <w:jc w:val="center"/>
                    <w:rPr>
                      <w:rFonts w:hint="default"/>
                      <w:kern w:val="0"/>
                      <w:sz w:val="21"/>
                      <w:szCs w:val="21"/>
                      <w:highlight w:val="none"/>
                    </w:rPr>
                  </w:pPr>
                  <w:r>
                    <w:rPr>
                      <w:rFonts w:hint="eastAsia"/>
                      <w:kern w:val="0"/>
                      <w:sz w:val="21"/>
                      <w:szCs w:val="21"/>
                      <w:highlight w:val="none"/>
                    </w:rPr>
                    <w:t>最高允许排放浓度（mg/m</w:t>
                  </w:r>
                  <w:r>
                    <w:rPr>
                      <w:rFonts w:hint="eastAsia"/>
                      <w:kern w:val="0"/>
                      <w:sz w:val="21"/>
                      <w:szCs w:val="21"/>
                      <w:highlight w:val="none"/>
                      <w:vertAlign w:val="superscript"/>
                    </w:rPr>
                    <w:t>3</w:t>
                  </w:r>
                  <w:r>
                    <w:rPr>
                      <w:rFonts w:hint="eastAsia"/>
                      <w:kern w:val="0"/>
                      <w:sz w:val="21"/>
                      <w:szCs w:val="21"/>
                      <w:highlight w:val="none"/>
                    </w:rPr>
                    <w:t>）</w:t>
                  </w:r>
                </w:p>
              </w:tc>
              <w:tc>
                <w:tcPr>
                  <w:tcW w:w="637" w:type="pct"/>
                  <w:vMerge w:val="restart"/>
                  <w:vAlign w:val="center"/>
                </w:tcPr>
                <w:p w14:paraId="7853A12A">
                  <w:pPr>
                    <w:keepNext w:val="0"/>
                    <w:keepLines w:val="0"/>
                    <w:widowControl/>
                    <w:suppressLineNumbers w:val="0"/>
                    <w:spacing w:before="0" w:beforeAutospacing="0" w:after="0" w:afterAutospacing="0" w:line="276" w:lineRule="auto"/>
                    <w:ind w:left="0" w:right="0"/>
                    <w:jc w:val="center"/>
                    <w:rPr>
                      <w:rFonts w:hint="default"/>
                      <w:kern w:val="0"/>
                      <w:sz w:val="21"/>
                      <w:szCs w:val="21"/>
                      <w:highlight w:val="none"/>
                    </w:rPr>
                  </w:pPr>
                  <w:r>
                    <w:rPr>
                      <w:rFonts w:hint="eastAsia"/>
                      <w:kern w:val="0"/>
                      <w:sz w:val="21"/>
                      <w:szCs w:val="21"/>
                      <w:highlight w:val="none"/>
                    </w:rPr>
                    <w:t>最高允许排放速率（kg/h）</w:t>
                  </w:r>
                </w:p>
              </w:tc>
              <w:tc>
                <w:tcPr>
                  <w:tcW w:w="1310" w:type="pct"/>
                  <w:gridSpan w:val="2"/>
                  <w:vAlign w:val="center"/>
                </w:tcPr>
                <w:p w14:paraId="5E0CFFA1">
                  <w:pPr>
                    <w:keepNext w:val="0"/>
                    <w:keepLines w:val="0"/>
                    <w:widowControl/>
                    <w:suppressLineNumbers w:val="0"/>
                    <w:spacing w:before="0" w:beforeAutospacing="0" w:after="0" w:afterAutospacing="0" w:line="276" w:lineRule="auto"/>
                    <w:ind w:left="0" w:right="0"/>
                    <w:jc w:val="center"/>
                    <w:rPr>
                      <w:rFonts w:hint="default"/>
                      <w:kern w:val="0"/>
                      <w:sz w:val="21"/>
                      <w:szCs w:val="21"/>
                      <w:highlight w:val="none"/>
                    </w:rPr>
                  </w:pPr>
                  <w:r>
                    <w:rPr>
                      <w:rFonts w:hint="eastAsia"/>
                      <w:kern w:val="0"/>
                      <w:sz w:val="21"/>
                      <w:szCs w:val="21"/>
                      <w:highlight w:val="none"/>
                    </w:rPr>
                    <w:t>无组织排放监控浓度限值</w:t>
                  </w:r>
                </w:p>
              </w:tc>
            </w:tr>
            <w:tr w14:paraId="0573227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297" w:hRule="atLeast"/>
                <w:jc w:val="center"/>
              </w:trPr>
              <w:tc>
                <w:tcPr>
                  <w:tcW w:w="1836" w:type="pct"/>
                  <w:gridSpan w:val="2"/>
                  <w:vMerge w:val="continue"/>
                  <w:vAlign w:val="center"/>
                </w:tcPr>
                <w:p w14:paraId="30A320A9">
                  <w:pPr>
                    <w:keepNext w:val="0"/>
                    <w:keepLines w:val="0"/>
                    <w:widowControl/>
                    <w:suppressLineNumbers w:val="0"/>
                    <w:spacing w:before="0" w:beforeAutospacing="0" w:after="0" w:afterAutospacing="0" w:line="276" w:lineRule="auto"/>
                    <w:ind w:left="0" w:right="0"/>
                    <w:jc w:val="center"/>
                    <w:rPr>
                      <w:rFonts w:hint="default"/>
                      <w:kern w:val="0"/>
                      <w:sz w:val="21"/>
                      <w:szCs w:val="21"/>
                      <w:highlight w:val="none"/>
                    </w:rPr>
                  </w:pPr>
                </w:p>
              </w:tc>
              <w:tc>
                <w:tcPr>
                  <w:tcW w:w="578" w:type="pct"/>
                  <w:vMerge w:val="continue"/>
                  <w:vAlign w:val="center"/>
                </w:tcPr>
                <w:p w14:paraId="50FC5D63">
                  <w:pPr>
                    <w:keepNext w:val="0"/>
                    <w:keepLines w:val="0"/>
                    <w:widowControl/>
                    <w:suppressLineNumbers w:val="0"/>
                    <w:spacing w:before="0" w:beforeAutospacing="0" w:after="0" w:afterAutospacing="0" w:line="276" w:lineRule="auto"/>
                    <w:ind w:left="0" w:right="0"/>
                    <w:jc w:val="center"/>
                    <w:rPr>
                      <w:rFonts w:hint="default"/>
                      <w:kern w:val="0"/>
                      <w:sz w:val="21"/>
                      <w:szCs w:val="21"/>
                      <w:highlight w:val="none"/>
                    </w:rPr>
                  </w:pPr>
                </w:p>
              </w:tc>
              <w:tc>
                <w:tcPr>
                  <w:tcW w:w="637" w:type="pct"/>
                  <w:vMerge w:val="continue"/>
                  <w:vAlign w:val="center"/>
                </w:tcPr>
                <w:p w14:paraId="2725DF86">
                  <w:pPr>
                    <w:keepNext w:val="0"/>
                    <w:keepLines w:val="0"/>
                    <w:widowControl/>
                    <w:suppressLineNumbers w:val="0"/>
                    <w:spacing w:before="0" w:beforeAutospacing="0" w:after="0" w:afterAutospacing="0" w:line="276" w:lineRule="auto"/>
                    <w:ind w:left="0" w:right="0"/>
                    <w:jc w:val="center"/>
                    <w:rPr>
                      <w:rFonts w:hint="default"/>
                      <w:kern w:val="0"/>
                      <w:sz w:val="21"/>
                      <w:szCs w:val="21"/>
                      <w:highlight w:val="none"/>
                    </w:rPr>
                  </w:pPr>
                </w:p>
              </w:tc>
              <w:tc>
                <w:tcPr>
                  <w:tcW w:w="637" w:type="pct"/>
                  <w:vMerge w:val="continue"/>
                  <w:vAlign w:val="center"/>
                </w:tcPr>
                <w:p w14:paraId="05F3F7D6">
                  <w:pPr>
                    <w:keepNext w:val="0"/>
                    <w:keepLines w:val="0"/>
                    <w:widowControl/>
                    <w:suppressLineNumbers w:val="0"/>
                    <w:spacing w:before="0" w:beforeAutospacing="0" w:after="0" w:afterAutospacing="0" w:line="276" w:lineRule="auto"/>
                    <w:ind w:left="0" w:right="0"/>
                    <w:jc w:val="center"/>
                    <w:rPr>
                      <w:rFonts w:hint="default"/>
                      <w:kern w:val="0"/>
                      <w:sz w:val="21"/>
                      <w:szCs w:val="21"/>
                      <w:highlight w:val="none"/>
                    </w:rPr>
                  </w:pPr>
                </w:p>
              </w:tc>
              <w:tc>
                <w:tcPr>
                  <w:tcW w:w="489" w:type="pct"/>
                  <w:vAlign w:val="center"/>
                </w:tcPr>
                <w:p w14:paraId="6112B80E">
                  <w:pPr>
                    <w:keepNext w:val="0"/>
                    <w:keepLines w:val="0"/>
                    <w:widowControl/>
                    <w:suppressLineNumbers w:val="0"/>
                    <w:spacing w:before="0" w:beforeAutospacing="0" w:after="0" w:afterAutospacing="0" w:line="276" w:lineRule="auto"/>
                    <w:ind w:left="0" w:right="0"/>
                    <w:jc w:val="center"/>
                    <w:rPr>
                      <w:rFonts w:hint="default"/>
                      <w:kern w:val="0"/>
                      <w:sz w:val="21"/>
                      <w:szCs w:val="21"/>
                      <w:highlight w:val="none"/>
                    </w:rPr>
                  </w:pPr>
                  <w:r>
                    <w:rPr>
                      <w:rFonts w:hint="eastAsia"/>
                      <w:kern w:val="0"/>
                      <w:sz w:val="21"/>
                      <w:szCs w:val="21"/>
                      <w:highlight w:val="none"/>
                    </w:rPr>
                    <w:t>监控点</w:t>
                  </w:r>
                </w:p>
              </w:tc>
              <w:tc>
                <w:tcPr>
                  <w:tcW w:w="820" w:type="pct"/>
                  <w:vAlign w:val="center"/>
                </w:tcPr>
                <w:p w14:paraId="762DEDC6">
                  <w:pPr>
                    <w:keepNext w:val="0"/>
                    <w:keepLines w:val="0"/>
                    <w:widowControl/>
                    <w:suppressLineNumbers w:val="0"/>
                    <w:spacing w:before="0" w:beforeAutospacing="0" w:after="0" w:afterAutospacing="0" w:line="276" w:lineRule="auto"/>
                    <w:ind w:left="0" w:right="0"/>
                    <w:jc w:val="center"/>
                    <w:rPr>
                      <w:rFonts w:hint="default"/>
                      <w:kern w:val="0"/>
                      <w:sz w:val="21"/>
                      <w:szCs w:val="21"/>
                      <w:highlight w:val="none"/>
                    </w:rPr>
                  </w:pPr>
                  <w:r>
                    <w:rPr>
                      <w:rFonts w:hint="eastAsia"/>
                      <w:kern w:val="0"/>
                      <w:sz w:val="21"/>
                      <w:szCs w:val="21"/>
                      <w:highlight w:val="none"/>
                    </w:rPr>
                    <w:t>浓度（mg/m</w:t>
                  </w:r>
                  <w:r>
                    <w:rPr>
                      <w:rFonts w:hint="eastAsia"/>
                      <w:kern w:val="0"/>
                      <w:sz w:val="21"/>
                      <w:szCs w:val="21"/>
                      <w:highlight w:val="none"/>
                      <w:vertAlign w:val="superscript"/>
                    </w:rPr>
                    <w:t>3</w:t>
                  </w:r>
                  <w:r>
                    <w:rPr>
                      <w:rFonts w:hint="eastAsia"/>
                      <w:kern w:val="0"/>
                      <w:sz w:val="21"/>
                      <w:szCs w:val="21"/>
                      <w:highlight w:val="none"/>
                    </w:rPr>
                    <w:t>）</w:t>
                  </w:r>
                </w:p>
              </w:tc>
            </w:tr>
            <w:tr w14:paraId="2FBB3D9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90" w:hRule="atLeast"/>
                <w:jc w:val="center"/>
              </w:trPr>
              <w:tc>
                <w:tcPr>
                  <w:tcW w:w="1100" w:type="pct"/>
                  <w:vMerge w:val="restart"/>
                  <w:vAlign w:val="center"/>
                </w:tcPr>
                <w:p w14:paraId="074556F1">
                  <w:pPr>
                    <w:keepNext w:val="0"/>
                    <w:keepLines w:val="0"/>
                    <w:widowControl/>
                    <w:suppressLineNumbers w:val="0"/>
                    <w:spacing w:before="0" w:beforeAutospacing="0" w:after="0" w:afterAutospacing="0" w:line="276" w:lineRule="auto"/>
                    <w:ind w:left="0" w:right="0"/>
                    <w:jc w:val="center"/>
                    <w:rPr>
                      <w:rFonts w:hint="eastAsia" w:eastAsia="宋体"/>
                      <w:kern w:val="0"/>
                      <w:sz w:val="21"/>
                      <w:szCs w:val="21"/>
                      <w:highlight w:val="none"/>
                      <w:lang w:val="en-US" w:eastAsia="zh-CN"/>
                    </w:rPr>
                  </w:pPr>
                  <w:r>
                    <w:rPr>
                      <w:rFonts w:hint="eastAsia"/>
                      <w:kern w:val="0"/>
                      <w:sz w:val="21"/>
                      <w:szCs w:val="21"/>
                      <w:highlight w:val="none"/>
                      <w:lang w:val="en-US" w:eastAsia="zh-CN"/>
                    </w:rPr>
                    <w:t>实验动物中心（DA001~DA010）</w:t>
                  </w:r>
                </w:p>
              </w:tc>
              <w:tc>
                <w:tcPr>
                  <w:tcW w:w="736" w:type="pct"/>
                  <w:vAlign w:val="center"/>
                </w:tcPr>
                <w:p w14:paraId="5C1F029E">
                  <w:pPr>
                    <w:keepNext w:val="0"/>
                    <w:keepLines w:val="0"/>
                    <w:widowControl/>
                    <w:suppressLineNumbers w:val="0"/>
                    <w:spacing w:before="0" w:beforeAutospacing="0" w:after="0" w:afterAutospacing="0" w:line="276" w:lineRule="auto"/>
                    <w:ind w:left="0" w:right="0"/>
                    <w:jc w:val="center"/>
                    <w:rPr>
                      <w:rFonts w:hint="eastAsia"/>
                      <w:kern w:val="0"/>
                      <w:sz w:val="21"/>
                      <w:szCs w:val="21"/>
                      <w:highlight w:val="none"/>
                    </w:rPr>
                  </w:pPr>
                  <w:r>
                    <w:rPr>
                      <w:rFonts w:hint="eastAsia"/>
                      <w:kern w:val="0"/>
                      <w:sz w:val="21"/>
                      <w:szCs w:val="21"/>
                      <w:highlight w:val="none"/>
                    </w:rPr>
                    <w:t>非甲烷总烃</w:t>
                  </w:r>
                </w:p>
              </w:tc>
              <w:tc>
                <w:tcPr>
                  <w:tcW w:w="578" w:type="pct"/>
                  <w:vAlign w:val="center"/>
                </w:tcPr>
                <w:p w14:paraId="413D8D3C">
                  <w:pPr>
                    <w:keepNext w:val="0"/>
                    <w:keepLines w:val="0"/>
                    <w:widowControl/>
                    <w:suppressLineNumbers w:val="0"/>
                    <w:spacing w:before="0" w:beforeAutospacing="0" w:after="0" w:afterAutospacing="0" w:line="276" w:lineRule="auto"/>
                    <w:ind w:left="0" w:right="0"/>
                    <w:jc w:val="center"/>
                    <w:rPr>
                      <w:rFonts w:hint="default" w:eastAsia="宋体"/>
                      <w:kern w:val="0"/>
                      <w:sz w:val="21"/>
                      <w:szCs w:val="21"/>
                      <w:highlight w:val="none"/>
                      <w:lang w:val="en-US" w:eastAsia="zh-CN"/>
                    </w:rPr>
                  </w:pPr>
                  <w:r>
                    <w:rPr>
                      <w:rFonts w:hint="eastAsia"/>
                      <w:kern w:val="0"/>
                      <w:sz w:val="21"/>
                      <w:szCs w:val="21"/>
                      <w:highlight w:val="none"/>
                      <w:lang w:val="en-US" w:eastAsia="zh-CN"/>
                    </w:rPr>
                    <w:t>30</w:t>
                  </w:r>
                </w:p>
              </w:tc>
              <w:tc>
                <w:tcPr>
                  <w:tcW w:w="637" w:type="pct"/>
                  <w:vAlign w:val="center"/>
                </w:tcPr>
                <w:p w14:paraId="1DD6CCE7">
                  <w:pPr>
                    <w:keepNext w:val="0"/>
                    <w:keepLines w:val="0"/>
                    <w:widowControl/>
                    <w:suppressLineNumbers w:val="0"/>
                    <w:spacing w:before="0" w:beforeAutospacing="0" w:after="0" w:afterAutospacing="0" w:line="276" w:lineRule="auto"/>
                    <w:ind w:left="0" w:right="0"/>
                    <w:jc w:val="center"/>
                    <w:rPr>
                      <w:rFonts w:hint="default"/>
                      <w:kern w:val="0"/>
                      <w:sz w:val="21"/>
                      <w:szCs w:val="21"/>
                      <w:highlight w:val="none"/>
                    </w:rPr>
                  </w:pPr>
                  <w:r>
                    <w:rPr>
                      <w:rFonts w:hint="eastAsia"/>
                      <w:kern w:val="0"/>
                      <w:sz w:val="21"/>
                      <w:szCs w:val="21"/>
                      <w:highlight w:val="none"/>
                    </w:rPr>
                    <w:t>120</w:t>
                  </w:r>
                </w:p>
              </w:tc>
              <w:tc>
                <w:tcPr>
                  <w:tcW w:w="637" w:type="pct"/>
                  <w:vAlign w:val="center"/>
                </w:tcPr>
                <w:p w14:paraId="5C2B2A75">
                  <w:pPr>
                    <w:keepNext w:val="0"/>
                    <w:keepLines w:val="0"/>
                    <w:widowControl/>
                    <w:suppressLineNumbers w:val="0"/>
                    <w:spacing w:before="0" w:beforeAutospacing="0" w:after="0" w:afterAutospacing="0" w:line="276" w:lineRule="auto"/>
                    <w:ind w:left="0" w:right="0"/>
                    <w:jc w:val="center"/>
                    <w:rPr>
                      <w:rFonts w:hint="default" w:eastAsia="宋体"/>
                      <w:kern w:val="0"/>
                      <w:sz w:val="21"/>
                      <w:szCs w:val="21"/>
                      <w:highlight w:val="none"/>
                      <w:lang w:val="en-US" w:eastAsia="zh-CN"/>
                    </w:rPr>
                  </w:pPr>
                  <w:r>
                    <w:rPr>
                      <w:rFonts w:hint="eastAsia"/>
                      <w:b w:val="0"/>
                      <w:bCs w:val="0"/>
                      <w:kern w:val="0"/>
                      <w:sz w:val="21"/>
                      <w:szCs w:val="21"/>
                      <w:highlight w:val="none"/>
                      <w:lang w:val="en-US" w:eastAsia="zh-CN"/>
                    </w:rPr>
                    <w:t>26.5*</w:t>
                  </w:r>
                </w:p>
              </w:tc>
              <w:tc>
                <w:tcPr>
                  <w:tcW w:w="489" w:type="pct"/>
                  <w:vMerge w:val="restart"/>
                  <w:vAlign w:val="center"/>
                </w:tcPr>
                <w:p w14:paraId="68B3E568">
                  <w:pPr>
                    <w:keepNext w:val="0"/>
                    <w:keepLines w:val="0"/>
                    <w:widowControl/>
                    <w:suppressLineNumbers w:val="0"/>
                    <w:spacing w:before="0" w:beforeAutospacing="0" w:after="0" w:afterAutospacing="0" w:line="276" w:lineRule="auto"/>
                    <w:ind w:left="0" w:right="0"/>
                    <w:jc w:val="center"/>
                    <w:rPr>
                      <w:rFonts w:hint="default"/>
                      <w:kern w:val="0"/>
                      <w:sz w:val="21"/>
                      <w:szCs w:val="21"/>
                      <w:highlight w:val="none"/>
                    </w:rPr>
                  </w:pPr>
                  <w:r>
                    <w:rPr>
                      <w:rFonts w:hint="eastAsia"/>
                      <w:kern w:val="0"/>
                      <w:sz w:val="21"/>
                      <w:szCs w:val="21"/>
                      <w:highlight w:val="none"/>
                    </w:rPr>
                    <w:t>厂界排放限值</w:t>
                  </w:r>
                </w:p>
              </w:tc>
              <w:tc>
                <w:tcPr>
                  <w:tcW w:w="820" w:type="pct"/>
                  <w:vAlign w:val="center"/>
                </w:tcPr>
                <w:p w14:paraId="5B6A89EC">
                  <w:pPr>
                    <w:keepNext w:val="0"/>
                    <w:keepLines w:val="0"/>
                    <w:widowControl/>
                    <w:suppressLineNumbers w:val="0"/>
                    <w:spacing w:before="0" w:beforeAutospacing="0" w:after="0" w:afterAutospacing="0" w:line="276" w:lineRule="auto"/>
                    <w:ind w:left="0" w:right="0"/>
                    <w:jc w:val="center"/>
                    <w:rPr>
                      <w:rFonts w:hint="default"/>
                      <w:kern w:val="0"/>
                      <w:sz w:val="21"/>
                      <w:szCs w:val="21"/>
                      <w:highlight w:val="none"/>
                    </w:rPr>
                  </w:pPr>
                  <w:r>
                    <w:rPr>
                      <w:rFonts w:hint="eastAsia"/>
                      <w:kern w:val="0"/>
                      <w:sz w:val="21"/>
                      <w:szCs w:val="21"/>
                      <w:highlight w:val="none"/>
                    </w:rPr>
                    <w:t>4.0</w:t>
                  </w:r>
                </w:p>
              </w:tc>
            </w:tr>
            <w:tr w14:paraId="51718BA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277" w:hRule="atLeast"/>
                <w:jc w:val="center"/>
              </w:trPr>
              <w:tc>
                <w:tcPr>
                  <w:tcW w:w="1100" w:type="pct"/>
                  <w:vMerge w:val="continue"/>
                  <w:vAlign w:val="center"/>
                </w:tcPr>
                <w:p w14:paraId="1128D7AE">
                  <w:pPr>
                    <w:keepNext w:val="0"/>
                    <w:keepLines w:val="0"/>
                    <w:widowControl/>
                    <w:suppressLineNumbers w:val="0"/>
                    <w:spacing w:before="0" w:beforeAutospacing="0" w:after="0" w:afterAutospacing="0" w:line="276" w:lineRule="auto"/>
                    <w:ind w:left="0" w:right="0"/>
                    <w:jc w:val="center"/>
                    <w:rPr>
                      <w:rFonts w:hint="eastAsia"/>
                      <w:kern w:val="0"/>
                      <w:sz w:val="21"/>
                      <w:szCs w:val="21"/>
                      <w:highlight w:val="none"/>
                      <w:lang w:val="en-US" w:eastAsia="zh-CN"/>
                    </w:rPr>
                  </w:pPr>
                </w:p>
              </w:tc>
              <w:tc>
                <w:tcPr>
                  <w:tcW w:w="736" w:type="pct"/>
                  <w:vAlign w:val="center"/>
                </w:tcPr>
                <w:p w14:paraId="349824E8">
                  <w:pPr>
                    <w:keepNext w:val="0"/>
                    <w:keepLines w:val="0"/>
                    <w:widowControl/>
                    <w:suppressLineNumbers w:val="0"/>
                    <w:spacing w:before="0" w:beforeAutospacing="0" w:after="0" w:afterAutospacing="0" w:line="276" w:lineRule="auto"/>
                    <w:ind w:left="0" w:right="0"/>
                    <w:jc w:val="center"/>
                    <w:rPr>
                      <w:rFonts w:hint="eastAsia" w:eastAsia="宋体"/>
                      <w:kern w:val="0"/>
                      <w:sz w:val="21"/>
                      <w:szCs w:val="21"/>
                      <w:highlight w:val="none"/>
                      <w:lang w:val="en-US" w:eastAsia="zh-CN"/>
                    </w:rPr>
                  </w:pPr>
                  <w:r>
                    <w:rPr>
                      <w:rFonts w:hint="eastAsia"/>
                      <w:kern w:val="0"/>
                      <w:sz w:val="21"/>
                      <w:szCs w:val="21"/>
                      <w:highlight w:val="none"/>
                      <w:lang w:val="en-US" w:eastAsia="zh-CN"/>
                    </w:rPr>
                    <w:t>颗粒物</w:t>
                  </w:r>
                </w:p>
              </w:tc>
              <w:tc>
                <w:tcPr>
                  <w:tcW w:w="578" w:type="pct"/>
                  <w:vAlign w:val="center"/>
                </w:tcPr>
                <w:p w14:paraId="73F3426C">
                  <w:pPr>
                    <w:keepNext w:val="0"/>
                    <w:keepLines w:val="0"/>
                    <w:widowControl/>
                    <w:suppressLineNumbers w:val="0"/>
                    <w:spacing w:before="0" w:beforeAutospacing="0" w:after="0" w:afterAutospacing="0" w:line="276" w:lineRule="auto"/>
                    <w:ind w:left="0" w:right="0"/>
                    <w:jc w:val="center"/>
                    <w:rPr>
                      <w:rFonts w:hint="default"/>
                      <w:kern w:val="0"/>
                      <w:sz w:val="21"/>
                      <w:szCs w:val="21"/>
                      <w:highlight w:val="none"/>
                      <w:lang w:val="en-US" w:eastAsia="zh-CN"/>
                    </w:rPr>
                  </w:pPr>
                  <w:r>
                    <w:rPr>
                      <w:rFonts w:hint="eastAsia"/>
                      <w:kern w:val="0"/>
                      <w:sz w:val="21"/>
                      <w:szCs w:val="21"/>
                      <w:highlight w:val="none"/>
                      <w:lang w:val="en-US" w:eastAsia="zh-CN"/>
                    </w:rPr>
                    <w:t>30</w:t>
                  </w:r>
                </w:p>
              </w:tc>
              <w:tc>
                <w:tcPr>
                  <w:tcW w:w="637" w:type="pct"/>
                  <w:vAlign w:val="center"/>
                </w:tcPr>
                <w:p w14:paraId="522DED56">
                  <w:pPr>
                    <w:keepNext w:val="0"/>
                    <w:keepLines w:val="0"/>
                    <w:widowControl/>
                    <w:suppressLineNumbers w:val="0"/>
                    <w:spacing w:before="0" w:beforeAutospacing="0" w:after="0" w:afterAutospacing="0" w:line="276" w:lineRule="auto"/>
                    <w:ind w:left="0" w:right="0"/>
                    <w:jc w:val="center"/>
                    <w:rPr>
                      <w:rFonts w:hint="default" w:eastAsia="宋体"/>
                      <w:kern w:val="0"/>
                      <w:sz w:val="21"/>
                      <w:szCs w:val="21"/>
                      <w:highlight w:val="none"/>
                      <w:lang w:val="en-US" w:eastAsia="zh-CN"/>
                    </w:rPr>
                  </w:pPr>
                  <w:r>
                    <w:rPr>
                      <w:rFonts w:hint="eastAsia"/>
                      <w:kern w:val="0"/>
                      <w:sz w:val="21"/>
                      <w:szCs w:val="21"/>
                      <w:highlight w:val="none"/>
                      <w:lang w:val="en-US" w:eastAsia="zh-CN"/>
                    </w:rPr>
                    <w:t>120</w:t>
                  </w:r>
                </w:p>
              </w:tc>
              <w:tc>
                <w:tcPr>
                  <w:tcW w:w="637" w:type="pct"/>
                  <w:vAlign w:val="center"/>
                </w:tcPr>
                <w:p w14:paraId="009E7DD8">
                  <w:pPr>
                    <w:keepNext w:val="0"/>
                    <w:keepLines w:val="0"/>
                    <w:widowControl/>
                    <w:suppressLineNumbers w:val="0"/>
                    <w:spacing w:before="0" w:beforeAutospacing="0" w:after="0" w:afterAutospacing="0" w:line="276" w:lineRule="auto"/>
                    <w:ind w:left="0" w:right="0"/>
                    <w:jc w:val="center"/>
                    <w:rPr>
                      <w:rFonts w:hint="default"/>
                      <w:b w:val="0"/>
                      <w:bCs w:val="0"/>
                      <w:kern w:val="0"/>
                      <w:sz w:val="21"/>
                      <w:szCs w:val="21"/>
                      <w:highlight w:val="none"/>
                      <w:lang w:val="en-US" w:eastAsia="zh-CN"/>
                    </w:rPr>
                  </w:pPr>
                  <w:r>
                    <w:rPr>
                      <w:rFonts w:hint="eastAsia"/>
                      <w:b w:val="0"/>
                      <w:bCs w:val="0"/>
                      <w:kern w:val="0"/>
                      <w:sz w:val="21"/>
                      <w:szCs w:val="21"/>
                      <w:highlight w:val="none"/>
                      <w:lang w:val="en-US" w:eastAsia="zh-CN"/>
                    </w:rPr>
                    <w:t>11.5*</w:t>
                  </w:r>
                </w:p>
              </w:tc>
              <w:tc>
                <w:tcPr>
                  <w:tcW w:w="489" w:type="pct"/>
                  <w:vMerge w:val="continue"/>
                  <w:vAlign w:val="center"/>
                </w:tcPr>
                <w:p w14:paraId="6DAFD5E8">
                  <w:pPr>
                    <w:keepNext w:val="0"/>
                    <w:keepLines w:val="0"/>
                    <w:widowControl/>
                    <w:suppressLineNumbers w:val="0"/>
                    <w:spacing w:before="0" w:beforeAutospacing="0" w:after="0" w:afterAutospacing="0" w:line="276" w:lineRule="auto"/>
                    <w:ind w:left="0" w:right="0"/>
                    <w:jc w:val="center"/>
                    <w:rPr>
                      <w:rFonts w:hint="eastAsia"/>
                      <w:kern w:val="0"/>
                      <w:sz w:val="21"/>
                      <w:szCs w:val="21"/>
                      <w:highlight w:val="none"/>
                    </w:rPr>
                  </w:pPr>
                </w:p>
              </w:tc>
              <w:tc>
                <w:tcPr>
                  <w:tcW w:w="820" w:type="pct"/>
                  <w:vAlign w:val="center"/>
                </w:tcPr>
                <w:p w14:paraId="7BA450FB">
                  <w:pPr>
                    <w:keepNext w:val="0"/>
                    <w:keepLines w:val="0"/>
                    <w:widowControl/>
                    <w:suppressLineNumbers w:val="0"/>
                    <w:spacing w:before="0" w:beforeAutospacing="0" w:after="0" w:afterAutospacing="0" w:line="276" w:lineRule="auto"/>
                    <w:ind w:left="0" w:right="0"/>
                    <w:jc w:val="center"/>
                    <w:rPr>
                      <w:rFonts w:hint="default" w:eastAsia="宋体"/>
                      <w:kern w:val="0"/>
                      <w:sz w:val="21"/>
                      <w:szCs w:val="21"/>
                      <w:highlight w:val="none"/>
                      <w:lang w:val="en-US" w:eastAsia="zh-CN"/>
                    </w:rPr>
                  </w:pPr>
                  <w:r>
                    <w:rPr>
                      <w:rFonts w:hint="eastAsia"/>
                      <w:kern w:val="0"/>
                      <w:sz w:val="21"/>
                      <w:szCs w:val="21"/>
                      <w:highlight w:val="none"/>
                      <w:lang w:val="en-US" w:eastAsia="zh-CN"/>
                    </w:rPr>
                    <w:t>1.0</w:t>
                  </w:r>
                </w:p>
              </w:tc>
            </w:tr>
            <w:tr w14:paraId="5ED72C2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277" w:hRule="atLeast"/>
                <w:jc w:val="center"/>
              </w:trPr>
              <w:tc>
                <w:tcPr>
                  <w:tcW w:w="1100" w:type="pct"/>
                  <w:vMerge w:val="continue"/>
                  <w:vAlign w:val="center"/>
                </w:tcPr>
                <w:p w14:paraId="37685CBC">
                  <w:pPr>
                    <w:keepNext w:val="0"/>
                    <w:keepLines w:val="0"/>
                    <w:widowControl/>
                    <w:suppressLineNumbers w:val="0"/>
                    <w:spacing w:before="0" w:beforeAutospacing="0" w:after="0" w:afterAutospacing="0" w:line="276" w:lineRule="auto"/>
                    <w:ind w:left="0" w:right="0"/>
                    <w:jc w:val="center"/>
                    <w:rPr>
                      <w:rFonts w:hint="eastAsia" w:eastAsia="宋体"/>
                      <w:kern w:val="0"/>
                      <w:sz w:val="21"/>
                      <w:szCs w:val="21"/>
                      <w:highlight w:val="none"/>
                      <w:lang w:val="en-US" w:eastAsia="zh-CN"/>
                    </w:rPr>
                  </w:pPr>
                </w:p>
              </w:tc>
              <w:tc>
                <w:tcPr>
                  <w:tcW w:w="736" w:type="pct"/>
                  <w:vAlign w:val="center"/>
                </w:tcPr>
                <w:p w14:paraId="5D07BA89">
                  <w:pPr>
                    <w:keepNext w:val="0"/>
                    <w:keepLines w:val="0"/>
                    <w:widowControl/>
                    <w:suppressLineNumbers w:val="0"/>
                    <w:spacing w:before="0" w:beforeAutospacing="0" w:after="0" w:afterAutospacing="0" w:line="276" w:lineRule="auto"/>
                    <w:ind w:left="0" w:right="0"/>
                    <w:jc w:val="center"/>
                    <w:rPr>
                      <w:rFonts w:hint="eastAsia"/>
                      <w:kern w:val="0"/>
                      <w:sz w:val="21"/>
                      <w:szCs w:val="21"/>
                      <w:highlight w:val="none"/>
                      <w:lang w:val="en-US" w:eastAsia="zh-CN"/>
                    </w:rPr>
                  </w:pPr>
                  <w:r>
                    <w:rPr>
                      <w:rFonts w:hint="eastAsia"/>
                      <w:kern w:val="0"/>
                      <w:sz w:val="21"/>
                      <w:szCs w:val="21"/>
                      <w:highlight w:val="none"/>
                      <w:lang w:val="en-US" w:eastAsia="zh-CN"/>
                    </w:rPr>
                    <w:t>氯气</w:t>
                  </w:r>
                </w:p>
              </w:tc>
              <w:tc>
                <w:tcPr>
                  <w:tcW w:w="578" w:type="pct"/>
                  <w:vAlign w:val="center"/>
                </w:tcPr>
                <w:p w14:paraId="20BBEF91">
                  <w:pPr>
                    <w:keepNext w:val="0"/>
                    <w:keepLines w:val="0"/>
                    <w:widowControl/>
                    <w:suppressLineNumbers w:val="0"/>
                    <w:spacing w:before="0" w:beforeAutospacing="0" w:after="0" w:afterAutospacing="0" w:line="276" w:lineRule="auto"/>
                    <w:ind w:left="0" w:right="0"/>
                    <w:jc w:val="center"/>
                    <w:rPr>
                      <w:rFonts w:hint="default"/>
                      <w:kern w:val="0"/>
                      <w:sz w:val="21"/>
                      <w:szCs w:val="21"/>
                      <w:highlight w:val="none"/>
                      <w:lang w:val="en-US" w:eastAsia="zh-CN"/>
                    </w:rPr>
                  </w:pPr>
                  <w:r>
                    <w:rPr>
                      <w:rFonts w:hint="eastAsia"/>
                      <w:kern w:val="0"/>
                      <w:sz w:val="21"/>
                      <w:szCs w:val="21"/>
                      <w:highlight w:val="none"/>
                      <w:lang w:val="en-US" w:eastAsia="zh-CN"/>
                    </w:rPr>
                    <w:t>30</w:t>
                  </w:r>
                </w:p>
              </w:tc>
              <w:tc>
                <w:tcPr>
                  <w:tcW w:w="637" w:type="pct"/>
                  <w:vAlign w:val="center"/>
                </w:tcPr>
                <w:p w14:paraId="4200E36F">
                  <w:pPr>
                    <w:keepNext w:val="0"/>
                    <w:keepLines w:val="0"/>
                    <w:widowControl/>
                    <w:suppressLineNumbers w:val="0"/>
                    <w:spacing w:before="0" w:beforeAutospacing="0" w:after="0" w:afterAutospacing="0" w:line="276" w:lineRule="auto"/>
                    <w:ind w:left="0" w:right="0"/>
                    <w:jc w:val="center"/>
                    <w:rPr>
                      <w:rFonts w:hint="default" w:eastAsia="宋体"/>
                      <w:kern w:val="0"/>
                      <w:sz w:val="21"/>
                      <w:szCs w:val="21"/>
                      <w:highlight w:val="none"/>
                      <w:lang w:val="en-US" w:eastAsia="zh-CN"/>
                    </w:rPr>
                  </w:pPr>
                  <w:r>
                    <w:rPr>
                      <w:rFonts w:hint="eastAsia"/>
                      <w:kern w:val="0"/>
                      <w:sz w:val="21"/>
                      <w:szCs w:val="21"/>
                      <w:highlight w:val="none"/>
                      <w:lang w:val="en-US" w:eastAsia="zh-CN"/>
                    </w:rPr>
                    <w:t>65</w:t>
                  </w:r>
                </w:p>
              </w:tc>
              <w:tc>
                <w:tcPr>
                  <w:tcW w:w="637" w:type="pct"/>
                  <w:vAlign w:val="center"/>
                </w:tcPr>
                <w:p w14:paraId="5E4AACFC">
                  <w:pPr>
                    <w:keepNext w:val="0"/>
                    <w:keepLines w:val="0"/>
                    <w:widowControl/>
                    <w:suppressLineNumbers w:val="0"/>
                    <w:spacing w:before="0" w:beforeAutospacing="0" w:after="0" w:afterAutospacing="0" w:line="276" w:lineRule="auto"/>
                    <w:ind w:left="0" w:right="0"/>
                    <w:jc w:val="center"/>
                    <w:rPr>
                      <w:rFonts w:hint="default"/>
                      <w:kern w:val="0"/>
                      <w:sz w:val="21"/>
                      <w:szCs w:val="21"/>
                      <w:highlight w:val="none"/>
                      <w:lang w:val="en-US" w:eastAsia="zh-CN"/>
                    </w:rPr>
                  </w:pPr>
                  <w:r>
                    <w:rPr>
                      <w:rFonts w:hint="eastAsia"/>
                      <w:kern w:val="0"/>
                      <w:sz w:val="21"/>
                      <w:szCs w:val="21"/>
                      <w:highlight w:val="none"/>
                      <w:lang w:val="en-US" w:eastAsia="zh-CN"/>
                    </w:rPr>
                    <w:t>0.44</w:t>
                  </w:r>
                  <w:r>
                    <w:rPr>
                      <w:rFonts w:hint="eastAsia"/>
                      <w:b/>
                      <w:bCs/>
                      <w:kern w:val="0"/>
                      <w:sz w:val="21"/>
                      <w:szCs w:val="21"/>
                      <w:highlight w:val="none"/>
                      <w:lang w:val="en-US" w:eastAsia="zh-CN"/>
                    </w:rPr>
                    <w:t>*</w:t>
                  </w:r>
                </w:p>
              </w:tc>
              <w:tc>
                <w:tcPr>
                  <w:tcW w:w="489" w:type="pct"/>
                  <w:vMerge w:val="continue"/>
                  <w:vAlign w:val="center"/>
                </w:tcPr>
                <w:p w14:paraId="7C5A7131">
                  <w:pPr>
                    <w:keepNext w:val="0"/>
                    <w:keepLines w:val="0"/>
                    <w:widowControl/>
                    <w:suppressLineNumbers w:val="0"/>
                    <w:spacing w:before="0" w:beforeAutospacing="0" w:after="0" w:afterAutospacing="0" w:line="276" w:lineRule="auto"/>
                    <w:ind w:left="0" w:right="0"/>
                    <w:jc w:val="center"/>
                    <w:rPr>
                      <w:rFonts w:hint="eastAsia"/>
                      <w:kern w:val="0"/>
                      <w:sz w:val="21"/>
                      <w:szCs w:val="21"/>
                      <w:highlight w:val="none"/>
                    </w:rPr>
                  </w:pPr>
                </w:p>
              </w:tc>
              <w:tc>
                <w:tcPr>
                  <w:tcW w:w="820" w:type="pct"/>
                  <w:vAlign w:val="center"/>
                </w:tcPr>
                <w:p w14:paraId="407844ED">
                  <w:pPr>
                    <w:keepNext w:val="0"/>
                    <w:keepLines w:val="0"/>
                    <w:widowControl/>
                    <w:suppressLineNumbers w:val="0"/>
                    <w:spacing w:before="0" w:beforeAutospacing="0" w:after="0" w:afterAutospacing="0" w:line="276" w:lineRule="auto"/>
                    <w:ind w:left="0" w:right="0"/>
                    <w:jc w:val="center"/>
                    <w:rPr>
                      <w:rFonts w:hint="default" w:eastAsia="宋体"/>
                      <w:kern w:val="0"/>
                      <w:sz w:val="21"/>
                      <w:szCs w:val="21"/>
                      <w:highlight w:val="none"/>
                      <w:lang w:val="en-US" w:eastAsia="zh-CN"/>
                    </w:rPr>
                  </w:pPr>
                  <w:r>
                    <w:rPr>
                      <w:rFonts w:hint="eastAsia"/>
                      <w:kern w:val="0"/>
                      <w:sz w:val="21"/>
                      <w:szCs w:val="21"/>
                      <w:highlight w:val="none"/>
                      <w:lang w:val="en-US" w:eastAsia="zh-CN"/>
                    </w:rPr>
                    <w:t>0.40</w:t>
                  </w:r>
                </w:p>
              </w:tc>
            </w:tr>
            <w:tr w14:paraId="4E2AC34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277" w:hRule="atLeast"/>
                <w:jc w:val="center"/>
              </w:trPr>
              <w:tc>
                <w:tcPr>
                  <w:tcW w:w="1100" w:type="pct"/>
                  <w:vMerge w:val="continue"/>
                  <w:vAlign w:val="center"/>
                </w:tcPr>
                <w:p w14:paraId="34A9F440">
                  <w:pPr>
                    <w:keepNext w:val="0"/>
                    <w:keepLines w:val="0"/>
                    <w:widowControl/>
                    <w:suppressLineNumbers w:val="0"/>
                    <w:spacing w:before="0" w:beforeAutospacing="0" w:after="0" w:afterAutospacing="0" w:line="276" w:lineRule="auto"/>
                    <w:ind w:left="0" w:right="0"/>
                    <w:jc w:val="center"/>
                    <w:rPr>
                      <w:rFonts w:hint="default"/>
                      <w:kern w:val="0"/>
                      <w:sz w:val="21"/>
                      <w:szCs w:val="21"/>
                      <w:highlight w:val="none"/>
                      <w:lang w:val="en-US" w:eastAsia="zh-CN"/>
                    </w:rPr>
                  </w:pPr>
                </w:p>
              </w:tc>
              <w:tc>
                <w:tcPr>
                  <w:tcW w:w="736" w:type="pct"/>
                  <w:vAlign w:val="center"/>
                </w:tcPr>
                <w:p w14:paraId="28D6DF71">
                  <w:pPr>
                    <w:keepNext w:val="0"/>
                    <w:keepLines w:val="0"/>
                    <w:widowControl/>
                    <w:suppressLineNumbers w:val="0"/>
                    <w:spacing w:before="0" w:beforeAutospacing="0" w:after="0" w:afterAutospacing="0" w:line="276" w:lineRule="auto"/>
                    <w:ind w:left="0" w:right="0"/>
                    <w:jc w:val="center"/>
                    <w:rPr>
                      <w:rFonts w:hint="eastAsia"/>
                      <w:kern w:val="0"/>
                      <w:sz w:val="21"/>
                      <w:szCs w:val="21"/>
                      <w:highlight w:val="none"/>
                      <w:lang w:val="en-US" w:eastAsia="zh-CN"/>
                    </w:rPr>
                  </w:pPr>
                  <w:r>
                    <w:rPr>
                      <w:rFonts w:hint="eastAsia"/>
                      <w:kern w:val="0"/>
                      <w:sz w:val="21"/>
                      <w:szCs w:val="21"/>
                      <w:highlight w:val="none"/>
                      <w:lang w:val="en-US" w:eastAsia="zh-CN"/>
                    </w:rPr>
                    <w:t>甲醛</w:t>
                  </w:r>
                </w:p>
              </w:tc>
              <w:tc>
                <w:tcPr>
                  <w:tcW w:w="578" w:type="pct"/>
                  <w:vAlign w:val="center"/>
                </w:tcPr>
                <w:p w14:paraId="0DA6CE7C">
                  <w:pPr>
                    <w:keepNext w:val="0"/>
                    <w:keepLines w:val="0"/>
                    <w:widowControl/>
                    <w:suppressLineNumbers w:val="0"/>
                    <w:spacing w:before="0" w:beforeAutospacing="0" w:after="0" w:afterAutospacing="0" w:line="276" w:lineRule="auto"/>
                    <w:ind w:left="0" w:right="0"/>
                    <w:jc w:val="center"/>
                    <w:rPr>
                      <w:rFonts w:hint="default"/>
                      <w:kern w:val="0"/>
                      <w:sz w:val="21"/>
                      <w:szCs w:val="21"/>
                      <w:highlight w:val="none"/>
                      <w:lang w:val="en-US" w:eastAsia="zh-CN"/>
                    </w:rPr>
                  </w:pPr>
                  <w:r>
                    <w:rPr>
                      <w:rFonts w:hint="eastAsia"/>
                      <w:kern w:val="0"/>
                      <w:sz w:val="21"/>
                      <w:szCs w:val="21"/>
                      <w:highlight w:val="none"/>
                      <w:lang w:val="en-US" w:eastAsia="zh-CN"/>
                    </w:rPr>
                    <w:t>30</w:t>
                  </w:r>
                </w:p>
              </w:tc>
              <w:tc>
                <w:tcPr>
                  <w:tcW w:w="637" w:type="pct"/>
                  <w:vAlign w:val="center"/>
                </w:tcPr>
                <w:p w14:paraId="4DCB0F1E">
                  <w:pPr>
                    <w:keepNext w:val="0"/>
                    <w:keepLines w:val="0"/>
                    <w:widowControl/>
                    <w:suppressLineNumbers w:val="0"/>
                    <w:spacing w:before="0" w:beforeAutospacing="0" w:after="0" w:afterAutospacing="0" w:line="276" w:lineRule="auto"/>
                    <w:ind w:left="0" w:right="0"/>
                    <w:jc w:val="center"/>
                    <w:rPr>
                      <w:rFonts w:hint="default"/>
                      <w:kern w:val="0"/>
                      <w:sz w:val="21"/>
                      <w:szCs w:val="21"/>
                      <w:highlight w:val="none"/>
                      <w:lang w:val="en-US" w:eastAsia="zh-CN"/>
                    </w:rPr>
                  </w:pPr>
                  <w:r>
                    <w:rPr>
                      <w:rFonts w:hint="eastAsia"/>
                      <w:kern w:val="0"/>
                      <w:sz w:val="21"/>
                      <w:szCs w:val="21"/>
                      <w:highlight w:val="none"/>
                      <w:lang w:val="en-US" w:eastAsia="zh-CN"/>
                    </w:rPr>
                    <w:t>25</w:t>
                  </w:r>
                </w:p>
              </w:tc>
              <w:tc>
                <w:tcPr>
                  <w:tcW w:w="637" w:type="pct"/>
                  <w:vAlign w:val="center"/>
                </w:tcPr>
                <w:p w14:paraId="36740A2C">
                  <w:pPr>
                    <w:keepNext w:val="0"/>
                    <w:keepLines w:val="0"/>
                    <w:widowControl/>
                    <w:suppressLineNumbers w:val="0"/>
                    <w:spacing w:before="0" w:beforeAutospacing="0" w:after="0" w:afterAutospacing="0" w:line="276" w:lineRule="auto"/>
                    <w:ind w:left="0" w:right="0"/>
                    <w:jc w:val="center"/>
                    <w:rPr>
                      <w:rFonts w:hint="default"/>
                      <w:kern w:val="0"/>
                      <w:sz w:val="21"/>
                      <w:szCs w:val="21"/>
                      <w:highlight w:val="none"/>
                      <w:lang w:val="en-US" w:eastAsia="zh-CN"/>
                    </w:rPr>
                  </w:pPr>
                  <w:r>
                    <w:rPr>
                      <w:rFonts w:hint="eastAsia"/>
                      <w:kern w:val="0"/>
                      <w:sz w:val="21"/>
                      <w:szCs w:val="21"/>
                      <w:highlight w:val="none"/>
                      <w:lang w:val="en-US" w:eastAsia="zh-CN"/>
                    </w:rPr>
                    <w:t>0.7</w:t>
                  </w:r>
                  <w:r>
                    <w:rPr>
                      <w:rFonts w:hint="eastAsia"/>
                      <w:b/>
                      <w:bCs/>
                      <w:kern w:val="0"/>
                      <w:sz w:val="21"/>
                      <w:szCs w:val="21"/>
                      <w:highlight w:val="none"/>
                      <w:lang w:val="en-US" w:eastAsia="zh-CN"/>
                    </w:rPr>
                    <w:t>*</w:t>
                  </w:r>
                </w:p>
              </w:tc>
              <w:tc>
                <w:tcPr>
                  <w:tcW w:w="489" w:type="pct"/>
                  <w:vMerge w:val="continue"/>
                  <w:vAlign w:val="center"/>
                </w:tcPr>
                <w:p w14:paraId="5F298AB5">
                  <w:pPr>
                    <w:keepNext w:val="0"/>
                    <w:keepLines w:val="0"/>
                    <w:widowControl/>
                    <w:suppressLineNumbers w:val="0"/>
                    <w:spacing w:before="0" w:beforeAutospacing="0" w:after="0" w:afterAutospacing="0" w:line="276" w:lineRule="auto"/>
                    <w:ind w:left="0" w:right="0"/>
                    <w:jc w:val="center"/>
                    <w:rPr>
                      <w:rFonts w:hint="eastAsia"/>
                      <w:kern w:val="0"/>
                      <w:sz w:val="21"/>
                      <w:szCs w:val="21"/>
                      <w:highlight w:val="none"/>
                    </w:rPr>
                  </w:pPr>
                </w:p>
              </w:tc>
              <w:tc>
                <w:tcPr>
                  <w:tcW w:w="820" w:type="pct"/>
                  <w:vAlign w:val="center"/>
                </w:tcPr>
                <w:p w14:paraId="0F411F69">
                  <w:pPr>
                    <w:keepNext w:val="0"/>
                    <w:keepLines w:val="0"/>
                    <w:widowControl/>
                    <w:suppressLineNumbers w:val="0"/>
                    <w:spacing w:before="0" w:beforeAutospacing="0" w:after="0" w:afterAutospacing="0" w:line="276" w:lineRule="auto"/>
                    <w:ind w:left="0" w:right="0"/>
                    <w:jc w:val="center"/>
                    <w:rPr>
                      <w:rFonts w:hint="default"/>
                      <w:kern w:val="0"/>
                      <w:sz w:val="21"/>
                      <w:szCs w:val="21"/>
                      <w:highlight w:val="none"/>
                      <w:lang w:val="en-US" w:eastAsia="zh-CN"/>
                    </w:rPr>
                  </w:pPr>
                  <w:r>
                    <w:rPr>
                      <w:rFonts w:hint="eastAsia"/>
                      <w:kern w:val="0"/>
                      <w:sz w:val="21"/>
                      <w:szCs w:val="21"/>
                      <w:highlight w:val="none"/>
                      <w:lang w:val="en-US" w:eastAsia="zh-CN"/>
                    </w:rPr>
                    <w:t>0.20</w:t>
                  </w:r>
                </w:p>
              </w:tc>
            </w:tr>
            <w:tr w14:paraId="030F243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277" w:hRule="atLeast"/>
                <w:jc w:val="center"/>
              </w:trPr>
              <w:tc>
                <w:tcPr>
                  <w:tcW w:w="1100" w:type="pct"/>
                  <w:vAlign w:val="center"/>
                </w:tcPr>
                <w:p w14:paraId="4A78FEBB">
                  <w:pPr>
                    <w:keepNext w:val="0"/>
                    <w:keepLines w:val="0"/>
                    <w:widowControl/>
                    <w:suppressLineNumbers w:val="0"/>
                    <w:spacing w:before="0" w:beforeAutospacing="0" w:after="0" w:afterAutospacing="0" w:line="276" w:lineRule="auto"/>
                    <w:ind w:left="0" w:right="0"/>
                    <w:jc w:val="center"/>
                    <w:rPr>
                      <w:rFonts w:hint="default"/>
                      <w:kern w:val="0"/>
                      <w:sz w:val="21"/>
                      <w:szCs w:val="21"/>
                      <w:highlight w:val="none"/>
                      <w:lang w:val="en-US" w:eastAsia="zh-CN"/>
                    </w:rPr>
                  </w:pPr>
                  <w:r>
                    <w:rPr>
                      <w:rFonts w:hint="eastAsia"/>
                      <w:kern w:val="0"/>
                      <w:sz w:val="21"/>
                      <w:szCs w:val="21"/>
                      <w:highlight w:val="none"/>
                      <w:lang w:val="en-US" w:eastAsia="zh-CN"/>
                    </w:rPr>
                    <w:t>科创综合楼（DA011~DA019）</w:t>
                  </w:r>
                </w:p>
              </w:tc>
              <w:tc>
                <w:tcPr>
                  <w:tcW w:w="736" w:type="pct"/>
                  <w:shd w:val="clear" w:color="auto" w:fill="auto"/>
                  <w:vAlign w:val="center"/>
                </w:tcPr>
                <w:p w14:paraId="50AF1CF7">
                  <w:pPr>
                    <w:keepNext w:val="0"/>
                    <w:keepLines w:val="0"/>
                    <w:widowControl/>
                    <w:suppressLineNumbers w:val="0"/>
                    <w:spacing w:before="0" w:beforeAutospacing="0" w:after="0" w:afterAutospacing="0" w:line="276" w:lineRule="auto"/>
                    <w:ind w:left="0" w:right="0"/>
                    <w:jc w:val="center"/>
                    <w:rPr>
                      <w:rFonts w:hint="eastAsia" w:ascii="Times New Roman" w:hAnsi="Times New Roman" w:eastAsia="宋体" w:cs="Times New Roman"/>
                      <w:kern w:val="0"/>
                      <w:sz w:val="21"/>
                      <w:szCs w:val="21"/>
                      <w:highlight w:val="none"/>
                      <w:lang w:val="en-US" w:eastAsia="zh-CN" w:bidi="ar-SA"/>
                    </w:rPr>
                  </w:pPr>
                  <w:r>
                    <w:rPr>
                      <w:rFonts w:hint="eastAsia"/>
                      <w:kern w:val="0"/>
                      <w:sz w:val="21"/>
                      <w:szCs w:val="21"/>
                      <w:highlight w:val="none"/>
                      <w:lang w:val="en-US" w:eastAsia="zh-CN"/>
                    </w:rPr>
                    <w:t>硫酸雾</w:t>
                  </w:r>
                </w:p>
              </w:tc>
              <w:tc>
                <w:tcPr>
                  <w:tcW w:w="578" w:type="pct"/>
                  <w:shd w:val="clear" w:color="auto" w:fill="auto"/>
                  <w:vAlign w:val="center"/>
                </w:tcPr>
                <w:p w14:paraId="59B4F3EE">
                  <w:pPr>
                    <w:keepNext w:val="0"/>
                    <w:keepLines w:val="0"/>
                    <w:widowControl/>
                    <w:suppressLineNumbers w:val="0"/>
                    <w:spacing w:before="0" w:beforeAutospacing="0" w:after="0" w:afterAutospacing="0" w:line="276" w:lineRule="auto"/>
                    <w:ind w:left="0" w:right="0"/>
                    <w:jc w:val="center"/>
                    <w:rPr>
                      <w:rFonts w:hint="default" w:ascii="Times New Roman" w:hAnsi="Times New Roman" w:eastAsia="宋体" w:cs="Times New Roman"/>
                      <w:kern w:val="0"/>
                      <w:sz w:val="21"/>
                      <w:szCs w:val="21"/>
                      <w:highlight w:val="none"/>
                      <w:lang w:val="en-US" w:eastAsia="zh-CN" w:bidi="ar-SA"/>
                    </w:rPr>
                  </w:pPr>
                  <w:r>
                    <w:rPr>
                      <w:rFonts w:hint="eastAsia" w:cs="Times New Roman"/>
                      <w:kern w:val="0"/>
                      <w:sz w:val="21"/>
                      <w:szCs w:val="21"/>
                      <w:highlight w:val="none"/>
                      <w:lang w:val="en-US" w:eastAsia="zh-CN" w:bidi="ar-SA"/>
                    </w:rPr>
                    <w:t>40</w:t>
                  </w:r>
                </w:p>
              </w:tc>
              <w:tc>
                <w:tcPr>
                  <w:tcW w:w="637" w:type="pct"/>
                  <w:shd w:val="clear" w:color="auto" w:fill="auto"/>
                  <w:vAlign w:val="center"/>
                </w:tcPr>
                <w:p w14:paraId="4AEF43A6">
                  <w:pPr>
                    <w:keepNext w:val="0"/>
                    <w:keepLines w:val="0"/>
                    <w:widowControl/>
                    <w:suppressLineNumbers w:val="0"/>
                    <w:spacing w:before="0" w:beforeAutospacing="0" w:after="0" w:afterAutospacing="0" w:line="276" w:lineRule="auto"/>
                    <w:ind w:left="0" w:right="0"/>
                    <w:jc w:val="center"/>
                    <w:rPr>
                      <w:rFonts w:hint="default" w:ascii="Times New Roman" w:hAnsi="Times New Roman" w:eastAsia="宋体" w:cs="Times New Roman"/>
                      <w:kern w:val="0"/>
                      <w:sz w:val="21"/>
                      <w:szCs w:val="21"/>
                      <w:highlight w:val="none"/>
                      <w:lang w:val="en-US" w:eastAsia="zh-CN" w:bidi="ar-SA"/>
                    </w:rPr>
                  </w:pPr>
                  <w:r>
                    <w:rPr>
                      <w:rFonts w:hint="eastAsia" w:cs="Times New Roman"/>
                      <w:kern w:val="0"/>
                      <w:sz w:val="21"/>
                      <w:szCs w:val="21"/>
                      <w:highlight w:val="none"/>
                      <w:lang w:val="en-US" w:eastAsia="zh-CN" w:bidi="ar-SA"/>
                    </w:rPr>
                    <w:t>45</w:t>
                  </w:r>
                </w:p>
              </w:tc>
              <w:tc>
                <w:tcPr>
                  <w:tcW w:w="637" w:type="pct"/>
                  <w:shd w:val="clear" w:color="auto" w:fill="auto"/>
                  <w:vAlign w:val="center"/>
                </w:tcPr>
                <w:p w14:paraId="7C3A4629">
                  <w:pPr>
                    <w:keepNext w:val="0"/>
                    <w:keepLines w:val="0"/>
                    <w:widowControl/>
                    <w:suppressLineNumbers w:val="0"/>
                    <w:spacing w:before="0" w:beforeAutospacing="0" w:after="0" w:afterAutospacing="0" w:line="276" w:lineRule="auto"/>
                    <w:ind w:left="0" w:right="0"/>
                    <w:jc w:val="center"/>
                    <w:rPr>
                      <w:rFonts w:hint="default" w:ascii="Times New Roman" w:hAnsi="Times New Roman" w:eastAsia="宋体" w:cs="Times New Roman"/>
                      <w:kern w:val="0"/>
                      <w:sz w:val="21"/>
                      <w:szCs w:val="21"/>
                      <w:highlight w:val="none"/>
                      <w:lang w:val="en-US" w:eastAsia="zh-CN" w:bidi="ar-SA"/>
                    </w:rPr>
                  </w:pPr>
                  <w:r>
                    <w:rPr>
                      <w:rFonts w:hint="eastAsia" w:cs="Times New Roman"/>
                      <w:kern w:val="0"/>
                      <w:sz w:val="21"/>
                      <w:szCs w:val="21"/>
                      <w:highlight w:val="none"/>
                      <w:lang w:val="en-US" w:eastAsia="zh-CN" w:bidi="ar-SA"/>
                    </w:rPr>
                    <w:t>7.5</w:t>
                  </w:r>
                  <w:r>
                    <w:rPr>
                      <w:rFonts w:hint="eastAsia"/>
                      <w:b/>
                      <w:bCs/>
                      <w:kern w:val="0"/>
                      <w:sz w:val="21"/>
                      <w:szCs w:val="21"/>
                      <w:highlight w:val="none"/>
                      <w:lang w:val="en-US" w:eastAsia="zh-CN"/>
                    </w:rPr>
                    <w:t>*</w:t>
                  </w:r>
                </w:p>
              </w:tc>
              <w:tc>
                <w:tcPr>
                  <w:tcW w:w="489" w:type="pct"/>
                  <w:vMerge w:val="continue"/>
                  <w:shd w:val="clear" w:color="auto" w:fill="auto"/>
                  <w:vAlign w:val="center"/>
                </w:tcPr>
                <w:p w14:paraId="70CA60E3">
                  <w:pPr>
                    <w:keepNext w:val="0"/>
                    <w:keepLines w:val="0"/>
                    <w:widowControl/>
                    <w:suppressLineNumbers w:val="0"/>
                    <w:spacing w:before="0" w:beforeAutospacing="0" w:after="0" w:afterAutospacing="0" w:line="276" w:lineRule="auto"/>
                    <w:ind w:left="0" w:right="0"/>
                    <w:jc w:val="center"/>
                    <w:rPr>
                      <w:rFonts w:hint="eastAsia" w:ascii="Times New Roman" w:hAnsi="Times New Roman" w:eastAsia="宋体" w:cs="Times New Roman"/>
                      <w:kern w:val="0"/>
                      <w:sz w:val="21"/>
                      <w:szCs w:val="21"/>
                      <w:highlight w:val="none"/>
                      <w:lang w:val="en-US" w:eastAsia="zh-CN" w:bidi="ar-SA"/>
                    </w:rPr>
                  </w:pPr>
                </w:p>
              </w:tc>
              <w:tc>
                <w:tcPr>
                  <w:tcW w:w="820" w:type="pct"/>
                  <w:shd w:val="clear" w:color="auto" w:fill="auto"/>
                  <w:vAlign w:val="center"/>
                </w:tcPr>
                <w:p w14:paraId="5354684F">
                  <w:pPr>
                    <w:keepNext w:val="0"/>
                    <w:keepLines w:val="0"/>
                    <w:widowControl/>
                    <w:suppressLineNumbers w:val="0"/>
                    <w:spacing w:before="0" w:beforeAutospacing="0" w:after="0" w:afterAutospacing="0" w:line="276" w:lineRule="auto"/>
                    <w:ind w:left="0" w:right="0"/>
                    <w:jc w:val="center"/>
                    <w:rPr>
                      <w:rFonts w:hint="eastAsia" w:ascii="Times New Roman" w:hAnsi="Times New Roman" w:eastAsia="宋体" w:cs="Times New Roman"/>
                      <w:kern w:val="0"/>
                      <w:sz w:val="21"/>
                      <w:szCs w:val="21"/>
                      <w:highlight w:val="none"/>
                      <w:lang w:val="en-US" w:eastAsia="zh-CN" w:bidi="ar-SA"/>
                    </w:rPr>
                  </w:pPr>
                  <w:r>
                    <w:rPr>
                      <w:rFonts w:hint="eastAsia"/>
                      <w:kern w:val="0"/>
                      <w:sz w:val="21"/>
                      <w:szCs w:val="21"/>
                      <w:highlight w:val="none"/>
                      <w:lang w:val="en-US" w:eastAsia="zh-CN"/>
                    </w:rPr>
                    <w:t>1.2</w:t>
                  </w:r>
                </w:p>
              </w:tc>
            </w:tr>
          </w:tbl>
          <w:p w14:paraId="320BAA91">
            <w:pPr>
              <w:pStyle w:val="7"/>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firstLine="422" w:firstLineChars="200"/>
              <w:jc w:val="both"/>
              <w:textAlignment w:val="auto"/>
              <w:rPr>
                <w:rFonts w:hint="default" w:eastAsia="宋体"/>
                <w:b/>
                <w:bCs/>
                <w:kern w:val="0"/>
                <w:sz w:val="21"/>
                <w:szCs w:val="21"/>
                <w:highlight w:val="none"/>
                <w:lang w:val="en-US" w:eastAsia="zh-CN"/>
              </w:rPr>
            </w:pPr>
            <w:r>
              <w:rPr>
                <w:rFonts w:hint="eastAsia"/>
                <w:b/>
                <w:bCs/>
                <w:kern w:val="0"/>
                <w:sz w:val="21"/>
                <w:szCs w:val="21"/>
                <w:highlight w:val="none"/>
                <w:lang w:val="en-US" w:eastAsia="zh-CN"/>
              </w:rPr>
              <w:t>*注：</w:t>
            </w:r>
            <w:r>
              <w:rPr>
                <w:rFonts w:hint="default" w:ascii="Times New Roman" w:hAnsi="Times New Roman" w:cs="Times New Roman"/>
                <w:b/>
                <w:bCs/>
                <w:color w:val="auto"/>
                <w:kern w:val="0"/>
                <w:sz w:val="21"/>
                <w:szCs w:val="21"/>
                <w:highlight w:val="none"/>
                <w:lang w:val="en-US" w:eastAsia="zh-CN"/>
              </w:rPr>
              <w:t>①</w:t>
            </w:r>
            <w:r>
              <w:rPr>
                <w:rFonts w:hint="eastAsia"/>
                <w:b/>
                <w:bCs/>
                <w:kern w:val="0"/>
                <w:sz w:val="21"/>
                <w:szCs w:val="21"/>
                <w:highlight w:val="none"/>
                <w:lang w:val="en-US" w:eastAsia="zh-CN"/>
              </w:rPr>
              <w:t>根据</w:t>
            </w:r>
            <w:r>
              <w:rPr>
                <w:rFonts w:hint="eastAsia"/>
                <w:b/>
                <w:bCs/>
                <w:kern w:val="0"/>
                <w:sz w:val="21"/>
                <w:szCs w:val="21"/>
                <w:highlight w:val="none"/>
              </w:rPr>
              <w:t>《大气污染物综合排放标准》（GB16297-1996）</w:t>
            </w:r>
            <w:r>
              <w:rPr>
                <w:rFonts w:hint="eastAsia"/>
                <w:b/>
                <w:bCs/>
                <w:kern w:val="0"/>
                <w:sz w:val="21"/>
                <w:szCs w:val="21"/>
                <w:highlight w:val="none"/>
                <w:lang w:val="en-US" w:eastAsia="zh-CN"/>
              </w:rPr>
              <w:t>排气筒高度应该处于周围200m半径范围的建筑5m以上，不能达到该要求的排气筒，应按其高度对应的表列排放速率标准值严格50%执行。项目周围200m半径范围内</w:t>
            </w:r>
            <w:r>
              <w:rPr>
                <w:rFonts w:hint="eastAsia" w:ascii="Times New Roman" w:hAnsi="Times New Roman" w:eastAsia="宋体" w:cs="Times New Roman"/>
                <w:b/>
                <w:bCs/>
                <w:color w:val="auto"/>
                <w:kern w:val="0"/>
                <w:sz w:val="21"/>
                <w:szCs w:val="21"/>
                <w:highlight w:val="none"/>
                <w:lang w:val="en-US" w:eastAsia="zh-CN"/>
              </w:rPr>
              <w:t>四省边际中心医院（闽江大道院区）</w:t>
            </w:r>
            <w:r>
              <w:rPr>
                <w:rFonts w:hint="eastAsia"/>
                <w:b/>
                <w:bCs/>
                <w:kern w:val="0"/>
                <w:sz w:val="21"/>
                <w:szCs w:val="21"/>
                <w:highlight w:val="none"/>
                <w:lang w:val="en-US" w:eastAsia="zh-CN"/>
              </w:rPr>
              <w:t>最高层为13层，故项目实验动物中心排气筒非甲烷总烃、颗粒物、氯气、甲醛排放速率按照30m高排气筒最高允许排放速率分别严格50%执行，即26.5kg/h、11.5kg/h、0.44kg/h、0.7kg/h；科创综合楼排气筒硫酸雾排放速率按照40m高排气筒最高允许排放速率分别严格50%执行，即7.5kg/h。</w:t>
            </w:r>
          </w:p>
          <w:p w14:paraId="12E4E0CA">
            <w:pPr>
              <w:pStyle w:val="7"/>
              <w:keepNext w:val="0"/>
              <w:keepLines w:val="0"/>
              <w:pageBreakBefore w:val="0"/>
              <w:widowControl w:val="0"/>
              <w:suppressLineNumbers w:val="0"/>
              <w:kinsoku/>
              <w:wordWrap/>
              <w:overflowPunct/>
              <w:topLinePunct w:val="0"/>
              <w:autoSpaceDE/>
              <w:autoSpaceDN/>
              <w:bidi w:val="0"/>
              <w:adjustRightInd/>
              <w:snapToGrid/>
              <w:spacing w:before="60" w:beforeAutospacing="0" w:after="0" w:afterAutospacing="0" w:line="360" w:lineRule="auto"/>
              <w:ind w:left="0" w:right="0" w:firstLine="0" w:firstLineChars="0"/>
              <w:jc w:val="center"/>
              <w:textAlignment w:val="auto"/>
              <w:rPr>
                <w:rFonts w:hint="default" w:eastAsia="宋体"/>
                <w:b/>
                <w:bCs/>
                <w:kern w:val="0"/>
                <w:sz w:val="24"/>
                <w:szCs w:val="24"/>
                <w:highlight w:val="none"/>
                <w:lang w:val="en-US" w:eastAsia="zh-CN"/>
              </w:rPr>
            </w:pPr>
            <w:r>
              <w:rPr>
                <w:rFonts w:hint="eastAsia"/>
                <w:b/>
                <w:bCs/>
                <w:kern w:val="0"/>
                <w:sz w:val="24"/>
                <w:szCs w:val="24"/>
                <w:highlight w:val="none"/>
              </w:rPr>
              <w:t>表 3-</w:t>
            </w:r>
            <w:r>
              <w:rPr>
                <w:rFonts w:hint="eastAsia"/>
                <w:b/>
                <w:bCs/>
                <w:kern w:val="0"/>
                <w:sz w:val="24"/>
                <w:szCs w:val="24"/>
                <w:highlight w:val="none"/>
                <w:lang w:val="en-US" w:eastAsia="zh-CN"/>
              </w:rPr>
              <w:t>8</w:t>
            </w:r>
            <w:r>
              <w:rPr>
                <w:rFonts w:hint="eastAsia"/>
                <w:b/>
                <w:bCs/>
                <w:kern w:val="0"/>
                <w:sz w:val="24"/>
                <w:szCs w:val="24"/>
                <w:highlight w:val="none"/>
              </w:rPr>
              <w:t xml:space="preserve"> 制药工业大气污染物排放标准（GB37823-2019）</w:t>
            </w:r>
            <w:r>
              <w:rPr>
                <w:rFonts w:hint="eastAsia"/>
                <w:b/>
                <w:bCs/>
                <w:kern w:val="0"/>
                <w:sz w:val="24"/>
                <w:szCs w:val="24"/>
                <w:highlight w:val="none"/>
                <w:lang w:val="en-US" w:eastAsia="zh-CN"/>
              </w:rPr>
              <w:t>单位：mg/m</w:t>
            </w:r>
            <w:r>
              <w:rPr>
                <w:rFonts w:hint="eastAsia"/>
                <w:b/>
                <w:bCs/>
                <w:kern w:val="0"/>
                <w:sz w:val="24"/>
                <w:szCs w:val="24"/>
                <w:highlight w:val="none"/>
                <w:vertAlign w:val="superscript"/>
                <w:lang w:val="en-US" w:eastAsia="zh-CN"/>
              </w:rPr>
              <w:t>3</w:t>
            </w:r>
          </w:p>
          <w:tbl>
            <w:tblPr>
              <w:tblStyle w:val="33"/>
              <w:tblW w:w="5000"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120"/>
              <w:gridCol w:w="1657"/>
              <w:gridCol w:w="2453"/>
              <w:gridCol w:w="3127"/>
            </w:tblGrid>
            <w:tr w14:paraId="6CB8045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c>
                <w:tcPr>
                  <w:tcW w:w="670" w:type="pct"/>
                  <w:vAlign w:val="center"/>
                </w:tcPr>
                <w:p w14:paraId="121CC3FC">
                  <w:pPr>
                    <w:keepNext w:val="0"/>
                    <w:keepLines w:val="0"/>
                    <w:widowControl/>
                    <w:suppressLineNumbers w:val="0"/>
                    <w:spacing w:before="0" w:beforeAutospacing="0" w:after="0" w:afterAutospacing="0" w:line="276" w:lineRule="auto"/>
                    <w:ind w:left="0" w:right="0"/>
                    <w:jc w:val="center"/>
                    <w:rPr>
                      <w:rFonts w:hint="eastAsia" w:ascii="Times New Roman" w:hAnsi="Times New Roman" w:eastAsia="宋体" w:cs="Times New Roman"/>
                      <w:kern w:val="0"/>
                      <w:sz w:val="21"/>
                      <w:szCs w:val="21"/>
                      <w:highlight w:val="none"/>
                      <w:lang w:val="en-US" w:eastAsia="zh-CN"/>
                    </w:rPr>
                  </w:pPr>
                  <w:r>
                    <w:rPr>
                      <w:rFonts w:hint="eastAsia" w:ascii="Times New Roman" w:hAnsi="Times New Roman" w:eastAsia="宋体" w:cs="Times New Roman"/>
                      <w:kern w:val="0"/>
                      <w:sz w:val="21"/>
                      <w:szCs w:val="21"/>
                      <w:highlight w:val="none"/>
                      <w:lang w:val="en-US" w:eastAsia="zh-CN"/>
                    </w:rPr>
                    <w:t>序号</w:t>
                  </w:r>
                </w:p>
              </w:tc>
              <w:tc>
                <w:tcPr>
                  <w:tcW w:w="991" w:type="pct"/>
                  <w:vAlign w:val="center"/>
                </w:tcPr>
                <w:p w14:paraId="2803537C">
                  <w:pPr>
                    <w:keepNext w:val="0"/>
                    <w:keepLines w:val="0"/>
                    <w:widowControl/>
                    <w:suppressLineNumbers w:val="0"/>
                    <w:spacing w:before="0" w:beforeAutospacing="0" w:after="0" w:afterAutospacing="0" w:line="276" w:lineRule="auto"/>
                    <w:ind w:left="0" w:right="0"/>
                    <w:jc w:val="center"/>
                    <w:rPr>
                      <w:rFonts w:hint="default" w:ascii="Times New Roman" w:hAnsi="Times New Roman" w:eastAsia="宋体" w:cs="Times New Roman"/>
                      <w:kern w:val="0"/>
                      <w:sz w:val="21"/>
                      <w:szCs w:val="21"/>
                      <w:highlight w:val="none"/>
                      <w:lang w:val="en-US" w:eastAsia="zh-CN"/>
                    </w:rPr>
                  </w:pPr>
                  <w:r>
                    <w:rPr>
                      <w:rFonts w:hint="eastAsia" w:ascii="Times New Roman" w:hAnsi="Times New Roman" w:eastAsia="宋体" w:cs="Times New Roman"/>
                      <w:kern w:val="0"/>
                      <w:sz w:val="21"/>
                      <w:szCs w:val="21"/>
                      <w:highlight w:val="none"/>
                      <w:lang w:val="en-US" w:eastAsia="zh-CN"/>
                    </w:rPr>
                    <w:t>污染物项目</w:t>
                  </w:r>
                </w:p>
              </w:tc>
              <w:tc>
                <w:tcPr>
                  <w:tcW w:w="1467" w:type="pct"/>
                  <w:vAlign w:val="center"/>
                </w:tcPr>
                <w:p w14:paraId="7A2A5C74">
                  <w:pPr>
                    <w:keepNext w:val="0"/>
                    <w:keepLines w:val="0"/>
                    <w:widowControl/>
                    <w:suppressLineNumbers w:val="0"/>
                    <w:spacing w:before="0" w:beforeAutospacing="0" w:after="0" w:afterAutospacing="0" w:line="276" w:lineRule="auto"/>
                    <w:ind w:left="0" w:right="0"/>
                    <w:jc w:val="center"/>
                    <w:rPr>
                      <w:rFonts w:hint="eastAsia" w:ascii="Times New Roman" w:hAnsi="Times New Roman" w:eastAsia="宋体" w:cs="Times New Roman"/>
                      <w:kern w:val="0"/>
                      <w:sz w:val="21"/>
                      <w:szCs w:val="21"/>
                      <w:highlight w:val="none"/>
                      <w:lang w:val="en-US" w:eastAsia="zh-CN"/>
                    </w:rPr>
                  </w:pPr>
                  <w:r>
                    <w:rPr>
                      <w:rFonts w:hint="eastAsia" w:ascii="Times New Roman" w:hAnsi="Times New Roman" w:eastAsia="宋体" w:cs="Times New Roman"/>
                      <w:kern w:val="0"/>
                      <w:sz w:val="21"/>
                      <w:szCs w:val="21"/>
                      <w:highlight w:val="none"/>
                      <w:lang w:val="en-US" w:eastAsia="zh-CN"/>
                    </w:rPr>
                    <w:t>药物研发机构工艺废气</w:t>
                  </w:r>
                </w:p>
              </w:tc>
              <w:tc>
                <w:tcPr>
                  <w:tcW w:w="1870" w:type="pct"/>
                  <w:vAlign w:val="center"/>
                </w:tcPr>
                <w:p w14:paraId="04CF7112">
                  <w:pPr>
                    <w:keepNext w:val="0"/>
                    <w:keepLines w:val="0"/>
                    <w:widowControl/>
                    <w:suppressLineNumbers w:val="0"/>
                    <w:spacing w:before="0" w:beforeAutospacing="0" w:after="0" w:afterAutospacing="0" w:line="276" w:lineRule="auto"/>
                    <w:ind w:left="0" w:right="0"/>
                    <w:jc w:val="center"/>
                    <w:rPr>
                      <w:rFonts w:hint="eastAsia" w:ascii="Times New Roman" w:hAnsi="Times New Roman" w:eastAsia="宋体" w:cs="Times New Roman"/>
                      <w:kern w:val="0"/>
                      <w:sz w:val="21"/>
                      <w:szCs w:val="21"/>
                      <w:highlight w:val="none"/>
                      <w:lang w:val="en-US" w:eastAsia="zh-CN"/>
                    </w:rPr>
                  </w:pPr>
                  <w:r>
                    <w:rPr>
                      <w:rFonts w:hint="eastAsia" w:ascii="Times New Roman" w:hAnsi="Times New Roman" w:eastAsia="宋体" w:cs="Times New Roman"/>
                      <w:kern w:val="0"/>
                      <w:sz w:val="21"/>
                      <w:szCs w:val="21"/>
                      <w:highlight w:val="none"/>
                      <w:lang w:val="en-US" w:eastAsia="zh-CN"/>
                    </w:rPr>
                    <w:t>污染物排放监控位置</w:t>
                  </w:r>
                </w:p>
              </w:tc>
            </w:tr>
            <w:tr w14:paraId="3C3C023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70" w:type="pct"/>
                  <w:vAlign w:val="center"/>
                </w:tcPr>
                <w:p w14:paraId="713046E3">
                  <w:pPr>
                    <w:keepNext w:val="0"/>
                    <w:keepLines w:val="0"/>
                    <w:widowControl/>
                    <w:suppressLineNumbers w:val="0"/>
                    <w:spacing w:before="0" w:beforeAutospacing="0" w:after="0" w:afterAutospacing="0" w:line="276" w:lineRule="auto"/>
                    <w:ind w:left="0" w:right="0"/>
                    <w:jc w:val="center"/>
                    <w:rPr>
                      <w:rFonts w:hint="default" w:ascii="Times New Roman" w:hAnsi="Times New Roman" w:eastAsia="宋体" w:cs="Times New Roman"/>
                      <w:kern w:val="0"/>
                      <w:sz w:val="21"/>
                      <w:szCs w:val="21"/>
                      <w:highlight w:val="none"/>
                      <w:lang w:val="en-US" w:eastAsia="zh-CN"/>
                    </w:rPr>
                  </w:pPr>
                  <w:r>
                    <w:rPr>
                      <w:rFonts w:hint="eastAsia" w:ascii="Times New Roman" w:hAnsi="Times New Roman" w:eastAsia="宋体" w:cs="Times New Roman"/>
                      <w:kern w:val="0"/>
                      <w:sz w:val="21"/>
                      <w:szCs w:val="21"/>
                      <w:highlight w:val="none"/>
                      <w:lang w:val="en-US" w:eastAsia="zh-CN"/>
                    </w:rPr>
                    <w:t>1</w:t>
                  </w:r>
                </w:p>
              </w:tc>
              <w:tc>
                <w:tcPr>
                  <w:tcW w:w="991" w:type="pct"/>
                  <w:vAlign w:val="center"/>
                </w:tcPr>
                <w:p w14:paraId="018449DE">
                  <w:pPr>
                    <w:keepNext w:val="0"/>
                    <w:keepLines w:val="0"/>
                    <w:widowControl/>
                    <w:suppressLineNumbers w:val="0"/>
                    <w:spacing w:before="0" w:beforeAutospacing="0" w:after="0" w:afterAutospacing="0" w:line="276" w:lineRule="auto"/>
                    <w:ind w:left="0" w:right="0"/>
                    <w:jc w:val="center"/>
                    <w:rPr>
                      <w:rFonts w:hint="eastAsia" w:ascii="Times New Roman" w:hAnsi="Times New Roman" w:eastAsia="宋体" w:cs="Times New Roman"/>
                      <w:kern w:val="0"/>
                      <w:sz w:val="21"/>
                      <w:szCs w:val="21"/>
                      <w:highlight w:val="none"/>
                      <w:lang w:val="en-US" w:eastAsia="zh-CN"/>
                    </w:rPr>
                  </w:pPr>
                  <w:r>
                    <w:rPr>
                      <w:rFonts w:hint="eastAsia" w:ascii="Times New Roman" w:hAnsi="Times New Roman" w:eastAsia="宋体" w:cs="Times New Roman"/>
                      <w:kern w:val="0"/>
                      <w:sz w:val="21"/>
                      <w:szCs w:val="21"/>
                      <w:highlight w:val="none"/>
                      <w:lang w:val="en-US" w:eastAsia="zh-CN"/>
                    </w:rPr>
                    <w:t>非甲烷总烃</w:t>
                  </w:r>
                </w:p>
              </w:tc>
              <w:tc>
                <w:tcPr>
                  <w:tcW w:w="1467" w:type="pct"/>
                  <w:vAlign w:val="center"/>
                </w:tcPr>
                <w:p w14:paraId="3DA21EDE">
                  <w:pPr>
                    <w:keepNext w:val="0"/>
                    <w:keepLines w:val="0"/>
                    <w:widowControl/>
                    <w:suppressLineNumbers w:val="0"/>
                    <w:spacing w:before="0" w:beforeAutospacing="0" w:after="0" w:afterAutospacing="0" w:line="276" w:lineRule="auto"/>
                    <w:ind w:left="0" w:right="0"/>
                    <w:jc w:val="center"/>
                    <w:rPr>
                      <w:rFonts w:hint="default" w:ascii="Times New Roman" w:hAnsi="Times New Roman" w:eastAsia="宋体" w:cs="Times New Roman"/>
                      <w:kern w:val="0"/>
                      <w:sz w:val="21"/>
                      <w:szCs w:val="21"/>
                      <w:highlight w:val="none"/>
                      <w:lang w:val="en-US" w:eastAsia="zh-CN"/>
                    </w:rPr>
                  </w:pPr>
                  <w:r>
                    <w:rPr>
                      <w:rFonts w:hint="eastAsia" w:ascii="Times New Roman" w:hAnsi="Times New Roman" w:eastAsia="宋体" w:cs="Times New Roman"/>
                      <w:kern w:val="0"/>
                      <w:sz w:val="21"/>
                      <w:szCs w:val="21"/>
                      <w:highlight w:val="none"/>
                      <w:lang w:val="en-US" w:eastAsia="zh-CN"/>
                    </w:rPr>
                    <w:t>60</w:t>
                  </w:r>
                </w:p>
              </w:tc>
              <w:tc>
                <w:tcPr>
                  <w:tcW w:w="1870" w:type="pct"/>
                  <w:vMerge w:val="restart"/>
                  <w:vAlign w:val="center"/>
                </w:tcPr>
                <w:p w14:paraId="509EDD64">
                  <w:pPr>
                    <w:keepNext w:val="0"/>
                    <w:keepLines w:val="0"/>
                    <w:widowControl/>
                    <w:suppressLineNumbers w:val="0"/>
                    <w:spacing w:before="0" w:beforeAutospacing="0" w:after="0" w:afterAutospacing="0" w:line="276" w:lineRule="auto"/>
                    <w:ind w:left="0" w:right="0"/>
                    <w:jc w:val="center"/>
                    <w:rPr>
                      <w:rFonts w:hint="eastAsia" w:ascii="Times New Roman" w:hAnsi="Times New Roman" w:eastAsia="宋体" w:cs="Times New Roman"/>
                      <w:kern w:val="0"/>
                      <w:sz w:val="21"/>
                      <w:szCs w:val="21"/>
                      <w:highlight w:val="none"/>
                      <w:lang w:val="en-US" w:eastAsia="zh-CN"/>
                    </w:rPr>
                  </w:pPr>
                  <w:r>
                    <w:rPr>
                      <w:rFonts w:hint="eastAsia" w:ascii="Times New Roman" w:hAnsi="Times New Roman" w:eastAsia="宋体" w:cs="Times New Roman"/>
                      <w:kern w:val="0"/>
                      <w:sz w:val="21"/>
                      <w:szCs w:val="21"/>
                      <w:highlight w:val="none"/>
                      <w:lang w:val="en-US" w:eastAsia="zh-CN"/>
                    </w:rPr>
                    <w:t>车间或生产设施排气筒</w:t>
                  </w:r>
                </w:p>
              </w:tc>
            </w:tr>
            <w:tr w14:paraId="34475EA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70" w:type="pct"/>
                  <w:vAlign w:val="center"/>
                </w:tcPr>
                <w:p w14:paraId="00D9C84A">
                  <w:pPr>
                    <w:keepNext w:val="0"/>
                    <w:keepLines w:val="0"/>
                    <w:widowControl/>
                    <w:suppressLineNumbers w:val="0"/>
                    <w:spacing w:before="0" w:beforeAutospacing="0" w:after="0" w:afterAutospacing="0" w:line="276" w:lineRule="auto"/>
                    <w:ind w:left="0" w:right="0"/>
                    <w:jc w:val="center"/>
                    <w:rPr>
                      <w:rFonts w:hint="default" w:ascii="Times New Roman" w:hAnsi="Times New Roman" w:eastAsia="宋体" w:cs="Times New Roman"/>
                      <w:kern w:val="0"/>
                      <w:sz w:val="21"/>
                      <w:szCs w:val="21"/>
                      <w:highlight w:val="none"/>
                      <w:lang w:val="en-US" w:eastAsia="zh-CN"/>
                    </w:rPr>
                  </w:pPr>
                  <w:r>
                    <w:rPr>
                      <w:rFonts w:hint="eastAsia" w:ascii="Times New Roman" w:hAnsi="Times New Roman" w:eastAsia="宋体" w:cs="Times New Roman"/>
                      <w:kern w:val="0"/>
                      <w:sz w:val="21"/>
                      <w:szCs w:val="21"/>
                      <w:highlight w:val="none"/>
                      <w:lang w:val="en-US" w:eastAsia="zh-CN"/>
                    </w:rPr>
                    <w:t>2</w:t>
                  </w:r>
                </w:p>
              </w:tc>
              <w:tc>
                <w:tcPr>
                  <w:tcW w:w="991" w:type="pct"/>
                  <w:vAlign w:val="center"/>
                </w:tcPr>
                <w:p w14:paraId="7903311C">
                  <w:pPr>
                    <w:keepNext w:val="0"/>
                    <w:keepLines w:val="0"/>
                    <w:widowControl/>
                    <w:suppressLineNumbers w:val="0"/>
                    <w:spacing w:before="0" w:beforeAutospacing="0" w:after="0" w:afterAutospacing="0" w:line="276" w:lineRule="auto"/>
                    <w:ind w:left="0" w:right="0"/>
                    <w:jc w:val="center"/>
                    <w:rPr>
                      <w:rFonts w:hint="default" w:ascii="Times New Roman" w:hAnsi="Times New Roman" w:eastAsia="宋体" w:cs="Times New Roman"/>
                      <w:kern w:val="0"/>
                      <w:sz w:val="21"/>
                      <w:szCs w:val="21"/>
                      <w:highlight w:val="none"/>
                      <w:lang w:val="en-US" w:eastAsia="zh-CN"/>
                    </w:rPr>
                  </w:pPr>
                  <w:r>
                    <w:rPr>
                      <w:rFonts w:hint="eastAsia" w:ascii="Times New Roman" w:hAnsi="Times New Roman" w:eastAsia="宋体" w:cs="Times New Roman"/>
                      <w:kern w:val="0"/>
                      <w:sz w:val="21"/>
                      <w:szCs w:val="21"/>
                      <w:highlight w:val="none"/>
                      <w:lang w:val="en-US" w:eastAsia="zh-CN"/>
                    </w:rPr>
                    <w:t>氯化氢</w:t>
                  </w:r>
                </w:p>
              </w:tc>
              <w:tc>
                <w:tcPr>
                  <w:tcW w:w="1467" w:type="pct"/>
                  <w:vAlign w:val="center"/>
                </w:tcPr>
                <w:p w14:paraId="336E0A0A">
                  <w:pPr>
                    <w:keepNext w:val="0"/>
                    <w:keepLines w:val="0"/>
                    <w:widowControl/>
                    <w:suppressLineNumbers w:val="0"/>
                    <w:spacing w:before="0" w:beforeAutospacing="0" w:after="0" w:afterAutospacing="0" w:line="276" w:lineRule="auto"/>
                    <w:ind w:left="0" w:right="0"/>
                    <w:jc w:val="center"/>
                    <w:rPr>
                      <w:rFonts w:hint="default" w:ascii="Times New Roman" w:hAnsi="Times New Roman" w:eastAsia="宋体" w:cs="Times New Roman"/>
                      <w:kern w:val="0"/>
                      <w:sz w:val="21"/>
                      <w:szCs w:val="21"/>
                      <w:highlight w:val="none"/>
                      <w:lang w:val="en-US" w:eastAsia="zh-CN"/>
                    </w:rPr>
                  </w:pPr>
                  <w:r>
                    <w:rPr>
                      <w:rFonts w:hint="eastAsia" w:ascii="Times New Roman" w:hAnsi="Times New Roman" w:eastAsia="宋体" w:cs="Times New Roman"/>
                      <w:kern w:val="0"/>
                      <w:sz w:val="21"/>
                      <w:szCs w:val="21"/>
                      <w:highlight w:val="none"/>
                      <w:lang w:val="en-US" w:eastAsia="zh-CN"/>
                    </w:rPr>
                    <w:t>30</w:t>
                  </w:r>
                </w:p>
              </w:tc>
              <w:tc>
                <w:tcPr>
                  <w:tcW w:w="1870" w:type="pct"/>
                  <w:vMerge w:val="continue"/>
                  <w:vAlign w:val="center"/>
                </w:tcPr>
                <w:p w14:paraId="4ABCA24A">
                  <w:pPr>
                    <w:keepNext w:val="0"/>
                    <w:keepLines w:val="0"/>
                    <w:widowControl/>
                    <w:suppressLineNumbers w:val="0"/>
                    <w:spacing w:before="0" w:beforeAutospacing="0" w:after="0" w:afterAutospacing="0" w:line="276" w:lineRule="auto"/>
                    <w:ind w:left="0" w:right="0"/>
                    <w:jc w:val="center"/>
                    <w:rPr>
                      <w:rFonts w:hint="eastAsia" w:ascii="Times New Roman" w:hAnsi="Times New Roman" w:eastAsia="宋体" w:cs="Times New Roman"/>
                      <w:kern w:val="0"/>
                      <w:sz w:val="21"/>
                      <w:szCs w:val="21"/>
                      <w:highlight w:val="none"/>
                      <w:lang w:val="en-US" w:eastAsia="zh-CN"/>
                    </w:rPr>
                  </w:pPr>
                </w:p>
              </w:tc>
            </w:tr>
            <w:tr w14:paraId="625F89A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70" w:type="pct"/>
                  <w:vAlign w:val="center"/>
                </w:tcPr>
                <w:p w14:paraId="2F30CB76">
                  <w:pPr>
                    <w:keepNext w:val="0"/>
                    <w:keepLines w:val="0"/>
                    <w:widowControl/>
                    <w:suppressLineNumbers w:val="0"/>
                    <w:spacing w:before="0" w:beforeAutospacing="0" w:after="0" w:afterAutospacing="0" w:line="276" w:lineRule="auto"/>
                    <w:ind w:left="0" w:right="0"/>
                    <w:jc w:val="center"/>
                    <w:rPr>
                      <w:rFonts w:hint="default" w:ascii="Times New Roman" w:hAnsi="Times New Roman" w:eastAsia="宋体" w:cs="Times New Roman"/>
                      <w:kern w:val="0"/>
                      <w:sz w:val="21"/>
                      <w:szCs w:val="21"/>
                      <w:highlight w:val="none"/>
                      <w:lang w:val="en-US" w:eastAsia="zh-CN"/>
                    </w:rPr>
                  </w:pPr>
                  <w:r>
                    <w:rPr>
                      <w:rFonts w:hint="eastAsia" w:ascii="Times New Roman" w:hAnsi="Times New Roman" w:eastAsia="宋体" w:cs="Times New Roman"/>
                      <w:kern w:val="0"/>
                      <w:sz w:val="21"/>
                      <w:szCs w:val="21"/>
                      <w:highlight w:val="none"/>
                      <w:lang w:val="en-US" w:eastAsia="zh-CN"/>
                    </w:rPr>
                    <w:t>3</w:t>
                  </w:r>
                </w:p>
              </w:tc>
              <w:tc>
                <w:tcPr>
                  <w:tcW w:w="991" w:type="pct"/>
                  <w:vAlign w:val="center"/>
                </w:tcPr>
                <w:p w14:paraId="375C0433">
                  <w:pPr>
                    <w:keepNext w:val="0"/>
                    <w:keepLines w:val="0"/>
                    <w:widowControl/>
                    <w:suppressLineNumbers w:val="0"/>
                    <w:spacing w:before="0" w:beforeAutospacing="0" w:after="0" w:afterAutospacing="0" w:line="276" w:lineRule="auto"/>
                    <w:ind w:left="0" w:right="0"/>
                    <w:jc w:val="center"/>
                    <w:rPr>
                      <w:rFonts w:hint="eastAsia" w:ascii="Times New Roman" w:hAnsi="Times New Roman" w:eastAsia="宋体" w:cs="Times New Roman"/>
                      <w:kern w:val="0"/>
                      <w:sz w:val="21"/>
                      <w:szCs w:val="21"/>
                      <w:highlight w:val="none"/>
                      <w:lang w:val="en-US" w:eastAsia="zh-CN"/>
                    </w:rPr>
                  </w:pPr>
                  <w:r>
                    <w:rPr>
                      <w:rFonts w:hint="eastAsia" w:ascii="Times New Roman" w:hAnsi="Times New Roman" w:eastAsia="宋体" w:cs="Times New Roman"/>
                      <w:kern w:val="0"/>
                      <w:sz w:val="21"/>
                      <w:szCs w:val="21"/>
                      <w:highlight w:val="none"/>
                      <w:lang w:val="en-US" w:eastAsia="zh-CN"/>
                    </w:rPr>
                    <w:t>氯化氢</w:t>
                  </w:r>
                </w:p>
              </w:tc>
              <w:tc>
                <w:tcPr>
                  <w:tcW w:w="1467" w:type="pct"/>
                  <w:vAlign w:val="center"/>
                </w:tcPr>
                <w:p w14:paraId="42F8DA92">
                  <w:pPr>
                    <w:keepNext w:val="0"/>
                    <w:keepLines w:val="0"/>
                    <w:widowControl/>
                    <w:suppressLineNumbers w:val="0"/>
                    <w:spacing w:before="0" w:beforeAutospacing="0" w:after="0" w:afterAutospacing="0" w:line="276" w:lineRule="auto"/>
                    <w:ind w:left="0" w:right="0"/>
                    <w:jc w:val="center"/>
                    <w:rPr>
                      <w:rFonts w:hint="default" w:ascii="Times New Roman" w:hAnsi="Times New Roman" w:eastAsia="宋体" w:cs="Times New Roman"/>
                      <w:kern w:val="0"/>
                      <w:sz w:val="21"/>
                      <w:szCs w:val="21"/>
                      <w:highlight w:val="none"/>
                      <w:lang w:val="en-US" w:eastAsia="zh-CN"/>
                    </w:rPr>
                  </w:pPr>
                  <w:r>
                    <w:rPr>
                      <w:rFonts w:hint="eastAsia" w:ascii="Times New Roman" w:hAnsi="Times New Roman" w:eastAsia="宋体" w:cs="Times New Roman"/>
                      <w:kern w:val="0"/>
                      <w:sz w:val="21"/>
                      <w:szCs w:val="21"/>
                      <w:highlight w:val="none"/>
                      <w:lang w:val="en-US" w:eastAsia="zh-CN"/>
                    </w:rPr>
                    <w:t>0.20</w:t>
                  </w:r>
                </w:p>
              </w:tc>
              <w:tc>
                <w:tcPr>
                  <w:tcW w:w="1870" w:type="pct"/>
                  <w:vAlign w:val="center"/>
                </w:tcPr>
                <w:p w14:paraId="1E0DB044">
                  <w:pPr>
                    <w:keepNext w:val="0"/>
                    <w:keepLines w:val="0"/>
                    <w:widowControl/>
                    <w:suppressLineNumbers w:val="0"/>
                    <w:spacing w:before="0" w:beforeAutospacing="0" w:after="0" w:afterAutospacing="0" w:line="276" w:lineRule="auto"/>
                    <w:ind w:left="0" w:right="0"/>
                    <w:jc w:val="center"/>
                    <w:rPr>
                      <w:rFonts w:hint="eastAsia" w:ascii="Times New Roman" w:hAnsi="Times New Roman" w:eastAsia="宋体" w:cs="Times New Roman"/>
                      <w:kern w:val="0"/>
                      <w:sz w:val="21"/>
                      <w:szCs w:val="21"/>
                      <w:highlight w:val="none"/>
                      <w:lang w:val="en-US" w:eastAsia="zh-CN"/>
                    </w:rPr>
                  </w:pPr>
                  <w:r>
                    <w:rPr>
                      <w:rFonts w:hint="eastAsia" w:ascii="Times New Roman" w:hAnsi="Times New Roman" w:eastAsia="宋体" w:cs="Times New Roman"/>
                      <w:kern w:val="0"/>
                      <w:sz w:val="21"/>
                      <w:szCs w:val="21"/>
                      <w:highlight w:val="none"/>
                      <w:lang w:val="en-US" w:eastAsia="zh-CN"/>
                    </w:rPr>
                    <w:t>企业边界大气污染物浓度限值</w:t>
                  </w:r>
                </w:p>
              </w:tc>
            </w:tr>
          </w:tbl>
          <w:p w14:paraId="2C0C95F3">
            <w:pPr>
              <w:pStyle w:val="7"/>
              <w:keepNext w:val="0"/>
              <w:keepLines w:val="0"/>
              <w:suppressLineNumbers w:val="0"/>
              <w:spacing w:before="0" w:beforeAutospacing="0" w:after="0" w:afterAutospacing="0" w:line="360" w:lineRule="auto"/>
              <w:ind w:left="0" w:right="0" w:firstLine="0" w:firstLineChars="0"/>
              <w:jc w:val="center"/>
              <w:rPr>
                <w:rFonts w:hint="default"/>
                <w:kern w:val="0"/>
                <w:sz w:val="24"/>
                <w:szCs w:val="24"/>
                <w:highlight w:val="none"/>
              </w:rPr>
            </w:pPr>
            <w:r>
              <w:rPr>
                <w:rFonts w:hint="default"/>
                <w:b/>
                <w:bCs/>
                <w:kern w:val="0"/>
                <w:sz w:val="24"/>
                <w:szCs w:val="24"/>
                <w:highlight w:val="none"/>
              </w:rPr>
              <w:t>表3-</w:t>
            </w:r>
            <w:r>
              <w:rPr>
                <w:rFonts w:hint="eastAsia"/>
                <w:b/>
                <w:bCs/>
                <w:kern w:val="0"/>
                <w:sz w:val="24"/>
                <w:szCs w:val="24"/>
                <w:highlight w:val="none"/>
                <w:lang w:val="en-US" w:eastAsia="zh-CN"/>
              </w:rPr>
              <w:t>9</w:t>
            </w:r>
            <w:r>
              <w:rPr>
                <w:rFonts w:hint="default"/>
                <w:b/>
                <w:bCs/>
                <w:kern w:val="0"/>
                <w:sz w:val="24"/>
                <w:szCs w:val="24"/>
                <w:highlight w:val="none"/>
              </w:rPr>
              <w:t xml:space="preserve">  《恶臭污染物排放标准》（GB14554-93）</w:t>
            </w:r>
          </w:p>
          <w:tbl>
            <w:tblPr>
              <w:tblStyle w:val="33"/>
              <w:tblW w:w="8220"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401"/>
              <w:gridCol w:w="2400"/>
              <w:gridCol w:w="1337"/>
              <w:gridCol w:w="1693"/>
              <w:gridCol w:w="1389"/>
            </w:tblGrid>
            <w:tr w14:paraId="6B6649B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401" w:type="dxa"/>
                  <w:vMerge w:val="restart"/>
                  <w:vAlign w:val="center"/>
                </w:tcPr>
                <w:p w14:paraId="771ECE0B">
                  <w:pPr>
                    <w:pStyle w:val="42"/>
                    <w:keepNext w:val="0"/>
                    <w:keepLines w:val="0"/>
                    <w:suppressLineNumbers w:val="0"/>
                    <w:spacing w:before="0" w:beforeAutospacing="0" w:after="0" w:afterAutospacing="0" w:line="276" w:lineRule="auto"/>
                    <w:ind w:left="0" w:right="0" w:firstLine="0" w:firstLineChars="0"/>
                    <w:jc w:val="center"/>
                    <w:rPr>
                      <w:rFonts w:hint="default"/>
                      <w:sz w:val="21"/>
                      <w:szCs w:val="21"/>
                      <w:highlight w:val="none"/>
                    </w:rPr>
                  </w:pPr>
                  <w:r>
                    <w:rPr>
                      <w:rFonts w:hint="eastAsia"/>
                      <w:sz w:val="21"/>
                      <w:szCs w:val="21"/>
                      <w:highlight w:val="none"/>
                    </w:rPr>
                    <w:t>控制项目</w:t>
                  </w:r>
                </w:p>
              </w:tc>
              <w:tc>
                <w:tcPr>
                  <w:tcW w:w="2400" w:type="dxa"/>
                  <w:vAlign w:val="center"/>
                </w:tcPr>
                <w:p w14:paraId="5441EA17">
                  <w:pPr>
                    <w:pStyle w:val="42"/>
                    <w:keepNext w:val="0"/>
                    <w:keepLines w:val="0"/>
                    <w:suppressLineNumbers w:val="0"/>
                    <w:spacing w:before="0" w:beforeAutospacing="0" w:after="0" w:afterAutospacing="0" w:line="276" w:lineRule="auto"/>
                    <w:ind w:left="0" w:right="0" w:firstLine="0" w:firstLineChars="0"/>
                    <w:jc w:val="center"/>
                    <w:rPr>
                      <w:rFonts w:hint="default"/>
                      <w:sz w:val="21"/>
                      <w:szCs w:val="21"/>
                      <w:highlight w:val="none"/>
                    </w:rPr>
                  </w:pPr>
                  <w:r>
                    <w:rPr>
                      <w:rFonts w:hint="eastAsia"/>
                      <w:sz w:val="21"/>
                      <w:szCs w:val="21"/>
                      <w:highlight w:val="none"/>
                    </w:rPr>
                    <w:t>厂界标准值</w:t>
                  </w:r>
                </w:p>
              </w:tc>
              <w:tc>
                <w:tcPr>
                  <w:tcW w:w="1337" w:type="dxa"/>
                  <w:vMerge w:val="restart"/>
                  <w:vAlign w:val="center"/>
                </w:tcPr>
                <w:p w14:paraId="67646623">
                  <w:pPr>
                    <w:pStyle w:val="42"/>
                    <w:keepNext w:val="0"/>
                    <w:keepLines w:val="0"/>
                    <w:suppressLineNumbers w:val="0"/>
                    <w:spacing w:before="0" w:beforeAutospacing="0" w:after="0" w:afterAutospacing="0" w:line="276" w:lineRule="auto"/>
                    <w:ind w:left="0" w:right="0" w:firstLine="0" w:firstLineChars="0"/>
                    <w:jc w:val="center"/>
                    <w:rPr>
                      <w:rFonts w:hint="default"/>
                      <w:sz w:val="21"/>
                      <w:szCs w:val="21"/>
                      <w:highlight w:val="none"/>
                    </w:rPr>
                  </w:pPr>
                  <w:r>
                    <w:rPr>
                      <w:rFonts w:hint="eastAsia"/>
                      <w:sz w:val="21"/>
                      <w:szCs w:val="21"/>
                      <w:highlight w:val="none"/>
                    </w:rPr>
                    <w:t>排气筒高度（m）</w:t>
                  </w:r>
                </w:p>
              </w:tc>
              <w:tc>
                <w:tcPr>
                  <w:tcW w:w="1693" w:type="dxa"/>
                  <w:vMerge w:val="restart"/>
                  <w:vAlign w:val="center"/>
                </w:tcPr>
                <w:p w14:paraId="7C40F7D3">
                  <w:pPr>
                    <w:pStyle w:val="42"/>
                    <w:keepNext w:val="0"/>
                    <w:keepLines w:val="0"/>
                    <w:suppressLineNumbers w:val="0"/>
                    <w:spacing w:before="0" w:beforeAutospacing="0" w:after="0" w:afterAutospacing="0" w:line="276" w:lineRule="auto"/>
                    <w:ind w:left="0" w:right="0" w:firstLine="0" w:firstLineChars="0"/>
                    <w:jc w:val="center"/>
                    <w:rPr>
                      <w:rFonts w:hint="default"/>
                      <w:sz w:val="21"/>
                      <w:szCs w:val="21"/>
                      <w:highlight w:val="none"/>
                    </w:rPr>
                  </w:pPr>
                  <w:r>
                    <w:rPr>
                      <w:rFonts w:hint="eastAsia"/>
                      <w:sz w:val="21"/>
                      <w:szCs w:val="21"/>
                      <w:highlight w:val="none"/>
                    </w:rPr>
                    <w:t>有组织最高允许排放限值</w:t>
                  </w:r>
                </w:p>
              </w:tc>
              <w:tc>
                <w:tcPr>
                  <w:tcW w:w="1389" w:type="dxa"/>
                  <w:vMerge w:val="restart"/>
                  <w:vAlign w:val="center"/>
                </w:tcPr>
                <w:p w14:paraId="5A1666AE">
                  <w:pPr>
                    <w:pStyle w:val="42"/>
                    <w:keepNext w:val="0"/>
                    <w:keepLines w:val="0"/>
                    <w:suppressLineNumbers w:val="0"/>
                    <w:spacing w:before="0" w:beforeAutospacing="0" w:after="0" w:afterAutospacing="0" w:line="276" w:lineRule="auto"/>
                    <w:ind w:left="0" w:right="0" w:firstLine="0" w:firstLineChars="0"/>
                    <w:jc w:val="center"/>
                    <w:rPr>
                      <w:rFonts w:hint="default"/>
                      <w:sz w:val="21"/>
                      <w:szCs w:val="21"/>
                      <w:highlight w:val="none"/>
                    </w:rPr>
                  </w:pPr>
                  <w:r>
                    <w:rPr>
                      <w:rFonts w:hint="eastAsia"/>
                      <w:sz w:val="21"/>
                      <w:szCs w:val="21"/>
                      <w:highlight w:val="none"/>
                    </w:rPr>
                    <w:t>排放速率（kg/h）</w:t>
                  </w:r>
                </w:p>
              </w:tc>
            </w:tr>
            <w:tr w14:paraId="2BA04CD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401" w:type="dxa"/>
                  <w:vMerge w:val="continue"/>
                  <w:vAlign w:val="center"/>
                </w:tcPr>
                <w:p w14:paraId="53061BD9">
                  <w:pPr>
                    <w:pStyle w:val="42"/>
                    <w:keepNext w:val="0"/>
                    <w:keepLines w:val="0"/>
                    <w:suppressLineNumbers w:val="0"/>
                    <w:spacing w:before="0" w:beforeAutospacing="0" w:after="0" w:afterAutospacing="0" w:line="276" w:lineRule="auto"/>
                    <w:ind w:left="0" w:right="0" w:firstLine="0" w:firstLineChars="0"/>
                    <w:jc w:val="center"/>
                    <w:rPr>
                      <w:rFonts w:hint="default"/>
                      <w:sz w:val="21"/>
                      <w:szCs w:val="21"/>
                      <w:highlight w:val="none"/>
                    </w:rPr>
                  </w:pPr>
                </w:p>
              </w:tc>
              <w:tc>
                <w:tcPr>
                  <w:tcW w:w="2400" w:type="dxa"/>
                  <w:vAlign w:val="center"/>
                </w:tcPr>
                <w:p w14:paraId="139A3FFD">
                  <w:pPr>
                    <w:pStyle w:val="42"/>
                    <w:keepNext w:val="0"/>
                    <w:keepLines w:val="0"/>
                    <w:suppressLineNumbers w:val="0"/>
                    <w:spacing w:before="0" w:beforeAutospacing="0" w:after="0" w:afterAutospacing="0" w:line="276" w:lineRule="auto"/>
                    <w:ind w:left="0" w:right="0" w:firstLine="0" w:firstLineChars="0"/>
                    <w:jc w:val="center"/>
                    <w:rPr>
                      <w:rFonts w:hint="default"/>
                      <w:sz w:val="21"/>
                      <w:szCs w:val="21"/>
                      <w:highlight w:val="none"/>
                    </w:rPr>
                  </w:pPr>
                  <w:r>
                    <w:rPr>
                      <w:rFonts w:hint="eastAsia"/>
                      <w:sz w:val="21"/>
                      <w:szCs w:val="21"/>
                      <w:highlight w:val="none"/>
                    </w:rPr>
                    <w:t>二级/新扩改建mg/m</w:t>
                  </w:r>
                  <w:r>
                    <w:rPr>
                      <w:rFonts w:hint="eastAsia"/>
                      <w:sz w:val="21"/>
                      <w:szCs w:val="21"/>
                      <w:highlight w:val="none"/>
                      <w:vertAlign w:val="superscript"/>
                    </w:rPr>
                    <w:t>3</w:t>
                  </w:r>
                </w:p>
              </w:tc>
              <w:tc>
                <w:tcPr>
                  <w:tcW w:w="1337" w:type="dxa"/>
                  <w:vMerge w:val="continue"/>
                  <w:vAlign w:val="center"/>
                </w:tcPr>
                <w:p w14:paraId="0AA65811">
                  <w:pPr>
                    <w:pStyle w:val="42"/>
                    <w:keepNext w:val="0"/>
                    <w:keepLines w:val="0"/>
                    <w:suppressLineNumbers w:val="0"/>
                    <w:spacing w:before="0" w:beforeAutospacing="0" w:after="0" w:afterAutospacing="0" w:line="276" w:lineRule="auto"/>
                    <w:ind w:left="0" w:right="0" w:firstLine="0" w:firstLineChars="0"/>
                    <w:jc w:val="center"/>
                    <w:rPr>
                      <w:rFonts w:hint="default"/>
                      <w:sz w:val="21"/>
                      <w:szCs w:val="21"/>
                      <w:highlight w:val="none"/>
                    </w:rPr>
                  </w:pPr>
                </w:p>
              </w:tc>
              <w:tc>
                <w:tcPr>
                  <w:tcW w:w="1693" w:type="dxa"/>
                  <w:vMerge w:val="continue"/>
                  <w:vAlign w:val="center"/>
                </w:tcPr>
                <w:p w14:paraId="2B5742C0">
                  <w:pPr>
                    <w:pStyle w:val="42"/>
                    <w:keepNext w:val="0"/>
                    <w:keepLines w:val="0"/>
                    <w:suppressLineNumbers w:val="0"/>
                    <w:spacing w:before="0" w:beforeAutospacing="0" w:after="0" w:afterAutospacing="0" w:line="276" w:lineRule="auto"/>
                    <w:ind w:left="0" w:right="0" w:firstLine="0" w:firstLineChars="0"/>
                    <w:jc w:val="center"/>
                    <w:rPr>
                      <w:rFonts w:hint="default"/>
                      <w:sz w:val="21"/>
                      <w:szCs w:val="21"/>
                      <w:highlight w:val="none"/>
                    </w:rPr>
                  </w:pPr>
                </w:p>
              </w:tc>
              <w:tc>
                <w:tcPr>
                  <w:tcW w:w="1389" w:type="dxa"/>
                  <w:vMerge w:val="continue"/>
                  <w:vAlign w:val="center"/>
                </w:tcPr>
                <w:p w14:paraId="54F84628">
                  <w:pPr>
                    <w:pStyle w:val="42"/>
                    <w:keepNext w:val="0"/>
                    <w:keepLines w:val="0"/>
                    <w:suppressLineNumbers w:val="0"/>
                    <w:spacing w:before="0" w:beforeAutospacing="0" w:after="0" w:afterAutospacing="0" w:line="276" w:lineRule="auto"/>
                    <w:ind w:left="0" w:right="0" w:firstLine="0" w:firstLineChars="0"/>
                    <w:jc w:val="center"/>
                    <w:rPr>
                      <w:rFonts w:hint="default"/>
                      <w:sz w:val="21"/>
                      <w:szCs w:val="21"/>
                      <w:highlight w:val="none"/>
                    </w:rPr>
                  </w:pPr>
                </w:p>
              </w:tc>
            </w:tr>
            <w:tr w14:paraId="6192463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401" w:type="dxa"/>
                  <w:vAlign w:val="center"/>
                </w:tcPr>
                <w:p w14:paraId="455B5445">
                  <w:pPr>
                    <w:pStyle w:val="42"/>
                    <w:keepNext w:val="0"/>
                    <w:keepLines w:val="0"/>
                    <w:suppressLineNumbers w:val="0"/>
                    <w:spacing w:before="0" w:beforeAutospacing="0" w:after="0" w:afterAutospacing="0" w:line="276" w:lineRule="auto"/>
                    <w:ind w:left="0" w:right="0" w:firstLine="0" w:firstLineChars="0"/>
                    <w:jc w:val="center"/>
                    <w:rPr>
                      <w:rFonts w:hint="default"/>
                      <w:sz w:val="21"/>
                      <w:szCs w:val="21"/>
                      <w:highlight w:val="none"/>
                    </w:rPr>
                  </w:pPr>
                  <w:r>
                    <w:rPr>
                      <w:rFonts w:hint="eastAsia"/>
                      <w:sz w:val="21"/>
                      <w:szCs w:val="21"/>
                      <w:highlight w:val="none"/>
                    </w:rPr>
                    <w:t>氨</w:t>
                  </w:r>
                </w:p>
              </w:tc>
              <w:tc>
                <w:tcPr>
                  <w:tcW w:w="2400" w:type="dxa"/>
                  <w:vAlign w:val="center"/>
                </w:tcPr>
                <w:p w14:paraId="19E5D892">
                  <w:pPr>
                    <w:pStyle w:val="42"/>
                    <w:keepNext w:val="0"/>
                    <w:keepLines w:val="0"/>
                    <w:suppressLineNumbers w:val="0"/>
                    <w:spacing w:before="0" w:beforeAutospacing="0" w:after="0" w:afterAutospacing="0" w:line="276" w:lineRule="auto"/>
                    <w:ind w:left="0" w:right="0" w:firstLine="0" w:firstLineChars="0"/>
                    <w:jc w:val="center"/>
                    <w:rPr>
                      <w:rFonts w:hint="default"/>
                      <w:sz w:val="21"/>
                      <w:szCs w:val="21"/>
                      <w:highlight w:val="none"/>
                    </w:rPr>
                  </w:pPr>
                  <w:r>
                    <w:rPr>
                      <w:rFonts w:hint="eastAsia"/>
                      <w:sz w:val="21"/>
                      <w:szCs w:val="21"/>
                      <w:highlight w:val="none"/>
                    </w:rPr>
                    <w:t>1.5</w:t>
                  </w:r>
                </w:p>
              </w:tc>
              <w:tc>
                <w:tcPr>
                  <w:tcW w:w="1337" w:type="dxa"/>
                  <w:vAlign w:val="center"/>
                </w:tcPr>
                <w:p w14:paraId="267A43EE">
                  <w:pPr>
                    <w:keepNext w:val="0"/>
                    <w:keepLines w:val="0"/>
                    <w:suppressLineNumbers w:val="0"/>
                    <w:spacing w:before="0" w:beforeAutospacing="0" w:after="0" w:afterAutospacing="0" w:line="276" w:lineRule="auto"/>
                    <w:ind w:left="0" w:right="0" w:firstLine="0" w:firstLineChars="0"/>
                    <w:jc w:val="center"/>
                    <w:rPr>
                      <w:rFonts w:hint="default"/>
                      <w:sz w:val="21"/>
                      <w:szCs w:val="21"/>
                      <w:highlight w:val="none"/>
                    </w:rPr>
                  </w:pPr>
                  <w:r>
                    <w:rPr>
                      <w:rFonts w:hint="eastAsia"/>
                      <w:kern w:val="0"/>
                      <w:sz w:val="21"/>
                      <w:szCs w:val="21"/>
                      <w:highlight w:val="none"/>
                      <w:lang w:val="en-US" w:eastAsia="zh-CN"/>
                    </w:rPr>
                    <w:t>30</w:t>
                  </w:r>
                </w:p>
              </w:tc>
              <w:tc>
                <w:tcPr>
                  <w:tcW w:w="1693" w:type="dxa"/>
                  <w:vAlign w:val="center"/>
                </w:tcPr>
                <w:p w14:paraId="6F32A013">
                  <w:pPr>
                    <w:pStyle w:val="42"/>
                    <w:keepNext w:val="0"/>
                    <w:keepLines w:val="0"/>
                    <w:suppressLineNumbers w:val="0"/>
                    <w:spacing w:before="0" w:beforeAutospacing="0" w:after="0" w:afterAutospacing="0" w:line="276" w:lineRule="auto"/>
                    <w:ind w:left="0" w:right="0" w:firstLine="0" w:firstLineChars="0"/>
                    <w:jc w:val="center"/>
                    <w:rPr>
                      <w:rFonts w:hint="default"/>
                      <w:sz w:val="21"/>
                      <w:szCs w:val="21"/>
                      <w:highlight w:val="none"/>
                    </w:rPr>
                  </w:pPr>
                  <w:r>
                    <w:rPr>
                      <w:rFonts w:hint="eastAsia"/>
                      <w:sz w:val="21"/>
                      <w:szCs w:val="21"/>
                      <w:highlight w:val="none"/>
                    </w:rPr>
                    <w:t>/</w:t>
                  </w:r>
                </w:p>
              </w:tc>
              <w:tc>
                <w:tcPr>
                  <w:tcW w:w="1389" w:type="dxa"/>
                  <w:vAlign w:val="center"/>
                </w:tcPr>
                <w:p w14:paraId="3A4749AD">
                  <w:pPr>
                    <w:pStyle w:val="42"/>
                    <w:keepNext w:val="0"/>
                    <w:keepLines w:val="0"/>
                    <w:suppressLineNumbers w:val="0"/>
                    <w:spacing w:before="0" w:beforeAutospacing="0" w:after="0" w:afterAutospacing="0" w:line="276" w:lineRule="auto"/>
                    <w:ind w:left="0" w:right="0" w:firstLine="0" w:firstLineChars="0"/>
                    <w:jc w:val="center"/>
                    <w:rPr>
                      <w:rFonts w:hint="default" w:eastAsia="宋体"/>
                      <w:sz w:val="21"/>
                      <w:szCs w:val="21"/>
                      <w:highlight w:val="none"/>
                      <w:lang w:val="en-US" w:eastAsia="zh-CN"/>
                    </w:rPr>
                  </w:pPr>
                  <w:r>
                    <w:rPr>
                      <w:rFonts w:hint="eastAsia"/>
                      <w:sz w:val="21"/>
                      <w:szCs w:val="21"/>
                      <w:highlight w:val="none"/>
                      <w:lang w:val="en-US" w:eastAsia="zh-CN"/>
                    </w:rPr>
                    <w:t>20</w:t>
                  </w:r>
                </w:p>
              </w:tc>
            </w:tr>
            <w:tr w14:paraId="66C729D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401" w:type="dxa"/>
                  <w:vAlign w:val="center"/>
                </w:tcPr>
                <w:p w14:paraId="15311C0F">
                  <w:pPr>
                    <w:pStyle w:val="42"/>
                    <w:keepNext w:val="0"/>
                    <w:keepLines w:val="0"/>
                    <w:suppressLineNumbers w:val="0"/>
                    <w:spacing w:before="0" w:beforeAutospacing="0" w:after="0" w:afterAutospacing="0" w:line="276" w:lineRule="auto"/>
                    <w:ind w:left="0" w:right="0" w:firstLine="0" w:firstLineChars="0"/>
                    <w:jc w:val="center"/>
                    <w:rPr>
                      <w:rFonts w:hint="default"/>
                      <w:sz w:val="21"/>
                      <w:szCs w:val="21"/>
                      <w:highlight w:val="none"/>
                    </w:rPr>
                  </w:pPr>
                  <w:r>
                    <w:rPr>
                      <w:rFonts w:hint="eastAsia"/>
                      <w:sz w:val="21"/>
                      <w:szCs w:val="21"/>
                      <w:highlight w:val="none"/>
                    </w:rPr>
                    <w:t>硫化氢</w:t>
                  </w:r>
                </w:p>
              </w:tc>
              <w:tc>
                <w:tcPr>
                  <w:tcW w:w="2400" w:type="dxa"/>
                  <w:vAlign w:val="center"/>
                </w:tcPr>
                <w:p w14:paraId="3041C466">
                  <w:pPr>
                    <w:pStyle w:val="42"/>
                    <w:keepNext w:val="0"/>
                    <w:keepLines w:val="0"/>
                    <w:suppressLineNumbers w:val="0"/>
                    <w:spacing w:before="0" w:beforeAutospacing="0" w:after="0" w:afterAutospacing="0" w:line="276" w:lineRule="auto"/>
                    <w:ind w:left="0" w:right="0" w:firstLine="0" w:firstLineChars="0"/>
                    <w:jc w:val="center"/>
                    <w:rPr>
                      <w:rFonts w:hint="default"/>
                      <w:sz w:val="21"/>
                      <w:szCs w:val="21"/>
                      <w:highlight w:val="none"/>
                    </w:rPr>
                  </w:pPr>
                  <w:r>
                    <w:rPr>
                      <w:rFonts w:hint="eastAsia"/>
                      <w:sz w:val="21"/>
                      <w:szCs w:val="21"/>
                      <w:highlight w:val="none"/>
                    </w:rPr>
                    <w:t>0.06</w:t>
                  </w:r>
                </w:p>
              </w:tc>
              <w:tc>
                <w:tcPr>
                  <w:tcW w:w="1337" w:type="dxa"/>
                  <w:vAlign w:val="center"/>
                </w:tcPr>
                <w:p w14:paraId="1F45DE45">
                  <w:pPr>
                    <w:keepNext w:val="0"/>
                    <w:keepLines w:val="0"/>
                    <w:suppressLineNumbers w:val="0"/>
                    <w:spacing w:before="0" w:beforeAutospacing="0" w:after="0" w:afterAutospacing="0" w:line="276" w:lineRule="auto"/>
                    <w:ind w:left="0" w:right="0" w:firstLine="0" w:firstLineChars="0"/>
                    <w:jc w:val="center"/>
                    <w:rPr>
                      <w:rFonts w:hint="default"/>
                      <w:sz w:val="21"/>
                      <w:szCs w:val="21"/>
                      <w:highlight w:val="none"/>
                    </w:rPr>
                  </w:pPr>
                  <w:r>
                    <w:rPr>
                      <w:rFonts w:hint="eastAsia"/>
                      <w:kern w:val="0"/>
                      <w:sz w:val="21"/>
                      <w:szCs w:val="21"/>
                      <w:highlight w:val="none"/>
                      <w:lang w:val="en-US" w:eastAsia="zh-CN"/>
                    </w:rPr>
                    <w:t>30</w:t>
                  </w:r>
                </w:p>
              </w:tc>
              <w:tc>
                <w:tcPr>
                  <w:tcW w:w="1693" w:type="dxa"/>
                  <w:vAlign w:val="center"/>
                </w:tcPr>
                <w:p w14:paraId="319DA157">
                  <w:pPr>
                    <w:pStyle w:val="42"/>
                    <w:keepNext w:val="0"/>
                    <w:keepLines w:val="0"/>
                    <w:suppressLineNumbers w:val="0"/>
                    <w:spacing w:before="0" w:beforeAutospacing="0" w:after="0" w:afterAutospacing="0" w:line="276" w:lineRule="auto"/>
                    <w:ind w:left="0" w:right="0" w:firstLine="0" w:firstLineChars="0"/>
                    <w:jc w:val="center"/>
                    <w:rPr>
                      <w:rFonts w:hint="default"/>
                      <w:sz w:val="21"/>
                      <w:szCs w:val="21"/>
                      <w:highlight w:val="none"/>
                    </w:rPr>
                  </w:pPr>
                  <w:r>
                    <w:rPr>
                      <w:rFonts w:hint="eastAsia"/>
                      <w:sz w:val="21"/>
                      <w:szCs w:val="21"/>
                      <w:highlight w:val="none"/>
                    </w:rPr>
                    <w:t>/</w:t>
                  </w:r>
                </w:p>
              </w:tc>
              <w:tc>
                <w:tcPr>
                  <w:tcW w:w="1389" w:type="dxa"/>
                  <w:vAlign w:val="center"/>
                </w:tcPr>
                <w:p w14:paraId="398AC873">
                  <w:pPr>
                    <w:pStyle w:val="42"/>
                    <w:keepNext w:val="0"/>
                    <w:keepLines w:val="0"/>
                    <w:suppressLineNumbers w:val="0"/>
                    <w:spacing w:before="0" w:beforeAutospacing="0" w:after="0" w:afterAutospacing="0" w:line="276" w:lineRule="auto"/>
                    <w:ind w:left="0" w:right="0" w:firstLine="0" w:firstLineChars="0"/>
                    <w:jc w:val="center"/>
                    <w:rPr>
                      <w:rFonts w:hint="eastAsia" w:eastAsia="宋体"/>
                      <w:sz w:val="21"/>
                      <w:szCs w:val="21"/>
                      <w:highlight w:val="none"/>
                      <w:lang w:val="en-US" w:eastAsia="zh-CN"/>
                    </w:rPr>
                  </w:pPr>
                  <w:r>
                    <w:rPr>
                      <w:rFonts w:hint="eastAsia"/>
                      <w:sz w:val="21"/>
                      <w:szCs w:val="21"/>
                      <w:highlight w:val="none"/>
                      <w:lang w:val="en-US" w:eastAsia="zh-CN"/>
                    </w:rPr>
                    <w:t>1</w:t>
                  </w:r>
                  <w:r>
                    <w:rPr>
                      <w:rFonts w:hint="eastAsia"/>
                      <w:sz w:val="21"/>
                      <w:szCs w:val="21"/>
                      <w:highlight w:val="none"/>
                    </w:rPr>
                    <w:t>.</w:t>
                  </w:r>
                  <w:r>
                    <w:rPr>
                      <w:rFonts w:hint="eastAsia"/>
                      <w:sz w:val="21"/>
                      <w:szCs w:val="21"/>
                      <w:highlight w:val="none"/>
                      <w:lang w:val="en-US" w:eastAsia="zh-CN"/>
                    </w:rPr>
                    <w:t>3</w:t>
                  </w:r>
                </w:p>
              </w:tc>
            </w:tr>
            <w:tr w14:paraId="35DE693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401" w:type="dxa"/>
                  <w:vAlign w:val="center"/>
                </w:tcPr>
                <w:p w14:paraId="0513D647">
                  <w:pPr>
                    <w:pStyle w:val="42"/>
                    <w:keepNext w:val="0"/>
                    <w:keepLines w:val="0"/>
                    <w:suppressLineNumbers w:val="0"/>
                    <w:spacing w:before="0" w:beforeAutospacing="0" w:after="0" w:afterAutospacing="0" w:line="276" w:lineRule="auto"/>
                    <w:ind w:left="0" w:right="0" w:firstLine="0" w:firstLineChars="0"/>
                    <w:jc w:val="center"/>
                    <w:rPr>
                      <w:rFonts w:hint="default"/>
                      <w:sz w:val="21"/>
                      <w:szCs w:val="21"/>
                      <w:highlight w:val="none"/>
                    </w:rPr>
                  </w:pPr>
                  <w:r>
                    <w:rPr>
                      <w:rFonts w:hint="eastAsia"/>
                      <w:sz w:val="21"/>
                      <w:szCs w:val="21"/>
                      <w:highlight w:val="none"/>
                    </w:rPr>
                    <w:t>臭气浓度</w:t>
                  </w:r>
                </w:p>
              </w:tc>
              <w:tc>
                <w:tcPr>
                  <w:tcW w:w="2400" w:type="dxa"/>
                  <w:vAlign w:val="center"/>
                </w:tcPr>
                <w:p w14:paraId="56442526">
                  <w:pPr>
                    <w:pStyle w:val="42"/>
                    <w:keepNext w:val="0"/>
                    <w:keepLines w:val="0"/>
                    <w:suppressLineNumbers w:val="0"/>
                    <w:spacing w:before="0" w:beforeAutospacing="0" w:after="0" w:afterAutospacing="0" w:line="276" w:lineRule="auto"/>
                    <w:ind w:left="0" w:right="0" w:firstLine="0" w:firstLineChars="0"/>
                    <w:jc w:val="center"/>
                    <w:rPr>
                      <w:rFonts w:hint="default"/>
                      <w:sz w:val="21"/>
                      <w:szCs w:val="21"/>
                      <w:highlight w:val="none"/>
                    </w:rPr>
                  </w:pPr>
                  <w:r>
                    <w:rPr>
                      <w:rFonts w:hint="eastAsia"/>
                      <w:sz w:val="21"/>
                      <w:szCs w:val="21"/>
                      <w:highlight w:val="none"/>
                    </w:rPr>
                    <w:t>20（无量纲）</w:t>
                  </w:r>
                </w:p>
              </w:tc>
              <w:tc>
                <w:tcPr>
                  <w:tcW w:w="1337" w:type="dxa"/>
                  <w:vAlign w:val="center"/>
                </w:tcPr>
                <w:p w14:paraId="50C94CC0">
                  <w:pPr>
                    <w:keepNext w:val="0"/>
                    <w:keepLines w:val="0"/>
                    <w:suppressLineNumbers w:val="0"/>
                    <w:spacing w:before="0" w:beforeAutospacing="0" w:after="0" w:afterAutospacing="0" w:line="276" w:lineRule="auto"/>
                    <w:ind w:left="0" w:right="0" w:firstLine="0" w:firstLineChars="0"/>
                    <w:jc w:val="center"/>
                    <w:rPr>
                      <w:rFonts w:hint="default"/>
                      <w:sz w:val="21"/>
                      <w:szCs w:val="21"/>
                      <w:highlight w:val="none"/>
                    </w:rPr>
                  </w:pPr>
                  <w:r>
                    <w:rPr>
                      <w:rFonts w:hint="eastAsia"/>
                      <w:kern w:val="0"/>
                      <w:sz w:val="21"/>
                      <w:szCs w:val="21"/>
                      <w:highlight w:val="none"/>
                      <w:lang w:val="en-US" w:eastAsia="zh-CN"/>
                    </w:rPr>
                    <w:t>30</w:t>
                  </w:r>
                </w:p>
              </w:tc>
              <w:tc>
                <w:tcPr>
                  <w:tcW w:w="3082" w:type="dxa"/>
                  <w:gridSpan w:val="2"/>
                  <w:vAlign w:val="center"/>
                </w:tcPr>
                <w:p w14:paraId="226C1AEA">
                  <w:pPr>
                    <w:pStyle w:val="42"/>
                    <w:keepNext w:val="0"/>
                    <w:keepLines w:val="0"/>
                    <w:suppressLineNumbers w:val="0"/>
                    <w:spacing w:before="0" w:beforeAutospacing="0" w:after="0" w:afterAutospacing="0" w:line="276" w:lineRule="auto"/>
                    <w:ind w:left="0" w:right="0" w:firstLine="0" w:firstLineChars="0"/>
                    <w:jc w:val="center"/>
                    <w:rPr>
                      <w:rFonts w:hint="default"/>
                      <w:sz w:val="21"/>
                      <w:szCs w:val="21"/>
                      <w:highlight w:val="none"/>
                    </w:rPr>
                  </w:pPr>
                  <w:r>
                    <w:rPr>
                      <w:rFonts w:hint="eastAsia"/>
                      <w:sz w:val="21"/>
                      <w:szCs w:val="21"/>
                      <w:highlight w:val="none"/>
                      <w:lang w:val="en-US" w:eastAsia="zh-CN"/>
                    </w:rPr>
                    <w:t>15</w:t>
                  </w:r>
                  <w:r>
                    <w:rPr>
                      <w:rFonts w:hint="eastAsia"/>
                      <w:sz w:val="21"/>
                      <w:szCs w:val="21"/>
                      <w:highlight w:val="none"/>
                    </w:rPr>
                    <w:t>000（无量纲）</w:t>
                  </w:r>
                </w:p>
              </w:tc>
            </w:tr>
          </w:tbl>
          <w:p w14:paraId="60EA4086">
            <w:pPr>
              <w:pStyle w:val="7"/>
              <w:keepNext w:val="0"/>
              <w:keepLines w:val="0"/>
              <w:suppressLineNumbers w:val="0"/>
              <w:spacing w:before="0" w:beforeAutospacing="0" w:after="0" w:afterAutospacing="0" w:line="360" w:lineRule="auto"/>
              <w:ind w:left="0" w:right="0" w:firstLine="480"/>
              <w:rPr>
                <w:rFonts w:hint="default"/>
                <w:kern w:val="0"/>
                <w:sz w:val="24"/>
                <w:szCs w:val="24"/>
                <w:highlight w:val="none"/>
              </w:rPr>
            </w:pPr>
            <w:r>
              <w:rPr>
                <w:rFonts w:hint="eastAsia"/>
                <w:kern w:val="0"/>
                <w:sz w:val="24"/>
                <w:szCs w:val="24"/>
                <w:highlight w:val="none"/>
              </w:rPr>
              <w:t>本项目厂区内VOCs无组织排放监控点浓度执行《制药工业大气污染物排放标准》（GB37823-2019）附录C表C.1中无组织</w:t>
            </w:r>
            <w:r>
              <w:rPr>
                <w:rFonts w:hint="eastAsia"/>
                <w:kern w:val="0"/>
                <w:sz w:val="24"/>
                <w:szCs w:val="24"/>
                <w:highlight w:val="none"/>
                <w:lang w:val="en-US" w:eastAsia="zh-CN"/>
              </w:rPr>
              <w:t>特别</w:t>
            </w:r>
            <w:r>
              <w:rPr>
                <w:rFonts w:hint="eastAsia"/>
                <w:kern w:val="0"/>
                <w:sz w:val="24"/>
                <w:szCs w:val="24"/>
                <w:highlight w:val="none"/>
              </w:rPr>
              <w:t>排放限值</w:t>
            </w:r>
            <w:r>
              <w:rPr>
                <w:rFonts w:hint="default"/>
                <w:kern w:val="0"/>
                <w:sz w:val="24"/>
                <w:szCs w:val="24"/>
                <w:highlight w:val="none"/>
              </w:rPr>
              <w:t>，</w:t>
            </w:r>
            <w:r>
              <w:rPr>
                <w:rFonts w:hint="eastAsia"/>
                <w:kern w:val="0"/>
                <w:sz w:val="24"/>
                <w:szCs w:val="24"/>
                <w:highlight w:val="none"/>
                <w:lang w:val="en-US" w:eastAsia="zh-CN"/>
              </w:rPr>
              <w:t>详</w:t>
            </w:r>
            <w:r>
              <w:rPr>
                <w:rFonts w:hint="default"/>
                <w:kern w:val="0"/>
                <w:sz w:val="24"/>
                <w:szCs w:val="24"/>
                <w:highlight w:val="none"/>
              </w:rPr>
              <w:t>见表3-</w:t>
            </w:r>
            <w:r>
              <w:rPr>
                <w:rFonts w:hint="eastAsia"/>
                <w:kern w:val="0"/>
                <w:sz w:val="24"/>
                <w:szCs w:val="24"/>
                <w:highlight w:val="none"/>
                <w:lang w:val="en-US" w:eastAsia="zh-CN"/>
              </w:rPr>
              <w:t>10</w:t>
            </w:r>
            <w:r>
              <w:rPr>
                <w:rFonts w:hint="default"/>
                <w:kern w:val="0"/>
                <w:sz w:val="24"/>
                <w:szCs w:val="24"/>
                <w:highlight w:val="none"/>
              </w:rPr>
              <w:t>。</w:t>
            </w:r>
          </w:p>
          <w:p w14:paraId="5CBD19F3">
            <w:pPr>
              <w:pStyle w:val="42"/>
              <w:keepNext w:val="0"/>
              <w:keepLines w:val="0"/>
              <w:suppressLineNumbers w:val="0"/>
              <w:spacing w:before="0" w:beforeAutospacing="0" w:after="0" w:afterAutospacing="0"/>
              <w:ind w:left="0" w:right="0" w:firstLine="0" w:firstLineChars="0"/>
              <w:jc w:val="center"/>
              <w:rPr>
                <w:rFonts w:hint="default"/>
                <w:b/>
                <w:bCs/>
                <w:highlight w:val="none"/>
              </w:rPr>
            </w:pPr>
            <w:r>
              <w:rPr>
                <w:rFonts w:hint="eastAsia"/>
                <w:b/>
                <w:bCs/>
                <w:kern w:val="0"/>
                <w:highlight w:val="none"/>
              </w:rPr>
              <w:t>表3-</w:t>
            </w:r>
            <w:r>
              <w:rPr>
                <w:rFonts w:hint="eastAsia"/>
                <w:b/>
                <w:bCs/>
                <w:kern w:val="0"/>
                <w:highlight w:val="none"/>
                <w:lang w:val="en-US" w:eastAsia="zh-CN"/>
              </w:rPr>
              <w:t>10</w:t>
            </w:r>
            <w:r>
              <w:rPr>
                <w:rFonts w:hint="eastAsia"/>
                <w:b/>
                <w:bCs/>
                <w:kern w:val="0"/>
                <w:highlight w:val="none"/>
              </w:rPr>
              <w:t xml:space="preserve">  厂区VOCs无组织</w:t>
            </w:r>
            <w:r>
              <w:rPr>
                <w:rFonts w:hint="eastAsia"/>
                <w:b/>
                <w:bCs/>
                <w:kern w:val="0"/>
                <w:highlight w:val="none"/>
                <w:lang w:val="en-US" w:eastAsia="zh-CN"/>
              </w:rPr>
              <w:t>特别</w:t>
            </w:r>
            <w:r>
              <w:rPr>
                <w:rFonts w:hint="eastAsia"/>
                <w:b/>
                <w:bCs/>
                <w:kern w:val="0"/>
                <w:highlight w:val="none"/>
              </w:rPr>
              <w:t>排放限值</w:t>
            </w:r>
          </w:p>
          <w:tbl>
            <w:tblPr>
              <w:tblStyle w:val="33"/>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374"/>
              <w:gridCol w:w="1582"/>
              <w:gridCol w:w="2986"/>
              <w:gridCol w:w="2278"/>
            </w:tblGrid>
            <w:tr w14:paraId="02DCCA9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374" w:type="dxa"/>
                  <w:vAlign w:val="center"/>
                </w:tcPr>
                <w:p w14:paraId="6CC725F6">
                  <w:pPr>
                    <w:pStyle w:val="42"/>
                    <w:keepNext w:val="0"/>
                    <w:keepLines w:val="0"/>
                    <w:suppressLineNumbers w:val="0"/>
                    <w:spacing w:before="0" w:beforeAutospacing="0" w:after="0" w:afterAutospacing="0" w:line="276" w:lineRule="auto"/>
                    <w:ind w:left="0" w:right="0" w:firstLine="0" w:firstLineChars="0"/>
                    <w:jc w:val="center"/>
                    <w:rPr>
                      <w:rFonts w:hint="default"/>
                      <w:sz w:val="21"/>
                      <w:szCs w:val="21"/>
                      <w:highlight w:val="none"/>
                    </w:rPr>
                  </w:pPr>
                  <w:r>
                    <w:rPr>
                      <w:rFonts w:hint="eastAsia"/>
                      <w:sz w:val="21"/>
                      <w:szCs w:val="21"/>
                      <w:highlight w:val="none"/>
                    </w:rPr>
                    <w:t>污染物项目</w:t>
                  </w:r>
                </w:p>
              </w:tc>
              <w:tc>
                <w:tcPr>
                  <w:tcW w:w="1582" w:type="dxa"/>
                  <w:vAlign w:val="center"/>
                </w:tcPr>
                <w:p w14:paraId="6FA6BCE0">
                  <w:pPr>
                    <w:pStyle w:val="42"/>
                    <w:keepNext w:val="0"/>
                    <w:keepLines w:val="0"/>
                    <w:suppressLineNumbers w:val="0"/>
                    <w:spacing w:before="0" w:beforeAutospacing="0" w:after="0" w:afterAutospacing="0" w:line="276" w:lineRule="auto"/>
                    <w:ind w:left="0" w:right="0" w:firstLine="0" w:firstLineChars="0"/>
                    <w:jc w:val="center"/>
                    <w:rPr>
                      <w:rFonts w:hint="default"/>
                      <w:sz w:val="21"/>
                      <w:szCs w:val="21"/>
                      <w:highlight w:val="none"/>
                    </w:rPr>
                  </w:pPr>
                  <w:r>
                    <w:rPr>
                      <w:rFonts w:hint="eastAsia"/>
                      <w:sz w:val="21"/>
                      <w:szCs w:val="21"/>
                      <w:highlight w:val="none"/>
                    </w:rPr>
                    <w:t>特别排放限值</w:t>
                  </w:r>
                </w:p>
              </w:tc>
              <w:tc>
                <w:tcPr>
                  <w:tcW w:w="2986" w:type="dxa"/>
                  <w:vAlign w:val="center"/>
                </w:tcPr>
                <w:p w14:paraId="5A89501F">
                  <w:pPr>
                    <w:pStyle w:val="42"/>
                    <w:keepNext w:val="0"/>
                    <w:keepLines w:val="0"/>
                    <w:suppressLineNumbers w:val="0"/>
                    <w:spacing w:before="0" w:beforeAutospacing="0" w:after="0" w:afterAutospacing="0" w:line="276" w:lineRule="auto"/>
                    <w:ind w:left="0" w:right="0" w:firstLine="0" w:firstLineChars="0"/>
                    <w:jc w:val="center"/>
                    <w:rPr>
                      <w:rFonts w:hint="default"/>
                      <w:sz w:val="21"/>
                      <w:szCs w:val="21"/>
                      <w:highlight w:val="none"/>
                    </w:rPr>
                  </w:pPr>
                  <w:r>
                    <w:rPr>
                      <w:rFonts w:hint="eastAsia"/>
                      <w:sz w:val="21"/>
                      <w:szCs w:val="21"/>
                      <w:highlight w:val="none"/>
                    </w:rPr>
                    <w:t>限值意义</w:t>
                  </w:r>
                </w:p>
              </w:tc>
              <w:tc>
                <w:tcPr>
                  <w:tcW w:w="2278" w:type="dxa"/>
                  <w:vAlign w:val="center"/>
                </w:tcPr>
                <w:p w14:paraId="6B4D1572">
                  <w:pPr>
                    <w:pStyle w:val="42"/>
                    <w:keepNext w:val="0"/>
                    <w:keepLines w:val="0"/>
                    <w:suppressLineNumbers w:val="0"/>
                    <w:spacing w:before="0" w:beforeAutospacing="0" w:after="0" w:afterAutospacing="0" w:line="276" w:lineRule="auto"/>
                    <w:ind w:left="0" w:right="0" w:firstLine="0" w:firstLineChars="0"/>
                    <w:jc w:val="center"/>
                    <w:rPr>
                      <w:rFonts w:hint="default"/>
                      <w:sz w:val="21"/>
                      <w:szCs w:val="21"/>
                      <w:highlight w:val="none"/>
                    </w:rPr>
                  </w:pPr>
                  <w:r>
                    <w:rPr>
                      <w:rFonts w:hint="eastAsia"/>
                      <w:sz w:val="21"/>
                      <w:szCs w:val="21"/>
                      <w:highlight w:val="none"/>
                    </w:rPr>
                    <w:t>无组织排放监控位置</w:t>
                  </w:r>
                </w:p>
              </w:tc>
            </w:tr>
            <w:tr w14:paraId="1BBEAFE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374" w:type="dxa"/>
                  <w:vMerge w:val="restart"/>
                  <w:vAlign w:val="center"/>
                </w:tcPr>
                <w:p w14:paraId="37F0C4BB">
                  <w:pPr>
                    <w:pStyle w:val="42"/>
                    <w:keepNext w:val="0"/>
                    <w:keepLines w:val="0"/>
                    <w:suppressLineNumbers w:val="0"/>
                    <w:spacing w:before="0" w:beforeAutospacing="0" w:after="0" w:afterAutospacing="0" w:line="276" w:lineRule="auto"/>
                    <w:ind w:left="0" w:right="0" w:firstLine="0" w:firstLineChars="0"/>
                    <w:jc w:val="center"/>
                    <w:rPr>
                      <w:rFonts w:hint="default"/>
                      <w:sz w:val="21"/>
                      <w:szCs w:val="21"/>
                      <w:highlight w:val="none"/>
                    </w:rPr>
                  </w:pPr>
                  <w:r>
                    <w:rPr>
                      <w:rFonts w:hint="eastAsia"/>
                      <w:sz w:val="21"/>
                      <w:szCs w:val="21"/>
                      <w:highlight w:val="none"/>
                    </w:rPr>
                    <w:t>NMHC</w:t>
                  </w:r>
                </w:p>
              </w:tc>
              <w:tc>
                <w:tcPr>
                  <w:tcW w:w="1582" w:type="dxa"/>
                  <w:vAlign w:val="center"/>
                </w:tcPr>
                <w:p w14:paraId="4CDAF6A8">
                  <w:pPr>
                    <w:pStyle w:val="42"/>
                    <w:keepNext w:val="0"/>
                    <w:keepLines w:val="0"/>
                    <w:suppressLineNumbers w:val="0"/>
                    <w:spacing w:before="0" w:beforeAutospacing="0" w:after="0" w:afterAutospacing="0" w:line="276" w:lineRule="auto"/>
                    <w:ind w:left="0" w:right="0" w:firstLine="0" w:firstLineChars="0"/>
                    <w:jc w:val="center"/>
                    <w:rPr>
                      <w:rFonts w:hint="default" w:eastAsia="宋体"/>
                      <w:sz w:val="21"/>
                      <w:szCs w:val="21"/>
                      <w:highlight w:val="none"/>
                      <w:lang w:val="en-US" w:eastAsia="zh-CN"/>
                    </w:rPr>
                  </w:pPr>
                  <w:r>
                    <w:rPr>
                      <w:rFonts w:hint="eastAsia"/>
                      <w:sz w:val="21"/>
                      <w:szCs w:val="21"/>
                      <w:highlight w:val="none"/>
                      <w:lang w:val="en-US" w:eastAsia="zh-CN"/>
                    </w:rPr>
                    <w:t>6</w:t>
                  </w:r>
                </w:p>
              </w:tc>
              <w:tc>
                <w:tcPr>
                  <w:tcW w:w="2986" w:type="dxa"/>
                  <w:vAlign w:val="center"/>
                </w:tcPr>
                <w:p w14:paraId="0AC22519">
                  <w:pPr>
                    <w:pStyle w:val="42"/>
                    <w:keepNext w:val="0"/>
                    <w:keepLines w:val="0"/>
                    <w:suppressLineNumbers w:val="0"/>
                    <w:spacing w:before="0" w:beforeAutospacing="0" w:after="0" w:afterAutospacing="0" w:line="276" w:lineRule="auto"/>
                    <w:ind w:left="0" w:right="0" w:firstLine="0" w:firstLineChars="0"/>
                    <w:jc w:val="center"/>
                    <w:rPr>
                      <w:rFonts w:hint="default"/>
                      <w:sz w:val="21"/>
                      <w:szCs w:val="21"/>
                      <w:highlight w:val="none"/>
                    </w:rPr>
                  </w:pPr>
                  <w:r>
                    <w:rPr>
                      <w:rFonts w:hint="eastAsia"/>
                      <w:sz w:val="21"/>
                      <w:szCs w:val="21"/>
                      <w:highlight w:val="none"/>
                    </w:rPr>
                    <w:t>监控点处1h平均浓度值</w:t>
                  </w:r>
                </w:p>
              </w:tc>
              <w:tc>
                <w:tcPr>
                  <w:tcW w:w="2278" w:type="dxa"/>
                  <w:vMerge w:val="restart"/>
                  <w:vAlign w:val="center"/>
                </w:tcPr>
                <w:p w14:paraId="531781ED">
                  <w:pPr>
                    <w:pStyle w:val="42"/>
                    <w:keepNext w:val="0"/>
                    <w:keepLines w:val="0"/>
                    <w:suppressLineNumbers w:val="0"/>
                    <w:spacing w:before="0" w:beforeAutospacing="0" w:after="0" w:afterAutospacing="0" w:line="276" w:lineRule="auto"/>
                    <w:ind w:left="0" w:right="0" w:firstLine="0" w:firstLineChars="0"/>
                    <w:jc w:val="center"/>
                    <w:rPr>
                      <w:rFonts w:hint="default"/>
                      <w:sz w:val="21"/>
                      <w:szCs w:val="21"/>
                      <w:highlight w:val="none"/>
                    </w:rPr>
                  </w:pPr>
                  <w:r>
                    <w:rPr>
                      <w:rFonts w:hint="eastAsia"/>
                      <w:sz w:val="21"/>
                      <w:szCs w:val="21"/>
                      <w:highlight w:val="none"/>
                    </w:rPr>
                    <w:t>在厂房外设置监控点</w:t>
                  </w:r>
                </w:p>
              </w:tc>
            </w:tr>
            <w:tr w14:paraId="0C1DE47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374" w:type="dxa"/>
                  <w:vMerge w:val="continue"/>
                  <w:vAlign w:val="center"/>
                </w:tcPr>
                <w:p w14:paraId="1C4B4357">
                  <w:pPr>
                    <w:pStyle w:val="42"/>
                    <w:keepNext w:val="0"/>
                    <w:keepLines w:val="0"/>
                    <w:suppressLineNumbers w:val="0"/>
                    <w:spacing w:before="0" w:beforeAutospacing="0" w:after="0" w:afterAutospacing="0" w:line="276" w:lineRule="auto"/>
                    <w:ind w:left="0" w:right="0" w:firstLine="0" w:firstLineChars="0"/>
                    <w:jc w:val="center"/>
                    <w:rPr>
                      <w:rFonts w:hint="default"/>
                      <w:sz w:val="21"/>
                      <w:szCs w:val="21"/>
                      <w:highlight w:val="none"/>
                    </w:rPr>
                  </w:pPr>
                </w:p>
              </w:tc>
              <w:tc>
                <w:tcPr>
                  <w:tcW w:w="1582" w:type="dxa"/>
                  <w:vAlign w:val="center"/>
                </w:tcPr>
                <w:p w14:paraId="6083EA09">
                  <w:pPr>
                    <w:pStyle w:val="42"/>
                    <w:keepNext w:val="0"/>
                    <w:keepLines w:val="0"/>
                    <w:suppressLineNumbers w:val="0"/>
                    <w:spacing w:before="0" w:beforeAutospacing="0" w:after="0" w:afterAutospacing="0" w:line="276" w:lineRule="auto"/>
                    <w:ind w:left="0" w:right="0" w:firstLine="0" w:firstLineChars="0"/>
                    <w:jc w:val="center"/>
                    <w:rPr>
                      <w:rFonts w:hint="default" w:eastAsia="宋体"/>
                      <w:sz w:val="21"/>
                      <w:szCs w:val="21"/>
                      <w:highlight w:val="none"/>
                      <w:lang w:val="en-US" w:eastAsia="zh-CN"/>
                    </w:rPr>
                  </w:pPr>
                  <w:r>
                    <w:rPr>
                      <w:rFonts w:hint="eastAsia"/>
                      <w:sz w:val="21"/>
                      <w:szCs w:val="21"/>
                      <w:highlight w:val="none"/>
                      <w:lang w:val="en-US" w:eastAsia="zh-CN"/>
                    </w:rPr>
                    <w:t>20</w:t>
                  </w:r>
                </w:p>
              </w:tc>
              <w:tc>
                <w:tcPr>
                  <w:tcW w:w="2986" w:type="dxa"/>
                  <w:vAlign w:val="center"/>
                </w:tcPr>
                <w:p w14:paraId="736E389B">
                  <w:pPr>
                    <w:pStyle w:val="42"/>
                    <w:keepNext w:val="0"/>
                    <w:keepLines w:val="0"/>
                    <w:suppressLineNumbers w:val="0"/>
                    <w:spacing w:before="0" w:beforeAutospacing="0" w:after="0" w:afterAutospacing="0" w:line="276" w:lineRule="auto"/>
                    <w:ind w:left="0" w:right="0" w:firstLine="0" w:firstLineChars="0"/>
                    <w:jc w:val="center"/>
                    <w:rPr>
                      <w:rFonts w:hint="default"/>
                      <w:sz w:val="21"/>
                      <w:szCs w:val="21"/>
                      <w:highlight w:val="none"/>
                    </w:rPr>
                  </w:pPr>
                  <w:r>
                    <w:rPr>
                      <w:rFonts w:hint="default"/>
                      <w:sz w:val="21"/>
                      <w:szCs w:val="21"/>
                      <w:highlight w:val="none"/>
                    </w:rPr>
                    <w:t>监控点处任意一次浓度值</w:t>
                  </w:r>
                </w:p>
              </w:tc>
              <w:tc>
                <w:tcPr>
                  <w:tcW w:w="2278" w:type="dxa"/>
                  <w:vMerge w:val="continue"/>
                  <w:vAlign w:val="center"/>
                </w:tcPr>
                <w:p w14:paraId="44011359">
                  <w:pPr>
                    <w:pStyle w:val="42"/>
                    <w:keepNext w:val="0"/>
                    <w:keepLines w:val="0"/>
                    <w:suppressLineNumbers w:val="0"/>
                    <w:spacing w:before="0" w:beforeAutospacing="0" w:after="0" w:afterAutospacing="0" w:line="276" w:lineRule="auto"/>
                    <w:ind w:left="0" w:right="0" w:firstLine="0" w:firstLineChars="0"/>
                    <w:jc w:val="center"/>
                    <w:rPr>
                      <w:rFonts w:hint="default"/>
                      <w:sz w:val="21"/>
                      <w:szCs w:val="21"/>
                      <w:highlight w:val="none"/>
                    </w:rPr>
                  </w:pPr>
                </w:p>
              </w:tc>
            </w:tr>
            <w:bookmarkEnd w:id="15"/>
          </w:tbl>
          <w:p w14:paraId="0811D6B2">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60" w:lineRule="auto"/>
              <w:ind w:left="0" w:right="0" w:firstLine="480" w:firstLineChars="200"/>
              <w:textAlignment w:val="auto"/>
              <w:rPr>
                <w:rFonts w:hint="eastAsia"/>
                <w:highlight w:val="none"/>
              </w:rPr>
            </w:pPr>
            <w:r>
              <w:rPr>
                <w:rFonts w:hint="eastAsia"/>
                <w:highlight w:val="none"/>
              </w:rPr>
              <w:t>本项目设置食堂，拟设置</w:t>
            </w:r>
            <w:r>
              <w:rPr>
                <w:rFonts w:hint="eastAsia"/>
                <w:highlight w:val="none"/>
                <w:lang w:val="en-US" w:eastAsia="zh-CN"/>
              </w:rPr>
              <w:t>7</w:t>
            </w:r>
            <w:r>
              <w:rPr>
                <w:rFonts w:hint="eastAsia"/>
                <w:highlight w:val="none"/>
              </w:rPr>
              <w:t>个基准灶头，油烟排放执行《饮食业油烟排放标准（试行）》（GB18483-2001），其最高允许排放浓度和油烟净化设施最终去除效率执行</w:t>
            </w:r>
            <w:r>
              <w:rPr>
                <w:rFonts w:hint="eastAsia"/>
                <w:highlight w:val="none"/>
                <w:lang w:val="en-US" w:eastAsia="zh-CN"/>
              </w:rPr>
              <w:t>大</w:t>
            </w:r>
            <w:r>
              <w:rPr>
                <w:rFonts w:hint="eastAsia"/>
                <w:highlight w:val="none"/>
              </w:rPr>
              <w:t>型标准，具体见表3-</w:t>
            </w:r>
            <w:r>
              <w:rPr>
                <w:rFonts w:hint="eastAsia"/>
                <w:highlight w:val="none"/>
                <w:lang w:val="en-US" w:eastAsia="zh-CN"/>
              </w:rPr>
              <w:t>11</w:t>
            </w:r>
            <w:r>
              <w:rPr>
                <w:rFonts w:hint="eastAsia"/>
                <w:highlight w:val="none"/>
              </w:rPr>
              <w:t>。</w:t>
            </w:r>
          </w:p>
          <w:p w14:paraId="771613B9">
            <w:pPr>
              <w:keepNext w:val="0"/>
              <w:keepLines w:val="0"/>
              <w:suppressLineNumbers w:val="0"/>
              <w:tabs>
                <w:tab w:val="left" w:pos="2625"/>
              </w:tabs>
              <w:adjustRightInd w:val="0"/>
              <w:snapToGrid w:val="0"/>
              <w:spacing w:before="0" w:beforeAutospacing="0" w:after="0" w:afterAutospacing="0" w:line="360" w:lineRule="auto"/>
              <w:ind w:left="0" w:right="0"/>
              <w:jc w:val="center"/>
              <w:rPr>
                <w:rFonts w:hint="default" w:ascii="Times New Roman" w:hAnsi="Times New Roman" w:eastAsia="宋体" w:cs="Times New Roman"/>
                <w:b/>
                <w:color w:val="auto"/>
                <w:kern w:val="0"/>
                <w:highlight w:val="none"/>
                <w:vertAlign w:val="baseline"/>
              </w:rPr>
            </w:pPr>
            <w:r>
              <w:rPr>
                <w:rFonts w:hint="eastAsia" w:cs="Times New Roman"/>
                <w:b/>
                <w:color w:val="auto"/>
                <w:kern w:val="0"/>
                <w:highlight w:val="none"/>
                <w:lang w:val="en-US" w:eastAsia="zh-CN"/>
              </w:rPr>
              <w:t>表</w:t>
            </w:r>
            <w:r>
              <w:rPr>
                <w:rFonts w:hint="eastAsia" w:ascii="Times New Roman" w:hAnsi="Times New Roman" w:eastAsia="宋体" w:cs="Times New Roman"/>
                <w:b/>
                <w:color w:val="auto"/>
                <w:kern w:val="0"/>
                <w:highlight w:val="none"/>
              </w:rPr>
              <w:t>3-</w:t>
            </w:r>
            <w:r>
              <w:rPr>
                <w:rFonts w:hint="eastAsia" w:cs="Times New Roman"/>
                <w:b/>
                <w:color w:val="auto"/>
                <w:kern w:val="0"/>
                <w:highlight w:val="none"/>
                <w:lang w:val="en-US" w:eastAsia="zh-CN"/>
              </w:rPr>
              <w:t>11</w:t>
            </w:r>
            <w:r>
              <w:rPr>
                <w:rFonts w:hint="eastAsia" w:ascii="Times New Roman" w:hAnsi="Times New Roman" w:eastAsia="宋体" w:cs="Times New Roman"/>
                <w:b/>
                <w:color w:val="auto"/>
                <w:kern w:val="0"/>
                <w:highlight w:val="none"/>
              </w:rPr>
              <w:t xml:space="preserve"> 饮食业油烟排放标准（试行）（GB18483-2001）</w:t>
            </w:r>
          </w:p>
          <w:tbl>
            <w:tblPr>
              <w:tblStyle w:val="33"/>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3451"/>
              <w:gridCol w:w="1722"/>
              <w:gridCol w:w="1612"/>
              <w:gridCol w:w="1435"/>
            </w:tblGrid>
            <w:tr w14:paraId="5BC65AF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451" w:type="dxa"/>
                  <w:vAlign w:val="center"/>
                </w:tcPr>
                <w:p w14:paraId="692233CE">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60" w:lineRule="auto"/>
                    <w:ind w:left="0" w:right="0"/>
                    <w:jc w:val="center"/>
                    <w:textAlignment w:val="auto"/>
                    <w:rPr>
                      <w:rFonts w:hint="eastAsia"/>
                      <w:sz w:val="21"/>
                      <w:szCs w:val="21"/>
                      <w:highlight w:val="none"/>
                      <w:vertAlign w:val="baseline"/>
                      <w:lang w:val="en-US" w:eastAsia="zh-CN"/>
                    </w:rPr>
                  </w:pPr>
                  <w:r>
                    <w:rPr>
                      <w:rFonts w:hint="eastAsia"/>
                      <w:sz w:val="21"/>
                      <w:szCs w:val="21"/>
                      <w:highlight w:val="none"/>
                      <w:vertAlign w:val="baseline"/>
                      <w:lang w:val="en-US" w:eastAsia="zh-CN"/>
                    </w:rPr>
                    <w:t>规模</w:t>
                  </w:r>
                </w:p>
              </w:tc>
              <w:tc>
                <w:tcPr>
                  <w:tcW w:w="1722" w:type="dxa"/>
                  <w:vAlign w:val="center"/>
                </w:tcPr>
                <w:p w14:paraId="5EAADBEB">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60" w:lineRule="auto"/>
                    <w:ind w:left="0" w:right="0"/>
                    <w:jc w:val="center"/>
                    <w:textAlignment w:val="auto"/>
                    <w:rPr>
                      <w:rFonts w:hint="eastAsia"/>
                      <w:sz w:val="21"/>
                      <w:szCs w:val="21"/>
                      <w:highlight w:val="none"/>
                      <w:vertAlign w:val="baseline"/>
                      <w:lang w:val="en-US" w:eastAsia="zh-CN"/>
                    </w:rPr>
                  </w:pPr>
                  <w:r>
                    <w:rPr>
                      <w:rFonts w:hint="eastAsia"/>
                      <w:sz w:val="21"/>
                      <w:szCs w:val="21"/>
                      <w:highlight w:val="none"/>
                      <w:vertAlign w:val="baseline"/>
                      <w:lang w:val="en-US" w:eastAsia="zh-CN"/>
                    </w:rPr>
                    <w:t>小型</w:t>
                  </w:r>
                </w:p>
              </w:tc>
              <w:tc>
                <w:tcPr>
                  <w:tcW w:w="1612" w:type="dxa"/>
                  <w:vAlign w:val="center"/>
                </w:tcPr>
                <w:p w14:paraId="1F10898A">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60" w:lineRule="auto"/>
                    <w:ind w:left="0" w:right="0"/>
                    <w:jc w:val="center"/>
                    <w:textAlignment w:val="auto"/>
                    <w:rPr>
                      <w:rFonts w:hint="eastAsia"/>
                      <w:sz w:val="21"/>
                      <w:szCs w:val="21"/>
                      <w:highlight w:val="none"/>
                      <w:vertAlign w:val="baseline"/>
                      <w:lang w:val="en-US" w:eastAsia="zh-CN"/>
                    </w:rPr>
                  </w:pPr>
                  <w:r>
                    <w:rPr>
                      <w:rFonts w:hint="eastAsia"/>
                      <w:sz w:val="21"/>
                      <w:szCs w:val="21"/>
                      <w:highlight w:val="none"/>
                      <w:vertAlign w:val="baseline"/>
                      <w:lang w:val="en-US" w:eastAsia="zh-CN"/>
                    </w:rPr>
                    <w:t>中型</w:t>
                  </w:r>
                </w:p>
              </w:tc>
              <w:tc>
                <w:tcPr>
                  <w:tcW w:w="1435" w:type="dxa"/>
                  <w:vAlign w:val="center"/>
                </w:tcPr>
                <w:p w14:paraId="39D69A91">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60" w:lineRule="auto"/>
                    <w:ind w:left="0" w:right="0"/>
                    <w:jc w:val="center"/>
                    <w:textAlignment w:val="auto"/>
                    <w:rPr>
                      <w:rFonts w:hint="eastAsia"/>
                      <w:sz w:val="21"/>
                      <w:szCs w:val="21"/>
                      <w:highlight w:val="none"/>
                      <w:vertAlign w:val="baseline"/>
                      <w:lang w:val="en-US" w:eastAsia="zh-CN"/>
                    </w:rPr>
                  </w:pPr>
                  <w:r>
                    <w:rPr>
                      <w:rFonts w:hint="eastAsia"/>
                      <w:b/>
                      <w:bCs/>
                      <w:sz w:val="21"/>
                      <w:szCs w:val="21"/>
                      <w:highlight w:val="none"/>
                      <w:vertAlign w:val="baseline"/>
                      <w:lang w:val="en-US" w:eastAsia="zh-CN"/>
                    </w:rPr>
                    <w:t>大型</w:t>
                  </w:r>
                </w:p>
              </w:tc>
            </w:tr>
            <w:tr w14:paraId="5F04235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451" w:type="dxa"/>
                  <w:vAlign w:val="center"/>
                </w:tcPr>
                <w:p w14:paraId="474FAD2C">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60" w:lineRule="auto"/>
                    <w:ind w:left="0" w:right="0"/>
                    <w:jc w:val="center"/>
                    <w:textAlignment w:val="auto"/>
                    <w:rPr>
                      <w:rFonts w:hint="eastAsia"/>
                      <w:sz w:val="21"/>
                      <w:szCs w:val="21"/>
                      <w:highlight w:val="none"/>
                      <w:vertAlign w:val="baseline"/>
                      <w:lang w:val="en-US" w:eastAsia="zh-CN"/>
                    </w:rPr>
                  </w:pPr>
                  <w:r>
                    <w:rPr>
                      <w:rFonts w:hint="eastAsia"/>
                      <w:sz w:val="21"/>
                      <w:szCs w:val="21"/>
                      <w:highlight w:val="none"/>
                      <w:vertAlign w:val="baseline"/>
                      <w:lang w:val="en-US" w:eastAsia="zh-CN"/>
                    </w:rPr>
                    <w:t>基准灶头数</w:t>
                  </w:r>
                </w:p>
              </w:tc>
              <w:tc>
                <w:tcPr>
                  <w:tcW w:w="1722" w:type="dxa"/>
                  <w:vAlign w:val="center"/>
                </w:tcPr>
                <w:p w14:paraId="4BB7494A">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60" w:lineRule="auto"/>
                    <w:ind w:left="0" w:right="0"/>
                    <w:jc w:val="center"/>
                    <w:textAlignment w:val="auto"/>
                    <w:rPr>
                      <w:rFonts w:hint="default"/>
                      <w:sz w:val="21"/>
                      <w:szCs w:val="21"/>
                      <w:highlight w:val="none"/>
                      <w:vertAlign w:val="baseline"/>
                      <w:lang w:val="en-US" w:eastAsia="zh-CN"/>
                    </w:rPr>
                  </w:pPr>
                  <w:r>
                    <w:rPr>
                      <w:rFonts w:hint="eastAsia"/>
                      <w:sz w:val="21"/>
                      <w:szCs w:val="21"/>
                      <w:highlight w:val="none"/>
                      <w:vertAlign w:val="baseline"/>
                      <w:lang w:val="en-US" w:eastAsia="zh-CN"/>
                    </w:rPr>
                    <w:t>≥1，&lt;3</w:t>
                  </w:r>
                </w:p>
              </w:tc>
              <w:tc>
                <w:tcPr>
                  <w:tcW w:w="1612" w:type="dxa"/>
                  <w:vAlign w:val="center"/>
                </w:tcPr>
                <w:p w14:paraId="3F14DBC9">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60" w:lineRule="auto"/>
                    <w:ind w:left="0" w:right="0"/>
                    <w:jc w:val="center"/>
                    <w:textAlignment w:val="auto"/>
                    <w:rPr>
                      <w:rFonts w:hint="eastAsia"/>
                      <w:sz w:val="21"/>
                      <w:szCs w:val="21"/>
                      <w:highlight w:val="none"/>
                      <w:vertAlign w:val="baseline"/>
                      <w:lang w:val="en-US" w:eastAsia="zh-CN"/>
                    </w:rPr>
                  </w:pPr>
                  <w:r>
                    <w:rPr>
                      <w:rFonts w:hint="default"/>
                      <w:sz w:val="21"/>
                      <w:szCs w:val="21"/>
                      <w:highlight w:val="none"/>
                      <w:vertAlign w:val="baseline"/>
                      <w:lang w:val="en-US" w:eastAsia="zh-CN"/>
                    </w:rPr>
                    <w:t>≥3</w:t>
                  </w:r>
                  <w:r>
                    <w:rPr>
                      <w:rFonts w:hint="eastAsia"/>
                      <w:sz w:val="21"/>
                      <w:szCs w:val="21"/>
                      <w:highlight w:val="none"/>
                      <w:vertAlign w:val="baseline"/>
                      <w:lang w:val="en-US" w:eastAsia="zh-CN"/>
                    </w:rPr>
                    <w:t>，</w:t>
                  </w:r>
                  <w:r>
                    <w:rPr>
                      <w:rFonts w:hint="default"/>
                      <w:sz w:val="21"/>
                      <w:szCs w:val="21"/>
                      <w:highlight w:val="none"/>
                      <w:vertAlign w:val="baseline"/>
                      <w:lang w:val="en-US" w:eastAsia="zh-CN"/>
                    </w:rPr>
                    <w:t>&lt;6</w:t>
                  </w:r>
                </w:p>
              </w:tc>
              <w:tc>
                <w:tcPr>
                  <w:tcW w:w="1435" w:type="dxa"/>
                  <w:vAlign w:val="center"/>
                </w:tcPr>
                <w:p w14:paraId="426A016E">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60" w:lineRule="auto"/>
                    <w:ind w:left="0" w:right="0"/>
                    <w:jc w:val="center"/>
                    <w:textAlignment w:val="auto"/>
                    <w:rPr>
                      <w:rFonts w:hint="eastAsia"/>
                      <w:sz w:val="21"/>
                      <w:szCs w:val="21"/>
                      <w:highlight w:val="none"/>
                      <w:vertAlign w:val="baseline"/>
                      <w:lang w:val="en-US" w:eastAsia="zh-CN"/>
                    </w:rPr>
                  </w:pPr>
                  <w:r>
                    <w:rPr>
                      <w:rFonts w:hint="default"/>
                      <w:sz w:val="21"/>
                      <w:szCs w:val="21"/>
                      <w:highlight w:val="none"/>
                      <w:vertAlign w:val="baseline"/>
                      <w:lang w:val="en-US" w:eastAsia="zh-CN"/>
                    </w:rPr>
                    <w:t>≥6</w:t>
                  </w:r>
                </w:p>
              </w:tc>
            </w:tr>
            <w:tr w14:paraId="4191620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451" w:type="dxa"/>
                  <w:vAlign w:val="center"/>
                </w:tcPr>
                <w:p w14:paraId="456DC035">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60" w:lineRule="auto"/>
                    <w:ind w:left="0" w:right="0"/>
                    <w:jc w:val="center"/>
                    <w:textAlignment w:val="auto"/>
                    <w:rPr>
                      <w:rFonts w:hint="eastAsia"/>
                      <w:sz w:val="21"/>
                      <w:szCs w:val="21"/>
                      <w:highlight w:val="none"/>
                      <w:vertAlign w:val="baseline"/>
                      <w:lang w:val="en-US" w:eastAsia="zh-CN"/>
                    </w:rPr>
                  </w:pPr>
                  <w:r>
                    <w:rPr>
                      <w:rFonts w:hint="eastAsia"/>
                      <w:sz w:val="21"/>
                      <w:szCs w:val="21"/>
                      <w:highlight w:val="none"/>
                      <w:vertAlign w:val="baseline"/>
                      <w:lang w:val="en-US" w:eastAsia="zh-CN"/>
                    </w:rPr>
                    <w:t>对应灶头总功率（</w:t>
                  </w:r>
                  <w:r>
                    <w:rPr>
                      <w:rFonts w:hint="default"/>
                      <w:sz w:val="21"/>
                      <w:szCs w:val="21"/>
                      <w:highlight w:val="none"/>
                      <w:vertAlign w:val="baseline"/>
                      <w:lang w:val="en-US" w:eastAsia="zh-CN"/>
                    </w:rPr>
                    <w:t>10</w:t>
                  </w:r>
                  <w:r>
                    <w:rPr>
                      <w:rFonts w:hint="default"/>
                      <w:sz w:val="21"/>
                      <w:szCs w:val="21"/>
                      <w:highlight w:val="none"/>
                      <w:vertAlign w:val="superscript"/>
                      <w:lang w:val="en-US" w:eastAsia="zh-CN"/>
                    </w:rPr>
                    <w:t>8</w:t>
                  </w:r>
                  <w:r>
                    <w:rPr>
                      <w:rFonts w:hint="default"/>
                      <w:sz w:val="21"/>
                      <w:szCs w:val="21"/>
                      <w:highlight w:val="none"/>
                      <w:vertAlign w:val="baseline"/>
                      <w:lang w:val="en-US" w:eastAsia="zh-CN"/>
                    </w:rPr>
                    <w:t>J/h</w:t>
                  </w:r>
                  <w:r>
                    <w:rPr>
                      <w:rFonts w:hint="eastAsia"/>
                      <w:sz w:val="21"/>
                      <w:szCs w:val="21"/>
                      <w:highlight w:val="none"/>
                      <w:vertAlign w:val="baseline"/>
                      <w:lang w:val="en-US" w:eastAsia="zh-CN"/>
                    </w:rPr>
                    <w:t>）</w:t>
                  </w:r>
                </w:p>
              </w:tc>
              <w:tc>
                <w:tcPr>
                  <w:tcW w:w="1722" w:type="dxa"/>
                  <w:vAlign w:val="center"/>
                </w:tcPr>
                <w:p w14:paraId="2B5C1A38">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60" w:lineRule="auto"/>
                    <w:ind w:left="0" w:right="0"/>
                    <w:jc w:val="center"/>
                    <w:textAlignment w:val="auto"/>
                    <w:rPr>
                      <w:rFonts w:hint="eastAsia"/>
                      <w:sz w:val="21"/>
                      <w:szCs w:val="21"/>
                      <w:highlight w:val="none"/>
                      <w:vertAlign w:val="baseline"/>
                      <w:lang w:val="en-US" w:eastAsia="zh-CN"/>
                    </w:rPr>
                  </w:pPr>
                  <w:r>
                    <w:rPr>
                      <w:rFonts w:hint="default"/>
                      <w:sz w:val="21"/>
                      <w:szCs w:val="21"/>
                      <w:highlight w:val="none"/>
                      <w:vertAlign w:val="baseline"/>
                      <w:lang w:val="en-US" w:eastAsia="zh-CN"/>
                    </w:rPr>
                    <w:t>≥1.67</w:t>
                  </w:r>
                  <w:r>
                    <w:rPr>
                      <w:rFonts w:hint="eastAsia"/>
                      <w:sz w:val="21"/>
                      <w:szCs w:val="21"/>
                      <w:highlight w:val="none"/>
                      <w:vertAlign w:val="baseline"/>
                      <w:lang w:val="en-US" w:eastAsia="zh-CN"/>
                    </w:rPr>
                    <w:t>，</w:t>
                  </w:r>
                  <w:r>
                    <w:rPr>
                      <w:rFonts w:hint="default"/>
                      <w:sz w:val="21"/>
                      <w:szCs w:val="21"/>
                      <w:highlight w:val="none"/>
                      <w:vertAlign w:val="baseline"/>
                      <w:lang w:val="en-US" w:eastAsia="zh-CN"/>
                    </w:rPr>
                    <w:t>&lt;5.00</w:t>
                  </w:r>
                </w:p>
              </w:tc>
              <w:tc>
                <w:tcPr>
                  <w:tcW w:w="1612" w:type="dxa"/>
                  <w:vAlign w:val="center"/>
                </w:tcPr>
                <w:p w14:paraId="60FA18F3">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60" w:lineRule="auto"/>
                    <w:ind w:left="0" w:right="0"/>
                    <w:jc w:val="center"/>
                    <w:textAlignment w:val="auto"/>
                    <w:rPr>
                      <w:rFonts w:hint="eastAsia"/>
                      <w:sz w:val="21"/>
                      <w:szCs w:val="21"/>
                      <w:highlight w:val="none"/>
                      <w:vertAlign w:val="baseline"/>
                      <w:lang w:val="en-US" w:eastAsia="zh-CN"/>
                    </w:rPr>
                  </w:pPr>
                  <w:r>
                    <w:rPr>
                      <w:rFonts w:hint="default"/>
                      <w:sz w:val="21"/>
                      <w:szCs w:val="21"/>
                      <w:highlight w:val="none"/>
                      <w:vertAlign w:val="baseline"/>
                      <w:lang w:val="en-US" w:eastAsia="zh-CN"/>
                    </w:rPr>
                    <w:t>≥5.00</w:t>
                  </w:r>
                  <w:r>
                    <w:rPr>
                      <w:rFonts w:hint="eastAsia"/>
                      <w:sz w:val="21"/>
                      <w:szCs w:val="21"/>
                      <w:highlight w:val="none"/>
                      <w:vertAlign w:val="baseline"/>
                      <w:lang w:val="en-US" w:eastAsia="zh-CN"/>
                    </w:rPr>
                    <w:t>，</w:t>
                  </w:r>
                  <w:r>
                    <w:rPr>
                      <w:rFonts w:hint="default"/>
                      <w:sz w:val="21"/>
                      <w:szCs w:val="21"/>
                      <w:highlight w:val="none"/>
                      <w:vertAlign w:val="baseline"/>
                      <w:lang w:val="en-US" w:eastAsia="zh-CN"/>
                    </w:rPr>
                    <w:t>&lt;10</w:t>
                  </w:r>
                </w:p>
              </w:tc>
              <w:tc>
                <w:tcPr>
                  <w:tcW w:w="1435" w:type="dxa"/>
                  <w:vAlign w:val="center"/>
                </w:tcPr>
                <w:p w14:paraId="4A017F5E">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60" w:lineRule="auto"/>
                    <w:ind w:left="0" w:right="0"/>
                    <w:jc w:val="center"/>
                    <w:textAlignment w:val="auto"/>
                    <w:rPr>
                      <w:rFonts w:hint="eastAsia"/>
                      <w:sz w:val="21"/>
                      <w:szCs w:val="21"/>
                      <w:highlight w:val="none"/>
                      <w:vertAlign w:val="baseline"/>
                      <w:lang w:val="en-US" w:eastAsia="zh-CN"/>
                    </w:rPr>
                  </w:pPr>
                  <w:r>
                    <w:rPr>
                      <w:rFonts w:hint="default"/>
                      <w:sz w:val="21"/>
                      <w:szCs w:val="21"/>
                      <w:highlight w:val="none"/>
                      <w:vertAlign w:val="baseline"/>
                      <w:lang w:val="en-US" w:eastAsia="zh-CN"/>
                    </w:rPr>
                    <w:t>≥10</w:t>
                  </w:r>
                </w:p>
              </w:tc>
            </w:tr>
            <w:tr w14:paraId="61A372C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451" w:type="dxa"/>
                  <w:vAlign w:val="center"/>
                </w:tcPr>
                <w:p w14:paraId="7226A393">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60" w:lineRule="auto"/>
                    <w:ind w:left="0" w:right="0"/>
                    <w:jc w:val="center"/>
                    <w:textAlignment w:val="auto"/>
                    <w:rPr>
                      <w:rFonts w:hint="eastAsia"/>
                      <w:sz w:val="21"/>
                      <w:szCs w:val="21"/>
                      <w:highlight w:val="none"/>
                      <w:vertAlign w:val="baseline"/>
                      <w:lang w:val="en-US" w:eastAsia="zh-CN"/>
                    </w:rPr>
                  </w:pPr>
                  <w:r>
                    <w:rPr>
                      <w:rFonts w:hint="eastAsia"/>
                      <w:sz w:val="21"/>
                      <w:szCs w:val="21"/>
                      <w:highlight w:val="none"/>
                      <w:vertAlign w:val="baseline"/>
                      <w:lang w:val="en-US" w:eastAsia="zh-CN"/>
                    </w:rPr>
                    <w:t>对应排气罩灶面总投影面积（</w:t>
                  </w:r>
                  <w:r>
                    <w:rPr>
                      <w:rFonts w:hint="default"/>
                      <w:sz w:val="21"/>
                      <w:szCs w:val="21"/>
                      <w:highlight w:val="none"/>
                      <w:vertAlign w:val="baseline"/>
                      <w:lang w:val="en-US" w:eastAsia="zh-CN"/>
                    </w:rPr>
                    <w:t>m</w:t>
                  </w:r>
                  <w:r>
                    <w:rPr>
                      <w:rFonts w:hint="default"/>
                      <w:sz w:val="21"/>
                      <w:szCs w:val="21"/>
                      <w:highlight w:val="none"/>
                      <w:vertAlign w:val="superscript"/>
                      <w:lang w:val="en-US" w:eastAsia="zh-CN"/>
                    </w:rPr>
                    <w:t>2</w:t>
                  </w:r>
                  <w:r>
                    <w:rPr>
                      <w:rFonts w:hint="eastAsia"/>
                      <w:sz w:val="21"/>
                      <w:szCs w:val="21"/>
                      <w:highlight w:val="none"/>
                      <w:vertAlign w:val="baseline"/>
                      <w:lang w:val="en-US" w:eastAsia="zh-CN"/>
                    </w:rPr>
                    <w:t>）</w:t>
                  </w:r>
                </w:p>
              </w:tc>
              <w:tc>
                <w:tcPr>
                  <w:tcW w:w="1722" w:type="dxa"/>
                  <w:vAlign w:val="center"/>
                </w:tcPr>
                <w:p w14:paraId="35BB3FFF">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60" w:lineRule="auto"/>
                    <w:ind w:left="0" w:right="0"/>
                    <w:jc w:val="center"/>
                    <w:textAlignment w:val="auto"/>
                    <w:rPr>
                      <w:rFonts w:hint="eastAsia"/>
                      <w:sz w:val="21"/>
                      <w:szCs w:val="21"/>
                      <w:highlight w:val="none"/>
                      <w:vertAlign w:val="baseline"/>
                      <w:lang w:val="en-US" w:eastAsia="zh-CN"/>
                    </w:rPr>
                  </w:pPr>
                  <w:r>
                    <w:rPr>
                      <w:rFonts w:hint="default"/>
                      <w:sz w:val="21"/>
                      <w:szCs w:val="21"/>
                      <w:highlight w:val="none"/>
                      <w:vertAlign w:val="baseline"/>
                      <w:lang w:val="en-US" w:eastAsia="zh-CN"/>
                    </w:rPr>
                    <w:t>≥1.1</w:t>
                  </w:r>
                  <w:r>
                    <w:rPr>
                      <w:rFonts w:hint="eastAsia"/>
                      <w:sz w:val="21"/>
                      <w:szCs w:val="21"/>
                      <w:highlight w:val="none"/>
                      <w:vertAlign w:val="baseline"/>
                      <w:lang w:val="en-US" w:eastAsia="zh-CN"/>
                    </w:rPr>
                    <w:t>，</w:t>
                  </w:r>
                  <w:r>
                    <w:rPr>
                      <w:rFonts w:hint="default"/>
                      <w:sz w:val="21"/>
                      <w:szCs w:val="21"/>
                      <w:highlight w:val="none"/>
                      <w:vertAlign w:val="baseline"/>
                      <w:lang w:val="en-US" w:eastAsia="zh-CN"/>
                    </w:rPr>
                    <w:t>&lt;3.3</w:t>
                  </w:r>
                </w:p>
              </w:tc>
              <w:tc>
                <w:tcPr>
                  <w:tcW w:w="1612" w:type="dxa"/>
                  <w:vAlign w:val="center"/>
                </w:tcPr>
                <w:p w14:paraId="35C339CE">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60" w:lineRule="auto"/>
                    <w:ind w:left="0" w:right="0"/>
                    <w:jc w:val="center"/>
                    <w:textAlignment w:val="auto"/>
                    <w:rPr>
                      <w:rFonts w:hint="eastAsia"/>
                      <w:sz w:val="21"/>
                      <w:szCs w:val="21"/>
                      <w:highlight w:val="none"/>
                      <w:vertAlign w:val="baseline"/>
                      <w:lang w:val="en-US" w:eastAsia="zh-CN"/>
                    </w:rPr>
                  </w:pPr>
                  <w:r>
                    <w:rPr>
                      <w:rFonts w:hint="default"/>
                      <w:sz w:val="21"/>
                      <w:szCs w:val="21"/>
                      <w:highlight w:val="none"/>
                      <w:vertAlign w:val="baseline"/>
                      <w:lang w:val="en-US" w:eastAsia="zh-CN"/>
                    </w:rPr>
                    <w:t>≥3.3</w:t>
                  </w:r>
                  <w:r>
                    <w:rPr>
                      <w:rFonts w:hint="eastAsia"/>
                      <w:sz w:val="21"/>
                      <w:szCs w:val="21"/>
                      <w:highlight w:val="none"/>
                      <w:vertAlign w:val="baseline"/>
                      <w:lang w:val="en-US" w:eastAsia="zh-CN"/>
                    </w:rPr>
                    <w:t>，</w:t>
                  </w:r>
                  <w:r>
                    <w:rPr>
                      <w:rFonts w:hint="default"/>
                      <w:sz w:val="21"/>
                      <w:szCs w:val="21"/>
                      <w:highlight w:val="none"/>
                      <w:vertAlign w:val="baseline"/>
                      <w:lang w:val="en-US" w:eastAsia="zh-CN"/>
                    </w:rPr>
                    <w:t>&lt;6.6</w:t>
                  </w:r>
                </w:p>
              </w:tc>
              <w:tc>
                <w:tcPr>
                  <w:tcW w:w="1435" w:type="dxa"/>
                  <w:vAlign w:val="center"/>
                </w:tcPr>
                <w:p w14:paraId="0A62075E">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60" w:lineRule="auto"/>
                    <w:ind w:left="0" w:right="0"/>
                    <w:jc w:val="center"/>
                    <w:textAlignment w:val="auto"/>
                    <w:rPr>
                      <w:rFonts w:hint="eastAsia"/>
                      <w:sz w:val="21"/>
                      <w:szCs w:val="21"/>
                      <w:highlight w:val="none"/>
                      <w:vertAlign w:val="baseline"/>
                      <w:lang w:val="en-US" w:eastAsia="zh-CN"/>
                    </w:rPr>
                  </w:pPr>
                  <w:r>
                    <w:rPr>
                      <w:rFonts w:hint="default"/>
                      <w:sz w:val="21"/>
                      <w:szCs w:val="21"/>
                      <w:highlight w:val="none"/>
                      <w:vertAlign w:val="baseline"/>
                      <w:lang w:val="en-US" w:eastAsia="zh-CN"/>
                    </w:rPr>
                    <w:t>≥6.6</w:t>
                  </w:r>
                </w:p>
              </w:tc>
            </w:tr>
            <w:tr w14:paraId="3D38D03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451" w:type="dxa"/>
                  <w:vAlign w:val="center"/>
                </w:tcPr>
                <w:p w14:paraId="313BF84D">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60" w:lineRule="auto"/>
                    <w:ind w:left="0" w:right="0"/>
                    <w:jc w:val="center"/>
                    <w:textAlignment w:val="auto"/>
                    <w:rPr>
                      <w:rFonts w:hint="eastAsia"/>
                      <w:sz w:val="21"/>
                      <w:szCs w:val="21"/>
                      <w:highlight w:val="none"/>
                      <w:vertAlign w:val="baseline"/>
                      <w:lang w:val="en-US" w:eastAsia="zh-CN"/>
                    </w:rPr>
                  </w:pPr>
                  <w:r>
                    <w:rPr>
                      <w:rFonts w:hint="eastAsia"/>
                      <w:sz w:val="21"/>
                      <w:szCs w:val="21"/>
                      <w:highlight w:val="none"/>
                      <w:vertAlign w:val="baseline"/>
                      <w:lang w:val="en-US" w:eastAsia="zh-CN"/>
                    </w:rPr>
                    <w:t>最高允许排放浓度（</w:t>
                  </w:r>
                  <w:r>
                    <w:rPr>
                      <w:rFonts w:hint="default"/>
                      <w:sz w:val="21"/>
                      <w:szCs w:val="21"/>
                      <w:highlight w:val="none"/>
                      <w:vertAlign w:val="baseline"/>
                      <w:lang w:val="en-US" w:eastAsia="zh-CN"/>
                    </w:rPr>
                    <w:t>mg/m</w:t>
                  </w:r>
                  <w:r>
                    <w:rPr>
                      <w:rFonts w:hint="default"/>
                      <w:sz w:val="21"/>
                      <w:szCs w:val="21"/>
                      <w:highlight w:val="none"/>
                      <w:vertAlign w:val="superscript"/>
                      <w:lang w:val="en-US" w:eastAsia="zh-CN"/>
                    </w:rPr>
                    <w:t>3</w:t>
                  </w:r>
                  <w:r>
                    <w:rPr>
                      <w:rFonts w:hint="eastAsia"/>
                      <w:sz w:val="21"/>
                      <w:szCs w:val="21"/>
                      <w:highlight w:val="none"/>
                      <w:vertAlign w:val="baseline"/>
                      <w:lang w:val="en-US" w:eastAsia="zh-CN"/>
                    </w:rPr>
                    <w:t>）</w:t>
                  </w:r>
                </w:p>
              </w:tc>
              <w:tc>
                <w:tcPr>
                  <w:tcW w:w="4769" w:type="dxa"/>
                  <w:gridSpan w:val="3"/>
                  <w:vAlign w:val="center"/>
                </w:tcPr>
                <w:p w14:paraId="4133856F">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60" w:lineRule="auto"/>
                    <w:ind w:left="0" w:right="0"/>
                    <w:jc w:val="center"/>
                    <w:textAlignment w:val="auto"/>
                    <w:rPr>
                      <w:rFonts w:hint="default"/>
                      <w:sz w:val="21"/>
                      <w:szCs w:val="21"/>
                      <w:highlight w:val="none"/>
                      <w:vertAlign w:val="baseline"/>
                      <w:lang w:val="en-US" w:eastAsia="zh-CN"/>
                    </w:rPr>
                  </w:pPr>
                  <w:r>
                    <w:rPr>
                      <w:rFonts w:hint="eastAsia"/>
                      <w:b/>
                      <w:bCs/>
                      <w:sz w:val="21"/>
                      <w:szCs w:val="21"/>
                      <w:highlight w:val="none"/>
                      <w:vertAlign w:val="baseline"/>
                      <w:lang w:val="en-US" w:eastAsia="zh-CN"/>
                    </w:rPr>
                    <w:t>2.0</w:t>
                  </w:r>
                </w:p>
              </w:tc>
            </w:tr>
            <w:tr w14:paraId="34934CA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451" w:type="dxa"/>
                  <w:vAlign w:val="center"/>
                </w:tcPr>
                <w:p w14:paraId="12AA3F58">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60" w:lineRule="auto"/>
                    <w:ind w:left="0" w:right="0"/>
                    <w:jc w:val="center"/>
                    <w:textAlignment w:val="auto"/>
                    <w:rPr>
                      <w:rFonts w:hint="eastAsia"/>
                      <w:sz w:val="21"/>
                      <w:szCs w:val="21"/>
                      <w:highlight w:val="none"/>
                      <w:vertAlign w:val="baseline"/>
                      <w:lang w:val="en-US" w:eastAsia="zh-CN"/>
                    </w:rPr>
                  </w:pPr>
                  <w:r>
                    <w:rPr>
                      <w:rFonts w:hint="eastAsia"/>
                      <w:sz w:val="21"/>
                      <w:szCs w:val="21"/>
                      <w:highlight w:val="none"/>
                      <w:vertAlign w:val="baseline"/>
                      <w:lang w:val="en-US" w:eastAsia="zh-CN"/>
                    </w:rPr>
                    <w:t>净化设备最低去除率（</w:t>
                  </w:r>
                  <w:r>
                    <w:rPr>
                      <w:rFonts w:hint="default"/>
                      <w:sz w:val="21"/>
                      <w:szCs w:val="21"/>
                      <w:highlight w:val="none"/>
                      <w:vertAlign w:val="baseline"/>
                      <w:lang w:val="en-US" w:eastAsia="zh-CN"/>
                    </w:rPr>
                    <w:t>%</w:t>
                  </w:r>
                  <w:r>
                    <w:rPr>
                      <w:rFonts w:hint="eastAsia"/>
                      <w:sz w:val="21"/>
                      <w:szCs w:val="21"/>
                      <w:highlight w:val="none"/>
                      <w:vertAlign w:val="baseline"/>
                      <w:lang w:val="en-US" w:eastAsia="zh-CN"/>
                    </w:rPr>
                    <w:t>）</w:t>
                  </w:r>
                </w:p>
              </w:tc>
              <w:tc>
                <w:tcPr>
                  <w:tcW w:w="1722" w:type="dxa"/>
                  <w:vAlign w:val="center"/>
                </w:tcPr>
                <w:p w14:paraId="47860AA7">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60" w:lineRule="auto"/>
                    <w:ind w:left="0" w:right="0"/>
                    <w:jc w:val="center"/>
                    <w:textAlignment w:val="auto"/>
                    <w:rPr>
                      <w:rFonts w:hint="default"/>
                      <w:sz w:val="21"/>
                      <w:szCs w:val="21"/>
                      <w:highlight w:val="none"/>
                      <w:vertAlign w:val="baseline"/>
                      <w:lang w:val="en-US" w:eastAsia="zh-CN"/>
                    </w:rPr>
                  </w:pPr>
                  <w:r>
                    <w:rPr>
                      <w:rFonts w:hint="eastAsia"/>
                      <w:sz w:val="21"/>
                      <w:szCs w:val="21"/>
                      <w:highlight w:val="none"/>
                      <w:vertAlign w:val="baseline"/>
                      <w:lang w:val="en-US" w:eastAsia="zh-CN"/>
                    </w:rPr>
                    <w:t>60</w:t>
                  </w:r>
                </w:p>
              </w:tc>
              <w:tc>
                <w:tcPr>
                  <w:tcW w:w="1612" w:type="dxa"/>
                  <w:vAlign w:val="center"/>
                </w:tcPr>
                <w:p w14:paraId="7B2D21E5">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60" w:lineRule="auto"/>
                    <w:ind w:left="0" w:right="0"/>
                    <w:jc w:val="center"/>
                    <w:textAlignment w:val="auto"/>
                    <w:rPr>
                      <w:rFonts w:hint="default"/>
                      <w:sz w:val="21"/>
                      <w:szCs w:val="21"/>
                      <w:highlight w:val="none"/>
                      <w:vertAlign w:val="baseline"/>
                      <w:lang w:val="en-US" w:eastAsia="zh-CN"/>
                    </w:rPr>
                  </w:pPr>
                  <w:r>
                    <w:rPr>
                      <w:rFonts w:hint="eastAsia"/>
                      <w:b w:val="0"/>
                      <w:bCs w:val="0"/>
                      <w:sz w:val="21"/>
                      <w:szCs w:val="21"/>
                      <w:highlight w:val="none"/>
                      <w:vertAlign w:val="baseline"/>
                      <w:lang w:val="en-US" w:eastAsia="zh-CN"/>
                    </w:rPr>
                    <w:t>75</w:t>
                  </w:r>
                </w:p>
              </w:tc>
              <w:tc>
                <w:tcPr>
                  <w:tcW w:w="1435" w:type="dxa"/>
                  <w:vAlign w:val="center"/>
                </w:tcPr>
                <w:p w14:paraId="00C8D100">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60" w:lineRule="auto"/>
                    <w:ind w:left="0" w:right="0"/>
                    <w:jc w:val="center"/>
                    <w:textAlignment w:val="auto"/>
                    <w:rPr>
                      <w:rFonts w:hint="default"/>
                      <w:sz w:val="21"/>
                      <w:szCs w:val="21"/>
                      <w:highlight w:val="none"/>
                      <w:vertAlign w:val="baseline"/>
                      <w:lang w:val="en-US" w:eastAsia="zh-CN"/>
                    </w:rPr>
                  </w:pPr>
                  <w:r>
                    <w:rPr>
                      <w:rFonts w:hint="eastAsia"/>
                      <w:b/>
                      <w:bCs/>
                      <w:sz w:val="21"/>
                      <w:szCs w:val="21"/>
                      <w:highlight w:val="none"/>
                      <w:vertAlign w:val="baseline"/>
                      <w:lang w:val="en-US" w:eastAsia="zh-CN"/>
                    </w:rPr>
                    <w:t>85</w:t>
                  </w:r>
                </w:p>
              </w:tc>
            </w:tr>
          </w:tbl>
          <w:p w14:paraId="764DF9B5">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firstLine="422" w:firstLineChars="200"/>
              <w:textAlignment w:val="auto"/>
              <w:rPr>
                <w:rFonts w:hint="eastAsia"/>
                <w:b/>
                <w:bCs/>
                <w:sz w:val="21"/>
                <w:szCs w:val="21"/>
                <w:highlight w:val="none"/>
              </w:rPr>
            </w:pPr>
            <w:r>
              <w:rPr>
                <w:rFonts w:hint="eastAsia"/>
                <w:b/>
                <w:bCs/>
                <w:sz w:val="21"/>
                <w:szCs w:val="21"/>
                <w:highlight w:val="none"/>
              </w:rPr>
              <w:t>注：单个灶头基准排风量：大、中、小型均为2000m</w:t>
            </w:r>
            <w:r>
              <w:rPr>
                <w:rFonts w:hint="eastAsia"/>
                <w:b/>
                <w:bCs/>
                <w:sz w:val="21"/>
                <w:szCs w:val="21"/>
                <w:highlight w:val="none"/>
                <w:vertAlign w:val="superscript"/>
              </w:rPr>
              <w:t>3</w:t>
            </w:r>
            <w:r>
              <w:rPr>
                <w:rFonts w:hint="eastAsia"/>
                <w:b/>
                <w:bCs/>
                <w:sz w:val="21"/>
                <w:szCs w:val="21"/>
                <w:highlight w:val="none"/>
              </w:rPr>
              <w:t>/h。</w:t>
            </w:r>
          </w:p>
          <w:p w14:paraId="33C8EA78">
            <w:pPr>
              <w:keepNext w:val="0"/>
              <w:keepLines w:val="0"/>
              <w:suppressLineNumbers w:val="0"/>
              <w:tabs>
                <w:tab w:val="left" w:pos="2625"/>
              </w:tabs>
              <w:adjustRightInd w:val="0"/>
              <w:snapToGrid w:val="0"/>
              <w:spacing w:before="0" w:beforeAutospacing="0" w:after="0" w:afterAutospacing="0" w:line="360" w:lineRule="auto"/>
              <w:ind w:left="0" w:right="0"/>
              <w:rPr>
                <w:rFonts w:hint="default" w:hAnsi="宋体"/>
                <w:b/>
                <w:kern w:val="0"/>
                <w:highlight w:val="none"/>
              </w:rPr>
            </w:pPr>
            <w:r>
              <w:rPr>
                <w:rFonts w:hint="default" w:hAnsi="宋体"/>
                <w:b/>
                <w:kern w:val="0"/>
                <w:highlight w:val="none"/>
              </w:rPr>
              <w:t>3</w:t>
            </w:r>
            <w:r>
              <w:rPr>
                <w:rFonts w:hint="eastAsia" w:hAnsi="宋体"/>
                <w:b/>
                <w:kern w:val="0"/>
                <w:highlight w:val="none"/>
              </w:rPr>
              <w:t>、噪声</w:t>
            </w:r>
          </w:p>
          <w:p w14:paraId="5C90DF0E">
            <w:pPr>
              <w:keepNext w:val="0"/>
              <w:keepLines w:val="0"/>
              <w:suppressLineNumbers w:val="0"/>
              <w:tabs>
                <w:tab w:val="left" w:pos="2625"/>
              </w:tabs>
              <w:adjustRightInd w:val="0"/>
              <w:snapToGrid w:val="0"/>
              <w:spacing w:before="0" w:beforeAutospacing="0" w:after="0" w:afterAutospacing="0" w:line="360" w:lineRule="auto"/>
              <w:ind w:left="0" w:right="0" w:firstLine="480" w:firstLineChars="200"/>
              <w:rPr>
                <w:rFonts w:hint="eastAsia" w:ascii="Times New Roman" w:hAnsi="Times New Roman" w:eastAsia="宋体" w:cs="Times New Roman"/>
                <w:color w:val="auto"/>
                <w:kern w:val="0"/>
                <w:highlight w:val="none"/>
                <w:lang w:val="en-US" w:eastAsia="zh-CN"/>
              </w:rPr>
            </w:pPr>
            <w:r>
              <w:rPr>
                <w:rFonts w:hint="eastAsia" w:ascii="Times New Roman" w:hAnsi="Times New Roman" w:eastAsia="宋体" w:cs="Times New Roman"/>
                <w:color w:val="auto"/>
                <w:kern w:val="0"/>
                <w:highlight w:val="none"/>
                <w:lang w:val="en-US" w:eastAsia="zh-CN"/>
              </w:rPr>
              <w:t>（1）施工期噪声</w:t>
            </w:r>
          </w:p>
          <w:p w14:paraId="39FD790F">
            <w:pPr>
              <w:keepNext w:val="0"/>
              <w:keepLines w:val="0"/>
              <w:suppressLineNumbers w:val="0"/>
              <w:tabs>
                <w:tab w:val="left" w:pos="2625"/>
              </w:tabs>
              <w:adjustRightInd w:val="0"/>
              <w:snapToGrid w:val="0"/>
              <w:spacing w:before="0" w:beforeAutospacing="0" w:after="0" w:afterAutospacing="0" w:line="360" w:lineRule="auto"/>
              <w:ind w:left="0" w:right="0" w:firstLine="480" w:firstLineChars="200"/>
              <w:rPr>
                <w:rFonts w:hint="eastAsia" w:ascii="Times New Roman" w:hAnsi="Times New Roman" w:eastAsia="宋体" w:cs="Times New Roman"/>
                <w:color w:val="auto"/>
                <w:kern w:val="0"/>
                <w:highlight w:val="none"/>
                <w:lang w:val="en-US" w:eastAsia="zh-CN"/>
              </w:rPr>
            </w:pPr>
            <w:r>
              <w:rPr>
                <w:rFonts w:hint="eastAsia" w:ascii="Times New Roman" w:hAnsi="Times New Roman" w:eastAsia="宋体" w:cs="Times New Roman"/>
                <w:color w:val="auto"/>
                <w:kern w:val="0"/>
                <w:highlight w:val="none"/>
                <w:lang w:val="en-US" w:eastAsia="zh-CN"/>
              </w:rPr>
              <w:t>项目施工期</w:t>
            </w:r>
            <w:r>
              <w:rPr>
                <w:rFonts w:hint="eastAsia" w:cs="Times New Roman"/>
                <w:color w:val="auto"/>
                <w:kern w:val="0"/>
                <w:highlight w:val="none"/>
                <w:lang w:val="en-US" w:eastAsia="zh-CN"/>
              </w:rPr>
              <w:t>厂界</w:t>
            </w:r>
            <w:r>
              <w:rPr>
                <w:rFonts w:hint="eastAsia" w:ascii="Times New Roman" w:hAnsi="Times New Roman" w:eastAsia="宋体" w:cs="Times New Roman"/>
                <w:color w:val="auto"/>
                <w:kern w:val="0"/>
                <w:highlight w:val="none"/>
                <w:lang w:val="en-US" w:eastAsia="zh-CN"/>
              </w:rPr>
              <w:t>噪声执行《建筑施工场界环境噪声排放标准》（GB12523-2011）中的噪声限值标准，具体见表3-</w:t>
            </w:r>
            <w:r>
              <w:rPr>
                <w:rFonts w:hint="eastAsia" w:cs="Times New Roman"/>
                <w:color w:val="auto"/>
                <w:kern w:val="0"/>
                <w:highlight w:val="none"/>
                <w:lang w:val="en-US" w:eastAsia="zh-CN"/>
              </w:rPr>
              <w:t>12</w:t>
            </w:r>
            <w:r>
              <w:rPr>
                <w:rFonts w:hint="eastAsia" w:ascii="Times New Roman" w:hAnsi="Times New Roman" w:eastAsia="宋体" w:cs="Times New Roman"/>
                <w:color w:val="auto"/>
                <w:kern w:val="0"/>
                <w:highlight w:val="none"/>
                <w:lang w:val="en-US" w:eastAsia="zh-CN"/>
              </w:rPr>
              <w:t>。</w:t>
            </w:r>
          </w:p>
          <w:p w14:paraId="44321D5D">
            <w:pPr>
              <w:keepNext w:val="0"/>
              <w:keepLines w:val="0"/>
              <w:suppressLineNumbers w:val="0"/>
              <w:tabs>
                <w:tab w:val="left" w:pos="2625"/>
              </w:tabs>
              <w:adjustRightInd w:val="0"/>
              <w:snapToGrid w:val="0"/>
              <w:spacing w:before="0" w:beforeAutospacing="0" w:after="0" w:afterAutospacing="0" w:line="360" w:lineRule="auto"/>
              <w:ind w:left="0" w:right="0"/>
              <w:jc w:val="center"/>
              <w:rPr>
                <w:rFonts w:hint="eastAsia" w:ascii="Times New Roman" w:hAnsi="Times New Roman" w:eastAsia="宋体" w:cs="Times New Roman"/>
                <w:b/>
                <w:color w:val="auto"/>
                <w:kern w:val="0"/>
                <w:highlight w:val="none"/>
                <w:lang w:val="en-US" w:eastAsia="zh-CN"/>
              </w:rPr>
            </w:pPr>
            <w:r>
              <w:rPr>
                <w:rFonts w:hint="eastAsia" w:ascii="Times New Roman" w:hAnsi="Times New Roman" w:eastAsia="宋体" w:cs="Times New Roman"/>
                <w:b/>
                <w:color w:val="auto"/>
                <w:kern w:val="0"/>
                <w:highlight w:val="none"/>
                <w:lang w:val="en-US" w:eastAsia="zh-CN"/>
              </w:rPr>
              <w:t>表3-</w:t>
            </w:r>
            <w:r>
              <w:rPr>
                <w:rFonts w:hint="eastAsia" w:cs="Times New Roman"/>
                <w:b/>
                <w:color w:val="auto"/>
                <w:kern w:val="0"/>
                <w:highlight w:val="none"/>
                <w:lang w:val="en-US" w:eastAsia="zh-CN"/>
              </w:rPr>
              <w:t xml:space="preserve">12 </w:t>
            </w:r>
            <w:r>
              <w:rPr>
                <w:rFonts w:hint="default" w:ascii="Times New Roman" w:hAnsi="Times New Roman" w:eastAsia="宋体" w:cs="Times New Roman"/>
                <w:b/>
                <w:color w:val="auto"/>
                <w:kern w:val="0"/>
                <w:highlight w:val="none"/>
                <w:lang w:val="en-US" w:eastAsia="zh-CN"/>
              </w:rPr>
              <w:t>建筑施工场界环境噪声排放</w:t>
            </w:r>
            <w:r>
              <w:rPr>
                <w:rFonts w:hint="eastAsia" w:cs="Times New Roman"/>
                <w:b/>
                <w:color w:val="auto"/>
                <w:kern w:val="0"/>
                <w:highlight w:val="none"/>
                <w:lang w:val="en-US" w:eastAsia="zh-CN"/>
              </w:rPr>
              <w:t xml:space="preserve">限值  </w:t>
            </w:r>
            <w:r>
              <w:rPr>
                <w:rFonts w:hint="default" w:ascii="Times New Roman" w:hAnsi="Times New Roman" w:eastAsia="宋体" w:cs="Times New Roman"/>
                <w:b/>
                <w:color w:val="auto"/>
                <w:kern w:val="0"/>
                <w:highlight w:val="none"/>
                <w:lang w:val="en-US" w:eastAsia="zh-CN"/>
              </w:rPr>
              <w:t>单位：dB（A）</w:t>
            </w:r>
          </w:p>
          <w:tbl>
            <w:tblPr>
              <w:tblStyle w:val="33"/>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4110"/>
              <w:gridCol w:w="4110"/>
            </w:tblGrid>
            <w:tr w14:paraId="6785CB4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110" w:type="dxa"/>
                  <w:vAlign w:val="center"/>
                </w:tcPr>
                <w:p w14:paraId="4F002345">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60" w:lineRule="auto"/>
                    <w:ind w:left="0" w:right="0"/>
                    <w:jc w:val="center"/>
                    <w:textAlignment w:val="auto"/>
                    <w:rPr>
                      <w:rFonts w:hint="default" w:ascii="Times New Roman" w:hAnsi="Times New Roman" w:eastAsia="宋体" w:cs="Times New Roman"/>
                      <w:sz w:val="21"/>
                      <w:szCs w:val="21"/>
                      <w:highlight w:val="none"/>
                      <w:vertAlign w:val="baseline"/>
                      <w:lang w:val="en-US" w:eastAsia="zh-CN"/>
                    </w:rPr>
                  </w:pPr>
                  <w:r>
                    <w:rPr>
                      <w:rFonts w:hint="eastAsia" w:ascii="Times New Roman" w:hAnsi="Times New Roman" w:eastAsia="宋体" w:cs="Times New Roman"/>
                      <w:sz w:val="21"/>
                      <w:szCs w:val="21"/>
                      <w:highlight w:val="none"/>
                      <w:vertAlign w:val="baseline"/>
                      <w:lang w:val="en-US" w:eastAsia="zh-CN"/>
                    </w:rPr>
                    <w:t>昼间</w:t>
                  </w:r>
                </w:p>
              </w:tc>
              <w:tc>
                <w:tcPr>
                  <w:tcW w:w="4110" w:type="dxa"/>
                  <w:vAlign w:val="center"/>
                </w:tcPr>
                <w:p w14:paraId="2276DED4">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60" w:lineRule="auto"/>
                    <w:ind w:left="0" w:right="0"/>
                    <w:jc w:val="center"/>
                    <w:textAlignment w:val="auto"/>
                    <w:rPr>
                      <w:rFonts w:hint="default" w:ascii="Times New Roman" w:hAnsi="Times New Roman" w:eastAsia="宋体" w:cs="Times New Roman"/>
                      <w:sz w:val="21"/>
                      <w:szCs w:val="21"/>
                      <w:highlight w:val="none"/>
                      <w:vertAlign w:val="baseline"/>
                      <w:lang w:val="en-US" w:eastAsia="zh-CN"/>
                    </w:rPr>
                  </w:pPr>
                  <w:r>
                    <w:rPr>
                      <w:rFonts w:hint="eastAsia" w:ascii="Times New Roman" w:hAnsi="Times New Roman" w:eastAsia="宋体" w:cs="Times New Roman"/>
                      <w:sz w:val="21"/>
                      <w:szCs w:val="21"/>
                      <w:highlight w:val="none"/>
                      <w:vertAlign w:val="baseline"/>
                      <w:lang w:val="en-US" w:eastAsia="zh-CN"/>
                    </w:rPr>
                    <w:t>夜间</w:t>
                  </w:r>
                </w:p>
              </w:tc>
            </w:tr>
            <w:tr w14:paraId="204EC89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110" w:type="dxa"/>
                  <w:vAlign w:val="center"/>
                </w:tcPr>
                <w:p w14:paraId="11C45283">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60" w:lineRule="auto"/>
                    <w:ind w:left="0" w:right="0"/>
                    <w:jc w:val="center"/>
                    <w:textAlignment w:val="auto"/>
                    <w:rPr>
                      <w:rFonts w:hint="default" w:ascii="Times New Roman" w:hAnsi="Times New Roman" w:eastAsia="宋体" w:cs="Times New Roman"/>
                      <w:sz w:val="21"/>
                      <w:szCs w:val="21"/>
                      <w:highlight w:val="none"/>
                      <w:vertAlign w:val="baseline"/>
                      <w:lang w:val="en-US" w:eastAsia="zh-CN"/>
                    </w:rPr>
                  </w:pPr>
                  <w:r>
                    <w:rPr>
                      <w:rFonts w:hint="eastAsia" w:ascii="Times New Roman" w:hAnsi="Times New Roman" w:eastAsia="宋体" w:cs="Times New Roman"/>
                      <w:sz w:val="21"/>
                      <w:szCs w:val="21"/>
                      <w:highlight w:val="none"/>
                      <w:vertAlign w:val="baseline"/>
                      <w:lang w:val="en-US" w:eastAsia="zh-CN"/>
                    </w:rPr>
                    <w:t>70</w:t>
                  </w:r>
                </w:p>
              </w:tc>
              <w:tc>
                <w:tcPr>
                  <w:tcW w:w="4110" w:type="dxa"/>
                  <w:vAlign w:val="center"/>
                </w:tcPr>
                <w:p w14:paraId="5DBFD016">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60" w:lineRule="auto"/>
                    <w:ind w:left="0" w:right="0"/>
                    <w:jc w:val="center"/>
                    <w:textAlignment w:val="auto"/>
                    <w:rPr>
                      <w:rFonts w:hint="default" w:ascii="Times New Roman" w:hAnsi="Times New Roman" w:eastAsia="宋体" w:cs="Times New Roman"/>
                      <w:sz w:val="21"/>
                      <w:szCs w:val="21"/>
                      <w:highlight w:val="none"/>
                      <w:vertAlign w:val="baseline"/>
                      <w:lang w:val="en-US" w:eastAsia="zh-CN"/>
                    </w:rPr>
                  </w:pPr>
                  <w:r>
                    <w:rPr>
                      <w:rFonts w:hint="eastAsia" w:ascii="Times New Roman" w:hAnsi="Times New Roman" w:eastAsia="宋体" w:cs="Times New Roman"/>
                      <w:sz w:val="21"/>
                      <w:szCs w:val="21"/>
                      <w:highlight w:val="none"/>
                      <w:vertAlign w:val="baseline"/>
                      <w:lang w:val="en-US" w:eastAsia="zh-CN"/>
                    </w:rPr>
                    <w:t>55</w:t>
                  </w:r>
                </w:p>
              </w:tc>
            </w:tr>
          </w:tbl>
          <w:p w14:paraId="133413A8">
            <w:pPr>
              <w:keepNext w:val="0"/>
              <w:keepLines w:val="0"/>
              <w:suppressLineNumbers w:val="0"/>
              <w:tabs>
                <w:tab w:val="left" w:pos="2625"/>
              </w:tabs>
              <w:adjustRightInd w:val="0"/>
              <w:snapToGrid w:val="0"/>
              <w:spacing w:before="0" w:beforeAutospacing="0" w:after="0" w:afterAutospacing="0" w:line="360" w:lineRule="auto"/>
              <w:ind w:left="0" w:right="0" w:firstLine="480" w:firstLineChars="200"/>
              <w:rPr>
                <w:rFonts w:hint="eastAsia" w:ascii="Times New Roman" w:hAnsi="Times New Roman" w:eastAsia="宋体" w:cs="Times New Roman"/>
                <w:color w:val="auto"/>
                <w:kern w:val="0"/>
                <w:highlight w:val="none"/>
                <w:lang w:val="en-US" w:eastAsia="zh-CN"/>
              </w:rPr>
            </w:pPr>
            <w:r>
              <w:rPr>
                <w:rFonts w:hint="eastAsia" w:ascii="Times New Roman" w:hAnsi="Times New Roman" w:eastAsia="宋体" w:cs="Times New Roman"/>
                <w:color w:val="auto"/>
                <w:kern w:val="0"/>
                <w:highlight w:val="none"/>
                <w:lang w:val="en-US" w:eastAsia="zh-CN"/>
              </w:rPr>
              <w:t>（2</w:t>
            </w:r>
            <w:r>
              <w:rPr>
                <w:rFonts w:hint="default" w:ascii="Times New Roman" w:hAnsi="Times New Roman" w:eastAsia="宋体" w:cs="Times New Roman"/>
                <w:color w:val="auto"/>
                <w:kern w:val="0"/>
                <w:highlight w:val="none"/>
                <w:lang w:val="en-US" w:eastAsia="zh-CN"/>
              </w:rPr>
              <w:t>）运营期噪声</w:t>
            </w:r>
          </w:p>
          <w:p w14:paraId="5A2CDF85">
            <w:pPr>
              <w:keepNext w:val="0"/>
              <w:keepLines w:val="0"/>
              <w:suppressLineNumbers w:val="0"/>
              <w:tabs>
                <w:tab w:val="left" w:pos="2625"/>
              </w:tabs>
              <w:adjustRightInd w:val="0"/>
              <w:snapToGrid w:val="0"/>
              <w:spacing w:before="0" w:beforeAutospacing="0" w:after="0" w:afterAutospacing="0" w:line="360" w:lineRule="auto"/>
              <w:ind w:left="0" w:right="0" w:firstLine="480" w:firstLineChars="200"/>
              <w:rPr>
                <w:rFonts w:hint="eastAsia" w:ascii="Times New Roman" w:hAnsi="Times New Roman" w:eastAsia="宋体" w:cs="Times New Roman"/>
                <w:color w:val="auto"/>
                <w:kern w:val="0"/>
                <w:highlight w:val="none"/>
                <w:lang w:val="en-US" w:eastAsia="zh-CN"/>
              </w:rPr>
            </w:pPr>
            <w:r>
              <w:rPr>
                <w:rFonts w:hint="eastAsia"/>
                <w:sz w:val="24"/>
                <w:highlight w:val="none"/>
              </w:rPr>
              <w:t>项目</w:t>
            </w:r>
            <w:r>
              <w:rPr>
                <w:rFonts w:hint="eastAsia"/>
                <w:sz w:val="24"/>
                <w:highlight w:val="none"/>
                <w:lang w:val="en-US" w:eastAsia="zh-CN"/>
              </w:rPr>
              <w:t>东侧、北侧厂界四周</w:t>
            </w:r>
            <w:r>
              <w:rPr>
                <w:rFonts w:hint="eastAsia"/>
                <w:highlight w:val="none"/>
              </w:rPr>
              <w:t>噪声排放执行《工业企业厂界环境噪声排放标准》（GB12348-2008）中的</w:t>
            </w:r>
            <w:r>
              <w:rPr>
                <w:rFonts w:hint="eastAsia"/>
                <w:highlight w:val="none"/>
                <w:lang w:val="en-US" w:eastAsia="zh-CN"/>
              </w:rPr>
              <w:t>4</w:t>
            </w:r>
            <w:r>
              <w:rPr>
                <w:rFonts w:hint="eastAsia"/>
                <w:highlight w:val="none"/>
              </w:rPr>
              <w:t>类标准（即昼间</w:t>
            </w:r>
            <w:r>
              <w:rPr>
                <w:rFonts w:hint="eastAsia"/>
                <w:highlight w:val="none"/>
                <w:lang w:val="en-US" w:eastAsia="zh-CN"/>
              </w:rPr>
              <w:t>70</w:t>
            </w:r>
            <w:r>
              <w:rPr>
                <w:rFonts w:hint="eastAsia"/>
                <w:highlight w:val="none"/>
              </w:rPr>
              <w:t>dB(A)，夜间</w:t>
            </w:r>
            <w:r>
              <w:rPr>
                <w:rFonts w:hint="eastAsia"/>
                <w:highlight w:val="none"/>
                <w:lang w:val="en-US" w:eastAsia="zh-CN"/>
              </w:rPr>
              <w:t>55</w:t>
            </w:r>
            <w:r>
              <w:rPr>
                <w:rFonts w:hint="eastAsia"/>
                <w:highlight w:val="none"/>
              </w:rPr>
              <w:t>dB(A)）</w:t>
            </w:r>
            <w:r>
              <w:rPr>
                <w:rFonts w:hint="eastAsia"/>
                <w:highlight w:val="none"/>
                <w:lang w:eastAsia="zh-CN"/>
              </w:rPr>
              <w:t>；</w:t>
            </w:r>
            <w:r>
              <w:rPr>
                <w:rFonts w:hint="eastAsia"/>
                <w:sz w:val="24"/>
                <w:highlight w:val="none"/>
              </w:rPr>
              <w:t>项目</w:t>
            </w:r>
            <w:r>
              <w:rPr>
                <w:rFonts w:hint="eastAsia"/>
                <w:sz w:val="24"/>
                <w:highlight w:val="none"/>
                <w:lang w:val="en-US" w:eastAsia="zh-CN"/>
              </w:rPr>
              <w:t>南侧、西侧厂界四周</w:t>
            </w:r>
            <w:r>
              <w:rPr>
                <w:rFonts w:hint="eastAsia"/>
                <w:highlight w:val="none"/>
              </w:rPr>
              <w:t>噪声排放执行《工业企业厂界环境噪声排放标准》（GB12348-2008）中的</w:t>
            </w:r>
            <w:r>
              <w:rPr>
                <w:rFonts w:hint="eastAsia"/>
                <w:highlight w:val="none"/>
                <w:lang w:val="en-US" w:eastAsia="zh-CN"/>
              </w:rPr>
              <w:t>1</w:t>
            </w:r>
            <w:r>
              <w:rPr>
                <w:rFonts w:hint="eastAsia"/>
                <w:highlight w:val="none"/>
              </w:rPr>
              <w:t>类标准（即昼间</w:t>
            </w:r>
            <w:r>
              <w:rPr>
                <w:rFonts w:hint="eastAsia"/>
                <w:highlight w:val="none"/>
                <w:lang w:val="en-US" w:eastAsia="zh-CN"/>
              </w:rPr>
              <w:t>55</w:t>
            </w:r>
            <w:r>
              <w:rPr>
                <w:rFonts w:hint="eastAsia"/>
                <w:highlight w:val="none"/>
              </w:rPr>
              <w:t>dB(A)，夜间</w:t>
            </w:r>
            <w:r>
              <w:rPr>
                <w:rFonts w:hint="eastAsia"/>
                <w:highlight w:val="none"/>
                <w:lang w:val="en-US" w:eastAsia="zh-CN"/>
              </w:rPr>
              <w:t>45</w:t>
            </w:r>
            <w:r>
              <w:rPr>
                <w:rFonts w:hint="eastAsia"/>
                <w:highlight w:val="none"/>
              </w:rPr>
              <w:t>dB(A)）</w:t>
            </w:r>
            <w:r>
              <w:rPr>
                <w:rFonts w:hint="eastAsia" w:ascii="Times New Roman" w:hAnsi="Times New Roman" w:eastAsia="宋体" w:cs="Times New Roman"/>
                <w:color w:val="auto"/>
                <w:kern w:val="0"/>
                <w:highlight w:val="none"/>
                <w:lang w:val="en-US" w:eastAsia="zh-CN"/>
              </w:rPr>
              <w:t>具体见表3-1</w:t>
            </w:r>
            <w:r>
              <w:rPr>
                <w:rFonts w:hint="eastAsia" w:cs="Times New Roman"/>
                <w:color w:val="auto"/>
                <w:kern w:val="0"/>
                <w:highlight w:val="none"/>
                <w:lang w:val="en-US" w:eastAsia="zh-CN"/>
              </w:rPr>
              <w:t>3</w:t>
            </w:r>
            <w:r>
              <w:rPr>
                <w:rFonts w:hint="eastAsia" w:ascii="Times New Roman" w:hAnsi="Times New Roman" w:eastAsia="宋体" w:cs="Times New Roman"/>
                <w:color w:val="auto"/>
                <w:kern w:val="0"/>
                <w:highlight w:val="none"/>
                <w:lang w:val="en-US" w:eastAsia="zh-CN"/>
              </w:rPr>
              <w:t>。</w:t>
            </w:r>
          </w:p>
          <w:p w14:paraId="153794F7">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60" w:lineRule="auto"/>
              <w:ind w:left="0" w:right="0"/>
              <w:jc w:val="center"/>
              <w:textAlignment w:val="auto"/>
              <w:rPr>
                <w:rFonts w:hint="default"/>
                <w:b/>
                <w:bCs/>
                <w:szCs w:val="21"/>
                <w:highlight w:val="none"/>
              </w:rPr>
            </w:pPr>
            <w:r>
              <w:rPr>
                <w:rFonts w:hint="default"/>
                <w:b/>
                <w:bCs/>
                <w:szCs w:val="21"/>
                <w:highlight w:val="none"/>
              </w:rPr>
              <w:t>表3-1</w:t>
            </w:r>
            <w:r>
              <w:rPr>
                <w:rFonts w:hint="eastAsia"/>
                <w:b/>
                <w:bCs/>
                <w:szCs w:val="21"/>
                <w:highlight w:val="none"/>
                <w:lang w:val="en-US" w:eastAsia="zh-CN"/>
              </w:rPr>
              <w:t>3</w:t>
            </w:r>
            <w:r>
              <w:rPr>
                <w:rFonts w:hint="default"/>
                <w:b/>
                <w:bCs/>
                <w:szCs w:val="21"/>
                <w:highlight w:val="none"/>
              </w:rPr>
              <w:t xml:space="preserve"> 环境噪声排放标准</w:t>
            </w:r>
            <w:r>
              <w:rPr>
                <w:rFonts w:hint="eastAsia"/>
                <w:b/>
                <w:bCs/>
                <w:szCs w:val="21"/>
                <w:highlight w:val="none"/>
              </w:rPr>
              <w:t xml:space="preserve"> </w:t>
            </w:r>
            <w:r>
              <w:rPr>
                <w:rFonts w:hint="default"/>
                <w:b/>
                <w:bCs/>
                <w:szCs w:val="21"/>
                <w:highlight w:val="none"/>
              </w:rPr>
              <w:t>单位：dB(A)</w:t>
            </w:r>
          </w:p>
          <w:tbl>
            <w:tblPr>
              <w:tblStyle w:val="32"/>
              <w:tblW w:w="4998"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786"/>
              <w:gridCol w:w="2784"/>
              <w:gridCol w:w="2784"/>
            </w:tblGrid>
            <w:tr w14:paraId="1364AE5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exact"/>
                <w:jc w:val="center"/>
              </w:trPr>
              <w:tc>
                <w:tcPr>
                  <w:tcW w:w="1667" w:type="pct"/>
                  <w:vAlign w:val="center"/>
                </w:tcPr>
                <w:p w14:paraId="07E2B1DF">
                  <w:pPr>
                    <w:keepNext w:val="0"/>
                    <w:keepLines w:val="0"/>
                    <w:suppressLineNumbers w:val="0"/>
                    <w:spacing w:before="0" w:beforeAutospacing="0" w:after="0" w:afterAutospacing="0"/>
                    <w:ind w:left="0" w:right="0"/>
                    <w:jc w:val="center"/>
                    <w:rPr>
                      <w:rFonts w:hint="default"/>
                      <w:sz w:val="21"/>
                      <w:szCs w:val="21"/>
                      <w:highlight w:val="none"/>
                    </w:rPr>
                  </w:pPr>
                  <w:r>
                    <w:rPr>
                      <w:rFonts w:hint="default"/>
                      <w:sz w:val="21"/>
                      <w:szCs w:val="21"/>
                      <w:highlight w:val="none"/>
                    </w:rPr>
                    <w:t>类别</w:t>
                  </w:r>
                </w:p>
              </w:tc>
              <w:tc>
                <w:tcPr>
                  <w:tcW w:w="1666" w:type="pct"/>
                  <w:vAlign w:val="center"/>
                </w:tcPr>
                <w:p w14:paraId="22279C58">
                  <w:pPr>
                    <w:keepNext w:val="0"/>
                    <w:keepLines w:val="0"/>
                    <w:suppressLineNumbers w:val="0"/>
                    <w:spacing w:before="0" w:beforeAutospacing="0" w:after="0" w:afterAutospacing="0"/>
                    <w:ind w:left="0" w:right="0"/>
                    <w:jc w:val="center"/>
                    <w:rPr>
                      <w:rFonts w:hint="default"/>
                      <w:sz w:val="21"/>
                      <w:szCs w:val="21"/>
                      <w:highlight w:val="none"/>
                    </w:rPr>
                  </w:pPr>
                  <w:r>
                    <w:rPr>
                      <w:rFonts w:hint="default"/>
                      <w:sz w:val="21"/>
                      <w:szCs w:val="21"/>
                      <w:highlight w:val="none"/>
                    </w:rPr>
                    <w:t>昼间</w:t>
                  </w:r>
                </w:p>
              </w:tc>
              <w:tc>
                <w:tcPr>
                  <w:tcW w:w="1666" w:type="pct"/>
                  <w:vAlign w:val="center"/>
                </w:tcPr>
                <w:p w14:paraId="6B2B4ADB">
                  <w:pPr>
                    <w:keepNext w:val="0"/>
                    <w:keepLines w:val="0"/>
                    <w:suppressLineNumbers w:val="0"/>
                    <w:spacing w:before="0" w:beforeAutospacing="0" w:after="0" w:afterAutospacing="0"/>
                    <w:ind w:left="0" w:right="0"/>
                    <w:jc w:val="center"/>
                    <w:rPr>
                      <w:rFonts w:hint="default"/>
                      <w:sz w:val="21"/>
                      <w:szCs w:val="21"/>
                      <w:highlight w:val="none"/>
                    </w:rPr>
                  </w:pPr>
                  <w:r>
                    <w:rPr>
                      <w:rFonts w:hint="default"/>
                      <w:sz w:val="21"/>
                      <w:szCs w:val="21"/>
                      <w:highlight w:val="none"/>
                    </w:rPr>
                    <w:t>夜间</w:t>
                  </w:r>
                </w:p>
              </w:tc>
            </w:tr>
            <w:tr w14:paraId="29E1F3B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exact"/>
                <w:jc w:val="center"/>
              </w:trPr>
              <w:tc>
                <w:tcPr>
                  <w:tcW w:w="1667" w:type="pct"/>
                  <w:vAlign w:val="center"/>
                </w:tcPr>
                <w:p w14:paraId="72E32824">
                  <w:pPr>
                    <w:keepNext w:val="0"/>
                    <w:keepLines w:val="0"/>
                    <w:suppressLineNumbers w:val="0"/>
                    <w:spacing w:before="0" w:beforeAutospacing="0" w:after="0" w:afterAutospacing="0"/>
                    <w:ind w:left="0" w:right="0"/>
                    <w:jc w:val="center"/>
                    <w:rPr>
                      <w:rFonts w:hint="default"/>
                      <w:sz w:val="21"/>
                      <w:szCs w:val="21"/>
                      <w:highlight w:val="none"/>
                    </w:rPr>
                  </w:pPr>
                  <w:r>
                    <w:rPr>
                      <w:rFonts w:hint="default"/>
                      <w:sz w:val="21"/>
                      <w:szCs w:val="21"/>
                      <w:highlight w:val="none"/>
                    </w:rPr>
                    <w:t>1</w:t>
                  </w:r>
                  <w:r>
                    <w:rPr>
                      <w:rFonts w:hint="eastAsia"/>
                      <w:sz w:val="21"/>
                      <w:szCs w:val="21"/>
                      <w:highlight w:val="none"/>
                    </w:rPr>
                    <w:t>类</w:t>
                  </w:r>
                </w:p>
              </w:tc>
              <w:tc>
                <w:tcPr>
                  <w:tcW w:w="1666" w:type="pct"/>
                  <w:vAlign w:val="center"/>
                </w:tcPr>
                <w:p w14:paraId="0D31AC4D">
                  <w:pPr>
                    <w:keepNext w:val="0"/>
                    <w:keepLines w:val="0"/>
                    <w:suppressLineNumbers w:val="0"/>
                    <w:spacing w:before="0" w:beforeAutospacing="0" w:after="0" w:afterAutospacing="0"/>
                    <w:ind w:left="0" w:right="0"/>
                    <w:jc w:val="center"/>
                    <w:rPr>
                      <w:rFonts w:hint="default"/>
                      <w:sz w:val="21"/>
                      <w:szCs w:val="21"/>
                      <w:highlight w:val="none"/>
                    </w:rPr>
                  </w:pPr>
                  <w:r>
                    <w:rPr>
                      <w:rFonts w:hint="eastAsia"/>
                      <w:sz w:val="21"/>
                      <w:szCs w:val="21"/>
                      <w:highlight w:val="none"/>
                    </w:rPr>
                    <w:t>5</w:t>
                  </w:r>
                  <w:r>
                    <w:rPr>
                      <w:rFonts w:hint="default"/>
                      <w:sz w:val="21"/>
                      <w:szCs w:val="21"/>
                      <w:highlight w:val="none"/>
                    </w:rPr>
                    <w:t>5</w:t>
                  </w:r>
                </w:p>
              </w:tc>
              <w:tc>
                <w:tcPr>
                  <w:tcW w:w="1666" w:type="pct"/>
                  <w:vAlign w:val="center"/>
                </w:tcPr>
                <w:p w14:paraId="37543C97">
                  <w:pPr>
                    <w:keepNext w:val="0"/>
                    <w:keepLines w:val="0"/>
                    <w:suppressLineNumbers w:val="0"/>
                    <w:spacing w:before="0" w:beforeAutospacing="0" w:after="0" w:afterAutospacing="0"/>
                    <w:ind w:left="0" w:right="0"/>
                    <w:jc w:val="center"/>
                    <w:rPr>
                      <w:rFonts w:hint="default"/>
                      <w:sz w:val="21"/>
                      <w:szCs w:val="21"/>
                      <w:highlight w:val="none"/>
                    </w:rPr>
                  </w:pPr>
                  <w:r>
                    <w:rPr>
                      <w:rFonts w:hint="eastAsia"/>
                      <w:sz w:val="21"/>
                      <w:szCs w:val="21"/>
                      <w:highlight w:val="none"/>
                    </w:rPr>
                    <w:t>4</w:t>
                  </w:r>
                  <w:r>
                    <w:rPr>
                      <w:rFonts w:hint="default"/>
                      <w:sz w:val="21"/>
                      <w:szCs w:val="21"/>
                      <w:highlight w:val="none"/>
                    </w:rPr>
                    <w:t>5</w:t>
                  </w:r>
                </w:p>
              </w:tc>
            </w:tr>
            <w:tr w14:paraId="67AF1B0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exact"/>
                <w:jc w:val="center"/>
              </w:trPr>
              <w:tc>
                <w:tcPr>
                  <w:tcW w:w="1667" w:type="pct"/>
                  <w:vAlign w:val="center"/>
                </w:tcPr>
                <w:p w14:paraId="609BFF30">
                  <w:pPr>
                    <w:keepNext w:val="0"/>
                    <w:keepLines w:val="0"/>
                    <w:suppressLineNumbers w:val="0"/>
                    <w:spacing w:before="0" w:beforeAutospacing="0" w:after="0" w:afterAutospacing="0"/>
                    <w:ind w:left="0" w:right="0"/>
                    <w:jc w:val="center"/>
                    <w:rPr>
                      <w:rFonts w:hint="default"/>
                      <w:sz w:val="21"/>
                      <w:szCs w:val="21"/>
                      <w:highlight w:val="none"/>
                    </w:rPr>
                  </w:pPr>
                  <w:r>
                    <w:rPr>
                      <w:rFonts w:hint="eastAsia"/>
                      <w:sz w:val="21"/>
                      <w:szCs w:val="21"/>
                      <w:highlight w:val="none"/>
                      <w:lang w:val="en-US" w:eastAsia="zh-CN"/>
                    </w:rPr>
                    <w:t>4</w:t>
                  </w:r>
                  <w:r>
                    <w:rPr>
                      <w:rFonts w:hint="eastAsia"/>
                      <w:sz w:val="21"/>
                      <w:szCs w:val="21"/>
                      <w:highlight w:val="none"/>
                    </w:rPr>
                    <w:t>类</w:t>
                  </w:r>
                </w:p>
              </w:tc>
              <w:tc>
                <w:tcPr>
                  <w:tcW w:w="1666" w:type="pct"/>
                  <w:vAlign w:val="center"/>
                </w:tcPr>
                <w:p w14:paraId="4A5C4FC0">
                  <w:pPr>
                    <w:keepNext w:val="0"/>
                    <w:keepLines w:val="0"/>
                    <w:suppressLineNumbers w:val="0"/>
                    <w:spacing w:before="0" w:beforeAutospacing="0" w:after="0" w:afterAutospacing="0"/>
                    <w:ind w:left="0" w:right="0"/>
                    <w:jc w:val="center"/>
                    <w:rPr>
                      <w:rFonts w:hint="default" w:eastAsia="宋体"/>
                      <w:sz w:val="21"/>
                      <w:szCs w:val="21"/>
                      <w:highlight w:val="none"/>
                      <w:lang w:val="en-US" w:eastAsia="zh-CN"/>
                    </w:rPr>
                  </w:pPr>
                  <w:r>
                    <w:rPr>
                      <w:rFonts w:hint="eastAsia"/>
                      <w:sz w:val="21"/>
                      <w:szCs w:val="21"/>
                      <w:highlight w:val="none"/>
                      <w:lang w:val="en-US" w:eastAsia="zh-CN"/>
                    </w:rPr>
                    <w:t>70</w:t>
                  </w:r>
                </w:p>
              </w:tc>
              <w:tc>
                <w:tcPr>
                  <w:tcW w:w="1666" w:type="pct"/>
                  <w:vAlign w:val="center"/>
                </w:tcPr>
                <w:p w14:paraId="6A99AC93">
                  <w:pPr>
                    <w:keepNext w:val="0"/>
                    <w:keepLines w:val="0"/>
                    <w:suppressLineNumbers w:val="0"/>
                    <w:spacing w:before="0" w:beforeAutospacing="0" w:after="0" w:afterAutospacing="0"/>
                    <w:ind w:left="0" w:right="0"/>
                    <w:jc w:val="center"/>
                    <w:rPr>
                      <w:rFonts w:hint="default" w:eastAsia="宋体"/>
                      <w:sz w:val="21"/>
                      <w:szCs w:val="21"/>
                      <w:highlight w:val="none"/>
                      <w:lang w:val="en-US" w:eastAsia="zh-CN"/>
                    </w:rPr>
                  </w:pPr>
                  <w:r>
                    <w:rPr>
                      <w:rFonts w:hint="eastAsia"/>
                      <w:sz w:val="21"/>
                      <w:szCs w:val="21"/>
                      <w:highlight w:val="none"/>
                      <w:lang w:val="en-US" w:eastAsia="zh-CN"/>
                    </w:rPr>
                    <w:t>55</w:t>
                  </w:r>
                </w:p>
              </w:tc>
            </w:tr>
          </w:tbl>
          <w:p w14:paraId="04EC8562">
            <w:pPr>
              <w:keepNext w:val="0"/>
              <w:keepLines w:val="0"/>
              <w:suppressLineNumbers w:val="0"/>
              <w:tabs>
                <w:tab w:val="left" w:pos="2625"/>
              </w:tabs>
              <w:adjustRightInd w:val="0"/>
              <w:snapToGrid w:val="0"/>
              <w:spacing w:before="0" w:beforeAutospacing="0" w:after="0" w:afterAutospacing="0" w:line="360" w:lineRule="auto"/>
              <w:ind w:left="0" w:right="0"/>
              <w:rPr>
                <w:rFonts w:hint="default" w:hAnsi="宋体"/>
                <w:b/>
                <w:kern w:val="0"/>
                <w:highlight w:val="none"/>
              </w:rPr>
            </w:pPr>
            <w:r>
              <w:rPr>
                <w:rFonts w:hint="default" w:hAnsi="宋体"/>
                <w:b/>
                <w:kern w:val="0"/>
                <w:highlight w:val="none"/>
              </w:rPr>
              <w:t>4</w:t>
            </w:r>
            <w:r>
              <w:rPr>
                <w:rFonts w:hint="eastAsia" w:hAnsi="宋体"/>
                <w:b/>
                <w:kern w:val="0"/>
                <w:highlight w:val="none"/>
              </w:rPr>
              <w:t>、固废</w:t>
            </w:r>
          </w:p>
          <w:p w14:paraId="53BA78E5">
            <w:pPr>
              <w:keepNext w:val="0"/>
              <w:keepLines w:val="0"/>
              <w:suppressLineNumbers w:val="0"/>
              <w:adjustRightInd w:val="0"/>
              <w:snapToGrid w:val="0"/>
              <w:spacing w:before="0" w:beforeAutospacing="0" w:after="0" w:afterAutospacing="0" w:line="360" w:lineRule="auto"/>
              <w:ind w:left="0" w:right="0" w:firstLine="480" w:firstLineChars="200"/>
              <w:rPr>
                <w:rFonts w:hint="default"/>
                <w:kern w:val="0"/>
                <w:szCs w:val="21"/>
                <w:highlight w:val="none"/>
              </w:rPr>
            </w:pPr>
            <w:r>
              <w:rPr>
                <w:rFonts w:hint="eastAsia"/>
                <w:bCs/>
                <w:sz w:val="24"/>
                <w:highlight w:val="none"/>
              </w:rPr>
              <w:t>按照《中华人民共和国固体废物污染环境防治法</w:t>
            </w:r>
            <w:r>
              <w:rPr>
                <w:rFonts w:hint="eastAsia"/>
                <w:bCs/>
                <w:sz w:val="24"/>
                <w:highlight w:val="none"/>
                <w:lang w:eastAsia="zh-CN"/>
              </w:rPr>
              <w:t>》《</w:t>
            </w:r>
            <w:r>
              <w:rPr>
                <w:rFonts w:hint="eastAsia"/>
                <w:bCs/>
                <w:sz w:val="24"/>
                <w:highlight w:val="none"/>
              </w:rPr>
              <w:t>关于进一步加强建设项目固体废物环境管理的通知》和《浙江省固体废物污染环境防治条例》的要求，妥善处理，不得形成二次污染。采用库房、包装工具（罐、桶、包装袋等）贮存一般固体废物过程的贮存过程应满足《一般工业固体废物贮存和填埋污染控制标准》</w:t>
            </w:r>
            <w:r>
              <w:rPr>
                <w:rFonts w:hint="eastAsia"/>
                <w:bCs/>
                <w:sz w:val="24"/>
                <w:highlight w:val="none"/>
                <w:lang w:eastAsia="zh-CN"/>
              </w:rPr>
              <w:t>（</w:t>
            </w:r>
            <w:r>
              <w:rPr>
                <w:rFonts w:hint="default"/>
                <w:bCs/>
                <w:sz w:val="24"/>
                <w:highlight w:val="none"/>
              </w:rPr>
              <w:t>GB18599-2020</w:t>
            </w:r>
            <w:r>
              <w:rPr>
                <w:rFonts w:hint="eastAsia"/>
                <w:bCs/>
                <w:sz w:val="24"/>
                <w:highlight w:val="none"/>
                <w:lang w:eastAsia="zh-CN"/>
              </w:rPr>
              <w:t>）</w:t>
            </w:r>
            <w:r>
              <w:rPr>
                <w:rFonts w:hint="eastAsia"/>
                <w:bCs/>
                <w:sz w:val="24"/>
                <w:highlight w:val="none"/>
              </w:rPr>
              <w:t>相应防渗漏、防雨淋、防扬尘等环境保护要求；生活垃圾处理参照执行《城市生活垃圾处理及污染防治技术政策》</w:t>
            </w:r>
            <w:r>
              <w:rPr>
                <w:rFonts w:hint="eastAsia"/>
                <w:bCs/>
                <w:sz w:val="24"/>
                <w:highlight w:val="none"/>
                <w:lang w:eastAsia="zh-CN"/>
              </w:rPr>
              <w:t>（</w:t>
            </w:r>
            <w:r>
              <w:rPr>
                <w:rFonts w:hint="eastAsia"/>
                <w:bCs/>
                <w:sz w:val="24"/>
                <w:highlight w:val="none"/>
              </w:rPr>
              <w:t>建城</w:t>
            </w:r>
            <w:r>
              <w:rPr>
                <w:rFonts w:hint="eastAsia"/>
                <w:bCs/>
                <w:sz w:val="24"/>
                <w:highlight w:val="none"/>
                <w:lang w:eastAsia="zh-CN"/>
              </w:rPr>
              <w:t>〔2000〕120号</w:t>
            </w:r>
            <w:r>
              <w:rPr>
                <w:rFonts w:hint="eastAsia"/>
                <w:bCs/>
                <w:sz w:val="24"/>
                <w:highlight w:val="none"/>
              </w:rPr>
              <w:t>）和《生活垃圾处理技术指南》</w:t>
            </w:r>
            <w:r>
              <w:rPr>
                <w:rFonts w:hint="eastAsia"/>
                <w:bCs/>
                <w:sz w:val="24"/>
                <w:highlight w:val="none"/>
                <w:lang w:eastAsia="zh-CN"/>
              </w:rPr>
              <w:t>（</w:t>
            </w:r>
            <w:r>
              <w:rPr>
                <w:rFonts w:hint="eastAsia"/>
                <w:bCs/>
                <w:sz w:val="24"/>
                <w:highlight w:val="none"/>
              </w:rPr>
              <w:t>建城</w:t>
            </w:r>
            <w:r>
              <w:rPr>
                <w:rFonts w:hint="eastAsia"/>
                <w:bCs/>
                <w:sz w:val="24"/>
                <w:highlight w:val="none"/>
                <w:lang w:eastAsia="zh-CN"/>
              </w:rPr>
              <w:t>〔2010〕61号）</w:t>
            </w:r>
            <w:r>
              <w:rPr>
                <w:rFonts w:hint="eastAsia"/>
                <w:bCs/>
                <w:sz w:val="24"/>
                <w:highlight w:val="none"/>
              </w:rPr>
              <w:t>以及国家、省市关于固体废物污染环境防治的法律法规。危险废物贮存执行《危险废物贮存污染控制标准》（GB18597-2023）</w:t>
            </w:r>
            <w:bookmarkStart w:id="16" w:name="_Hlk138232385"/>
            <w:r>
              <w:rPr>
                <w:rFonts w:hint="eastAsia"/>
                <w:bCs/>
                <w:sz w:val="24"/>
                <w:highlight w:val="none"/>
              </w:rPr>
              <w:t>中有关规定，并按《危险废物识别标志设置技术规范》（</w:t>
            </w:r>
            <w:r>
              <w:rPr>
                <w:rFonts w:hint="default"/>
                <w:bCs/>
                <w:sz w:val="24"/>
                <w:highlight w:val="none"/>
              </w:rPr>
              <w:t>HJ1276-2022</w:t>
            </w:r>
            <w:r>
              <w:rPr>
                <w:rFonts w:hint="eastAsia"/>
                <w:bCs/>
                <w:sz w:val="24"/>
                <w:highlight w:val="none"/>
              </w:rPr>
              <w:t>）设置识别标志</w:t>
            </w:r>
            <w:bookmarkEnd w:id="16"/>
            <w:r>
              <w:rPr>
                <w:rFonts w:hint="eastAsia"/>
                <w:highlight w:val="none"/>
              </w:rPr>
              <w:t>。</w:t>
            </w:r>
          </w:p>
        </w:tc>
      </w:tr>
      <w:tr w14:paraId="5EED984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615" w:hRule="atLeast"/>
          <w:jc w:val="center"/>
        </w:trPr>
        <w:tc>
          <w:tcPr>
            <w:tcW w:w="498" w:type="dxa"/>
            <w:vAlign w:val="center"/>
          </w:tcPr>
          <w:p w14:paraId="327CF163">
            <w:pPr>
              <w:keepNext w:val="0"/>
              <w:keepLines w:val="0"/>
              <w:suppressLineNumbers w:val="0"/>
              <w:adjustRightInd w:val="0"/>
              <w:snapToGrid w:val="0"/>
              <w:spacing w:before="0" w:beforeAutospacing="0" w:after="0" w:afterAutospacing="0"/>
              <w:ind w:left="0" w:right="0"/>
              <w:jc w:val="center"/>
              <w:rPr>
                <w:rFonts w:hint="default" w:hAnsi="宋体"/>
                <w:kern w:val="0"/>
                <w:sz w:val="21"/>
                <w:szCs w:val="21"/>
                <w:highlight w:val="none"/>
              </w:rPr>
            </w:pPr>
          </w:p>
          <w:p w14:paraId="626856CF">
            <w:pPr>
              <w:keepNext w:val="0"/>
              <w:keepLines w:val="0"/>
              <w:suppressLineNumbers w:val="0"/>
              <w:adjustRightInd w:val="0"/>
              <w:snapToGrid w:val="0"/>
              <w:spacing w:before="0" w:beforeAutospacing="0" w:after="0" w:afterAutospacing="0"/>
              <w:ind w:left="0" w:right="0"/>
              <w:jc w:val="center"/>
              <w:rPr>
                <w:rFonts w:hint="default" w:hAnsi="宋体"/>
                <w:kern w:val="0"/>
                <w:sz w:val="21"/>
                <w:szCs w:val="21"/>
                <w:highlight w:val="none"/>
              </w:rPr>
            </w:pPr>
          </w:p>
          <w:p w14:paraId="39E55CEF">
            <w:pPr>
              <w:keepNext w:val="0"/>
              <w:keepLines w:val="0"/>
              <w:suppressLineNumbers w:val="0"/>
              <w:adjustRightInd w:val="0"/>
              <w:snapToGrid w:val="0"/>
              <w:spacing w:before="0" w:beforeAutospacing="0" w:after="0" w:afterAutospacing="0"/>
              <w:ind w:left="0" w:right="0"/>
              <w:jc w:val="center"/>
              <w:rPr>
                <w:rFonts w:hint="default"/>
                <w:kern w:val="0"/>
                <w:sz w:val="21"/>
                <w:szCs w:val="21"/>
                <w:highlight w:val="none"/>
              </w:rPr>
            </w:pPr>
            <w:r>
              <w:rPr>
                <w:rFonts w:hint="eastAsia"/>
                <w:kern w:val="0"/>
                <w:sz w:val="21"/>
                <w:szCs w:val="21"/>
                <w:highlight w:val="none"/>
              </w:rPr>
              <w:t>总量</w:t>
            </w:r>
          </w:p>
          <w:p w14:paraId="197005D5">
            <w:pPr>
              <w:keepNext w:val="0"/>
              <w:keepLines w:val="0"/>
              <w:suppressLineNumbers w:val="0"/>
              <w:adjustRightInd w:val="0"/>
              <w:snapToGrid w:val="0"/>
              <w:spacing w:before="0" w:beforeAutospacing="0" w:after="0" w:afterAutospacing="0"/>
              <w:ind w:left="0" w:right="0"/>
              <w:jc w:val="center"/>
              <w:rPr>
                <w:rFonts w:hint="default"/>
                <w:kern w:val="0"/>
                <w:sz w:val="21"/>
                <w:szCs w:val="21"/>
                <w:highlight w:val="none"/>
              </w:rPr>
            </w:pPr>
            <w:r>
              <w:rPr>
                <w:rFonts w:hint="eastAsia"/>
                <w:kern w:val="0"/>
                <w:sz w:val="21"/>
                <w:szCs w:val="21"/>
                <w:highlight w:val="none"/>
              </w:rPr>
              <w:t>控制</w:t>
            </w:r>
          </w:p>
          <w:p w14:paraId="258F68DB">
            <w:pPr>
              <w:keepNext w:val="0"/>
              <w:keepLines w:val="0"/>
              <w:suppressLineNumbers w:val="0"/>
              <w:adjustRightInd w:val="0"/>
              <w:snapToGrid w:val="0"/>
              <w:spacing w:before="0" w:beforeAutospacing="0" w:after="0" w:afterAutospacing="0"/>
              <w:ind w:left="0" w:right="0"/>
              <w:jc w:val="center"/>
              <w:rPr>
                <w:rFonts w:hint="default"/>
                <w:kern w:val="0"/>
                <w:sz w:val="21"/>
                <w:szCs w:val="21"/>
                <w:highlight w:val="none"/>
              </w:rPr>
            </w:pPr>
            <w:r>
              <w:rPr>
                <w:rFonts w:hint="eastAsia"/>
                <w:kern w:val="0"/>
                <w:sz w:val="21"/>
                <w:szCs w:val="21"/>
                <w:highlight w:val="none"/>
              </w:rPr>
              <w:t>指标</w:t>
            </w:r>
          </w:p>
          <w:p w14:paraId="4C46C7A3">
            <w:pPr>
              <w:keepNext w:val="0"/>
              <w:keepLines w:val="0"/>
              <w:suppressLineNumbers w:val="0"/>
              <w:adjustRightInd w:val="0"/>
              <w:snapToGrid w:val="0"/>
              <w:spacing w:before="0" w:beforeAutospacing="0" w:after="0" w:afterAutospacing="0"/>
              <w:ind w:left="0" w:right="0"/>
              <w:jc w:val="center"/>
              <w:rPr>
                <w:rFonts w:hint="default"/>
                <w:kern w:val="0"/>
                <w:sz w:val="21"/>
                <w:szCs w:val="21"/>
                <w:highlight w:val="none"/>
              </w:rPr>
            </w:pPr>
          </w:p>
          <w:p w14:paraId="32B85581">
            <w:pPr>
              <w:keepNext w:val="0"/>
              <w:keepLines w:val="0"/>
              <w:suppressLineNumbers w:val="0"/>
              <w:adjustRightInd w:val="0"/>
              <w:snapToGrid w:val="0"/>
              <w:spacing w:before="0" w:beforeAutospacing="0" w:after="0" w:afterAutospacing="0"/>
              <w:ind w:left="0" w:right="0"/>
              <w:jc w:val="center"/>
              <w:rPr>
                <w:rFonts w:hint="default"/>
                <w:kern w:val="0"/>
                <w:sz w:val="21"/>
                <w:szCs w:val="21"/>
                <w:highlight w:val="none"/>
              </w:rPr>
            </w:pPr>
          </w:p>
        </w:tc>
        <w:tc>
          <w:tcPr>
            <w:tcW w:w="8583" w:type="dxa"/>
            <w:vAlign w:val="center"/>
          </w:tcPr>
          <w:p w14:paraId="03ED9935">
            <w:pPr>
              <w:keepNext w:val="0"/>
              <w:keepLines w:val="0"/>
              <w:suppressLineNumbers w:val="0"/>
              <w:adjustRightInd w:val="0"/>
              <w:snapToGrid w:val="0"/>
              <w:spacing w:before="0" w:beforeAutospacing="0" w:after="0" w:afterAutospacing="0" w:line="360" w:lineRule="auto"/>
              <w:ind w:left="0" w:right="0" w:firstLine="482" w:firstLineChars="200"/>
              <w:rPr>
                <w:rFonts w:hint="default"/>
                <w:b/>
                <w:bCs/>
                <w:highlight w:val="none"/>
              </w:rPr>
            </w:pPr>
            <w:r>
              <w:rPr>
                <w:rFonts w:hint="eastAsia"/>
                <w:b/>
                <w:bCs/>
                <w:highlight w:val="none"/>
              </w:rPr>
              <w:t>1、总量目标确定</w:t>
            </w:r>
          </w:p>
          <w:p w14:paraId="40BF3FA8">
            <w:pPr>
              <w:keepNext w:val="0"/>
              <w:keepLines w:val="0"/>
              <w:suppressLineNumbers w:val="0"/>
              <w:adjustRightInd w:val="0"/>
              <w:snapToGrid w:val="0"/>
              <w:spacing w:before="0" w:beforeAutospacing="0" w:after="0" w:afterAutospacing="0" w:line="360" w:lineRule="auto"/>
              <w:ind w:left="0" w:right="0" w:firstLine="480" w:firstLineChars="200"/>
              <w:rPr>
                <w:rFonts w:hint="default"/>
                <w:highlight w:val="none"/>
              </w:rPr>
            </w:pPr>
            <w:r>
              <w:rPr>
                <w:rFonts w:hint="eastAsia"/>
                <w:highlight w:val="none"/>
              </w:rPr>
              <w:t>根据《建设项目主要污染物排放总量指标审核审核及管理暂行办法》（环发</w:t>
            </w:r>
            <w:r>
              <w:rPr>
                <w:rFonts w:hint="eastAsia"/>
                <w:highlight w:val="none"/>
                <w:lang w:eastAsia="zh-CN"/>
              </w:rPr>
              <w:t>〔2014〕197号</w:t>
            </w:r>
            <w:r>
              <w:rPr>
                <w:rFonts w:hint="eastAsia"/>
                <w:highlight w:val="none"/>
              </w:rPr>
              <w:t>）：“上一年度环境空气质量年平均浓度不达标的城市、水环境质量未达到要求的市县，相关污染物应按照建设项目所需替代的主要污染物排放总量指标的2倍进行削减替代（燃煤发电机组大气污染物排放浓度基本达到燃气轮机组排放限值的除外）；细颗粒物（PM</w:t>
            </w:r>
            <w:r>
              <w:rPr>
                <w:rFonts w:hint="eastAsia"/>
                <w:highlight w:val="none"/>
                <w:vertAlign w:val="subscript"/>
              </w:rPr>
              <w:t>2.5</w:t>
            </w:r>
            <w:r>
              <w:rPr>
                <w:rFonts w:hint="eastAsia"/>
                <w:highlight w:val="none"/>
              </w:rPr>
              <w:t>）年平均浓度不达标的城市，二氧化硫、氮氧化物、烟粉尘、挥发性有机物四项污染物均需进行2倍削减替代（燃煤发电机组大气污染物排放浓度基本达到燃气轮机组排放限值的除外）。”</w:t>
            </w:r>
          </w:p>
          <w:p w14:paraId="58ACCF69">
            <w:pPr>
              <w:keepNext w:val="0"/>
              <w:keepLines w:val="0"/>
              <w:suppressLineNumbers w:val="0"/>
              <w:adjustRightInd w:val="0"/>
              <w:snapToGrid w:val="0"/>
              <w:spacing w:before="0" w:beforeAutospacing="0" w:after="0" w:afterAutospacing="0" w:line="360" w:lineRule="auto"/>
              <w:ind w:left="0" w:right="0" w:firstLine="480" w:firstLineChars="200"/>
              <w:rPr>
                <w:rFonts w:hint="default"/>
                <w:highlight w:val="none"/>
              </w:rPr>
            </w:pPr>
            <w:r>
              <w:rPr>
                <w:rFonts w:hint="eastAsia"/>
                <w:highlight w:val="none"/>
              </w:rPr>
              <w:t>本项目不属于工业企业，因此不需要进行区域替代削减。</w:t>
            </w:r>
          </w:p>
          <w:p w14:paraId="376C5E51">
            <w:pPr>
              <w:keepNext w:val="0"/>
              <w:keepLines w:val="0"/>
              <w:suppressLineNumbers w:val="0"/>
              <w:adjustRightInd w:val="0"/>
              <w:snapToGrid w:val="0"/>
              <w:spacing w:before="0" w:beforeAutospacing="0" w:after="0" w:afterAutospacing="0" w:line="360" w:lineRule="auto"/>
              <w:ind w:left="0" w:right="0" w:firstLine="482" w:firstLineChars="200"/>
              <w:rPr>
                <w:rFonts w:hint="default"/>
                <w:b/>
                <w:bCs/>
                <w:highlight w:val="none"/>
              </w:rPr>
            </w:pPr>
            <w:r>
              <w:rPr>
                <w:rFonts w:hint="eastAsia"/>
                <w:b/>
                <w:bCs/>
                <w:highlight w:val="none"/>
              </w:rPr>
              <w:t>2、总量控制建议值</w:t>
            </w:r>
          </w:p>
          <w:p w14:paraId="4E752435">
            <w:pPr>
              <w:keepNext w:val="0"/>
              <w:keepLines w:val="0"/>
              <w:suppressLineNumbers w:val="0"/>
              <w:adjustRightInd w:val="0"/>
              <w:snapToGrid w:val="0"/>
              <w:spacing w:before="0" w:beforeAutospacing="0" w:after="0" w:afterAutospacing="0" w:line="360" w:lineRule="auto"/>
              <w:ind w:left="0" w:right="0" w:firstLine="480" w:firstLineChars="200"/>
              <w:rPr>
                <w:rFonts w:hint="default"/>
                <w:highlight w:val="none"/>
              </w:rPr>
            </w:pPr>
            <w:r>
              <w:rPr>
                <w:rFonts w:hint="eastAsia"/>
                <w:highlight w:val="none"/>
              </w:rPr>
              <w:t>本项目具体总量控制情况见表3-1</w:t>
            </w:r>
            <w:r>
              <w:rPr>
                <w:rFonts w:hint="eastAsia"/>
                <w:highlight w:val="none"/>
                <w:lang w:val="en-US" w:eastAsia="zh-CN"/>
              </w:rPr>
              <w:t>4</w:t>
            </w:r>
            <w:r>
              <w:rPr>
                <w:rFonts w:hint="eastAsia"/>
                <w:highlight w:val="none"/>
              </w:rPr>
              <w:t xml:space="preserve">。 </w:t>
            </w:r>
          </w:p>
          <w:p w14:paraId="377938B1">
            <w:pPr>
              <w:keepNext w:val="0"/>
              <w:keepLines w:val="0"/>
              <w:suppressLineNumbers w:val="0"/>
              <w:adjustRightInd w:val="0"/>
              <w:snapToGrid w:val="0"/>
              <w:spacing w:before="0" w:beforeAutospacing="0" w:after="0" w:afterAutospacing="0" w:line="360" w:lineRule="auto"/>
              <w:ind w:left="0" w:right="0" w:firstLine="482" w:firstLineChars="200"/>
              <w:jc w:val="center"/>
              <w:rPr>
                <w:rFonts w:hint="default"/>
                <w:highlight w:val="none"/>
              </w:rPr>
            </w:pPr>
            <w:r>
              <w:rPr>
                <w:rFonts w:hint="eastAsia"/>
                <w:b/>
                <w:bCs/>
                <w:highlight w:val="none"/>
              </w:rPr>
              <w:t>表3-1</w:t>
            </w:r>
            <w:r>
              <w:rPr>
                <w:rFonts w:hint="eastAsia"/>
                <w:b/>
                <w:bCs/>
                <w:highlight w:val="none"/>
                <w:lang w:val="en-US" w:eastAsia="zh-CN"/>
              </w:rPr>
              <w:t>4</w:t>
            </w:r>
            <w:r>
              <w:rPr>
                <w:rFonts w:hint="eastAsia"/>
                <w:b/>
                <w:bCs/>
                <w:highlight w:val="none"/>
              </w:rPr>
              <w:t xml:space="preserve"> 总量控制情况表 单位：t/a</w:t>
            </w:r>
          </w:p>
          <w:tbl>
            <w:tblPr>
              <w:tblStyle w:val="33"/>
              <w:tblW w:w="5000"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115"/>
              <w:gridCol w:w="1530"/>
              <w:gridCol w:w="1603"/>
              <w:gridCol w:w="1731"/>
              <w:gridCol w:w="2378"/>
            </w:tblGrid>
            <w:tr w14:paraId="4C9EF4A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67" w:type="pct"/>
                  <w:noWrap w:val="0"/>
                  <w:vAlign w:val="center"/>
                </w:tcPr>
                <w:p w14:paraId="632B04ED">
                  <w:pPr>
                    <w:keepNext w:val="0"/>
                    <w:keepLines w:val="0"/>
                    <w:suppressLineNumbers w:val="0"/>
                    <w:spacing w:before="0" w:beforeAutospacing="0" w:after="0" w:afterAutospacing="0" w:line="360" w:lineRule="auto"/>
                    <w:ind w:left="0" w:right="0"/>
                    <w:jc w:val="center"/>
                    <w:rPr>
                      <w:rFonts w:hint="default"/>
                      <w:sz w:val="21"/>
                      <w:szCs w:val="21"/>
                      <w:highlight w:val="none"/>
                    </w:rPr>
                  </w:pPr>
                  <w:r>
                    <w:rPr>
                      <w:rFonts w:hint="eastAsia"/>
                      <w:sz w:val="21"/>
                      <w:szCs w:val="21"/>
                      <w:highlight w:val="none"/>
                    </w:rPr>
                    <w:t>项目</w:t>
                  </w:r>
                </w:p>
              </w:tc>
              <w:tc>
                <w:tcPr>
                  <w:tcW w:w="915" w:type="pct"/>
                  <w:noWrap w:val="0"/>
                  <w:vAlign w:val="center"/>
                </w:tcPr>
                <w:p w14:paraId="356AC844">
                  <w:pPr>
                    <w:keepNext w:val="0"/>
                    <w:keepLines w:val="0"/>
                    <w:suppressLineNumbers w:val="0"/>
                    <w:spacing w:before="0" w:beforeAutospacing="0" w:after="0" w:afterAutospacing="0" w:line="360" w:lineRule="auto"/>
                    <w:ind w:left="0" w:right="0"/>
                    <w:jc w:val="center"/>
                    <w:rPr>
                      <w:rFonts w:hint="default"/>
                      <w:sz w:val="21"/>
                      <w:szCs w:val="21"/>
                      <w:highlight w:val="none"/>
                    </w:rPr>
                  </w:pPr>
                  <w:r>
                    <w:rPr>
                      <w:rFonts w:hint="eastAsia"/>
                      <w:sz w:val="21"/>
                      <w:szCs w:val="21"/>
                      <w:highlight w:val="none"/>
                    </w:rPr>
                    <w:t>本项目排放量</w:t>
                  </w:r>
                </w:p>
              </w:tc>
              <w:tc>
                <w:tcPr>
                  <w:tcW w:w="959" w:type="pct"/>
                  <w:noWrap w:val="0"/>
                  <w:vAlign w:val="center"/>
                </w:tcPr>
                <w:p w14:paraId="20801400">
                  <w:pPr>
                    <w:keepNext w:val="0"/>
                    <w:keepLines w:val="0"/>
                    <w:suppressLineNumbers w:val="0"/>
                    <w:spacing w:before="0" w:beforeAutospacing="0" w:after="0" w:afterAutospacing="0" w:line="360" w:lineRule="auto"/>
                    <w:ind w:left="0" w:right="0"/>
                    <w:jc w:val="center"/>
                    <w:rPr>
                      <w:rFonts w:hint="default"/>
                      <w:sz w:val="21"/>
                      <w:szCs w:val="21"/>
                      <w:highlight w:val="none"/>
                    </w:rPr>
                  </w:pPr>
                  <w:r>
                    <w:rPr>
                      <w:rFonts w:hint="eastAsia"/>
                      <w:sz w:val="21"/>
                      <w:szCs w:val="21"/>
                      <w:highlight w:val="none"/>
                    </w:rPr>
                    <w:t>替代削减比例</w:t>
                  </w:r>
                </w:p>
              </w:tc>
              <w:tc>
                <w:tcPr>
                  <w:tcW w:w="1035" w:type="pct"/>
                  <w:noWrap w:val="0"/>
                  <w:vAlign w:val="center"/>
                </w:tcPr>
                <w:p w14:paraId="12C0F7D5">
                  <w:pPr>
                    <w:keepNext w:val="0"/>
                    <w:keepLines w:val="0"/>
                    <w:suppressLineNumbers w:val="0"/>
                    <w:spacing w:before="0" w:beforeAutospacing="0" w:after="0" w:afterAutospacing="0" w:line="360" w:lineRule="auto"/>
                    <w:ind w:left="0" w:right="0"/>
                    <w:jc w:val="center"/>
                    <w:rPr>
                      <w:rFonts w:hint="default"/>
                      <w:sz w:val="21"/>
                      <w:szCs w:val="21"/>
                      <w:highlight w:val="none"/>
                    </w:rPr>
                  </w:pPr>
                  <w:r>
                    <w:rPr>
                      <w:rFonts w:hint="eastAsia"/>
                      <w:sz w:val="21"/>
                      <w:szCs w:val="21"/>
                      <w:highlight w:val="none"/>
                    </w:rPr>
                    <w:t>区域替代削减量</w:t>
                  </w:r>
                </w:p>
              </w:tc>
              <w:tc>
                <w:tcPr>
                  <w:tcW w:w="1422" w:type="pct"/>
                  <w:noWrap w:val="0"/>
                  <w:vAlign w:val="center"/>
                </w:tcPr>
                <w:p w14:paraId="50A1BA1E">
                  <w:pPr>
                    <w:keepNext w:val="0"/>
                    <w:keepLines w:val="0"/>
                    <w:suppressLineNumbers w:val="0"/>
                    <w:spacing w:before="0" w:beforeAutospacing="0" w:after="0" w:afterAutospacing="0" w:line="360" w:lineRule="auto"/>
                    <w:ind w:left="0" w:right="0"/>
                    <w:jc w:val="center"/>
                    <w:rPr>
                      <w:rFonts w:hint="default"/>
                      <w:sz w:val="21"/>
                      <w:szCs w:val="21"/>
                      <w:highlight w:val="none"/>
                    </w:rPr>
                  </w:pPr>
                  <w:r>
                    <w:rPr>
                      <w:rFonts w:hint="eastAsia"/>
                      <w:sz w:val="21"/>
                      <w:szCs w:val="21"/>
                      <w:highlight w:val="none"/>
                    </w:rPr>
                    <w:t>本项目总量控制建议值</w:t>
                  </w:r>
                </w:p>
              </w:tc>
            </w:tr>
            <w:tr w14:paraId="48CDA98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67" w:type="pct"/>
                  <w:noWrap w:val="0"/>
                  <w:vAlign w:val="center"/>
                </w:tcPr>
                <w:p w14:paraId="24D79618">
                  <w:pPr>
                    <w:keepNext w:val="0"/>
                    <w:keepLines w:val="0"/>
                    <w:suppressLineNumbers w:val="0"/>
                    <w:spacing w:before="0" w:beforeAutospacing="0" w:after="0" w:afterAutospacing="0" w:line="360" w:lineRule="auto"/>
                    <w:ind w:left="0" w:right="0"/>
                    <w:jc w:val="center"/>
                    <w:rPr>
                      <w:rFonts w:hint="default"/>
                      <w:sz w:val="21"/>
                      <w:szCs w:val="21"/>
                      <w:highlight w:val="none"/>
                    </w:rPr>
                  </w:pPr>
                  <w:r>
                    <w:rPr>
                      <w:rFonts w:hint="eastAsia"/>
                      <w:sz w:val="21"/>
                      <w:szCs w:val="21"/>
                      <w:highlight w:val="none"/>
                    </w:rPr>
                    <w:t>废水量</w:t>
                  </w:r>
                </w:p>
              </w:tc>
              <w:tc>
                <w:tcPr>
                  <w:tcW w:w="915" w:type="pct"/>
                  <w:shd w:val="clear" w:color="auto" w:fill="auto"/>
                  <w:noWrap w:val="0"/>
                  <w:vAlign w:val="center"/>
                </w:tcPr>
                <w:p w14:paraId="70F5FA19">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360" w:lineRule="auto"/>
                    <w:ind w:left="0" w:right="0"/>
                    <w:jc w:val="center"/>
                    <w:textAlignment w:val="auto"/>
                    <w:rPr>
                      <w:rFonts w:hint="eastAsia" w:ascii="Times New Roman" w:hAnsi="Times New Roman" w:eastAsia="宋体" w:cs="Times New Roman"/>
                      <w:sz w:val="21"/>
                      <w:szCs w:val="21"/>
                      <w:highlight w:val="none"/>
                      <w:lang w:val="en-US" w:eastAsia="zh-CN"/>
                    </w:rPr>
                  </w:pPr>
                  <w:r>
                    <w:rPr>
                      <w:rFonts w:hint="eastAsia" w:ascii="Times New Roman" w:hAnsi="Times New Roman" w:eastAsia="宋体" w:cs="Times New Roman"/>
                      <w:sz w:val="21"/>
                      <w:szCs w:val="21"/>
                      <w:highlight w:val="none"/>
                      <w:lang w:val="en-US" w:eastAsia="zh-CN"/>
                    </w:rPr>
                    <w:t>34513.6</w:t>
                  </w:r>
                </w:p>
              </w:tc>
              <w:tc>
                <w:tcPr>
                  <w:tcW w:w="959" w:type="pct"/>
                  <w:noWrap w:val="0"/>
                  <w:vAlign w:val="center"/>
                </w:tcPr>
                <w:p w14:paraId="467282CB">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360" w:lineRule="auto"/>
                    <w:ind w:left="0" w:right="0"/>
                    <w:jc w:val="center"/>
                    <w:textAlignment w:val="auto"/>
                    <w:rPr>
                      <w:rFonts w:hint="eastAsia" w:ascii="Times New Roman" w:hAnsi="Times New Roman" w:eastAsia="宋体" w:cs="Times New Roman"/>
                      <w:sz w:val="21"/>
                      <w:szCs w:val="21"/>
                      <w:highlight w:val="none"/>
                      <w:lang w:val="en-US" w:eastAsia="zh-CN"/>
                    </w:rPr>
                  </w:pPr>
                  <w:r>
                    <w:rPr>
                      <w:rFonts w:hint="eastAsia" w:ascii="Times New Roman" w:hAnsi="Times New Roman" w:eastAsia="宋体" w:cs="Times New Roman"/>
                      <w:sz w:val="21"/>
                      <w:szCs w:val="21"/>
                      <w:highlight w:val="none"/>
                      <w:lang w:val="en-US" w:eastAsia="zh-CN"/>
                    </w:rPr>
                    <w:t>/</w:t>
                  </w:r>
                </w:p>
              </w:tc>
              <w:tc>
                <w:tcPr>
                  <w:tcW w:w="1035" w:type="pct"/>
                  <w:noWrap w:val="0"/>
                  <w:vAlign w:val="center"/>
                </w:tcPr>
                <w:p w14:paraId="666BB558">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360" w:lineRule="auto"/>
                    <w:ind w:left="0" w:right="0"/>
                    <w:jc w:val="center"/>
                    <w:textAlignment w:val="auto"/>
                    <w:rPr>
                      <w:rFonts w:hint="eastAsia" w:ascii="Times New Roman" w:hAnsi="Times New Roman" w:eastAsia="宋体" w:cs="Times New Roman"/>
                      <w:sz w:val="21"/>
                      <w:szCs w:val="21"/>
                      <w:highlight w:val="none"/>
                      <w:lang w:val="en-US" w:eastAsia="zh-CN"/>
                    </w:rPr>
                  </w:pPr>
                  <w:r>
                    <w:rPr>
                      <w:rFonts w:hint="eastAsia" w:ascii="Times New Roman" w:hAnsi="Times New Roman" w:eastAsia="宋体" w:cs="Times New Roman"/>
                      <w:sz w:val="21"/>
                      <w:szCs w:val="21"/>
                      <w:highlight w:val="none"/>
                      <w:lang w:val="en-US" w:eastAsia="zh-CN"/>
                    </w:rPr>
                    <w:t>/</w:t>
                  </w:r>
                </w:p>
              </w:tc>
              <w:tc>
                <w:tcPr>
                  <w:tcW w:w="1422" w:type="pct"/>
                  <w:shd w:val="clear" w:color="auto" w:fill="auto"/>
                  <w:noWrap w:val="0"/>
                  <w:vAlign w:val="center"/>
                </w:tcPr>
                <w:p w14:paraId="59A54D06">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360" w:lineRule="auto"/>
                    <w:ind w:left="0" w:right="0"/>
                    <w:jc w:val="center"/>
                    <w:textAlignment w:val="auto"/>
                    <w:rPr>
                      <w:rFonts w:hint="eastAsia" w:ascii="Times New Roman" w:hAnsi="Times New Roman" w:eastAsia="宋体" w:cs="Times New Roman"/>
                      <w:sz w:val="21"/>
                      <w:szCs w:val="21"/>
                      <w:highlight w:val="none"/>
                      <w:lang w:val="en-US" w:eastAsia="zh-CN"/>
                    </w:rPr>
                  </w:pPr>
                  <w:r>
                    <w:rPr>
                      <w:rFonts w:hint="eastAsia" w:ascii="Times New Roman" w:hAnsi="Times New Roman" w:eastAsia="宋体" w:cs="Times New Roman"/>
                      <w:sz w:val="21"/>
                      <w:szCs w:val="21"/>
                      <w:highlight w:val="none"/>
                      <w:lang w:val="en-US" w:eastAsia="zh-CN"/>
                    </w:rPr>
                    <w:t>34513.6</w:t>
                  </w:r>
                </w:p>
              </w:tc>
            </w:tr>
            <w:tr w14:paraId="27B2035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67" w:type="pct"/>
                  <w:noWrap w:val="0"/>
                  <w:vAlign w:val="center"/>
                </w:tcPr>
                <w:p w14:paraId="4C3EB883">
                  <w:pPr>
                    <w:keepNext w:val="0"/>
                    <w:keepLines w:val="0"/>
                    <w:suppressLineNumbers w:val="0"/>
                    <w:spacing w:before="0" w:beforeAutospacing="0" w:after="0" w:afterAutospacing="0" w:line="360" w:lineRule="auto"/>
                    <w:ind w:left="0" w:right="0"/>
                    <w:jc w:val="center"/>
                    <w:rPr>
                      <w:rFonts w:hint="default"/>
                      <w:sz w:val="21"/>
                      <w:szCs w:val="21"/>
                      <w:highlight w:val="none"/>
                    </w:rPr>
                  </w:pPr>
                  <w:r>
                    <w:rPr>
                      <w:rFonts w:hint="default"/>
                      <w:sz w:val="21"/>
                      <w:szCs w:val="21"/>
                      <w:highlight w:val="none"/>
                    </w:rPr>
                    <w:t>COD</w:t>
                  </w:r>
                  <w:r>
                    <w:rPr>
                      <w:rFonts w:hint="eastAsia"/>
                      <w:sz w:val="21"/>
                      <w:szCs w:val="21"/>
                      <w:highlight w:val="none"/>
                    </w:rPr>
                    <w:t>cr</w:t>
                  </w:r>
                </w:p>
              </w:tc>
              <w:tc>
                <w:tcPr>
                  <w:tcW w:w="1530" w:type="dxa"/>
                  <w:noWrap w:val="0"/>
                  <w:vAlign w:val="center"/>
                </w:tcPr>
                <w:p w14:paraId="788D55F8">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360" w:lineRule="auto"/>
                    <w:ind w:left="0" w:right="0"/>
                    <w:jc w:val="center"/>
                    <w:textAlignment w:val="auto"/>
                    <w:rPr>
                      <w:rFonts w:hint="eastAsia" w:ascii="Times New Roman" w:hAnsi="Times New Roman" w:eastAsia="宋体" w:cs="Times New Roman"/>
                      <w:sz w:val="21"/>
                      <w:szCs w:val="21"/>
                      <w:highlight w:val="none"/>
                      <w:lang w:val="en-US" w:eastAsia="zh-CN"/>
                    </w:rPr>
                  </w:pPr>
                  <w:r>
                    <w:rPr>
                      <w:rFonts w:hint="eastAsia" w:ascii="Times New Roman" w:hAnsi="Times New Roman" w:eastAsia="宋体" w:cs="Times New Roman"/>
                      <w:sz w:val="21"/>
                      <w:szCs w:val="21"/>
                      <w:highlight w:val="none"/>
                      <w:lang w:val="en-US" w:eastAsia="zh-CN"/>
                    </w:rPr>
                    <w:t xml:space="preserve">1.035 </w:t>
                  </w:r>
                </w:p>
              </w:tc>
              <w:tc>
                <w:tcPr>
                  <w:tcW w:w="959" w:type="pct"/>
                  <w:noWrap w:val="0"/>
                  <w:vAlign w:val="center"/>
                </w:tcPr>
                <w:p w14:paraId="43F9871D">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360" w:lineRule="auto"/>
                    <w:ind w:left="0" w:right="0"/>
                    <w:jc w:val="center"/>
                    <w:textAlignment w:val="auto"/>
                    <w:rPr>
                      <w:rFonts w:hint="eastAsia" w:ascii="Times New Roman" w:hAnsi="Times New Roman" w:eastAsia="宋体" w:cs="Times New Roman"/>
                      <w:sz w:val="21"/>
                      <w:szCs w:val="21"/>
                      <w:highlight w:val="none"/>
                      <w:lang w:val="en-US" w:eastAsia="zh-CN"/>
                    </w:rPr>
                  </w:pPr>
                  <w:r>
                    <w:rPr>
                      <w:rFonts w:hint="eastAsia" w:ascii="Times New Roman" w:hAnsi="Times New Roman" w:eastAsia="宋体" w:cs="Times New Roman"/>
                      <w:sz w:val="21"/>
                      <w:szCs w:val="21"/>
                      <w:highlight w:val="none"/>
                      <w:lang w:val="en-US" w:eastAsia="zh-CN"/>
                    </w:rPr>
                    <w:t>/</w:t>
                  </w:r>
                </w:p>
              </w:tc>
              <w:tc>
                <w:tcPr>
                  <w:tcW w:w="1035" w:type="pct"/>
                  <w:noWrap w:val="0"/>
                  <w:vAlign w:val="center"/>
                </w:tcPr>
                <w:p w14:paraId="540402DF">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360" w:lineRule="auto"/>
                    <w:ind w:left="0" w:right="0"/>
                    <w:jc w:val="center"/>
                    <w:textAlignment w:val="auto"/>
                    <w:rPr>
                      <w:rFonts w:hint="eastAsia" w:ascii="Times New Roman" w:hAnsi="Times New Roman" w:eastAsia="宋体" w:cs="Times New Roman"/>
                      <w:sz w:val="21"/>
                      <w:szCs w:val="21"/>
                      <w:highlight w:val="none"/>
                      <w:lang w:val="en-US" w:eastAsia="zh-CN"/>
                    </w:rPr>
                  </w:pPr>
                  <w:r>
                    <w:rPr>
                      <w:rFonts w:hint="eastAsia" w:ascii="Times New Roman" w:hAnsi="Times New Roman" w:eastAsia="宋体" w:cs="Times New Roman"/>
                      <w:sz w:val="21"/>
                      <w:szCs w:val="21"/>
                      <w:highlight w:val="none"/>
                      <w:lang w:val="en-US" w:eastAsia="zh-CN"/>
                    </w:rPr>
                    <w:t>/</w:t>
                  </w:r>
                </w:p>
              </w:tc>
              <w:tc>
                <w:tcPr>
                  <w:tcW w:w="2378" w:type="dxa"/>
                  <w:noWrap w:val="0"/>
                  <w:vAlign w:val="center"/>
                </w:tcPr>
                <w:p w14:paraId="088393DA">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360" w:lineRule="auto"/>
                    <w:ind w:left="0" w:right="0"/>
                    <w:jc w:val="center"/>
                    <w:textAlignment w:val="auto"/>
                    <w:rPr>
                      <w:rFonts w:hint="eastAsia" w:ascii="Times New Roman" w:hAnsi="Times New Roman" w:eastAsia="宋体" w:cs="Times New Roman"/>
                      <w:sz w:val="21"/>
                      <w:szCs w:val="21"/>
                      <w:highlight w:val="none"/>
                      <w:lang w:val="en-US" w:eastAsia="zh-CN"/>
                    </w:rPr>
                  </w:pPr>
                  <w:r>
                    <w:rPr>
                      <w:rFonts w:hint="eastAsia" w:ascii="Times New Roman" w:hAnsi="Times New Roman" w:eastAsia="宋体" w:cs="Times New Roman"/>
                      <w:sz w:val="21"/>
                      <w:szCs w:val="21"/>
                      <w:highlight w:val="none"/>
                      <w:lang w:val="en-US" w:eastAsia="zh-CN"/>
                    </w:rPr>
                    <w:t xml:space="preserve">1.035 </w:t>
                  </w:r>
                </w:p>
              </w:tc>
            </w:tr>
            <w:tr w14:paraId="72EE344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67" w:type="pct"/>
                  <w:noWrap w:val="0"/>
                  <w:vAlign w:val="center"/>
                </w:tcPr>
                <w:p w14:paraId="3F5003F9">
                  <w:pPr>
                    <w:keepNext w:val="0"/>
                    <w:keepLines w:val="0"/>
                    <w:suppressLineNumbers w:val="0"/>
                    <w:spacing w:before="0" w:beforeAutospacing="0" w:after="0" w:afterAutospacing="0" w:line="360" w:lineRule="auto"/>
                    <w:ind w:left="0" w:right="0"/>
                    <w:jc w:val="center"/>
                    <w:rPr>
                      <w:rFonts w:hint="default"/>
                      <w:sz w:val="21"/>
                      <w:szCs w:val="21"/>
                      <w:highlight w:val="none"/>
                    </w:rPr>
                  </w:pPr>
                  <w:r>
                    <w:rPr>
                      <w:rFonts w:hint="eastAsia"/>
                      <w:sz w:val="21"/>
                      <w:szCs w:val="21"/>
                      <w:highlight w:val="none"/>
                    </w:rPr>
                    <w:t>NH</w:t>
                  </w:r>
                  <w:r>
                    <w:rPr>
                      <w:rFonts w:hint="eastAsia"/>
                      <w:sz w:val="21"/>
                      <w:szCs w:val="21"/>
                      <w:highlight w:val="none"/>
                      <w:vertAlign w:val="subscript"/>
                    </w:rPr>
                    <w:t>3</w:t>
                  </w:r>
                  <w:r>
                    <w:rPr>
                      <w:rFonts w:hint="eastAsia"/>
                      <w:sz w:val="21"/>
                      <w:szCs w:val="21"/>
                      <w:highlight w:val="none"/>
                    </w:rPr>
                    <w:t>-N</w:t>
                  </w:r>
                </w:p>
              </w:tc>
              <w:tc>
                <w:tcPr>
                  <w:tcW w:w="1530" w:type="dxa"/>
                  <w:noWrap w:val="0"/>
                  <w:vAlign w:val="center"/>
                </w:tcPr>
                <w:p w14:paraId="7B1D872A">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360" w:lineRule="auto"/>
                    <w:ind w:left="0" w:right="0"/>
                    <w:jc w:val="center"/>
                    <w:textAlignment w:val="auto"/>
                    <w:rPr>
                      <w:rFonts w:hint="eastAsia" w:ascii="Times New Roman" w:hAnsi="Times New Roman" w:eastAsia="宋体" w:cs="Times New Roman"/>
                      <w:sz w:val="21"/>
                      <w:szCs w:val="21"/>
                      <w:highlight w:val="none"/>
                      <w:lang w:val="en-US" w:eastAsia="zh-CN"/>
                    </w:rPr>
                  </w:pPr>
                  <w:r>
                    <w:rPr>
                      <w:rFonts w:hint="eastAsia" w:ascii="Times New Roman" w:hAnsi="Times New Roman" w:eastAsia="宋体" w:cs="Times New Roman"/>
                      <w:sz w:val="21"/>
                      <w:szCs w:val="21"/>
                      <w:highlight w:val="none"/>
                      <w:lang w:val="en-US" w:eastAsia="zh-CN"/>
                    </w:rPr>
                    <w:t xml:space="preserve">0.052 </w:t>
                  </w:r>
                </w:p>
              </w:tc>
              <w:tc>
                <w:tcPr>
                  <w:tcW w:w="959" w:type="pct"/>
                  <w:noWrap w:val="0"/>
                  <w:vAlign w:val="center"/>
                </w:tcPr>
                <w:p w14:paraId="5187843A">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360" w:lineRule="auto"/>
                    <w:ind w:left="0" w:right="0"/>
                    <w:jc w:val="center"/>
                    <w:textAlignment w:val="auto"/>
                    <w:rPr>
                      <w:rFonts w:hint="eastAsia" w:ascii="Times New Roman" w:hAnsi="Times New Roman" w:eastAsia="宋体" w:cs="Times New Roman"/>
                      <w:sz w:val="21"/>
                      <w:szCs w:val="21"/>
                      <w:highlight w:val="none"/>
                      <w:lang w:val="en-US" w:eastAsia="zh-CN"/>
                    </w:rPr>
                  </w:pPr>
                  <w:r>
                    <w:rPr>
                      <w:rFonts w:hint="eastAsia" w:ascii="Times New Roman" w:hAnsi="Times New Roman" w:eastAsia="宋体" w:cs="Times New Roman"/>
                      <w:sz w:val="21"/>
                      <w:szCs w:val="21"/>
                      <w:highlight w:val="none"/>
                      <w:lang w:val="en-US" w:eastAsia="zh-CN"/>
                    </w:rPr>
                    <w:t>/</w:t>
                  </w:r>
                </w:p>
              </w:tc>
              <w:tc>
                <w:tcPr>
                  <w:tcW w:w="1035" w:type="pct"/>
                  <w:noWrap w:val="0"/>
                  <w:vAlign w:val="center"/>
                </w:tcPr>
                <w:p w14:paraId="0F2411A6">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360" w:lineRule="auto"/>
                    <w:ind w:left="0" w:right="0"/>
                    <w:jc w:val="center"/>
                    <w:textAlignment w:val="auto"/>
                    <w:rPr>
                      <w:rFonts w:hint="eastAsia" w:ascii="Times New Roman" w:hAnsi="Times New Roman" w:eastAsia="宋体" w:cs="Times New Roman"/>
                      <w:sz w:val="21"/>
                      <w:szCs w:val="21"/>
                      <w:highlight w:val="none"/>
                      <w:lang w:val="en-US" w:eastAsia="zh-CN"/>
                    </w:rPr>
                  </w:pPr>
                  <w:r>
                    <w:rPr>
                      <w:rFonts w:hint="eastAsia" w:ascii="Times New Roman" w:hAnsi="Times New Roman" w:eastAsia="宋体" w:cs="Times New Roman"/>
                      <w:sz w:val="21"/>
                      <w:szCs w:val="21"/>
                      <w:highlight w:val="none"/>
                      <w:lang w:val="en-US" w:eastAsia="zh-CN"/>
                    </w:rPr>
                    <w:t>/</w:t>
                  </w:r>
                </w:p>
              </w:tc>
              <w:tc>
                <w:tcPr>
                  <w:tcW w:w="2378" w:type="dxa"/>
                  <w:noWrap w:val="0"/>
                  <w:vAlign w:val="center"/>
                </w:tcPr>
                <w:p w14:paraId="5416EC4E">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360" w:lineRule="auto"/>
                    <w:ind w:left="0" w:right="0"/>
                    <w:jc w:val="center"/>
                    <w:textAlignment w:val="auto"/>
                    <w:rPr>
                      <w:rFonts w:hint="eastAsia" w:ascii="Times New Roman" w:hAnsi="Times New Roman" w:eastAsia="宋体" w:cs="Times New Roman"/>
                      <w:sz w:val="21"/>
                      <w:szCs w:val="21"/>
                      <w:highlight w:val="none"/>
                      <w:lang w:val="en-US" w:eastAsia="zh-CN"/>
                    </w:rPr>
                  </w:pPr>
                  <w:r>
                    <w:rPr>
                      <w:rFonts w:hint="eastAsia" w:ascii="Times New Roman" w:hAnsi="Times New Roman" w:eastAsia="宋体" w:cs="Times New Roman"/>
                      <w:sz w:val="21"/>
                      <w:szCs w:val="21"/>
                      <w:highlight w:val="none"/>
                      <w:lang w:val="en-US" w:eastAsia="zh-CN"/>
                    </w:rPr>
                    <w:t xml:space="preserve">0.052 </w:t>
                  </w:r>
                </w:p>
              </w:tc>
            </w:tr>
            <w:tr w14:paraId="748BD0E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67" w:type="pct"/>
                  <w:noWrap w:val="0"/>
                  <w:vAlign w:val="center"/>
                </w:tcPr>
                <w:p w14:paraId="538C9FAE">
                  <w:pPr>
                    <w:keepNext w:val="0"/>
                    <w:keepLines w:val="0"/>
                    <w:suppressLineNumbers w:val="0"/>
                    <w:spacing w:before="0" w:beforeAutospacing="0" w:after="0" w:afterAutospacing="0" w:line="360" w:lineRule="auto"/>
                    <w:ind w:left="0" w:right="0"/>
                    <w:jc w:val="center"/>
                    <w:rPr>
                      <w:rFonts w:hint="default" w:eastAsia="宋体"/>
                      <w:sz w:val="21"/>
                      <w:szCs w:val="21"/>
                      <w:highlight w:val="none"/>
                      <w:lang w:val="en-US" w:eastAsia="zh-CN"/>
                    </w:rPr>
                  </w:pPr>
                  <w:r>
                    <w:rPr>
                      <w:rFonts w:hint="eastAsia"/>
                      <w:sz w:val="21"/>
                      <w:szCs w:val="21"/>
                      <w:highlight w:val="none"/>
                      <w:lang w:val="en-US" w:eastAsia="zh-CN"/>
                    </w:rPr>
                    <w:t>VOCs</w:t>
                  </w:r>
                </w:p>
              </w:tc>
              <w:tc>
                <w:tcPr>
                  <w:tcW w:w="915" w:type="pct"/>
                  <w:noWrap w:val="0"/>
                  <w:vAlign w:val="center"/>
                </w:tcPr>
                <w:p w14:paraId="29BF2AE8">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360" w:lineRule="auto"/>
                    <w:ind w:left="0" w:right="0"/>
                    <w:jc w:val="center"/>
                    <w:textAlignment w:val="auto"/>
                    <w:rPr>
                      <w:rFonts w:hint="default" w:ascii="Times New Roman" w:hAnsi="Times New Roman" w:eastAsia="宋体" w:cs="Times New Roman"/>
                      <w:b w:val="0"/>
                      <w:bCs w:val="0"/>
                      <w:sz w:val="21"/>
                      <w:szCs w:val="21"/>
                      <w:highlight w:val="none"/>
                      <w:lang w:val="en-US" w:eastAsia="zh-CN"/>
                    </w:rPr>
                  </w:pPr>
                  <w:r>
                    <w:rPr>
                      <w:rFonts w:hint="eastAsia" w:ascii="Times New Roman" w:hAnsi="Times New Roman" w:eastAsia="宋体" w:cs="Times New Roman"/>
                      <w:b w:val="0"/>
                      <w:bCs w:val="0"/>
                      <w:color w:val="auto"/>
                      <w:sz w:val="21"/>
                      <w:szCs w:val="21"/>
                      <w:highlight w:val="none"/>
                      <w:lang w:val="en-US" w:eastAsia="zh-CN"/>
                    </w:rPr>
                    <w:t>1.</w:t>
                  </w:r>
                  <w:r>
                    <w:rPr>
                      <w:rFonts w:hint="eastAsia" w:ascii="Times New Roman" w:hAnsi="Times New Roman" w:cs="Times New Roman"/>
                      <w:b w:val="0"/>
                      <w:bCs w:val="0"/>
                      <w:color w:val="auto"/>
                      <w:sz w:val="21"/>
                      <w:szCs w:val="21"/>
                      <w:highlight w:val="none"/>
                      <w:lang w:val="en-US" w:eastAsia="zh-CN"/>
                    </w:rPr>
                    <w:t>272</w:t>
                  </w:r>
                </w:p>
              </w:tc>
              <w:tc>
                <w:tcPr>
                  <w:tcW w:w="959" w:type="pct"/>
                  <w:shd w:val="clear" w:color="auto" w:fill="auto"/>
                  <w:noWrap w:val="0"/>
                  <w:vAlign w:val="center"/>
                </w:tcPr>
                <w:p w14:paraId="02BF04CC">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360" w:lineRule="auto"/>
                    <w:ind w:left="0" w:right="0"/>
                    <w:jc w:val="center"/>
                    <w:textAlignment w:val="auto"/>
                    <w:rPr>
                      <w:rFonts w:hint="eastAsia" w:ascii="Times New Roman" w:hAnsi="Times New Roman" w:eastAsia="宋体" w:cs="Times New Roman"/>
                      <w:b w:val="0"/>
                      <w:bCs w:val="0"/>
                      <w:kern w:val="2"/>
                      <w:sz w:val="21"/>
                      <w:szCs w:val="21"/>
                      <w:highlight w:val="none"/>
                      <w:lang w:val="en-US" w:eastAsia="zh-CN" w:bidi="ar-SA"/>
                    </w:rPr>
                  </w:pPr>
                  <w:r>
                    <w:rPr>
                      <w:rFonts w:hint="eastAsia" w:ascii="Times New Roman" w:hAnsi="Times New Roman" w:eastAsia="宋体" w:cs="Times New Roman"/>
                      <w:b w:val="0"/>
                      <w:bCs w:val="0"/>
                      <w:sz w:val="21"/>
                      <w:szCs w:val="21"/>
                      <w:highlight w:val="none"/>
                      <w:lang w:val="en-US" w:eastAsia="zh-CN"/>
                    </w:rPr>
                    <w:t>/</w:t>
                  </w:r>
                </w:p>
              </w:tc>
              <w:tc>
                <w:tcPr>
                  <w:tcW w:w="1035" w:type="pct"/>
                  <w:shd w:val="clear" w:color="auto" w:fill="auto"/>
                  <w:noWrap w:val="0"/>
                  <w:vAlign w:val="center"/>
                </w:tcPr>
                <w:p w14:paraId="7319C941">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360" w:lineRule="auto"/>
                    <w:ind w:left="0" w:right="0"/>
                    <w:jc w:val="center"/>
                    <w:textAlignment w:val="auto"/>
                    <w:rPr>
                      <w:rFonts w:hint="eastAsia" w:ascii="Times New Roman" w:hAnsi="Times New Roman" w:eastAsia="宋体" w:cs="Times New Roman"/>
                      <w:b w:val="0"/>
                      <w:bCs w:val="0"/>
                      <w:kern w:val="2"/>
                      <w:sz w:val="21"/>
                      <w:szCs w:val="21"/>
                      <w:highlight w:val="none"/>
                      <w:lang w:val="en-US" w:eastAsia="zh-CN" w:bidi="ar-SA"/>
                    </w:rPr>
                  </w:pPr>
                  <w:r>
                    <w:rPr>
                      <w:rFonts w:hint="eastAsia" w:ascii="Times New Roman" w:hAnsi="Times New Roman" w:eastAsia="宋体" w:cs="Times New Roman"/>
                      <w:b w:val="0"/>
                      <w:bCs w:val="0"/>
                      <w:sz w:val="21"/>
                      <w:szCs w:val="21"/>
                      <w:highlight w:val="none"/>
                      <w:lang w:val="en-US" w:eastAsia="zh-CN"/>
                    </w:rPr>
                    <w:t>/</w:t>
                  </w:r>
                </w:p>
              </w:tc>
              <w:tc>
                <w:tcPr>
                  <w:tcW w:w="1422" w:type="pct"/>
                  <w:noWrap w:val="0"/>
                  <w:vAlign w:val="center"/>
                </w:tcPr>
                <w:p w14:paraId="399C7CC4">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360" w:lineRule="auto"/>
                    <w:ind w:left="0" w:right="0"/>
                    <w:jc w:val="center"/>
                    <w:textAlignment w:val="auto"/>
                    <w:rPr>
                      <w:rFonts w:hint="eastAsia" w:ascii="Times New Roman" w:hAnsi="Times New Roman" w:eastAsia="宋体" w:cs="Times New Roman"/>
                      <w:b w:val="0"/>
                      <w:bCs w:val="0"/>
                      <w:sz w:val="21"/>
                      <w:szCs w:val="21"/>
                      <w:highlight w:val="none"/>
                      <w:lang w:val="en-US" w:eastAsia="zh-CN"/>
                    </w:rPr>
                  </w:pPr>
                  <w:r>
                    <w:rPr>
                      <w:rFonts w:hint="eastAsia" w:ascii="Times New Roman" w:hAnsi="Times New Roman" w:eastAsia="宋体" w:cs="Times New Roman"/>
                      <w:b w:val="0"/>
                      <w:bCs w:val="0"/>
                      <w:color w:val="auto"/>
                      <w:sz w:val="21"/>
                      <w:szCs w:val="21"/>
                      <w:highlight w:val="none"/>
                      <w:lang w:val="en-US" w:eastAsia="zh-CN"/>
                    </w:rPr>
                    <w:t>1.</w:t>
                  </w:r>
                  <w:r>
                    <w:rPr>
                      <w:rFonts w:hint="eastAsia" w:ascii="Times New Roman" w:hAnsi="Times New Roman" w:cs="Times New Roman"/>
                      <w:b w:val="0"/>
                      <w:bCs w:val="0"/>
                      <w:color w:val="auto"/>
                      <w:sz w:val="21"/>
                      <w:szCs w:val="21"/>
                      <w:highlight w:val="none"/>
                      <w:lang w:val="en-US" w:eastAsia="zh-CN"/>
                    </w:rPr>
                    <w:t>272</w:t>
                  </w:r>
                </w:p>
              </w:tc>
            </w:tr>
          </w:tbl>
          <w:p w14:paraId="30FA7A37">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60" w:lineRule="auto"/>
              <w:ind w:left="0" w:right="0" w:firstLine="480" w:firstLineChars="200"/>
              <w:textAlignment w:val="auto"/>
              <w:rPr>
                <w:rFonts w:hint="eastAsia" w:eastAsia="宋体"/>
                <w:highlight w:val="none"/>
                <w:lang w:eastAsia="zh-CN"/>
              </w:rPr>
            </w:pPr>
            <w:r>
              <w:rPr>
                <w:rFonts w:hint="eastAsia" w:ascii="Times New Roman" w:hAnsi="Times New Roman" w:eastAsia="宋体" w:cs="Times New Roman"/>
                <w:sz w:val="24"/>
                <w:szCs w:val="24"/>
                <w:highlight w:val="none"/>
              </w:rPr>
              <w:t>本项目实施后总量控制建议值为：废水量：</w:t>
            </w:r>
            <w:r>
              <w:rPr>
                <w:rFonts w:hint="eastAsia" w:ascii="Times New Roman" w:hAnsi="Times New Roman" w:eastAsia="宋体" w:cs="Times New Roman"/>
                <w:sz w:val="24"/>
                <w:szCs w:val="24"/>
                <w:highlight w:val="none"/>
                <w:lang w:val="en-US" w:eastAsia="zh-CN"/>
              </w:rPr>
              <w:t>34513.6</w:t>
            </w:r>
            <w:r>
              <w:rPr>
                <w:rFonts w:hint="eastAsia" w:ascii="Times New Roman" w:hAnsi="Times New Roman" w:eastAsia="宋体" w:cs="Times New Roman"/>
                <w:sz w:val="24"/>
                <w:szCs w:val="24"/>
                <w:highlight w:val="none"/>
              </w:rPr>
              <w:t>t/a，CODcr：</w:t>
            </w:r>
            <w:r>
              <w:rPr>
                <w:rFonts w:hint="eastAsia" w:ascii="Times New Roman" w:hAnsi="Times New Roman" w:eastAsia="宋体" w:cs="Times New Roman"/>
                <w:sz w:val="24"/>
                <w:szCs w:val="24"/>
                <w:highlight w:val="none"/>
                <w:lang w:val="en-US" w:eastAsia="zh-CN"/>
              </w:rPr>
              <w:t xml:space="preserve">1.035 </w:t>
            </w:r>
            <w:r>
              <w:rPr>
                <w:rFonts w:hint="eastAsia" w:ascii="Times New Roman" w:hAnsi="Times New Roman" w:eastAsia="宋体" w:cs="Times New Roman"/>
                <w:sz w:val="24"/>
                <w:szCs w:val="24"/>
                <w:highlight w:val="none"/>
              </w:rPr>
              <w:t>t/a，NH</w:t>
            </w:r>
            <w:r>
              <w:rPr>
                <w:rFonts w:hint="eastAsia" w:ascii="Times New Roman" w:hAnsi="Times New Roman" w:eastAsia="宋体" w:cs="Times New Roman"/>
                <w:sz w:val="24"/>
                <w:szCs w:val="24"/>
                <w:highlight w:val="none"/>
                <w:vertAlign w:val="subscript"/>
              </w:rPr>
              <w:t>3</w:t>
            </w:r>
            <w:r>
              <w:rPr>
                <w:rFonts w:hint="eastAsia" w:ascii="Times New Roman" w:hAnsi="Times New Roman" w:eastAsia="宋体" w:cs="Times New Roman"/>
                <w:sz w:val="24"/>
                <w:szCs w:val="24"/>
                <w:highlight w:val="none"/>
              </w:rPr>
              <w:t>-N：</w:t>
            </w:r>
            <w:r>
              <w:rPr>
                <w:rFonts w:hint="eastAsia" w:ascii="Times New Roman" w:hAnsi="Times New Roman" w:eastAsia="宋体" w:cs="Times New Roman"/>
                <w:sz w:val="24"/>
                <w:szCs w:val="24"/>
                <w:highlight w:val="none"/>
                <w:lang w:val="en-US" w:eastAsia="zh-CN"/>
              </w:rPr>
              <w:t>0.05</w:t>
            </w:r>
            <w:r>
              <w:rPr>
                <w:rFonts w:hint="eastAsia" w:cs="Times New Roman"/>
                <w:sz w:val="24"/>
                <w:szCs w:val="24"/>
                <w:highlight w:val="none"/>
                <w:lang w:val="en-US" w:eastAsia="zh-CN"/>
              </w:rPr>
              <w:t>2</w:t>
            </w:r>
            <w:r>
              <w:rPr>
                <w:rFonts w:hint="eastAsia" w:ascii="Times New Roman" w:hAnsi="Times New Roman" w:eastAsia="宋体" w:cs="Times New Roman"/>
                <w:sz w:val="24"/>
                <w:szCs w:val="24"/>
                <w:highlight w:val="none"/>
              </w:rPr>
              <w:t>t/a</w:t>
            </w:r>
            <w:r>
              <w:rPr>
                <w:rFonts w:hint="eastAsia" w:ascii="Times New Roman" w:hAnsi="Times New Roman" w:eastAsia="宋体" w:cs="Times New Roman"/>
                <w:sz w:val="24"/>
                <w:szCs w:val="24"/>
                <w:highlight w:val="none"/>
                <w:lang w:eastAsia="zh-CN"/>
              </w:rPr>
              <w:t>，</w:t>
            </w:r>
            <w:r>
              <w:rPr>
                <w:rFonts w:hint="eastAsia" w:ascii="Times New Roman" w:hAnsi="Times New Roman" w:eastAsia="宋体" w:cs="Times New Roman"/>
                <w:sz w:val="24"/>
                <w:szCs w:val="24"/>
                <w:highlight w:val="none"/>
                <w:lang w:val="en-US" w:eastAsia="zh-CN"/>
              </w:rPr>
              <w:t>VOCs：</w:t>
            </w:r>
            <w:r>
              <w:rPr>
                <w:rFonts w:hint="eastAsia" w:cs="Times New Roman"/>
                <w:sz w:val="24"/>
                <w:szCs w:val="24"/>
                <w:highlight w:val="none"/>
                <w:lang w:val="en-US" w:eastAsia="zh-CN"/>
              </w:rPr>
              <w:t>1</w:t>
            </w:r>
            <w:r>
              <w:rPr>
                <w:rFonts w:hint="eastAsia" w:ascii="Times New Roman" w:hAnsi="Times New Roman" w:eastAsia="宋体" w:cs="Times New Roman"/>
                <w:sz w:val="24"/>
                <w:szCs w:val="24"/>
                <w:highlight w:val="none"/>
                <w:lang w:val="en-US" w:eastAsia="zh-CN"/>
              </w:rPr>
              <w:t>.</w:t>
            </w:r>
            <w:r>
              <w:rPr>
                <w:rFonts w:hint="eastAsia" w:cs="Times New Roman"/>
                <w:sz w:val="24"/>
                <w:szCs w:val="24"/>
                <w:highlight w:val="none"/>
                <w:lang w:val="en-US" w:eastAsia="zh-CN"/>
              </w:rPr>
              <w:t>2</w:t>
            </w:r>
            <w:r>
              <w:rPr>
                <w:rFonts w:hint="eastAsia" w:ascii="Times New Roman" w:hAnsi="Times New Roman" w:eastAsia="宋体" w:cs="Times New Roman"/>
                <w:sz w:val="24"/>
                <w:szCs w:val="24"/>
                <w:highlight w:val="none"/>
                <w:lang w:val="en-US" w:eastAsia="zh-CN"/>
              </w:rPr>
              <w:t>7</w:t>
            </w:r>
            <w:r>
              <w:rPr>
                <w:rFonts w:hint="eastAsia" w:cs="Times New Roman"/>
                <w:sz w:val="24"/>
                <w:szCs w:val="24"/>
                <w:highlight w:val="none"/>
                <w:lang w:val="en-US" w:eastAsia="zh-CN"/>
              </w:rPr>
              <w:t>2</w:t>
            </w:r>
            <w:r>
              <w:rPr>
                <w:rFonts w:hint="eastAsia" w:ascii="Times New Roman" w:hAnsi="Times New Roman" w:eastAsia="宋体" w:cs="Times New Roman"/>
                <w:sz w:val="24"/>
                <w:szCs w:val="24"/>
                <w:highlight w:val="none"/>
              </w:rPr>
              <w:t>t/a</w:t>
            </w:r>
            <w:r>
              <w:rPr>
                <w:rFonts w:hint="eastAsia" w:ascii="Times New Roman" w:hAnsi="Times New Roman" w:eastAsia="宋体" w:cs="Times New Roman"/>
                <w:sz w:val="24"/>
                <w:szCs w:val="24"/>
                <w:highlight w:val="none"/>
                <w:lang w:eastAsia="zh-CN"/>
              </w:rPr>
              <w:t>。</w:t>
            </w:r>
          </w:p>
        </w:tc>
      </w:tr>
    </w:tbl>
    <w:p w14:paraId="73BF981A">
      <w:pPr>
        <w:rPr>
          <w:highlight w:val="none"/>
          <w:lang w:val="zh-CN"/>
        </w:rPr>
        <w:sectPr>
          <w:pgSz w:w="11907" w:h="16840"/>
          <w:pgMar w:top="1701" w:right="1531" w:bottom="1701" w:left="1531" w:header="851" w:footer="851" w:gutter="0"/>
          <w:pgBorders>
            <w:top w:val="none" w:sz="0" w:space="0"/>
            <w:left w:val="none" w:sz="0" w:space="0"/>
            <w:bottom w:val="none" w:sz="0" w:space="0"/>
            <w:right w:val="none" w:sz="0" w:space="0"/>
          </w:pgBorders>
          <w:pgNumType w:fmt="decimal"/>
          <w:cols w:space="720" w:num="1"/>
          <w:docGrid w:linePitch="312" w:charSpace="0"/>
        </w:sectPr>
      </w:pPr>
    </w:p>
    <w:p w14:paraId="398F8CEE">
      <w:pPr>
        <w:pStyle w:val="2"/>
        <w:keepLines/>
        <w:widowControl/>
        <w:overflowPunct/>
        <w:adjustRightInd w:val="0"/>
        <w:spacing w:before="240" w:beforeLines="100" w:after="240" w:afterLines="100" w:line="240" w:lineRule="auto"/>
        <w:ind w:left="0" w:firstLine="0"/>
        <w:jc w:val="center"/>
        <w:rPr>
          <w:rFonts w:eastAsia="宋体"/>
          <w:b w:val="0"/>
          <w:color w:val="auto"/>
          <w:highlight w:val="none"/>
          <w:lang w:val="zh-CN"/>
        </w:rPr>
      </w:pPr>
      <w:bookmarkStart w:id="17" w:name="_Toc12776"/>
      <w:bookmarkStart w:id="18" w:name="_Toc66538120"/>
      <w:r>
        <w:rPr>
          <w:rFonts w:hint="eastAsia" w:eastAsia="宋体"/>
          <w:b w:val="0"/>
          <w:color w:val="auto"/>
          <w:highlight w:val="none"/>
          <w:lang w:val="zh-CN"/>
        </w:rPr>
        <w:t>四、主要环境影响和保护措施</w:t>
      </w:r>
      <w:bookmarkEnd w:id="17"/>
      <w:bookmarkEnd w:id="18"/>
    </w:p>
    <w:tbl>
      <w:tblPr>
        <w:tblStyle w:val="32"/>
        <w:tblW w:w="5044"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562"/>
        <w:gridCol w:w="8498"/>
      </w:tblGrid>
      <w:tr w14:paraId="062DEB5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310" w:type="pct"/>
            <w:tcMar>
              <w:left w:w="28" w:type="dxa"/>
              <w:right w:w="28" w:type="dxa"/>
            </w:tcMar>
            <w:vAlign w:val="center"/>
          </w:tcPr>
          <w:p w14:paraId="630C0DCF">
            <w:pPr>
              <w:pStyle w:val="27"/>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kern w:val="2"/>
                <w:sz w:val="21"/>
                <w:szCs w:val="21"/>
                <w:highlight w:val="none"/>
              </w:rPr>
            </w:pPr>
            <w:r>
              <w:rPr>
                <w:rFonts w:hint="eastAsia" w:ascii="Times New Roman" w:hAnsi="Times New Roman" w:eastAsia="宋体" w:cs="Times New Roman"/>
                <w:kern w:val="2"/>
                <w:sz w:val="21"/>
                <w:szCs w:val="21"/>
                <w:highlight w:val="none"/>
              </w:rPr>
              <w:t>施工</w:t>
            </w:r>
          </w:p>
          <w:p w14:paraId="4BD61953">
            <w:pPr>
              <w:pStyle w:val="27"/>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kern w:val="2"/>
                <w:sz w:val="21"/>
                <w:szCs w:val="21"/>
                <w:highlight w:val="none"/>
              </w:rPr>
            </w:pPr>
            <w:r>
              <w:rPr>
                <w:rFonts w:hint="eastAsia" w:ascii="Times New Roman" w:hAnsi="Times New Roman" w:eastAsia="宋体" w:cs="Times New Roman"/>
                <w:kern w:val="2"/>
                <w:sz w:val="21"/>
                <w:szCs w:val="21"/>
                <w:highlight w:val="none"/>
              </w:rPr>
              <w:t>期环</w:t>
            </w:r>
          </w:p>
          <w:p w14:paraId="3F590F93">
            <w:pPr>
              <w:pStyle w:val="27"/>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kern w:val="2"/>
                <w:sz w:val="21"/>
                <w:szCs w:val="21"/>
                <w:highlight w:val="none"/>
              </w:rPr>
            </w:pPr>
            <w:r>
              <w:rPr>
                <w:rFonts w:hint="eastAsia" w:ascii="Times New Roman" w:hAnsi="Times New Roman" w:eastAsia="宋体" w:cs="Times New Roman"/>
                <w:kern w:val="2"/>
                <w:sz w:val="21"/>
                <w:szCs w:val="21"/>
                <w:highlight w:val="none"/>
              </w:rPr>
              <w:t>境保</w:t>
            </w:r>
          </w:p>
          <w:p w14:paraId="76BE76E4">
            <w:pPr>
              <w:pStyle w:val="27"/>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kern w:val="2"/>
                <w:sz w:val="21"/>
                <w:szCs w:val="21"/>
                <w:highlight w:val="none"/>
              </w:rPr>
            </w:pPr>
            <w:r>
              <w:rPr>
                <w:rFonts w:hint="eastAsia" w:ascii="Times New Roman" w:hAnsi="Times New Roman" w:eastAsia="宋体" w:cs="Times New Roman"/>
                <w:kern w:val="2"/>
                <w:sz w:val="21"/>
                <w:szCs w:val="21"/>
                <w:highlight w:val="none"/>
              </w:rPr>
              <w:t>护措</w:t>
            </w:r>
          </w:p>
          <w:p w14:paraId="4FE30D75">
            <w:pPr>
              <w:pStyle w:val="27"/>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bCs/>
                <w:kern w:val="2"/>
                <w:sz w:val="21"/>
                <w:szCs w:val="21"/>
                <w:highlight w:val="none"/>
              </w:rPr>
            </w:pPr>
            <w:r>
              <w:rPr>
                <w:rFonts w:hint="eastAsia" w:ascii="Times New Roman" w:hAnsi="Times New Roman" w:eastAsia="宋体" w:cs="Times New Roman"/>
                <w:kern w:val="2"/>
                <w:sz w:val="21"/>
                <w:szCs w:val="21"/>
                <w:highlight w:val="none"/>
              </w:rPr>
              <w:t>施</w:t>
            </w:r>
          </w:p>
        </w:tc>
        <w:tc>
          <w:tcPr>
            <w:tcW w:w="4689" w:type="pct"/>
            <w:vAlign w:val="center"/>
          </w:tcPr>
          <w:p w14:paraId="3B1325E9">
            <w:pPr>
              <w:keepNext w:val="0"/>
              <w:keepLines w:val="0"/>
              <w:suppressLineNumbers w:val="0"/>
              <w:adjustRightInd w:val="0"/>
              <w:snapToGrid w:val="0"/>
              <w:spacing w:before="0" w:beforeAutospacing="0" w:after="0" w:afterAutospacing="0" w:line="360" w:lineRule="auto"/>
              <w:ind w:left="0" w:right="0" w:firstLine="480" w:firstLineChars="200"/>
              <w:rPr>
                <w:rFonts w:hint="default" w:ascii="Times New Roman" w:hAnsi="Times New Roman" w:eastAsia="宋体" w:cs="Times New Roman"/>
                <w:sz w:val="24"/>
                <w:highlight w:val="none"/>
                <w:vertAlign w:val="superscript"/>
              </w:rPr>
            </w:pPr>
            <w:r>
              <w:rPr>
                <w:rFonts w:hint="eastAsia" w:ascii="Times New Roman" w:hAnsi="Times New Roman" w:eastAsia="宋体" w:cs="Times New Roman"/>
                <w:sz w:val="24"/>
                <w:highlight w:val="none"/>
              </w:rPr>
              <w:t>本项目选址于衢州市高铁新城闽江大道以南、龙游路以西、常山港以北</w:t>
            </w:r>
            <w:r>
              <w:rPr>
                <w:rFonts w:hint="eastAsia" w:ascii="Times New Roman" w:hAnsi="Times New Roman" w:eastAsia="宋体" w:cs="Times New Roman"/>
                <w:sz w:val="24"/>
                <w:szCs w:val="24"/>
                <w:highlight w:val="none"/>
              </w:rPr>
              <w:t>，总</w:t>
            </w:r>
            <w:r>
              <w:rPr>
                <w:rFonts w:hint="eastAsia" w:ascii="Times New Roman" w:hAnsi="Times New Roman" w:eastAsia="宋体" w:cs="Times New Roman"/>
                <w:bCs/>
                <w:sz w:val="24"/>
                <w:szCs w:val="24"/>
                <w:highlight w:val="none"/>
              </w:rPr>
              <w:t>用地面积</w:t>
            </w:r>
            <w:r>
              <w:rPr>
                <w:rFonts w:hint="default" w:ascii="Times New Roman" w:hAnsi="Times New Roman" w:eastAsia="宋体" w:cs="Times New Roman"/>
                <w:color w:val="auto"/>
                <w:sz w:val="24"/>
                <w:szCs w:val="24"/>
                <w:highlight w:val="none"/>
                <w:lang w:val="en-US" w:eastAsia="zh-CN"/>
              </w:rPr>
              <w:t>约</w:t>
            </w:r>
            <w:r>
              <w:rPr>
                <w:rFonts w:hint="eastAsia" w:ascii="Times New Roman" w:hAnsi="Times New Roman" w:eastAsia="宋体" w:cs="Times New Roman"/>
                <w:sz w:val="24"/>
                <w:szCs w:val="24"/>
                <w:highlight w:val="none"/>
                <w:lang w:val="en-US" w:eastAsia="zh-CN"/>
              </w:rPr>
              <w:t>26666</w:t>
            </w:r>
            <w:r>
              <w:rPr>
                <w:rFonts w:hint="eastAsia" w:ascii="Times New Roman" w:hAnsi="Times New Roman" w:eastAsia="宋体" w:cs="Times New Roman"/>
                <w:color w:val="auto"/>
                <w:sz w:val="24"/>
                <w:szCs w:val="24"/>
                <w:highlight w:val="none"/>
                <w:lang w:val="en-US" w:eastAsia="zh-CN"/>
              </w:rPr>
              <w:t>m</w:t>
            </w:r>
            <w:r>
              <w:rPr>
                <w:rFonts w:hint="eastAsia" w:ascii="Times New Roman" w:hAnsi="Times New Roman" w:eastAsia="宋体" w:cs="Times New Roman"/>
                <w:color w:val="auto"/>
                <w:sz w:val="24"/>
                <w:szCs w:val="24"/>
                <w:highlight w:val="none"/>
                <w:vertAlign w:val="superscript"/>
                <w:lang w:val="en-US" w:eastAsia="zh-CN"/>
              </w:rPr>
              <w:t>2</w:t>
            </w:r>
            <w:r>
              <w:rPr>
                <w:rFonts w:hint="eastAsia" w:ascii="Times New Roman" w:hAnsi="Times New Roman" w:eastAsia="宋体" w:cs="Times New Roman"/>
                <w:sz w:val="24"/>
                <w:szCs w:val="24"/>
                <w:highlight w:val="none"/>
              </w:rPr>
              <w:t>。</w:t>
            </w:r>
            <w:r>
              <w:rPr>
                <w:rFonts w:hint="eastAsia" w:ascii="Times New Roman" w:hAnsi="Times New Roman" w:eastAsia="宋体" w:cs="Times New Roman"/>
                <w:color w:val="auto"/>
                <w:sz w:val="24"/>
                <w:szCs w:val="24"/>
                <w:highlight w:val="none"/>
              </w:rPr>
              <w:t>项目建设施工期预计为</w:t>
            </w:r>
            <w:r>
              <w:rPr>
                <w:rFonts w:hint="eastAsia" w:ascii="Times New Roman" w:hAnsi="Times New Roman" w:eastAsia="宋体" w:cs="Times New Roman"/>
                <w:color w:val="auto"/>
                <w:sz w:val="24"/>
                <w:szCs w:val="24"/>
                <w:highlight w:val="none"/>
                <w:lang w:val="en-US" w:eastAsia="zh-CN"/>
              </w:rPr>
              <w:t>24</w:t>
            </w:r>
            <w:r>
              <w:rPr>
                <w:rFonts w:hint="eastAsia" w:ascii="Times New Roman" w:hAnsi="Times New Roman" w:eastAsia="宋体" w:cs="Times New Roman"/>
                <w:color w:val="auto"/>
                <w:sz w:val="24"/>
                <w:highlight w:val="none"/>
              </w:rPr>
              <w:t>个月，施</w:t>
            </w:r>
            <w:r>
              <w:rPr>
                <w:rFonts w:hint="eastAsia" w:ascii="Times New Roman" w:hAnsi="Times New Roman" w:eastAsia="宋体" w:cs="Times New Roman"/>
                <w:sz w:val="24"/>
                <w:highlight w:val="none"/>
              </w:rPr>
              <w:t>工期主要环境污染影响包括扬尘、汽车尾气、装修废气等；建筑垃圾、装修垃圾和施工人员产生的生活垃圾等；建筑施工废水、施工人员的生活污水等；建筑施工机械噪声和车辆运输噪声等污染物影响。</w:t>
            </w:r>
          </w:p>
          <w:p w14:paraId="1B2433EF">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360" w:lineRule="auto"/>
              <w:ind w:left="0" w:right="0"/>
              <w:jc w:val="center"/>
              <w:textAlignment w:val="auto"/>
              <w:rPr>
                <w:rFonts w:hint="default" w:ascii="Times New Roman" w:hAnsi="Times New Roman" w:eastAsia="宋体" w:cs="Times New Roman"/>
                <w:b/>
                <w:bCs/>
                <w:szCs w:val="21"/>
                <w:highlight w:val="none"/>
              </w:rPr>
            </w:pPr>
            <w:r>
              <w:rPr>
                <w:rFonts w:hint="eastAsia" w:ascii="Times New Roman" w:hAnsi="Times New Roman" w:eastAsia="宋体" w:cs="Times New Roman"/>
                <w:b/>
                <w:bCs/>
                <w:szCs w:val="21"/>
                <w:highlight w:val="none"/>
              </w:rPr>
              <w:t>表4-1施工期环境保护措施一览表</w:t>
            </w:r>
          </w:p>
          <w:tbl>
            <w:tblPr>
              <w:tblStyle w:val="32"/>
              <w:tblW w:w="4998"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668"/>
              <w:gridCol w:w="7601"/>
            </w:tblGrid>
            <w:tr w14:paraId="52F08FB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404" w:type="pct"/>
                  <w:vAlign w:val="center"/>
                </w:tcPr>
                <w:p w14:paraId="3D418850">
                  <w:pPr>
                    <w:keepNext w:val="0"/>
                    <w:keepLines w:val="0"/>
                    <w:widowControl/>
                    <w:suppressLineNumbers w:val="0"/>
                    <w:adjustRightInd w:val="0"/>
                    <w:snapToGrid w:val="0"/>
                    <w:spacing w:before="0" w:beforeAutospacing="0" w:after="0" w:afterAutospacing="0"/>
                    <w:ind w:left="0" w:right="0"/>
                    <w:jc w:val="center"/>
                    <w:rPr>
                      <w:rFonts w:hint="default" w:ascii="Times New Roman" w:hAnsi="Times New Roman" w:eastAsia="宋体" w:cs="Times New Roman"/>
                      <w:kern w:val="0"/>
                      <w:sz w:val="21"/>
                      <w:szCs w:val="21"/>
                      <w:highlight w:val="none"/>
                    </w:rPr>
                  </w:pPr>
                  <w:r>
                    <w:rPr>
                      <w:rFonts w:hint="eastAsia" w:ascii="Times New Roman" w:hAnsi="Times New Roman" w:eastAsia="宋体" w:cs="Times New Roman"/>
                      <w:kern w:val="0"/>
                      <w:sz w:val="21"/>
                      <w:szCs w:val="21"/>
                      <w:highlight w:val="none"/>
                    </w:rPr>
                    <w:t>类别</w:t>
                  </w:r>
                </w:p>
              </w:tc>
              <w:tc>
                <w:tcPr>
                  <w:tcW w:w="4595" w:type="pct"/>
                  <w:vAlign w:val="center"/>
                </w:tcPr>
                <w:p w14:paraId="6EC731B2">
                  <w:pPr>
                    <w:keepNext w:val="0"/>
                    <w:keepLines w:val="0"/>
                    <w:widowControl/>
                    <w:suppressLineNumbers w:val="0"/>
                    <w:adjustRightInd w:val="0"/>
                    <w:snapToGrid w:val="0"/>
                    <w:spacing w:before="0" w:beforeAutospacing="0" w:after="0" w:afterAutospacing="0"/>
                    <w:ind w:left="0" w:right="0"/>
                    <w:jc w:val="center"/>
                    <w:rPr>
                      <w:rFonts w:hint="default" w:ascii="Times New Roman" w:hAnsi="Times New Roman" w:eastAsia="宋体" w:cs="Times New Roman"/>
                      <w:kern w:val="0"/>
                      <w:sz w:val="21"/>
                      <w:szCs w:val="21"/>
                      <w:highlight w:val="none"/>
                    </w:rPr>
                  </w:pPr>
                  <w:r>
                    <w:rPr>
                      <w:rFonts w:hint="eastAsia" w:ascii="Times New Roman" w:hAnsi="Times New Roman" w:eastAsia="宋体" w:cs="Times New Roman"/>
                      <w:kern w:val="0"/>
                      <w:sz w:val="21"/>
                      <w:szCs w:val="21"/>
                      <w:highlight w:val="none"/>
                    </w:rPr>
                    <w:t>防治措施</w:t>
                  </w:r>
                </w:p>
              </w:tc>
            </w:tr>
            <w:tr w14:paraId="233D7C1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404" w:type="pct"/>
                  <w:vAlign w:val="center"/>
                </w:tcPr>
                <w:p w14:paraId="6114C227">
                  <w:pPr>
                    <w:keepNext w:val="0"/>
                    <w:keepLines w:val="0"/>
                    <w:widowControl/>
                    <w:suppressLineNumbers w:val="0"/>
                    <w:adjustRightInd w:val="0"/>
                    <w:snapToGrid w:val="0"/>
                    <w:spacing w:before="0" w:beforeAutospacing="0" w:after="0" w:afterAutospacing="0"/>
                    <w:ind w:left="0" w:right="0"/>
                    <w:jc w:val="center"/>
                    <w:rPr>
                      <w:rFonts w:hint="default" w:ascii="Times New Roman" w:hAnsi="Times New Roman" w:eastAsia="宋体" w:cs="Times New Roman"/>
                      <w:kern w:val="0"/>
                      <w:sz w:val="21"/>
                      <w:szCs w:val="21"/>
                      <w:highlight w:val="none"/>
                    </w:rPr>
                  </w:pPr>
                  <w:r>
                    <w:rPr>
                      <w:rFonts w:hint="eastAsia" w:ascii="Times New Roman" w:hAnsi="Times New Roman" w:eastAsia="宋体" w:cs="Times New Roman"/>
                      <w:kern w:val="0"/>
                      <w:sz w:val="21"/>
                      <w:szCs w:val="21"/>
                      <w:highlight w:val="none"/>
                    </w:rPr>
                    <w:t>施工扬尘</w:t>
                  </w:r>
                </w:p>
              </w:tc>
              <w:tc>
                <w:tcPr>
                  <w:tcW w:w="4595" w:type="pct"/>
                  <w:vAlign w:val="center"/>
                </w:tcPr>
                <w:p w14:paraId="734D622B">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ind w:left="0" w:right="0" w:firstLine="0" w:firstLineChars="0"/>
                    <w:jc w:val="both"/>
                    <w:textAlignment w:val="auto"/>
                    <w:rPr>
                      <w:rFonts w:hint="default" w:ascii="Times New Roman" w:hAnsi="Times New Roman" w:eastAsia="宋体" w:cs="Times New Roman"/>
                      <w:kern w:val="0"/>
                      <w:sz w:val="21"/>
                      <w:szCs w:val="21"/>
                      <w:highlight w:val="none"/>
                    </w:rPr>
                  </w:pPr>
                  <w:r>
                    <w:rPr>
                      <w:rFonts w:hint="eastAsia" w:ascii="Times New Roman" w:hAnsi="Times New Roman" w:eastAsia="宋体" w:cs="Times New Roman"/>
                      <w:kern w:val="0"/>
                      <w:sz w:val="21"/>
                      <w:szCs w:val="21"/>
                      <w:highlight w:val="none"/>
                    </w:rPr>
                    <w:t>1、运输装载物不宜超过车厢挡板高度，同时要采取相应的遮盖、封闭措施；对于不慎洒落的沙土和建筑材料，应对地面进行清理；运输车辆进入施工场地应低速行驶或者限速行驶，减少产尘量；施工现场出入口设置车辆冲洗设施，出入车辆必须冲洗干净，保证运输车辆不带泥上路；装卸物料时，采取喷淋等有效降尘措施。</w:t>
                  </w:r>
                </w:p>
                <w:p w14:paraId="773BEC5F">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ind w:left="0" w:right="0" w:firstLine="0" w:firstLineChars="0"/>
                    <w:jc w:val="both"/>
                    <w:textAlignment w:val="auto"/>
                    <w:rPr>
                      <w:rFonts w:hint="default" w:ascii="Times New Roman" w:hAnsi="Times New Roman" w:eastAsia="宋体" w:cs="Times New Roman"/>
                      <w:kern w:val="0"/>
                      <w:sz w:val="21"/>
                      <w:szCs w:val="21"/>
                      <w:highlight w:val="none"/>
                    </w:rPr>
                  </w:pPr>
                  <w:r>
                    <w:rPr>
                      <w:rFonts w:hint="eastAsia" w:ascii="Times New Roman" w:hAnsi="Times New Roman" w:eastAsia="宋体" w:cs="Times New Roman"/>
                      <w:kern w:val="0"/>
                      <w:sz w:val="21"/>
                      <w:szCs w:val="21"/>
                      <w:highlight w:val="none"/>
                    </w:rPr>
                    <w:t>2、对通行机动车的临时道路和施工场内裸露地面均应硬化处理，配置滞尘防护网，同时对扬尘发生量大的部位采用喷水雾法降低扬尘，对运输交通道路应及时洒水、清洒；</w:t>
                  </w:r>
                </w:p>
                <w:p w14:paraId="0AD90BE7">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ind w:left="0" w:right="0" w:firstLine="0" w:firstLineChars="0"/>
                    <w:jc w:val="both"/>
                    <w:textAlignment w:val="auto"/>
                    <w:rPr>
                      <w:rFonts w:hint="default" w:ascii="Times New Roman" w:hAnsi="Times New Roman" w:eastAsia="宋体" w:cs="Times New Roman"/>
                      <w:kern w:val="0"/>
                      <w:sz w:val="21"/>
                      <w:szCs w:val="21"/>
                      <w:highlight w:val="none"/>
                    </w:rPr>
                  </w:pPr>
                  <w:r>
                    <w:rPr>
                      <w:rFonts w:hint="eastAsia" w:ascii="Times New Roman" w:hAnsi="Times New Roman" w:eastAsia="宋体" w:cs="Times New Roman"/>
                      <w:kern w:val="0"/>
                      <w:sz w:val="21"/>
                      <w:szCs w:val="21"/>
                      <w:highlight w:val="none"/>
                    </w:rPr>
                    <w:t>3、对施工区和临时土堆应适当洒水，使其保持一定湿度，洒水量要适度；物料装卸应设置在主导风向下风向位置，并采取遮盖、洒水、喷洒覆盖剂等防尘措施，施工用原料堆放场应尽量远离居民楼，应建设防风抑尘围挡等。</w:t>
                  </w:r>
                </w:p>
              </w:tc>
            </w:tr>
            <w:tr w14:paraId="126805B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404" w:type="pct"/>
                  <w:vAlign w:val="center"/>
                </w:tcPr>
                <w:p w14:paraId="228BFC78">
                  <w:pPr>
                    <w:keepNext w:val="0"/>
                    <w:keepLines w:val="0"/>
                    <w:widowControl/>
                    <w:suppressLineNumbers w:val="0"/>
                    <w:adjustRightInd w:val="0"/>
                    <w:snapToGrid w:val="0"/>
                    <w:spacing w:before="0" w:beforeAutospacing="0" w:after="0" w:afterAutospacing="0"/>
                    <w:ind w:left="0" w:right="0"/>
                    <w:jc w:val="center"/>
                    <w:rPr>
                      <w:rFonts w:hint="default" w:ascii="Times New Roman" w:hAnsi="Times New Roman" w:eastAsia="宋体" w:cs="Times New Roman"/>
                      <w:kern w:val="0"/>
                      <w:sz w:val="21"/>
                      <w:szCs w:val="21"/>
                      <w:highlight w:val="none"/>
                    </w:rPr>
                  </w:pPr>
                  <w:r>
                    <w:rPr>
                      <w:rFonts w:hint="eastAsia" w:ascii="Times New Roman" w:hAnsi="Times New Roman" w:eastAsia="宋体" w:cs="Times New Roman"/>
                      <w:kern w:val="0"/>
                      <w:sz w:val="21"/>
                      <w:szCs w:val="21"/>
                      <w:highlight w:val="none"/>
                    </w:rPr>
                    <w:t>汽车尾气</w:t>
                  </w:r>
                </w:p>
              </w:tc>
              <w:tc>
                <w:tcPr>
                  <w:tcW w:w="4595" w:type="pct"/>
                  <w:vAlign w:val="center"/>
                </w:tcPr>
                <w:p w14:paraId="0E4F9985">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ind w:left="0" w:right="0" w:firstLine="0" w:firstLineChars="0"/>
                    <w:jc w:val="both"/>
                    <w:textAlignment w:val="auto"/>
                    <w:rPr>
                      <w:rFonts w:hint="default" w:ascii="Times New Roman" w:hAnsi="Times New Roman" w:eastAsia="宋体" w:cs="Times New Roman"/>
                      <w:kern w:val="0"/>
                      <w:sz w:val="21"/>
                      <w:szCs w:val="21"/>
                      <w:highlight w:val="none"/>
                    </w:rPr>
                  </w:pPr>
                  <w:r>
                    <w:rPr>
                      <w:rFonts w:hint="eastAsia" w:ascii="Times New Roman" w:hAnsi="Times New Roman" w:eastAsia="宋体" w:cs="Times New Roman"/>
                      <w:kern w:val="0"/>
                      <w:sz w:val="21"/>
                      <w:szCs w:val="21"/>
                      <w:highlight w:val="none"/>
                    </w:rPr>
                    <w:t>对于施工期的作业机械废气，主要采取的防治与缓解措施有：</w:t>
                  </w:r>
                </w:p>
                <w:p w14:paraId="3EC3A725">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ind w:left="0" w:right="0" w:firstLine="0" w:firstLineChars="0"/>
                    <w:jc w:val="both"/>
                    <w:textAlignment w:val="auto"/>
                    <w:rPr>
                      <w:rFonts w:hint="default" w:ascii="Times New Roman" w:hAnsi="Times New Roman" w:eastAsia="宋体" w:cs="Times New Roman"/>
                      <w:kern w:val="0"/>
                      <w:sz w:val="21"/>
                      <w:szCs w:val="21"/>
                      <w:highlight w:val="none"/>
                    </w:rPr>
                  </w:pPr>
                  <w:r>
                    <w:rPr>
                      <w:rFonts w:hint="eastAsia" w:ascii="Times New Roman" w:hAnsi="Times New Roman" w:eastAsia="宋体" w:cs="Times New Roman"/>
                      <w:kern w:val="0"/>
                      <w:sz w:val="21"/>
                      <w:szCs w:val="21"/>
                      <w:highlight w:val="none"/>
                    </w:rPr>
                    <w:t>1、合理设计施工流程，并进行有序组织，降低重复施工的机会；</w:t>
                  </w:r>
                </w:p>
                <w:p w14:paraId="0E927E4F">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ind w:left="0" w:right="0" w:firstLine="0" w:firstLineChars="0"/>
                    <w:jc w:val="both"/>
                    <w:textAlignment w:val="auto"/>
                    <w:rPr>
                      <w:rFonts w:hint="default" w:ascii="Times New Roman" w:hAnsi="Times New Roman" w:eastAsia="宋体" w:cs="Times New Roman"/>
                      <w:kern w:val="0"/>
                      <w:sz w:val="21"/>
                      <w:szCs w:val="21"/>
                      <w:highlight w:val="none"/>
                    </w:rPr>
                  </w:pPr>
                  <w:r>
                    <w:rPr>
                      <w:rFonts w:hint="eastAsia" w:ascii="Times New Roman" w:hAnsi="Times New Roman" w:eastAsia="宋体" w:cs="Times New Roman"/>
                      <w:kern w:val="0"/>
                      <w:sz w:val="21"/>
                      <w:szCs w:val="21"/>
                      <w:highlight w:val="none"/>
                    </w:rPr>
                    <w:t>2、采用低排出排放的机械设备，并严格禁止不达标排放的设备使用；</w:t>
                  </w:r>
                </w:p>
                <w:p w14:paraId="66256B3A">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ind w:left="0" w:right="0" w:firstLine="0" w:firstLineChars="0"/>
                    <w:jc w:val="both"/>
                    <w:textAlignment w:val="auto"/>
                    <w:rPr>
                      <w:rFonts w:hint="default" w:ascii="Times New Roman" w:hAnsi="Times New Roman" w:eastAsia="宋体" w:cs="Times New Roman"/>
                      <w:kern w:val="0"/>
                      <w:sz w:val="21"/>
                      <w:szCs w:val="21"/>
                      <w:highlight w:val="none"/>
                    </w:rPr>
                  </w:pPr>
                  <w:r>
                    <w:rPr>
                      <w:rFonts w:hint="eastAsia" w:ascii="Times New Roman" w:hAnsi="Times New Roman" w:eastAsia="宋体" w:cs="Times New Roman"/>
                      <w:kern w:val="0"/>
                      <w:sz w:val="21"/>
                      <w:szCs w:val="21"/>
                      <w:highlight w:val="none"/>
                    </w:rPr>
                    <w:t>3、加强机械设备的保养与合理操作，减少其废气的排放量。</w:t>
                  </w:r>
                </w:p>
              </w:tc>
            </w:tr>
            <w:tr w14:paraId="6402CB9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404" w:type="pct"/>
                  <w:vAlign w:val="center"/>
                </w:tcPr>
                <w:p w14:paraId="60788D65">
                  <w:pPr>
                    <w:keepNext w:val="0"/>
                    <w:keepLines w:val="0"/>
                    <w:widowControl/>
                    <w:suppressLineNumbers w:val="0"/>
                    <w:adjustRightInd w:val="0"/>
                    <w:snapToGrid w:val="0"/>
                    <w:spacing w:before="0" w:beforeAutospacing="0" w:after="0" w:afterAutospacing="0"/>
                    <w:ind w:left="0" w:right="0"/>
                    <w:jc w:val="center"/>
                    <w:rPr>
                      <w:rFonts w:hint="default" w:ascii="Times New Roman" w:hAnsi="Times New Roman" w:eastAsia="宋体" w:cs="Times New Roman"/>
                      <w:kern w:val="0"/>
                      <w:sz w:val="21"/>
                      <w:szCs w:val="21"/>
                      <w:highlight w:val="none"/>
                    </w:rPr>
                  </w:pPr>
                  <w:r>
                    <w:rPr>
                      <w:rFonts w:hint="eastAsia" w:ascii="Times New Roman" w:hAnsi="Times New Roman" w:eastAsia="宋体" w:cs="Times New Roman"/>
                      <w:kern w:val="0"/>
                      <w:sz w:val="21"/>
                      <w:szCs w:val="21"/>
                      <w:highlight w:val="none"/>
                    </w:rPr>
                    <w:t>装修废气</w:t>
                  </w:r>
                </w:p>
              </w:tc>
              <w:tc>
                <w:tcPr>
                  <w:tcW w:w="4595" w:type="pct"/>
                  <w:vAlign w:val="center"/>
                </w:tcPr>
                <w:p w14:paraId="31794F4C">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ind w:left="0" w:right="0" w:firstLine="0" w:firstLineChars="0"/>
                    <w:jc w:val="both"/>
                    <w:textAlignment w:val="auto"/>
                    <w:rPr>
                      <w:rFonts w:hint="default" w:ascii="Times New Roman" w:hAnsi="Times New Roman" w:eastAsia="宋体" w:cs="Times New Roman"/>
                      <w:kern w:val="0"/>
                      <w:sz w:val="21"/>
                      <w:szCs w:val="21"/>
                      <w:highlight w:val="none"/>
                    </w:rPr>
                  </w:pPr>
                  <w:r>
                    <w:rPr>
                      <w:rFonts w:hint="eastAsia" w:ascii="Times New Roman" w:hAnsi="Times New Roman" w:eastAsia="宋体" w:cs="Times New Roman"/>
                      <w:kern w:val="0"/>
                      <w:sz w:val="21"/>
                      <w:szCs w:val="21"/>
                      <w:highlight w:val="none"/>
                    </w:rPr>
                    <w:t>装修材料废气主要含有甲醛、苯等污染物，其产生量跟选用装修材料的种类、品质有关。为减少装修材料排放废气的影响，防治措施如下：</w:t>
                  </w:r>
                </w:p>
                <w:p w14:paraId="3EFEC30D">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ind w:left="0" w:right="0" w:firstLine="0" w:firstLineChars="0"/>
                    <w:jc w:val="both"/>
                    <w:textAlignment w:val="auto"/>
                    <w:rPr>
                      <w:rFonts w:hint="default" w:ascii="Times New Roman" w:hAnsi="Times New Roman" w:eastAsia="宋体" w:cs="Times New Roman"/>
                      <w:kern w:val="0"/>
                      <w:sz w:val="21"/>
                      <w:szCs w:val="21"/>
                      <w:highlight w:val="none"/>
                    </w:rPr>
                  </w:pPr>
                  <w:r>
                    <w:rPr>
                      <w:rFonts w:hint="eastAsia" w:ascii="Times New Roman" w:hAnsi="Times New Roman" w:eastAsia="宋体" w:cs="Times New Roman"/>
                      <w:kern w:val="0"/>
                      <w:sz w:val="21"/>
                      <w:szCs w:val="21"/>
                      <w:highlight w:val="none"/>
                    </w:rPr>
                    <w:t>1、使用的材料和设备必须遵循国家质量标准，有质量检验合格证明和有中文标识的产品名称、规格、型号、生产厂厂名、厂址等；</w:t>
                  </w:r>
                </w:p>
                <w:p w14:paraId="54D02E24">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ind w:left="0" w:right="0" w:firstLine="0" w:firstLineChars="0"/>
                    <w:jc w:val="both"/>
                    <w:textAlignment w:val="auto"/>
                    <w:rPr>
                      <w:rFonts w:hint="default" w:ascii="Times New Roman" w:hAnsi="Times New Roman" w:eastAsia="宋体" w:cs="Times New Roman"/>
                      <w:kern w:val="0"/>
                      <w:sz w:val="21"/>
                      <w:szCs w:val="21"/>
                      <w:highlight w:val="none"/>
                    </w:rPr>
                  </w:pPr>
                  <w:r>
                    <w:rPr>
                      <w:rFonts w:hint="eastAsia" w:ascii="Times New Roman" w:hAnsi="Times New Roman" w:eastAsia="宋体" w:cs="Times New Roman"/>
                      <w:kern w:val="0"/>
                      <w:sz w:val="21"/>
                      <w:szCs w:val="21"/>
                      <w:highlight w:val="none"/>
                    </w:rPr>
                    <w:t>2、禁止使用国家已明确禁止使用的建筑装饰装修材料和设备。装修完毕后须空置通风一段时间，一般3个月以上，消除有害物质的残留，方可投入使用；</w:t>
                  </w:r>
                </w:p>
                <w:p w14:paraId="74DC833C">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ind w:left="0" w:right="0" w:firstLine="0" w:firstLineChars="0"/>
                    <w:jc w:val="both"/>
                    <w:textAlignment w:val="auto"/>
                    <w:rPr>
                      <w:rFonts w:hint="default" w:ascii="Times New Roman" w:hAnsi="Times New Roman" w:eastAsia="宋体" w:cs="Times New Roman"/>
                      <w:kern w:val="0"/>
                      <w:sz w:val="21"/>
                      <w:szCs w:val="21"/>
                      <w:highlight w:val="none"/>
                    </w:rPr>
                  </w:pPr>
                  <w:r>
                    <w:rPr>
                      <w:rFonts w:hint="eastAsia" w:ascii="Times New Roman" w:hAnsi="Times New Roman" w:eastAsia="宋体" w:cs="Times New Roman"/>
                      <w:kern w:val="0"/>
                      <w:sz w:val="21"/>
                      <w:szCs w:val="21"/>
                      <w:highlight w:val="none"/>
                    </w:rPr>
                    <w:t>3、建议请有相关资质单位检测合格后再投入使用，使用期间还应保持室内的空气流通。</w:t>
                  </w:r>
                </w:p>
              </w:tc>
            </w:tr>
            <w:tr w14:paraId="0C6E4B0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404" w:type="pct"/>
                  <w:vAlign w:val="center"/>
                </w:tcPr>
                <w:p w14:paraId="083ADFB8">
                  <w:pPr>
                    <w:keepNext w:val="0"/>
                    <w:keepLines w:val="0"/>
                    <w:widowControl/>
                    <w:suppressLineNumbers w:val="0"/>
                    <w:adjustRightInd w:val="0"/>
                    <w:snapToGrid w:val="0"/>
                    <w:spacing w:before="0" w:beforeAutospacing="0" w:after="0" w:afterAutospacing="0"/>
                    <w:ind w:left="0" w:right="0"/>
                    <w:jc w:val="center"/>
                    <w:rPr>
                      <w:rFonts w:hint="default" w:ascii="Times New Roman" w:hAnsi="Times New Roman" w:eastAsia="宋体" w:cs="Times New Roman"/>
                      <w:kern w:val="0"/>
                      <w:sz w:val="21"/>
                      <w:szCs w:val="21"/>
                      <w:highlight w:val="none"/>
                    </w:rPr>
                  </w:pPr>
                  <w:r>
                    <w:rPr>
                      <w:rFonts w:hint="eastAsia" w:ascii="Times New Roman" w:hAnsi="Times New Roman" w:eastAsia="宋体" w:cs="Times New Roman"/>
                      <w:kern w:val="0"/>
                      <w:sz w:val="21"/>
                      <w:szCs w:val="21"/>
                      <w:highlight w:val="none"/>
                    </w:rPr>
                    <w:t>施工期废水</w:t>
                  </w:r>
                </w:p>
              </w:tc>
              <w:tc>
                <w:tcPr>
                  <w:tcW w:w="4595" w:type="pct"/>
                  <w:vAlign w:val="center"/>
                </w:tcPr>
                <w:p w14:paraId="1DB2D4AA">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ind w:left="0" w:right="0" w:firstLine="0" w:firstLineChars="0"/>
                    <w:jc w:val="both"/>
                    <w:textAlignment w:val="auto"/>
                    <w:rPr>
                      <w:rFonts w:hint="default" w:ascii="Times New Roman" w:hAnsi="Times New Roman" w:eastAsia="宋体" w:cs="Times New Roman"/>
                      <w:kern w:val="0"/>
                      <w:sz w:val="21"/>
                      <w:szCs w:val="21"/>
                      <w:highlight w:val="none"/>
                    </w:rPr>
                  </w:pPr>
                  <w:r>
                    <w:rPr>
                      <w:rFonts w:hint="eastAsia" w:ascii="Times New Roman" w:hAnsi="Times New Roman" w:eastAsia="宋体" w:cs="Times New Roman"/>
                      <w:kern w:val="0"/>
                      <w:sz w:val="21"/>
                      <w:szCs w:val="21"/>
                      <w:highlight w:val="none"/>
                    </w:rPr>
                    <w:t>主要为施工期地基挖掘时的地下水和浇注砼后的冲洗水和施工人员生活污水，防治措施如下：</w:t>
                  </w:r>
                </w:p>
                <w:p w14:paraId="6EDD599F">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ind w:left="0" w:right="0" w:firstLine="0" w:firstLineChars="0"/>
                    <w:jc w:val="both"/>
                    <w:textAlignment w:val="auto"/>
                    <w:rPr>
                      <w:rFonts w:hint="default" w:ascii="Times New Roman" w:hAnsi="Times New Roman" w:eastAsia="宋体" w:cs="Times New Roman"/>
                      <w:kern w:val="0"/>
                      <w:sz w:val="21"/>
                      <w:szCs w:val="21"/>
                      <w:highlight w:val="none"/>
                    </w:rPr>
                  </w:pPr>
                  <w:r>
                    <w:rPr>
                      <w:rFonts w:hint="eastAsia" w:ascii="Times New Roman" w:hAnsi="Times New Roman" w:eastAsia="宋体" w:cs="Times New Roman"/>
                      <w:kern w:val="0"/>
                      <w:sz w:val="21"/>
                      <w:szCs w:val="21"/>
                      <w:highlight w:val="none"/>
                    </w:rPr>
                    <w:t>1、集中收集施工机械冲洗废水及基坑废水，废水经沉淀处理后重新用于场地内车辆冲洗和道路洒水抑尘。</w:t>
                  </w:r>
                </w:p>
                <w:p w14:paraId="794D0F3F">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ind w:left="0" w:right="0" w:firstLine="0" w:firstLineChars="0"/>
                    <w:jc w:val="both"/>
                    <w:textAlignment w:val="auto"/>
                    <w:rPr>
                      <w:rFonts w:hint="default" w:ascii="Times New Roman" w:hAnsi="Times New Roman" w:eastAsia="宋体" w:cs="Times New Roman"/>
                      <w:kern w:val="0"/>
                      <w:sz w:val="21"/>
                      <w:szCs w:val="21"/>
                      <w:highlight w:val="none"/>
                    </w:rPr>
                  </w:pPr>
                  <w:r>
                    <w:rPr>
                      <w:rFonts w:hint="eastAsia" w:ascii="Times New Roman" w:hAnsi="Times New Roman" w:eastAsia="宋体" w:cs="Times New Roman"/>
                      <w:kern w:val="0"/>
                      <w:sz w:val="21"/>
                      <w:szCs w:val="21"/>
                      <w:highlight w:val="none"/>
                    </w:rPr>
                    <w:t>2、对运输、堆存严加管理，落实水土保持措施，如合理存放物料，在堆场顶部设置覆盖物；石灰、水泥等物质不露天存放；合理安排存放时间，减少堆积时长。</w:t>
                  </w:r>
                </w:p>
                <w:p w14:paraId="056A7A17">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ind w:left="0" w:right="0" w:firstLine="0" w:firstLineChars="0"/>
                    <w:jc w:val="both"/>
                    <w:textAlignment w:val="auto"/>
                    <w:rPr>
                      <w:rFonts w:hint="default" w:ascii="Times New Roman" w:hAnsi="Times New Roman" w:eastAsia="宋体" w:cs="Times New Roman"/>
                      <w:kern w:val="0"/>
                      <w:sz w:val="21"/>
                      <w:szCs w:val="21"/>
                      <w:highlight w:val="none"/>
                    </w:rPr>
                  </w:pPr>
                  <w:r>
                    <w:rPr>
                      <w:rFonts w:hint="default" w:ascii="Times New Roman" w:hAnsi="Times New Roman" w:eastAsia="宋体" w:cs="Times New Roman"/>
                      <w:kern w:val="0"/>
                      <w:sz w:val="21"/>
                      <w:szCs w:val="21"/>
                      <w:highlight w:val="none"/>
                    </w:rPr>
                    <w:t>3</w:t>
                  </w:r>
                  <w:r>
                    <w:rPr>
                      <w:rFonts w:hint="eastAsia" w:ascii="Times New Roman" w:hAnsi="Times New Roman" w:eastAsia="宋体" w:cs="Times New Roman"/>
                      <w:kern w:val="0"/>
                      <w:sz w:val="21"/>
                      <w:szCs w:val="21"/>
                      <w:highlight w:val="none"/>
                    </w:rPr>
                    <w:t>、施工人员的生活污水建议向环卫部门租用流动公共厕所或设置临时化粪池，将生活污水经化粪池预处理后纳入污水管网进行处理。</w:t>
                  </w:r>
                </w:p>
              </w:tc>
            </w:tr>
            <w:tr w14:paraId="78009F1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404" w:type="pct"/>
                  <w:vAlign w:val="center"/>
                </w:tcPr>
                <w:p w14:paraId="13387089">
                  <w:pPr>
                    <w:keepNext w:val="0"/>
                    <w:keepLines w:val="0"/>
                    <w:widowControl/>
                    <w:suppressLineNumbers w:val="0"/>
                    <w:adjustRightInd w:val="0"/>
                    <w:snapToGrid w:val="0"/>
                    <w:spacing w:before="0" w:beforeAutospacing="0" w:after="0" w:afterAutospacing="0"/>
                    <w:ind w:left="0" w:right="0"/>
                    <w:jc w:val="center"/>
                    <w:rPr>
                      <w:rFonts w:hint="default" w:ascii="Times New Roman" w:hAnsi="Times New Roman" w:eastAsia="宋体" w:cs="Times New Roman"/>
                      <w:kern w:val="0"/>
                      <w:sz w:val="21"/>
                      <w:szCs w:val="21"/>
                      <w:highlight w:val="none"/>
                    </w:rPr>
                  </w:pPr>
                  <w:r>
                    <w:rPr>
                      <w:rFonts w:hint="eastAsia" w:ascii="Times New Roman" w:hAnsi="Times New Roman" w:eastAsia="宋体" w:cs="Times New Roman"/>
                      <w:kern w:val="0"/>
                      <w:sz w:val="21"/>
                      <w:szCs w:val="21"/>
                      <w:highlight w:val="none"/>
                    </w:rPr>
                    <w:t>施工噪声</w:t>
                  </w:r>
                </w:p>
              </w:tc>
              <w:tc>
                <w:tcPr>
                  <w:tcW w:w="4595" w:type="pct"/>
                  <w:vAlign w:val="center"/>
                </w:tcPr>
                <w:p w14:paraId="1FCCFF98">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ind w:left="0" w:right="0" w:firstLine="0" w:firstLineChars="0"/>
                    <w:jc w:val="both"/>
                    <w:textAlignment w:val="auto"/>
                    <w:rPr>
                      <w:rFonts w:hint="default" w:ascii="Times New Roman" w:hAnsi="Times New Roman" w:eastAsia="宋体" w:cs="Times New Roman"/>
                      <w:kern w:val="0"/>
                      <w:sz w:val="21"/>
                      <w:szCs w:val="21"/>
                      <w:highlight w:val="none"/>
                    </w:rPr>
                  </w:pPr>
                  <w:r>
                    <w:rPr>
                      <w:rFonts w:hint="eastAsia" w:ascii="Times New Roman" w:hAnsi="Times New Roman" w:eastAsia="宋体" w:cs="Times New Roman"/>
                      <w:kern w:val="0"/>
                      <w:sz w:val="21"/>
                      <w:szCs w:val="21"/>
                      <w:highlight w:val="none"/>
                    </w:rPr>
                    <w:t>施工噪声主要为机械设备噪声。</w:t>
                  </w:r>
                  <w:r>
                    <w:rPr>
                      <w:rFonts w:hint="eastAsia" w:ascii="Times New Roman" w:hAnsi="Times New Roman" w:eastAsia="宋体" w:cs="Times New Roman"/>
                      <w:kern w:val="0"/>
                      <w:sz w:val="21"/>
                      <w:szCs w:val="21"/>
                      <w:highlight w:val="none"/>
                      <w:lang w:val="en-US" w:eastAsia="zh-CN"/>
                    </w:rPr>
                    <w:t>根据调查，施工期周边50m范围内规划住宅投入使用时间晚于本项目施工建设期，故施工噪声对周边环境影响较小。</w:t>
                  </w:r>
                  <w:r>
                    <w:rPr>
                      <w:rFonts w:hint="eastAsia" w:ascii="Times New Roman" w:hAnsi="Times New Roman" w:eastAsia="宋体" w:cs="Times New Roman"/>
                      <w:kern w:val="0"/>
                      <w:sz w:val="21"/>
                      <w:szCs w:val="21"/>
                      <w:highlight w:val="none"/>
                    </w:rPr>
                    <w:t>建议施工单位加强管理，应严格执行《建筑施工</w:t>
                  </w:r>
                  <w:r>
                    <w:rPr>
                      <w:rFonts w:hint="eastAsia" w:cs="Times New Roman"/>
                      <w:kern w:val="0"/>
                      <w:sz w:val="21"/>
                      <w:szCs w:val="21"/>
                      <w:highlight w:val="none"/>
                      <w:lang w:val="en-US" w:eastAsia="zh-CN"/>
                    </w:rPr>
                    <w:t>场</w:t>
                  </w:r>
                  <w:r>
                    <w:rPr>
                      <w:rFonts w:hint="eastAsia" w:ascii="Times New Roman" w:hAnsi="Times New Roman" w:eastAsia="宋体" w:cs="Times New Roman"/>
                      <w:kern w:val="0"/>
                      <w:sz w:val="21"/>
                      <w:szCs w:val="21"/>
                      <w:highlight w:val="none"/>
                    </w:rPr>
                    <w:t>界环境噪声排放限值》（GB12523-2011），具体措施如下：</w:t>
                  </w:r>
                </w:p>
                <w:p w14:paraId="16B4AB6F">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ind w:left="0" w:right="0" w:firstLine="0" w:firstLineChars="0"/>
                    <w:jc w:val="both"/>
                    <w:textAlignment w:val="auto"/>
                    <w:rPr>
                      <w:rFonts w:hint="default" w:ascii="Times New Roman" w:hAnsi="Times New Roman" w:eastAsia="宋体" w:cs="Times New Roman"/>
                      <w:kern w:val="0"/>
                      <w:sz w:val="21"/>
                      <w:szCs w:val="21"/>
                      <w:highlight w:val="none"/>
                    </w:rPr>
                  </w:pPr>
                  <w:r>
                    <w:rPr>
                      <w:rFonts w:hint="eastAsia" w:ascii="Times New Roman" w:hAnsi="Times New Roman" w:eastAsia="宋体" w:cs="Times New Roman"/>
                      <w:kern w:val="0"/>
                      <w:sz w:val="21"/>
                      <w:szCs w:val="21"/>
                      <w:highlight w:val="none"/>
                    </w:rPr>
                    <w:t>1、选用低噪声的施工设备，减小噪声产生，并加强管理和维护；</w:t>
                  </w:r>
                </w:p>
                <w:p w14:paraId="2F885AAE">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ind w:left="0" w:right="0" w:firstLine="0" w:firstLineChars="0"/>
                    <w:jc w:val="both"/>
                    <w:textAlignment w:val="auto"/>
                    <w:rPr>
                      <w:rFonts w:hint="default" w:ascii="Times New Roman" w:hAnsi="Times New Roman" w:eastAsia="宋体" w:cs="Times New Roman"/>
                      <w:kern w:val="0"/>
                      <w:sz w:val="21"/>
                      <w:szCs w:val="21"/>
                      <w:highlight w:val="none"/>
                    </w:rPr>
                  </w:pPr>
                  <w:r>
                    <w:rPr>
                      <w:rFonts w:hint="eastAsia" w:ascii="Times New Roman" w:hAnsi="Times New Roman" w:eastAsia="宋体" w:cs="Times New Roman"/>
                      <w:kern w:val="0"/>
                      <w:sz w:val="21"/>
                      <w:szCs w:val="21"/>
                      <w:highlight w:val="none"/>
                    </w:rPr>
                    <w:t>2、合理安排机械设备工作时间，严禁夜间施工，避免影响附近居民休息；</w:t>
                  </w:r>
                </w:p>
                <w:p w14:paraId="73000902">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ind w:left="0" w:right="0" w:firstLine="0" w:firstLineChars="0"/>
                    <w:jc w:val="both"/>
                    <w:textAlignment w:val="auto"/>
                    <w:rPr>
                      <w:rFonts w:hint="default" w:ascii="Times New Roman" w:hAnsi="Times New Roman" w:eastAsia="宋体" w:cs="Times New Roman"/>
                      <w:kern w:val="0"/>
                      <w:sz w:val="21"/>
                      <w:szCs w:val="21"/>
                      <w:highlight w:val="none"/>
                    </w:rPr>
                  </w:pPr>
                  <w:r>
                    <w:rPr>
                      <w:rFonts w:hint="eastAsia" w:ascii="Times New Roman" w:hAnsi="Times New Roman" w:eastAsia="宋体" w:cs="Times New Roman"/>
                      <w:kern w:val="0"/>
                      <w:sz w:val="21"/>
                      <w:szCs w:val="21"/>
                      <w:highlight w:val="none"/>
                    </w:rPr>
                    <w:t>3、提升施工人员环保意识，加强施工期的环境管理；</w:t>
                  </w:r>
                </w:p>
                <w:p w14:paraId="790655EF">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ind w:left="0" w:right="0" w:firstLine="0" w:firstLineChars="0"/>
                    <w:jc w:val="both"/>
                    <w:textAlignment w:val="auto"/>
                    <w:rPr>
                      <w:rFonts w:hint="default" w:ascii="Times New Roman" w:hAnsi="Times New Roman" w:eastAsia="宋体" w:cs="Times New Roman"/>
                      <w:kern w:val="0"/>
                      <w:sz w:val="21"/>
                      <w:szCs w:val="21"/>
                      <w:highlight w:val="none"/>
                    </w:rPr>
                  </w:pPr>
                  <w:r>
                    <w:rPr>
                      <w:rFonts w:hint="eastAsia" w:ascii="Times New Roman" w:hAnsi="Times New Roman" w:eastAsia="宋体" w:cs="Times New Roman"/>
                      <w:kern w:val="0"/>
                      <w:sz w:val="21"/>
                      <w:szCs w:val="21"/>
                      <w:highlight w:val="none"/>
                    </w:rPr>
                    <w:t>4、避免施工车辆停靠在靠近居民点的位置。</w:t>
                  </w:r>
                </w:p>
              </w:tc>
            </w:tr>
            <w:tr w14:paraId="4C5439B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404" w:type="pct"/>
                  <w:vAlign w:val="center"/>
                </w:tcPr>
                <w:p w14:paraId="4A3FE43D">
                  <w:pPr>
                    <w:keepNext w:val="0"/>
                    <w:keepLines w:val="0"/>
                    <w:widowControl/>
                    <w:suppressLineNumbers w:val="0"/>
                    <w:adjustRightInd w:val="0"/>
                    <w:snapToGrid w:val="0"/>
                    <w:spacing w:before="0" w:beforeAutospacing="0" w:after="0" w:afterAutospacing="0"/>
                    <w:ind w:left="0" w:right="0"/>
                    <w:jc w:val="center"/>
                    <w:rPr>
                      <w:rFonts w:hint="default" w:ascii="Times New Roman" w:hAnsi="Times New Roman" w:eastAsia="宋体" w:cs="Times New Roman"/>
                      <w:kern w:val="0"/>
                      <w:sz w:val="21"/>
                      <w:szCs w:val="21"/>
                      <w:highlight w:val="none"/>
                    </w:rPr>
                  </w:pPr>
                  <w:r>
                    <w:rPr>
                      <w:rFonts w:hint="eastAsia" w:ascii="Times New Roman" w:hAnsi="Times New Roman" w:eastAsia="宋体" w:cs="Times New Roman"/>
                      <w:kern w:val="0"/>
                      <w:sz w:val="21"/>
                      <w:szCs w:val="21"/>
                      <w:highlight w:val="none"/>
                    </w:rPr>
                    <w:t>固体废物</w:t>
                  </w:r>
                </w:p>
              </w:tc>
              <w:tc>
                <w:tcPr>
                  <w:tcW w:w="4595" w:type="pct"/>
                  <w:vAlign w:val="center"/>
                </w:tcPr>
                <w:p w14:paraId="12D7CC0B">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ind w:left="0" w:right="0" w:firstLine="0" w:firstLineChars="0"/>
                    <w:jc w:val="both"/>
                    <w:textAlignment w:val="auto"/>
                    <w:rPr>
                      <w:rFonts w:hint="default" w:ascii="Times New Roman" w:hAnsi="Times New Roman" w:eastAsia="宋体" w:cs="Times New Roman"/>
                      <w:kern w:val="0"/>
                      <w:sz w:val="21"/>
                      <w:szCs w:val="21"/>
                      <w:highlight w:val="none"/>
                    </w:rPr>
                  </w:pPr>
                  <w:r>
                    <w:rPr>
                      <w:rFonts w:hint="eastAsia" w:ascii="Times New Roman" w:hAnsi="Times New Roman" w:eastAsia="宋体" w:cs="Times New Roman"/>
                      <w:kern w:val="0"/>
                      <w:sz w:val="21"/>
                      <w:szCs w:val="21"/>
                      <w:highlight w:val="none"/>
                    </w:rPr>
                    <w:t>主要为剩余土方、废弃建筑材料和施工人员产生的生活垃圾，主要措施如下：</w:t>
                  </w:r>
                </w:p>
                <w:p w14:paraId="6BE5F726">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ind w:left="0" w:right="0" w:firstLine="0" w:firstLineChars="0"/>
                    <w:jc w:val="both"/>
                    <w:textAlignment w:val="auto"/>
                    <w:rPr>
                      <w:rFonts w:hint="default" w:ascii="Times New Roman" w:hAnsi="Times New Roman" w:eastAsia="宋体" w:cs="Times New Roman"/>
                      <w:kern w:val="0"/>
                      <w:sz w:val="21"/>
                      <w:szCs w:val="21"/>
                      <w:highlight w:val="none"/>
                    </w:rPr>
                  </w:pPr>
                  <w:r>
                    <w:rPr>
                      <w:rFonts w:hint="eastAsia" w:ascii="Times New Roman" w:hAnsi="Times New Roman" w:eastAsia="宋体" w:cs="Times New Roman"/>
                      <w:kern w:val="0"/>
                      <w:sz w:val="21"/>
                      <w:szCs w:val="21"/>
                      <w:highlight w:val="none"/>
                    </w:rPr>
                    <w:t>1、不随意倾倒建筑垃圾，开挖土方部分用于表层填土、回填用于绿化或送到指定地点（如垃圾填埋场）或</w:t>
                  </w:r>
                  <w:r>
                    <w:rPr>
                      <w:rFonts w:hint="eastAsia" w:ascii="Times New Roman" w:hAnsi="Times New Roman" w:eastAsia="宋体" w:cs="Times New Roman"/>
                      <w:kern w:val="0"/>
                      <w:sz w:val="21"/>
                      <w:szCs w:val="21"/>
                      <w:highlight w:val="none"/>
                      <w:lang w:eastAsia="zh-CN"/>
                    </w:rPr>
                    <w:t>作为</w:t>
                  </w:r>
                  <w:r>
                    <w:rPr>
                      <w:rFonts w:hint="eastAsia" w:ascii="Times New Roman" w:hAnsi="Times New Roman" w:eastAsia="宋体" w:cs="Times New Roman"/>
                      <w:kern w:val="0"/>
                      <w:sz w:val="21"/>
                      <w:szCs w:val="21"/>
                      <w:highlight w:val="none"/>
                    </w:rPr>
                    <w:t>路基等处置；</w:t>
                  </w:r>
                </w:p>
                <w:p w14:paraId="5C665512">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ind w:left="0" w:right="0" w:firstLine="0" w:firstLineChars="0"/>
                    <w:jc w:val="both"/>
                    <w:textAlignment w:val="auto"/>
                    <w:rPr>
                      <w:rFonts w:hint="default" w:ascii="Times New Roman" w:hAnsi="Times New Roman" w:eastAsia="宋体" w:cs="Times New Roman"/>
                      <w:kern w:val="0"/>
                      <w:sz w:val="21"/>
                      <w:szCs w:val="21"/>
                      <w:highlight w:val="none"/>
                    </w:rPr>
                  </w:pPr>
                  <w:r>
                    <w:rPr>
                      <w:rFonts w:hint="eastAsia" w:ascii="Times New Roman" w:hAnsi="Times New Roman" w:eastAsia="宋体" w:cs="Times New Roman"/>
                      <w:kern w:val="0"/>
                      <w:sz w:val="21"/>
                      <w:szCs w:val="21"/>
                      <w:highlight w:val="none"/>
                    </w:rPr>
                    <w:t>2、施工人员产生的生活垃圾定点收集，定期清运，防止对环境造成不利影响。</w:t>
                  </w:r>
                </w:p>
              </w:tc>
            </w:tr>
            <w:tr w14:paraId="777DBE1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404" w:type="pct"/>
                  <w:vAlign w:val="center"/>
                </w:tcPr>
                <w:p w14:paraId="1CF4C917">
                  <w:pPr>
                    <w:keepNext w:val="0"/>
                    <w:keepLines w:val="0"/>
                    <w:widowControl/>
                    <w:suppressLineNumbers w:val="0"/>
                    <w:adjustRightInd w:val="0"/>
                    <w:snapToGrid w:val="0"/>
                    <w:spacing w:before="0" w:beforeAutospacing="0" w:after="0" w:afterAutospacing="0"/>
                    <w:ind w:left="0" w:right="0"/>
                    <w:jc w:val="center"/>
                    <w:rPr>
                      <w:rFonts w:hint="default" w:ascii="Times New Roman" w:hAnsi="Times New Roman" w:eastAsia="宋体" w:cs="Times New Roman"/>
                      <w:kern w:val="0"/>
                      <w:sz w:val="21"/>
                      <w:szCs w:val="21"/>
                      <w:highlight w:val="none"/>
                    </w:rPr>
                  </w:pPr>
                  <w:r>
                    <w:rPr>
                      <w:rFonts w:hint="eastAsia" w:ascii="Times New Roman" w:hAnsi="Times New Roman" w:eastAsia="宋体" w:cs="Times New Roman"/>
                      <w:kern w:val="0"/>
                      <w:sz w:val="21"/>
                      <w:szCs w:val="21"/>
                      <w:highlight w:val="none"/>
                    </w:rPr>
                    <w:t>生态环境</w:t>
                  </w:r>
                </w:p>
              </w:tc>
              <w:tc>
                <w:tcPr>
                  <w:tcW w:w="4595" w:type="pct"/>
                  <w:vAlign w:val="center"/>
                </w:tcPr>
                <w:p w14:paraId="32DAE275">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ind w:left="0" w:right="0" w:firstLine="0" w:firstLineChars="0"/>
                    <w:jc w:val="both"/>
                    <w:textAlignment w:val="auto"/>
                    <w:rPr>
                      <w:rFonts w:hint="default" w:ascii="Times New Roman" w:hAnsi="Times New Roman" w:eastAsia="宋体" w:cs="Times New Roman"/>
                      <w:sz w:val="21"/>
                      <w:szCs w:val="21"/>
                      <w:highlight w:val="none"/>
                    </w:rPr>
                  </w:pPr>
                  <w:r>
                    <w:rPr>
                      <w:rFonts w:hint="eastAsia" w:ascii="Times New Roman" w:hAnsi="Times New Roman" w:eastAsia="宋体" w:cs="Times New Roman"/>
                      <w:sz w:val="21"/>
                      <w:szCs w:val="21"/>
                      <w:highlight w:val="none"/>
                    </w:rPr>
                    <w:t>施工期生态环境保护措施如下：</w:t>
                  </w:r>
                </w:p>
                <w:p w14:paraId="7A5F0F6C">
                  <w:pPr>
                    <w:keepNext w:val="0"/>
                    <w:keepLines w:val="0"/>
                    <w:pageBreakBefore w:val="0"/>
                    <w:widowControl/>
                    <w:numPr>
                      <w:ilvl w:val="0"/>
                      <w:numId w:val="6"/>
                    </w:numPr>
                    <w:suppressLineNumbers w:val="0"/>
                    <w:kinsoku/>
                    <w:wordWrap/>
                    <w:overflowPunct/>
                    <w:topLinePunct w:val="0"/>
                    <w:autoSpaceDE/>
                    <w:autoSpaceDN/>
                    <w:bidi w:val="0"/>
                    <w:adjustRightInd w:val="0"/>
                    <w:snapToGrid w:val="0"/>
                    <w:spacing w:before="0" w:beforeAutospacing="0" w:after="0" w:afterAutospacing="0"/>
                    <w:ind w:left="0" w:right="0" w:firstLine="0" w:firstLineChars="0"/>
                    <w:jc w:val="both"/>
                    <w:textAlignment w:val="auto"/>
                    <w:rPr>
                      <w:rFonts w:hint="default" w:ascii="Times New Roman" w:hAnsi="Times New Roman" w:eastAsia="宋体" w:cs="Times New Roman"/>
                      <w:sz w:val="21"/>
                      <w:szCs w:val="21"/>
                      <w:highlight w:val="none"/>
                    </w:rPr>
                  </w:pPr>
                  <w:r>
                    <w:rPr>
                      <w:rFonts w:hint="eastAsia" w:ascii="Times New Roman" w:hAnsi="Times New Roman" w:eastAsia="宋体" w:cs="Times New Roman"/>
                      <w:sz w:val="21"/>
                      <w:szCs w:val="21"/>
                      <w:highlight w:val="none"/>
                    </w:rPr>
                    <w:t>建议在项目附近设置临时的围墙，并努力降低临时堆土的坡度和堆积情况；</w:t>
                  </w:r>
                </w:p>
                <w:p w14:paraId="6C0FA9C0">
                  <w:pPr>
                    <w:keepNext w:val="0"/>
                    <w:keepLines w:val="0"/>
                    <w:pageBreakBefore w:val="0"/>
                    <w:widowControl/>
                    <w:numPr>
                      <w:ilvl w:val="0"/>
                      <w:numId w:val="6"/>
                    </w:numPr>
                    <w:suppressLineNumbers w:val="0"/>
                    <w:kinsoku/>
                    <w:wordWrap/>
                    <w:overflowPunct/>
                    <w:topLinePunct w:val="0"/>
                    <w:autoSpaceDE/>
                    <w:autoSpaceDN/>
                    <w:bidi w:val="0"/>
                    <w:adjustRightInd w:val="0"/>
                    <w:snapToGrid w:val="0"/>
                    <w:spacing w:before="0" w:beforeAutospacing="0" w:after="0" w:afterAutospacing="0"/>
                    <w:ind w:left="0" w:right="0" w:firstLine="0" w:firstLineChars="0"/>
                    <w:jc w:val="both"/>
                    <w:textAlignment w:val="auto"/>
                    <w:rPr>
                      <w:rFonts w:hint="default" w:ascii="Times New Roman" w:hAnsi="Times New Roman" w:eastAsia="宋体" w:cs="Times New Roman"/>
                      <w:sz w:val="21"/>
                      <w:szCs w:val="21"/>
                      <w:highlight w:val="none"/>
                    </w:rPr>
                  </w:pPr>
                  <w:r>
                    <w:rPr>
                      <w:rFonts w:hint="eastAsia" w:ascii="Times New Roman" w:hAnsi="Times New Roman" w:eastAsia="宋体" w:cs="Times New Roman"/>
                      <w:sz w:val="21"/>
                      <w:szCs w:val="21"/>
                      <w:highlight w:val="none"/>
                    </w:rPr>
                    <w:t>在施工过程中，要确保及时地夯实回填土，对施工道路进行硬化处理，并在施工地点建设排水沟，以避免雨水对场地的冲刷；</w:t>
                  </w:r>
                </w:p>
                <w:p w14:paraId="5FD9CB73">
                  <w:pPr>
                    <w:keepNext w:val="0"/>
                    <w:keepLines w:val="0"/>
                    <w:pageBreakBefore w:val="0"/>
                    <w:widowControl/>
                    <w:numPr>
                      <w:ilvl w:val="0"/>
                      <w:numId w:val="6"/>
                    </w:numPr>
                    <w:suppressLineNumbers w:val="0"/>
                    <w:kinsoku/>
                    <w:wordWrap/>
                    <w:overflowPunct/>
                    <w:topLinePunct w:val="0"/>
                    <w:autoSpaceDE/>
                    <w:autoSpaceDN/>
                    <w:bidi w:val="0"/>
                    <w:adjustRightInd w:val="0"/>
                    <w:snapToGrid w:val="0"/>
                    <w:spacing w:before="0" w:beforeAutospacing="0" w:after="0" w:afterAutospacing="0"/>
                    <w:ind w:left="0" w:right="0" w:firstLine="0" w:firstLineChars="0"/>
                    <w:jc w:val="both"/>
                    <w:textAlignment w:val="auto"/>
                    <w:rPr>
                      <w:rFonts w:hint="default" w:ascii="Times New Roman" w:hAnsi="Times New Roman" w:eastAsia="宋体" w:cs="Times New Roman"/>
                      <w:sz w:val="21"/>
                      <w:szCs w:val="21"/>
                      <w:highlight w:val="none"/>
                    </w:rPr>
                  </w:pPr>
                  <w:r>
                    <w:rPr>
                      <w:rFonts w:hint="eastAsia" w:ascii="Times New Roman" w:hAnsi="Times New Roman" w:eastAsia="宋体" w:cs="Times New Roman"/>
                      <w:sz w:val="21"/>
                      <w:szCs w:val="21"/>
                      <w:highlight w:val="none"/>
                    </w:rPr>
                    <w:t>通过在排水沟的出口安装沉淀池，并在雨水变得清澈之后再进行排放，降低水土流失。</w:t>
                  </w:r>
                </w:p>
              </w:tc>
            </w:tr>
          </w:tbl>
          <w:p w14:paraId="5F066C86">
            <w:pPr>
              <w:keepNext w:val="0"/>
              <w:keepLines w:val="0"/>
              <w:suppressLineNumbers w:val="0"/>
              <w:adjustRightInd w:val="0"/>
              <w:snapToGrid w:val="0"/>
              <w:spacing w:before="0" w:beforeAutospacing="0" w:after="0" w:afterAutospacing="0" w:line="360" w:lineRule="auto"/>
              <w:ind w:left="0" w:right="0"/>
              <w:rPr>
                <w:rFonts w:hint="default" w:ascii="Times New Roman" w:hAnsi="Times New Roman" w:eastAsia="宋体" w:cs="Times New Roman"/>
                <w:bCs/>
                <w:spacing w:val="-10"/>
                <w:highlight w:val="none"/>
              </w:rPr>
            </w:pPr>
          </w:p>
        </w:tc>
      </w:tr>
      <w:tr w14:paraId="1D77BA9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310" w:type="pct"/>
            <w:tcMar>
              <w:left w:w="28" w:type="dxa"/>
              <w:right w:w="28" w:type="dxa"/>
            </w:tcMar>
            <w:vAlign w:val="center"/>
          </w:tcPr>
          <w:p w14:paraId="7FA3AF62">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bCs/>
                <w:szCs w:val="21"/>
                <w:highlight w:val="none"/>
              </w:rPr>
            </w:pPr>
          </w:p>
          <w:p w14:paraId="3CE696DF">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bCs/>
                <w:szCs w:val="21"/>
                <w:highlight w:val="none"/>
              </w:rPr>
            </w:pPr>
          </w:p>
          <w:p w14:paraId="32DBCF0D">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bCs/>
                <w:szCs w:val="21"/>
                <w:highlight w:val="none"/>
              </w:rPr>
            </w:pPr>
          </w:p>
          <w:p w14:paraId="5F9B12C8">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bCs/>
                <w:szCs w:val="21"/>
                <w:highlight w:val="none"/>
              </w:rPr>
            </w:pPr>
          </w:p>
          <w:p w14:paraId="5E8B636F">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bCs/>
                <w:szCs w:val="21"/>
                <w:highlight w:val="none"/>
              </w:rPr>
            </w:pPr>
          </w:p>
          <w:p w14:paraId="76DD30A0">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bCs/>
                <w:szCs w:val="21"/>
                <w:highlight w:val="none"/>
              </w:rPr>
            </w:pPr>
          </w:p>
          <w:p w14:paraId="6BCCFCF0">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bCs/>
                <w:szCs w:val="21"/>
                <w:highlight w:val="none"/>
              </w:rPr>
            </w:pPr>
          </w:p>
          <w:p w14:paraId="043090C8">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bCs/>
                <w:szCs w:val="21"/>
                <w:highlight w:val="none"/>
              </w:rPr>
            </w:pPr>
          </w:p>
          <w:p w14:paraId="123251FA">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bCs/>
                <w:szCs w:val="21"/>
                <w:highlight w:val="none"/>
              </w:rPr>
            </w:pPr>
          </w:p>
          <w:p w14:paraId="680EC495">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bCs/>
                <w:szCs w:val="21"/>
                <w:highlight w:val="none"/>
              </w:rPr>
            </w:pPr>
          </w:p>
          <w:p w14:paraId="01536A47">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bCs/>
                <w:szCs w:val="21"/>
                <w:highlight w:val="none"/>
              </w:rPr>
            </w:pPr>
          </w:p>
          <w:p w14:paraId="333100DC">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bCs/>
                <w:szCs w:val="21"/>
                <w:highlight w:val="none"/>
              </w:rPr>
            </w:pPr>
          </w:p>
          <w:p w14:paraId="7D9181AD">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bCs/>
                <w:szCs w:val="21"/>
                <w:highlight w:val="none"/>
              </w:rPr>
            </w:pPr>
            <w:r>
              <w:rPr>
                <w:rFonts w:hint="eastAsia" w:ascii="Times New Roman" w:hAnsi="Times New Roman" w:eastAsia="宋体" w:cs="Times New Roman"/>
                <w:bCs/>
                <w:szCs w:val="21"/>
                <w:highlight w:val="none"/>
              </w:rPr>
              <w:t>运营</w:t>
            </w:r>
          </w:p>
          <w:p w14:paraId="5099318A">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bCs/>
                <w:szCs w:val="21"/>
                <w:highlight w:val="none"/>
              </w:rPr>
            </w:pPr>
            <w:r>
              <w:rPr>
                <w:rFonts w:hint="eastAsia" w:ascii="Times New Roman" w:hAnsi="Times New Roman" w:eastAsia="宋体" w:cs="Times New Roman"/>
                <w:bCs/>
                <w:szCs w:val="21"/>
                <w:highlight w:val="none"/>
              </w:rPr>
              <w:t>期环</w:t>
            </w:r>
          </w:p>
          <w:p w14:paraId="5DF0C95B">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bCs/>
                <w:szCs w:val="21"/>
                <w:highlight w:val="none"/>
              </w:rPr>
            </w:pPr>
            <w:r>
              <w:rPr>
                <w:rFonts w:hint="eastAsia" w:ascii="Times New Roman" w:hAnsi="Times New Roman" w:eastAsia="宋体" w:cs="Times New Roman"/>
                <w:bCs/>
                <w:szCs w:val="21"/>
                <w:highlight w:val="none"/>
              </w:rPr>
              <w:t>境影</w:t>
            </w:r>
          </w:p>
          <w:p w14:paraId="771E0E2F">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bCs/>
                <w:szCs w:val="21"/>
                <w:highlight w:val="none"/>
              </w:rPr>
            </w:pPr>
            <w:r>
              <w:rPr>
                <w:rFonts w:hint="eastAsia" w:ascii="Times New Roman" w:hAnsi="Times New Roman" w:eastAsia="宋体" w:cs="Times New Roman"/>
                <w:bCs/>
                <w:szCs w:val="21"/>
                <w:highlight w:val="none"/>
              </w:rPr>
              <w:t>响和</w:t>
            </w:r>
          </w:p>
          <w:p w14:paraId="7055C3CB">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bCs/>
                <w:szCs w:val="21"/>
                <w:highlight w:val="none"/>
              </w:rPr>
            </w:pPr>
            <w:r>
              <w:rPr>
                <w:rFonts w:hint="eastAsia" w:ascii="Times New Roman" w:hAnsi="Times New Roman" w:eastAsia="宋体" w:cs="Times New Roman"/>
                <w:bCs/>
                <w:szCs w:val="21"/>
                <w:highlight w:val="none"/>
              </w:rPr>
              <w:t>保护</w:t>
            </w:r>
          </w:p>
          <w:p w14:paraId="381B3F3A">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bCs/>
                <w:szCs w:val="21"/>
                <w:highlight w:val="none"/>
              </w:rPr>
            </w:pPr>
            <w:r>
              <w:rPr>
                <w:rFonts w:hint="eastAsia" w:ascii="Times New Roman" w:hAnsi="Times New Roman" w:eastAsia="宋体" w:cs="Times New Roman"/>
                <w:bCs/>
                <w:szCs w:val="21"/>
                <w:highlight w:val="none"/>
              </w:rPr>
              <w:t>措施</w:t>
            </w:r>
          </w:p>
          <w:p w14:paraId="16D6F139">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bCs/>
                <w:szCs w:val="21"/>
                <w:highlight w:val="none"/>
              </w:rPr>
            </w:pPr>
          </w:p>
          <w:p w14:paraId="41AD7E47">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bCs/>
                <w:szCs w:val="21"/>
                <w:highlight w:val="none"/>
              </w:rPr>
            </w:pPr>
          </w:p>
          <w:p w14:paraId="74EE4326">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bCs/>
                <w:szCs w:val="21"/>
                <w:highlight w:val="none"/>
              </w:rPr>
            </w:pPr>
          </w:p>
          <w:p w14:paraId="2B941483">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bCs/>
                <w:szCs w:val="21"/>
                <w:highlight w:val="none"/>
              </w:rPr>
            </w:pPr>
          </w:p>
          <w:p w14:paraId="38060DB1">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bCs/>
                <w:szCs w:val="21"/>
                <w:highlight w:val="none"/>
              </w:rPr>
            </w:pPr>
          </w:p>
          <w:p w14:paraId="1F9FDBA2">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bCs/>
                <w:szCs w:val="21"/>
                <w:highlight w:val="none"/>
              </w:rPr>
            </w:pPr>
          </w:p>
          <w:p w14:paraId="2984A715">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bCs/>
                <w:szCs w:val="21"/>
                <w:highlight w:val="none"/>
              </w:rPr>
            </w:pPr>
          </w:p>
          <w:p w14:paraId="45CCD26E">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bCs/>
                <w:szCs w:val="21"/>
                <w:highlight w:val="none"/>
              </w:rPr>
            </w:pPr>
          </w:p>
          <w:p w14:paraId="6E506C3A">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bCs/>
                <w:szCs w:val="21"/>
                <w:highlight w:val="none"/>
              </w:rPr>
            </w:pPr>
          </w:p>
          <w:p w14:paraId="738CC371">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bCs/>
                <w:szCs w:val="21"/>
                <w:highlight w:val="none"/>
              </w:rPr>
            </w:pPr>
          </w:p>
          <w:p w14:paraId="01B533F6">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bCs/>
                <w:szCs w:val="21"/>
                <w:highlight w:val="none"/>
              </w:rPr>
            </w:pPr>
          </w:p>
          <w:p w14:paraId="3937BE53">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bCs/>
                <w:szCs w:val="21"/>
                <w:highlight w:val="none"/>
              </w:rPr>
            </w:pPr>
          </w:p>
          <w:p w14:paraId="1FB7E798">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bCs/>
                <w:szCs w:val="21"/>
                <w:highlight w:val="none"/>
              </w:rPr>
            </w:pPr>
          </w:p>
          <w:p w14:paraId="1212C2FC">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bCs/>
                <w:szCs w:val="21"/>
                <w:highlight w:val="none"/>
              </w:rPr>
            </w:pPr>
          </w:p>
          <w:p w14:paraId="746E0E3B">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bCs/>
                <w:szCs w:val="21"/>
                <w:highlight w:val="none"/>
              </w:rPr>
            </w:pPr>
          </w:p>
          <w:p w14:paraId="685CDF61">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bCs/>
                <w:szCs w:val="21"/>
                <w:highlight w:val="none"/>
              </w:rPr>
            </w:pPr>
          </w:p>
          <w:p w14:paraId="4FC50CAF">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bCs/>
                <w:szCs w:val="21"/>
                <w:highlight w:val="none"/>
              </w:rPr>
            </w:pPr>
          </w:p>
          <w:p w14:paraId="7DB32F31">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bCs/>
                <w:szCs w:val="21"/>
                <w:highlight w:val="none"/>
              </w:rPr>
            </w:pPr>
          </w:p>
          <w:p w14:paraId="4738F5B3">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bCs/>
                <w:szCs w:val="21"/>
                <w:highlight w:val="none"/>
              </w:rPr>
            </w:pPr>
          </w:p>
          <w:p w14:paraId="034250CE">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bCs/>
                <w:szCs w:val="21"/>
                <w:highlight w:val="none"/>
              </w:rPr>
            </w:pPr>
          </w:p>
          <w:p w14:paraId="20C029DF">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bCs/>
                <w:szCs w:val="21"/>
                <w:highlight w:val="none"/>
              </w:rPr>
            </w:pPr>
          </w:p>
          <w:p w14:paraId="46883C6E">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bCs/>
                <w:szCs w:val="21"/>
                <w:highlight w:val="none"/>
              </w:rPr>
            </w:pPr>
          </w:p>
          <w:p w14:paraId="55A6A4A8">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bCs/>
                <w:szCs w:val="21"/>
                <w:highlight w:val="none"/>
              </w:rPr>
            </w:pPr>
          </w:p>
          <w:p w14:paraId="62127CEE">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bCs/>
                <w:szCs w:val="21"/>
                <w:highlight w:val="none"/>
              </w:rPr>
            </w:pPr>
          </w:p>
          <w:p w14:paraId="552F13A1">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bCs/>
                <w:szCs w:val="21"/>
                <w:highlight w:val="none"/>
              </w:rPr>
            </w:pPr>
          </w:p>
          <w:p w14:paraId="0CDE1678">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bCs/>
                <w:szCs w:val="21"/>
                <w:highlight w:val="none"/>
              </w:rPr>
            </w:pPr>
          </w:p>
          <w:p w14:paraId="6F340785">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bCs/>
                <w:szCs w:val="21"/>
                <w:highlight w:val="none"/>
              </w:rPr>
            </w:pPr>
          </w:p>
          <w:p w14:paraId="65EDBA53">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bCs/>
                <w:szCs w:val="21"/>
                <w:highlight w:val="none"/>
              </w:rPr>
            </w:pPr>
          </w:p>
          <w:p w14:paraId="160EB063">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bCs/>
                <w:szCs w:val="21"/>
                <w:highlight w:val="none"/>
              </w:rPr>
            </w:pPr>
          </w:p>
          <w:p w14:paraId="2EE5C8A8">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bCs/>
                <w:szCs w:val="21"/>
                <w:highlight w:val="none"/>
              </w:rPr>
            </w:pPr>
            <w:r>
              <w:rPr>
                <w:rFonts w:hint="eastAsia" w:ascii="Times New Roman" w:hAnsi="Times New Roman" w:eastAsia="宋体" w:cs="Times New Roman"/>
                <w:bCs/>
                <w:szCs w:val="21"/>
                <w:highlight w:val="none"/>
              </w:rPr>
              <w:t>运营</w:t>
            </w:r>
          </w:p>
          <w:p w14:paraId="552E76D1">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bCs/>
                <w:szCs w:val="21"/>
                <w:highlight w:val="none"/>
              </w:rPr>
            </w:pPr>
            <w:r>
              <w:rPr>
                <w:rFonts w:hint="eastAsia" w:ascii="Times New Roman" w:hAnsi="Times New Roman" w:eastAsia="宋体" w:cs="Times New Roman"/>
                <w:bCs/>
                <w:szCs w:val="21"/>
                <w:highlight w:val="none"/>
              </w:rPr>
              <w:t>期环</w:t>
            </w:r>
          </w:p>
          <w:p w14:paraId="54DC6040">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bCs/>
                <w:szCs w:val="21"/>
                <w:highlight w:val="none"/>
              </w:rPr>
            </w:pPr>
            <w:r>
              <w:rPr>
                <w:rFonts w:hint="eastAsia" w:ascii="Times New Roman" w:hAnsi="Times New Roman" w:eastAsia="宋体" w:cs="Times New Roman"/>
                <w:bCs/>
                <w:szCs w:val="21"/>
                <w:highlight w:val="none"/>
              </w:rPr>
              <w:t>境影</w:t>
            </w:r>
          </w:p>
          <w:p w14:paraId="5C1EAB60">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bCs/>
                <w:szCs w:val="21"/>
                <w:highlight w:val="none"/>
              </w:rPr>
            </w:pPr>
            <w:r>
              <w:rPr>
                <w:rFonts w:hint="eastAsia" w:ascii="Times New Roman" w:hAnsi="Times New Roman" w:eastAsia="宋体" w:cs="Times New Roman"/>
                <w:bCs/>
                <w:szCs w:val="21"/>
                <w:highlight w:val="none"/>
              </w:rPr>
              <w:t>响和</w:t>
            </w:r>
          </w:p>
          <w:p w14:paraId="36FC539E">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bCs/>
                <w:szCs w:val="21"/>
                <w:highlight w:val="none"/>
              </w:rPr>
            </w:pPr>
            <w:r>
              <w:rPr>
                <w:rFonts w:hint="eastAsia" w:ascii="Times New Roman" w:hAnsi="Times New Roman" w:eastAsia="宋体" w:cs="Times New Roman"/>
                <w:bCs/>
                <w:szCs w:val="21"/>
                <w:highlight w:val="none"/>
              </w:rPr>
              <w:t>保护</w:t>
            </w:r>
          </w:p>
          <w:p w14:paraId="24351185">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bCs/>
                <w:szCs w:val="21"/>
                <w:highlight w:val="none"/>
              </w:rPr>
            </w:pPr>
            <w:r>
              <w:rPr>
                <w:rFonts w:hint="eastAsia" w:ascii="Times New Roman" w:hAnsi="Times New Roman" w:eastAsia="宋体" w:cs="Times New Roman"/>
                <w:bCs/>
                <w:szCs w:val="21"/>
                <w:highlight w:val="none"/>
              </w:rPr>
              <w:t>措施</w:t>
            </w:r>
          </w:p>
          <w:p w14:paraId="113CB960">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bCs/>
                <w:szCs w:val="21"/>
                <w:highlight w:val="none"/>
              </w:rPr>
            </w:pPr>
          </w:p>
          <w:p w14:paraId="2A8C01A3">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bCs/>
                <w:szCs w:val="21"/>
                <w:highlight w:val="none"/>
              </w:rPr>
            </w:pPr>
          </w:p>
          <w:p w14:paraId="20616D41">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bCs/>
                <w:szCs w:val="21"/>
                <w:highlight w:val="none"/>
              </w:rPr>
            </w:pPr>
          </w:p>
          <w:p w14:paraId="7560EBF8">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bCs/>
                <w:szCs w:val="21"/>
                <w:highlight w:val="none"/>
              </w:rPr>
            </w:pPr>
          </w:p>
          <w:p w14:paraId="1A0E5375">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bCs/>
                <w:szCs w:val="21"/>
                <w:highlight w:val="none"/>
              </w:rPr>
            </w:pPr>
          </w:p>
          <w:p w14:paraId="3FCA9BD3">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bCs/>
                <w:szCs w:val="21"/>
                <w:highlight w:val="none"/>
              </w:rPr>
            </w:pPr>
          </w:p>
          <w:p w14:paraId="032354A9">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bCs/>
                <w:szCs w:val="21"/>
                <w:highlight w:val="none"/>
              </w:rPr>
            </w:pPr>
          </w:p>
          <w:p w14:paraId="639708D1">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bCs/>
                <w:szCs w:val="21"/>
                <w:highlight w:val="none"/>
              </w:rPr>
            </w:pPr>
          </w:p>
          <w:p w14:paraId="24B1454D">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bCs/>
                <w:szCs w:val="21"/>
                <w:highlight w:val="none"/>
              </w:rPr>
            </w:pPr>
          </w:p>
          <w:p w14:paraId="00691E25">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bCs/>
                <w:szCs w:val="21"/>
                <w:highlight w:val="none"/>
              </w:rPr>
            </w:pPr>
          </w:p>
          <w:p w14:paraId="58DB10FA">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bCs/>
                <w:szCs w:val="21"/>
                <w:highlight w:val="none"/>
              </w:rPr>
            </w:pPr>
          </w:p>
          <w:p w14:paraId="77CCCE61">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bCs/>
                <w:szCs w:val="21"/>
                <w:highlight w:val="none"/>
              </w:rPr>
            </w:pPr>
          </w:p>
          <w:p w14:paraId="393528BA">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bCs/>
                <w:szCs w:val="21"/>
                <w:highlight w:val="none"/>
              </w:rPr>
            </w:pPr>
          </w:p>
          <w:p w14:paraId="585FF469">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bCs/>
                <w:szCs w:val="21"/>
                <w:highlight w:val="none"/>
              </w:rPr>
            </w:pPr>
          </w:p>
          <w:p w14:paraId="680B2D74">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bCs/>
                <w:szCs w:val="21"/>
                <w:highlight w:val="none"/>
              </w:rPr>
            </w:pPr>
          </w:p>
          <w:p w14:paraId="1214D9C2">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bCs/>
                <w:szCs w:val="21"/>
                <w:highlight w:val="none"/>
              </w:rPr>
            </w:pPr>
          </w:p>
          <w:p w14:paraId="7C695734">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bCs/>
                <w:szCs w:val="21"/>
                <w:highlight w:val="none"/>
              </w:rPr>
            </w:pPr>
          </w:p>
          <w:p w14:paraId="67BD42C3">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bCs/>
                <w:szCs w:val="21"/>
                <w:highlight w:val="none"/>
              </w:rPr>
            </w:pPr>
          </w:p>
          <w:p w14:paraId="5FE846B3">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bCs/>
                <w:szCs w:val="21"/>
                <w:highlight w:val="none"/>
              </w:rPr>
            </w:pPr>
          </w:p>
          <w:p w14:paraId="5FCEA711">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bCs/>
                <w:szCs w:val="21"/>
                <w:highlight w:val="none"/>
              </w:rPr>
            </w:pPr>
          </w:p>
          <w:p w14:paraId="3EB30ADC">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bCs/>
                <w:szCs w:val="21"/>
                <w:highlight w:val="none"/>
              </w:rPr>
            </w:pPr>
          </w:p>
          <w:p w14:paraId="6DCC03AE">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bCs/>
                <w:szCs w:val="21"/>
                <w:highlight w:val="none"/>
              </w:rPr>
            </w:pPr>
          </w:p>
          <w:p w14:paraId="40F3E596">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bCs/>
                <w:szCs w:val="21"/>
                <w:highlight w:val="none"/>
              </w:rPr>
            </w:pPr>
          </w:p>
          <w:p w14:paraId="5E1E8708">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bCs/>
                <w:szCs w:val="21"/>
                <w:highlight w:val="none"/>
              </w:rPr>
            </w:pPr>
          </w:p>
          <w:p w14:paraId="59145781">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bCs/>
                <w:szCs w:val="21"/>
                <w:highlight w:val="none"/>
              </w:rPr>
            </w:pPr>
          </w:p>
          <w:p w14:paraId="00D7BBF3">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bCs/>
                <w:szCs w:val="21"/>
                <w:highlight w:val="none"/>
              </w:rPr>
            </w:pPr>
          </w:p>
          <w:p w14:paraId="3E5B1452">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bCs/>
                <w:szCs w:val="21"/>
                <w:highlight w:val="none"/>
              </w:rPr>
            </w:pPr>
          </w:p>
          <w:p w14:paraId="579F691E">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bCs/>
                <w:szCs w:val="21"/>
                <w:highlight w:val="none"/>
              </w:rPr>
            </w:pPr>
          </w:p>
          <w:p w14:paraId="760A7A9B">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bCs/>
                <w:szCs w:val="21"/>
                <w:highlight w:val="none"/>
              </w:rPr>
            </w:pPr>
          </w:p>
          <w:p w14:paraId="32CF078A">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bCs/>
                <w:szCs w:val="21"/>
                <w:highlight w:val="none"/>
              </w:rPr>
            </w:pPr>
          </w:p>
          <w:p w14:paraId="2F3BF6C7">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bCs/>
                <w:szCs w:val="21"/>
                <w:highlight w:val="none"/>
              </w:rPr>
            </w:pPr>
          </w:p>
          <w:p w14:paraId="5D599CAD">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bCs/>
                <w:szCs w:val="21"/>
                <w:highlight w:val="none"/>
              </w:rPr>
            </w:pPr>
          </w:p>
          <w:p w14:paraId="4B95232F">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bCs/>
                <w:szCs w:val="21"/>
                <w:highlight w:val="none"/>
              </w:rPr>
            </w:pPr>
          </w:p>
          <w:p w14:paraId="02E41DAB">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bCs/>
                <w:szCs w:val="21"/>
                <w:highlight w:val="none"/>
              </w:rPr>
            </w:pPr>
          </w:p>
          <w:p w14:paraId="7286C567">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bCs/>
                <w:szCs w:val="21"/>
                <w:highlight w:val="none"/>
              </w:rPr>
            </w:pPr>
          </w:p>
          <w:p w14:paraId="193C63C3">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bCs/>
                <w:szCs w:val="21"/>
                <w:highlight w:val="none"/>
              </w:rPr>
            </w:pPr>
          </w:p>
          <w:p w14:paraId="75BBF39A">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bCs/>
                <w:szCs w:val="21"/>
                <w:highlight w:val="none"/>
              </w:rPr>
            </w:pPr>
            <w:r>
              <w:rPr>
                <w:rFonts w:hint="eastAsia" w:ascii="Times New Roman" w:hAnsi="Times New Roman" w:eastAsia="宋体" w:cs="Times New Roman"/>
                <w:bCs/>
                <w:szCs w:val="21"/>
                <w:highlight w:val="none"/>
              </w:rPr>
              <w:t>运营</w:t>
            </w:r>
          </w:p>
          <w:p w14:paraId="60EAA493">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bCs/>
                <w:szCs w:val="21"/>
                <w:highlight w:val="none"/>
              </w:rPr>
            </w:pPr>
            <w:r>
              <w:rPr>
                <w:rFonts w:hint="eastAsia" w:ascii="Times New Roman" w:hAnsi="Times New Roman" w:eastAsia="宋体" w:cs="Times New Roman"/>
                <w:bCs/>
                <w:szCs w:val="21"/>
                <w:highlight w:val="none"/>
              </w:rPr>
              <w:t>期环</w:t>
            </w:r>
          </w:p>
          <w:p w14:paraId="630C75FD">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bCs/>
                <w:szCs w:val="21"/>
                <w:highlight w:val="none"/>
              </w:rPr>
            </w:pPr>
            <w:r>
              <w:rPr>
                <w:rFonts w:hint="eastAsia" w:ascii="Times New Roman" w:hAnsi="Times New Roman" w:eastAsia="宋体" w:cs="Times New Roman"/>
                <w:bCs/>
                <w:szCs w:val="21"/>
                <w:highlight w:val="none"/>
              </w:rPr>
              <w:t>境影</w:t>
            </w:r>
          </w:p>
          <w:p w14:paraId="252A4A8F">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bCs/>
                <w:szCs w:val="21"/>
                <w:highlight w:val="none"/>
              </w:rPr>
            </w:pPr>
            <w:r>
              <w:rPr>
                <w:rFonts w:hint="eastAsia" w:ascii="Times New Roman" w:hAnsi="Times New Roman" w:eastAsia="宋体" w:cs="Times New Roman"/>
                <w:bCs/>
                <w:szCs w:val="21"/>
                <w:highlight w:val="none"/>
              </w:rPr>
              <w:t>响和</w:t>
            </w:r>
          </w:p>
          <w:p w14:paraId="44092945">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bCs/>
                <w:szCs w:val="21"/>
                <w:highlight w:val="none"/>
              </w:rPr>
            </w:pPr>
            <w:r>
              <w:rPr>
                <w:rFonts w:hint="eastAsia" w:ascii="Times New Roman" w:hAnsi="Times New Roman" w:eastAsia="宋体" w:cs="Times New Roman"/>
                <w:bCs/>
                <w:szCs w:val="21"/>
                <w:highlight w:val="none"/>
              </w:rPr>
              <w:t>保护</w:t>
            </w:r>
          </w:p>
          <w:p w14:paraId="1E2D420E">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bCs/>
                <w:szCs w:val="21"/>
                <w:highlight w:val="none"/>
              </w:rPr>
            </w:pPr>
            <w:r>
              <w:rPr>
                <w:rFonts w:hint="eastAsia" w:ascii="Times New Roman" w:hAnsi="Times New Roman" w:eastAsia="宋体" w:cs="Times New Roman"/>
                <w:bCs/>
                <w:szCs w:val="21"/>
                <w:highlight w:val="none"/>
              </w:rPr>
              <w:t>措施</w:t>
            </w:r>
          </w:p>
          <w:p w14:paraId="2E547450">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bCs/>
                <w:szCs w:val="21"/>
                <w:highlight w:val="none"/>
              </w:rPr>
            </w:pPr>
          </w:p>
          <w:p w14:paraId="1BCB48B3">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bCs/>
                <w:szCs w:val="21"/>
                <w:highlight w:val="none"/>
              </w:rPr>
            </w:pPr>
          </w:p>
          <w:p w14:paraId="2F670790">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bCs/>
                <w:szCs w:val="21"/>
                <w:highlight w:val="none"/>
              </w:rPr>
            </w:pPr>
          </w:p>
          <w:p w14:paraId="1103CA5A">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bCs/>
                <w:szCs w:val="21"/>
                <w:highlight w:val="none"/>
              </w:rPr>
            </w:pPr>
          </w:p>
          <w:p w14:paraId="5872F3D2">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bCs/>
                <w:szCs w:val="21"/>
                <w:highlight w:val="none"/>
              </w:rPr>
            </w:pPr>
          </w:p>
          <w:p w14:paraId="3C2634AD">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bCs/>
                <w:szCs w:val="21"/>
                <w:highlight w:val="none"/>
              </w:rPr>
            </w:pPr>
          </w:p>
          <w:p w14:paraId="2607D5DD">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bCs/>
                <w:szCs w:val="21"/>
                <w:highlight w:val="none"/>
              </w:rPr>
            </w:pPr>
          </w:p>
          <w:p w14:paraId="2ACFA40C">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bCs/>
                <w:szCs w:val="21"/>
                <w:highlight w:val="none"/>
              </w:rPr>
            </w:pPr>
          </w:p>
          <w:p w14:paraId="7BFCD8B2">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bCs/>
                <w:szCs w:val="21"/>
                <w:highlight w:val="none"/>
              </w:rPr>
            </w:pPr>
          </w:p>
          <w:p w14:paraId="4F671A98">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bCs/>
                <w:szCs w:val="21"/>
                <w:highlight w:val="none"/>
              </w:rPr>
            </w:pPr>
          </w:p>
          <w:p w14:paraId="77D07482">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bCs/>
                <w:szCs w:val="21"/>
                <w:highlight w:val="none"/>
              </w:rPr>
            </w:pPr>
          </w:p>
          <w:p w14:paraId="5AD1DAEE">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bCs/>
                <w:szCs w:val="21"/>
                <w:highlight w:val="none"/>
              </w:rPr>
            </w:pPr>
          </w:p>
          <w:p w14:paraId="30EEE7BD">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bCs/>
                <w:szCs w:val="21"/>
                <w:highlight w:val="none"/>
              </w:rPr>
            </w:pPr>
          </w:p>
          <w:p w14:paraId="00447FEE">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bCs/>
                <w:szCs w:val="21"/>
                <w:highlight w:val="none"/>
              </w:rPr>
            </w:pPr>
          </w:p>
          <w:p w14:paraId="18743BCA">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bCs/>
                <w:szCs w:val="21"/>
                <w:highlight w:val="none"/>
              </w:rPr>
            </w:pPr>
          </w:p>
          <w:p w14:paraId="0C69D900">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bCs/>
                <w:szCs w:val="21"/>
                <w:highlight w:val="none"/>
              </w:rPr>
            </w:pPr>
          </w:p>
          <w:p w14:paraId="673B5004">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bCs/>
                <w:szCs w:val="21"/>
                <w:highlight w:val="none"/>
              </w:rPr>
            </w:pPr>
          </w:p>
          <w:p w14:paraId="6CFC11A5">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bCs/>
                <w:szCs w:val="21"/>
                <w:highlight w:val="none"/>
              </w:rPr>
            </w:pPr>
          </w:p>
          <w:p w14:paraId="550F4991">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bCs/>
                <w:szCs w:val="21"/>
                <w:highlight w:val="none"/>
              </w:rPr>
            </w:pPr>
          </w:p>
          <w:p w14:paraId="10395A20">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bCs/>
                <w:szCs w:val="21"/>
                <w:highlight w:val="none"/>
              </w:rPr>
            </w:pPr>
          </w:p>
          <w:p w14:paraId="23FC4E90">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bCs/>
                <w:szCs w:val="21"/>
                <w:highlight w:val="none"/>
              </w:rPr>
            </w:pPr>
          </w:p>
          <w:p w14:paraId="3A9DA73E">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bCs/>
                <w:szCs w:val="21"/>
                <w:highlight w:val="none"/>
              </w:rPr>
            </w:pPr>
          </w:p>
          <w:p w14:paraId="1BF406BA">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bCs/>
                <w:szCs w:val="21"/>
                <w:highlight w:val="none"/>
              </w:rPr>
            </w:pPr>
          </w:p>
          <w:p w14:paraId="5E52923A">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bCs/>
                <w:szCs w:val="21"/>
                <w:highlight w:val="none"/>
              </w:rPr>
            </w:pPr>
          </w:p>
          <w:p w14:paraId="48FFF1B3">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bCs/>
                <w:szCs w:val="21"/>
                <w:highlight w:val="none"/>
              </w:rPr>
            </w:pPr>
          </w:p>
          <w:p w14:paraId="6D82A21C">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bCs/>
                <w:szCs w:val="21"/>
                <w:highlight w:val="none"/>
              </w:rPr>
            </w:pPr>
          </w:p>
          <w:p w14:paraId="59015540">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bCs/>
                <w:szCs w:val="21"/>
                <w:highlight w:val="none"/>
              </w:rPr>
            </w:pPr>
          </w:p>
          <w:p w14:paraId="7A21D8C6">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bCs/>
                <w:szCs w:val="21"/>
                <w:highlight w:val="none"/>
              </w:rPr>
            </w:pPr>
          </w:p>
          <w:p w14:paraId="19E81650">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bCs/>
                <w:szCs w:val="21"/>
                <w:highlight w:val="none"/>
              </w:rPr>
            </w:pPr>
          </w:p>
          <w:p w14:paraId="37BE125C">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bCs/>
                <w:szCs w:val="21"/>
                <w:highlight w:val="none"/>
              </w:rPr>
            </w:pPr>
          </w:p>
          <w:p w14:paraId="7B5CAABB">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bCs/>
                <w:szCs w:val="21"/>
                <w:highlight w:val="none"/>
              </w:rPr>
            </w:pPr>
          </w:p>
          <w:p w14:paraId="2800214B">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bCs/>
                <w:szCs w:val="21"/>
                <w:highlight w:val="none"/>
              </w:rPr>
            </w:pPr>
          </w:p>
          <w:p w14:paraId="172F1758">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bCs/>
                <w:szCs w:val="21"/>
                <w:highlight w:val="none"/>
              </w:rPr>
            </w:pPr>
          </w:p>
          <w:p w14:paraId="05520638">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bCs/>
                <w:szCs w:val="21"/>
                <w:highlight w:val="none"/>
              </w:rPr>
            </w:pPr>
          </w:p>
          <w:p w14:paraId="527589E2">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bCs/>
                <w:szCs w:val="21"/>
                <w:highlight w:val="none"/>
              </w:rPr>
            </w:pPr>
          </w:p>
          <w:p w14:paraId="423C4DF0">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bCs/>
                <w:szCs w:val="21"/>
                <w:highlight w:val="none"/>
              </w:rPr>
            </w:pPr>
          </w:p>
          <w:p w14:paraId="1439DD20">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bCs/>
                <w:szCs w:val="21"/>
                <w:highlight w:val="none"/>
              </w:rPr>
            </w:pPr>
          </w:p>
          <w:p w14:paraId="7EE2D172">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bCs/>
                <w:szCs w:val="21"/>
                <w:highlight w:val="none"/>
              </w:rPr>
            </w:pPr>
          </w:p>
          <w:p w14:paraId="3CB93C72">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bCs/>
                <w:szCs w:val="21"/>
                <w:highlight w:val="none"/>
              </w:rPr>
            </w:pPr>
          </w:p>
          <w:p w14:paraId="2E2744CC">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bCs/>
                <w:szCs w:val="21"/>
                <w:highlight w:val="none"/>
              </w:rPr>
            </w:pPr>
          </w:p>
          <w:p w14:paraId="3CE0133B">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bCs/>
                <w:szCs w:val="21"/>
                <w:highlight w:val="none"/>
              </w:rPr>
            </w:pPr>
          </w:p>
          <w:p w14:paraId="6D60FB5C">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bCs/>
                <w:sz w:val="21"/>
                <w:szCs w:val="21"/>
                <w:highlight w:val="none"/>
              </w:rPr>
            </w:pPr>
            <w:r>
              <w:rPr>
                <w:rFonts w:hint="eastAsia" w:ascii="Times New Roman" w:hAnsi="Times New Roman" w:eastAsia="宋体" w:cs="Times New Roman"/>
                <w:bCs/>
                <w:sz w:val="21"/>
                <w:szCs w:val="21"/>
                <w:highlight w:val="none"/>
              </w:rPr>
              <w:t>运营</w:t>
            </w:r>
          </w:p>
          <w:p w14:paraId="389A1B69">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bCs/>
                <w:sz w:val="21"/>
                <w:szCs w:val="21"/>
                <w:highlight w:val="none"/>
              </w:rPr>
            </w:pPr>
            <w:r>
              <w:rPr>
                <w:rFonts w:hint="eastAsia" w:ascii="Times New Roman" w:hAnsi="Times New Roman" w:eastAsia="宋体" w:cs="Times New Roman"/>
                <w:bCs/>
                <w:sz w:val="21"/>
                <w:szCs w:val="21"/>
                <w:highlight w:val="none"/>
              </w:rPr>
              <w:t>期环</w:t>
            </w:r>
          </w:p>
          <w:p w14:paraId="4DA626A6">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bCs/>
                <w:sz w:val="21"/>
                <w:szCs w:val="21"/>
                <w:highlight w:val="none"/>
              </w:rPr>
            </w:pPr>
            <w:r>
              <w:rPr>
                <w:rFonts w:hint="eastAsia" w:ascii="Times New Roman" w:hAnsi="Times New Roman" w:eastAsia="宋体" w:cs="Times New Roman"/>
                <w:bCs/>
                <w:sz w:val="21"/>
                <w:szCs w:val="21"/>
                <w:highlight w:val="none"/>
              </w:rPr>
              <w:t>境影</w:t>
            </w:r>
          </w:p>
          <w:p w14:paraId="708F6137">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bCs/>
                <w:sz w:val="21"/>
                <w:szCs w:val="21"/>
                <w:highlight w:val="none"/>
              </w:rPr>
            </w:pPr>
            <w:r>
              <w:rPr>
                <w:rFonts w:hint="eastAsia" w:ascii="Times New Roman" w:hAnsi="Times New Roman" w:eastAsia="宋体" w:cs="Times New Roman"/>
                <w:bCs/>
                <w:sz w:val="21"/>
                <w:szCs w:val="21"/>
                <w:highlight w:val="none"/>
              </w:rPr>
              <w:t>响和</w:t>
            </w:r>
          </w:p>
          <w:p w14:paraId="7AEADA30">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bCs/>
                <w:sz w:val="21"/>
                <w:szCs w:val="21"/>
                <w:highlight w:val="none"/>
              </w:rPr>
            </w:pPr>
            <w:r>
              <w:rPr>
                <w:rFonts w:hint="eastAsia" w:ascii="Times New Roman" w:hAnsi="Times New Roman" w:eastAsia="宋体" w:cs="Times New Roman"/>
                <w:bCs/>
                <w:sz w:val="21"/>
                <w:szCs w:val="21"/>
                <w:highlight w:val="none"/>
              </w:rPr>
              <w:t>保护</w:t>
            </w:r>
          </w:p>
          <w:p w14:paraId="34DEEC9E">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bCs/>
                <w:sz w:val="21"/>
                <w:szCs w:val="21"/>
                <w:highlight w:val="none"/>
              </w:rPr>
            </w:pPr>
            <w:r>
              <w:rPr>
                <w:rFonts w:hint="eastAsia" w:ascii="Times New Roman" w:hAnsi="Times New Roman" w:eastAsia="宋体" w:cs="Times New Roman"/>
                <w:bCs/>
                <w:sz w:val="21"/>
                <w:szCs w:val="21"/>
                <w:highlight w:val="none"/>
              </w:rPr>
              <w:t>措施</w:t>
            </w:r>
          </w:p>
          <w:p w14:paraId="019905C5">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bCs/>
                <w:szCs w:val="21"/>
                <w:highlight w:val="none"/>
              </w:rPr>
            </w:pPr>
          </w:p>
          <w:p w14:paraId="506A30E0">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bCs/>
                <w:szCs w:val="21"/>
                <w:highlight w:val="none"/>
              </w:rPr>
            </w:pPr>
          </w:p>
          <w:p w14:paraId="0C257FBB">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bCs/>
                <w:szCs w:val="21"/>
                <w:highlight w:val="none"/>
              </w:rPr>
            </w:pPr>
          </w:p>
          <w:p w14:paraId="50C354C7">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bCs/>
                <w:szCs w:val="21"/>
                <w:highlight w:val="none"/>
              </w:rPr>
            </w:pPr>
          </w:p>
          <w:p w14:paraId="05039D31">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bCs/>
                <w:szCs w:val="21"/>
                <w:highlight w:val="none"/>
              </w:rPr>
            </w:pPr>
          </w:p>
          <w:p w14:paraId="76A5B3E4">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bCs/>
                <w:szCs w:val="21"/>
                <w:highlight w:val="none"/>
              </w:rPr>
            </w:pPr>
          </w:p>
          <w:p w14:paraId="1DADEEF6">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bCs/>
                <w:szCs w:val="21"/>
                <w:highlight w:val="none"/>
              </w:rPr>
            </w:pPr>
          </w:p>
          <w:p w14:paraId="0BCA61B3">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bCs/>
                <w:szCs w:val="21"/>
                <w:highlight w:val="none"/>
              </w:rPr>
            </w:pPr>
          </w:p>
          <w:p w14:paraId="0CB55C65">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bCs/>
                <w:szCs w:val="21"/>
                <w:highlight w:val="none"/>
              </w:rPr>
            </w:pPr>
          </w:p>
          <w:p w14:paraId="107927AF">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bCs/>
                <w:szCs w:val="21"/>
                <w:highlight w:val="none"/>
              </w:rPr>
            </w:pPr>
          </w:p>
          <w:p w14:paraId="78B1B5AB">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bCs/>
                <w:szCs w:val="21"/>
                <w:highlight w:val="none"/>
              </w:rPr>
            </w:pPr>
          </w:p>
          <w:p w14:paraId="2F6FDB8F">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bCs/>
                <w:szCs w:val="21"/>
                <w:highlight w:val="none"/>
              </w:rPr>
            </w:pPr>
          </w:p>
          <w:p w14:paraId="0E39C02A">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bCs/>
                <w:szCs w:val="21"/>
                <w:highlight w:val="none"/>
              </w:rPr>
            </w:pPr>
          </w:p>
          <w:p w14:paraId="447CB0C3">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bCs/>
                <w:szCs w:val="21"/>
                <w:highlight w:val="none"/>
              </w:rPr>
            </w:pPr>
          </w:p>
          <w:p w14:paraId="573031AC">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bCs/>
                <w:szCs w:val="21"/>
                <w:highlight w:val="none"/>
              </w:rPr>
            </w:pPr>
          </w:p>
          <w:p w14:paraId="3E5A5F7E">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bCs/>
                <w:szCs w:val="21"/>
                <w:highlight w:val="none"/>
              </w:rPr>
            </w:pPr>
          </w:p>
          <w:p w14:paraId="5D470C30">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bCs/>
                <w:szCs w:val="21"/>
                <w:highlight w:val="none"/>
              </w:rPr>
            </w:pPr>
          </w:p>
          <w:p w14:paraId="2D555E53">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bCs/>
                <w:szCs w:val="21"/>
                <w:highlight w:val="none"/>
              </w:rPr>
            </w:pPr>
          </w:p>
          <w:p w14:paraId="2C57B336">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bCs/>
                <w:szCs w:val="21"/>
                <w:highlight w:val="none"/>
              </w:rPr>
            </w:pPr>
          </w:p>
          <w:p w14:paraId="647FFE3F">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bCs/>
                <w:szCs w:val="21"/>
                <w:highlight w:val="none"/>
              </w:rPr>
            </w:pPr>
          </w:p>
          <w:p w14:paraId="6FB37124">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bCs/>
                <w:szCs w:val="21"/>
                <w:highlight w:val="none"/>
              </w:rPr>
            </w:pPr>
          </w:p>
          <w:p w14:paraId="33C02A75">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bCs/>
                <w:szCs w:val="21"/>
                <w:highlight w:val="none"/>
              </w:rPr>
            </w:pPr>
          </w:p>
          <w:p w14:paraId="2907F6EF">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bCs/>
                <w:szCs w:val="21"/>
                <w:highlight w:val="none"/>
              </w:rPr>
            </w:pPr>
          </w:p>
          <w:p w14:paraId="3C536564">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bCs/>
                <w:szCs w:val="21"/>
                <w:highlight w:val="none"/>
              </w:rPr>
            </w:pPr>
          </w:p>
          <w:p w14:paraId="5C9BFC15">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bCs/>
                <w:szCs w:val="21"/>
                <w:highlight w:val="none"/>
              </w:rPr>
            </w:pPr>
          </w:p>
          <w:p w14:paraId="6063CF37">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bCs/>
                <w:szCs w:val="21"/>
                <w:highlight w:val="none"/>
              </w:rPr>
            </w:pPr>
          </w:p>
          <w:p w14:paraId="32A1CFCE">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bCs/>
                <w:szCs w:val="21"/>
                <w:highlight w:val="none"/>
              </w:rPr>
            </w:pPr>
          </w:p>
          <w:p w14:paraId="5077B769">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bCs/>
                <w:szCs w:val="21"/>
                <w:highlight w:val="none"/>
              </w:rPr>
            </w:pPr>
          </w:p>
          <w:p w14:paraId="294B8F08">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bCs/>
                <w:szCs w:val="21"/>
                <w:highlight w:val="none"/>
              </w:rPr>
            </w:pPr>
          </w:p>
          <w:p w14:paraId="67F8177A">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bCs/>
                <w:szCs w:val="21"/>
                <w:highlight w:val="none"/>
              </w:rPr>
            </w:pPr>
          </w:p>
          <w:p w14:paraId="23379DA5">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bCs/>
                <w:szCs w:val="21"/>
                <w:highlight w:val="none"/>
              </w:rPr>
            </w:pPr>
          </w:p>
          <w:p w14:paraId="1D179633">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bCs/>
                <w:szCs w:val="21"/>
                <w:highlight w:val="none"/>
              </w:rPr>
            </w:pPr>
          </w:p>
          <w:p w14:paraId="50EB9668">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bCs/>
                <w:szCs w:val="21"/>
                <w:highlight w:val="none"/>
              </w:rPr>
            </w:pPr>
          </w:p>
          <w:p w14:paraId="76DE5C0A">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bCs/>
                <w:szCs w:val="21"/>
                <w:highlight w:val="none"/>
              </w:rPr>
            </w:pPr>
          </w:p>
          <w:p w14:paraId="329FEC45">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bCs/>
                <w:szCs w:val="21"/>
                <w:highlight w:val="none"/>
              </w:rPr>
            </w:pPr>
          </w:p>
          <w:p w14:paraId="4234FC73">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bCs/>
                <w:szCs w:val="21"/>
                <w:highlight w:val="none"/>
              </w:rPr>
            </w:pPr>
          </w:p>
          <w:p w14:paraId="57A424A6">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bCs/>
                <w:szCs w:val="21"/>
                <w:highlight w:val="none"/>
              </w:rPr>
            </w:pPr>
          </w:p>
          <w:p w14:paraId="101B2B78">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bCs/>
                <w:szCs w:val="21"/>
                <w:highlight w:val="none"/>
              </w:rPr>
            </w:pPr>
          </w:p>
          <w:p w14:paraId="40D288EF">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bCs/>
                <w:szCs w:val="21"/>
                <w:highlight w:val="none"/>
              </w:rPr>
            </w:pPr>
          </w:p>
          <w:p w14:paraId="528B41E5">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bCs/>
                <w:szCs w:val="21"/>
                <w:highlight w:val="none"/>
              </w:rPr>
            </w:pPr>
          </w:p>
          <w:p w14:paraId="6412FE86">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bCs/>
                <w:szCs w:val="21"/>
                <w:highlight w:val="none"/>
              </w:rPr>
            </w:pPr>
            <w:r>
              <w:rPr>
                <w:rFonts w:hint="eastAsia" w:ascii="Times New Roman" w:hAnsi="Times New Roman" w:eastAsia="宋体" w:cs="Times New Roman"/>
                <w:bCs/>
                <w:szCs w:val="21"/>
                <w:highlight w:val="none"/>
              </w:rPr>
              <w:t>运营</w:t>
            </w:r>
          </w:p>
          <w:p w14:paraId="3CB8B3D5">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bCs/>
                <w:szCs w:val="21"/>
                <w:highlight w:val="none"/>
              </w:rPr>
            </w:pPr>
            <w:r>
              <w:rPr>
                <w:rFonts w:hint="eastAsia" w:ascii="Times New Roman" w:hAnsi="Times New Roman" w:eastAsia="宋体" w:cs="Times New Roman"/>
                <w:bCs/>
                <w:szCs w:val="21"/>
                <w:highlight w:val="none"/>
              </w:rPr>
              <w:t>期环</w:t>
            </w:r>
          </w:p>
          <w:p w14:paraId="7C261372">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bCs/>
                <w:szCs w:val="21"/>
                <w:highlight w:val="none"/>
              </w:rPr>
            </w:pPr>
            <w:r>
              <w:rPr>
                <w:rFonts w:hint="eastAsia" w:ascii="Times New Roman" w:hAnsi="Times New Roman" w:eastAsia="宋体" w:cs="Times New Roman"/>
                <w:bCs/>
                <w:szCs w:val="21"/>
                <w:highlight w:val="none"/>
              </w:rPr>
              <w:t>境影</w:t>
            </w:r>
          </w:p>
          <w:p w14:paraId="12C84283">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bCs/>
                <w:szCs w:val="21"/>
                <w:highlight w:val="none"/>
              </w:rPr>
            </w:pPr>
            <w:r>
              <w:rPr>
                <w:rFonts w:hint="eastAsia" w:ascii="Times New Roman" w:hAnsi="Times New Roman" w:eastAsia="宋体" w:cs="Times New Roman"/>
                <w:bCs/>
                <w:szCs w:val="21"/>
                <w:highlight w:val="none"/>
              </w:rPr>
              <w:t>响和</w:t>
            </w:r>
          </w:p>
          <w:p w14:paraId="3152B40B">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bCs/>
                <w:szCs w:val="21"/>
                <w:highlight w:val="none"/>
              </w:rPr>
            </w:pPr>
            <w:r>
              <w:rPr>
                <w:rFonts w:hint="eastAsia" w:ascii="Times New Roman" w:hAnsi="Times New Roman" w:eastAsia="宋体" w:cs="Times New Roman"/>
                <w:bCs/>
                <w:szCs w:val="21"/>
                <w:highlight w:val="none"/>
              </w:rPr>
              <w:t>保护</w:t>
            </w:r>
          </w:p>
          <w:p w14:paraId="1873108F">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bCs/>
                <w:szCs w:val="21"/>
                <w:highlight w:val="none"/>
              </w:rPr>
            </w:pPr>
            <w:r>
              <w:rPr>
                <w:rFonts w:hint="eastAsia" w:ascii="Times New Roman" w:hAnsi="Times New Roman" w:eastAsia="宋体" w:cs="Times New Roman"/>
                <w:bCs/>
                <w:szCs w:val="21"/>
                <w:highlight w:val="none"/>
              </w:rPr>
              <w:t>措施</w:t>
            </w:r>
          </w:p>
          <w:p w14:paraId="18F29DF2">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bCs/>
                <w:szCs w:val="21"/>
                <w:highlight w:val="none"/>
              </w:rPr>
            </w:pPr>
          </w:p>
          <w:p w14:paraId="7CD0C2C8">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bCs/>
                <w:szCs w:val="21"/>
                <w:highlight w:val="none"/>
              </w:rPr>
            </w:pPr>
          </w:p>
          <w:p w14:paraId="39070284">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bCs/>
                <w:szCs w:val="21"/>
                <w:highlight w:val="none"/>
              </w:rPr>
            </w:pPr>
          </w:p>
          <w:p w14:paraId="36340DF4">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bCs/>
                <w:szCs w:val="21"/>
                <w:highlight w:val="none"/>
              </w:rPr>
            </w:pPr>
          </w:p>
          <w:p w14:paraId="04C3DA88">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bCs/>
                <w:szCs w:val="21"/>
                <w:highlight w:val="none"/>
              </w:rPr>
            </w:pPr>
          </w:p>
          <w:p w14:paraId="6B26CD66">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bCs/>
                <w:szCs w:val="21"/>
                <w:highlight w:val="none"/>
              </w:rPr>
            </w:pPr>
          </w:p>
          <w:p w14:paraId="229F04CD">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bCs/>
                <w:szCs w:val="21"/>
                <w:highlight w:val="none"/>
              </w:rPr>
            </w:pPr>
          </w:p>
          <w:p w14:paraId="5980AD3D">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bCs/>
                <w:szCs w:val="21"/>
                <w:highlight w:val="none"/>
              </w:rPr>
            </w:pPr>
          </w:p>
          <w:p w14:paraId="0D50ADC3">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bCs/>
                <w:szCs w:val="21"/>
                <w:highlight w:val="none"/>
              </w:rPr>
            </w:pPr>
          </w:p>
          <w:p w14:paraId="60A35C15">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bCs/>
                <w:szCs w:val="21"/>
                <w:highlight w:val="none"/>
              </w:rPr>
            </w:pPr>
          </w:p>
          <w:p w14:paraId="505EA5FE">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bCs/>
                <w:szCs w:val="21"/>
                <w:highlight w:val="none"/>
              </w:rPr>
            </w:pPr>
          </w:p>
          <w:p w14:paraId="33272685">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bCs/>
                <w:szCs w:val="21"/>
                <w:highlight w:val="none"/>
              </w:rPr>
            </w:pPr>
          </w:p>
          <w:p w14:paraId="5AB3CC2B">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bCs/>
                <w:szCs w:val="21"/>
                <w:highlight w:val="none"/>
              </w:rPr>
            </w:pPr>
          </w:p>
          <w:p w14:paraId="6D491CD8">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bCs/>
                <w:szCs w:val="21"/>
                <w:highlight w:val="none"/>
              </w:rPr>
            </w:pPr>
          </w:p>
          <w:p w14:paraId="76D305F1">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bCs/>
                <w:szCs w:val="21"/>
                <w:highlight w:val="none"/>
              </w:rPr>
            </w:pPr>
          </w:p>
          <w:p w14:paraId="24B0F388">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bCs/>
                <w:szCs w:val="21"/>
                <w:highlight w:val="none"/>
              </w:rPr>
            </w:pPr>
          </w:p>
          <w:p w14:paraId="066EA716">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bCs/>
                <w:szCs w:val="21"/>
                <w:highlight w:val="none"/>
              </w:rPr>
            </w:pPr>
          </w:p>
          <w:p w14:paraId="13621856">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bCs/>
                <w:szCs w:val="21"/>
                <w:highlight w:val="none"/>
              </w:rPr>
            </w:pPr>
          </w:p>
          <w:p w14:paraId="1DF7F921">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bCs/>
                <w:szCs w:val="21"/>
                <w:highlight w:val="none"/>
              </w:rPr>
            </w:pPr>
          </w:p>
          <w:p w14:paraId="4D25F495">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bCs/>
                <w:szCs w:val="21"/>
                <w:highlight w:val="none"/>
              </w:rPr>
            </w:pPr>
          </w:p>
          <w:p w14:paraId="28AE07E0">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bCs/>
                <w:szCs w:val="21"/>
                <w:highlight w:val="none"/>
              </w:rPr>
            </w:pPr>
          </w:p>
          <w:p w14:paraId="7A50C2F7">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bCs/>
                <w:szCs w:val="21"/>
                <w:highlight w:val="none"/>
              </w:rPr>
            </w:pPr>
          </w:p>
          <w:p w14:paraId="2C0319AF">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bCs/>
                <w:szCs w:val="21"/>
                <w:highlight w:val="none"/>
              </w:rPr>
            </w:pPr>
          </w:p>
          <w:p w14:paraId="57AF58FA">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bCs/>
                <w:szCs w:val="21"/>
                <w:highlight w:val="none"/>
              </w:rPr>
            </w:pPr>
          </w:p>
          <w:p w14:paraId="10E1CBDE">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bCs/>
                <w:szCs w:val="21"/>
                <w:highlight w:val="none"/>
              </w:rPr>
            </w:pPr>
          </w:p>
          <w:p w14:paraId="29642C4D">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bCs/>
                <w:szCs w:val="21"/>
                <w:highlight w:val="none"/>
              </w:rPr>
            </w:pPr>
          </w:p>
          <w:p w14:paraId="5F0556B8">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bCs/>
                <w:szCs w:val="21"/>
                <w:highlight w:val="none"/>
              </w:rPr>
            </w:pPr>
          </w:p>
          <w:p w14:paraId="30F10717">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bCs/>
                <w:szCs w:val="21"/>
                <w:highlight w:val="none"/>
              </w:rPr>
            </w:pPr>
          </w:p>
          <w:p w14:paraId="69D286EC">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bCs/>
                <w:szCs w:val="21"/>
                <w:highlight w:val="none"/>
              </w:rPr>
            </w:pPr>
          </w:p>
          <w:p w14:paraId="06E15D5A">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bCs/>
                <w:szCs w:val="21"/>
                <w:highlight w:val="none"/>
              </w:rPr>
            </w:pPr>
          </w:p>
          <w:p w14:paraId="2D74BA32">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bCs/>
                <w:szCs w:val="21"/>
                <w:highlight w:val="none"/>
              </w:rPr>
            </w:pPr>
          </w:p>
          <w:p w14:paraId="1FFD8F3C">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bCs/>
                <w:szCs w:val="21"/>
                <w:highlight w:val="none"/>
              </w:rPr>
            </w:pPr>
          </w:p>
          <w:p w14:paraId="3EB49EEF">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bCs/>
                <w:szCs w:val="21"/>
                <w:highlight w:val="none"/>
              </w:rPr>
            </w:pPr>
          </w:p>
          <w:p w14:paraId="2860A5CD">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bCs/>
                <w:szCs w:val="21"/>
                <w:highlight w:val="none"/>
              </w:rPr>
            </w:pPr>
          </w:p>
          <w:p w14:paraId="6E388784">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bCs/>
                <w:szCs w:val="21"/>
                <w:highlight w:val="none"/>
              </w:rPr>
            </w:pPr>
          </w:p>
          <w:p w14:paraId="77B18483">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bCs/>
                <w:szCs w:val="21"/>
                <w:highlight w:val="none"/>
              </w:rPr>
            </w:pPr>
          </w:p>
          <w:p w14:paraId="017D8DC5">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bCs/>
                <w:szCs w:val="21"/>
                <w:highlight w:val="none"/>
              </w:rPr>
            </w:pPr>
          </w:p>
          <w:p w14:paraId="4DAF8646">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bCs/>
                <w:szCs w:val="21"/>
                <w:highlight w:val="none"/>
              </w:rPr>
            </w:pPr>
          </w:p>
          <w:p w14:paraId="2335D8D2">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bCs/>
                <w:szCs w:val="21"/>
                <w:highlight w:val="none"/>
              </w:rPr>
            </w:pPr>
          </w:p>
          <w:p w14:paraId="69770B3A">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bCs/>
                <w:szCs w:val="21"/>
                <w:highlight w:val="none"/>
              </w:rPr>
            </w:pPr>
          </w:p>
          <w:p w14:paraId="22B5F719">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bCs/>
                <w:szCs w:val="21"/>
                <w:highlight w:val="none"/>
              </w:rPr>
            </w:pPr>
          </w:p>
          <w:p w14:paraId="62A40F09">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bCs/>
                <w:szCs w:val="21"/>
                <w:highlight w:val="none"/>
              </w:rPr>
            </w:pPr>
          </w:p>
          <w:p w14:paraId="37FBCA47">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bCs/>
                <w:szCs w:val="21"/>
                <w:highlight w:val="none"/>
              </w:rPr>
            </w:pPr>
            <w:r>
              <w:rPr>
                <w:rFonts w:hint="eastAsia" w:ascii="Times New Roman" w:hAnsi="Times New Roman" w:eastAsia="宋体" w:cs="Times New Roman"/>
                <w:bCs/>
                <w:szCs w:val="21"/>
                <w:highlight w:val="none"/>
              </w:rPr>
              <w:t>运营</w:t>
            </w:r>
          </w:p>
          <w:p w14:paraId="72591E8B">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bCs/>
                <w:szCs w:val="21"/>
                <w:highlight w:val="none"/>
              </w:rPr>
            </w:pPr>
            <w:r>
              <w:rPr>
                <w:rFonts w:hint="eastAsia" w:ascii="Times New Roman" w:hAnsi="Times New Roman" w:eastAsia="宋体" w:cs="Times New Roman"/>
                <w:bCs/>
                <w:szCs w:val="21"/>
                <w:highlight w:val="none"/>
              </w:rPr>
              <w:t>期环</w:t>
            </w:r>
          </w:p>
          <w:p w14:paraId="2C71FA69">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bCs/>
                <w:szCs w:val="21"/>
                <w:highlight w:val="none"/>
              </w:rPr>
            </w:pPr>
            <w:r>
              <w:rPr>
                <w:rFonts w:hint="eastAsia" w:ascii="Times New Roman" w:hAnsi="Times New Roman" w:eastAsia="宋体" w:cs="Times New Roman"/>
                <w:bCs/>
                <w:szCs w:val="21"/>
                <w:highlight w:val="none"/>
              </w:rPr>
              <w:t>境影</w:t>
            </w:r>
          </w:p>
          <w:p w14:paraId="3CA3ED75">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bCs/>
                <w:szCs w:val="21"/>
                <w:highlight w:val="none"/>
              </w:rPr>
            </w:pPr>
            <w:r>
              <w:rPr>
                <w:rFonts w:hint="eastAsia" w:ascii="Times New Roman" w:hAnsi="Times New Roman" w:eastAsia="宋体" w:cs="Times New Roman"/>
                <w:bCs/>
                <w:szCs w:val="21"/>
                <w:highlight w:val="none"/>
              </w:rPr>
              <w:t>响和</w:t>
            </w:r>
          </w:p>
          <w:p w14:paraId="7D385572">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bCs/>
                <w:szCs w:val="21"/>
                <w:highlight w:val="none"/>
              </w:rPr>
            </w:pPr>
            <w:r>
              <w:rPr>
                <w:rFonts w:hint="eastAsia" w:ascii="Times New Roman" w:hAnsi="Times New Roman" w:eastAsia="宋体" w:cs="Times New Roman"/>
                <w:bCs/>
                <w:szCs w:val="21"/>
                <w:highlight w:val="none"/>
              </w:rPr>
              <w:t>保护</w:t>
            </w:r>
          </w:p>
          <w:p w14:paraId="2D11C117">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bCs/>
                <w:szCs w:val="21"/>
                <w:highlight w:val="none"/>
              </w:rPr>
            </w:pPr>
            <w:r>
              <w:rPr>
                <w:rFonts w:hint="eastAsia" w:ascii="Times New Roman" w:hAnsi="Times New Roman" w:eastAsia="宋体" w:cs="Times New Roman"/>
                <w:bCs/>
                <w:szCs w:val="21"/>
                <w:highlight w:val="none"/>
              </w:rPr>
              <w:t>措施</w:t>
            </w:r>
          </w:p>
          <w:p w14:paraId="68D2C056">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bCs/>
                <w:szCs w:val="21"/>
                <w:highlight w:val="none"/>
              </w:rPr>
            </w:pPr>
          </w:p>
          <w:p w14:paraId="63464548">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bCs/>
                <w:szCs w:val="21"/>
                <w:highlight w:val="none"/>
              </w:rPr>
            </w:pPr>
          </w:p>
          <w:p w14:paraId="43AC5A0E">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bCs/>
                <w:szCs w:val="21"/>
                <w:highlight w:val="none"/>
              </w:rPr>
            </w:pPr>
          </w:p>
          <w:p w14:paraId="41BC3245">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bCs/>
                <w:szCs w:val="21"/>
                <w:highlight w:val="none"/>
              </w:rPr>
            </w:pPr>
          </w:p>
          <w:p w14:paraId="13452155">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bCs/>
                <w:szCs w:val="21"/>
                <w:highlight w:val="none"/>
              </w:rPr>
            </w:pPr>
          </w:p>
          <w:p w14:paraId="65DC5A4C">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bCs/>
                <w:szCs w:val="21"/>
                <w:highlight w:val="none"/>
              </w:rPr>
            </w:pPr>
          </w:p>
          <w:p w14:paraId="26E047AB">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bCs/>
                <w:szCs w:val="21"/>
                <w:highlight w:val="none"/>
              </w:rPr>
            </w:pPr>
          </w:p>
          <w:p w14:paraId="6B856FBA">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bCs/>
                <w:szCs w:val="21"/>
                <w:highlight w:val="none"/>
              </w:rPr>
            </w:pPr>
          </w:p>
          <w:p w14:paraId="4C049C22">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bCs/>
                <w:szCs w:val="21"/>
                <w:highlight w:val="none"/>
              </w:rPr>
            </w:pPr>
          </w:p>
          <w:p w14:paraId="062A7BF7">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bCs/>
                <w:szCs w:val="21"/>
                <w:highlight w:val="none"/>
              </w:rPr>
            </w:pPr>
          </w:p>
          <w:p w14:paraId="667A64F1">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bCs/>
                <w:szCs w:val="21"/>
                <w:highlight w:val="none"/>
              </w:rPr>
            </w:pPr>
          </w:p>
          <w:p w14:paraId="46D63DB0">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bCs/>
                <w:szCs w:val="21"/>
                <w:highlight w:val="none"/>
              </w:rPr>
            </w:pPr>
          </w:p>
          <w:p w14:paraId="5BA44522">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bCs/>
                <w:szCs w:val="21"/>
                <w:highlight w:val="none"/>
              </w:rPr>
            </w:pPr>
          </w:p>
          <w:p w14:paraId="6A17DE07">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bCs/>
                <w:szCs w:val="21"/>
                <w:highlight w:val="none"/>
              </w:rPr>
            </w:pPr>
          </w:p>
          <w:p w14:paraId="6D2F316F">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bCs/>
                <w:szCs w:val="21"/>
                <w:highlight w:val="none"/>
              </w:rPr>
            </w:pPr>
          </w:p>
          <w:p w14:paraId="189A55AA">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bCs/>
                <w:szCs w:val="21"/>
                <w:highlight w:val="none"/>
              </w:rPr>
            </w:pPr>
          </w:p>
          <w:p w14:paraId="57E52F79">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bCs/>
                <w:szCs w:val="21"/>
                <w:highlight w:val="none"/>
              </w:rPr>
            </w:pPr>
          </w:p>
          <w:p w14:paraId="633B4C62">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bCs/>
                <w:szCs w:val="21"/>
                <w:highlight w:val="none"/>
              </w:rPr>
            </w:pPr>
          </w:p>
          <w:p w14:paraId="7E8F3F5C">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bCs/>
                <w:szCs w:val="21"/>
                <w:highlight w:val="none"/>
              </w:rPr>
            </w:pPr>
          </w:p>
          <w:p w14:paraId="0F85DD15">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bCs/>
                <w:szCs w:val="21"/>
                <w:highlight w:val="none"/>
              </w:rPr>
            </w:pPr>
          </w:p>
          <w:p w14:paraId="3E771ADD">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bCs/>
                <w:szCs w:val="21"/>
                <w:highlight w:val="none"/>
              </w:rPr>
            </w:pPr>
          </w:p>
          <w:p w14:paraId="7A8F2E85">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bCs/>
                <w:szCs w:val="21"/>
                <w:highlight w:val="none"/>
              </w:rPr>
            </w:pPr>
          </w:p>
          <w:p w14:paraId="12836FF7">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bCs/>
                <w:szCs w:val="21"/>
                <w:highlight w:val="none"/>
              </w:rPr>
            </w:pPr>
          </w:p>
          <w:p w14:paraId="629CE27F">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bCs/>
                <w:szCs w:val="21"/>
                <w:highlight w:val="none"/>
              </w:rPr>
            </w:pPr>
          </w:p>
          <w:p w14:paraId="69B6C6F2">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bCs/>
                <w:szCs w:val="21"/>
                <w:highlight w:val="none"/>
              </w:rPr>
            </w:pPr>
          </w:p>
          <w:p w14:paraId="7EC0562E">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bCs/>
                <w:szCs w:val="21"/>
                <w:highlight w:val="none"/>
              </w:rPr>
            </w:pPr>
          </w:p>
          <w:p w14:paraId="64FEE345">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bCs/>
                <w:szCs w:val="21"/>
                <w:highlight w:val="none"/>
              </w:rPr>
            </w:pPr>
          </w:p>
          <w:p w14:paraId="7AE55210">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bCs/>
                <w:szCs w:val="21"/>
                <w:highlight w:val="none"/>
              </w:rPr>
            </w:pPr>
          </w:p>
          <w:p w14:paraId="710D1863">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bCs/>
                <w:szCs w:val="21"/>
                <w:highlight w:val="none"/>
              </w:rPr>
            </w:pPr>
          </w:p>
          <w:p w14:paraId="00312E5C">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bCs/>
                <w:szCs w:val="21"/>
                <w:highlight w:val="none"/>
              </w:rPr>
            </w:pPr>
          </w:p>
          <w:p w14:paraId="164D00B5">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bCs/>
                <w:szCs w:val="21"/>
                <w:highlight w:val="none"/>
              </w:rPr>
            </w:pPr>
          </w:p>
          <w:p w14:paraId="133481F7">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bCs/>
                <w:szCs w:val="21"/>
                <w:highlight w:val="none"/>
              </w:rPr>
            </w:pPr>
          </w:p>
          <w:p w14:paraId="0D86D966">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bCs/>
                <w:szCs w:val="21"/>
                <w:highlight w:val="none"/>
              </w:rPr>
            </w:pPr>
          </w:p>
          <w:p w14:paraId="246E7039">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bCs/>
                <w:szCs w:val="21"/>
                <w:highlight w:val="none"/>
              </w:rPr>
            </w:pPr>
          </w:p>
          <w:p w14:paraId="49C37400">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bCs/>
                <w:szCs w:val="21"/>
                <w:highlight w:val="none"/>
              </w:rPr>
            </w:pPr>
          </w:p>
          <w:p w14:paraId="4D0660E7">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bCs/>
                <w:szCs w:val="21"/>
                <w:highlight w:val="none"/>
              </w:rPr>
            </w:pPr>
          </w:p>
          <w:p w14:paraId="6BC46C47">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bCs/>
                <w:szCs w:val="21"/>
                <w:highlight w:val="none"/>
              </w:rPr>
            </w:pPr>
          </w:p>
          <w:p w14:paraId="7B0EA8FD">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bCs/>
                <w:szCs w:val="21"/>
                <w:highlight w:val="none"/>
              </w:rPr>
            </w:pPr>
          </w:p>
          <w:p w14:paraId="691708A1">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bCs/>
                <w:szCs w:val="21"/>
                <w:highlight w:val="none"/>
              </w:rPr>
            </w:pPr>
          </w:p>
          <w:p w14:paraId="55E1C13F">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bCs/>
                <w:szCs w:val="21"/>
                <w:highlight w:val="none"/>
              </w:rPr>
            </w:pPr>
          </w:p>
          <w:p w14:paraId="085F3B83">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bCs/>
                <w:szCs w:val="21"/>
                <w:highlight w:val="none"/>
              </w:rPr>
            </w:pPr>
          </w:p>
          <w:p w14:paraId="1D9C9678">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bCs/>
                <w:szCs w:val="21"/>
                <w:highlight w:val="none"/>
              </w:rPr>
            </w:pPr>
            <w:r>
              <w:rPr>
                <w:rFonts w:hint="eastAsia" w:ascii="Times New Roman" w:hAnsi="Times New Roman" w:eastAsia="宋体" w:cs="Times New Roman"/>
                <w:bCs/>
                <w:szCs w:val="21"/>
                <w:highlight w:val="none"/>
              </w:rPr>
              <w:t>运营</w:t>
            </w:r>
          </w:p>
          <w:p w14:paraId="0BFD2DF4">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bCs/>
                <w:szCs w:val="21"/>
                <w:highlight w:val="none"/>
              </w:rPr>
            </w:pPr>
            <w:r>
              <w:rPr>
                <w:rFonts w:hint="eastAsia" w:ascii="Times New Roman" w:hAnsi="Times New Roman" w:eastAsia="宋体" w:cs="Times New Roman"/>
                <w:bCs/>
                <w:szCs w:val="21"/>
                <w:highlight w:val="none"/>
              </w:rPr>
              <w:t>期环</w:t>
            </w:r>
          </w:p>
          <w:p w14:paraId="35372016">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bCs/>
                <w:szCs w:val="21"/>
                <w:highlight w:val="none"/>
              </w:rPr>
            </w:pPr>
            <w:r>
              <w:rPr>
                <w:rFonts w:hint="eastAsia" w:ascii="Times New Roman" w:hAnsi="Times New Roman" w:eastAsia="宋体" w:cs="Times New Roman"/>
                <w:bCs/>
                <w:szCs w:val="21"/>
                <w:highlight w:val="none"/>
              </w:rPr>
              <w:t>境影</w:t>
            </w:r>
          </w:p>
          <w:p w14:paraId="5C17ECA7">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bCs/>
                <w:szCs w:val="21"/>
                <w:highlight w:val="none"/>
              </w:rPr>
            </w:pPr>
            <w:r>
              <w:rPr>
                <w:rFonts w:hint="eastAsia" w:ascii="Times New Roman" w:hAnsi="Times New Roman" w:eastAsia="宋体" w:cs="Times New Roman"/>
                <w:bCs/>
                <w:szCs w:val="21"/>
                <w:highlight w:val="none"/>
              </w:rPr>
              <w:t>响和</w:t>
            </w:r>
          </w:p>
          <w:p w14:paraId="2493484C">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bCs/>
                <w:szCs w:val="21"/>
                <w:highlight w:val="none"/>
              </w:rPr>
            </w:pPr>
            <w:r>
              <w:rPr>
                <w:rFonts w:hint="eastAsia" w:ascii="Times New Roman" w:hAnsi="Times New Roman" w:eastAsia="宋体" w:cs="Times New Roman"/>
                <w:bCs/>
                <w:szCs w:val="21"/>
                <w:highlight w:val="none"/>
              </w:rPr>
              <w:t>保护</w:t>
            </w:r>
          </w:p>
          <w:p w14:paraId="496EF541">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bCs/>
                <w:szCs w:val="21"/>
                <w:highlight w:val="none"/>
              </w:rPr>
            </w:pPr>
            <w:r>
              <w:rPr>
                <w:rFonts w:hint="eastAsia" w:ascii="Times New Roman" w:hAnsi="Times New Roman" w:eastAsia="宋体" w:cs="Times New Roman"/>
                <w:bCs/>
                <w:szCs w:val="21"/>
                <w:highlight w:val="none"/>
              </w:rPr>
              <w:t>措施</w:t>
            </w:r>
          </w:p>
          <w:p w14:paraId="0BA7BE5F">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bCs/>
                <w:szCs w:val="21"/>
                <w:highlight w:val="none"/>
              </w:rPr>
            </w:pPr>
          </w:p>
          <w:p w14:paraId="2CBBE12D">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bCs/>
                <w:szCs w:val="21"/>
                <w:highlight w:val="none"/>
              </w:rPr>
            </w:pPr>
          </w:p>
          <w:p w14:paraId="731E1256">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bCs/>
                <w:szCs w:val="21"/>
                <w:highlight w:val="none"/>
              </w:rPr>
            </w:pPr>
          </w:p>
          <w:p w14:paraId="14CAF268">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bCs/>
                <w:szCs w:val="21"/>
                <w:highlight w:val="none"/>
              </w:rPr>
            </w:pPr>
          </w:p>
          <w:p w14:paraId="4E1B7348">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bCs/>
                <w:szCs w:val="21"/>
                <w:highlight w:val="none"/>
              </w:rPr>
            </w:pPr>
          </w:p>
          <w:p w14:paraId="6495001C">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bCs/>
                <w:szCs w:val="21"/>
                <w:highlight w:val="none"/>
              </w:rPr>
            </w:pPr>
          </w:p>
          <w:p w14:paraId="014B5AB0">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bCs/>
                <w:szCs w:val="21"/>
                <w:highlight w:val="none"/>
              </w:rPr>
            </w:pPr>
          </w:p>
          <w:p w14:paraId="3E8416E0">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bCs/>
                <w:szCs w:val="21"/>
                <w:highlight w:val="none"/>
              </w:rPr>
            </w:pPr>
          </w:p>
          <w:p w14:paraId="4549D083">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bCs/>
                <w:szCs w:val="21"/>
                <w:highlight w:val="none"/>
              </w:rPr>
            </w:pPr>
          </w:p>
          <w:p w14:paraId="058678E3">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bCs/>
                <w:szCs w:val="21"/>
                <w:highlight w:val="none"/>
              </w:rPr>
            </w:pPr>
          </w:p>
          <w:p w14:paraId="62FACFB3">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bCs/>
                <w:szCs w:val="21"/>
                <w:highlight w:val="none"/>
              </w:rPr>
            </w:pPr>
          </w:p>
          <w:p w14:paraId="2AE5488B">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bCs/>
                <w:szCs w:val="21"/>
                <w:highlight w:val="none"/>
              </w:rPr>
            </w:pPr>
          </w:p>
          <w:p w14:paraId="577B5019">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bCs/>
                <w:szCs w:val="21"/>
                <w:highlight w:val="none"/>
              </w:rPr>
            </w:pPr>
          </w:p>
          <w:p w14:paraId="62283032">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bCs/>
                <w:szCs w:val="21"/>
                <w:highlight w:val="none"/>
              </w:rPr>
            </w:pPr>
          </w:p>
          <w:p w14:paraId="7DD1E404">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bCs/>
                <w:szCs w:val="21"/>
                <w:highlight w:val="none"/>
              </w:rPr>
            </w:pPr>
          </w:p>
          <w:p w14:paraId="6B0051AB">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bCs/>
                <w:szCs w:val="21"/>
                <w:highlight w:val="none"/>
              </w:rPr>
            </w:pPr>
          </w:p>
          <w:p w14:paraId="18C51BB2">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bCs/>
                <w:szCs w:val="21"/>
                <w:highlight w:val="none"/>
              </w:rPr>
            </w:pPr>
          </w:p>
          <w:p w14:paraId="2E9122B0">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bCs/>
                <w:szCs w:val="21"/>
                <w:highlight w:val="none"/>
              </w:rPr>
            </w:pPr>
          </w:p>
          <w:p w14:paraId="38D9504C">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bCs/>
                <w:szCs w:val="21"/>
                <w:highlight w:val="none"/>
              </w:rPr>
            </w:pPr>
          </w:p>
          <w:p w14:paraId="0B1BE3C5">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bCs/>
                <w:szCs w:val="21"/>
                <w:highlight w:val="none"/>
              </w:rPr>
            </w:pPr>
          </w:p>
          <w:p w14:paraId="4A16DF9B">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bCs/>
                <w:szCs w:val="21"/>
                <w:highlight w:val="none"/>
              </w:rPr>
            </w:pPr>
          </w:p>
          <w:p w14:paraId="15539DE5">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bCs/>
                <w:szCs w:val="21"/>
                <w:highlight w:val="none"/>
              </w:rPr>
            </w:pPr>
          </w:p>
          <w:p w14:paraId="42389D6C">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bCs/>
                <w:szCs w:val="21"/>
                <w:highlight w:val="none"/>
              </w:rPr>
            </w:pPr>
          </w:p>
          <w:p w14:paraId="64D24ACF">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bCs/>
                <w:szCs w:val="21"/>
                <w:highlight w:val="none"/>
              </w:rPr>
            </w:pPr>
          </w:p>
          <w:p w14:paraId="3AEE4B3A">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bCs/>
                <w:szCs w:val="21"/>
                <w:highlight w:val="none"/>
              </w:rPr>
            </w:pPr>
          </w:p>
          <w:p w14:paraId="393BE5E2">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bCs/>
                <w:szCs w:val="21"/>
                <w:highlight w:val="none"/>
              </w:rPr>
            </w:pPr>
          </w:p>
          <w:p w14:paraId="1B2CEE3A">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bCs/>
                <w:szCs w:val="21"/>
                <w:highlight w:val="none"/>
              </w:rPr>
            </w:pPr>
          </w:p>
          <w:p w14:paraId="5DFBF486">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bCs/>
                <w:szCs w:val="21"/>
                <w:highlight w:val="none"/>
              </w:rPr>
            </w:pPr>
          </w:p>
          <w:p w14:paraId="244EA8D3">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bCs/>
                <w:szCs w:val="21"/>
                <w:highlight w:val="none"/>
              </w:rPr>
            </w:pPr>
          </w:p>
          <w:p w14:paraId="44A08786">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bCs/>
                <w:szCs w:val="21"/>
                <w:highlight w:val="none"/>
              </w:rPr>
            </w:pPr>
          </w:p>
          <w:p w14:paraId="36E17D9E">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bCs/>
                <w:szCs w:val="21"/>
                <w:highlight w:val="none"/>
              </w:rPr>
            </w:pPr>
          </w:p>
          <w:p w14:paraId="31C3560B">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bCs/>
                <w:szCs w:val="21"/>
                <w:highlight w:val="none"/>
              </w:rPr>
            </w:pPr>
          </w:p>
          <w:p w14:paraId="495ACC59">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bCs/>
                <w:szCs w:val="21"/>
                <w:highlight w:val="none"/>
              </w:rPr>
            </w:pPr>
          </w:p>
          <w:p w14:paraId="7E645F9B">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bCs/>
                <w:szCs w:val="21"/>
                <w:highlight w:val="none"/>
              </w:rPr>
            </w:pPr>
          </w:p>
          <w:p w14:paraId="7841BCC4">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bCs/>
                <w:szCs w:val="21"/>
                <w:highlight w:val="none"/>
              </w:rPr>
            </w:pPr>
          </w:p>
          <w:p w14:paraId="055FCEC2">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bCs/>
                <w:szCs w:val="21"/>
                <w:highlight w:val="none"/>
              </w:rPr>
            </w:pPr>
          </w:p>
          <w:p w14:paraId="338D69DB">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bCs/>
                <w:szCs w:val="21"/>
                <w:highlight w:val="none"/>
              </w:rPr>
            </w:pPr>
          </w:p>
          <w:p w14:paraId="66945934">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bCs/>
                <w:szCs w:val="21"/>
                <w:highlight w:val="none"/>
              </w:rPr>
            </w:pPr>
          </w:p>
          <w:p w14:paraId="67639166">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bCs/>
                <w:szCs w:val="21"/>
                <w:highlight w:val="none"/>
              </w:rPr>
            </w:pPr>
          </w:p>
          <w:p w14:paraId="351B38F0">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bCs/>
                <w:szCs w:val="21"/>
                <w:highlight w:val="none"/>
              </w:rPr>
            </w:pPr>
          </w:p>
          <w:p w14:paraId="06B56C27">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bCs/>
                <w:szCs w:val="21"/>
                <w:highlight w:val="none"/>
              </w:rPr>
            </w:pPr>
          </w:p>
          <w:p w14:paraId="53F1FC44">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bCs/>
                <w:szCs w:val="21"/>
                <w:highlight w:val="none"/>
              </w:rPr>
            </w:pPr>
            <w:r>
              <w:rPr>
                <w:rFonts w:hint="eastAsia" w:ascii="Times New Roman" w:hAnsi="Times New Roman" w:eastAsia="宋体" w:cs="Times New Roman"/>
                <w:bCs/>
                <w:szCs w:val="21"/>
                <w:highlight w:val="none"/>
              </w:rPr>
              <w:t>运营</w:t>
            </w:r>
          </w:p>
          <w:p w14:paraId="03E94EEB">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bCs/>
                <w:szCs w:val="21"/>
                <w:highlight w:val="none"/>
              </w:rPr>
            </w:pPr>
            <w:r>
              <w:rPr>
                <w:rFonts w:hint="eastAsia" w:ascii="Times New Roman" w:hAnsi="Times New Roman" w:eastAsia="宋体" w:cs="Times New Roman"/>
                <w:bCs/>
                <w:szCs w:val="21"/>
                <w:highlight w:val="none"/>
              </w:rPr>
              <w:t>期环</w:t>
            </w:r>
          </w:p>
          <w:p w14:paraId="0FFA5CA5">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bCs/>
                <w:szCs w:val="21"/>
                <w:highlight w:val="none"/>
              </w:rPr>
            </w:pPr>
            <w:r>
              <w:rPr>
                <w:rFonts w:hint="eastAsia" w:ascii="Times New Roman" w:hAnsi="Times New Roman" w:eastAsia="宋体" w:cs="Times New Roman"/>
                <w:bCs/>
                <w:szCs w:val="21"/>
                <w:highlight w:val="none"/>
              </w:rPr>
              <w:t>境影</w:t>
            </w:r>
          </w:p>
          <w:p w14:paraId="49A3F497">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bCs/>
                <w:szCs w:val="21"/>
                <w:highlight w:val="none"/>
              </w:rPr>
            </w:pPr>
            <w:r>
              <w:rPr>
                <w:rFonts w:hint="eastAsia" w:ascii="Times New Roman" w:hAnsi="Times New Roman" w:eastAsia="宋体" w:cs="Times New Roman"/>
                <w:bCs/>
                <w:szCs w:val="21"/>
                <w:highlight w:val="none"/>
              </w:rPr>
              <w:t>响和</w:t>
            </w:r>
          </w:p>
          <w:p w14:paraId="00FEFE3E">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bCs/>
                <w:szCs w:val="21"/>
                <w:highlight w:val="none"/>
              </w:rPr>
            </w:pPr>
            <w:r>
              <w:rPr>
                <w:rFonts w:hint="eastAsia" w:ascii="Times New Roman" w:hAnsi="Times New Roman" w:eastAsia="宋体" w:cs="Times New Roman"/>
                <w:bCs/>
                <w:szCs w:val="21"/>
                <w:highlight w:val="none"/>
              </w:rPr>
              <w:t>保护</w:t>
            </w:r>
          </w:p>
          <w:p w14:paraId="5BA41DF4">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bCs/>
                <w:szCs w:val="21"/>
                <w:highlight w:val="none"/>
              </w:rPr>
            </w:pPr>
            <w:r>
              <w:rPr>
                <w:rFonts w:hint="eastAsia" w:ascii="Times New Roman" w:hAnsi="Times New Roman" w:eastAsia="宋体" w:cs="Times New Roman"/>
                <w:bCs/>
                <w:szCs w:val="21"/>
                <w:highlight w:val="none"/>
              </w:rPr>
              <w:t>措施</w:t>
            </w:r>
          </w:p>
          <w:p w14:paraId="75EF50B8">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bCs/>
                <w:szCs w:val="21"/>
                <w:highlight w:val="none"/>
              </w:rPr>
            </w:pPr>
          </w:p>
          <w:p w14:paraId="67A557F1">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bCs/>
                <w:szCs w:val="21"/>
                <w:highlight w:val="none"/>
              </w:rPr>
            </w:pPr>
          </w:p>
          <w:p w14:paraId="1BCE5F4E">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bCs/>
                <w:szCs w:val="21"/>
                <w:highlight w:val="none"/>
              </w:rPr>
            </w:pPr>
          </w:p>
          <w:p w14:paraId="0EB15CD3">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bCs/>
                <w:szCs w:val="21"/>
                <w:highlight w:val="none"/>
              </w:rPr>
            </w:pPr>
          </w:p>
          <w:p w14:paraId="76BDFA30">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bCs/>
                <w:szCs w:val="21"/>
                <w:highlight w:val="none"/>
              </w:rPr>
            </w:pPr>
          </w:p>
          <w:p w14:paraId="293DF701">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bCs/>
                <w:szCs w:val="21"/>
                <w:highlight w:val="none"/>
              </w:rPr>
            </w:pPr>
          </w:p>
          <w:p w14:paraId="2F38FA0F">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bCs/>
                <w:szCs w:val="21"/>
                <w:highlight w:val="none"/>
              </w:rPr>
            </w:pPr>
          </w:p>
          <w:p w14:paraId="39028831">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bCs/>
                <w:szCs w:val="21"/>
                <w:highlight w:val="none"/>
              </w:rPr>
            </w:pPr>
          </w:p>
          <w:p w14:paraId="796F9177">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bCs/>
                <w:szCs w:val="21"/>
                <w:highlight w:val="none"/>
              </w:rPr>
            </w:pPr>
          </w:p>
          <w:p w14:paraId="631A56C2">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bCs/>
                <w:szCs w:val="21"/>
                <w:highlight w:val="none"/>
              </w:rPr>
            </w:pPr>
          </w:p>
          <w:p w14:paraId="1DDB6C5F">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bCs/>
                <w:szCs w:val="21"/>
                <w:highlight w:val="none"/>
              </w:rPr>
            </w:pPr>
          </w:p>
          <w:p w14:paraId="03263C66">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bCs/>
                <w:szCs w:val="21"/>
                <w:highlight w:val="none"/>
              </w:rPr>
            </w:pPr>
          </w:p>
          <w:p w14:paraId="0DCC1298">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bCs/>
                <w:szCs w:val="21"/>
                <w:highlight w:val="none"/>
              </w:rPr>
            </w:pPr>
          </w:p>
          <w:p w14:paraId="5D7C8453">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bCs/>
                <w:szCs w:val="21"/>
                <w:highlight w:val="none"/>
              </w:rPr>
            </w:pPr>
          </w:p>
          <w:p w14:paraId="0242B524">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bCs/>
                <w:szCs w:val="21"/>
                <w:highlight w:val="none"/>
              </w:rPr>
            </w:pPr>
          </w:p>
          <w:p w14:paraId="48D30B98">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bCs/>
                <w:szCs w:val="21"/>
                <w:highlight w:val="none"/>
              </w:rPr>
            </w:pPr>
          </w:p>
          <w:p w14:paraId="7124F132">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bCs/>
                <w:szCs w:val="21"/>
                <w:highlight w:val="none"/>
              </w:rPr>
            </w:pPr>
          </w:p>
          <w:p w14:paraId="66F18660">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bCs/>
                <w:szCs w:val="21"/>
                <w:highlight w:val="none"/>
              </w:rPr>
            </w:pPr>
          </w:p>
          <w:p w14:paraId="5D0F1BEA">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bCs/>
                <w:szCs w:val="21"/>
                <w:highlight w:val="none"/>
              </w:rPr>
            </w:pPr>
          </w:p>
          <w:p w14:paraId="68EACF23">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bCs/>
                <w:szCs w:val="21"/>
                <w:highlight w:val="none"/>
              </w:rPr>
            </w:pPr>
          </w:p>
          <w:p w14:paraId="73607B39">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bCs/>
                <w:szCs w:val="21"/>
                <w:highlight w:val="none"/>
              </w:rPr>
            </w:pPr>
          </w:p>
          <w:p w14:paraId="14081A68">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bCs/>
                <w:szCs w:val="21"/>
                <w:highlight w:val="none"/>
              </w:rPr>
            </w:pPr>
          </w:p>
          <w:p w14:paraId="66CE92F7">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bCs/>
                <w:szCs w:val="21"/>
                <w:highlight w:val="none"/>
              </w:rPr>
            </w:pPr>
          </w:p>
          <w:p w14:paraId="21C566E3">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bCs/>
                <w:szCs w:val="21"/>
                <w:highlight w:val="none"/>
              </w:rPr>
            </w:pPr>
          </w:p>
          <w:p w14:paraId="0D398632">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bCs/>
                <w:szCs w:val="21"/>
                <w:highlight w:val="none"/>
              </w:rPr>
            </w:pPr>
          </w:p>
          <w:p w14:paraId="1B4C860F">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bCs/>
                <w:szCs w:val="21"/>
                <w:highlight w:val="none"/>
              </w:rPr>
            </w:pPr>
          </w:p>
          <w:p w14:paraId="0FC050F2">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bCs/>
                <w:szCs w:val="21"/>
                <w:highlight w:val="none"/>
              </w:rPr>
            </w:pPr>
          </w:p>
          <w:p w14:paraId="3224A592">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bCs/>
                <w:szCs w:val="21"/>
                <w:highlight w:val="none"/>
              </w:rPr>
            </w:pPr>
          </w:p>
          <w:p w14:paraId="488EEEDC">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bCs/>
                <w:szCs w:val="21"/>
                <w:highlight w:val="none"/>
              </w:rPr>
            </w:pPr>
          </w:p>
          <w:p w14:paraId="75FA5BED">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bCs/>
                <w:szCs w:val="21"/>
                <w:highlight w:val="none"/>
              </w:rPr>
            </w:pPr>
          </w:p>
          <w:p w14:paraId="2C18B865">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bCs/>
                <w:szCs w:val="21"/>
                <w:highlight w:val="none"/>
              </w:rPr>
            </w:pPr>
          </w:p>
          <w:p w14:paraId="5E097151">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bCs/>
                <w:szCs w:val="21"/>
                <w:highlight w:val="none"/>
              </w:rPr>
            </w:pPr>
          </w:p>
          <w:p w14:paraId="6B666D9F">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bCs/>
                <w:szCs w:val="21"/>
                <w:highlight w:val="none"/>
              </w:rPr>
            </w:pPr>
          </w:p>
          <w:p w14:paraId="3C644718">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bCs/>
                <w:szCs w:val="21"/>
                <w:highlight w:val="none"/>
              </w:rPr>
            </w:pPr>
          </w:p>
          <w:p w14:paraId="6A6B99EC">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bCs/>
                <w:szCs w:val="21"/>
                <w:highlight w:val="none"/>
              </w:rPr>
            </w:pPr>
          </w:p>
          <w:p w14:paraId="3D905F3B">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bCs/>
                <w:szCs w:val="21"/>
                <w:highlight w:val="none"/>
              </w:rPr>
            </w:pPr>
          </w:p>
          <w:p w14:paraId="451098EA">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bCs/>
                <w:szCs w:val="21"/>
                <w:highlight w:val="none"/>
              </w:rPr>
            </w:pPr>
          </w:p>
          <w:p w14:paraId="0F40C3D2">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bCs/>
                <w:szCs w:val="21"/>
                <w:highlight w:val="none"/>
              </w:rPr>
            </w:pPr>
          </w:p>
          <w:p w14:paraId="7993657C">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bCs/>
                <w:szCs w:val="21"/>
                <w:highlight w:val="none"/>
              </w:rPr>
            </w:pPr>
          </w:p>
          <w:p w14:paraId="0C08EF62">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bCs/>
                <w:szCs w:val="21"/>
                <w:highlight w:val="none"/>
              </w:rPr>
            </w:pPr>
          </w:p>
          <w:p w14:paraId="69F6B64E">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bCs/>
                <w:szCs w:val="21"/>
                <w:highlight w:val="none"/>
              </w:rPr>
            </w:pPr>
          </w:p>
          <w:p w14:paraId="63C38304">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bCs/>
                <w:szCs w:val="21"/>
                <w:highlight w:val="none"/>
              </w:rPr>
            </w:pPr>
            <w:r>
              <w:rPr>
                <w:rFonts w:hint="eastAsia" w:ascii="Times New Roman" w:hAnsi="Times New Roman" w:eastAsia="宋体" w:cs="Times New Roman"/>
                <w:bCs/>
                <w:szCs w:val="21"/>
                <w:highlight w:val="none"/>
              </w:rPr>
              <w:t>运营</w:t>
            </w:r>
          </w:p>
          <w:p w14:paraId="79B8AB76">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bCs/>
                <w:szCs w:val="21"/>
                <w:highlight w:val="none"/>
              </w:rPr>
            </w:pPr>
            <w:r>
              <w:rPr>
                <w:rFonts w:hint="eastAsia" w:ascii="Times New Roman" w:hAnsi="Times New Roman" w:eastAsia="宋体" w:cs="Times New Roman"/>
                <w:bCs/>
                <w:szCs w:val="21"/>
                <w:highlight w:val="none"/>
              </w:rPr>
              <w:t>期环</w:t>
            </w:r>
          </w:p>
          <w:p w14:paraId="4C0F88BD">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bCs/>
                <w:szCs w:val="21"/>
                <w:highlight w:val="none"/>
              </w:rPr>
            </w:pPr>
            <w:r>
              <w:rPr>
                <w:rFonts w:hint="eastAsia" w:ascii="Times New Roman" w:hAnsi="Times New Roman" w:eastAsia="宋体" w:cs="Times New Roman"/>
                <w:bCs/>
                <w:szCs w:val="21"/>
                <w:highlight w:val="none"/>
              </w:rPr>
              <w:t>境影</w:t>
            </w:r>
          </w:p>
          <w:p w14:paraId="16EE71A1">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bCs/>
                <w:szCs w:val="21"/>
                <w:highlight w:val="none"/>
              </w:rPr>
            </w:pPr>
            <w:r>
              <w:rPr>
                <w:rFonts w:hint="eastAsia" w:ascii="Times New Roman" w:hAnsi="Times New Roman" w:eastAsia="宋体" w:cs="Times New Roman"/>
                <w:bCs/>
                <w:szCs w:val="21"/>
                <w:highlight w:val="none"/>
              </w:rPr>
              <w:t>响和</w:t>
            </w:r>
          </w:p>
          <w:p w14:paraId="480F569D">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bCs/>
                <w:szCs w:val="21"/>
                <w:highlight w:val="none"/>
              </w:rPr>
            </w:pPr>
            <w:r>
              <w:rPr>
                <w:rFonts w:hint="eastAsia" w:ascii="Times New Roman" w:hAnsi="Times New Roman" w:eastAsia="宋体" w:cs="Times New Roman"/>
                <w:bCs/>
                <w:szCs w:val="21"/>
                <w:highlight w:val="none"/>
              </w:rPr>
              <w:t>保护</w:t>
            </w:r>
          </w:p>
          <w:p w14:paraId="7BA84923">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bCs/>
                <w:szCs w:val="21"/>
                <w:highlight w:val="none"/>
              </w:rPr>
            </w:pPr>
            <w:r>
              <w:rPr>
                <w:rFonts w:hint="eastAsia" w:ascii="Times New Roman" w:hAnsi="Times New Roman" w:eastAsia="宋体" w:cs="Times New Roman"/>
                <w:bCs/>
                <w:szCs w:val="21"/>
                <w:highlight w:val="none"/>
              </w:rPr>
              <w:t>措施</w:t>
            </w:r>
          </w:p>
          <w:p w14:paraId="3F2EB361">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bCs/>
                <w:szCs w:val="21"/>
                <w:highlight w:val="none"/>
              </w:rPr>
            </w:pPr>
          </w:p>
          <w:p w14:paraId="644ED020">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bCs/>
                <w:szCs w:val="21"/>
                <w:highlight w:val="none"/>
              </w:rPr>
            </w:pPr>
          </w:p>
          <w:p w14:paraId="6171B5E7">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bCs/>
                <w:szCs w:val="21"/>
                <w:highlight w:val="none"/>
              </w:rPr>
            </w:pPr>
          </w:p>
          <w:p w14:paraId="55A54F08">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bCs/>
                <w:szCs w:val="21"/>
                <w:highlight w:val="none"/>
              </w:rPr>
            </w:pPr>
          </w:p>
          <w:p w14:paraId="1F0022AC">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bCs/>
                <w:szCs w:val="21"/>
                <w:highlight w:val="none"/>
              </w:rPr>
            </w:pPr>
          </w:p>
          <w:p w14:paraId="42760FBC">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bCs/>
                <w:szCs w:val="21"/>
                <w:highlight w:val="none"/>
              </w:rPr>
            </w:pPr>
          </w:p>
          <w:p w14:paraId="2D171916">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bCs/>
                <w:szCs w:val="21"/>
                <w:highlight w:val="none"/>
              </w:rPr>
            </w:pPr>
          </w:p>
          <w:p w14:paraId="4971DE6D">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bCs/>
                <w:szCs w:val="21"/>
                <w:highlight w:val="none"/>
              </w:rPr>
            </w:pPr>
          </w:p>
          <w:p w14:paraId="4889E88F">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bCs/>
                <w:szCs w:val="21"/>
                <w:highlight w:val="none"/>
              </w:rPr>
            </w:pPr>
          </w:p>
          <w:p w14:paraId="4C763F8A">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bCs/>
                <w:szCs w:val="21"/>
                <w:highlight w:val="none"/>
              </w:rPr>
            </w:pPr>
          </w:p>
          <w:p w14:paraId="46C349C1">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bCs/>
                <w:szCs w:val="21"/>
                <w:highlight w:val="none"/>
              </w:rPr>
            </w:pPr>
          </w:p>
          <w:p w14:paraId="345B680F">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bCs/>
                <w:szCs w:val="21"/>
                <w:highlight w:val="none"/>
              </w:rPr>
            </w:pPr>
          </w:p>
          <w:p w14:paraId="65B60471">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bCs/>
                <w:szCs w:val="21"/>
                <w:highlight w:val="none"/>
              </w:rPr>
            </w:pPr>
          </w:p>
          <w:p w14:paraId="3BBA1125">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bCs/>
                <w:szCs w:val="21"/>
                <w:highlight w:val="none"/>
              </w:rPr>
            </w:pPr>
          </w:p>
          <w:p w14:paraId="35F49B9A">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bCs/>
                <w:szCs w:val="21"/>
                <w:highlight w:val="none"/>
              </w:rPr>
            </w:pPr>
          </w:p>
          <w:p w14:paraId="7C004874">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bCs/>
                <w:szCs w:val="21"/>
                <w:highlight w:val="none"/>
              </w:rPr>
            </w:pPr>
          </w:p>
          <w:p w14:paraId="151B75D5">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bCs/>
                <w:szCs w:val="21"/>
                <w:highlight w:val="none"/>
              </w:rPr>
            </w:pPr>
          </w:p>
          <w:p w14:paraId="73F2F6D7">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bCs/>
                <w:szCs w:val="21"/>
                <w:highlight w:val="none"/>
              </w:rPr>
            </w:pPr>
          </w:p>
          <w:p w14:paraId="47943AD8">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bCs/>
                <w:szCs w:val="21"/>
                <w:highlight w:val="none"/>
              </w:rPr>
            </w:pPr>
          </w:p>
          <w:p w14:paraId="7DFEBA3D">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bCs/>
                <w:szCs w:val="21"/>
                <w:highlight w:val="none"/>
              </w:rPr>
            </w:pPr>
          </w:p>
          <w:p w14:paraId="4734C1CE">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bCs/>
                <w:szCs w:val="21"/>
                <w:highlight w:val="none"/>
              </w:rPr>
            </w:pPr>
          </w:p>
          <w:p w14:paraId="68D4BB30">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bCs/>
                <w:szCs w:val="21"/>
                <w:highlight w:val="none"/>
              </w:rPr>
            </w:pPr>
          </w:p>
          <w:p w14:paraId="732A871E">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bCs/>
                <w:szCs w:val="21"/>
                <w:highlight w:val="none"/>
              </w:rPr>
            </w:pPr>
          </w:p>
          <w:p w14:paraId="6B7F8878">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bCs/>
                <w:szCs w:val="21"/>
                <w:highlight w:val="none"/>
              </w:rPr>
            </w:pPr>
          </w:p>
          <w:p w14:paraId="298EFAD4">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bCs/>
                <w:szCs w:val="21"/>
                <w:highlight w:val="none"/>
              </w:rPr>
            </w:pPr>
          </w:p>
          <w:p w14:paraId="2F293CA2">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bCs/>
                <w:szCs w:val="21"/>
                <w:highlight w:val="none"/>
              </w:rPr>
            </w:pPr>
          </w:p>
          <w:p w14:paraId="268343DB">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bCs/>
                <w:szCs w:val="21"/>
                <w:highlight w:val="none"/>
              </w:rPr>
            </w:pPr>
          </w:p>
          <w:p w14:paraId="4097652C">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bCs/>
                <w:szCs w:val="21"/>
                <w:highlight w:val="none"/>
              </w:rPr>
            </w:pPr>
          </w:p>
          <w:p w14:paraId="4F310F25">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bCs/>
                <w:szCs w:val="21"/>
                <w:highlight w:val="none"/>
              </w:rPr>
            </w:pPr>
          </w:p>
          <w:p w14:paraId="782B7233">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bCs/>
                <w:szCs w:val="21"/>
                <w:highlight w:val="none"/>
              </w:rPr>
            </w:pPr>
          </w:p>
          <w:p w14:paraId="1D96B744">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bCs/>
                <w:szCs w:val="21"/>
                <w:highlight w:val="none"/>
              </w:rPr>
            </w:pPr>
          </w:p>
          <w:p w14:paraId="3D0E5335">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bCs/>
                <w:szCs w:val="21"/>
                <w:highlight w:val="none"/>
              </w:rPr>
            </w:pPr>
          </w:p>
          <w:p w14:paraId="7CF83EEC">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bCs/>
                <w:szCs w:val="21"/>
                <w:highlight w:val="none"/>
              </w:rPr>
            </w:pPr>
          </w:p>
          <w:p w14:paraId="1186660A">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bCs/>
                <w:szCs w:val="21"/>
                <w:highlight w:val="none"/>
              </w:rPr>
            </w:pPr>
          </w:p>
          <w:p w14:paraId="5EF04A17">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bCs/>
                <w:szCs w:val="21"/>
                <w:highlight w:val="none"/>
              </w:rPr>
            </w:pPr>
          </w:p>
          <w:p w14:paraId="5CF4DE02">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bCs/>
                <w:szCs w:val="21"/>
                <w:highlight w:val="none"/>
              </w:rPr>
            </w:pPr>
          </w:p>
          <w:p w14:paraId="6C0B360A">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bCs/>
                <w:szCs w:val="21"/>
                <w:highlight w:val="none"/>
              </w:rPr>
            </w:pPr>
          </w:p>
          <w:p w14:paraId="7780CA65">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bCs/>
                <w:szCs w:val="21"/>
                <w:highlight w:val="none"/>
              </w:rPr>
            </w:pPr>
          </w:p>
          <w:p w14:paraId="584BC483">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bCs/>
                <w:szCs w:val="21"/>
                <w:highlight w:val="none"/>
              </w:rPr>
            </w:pPr>
          </w:p>
          <w:p w14:paraId="262BB34E">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bCs/>
                <w:szCs w:val="21"/>
                <w:highlight w:val="none"/>
              </w:rPr>
            </w:pPr>
          </w:p>
          <w:p w14:paraId="0A654EBB">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bCs/>
                <w:szCs w:val="21"/>
                <w:highlight w:val="none"/>
              </w:rPr>
            </w:pPr>
          </w:p>
          <w:p w14:paraId="4C43F7AE">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bCs/>
                <w:szCs w:val="21"/>
                <w:highlight w:val="none"/>
              </w:rPr>
            </w:pPr>
            <w:r>
              <w:rPr>
                <w:rFonts w:hint="eastAsia" w:ascii="Times New Roman" w:hAnsi="Times New Roman" w:eastAsia="宋体" w:cs="Times New Roman"/>
                <w:bCs/>
                <w:szCs w:val="21"/>
                <w:highlight w:val="none"/>
              </w:rPr>
              <w:t>运营</w:t>
            </w:r>
          </w:p>
          <w:p w14:paraId="73A5D99F">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bCs/>
                <w:szCs w:val="21"/>
                <w:highlight w:val="none"/>
              </w:rPr>
            </w:pPr>
            <w:r>
              <w:rPr>
                <w:rFonts w:hint="eastAsia" w:ascii="Times New Roman" w:hAnsi="Times New Roman" w:eastAsia="宋体" w:cs="Times New Roman"/>
                <w:bCs/>
                <w:szCs w:val="21"/>
                <w:highlight w:val="none"/>
              </w:rPr>
              <w:t>期环</w:t>
            </w:r>
          </w:p>
          <w:p w14:paraId="7C865032">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bCs/>
                <w:szCs w:val="21"/>
                <w:highlight w:val="none"/>
              </w:rPr>
            </w:pPr>
            <w:r>
              <w:rPr>
                <w:rFonts w:hint="eastAsia" w:ascii="Times New Roman" w:hAnsi="Times New Roman" w:eastAsia="宋体" w:cs="Times New Roman"/>
                <w:bCs/>
                <w:szCs w:val="21"/>
                <w:highlight w:val="none"/>
              </w:rPr>
              <w:t>境影</w:t>
            </w:r>
          </w:p>
          <w:p w14:paraId="59B82BDE">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bCs/>
                <w:szCs w:val="21"/>
                <w:highlight w:val="none"/>
              </w:rPr>
            </w:pPr>
            <w:r>
              <w:rPr>
                <w:rFonts w:hint="eastAsia" w:ascii="Times New Roman" w:hAnsi="Times New Roman" w:eastAsia="宋体" w:cs="Times New Roman"/>
                <w:bCs/>
                <w:szCs w:val="21"/>
                <w:highlight w:val="none"/>
              </w:rPr>
              <w:t>响和</w:t>
            </w:r>
          </w:p>
          <w:p w14:paraId="15C19F07">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bCs/>
                <w:szCs w:val="21"/>
                <w:highlight w:val="none"/>
              </w:rPr>
            </w:pPr>
            <w:r>
              <w:rPr>
                <w:rFonts w:hint="eastAsia" w:ascii="Times New Roman" w:hAnsi="Times New Roman" w:eastAsia="宋体" w:cs="Times New Roman"/>
                <w:bCs/>
                <w:szCs w:val="21"/>
                <w:highlight w:val="none"/>
              </w:rPr>
              <w:t>保护</w:t>
            </w:r>
          </w:p>
          <w:p w14:paraId="7E689F9B">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bCs/>
                <w:szCs w:val="21"/>
                <w:highlight w:val="none"/>
              </w:rPr>
            </w:pPr>
            <w:r>
              <w:rPr>
                <w:rFonts w:hint="eastAsia" w:ascii="Times New Roman" w:hAnsi="Times New Roman" w:eastAsia="宋体" w:cs="Times New Roman"/>
                <w:bCs/>
                <w:szCs w:val="21"/>
                <w:highlight w:val="none"/>
              </w:rPr>
              <w:t>措施</w:t>
            </w:r>
          </w:p>
          <w:p w14:paraId="682D862E">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bCs/>
                <w:szCs w:val="21"/>
                <w:highlight w:val="none"/>
              </w:rPr>
            </w:pPr>
          </w:p>
          <w:p w14:paraId="42EA7F90">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bCs/>
                <w:szCs w:val="21"/>
                <w:highlight w:val="none"/>
              </w:rPr>
            </w:pPr>
          </w:p>
          <w:p w14:paraId="38F82A59">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bCs/>
                <w:szCs w:val="21"/>
                <w:highlight w:val="none"/>
              </w:rPr>
            </w:pPr>
          </w:p>
          <w:p w14:paraId="597DD75B">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bCs/>
                <w:szCs w:val="21"/>
                <w:highlight w:val="none"/>
              </w:rPr>
            </w:pPr>
          </w:p>
          <w:p w14:paraId="45353053">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bCs/>
                <w:szCs w:val="21"/>
                <w:highlight w:val="none"/>
              </w:rPr>
            </w:pPr>
          </w:p>
          <w:p w14:paraId="700F4B4E">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bCs/>
                <w:szCs w:val="21"/>
                <w:highlight w:val="none"/>
              </w:rPr>
            </w:pPr>
          </w:p>
          <w:p w14:paraId="1EE53493">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bCs/>
                <w:szCs w:val="21"/>
                <w:highlight w:val="none"/>
              </w:rPr>
            </w:pPr>
          </w:p>
          <w:p w14:paraId="7FFF7D32">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bCs/>
                <w:szCs w:val="21"/>
                <w:highlight w:val="none"/>
              </w:rPr>
            </w:pPr>
          </w:p>
          <w:p w14:paraId="63760A9E">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bCs/>
                <w:szCs w:val="21"/>
                <w:highlight w:val="none"/>
              </w:rPr>
            </w:pPr>
          </w:p>
          <w:p w14:paraId="70AD571D">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bCs/>
                <w:szCs w:val="21"/>
                <w:highlight w:val="none"/>
              </w:rPr>
            </w:pPr>
          </w:p>
          <w:p w14:paraId="15C4621B">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bCs/>
                <w:szCs w:val="21"/>
                <w:highlight w:val="none"/>
              </w:rPr>
            </w:pPr>
          </w:p>
          <w:p w14:paraId="0D23555F">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bCs/>
                <w:szCs w:val="21"/>
                <w:highlight w:val="none"/>
              </w:rPr>
            </w:pPr>
          </w:p>
          <w:p w14:paraId="43AF7453">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bCs/>
                <w:szCs w:val="21"/>
                <w:highlight w:val="none"/>
              </w:rPr>
            </w:pPr>
          </w:p>
          <w:p w14:paraId="13F38213">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bCs/>
                <w:szCs w:val="21"/>
                <w:highlight w:val="none"/>
              </w:rPr>
            </w:pPr>
          </w:p>
          <w:p w14:paraId="2E68F329">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bCs/>
                <w:szCs w:val="21"/>
                <w:highlight w:val="none"/>
              </w:rPr>
            </w:pPr>
          </w:p>
          <w:p w14:paraId="744120DF">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bCs/>
                <w:szCs w:val="21"/>
                <w:highlight w:val="none"/>
              </w:rPr>
            </w:pPr>
          </w:p>
          <w:p w14:paraId="362A5D7C">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bCs/>
                <w:szCs w:val="21"/>
                <w:highlight w:val="none"/>
              </w:rPr>
            </w:pPr>
          </w:p>
          <w:p w14:paraId="66C5D97D">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bCs/>
                <w:szCs w:val="21"/>
                <w:highlight w:val="none"/>
              </w:rPr>
            </w:pPr>
          </w:p>
          <w:p w14:paraId="6EC95EBC">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bCs/>
                <w:szCs w:val="21"/>
                <w:highlight w:val="none"/>
              </w:rPr>
            </w:pPr>
          </w:p>
          <w:p w14:paraId="35CB8D19">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bCs/>
                <w:szCs w:val="21"/>
                <w:highlight w:val="none"/>
              </w:rPr>
            </w:pPr>
          </w:p>
          <w:p w14:paraId="7C0FB4D1">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bCs/>
                <w:szCs w:val="21"/>
                <w:highlight w:val="none"/>
              </w:rPr>
            </w:pPr>
          </w:p>
          <w:p w14:paraId="7B6E40C3">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bCs/>
                <w:szCs w:val="21"/>
                <w:highlight w:val="none"/>
              </w:rPr>
            </w:pPr>
          </w:p>
          <w:p w14:paraId="0AB0854B">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bCs/>
                <w:szCs w:val="21"/>
                <w:highlight w:val="none"/>
              </w:rPr>
            </w:pPr>
          </w:p>
          <w:p w14:paraId="6B45BA45">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bCs/>
                <w:szCs w:val="21"/>
                <w:highlight w:val="none"/>
              </w:rPr>
            </w:pPr>
          </w:p>
          <w:p w14:paraId="254ED155">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bCs/>
                <w:szCs w:val="21"/>
                <w:highlight w:val="none"/>
              </w:rPr>
            </w:pPr>
          </w:p>
          <w:p w14:paraId="122FCE06">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bCs/>
                <w:szCs w:val="21"/>
                <w:highlight w:val="none"/>
              </w:rPr>
            </w:pPr>
          </w:p>
          <w:p w14:paraId="338D5713">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bCs/>
                <w:szCs w:val="21"/>
                <w:highlight w:val="none"/>
              </w:rPr>
            </w:pPr>
          </w:p>
          <w:p w14:paraId="2B4ED1B0">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bCs/>
                <w:szCs w:val="21"/>
                <w:highlight w:val="none"/>
              </w:rPr>
            </w:pPr>
          </w:p>
          <w:p w14:paraId="07E36972">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bCs/>
                <w:szCs w:val="21"/>
                <w:highlight w:val="none"/>
              </w:rPr>
            </w:pPr>
          </w:p>
          <w:p w14:paraId="5D7DF8C6">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bCs/>
                <w:szCs w:val="21"/>
                <w:highlight w:val="none"/>
              </w:rPr>
            </w:pPr>
          </w:p>
          <w:p w14:paraId="14410C30">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bCs/>
                <w:szCs w:val="21"/>
                <w:highlight w:val="none"/>
              </w:rPr>
            </w:pPr>
          </w:p>
          <w:p w14:paraId="5BF4A65B">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bCs/>
                <w:szCs w:val="21"/>
                <w:highlight w:val="none"/>
              </w:rPr>
            </w:pPr>
          </w:p>
          <w:p w14:paraId="01D1CD8F">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bCs/>
                <w:szCs w:val="21"/>
                <w:highlight w:val="none"/>
              </w:rPr>
            </w:pPr>
          </w:p>
          <w:p w14:paraId="7761D0D3">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bCs/>
                <w:szCs w:val="21"/>
                <w:highlight w:val="none"/>
              </w:rPr>
            </w:pPr>
          </w:p>
          <w:p w14:paraId="280F9C3E">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bCs/>
                <w:szCs w:val="21"/>
                <w:highlight w:val="none"/>
              </w:rPr>
            </w:pPr>
          </w:p>
          <w:p w14:paraId="7F321179">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bCs/>
                <w:szCs w:val="21"/>
                <w:highlight w:val="none"/>
              </w:rPr>
            </w:pPr>
          </w:p>
          <w:p w14:paraId="71AEC1AD">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bCs/>
                <w:szCs w:val="21"/>
                <w:highlight w:val="none"/>
              </w:rPr>
            </w:pPr>
          </w:p>
          <w:p w14:paraId="1FFC1D40">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bCs/>
                <w:szCs w:val="21"/>
                <w:highlight w:val="none"/>
              </w:rPr>
            </w:pPr>
          </w:p>
          <w:p w14:paraId="14567357">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bCs/>
                <w:szCs w:val="21"/>
                <w:highlight w:val="none"/>
              </w:rPr>
            </w:pPr>
          </w:p>
          <w:p w14:paraId="5DC2F82A">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bCs/>
                <w:szCs w:val="21"/>
                <w:highlight w:val="none"/>
              </w:rPr>
            </w:pPr>
          </w:p>
          <w:p w14:paraId="7FC31430">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bCs/>
                <w:szCs w:val="21"/>
                <w:highlight w:val="none"/>
              </w:rPr>
            </w:pPr>
          </w:p>
          <w:p w14:paraId="33C750B5">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bCs/>
                <w:szCs w:val="21"/>
                <w:highlight w:val="none"/>
              </w:rPr>
            </w:pPr>
            <w:r>
              <w:rPr>
                <w:rFonts w:hint="eastAsia" w:ascii="Times New Roman" w:hAnsi="Times New Roman" w:eastAsia="宋体" w:cs="Times New Roman"/>
                <w:bCs/>
                <w:szCs w:val="21"/>
                <w:highlight w:val="none"/>
              </w:rPr>
              <w:t>运营</w:t>
            </w:r>
          </w:p>
          <w:p w14:paraId="3C1DE390">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bCs/>
                <w:szCs w:val="21"/>
                <w:highlight w:val="none"/>
              </w:rPr>
            </w:pPr>
            <w:r>
              <w:rPr>
                <w:rFonts w:hint="eastAsia" w:ascii="Times New Roman" w:hAnsi="Times New Roman" w:eastAsia="宋体" w:cs="Times New Roman"/>
                <w:bCs/>
                <w:szCs w:val="21"/>
                <w:highlight w:val="none"/>
              </w:rPr>
              <w:t>期环</w:t>
            </w:r>
          </w:p>
          <w:p w14:paraId="102CEF70">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bCs/>
                <w:szCs w:val="21"/>
                <w:highlight w:val="none"/>
              </w:rPr>
            </w:pPr>
            <w:r>
              <w:rPr>
                <w:rFonts w:hint="eastAsia" w:ascii="Times New Roman" w:hAnsi="Times New Roman" w:eastAsia="宋体" w:cs="Times New Roman"/>
                <w:bCs/>
                <w:szCs w:val="21"/>
                <w:highlight w:val="none"/>
              </w:rPr>
              <w:t>境影</w:t>
            </w:r>
          </w:p>
          <w:p w14:paraId="58E39DB8">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bCs/>
                <w:szCs w:val="21"/>
                <w:highlight w:val="none"/>
              </w:rPr>
            </w:pPr>
            <w:r>
              <w:rPr>
                <w:rFonts w:hint="eastAsia" w:ascii="Times New Roman" w:hAnsi="Times New Roman" w:eastAsia="宋体" w:cs="Times New Roman"/>
                <w:bCs/>
                <w:szCs w:val="21"/>
                <w:highlight w:val="none"/>
              </w:rPr>
              <w:t>响和</w:t>
            </w:r>
          </w:p>
          <w:p w14:paraId="6F9DD1A6">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bCs/>
                <w:szCs w:val="21"/>
                <w:highlight w:val="none"/>
              </w:rPr>
            </w:pPr>
            <w:r>
              <w:rPr>
                <w:rFonts w:hint="eastAsia" w:ascii="Times New Roman" w:hAnsi="Times New Roman" w:eastAsia="宋体" w:cs="Times New Roman"/>
                <w:bCs/>
                <w:szCs w:val="21"/>
                <w:highlight w:val="none"/>
              </w:rPr>
              <w:t>保护</w:t>
            </w:r>
          </w:p>
          <w:p w14:paraId="2F5DE8C2">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bCs/>
                <w:szCs w:val="21"/>
                <w:highlight w:val="none"/>
              </w:rPr>
            </w:pPr>
            <w:r>
              <w:rPr>
                <w:rFonts w:hint="eastAsia" w:ascii="Times New Roman" w:hAnsi="Times New Roman" w:eastAsia="宋体" w:cs="Times New Roman"/>
                <w:bCs/>
                <w:szCs w:val="21"/>
                <w:highlight w:val="none"/>
              </w:rPr>
              <w:t>措施</w:t>
            </w:r>
          </w:p>
          <w:p w14:paraId="51A16BE4">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bCs/>
                <w:szCs w:val="21"/>
                <w:highlight w:val="none"/>
              </w:rPr>
            </w:pPr>
          </w:p>
          <w:p w14:paraId="66085E60">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bCs/>
                <w:szCs w:val="21"/>
                <w:highlight w:val="none"/>
              </w:rPr>
            </w:pPr>
          </w:p>
          <w:p w14:paraId="45F40711">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bCs/>
                <w:szCs w:val="21"/>
                <w:highlight w:val="none"/>
              </w:rPr>
            </w:pPr>
          </w:p>
          <w:p w14:paraId="48A55702">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bCs/>
                <w:szCs w:val="21"/>
                <w:highlight w:val="none"/>
              </w:rPr>
            </w:pPr>
          </w:p>
          <w:p w14:paraId="68654059">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bCs/>
                <w:szCs w:val="21"/>
                <w:highlight w:val="none"/>
              </w:rPr>
            </w:pPr>
          </w:p>
          <w:p w14:paraId="5606CA6B">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bCs/>
                <w:szCs w:val="21"/>
                <w:highlight w:val="none"/>
              </w:rPr>
            </w:pPr>
          </w:p>
          <w:p w14:paraId="039FF86B">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bCs/>
                <w:szCs w:val="21"/>
                <w:highlight w:val="none"/>
              </w:rPr>
            </w:pPr>
          </w:p>
          <w:p w14:paraId="0A93C7BF">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bCs/>
                <w:szCs w:val="21"/>
                <w:highlight w:val="none"/>
              </w:rPr>
            </w:pPr>
          </w:p>
          <w:p w14:paraId="633822E0">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bCs/>
                <w:szCs w:val="21"/>
                <w:highlight w:val="none"/>
              </w:rPr>
            </w:pPr>
          </w:p>
          <w:p w14:paraId="4233145F">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bCs/>
                <w:szCs w:val="21"/>
                <w:highlight w:val="none"/>
              </w:rPr>
            </w:pPr>
          </w:p>
          <w:p w14:paraId="6318C828">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bCs/>
                <w:szCs w:val="21"/>
                <w:highlight w:val="none"/>
              </w:rPr>
            </w:pPr>
          </w:p>
          <w:p w14:paraId="07F12A4F">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bCs/>
                <w:szCs w:val="21"/>
                <w:highlight w:val="none"/>
              </w:rPr>
            </w:pPr>
          </w:p>
          <w:p w14:paraId="796E169B">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bCs/>
                <w:szCs w:val="21"/>
                <w:highlight w:val="none"/>
              </w:rPr>
            </w:pPr>
          </w:p>
          <w:p w14:paraId="0898430F">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bCs/>
                <w:szCs w:val="21"/>
                <w:highlight w:val="none"/>
              </w:rPr>
            </w:pPr>
          </w:p>
          <w:p w14:paraId="44F9F319">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bCs/>
                <w:szCs w:val="21"/>
                <w:highlight w:val="none"/>
              </w:rPr>
            </w:pPr>
          </w:p>
          <w:p w14:paraId="0990D928">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bCs/>
                <w:szCs w:val="21"/>
                <w:highlight w:val="none"/>
              </w:rPr>
            </w:pPr>
          </w:p>
          <w:p w14:paraId="716A026D">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bCs/>
                <w:szCs w:val="21"/>
                <w:highlight w:val="none"/>
              </w:rPr>
            </w:pPr>
          </w:p>
          <w:p w14:paraId="5AED15B9">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bCs/>
                <w:szCs w:val="21"/>
                <w:highlight w:val="none"/>
              </w:rPr>
            </w:pPr>
          </w:p>
          <w:p w14:paraId="0DB88E66">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bCs/>
                <w:szCs w:val="21"/>
                <w:highlight w:val="none"/>
              </w:rPr>
            </w:pPr>
          </w:p>
          <w:p w14:paraId="547AA9B8">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bCs/>
                <w:szCs w:val="21"/>
                <w:highlight w:val="none"/>
              </w:rPr>
            </w:pPr>
          </w:p>
          <w:p w14:paraId="5CA366EC">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bCs/>
                <w:szCs w:val="21"/>
                <w:highlight w:val="none"/>
              </w:rPr>
            </w:pPr>
          </w:p>
          <w:p w14:paraId="5C2E43DE">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bCs/>
                <w:szCs w:val="21"/>
                <w:highlight w:val="none"/>
              </w:rPr>
            </w:pPr>
          </w:p>
          <w:p w14:paraId="404B7C7F">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bCs/>
                <w:szCs w:val="21"/>
                <w:highlight w:val="none"/>
              </w:rPr>
            </w:pPr>
          </w:p>
          <w:p w14:paraId="3342F575">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bCs/>
                <w:szCs w:val="21"/>
                <w:highlight w:val="none"/>
              </w:rPr>
            </w:pPr>
          </w:p>
          <w:p w14:paraId="12610E82">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bCs/>
                <w:szCs w:val="21"/>
                <w:highlight w:val="none"/>
              </w:rPr>
            </w:pPr>
          </w:p>
          <w:p w14:paraId="238B08AF">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bCs/>
                <w:szCs w:val="21"/>
                <w:highlight w:val="none"/>
              </w:rPr>
            </w:pPr>
          </w:p>
          <w:p w14:paraId="04D51D4E">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bCs/>
                <w:szCs w:val="21"/>
                <w:highlight w:val="none"/>
              </w:rPr>
            </w:pPr>
          </w:p>
          <w:p w14:paraId="76779F43">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bCs/>
                <w:szCs w:val="21"/>
                <w:highlight w:val="none"/>
              </w:rPr>
            </w:pPr>
          </w:p>
          <w:p w14:paraId="3C048BF2">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bCs/>
                <w:szCs w:val="21"/>
                <w:highlight w:val="none"/>
              </w:rPr>
            </w:pPr>
          </w:p>
          <w:p w14:paraId="576C6229">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bCs/>
                <w:szCs w:val="21"/>
                <w:highlight w:val="none"/>
              </w:rPr>
            </w:pPr>
          </w:p>
          <w:p w14:paraId="74A02CA5">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bCs/>
                <w:szCs w:val="21"/>
                <w:highlight w:val="none"/>
              </w:rPr>
            </w:pPr>
          </w:p>
          <w:p w14:paraId="044B749E">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bCs/>
                <w:szCs w:val="21"/>
                <w:highlight w:val="none"/>
              </w:rPr>
            </w:pPr>
          </w:p>
          <w:p w14:paraId="24BE1215">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bCs/>
                <w:szCs w:val="21"/>
                <w:highlight w:val="none"/>
              </w:rPr>
            </w:pPr>
          </w:p>
          <w:p w14:paraId="656CAB3A">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bCs/>
                <w:szCs w:val="21"/>
                <w:highlight w:val="none"/>
              </w:rPr>
            </w:pPr>
          </w:p>
          <w:p w14:paraId="1534E400">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bCs/>
                <w:szCs w:val="21"/>
                <w:highlight w:val="none"/>
              </w:rPr>
            </w:pPr>
          </w:p>
          <w:p w14:paraId="3C3190F6">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bCs/>
                <w:szCs w:val="21"/>
                <w:highlight w:val="none"/>
              </w:rPr>
            </w:pPr>
          </w:p>
          <w:p w14:paraId="24DD27AF">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bCs/>
                <w:szCs w:val="21"/>
                <w:highlight w:val="none"/>
              </w:rPr>
            </w:pPr>
          </w:p>
          <w:p w14:paraId="4C28B410">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bCs/>
                <w:szCs w:val="21"/>
                <w:highlight w:val="none"/>
              </w:rPr>
            </w:pPr>
          </w:p>
          <w:p w14:paraId="32EFFF9E">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bCs/>
                <w:szCs w:val="21"/>
                <w:highlight w:val="none"/>
              </w:rPr>
            </w:pPr>
          </w:p>
          <w:p w14:paraId="5A653B60">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bCs/>
                <w:szCs w:val="21"/>
                <w:highlight w:val="none"/>
              </w:rPr>
            </w:pPr>
          </w:p>
          <w:p w14:paraId="5E74D5F4">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bCs/>
                <w:szCs w:val="21"/>
                <w:highlight w:val="none"/>
              </w:rPr>
            </w:pPr>
          </w:p>
          <w:p w14:paraId="1B2228C7">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bCs/>
                <w:szCs w:val="21"/>
                <w:highlight w:val="none"/>
              </w:rPr>
            </w:pPr>
            <w:r>
              <w:rPr>
                <w:rFonts w:hint="eastAsia" w:ascii="Times New Roman" w:hAnsi="Times New Roman" w:eastAsia="宋体" w:cs="Times New Roman"/>
                <w:bCs/>
                <w:szCs w:val="21"/>
                <w:highlight w:val="none"/>
              </w:rPr>
              <w:t>运营</w:t>
            </w:r>
          </w:p>
          <w:p w14:paraId="4E4C6E08">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bCs/>
                <w:szCs w:val="21"/>
                <w:highlight w:val="none"/>
              </w:rPr>
            </w:pPr>
            <w:r>
              <w:rPr>
                <w:rFonts w:hint="eastAsia" w:ascii="Times New Roman" w:hAnsi="Times New Roman" w:eastAsia="宋体" w:cs="Times New Roman"/>
                <w:bCs/>
                <w:szCs w:val="21"/>
                <w:highlight w:val="none"/>
              </w:rPr>
              <w:t>期环</w:t>
            </w:r>
          </w:p>
          <w:p w14:paraId="1800B22B">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bCs/>
                <w:szCs w:val="21"/>
                <w:highlight w:val="none"/>
              </w:rPr>
            </w:pPr>
            <w:r>
              <w:rPr>
                <w:rFonts w:hint="eastAsia" w:ascii="Times New Roman" w:hAnsi="Times New Roman" w:eastAsia="宋体" w:cs="Times New Roman"/>
                <w:bCs/>
                <w:szCs w:val="21"/>
                <w:highlight w:val="none"/>
              </w:rPr>
              <w:t>境影</w:t>
            </w:r>
          </w:p>
          <w:p w14:paraId="5B6E72EF">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bCs/>
                <w:szCs w:val="21"/>
                <w:highlight w:val="none"/>
              </w:rPr>
            </w:pPr>
            <w:r>
              <w:rPr>
                <w:rFonts w:hint="eastAsia" w:ascii="Times New Roman" w:hAnsi="Times New Roman" w:eastAsia="宋体" w:cs="Times New Roman"/>
                <w:bCs/>
                <w:szCs w:val="21"/>
                <w:highlight w:val="none"/>
              </w:rPr>
              <w:t>响和</w:t>
            </w:r>
          </w:p>
          <w:p w14:paraId="11AA2665">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bCs/>
                <w:szCs w:val="21"/>
                <w:highlight w:val="none"/>
              </w:rPr>
            </w:pPr>
            <w:r>
              <w:rPr>
                <w:rFonts w:hint="eastAsia" w:ascii="Times New Roman" w:hAnsi="Times New Roman" w:eastAsia="宋体" w:cs="Times New Roman"/>
                <w:bCs/>
                <w:szCs w:val="21"/>
                <w:highlight w:val="none"/>
              </w:rPr>
              <w:t>保护</w:t>
            </w:r>
          </w:p>
          <w:p w14:paraId="3B3B99E8">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bCs/>
                <w:szCs w:val="21"/>
                <w:highlight w:val="none"/>
              </w:rPr>
            </w:pPr>
            <w:r>
              <w:rPr>
                <w:rFonts w:hint="eastAsia" w:ascii="Times New Roman" w:hAnsi="Times New Roman" w:eastAsia="宋体" w:cs="Times New Roman"/>
                <w:bCs/>
                <w:szCs w:val="21"/>
                <w:highlight w:val="none"/>
              </w:rPr>
              <w:t>措施</w:t>
            </w:r>
          </w:p>
          <w:p w14:paraId="7E421946">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bCs/>
                <w:szCs w:val="21"/>
                <w:highlight w:val="none"/>
              </w:rPr>
            </w:pPr>
          </w:p>
          <w:p w14:paraId="2C59E890">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bCs/>
                <w:szCs w:val="21"/>
                <w:highlight w:val="none"/>
              </w:rPr>
            </w:pPr>
          </w:p>
          <w:p w14:paraId="55E23295">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bCs/>
                <w:szCs w:val="21"/>
                <w:highlight w:val="none"/>
              </w:rPr>
            </w:pPr>
          </w:p>
          <w:p w14:paraId="4988ED58">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bCs/>
                <w:szCs w:val="21"/>
                <w:highlight w:val="none"/>
              </w:rPr>
            </w:pPr>
          </w:p>
          <w:p w14:paraId="2C867F68">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bCs/>
                <w:szCs w:val="21"/>
                <w:highlight w:val="none"/>
              </w:rPr>
            </w:pPr>
          </w:p>
          <w:p w14:paraId="7E8ED3BC">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bCs/>
                <w:szCs w:val="21"/>
                <w:highlight w:val="none"/>
              </w:rPr>
            </w:pPr>
          </w:p>
          <w:p w14:paraId="7D671FB2">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bCs/>
                <w:szCs w:val="21"/>
                <w:highlight w:val="none"/>
              </w:rPr>
            </w:pPr>
          </w:p>
          <w:p w14:paraId="4D612504">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bCs/>
                <w:szCs w:val="21"/>
                <w:highlight w:val="none"/>
              </w:rPr>
            </w:pPr>
          </w:p>
          <w:p w14:paraId="37D5CA8F">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bCs/>
                <w:szCs w:val="21"/>
                <w:highlight w:val="none"/>
              </w:rPr>
            </w:pPr>
          </w:p>
          <w:p w14:paraId="4C118837">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bCs/>
                <w:szCs w:val="21"/>
                <w:highlight w:val="none"/>
              </w:rPr>
            </w:pPr>
          </w:p>
          <w:p w14:paraId="775A62DC">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bCs/>
                <w:szCs w:val="21"/>
                <w:highlight w:val="none"/>
              </w:rPr>
            </w:pPr>
          </w:p>
          <w:p w14:paraId="7FFE501E">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bCs/>
                <w:szCs w:val="21"/>
                <w:highlight w:val="none"/>
              </w:rPr>
            </w:pPr>
          </w:p>
          <w:p w14:paraId="4C3C46B6">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bCs/>
                <w:szCs w:val="21"/>
                <w:highlight w:val="none"/>
              </w:rPr>
            </w:pPr>
          </w:p>
          <w:p w14:paraId="387EE5E7">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bCs/>
                <w:szCs w:val="21"/>
                <w:highlight w:val="none"/>
              </w:rPr>
            </w:pPr>
          </w:p>
          <w:p w14:paraId="0BA7E7C6">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bCs/>
                <w:szCs w:val="21"/>
                <w:highlight w:val="none"/>
              </w:rPr>
            </w:pPr>
          </w:p>
          <w:p w14:paraId="47D0FA40">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bCs/>
                <w:szCs w:val="21"/>
                <w:highlight w:val="none"/>
              </w:rPr>
            </w:pPr>
          </w:p>
          <w:p w14:paraId="36DA6630">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bCs/>
                <w:szCs w:val="21"/>
                <w:highlight w:val="none"/>
              </w:rPr>
            </w:pPr>
          </w:p>
          <w:p w14:paraId="489DDBA3">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bCs/>
                <w:szCs w:val="21"/>
                <w:highlight w:val="none"/>
              </w:rPr>
            </w:pPr>
          </w:p>
          <w:p w14:paraId="17A06A45">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bCs/>
                <w:szCs w:val="21"/>
                <w:highlight w:val="none"/>
              </w:rPr>
            </w:pPr>
          </w:p>
          <w:p w14:paraId="581BB809">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bCs/>
                <w:szCs w:val="21"/>
                <w:highlight w:val="none"/>
              </w:rPr>
            </w:pPr>
          </w:p>
          <w:p w14:paraId="56C3EBCD">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bCs/>
                <w:szCs w:val="21"/>
                <w:highlight w:val="none"/>
              </w:rPr>
            </w:pPr>
          </w:p>
          <w:p w14:paraId="40C7797D">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bCs/>
                <w:szCs w:val="21"/>
                <w:highlight w:val="none"/>
              </w:rPr>
            </w:pPr>
          </w:p>
          <w:p w14:paraId="503AD0F3">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bCs/>
                <w:szCs w:val="21"/>
                <w:highlight w:val="none"/>
              </w:rPr>
            </w:pPr>
          </w:p>
          <w:p w14:paraId="58E6CB8E">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bCs/>
                <w:szCs w:val="21"/>
                <w:highlight w:val="none"/>
              </w:rPr>
            </w:pPr>
          </w:p>
          <w:p w14:paraId="11551B8C">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bCs/>
                <w:szCs w:val="21"/>
                <w:highlight w:val="none"/>
              </w:rPr>
            </w:pPr>
          </w:p>
          <w:p w14:paraId="207A7DE0">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bCs/>
                <w:szCs w:val="21"/>
                <w:highlight w:val="none"/>
              </w:rPr>
            </w:pPr>
          </w:p>
          <w:p w14:paraId="20A6810B">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bCs/>
                <w:szCs w:val="21"/>
                <w:highlight w:val="none"/>
              </w:rPr>
            </w:pPr>
          </w:p>
          <w:p w14:paraId="3E03B430">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bCs/>
                <w:szCs w:val="21"/>
                <w:highlight w:val="none"/>
              </w:rPr>
            </w:pPr>
          </w:p>
          <w:p w14:paraId="0DE4A9D4">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bCs/>
                <w:szCs w:val="21"/>
                <w:highlight w:val="none"/>
              </w:rPr>
            </w:pPr>
          </w:p>
          <w:p w14:paraId="1FAD5C91">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bCs/>
                <w:szCs w:val="21"/>
                <w:highlight w:val="none"/>
              </w:rPr>
            </w:pPr>
          </w:p>
          <w:p w14:paraId="14759570">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bCs/>
                <w:szCs w:val="21"/>
                <w:highlight w:val="none"/>
              </w:rPr>
            </w:pPr>
          </w:p>
          <w:p w14:paraId="24A9B265">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bCs/>
                <w:szCs w:val="21"/>
                <w:highlight w:val="none"/>
              </w:rPr>
            </w:pPr>
          </w:p>
          <w:p w14:paraId="221B4986">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bCs/>
                <w:szCs w:val="21"/>
                <w:highlight w:val="none"/>
              </w:rPr>
            </w:pPr>
          </w:p>
          <w:p w14:paraId="282F4BF2">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bCs/>
                <w:szCs w:val="21"/>
                <w:highlight w:val="none"/>
              </w:rPr>
            </w:pPr>
          </w:p>
          <w:p w14:paraId="02789493">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bCs/>
                <w:szCs w:val="21"/>
                <w:highlight w:val="none"/>
              </w:rPr>
            </w:pPr>
          </w:p>
          <w:p w14:paraId="6374606E">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bCs/>
                <w:szCs w:val="21"/>
                <w:highlight w:val="none"/>
              </w:rPr>
            </w:pPr>
          </w:p>
          <w:p w14:paraId="49CB09FB">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bCs/>
                <w:szCs w:val="21"/>
                <w:highlight w:val="none"/>
              </w:rPr>
            </w:pPr>
          </w:p>
          <w:p w14:paraId="624746F3">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bCs/>
                <w:szCs w:val="21"/>
                <w:highlight w:val="none"/>
              </w:rPr>
            </w:pPr>
          </w:p>
          <w:p w14:paraId="4BB31CC4">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bCs/>
                <w:szCs w:val="21"/>
                <w:highlight w:val="none"/>
              </w:rPr>
            </w:pPr>
          </w:p>
          <w:p w14:paraId="6A76E43B">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bCs/>
                <w:szCs w:val="21"/>
                <w:highlight w:val="none"/>
              </w:rPr>
            </w:pPr>
          </w:p>
          <w:p w14:paraId="003D53BA">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bCs/>
                <w:szCs w:val="21"/>
                <w:highlight w:val="none"/>
              </w:rPr>
            </w:pPr>
          </w:p>
          <w:p w14:paraId="7A02E449">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bCs/>
                <w:szCs w:val="21"/>
                <w:highlight w:val="none"/>
              </w:rPr>
            </w:pPr>
            <w:r>
              <w:rPr>
                <w:rFonts w:hint="eastAsia" w:ascii="Times New Roman" w:hAnsi="Times New Roman" w:eastAsia="宋体" w:cs="Times New Roman"/>
                <w:bCs/>
                <w:szCs w:val="21"/>
                <w:highlight w:val="none"/>
              </w:rPr>
              <w:t>运营</w:t>
            </w:r>
          </w:p>
          <w:p w14:paraId="62D594ED">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bCs/>
                <w:szCs w:val="21"/>
                <w:highlight w:val="none"/>
              </w:rPr>
            </w:pPr>
            <w:r>
              <w:rPr>
                <w:rFonts w:hint="eastAsia" w:ascii="Times New Roman" w:hAnsi="Times New Roman" w:eastAsia="宋体" w:cs="Times New Roman"/>
                <w:bCs/>
                <w:szCs w:val="21"/>
                <w:highlight w:val="none"/>
              </w:rPr>
              <w:t>期环</w:t>
            </w:r>
          </w:p>
          <w:p w14:paraId="7F7DB541">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bCs/>
                <w:szCs w:val="21"/>
                <w:highlight w:val="none"/>
              </w:rPr>
            </w:pPr>
            <w:r>
              <w:rPr>
                <w:rFonts w:hint="eastAsia" w:ascii="Times New Roman" w:hAnsi="Times New Roman" w:eastAsia="宋体" w:cs="Times New Roman"/>
                <w:bCs/>
                <w:szCs w:val="21"/>
                <w:highlight w:val="none"/>
              </w:rPr>
              <w:t>境影</w:t>
            </w:r>
          </w:p>
          <w:p w14:paraId="5295F6A1">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bCs/>
                <w:szCs w:val="21"/>
                <w:highlight w:val="none"/>
              </w:rPr>
            </w:pPr>
            <w:r>
              <w:rPr>
                <w:rFonts w:hint="eastAsia" w:ascii="Times New Roman" w:hAnsi="Times New Roman" w:eastAsia="宋体" w:cs="Times New Roman"/>
                <w:bCs/>
                <w:szCs w:val="21"/>
                <w:highlight w:val="none"/>
              </w:rPr>
              <w:t>响和</w:t>
            </w:r>
          </w:p>
          <w:p w14:paraId="30603F64">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bCs/>
                <w:szCs w:val="21"/>
                <w:highlight w:val="none"/>
              </w:rPr>
            </w:pPr>
            <w:r>
              <w:rPr>
                <w:rFonts w:hint="eastAsia" w:ascii="Times New Roman" w:hAnsi="Times New Roman" w:eastAsia="宋体" w:cs="Times New Roman"/>
                <w:bCs/>
                <w:szCs w:val="21"/>
                <w:highlight w:val="none"/>
              </w:rPr>
              <w:t>保护</w:t>
            </w:r>
          </w:p>
          <w:p w14:paraId="129477CE">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bCs/>
                <w:szCs w:val="21"/>
                <w:highlight w:val="none"/>
              </w:rPr>
            </w:pPr>
            <w:r>
              <w:rPr>
                <w:rFonts w:hint="eastAsia" w:ascii="Times New Roman" w:hAnsi="Times New Roman" w:eastAsia="宋体" w:cs="Times New Roman"/>
                <w:bCs/>
                <w:szCs w:val="21"/>
                <w:highlight w:val="none"/>
              </w:rPr>
              <w:t>措施</w:t>
            </w:r>
          </w:p>
          <w:p w14:paraId="0137CAF0">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bCs/>
                <w:szCs w:val="21"/>
                <w:highlight w:val="none"/>
              </w:rPr>
            </w:pPr>
          </w:p>
          <w:p w14:paraId="10166030">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bCs/>
                <w:szCs w:val="21"/>
                <w:highlight w:val="none"/>
              </w:rPr>
            </w:pPr>
          </w:p>
          <w:p w14:paraId="71881744">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bCs/>
                <w:szCs w:val="21"/>
                <w:highlight w:val="none"/>
              </w:rPr>
            </w:pPr>
          </w:p>
          <w:p w14:paraId="236D8B2F">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bCs/>
                <w:szCs w:val="21"/>
                <w:highlight w:val="none"/>
              </w:rPr>
            </w:pPr>
          </w:p>
          <w:p w14:paraId="756580EF">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bCs/>
                <w:szCs w:val="21"/>
                <w:highlight w:val="none"/>
              </w:rPr>
            </w:pPr>
          </w:p>
          <w:p w14:paraId="266AF44A">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bCs/>
                <w:szCs w:val="21"/>
                <w:highlight w:val="none"/>
              </w:rPr>
            </w:pPr>
          </w:p>
          <w:p w14:paraId="4B49E728">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bCs/>
                <w:szCs w:val="21"/>
                <w:highlight w:val="none"/>
              </w:rPr>
            </w:pPr>
          </w:p>
          <w:p w14:paraId="085430B4">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bCs/>
                <w:szCs w:val="21"/>
                <w:highlight w:val="none"/>
              </w:rPr>
            </w:pPr>
          </w:p>
          <w:p w14:paraId="5F309629">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bCs/>
                <w:szCs w:val="21"/>
                <w:highlight w:val="none"/>
              </w:rPr>
            </w:pPr>
          </w:p>
          <w:p w14:paraId="64187122">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bCs/>
                <w:szCs w:val="21"/>
                <w:highlight w:val="none"/>
              </w:rPr>
            </w:pPr>
          </w:p>
          <w:p w14:paraId="2B2E2051">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bCs/>
                <w:szCs w:val="21"/>
                <w:highlight w:val="none"/>
              </w:rPr>
            </w:pPr>
          </w:p>
          <w:p w14:paraId="21F97398">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bCs/>
                <w:szCs w:val="21"/>
                <w:highlight w:val="none"/>
              </w:rPr>
            </w:pPr>
          </w:p>
          <w:p w14:paraId="4E6E42F5">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bCs/>
                <w:szCs w:val="21"/>
                <w:highlight w:val="none"/>
              </w:rPr>
            </w:pPr>
          </w:p>
          <w:p w14:paraId="263D9FFC">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bCs/>
                <w:szCs w:val="21"/>
                <w:highlight w:val="none"/>
              </w:rPr>
            </w:pPr>
          </w:p>
          <w:p w14:paraId="762ED956">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bCs/>
                <w:szCs w:val="21"/>
                <w:highlight w:val="none"/>
              </w:rPr>
            </w:pPr>
          </w:p>
          <w:p w14:paraId="0753ACC6">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bCs/>
                <w:szCs w:val="21"/>
                <w:highlight w:val="none"/>
              </w:rPr>
            </w:pPr>
          </w:p>
          <w:p w14:paraId="11FFB0F0">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bCs/>
                <w:szCs w:val="21"/>
                <w:highlight w:val="none"/>
              </w:rPr>
            </w:pPr>
          </w:p>
          <w:p w14:paraId="1BD76BB4">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bCs/>
                <w:szCs w:val="21"/>
                <w:highlight w:val="none"/>
              </w:rPr>
            </w:pPr>
          </w:p>
          <w:p w14:paraId="17ECD18D">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bCs/>
                <w:szCs w:val="21"/>
                <w:highlight w:val="none"/>
              </w:rPr>
            </w:pPr>
          </w:p>
          <w:p w14:paraId="2A00C407">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bCs/>
                <w:szCs w:val="21"/>
                <w:highlight w:val="none"/>
              </w:rPr>
            </w:pPr>
          </w:p>
          <w:p w14:paraId="688A8606">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bCs/>
                <w:szCs w:val="21"/>
                <w:highlight w:val="none"/>
              </w:rPr>
            </w:pPr>
          </w:p>
          <w:p w14:paraId="01DF31BC">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bCs/>
                <w:szCs w:val="21"/>
                <w:highlight w:val="none"/>
              </w:rPr>
            </w:pPr>
          </w:p>
          <w:p w14:paraId="7D015330">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bCs/>
                <w:szCs w:val="21"/>
                <w:highlight w:val="none"/>
              </w:rPr>
            </w:pPr>
          </w:p>
          <w:p w14:paraId="48F8CEE2">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bCs/>
                <w:szCs w:val="21"/>
                <w:highlight w:val="none"/>
              </w:rPr>
            </w:pPr>
          </w:p>
          <w:p w14:paraId="2D98EF33">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bCs/>
                <w:szCs w:val="21"/>
                <w:highlight w:val="none"/>
              </w:rPr>
            </w:pPr>
          </w:p>
          <w:p w14:paraId="3EA1F562">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bCs/>
                <w:szCs w:val="21"/>
                <w:highlight w:val="none"/>
              </w:rPr>
            </w:pPr>
          </w:p>
          <w:p w14:paraId="3AA35AD5">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bCs/>
                <w:szCs w:val="21"/>
                <w:highlight w:val="none"/>
              </w:rPr>
            </w:pPr>
          </w:p>
          <w:p w14:paraId="7BCDE934">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bCs/>
                <w:szCs w:val="21"/>
                <w:highlight w:val="none"/>
              </w:rPr>
            </w:pPr>
          </w:p>
          <w:p w14:paraId="182A3AC0">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bCs/>
                <w:szCs w:val="21"/>
                <w:highlight w:val="none"/>
              </w:rPr>
            </w:pPr>
          </w:p>
          <w:p w14:paraId="24A0D486">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bCs/>
                <w:szCs w:val="21"/>
                <w:highlight w:val="none"/>
              </w:rPr>
            </w:pPr>
          </w:p>
          <w:p w14:paraId="5CF508ED">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bCs/>
                <w:szCs w:val="21"/>
                <w:highlight w:val="none"/>
              </w:rPr>
            </w:pPr>
          </w:p>
          <w:p w14:paraId="68907384">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bCs/>
                <w:szCs w:val="21"/>
                <w:highlight w:val="none"/>
              </w:rPr>
            </w:pPr>
          </w:p>
          <w:p w14:paraId="7743783A">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bCs/>
                <w:szCs w:val="21"/>
                <w:highlight w:val="none"/>
              </w:rPr>
            </w:pPr>
          </w:p>
          <w:p w14:paraId="7E6ECB48">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bCs/>
                <w:szCs w:val="21"/>
                <w:highlight w:val="none"/>
              </w:rPr>
            </w:pPr>
          </w:p>
          <w:p w14:paraId="3B157AA7">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bCs/>
                <w:szCs w:val="21"/>
                <w:highlight w:val="none"/>
              </w:rPr>
            </w:pPr>
          </w:p>
          <w:p w14:paraId="6D11AC14">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bCs/>
                <w:szCs w:val="21"/>
                <w:highlight w:val="none"/>
              </w:rPr>
            </w:pPr>
          </w:p>
          <w:p w14:paraId="45F66DAC">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bCs/>
                <w:szCs w:val="21"/>
                <w:highlight w:val="none"/>
              </w:rPr>
            </w:pPr>
          </w:p>
          <w:p w14:paraId="1B0703FA">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bCs/>
                <w:szCs w:val="21"/>
                <w:highlight w:val="none"/>
              </w:rPr>
            </w:pPr>
          </w:p>
          <w:p w14:paraId="4B6B7C99">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bCs/>
                <w:szCs w:val="21"/>
                <w:highlight w:val="none"/>
              </w:rPr>
            </w:pPr>
          </w:p>
          <w:p w14:paraId="4B11425D">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bCs/>
                <w:szCs w:val="21"/>
                <w:highlight w:val="none"/>
              </w:rPr>
            </w:pPr>
          </w:p>
          <w:p w14:paraId="1477E679">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bCs/>
                <w:szCs w:val="21"/>
                <w:highlight w:val="none"/>
              </w:rPr>
            </w:pPr>
          </w:p>
          <w:p w14:paraId="78CDF931">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bCs/>
                <w:szCs w:val="21"/>
                <w:highlight w:val="none"/>
              </w:rPr>
            </w:pPr>
            <w:r>
              <w:rPr>
                <w:rFonts w:hint="eastAsia" w:ascii="Times New Roman" w:hAnsi="Times New Roman" w:eastAsia="宋体" w:cs="Times New Roman"/>
                <w:bCs/>
                <w:szCs w:val="21"/>
                <w:highlight w:val="none"/>
              </w:rPr>
              <w:t>运营</w:t>
            </w:r>
          </w:p>
          <w:p w14:paraId="323A129F">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bCs/>
                <w:szCs w:val="21"/>
                <w:highlight w:val="none"/>
              </w:rPr>
            </w:pPr>
            <w:r>
              <w:rPr>
                <w:rFonts w:hint="eastAsia" w:ascii="Times New Roman" w:hAnsi="Times New Roman" w:eastAsia="宋体" w:cs="Times New Roman"/>
                <w:bCs/>
                <w:szCs w:val="21"/>
                <w:highlight w:val="none"/>
              </w:rPr>
              <w:t>期环</w:t>
            </w:r>
          </w:p>
          <w:p w14:paraId="38DD7B02">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bCs/>
                <w:szCs w:val="21"/>
                <w:highlight w:val="none"/>
              </w:rPr>
            </w:pPr>
            <w:r>
              <w:rPr>
                <w:rFonts w:hint="eastAsia" w:ascii="Times New Roman" w:hAnsi="Times New Roman" w:eastAsia="宋体" w:cs="Times New Roman"/>
                <w:bCs/>
                <w:szCs w:val="21"/>
                <w:highlight w:val="none"/>
              </w:rPr>
              <w:t>境影</w:t>
            </w:r>
          </w:p>
          <w:p w14:paraId="5D411A81">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bCs/>
                <w:szCs w:val="21"/>
                <w:highlight w:val="none"/>
              </w:rPr>
            </w:pPr>
            <w:r>
              <w:rPr>
                <w:rFonts w:hint="eastAsia" w:ascii="Times New Roman" w:hAnsi="Times New Roman" w:eastAsia="宋体" w:cs="Times New Roman"/>
                <w:bCs/>
                <w:szCs w:val="21"/>
                <w:highlight w:val="none"/>
              </w:rPr>
              <w:t>响和</w:t>
            </w:r>
          </w:p>
          <w:p w14:paraId="4C357BDC">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bCs/>
                <w:szCs w:val="21"/>
                <w:highlight w:val="none"/>
              </w:rPr>
            </w:pPr>
            <w:r>
              <w:rPr>
                <w:rFonts w:hint="eastAsia" w:ascii="Times New Roman" w:hAnsi="Times New Roman" w:eastAsia="宋体" w:cs="Times New Roman"/>
                <w:bCs/>
                <w:szCs w:val="21"/>
                <w:highlight w:val="none"/>
              </w:rPr>
              <w:t>保护</w:t>
            </w:r>
          </w:p>
          <w:p w14:paraId="14D565BE">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bCs/>
                <w:szCs w:val="21"/>
                <w:highlight w:val="none"/>
              </w:rPr>
            </w:pPr>
            <w:r>
              <w:rPr>
                <w:rFonts w:hint="eastAsia" w:ascii="Times New Roman" w:hAnsi="Times New Roman" w:eastAsia="宋体" w:cs="Times New Roman"/>
                <w:bCs/>
                <w:szCs w:val="21"/>
                <w:highlight w:val="none"/>
              </w:rPr>
              <w:t>措施</w:t>
            </w:r>
          </w:p>
          <w:p w14:paraId="39BB3BB5">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bCs/>
                <w:szCs w:val="21"/>
                <w:highlight w:val="none"/>
              </w:rPr>
            </w:pPr>
          </w:p>
          <w:p w14:paraId="31E19E97">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bCs/>
                <w:szCs w:val="21"/>
                <w:highlight w:val="none"/>
              </w:rPr>
            </w:pPr>
          </w:p>
          <w:p w14:paraId="61640135">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bCs/>
                <w:szCs w:val="21"/>
                <w:highlight w:val="none"/>
              </w:rPr>
            </w:pPr>
          </w:p>
          <w:p w14:paraId="766A4619">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bCs/>
                <w:szCs w:val="21"/>
                <w:highlight w:val="none"/>
              </w:rPr>
            </w:pPr>
          </w:p>
          <w:p w14:paraId="35F94F00">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bCs/>
                <w:szCs w:val="21"/>
                <w:highlight w:val="none"/>
              </w:rPr>
            </w:pPr>
          </w:p>
          <w:p w14:paraId="49139373">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bCs/>
                <w:szCs w:val="21"/>
                <w:highlight w:val="none"/>
              </w:rPr>
            </w:pPr>
          </w:p>
          <w:p w14:paraId="197E6A82">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bCs/>
                <w:szCs w:val="21"/>
                <w:highlight w:val="none"/>
              </w:rPr>
            </w:pPr>
          </w:p>
          <w:p w14:paraId="526C5F1E">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bCs/>
                <w:szCs w:val="21"/>
                <w:highlight w:val="none"/>
              </w:rPr>
            </w:pPr>
          </w:p>
          <w:p w14:paraId="2D64B1A9">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bCs/>
                <w:szCs w:val="21"/>
                <w:highlight w:val="none"/>
              </w:rPr>
            </w:pPr>
          </w:p>
          <w:p w14:paraId="6CE845A0">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bCs/>
                <w:szCs w:val="21"/>
                <w:highlight w:val="none"/>
              </w:rPr>
            </w:pPr>
          </w:p>
          <w:p w14:paraId="1DB46D6C">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bCs/>
                <w:szCs w:val="21"/>
                <w:highlight w:val="none"/>
              </w:rPr>
            </w:pPr>
          </w:p>
          <w:p w14:paraId="27526972">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bCs/>
                <w:szCs w:val="21"/>
                <w:highlight w:val="none"/>
              </w:rPr>
            </w:pPr>
          </w:p>
          <w:p w14:paraId="6296D42F">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bCs/>
                <w:szCs w:val="21"/>
                <w:highlight w:val="none"/>
              </w:rPr>
            </w:pPr>
          </w:p>
          <w:p w14:paraId="1FE75BEE">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bCs/>
                <w:szCs w:val="21"/>
                <w:highlight w:val="none"/>
              </w:rPr>
            </w:pPr>
          </w:p>
          <w:p w14:paraId="05B7821D">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bCs/>
                <w:szCs w:val="21"/>
                <w:highlight w:val="none"/>
              </w:rPr>
            </w:pPr>
          </w:p>
          <w:p w14:paraId="70222EBB">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bCs/>
                <w:szCs w:val="21"/>
                <w:highlight w:val="none"/>
              </w:rPr>
            </w:pPr>
          </w:p>
          <w:p w14:paraId="59918D23">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bCs/>
                <w:szCs w:val="21"/>
                <w:highlight w:val="none"/>
              </w:rPr>
            </w:pPr>
          </w:p>
          <w:p w14:paraId="07D728BB">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bCs/>
                <w:szCs w:val="21"/>
                <w:highlight w:val="none"/>
              </w:rPr>
            </w:pPr>
          </w:p>
          <w:p w14:paraId="7CD7FBCD">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bCs/>
                <w:szCs w:val="21"/>
                <w:highlight w:val="none"/>
              </w:rPr>
            </w:pPr>
          </w:p>
          <w:p w14:paraId="3FC294DA">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bCs/>
                <w:szCs w:val="21"/>
                <w:highlight w:val="none"/>
              </w:rPr>
            </w:pPr>
          </w:p>
          <w:p w14:paraId="16192CB7">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bCs/>
                <w:szCs w:val="21"/>
                <w:highlight w:val="none"/>
              </w:rPr>
            </w:pPr>
          </w:p>
          <w:p w14:paraId="6A1B6ACC">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bCs/>
                <w:szCs w:val="21"/>
                <w:highlight w:val="none"/>
              </w:rPr>
            </w:pPr>
          </w:p>
          <w:p w14:paraId="7E6C2632">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bCs/>
                <w:szCs w:val="21"/>
                <w:highlight w:val="none"/>
              </w:rPr>
            </w:pPr>
          </w:p>
          <w:p w14:paraId="766072CB">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bCs/>
                <w:szCs w:val="21"/>
                <w:highlight w:val="none"/>
              </w:rPr>
            </w:pPr>
          </w:p>
          <w:p w14:paraId="115420C7">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bCs/>
                <w:szCs w:val="21"/>
                <w:highlight w:val="none"/>
              </w:rPr>
            </w:pPr>
          </w:p>
          <w:p w14:paraId="253692EC">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bCs/>
                <w:szCs w:val="21"/>
                <w:highlight w:val="none"/>
              </w:rPr>
            </w:pPr>
          </w:p>
          <w:p w14:paraId="10B1FC12">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bCs/>
                <w:szCs w:val="21"/>
                <w:highlight w:val="none"/>
              </w:rPr>
            </w:pPr>
          </w:p>
          <w:p w14:paraId="6CEFD932">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bCs/>
                <w:szCs w:val="21"/>
                <w:highlight w:val="none"/>
              </w:rPr>
            </w:pPr>
          </w:p>
          <w:p w14:paraId="5030E0B2">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bCs/>
                <w:szCs w:val="21"/>
                <w:highlight w:val="none"/>
              </w:rPr>
            </w:pPr>
          </w:p>
          <w:p w14:paraId="68E34596">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bCs/>
                <w:szCs w:val="21"/>
                <w:highlight w:val="none"/>
              </w:rPr>
            </w:pPr>
          </w:p>
          <w:p w14:paraId="1111DB93">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bCs/>
                <w:szCs w:val="21"/>
                <w:highlight w:val="none"/>
              </w:rPr>
            </w:pPr>
          </w:p>
          <w:p w14:paraId="5F3D638D">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bCs/>
                <w:szCs w:val="21"/>
                <w:highlight w:val="none"/>
              </w:rPr>
            </w:pPr>
          </w:p>
          <w:p w14:paraId="37D7D327">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bCs/>
                <w:szCs w:val="21"/>
                <w:highlight w:val="none"/>
              </w:rPr>
            </w:pPr>
          </w:p>
          <w:p w14:paraId="50BB711F">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bCs/>
                <w:szCs w:val="21"/>
                <w:highlight w:val="none"/>
              </w:rPr>
            </w:pPr>
          </w:p>
          <w:p w14:paraId="4012BBD5">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bCs/>
                <w:szCs w:val="21"/>
                <w:highlight w:val="none"/>
              </w:rPr>
            </w:pPr>
          </w:p>
          <w:p w14:paraId="66371BD1">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bCs/>
                <w:szCs w:val="21"/>
                <w:highlight w:val="none"/>
              </w:rPr>
            </w:pPr>
          </w:p>
          <w:p w14:paraId="7F34C923">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bCs/>
                <w:szCs w:val="21"/>
                <w:highlight w:val="none"/>
              </w:rPr>
            </w:pPr>
          </w:p>
          <w:p w14:paraId="5E088A98">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bCs/>
                <w:szCs w:val="21"/>
                <w:highlight w:val="none"/>
              </w:rPr>
            </w:pPr>
          </w:p>
          <w:p w14:paraId="6B57E3F7">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bCs/>
                <w:szCs w:val="21"/>
                <w:highlight w:val="none"/>
              </w:rPr>
            </w:pPr>
          </w:p>
          <w:p w14:paraId="757C3821">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bCs/>
                <w:szCs w:val="21"/>
                <w:highlight w:val="none"/>
              </w:rPr>
            </w:pPr>
          </w:p>
          <w:p w14:paraId="35E02B91">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bCs/>
                <w:szCs w:val="21"/>
                <w:highlight w:val="none"/>
              </w:rPr>
            </w:pPr>
          </w:p>
          <w:p w14:paraId="2ADDC53C">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bCs/>
                <w:szCs w:val="21"/>
                <w:highlight w:val="none"/>
              </w:rPr>
            </w:pPr>
            <w:r>
              <w:rPr>
                <w:rFonts w:hint="eastAsia" w:ascii="Times New Roman" w:hAnsi="Times New Roman" w:eastAsia="宋体" w:cs="Times New Roman"/>
                <w:bCs/>
                <w:szCs w:val="21"/>
                <w:highlight w:val="none"/>
              </w:rPr>
              <w:t>运营</w:t>
            </w:r>
          </w:p>
          <w:p w14:paraId="1CA2D351">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bCs/>
                <w:szCs w:val="21"/>
                <w:highlight w:val="none"/>
              </w:rPr>
            </w:pPr>
            <w:r>
              <w:rPr>
                <w:rFonts w:hint="eastAsia" w:ascii="Times New Roman" w:hAnsi="Times New Roman" w:eastAsia="宋体" w:cs="Times New Roman"/>
                <w:bCs/>
                <w:szCs w:val="21"/>
                <w:highlight w:val="none"/>
              </w:rPr>
              <w:t>期环</w:t>
            </w:r>
          </w:p>
          <w:p w14:paraId="24D6E949">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bCs/>
                <w:szCs w:val="21"/>
                <w:highlight w:val="none"/>
              </w:rPr>
            </w:pPr>
            <w:r>
              <w:rPr>
                <w:rFonts w:hint="eastAsia" w:ascii="Times New Roman" w:hAnsi="Times New Roman" w:eastAsia="宋体" w:cs="Times New Roman"/>
                <w:bCs/>
                <w:szCs w:val="21"/>
                <w:highlight w:val="none"/>
              </w:rPr>
              <w:t>境影</w:t>
            </w:r>
          </w:p>
          <w:p w14:paraId="0B234C74">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bCs/>
                <w:szCs w:val="21"/>
                <w:highlight w:val="none"/>
              </w:rPr>
            </w:pPr>
            <w:r>
              <w:rPr>
                <w:rFonts w:hint="eastAsia" w:ascii="Times New Roman" w:hAnsi="Times New Roman" w:eastAsia="宋体" w:cs="Times New Roman"/>
                <w:bCs/>
                <w:szCs w:val="21"/>
                <w:highlight w:val="none"/>
              </w:rPr>
              <w:t>响和</w:t>
            </w:r>
          </w:p>
          <w:p w14:paraId="477BD246">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bCs/>
                <w:szCs w:val="21"/>
                <w:highlight w:val="none"/>
              </w:rPr>
            </w:pPr>
            <w:r>
              <w:rPr>
                <w:rFonts w:hint="eastAsia" w:ascii="Times New Roman" w:hAnsi="Times New Roman" w:eastAsia="宋体" w:cs="Times New Roman"/>
                <w:bCs/>
                <w:szCs w:val="21"/>
                <w:highlight w:val="none"/>
              </w:rPr>
              <w:t>保护</w:t>
            </w:r>
          </w:p>
          <w:p w14:paraId="6A022DD5">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bCs/>
                <w:szCs w:val="21"/>
                <w:highlight w:val="none"/>
              </w:rPr>
            </w:pPr>
            <w:r>
              <w:rPr>
                <w:rFonts w:hint="eastAsia" w:ascii="Times New Roman" w:hAnsi="Times New Roman" w:eastAsia="宋体" w:cs="Times New Roman"/>
                <w:bCs/>
                <w:szCs w:val="21"/>
                <w:highlight w:val="none"/>
              </w:rPr>
              <w:t>措施</w:t>
            </w:r>
          </w:p>
          <w:p w14:paraId="27A60F29">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bCs/>
                <w:szCs w:val="21"/>
                <w:highlight w:val="none"/>
              </w:rPr>
            </w:pPr>
          </w:p>
          <w:p w14:paraId="71065862">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bCs/>
                <w:szCs w:val="21"/>
                <w:highlight w:val="none"/>
              </w:rPr>
            </w:pPr>
          </w:p>
          <w:p w14:paraId="565DB2D0">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bCs/>
                <w:szCs w:val="21"/>
                <w:highlight w:val="none"/>
              </w:rPr>
            </w:pPr>
          </w:p>
          <w:p w14:paraId="1CED0A94">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bCs/>
                <w:szCs w:val="21"/>
                <w:highlight w:val="none"/>
              </w:rPr>
            </w:pPr>
          </w:p>
          <w:p w14:paraId="024117DF">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bCs/>
                <w:szCs w:val="21"/>
                <w:highlight w:val="none"/>
              </w:rPr>
            </w:pPr>
          </w:p>
          <w:p w14:paraId="17DA9BDB">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bCs/>
                <w:szCs w:val="21"/>
                <w:highlight w:val="none"/>
              </w:rPr>
            </w:pPr>
          </w:p>
          <w:p w14:paraId="5ADF2688">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bCs/>
                <w:szCs w:val="21"/>
                <w:highlight w:val="none"/>
              </w:rPr>
            </w:pPr>
          </w:p>
          <w:p w14:paraId="1127FBBF">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bCs/>
                <w:szCs w:val="21"/>
                <w:highlight w:val="none"/>
              </w:rPr>
            </w:pPr>
          </w:p>
          <w:p w14:paraId="0D4F9FAF">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bCs/>
                <w:szCs w:val="21"/>
                <w:highlight w:val="none"/>
              </w:rPr>
            </w:pPr>
          </w:p>
          <w:p w14:paraId="7A1CCA14">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bCs/>
                <w:szCs w:val="21"/>
                <w:highlight w:val="none"/>
              </w:rPr>
            </w:pPr>
          </w:p>
          <w:p w14:paraId="5CDAAE47">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bCs/>
                <w:szCs w:val="21"/>
                <w:highlight w:val="none"/>
              </w:rPr>
            </w:pPr>
          </w:p>
          <w:p w14:paraId="05BC1CAD">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bCs/>
                <w:szCs w:val="21"/>
                <w:highlight w:val="none"/>
              </w:rPr>
            </w:pPr>
          </w:p>
          <w:p w14:paraId="646D7A4B">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bCs/>
                <w:szCs w:val="21"/>
                <w:highlight w:val="none"/>
              </w:rPr>
            </w:pPr>
          </w:p>
          <w:p w14:paraId="21D0725F">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bCs/>
                <w:szCs w:val="21"/>
                <w:highlight w:val="none"/>
              </w:rPr>
            </w:pPr>
          </w:p>
          <w:p w14:paraId="25DD402D">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bCs/>
                <w:szCs w:val="21"/>
                <w:highlight w:val="none"/>
              </w:rPr>
            </w:pPr>
          </w:p>
          <w:p w14:paraId="3D98DE0E">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bCs/>
                <w:szCs w:val="21"/>
                <w:highlight w:val="none"/>
              </w:rPr>
            </w:pPr>
          </w:p>
          <w:p w14:paraId="2C2C2BD9">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bCs/>
                <w:szCs w:val="21"/>
                <w:highlight w:val="none"/>
              </w:rPr>
            </w:pPr>
          </w:p>
          <w:p w14:paraId="06EE4E5C">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bCs/>
                <w:szCs w:val="21"/>
                <w:highlight w:val="none"/>
              </w:rPr>
            </w:pPr>
          </w:p>
          <w:p w14:paraId="101AC520">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bCs/>
                <w:szCs w:val="21"/>
                <w:highlight w:val="none"/>
              </w:rPr>
            </w:pPr>
          </w:p>
          <w:p w14:paraId="2152054B">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bCs/>
                <w:szCs w:val="21"/>
                <w:highlight w:val="none"/>
              </w:rPr>
            </w:pPr>
          </w:p>
          <w:p w14:paraId="0D86BC54">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bCs/>
                <w:szCs w:val="21"/>
                <w:highlight w:val="none"/>
              </w:rPr>
            </w:pPr>
          </w:p>
          <w:p w14:paraId="62847168">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bCs/>
                <w:szCs w:val="21"/>
                <w:highlight w:val="none"/>
              </w:rPr>
            </w:pPr>
          </w:p>
          <w:p w14:paraId="34CB53F9">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bCs/>
                <w:szCs w:val="21"/>
                <w:highlight w:val="none"/>
              </w:rPr>
            </w:pPr>
          </w:p>
          <w:p w14:paraId="6E2DEC3C">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bCs/>
                <w:szCs w:val="21"/>
                <w:highlight w:val="none"/>
              </w:rPr>
            </w:pPr>
          </w:p>
          <w:p w14:paraId="0AB79316">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bCs/>
                <w:szCs w:val="21"/>
                <w:highlight w:val="none"/>
              </w:rPr>
            </w:pPr>
          </w:p>
          <w:p w14:paraId="61D75E73">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bCs/>
                <w:szCs w:val="21"/>
                <w:highlight w:val="none"/>
              </w:rPr>
            </w:pPr>
          </w:p>
          <w:p w14:paraId="3B426129">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bCs/>
                <w:szCs w:val="21"/>
                <w:highlight w:val="none"/>
              </w:rPr>
            </w:pPr>
          </w:p>
          <w:p w14:paraId="7367371C">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bCs/>
                <w:szCs w:val="21"/>
                <w:highlight w:val="none"/>
              </w:rPr>
            </w:pPr>
          </w:p>
          <w:p w14:paraId="105DE31E">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bCs/>
                <w:szCs w:val="21"/>
                <w:highlight w:val="none"/>
              </w:rPr>
            </w:pPr>
          </w:p>
          <w:p w14:paraId="010C23D1">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bCs/>
                <w:szCs w:val="21"/>
                <w:highlight w:val="none"/>
              </w:rPr>
            </w:pPr>
          </w:p>
          <w:p w14:paraId="1FBCAC37">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bCs/>
                <w:szCs w:val="21"/>
                <w:highlight w:val="none"/>
              </w:rPr>
            </w:pPr>
          </w:p>
          <w:p w14:paraId="6666F5B8">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bCs/>
                <w:szCs w:val="21"/>
                <w:highlight w:val="none"/>
              </w:rPr>
            </w:pPr>
          </w:p>
          <w:p w14:paraId="1D4297E0">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bCs/>
                <w:szCs w:val="21"/>
                <w:highlight w:val="none"/>
              </w:rPr>
            </w:pPr>
          </w:p>
          <w:p w14:paraId="064E025A">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bCs/>
                <w:szCs w:val="21"/>
                <w:highlight w:val="none"/>
              </w:rPr>
            </w:pPr>
          </w:p>
          <w:p w14:paraId="6FE74F75">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bCs/>
                <w:szCs w:val="21"/>
                <w:highlight w:val="none"/>
              </w:rPr>
            </w:pPr>
          </w:p>
          <w:p w14:paraId="66C27C7F">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bCs/>
                <w:szCs w:val="21"/>
                <w:highlight w:val="none"/>
              </w:rPr>
            </w:pPr>
          </w:p>
          <w:p w14:paraId="0A036C7D">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bCs/>
                <w:szCs w:val="21"/>
                <w:highlight w:val="none"/>
              </w:rPr>
            </w:pPr>
          </w:p>
          <w:p w14:paraId="14523F7B">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bCs/>
                <w:szCs w:val="21"/>
                <w:highlight w:val="none"/>
              </w:rPr>
            </w:pPr>
          </w:p>
          <w:p w14:paraId="61AFF12C">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bCs/>
                <w:szCs w:val="21"/>
                <w:highlight w:val="none"/>
              </w:rPr>
            </w:pPr>
          </w:p>
          <w:p w14:paraId="693C4277">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bCs/>
                <w:szCs w:val="21"/>
                <w:highlight w:val="none"/>
              </w:rPr>
            </w:pPr>
          </w:p>
          <w:p w14:paraId="1F72FB45">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bCs/>
                <w:szCs w:val="21"/>
                <w:highlight w:val="none"/>
              </w:rPr>
            </w:pPr>
          </w:p>
          <w:p w14:paraId="044E94A6">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bCs/>
                <w:szCs w:val="21"/>
                <w:highlight w:val="none"/>
              </w:rPr>
            </w:pPr>
            <w:r>
              <w:rPr>
                <w:rFonts w:hint="eastAsia" w:ascii="Times New Roman" w:hAnsi="Times New Roman" w:eastAsia="宋体" w:cs="Times New Roman"/>
                <w:bCs/>
                <w:szCs w:val="21"/>
                <w:highlight w:val="none"/>
              </w:rPr>
              <w:t>运营</w:t>
            </w:r>
          </w:p>
          <w:p w14:paraId="0762DD85">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bCs/>
                <w:szCs w:val="21"/>
                <w:highlight w:val="none"/>
              </w:rPr>
            </w:pPr>
            <w:r>
              <w:rPr>
                <w:rFonts w:hint="eastAsia" w:ascii="Times New Roman" w:hAnsi="Times New Roman" w:eastAsia="宋体" w:cs="Times New Roman"/>
                <w:bCs/>
                <w:szCs w:val="21"/>
                <w:highlight w:val="none"/>
              </w:rPr>
              <w:t>期环</w:t>
            </w:r>
          </w:p>
          <w:p w14:paraId="553F576F">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bCs/>
                <w:szCs w:val="21"/>
                <w:highlight w:val="none"/>
              </w:rPr>
            </w:pPr>
            <w:r>
              <w:rPr>
                <w:rFonts w:hint="eastAsia" w:ascii="Times New Roman" w:hAnsi="Times New Roman" w:eastAsia="宋体" w:cs="Times New Roman"/>
                <w:bCs/>
                <w:szCs w:val="21"/>
                <w:highlight w:val="none"/>
              </w:rPr>
              <w:t>境影</w:t>
            </w:r>
          </w:p>
          <w:p w14:paraId="49066BE3">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bCs/>
                <w:szCs w:val="21"/>
                <w:highlight w:val="none"/>
              </w:rPr>
            </w:pPr>
            <w:r>
              <w:rPr>
                <w:rFonts w:hint="eastAsia" w:ascii="Times New Roman" w:hAnsi="Times New Roman" w:eastAsia="宋体" w:cs="Times New Roman"/>
                <w:bCs/>
                <w:szCs w:val="21"/>
                <w:highlight w:val="none"/>
              </w:rPr>
              <w:t>响和</w:t>
            </w:r>
          </w:p>
          <w:p w14:paraId="05B2575A">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bCs/>
                <w:szCs w:val="21"/>
                <w:highlight w:val="none"/>
              </w:rPr>
            </w:pPr>
            <w:r>
              <w:rPr>
                <w:rFonts w:hint="eastAsia" w:ascii="Times New Roman" w:hAnsi="Times New Roman" w:eastAsia="宋体" w:cs="Times New Roman"/>
                <w:bCs/>
                <w:szCs w:val="21"/>
                <w:highlight w:val="none"/>
              </w:rPr>
              <w:t>保护</w:t>
            </w:r>
          </w:p>
          <w:p w14:paraId="16180A29">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bCs/>
                <w:szCs w:val="21"/>
                <w:highlight w:val="none"/>
              </w:rPr>
            </w:pPr>
            <w:r>
              <w:rPr>
                <w:rFonts w:hint="eastAsia" w:ascii="Times New Roman" w:hAnsi="Times New Roman" w:eastAsia="宋体" w:cs="Times New Roman"/>
                <w:bCs/>
                <w:szCs w:val="21"/>
                <w:highlight w:val="none"/>
              </w:rPr>
              <w:t>措施</w:t>
            </w:r>
          </w:p>
          <w:p w14:paraId="20542EA0">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bCs/>
                <w:szCs w:val="21"/>
                <w:highlight w:val="none"/>
              </w:rPr>
            </w:pPr>
          </w:p>
          <w:p w14:paraId="34EFE5F7">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bCs/>
                <w:szCs w:val="21"/>
                <w:highlight w:val="none"/>
              </w:rPr>
            </w:pPr>
          </w:p>
          <w:p w14:paraId="52B74FD6">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bCs/>
                <w:szCs w:val="21"/>
                <w:highlight w:val="none"/>
              </w:rPr>
            </w:pPr>
          </w:p>
          <w:p w14:paraId="49145CDA">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bCs/>
                <w:szCs w:val="21"/>
                <w:highlight w:val="none"/>
              </w:rPr>
            </w:pPr>
          </w:p>
          <w:p w14:paraId="20048198">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bCs/>
                <w:szCs w:val="21"/>
                <w:highlight w:val="none"/>
              </w:rPr>
            </w:pPr>
          </w:p>
          <w:p w14:paraId="0EC07826">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bCs/>
                <w:szCs w:val="21"/>
                <w:highlight w:val="none"/>
              </w:rPr>
            </w:pPr>
          </w:p>
          <w:p w14:paraId="61DB6042">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bCs/>
                <w:szCs w:val="21"/>
                <w:highlight w:val="none"/>
              </w:rPr>
            </w:pPr>
          </w:p>
          <w:p w14:paraId="4F08D729">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bCs/>
                <w:szCs w:val="21"/>
                <w:highlight w:val="none"/>
              </w:rPr>
            </w:pPr>
          </w:p>
          <w:p w14:paraId="048A6082">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bCs/>
                <w:szCs w:val="21"/>
                <w:highlight w:val="none"/>
              </w:rPr>
            </w:pPr>
          </w:p>
          <w:p w14:paraId="4EC60FF6">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bCs/>
                <w:szCs w:val="21"/>
                <w:highlight w:val="none"/>
              </w:rPr>
            </w:pPr>
          </w:p>
          <w:p w14:paraId="3EDC4EA5">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bCs/>
                <w:szCs w:val="21"/>
                <w:highlight w:val="none"/>
              </w:rPr>
            </w:pPr>
          </w:p>
          <w:p w14:paraId="0DB9F692">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bCs/>
                <w:szCs w:val="21"/>
                <w:highlight w:val="none"/>
              </w:rPr>
            </w:pPr>
          </w:p>
          <w:p w14:paraId="502196EC">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bCs/>
                <w:szCs w:val="21"/>
                <w:highlight w:val="none"/>
              </w:rPr>
            </w:pPr>
          </w:p>
          <w:p w14:paraId="52E908D3">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bCs/>
                <w:szCs w:val="21"/>
                <w:highlight w:val="none"/>
              </w:rPr>
            </w:pPr>
          </w:p>
          <w:p w14:paraId="039E934D">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bCs/>
                <w:szCs w:val="21"/>
                <w:highlight w:val="none"/>
              </w:rPr>
            </w:pPr>
          </w:p>
          <w:p w14:paraId="467E326E">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bCs/>
                <w:szCs w:val="21"/>
                <w:highlight w:val="none"/>
              </w:rPr>
            </w:pPr>
          </w:p>
          <w:p w14:paraId="26FA5156">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bCs/>
                <w:szCs w:val="21"/>
                <w:highlight w:val="none"/>
              </w:rPr>
            </w:pPr>
          </w:p>
          <w:p w14:paraId="31C9BDAC">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bCs/>
                <w:szCs w:val="21"/>
                <w:highlight w:val="none"/>
              </w:rPr>
            </w:pPr>
          </w:p>
          <w:p w14:paraId="779500B4">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bCs/>
                <w:szCs w:val="21"/>
                <w:highlight w:val="none"/>
              </w:rPr>
            </w:pPr>
          </w:p>
          <w:p w14:paraId="3817516B">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bCs/>
                <w:szCs w:val="21"/>
                <w:highlight w:val="none"/>
              </w:rPr>
            </w:pPr>
          </w:p>
          <w:p w14:paraId="27704420">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bCs/>
                <w:szCs w:val="21"/>
                <w:highlight w:val="none"/>
              </w:rPr>
            </w:pPr>
          </w:p>
          <w:p w14:paraId="2F3D5944">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bCs/>
                <w:szCs w:val="21"/>
                <w:highlight w:val="none"/>
              </w:rPr>
            </w:pPr>
          </w:p>
          <w:p w14:paraId="37D5B472">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bCs/>
                <w:szCs w:val="21"/>
                <w:highlight w:val="none"/>
              </w:rPr>
            </w:pPr>
          </w:p>
          <w:p w14:paraId="6CC31B56">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bCs/>
                <w:szCs w:val="21"/>
                <w:highlight w:val="none"/>
              </w:rPr>
            </w:pPr>
          </w:p>
          <w:p w14:paraId="60D628BD">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bCs/>
                <w:szCs w:val="21"/>
                <w:highlight w:val="none"/>
              </w:rPr>
            </w:pPr>
          </w:p>
          <w:p w14:paraId="2A5CB804">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bCs/>
                <w:szCs w:val="21"/>
                <w:highlight w:val="none"/>
              </w:rPr>
            </w:pPr>
          </w:p>
          <w:p w14:paraId="4B780701">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bCs/>
                <w:szCs w:val="21"/>
                <w:highlight w:val="none"/>
              </w:rPr>
            </w:pPr>
          </w:p>
          <w:p w14:paraId="03E2ECFE">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bCs/>
                <w:szCs w:val="21"/>
                <w:highlight w:val="none"/>
              </w:rPr>
            </w:pPr>
          </w:p>
          <w:p w14:paraId="7B29E538">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bCs/>
                <w:szCs w:val="21"/>
                <w:highlight w:val="none"/>
              </w:rPr>
            </w:pPr>
          </w:p>
          <w:p w14:paraId="69B961FC">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bCs/>
                <w:szCs w:val="21"/>
                <w:highlight w:val="none"/>
              </w:rPr>
            </w:pPr>
          </w:p>
          <w:p w14:paraId="2134A7EC">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bCs/>
                <w:szCs w:val="21"/>
                <w:highlight w:val="none"/>
              </w:rPr>
            </w:pPr>
          </w:p>
          <w:p w14:paraId="7E7C3B8B">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bCs/>
                <w:szCs w:val="21"/>
                <w:highlight w:val="none"/>
              </w:rPr>
            </w:pPr>
          </w:p>
          <w:p w14:paraId="1EE2C6F7">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bCs/>
                <w:szCs w:val="21"/>
                <w:highlight w:val="none"/>
              </w:rPr>
            </w:pPr>
          </w:p>
          <w:p w14:paraId="6EFE36BA">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bCs/>
                <w:szCs w:val="21"/>
                <w:highlight w:val="none"/>
              </w:rPr>
            </w:pPr>
          </w:p>
          <w:p w14:paraId="4E8C282A">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bCs/>
                <w:szCs w:val="21"/>
                <w:highlight w:val="none"/>
              </w:rPr>
            </w:pPr>
          </w:p>
          <w:p w14:paraId="395D6694">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bCs/>
                <w:szCs w:val="21"/>
                <w:highlight w:val="none"/>
              </w:rPr>
            </w:pPr>
          </w:p>
          <w:p w14:paraId="200845D5">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bCs/>
                <w:szCs w:val="21"/>
                <w:highlight w:val="none"/>
              </w:rPr>
            </w:pPr>
          </w:p>
          <w:p w14:paraId="2B20203B">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bCs/>
                <w:szCs w:val="21"/>
                <w:highlight w:val="none"/>
              </w:rPr>
            </w:pPr>
          </w:p>
          <w:p w14:paraId="5416E0EB">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bCs/>
                <w:szCs w:val="21"/>
                <w:highlight w:val="none"/>
              </w:rPr>
            </w:pPr>
          </w:p>
          <w:p w14:paraId="10721326">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bCs/>
                <w:szCs w:val="21"/>
                <w:highlight w:val="none"/>
              </w:rPr>
            </w:pPr>
          </w:p>
          <w:p w14:paraId="7D35E0BA">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bCs/>
                <w:szCs w:val="21"/>
                <w:highlight w:val="none"/>
              </w:rPr>
            </w:pPr>
          </w:p>
          <w:p w14:paraId="766672CD">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bCs/>
                <w:szCs w:val="21"/>
                <w:highlight w:val="none"/>
              </w:rPr>
            </w:pPr>
            <w:r>
              <w:rPr>
                <w:rFonts w:hint="eastAsia" w:ascii="Times New Roman" w:hAnsi="Times New Roman" w:eastAsia="宋体" w:cs="Times New Roman"/>
                <w:bCs/>
                <w:szCs w:val="21"/>
                <w:highlight w:val="none"/>
              </w:rPr>
              <w:t>运营</w:t>
            </w:r>
          </w:p>
          <w:p w14:paraId="2D733254">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bCs/>
                <w:szCs w:val="21"/>
                <w:highlight w:val="none"/>
              </w:rPr>
            </w:pPr>
            <w:r>
              <w:rPr>
                <w:rFonts w:hint="eastAsia" w:ascii="Times New Roman" w:hAnsi="Times New Roman" w:eastAsia="宋体" w:cs="Times New Roman"/>
                <w:bCs/>
                <w:szCs w:val="21"/>
                <w:highlight w:val="none"/>
              </w:rPr>
              <w:t>期环</w:t>
            </w:r>
          </w:p>
          <w:p w14:paraId="21B83F0A">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bCs/>
                <w:szCs w:val="21"/>
                <w:highlight w:val="none"/>
              </w:rPr>
            </w:pPr>
            <w:r>
              <w:rPr>
                <w:rFonts w:hint="eastAsia" w:ascii="Times New Roman" w:hAnsi="Times New Roman" w:eastAsia="宋体" w:cs="Times New Roman"/>
                <w:bCs/>
                <w:szCs w:val="21"/>
                <w:highlight w:val="none"/>
              </w:rPr>
              <w:t>境影</w:t>
            </w:r>
          </w:p>
          <w:p w14:paraId="06C79FF6">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bCs/>
                <w:szCs w:val="21"/>
                <w:highlight w:val="none"/>
              </w:rPr>
            </w:pPr>
            <w:r>
              <w:rPr>
                <w:rFonts w:hint="eastAsia" w:ascii="Times New Roman" w:hAnsi="Times New Roman" w:eastAsia="宋体" w:cs="Times New Roman"/>
                <w:bCs/>
                <w:szCs w:val="21"/>
                <w:highlight w:val="none"/>
              </w:rPr>
              <w:t>响和</w:t>
            </w:r>
          </w:p>
          <w:p w14:paraId="5DD16C8E">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bCs/>
                <w:szCs w:val="21"/>
                <w:highlight w:val="none"/>
              </w:rPr>
            </w:pPr>
            <w:r>
              <w:rPr>
                <w:rFonts w:hint="eastAsia" w:ascii="Times New Roman" w:hAnsi="Times New Roman" w:eastAsia="宋体" w:cs="Times New Roman"/>
                <w:bCs/>
                <w:szCs w:val="21"/>
                <w:highlight w:val="none"/>
              </w:rPr>
              <w:t>保护</w:t>
            </w:r>
          </w:p>
          <w:p w14:paraId="45DD322E">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bCs/>
                <w:szCs w:val="21"/>
                <w:highlight w:val="none"/>
              </w:rPr>
            </w:pPr>
            <w:r>
              <w:rPr>
                <w:rFonts w:hint="eastAsia" w:ascii="Times New Roman" w:hAnsi="Times New Roman" w:eastAsia="宋体" w:cs="Times New Roman"/>
                <w:bCs/>
                <w:szCs w:val="21"/>
                <w:highlight w:val="none"/>
              </w:rPr>
              <w:t>措施</w:t>
            </w:r>
          </w:p>
          <w:p w14:paraId="33A98C1A">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bCs/>
                <w:szCs w:val="21"/>
                <w:highlight w:val="none"/>
              </w:rPr>
            </w:pPr>
          </w:p>
          <w:p w14:paraId="4F3573ED">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bCs/>
                <w:szCs w:val="21"/>
                <w:highlight w:val="none"/>
              </w:rPr>
            </w:pPr>
          </w:p>
          <w:p w14:paraId="64A2793A">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bCs/>
                <w:szCs w:val="21"/>
                <w:highlight w:val="none"/>
              </w:rPr>
            </w:pPr>
          </w:p>
          <w:p w14:paraId="373A8A12">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bCs/>
                <w:szCs w:val="21"/>
                <w:highlight w:val="none"/>
              </w:rPr>
            </w:pPr>
          </w:p>
          <w:p w14:paraId="5586ECD3">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bCs/>
                <w:szCs w:val="21"/>
                <w:highlight w:val="none"/>
              </w:rPr>
            </w:pPr>
          </w:p>
          <w:p w14:paraId="6CCB80B4">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bCs/>
                <w:szCs w:val="21"/>
                <w:highlight w:val="none"/>
              </w:rPr>
            </w:pPr>
          </w:p>
          <w:p w14:paraId="3595433A">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bCs/>
                <w:szCs w:val="21"/>
                <w:highlight w:val="none"/>
              </w:rPr>
            </w:pPr>
          </w:p>
          <w:p w14:paraId="4FE664BA">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bCs/>
                <w:szCs w:val="21"/>
                <w:highlight w:val="none"/>
              </w:rPr>
            </w:pPr>
          </w:p>
          <w:p w14:paraId="7559000F">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bCs/>
                <w:szCs w:val="21"/>
                <w:highlight w:val="none"/>
              </w:rPr>
            </w:pPr>
          </w:p>
          <w:p w14:paraId="0362F123">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bCs/>
                <w:szCs w:val="21"/>
                <w:highlight w:val="none"/>
              </w:rPr>
            </w:pPr>
          </w:p>
          <w:p w14:paraId="5F640CDA">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bCs/>
                <w:szCs w:val="21"/>
                <w:highlight w:val="none"/>
              </w:rPr>
            </w:pPr>
          </w:p>
          <w:p w14:paraId="0C781435">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bCs/>
                <w:szCs w:val="21"/>
                <w:highlight w:val="none"/>
              </w:rPr>
            </w:pPr>
          </w:p>
          <w:p w14:paraId="6B332F72">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bCs/>
                <w:szCs w:val="21"/>
                <w:highlight w:val="none"/>
              </w:rPr>
            </w:pPr>
          </w:p>
          <w:p w14:paraId="61F0E782">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bCs/>
                <w:szCs w:val="21"/>
                <w:highlight w:val="none"/>
              </w:rPr>
            </w:pPr>
          </w:p>
          <w:p w14:paraId="73D18D2F">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bCs/>
                <w:szCs w:val="21"/>
                <w:highlight w:val="none"/>
              </w:rPr>
            </w:pPr>
          </w:p>
          <w:p w14:paraId="49AABB31">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bCs/>
                <w:szCs w:val="21"/>
                <w:highlight w:val="none"/>
              </w:rPr>
            </w:pPr>
          </w:p>
          <w:p w14:paraId="6BCB41C0">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bCs/>
                <w:szCs w:val="21"/>
                <w:highlight w:val="none"/>
              </w:rPr>
            </w:pPr>
          </w:p>
          <w:p w14:paraId="3E7C085C">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bCs/>
                <w:szCs w:val="21"/>
                <w:highlight w:val="none"/>
              </w:rPr>
            </w:pPr>
          </w:p>
          <w:p w14:paraId="54E77D80">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bCs/>
                <w:szCs w:val="21"/>
                <w:highlight w:val="none"/>
              </w:rPr>
            </w:pPr>
          </w:p>
          <w:p w14:paraId="503198DA">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bCs/>
                <w:szCs w:val="21"/>
                <w:highlight w:val="none"/>
              </w:rPr>
            </w:pPr>
          </w:p>
          <w:p w14:paraId="308D65BB">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bCs/>
                <w:szCs w:val="21"/>
                <w:highlight w:val="none"/>
              </w:rPr>
            </w:pPr>
          </w:p>
          <w:p w14:paraId="7C0A0F40">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bCs/>
                <w:szCs w:val="21"/>
                <w:highlight w:val="none"/>
              </w:rPr>
            </w:pPr>
          </w:p>
          <w:p w14:paraId="5DAE88C8">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bCs/>
                <w:szCs w:val="21"/>
                <w:highlight w:val="none"/>
              </w:rPr>
            </w:pPr>
          </w:p>
          <w:p w14:paraId="1F0F64F6">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bCs/>
                <w:szCs w:val="21"/>
                <w:highlight w:val="none"/>
              </w:rPr>
            </w:pPr>
          </w:p>
          <w:p w14:paraId="674CC308">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bCs/>
                <w:szCs w:val="21"/>
                <w:highlight w:val="none"/>
              </w:rPr>
            </w:pPr>
          </w:p>
          <w:p w14:paraId="27C1A1F1">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bCs/>
                <w:szCs w:val="21"/>
                <w:highlight w:val="none"/>
              </w:rPr>
            </w:pPr>
          </w:p>
          <w:p w14:paraId="255DB631">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bCs/>
                <w:szCs w:val="21"/>
                <w:highlight w:val="none"/>
              </w:rPr>
            </w:pPr>
          </w:p>
          <w:p w14:paraId="5EB82B89">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bCs/>
                <w:szCs w:val="21"/>
                <w:highlight w:val="none"/>
              </w:rPr>
            </w:pPr>
          </w:p>
          <w:p w14:paraId="158C9FFA">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bCs/>
                <w:szCs w:val="21"/>
                <w:highlight w:val="none"/>
              </w:rPr>
            </w:pPr>
          </w:p>
          <w:p w14:paraId="179EEB8A">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bCs/>
                <w:szCs w:val="21"/>
                <w:highlight w:val="none"/>
              </w:rPr>
            </w:pPr>
          </w:p>
          <w:p w14:paraId="26E7D0E9">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bCs/>
                <w:szCs w:val="21"/>
                <w:highlight w:val="none"/>
              </w:rPr>
            </w:pPr>
          </w:p>
          <w:p w14:paraId="17472822">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bCs/>
                <w:szCs w:val="21"/>
                <w:highlight w:val="none"/>
              </w:rPr>
            </w:pPr>
          </w:p>
          <w:p w14:paraId="2BD27EC9">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bCs/>
                <w:szCs w:val="21"/>
                <w:highlight w:val="none"/>
              </w:rPr>
            </w:pPr>
          </w:p>
          <w:p w14:paraId="02180A96">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bCs/>
                <w:szCs w:val="21"/>
                <w:highlight w:val="none"/>
              </w:rPr>
            </w:pPr>
          </w:p>
          <w:p w14:paraId="3164FB2F">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bCs/>
                <w:szCs w:val="21"/>
                <w:highlight w:val="none"/>
              </w:rPr>
            </w:pPr>
          </w:p>
          <w:p w14:paraId="51B2ED5B">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bCs/>
                <w:szCs w:val="21"/>
                <w:highlight w:val="none"/>
              </w:rPr>
            </w:pPr>
          </w:p>
          <w:p w14:paraId="17B8C5C4">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bCs/>
                <w:szCs w:val="21"/>
                <w:highlight w:val="none"/>
              </w:rPr>
            </w:pPr>
          </w:p>
          <w:p w14:paraId="30EFFE06">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bCs/>
                <w:szCs w:val="21"/>
                <w:highlight w:val="none"/>
              </w:rPr>
            </w:pPr>
          </w:p>
          <w:p w14:paraId="2FA238D9">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bCs/>
                <w:szCs w:val="21"/>
                <w:highlight w:val="none"/>
              </w:rPr>
            </w:pPr>
          </w:p>
          <w:p w14:paraId="6E51E4F3">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bCs/>
                <w:szCs w:val="21"/>
                <w:highlight w:val="none"/>
              </w:rPr>
            </w:pPr>
          </w:p>
          <w:p w14:paraId="6C18DB5E">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bCs/>
                <w:szCs w:val="21"/>
                <w:highlight w:val="none"/>
              </w:rPr>
            </w:pPr>
          </w:p>
          <w:p w14:paraId="06483195">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bCs/>
                <w:szCs w:val="21"/>
                <w:highlight w:val="none"/>
              </w:rPr>
            </w:pPr>
            <w:r>
              <w:rPr>
                <w:rFonts w:hint="eastAsia" w:ascii="Times New Roman" w:hAnsi="Times New Roman" w:eastAsia="宋体" w:cs="Times New Roman"/>
                <w:bCs/>
                <w:szCs w:val="21"/>
                <w:highlight w:val="none"/>
              </w:rPr>
              <w:t>运营</w:t>
            </w:r>
          </w:p>
          <w:p w14:paraId="1B4C2072">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bCs/>
                <w:szCs w:val="21"/>
                <w:highlight w:val="none"/>
              </w:rPr>
            </w:pPr>
            <w:r>
              <w:rPr>
                <w:rFonts w:hint="eastAsia" w:ascii="Times New Roman" w:hAnsi="Times New Roman" w:eastAsia="宋体" w:cs="Times New Roman"/>
                <w:bCs/>
                <w:szCs w:val="21"/>
                <w:highlight w:val="none"/>
              </w:rPr>
              <w:t>期环</w:t>
            </w:r>
          </w:p>
          <w:p w14:paraId="5AEBCF73">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bCs/>
                <w:szCs w:val="21"/>
                <w:highlight w:val="none"/>
              </w:rPr>
            </w:pPr>
            <w:r>
              <w:rPr>
                <w:rFonts w:hint="eastAsia" w:ascii="Times New Roman" w:hAnsi="Times New Roman" w:eastAsia="宋体" w:cs="Times New Roman"/>
                <w:bCs/>
                <w:szCs w:val="21"/>
                <w:highlight w:val="none"/>
              </w:rPr>
              <w:t>境影</w:t>
            </w:r>
          </w:p>
          <w:p w14:paraId="79514F03">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bCs/>
                <w:szCs w:val="21"/>
                <w:highlight w:val="none"/>
              </w:rPr>
            </w:pPr>
            <w:r>
              <w:rPr>
                <w:rFonts w:hint="eastAsia" w:ascii="Times New Roman" w:hAnsi="Times New Roman" w:eastAsia="宋体" w:cs="Times New Roman"/>
                <w:bCs/>
                <w:szCs w:val="21"/>
                <w:highlight w:val="none"/>
              </w:rPr>
              <w:t>响和</w:t>
            </w:r>
          </w:p>
          <w:p w14:paraId="6E0E1929">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bCs/>
                <w:szCs w:val="21"/>
                <w:highlight w:val="none"/>
              </w:rPr>
            </w:pPr>
            <w:r>
              <w:rPr>
                <w:rFonts w:hint="eastAsia" w:ascii="Times New Roman" w:hAnsi="Times New Roman" w:eastAsia="宋体" w:cs="Times New Roman"/>
                <w:bCs/>
                <w:szCs w:val="21"/>
                <w:highlight w:val="none"/>
              </w:rPr>
              <w:t>保护</w:t>
            </w:r>
          </w:p>
          <w:p w14:paraId="413C02C0">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bCs/>
                <w:szCs w:val="21"/>
                <w:highlight w:val="none"/>
              </w:rPr>
            </w:pPr>
            <w:r>
              <w:rPr>
                <w:rFonts w:hint="eastAsia" w:ascii="Times New Roman" w:hAnsi="Times New Roman" w:eastAsia="宋体" w:cs="Times New Roman"/>
                <w:bCs/>
                <w:szCs w:val="21"/>
                <w:highlight w:val="none"/>
              </w:rPr>
              <w:t>措施</w:t>
            </w:r>
          </w:p>
          <w:p w14:paraId="7CA46C8D">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bCs/>
                <w:szCs w:val="21"/>
                <w:highlight w:val="none"/>
              </w:rPr>
            </w:pPr>
          </w:p>
          <w:p w14:paraId="1EECF756">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bCs/>
                <w:szCs w:val="21"/>
                <w:highlight w:val="none"/>
              </w:rPr>
            </w:pPr>
          </w:p>
          <w:p w14:paraId="0268AC93">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bCs/>
                <w:szCs w:val="21"/>
                <w:highlight w:val="none"/>
              </w:rPr>
            </w:pPr>
          </w:p>
          <w:p w14:paraId="613240B1">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bCs/>
                <w:szCs w:val="21"/>
                <w:highlight w:val="none"/>
              </w:rPr>
            </w:pPr>
          </w:p>
          <w:p w14:paraId="2CF5CDC2">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bCs/>
                <w:szCs w:val="21"/>
                <w:highlight w:val="none"/>
              </w:rPr>
            </w:pPr>
          </w:p>
          <w:p w14:paraId="66C7ED27">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bCs/>
                <w:szCs w:val="21"/>
                <w:highlight w:val="none"/>
              </w:rPr>
            </w:pPr>
          </w:p>
          <w:p w14:paraId="660A7818">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bCs/>
                <w:szCs w:val="21"/>
                <w:highlight w:val="none"/>
              </w:rPr>
            </w:pPr>
          </w:p>
          <w:p w14:paraId="65044E0C">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bCs/>
                <w:szCs w:val="21"/>
                <w:highlight w:val="none"/>
              </w:rPr>
            </w:pPr>
          </w:p>
          <w:p w14:paraId="3D39BDFE">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bCs/>
                <w:szCs w:val="21"/>
                <w:highlight w:val="none"/>
              </w:rPr>
            </w:pPr>
          </w:p>
          <w:p w14:paraId="3094071E">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bCs/>
                <w:szCs w:val="21"/>
                <w:highlight w:val="none"/>
              </w:rPr>
            </w:pPr>
          </w:p>
          <w:p w14:paraId="502393D9">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bCs/>
                <w:szCs w:val="21"/>
                <w:highlight w:val="none"/>
              </w:rPr>
            </w:pPr>
          </w:p>
          <w:p w14:paraId="06F7D413">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bCs/>
                <w:szCs w:val="21"/>
                <w:highlight w:val="none"/>
              </w:rPr>
            </w:pPr>
          </w:p>
          <w:p w14:paraId="1594C1BF">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bCs/>
                <w:szCs w:val="21"/>
                <w:highlight w:val="none"/>
              </w:rPr>
            </w:pPr>
          </w:p>
          <w:p w14:paraId="4B89312F">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bCs/>
                <w:szCs w:val="21"/>
                <w:highlight w:val="none"/>
              </w:rPr>
            </w:pPr>
          </w:p>
          <w:p w14:paraId="23660723">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bCs/>
                <w:szCs w:val="21"/>
                <w:highlight w:val="none"/>
              </w:rPr>
            </w:pPr>
          </w:p>
          <w:p w14:paraId="78E30C00">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bCs/>
                <w:szCs w:val="21"/>
                <w:highlight w:val="none"/>
              </w:rPr>
            </w:pPr>
          </w:p>
          <w:p w14:paraId="0ABB5804">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bCs/>
                <w:szCs w:val="21"/>
                <w:highlight w:val="none"/>
              </w:rPr>
            </w:pPr>
          </w:p>
          <w:p w14:paraId="446DF427">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bCs/>
                <w:szCs w:val="21"/>
                <w:highlight w:val="none"/>
              </w:rPr>
            </w:pPr>
          </w:p>
          <w:p w14:paraId="79FD4E17">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bCs/>
                <w:szCs w:val="21"/>
                <w:highlight w:val="none"/>
              </w:rPr>
            </w:pPr>
          </w:p>
          <w:p w14:paraId="39C5646B">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bCs/>
                <w:szCs w:val="21"/>
                <w:highlight w:val="none"/>
              </w:rPr>
            </w:pPr>
          </w:p>
          <w:p w14:paraId="0B0C09FB">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bCs/>
                <w:szCs w:val="21"/>
                <w:highlight w:val="none"/>
              </w:rPr>
            </w:pPr>
          </w:p>
          <w:p w14:paraId="5E2DE594">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bCs/>
                <w:szCs w:val="21"/>
                <w:highlight w:val="none"/>
              </w:rPr>
            </w:pPr>
          </w:p>
          <w:p w14:paraId="73D8BC23">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bCs/>
                <w:szCs w:val="21"/>
                <w:highlight w:val="none"/>
              </w:rPr>
            </w:pPr>
          </w:p>
          <w:p w14:paraId="3E4FE116">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bCs/>
                <w:szCs w:val="21"/>
                <w:highlight w:val="none"/>
              </w:rPr>
            </w:pPr>
          </w:p>
          <w:p w14:paraId="6E418368">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bCs/>
                <w:szCs w:val="21"/>
                <w:highlight w:val="none"/>
              </w:rPr>
            </w:pPr>
          </w:p>
          <w:p w14:paraId="172B816B">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bCs/>
                <w:szCs w:val="21"/>
                <w:highlight w:val="none"/>
              </w:rPr>
            </w:pPr>
          </w:p>
          <w:p w14:paraId="3D92F40B">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bCs/>
                <w:szCs w:val="21"/>
                <w:highlight w:val="none"/>
              </w:rPr>
            </w:pPr>
          </w:p>
          <w:p w14:paraId="3D92BFB0">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bCs/>
                <w:szCs w:val="21"/>
                <w:highlight w:val="none"/>
              </w:rPr>
            </w:pPr>
          </w:p>
          <w:p w14:paraId="6ACA2C2C">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bCs/>
                <w:szCs w:val="21"/>
                <w:highlight w:val="none"/>
              </w:rPr>
            </w:pPr>
          </w:p>
          <w:p w14:paraId="1051143C">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bCs/>
                <w:szCs w:val="21"/>
                <w:highlight w:val="none"/>
              </w:rPr>
            </w:pPr>
          </w:p>
          <w:p w14:paraId="0749DC86">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bCs/>
                <w:szCs w:val="21"/>
                <w:highlight w:val="none"/>
              </w:rPr>
            </w:pPr>
          </w:p>
          <w:p w14:paraId="5DB5C287">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bCs/>
                <w:szCs w:val="21"/>
                <w:highlight w:val="none"/>
              </w:rPr>
            </w:pPr>
          </w:p>
          <w:p w14:paraId="4D2DFA0A">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bCs/>
                <w:szCs w:val="21"/>
                <w:highlight w:val="none"/>
              </w:rPr>
            </w:pPr>
          </w:p>
          <w:p w14:paraId="42EAA6EA">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bCs/>
                <w:szCs w:val="21"/>
                <w:highlight w:val="none"/>
              </w:rPr>
            </w:pPr>
          </w:p>
          <w:p w14:paraId="64DA9822">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bCs/>
                <w:szCs w:val="21"/>
                <w:highlight w:val="none"/>
              </w:rPr>
            </w:pPr>
          </w:p>
          <w:p w14:paraId="1C7632DD">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bCs/>
                <w:szCs w:val="21"/>
                <w:highlight w:val="none"/>
              </w:rPr>
            </w:pPr>
          </w:p>
          <w:p w14:paraId="16C9B1BF">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bCs/>
                <w:szCs w:val="21"/>
                <w:highlight w:val="none"/>
              </w:rPr>
            </w:pPr>
          </w:p>
          <w:p w14:paraId="4B8F3354">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bCs/>
                <w:szCs w:val="21"/>
                <w:highlight w:val="none"/>
              </w:rPr>
            </w:pPr>
          </w:p>
          <w:p w14:paraId="766B75F1">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bCs/>
                <w:szCs w:val="21"/>
                <w:highlight w:val="none"/>
              </w:rPr>
            </w:pPr>
          </w:p>
          <w:p w14:paraId="6685D705">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bCs/>
                <w:szCs w:val="21"/>
                <w:highlight w:val="none"/>
              </w:rPr>
            </w:pPr>
          </w:p>
          <w:p w14:paraId="7BF4FB7D">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bCs/>
                <w:szCs w:val="21"/>
                <w:highlight w:val="none"/>
              </w:rPr>
            </w:pPr>
          </w:p>
          <w:p w14:paraId="0936024B">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bCs/>
                <w:szCs w:val="21"/>
                <w:highlight w:val="none"/>
              </w:rPr>
            </w:pPr>
            <w:r>
              <w:rPr>
                <w:rFonts w:hint="eastAsia" w:ascii="Times New Roman" w:hAnsi="Times New Roman" w:eastAsia="宋体" w:cs="Times New Roman"/>
                <w:bCs/>
                <w:szCs w:val="21"/>
                <w:highlight w:val="none"/>
              </w:rPr>
              <w:t>运营</w:t>
            </w:r>
          </w:p>
          <w:p w14:paraId="68329DF4">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bCs/>
                <w:szCs w:val="21"/>
                <w:highlight w:val="none"/>
              </w:rPr>
            </w:pPr>
            <w:r>
              <w:rPr>
                <w:rFonts w:hint="eastAsia" w:ascii="Times New Roman" w:hAnsi="Times New Roman" w:eastAsia="宋体" w:cs="Times New Roman"/>
                <w:bCs/>
                <w:szCs w:val="21"/>
                <w:highlight w:val="none"/>
              </w:rPr>
              <w:t>期环</w:t>
            </w:r>
          </w:p>
          <w:p w14:paraId="4ED7EF3A">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bCs/>
                <w:szCs w:val="21"/>
                <w:highlight w:val="none"/>
              </w:rPr>
            </w:pPr>
            <w:r>
              <w:rPr>
                <w:rFonts w:hint="eastAsia" w:ascii="Times New Roman" w:hAnsi="Times New Roman" w:eastAsia="宋体" w:cs="Times New Roman"/>
                <w:bCs/>
                <w:szCs w:val="21"/>
                <w:highlight w:val="none"/>
              </w:rPr>
              <w:t>境影</w:t>
            </w:r>
          </w:p>
          <w:p w14:paraId="3314205D">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bCs/>
                <w:szCs w:val="21"/>
                <w:highlight w:val="none"/>
              </w:rPr>
            </w:pPr>
            <w:r>
              <w:rPr>
                <w:rFonts w:hint="eastAsia" w:ascii="Times New Roman" w:hAnsi="Times New Roman" w:eastAsia="宋体" w:cs="Times New Roman"/>
                <w:bCs/>
                <w:szCs w:val="21"/>
                <w:highlight w:val="none"/>
              </w:rPr>
              <w:t>响和</w:t>
            </w:r>
          </w:p>
          <w:p w14:paraId="4ABDD168">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bCs/>
                <w:szCs w:val="21"/>
                <w:highlight w:val="none"/>
              </w:rPr>
            </w:pPr>
            <w:r>
              <w:rPr>
                <w:rFonts w:hint="eastAsia" w:ascii="Times New Roman" w:hAnsi="Times New Roman" w:eastAsia="宋体" w:cs="Times New Roman"/>
                <w:bCs/>
                <w:szCs w:val="21"/>
                <w:highlight w:val="none"/>
              </w:rPr>
              <w:t>保护</w:t>
            </w:r>
          </w:p>
          <w:p w14:paraId="795478B8">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bCs/>
                <w:szCs w:val="21"/>
                <w:highlight w:val="none"/>
              </w:rPr>
            </w:pPr>
            <w:r>
              <w:rPr>
                <w:rFonts w:hint="eastAsia" w:ascii="Times New Roman" w:hAnsi="Times New Roman" w:eastAsia="宋体" w:cs="Times New Roman"/>
                <w:bCs/>
                <w:szCs w:val="21"/>
                <w:highlight w:val="none"/>
              </w:rPr>
              <w:t>措施</w:t>
            </w:r>
          </w:p>
          <w:p w14:paraId="732F7204">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bCs/>
                <w:szCs w:val="21"/>
                <w:highlight w:val="none"/>
              </w:rPr>
            </w:pPr>
          </w:p>
          <w:p w14:paraId="7EF33616">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bCs/>
                <w:szCs w:val="21"/>
                <w:highlight w:val="none"/>
              </w:rPr>
            </w:pPr>
          </w:p>
          <w:p w14:paraId="684C17CD">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bCs/>
                <w:szCs w:val="21"/>
                <w:highlight w:val="none"/>
              </w:rPr>
            </w:pPr>
          </w:p>
          <w:p w14:paraId="4E0E1341">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bCs/>
                <w:szCs w:val="21"/>
                <w:highlight w:val="none"/>
              </w:rPr>
            </w:pPr>
          </w:p>
          <w:p w14:paraId="39C8C1AA">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bCs/>
                <w:szCs w:val="21"/>
                <w:highlight w:val="none"/>
              </w:rPr>
            </w:pPr>
          </w:p>
          <w:p w14:paraId="357267E5">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bCs/>
                <w:szCs w:val="21"/>
                <w:highlight w:val="none"/>
              </w:rPr>
            </w:pPr>
          </w:p>
          <w:p w14:paraId="4E99755E">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bCs/>
                <w:szCs w:val="21"/>
                <w:highlight w:val="none"/>
              </w:rPr>
            </w:pPr>
          </w:p>
          <w:p w14:paraId="5EE474F8">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bCs/>
                <w:szCs w:val="21"/>
                <w:highlight w:val="none"/>
              </w:rPr>
            </w:pPr>
          </w:p>
          <w:p w14:paraId="2C0F1D2C">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bCs/>
                <w:szCs w:val="21"/>
                <w:highlight w:val="none"/>
              </w:rPr>
            </w:pPr>
          </w:p>
          <w:p w14:paraId="057EC530">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bCs/>
                <w:szCs w:val="21"/>
                <w:highlight w:val="none"/>
              </w:rPr>
            </w:pPr>
          </w:p>
          <w:p w14:paraId="135D855E">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bCs/>
                <w:szCs w:val="21"/>
                <w:highlight w:val="none"/>
              </w:rPr>
            </w:pPr>
          </w:p>
          <w:p w14:paraId="38A18043">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bCs/>
                <w:szCs w:val="21"/>
                <w:highlight w:val="none"/>
              </w:rPr>
            </w:pPr>
          </w:p>
          <w:p w14:paraId="440187CF">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bCs/>
                <w:szCs w:val="21"/>
                <w:highlight w:val="none"/>
              </w:rPr>
            </w:pPr>
          </w:p>
          <w:p w14:paraId="156E7E18">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bCs/>
                <w:szCs w:val="21"/>
                <w:highlight w:val="none"/>
              </w:rPr>
            </w:pPr>
          </w:p>
          <w:p w14:paraId="637CAA2E">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bCs/>
                <w:szCs w:val="21"/>
                <w:highlight w:val="none"/>
              </w:rPr>
            </w:pPr>
          </w:p>
          <w:p w14:paraId="31B0D25B">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bCs/>
                <w:szCs w:val="21"/>
                <w:highlight w:val="none"/>
              </w:rPr>
            </w:pPr>
          </w:p>
          <w:p w14:paraId="3393889F">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bCs/>
                <w:szCs w:val="21"/>
                <w:highlight w:val="none"/>
              </w:rPr>
            </w:pPr>
          </w:p>
          <w:p w14:paraId="5D0D2003">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bCs/>
                <w:szCs w:val="21"/>
                <w:highlight w:val="none"/>
              </w:rPr>
            </w:pPr>
          </w:p>
          <w:p w14:paraId="32975E64">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bCs/>
                <w:szCs w:val="21"/>
                <w:highlight w:val="none"/>
              </w:rPr>
            </w:pPr>
          </w:p>
          <w:p w14:paraId="7B559C0C">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bCs/>
                <w:szCs w:val="21"/>
                <w:highlight w:val="none"/>
              </w:rPr>
            </w:pPr>
          </w:p>
          <w:p w14:paraId="5D943805">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bCs/>
                <w:szCs w:val="21"/>
                <w:highlight w:val="none"/>
              </w:rPr>
            </w:pPr>
          </w:p>
          <w:p w14:paraId="38370BE6">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bCs/>
                <w:szCs w:val="21"/>
                <w:highlight w:val="none"/>
              </w:rPr>
            </w:pPr>
          </w:p>
          <w:p w14:paraId="293E9476">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bCs/>
                <w:szCs w:val="21"/>
                <w:highlight w:val="none"/>
              </w:rPr>
            </w:pPr>
          </w:p>
          <w:p w14:paraId="41D964D9">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bCs/>
                <w:szCs w:val="21"/>
                <w:highlight w:val="none"/>
              </w:rPr>
            </w:pPr>
          </w:p>
          <w:p w14:paraId="134C4CB8">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bCs/>
                <w:szCs w:val="21"/>
                <w:highlight w:val="none"/>
              </w:rPr>
            </w:pPr>
          </w:p>
          <w:p w14:paraId="1B484BD4">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bCs/>
                <w:szCs w:val="21"/>
                <w:highlight w:val="none"/>
              </w:rPr>
            </w:pPr>
          </w:p>
          <w:p w14:paraId="10BE4A56">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bCs/>
                <w:szCs w:val="21"/>
                <w:highlight w:val="none"/>
              </w:rPr>
            </w:pPr>
          </w:p>
          <w:p w14:paraId="40644275">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bCs/>
                <w:szCs w:val="21"/>
                <w:highlight w:val="none"/>
              </w:rPr>
            </w:pPr>
          </w:p>
          <w:p w14:paraId="73EA1A3A">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bCs/>
                <w:szCs w:val="21"/>
                <w:highlight w:val="none"/>
              </w:rPr>
            </w:pPr>
          </w:p>
          <w:p w14:paraId="3C5896F2">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bCs/>
                <w:szCs w:val="21"/>
                <w:highlight w:val="none"/>
              </w:rPr>
            </w:pPr>
          </w:p>
          <w:p w14:paraId="62798595">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bCs/>
                <w:szCs w:val="21"/>
                <w:highlight w:val="none"/>
              </w:rPr>
            </w:pPr>
          </w:p>
          <w:p w14:paraId="610867F3">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bCs/>
                <w:szCs w:val="21"/>
                <w:highlight w:val="none"/>
              </w:rPr>
            </w:pPr>
          </w:p>
          <w:p w14:paraId="3C48ABF1">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bCs/>
                <w:szCs w:val="21"/>
                <w:highlight w:val="none"/>
              </w:rPr>
            </w:pPr>
          </w:p>
          <w:p w14:paraId="58563ADA">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bCs/>
                <w:szCs w:val="21"/>
                <w:highlight w:val="none"/>
              </w:rPr>
            </w:pPr>
          </w:p>
          <w:p w14:paraId="4BD76DEE">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bCs/>
                <w:szCs w:val="21"/>
                <w:highlight w:val="none"/>
              </w:rPr>
            </w:pPr>
          </w:p>
          <w:p w14:paraId="58827ECA">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bCs/>
                <w:szCs w:val="21"/>
                <w:highlight w:val="none"/>
              </w:rPr>
            </w:pPr>
          </w:p>
          <w:p w14:paraId="52328230">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bCs/>
                <w:szCs w:val="21"/>
                <w:highlight w:val="none"/>
              </w:rPr>
            </w:pPr>
          </w:p>
          <w:p w14:paraId="26384A0B">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bCs/>
                <w:szCs w:val="21"/>
                <w:highlight w:val="none"/>
              </w:rPr>
            </w:pPr>
          </w:p>
          <w:p w14:paraId="2C8E1E8C">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bCs/>
                <w:szCs w:val="21"/>
                <w:highlight w:val="none"/>
              </w:rPr>
            </w:pPr>
          </w:p>
          <w:p w14:paraId="72A1A981">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bCs/>
                <w:szCs w:val="21"/>
                <w:highlight w:val="none"/>
              </w:rPr>
            </w:pPr>
          </w:p>
          <w:p w14:paraId="036092D1">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bCs/>
                <w:szCs w:val="21"/>
                <w:highlight w:val="none"/>
              </w:rPr>
            </w:pPr>
          </w:p>
          <w:p w14:paraId="4378943D">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bCs/>
                <w:szCs w:val="21"/>
                <w:highlight w:val="none"/>
              </w:rPr>
            </w:pPr>
            <w:r>
              <w:rPr>
                <w:rFonts w:hint="eastAsia" w:ascii="Times New Roman" w:hAnsi="Times New Roman" w:eastAsia="宋体" w:cs="Times New Roman"/>
                <w:bCs/>
                <w:szCs w:val="21"/>
                <w:highlight w:val="none"/>
              </w:rPr>
              <w:t>运营</w:t>
            </w:r>
          </w:p>
          <w:p w14:paraId="1E8A0E1F">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bCs/>
                <w:szCs w:val="21"/>
                <w:highlight w:val="none"/>
              </w:rPr>
            </w:pPr>
            <w:r>
              <w:rPr>
                <w:rFonts w:hint="eastAsia" w:ascii="Times New Roman" w:hAnsi="Times New Roman" w:eastAsia="宋体" w:cs="Times New Roman"/>
                <w:bCs/>
                <w:szCs w:val="21"/>
                <w:highlight w:val="none"/>
              </w:rPr>
              <w:t>期环</w:t>
            </w:r>
          </w:p>
          <w:p w14:paraId="4D165F80">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bCs/>
                <w:szCs w:val="21"/>
                <w:highlight w:val="none"/>
              </w:rPr>
            </w:pPr>
            <w:r>
              <w:rPr>
                <w:rFonts w:hint="eastAsia" w:ascii="Times New Roman" w:hAnsi="Times New Roman" w:eastAsia="宋体" w:cs="Times New Roman"/>
                <w:bCs/>
                <w:szCs w:val="21"/>
                <w:highlight w:val="none"/>
              </w:rPr>
              <w:t>境影</w:t>
            </w:r>
          </w:p>
          <w:p w14:paraId="0D60AB2C">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bCs/>
                <w:szCs w:val="21"/>
                <w:highlight w:val="none"/>
              </w:rPr>
            </w:pPr>
            <w:r>
              <w:rPr>
                <w:rFonts w:hint="eastAsia" w:ascii="Times New Roman" w:hAnsi="Times New Roman" w:eastAsia="宋体" w:cs="Times New Roman"/>
                <w:bCs/>
                <w:szCs w:val="21"/>
                <w:highlight w:val="none"/>
              </w:rPr>
              <w:t>响和</w:t>
            </w:r>
          </w:p>
          <w:p w14:paraId="48D3CE4A">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bCs/>
                <w:szCs w:val="21"/>
                <w:highlight w:val="none"/>
              </w:rPr>
            </w:pPr>
            <w:r>
              <w:rPr>
                <w:rFonts w:hint="eastAsia" w:ascii="Times New Roman" w:hAnsi="Times New Roman" w:eastAsia="宋体" w:cs="Times New Roman"/>
                <w:bCs/>
                <w:szCs w:val="21"/>
                <w:highlight w:val="none"/>
              </w:rPr>
              <w:t>保护</w:t>
            </w:r>
          </w:p>
          <w:p w14:paraId="0BADA79B">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bCs/>
                <w:szCs w:val="21"/>
                <w:highlight w:val="none"/>
              </w:rPr>
            </w:pPr>
            <w:r>
              <w:rPr>
                <w:rFonts w:hint="eastAsia" w:ascii="Times New Roman" w:hAnsi="Times New Roman" w:eastAsia="宋体" w:cs="Times New Roman"/>
                <w:bCs/>
                <w:szCs w:val="21"/>
                <w:highlight w:val="none"/>
              </w:rPr>
              <w:t>措施</w:t>
            </w:r>
          </w:p>
          <w:p w14:paraId="707F854D">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bCs/>
                <w:szCs w:val="21"/>
                <w:highlight w:val="none"/>
              </w:rPr>
            </w:pPr>
          </w:p>
          <w:p w14:paraId="211BC91A">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bCs/>
                <w:szCs w:val="21"/>
                <w:highlight w:val="none"/>
              </w:rPr>
            </w:pPr>
          </w:p>
          <w:p w14:paraId="26B85856">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bCs/>
                <w:szCs w:val="21"/>
                <w:highlight w:val="none"/>
              </w:rPr>
            </w:pPr>
          </w:p>
          <w:p w14:paraId="05872EF6">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bCs/>
                <w:szCs w:val="21"/>
                <w:highlight w:val="none"/>
              </w:rPr>
            </w:pPr>
          </w:p>
          <w:p w14:paraId="49C4F269">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bCs/>
                <w:szCs w:val="21"/>
                <w:highlight w:val="none"/>
              </w:rPr>
            </w:pPr>
          </w:p>
          <w:p w14:paraId="7B932422">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bCs/>
                <w:szCs w:val="21"/>
                <w:highlight w:val="none"/>
              </w:rPr>
            </w:pPr>
          </w:p>
          <w:p w14:paraId="3BCECDCB">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bCs/>
                <w:szCs w:val="21"/>
                <w:highlight w:val="none"/>
              </w:rPr>
            </w:pPr>
          </w:p>
          <w:p w14:paraId="256207A5">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bCs/>
                <w:szCs w:val="21"/>
                <w:highlight w:val="none"/>
              </w:rPr>
            </w:pPr>
          </w:p>
          <w:p w14:paraId="70258EE2">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bCs/>
                <w:szCs w:val="21"/>
                <w:highlight w:val="none"/>
              </w:rPr>
            </w:pPr>
          </w:p>
          <w:p w14:paraId="2CEE3982">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bCs/>
                <w:szCs w:val="21"/>
                <w:highlight w:val="none"/>
              </w:rPr>
            </w:pPr>
          </w:p>
          <w:p w14:paraId="753549ED">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bCs/>
                <w:szCs w:val="21"/>
                <w:highlight w:val="none"/>
              </w:rPr>
            </w:pPr>
          </w:p>
          <w:p w14:paraId="66B07E15">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bCs/>
                <w:szCs w:val="21"/>
                <w:highlight w:val="none"/>
              </w:rPr>
            </w:pPr>
          </w:p>
          <w:p w14:paraId="0910D8CF">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bCs/>
                <w:szCs w:val="21"/>
                <w:highlight w:val="none"/>
              </w:rPr>
            </w:pPr>
          </w:p>
          <w:p w14:paraId="63BDBAED">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bCs/>
                <w:szCs w:val="21"/>
                <w:highlight w:val="none"/>
              </w:rPr>
            </w:pPr>
          </w:p>
          <w:p w14:paraId="435FD7A0">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bCs/>
                <w:szCs w:val="21"/>
                <w:highlight w:val="none"/>
              </w:rPr>
            </w:pPr>
          </w:p>
          <w:p w14:paraId="127DD74B">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bCs/>
                <w:szCs w:val="21"/>
                <w:highlight w:val="none"/>
              </w:rPr>
            </w:pPr>
          </w:p>
          <w:p w14:paraId="786D999A">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bCs/>
                <w:szCs w:val="21"/>
                <w:highlight w:val="none"/>
              </w:rPr>
            </w:pPr>
          </w:p>
          <w:p w14:paraId="2FBA7DE5">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bCs/>
                <w:szCs w:val="21"/>
                <w:highlight w:val="none"/>
              </w:rPr>
            </w:pPr>
          </w:p>
          <w:p w14:paraId="2875B779">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bCs/>
                <w:szCs w:val="21"/>
                <w:highlight w:val="none"/>
              </w:rPr>
            </w:pPr>
          </w:p>
          <w:p w14:paraId="5C0984B5">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bCs/>
                <w:szCs w:val="21"/>
                <w:highlight w:val="none"/>
              </w:rPr>
            </w:pPr>
          </w:p>
          <w:p w14:paraId="1A50BEE0">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bCs/>
                <w:szCs w:val="21"/>
                <w:highlight w:val="none"/>
              </w:rPr>
            </w:pPr>
          </w:p>
          <w:p w14:paraId="1210BC04">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bCs/>
                <w:szCs w:val="21"/>
                <w:highlight w:val="none"/>
              </w:rPr>
            </w:pPr>
          </w:p>
          <w:p w14:paraId="46F14B51">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bCs/>
                <w:szCs w:val="21"/>
                <w:highlight w:val="none"/>
              </w:rPr>
            </w:pPr>
          </w:p>
          <w:p w14:paraId="5F65BDE0">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bCs/>
                <w:szCs w:val="21"/>
                <w:highlight w:val="none"/>
              </w:rPr>
            </w:pPr>
          </w:p>
          <w:p w14:paraId="767CED6C">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bCs/>
                <w:szCs w:val="21"/>
                <w:highlight w:val="none"/>
              </w:rPr>
            </w:pPr>
          </w:p>
          <w:p w14:paraId="4D6DA479">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bCs/>
                <w:szCs w:val="21"/>
                <w:highlight w:val="none"/>
              </w:rPr>
            </w:pPr>
          </w:p>
          <w:p w14:paraId="2FE39149">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bCs/>
                <w:szCs w:val="21"/>
                <w:highlight w:val="none"/>
              </w:rPr>
            </w:pPr>
          </w:p>
          <w:p w14:paraId="191A5B86">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bCs/>
                <w:szCs w:val="21"/>
                <w:highlight w:val="none"/>
              </w:rPr>
            </w:pPr>
          </w:p>
          <w:p w14:paraId="2C3FCBD7">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bCs/>
                <w:szCs w:val="21"/>
                <w:highlight w:val="none"/>
              </w:rPr>
            </w:pPr>
          </w:p>
          <w:p w14:paraId="6AF98CA6">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bCs/>
                <w:szCs w:val="21"/>
                <w:highlight w:val="none"/>
              </w:rPr>
            </w:pPr>
          </w:p>
          <w:p w14:paraId="60B3E1D4">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bCs/>
                <w:szCs w:val="21"/>
                <w:highlight w:val="none"/>
              </w:rPr>
            </w:pPr>
          </w:p>
          <w:p w14:paraId="5DD8C373">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bCs/>
                <w:szCs w:val="21"/>
                <w:highlight w:val="none"/>
              </w:rPr>
            </w:pPr>
          </w:p>
          <w:p w14:paraId="58BBD980">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bCs/>
                <w:szCs w:val="21"/>
                <w:highlight w:val="none"/>
              </w:rPr>
            </w:pPr>
          </w:p>
          <w:p w14:paraId="59DAF023">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bCs/>
                <w:szCs w:val="21"/>
                <w:highlight w:val="none"/>
              </w:rPr>
            </w:pPr>
          </w:p>
          <w:p w14:paraId="6D2DD6BD">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bCs/>
                <w:szCs w:val="21"/>
                <w:highlight w:val="none"/>
              </w:rPr>
            </w:pPr>
          </w:p>
          <w:p w14:paraId="1BF494EF">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bCs/>
                <w:szCs w:val="21"/>
                <w:highlight w:val="none"/>
              </w:rPr>
            </w:pPr>
          </w:p>
          <w:p w14:paraId="2A8982C1">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bCs/>
                <w:szCs w:val="21"/>
                <w:highlight w:val="none"/>
              </w:rPr>
            </w:pPr>
          </w:p>
          <w:p w14:paraId="210AA724">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bCs/>
                <w:szCs w:val="21"/>
                <w:highlight w:val="none"/>
              </w:rPr>
            </w:pPr>
          </w:p>
          <w:p w14:paraId="347E888F">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bCs/>
                <w:szCs w:val="21"/>
                <w:highlight w:val="none"/>
              </w:rPr>
            </w:pPr>
          </w:p>
          <w:p w14:paraId="0614E602">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bCs/>
                <w:szCs w:val="21"/>
                <w:highlight w:val="none"/>
              </w:rPr>
            </w:pPr>
          </w:p>
          <w:p w14:paraId="7845812D">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bCs/>
                <w:szCs w:val="21"/>
                <w:highlight w:val="none"/>
              </w:rPr>
            </w:pPr>
          </w:p>
          <w:p w14:paraId="35069BA1">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bCs/>
                <w:szCs w:val="21"/>
                <w:highlight w:val="none"/>
              </w:rPr>
            </w:pPr>
            <w:r>
              <w:rPr>
                <w:rFonts w:hint="eastAsia" w:ascii="Times New Roman" w:hAnsi="Times New Roman" w:eastAsia="宋体" w:cs="Times New Roman"/>
                <w:bCs/>
                <w:szCs w:val="21"/>
                <w:highlight w:val="none"/>
              </w:rPr>
              <w:t>运营</w:t>
            </w:r>
          </w:p>
          <w:p w14:paraId="6ADED9C6">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bCs/>
                <w:szCs w:val="21"/>
                <w:highlight w:val="none"/>
              </w:rPr>
            </w:pPr>
            <w:r>
              <w:rPr>
                <w:rFonts w:hint="eastAsia" w:ascii="Times New Roman" w:hAnsi="Times New Roman" w:eastAsia="宋体" w:cs="Times New Roman"/>
                <w:bCs/>
                <w:szCs w:val="21"/>
                <w:highlight w:val="none"/>
              </w:rPr>
              <w:t>期环</w:t>
            </w:r>
          </w:p>
          <w:p w14:paraId="38DBF563">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bCs/>
                <w:szCs w:val="21"/>
                <w:highlight w:val="none"/>
              </w:rPr>
            </w:pPr>
            <w:r>
              <w:rPr>
                <w:rFonts w:hint="eastAsia" w:ascii="Times New Roman" w:hAnsi="Times New Roman" w:eastAsia="宋体" w:cs="Times New Roman"/>
                <w:bCs/>
                <w:szCs w:val="21"/>
                <w:highlight w:val="none"/>
              </w:rPr>
              <w:t>境影</w:t>
            </w:r>
          </w:p>
          <w:p w14:paraId="09066027">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bCs/>
                <w:szCs w:val="21"/>
                <w:highlight w:val="none"/>
              </w:rPr>
            </w:pPr>
            <w:r>
              <w:rPr>
                <w:rFonts w:hint="eastAsia" w:ascii="Times New Roman" w:hAnsi="Times New Roman" w:eastAsia="宋体" w:cs="Times New Roman"/>
                <w:bCs/>
                <w:szCs w:val="21"/>
                <w:highlight w:val="none"/>
              </w:rPr>
              <w:t>响和</w:t>
            </w:r>
          </w:p>
          <w:p w14:paraId="4A41D1A4">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bCs/>
                <w:szCs w:val="21"/>
                <w:highlight w:val="none"/>
              </w:rPr>
            </w:pPr>
            <w:r>
              <w:rPr>
                <w:rFonts w:hint="eastAsia" w:ascii="Times New Roman" w:hAnsi="Times New Roman" w:eastAsia="宋体" w:cs="Times New Roman"/>
                <w:bCs/>
                <w:szCs w:val="21"/>
                <w:highlight w:val="none"/>
              </w:rPr>
              <w:t>保护</w:t>
            </w:r>
          </w:p>
          <w:p w14:paraId="2CE4BB18">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bCs/>
                <w:szCs w:val="21"/>
                <w:highlight w:val="none"/>
              </w:rPr>
            </w:pPr>
            <w:r>
              <w:rPr>
                <w:rFonts w:hint="eastAsia" w:ascii="Times New Roman" w:hAnsi="Times New Roman" w:eastAsia="宋体" w:cs="Times New Roman"/>
                <w:bCs/>
                <w:szCs w:val="21"/>
                <w:highlight w:val="none"/>
              </w:rPr>
              <w:t>措施</w:t>
            </w:r>
          </w:p>
          <w:p w14:paraId="7B6FCF08">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bCs/>
                <w:szCs w:val="21"/>
                <w:highlight w:val="none"/>
              </w:rPr>
            </w:pPr>
          </w:p>
          <w:p w14:paraId="4881E11B">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bCs/>
                <w:szCs w:val="21"/>
                <w:highlight w:val="none"/>
              </w:rPr>
            </w:pPr>
          </w:p>
          <w:p w14:paraId="0C9140C8">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bCs/>
                <w:szCs w:val="21"/>
                <w:highlight w:val="none"/>
              </w:rPr>
            </w:pPr>
          </w:p>
          <w:p w14:paraId="24A69A0D">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bCs/>
                <w:szCs w:val="21"/>
                <w:highlight w:val="none"/>
              </w:rPr>
            </w:pPr>
          </w:p>
          <w:p w14:paraId="4193DE54">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bCs/>
                <w:szCs w:val="21"/>
                <w:highlight w:val="none"/>
              </w:rPr>
            </w:pPr>
          </w:p>
          <w:p w14:paraId="7400A7F0">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bCs/>
                <w:szCs w:val="21"/>
                <w:highlight w:val="none"/>
              </w:rPr>
            </w:pPr>
          </w:p>
          <w:p w14:paraId="38202C22">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bCs/>
                <w:szCs w:val="21"/>
                <w:highlight w:val="none"/>
              </w:rPr>
            </w:pPr>
          </w:p>
          <w:p w14:paraId="7FF5EEAD">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bCs/>
                <w:szCs w:val="21"/>
                <w:highlight w:val="none"/>
              </w:rPr>
            </w:pPr>
          </w:p>
          <w:p w14:paraId="2DA2302C">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bCs/>
                <w:szCs w:val="21"/>
                <w:highlight w:val="none"/>
              </w:rPr>
            </w:pPr>
          </w:p>
          <w:p w14:paraId="4859BFDE">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bCs/>
                <w:szCs w:val="21"/>
                <w:highlight w:val="none"/>
              </w:rPr>
            </w:pPr>
          </w:p>
          <w:p w14:paraId="5D05E4E8">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bCs/>
                <w:szCs w:val="21"/>
                <w:highlight w:val="none"/>
              </w:rPr>
            </w:pPr>
          </w:p>
          <w:p w14:paraId="52F2D291">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bCs/>
                <w:szCs w:val="21"/>
                <w:highlight w:val="none"/>
              </w:rPr>
            </w:pPr>
          </w:p>
          <w:p w14:paraId="11798073">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bCs/>
                <w:szCs w:val="21"/>
                <w:highlight w:val="none"/>
              </w:rPr>
            </w:pPr>
          </w:p>
          <w:p w14:paraId="56D1BE4E">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bCs/>
                <w:szCs w:val="21"/>
                <w:highlight w:val="none"/>
              </w:rPr>
            </w:pPr>
          </w:p>
          <w:p w14:paraId="3D734AFE">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bCs/>
                <w:szCs w:val="21"/>
                <w:highlight w:val="none"/>
              </w:rPr>
            </w:pPr>
          </w:p>
          <w:p w14:paraId="0E0471B6">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bCs/>
                <w:szCs w:val="21"/>
                <w:highlight w:val="none"/>
              </w:rPr>
            </w:pPr>
          </w:p>
          <w:p w14:paraId="37B6D0D1">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bCs/>
                <w:szCs w:val="21"/>
                <w:highlight w:val="none"/>
              </w:rPr>
            </w:pPr>
          </w:p>
          <w:p w14:paraId="04AA3F70">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bCs/>
                <w:szCs w:val="21"/>
                <w:highlight w:val="none"/>
              </w:rPr>
            </w:pPr>
          </w:p>
          <w:p w14:paraId="0A01C8B8">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bCs/>
                <w:szCs w:val="21"/>
                <w:highlight w:val="none"/>
              </w:rPr>
            </w:pPr>
          </w:p>
          <w:p w14:paraId="2BBD73F9">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bCs/>
                <w:szCs w:val="21"/>
                <w:highlight w:val="none"/>
              </w:rPr>
            </w:pPr>
          </w:p>
          <w:p w14:paraId="32686FB4">
            <w:pPr>
              <w:keepNext w:val="0"/>
              <w:keepLines w:val="0"/>
              <w:suppressLineNumbers w:val="0"/>
              <w:adjustRightInd w:val="0"/>
              <w:snapToGrid w:val="0"/>
              <w:spacing w:before="0" w:beforeAutospacing="0" w:after="0" w:afterAutospacing="0"/>
              <w:ind w:left="0" w:right="0"/>
              <w:rPr>
                <w:rFonts w:hint="default" w:ascii="Times New Roman" w:hAnsi="Times New Roman" w:eastAsia="宋体" w:cs="Times New Roman"/>
                <w:bCs/>
                <w:szCs w:val="21"/>
                <w:highlight w:val="none"/>
              </w:rPr>
            </w:pPr>
          </w:p>
        </w:tc>
        <w:tc>
          <w:tcPr>
            <w:tcW w:w="4689" w:type="pct"/>
            <w:vAlign w:val="center"/>
          </w:tcPr>
          <w:p w14:paraId="44F9D08C">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356" w:lineRule="auto"/>
              <w:ind w:left="0" w:right="0"/>
              <w:textAlignment w:val="auto"/>
              <w:rPr>
                <w:rFonts w:hint="default" w:ascii="Times New Roman" w:hAnsi="Times New Roman" w:eastAsia="宋体" w:cs="Times New Roman"/>
                <w:b/>
                <w:bCs/>
                <w:spacing w:val="-10"/>
                <w:highlight w:val="none"/>
                <w:lang w:val="en-US" w:eastAsia="zh-CN"/>
              </w:rPr>
            </w:pPr>
            <w:r>
              <w:rPr>
                <w:rFonts w:hint="eastAsia" w:ascii="Times New Roman" w:hAnsi="Times New Roman" w:eastAsia="宋体" w:cs="Times New Roman"/>
                <w:b/>
                <w:bCs/>
                <w:spacing w:val="-10"/>
                <w:highlight w:val="none"/>
                <w:lang w:val="en-US" w:eastAsia="zh-CN"/>
              </w:rPr>
              <w:t>1、废气</w:t>
            </w:r>
          </w:p>
          <w:p w14:paraId="012DF5D1">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356" w:lineRule="auto"/>
              <w:ind w:left="0" w:right="0" w:firstLine="480" w:firstLineChars="200"/>
              <w:textAlignment w:val="auto"/>
              <w:rPr>
                <w:rFonts w:hint="eastAsia" w:ascii="Times New Roman" w:hAnsi="Times New Roman" w:eastAsia="宋体" w:cs="Times New Roman"/>
                <w:kern w:val="0"/>
                <w:sz w:val="24"/>
                <w:highlight w:val="none"/>
              </w:rPr>
            </w:pPr>
            <w:r>
              <w:rPr>
                <w:rFonts w:hint="eastAsia" w:ascii="Times New Roman" w:hAnsi="Times New Roman" w:eastAsia="宋体" w:cs="Times New Roman"/>
                <w:kern w:val="0"/>
                <w:sz w:val="24"/>
                <w:highlight w:val="none"/>
              </w:rPr>
              <w:t>具体见文本最后第七章大气环境专项评价。</w:t>
            </w:r>
          </w:p>
          <w:p w14:paraId="7BA7946E">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356" w:lineRule="auto"/>
              <w:ind w:left="0" w:right="0" w:firstLine="480" w:firstLineChars="200"/>
              <w:textAlignment w:val="auto"/>
              <w:rPr>
                <w:rFonts w:hint="eastAsia" w:ascii="Times New Roman" w:hAnsi="Times New Roman" w:eastAsia="宋体" w:cs="Times New Roman"/>
                <w:kern w:val="0"/>
                <w:sz w:val="24"/>
                <w:highlight w:val="none"/>
              </w:rPr>
            </w:pPr>
            <w:r>
              <w:rPr>
                <w:rFonts w:hint="eastAsia" w:ascii="Times New Roman" w:hAnsi="Times New Roman" w:eastAsia="宋体" w:cs="Times New Roman"/>
                <w:kern w:val="0"/>
                <w:sz w:val="24"/>
                <w:highlight w:val="none"/>
              </w:rPr>
              <w:t>根据大气环境专项评价，主要结论如下：</w:t>
            </w:r>
          </w:p>
          <w:p w14:paraId="34FD7FD0">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356" w:lineRule="auto"/>
              <w:ind w:left="0" w:right="0" w:firstLine="480" w:firstLineChars="200"/>
              <w:jc w:val="left"/>
              <w:textAlignment w:val="auto"/>
              <w:rPr>
                <w:rFonts w:hint="eastAsia" w:ascii="Times New Roman" w:hAnsi="Times New Roman" w:eastAsia="宋体" w:cs="Times New Roman"/>
                <w:sz w:val="24"/>
                <w:highlight w:val="none"/>
              </w:rPr>
            </w:pPr>
            <w:r>
              <w:rPr>
                <w:rFonts w:hint="eastAsia" w:ascii="Times New Roman" w:hAnsi="Times New Roman" w:eastAsia="宋体" w:cs="Times New Roman"/>
                <w:sz w:val="24"/>
                <w:highlight w:val="none"/>
                <w:lang w:val="en-US" w:eastAsia="zh-CN"/>
              </w:rPr>
              <w:t>根据</w:t>
            </w:r>
            <w:r>
              <w:rPr>
                <w:rFonts w:hint="eastAsia" w:ascii="Times New Roman" w:hAnsi="Times New Roman" w:eastAsia="宋体" w:cs="Times New Roman"/>
                <w:sz w:val="24"/>
                <w:highlight w:val="none"/>
              </w:rPr>
              <w:t>202</w:t>
            </w:r>
            <w:r>
              <w:rPr>
                <w:rFonts w:hint="eastAsia" w:cs="Times New Roman"/>
                <w:sz w:val="24"/>
                <w:highlight w:val="none"/>
                <w:lang w:val="en-US" w:eastAsia="zh-CN"/>
              </w:rPr>
              <w:t>3</w:t>
            </w:r>
            <w:r>
              <w:rPr>
                <w:rFonts w:hint="eastAsia" w:ascii="Times New Roman" w:hAnsi="Times New Roman" w:eastAsia="宋体" w:cs="Times New Roman"/>
                <w:sz w:val="24"/>
                <w:highlight w:val="none"/>
              </w:rPr>
              <w:t>年</w:t>
            </w:r>
            <w:r>
              <w:rPr>
                <w:rFonts w:hint="eastAsia" w:ascii="Times New Roman" w:hAnsi="Times New Roman" w:eastAsia="宋体" w:cs="Times New Roman"/>
                <w:sz w:val="24"/>
                <w:highlight w:val="none"/>
                <w:lang w:val="en-US" w:eastAsia="zh-CN"/>
              </w:rPr>
              <w:t>衢州市环境质量概要</w:t>
            </w:r>
            <w:r>
              <w:rPr>
                <w:rFonts w:hint="eastAsia" w:ascii="Times New Roman" w:hAnsi="Times New Roman" w:eastAsia="宋体" w:cs="Times New Roman"/>
                <w:sz w:val="24"/>
                <w:highlight w:val="none"/>
              </w:rPr>
              <w:t>，项目所在区域属于达标区。</w:t>
            </w:r>
          </w:p>
          <w:p w14:paraId="795877DC">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356" w:lineRule="auto"/>
              <w:ind w:left="0" w:right="0" w:firstLine="480" w:firstLineChars="200"/>
              <w:textAlignment w:val="auto"/>
              <w:rPr>
                <w:rFonts w:hint="eastAsia" w:ascii="Times New Roman" w:hAnsi="Times New Roman" w:eastAsia="宋体" w:cs="Times New Roman"/>
                <w:sz w:val="24"/>
                <w:highlight w:val="none"/>
                <w:lang w:val="en-US" w:eastAsia="zh-CN"/>
              </w:rPr>
            </w:pPr>
            <w:r>
              <w:rPr>
                <w:rFonts w:hint="eastAsia" w:ascii="Times New Roman" w:hAnsi="Times New Roman" w:eastAsia="宋体" w:cs="Times New Roman"/>
                <w:sz w:val="24"/>
                <w:highlight w:val="none"/>
              </w:rPr>
              <w:t>根据分析，本项目实施后实验动物中心一层动物饲养区域恶臭气体和污水处理站恶臭气体一并经收集后引入溶液空调自带喷淋除臭装置处理后通过30m高排气筒（DA001）高空排放</w:t>
            </w:r>
            <w:r>
              <w:rPr>
                <w:rFonts w:hint="eastAsia" w:cs="Times New Roman"/>
                <w:sz w:val="24"/>
                <w:highlight w:val="none"/>
                <w:lang w:eastAsia="zh-CN"/>
              </w:rPr>
              <w:t>，</w:t>
            </w:r>
            <w:r>
              <w:rPr>
                <w:rFonts w:hint="eastAsia" w:cs="Times New Roman"/>
                <w:sz w:val="24"/>
                <w:highlight w:val="none"/>
                <w:lang w:val="en-US" w:eastAsia="zh-CN"/>
              </w:rPr>
              <w:t>其他楼层</w:t>
            </w:r>
            <w:r>
              <w:rPr>
                <w:rFonts w:hint="eastAsia" w:ascii="Times New Roman" w:hAnsi="Times New Roman" w:eastAsia="宋体" w:cs="Times New Roman"/>
                <w:sz w:val="24"/>
                <w:highlight w:val="none"/>
                <w:lang w:val="en-US" w:eastAsia="zh-CN"/>
              </w:rPr>
              <w:t>动物饲养废气收集后经</w:t>
            </w:r>
            <w:r>
              <w:rPr>
                <w:rFonts w:hint="eastAsia" w:cs="Times New Roman"/>
                <w:sz w:val="24"/>
                <w:highlight w:val="none"/>
                <w:lang w:val="en-US" w:eastAsia="zh-CN"/>
              </w:rPr>
              <w:t>2</w:t>
            </w:r>
            <w:r>
              <w:rPr>
                <w:rFonts w:hint="eastAsia" w:ascii="Times New Roman" w:hAnsi="Times New Roman" w:eastAsia="宋体" w:cs="Times New Roman"/>
                <w:sz w:val="24"/>
                <w:highlight w:val="none"/>
                <w:lang w:val="en-US" w:eastAsia="zh-CN"/>
              </w:rPr>
              <w:t>套溶液空调自带喷淋除臭装置</w:t>
            </w:r>
            <w:r>
              <w:rPr>
                <w:rFonts w:hint="eastAsia" w:cs="Times New Roman"/>
                <w:sz w:val="24"/>
                <w:highlight w:val="none"/>
                <w:lang w:val="en-US" w:eastAsia="zh-CN"/>
              </w:rPr>
              <w:t>和</w:t>
            </w:r>
            <w:r>
              <w:rPr>
                <w:rFonts w:hint="eastAsia" w:ascii="Times New Roman" w:hAnsi="Times New Roman" w:eastAsia="宋体" w:cs="Times New Roman"/>
                <w:sz w:val="24"/>
                <w:highlight w:val="none"/>
                <w:lang w:val="en-US" w:eastAsia="zh-CN"/>
              </w:rPr>
              <w:t>2套一体扰流喷淋除臭装置处理后分别通过</w:t>
            </w:r>
            <w:r>
              <w:rPr>
                <w:rFonts w:hint="eastAsia" w:cs="Times New Roman"/>
                <w:sz w:val="24"/>
                <w:highlight w:val="none"/>
                <w:lang w:val="en-US" w:eastAsia="zh-CN"/>
              </w:rPr>
              <w:t>4</w:t>
            </w:r>
            <w:r>
              <w:rPr>
                <w:rFonts w:hint="eastAsia" w:ascii="Times New Roman" w:hAnsi="Times New Roman" w:eastAsia="宋体" w:cs="Times New Roman"/>
                <w:sz w:val="24"/>
                <w:highlight w:val="none"/>
                <w:lang w:val="en-US" w:eastAsia="zh-CN"/>
              </w:rPr>
              <w:t>根30m高排气筒排放（DA00</w:t>
            </w:r>
            <w:r>
              <w:rPr>
                <w:rFonts w:hint="eastAsia" w:cs="Times New Roman"/>
                <w:sz w:val="24"/>
                <w:highlight w:val="none"/>
                <w:lang w:val="en-US" w:eastAsia="zh-CN"/>
              </w:rPr>
              <w:t>2</w:t>
            </w:r>
            <w:r>
              <w:rPr>
                <w:rFonts w:hint="eastAsia" w:ascii="Times New Roman" w:hAnsi="Times New Roman" w:eastAsia="宋体" w:cs="Times New Roman"/>
                <w:sz w:val="24"/>
                <w:highlight w:val="none"/>
                <w:lang w:val="en-US" w:eastAsia="zh-CN"/>
              </w:rPr>
              <w:t>~DA005），可达到《恶臭污染物排放标准》（GB14554-93）表2标</w:t>
            </w:r>
            <w:r>
              <w:rPr>
                <w:rFonts w:hint="eastAsia" w:ascii="Times New Roman" w:hAnsi="Times New Roman" w:eastAsia="宋体" w:cs="Times New Roman"/>
                <w:sz w:val="24"/>
                <w:highlight w:val="none"/>
              </w:rPr>
              <w:t>准</w:t>
            </w:r>
            <w:r>
              <w:rPr>
                <w:rFonts w:hint="eastAsia" w:cs="Times New Roman"/>
                <w:sz w:val="24"/>
                <w:highlight w:val="none"/>
                <w:lang w:val="en-US" w:eastAsia="zh-CN"/>
              </w:rPr>
              <w:t>和</w:t>
            </w:r>
            <w:r>
              <w:rPr>
                <w:rFonts w:hint="eastAsia" w:ascii="Times New Roman" w:hAnsi="Times New Roman" w:eastAsia="宋体" w:cs="Times New Roman"/>
                <w:sz w:val="24"/>
                <w:highlight w:val="none"/>
                <w:lang w:val="en-US" w:eastAsia="zh-CN"/>
              </w:rPr>
              <w:t>《</w:t>
            </w:r>
            <w:r>
              <w:rPr>
                <w:rFonts w:hint="eastAsia"/>
                <w:kern w:val="0"/>
                <w:sz w:val="24"/>
                <w:szCs w:val="24"/>
                <w:highlight w:val="none"/>
              </w:rPr>
              <w:t>大气污染物综合排放标准》（GB16297-1996）中表2中的二级标准</w:t>
            </w:r>
            <w:r>
              <w:rPr>
                <w:rFonts w:hint="eastAsia" w:ascii="Times New Roman" w:hAnsi="Times New Roman" w:eastAsia="宋体" w:cs="Times New Roman"/>
                <w:sz w:val="24"/>
                <w:highlight w:val="none"/>
                <w:lang w:eastAsia="zh-CN"/>
              </w:rPr>
              <w:t>；</w:t>
            </w:r>
          </w:p>
          <w:p w14:paraId="72A0164F">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356" w:lineRule="auto"/>
              <w:ind w:left="0" w:right="0" w:firstLine="480" w:firstLineChars="200"/>
              <w:textAlignment w:val="auto"/>
              <w:rPr>
                <w:rFonts w:hint="eastAsia" w:ascii="Times New Roman" w:hAnsi="Times New Roman" w:eastAsia="宋体" w:cs="Times New Roman"/>
                <w:sz w:val="24"/>
                <w:highlight w:val="none"/>
                <w:lang w:val="en-US" w:eastAsia="zh-CN"/>
              </w:rPr>
            </w:pPr>
            <w:r>
              <w:rPr>
                <w:rFonts w:hint="eastAsia" w:ascii="Times New Roman" w:hAnsi="Times New Roman" w:eastAsia="宋体" w:cs="Times New Roman"/>
                <w:sz w:val="24"/>
                <w:highlight w:val="none"/>
                <w:lang w:val="en-US" w:eastAsia="zh-CN"/>
              </w:rPr>
              <w:t>实验动物中心一层复苏室、准备室、手术室等区域消毒废气经收集后引入活性炭吸附装置处理后通过30m高排气筒（DA006）高空排放，废气风量为2453m</w:t>
            </w:r>
            <w:r>
              <w:rPr>
                <w:rFonts w:hint="eastAsia" w:ascii="Times New Roman" w:hAnsi="Times New Roman" w:eastAsia="宋体" w:cs="Times New Roman"/>
                <w:sz w:val="24"/>
                <w:highlight w:val="none"/>
                <w:vertAlign w:val="superscript"/>
                <w:lang w:val="en-US" w:eastAsia="zh-CN"/>
              </w:rPr>
              <w:t>3</w:t>
            </w:r>
            <w:r>
              <w:rPr>
                <w:rFonts w:hint="eastAsia" w:ascii="Times New Roman" w:hAnsi="Times New Roman" w:eastAsia="宋体" w:cs="Times New Roman"/>
                <w:sz w:val="24"/>
                <w:highlight w:val="none"/>
                <w:lang w:val="en-US" w:eastAsia="zh-CN"/>
              </w:rPr>
              <w:t>/h</w:t>
            </w:r>
            <w:r>
              <w:rPr>
                <w:rFonts w:hint="eastAsia" w:cs="Times New Roman"/>
                <w:sz w:val="24"/>
                <w:highlight w:val="none"/>
                <w:lang w:val="en-US" w:eastAsia="zh-CN"/>
              </w:rPr>
              <w:t>；</w:t>
            </w:r>
            <w:r>
              <w:rPr>
                <w:rFonts w:hint="eastAsia" w:ascii="Times New Roman" w:hAnsi="Times New Roman" w:eastAsia="宋体" w:cs="Times New Roman"/>
                <w:sz w:val="24"/>
                <w:highlight w:val="none"/>
                <w:lang w:val="en-US" w:eastAsia="zh-CN"/>
              </w:rPr>
              <w:t>二层洗消室、准备间、解剖室等区域消毒废气以及二层解剖室解剖废气经活性炭吸附装置处理后通过30m高排气筒（DA007）高空排放，废气风量为14900m</w:t>
            </w:r>
            <w:r>
              <w:rPr>
                <w:rFonts w:hint="eastAsia" w:ascii="Times New Roman" w:hAnsi="Times New Roman" w:eastAsia="宋体" w:cs="Times New Roman"/>
                <w:sz w:val="24"/>
                <w:highlight w:val="none"/>
                <w:vertAlign w:val="superscript"/>
                <w:lang w:val="en-US" w:eastAsia="zh-CN"/>
              </w:rPr>
              <w:t>3</w:t>
            </w:r>
            <w:r>
              <w:rPr>
                <w:rFonts w:hint="eastAsia" w:ascii="Times New Roman" w:hAnsi="Times New Roman" w:eastAsia="宋体" w:cs="Times New Roman"/>
                <w:sz w:val="24"/>
                <w:highlight w:val="none"/>
                <w:lang w:val="en-US" w:eastAsia="zh-CN"/>
              </w:rPr>
              <w:t>/h</w:t>
            </w:r>
            <w:r>
              <w:rPr>
                <w:rFonts w:hint="eastAsia" w:cs="Times New Roman"/>
                <w:sz w:val="24"/>
                <w:highlight w:val="none"/>
                <w:lang w:val="en-US" w:eastAsia="zh-CN"/>
              </w:rPr>
              <w:t>；</w:t>
            </w:r>
            <w:r>
              <w:rPr>
                <w:rFonts w:hint="eastAsia" w:ascii="Times New Roman" w:hAnsi="Times New Roman" w:eastAsia="宋体" w:cs="Times New Roman"/>
                <w:sz w:val="24"/>
                <w:highlight w:val="none"/>
                <w:lang w:val="en-US" w:eastAsia="zh-CN"/>
              </w:rPr>
              <w:t>三层普通实验区域消毒废气经活性炭吸附装置处理后通过30m高排气筒（DA008）高空排放，废气风量为</w:t>
            </w:r>
            <w:r>
              <w:rPr>
                <w:rFonts w:hint="eastAsia" w:cs="Times New Roman"/>
                <w:sz w:val="24"/>
                <w:highlight w:val="none"/>
                <w:lang w:val="en-US" w:eastAsia="zh-CN"/>
              </w:rPr>
              <w:t>83</w:t>
            </w:r>
            <w:r>
              <w:rPr>
                <w:rFonts w:hint="eastAsia" w:ascii="Times New Roman" w:hAnsi="Times New Roman" w:eastAsia="宋体" w:cs="Times New Roman"/>
                <w:sz w:val="24"/>
                <w:highlight w:val="none"/>
                <w:lang w:val="en-US" w:eastAsia="zh-CN"/>
              </w:rPr>
              <w:t>70m</w:t>
            </w:r>
            <w:r>
              <w:rPr>
                <w:rFonts w:hint="eastAsia" w:ascii="Times New Roman" w:hAnsi="Times New Roman" w:eastAsia="宋体" w:cs="Times New Roman"/>
                <w:sz w:val="24"/>
                <w:highlight w:val="none"/>
                <w:vertAlign w:val="superscript"/>
                <w:lang w:val="en-US" w:eastAsia="zh-CN"/>
              </w:rPr>
              <w:t>3</w:t>
            </w:r>
            <w:r>
              <w:rPr>
                <w:rFonts w:hint="eastAsia" w:ascii="Times New Roman" w:hAnsi="Times New Roman" w:eastAsia="宋体" w:cs="Times New Roman"/>
                <w:sz w:val="24"/>
                <w:highlight w:val="none"/>
                <w:lang w:val="en-US" w:eastAsia="zh-CN"/>
              </w:rPr>
              <w:t>/h</w:t>
            </w:r>
            <w:r>
              <w:rPr>
                <w:rFonts w:hint="eastAsia" w:cs="Times New Roman"/>
                <w:sz w:val="24"/>
                <w:highlight w:val="none"/>
                <w:lang w:val="en-US" w:eastAsia="zh-CN"/>
              </w:rPr>
              <w:t>；</w:t>
            </w:r>
            <w:r>
              <w:rPr>
                <w:rFonts w:hint="eastAsia" w:ascii="Times New Roman" w:hAnsi="Times New Roman" w:eastAsia="宋体" w:cs="Times New Roman"/>
                <w:sz w:val="24"/>
                <w:highlight w:val="none"/>
                <w:lang w:val="en-US" w:eastAsia="zh-CN"/>
              </w:rPr>
              <w:t>三层外准备间、解剖室等区域消毒废气以及解剖废气经活性炭吸附装置处理后通过30m高排气筒（DA009）高空排放，废气风量为7820m</w:t>
            </w:r>
            <w:r>
              <w:rPr>
                <w:rFonts w:hint="eastAsia" w:ascii="Times New Roman" w:hAnsi="Times New Roman" w:eastAsia="宋体" w:cs="Times New Roman"/>
                <w:sz w:val="24"/>
                <w:highlight w:val="none"/>
                <w:vertAlign w:val="superscript"/>
                <w:lang w:val="en-US" w:eastAsia="zh-CN"/>
              </w:rPr>
              <w:t>3</w:t>
            </w:r>
            <w:r>
              <w:rPr>
                <w:rFonts w:hint="eastAsia" w:ascii="Times New Roman" w:hAnsi="Times New Roman" w:eastAsia="宋体" w:cs="Times New Roman"/>
                <w:sz w:val="24"/>
                <w:highlight w:val="none"/>
                <w:lang w:val="en-US" w:eastAsia="zh-CN"/>
              </w:rPr>
              <w:t>/h</w:t>
            </w:r>
            <w:r>
              <w:rPr>
                <w:rFonts w:hint="eastAsia" w:cs="Times New Roman"/>
                <w:sz w:val="24"/>
                <w:highlight w:val="none"/>
                <w:lang w:val="en-US" w:eastAsia="zh-CN"/>
              </w:rPr>
              <w:t>；</w:t>
            </w:r>
            <w:r>
              <w:rPr>
                <w:rFonts w:hint="eastAsia" w:ascii="Times New Roman" w:hAnsi="Times New Roman" w:eastAsia="宋体" w:cs="Times New Roman"/>
                <w:sz w:val="24"/>
                <w:highlight w:val="none"/>
                <w:lang w:val="en-US" w:eastAsia="zh-CN"/>
              </w:rPr>
              <w:t>一层危废暂存间</w:t>
            </w:r>
            <w:r>
              <w:rPr>
                <w:rFonts w:hint="eastAsia" w:cs="Times New Roman"/>
                <w:sz w:val="24"/>
                <w:highlight w:val="none"/>
                <w:lang w:val="en-US" w:eastAsia="zh-CN"/>
              </w:rPr>
              <w:t>、一般固废暂存间</w:t>
            </w:r>
            <w:r>
              <w:rPr>
                <w:rFonts w:hint="eastAsia" w:ascii="Times New Roman" w:hAnsi="Times New Roman" w:eastAsia="宋体" w:cs="Times New Roman"/>
                <w:sz w:val="24"/>
                <w:highlight w:val="none"/>
                <w:lang w:val="en-US" w:eastAsia="zh-CN"/>
              </w:rPr>
              <w:t>废气以及一层解剖室解剖废气经活性炭吸附装置处理后通过30m高排气筒（DA010）高空排放，废气风量为6000m</w:t>
            </w:r>
            <w:r>
              <w:rPr>
                <w:rFonts w:hint="eastAsia" w:ascii="Times New Roman" w:hAnsi="Times New Roman" w:eastAsia="宋体" w:cs="Times New Roman"/>
                <w:sz w:val="24"/>
                <w:highlight w:val="none"/>
                <w:vertAlign w:val="superscript"/>
                <w:lang w:val="en-US" w:eastAsia="zh-CN"/>
              </w:rPr>
              <w:t>3</w:t>
            </w:r>
            <w:r>
              <w:rPr>
                <w:rFonts w:hint="eastAsia" w:ascii="Times New Roman" w:hAnsi="Times New Roman" w:eastAsia="宋体" w:cs="Times New Roman"/>
                <w:sz w:val="24"/>
                <w:highlight w:val="none"/>
                <w:lang w:val="en-US" w:eastAsia="zh-CN"/>
              </w:rPr>
              <w:t>/h。</w:t>
            </w:r>
          </w:p>
          <w:p w14:paraId="6039DC5C">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356" w:lineRule="auto"/>
              <w:ind w:left="0" w:right="0" w:firstLine="480" w:firstLineChars="200"/>
              <w:textAlignment w:val="auto"/>
              <w:rPr>
                <w:rFonts w:hint="eastAsia" w:ascii="Times New Roman" w:hAnsi="Times New Roman" w:eastAsia="宋体" w:cs="Times New Roman"/>
                <w:sz w:val="24"/>
                <w:highlight w:val="none"/>
                <w:lang w:val="en-US" w:eastAsia="zh-CN"/>
              </w:rPr>
            </w:pPr>
            <w:r>
              <w:rPr>
                <w:rFonts w:hint="eastAsia" w:ascii="Times New Roman" w:hAnsi="Times New Roman" w:eastAsia="宋体" w:cs="Times New Roman"/>
                <w:sz w:val="24"/>
                <w:highlight w:val="none"/>
                <w:lang w:val="en-US" w:eastAsia="zh-CN"/>
              </w:rPr>
              <w:t>科创综合楼废气经收集后引入9套活性炭吸附装置处理后通过9根40m高排气筒（DA011-DA019）高空排放，废气风量分别为</w:t>
            </w:r>
            <w:r>
              <w:rPr>
                <w:rFonts w:hint="eastAsia" w:cs="Times New Roman"/>
                <w:sz w:val="24"/>
                <w:szCs w:val="24"/>
                <w:highlight w:val="none"/>
                <w:lang w:val="en-US" w:eastAsia="zh-CN"/>
              </w:rPr>
              <w:t>1505</w:t>
            </w:r>
            <w:r>
              <w:rPr>
                <w:rFonts w:hint="eastAsia" w:ascii="Times New Roman" w:hAnsi="Times New Roman" w:eastAsia="宋体" w:cs="Times New Roman"/>
                <w:sz w:val="24"/>
                <w:szCs w:val="24"/>
                <w:highlight w:val="none"/>
                <w:lang w:val="en-US" w:eastAsia="zh-CN"/>
              </w:rPr>
              <w:t>0</w:t>
            </w:r>
            <w:r>
              <w:rPr>
                <w:rFonts w:hint="eastAsia" w:ascii="Times New Roman" w:hAnsi="Times New Roman" w:eastAsia="宋体" w:cs="Times New Roman"/>
                <w:color w:val="auto"/>
                <w:sz w:val="24"/>
                <w:szCs w:val="24"/>
                <w:highlight w:val="none"/>
                <w:lang w:val="en-US" w:eastAsia="zh-CN"/>
              </w:rPr>
              <w:t>m</w:t>
            </w:r>
            <w:r>
              <w:rPr>
                <w:rFonts w:hint="eastAsia" w:ascii="Times New Roman" w:hAnsi="Times New Roman" w:eastAsia="宋体" w:cs="Times New Roman"/>
                <w:color w:val="auto"/>
                <w:sz w:val="24"/>
                <w:szCs w:val="24"/>
                <w:highlight w:val="none"/>
                <w:vertAlign w:val="superscript"/>
                <w:lang w:val="en-US" w:eastAsia="zh-CN"/>
              </w:rPr>
              <w:t>3</w:t>
            </w:r>
            <w:r>
              <w:rPr>
                <w:rFonts w:hint="eastAsia" w:ascii="Times New Roman" w:hAnsi="Times New Roman" w:eastAsia="宋体" w:cs="Times New Roman"/>
                <w:color w:val="auto"/>
                <w:sz w:val="24"/>
                <w:szCs w:val="24"/>
                <w:highlight w:val="none"/>
                <w:lang w:val="en-US" w:eastAsia="zh-CN"/>
              </w:rPr>
              <w:t>/h</w:t>
            </w:r>
            <w:r>
              <w:rPr>
                <w:rFonts w:hint="eastAsia" w:ascii="Times New Roman" w:hAnsi="Times New Roman" w:eastAsia="宋体" w:cs="Times New Roman"/>
                <w:sz w:val="24"/>
                <w:szCs w:val="24"/>
                <w:highlight w:val="none"/>
                <w:lang w:val="en-US" w:eastAsia="zh-CN"/>
              </w:rPr>
              <w:t>、5</w:t>
            </w:r>
            <w:r>
              <w:rPr>
                <w:rFonts w:hint="eastAsia" w:cs="Times New Roman"/>
                <w:sz w:val="24"/>
                <w:szCs w:val="24"/>
                <w:highlight w:val="none"/>
                <w:lang w:val="en-US" w:eastAsia="zh-CN"/>
              </w:rPr>
              <w:t>9</w:t>
            </w:r>
            <w:r>
              <w:rPr>
                <w:rFonts w:hint="eastAsia" w:ascii="Times New Roman" w:hAnsi="Times New Roman" w:eastAsia="宋体" w:cs="Times New Roman"/>
                <w:sz w:val="24"/>
                <w:szCs w:val="24"/>
                <w:highlight w:val="none"/>
                <w:lang w:val="en-US" w:eastAsia="zh-CN"/>
              </w:rPr>
              <w:t>8</w:t>
            </w:r>
            <w:r>
              <w:rPr>
                <w:rFonts w:hint="eastAsia" w:cs="Times New Roman"/>
                <w:sz w:val="24"/>
                <w:szCs w:val="24"/>
                <w:highlight w:val="none"/>
                <w:lang w:val="en-US" w:eastAsia="zh-CN"/>
              </w:rPr>
              <w:t>00</w:t>
            </w:r>
            <w:r>
              <w:rPr>
                <w:rFonts w:hint="eastAsia" w:ascii="Times New Roman" w:hAnsi="Times New Roman" w:eastAsia="宋体" w:cs="Times New Roman"/>
                <w:color w:val="auto"/>
                <w:sz w:val="24"/>
                <w:szCs w:val="24"/>
                <w:highlight w:val="none"/>
                <w:lang w:val="en-US" w:eastAsia="zh-CN"/>
              </w:rPr>
              <w:t>m</w:t>
            </w:r>
            <w:r>
              <w:rPr>
                <w:rFonts w:hint="eastAsia" w:ascii="Times New Roman" w:hAnsi="Times New Roman" w:eastAsia="宋体" w:cs="Times New Roman"/>
                <w:color w:val="auto"/>
                <w:sz w:val="24"/>
                <w:szCs w:val="24"/>
                <w:highlight w:val="none"/>
                <w:vertAlign w:val="superscript"/>
                <w:lang w:val="en-US" w:eastAsia="zh-CN"/>
              </w:rPr>
              <w:t>3</w:t>
            </w:r>
            <w:r>
              <w:rPr>
                <w:rFonts w:hint="eastAsia" w:ascii="Times New Roman" w:hAnsi="Times New Roman" w:eastAsia="宋体" w:cs="Times New Roman"/>
                <w:color w:val="auto"/>
                <w:sz w:val="24"/>
                <w:szCs w:val="24"/>
                <w:highlight w:val="none"/>
                <w:lang w:val="en-US" w:eastAsia="zh-CN"/>
              </w:rPr>
              <w:t>/h</w:t>
            </w:r>
            <w:r>
              <w:rPr>
                <w:rFonts w:hint="eastAsia" w:ascii="Times New Roman" w:hAnsi="Times New Roman" w:eastAsia="宋体" w:cs="Times New Roman"/>
                <w:sz w:val="24"/>
                <w:szCs w:val="24"/>
                <w:highlight w:val="none"/>
                <w:lang w:val="en-US" w:eastAsia="zh-CN"/>
              </w:rPr>
              <w:t>、</w:t>
            </w:r>
            <w:r>
              <w:rPr>
                <w:rFonts w:hint="eastAsia" w:cs="Times New Roman"/>
                <w:sz w:val="24"/>
                <w:szCs w:val="24"/>
                <w:highlight w:val="none"/>
                <w:lang w:val="en-US" w:eastAsia="zh-CN"/>
              </w:rPr>
              <w:t>89</w:t>
            </w:r>
            <w:r>
              <w:rPr>
                <w:rFonts w:hint="eastAsia" w:ascii="Times New Roman" w:hAnsi="Times New Roman" w:eastAsia="宋体" w:cs="Times New Roman"/>
                <w:sz w:val="24"/>
                <w:szCs w:val="24"/>
                <w:highlight w:val="none"/>
                <w:lang w:val="en-US" w:eastAsia="zh-CN"/>
              </w:rPr>
              <w:t>30</w:t>
            </w:r>
            <w:r>
              <w:rPr>
                <w:rFonts w:hint="eastAsia" w:cs="Times New Roman"/>
                <w:sz w:val="24"/>
                <w:szCs w:val="24"/>
                <w:highlight w:val="none"/>
                <w:lang w:val="en-US" w:eastAsia="zh-CN"/>
              </w:rPr>
              <w:t>0</w:t>
            </w:r>
            <w:r>
              <w:rPr>
                <w:rFonts w:hint="eastAsia" w:ascii="Times New Roman" w:hAnsi="Times New Roman" w:eastAsia="宋体" w:cs="Times New Roman"/>
                <w:color w:val="auto"/>
                <w:sz w:val="24"/>
                <w:szCs w:val="24"/>
                <w:highlight w:val="none"/>
                <w:lang w:val="en-US" w:eastAsia="zh-CN"/>
              </w:rPr>
              <w:t>m</w:t>
            </w:r>
            <w:r>
              <w:rPr>
                <w:rFonts w:hint="eastAsia" w:ascii="Times New Roman" w:hAnsi="Times New Roman" w:eastAsia="宋体" w:cs="Times New Roman"/>
                <w:color w:val="auto"/>
                <w:sz w:val="24"/>
                <w:szCs w:val="24"/>
                <w:highlight w:val="none"/>
                <w:vertAlign w:val="superscript"/>
                <w:lang w:val="en-US" w:eastAsia="zh-CN"/>
              </w:rPr>
              <w:t>3</w:t>
            </w:r>
            <w:r>
              <w:rPr>
                <w:rFonts w:hint="eastAsia" w:ascii="Times New Roman" w:hAnsi="Times New Roman" w:eastAsia="宋体" w:cs="Times New Roman"/>
                <w:color w:val="auto"/>
                <w:sz w:val="24"/>
                <w:szCs w:val="24"/>
                <w:highlight w:val="none"/>
                <w:lang w:val="en-US" w:eastAsia="zh-CN"/>
              </w:rPr>
              <w:t>/h</w:t>
            </w:r>
            <w:r>
              <w:rPr>
                <w:rFonts w:hint="eastAsia" w:ascii="Times New Roman" w:hAnsi="Times New Roman" w:eastAsia="宋体" w:cs="Times New Roman"/>
                <w:sz w:val="24"/>
                <w:szCs w:val="24"/>
                <w:highlight w:val="none"/>
                <w:lang w:val="en-US" w:eastAsia="zh-CN"/>
              </w:rPr>
              <w:t>、</w:t>
            </w:r>
            <w:r>
              <w:rPr>
                <w:rFonts w:hint="eastAsia" w:cs="Times New Roman"/>
                <w:sz w:val="24"/>
                <w:szCs w:val="24"/>
                <w:highlight w:val="none"/>
                <w:lang w:val="en-US" w:eastAsia="zh-CN"/>
              </w:rPr>
              <w:t>8</w:t>
            </w:r>
            <w:r>
              <w:rPr>
                <w:rFonts w:hint="eastAsia" w:ascii="Times New Roman" w:hAnsi="Times New Roman" w:eastAsia="宋体" w:cs="Times New Roman"/>
                <w:sz w:val="24"/>
                <w:szCs w:val="24"/>
                <w:highlight w:val="none"/>
                <w:lang w:val="en-US" w:eastAsia="zh-CN"/>
              </w:rPr>
              <w:t>0</w:t>
            </w:r>
            <w:r>
              <w:rPr>
                <w:rFonts w:hint="eastAsia" w:cs="Times New Roman"/>
                <w:sz w:val="24"/>
                <w:szCs w:val="24"/>
                <w:highlight w:val="none"/>
                <w:lang w:val="en-US" w:eastAsia="zh-CN"/>
              </w:rPr>
              <w:t>700</w:t>
            </w:r>
            <w:r>
              <w:rPr>
                <w:rFonts w:hint="eastAsia" w:ascii="Times New Roman" w:hAnsi="Times New Roman" w:eastAsia="宋体" w:cs="Times New Roman"/>
                <w:color w:val="auto"/>
                <w:sz w:val="24"/>
                <w:szCs w:val="24"/>
                <w:highlight w:val="none"/>
                <w:lang w:val="en-US" w:eastAsia="zh-CN"/>
              </w:rPr>
              <w:t>m</w:t>
            </w:r>
            <w:r>
              <w:rPr>
                <w:rFonts w:hint="eastAsia" w:ascii="Times New Roman" w:hAnsi="Times New Roman" w:eastAsia="宋体" w:cs="Times New Roman"/>
                <w:color w:val="auto"/>
                <w:sz w:val="24"/>
                <w:szCs w:val="24"/>
                <w:highlight w:val="none"/>
                <w:vertAlign w:val="superscript"/>
                <w:lang w:val="en-US" w:eastAsia="zh-CN"/>
              </w:rPr>
              <w:t>3</w:t>
            </w:r>
            <w:r>
              <w:rPr>
                <w:rFonts w:hint="eastAsia" w:ascii="Times New Roman" w:hAnsi="Times New Roman" w:eastAsia="宋体" w:cs="Times New Roman"/>
                <w:color w:val="auto"/>
                <w:sz w:val="24"/>
                <w:szCs w:val="24"/>
                <w:highlight w:val="none"/>
                <w:lang w:val="en-US" w:eastAsia="zh-CN"/>
              </w:rPr>
              <w:t>/h</w:t>
            </w:r>
            <w:r>
              <w:rPr>
                <w:rFonts w:hint="eastAsia" w:ascii="Times New Roman" w:hAnsi="Times New Roman" w:eastAsia="宋体" w:cs="Times New Roman"/>
                <w:sz w:val="24"/>
                <w:szCs w:val="24"/>
                <w:highlight w:val="none"/>
                <w:lang w:val="en-US" w:eastAsia="zh-CN"/>
              </w:rPr>
              <w:t>、</w:t>
            </w:r>
            <w:r>
              <w:rPr>
                <w:rFonts w:hint="eastAsia" w:cs="Times New Roman"/>
                <w:sz w:val="24"/>
                <w:szCs w:val="24"/>
                <w:highlight w:val="none"/>
                <w:lang w:val="en-US" w:eastAsia="zh-CN"/>
              </w:rPr>
              <w:t>882</w:t>
            </w:r>
            <w:r>
              <w:rPr>
                <w:rFonts w:hint="eastAsia" w:ascii="Times New Roman" w:hAnsi="Times New Roman" w:eastAsia="宋体" w:cs="Times New Roman"/>
                <w:sz w:val="24"/>
                <w:szCs w:val="24"/>
                <w:highlight w:val="none"/>
                <w:lang w:val="en-US" w:eastAsia="zh-CN"/>
              </w:rPr>
              <w:t>0</w:t>
            </w:r>
            <w:r>
              <w:rPr>
                <w:rFonts w:hint="eastAsia" w:cs="Times New Roman"/>
                <w:sz w:val="24"/>
                <w:szCs w:val="24"/>
                <w:highlight w:val="none"/>
                <w:lang w:val="en-US" w:eastAsia="zh-CN"/>
              </w:rPr>
              <w:t>0</w:t>
            </w:r>
            <w:r>
              <w:rPr>
                <w:rFonts w:hint="eastAsia" w:ascii="Times New Roman" w:hAnsi="Times New Roman" w:eastAsia="宋体" w:cs="Times New Roman"/>
                <w:color w:val="auto"/>
                <w:sz w:val="24"/>
                <w:szCs w:val="24"/>
                <w:highlight w:val="none"/>
                <w:lang w:val="en-US" w:eastAsia="zh-CN"/>
              </w:rPr>
              <w:t>m</w:t>
            </w:r>
            <w:r>
              <w:rPr>
                <w:rFonts w:hint="eastAsia" w:ascii="Times New Roman" w:hAnsi="Times New Roman" w:eastAsia="宋体" w:cs="Times New Roman"/>
                <w:color w:val="auto"/>
                <w:sz w:val="24"/>
                <w:szCs w:val="24"/>
                <w:highlight w:val="none"/>
                <w:vertAlign w:val="superscript"/>
                <w:lang w:val="en-US" w:eastAsia="zh-CN"/>
              </w:rPr>
              <w:t>3</w:t>
            </w:r>
            <w:r>
              <w:rPr>
                <w:rFonts w:hint="eastAsia" w:ascii="Times New Roman" w:hAnsi="Times New Roman" w:eastAsia="宋体" w:cs="Times New Roman"/>
                <w:color w:val="auto"/>
                <w:sz w:val="24"/>
                <w:szCs w:val="24"/>
                <w:highlight w:val="none"/>
                <w:lang w:val="en-US" w:eastAsia="zh-CN"/>
              </w:rPr>
              <w:t>/h</w:t>
            </w:r>
            <w:r>
              <w:rPr>
                <w:rFonts w:hint="eastAsia" w:ascii="Times New Roman" w:hAnsi="Times New Roman" w:eastAsia="宋体" w:cs="Times New Roman"/>
                <w:sz w:val="24"/>
                <w:szCs w:val="24"/>
                <w:highlight w:val="none"/>
                <w:lang w:val="en-US" w:eastAsia="zh-CN"/>
              </w:rPr>
              <w:t>、</w:t>
            </w:r>
            <w:r>
              <w:rPr>
                <w:rFonts w:hint="eastAsia" w:cs="Times New Roman"/>
                <w:sz w:val="24"/>
                <w:szCs w:val="24"/>
                <w:highlight w:val="none"/>
                <w:lang w:val="en-US" w:eastAsia="zh-CN"/>
              </w:rPr>
              <w:t>56850</w:t>
            </w:r>
            <w:r>
              <w:rPr>
                <w:rFonts w:hint="eastAsia" w:ascii="Times New Roman" w:hAnsi="Times New Roman" w:eastAsia="宋体" w:cs="Times New Roman"/>
                <w:color w:val="auto"/>
                <w:sz w:val="24"/>
                <w:szCs w:val="24"/>
                <w:highlight w:val="none"/>
                <w:lang w:val="en-US" w:eastAsia="zh-CN"/>
              </w:rPr>
              <w:t>m</w:t>
            </w:r>
            <w:r>
              <w:rPr>
                <w:rFonts w:hint="eastAsia" w:ascii="Times New Roman" w:hAnsi="Times New Roman" w:eastAsia="宋体" w:cs="Times New Roman"/>
                <w:color w:val="auto"/>
                <w:sz w:val="24"/>
                <w:szCs w:val="24"/>
                <w:highlight w:val="none"/>
                <w:vertAlign w:val="superscript"/>
                <w:lang w:val="en-US" w:eastAsia="zh-CN"/>
              </w:rPr>
              <w:t>3</w:t>
            </w:r>
            <w:r>
              <w:rPr>
                <w:rFonts w:hint="eastAsia" w:ascii="Times New Roman" w:hAnsi="Times New Roman" w:eastAsia="宋体" w:cs="Times New Roman"/>
                <w:color w:val="auto"/>
                <w:sz w:val="24"/>
                <w:szCs w:val="24"/>
                <w:highlight w:val="none"/>
                <w:lang w:val="en-US" w:eastAsia="zh-CN"/>
              </w:rPr>
              <w:t>/h</w:t>
            </w:r>
            <w:r>
              <w:rPr>
                <w:rFonts w:hint="eastAsia" w:ascii="Times New Roman" w:hAnsi="Times New Roman" w:eastAsia="宋体" w:cs="Times New Roman"/>
                <w:sz w:val="24"/>
                <w:szCs w:val="24"/>
                <w:highlight w:val="none"/>
                <w:lang w:val="en-US" w:eastAsia="zh-CN"/>
              </w:rPr>
              <w:t>、</w:t>
            </w:r>
            <w:r>
              <w:rPr>
                <w:rFonts w:hint="eastAsia" w:cs="Times New Roman"/>
                <w:sz w:val="24"/>
                <w:szCs w:val="24"/>
                <w:highlight w:val="none"/>
                <w:lang w:val="en-US" w:eastAsia="zh-CN"/>
              </w:rPr>
              <w:t>33800</w:t>
            </w:r>
            <w:r>
              <w:rPr>
                <w:rFonts w:hint="eastAsia" w:ascii="Times New Roman" w:hAnsi="Times New Roman" w:eastAsia="宋体" w:cs="Times New Roman"/>
                <w:color w:val="auto"/>
                <w:sz w:val="24"/>
                <w:szCs w:val="24"/>
                <w:highlight w:val="none"/>
                <w:lang w:val="en-US" w:eastAsia="zh-CN"/>
              </w:rPr>
              <w:t>m</w:t>
            </w:r>
            <w:r>
              <w:rPr>
                <w:rFonts w:hint="eastAsia" w:ascii="Times New Roman" w:hAnsi="Times New Roman" w:eastAsia="宋体" w:cs="Times New Roman"/>
                <w:color w:val="auto"/>
                <w:sz w:val="24"/>
                <w:szCs w:val="24"/>
                <w:highlight w:val="none"/>
                <w:vertAlign w:val="superscript"/>
                <w:lang w:val="en-US" w:eastAsia="zh-CN"/>
              </w:rPr>
              <w:t>3</w:t>
            </w:r>
            <w:r>
              <w:rPr>
                <w:rFonts w:hint="eastAsia" w:ascii="Times New Roman" w:hAnsi="Times New Roman" w:eastAsia="宋体" w:cs="Times New Roman"/>
                <w:color w:val="auto"/>
                <w:sz w:val="24"/>
                <w:szCs w:val="24"/>
                <w:highlight w:val="none"/>
                <w:lang w:val="en-US" w:eastAsia="zh-CN"/>
              </w:rPr>
              <w:t>/h</w:t>
            </w:r>
            <w:r>
              <w:rPr>
                <w:rFonts w:hint="eastAsia" w:ascii="Times New Roman" w:hAnsi="Times New Roman" w:eastAsia="宋体" w:cs="Times New Roman"/>
                <w:sz w:val="24"/>
                <w:szCs w:val="24"/>
                <w:highlight w:val="none"/>
                <w:lang w:val="en-US" w:eastAsia="zh-CN"/>
              </w:rPr>
              <w:t>、</w:t>
            </w:r>
            <w:r>
              <w:rPr>
                <w:rFonts w:hint="eastAsia" w:cs="Times New Roman"/>
                <w:sz w:val="24"/>
                <w:szCs w:val="24"/>
                <w:highlight w:val="none"/>
                <w:lang w:val="en-US" w:eastAsia="zh-CN"/>
              </w:rPr>
              <w:t>50800</w:t>
            </w:r>
            <w:r>
              <w:rPr>
                <w:rFonts w:hint="eastAsia" w:ascii="Times New Roman" w:hAnsi="Times New Roman" w:eastAsia="宋体" w:cs="Times New Roman"/>
                <w:color w:val="auto"/>
                <w:sz w:val="24"/>
                <w:szCs w:val="24"/>
                <w:highlight w:val="none"/>
                <w:lang w:val="en-US" w:eastAsia="zh-CN"/>
              </w:rPr>
              <w:t>m</w:t>
            </w:r>
            <w:r>
              <w:rPr>
                <w:rFonts w:hint="eastAsia" w:ascii="Times New Roman" w:hAnsi="Times New Roman" w:eastAsia="宋体" w:cs="Times New Roman"/>
                <w:color w:val="auto"/>
                <w:sz w:val="24"/>
                <w:szCs w:val="24"/>
                <w:highlight w:val="none"/>
                <w:vertAlign w:val="superscript"/>
                <w:lang w:val="en-US" w:eastAsia="zh-CN"/>
              </w:rPr>
              <w:t>3</w:t>
            </w:r>
            <w:r>
              <w:rPr>
                <w:rFonts w:hint="eastAsia" w:ascii="Times New Roman" w:hAnsi="Times New Roman" w:eastAsia="宋体" w:cs="Times New Roman"/>
                <w:color w:val="auto"/>
                <w:sz w:val="24"/>
                <w:szCs w:val="24"/>
                <w:highlight w:val="none"/>
                <w:lang w:val="en-US" w:eastAsia="zh-CN"/>
              </w:rPr>
              <w:t>/h</w:t>
            </w:r>
            <w:r>
              <w:rPr>
                <w:rFonts w:hint="eastAsia" w:ascii="Times New Roman" w:hAnsi="Times New Roman" w:eastAsia="宋体" w:cs="Times New Roman"/>
                <w:sz w:val="24"/>
                <w:szCs w:val="24"/>
                <w:highlight w:val="none"/>
                <w:lang w:val="en-US" w:eastAsia="zh-CN"/>
              </w:rPr>
              <w:t>、</w:t>
            </w:r>
            <w:r>
              <w:rPr>
                <w:rFonts w:hint="eastAsia" w:cs="Times New Roman"/>
                <w:sz w:val="24"/>
                <w:szCs w:val="24"/>
                <w:highlight w:val="none"/>
                <w:lang w:val="en-US" w:eastAsia="zh-CN"/>
              </w:rPr>
              <w:t>34350</w:t>
            </w:r>
            <w:r>
              <w:rPr>
                <w:rFonts w:hint="eastAsia" w:ascii="Times New Roman" w:hAnsi="Times New Roman" w:eastAsia="宋体" w:cs="Times New Roman"/>
                <w:color w:val="auto"/>
                <w:sz w:val="24"/>
                <w:szCs w:val="24"/>
                <w:highlight w:val="none"/>
                <w:lang w:val="en-US" w:eastAsia="zh-CN"/>
              </w:rPr>
              <w:t>m</w:t>
            </w:r>
            <w:r>
              <w:rPr>
                <w:rFonts w:hint="eastAsia" w:ascii="Times New Roman" w:hAnsi="Times New Roman" w:eastAsia="宋体" w:cs="Times New Roman"/>
                <w:color w:val="auto"/>
                <w:sz w:val="24"/>
                <w:szCs w:val="24"/>
                <w:highlight w:val="none"/>
                <w:vertAlign w:val="superscript"/>
                <w:lang w:val="en-US" w:eastAsia="zh-CN"/>
              </w:rPr>
              <w:t>3</w:t>
            </w:r>
            <w:r>
              <w:rPr>
                <w:rFonts w:hint="eastAsia" w:ascii="Times New Roman" w:hAnsi="Times New Roman" w:eastAsia="宋体" w:cs="Times New Roman"/>
                <w:color w:val="auto"/>
                <w:sz w:val="24"/>
                <w:szCs w:val="24"/>
                <w:highlight w:val="none"/>
                <w:lang w:val="en-US" w:eastAsia="zh-CN"/>
              </w:rPr>
              <w:t>/h</w:t>
            </w:r>
            <w:r>
              <w:rPr>
                <w:rFonts w:hint="eastAsia" w:ascii="Times New Roman" w:hAnsi="Times New Roman" w:eastAsia="宋体" w:cs="Times New Roman"/>
                <w:sz w:val="24"/>
                <w:szCs w:val="24"/>
                <w:highlight w:val="none"/>
                <w:lang w:val="en-US" w:eastAsia="zh-CN"/>
              </w:rPr>
              <w:t>。</w:t>
            </w:r>
          </w:p>
          <w:p w14:paraId="3263A57B">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356" w:lineRule="auto"/>
              <w:ind w:left="0" w:right="0" w:firstLine="480" w:firstLineChars="200"/>
              <w:textAlignment w:val="auto"/>
              <w:rPr>
                <w:rFonts w:hint="eastAsia" w:cs="Times New Roman"/>
                <w:sz w:val="24"/>
                <w:highlight w:val="none"/>
                <w:lang w:val="en-US" w:eastAsia="zh-CN"/>
              </w:rPr>
            </w:pPr>
            <w:r>
              <w:rPr>
                <w:rFonts w:hint="eastAsia" w:cs="Times New Roman"/>
                <w:sz w:val="24"/>
                <w:highlight w:val="none"/>
                <w:lang w:val="en-US" w:eastAsia="zh-CN"/>
              </w:rPr>
              <w:t>食堂油烟</w:t>
            </w:r>
            <w:r>
              <w:rPr>
                <w:rFonts w:hint="eastAsia" w:ascii="Times New Roman" w:hAnsi="Times New Roman" w:eastAsia="宋体" w:cs="Times New Roman"/>
                <w:sz w:val="24"/>
                <w:highlight w:val="none"/>
                <w:lang w:val="en-US" w:eastAsia="zh-CN"/>
              </w:rPr>
              <w:t>收集后经油烟净化处理装置处理后通过1根25m高排气筒排放（DA020）。</w:t>
            </w:r>
          </w:p>
          <w:p w14:paraId="1FAF1249">
            <w:pPr>
              <w:keepNext w:val="0"/>
              <w:keepLines w:val="0"/>
              <w:pageBreakBefore w:val="0"/>
              <w:suppressLineNumbers w:val="0"/>
              <w:kinsoku/>
              <w:wordWrap/>
              <w:overflowPunct/>
              <w:topLinePunct w:val="0"/>
              <w:autoSpaceDE/>
              <w:autoSpaceDN/>
              <w:bidi w:val="0"/>
              <w:spacing w:before="0" w:beforeAutospacing="0" w:after="0" w:afterAutospacing="0" w:line="356" w:lineRule="auto"/>
              <w:ind w:left="0" w:right="0" w:firstLine="480" w:firstLineChars="200"/>
              <w:jc w:val="left"/>
              <w:textAlignment w:val="auto"/>
              <w:rPr>
                <w:rFonts w:hint="eastAsia" w:ascii="Times New Roman" w:hAnsi="Times New Roman" w:eastAsia="宋体" w:cs="Times New Roman"/>
                <w:sz w:val="24"/>
                <w:highlight w:val="none"/>
              </w:rPr>
            </w:pPr>
            <w:r>
              <w:rPr>
                <w:rFonts w:hint="eastAsia" w:ascii="Times New Roman" w:hAnsi="Times New Roman" w:eastAsia="宋体" w:cs="Times New Roman"/>
                <w:sz w:val="24"/>
                <w:highlight w:val="none"/>
              </w:rPr>
              <w:t>根据预测，本项目实施后估算模式下Pmax为</w:t>
            </w:r>
            <w:r>
              <w:rPr>
                <w:rFonts w:hint="eastAsia" w:cs="Times New Roman"/>
                <w:sz w:val="24"/>
                <w:highlight w:val="none"/>
                <w:lang w:val="en-US" w:eastAsia="zh-CN"/>
              </w:rPr>
              <w:t>1</w:t>
            </w:r>
            <w:r>
              <w:rPr>
                <w:rFonts w:hint="eastAsia" w:ascii="Times New Roman" w:hAnsi="Times New Roman" w:eastAsia="宋体" w:cs="Times New Roman"/>
                <w:sz w:val="24"/>
                <w:highlight w:val="none"/>
              </w:rPr>
              <w:t>.</w:t>
            </w:r>
            <w:r>
              <w:rPr>
                <w:rFonts w:hint="eastAsia" w:cs="Times New Roman"/>
                <w:sz w:val="24"/>
                <w:highlight w:val="none"/>
                <w:lang w:val="en-US" w:eastAsia="zh-CN"/>
              </w:rPr>
              <w:t>13</w:t>
            </w:r>
            <w:r>
              <w:rPr>
                <w:rFonts w:hint="eastAsia" w:ascii="Times New Roman" w:hAnsi="Times New Roman" w:eastAsia="宋体" w:cs="Times New Roman"/>
                <w:sz w:val="24"/>
                <w:highlight w:val="none"/>
              </w:rPr>
              <w:t>%（</w:t>
            </w:r>
            <w:r>
              <w:rPr>
                <w:rFonts w:hint="eastAsia" w:cs="Times New Roman"/>
                <w:sz w:val="24"/>
                <w:highlight w:val="none"/>
                <w:lang w:val="en-US" w:eastAsia="zh-CN"/>
              </w:rPr>
              <w:t>硫化氢</w:t>
            </w:r>
            <w:r>
              <w:rPr>
                <w:rFonts w:hint="eastAsia" w:ascii="Times New Roman" w:hAnsi="Times New Roman" w:eastAsia="宋体" w:cs="Times New Roman"/>
                <w:sz w:val="24"/>
                <w:highlight w:val="none"/>
              </w:rPr>
              <w:t>）。根据《环境影响评价技术导则-大气环境》（HJ2.2-2018），大气评价等级为</w:t>
            </w:r>
            <w:r>
              <w:rPr>
                <w:rFonts w:hint="eastAsia" w:cs="Times New Roman"/>
                <w:sz w:val="24"/>
                <w:highlight w:val="none"/>
                <w:lang w:val="en-US" w:eastAsia="zh-CN"/>
              </w:rPr>
              <w:t>二</w:t>
            </w:r>
            <w:r>
              <w:rPr>
                <w:rFonts w:hint="eastAsia" w:ascii="Times New Roman" w:hAnsi="Times New Roman" w:eastAsia="宋体" w:cs="Times New Roman"/>
                <w:sz w:val="24"/>
                <w:highlight w:val="none"/>
              </w:rPr>
              <w:t>级评价。根据导则，不进行进一步预测和评价，也无需进一步采用预测模型进行大气防护距离的计算。</w:t>
            </w:r>
          </w:p>
          <w:p w14:paraId="10EBC90B">
            <w:pPr>
              <w:keepNext w:val="0"/>
              <w:keepLines w:val="0"/>
              <w:pageBreakBefore w:val="0"/>
              <w:suppressLineNumbers w:val="0"/>
              <w:kinsoku/>
              <w:wordWrap/>
              <w:overflowPunct/>
              <w:topLinePunct w:val="0"/>
              <w:autoSpaceDE/>
              <w:autoSpaceDN/>
              <w:bidi w:val="0"/>
              <w:adjustRightInd w:val="0"/>
              <w:snapToGrid w:val="0"/>
              <w:spacing w:before="0" w:beforeAutospacing="0" w:after="0" w:afterAutospacing="0" w:line="356" w:lineRule="auto"/>
              <w:ind w:left="0" w:right="0" w:firstLine="480" w:firstLineChars="200"/>
              <w:textAlignment w:val="auto"/>
              <w:rPr>
                <w:rFonts w:hint="eastAsia" w:ascii="Times New Roman" w:hAnsi="Times New Roman" w:eastAsia="宋体" w:cs="Times New Roman"/>
                <w:b/>
                <w:bCs/>
                <w:spacing w:val="-10"/>
                <w:highlight w:val="none"/>
                <w:lang w:eastAsia="zh-CN"/>
              </w:rPr>
            </w:pPr>
            <w:r>
              <w:rPr>
                <w:rFonts w:hint="eastAsia" w:ascii="Times New Roman" w:hAnsi="Times New Roman" w:eastAsia="宋体" w:cs="Times New Roman"/>
                <w:sz w:val="24"/>
                <w:highlight w:val="none"/>
              </w:rPr>
              <w:t>综上，建设单位只要加强对废气收集系统、治理设施的管理，保证设施有效运行和废气处理的效率，则项目实施后对周边环境及保护目标影响较小，区域环境空气质量能够维持现状。因此，本项目实施后对大气环境影响是可以接受的</w:t>
            </w:r>
            <w:r>
              <w:rPr>
                <w:rFonts w:hint="eastAsia" w:ascii="Times New Roman" w:hAnsi="Times New Roman" w:eastAsia="宋体" w:cs="Times New Roman"/>
                <w:sz w:val="24"/>
                <w:highlight w:val="none"/>
                <w:lang w:eastAsia="zh-CN"/>
              </w:rPr>
              <w:t>。</w:t>
            </w:r>
          </w:p>
          <w:p w14:paraId="0D0CEC59">
            <w:pPr>
              <w:keepNext w:val="0"/>
              <w:keepLines w:val="0"/>
              <w:pageBreakBefore w:val="0"/>
              <w:suppressLineNumbers w:val="0"/>
              <w:kinsoku/>
              <w:wordWrap/>
              <w:overflowPunct/>
              <w:topLinePunct w:val="0"/>
              <w:autoSpaceDE/>
              <w:autoSpaceDN/>
              <w:bidi w:val="0"/>
              <w:adjustRightInd w:val="0"/>
              <w:snapToGrid w:val="0"/>
              <w:spacing w:before="0" w:beforeAutospacing="0" w:after="0" w:afterAutospacing="0" w:line="356" w:lineRule="auto"/>
              <w:ind w:left="0" w:right="0"/>
              <w:textAlignment w:val="auto"/>
              <w:rPr>
                <w:rFonts w:hint="default" w:ascii="Times New Roman" w:hAnsi="Times New Roman" w:eastAsia="宋体" w:cs="Times New Roman"/>
                <w:b/>
                <w:bCs/>
                <w:spacing w:val="-10"/>
                <w:highlight w:val="none"/>
              </w:rPr>
            </w:pPr>
            <w:r>
              <w:rPr>
                <w:rFonts w:hint="eastAsia" w:ascii="Times New Roman" w:hAnsi="Times New Roman" w:eastAsia="宋体" w:cs="Times New Roman"/>
                <w:b/>
                <w:bCs/>
                <w:spacing w:val="-10"/>
                <w:highlight w:val="none"/>
                <w:lang w:val="en-US" w:eastAsia="zh-CN"/>
              </w:rPr>
              <w:t>2</w:t>
            </w:r>
            <w:r>
              <w:rPr>
                <w:rFonts w:hint="eastAsia" w:ascii="Times New Roman" w:hAnsi="Times New Roman" w:eastAsia="宋体" w:cs="Times New Roman"/>
                <w:b/>
                <w:bCs/>
                <w:spacing w:val="-10"/>
                <w:highlight w:val="none"/>
              </w:rPr>
              <w:t>、废水</w:t>
            </w:r>
          </w:p>
          <w:p w14:paraId="4D799C76">
            <w:pPr>
              <w:keepNext w:val="0"/>
              <w:keepLines w:val="0"/>
              <w:pageBreakBefore w:val="0"/>
              <w:widowControl/>
              <w:suppressLineNumbers w:val="0"/>
              <w:kinsoku/>
              <w:wordWrap/>
              <w:overflowPunct/>
              <w:topLinePunct w:val="0"/>
              <w:autoSpaceDE/>
              <w:autoSpaceDN/>
              <w:bidi w:val="0"/>
              <w:spacing w:before="0" w:beforeAutospacing="0" w:after="0" w:afterAutospacing="0" w:line="356" w:lineRule="auto"/>
              <w:ind w:left="0" w:right="0" w:firstLine="482" w:firstLineChars="200"/>
              <w:textAlignment w:val="auto"/>
              <w:rPr>
                <w:rFonts w:hint="default" w:ascii="Times New Roman" w:hAnsi="Times New Roman" w:eastAsia="宋体" w:cs="Times New Roman"/>
                <w:b/>
                <w:bCs/>
                <w:color w:val="000000"/>
                <w:kern w:val="0"/>
                <w:highlight w:val="none"/>
              </w:rPr>
            </w:pPr>
            <w:r>
              <w:rPr>
                <w:rFonts w:hint="eastAsia" w:ascii="Times New Roman" w:hAnsi="Times New Roman" w:eastAsia="宋体" w:cs="Times New Roman"/>
                <w:b/>
                <w:bCs/>
                <w:color w:val="000000"/>
                <w:kern w:val="0"/>
                <w:highlight w:val="none"/>
              </w:rPr>
              <w:t>（</w:t>
            </w:r>
            <w:r>
              <w:rPr>
                <w:rFonts w:hint="default" w:ascii="Times New Roman" w:hAnsi="Times New Roman" w:eastAsia="宋体" w:cs="Times New Roman"/>
                <w:b/>
                <w:bCs/>
                <w:color w:val="000000"/>
                <w:kern w:val="0"/>
                <w:highlight w:val="none"/>
              </w:rPr>
              <w:t>1</w:t>
            </w:r>
            <w:r>
              <w:rPr>
                <w:rFonts w:hint="eastAsia" w:ascii="Times New Roman" w:hAnsi="Times New Roman" w:eastAsia="宋体" w:cs="Times New Roman"/>
                <w:b/>
                <w:bCs/>
                <w:color w:val="000000"/>
                <w:kern w:val="0"/>
                <w:highlight w:val="none"/>
              </w:rPr>
              <w:t>）废水污染物源强</w:t>
            </w:r>
          </w:p>
          <w:p w14:paraId="48220E56">
            <w:pPr>
              <w:keepNext w:val="0"/>
              <w:keepLines w:val="0"/>
              <w:pageBreakBefore w:val="0"/>
              <w:widowControl/>
              <w:suppressLineNumbers w:val="0"/>
              <w:kinsoku/>
              <w:wordWrap/>
              <w:overflowPunct/>
              <w:topLinePunct w:val="0"/>
              <w:autoSpaceDE/>
              <w:autoSpaceDN/>
              <w:bidi w:val="0"/>
              <w:spacing w:before="0" w:beforeAutospacing="0" w:after="0" w:afterAutospacing="0" w:line="356" w:lineRule="auto"/>
              <w:ind w:left="0" w:right="0" w:firstLine="480" w:firstLineChars="200"/>
              <w:textAlignment w:val="auto"/>
              <w:rPr>
                <w:rFonts w:hint="default" w:ascii="Times New Roman" w:hAnsi="Times New Roman" w:eastAsia="宋体" w:cs="Times New Roman"/>
                <w:color w:val="000000"/>
                <w:kern w:val="0"/>
                <w:highlight w:val="none"/>
                <w:lang w:val="en-US" w:eastAsia="zh-CN"/>
              </w:rPr>
            </w:pPr>
            <w:r>
              <w:rPr>
                <w:rFonts w:hint="eastAsia" w:ascii="Times New Roman" w:hAnsi="Times New Roman" w:eastAsia="宋体" w:cs="Times New Roman"/>
                <w:color w:val="000000"/>
                <w:kern w:val="0"/>
                <w:highlight w:val="none"/>
              </w:rPr>
              <w:t>本项目用水主要为员工生活用水</w:t>
            </w:r>
            <w:r>
              <w:rPr>
                <w:rFonts w:hint="eastAsia" w:ascii="Times New Roman" w:hAnsi="Times New Roman" w:eastAsia="宋体" w:cs="Times New Roman"/>
                <w:color w:val="000000"/>
                <w:kern w:val="0"/>
                <w:highlight w:val="none"/>
                <w:lang w:eastAsia="zh-CN"/>
              </w:rPr>
              <w:t>；</w:t>
            </w:r>
            <w:r>
              <w:rPr>
                <w:rFonts w:hint="eastAsia" w:ascii="Times New Roman" w:hAnsi="Times New Roman" w:eastAsia="宋体" w:cs="Times New Roman"/>
                <w:b/>
                <w:bCs/>
                <w:color w:val="000000"/>
                <w:kern w:val="0"/>
                <w:highlight w:val="none"/>
                <w:lang w:val="en-US" w:eastAsia="zh-CN"/>
              </w:rPr>
              <w:t>实验动物中心：</w:t>
            </w:r>
            <w:r>
              <w:rPr>
                <w:rFonts w:hint="eastAsia" w:ascii="Times New Roman" w:hAnsi="Times New Roman" w:eastAsia="宋体" w:cs="Times New Roman"/>
                <w:color w:val="000000"/>
                <w:kern w:val="0"/>
                <w:highlight w:val="none"/>
                <w:lang w:val="en-US" w:eastAsia="zh-CN"/>
              </w:rPr>
              <w:t>饲养间清洗用水、洗笼及动物洗烘</w:t>
            </w:r>
            <w:r>
              <w:rPr>
                <w:rFonts w:hint="eastAsia" w:ascii="Times New Roman" w:hAnsi="Times New Roman" w:eastAsia="宋体" w:cs="Times New Roman"/>
                <w:color w:val="000000"/>
                <w:kern w:val="0"/>
                <w:highlight w:val="none"/>
              </w:rPr>
              <w:t>用水</w:t>
            </w:r>
            <w:r>
              <w:rPr>
                <w:rFonts w:hint="eastAsia" w:ascii="Times New Roman" w:hAnsi="Times New Roman" w:eastAsia="宋体" w:cs="Times New Roman"/>
                <w:color w:val="000000"/>
                <w:kern w:val="0"/>
                <w:highlight w:val="none"/>
                <w:lang w:eastAsia="zh-CN"/>
              </w:rPr>
              <w:t>、</w:t>
            </w:r>
            <w:r>
              <w:rPr>
                <w:rFonts w:hint="eastAsia" w:ascii="Times New Roman" w:hAnsi="Times New Roman" w:eastAsia="宋体" w:cs="Times New Roman"/>
                <w:color w:val="000000"/>
                <w:kern w:val="0"/>
                <w:highlight w:val="none"/>
                <w:lang w:val="en-US" w:eastAsia="zh-CN"/>
              </w:rPr>
              <w:t>防护服清洗用水、实验设备及饲养笼灭菌用水、纯水制备用水、反冲洗用水、实验试剂配制用水、手术台用水</w:t>
            </w:r>
            <w:r>
              <w:rPr>
                <w:rFonts w:hint="eastAsia" w:ascii="Times New Roman" w:hAnsi="Times New Roman" w:eastAsia="宋体" w:cs="Times New Roman"/>
                <w:color w:val="000000"/>
                <w:kern w:val="0"/>
                <w:highlight w:val="none"/>
              </w:rPr>
              <w:t>、实验</w:t>
            </w:r>
            <w:r>
              <w:rPr>
                <w:rFonts w:hint="eastAsia" w:ascii="Times New Roman" w:hAnsi="Times New Roman" w:eastAsia="宋体" w:cs="Times New Roman"/>
                <w:color w:val="000000"/>
                <w:kern w:val="0"/>
                <w:highlight w:val="none"/>
                <w:lang w:val="en-US" w:eastAsia="zh-CN"/>
              </w:rPr>
              <w:t>室设备</w:t>
            </w:r>
            <w:r>
              <w:rPr>
                <w:rFonts w:hint="eastAsia" w:ascii="Times New Roman" w:hAnsi="Times New Roman" w:eastAsia="宋体" w:cs="Times New Roman"/>
                <w:color w:val="000000"/>
                <w:kern w:val="0"/>
                <w:highlight w:val="none"/>
              </w:rPr>
              <w:t>清洗用水</w:t>
            </w:r>
            <w:r>
              <w:rPr>
                <w:rFonts w:hint="eastAsia" w:ascii="Times New Roman" w:hAnsi="Times New Roman" w:eastAsia="宋体" w:cs="Times New Roman"/>
                <w:color w:val="000000"/>
                <w:kern w:val="0"/>
                <w:highlight w:val="none"/>
                <w:lang w:eastAsia="zh-CN"/>
              </w:rPr>
              <w:t>、</w:t>
            </w:r>
            <w:r>
              <w:rPr>
                <w:rFonts w:hint="eastAsia" w:ascii="Times New Roman" w:hAnsi="Times New Roman" w:eastAsia="宋体" w:cs="Times New Roman"/>
                <w:color w:val="000000"/>
                <w:kern w:val="0"/>
                <w:highlight w:val="none"/>
                <w:lang w:val="en-US" w:eastAsia="zh-CN"/>
              </w:rPr>
              <w:t>废气</w:t>
            </w:r>
            <w:r>
              <w:rPr>
                <w:rFonts w:hint="eastAsia" w:ascii="Times New Roman" w:hAnsi="Times New Roman" w:eastAsia="宋体" w:cs="Times New Roman"/>
                <w:color w:val="000000"/>
                <w:kern w:val="0"/>
                <w:highlight w:val="none"/>
              </w:rPr>
              <w:t>喷淋用水</w:t>
            </w:r>
            <w:r>
              <w:rPr>
                <w:rFonts w:hint="eastAsia" w:ascii="Times New Roman" w:hAnsi="Times New Roman" w:eastAsia="宋体" w:cs="Times New Roman"/>
                <w:color w:val="000000"/>
                <w:kern w:val="0"/>
                <w:highlight w:val="none"/>
                <w:lang w:eastAsia="zh-CN"/>
              </w:rPr>
              <w:t>；</w:t>
            </w:r>
            <w:r>
              <w:rPr>
                <w:rFonts w:hint="eastAsia" w:ascii="Times New Roman" w:hAnsi="Times New Roman" w:eastAsia="宋体" w:cs="Times New Roman"/>
                <w:b/>
                <w:bCs/>
                <w:color w:val="000000"/>
                <w:kern w:val="0"/>
                <w:highlight w:val="none"/>
                <w:lang w:val="en-US" w:eastAsia="zh-CN"/>
              </w:rPr>
              <w:t>科创</w:t>
            </w:r>
            <w:r>
              <w:rPr>
                <w:rFonts w:hint="eastAsia"/>
                <w:b/>
                <w:bCs/>
                <w:kern w:val="0"/>
                <w:sz w:val="24"/>
                <w:szCs w:val="24"/>
                <w:highlight w:val="none"/>
                <w:lang w:val="en-US" w:eastAsia="zh-CN"/>
              </w:rPr>
              <w:t>综合</w:t>
            </w:r>
            <w:r>
              <w:rPr>
                <w:rFonts w:hint="eastAsia" w:ascii="Times New Roman" w:hAnsi="Times New Roman" w:eastAsia="宋体" w:cs="Times New Roman"/>
                <w:b/>
                <w:bCs/>
                <w:color w:val="000000"/>
                <w:kern w:val="0"/>
                <w:highlight w:val="none"/>
                <w:lang w:val="en-US" w:eastAsia="zh-CN"/>
              </w:rPr>
              <w:t>楼：</w:t>
            </w:r>
            <w:r>
              <w:rPr>
                <w:rFonts w:hint="eastAsia" w:ascii="Times New Roman" w:hAnsi="Times New Roman" w:eastAsia="宋体" w:cs="Times New Roman"/>
                <w:b w:val="0"/>
                <w:bCs w:val="0"/>
                <w:color w:val="000000"/>
                <w:kern w:val="0"/>
                <w:highlight w:val="none"/>
                <w:lang w:val="en-US" w:eastAsia="zh-CN"/>
              </w:rPr>
              <w:t>实验试剂配制用水、实验室设</w:t>
            </w:r>
            <w:r>
              <w:rPr>
                <w:rFonts w:hint="eastAsia" w:ascii="Times New Roman" w:hAnsi="Times New Roman" w:eastAsia="宋体" w:cs="Times New Roman"/>
                <w:color w:val="000000"/>
                <w:kern w:val="0"/>
                <w:highlight w:val="none"/>
                <w:lang w:val="en-US" w:eastAsia="zh-CN"/>
              </w:rPr>
              <w:t>备清洗用水、实验室地面清洗</w:t>
            </w:r>
            <w:r>
              <w:rPr>
                <w:rFonts w:hint="eastAsia" w:ascii="Times New Roman" w:hAnsi="Times New Roman" w:eastAsia="宋体" w:cs="Times New Roman"/>
                <w:b w:val="0"/>
                <w:bCs w:val="0"/>
                <w:color w:val="000000"/>
                <w:kern w:val="0"/>
                <w:highlight w:val="none"/>
                <w:lang w:val="en-US" w:eastAsia="zh-CN"/>
              </w:rPr>
              <w:t>用水</w:t>
            </w:r>
            <w:r>
              <w:rPr>
                <w:rFonts w:hint="eastAsia" w:ascii="Times New Roman" w:hAnsi="Times New Roman" w:eastAsia="宋体" w:cs="Times New Roman"/>
                <w:color w:val="000000"/>
                <w:kern w:val="0"/>
                <w:highlight w:val="none"/>
                <w:lang w:val="en-US" w:eastAsia="zh-CN"/>
              </w:rPr>
              <w:t>、纯水制备用水。</w:t>
            </w:r>
          </w:p>
          <w:p w14:paraId="3C93FC78">
            <w:pPr>
              <w:keepNext w:val="0"/>
              <w:keepLines w:val="0"/>
              <w:pageBreakBefore w:val="0"/>
              <w:widowControl/>
              <w:suppressLineNumbers w:val="0"/>
              <w:kinsoku/>
              <w:wordWrap/>
              <w:overflowPunct/>
              <w:topLinePunct w:val="0"/>
              <w:autoSpaceDE/>
              <w:autoSpaceDN/>
              <w:bidi w:val="0"/>
              <w:spacing w:before="0" w:beforeAutospacing="0" w:after="0" w:afterAutospacing="0" w:line="356" w:lineRule="auto"/>
              <w:ind w:left="0" w:right="0" w:firstLine="480" w:firstLineChars="200"/>
              <w:textAlignment w:val="auto"/>
              <w:rPr>
                <w:rFonts w:hint="default" w:ascii="Times New Roman" w:hAnsi="Times New Roman" w:eastAsia="宋体" w:cs="Times New Roman"/>
                <w:color w:val="000000"/>
                <w:kern w:val="0"/>
                <w:highlight w:val="none"/>
                <w:lang w:val="en-US" w:eastAsia="zh-CN"/>
              </w:rPr>
            </w:pPr>
            <w:r>
              <w:rPr>
                <w:rFonts w:hint="eastAsia" w:ascii="Times New Roman" w:hAnsi="Times New Roman" w:eastAsia="宋体" w:cs="Times New Roman"/>
                <w:color w:val="000000"/>
                <w:kern w:val="0"/>
                <w:highlight w:val="none"/>
              </w:rPr>
              <w:t>产生的废水主要为生活</w:t>
            </w:r>
            <w:r>
              <w:rPr>
                <w:rFonts w:hint="default" w:ascii="Times New Roman" w:hAnsi="Times New Roman" w:eastAsia="宋体" w:cs="Times New Roman"/>
                <w:color w:val="000000"/>
                <w:kern w:val="0"/>
                <w:highlight w:val="none"/>
              </w:rPr>
              <w:t>污水</w:t>
            </w:r>
            <w:r>
              <w:rPr>
                <w:rFonts w:hint="eastAsia" w:ascii="Times New Roman" w:hAnsi="Times New Roman" w:eastAsia="宋体" w:cs="Times New Roman"/>
                <w:color w:val="000000"/>
                <w:kern w:val="0"/>
                <w:highlight w:val="none"/>
                <w:lang w:eastAsia="zh-CN"/>
              </w:rPr>
              <w:t>；</w:t>
            </w:r>
            <w:r>
              <w:rPr>
                <w:rFonts w:hint="eastAsia" w:ascii="Times New Roman" w:hAnsi="Times New Roman" w:eastAsia="宋体" w:cs="Times New Roman"/>
                <w:b/>
                <w:bCs/>
                <w:color w:val="000000"/>
                <w:kern w:val="0"/>
                <w:highlight w:val="none"/>
                <w:lang w:val="en-US" w:eastAsia="zh-CN"/>
              </w:rPr>
              <w:t>实验动物中心：</w:t>
            </w:r>
            <w:r>
              <w:rPr>
                <w:rFonts w:hint="eastAsia" w:ascii="Times New Roman" w:hAnsi="Times New Roman" w:eastAsia="宋体" w:cs="Times New Roman"/>
                <w:color w:val="000000"/>
                <w:kern w:val="0"/>
                <w:highlight w:val="none"/>
                <w:lang w:val="en-US" w:eastAsia="zh-CN"/>
              </w:rPr>
              <w:t>饲养间清洗废水、洗笼及动物洗烘废水</w:t>
            </w:r>
            <w:r>
              <w:rPr>
                <w:rFonts w:hint="eastAsia" w:ascii="Times New Roman" w:hAnsi="Times New Roman" w:eastAsia="宋体" w:cs="Times New Roman"/>
                <w:color w:val="000000"/>
                <w:kern w:val="0"/>
                <w:highlight w:val="none"/>
                <w:lang w:eastAsia="zh-CN"/>
              </w:rPr>
              <w:t>、</w:t>
            </w:r>
            <w:r>
              <w:rPr>
                <w:rFonts w:hint="eastAsia" w:ascii="Times New Roman" w:hAnsi="Times New Roman" w:eastAsia="宋体" w:cs="Times New Roman"/>
                <w:color w:val="000000"/>
                <w:kern w:val="0"/>
                <w:highlight w:val="none"/>
                <w:lang w:val="en-US" w:eastAsia="zh-CN"/>
              </w:rPr>
              <w:t>洗衣废水、灭菌废水</w:t>
            </w:r>
            <w:r>
              <w:rPr>
                <w:rFonts w:hint="default" w:ascii="Times New Roman" w:hAnsi="Times New Roman" w:eastAsia="宋体" w:cs="Times New Roman"/>
                <w:color w:val="000000"/>
                <w:kern w:val="0"/>
                <w:highlight w:val="none"/>
              </w:rPr>
              <w:t>、纯水设备浓水</w:t>
            </w:r>
            <w:r>
              <w:rPr>
                <w:rFonts w:hint="eastAsia" w:ascii="Times New Roman" w:hAnsi="Times New Roman" w:eastAsia="宋体" w:cs="Times New Roman"/>
                <w:color w:val="000000"/>
                <w:kern w:val="0"/>
                <w:highlight w:val="none"/>
                <w:lang w:eastAsia="zh-CN"/>
              </w:rPr>
              <w:t>、</w:t>
            </w:r>
            <w:r>
              <w:rPr>
                <w:rFonts w:hint="eastAsia" w:ascii="Times New Roman" w:hAnsi="Times New Roman" w:eastAsia="宋体" w:cs="Times New Roman"/>
                <w:color w:val="000000"/>
                <w:kern w:val="0"/>
                <w:highlight w:val="none"/>
                <w:lang w:val="en-US" w:eastAsia="zh-CN"/>
              </w:rPr>
              <w:t>反冲洗废水、手术台废水、</w:t>
            </w:r>
            <w:r>
              <w:rPr>
                <w:rFonts w:hint="eastAsia" w:ascii="Times New Roman" w:hAnsi="Times New Roman" w:eastAsia="宋体" w:cs="Times New Roman"/>
                <w:color w:val="000000"/>
                <w:kern w:val="0"/>
                <w:highlight w:val="none"/>
              </w:rPr>
              <w:t>实验</w:t>
            </w:r>
            <w:r>
              <w:rPr>
                <w:rFonts w:hint="eastAsia" w:ascii="Times New Roman" w:hAnsi="Times New Roman" w:eastAsia="宋体" w:cs="Times New Roman"/>
                <w:color w:val="000000"/>
                <w:kern w:val="0"/>
                <w:highlight w:val="none"/>
                <w:lang w:val="en-US" w:eastAsia="zh-CN"/>
              </w:rPr>
              <w:t>室设备</w:t>
            </w:r>
            <w:r>
              <w:rPr>
                <w:rFonts w:hint="eastAsia" w:ascii="Times New Roman" w:hAnsi="Times New Roman" w:eastAsia="宋体" w:cs="Times New Roman"/>
                <w:color w:val="000000"/>
                <w:kern w:val="0"/>
                <w:highlight w:val="none"/>
              </w:rPr>
              <w:t>清洗</w:t>
            </w:r>
            <w:r>
              <w:rPr>
                <w:rFonts w:hint="eastAsia" w:ascii="Times New Roman" w:hAnsi="Times New Roman" w:eastAsia="宋体" w:cs="Times New Roman"/>
                <w:color w:val="000000"/>
                <w:kern w:val="0"/>
                <w:highlight w:val="none"/>
                <w:lang w:val="en-US" w:eastAsia="zh-CN"/>
              </w:rPr>
              <w:t>废水</w:t>
            </w:r>
            <w:r>
              <w:rPr>
                <w:rFonts w:hint="eastAsia" w:ascii="Times New Roman" w:hAnsi="Times New Roman" w:eastAsia="宋体" w:cs="Times New Roman"/>
                <w:color w:val="000000"/>
                <w:kern w:val="0"/>
                <w:highlight w:val="none"/>
                <w:lang w:eastAsia="zh-CN"/>
              </w:rPr>
              <w:t>、动物尿液</w:t>
            </w:r>
            <w:r>
              <w:rPr>
                <w:rFonts w:hint="eastAsia" w:cs="Times New Roman"/>
                <w:color w:val="000000"/>
                <w:kern w:val="0"/>
                <w:highlight w:val="none"/>
                <w:lang w:eastAsia="zh-CN"/>
              </w:rPr>
              <w:t>、</w:t>
            </w:r>
            <w:r>
              <w:rPr>
                <w:rFonts w:hint="eastAsia" w:ascii="Times New Roman" w:hAnsi="Times New Roman" w:eastAsia="宋体" w:cs="Times New Roman"/>
                <w:color w:val="000000"/>
                <w:kern w:val="0"/>
                <w:highlight w:val="none"/>
                <w:lang w:val="en-US" w:eastAsia="zh-CN"/>
              </w:rPr>
              <w:t>废气</w:t>
            </w:r>
            <w:r>
              <w:rPr>
                <w:rFonts w:hint="eastAsia" w:ascii="Times New Roman" w:hAnsi="Times New Roman" w:eastAsia="宋体" w:cs="Times New Roman"/>
                <w:color w:val="000000"/>
                <w:kern w:val="0"/>
                <w:highlight w:val="none"/>
              </w:rPr>
              <w:t>喷淋</w:t>
            </w:r>
            <w:r>
              <w:rPr>
                <w:rFonts w:hint="eastAsia" w:ascii="Times New Roman" w:hAnsi="Times New Roman" w:eastAsia="宋体" w:cs="Times New Roman"/>
                <w:color w:val="000000"/>
                <w:kern w:val="0"/>
                <w:highlight w:val="none"/>
                <w:lang w:val="en-US" w:eastAsia="zh-CN"/>
              </w:rPr>
              <w:t>废水；</w:t>
            </w:r>
            <w:r>
              <w:rPr>
                <w:rFonts w:hint="eastAsia" w:ascii="Times New Roman" w:hAnsi="Times New Roman" w:eastAsia="宋体" w:cs="Times New Roman"/>
                <w:b/>
                <w:bCs/>
                <w:color w:val="000000"/>
                <w:kern w:val="0"/>
                <w:highlight w:val="none"/>
                <w:lang w:val="en-US" w:eastAsia="zh-CN"/>
              </w:rPr>
              <w:t>科创</w:t>
            </w:r>
            <w:r>
              <w:rPr>
                <w:rFonts w:hint="eastAsia"/>
                <w:b/>
                <w:bCs/>
                <w:kern w:val="0"/>
                <w:sz w:val="24"/>
                <w:szCs w:val="24"/>
                <w:highlight w:val="none"/>
                <w:lang w:val="en-US" w:eastAsia="zh-CN"/>
              </w:rPr>
              <w:t>综合</w:t>
            </w:r>
            <w:r>
              <w:rPr>
                <w:rFonts w:hint="eastAsia" w:ascii="Times New Roman" w:hAnsi="Times New Roman" w:eastAsia="宋体" w:cs="Times New Roman"/>
                <w:b/>
                <w:bCs/>
                <w:color w:val="000000"/>
                <w:kern w:val="0"/>
                <w:highlight w:val="none"/>
                <w:lang w:val="en-US" w:eastAsia="zh-CN"/>
              </w:rPr>
              <w:t>楼：</w:t>
            </w:r>
            <w:r>
              <w:rPr>
                <w:rFonts w:hint="eastAsia" w:ascii="Times New Roman" w:hAnsi="Times New Roman" w:eastAsia="宋体" w:cs="Times New Roman"/>
                <w:b w:val="0"/>
                <w:bCs w:val="0"/>
                <w:color w:val="000000"/>
                <w:kern w:val="0"/>
                <w:highlight w:val="none"/>
                <w:lang w:val="en-US" w:eastAsia="zh-CN"/>
              </w:rPr>
              <w:t>实验室设</w:t>
            </w:r>
            <w:r>
              <w:rPr>
                <w:rFonts w:hint="eastAsia" w:ascii="Times New Roman" w:hAnsi="Times New Roman" w:eastAsia="宋体" w:cs="Times New Roman"/>
                <w:color w:val="000000"/>
                <w:kern w:val="0"/>
                <w:highlight w:val="none"/>
                <w:lang w:val="en-US" w:eastAsia="zh-CN"/>
              </w:rPr>
              <w:t>备清洗废水、实验室地面清洗废水、纯水制备废水。</w:t>
            </w:r>
            <w:r>
              <w:rPr>
                <w:rFonts w:hint="eastAsia" w:cs="Times New Roman"/>
                <w:color w:val="000000"/>
                <w:kern w:val="0"/>
                <w:highlight w:val="none"/>
                <w:lang w:val="en-US" w:eastAsia="zh-CN"/>
              </w:rPr>
              <w:t>根据表2-4原辅材料清单中试剂种类可知：本项目废水不涉及重金属。</w:t>
            </w:r>
          </w:p>
          <w:p w14:paraId="6A57B13C">
            <w:pPr>
              <w:keepNext w:val="0"/>
              <w:keepLines w:val="0"/>
              <w:pageBreakBefore w:val="0"/>
              <w:widowControl/>
              <w:numPr>
                <w:ilvl w:val="0"/>
                <w:numId w:val="7"/>
              </w:numPr>
              <w:suppressLineNumbers w:val="0"/>
              <w:kinsoku/>
              <w:wordWrap/>
              <w:overflowPunct/>
              <w:topLinePunct w:val="0"/>
              <w:autoSpaceDE/>
              <w:autoSpaceDN/>
              <w:bidi w:val="0"/>
              <w:spacing w:before="0" w:beforeAutospacing="0" w:after="0" w:afterAutospacing="0" w:line="356" w:lineRule="auto"/>
              <w:ind w:left="0" w:right="0" w:firstLine="482" w:firstLineChars="200"/>
              <w:textAlignment w:val="auto"/>
              <w:rPr>
                <w:rFonts w:hint="default" w:ascii="Times New Roman" w:hAnsi="Times New Roman" w:eastAsia="宋体" w:cs="Times New Roman"/>
                <w:b/>
                <w:bCs/>
                <w:color w:val="auto"/>
                <w:kern w:val="0"/>
                <w:highlight w:val="none"/>
              </w:rPr>
            </w:pPr>
            <w:r>
              <w:rPr>
                <w:rFonts w:hint="default" w:ascii="Times New Roman" w:hAnsi="Times New Roman" w:eastAsia="宋体" w:cs="Times New Roman"/>
                <w:b/>
                <w:bCs/>
                <w:color w:val="auto"/>
                <w:kern w:val="0"/>
                <w:highlight w:val="none"/>
              </w:rPr>
              <w:t>生活污水</w:t>
            </w:r>
          </w:p>
          <w:p w14:paraId="10FB27B6">
            <w:pPr>
              <w:keepNext w:val="0"/>
              <w:keepLines w:val="0"/>
              <w:pageBreakBefore w:val="0"/>
              <w:widowControl/>
              <w:suppressLineNumbers w:val="0"/>
              <w:kinsoku/>
              <w:wordWrap/>
              <w:overflowPunct/>
              <w:topLinePunct w:val="0"/>
              <w:autoSpaceDE/>
              <w:autoSpaceDN/>
              <w:bidi w:val="0"/>
              <w:spacing w:before="0" w:beforeAutospacing="0" w:after="0" w:afterAutospacing="0" w:line="356" w:lineRule="auto"/>
              <w:ind w:left="0" w:right="0" w:firstLine="480" w:firstLineChars="200"/>
              <w:textAlignment w:val="auto"/>
              <w:rPr>
                <w:rFonts w:hint="default" w:ascii="Times New Roman" w:hAnsi="Times New Roman" w:eastAsia="宋体" w:cs="Times New Roman"/>
                <w:color w:val="auto"/>
                <w:kern w:val="0"/>
                <w:highlight w:val="none"/>
              </w:rPr>
            </w:pPr>
            <w:r>
              <w:rPr>
                <w:rFonts w:hint="eastAsia" w:ascii="Times New Roman" w:hAnsi="Times New Roman" w:eastAsia="宋体" w:cs="Times New Roman"/>
                <w:color w:val="auto"/>
                <w:kern w:val="0"/>
                <w:highlight w:val="none"/>
                <w:lang w:val="en-US" w:eastAsia="zh-CN"/>
              </w:rPr>
              <w:t>根据上文水平衡分析可知：本项目生活污水产生量16380t/a，</w:t>
            </w:r>
            <w:r>
              <w:rPr>
                <w:rFonts w:hint="default" w:ascii="Times New Roman" w:hAnsi="Times New Roman" w:eastAsia="宋体" w:cs="Times New Roman"/>
                <w:color w:val="auto"/>
                <w:kern w:val="0"/>
                <w:highlight w:val="none"/>
              </w:rPr>
              <w:t>水质类比一般城镇居民生活污水水质，产生浓度分别取COD</w:t>
            </w:r>
            <w:r>
              <w:rPr>
                <w:rFonts w:hint="default" w:ascii="Times New Roman" w:hAnsi="Times New Roman" w:eastAsia="宋体" w:cs="Times New Roman"/>
                <w:color w:val="auto"/>
                <w:kern w:val="0"/>
                <w:sz w:val="16"/>
                <w:szCs w:val="16"/>
                <w:highlight w:val="none"/>
              </w:rPr>
              <w:t>Cr</w:t>
            </w:r>
            <w:r>
              <w:rPr>
                <w:rFonts w:hint="default" w:ascii="Times New Roman" w:hAnsi="Times New Roman" w:eastAsia="宋体" w:cs="Times New Roman"/>
                <w:color w:val="auto"/>
                <w:kern w:val="0"/>
                <w:highlight w:val="none"/>
              </w:rPr>
              <w:t>350mg/L、NH</w:t>
            </w:r>
            <w:r>
              <w:rPr>
                <w:rFonts w:hint="default" w:ascii="Times New Roman" w:hAnsi="Times New Roman" w:eastAsia="宋体" w:cs="Times New Roman"/>
                <w:color w:val="auto"/>
                <w:kern w:val="0"/>
                <w:sz w:val="16"/>
                <w:szCs w:val="16"/>
                <w:highlight w:val="none"/>
              </w:rPr>
              <w:t>3</w:t>
            </w:r>
            <w:r>
              <w:rPr>
                <w:rFonts w:hint="default" w:ascii="Times New Roman" w:hAnsi="Times New Roman" w:eastAsia="宋体" w:cs="Times New Roman"/>
                <w:color w:val="auto"/>
                <w:kern w:val="0"/>
                <w:highlight w:val="none"/>
              </w:rPr>
              <w:t>-N30mg/L</w:t>
            </w:r>
            <w:r>
              <w:rPr>
                <w:rFonts w:hint="eastAsia" w:cs="Times New Roman"/>
                <w:color w:val="auto"/>
                <w:kern w:val="0"/>
                <w:highlight w:val="none"/>
                <w:lang w:eastAsia="zh-CN"/>
              </w:rPr>
              <w:t>、</w:t>
            </w:r>
            <w:r>
              <w:rPr>
                <w:rFonts w:hint="eastAsia" w:cs="Times New Roman"/>
                <w:color w:val="auto"/>
                <w:kern w:val="0"/>
                <w:highlight w:val="none"/>
                <w:lang w:val="en-US" w:eastAsia="zh-CN"/>
              </w:rPr>
              <w:t>动植物油50</w:t>
            </w:r>
            <w:r>
              <w:rPr>
                <w:rFonts w:hint="default" w:ascii="Times New Roman" w:hAnsi="Times New Roman" w:eastAsia="宋体" w:cs="Times New Roman"/>
                <w:color w:val="auto"/>
                <w:kern w:val="0"/>
                <w:highlight w:val="none"/>
              </w:rPr>
              <w:t>mg/L，则生活污水各污染物产生量为：COD</w:t>
            </w:r>
            <w:r>
              <w:rPr>
                <w:rFonts w:hint="default" w:ascii="Times New Roman" w:hAnsi="Times New Roman" w:eastAsia="宋体" w:cs="Times New Roman"/>
                <w:color w:val="auto"/>
                <w:kern w:val="0"/>
                <w:sz w:val="16"/>
                <w:szCs w:val="16"/>
                <w:highlight w:val="none"/>
              </w:rPr>
              <w:t>Cr</w:t>
            </w:r>
            <w:r>
              <w:rPr>
                <w:rFonts w:hint="eastAsia" w:ascii="Times New Roman" w:hAnsi="Times New Roman" w:eastAsia="宋体" w:cs="Times New Roman"/>
                <w:color w:val="auto"/>
                <w:kern w:val="0"/>
                <w:sz w:val="24"/>
                <w:szCs w:val="24"/>
                <w:highlight w:val="none"/>
                <w:vertAlign w:val="baseline"/>
                <w:lang w:val="en-US" w:eastAsia="zh-CN"/>
              </w:rPr>
              <w:t>5.</w:t>
            </w:r>
            <w:r>
              <w:rPr>
                <w:rFonts w:hint="eastAsia" w:ascii="Times New Roman" w:hAnsi="Times New Roman" w:eastAsia="宋体" w:cs="Times New Roman"/>
                <w:color w:val="auto"/>
                <w:kern w:val="0"/>
                <w:highlight w:val="none"/>
                <w:lang w:val="en-US" w:eastAsia="zh-CN"/>
              </w:rPr>
              <w:t>733</w:t>
            </w:r>
            <w:r>
              <w:rPr>
                <w:rFonts w:hint="default" w:ascii="Times New Roman" w:hAnsi="Times New Roman" w:eastAsia="宋体" w:cs="Times New Roman"/>
                <w:color w:val="auto"/>
                <w:kern w:val="0"/>
                <w:highlight w:val="none"/>
              </w:rPr>
              <w:t>t/a、NH</w:t>
            </w:r>
            <w:r>
              <w:rPr>
                <w:rFonts w:hint="default" w:ascii="Times New Roman" w:hAnsi="Times New Roman" w:eastAsia="宋体" w:cs="Times New Roman"/>
                <w:color w:val="auto"/>
                <w:kern w:val="0"/>
                <w:sz w:val="16"/>
                <w:szCs w:val="16"/>
                <w:highlight w:val="none"/>
              </w:rPr>
              <w:t>3</w:t>
            </w:r>
            <w:r>
              <w:rPr>
                <w:rFonts w:hint="default" w:ascii="Times New Roman" w:hAnsi="Times New Roman" w:eastAsia="宋体" w:cs="Times New Roman"/>
                <w:color w:val="auto"/>
                <w:kern w:val="0"/>
                <w:highlight w:val="none"/>
              </w:rPr>
              <w:t>-N0.</w:t>
            </w:r>
            <w:r>
              <w:rPr>
                <w:rFonts w:hint="eastAsia" w:ascii="Times New Roman" w:hAnsi="Times New Roman" w:eastAsia="宋体" w:cs="Times New Roman"/>
                <w:color w:val="auto"/>
                <w:kern w:val="0"/>
                <w:highlight w:val="none"/>
                <w:lang w:val="en-US" w:eastAsia="zh-CN"/>
              </w:rPr>
              <w:t>491</w:t>
            </w:r>
            <w:r>
              <w:rPr>
                <w:rFonts w:hint="default" w:ascii="Times New Roman" w:hAnsi="Times New Roman" w:eastAsia="宋体" w:cs="Times New Roman"/>
                <w:color w:val="auto"/>
                <w:kern w:val="0"/>
                <w:highlight w:val="none"/>
              </w:rPr>
              <w:t>t/a</w:t>
            </w:r>
            <w:r>
              <w:rPr>
                <w:rFonts w:hint="eastAsia" w:cs="Times New Roman"/>
                <w:color w:val="auto"/>
                <w:kern w:val="0"/>
                <w:highlight w:val="none"/>
                <w:lang w:eastAsia="zh-CN"/>
              </w:rPr>
              <w:t>、</w:t>
            </w:r>
            <w:r>
              <w:rPr>
                <w:rFonts w:hint="eastAsia" w:cs="Times New Roman"/>
                <w:color w:val="auto"/>
                <w:kern w:val="0"/>
                <w:highlight w:val="none"/>
                <w:lang w:val="en-US" w:eastAsia="zh-CN"/>
              </w:rPr>
              <w:t>动植物油0.819</w:t>
            </w:r>
            <w:r>
              <w:rPr>
                <w:rFonts w:hint="default" w:ascii="Times New Roman" w:hAnsi="Times New Roman" w:eastAsia="宋体" w:cs="Times New Roman"/>
                <w:color w:val="auto"/>
                <w:kern w:val="0"/>
                <w:highlight w:val="none"/>
              </w:rPr>
              <w:t>t/a。</w:t>
            </w:r>
          </w:p>
          <w:p w14:paraId="24202BB5">
            <w:pPr>
              <w:keepNext w:val="0"/>
              <w:keepLines w:val="0"/>
              <w:pageBreakBefore w:val="0"/>
              <w:widowControl/>
              <w:numPr>
                <w:ilvl w:val="0"/>
                <w:numId w:val="7"/>
              </w:numPr>
              <w:suppressLineNumbers w:val="0"/>
              <w:kinsoku/>
              <w:wordWrap/>
              <w:overflowPunct/>
              <w:topLinePunct w:val="0"/>
              <w:autoSpaceDE/>
              <w:autoSpaceDN/>
              <w:bidi w:val="0"/>
              <w:spacing w:before="0" w:beforeAutospacing="0" w:after="0" w:afterAutospacing="0" w:line="356" w:lineRule="auto"/>
              <w:ind w:left="0" w:right="0" w:firstLine="482" w:firstLineChars="200"/>
              <w:textAlignment w:val="auto"/>
              <w:rPr>
                <w:rFonts w:hint="default" w:ascii="Times New Roman" w:hAnsi="Times New Roman" w:eastAsia="宋体" w:cs="Times New Roman"/>
                <w:b/>
                <w:bCs/>
                <w:color w:val="000000"/>
                <w:kern w:val="0"/>
                <w:highlight w:val="none"/>
              </w:rPr>
            </w:pPr>
            <w:r>
              <w:rPr>
                <w:rFonts w:hint="eastAsia" w:ascii="Times New Roman" w:hAnsi="Times New Roman" w:eastAsia="宋体" w:cs="Times New Roman"/>
                <w:b/>
                <w:bCs/>
                <w:color w:val="000000"/>
                <w:kern w:val="0"/>
                <w:highlight w:val="none"/>
                <w:lang w:val="en-US" w:eastAsia="zh-CN"/>
              </w:rPr>
              <w:t>防护服清洗废水</w:t>
            </w:r>
          </w:p>
          <w:p w14:paraId="12FCCB0F">
            <w:pPr>
              <w:keepNext w:val="0"/>
              <w:keepLines w:val="0"/>
              <w:pageBreakBefore w:val="0"/>
              <w:widowControl/>
              <w:suppressLineNumbers w:val="0"/>
              <w:kinsoku/>
              <w:wordWrap/>
              <w:overflowPunct/>
              <w:topLinePunct w:val="0"/>
              <w:autoSpaceDE/>
              <w:autoSpaceDN/>
              <w:bidi w:val="0"/>
              <w:spacing w:before="0" w:beforeAutospacing="0" w:after="0" w:afterAutospacing="0" w:line="356" w:lineRule="auto"/>
              <w:ind w:left="0" w:right="0" w:firstLine="480" w:firstLineChars="200"/>
              <w:textAlignment w:val="auto"/>
              <w:rPr>
                <w:rFonts w:hint="default" w:ascii="Times New Roman" w:hAnsi="Times New Roman" w:eastAsia="宋体" w:cs="Times New Roman"/>
                <w:color w:val="000000"/>
                <w:kern w:val="0"/>
                <w:highlight w:val="none"/>
              </w:rPr>
            </w:pPr>
            <w:r>
              <w:rPr>
                <w:rFonts w:hint="eastAsia" w:ascii="Times New Roman" w:hAnsi="Times New Roman" w:eastAsia="宋体" w:cs="Times New Roman"/>
                <w:color w:val="000000"/>
                <w:kern w:val="0"/>
                <w:highlight w:val="none"/>
                <w:lang w:val="en-US" w:eastAsia="zh-CN"/>
              </w:rPr>
              <w:t>根据上文水平衡分析，防护服清洗废水产生量768.2t/a</w:t>
            </w:r>
            <w:r>
              <w:rPr>
                <w:rFonts w:hint="default" w:ascii="Times New Roman" w:hAnsi="Times New Roman" w:eastAsia="宋体" w:cs="Times New Roman"/>
                <w:color w:val="000000"/>
                <w:kern w:val="0"/>
                <w:highlight w:val="none"/>
              </w:rPr>
              <w:t>。水质类比一般城镇居民生活污水水质，产生浓度分别取COD</w:t>
            </w:r>
            <w:r>
              <w:rPr>
                <w:rFonts w:hint="default" w:ascii="Times New Roman" w:hAnsi="Times New Roman" w:eastAsia="宋体" w:cs="Times New Roman"/>
                <w:color w:val="000000"/>
                <w:kern w:val="0"/>
                <w:sz w:val="16"/>
                <w:szCs w:val="16"/>
                <w:highlight w:val="none"/>
              </w:rPr>
              <w:t>Cr</w:t>
            </w:r>
            <w:r>
              <w:rPr>
                <w:rFonts w:hint="default" w:ascii="Times New Roman" w:hAnsi="Times New Roman" w:eastAsia="宋体" w:cs="Times New Roman"/>
                <w:color w:val="000000"/>
                <w:kern w:val="0"/>
                <w:highlight w:val="none"/>
              </w:rPr>
              <w:t>350mg/L、NH</w:t>
            </w:r>
            <w:r>
              <w:rPr>
                <w:rFonts w:hint="default" w:ascii="Times New Roman" w:hAnsi="Times New Roman" w:eastAsia="宋体" w:cs="Times New Roman"/>
                <w:color w:val="000000"/>
                <w:kern w:val="0"/>
                <w:sz w:val="16"/>
                <w:szCs w:val="16"/>
                <w:highlight w:val="none"/>
              </w:rPr>
              <w:t>3</w:t>
            </w:r>
            <w:r>
              <w:rPr>
                <w:rFonts w:hint="default" w:ascii="Times New Roman" w:hAnsi="Times New Roman" w:eastAsia="宋体" w:cs="Times New Roman"/>
                <w:color w:val="000000"/>
                <w:kern w:val="0"/>
                <w:highlight w:val="none"/>
              </w:rPr>
              <w:t>-N30mg/L</w:t>
            </w:r>
            <w:r>
              <w:rPr>
                <w:rFonts w:hint="eastAsia" w:ascii="Times New Roman" w:hAnsi="Times New Roman" w:eastAsia="宋体" w:cs="Times New Roman"/>
                <w:color w:val="000000"/>
                <w:kern w:val="0"/>
                <w:highlight w:val="none"/>
              </w:rPr>
              <w:t>、SS250mg/L</w:t>
            </w:r>
            <w:r>
              <w:rPr>
                <w:rFonts w:hint="default" w:ascii="Times New Roman" w:hAnsi="Times New Roman" w:eastAsia="宋体" w:cs="Times New Roman"/>
                <w:color w:val="000000"/>
                <w:kern w:val="0"/>
                <w:highlight w:val="none"/>
              </w:rPr>
              <w:t>，则生活污水各污染物产生量为：COD</w:t>
            </w:r>
            <w:r>
              <w:rPr>
                <w:rFonts w:hint="default" w:ascii="Times New Roman" w:hAnsi="Times New Roman" w:eastAsia="宋体" w:cs="Times New Roman"/>
                <w:color w:val="000000"/>
                <w:kern w:val="0"/>
                <w:sz w:val="16"/>
                <w:szCs w:val="16"/>
                <w:highlight w:val="none"/>
              </w:rPr>
              <w:t>Cr</w:t>
            </w:r>
            <w:r>
              <w:rPr>
                <w:rFonts w:hint="default" w:ascii="Times New Roman" w:hAnsi="Times New Roman" w:eastAsia="宋体" w:cs="Times New Roman"/>
                <w:color w:val="000000"/>
                <w:kern w:val="0"/>
                <w:highlight w:val="none"/>
              </w:rPr>
              <w:t>0.</w:t>
            </w:r>
            <w:r>
              <w:rPr>
                <w:rFonts w:hint="eastAsia" w:ascii="Times New Roman" w:hAnsi="Times New Roman" w:eastAsia="宋体" w:cs="Times New Roman"/>
                <w:color w:val="000000"/>
                <w:kern w:val="0"/>
                <w:highlight w:val="none"/>
                <w:lang w:val="en-US" w:eastAsia="zh-CN"/>
              </w:rPr>
              <w:t>269</w:t>
            </w:r>
            <w:r>
              <w:rPr>
                <w:rFonts w:hint="default" w:ascii="Times New Roman" w:hAnsi="Times New Roman" w:eastAsia="宋体" w:cs="Times New Roman"/>
                <w:color w:val="000000"/>
                <w:kern w:val="0"/>
                <w:highlight w:val="none"/>
              </w:rPr>
              <w:t>t/a、NH</w:t>
            </w:r>
            <w:r>
              <w:rPr>
                <w:rFonts w:hint="default" w:ascii="Times New Roman" w:hAnsi="Times New Roman" w:eastAsia="宋体" w:cs="Times New Roman"/>
                <w:color w:val="000000"/>
                <w:kern w:val="0"/>
                <w:sz w:val="16"/>
                <w:szCs w:val="16"/>
                <w:highlight w:val="none"/>
              </w:rPr>
              <w:t>3</w:t>
            </w:r>
            <w:r>
              <w:rPr>
                <w:rFonts w:hint="default" w:ascii="Times New Roman" w:hAnsi="Times New Roman" w:eastAsia="宋体" w:cs="Times New Roman"/>
                <w:color w:val="000000"/>
                <w:kern w:val="0"/>
                <w:highlight w:val="none"/>
              </w:rPr>
              <w:t>-N0.0</w:t>
            </w:r>
            <w:r>
              <w:rPr>
                <w:rFonts w:hint="eastAsia" w:ascii="Times New Roman" w:hAnsi="Times New Roman" w:eastAsia="宋体" w:cs="Times New Roman"/>
                <w:color w:val="000000"/>
                <w:kern w:val="0"/>
                <w:highlight w:val="none"/>
                <w:lang w:val="en-US" w:eastAsia="zh-CN"/>
              </w:rPr>
              <w:t>23</w:t>
            </w:r>
            <w:r>
              <w:rPr>
                <w:rFonts w:hint="default" w:ascii="Times New Roman" w:hAnsi="Times New Roman" w:eastAsia="宋体" w:cs="Times New Roman"/>
                <w:color w:val="000000"/>
                <w:kern w:val="0"/>
                <w:highlight w:val="none"/>
              </w:rPr>
              <w:t>t/a</w:t>
            </w:r>
            <w:r>
              <w:rPr>
                <w:rFonts w:hint="eastAsia" w:ascii="Times New Roman" w:hAnsi="Times New Roman" w:eastAsia="宋体" w:cs="Times New Roman"/>
                <w:color w:val="000000"/>
                <w:kern w:val="0"/>
                <w:highlight w:val="none"/>
              </w:rPr>
              <w:t>、SS0.</w:t>
            </w:r>
            <w:r>
              <w:rPr>
                <w:rFonts w:hint="eastAsia" w:ascii="Times New Roman" w:hAnsi="Times New Roman" w:eastAsia="宋体" w:cs="Times New Roman"/>
                <w:color w:val="000000"/>
                <w:kern w:val="0"/>
                <w:highlight w:val="none"/>
                <w:lang w:val="en-US" w:eastAsia="zh-CN"/>
              </w:rPr>
              <w:t>192</w:t>
            </w:r>
            <w:r>
              <w:rPr>
                <w:rFonts w:hint="default" w:ascii="Times New Roman" w:hAnsi="Times New Roman" w:eastAsia="宋体" w:cs="Times New Roman"/>
                <w:color w:val="000000"/>
                <w:kern w:val="0"/>
                <w:highlight w:val="none"/>
              </w:rPr>
              <w:t>t/a。</w:t>
            </w:r>
          </w:p>
          <w:p w14:paraId="0CA54A62">
            <w:pPr>
              <w:keepNext w:val="0"/>
              <w:keepLines w:val="0"/>
              <w:pageBreakBefore w:val="0"/>
              <w:widowControl/>
              <w:suppressLineNumbers w:val="0"/>
              <w:kinsoku/>
              <w:wordWrap/>
              <w:overflowPunct/>
              <w:topLinePunct w:val="0"/>
              <w:autoSpaceDE/>
              <w:autoSpaceDN/>
              <w:bidi w:val="0"/>
              <w:spacing w:before="0" w:beforeAutospacing="0" w:after="0" w:afterAutospacing="0" w:line="356" w:lineRule="auto"/>
              <w:ind w:left="0" w:right="0" w:firstLine="482" w:firstLineChars="200"/>
              <w:textAlignment w:val="auto"/>
              <w:rPr>
                <w:rFonts w:hint="default" w:ascii="Times New Roman" w:hAnsi="Times New Roman" w:eastAsia="宋体" w:cs="Times New Roman"/>
                <w:b/>
                <w:bCs/>
                <w:color w:val="auto"/>
                <w:kern w:val="0"/>
                <w:highlight w:val="none"/>
                <w:lang w:val="en-US" w:eastAsia="zh-CN"/>
              </w:rPr>
            </w:pPr>
            <w:r>
              <w:rPr>
                <w:rFonts w:hint="eastAsia" w:ascii="Times New Roman" w:hAnsi="Times New Roman" w:eastAsia="宋体" w:cs="Times New Roman"/>
                <w:b/>
                <w:bCs/>
                <w:color w:val="auto"/>
                <w:kern w:val="0"/>
                <w:highlight w:val="none"/>
                <w:lang w:val="en-US" w:eastAsia="zh-CN"/>
              </w:rPr>
              <w:t>c、灭菌废水</w:t>
            </w:r>
          </w:p>
          <w:p w14:paraId="1CA971DF">
            <w:pPr>
              <w:pStyle w:val="122"/>
              <w:keepNext w:val="0"/>
              <w:keepLines w:val="0"/>
              <w:pageBreakBefore w:val="0"/>
              <w:suppressLineNumbers w:val="0"/>
              <w:kinsoku/>
              <w:wordWrap/>
              <w:overflowPunct/>
              <w:topLinePunct w:val="0"/>
              <w:autoSpaceDE/>
              <w:autoSpaceDN/>
              <w:bidi w:val="0"/>
              <w:adjustRightInd w:val="0"/>
              <w:snapToGrid w:val="0"/>
              <w:spacing w:before="0" w:beforeAutospacing="0" w:after="0" w:afterAutospacing="0" w:line="356" w:lineRule="auto"/>
              <w:ind w:left="0" w:right="0"/>
              <w:textAlignment w:val="auto"/>
              <w:rPr>
                <w:rFonts w:hint="default" w:ascii="Times New Roman" w:hAnsi="Times New Roman" w:eastAsia="宋体" w:cs="Times New Roman"/>
                <w:color w:val="auto"/>
                <w:highlight w:val="none"/>
                <w:lang w:val="en-US" w:eastAsia="zh-CN"/>
              </w:rPr>
            </w:pPr>
            <w:r>
              <w:rPr>
                <w:rFonts w:hint="eastAsia" w:ascii="Times New Roman" w:hAnsi="Times New Roman" w:eastAsia="宋体" w:cs="Times New Roman"/>
                <w:color w:val="auto"/>
                <w:highlight w:val="none"/>
              </w:rPr>
              <w:t>根据</w:t>
            </w:r>
            <w:r>
              <w:rPr>
                <w:rFonts w:hint="default" w:ascii="Times New Roman" w:hAnsi="Times New Roman" w:eastAsia="宋体" w:cs="Times New Roman"/>
                <w:color w:val="auto"/>
                <w:highlight w:val="none"/>
              </w:rPr>
              <w:t>水平衡分析，灭菌锅运行过程</w:t>
            </w:r>
            <w:r>
              <w:rPr>
                <w:rFonts w:hint="eastAsia" w:ascii="Times New Roman" w:hAnsi="Times New Roman" w:eastAsia="宋体" w:cs="Times New Roman"/>
                <w:color w:val="auto"/>
                <w:highlight w:val="none"/>
              </w:rPr>
              <w:t>产生</w:t>
            </w:r>
            <w:r>
              <w:rPr>
                <w:rFonts w:hint="default" w:ascii="Times New Roman" w:hAnsi="Times New Roman" w:eastAsia="宋体" w:cs="Times New Roman"/>
                <w:color w:val="auto"/>
                <w:highlight w:val="none"/>
              </w:rPr>
              <w:t>冷凝水</w:t>
            </w:r>
            <w:r>
              <w:rPr>
                <w:rFonts w:hint="eastAsia" w:ascii="Times New Roman" w:hAnsi="Times New Roman" w:eastAsia="宋体" w:cs="Times New Roman"/>
                <w:color w:val="auto"/>
                <w:highlight w:val="none"/>
                <w:lang w:val="en-US" w:eastAsia="zh-CN"/>
              </w:rPr>
              <w:t>52</w:t>
            </w:r>
            <w:r>
              <w:rPr>
                <w:rFonts w:hint="eastAsia" w:ascii="Times New Roman" w:hAnsi="Times New Roman" w:eastAsia="宋体" w:cs="Times New Roman"/>
                <w:color w:val="auto"/>
                <w:highlight w:val="none"/>
              </w:rPr>
              <w:t>0</w:t>
            </w:r>
            <w:r>
              <w:rPr>
                <w:rFonts w:hint="eastAsia" w:ascii="Times New Roman" w:hAnsi="Times New Roman" w:eastAsia="宋体" w:cs="Times New Roman"/>
                <w:color w:val="auto"/>
                <w:highlight w:val="none"/>
                <w:lang w:val="en-US" w:eastAsia="zh-CN"/>
              </w:rPr>
              <w:t>0</w:t>
            </w:r>
            <w:r>
              <w:rPr>
                <w:rFonts w:hint="default" w:ascii="Times New Roman" w:hAnsi="Times New Roman" w:eastAsia="宋体" w:cs="Times New Roman"/>
                <w:color w:val="auto"/>
                <w:highlight w:val="none"/>
              </w:rPr>
              <w:t>t/a</w:t>
            </w:r>
            <w:r>
              <w:rPr>
                <w:rFonts w:hint="eastAsia" w:ascii="Times New Roman" w:hAnsi="Times New Roman" w:eastAsia="宋体" w:cs="Times New Roman"/>
                <w:color w:val="auto"/>
                <w:highlight w:val="none"/>
              </w:rPr>
              <w:t>，由于</w:t>
            </w:r>
            <w:r>
              <w:rPr>
                <w:rFonts w:hint="default" w:ascii="Times New Roman" w:hAnsi="Times New Roman" w:eastAsia="宋体" w:cs="Times New Roman"/>
                <w:color w:val="auto"/>
                <w:highlight w:val="none"/>
              </w:rPr>
              <w:t>灭菌锅</w:t>
            </w:r>
            <w:r>
              <w:rPr>
                <w:rFonts w:hint="eastAsia" w:ascii="Times New Roman" w:hAnsi="Times New Roman" w:eastAsia="宋体" w:cs="Times New Roman"/>
                <w:color w:val="auto"/>
                <w:highlight w:val="none"/>
              </w:rPr>
              <w:t>使用</w:t>
            </w:r>
            <w:r>
              <w:rPr>
                <w:rFonts w:hint="default" w:ascii="Times New Roman" w:hAnsi="Times New Roman" w:eastAsia="宋体" w:cs="Times New Roman"/>
                <w:color w:val="auto"/>
                <w:highlight w:val="none"/>
              </w:rPr>
              <w:t>软水，且</w:t>
            </w:r>
            <w:r>
              <w:rPr>
                <w:rFonts w:hint="eastAsia" w:ascii="Times New Roman" w:hAnsi="Times New Roman" w:eastAsia="宋体" w:cs="Times New Roman"/>
                <w:color w:val="auto"/>
                <w:highlight w:val="none"/>
              </w:rPr>
              <w:t>几乎</w:t>
            </w:r>
            <w:r>
              <w:rPr>
                <w:rFonts w:hint="default" w:ascii="Times New Roman" w:hAnsi="Times New Roman" w:eastAsia="宋体" w:cs="Times New Roman"/>
                <w:color w:val="auto"/>
                <w:highlight w:val="none"/>
              </w:rPr>
              <w:t>不接触物料，因此废水水质为COD</w:t>
            </w:r>
            <w:r>
              <w:rPr>
                <w:rFonts w:hint="eastAsia" w:cs="Times New Roman"/>
                <w:color w:val="auto"/>
                <w:highlight w:val="none"/>
                <w:vertAlign w:val="subscript"/>
                <w:lang w:val="en-US" w:eastAsia="zh-CN"/>
              </w:rPr>
              <w:t>Cr</w:t>
            </w:r>
            <w:r>
              <w:rPr>
                <w:rFonts w:hint="default" w:ascii="Times New Roman" w:hAnsi="Times New Roman" w:eastAsia="宋体" w:cs="Times New Roman"/>
                <w:color w:val="auto"/>
                <w:highlight w:val="none"/>
              </w:rPr>
              <w:t>20mg/L、SS20mg/L</w:t>
            </w:r>
            <w:r>
              <w:rPr>
                <w:rFonts w:hint="eastAsia" w:ascii="Times New Roman" w:hAnsi="Times New Roman" w:eastAsia="宋体" w:cs="Times New Roman"/>
                <w:color w:val="auto"/>
                <w:highlight w:val="none"/>
                <w:lang w:eastAsia="zh-CN"/>
              </w:rPr>
              <w:t>，</w:t>
            </w:r>
            <w:r>
              <w:rPr>
                <w:rFonts w:hint="eastAsia" w:ascii="Times New Roman" w:hAnsi="Times New Roman" w:eastAsia="宋体" w:cs="Times New Roman"/>
                <w:color w:val="auto"/>
                <w:highlight w:val="none"/>
                <w:lang w:val="en-US" w:eastAsia="zh-CN"/>
              </w:rPr>
              <w:t>其中1台ABSL-2区域里的灭菌锅废水（390t/a）采用自带降温水箱，产生的废水排入污水处理站，其余灭菌废水均直接纳管排放。</w:t>
            </w:r>
          </w:p>
          <w:p w14:paraId="2C4C8714">
            <w:pPr>
              <w:keepNext w:val="0"/>
              <w:keepLines w:val="0"/>
              <w:pageBreakBefore w:val="0"/>
              <w:widowControl/>
              <w:numPr>
                <w:ilvl w:val="0"/>
                <w:numId w:val="0"/>
              </w:numPr>
              <w:suppressLineNumbers w:val="0"/>
              <w:kinsoku/>
              <w:wordWrap/>
              <w:overflowPunct/>
              <w:topLinePunct w:val="0"/>
              <w:autoSpaceDE/>
              <w:autoSpaceDN/>
              <w:bidi w:val="0"/>
              <w:adjustRightInd w:val="0"/>
              <w:snapToGrid w:val="0"/>
              <w:spacing w:before="0" w:beforeAutospacing="0" w:after="0" w:afterAutospacing="0" w:line="356" w:lineRule="auto"/>
              <w:ind w:left="0" w:right="0" w:firstLine="482" w:firstLineChars="200"/>
              <w:textAlignment w:val="auto"/>
              <w:rPr>
                <w:rFonts w:hint="default" w:ascii="Times New Roman" w:hAnsi="Times New Roman" w:eastAsia="宋体" w:cs="Times New Roman"/>
                <w:b/>
                <w:bCs/>
                <w:color w:val="000000"/>
                <w:kern w:val="0"/>
                <w:highlight w:val="none"/>
              </w:rPr>
            </w:pPr>
            <w:r>
              <w:rPr>
                <w:rFonts w:hint="eastAsia" w:ascii="Times New Roman" w:hAnsi="Times New Roman" w:eastAsia="宋体" w:cs="Times New Roman"/>
                <w:b/>
                <w:bCs/>
                <w:color w:val="000000"/>
                <w:kern w:val="0"/>
                <w:highlight w:val="none"/>
                <w:lang w:val="en-US" w:eastAsia="zh-CN"/>
              </w:rPr>
              <w:t>d、饲养间清洗废水、洗笼及动物洗烘</w:t>
            </w:r>
            <w:r>
              <w:rPr>
                <w:rFonts w:hint="default" w:ascii="Times New Roman" w:hAnsi="Times New Roman" w:eastAsia="宋体" w:cs="Times New Roman"/>
                <w:b/>
                <w:bCs/>
                <w:color w:val="000000"/>
                <w:kern w:val="0"/>
                <w:highlight w:val="none"/>
              </w:rPr>
              <w:t>废水</w:t>
            </w:r>
            <w:r>
              <w:rPr>
                <w:rFonts w:hint="eastAsia" w:ascii="Times New Roman" w:hAnsi="Times New Roman" w:eastAsia="宋体" w:cs="Times New Roman"/>
                <w:b/>
                <w:bCs/>
                <w:color w:val="000000"/>
                <w:kern w:val="0"/>
                <w:highlight w:val="none"/>
                <w:lang w:eastAsia="zh-CN"/>
              </w:rPr>
              <w:t>、</w:t>
            </w:r>
            <w:r>
              <w:rPr>
                <w:rFonts w:hint="eastAsia" w:ascii="Times New Roman" w:hAnsi="Times New Roman" w:eastAsia="宋体" w:cs="Times New Roman"/>
                <w:b/>
                <w:bCs/>
                <w:color w:val="000000"/>
                <w:kern w:val="0"/>
                <w:highlight w:val="none"/>
                <w:lang w:val="en-US" w:eastAsia="zh-CN"/>
              </w:rPr>
              <w:t>实验室设备清洗废水、动物尿液</w:t>
            </w:r>
            <w:r>
              <w:rPr>
                <w:rFonts w:hint="eastAsia" w:cs="Times New Roman"/>
                <w:b/>
                <w:bCs/>
                <w:color w:val="000000"/>
                <w:kern w:val="0"/>
                <w:highlight w:val="none"/>
                <w:lang w:val="en-US" w:eastAsia="zh-CN"/>
              </w:rPr>
              <w:t>、</w:t>
            </w:r>
            <w:r>
              <w:rPr>
                <w:rFonts w:hint="eastAsia" w:ascii="Times New Roman" w:hAnsi="Times New Roman" w:eastAsia="宋体" w:cs="Times New Roman"/>
                <w:b/>
                <w:bCs/>
                <w:color w:val="000000"/>
                <w:kern w:val="0"/>
                <w:highlight w:val="none"/>
                <w:lang w:val="en-US" w:eastAsia="zh-CN"/>
              </w:rPr>
              <w:t>手术台废水、废气喷淋废水</w:t>
            </w:r>
          </w:p>
          <w:p w14:paraId="15C165A4">
            <w:pPr>
              <w:keepNext w:val="0"/>
              <w:keepLines w:val="0"/>
              <w:pageBreakBefore w:val="0"/>
              <w:suppressLineNumbers w:val="0"/>
              <w:kinsoku/>
              <w:wordWrap/>
              <w:overflowPunct/>
              <w:topLinePunct w:val="0"/>
              <w:autoSpaceDE/>
              <w:autoSpaceDN/>
              <w:bidi w:val="0"/>
              <w:adjustRightInd w:val="0"/>
              <w:snapToGrid w:val="0"/>
              <w:spacing w:before="0" w:beforeAutospacing="0" w:after="0" w:afterAutospacing="0" w:line="356" w:lineRule="auto"/>
              <w:ind w:left="0" w:right="0" w:firstLine="480" w:firstLineChars="200"/>
              <w:textAlignment w:val="auto"/>
              <w:rPr>
                <w:rFonts w:hint="default" w:ascii="Times New Roman" w:hAnsi="Times New Roman" w:eastAsia="宋体" w:cs="Times New Roman"/>
                <w:sz w:val="24"/>
                <w:highlight w:val="none"/>
              </w:rPr>
            </w:pPr>
            <w:r>
              <w:rPr>
                <w:rFonts w:hint="eastAsia" w:ascii="Times New Roman" w:hAnsi="Times New Roman" w:eastAsia="宋体" w:cs="Times New Roman"/>
                <w:sz w:val="24"/>
                <w:highlight w:val="none"/>
              </w:rPr>
              <w:t>根据</w:t>
            </w:r>
            <w:r>
              <w:rPr>
                <w:rFonts w:hint="eastAsia" w:ascii="Times New Roman" w:hAnsi="Times New Roman" w:eastAsia="宋体" w:cs="Times New Roman"/>
                <w:sz w:val="24"/>
                <w:highlight w:val="none"/>
                <w:lang w:val="en-US" w:eastAsia="zh-CN"/>
              </w:rPr>
              <w:t>上文</w:t>
            </w:r>
            <w:r>
              <w:rPr>
                <w:rFonts w:hint="default" w:ascii="Times New Roman" w:hAnsi="Times New Roman" w:eastAsia="宋体" w:cs="Times New Roman"/>
                <w:sz w:val="24"/>
                <w:highlight w:val="none"/>
              </w:rPr>
              <w:t>水平衡分析</w:t>
            </w:r>
            <w:r>
              <w:rPr>
                <w:rFonts w:hint="default" w:ascii="Times New Roman" w:hAnsi="Times New Roman" w:eastAsia="宋体" w:cs="Times New Roman"/>
                <w:b w:val="0"/>
                <w:bCs w:val="0"/>
                <w:sz w:val="24"/>
                <w:highlight w:val="none"/>
              </w:rPr>
              <w:t>，</w:t>
            </w:r>
            <w:r>
              <w:rPr>
                <w:rFonts w:hint="eastAsia" w:ascii="Times New Roman" w:hAnsi="Times New Roman" w:eastAsia="宋体" w:cs="Times New Roman"/>
                <w:b w:val="0"/>
                <w:bCs w:val="0"/>
                <w:color w:val="000000"/>
                <w:kern w:val="0"/>
                <w:highlight w:val="none"/>
                <w:lang w:val="en-US" w:eastAsia="zh-CN"/>
              </w:rPr>
              <w:t>饲养间清洗废水</w:t>
            </w:r>
            <w:r>
              <w:rPr>
                <w:rFonts w:hint="eastAsia" w:ascii="Times New Roman" w:hAnsi="Times New Roman" w:eastAsia="宋体" w:cs="Times New Roman"/>
                <w:b w:val="0"/>
                <w:bCs w:val="0"/>
                <w:sz w:val="24"/>
                <w:highlight w:val="none"/>
              </w:rPr>
              <w:t>（</w:t>
            </w:r>
            <w:r>
              <w:rPr>
                <w:rFonts w:hint="eastAsia" w:ascii="Times New Roman" w:hAnsi="Times New Roman" w:eastAsia="宋体" w:cs="Times New Roman"/>
                <w:b w:val="0"/>
                <w:bCs w:val="0"/>
                <w:sz w:val="24"/>
                <w:highlight w:val="none"/>
                <w:lang w:val="en-US" w:eastAsia="zh-CN"/>
              </w:rPr>
              <w:t>591.3</w:t>
            </w:r>
            <w:r>
              <w:rPr>
                <w:rFonts w:hint="default" w:ascii="Times New Roman" w:hAnsi="Times New Roman" w:eastAsia="宋体" w:cs="Times New Roman"/>
                <w:b w:val="0"/>
                <w:bCs w:val="0"/>
                <w:sz w:val="24"/>
                <w:highlight w:val="none"/>
              </w:rPr>
              <w:t>t/a</w:t>
            </w:r>
            <w:r>
              <w:rPr>
                <w:rFonts w:hint="eastAsia" w:ascii="Times New Roman" w:hAnsi="Times New Roman" w:eastAsia="宋体" w:cs="Times New Roman"/>
                <w:b w:val="0"/>
                <w:bCs w:val="0"/>
                <w:sz w:val="24"/>
                <w:highlight w:val="none"/>
              </w:rPr>
              <w:t>）</w:t>
            </w:r>
            <w:r>
              <w:rPr>
                <w:rFonts w:hint="default" w:ascii="Times New Roman" w:hAnsi="Times New Roman" w:eastAsia="宋体" w:cs="Times New Roman"/>
                <w:b w:val="0"/>
                <w:bCs w:val="0"/>
                <w:sz w:val="24"/>
                <w:highlight w:val="none"/>
              </w:rPr>
              <w:t>、</w:t>
            </w:r>
            <w:r>
              <w:rPr>
                <w:rFonts w:hint="eastAsia" w:ascii="Times New Roman" w:hAnsi="Times New Roman" w:eastAsia="宋体" w:cs="Times New Roman"/>
                <w:b w:val="0"/>
                <w:bCs w:val="0"/>
                <w:color w:val="000000"/>
                <w:kern w:val="0"/>
                <w:highlight w:val="none"/>
                <w:lang w:val="en-US" w:eastAsia="zh-CN"/>
              </w:rPr>
              <w:t>洗笼及动物洗烘</w:t>
            </w:r>
            <w:r>
              <w:rPr>
                <w:rFonts w:hint="default" w:ascii="Times New Roman" w:hAnsi="Times New Roman" w:eastAsia="宋体" w:cs="Times New Roman"/>
                <w:b w:val="0"/>
                <w:bCs w:val="0"/>
                <w:color w:val="000000"/>
                <w:kern w:val="0"/>
                <w:highlight w:val="none"/>
              </w:rPr>
              <w:t>废水</w:t>
            </w:r>
            <w:r>
              <w:rPr>
                <w:rFonts w:hint="eastAsia" w:ascii="Times New Roman" w:hAnsi="Times New Roman" w:eastAsia="宋体" w:cs="Times New Roman"/>
                <w:b w:val="0"/>
                <w:bCs w:val="0"/>
                <w:sz w:val="24"/>
                <w:highlight w:val="none"/>
              </w:rPr>
              <w:t>（</w:t>
            </w:r>
            <w:r>
              <w:rPr>
                <w:rFonts w:hint="eastAsia" w:ascii="Times New Roman" w:hAnsi="Times New Roman" w:eastAsia="宋体" w:cs="Times New Roman"/>
                <w:b w:val="0"/>
                <w:bCs w:val="0"/>
                <w:sz w:val="24"/>
                <w:highlight w:val="none"/>
                <w:lang w:val="en-US" w:eastAsia="zh-CN"/>
              </w:rPr>
              <w:t>1449</w:t>
            </w:r>
            <w:r>
              <w:rPr>
                <w:rFonts w:hint="default" w:ascii="Times New Roman" w:hAnsi="Times New Roman" w:eastAsia="宋体" w:cs="Times New Roman"/>
                <w:b w:val="0"/>
                <w:bCs w:val="0"/>
                <w:sz w:val="24"/>
                <w:highlight w:val="none"/>
              </w:rPr>
              <w:t>t/a</w:t>
            </w:r>
            <w:r>
              <w:rPr>
                <w:rFonts w:hint="eastAsia" w:ascii="Times New Roman" w:hAnsi="Times New Roman" w:eastAsia="宋体" w:cs="Times New Roman"/>
                <w:b w:val="0"/>
                <w:bCs w:val="0"/>
                <w:sz w:val="24"/>
                <w:highlight w:val="none"/>
              </w:rPr>
              <w:t>）</w:t>
            </w:r>
            <w:r>
              <w:rPr>
                <w:rFonts w:hint="eastAsia" w:ascii="Times New Roman" w:hAnsi="Times New Roman" w:eastAsia="宋体" w:cs="Times New Roman"/>
                <w:b w:val="0"/>
                <w:bCs w:val="0"/>
                <w:color w:val="000000"/>
                <w:kern w:val="0"/>
                <w:highlight w:val="none"/>
                <w:lang w:eastAsia="zh-CN"/>
              </w:rPr>
              <w:t>、</w:t>
            </w:r>
            <w:r>
              <w:rPr>
                <w:rFonts w:hint="eastAsia" w:cs="Times New Roman"/>
                <w:b w:val="0"/>
                <w:bCs w:val="0"/>
                <w:color w:val="000000"/>
                <w:kern w:val="0"/>
                <w:highlight w:val="none"/>
                <w:lang w:val="en-US" w:eastAsia="zh-CN"/>
              </w:rPr>
              <w:t>实验动物中心</w:t>
            </w:r>
            <w:r>
              <w:rPr>
                <w:rFonts w:hint="eastAsia" w:ascii="Times New Roman" w:hAnsi="Times New Roman" w:eastAsia="宋体" w:cs="Times New Roman"/>
                <w:b w:val="0"/>
                <w:bCs w:val="0"/>
                <w:color w:val="000000"/>
                <w:kern w:val="0"/>
                <w:highlight w:val="none"/>
                <w:lang w:val="en-US" w:eastAsia="zh-CN"/>
              </w:rPr>
              <w:t>实验室设备第二道清洗废水</w:t>
            </w:r>
            <w:r>
              <w:rPr>
                <w:rFonts w:hint="eastAsia" w:ascii="Times New Roman" w:hAnsi="Times New Roman" w:eastAsia="宋体" w:cs="Times New Roman"/>
                <w:b w:val="0"/>
                <w:bCs w:val="0"/>
                <w:sz w:val="24"/>
                <w:highlight w:val="none"/>
              </w:rPr>
              <w:t>（2</w:t>
            </w:r>
            <w:r>
              <w:rPr>
                <w:rFonts w:hint="eastAsia" w:ascii="Times New Roman" w:hAnsi="Times New Roman" w:eastAsia="宋体" w:cs="Times New Roman"/>
                <w:b w:val="0"/>
                <w:bCs w:val="0"/>
                <w:sz w:val="24"/>
                <w:highlight w:val="none"/>
                <w:lang w:val="en-US" w:eastAsia="zh-CN"/>
              </w:rPr>
              <w:t>574</w:t>
            </w:r>
            <w:r>
              <w:rPr>
                <w:rFonts w:hint="default" w:ascii="Times New Roman" w:hAnsi="Times New Roman" w:eastAsia="宋体" w:cs="Times New Roman"/>
                <w:b w:val="0"/>
                <w:bCs w:val="0"/>
                <w:sz w:val="24"/>
                <w:highlight w:val="none"/>
              </w:rPr>
              <w:t>t/a</w:t>
            </w:r>
            <w:r>
              <w:rPr>
                <w:rFonts w:hint="eastAsia" w:ascii="Times New Roman" w:hAnsi="Times New Roman" w:eastAsia="宋体" w:cs="Times New Roman"/>
                <w:b w:val="0"/>
                <w:bCs w:val="0"/>
                <w:sz w:val="24"/>
                <w:highlight w:val="none"/>
              </w:rPr>
              <w:t>）</w:t>
            </w:r>
            <w:r>
              <w:rPr>
                <w:rFonts w:hint="eastAsia" w:ascii="Times New Roman" w:hAnsi="Times New Roman" w:eastAsia="宋体" w:cs="Times New Roman"/>
                <w:b w:val="0"/>
                <w:bCs w:val="0"/>
                <w:sz w:val="24"/>
                <w:highlight w:val="none"/>
                <w:lang w:eastAsia="zh-CN"/>
              </w:rPr>
              <w:t>、</w:t>
            </w:r>
            <w:r>
              <w:rPr>
                <w:rFonts w:hint="default" w:ascii="Times New Roman" w:hAnsi="Times New Roman" w:eastAsia="宋体" w:cs="Times New Roman"/>
                <w:b w:val="0"/>
                <w:bCs w:val="0"/>
                <w:sz w:val="24"/>
                <w:highlight w:val="none"/>
              </w:rPr>
              <w:t>手术台废水</w:t>
            </w:r>
            <w:r>
              <w:rPr>
                <w:rFonts w:hint="eastAsia" w:ascii="Times New Roman" w:hAnsi="Times New Roman" w:eastAsia="宋体" w:cs="Times New Roman"/>
                <w:b w:val="0"/>
                <w:bCs w:val="0"/>
                <w:sz w:val="24"/>
                <w:highlight w:val="none"/>
                <w:lang w:eastAsia="zh-CN"/>
              </w:rPr>
              <w:t>（</w:t>
            </w:r>
            <w:r>
              <w:rPr>
                <w:rFonts w:hint="eastAsia" w:ascii="Times New Roman" w:hAnsi="Times New Roman" w:eastAsia="宋体" w:cs="Times New Roman"/>
                <w:b w:val="0"/>
                <w:bCs w:val="0"/>
                <w:sz w:val="24"/>
                <w:highlight w:val="none"/>
                <w:lang w:val="en-US" w:eastAsia="zh-CN"/>
              </w:rPr>
              <w:t>163.8</w:t>
            </w:r>
            <w:r>
              <w:rPr>
                <w:rFonts w:hint="default" w:ascii="Times New Roman" w:hAnsi="Times New Roman" w:eastAsia="宋体" w:cs="Times New Roman"/>
                <w:b w:val="0"/>
                <w:bCs w:val="0"/>
                <w:sz w:val="24"/>
                <w:highlight w:val="none"/>
              </w:rPr>
              <w:t>t/a</w:t>
            </w:r>
            <w:r>
              <w:rPr>
                <w:rFonts w:hint="eastAsia" w:ascii="Times New Roman" w:hAnsi="Times New Roman" w:eastAsia="宋体" w:cs="Times New Roman"/>
                <w:b w:val="0"/>
                <w:bCs w:val="0"/>
                <w:sz w:val="24"/>
                <w:highlight w:val="none"/>
                <w:lang w:eastAsia="zh-CN"/>
              </w:rPr>
              <w:t>）</w:t>
            </w:r>
            <w:r>
              <w:rPr>
                <w:rFonts w:hint="eastAsia" w:ascii="Times New Roman" w:hAnsi="Times New Roman" w:eastAsia="宋体" w:cs="Times New Roman"/>
                <w:b w:val="0"/>
                <w:bCs w:val="0"/>
                <w:sz w:val="24"/>
                <w:highlight w:val="none"/>
              </w:rPr>
              <w:t>、</w:t>
            </w:r>
            <w:r>
              <w:rPr>
                <w:rFonts w:hint="eastAsia" w:ascii="Times New Roman" w:hAnsi="Times New Roman" w:eastAsia="宋体" w:cs="Times New Roman"/>
                <w:b w:val="0"/>
                <w:bCs w:val="0"/>
                <w:sz w:val="24"/>
                <w:highlight w:val="none"/>
                <w:lang w:val="en-US" w:eastAsia="zh-CN"/>
              </w:rPr>
              <w:t>废气</w:t>
            </w:r>
            <w:r>
              <w:rPr>
                <w:rFonts w:hint="eastAsia" w:ascii="Times New Roman" w:hAnsi="Times New Roman" w:eastAsia="宋体" w:cs="Times New Roman"/>
                <w:b w:val="0"/>
                <w:bCs w:val="0"/>
                <w:sz w:val="24"/>
                <w:highlight w:val="none"/>
              </w:rPr>
              <w:t>喷淋废水（</w:t>
            </w:r>
            <w:r>
              <w:rPr>
                <w:rFonts w:hint="eastAsia" w:ascii="Times New Roman" w:hAnsi="Times New Roman" w:eastAsia="宋体" w:cs="Times New Roman"/>
                <w:b w:val="0"/>
                <w:bCs w:val="0"/>
                <w:sz w:val="24"/>
                <w:highlight w:val="none"/>
                <w:lang w:val="en-US" w:eastAsia="zh-CN"/>
              </w:rPr>
              <w:t>6</w:t>
            </w:r>
            <w:r>
              <w:rPr>
                <w:rFonts w:hint="eastAsia" w:ascii="Times New Roman" w:hAnsi="Times New Roman" w:eastAsia="宋体" w:cs="Times New Roman"/>
                <w:b w:val="0"/>
                <w:bCs w:val="0"/>
                <w:sz w:val="24"/>
                <w:highlight w:val="none"/>
              </w:rPr>
              <w:t>0</w:t>
            </w:r>
            <w:r>
              <w:rPr>
                <w:rFonts w:hint="default" w:ascii="Times New Roman" w:hAnsi="Times New Roman" w:eastAsia="宋体" w:cs="Times New Roman"/>
                <w:b w:val="0"/>
                <w:bCs w:val="0"/>
                <w:sz w:val="24"/>
                <w:highlight w:val="none"/>
              </w:rPr>
              <w:t>t/a</w:t>
            </w:r>
            <w:r>
              <w:rPr>
                <w:rFonts w:hint="eastAsia" w:ascii="Times New Roman" w:hAnsi="Times New Roman" w:eastAsia="宋体" w:cs="Times New Roman"/>
                <w:b w:val="0"/>
                <w:bCs w:val="0"/>
                <w:sz w:val="24"/>
                <w:highlight w:val="none"/>
              </w:rPr>
              <w:t>）</w:t>
            </w:r>
            <w:r>
              <w:rPr>
                <w:rFonts w:hint="eastAsia" w:cs="Times New Roman"/>
                <w:b w:val="0"/>
                <w:bCs w:val="0"/>
                <w:sz w:val="24"/>
                <w:highlight w:val="none"/>
                <w:lang w:eastAsia="zh-CN"/>
              </w:rPr>
              <w:t>、</w:t>
            </w:r>
            <w:r>
              <w:rPr>
                <w:rFonts w:hint="eastAsia" w:cs="Times New Roman"/>
                <w:b w:val="0"/>
                <w:bCs w:val="0"/>
                <w:color w:val="000000"/>
                <w:kern w:val="0"/>
                <w:highlight w:val="none"/>
                <w:lang w:val="en-US" w:eastAsia="zh-CN"/>
              </w:rPr>
              <w:t>实验动物中心</w:t>
            </w:r>
            <w:r>
              <w:rPr>
                <w:rFonts w:hint="eastAsia" w:ascii="Times New Roman" w:hAnsi="Times New Roman" w:eastAsia="宋体" w:cs="Times New Roman"/>
                <w:b w:val="0"/>
                <w:bCs w:val="0"/>
                <w:color w:val="000000"/>
                <w:kern w:val="0"/>
                <w:highlight w:val="none"/>
                <w:lang w:val="en-US" w:eastAsia="zh-CN"/>
              </w:rPr>
              <w:t>实验室设备</w:t>
            </w:r>
            <w:r>
              <w:rPr>
                <w:rFonts w:hint="eastAsia" w:ascii="Times New Roman" w:hAnsi="Times New Roman" w:eastAsia="宋体" w:cs="Times New Roman"/>
                <w:b w:val="0"/>
                <w:bCs w:val="0"/>
                <w:sz w:val="24"/>
                <w:highlight w:val="none"/>
                <w:lang w:val="en-US" w:eastAsia="zh-CN"/>
              </w:rPr>
              <w:t>纯水清洗废水（234</w:t>
            </w:r>
            <w:r>
              <w:rPr>
                <w:rFonts w:hint="default" w:ascii="Times New Roman" w:hAnsi="Times New Roman" w:eastAsia="宋体" w:cs="Times New Roman"/>
                <w:b w:val="0"/>
                <w:bCs w:val="0"/>
                <w:sz w:val="24"/>
                <w:highlight w:val="none"/>
              </w:rPr>
              <w:t>t/a</w:t>
            </w:r>
            <w:r>
              <w:rPr>
                <w:rFonts w:hint="eastAsia" w:ascii="Times New Roman" w:hAnsi="Times New Roman" w:eastAsia="宋体" w:cs="Times New Roman"/>
                <w:b w:val="0"/>
                <w:bCs w:val="0"/>
                <w:sz w:val="24"/>
                <w:highlight w:val="none"/>
                <w:lang w:val="en-US" w:eastAsia="zh-CN"/>
              </w:rPr>
              <w:t>）</w:t>
            </w:r>
            <w:r>
              <w:rPr>
                <w:rFonts w:hint="eastAsia" w:cs="Times New Roman"/>
                <w:b w:val="0"/>
                <w:bCs w:val="0"/>
                <w:sz w:val="24"/>
                <w:highlight w:val="none"/>
                <w:lang w:val="en-US" w:eastAsia="zh-CN"/>
              </w:rPr>
              <w:t>和动物尿液（788.4</w:t>
            </w:r>
            <w:r>
              <w:rPr>
                <w:rFonts w:hint="default" w:ascii="Times New Roman" w:hAnsi="Times New Roman" w:eastAsia="宋体" w:cs="Times New Roman"/>
                <w:b w:val="0"/>
                <w:bCs w:val="0"/>
                <w:sz w:val="24"/>
                <w:highlight w:val="none"/>
              </w:rPr>
              <w:t>t/a</w:t>
            </w:r>
            <w:r>
              <w:rPr>
                <w:rFonts w:hint="eastAsia" w:cs="Times New Roman"/>
                <w:b w:val="0"/>
                <w:bCs w:val="0"/>
                <w:sz w:val="24"/>
                <w:highlight w:val="none"/>
                <w:lang w:val="en-US" w:eastAsia="zh-CN"/>
              </w:rPr>
              <w:t>）</w:t>
            </w:r>
            <w:r>
              <w:rPr>
                <w:rFonts w:hint="eastAsia" w:ascii="Times New Roman" w:hAnsi="Times New Roman" w:eastAsia="宋体" w:cs="Times New Roman"/>
                <w:b w:val="0"/>
                <w:bCs w:val="0"/>
                <w:sz w:val="24"/>
                <w:highlight w:val="none"/>
              </w:rPr>
              <w:t>等产生</w:t>
            </w:r>
            <w:r>
              <w:rPr>
                <w:rFonts w:hint="default" w:ascii="Times New Roman" w:hAnsi="Times New Roman" w:eastAsia="宋体" w:cs="Times New Roman"/>
                <w:b w:val="0"/>
                <w:bCs w:val="0"/>
                <w:sz w:val="24"/>
                <w:highlight w:val="none"/>
              </w:rPr>
              <w:t>量约为</w:t>
            </w:r>
            <w:r>
              <w:rPr>
                <w:rFonts w:hint="eastAsia" w:ascii="Times New Roman" w:hAnsi="Times New Roman" w:eastAsia="宋体" w:cs="Times New Roman"/>
                <w:b w:val="0"/>
                <w:bCs w:val="0"/>
                <w:sz w:val="24"/>
                <w:highlight w:val="none"/>
                <w:lang w:val="en-US" w:eastAsia="zh-CN"/>
              </w:rPr>
              <w:t>5</w:t>
            </w:r>
            <w:r>
              <w:rPr>
                <w:rFonts w:hint="eastAsia" w:cs="Times New Roman"/>
                <w:b w:val="0"/>
                <w:bCs w:val="0"/>
                <w:sz w:val="24"/>
                <w:highlight w:val="none"/>
                <w:lang w:val="en-US" w:eastAsia="zh-CN"/>
              </w:rPr>
              <w:t>860</w:t>
            </w:r>
            <w:r>
              <w:rPr>
                <w:rFonts w:hint="eastAsia" w:ascii="Times New Roman" w:hAnsi="Times New Roman" w:eastAsia="宋体" w:cs="Times New Roman"/>
                <w:b w:val="0"/>
                <w:bCs w:val="0"/>
                <w:sz w:val="24"/>
                <w:highlight w:val="none"/>
                <w:lang w:val="en-US" w:eastAsia="zh-CN"/>
              </w:rPr>
              <w:t>.</w:t>
            </w:r>
            <w:r>
              <w:rPr>
                <w:rFonts w:hint="eastAsia" w:cs="Times New Roman"/>
                <w:b w:val="0"/>
                <w:bCs w:val="0"/>
                <w:sz w:val="24"/>
                <w:highlight w:val="none"/>
                <w:lang w:val="en-US" w:eastAsia="zh-CN"/>
              </w:rPr>
              <w:t>5</w:t>
            </w:r>
            <w:r>
              <w:rPr>
                <w:rFonts w:hint="default" w:ascii="Times New Roman" w:hAnsi="Times New Roman" w:eastAsia="宋体" w:cs="Times New Roman"/>
                <w:b w:val="0"/>
                <w:bCs w:val="0"/>
                <w:sz w:val="24"/>
                <w:highlight w:val="none"/>
              </w:rPr>
              <w:t>t/a，</w:t>
            </w:r>
            <w:r>
              <w:rPr>
                <w:rFonts w:hint="default" w:ascii="Times New Roman" w:hAnsi="Times New Roman" w:eastAsia="宋体" w:cs="Times New Roman"/>
                <w:b w:val="0"/>
                <w:bCs w:val="0"/>
                <w:color w:val="000000"/>
                <w:kern w:val="0"/>
                <w:sz w:val="24"/>
                <w:szCs w:val="24"/>
                <w:highlight w:val="none"/>
              </w:rPr>
              <w:t>参照浙江喜鼠生物科技有限公司</w:t>
            </w:r>
            <w:r>
              <w:rPr>
                <w:rFonts w:hint="eastAsia" w:ascii="Times New Roman" w:hAnsi="Times New Roman" w:eastAsia="宋体" w:cs="Times New Roman"/>
                <w:color w:val="000000"/>
                <w:kern w:val="0"/>
                <w:sz w:val="24"/>
                <w:szCs w:val="24"/>
                <w:highlight w:val="none"/>
                <w:lang w:val="en-US" w:eastAsia="zh-CN"/>
              </w:rPr>
              <w:t>现有动物</w:t>
            </w:r>
            <w:r>
              <w:rPr>
                <w:rFonts w:hint="default" w:ascii="Times New Roman" w:hAnsi="Times New Roman" w:eastAsia="宋体" w:cs="Times New Roman"/>
                <w:color w:val="000000"/>
                <w:kern w:val="0"/>
                <w:sz w:val="24"/>
                <w:szCs w:val="24"/>
                <w:highlight w:val="none"/>
              </w:rPr>
              <w:t>实验室</w:t>
            </w:r>
            <w:r>
              <w:rPr>
                <w:rFonts w:hint="eastAsia" w:ascii="Times New Roman" w:hAnsi="Times New Roman" w:eastAsia="宋体" w:cs="Times New Roman"/>
                <w:color w:val="000000"/>
                <w:kern w:val="0"/>
                <w:sz w:val="24"/>
                <w:szCs w:val="24"/>
                <w:highlight w:val="none"/>
                <w:lang w:val="en-US" w:eastAsia="zh-CN"/>
              </w:rPr>
              <w:t>调节池</w:t>
            </w:r>
            <w:r>
              <w:rPr>
                <w:rFonts w:hint="default" w:ascii="Times New Roman" w:hAnsi="Times New Roman" w:eastAsia="宋体" w:cs="Times New Roman"/>
                <w:color w:val="000000"/>
                <w:kern w:val="0"/>
                <w:sz w:val="24"/>
                <w:szCs w:val="24"/>
                <w:highlight w:val="none"/>
              </w:rPr>
              <w:t>水质</w:t>
            </w:r>
            <w:r>
              <w:rPr>
                <w:rFonts w:hint="eastAsia" w:ascii="Times New Roman" w:hAnsi="Times New Roman" w:eastAsia="宋体" w:cs="Times New Roman"/>
                <w:color w:val="000000"/>
                <w:kern w:val="0"/>
                <w:sz w:val="24"/>
                <w:szCs w:val="24"/>
                <w:highlight w:val="none"/>
                <w:lang w:val="en-US" w:eastAsia="zh-CN"/>
              </w:rPr>
              <w:t>监测</w:t>
            </w:r>
            <w:r>
              <w:rPr>
                <w:rFonts w:hint="default" w:ascii="Times New Roman" w:hAnsi="Times New Roman" w:eastAsia="宋体" w:cs="Times New Roman"/>
                <w:color w:val="000000"/>
                <w:kern w:val="0"/>
                <w:sz w:val="24"/>
                <w:szCs w:val="24"/>
                <w:highlight w:val="none"/>
              </w:rPr>
              <w:t>数据，主要污染物为COD</w:t>
            </w:r>
            <w:r>
              <w:rPr>
                <w:rFonts w:hint="default" w:ascii="Times New Roman" w:hAnsi="Times New Roman" w:eastAsia="宋体" w:cs="Times New Roman"/>
                <w:color w:val="000000"/>
                <w:kern w:val="0"/>
                <w:sz w:val="24"/>
                <w:szCs w:val="24"/>
                <w:highlight w:val="none"/>
                <w:vertAlign w:val="subscript"/>
              </w:rPr>
              <w:t>Cr</w:t>
            </w:r>
            <w:r>
              <w:rPr>
                <w:rFonts w:hint="default" w:ascii="Times New Roman" w:hAnsi="Times New Roman" w:eastAsia="宋体" w:cs="Times New Roman"/>
                <w:color w:val="000000"/>
                <w:kern w:val="0"/>
                <w:sz w:val="24"/>
                <w:szCs w:val="24"/>
                <w:highlight w:val="none"/>
              </w:rPr>
              <w:t>、NH</w:t>
            </w:r>
            <w:r>
              <w:rPr>
                <w:rFonts w:hint="default" w:ascii="Times New Roman" w:hAnsi="Times New Roman" w:eastAsia="宋体" w:cs="Times New Roman"/>
                <w:color w:val="000000"/>
                <w:kern w:val="0"/>
                <w:sz w:val="24"/>
                <w:szCs w:val="24"/>
                <w:highlight w:val="none"/>
                <w:vertAlign w:val="subscript"/>
              </w:rPr>
              <w:t>3</w:t>
            </w:r>
            <w:r>
              <w:rPr>
                <w:rFonts w:hint="default" w:ascii="Times New Roman" w:hAnsi="Times New Roman" w:eastAsia="宋体" w:cs="Times New Roman"/>
                <w:color w:val="000000"/>
                <w:kern w:val="0"/>
                <w:sz w:val="24"/>
                <w:szCs w:val="24"/>
                <w:highlight w:val="none"/>
              </w:rPr>
              <w:t>-N、SS、粪大肠菌群数，产生浓度分别取COD</w:t>
            </w:r>
            <w:r>
              <w:rPr>
                <w:rFonts w:hint="default" w:ascii="Times New Roman" w:hAnsi="Times New Roman" w:eastAsia="宋体" w:cs="Times New Roman"/>
                <w:color w:val="000000"/>
                <w:kern w:val="0"/>
                <w:sz w:val="24"/>
                <w:szCs w:val="24"/>
                <w:highlight w:val="none"/>
                <w:vertAlign w:val="subscript"/>
              </w:rPr>
              <w:t>Cr</w:t>
            </w:r>
            <w:r>
              <w:rPr>
                <w:rFonts w:hint="eastAsia" w:ascii="Times New Roman" w:hAnsi="Times New Roman" w:eastAsia="宋体" w:cs="Times New Roman"/>
                <w:color w:val="000000"/>
                <w:kern w:val="0"/>
                <w:sz w:val="24"/>
                <w:szCs w:val="24"/>
                <w:highlight w:val="none"/>
                <w:lang w:val="en-US" w:eastAsia="zh-CN"/>
              </w:rPr>
              <w:t>10</w:t>
            </w:r>
            <w:r>
              <w:rPr>
                <w:rFonts w:hint="default" w:ascii="Times New Roman" w:hAnsi="Times New Roman" w:eastAsia="宋体" w:cs="Times New Roman"/>
                <w:color w:val="000000"/>
                <w:kern w:val="0"/>
                <w:sz w:val="24"/>
                <w:szCs w:val="24"/>
                <w:highlight w:val="none"/>
              </w:rPr>
              <w:t>00mg/L、NH</w:t>
            </w:r>
            <w:r>
              <w:rPr>
                <w:rFonts w:hint="default" w:ascii="Times New Roman" w:hAnsi="Times New Roman" w:eastAsia="宋体" w:cs="Times New Roman"/>
                <w:color w:val="000000"/>
                <w:kern w:val="0"/>
                <w:sz w:val="24"/>
                <w:szCs w:val="24"/>
                <w:highlight w:val="none"/>
                <w:vertAlign w:val="subscript"/>
              </w:rPr>
              <w:t>3</w:t>
            </w:r>
            <w:r>
              <w:rPr>
                <w:rFonts w:hint="default" w:ascii="Times New Roman" w:hAnsi="Times New Roman" w:eastAsia="宋体" w:cs="Times New Roman"/>
                <w:color w:val="000000"/>
                <w:kern w:val="0"/>
                <w:sz w:val="24"/>
                <w:szCs w:val="24"/>
                <w:highlight w:val="none"/>
              </w:rPr>
              <w:t>-N50mg/L、SS120mg/L、粪大肠菌群数</w:t>
            </w:r>
            <w:r>
              <w:rPr>
                <w:rFonts w:hint="eastAsia" w:ascii="Times New Roman" w:hAnsi="Times New Roman" w:eastAsia="宋体" w:cs="Times New Roman"/>
                <w:color w:val="000000"/>
                <w:kern w:val="0"/>
                <w:sz w:val="24"/>
                <w:szCs w:val="24"/>
                <w:highlight w:val="none"/>
                <w:lang w:val="en-US" w:eastAsia="zh-CN"/>
              </w:rPr>
              <w:t>2</w:t>
            </w:r>
            <w:r>
              <w:rPr>
                <w:rFonts w:hint="default" w:ascii="Times New Roman" w:hAnsi="Times New Roman" w:eastAsia="宋体" w:cs="Times New Roman"/>
                <w:color w:val="000000"/>
                <w:kern w:val="0"/>
                <w:sz w:val="24"/>
                <w:szCs w:val="24"/>
                <w:highlight w:val="none"/>
              </w:rPr>
              <w:t>.0×10</w:t>
            </w:r>
            <w:r>
              <w:rPr>
                <w:rFonts w:hint="default" w:ascii="Times New Roman" w:hAnsi="Times New Roman" w:eastAsia="宋体" w:cs="Times New Roman"/>
                <w:color w:val="000000"/>
                <w:kern w:val="0"/>
                <w:sz w:val="24"/>
                <w:szCs w:val="24"/>
                <w:highlight w:val="none"/>
                <w:vertAlign w:val="superscript"/>
              </w:rPr>
              <w:t>8</w:t>
            </w:r>
            <w:r>
              <w:rPr>
                <w:rFonts w:hint="default" w:ascii="Times New Roman" w:hAnsi="Times New Roman" w:eastAsia="宋体" w:cs="Times New Roman"/>
                <w:color w:val="000000"/>
                <w:kern w:val="0"/>
                <w:sz w:val="24"/>
                <w:szCs w:val="24"/>
                <w:highlight w:val="none"/>
              </w:rPr>
              <w:t>个/L。则</w:t>
            </w:r>
            <w:r>
              <w:rPr>
                <w:rFonts w:hint="eastAsia" w:ascii="Times New Roman" w:hAnsi="Times New Roman" w:eastAsia="宋体" w:cs="Times New Roman"/>
                <w:color w:val="000000"/>
                <w:kern w:val="0"/>
                <w:sz w:val="24"/>
                <w:szCs w:val="24"/>
                <w:highlight w:val="none"/>
                <w:lang w:val="en-US" w:eastAsia="zh-CN"/>
              </w:rPr>
              <w:t>各类</w:t>
            </w:r>
            <w:r>
              <w:rPr>
                <w:rFonts w:hint="default" w:ascii="Times New Roman" w:hAnsi="Times New Roman" w:eastAsia="宋体" w:cs="Times New Roman"/>
                <w:color w:val="000000"/>
                <w:kern w:val="0"/>
                <w:sz w:val="24"/>
                <w:szCs w:val="24"/>
                <w:highlight w:val="none"/>
              </w:rPr>
              <w:t>废水污染物</w:t>
            </w:r>
            <w:r>
              <w:rPr>
                <w:rFonts w:hint="eastAsia" w:ascii="Times New Roman" w:hAnsi="Times New Roman" w:eastAsia="宋体" w:cs="Times New Roman"/>
                <w:color w:val="000000"/>
                <w:kern w:val="0"/>
                <w:sz w:val="24"/>
                <w:szCs w:val="24"/>
                <w:highlight w:val="none"/>
                <w:lang w:val="en-US" w:eastAsia="zh-CN"/>
              </w:rPr>
              <w:t>合计</w:t>
            </w:r>
            <w:r>
              <w:rPr>
                <w:rFonts w:hint="default" w:ascii="Times New Roman" w:hAnsi="Times New Roman" w:eastAsia="宋体" w:cs="Times New Roman"/>
                <w:color w:val="000000"/>
                <w:kern w:val="0"/>
                <w:sz w:val="24"/>
                <w:szCs w:val="24"/>
                <w:highlight w:val="none"/>
              </w:rPr>
              <w:t>产生量COD</w:t>
            </w:r>
            <w:r>
              <w:rPr>
                <w:rFonts w:hint="default" w:ascii="Times New Roman" w:hAnsi="Times New Roman" w:eastAsia="宋体" w:cs="Times New Roman"/>
                <w:color w:val="000000"/>
                <w:kern w:val="0"/>
                <w:sz w:val="24"/>
                <w:szCs w:val="24"/>
                <w:highlight w:val="none"/>
                <w:vertAlign w:val="subscript"/>
              </w:rPr>
              <w:t>Cr</w:t>
            </w:r>
            <w:r>
              <w:rPr>
                <w:rFonts w:hint="eastAsia" w:ascii="Times New Roman" w:hAnsi="Times New Roman" w:eastAsia="宋体" w:cs="Times New Roman"/>
                <w:color w:val="000000"/>
                <w:kern w:val="0"/>
                <w:sz w:val="24"/>
                <w:szCs w:val="24"/>
                <w:highlight w:val="none"/>
                <w:vertAlign w:val="baseline"/>
                <w:lang w:val="en-US" w:eastAsia="zh-CN"/>
              </w:rPr>
              <w:t>4</w:t>
            </w:r>
            <w:r>
              <w:rPr>
                <w:rFonts w:hint="default" w:ascii="Times New Roman" w:hAnsi="Times New Roman" w:eastAsia="宋体" w:cs="Times New Roman"/>
                <w:color w:val="000000"/>
                <w:kern w:val="0"/>
                <w:sz w:val="24"/>
                <w:szCs w:val="24"/>
                <w:highlight w:val="none"/>
                <w:vertAlign w:val="baseline"/>
              </w:rPr>
              <w:t>.</w:t>
            </w:r>
            <w:r>
              <w:rPr>
                <w:rFonts w:hint="eastAsia" w:ascii="Times New Roman" w:hAnsi="Times New Roman" w:eastAsia="宋体" w:cs="Times New Roman"/>
                <w:color w:val="000000"/>
                <w:kern w:val="0"/>
                <w:sz w:val="24"/>
                <w:szCs w:val="24"/>
                <w:highlight w:val="none"/>
                <w:vertAlign w:val="baseline"/>
                <w:lang w:val="en-US" w:eastAsia="zh-CN"/>
              </w:rPr>
              <w:t>838</w:t>
            </w:r>
            <w:r>
              <w:rPr>
                <w:rFonts w:hint="default" w:ascii="Times New Roman" w:hAnsi="Times New Roman" w:eastAsia="宋体" w:cs="Times New Roman"/>
                <w:color w:val="000000"/>
                <w:kern w:val="0"/>
                <w:sz w:val="24"/>
                <w:szCs w:val="24"/>
                <w:highlight w:val="none"/>
              </w:rPr>
              <w:t>t/a、NH</w:t>
            </w:r>
            <w:r>
              <w:rPr>
                <w:rFonts w:hint="default" w:ascii="Times New Roman" w:hAnsi="Times New Roman" w:eastAsia="宋体" w:cs="Times New Roman"/>
                <w:color w:val="000000"/>
                <w:kern w:val="0"/>
                <w:sz w:val="24"/>
                <w:szCs w:val="24"/>
                <w:highlight w:val="none"/>
                <w:vertAlign w:val="subscript"/>
              </w:rPr>
              <w:t>3</w:t>
            </w:r>
            <w:r>
              <w:rPr>
                <w:rFonts w:hint="default" w:ascii="Times New Roman" w:hAnsi="Times New Roman" w:eastAsia="宋体" w:cs="Times New Roman"/>
                <w:color w:val="000000"/>
                <w:kern w:val="0"/>
                <w:sz w:val="24"/>
                <w:szCs w:val="24"/>
                <w:highlight w:val="none"/>
              </w:rPr>
              <w:t>-N0.</w:t>
            </w:r>
            <w:r>
              <w:rPr>
                <w:rFonts w:hint="eastAsia" w:ascii="Times New Roman" w:hAnsi="Times New Roman" w:eastAsia="宋体" w:cs="Times New Roman"/>
                <w:color w:val="000000"/>
                <w:kern w:val="0"/>
                <w:sz w:val="24"/>
                <w:szCs w:val="24"/>
                <w:highlight w:val="none"/>
                <w:lang w:val="en-US" w:eastAsia="zh-CN"/>
              </w:rPr>
              <w:t>242</w:t>
            </w:r>
            <w:r>
              <w:rPr>
                <w:rFonts w:hint="default" w:ascii="Times New Roman" w:hAnsi="Times New Roman" w:eastAsia="宋体" w:cs="Times New Roman"/>
                <w:color w:val="000000"/>
                <w:kern w:val="0"/>
                <w:sz w:val="24"/>
                <w:szCs w:val="24"/>
                <w:highlight w:val="none"/>
              </w:rPr>
              <w:t>t/a、SS0.</w:t>
            </w:r>
            <w:r>
              <w:rPr>
                <w:rFonts w:hint="eastAsia" w:ascii="Times New Roman" w:hAnsi="Times New Roman" w:eastAsia="宋体" w:cs="Times New Roman"/>
                <w:color w:val="000000"/>
                <w:kern w:val="0"/>
                <w:sz w:val="24"/>
                <w:szCs w:val="24"/>
                <w:highlight w:val="none"/>
                <w:lang w:val="en-US" w:eastAsia="zh-CN"/>
              </w:rPr>
              <w:t>581</w:t>
            </w:r>
            <w:r>
              <w:rPr>
                <w:rFonts w:hint="default" w:ascii="Times New Roman" w:hAnsi="Times New Roman" w:eastAsia="宋体" w:cs="Times New Roman"/>
                <w:color w:val="000000"/>
                <w:kern w:val="0"/>
                <w:sz w:val="24"/>
                <w:szCs w:val="24"/>
                <w:highlight w:val="none"/>
              </w:rPr>
              <w:t>t/a、粪大肠菌群数</w:t>
            </w:r>
            <w:r>
              <w:rPr>
                <w:rFonts w:hint="eastAsia" w:ascii="Times New Roman" w:hAnsi="Times New Roman" w:eastAsia="宋体" w:cs="Times New Roman"/>
                <w:color w:val="000000"/>
                <w:kern w:val="0"/>
                <w:sz w:val="24"/>
                <w:szCs w:val="24"/>
                <w:highlight w:val="none"/>
                <w:lang w:val="en-US" w:eastAsia="zh-CN"/>
              </w:rPr>
              <w:t>9.68</w:t>
            </w:r>
            <w:r>
              <w:rPr>
                <w:rFonts w:hint="default" w:ascii="Times New Roman" w:hAnsi="Times New Roman" w:eastAsia="宋体" w:cs="Times New Roman"/>
                <w:color w:val="000000"/>
                <w:kern w:val="0"/>
                <w:sz w:val="24"/>
                <w:szCs w:val="24"/>
                <w:highlight w:val="none"/>
              </w:rPr>
              <w:t>×10</w:t>
            </w:r>
            <w:r>
              <w:rPr>
                <w:rFonts w:hint="default" w:ascii="Times New Roman" w:hAnsi="Times New Roman" w:eastAsia="宋体" w:cs="Times New Roman"/>
                <w:color w:val="000000"/>
                <w:kern w:val="0"/>
                <w:sz w:val="24"/>
                <w:szCs w:val="24"/>
                <w:highlight w:val="none"/>
                <w:vertAlign w:val="superscript"/>
              </w:rPr>
              <w:t>1</w:t>
            </w:r>
            <w:r>
              <w:rPr>
                <w:rFonts w:hint="eastAsia" w:ascii="Times New Roman" w:hAnsi="Times New Roman" w:eastAsia="宋体" w:cs="Times New Roman"/>
                <w:color w:val="000000"/>
                <w:kern w:val="0"/>
                <w:sz w:val="24"/>
                <w:szCs w:val="24"/>
                <w:highlight w:val="none"/>
                <w:vertAlign w:val="superscript"/>
                <w:lang w:val="en-US" w:eastAsia="zh-CN"/>
              </w:rPr>
              <w:t>4</w:t>
            </w:r>
            <w:r>
              <w:rPr>
                <w:rFonts w:hint="default" w:ascii="Times New Roman" w:hAnsi="Times New Roman" w:eastAsia="宋体" w:cs="Times New Roman"/>
                <w:color w:val="000000"/>
                <w:kern w:val="0"/>
                <w:sz w:val="24"/>
                <w:szCs w:val="24"/>
                <w:highlight w:val="none"/>
              </w:rPr>
              <w:t>个/a。</w:t>
            </w:r>
          </w:p>
          <w:p w14:paraId="2E5CF050">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356" w:lineRule="auto"/>
              <w:ind w:left="0" w:right="0" w:firstLine="482" w:firstLineChars="200"/>
              <w:textAlignment w:val="auto"/>
              <w:rPr>
                <w:rFonts w:hint="default" w:ascii="Times New Roman" w:hAnsi="Times New Roman" w:eastAsia="宋体" w:cs="Times New Roman"/>
                <w:b/>
                <w:bCs/>
                <w:color w:val="000000"/>
                <w:kern w:val="0"/>
                <w:highlight w:val="none"/>
                <w:lang w:val="en-US" w:eastAsia="zh-CN"/>
              </w:rPr>
            </w:pPr>
            <w:r>
              <w:rPr>
                <w:rFonts w:hint="eastAsia" w:ascii="Times New Roman" w:hAnsi="Times New Roman" w:eastAsia="宋体" w:cs="Times New Roman"/>
                <w:b/>
                <w:bCs/>
                <w:color w:val="000000"/>
                <w:kern w:val="0"/>
                <w:highlight w:val="none"/>
                <w:lang w:val="en-US" w:eastAsia="zh-CN"/>
              </w:rPr>
              <w:t>e</w:t>
            </w:r>
            <w:r>
              <w:rPr>
                <w:rFonts w:hint="default" w:ascii="Times New Roman" w:hAnsi="Times New Roman" w:eastAsia="宋体" w:cs="Times New Roman"/>
                <w:b/>
                <w:bCs/>
                <w:color w:val="000000"/>
                <w:kern w:val="0"/>
                <w:highlight w:val="none"/>
              </w:rPr>
              <w:t>、纯水制备浓水</w:t>
            </w:r>
            <w:r>
              <w:rPr>
                <w:rFonts w:hint="eastAsia" w:ascii="Times New Roman" w:hAnsi="Times New Roman" w:eastAsia="宋体" w:cs="Times New Roman"/>
                <w:b/>
                <w:bCs/>
                <w:color w:val="000000"/>
                <w:kern w:val="0"/>
                <w:highlight w:val="none"/>
                <w:lang w:eastAsia="zh-CN"/>
              </w:rPr>
              <w:t>、</w:t>
            </w:r>
            <w:r>
              <w:rPr>
                <w:rFonts w:hint="eastAsia" w:ascii="Times New Roman" w:hAnsi="Times New Roman" w:eastAsia="宋体" w:cs="Times New Roman"/>
                <w:b/>
                <w:bCs/>
                <w:color w:val="000000"/>
                <w:kern w:val="0"/>
                <w:highlight w:val="none"/>
                <w:lang w:val="en-US" w:eastAsia="zh-CN"/>
              </w:rPr>
              <w:t>反冲洗废水</w:t>
            </w:r>
          </w:p>
          <w:p w14:paraId="18FD0EF9">
            <w:pPr>
              <w:pStyle w:val="7"/>
              <w:keepNext w:val="0"/>
              <w:keepLines w:val="0"/>
              <w:pageBreakBefore w:val="0"/>
              <w:suppressLineNumbers w:val="0"/>
              <w:kinsoku/>
              <w:wordWrap/>
              <w:overflowPunct/>
              <w:topLinePunct w:val="0"/>
              <w:autoSpaceDE/>
              <w:autoSpaceDN/>
              <w:bidi w:val="0"/>
              <w:adjustRightInd w:val="0"/>
              <w:snapToGrid w:val="0"/>
              <w:spacing w:before="0" w:beforeAutospacing="0" w:after="0" w:afterAutospacing="0" w:line="356" w:lineRule="auto"/>
              <w:ind w:left="0" w:right="0" w:firstLine="480"/>
              <w:textAlignment w:val="auto"/>
              <w:rPr>
                <w:rFonts w:hint="default" w:ascii="Times New Roman" w:hAnsi="Times New Roman" w:eastAsia="宋体" w:cs="Times New Roman"/>
                <w:color w:val="000000"/>
                <w:kern w:val="0"/>
                <w:sz w:val="24"/>
                <w:szCs w:val="24"/>
                <w:highlight w:val="none"/>
              </w:rPr>
            </w:pPr>
            <w:r>
              <w:rPr>
                <w:rFonts w:hint="eastAsia" w:ascii="Times New Roman" w:hAnsi="Times New Roman" w:eastAsia="宋体" w:cs="Times New Roman"/>
                <w:sz w:val="24"/>
                <w:highlight w:val="none"/>
              </w:rPr>
              <w:t>根据</w:t>
            </w:r>
            <w:r>
              <w:rPr>
                <w:rFonts w:hint="eastAsia" w:ascii="Times New Roman" w:hAnsi="Times New Roman" w:eastAsia="宋体" w:cs="Times New Roman"/>
                <w:sz w:val="24"/>
                <w:highlight w:val="none"/>
                <w:lang w:val="en-US" w:eastAsia="zh-CN"/>
              </w:rPr>
              <w:t>上文</w:t>
            </w:r>
            <w:r>
              <w:rPr>
                <w:rFonts w:hint="default" w:ascii="Times New Roman" w:hAnsi="Times New Roman" w:eastAsia="宋体" w:cs="Times New Roman"/>
                <w:sz w:val="24"/>
                <w:highlight w:val="none"/>
              </w:rPr>
              <w:t>水平衡分析</w:t>
            </w:r>
            <w:r>
              <w:rPr>
                <w:rFonts w:hint="default" w:ascii="Times New Roman" w:hAnsi="Times New Roman" w:eastAsia="宋体" w:cs="Times New Roman"/>
                <w:color w:val="000000"/>
                <w:kern w:val="0"/>
                <w:sz w:val="24"/>
                <w:szCs w:val="24"/>
                <w:highlight w:val="none"/>
              </w:rPr>
              <w:t>，纯水</w:t>
            </w:r>
            <w:r>
              <w:rPr>
                <w:rFonts w:hint="eastAsia" w:ascii="Times New Roman" w:hAnsi="Times New Roman" w:eastAsia="宋体" w:cs="Times New Roman"/>
                <w:color w:val="000000"/>
                <w:kern w:val="0"/>
                <w:sz w:val="24"/>
                <w:szCs w:val="24"/>
                <w:highlight w:val="none"/>
                <w:lang w:val="en-US" w:eastAsia="zh-CN"/>
              </w:rPr>
              <w:t>制备</w:t>
            </w:r>
            <w:r>
              <w:rPr>
                <w:rFonts w:hint="default" w:ascii="Times New Roman" w:hAnsi="Times New Roman" w:eastAsia="宋体" w:cs="Times New Roman"/>
                <w:color w:val="000000"/>
                <w:kern w:val="0"/>
                <w:sz w:val="24"/>
                <w:szCs w:val="24"/>
                <w:highlight w:val="none"/>
              </w:rPr>
              <w:t>浓水</w:t>
            </w:r>
            <w:r>
              <w:rPr>
                <w:rFonts w:hint="eastAsia" w:ascii="Times New Roman" w:hAnsi="Times New Roman" w:eastAsia="宋体" w:cs="Times New Roman"/>
                <w:color w:val="000000"/>
                <w:kern w:val="0"/>
                <w:sz w:val="24"/>
                <w:szCs w:val="24"/>
                <w:highlight w:val="none"/>
                <w:lang w:val="en-US" w:eastAsia="zh-CN"/>
              </w:rPr>
              <w:t>、反冲洗废水合计产生量975.1</w:t>
            </w:r>
            <w:r>
              <w:rPr>
                <w:rFonts w:hint="default" w:ascii="Times New Roman" w:hAnsi="Times New Roman" w:eastAsia="宋体" w:cs="Times New Roman"/>
                <w:color w:val="000000"/>
                <w:kern w:val="0"/>
                <w:sz w:val="24"/>
                <w:szCs w:val="24"/>
                <w:highlight w:val="none"/>
              </w:rPr>
              <w:t>t/a</w:t>
            </w:r>
            <w:r>
              <w:rPr>
                <w:rFonts w:hint="eastAsia" w:ascii="Times New Roman" w:hAnsi="Times New Roman" w:eastAsia="宋体" w:cs="Times New Roman"/>
                <w:color w:val="000000"/>
                <w:kern w:val="0"/>
                <w:sz w:val="24"/>
                <w:szCs w:val="24"/>
                <w:highlight w:val="none"/>
                <w:lang w:eastAsia="zh-CN"/>
              </w:rPr>
              <w:t>，</w:t>
            </w:r>
            <w:r>
              <w:rPr>
                <w:rFonts w:hint="default" w:ascii="Times New Roman" w:hAnsi="Times New Roman" w:eastAsia="宋体" w:cs="Times New Roman"/>
                <w:color w:val="000000"/>
                <w:kern w:val="0"/>
                <w:sz w:val="24"/>
                <w:szCs w:val="24"/>
                <w:highlight w:val="none"/>
              </w:rPr>
              <w:t>主要含有无机盐类</w:t>
            </w:r>
            <w:r>
              <w:rPr>
                <w:rFonts w:hint="eastAsia" w:ascii="Times New Roman" w:hAnsi="Times New Roman" w:eastAsia="宋体" w:cs="Times New Roman"/>
                <w:color w:val="000000"/>
                <w:kern w:val="0"/>
                <w:sz w:val="24"/>
                <w:szCs w:val="24"/>
                <w:highlight w:val="none"/>
              </w:rPr>
              <w:t>（</w:t>
            </w:r>
            <w:r>
              <w:rPr>
                <w:rFonts w:hint="default" w:ascii="Times New Roman" w:hAnsi="Times New Roman" w:eastAsia="宋体" w:cs="Times New Roman"/>
                <w:color w:val="000000"/>
                <w:kern w:val="0"/>
                <w:sz w:val="24"/>
                <w:szCs w:val="24"/>
                <w:highlight w:val="none"/>
              </w:rPr>
              <w:t>钙盐、镁盐</w:t>
            </w:r>
            <w:r>
              <w:rPr>
                <w:rFonts w:hint="eastAsia" w:ascii="Times New Roman" w:hAnsi="Times New Roman" w:eastAsia="宋体" w:cs="Times New Roman"/>
                <w:color w:val="000000"/>
                <w:kern w:val="0"/>
                <w:sz w:val="24"/>
                <w:szCs w:val="24"/>
                <w:highlight w:val="none"/>
              </w:rPr>
              <w:t>）、COD</w:t>
            </w:r>
            <w:r>
              <w:rPr>
                <w:rFonts w:hint="eastAsia" w:ascii="Times New Roman" w:hAnsi="Times New Roman" w:eastAsia="宋体" w:cs="Times New Roman"/>
                <w:color w:val="000000"/>
                <w:kern w:val="0"/>
                <w:sz w:val="24"/>
                <w:szCs w:val="24"/>
                <w:highlight w:val="none"/>
                <w:vertAlign w:val="subscript"/>
              </w:rPr>
              <w:t>Cr</w:t>
            </w:r>
            <w:r>
              <w:rPr>
                <w:rFonts w:hint="eastAsia" w:ascii="Times New Roman" w:hAnsi="Times New Roman" w:eastAsia="宋体" w:cs="Times New Roman"/>
                <w:color w:val="000000"/>
                <w:kern w:val="0"/>
                <w:sz w:val="24"/>
                <w:szCs w:val="24"/>
                <w:highlight w:val="none"/>
              </w:rPr>
              <w:t>、SS</w:t>
            </w:r>
            <w:r>
              <w:rPr>
                <w:rFonts w:hint="default" w:ascii="Times New Roman" w:hAnsi="Times New Roman" w:eastAsia="宋体" w:cs="Times New Roman"/>
                <w:color w:val="000000"/>
                <w:kern w:val="0"/>
                <w:sz w:val="24"/>
                <w:szCs w:val="24"/>
                <w:highlight w:val="none"/>
              </w:rPr>
              <w:t>及其他矿物质，水质简单，</w:t>
            </w:r>
            <w:r>
              <w:rPr>
                <w:rFonts w:hint="eastAsia" w:ascii="Times New Roman" w:hAnsi="Times New Roman" w:eastAsia="宋体" w:cs="Times New Roman"/>
                <w:color w:val="000000"/>
                <w:kern w:val="0"/>
                <w:sz w:val="24"/>
                <w:szCs w:val="24"/>
                <w:highlight w:val="none"/>
              </w:rPr>
              <w:t>可直接纳管排放。本环评按COD</w:t>
            </w:r>
            <w:r>
              <w:rPr>
                <w:rFonts w:hint="eastAsia" w:ascii="Times New Roman" w:hAnsi="Times New Roman" w:eastAsia="宋体" w:cs="Times New Roman"/>
                <w:color w:val="000000"/>
                <w:kern w:val="0"/>
                <w:sz w:val="24"/>
                <w:szCs w:val="24"/>
                <w:highlight w:val="none"/>
                <w:vertAlign w:val="subscript"/>
              </w:rPr>
              <w:t>Cr</w:t>
            </w:r>
            <w:r>
              <w:rPr>
                <w:rFonts w:hint="eastAsia" w:ascii="Times New Roman" w:hAnsi="Times New Roman" w:eastAsia="宋体" w:cs="Times New Roman"/>
                <w:color w:val="000000"/>
                <w:kern w:val="0"/>
                <w:sz w:val="24"/>
                <w:szCs w:val="24"/>
                <w:highlight w:val="none"/>
                <w:vertAlign w:val="baseline"/>
                <w:lang w:val="en-US" w:eastAsia="zh-CN"/>
              </w:rPr>
              <w:t>8</w:t>
            </w:r>
            <w:r>
              <w:rPr>
                <w:rFonts w:hint="eastAsia" w:ascii="Times New Roman" w:hAnsi="Times New Roman" w:eastAsia="宋体" w:cs="Times New Roman"/>
                <w:color w:val="000000"/>
                <w:kern w:val="0"/>
                <w:sz w:val="24"/>
                <w:szCs w:val="24"/>
                <w:highlight w:val="none"/>
              </w:rPr>
              <w:t>0mg/L、SS</w:t>
            </w:r>
            <w:r>
              <w:rPr>
                <w:rFonts w:hint="eastAsia" w:ascii="Times New Roman" w:hAnsi="Times New Roman" w:eastAsia="宋体" w:cs="Times New Roman"/>
                <w:color w:val="000000"/>
                <w:kern w:val="0"/>
                <w:sz w:val="24"/>
                <w:szCs w:val="24"/>
                <w:highlight w:val="none"/>
                <w:lang w:val="en-US" w:eastAsia="zh-CN"/>
              </w:rPr>
              <w:t>8</w:t>
            </w:r>
            <w:r>
              <w:rPr>
                <w:rFonts w:hint="eastAsia" w:ascii="Times New Roman" w:hAnsi="Times New Roman" w:eastAsia="宋体" w:cs="Times New Roman"/>
                <w:color w:val="000000"/>
                <w:kern w:val="0"/>
                <w:sz w:val="24"/>
                <w:szCs w:val="24"/>
                <w:highlight w:val="none"/>
              </w:rPr>
              <w:t>0mg/L计，则纯水制备浓水</w:t>
            </w:r>
            <w:r>
              <w:rPr>
                <w:rFonts w:hint="eastAsia" w:ascii="Times New Roman" w:hAnsi="Times New Roman" w:eastAsia="宋体" w:cs="Times New Roman"/>
                <w:b/>
                <w:bCs/>
                <w:color w:val="000000"/>
                <w:kern w:val="0"/>
                <w:sz w:val="24"/>
                <w:szCs w:val="24"/>
                <w:highlight w:val="none"/>
                <w:lang w:eastAsia="zh-CN"/>
              </w:rPr>
              <w:t>、</w:t>
            </w:r>
            <w:r>
              <w:rPr>
                <w:rFonts w:hint="eastAsia" w:ascii="Times New Roman" w:hAnsi="Times New Roman" w:eastAsia="宋体" w:cs="Times New Roman"/>
                <w:b/>
                <w:bCs/>
                <w:color w:val="000000"/>
                <w:kern w:val="0"/>
                <w:sz w:val="24"/>
                <w:szCs w:val="24"/>
                <w:highlight w:val="none"/>
                <w:lang w:val="en-US" w:eastAsia="zh-CN"/>
              </w:rPr>
              <w:t>反冲洗废水</w:t>
            </w:r>
            <w:r>
              <w:rPr>
                <w:rFonts w:hint="eastAsia" w:ascii="Times New Roman" w:hAnsi="Times New Roman" w:eastAsia="宋体" w:cs="Times New Roman"/>
                <w:color w:val="000000"/>
                <w:kern w:val="0"/>
                <w:sz w:val="24"/>
                <w:szCs w:val="24"/>
                <w:highlight w:val="none"/>
              </w:rPr>
              <w:t>中各污染物</w:t>
            </w:r>
            <w:r>
              <w:rPr>
                <w:rFonts w:hint="eastAsia" w:ascii="Times New Roman" w:hAnsi="Times New Roman" w:eastAsia="宋体" w:cs="Times New Roman"/>
                <w:color w:val="000000"/>
                <w:kern w:val="0"/>
                <w:sz w:val="24"/>
                <w:szCs w:val="24"/>
                <w:highlight w:val="none"/>
                <w:lang w:val="en-US" w:eastAsia="zh-CN"/>
              </w:rPr>
              <w:t>合计</w:t>
            </w:r>
            <w:r>
              <w:rPr>
                <w:rFonts w:hint="eastAsia" w:ascii="Times New Roman" w:hAnsi="Times New Roman" w:eastAsia="宋体" w:cs="Times New Roman"/>
                <w:color w:val="000000"/>
                <w:kern w:val="0"/>
                <w:sz w:val="24"/>
                <w:szCs w:val="24"/>
                <w:highlight w:val="none"/>
              </w:rPr>
              <w:t>产生量COD</w:t>
            </w:r>
            <w:r>
              <w:rPr>
                <w:rFonts w:hint="eastAsia" w:ascii="Times New Roman" w:hAnsi="Times New Roman" w:eastAsia="宋体" w:cs="Times New Roman"/>
                <w:color w:val="000000"/>
                <w:kern w:val="0"/>
                <w:sz w:val="24"/>
                <w:szCs w:val="24"/>
                <w:highlight w:val="none"/>
                <w:vertAlign w:val="subscript"/>
              </w:rPr>
              <w:t>Cr</w:t>
            </w:r>
            <w:r>
              <w:rPr>
                <w:rFonts w:hint="eastAsia" w:ascii="Times New Roman" w:hAnsi="Times New Roman" w:eastAsia="宋体" w:cs="Times New Roman"/>
                <w:color w:val="000000"/>
                <w:kern w:val="0"/>
                <w:sz w:val="24"/>
                <w:szCs w:val="24"/>
                <w:highlight w:val="none"/>
              </w:rPr>
              <w:t>0.0</w:t>
            </w:r>
            <w:r>
              <w:rPr>
                <w:rFonts w:hint="eastAsia" w:ascii="Times New Roman" w:hAnsi="Times New Roman" w:eastAsia="宋体" w:cs="Times New Roman"/>
                <w:color w:val="000000"/>
                <w:kern w:val="0"/>
                <w:sz w:val="24"/>
                <w:szCs w:val="24"/>
                <w:highlight w:val="none"/>
                <w:lang w:val="en-US" w:eastAsia="zh-CN"/>
              </w:rPr>
              <w:t>78</w:t>
            </w:r>
            <w:r>
              <w:rPr>
                <w:rFonts w:hint="eastAsia" w:ascii="Times New Roman" w:hAnsi="Times New Roman" w:eastAsia="宋体" w:cs="Times New Roman"/>
                <w:color w:val="000000"/>
                <w:kern w:val="0"/>
                <w:sz w:val="24"/>
                <w:szCs w:val="24"/>
                <w:highlight w:val="none"/>
              </w:rPr>
              <w:t>t/a、SS0.0</w:t>
            </w:r>
            <w:r>
              <w:rPr>
                <w:rFonts w:hint="eastAsia" w:ascii="Times New Roman" w:hAnsi="Times New Roman" w:eastAsia="宋体" w:cs="Times New Roman"/>
                <w:color w:val="000000"/>
                <w:kern w:val="0"/>
                <w:sz w:val="24"/>
                <w:szCs w:val="24"/>
                <w:highlight w:val="none"/>
                <w:lang w:val="en-US" w:eastAsia="zh-CN"/>
              </w:rPr>
              <w:t>78</w:t>
            </w:r>
            <w:r>
              <w:rPr>
                <w:rFonts w:hint="eastAsia" w:ascii="Times New Roman" w:hAnsi="Times New Roman" w:eastAsia="宋体" w:cs="Times New Roman"/>
                <w:color w:val="000000"/>
                <w:kern w:val="0"/>
                <w:sz w:val="24"/>
                <w:szCs w:val="24"/>
                <w:highlight w:val="none"/>
              </w:rPr>
              <w:t>t/a。</w:t>
            </w:r>
          </w:p>
          <w:p w14:paraId="11B4FA64">
            <w:pPr>
              <w:pStyle w:val="31"/>
              <w:pageBreakBefore w:val="0"/>
              <w:suppressLineNumbers w:val="0"/>
              <w:kinsoku/>
              <w:wordWrap/>
              <w:overflowPunct/>
              <w:topLinePunct w:val="0"/>
              <w:autoSpaceDE/>
              <w:autoSpaceDN/>
              <w:bidi w:val="0"/>
              <w:adjustRightInd w:val="0"/>
              <w:snapToGrid w:val="0"/>
              <w:spacing w:before="0" w:beforeAutospacing="0" w:after="0" w:afterAutospacing="0" w:line="356" w:lineRule="auto"/>
              <w:ind w:left="0" w:leftChars="0" w:right="0" w:firstLine="482"/>
              <w:textAlignment w:val="auto"/>
              <w:rPr>
                <w:rFonts w:hint="eastAsia" w:ascii="Times New Roman" w:hAnsi="Times New Roman" w:eastAsia="宋体" w:cs="Times New Roman"/>
                <w:b/>
                <w:bCs/>
                <w:color w:val="000000"/>
                <w:kern w:val="0"/>
                <w:sz w:val="24"/>
                <w:szCs w:val="24"/>
                <w:highlight w:val="none"/>
                <w:lang w:val="en-US" w:eastAsia="zh-CN" w:bidi="ar-SA"/>
              </w:rPr>
            </w:pPr>
            <w:r>
              <w:rPr>
                <w:rFonts w:hint="eastAsia" w:ascii="Times New Roman" w:hAnsi="Times New Roman" w:eastAsia="宋体" w:cs="Times New Roman"/>
                <w:b/>
                <w:bCs/>
                <w:color w:val="000000"/>
                <w:kern w:val="0"/>
                <w:sz w:val="24"/>
                <w:szCs w:val="24"/>
                <w:highlight w:val="none"/>
                <w:lang w:val="en-US" w:eastAsia="zh-CN" w:bidi="ar-SA"/>
              </w:rPr>
              <w:t>f、软水制备浓水、反冲洗废水</w:t>
            </w:r>
          </w:p>
          <w:p w14:paraId="719B7BBA">
            <w:pPr>
              <w:pStyle w:val="122"/>
              <w:keepNext w:val="0"/>
              <w:keepLines w:val="0"/>
              <w:pageBreakBefore w:val="0"/>
              <w:suppressLineNumbers w:val="0"/>
              <w:kinsoku/>
              <w:wordWrap/>
              <w:overflowPunct/>
              <w:topLinePunct w:val="0"/>
              <w:autoSpaceDE/>
              <w:autoSpaceDN/>
              <w:bidi w:val="0"/>
              <w:adjustRightInd w:val="0"/>
              <w:snapToGrid w:val="0"/>
              <w:spacing w:before="0" w:beforeAutospacing="0" w:after="0" w:afterAutospacing="0" w:line="356" w:lineRule="auto"/>
              <w:ind w:left="0" w:right="0"/>
              <w:textAlignment w:val="auto"/>
              <w:rPr>
                <w:rFonts w:hint="default" w:ascii="Times New Roman" w:hAnsi="Times New Roman" w:eastAsia="宋体" w:cs="Times New Roman"/>
                <w:highlight w:val="none"/>
              </w:rPr>
            </w:pPr>
            <w:r>
              <w:rPr>
                <w:rFonts w:hint="eastAsia" w:ascii="Times New Roman" w:hAnsi="Times New Roman" w:eastAsia="宋体" w:cs="Times New Roman"/>
                <w:highlight w:val="none"/>
              </w:rPr>
              <w:t>根据</w:t>
            </w:r>
            <w:r>
              <w:rPr>
                <w:rFonts w:hint="eastAsia" w:ascii="Times New Roman" w:hAnsi="Times New Roman" w:eastAsia="宋体" w:cs="Times New Roman"/>
                <w:highlight w:val="none"/>
                <w:lang w:val="en-US" w:eastAsia="zh-CN"/>
              </w:rPr>
              <w:t>上文</w:t>
            </w:r>
            <w:r>
              <w:rPr>
                <w:rFonts w:hint="eastAsia" w:ascii="Times New Roman" w:hAnsi="Times New Roman" w:eastAsia="宋体" w:cs="Times New Roman"/>
                <w:highlight w:val="none"/>
              </w:rPr>
              <w:t>水平衡</w:t>
            </w:r>
            <w:r>
              <w:rPr>
                <w:rFonts w:hint="default" w:ascii="Times New Roman" w:hAnsi="Times New Roman" w:eastAsia="宋体" w:cs="Times New Roman"/>
                <w:highlight w:val="none"/>
              </w:rPr>
              <w:t>分析，</w:t>
            </w:r>
            <w:r>
              <w:rPr>
                <w:rFonts w:hint="eastAsia" w:ascii="Times New Roman" w:hAnsi="Times New Roman" w:eastAsia="宋体" w:cs="Times New Roman"/>
                <w:highlight w:val="none"/>
              </w:rPr>
              <w:t>软水</w:t>
            </w:r>
            <w:r>
              <w:rPr>
                <w:rFonts w:hint="default" w:ascii="Times New Roman" w:hAnsi="Times New Roman" w:eastAsia="宋体" w:cs="Times New Roman"/>
                <w:highlight w:val="none"/>
              </w:rPr>
              <w:t>制备浓水</w:t>
            </w:r>
            <w:r>
              <w:rPr>
                <w:rFonts w:hint="eastAsia" w:ascii="Times New Roman" w:hAnsi="Times New Roman" w:eastAsia="宋体" w:cs="Times New Roman"/>
                <w:highlight w:val="none"/>
              </w:rPr>
              <w:t>和反冲洗废水合计</w:t>
            </w:r>
            <w:r>
              <w:rPr>
                <w:rFonts w:hint="default" w:ascii="Times New Roman" w:hAnsi="Times New Roman" w:eastAsia="宋体" w:cs="Times New Roman"/>
                <w:highlight w:val="none"/>
              </w:rPr>
              <w:t>产生量约</w:t>
            </w:r>
            <w:r>
              <w:rPr>
                <w:rFonts w:hint="eastAsia" w:ascii="Times New Roman" w:hAnsi="Times New Roman" w:eastAsia="宋体" w:cs="Times New Roman"/>
                <w:highlight w:val="none"/>
                <w:lang w:val="en-US" w:eastAsia="zh-CN"/>
              </w:rPr>
              <w:t>1475.5</w:t>
            </w:r>
            <w:r>
              <w:rPr>
                <w:rFonts w:hint="default" w:ascii="Times New Roman" w:hAnsi="Times New Roman" w:eastAsia="宋体" w:cs="Times New Roman"/>
                <w:highlight w:val="none"/>
              </w:rPr>
              <w:t>t</w:t>
            </w:r>
            <w:r>
              <w:rPr>
                <w:rFonts w:hint="eastAsia" w:ascii="Times New Roman" w:hAnsi="Times New Roman" w:eastAsia="宋体" w:cs="Times New Roman"/>
                <w:highlight w:val="none"/>
              </w:rPr>
              <w:t>/</w:t>
            </w:r>
            <w:r>
              <w:rPr>
                <w:rFonts w:hint="default" w:ascii="Times New Roman" w:hAnsi="Times New Roman" w:eastAsia="宋体" w:cs="Times New Roman"/>
                <w:highlight w:val="none"/>
              </w:rPr>
              <w:t>a</w:t>
            </w:r>
            <w:r>
              <w:rPr>
                <w:rFonts w:hint="eastAsia" w:ascii="Times New Roman" w:hAnsi="Times New Roman" w:eastAsia="宋体" w:cs="Times New Roman"/>
                <w:highlight w:val="none"/>
              </w:rPr>
              <w:t>，</w:t>
            </w:r>
            <w:r>
              <w:rPr>
                <w:rFonts w:hint="default" w:ascii="Times New Roman" w:hAnsi="Times New Roman" w:eastAsia="宋体" w:cs="Times New Roman"/>
                <w:color w:val="000000"/>
                <w:kern w:val="0"/>
                <w:sz w:val="24"/>
                <w:szCs w:val="24"/>
                <w:highlight w:val="none"/>
              </w:rPr>
              <w:t>主要含有无机盐类</w:t>
            </w:r>
            <w:r>
              <w:rPr>
                <w:rFonts w:hint="eastAsia" w:ascii="Times New Roman" w:hAnsi="Times New Roman" w:eastAsia="宋体" w:cs="Times New Roman"/>
                <w:color w:val="000000"/>
                <w:kern w:val="0"/>
                <w:sz w:val="24"/>
                <w:szCs w:val="24"/>
                <w:highlight w:val="none"/>
              </w:rPr>
              <w:t>（</w:t>
            </w:r>
            <w:r>
              <w:rPr>
                <w:rFonts w:hint="default" w:ascii="Times New Roman" w:hAnsi="Times New Roman" w:eastAsia="宋体" w:cs="Times New Roman"/>
                <w:color w:val="000000"/>
                <w:kern w:val="0"/>
                <w:sz w:val="24"/>
                <w:szCs w:val="24"/>
                <w:highlight w:val="none"/>
              </w:rPr>
              <w:t>钙盐、镁盐</w:t>
            </w:r>
            <w:r>
              <w:rPr>
                <w:rFonts w:hint="eastAsia" w:ascii="Times New Roman" w:hAnsi="Times New Roman" w:eastAsia="宋体" w:cs="Times New Roman"/>
                <w:color w:val="000000"/>
                <w:kern w:val="0"/>
                <w:sz w:val="24"/>
                <w:szCs w:val="24"/>
                <w:highlight w:val="none"/>
              </w:rPr>
              <w:t>）、COD</w:t>
            </w:r>
            <w:r>
              <w:rPr>
                <w:rFonts w:hint="eastAsia" w:ascii="Times New Roman" w:hAnsi="Times New Roman" w:eastAsia="宋体" w:cs="Times New Roman"/>
                <w:color w:val="000000"/>
                <w:kern w:val="0"/>
                <w:sz w:val="24"/>
                <w:szCs w:val="24"/>
                <w:highlight w:val="none"/>
                <w:vertAlign w:val="subscript"/>
              </w:rPr>
              <w:t>Cr</w:t>
            </w:r>
            <w:r>
              <w:rPr>
                <w:rFonts w:hint="eastAsia" w:ascii="Times New Roman" w:hAnsi="Times New Roman" w:eastAsia="宋体" w:cs="Times New Roman"/>
                <w:color w:val="000000"/>
                <w:kern w:val="0"/>
                <w:sz w:val="24"/>
                <w:szCs w:val="24"/>
                <w:highlight w:val="none"/>
              </w:rPr>
              <w:t>、SS</w:t>
            </w:r>
            <w:r>
              <w:rPr>
                <w:rFonts w:hint="default" w:ascii="Times New Roman" w:hAnsi="Times New Roman" w:eastAsia="宋体" w:cs="Times New Roman"/>
                <w:color w:val="000000"/>
                <w:kern w:val="0"/>
                <w:sz w:val="24"/>
                <w:szCs w:val="24"/>
                <w:highlight w:val="none"/>
              </w:rPr>
              <w:t>及其他矿物质，水质简单，</w:t>
            </w:r>
            <w:r>
              <w:rPr>
                <w:rFonts w:hint="eastAsia" w:ascii="Times New Roman" w:hAnsi="Times New Roman" w:eastAsia="宋体" w:cs="Times New Roman"/>
                <w:color w:val="000000"/>
                <w:kern w:val="0"/>
                <w:sz w:val="24"/>
                <w:szCs w:val="24"/>
                <w:highlight w:val="none"/>
              </w:rPr>
              <w:t>可直接纳管排放。本环评按COD</w:t>
            </w:r>
            <w:r>
              <w:rPr>
                <w:rFonts w:hint="eastAsia" w:ascii="Times New Roman" w:hAnsi="Times New Roman" w:eastAsia="宋体" w:cs="Times New Roman"/>
                <w:color w:val="000000"/>
                <w:kern w:val="0"/>
                <w:sz w:val="24"/>
                <w:szCs w:val="24"/>
                <w:highlight w:val="none"/>
                <w:vertAlign w:val="subscript"/>
              </w:rPr>
              <w:t>Cr</w:t>
            </w:r>
            <w:r>
              <w:rPr>
                <w:rFonts w:hint="eastAsia" w:ascii="Times New Roman" w:hAnsi="Times New Roman" w:eastAsia="宋体" w:cs="Times New Roman"/>
                <w:color w:val="000000"/>
                <w:kern w:val="0"/>
                <w:sz w:val="24"/>
                <w:szCs w:val="24"/>
                <w:highlight w:val="none"/>
                <w:vertAlign w:val="baseline"/>
                <w:lang w:val="en-US" w:eastAsia="zh-CN"/>
              </w:rPr>
              <w:t>10</w:t>
            </w:r>
            <w:r>
              <w:rPr>
                <w:rFonts w:hint="eastAsia" w:ascii="Times New Roman" w:hAnsi="Times New Roman" w:eastAsia="宋体" w:cs="Times New Roman"/>
                <w:color w:val="000000"/>
                <w:kern w:val="0"/>
                <w:sz w:val="24"/>
                <w:szCs w:val="24"/>
                <w:highlight w:val="none"/>
              </w:rPr>
              <w:t>0mg/L、SS</w:t>
            </w:r>
            <w:r>
              <w:rPr>
                <w:rFonts w:hint="eastAsia" w:ascii="Times New Roman" w:hAnsi="Times New Roman" w:eastAsia="宋体" w:cs="Times New Roman"/>
                <w:color w:val="000000"/>
                <w:kern w:val="0"/>
                <w:sz w:val="24"/>
                <w:szCs w:val="24"/>
                <w:highlight w:val="none"/>
                <w:vertAlign w:val="baseline"/>
                <w:lang w:val="en-US" w:eastAsia="zh-CN"/>
              </w:rPr>
              <w:t>10</w:t>
            </w:r>
            <w:r>
              <w:rPr>
                <w:rFonts w:hint="eastAsia" w:ascii="Times New Roman" w:hAnsi="Times New Roman" w:eastAsia="宋体" w:cs="Times New Roman"/>
                <w:color w:val="000000"/>
                <w:kern w:val="0"/>
                <w:sz w:val="24"/>
                <w:szCs w:val="24"/>
                <w:highlight w:val="none"/>
              </w:rPr>
              <w:t>0mg/L计，则</w:t>
            </w:r>
            <w:r>
              <w:rPr>
                <w:rFonts w:hint="eastAsia" w:ascii="Times New Roman" w:hAnsi="Times New Roman" w:eastAsia="宋体" w:cs="Times New Roman"/>
                <w:highlight w:val="none"/>
              </w:rPr>
              <w:t>软</w:t>
            </w:r>
            <w:r>
              <w:rPr>
                <w:rFonts w:hint="eastAsia" w:ascii="Times New Roman" w:hAnsi="Times New Roman" w:eastAsia="宋体" w:cs="Times New Roman"/>
                <w:b w:val="0"/>
                <w:bCs/>
                <w:highlight w:val="none"/>
              </w:rPr>
              <w:t>水</w:t>
            </w:r>
            <w:r>
              <w:rPr>
                <w:rFonts w:hint="eastAsia" w:ascii="Times New Roman" w:hAnsi="Times New Roman" w:eastAsia="宋体" w:cs="Times New Roman"/>
                <w:b w:val="0"/>
                <w:bCs/>
                <w:color w:val="000000"/>
                <w:kern w:val="0"/>
                <w:sz w:val="24"/>
                <w:szCs w:val="24"/>
                <w:highlight w:val="none"/>
              </w:rPr>
              <w:t>制备浓水</w:t>
            </w:r>
            <w:r>
              <w:rPr>
                <w:rFonts w:hint="eastAsia" w:ascii="Times New Roman" w:hAnsi="Times New Roman" w:eastAsia="宋体" w:cs="Times New Roman"/>
                <w:b w:val="0"/>
                <w:bCs/>
                <w:color w:val="000000"/>
                <w:kern w:val="0"/>
                <w:highlight w:val="none"/>
                <w:lang w:eastAsia="zh-CN"/>
              </w:rPr>
              <w:t>、</w:t>
            </w:r>
            <w:r>
              <w:rPr>
                <w:rFonts w:hint="eastAsia" w:ascii="Times New Roman" w:hAnsi="Times New Roman" w:eastAsia="宋体" w:cs="Times New Roman"/>
                <w:b w:val="0"/>
                <w:bCs/>
                <w:color w:val="000000"/>
                <w:kern w:val="0"/>
                <w:highlight w:val="none"/>
                <w:lang w:val="en-US" w:eastAsia="zh-CN"/>
              </w:rPr>
              <w:t>反冲洗废水</w:t>
            </w:r>
            <w:r>
              <w:rPr>
                <w:rFonts w:hint="eastAsia" w:ascii="Times New Roman" w:hAnsi="Times New Roman" w:eastAsia="宋体" w:cs="Times New Roman"/>
                <w:b w:val="0"/>
                <w:bCs/>
                <w:color w:val="000000"/>
                <w:kern w:val="0"/>
                <w:sz w:val="24"/>
                <w:szCs w:val="24"/>
                <w:highlight w:val="none"/>
              </w:rPr>
              <w:t>中各污染</w:t>
            </w:r>
            <w:r>
              <w:rPr>
                <w:rFonts w:hint="eastAsia" w:ascii="Times New Roman" w:hAnsi="Times New Roman" w:eastAsia="宋体" w:cs="Times New Roman"/>
                <w:color w:val="000000"/>
                <w:kern w:val="0"/>
                <w:sz w:val="24"/>
                <w:szCs w:val="24"/>
                <w:highlight w:val="none"/>
              </w:rPr>
              <w:t>物</w:t>
            </w:r>
            <w:r>
              <w:rPr>
                <w:rFonts w:hint="eastAsia" w:ascii="Times New Roman" w:hAnsi="Times New Roman" w:eastAsia="宋体" w:cs="Times New Roman"/>
                <w:color w:val="000000"/>
                <w:kern w:val="0"/>
                <w:sz w:val="24"/>
                <w:szCs w:val="24"/>
                <w:highlight w:val="none"/>
                <w:lang w:val="en-US" w:eastAsia="zh-CN"/>
              </w:rPr>
              <w:t>合计</w:t>
            </w:r>
            <w:r>
              <w:rPr>
                <w:rFonts w:hint="eastAsia" w:ascii="Times New Roman" w:hAnsi="Times New Roman" w:eastAsia="宋体" w:cs="Times New Roman"/>
                <w:color w:val="000000"/>
                <w:kern w:val="0"/>
                <w:sz w:val="24"/>
                <w:szCs w:val="24"/>
                <w:highlight w:val="none"/>
              </w:rPr>
              <w:t>产生量COD</w:t>
            </w:r>
            <w:r>
              <w:rPr>
                <w:rFonts w:hint="eastAsia" w:ascii="Times New Roman" w:hAnsi="Times New Roman" w:eastAsia="宋体" w:cs="Times New Roman"/>
                <w:color w:val="000000"/>
                <w:kern w:val="0"/>
                <w:sz w:val="24"/>
                <w:szCs w:val="24"/>
                <w:highlight w:val="none"/>
                <w:vertAlign w:val="subscript"/>
              </w:rPr>
              <w:t>Cr</w:t>
            </w:r>
            <w:r>
              <w:rPr>
                <w:rFonts w:hint="eastAsia" w:ascii="Times New Roman" w:hAnsi="Times New Roman" w:eastAsia="宋体" w:cs="Times New Roman"/>
                <w:color w:val="000000"/>
                <w:kern w:val="0"/>
                <w:sz w:val="24"/>
                <w:szCs w:val="24"/>
                <w:highlight w:val="none"/>
              </w:rPr>
              <w:t>0.</w:t>
            </w:r>
            <w:r>
              <w:rPr>
                <w:rFonts w:hint="eastAsia" w:ascii="Times New Roman" w:hAnsi="Times New Roman" w:eastAsia="宋体" w:cs="Times New Roman"/>
                <w:color w:val="000000"/>
                <w:kern w:val="0"/>
                <w:sz w:val="24"/>
                <w:szCs w:val="24"/>
                <w:highlight w:val="none"/>
                <w:lang w:val="en-US" w:eastAsia="zh-CN"/>
              </w:rPr>
              <w:t>148</w:t>
            </w:r>
            <w:r>
              <w:rPr>
                <w:rFonts w:hint="eastAsia" w:ascii="Times New Roman" w:hAnsi="Times New Roman" w:eastAsia="宋体" w:cs="Times New Roman"/>
                <w:color w:val="000000"/>
                <w:kern w:val="0"/>
                <w:sz w:val="24"/>
                <w:szCs w:val="24"/>
                <w:highlight w:val="none"/>
              </w:rPr>
              <w:t>t/a、SS0.</w:t>
            </w:r>
            <w:r>
              <w:rPr>
                <w:rFonts w:hint="eastAsia" w:ascii="Times New Roman" w:hAnsi="Times New Roman" w:eastAsia="宋体" w:cs="Times New Roman"/>
                <w:color w:val="000000"/>
                <w:kern w:val="0"/>
                <w:sz w:val="24"/>
                <w:szCs w:val="24"/>
                <w:highlight w:val="none"/>
                <w:lang w:val="en-US" w:eastAsia="zh-CN"/>
              </w:rPr>
              <w:t>148</w:t>
            </w:r>
            <w:r>
              <w:rPr>
                <w:rFonts w:hint="eastAsia" w:ascii="Times New Roman" w:hAnsi="Times New Roman" w:eastAsia="宋体" w:cs="Times New Roman"/>
                <w:color w:val="000000"/>
                <w:kern w:val="0"/>
                <w:sz w:val="24"/>
                <w:szCs w:val="24"/>
                <w:highlight w:val="none"/>
              </w:rPr>
              <w:t>t/a</w:t>
            </w:r>
            <w:r>
              <w:rPr>
                <w:rFonts w:hint="default" w:ascii="Times New Roman" w:hAnsi="Times New Roman" w:eastAsia="宋体" w:cs="Times New Roman"/>
                <w:highlight w:val="none"/>
              </w:rPr>
              <w:t>。</w:t>
            </w:r>
          </w:p>
          <w:p w14:paraId="71F2F38A">
            <w:pPr>
              <w:pStyle w:val="31"/>
              <w:pageBreakBefore w:val="0"/>
              <w:suppressLineNumbers w:val="0"/>
              <w:kinsoku/>
              <w:wordWrap/>
              <w:overflowPunct/>
              <w:topLinePunct w:val="0"/>
              <w:autoSpaceDE/>
              <w:autoSpaceDN/>
              <w:bidi w:val="0"/>
              <w:adjustRightInd w:val="0"/>
              <w:snapToGrid w:val="0"/>
              <w:spacing w:before="0" w:beforeAutospacing="0" w:after="0" w:afterAutospacing="0" w:line="356" w:lineRule="auto"/>
              <w:ind w:left="0" w:leftChars="0" w:right="0" w:firstLine="482"/>
              <w:textAlignment w:val="auto"/>
              <w:rPr>
                <w:rFonts w:hint="default" w:ascii="Times New Roman" w:hAnsi="Times New Roman" w:eastAsia="宋体" w:cs="Times New Roman"/>
                <w:b/>
                <w:bCs/>
                <w:color w:val="000000"/>
                <w:sz w:val="24"/>
                <w:highlight w:val="none"/>
                <w:lang w:val="en-US" w:eastAsia="zh-CN"/>
              </w:rPr>
            </w:pPr>
            <w:r>
              <w:rPr>
                <w:rFonts w:hint="eastAsia" w:ascii="Times New Roman" w:hAnsi="Times New Roman" w:eastAsia="宋体" w:cs="Times New Roman"/>
                <w:b/>
                <w:bCs/>
                <w:color w:val="000000"/>
                <w:sz w:val="24"/>
                <w:highlight w:val="none"/>
                <w:lang w:val="en-US" w:eastAsia="zh-CN"/>
              </w:rPr>
              <w:t>g</w:t>
            </w:r>
            <w:r>
              <w:rPr>
                <w:rFonts w:hint="eastAsia" w:cs="Times New Roman"/>
                <w:b/>
                <w:bCs/>
                <w:color w:val="000000"/>
                <w:sz w:val="24"/>
                <w:highlight w:val="none"/>
                <w:lang w:val="en-US" w:eastAsia="zh-CN"/>
              </w:rPr>
              <w:t>、</w:t>
            </w:r>
            <w:r>
              <w:rPr>
                <w:rFonts w:hint="eastAsia" w:ascii="Times New Roman" w:hAnsi="Times New Roman" w:eastAsia="宋体" w:cs="Times New Roman"/>
                <w:b/>
                <w:bCs/>
                <w:color w:val="000000"/>
                <w:sz w:val="24"/>
                <w:highlight w:val="none"/>
                <w:lang w:val="en-US" w:eastAsia="zh-CN"/>
              </w:rPr>
              <w:t>科创</w:t>
            </w:r>
            <w:r>
              <w:rPr>
                <w:rFonts w:hint="eastAsia"/>
                <w:b/>
                <w:bCs/>
                <w:kern w:val="0"/>
                <w:sz w:val="24"/>
                <w:szCs w:val="24"/>
                <w:highlight w:val="none"/>
                <w:lang w:val="en-US" w:eastAsia="zh-CN"/>
              </w:rPr>
              <w:t>综合</w:t>
            </w:r>
            <w:r>
              <w:rPr>
                <w:rFonts w:hint="eastAsia" w:ascii="Times New Roman" w:hAnsi="Times New Roman" w:eastAsia="宋体" w:cs="Times New Roman"/>
                <w:b/>
                <w:bCs/>
                <w:color w:val="000000"/>
                <w:sz w:val="24"/>
                <w:highlight w:val="none"/>
                <w:lang w:val="en-US" w:eastAsia="zh-CN"/>
              </w:rPr>
              <w:t>楼实验室设备清洗废水</w:t>
            </w:r>
          </w:p>
          <w:p w14:paraId="0291E3A9">
            <w:pPr>
              <w:keepNext w:val="0"/>
              <w:keepLines w:val="0"/>
              <w:pageBreakBefore w:val="0"/>
              <w:suppressLineNumbers w:val="0"/>
              <w:kinsoku/>
              <w:wordWrap/>
              <w:overflowPunct/>
              <w:topLinePunct w:val="0"/>
              <w:autoSpaceDE/>
              <w:autoSpaceDN/>
              <w:bidi w:val="0"/>
              <w:adjustRightInd w:val="0"/>
              <w:snapToGrid w:val="0"/>
              <w:spacing w:before="0" w:beforeAutospacing="0" w:after="0" w:afterAutospacing="0" w:line="356" w:lineRule="auto"/>
              <w:ind w:left="0" w:right="0" w:firstLine="480" w:firstLineChars="200"/>
              <w:textAlignment w:val="auto"/>
              <w:rPr>
                <w:rFonts w:hint="eastAsia" w:ascii="Times New Roman" w:hAnsi="Times New Roman" w:eastAsia="宋体" w:cs="Times New Roman"/>
                <w:b w:val="0"/>
                <w:bCs w:val="0"/>
                <w:sz w:val="24"/>
                <w:highlight w:val="none"/>
                <w:lang w:val="en-US" w:eastAsia="zh-CN"/>
              </w:rPr>
            </w:pPr>
            <w:r>
              <w:rPr>
                <w:rFonts w:hint="default" w:ascii="Times New Roman" w:hAnsi="Times New Roman" w:eastAsia="宋体" w:cs="Times New Roman"/>
                <w:sz w:val="24"/>
                <w:highlight w:val="none"/>
              </w:rPr>
              <w:t>根据</w:t>
            </w:r>
            <w:r>
              <w:rPr>
                <w:rFonts w:hint="eastAsia" w:ascii="Times New Roman" w:hAnsi="Times New Roman" w:eastAsia="宋体" w:cs="Times New Roman"/>
                <w:sz w:val="24"/>
                <w:highlight w:val="none"/>
                <w:lang w:val="en-US" w:eastAsia="zh-CN"/>
              </w:rPr>
              <w:t>上文</w:t>
            </w:r>
            <w:r>
              <w:rPr>
                <w:rFonts w:hint="eastAsia" w:ascii="Times New Roman" w:hAnsi="Times New Roman" w:eastAsia="宋体" w:cs="Times New Roman"/>
                <w:sz w:val="24"/>
                <w:highlight w:val="none"/>
              </w:rPr>
              <w:t>水平衡</w:t>
            </w:r>
            <w:r>
              <w:rPr>
                <w:rFonts w:hint="default" w:ascii="Times New Roman" w:hAnsi="Times New Roman" w:eastAsia="宋体" w:cs="Times New Roman"/>
                <w:sz w:val="24"/>
                <w:highlight w:val="none"/>
              </w:rPr>
              <w:t>分析</w:t>
            </w:r>
            <w:r>
              <w:rPr>
                <w:rFonts w:hint="eastAsia" w:ascii="Times New Roman" w:hAnsi="Times New Roman" w:eastAsia="宋体" w:cs="Times New Roman"/>
                <w:sz w:val="24"/>
                <w:highlight w:val="none"/>
                <w:lang w:val="en-US" w:eastAsia="zh-CN"/>
              </w:rPr>
              <w:t>可</w:t>
            </w:r>
            <w:r>
              <w:rPr>
                <w:rFonts w:hint="eastAsia" w:ascii="Times New Roman" w:hAnsi="Times New Roman" w:eastAsia="宋体" w:cs="Times New Roman"/>
                <w:color w:val="auto"/>
                <w:sz w:val="24"/>
                <w:highlight w:val="none"/>
                <w:lang w:val="en-US" w:eastAsia="zh-CN"/>
              </w:rPr>
              <w:t>知：</w:t>
            </w:r>
            <w:r>
              <w:rPr>
                <w:rFonts w:hint="eastAsia" w:ascii="Times New Roman" w:hAnsi="Times New Roman" w:eastAsia="宋体" w:cs="Times New Roman"/>
                <w:b w:val="0"/>
                <w:bCs w:val="0"/>
                <w:color w:val="auto"/>
                <w:sz w:val="24"/>
                <w:highlight w:val="none"/>
                <w:lang w:val="en-US" w:eastAsia="zh-CN"/>
              </w:rPr>
              <w:t>科创</w:t>
            </w:r>
            <w:r>
              <w:rPr>
                <w:rFonts w:hint="eastAsia"/>
                <w:kern w:val="0"/>
                <w:sz w:val="24"/>
                <w:szCs w:val="24"/>
                <w:highlight w:val="none"/>
                <w:lang w:val="en-US" w:eastAsia="zh-CN"/>
              </w:rPr>
              <w:t>综合</w:t>
            </w:r>
            <w:r>
              <w:rPr>
                <w:rFonts w:hint="eastAsia" w:ascii="Times New Roman" w:hAnsi="Times New Roman" w:eastAsia="宋体" w:cs="Times New Roman"/>
                <w:b w:val="0"/>
                <w:bCs w:val="0"/>
                <w:color w:val="auto"/>
                <w:sz w:val="24"/>
                <w:highlight w:val="none"/>
                <w:lang w:val="en-US" w:eastAsia="zh-CN"/>
              </w:rPr>
              <w:t>楼实验室设备</w:t>
            </w:r>
            <w:r>
              <w:rPr>
                <w:rFonts w:hint="default" w:ascii="Times New Roman" w:hAnsi="Times New Roman" w:eastAsia="宋体" w:cs="Times New Roman"/>
                <w:b w:val="0"/>
                <w:bCs w:val="0"/>
                <w:color w:val="auto"/>
                <w:sz w:val="24"/>
                <w:highlight w:val="none"/>
              </w:rPr>
              <w:t>清洗</w:t>
            </w:r>
            <w:r>
              <w:rPr>
                <w:rFonts w:hint="default" w:ascii="Times New Roman" w:hAnsi="Times New Roman" w:eastAsia="宋体" w:cs="Times New Roman"/>
                <w:color w:val="auto"/>
                <w:sz w:val="24"/>
                <w:highlight w:val="none"/>
              </w:rPr>
              <w:t>废水产生量约为</w:t>
            </w:r>
            <w:r>
              <w:rPr>
                <w:rFonts w:hint="eastAsia" w:ascii="Times New Roman" w:hAnsi="Times New Roman" w:eastAsia="宋体" w:cs="Times New Roman"/>
                <w:color w:val="auto"/>
                <w:sz w:val="24"/>
                <w:highlight w:val="none"/>
                <w:lang w:val="en-US" w:eastAsia="zh-CN"/>
              </w:rPr>
              <w:t>3088.8</w:t>
            </w:r>
            <w:r>
              <w:rPr>
                <w:rFonts w:hint="default" w:ascii="Times New Roman" w:hAnsi="Times New Roman" w:eastAsia="宋体" w:cs="Times New Roman"/>
                <w:color w:val="auto"/>
                <w:sz w:val="24"/>
                <w:highlight w:val="none"/>
              </w:rPr>
              <w:t>t/a</w:t>
            </w:r>
            <w:r>
              <w:rPr>
                <w:rFonts w:hint="eastAsia" w:ascii="Times New Roman" w:hAnsi="Times New Roman" w:eastAsia="宋体" w:cs="Times New Roman"/>
                <w:color w:val="auto"/>
                <w:sz w:val="24"/>
                <w:highlight w:val="none"/>
              </w:rPr>
              <w:t>，类比</w:t>
            </w:r>
            <w:r>
              <w:rPr>
                <w:rFonts w:hint="default" w:ascii="Times New Roman" w:hAnsi="Times New Roman" w:eastAsia="宋体" w:cs="Times New Roman"/>
                <w:color w:val="auto"/>
                <w:sz w:val="24"/>
                <w:highlight w:val="none"/>
              </w:rPr>
              <w:t>同类型</w:t>
            </w:r>
            <w:r>
              <w:rPr>
                <w:rFonts w:hint="eastAsia" w:ascii="Times New Roman" w:hAnsi="Times New Roman" w:eastAsia="宋体" w:cs="Times New Roman"/>
                <w:color w:val="auto"/>
                <w:sz w:val="24"/>
                <w:highlight w:val="none"/>
              </w:rPr>
              <w:t>项目及查阅《高校化学实验室废水处理研究，环境保护概论》</w:t>
            </w:r>
            <w:r>
              <w:rPr>
                <w:rFonts w:hint="default" w:ascii="Times New Roman" w:hAnsi="Times New Roman" w:eastAsia="宋体" w:cs="Times New Roman"/>
                <w:color w:val="auto"/>
                <w:sz w:val="24"/>
                <w:highlight w:val="none"/>
              </w:rPr>
              <w:t>，废水水质为COD</w:t>
            </w:r>
            <w:r>
              <w:rPr>
                <w:rFonts w:hint="eastAsia" w:ascii="Times New Roman" w:hAnsi="Times New Roman" w:eastAsia="宋体" w:cs="Times New Roman"/>
                <w:color w:val="auto"/>
                <w:sz w:val="24"/>
                <w:highlight w:val="none"/>
                <w:vertAlign w:val="subscript"/>
              </w:rPr>
              <w:t>Cr</w:t>
            </w:r>
            <w:r>
              <w:rPr>
                <w:rFonts w:hint="default" w:ascii="Times New Roman" w:hAnsi="Times New Roman" w:eastAsia="宋体" w:cs="Times New Roman"/>
                <w:color w:val="auto"/>
                <w:sz w:val="24"/>
                <w:highlight w:val="none"/>
              </w:rPr>
              <w:t>500mg/L、</w:t>
            </w:r>
            <w:r>
              <w:rPr>
                <w:rFonts w:hint="eastAsia" w:ascii="Times New Roman" w:hAnsi="Times New Roman" w:eastAsia="宋体" w:cs="Times New Roman"/>
                <w:color w:val="auto"/>
                <w:sz w:val="24"/>
                <w:highlight w:val="none"/>
                <w:lang w:val="en-US" w:eastAsia="zh-CN"/>
              </w:rPr>
              <w:t>B</w:t>
            </w:r>
            <w:r>
              <w:rPr>
                <w:rFonts w:hint="eastAsia" w:ascii="Times New Roman" w:hAnsi="Times New Roman" w:eastAsia="宋体" w:cs="Times New Roman"/>
                <w:sz w:val="24"/>
                <w:highlight w:val="none"/>
                <w:lang w:val="en-US" w:eastAsia="zh-CN"/>
              </w:rPr>
              <w:t>OD</w:t>
            </w:r>
            <w:r>
              <w:rPr>
                <w:rFonts w:hint="eastAsia" w:ascii="Times New Roman" w:hAnsi="Times New Roman" w:eastAsia="宋体" w:cs="Times New Roman"/>
                <w:sz w:val="24"/>
                <w:highlight w:val="none"/>
                <w:vertAlign w:val="subscript"/>
                <w:lang w:val="en-US" w:eastAsia="zh-CN"/>
              </w:rPr>
              <w:t>5</w:t>
            </w:r>
            <w:r>
              <w:rPr>
                <w:rFonts w:hint="eastAsia" w:ascii="Times New Roman" w:hAnsi="Times New Roman" w:eastAsia="宋体" w:cs="Times New Roman"/>
                <w:sz w:val="24"/>
                <w:highlight w:val="none"/>
                <w:lang w:val="en-US" w:eastAsia="zh-CN"/>
              </w:rPr>
              <w:t>300</w:t>
            </w:r>
            <w:r>
              <w:rPr>
                <w:rFonts w:hint="default" w:ascii="Times New Roman" w:hAnsi="Times New Roman" w:eastAsia="宋体" w:cs="Times New Roman"/>
                <w:sz w:val="24"/>
                <w:highlight w:val="none"/>
              </w:rPr>
              <w:t>mg/L</w:t>
            </w:r>
            <w:r>
              <w:rPr>
                <w:rFonts w:hint="eastAsia" w:ascii="Times New Roman" w:hAnsi="Times New Roman" w:eastAsia="宋体" w:cs="Times New Roman"/>
                <w:sz w:val="24"/>
                <w:highlight w:val="none"/>
                <w:lang w:eastAsia="zh-CN"/>
              </w:rPr>
              <w:t>、</w:t>
            </w:r>
            <w:r>
              <w:rPr>
                <w:rFonts w:hint="default" w:ascii="Times New Roman" w:hAnsi="Times New Roman" w:eastAsia="宋体" w:cs="Times New Roman"/>
                <w:sz w:val="24"/>
                <w:highlight w:val="none"/>
              </w:rPr>
              <w:t>SS400mg/L、</w:t>
            </w:r>
            <w:r>
              <w:rPr>
                <w:rFonts w:hint="eastAsia" w:ascii="Times New Roman" w:hAnsi="Times New Roman" w:eastAsia="宋体" w:cs="Times New Roman"/>
                <w:sz w:val="24"/>
                <w:highlight w:val="none"/>
                <w:lang w:val="en-US" w:eastAsia="zh-CN"/>
              </w:rPr>
              <w:t>NH</w:t>
            </w:r>
            <w:r>
              <w:rPr>
                <w:rFonts w:hint="eastAsia" w:ascii="Times New Roman" w:hAnsi="Times New Roman" w:eastAsia="宋体" w:cs="Times New Roman"/>
                <w:sz w:val="24"/>
                <w:highlight w:val="none"/>
                <w:vertAlign w:val="subscript"/>
                <w:lang w:val="en-US" w:eastAsia="zh-CN"/>
              </w:rPr>
              <w:t>3</w:t>
            </w:r>
            <w:r>
              <w:rPr>
                <w:rFonts w:hint="eastAsia" w:ascii="Times New Roman" w:hAnsi="Times New Roman" w:eastAsia="宋体" w:cs="Times New Roman"/>
                <w:sz w:val="24"/>
                <w:highlight w:val="none"/>
                <w:lang w:val="en-US" w:eastAsia="zh-CN"/>
              </w:rPr>
              <w:t>-N</w:t>
            </w:r>
            <w:r>
              <w:rPr>
                <w:rFonts w:hint="default" w:ascii="Times New Roman" w:hAnsi="Times New Roman" w:eastAsia="宋体" w:cs="Times New Roman"/>
                <w:sz w:val="24"/>
                <w:highlight w:val="none"/>
              </w:rPr>
              <w:t>25mg</w:t>
            </w:r>
            <w:r>
              <w:rPr>
                <w:rFonts w:hint="default" w:ascii="Times New Roman" w:hAnsi="Times New Roman" w:eastAsia="宋体" w:cs="Times New Roman"/>
                <w:b w:val="0"/>
                <w:bCs w:val="0"/>
                <w:sz w:val="24"/>
                <w:highlight w:val="none"/>
              </w:rPr>
              <w:t>/L</w:t>
            </w:r>
            <w:r>
              <w:rPr>
                <w:rFonts w:hint="eastAsia" w:cs="Times New Roman"/>
                <w:b w:val="0"/>
                <w:bCs w:val="0"/>
                <w:sz w:val="24"/>
                <w:highlight w:val="none"/>
                <w:lang w:eastAsia="zh-CN"/>
              </w:rPr>
              <w:t>、</w:t>
            </w:r>
            <w:r>
              <w:rPr>
                <w:rFonts w:hint="eastAsia" w:cs="Times New Roman"/>
                <w:b w:val="0"/>
                <w:bCs w:val="0"/>
                <w:sz w:val="24"/>
                <w:highlight w:val="none"/>
                <w:lang w:val="en-US" w:eastAsia="zh-CN"/>
              </w:rPr>
              <w:t>LAS1</w:t>
            </w:r>
            <w:r>
              <w:rPr>
                <w:rFonts w:hint="eastAsia" w:ascii="Times New Roman" w:hAnsi="Times New Roman" w:eastAsia="宋体" w:cs="Times New Roman"/>
                <w:sz w:val="24"/>
                <w:highlight w:val="none"/>
                <w:lang w:val="en-US" w:eastAsia="zh-CN"/>
              </w:rPr>
              <w:t>0</w:t>
            </w:r>
            <w:r>
              <w:rPr>
                <w:rFonts w:hint="default" w:ascii="Times New Roman" w:hAnsi="Times New Roman" w:eastAsia="宋体" w:cs="Times New Roman"/>
                <w:sz w:val="24"/>
                <w:highlight w:val="none"/>
              </w:rPr>
              <w:t>mg/L</w:t>
            </w:r>
            <w:r>
              <w:rPr>
                <w:rFonts w:hint="eastAsia" w:ascii="Times New Roman" w:hAnsi="Times New Roman" w:eastAsia="宋体" w:cs="Times New Roman"/>
                <w:b w:val="0"/>
                <w:bCs w:val="0"/>
                <w:sz w:val="24"/>
                <w:highlight w:val="none"/>
                <w:lang w:eastAsia="zh-CN"/>
              </w:rPr>
              <w:t>，</w:t>
            </w:r>
            <w:r>
              <w:rPr>
                <w:rFonts w:hint="eastAsia" w:ascii="Times New Roman" w:hAnsi="Times New Roman" w:eastAsia="宋体" w:cs="Times New Roman"/>
                <w:b w:val="0"/>
                <w:bCs w:val="0"/>
                <w:sz w:val="24"/>
                <w:highlight w:val="none"/>
                <w:lang w:val="en-US" w:eastAsia="zh-CN"/>
              </w:rPr>
              <w:t>则</w:t>
            </w:r>
            <w:r>
              <w:rPr>
                <w:rFonts w:hint="eastAsia" w:ascii="Times New Roman" w:hAnsi="Times New Roman" w:eastAsia="宋体" w:cs="Times New Roman"/>
                <w:b w:val="0"/>
                <w:bCs w:val="0"/>
                <w:color w:val="000000"/>
                <w:sz w:val="24"/>
                <w:highlight w:val="none"/>
                <w:lang w:val="en-US" w:eastAsia="zh-CN"/>
              </w:rPr>
              <w:t>科创</w:t>
            </w:r>
            <w:r>
              <w:rPr>
                <w:rFonts w:hint="eastAsia"/>
                <w:kern w:val="0"/>
                <w:sz w:val="24"/>
                <w:szCs w:val="24"/>
                <w:highlight w:val="none"/>
                <w:lang w:val="en-US" w:eastAsia="zh-CN"/>
              </w:rPr>
              <w:t>综合</w:t>
            </w:r>
            <w:r>
              <w:rPr>
                <w:rFonts w:hint="eastAsia" w:ascii="Times New Roman" w:hAnsi="Times New Roman" w:eastAsia="宋体" w:cs="Times New Roman"/>
                <w:b w:val="0"/>
                <w:bCs w:val="0"/>
                <w:color w:val="000000"/>
                <w:sz w:val="24"/>
                <w:highlight w:val="none"/>
                <w:lang w:val="en-US" w:eastAsia="zh-CN"/>
              </w:rPr>
              <w:t>楼实验室设备</w:t>
            </w:r>
            <w:r>
              <w:rPr>
                <w:rFonts w:hint="default" w:ascii="Times New Roman" w:hAnsi="Times New Roman" w:eastAsia="宋体" w:cs="Times New Roman"/>
                <w:b w:val="0"/>
                <w:bCs w:val="0"/>
                <w:sz w:val="24"/>
                <w:highlight w:val="none"/>
              </w:rPr>
              <w:t>清洗废水</w:t>
            </w:r>
            <w:r>
              <w:rPr>
                <w:rFonts w:hint="eastAsia" w:ascii="Times New Roman" w:hAnsi="Times New Roman" w:eastAsia="宋体" w:cs="Times New Roman"/>
                <w:b w:val="0"/>
                <w:bCs w:val="0"/>
                <w:color w:val="000000"/>
                <w:kern w:val="0"/>
                <w:sz w:val="24"/>
                <w:szCs w:val="24"/>
                <w:highlight w:val="none"/>
              </w:rPr>
              <w:t>污染物产生量</w:t>
            </w:r>
            <w:r>
              <w:rPr>
                <w:rFonts w:hint="eastAsia" w:ascii="Times New Roman" w:hAnsi="Times New Roman" w:eastAsia="宋体" w:cs="Times New Roman"/>
                <w:b w:val="0"/>
                <w:bCs w:val="0"/>
                <w:color w:val="000000"/>
                <w:kern w:val="0"/>
                <w:sz w:val="24"/>
                <w:szCs w:val="24"/>
                <w:highlight w:val="none"/>
                <w:lang w:val="en-US" w:eastAsia="zh-CN"/>
              </w:rPr>
              <w:t>为：</w:t>
            </w:r>
            <w:r>
              <w:rPr>
                <w:rFonts w:hint="eastAsia" w:ascii="Times New Roman" w:hAnsi="Times New Roman" w:eastAsia="宋体" w:cs="Times New Roman"/>
                <w:b w:val="0"/>
                <w:bCs w:val="0"/>
                <w:color w:val="000000"/>
                <w:kern w:val="0"/>
                <w:sz w:val="24"/>
                <w:szCs w:val="24"/>
                <w:highlight w:val="none"/>
              </w:rPr>
              <w:t>COD</w:t>
            </w:r>
            <w:r>
              <w:rPr>
                <w:rFonts w:hint="eastAsia" w:ascii="Times New Roman" w:hAnsi="Times New Roman" w:eastAsia="宋体" w:cs="Times New Roman"/>
                <w:b w:val="0"/>
                <w:bCs w:val="0"/>
                <w:color w:val="000000"/>
                <w:kern w:val="0"/>
                <w:sz w:val="24"/>
                <w:szCs w:val="24"/>
                <w:highlight w:val="none"/>
                <w:vertAlign w:val="subscript"/>
              </w:rPr>
              <w:t>Cr</w:t>
            </w:r>
            <w:r>
              <w:rPr>
                <w:rFonts w:hint="eastAsia" w:ascii="Times New Roman" w:hAnsi="Times New Roman" w:eastAsia="宋体" w:cs="Times New Roman"/>
                <w:b w:val="0"/>
                <w:bCs w:val="0"/>
                <w:color w:val="000000"/>
                <w:kern w:val="0"/>
                <w:sz w:val="24"/>
                <w:szCs w:val="24"/>
                <w:highlight w:val="none"/>
                <w:vertAlign w:val="baseline"/>
                <w:lang w:val="en-US" w:eastAsia="zh-CN"/>
              </w:rPr>
              <w:t>1</w:t>
            </w:r>
            <w:r>
              <w:rPr>
                <w:rFonts w:hint="eastAsia" w:ascii="Times New Roman" w:hAnsi="Times New Roman" w:eastAsia="宋体" w:cs="Times New Roman"/>
                <w:b w:val="0"/>
                <w:bCs w:val="0"/>
                <w:color w:val="000000"/>
                <w:kern w:val="0"/>
                <w:sz w:val="24"/>
                <w:szCs w:val="24"/>
                <w:highlight w:val="none"/>
                <w:vertAlign w:val="baseline"/>
              </w:rPr>
              <w:t>.</w:t>
            </w:r>
            <w:r>
              <w:rPr>
                <w:rFonts w:hint="eastAsia" w:ascii="Times New Roman" w:hAnsi="Times New Roman" w:eastAsia="宋体" w:cs="Times New Roman"/>
                <w:b w:val="0"/>
                <w:bCs w:val="0"/>
                <w:color w:val="000000"/>
                <w:kern w:val="0"/>
                <w:sz w:val="24"/>
                <w:szCs w:val="24"/>
                <w:highlight w:val="none"/>
                <w:vertAlign w:val="baseline"/>
                <w:lang w:val="en-US" w:eastAsia="zh-CN"/>
              </w:rPr>
              <w:t>54</w:t>
            </w:r>
            <w:r>
              <w:rPr>
                <w:rFonts w:hint="eastAsia" w:ascii="Times New Roman" w:hAnsi="Times New Roman" w:eastAsia="宋体" w:cs="Times New Roman"/>
                <w:b w:val="0"/>
                <w:bCs w:val="0"/>
                <w:color w:val="000000"/>
                <w:kern w:val="0"/>
                <w:sz w:val="24"/>
                <w:szCs w:val="24"/>
                <w:highlight w:val="none"/>
                <w:lang w:val="en-US" w:eastAsia="zh-CN"/>
              </w:rPr>
              <w:t>4</w:t>
            </w:r>
            <w:r>
              <w:rPr>
                <w:rFonts w:hint="eastAsia" w:ascii="Times New Roman" w:hAnsi="Times New Roman" w:eastAsia="宋体" w:cs="Times New Roman"/>
                <w:b w:val="0"/>
                <w:bCs w:val="0"/>
                <w:color w:val="000000"/>
                <w:kern w:val="0"/>
                <w:sz w:val="24"/>
                <w:szCs w:val="24"/>
                <w:highlight w:val="none"/>
              </w:rPr>
              <w:t>t/a、</w:t>
            </w:r>
            <w:r>
              <w:rPr>
                <w:rFonts w:hint="eastAsia" w:ascii="Times New Roman" w:hAnsi="Times New Roman" w:eastAsia="宋体" w:cs="Times New Roman"/>
                <w:b w:val="0"/>
                <w:bCs w:val="0"/>
                <w:sz w:val="24"/>
                <w:highlight w:val="none"/>
                <w:lang w:val="en-US" w:eastAsia="zh-CN"/>
              </w:rPr>
              <w:t>BOD</w:t>
            </w:r>
            <w:r>
              <w:rPr>
                <w:rFonts w:hint="eastAsia" w:ascii="Times New Roman" w:hAnsi="Times New Roman" w:eastAsia="宋体" w:cs="Times New Roman"/>
                <w:b w:val="0"/>
                <w:bCs w:val="0"/>
                <w:sz w:val="24"/>
                <w:highlight w:val="none"/>
                <w:vertAlign w:val="subscript"/>
                <w:lang w:val="en-US" w:eastAsia="zh-CN"/>
              </w:rPr>
              <w:t>5</w:t>
            </w:r>
            <w:r>
              <w:rPr>
                <w:rFonts w:hint="eastAsia" w:ascii="Times New Roman" w:hAnsi="Times New Roman" w:eastAsia="宋体" w:cs="Times New Roman"/>
                <w:b w:val="0"/>
                <w:bCs w:val="0"/>
                <w:sz w:val="24"/>
                <w:highlight w:val="none"/>
                <w:vertAlign w:val="baseline"/>
                <w:lang w:val="en-US" w:eastAsia="zh-CN"/>
              </w:rPr>
              <w:t>0.927</w:t>
            </w:r>
            <w:r>
              <w:rPr>
                <w:rFonts w:hint="eastAsia" w:ascii="Times New Roman" w:hAnsi="Times New Roman" w:eastAsia="宋体" w:cs="Times New Roman"/>
                <w:b w:val="0"/>
                <w:bCs w:val="0"/>
                <w:color w:val="000000"/>
                <w:kern w:val="0"/>
                <w:sz w:val="24"/>
                <w:szCs w:val="24"/>
                <w:highlight w:val="none"/>
              </w:rPr>
              <w:t>t/a</w:t>
            </w:r>
            <w:r>
              <w:rPr>
                <w:rFonts w:hint="eastAsia" w:ascii="Times New Roman" w:hAnsi="Times New Roman" w:eastAsia="宋体" w:cs="Times New Roman"/>
                <w:b w:val="0"/>
                <w:bCs w:val="0"/>
                <w:sz w:val="24"/>
                <w:highlight w:val="none"/>
                <w:vertAlign w:val="baseline"/>
                <w:lang w:val="en-US" w:eastAsia="zh-CN"/>
              </w:rPr>
              <w:t>、</w:t>
            </w:r>
            <w:r>
              <w:rPr>
                <w:rFonts w:hint="eastAsia" w:ascii="Times New Roman" w:hAnsi="Times New Roman" w:eastAsia="宋体" w:cs="Times New Roman"/>
                <w:b w:val="0"/>
                <w:bCs w:val="0"/>
                <w:color w:val="000000"/>
                <w:kern w:val="0"/>
                <w:sz w:val="24"/>
                <w:szCs w:val="24"/>
                <w:highlight w:val="none"/>
              </w:rPr>
              <w:t>SS</w:t>
            </w:r>
            <w:r>
              <w:rPr>
                <w:rFonts w:hint="eastAsia" w:ascii="Times New Roman" w:hAnsi="Times New Roman" w:eastAsia="宋体" w:cs="Times New Roman"/>
                <w:b w:val="0"/>
                <w:bCs w:val="0"/>
                <w:color w:val="000000"/>
                <w:kern w:val="0"/>
                <w:sz w:val="24"/>
                <w:szCs w:val="24"/>
                <w:highlight w:val="none"/>
                <w:lang w:val="en-US" w:eastAsia="zh-CN"/>
              </w:rPr>
              <w:t>1</w:t>
            </w:r>
            <w:r>
              <w:rPr>
                <w:rFonts w:hint="eastAsia" w:ascii="Times New Roman" w:hAnsi="Times New Roman" w:eastAsia="宋体" w:cs="Times New Roman"/>
                <w:b w:val="0"/>
                <w:bCs w:val="0"/>
                <w:color w:val="000000"/>
                <w:kern w:val="0"/>
                <w:sz w:val="24"/>
                <w:szCs w:val="24"/>
                <w:highlight w:val="none"/>
              </w:rPr>
              <w:t>.</w:t>
            </w:r>
            <w:r>
              <w:rPr>
                <w:rFonts w:hint="eastAsia" w:ascii="Times New Roman" w:hAnsi="Times New Roman" w:eastAsia="宋体" w:cs="Times New Roman"/>
                <w:b w:val="0"/>
                <w:bCs w:val="0"/>
                <w:color w:val="000000"/>
                <w:kern w:val="0"/>
                <w:sz w:val="24"/>
                <w:szCs w:val="24"/>
                <w:highlight w:val="none"/>
                <w:lang w:val="en-US" w:eastAsia="zh-CN"/>
              </w:rPr>
              <w:t>236</w:t>
            </w:r>
            <w:r>
              <w:rPr>
                <w:rFonts w:hint="eastAsia" w:ascii="Times New Roman" w:hAnsi="Times New Roman" w:eastAsia="宋体" w:cs="Times New Roman"/>
                <w:b w:val="0"/>
                <w:bCs w:val="0"/>
                <w:color w:val="000000"/>
                <w:kern w:val="0"/>
                <w:sz w:val="24"/>
                <w:szCs w:val="24"/>
                <w:highlight w:val="none"/>
              </w:rPr>
              <w:t>t/a</w:t>
            </w:r>
            <w:r>
              <w:rPr>
                <w:rFonts w:hint="eastAsia" w:ascii="Times New Roman" w:hAnsi="Times New Roman" w:eastAsia="宋体" w:cs="Times New Roman"/>
                <w:b w:val="0"/>
                <w:bCs w:val="0"/>
                <w:color w:val="000000"/>
                <w:kern w:val="0"/>
                <w:sz w:val="24"/>
                <w:szCs w:val="24"/>
                <w:highlight w:val="none"/>
                <w:lang w:eastAsia="zh-CN"/>
              </w:rPr>
              <w:t>、</w:t>
            </w:r>
            <w:r>
              <w:rPr>
                <w:rFonts w:hint="eastAsia" w:ascii="Times New Roman" w:hAnsi="Times New Roman" w:eastAsia="宋体" w:cs="Times New Roman"/>
                <w:b w:val="0"/>
                <w:bCs w:val="0"/>
                <w:sz w:val="24"/>
                <w:highlight w:val="none"/>
                <w:lang w:val="en-US" w:eastAsia="zh-CN"/>
              </w:rPr>
              <w:t>NH</w:t>
            </w:r>
            <w:r>
              <w:rPr>
                <w:rFonts w:hint="eastAsia" w:ascii="Times New Roman" w:hAnsi="Times New Roman" w:eastAsia="宋体" w:cs="Times New Roman"/>
                <w:b w:val="0"/>
                <w:bCs w:val="0"/>
                <w:sz w:val="24"/>
                <w:highlight w:val="none"/>
                <w:vertAlign w:val="subscript"/>
                <w:lang w:val="en-US" w:eastAsia="zh-CN"/>
              </w:rPr>
              <w:t>3</w:t>
            </w:r>
            <w:r>
              <w:rPr>
                <w:rFonts w:hint="eastAsia" w:ascii="Times New Roman" w:hAnsi="Times New Roman" w:eastAsia="宋体" w:cs="Times New Roman"/>
                <w:b w:val="0"/>
                <w:bCs w:val="0"/>
                <w:sz w:val="24"/>
                <w:highlight w:val="none"/>
                <w:lang w:val="en-US" w:eastAsia="zh-CN"/>
              </w:rPr>
              <w:t>-N0.077</w:t>
            </w:r>
            <w:r>
              <w:rPr>
                <w:rFonts w:hint="eastAsia" w:ascii="Times New Roman" w:hAnsi="Times New Roman" w:eastAsia="宋体" w:cs="Times New Roman"/>
                <w:b w:val="0"/>
                <w:bCs w:val="0"/>
                <w:color w:val="000000"/>
                <w:kern w:val="0"/>
                <w:sz w:val="24"/>
                <w:szCs w:val="24"/>
                <w:highlight w:val="none"/>
              </w:rPr>
              <w:t>t/a</w:t>
            </w:r>
            <w:r>
              <w:rPr>
                <w:rFonts w:hint="eastAsia" w:cs="Times New Roman"/>
                <w:b w:val="0"/>
                <w:bCs w:val="0"/>
                <w:color w:val="000000"/>
                <w:kern w:val="0"/>
                <w:sz w:val="24"/>
                <w:szCs w:val="24"/>
                <w:highlight w:val="none"/>
                <w:lang w:eastAsia="zh-CN"/>
              </w:rPr>
              <w:t>、</w:t>
            </w:r>
            <w:r>
              <w:rPr>
                <w:rFonts w:hint="eastAsia" w:cs="Times New Roman"/>
                <w:b w:val="0"/>
                <w:bCs w:val="0"/>
                <w:sz w:val="24"/>
                <w:highlight w:val="none"/>
                <w:lang w:val="en-US" w:eastAsia="zh-CN"/>
              </w:rPr>
              <w:t>LAS0.031</w:t>
            </w:r>
            <w:r>
              <w:rPr>
                <w:rFonts w:hint="eastAsia" w:ascii="Times New Roman" w:hAnsi="Times New Roman" w:eastAsia="宋体" w:cs="Times New Roman"/>
                <w:b w:val="0"/>
                <w:bCs w:val="0"/>
                <w:color w:val="000000"/>
                <w:kern w:val="0"/>
                <w:sz w:val="24"/>
                <w:szCs w:val="24"/>
                <w:highlight w:val="none"/>
              </w:rPr>
              <w:t>t/a</w:t>
            </w:r>
            <w:r>
              <w:rPr>
                <w:rFonts w:hint="eastAsia" w:ascii="Times New Roman" w:hAnsi="Times New Roman" w:eastAsia="宋体" w:cs="Times New Roman"/>
                <w:b w:val="0"/>
                <w:bCs w:val="0"/>
                <w:color w:val="000000"/>
                <w:kern w:val="0"/>
                <w:sz w:val="24"/>
                <w:szCs w:val="24"/>
                <w:highlight w:val="none"/>
                <w:lang w:eastAsia="zh-CN"/>
              </w:rPr>
              <w:t>。</w:t>
            </w:r>
          </w:p>
          <w:p w14:paraId="54B4884C">
            <w:pPr>
              <w:pStyle w:val="31"/>
              <w:pageBreakBefore w:val="0"/>
              <w:suppressLineNumbers w:val="0"/>
              <w:kinsoku/>
              <w:wordWrap/>
              <w:overflowPunct/>
              <w:topLinePunct w:val="0"/>
              <w:autoSpaceDE/>
              <w:autoSpaceDN/>
              <w:bidi w:val="0"/>
              <w:adjustRightInd w:val="0"/>
              <w:snapToGrid w:val="0"/>
              <w:spacing w:before="0" w:beforeAutospacing="0" w:after="0" w:afterAutospacing="0" w:line="356" w:lineRule="auto"/>
              <w:ind w:left="0" w:leftChars="0" w:right="0" w:firstLine="482"/>
              <w:textAlignment w:val="auto"/>
              <w:rPr>
                <w:rFonts w:hint="default" w:ascii="Times New Roman" w:hAnsi="Times New Roman" w:eastAsia="宋体" w:cs="Times New Roman"/>
                <w:b/>
                <w:bCs/>
                <w:color w:val="000000"/>
                <w:sz w:val="24"/>
                <w:highlight w:val="none"/>
                <w:lang w:val="en-US" w:eastAsia="zh-CN"/>
              </w:rPr>
            </w:pPr>
            <w:r>
              <w:rPr>
                <w:rFonts w:hint="eastAsia" w:ascii="Times New Roman" w:hAnsi="Times New Roman" w:eastAsia="宋体" w:cs="Times New Roman"/>
                <w:b/>
                <w:bCs/>
                <w:color w:val="000000"/>
                <w:sz w:val="24"/>
                <w:highlight w:val="none"/>
                <w:lang w:val="en-US" w:eastAsia="zh-CN"/>
              </w:rPr>
              <w:t>h、科创</w:t>
            </w:r>
            <w:r>
              <w:rPr>
                <w:rFonts w:hint="eastAsia"/>
                <w:b/>
                <w:bCs/>
                <w:kern w:val="0"/>
                <w:sz w:val="24"/>
                <w:szCs w:val="24"/>
                <w:highlight w:val="none"/>
                <w:lang w:val="en-US" w:eastAsia="zh-CN"/>
              </w:rPr>
              <w:t>综合</w:t>
            </w:r>
            <w:r>
              <w:rPr>
                <w:rFonts w:hint="eastAsia" w:ascii="Times New Roman" w:hAnsi="Times New Roman" w:eastAsia="宋体" w:cs="Times New Roman"/>
                <w:b/>
                <w:bCs/>
                <w:color w:val="000000"/>
                <w:sz w:val="24"/>
                <w:highlight w:val="none"/>
                <w:lang w:val="en-US" w:eastAsia="zh-CN"/>
              </w:rPr>
              <w:t>楼实验室地面清洗废水</w:t>
            </w:r>
          </w:p>
          <w:p w14:paraId="6447FD70">
            <w:pPr>
              <w:keepNext w:val="0"/>
              <w:keepLines w:val="0"/>
              <w:pageBreakBefore w:val="0"/>
              <w:suppressLineNumbers w:val="0"/>
              <w:kinsoku/>
              <w:wordWrap/>
              <w:overflowPunct/>
              <w:topLinePunct w:val="0"/>
              <w:autoSpaceDE/>
              <w:autoSpaceDN/>
              <w:bidi w:val="0"/>
              <w:adjustRightInd w:val="0"/>
              <w:snapToGrid w:val="0"/>
              <w:spacing w:before="0" w:beforeAutospacing="0" w:after="0" w:afterAutospacing="0" w:line="356" w:lineRule="auto"/>
              <w:ind w:left="0" w:right="0" w:firstLine="480" w:firstLineChars="200"/>
              <w:textAlignment w:val="auto"/>
              <w:rPr>
                <w:rFonts w:hint="eastAsia" w:ascii="Times New Roman" w:hAnsi="Times New Roman" w:eastAsia="宋体" w:cs="Times New Roman"/>
                <w:b w:val="0"/>
                <w:bCs w:val="0"/>
                <w:color w:val="000000"/>
                <w:sz w:val="24"/>
                <w:highlight w:val="none"/>
                <w:lang w:val="en-US" w:eastAsia="zh-CN"/>
              </w:rPr>
            </w:pPr>
            <w:r>
              <w:rPr>
                <w:rFonts w:hint="eastAsia" w:ascii="Times New Roman" w:hAnsi="Times New Roman" w:eastAsia="宋体" w:cs="Times New Roman"/>
                <w:b w:val="0"/>
                <w:bCs w:val="0"/>
                <w:color w:val="000000"/>
                <w:sz w:val="24"/>
                <w:highlight w:val="none"/>
                <w:lang w:val="en-US" w:eastAsia="zh-CN"/>
              </w:rPr>
              <w:t>根据上文水平衡分析可知：科创</w:t>
            </w:r>
            <w:r>
              <w:rPr>
                <w:rFonts w:hint="eastAsia"/>
                <w:kern w:val="0"/>
                <w:sz w:val="24"/>
                <w:szCs w:val="24"/>
                <w:highlight w:val="none"/>
                <w:lang w:val="en-US" w:eastAsia="zh-CN"/>
              </w:rPr>
              <w:t>综合</w:t>
            </w:r>
            <w:r>
              <w:rPr>
                <w:rFonts w:hint="eastAsia" w:ascii="Times New Roman" w:hAnsi="Times New Roman" w:eastAsia="宋体" w:cs="Times New Roman"/>
                <w:b w:val="0"/>
                <w:bCs w:val="0"/>
                <w:color w:val="000000"/>
                <w:sz w:val="24"/>
                <w:highlight w:val="none"/>
                <w:lang w:val="en-US" w:eastAsia="zh-CN"/>
              </w:rPr>
              <w:t>楼实验室地面清洗废水产生量397.8t/a，废水水质主要为COD</w:t>
            </w:r>
            <w:r>
              <w:rPr>
                <w:rFonts w:hint="eastAsia" w:ascii="Times New Roman" w:hAnsi="Times New Roman" w:eastAsia="宋体" w:cs="Times New Roman"/>
                <w:b w:val="0"/>
                <w:bCs w:val="0"/>
                <w:color w:val="000000"/>
                <w:kern w:val="0"/>
                <w:sz w:val="24"/>
                <w:szCs w:val="24"/>
                <w:highlight w:val="none"/>
                <w:vertAlign w:val="subscript"/>
              </w:rPr>
              <w:t>Cr</w:t>
            </w:r>
            <w:r>
              <w:rPr>
                <w:rFonts w:hint="eastAsia" w:ascii="Times New Roman" w:hAnsi="Times New Roman" w:eastAsia="宋体" w:cs="Times New Roman"/>
                <w:b w:val="0"/>
                <w:bCs w:val="0"/>
                <w:color w:val="000000"/>
                <w:sz w:val="24"/>
                <w:highlight w:val="none"/>
                <w:lang w:val="en-US" w:eastAsia="zh-CN"/>
              </w:rPr>
              <w:t>150mg/L、SS150mg/L，则科创</w:t>
            </w:r>
            <w:r>
              <w:rPr>
                <w:rFonts w:hint="eastAsia"/>
                <w:kern w:val="0"/>
                <w:sz w:val="24"/>
                <w:szCs w:val="24"/>
                <w:highlight w:val="none"/>
                <w:lang w:val="en-US" w:eastAsia="zh-CN"/>
              </w:rPr>
              <w:t>综合</w:t>
            </w:r>
            <w:r>
              <w:rPr>
                <w:rFonts w:hint="eastAsia" w:ascii="Times New Roman" w:hAnsi="Times New Roman" w:eastAsia="宋体" w:cs="Times New Roman"/>
                <w:b w:val="0"/>
                <w:bCs w:val="0"/>
                <w:color w:val="000000"/>
                <w:sz w:val="24"/>
                <w:highlight w:val="none"/>
                <w:lang w:val="en-US" w:eastAsia="zh-CN"/>
              </w:rPr>
              <w:t>楼实验室地面清洗废水</w:t>
            </w:r>
            <w:r>
              <w:rPr>
                <w:rFonts w:hint="eastAsia" w:ascii="Times New Roman" w:hAnsi="Times New Roman" w:eastAsia="宋体" w:cs="Times New Roman"/>
                <w:color w:val="000000"/>
                <w:kern w:val="0"/>
                <w:sz w:val="24"/>
                <w:szCs w:val="24"/>
                <w:highlight w:val="none"/>
              </w:rPr>
              <w:t>污染</w:t>
            </w:r>
            <w:r>
              <w:rPr>
                <w:rFonts w:hint="eastAsia" w:ascii="Times New Roman" w:hAnsi="Times New Roman" w:eastAsia="宋体" w:cs="Times New Roman"/>
                <w:b w:val="0"/>
                <w:bCs w:val="0"/>
                <w:color w:val="000000"/>
                <w:sz w:val="24"/>
                <w:highlight w:val="none"/>
                <w:lang w:val="en-US" w:eastAsia="zh-CN"/>
              </w:rPr>
              <w:t>物产生量为：COD</w:t>
            </w:r>
            <w:r>
              <w:rPr>
                <w:rFonts w:hint="eastAsia" w:ascii="Times New Roman" w:hAnsi="Times New Roman" w:eastAsia="宋体" w:cs="Times New Roman"/>
                <w:b w:val="0"/>
                <w:bCs w:val="0"/>
                <w:color w:val="000000"/>
                <w:kern w:val="0"/>
                <w:sz w:val="24"/>
                <w:szCs w:val="24"/>
                <w:highlight w:val="none"/>
                <w:vertAlign w:val="subscript"/>
              </w:rPr>
              <w:t>Cr</w:t>
            </w:r>
            <w:r>
              <w:rPr>
                <w:rFonts w:hint="eastAsia" w:ascii="Times New Roman" w:hAnsi="Times New Roman" w:eastAsia="宋体" w:cs="Times New Roman"/>
                <w:b w:val="0"/>
                <w:bCs w:val="0"/>
                <w:color w:val="000000"/>
                <w:sz w:val="24"/>
                <w:highlight w:val="none"/>
                <w:lang w:val="en-US" w:eastAsia="zh-CN"/>
              </w:rPr>
              <w:t>0.060t/a、SS0.060t/a。</w:t>
            </w:r>
          </w:p>
          <w:p w14:paraId="7A902503">
            <w:pPr>
              <w:keepNext w:val="0"/>
              <w:keepLines w:val="0"/>
              <w:suppressLineNumbers w:val="0"/>
              <w:adjustRightInd w:val="0"/>
              <w:snapToGrid w:val="0"/>
              <w:spacing w:before="0" w:beforeAutospacing="0" w:after="0" w:afterAutospacing="0" w:line="360" w:lineRule="auto"/>
              <w:ind w:left="0" w:right="0" w:firstLine="482" w:firstLineChars="200"/>
              <w:rPr>
                <w:rFonts w:hint="default" w:ascii="Times New Roman" w:hAnsi="Times New Roman" w:eastAsia="宋体" w:cs="Times New Roman"/>
                <w:b/>
                <w:bCs/>
                <w:color w:val="000000"/>
                <w:sz w:val="24"/>
                <w:highlight w:val="none"/>
                <w:lang w:val="en-US" w:eastAsia="zh-CN"/>
              </w:rPr>
            </w:pPr>
            <w:r>
              <w:rPr>
                <w:rFonts w:hint="eastAsia" w:ascii="Times New Roman" w:hAnsi="Times New Roman" w:eastAsia="宋体" w:cs="Times New Roman"/>
                <w:b/>
                <w:bCs/>
                <w:color w:val="000000"/>
                <w:sz w:val="24"/>
                <w:highlight w:val="none"/>
                <w:lang w:val="en-US" w:eastAsia="zh-CN"/>
              </w:rPr>
              <w:t>I</w:t>
            </w:r>
            <w:r>
              <w:rPr>
                <w:rFonts w:hint="eastAsia" w:cs="Times New Roman"/>
                <w:b/>
                <w:bCs/>
                <w:color w:val="000000"/>
                <w:sz w:val="24"/>
                <w:highlight w:val="none"/>
                <w:lang w:val="en-US" w:eastAsia="zh-CN"/>
              </w:rPr>
              <w:t>、</w:t>
            </w:r>
            <w:r>
              <w:rPr>
                <w:rFonts w:hint="eastAsia" w:ascii="Times New Roman" w:hAnsi="Times New Roman" w:eastAsia="宋体" w:cs="Times New Roman"/>
                <w:b/>
                <w:bCs/>
                <w:color w:val="000000"/>
                <w:sz w:val="24"/>
                <w:highlight w:val="none"/>
                <w:lang w:val="en-US" w:eastAsia="zh-CN"/>
              </w:rPr>
              <w:t>科创</w:t>
            </w:r>
            <w:r>
              <w:rPr>
                <w:rFonts w:hint="eastAsia"/>
                <w:b/>
                <w:bCs/>
                <w:kern w:val="0"/>
                <w:sz w:val="24"/>
                <w:szCs w:val="24"/>
                <w:highlight w:val="none"/>
                <w:lang w:val="en-US" w:eastAsia="zh-CN"/>
              </w:rPr>
              <w:t>综合</w:t>
            </w:r>
            <w:r>
              <w:rPr>
                <w:rFonts w:hint="eastAsia" w:ascii="Times New Roman" w:hAnsi="Times New Roman" w:eastAsia="宋体" w:cs="Times New Roman"/>
                <w:b/>
                <w:bCs/>
                <w:color w:val="000000"/>
                <w:sz w:val="24"/>
                <w:highlight w:val="none"/>
                <w:lang w:val="en-US" w:eastAsia="zh-CN"/>
              </w:rPr>
              <w:t>楼纯水制备浓水</w:t>
            </w:r>
          </w:p>
          <w:p w14:paraId="6C456C88">
            <w:pPr>
              <w:keepNext w:val="0"/>
              <w:keepLines w:val="0"/>
              <w:suppressLineNumbers w:val="0"/>
              <w:adjustRightInd w:val="0"/>
              <w:snapToGrid w:val="0"/>
              <w:spacing w:before="0" w:beforeAutospacing="0" w:after="0" w:afterAutospacing="0" w:line="360" w:lineRule="auto"/>
              <w:ind w:left="0" w:right="0" w:firstLine="480" w:firstLineChars="200"/>
              <w:rPr>
                <w:rFonts w:hint="eastAsia" w:ascii="Times New Roman" w:hAnsi="Times New Roman" w:eastAsia="宋体" w:cs="Times New Roman"/>
                <w:b w:val="0"/>
                <w:bCs w:val="0"/>
                <w:color w:val="000000"/>
                <w:sz w:val="24"/>
                <w:highlight w:val="none"/>
                <w:lang w:val="en-US" w:eastAsia="zh-CN"/>
              </w:rPr>
            </w:pPr>
            <w:r>
              <w:rPr>
                <w:rFonts w:hint="eastAsia" w:ascii="Times New Roman" w:hAnsi="Times New Roman" w:eastAsia="宋体" w:cs="Times New Roman"/>
                <w:b w:val="0"/>
                <w:bCs w:val="0"/>
                <w:color w:val="000000"/>
                <w:sz w:val="24"/>
                <w:highlight w:val="none"/>
                <w:lang w:val="en-US" w:eastAsia="zh-CN"/>
              </w:rPr>
              <w:t>根据上文水平衡分析可知：科创</w:t>
            </w:r>
            <w:r>
              <w:rPr>
                <w:rFonts w:hint="eastAsia"/>
                <w:kern w:val="0"/>
                <w:sz w:val="24"/>
                <w:szCs w:val="24"/>
                <w:highlight w:val="none"/>
                <w:lang w:val="en-US" w:eastAsia="zh-CN"/>
              </w:rPr>
              <w:t>综合</w:t>
            </w:r>
            <w:r>
              <w:rPr>
                <w:rFonts w:hint="eastAsia" w:ascii="Times New Roman" w:hAnsi="Times New Roman" w:eastAsia="宋体" w:cs="Times New Roman"/>
                <w:b w:val="0"/>
                <w:bCs w:val="0"/>
                <w:color w:val="000000"/>
                <w:sz w:val="24"/>
                <w:highlight w:val="none"/>
                <w:lang w:val="en-US" w:eastAsia="zh-CN"/>
              </w:rPr>
              <w:t>楼纯水制备浓水产生量367.7t/a，主要含有无机盐类（钙盐、镁盐）、COD</w:t>
            </w:r>
            <w:r>
              <w:rPr>
                <w:rFonts w:hint="eastAsia" w:ascii="Times New Roman" w:hAnsi="Times New Roman" w:eastAsia="宋体" w:cs="Times New Roman"/>
                <w:b w:val="0"/>
                <w:bCs w:val="0"/>
                <w:color w:val="000000"/>
                <w:sz w:val="24"/>
                <w:highlight w:val="none"/>
                <w:vertAlign w:val="subscript"/>
                <w:lang w:val="en-US" w:eastAsia="zh-CN"/>
              </w:rPr>
              <w:t>Cr</w:t>
            </w:r>
            <w:r>
              <w:rPr>
                <w:rFonts w:hint="eastAsia" w:ascii="Times New Roman" w:hAnsi="Times New Roman" w:eastAsia="宋体" w:cs="Times New Roman"/>
                <w:b w:val="0"/>
                <w:bCs w:val="0"/>
                <w:color w:val="000000"/>
                <w:sz w:val="24"/>
                <w:highlight w:val="none"/>
                <w:lang w:val="en-US" w:eastAsia="zh-CN"/>
              </w:rPr>
              <w:t>、SS及其他矿物质，水质简单，可直接纳管排放。本环评按COD</w:t>
            </w:r>
            <w:r>
              <w:rPr>
                <w:rFonts w:hint="eastAsia" w:ascii="Times New Roman" w:hAnsi="Times New Roman" w:eastAsia="宋体" w:cs="Times New Roman"/>
                <w:b w:val="0"/>
                <w:bCs w:val="0"/>
                <w:color w:val="000000"/>
                <w:sz w:val="24"/>
                <w:highlight w:val="none"/>
                <w:vertAlign w:val="subscript"/>
                <w:lang w:val="en-US" w:eastAsia="zh-CN"/>
              </w:rPr>
              <w:t>Cr</w:t>
            </w:r>
            <w:r>
              <w:rPr>
                <w:rFonts w:hint="eastAsia" w:ascii="Times New Roman" w:hAnsi="Times New Roman" w:eastAsia="宋体" w:cs="Times New Roman"/>
                <w:b w:val="0"/>
                <w:bCs w:val="0"/>
                <w:color w:val="000000"/>
                <w:sz w:val="24"/>
                <w:highlight w:val="none"/>
                <w:lang w:val="en-US" w:eastAsia="zh-CN"/>
              </w:rPr>
              <w:t>80mg/L、SS80mg/L计，则纯水制备浓水污染物产生量COD</w:t>
            </w:r>
            <w:r>
              <w:rPr>
                <w:rFonts w:hint="eastAsia" w:ascii="Times New Roman" w:hAnsi="Times New Roman" w:eastAsia="宋体" w:cs="Times New Roman"/>
                <w:b w:val="0"/>
                <w:bCs w:val="0"/>
                <w:color w:val="000000"/>
                <w:sz w:val="24"/>
                <w:highlight w:val="none"/>
                <w:vertAlign w:val="subscript"/>
                <w:lang w:val="en-US" w:eastAsia="zh-CN"/>
              </w:rPr>
              <w:t>Cr</w:t>
            </w:r>
            <w:r>
              <w:rPr>
                <w:rFonts w:hint="eastAsia" w:ascii="Times New Roman" w:hAnsi="Times New Roman" w:eastAsia="宋体" w:cs="Times New Roman"/>
                <w:b w:val="0"/>
                <w:bCs w:val="0"/>
                <w:color w:val="000000"/>
                <w:sz w:val="24"/>
                <w:highlight w:val="none"/>
                <w:lang w:val="en-US" w:eastAsia="zh-CN"/>
              </w:rPr>
              <w:t>0.029t/a、SS0.029t/a。</w:t>
            </w:r>
          </w:p>
          <w:p w14:paraId="17108C1D">
            <w:pPr>
              <w:keepNext w:val="0"/>
              <w:keepLines w:val="0"/>
              <w:suppressLineNumbers w:val="0"/>
              <w:adjustRightInd w:val="0"/>
              <w:snapToGrid w:val="0"/>
              <w:spacing w:before="0" w:beforeAutospacing="0" w:after="0" w:afterAutospacing="0" w:line="360" w:lineRule="auto"/>
              <w:ind w:left="0" w:right="0" w:firstLine="480" w:firstLineChars="200"/>
              <w:rPr>
                <w:rFonts w:hint="default" w:ascii="Times New Roman" w:hAnsi="Times New Roman" w:eastAsia="宋体" w:cs="Times New Roman"/>
                <w:b/>
                <w:snapToGrid w:val="0"/>
                <w:highlight w:val="none"/>
              </w:rPr>
            </w:pPr>
            <w:r>
              <w:rPr>
                <w:rFonts w:hint="eastAsia" w:ascii="Times New Roman" w:hAnsi="Times New Roman" w:eastAsia="宋体" w:cs="Times New Roman"/>
                <w:kern w:val="0"/>
                <w:highlight w:val="none"/>
              </w:rPr>
              <w:t>项目废水类别、污染物及污染治理设施信息见表</w:t>
            </w:r>
            <w:r>
              <w:rPr>
                <w:rFonts w:hint="default" w:ascii="Times New Roman" w:hAnsi="Times New Roman" w:eastAsia="宋体" w:cs="Times New Roman"/>
                <w:kern w:val="0"/>
                <w:highlight w:val="none"/>
              </w:rPr>
              <w:t>4-</w:t>
            </w:r>
            <w:r>
              <w:rPr>
                <w:rFonts w:hint="eastAsia" w:cs="Times New Roman"/>
                <w:kern w:val="0"/>
                <w:highlight w:val="none"/>
                <w:lang w:val="en-US" w:eastAsia="zh-CN"/>
              </w:rPr>
              <w:t>2</w:t>
            </w:r>
            <w:r>
              <w:rPr>
                <w:rFonts w:hint="eastAsia" w:ascii="Times New Roman" w:hAnsi="Times New Roman" w:eastAsia="宋体" w:cs="Times New Roman"/>
                <w:kern w:val="0"/>
                <w:highlight w:val="none"/>
              </w:rPr>
              <w:t>，废水污染源源强核算结果及相关参数见表</w:t>
            </w:r>
            <w:r>
              <w:rPr>
                <w:rFonts w:hint="default" w:ascii="Times New Roman" w:hAnsi="Times New Roman" w:eastAsia="宋体" w:cs="Times New Roman"/>
                <w:kern w:val="0"/>
                <w:highlight w:val="none"/>
              </w:rPr>
              <w:t>4-</w:t>
            </w:r>
            <w:r>
              <w:rPr>
                <w:rFonts w:hint="eastAsia" w:cs="Times New Roman"/>
                <w:kern w:val="0"/>
                <w:highlight w:val="none"/>
                <w:lang w:val="en-US" w:eastAsia="zh-CN"/>
              </w:rPr>
              <w:t>3</w:t>
            </w:r>
            <w:r>
              <w:rPr>
                <w:rFonts w:hint="eastAsia" w:ascii="Times New Roman" w:hAnsi="Times New Roman" w:eastAsia="宋体" w:cs="Times New Roman"/>
                <w:kern w:val="0"/>
                <w:highlight w:val="none"/>
              </w:rPr>
              <w:t>。</w:t>
            </w:r>
          </w:p>
          <w:p w14:paraId="39500D38">
            <w:pPr>
              <w:keepNext w:val="0"/>
              <w:keepLines w:val="0"/>
              <w:widowControl/>
              <w:suppressLineNumbers w:val="0"/>
              <w:adjustRightInd w:val="0"/>
              <w:snapToGrid w:val="0"/>
              <w:spacing w:before="0" w:beforeAutospacing="0" w:after="0" w:afterAutospacing="0" w:line="360" w:lineRule="auto"/>
              <w:ind w:left="0" w:right="0"/>
              <w:jc w:val="center"/>
              <w:rPr>
                <w:rFonts w:hint="default" w:ascii="Times New Roman" w:hAnsi="Times New Roman" w:eastAsia="宋体" w:cs="Times New Roman"/>
                <w:b/>
                <w:snapToGrid w:val="0"/>
                <w:highlight w:val="none"/>
              </w:rPr>
            </w:pPr>
            <w:r>
              <w:rPr>
                <w:rFonts w:hint="eastAsia" w:ascii="Times New Roman" w:hAnsi="Times New Roman" w:eastAsia="宋体" w:cs="Times New Roman"/>
                <w:b/>
                <w:snapToGrid w:val="0"/>
                <w:highlight w:val="none"/>
              </w:rPr>
              <w:t>表</w:t>
            </w:r>
            <w:r>
              <w:rPr>
                <w:rFonts w:hint="default" w:ascii="Times New Roman" w:hAnsi="Times New Roman" w:eastAsia="宋体" w:cs="Times New Roman"/>
                <w:b/>
                <w:snapToGrid w:val="0"/>
                <w:highlight w:val="none"/>
              </w:rPr>
              <w:t>4-</w:t>
            </w:r>
            <w:r>
              <w:rPr>
                <w:rFonts w:hint="eastAsia" w:cs="Times New Roman"/>
                <w:b/>
                <w:snapToGrid w:val="0"/>
                <w:highlight w:val="none"/>
                <w:lang w:val="en-US" w:eastAsia="zh-CN"/>
              </w:rPr>
              <w:t>2</w:t>
            </w:r>
            <w:r>
              <w:rPr>
                <w:rFonts w:hint="default" w:ascii="Times New Roman" w:hAnsi="Times New Roman" w:eastAsia="宋体" w:cs="Times New Roman"/>
                <w:b/>
                <w:snapToGrid w:val="0"/>
                <w:highlight w:val="none"/>
              </w:rPr>
              <w:t xml:space="preserve"> </w:t>
            </w:r>
            <w:r>
              <w:rPr>
                <w:rFonts w:hint="eastAsia" w:ascii="Times New Roman" w:hAnsi="Times New Roman" w:eastAsia="宋体" w:cs="Times New Roman"/>
                <w:b/>
                <w:snapToGrid w:val="0"/>
                <w:highlight w:val="none"/>
              </w:rPr>
              <w:t>废水类别、污染物及污染治理设施信息表</w:t>
            </w:r>
          </w:p>
          <w:tbl>
            <w:tblPr>
              <w:tblStyle w:val="32"/>
              <w:tblW w:w="4998"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
            <w:tblGrid>
              <w:gridCol w:w="520"/>
              <w:gridCol w:w="849"/>
              <w:gridCol w:w="1039"/>
              <w:gridCol w:w="604"/>
              <w:gridCol w:w="685"/>
              <w:gridCol w:w="596"/>
              <w:gridCol w:w="546"/>
              <w:gridCol w:w="636"/>
              <w:gridCol w:w="516"/>
              <w:gridCol w:w="392"/>
              <w:gridCol w:w="516"/>
              <w:gridCol w:w="476"/>
              <w:gridCol w:w="442"/>
              <w:gridCol w:w="452"/>
            </w:tblGrid>
            <w:tr w14:paraId="4195847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90" w:hRule="atLeast"/>
                <w:jc w:val="center"/>
              </w:trPr>
              <w:tc>
                <w:tcPr>
                  <w:tcW w:w="314" w:type="pct"/>
                  <w:vMerge w:val="restart"/>
                  <w:tcBorders>
                    <w:top w:val="single" w:color="auto" w:sz="4" w:space="0"/>
                    <w:left w:val="single" w:color="auto" w:sz="4" w:space="0"/>
                    <w:bottom w:val="single" w:color="auto" w:sz="4" w:space="0"/>
                    <w:right w:val="single" w:color="auto" w:sz="4" w:space="0"/>
                  </w:tcBorders>
                  <w:tcMar>
                    <w:left w:w="57" w:type="dxa"/>
                    <w:right w:w="57" w:type="dxa"/>
                  </w:tcMar>
                  <w:vAlign w:val="center"/>
                </w:tcPr>
                <w:p w14:paraId="4D0868E2">
                  <w:pPr>
                    <w:keepNext w:val="0"/>
                    <w:keepLines w:val="0"/>
                    <w:widowControl/>
                    <w:suppressLineNumbers w:val="0"/>
                    <w:adjustRightInd w:val="0"/>
                    <w:snapToGrid w:val="0"/>
                    <w:spacing w:before="0" w:beforeAutospacing="0" w:after="0" w:afterAutospacing="0" w:line="264" w:lineRule="auto"/>
                    <w:ind w:left="0" w:right="0"/>
                    <w:jc w:val="center"/>
                    <w:rPr>
                      <w:rFonts w:hint="default" w:ascii="Times New Roman" w:hAnsi="Times New Roman" w:eastAsia="宋体" w:cs="Times New Roman"/>
                      <w:snapToGrid w:val="0"/>
                      <w:sz w:val="18"/>
                      <w:szCs w:val="18"/>
                      <w:highlight w:val="none"/>
                    </w:rPr>
                  </w:pPr>
                  <w:r>
                    <w:rPr>
                      <w:rFonts w:hint="eastAsia" w:ascii="Times New Roman" w:hAnsi="Times New Roman" w:eastAsia="宋体" w:cs="Times New Roman"/>
                      <w:snapToGrid w:val="0"/>
                      <w:sz w:val="18"/>
                      <w:szCs w:val="18"/>
                      <w:highlight w:val="none"/>
                    </w:rPr>
                    <w:t>生产线名称</w:t>
                  </w:r>
                </w:p>
              </w:tc>
              <w:tc>
                <w:tcPr>
                  <w:tcW w:w="513" w:type="pct"/>
                  <w:vMerge w:val="restart"/>
                  <w:tcBorders>
                    <w:top w:val="single" w:color="auto" w:sz="4" w:space="0"/>
                    <w:left w:val="single" w:color="auto" w:sz="4" w:space="0"/>
                    <w:bottom w:val="single" w:color="auto" w:sz="4" w:space="0"/>
                    <w:right w:val="single" w:color="auto" w:sz="4" w:space="0"/>
                  </w:tcBorders>
                  <w:tcMar>
                    <w:left w:w="57" w:type="dxa"/>
                    <w:right w:w="57" w:type="dxa"/>
                  </w:tcMar>
                  <w:vAlign w:val="center"/>
                </w:tcPr>
                <w:p w14:paraId="5914DB22">
                  <w:pPr>
                    <w:keepNext w:val="0"/>
                    <w:keepLines w:val="0"/>
                    <w:widowControl/>
                    <w:suppressLineNumbers w:val="0"/>
                    <w:adjustRightInd w:val="0"/>
                    <w:snapToGrid w:val="0"/>
                    <w:spacing w:before="0" w:beforeAutospacing="0" w:after="0" w:afterAutospacing="0" w:line="264" w:lineRule="auto"/>
                    <w:ind w:left="0" w:right="0"/>
                    <w:jc w:val="center"/>
                    <w:rPr>
                      <w:rFonts w:hint="default" w:ascii="Times New Roman" w:hAnsi="Times New Roman" w:eastAsia="宋体" w:cs="Times New Roman"/>
                      <w:snapToGrid w:val="0"/>
                      <w:sz w:val="18"/>
                      <w:szCs w:val="18"/>
                      <w:highlight w:val="none"/>
                    </w:rPr>
                  </w:pPr>
                  <w:r>
                    <w:rPr>
                      <w:rFonts w:hint="eastAsia" w:ascii="Times New Roman" w:hAnsi="Times New Roman" w:eastAsia="宋体" w:cs="Times New Roman"/>
                      <w:snapToGrid w:val="0"/>
                      <w:sz w:val="18"/>
                      <w:szCs w:val="18"/>
                      <w:highlight w:val="none"/>
                    </w:rPr>
                    <w:t>产污环节</w:t>
                  </w:r>
                </w:p>
              </w:tc>
              <w:tc>
                <w:tcPr>
                  <w:tcW w:w="628" w:type="pct"/>
                  <w:vMerge w:val="restart"/>
                  <w:tcBorders>
                    <w:top w:val="single" w:color="auto" w:sz="4" w:space="0"/>
                    <w:left w:val="single" w:color="auto" w:sz="4" w:space="0"/>
                    <w:bottom w:val="single" w:color="auto" w:sz="4" w:space="0"/>
                    <w:right w:val="single" w:color="auto" w:sz="4" w:space="0"/>
                  </w:tcBorders>
                  <w:tcMar>
                    <w:left w:w="57" w:type="dxa"/>
                    <w:right w:w="57" w:type="dxa"/>
                  </w:tcMar>
                  <w:vAlign w:val="center"/>
                </w:tcPr>
                <w:p w14:paraId="34455BE2">
                  <w:pPr>
                    <w:keepNext w:val="0"/>
                    <w:keepLines w:val="0"/>
                    <w:widowControl/>
                    <w:suppressLineNumbers w:val="0"/>
                    <w:adjustRightInd w:val="0"/>
                    <w:snapToGrid w:val="0"/>
                    <w:spacing w:before="0" w:beforeAutospacing="0" w:after="0" w:afterAutospacing="0" w:line="264" w:lineRule="auto"/>
                    <w:ind w:left="0" w:right="0"/>
                    <w:jc w:val="center"/>
                    <w:rPr>
                      <w:rFonts w:hint="default" w:ascii="Times New Roman" w:hAnsi="Times New Roman" w:eastAsia="宋体" w:cs="Times New Roman"/>
                      <w:snapToGrid w:val="0"/>
                      <w:sz w:val="18"/>
                      <w:szCs w:val="18"/>
                      <w:highlight w:val="none"/>
                    </w:rPr>
                  </w:pPr>
                  <w:r>
                    <w:rPr>
                      <w:rFonts w:hint="eastAsia" w:ascii="Times New Roman" w:hAnsi="Times New Roman" w:eastAsia="宋体" w:cs="Times New Roman"/>
                      <w:snapToGrid w:val="0"/>
                      <w:sz w:val="18"/>
                      <w:szCs w:val="18"/>
                      <w:highlight w:val="none"/>
                    </w:rPr>
                    <w:t>废水类别</w:t>
                  </w:r>
                </w:p>
              </w:tc>
              <w:tc>
                <w:tcPr>
                  <w:tcW w:w="365" w:type="pct"/>
                  <w:vMerge w:val="restart"/>
                  <w:tcBorders>
                    <w:top w:val="single" w:color="auto" w:sz="4" w:space="0"/>
                    <w:left w:val="single" w:color="auto" w:sz="4" w:space="0"/>
                    <w:bottom w:val="single" w:color="auto" w:sz="4" w:space="0"/>
                    <w:right w:val="single" w:color="auto" w:sz="4" w:space="0"/>
                  </w:tcBorders>
                  <w:vAlign w:val="center"/>
                </w:tcPr>
                <w:p w14:paraId="26489FBB">
                  <w:pPr>
                    <w:keepNext w:val="0"/>
                    <w:keepLines w:val="0"/>
                    <w:widowControl/>
                    <w:suppressLineNumbers w:val="0"/>
                    <w:adjustRightInd w:val="0"/>
                    <w:snapToGrid w:val="0"/>
                    <w:spacing w:before="0" w:beforeAutospacing="0" w:after="0" w:afterAutospacing="0" w:line="264" w:lineRule="auto"/>
                    <w:ind w:left="0" w:right="0"/>
                    <w:jc w:val="center"/>
                    <w:rPr>
                      <w:rFonts w:hint="default" w:ascii="Times New Roman" w:hAnsi="Times New Roman" w:eastAsia="宋体" w:cs="Times New Roman"/>
                      <w:snapToGrid w:val="0"/>
                      <w:sz w:val="18"/>
                      <w:szCs w:val="18"/>
                      <w:highlight w:val="none"/>
                    </w:rPr>
                  </w:pPr>
                  <w:r>
                    <w:rPr>
                      <w:rFonts w:hint="eastAsia" w:ascii="Times New Roman" w:hAnsi="Times New Roman" w:eastAsia="宋体" w:cs="Times New Roman"/>
                      <w:snapToGrid w:val="0"/>
                      <w:sz w:val="18"/>
                      <w:szCs w:val="18"/>
                      <w:highlight w:val="none"/>
                    </w:rPr>
                    <w:t>污染物</w:t>
                  </w:r>
                </w:p>
                <w:p w14:paraId="3265C86C">
                  <w:pPr>
                    <w:keepNext w:val="0"/>
                    <w:keepLines w:val="0"/>
                    <w:widowControl/>
                    <w:suppressLineNumbers w:val="0"/>
                    <w:adjustRightInd w:val="0"/>
                    <w:snapToGrid w:val="0"/>
                    <w:spacing w:before="0" w:beforeAutospacing="0" w:after="0" w:afterAutospacing="0" w:line="264" w:lineRule="auto"/>
                    <w:ind w:left="0" w:right="0"/>
                    <w:jc w:val="center"/>
                    <w:rPr>
                      <w:rFonts w:hint="default" w:ascii="Times New Roman" w:hAnsi="Times New Roman" w:eastAsia="宋体" w:cs="Times New Roman"/>
                      <w:snapToGrid w:val="0"/>
                      <w:sz w:val="18"/>
                      <w:szCs w:val="18"/>
                      <w:highlight w:val="none"/>
                    </w:rPr>
                  </w:pPr>
                  <w:r>
                    <w:rPr>
                      <w:rFonts w:hint="eastAsia" w:ascii="Times New Roman" w:hAnsi="Times New Roman" w:eastAsia="宋体" w:cs="Times New Roman"/>
                      <w:snapToGrid w:val="0"/>
                      <w:sz w:val="18"/>
                      <w:szCs w:val="18"/>
                      <w:highlight w:val="none"/>
                    </w:rPr>
                    <w:t>种类</w:t>
                  </w:r>
                </w:p>
              </w:tc>
              <w:tc>
                <w:tcPr>
                  <w:tcW w:w="1489" w:type="pct"/>
                  <w:gridSpan w:val="4"/>
                  <w:tcBorders>
                    <w:top w:val="single" w:color="auto" w:sz="4" w:space="0"/>
                    <w:left w:val="single" w:color="auto" w:sz="4" w:space="0"/>
                    <w:bottom w:val="single" w:color="auto" w:sz="4" w:space="0"/>
                    <w:right w:val="single" w:color="auto" w:sz="4" w:space="0"/>
                  </w:tcBorders>
                  <w:vAlign w:val="center"/>
                </w:tcPr>
                <w:p w14:paraId="10717F95">
                  <w:pPr>
                    <w:keepNext w:val="0"/>
                    <w:keepLines w:val="0"/>
                    <w:suppressLineNumbers w:val="0"/>
                    <w:adjustRightInd w:val="0"/>
                    <w:snapToGrid w:val="0"/>
                    <w:spacing w:before="0" w:beforeAutospacing="0" w:after="0" w:afterAutospacing="0" w:line="264" w:lineRule="auto"/>
                    <w:ind w:left="0" w:right="0"/>
                    <w:jc w:val="center"/>
                    <w:rPr>
                      <w:rFonts w:hint="default" w:ascii="Times New Roman" w:hAnsi="Times New Roman" w:eastAsia="宋体" w:cs="Times New Roman"/>
                      <w:snapToGrid w:val="0"/>
                      <w:sz w:val="18"/>
                      <w:szCs w:val="18"/>
                      <w:highlight w:val="none"/>
                    </w:rPr>
                  </w:pPr>
                  <w:r>
                    <w:rPr>
                      <w:rFonts w:hint="eastAsia" w:ascii="Times New Roman" w:hAnsi="Times New Roman" w:eastAsia="宋体" w:cs="Times New Roman"/>
                      <w:snapToGrid w:val="0"/>
                      <w:sz w:val="18"/>
                      <w:szCs w:val="18"/>
                      <w:highlight w:val="none"/>
                    </w:rPr>
                    <w:t>污染治理设施</w:t>
                  </w:r>
                </w:p>
              </w:tc>
              <w:tc>
                <w:tcPr>
                  <w:tcW w:w="312" w:type="pct"/>
                  <w:vMerge w:val="restart"/>
                  <w:tcBorders>
                    <w:top w:val="single" w:color="auto" w:sz="4" w:space="0"/>
                    <w:left w:val="single" w:color="auto" w:sz="4" w:space="0"/>
                    <w:bottom w:val="single" w:color="auto" w:sz="4" w:space="0"/>
                    <w:right w:val="single" w:color="auto" w:sz="4" w:space="0"/>
                  </w:tcBorders>
                  <w:tcMar>
                    <w:left w:w="57" w:type="dxa"/>
                    <w:right w:w="57" w:type="dxa"/>
                  </w:tcMar>
                  <w:vAlign w:val="center"/>
                </w:tcPr>
                <w:p w14:paraId="35A50EE7">
                  <w:pPr>
                    <w:keepNext w:val="0"/>
                    <w:keepLines w:val="0"/>
                    <w:widowControl/>
                    <w:suppressLineNumbers w:val="0"/>
                    <w:adjustRightInd w:val="0"/>
                    <w:snapToGrid w:val="0"/>
                    <w:spacing w:before="0" w:beforeAutospacing="0" w:after="0" w:afterAutospacing="0" w:line="264" w:lineRule="auto"/>
                    <w:ind w:left="0" w:right="0"/>
                    <w:jc w:val="center"/>
                    <w:rPr>
                      <w:rFonts w:hint="default" w:ascii="Times New Roman" w:hAnsi="Times New Roman" w:eastAsia="宋体" w:cs="Times New Roman"/>
                      <w:snapToGrid w:val="0"/>
                      <w:sz w:val="18"/>
                      <w:szCs w:val="18"/>
                      <w:highlight w:val="none"/>
                    </w:rPr>
                  </w:pPr>
                  <w:r>
                    <w:rPr>
                      <w:rFonts w:hint="eastAsia" w:ascii="Times New Roman" w:hAnsi="Times New Roman" w:eastAsia="宋体" w:cs="Times New Roman"/>
                      <w:snapToGrid w:val="0"/>
                      <w:sz w:val="18"/>
                      <w:szCs w:val="18"/>
                      <w:highlight w:val="none"/>
                    </w:rPr>
                    <w:t>排放</w:t>
                  </w:r>
                </w:p>
                <w:p w14:paraId="5F2B9DA3">
                  <w:pPr>
                    <w:keepNext w:val="0"/>
                    <w:keepLines w:val="0"/>
                    <w:widowControl/>
                    <w:suppressLineNumbers w:val="0"/>
                    <w:adjustRightInd w:val="0"/>
                    <w:snapToGrid w:val="0"/>
                    <w:spacing w:before="0" w:beforeAutospacing="0" w:after="0" w:afterAutospacing="0" w:line="264" w:lineRule="auto"/>
                    <w:ind w:left="0" w:right="0"/>
                    <w:jc w:val="center"/>
                    <w:rPr>
                      <w:rFonts w:hint="default" w:ascii="Times New Roman" w:hAnsi="Times New Roman" w:eastAsia="宋体" w:cs="Times New Roman"/>
                      <w:snapToGrid w:val="0"/>
                      <w:sz w:val="18"/>
                      <w:szCs w:val="18"/>
                      <w:highlight w:val="none"/>
                    </w:rPr>
                  </w:pPr>
                  <w:r>
                    <w:rPr>
                      <w:rFonts w:hint="eastAsia" w:ascii="Times New Roman" w:hAnsi="Times New Roman" w:eastAsia="宋体" w:cs="Times New Roman"/>
                      <w:snapToGrid w:val="0"/>
                      <w:sz w:val="18"/>
                      <w:szCs w:val="18"/>
                      <w:highlight w:val="none"/>
                    </w:rPr>
                    <w:t>去向</w:t>
                  </w:r>
                </w:p>
              </w:tc>
              <w:tc>
                <w:tcPr>
                  <w:tcW w:w="237" w:type="pct"/>
                  <w:vMerge w:val="restart"/>
                  <w:tcBorders>
                    <w:top w:val="single" w:color="auto" w:sz="4" w:space="0"/>
                    <w:left w:val="single" w:color="auto" w:sz="4" w:space="0"/>
                    <w:bottom w:val="single" w:color="auto" w:sz="4" w:space="0"/>
                    <w:right w:val="single" w:color="auto" w:sz="4" w:space="0"/>
                  </w:tcBorders>
                  <w:vAlign w:val="center"/>
                </w:tcPr>
                <w:p w14:paraId="42D6D5B0">
                  <w:pPr>
                    <w:keepNext w:val="0"/>
                    <w:keepLines w:val="0"/>
                    <w:suppressLineNumbers w:val="0"/>
                    <w:adjustRightInd w:val="0"/>
                    <w:snapToGrid w:val="0"/>
                    <w:spacing w:before="0" w:beforeAutospacing="0" w:after="0" w:afterAutospacing="0" w:line="264" w:lineRule="auto"/>
                    <w:ind w:left="0" w:right="0"/>
                    <w:jc w:val="center"/>
                    <w:rPr>
                      <w:rFonts w:hint="default" w:ascii="Times New Roman" w:hAnsi="Times New Roman" w:eastAsia="宋体" w:cs="Times New Roman"/>
                      <w:snapToGrid w:val="0"/>
                      <w:sz w:val="18"/>
                      <w:szCs w:val="18"/>
                      <w:highlight w:val="none"/>
                    </w:rPr>
                  </w:pPr>
                  <w:r>
                    <w:rPr>
                      <w:rFonts w:hint="eastAsia" w:ascii="Times New Roman" w:hAnsi="Times New Roman" w:eastAsia="宋体" w:cs="Times New Roman"/>
                      <w:snapToGrid w:val="0"/>
                      <w:sz w:val="18"/>
                      <w:szCs w:val="18"/>
                      <w:highlight w:val="none"/>
                    </w:rPr>
                    <w:t>排放</w:t>
                  </w:r>
                </w:p>
                <w:p w14:paraId="4191CA15">
                  <w:pPr>
                    <w:keepNext w:val="0"/>
                    <w:keepLines w:val="0"/>
                    <w:suppressLineNumbers w:val="0"/>
                    <w:adjustRightInd w:val="0"/>
                    <w:snapToGrid w:val="0"/>
                    <w:spacing w:before="0" w:beforeAutospacing="0" w:after="0" w:afterAutospacing="0" w:line="264" w:lineRule="auto"/>
                    <w:ind w:left="0" w:right="0"/>
                    <w:jc w:val="center"/>
                    <w:rPr>
                      <w:rFonts w:hint="default" w:ascii="Times New Roman" w:hAnsi="Times New Roman" w:eastAsia="宋体" w:cs="Times New Roman"/>
                      <w:snapToGrid w:val="0"/>
                      <w:sz w:val="18"/>
                      <w:szCs w:val="18"/>
                      <w:highlight w:val="none"/>
                    </w:rPr>
                  </w:pPr>
                  <w:r>
                    <w:rPr>
                      <w:rFonts w:hint="eastAsia" w:ascii="Times New Roman" w:hAnsi="Times New Roman" w:eastAsia="宋体" w:cs="Times New Roman"/>
                      <w:snapToGrid w:val="0"/>
                      <w:sz w:val="18"/>
                      <w:szCs w:val="18"/>
                      <w:highlight w:val="none"/>
                    </w:rPr>
                    <w:t>方式</w:t>
                  </w:r>
                </w:p>
              </w:tc>
              <w:tc>
                <w:tcPr>
                  <w:tcW w:w="312" w:type="pct"/>
                  <w:vMerge w:val="restart"/>
                  <w:tcBorders>
                    <w:top w:val="single" w:color="auto" w:sz="4" w:space="0"/>
                    <w:left w:val="single" w:color="auto" w:sz="4" w:space="0"/>
                    <w:bottom w:val="single" w:color="auto" w:sz="4" w:space="0"/>
                    <w:right w:val="single" w:color="auto" w:sz="4" w:space="0"/>
                  </w:tcBorders>
                  <w:vAlign w:val="center"/>
                </w:tcPr>
                <w:p w14:paraId="576B86E5">
                  <w:pPr>
                    <w:keepNext w:val="0"/>
                    <w:keepLines w:val="0"/>
                    <w:suppressLineNumbers w:val="0"/>
                    <w:adjustRightInd w:val="0"/>
                    <w:snapToGrid w:val="0"/>
                    <w:spacing w:before="0" w:beforeAutospacing="0" w:after="0" w:afterAutospacing="0" w:line="264" w:lineRule="auto"/>
                    <w:ind w:left="0" w:right="0"/>
                    <w:jc w:val="center"/>
                    <w:rPr>
                      <w:rFonts w:hint="default" w:ascii="Times New Roman" w:hAnsi="Times New Roman" w:eastAsia="宋体" w:cs="Times New Roman"/>
                      <w:snapToGrid w:val="0"/>
                      <w:sz w:val="18"/>
                      <w:szCs w:val="18"/>
                      <w:highlight w:val="none"/>
                    </w:rPr>
                  </w:pPr>
                  <w:r>
                    <w:rPr>
                      <w:rFonts w:hint="eastAsia" w:ascii="Times New Roman" w:hAnsi="Times New Roman" w:eastAsia="宋体" w:cs="Times New Roman"/>
                      <w:snapToGrid w:val="0"/>
                      <w:sz w:val="18"/>
                      <w:szCs w:val="18"/>
                      <w:highlight w:val="none"/>
                    </w:rPr>
                    <w:t>排放规律</w:t>
                  </w:r>
                </w:p>
              </w:tc>
              <w:tc>
                <w:tcPr>
                  <w:tcW w:w="287" w:type="pct"/>
                  <w:vMerge w:val="restart"/>
                  <w:tcBorders>
                    <w:top w:val="single" w:color="auto" w:sz="4" w:space="0"/>
                    <w:left w:val="single" w:color="auto" w:sz="4" w:space="0"/>
                    <w:bottom w:val="single" w:color="auto" w:sz="4" w:space="0"/>
                    <w:right w:val="single" w:color="auto" w:sz="4" w:space="0"/>
                  </w:tcBorders>
                  <w:vAlign w:val="center"/>
                </w:tcPr>
                <w:p w14:paraId="12129F73">
                  <w:pPr>
                    <w:keepNext w:val="0"/>
                    <w:keepLines w:val="0"/>
                    <w:suppressLineNumbers w:val="0"/>
                    <w:adjustRightInd w:val="0"/>
                    <w:snapToGrid w:val="0"/>
                    <w:spacing w:before="0" w:beforeAutospacing="0" w:after="0" w:afterAutospacing="0" w:line="264" w:lineRule="auto"/>
                    <w:ind w:left="0" w:right="0"/>
                    <w:jc w:val="center"/>
                    <w:rPr>
                      <w:rFonts w:hint="default" w:ascii="Times New Roman" w:hAnsi="Times New Roman" w:eastAsia="宋体" w:cs="Times New Roman"/>
                      <w:snapToGrid w:val="0"/>
                      <w:sz w:val="18"/>
                      <w:szCs w:val="18"/>
                      <w:highlight w:val="none"/>
                    </w:rPr>
                  </w:pPr>
                  <w:r>
                    <w:rPr>
                      <w:rFonts w:hint="eastAsia" w:ascii="Times New Roman" w:hAnsi="Times New Roman" w:eastAsia="宋体" w:cs="Times New Roman"/>
                      <w:snapToGrid w:val="0"/>
                      <w:sz w:val="18"/>
                      <w:szCs w:val="18"/>
                      <w:highlight w:val="none"/>
                    </w:rPr>
                    <w:t>排放口</w:t>
                  </w:r>
                </w:p>
                <w:p w14:paraId="2377BDEA">
                  <w:pPr>
                    <w:keepNext w:val="0"/>
                    <w:keepLines w:val="0"/>
                    <w:suppressLineNumbers w:val="0"/>
                    <w:adjustRightInd w:val="0"/>
                    <w:snapToGrid w:val="0"/>
                    <w:spacing w:before="0" w:beforeAutospacing="0" w:after="0" w:afterAutospacing="0" w:line="264" w:lineRule="auto"/>
                    <w:ind w:left="0" w:right="0"/>
                    <w:jc w:val="center"/>
                    <w:rPr>
                      <w:rFonts w:hint="default" w:ascii="Times New Roman" w:hAnsi="Times New Roman" w:eastAsia="宋体" w:cs="Times New Roman"/>
                      <w:snapToGrid w:val="0"/>
                      <w:sz w:val="18"/>
                      <w:szCs w:val="18"/>
                      <w:highlight w:val="none"/>
                    </w:rPr>
                  </w:pPr>
                  <w:r>
                    <w:rPr>
                      <w:rFonts w:hint="eastAsia" w:ascii="Times New Roman" w:hAnsi="Times New Roman" w:eastAsia="宋体" w:cs="Times New Roman"/>
                      <w:snapToGrid w:val="0"/>
                      <w:sz w:val="18"/>
                      <w:szCs w:val="18"/>
                      <w:highlight w:val="none"/>
                    </w:rPr>
                    <w:t>编号</w:t>
                  </w:r>
                </w:p>
              </w:tc>
              <w:tc>
                <w:tcPr>
                  <w:tcW w:w="267" w:type="pct"/>
                  <w:vMerge w:val="restart"/>
                  <w:tcBorders>
                    <w:top w:val="single" w:color="auto" w:sz="4" w:space="0"/>
                    <w:left w:val="single" w:color="auto" w:sz="4" w:space="0"/>
                    <w:bottom w:val="single" w:color="auto" w:sz="4" w:space="0"/>
                    <w:right w:val="single" w:color="auto" w:sz="4" w:space="0"/>
                  </w:tcBorders>
                  <w:vAlign w:val="center"/>
                </w:tcPr>
                <w:p w14:paraId="71135A1B">
                  <w:pPr>
                    <w:keepNext w:val="0"/>
                    <w:keepLines w:val="0"/>
                    <w:suppressLineNumbers w:val="0"/>
                    <w:adjustRightInd w:val="0"/>
                    <w:snapToGrid w:val="0"/>
                    <w:spacing w:before="0" w:beforeAutospacing="0" w:after="0" w:afterAutospacing="0" w:line="264" w:lineRule="auto"/>
                    <w:ind w:left="0" w:right="0"/>
                    <w:jc w:val="center"/>
                    <w:rPr>
                      <w:rFonts w:hint="default" w:ascii="Times New Roman" w:hAnsi="Times New Roman" w:eastAsia="宋体" w:cs="Times New Roman"/>
                      <w:snapToGrid w:val="0"/>
                      <w:sz w:val="18"/>
                      <w:szCs w:val="18"/>
                      <w:highlight w:val="none"/>
                    </w:rPr>
                  </w:pPr>
                  <w:r>
                    <w:rPr>
                      <w:rFonts w:hint="eastAsia" w:ascii="Times New Roman" w:hAnsi="Times New Roman" w:eastAsia="宋体" w:cs="Times New Roman"/>
                      <w:snapToGrid w:val="0"/>
                      <w:sz w:val="18"/>
                      <w:szCs w:val="18"/>
                      <w:highlight w:val="none"/>
                    </w:rPr>
                    <w:t>排放口</w:t>
                  </w:r>
                </w:p>
                <w:p w14:paraId="0B172A84">
                  <w:pPr>
                    <w:keepNext w:val="0"/>
                    <w:keepLines w:val="0"/>
                    <w:suppressLineNumbers w:val="0"/>
                    <w:adjustRightInd w:val="0"/>
                    <w:snapToGrid w:val="0"/>
                    <w:spacing w:before="0" w:beforeAutospacing="0" w:after="0" w:afterAutospacing="0" w:line="264" w:lineRule="auto"/>
                    <w:ind w:left="0" w:right="0"/>
                    <w:jc w:val="center"/>
                    <w:rPr>
                      <w:rFonts w:hint="default" w:ascii="Times New Roman" w:hAnsi="Times New Roman" w:eastAsia="宋体" w:cs="Times New Roman"/>
                      <w:snapToGrid w:val="0"/>
                      <w:sz w:val="18"/>
                      <w:szCs w:val="18"/>
                      <w:highlight w:val="none"/>
                    </w:rPr>
                  </w:pPr>
                  <w:r>
                    <w:rPr>
                      <w:rFonts w:hint="eastAsia" w:ascii="Times New Roman" w:hAnsi="Times New Roman" w:eastAsia="宋体" w:cs="Times New Roman"/>
                      <w:snapToGrid w:val="0"/>
                      <w:sz w:val="18"/>
                      <w:szCs w:val="18"/>
                      <w:highlight w:val="none"/>
                    </w:rPr>
                    <w:t>名称</w:t>
                  </w:r>
                </w:p>
              </w:tc>
              <w:tc>
                <w:tcPr>
                  <w:tcW w:w="273" w:type="pct"/>
                  <w:vMerge w:val="restart"/>
                  <w:tcBorders>
                    <w:top w:val="single" w:color="auto" w:sz="4" w:space="0"/>
                    <w:left w:val="single" w:color="auto" w:sz="4" w:space="0"/>
                    <w:bottom w:val="single" w:color="auto" w:sz="4" w:space="0"/>
                    <w:right w:val="single" w:color="auto" w:sz="4" w:space="0"/>
                  </w:tcBorders>
                  <w:vAlign w:val="center"/>
                </w:tcPr>
                <w:p w14:paraId="09AF71B8">
                  <w:pPr>
                    <w:keepNext w:val="0"/>
                    <w:keepLines w:val="0"/>
                    <w:suppressLineNumbers w:val="0"/>
                    <w:adjustRightInd w:val="0"/>
                    <w:snapToGrid w:val="0"/>
                    <w:spacing w:before="0" w:beforeAutospacing="0" w:after="0" w:afterAutospacing="0" w:line="264" w:lineRule="auto"/>
                    <w:ind w:left="0" w:right="0"/>
                    <w:jc w:val="center"/>
                    <w:rPr>
                      <w:rFonts w:hint="default" w:ascii="Times New Roman" w:hAnsi="Times New Roman" w:eastAsia="宋体" w:cs="Times New Roman"/>
                      <w:snapToGrid w:val="0"/>
                      <w:sz w:val="18"/>
                      <w:szCs w:val="18"/>
                      <w:highlight w:val="none"/>
                    </w:rPr>
                  </w:pPr>
                  <w:r>
                    <w:rPr>
                      <w:rFonts w:hint="eastAsia" w:ascii="Times New Roman" w:hAnsi="Times New Roman" w:eastAsia="宋体" w:cs="Times New Roman"/>
                      <w:snapToGrid w:val="0"/>
                      <w:sz w:val="18"/>
                      <w:szCs w:val="18"/>
                      <w:highlight w:val="none"/>
                    </w:rPr>
                    <w:t>排放口</w:t>
                  </w:r>
                </w:p>
                <w:p w14:paraId="448A43A7">
                  <w:pPr>
                    <w:keepNext w:val="0"/>
                    <w:keepLines w:val="0"/>
                    <w:suppressLineNumbers w:val="0"/>
                    <w:adjustRightInd w:val="0"/>
                    <w:snapToGrid w:val="0"/>
                    <w:spacing w:before="0" w:beforeAutospacing="0" w:after="0" w:afterAutospacing="0" w:line="264" w:lineRule="auto"/>
                    <w:ind w:left="0" w:right="0"/>
                    <w:jc w:val="center"/>
                    <w:rPr>
                      <w:rFonts w:hint="default" w:ascii="Times New Roman" w:hAnsi="Times New Roman" w:eastAsia="宋体" w:cs="Times New Roman"/>
                      <w:snapToGrid w:val="0"/>
                      <w:sz w:val="18"/>
                      <w:szCs w:val="18"/>
                      <w:highlight w:val="none"/>
                    </w:rPr>
                  </w:pPr>
                  <w:r>
                    <w:rPr>
                      <w:rFonts w:hint="eastAsia" w:ascii="Times New Roman" w:hAnsi="Times New Roman" w:eastAsia="宋体" w:cs="Times New Roman"/>
                      <w:snapToGrid w:val="0"/>
                      <w:sz w:val="18"/>
                      <w:szCs w:val="18"/>
                      <w:highlight w:val="none"/>
                    </w:rPr>
                    <w:t>类型</w:t>
                  </w:r>
                </w:p>
              </w:tc>
            </w:tr>
            <w:tr w14:paraId="0ED3F4E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90" w:hRule="atLeast"/>
                <w:jc w:val="center"/>
              </w:trPr>
              <w:tc>
                <w:tcPr>
                  <w:tcW w:w="314" w:type="pct"/>
                  <w:vMerge w:val="continue"/>
                  <w:tcBorders>
                    <w:top w:val="single" w:color="auto" w:sz="4" w:space="0"/>
                    <w:left w:val="single" w:color="auto" w:sz="4" w:space="0"/>
                    <w:bottom w:val="single" w:color="auto" w:sz="4" w:space="0"/>
                    <w:right w:val="single" w:color="auto" w:sz="4" w:space="0"/>
                  </w:tcBorders>
                  <w:tcMar>
                    <w:left w:w="57" w:type="dxa"/>
                    <w:right w:w="57" w:type="dxa"/>
                  </w:tcMar>
                  <w:vAlign w:val="center"/>
                </w:tcPr>
                <w:p w14:paraId="11B6E44D">
                  <w:pPr>
                    <w:keepNext w:val="0"/>
                    <w:keepLines w:val="0"/>
                    <w:widowControl/>
                    <w:suppressLineNumbers w:val="0"/>
                    <w:adjustRightInd w:val="0"/>
                    <w:snapToGrid w:val="0"/>
                    <w:spacing w:before="0" w:beforeAutospacing="0" w:after="0" w:afterAutospacing="0" w:line="264" w:lineRule="auto"/>
                    <w:ind w:left="0" w:right="0"/>
                    <w:jc w:val="center"/>
                    <w:rPr>
                      <w:rFonts w:hint="default" w:ascii="Times New Roman" w:hAnsi="Times New Roman" w:eastAsia="宋体" w:cs="Times New Roman"/>
                      <w:snapToGrid w:val="0"/>
                      <w:sz w:val="18"/>
                      <w:szCs w:val="18"/>
                      <w:highlight w:val="none"/>
                    </w:rPr>
                  </w:pPr>
                </w:p>
              </w:tc>
              <w:tc>
                <w:tcPr>
                  <w:tcW w:w="513" w:type="pct"/>
                  <w:vMerge w:val="continue"/>
                  <w:tcBorders>
                    <w:top w:val="single" w:color="auto" w:sz="4" w:space="0"/>
                    <w:left w:val="single" w:color="auto" w:sz="4" w:space="0"/>
                    <w:bottom w:val="single" w:color="auto" w:sz="4" w:space="0"/>
                    <w:right w:val="single" w:color="auto" w:sz="4" w:space="0"/>
                  </w:tcBorders>
                  <w:tcMar>
                    <w:left w:w="57" w:type="dxa"/>
                    <w:right w:w="57" w:type="dxa"/>
                  </w:tcMar>
                  <w:vAlign w:val="center"/>
                </w:tcPr>
                <w:p w14:paraId="78CBEEEA">
                  <w:pPr>
                    <w:keepNext w:val="0"/>
                    <w:keepLines w:val="0"/>
                    <w:widowControl/>
                    <w:suppressLineNumbers w:val="0"/>
                    <w:adjustRightInd w:val="0"/>
                    <w:snapToGrid w:val="0"/>
                    <w:spacing w:before="0" w:beforeAutospacing="0" w:after="0" w:afterAutospacing="0" w:line="264" w:lineRule="auto"/>
                    <w:ind w:left="0" w:right="0"/>
                    <w:jc w:val="center"/>
                    <w:rPr>
                      <w:rFonts w:hint="default" w:ascii="Times New Roman" w:hAnsi="Times New Roman" w:eastAsia="宋体" w:cs="Times New Roman"/>
                      <w:snapToGrid w:val="0"/>
                      <w:sz w:val="18"/>
                      <w:szCs w:val="18"/>
                      <w:highlight w:val="none"/>
                    </w:rPr>
                  </w:pPr>
                </w:p>
              </w:tc>
              <w:tc>
                <w:tcPr>
                  <w:tcW w:w="628" w:type="pct"/>
                  <w:vMerge w:val="continue"/>
                  <w:tcBorders>
                    <w:top w:val="single" w:color="auto" w:sz="4" w:space="0"/>
                    <w:left w:val="single" w:color="auto" w:sz="4" w:space="0"/>
                    <w:bottom w:val="single" w:color="auto" w:sz="4" w:space="0"/>
                    <w:right w:val="single" w:color="auto" w:sz="4" w:space="0"/>
                  </w:tcBorders>
                  <w:tcMar>
                    <w:left w:w="57" w:type="dxa"/>
                    <w:right w:w="57" w:type="dxa"/>
                  </w:tcMar>
                  <w:vAlign w:val="center"/>
                </w:tcPr>
                <w:p w14:paraId="2203B0A0">
                  <w:pPr>
                    <w:keepNext w:val="0"/>
                    <w:keepLines w:val="0"/>
                    <w:widowControl/>
                    <w:suppressLineNumbers w:val="0"/>
                    <w:adjustRightInd w:val="0"/>
                    <w:snapToGrid w:val="0"/>
                    <w:spacing w:before="0" w:beforeAutospacing="0" w:after="0" w:afterAutospacing="0" w:line="264" w:lineRule="auto"/>
                    <w:ind w:left="0" w:right="0"/>
                    <w:jc w:val="center"/>
                    <w:rPr>
                      <w:rFonts w:hint="default" w:ascii="Times New Roman" w:hAnsi="Times New Roman" w:eastAsia="宋体" w:cs="Times New Roman"/>
                      <w:snapToGrid w:val="0"/>
                      <w:sz w:val="18"/>
                      <w:szCs w:val="18"/>
                      <w:highlight w:val="none"/>
                    </w:rPr>
                  </w:pPr>
                </w:p>
              </w:tc>
              <w:tc>
                <w:tcPr>
                  <w:tcW w:w="365" w:type="pct"/>
                  <w:vMerge w:val="continue"/>
                  <w:tcBorders>
                    <w:top w:val="single" w:color="auto" w:sz="4" w:space="0"/>
                    <w:left w:val="single" w:color="auto" w:sz="4" w:space="0"/>
                    <w:bottom w:val="single" w:color="auto" w:sz="4" w:space="0"/>
                    <w:right w:val="single" w:color="auto" w:sz="4" w:space="0"/>
                  </w:tcBorders>
                  <w:vAlign w:val="center"/>
                </w:tcPr>
                <w:p w14:paraId="58A0EF1B">
                  <w:pPr>
                    <w:keepNext w:val="0"/>
                    <w:keepLines w:val="0"/>
                    <w:widowControl/>
                    <w:suppressLineNumbers w:val="0"/>
                    <w:adjustRightInd w:val="0"/>
                    <w:snapToGrid w:val="0"/>
                    <w:spacing w:before="0" w:beforeAutospacing="0" w:after="0" w:afterAutospacing="0" w:line="264" w:lineRule="auto"/>
                    <w:ind w:left="0" w:right="0"/>
                    <w:jc w:val="center"/>
                    <w:rPr>
                      <w:rFonts w:hint="default" w:ascii="Times New Roman" w:hAnsi="Times New Roman" w:eastAsia="宋体" w:cs="Times New Roman"/>
                      <w:snapToGrid w:val="0"/>
                      <w:sz w:val="18"/>
                      <w:szCs w:val="18"/>
                      <w:highlight w:val="none"/>
                    </w:rPr>
                  </w:pPr>
                </w:p>
              </w:tc>
              <w:tc>
                <w:tcPr>
                  <w:tcW w:w="414" w:type="pct"/>
                  <w:tcBorders>
                    <w:top w:val="single" w:color="auto" w:sz="4" w:space="0"/>
                    <w:left w:val="single" w:color="auto" w:sz="4" w:space="0"/>
                    <w:bottom w:val="single" w:color="auto" w:sz="4" w:space="0"/>
                    <w:right w:val="single" w:color="auto" w:sz="4" w:space="0"/>
                  </w:tcBorders>
                  <w:tcMar>
                    <w:left w:w="57" w:type="dxa"/>
                    <w:right w:w="57" w:type="dxa"/>
                  </w:tcMar>
                  <w:vAlign w:val="center"/>
                </w:tcPr>
                <w:p w14:paraId="6F022906">
                  <w:pPr>
                    <w:keepNext w:val="0"/>
                    <w:keepLines w:val="0"/>
                    <w:suppressLineNumbers w:val="0"/>
                    <w:adjustRightInd w:val="0"/>
                    <w:snapToGrid w:val="0"/>
                    <w:spacing w:before="0" w:beforeAutospacing="0" w:after="0" w:afterAutospacing="0" w:line="264" w:lineRule="auto"/>
                    <w:ind w:left="0" w:right="0"/>
                    <w:jc w:val="center"/>
                    <w:rPr>
                      <w:rFonts w:hint="default" w:ascii="Times New Roman" w:hAnsi="Times New Roman" w:eastAsia="宋体" w:cs="Times New Roman"/>
                      <w:snapToGrid w:val="0"/>
                      <w:sz w:val="18"/>
                      <w:szCs w:val="18"/>
                      <w:highlight w:val="none"/>
                    </w:rPr>
                  </w:pPr>
                  <w:r>
                    <w:rPr>
                      <w:rFonts w:hint="eastAsia" w:ascii="Times New Roman" w:hAnsi="Times New Roman" w:eastAsia="宋体" w:cs="Times New Roman"/>
                      <w:snapToGrid w:val="0"/>
                      <w:sz w:val="18"/>
                      <w:szCs w:val="18"/>
                      <w:highlight w:val="none"/>
                    </w:rPr>
                    <w:t>治理设施名称</w:t>
                  </w:r>
                </w:p>
              </w:tc>
              <w:tc>
                <w:tcPr>
                  <w:tcW w:w="360" w:type="pct"/>
                  <w:tcBorders>
                    <w:top w:val="single" w:color="auto" w:sz="4" w:space="0"/>
                    <w:left w:val="single" w:color="auto" w:sz="4" w:space="0"/>
                    <w:bottom w:val="single" w:color="auto" w:sz="4" w:space="0"/>
                    <w:right w:val="single" w:color="auto" w:sz="4" w:space="0"/>
                  </w:tcBorders>
                  <w:tcMar>
                    <w:left w:w="57" w:type="dxa"/>
                    <w:right w:w="57" w:type="dxa"/>
                  </w:tcMar>
                  <w:vAlign w:val="center"/>
                </w:tcPr>
                <w:p w14:paraId="1EBEFE6A">
                  <w:pPr>
                    <w:keepNext w:val="0"/>
                    <w:keepLines w:val="0"/>
                    <w:widowControl/>
                    <w:suppressLineNumbers w:val="0"/>
                    <w:adjustRightInd w:val="0"/>
                    <w:snapToGrid w:val="0"/>
                    <w:spacing w:before="0" w:beforeAutospacing="0" w:after="0" w:afterAutospacing="0" w:line="264" w:lineRule="auto"/>
                    <w:ind w:left="0" w:right="0"/>
                    <w:jc w:val="center"/>
                    <w:rPr>
                      <w:rFonts w:hint="default" w:ascii="Times New Roman" w:hAnsi="Times New Roman" w:eastAsia="宋体" w:cs="Times New Roman"/>
                      <w:snapToGrid w:val="0"/>
                      <w:sz w:val="18"/>
                      <w:szCs w:val="18"/>
                      <w:highlight w:val="none"/>
                    </w:rPr>
                  </w:pPr>
                  <w:r>
                    <w:rPr>
                      <w:rFonts w:hint="eastAsia" w:ascii="Times New Roman" w:hAnsi="Times New Roman" w:eastAsia="宋体" w:cs="Times New Roman"/>
                      <w:snapToGrid w:val="0"/>
                      <w:sz w:val="18"/>
                      <w:szCs w:val="18"/>
                      <w:highlight w:val="none"/>
                    </w:rPr>
                    <w:t>治理工艺</w:t>
                  </w:r>
                </w:p>
              </w:tc>
              <w:tc>
                <w:tcPr>
                  <w:tcW w:w="330" w:type="pct"/>
                  <w:tcBorders>
                    <w:top w:val="single" w:color="auto" w:sz="4" w:space="0"/>
                    <w:left w:val="single" w:color="auto" w:sz="4" w:space="0"/>
                    <w:bottom w:val="single" w:color="auto" w:sz="4" w:space="0"/>
                    <w:right w:val="single" w:color="auto" w:sz="4" w:space="0"/>
                  </w:tcBorders>
                  <w:tcMar>
                    <w:left w:w="57" w:type="dxa"/>
                    <w:right w:w="57" w:type="dxa"/>
                  </w:tcMar>
                  <w:vAlign w:val="center"/>
                </w:tcPr>
                <w:p w14:paraId="3725BE88">
                  <w:pPr>
                    <w:keepNext w:val="0"/>
                    <w:keepLines w:val="0"/>
                    <w:widowControl/>
                    <w:suppressLineNumbers w:val="0"/>
                    <w:adjustRightInd w:val="0"/>
                    <w:snapToGrid w:val="0"/>
                    <w:spacing w:before="0" w:beforeAutospacing="0" w:after="0" w:afterAutospacing="0" w:line="264" w:lineRule="auto"/>
                    <w:ind w:left="0" w:right="0"/>
                    <w:jc w:val="center"/>
                    <w:rPr>
                      <w:rFonts w:hint="default" w:ascii="Times New Roman" w:hAnsi="Times New Roman" w:eastAsia="宋体" w:cs="Times New Roman"/>
                      <w:snapToGrid w:val="0"/>
                      <w:sz w:val="18"/>
                      <w:szCs w:val="18"/>
                      <w:highlight w:val="none"/>
                    </w:rPr>
                  </w:pPr>
                  <w:r>
                    <w:rPr>
                      <w:rFonts w:hint="eastAsia" w:ascii="Times New Roman" w:hAnsi="Times New Roman" w:eastAsia="宋体" w:cs="Times New Roman"/>
                      <w:snapToGrid w:val="0"/>
                      <w:sz w:val="18"/>
                      <w:szCs w:val="18"/>
                      <w:highlight w:val="none"/>
                    </w:rPr>
                    <w:t>处理能力</w:t>
                  </w:r>
                  <w:r>
                    <w:rPr>
                      <w:rFonts w:hint="default" w:ascii="Times New Roman" w:hAnsi="Times New Roman" w:eastAsia="宋体" w:cs="Times New Roman"/>
                      <w:snapToGrid w:val="0"/>
                      <w:sz w:val="18"/>
                      <w:szCs w:val="18"/>
                      <w:highlight w:val="none"/>
                    </w:rPr>
                    <w:t>m</w:t>
                  </w:r>
                  <w:r>
                    <w:rPr>
                      <w:rFonts w:hint="default" w:ascii="Times New Roman" w:hAnsi="Times New Roman" w:eastAsia="宋体" w:cs="Times New Roman"/>
                      <w:snapToGrid w:val="0"/>
                      <w:sz w:val="18"/>
                      <w:szCs w:val="18"/>
                      <w:highlight w:val="none"/>
                      <w:vertAlign w:val="superscript"/>
                    </w:rPr>
                    <w:t>3</w:t>
                  </w:r>
                  <w:r>
                    <w:rPr>
                      <w:rFonts w:hint="default" w:ascii="Times New Roman" w:hAnsi="Times New Roman" w:eastAsia="宋体" w:cs="Times New Roman"/>
                      <w:snapToGrid w:val="0"/>
                      <w:sz w:val="18"/>
                      <w:szCs w:val="18"/>
                      <w:highlight w:val="none"/>
                    </w:rPr>
                    <w:t>/d</w:t>
                  </w:r>
                </w:p>
              </w:tc>
              <w:tc>
                <w:tcPr>
                  <w:tcW w:w="384" w:type="pct"/>
                  <w:tcBorders>
                    <w:top w:val="single" w:color="auto" w:sz="4" w:space="0"/>
                    <w:left w:val="single" w:color="auto" w:sz="4" w:space="0"/>
                    <w:bottom w:val="single" w:color="auto" w:sz="4" w:space="0"/>
                    <w:right w:val="single" w:color="auto" w:sz="4" w:space="0"/>
                  </w:tcBorders>
                  <w:vAlign w:val="center"/>
                </w:tcPr>
                <w:p w14:paraId="48B3D155">
                  <w:pPr>
                    <w:keepNext w:val="0"/>
                    <w:keepLines w:val="0"/>
                    <w:widowControl/>
                    <w:suppressLineNumbers w:val="0"/>
                    <w:adjustRightInd w:val="0"/>
                    <w:snapToGrid w:val="0"/>
                    <w:spacing w:before="0" w:beforeAutospacing="0" w:after="0" w:afterAutospacing="0" w:line="264" w:lineRule="auto"/>
                    <w:ind w:left="0" w:right="0"/>
                    <w:jc w:val="center"/>
                    <w:rPr>
                      <w:rFonts w:hint="default" w:ascii="Times New Roman" w:hAnsi="Times New Roman" w:eastAsia="宋体" w:cs="Times New Roman"/>
                      <w:snapToGrid w:val="0"/>
                      <w:sz w:val="18"/>
                      <w:szCs w:val="18"/>
                      <w:highlight w:val="none"/>
                    </w:rPr>
                  </w:pPr>
                  <w:r>
                    <w:rPr>
                      <w:rFonts w:hint="eastAsia" w:ascii="Times New Roman" w:hAnsi="Times New Roman" w:eastAsia="宋体" w:cs="Times New Roman"/>
                      <w:snapToGrid w:val="0"/>
                      <w:sz w:val="18"/>
                      <w:szCs w:val="18"/>
                      <w:highlight w:val="none"/>
                    </w:rPr>
                    <w:t>是否为可行技术</w:t>
                  </w:r>
                </w:p>
              </w:tc>
              <w:tc>
                <w:tcPr>
                  <w:tcW w:w="312" w:type="pct"/>
                  <w:vMerge w:val="continue"/>
                  <w:tcBorders>
                    <w:top w:val="single" w:color="auto" w:sz="4" w:space="0"/>
                    <w:left w:val="single" w:color="auto" w:sz="4" w:space="0"/>
                    <w:bottom w:val="single" w:color="auto" w:sz="4" w:space="0"/>
                    <w:right w:val="single" w:color="auto" w:sz="4" w:space="0"/>
                  </w:tcBorders>
                  <w:tcMar>
                    <w:left w:w="57" w:type="dxa"/>
                    <w:right w:w="57" w:type="dxa"/>
                  </w:tcMar>
                  <w:vAlign w:val="center"/>
                </w:tcPr>
                <w:p w14:paraId="71588A9C">
                  <w:pPr>
                    <w:keepNext w:val="0"/>
                    <w:keepLines w:val="0"/>
                    <w:widowControl/>
                    <w:suppressLineNumbers w:val="0"/>
                    <w:adjustRightInd w:val="0"/>
                    <w:snapToGrid w:val="0"/>
                    <w:spacing w:before="0" w:beforeAutospacing="0" w:after="0" w:afterAutospacing="0" w:line="264" w:lineRule="auto"/>
                    <w:ind w:left="0" w:right="0"/>
                    <w:jc w:val="center"/>
                    <w:rPr>
                      <w:rFonts w:hint="default" w:ascii="Times New Roman" w:hAnsi="Times New Roman" w:eastAsia="宋体" w:cs="Times New Roman"/>
                      <w:snapToGrid w:val="0"/>
                      <w:sz w:val="18"/>
                      <w:szCs w:val="18"/>
                      <w:highlight w:val="none"/>
                    </w:rPr>
                  </w:pPr>
                </w:p>
              </w:tc>
              <w:tc>
                <w:tcPr>
                  <w:tcW w:w="237" w:type="pct"/>
                  <w:vMerge w:val="continue"/>
                  <w:tcBorders>
                    <w:top w:val="single" w:color="auto" w:sz="4" w:space="0"/>
                    <w:left w:val="single" w:color="auto" w:sz="4" w:space="0"/>
                    <w:bottom w:val="single" w:color="auto" w:sz="4" w:space="0"/>
                    <w:right w:val="single" w:color="auto" w:sz="4" w:space="0"/>
                  </w:tcBorders>
                  <w:vAlign w:val="center"/>
                </w:tcPr>
                <w:p w14:paraId="617609AE">
                  <w:pPr>
                    <w:keepNext w:val="0"/>
                    <w:keepLines w:val="0"/>
                    <w:widowControl/>
                    <w:suppressLineNumbers w:val="0"/>
                    <w:adjustRightInd w:val="0"/>
                    <w:snapToGrid w:val="0"/>
                    <w:spacing w:before="0" w:beforeAutospacing="0" w:after="0" w:afterAutospacing="0" w:line="264" w:lineRule="auto"/>
                    <w:ind w:left="0" w:right="0"/>
                    <w:jc w:val="center"/>
                    <w:rPr>
                      <w:rFonts w:hint="default" w:ascii="Times New Roman" w:hAnsi="Times New Roman" w:eastAsia="宋体" w:cs="Times New Roman"/>
                      <w:snapToGrid w:val="0"/>
                      <w:sz w:val="18"/>
                      <w:szCs w:val="18"/>
                      <w:highlight w:val="none"/>
                    </w:rPr>
                  </w:pPr>
                </w:p>
              </w:tc>
              <w:tc>
                <w:tcPr>
                  <w:tcW w:w="312" w:type="pct"/>
                  <w:vMerge w:val="continue"/>
                  <w:tcBorders>
                    <w:top w:val="single" w:color="auto" w:sz="4" w:space="0"/>
                    <w:left w:val="single" w:color="auto" w:sz="4" w:space="0"/>
                    <w:bottom w:val="single" w:color="auto" w:sz="4" w:space="0"/>
                    <w:right w:val="single" w:color="auto" w:sz="4" w:space="0"/>
                  </w:tcBorders>
                  <w:vAlign w:val="center"/>
                </w:tcPr>
                <w:p w14:paraId="560A6492">
                  <w:pPr>
                    <w:keepNext w:val="0"/>
                    <w:keepLines w:val="0"/>
                    <w:widowControl/>
                    <w:suppressLineNumbers w:val="0"/>
                    <w:adjustRightInd w:val="0"/>
                    <w:snapToGrid w:val="0"/>
                    <w:spacing w:before="0" w:beforeAutospacing="0" w:after="0" w:afterAutospacing="0" w:line="264" w:lineRule="auto"/>
                    <w:ind w:left="0" w:right="0"/>
                    <w:jc w:val="center"/>
                    <w:rPr>
                      <w:rFonts w:hint="default" w:ascii="Times New Roman" w:hAnsi="Times New Roman" w:eastAsia="宋体" w:cs="Times New Roman"/>
                      <w:snapToGrid w:val="0"/>
                      <w:sz w:val="18"/>
                      <w:szCs w:val="18"/>
                      <w:highlight w:val="none"/>
                    </w:rPr>
                  </w:pPr>
                </w:p>
              </w:tc>
              <w:tc>
                <w:tcPr>
                  <w:tcW w:w="287" w:type="pct"/>
                  <w:vMerge w:val="continue"/>
                  <w:tcBorders>
                    <w:top w:val="single" w:color="auto" w:sz="4" w:space="0"/>
                    <w:left w:val="single" w:color="auto" w:sz="4" w:space="0"/>
                    <w:bottom w:val="single" w:color="auto" w:sz="4" w:space="0"/>
                    <w:right w:val="single" w:color="auto" w:sz="4" w:space="0"/>
                  </w:tcBorders>
                  <w:vAlign w:val="center"/>
                </w:tcPr>
                <w:p w14:paraId="008A1E68">
                  <w:pPr>
                    <w:keepNext w:val="0"/>
                    <w:keepLines w:val="0"/>
                    <w:suppressLineNumbers w:val="0"/>
                    <w:adjustRightInd w:val="0"/>
                    <w:snapToGrid w:val="0"/>
                    <w:spacing w:before="0" w:beforeAutospacing="0" w:after="0" w:afterAutospacing="0" w:line="264" w:lineRule="auto"/>
                    <w:ind w:left="0" w:right="0"/>
                    <w:jc w:val="center"/>
                    <w:rPr>
                      <w:rFonts w:hint="default" w:ascii="Times New Roman" w:hAnsi="Times New Roman" w:eastAsia="宋体" w:cs="Times New Roman"/>
                      <w:snapToGrid w:val="0"/>
                      <w:sz w:val="18"/>
                      <w:szCs w:val="18"/>
                      <w:highlight w:val="none"/>
                    </w:rPr>
                  </w:pPr>
                </w:p>
              </w:tc>
              <w:tc>
                <w:tcPr>
                  <w:tcW w:w="267" w:type="pct"/>
                  <w:vMerge w:val="continue"/>
                  <w:tcBorders>
                    <w:top w:val="single" w:color="auto" w:sz="4" w:space="0"/>
                    <w:left w:val="single" w:color="auto" w:sz="4" w:space="0"/>
                    <w:bottom w:val="single" w:color="auto" w:sz="4" w:space="0"/>
                    <w:right w:val="single" w:color="auto" w:sz="4" w:space="0"/>
                  </w:tcBorders>
                  <w:vAlign w:val="center"/>
                </w:tcPr>
                <w:p w14:paraId="52B0D066">
                  <w:pPr>
                    <w:keepNext w:val="0"/>
                    <w:keepLines w:val="0"/>
                    <w:suppressLineNumbers w:val="0"/>
                    <w:adjustRightInd w:val="0"/>
                    <w:snapToGrid w:val="0"/>
                    <w:spacing w:before="0" w:beforeAutospacing="0" w:after="0" w:afterAutospacing="0" w:line="264" w:lineRule="auto"/>
                    <w:ind w:left="0" w:right="0"/>
                    <w:jc w:val="center"/>
                    <w:rPr>
                      <w:rFonts w:hint="default" w:ascii="Times New Roman" w:hAnsi="Times New Roman" w:eastAsia="宋体" w:cs="Times New Roman"/>
                      <w:snapToGrid w:val="0"/>
                      <w:sz w:val="18"/>
                      <w:szCs w:val="18"/>
                      <w:highlight w:val="none"/>
                    </w:rPr>
                  </w:pPr>
                </w:p>
              </w:tc>
              <w:tc>
                <w:tcPr>
                  <w:tcW w:w="273" w:type="pct"/>
                  <w:vMerge w:val="continue"/>
                  <w:tcBorders>
                    <w:top w:val="single" w:color="auto" w:sz="4" w:space="0"/>
                    <w:left w:val="single" w:color="auto" w:sz="4" w:space="0"/>
                    <w:bottom w:val="single" w:color="auto" w:sz="4" w:space="0"/>
                    <w:right w:val="single" w:color="auto" w:sz="4" w:space="0"/>
                  </w:tcBorders>
                  <w:vAlign w:val="center"/>
                </w:tcPr>
                <w:p w14:paraId="3B1F054D">
                  <w:pPr>
                    <w:keepNext w:val="0"/>
                    <w:keepLines w:val="0"/>
                    <w:widowControl/>
                    <w:suppressLineNumbers w:val="0"/>
                    <w:adjustRightInd w:val="0"/>
                    <w:snapToGrid w:val="0"/>
                    <w:spacing w:before="0" w:beforeAutospacing="0" w:after="0" w:afterAutospacing="0" w:line="264" w:lineRule="auto"/>
                    <w:ind w:left="0" w:right="0"/>
                    <w:jc w:val="center"/>
                    <w:rPr>
                      <w:rFonts w:hint="default" w:ascii="Times New Roman" w:hAnsi="Times New Roman" w:eastAsia="宋体" w:cs="Times New Roman"/>
                      <w:snapToGrid w:val="0"/>
                      <w:sz w:val="18"/>
                      <w:szCs w:val="18"/>
                      <w:highlight w:val="none"/>
                    </w:rPr>
                  </w:pPr>
                </w:p>
              </w:tc>
            </w:tr>
            <w:tr w14:paraId="6733A5B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90" w:hRule="atLeast"/>
                <w:jc w:val="center"/>
              </w:trPr>
              <w:tc>
                <w:tcPr>
                  <w:tcW w:w="314" w:type="pct"/>
                  <w:tcBorders>
                    <w:top w:val="single" w:color="auto" w:sz="4" w:space="0"/>
                    <w:left w:val="single" w:color="auto" w:sz="4" w:space="0"/>
                    <w:right w:val="single" w:color="auto" w:sz="4" w:space="0"/>
                  </w:tcBorders>
                  <w:tcMar>
                    <w:left w:w="57" w:type="dxa"/>
                    <w:right w:w="57" w:type="dxa"/>
                  </w:tcMar>
                  <w:vAlign w:val="center"/>
                </w:tcPr>
                <w:p w14:paraId="7E9E9B29">
                  <w:pPr>
                    <w:keepNext w:val="0"/>
                    <w:keepLines w:val="0"/>
                    <w:suppressLineNumbers w:val="0"/>
                    <w:adjustRightInd w:val="0"/>
                    <w:snapToGrid w:val="0"/>
                    <w:spacing w:before="0" w:beforeAutospacing="0" w:after="0" w:afterAutospacing="0" w:line="264" w:lineRule="auto"/>
                    <w:ind w:left="0" w:right="0"/>
                    <w:jc w:val="center"/>
                    <w:rPr>
                      <w:rFonts w:hint="default" w:ascii="Times New Roman" w:hAnsi="Times New Roman" w:eastAsia="宋体" w:cs="Times New Roman"/>
                      <w:snapToGrid w:val="0"/>
                      <w:sz w:val="18"/>
                      <w:szCs w:val="18"/>
                      <w:highlight w:val="none"/>
                    </w:rPr>
                  </w:pPr>
                  <w:r>
                    <w:rPr>
                      <w:rFonts w:hint="eastAsia" w:ascii="Times New Roman" w:hAnsi="Times New Roman" w:eastAsia="宋体" w:cs="Times New Roman"/>
                      <w:snapToGrid w:val="0"/>
                      <w:sz w:val="18"/>
                      <w:szCs w:val="18"/>
                      <w:highlight w:val="none"/>
                    </w:rPr>
                    <w:t>员工生活</w:t>
                  </w:r>
                </w:p>
              </w:tc>
              <w:tc>
                <w:tcPr>
                  <w:tcW w:w="513" w:type="pct"/>
                  <w:tcBorders>
                    <w:top w:val="single" w:color="auto" w:sz="4" w:space="0"/>
                    <w:left w:val="single" w:color="auto" w:sz="4" w:space="0"/>
                    <w:bottom w:val="single" w:color="auto" w:sz="4" w:space="0"/>
                    <w:right w:val="single" w:color="auto" w:sz="4" w:space="0"/>
                  </w:tcBorders>
                  <w:tcMar>
                    <w:left w:w="57" w:type="dxa"/>
                    <w:right w:w="57" w:type="dxa"/>
                  </w:tcMar>
                  <w:vAlign w:val="center"/>
                </w:tcPr>
                <w:p w14:paraId="4665BFC2">
                  <w:pPr>
                    <w:keepNext w:val="0"/>
                    <w:keepLines w:val="0"/>
                    <w:widowControl/>
                    <w:suppressLineNumbers w:val="0"/>
                    <w:adjustRightInd w:val="0"/>
                    <w:snapToGrid w:val="0"/>
                    <w:spacing w:before="0" w:beforeAutospacing="0" w:after="0" w:afterAutospacing="0" w:line="264" w:lineRule="auto"/>
                    <w:ind w:left="0" w:right="0"/>
                    <w:jc w:val="center"/>
                    <w:rPr>
                      <w:rFonts w:hint="default" w:ascii="Times New Roman" w:hAnsi="Times New Roman" w:eastAsia="宋体" w:cs="Times New Roman"/>
                      <w:snapToGrid w:val="0"/>
                      <w:sz w:val="18"/>
                      <w:szCs w:val="18"/>
                      <w:highlight w:val="none"/>
                    </w:rPr>
                  </w:pPr>
                  <w:r>
                    <w:rPr>
                      <w:rFonts w:hint="eastAsia" w:ascii="Times New Roman" w:hAnsi="Times New Roman" w:eastAsia="宋体" w:cs="Times New Roman"/>
                      <w:snapToGrid w:val="0"/>
                      <w:sz w:val="18"/>
                      <w:szCs w:val="18"/>
                      <w:highlight w:val="none"/>
                    </w:rPr>
                    <w:t>员工生活</w:t>
                  </w:r>
                </w:p>
              </w:tc>
              <w:tc>
                <w:tcPr>
                  <w:tcW w:w="628" w:type="pct"/>
                  <w:tcBorders>
                    <w:top w:val="single" w:color="auto" w:sz="4" w:space="0"/>
                    <w:left w:val="single" w:color="auto" w:sz="4" w:space="0"/>
                    <w:bottom w:val="single" w:color="auto" w:sz="4" w:space="0"/>
                    <w:right w:val="single" w:color="auto" w:sz="4" w:space="0"/>
                  </w:tcBorders>
                  <w:tcMar>
                    <w:left w:w="57" w:type="dxa"/>
                    <w:right w:w="57" w:type="dxa"/>
                  </w:tcMar>
                  <w:vAlign w:val="center"/>
                </w:tcPr>
                <w:p w14:paraId="291EEC85">
                  <w:pPr>
                    <w:keepNext w:val="0"/>
                    <w:keepLines w:val="0"/>
                    <w:widowControl/>
                    <w:suppressLineNumbers w:val="0"/>
                    <w:adjustRightInd w:val="0"/>
                    <w:snapToGrid w:val="0"/>
                    <w:spacing w:before="0" w:beforeAutospacing="0" w:after="0" w:afterAutospacing="0" w:line="264" w:lineRule="auto"/>
                    <w:ind w:left="0" w:right="0"/>
                    <w:jc w:val="center"/>
                    <w:rPr>
                      <w:rFonts w:hint="default" w:ascii="Times New Roman" w:hAnsi="Times New Roman" w:eastAsia="宋体" w:cs="Times New Roman"/>
                      <w:snapToGrid w:val="0"/>
                      <w:sz w:val="18"/>
                      <w:szCs w:val="18"/>
                      <w:highlight w:val="none"/>
                      <w:lang w:val="en-US" w:eastAsia="zh-CN"/>
                    </w:rPr>
                  </w:pPr>
                  <w:r>
                    <w:rPr>
                      <w:rFonts w:hint="eastAsia" w:ascii="Times New Roman" w:hAnsi="Times New Roman" w:eastAsia="宋体" w:cs="Times New Roman"/>
                      <w:snapToGrid w:val="0"/>
                      <w:sz w:val="18"/>
                      <w:szCs w:val="18"/>
                      <w:highlight w:val="none"/>
                    </w:rPr>
                    <w:t>生活污水</w:t>
                  </w:r>
                </w:p>
              </w:tc>
              <w:tc>
                <w:tcPr>
                  <w:tcW w:w="365" w:type="pct"/>
                  <w:tcBorders>
                    <w:top w:val="single" w:color="auto" w:sz="4" w:space="0"/>
                    <w:left w:val="single" w:color="auto" w:sz="4" w:space="0"/>
                    <w:bottom w:val="single" w:color="auto" w:sz="4" w:space="0"/>
                    <w:right w:val="single" w:color="auto" w:sz="4" w:space="0"/>
                  </w:tcBorders>
                  <w:vAlign w:val="center"/>
                </w:tcPr>
                <w:p w14:paraId="06609495">
                  <w:pPr>
                    <w:keepNext w:val="0"/>
                    <w:keepLines w:val="0"/>
                    <w:widowControl/>
                    <w:suppressLineNumbers w:val="0"/>
                    <w:adjustRightInd w:val="0"/>
                    <w:snapToGrid w:val="0"/>
                    <w:spacing w:before="0" w:beforeAutospacing="0" w:after="0" w:afterAutospacing="0" w:line="264" w:lineRule="auto"/>
                    <w:ind w:left="0" w:right="0"/>
                    <w:jc w:val="center"/>
                    <w:rPr>
                      <w:rFonts w:hint="default" w:ascii="Times New Roman" w:hAnsi="Times New Roman" w:eastAsia="宋体" w:cs="Times New Roman"/>
                      <w:snapToGrid w:val="0"/>
                      <w:sz w:val="18"/>
                      <w:szCs w:val="18"/>
                      <w:highlight w:val="none"/>
                    </w:rPr>
                  </w:pPr>
                  <w:r>
                    <w:rPr>
                      <w:rFonts w:hint="default" w:ascii="Times New Roman" w:hAnsi="Times New Roman" w:eastAsia="宋体" w:cs="Times New Roman"/>
                      <w:snapToGrid w:val="0"/>
                      <w:sz w:val="18"/>
                      <w:szCs w:val="18"/>
                      <w:highlight w:val="none"/>
                    </w:rPr>
                    <w:t>COD</w:t>
                  </w:r>
                  <w:r>
                    <w:rPr>
                      <w:rFonts w:hint="default" w:ascii="Times New Roman" w:hAnsi="Times New Roman" w:eastAsia="宋体" w:cs="Times New Roman"/>
                      <w:snapToGrid w:val="0"/>
                      <w:sz w:val="18"/>
                      <w:szCs w:val="18"/>
                      <w:highlight w:val="none"/>
                      <w:vertAlign w:val="subscript"/>
                    </w:rPr>
                    <w:t>Cr</w:t>
                  </w:r>
                  <w:r>
                    <w:rPr>
                      <w:rFonts w:hint="eastAsia" w:ascii="Times New Roman" w:hAnsi="Times New Roman" w:eastAsia="宋体" w:cs="Times New Roman"/>
                      <w:snapToGrid w:val="0"/>
                      <w:sz w:val="18"/>
                      <w:szCs w:val="18"/>
                      <w:highlight w:val="none"/>
                    </w:rPr>
                    <w:t>、</w:t>
                  </w:r>
                  <w:r>
                    <w:rPr>
                      <w:rFonts w:hint="default" w:ascii="Times New Roman" w:hAnsi="Times New Roman" w:eastAsia="宋体" w:cs="Times New Roman"/>
                      <w:snapToGrid w:val="0"/>
                      <w:sz w:val="18"/>
                      <w:szCs w:val="18"/>
                      <w:highlight w:val="none"/>
                    </w:rPr>
                    <w:t>NH</w:t>
                  </w:r>
                  <w:r>
                    <w:rPr>
                      <w:rFonts w:hint="default" w:ascii="Times New Roman" w:hAnsi="Times New Roman" w:eastAsia="宋体" w:cs="Times New Roman"/>
                      <w:snapToGrid w:val="0"/>
                      <w:sz w:val="18"/>
                      <w:szCs w:val="18"/>
                      <w:highlight w:val="none"/>
                      <w:vertAlign w:val="subscript"/>
                    </w:rPr>
                    <w:t>3</w:t>
                  </w:r>
                  <w:r>
                    <w:rPr>
                      <w:rFonts w:hint="default" w:ascii="Times New Roman" w:hAnsi="Times New Roman" w:eastAsia="宋体" w:cs="Times New Roman"/>
                      <w:snapToGrid w:val="0"/>
                      <w:sz w:val="18"/>
                      <w:szCs w:val="18"/>
                      <w:highlight w:val="none"/>
                    </w:rPr>
                    <w:t>-N</w:t>
                  </w:r>
                </w:p>
              </w:tc>
              <w:tc>
                <w:tcPr>
                  <w:tcW w:w="414" w:type="pct"/>
                  <w:tcBorders>
                    <w:top w:val="single" w:color="auto" w:sz="4" w:space="0"/>
                    <w:left w:val="single" w:color="auto" w:sz="4" w:space="0"/>
                    <w:right w:val="single" w:color="auto" w:sz="4" w:space="0"/>
                  </w:tcBorders>
                  <w:tcMar>
                    <w:left w:w="57" w:type="dxa"/>
                    <w:right w:w="57" w:type="dxa"/>
                  </w:tcMar>
                  <w:vAlign w:val="center"/>
                </w:tcPr>
                <w:p w14:paraId="0CBC2F50">
                  <w:pPr>
                    <w:keepNext w:val="0"/>
                    <w:keepLines w:val="0"/>
                    <w:widowControl/>
                    <w:suppressLineNumbers w:val="0"/>
                    <w:adjustRightInd w:val="0"/>
                    <w:snapToGrid w:val="0"/>
                    <w:spacing w:before="0" w:beforeAutospacing="0" w:after="0" w:afterAutospacing="0" w:line="264" w:lineRule="auto"/>
                    <w:ind w:left="0" w:right="0"/>
                    <w:jc w:val="center"/>
                    <w:rPr>
                      <w:rFonts w:hint="default" w:ascii="Times New Roman" w:hAnsi="Times New Roman" w:eastAsia="宋体" w:cs="Times New Roman"/>
                      <w:snapToGrid w:val="0"/>
                      <w:sz w:val="18"/>
                      <w:szCs w:val="18"/>
                      <w:highlight w:val="none"/>
                    </w:rPr>
                  </w:pPr>
                  <w:r>
                    <w:rPr>
                      <w:rFonts w:hint="eastAsia" w:ascii="Times New Roman" w:hAnsi="Times New Roman" w:eastAsia="宋体" w:cs="Times New Roman"/>
                      <w:snapToGrid w:val="0"/>
                      <w:sz w:val="18"/>
                      <w:szCs w:val="18"/>
                      <w:highlight w:val="none"/>
                    </w:rPr>
                    <w:t>生活污水处理系统</w:t>
                  </w:r>
                </w:p>
              </w:tc>
              <w:tc>
                <w:tcPr>
                  <w:tcW w:w="360" w:type="pct"/>
                  <w:tcBorders>
                    <w:top w:val="single" w:color="auto" w:sz="4" w:space="0"/>
                    <w:left w:val="single" w:color="auto" w:sz="4" w:space="0"/>
                    <w:right w:val="single" w:color="auto" w:sz="4" w:space="0"/>
                  </w:tcBorders>
                  <w:tcMar>
                    <w:left w:w="57" w:type="dxa"/>
                    <w:right w:w="57" w:type="dxa"/>
                  </w:tcMar>
                  <w:vAlign w:val="center"/>
                </w:tcPr>
                <w:p w14:paraId="15AF4895">
                  <w:pPr>
                    <w:keepNext w:val="0"/>
                    <w:keepLines w:val="0"/>
                    <w:widowControl/>
                    <w:suppressLineNumbers w:val="0"/>
                    <w:adjustRightInd w:val="0"/>
                    <w:snapToGrid w:val="0"/>
                    <w:spacing w:before="0" w:beforeAutospacing="0" w:after="0" w:afterAutospacing="0" w:line="264" w:lineRule="auto"/>
                    <w:ind w:left="0" w:right="0"/>
                    <w:jc w:val="center"/>
                    <w:rPr>
                      <w:rFonts w:hint="default" w:ascii="Times New Roman" w:hAnsi="Times New Roman" w:eastAsia="宋体" w:cs="Times New Roman"/>
                      <w:snapToGrid w:val="0"/>
                      <w:sz w:val="18"/>
                      <w:szCs w:val="18"/>
                      <w:highlight w:val="none"/>
                    </w:rPr>
                  </w:pPr>
                  <w:r>
                    <w:rPr>
                      <w:rFonts w:hint="eastAsia" w:cs="Times New Roman"/>
                      <w:snapToGrid w:val="0"/>
                      <w:sz w:val="18"/>
                      <w:szCs w:val="18"/>
                      <w:highlight w:val="none"/>
                      <w:lang w:val="en-US" w:eastAsia="zh-CN"/>
                    </w:rPr>
                    <w:t>隔油池+</w:t>
                  </w:r>
                  <w:r>
                    <w:rPr>
                      <w:rFonts w:hint="eastAsia" w:ascii="Times New Roman" w:hAnsi="Times New Roman" w:eastAsia="宋体" w:cs="Times New Roman"/>
                      <w:snapToGrid w:val="0"/>
                      <w:sz w:val="18"/>
                      <w:szCs w:val="18"/>
                      <w:highlight w:val="none"/>
                    </w:rPr>
                    <w:t>化粪池</w:t>
                  </w:r>
                </w:p>
              </w:tc>
              <w:tc>
                <w:tcPr>
                  <w:tcW w:w="330" w:type="pct"/>
                  <w:tcBorders>
                    <w:top w:val="single" w:color="auto" w:sz="4" w:space="0"/>
                    <w:left w:val="single" w:color="auto" w:sz="4" w:space="0"/>
                    <w:right w:val="single" w:color="auto" w:sz="4" w:space="0"/>
                  </w:tcBorders>
                  <w:tcMar>
                    <w:left w:w="57" w:type="dxa"/>
                    <w:right w:w="57" w:type="dxa"/>
                  </w:tcMar>
                  <w:vAlign w:val="center"/>
                </w:tcPr>
                <w:p w14:paraId="7A1F46ED">
                  <w:pPr>
                    <w:keepNext w:val="0"/>
                    <w:keepLines w:val="0"/>
                    <w:widowControl/>
                    <w:suppressLineNumbers w:val="0"/>
                    <w:adjustRightInd w:val="0"/>
                    <w:snapToGrid w:val="0"/>
                    <w:spacing w:before="0" w:beforeAutospacing="0" w:after="0" w:afterAutospacing="0" w:line="264" w:lineRule="auto"/>
                    <w:ind w:left="0" w:right="0"/>
                    <w:jc w:val="center"/>
                    <w:rPr>
                      <w:rFonts w:hint="default" w:ascii="Times New Roman" w:hAnsi="Times New Roman" w:eastAsia="宋体" w:cs="Times New Roman"/>
                      <w:snapToGrid w:val="0"/>
                      <w:sz w:val="18"/>
                      <w:szCs w:val="18"/>
                      <w:highlight w:val="none"/>
                      <w:lang w:val="en-US" w:eastAsia="zh-CN"/>
                    </w:rPr>
                  </w:pPr>
                  <w:r>
                    <w:rPr>
                      <w:rFonts w:hint="eastAsia" w:ascii="Times New Roman" w:hAnsi="Times New Roman" w:eastAsia="宋体" w:cs="Times New Roman"/>
                      <w:snapToGrid w:val="0"/>
                      <w:sz w:val="18"/>
                      <w:szCs w:val="18"/>
                      <w:highlight w:val="none"/>
                      <w:lang w:val="en-US" w:eastAsia="zh-CN"/>
                    </w:rPr>
                    <w:t>35</w:t>
                  </w:r>
                </w:p>
              </w:tc>
              <w:tc>
                <w:tcPr>
                  <w:tcW w:w="384" w:type="pct"/>
                  <w:tcBorders>
                    <w:top w:val="single" w:color="auto" w:sz="4" w:space="0"/>
                    <w:left w:val="single" w:color="auto" w:sz="4" w:space="0"/>
                    <w:right w:val="single" w:color="auto" w:sz="4" w:space="0"/>
                  </w:tcBorders>
                  <w:vAlign w:val="center"/>
                </w:tcPr>
                <w:p w14:paraId="2D9CEC20">
                  <w:pPr>
                    <w:keepNext w:val="0"/>
                    <w:keepLines w:val="0"/>
                    <w:widowControl/>
                    <w:suppressLineNumbers w:val="0"/>
                    <w:adjustRightInd w:val="0"/>
                    <w:snapToGrid w:val="0"/>
                    <w:spacing w:before="0" w:beforeAutospacing="0" w:after="0" w:afterAutospacing="0" w:line="264" w:lineRule="auto"/>
                    <w:ind w:left="0" w:right="0"/>
                    <w:jc w:val="center"/>
                    <w:rPr>
                      <w:rFonts w:hint="default" w:ascii="Times New Roman" w:hAnsi="Times New Roman" w:eastAsia="宋体" w:cs="Times New Roman"/>
                      <w:snapToGrid w:val="0"/>
                      <w:sz w:val="18"/>
                      <w:szCs w:val="18"/>
                      <w:highlight w:val="none"/>
                    </w:rPr>
                  </w:pPr>
                  <w:r>
                    <w:rPr>
                      <w:rFonts w:hint="eastAsia" w:ascii="Times New Roman" w:hAnsi="Times New Roman" w:eastAsia="宋体" w:cs="Times New Roman"/>
                      <w:snapToGrid w:val="0"/>
                      <w:sz w:val="18"/>
                      <w:szCs w:val="18"/>
                      <w:highlight w:val="none"/>
                    </w:rPr>
                    <w:t>是</w:t>
                  </w:r>
                </w:p>
              </w:tc>
              <w:tc>
                <w:tcPr>
                  <w:tcW w:w="312" w:type="pct"/>
                  <w:tcBorders>
                    <w:top w:val="single" w:color="auto" w:sz="4" w:space="0"/>
                    <w:left w:val="single" w:color="auto" w:sz="4" w:space="0"/>
                    <w:right w:val="single" w:color="auto" w:sz="4" w:space="0"/>
                  </w:tcBorders>
                  <w:tcMar>
                    <w:left w:w="57" w:type="dxa"/>
                    <w:right w:w="57" w:type="dxa"/>
                  </w:tcMar>
                  <w:vAlign w:val="center"/>
                </w:tcPr>
                <w:p w14:paraId="55339A78">
                  <w:pPr>
                    <w:keepNext w:val="0"/>
                    <w:keepLines w:val="0"/>
                    <w:widowControl/>
                    <w:suppressLineNumbers w:val="0"/>
                    <w:adjustRightInd w:val="0"/>
                    <w:snapToGrid w:val="0"/>
                    <w:spacing w:before="0" w:beforeAutospacing="0" w:after="0" w:afterAutospacing="0" w:line="264" w:lineRule="auto"/>
                    <w:ind w:left="0" w:right="0"/>
                    <w:jc w:val="center"/>
                    <w:rPr>
                      <w:rFonts w:hint="default" w:ascii="Times New Roman" w:hAnsi="Times New Roman" w:eastAsia="宋体" w:cs="Times New Roman"/>
                      <w:snapToGrid w:val="0"/>
                      <w:sz w:val="18"/>
                      <w:szCs w:val="18"/>
                      <w:highlight w:val="none"/>
                    </w:rPr>
                  </w:pPr>
                  <w:r>
                    <w:rPr>
                      <w:rFonts w:hint="eastAsia" w:ascii="Times New Roman" w:hAnsi="Times New Roman" w:eastAsia="宋体" w:cs="Times New Roman"/>
                      <w:snapToGrid w:val="0"/>
                      <w:sz w:val="18"/>
                      <w:szCs w:val="18"/>
                      <w:highlight w:val="none"/>
                    </w:rPr>
                    <w:t>高铁新城再生水厂</w:t>
                  </w:r>
                </w:p>
              </w:tc>
              <w:tc>
                <w:tcPr>
                  <w:tcW w:w="237" w:type="pct"/>
                  <w:tcBorders>
                    <w:top w:val="single" w:color="auto" w:sz="4" w:space="0"/>
                    <w:left w:val="single" w:color="auto" w:sz="4" w:space="0"/>
                    <w:right w:val="single" w:color="auto" w:sz="4" w:space="0"/>
                  </w:tcBorders>
                  <w:vAlign w:val="center"/>
                </w:tcPr>
                <w:p w14:paraId="263F6B4B">
                  <w:pPr>
                    <w:keepNext w:val="0"/>
                    <w:keepLines w:val="0"/>
                    <w:suppressLineNumbers w:val="0"/>
                    <w:adjustRightInd w:val="0"/>
                    <w:snapToGrid w:val="0"/>
                    <w:spacing w:before="0" w:beforeAutospacing="0" w:after="0" w:afterAutospacing="0" w:line="264" w:lineRule="auto"/>
                    <w:ind w:left="0" w:right="0"/>
                    <w:jc w:val="center"/>
                    <w:rPr>
                      <w:rFonts w:hint="default" w:ascii="Times New Roman" w:hAnsi="Times New Roman" w:eastAsia="宋体" w:cs="Times New Roman"/>
                      <w:snapToGrid w:val="0"/>
                      <w:sz w:val="18"/>
                      <w:szCs w:val="18"/>
                      <w:highlight w:val="none"/>
                    </w:rPr>
                  </w:pPr>
                  <w:r>
                    <w:rPr>
                      <w:rFonts w:hint="eastAsia" w:ascii="Times New Roman" w:hAnsi="Times New Roman" w:eastAsia="宋体" w:cs="Times New Roman"/>
                      <w:snapToGrid w:val="0"/>
                      <w:sz w:val="18"/>
                      <w:szCs w:val="18"/>
                      <w:highlight w:val="none"/>
                    </w:rPr>
                    <w:t>间接</w:t>
                  </w:r>
                </w:p>
                <w:p w14:paraId="5D5B0E83">
                  <w:pPr>
                    <w:keepNext w:val="0"/>
                    <w:keepLines w:val="0"/>
                    <w:suppressLineNumbers w:val="0"/>
                    <w:adjustRightInd w:val="0"/>
                    <w:snapToGrid w:val="0"/>
                    <w:spacing w:before="0" w:beforeAutospacing="0" w:after="0" w:afterAutospacing="0" w:line="264" w:lineRule="auto"/>
                    <w:ind w:left="0" w:right="0"/>
                    <w:jc w:val="center"/>
                    <w:rPr>
                      <w:rFonts w:hint="default" w:ascii="Times New Roman" w:hAnsi="Times New Roman" w:eastAsia="宋体" w:cs="Times New Roman"/>
                      <w:snapToGrid w:val="0"/>
                      <w:sz w:val="18"/>
                      <w:szCs w:val="18"/>
                      <w:highlight w:val="none"/>
                    </w:rPr>
                  </w:pPr>
                  <w:r>
                    <w:rPr>
                      <w:rFonts w:hint="eastAsia" w:ascii="Times New Roman" w:hAnsi="Times New Roman" w:eastAsia="宋体" w:cs="Times New Roman"/>
                      <w:snapToGrid w:val="0"/>
                      <w:sz w:val="18"/>
                      <w:szCs w:val="18"/>
                      <w:highlight w:val="none"/>
                    </w:rPr>
                    <w:t>排放</w:t>
                  </w:r>
                </w:p>
              </w:tc>
              <w:tc>
                <w:tcPr>
                  <w:tcW w:w="312" w:type="pct"/>
                  <w:vMerge w:val="restart"/>
                  <w:tcBorders>
                    <w:top w:val="single" w:color="auto" w:sz="4" w:space="0"/>
                    <w:left w:val="single" w:color="auto" w:sz="4" w:space="0"/>
                    <w:right w:val="single" w:color="auto" w:sz="4" w:space="0"/>
                  </w:tcBorders>
                  <w:vAlign w:val="center"/>
                </w:tcPr>
                <w:p w14:paraId="6F5D0AA7">
                  <w:pPr>
                    <w:keepNext w:val="0"/>
                    <w:keepLines w:val="0"/>
                    <w:suppressLineNumbers w:val="0"/>
                    <w:adjustRightInd w:val="0"/>
                    <w:snapToGrid w:val="0"/>
                    <w:spacing w:before="0" w:beforeAutospacing="0" w:after="0" w:afterAutospacing="0" w:line="264" w:lineRule="auto"/>
                    <w:ind w:left="0" w:right="0"/>
                    <w:jc w:val="center"/>
                    <w:rPr>
                      <w:rFonts w:hint="default" w:ascii="Times New Roman" w:hAnsi="Times New Roman" w:eastAsia="宋体" w:cs="Times New Roman"/>
                      <w:snapToGrid w:val="0"/>
                      <w:sz w:val="18"/>
                      <w:szCs w:val="18"/>
                      <w:highlight w:val="none"/>
                    </w:rPr>
                  </w:pPr>
                  <w:r>
                    <w:rPr>
                      <w:rFonts w:hint="eastAsia" w:ascii="Times New Roman" w:hAnsi="Times New Roman" w:eastAsia="宋体" w:cs="Times New Roman"/>
                      <w:snapToGrid w:val="0"/>
                      <w:sz w:val="18"/>
                      <w:szCs w:val="18"/>
                      <w:highlight w:val="none"/>
                    </w:rPr>
                    <w:t>间断排放，排放期间流量不稳定且无规律，但不属于冲击性排放</w:t>
                  </w:r>
                </w:p>
              </w:tc>
              <w:tc>
                <w:tcPr>
                  <w:tcW w:w="287" w:type="pct"/>
                  <w:tcBorders>
                    <w:top w:val="single" w:color="auto" w:sz="4" w:space="0"/>
                    <w:left w:val="single" w:color="auto" w:sz="4" w:space="0"/>
                    <w:right w:val="single" w:color="auto" w:sz="4" w:space="0"/>
                  </w:tcBorders>
                  <w:vAlign w:val="center"/>
                </w:tcPr>
                <w:p w14:paraId="3B3BC476">
                  <w:pPr>
                    <w:keepNext w:val="0"/>
                    <w:keepLines w:val="0"/>
                    <w:suppressLineNumbers w:val="0"/>
                    <w:adjustRightInd w:val="0"/>
                    <w:snapToGrid w:val="0"/>
                    <w:spacing w:before="0" w:beforeAutospacing="0" w:after="0" w:afterAutospacing="0" w:line="264" w:lineRule="auto"/>
                    <w:ind w:left="0" w:right="0"/>
                    <w:jc w:val="center"/>
                    <w:rPr>
                      <w:rFonts w:hint="default" w:ascii="Times New Roman" w:hAnsi="Times New Roman" w:eastAsia="宋体" w:cs="Times New Roman"/>
                      <w:snapToGrid w:val="0"/>
                      <w:sz w:val="18"/>
                      <w:szCs w:val="18"/>
                      <w:highlight w:val="none"/>
                    </w:rPr>
                  </w:pPr>
                  <w:r>
                    <w:rPr>
                      <w:rFonts w:hint="default" w:ascii="Times New Roman" w:hAnsi="Times New Roman" w:eastAsia="宋体" w:cs="Times New Roman"/>
                      <w:snapToGrid w:val="0"/>
                      <w:sz w:val="18"/>
                      <w:szCs w:val="18"/>
                      <w:highlight w:val="none"/>
                    </w:rPr>
                    <w:t>DW001</w:t>
                  </w:r>
                </w:p>
              </w:tc>
              <w:tc>
                <w:tcPr>
                  <w:tcW w:w="267" w:type="pct"/>
                  <w:tcBorders>
                    <w:top w:val="single" w:color="auto" w:sz="4" w:space="0"/>
                    <w:left w:val="single" w:color="auto" w:sz="4" w:space="0"/>
                    <w:right w:val="single" w:color="auto" w:sz="4" w:space="0"/>
                  </w:tcBorders>
                  <w:vAlign w:val="center"/>
                </w:tcPr>
                <w:p w14:paraId="769F3B85">
                  <w:pPr>
                    <w:keepNext w:val="0"/>
                    <w:keepLines w:val="0"/>
                    <w:widowControl/>
                    <w:suppressLineNumbers w:val="0"/>
                    <w:adjustRightInd w:val="0"/>
                    <w:snapToGrid w:val="0"/>
                    <w:spacing w:before="0" w:beforeAutospacing="0" w:after="0" w:afterAutospacing="0" w:line="264" w:lineRule="auto"/>
                    <w:ind w:left="0" w:right="0"/>
                    <w:jc w:val="center"/>
                    <w:rPr>
                      <w:rFonts w:hint="default" w:ascii="Times New Roman" w:hAnsi="Times New Roman" w:eastAsia="宋体" w:cs="Times New Roman"/>
                      <w:snapToGrid w:val="0"/>
                      <w:sz w:val="18"/>
                      <w:szCs w:val="18"/>
                      <w:highlight w:val="none"/>
                    </w:rPr>
                  </w:pPr>
                  <w:r>
                    <w:rPr>
                      <w:rFonts w:hint="eastAsia" w:cs="Times New Roman"/>
                      <w:snapToGrid w:val="0"/>
                      <w:sz w:val="18"/>
                      <w:szCs w:val="18"/>
                      <w:highlight w:val="none"/>
                      <w:lang w:val="en-US" w:eastAsia="zh-CN"/>
                    </w:rPr>
                    <w:t>生活污水</w:t>
                  </w:r>
                  <w:r>
                    <w:rPr>
                      <w:rFonts w:hint="eastAsia" w:ascii="Times New Roman" w:hAnsi="Times New Roman" w:eastAsia="宋体" w:cs="Times New Roman"/>
                      <w:snapToGrid w:val="0"/>
                      <w:sz w:val="18"/>
                      <w:szCs w:val="18"/>
                      <w:highlight w:val="none"/>
                    </w:rPr>
                    <w:t>排放口</w:t>
                  </w:r>
                </w:p>
              </w:tc>
              <w:tc>
                <w:tcPr>
                  <w:tcW w:w="273" w:type="pct"/>
                  <w:tcBorders>
                    <w:top w:val="single" w:color="auto" w:sz="4" w:space="0"/>
                    <w:left w:val="single" w:color="auto" w:sz="4" w:space="0"/>
                    <w:right w:val="single" w:color="auto" w:sz="4" w:space="0"/>
                  </w:tcBorders>
                  <w:vAlign w:val="center"/>
                </w:tcPr>
                <w:p w14:paraId="07E3E217">
                  <w:pPr>
                    <w:keepNext w:val="0"/>
                    <w:keepLines w:val="0"/>
                    <w:widowControl/>
                    <w:suppressLineNumbers w:val="0"/>
                    <w:adjustRightInd w:val="0"/>
                    <w:snapToGrid w:val="0"/>
                    <w:spacing w:before="0" w:beforeAutospacing="0" w:after="0" w:afterAutospacing="0" w:line="264" w:lineRule="auto"/>
                    <w:ind w:left="0" w:right="0"/>
                    <w:jc w:val="center"/>
                    <w:rPr>
                      <w:rFonts w:hint="default" w:ascii="Times New Roman" w:hAnsi="Times New Roman" w:eastAsia="宋体" w:cs="Times New Roman"/>
                      <w:snapToGrid w:val="0"/>
                      <w:sz w:val="18"/>
                      <w:szCs w:val="18"/>
                      <w:highlight w:val="none"/>
                    </w:rPr>
                  </w:pPr>
                  <w:r>
                    <w:rPr>
                      <w:rFonts w:hint="eastAsia" w:ascii="Times New Roman" w:hAnsi="Times New Roman" w:eastAsia="宋体" w:cs="Times New Roman"/>
                      <w:snapToGrid w:val="0"/>
                      <w:sz w:val="18"/>
                      <w:szCs w:val="18"/>
                      <w:highlight w:val="none"/>
                    </w:rPr>
                    <w:t>一般排放口</w:t>
                  </w:r>
                </w:p>
              </w:tc>
            </w:tr>
            <w:tr w14:paraId="4D81F31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134" w:hRule="atLeast"/>
                <w:jc w:val="center"/>
              </w:trPr>
              <w:tc>
                <w:tcPr>
                  <w:tcW w:w="314" w:type="pct"/>
                  <w:vMerge w:val="restart"/>
                  <w:tcBorders>
                    <w:left w:val="single" w:color="auto" w:sz="4" w:space="0"/>
                    <w:right w:val="single" w:color="auto" w:sz="4" w:space="0"/>
                  </w:tcBorders>
                  <w:tcMar>
                    <w:left w:w="57" w:type="dxa"/>
                    <w:right w:w="57" w:type="dxa"/>
                  </w:tcMar>
                  <w:vAlign w:val="center"/>
                </w:tcPr>
                <w:p w14:paraId="0D5472F1">
                  <w:pPr>
                    <w:keepNext w:val="0"/>
                    <w:keepLines w:val="0"/>
                    <w:suppressLineNumbers w:val="0"/>
                    <w:adjustRightInd w:val="0"/>
                    <w:snapToGrid w:val="0"/>
                    <w:spacing w:before="0" w:beforeAutospacing="0" w:after="0" w:afterAutospacing="0" w:line="264" w:lineRule="auto"/>
                    <w:ind w:left="0" w:right="0"/>
                    <w:jc w:val="center"/>
                    <w:rPr>
                      <w:rFonts w:hint="eastAsia" w:ascii="Times New Roman" w:hAnsi="Times New Roman" w:eastAsia="宋体" w:cs="Times New Roman"/>
                      <w:snapToGrid w:val="0"/>
                      <w:sz w:val="18"/>
                      <w:szCs w:val="18"/>
                      <w:highlight w:val="none"/>
                      <w:lang w:val="en-US" w:eastAsia="zh-CN"/>
                    </w:rPr>
                  </w:pPr>
                  <w:r>
                    <w:rPr>
                      <w:rFonts w:hint="eastAsia" w:ascii="Times New Roman" w:hAnsi="Times New Roman" w:eastAsia="宋体" w:cs="Times New Roman"/>
                      <w:snapToGrid w:val="0"/>
                      <w:sz w:val="18"/>
                      <w:szCs w:val="18"/>
                      <w:highlight w:val="none"/>
                      <w:lang w:val="en-US" w:eastAsia="zh-CN"/>
                    </w:rPr>
                    <w:t>实验动物中心</w:t>
                  </w:r>
                </w:p>
              </w:tc>
              <w:tc>
                <w:tcPr>
                  <w:tcW w:w="513" w:type="pct"/>
                  <w:tcBorders>
                    <w:top w:val="single" w:color="auto" w:sz="4" w:space="0"/>
                    <w:left w:val="single" w:color="auto" w:sz="4" w:space="0"/>
                    <w:bottom w:val="single" w:color="auto" w:sz="4" w:space="0"/>
                    <w:right w:val="single" w:color="auto" w:sz="4" w:space="0"/>
                  </w:tcBorders>
                  <w:tcMar>
                    <w:left w:w="57" w:type="dxa"/>
                    <w:right w:w="57" w:type="dxa"/>
                  </w:tcMar>
                  <w:vAlign w:val="center"/>
                </w:tcPr>
                <w:p w14:paraId="1065C7B7">
                  <w:pPr>
                    <w:keepNext w:val="0"/>
                    <w:keepLines w:val="0"/>
                    <w:widowControl/>
                    <w:suppressLineNumbers w:val="0"/>
                    <w:adjustRightInd w:val="0"/>
                    <w:snapToGrid w:val="0"/>
                    <w:spacing w:before="0" w:beforeAutospacing="0" w:after="0" w:afterAutospacing="0" w:line="264" w:lineRule="auto"/>
                    <w:ind w:left="0" w:right="0"/>
                    <w:jc w:val="center"/>
                    <w:rPr>
                      <w:rFonts w:hint="default" w:ascii="Times New Roman" w:hAnsi="Times New Roman" w:eastAsia="宋体" w:cs="Times New Roman"/>
                      <w:snapToGrid w:val="0"/>
                      <w:sz w:val="18"/>
                      <w:szCs w:val="18"/>
                      <w:highlight w:val="none"/>
                      <w:lang w:val="en-US" w:eastAsia="zh-CN"/>
                    </w:rPr>
                  </w:pPr>
                  <w:r>
                    <w:rPr>
                      <w:rFonts w:hint="eastAsia" w:cs="Times New Roman"/>
                      <w:snapToGrid w:val="0"/>
                      <w:sz w:val="18"/>
                      <w:szCs w:val="18"/>
                      <w:highlight w:val="none"/>
                      <w:lang w:val="en-US" w:eastAsia="zh-CN"/>
                    </w:rPr>
                    <w:t>一般实验室灭菌</w:t>
                  </w:r>
                </w:p>
              </w:tc>
              <w:tc>
                <w:tcPr>
                  <w:tcW w:w="628" w:type="pct"/>
                  <w:tcBorders>
                    <w:top w:val="single" w:color="auto" w:sz="4" w:space="0"/>
                    <w:left w:val="single" w:color="auto" w:sz="4" w:space="0"/>
                    <w:bottom w:val="single" w:color="auto" w:sz="4" w:space="0"/>
                    <w:right w:val="single" w:color="auto" w:sz="4" w:space="0"/>
                  </w:tcBorders>
                  <w:tcMar>
                    <w:left w:w="57" w:type="dxa"/>
                    <w:right w:w="57" w:type="dxa"/>
                  </w:tcMar>
                  <w:vAlign w:val="center"/>
                </w:tcPr>
                <w:p w14:paraId="34D7AEEF">
                  <w:pPr>
                    <w:keepNext w:val="0"/>
                    <w:keepLines w:val="0"/>
                    <w:widowControl/>
                    <w:suppressLineNumbers w:val="0"/>
                    <w:adjustRightInd w:val="0"/>
                    <w:snapToGrid w:val="0"/>
                    <w:spacing w:before="0" w:beforeAutospacing="0" w:after="0" w:afterAutospacing="0" w:line="264" w:lineRule="auto"/>
                    <w:ind w:left="0" w:right="0"/>
                    <w:jc w:val="center"/>
                    <w:rPr>
                      <w:rFonts w:hint="default" w:ascii="Times New Roman" w:hAnsi="Times New Roman" w:eastAsia="宋体" w:cs="Times New Roman"/>
                      <w:b w:val="0"/>
                      <w:bCs w:val="0"/>
                      <w:color w:val="000000"/>
                      <w:kern w:val="0"/>
                      <w:sz w:val="18"/>
                      <w:szCs w:val="18"/>
                      <w:highlight w:val="none"/>
                      <w:lang w:val="en-US" w:eastAsia="zh-CN"/>
                    </w:rPr>
                  </w:pPr>
                  <w:r>
                    <w:rPr>
                      <w:rFonts w:hint="eastAsia" w:cs="Times New Roman"/>
                      <w:snapToGrid w:val="0"/>
                      <w:sz w:val="18"/>
                      <w:szCs w:val="18"/>
                      <w:highlight w:val="none"/>
                      <w:lang w:val="en-US" w:eastAsia="zh-CN"/>
                    </w:rPr>
                    <w:t>一般实验室灭菌废水</w:t>
                  </w:r>
                </w:p>
              </w:tc>
              <w:tc>
                <w:tcPr>
                  <w:tcW w:w="365" w:type="pct"/>
                  <w:tcBorders>
                    <w:top w:val="single" w:color="auto" w:sz="4" w:space="0"/>
                    <w:left w:val="single" w:color="auto" w:sz="4" w:space="0"/>
                    <w:bottom w:val="single" w:color="auto" w:sz="4" w:space="0"/>
                    <w:right w:val="single" w:color="auto" w:sz="4" w:space="0"/>
                  </w:tcBorders>
                  <w:vAlign w:val="center"/>
                </w:tcPr>
                <w:p w14:paraId="1E046DAB">
                  <w:pPr>
                    <w:keepNext w:val="0"/>
                    <w:keepLines w:val="0"/>
                    <w:widowControl/>
                    <w:suppressLineNumbers w:val="0"/>
                    <w:adjustRightInd w:val="0"/>
                    <w:snapToGrid w:val="0"/>
                    <w:spacing w:before="0" w:beforeAutospacing="0" w:after="0" w:afterAutospacing="0" w:line="264" w:lineRule="auto"/>
                    <w:ind w:left="0" w:right="0"/>
                    <w:jc w:val="center"/>
                    <w:rPr>
                      <w:rFonts w:hint="default" w:ascii="Times New Roman" w:hAnsi="Times New Roman" w:eastAsia="宋体" w:cs="Times New Roman"/>
                      <w:snapToGrid w:val="0"/>
                      <w:sz w:val="18"/>
                      <w:szCs w:val="18"/>
                      <w:highlight w:val="none"/>
                    </w:rPr>
                  </w:pPr>
                  <w:r>
                    <w:rPr>
                      <w:rFonts w:hint="default" w:ascii="Times New Roman" w:hAnsi="Times New Roman" w:eastAsia="宋体" w:cs="Times New Roman"/>
                      <w:snapToGrid w:val="0"/>
                      <w:sz w:val="18"/>
                      <w:szCs w:val="18"/>
                      <w:highlight w:val="none"/>
                    </w:rPr>
                    <w:t>COD</w:t>
                  </w:r>
                  <w:r>
                    <w:rPr>
                      <w:rFonts w:hint="default" w:ascii="Times New Roman" w:hAnsi="Times New Roman" w:eastAsia="宋体" w:cs="Times New Roman"/>
                      <w:snapToGrid w:val="0"/>
                      <w:sz w:val="18"/>
                      <w:szCs w:val="18"/>
                      <w:highlight w:val="none"/>
                      <w:vertAlign w:val="subscript"/>
                    </w:rPr>
                    <w:t>Cr</w:t>
                  </w:r>
                  <w:r>
                    <w:rPr>
                      <w:rFonts w:hint="eastAsia" w:ascii="Times New Roman" w:hAnsi="Times New Roman" w:eastAsia="宋体" w:cs="Times New Roman"/>
                      <w:snapToGrid w:val="0"/>
                      <w:sz w:val="18"/>
                      <w:szCs w:val="18"/>
                      <w:highlight w:val="none"/>
                    </w:rPr>
                    <w:t>、SS</w:t>
                  </w:r>
                </w:p>
              </w:tc>
              <w:tc>
                <w:tcPr>
                  <w:tcW w:w="414" w:type="pct"/>
                  <w:tcBorders>
                    <w:left w:val="single" w:color="auto" w:sz="4" w:space="0"/>
                    <w:right w:val="single" w:color="auto" w:sz="4" w:space="0"/>
                  </w:tcBorders>
                  <w:tcMar>
                    <w:left w:w="57" w:type="dxa"/>
                    <w:right w:w="57" w:type="dxa"/>
                  </w:tcMar>
                  <w:vAlign w:val="center"/>
                </w:tcPr>
                <w:p w14:paraId="45002D63">
                  <w:pPr>
                    <w:keepNext w:val="0"/>
                    <w:keepLines w:val="0"/>
                    <w:widowControl/>
                    <w:suppressLineNumbers w:val="0"/>
                    <w:adjustRightInd w:val="0"/>
                    <w:snapToGrid w:val="0"/>
                    <w:spacing w:before="0" w:beforeAutospacing="0" w:after="0" w:afterAutospacing="0" w:line="264" w:lineRule="auto"/>
                    <w:ind w:left="0" w:right="0"/>
                    <w:jc w:val="center"/>
                    <w:rPr>
                      <w:rFonts w:hint="default" w:ascii="Times New Roman" w:hAnsi="Times New Roman" w:eastAsia="宋体" w:cs="Times New Roman"/>
                      <w:snapToGrid w:val="0"/>
                      <w:sz w:val="18"/>
                      <w:szCs w:val="18"/>
                      <w:highlight w:val="none"/>
                      <w:lang w:val="en-US" w:eastAsia="zh-CN"/>
                    </w:rPr>
                  </w:pPr>
                  <w:r>
                    <w:rPr>
                      <w:rFonts w:hint="eastAsia" w:cs="Times New Roman"/>
                      <w:snapToGrid w:val="0"/>
                      <w:sz w:val="18"/>
                      <w:szCs w:val="18"/>
                      <w:highlight w:val="none"/>
                      <w:lang w:val="en-US" w:eastAsia="zh-CN"/>
                    </w:rPr>
                    <w:t>/</w:t>
                  </w:r>
                </w:p>
              </w:tc>
              <w:tc>
                <w:tcPr>
                  <w:tcW w:w="360" w:type="pct"/>
                  <w:tcBorders>
                    <w:left w:val="single" w:color="auto" w:sz="4" w:space="0"/>
                    <w:right w:val="single" w:color="auto" w:sz="4" w:space="0"/>
                  </w:tcBorders>
                  <w:tcMar>
                    <w:left w:w="57" w:type="dxa"/>
                    <w:right w:w="57" w:type="dxa"/>
                  </w:tcMar>
                  <w:vAlign w:val="center"/>
                </w:tcPr>
                <w:p w14:paraId="327B0D53">
                  <w:pPr>
                    <w:keepNext w:val="0"/>
                    <w:keepLines w:val="0"/>
                    <w:widowControl/>
                    <w:suppressLineNumbers w:val="0"/>
                    <w:adjustRightInd w:val="0"/>
                    <w:snapToGrid w:val="0"/>
                    <w:spacing w:before="0" w:beforeAutospacing="0" w:after="0" w:afterAutospacing="0" w:line="264" w:lineRule="auto"/>
                    <w:ind w:left="0" w:right="0"/>
                    <w:jc w:val="center"/>
                    <w:rPr>
                      <w:rFonts w:hint="default" w:ascii="Times New Roman" w:hAnsi="Times New Roman" w:cs="Times New Roman"/>
                      <w:b w:val="0"/>
                      <w:bCs/>
                      <w:color w:val="auto"/>
                      <w:sz w:val="18"/>
                      <w:szCs w:val="18"/>
                      <w:highlight w:val="none"/>
                      <w:lang w:val="en-US" w:eastAsia="zh-CN"/>
                    </w:rPr>
                  </w:pPr>
                  <w:r>
                    <w:rPr>
                      <w:rFonts w:hint="eastAsia" w:cs="Times New Roman"/>
                      <w:b w:val="0"/>
                      <w:bCs/>
                      <w:color w:val="auto"/>
                      <w:sz w:val="18"/>
                      <w:szCs w:val="18"/>
                      <w:highlight w:val="none"/>
                      <w:lang w:val="en-US" w:eastAsia="zh-CN"/>
                    </w:rPr>
                    <w:t>/</w:t>
                  </w:r>
                </w:p>
              </w:tc>
              <w:tc>
                <w:tcPr>
                  <w:tcW w:w="330" w:type="pct"/>
                  <w:tcBorders>
                    <w:left w:val="single" w:color="auto" w:sz="4" w:space="0"/>
                    <w:right w:val="single" w:color="auto" w:sz="4" w:space="0"/>
                  </w:tcBorders>
                  <w:tcMar>
                    <w:left w:w="57" w:type="dxa"/>
                    <w:right w:w="57" w:type="dxa"/>
                  </w:tcMar>
                  <w:vAlign w:val="center"/>
                </w:tcPr>
                <w:p w14:paraId="572F0322">
                  <w:pPr>
                    <w:keepNext w:val="0"/>
                    <w:keepLines w:val="0"/>
                    <w:widowControl/>
                    <w:suppressLineNumbers w:val="0"/>
                    <w:adjustRightInd w:val="0"/>
                    <w:snapToGrid w:val="0"/>
                    <w:spacing w:before="0" w:beforeAutospacing="0" w:after="0" w:afterAutospacing="0" w:line="264" w:lineRule="auto"/>
                    <w:ind w:left="0" w:right="0"/>
                    <w:jc w:val="center"/>
                    <w:rPr>
                      <w:rFonts w:hint="default" w:ascii="Times New Roman" w:hAnsi="Times New Roman" w:eastAsia="宋体" w:cs="Times New Roman"/>
                      <w:snapToGrid w:val="0"/>
                      <w:color w:val="auto"/>
                      <w:sz w:val="18"/>
                      <w:szCs w:val="18"/>
                      <w:highlight w:val="none"/>
                      <w:lang w:val="en-US" w:eastAsia="zh-CN"/>
                    </w:rPr>
                  </w:pPr>
                  <w:r>
                    <w:rPr>
                      <w:rFonts w:hint="eastAsia" w:cs="Times New Roman"/>
                      <w:snapToGrid w:val="0"/>
                      <w:color w:val="auto"/>
                      <w:sz w:val="18"/>
                      <w:szCs w:val="18"/>
                      <w:highlight w:val="none"/>
                      <w:lang w:val="en-US" w:eastAsia="zh-CN"/>
                    </w:rPr>
                    <w:t>/</w:t>
                  </w:r>
                </w:p>
              </w:tc>
              <w:tc>
                <w:tcPr>
                  <w:tcW w:w="384" w:type="pct"/>
                  <w:tcBorders>
                    <w:left w:val="single" w:color="auto" w:sz="4" w:space="0"/>
                    <w:right w:val="single" w:color="auto" w:sz="4" w:space="0"/>
                  </w:tcBorders>
                  <w:vAlign w:val="center"/>
                </w:tcPr>
                <w:p w14:paraId="2F9DDF4C">
                  <w:pPr>
                    <w:keepNext w:val="0"/>
                    <w:keepLines w:val="0"/>
                    <w:widowControl/>
                    <w:suppressLineNumbers w:val="0"/>
                    <w:adjustRightInd w:val="0"/>
                    <w:snapToGrid w:val="0"/>
                    <w:spacing w:before="0" w:beforeAutospacing="0" w:after="0" w:afterAutospacing="0" w:line="264" w:lineRule="auto"/>
                    <w:ind w:left="0" w:right="0"/>
                    <w:jc w:val="center"/>
                    <w:rPr>
                      <w:rFonts w:hint="eastAsia" w:ascii="Times New Roman" w:hAnsi="Times New Roman" w:eastAsia="宋体" w:cs="Times New Roman"/>
                      <w:snapToGrid w:val="0"/>
                      <w:sz w:val="18"/>
                      <w:szCs w:val="18"/>
                      <w:highlight w:val="none"/>
                      <w:lang w:val="en-US" w:eastAsia="zh-CN"/>
                    </w:rPr>
                  </w:pPr>
                  <w:r>
                    <w:rPr>
                      <w:rFonts w:hint="eastAsia" w:cs="Times New Roman"/>
                      <w:snapToGrid w:val="0"/>
                      <w:sz w:val="18"/>
                      <w:szCs w:val="18"/>
                      <w:highlight w:val="none"/>
                      <w:lang w:val="en-US" w:eastAsia="zh-CN"/>
                    </w:rPr>
                    <w:t>/</w:t>
                  </w:r>
                </w:p>
              </w:tc>
              <w:tc>
                <w:tcPr>
                  <w:tcW w:w="312" w:type="pct"/>
                  <w:vMerge w:val="restart"/>
                  <w:tcBorders>
                    <w:left w:val="single" w:color="auto" w:sz="4" w:space="0"/>
                    <w:right w:val="single" w:color="auto" w:sz="4" w:space="0"/>
                  </w:tcBorders>
                  <w:shd w:val="clear" w:color="auto" w:fill="auto"/>
                  <w:tcMar>
                    <w:left w:w="57" w:type="dxa"/>
                    <w:right w:w="57" w:type="dxa"/>
                  </w:tcMar>
                  <w:vAlign w:val="center"/>
                </w:tcPr>
                <w:p w14:paraId="791E1F3A">
                  <w:pPr>
                    <w:keepNext w:val="0"/>
                    <w:keepLines w:val="0"/>
                    <w:widowControl/>
                    <w:suppressLineNumbers w:val="0"/>
                    <w:adjustRightInd w:val="0"/>
                    <w:snapToGrid w:val="0"/>
                    <w:spacing w:before="0" w:beforeAutospacing="0" w:after="0" w:afterAutospacing="0" w:line="264" w:lineRule="auto"/>
                    <w:ind w:left="0" w:right="0"/>
                    <w:jc w:val="center"/>
                    <w:rPr>
                      <w:rFonts w:hint="default" w:ascii="Times New Roman" w:hAnsi="Times New Roman" w:eastAsia="宋体" w:cs="Times New Roman"/>
                      <w:snapToGrid w:val="0"/>
                      <w:kern w:val="2"/>
                      <w:sz w:val="18"/>
                      <w:szCs w:val="18"/>
                      <w:highlight w:val="none"/>
                      <w:lang w:val="en-US" w:eastAsia="zh-CN" w:bidi="ar-SA"/>
                    </w:rPr>
                  </w:pPr>
                  <w:r>
                    <w:rPr>
                      <w:rFonts w:hint="eastAsia" w:ascii="Times New Roman" w:hAnsi="Times New Roman" w:eastAsia="宋体" w:cs="Times New Roman"/>
                      <w:snapToGrid w:val="0"/>
                      <w:sz w:val="18"/>
                      <w:szCs w:val="18"/>
                      <w:highlight w:val="none"/>
                    </w:rPr>
                    <w:t>高铁新城再生水厂</w:t>
                  </w:r>
                </w:p>
              </w:tc>
              <w:tc>
                <w:tcPr>
                  <w:tcW w:w="237" w:type="pct"/>
                  <w:vMerge w:val="restart"/>
                  <w:tcBorders>
                    <w:left w:val="single" w:color="auto" w:sz="4" w:space="0"/>
                    <w:right w:val="single" w:color="auto" w:sz="4" w:space="0"/>
                  </w:tcBorders>
                  <w:shd w:val="clear" w:color="auto" w:fill="auto"/>
                  <w:vAlign w:val="center"/>
                </w:tcPr>
                <w:p w14:paraId="16DE9829">
                  <w:pPr>
                    <w:keepNext w:val="0"/>
                    <w:keepLines w:val="0"/>
                    <w:suppressLineNumbers w:val="0"/>
                    <w:adjustRightInd w:val="0"/>
                    <w:snapToGrid w:val="0"/>
                    <w:spacing w:before="0" w:beforeAutospacing="0" w:after="0" w:afterAutospacing="0" w:line="264" w:lineRule="auto"/>
                    <w:ind w:left="0" w:right="0"/>
                    <w:jc w:val="center"/>
                    <w:rPr>
                      <w:rFonts w:hint="default" w:ascii="Times New Roman" w:hAnsi="Times New Roman" w:eastAsia="宋体" w:cs="Times New Roman"/>
                      <w:snapToGrid w:val="0"/>
                      <w:sz w:val="18"/>
                      <w:szCs w:val="18"/>
                      <w:highlight w:val="none"/>
                    </w:rPr>
                  </w:pPr>
                  <w:r>
                    <w:rPr>
                      <w:rFonts w:hint="eastAsia" w:ascii="Times New Roman" w:hAnsi="Times New Roman" w:eastAsia="宋体" w:cs="Times New Roman"/>
                      <w:snapToGrid w:val="0"/>
                      <w:sz w:val="18"/>
                      <w:szCs w:val="18"/>
                      <w:highlight w:val="none"/>
                    </w:rPr>
                    <w:t>间接</w:t>
                  </w:r>
                </w:p>
                <w:p w14:paraId="013CE876">
                  <w:pPr>
                    <w:keepNext w:val="0"/>
                    <w:keepLines w:val="0"/>
                    <w:suppressLineNumbers w:val="0"/>
                    <w:adjustRightInd w:val="0"/>
                    <w:snapToGrid w:val="0"/>
                    <w:spacing w:before="0" w:beforeAutospacing="0" w:after="0" w:afterAutospacing="0" w:line="264" w:lineRule="auto"/>
                    <w:ind w:left="0" w:right="0"/>
                    <w:jc w:val="center"/>
                    <w:rPr>
                      <w:rFonts w:hint="default" w:ascii="Times New Roman" w:hAnsi="Times New Roman" w:eastAsia="宋体" w:cs="Times New Roman"/>
                      <w:snapToGrid w:val="0"/>
                      <w:kern w:val="2"/>
                      <w:sz w:val="18"/>
                      <w:szCs w:val="18"/>
                      <w:highlight w:val="none"/>
                      <w:lang w:val="en-US" w:eastAsia="zh-CN" w:bidi="ar-SA"/>
                    </w:rPr>
                  </w:pPr>
                  <w:r>
                    <w:rPr>
                      <w:rFonts w:hint="eastAsia" w:ascii="Times New Roman" w:hAnsi="Times New Roman" w:eastAsia="宋体" w:cs="Times New Roman"/>
                      <w:snapToGrid w:val="0"/>
                      <w:sz w:val="18"/>
                      <w:szCs w:val="18"/>
                      <w:highlight w:val="none"/>
                    </w:rPr>
                    <w:t>排放</w:t>
                  </w:r>
                </w:p>
              </w:tc>
              <w:tc>
                <w:tcPr>
                  <w:tcW w:w="312" w:type="pct"/>
                  <w:vMerge w:val="continue"/>
                  <w:tcBorders>
                    <w:left w:val="single" w:color="auto" w:sz="4" w:space="0"/>
                    <w:right w:val="single" w:color="auto" w:sz="4" w:space="0"/>
                  </w:tcBorders>
                  <w:shd w:val="clear" w:color="auto" w:fill="auto"/>
                  <w:vAlign w:val="center"/>
                </w:tcPr>
                <w:p w14:paraId="56E7530F">
                  <w:pPr>
                    <w:keepNext w:val="0"/>
                    <w:keepLines w:val="0"/>
                    <w:suppressLineNumbers w:val="0"/>
                    <w:adjustRightInd w:val="0"/>
                    <w:snapToGrid w:val="0"/>
                    <w:spacing w:before="0" w:beforeAutospacing="0" w:after="0" w:afterAutospacing="0" w:line="264" w:lineRule="auto"/>
                    <w:ind w:left="0" w:right="0"/>
                    <w:jc w:val="center"/>
                    <w:rPr>
                      <w:rFonts w:hint="default" w:ascii="Times New Roman" w:hAnsi="Times New Roman" w:eastAsia="宋体" w:cs="Times New Roman"/>
                      <w:snapToGrid w:val="0"/>
                      <w:kern w:val="2"/>
                      <w:sz w:val="18"/>
                      <w:szCs w:val="18"/>
                      <w:highlight w:val="none"/>
                      <w:lang w:val="en-US" w:eastAsia="zh-CN" w:bidi="ar-SA"/>
                    </w:rPr>
                  </w:pPr>
                </w:p>
              </w:tc>
              <w:tc>
                <w:tcPr>
                  <w:tcW w:w="287" w:type="pct"/>
                  <w:vMerge w:val="restart"/>
                  <w:tcBorders>
                    <w:left w:val="single" w:color="auto" w:sz="4" w:space="0"/>
                    <w:right w:val="single" w:color="auto" w:sz="4" w:space="0"/>
                  </w:tcBorders>
                  <w:shd w:val="clear" w:color="auto" w:fill="auto"/>
                  <w:vAlign w:val="center"/>
                </w:tcPr>
                <w:p w14:paraId="5A1C9D1C">
                  <w:pPr>
                    <w:keepNext w:val="0"/>
                    <w:keepLines w:val="0"/>
                    <w:suppressLineNumbers w:val="0"/>
                    <w:adjustRightInd w:val="0"/>
                    <w:snapToGrid w:val="0"/>
                    <w:spacing w:before="0" w:beforeAutospacing="0" w:after="0" w:afterAutospacing="0" w:line="264" w:lineRule="auto"/>
                    <w:ind w:left="0" w:right="0"/>
                    <w:jc w:val="center"/>
                    <w:rPr>
                      <w:rFonts w:hint="eastAsia" w:ascii="Times New Roman" w:hAnsi="Times New Roman" w:eastAsia="宋体" w:cs="Times New Roman"/>
                      <w:snapToGrid w:val="0"/>
                      <w:kern w:val="2"/>
                      <w:sz w:val="18"/>
                      <w:szCs w:val="18"/>
                      <w:highlight w:val="none"/>
                      <w:lang w:val="en-US" w:eastAsia="zh-CN" w:bidi="ar-SA"/>
                    </w:rPr>
                  </w:pPr>
                  <w:r>
                    <w:rPr>
                      <w:rFonts w:hint="default" w:ascii="Times New Roman" w:hAnsi="Times New Roman" w:eastAsia="宋体" w:cs="Times New Roman"/>
                      <w:snapToGrid w:val="0"/>
                      <w:sz w:val="18"/>
                      <w:szCs w:val="18"/>
                      <w:highlight w:val="none"/>
                    </w:rPr>
                    <w:t>DW00</w:t>
                  </w:r>
                  <w:r>
                    <w:rPr>
                      <w:rFonts w:hint="eastAsia" w:cs="Times New Roman"/>
                      <w:snapToGrid w:val="0"/>
                      <w:sz w:val="18"/>
                      <w:szCs w:val="18"/>
                      <w:highlight w:val="none"/>
                      <w:lang w:val="en-US" w:eastAsia="zh-CN"/>
                    </w:rPr>
                    <w:t>2</w:t>
                  </w:r>
                </w:p>
              </w:tc>
              <w:tc>
                <w:tcPr>
                  <w:tcW w:w="267" w:type="pct"/>
                  <w:vMerge w:val="restart"/>
                  <w:tcBorders>
                    <w:left w:val="single" w:color="auto" w:sz="4" w:space="0"/>
                    <w:right w:val="single" w:color="auto" w:sz="4" w:space="0"/>
                  </w:tcBorders>
                  <w:shd w:val="clear" w:color="auto" w:fill="auto"/>
                  <w:vAlign w:val="center"/>
                </w:tcPr>
                <w:p w14:paraId="5053BDA4">
                  <w:pPr>
                    <w:keepNext w:val="0"/>
                    <w:keepLines w:val="0"/>
                    <w:widowControl/>
                    <w:suppressLineNumbers w:val="0"/>
                    <w:adjustRightInd w:val="0"/>
                    <w:snapToGrid w:val="0"/>
                    <w:spacing w:before="0" w:beforeAutospacing="0" w:after="0" w:afterAutospacing="0" w:line="264" w:lineRule="auto"/>
                    <w:ind w:left="0" w:right="0"/>
                    <w:jc w:val="center"/>
                    <w:rPr>
                      <w:rFonts w:hint="default" w:ascii="Times New Roman" w:hAnsi="Times New Roman" w:eastAsia="宋体" w:cs="Times New Roman"/>
                      <w:snapToGrid w:val="0"/>
                      <w:kern w:val="2"/>
                      <w:sz w:val="18"/>
                      <w:szCs w:val="18"/>
                      <w:highlight w:val="none"/>
                      <w:lang w:val="en-US" w:eastAsia="zh-CN" w:bidi="ar-SA"/>
                    </w:rPr>
                  </w:pPr>
                  <w:r>
                    <w:rPr>
                      <w:rFonts w:hint="eastAsia" w:ascii="Times New Roman" w:hAnsi="Times New Roman" w:eastAsia="宋体" w:cs="Times New Roman"/>
                      <w:snapToGrid w:val="0"/>
                      <w:sz w:val="18"/>
                      <w:szCs w:val="18"/>
                      <w:highlight w:val="none"/>
                    </w:rPr>
                    <w:t>废水排放口</w:t>
                  </w:r>
                </w:p>
              </w:tc>
              <w:tc>
                <w:tcPr>
                  <w:tcW w:w="273" w:type="pct"/>
                  <w:vMerge w:val="restart"/>
                  <w:tcBorders>
                    <w:left w:val="single" w:color="auto" w:sz="4" w:space="0"/>
                    <w:right w:val="single" w:color="auto" w:sz="4" w:space="0"/>
                  </w:tcBorders>
                  <w:shd w:val="clear" w:color="auto" w:fill="auto"/>
                  <w:vAlign w:val="center"/>
                </w:tcPr>
                <w:p w14:paraId="48C0ACD4">
                  <w:pPr>
                    <w:keepNext w:val="0"/>
                    <w:keepLines w:val="0"/>
                    <w:widowControl/>
                    <w:suppressLineNumbers w:val="0"/>
                    <w:adjustRightInd w:val="0"/>
                    <w:snapToGrid w:val="0"/>
                    <w:spacing w:before="0" w:beforeAutospacing="0" w:after="0" w:afterAutospacing="0" w:line="264" w:lineRule="auto"/>
                    <w:ind w:left="0" w:right="0"/>
                    <w:jc w:val="center"/>
                    <w:rPr>
                      <w:rFonts w:hint="default" w:ascii="Times New Roman" w:hAnsi="Times New Roman" w:eastAsia="宋体" w:cs="Times New Roman"/>
                      <w:snapToGrid w:val="0"/>
                      <w:kern w:val="2"/>
                      <w:sz w:val="18"/>
                      <w:szCs w:val="18"/>
                      <w:highlight w:val="none"/>
                      <w:lang w:val="en-US" w:eastAsia="zh-CN" w:bidi="ar-SA"/>
                    </w:rPr>
                  </w:pPr>
                  <w:r>
                    <w:rPr>
                      <w:rFonts w:hint="eastAsia" w:ascii="Times New Roman" w:hAnsi="Times New Roman" w:eastAsia="宋体" w:cs="Times New Roman"/>
                      <w:snapToGrid w:val="0"/>
                      <w:sz w:val="18"/>
                      <w:szCs w:val="18"/>
                      <w:highlight w:val="none"/>
                    </w:rPr>
                    <w:t>一般排放口</w:t>
                  </w:r>
                </w:p>
              </w:tc>
            </w:tr>
            <w:tr w14:paraId="476401D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134" w:hRule="atLeast"/>
                <w:jc w:val="center"/>
              </w:trPr>
              <w:tc>
                <w:tcPr>
                  <w:tcW w:w="314" w:type="pct"/>
                  <w:vMerge w:val="continue"/>
                  <w:tcBorders>
                    <w:left w:val="single" w:color="auto" w:sz="4" w:space="0"/>
                    <w:right w:val="single" w:color="auto" w:sz="4" w:space="0"/>
                  </w:tcBorders>
                  <w:tcMar>
                    <w:left w:w="57" w:type="dxa"/>
                    <w:right w:w="57" w:type="dxa"/>
                  </w:tcMar>
                  <w:vAlign w:val="center"/>
                </w:tcPr>
                <w:p w14:paraId="017D9479">
                  <w:pPr>
                    <w:keepNext w:val="0"/>
                    <w:keepLines w:val="0"/>
                    <w:suppressLineNumbers w:val="0"/>
                    <w:adjustRightInd w:val="0"/>
                    <w:snapToGrid w:val="0"/>
                    <w:spacing w:before="0" w:beforeAutospacing="0" w:after="0" w:afterAutospacing="0" w:line="264" w:lineRule="auto"/>
                    <w:ind w:left="0" w:right="0"/>
                    <w:jc w:val="center"/>
                    <w:rPr>
                      <w:rFonts w:hint="eastAsia" w:ascii="Times New Roman" w:hAnsi="Times New Roman" w:eastAsia="宋体" w:cs="Times New Roman"/>
                      <w:snapToGrid w:val="0"/>
                      <w:sz w:val="18"/>
                      <w:szCs w:val="18"/>
                      <w:highlight w:val="none"/>
                      <w:lang w:val="en-US" w:eastAsia="zh-CN"/>
                    </w:rPr>
                  </w:pPr>
                </w:p>
              </w:tc>
              <w:tc>
                <w:tcPr>
                  <w:tcW w:w="513" w:type="pct"/>
                  <w:tcBorders>
                    <w:top w:val="single" w:color="auto" w:sz="4" w:space="0"/>
                    <w:left w:val="single" w:color="auto" w:sz="4" w:space="0"/>
                    <w:bottom w:val="single" w:color="auto" w:sz="4" w:space="0"/>
                    <w:right w:val="single" w:color="auto" w:sz="4" w:space="0"/>
                  </w:tcBorders>
                  <w:tcMar>
                    <w:left w:w="57" w:type="dxa"/>
                    <w:right w:w="57" w:type="dxa"/>
                  </w:tcMar>
                  <w:vAlign w:val="center"/>
                </w:tcPr>
                <w:p w14:paraId="2F692941">
                  <w:pPr>
                    <w:keepNext w:val="0"/>
                    <w:keepLines w:val="0"/>
                    <w:widowControl/>
                    <w:suppressLineNumbers w:val="0"/>
                    <w:adjustRightInd w:val="0"/>
                    <w:snapToGrid w:val="0"/>
                    <w:spacing w:before="0" w:beforeAutospacing="0" w:after="0" w:afterAutospacing="0" w:line="264" w:lineRule="auto"/>
                    <w:ind w:left="0" w:right="0"/>
                    <w:jc w:val="center"/>
                    <w:rPr>
                      <w:rFonts w:hint="default" w:ascii="Times New Roman" w:hAnsi="Times New Roman" w:eastAsia="宋体" w:cs="Times New Roman"/>
                      <w:snapToGrid w:val="0"/>
                      <w:sz w:val="18"/>
                      <w:szCs w:val="18"/>
                      <w:highlight w:val="none"/>
                      <w:lang w:val="en-US"/>
                    </w:rPr>
                  </w:pPr>
                  <w:r>
                    <w:rPr>
                      <w:rFonts w:hint="eastAsia" w:ascii="Times New Roman" w:hAnsi="Times New Roman" w:eastAsia="宋体" w:cs="Times New Roman"/>
                      <w:snapToGrid w:val="0"/>
                      <w:sz w:val="18"/>
                      <w:szCs w:val="18"/>
                      <w:highlight w:val="none"/>
                    </w:rPr>
                    <w:t>饲养笼清洗、</w:t>
                  </w:r>
                  <w:r>
                    <w:rPr>
                      <w:rFonts w:hint="eastAsia" w:ascii="Times New Roman" w:hAnsi="Times New Roman" w:eastAsia="宋体" w:cs="Times New Roman"/>
                      <w:b w:val="0"/>
                      <w:bCs w:val="0"/>
                      <w:color w:val="000000"/>
                      <w:kern w:val="0"/>
                      <w:sz w:val="18"/>
                      <w:szCs w:val="18"/>
                      <w:highlight w:val="none"/>
                      <w:lang w:val="en-US" w:eastAsia="zh-CN"/>
                    </w:rPr>
                    <w:t>洗笼及动物洗烘</w:t>
                  </w:r>
                  <w:r>
                    <w:rPr>
                      <w:rFonts w:hint="eastAsia" w:ascii="Times New Roman" w:hAnsi="Times New Roman" w:eastAsia="宋体" w:cs="Times New Roman"/>
                      <w:snapToGrid w:val="0"/>
                      <w:sz w:val="18"/>
                      <w:szCs w:val="18"/>
                      <w:highlight w:val="none"/>
                    </w:rPr>
                    <w:t>、</w:t>
                  </w:r>
                  <w:r>
                    <w:rPr>
                      <w:rFonts w:hint="eastAsia" w:ascii="Times New Roman" w:hAnsi="Times New Roman" w:eastAsia="宋体" w:cs="Times New Roman"/>
                      <w:b w:val="0"/>
                      <w:bCs w:val="0"/>
                      <w:color w:val="000000"/>
                      <w:kern w:val="0"/>
                      <w:sz w:val="18"/>
                      <w:szCs w:val="18"/>
                      <w:highlight w:val="none"/>
                      <w:lang w:val="en-US" w:eastAsia="zh-CN"/>
                    </w:rPr>
                    <w:t>实验室设备清洗、手术台、</w:t>
                  </w:r>
                  <w:r>
                    <w:rPr>
                      <w:rFonts w:hint="eastAsia" w:cs="Times New Roman"/>
                      <w:b w:val="0"/>
                      <w:bCs w:val="0"/>
                      <w:color w:val="000000"/>
                      <w:kern w:val="0"/>
                      <w:sz w:val="18"/>
                      <w:szCs w:val="18"/>
                      <w:highlight w:val="none"/>
                      <w:lang w:val="en-US" w:eastAsia="zh-CN"/>
                    </w:rPr>
                    <w:t>P2实验室灭菌、</w:t>
                  </w:r>
                  <w:r>
                    <w:rPr>
                      <w:rFonts w:hint="eastAsia" w:ascii="Times New Roman" w:hAnsi="Times New Roman" w:eastAsia="宋体" w:cs="Times New Roman"/>
                      <w:b w:val="0"/>
                      <w:bCs w:val="0"/>
                      <w:color w:val="000000"/>
                      <w:kern w:val="0"/>
                      <w:sz w:val="18"/>
                      <w:szCs w:val="18"/>
                      <w:highlight w:val="none"/>
                      <w:lang w:val="en-US" w:eastAsia="zh-CN"/>
                    </w:rPr>
                    <w:t>废气处理</w:t>
                  </w:r>
                  <w:r>
                    <w:rPr>
                      <w:rFonts w:hint="eastAsia" w:cs="Times New Roman"/>
                      <w:b w:val="0"/>
                      <w:bCs w:val="0"/>
                      <w:color w:val="000000"/>
                      <w:kern w:val="0"/>
                      <w:sz w:val="18"/>
                      <w:szCs w:val="18"/>
                      <w:highlight w:val="none"/>
                      <w:lang w:val="en-US" w:eastAsia="zh-CN"/>
                    </w:rPr>
                    <w:t>、动物饲养</w:t>
                  </w:r>
                </w:p>
              </w:tc>
              <w:tc>
                <w:tcPr>
                  <w:tcW w:w="628" w:type="pct"/>
                  <w:tcBorders>
                    <w:top w:val="single" w:color="auto" w:sz="4" w:space="0"/>
                    <w:left w:val="single" w:color="auto" w:sz="4" w:space="0"/>
                    <w:bottom w:val="single" w:color="auto" w:sz="4" w:space="0"/>
                    <w:right w:val="single" w:color="auto" w:sz="4" w:space="0"/>
                  </w:tcBorders>
                  <w:tcMar>
                    <w:left w:w="57" w:type="dxa"/>
                    <w:right w:w="57" w:type="dxa"/>
                  </w:tcMar>
                  <w:vAlign w:val="center"/>
                </w:tcPr>
                <w:p w14:paraId="70CC56F5">
                  <w:pPr>
                    <w:keepNext w:val="0"/>
                    <w:keepLines w:val="0"/>
                    <w:widowControl/>
                    <w:suppressLineNumbers w:val="0"/>
                    <w:adjustRightInd w:val="0"/>
                    <w:snapToGrid w:val="0"/>
                    <w:spacing w:before="0" w:beforeAutospacing="0" w:after="0" w:afterAutospacing="0" w:line="264" w:lineRule="auto"/>
                    <w:ind w:left="0" w:right="0"/>
                    <w:jc w:val="center"/>
                    <w:rPr>
                      <w:rFonts w:hint="default" w:ascii="Times New Roman" w:hAnsi="Times New Roman" w:eastAsia="宋体" w:cs="Times New Roman"/>
                      <w:snapToGrid w:val="0"/>
                      <w:sz w:val="18"/>
                      <w:szCs w:val="18"/>
                      <w:highlight w:val="none"/>
                      <w:lang w:val="en-US"/>
                    </w:rPr>
                  </w:pPr>
                  <w:r>
                    <w:rPr>
                      <w:rFonts w:hint="eastAsia" w:ascii="Times New Roman" w:hAnsi="Times New Roman" w:eastAsia="宋体" w:cs="Times New Roman"/>
                      <w:b w:val="0"/>
                      <w:bCs w:val="0"/>
                      <w:color w:val="000000"/>
                      <w:kern w:val="0"/>
                      <w:sz w:val="18"/>
                      <w:szCs w:val="18"/>
                      <w:highlight w:val="none"/>
                      <w:lang w:val="en-US" w:eastAsia="zh-CN"/>
                    </w:rPr>
                    <w:t>饲养间清洗废水、洗笼及动物洗烘</w:t>
                  </w:r>
                  <w:r>
                    <w:rPr>
                      <w:rFonts w:hint="default" w:ascii="Times New Roman" w:hAnsi="Times New Roman" w:eastAsia="宋体" w:cs="Times New Roman"/>
                      <w:b w:val="0"/>
                      <w:bCs w:val="0"/>
                      <w:color w:val="000000"/>
                      <w:kern w:val="0"/>
                      <w:sz w:val="18"/>
                      <w:szCs w:val="18"/>
                      <w:highlight w:val="none"/>
                    </w:rPr>
                    <w:t>废水</w:t>
                  </w:r>
                  <w:r>
                    <w:rPr>
                      <w:rFonts w:hint="eastAsia" w:ascii="Times New Roman" w:hAnsi="Times New Roman" w:eastAsia="宋体" w:cs="Times New Roman"/>
                      <w:b w:val="0"/>
                      <w:bCs w:val="0"/>
                      <w:color w:val="000000"/>
                      <w:kern w:val="0"/>
                      <w:sz w:val="18"/>
                      <w:szCs w:val="18"/>
                      <w:highlight w:val="none"/>
                      <w:lang w:eastAsia="zh-CN"/>
                    </w:rPr>
                    <w:t>、</w:t>
                  </w:r>
                  <w:r>
                    <w:rPr>
                      <w:rFonts w:hint="eastAsia" w:ascii="Times New Roman" w:hAnsi="Times New Roman" w:eastAsia="宋体" w:cs="Times New Roman"/>
                      <w:b w:val="0"/>
                      <w:bCs w:val="0"/>
                      <w:color w:val="000000"/>
                      <w:kern w:val="0"/>
                      <w:sz w:val="18"/>
                      <w:szCs w:val="18"/>
                      <w:highlight w:val="none"/>
                      <w:lang w:val="en-US" w:eastAsia="zh-CN"/>
                    </w:rPr>
                    <w:t>实验室设备清洗废水、手术台废水、废气喷淋废水</w:t>
                  </w:r>
                  <w:r>
                    <w:rPr>
                      <w:rFonts w:hint="eastAsia" w:cs="Times New Roman"/>
                      <w:b w:val="0"/>
                      <w:bCs w:val="0"/>
                      <w:color w:val="000000"/>
                      <w:kern w:val="0"/>
                      <w:sz w:val="18"/>
                      <w:szCs w:val="18"/>
                      <w:highlight w:val="none"/>
                      <w:lang w:val="en-US" w:eastAsia="zh-CN"/>
                    </w:rPr>
                    <w:t>、P2实验室灭菌废水、动物尿液</w:t>
                  </w:r>
                </w:p>
              </w:tc>
              <w:tc>
                <w:tcPr>
                  <w:tcW w:w="365" w:type="pct"/>
                  <w:tcBorders>
                    <w:top w:val="single" w:color="auto" w:sz="4" w:space="0"/>
                    <w:left w:val="single" w:color="auto" w:sz="4" w:space="0"/>
                    <w:bottom w:val="single" w:color="auto" w:sz="4" w:space="0"/>
                    <w:right w:val="single" w:color="auto" w:sz="4" w:space="0"/>
                  </w:tcBorders>
                  <w:vAlign w:val="center"/>
                </w:tcPr>
                <w:p w14:paraId="5FAF0928">
                  <w:pPr>
                    <w:keepNext w:val="0"/>
                    <w:keepLines w:val="0"/>
                    <w:widowControl/>
                    <w:suppressLineNumbers w:val="0"/>
                    <w:adjustRightInd w:val="0"/>
                    <w:snapToGrid w:val="0"/>
                    <w:spacing w:before="0" w:beforeAutospacing="0" w:after="0" w:afterAutospacing="0" w:line="264" w:lineRule="auto"/>
                    <w:ind w:left="0" w:right="0"/>
                    <w:jc w:val="center"/>
                    <w:rPr>
                      <w:rFonts w:hint="default" w:ascii="Times New Roman" w:hAnsi="Times New Roman" w:eastAsia="宋体" w:cs="Times New Roman"/>
                      <w:snapToGrid w:val="0"/>
                      <w:sz w:val="18"/>
                      <w:szCs w:val="18"/>
                      <w:highlight w:val="none"/>
                    </w:rPr>
                  </w:pPr>
                  <w:r>
                    <w:rPr>
                      <w:rFonts w:hint="default" w:ascii="Times New Roman" w:hAnsi="Times New Roman" w:eastAsia="宋体" w:cs="Times New Roman"/>
                      <w:snapToGrid w:val="0"/>
                      <w:sz w:val="18"/>
                      <w:szCs w:val="18"/>
                      <w:highlight w:val="none"/>
                    </w:rPr>
                    <w:t>COD</w:t>
                  </w:r>
                  <w:r>
                    <w:rPr>
                      <w:rFonts w:hint="default" w:ascii="Times New Roman" w:hAnsi="Times New Roman" w:eastAsia="宋体" w:cs="Times New Roman"/>
                      <w:snapToGrid w:val="0"/>
                      <w:sz w:val="18"/>
                      <w:szCs w:val="18"/>
                      <w:highlight w:val="none"/>
                      <w:vertAlign w:val="subscript"/>
                    </w:rPr>
                    <w:t>Cr</w:t>
                  </w:r>
                  <w:r>
                    <w:rPr>
                      <w:rFonts w:hint="eastAsia" w:ascii="Times New Roman" w:hAnsi="Times New Roman" w:eastAsia="宋体" w:cs="Times New Roman"/>
                      <w:snapToGrid w:val="0"/>
                      <w:sz w:val="18"/>
                      <w:szCs w:val="18"/>
                      <w:highlight w:val="none"/>
                    </w:rPr>
                    <w:t>、</w:t>
                  </w:r>
                  <w:r>
                    <w:rPr>
                      <w:rFonts w:hint="default" w:ascii="Times New Roman" w:hAnsi="Times New Roman" w:eastAsia="宋体" w:cs="Times New Roman"/>
                      <w:snapToGrid w:val="0"/>
                      <w:sz w:val="18"/>
                      <w:szCs w:val="18"/>
                      <w:highlight w:val="none"/>
                    </w:rPr>
                    <w:t>NH</w:t>
                  </w:r>
                  <w:r>
                    <w:rPr>
                      <w:rFonts w:hint="default" w:ascii="Times New Roman" w:hAnsi="Times New Roman" w:eastAsia="宋体" w:cs="Times New Roman"/>
                      <w:snapToGrid w:val="0"/>
                      <w:sz w:val="18"/>
                      <w:szCs w:val="18"/>
                      <w:highlight w:val="none"/>
                      <w:vertAlign w:val="subscript"/>
                    </w:rPr>
                    <w:t>3</w:t>
                  </w:r>
                  <w:r>
                    <w:rPr>
                      <w:rFonts w:hint="default" w:ascii="Times New Roman" w:hAnsi="Times New Roman" w:eastAsia="宋体" w:cs="Times New Roman"/>
                      <w:snapToGrid w:val="0"/>
                      <w:sz w:val="18"/>
                      <w:szCs w:val="18"/>
                      <w:highlight w:val="none"/>
                    </w:rPr>
                    <w:t>-N</w:t>
                  </w:r>
                  <w:r>
                    <w:rPr>
                      <w:rFonts w:hint="eastAsia" w:cs="Times New Roman"/>
                      <w:snapToGrid w:val="0"/>
                      <w:sz w:val="18"/>
                      <w:szCs w:val="18"/>
                      <w:highlight w:val="none"/>
                      <w:lang w:eastAsia="zh-CN"/>
                    </w:rPr>
                    <w:t>、</w:t>
                  </w:r>
                  <w:r>
                    <w:rPr>
                      <w:rFonts w:hint="eastAsia" w:cs="Times New Roman"/>
                      <w:snapToGrid w:val="0"/>
                      <w:sz w:val="18"/>
                      <w:szCs w:val="18"/>
                      <w:highlight w:val="none"/>
                      <w:lang w:val="en-US" w:eastAsia="zh-CN"/>
                    </w:rPr>
                    <w:t>TP</w:t>
                  </w:r>
                  <w:r>
                    <w:rPr>
                      <w:rFonts w:hint="eastAsia" w:ascii="Times New Roman" w:hAnsi="Times New Roman" w:eastAsia="宋体" w:cs="Times New Roman"/>
                      <w:snapToGrid w:val="0"/>
                      <w:sz w:val="18"/>
                      <w:szCs w:val="18"/>
                      <w:highlight w:val="none"/>
                    </w:rPr>
                    <w:t>、</w:t>
                  </w:r>
                  <w:r>
                    <w:rPr>
                      <w:rFonts w:hint="eastAsia" w:cs="Times New Roman"/>
                      <w:snapToGrid w:val="0"/>
                      <w:sz w:val="18"/>
                      <w:szCs w:val="18"/>
                      <w:highlight w:val="none"/>
                      <w:lang w:val="en-US" w:eastAsia="zh-CN"/>
                    </w:rPr>
                    <w:t>TN、</w:t>
                  </w:r>
                  <w:r>
                    <w:rPr>
                      <w:rFonts w:hint="eastAsia" w:ascii="Times New Roman" w:hAnsi="Times New Roman" w:eastAsia="宋体" w:cs="Times New Roman"/>
                      <w:snapToGrid w:val="0"/>
                      <w:sz w:val="18"/>
                      <w:szCs w:val="18"/>
                      <w:highlight w:val="none"/>
                    </w:rPr>
                    <w:t>SS、粪大肠菌群数</w:t>
                  </w:r>
                </w:p>
              </w:tc>
              <w:tc>
                <w:tcPr>
                  <w:tcW w:w="414" w:type="pct"/>
                  <w:vMerge w:val="restart"/>
                  <w:tcBorders>
                    <w:left w:val="single" w:color="auto" w:sz="4" w:space="0"/>
                    <w:right w:val="single" w:color="auto" w:sz="4" w:space="0"/>
                  </w:tcBorders>
                  <w:tcMar>
                    <w:left w:w="57" w:type="dxa"/>
                    <w:right w:w="57" w:type="dxa"/>
                  </w:tcMar>
                  <w:vAlign w:val="center"/>
                </w:tcPr>
                <w:p w14:paraId="1AEFFD15">
                  <w:pPr>
                    <w:keepNext w:val="0"/>
                    <w:keepLines w:val="0"/>
                    <w:widowControl/>
                    <w:suppressLineNumbers w:val="0"/>
                    <w:adjustRightInd w:val="0"/>
                    <w:snapToGrid w:val="0"/>
                    <w:spacing w:before="0" w:beforeAutospacing="0" w:after="0" w:afterAutospacing="0" w:line="264" w:lineRule="auto"/>
                    <w:ind w:left="0" w:right="0"/>
                    <w:jc w:val="center"/>
                    <w:rPr>
                      <w:rFonts w:hint="default" w:ascii="Times New Roman" w:hAnsi="Times New Roman" w:eastAsia="宋体" w:cs="Times New Roman"/>
                      <w:snapToGrid w:val="0"/>
                      <w:sz w:val="18"/>
                      <w:szCs w:val="18"/>
                      <w:highlight w:val="none"/>
                      <w:lang w:val="en-US" w:eastAsia="zh-CN"/>
                    </w:rPr>
                  </w:pPr>
                  <w:r>
                    <w:rPr>
                      <w:rFonts w:hint="eastAsia" w:ascii="Times New Roman" w:hAnsi="Times New Roman" w:eastAsia="宋体" w:cs="Times New Roman"/>
                      <w:snapToGrid w:val="0"/>
                      <w:sz w:val="18"/>
                      <w:szCs w:val="18"/>
                      <w:highlight w:val="none"/>
                      <w:lang w:val="en-US" w:eastAsia="zh-CN"/>
                    </w:rPr>
                    <w:t>污水处理站</w:t>
                  </w:r>
                </w:p>
              </w:tc>
              <w:tc>
                <w:tcPr>
                  <w:tcW w:w="360" w:type="pct"/>
                  <w:vMerge w:val="restart"/>
                  <w:tcBorders>
                    <w:left w:val="single" w:color="auto" w:sz="4" w:space="0"/>
                    <w:right w:val="single" w:color="auto" w:sz="4" w:space="0"/>
                  </w:tcBorders>
                  <w:tcMar>
                    <w:left w:w="57" w:type="dxa"/>
                    <w:right w:w="57" w:type="dxa"/>
                  </w:tcMar>
                  <w:vAlign w:val="center"/>
                </w:tcPr>
                <w:p w14:paraId="5D678049">
                  <w:pPr>
                    <w:keepNext w:val="0"/>
                    <w:keepLines w:val="0"/>
                    <w:widowControl/>
                    <w:suppressLineNumbers w:val="0"/>
                    <w:adjustRightInd w:val="0"/>
                    <w:snapToGrid w:val="0"/>
                    <w:spacing w:before="0" w:beforeAutospacing="0" w:after="0" w:afterAutospacing="0" w:line="264" w:lineRule="auto"/>
                    <w:ind w:left="0" w:right="0"/>
                    <w:jc w:val="center"/>
                    <w:rPr>
                      <w:rFonts w:hint="default" w:ascii="Times New Roman" w:hAnsi="Times New Roman" w:eastAsia="宋体" w:cs="Times New Roman"/>
                      <w:snapToGrid w:val="0"/>
                      <w:color w:val="auto"/>
                      <w:sz w:val="18"/>
                      <w:szCs w:val="18"/>
                      <w:highlight w:val="none"/>
                      <w:lang w:val="en-US" w:eastAsia="zh-CN"/>
                    </w:rPr>
                  </w:pPr>
                  <w:r>
                    <w:rPr>
                      <w:rFonts w:hint="default" w:ascii="Times New Roman" w:hAnsi="Times New Roman" w:cs="Times New Roman"/>
                      <w:b w:val="0"/>
                      <w:bCs/>
                      <w:color w:val="auto"/>
                      <w:sz w:val="18"/>
                      <w:szCs w:val="18"/>
                      <w:highlight w:val="none"/>
                      <w:lang w:eastAsia="zh-CN"/>
                    </w:rPr>
                    <w:t>人工格栅</w:t>
                  </w:r>
                  <w:r>
                    <w:rPr>
                      <w:rFonts w:hint="eastAsia" w:ascii="Times New Roman" w:hAnsi="Times New Roman" w:cs="Times New Roman"/>
                      <w:b w:val="0"/>
                      <w:bCs/>
                      <w:color w:val="auto"/>
                      <w:sz w:val="18"/>
                      <w:szCs w:val="18"/>
                      <w:highlight w:val="none"/>
                      <w:lang w:val="en-US" w:eastAsia="zh-CN"/>
                    </w:rPr>
                    <w:t>+</w:t>
                  </w:r>
                  <w:r>
                    <w:rPr>
                      <w:rFonts w:hint="eastAsia" w:cs="Times New Roman"/>
                      <w:b w:val="0"/>
                      <w:bCs/>
                      <w:color w:val="auto"/>
                      <w:sz w:val="18"/>
                      <w:szCs w:val="18"/>
                      <w:highlight w:val="none"/>
                      <w:lang w:val="en-US" w:eastAsia="zh-CN"/>
                    </w:rPr>
                    <w:t>收集</w:t>
                  </w:r>
                  <w:r>
                    <w:rPr>
                      <w:rFonts w:hint="eastAsia" w:ascii="Times New Roman" w:hAnsi="Times New Roman" w:cs="Times New Roman"/>
                      <w:b w:val="0"/>
                      <w:bCs/>
                      <w:color w:val="auto"/>
                      <w:sz w:val="18"/>
                      <w:szCs w:val="18"/>
                      <w:highlight w:val="none"/>
                      <w:lang w:eastAsia="zh-CN"/>
                    </w:rPr>
                    <w:t>池</w:t>
                  </w:r>
                  <w:r>
                    <w:rPr>
                      <w:rFonts w:hint="eastAsia" w:cs="Times New Roman"/>
                      <w:b w:val="0"/>
                      <w:bCs/>
                      <w:color w:val="auto"/>
                      <w:sz w:val="18"/>
                      <w:szCs w:val="18"/>
                      <w:highlight w:val="none"/>
                      <w:lang w:val="en-US" w:eastAsia="zh-CN"/>
                    </w:rPr>
                    <w:t>+反应池</w:t>
                  </w:r>
                  <w:r>
                    <w:rPr>
                      <w:rFonts w:hint="eastAsia" w:ascii="Times New Roman" w:hAnsi="Times New Roman" w:cs="Times New Roman"/>
                      <w:b w:val="0"/>
                      <w:bCs/>
                      <w:color w:val="auto"/>
                      <w:sz w:val="18"/>
                      <w:szCs w:val="18"/>
                      <w:highlight w:val="none"/>
                      <w:lang w:val="en-US" w:eastAsia="zh-CN"/>
                    </w:rPr>
                    <w:t>+初沉池</w:t>
                  </w:r>
                  <w:r>
                    <w:rPr>
                      <w:rFonts w:hint="eastAsia" w:cs="Times New Roman"/>
                      <w:b w:val="0"/>
                      <w:bCs/>
                      <w:color w:val="auto"/>
                      <w:sz w:val="18"/>
                      <w:szCs w:val="18"/>
                      <w:highlight w:val="none"/>
                      <w:lang w:val="en-US" w:eastAsia="zh-CN"/>
                    </w:rPr>
                    <w:t>+水解池</w:t>
                  </w:r>
                  <w:r>
                    <w:rPr>
                      <w:rFonts w:hint="eastAsia" w:ascii="Times New Roman" w:hAnsi="Times New Roman" w:cs="Times New Roman"/>
                      <w:b w:val="0"/>
                      <w:bCs/>
                      <w:color w:val="auto"/>
                      <w:sz w:val="18"/>
                      <w:szCs w:val="18"/>
                      <w:highlight w:val="none"/>
                      <w:lang w:val="en-US" w:eastAsia="zh-CN"/>
                    </w:rPr>
                    <w:t>+</w:t>
                  </w:r>
                  <w:r>
                    <w:rPr>
                      <w:rFonts w:hint="eastAsia" w:cs="Times New Roman"/>
                      <w:b w:val="0"/>
                      <w:bCs/>
                      <w:color w:val="auto"/>
                      <w:sz w:val="18"/>
                      <w:szCs w:val="18"/>
                      <w:highlight w:val="none"/>
                      <w:lang w:val="en-US" w:eastAsia="zh-CN"/>
                    </w:rPr>
                    <w:t>接触氧化池</w:t>
                  </w:r>
                  <w:r>
                    <w:rPr>
                      <w:rFonts w:hint="default" w:ascii="Times New Roman" w:hAnsi="Times New Roman" w:eastAsia="宋体" w:cs="Times New Roman"/>
                      <w:b w:val="0"/>
                      <w:bCs/>
                      <w:color w:val="auto"/>
                      <w:sz w:val="18"/>
                      <w:szCs w:val="18"/>
                      <w:highlight w:val="none"/>
                    </w:rPr>
                    <w:t>+二沉池</w:t>
                  </w:r>
                  <w:r>
                    <w:rPr>
                      <w:rFonts w:hint="eastAsia" w:ascii="Times New Roman" w:hAnsi="Times New Roman" w:eastAsia="宋体" w:cs="Times New Roman"/>
                      <w:b w:val="0"/>
                      <w:bCs/>
                      <w:color w:val="auto"/>
                      <w:sz w:val="18"/>
                      <w:szCs w:val="18"/>
                      <w:highlight w:val="none"/>
                      <w:lang w:val="en-US" w:eastAsia="zh-CN"/>
                    </w:rPr>
                    <w:t>+消毒池</w:t>
                  </w:r>
                </w:p>
              </w:tc>
              <w:tc>
                <w:tcPr>
                  <w:tcW w:w="330" w:type="pct"/>
                  <w:vMerge w:val="restart"/>
                  <w:tcBorders>
                    <w:left w:val="single" w:color="auto" w:sz="4" w:space="0"/>
                    <w:right w:val="single" w:color="auto" w:sz="4" w:space="0"/>
                  </w:tcBorders>
                  <w:tcMar>
                    <w:left w:w="57" w:type="dxa"/>
                    <w:right w:w="57" w:type="dxa"/>
                  </w:tcMar>
                  <w:vAlign w:val="center"/>
                </w:tcPr>
                <w:p w14:paraId="359BECD6">
                  <w:pPr>
                    <w:keepNext w:val="0"/>
                    <w:keepLines w:val="0"/>
                    <w:widowControl/>
                    <w:suppressLineNumbers w:val="0"/>
                    <w:adjustRightInd w:val="0"/>
                    <w:snapToGrid w:val="0"/>
                    <w:spacing w:before="0" w:beforeAutospacing="0" w:after="0" w:afterAutospacing="0" w:line="264" w:lineRule="auto"/>
                    <w:ind w:left="0" w:right="0"/>
                    <w:jc w:val="center"/>
                    <w:rPr>
                      <w:rFonts w:hint="default" w:ascii="Times New Roman" w:hAnsi="Times New Roman" w:eastAsia="宋体" w:cs="Times New Roman"/>
                      <w:snapToGrid w:val="0"/>
                      <w:color w:val="auto"/>
                      <w:sz w:val="18"/>
                      <w:szCs w:val="18"/>
                      <w:highlight w:val="none"/>
                      <w:lang w:val="en-US" w:eastAsia="zh-CN"/>
                    </w:rPr>
                  </w:pPr>
                  <w:r>
                    <w:rPr>
                      <w:rFonts w:hint="eastAsia" w:ascii="Times New Roman" w:hAnsi="Times New Roman" w:eastAsia="宋体" w:cs="Times New Roman"/>
                      <w:snapToGrid w:val="0"/>
                      <w:color w:val="auto"/>
                      <w:sz w:val="18"/>
                      <w:szCs w:val="18"/>
                      <w:highlight w:val="none"/>
                      <w:lang w:val="en-US" w:eastAsia="zh-CN"/>
                    </w:rPr>
                    <w:t>50</w:t>
                  </w:r>
                </w:p>
              </w:tc>
              <w:tc>
                <w:tcPr>
                  <w:tcW w:w="384" w:type="pct"/>
                  <w:vMerge w:val="restart"/>
                  <w:tcBorders>
                    <w:left w:val="single" w:color="auto" w:sz="4" w:space="0"/>
                    <w:right w:val="single" w:color="auto" w:sz="4" w:space="0"/>
                  </w:tcBorders>
                  <w:vAlign w:val="center"/>
                </w:tcPr>
                <w:p w14:paraId="2DA0E911">
                  <w:pPr>
                    <w:keepNext w:val="0"/>
                    <w:keepLines w:val="0"/>
                    <w:widowControl/>
                    <w:suppressLineNumbers w:val="0"/>
                    <w:adjustRightInd w:val="0"/>
                    <w:snapToGrid w:val="0"/>
                    <w:spacing w:before="0" w:beforeAutospacing="0" w:after="0" w:afterAutospacing="0" w:line="264" w:lineRule="auto"/>
                    <w:ind w:left="0" w:right="0"/>
                    <w:jc w:val="center"/>
                    <w:rPr>
                      <w:rFonts w:hint="default" w:ascii="Times New Roman" w:hAnsi="Times New Roman" w:eastAsia="宋体" w:cs="Times New Roman"/>
                      <w:snapToGrid w:val="0"/>
                      <w:sz w:val="18"/>
                      <w:szCs w:val="18"/>
                      <w:highlight w:val="none"/>
                    </w:rPr>
                  </w:pPr>
                  <w:r>
                    <w:rPr>
                      <w:rFonts w:hint="eastAsia" w:ascii="Times New Roman" w:hAnsi="Times New Roman" w:eastAsia="宋体" w:cs="Times New Roman"/>
                      <w:snapToGrid w:val="0"/>
                      <w:sz w:val="18"/>
                      <w:szCs w:val="18"/>
                      <w:highlight w:val="none"/>
                    </w:rPr>
                    <w:t>是</w:t>
                  </w:r>
                </w:p>
              </w:tc>
              <w:tc>
                <w:tcPr>
                  <w:tcW w:w="312" w:type="pct"/>
                  <w:vMerge w:val="continue"/>
                  <w:tcBorders>
                    <w:left w:val="single" w:color="auto" w:sz="4" w:space="0"/>
                    <w:right w:val="single" w:color="auto" w:sz="4" w:space="0"/>
                  </w:tcBorders>
                  <w:tcMar>
                    <w:left w:w="57" w:type="dxa"/>
                    <w:right w:w="57" w:type="dxa"/>
                  </w:tcMar>
                  <w:vAlign w:val="center"/>
                </w:tcPr>
                <w:p w14:paraId="2DBD82A4">
                  <w:pPr>
                    <w:keepNext w:val="0"/>
                    <w:keepLines w:val="0"/>
                    <w:widowControl/>
                    <w:suppressLineNumbers w:val="0"/>
                    <w:adjustRightInd w:val="0"/>
                    <w:snapToGrid w:val="0"/>
                    <w:spacing w:before="0" w:beforeAutospacing="0" w:after="0" w:afterAutospacing="0" w:line="264" w:lineRule="auto"/>
                    <w:ind w:left="0" w:right="0"/>
                    <w:rPr>
                      <w:rFonts w:hint="default" w:ascii="Times New Roman" w:hAnsi="Times New Roman" w:eastAsia="宋体" w:cs="Times New Roman"/>
                      <w:snapToGrid w:val="0"/>
                      <w:sz w:val="18"/>
                      <w:szCs w:val="18"/>
                      <w:highlight w:val="none"/>
                    </w:rPr>
                  </w:pPr>
                </w:p>
              </w:tc>
              <w:tc>
                <w:tcPr>
                  <w:tcW w:w="237" w:type="pct"/>
                  <w:vMerge w:val="continue"/>
                  <w:tcBorders>
                    <w:left w:val="single" w:color="auto" w:sz="4" w:space="0"/>
                    <w:right w:val="single" w:color="auto" w:sz="4" w:space="0"/>
                  </w:tcBorders>
                  <w:vAlign w:val="center"/>
                </w:tcPr>
                <w:p w14:paraId="18A9E20B">
                  <w:pPr>
                    <w:keepNext w:val="0"/>
                    <w:keepLines w:val="0"/>
                    <w:suppressLineNumbers w:val="0"/>
                    <w:adjustRightInd w:val="0"/>
                    <w:snapToGrid w:val="0"/>
                    <w:spacing w:before="0" w:beforeAutospacing="0" w:after="0" w:afterAutospacing="0" w:line="264" w:lineRule="auto"/>
                    <w:ind w:left="0" w:right="0"/>
                    <w:jc w:val="center"/>
                    <w:rPr>
                      <w:rFonts w:hint="default" w:ascii="Times New Roman" w:hAnsi="Times New Roman" w:eastAsia="宋体" w:cs="Times New Roman"/>
                      <w:snapToGrid w:val="0"/>
                      <w:sz w:val="18"/>
                      <w:szCs w:val="18"/>
                      <w:highlight w:val="none"/>
                    </w:rPr>
                  </w:pPr>
                </w:p>
              </w:tc>
              <w:tc>
                <w:tcPr>
                  <w:tcW w:w="312" w:type="pct"/>
                  <w:vMerge w:val="continue"/>
                  <w:tcBorders>
                    <w:left w:val="single" w:color="auto" w:sz="4" w:space="0"/>
                    <w:right w:val="single" w:color="auto" w:sz="4" w:space="0"/>
                  </w:tcBorders>
                  <w:vAlign w:val="center"/>
                </w:tcPr>
                <w:p w14:paraId="18171F33">
                  <w:pPr>
                    <w:keepNext w:val="0"/>
                    <w:keepLines w:val="0"/>
                    <w:suppressLineNumbers w:val="0"/>
                    <w:adjustRightInd w:val="0"/>
                    <w:snapToGrid w:val="0"/>
                    <w:spacing w:before="0" w:beforeAutospacing="0" w:after="0" w:afterAutospacing="0" w:line="264" w:lineRule="auto"/>
                    <w:ind w:left="0" w:right="0"/>
                    <w:jc w:val="center"/>
                    <w:rPr>
                      <w:rFonts w:hint="default" w:ascii="Times New Roman" w:hAnsi="Times New Roman" w:eastAsia="宋体" w:cs="Times New Roman"/>
                      <w:snapToGrid w:val="0"/>
                      <w:sz w:val="18"/>
                      <w:szCs w:val="18"/>
                      <w:highlight w:val="none"/>
                    </w:rPr>
                  </w:pPr>
                </w:p>
              </w:tc>
              <w:tc>
                <w:tcPr>
                  <w:tcW w:w="287" w:type="pct"/>
                  <w:vMerge w:val="continue"/>
                  <w:tcBorders>
                    <w:left w:val="single" w:color="auto" w:sz="4" w:space="0"/>
                    <w:right w:val="single" w:color="auto" w:sz="4" w:space="0"/>
                  </w:tcBorders>
                  <w:vAlign w:val="center"/>
                </w:tcPr>
                <w:p w14:paraId="551DCCDD">
                  <w:pPr>
                    <w:keepNext w:val="0"/>
                    <w:keepLines w:val="0"/>
                    <w:suppressLineNumbers w:val="0"/>
                    <w:adjustRightInd w:val="0"/>
                    <w:snapToGrid w:val="0"/>
                    <w:spacing w:before="0" w:beforeAutospacing="0" w:after="0" w:afterAutospacing="0" w:line="264" w:lineRule="auto"/>
                    <w:ind w:left="0" w:right="0"/>
                    <w:jc w:val="center"/>
                    <w:rPr>
                      <w:rFonts w:hint="default" w:ascii="Times New Roman" w:hAnsi="Times New Roman" w:eastAsia="宋体" w:cs="Times New Roman"/>
                      <w:snapToGrid w:val="0"/>
                      <w:sz w:val="18"/>
                      <w:szCs w:val="18"/>
                      <w:highlight w:val="none"/>
                    </w:rPr>
                  </w:pPr>
                </w:p>
              </w:tc>
              <w:tc>
                <w:tcPr>
                  <w:tcW w:w="267" w:type="pct"/>
                  <w:vMerge w:val="continue"/>
                  <w:tcBorders>
                    <w:left w:val="single" w:color="auto" w:sz="4" w:space="0"/>
                    <w:right w:val="single" w:color="auto" w:sz="4" w:space="0"/>
                  </w:tcBorders>
                  <w:vAlign w:val="center"/>
                </w:tcPr>
                <w:p w14:paraId="62EE0645">
                  <w:pPr>
                    <w:keepNext w:val="0"/>
                    <w:keepLines w:val="0"/>
                    <w:widowControl/>
                    <w:suppressLineNumbers w:val="0"/>
                    <w:adjustRightInd w:val="0"/>
                    <w:snapToGrid w:val="0"/>
                    <w:spacing w:before="0" w:beforeAutospacing="0" w:after="0" w:afterAutospacing="0" w:line="264" w:lineRule="auto"/>
                    <w:ind w:left="0" w:right="0"/>
                    <w:jc w:val="center"/>
                    <w:rPr>
                      <w:rFonts w:hint="default" w:ascii="Times New Roman" w:hAnsi="Times New Roman" w:eastAsia="宋体" w:cs="Times New Roman"/>
                      <w:snapToGrid w:val="0"/>
                      <w:sz w:val="18"/>
                      <w:szCs w:val="18"/>
                      <w:highlight w:val="none"/>
                    </w:rPr>
                  </w:pPr>
                </w:p>
              </w:tc>
              <w:tc>
                <w:tcPr>
                  <w:tcW w:w="273" w:type="pct"/>
                  <w:vMerge w:val="continue"/>
                  <w:tcBorders>
                    <w:left w:val="single" w:color="auto" w:sz="4" w:space="0"/>
                    <w:right w:val="single" w:color="auto" w:sz="4" w:space="0"/>
                  </w:tcBorders>
                  <w:vAlign w:val="center"/>
                </w:tcPr>
                <w:p w14:paraId="468AEDD5">
                  <w:pPr>
                    <w:keepNext w:val="0"/>
                    <w:keepLines w:val="0"/>
                    <w:widowControl/>
                    <w:suppressLineNumbers w:val="0"/>
                    <w:adjustRightInd w:val="0"/>
                    <w:snapToGrid w:val="0"/>
                    <w:spacing w:before="0" w:beforeAutospacing="0" w:after="0" w:afterAutospacing="0" w:line="264" w:lineRule="auto"/>
                    <w:ind w:left="0" w:right="0"/>
                    <w:jc w:val="center"/>
                    <w:rPr>
                      <w:rFonts w:hint="default" w:ascii="Times New Roman" w:hAnsi="Times New Roman" w:eastAsia="宋体" w:cs="Times New Roman"/>
                      <w:snapToGrid w:val="0"/>
                      <w:sz w:val="18"/>
                      <w:szCs w:val="18"/>
                      <w:highlight w:val="none"/>
                    </w:rPr>
                  </w:pPr>
                </w:p>
              </w:tc>
            </w:tr>
            <w:tr w14:paraId="157C027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134" w:hRule="atLeast"/>
                <w:jc w:val="center"/>
              </w:trPr>
              <w:tc>
                <w:tcPr>
                  <w:tcW w:w="314" w:type="pct"/>
                  <w:vMerge w:val="restart"/>
                  <w:tcBorders>
                    <w:left w:val="single" w:color="auto" w:sz="4" w:space="0"/>
                    <w:right w:val="single" w:color="auto" w:sz="4" w:space="0"/>
                  </w:tcBorders>
                  <w:tcMar>
                    <w:left w:w="57" w:type="dxa"/>
                    <w:right w:w="57" w:type="dxa"/>
                  </w:tcMar>
                  <w:vAlign w:val="center"/>
                </w:tcPr>
                <w:p w14:paraId="7DCEC3A2">
                  <w:pPr>
                    <w:keepNext w:val="0"/>
                    <w:keepLines w:val="0"/>
                    <w:suppressLineNumbers w:val="0"/>
                    <w:adjustRightInd w:val="0"/>
                    <w:snapToGrid w:val="0"/>
                    <w:spacing w:before="0" w:beforeAutospacing="0" w:after="0" w:afterAutospacing="0" w:line="264" w:lineRule="auto"/>
                    <w:ind w:left="0" w:right="0"/>
                    <w:jc w:val="center"/>
                    <w:rPr>
                      <w:rFonts w:hint="eastAsia" w:ascii="Times New Roman" w:hAnsi="Times New Roman" w:eastAsia="宋体" w:cs="Times New Roman"/>
                      <w:snapToGrid w:val="0"/>
                      <w:sz w:val="18"/>
                      <w:szCs w:val="18"/>
                      <w:highlight w:val="none"/>
                      <w:lang w:val="en-US" w:eastAsia="zh-CN"/>
                    </w:rPr>
                  </w:pPr>
                  <w:r>
                    <w:rPr>
                      <w:rFonts w:hint="eastAsia" w:ascii="Times New Roman" w:hAnsi="Times New Roman" w:eastAsia="宋体" w:cs="Times New Roman"/>
                      <w:snapToGrid w:val="0"/>
                      <w:sz w:val="18"/>
                      <w:szCs w:val="18"/>
                      <w:highlight w:val="none"/>
                      <w:lang w:val="en-US" w:eastAsia="zh-CN"/>
                    </w:rPr>
                    <w:t>科创</w:t>
                  </w:r>
                  <w:r>
                    <w:rPr>
                      <w:rFonts w:hint="eastAsia"/>
                      <w:kern w:val="0"/>
                      <w:sz w:val="18"/>
                      <w:szCs w:val="18"/>
                      <w:highlight w:val="none"/>
                      <w:lang w:val="en-US" w:eastAsia="zh-CN"/>
                    </w:rPr>
                    <w:t>综合</w:t>
                  </w:r>
                  <w:r>
                    <w:rPr>
                      <w:rFonts w:hint="eastAsia" w:ascii="Times New Roman" w:hAnsi="Times New Roman" w:eastAsia="宋体" w:cs="Times New Roman"/>
                      <w:snapToGrid w:val="0"/>
                      <w:sz w:val="18"/>
                      <w:szCs w:val="18"/>
                      <w:highlight w:val="none"/>
                      <w:lang w:val="en-US" w:eastAsia="zh-CN"/>
                    </w:rPr>
                    <w:t>楼</w:t>
                  </w:r>
                </w:p>
              </w:tc>
              <w:tc>
                <w:tcPr>
                  <w:tcW w:w="513" w:type="pct"/>
                  <w:tcBorders>
                    <w:top w:val="single" w:color="auto" w:sz="4" w:space="0"/>
                    <w:left w:val="single" w:color="auto" w:sz="4" w:space="0"/>
                    <w:bottom w:val="single" w:color="auto" w:sz="4" w:space="0"/>
                    <w:right w:val="single" w:color="auto" w:sz="4" w:space="0"/>
                  </w:tcBorders>
                  <w:tcMar>
                    <w:left w:w="57" w:type="dxa"/>
                    <w:right w:w="57" w:type="dxa"/>
                  </w:tcMar>
                  <w:vAlign w:val="center"/>
                </w:tcPr>
                <w:p w14:paraId="72C9CEC8">
                  <w:pPr>
                    <w:keepNext w:val="0"/>
                    <w:keepLines w:val="0"/>
                    <w:widowControl/>
                    <w:suppressLineNumbers w:val="0"/>
                    <w:adjustRightInd w:val="0"/>
                    <w:snapToGrid w:val="0"/>
                    <w:spacing w:before="0" w:beforeAutospacing="0" w:after="0" w:afterAutospacing="0" w:line="264" w:lineRule="auto"/>
                    <w:ind w:left="0" w:right="0"/>
                    <w:jc w:val="center"/>
                    <w:rPr>
                      <w:rFonts w:hint="default" w:ascii="Times New Roman" w:hAnsi="Times New Roman" w:eastAsia="宋体" w:cs="Times New Roman"/>
                      <w:snapToGrid w:val="0"/>
                      <w:sz w:val="18"/>
                      <w:szCs w:val="18"/>
                      <w:highlight w:val="none"/>
                      <w:lang w:val="en-US" w:eastAsia="zh-CN"/>
                    </w:rPr>
                  </w:pPr>
                  <w:r>
                    <w:rPr>
                      <w:rFonts w:hint="eastAsia" w:ascii="Times New Roman" w:hAnsi="Times New Roman" w:eastAsia="宋体" w:cs="Times New Roman"/>
                      <w:snapToGrid w:val="0"/>
                      <w:sz w:val="18"/>
                      <w:szCs w:val="18"/>
                      <w:highlight w:val="none"/>
                      <w:lang w:val="en-US" w:eastAsia="zh-CN"/>
                    </w:rPr>
                    <w:t>实验室设备清洗</w:t>
                  </w:r>
                </w:p>
              </w:tc>
              <w:tc>
                <w:tcPr>
                  <w:tcW w:w="628" w:type="pct"/>
                  <w:tcBorders>
                    <w:top w:val="single" w:color="auto" w:sz="4" w:space="0"/>
                    <w:left w:val="single" w:color="auto" w:sz="4" w:space="0"/>
                    <w:bottom w:val="single" w:color="auto" w:sz="4" w:space="0"/>
                    <w:right w:val="single" w:color="auto" w:sz="4" w:space="0"/>
                  </w:tcBorders>
                  <w:tcMar>
                    <w:left w:w="57" w:type="dxa"/>
                    <w:right w:w="57" w:type="dxa"/>
                  </w:tcMar>
                  <w:vAlign w:val="center"/>
                </w:tcPr>
                <w:p w14:paraId="39965CB1">
                  <w:pPr>
                    <w:keepNext w:val="0"/>
                    <w:keepLines w:val="0"/>
                    <w:widowControl/>
                    <w:suppressLineNumbers w:val="0"/>
                    <w:adjustRightInd w:val="0"/>
                    <w:snapToGrid w:val="0"/>
                    <w:spacing w:before="0" w:beforeAutospacing="0" w:after="0" w:afterAutospacing="0" w:line="264" w:lineRule="auto"/>
                    <w:ind w:left="0" w:right="0"/>
                    <w:jc w:val="center"/>
                    <w:rPr>
                      <w:rFonts w:hint="eastAsia" w:ascii="Times New Roman" w:hAnsi="Times New Roman" w:eastAsia="宋体" w:cs="Times New Roman"/>
                      <w:b w:val="0"/>
                      <w:bCs w:val="0"/>
                      <w:color w:val="000000"/>
                      <w:kern w:val="0"/>
                      <w:sz w:val="18"/>
                      <w:szCs w:val="18"/>
                      <w:highlight w:val="none"/>
                      <w:lang w:val="en-US" w:eastAsia="zh-CN"/>
                    </w:rPr>
                  </w:pPr>
                  <w:r>
                    <w:rPr>
                      <w:rFonts w:hint="eastAsia" w:ascii="Times New Roman" w:hAnsi="Times New Roman" w:eastAsia="宋体" w:cs="Times New Roman"/>
                      <w:snapToGrid w:val="0"/>
                      <w:sz w:val="18"/>
                      <w:szCs w:val="18"/>
                      <w:highlight w:val="none"/>
                      <w:lang w:val="en-US" w:eastAsia="zh-CN"/>
                    </w:rPr>
                    <w:t>实验室设备清洗</w:t>
                  </w:r>
                  <w:r>
                    <w:rPr>
                      <w:rFonts w:hint="eastAsia" w:ascii="Times New Roman" w:hAnsi="Times New Roman" w:eastAsia="宋体" w:cs="Times New Roman"/>
                      <w:b w:val="0"/>
                      <w:bCs w:val="0"/>
                      <w:color w:val="000000"/>
                      <w:kern w:val="0"/>
                      <w:sz w:val="18"/>
                      <w:szCs w:val="18"/>
                      <w:highlight w:val="none"/>
                      <w:lang w:val="en-US" w:eastAsia="zh-CN"/>
                    </w:rPr>
                    <w:t>废水</w:t>
                  </w:r>
                </w:p>
              </w:tc>
              <w:tc>
                <w:tcPr>
                  <w:tcW w:w="365" w:type="pct"/>
                  <w:tcBorders>
                    <w:top w:val="single" w:color="auto" w:sz="4" w:space="0"/>
                    <w:left w:val="single" w:color="auto" w:sz="4" w:space="0"/>
                    <w:bottom w:val="single" w:color="auto" w:sz="4" w:space="0"/>
                    <w:right w:val="single" w:color="auto" w:sz="4" w:space="0"/>
                  </w:tcBorders>
                  <w:vAlign w:val="center"/>
                </w:tcPr>
                <w:p w14:paraId="34C6CEA2">
                  <w:pPr>
                    <w:keepNext w:val="0"/>
                    <w:keepLines w:val="0"/>
                    <w:widowControl/>
                    <w:suppressLineNumbers w:val="0"/>
                    <w:adjustRightInd w:val="0"/>
                    <w:snapToGrid w:val="0"/>
                    <w:spacing w:before="0" w:beforeAutospacing="0" w:after="0" w:afterAutospacing="0" w:line="264" w:lineRule="auto"/>
                    <w:ind w:left="0" w:right="0"/>
                    <w:jc w:val="center"/>
                    <w:rPr>
                      <w:rFonts w:hint="default" w:ascii="Times New Roman" w:hAnsi="Times New Roman" w:eastAsia="宋体" w:cs="Times New Roman"/>
                      <w:snapToGrid w:val="0"/>
                      <w:sz w:val="18"/>
                      <w:szCs w:val="18"/>
                      <w:highlight w:val="none"/>
                      <w:lang w:val="en-US" w:eastAsia="zh-CN"/>
                    </w:rPr>
                  </w:pPr>
                  <w:r>
                    <w:rPr>
                      <w:rFonts w:hint="default" w:ascii="Times New Roman" w:hAnsi="Times New Roman" w:eastAsia="宋体" w:cs="Times New Roman"/>
                      <w:snapToGrid w:val="0"/>
                      <w:sz w:val="18"/>
                      <w:szCs w:val="18"/>
                      <w:highlight w:val="none"/>
                    </w:rPr>
                    <w:t>COD</w:t>
                  </w:r>
                  <w:r>
                    <w:rPr>
                      <w:rFonts w:hint="default" w:ascii="Times New Roman" w:hAnsi="Times New Roman" w:eastAsia="宋体" w:cs="Times New Roman"/>
                      <w:snapToGrid w:val="0"/>
                      <w:sz w:val="18"/>
                      <w:szCs w:val="18"/>
                      <w:highlight w:val="none"/>
                      <w:vertAlign w:val="subscript"/>
                    </w:rPr>
                    <w:t>Cr</w:t>
                  </w:r>
                  <w:r>
                    <w:rPr>
                      <w:rFonts w:hint="eastAsia" w:ascii="Times New Roman" w:hAnsi="Times New Roman" w:eastAsia="宋体" w:cs="Times New Roman"/>
                      <w:snapToGrid w:val="0"/>
                      <w:sz w:val="18"/>
                      <w:szCs w:val="18"/>
                      <w:highlight w:val="none"/>
                    </w:rPr>
                    <w:t>、</w:t>
                  </w:r>
                  <w:r>
                    <w:rPr>
                      <w:rFonts w:hint="eastAsia" w:ascii="Times New Roman" w:hAnsi="Times New Roman" w:eastAsia="宋体" w:cs="Times New Roman"/>
                      <w:snapToGrid w:val="0"/>
                      <w:sz w:val="18"/>
                      <w:szCs w:val="18"/>
                      <w:highlight w:val="none"/>
                      <w:lang w:val="en-US" w:eastAsia="zh-CN"/>
                    </w:rPr>
                    <w:t>BOD</w:t>
                  </w:r>
                  <w:r>
                    <w:rPr>
                      <w:rFonts w:hint="eastAsia" w:ascii="Times New Roman" w:hAnsi="Times New Roman" w:eastAsia="宋体" w:cs="Times New Roman"/>
                      <w:snapToGrid w:val="0"/>
                      <w:sz w:val="18"/>
                      <w:szCs w:val="18"/>
                      <w:highlight w:val="none"/>
                      <w:vertAlign w:val="subscript"/>
                      <w:lang w:val="en-US" w:eastAsia="zh-CN"/>
                    </w:rPr>
                    <w:t>5</w:t>
                  </w:r>
                  <w:r>
                    <w:rPr>
                      <w:rFonts w:hint="eastAsia" w:ascii="Times New Roman" w:hAnsi="Times New Roman" w:eastAsia="宋体" w:cs="Times New Roman"/>
                      <w:snapToGrid w:val="0"/>
                      <w:sz w:val="18"/>
                      <w:szCs w:val="18"/>
                      <w:highlight w:val="none"/>
                      <w:lang w:val="en-US" w:eastAsia="zh-CN"/>
                    </w:rPr>
                    <w:t>、</w:t>
                  </w:r>
                  <w:r>
                    <w:rPr>
                      <w:rFonts w:hint="eastAsia" w:cs="Times New Roman"/>
                      <w:snapToGrid w:val="0"/>
                      <w:sz w:val="18"/>
                      <w:szCs w:val="18"/>
                      <w:highlight w:val="none"/>
                      <w:lang w:val="en-US" w:eastAsia="zh-CN"/>
                    </w:rPr>
                    <w:t>SS、</w:t>
                  </w:r>
                  <w:r>
                    <w:rPr>
                      <w:rFonts w:hint="default" w:ascii="Times New Roman" w:hAnsi="Times New Roman" w:eastAsia="宋体" w:cs="Times New Roman"/>
                      <w:snapToGrid w:val="0"/>
                      <w:sz w:val="18"/>
                      <w:szCs w:val="18"/>
                      <w:highlight w:val="none"/>
                    </w:rPr>
                    <w:t>NH</w:t>
                  </w:r>
                  <w:r>
                    <w:rPr>
                      <w:rFonts w:hint="default" w:ascii="Times New Roman" w:hAnsi="Times New Roman" w:eastAsia="宋体" w:cs="Times New Roman"/>
                      <w:snapToGrid w:val="0"/>
                      <w:sz w:val="18"/>
                      <w:szCs w:val="18"/>
                      <w:highlight w:val="none"/>
                      <w:vertAlign w:val="subscript"/>
                    </w:rPr>
                    <w:t>3</w:t>
                  </w:r>
                  <w:r>
                    <w:rPr>
                      <w:rFonts w:hint="default" w:ascii="Times New Roman" w:hAnsi="Times New Roman" w:eastAsia="宋体" w:cs="Times New Roman"/>
                      <w:snapToGrid w:val="0"/>
                      <w:sz w:val="18"/>
                      <w:szCs w:val="18"/>
                      <w:highlight w:val="none"/>
                    </w:rPr>
                    <w:t>-N</w:t>
                  </w:r>
                  <w:r>
                    <w:rPr>
                      <w:rFonts w:hint="eastAsia" w:cs="Times New Roman"/>
                      <w:snapToGrid w:val="0"/>
                      <w:sz w:val="18"/>
                      <w:szCs w:val="18"/>
                      <w:highlight w:val="none"/>
                      <w:lang w:eastAsia="zh-CN"/>
                    </w:rPr>
                    <w:t>、</w:t>
                  </w:r>
                  <w:r>
                    <w:rPr>
                      <w:rFonts w:hint="eastAsia" w:cs="Times New Roman"/>
                      <w:snapToGrid w:val="0"/>
                      <w:sz w:val="18"/>
                      <w:szCs w:val="18"/>
                      <w:highlight w:val="none"/>
                      <w:lang w:val="en-US" w:eastAsia="zh-CN"/>
                    </w:rPr>
                    <w:t>LAS</w:t>
                  </w:r>
                </w:p>
              </w:tc>
              <w:tc>
                <w:tcPr>
                  <w:tcW w:w="414" w:type="pct"/>
                  <w:vMerge w:val="continue"/>
                  <w:tcBorders>
                    <w:left w:val="single" w:color="auto" w:sz="4" w:space="0"/>
                    <w:right w:val="single" w:color="auto" w:sz="4" w:space="0"/>
                  </w:tcBorders>
                  <w:tcMar>
                    <w:left w:w="57" w:type="dxa"/>
                    <w:right w:w="57" w:type="dxa"/>
                  </w:tcMar>
                  <w:vAlign w:val="center"/>
                </w:tcPr>
                <w:p w14:paraId="29F75FB6">
                  <w:pPr>
                    <w:keepNext w:val="0"/>
                    <w:keepLines w:val="0"/>
                    <w:widowControl/>
                    <w:suppressLineNumbers w:val="0"/>
                    <w:adjustRightInd w:val="0"/>
                    <w:snapToGrid w:val="0"/>
                    <w:spacing w:before="0" w:beforeAutospacing="0" w:after="0" w:afterAutospacing="0" w:line="264" w:lineRule="auto"/>
                    <w:ind w:left="0" w:right="0"/>
                    <w:jc w:val="center"/>
                    <w:rPr>
                      <w:rFonts w:hint="default" w:ascii="Times New Roman" w:hAnsi="Times New Roman" w:eastAsia="宋体" w:cs="Times New Roman"/>
                      <w:snapToGrid w:val="0"/>
                      <w:sz w:val="18"/>
                      <w:szCs w:val="18"/>
                      <w:highlight w:val="none"/>
                    </w:rPr>
                  </w:pPr>
                </w:p>
              </w:tc>
              <w:tc>
                <w:tcPr>
                  <w:tcW w:w="360" w:type="pct"/>
                  <w:vMerge w:val="continue"/>
                  <w:tcBorders>
                    <w:left w:val="single" w:color="auto" w:sz="4" w:space="0"/>
                    <w:right w:val="single" w:color="auto" w:sz="4" w:space="0"/>
                  </w:tcBorders>
                  <w:tcMar>
                    <w:left w:w="57" w:type="dxa"/>
                    <w:right w:w="57" w:type="dxa"/>
                  </w:tcMar>
                  <w:vAlign w:val="center"/>
                </w:tcPr>
                <w:p w14:paraId="44D2E9E0">
                  <w:pPr>
                    <w:keepNext w:val="0"/>
                    <w:keepLines w:val="0"/>
                    <w:widowControl/>
                    <w:suppressLineNumbers w:val="0"/>
                    <w:adjustRightInd w:val="0"/>
                    <w:snapToGrid w:val="0"/>
                    <w:spacing w:before="0" w:beforeAutospacing="0" w:after="0" w:afterAutospacing="0" w:line="264" w:lineRule="auto"/>
                    <w:ind w:left="0" w:right="0"/>
                    <w:jc w:val="center"/>
                    <w:rPr>
                      <w:rFonts w:hint="default" w:ascii="Times New Roman" w:hAnsi="Times New Roman" w:eastAsia="宋体" w:cs="Times New Roman"/>
                      <w:snapToGrid w:val="0"/>
                      <w:color w:val="FF0000"/>
                      <w:sz w:val="18"/>
                      <w:szCs w:val="18"/>
                      <w:highlight w:val="none"/>
                    </w:rPr>
                  </w:pPr>
                </w:p>
              </w:tc>
              <w:tc>
                <w:tcPr>
                  <w:tcW w:w="330" w:type="pct"/>
                  <w:vMerge w:val="continue"/>
                  <w:tcBorders>
                    <w:left w:val="single" w:color="auto" w:sz="4" w:space="0"/>
                    <w:right w:val="single" w:color="auto" w:sz="4" w:space="0"/>
                  </w:tcBorders>
                  <w:tcMar>
                    <w:left w:w="57" w:type="dxa"/>
                    <w:right w:w="57" w:type="dxa"/>
                  </w:tcMar>
                  <w:vAlign w:val="center"/>
                </w:tcPr>
                <w:p w14:paraId="2528D0FB">
                  <w:pPr>
                    <w:keepNext w:val="0"/>
                    <w:keepLines w:val="0"/>
                    <w:widowControl/>
                    <w:suppressLineNumbers w:val="0"/>
                    <w:adjustRightInd w:val="0"/>
                    <w:snapToGrid w:val="0"/>
                    <w:spacing w:before="0" w:beforeAutospacing="0" w:after="0" w:afterAutospacing="0" w:line="264" w:lineRule="auto"/>
                    <w:ind w:left="0" w:right="0"/>
                    <w:jc w:val="center"/>
                    <w:rPr>
                      <w:rFonts w:hint="eastAsia" w:ascii="Times New Roman" w:hAnsi="Times New Roman" w:eastAsia="宋体" w:cs="Times New Roman"/>
                      <w:snapToGrid w:val="0"/>
                      <w:sz w:val="18"/>
                      <w:szCs w:val="18"/>
                      <w:highlight w:val="none"/>
                      <w:lang w:val="en-US" w:eastAsia="zh-CN"/>
                    </w:rPr>
                  </w:pPr>
                </w:p>
              </w:tc>
              <w:tc>
                <w:tcPr>
                  <w:tcW w:w="384" w:type="pct"/>
                  <w:vMerge w:val="continue"/>
                  <w:tcBorders>
                    <w:left w:val="single" w:color="auto" w:sz="4" w:space="0"/>
                    <w:right w:val="single" w:color="auto" w:sz="4" w:space="0"/>
                  </w:tcBorders>
                  <w:vAlign w:val="center"/>
                </w:tcPr>
                <w:p w14:paraId="3778E775">
                  <w:pPr>
                    <w:keepNext w:val="0"/>
                    <w:keepLines w:val="0"/>
                    <w:widowControl/>
                    <w:suppressLineNumbers w:val="0"/>
                    <w:adjustRightInd w:val="0"/>
                    <w:snapToGrid w:val="0"/>
                    <w:spacing w:before="0" w:beforeAutospacing="0" w:after="0" w:afterAutospacing="0" w:line="264" w:lineRule="auto"/>
                    <w:ind w:left="0" w:right="0"/>
                    <w:jc w:val="center"/>
                    <w:rPr>
                      <w:rFonts w:hint="eastAsia" w:ascii="Times New Roman" w:hAnsi="Times New Roman" w:eastAsia="宋体" w:cs="Times New Roman"/>
                      <w:snapToGrid w:val="0"/>
                      <w:sz w:val="18"/>
                      <w:szCs w:val="18"/>
                      <w:highlight w:val="none"/>
                    </w:rPr>
                  </w:pPr>
                </w:p>
              </w:tc>
              <w:tc>
                <w:tcPr>
                  <w:tcW w:w="312" w:type="pct"/>
                  <w:vMerge w:val="continue"/>
                  <w:tcBorders>
                    <w:left w:val="single" w:color="auto" w:sz="4" w:space="0"/>
                    <w:right w:val="single" w:color="auto" w:sz="4" w:space="0"/>
                  </w:tcBorders>
                  <w:tcMar>
                    <w:left w:w="57" w:type="dxa"/>
                    <w:right w:w="57" w:type="dxa"/>
                  </w:tcMar>
                  <w:vAlign w:val="center"/>
                </w:tcPr>
                <w:p w14:paraId="2F0B7EC6">
                  <w:pPr>
                    <w:keepNext w:val="0"/>
                    <w:keepLines w:val="0"/>
                    <w:widowControl/>
                    <w:suppressLineNumbers w:val="0"/>
                    <w:adjustRightInd w:val="0"/>
                    <w:snapToGrid w:val="0"/>
                    <w:spacing w:before="0" w:beforeAutospacing="0" w:after="0" w:afterAutospacing="0" w:line="264" w:lineRule="auto"/>
                    <w:ind w:left="0" w:right="0"/>
                    <w:rPr>
                      <w:rFonts w:hint="default" w:ascii="Times New Roman" w:hAnsi="Times New Roman" w:eastAsia="宋体" w:cs="Times New Roman"/>
                      <w:snapToGrid w:val="0"/>
                      <w:sz w:val="18"/>
                      <w:szCs w:val="18"/>
                      <w:highlight w:val="none"/>
                    </w:rPr>
                  </w:pPr>
                </w:p>
              </w:tc>
              <w:tc>
                <w:tcPr>
                  <w:tcW w:w="237" w:type="pct"/>
                  <w:vMerge w:val="continue"/>
                  <w:tcBorders>
                    <w:left w:val="single" w:color="auto" w:sz="4" w:space="0"/>
                    <w:right w:val="single" w:color="auto" w:sz="4" w:space="0"/>
                  </w:tcBorders>
                  <w:vAlign w:val="center"/>
                </w:tcPr>
                <w:p w14:paraId="78F81C57">
                  <w:pPr>
                    <w:keepNext w:val="0"/>
                    <w:keepLines w:val="0"/>
                    <w:suppressLineNumbers w:val="0"/>
                    <w:adjustRightInd w:val="0"/>
                    <w:snapToGrid w:val="0"/>
                    <w:spacing w:before="0" w:beforeAutospacing="0" w:after="0" w:afterAutospacing="0" w:line="264" w:lineRule="auto"/>
                    <w:ind w:left="0" w:right="0"/>
                    <w:jc w:val="center"/>
                    <w:rPr>
                      <w:rFonts w:hint="default" w:ascii="Times New Roman" w:hAnsi="Times New Roman" w:eastAsia="宋体" w:cs="Times New Roman"/>
                      <w:snapToGrid w:val="0"/>
                      <w:sz w:val="18"/>
                      <w:szCs w:val="18"/>
                      <w:highlight w:val="none"/>
                    </w:rPr>
                  </w:pPr>
                </w:p>
              </w:tc>
              <w:tc>
                <w:tcPr>
                  <w:tcW w:w="312" w:type="pct"/>
                  <w:vMerge w:val="continue"/>
                  <w:tcBorders>
                    <w:left w:val="single" w:color="auto" w:sz="4" w:space="0"/>
                    <w:right w:val="single" w:color="auto" w:sz="4" w:space="0"/>
                  </w:tcBorders>
                  <w:vAlign w:val="center"/>
                </w:tcPr>
                <w:p w14:paraId="712FB740">
                  <w:pPr>
                    <w:keepNext w:val="0"/>
                    <w:keepLines w:val="0"/>
                    <w:suppressLineNumbers w:val="0"/>
                    <w:adjustRightInd w:val="0"/>
                    <w:snapToGrid w:val="0"/>
                    <w:spacing w:before="0" w:beforeAutospacing="0" w:after="0" w:afterAutospacing="0" w:line="264" w:lineRule="auto"/>
                    <w:ind w:left="0" w:right="0"/>
                    <w:jc w:val="center"/>
                    <w:rPr>
                      <w:rFonts w:hint="default" w:ascii="Times New Roman" w:hAnsi="Times New Roman" w:eastAsia="宋体" w:cs="Times New Roman"/>
                      <w:snapToGrid w:val="0"/>
                      <w:sz w:val="18"/>
                      <w:szCs w:val="18"/>
                      <w:highlight w:val="none"/>
                    </w:rPr>
                  </w:pPr>
                </w:p>
              </w:tc>
              <w:tc>
                <w:tcPr>
                  <w:tcW w:w="287" w:type="pct"/>
                  <w:vMerge w:val="continue"/>
                  <w:tcBorders>
                    <w:left w:val="single" w:color="auto" w:sz="4" w:space="0"/>
                    <w:right w:val="single" w:color="auto" w:sz="4" w:space="0"/>
                  </w:tcBorders>
                  <w:vAlign w:val="center"/>
                </w:tcPr>
                <w:p w14:paraId="0EC1D2CC">
                  <w:pPr>
                    <w:keepNext w:val="0"/>
                    <w:keepLines w:val="0"/>
                    <w:suppressLineNumbers w:val="0"/>
                    <w:adjustRightInd w:val="0"/>
                    <w:snapToGrid w:val="0"/>
                    <w:spacing w:before="0" w:beforeAutospacing="0" w:after="0" w:afterAutospacing="0" w:line="264" w:lineRule="auto"/>
                    <w:ind w:left="0" w:right="0"/>
                    <w:jc w:val="center"/>
                    <w:rPr>
                      <w:rFonts w:hint="default" w:ascii="Times New Roman" w:hAnsi="Times New Roman" w:eastAsia="宋体" w:cs="Times New Roman"/>
                      <w:snapToGrid w:val="0"/>
                      <w:sz w:val="18"/>
                      <w:szCs w:val="18"/>
                      <w:highlight w:val="none"/>
                    </w:rPr>
                  </w:pPr>
                </w:p>
              </w:tc>
              <w:tc>
                <w:tcPr>
                  <w:tcW w:w="267" w:type="pct"/>
                  <w:vMerge w:val="continue"/>
                  <w:tcBorders>
                    <w:left w:val="single" w:color="auto" w:sz="4" w:space="0"/>
                    <w:right w:val="single" w:color="auto" w:sz="4" w:space="0"/>
                  </w:tcBorders>
                  <w:vAlign w:val="center"/>
                </w:tcPr>
                <w:p w14:paraId="74CB2C71">
                  <w:pPr>
                    <w:keepNext w:val="0"/>
                    <w:keepLines w:val="0"/>
                    <w:widowControl/>
                    <w:suppressLineNumbers w:val="0"/>
                    <w:adjustRightInd w:val="0"/>
                    <w:snapToGrid w:val="0"/>
                    <w:spacing w:before="0" w:beforeAutospacing="0" w:after="0" w:afterAutospacing="0" w:line="264" w:lineRule="auto"/>
                    <w:ind w:left="0" w:right="0"/>
                    <w:jc w:val="center"/>
                    <w:rPr>
                      <w:rFonts w:hint="default" w:ascii="Times New Roman" w:hAnsi="Times New Roman" w:eastAsia="宋体" w:cs="Times New Roman"/>
                      <w:snapToGrid w:val="0"/>
                      <w:sz w:val="18"/>
                      <w:szCs w:val="18"/>
                      <w:highlight w:val="none"/>
                    </w:rPr>
                  </w:pPr>
                </w:p>
              </w:tc>
              <w:tc>
                <w:tcPr>
                  <w:tcW w:w="273" w:type="pct"/>
                  <w:vMerge w:val="continue"/>
                  <w:tcBorders>
                    <w:left w:val="single" w:color="auto" w:sz="4" w:space="0"/>
                    <w:right w:val="single" w:color="auto" w:sz="4" w:space="0"/>
                  </w:tcBorders>
                  <w:vAlign w:val="center"/>
                </w:tcPr>
                <w:p w14:paraId="6FF55163">
                  <w:pPr>
                    <w:keepNext w:val="0"/>
                    <w:keepLines w:val="0"/>
                    <w:widowControl/>
                    <w:suppressLineNumbers w:val="0"/>
                    <w:adjustRightInd w:val="0"/>
                    <w:snapToGrid w:val="0"/>
                    <w:spacing w:before="0" w:beforeAutospacing="0" w:after="0" w:afterAutospacing="0" w:line="264" w:lineRule="auto"/>
                    <w:ind w:left="0" w:right="0"/>
                    <w:jc w:val="center"/>
                    <w:rPr>
                      <w:rFonts w:hint="default" w:ascii="Times New Roman" w:hAnsi="Times New Roman" w:eastAsia="宋体" w:cs="Times New Roman"/>
                      <w:snapToGrid w:val="0"/>
                      <w:sz w:val="18"/>
                      <w:szCs w:val="18"/>
                      <w:highlight w:val="none"/>
                    </w:rPr>
                  </w:pPr>
                </w:p>
              </w:tc>
            </w:tr>
            <w:tr w14:paraId="6EA7A21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134" w:hRule="atLeast"/>
                <w:jc w:val="center"/>
              </w:trPr>
              <w:tc>
                <w:tcPr>
                  <w:tcW w:w="314" w:type="pct"/>
                  <w:vMerge w:val="continue"/>
                  <w:tcBorders>
                    <w:left w:val="single" w:color="auto" w:sz="4" w:space="0"/>
                    <w:right w:val="single" w:color="auto" w:sz="4" w:space="0"/>
                  </w:tcBorders>
                  <w:tcMar>
                    <w:left w:w="57" w:type="dxa"/>
                    <w:right w:w="57" w:type="dxa"/>
                  </w:tcMar>
                  <w:vAlign w:val="center"/>
                </w:tcPr>
                <w:p w14:paraId="5F47F94B">
                  <w:pPr>
                    <w:keepNext w:val="0"/>
                    <w:keepLines w:val="0"/>
                    <w:suppressLineNumbers w:val="0"/>
                    <w:adjustRightInd w:val="0"/>
                    <w:snapToGrid w:val="0"/>
                    <w:spacing w:before="0" w:beforeAutospacing="0" w:after="0" w:afterAutospacing="0" w:line="264" w:lineRule="auto"/>
                    <w:ind w:left="0" w:right="0"/>
                    <w:jc w:val="center"/>
                    <w:rPr>
                      <w:rFonts w:hint="default" w:ascii="Times New Roman" w:hAnsi="Times New Roman" w:eastAsia="宋体" w:cs="Times New Roman"/>
                      <w:snapToGrid w:val="0"/>
                      <w:sz w:val="18"/>
                      <w:szCs w:val="18"/>
                      <w:highlight w:val="none"/>
                    </w:rPr>
                  </w:pPr>
                </w:p>
              </w:tc>
              <w:tc>
                <w:tcPr>
                  <w:tcW w:w="513" w:type="pct"/>
                  <w:tcBorders>
                    <w:top w:val="single" w:color="auto" w:sz="4" w:space="0"/>
                    <w:left w:val="single" w:color="auto" w:sz="4" w:space="0"/>
                    <w:bottom w:val="single" w:color="auto" w:sz="4" w:space="0"/>
                    <w:right w:val="single" w:color="auto" w:sz="4" w:space="0"/>
                  </w:tcBorders>
                  <w:tcMar>
                    <w:left w:w="57" w:type="dxa"/>
                    <w:right w:w="57" w:type="dxa"/>
                  </w:tcMar>
                  <w:vAlign w:val="center"/>
                </w:tcPr>
                <w:p w14:paraId="3E9D56F0">
                  <w:pPr>
                    <w:keepNext w:val="0"/>
                    <w:keepLines w:val="0"/>
                    <w:widowControl/>
                    <w:suppressLineNumbers w:val="0"/>
                    <w:adjustRightInd w:val="0"/>
                    <w:snapToGrid w:val="0"/>
                    <w:spacing w:before="0" w:beforeAutospacing="0" w:after="0" w:afterAutospacing="0" w:line="264" w:lineRule="auto"/>
                    <w:ind w:left="0" w:right="0"/>
                    <w:jc w:val="center"/>
                    <w:rPr>
                      <w:rFonts w:hint="eastAsia" w:ascii="Times New Roman" w:hAnsi="Times New Roman" w:eastAsia="宋体" w:cs="Times New Roman"/>
                      <w:snapToGrid w:val="0"/>
                      <w:sz w:val="18"/>
                      <w:szCs w:val="18"/>
                      <w:highlight w:val="none"/>
                      <w:lang w:val="en-US" w:eastAsia="zh-CN"/>
                    </w:rPr>
                  </w:pPr>
                  <w:r>
                    <w:rPr>
                      <w:rFonts w:hint="eastAsia" w:ascii="Times New Roman" w:hAnsi="Times New Roman" w:eastAsia="宋体" w:cs="Times New Roman"/>
                      <w:snapToGrid w:val="0"/>
                      <w:sz w:val="18"/>
                      <w:szCs w:val="18"/>
                      <w:highlight w:val="none"/>
                      <w:lang w:val="en-US" w:eastAsia="zh-CN"/>
                    </w:rPr>
                    <w:t>实验室地面清洗</w:t>
                  </w:r>
                </w:p>
              </w:tc>
              <w:tc>
                <w:tcPr>
                  <w:tcW w:w="628" w:type="pct"/>
                  <w:tcBorders>
                    <w:top w:val="single" w:color="auto" w:sz="4" w:space="0"/>
                    <w:left w:val="single" w:color="auto" w:sz="4" w:space="0"/>
                    <w:bottom w:val="single" w:color="auto" w:sz="4" w:space="0"/>
                    <w:right w:val="single" w:color="auto" w:sz="4" w:space="0"/>
                  </w:tcBorders>
                  <w:tcMar>
                    <w:left w:w="57" w:type="dxa"/>
                    <w:right w:w="57" w:type="dxa"/>
                  </w:tcMar>
                  <w:vAlign w:val="center"/>
                </w:tcPr>
                <w:p w14:paraId="47120660">
                  <w:pPr>
                    <w:keepNext w:val="0"/>
                    <w:keepLines w:val="0"/>
                    <w:widowControl/>
                    <w:suppressLineNumbers w:val="0"/>
                    <w:adjustRightInd w:val="0"/>
                    <w:snapToGrid w:val="0"/>
                    <w:spacing w:before="0" w:beforeAutospacing="0" w:after="0" w:afterAutospacing="0" w:line="264" w:lineRule="auto"/>
                    <w:ind w:left="0" w:right="0"/>
                    <w:jc w:val="center"/>
                    <w:rPr>
                      <w:rFonts w:hint="eastAsia" w:ascii="Times New Roman" w:hAnsi="Times New Roman" w:eastAsia="宋体" w:cs="Times New Roman"/>
                      <w:b w:val="0"/>
                      <w:bCs w:val="0"/>
                      <w:color w:val="000000"/>
                      <w:kern w:val="0"/>
                      <w:sz w:val="18"/>
                      <w:szCs w:val="18"/>
                      <w:highlight w:val="none"/>
                      <w:lang w:val="en-US" w:eastAsia="zh-CN"/>
                    </w:rPr>
                  </w:pPr>
                  <w:r>
                    <w:rPr>
                      <w:rFonts w:hint="eastAsia" w:ascii="Times New Roman" w:hAnsi="Times New Roman" w:eastAsia="宋体" w:cs="Times New Roman"/>
                      <w:snapToGrid w:val="0"/>
                      <w:sz w:val="18"/>
                      <w:szCs w:val="18"/>
                      <w:highlight w:val="none"/>
                      <w:lang w:val="en-US" w:eastAsia="zh-CN"/>
                    </w:rPr>
                    <w:t>实验室地面清洗</w:t>
                  </w:r>
                  <w:r>
                    <w:rPr>
                      <w:rFonts w:hint="eastAsia" w:ascii="Times New Roman" w:hAnsi="Times New Roman" w:eastAsia="宋体" w:cs="Times New Roman"/>
                      <w:b w:val="0"/>
                      <w:bCs w:val="0"/>
                      <w:color w:val="000000"/>
                      <w:kern w:val="0"/>
                      <w:sz w:val="18"/>
                      <w:szCs w:val="18"/>
                      <w:highlight w:val="none"/>
                      <w:lang w:val="en-US" w:eastAsia="zh-CN"/>
                    </w:rPr>
                    <w:t>废水</w:t>
                  </w:r>
                </w:p>
              </w:tc>
              <w:tc>
                <w:tcPr>
                  <w:tcW w:w="365" w:type="pct"/>
                  <w:tcBorders>
                    <w:top w:val="single" w:color="auto" w:sz="4" w:space="0"/>
                    <w:left w:val="single" w:color="auto" w:sz="4" w:space="0"/>
                    <w:bottom w:val="single" w:color="auto" w:sz="4" w:space="0"/>
                    <w:right w:val="single" w:color="auto" w:sz="4" w:space="0"/>
                  </w:tcBorders>
                  <w:vAlign w:val="center"/>
                </w:tcPr>
                <w:p w14:paraId="0CB9E2DC">
                  <w:pPr>
                    <w:keepNext w:val="0"/>
                    <w:keepLines w:val="0"/>
                    <w:widowControl/>
                    <w:suppressLineNumbers w:val="0"/>
                    <w:adjustRightInd w:val="0"/>
                    <w:snapToGrid w:val="0"/>
                    <w:spacing w:before="0" w:beforeAutospacing="0" w:after="0" w:afterAutospacing="0" w:line="264" w:lineRule="auto"/>
                    <w:ind w:left="0" w:right="0"/>
                    <w:jc w:val="center"/>
                    <w:rPr>
                      <w:rFonts w:hint="default" w:ascii="Times New Roman" w:hAnsi="Times New Roman" w:eastAsia="宋体" w:cs="Times New Roman"/>
                      <w:snapToGrid w:val="0"/>
                      <w:sz w:val="18"/>
                      <w:szCs w:val="18"/>
                      <w:highlight w:val="none"/>
                    </w:rPr>
                  </w:pPr>
                  <w:r>
                    <w:rPr>
                      <w:rFonts w:hint="default" w:ascii="Times New Roman" w:hAnsi="Times New Roman" w:eastAsia="宋体" w:cs="Times New Roman"/>
                      <w:snapToGrid w:val="0"/>
                      <w:sz w:val="18"/>
                      <w:szCs w:val="18"/>
                      <w:highlight w:val="none"/>
                    </w:rPr>
                    <w:t>COD</w:t>
                  </w:r>
                  <w:r>
                    <w:rPr>
                      <w:rFonts w:hint="default" w:ascii="Times New Roman" w:hAnsi="Times New Roman" w:eastAsia="宋体" w:cs="Times New Roman"/>
                      <w:snapToGrid w:val="0"/>
                      <w:sz w:val="18"/>
                      <w:szCs w:val="18"/>
                      <w:highlight w:val="none"/>
                      <w:vertAlign w:val="subscript"/>
                    </w:rPr>
                    <w:t>Cr</w:t>
                  </w:r>
                  <w:r>
                    <w:rPr>
                      <w:rFonts w:hint="eastAsia" w:ascii="Times New Roman" w:hAnsi="Times New Roman" w:eastAsia="宋体" w:cs="Times New Roman"/>
                      <w:snapToGrid w:val="0"/>
                      <w:sz w:val="18"/>
                      <w:szCs w:val="18"/>
                      <w:highlight w:val="none"/>
                    </w:rPr>
                    <w:t>、SS</w:t>
                  </w:r>
                </w:p>
              </w:tc>
              <w:tc>
                <w:tcPr>
                  <w:tcW w:w="414" w:type="pct"/>
                  <w:vMerge w:val="continue"/>
                  <w:tcBorders>
                    <w:left w:val="single" w:color="auto" w:sz="4" w:space="0"/>
                    <w:right w:val="single" w:color="auto" w:sz="4" w:space="0"/>
                  </w:tcBorders>
                  <w:tcMar>
                    <w:left w:w="57" w:type="dxa"/>
                    <w:right w:w="57" w:type="dxa"/>
                  </w:tcMar>
                  <w:vAlign w:val="center"/>
                </w:tcPr>
                <w:p w14:paraId="135FA0D8">
                  <w:pPr>
                    <w:keepNext w:val="0"/>
                    <w:keepLines w:val="0"/>
                    <w:widowControl/>
                    <w:suppressLineNumbers w:val="0"/>
                    <w:adjustRightInd w:val="0"/>
                    <w:snapToGrid w:val="0"/>
                    <w:spacing w:before="0" w:beforeAutospacing="0" w:after="0" w:afterAutospacing="0" w:line="264" w:lineRule="auto"/>
                    <w:ind w:left="0" w:right="0"/>
                    <w:jc w:val="center"/>
                    <w:rPr>
                      <w:rFonts w:hint="default" w:ascii="Times New Roman" w:hAnsi="Times New Roman" w:eastAsia="宋体" w:cs="Times New Roman"/>
                      <w:snapToGrid w:val="0"/>
                      <w:sz w:val="18"/>
                      <w:szCs w:val="18"/>
                      <w:highlight w:val="none"/>
                    </w:rPr>
                  </w:pPr>
                </w:p>
              </w:tc>
              <w:tc>
                <w:tcPr>
                  <w:tcW w:w="360" w:type="pct"/>
                  <w:vMerge w:val="continue"/>
                  <w:tcBorders>
                    <w:left w:val="single" w:color="auto" w:sz="4" w:space="0"/>
                    <w:right w:val="single" w:color="auto" w:sz="4" w:space="0"/>
                  </w:tcBorders>
                  <w:tcMar>
                    <w:left w:w="57" w:type="dxa"/>
                    <w:right w:w="57" w:type="dxa"/>
                  </w:tcMar>
                  <w:vAlign w:val="center"/>
                </w:tcPr>
                <w:p w14:paraId="60EA65BA">
                  <w:pPr>
                    <w:keepNext w:val="0"/>
                    <w:keepLines w:val="0"/>
                    <w:widowControl/>
                    <w:suppressLineNumbers w:val="0"/>
                    <w:adjustRightInd w:val="0"/>
                    <w:snapToGrid w:val="0"/>
                    <w:spacing w:before="0" w:beforeAutospacing="0" w:after="0" w:afterAutospacing="0" w:line="264" w:lineRule="auto"/>
                    <w:ind w:left="0" w:right="0"/>
                    <w:jc w:val="center"/>
                    <w:rPr>
                      <w:rFonts w:hint="default" w:ascii="Times New Roman" w:hAnsi="Times New Roman" w:eastAsia="宋体" w:cs="Times New Roman"/>
                      <w:snapToGrid w:val="0"/>
                      <w:color w:val="FF0000"/>
                      <w:sz w:val="18"/>
                      <w:szCs w:val="18"/>
                      <w:highlight w:val="none"/>
                    </w:rPr>
                  </w:pPr>
                </w:p>
              </w:tc>
              <w:tc>
                <w:tcPr>
                  <w:tcW w:w="330" w:type="pct"/>
                  <w:vMerge w:val="continue"/>
                  <w:tcBorders>
                    <w:left w:val="single" w:color="auto" w:sz="4" w:space="0"/>
                    <w:right w:val="single" w:color="auto" w:sz="4" w:space="0"/>
                  </w:tcBorders>
                  <w:tcMar>
                    <w:left w:w="57" w:type="dxa"/>
                    <w:right w:w="57" w:type="dxa"/>
                  </w:tcMar>
                  <w:vAlign w:val="center"/>
                </w:tcPr>
                <w:p w14:paraId="631D9430">
                  <w:pPr>
                    <w:keepNext w:val="0"/>
                    <w:keepLines w:val="0"/>
                    <w:widowControl/>
                    <w:suppressLineNumbers w:val="0"/>
                    <w:adjustRightInd w:val="0"/>
                    <w:snapToGrid w:val="0"/>
                    <w:spacing w:before="0" w:beforeAutospacing="0" w:after="0" w:afterAutospacing="0" w:line="264" w:lineRule="auto"/>
                    <w:ind w:left="0" w:right="0"/>
                    <w:jc w:val="center"/>
                    <w:rPr>
                      <w:rFonts w:hint="eastAsia" w:ascii="Times New Roman" w:hAnsi="Times New Roman" w:eastAsia="宋体" w:cs="Times New Roman"/>
                      <w:snapToGrid w:val="0"/>
                      <w:sz w:val="18"/>
                      <w:szCs w:val="18"/>
                      <w:highlight w:val="none"/>
                      <w:lang w:val="en-US" w:eastAsia="zh-CN"/>
                    </w:rPr>
                  </w:pPr>
                </w:p>
              </w:tc>
              <w:tc>
                <w:tcPr>
                  <w:tcW w:w="384" w:type="pct"/>
                  <w:vMerge w:val="continue"/>
                  <w:tcBorders>
                    <w:left w:val="single" w:color="auto" w:sz="4" w:space="0"/>
                    <w:right w:val="single" w:color="auto" w:sz="4" w:space="0"/>
                  </w:tcBorders>
                  <w:vAlign w:val="center"/>
                </w:tcPr>
                <w:p w14:paraId="4E11734F">
                  <w:pPr>
                    <w:keepNext w:val="0"/>
                    <w:keepLines w:val="0"/>
                    <w:widowControl/>
                    <w:suppressLineNumbers w:val="0"/>
                    <w:adjustRightInd w:val="0"/>
                    <w:snapToGrid w:val="0"/>
                    <w:spacing w:before="0" w:beforeAutospacing="0" w:after="0" w:afterAutospacing="0" w:line="264" w:lineRule="auto"/>
                    <w:ind w:left="0" w:right="0"/>
                    <w:jc w:val="center"/>
                    <w:rPr>
                      <w:rFonts w:hint="eastAsia" w:ascii="Times New Roman" w:hAnsi="Times New Roman" w:eastAsia="宋体" w:cs="Times New Roman"/>
                      <w:snapToGrid w:val="0"/>
                      <w:sz w:val="18"/>
                      <w:szCs w:val="18"/>
                      <w:highlight w:val="none"/>
                    </w:rPr>
                  </w:pPr>
                </w:p>
              </w:tc>
              <w:tc>
                <w:tcPr>
                  <w:tcW w:w="312" w:type="pct"/>
                  <w:vMerge w:val="continue"/>
                  <w:tcBorders>
                    <w:left w:val="single" w:color="auto" w:sz="4" w:space="0"/>
                    <w:right w:val="single" w:color="auto" w:sz="4" w:space="0"/>
                  </w:tcBorders>
                  <w:tcMar>
                    <w:left w:w="57" w:type="dxa"/>
                    <w:right w:w="57" w:type="dxa"/>
                  </w:tcMar>
                  <w:vAlign w:val="center"/>
                </w:tcPr>
                <w:p w14:paraId="086C6498">
                  <w:pPr>
                    <w:keepNext w:val="0"/>
                    <w:keepLines w:val="0"/>
                    <w:widowControl/>
                    <w:suppressLineNumbers w:val="0"/>
                    <w:adjustRightInd w:val="0"/>
                    <w:snapToGrid w:val="0"/>
                    <w:spacing w:before="0" w:beforeAutospacing="0" w:after="0" w:afterAutospacing="0" w:line="264" w:lineRule="auto"/>
                    <w:ind w:left="0" w:right="0"/>
                    <w:rPr>
                      <w:rFonts w:hint="default" w:ascii="Times New Roman" w:hAnsi="Times New Roman" w:eastAsia="宋体" w:cs="Times New Roman"/>
                      <w:snapToGrid w:val="0"/>
                      <w:sz w:val="18"/>
                      <w:szCs w:val="18"/>
                      <w:highlight w:val="none"/>
                    </w:rPr>
                  </w:pPr>
                </w:p>
              </w:tc>
              <w:tc>
                <w:tcPr>
                  <w:tcW w:w="237" w:type="pct"/>
                  <w:vMerge w:val="continue"/>
                  <w:tcBorders>
                    <w:left w:val="single" w:color="auto" w:sz="4" w:space="0"/>
                    <w:right w:val="single" w:color="auto" w:sz="4" w:space="0"/>
                  </w:tcBorders>
                  <w:vAlign w:val="center"/>
                </w:tcPr>
                <w:p w14:paraId="440CBAFE">
                  <w:pPr>
                    <w:keepNext w:val="0"/>
                    <w:keepLines w:val="0"/>
                    <w:suppressLineNumbers w:val="0"/>
                    <w:adjustRightInd w:val="0"/>
                    <w:snapToGrid w:val="0"/>
                    <w:spacing w:before="0" w:beforeAutospacing="0" w:after="0" w:afterAutospacing="0" w:line="264" w:lineRule="auto"/>
                    <w:ind w:left="0" w:right="0"/>
                    <w:jc w:val="center"/>
                    <w:rPr>
                      <w:rFonts w:hint="default" w:ascii="Times New Roman" w:hAnsi="Times New Roman" w:eastAsia="宋体" w:cs="Times New Roman"/>
                      <w:snapToGrid w:val="0"/>
                      <w:sz w:val="18"/>
                      <w:szCs w:val="18"/>
                      <w:highlight w:val="none"/>
                    </w:rPr>
                  </w:pPr>
                </w:p>
              </w:tc>
              <w:tc>
                <w:tcPr>
                  <w:tcW w:w="312" w:type="pct"/>
                  <w:vMerge w:val="continue"/>
                  <w:tcBorders>
                    <w:left w:val="single" w:color="auto" w:sz="4" w:space="0"/>
                    <w:right w:val="single" w:color="auto" w:sz="4" w:space="0"/>
                  </w:tcBorders>
                  <w:vAlign w:val="center"/>
                </w:tcPr>
                <w:p w14:paraId="3BA5F5D2">
                  <w:pPr>
                    <w:keepNext w:val="0"/>
                    <w:keepLines w:val="0"/>
                    <w:suppressLineNumbers w:val="0"/>
                    <w:adjustRightInd w:val="0"/>
                    <w:snapToGrid w:val="0"/>
                    <w:spacing w:before="0" w:beforeAutospacing="0" w:after="0" w:afterAutospacing="0" w:line="264" w:lineRule="auto"/>
                    <w:ind w:left="0" w:right="0"/>
                    <w:jc w:val="center"/>
                    <w:rPr>
                      <w:rFonts w:hint="default" w:ascii="Times New Roman" w:hAnsi="Times New Roman" w:eastAsia="宋体" w:cs="Times New Roman"/>
                      <w:snapToGrid w:val="0"/>
                      <w:sz w:val="18"/>
                      <w:szCs w:val="18"/>
                      <w:highlight w:val="none"/>
                    </w:rPr>
                  </w:pPr>
                </w:p>
              </w:tc>
              <w:tc>
                <w:tcPr>
                  <w:tcW w:w="287" w:type="pct"/>
                  <w:vMerge w:val="continue"/>
                  <w:tcBorders>
                    <w:left w:val="single" w:color="auto" w:sz="4" w:space="0"/>
                    <w:right w:val="single" w:color="auto" w:sz="4" w:space="0"/>
                  </w:tcBorders>
                  <w:vAlign w:val="center"/>
                </w:tcPr>
                <w:p w14:paraId="56C90480">
                  <w:pPr>
                    <w:keepNext w:val="0"/>
                    <w:keepLines w:val="0"/>
                    <w:suppressLineNumbers w:val="0"/>
                    <w:adjustRightInd w:val="0"/>
                    <w:snapToGrid w:val="0"/>
                    <w:spacing w:before="0" w:beforeAutospacing="0" w:after="0" w:afterAutospacing="0" w:line="264" w:lineRule="auto"/>
                    <w:ind w:left="0" w:right="0"/>
                    <w:jc w:val="center"/>
                    <w:rPr>
                      <w:rFonts w:hint="default" w:ascii="Times New Roman" w:hAnsi="Times New Roman" w:eastAsia="宋体" w:cs="Times New Roman"/>
                      <w:snapToGrid w:val="0"/>
                      <w:sz w:val="18"/>
                      <w:szCs w:val="18"/>
                      <w:highlight w:val="none"/>
                    </w:rPr>
                  </w:pPr>
                </w:p>
              </w:tc>
              <w:tc>
                <w:tcPr>
                  <w:tcW w:w="267" w:type="pct"/>
                  <w:vMerge w:val="continue"/>
                  <w:tcBorders>
                    <w:left w:val="single" w:color="auto" w:sz="4" w:space="0"/>
                    <w:right w:val="single" w:color="auto" w:sz="4" w:space="0"/>
                  </w:tcBorders>
                  <w:vAlign w:val="center"/>
                </w:tcPr>
                <w:p w14:paraId="2C63A60C">
                  <w:pPr>
                    <w:keepNext w:val="0"/>
                    <w:keepLines w:val="0"/>
                    <w:widowControl/>
                    <w:suppressLineNumbers w:val="0"/>
                    <w:adjustRightInd w:val="0"/>
                    <w:snapToGrid w:val="0"/>
                    <w:spacing w:before="0" w:beforeAutospacing="0" w:after="0" w:afterAutospacing="0" w:line="264" w:lineRule="auto"/>
                    <w:ind w:left="0" w:right="0"/>
                    <w:jc w:val="center"/>
                    <w:rPr>
                      <w:rFonts w:hint="default" w:ascii="Times New Roman" w:hAnsi="Times New Roman" w:eastAsia="宋体" w:cs="Times New Roman"/>
                      <w:snapToGrid w:val="0"/>
                      <w:sz w:val="18"/>
                      <w:szCs w:val="18"/>
                      <w:highlight w:val="none"/>
                    </w:rPr>
                  </w:pPr>
                </w:p>
              </w:tc>
              <w:tc>
                <w:tcPr>
                  <w:tcW w:w="273" w:type="pct"/>
                  <w:vMerge w:val="continue"/>
                  <w:tcBorders>
                    <w:left w:val="single" w:color="auto" w:sz="4" w:space="0"/>
                    <w:right w:val="single" w:color="auto" w:sz="4" w:space="0"/>
                  </w:tcBorders>
                  <w:vAlign w:val="center"/>
                </w:tcPr>
                <w:p w14:paraId="1A158895">
                  <w:pPr>
                    <w:keepNext w:val="0"/>
                    <w:keepLines w:val="0"/>
                    <w:widowControl/>
                    <w:suppressLineNumbers w:val="0"/>
                    <w:adjustRightInd w:val="0"/>
                    <w:snapToGrid w:val="0"/>
                    <w:spacing w:before="0" w:beforeAutospacing="0" w:after="0" w:afterAutospacing="0" w:line="264" w:lineRule="auto"/>
                    <w:ind w:left="0" w:right="0"/>
                    <w:jc w:val="center"/>
                    <w:rPr>
                      <w:rFonts w:hint="default" w:ascii="Times New Roman" w:hAnsi="Times New Roman" w:eastAsia="宋体" w:cs="Times New Roman"/>
                      <w:snapToGrid w:val="0"/>
                      <w:sz w:val="18"/>
                      <w:szCs w:val="18"/>
                      <w:highlight w:val="none"/>
                    </w:rPr>
                  </w:pPr>
                </w:p>
              </w:tc>
            </w:tr>
            <w:tr w14:paraId="1D10D33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90" w:hRule="atLeast"/>
                <w:jc w:val="center"/>
              </w:trPr>
              <w:tc>
                <w:tcPr>
                  <w:tcW w:w="314" w:type="pct"/>
                  <w:tcBorders>
                    <w:left w:val="single" w:color="auto" w:sz="4" w:space="0"/>
                    <w:right w:val="single" w:color="auto" w:sz="4" w:space="0"/>
                  </w:tcBorders>
                  <w:tcMar>
                    <w:left w:w="57" w:type="dxa"/>
                    <w:right w:w="57" w:type="dxa"/>
                  </w:tcMar>
                  <w:vAlign w:val="center"/>
                </w:tcPr>
                <w:p w14:paraId="38CFADDA">
                  <w:pPr>
                    <w:keepNext w:val="0"/>
                    <w:keepLines w:val="0"/>
                    <w:suppressLineNumbers w:val="0"/>
                    <w:adjustRightInd w:val="0"/>
                    <w:snapToGrid w:val="0"/>
                    <w:spacing w:before="0" w:beforeAutospacing="0" w:after="0" w:afterAutospacing="0" w:line="264" w:lineRule="auto"/>
                    <w:ind w:left="0" w:right="0"/>
                    <w:jc w:val="center"/>
                    <w:rPr>
                      <w:rFonts w:hint="eastAsia" w:ascii="Times New Roman" w:hAnsi="Times New Roman" w:eastAsia="宋体" w:cs="Times New Roman"/>
                      <w:snapToGrid w:val="0"/>
                      <w:sz w:val="18"/>
                      <w:szCs w:val="18"/>
                      <w:highlight w:val="none"/>
                      <w:lang w:val="en-US" w:eastAsia="zh-CN"/>
                    </w:rPr>
                  </w:pPr>
                  <w:r>
                    <w:rPr>
                      <w:rFonts w:hint="eastAsia" w:ascii="Times New Roman" w:hAnsi="Times New Roman" w:eastAsia="宋体" w:cs="Times New Roman"/>
                      <w:snapToGrid w:val="0"/>
                      <w:sz w:val="18"/>
                      <w:szCs w:val="18"/>
                      <w:highlight w:val="none"/>
                      <w:lang w:val="en-US" w:eastAsia="zh-CN"/>
                    </w:rPr>
                    <w:t>公用单元</w:t>
                  </w:r>
                </w:p>
              </w:tc>
              <w:tc>
                <w:tcPr>
                  <w:tcW w:w="513" w:type="pct"/>
                  <w:tcBorders>
                    <w:top w:val="single" w:color="auto" w:sz="4" w:space="0"/>
                    <w:left w:val="single" w:color="auto" w:sz="4" w:space="0"/>
                    <w:bottom w:val="single" w:color="auto" w:sz="4" w:space="0"/>
                    <w:right w:val="single" w:color="auto" w:sz="4" w:space="0"/>
                  </w:tcBorders>
                  <w:tcMar>
                    <w:left w:w="57" w:type="dxa"/>
                    <w:right w:w="57" w:type="dxa"/>
                  </w:tcMar>
                  <w:vAlign w:val="center"/>
                </w:tcPr>
                <w:p w14:paraId="29078462">
                  <w:pPr>
                    <w:keepNext w:val="0"/>
                    <w:keepLines w:val="0"/>
                    <w:widowControl/>
                    <w:suppressLineNumbers w:val="0"/>
                    <w:adjustRightInd w:val="0"/>
                    <w:snapToGrid w:val="0"/>
                    <w:spacing w:before="0" w:beforeAutospacing="0" w:after="0" w:afterAutospacing="0" w:line="264" w:lineRule="auto"/>
                    <w:ind w:left="0" w:right="0"/>
                    <w:jc w:val="center"/>
                    <w:rPr>
                      <w:rFonts w:hint="default" w:ascii="Times New Roman" w:hAnsi="Times New Roman" w:eastAsia="宋体" w:cs="Times New Roman"/>
                      <w:snapToGrid w:val="0"/>
                      <w:sz w:val="18"/>
                      <w:szCs w:val="18"/>
                      <w:highlight w:val="none"/>
                    </w:rPr>
                  </w:pPr>
                  <w:r>
                    <w:rPr>
                      <w:rFonts w:hint="eastAsia" w:ascii="Times New Roman" w:hAnsi="Times New Roman" w:eastAsia="宋体" w:cs="Times New Roman"/>
                      <w:snapToGrid w:val="0"/>
                      <w:sz w:val="18"/>
                      <w:szCs w:val="18"/>
                      <w:highlight w:val="none"/>
                      <w:lang w:val="en-US" w:eastAsia="zh-CN"/>
                    </w:rPr>
                    <w:t>软水/</w:t>
                  </w:r>
                  <w:r>
                    <w:rPr>
                      <w:rFonts w:hint="eastAsia" w:ascii="Times New Roman" w:hAnsi="Times New Roman" w:eastAsia="宋体" w:cs="Times New Roman"/>
                      <w:snapToGrid w:val="0"/>
                      <w:sz w:val="18"/>
                      <w:szCs w:val="18"/>
                      <w:highlight w:val="none"/>
                    </w:rPr>
                    <w:t>纯水制备</w:t>
                  </w:r>
                </w:p>
              </w:tc>
              <w:tc>
                <w:tcPr>
                  <w:tcW w:w="628" w:type="pct"/>
                  <w:tcBorders>
                    <w:top w:val="single" w:color="auto" w:sz="4" w:space="0"/>
                    <w:left w:val="single" w:color="auto" w:sz="4" w:space="0"/>
                    <w:bottom w:val="single" w:color="auto" w:sz="4" w:space="0"/>
                    <w:right w:val="single" w:color="auto" w:sz="4" w:space="0"/>
                  </w:tcBorders>
                  <w:tcMar>
                    <w:left w:w="57" w:type="dxa"/>
                    <w:right w:w="57" w:type="dxa"/>
                  </w:tcMar>
                  <w:vAlign w:val="center"/>
                </w:tcPr>
                <w:p w14:paraId="35CB644D">
                  <w:pPr>
                    <w:keepNext w:val="0"/>
                    <w:keepLines w:val="0"/>
                    <w:widowControl/>
                    <w:suppressLineNumbers w:val="0"/>
                    <w:adjustRightInd w:val="0"/>
                    <w:snapToGrid w:val="0"/>
                    <w:spacing w:before="0" w:beforeAutospacing="0" w:after="0" w:afterAutospacing="0" w:line="264" w:lineRule="auto"/>
                    <w:ind w:left="0" w:right="0"/>
                    <w:jc w:val="center"/>
                    <w:rPr>
                      <w:rFonts w:hint="default" w:ascii="Times New Roman" w:hAnsi="Times New Roman" w:eastAsia="宋体" w:cs="Times New Roman"/>
                      <w:snapToGrid w:val="0"/>
                      <w:sz w:val="18"/>
                      <w:szCs w:val="18"/>
                      <w:highlight w:val="none"/>
                      <w:lang w:val="en-US" w:eastAsia="zh-CN"/>
                    </w:rPr>
                  </w:pPr>
                  <w:r>
                    <w:rPr>
                      <w:rFonts w:hint="eastAsia" w:ascii="Times New Roman" w:hAnsi="Times New Roman" w:eastAsia="宋体" w:cs="Times New Roman"/>
                      <w:snapToGrid w:val="0"/>
                      <w:sz w:val="18"/>
                      <w:szCs w:val="18"/>
                      <w:highlight w:val="none"/>
                      <w:lang w:val="en-US" w:eastAsia="zh-CN"/>
                    </w:rPr>
                    <w:t>软水/</w:t>
                  </w:r>
                  <w:r>
                    <w:rPr>
                      <w:rFonts w:hint="eastAsia" w:ascii="Times New Roman" w:hAnsi="Times New Roman" w:eastAsia="宋体" w:cs="Times New Roman"/>
                      <w:snapToGrid w:val="0"/>
                      <w:sz w:val="18"/>
                      <w:szCs w:val="18"/>
                      <w:highlight w:val="none"/>
                    </w:rPr>
                    <w:t>纯水制备浓水</w:t>
                  </w:r>
                  <w:r>
                    <w:rPr>
                      <w:rFonts w:hint="eastAsia" w:ascii="Times New Roman" w:hAnsi="Times New Roman" w:eastAsia="宋体" w:cs="Times New Roman"/>
                      <w:snapToGrid w:val="0"/>
                      <w:sz w:val="18"/>
                      <w:szCs w:val="18"/>
                      <w:highlight w:val="none"/>
                      <w:lang w:eastAsia="zh-CN"/>
                    </w:rPr>
                    <w:t>、</w:t>
                  </w:r>
                  <w:r>
                    <w:rPr>
                      <w:rFonts w:hint="eastAsia" w:ascii="Times New Roman" w:hAnsi="Times New Roman" w:eastAsia="宋体" w:cs="Times New Roman"/>
                      <w:snapToGrid w:val="0"/>
                      <w:sz w:val="18"/>
                      <w:szCs w:val="18"/>
                      <w:highlight w:val="none"/>
                      <w:lang w:val="en-US" w:eastAsia="zh-CN"/>
                    </w:rPr>
                    <w:t>反冲洗废水</w:t>
                  </w:r>
                </w:p>
              </w:tc>
              <w:tc>
                <w:tcPr>
                  <w:tcW w:w="365" w:type="pct"/>
                  <w:tcBorders>
                    <w:top w:val="single" w:color="auto" w:sz="4" w:space="0"/>
                    <w:left w:val="single" w:color="auto" w:sz="4" w:space="0"/>
                    <w:bottom w:val="single" w:color="auto" w:sz="4" w:space="0"/>
                    <w:right w:val="single" w:color="auto" w:sz="4" w:space="0"/>
                  </w:tcBorders>
                  <w:vAlign w:val="center"/>
                </w:tcPr>
                <w:p w14:paraId="5DB1246F">
                  <w:pPr>
                    <w:keepNext w:val="0"/>
                    <w:keepLines w:val="0"/>
                    <w:widowControl/>
                    <w:suppressLineNumbers w:val="0"/>
                    <w:adjustRightInd w:val="0"/>
                    <w:snapToGrid w:val="0"/>
                    <w:spacing w:before="0" w:beforeAutospacing="0" w:after="0" w:afterAutospacing="0" w:line="264" w:lineRule="auto"/>
                    <w:ind w:left="0" w:right="0"/>
                    <w:jc w:val="center"/>
                    <w:rPr>
                      <w:rFonts w:hint="default" w:ascii="Times New Roman" w:hAnsi="Times New Roman" w:eastAsia="宋体" w:cs="Times New Roman"/>
                      <w:snapToGrid w:val="0"/>
                      <w:sz w:val="18"/>
                      <w:szCs w:val="18"/>
                      <w:highlight w:val="none"/>
                    </w:rPr>
                  </w:pPr>
                  <w:r>
                    <w:rPr>
                      <w:rFonts w:hint="default" w:ascii="Times New Roman" w:hAnsi="Times New Roman" w:eastAsia="宋体" w:cs="Times New Roman"/>
                      <w:snapToGrid w:val="0"/>
                      <w:sz w:val="18"/>
                      <w:szCs w:val="18"/>
                      <w:highlight w:val="none"/>
                    </w:rPr>
                    <w:t>COD</w:t>
                  </w:r>
                  <w:r>
                    <w:rPr>
                      <w:rFonts w:hint="default" w:ascii="Times New Roman" w:hAnsi="Times New Roman" w:eastAsia="宋体" w:cs="Times New Roman"/>
                      <w:snapToGrid w:val="0"/>
                      <w:sz w:val="18"/>
                      <w:szCs w:val="18"/>
                      <w:highlight w:val="none"/>
                      <w:vertAlign w:val="subscript"/>
                    </w:rPr>
                    <w:t>Cr</w:t>
                  </w:r>
                  <w:r>
                    <w:rPr>
                      <w:rFonts w:hint="eastAsia" w:ascii="Times New Roman" w:hAnsi="Times New Roman" w:eastAsia="宋体" w:cs="Times New Roman"/>
                      <w:snapToGrid w:val="0"/>
                      <w:sz w:val="18"/>
                      <w:szCs w:val="18"/>
                      <w:highlight w:val="none"/>
                    </w:rPr>
                    <w:t>、SS</w:t>
                  </w:r>
                </w:p>
              </w:tc>
              <w:tc>
                <w:tcPr>
                  <w:tcW w:w="414" w:type="pct"/>
                  <w:tcBorders>
                    <w:left w:val="single" w:color="auto" w:sz="4" w:space="0"/>
                    <w:right w:val="single" w:color="auto" w:sz="4" w:space="0"/>
                  </w:tcBorders>
                  <w:tcMar>
                    <w:left w:w="57" w:type="dxa"/>
                    <w:right w:w="57" w:type="dxa"/>
                  </w:tcMar>
                  <w:vAlign w:val="center"/>
                </w:tcPr>
                <w:p w14:paraId="5C316D3B">
                  <w:pPr>
                    <w:keepNext w:val="0"/>
                    <w:keepLines w:val="0"/>
                    <w:widowControl/>
                    <w:suppressLineNumbers w:val="0"/>
                    <w:adjustRightInd w:val="0"/>
                    <w:snapToGrid w:val="0"/>
                    <w:spacing w:before="0" w:beforeAutospacing="0" w:after="0" w:afterAutospacing="0" w:line="264" w:lineRule="auto"/>
                    <w:ind w:left="0" w:right="0"/>
                    <w:jc w:val="center"/>
                    <w:rPr>
                      <w:rFonts w:hint="default" w:ascii="Times New Roman" w:hAnsi="Times New Roman" w:eastAsia="宋体" w:cs="Times New Roman"/>
                      <w:snapToGrid w:val="0"/>
                      <w:sz w:val="18"/>
                      <w:szCs w:val="18"/>
                      <w:highlight w:val="none"/>
                    </w:rPr>
                  </w:pPr>
                  <w:r>
                    <w:rPr>
                      <w:rFonts w:hint="eastAsia" w:ascii="Times New Roman" w:hAnsi="Times New Roman" w:eastAsia="宋体" w:cs="Times New Roman"/>
                      <w:snapToGrid w:val="0"/>
                      <w:sz w:val="18"/>
                      <w:szCs w:val="18"/>
                      <w:highlight w:val="none"/>
                    </w:rPr>
                    <w:t>/</w:t>
                  </w:r>
                </w:p>
              </w:tc>
              <w:tc>
                <w:tcPr>
                  <w:tcW w:w="360" w:type="pct"/>
                  <w:tcBorders>
                    <w:left w:val="single" w:color="auto" w:sz="4" w:space="0"/>
                    <w:right w:val="single" w:color="auto" w:sz="4" w:space="0"/>
                  </w:tcBorders>
                  <w:tcMar>
                    <w:left w:w="57" w:type="dxa"/>
                    <w:right w:w="57" w:type="dxa"/>
                  </w:tcMar>
                  <w:vAlign w:val="center"/>
                </w:tcPr>
                <w:p w14:paraId="59A844B5">
                  <w:pPr>
                    <w:keepNext w:val="0"/>
                    <w:keepLines w:val="0"/>
                    <w:widowControl/>
                    <w:suppressLineNumbers w:val="0"/>
                    <w:adjustRightInd w:val="0"/>
                    <w:snapToGrid w:val="0"/>
                    <w:spacing w:before="0" w:beforeAutospacing="0" w:after="0" w:afterAutospacing="0" w:line="264" w:lineRule="auto"/>
                    <w:ind w:left="0" w:right="0"/>
                    <w:jc w:val="center"/>
                    <w:rPr>
                      <w:rFonts w:hint="default" w:ascii="Times New Roman" w:hAnsi="Times New Roman" w:eastAsia="宋体" w:cs="Times New Roman"/>
                      <w:snapToGrid w:val="0"/>
                      <w:sz w:val="18"/>
                      <w:szCs w:val="18"/>
                      <w:highlight w:val="none"/>
                    </w:rPr>
                  </w:pPr>
                  <w:r>
                    <w:rPr>
                      <w:rFonts w:hint="eastAsia" w:ascii="Times New Roman" w:hAnsi="Times New Roman" w:eastAsia="宋体" w:cs="Times New Roman"/>
                      <w:snapToGrid w:val="0"/>
                      <w:sz w:val="18"/>
                      <w:szCs w:val="18"/>
                      <w:highlight w:val="none"/>
                    </w:rPr>
                    <w:t>/</w:t>
                  </w:r>
                </w:p>
              </w:tc>
              <w:tc>
                <w:tcPr>
                  <w:tcW w:w="330" w:type="pct"/>
                  <w:tcBorders>
                    <w:left w:val="single" w:color="auto" w:sz="4" w:space="0"/>
                    <w:right w:val="single" w:color="auto" w:sz="4" w:space="0"/>
                  </w:tcBorders>
                  <w:tcMar>
                    <w:left w:w="57" w:type="dxa"/>
                    <w:right w:w="57" w:type="dxa"/>
                  </w:tcMar>
                  <w:vAlign w:val="center"/>
                </w:tcPr>
                <w:p w14:paraId="2FB6D15C">
                  <w:pPr>
                    <w:keepNext w:val="0"/>
                    <w:keepLines w:val="0"/>
                    <w:widowControl/>
                    <w:suppressLineNumbers w:val="0"/>
                    <w:adjustRightInd w:val="0"/>
                    <w:snapToGrid w:val="0"/>
                    <w:spacing w:before="0" w:beforeAutospacing="0" w:after="0" w:afterAutospacing="0" w:line="264" w:lineRule="auto"/>
                    <w:ind w:left="0" w:right="0"/>
                    <w:jc w:val="center"/>
                    <w:rPr>
                      <w:rFonts w:hint="default" w:ascii="Times New Roman" w:hAnsi="Times New Roman" w:eastAsia="宋体" w:cs="Times New Roman"/>
                      <w:snapToGrid w:val="0"/>
                      <w:sz w:val="18"/>
                      <w:szCs w:val="18"/>
                      <w:highlight w:val="none"/>
                    </w:rPr>
                  </w:pPr>
                  <w:r>
                    <w:rPr>
                      <w:rFonts w:hint="eastAsia" w:ascii="Times New Roman" w:hAnsi="Times New Roman" w:eastAsia="宋体" w:cs="Times New Roman"/>
                      <w:snapToGrid w:val="0"/>
                      <w:sz w:val="18"/>
                      <w:szCs w:val="18"/>
                      <w:highlight w:val="none"/>
                    </w:rPr>
                    <w:t>/</w:t>
                  </w:r>
                </w:p>
              </w:tc>
              <w:tc>
                <w:tcPr>
                  <w:tcW w:w="384" w:type="pct"/>
                  <w:tcBorders>
                    <w:left w:val="single" w:color="auto" w:sz="4" w:space="0"/>
                    <w:right w:val="single" w:color="auto" w:sz="4" w:space="0"/>
                  </w:tcBorders>
                  <w:vAlign w:val="center"/>
                </w:tcPr>
                <w:p w14:paraId="1366023C">
                  <w:pPr>
                    <w:keepNext w:val="0"/>
                    <w:keepLines w:val="0"/>
                    <w:widowControl/>
                    <w:suppressLineNumbers w:val="0"/>
                    <w:adjustRightInd w:val="0"/>
                    <w:snapToGrid w:val="0"/>
                    <w:spacing w:before="0" w:beforeAutospacing="0" w:after="0" w:afterAutospacing="0" w:line="264" w:lineRule="auto"/>
                    <w:ind w:left="0" w:right="0"/>
                    <w:jc w:val="center"/>
                    <w:rPr>
                      <w:rFonts w:hint="default" w:ascii="Times New Roman" w:hAnsi="Times New Roman" w:eastAsia="宋体" w:cs="Times New Roman"/>
                      <w:snapToGrid w:val="0"/>
                      <w:sz w:val="18"/>
                      <w:szCs w:val="18"/>
                      <w:highlight w:val="none"/>
                    </w:rPr>
                  </w:pPr>
                  <w:r>
                    <w:rPr>
                      <w:rFonts w:hint="eastAsia" w:ascii="Times New Roman" w:hAnsi="Times New Roman" w:eastAsia="宋体" w:cs="Times New Roman"/>
                      <w:snapToGrid w:val="0"/>
                      <w:sz w:val="18"/>
                      <w:szCs w:val="18"/>
                      <w:highlight w:val="none"/>
                    </w:rPr>
                    <w:t>/</w:t>
                  </w:r>
                </w:p>
              </w:tc>
              <w:tc>
                <w:tcPr>
                  <w:tcW w:w="312" w:type="pct"/>
                  <w:vMerge w:val="continue"/>
                  <w:tcBorders>
                    <w:left w:val="single" w:color="auto" w:sz="4" w:space="0"/>
                    <w:right w:val="single" w:color="auto" w:sz="4" w:space="0"/>
                  </w:tcBorders>
                  <w:tcMar>
                    <w:left w:w="57" w:type="dxa"/>
                    <w:right w:w="57" w:type="dxa"/>
                  </w:tcMar>
                  <w:vAlign w:val="center"/>
                </w:tcPr>
                <w:p w14:paraId="11BBACD7">
                  <w:pPr>
                    <w:keepNext w:val="0"/>
                    <w:keepLines w:val="0"/>
                    <w:widowControl/>
                    <w:suppressLineNumbers w:val="0"/>
                    <w:adjustRightInd w:val="0"/>
                    <w:snapToGrid w:val="0"/>
                    <w:spacing w:before="0" w:beforeAutospacing="0" w:after="0" w:afterAutospacing="0" w:line="264" w:lineRule="auto"/>
                    <w:ind w:left="0" w:right="0"/>
                    <w:rPr>
                      <w:rFonts w:hint="default" w:ascii="Times New Roman" w:hAnsi="Times New Roman" w:eastAsia="宋体" w:cs="Times New Roman"/>
                      <w:snapToGrid w:val="0"/>
                      <w:sz w:val="18"/>
                      <w:szCs w:val="18"/>
                      <w:highlight w:val="none"/>
                    </w:rPr>
                  </w:pPr>
                </w:p>
              </w:tc>
              <w:tc>
                <w:tcPr>
                  <w:tcW w:w="237" w:type="pct"/>
                  <w:vMerge w:val="continue"/>
                  <w:tcBorders>
                    <w:left w:val="single" w:color="auto" w:sz="4" w:space="0"/>
                    <w:right w:val="single" w:color="auto" w:sz="4" w:space="0"/>
                  </w:tcBorders>
                  <w:vAlign w:val="center"/>
                </w:tcPr>
                <w:p w14:paraId="149DB8B4">
                  <w:pPr>
                    <w:keepNext w:val="0"/>
                    <w:keepLines w:val="0"/>
                    <w:suppressLineNumbers w:val="0"/>
                    <w:adjustRightInd w:val="0"/>
                    <w:snapToGrid w:val="0"/>
                    <w:spacing w:before="0" w:beforeAutospacing="0" w:after="0" w:afterAutospacing="0" w:line="264" w:lineRule="auto"/>
                    <w:ind w:left="0" w:right="0"/>
                    <w:jc w:val="center"/>
                    <w:rPr>
                      <w:rFonts w:hint="default" w:ascii="Times New Roman" w:hAnsi="Times New Roman" w:eastAsia="宋体" w:cs="Times New Roman"/>
                      <w:snapToGrid w:val="0"/>
                      <w:sz w:val="18"/>
                      <w:szCs w:val="18"/>
                      <w:highlight w:val="none"/>
                    </w:rPr>
                  </w:pPr>
                </w:p>
              </w:tc>
              <w:tc>
                <w:tcPr>
                  <w:tcW w:w="312" w:type="pct"/>
                  <w:vMerge w:val="continue"/>
                  <w:tcBorders>
                    <w:left w:val="single" w:color="auto" w:sz="4" w:space="0"/>
                    <w:right w:val="single" w:color="auto" w:sz="4" w:space="0"/>
                  </w:tcBorders>
                  <w:vAlign w:val="center"/>
                </w:tcPr>
                <w:p w14:paraId="22EF004F">
                  <w:pPr>
                    <w:keepNext w:val="0"/>
                    <w:keepLines w:val="0"/>
                    <w:suppressLineNumbers w:val="0"/>
                    <w:adjustRightInd w:val="0"/>
                    <w:snapToGrid w:val="0"/>
                    <w:spacing w:before="0" w:beforeAutospacing="0" w:after="0" w:afterAutospacing="0" w:line="264" w:lineRule="auto"/>
                    <w:ind w:left="0" w:right="0"/>
                    <w:jc w:val="center"/>
                    <w:rPr>
                      <w:rFonts w:hint="default" w:ascii="Times New Roman" w:hAnsi="Times New Roman" w:eastAsia="宋体" w:cs="Times New Roman"/>
                      <w:snapToGrid w:val="0"/>
                      <w:sz w:val="18"/>
                      <w:szCs w:val="18"/>
                      <w:highlight w:val="none"/>
                    </w:rPr>
                  </w:pPr>
                </w:p>
              </w:tc>
              <w:tc>
                <w:tcPr>
                  <w:tcW w:w="287" w:type="pct"/>
                  <w:vMerge w:val="continue"/>
                  <w:tcBorders>
                    <w:left w:val="single" w:color="auto" w:sz="4" w:space="0"/>
                    <w:right w:val="single" w:color="auto" w:sz="4" w:space="0"/>
                  </w:tcBorders>
                  <w:vAlign w:val="center"/>
                </w:tcPr>
                <w:p w14:paraId="2AD95412">
                  <w:pPr>
                    <w:keepNext w:val="0"/>
                    <w:keepLines w:val="0"/>
                    <w:suppressLineNumbers w:val="0"/>
                    <w:adjustRightInd w:val="0"/>
                    <w:snapToGrid w:val="0"/>
                    <w:spacing w:before="0" w:beforeAutospacing="0" w:after="0" w:afterAutospacing="0" w:line="264" w:lineRule="auto"/>
                    <w:ind w:left="0" w:right="0"/>
                    <w:jc w:val="center"/>
                    <w:rPr>
                      <w:rFonts w:hint="default" w:ascii="Times New Roman" w:hAnsi="Times New Roman" w:eastAsia="宋体" w:cs="Times New Roman"/>
                      <w:snapToGrid w:val="0"/>
                      <w:sz w:val="18"/>
                      <w:szCs w:val="18"/>
                      <w:highlight w:val="none"/>
                    </w:rPr>
                  </w:pPr>
                </w:p>
              </w:tc>
              <w:tc>
                <w:tcPr>
                  <w:tcW w:w="267" w:type="pct"/>
                  <w:vMerge w:val="continue"/>
                  <w:tcBorders>
                    <w:left w:val="single" w:color="auto" w:sz="4" w:space="0"/>
                    <w:right w:val="single" w:color="auto" w:sz="4" w:space="0"/>
                  </w:tcBorders>
                  <w:vAlign w:val="center"/>
                </w:tcPr>
                <w:p w14:paraId="7D36D56E">
                  <w:pPr>
                    <w:keepNext w:val="0"/>
                    <w:keepLines w:val="0"/>
                    <w:widowControl/>
                    <w:suppressLineNumbers w:val="0"/>
                    <w:adjustRightInd w:val="0"/>
                    <w:snapToGrid w:val="0"/>
                    <w:spacing w:before="0" w:beforeAutospacing="0" w:after="0" w:afterAutospacing="0" w:line="264" w:lineRule="auto"/>
                    <w:ind w:left="0" w:right="0"/>
                    <w:jc w:val="center"/>
                    <w:rPr>
                      <w:rFonts w:hint="default" w:ascii="Times New Roman" w:hAnsi="Times New Roman" w:eastAsia="宋体" w:cs="Times New Roman"/>
                      <w:snapToGrid w:val="0"/>
                      <w:sz w:val="18"/>
                      <w:szCs w:val="18"/>
                      <w:highlight w:val="none"/>
                    </w:rPr>
                  </w:pPr>
                </w:p>
              </w:tc>
              <w:tc>
                <w:tcPr>
                  <w:tcW w:w="273" w:type="pct"/>
                  <w:vMerge w:val="continue"/>
                  <w:tcBorders>
                    <w:left w:val="single" w:color="auto" w:sz="4" w:space="0"/>
                    <w:right w:val="single" w:color="auto" w:sz="4" w:space="0"/>
                  </w:tcBorders>
                  <w:vAlign w:val="center"/>
                </w:tcPr>
                <w:p w14:paraId="0C6578D5">
                  <w:pPr>
                    <w:keepNext w:val="0"/>
                    <w:keepLines w:val="0"/>
                    <w:widowControl/>
                    <w:suppressLineNumbers w:val="0"/>
                    <w:adjustRightInd w:val="0"/>
                    <w:snapToGrid w:val="0"/>
                    <w:spacing w:before="0" w:beforeAutospacing="0" w:after="0" w:afterAutospacing="0" w:line="264" w:lineRule="auto"/>
                    <w:ind w:left="0" w:right="0"/>
                    <w:jc w:val="center"/>
                    <w:rPr>
                      <w:rFonts w:hint="default" w:ascii="Times New Roman" w:hAnsi="Times New Roman" w:eastAsia="宋体" w:cs="Times New Roman"/>
                      <w:snapToGrid w:val="0"/>
                      <w:sz w:val="18"/>
                      <w:szCs w:val="18"/>
                      <w:highlight w:val="none"/>
                    </w:rPr>
                  </w:pPr>
                </w:p>
              </w:tc>
            </w:tr>
          </w:tbl>
          <w:p w14:paraId="52616627">
            <w:pPr>
              <w:keepNext w:val="0"/>
              <w:keepLines w:val="0"/>
              <w:widowControl/>
              <w:suppressLineNumbers w:val="0"/>
              <w:adjustRightInd w:val="0"/>
              <w:snapToGrid w:val="0"/>
              <w:spacing w:before="0" w:beforeAutospacing="0" w:after="0" w:afterAutospacing="0" w:line="360" w:lineRule="auto"/>
              <w:ind w:left="0" w:right="0"/>
              <w:jc w:val="center"/>
              <w:rPr>
                <w:rFonts w:hint="default" w:ascii="Times New Roman" w:hAnsi="Times New Roman" w:eastAsia="宋体" w:cs="Times New Roman"/>
                <w:b/>
                <w:snapToGrid w:val="0"/>
                <w:highlight w:val="none"/>
              </w:rPr>
            </w:pPr>
            <w:r>
              <w:rPr>
                <w:rFonts w:hint="eastAsia" w:ascii="Times New Roman" w:hAnsi="Times New Roman" w:eastAsia="宋体" w:cs="Times New Roman"/>
                <w:b/>
                <w:snapToGrid w:val="0"/>
                <w:highlight w:val="none"/>
              </w:rPr>
              <w:t>表</w:t>
            </w:r>
            <w:r>
              <w:rPr>
                <w:rFonts w:hint="default" w:ascii="Times New Roman" w:hAnsi="Times New Roman" w:eastAsia="宋体" w:cs="Times New Roman"/>
                <w:b/>
                <w:snapToGrid w:val="0"/>
                <w:highlight w:val="none"/>
              </w:rPr>
              <w:t>4-</w:t>
            </w:r>
            <w:r>
              <w:rPr>
                <w:rFonts w:hint="eastAsia" w:cs="Times New Roman"/>
                <w:b/>
                <w:snapToGrid w:val="0"/>
                <w:highlight w:val="none"/>
                <w:lang w:val="en-US" w:eastAsia="zh-CN"/>
              </w:rPr>
              <w:t>3</w:t>
            </w:r>
            <w:r>
              <w:rPr>
                <w:rFonts w:hint="default" w:ascii="Times New Roman" w:hAnsi="Times New Roman" w:eastAsia="宋体" w:cs="Times New Roman"/>
                <w:b/>
                <w:snapToGrid w:val="0"/>
                <w:highlight w:val="none"/>
              </w:rPr>
              <w:t xml:space="preserve"> </w:t>
            </w:r>
            <w:r>
              <w:rPr>
                <w:rFonts w:hint="eastAsia" w:ascii="Times New Roman" w:hAnsi="Times New Roman" w:eastAsia="宋体" w:cs="Times New Roman"/>
                <w:b/>
                <w:snapToGrid w:val="0"/>
                <w:highlight w:val="none"/>
              </w:rPr>
              <w:t>废水污染源源强核算结果及相关参数一览表</w:t>
            </w:r>
          </w:p>
          <w:tbl>
            <w:tblPr>
              <w:tblStyle w:val="32"/>
              <w:tblW w:w="8315"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
            <w:tblGrid>
              <w:gridCol w:w="580"/>
              <w:gridCol w:w="423"/>
              <w:gridCol w:w="1031"/>
              <w:gridCol w:w="595"/>
              <w:gridCol w:w="609"/>
              <w:gridCol w:w="699"/>
              <w:gridCol w:w="777"/>
              <w:gridCol w:w="630"/>
              <w:gridCol w:w="477"/>
              <w:gridCol w:w="611"/>
              <w:gridCol w:w="679"/>
              <w:gridCol w:w="723"/>
              <w:gridCol w:w="481"/>
            </w:tblGrid>
            <w:tr w14:paraId="6518BFD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blHeader/>
                <w:jc w:val="center"/>
              </w:trPr>
              <w:tc>
                <w:tcPr>
                  <w:tcW w:w="580" w:type="dxa"/>
                  <w:vMerge w:val="restart"/>
                  <w:tcBorders>
                    <w:top w:val="single" w:color="auto" w:sz="4" w:space="0"/>
                    <w:left w:val="single" w:color="auto" w:sz="4" w:space="0"/>
                    <w:bottom w:val="single" w:color="auto" w:sz="4" w:space="0"/>
                    <w:right w:val="single" w:color="auto" w:sz="4" w:space="0"/>
                  </w:tcBorders>
                  <w:vAlign w:val="center"/>
                </w:tcPr>
                <w:p w14:paraId="61D5592E">
                  <w:pPr>
                    <w:keepNext w:val="0"/>
                    <w:keepLines w:val="0"/>
                    <w:widowControl/>
                    <w:suppressLineNumbers w:val="0"/>
                    <w:adjustRightInd w:val="0"/>
                    <w:snapToGrid w:val="0"/>
                    <w:spacing w:before="0" w:beforeAutospacing="0" w:after="0" w:afterAutospacing="0" w:line="264" w:lineRule="auto"/>
                    <w:ind w:left="0" w:right="0"/>
                    <w:jc w:val="center"/>
                    <w:outlineLvl w:val="2"/>
                    <w:rPr>
                      <w:rFonts w:hint="default" w:ascii="Times New Roman" w:hAnsi="Times New Roman" w:eastAsia="宋体" w:cs="Times New Roman"/>
                      <w:bCs/>
                      <w:snapToGrid w:val="0"/>
                      <w:sz w:val="18"/>
                      <w:szCs w:val="18"/>
                      <w:highlight w:val="none"/>
                    </w:rPr>
                  </w:pPr>
                  <w:r>
                    <w:rPr>
                      <w:rFonts w:hint="eastAsia" w:ascii="Times New Roman" w:hAnsi="Times New Roman" w:eastAsia="宋体" w:cs="Times New Roman"/>
                      <w:bCs/>
                      <w:snapToGrid w:val="0"/>
                      <w:sz w:val="18"/>
                      <w:szCs w:val="18"/>
                      <w:highlight w:val="none"/>
                    </w:rPr>
                    <w:t>排放口</w:t>
                  </w:r>
                </w:p>
                <w:p w14:paraId="519A7AB5">
                  <w:pPr>
                    <w:keepNext w:val="0"/>
                    <w:keepLines w:val="0"/>
                    <w:widowControl/>
                    <w:suppressLineNumbers w:val="0"/>
                    <w:adjustRightInd w:val="0"/>
                    <w:snapToGrid w:val="0"/>
                    <w:spacing w:before="0" w:beforeAutospacing="0" w:after="0" w:afterAutospacing="0" w:line="264" w:lineRule="auto"/>
                    <w:ind w:left="0" w:right="0"/>
                    <w:jc w:val="center"/>
                    <w:outlineLvl w:val="2"/>
                    <w:rPr>
                      <w:rFonts w:hint="default" w:ascii="Times New Roman" w:hAnsi="Times New Roman" w:eastAsia="宋体" w:cs="Times New Roman"/>
                      <w:bCs/>
                      <w:snapToGrid w:val="0"/>
                      <w:sz w:val="18"/>
                      <w:szCs w:val="18"/>
                      <w:highlight w:val="none"/>
                    </w:rPr>
                  </w:pPr>
                  <w:r>
                    <w:rPr>
                      <w:rFonts w:hint="eastAsia" w:ascii="Times New Roman" w:hAnsi="Times New Roman" w:eastAsia="宋体" w:cs="Times New Roman"/>
                      <w:bCs/>
                      <w:snapToGrid w:val="0"/>
                      <w:sz w:val="18"/>
                      <w:szCs w:val="18"/>
                      <w:highlight w:val="none"/>
                    </w:rPr>
                    <w:t>编号</w:t>
                  </w:r>
                </w:p>
              </w:tc>
              <w:tc>
                <w:tcPr>
                  <w:tcW w:w="423" w:type="dxa"/>
                  <w:vMerge w:val="restart"/>
                  <w:tcBorders>
                    <w:top w:val="single" w:color="auto" w:sz="4" w:space="0"/>
                    <w:left w:val="single" w:color="auto" w:sz="4" w:space="0"/>
                    <w:bottom w:val="single" w:color="auto" w:sz="4" w:space="0"/>
                    <w:right w:val="single" w:color="auto" w:sz="4" w:space="0"/>
                  </w:tcBorders>
                  <w:vAlign w:val="center"/>
                </w:tcPr>
                <w:p w14:paraId="2433066C">
                  <w:pPr>
                    <w:keepNext w:val="0"/>
                    <w:keepLines w:val="0"/>
                    <w:suppressLineNumbers w:val="0"/>
                    <w:adjustRightInd w:val="0"/>
                    <w:snapToGrid w:val="0"/>
                    <w:spacing w:before="0" w:beforeAutospacing="0" w:after="0" w:afterAutospacing="0" w:line="264" w:lineRule="auto"/>
                    <w:ind w:left="0" w:right="0"/>
                    <w:jc w:val="center"/>
                    <w:outlineLvl w:val="2"/>
                    <w:rPr>
                      <w:rFonts w:hint="default" w:ascii="Times New Roman" w:hAnsi="Times New Roman" w:eastAsia="宋体" w:cs="Times New Roman"/>
                      <w:bCs/>
                      <w:snapToGrid w:val="0"/>
                      <w:sz w:val="18"/>
                      <w:szCs w:val="18"/>
                      <w:highlight w:val="none"/>
                    </w:rPr>
                  </w:pPr>
                  <w:r>
                    <w:rPr>
                      <w:rFonts w:hint="eastAsia" w:ascii="Times New Roman" w:hAnsi="Times New Roman" w:eastAsia="宋体" w:cs="Times New Roman"/>
                      <w:bCs/>
                      <w:snapToGrid w:val="0"/>
                      <w:sz w:val="18"/>
                      <w:szCs w:val="18"/>
                      <w:highlight w:val="none"/>
                    </w:rPr>
                    <w:t>排放口名称</w:t>
                  </w:r>
                </w:p>
              </w:tc>
              <w:tc>
                <w:tcPr>
                  <w:tcW w:w="1031" w:type="dxa"/>
                  <w:vMerge w:val="restart"/>
                  <w:tcBorders>
                    <w:top w:val="single" w:color="auto" w:sz="4" w:space="0"/>
                    <w:left w:val="single" w:color="auto" w:sz="4" w:space="0"/>
                    <w:bottom w:val="single" w:color="auto" w:sz="4" w:space="0"/>
                    <w:right w:val="single" w:color="auto" w:sz="4" w:space="0"/>
                  </w:tcBorders>
                  <w:vAlign w:val="center"/>
                </w:tcPr>
                <w:p w14:paraId="62411117">
                  <w:pPr>
                    <w:keepNext w:val="0"/>
                    <w:keepLines w:val="0"/>
                    <w:widowControl/>
                    <w:suppressLineNumbers w:val="0"/>
                    <w:adjustRightInd w:val="0"/>
                    <w:snapToGrid w:val="0"/>
                    <w:spacing w:before="0" w:beforeAutospacing="0" w:after="0" w:afterAutospacing="0" w:line="264" w:lineRule="auto"/>
                    <w:ind w:left="0" w:right="0"/>
                    <w:jc w:val="center"/>
                    <w:outlineLvl w:val="2"/>
                    <w:rPr>
                      <w:rFonts w:hint="default" w:ascii="Times New Roman" w:hAnsi="Times New Roman" w:eastAsia="宋体" w:cs="Times New Roman"/>
                      <w:bCs/>
                      <w:snapToGrid w:val="0"/>
                      <w:sz w:val="18"/>
                      <w:szCs w:val="18"/>
                      <w:highlight w:val="none"/>
                    </w:rPr>
                  </w:pPr>
                  <w:r>
                    <w:rPr>
                      <w:rFonts w:hint="eastAsia" w:ascii="Times New Roman" w:hAnsi="Times New Roman" w:eastAsia="宋体" w:cs="Times New Roman"/>
                      <w:bCs/>
                      <w:snapToGrid w:val="0"/>
                      <w:sz w:val="18"/>
                      <w:szCs w:val="18"/>
                      <w:highlight w:val="none"/>
                    </w:rPr>
                    <w:t>废水类别</w:t>
                  </w:r>
                </w:p>
              </w:tc>
              <w:tc>
                <w:tcPr>
                  <w:tcW w:w="595" w:type="dxa"/>
                  <w:vMerge w:val="restart"/>
                  <w:tcBorders>
                    <w:top w:val="single" w:color="auto" w:sz="4" w:space="0"/>
                    <w:left w:val="single" w:color="auto" w:sz="4" w:space="0"/>
                    <w:bottom w:val="single" w:color="auto" w:sz="4" w:space="0"/>
                    <w:right w:val="single" w:color="auto" w:sz="4" w:space="0"/>
                  </w:tcBorders>
                  <w:vAlign w:val="center"/>
                </w:tcPr>
                <w:p w14:paraId="563E341B">
                  <w:pPr>
                    <w:keepNext w:val="0"/>
                    <w:keepLines w:val="0"/>
                    <w:suppressLineNumbers w:val="0"/>
                    <w:adjustRightInd w:val="0"/>
                    <w:snapToGrid w:val="0"/>
                    <w:spacing w:before="0" w:beforeAutospacing="0" w:after="0" w:afterAutospacing="0" w:line="264" w:lineRule="auto"/>
                    <w:ind w:left="0" w:right="0"/>
                    <w:jc w:val="center"/>
                    <w:outlineLvl w:val="2"/>
                    <w:rPr>
                      <w:rFonts w:hint="default" w:ascii="Times New Roman" w:hAnsi="Times New Roman" w:eastAsia="宋体" w:cs="Times New Roman"/>
                      <w:bCs/>
                      <w:snapToGrid w:val="0"/>
                      <w:sz w:val="18"/>
                      <w:szCs w:val="18"/>
                      <w:highlight w:val="none"/>
                    </w:rPr>
                  </w:pPr>
                  <w:r>
                    <w:rPr>
                      <w:rFonts w:hint="eastAsia" w:ascii="Times New Roman" w:hAnsi="Times New Roman" w:eastAsia="宋体" w:cs="Times New Roman"/>
                      <w:bCs/>
                      <w:snapToGrid w:val="0"/>
                      <w:sz w:val="18"/>
                      <w:szCs w:val="18"/>
                      <w:highlight w:val="none"/>
                    </w:rPr>
                    <w:t>污染物</w:t>
                  </w:r>
                </w:p>
              </w:tc>
              <w:tc>
                <w:tcPr>
                  <w:tcW w:w="2085" w:type="dxa"/>
                  <w:gridSpan w:val="3"/>
                  <w:tcBorders>
                    <w:top w:val="single" w:color="auto" w:sz="4" w:space="0"/>
                    <w:left w:val="single" w:color="auto" w:sz="4" w:space="0"/>
                    <w:bottom w:val="single" w:color="auto" w:sz="4" w:space="0"/>
                    <w:right w:val="single" w:color="auto" w:sz="4" w:space="0"/>
                  </w:tcBorders>
                  <w:vAlign w:val="center"/>
                </w:tcPr>
                <w:p w14:paraId="00C1C0C8">
                  <w:pPr>
                    <w:keepNext w:val="0"/>
                    <w:keepLines w:val="0"/>
                    <w:suppressLineNumbers w:val="0"/>
                    <w:adjustRightInd w:val="0"/>
                    <w:snapToGrid w:val="0"/>
                    <w:spacing w:before="0" w:beforeAutospacing="0" w:after="0" w:afterAutospacing="0" w:line="264" w:lineRule="auto"/>
                    <w:ind w:left="0" w:right="0"/>
                    <w:jc w:val="center"/>
                    <w:outlineLvl w:val="2"/>
                    <w:rPr>
                      <w:rFonts w:hint="default" w:ascii="Times New Roman" w:hAnsi="Times New Roman" w:eastAsia="宋体" w:cs="Times New Roman"/>
                      <w:bCs/>
                      <w:snapToGrid w:val="0"/>
                      <w:sz w:val="18"/>
                      <w:szCs w:val="18"/>
                      <w:highlight w:val="none"/>
                    </w:rPr>
                  </w:pPr>
                  <w:r>
                    <w:rPr>
                      <w:rFonts w:hint="eastAsia" w:ascii="Times New Roman" w:hAnsi="Times New Roman" w:eastAsia="宋体" w:cs="Times New Roman"/>
                      <w:bCs/>
                      <w:snapToGrid w:val="0"/>
                      <w:sz w:val="18"/>
                      <w:szCs w:val="18"/>
                      <w:highlight w:val="none"/>
                    </w:rPr>
                    <w:t>污染物产生</w:t>
                  </w:r>
                </w:p>
              </w:tc>
              <w:tc>
                <w:tcPr>
                  <w:tcW w:w="1107" w:type="dxa"/>
                  <w:gridSpan w:val="2"/>
                  <w:tcBorders>
                    <w:top w:val="single" w:color="auto" w:sz="4" w:space="0"/>
                    <w:left w:val="single" w:color="auto" w:sz="4" w:space="0"/>
                    <w:bottom w:val="single" w:color="auto" w:sz="4" w:space="0"/>
                    <w:right w:val="single" w:color="auto" w:sz="4" w:space="0"/>
                  </w:tcBorders>
                  <w:vAlign w:val="center"/>
                </w:tcPr>
                <w:p w14:paraId="54540B9D">
                  <w:pPr>
                    <w:keepNext w:val="0"/>
                    <w:keepLines w:val="0"/>
                    <w:widowControl/>
                    <w:suppressLineNumbers w:val="0"/>
                    <w:adjustRightInd w:val="0"/>
                    <w:snapToGrid w:val="0"/>
                    <w:spacing w:before="0" w:beforeAutospacing="0" w:after="0" w:afterAutospacing="0" w:line="264" w:lineRule="auto"/>
                    <w:ind w:left="0" w:right="0"/>
                    <w:jc w:val="center"/>
                    <w:outlineLvl w:val="2"/>
                    <w:rPr>
                      <w:rFonts w:hint="default" w:ascii="Times New Roman" w:hAnsi="Times New Roman" w:eastAsia="宋体" w:cs="Times New Roman"/>
                      <w:bCs/>
                      <w:snapToGrid w:val="0"/>
                      <w:sz w:val="18"/>
                      <w:szCs w:val="18"/>
                      <w:highlight w:val="none"/>
                    </w:rPr>
                  </w:pPr>
                  <w:r>
                    <w:rPr>
                      <w:rFonts w:hint="eastAsia" w:ascii="Times New Roman" w:hAnsi="Times New Roman" w:eastAsia="宋体" w:cs="Times New Roman"/>
                      <w:bCs/>
                      <w:snapToGrid w:val="0"/>
                      <w:sz w:val="18"/>
                      <w:szCs w:val="18"/>
                      <w:highlight w:val="none"/>
                    </w:rPr>
                    <w:t>治理措施</w:t>
                  </w:r>
                </w:p>
              </w:tc>
              <w:tc>
                <w:tcPr>
                  <w:tcW w:w="2013" w:type="dxa"/>
                  <w:gridSpan w:val="3"/>
                  <w:tcBorders>
                    <w:top w:val="single" w:color="auto" w:sz="4" w:space="0"/>
                    <w:left w:val="single" w:color="auto" w:sz="4" w:space="0"/>
                    <w:bottom w:val="single" w:color="auto" w:sz="4" w:space="0"/>
                    <w:right w:val="single" w:color="auto" w:sz="4" w:space="0"/>
                  </w:tcBorders>
                  <w:vAlign w:val="center"/>
                </w:tcPr>
                <w:p w14:paraId="5EB5850F">
                  <w:pPr>
                    <w:keepNext w:val="0"/>
                    <w:keepLines w:val="0"/>
                    <w:widowControl/>
                    <w:suppressLineNumbers w:val="0"/>
                    <w:adjustRightInd w:val="0"/>
                    <w:snapToGrid w:val="0"/>
                    <w:spacing w:before="0" w:beforeAutospacing="0" w:after="0" w:afterAutospacing="0" w:line="264" w:lineRule="auto"/>
                    <w:ind w:left="0" w:right="0"/>
                    <w:jc w:val="center"/>
                    <w:outlineLvl w:val="2"/>
                    <w:rPr>
                      <w:rFonts w:hint="default" w:ascii="Times New Roman" w:hAnsi="Times New Roman" w:eastAsia="宋体" w:cs="Times New Roman"/>
                      <w:bCs/>
                      <w:snapToGrid w:val="0"/>
                      <w:sz w:val="18"/>
                      <w:szCs w:val="18"/>
                      <w:highlight w:val="none"/>
                    </w:rPr>
                  </w:pPr>
                  <w:r>
                    <w:rPr>
                      <w:rFonts w:hint="eastAsia" w:ascii="Times New Roman" w:hAnsi="Times New Roman" w:eastAsia="宋体" w:cs="Times New Roman"/>
                      <w:bCs/>
                      <w:snapToGrid w:val="0"/>
                      <w:sz w:val="18"/>
                      <w:szCs w:val="18"/>
                      <w:highlight w:val="none"/>
                    </w:rPr>
                    <w:t>污染物排放</w:t>
                  </w:r>
                </w:p>
              </w:tc>
              <w:tc>
                <w:tcPr>
                  <w:tcW w:w="481" w:type="dxa"/>
                  <w:vMerge w:val="restart"/>
                  <w:tcBorders>
                    <w:top w:val="single" w:color="auto" w:sz="4" w:space="0"/>
                    <w:left w:val="single" w:color="auto" w:sz="4" w:space="0"/>
                    <w:bottom w:val="single" w:color="auto" w:sz="4" w:space="0"/>
                    <w:right w:val="single" w:color="auto" w:sz="4" w:space="0"/>
                  </w:tcBorders>
                  <w:vAlign w:val="center"/>
                </w:tcPr>
                <w:p w14:paraId="4753F13B">
                  <w:pPr>
                    <w:keepNext w:val="0"/>
                    <w:keepLines w:val="0"/>
                    <w:widowControl/>
                    <w:suppressLineNumbers w:val="0"/>
                    <w:adjustRightInd w:val="0"/>
                    <w:snapToGrid w:val="0"/>
                    <w:spacing w:before="0" w:beforeAutospacing="0" w:after="0" w:afterAutospacing="0" w:line="264" w:lineRule="auto"/>
                    <w:ind w:left="0" w:right="0"/>
                    <w:jc w:val="center"/>
                    <w:outlineLvl w:val="2"/>
                    <w:rPr>
                      <w:rFonts w:hint="default" w:ascii="Times New Roman" w:hAnsi="Times New Roman" w:eastAsia="宋体" w:cs="Times New Roman"/>
                      <w:bCs/>
                      <w:snapToGrid w:val="0"/>
                      <w:sz w:val="18"/>
                      <w:szCs w:val="18"/>
                      <w:highlight w:val="none"/>
                    </w:rPr>
                  </w:pPr>
                  <w:r>
                    <w:rPr>
                      <w:rFonts w:hint="eastAsia" w:ascii="Times New Roman" w:hAnsi="Times New Roman" w:eastAsia="宋体" w:cs="Times New Roman"/>
                      <w:bCs/>
                      <w:snapToGrid w:val="0"/>
                      <w:sz w:val="18"/>
                      <w:szCs w:val="18"/>
                      <w:highlight w:val="none"/>
                    </w:rPr>
                    <w:t>排放时间</w:t>
                  </w:r>
                  <w:r>
                    <w:rPr>
                      <w:rFonts w:hint="default" w:ascii="Times New Roman" w:hAnsi="Times New Roman" w:eastAsia="宋体" w:cs="Times New Roman"/>
                      <w:bCs/>
                      <w:snapToGrid w:val="0"/>
                      <w:sz w:val="18"/>
                      <w:szCs w:val="18"/>
                      <w:highlight w:val="none"/>
                    </w:rPr>
                    <w:t>h</w:t>
                  </w:r>
                </w:p>
              </w:tc>
            </w:tr>
            <w:tr w14:paraId="0A73524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blHeader/>
                <w:jc w:val="center"/>
              </w:trPr>
              <w:tc>
                <w:tcPr>
                  <w:tcW w:w="580" w:type="dxa"/>
                  <w:vMerge w:val="continue"/>
                  <w:tcBorders>
                    <w:top w:val="single" w:color="auto" w:sz="4" w:space="0"/>
                    <w:left w:val="single" w:color="auto" w:sz="4" w:space="0"/>
                    <w:bottom w:val="single" w:color="auto" w:sz="4" w:space="0"/>
                    <w:right w:val="single" w:color="auto" w:sz="4" w:space="0"/>
                  </w:tcBorders>
                  <w:vAlign w:val="center"/>
                </w:tcPr>
                <w:p w14:paraId="0F168190">
                  <w:pPr>
                    <w:keepNext w:val="0"/>
                    <w:keepLines w:val="0"/>
                    <w:suppressLineNumbers w:val="0"/>
                    <w:adjustRightInd w:val="0"/>
                    <w:snapToGrid w:val="0"/>
                    <w:spacing w:before="0" w:beforeAutospacing="0" w:after="0" w:afterAutospacing="0" w:line="264" w:lineRule="auto"/>
                    <w:ind w:left="0" w:right="0"/>
                    <w:jc w:val="center"/>
                    <w:outlineLvl w:val="2"/>
                    <w:rPr>
                      <w:rFonts w:hint="default" w:ascii="Times New Roman" w:hAnsi="Times New Roman" w:eastAsia="宋体" w:cs="Times New Roman"/>
                      <w:bCs/>
                      <w:snapToGrid w:val="0"/>
                      <w:sz w:val="18"/>
                      <w:szCs w:val="18"/>
                      <w:highlight w:val="none"/>
                    </w:rPr>
                  </w:pPr>
                </w:p>
              </w:tc>
              <w:tc>
                <w:tcPr>
                  <w:tcW w:w="423" w:type="dxa"/>
                  <w:vMerge w:val="continue"/>
                  <w:tcBorders>
                    <w:top w:val="single" w:color="auto" w:sz="4" w:space="0"/>
                    <w:left w:val="single" w:color="auto" w:sz="4" w:space="0"/>
                    <w:bottom w:val="single" w:color="auto" w:sz="4" w:space="0"/>
                    <w:right w:val="single" w:color="auto" w:sz="4" w:space="0"/>
                  </w:tcBorders>
                  <w:vAlign w:val="center"/>
                </w:tcPr>
                <w:p w14:paraId="5EF20470">
                  <w:pPr>
                    <w:keepNext w:val="0"/>
                    <w:keepLines w:val="0"/>
                    <w:suppressLineNumbers w:val="0"/>
                    <w:adjustRightInd w:val="0"/>
                    <w:snapToGrid w:val="0"/>
                    <w:spacing w:before="0" w:beforeAutospacing="0" w:after="0" w:afterAutospacing="0" w:line="264" w:lineRule="auto"/>
                    <w:ind w:left="0" w:right="0"/>
                    <w:jc w:val="center"/>
                    <w:outlineLvl w:val="2"/>
                    <w:rPr>
                      <w:rFonts w:hint="default" w:ascii="Times New Roman" w:hAnsi="Times New Roman" w:eastAsia="宋体" w:cs="Times New Roman"/>
                      <w:bCs/>
                      <w:snapToGrid w:val="0"/>
                      <w:sz w:val="18"/>
                      <w:szCs w:val="18"/>
                      <w:highlight w:val="none"/>
                    </w:rPr>
                  </w:pPr>
                </w:p>
              </w:tc>
              <w:tc>
                <w:tcPr>
                  <w:tcW w:w="1031" w:type="dxa"/>
                  <w:vMerge w:val="continue"/>
                  <w:tcBorders>
                    <w:top w:val="single" w:color="auto" w:sz="4" w:space="0"/>
                    <w:left w:val="single" w:color="auto" w:sz="4" w:space="0"/>
                    <w:bottom w:val="single" w:color="auto" w:sz="4" w:space="0"/>
                    <w:right w:val="single" w:color="auto" w:sz="4" w:space="0"/>
                  </w:tcBorders>
                  <w:vAlign w:val="center"/>
                </w:tcPr>
                <w:p w14:paraId="7F21A099">
                  <w:pPr>
                    <w:keepNext w:val="0"/>
                    <w:keepLines w:val="0"/>
                    <w:widowControl/>
                    <w:suppressLineNumbers w:val="0"/>
                    <w:adjustRightInd w:val="0"/>
                    <w:snapToGrid w:val="0"/>
                    <w:spacing w:before="0" w:beforeAutospacing="0" w:after="0" w:afterAutospacing="0" w:line="264" w:lineRule="auto"/>
                    <w:ind w:left="0" w:right="0"/>
                    <w:jc w:val="center"/>
                    <w:outlineLvl w:val="2"/>
                    <w:rPr>
                      <w:rFonts w:hint="default" w:ascii="Times New Roman" w:hAnsi="Times New Roman" w:eastAsia="宋体" w:cs="Times New Roman"/>
                      <w:bCs/>
                      <w:snapToGrid w:val="0"/>
                      <w:sz w:val="18"/>
                      <w:szCs w:val="18"/>
                      <w:highlight w:val="none"/>
                    </w:rPr>
                  </w:pPr>
                </w:p>
              </w:tc>
              <w:tc>
                <w:tcPr>
                  <w:tcW w:w="595" w:type="dxa"/>
                  <w:vMerge w:val="continue"/>
                  <w:tcBorders>
                    <w:top w:val="single" w:color="auto" w:sz="4" w:space="0"/>
                    <w:left w:val="single" w:color="auto" w:sz="4" w:space="0"/>
                    <w:bottom w:val="single" w:color="auto" w:sz="4" w:space="0"/>
                    <w:right w:val="single" w:color="auto" w:sz="4" w:space="0"/>
                  </w:tcBorders>
                  <w:vAlign w:val="center"/>
                </w:tcPr>
                <w:p w14:paraId="0BB03347">
                  <w:pPr>
                    <w:keepNext w:val="0"/>
                    <w:keepLines w:val="0"/>
                    <w:widowControl/>
                    <w:suppressLineNumbers w:val="0"/>
                    <w:adjustRightInd w:val="0"/>
                    <w:snapToGrid w:val="0"/>
                    <w:spacing w:before="0" w:beforeAutospacing="0" w:after="0" w:afterAutospacing="0" w:line="264" w:lineRule="auto"/>
                    <w:ind w:left="0" w:right="0"/>
                    <w:jc w:val="center"/>
                    <w:outlineLvl w:val="2"/>
                    <w:rPr>
                      <w:rFonts w:hint="default" w:ascii="Times New Roman" w:hAnsi="Times New Roman" w:eastAsia="宋体" w:cs="Times New Roman"/>
                      <w:bCs/>
                      <w:snapToGrid w:val="0"/>
                      <w:sz w:val="18"/>
                      <w:szCs w:val="18"/>
                      <w:highlight w:val="none"/>
                    </w:rPr>
                  </w:pPr>
                </w:p>
              </w:tc>
              <w:tc>
                <w:tcPr>
                  <w:tcW w:w="609" w:type="dxa"/>
                  <w:tcBorders>
                    <w:top w:val="single" w:color="auto" w:sz="4" w:space="0"/>
                    <w:left w:val="single" w:color="auto" w:sz="4" w:space="0"/>
                    <w:bottom w:val="single" w:color="auto" w:sz="4" w:space="0"/>
                    <w:right w:val="single" w:color="auto" w:sz="4" w:space="0"/>
                  </w:tcBorders>
                  <w:vAlign w:val="center"/>
                </w:tcPr>
                <w:p w14:paraId="7D7A6622">
                  <w:pPr>
                    <w:keepNext w:val="0"/>
                    <w:keepLines w:val="0"/>
                    <w:widowControl/>
                    <w:suppressLineNumbers w:val="0"/>
                    <w:adjustRightInd w:val="0"/>
                    <w:snapToGrid w:val="0"/>
                    <w:spacing w:before="0" w:beforeAutospacing="0" w:after="0" w:afterAutospacing="0" w:line="264" w:lineRule="auto"/>
                    <w:ind w:left="0" w:right="0"/>
                    <w:jc w:val="center"/>
                    <w:outlineLvl w:val="2"/>
                    <w:rPr>
                      <w:rFonts w:hint="default" w:ascii="Times New Roman" w:hAnsi="Times New Roman" w:eastAsia="宋体" w:cs="Times New Roman"/>
                      <w:bCs/>
                      <w:snapToGrid w:val="0"/>
                      <w:sz w:val="18"/>
                      <w:szCs w:val="18"/>
                      <w:highlight w:val="none"/>
                    </w:rPr>
                  </w:pPr>
                  <w:r>
                    <w:rPr>
                      <w:rFonts w:hint="eastAsia" w:ascii="Times New Roman" w:hAnsi="Times New Roman" w:eastAsia="宋体" w:cs="Times New Roman"/>
                      <w:bCs/>
                      <w:snapToGrid w:val="0"/>
                      <w:sz w:val="18"/>
                      <w:szCs w:val="18"/>
                      <w:highlight w:val="none"/>
                    </w:rPr>
                    <w:t>废水量</w:t>
                  </w:r>
                  <w:r>
                    <w:rPr>
                      <w:rFonts w:hint="default" w:ascii="Times New Roman" w:hAnsi="Times New Roman" w:eastAsia="宋体" w:cs="Times New Roman"/>
                      <w:bCs/>
                      <w:snapToGrid w:val="0"/>
                      <w:sz w:val="18"/>
                      <w:szCs w:val="18"/>
                      <w:highlight w:val="none"/>
                    </w:rPr>
                    <w:t>m</w:t>
                  </w:r>
                  <w:r>
                    <w:rPr>
                      <w:rFonts w:hint="default" w:ascii="Times New Roman" w:hAnsi="Times New Roman" w:eastAsia="宋体" w:cs="Times New Roman"/>
                      <w:bCs/>
                      <w:snapToGrid w:val="0"/>
                      <w:sz w:val="18"/>
                      <w:szCs w:val="18"/>
                      <w:highlight w:val="none"/>
                      <w:vertAlign w:val="superscript"/>
                    </w:rPr>
                    <w:t>3</w:t>
                  </w:r>
                  <w:r>
                    <w:rPr>
                      <w:rFonts w:hint="default" w:ascii="Times New Roman" w:hAnsi="Times New Roman" w:eastAsia="宋体" w:cs="Times New Roman"/>
                      <w:bCs/>
                      <w:snapToGrid w:val="0"/>
                      <w:sz w:val="18"/>
                      <w:szCs w:val="18"/>
                      <w:highlight w:val="none"/>
                    </w:rPr>
                    <w:t>/a</w:t>
                  </w:r>
                </w:p>
              </w:tc>
              <w:tc>
                <w:tcPr>
                  <w:tcW w:w="699" w:type="dxa"/>
                  <w:tcBorders>
                    <w:top w:val="single" w:color="auto" w:sz="4" w:space="0"/>
                    <w:left w:val="single" w:color="auto" w:sz="4" w:space="0"/>
                    <w:bottom w:val="single" w:color="auto" w:sz="4" w:space="0"/>
                    <w:right w:val="single" w:color="auto" w:sz="4" w:space="0"/>
                  </w:tcBorders>
                  <w:vAlign w:val="center"/>
                </w:tcPr>
                <w:p w14:paraId="41C7659D">
                  <w:pPr>
                    <w:keepNext w:val="0"/>
                    <w:keepLines w:val="0"/>
                    <w:widowControl/>
                    <w:suppressLineNumbers w:val="0"/>
                    <w:adjustRightInd w:val="0"/>
                    <w:snapToGrid w:val="0"/>
                    <w:spacing w:before="0" w:beforeAutospacing="0" w:after="0" w:afterAutospacing="0" w:line="264" w:lineRule="auto"/>
                    <w:ind w:left="0" w:right="0"/>
                    <w:jc w:val="center"/>
                    <w:outlineLvl w:val="2"/>
                    <w:rPr>
                      <w:rFonts w:hint="default" w:ascii="Times New Roman" w:hAnsi="Times New Roman" w:eastAsia="宋体" w:cs="Times New Roman"/>
                      <w:bCs/>
                      <w:snapToGrid w:val="0"/>
                      <w:sz w:val="18"/>
                      <w:szCs w:val="18"/>
                      <w:highlight w:val="none"/>
                    </w:rPr>
                  </w:pPr>
                  <w:r>
                    <w:rPr>
                      <w:rFonts w:hint="eastAsia" w:ascii="Times New Roman" w:hAnsi="Times New Roman" w:eastAsia="宋体" w:cs="Times New Roman"/>
                      <w:bCs/>
                      <w:snapToGrid w:val="0"/>
                      <w:sz w:val="18"/>
                      <w:szCs w:val="18"/>
                      <w:highlight w:val="none"/>
                    </w:rPr>
                    <w:t>产生浓度</w:t>
                  </w:r>
                  <w:r>
                    <w:rPr>
                      <w:rFonts w:hint="default" w:ascii="Times New Roman" w:hAnsi="Times New Roman" w:eastAsia="宋体" w:cs="Times New Roman"/>
                      <w:bCs/>
                      <w:snapToGrid w:val="0"/>
                      <w:sz w:val="18"/>
                      <w:szCs w:val="18"/>
                      <w:highlight w:val="none"/>
                    </w:rPr>
                    <w:t>mg/L</w:t>
                  </w:r>
                </w:p>
              </w:tc>
              <w:tc>
                <w:tcPr>
                  <w:tcW w:w="777" w:type="dxa"/>
                  <w:tcBorders>
                    <w:top w:val="single" w:color="auto" w:sz="4" w:space="0"/>
                    <w:left w:val="single" w:color="auto" w:sz="4" w:space="0"/>
                    <w:bottom w:val="single" w:color="auto" w:sz="4" w:space="0"/>
                    <w:right w:val="single" w:color="auto" w:sz="4" w:space="0"/>
                  </w:tcBorders>
                  <w:vAlign w:val="center"/>
                </w:tcPr>
                <w:p w14:paraId="2E25D3B1">
                  <w:pPr>
                    <w:keepNext w:val="0"/>
                    <w:keepLines w:val="0"/>
                    <w:widowControl/>
                    <w:suppressLineNumbers w:val="0"/>
                    <w:adjustRightInd w:val="0"/>
                    <w:snapToGrid w:val="0"/>
                    <w:spacing w:before="0" w:beforeAutospacing="0" w:after="0" w:afterAutospacing="0" w:line="264" w:lineRule="auto"/>
                    <w:ind w:left="0" w:right="0"/>
                    <w:jc w:val="center"/>
                    <w:outlineLvl w:val="2"/>
                    <w:rPr>
                      <w:rFonts w:hint="default" w:ascii="Times New Roman" w:hAnsi="Times New Roman" w:eastAsia="宋体" w:cs="Times New Roman"/>
                      <w:bCs/>
                      <w:snapToGrid w:val="0"/>
                      <w:sz w:val="18"/>
                      <w:szCs w:val="18"/>
                      <w:highlight w:val="none"/>
                    </w:rPr>
                  </w:pPr>
                  <w:r>
                    <w:rPr>
                      <w:rFonts w:hint="eastAsia" w:ascii="Times New Roman" w:hAnsi="Times New Roman" w:eastAsia="宋体" w:cs="Times New Roman"/>
                      <w:bCs/>
                      <w:snapToGrid w:val="0"/>
                      <w:sz w:val="18"/>
                      <w:szCs w:val="18"/>
                      <w:highlight w:val="none"/>
                    </w:rPr>
                    <w:t>产生量</w:t>
                  </w:r>
                  <w:r>
                    <w:rPr>
                      <w:rFonts w:hint="default" w:ascii="Times New Roman" w:hAnsi="Times New Roman" w:eastAsia="宋体" w:cs="Times New Roman"/>
                      <w:bCs/>
                      <w:snapToGrid w:val="0"/>
                      <w:sz w:val="18"/>
                      <w:szCs w:val="18"/>
                      <w:highlight w:val="none"/>
                    </w:rPr>
                    <w:t>t/a</w:t>
                  </w:r>
                </w:p>
              </w:tc>
              <w:tc>
                <w:tcPr>
                  <w:tcW w:w="630" w:type="dxa"/>
                  <w:tcBorders>
                    <w:top w:val="single" w:color="auto" w:sz="4" w:space="0"/>
                    <w:left w:val="single" w:color="auto" w:sz="4" w:space="0"/>
                    <w:bottom w:val="single" w:color="auto" w:sz="4" w:space="0"/>
                    <w:right w:val="single" w:color="auto" w:sz="4" w:space="0"/>
                  </w:tcBorders>
                  <w:vAlign w:val="center"/>
                </w:tcPr>
                <w:p w14:paraId="1E546AD4">
                  <w:pPr>
                    <w:keepNext w:val="0"/>
                    <w:keepLines w:val="0"/>
                    <w:widowControl/>
                    <w:suppressLineNumbers w:val="0"/>
                    <w:adjustRightInd w:val="0"/>
                    <w:snapToGrid w:val="0"/>
                    <w:spacing w:before="0" w:beforeAutospacing="0" w:after="0" w:afterAutospacing="0" w:line="264" w:lineRule="auto"/>
                    <w:ind w:left="0" w:right="0"/>
                    <w:jc w:val="center"/>
                    <w:outlineLvl w:val="2"/>
                    <w:rPr>
                      <w:rFonts w:hint="default" w:ascii="Times New Roman" w:hAnsi="Times New Roman" w:eastAsia="宋体" w:cs="Times New Roman"/>
                      <w:bCs/>
                      <w:snapToGrid w:val="0"/>
                      <w:sz w:val="18"/>
                      <w:szCs w:val="18"/>
                      <w:highlight w:val="none"/>
                    </w:rPr>
                  </w:pPr>
                  <w:r>
                    <w:rPr>
                      <w:rFonts w:hint="eastAsia" w:ascii="Times New Roman" w:hAnsi="Times New Roman" w:eastAsia="宋体" w:cs="Times New Roman"/>
                      <w:bCs/>
                      <w:snapToGrid w:val="0"/>
                      <w:sz w:val="18"/>
                      <w:szCs w:val="18"/>
                      <w:highlight w:val="none"/>
                    </w:rPr>
                    <w:t>工艺</w:t>
                  </w:r>
                </w:p>
              </w:tc>
              <w:tc>
                <w:tcPr>
                  <w:tcW w:w="477" w:type="dxa"/>
                  <w:tcBorders>
                    <w:top w:val="single" w:color="auto" w:sz="4" w:space="0"/>
                    <w:left w:val="single" w:color="auto" w:sz="4" w:space="0"/>
                    <w:bottom w:val="single" w:color="auto" w:sz="4" w:space="0"/>
                    <w:right w:val="single" w:color="auto" w:sz="4" w:space="0"/>
                  </w:tcBorders>
                  <w:vAlign w:val="center"/>
                </w:tcPr>
                <w:p w14:paraId="7445B80E">
                  <w:pPr>
                    <w:keepNext w:val="0"/>
                    <w:keepLines w:val="0"/>
                    <w:widowControl/>
                    <w:suppressLineNumbers w:val="0"/>
                    <w:adjustRightInd w:val="0"/>
                    <w:snapToGrid w:val="0"/>
                    <w:spacing w:before="0" w:beforeAutospacing="0" w:after="0" w:afterAutospacing="0" w:line="264" w:lineRule="auto"/>
                    <w:ind w:left="0" w:right="0"/>
                    <w:jc w:val="center"/>
                    <w:outlineLvl w:val="2"/>
                    <w:rPr>
                      <w:rFonts w:hint="default" w:ascii="Times New Roman" w:hAnsi="Times New Roman" w:eastAsia="宋体" w:cs="Times New Roman"/>
                      <w:bCs/>
                      <w:snapToGrid w:val="0"/>
                      <w:sz w:val="18"/>
                      <w:szCs w:val="18"/>
                      <w:highlight w:val="none"/>
                    </w:rPr>
                  </w:pPr>
                  <w:r>
                    <w:rPr>
                      <w:rFonts w:hint="eastAsia" w:ascii="Times New Roman" w:hAnsi="Times New Roman" w:eastAsia="宋体" w:cs="Times New Roman"/>
                      <w:bCs/>
                      <w:snapToGrid w:val="0"/>
                      <w:sz w:val="18"/>
                      <w:szCs w:val="18"/>
                      <w:highlight w:val="none"/>
                    </w:rPr>
                    <w:t>效率</w:t>
                  </w:r>
                  <w:r>
                    <w:rPr>
                      <w:rFonts w:hint="default" w:ascii="Times New Roman" w:hAnsi="Times New Roman" w:eastAsia="宋体" w:cs="Times New Roman"/>
                      <w:bCs/>
                      <w:snapToGrid w:val="0"/>
                      <w:sz w:val="18"/>
                      <w:szCs w:val="18"/>
                      <w:highlight w:val="none"/>
                    </w:rPr>
                    <w:t>%</w:t>
                  </w:r>
                </w:p>
              </w:tc>
              <w:tc>
                <w:tcPr>
                  <w:tcW w:w="611" w:type="dxa"/>
                  <w:tcBorders>
                    <w:top w:val="single" w:color="auto" w:sz="4" w:space="0"/>
                    <w:left w:val="single" w:color="auto" w:sz="4" w:space="0"/>
                    <w:bottom w:val="single" w:color="auto" w:sz="4" w:space="0"/>
                    <w:right w:val="single" w:color="auto" w:sz="4" w:space="0"/>
                  </w:tcBorders>
                  <w:vAlign w:val="center"/>
                </w:tcPr>
                <w:p w14:paraId="13131CD3">
                  <w:pPr>
                    <w:keepNext w:val="0"/>
                    <w:keepLines w:val="0"/>
                    <w:widowControl/>
                    <w:suppressLineNumbers w:val="0"/>
                    <w:adjustRightInd w:val="0"/>
                    <w:snapToGrid w:val="0"/>
                    <w:spacing w:before="0" w:beforeAutospacing="0" w:after="0" w:afterAutospacing="0" w:line="264" w:lineRule="auto"/>
                    <w:ind w:left="0" w:right="0"/>
                    <w:jc w:val="center"/>
                    <w:outlineLvl w:val="2"/>
                    <w:rPr>
                      <w:rFonts w:hint="default" w:ascii="Times New Roman" w:hAnsi="Times New Roman" w:eastAsia="宋体" w:cs="Times New Roman"/>
                      <w:bCs/>
                      <w:snapToGrid w:val="0"/>
                      <w:sz w:val="18"/>
                      <w:szCs w:val="18"/>
                      <w:highlight w:val="none"/>
                    </w:rPr>
                  </w:pPr>
                  <w:r>
                    <w:rPr>
                      <w:rFonts w:hint="eastAsia" w:ascii="Times New Roman" w:hAnsi="Times New Roman" w:eastAsia="宋体" w:cs="Times New Roman"/>
                      <w:bCs/>
                      <w:snapToGrid w:val="0"/>
                      <w:sz w:val="18"/>
                      <w:szCs w:val="18"/>
                      <w:highlight w:val="none"/>
                    </w:rPr>
                    <w:t>废水量</w:t>
                  </w:r>
                  <w:r>
                    <w:rPr>
                      <w:rFonts w:hint="default" w:ascii="Times New Roman" w:hAnsi="Times New Roman" w:eastAsia="宋体" w:cs="Times New Roman"/>
                      <w:bCs/>
                      <w:snapToGrid w:val="0"/>
                      <w:sz w:val="18"/>
                      <w:szCs w:val="18"/>
                      <w:highlight w:val="none"/>
                    </w:rPr>
                    <w:t>m</w:t>
                  </w:r>
                  <w:r>
                    <w:rPr>
                      <w:rFonts w:hint="default" w:ascii="Times New Roman" w:hAnsi="Times New Roman" w:eastAsia="宋体" w:cs="Times New Roman"/>
                      <w:bCs/>
                      <w:snapToGrid w:val="0"/>
                      <w:sz w:val="18"/>
                      <w:szCs w:val="18"/>
                      <w:highlight w:val="none"/>
                      <w:vertAlign w:val="superscript"/>
                    </w:rPr>
                    <w:t>3</w:t>
                  </w:r>
                  <w:r>
                    <w:rPr>
                      <w:rFonts w:hint="default" w:ascii="Times New Roman" w:hAnsi="Times New Roman" w:eastAsia="宋体" w:cs="Times New Roman"/>
                      <w:bCs/>
                      <w:snapToGrid w:val="0"/>
                      <w:sz w:val="18"/>
                      <w:szCs w:val="18"/>
                      <w:highlight w:val="none"/>
                    </w:rPr>
                    <w:t>/a</w:t>
                  </w:r>
                </w:p>
              </w:tc>
              <w:tc>
                <w:tcPr>
                  <w:tcW w:w="679" w:type="dxa"/>
                  <w:tcBorders>
                    <w:top w:val="single" w:color="auto" w:sz="4" w:space="0"/>
                    <w:left w:val="single" w:color="auto" w:sz="4" w:space="0"/>
                    <w:bottom w:val="single" w:color="auto" w:sz="4" w:space="0"/>
                    <w:right w:val="single" w:color="auto" w:sz="4" w:space="0"/>
                  </w:tcBorders>
                  <w:vAlign w:val="center"/>
                </w:tcPr>
                <w:p w14:paraId="530A525D">
                  <w:pPr>
                    <w:keepNext w:val="0"/>
                    <w:keepLines w:val="0"/>
                    <w:widowControl/>
                    <w:suppressLineNumbers w:val="0"/>
                    <w:adjustRightInd w:val="0"/>
                    <w:snapToGrid w:val="0"/>
                    <w:spacing w:before="0" w:beforeAutospacing="0" w:after="0" w:afterAutospacing="0" w:line="264" w:lineRule="auto"/>
                    <w:ind w:left="0" w:right="0"/>
                    <w:jc w:val="center"/>
                    <w:outlineLvl w:val="2"/>
                    <w:rPr>
                      <w:rFonts w:hint="default" w:ascii="Times New Roman" w:hAnsi="Times New Roman" w:eastAsia="宋体" w:cs="Times New Roman"/>
                      <w:bCs/>
                      <w:snapToGrid w:val="0"/>
                      <w:sz w:val="18"/>
                      <w:szCs w:val="18"/>
                      <w:highlight w:val="none"/>
                    </w:rPr>
                  </w:pPr>
                  <w:r>
                    <w:rPr>
                      <w:rFonts w:hint="eastAsia" w:ascii="Times New Roman" w:hAnsi="Times New Roman" w:eastAsia="宋体" w:cs="Times New Roman"/>
                      <w:bCs/>
                      <w:snapToGrid w:val="0"/>
                      <w:sz w:val="18"/>
                      <w:szCs w:val="18"/>
                      <w:highlight w:val="none"/>
                    </w:rPr>
                    <w:t>排放浓度</w:t>
                  </w:r>
                  <w:r>
                    <w:rPr>
                      <w:rFonts w:hint="default" w:ascii="Times New Roman" w:hAnsi="Times New Roman" w:eastAsia="宋体" w:cs="Times New Roman"/>
                      <w:bCs/>
                      <w:snapToGrid w:val="0"/>
                      <w:sz w:val="18"/>
                      <w:szCs w:val="18"/>
                      <w:highlight w:val="none"/>
                    </w:rPr>
                    <w:t>mg/L</w:t>
                  </w:r>
                </w:p>
              </w:tc>
              <w:tc>
                <w:tcPr>
                  <w:tcW w:w="723" w:type="dxa"/>
                  <w:tcBorders>
                    <w:top w:val="single" w:color="auto" w:sz="4" w:space="0"/>
                    <w:left w:val="single" w:color="auto" w:sz="4" w:space="0"/>
                    <w:bottom w:val="single" w:color="auto" w:sz="4" w:space="0"/>
                    <w:right w:val="single" w:color="auto" w:sz="4" w:space="0"/>
                  </w:tcBorders>
                  <w:vAlign w:val="center"/>
                </w:tcPr>
                <w:p w14:paraId="64299953">
                  <w:pPr>
                    <w:keepNext w:val="0"/>
                    <w:keepLines w:val="0"/>
                    <w:widowControl/>
                    <w:suppressLineNumbers w:val="0"/>
                    <w:adjustRightInd w:val="0"/>
                    <w:snapToGrid w:val="0"/>
                    <w:spacing w:before="0" w:beforeAutospacing="0" w:after="0" w:afterAutospacing="0" w:line="264" w:lineRule="auto"/>
                    <w:ind w:left="0" w:right="0"/>
                    <w:jc w:val="center"/>
                    <w:outlineLvl w:val="2"/>
                    <w:rPr>
                      <w:rFonts w:hint="default" w:ascii="Times New Roman" w:hAnsi="Times New Roman" w:eastAsia="宋体" w:cs="Times New Roman"/>
                      <w:bCs/>
                      <w:snapToGrid w:val="0"/>
                      <w:sz w:val="18"/>
                      <w:szCs w:val="18"/>
                      <w:highlight w:val="none"/>
                    </w:rPr>
                  </w:pPr>
                  <w:r>
                    <w:rPr>
                      <w:rFonts w:hint="eastAsia" w:ascii="Times New Roman" w:hAnsi="Times New Roman" w:eastAsia="宋体" w:cs="Times New Roman"/>
                      <w:bCs/>
                      <w:snapToGrid w:val="0"/>
                      <w:sz w:val="18"/>
                      <w:szCs w:val="18"/>
                      <w:highlight w:val="none"/>
                    </w:rPr>
                    <w:t>排放量</w:t>
                  </w:r>
                  <w:r>
                    <w:rPr>
                      <w:rFonts w:hint="default" w:ascii="Times New Roman" w:hAnsi="Times New Roman" w:eastAsia="宋体" w:cs="Times New Roman"/>
                      <w:bCs/>
                      <w:snapToGrid w:val="0"/>
                      <w:sz w:val="18"/>
                      <w:szCs w:val="18"/>
                      <w:highlight w:val="none"/>
                    </w:rPr>
                    <w:t>t/a</w:t>
                  </w:r>
                </w:p>
              </w:tc>
              <w:tc>
                <w:tcPr>
                  <w:tcW w:w="481" w:type="dxa"/>
                  <w:vMerge w:val="continue"/>
                  <w:tcBorders>
                    <w:top w:val="single" w:color="auto" w:sz="4" w:space="0"/>
                    <w:left w:val="single" w:color="auto" w:sz="4" w:space="0"/>
                    <w:bottom w:val="single" w:color="auto" w:sz="4" w:space="0"/>
                    <w:right w:val="single" w:color="auto" w:sz="4" w:space="0"/>
                  </w:tcBorders>
                  <w:vAlign w:val="center"/>
                </w:tcPr>
                <w:p w14:paraId="070BB849">
                  <w:pPr>
                    <w:keepNext w:val="0"/>
                    <w:keepLines w:val="0"/>
                    <w:widowControl/>
                    <w:suppressLineNumbers w:val="0"/>
                    <w:adjustRightInd w:val="0"/>
                    <w:snapToGrid w:val="0"/>
                    <w:spacing w:before="0" w:beforeAutospacing="0" w:after="0" w:afterAutospacing="0" w:line="264" w:lineRule="auto"/>
                    <w:ind w:left="0" w:right="0"/>
                    <w:jc w:val="center"/>
                    <w:outlineLvl w:val="2"/>
                    <w:rPr>
                      <w:rFonts w:hint="default" w:ascii="Times New Roman" w:hAnsi="Times New Roman" w:eastAsia="宋体" w:cs="Times New Roman"/>
                      <w:bCs/>
                      <w:snapToGrid w:val="0"/>
                      <w:sz w:val="18"/>
                      <w:szCs w:val="18"/>
                      <w:highlight w:val="none"/>
                    </w:rPr>
                  </w:pPr>
                </w:p>
              </w:tc>
            </w:tr>
            <w:tr w14:paraId="784B9D9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jc w:val="center"/>
              </w:trPr>
              <w:tc>
                <w:tcPr>
                  <w:tcW w:w="580" w:type="dxa"/>
                  <w:vMerge w:val="restart"/>
                  <w:tcBorders>
                    <w:top w:val="single" w:color="auto" w:sz="4" w:space="0"/>
                    <w:left w:val="single" w:color="auto" w:sz="4" w:space="0"/>
                    <w:right w:val="single" w:color="auto" w:sz="4" w:space="0"/>
                  </w:tcBorders>
                  <w:vAlign w:val="center"/>
                </w:tcPr>
                <w:p w14:paraId="6F0FC8A0">
                  <w:pPr>
                    <w:keepNext w:val="0"/>
                    <w:keepLines w:val="0"/>
                    <w:widowControl/>
                    <w:suppressLineNumbers w:val="0"/>
                    <w:adjustRightInd w:val="0"/>
                    <w:snapToGrid w:val="0"/>
                    <w:spacing w:before="0" w:beforeAutospacing="0" w:after="0" w:afterAutospacing="0" w:line="264" w:lineRule="auto"/>
                    <w:ind w:left="0" w:right="0"/>
                    <w:jc w:val="center"/>
                    <w:rPr>
                      <w:rFonts w:hint="default" w:ascii="Times New Roman" w:hAnsi="Times New Roman" w:eastAsia="宋体" w:cs="Times New Roman"/>
                      <w:snapToGrid w:val="0"/>
                      <w:sz w:val="18"/>
                      <w:szCs w:val="18"/>
                      <w:highlight w:val="none"/>
                    </w:rPr>
                  </w:pPr>
                  <w:r>
                    <w:rPr>
                      <w:rFonts w:hint="default" w:ascii="Times New Roman" w:hAnsi="Times New Roman" w:eastAsia="宋体" w:cs="Times New Roman"/>
                      <w:snapToGrid w:val="0"/>
                      <w:sz w:val="18"/>
                      <w:szCs w:val="18"/>
                      <w:highlight w:val="none"/>
                    </w:rPr>
                    <w:t>DW001</w:t>
                  </w:r>
                </w:p>
              </w:tc>
              <w:tc>
                <w:tcPr>
                  <w:tcW w:w="423" w:type="dxa"/>
                  <w:vMerge w:val="restart"/>
                  <w:tcBorders>
                    <w:top w:val="single" w:color="auto" w:sz="4" w:space="0"/>
                    <w:left w:val="single" w:color="auto" w:sz="4" w:space="0"/>
                    <w:right w:val="single" w:color="auto" w:sz="4" w:space="0"/>
                  </w:tcBorders>
                  <w:vAlign w:val="center"/>
                </w:tcPr>
                <w:p w14:paraId="20FE9E3C">
                  <w:pPr>
                    <w:keepNext w:val="0"/>
                    <w:keepLines w:val="0"/>
                    <w:widowControl/>
                    <w:suppressLineNumbers w:val="0"/>
                    <w:adjustRightInd w:val="0"/>
                    <w:snapToGrid w:val="0"/>
                    <w:spacing w:before="0" w:beforeAutospacing="0" w:after="0" w:afterAutospacing="0" w:line="264" w:lineRule="auto"/>
                    <w:ind w:left="0" w:right="0"/>
                    <w:jc w:val="center"/>
                    <w:rPr>
                      <w:rFonts w:hint="default" w:ascii="Times New Roman" w:hAnsi="Times New Roman" w:eastAsia="宋体" w:cs="Times New Roman"/>
                      <w:snapToGrid w:val="0"/>
                      <w:sz w:val="18"/>
                      <w:szCs w:val="18"/>
                      <w:highlight w:val="none"/>
                    </w:rPr>
                  </w:pPr>
                  <w:r>
                    <w:rPr>
                      <w:rFonts w:hint="eastAsia" w:cs="Times New Roman"/>
                      <w:snapToGrid w:val="0"/>
                      <w:sz w:val="18"/>
                      <w:szCs w:val="18"/>
                      <w:highlight w:val="none"/>
                      <w:lang w:val="en-US" w:eastAsia="zh-CN"/>
                    </w:rPr>
                    <w:t>生活污水</w:t>
                  </w:r>
                  <w:r>
                    <w:rPr>
                      <w:rFonts w:hint="eastAsia" w:ascii="Times New Roman" w:hAnsi="Times New Roman" w:eastAsia="宋体" w:cs="Times New Roman"/>
                      <w:snapToGrid w:val="0"/>
                      <w:sz w:val="18"/>
                      <w:szCs w:val="18"/>
                      <w:highlight w:val="none"/>
                    </w:rPr>
                    <w:t>排放口</w:t>
                  </w:r>
                </w:p>
              </w:tc>
              <w:tc>
                <w:tcPr>
                  <w:tcW w:w="1031" w:type="dxa"/>
                  <w:vMerge w:val="restart"/>
                  <w:tcBorders>
                    <w:top w:val="single" w:color="auto" w:sz="4" w:space="0"/>
                    <w:left w:val="single" w:color="auto" w:sz="4" w:space="0"/>
                    <w:right w:val="single" w:color="auto" w:sz="4" w:space="0"/>
                  </w:tcBorders>
                  <w:vAlign w:val="center"/>
                </w:tcPr>
                <w:p w14:paraId="41011AE5">
                  <w:pPr>
                    <w:keepNext w:val="0"/>
                    <w:keepLines w:val="0"/>
                    <w:widowControl/>
                    <w:suppressLineNumbers w:val="0"/>
                    <w:adjustRightInd w:val="0"/>
                    <w:snapToGrid w:val="0"/>
                    <w:spacing w:before="0" w:beforeAutospacing="0" w:after="0" w:afterAutospacing="0" w:line="264" w:lineRule="auto"/>
                    <w:ind w:left="0" w:right="0"/>
                    <w:jc w:val="center"/>
                    <w:rPr>
                      <w:rFonts w:hint="default" w:ascii="Times New Roman" w:hAnsi="Times New Roman" w:eastAsia="宋体" w:cs="Times New Roman"/>
                      <w:snapToGrid w:val="0"/>
                      <w:sz w:val="18"/>
                      <w:szCs w:val="18"/>
                      <w:highlight w:val="none"/>
                    </w:rPr>
                  </w:pPr>
                  <w:r>
                    <w:rPr>
                      <w:rFonts w:hint="eastAsia" w:ascii="Times New Roman" w:hAnsi="Times New Roman" w:eastAsia="宋体" w:cs="Times New Roman"/>
                      <w:snapToGrid w:val="0"/>
                      <w:sz w:val="18"/>
                      <w:szCs w:val="18"/>
                      <w:highlight w:val="none"/>
                    </w:rPr>
                    <w:t>生活污水</w:t>
                  </w:r>
                </w:p>
              </w:tc>
              <w:tc>
                <w:tcPr>
                  <w:tcW w:w="595" w:type="dxa"/>
                  <w:tcBorders>
                    <w:top w:val="single" w:color="auto" w:sz="4" w:space="0"/>
                    <w:left w:val="single" w:color="auto" w:sz="4" w:space="0"/>
                    <w:bottom w:val="single" w:color="auto" w:sz="4" w:space="0"/>
                    <w:right w:val="single" w:color="auto" w:sz="4" w:space="0"/>
                  </w:tcBorders>
                  <w:vAlign w:val="center"/>
                </w:tcPr>
                <w:p w14:paraId="3BA26DBD">
                  <w:pPr>
                    <w:keepNext w:val="0"/>
                    <w:keepLines w:val="0"/>
                    <w:widowControl/>
                    <w:suppressLineNumbers w:val="0"/>
                    <w:adjustRightInd w:val="0"/>
                    <w:snapToGrid w:val="0"/>
                    <w:spacing w:before="0" w:beforeAutospacing="0" w:after="0" w:afterAutospacing="0" w:line="264" w:lineRule="auto"/>
                    <w:ind w:left="0" w:right="0"/>
                    <w:jc w:val="center"/>
                    <w:rPr>
                      <w:rFonts w:hint="default" w:ascii="Times New Roman" w:hAnsi="Times New Roman" w:eastAsia="宋体" w:cs="Times New Roman"/>
                      <w:snapToGrid w:val="0"/>
                      <w:sz w:val="18"/>
                      <w:szCs w:val="18"/>
                      <w:highlight w:val="none"/>
                    </w:rPr>
                  </w:pPr>
                  <w:r>
                    <w:rPr>
                      <w:rFonts w:hint="default" w:ascii="Times New Roman" w:hAnsi="Times New Roman" w:eastAsia="宋体" w:cs="Times New Roman"/>
                      <w:snapToGrid w:val="0"/>
                      <w:sz w:val="18"/>
                      <w:szCs w:val="18"/>
                      <w:highlight w:val="none"/>
                    </w:rPr>
                    <w:t>COD</w:t>
                  </w:r>
                  <w:r>
                    <w:rPr>
                      <w:rFonts w:hint="default" w:ascii="Times New Roman" w:hAnsi="Times New Roman" w:eastAsia="宋体" w:cs="Times New Roman"/>
                      <w:snapToGrid w:val="0"/>
                      <w:sz w:val="18"/>
                      <w:szCs w:val="18"/>
                      <w:highlight w:val="none"/>
                      <w:vertAlign w:val="subscript"/>
                    </w:rPr>
                    <w:t>Cr</w:t>
                  </w:r>
                </w:p>
              </w:tc>
              <w:tc>
                <w:tcPr>
                  <w:tcW w:w="609" w:type="dxa"/>
                  <w:vMerge w:val="restart"/>
                  <w:tcBorders>
                    <w:top w:val="single" w:color="auto" w:sz="4" w:space="0"/>
                    <w:left w:val="single" w:color="auto" w:sz="4" w:space="0"/>
                    <w:right w:val="single" w:color="auto" w:sz="4" w:space="0"/>
                  </w:tcBorders>
                  <w:vAlign w:val="center"/>
                </w:tcPr>
                <w:p w14:paraId="27B3C91B">
                  <w:pPr>
                    <w:keepNext w:val="0"/>
                    <w:keepLines w:val="0"/>
                    <w:suppressLineNumbers w:val="0"/>
                    <w:snapToGrid w:val="0"/>
                    <w:spacing w:before="0" w:beforeAutospacing="0" w:after="0" w:afterAutospacing="0" w:line="264" w:lineRule="auto"/>
                    <w:ind w:left="0" w:right="0"/>
                    <w:jc w:val="center"/>
                    <w:rPr>
                      <w:rFonts w:hint="default" w:ascii="Times New Roman" w:hAnsi="Times New Roman" w:eastAsia="宋体" w:cs="Times New Roman"/>
                      <w:sz w:val="18"/>
                      <w:szCs w:val="18"/>
                      <w:highlight w:val="none"/>
                      <w:lang w:val="en-US" w:eastAsia="zh-CN"/>
                    </w:rPr>
                  </w:pPr>
                  <w:r>
                    <w:rPr>
                      <w:rFonts w:hint="eastAsia" w:ascii="Times New Roman" w:hAnsi="Times New Roman" w:eastAsia="宋体" w:cs="Times New Roman"/>
                      <w:sz w:val="18"/>
                      <w:szCs w:val="18"/>
                      <w:highlight w:val="none"/>
                      <w:lang w:val="en-US" w:eastAsia="zh-CN"/>
                    </w:rPr>
                    <w:t>16380</w:t>
                  </w:r>
                </w:p>
              </w:tc>
              <w:tc>
                <w:tcPr>
                  <w:tcW w:w="699" w:type="dxa"/>
                  <w:tcBorders>
                    <w:top w:val="single" w:color="auto" w:sz="4" w:space="0"/>
                    <w:left w:val="single" w:color="auto" w:sz="4" w:space="0"/>
                    <w:bottom w:val="single" w:color="auto" w:sz="4" w:space="0"/>
                    <w:right w:val="single" w:color="auto" w:sz="4" w:space="0"/>
                  </w:tcBorders>
                  <w:vAlign w:val="center"/>
                </w:tcPr>
                <w:p w14:paraId="60109107">
                  <w:pPr>
                    <w:keepNext w:val="0"/>
                    <w:keepLines w:val="0"/>
                    <w:widowControl/>
                    <w:suppressLineNumbers w:val="0"/>
                    <w:snapToGrid w:val="0"/>
                    <w:spacing w:before="0" w:beforeAutospacing="0" w:after="0" w:afterAutospacing="0" w:line="264" w:lineRule="auto"/>
                    <w:ind w:left="0" w:right="0"/>
                    <w:jc w:val="center"/>
                    <w:rPr>
                      <w:rFonts w:hint="default" w:ascii="Times New Roman" w:hAnsi="Times New Roman" w:eastAsia="宋体" w:cs="Times New Roman"/>
                      <w:kern w:val="0"/>
                      <w:sz w:val="18"/>
                      <w:szCs w:val="18"/>
                      <w:highlight w:val="none"/>
                    </w:rPr>
                  </w:pPr>
                  <w:r>
                    <w:rPr>
                      <w:rFonts w:hint="default" w:ascii="Times New Roman" w:hAnsi="Times New Roman" w:eastAsia="宋体" w:cs="Times New Roman"/>
                      <w:kern w:val="0"/>
                      <w:sz w:val="18"/>
                      <w:szCs w:val="18"/>
                      <w:highlight w:val="none"/>
                    </w:rPr>
                    <w:t>350</w:t>
                  </w:r>
                </w:p>
              </w:tc>
              <w:tc>
                <w:tcPr>
                  <w:tcW w:w="777" w:type="dxa"/>
                  <w:tcBorders>
                    <w:top w:val="single" w:color="auto" w:sz="4" w:space="0"/>
                    <w:left w:val="single" w:color="auto" w:sz="4" w:space="0"/>
                    <w:bottom w:val="single" w:color="auto" w:sz="4" w:space="0"/>
                    <w:right w:val="single" w:color="auto" w:sz="4" w:space="0"/>
                  </w:tcBorders>
                  <w:vAlign w:val="center"/>
                </w:tcPr>
                <w:p w14:paraId="2E586E96">
                  <w:pPr>
                    <w:keepNext w:val="0"/>
                    <w:keepLines w:val="0"/>
                    <w:widowControl/>
                    <w:suppressLineNumbers w:val="0"/>
                    <w:snapToGrid w:val="0"/>
                    <w:spacing w:before="0" w:beforeAutospacing="0" w:after="0" w:afterAutospacing="0" w:line="264" w:lineRule="auto"/>
                    <w:ind w:left="0" w:right="0"/>
                    <w:jc w:val="center"/>
                    <w:rPr>
                      <w:rFonts w:hint="default" w:ascii="Times New Roman" w:hAnsi="Times New Roman" w:eastAsia="宋体" w:cs="Times New Roman"/>
                      <w:kern w:val="0"/>
                      <w:sz w:val="18"/>
                      <w:szCs w:val="18"/>
                      <w:highlight w:val="none"/>
                      <w:lang w:val="en-US" w:eastAsia="zh-CN"/>
                    </w:rPr>
                  </w:pPr>
                  <w:r>
                    <w:rPr>
                      <w:rFonts w:hint="eastAsia" w:ascii="Times New Roman" w:hAnsi="Times New Roman" w:eastAsia="宋体" w:cs="Times New Roman"/>
                      <w:kern w:val="0"/>
                      <w:sz w:val="18"/>
                      <w:szCs w:val="18"/>
                      <w:highlight w:val="none"/>
                      <w:lang w:val="en-US" w:eastAsia="zh-CN"/>
                    </w:rPr>
                    <w:t xml:space="preserve">5.733 </w:t>
                  </w:r>
                </w:p>
              </w:tc>
              <w:tc>
                <w:tcPr>
                  <w:tcW w:w="630" w:type="dxa"/>
                  <w:vMerge w:val="restart"/>
                  <w:tcBorders>
                    <w:top w:val="single" w:color="auto" w:sz="4" w:space="0"/>
                    <w:left w:val="single" w:color="auto" w:sz="4" w:space="0"/>
                    <w:right w:val="single" w:color="auto" w:sz="4" w:space="0"/>
                  </w:tcBorders>
                  <w:vAlign w:val="center"/>
                </w:tcPr>
                <w:p w14:paraId="7B56309F">
                  <w:pPr>
                    <w:keepNext w:val="0"/>
                    <w:keepLines w:val="0"/>
                    <w:widowControl/>
                    <w:suppressLineNumbers w:val="0"/>
                    <w:adjustRightInd w:val="0"/>
                    <w:snapToGrid w:val="0"/>
                    <w:spacing w:before="0" w:beforeAutospacing="0" w:after="0" w:afterAutospacing="0" w:line="264" w:lineRule="auto"/>
                    <w:ind w:left="0" w:right="0"/>
                    <w:jc w:val="center"/>
                    <w:outlineLvl w:val="2"/>
                    <w:rPr>
                      <w:rFonts w:hint="default" w:ascii="Times New Roman" w:hAnsi="Times New Roman" w:eastAsia="宋体" w:cs="Times New Roman"/>
                      <w:bCs/>
                      <w:snapToGrid w:val="0"/>
                      <w:sz w:val="18"/>
                      <w:szCs w:val="18"/>
                      <w:highlight w:val="none"/>
                    </w:rPr>
                  </w:pPr>
                  <w:r>
                    <w:rPr>
                      <w:rFonts w:hint="eastAsia" w:cs="Times New Roman"/>
                      <w:sz w:val="18"/>
                      <w:szCs w:val="18"/>
                      <w:highlight w:val="none"/>
                      <w:lang w:val="en-US" w:eastAsia="zh-CN"/>
                    </w:rPr>
                    <w:t>隔油池、</w:t>
                  </w:r>
                  <w:r>
                    <w:rPr>
                      <w:rFonts w:hint="eastAsia" w:ascii="Times New Roman" w:hAnsi="Times New Roman" w:eastAsia="宋体" w:cs="Times New Roman"/>
                      <w:sz w:val="18"/>
                      <w:szCs w:val="18"/>
                      <w:highlight w:val="none"/>
                    </w:rPr>
                    <w:t>化粪池预处理</w:t>
                  </w:r>
                </w:p>
              </w:tc>
              <w:tc>
                <w:tcPr>
                  <w:tcW w:w="477" w:type="dxa"/>
                  <w:vMerge w:val="restart"/>
                  <w:tcBorders>
                    <w:top w:val="single" w:color="auto" w:sz="4" w:space="0"/>
                    <w:left w:val="single" w:color="auto" w:sz="4" w:space="0"/>
                    <w:right w:val="single" w:color="auto" w:sz="4" w:space="0"/>
                  </w:tcBorders>
                  <w:vAlign w:val="center"/>
                </w:tcPr>
                <w:p w14:paraId="3A489320">
                  <w:pPr>
                    <w:keepNext w:val="0"/>
                    <w:keepLines w:val="0"/>
                    <w:widowControl/>
                    <w:suppressLineNumbers w:val="0"/>
                    <w:adjustRightInd w:val="0"/>
                    <w:snapToGrid w:val="0"/>
                    <w:spacing w:before="0" w:beforeAutospacing="0" w:after="0" w:afterAutospacing="0" w:line="264" w:lineRule="auto"/>
                    <w:ind w:left="0" w:right="0"/>
                    <w:jc w:val="center"/>
                    <w:outlineLvl w:val="2"/>
                    <w:rPr>
                      <w:rFonts w:hint="default" w:ascii="Times New Roman" w:hAnsi="Times New Roman" w:eastAsia="宋体" w:cs="Times New Roman"/>
                      <w:bCs/>
                      <w:snapToGrid w:val="0"/>
                      <w:sz w:val="18"/>
                      <w:szCs w:val="18"/>
                      <w:highlight w:val="none"/>
                    </w:rPr>
                  </w:pPr>
                  <w:r>
                    <w:rPr>
                      <w:rFonts w:hint="default" w:ascii="Times New Roman" w:hAnsi="Times New Roman" w:eastAsia="宋体" w:cs="Times New Roman"/>
                      <w:bCs/>
                      <w:snapToGrid w:val="0"/>
                      <w:sz w:val="18"/>
                      <w:szCs w:val="18"/>
                      <w:highlight w:val="none"/>
                    </w:rPr>
                    <w:t>/</w:t>
                  </w:r>
                </w:p>
              </w:tc>
              <w:tc>
                <w:tcPr>
                  <w:tcW w:w="611" w:type="dxa"/>
                  <w:vMerge w:val="restart"/>
                  <w:tcBorders>
                    <w:top w:val="single" w:color="auto" w:sz="4" w:space="0"/>
                    <w:left w:val="single" w:color="auto" w:sz="4" w:space="0"/>
                    <w:right w:val="single" w:color="auto" w:sz="4" w:space="0"/>
                  </w:tcBorders>
                  <w:vAlign w:val="center"/>
                </w:tcPr>
                <w:p w14:paraId="5F08DEA7">
                  <w:pPr>
                    <w:keepNext w:val="0"/>
                    <w:keepLines w:val="0"/>
                    <w:suppressLineNumbers w:val="0"/>
                    <w:snapToGrid w:val="0"/>
                    <w:spacing w:before="0" w:beforeAutospacing="0" w:after="0" w:afterAutospacing="0" w:line="264" w:lineRule="auto"/>
                    <w:ind w:left="0" w:right="0"/>
                    <w:jc w:val="center"/>
                    <w:rPr>
                      <w:rFonts w:hint="default" w:ascii="Times New Roman" w:hAnsi="Times New Roman" w:eastAsia="宋体" w:cs="Times New Roman"/>
                      <w:kern w:val="0"/>
                      <w:sz w:val="18"/>
                      <w:szCs w:val="18"/>
                      <w:highlight w:val="none"/>
                    </w:rPr>
                  </w:pPr>
                  <w:r>
                    <w:rPr>
                      <w:rFonts w:hint="eastAsia" w:ascii="Times New Roman" w:hAnsi="Times New Roman" w:eastAsia="宋体" w:cs="Times New Roman"/>
                      <w:sz w:val="18"/>
                      <w:szCs w:val="18"/>
                      <w:highlight w:val="none"/>
                      <w:lang w:val="en-US" w:eastAsia="zh-CN"/>
                    </w:rPr>
                    <w:t>16380</w:t>
                  </w:r>
                </w:p>
              </w:tc>
              <w:tc>
                <w:tcPr>
                  <w:tcW w:w="679" w:type="dxa"/>
                  <w:tcBorders>
                    <w:top w:val="single" w:color="auto" w:sz="4" w:space="0"/>
                    <w:left w:val="single" w:color="auto" w:sz="4" w:space="0"/>
                    <w:bottom w:val="single" w:color="auto" w:sz="4" w:space="0"/>
                    <w:right w:val="single" w:color="auto" w:sz="4" w:space="0"/>
                  </w:tcBorders>
                  <w:tcMar>
                    <w:top w:w="0" w:type="dxa"/>
                    <w:left w:w="0" w:type="dxa"/>
                    <w:bottom w:w="0" w:type="dxa"/>
                    <w:right w:w="0" w:type="dxa"/>
                  </w:tcMar>
                  <w:vAlign w:val="center"/>
                </w:tcPr>
                <w:p w14:paraId="1694674D">
                  <w:pPr>
                    <w:keepNext w:val="0"/>
                    <w:keepLines w:val="0"/>
                    <w:widowControl/>
                    <w:suppressLineNumbers w:val="0"/>
                    <w:snapToGrid w:val="0"/>
                    <w:spacing w:before="0" w:beforeAutospacing="0" w:after="0" w:afterAutospacing="0" w:line="264" w:lineRule="auto"/>
                    <w:ind w:left="0" w:right="0"/>
                    <w:jc w:val="center"/>
                    <w:rPr>
                      <w:rFonts w:hint="default" w:ascii="Times New Roman" w:hAnsi="Times New Roman" w:eastAsia="宋体" w:cs="Times New Roman"/>
                      <w:kern w:val="0"/>
                      <w:sz w:val="18"/>
                      <w:szCs w:val="18"/>
                      <w:highlight w:val="none"/>
                    </w:rPr>
                  </w:pPr>
                  <w:r>
                    <w:rPr>
                      <w:rFonts w:hint="default" w:ascii="Times New Roman" w:hAnsi="Times New Roman" w:eastAsia="宋体" w:cs="Times New Roman"/>
                      <w:kern w:val="0"/>
                      <w:sz w:val="18"/>
                      <w:szCs w:val="18"/>
                      <w:highlight w:val="none"/>
                    </w:rPr>
                    <w:t>350</w:t>
                  </w:r>
                </w:p>
              </w:tc>
              <w:tc>
                <w:tcPr>
                  <w:tcW w:w="723" w:type="dxa"/>
                  <w:tcBorders>
                    <w:top w:val="single" w:color="auto" w:sz="4" w:space="0"/>
                    <w:left w:val="single" w:color="auto" w:sz="4" w:space="0"/>
                    <w:bottom w:val="single" w:color="auto" w:sz="4" w:space="0"/>
                    <w:right w:val="single" w:color="auto" w:sz="4" w:space="0"/>
                  </w:tcBorders>
                  <w:vAlign w:val="center"/>
                </w:tcPr>
                <w:p w14:paraId="0284042C">
                  <w:pPr>
                    <w:keepNext w:val="0"/>
                    <w:keepLines w:val="0"/>
                    <w:widowControl/>
                    <w:suppressLineNumbers w:val="0"/>
                    <w:snapToGrid w:val="0"/>
                    <w:spacing w:before="0" w:beforeAutospacing="0" w:after="0" w:afterAutospacing="0" w:line="264" w:lineRule="auto"/>
                    <w:ind w:left="0" w:right="0"/>
                    <w:jc w:val="center"/>
                    <w:rPr>
                      <w:rFonts w:hint="default" w:ascii="Times New Roman" w:hAnsi="Times New Roman" w:eastAsia="宋体" w:cs="Times New Roman"/>
                      <w:kern w:val="0"/>
                      <w:sz w:val="18"/>
                      <w:szCs w:val="18"/>
                      <w:highlight w:val="none"/>
                      <w:lang w:val="en-US" w:eastAsia="zh-CN"/>
                    </w:rPr>
                  </w:pPr>
                  <w:r>
                    <w:rPr>
                      <w:rFonts w:hint="eastAsia" w:ascii="Times New Roman" w:hAnsi="Times New Roman" w:eastAsia="宋体" w:cs="Times New Roman"/>
                      <w:kern w:val="0"/>
                      <w:sz w:val="18"/>
                      <w:szCs w:val="18"/>
                      <w:highlight w:val="none"/>
                      <w:lang w:val="en-US" w:eastAsia="zh-CN"/>
                    </w:rPr>
                    <w:t xml:space="preserve">5.733 </w:t>
                  </w:r>
                </w:p>
              </w:tc>
              <w:tc>
                <w:tcPr>
                  <w:tcW w:w="481" w:type="dxa"/>
                  <w:vMerge w:val="restart"/>
                  <w:tcBorders>
                    <w:top w:val="single" w:color="auto" w:sz="4" w:space="0"/>
                    <w:left w:val="single" w:color="auto" w:sz="4" w:space="0"/>
                    <w:right w:val="single" w:color="auto" w:sz="4" w:space="0"/>
                  </w:tcBorders>
                  <w:vAlign w:val="center"/>
                </w:tcPr>
                <w:p w14:paraId="7450F10B">
                  <w:pPr>
                    <w:keepNext w:val="0"/>
                    <w:keepLines w:val="0"/>
                    <w:suppressLineNumbers w:val="0"/>
                    <w:snapToGrid w:val="0"/>
                    <w:spacing w:before="0" w:beforeAutospacing="0" w:after="0" w:afterAutospacing="0" w:line="264" w:lineRule="auto"/>
                    <w:ind w:left="0" w:right="0"/>
                    <w:jc w:val="center"/>
                    <w:rPr>
                      <w:rFonts w:hint="default" w:ascii="Times New Roman" w:hAnsi="Times New Roman" w:eastAsia="宋体" w:cs="Times New Roman"/>
                      <w:kern w:val="0"/>
                      <w:sz w:val="18"/>
                      <w:szCs w:val="18"/>
                      <w:highlight w:val="none"/>
                      <w:lang w:val="en-US" w:eastAsia="zh-CN"/>
                    </w:rPr>
                  </w:pPr>
                  <w:r>
                    <w:rPr>
                      <w:rFonts w:hint="eastAsia" w:cs="Times New Roman"/>
                      <w:kern w:val="0"/>
                      <w:sz w:val="18"/>
                      <w:szCs w:val="18"/>
                      <w:highlight w:val="none"/>
                      <w:lang w:val="en-US" w:eastAsia="zh-CN"/>
                    </w:rPr>
                    <w:t>2080</w:t>
                  </w:r>
                </w:p>
              </w:tc>
            </w:tr>
            <w:tr w14:paraId="293A82E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jc w:val="center"/>
              </w:trPr>
              <w:tc>
                <w:tcPr>
                  <w:tcW w:w="580" w:type="dxa"/>
                  <w:vMerge w:val="continue"/>
                  <w:tcBorders>
                    <w:left w:val="single" w:color="auto" w:sz="4" w:space="0"/>
                    <w:right w:val="single" w:color="auto" w:sz="4" w:space="0"/>
                  </w:tcBorders>
                  <w:vAlign w:val="center"/>
                </w:tcPr>
                <w:p w14:paraId="2D62A5E8">
                  <w:pPr>
                    <w:keepNext w:val="0"/>
                    <w:keepLines w:val="0"/>
                    <w:widowControl/>
                    <w:suppressLineNumbers w:val="0"/>
                    <w:adjustRightInd w:val="0"/>
                    <w:snapToGrid w:val="0"/>
                    <w:spacing w:before="0" w:beforeAutospacing="0" w:after="0" w:afterAutospacing="0" w:line="264" w:lineRule="auto"/>
                    <w:ind w:left="0" w:right="0"/>
                    <w:jc w:val="center"/>
                    <w:rPr>
                      <w:rFonts w:hint="default" w:ascii="Times New Roman" w:hAnsi="Times New Roman" w:eastAsia="宋体" w:cs="Times New Roman"/>
                      <w:snapToGrid w:val="0"/>
                      <w:sz w:val="18"/>
                      <w:szCs w:val="18"/>
                      <w:highlight w:val="none"/>
                    </w:rPr>
                  </w:pPr>
                </w:p>
              </w:tc>
              <w:tc>
                <w:tcPr>
                  <w:tcW w:w="423" w:type="dxa"/>
                  <w:vMerge w:val="continue"/>
                  <w:tcBorders>
                    <w:left w:val="single" w:color="auto" w:sz="4" w:space="0"/>
                    <w:right w:val="single" w:color="auto" w:sz="4" w:space="0"/>
                  </w:tcBorders>
                  <w:vAlign w:val="center"/>
                </w:tcPr>
                <w:p w14:paraId="552D8FA1">
                  <w:pPr>
                    <w:keepNext w:val="0"/>
                    <w:keepLines w:val="0"/>
                    <w:widowControl/>
                    <w:suppressLineNumbers w:val="0"/>
                    <w:adjustRightInd w:val="0"/>
                    <w:snapToGrid w:val="0"/>
                    <w:spacing w:before="0" w:beforeAutospacing="0" w:after="0" w:afterAutospacing="0" w:line="264" w:lineRule="auto"/>
                    <w:ind w:left="0" w:right="0"/>
                    <w:jc w:val="center"/>
                    <w:rPr>
                      <w:rFonts w:hint="default" w:ascii="Times New Roman" w:hAnsi="Times New Roman" w:eastAsia="宋体" w:cs="Times New Roman"/>
                      <w:snapToGrid w:val="0"/>
                      <w:sz w:val="18"/>
                      <w:szCs w:val="18"/>
                      <w:highlight w:val="none"/>
                    </w:rPr>
                  </w:pPr>
                </w:p>
              </w:tc>
              <w:tc>
                <w:tcPr>
                  <w:tcW w:w="1031" w:type="dxa"/>
                  <w:vMerge w:val="continue"/>
                  <w:tcBorders>
                    <w:left w:val="single" w:color="auto" w:sz="4" w:space="0"/>
                    <w:right w:val="single" w:color="auto" w:sz="4" w:space="0"/>
                  </w:tcBorders>
                  <w:vAlign w:val="center"/>
                </w:tcPr>
                <w:p w14:paraId="767831FD">
                  <w:pPr>
                    <w:keepNext w:val="0"/>
                    <w:keepLines w:val="0"/>
                    <w:widowControl/>
                    <w:suppressLineNumbers w:val="0"/>
                    <w:adjustRightInd w:val="0"/>
                    <w:snapToGrid w:val="0"/>
                    <w:spacing w:before="0" w:beforeAutospacing="0" w:after="0" w:afterAutospacing="0" w:line="264" w:lineRule="auto"/>
                    <w:ind w:left="0" w:right="0"/>
                    <w:jc w:val="center"/>
                    <w:rPr>
                      <w:rFonts w:hint="default" w:ascii="Times New Roman" w:hAnsi="Times New Roman" w:eastAsia="宋体" w:cs="Times New Roman"/>
                      <w:snapToGrid w:val="0"/>
                      <w:sz w:val="18"/>
                      <w:szCs w:val="18"/>
                      <w:highlight w:val="none"/>
                    </w:rPr>
                  </w:pPr>
                </w:p>
              </w:tc>
              <w:tc>
                <w:tcPr>
                  <w:tcW w:w="595" w:type="dxa"/>
                  <w:tcBorders>
                    <w:top w:val="single" w:color="auto" w:sz="4" w:space="0"/>
                    <w:left w:val="single" w:color="auto" w:sz="4" w:space="0"/>
                    <w:bottom w:val="single" w:color="auto" w:sz="4" w:space="0"/>
                    <w:right w:val="single" w:color="auto" w:sz="4" w:space="0"/>
                  </w:tcBorders>
                  <w:vAlign w:val="center"/>
                </w:tcPr>
                <w:p w14:paraId="2F9EA4D3">
                  <w:pPr>
                    <w:keepNext w:val="0"/>
                    <w:keepLines w:val="0"/>
                    <w:widowControl/>
                    <w:suppressLineNumbers w:val="0"/>
                    <w:adjustRightInd w:val="0"/>
                    <w:snapToGrid w:val="0"/>
                    <w:spacing w:before="0" w:beforeAutospacing="0" w:after="0" w:afterAutospacing="0" w:line="264" w:lineRule="auto"/>
                    <w:ind w:left="0" w:right="0"/>
                    <w:jc w:val="center"/>
                    <w:rPr>
                      <w:rFonts w:hint="default" w:ascii="Times New Roman" w:hAnsi="Times New Roman" w:eastAsia="宋体" w:cs="Times New Roman"/>
                      <w:snapToGrid w:val="0"/>
                      <w:sz w:val="18"/>
                      <w:szCs w:val="18"/>
                      <w:highlight w:val="none"/>
                    </w:rPr>
                  </w:pPr>
                  <w:r>
                    <w:rPr>
                      <w:rFonts w:hint="default" w:ascii="Times New Roman" w:hAnsi="Times New Roman" w:eastAsia="宋体" w:cs="Times New Roman"/>
                      <w:snapToGrid w:val="0"/>
                      <w:sz w:val="18"/>
                      <w:szCs w:val="18"/>
                      <w:highlight w:val="none"/>
                    </w:rPr>
                    <w:t>NH</w:t>
                  </w:r>
                  <w:r>
                    <w:rPr>
                      <w:rFonts w:hint="default" w:ascii="Times New Roman" w:hAnsi="Times New Roman" w:eastAsia="宋体" w:cs="Times New Roman"/>
                      <w:snapToGrid w:val="0"/>
                      <w:sz w:val="18"/>
                      <w:szCs w:val="18"/>
                      <w:highlight w:val="none"/>
                      <w:vertAlign w:val="subscript"/>
                    </w:rPr>
                    <w:t>3</w:t>
                  </w:r>
                  <w:r>
                    <w:rPr>
                      <w:rFonts w:hint="default" w:ascii="Times New Roman" w:hAnsi="Times New Roman" w:eastAsia="宋体" w:cs="Times New Roman"/>
                      <w:snapToGrid w:val="0"/>
                      <w:sz w:val="18"/>
                      <w:szCs w:val="18"/>
                      <w:highlight w:val="none"/>
                    </w:rPr>
                    <w:t>-N</w:t>
                  </w:r>
                </w:p>
              </w:tc>
              <w:tc>
                <w:tcPr>
                  <w:tcW w:w="609" w:type="dxa"/>
                  <w:vMerge w:val="continue"/>
                  <w:tcBorders>
                    <w:left w:val="single" w:color="auto" w:sz="4" w:space="0"/>
                    <w:right w:val="single" w:color="auto" w:sz="4" w:space="0"/>
                  </w:tcBorders>
                  <w:vAlign w:val="center"/>
                </w:tcPr>
                <w:p w14:paraId="7B523D50">
                  <w:pPr>
                    <w:keepNext w:val="0"/>
                    <w:keepLines w:val="0"/>
                    <w:suppressLineNumbers w:val="0"/>
                    <w:snapToGrid w:val="0"/>
                    <w:spacing w:before="0" w:beforeAutospacing="0" w:after="0" w:afterAutospacing="0" w:line="264" w:lineRule="auto"/>
                    <w:ind w:left="0" w:right="0"/>
                    <w:jc w:val="center"/>
                    <w:rPr>
                      <w:rFonts w:hint="default" w:ascii="Times New Roman" w:hAnsi="Times New Roman" w:eastAsia="宋体" w:cs="Times New Roman"/>
                      <w:sz w:val="18"/>
                      <w:szCs w:val="18"/>
                      <w:highlight w:val="none"/>
                    </w:rPr>
                  </w:pPr>
                </w:p>
              </w:tc>
              <w:tc>
                <w:tcPr>
                  <w:tcW w:w="699" w:type="dxa"/>
                  <w:tcBorders>
                    <w:top w:val="single" w:color="auto" w:sz="4" w:space="0"/>
                    <w:left w:val="single" w:color="auto" w:sz="4" w:space="0"/>
                    <w:bottom w:val="single" w:color="auto" w:sz="4" w:space="0"/>
                    <w:right w:val="single" w:color="auto" w:sz="4" w:space="0"/>
                  </w:tcBorders>
                  <w:vAlign w:val="center"/>
                </w:tcPr>
                <w:p w14:paraId="09E6DACA">
                  <w:pPr>
                    <w:keepNext w:val="0"/>
                    <w:keepLines w:val="0"/>
                    <w:widowControl/>
                    <w:suppressLineNumbers w:val="0"/>
                    <w:snapToGrid w:val="0"/>
                    <w:spacing w:before="0" w:beforeAutospacing="0" w:after="0" w:afterAutospacing="0" w:line="264" w:lineRule="auto"/>
                    <w:ind w:left="0" w:right="0"/>
                    <w:jc w:val="center"/>
                    <w:rPr>
                      <w:rFonts w:hint="default" w:ascii="Times New Roman" w:hAnsi="Times New Roman" w:eastAsia="宋体" w:cs="Times New Roman"/>
                      <w:kern w:val="0"/>
                      <w:sz w:val="18"/>
                      <w:szCs w:val="18"/>
                      <w:highlight w:val="none"/>
                    </w:rPr>
                  </w:pPr>
                  <w:r>
                    <w:rPr>
                      <w:rFonts w:hint="default" w:ascii="Times New Roman" w:hAnsi="Times New Roman" w:eastAsia="宋体" w:cs="Times New Roman"/>
                      <w:kern w:val="0"/>
                      <w:sz w:val="18"/>
                      <w:szCs w:val="18"/>
                      <w:highlight w:val="none"/>
                    </w:rPr>
                    <w:t>30</w:t>
                  </w:r>
                </w:p>
              </w:tc>
              <w:tc>
                <w:tcPr>
                  <w:tcW w:w="777" w:type="dxa"/>
                  <w:tcBorders>
                    <w:top w:val="single" w:color="auto" w:sz="4" w:space="0"/>
                    <w:left w:val="single" w:color="auto" w:sz="4" w:space="0"/>
                    <w:bottom w:val="single" w:color="auto" w:sz="4" w:space="0"/>
                    <w:right w:val="single" w:color="auto" w:sz="4" w:space="0"/>
                  </w:tcBorders>
                  <w:vAlign w:val="center"/>
                </w:tcPr>
                <w:p w14:paraId="456909A2">
                  <w:pPr>
                    <w:keepNext w:val="0"/>
                    <w:keepLines w:val="0"/>
                    <w:widowControl/>
                    <w:suppressLineNumbers w:val="0"/>
                    <w:snapToGrid w:val="0"/>
                    <w:spacing w:before="0" w:beforeAutospacing="0" w:after="0" w:afterAutospacing="0" w:line="264" w:lineRule="auto"/>
                    <w:ind w:left="0" w:right="0"/>
                    <w:jc w:val="center"/>
                    <w:rPr>
                      <w:rFonts w:hint="default" w:ascii="Times New Roman" w:hAnsi="Times New Roman" w:eastAsia="宋体" w:cs="Times New Roman"/>
                      <w:kern w:val="0"/>
                      <w:sz w:val="18"/>
                      <w:szCs w:val="18"/>
                      <w:highlight w:val="none"/>
                      <w:lang w:val="en-US" w:eastAsia="zh-CN"/>
                    </w:rPr>
                  </w:pPr>
                  <w:r>
                    <w:rPr>
                      <w:rFonts w:hint="eastAsia" w:ascii="Times New Roman" w:hAnsi="Times New Roman" w:eastAsia="宋体" w:cs="Times New Roman"/>
                      <w:kern w:val="0"/>
                      <w:sz w:val="18"/>
                      <w:szCs w:val="18"/>
                      <w:highlight w:val="none"/>
                      <w:lang w:val="en-US" w:eastAsia="zh-CN"/>
                    </w:rPr>
                    <w:t xml:space="preserve">0.491 </w:t>
                  </w:r>
                </w:p>
              </w:tc>
              <w:tc>
                <w:tcPr>
                  <w:tcW w:w="630" w:type="dxa"/>
                  <w:vMerge w:val="continue"/>
                  <w:tcBorders>
                    <w:left w:val="single" w:color="auto" w:sz="4" w:space="0"/>
                    <w:right w:val="single" w:color="auto" w:sz="4" w:space="0"/>
                  </w:tcBorders>
                  <w:vAlign w:val="center"/>
                </w:tcPr>
                <w:p w14:paraId="52357B02">
                  <w:pPr>
                    <w:keepNext w:val="0"/>
                    <w:keepLines w:val="0"/>
                    <w:suppressLineNumbers w:val="0"/>
                    <w:snapToGrid w:val="0"/>
                    <w:spacing w:before="0" w:beforeAutospacing="0" w:after="0" w:afterAutospacing="0" w:line="264" w:lineRule="auto"/>
                    <w:ind w:left="0" w:right="0"/>
                    <w:jc w:val="center"/>
                    <w:rPr>
                      <w:rFonts w:hint="default" w:ascii="Times New Roman" w:hAnsi="Times New Roman" w:eastAsia="宋体" w:cs="Times New Roman"/>
                      <w:sz w:val="18"/>
                      <w:szCs w:val="18"/>
                      <w:highlight w:val="none"/>
                    </w:rPr>
                  </w:pPr>
                </w:p>
              </w:tc>
              <w:tc>
                <w:tcPr>
                  <w:tcW w:w="477" w:type="dxa"/>
                  <w:vMerge w:val="continue"/>
                  <w:tcBorders>
                    <w:left w:val="single" w:color="auto" w:sz="4" w:space="0"/>
                    <w:right w:val="single" w:color="auto" w:sz="4" w:space="0"/>
                  </w:tcBorders>
                  <w:vAlign w:val="center"/>
                </w:tcPr>
                <w:p w14:paraId="600E8F7A">
                  <w:pPr>
                    <w:keepNext w:val="0"/>
                    <w:keepLines w:val="0"/>
                    <w:suppressLineNumbers w:val="0"/>
                    <w:snapToGrid w:val="0"/>
                    <w:spacing w:before="0" w:beforeAutospacing="0" w:after="0" w:afterAutospacing="0" w:line="264" w:lineRule="auto"/>
                    <w:ind w:left="0" w:right="0"/>
                    <w:jc w:val="center"/>
                    <w:rPr>
                      <w:rFonts w:hint="default" w:ascii="Times New Roman" w:hAnsi="Times New Roman" w:eastAsia="宋体" w:cs="Times New Roman"/>
                      <w:kern w:val="0"/>
                      <w:sz w:val="18"/>
                      <w:szCs w:val="18"/>
                      <w:highlight w:val="none"/>
                    </w:rPr>
                  </w:pPr>
                </w:p>
              </w:tc>
              <w:tc>
                <w:tcPr>
                  <w:tcW w:w="611" w:type="dxa"/>
                  <w:vMerge w:val="continue"/>
                  <w:tcBorders>
                    <w:left w:val="single" w:color="auto" w:sz="4" w:space="0"/>
                    <w:right w:val="single" w:color="auto" w:sz="4" w:space="0"/>
                  </w:tcBorders>
                  <w:vAlign w:val="center"/>
                </w:tcPr>
                <w:p w14:paraId="1D134B08">
                  <w:pPr>
                    <w:keepNext w:val="0"/>
                    <w:keepLines w:val="0"/>
                    <w:suppressLineNumbers w:val="0"/>
                    <w:snapToGrid w:val="0"/>
                    <w:spacing w:before="0" w:beforeAutospacing="0" w:after="0" w:afterAutospacing="0" w:line="264" w:lineRule="auto"/>
                    <w:ind w:left="0" w:right="0"/>
                    <w:jc w:val="center"/>
                    <w:rPr>
                      <w:rFonts w:hint="default" w:ascii="Times New Roman" w:hAnsi="Times New Roman" w:eastAsia="宋体" w:cs="Times New Roman"/>
                      <w:kern w:val="0"/>
                      <w:sz w:val="18"/>
                      <w:szCs w:val="18"/>
                      <w:highlight w:val="none"/>
                    </w:rPr>
                  </w:pPr>
                </w:p>
              </w:tc>
              <w:tc>
                <w:tcPr>
                  <w:tcW w:w="679" w:type="dxa"/>
                  <w:tcBorders>
                    <w:top w:val="single" w:color="auto" w:sz="4" w:space="0"/>
                    <w:left w:val="single" w:color="auto" w:sz="4" w:space="0"/>
                    <w:bottom w:val="single" w:color="auto" w:sz="4" w:space="0"/>
                    <w:right w:val="single" w:color="auto" w:sz="4" w:space="0"/>
                  </w:tcBorders>
                  <w:vAlign w:val="center"/>
                </w:tcPr>
                <w:p w14:paraId="21FCF0E8">
                  <w:pPr>
                    <w:keepNext w:val="0"/>
                    <w:keepLines w:val="0"/>
                    <w:widowControl/>
                    <w:suppressLineNumbers w:val="0"/>
                    <w:snapToGrid w:val="0"/>
                    <w:spacing w:before="0" w:beforeAutospacing="0" w:after="0" w:afterAutospacing="0" w:line="264" w:lineRule="auto"/>
                    <w:ind w:left="0" w:right="0"/>
                    <w:jc w:val="center"/>
                    <w:rPr>
                      <w:rFonts w:hint="default" w:ascii="Times New Roman" w:hAnsi="Times New Roman" w:eastAsia="宋体" w:cs="Times New Roman"/>
                      <w:bCs/>
                      <w:snapToGrid w:val="0"/>
                      <w:sz w:val="18"/>
                      <w:szCs w:val="18"/>
                      <w:highlight w:val="none"/>
                    </w:rPr>
                  </w:pPr>
                  <w:r>
                    <w:rPr>
                      <w:rFonts w:hint="default" w:ascii="Times New Roman" w:hAnsi="Times New Roman" w:eastAsia="宋体" w:cs="Times New Roman"/>
                      <w:kern w:val="0"/>
                      <w:sz w:val="18"/>
                      <w:szCs w:val="18"/>
                      <w:highlight w:val="none"/>
                    </w:rPr>
                    <w:t>30</w:t>
                  </w:r>
                </w:p>
              </w:tc>
              <w:tc>
                <w:tcPr>
                  <w:tcW w:w="723" w:type="dxa"/>
                  <w:tcBorders>
                    <w:top w:val="single" w:color="auto" w:sz="4" w:space="0"/>
                    <w:left w:val="single" w:color="auto" w:sz="4" w:space="0"/>
                    <w:bottom w:val="single" w:color="auto" w:sz="4" w:space="0"/>
                    <w:right w:val="single" w:color="auto" w:sz="4" w:space="0"/>
                  </w:tcBorders>
                  <w:vAlign w:val="center"/>
                </w:tcPr>
                <w:p w14:paraId="6C08E4B7">
                  <w:pPr>
                    <w:keepNext w:val="0"/>
                    <w:keepLines w:val="0"/>
                    <w:widowControl/>
                    <w:suppressLineNumbers w:val="0"/>
                    <w:snapToGrid w:val="0"/>
                    <w:spacing w:before="0" w:beforeAutospacing="0" w:after="0" w:afterAutospacing="0" w:line="264" w:lineRule="auto"/>
                    <w:ind w:left="0" w:right="0"/>
                    <w:jc w:val="center"/>
                    <w:rPr>
                      <w:rFonts w:hint="default" w:ascii="Times New Roman" w:hAnsi="Times New Roman" w:eastAsia="宋体" w:cs="Times New Roman"/>
                      <w:kern w:val="0"/>
                      <w:sz w:val="18"/>
                      <w:szCs w:val="18"/>
                      <w:highlight w:val="none"/>
                      <w:lang w:val="en-US" w:eastAsia="zh-CN"/>
                    </w:rPr>
                  </w:pPr>
                  <w:r>
                    <w:rPr>
                      <w:rFonts w:hint="eastAsia" w:ascii="Times New Roman" w:hAnsi="Times New Roman" w:eastAsia="宋体" w:cs="Times New Roman"/>
                      <w:kern w:val="0"/>
                      <w:sz w:val="18"/>
                      <w:szCs w:val="18"/>
                      <w:highlight w:val="none"/>
                      <w:lang w:val="en-US" w:eastAsia="zh-CN"/>
                    </w:rPr>
                    <w:t xml:space="preserve">0.491 </w:t>
                  </w:r>
                </w:p>
              </w:tc>
              <w:tc>
                <w:tcPr>
                  <w:tcW w:w="481" w:type="dxa"/>
                  <w:vMerge w:val="continue"/>
                  <w:tcBorders>
                    <w:left w:val="single" w:color="auto" w:sz="4" w:space="0"/>
                    <w:right w:val="single" w:color="auto" w:sz="4" w:space="0"/>
                  </w:tcBorders>
                  <w:vAlign w:val="center"/>
                </w:tcPr>
                <w:p w14:paraId="525ED80B">
                  <w:pPr>
                    <w:keepNext w:val="0"/>
                    <w:keepLines w:val="0"/>
                    <w:suppressLineNumbers w:val="0"/>
                    <w:snapToGrid w:val="0"/>
                    <w:spacing w:before="0" w:beforeAutospacing="0" w:after="0" w:afterAutospacing="0" w:line="264" w:lineRule="auto"/>
                    <w:ind w:left="0" w:right="0"/>
                    <w:jc w:val="center"/>
                    <w:rPr>
                      <w:rFonts w:hint="default" w:ascii="Times New Roman" w:hAnsi="Times New Roman" w:eastAsia="宋体" w:cs="Times New Roman"/>
                      <w:kern w:val="0"/>
                      <w:sz w:val="18"/>
                      <w:szCs w:val="18"/>
                      <w:highlight w:val="none"/>
                    </w:rPr>
                  </w:pPr>
                </w:p>
              </w:tc>
            </w:tr>
            <w:tr w14:paraId="16D6FE6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jc w:val="center"/>
              </w:trPr>
              <w:tc>
                <w:tcPr>
                  <w:tcW w:w="580" w:type="dxa"/>
                  <w:vMerge w:val="continue"/>
                  <w:tcBorders>
                    <w:left w:val="single" w:color="auto" w:sz="4" w:space="0"/>
                    <w:right w:val="single" w:color="auto" w:sz="4" w:space="0"/>
                  </w:tcBorders>
                  <w:vAlign w:val="center"/>
                </w:tcPr>
                <w:p w14:paraId="5EB22657">
                  <w:pPr>
                    <w:keepNext w:val="0"/>
                    <w:keepLines w:val="0"/>
                    <w:widowControl/>
                    <w:suppressLineNumbers w:val="0"/>
                    <w:adjustRightInd w:val="0"/>
                    <w:snapToGrid w:val="0"/>
                    <w:spacing w:before="0" w:beforeAutospacing="0" w:after="0" w:afterAutospacing="0" w:line="264" w:lineRule="auto"/>
                    <w:ind w:left="0" w:right="0"/>
                    <w:jc w:val="center"/>
                    <w:rPr>
                      <w:rFonts w:hint="default" w:ascii="Times New Roman" w:hAnsi="Times New Roman" w:eastAsia="宋体" w:cs="Times New Roman"/>
                      <w:snapToGrid w:val="0"/>
                      <w:sz w:val="18"/>
                      <w:szCs w:val="18"/>
                      <w:highlight w:val="none"/>
                    </w:rPr>
                  </w:pPr>
                </w:p>
              </w:tc>
              <w:tc>
                <w:tcPr>
                  <w:tcW w:w="423" w:type="dxa"/>
                  <w:vMerge w:val="continue"/>
                  <w:tcBorders>
                    <w:left w:val="single" w:color="auto" w:sz="4" w:space="0"/>
                    <w:right w:val="single" w:color="auto" w:sz="4" w:space="0"/>
                  </w:tcBorders>
                  <w:vAlign w:val="center"/>
                </w:tcPr>
                <w:p w14:paraId="392AB159">
                  <w:pPr>
                    <w:keepNext w:val="0"/>
                    <w:keepLines w:val="0"/>
                    <w:widowControl/>
                    <w:suppressLineNumbers w:val="0"/>
                    <w:adjustRightInd w:val="0"/>
                    <w:snapToGrid w:val="0"/>
                    <w:spacing w:before="0" w:beforeAutospacing="0" w:after="0" w:afterAutospacing="0" w:line="264" w:lineRule="auto"/>
                    <w:ind w:left="0" w:right="0"/>
                    <w:jc w:val="center"/>
                    <w:rPr>
                      <w:rFonts w:hint="default" w:ascii="Times New Roman" w:hAnsi="Times New Roman" w:eastAsia="宋体" w:cs="Times New Roman"/>
                      <w:snapToGrid w:val="0"/>
                      <w:sz w:val="18"/>
                      <w:szCs w:val="18"/>
                      <w:highlight w:val="none"/>
                    </w:rPr>
                  </w:pPr>
                </w:p>
              </w:tc>
              <w:tc>
                <w:tcPr>
                  <w:tcW w:w="1031" w:type="dxa"/>
                  <w:vMerge w:val="continue"/>
                  <w:tcBorders>
                    <w:left w:val="single" w:color="auto" w:sz="4" w:space="0"/>
                    <w:right w:val="single" w:color="auto" w:sz="4" w:space="0"/>
                  </w:tcBorders>
                  <w:vAlign w:val="center"/>
                </w:tcPr>
                <w:p w14:paraId="62546314">
                  <w:pPr>
                    <w:keepNext w:val="0"/>
                    <w:keepLines w:val="0"/>
                    <w:widowControl/>
                    <w:suppressLineNumbers w:val="0"/>
                    <w:adjustRightInd w:val="0"/>
                    <w:snapToGrid w:val="0"/>
                    <w:spacing w:before="0" w:beforeAutospacing="0" w:after="0" w:afterAutospacing="0" w:line="264" w:lineRule="auto"/>
                    <w:ind w:left="0" w:right="0"/>
                    <w:jc w:val="center"/>
                    <w:rPr>
                      <w:rFonts w:hint="default" w:ascii="Times New Roman" w:hAnsi="Times New Roman" w:eastAsia="宋体" w:cs="Times New Roman"/>
                      <w:snapToGrid w:val="0"/>
                      <w:sz w:val="18"/>
                      <w:szCs w:val="18"/>
                      <w:highlight w:val="none"/>
                    </w:rPr>
                  </w:pPr>
                </w:p>
              </w:tc>
              <w:tc>
                <w:tcPr>
                  <w:tcW w:w="595" w:type="dxa"/>
                  <w:tcBorders>
                    <w:top w:val="single" w:color="auto" w:sz="4" w:space="0"/>
                    <w:left w:val="single" w:color="auto" w:sz="4" w:space="0"/>
                    <w:bottom w:val="single" w:color="auto" w:sz="4" w:space="0"/>
                    <w:right w:val="single" w:color="auto" w:sz="4" w:space="0"/>
                  </w:tcBorders>
                  <w:vAlign w:val="center"/>
                </w:tcPr>
                <w:p w14:paraId="1902EFC8">
                  <w:pPr>
                    <w:keepNext w:val="0"/>
                    <w:keepLines w:val="0"/>
                    <w:widowControl/>
                    <w:suppressLineNumbers w:val="0"/>
                    <w:adjustRightInd w:val="0"/>
                    <w:snapToGrid w:val="0"/>
                    <w:spacing w:before="0" w:beforeAutospacing="0" w:after="0" w:afterAutospacing="0" w:line="264" w:lineRule="auto"/>
                    <w:ind w:left="0" w:right="0"/>
                    <w:jc w:val="center"/>
                    <w:rPr>
                      <w:rFonts w:hint="eastAsia" w:ascii="Times New Roman" w:hAnsi="Times New Roman" w:eastAsia="宋体" w:cs="Times New Roman"/>
                      <w:snapToGrid w:val="0"/>
                      <w:sz w:val="18"/>
                      <w:szCs w:val="18"/>
                      <w:highlight w:val="none"/>
                      <w:lang w:val="en-US" w:eastAsia="zh-CN"/>
                    </w:rPr>
                  </w:pPr>
                  <w:r>
                    <w:rPr>
                      <w:rFonts w:hint="eastAsia" w:cs="Times New Roman"/>
                      <w:snapToGrid w:val="0"/>
                      <w:sz w:val="18"/>
                      <w:szCs w:val="18"/>
                      <w:highlight w:val="none"/>
                      <w:lang w:val="en-US" w:eastAsia="zh-CN"/>
                    </w:rPr>
                    <w:t>动植物油</w:t>
                  </w:r>
                </w:p>
              </w:tc>
              <w:tc>
                <w:tcPr>
                  <w:tcW w:w="609" w:type="dxa"/>
                  <w:vMerge w:val="continue"/>
                  <w:tcBorders>
                    <w:left w:val="single" w:color="auto" w:sz="4" w:space="0"/>
                    <w:right w:val="single" w:color="auto" w:sz="4" w:space="0"/>
                  </w:tcBorders>
                  <w:vAlign w:val="center"/>
                </w:tcPr>
                <w:p w14:paraId="4DD689D3">
                  <w:pPr>
                    <w:keepNext w:val="0"/>
                    <w:keepLines w:val="0"/>
                    <w:suppressLineNumbers w:val="0"/>
                    <w:snapToGrid w:val="0"/>
                    <w:spacing w:before="0" w:beforeAutospacing="0" w:after="0" w:afterAutospacing="0" w:line="264" w:lineRule="auto"/>
                    <w:ind w:left="0" w:right="0"/>
                    <w:jc w:val="center"/>
                    <w:rPr>
                      <w:rFonts w:hint="default" w:ascii="Times New Roman" w:hAnsi="Times New Roman" w:eastAsia="宋体" w:cs="Times New Roman"/>
                      <w:sz w:val="18"/>
                      <w:szCs w:val="18"/>
                      <w:highlight w:val="none"/>
                    </w:rPr>
                  </w:pPr>
                </w:p>
              </w:tc>
              <w:tc>
                <w:tcPr>
                  <w:tcW w:w="699" w:type="dxa"/>
                  <w:tcBorders>
                    <w:top w:val="single" w:color="auto" w:sz="4" w:space="0"/>
                    <w:left w:val="single" w:color="auto" w:sz="4" w:space="0"/>
                    <w:bottom w:val="single" w:color="auto" w:sz="4" w:space="0"/>
                    <w:right w:val="single" w:color="auto" w:sz="4" w:space="0"/>
                  </w:tcBorders>
                  <w:vAlign w:val="center"/>
                </w:tcPr>
                <w:p w14:paraId="4E1A256F">
                  <w:pPr>
                    <w:keepNext w:val="0"/>
                    <w:keepLines w:val="0"/>
                    <w:widowControl/>
                    <w:suppressLineNumbers w:val="0"/>
                    <w:snapToGrid w:val="0"/>
                    <w:spacing w:before="0" w:beforeAutospacing="0" w:after="0" w:afterAutospacing="0" w:line="264" w:lineRule="auto"/>
                    <w:ind w:left="0" w:right="0"/>
                    <w:jc w:val="center"/>
                    <w:rPr>
                      <w:rFonts w:hint="default" w:ascii="Times New Roman" w:hAnsi="Times New Roman" w:eastAsia="宋体" w:cs="Times New Roman"/>
                      <w:kern w:val="0"/>
                      <w:sz w:val="18"/>
                      <w:szCs w:val="18"/>
                      <w:highlight w:val="none"/>
                      <w:lang w:val="en-US" w:eastAsia="zh-CN"/>
                    </w:rPr>
                  </w:pPr>
                  <w:r>
                    <w:rPr>
                      <w:rFonts w:hint="eastAsia" w:cs="Times New Roman"/>
                      <w:kern w:val="0"/>
                      <w:sz w:val="18"/>
                      <w:szCs w:val="18"/>
                      <w:highlight w:val="none"/>
                      <w:lang w:val="en-US" w:eastAsia="zh-CN"/>
                    </w:rPr>
                    <w:t>50</w:t>
                  </w:r>
                </w:p>
              </w:tc>
              <w:tc>
                <w:tcPr>
                  <w:tcW w:w="777" w:type="dxa"/>
                  <w:tcBorders>
                    <w:top w:val="single" w:color="auto" w:sz="4" w:space="0"/>
                    <w:left w:val="single" w:color="auto" w:sz="4" w:space="0"/>
                    <w:bottom w:val="single" w:color="auto" w:sz="4" w:space="0"/>
                    <w:right w:val="single" w:color="auto" w:sz="4" w:space="0"/>
                  </w:tcBorders>
                  <w:vAlign w:val="center"/>
                </w:tcPr>
                <w:p w14:paraId="347E7055">
                  <w:pPr>
                    <w:keepNext w:val="0"/>
                    <w:keepLines w:val="0"/>
                    <w:widowControl/>
                    <w:suppressLineNumbers w:val="0"/>
                    <w:snapToGrid w:val="0"/>
                    <w:spacing w:before="0" w:beforeAutospacing="0" w:after="0" w:afterAutospacing="0" w:line="264" w:lineRule="auto"/>
                    <w:ind w:left="0" w:right="0"/>
                    <w:jc w:val="center"/>
                    <w:rPr>
                      <w:rFonts w:hint="default" w:ascii="Times New Roman" w:hAnsi="Times New Roman" w:eastAsia="宋体" w:cs="Times New Roman"/>
                      <w:kern w:val="0"/>
                      <w:sz w:val="18"/>
                      <w:szCs w:val="18"/>
                      <w:highlight w:val="none"/>
                      <w:lang w:val="en-US" w:eastAsia="zh-CN"/>
                    </w:rPr>
                  </w:pPr>
                  <w:r>
                    <w:rPr>
                      <w:rFonts w:hint="eastAsia" w:cs="Times New Roman"/>
                      <w:kern w:val="0"/>
                      <w:sz w:val="18"/>
                      <w:szCs w:val="18"/>
                      <w:highlight w:val="none"/>
                      <w:lang w:val="en-US" w:eastAsia="zh-CN"/>
                    </w:rPr>
                    <w:t>0.819</w:t>
                  </w:r>
                </w:p>
              </w:tc>
              <w:tc>
                <w:tcPr>
                  <w:tcW w:w="630" w:type="dxa"/>
                  <w:vMerge w:val="continue"/>
                  <w:tcBorders>
                    <w:left w:val="single" w:color="auto" w:sz="4" w:space="0"/>
                    <w:right w:val="single" w:color="auto" w:sz="4" w:space="0"/>
                  </w:tcBorders>
                  <w:vAlign w:val="center"/>
                </w:tcPr>
                <w:p w14:paraId="782E5A0F">
                  <w:pPr>
                    <w:keepNext w:val="0"/>
                    <w:keepLines w:val="0"/>
                    <w:suppressLineNumbers w:val="0"/>
                    <w:snapToGrid w:val="0"/>
                    <w:spacing w:before="0" w:beforeAutospacing="0" w:after="0" w:afterAutospacing="0" w:line="264" w:lineRule="auto"/>
                    <w:ind w:left="0" w:right="0"/>
                    <w:jc w:val="center"/>
                    <w:rPr>
                      <w:rFonts w:hint="default" w:ascii="Times New Roman" w:hAnsi="Times New Roman" w:eastAsia="宋体" w:cs="Times New Roman"/>
                      <w:sz w:val="18"/>
                      <w:szCs w:val="18"/>
                      <w:highlight w:val="none"/>
                    </w:rPr>
                  </w:pPr>
                </w:p>
              </w:tc>
              <w:tc>
                <w:tcPr>
                  <w:tcW w:w="477" w:type="dxa"/>
                  <w:tcBorders>
                    <w:left w:val="single" w:color="auto" w:sz="4" w:space="0"/>
                    <w:right w:val="single" w:color="auto" w:sz="4" w:space="0"/>
                  </w:tcBorders>
                  <w:vAlign w:val="center"/>
                </w:tcPr>
                <w:p w14:paraId="31BDF4FF">
                  <w:pPr>
                    <w:keepNext w:val="0"/>
                    <w:keepLines w:val="0"/>
                    <w:suppressLineNumbers w:val="0"/>
                    <w:snapToGrid w:val="0"/>
                    <w:spacing w:before="0" w:beforeAutospacing="0" w:after="0" w:afterAutospacing="0" w:line="264" w:lineRule="auto"/>
                    <w:ind w:left="0" w:right="0"/>
                    <w:jc w:val="center"/>
                    <w:rPr>
                      <w:rFonts w:hint="default" w:ascii="Times New Roman" w:hAnsi="Times New Roman" w:eastAsia="宋体" w:cs="Times New Roman"/>
                      <w:kern w:val="0"/>
                      <w:sz w:val="18"/>
                      <w:szCs w:val="18"/>
                      <w:highlight w:val="none"/>
                      <w:lang w:val="en-US" w:eastAsia="zh-CN"/>
                    </w:rPr>
                  </w:pPr>
                  <w:r>
                    <w:rPr>
                      <w:rFonts w:hint="eastAsia" w:cs="Times New Roman"/>
                      <w:kern w:val="0"/>
                      <w:sz w:val="18"/>
                      <w:szCs w:val="18"/>
                      <w:highlight w:val="none"/>
                      <w:lang w:val="en-US" w:eastAsia="zh-CN"/>
                    </w:rPr>
                    <w:t>50</w:t>
                  </w:r>
                </w:p>
              </w:tc>
              <w:tc>
                <w:tcPr>
                  <w:tcW w:w="611" w:type="dxa"/>
                  <w:vMerge w:val="continue"/>
                  <w:tcBorders>
                    <w:left w:val="single" w:color="auto" w:sz="4" w:space="0"/>
                    <w:right w:val="single" w:color="auto" w:sz="4" w:space="0"/>
                  </w:tcBorders>
                  <w:vAlign w:val="center"/>
                </w:tcPr>
                <w:p w14:paraId="317FA372">
                  <w:pPr>
                    <w:keepNext w:val="0"/>
                    <w:keepLines w:val="0"/>
                    <w:suppressLineNumbers w:val="0"/>
                    <w:snapToGrid w:val="0"/>
                    <w:spacing w:before="0" w:beforeAutospacing="0" w:after="0" w:afterAutospacing="0" w:line="264" w:lineRule="auto"/>
                    <w:ind w:left="0" w:right="0"/>
                    <w:jc w:val="center"/>
                    <w:rPr>
                      <w:rFonts w:hint="default" w:ascii="Times New Roman" w:hAnsi="Times New Roman" w:eastAsia="宋体" w:cs="Times New Roman"/>
                      <w:kern w:val="0"/>
                      <w:sz w:val="18"/>
                      <w:szCs w:val="18"/>
                      <w:highlight w:val="none"/>
                    </w:rPr>
                  </w:pPr>
                </w:p>
              </w:tc>
              <w:tc>
                <w:tcPr>
                  <w:tcW w:w="679" w:type="dxa"/>
                  <w:tcBorders>
                    <w:top w:val="single" w:color="auto" w:sz="4" w:space="0"/>
                    <w:left w:val="single" w:color="auto" w:sz="4" w:space="0"/>
                    <w:bottom w:val="single" w:color="auto" w:sz="4" w:space="0"/>
                    <w:right w:val="single" w:color="auto" w:sz="4" w:space="0"/>
                  </w:tcBorders>
                  <w:vAlign w:val="center"/>
                </w:tcPr>
                <w:p w14:paraId="344C032F">
                  <w:pPr>
                    <w:keepNext w:val="0"/>
                    <w:keepLines w:val="0"/>
                    <w:widowControl/>
                    <w:suppressLineNumbers w:val="0"/>
                    <w:snapToGrid w:val="0"/>
                    <w:spacing w:before="0" w:beforeAutospacing="0" w:after="0" w:afterAutospacing="0" w:line="264" w:lineRule="auto"/>
                    <w:ind w:left="0" w:right="0"/>
                    <w:jc w:val="center"/>
                    <w:rPr>
                      <w:rFonts w:hint="default" w:ascii="Times New Roman" w:hAnsi="Times New Roman" w:eastAsia="宋体" w:cs="Times New Roman"/>
                      <w:kern w:val="0"/>
                      <w:sz w:val="18"/>
                      <w:szCs w:val="18"/>
                      <w:highlight w:val="none"/>
                      <w:lang w:val="en-US" w:eastAsia="zh-CN"/>
                    </w:rPr>
                  </w:pPr>
                  <w:r>
                    <w:rPr>
                      <w:rFonts w:hint="eastAsia" w:cs="Times New Roman"/>
                      <w:kern w:val="0"/>
                      <w:sz w:val="18"/>
                      <w:szCs w:val="18"/>
                      <w:highlight w:val="none"/>
                      <w:lang w:val="en-US" w:eastAsia="zh-CN"/>
                    </w:rPr>
                    <w:t>25</w:t>
                  </w:r>
                </w:p>
              </w:tc>
              <w:tc>
                <w:tcPr>
                  <w:tcW w:w="723" w:type="dxa"/>
                  <w:tcBorders>
                    <w:top w:val="single" w:color="auto" w:sz="4" w:space="0"/>
                    <w:left w:val="single" w:color="auto" w:sz="4" w:space="0"/>
                    <w:bottom w:val="single" w:color="auto" w:sz="4" w:space="0"/>
                    <w:right w:val="single" w:color="auto" w:sz="4" w:space="0"/>
                  </w:tcBorders>
                  <w:vAlign w:val="center"/>
                </w:tcPr>
                <w:p w14:paraId="18A05416">
                  <w:pPr>
                    <w:keepNext w:val="0"/>
                    <w:keepLines w:val="0"/>
                    <w:widowControl/>
                    <w:suppressLineNumbers w:val="0"/>
                    <w:snapToGrid w:val="0"/>
                    <w:spacing w:before="0" w:beforeAutospacing="0" w:after="0" w:afterAutospacing="0" w:line="264" w:lineRule="auto"/>
                    <w:ind w:left="0" w:right="0"/>
                    <w:jc w:val="center"/>
                    <w:rPr>
                      <w:rFonts w:hint="default" w:ascii="Times New Roman" w:hAnsi="Times New Roman" w:eastAsia="宋体" w:cs="Times New Roman"/>
                      <w:kern w:val="0"/>
                      <w:sz w:val="18"/>
                      <w:szCs w:val="18"/>
                      <w:highlight w:val="none"/>
                      <w:lang w:val="en-US" w:eastAsia="zh-CN"/>
                    </w:rPr>
                  </w:pPr>
                  <w:r>
                    <w:rPr>
                      <w:rFonts w:hint="eastAsia" w:cs="Times New Roman"/>
                      <w:kern w:val="0"/>
                      <w:sz w:val="18"/>
                      <w:szCs w:val="18"/>
                      <w:highlight w:val="none"/>
                      <w:lang w:val="en-US" w:eastAsia="zh-CN"/>
                    </w:rPr>
                    <w:t>0.410</w:t>
                  </w:r>
                </w:p>
              </w:tc>
              <w:tc>
                <w:tcPr>
                  <w:tcW w:w="481" w:type="dxa"/>
                  <w:vMerge w:val="continue"/>
                  <w:tcBorders>
                    <w:left w:val="single" w:color="auto" w:sz="4" w:space="0"/>
                    <w:right w:val="single" w:color="auto" w:sz="4" w:space="0"/>
                  </w:tcBorders>
                  <w:vAlign w:val="center"/>
                </w:tcPr>
                <w:p w14:paraId="44B2704A">
                  <w:pPr>
                    <w:keepNext w:val="0"/>
                    <w:keepLines w:val="0"/>
                    <w:suppressLineNumbers w:val="0"/>
                    <w:snapToGrid w:val="0"/>
                    <w:spacing w:before="0" w:beforeAutospacing="0" w:after="0" w:afterAutospacing="0" w:line="264" w:lineRule="auto"/>
                    <w:ind w:left="0" w:right="0"/>
                    <w:jc w:val="center"/>
                    <w:rPr>
                      <w:rFonts w:hint="default" w:ascii="Times New Roman" w:hAnsi="Times New Roman" w:eastAsia="宋体" w:cs="Times New Roman"/>
                      <w:kern w:val="0"/>
                      <w:sz w:val="18"/>
                      <w:szCs w:val="18"/>
                      <w:highlight w:val="none"/>
                    </w:rPr>
                  </w:pPr>
                </w:p>
              </w:tc>
            </w:tr>
            <w:tr w14:paraId="018F8C7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jc w:val="center"/>
              </w:trPr>
              <w:tc>
                <w:tcPr>
                  <w:tcW w:w="580" w:type="dxa"/>
                  <w:vMerge w:val="restart"/>
                  <w:tcBorders>
                    <w:left w:val="single" w:color="auto" w:sz="4" w:space="0"/>
                    <w:right w:val="single" w:color="auto" w:sz="4" w:space="0"/>
                  </w:tcBorders>
                  <w:vAlign w:val="center"/>
                </w:tcPr>
                <w:p w14:paraId="148BF910">
                  <w:pPr>
                    <w:keepNext w:val="0"/>
                    <w:keepLines w:val="0"/>
                    <w:widowControl/>
                    <w:suppressLineNumbers w:val="0"/>
                    <w:adjustRightInd w:val="0"/>
                    <w:snapToGrid w:val="0"/>
                    <w:spacing w:before="0" w:beforeAutospacing="0" w:after="0" w:afterAutospacing="0" w:line="264" w:lineRule="auto"/>
                    <w:ind w:left="0" w:right="0"/>
                    <w:jc w:val="center"/>
                    <w:rPr>
                      <w:rFonts w:hint="default" w:ascii="Times New Roman" w:hAnsi="Times New Roman" w:eastAsia="宋体" w:cs="Times New Roman"/>
                      <w:snapToGrid w:val="0"/>
                      <w:sz w:val="18"/>
                      <w:szCs w:val="18"/>
                      <w:highlight w:val="none"/>
                      <w:lang w:val="en-US" w:eastAsia="zh-CN"/>
                    </w:rPr>
                  </w:pPr>
                  <w:r>
                    <w:rPr>
                      <w:rFonts w:hint="eastAsia" w:cs="Times New Roman"/>
                      <w:snapToGrid w:val="0"/>
                      <w:sz w:val="18"/>
                      <w:szCs w:val="18"/>
                      <w:highlight w:val="none"/>
                      <w:lang w:val="en-US" w:eastAsia="zh-CN"/>
                    </w:rPr>
                    <w:t>DW002</w:t>
                  </w:r>
                </w:p>
              </w:tc>
              <w:tc>
                <w:tcPr>
                  <w:tcW w:w="423" w:type="dxa"/>
                  <w:vMerge w:val="restart"/>
                  <w:tcBorders>
                    <w:left w:val="single" w:color="auto" w:sz="4" w:space="0"/>
                    <w:right w:val="single" w:color="auto" w:sz="4" w:space="0"/>
                  </w:tcBorders>
                  <w:vAlign w:val="center"/>
                </w:tcPr>
                <w:p w14:paraId="34897604">
                  <w:pPr>
                    <w:keepNext w:val="0"/>
                    <w:keepLines w:val="0"/>
                    <w:widowControl/>
                    <w:suppressLineNumbers w:val="0"/>
                    <w:adjustRightInd w:val="0"/>
                    <w:snapToGrid w:val="0"/>
                    <w:spacing w:before="0" w:beforeAutospacing="0" w:after="0" w:afterAutospacing="0" w:line="264" w:lineRule="auto"/>
                    <w:ind w:left="0" w:right="0"/>
                    <w:jc w:val="center"/>
                    <w:rPr>
                      <w:rFonts w:hint="default" w:ascii="Times New Roman" w:hAnsi="Times New Roman" w:eastAsia="宋体" w:cs="Times New Roman"/>
                      <w:snapToGrid w:val="0"/>
                      <w:sz w:val="18"/>
                      <w:szCs w:val="18"/>
                      <w:highlight w:val="none"/>
                      <w:lang w:val="en-US" w:eastAsia="zh-CN"/>
                    </w:rPr>
                  </w:pPr>
                  <w:r>
                    <w:rPr>
                      <w:rFonts w:hint="eastAsia" w:ascii="Times New Roman" w:hAnsi="Times New Roman" w:eastAsia="宋体" w:cs="Times New Roman"/>
                      <w:snapToGrid w:val="0"/>
                      <w:sz w:val="18"/>
                      <w:szCs w:val="18"/>
                      <w:highlight w:val="none"/>
                    </w:rPr>
                    <w:t>废水排放口</w:t>
                  </w:r>
                </w:p>
              </w:tc>
              <w:tc>
                <w:tcPr>
                  <w:tcW w:w="1031" w:type="dxa"/>
                  <w:vMerge w:val="restart"/>
                  <w:tcBorders>
                    <w:left w:val="single" w:color="auto" w:sz="4" w:space="0"/>
                    <w:right w:val="single" w:color="auto" w:sz="4" w:space="0"/>
                  </w:tcBorders>
                  <w:vAlign w:val="center"/>
                </w:tcPr>
                <w:p w14:paraId="1DD6B513">
                  <w:pPr>
                    <w:keepNext w:val="0"/>
                    <w:keepLines w:val="0"/>
                    <w:widowControl/>
                    <w:suppressLineNumbers w:val="0"/>
                    <w:adjustRightInd w:val="0"/>
                    <w:snapToGrid w:val="0"/>
                    <w:spacing w:before="0" w:beforeAutospacing="0" w:after="0" w:afterAutospacing="0" w:line="264" w:lineRule="auto"/>
                    <w:ind w:left="0" w:right="0"/>
                    <w:jc w:val="center"/>
                    <w:rPr>
                      <w:rFonts w:hint="default" w:ascii="Times New Roman" w:hAnsi="Times New Roman" w:eastAsia="宋体" w:cs="Times New Roman"/>
                      <w:snapToGrid w:val="0"/>
                      <w:sz w:val="18"/>
                      <w:szCs w:val="18"/>
                      <w:highlight w:val="none"/>
                    </w:rPr>
                  </w:pPr>
                  <w:r>
                    <w:rPr>
                      <w:rFonts w:hint="eastAsia" w:ascii="Times New Roman" w:hAnsi="Times New Roman" w:eastAsia="宋体" w:cs="Times New Roman"/>
                      <w:snapToGrid w:val="0"/>
                      <w:sz w:val="18"/>
                      <w:szCs w:val="18"/>
                      <w:highlight w:val="none"/>
                      <w:lang w:val="en-US" w:eastAsia="zh-CN"/>
                    </w:rPr>
                    <w:t>洗衣废水</w:t>
                  </w:r>
                </w:p>
              </w:tc>
              <w:tc>
                <w:tcPr>
                  <w:tcW w:w="595" w:type="dxa"/>
                  <w:tcBorders>
                    <w:top w:val="single" w:color="auto" w:sz="4" w:space="0"/>
                    <w:left w:val="single" w:color="auto" w:sz="4" w:space="0"/>
                    <w:bottom w:val="single" w:color="auto" w:sz="4" w:space="0"/>
                    <w:right w:val="single" w:color="auto" w:sz="4" w:space="0"/>
                  </w:tcBorders>
                  <w:shd w:val="clear" w:color="auto" w:fill="auto"/>
                  <w:vAlign w:val="center"/>
                </w:tcPr>
                <w:p w14:paraId="1228801A">
                  <w:pPr>
                    <w:keepNext w:val="0"/>
                    <w:keepLines w:val="0"/>
                    <w:widowControl/>
                    <w:suppressLineNumbers w:val="0"/>
                    <w:adjustRightInd w:val="0"/>
                    <w:snapToGrid w:val="0"/>
                    <w:spacing w:before="0" w:beforeAutospacing="0" w:after="0" w:afterAutospacing="0" w:line="264" w:lineRule="auto"/>
                    <w:ind w:left="0" w:right="0"/>
                    <w:jc w:val="center"/>
                    <w:rPr>
                      <w:rFonts w:hint="default" w:ascii="Times New Roman" w:hAnsi="Times New Roman" w:eastAsia="宋体" w:cs="Times New Roman"/>
                      <w:snapToGrid w:val="0"/>
                      <w:kern w:val="2"/>
                      <w:sz w:val="18"/>
                      <w:szCs w:val="18"/>
                      <w:highlight w:val="none"/>
                      <w:lang w:val="en-US" w:eastAsia="zh-CN" w:bidi="ar-SA"/>
                    </w:rPr>
                  </w:pPr>
                  <w:r>
                    <w:rPr>
                      <w:rFonts w:hint="default" w:ascii="Times New Roman" w:hAnsi="Times New Roman" w:eastAsia="宋体" w:cs="Times New Roman"/>
                      <w:snapToGrid w:val="0"/>
                      <w:sz w:val="18"/>
                      <w:szCs w:val="18"/>
                      <w:highlight w:val="none"/>
                    </w:rPr>
                    <w:t>COD</w:t>
                  </w:r>
                  <w:r>
                    <w:rPr>
                      <w:rFonts w:hint="default" w:ascii="Times New Roman" w:hAnsi="Times New Roman" w:eastAsia="宋体" w:cs="Times New Roman"/>
                      <w:snapToGrid w:val="0"/>
                      <w:sz w:val="18"/>
                      <w:szCs w:val="18"/>
                      <w:highlight w:val="none"/>
                      <w:vertAlign w:val="subscript"/>
                    </w:rPr>
                    <w:t>Cr</w:t>
                  </w:r>
                </w:p>
              </w:tc>
              <w:tc>
                <w:tcPr>
                  <w:tcW w:w="609" w:type="dxa"/>
                  <w:vMerge w:val="restart"/>
                  <w:tcBorders>
                    <w:left w:val="single" w:color="auto" w:sz="4" w:space="0"/>
                    <w:right w:val="single" w:color="auto" w:sz="4" w:space="0"/>
                  </w:tcBorders>
                  <w:vAlign w:val="center"/>
                </w:tcPr>
                <w:p w14:paraId="32D790A0">
                  <w:pPr>
                    <w:keepNext w:val="0"/>
                    <w:keepLines w:val="0"/>
                    <w:suppressLineNumbers w:val="0"/>
                    <w:snapToGrid w:val="0"/>
                    <w:spacing w:before="0" w:beforeAutospacing="0" w:after="0" w:afterAutospacing="0" w:line="264" w:lineRule="auto"/>
                    <w:ind w:left="0" w:right="0"/>
                    <w:jc w:val="center"/>
                    <w:rPr>
                      <w:rFonts w:hint="default" w:ascii="Times New Roman" w:hAnsi="Times New Roman" w:eastAsia="宋体" w:cs="Times New Roman"/>
                      <w:sz w:val="18"/>
                      <w:szCs w:val="18"/>
                      <w:highlight w:val="none"/>
                      <w:lang w:val="en-US" w:eastAsia="zh-CN"/>
                    </w:rPr>
                  </w:pPr>
                  <w:r>
                    <w:rPr>
                      <w:rFonts w:hint="eastAsia" w:ascii="Times New Roman" w:hAnsi="Times New Roman" w:eastAsia="宋体" w:cs="Times New Roman"/>
                      <w:sz w:val="18"/>
                      <w:szCs w:val="18"/>
                      <w:highlight w:val="none"/>
                      <w:lang w:val="en-US" w:eastAsia="zh-CN"/>
                    </w:rPr>
                    <w:t>768.2</w:t>
                  </w:r>
                </w:p>
              </w:tc>
              <w:tc>
                <w:tcPr>
                  <w:tcW w:w="699" w:type="dxa"/>
                  <w:tcBorders>
                    <w:top w:val="single" w:color="auto" w:sz="4" w:space="0"/>
                    <w:left w:val="single" w:color="auto" w:sz="4" w:space="0"/>
                    <w:bottom w:val="single" w:color="auto" w:sz="4" w:space="0"/>
                    <w:right w:val="single" w:color="auto" w:sz="4" w:space="0"/>
                  </w:tcBorders>
                  <w:shd w:val="clear" w:color="auto" w:fill="auto"/>
                  <w:vAlign w:val="center"/>
                </w:tcPr>
                <w:p w14:paraId="257AAB33">
                  <w:pPr>
                    <w:keepNext w:val="0"/>
                    <w:keepLines w:val="0"/>
                    <w:widowControl/>
                    <w:suppressLineNumbers w:val="0"/>
                    <w:snapToGrid w:val="0"/>
                    <w:spacing w:before="0" w:beforeAutospacing="0" w:after="0" w:afterAutospacing="0" w:line="264" w:lineRule="auto"/>
                    <w:ind w:left="0" w:right="0"/>
                    <w:jc w:val="center"/>
                    <w:rPr>
                      <w:rFonts w:hint="default" w:ascii="Times New Roman" w:hAnsi="Times New Roman" w:eastAsia="宋体" w:cs="Times New Roman"/>
                      <w:kern w:val="0"/>
                      <w:sz w:val="18"/>
                      <w:szCs w:val="18"/>
                      <w:highlight w:val="none"/>
                      <w:lang w:val="en-US" w:eastAsia="zh-CN" w:bidi="ar-SA"/>
                    </w:rPr>
                  </w:pPr>
                  <w:r>
                    <w:rPr>
                      <w:rFonts w:hint="default" w:ascii="Times New Roman" w:hAnsi="Times New Roman" w:eastAsia="宋体" w:cs="Times New Roman"/>
                      <w:kern w:val="0"/>
                      <w:sz w:val="18"/>
                      <w:szCs w:val="18"/>
                      <w:highlight w:val="none"/>
                    </w:rPr>
                    <w:t>350</w:t>
                  </w:r>
                </w:p>
              </w:tc>
              <w:tc>
                <w:tcPr>
                  <w:tcW w:w="777" w:type="dxa"/>
                  <w:tcBorders>
                    <w:top w:val="single" w:color="auto" w:sz="4" w:space="0"/>
                    <w:left w:val="single" w:color="auto" w:sz="4" w:space="0"/>
                    <w:bottom w:val="single" w:color="auto" w:sz="4" w:space="0"/>
                    <w:right w:val="single" w:color="auto" w:sz="4" w:space="0"/>
                  </w:tcBorders>
                  <w:vAlign w:val="center"/>
                </w:tcPr>
                <w:p w14:paraId="45212699">
                  <w:pPr>
                    <w:keepNext w:val="0"/>
                    <w:keepLines w:val="0"/>
                    <w:widowControl/>
                    <w:suppressLineNumbers w:val="0"/>
                    <w:snapToGrid w:val="0"/>
                    <w:spacing w:before="0" w:beforeAutospacing="0" w:after="0" w:afterAutospacing="0" w:line="264" w:lineRule="auto"/>
                    <w:ind w:left="0" w:right="0"/>
                    <w:jc w:val="center"/>
                    <w:rPr>
                      <w:rFonts w:hint="eastAsia" w:ascii="Times New Roman" w:hAnsi="Times New Roman" w:eastAsia="宋体" w:cs="Times New Roman"/>
                      <w:kern w:val="0"/>
                      <w:sz w:val="18"/>
                      <w:szCs w:val="18"/>
                      <w:highlight w:val="none"/>
                      <w:lang w:val="en-US" w:eastAsia="zh-CN"/>
                    </w:rPr>
                  </w:pPr>
                  <w:r>
                    <w:rPr>
                      <w:rFonts w:hint="eastAsia" w:ascii="Times New Roman" w:hAnsi="Times New Roman" w:eastAsia="宋体" w:cs="Times New Roman"/>
                      <w:kern w:val="0"/>
                      <w:sz w:val="18"/>
                      <w:szCs w:val="18"/>
                      <w:highlight w:val="none"/>
                      <w:lang w:val="en-US" w:eastAsia="zh-CN"/>
                    </w:rPr>
                    <w:t>0.</w:t>
                  </w:r>
                  <w:r>
                    <w:rPr>
                      <w:rFonts w:hint="eastAsia" w:cs="Times New Roman"/>
                      <w:kern w:val="0"/>
                      <w:sz w:val="18"/>
                      <w:szCs w:val="18"/>
                      <w:highlight w:val="none"/>
                      <w:lang w:val="en-US" w:eastAsia="zh-CN"/>
                    </w:rPr>
                    <w:t>26</w:t>
                  </w:r>
                  <w:r>
                    <w:rPr>
                      <w:rFonts w:hint="eastAsia" w:ascii="Times New Roman" w:hAnsi="Times New Roman" w:eastAsia="宋体" w:cs="Times New Roman"/>
                      <w:kern w:val="0"/>
                      <w:sz w:val="18"/>
                      <w:szCs w:val="18"/>
                      <w:highlight w:val="none"/>
                      <w:lang w:val="en-US" w:eastAsia="zh-CN"/>
                    </w:rPr>
                    <w:t xml:space="preserve">9 </w:t>
                  </w:r>
                </w:p>
              </w:tc>
              <w:tc>
                <w:tcPr>
                  <w:tcW w:w="630" w:type="dxa"/>
                  <w:vMerge w:val="restart"/>
                  <w:tcBorders>
                    <w:left w:val="single" w:color="auto" w:sz="4" w:space="0"/>
                    <w:right w:val="single" w:color="auto" w:sz="4" w:space="0"/>
                  </w:tcBorders>
                  <w:vAlign w:val="center"/>
                </w:tcPr>
                <w:p w14:paraId="0487A777">
                  <w:pPr>
                    <w:keepNext w:val="0"/>
                    <w:keepLines w:val="0"/>
                    <w:widowControl/>
                    <w:suppressLineNumbers w:val="0"/>
                    <w:snapToGrid w:val="0"/>
                    <w:spacing w:before="0" w:beforeAutospacing="0" w:after="0" w:afterAutospacing="0" w:line="264" w:lineRule="auto"/>
                    <w:ind w:left="0" w:right="0"/>
                    <w:jc w:val="center"/>
                    <w:rPr>
                      <w:rFonts w:hint="default" w:ascii="Times New Roman" w:hAnsi="Times New Roman" w:eastAsia="宋体" w:cs="Times New Roman"/>
                      <w:kern w:val="0"/>
                      <w:sz w:val="18"/>
                      <w:szCs w:val="18"/>
                      <w:highlight w:val="none"/>
                    </w:rPr>
                  </w:pPr>
                  <w:r>
                    <w:rPr>
                      <w:rFonts w:hint="default" w:ascii="Times New Roman" w:hAnsi="Times New Roman" w:cs="Times New Roman"/>
                      <w:b w:val="0"/>
                      <w:bCs/>
                      <w:sz w:val="18"/>
                      <w:szCs w:val="18"/>
                      <w:highlight w:val="none"/>
                      <w:lang w:eastAsia="zh-CN"/>
                    </w:rPr>
                    <w:t>人工格栅</w:t>
                  </w:r>
                  <w:r>
                    <w:rPr>
                      <w:rFonts w:hint="eastAsia" w:ascii="Times New Roman" w:hAnsi="Times New Roman" w:cs="Times New Roman"/>
                      <w:b w:val="0"/>
                      <w:bCs/>
                      <w:sz w:val="18"/>
                      <w:szCs w:val="18"/>
                      <w:highlight w:val="none"/>
                      <w:lang w:val="en-US" w:eastAsia="zh-CN"/>
                    </w:rPr>
                    <w:t>+</w:t>
                  </w:r>
                  <w:r>
                    <w:rPr>
                      <w:rFonts w:hint="eastAsia" w:cs="Times New Roman"/>
                      <w:b w:val="0"/>
                      <w:bCs/>
                      <w:sz w:val="18"/>
                      <w:szCs w:val="18"/>
                      <w:highlight w:val="none"/>
                      <w:lang w:val="en-US" w:eastAsia="zh-CN"/>
                    </w:rPr>
                    <w:t>收集</w:t>
                  </w:r>
                  <w:r>
                    <w:rPr>
                      <w:rFonts w:hint="eastAsia" w:ascii="Times New Roman" w:hAnsi="Times New Roman" w:cs="Times New Roman"/>
                      <w:b w:val="0"/>
                      <w:bCs/>
                      <w:sz w:val="18"/>
                      <w:szCs w:val="18"/>
                      <w:highlight w:val="none"/>
                      <w:lang w:eastAsia="zh-CN"/>
                    </w:rPr>
                    <w:t>池</w:t>
                  </w:r>
                  <w:r>
                    <w:rPr>
                      <w:rFonts w:hint="eastAsia" w:cs="Times New Roman"/>
                      <w:b w:val="0"/>
                      <w:bCs/>
                      <w:sz w:val="18"/>
                      <w:szCs w:val="18"/>
                      <w:highlight w:val="none"/>
                      <w:lang w:val="en-US" w:eastAsia="zh-CN"/>
                    </w:rPr>
                    <w:t>+反应池</w:t>
                  </w:r>
                  <w:r>
                    <w:rPr>
                      <w:rFonts w:hint="eastAsia" w:ascii="Times New Roman" w:hAnsi="Times New Roman" w:cs="Times New Roman"/>
                      <w:b w:val="0"/>
                      <w:bCs/>
                      <w:sz w:val="18"/>
                      <w:szCs w:val="18"/>
                      <w:highlight w:val="none"/>
                      <w:lang w:val="en-US" w:eastAsia="zh-CN"/>
                    </w:rPr>
                    <w:t>+初沉池</w:t>
                  </w:r>
                  <w:r>
                    <w:rPr>
                      <w:rFonts w:hint="eastAsia" w:cs="Times New Roman"/>
                      <w:b w:val="0"/>
                      <w:bCs/>
                      <w:sz w:val="18"/>
                      <w:szCs w:val="18"/>
                      <w:highlight w:val="none"/>
                      <w:lang w:val="en-US" w:eastAsia="zh-CN"/>
                    </w:rPr>
                    <w:t>+水解池</w:t>
                  </w:r>
                  <w:r>
                    <w:rPr>
                      <w:rFonts w:hint="eastAsia" w:ascii="Times New Roman" w:hAnsi="Times New Roman" w:cs="Times New Roman"/>
                      <w:b w:val="0"/>
                      <w:bCs/>
                      <w:sz w:val="18"/>
                      <w:szCs w:val="18"/>
                      <w:highlight w:val="none"/>
                      <w:lang w:val="en-US" w:eastAsia="zh-CN"/>
                    </w:rPr>
                    <w:t>+</w:t>
                  </w:r>
                  <w:r>
                    <w:rPr>
                      <w:rFonts w:hint="eastAsia" w:cs="Times New Roman"/>
                      <w:b w:val="0"/>
                      <w:bCs/>
                      <w:sz w:val="18"/>
                      <w:szCs w:val="18"/>
                      <w:highlight w:val="none"/>
                      <w:lang w:val="en-US" w:eastAsia="zh-CN"/>
                    </w:rPr>
                    <w:t>接触氧化池</w:t>
                  </w:r>
                  <w:r>
                    <w:rPr>
                      <w:rFonts w:hint="default" w:ascii="Times New Roman" w:hAnsi="Times New Roman" w:eastAsia="宋体" w:cs="Times New Roman"/>
                      <w:b w:val="0"/>
                      <w:bCs/>
                      <w:sz w:val="18"/>
                      <w:szCs w:val="18"/>
                      <w:highlight w:val="none"/>
                    </w:rPr>
                    <w:t>+二沉池</w:t>
                  </w:r>
                  <w:r>
                    <w:rPr>
                      <w:rFonts w:hint="eastAsia" w:ascii="Times New Roman" w:hAnsi="Times New Roman" w:eastAsia="宋体" w:cs="Times New Roman"/>
                      <w:b w:val="0"/>
                      <w:bCs/>
                      <w:sz w:val="18"/>
                      <w:szCs w:val="18"/>
                      <w:highlight w:val="none"/>
                      <w:lang w:val="en-US" w:eastAsia="zh-CN"/>
                    </w:rPr>
                    <w:t>+消毒池</w:t>
                  </w:r>
                </w:p>
              </w:tc>
              <w:tc>
                <w:tcPr>
                  <w:tcW w:w="477" w:type="dxa"/>
                  <w:tcBorders>
                    <w:left w:val="single" w:color="auto" w:sz="4" w:space="0"/>
                    <w:right w:val="single" w:color="auto" w:sz="4" w:space="0"/>
                  </w:tcBorders>
                  <w:vAlign w:val="center"/>
                </w:tcPr>
                <w:p w14:paraId="2CC56D74">
                  <w:pPr>
                    <w:keepNext w:val="0"/>
                    <w:keepLines w:val="0"/>
                    <w:suppressLineNumbers w:val="0"/>
                    <w:snapToGrid w:val="0"/>
                    <w:spacing w:before="0" w:beforeAutospacing="0" w:after="0" w:afterAutospacing="0" w:line="264" w:lineRule="auto"/>
                    <w:ind w:left="0" w:right="0"/>
                    <w:jc w:val="center"/>
                    <w:rPr>
                      <w:rFonts w:hint="default" w:ascii="Times New Roman" w:hAnsi="Times New Roman" w:eastAsia="宋体" w:cs="Times New Roman"/>
                      <w:kern w:val="0"/>
                      <w:sz w:val="18"/>
                      <w:szCs w:val="18"/>
                      <w:highlight w:val="none"/>
                    </w:rPr>
                  </w:pPr>
                  <w:r>
                    <w:rPr>
                      <w:rFonts w:hint="eastAsia"/>
                      <w:bCs/>
                      <w:snapToGrid w:val="0"/>
                      <w:sz w:val="18"/>
                      <w:szCs w:val="18"/>
                      <w:highlight w:val="none"/>
                      <w:lang w:val="en-US" w:eastAsia="zh-CN"/>
                    </w:rPr>
                    <w:t>75</w:t>
                  </w:r>
                </w:p>
              </w:tc>
              <w:tc>
                <w:tcPr>
                  <w:tcW w:w="611" w:type="dxa"/>
                  <w:vMerge w:val="restart"/>
                  <w:tcBorders>
                    <w:left w:val="single" w:color="auto" w:sz="4" w:space="0"/>
                    <w:right w:val="single" w:color="auto" w:sz="4" w:space="0"/>
                  </w:tcBorders>
                  <w:vAlign w:val="center"/>
                </w:tcPr>
                <w:p w14:paraId="73144560">
                  <w:pPr>
                    <w:keepNext w:val="0"/>
                    <w:keepLines w:val="0"/>
                    <w:suppressLineNumbers w:val="0"/>
                    <w:snapToGrid w:val="0"/>
                    <w:spacing w:before="0" w:beforeAutospacing="0" w:after="0" w:afterAutospacing="0" w:line="264" w:lineRule="auto"/>
                    <w:ind w:left="0" w:right="0"/>
                    <w:jc w:val="center"/>
                    <w:rPr>
                      <w:rFonts w:hint="default" w:ascii="Times New Roman" w:hAnsi="Times New Roman" w:eastAsia="宋体" w:cs="Times New Roman"/>
                      <w:kern w:val="0"/>
                      <w:sz w:val="18"/>
                      <w:szCs w:val="18"/>
                      <w:highlight w:val="none"/>
                    </w:rPr>
                  </w:pPr>
                  <w:r>
                    <w:rPr>
                      <w:rFonts w:hint="eastAsia" w:ascii="Times New Roman" w:hAnsi="Times New Roman" w:eastAsia="宋体" w:cs="Times New Roman"/>
                      <w:sz w:val="18"/>
                      <w:szCs w:val="18"/>
                      <w:highlight w:val="none"/>
                      <w:lang w:val="en-US" w:eastAsia="zh-CN"/>
                    </w:rPr>
                    <w:t>768.2</w:t>
                  </w:r>
                </w:p>
              </w:tc>
              <w:tc>
                <w:tcPr>
                  <w:tcW w:w="679" w:type="dxa"/>
                  <w:tcBorders>
                    <w:top w:val="single" w:color="auto" w:sz="4" w:space="0"/>
                    <w:left w:val="single" w:color="auto" w:sz="4" w:space="0"/>
                    <w:bottom w:val="single" w:color="auto" w:sz="4" w:space="0"/>
                    <w:right w:val="single" w:color="auto" w:sz="4" w:space="0"/>
                  </w:tcBorders>
                  <w:vAlign w:val="center"/>
                </w:tcPr>
                <w:p w14:paraId="30FDAD30">
                  <w:pPr>
                    <w:keepNext w:val="0"/>
                    <w:keepLines w:val="0"/>
                    <w:widowControl/>
                    <w:suppressLineNumbers w:val="0"/>
                    <w:snapToGrid w:val="0"/>
                    <w:spacing w:before="0" w:beforeAutospacing="0" w:after="0" w:afterAutospacing="0" w:line="264" w:lineRule="auto"/>
                    <w:ind w:left="0" w:right="0"/>
                    <w:jc w:val="center"/>
                    <w:rPr>
                      <w:rFonts w:hint="default" w:ascii="Times New Roman" w:hAnsi="Times New Roman" w:eastAsia="宋体" w:cs="Times New Roman"/>
                      <w:kern w:val="0"/>
                      <w:sz w:val="18"/>
                      <w:szCs w:val="18"/>
                      <w:highlight w:val="none"/>
                    </w:rPr>
                  </w:pPr>
                  <w:r>
                    <w:rPr>
                      <w:rFonts w:hint="eastAsia" w:ascii="Times New Roman" w:hAnsi="Times New Roman" w:eastAsia="宋体" w:cs="Times New Roman"/>
                      <w:kern w:val="0"/>
                      <w:sz w:val="18"/>
                      <w:szCs w:val="18"/>
                      <w:highlight w:val="none"/>
                      <w:lang w:val="en-US" w:eastAsia="zh-CN"/>
                    </w:rPr>
                    <w:t>87.5</w:t>
                  </w:r>
                </w:p>
              </w:tc>
              <w:tc>
                <w:tcPr>
                  <w:tcW w:w="723" w:type="dxa"/>
                  <w:tcBorders>
                    <w:top w:val="single" w:color="auto" w:sz="4" w:space="0"/>
                    <w:left w:val="single" w:color="auto" w:sz="4" w:space="0"/>
                    <w:bottom w:val="single" w:color="auto" w:sz="4" w:space="0"/>
                    <w:right w:val="single" w:color="auto" w:sz="4" w:space="0"/>
                  </w:tcBorders>
                  <w:vAlign w:val="center"/>
                </w:tcPr>
                <w:p w14:paraId="0E0C5ACA">
                  <w:pPr>
                    <w:keepNext w:val="0"/>
                    <w:keepLines w:val="0"/>
                    <w:widowControl/>
                    <w:suppressLineNumbers w:val="0"/>
                    <w:snapToGrid w:val="0"/>
                    <w:spacing w:before="0" w:beforeAutospacing="0" w:after="0" w:afterAutospacing="0" w:line="264" w:lineRule="auto"/>
                    <w:ind w:left="0" w:right="0"/>
                    <w:jc w:val="center"/>
                    <w:rPr>
                      <w:rFonts w:hint="eastAsia" w:ascii="Times New Roman" w:hAnsi="Times New Roman" w:eastAsia="宋体" w:cs="Times New Roman"/>
                      <w:kern w:val="0"/>
                      <w:sz w:val="18"/>
                      <w:szCs w:val="18"/>
                      <w:highlight w:val="none"/>
                      <w:lang w:val="en-US" w:eastAsia="zh-CN"/>
                    </w:rPr>
                  </w:pPr>
                  <w:r>
                    <w:rPr>
                      <w:rFonts w:hint="eastAsia" w:ascii="Times New Roman" w:hAnsi="Times New Roman" w:eastAsia="宋体" w:cs="Times New Roman"/>
                      <w:kern w:val="0"/>
                      <w:sz w:val="18"/>
                      <w:szCs w:val="18"/>
                      <w:highlight w:val="none"/>
                      <w:lang w:val="en-US" w:eastAsia="zh-CN"/>
                    </w:rPr>
                    <w:t xml:space="preserve">0.067 </w:t>
                  </w:r>
                </w:p>
              </w:tc>
              <w:tc>
                <w:tcPr>
                  <w:tcW w:w="481" w:type="dxa"/>
                  <w:vMerge w:val="restart"/>
                  <w:tcBorders>
                    <w:left w:val="single" w:color="auto" w:sz="4" w:space="0"/>
                    <w:right w:val="single" w:color="auto" w:sz="4" w:space="0"/>
                  </w:tcBorders>
                  <w:vAlign w:val="center"/>
                </w:tcPr>
                <w:p w14:paraId="43E044D5">
                  <w:pPr>
                    <w:keepNext w:val="0"/>
                    <w:keepLines w:val="0"/>
                    <w:suppressLineNumbers w:val="0"/>
                    <w:snapToGrid w:val="0"/>
                    <w:spacing w:before="0" w:beforeAutospacing="0" w:after="0" w:afterAutospacing="0" w:line="264" w:lineRule="auto"/>
                    <w:ind w:left="0" w:right="0"/>
                    <w:jc w:val="center"/>
                    <w:rPr>
                      <w:rFonts w:hint="default" w:ascii="Times New Roman" w:hAnsi="Times New Roman" w:eastAsia="宋体" w:cs="Times New Roman"/>
                      <w:kern w:val="0"/>
                      <w:sz w:val="18"/>
                      <w:szCs w:val="18"/>
                      <w:highlight w:val="none"/>
                    </w:rPr>
                  </w:pPr>
                  <w:r>
                    <w:rPr>
                      <w:rFonts w:hint="eastAsia" w:cs="Times New Roman"/>
                      <w:kern w:val="0"/>
                      <w:sz w:val="18"/>
                      <w:szCs w:val="18"/>
                      <w:highlight w:val="none"/>
                      <w:lang w:val="en-US" w:eastAsia="zh-CN"/>
                    </w:rPr>
                    <w:t>2080</w:t>
                  </w:r>
                </w:p>
              </w:tc>
            </w:tr>
            <w:tr w14:paraId="54DE53E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202" w:hRule="atLeast"/>
                <w:jc w:val="center"/>
              </w:trPr>
              <w:tc>
                <w:tcPr>
                  <w:tcW w:w="580" w:type="dxa"/>
                  <w:vMerge w:val="continue"/>
                  <w:tcBorders>
                    <w:left w:val="single" w:color="auto" w:sz="4" w:space="0"/>
                    <w:right w:val="single" w:color="auto" w:sz="4" w:space="0"/>
                  </w:tcBorders>
                  <w:vAlign w:val="center"/>
                </w:tcPr>
                <w:p w14:paraId="5A3352A7">
                  <w:pPr>
                    <w:keepNext w:val="0"/>
                    <w:keepLines w:val="0"/>
                    <w:widowControl/>
                    <w:suppressLineNumbers w:val="0"/>
                    <w:adjustRightInd w:val="0"/>
                    <w:snapToGrid w:val="0"/>
                    <w:spacing w:before="0" w:beforeAutospacing="0" w:after="0" w:afterAutospacing="0" w:line="264" w:lineRule="auto"/>
                    <w:ind w:left="0" w:right="0"/>
                    <w:jc w:val="center"/>
                    <w:rPr>
                      <w:rFonts w:hint="default" w:ascii="Times New Roman" w:hAnsi="Times New Roman" w:eastAsia="宋体" w:cs="Times New Roman"/>
                      <w:snapToGrid w:val="0"/>
                      <w:sz w:val="18"/>
                      <w:szCs w:val="18"/>
                      <w:highlight w:val="none"/>
                    </w:rPr>
                  </w:pPr>
                </w:p>
              </w:tc>
              <w:tc>
                <w:tcPr>
                  <w:tcW w:w="423" w:type="dxa"/>
                  <w:vMerge w:val="continue"/>
                  <w:tcBorders>
                    <w:left w:val="single" w:color="auto" w:sz="4" w:space="0"/>
                    <w:right w:val="single" w:color="auto" w:sz="4" w:space="0"/>
                  </w:tcBorders>
                  <w:vAlign w:val="center"/>
                </w:tcPr>
                <w:p w14:paraId="70F8DE2C">
                  <w:pPr>
                    <w:keepNext w:val="0"/>
                    <w:keepLines w:val="0"/>
                    <w:widowControl/>
                    <w:suppressLineNumbers w:val="0"/>
                    <w:adjustRightInd w:val="0"/>
                    <w:snapToGrid w:val="0"/>
                    <w:spacing w:before="0" w:beforeAutospacing="0" w:after="0" w:afterAutospacing="0" w:line="264" w:lineRule="auto"/>
                    <w:ind w:left="0" w:right="0"/>
                    <w:jc w:val="center"/>
                    <w:rPr>
                      <w:rFonts w:hint="default" w:ascii="Times New Roman" w:hAnsi="Times New Roman" w:eastAsia="宋体" w:cs="Times New Roman"/>
                      <w:snapToGrid w:val="0"/>
                      <w:sz w:val="18"/>
                      <w:szCs w:val="18"/>
                      <w:highlight w:val="none"/>
                    </w:rPr>
                  </w:pPr>
                </w:p>
              </w:tc>
              <w:tc>
                <w:tcPr>
                  <w:tcW w:w="1031" w:type="dxa"/>
                  <w:vMerge w:val="continue"/>
                  <w:tcBorders>
                    <w:left w:val="single" w:color="auto" w:sz="4" w:space="0"/>
                    <w:right w:val="single" w:color="auto" w:sz="4" w:space="0"/>
                  </w:tcBorders>
                  <w:vAlign w:val="center"/>
                </w:tcPr>
                <w:p w14:paraId="5903A99D">
                  <w:pPr>
                    <w:keepNext w:val="0"/>
                    <w:keepLines w:val="0"/>
                    <w:widowControl/>
                    <w:suppressLineNumbers w:val="0"/>
                    <w:adjustRightInd w:val="0"/>
                    <w:snapToGrid w:val="0"/>
                    <w:spacing w:before="0" w:beforeAutospacing="0" w:after="0" w:afterAutospacing="0" w:line="264" w:lineRule="auto"/>
                    <w:ind w:left="0" w:right="0"/>
                    <w:jc w:val="center"/>
                    <w:rPr>
                      <w:rFonts w:hint="eastAsia" w:ascii="Times New Roman" w:hAnsi="Times New Roman" w:eastAsia="宋体" w:cs="Times New Roman"/>
                      <w:snapToGrid w:val="0"/>
                      <w:sz w:val="18"/>
                      <w:szCs w:val="18"/>
                      <w:highlight w:val="none"/>
                      <w:lang w:val="en-US" w:eastAsia="zh-CN"/>
                    </w:rPr>
                  </w:pPr>
                </w:p>
              </w:tc>
              <w:tc>
                <w:tcPr>
                  <w:tcW w:w="595" w:type="dxa"/>
                  <w:tcBorders>
                    <w:top w:val="single" w:color="auto" w:sz="4" w:space="0"/>
                    <w:left w:val="single" w:color="auto" w:sz="4" w:space="0"/>
                    <w:bottom w:val="single" w:color="auto" w:sz="4" w:space="0"/>
                    <w:right w:val="single" w:color="auto" w:sz="4" w:space="0"/>
                  </w:tcBorders>
                  <w:shd w:val="clear" w:color="auto" w:fill="auto"/>
                  <w:vAlign w:val="center"/>
                </w:tcPr>
                <w:p w14:paraId="2141C112">
                  <w:pPr>
                    <w:keepNext w:val="0"/>
                    <w:keepLines w:val="0"/>
                    <w:widowControl/>
                    <w:suppressLineNumbers w:val="0"/>
                    <w:adjustRightInd w:val="0"/>
                    <w:snapToGrid w:val="0"/>
                    <w:spacing w:before="0" w:beforeAutospacing="0" w:after="0" w:afterAutospacing="0" w:line="264" w:lineRule="auto"/>
                    <w:ind w:left="0" w:right="0"/>
                    <w:jc w:val="center"/>
                    <w:rPr>
                      <w:rFonts w:hint="default" w:ascii="Times New Roman" w:hAnsi="Times New Roman" w:eastAsia="宋体" w:cs="Times New Roman"/>
                      <w:snapToGrid w:val="0"/>
                      <w:kern w:val="2"/>
                      <w:sz w:val="18"/>
                      <w:szCs w:val="18"/>
                      <w:highlight w:val="none"/>
                      <w:lang w:val="en-US" w:eastAsia="zh-CN" w:bidi="ar-SA"/>
                    </w:rPr>
                  </w:pPr>
                  <w:r>
                    <w:rPr>
                      <w:rFonts w:hint="default" w:ascii="Times New Roman" w:hAnsi="Times New Roman" w:eastAsia="宋体" w:cs="Times New Roman"/>
                      <w:snapToGrid w:val="0"/>
                      <w:sz w:val="18"/>
                      <w:szCs w:val="18"/>
                      <w:highlight w:val="none"/>
                    </w:rPr>
                    <w:t>NH</w:t>
                  </w:r>
                  <w:r>
                    <w:rPr>
                      <w:rFonts w:hint="default" w:ascii="Times New Roman" w:hAnsi="Times New Roman" w:eastAsia="宋体" w:cs="Times New Roman"/>
                      <w:snapToGrid w:val="0"/>
                      <w:sz w:val="18"/>
                      <w:szCs w:val="18"/>
                      <w:highlight w:val="none"/>
                      <w:vertAlign w:val="subscript"/>
                    </w:rPr>
                    <w:t>3</w:t>
                  </w:r>
                  <w:r>
                    <w:rPr>
                      <w:rFonts w:hint="default" w:ascii="Times New Roman" w:hAnsi="Times New Roman" w:eastAsia="宋体" w:cs="Times New Roman"/>
                      <w:snapToGrid w:val="0"/>
                      <w:sz w:val="18"/>
                      <w:szCs w:val="18"/>
                      <w:highlight w:val="none"/>
                    </w:rPr>
                    <w:t>-N</w:t>
                  </w:r>
                </w:p>
              </w:tc>
              <w:tc>
                <w:tcPr>
                  <w:tcW w:w="609" w:type="dxa"/>
                  <w:vMerge w:val="continue"/>
                  <w:tcBorders>
                    <w:left w:val="single" w:color="auto" w:sz="4" w:space="0"/>
                    <w:right w:val="single" w:color="auto" w:sz="4" w:space="0"/>
                  </w:tcBorders>
                  <w:vAlign w:val="center"/>
                </w:tcPr>
                <w:p w14:paraId="4E9257FE">
                  <w:pPr>
                    <w:keepNext w:val="0"/>
                    <w:keepLines w:val="0"/>
                    <w:suppressLineNumbers w:val="0"/>
                    <w:snapToGrid w:val="0"/>
                    <w:spacing w:before="0" w:beforeAutospacing="0" w:after="0" w:afterAutospacing="0" w:line="264" w:lineRule="auto"/>
                    <w:ind w:left="0" w:right="0"/>
                    <w:jc w:val="center"/>
                    <w:rPr>
                      <w:rFonts w:hint="default" w:ascii="Times New Roman" w:hAnsi="Times New Roman" w:eastAsia="宋体" w:cs="Times New Roman"/>
                      <w:sz w:val="18"/>
                      <w:szCs w:val="18"/>
                      <w:highlight w:val="none"/>
                    </w:rPr>
                  </w:pPr>
                </w:p>
              </w:tc>
              <w:tc>
                <w:tcPr>
                  <w:tcW w:w="699" w:type="dxa"/>
                  <w:tcBorders>
                    <w:top w:val="single" w:color="auto" w:sz="4" w:space="0"/>
                    <w:left w:val="single" w:color="auto" w:sz="4" w:space="0"/>
                    <w:bottom w:val="single" w:color="auto" w:sz="4" w:space="0"/>
                    <w:right w:val="single" w:color="auto" w:sz="4" w:space="0"/>
                  </w:tcBorders>
                  <w:shd w:val="clear" w:color="auto" w:fill="auto"/>
                  <w:vAlign w:val="center"/>
                </w:tcPr>
                <w:p w14:paraId="140A5941">
                  <w:pPr>
                    <w:keepNext w:val="0"/>
                    <w:keepLines w:val="0"/>
                    <w:widowControl/>
                    <w:suppressLineNumbers w:val="0"/>
                    <w:snapToGrid w:val="0"/>
                    <w:spacing w:before="0" w:beforeAutospacing="0" w:after="0" w:afterAutospacing="0" w:line="264" w:lineRule="auto"/>
                    <w:ind w:left="0" w:right="0"/>
                    <w:jc w:val="center"/>
                    <w:rPr>
                      <w:rFonts w:hint="default" w:ascii="Times New Roman" w:hAnsi="Times New Roman" w:eastAsia="宋体" w:cs="Times New Roman"/>
                      <w:kern w:val="0"/>
                      <w:sz w:val="18"/>
                      <w:szCs w:val="18"/>
                      <w:highlight w:val="none"/>
                      <w:lang w:val="en-US" w:eastAsia="zh-CN" w:bidi="ar-SA"/>
                    </w:rPr>
                  </w:pPr>
                  <w:r>
                    <w:rPr>
                      <w:rFonts w:hint="default" w:ascii="Times New Roman" w:hAnsi="Times New Roman" w:eastAsia="宋体" w:cs="Times New Roman"/>
                      <w:kern w:val="0"/>
                      <w:sz w:val="18"/>
                      <w:szCs w:val="18"/>
                      <w:highlight w:val="none"/>
                    </w:rPr>
                    <w:t>30</w:t>
                  </w:r>
                </w:p>
              </w:tc>
              <w:tc>
                <w:tcPr>
                  <w:tcW w:w="777" w:type="dxa"/>
                  <w:tcBorders>
                    <w:top w:val="single" w:color="auto" w:sz="4" w:space="0"/>
                    <w:left w:val="single" w:color="auto" w:sz="4" w:space="0"/>
                    <w:bottom w:val="single" w:color="auto" w:sz="4" w:space="0"/>
                    <w:right w:val="single" w:color="auto" w:sz="4" w:space="0"/>
                  </w:tcBorders>
                  <w:vAlign w:val="center"/>
                </w:tcPr>
                <w:p w14:paraId="1D3B2900">
                  <w:pPr>
                    <w:keepNext w:val="0"/>
                    <w:keepLines w:val="0"/>
                    <w:widowControl/>
                    <w:suppressLineNumbers w:val="0"/>
                    <w:snapToGrid w:val="0"/>
                    <w:spacing w:before="0" w:beforeAutospacing="0" w:after="0" w:afterAutospacing="0" w:line="264" w:lineRule="auto"/>
                    <w:ind w:left="0" w:right="0"/>
                    <w:jc w:val="center"/>
                    <w:rPr>
                      <w:rFonts w:hint="default" w:ascii="Times New Roman" w:hAnsi="Times New Roman" w:eastAsia="宋体" w:cs="Times New Roman"/>
                      <w:kern w:val="0"/>
                      <w:sz w:val="18"/>
                      <w:szCs w:val="18"/>
                      <w:highlight w:val="none"/>
                      <w:lang w:val="en-US" w:eastAsia="zh-CN"/>
                    </w:rPr>
                  </w:pPr>
                  <w:r>
                    <w:rPr>
                      <w:rFonts w:hint="eastAsia" w:ascii="Times New Roman" w:hAnsi="Times New Roman" w:eastAsia="宋体" w:cs="Times New Roman"/>
                      <w:kern w:val="0"/>
                      <w:sz w:val="18"/>
                      <w:szCs w:val="18"/>
                      <w:highlight w:val="none"/>
                      <w:lang w:val="en-US" w:eastAsia="zh-CN"/>
                    </w:rPr>
                    <w:t>0.0</w:t>
                  </w:r>
                  <w:r>
                    <w:rPr>
                      <w:rFonts w:hint="eastAsia" w:cs="Times New Roman"/>
                      <w:kern w:val="0"/>
                      <w:sz w:val="18"/>
                      <w:szCs w:val="18"/>
                      <w:highlight w:val="none"/>
                      <w:lang w:val="en-US" w:eastAsia="zh-CN"/>
                    </w:rPr>
                    <w:t>23</w:t>
                  </w:r>
                </w:p>
              </w:tc>
              <w:tc>
                <w:tcPr>
                  <w:tcW w:w="630" w:type="dxa"/>
                  <w:vMerge w:val="continue"/>
                  <w:tcBorders>
                    <w:left w:val="single" w:color="auto" w:sz="4" w:space="0"/>
                    <w:right w:val="single" w:color="auto" w:sz="4" w:space="0"/>
                  </w:tcBorders>
                  <w:vAlign w:val="center"/>
                </w:tcPr>
                <w:p w14:paraId="51B1ACF2">
                  <w:pPr>
                    <w:keepNext w:val="0"/>
                    <w:keepLines w:val="0"/>
                    <w:widowControl/>
                    <w:suppressLineNumbers w:val="0"/>
                    <w:snapToGrid w:val="0"/>
                    <w:spacing w:before="0" w:beforeAutospacing="0" w:after="0" w:afterAutospacing="0" w:line="264" w:lineRule="auto"/>
                    <w:ind w:left="0" w:right="0"/>
                    <w:jc w:val="center"/>
                    <w:rPr>
                      <w:rFonts w:hint="default" w:ascii="Times New Roman" w:hAnsi="Times New Roman" w:eastAsia="宋体" w:cs="Times New Roman"/>
                      <w:kern w:val="0"/>
                      <w:sz w:val="18"/>
                      <w:szCs w:val="18"/>
                      <w:highlight w:val="none"/>
                    </w:rPr>
                  </w:pPr>
                </w:p>
              </w:tc>
              <w:tc>
                <w:tcPr>
                  <w:tcW w:w="477" w:type="dxa"/>
                  <w:tcBorders>
                    <w:left w:val="single" w:color="auto" w:sz="4" w:space="0"/>
                    <w:right w:val="single" w:color="auto" w:sz="4" w:space="0"/>
                  </w:tcBorders>
                  <w:vAlign w:val="center"/>
                </w:tcPr>
                <w:p w14:paraId="78FE04C3">
                  <w:pPr>
                    <w:keepNext w:val="0"/>
                    <w:keepLines w:val="0"/>
                    <w:suppressLineNumbers w:val="0"/>
                    <w:snapToGrid w:val="0"/>
                    <w:spacing w:before="0" w:beforeAutospacing="0" w:after="0" w:afterAutospacing="0" w:line="264" w:lineRule="auto"/>
                    <w:ind w:left="0" w:right="0"/>
                    <w:jc w:val="center"/>
                    <w:rPr>
                      <w:rFonts w:hint="default" w:ascii="Times New Roman" w:hAnsi="Times New Roman" w:eastAsia="宋体" w:cs="Times New Roman"/>
                      <w:kern w:val="0"/>
                      <w:sz w:val="18"/>
                      <w:szCs w:val="18"/>
                      <w:highlight w:val="none"/>
                    </w:rPr>
                  </w:pPr>
                  <w:r>
                    <w:rPr>
                      <w:rFonts w:hint="eastAsia"/>
                      <w:bCs/>
                      <w:snapToGrid w:val="0"/>
                      <w:sz w:val="18"/>
                      <w:szCs w:val="18"/>
                      <w:highlight w:val="none"/>
                      <w:lang w:val="en-US" w:eastAsia="zh-CN"/>
                    </w:rPr>
                    <w:t>50</w:t>
                  </w:r>
                </w:p>
              </w:tc>
              <w:tc>
                <w:tcPr>
                  <w:tcW w:w="611" w:type="dxa"/>
                  <w:vMerge w:val="continue"/>
                  <w:tcBorders>
                    <w:left w:val="single" w:color="auto" w:sz="4" w:space="0"/>
                    <w:right w:val="single" w:color="auto" w:sz="4" w:space="0"/>
                  </w:tcBorders>
                  <w:vAlign w:val="center"/>
                </w:tcPr>
                <w:p w14:paraId="3FEBBB3A">
                  <w:pPr>
                    <w:keepNext w:val="0"/>
                    <w:keepLines w:val="0"/>
                    <w:suppressLineNumbers w:val="0"/>
                    <w:snapToGrid w:val="0"/>
                    <w:spacing w:before="0" w:beforeAutospacing="0" w:after="0" w:afterAutospacing="0" w:line="264" w:lineRule="auto"/>
                    <w:ind w:left="0" w:right="0"/>
                    <w:jc w:val="center"/>
                    <w:rPr>
                      <w:rFonts w:hint="default" w:ascii="Times New Roman" w:hAnsi="Times New Roman" w:eastAsia="宋体" w:cs="Times New Roman"/>
                      <w:kern w:val="0"/>
                      <w:sz w:val="18"/>
                      <w:szCs w:val="18"/>
                      <w:highlight w:val="none"/>
                    </w:rPr>
                  </w:pPr>
                </w:p>
              </w:tc>
              <w:tc>
                <w:tcPr>
                  <w:tcW w:w="679" w:type="dxa"/>
                  <w:tcBorders>
                    <w:top w:val="single" w:color="auto" w:sz="4" w:space="0"/>
                    <w:left w:val="single" w:color="auto" w:sz="4" w:space="0"/>
                    <w:bottom w:val="single" w:color="auto" w:sz="4" w:space="0"/>
                    <w:right w:val="single" w:color="auto" w:sz="4" w:space="0"/>
                  </w:tcBorders>
                  <w:vAlign w:val="center"/>
                </w:tcPr>
                <w:p w14:paraId="3C3AD270">
                  <w:pPr>
                    <w:keepNext w:val="0"/>
                    <w:keepLines w:val="0"/>
                    <w:widowControl/>
                    <w:suppressLineNumbers w:val="0"/>
                    <w:snapToGrid w:val="0"/>
                    <w:spacing w:before="0" w:beforeAutospacing="0" w:after="0" w:afterAutospacing="0" w:line="264" w:lineRule="auto"/>
                    <w:ind w:left="0" w:right="0"/>
                    <w:jc w:val="center"/>
                    <w:rPr>
                      <w:rFonts w:hint="default" w:ascii="Times New Roman" w:hAnsi="Times New Roman" w:eastAsia="宋体" w:cs="Times New Roman"/>
                      <w:kern w:val="0"/>
                      <w:sz w:val="18"/>
                      <w:szCs w:val="18"/>
                      <w:highlight w:val="none"/>
                    </w:rPr>
                  </w:pPr>
                  <w:r>
                    <w:rPr>
                      <w:rFonts w:hint="eastAsia" w:ascii="Times New Roman" w:hAnsi="Times New Roman" w:eastAsia="宋体" w:cs="Times New Roman"/>
                      <w:kern w:val="0"/>
                      <w:sz w:val="18"/>
                      <w:szCs w:val="18"/>
                      <w:highlight w:val="none"/>
                      <w:lang w:val="en-US" w:eastAsia="zh-CN"/>
                    </w:rPr>
                    <w:t>15</w:t>
                  </w:r>
                </w:p>
              </w:tc>
              <w:tc>
                <w:tcPr>
                  <w:tcW w:w="723" w:type="dxa"/>
                  <w:tcBorders>
                    <w:top w:val="single" w:color="auto" w:sz="4" w:space="0"/>
                    <w:left w:val="single" w:color="auto" w:sz="4" w:space="0"/>
                    <w:bottom w:val="single" w:color="auto" w:sz="4" w:space="0"/>
                    <w:right w:val="single" w:color="auto" w:sz="4" w:space="0"/>
                  </w:tcBorders>
                  <w:vAlign w:val="center"/>
                </w:tcPr>
                <w:p w14:paraId="63F97F61">
                  <w:pPr>
                    <w:keepNext w:val="0"/>
                    <w:keepLines w:val="0"/>
                    <w:widowControl/>
                    <w:suppressLineNumbers w:val="0"/>
                    <w:snapToGrid w:val="0"/>
                    <w:spacing w:before="0" w:beforeAutospacing="0" w:after="0" w:afterAutospacing="0" w:line="264" w:lineRule="auto"/>
                    <w:ind w:left="0" w:right="0"/>
                    <w:jc w:val="center"/>
                    <w:rPr>
                      <w:rFonts w:hint="eastAsia" w:ascii="Times New Roman" w:hAnsi="Times New Roman" w:eastAsia="宋体" w:cs="Times New Roman"/>
                      <w:kern w:val="0"/>
                      <w:sz w:val="18"/>
                      <w:szCs w:val="18"/>
                      <w:highlight w:val="none"/>
                      <w:lang w:val="en-US" w:eastAsia="zh-CN"/>
                    </w:rPr>
                  </w:pPr>
                  <w:r>
                    <w:rPr>
                      <w:rFonts w:hint="eastAsia" w:ascii="Times New Roman" w:hAnsi="Times New Roman" w:eastAsia="宋体" w:cs="Times New Roman"/>
                      <w:kern w:val="0"/>
                      <w:sz w:val="18"/>
                      <w:szCs w:val="18"/>
                      <w:highlight w:val="none"/>
                      <w:lang w:val="en-US" w:eastAsia="zh-CN"/>
                    </w:rPr>
                    <w:t xml:space="preserve">0.012 </w:t>
                  </w:r>
                </w:p>
              </w:tc>
              <w:tc>
                <w:tcPr>
                  <w:tcW w:w="481" w:type="dxa"/>
                  <w:vMerge w:val="continue"/>
                  <w:tcBorders>
                    <w:left w:val="single" w:color="auto" w:sz="4" w:space="0"/>
                    <w:right w:val="single" w:color="auto" w:sz="4" w:space="0"/>
                  </w:tcBorders>
                  <w:vAlign w:val="center"/>
                </w:tcPr>
                <w:p w14:paraId="443041F4">
                  <w:pPr>
                    <w:keepNext w:val="0"/>
                    <w:keepLines w:val="0"/>
                    <w:suppressLineNumbers w:val="0"/>
                    <w:snapToGrid w:val="0"/>
                    <w:spacing w:before="0" w:beforeAutospacing="0" w:after="0" w:afterAutospacing="0" w:line="264" w:lineRule="auto"/>
                    <w:ind w:left="0" w:right="0"/>
                    <w:jc w:val="center"/>
                    <w:rPr>
                      <w:rFonts w:hint="default" w:ascii="Times New Roman" w:hAnsi="Times New Roman" w:eastAsia="宋体" w:cs="Times New Roman"/>
                      <w:kern w:val="0"/>
                      <w:sz w:val="18"/>
                      <w:szCs w:val="18"/>
                      <w:highlight w:val="none"/>
                    </w:rPr>
                  </w:pPr>
                </w:p>
              </w:tc>
            </w:tr>
            <w:tr w14:paraId="432A0FE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jc w:val="center"/>
              </w:trPr>
              <w:tc>
                <w:tcPr>
                  <w:tcW w:w="580" w:type="dxa"/>
                  <w:vMerge w:val="continue"/>
                  <w:tcBorders>
                    <w:left w:val="single" w:color="auto" w:sz="4" w:space="0"/>
                    <w:right w:val="single" w:color="auto" w:sz="4" w:space="0"/>
                  </w:tcBorders>
                  <w:vAlign w:val="center"/>
                </w:tcPr>
                <w:p w14:paraId="4A090227">
                  <w:pPr>
                    <w:keepNext w:val="0"/>
                    <w:keepLines w:val="0"/>
                    <w:widowControl/>
                    <w:suppressLineNumbers w:val="0"/>
                    <w:adjustRightInd w:val="0"/>
                    <w:snapToGrid w:val="0"/>
                    <w:spacing w:before="0" w:beforeAutospacing="0" w:after="0" w:afterAutospacing="0" w:line="264" w:lineRule="auto"/>
                    <w:ind w:left="0" w:right="0"/>
                    <w:jc w:val="center"/>
                    <w:rPr>
                      <w:rFonts w:hint="default" w:ascii="Times New Roman" w:hAnsi="Times New Roman" w:eastAsia="宋体" w:cs="Times New Roman"/>
                      <w:snapToGrid w:val="0"/>
                      <w:sz w:val="18"/>
                      <w:szCs w:val="18"/>
                      <w:highlight w:val="none"/>
                    </w:rPr>
                  </w:pPr>
                </w:p>
              </w:tc>
              <w:tc>
                <w:tcPr>
                  <w:tcW w:w="423" w:type="dxa"/>
                  <w:vMerge w:val="continue"/>
                  <w:tcBorders>
                    <w:left w:val="single" w:color="auto" w:sz="4" w:space="0"/>
                    <w:right w:val="single" w:color="auto" w:sz="4" w:space="0"/>
                  </w:tcBorders>
                  <w:vAlign w:val="center"/>
                </w:tcPr>
                <w:p w14:paraId="57DBCC34">
                  <w:pPr>
                    <w:keepNext w:val="0"/>
                    <w:keepLines w:val="0"/>
                    <w:widowControl/>
                    <w:suppressLineNumbers w:val="0"/>
                    <w:adjustRightInd w:val="0"/>
                    <w:snapToGrid w:val="0"/>
                    <w:spacing w:before="0" w:beforeAutospacing="0" w:after="0" w:afterAutospacing="0" w:line="264" w:lineRule="auto"/>
                    <w:ind w:left="0" w:right="0"/>
                    <w:jc w:val="center"/>
                    <w:rPr>
                      <w:rFonts w:hint="default" w:ascii="Times New Roman" w:hAnsi="Times New Roman" w:eastAsia="宋体" w:cs="Times New Roman"/>
                      <w:snapToGrid w:val="0"/>
                      <w:sz w:val="18"/>
                      <w:szCs w:val="18"/>
                      <w:highlight w:val="none"/>
                    </w:rPr>
                  </w:pPr>
                </w:p>
              </w:tc>
              <w:tc>
                <w:tcPr>
                  <w:tcW w:w="1031" w:type="dxa"/>
                  <w:vMerge w:val="continue"/>
                  <w:tcBorders>
                    <w:left w:val="single" w:color="auto" w:sz="4" w:space="0"/>
                    <w:right w:val="single" w:color="auto" w:sz="4" w:space="0"/>
                  </w:tcBorders>
                  <w:vAlign w:val="center"/>
                </w:tcPr>
                <w:p w14:paraId="66BAC2B3">
                  <w:pPr>
                    <w:keepNext w:val="0"/>
                    <w:keepLines w:val="0"/>
                    <w:widowControl/>
                    <w:suppressLineNumbers w:val="0"/>
                    <w:adjustRightInd w:val="0"/>
                    <w:snapToGrid w:val="0"/>
                    <w:spacing w:before="0" w:beforeAutospacing="0" w:after="0" w:afterAutospacing="0" w:line="264" w:lineRule="auto"/>
                    <w:ind w:left="0" w:right="0"/>
                    <w:jc w:val="center"/>
                    <w:rPr>
                      <w:rFonts w:hint="eastAsia" w:ascii="Times New Roman" w:hAnsi="Times New Roman" w:eastAsia="宋体" w:cs="Times New Roman"/>
                      <w:snapToGrid w:val="0"/>
                      <w:sz w:val="18"/>
                      <w:szCs w:val="18"/>
                      <w:highlight w:val="none"/>
                      <w:lang w:val="en-US" w:eastAsia="zh-CN"/>
                    </w:rPr>
                  </w:pPr>
                </w:p>
              </w:tc>
              <w:tc>
                <w:tcPr>
                  <w:tcW w:w="595" w:type="dxa"/>
                  <w:tcBorders>
                    <w:top w:val="single" w:color="auto" w:sz="4" w:space="0"/>
                    <w:left w:val="single" w:color="auto" w:sz="4" w:space="0"/>
                    <w:bottom w:val="single" w:color="auto" w:sz="4" w:space="0"/>
                    <w:right w:val="single" w:color="auto" w:sz="4" w:space="0"/>
                  </w:tcBorders>
                  <w:vAlign w:val="center"/>
                </w:tcPr>
                <w:p w14:paraId="3724C61C">
                  <w:pPr>
                    <w:keepNext w:val="0"/>
                    <w:keepLines w:val="0"/>
                    <w:widowControl/>
                    <w:suppressLineNumbers w:val="0"/>
                    <w:adjustRightInd w:val="0"/>
                    <w:snapToGrid w:val="0"/>
                    <w:spacing w:before="0" w:beforeAutospacing="0" w:after="0" w:afterAutospacing="0" w:line="264" w:lineRule="auto"/>
                    <w:ind w:left="0" w:right="0"/>
                    <w:jc w:val="center"/>
                    <w:rPr>
                      <w:rFonts w:hint="default" w:ascii="Times New Roman" w:hAnsi="Times New Roman" w:eastAsia="宋体" w:cs="Times New Roman"/>
                      <w:snapToGrid w:val="0"/>
                      <w:sz w:val="18"/>
                      <w:szCs w:val="18"/>
                      <w:highlight w:val="none"/>
                      <w:lang w:val="en-US" w:eastAsia="zh-CN"/>
                    </w:rPr>
                  </w:pPr>
                  <w:r>
                    <w:rPr>
                      <w:rFonts w:hint="eastAsia" w:ascii="Times New Roman" w:hAnsi="Times New Roman" w:eastAsia="宋体" w:cs="Times New Roman"/>
                      <w:snapToGrid w:val="0"/>
                      <w:sz w:val="18"/>
                      <w:szCs w:val="18"/>
                      <w:highlight w:val="none"/>
                      <w:lang w:val="en-US" w:eastAsia="zh-CN"/>
                    </w:rPr>
                    <w:t>SS</w:t>
                  </w:r>
                </w:p>
              </w:tc>
              <w:tc>
                <w:tcPr>
                  <w:tcW w:w="609" w:type="dxa"/>
                  <w:vMerge w:val="continue"/>
                  <w:tcBorders>
                    <w:left w:val="single" w:color="auto" w:sz="4" w:space="0"/>
                    <w:right w:val="single" w:color="auto" w:sz="4" w:space="0"/>
                  </w:tcBorders>
                  <w:vAlign w:val="center"/>
                </w:tcPr>
                <w:p w14:paraId="2375A1FD">
                  <w:pPr>
                    <w:keepNext w:val="0"/>
                    <w:keepLines w:val="0"/>
                    <w:suppressLineNumbers w:val="0"/>
                    <w:snapToGrid w:val="0"/>
                    <w:spacing w:before="0" w:beforeAutospacing="0" w:after="0" w:afterAutospacing="0" w:line="264" w:lineRule="auto"/>
                    <w:ind w:left="0" w:right="0"/>
                    <w:jc w:val="center"/>
                    <w:rPr>
                      <w:rFonts w:hint="default" w:ascii="Times New Roman" w:hAnsi="Times New Roman" w:eastAsia="宋体" w:cs="Times New Roman"/>
                      <w:sz w:val="18"/>
                      <w:szCs w:val="18"/>
                      <w:highlight w:val="none"/>
                    </w:rPr>
                  </w:pPr>
                </w:p>
              </w:tc>
              <w:tc>
                <w:tcPr>
                  <w:tcW w:w="699" w:type="dxa"/>
                  <w:tcBorders>
                    <w:top w:val="single" w:color="auto" w:sz="4" w:space="0"/>
                    <w:left w:val="single" w:color="auto" w:sz="4" w:space="0"/>
                    <w:bottom w:val="single" w:color="auto" w:sz="4" w:space="0"/>
                    <w:right w:val="single" w:color="auto" w:sz="4" w:space="0"/>
                  </w:tcBorders>
                  <w:vAlign w:val="center"/>
                </w:tcPr>
                <w:p w14:paraId="5BD21095">
                  <w:pPr>
                    <w:keepNext w:val="0"/>
                    <w:keepLines w:val="0"/>
                    <w:widowControl/>
                    <w:suppressLineNumbers w:val="0"/>
                    <w:snapToGrid w:val="0"/>
                    <w:spacing w:before="0" w:beforeAutospacing="0" w:after="0" w:afterAutospacing="0" w:line="264" w:lineRule="auto"/>
                    <w:ind w:left="0" w:right="0"/>
                    <w:jc w:val="center"/>
                    <w:rPr>
                      <w:rFonts w:hint="default" w:ascii="Times New Roman" w:hAnsi="Times New Roman" w:eastAsia="宋体" w:cs="Times New Roman"/>
                      <w:kern w:val="0"/>
                      <w:sz w:val="18"/>
                      <w:szCs w:val="18"/>
                      <w:highlight w:val="none"/>
                      <w:lang w:val="en-US" w:eastAsia="zh-CN"/>
                    </w:rPr>
                  </w:pPr>
                  <w:r>
                    <w:rPr>
                      <w:rFonts w:hint="eastAsia" w:ascii="Times New Roman" w:hAnsi="Times New Roman" w:eastAsia="宋体" w:cs="Times New Roman"/>
                      <w:kern w:val="0"/>
                      <w:sz w:val="18"/>
                      <w:szCs w:val="18"/>
                      <w:highlight w:val="none"/>
                      <w:lang w:val="en-US" w:eastAsia="zh-CN"/>
                    </w:rPr>
                    <w:t>250</w:t>
                  </w:r>
                </w:p>
              </w:tc>
              <w:tc>
                <w:tcPr>
                  <w:tcW w:w="777" w:type="dxa"/>
                  <w:tcBorders>
                    <w:top w:val="single" w:color="auto" w:sz="4" w:space="0"/>
                    <w:left w:val="single" w:color="auto" w:sz="4" w:space="0"/>
                    <w:bottom w:val="single" w:color="auto" w:sz="4" w:space="0"/>
                    <w:right w:val="single" w:color="auto" w:sz="4" w:space="0"/>
                  </w:tcBorders>
                  <w:vAlign w:val="center"/>
                </w:tcPr>
                <w:p w14:paraId="2A8AD3D8">
                  <w:pPr>
                    <w:keepNext w:val="0"/>
                    <w:keepLines w:val="0"/>
                    <w:widowControl/>
                    <w:suppressLineNumbers w:val="0"/>
                    <w:snapToGrid w:val="0"/>
                    <w:spacing w:before="0" w:beforeAutospacing="0" w:after="0" w:afterAutospacing="0" w:line="264" w:lineRule="auto"/>
                    <w:ind w:left="0" w:right="0"/>
                    <w:jc w:val="center"/>
                    <w:rPr>
                      <w:rFonts w:hint="eastAsia" w:ascii="Times New Roman" w:hAnsi="Times New Roman" w:eastAsia="宋体" w:cs="Times New Roman"/>
                      <w:kern w:val="0"/>
                      <w:sz w:val="18"/>
                      <w:szCs w:val="18"/>
                      <w:highlight w:val="none"/>
                      <w:lang w:val="en-US" w:eastAsia="zh-CN"/>
                    </w:rPr>
                  </w:pPr>
                  <w:r>
                    <w:rPr>
                      <w:rFonts w:hint="eastAsia" w:ascii="Times New Roman" w:hAnsi="Times New Roman" w:eastAsia="宋体" w:cs="Times New Roman"/>
                      <w:kern w:val="0"/>
                      <w:sz w:val="18"/>
                      <w:szCs w:val="18"/>
                      <w:highlight w:val="none"/>
                      <w:lang w:val="en-US" w:eastAsia="zh-CN"/>
                    </w:rPr>
                    <w:t>0</w:t>
                  </w:r>
                  <w:r>
                    <w:rPr>
                      <w:rFonts w:hint="eastAsia" w:cs="Times New Roman"/>
                      <w:kern w:val="0"/>
                      <w:sz w:val="18"/>
                      <w:szCs w:val="18"/>
                      <w:highlight w:val="none"/>
                      <w:lang w:val="en-US" w:eastAsia="zh-CN"/>
                    </w:rPr>
                    <w:t>.192</w:t>
                  </w:r>
                  <w:r>
                    <w:rPr>
                      <w:rFonts w:hint="eastAsia" w:ascii="Times New Roman" w:hAnsi="Times New Roman" w:eastAsia="宋体" w:cs="Times New Roman"/>
                      <w:kern w:val="0"/>
                      <w:sz w:val="18"/>
                      <w:szCs w:val="18"/>
                      <w:highlight w:val="none"/>
                      <w:lang w:val="en-US" w:eastAsia="zh-CN"/>
                    </w:rPr>
                    <w:t xml:space="preserve"> </w:t>
                  </w:r>
                </w:p>
              </w:tc>
              <w:tc>
                <w:tcPr>
                  <w:tcW w:w="630" w:type="dxa"/>
                  <w:vMerge w:val="continue"/>
                  <w:tcBorders>
                    <w:left w:val="single" w:color="auto" w:sz="4" w:space="0"/>
                    <w:right w:val="single" w:color="auto" w:sz="4" w:space="0"/>
                  </w:tcBorders>
                  <w:vAlign w:val="center"/>
                </w:tcPr>
                <w:p w14:paraId="2345C052">
                  <w:pPr>
                    <w:keepNext w:val="0"/>
                    <w:keepLines w:val="0"/>
                    <w:widowControl/>
                    <w:suppressLineNumbers w:val="0"/>
                    <w:snapToGrid w:val="0"/>
                    <w:spacing w:before="0" w:beforeAutospacing="0" w:after="0" w:afterAutospacing="0" w:line="264" w:lineRule="auto"/>
                    <w:ind w:left="0" w:right="0"/>
                    <w:jc w:val="center"/>
                    <w:rPr>
                      <w:rFonts w:hint="default" w:ascii="Times New Roman" w:hAnsi="Times New Roman" w:eastAsia="宋体" w:cs="Times New Roman"/>
                      <w:kern w:val="0"/>
                      <w:sz w:val="18"/>
                      <w:szCs w:val="18"/>
                      <w:highlight w:val="none"/>
                    </w:rPr>
                  </w:pPr>
                </w:p>
              </w:tc>
              <w:tc>
                <w:tcPr>
                  <w:tcW w:w="477" w:type="dxa"/>
                  <w:tcBorders>
                    <w:left w:val="single" w:color="auto" w:sz="4" w:space="0"/>
                    <w:right w:val="single" w:color="auto" w:sz="4" w:space="0"/>
                  </w:tcBorders>
                  <w:vAlign w:val="center"/>
                </w:tcPr>
                <w:p w14:paraId="441CB80F">
                  <w:pPr>
                    <w:keepNext w:val="0"/>
                    <w:keepLines w:val="0"/>
                    <w:suppressLineNumbers w:val="0"/>
                    <w:snapToGrid w:val="0"/>
                    <w:spacing w:before="0" w:beforeAutospacing="0" w:after="0" w:afterAutospacing="0" w:line="264" w:lineRule="auto"/>
                    <w:ind w:left="0" w:right="0"/>
                    <w:jc w:val="center"/>
                    <w:rPr>
                      <w:rFonts w:hint="default" w:ascii="Times New Roman" w:hAnsi="Times New Roman" w:eastAsia="宋体" w:cs="Times New Roman"/>
                      <w:kern w:val="0"/>
                      <w:sz w:val="18"/>
                      <w:szCs w:val="18"/>
                      <w:highlight w:val="none"/>
                    </w:rPr>
                  </w:pPr>
                  <w:r>
                    <w:rPr>
                      <w:rFonts w:hint="eastAsia"/>
                      <w:bCs/>
                      <w:snapToGrid w:val="0"/>
                      <w:sz w:val="18"/>
                      <w:szCs w:val="18"/>
                      <w:highlight w:val="none"/>
                      <w:lang w:val="en-US" w:eastAsia="zh-CN"/>
                    </w:rPr>
                    <w:t>25</w:t>
                  </w:r>
                </w:p>
              </w:tc>
              <w:tc>
                <w:tcPr>
                  <w:tcW w:w="611" w:type="dxa"/>
                  <w:vMerge w:val="continue"/>
                  <w:tcBorders>
                    <w:left w:val="single" w:color="auto" w:sz="4" w:space="0"/>
                    <w:right w:val="single" w:color="auto" w:sz="4" w:space="0"/>
                  </w:tcBorders>
                  <w:vAlign w:val="center"/>
                </w:tcPr>
                <w:p w14:paraId="79A542B3">
                  <w:pPr>
                    <w:keepNext w:val="0"/>
                    <w:keepLines w:val="0"/>
                    <w:suppressLineNumbers w:val="0"/>
                    <w:snapToGrid w:val="0"/>
                    <w:spacing w:before="0" w:beforeAutospacing="0" w:after="0" w:afterAutospacing="0" w:line="264" w:lineRule="auto"/>
                    <w:ind w:left="0" w:right="0"/>
                    <w:jc w:val="center"/>
                    <w:rPr>
                      <w:rFonts w:hint="default" w:ascii="Times New Roman" w:hAnsi="Times New Roman" w:eastAsia="宋体" w:cs="Times New Roman"/>
                      <w:kern w:val="0"/>
                      <w:sz w:val="18"/>
                      <w:szCs w:val="18"/>
                      <w:highlight w:val="none"/>
                    </w:rPr>
                  </w:pPr>
                </w:p>
              </w:tc>
              <w:tc>
                <w:tcPr>
                  <w:tcW w:w="679" w:type="dxa"/>
                  <w:tcBorders>
                    <w:top w:val="single" w:color="auto" w:sz="4" w:space="0"/>
                    <w:left w:val="single" w:color="auto" w:sz="4" w:space="0"/>
                    <w:bottom w:val="single" w:color="auto" w:sz="4" w:space="0"/>
                    <w:right w:val="single" w:color="auto" w:sz="4" w:space="0"/>
                  </w:tcBorders>
                  <w:vAlign w:val="center"/>
                </w:tcPr>
                <w:p w14:paraId="0B53704B">
                  <w:pPr>
                    <w:keepNext w:val="0"/>
                    <w:keepLines w:val="0"/>
                    <w:widowControl/>
                    <w:suppressLineNumbers w:val="0"/>
                    <w:snapToGrid w:val="0"/>
                    <w:spacing w:before="0" w:beforeAutospacing="0" w:after="0" w:afterAutospacing="0" w:line="264" w:lineRule="auto"/>
                    <w:ind w:left="0" w:right="0"/>
                    <w:jc w:val="center"/>
                    <w:rPr>
                      <w:rFonts w:hint="default" w:ascii="Times New Roman" w:hAnsi="Times New Roman" w:eastAsia="宋体" w:cs="Times New Roman"/>
                      <w:kern w:val="0"/>
                      <w:sz w:val="18"/>
                      <w:szCs w:val="18"/>
                      <w:highlight w:val="none"/>
                    </w:rPr>
                  </w:pPr>
                  <w:r>
                    <w:rPr>
                      <w:rFonts w:hint="eastAsia" w:ascii="Times New Roman" w:hAnsi="Times New Roman" w:eastAsia="宋体" w:cs="Times New Roman"/>
                      <w:kern w:val="0"/>
                      <w:sz w:val="18"/>
                      <w:szCs w:val="18"/>
                      <w:highlight w:val="none"/>
                      <w:lang w:val="en-US" w:eastAsia="zh-CN"/>
                    </w:rPr>
                    <w:t>187.5</w:t>
                  </w:r>
                </w:p>
              </w:tc>
              <w:tc>
                <w:tcPr>
                  <w:tcW w:w="723" w:type="dxa"/>
                  <w:tcBorders>
                    <w:top w:val="single" w:color="auto" w:sz="4" w:space="0"/>
                    <w:left w:val="single" w:color="auto" w:sz="4" w:space="0"/>
                    <w:bottom w:val="single" w:color="auto" w:sz="4" w:space="0"/>
                    <w:right w:val="single" w:color="auto" w:sz="4" w:space="0"/>
                  </w:tcBorders>
                  <w:vAlign w:val="center"/>
                </w:tcPr>
                <w:p w14:paraId="2303E3AE">
                  <w:pPr>
                    <w:keepNext w:val="0"/>
                    <w:keepLines w:val="0"/>
                    <w:widowControl/>
                    <w:suppressLineNumbers w:val="0"/>
                    <w:snapToGrid w:val="0"/>
                    <w:spacing w:before="0" w:beforeAutospacing="0" w:after="0" w:afterAutospacing="0" w:line="264" w:lineRule="auto"/>
                    <w:ind w:left="0" w:right="0"/>
                    <w:jc w:val="center"/>
                    <w:rPr>
                      <w:rFonts w:hint="eastAsia" w:ascii="Times New Roman" w:hAnsi="Times New Roman" w:eastAsia="宋体" w:cs="Times New Roman"/>
                      <w:kern w:val="0"/>
                      <w:sz w:val="18"/>
                      <w:szCs w:val="18"/>
                      <w:highlight w:val="none"/>
                      <w:lang w:val="en-US" w:eastAsia="zh-CN"/>
                    </w:rPr>
                  </w:pPr>
                  <w:r>
                    <w:rPr>
                      <w:rFonts w:hint="eastAsia" w:ascii="Times New Roman" w:hAnsi="Times New Roman" w:eastAsia="宋体" w:cs="Times New Roman"/>
                      <w:kern w:val="0"/>
                      <w:sz w:val="18"/>
                      <w:szCs w:val="18"/>
                      <w:highlight w:val="none"/>
                      <w:lang w:val="en-US" w:eastAsia="zh-CN"/>
                    </w:rPr>
                    <w:t xml:space="preserve">0.144 </w:t>
                  </w:r>
                </w:p>
              </w:tc>
              <w:tc>
                <w:tcPr>
                  <w:tcW w:w="481" w:type="dxa"/>
                  <w:vMerge w:val="continue"/>
                  <w:tcBorders>
                    <w:left w:val="single" w:color="auto" w:sz="4" w:space="0"/>
                    <w:right w:val="single" w:color="auto" w:sz="4" w:space="0"/>
                  </w:tcBorders>
                  <w:vAlign w:val="center"/>
                </w:tcPr>
                <w:p w14:paraId="7414AA78">
                  <w:pPr>
                    <w:keepNext w:val="0"/>
                    <w:keepLines w:val="0"/>
                    <w:suppressLineNumbers w:val="0"/>
                    <w:snapToGrid w:val="0"/>
                    <w:spacing w:before="0" w:beforeAutospacing="0" w:after="0" w:afterAutospacing="0" w:line="264" w:lineRule="auto"/>
                    <w:ind w:left="0" w:right="0"/>
                    <w:jc w:val="center"/>
                    <w:rPr>
                      <w:rFonts w:hint="default" w:ascii="Times New Roman" w:hAnsi="Times New Roman" w:eastAsia="宋体" w:cs="Times New Roman"/>
                      <w:kern w:val="0"/>
                      <w:sz w:val="18"/>
                      <w:szCs w:val="18"/>
                      <w:highlight w:val="none"/>
                    </w:rPr>
                  </w:pPr>
                </w:p>
              </w:tc>
            </w:tr>
            <w:tr w14:paraId="4030A46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233" w:hRule="atLeast"/>
                <w:jc w:val="center"/>
              </w:trPr>
              <w:tc>
                <w:tcPr>
                  <w:tcW w:w="580" w:type="dxa"/>
                  <w:vMerge w:val="continue"/>
                  <w:tcBorders>
                    <w:left w:val="single" w:color="auto" w:sz="4" w:space="0"/>
                    <w:right w:val="single" w:color="auto" w:sz="4" w:space="0"/>
                  </w:tcBorders>
                  <w:vAlign w:val="center"/>
                </w:tcPr>
                <w:p w14:paraId="78441D7D">
                  <w:pPr>
                    <w:keepNext w:val="0"/>
                    <w:keepLines w:val="0"/>
                    <w:widowControl/>
                    <w:suppressLineNumbers w:val="0"/>
                    <w:adjustRightInd w:val="0"/>
                    <w:snapToGrid w:val="0"/>
                    <w:spacing w:before="0" w:beforeAutospacing="0" w:after="0" w:afterAutospacing="0" w:line="264" w:lineRule="auto"/>
                    <w:ind w:left="0" w:right="0"/>
                    <w:jc w:val="center"/>
                    <w:rPr>
                      <w:rFonts w:hint="default" w:ascii="Times New Roman" w:hAnsi="Times New Roman" w:eastAsia="宋体" w:cs="Times New Roman"/>
                      <w:snapToGrid w:val="0"/>
                      <w:sz w:val="18"/>
                      <w:szCs w:val="18"/>
                      <w:highlight w:val="none"/>
                    </w:rPr>
                  </w:pPr>
                </w:p>
              </w:tc>
              <w:tc>
                <w:tcPr>
                  <w:tcW w:w="423" w:type="dxa"/>
                  <w:vMerge w:val="continue"/>
                  <w:tcBorders>
                    <w:left w:val="single" w:color="auto" w:sz="4" w:space="0"/>
                    <w:right w:val="single" w:color="auto" w:sz="4" w:space="0"/>
                  </w:tcBorders>
                  <w:vAlign w:val="center"/>
                </w:tcPr>
                <w:p w14:paraId="7FCDC3B6">
                  <w:pPr>
                    <w:keepNext w:val="0"/>
                    <w:keepLines w:val="0"/>
                    <w:widowControl/>
                    <w:suppressLineNumbers w:val="0"/>
                    <w:adjustRightInd w:val="0"/>
                    <w:snapToGrid w:val="0"/>
                    <w:spacing w:before="0" w:beforeAutospacing="0" w:after="0" w:afterAutospacing="0" w:line="264" w:lineRule="auto"/>
                    <w:ind w:left="0" w:right="0"/>
                    <w:jc w:val="center"/>
                    <w:rPr>
                      <w:rFonts w:hint="default" w:ascii="Times New Roman" w:hAnsi="Times New Roman" w:eastAsia="宋体" w:cs="Times New Roman"/>
                      <w:snapToGrid w:val="0"/>
                      <w:sz w:val="18"/>
                      <w:szCs w:val="18"/>
                      <w:highlight w:val="none"/>
                    </w:rPr>
                  </w:pPr>
                </w:p>
              </w:tc>
              <w:tc>
                <w:tcPr>
                  <w:tcW w:w="1031" w:type="dxa"/>
                  <w:vMerge w:val="restart"/>
                  <w:tcBorders>
                    <w:left w:val="single" w:color="auto" w:sz="4" w:space="0"/>
                    <w:right w:val="single" w:color="auto" w:sz="4" w:space="0"/>
                  </w:tcBorders>
                  <w:vAlign w:val="center"/>
                </w:tcPr>
                <w:p w14:paraId="0BE832BF">
                  <w:pPr>
                    <w:keepNext w:val="0"/>
                    <w:keepLines w:val="0"/>
                    <w:widowControl/>
                    <w:suppressLineNumbers w:val="0"/>
                    <w:adjustRightInd w:val="0"/>
                    <w:snapToGrid w:val="0"/>
                    <w:spacing w:before="0" w:beforeAutospacing="0" w:after="0" w:afterAutospacing="0" w:line="264" w:lineRule="auto"/>
                    <w:ind w:left="0" w:right="0"/>
                    <w:jc w:val="center"/>
                    <w:rPr>
                      <w:rFonts w:hint="default" w:ascii="Times New Roman" w:hAnsi="Times New Roman" w:eastAsia="宋体" w:cs="Times New Roman"/>
                      <w:snapToGrid w:val="0"/>
                      <w:sz w:val="18"/>
                      <w:szCs w:val="18"/>
                      <w:highlight w:val="none"/>
                      <w:lang w:val="en-US" w:eastAsia="zh-CN"/>
                    </w:rPr>
                  </w:pPr>
                  <w:r>
                    <w:rPr>
                      <w:rFonts w:hint="eastAsia" w:cs="Times New Roman"/>
                      <w:snapToGrid w:val="0"/>
                      <w:sz w:val="18"/>
                      <w:szCs w:val="18"/>
                      <w:highlight w:val="none"/>
                      <w:lang w:val="en-US" w:eastAsia="zh-CN"/>
                    </w:rPr>
                    <w:t>P2实验室</w:t>
                  </w:r>
                  <w:r>
                    <w:rPr>
                      <w:rFonts w:hint="eastAsia" w:ascii="Times New Roman" w:hAnsi="Times New Roman" w:eastAsia="宋体" w:cs="Times New Roman"/>
                      <w:snapToGrid w:val="0"/>
                      <w:sz w:val="18"/>
                      <w:szCs w:val="18"/>
                      <w:highlight w:val="none"/>
                      <w:lang w:val="en-US" w:eastAsia="zh-CN"/>
                    </w:rPr>
                    <w:t>灭菌废水</w:t>
                  </w:r>
                </w:p>
              </w:tc>
              <w:tc>
                <w:tcPr>
                  <w:tcW w:w="595" w:type="dxa"/>
                  <w:tcBorders>
                    <w:top w:val="single" w:color="auto" w:sz="4" w:space="0"/>
                    <w:left w:val="single" w:color="auto" w:sz="4" w:space="0"/>
                    <w:bottom w:val="single" w:color="auto" w:sz="4" w:space="0"/>
                    <w:right w:val="single" w:color="auto" w:sz="4" w:space="0"/>
                  </w:tcBorders>
                  <w:vAlign w:val="center"/>
                </w:tcPr>
                <w:p w14:paraId="53F46442">
                  <w:pPr>
                    <w:keepNext w:val="0"/>
                    <w:keepLines w:val="0"/>
                    <w:widowControl/>
                    <w:suppressLineNumbers w:val="0"/>
                    <w:adjustRightInd w:val="0"/>
                    <w:snapToGrid w:val="0"/>
                    <w:spacing w:before="0" w:beforeAutospacing="0" w:after="0" w:afterAutospacing="0" w:line="264" w:lineRule="auto"/>
                    <w:ind w:left="0" w:right="0"/>
                    <w:jc w:val="center"/>
                    <w:rPr>
                      <w:rFonts w:hint="default" w:ascii="Times New Roman" w:hAnsi="Times New Roman" w:eastAsia="宋体" w:cs="Times New Roman"/>
                      <w:snapToGrid w:val="0"/>
                      <w:sz w:val="18"/>
                      <w:szCs w:val="18"/>
                      <w:highlight w:val="none"/>
                    </w:rPr>
                  </w:pPr>
                  <w:r>
                    <w:rPr>
                      <w:rFonts w:hint="default" w:ascii="Times New Roman" w:hAnsi="Times New Roman" w:eastAsia="宋体" w:cs="Times New Roman"/>
                      <w:snapToGrid w:val="0"/>
                      <w:sz w:val="18"/>
                      <w:szCs w:val="18"/>
                      <w:highlight w:val="none"/>
                    </w:rPr>
                    <w:t>COD</w:t>
                  </w:r>
                  <w:r>
                    <w:rPr>
                      <w:rFonts w:hint="default" w:ascii="Times New Roman" w:hAnsi="Times New Roman" w:eastAsia="宋体" w:cs="Times New Roman"/>
                      <w:snapToGrid w:val="0"/>
                      <w:sz w:val="18"/>
                      <w:szCs w:val="18"/>
                      <w:highlight w:val="none"/>
                      <w:vertAlign w:val="subscript"/>
                    </w:rPr>
                    <w:t>Cr</w:t>
                  </w:r>
                </w:p>
              </w:tc>
              <w:tc>
                <w:tcPr>
                  <w:tcW w:w="609" w:type="dxa"/>
                  <w:vMerge w:val="restart"/>
                  <w:tcBorders>
                    <w:left w:val="single" w:color="auto" w:sz="4" w:space="0"/>
                    <w:right w:val="single" w:color="auto" w:sz="4" w:space="0"/>
                  </w:tcBorders>
                  <w:vAlign w:val="center"/>
                </w:tcPr>
                <w:p w14:paraId="46A70B93">
                  <w:pPr>
                    <w:keepNext w:val="0"/>
                    <w:keepLines w:val="0"/>
                    <w:suppressLineNumbers w:val="0"/>
                    <w:snapToGrid w:val="0"/>
                    <w:spacing w:before="0" w:beforeAutospacing="0" w:after="0" w:afterAutospacing="0" w:line="264" w:lineRule="auto"/>
                    <w:ind w:left="0" w:right="0"/>
                    <w:jc w:val="center"/>
                    <w:rPr>
                      <w:rFonts w:hint="default" w:ascii="Times New Roman" w:hAnsi="Times New Roman" w:eastAsia="宋体" w:cs="Times New Roman"/>
                      <w:sz w:val="18"/>
                      <w:szCs w:val="18"/>
                      <w:highlight w:val="none"/>
                      <w:lang w:val="en-US" w:eastAsia="zh-CN"/>
                    </w:rPr>
                  </w:pPr>
                  <w:r>
                    <w:rPr>
                      <w:rFonts w:hint="eastAsia" w:ascii="Times New Roman" w:hAnsi="Times New Roman" w:eastAsia="宋体" w:cs="Times New Roman"/>
                      <w:sz w:val="18"/>
                      <w:szCs w:val="18"/>
                      <w:highlight w:val="none"/>
                      <w:lang w:val="en-US" w:eastAsia="zh-CN"/>
                    </w:rPr>
                    <w:t>390</w:t>
                  </w:r>
                </w:p>
              </w:tc>
              <w:tc>
                <w:tcPr>
                  <w:tcW w:w="699" w:type="dxa"/>
                  <w:tcBorders>
                    <w:top w:val="single" w:color="auto" w:sz="4" w:space="0"/>
                    <w:left w:val="single" w:color="auto" w:sz="4" w:space="0"/>
                    <w:bottom w:val="single" w:color="auto" w:sz="4" w:space="0"/>
                    <w:right w:val="single" w:color="auto" w:sz="4" w:space="0"/>
                  </w:tcBorders>
                  <w:vAlign w:val="center"/>
                </w:tcPr>
                <w:p w14:paraId="1C81CD5C">
                  <w:pPr>
                    <w:keepNext w:val="0"/>
                    <w:keepLines w:val="0"/>
                    <w:widowControl/>
                    <w:suppressLineNumbers w:val="0"/>
                    <w:snapToGrid w:val="0"/>
                    <w:spacing w:before="0" w:beforeAutospacing="0" w:after="0" w:afterAutospacing="0" w:line="264" w:lineRule="auto"/>
                    <w:ind w:left="0" w:right="0"/>
                    <w:jc w:val="center"/>
                    <w:rPr>
                      <w:rFonts w:hint="default" w:ascii="Times New Roman" w:hAnsi="Times New Roman" w:eastAsia="宋体" w:cs="Times New Roman"/>
                      <w:kern w:val="0"/>
                      <w:sz w:val="18"/>
                      <w:szCs w:val="18"/>
                      <w:highlight w:val="none"/>
                      <w:lang w:val="en-US" w:eastAsia="zh-CN"/>
                    </w:rPr>
                  </w:pPr>
                  <w:r>
                    <w:rPr>
                      <w:rFonts w:hint="eastAsia" w:ascii="Times New Roman" w:hAnsi="Times New Roman" w:eastAsia="宋体" w:cs="Times New Roman"/>
                      <w:kern w:val="0"/>
                      <w:sz w:val="18"/>
                      <w:szCs w:val="18"/>
                      <w:highlight w:val="none"/>
                      <w:lang w:val="en-US" w:eastAsia="zh-CN"/>
                    </w:rPr>
                    <w:t>20</w:t>
                  </w:r>
                </w:p>
              </w:tc>
              <w:tc>
                <w:tcPr>
                  <w:tcW w:w="777" w:type="dxa"/>
                  <w:tcBorders>
                    <w:top w:val="single" w:color="auto" w:sz="4" w:space="0"/>
                    <w:left w:val="single" w:color="auto" w:sz="4" w:space="0"/>
                    <w:bottom w:val="single" w:color="auto" w:sz="4" w:space="0"/>
                    <w:right w:val="single" w:color="auto" w:sz="4" w:space="0"/>
                  </w:tcBorders>
                  <w:vAlign w:val="center"/>
                </w:tcPr>
                <w:p w14:paraId="332248DE">
                  <w:pPr>
                    <w:keepNext w:val="0"/>
                    <w:keepLines w:val="0"/>
                    <w:widowControl/>
                    <w:suppressLineNumbers w:val="0"/>
                    <w:snapToGrid w:val="0"/>
                    <w:spacing w:before="0" w:beforeAutospacing="0" w:after="0" w:afterAutospacing="0" w:line="264" w:lineRule="auto"/>
                    <w:ind w:left="0" w:right="0"/>
                    <w:jc w:val="center"/>
                    <w:rPr>
                      <w:rFonts w:hint="eastAsia" w:ascii="Times New Roman" w:hAnsi="Times New Roman" w:eastAsia="宋体" w:cs="Times New Roman"/>
                      <w:kern w:val="0"/>
                      <w:sz w:val="18"/>
                      <w:szCs w:val="18"/>
                      <w:highlight w:val="none"/>
                      <w:lang w:val="en-US" w:eastAsia="zh-CN"/>
                    </w:rPr>
                  </w:pPr>
                  <w:r>
                    <w:rPr>
                      <w:rFonts w:hint="eastAsia" w:ascii="Times New Roman" w:hAnsi="Times New Roman" w:eastAsia="宋体" w:cs="Times New Roman"/>
                      <w:kern w:val="0"/>
                      <w:sz w:val="18"/>
                      <w:szCs w:val="18"/>
                      <w:highlight w:val="none"/>
                      <w:lang w:val="en-US" w:eastAsia="zh-CN"/>
                    </w:rPr>
                    <w:t xml:space="preserve">0.008 </w:t>
                  </w:r>
                </w:p>
              </w:tc>
              <w:tc>
                <w:tcPr>
                  <w:tcW w:w="630" w:type="dxa"/>
                  <w:vMerge w:val="continue"/>
                  <w:tcBorders>
                    <w:left w:val="single" w:color="auto" w:sz="4" w:space="0"/>
                    <w:right w:val="single" w:color="auto" w:sz="4" w:space="0"/>
                  </w:tcBorders>
                  <w:vAlign w:val="center"/>
                </w:tcPr>
                <w:p w14:paraId="6388C28D">
                  <w:pPr>
                    <w:keepNext w:val="0"/>
                    <w:keepLines w:val="0"/>
                    <w:widowControl/>
                    <w:suppressLineNumbers w:val="0"/>
                    <w:snapToGrid w:val="0"/>
                    <w:spacing w:before="0" w:beforeAutospacing="0" w:after="0" w:afterAutospacing="0" w:line="264" w:lineRule="auto"/>
                    <w:ind w:left="0" w:right="0"/>
                    <w:jc w:val="center"/>
                    <w:rPr>
                      <w:rFonts w:hint="default" w:ascii="Times New Roman" w:hAnsi="Times New Roman" w:eastAsia="宋体" w:cs="Times New Roman"/>
                      <w:kern w:val="0"/>
                      <w:sz w:val="18"/>
                      <w:szCs w:val="18"/>
                      <w:highlight w:val="none"/>
                    </w:rPr>
                  </w:pPr>
                </w:p>
              </w:tc>
              <w:tc>
                <w:tcPr>
                  <w:tcW w:w="477" w:type="dxa"/>
                  <w:tcBorders>
                    <w:left w:val="single" w:color="auto" w:sz="4" w:space="0"/>
                    <w:right w:val="single" w:color="auto" w:sz="4" w:space="0"/>
                  </w:tcBorders>
                  <w:vAlign w:val="center"/>
                </w:tcPr>
                <w:p w14:paraId="5077E065">
                  <w:pPr>
                    <w:keepNext w:val="0"/>
                    <w:keepLines w:val="0"/>
                    <w:widowControl/>
                    <w:suppressLineNumbers w:val="0"/>
                    <w:snapToGrid w:val="0"/>
                    <w:spacing w:before="0" w:beforeAutospacing="0" w:after="0" w:afterAutospacing="0" w:line="264" w:lineRule="auto"/>
                    <w:ind w:left="0" w:right="0"/>
                    <w:jc w:val="center"/>
                    <w:rPr>
                      <w:rFonts w:hint="default" w:ascii="Times New Roman" w:hAnsi="Times New Roman" w:eastAsia="宋体" w:cs="Times New Roman"/>
                      <w:kern w:val="0"/>
                      <w:sz w:val="18"/>
                      <w:szCs w:val="18"/>
                      <w:highlight w:val="none"/>
                    </w:rPr>
                  </w:pPr>
                  <w:r>
                    <w:rPr>
                      <w:rFonts w:hint="eastAsia"/>
                      <w:bCs/>
                      <w:snapToGrid w:val="0"/>
                      <w:sz w:val="18"/>
                      <w:szCs w:val="18"/>
                      <w:highlight w:val="none"/>
                      <w:lang w:val="en-US" w:eastAsia="zh-CN"/>
                    </w:rPr>
                    <w:t>75</w:t>
                  </w:r>
                </w:p>
              </w:tc>
              <w:tc>
                <w:tcPr>
                  <w:tcW w:w="611" w:type="dxa"/>
                  <w:vMerge w:val="restart"/>
                  <w:tcBorders>
                    <w:left w:val="single" w:color="auto" w:sz="4" w:space="0"/>
                    <w:right w:val="single" w:color="auto" w:sz="4" w:space="0"/>
                  </w:tcBorders>
                  <w:vAlign w:val="center"/>
                </w:tcPr>
                <w:p w14:paraId="3F6AC716">
                  <w:pPr>
                    <w:keepNext w:val="0"/>
                    <w:keepLines w:val="0"/>
                    <w:suppressLineNumbers w:val="0"/>
                    <w:snapToGrid w:val="0"/>
                    <w:spacing w:before="0" w:beforeAutospacing="0" w:after="0" w:afterAutospacing="0" w:line="264" w:lineRule="auto"/>
                    <w:ind w:left="0" w:right="0"/>
                    <w:jc w:val="center"/>
                    <w:rPr>
                      <w:rFonts w:hint="default" w:ascii="Times New Roman" w:hAnsi="Times New Roman" w:eastAsia="宋体" w:cs="Times New Roman"/>
                      <w:kern w:val="0"/>
                      <w:sz w:val="18"/>
                      <w:szCs w:val="18"/>
                      <w:highlight w:val="none"/>
                    </w:rPr>
                  </w:pPr>
                  <w:r>
                    <w:rPr>
                      <w:rFonts w:hint="eastAsia" w:ascii="Times New Roman" w:hAnsi="Times New Roman" w:eastAsia="宋体" w:cs="Times New Roman"/>
                      <w:sz w:val="18"/>
                      <w:szCs w:val="18"/>
                      <w:highlight w:val="none"/>
                      <w:lang w:val="en-US" w:eastAsia="zh-CN"/>
                    </w:rPr>
                    <w:t>390</w:t>
                  </w:r>
                </w:p>
              </w:tc>
              <w:tc>
                <w:tcPr>
                  <w:tcW w:w="679" w:type="dxa"/>
                  <w:tcBorders>
                    <w:top w:val="single" w:color="auto" w:sz="4" w:space="0"/>
                    <w:left w:val="single" w:color="auto" w:sz="4" w:space="0"/>
                    <w:bottom w:val="single" w:color="auto" w:sz="4" w:space="0"/>
                    <w:right w:val="single" w:color="auto" w:sz="4" w:space="0"/>
                  </w:tcBorders>
                  <w:vAlign w:val="center"/>
                </w:tcPr>
                <w:p w14:paraId="51B1CEE3">
                  <w:pPr>
                    <w:keepNext w:val="0"/>
                    <w:keepLines w:val="0"/>
                    <w:widowControl/>
                    <w:suppressLineNumbers w:val="0"/>
                    <w:snapToGrid w:val="0"/>
                    <w:spacing w:before="0" w:beforeAutospacing="0" w:after="0" w:afterAutospacing="0" w:line="264" w:lineRule="auto"/>
                    <w:ind w:left="0" w:right="0"/>
                    <w:jc w:val="center"/>
                    <w:rPr>
                      <w:rFonts w:hint="default" w:ascii="Times New Roman" w:hAnsi="Times New Roman" w:eastAsia="宋体" w:cs="Times New Roman"/>
                      <w:kern w:val="0"/>
                      <w:sz w:val="18"/>
                      <w:szCs w:val="18"/>
                      <w:highlight w:val="none"/>
                    </w:rPr>
                  </w:pPr>
                  <w:r>
                    <w:rPr>
                      <w:rFonts w:hint="eastAsia" w:ascii="Times New Roman" w:hAnsi="Times New Roman" w:eastAsia="宋体" w:cs="Times New Roman"/>
                      <w:kern w:val="0"/>
                      <w:sz w:val="18"/>
                      <w:szCs w:val="18"/>
                      <w:highlight w:val="none"/>
                      <w:lang w:val="en-US" w:eastAsia="zh-CN"/>
                    </w:rPr>
                    <w:t>5</w:t>
                  </w:r>
                </w:p>
              </w:tc>
              <w:tc>
                <w:tcPr>
                  <w:tcW w:w="723" w:type="dxa"/>
                  <w:tcBorders>
                    <w:top w:val="single" w:color="auto" w:sz="4" w:space="0"/>
                    <w:left w:val="single" w:color="auto" w:sz="4" w:space="0"/>
                    <w:bottom w:val="single" w:color="auto" w:sz="4" w:space="0"/>
                    <w:right w:val="single" w:color="auto" w:sz="4" w:space="0"/>
                  </w:tcBorders>
                  <w:vAlign w:val="center"/>
                </w:tcPr>
                <w:p w14:paraId="0C50ED04">
                  <w:pPr>
                    <w:keepNext w:val="0"/>
                    <w:keepLines w:val="0"/>
                    <w:widowControl/>
                    <w:suppressLineNumbers w:val="0"/>
                    <w:snapToGrid w:val="0"/>
                    <w:spacing w:before="0" w:beforeAutospacing="0" w:after="0" w:afterAutospacing="0" w:line="264" w:lineRule="auto"/>
                    <w:ind w:left="0" w:right="0"/>
                    <w:jc w:val="center"/>
                    <w:rPr>
                      <w:rFonts w:hint="eastAsia" w:ascii="Times New Roman" w:hAnsi="Times New Roman" w:eastAsia="宋体" w:cs="Times New Roman"/>
                      <w:kern w:val="0"/>
                      <w:sz w:val="18"/>
                      <w:szCs w:val="18"/>
                      <w:highlight w:val="none"/>
                      <w:lang w:val="en-US" w:eastAsia="zh-CN"/>
                    </w:rPr>
                  </w:pPr>
                  <w:r>
                    <w:rPr>
                      <w:rFonts w:hint="eastAsia" w:ascii="Times New Roman" w:hAnsi="Times New Roman" w:eastAsia="宋体" w:cs="Times New Roman"/>
                      <w:kern w:val="0"/>
                      <w:sz w:val="18"/>
                      <w:szCs w:val="18"/>
                      <w:highlight w:val="none"/>
                      <w:lang w:val="en-US" w:eastAsia="zh-CN"/>
                    </w:rPr>
                    <w:t xml:space="preserve">0.002 </w:t>
                  </w:r>
                </w:p>
              </w:tc>
              <w:tc>
                <w:tcPr>
                  <w:tcW w:w="481" w:type="dxa"/>
                  <w:vMerge w:val="restart"/>
                  <w:tcBorders>
                    <w:left w:val="single" w:color="auto" w:sz="4" w:space="0"/>
                    <w:right w:val="single" w:color="auto" w:sz="4" w:space="0"/>
                  </w:tcBorders>
                  <w:vAlign w:val="center"/>
                </w:tcPr>
                <w:p w14:paraId="29ECB64E">
                  <w:pPr>
                    <w:keepNext w:val="0"/>
                    <w:keepLines w:val="0"/>
                    <w:suppressLineNumbers w:val="0"/>
                    <w:snapToGrid w:val="0"/>
                    <w:spacing w:before="0" w:beforeAutospacing="0" w:after="0" w:afterAutospacing="0" w:line="264" w:lineRule="auto"/>
                    <w:ind w:left="0" w:right="0"/>
                    <w:jc w:val="center"/>
                    <w:rPr>
                      <w:rFonts w:hint="default" w:ascii="Times New Roman" w:hAnsi="Times New Roman" w:eastAsia="宋体" w:cs="Times New Roman"/>
                      <w:kern w:val="0"/>
                      <w:sz w:val="18"/>
                      <w:szCs w:val="18"/>
                      <w:highlight w:val="none"/>
                    </w:rPr>
                  </w:pPr>
                  <w:r>
                    <w:rPr>
                      <w:rFonts w:hint="eastAsia" w:cs="Times New Roman"/>
                      <w:kern w:val="0"/>
                      <w:sz w:val="18"/>
                      <w:szCs w:val="18"/>
                      <w:highlight w:val="none"/>
                      <w:lang w:val="en-US" w:eastAsia="zh-CN"/>
                    </w:rPr>
                    <w:t>2080</w:t>
                  </w:r>
                </w:p>
              </w:tc>
            </w:tr>
            <w:tr w14:paraId="0FBE609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jc w:val="center"/>
              </w:trPr>
              <w:tc>
                <w:tcPr>
                  <w:tcW w:w="580" w:type="dxa"/>
                  <w:vMerge w:val="continue"/>
                  <w:tcBorders>
                    <w:left w:val="single" w:color="auto" w:sz="4" w:space="0"/>
                    <w:right w:val="single" w:color="auto" w:sz="4" w:space="0"/>
                  </w:tcBorders>
                  <w:vAlign w:val="center"/>
                </w:tcPr>
                <w:p w14:paraId="35ACA7DC">
                  <w:pPr>
                    <w:keepNext w:val="0"/>
                    <w:keepLines w:val="0"/>
                    <w:widowControl/>
                    <w:suppressLineNumbers w:val="0"/>
                    <w:adjustRightInd w:val="0"/>
                    <w:snapToGrid w:val="0"/>
                    <w:spacing w:before="0" w:beforeAutospacing="0" w:after="0" w:afterAutospacing="0" w:line="264" w:lineRule="auto"/>
                    <w:ind w:left="0" w:right="0"/>
                    <w:jc w:val="center"/>
                    <w:rPr>
                      <w:rFonts w:hint="default" w:ascii="Times New Roman" w:hAnsi="Times New Roman" w:eastAsia="宋体" w:cs="Times New Roman"/>
                      <w:snapToGrid w:val="0"/>
                      <w:sz w:val="18"/>
                      <w:szCs w:val="18"/>
                      <w:highlight w:val="none"/>
                    </w:rPr>
                  </w:pPr>
                </w:p>
              </w:tc>
              <w:tc>
                <w:tcPr>
                  <w:tcW w:w="423" w:type="dxa"/>
                  <w:vMerge w:val="continue"/>
                  <w:tcBorders>
                    <w:left w:val="single" w:color="auto" w:sz="4" w:space="0"/>
                    <w:right w:val="single" w:color="auto" w:sz="4" w:space="0"/>
                  </w:tcBorders>
                  <w:vAlign w:val="center"/>
                </w:tcPr>
                <w:p w14:paraId="1C04B763">
                  <w:pPr>
                    <w:keepNext w:val="0"/>
                    <w:keepLines w:val="0"/>
                    <w:widowControl/>
                    <w:suppressLineNumbers w:val="0"/>
                    <w:adjustRightInd w:val="0"/>
                    <w:snapToGrid w:val="0"/>
                    <w:spacing w:before="0" w:beforeAutospacing="0" w:after="0" w:afterAutospacing="0" w:line="264" w:lineRule="auto"/>
                    <w:ind w:left="0" w:right="0"/>
                    <w:jc w:val="center"/>
                    <w:rPr>
                      <w:rFonts w:hint="default" w:ascii="Times New Roman" w:hAnsi="Times New Roman" w:eastAsia="宋体" w:cs="Times New Roman"/>
                      <w:snapToGrid w:val="0"/>
                      <w:sz w:val="18"/>
                      <w:szCs w:val="18"/>
                      <w:highlight w:val="none"/>
                    </w:rPr>
                  </w:pPr>
                </w:p>
              </w:tc>
              <w:tc>
                <w:tcPr>
                  <w:tcW w:w="1031" w:type="dxa"/>
                  <w:vMerge w:val="continue"/>
                  <w:tcBorders>
                    <w:left w:val="single" w:color="auto" w:sz="4" w:space="0"/>
                    <w:right w:val="single" w:color="auto" w:sz="4" w:space="0"/>
                  </w:tcBorders>
                  <w:vAlign w:val="center"/>
                </w:tcPr>
                <w:p w14:paraId="70B23FFF">
                  <w:pPr>
                    <w:keepNext w:val="0"/>
                    <w:keepLines w:val="0"/>
                    <w:widowControl/>
                    <w:suppressLineNumbers w:val="0"/>
                    <w:adjustRightInd w:val="0"/>
                    <w:snapToGrid w:val="0"/>
                    <w:spacing w:before="0" w:beforeAutospacing="0" w:after="0" w:afterAutospacing="0" w:line="264" w:lineRule="auto"/>
                    <w:ind w:left="0" w:right="0"/>
                    <w:jc w:val="center"/>
                    <w:rPr>
                      <w:rFonts w:hint="eastAsia" w:ascii="Times New Roman" w:hAnsi="Times New Roman" w:eastAsia="宋体" w:cs="Times New Roman"/>
                      <w:snapToGrid w:val="0"/>
                      <w:sz w:val="18"/>
                      <w:szCs w:val="18"/>
                      <w:highlight w:val="none"/>
                      <w:lang w:val="en-US" w:eastAsia="zh-CN"/>
                    </w:rPr>
                  </w:pPr>
                </w:p>
              </w:tc>
              <w:tc>
                <w:tcPr>
                  <w:tcW w:w="595" w:type="dxa"/>
                  <w:tcBorders>
                    <w:top w:val="single" w:color="auto" w:sz="4" w:space="0"/>
                    <w:left w:val="single" w:color="auto" w:sz="4" w:space="0"/>
                    <w:bottom w:val="single" w:color="auto" w:sz="4" w:space="0"/>
                    <w:right w:val="single" w:color="auto" w:sz="4" w:space="0"/>
                  </w:tcBorders>
                  <w:vAlign w:val="center"/>
                </w:tcPr>
                <w:p w14:paraId="00249C9D">
                  <w:pPr>
                    <w:keepNext w:val="0"/>
                    <w:keepLines w:val="0"/>
                    <w:widowControl/>
                    <w:suppressLineNumbers w:val="0"/>
                    <w:adjustRightInd w:val="0"/>
                    <w:snapToGrid w:val="0"/>
                    <w:spacing w:before="0" w:beforeAutospacing="0" w:after="0" w:afterAutospacing="0" w:line="264" w:lineRule="auto"/>
                    <w:ind w:left="0" w:right="0"/>
                    <w:jc w:val="center"/>
                    <w:rPr>
                      <w:rFonts w:hint="default" w:ascii="Times New Roman" w:hAnsi="Times New Roman" w:eastAsia="宋体" w:cs="Times New Roman"/>
                      <w:snapToGrid w:val="0"/>
                      <w:sz w:val="18"/>
                      <w:szCs w:val="18"/>
                      <w:highlight w:val="none"/>
                    </w:rPr>
                  </w:pPr>
                  <w:r>
                    <w:rPr>
                      <w:rFonts w:hint="eastAsia" w:ascii="Times New Roman" w:hAnsi="Times New Roman" w:eastAsia="宋体" w:cs="Times New Roman"/>
                      <w:snapToGrid w:val="0"/>
                      <w:sz w:val="18"/>
                      <w:szCs w:val="18"/>
                      <w:highlight w:val="none"/>
                      <w:lang w:val="en-US" w:eastAsia="zh-CN"/>
                    </w:rPr>
                    <w:t>SS</w:t>
                  </w:r>
                </w:p>
              </w:tc>
              <w:tc>
                <w:tcPr>
                  <w:tcW w:w="609" w:type="dxa"/>
                  <w:vMerge w:val="continue"/>
                  <w:tcBorders>
                    <w:left w:val="single" w:color="auto" w:sz="4" w:space="0"/>
                    <w:right w:val="single" w:color="auto" w:sz="4" w:space="0"/>
                  </w:tcBorders>
                  <w:vAlign w:val="center"/>
                </w:tcPr>
                <w:p w14:paraId="2E5DF737">
                  <w:pPr>
                    <w:keepNext w:val="0"/>
                    <w:keepLines w:val="0"/>
                    <w:suppressLineNumbers w:val="0"/>
                    <w:snapToGrid w:val="0"/>
                    <w:spacing w:before="0" w:beforeAutospacing="0" w:after="0" w:afterAutospacing="0" w:line="264" w:lineRule="auto"/>
                    <w:ind w:left="0" w:right="0"/>
                    <w:jc w:val="center"/>
                    <w:rPr>
                      <w:rFonts w:hint="default" w:ascii="Times New Roman" w:hAnsi="Times New Roman" w:eastAsia="宋体" w:cs="Times New Roman"/>
                      <w:sz w:val="18"/>
                      <w:szCs w:val="18"/>
                      <w:highlight w:val="none"/>
                    </w:rPr>
                  </w:pPr>
                </w:p>
              </w:tc>
              <w:tc>
                <w:tcPr>
                  <w:tcW w:w="699" w:type="dxa"/>
                  <w:tcBorders>
                    <w:top w:val="single" w:color="auto" w:sz="4" w:space="0"/>
                    <w:left w:val="single" w:color="auto" w:sz="4" w:space="0"/>
                    <w:bottom w:val="single" w:color="auto" w:sz="4" w:space="0"/>
                    <w:right w:val="single" w:color="auto" w:sz="4" w:space="0"/>
                  </w:tcBorders>
                  <w:vAlign w:val="center"/>
                </w:tcPr>
                <w:p w14:paraId="1E0E4323">
                  <w:pPr>
                    <w:keepNext w:val="0"/>
                    <w:keepLines w:val="0"/>
                    <w:widowControl/>
                    <w:suppressLineNumbers w:val="0"/>
                    <w:snapToGrid w:val="0"/>
                    <w:spacing w:before="0" w:beforeAutospacing="0" w:after="0" w:afterAutospacing="0" w:line="264" w:lineRule="auto"/>
                    <w:ind w:left="0" w:right="0"/>
                    <w:jc w:val="center"/>
                    <w:rPr>
                      <w:rFonts w:hint="default" w:ascii="Times New Roman" w:hAnsi="Times New Roman" w:eastAsia="宋体" w:cs="Times New Roman"/>
                      <w:kern w:val="0"/>
                      <w:sz w:val="18"/>
                      <w:szCs w:val="18"/>
                      <w:highlight w:val="none"/>
                      <w:lang w:val="en-US" w:eastAsia="zh-CN"/>
                    </w:rPr>
                  </w:pPr>
                  <w:r>
                    <w:rPr>
                      <w:rFonts w:hint="eastAsia" w:ascii="Times New Roman" w:hAnsi="Times New Roman" w:eastAsia="宋体" w:cs="Times New Roman"/>
                      <w:kern w:val="0"/>
                      <w:sz w:val="18"/>
                      <w:szCs w:val="18"/>
                      <w:highlight w:val="none"/>
                      <w:lang w:val="en-US" w:eastAsia="zh-CN"/>
                    </w:rPr>
                    <w:t>20</w:t>
                  </w:r>
                </w:p>
              </w:tc>
              <w:tc>
                <w:tcPr>
                  <w:tcW w:w="777" w:type="dxa"/>
                  <w:tcBorders>
                    <w:top w:val="single" w:color="auto" w:sz="4" w:space="0"/>
                    <w:left w:val="single" w:color="auto" w:sz="4" w:space="0"/>
                    <w:bottom w:val="single" w:color="auto" w:sz="4" w:space="0"/>
                    <w:right w:val="single" w:color="auto" w:sz="4" w:space="0"/>
                  </w:tcBorders>
                  <w:vAlign w:val="center"/>
                </w:tcPr>
                <w:p w14:paraId="0128FB3B">
                  <w:pPr>
                    <w:keepNext w:val="0"/>
                    <w:keepLines w:val="0"/>
                    <w:widowControl/>
                    <w:suppressLineNumbers w:val="0"/>
                    <w:snapToGrid w:val="0"/>
                    <w:spacing w:before="0" w:beforeAutospacing="0" w:after="0" w:afterAutospacing="0" w:line="264" w:lineRule="auto"/>
                    <w:ind w:left="0" w:right="0"/>
                    <w:jc w:val="center"/>
                    <w:rPr>
                      <w:rFonts w:hint="eastAsia" w:ascii="Times New Roman" w:hAnsi="Times New Roman" w:eastAsia="宋体" w:cs="Times New Roman"/>
                      <w:kern w:val="0"/>
                      <w:sz w:val="18"/>
                      <w:szCs w:val="18"/>
                      <w:highlight w:val="none"/>
                      <w:lang w:val="en-US" w:eastAsia="zh-CN"/>
                    </w:rPr>
                  </w:pPr>
                  <w:r>
                    <w:rPr>
                      <w:rFonts w:hint="eastAsia" w:ascii="Times New Roman" w:hAnsi="Times New Roman" w:eastAsia="宋体" w:cs="Times New Roman"/>
                      <w:kern w:val="0"/>
                      <w:sz w:val="18"/>
                      <w:szCs w:val="18"/>
                      <w:highlight w:val="none"/>
                      <w:lang w:val="en-US" w:eastAsia="zh-CN"/>
                    </w:rPr>
                    <w:t xml:space="preserve">0.008 </w:t>
                  </w:r>
                </w:p>
              </w:tc>
              <w:tc>
                <w:tcPr>
                  <w:tcW w:w="630" w:type="dxa"/>
                  <w:vMerge w:val="continue"/>
                  <w:tcBorders>
                    <w:left w:val="single" w:color="auto" w:sz="4" w:space="0"/>
                    <w:right w:val="single" w:color="auto" w:sz="4" w:space="0"/>
                  </w:tcBorders>
                  <w:vAlign w:val="center"/>
                </w:tcPr>
                <w:p w14:paraId="76E9218B">
                  <w:pPr>
                    <w:keepNext w:val="0"/>
                    <w:keepLines w:val="0"/>
                    <w:widowControl/>
                    <w:suppressLineNumbers w:val="0"/>
                    <w:snapToGrid w:val="0"/>
                    <w:spacing w:before="0" w:beforeAutospacing="0" w:after="0" w:afterAutospacing="0" w:line="264" w:lineRule="auto"/>
                    <w:ind w:left="0" w:right="0"/>
                    <w:jc w:val="center"/>
                    <w:rPr>
                      <w:rFonts w:hint="default" w:ascii="Times New Roman" w:hAnsi="Times New Roman" w:eastAsia="宋体" w:cs="Times New Roman"/>
                      <w:kern w:val="0"/>
                      <w:sz w:val="18"/>
                      <w:szCs w:val="18"/>
                      <w:highlight w:val="none"/>
                    </w:rPr>
                  </w:pPr>
                </w:p>
              </w:tc>
              <w:tc>
                <w:tcPr>
                  <w:tcW w:w="477" w:type="dxa"/>
                  <w:tcBorders>
                    <w:left w:val="single" w:color="auto" w:sz="4" w:space="0"/>
                    <w:right w:val="single" w:color="auto" w:sz="4" w:space="0"/>
                  </w:tcBorders>
                  <w:vAlign w:val="center"/>
                </w:tcPr>
                <w:p w14:paraId="14F32DE6">
                  <w:pPr>
                    <w:keepNext w:val="0"/>
                    <w:keepLines w:val="0"/>
                    <w:widowControl/>
                    <w:suppressLineNumbers w:val="0"/>
                    <w:snapToGrid w:val="0"/>
                    <w:spacing w:before="0" w:beforeAutospacing="0" w:after="0" w:afterAutospacing="0" w:line="264" w:lineRule="auto"/>
                    <w:ind w:left="0" w:right="0"/>
                    <w:jc w:val="center"/>
                    <w:rPr>
                      <w:rFonts w:hint="default" w:ascii="Times New Roman" w:hAnsi="Times New Roman" w:eastAsia="宋体" w:cs="Times New Roman"/>
                      <w:kern w:val="0"/>
                      <w:sz w:val="18"/>
                      <w:szCs w:val="18"/>
                      <w:highlight w:val="none"/>
                    </w:rPr>
                  </w:pPr>
                  <w:r>
                    <w:rPr>
                      <w:rFonts w:hint="eastAsia"/>
                      <w:bCs/>
                      <w:snapToGrid w:val="0"/>
                      <w:sz w:val="18"/>
                      <w:szCs w:val="18"/>
                      <w:highlight w:val="none"/>
                      <w:lang w:val="en-US" w:eastAsia="zh-CN"/>
                    </w:rPr>
                    <w:t>25</w:t>
                  </w:r>
                </w:p>
              </w:tc>
              <w:tc>
                <w:tcPr>
                  <w:tcW w:w="611" w:type="dxa"/>
                  <w:vMerge w:val="continue"/>
                  <w:tcBorders>
                    <w:left w:val="single" w:color="auto" w:sz="4" w:space="0"/>
                    <w:right w:val="single" w:color="auto" w:sz="4" w:space="0"/>
                  </w:tcBorders>
                  <w:vAlign w:val="center"/>
                </w:tcPr>
                <w:p w14:paraId="427B6A10">
                  <w:pPr>
                    <w:keepNext w:val="0"/>
                    <w:keepLines w:val="0"/>
                    <w:suppressLineNumbers w:val="0"/>
                    <w:snapToGrid w:val="0"/>
                    <w:spacing w:before="0" w:beforeAutospacing="0" w:after="0" w:afterAutospacing="0" w:line="264" w:lineRule="auto"/>
                    <w:ind w:left="0" w:right="0"/>
                    <w:jc w:val="center"/>
                    <w:rPr>
                      <w:rFonts w:hint="default" w:ascii="Times New Roman" w:hAnsi="Times New Roman" w:eastAsia="宋体" w:cs="Times New Roman"/>
                      <w:kern w:val="0"/>
                      <w:sz w:val="18"/>
                      <w:szCs w:val="18"/>
                      <w:highlight w:val="none"/>
                    </w:rPr>
                  </w:pPr>
                </w:p>
              </w:tc>
              <w:tc>
                <w:tcPr>
                  <w:tcW w:w="679" w:type="dxa"/>
                  <w:tcBorders>
                    <w:top w:val="single" w:color="auto" w:sz="4" w:space="0"/>
                    <w:left w:val="single" w:color="auto" w:sz="4" w:space="0"/>
                    <w:bottom w:val="single" w:color="auto" w:sz="4" w:space="0"/>
                    <w:right w:val="single" w:color="auto" w:sz="4" w:space="0"/>
                  </w:tcBorders>
                  <w:vAlign w:val="center"/>
                </w:tcPr>
                <w:p w14:paraId="34765724">
                  <w:pPr>
                    <w:keepNext w:val="0"/>
                    <w:keepLines w:val="0"/>
                    <w:widowControl/>
                    <w:suppressLineNumbers w:val="0"/>
                    <w:snapToGrid w:val="0"/>
                    <w:spacing w:before="0" w:beforeAutospacing="0" w:after="0" w:afterAutospacing="0" w:line="264" w:lineRule="auto"/>
                    <w:ind w:left="0" w:right="0"/>
                    <w:jc w:val="center"/>
                    <w:rPr>
                      <w:rFonts w:hint="default" w:ascii="Times New Roman" w:hAnsi="Times New Roman" w:eastAsia="宋体" w:cs="Times New Roman"/>
                      <w:kern w:val="0"/>
                      <w:sz w:val="18"/>
                      <w:szCs w:val="18"/>
                      <w:highlight w:val="none"/>
                    </w:rPr>
                  </w:pPr>
                  <w:r>
                    <w:rPr>
                      <w:rFonts w:hint="eastAsia" w:ascii="Times New Roman" w:hAnsi="Times New Roman" w:eastAsia="宋体" w:cs="Times New Roman"/>
                      <w:kern w:val="0"/>
                      <w:sz w:val="18"/>
                      <w:szCs w:val="18"/>
                      <w:highlight w:val="none"/>
                      <w:lang w:val="en-US" w:eastAsia="zh-CN"/>
                    </w:rPr>
                    <w:t>15</w:t>
                  </w:r>
                </w:p>
              </w:tc>
              <w:tc>
                <w:tcPr>
                  <w:tcW w:w="723" w:type="dxa"/>
                  <w:tcBorders>
                    <w:top w:val="single" w:color="auto" w:sz="4" w:space="0"/>
                    <w:left w:val="single" w:color="auto" w:sz="4" w:space="0"/>
                    <w:bottom w:val="single" w:color="auto" w:sz="4" w:space="0"/>
                    <w:right w:val="single" w:color="auto" w:sz="4" w:space="0"/>
                  </w:tcBorders>
                  <w:vAlign w:val="center"/>
                </w:tcPr>
                <w:p w14:paraId="21A97E88">
                  <w:pPr>
                    <w:keepNext w:val="0"/>
                    <w:keepLines w:val="0"/>
                    <w:widowControl/>
                    <w:suppressLineNumbers w:val="0"/>
                    <w:snapToGrid w:val="0"/>
                    <w:spacing w:before="0" w:beforeAutospacing="0" w:after="0" w:afterAutospacing="0" w:line="264" w:lineRule="auto"/>
                    <w:ind w:left="0" w:right="0"/>
                    <w:jc w:val="center"/>
                    <w:rPr>
                      <w:rFonts w:hint="eastAsia" w:ascii="Times New Roman" w:hAnsi="Times New Roman" w:eastAsia="宋体" w:cs="Times New Roman"/>
                      <w:kern w:val="0"/>
                      <w:sz w:val="18"/>
                      <w:szCs w:val="18"/>
                      <w:highlight w:val="none"/>
                      <w:lang w:val="en-US" w:eastAsia="zh-CN"/>
                    </w:rPr>
                  </w:pPr>
                  <w:r>
                    <w:rPr>
                      <w:rFonts w:hint="eastAsia" w:ascii="Times New Roman" w:hAnsi="Times New Roman" w:eastAsia="宋体" w:cs="Times New Roman"/>
                      <w:kern w:val="0"/>
                      <w:sz w:val="18"/>
                      <w:szCs w:val="18"/>
                      <w:highlight w:val="none"/>
                      <w:lang w:val="en-US" w:eastAsia="zh-CN"/>
                    </w:rPr>
                    <w:t xml:space="preserve">0.006 </w:t>
                  </w:r>
                </w:p>
              </w:tc>
              <w:tc>
                <w:tcPr>
                  <w:tcW w:w="481" w:type="dxa"/>
                  <w:vMerge w:val="continue"/>
                  <w:tcBorders>
                    <w:left w:val="single" w:color="auto" w:sz="4" w:space="0"/>
                    <w:right w:val="single" w:color="auto" w:sz="4" w:space="0"/>
                  </w:tcBorders>
                  <w:vAlign w:val="center"/>
                </w:tcPr>
                <w:p w14:paraId="230862B1">
                  <w:pPr>
                    <w:keepNext w:val="0"/>
                    <w:keepLines w:val="0"/>
                    <w:suppressLineNumbers w:val="0"/>
                    <w:snapToGrid w:val="0"/>
                    <w:spacing w:before="0" w:beforeAutospacing="0" w:after="0" w:afterAutospacing="0" w:line="264" w:lineRule="auto"/>
                    <w:ind w:left="0" w:right="0"/>
                    <w:jc w:val="center"/>
                    <w:rPr>
                      <w:rFonts w:hint="default" w:ascii="Times New Roman" w:hAnsi="Times New Roman" w:eastAsia="宋体" w:cs="Times New Roman"/>
                      <w:kern w:val="0"/>
                      <w:sz w:val="18"/>
                      <w:szCs w:val="18"/>
                      <w:highlight w:val="none"/>
                    </w:rPr>
                  </w:pPr>
                </w:p>
              </w:tc>
            </w:tr>
            <w:tr w14:paraId="4C0DB4B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jc w:val="center"/>
              </w:trPr>
              <w:tc>
                <w:tcPr>
                  <w:tcW w:w="580" w:type="dxa"/>
                  <w:vMerge w:val="continue"/>
                  <w:tcBorders>
                    <w:left w:val="single" w:color="auto" w:sz="4" w:space="0"/>
                    <w:right w:val="single" w:color="auto" w:sz="4" w:space="0"/>
                  </w:tcBorders>
                  <w:vAlign w:val="center"/>
                </w:tcPr>
                <w:p w14:paraId="36CD5B05">
                  <w:pPr>
                    <w:keepNext w:val="0"/>
                    <w:keepLines w:val="0"/>
                    <w:widowControl/>
                    <w:suppressLineNumbers w:val="0"/>
                    <w:adjustRightInd w:val="0"/>
                    <w:snapToGrid w:val="0"/>
                    <w:spacing w:before="0" w:beforeAutospacing="0" w:after="0" w:afterAutospacing="0" w:line="264" w:lineRule="auto"/>
                    <w:ind w:left="0" w:right="0"/>
                    <w:jc w:val="center"/>
                    <w:rPr>
                      <w:rFonts w:hint="default" w:ascii="Times New Roman" w:hAnsi="Times New Roman" w:eastAsia="宋体" w:cs="Times New Roman"/>
                      <w:snapToGrid w:val="0"/>
                      <w:sz w:val="18"/>
                      <w:szCs w:val="18"/>
                      <w:highlight w:val="none"/>
                    </w:rPr>
                  </w:pPr>
                </w:p>
              </w:tc>
              <w:tc>
                <w:tcPr>
                  <w:tcW w:w="423" w:type="dxa"/>
                  <w:vMerge w:val="continue"/>
                  <w:tcBorders>
                    <w:left w:val="single" w:color="auto" w:sz="4" w:space="0"/>
                    <w:right w:val="single" w:color="auto" w:sz="4" w:space="0"/>
                  </w:tcBorders>
                  <w:vAlign w:val="center"/>
                </w:tcPr>
                <w:p w14:paraId="507A7059">
                  <w:pPr>
                    <w:keepNext w:val="0"/>
                    <w:keepLines w:val="0"/>
                    <w:widowControl/>
                    <w:suppressLineNumbers w:val="0"/>
                    <w:adjustRightInd w:val="0"/>
                    <w:snapToGrid w:val="0"/>
                    <w:spacing w:before="0" w:beforeAutospacing="0" w:after="0" w:afterAutospacing="0" w:line="264" w:lineRule="auto"/>
                    <w:ind w:left="0" w:right="0"/>
                    <w:jc w:val="center"/>
                    <w:rPr>
                      <w:rFonts w:hint="default" w:ascii="Times New Roman" w:hAnsi="Times New Roman" w:eastAsia="宋体" w:cs="Times New Roman"/>
                      <w:snapToGrid w:val="0"/>
                      <w:sz w:val="18"/>
                      <w:szCs w:val="18"/>
                      <w:highlight w:val="none"/>
                    </w:rPr>
                  </w:pPr>
                </w:p>
              </w:tc>
              <w:tc>
                <w:tcPr>
                  <w:tcW w:w="1031" w:type="dxa"/>
                  <w:vMerge w:val="restart"/>
                  <w:tcBorders>
                    <w:left w:val="single" w:color="auto" w:sz="4" w:space="0"/>
                    <w:right w:val="single" w:color="auto" w:sz="4" w:space="0"/>
                  </w:tcBorders>
                  <w:vAlign w:val="center"/>
                </w:tcPr>
                <w:p w14:paraId="533FA703">
                  <w:pPr>
                    <w:keepNext w:val="0"/>
                    <w:keepLines w:val="0"/>
                    <w:widowControl/>
                    <w:suppressLineNumbers w:val="0"/>
                    <w:adjustRightInd w:val="0"/>
                    <w:snapToGrid w:val="0"/>
                    <w:spacing w:before="0" w:beforeAutospacing="0" w:after="0" w:afterAutospacing="0" w:line="264" w:lineRule="auto"/>
                    <w:ind w:left="0" w:right="0"/>
                    <w:jc w:val="center"/>
                    <w:rPr>
                      <w:rFonts w:hint="default" w:ascii="Times New Roman" w:hAnsi="Times New Roman" w:eastAsia="宋体" w:cs="Times New Roman"/>
                      <w:snapToGrid w:val="0"/>
                      <w:sz w:val="18"/>
                      <w:szCs w:val="18"/>
                      <w:highlight w:val="none"/>
                      <w:lang w:val="en-US" w:eastAsia="zh-CN"/>
                    </w:rPr>
                  </w:pPr>
                  <w:r>
                    <w:rPr>
                      <w:rFonts w:hint="eastAsia" w:ascii="Times New Roman" w:hAnsi="Times New Roman" w:eastAsia="宋体" w:cs="Times New Roman"/>
                      <w:snapToGrid w:val="0"/>
                      <w:sz w:val="18"/>
                      <w:szCs w:val="18"/>
                      <w:highlight w:val="none"/>
                      <w:lang w:val="en-US" w:eastAsia="zh-CN"/>
                    </w:rPr>
                    <w:t>饲养间清洗废水、洗笼及动物洗烘废水、实验室设备清洗废水、手术台废水、废气喷淋废水</w:t>
                  </w:r>
                  <w:r>
                    <w:rPr>
                      <w:rFonts w:hint="eastAsia" w:cs="Times New Roman"/>
                      <w:snapToGrid w:val="0"/>
                      <w:sz w:val="18"/>
                      <w:szCs w:val="18"/>
                      <w:highlight w:val="none"/>
                      <w:lang w:val="en-US" w:eastAsia="zh-CN"/>
                    </w:rPr>
                    <w:t>、动物尿液</w:t>
                  </w:r>
                </w:p>
              </w:tc>
              <w:tc>
                <w:tcPr>
                  <w:tcW w:w="595" w:type="dxa"/>
                  <w:tcBorders>
                    <w:top w:val="single" w:color="auto" w:sz="4" w:space="0"/>
                    <w:left w:val="single" w:color="auto" w:sz="4" w:space="0"/>
                    <w:bottom w:val="single" w:color="auto" w:sz="4" w:space="0"/>
                    <w:right w:val="single" w:color="auto" w:sz="4" w:space="0"/>
                  </w:tcBorders>
                  <w:vAlign w:val="center"/>
                </w:tcPr>
                <w:p w14:paraId="35301F46">
                  <w:pPr>
                    <w:keepNext w:val="0"/>
                    <w:keepLines w:val="0"/>
                    <w:widowControl/>
                    <w:suppressLineNumbers w:val="0"/>
                    <w:adjustRightInd w:val="0"/>
                    <w:snapToGrid w:val="0"/>
                    <w:spacing w:before="0" w:beforeAutospacing="0" w:after="0" w:afterAutospacing="0" w:line="264" w:lineRule="auto"/>
                    <w:ind w:left="0" w:right="0"/>
                    <w:jc w:val="center"/>
                    <w:rPr>
                      <w:rFonts w:hint="default" w:ascii="Times New Roman" w:hAnsi="Times New Roman" w:eastAsia="宋体" w:cs="Times New Roman"/>
                      <w:snapToGrid w:val="0"/>
                      <w:sz w:val="18"/>
                      <w:szCs w:val="18"/>
                      <w:highlight w:val="none"/>
                    </w:rPr>
                  </w:pPr>
                  <w:r>
                    <w:rPr>
                      <w:rFonts w:hint="default" w:ascii="Times New Roman" w:hAnsi="Times New Roman" w:eastAsia="宋体" w:cs="Times New Roman"/>
                      <w:snapToGrid w:val="0"/>
                      <w:sz w:val="18"/>
                      <w:szCs w:val="18"/>
                      <w:highlight w:val="none"/>
                    </w:rPr>
                    <w:t>COD</w:t>
                  </w:r>
                  <w:r>
                    <w:rPr>
                      <w:rFonts w:hint="default" w:ascii="Times New Roman" w:hAnsi="Times New Roman" w:eastAsia="宋体" w:cs="Times New Roman"/>
                      <w:snapToGrid w:val="0"/>
                      <w:sz w:val="18"/>
                      <w:szCs w:val="18"/>
                      <w:highlight w:val="none"/>
                      <w:vertAlign w:val="subscript"/>
                    </w:rPr>
                    <w:t>Cr</w:t>
                  </w:r>
                </w:p>
              </w:tc>
              <w:tc>
                <w:tcPr>
                  <w:tcW w:w="609" w:type="dxa"/>
                  <w:vMerge w:val="restart"/>
                  <w:tcBorders>
                    <w:left w:val="single" w:color="auto" w:sz="4" w:space="0"/>
                    <w:right w:val="single" w:color="auto" w:sz="4" w:space="0"/>
                  </w:tcBorders>
                  <w:vAlign w:val="center"/>
                </w:tcPr>
                <w:p w14:paraId="03CD158C">
                  <w:pPr>
                    <w:keepNext w:val="0"/>
                    <w:keepLines w:val="0"/>
                    <w:suppressLineNumbers w:val="0"/>
                    <w:snapToGrid w:val="0"/>
                    <w:spacing w:before="0" w:beforeAutospacing="0" w:after="0" w:afterAutospacing="0" w:line="264" w:lineRule="auto"/>
                    <w:ind w:left="0" w:right="0"/>
                    <w:jc w:val="center"/>
                    <w:rPr>
                      <w:rFonts w:hint="default" w:ascii="Times New Roman" w:hAnsi="Times New Roman" w:eastAsia="宋体" w:cs="Times New Roman"/>
                      <w:sz w:val="18"/>
                      <w:szCs w:val="18"/>
                      <w:highlight w:val="none"/>
                      <w:lang w:val="en-US" w:eastAsia="zh-CN"/>
                    </w:rPr>
                  </w:pPr>
                  <w:r>
                    <w:rPr>
                      <w:rFonts w:hint="eastAsia" w:ascii="Times New Roman" w:hAnsi="Times New Roman" w:eastAsia="宋体" w:cs="Times New Roman"/>
                      <w:sz w:val="18"/>
                      <w:szCs w:val="18"/>
                      <w:highlight w:val="none"/>
                      <w:lang w:val="en-US" w:eastAsia="zh-CN"/>
                    </w:rPr>
                    <w:t>5</w:t>
                  </w:r>
                  <w:r>
                    <w:rPr>
                      <w:rFonts w:hint="eastAsia" w:cs="Times New Roman"/>
                      <w:sz w:val="18"/>
                      <w:szCs w:val="18"/>
                      <w:highlight w:val="none"/>
                      <w:lang w:val="en-US" w:eastAsia="zh-CN"/>
                    </w:rPr>
                    <w:t>860</w:t>
                  </w:r>
                  <w:r>
                    <w:rPr>
                      <w:rFonts w:hint="eastAsia" w:ascii="Times New Roman" w:hAnsi="Times New Roman" w:eastAsia="宋体" w:cs="Times New Roman"/>
                      <w:sz w:val="18"/>
                      <w:szCs w:val="18"/>
                      <w:highlight w:val="none"/>
                      <w:lang w:val="en-US" w:eastAsia="zh-CN"/>
                    </w:rPr>
                    <w:t>.</w:t>
                  </w:r>
                  <w:r>
                    <w:rPr>
                      <w:rFonts w:hint="eastAsia" w:cs="Times New Roman"/>
                      <w:sz w:val="18"/>
                      <w:szCs w:val="18"/>
                      <w:highlight w:val="none"/>
                      <w:lang w:val="en-US" w:eastAsia="zh-CN"/>
                    </w:rPr>
                    <w:t>5</w:t>
                  </w:r>
                </w:p>
              </w:tc>
              <w:tc>
                <w:tcPr>
                  <w:tcW w:w="699" w:type="dxa"/>
                  <w:tcBorders>
                    <w:top w:val="single" w:color="auto" w:sz="4" w:space="0"/>
                    <w:left w:val="single" w:color="auto" w:sz="4" w:space="0"/>
                    <w:bottom w:val="single" w:color="auto" w:sz="4" w:space="0"/>
                    <w:right w:val="single" w:color="auto" w:sz="4" w:space="0"/>
                  </w:tcBorders>
                  <w:vAlign w:val="center"/>
                </w:tcPr>
                <w:p w14:paraId="648D5289">
                  <w:pPr>
                    <w:keepNext w:val="0"/>
                    <w:keepLines w:val="0"/>
                    <w:widowControl/>
                    <w:suppressLineNumbers w:val="0"/>
                    <w:snapToGrid w:val="0"/>
                    <w:spacing w:before="0" w:beforeAutospacing="0" w:after="0" w:afterAutospacing="0" w:line="264" w:lineRule="auto"/>
                    <w:ind w:left="0" w:right="0"/>
                    <w:jc w:val="center"/>
                    <w:rPr>
                      <w:rFonts w:hint="eastAsia" w:ascii="Times New Roman" w:hAnsi="Times New Roman" w:eastAsia="宋体" w:cs="Times New Roman"/>
                      <w:kern w:val="0"/>
                      <w:sz w:val="18"/>
                      <w:szCs w:val="18"/>
                      <w:highlight w:val="none"/>
                      <w:lang w:val="en-US" w:eastAsia="zh-CN"/>
                    </w:rPr>
                  </w:pPr>
                  <w:r>
                    <w:rPr>
                      <w:rFonts w:hint="default" w:ascii="Times New Roman" w:hAnsi="Times New Roman" w:eastAsia="宋体" w:cs="Times New Roman"/>
                      <w:kern w:val="0"/>
                      <w:sz w:val="18"/>
                      <w:szCs w:val="18"/>
                      <w:highlight w:val="none"/>
                      <w:lang w:val="en-US" w:eastAsia="zh-CN"/>
                    </w:rPr>
                    <w:t>1000</w:t>
                  </w:r>
                </w:p>
              </w:tc>
              <w:tc>
                <w:tcPr>
                  <w:tcW w:w="777" w:type="dxa"/>
                  <w:tcBorders>
                    <w:top w:val="single" w:color="auto" w:sz="4" w:space="0"/>
                    <w:left w:val="single" w:color="auto" w:sz="4" w:space="0"/>
                    <w:bottom w:val="single" w:color="auto" w:sz="4" w:space="0"/>
                    <w:right w:val="single" w:color="auto" w:sz="4" w:space="0"/>
                  </w:tcBorders>
                  <w:vAlign w:val="center"/>
                </w:tcPr>
                <w:p w14:paraId="43D5BE02">
                  <w:pPr>
                    <w:keepNext w:val="0"/>
                    <w:keepLines w:val="0"/>
                    <w:widowControl/>
                    <w:suppressLineNumbers w:val="0"/>
                    <w:snapToGrid w:val="0"/>
                    <w:spacing w:before="0" w:beforeAutospacing="0" w:after="0" w:afterAutospacing="0" w:line="264" w:lineRule="auto"/>
                    <w:ind w:left="0" w:right="0"/>
                    <w:jc w:val="center"/>
                    <w:rPr>
                      <w:rFonts w:hint="eastAsia" w:ascii="Times New Roman" w:hAnsi="Times New Roman" w:eastAsia="宋体" w:cs="Times New Roman"/>
                      <w:kern w:val="0"/>
                      <w:sz w:val="18"/>
                      <w:szCs w:val="18"/>
                      <w:highlight w:val="none"/>
                      <w:lang w:val="en-US" w:eastAsia="zh-CN"/>
                    </w:rPr>
                  </w:pPr>
                  <w:r>
                    <w:rPr>
                      <w:rFonts w:hint="eastAsia" w:ascii="Times New Roman" w:hAnsi="Times New Roman" w:eastAsia="宋体" w:cs="Times New Roman"/>
                      <w:kern w:val="0"/>
                      <w:sz w:val="18"/>
                      <w:szCs w:val="18"/>
                      <w:highlight w:val="none"/>
                      <w:lang w:val="en-US" w:eastAsia="zh-CN"/>
                    </w:rPr>
                    <w:t xml:space="preserve">5.861 </w:t>
                  </w:r>
                </w:p>
              </w:tc>
              <w:tc>
                <w:tcPr>
                  <w:tcW w:w="630" w:type="dxa"/>
                  <w:vMerge w:val="continue"/>
                  <w:tcBorders>
                    <w:left w:val="single" w:color="auto" w:sz="4" w:space="0"/>
                    <w:right w:val="single" w:color="auto" w:sz="4" w:space="0"/>
                  </w:tcBorders>
                  <w:vAlign w:val="center"/>
                </w:tcPr>
                <w:p w14:paraId="61E41F61">
                  <w:pPr>
                    <w:keepNext w:val="0"/>
                    <w:keepLines w:val="0"/>
                    <w:widowControl/>
                    <w:suppressLineNumbers w:val="0"/>
                    <w:snapToGrid w:val="0"/>
                    <w:spacing w:before="0" w:beforeAutospacing="0" w:after="0" w:afterAutospacing="0" w:line="264" w:lineRule="auto"/>
                    <w:ind w:left="0" w:right="0"/>
                    <w:jc w:val="center"/>
                    <w:rPr>
                      <w:rFonts w:hint="eastAsia" w:ascii="Times New Roman" w:hAnsi="Times New Roman" w:eastAsia="宋体" w:cs="Times New Roman"/>
                      <w:kern w:val="0"/>
                      <w:sz w:val="18"/>
                      <w:szCs w:val="18"/>
                      <w:highlight w:val="none"/>
                      <w:lang w:val="en-US" w:eastAsia="zh-CN"/>
                    </w:rPr>
                  </w:pPr>
                </w:p>
              </w:tc>
              <w:tc>
                <w:tcPr>
                  <w:tcW w:w="477" w:type="dxa"/>
                  <w:tcBorders>
                    <w:left w:val="single" w:color="auto" w:sz="4" w:space="0"/>
                    <w:right w:val="single" w:color="auto" w:sz="4" w:space="0"/>
                  </w:tcBorders>
                  <w:vAlign w:val="center"/>
                </w:tcPr>
                <w:p w14:paraId="5F39990E">
                  <w:pPr>
                    <w:keepNext w:val="0"/>
                    <w:keepLines w:val="0"/>
                    <w:suppressLineNumbers w:val="0"/>
                    <w:snapToGrid w:val="0"/>
                    <w:spacing w:before="0" w:beforeAutospacing="0" w:after="0" w:afterAutospacing="0" w:line="264" w:lineRule="auto"/>
                    <w:ind w:left="0" w:right="0"/>
                    <w:jc w:val="center"/>
                    <w:rPr>
                      <w:rFonts w:hint="default" w:ascii="Times New Roman" w:hAnsi="Times New Roman" w:eastAsia="宋体" w:cs="Times New Roman"/>
                      <w:kern w:val="0"/>
                      <w:sz w:val="18"/>
                      <w:szCs w:val="18"/>
                      <w:highlight w:val="none"/>
                    </w:rPr>
                  </w:pPr>
                  <w:r>
                    <w:rPr>
                      <w:rFonts w:hint="eastAsia"/>
                      <w:bCs/>
                      <w:snapToGrid w:val="0"/>
                      <w:sz w:val="18"/>
                      <w:szCs w:val="18"/>
                      <w:highlight w:val="none"/>
                      <w:lang w:val="en-US" w:eastAsia="zh-CN"/>
                    </w:rPr>
                    <w:t>75</w:t>
                  </w:r>
                </w:p>
              </w:tc>
              <w:tc>
                <w:tcPr>
                  <w:tcW w:w="611" w:type="dxa"/>
                  <w:vMerge w:val="restart"/>
                  <w:tcBorders>
                    <w:left w:val="single" w:color="auto" w:sz="4" w:space="0"/>
                    <w:right w:val="single" w:color="auto" w:sz="4" w:space="0"/>
                  </w:tcBorders>
                  <w:vAlign w:val="center"/>
                </w:tcPr>
                <w:p w14:paraId="791EDABB">
                  <w:pPr>
                    <w:keepNext w:val="0"/>
                    <w:keepLines w:val="0"/>
                    <w:suppressLineNumbers w:val="0"/>
                    <w:snapToGrid w:val="0"/>
                    <w:spacing w:before="0" w:beforeAutospacing="0" w:after="0" w:afterAutospacing="0" w:line="264" w:lineRule="auto"/>
                    <w:ind w:left="0" w:right="0"/>
                    <w:jc w:val="center"/>
                    <w:rPr>
                      <w:rFonts w:hint="default" w:ascii="Times New Roman" w:hAnsi="Times New Roman" w:eastAsia="宋体" w:cs="Times New Roman"/>
                      <w:kern w:val="0"/>
                      <w:sz w:val="18"/>
                      <w:szCs w:val="18"/>
                      <w:highlight w:val="none"/>
                    </w:rPr>
                  </w:pPr>
                  <w:r>
                    <w:rPr>
                      <w:rFonts w:hint="eastAsia" w:ascii="Times New Roman" w:hAnsi="Times New Roman" w:eastAsia="宋体" w:cs="Times New Roman"/>
                      <w:sz w:val="18"/>
                      <w:szCs w:val="18"/>
                      <w:highlight w:val="none"/>
                      <w:lang w:val="en-US" w:eastAsia="zh-CN"/>
                    </w:rPr>
                    <w:t>5</w:t>
                  </w:r>
                  <w:r>
                    <w:rPr>
                      <w:rFonts w:hint="eastAsia" w:cs="Times New Roman"/>
                      <w:sz w:val="18"/>
                      <w:szCs w:val="18"/>
                      <w:highlight w:val="none"/>
                      <w:lang w:val="en-US" w:eastAsia="zh-CN"/>
                    </w:rPr>
                    <w:t>860</w:t>
                  </w:r>
                  <w:r>
                    <w:rPr>
                      <w:rFonts w:hint="eastAsia" w:ascii="Times New Roman" w:hAnsi="Times New Roman" w:eastAsia="宋体" w:cs="Times New Roman"/>
                      <w:sz w:val="18"/>
                      <w:szCs w:val="18"/>
                      <w:highlight w:val="none"/>
                      <w:lang w:val="en-US" w:eastAsia="zh-CN"/>
                    </w:rPr>
                    <w:t>.</w:t>
                  </w:r>
                  <w:r>
                    <w:rPr>
                      <w:rFonts w:hint="eastAsia" w:cs="Times New Roman"/>
                      <w:sz w:val="18"/>
                      <w:szCs w:val="18"/>
                      <w:highlight w:val="none"/>
                      <w:lang w:val="en-US" w:eastAsia="zh-CN"/>
                    </w:rPr>
                    <w:t>5</w:t>
                  </w:r>
                </w:p>
              </w:tc>
              <w:tc>
                <w:tcPr>
                  <w:tcW w:w="679" w:type="dxa"/>
                  <w:tcBorders>
                    <w:top w:val="single" w:color="auto" w:sz="4" w:space="0"/>
                    <w:left w:val="single" w:color="auto" w:sz="4" w:space="0"/>
                    <w:bottom w:val="single" w:color="auto" w:sz="4" w:space="0"/>
                    <w:right w:val="single" w:color="auto" w:sz="4" w:space="0"/>
                  </w:tcBorders>
                  <w:vAlign w:val="center"/>
                </w:tcPr>
                <w:p w14:paraId="11E95221">
                  <w:pPr>
                    <w:keepNext w:val="0"/>
                    <w:keepLines w:val="0"/>
                    <w:widowControl/>
                    <w:suppressLineNumbers w:val="0"/>
                    <w:snapToGrid w:val="0"/>
                    <w:spacing w:before="0" w:beforeAutospacing="0" w:after="0" w:afterAutospacing="0" w:line="264" w:lineRule="auto"/>
                    <w:ind w:left="0" w:right="0"/>
                    <w:jc w:val="center"/>
                    <w:rPr>
                      <w:rFonts w:hint="default" w:ascii="Times New Roman" w:hAnsi="Times New Roman" w:eastAsia="宋体" w:cs="Times New Roman"/>
                      <w:kern w:val="0"/>
                      <w:sz w:val="18"/>
                      <w:szCs w:val="18"/>
                      <w:highlight w:val="none"/>
                    </w:rPr>
                  </w:pPr>
                  <w:r>
                    <w:rPr>
                      <w:rFonts w:hint="eastAsia" w:ascii="Times New Roman" w:hAnsi="Times New Roman" w:eastAsia="宋体" w:cs="Times New Roman"/>
                      <w:kern w:val="0"/>
                      <w:sz w:val="18"/>
                      <w:szCs w:val="18"/>
                      <w:highlight w:val="none"/>
                      <w:lang w:val="en-US" w:eastAsia="zh-CN"/>
                    </w:rPr>
                    <w:t>250</w:t>
                  </w:r>
                </w:p>
              </w:tc>
              <w:tc>
                <w:tcPr>
                  <w:tcW w:w="723" w:type="dxa"/>
                  <w:tcBorders>
                    <w:top w:val="single" w:color="auto" w:sz="4" w:space="0"/>
                    <w:left w:val="single" w:color="auto" w:sz="4" w:space="0"/>
                    <w:bottom w:val="single" w:color="auto" w:sz="4" w:space="0"/>
                    <w:right w:val="single" w:color="auto" w:sz="4" w:space="0"/>
                  </w:tcBorders>
                  <w:vAlign w:val="center"/>
                </w:tcPr>
                <w:p w14:paraId="4E5C8C24">
                  <w:pPr>
                    <w:keepNext w:val="0"/>
                    <w:keepLines w:val="0"/>
                    <w:widowControl/>
                    <w:suppressLineNumbers w:val="0"/>
                    <w:snapToGrid w:val="0"/>
                    <w:spacing w:before="0" w:beforeAutospacing="0" w:after="0" w:afterAutospacing="0" w:line="264" w:lineRule="auto"/>
                    <w:ind w:left="0" w:right="0"/>
                    <w:jc w:val="center"/>
                    <w:rPr>
                      <w:rFonts w:hint="eastAsia" w:ascii="Times New Roman" w:hAnsi="Times New Roman" w:eastAsia="宋体" w:cs="Times New Roman"/>
                      <w:kern w:val="0"/>
                      <w:sz w:val="18"/>
                      <w:szCs w:val="18"/>
                      <w:highlight w:val="none"/>
                      <w:lang w:val="en-US" w:eastAsia="zh-CN"/>
                    </w:rPr>
                  </w:pPr>
                  <w:r>
                    <w:rPr>
                      <w:rFonts w:hint="eastAsia" w:ascii="Times New Roman" w:hAnsi="Times New Roman" w:eastAsia="宋体" w:cs="Times New Roman"/>
                      <w:kern w:val="0"/>
                      <w:sz w:val="18"/>
                      <w:szCs w:val="18"/>
                      <w:highlight w:val="none"/>
                      <w:lang w:val="en-US" w:eastAsia="zh-CN"/>
                    </w:rPr>
                    <w:t xml:space="preserve">1.465 </w:t>
                  </w:r>
                </w:p>
              </w:tc>
              <w:tc>
                <w:tcPr>
                  <w:tcW w:w="481" w:type="dxa"/>
                  <w:vMerge w:val="restart"/>
                  <w:tcBorders>
                    <w:left w:val="single" w:color="auto" w:sz="4" w:space="0"/>
                    <w:right w:val="single" w:color="auto" w:sz="4" w:space="0"/>
                  </w:tcBorders>
                  <w:vAlign w:val="center"/>
                </w:tcPr>
                <w:p w14:paraId="037E9269">
                  <w:pPr>
                    <w:keepNext w:val="0"/>
                    <w:keepLines w:val="0"/>
                    <w:suppressLineNumbers w:val="0"/>
                    <w:snapToGrid w:val="0"/>
                    <w:spacing w:before="0" w:beforeAutospacing="0" w:after="0" w:afterAutospacing="0" w:line="264" w:lineRule="auto"/>
                    <w:ind w:left="0" w:right="0"/>
                    <w:jc w:val="center"/>
                    <w:rPr>
                      <w:rFonts w:hint="default" w:ascii="Times New Roman" w:hAnsi="Times New Roman" w:eastAsia="宋体" w:cs="Times New Roman"/>
                      <w:kern w:val="0"/>
                      <w:sz w:val="18"/>
                      <w:szCs w:val="18"/>
                      <w:highlight w:val="none"/>
                      <w:lang w:val="en-US" w:eastAsia="zh-CN"/>
                    </w:rPr>
                  </w:pPr>
                  <w:r>
                    <w:rPr>
                      <w:rFonts w:hint="eastAsia" w:cs="Times New Roman"/>
                      <w:kern w:val="0"/>
                      <w:sz w:val="18"/>
                      <w:szCs w:val="18"/>
                      <w:highlight w:val="none"/>
                      <w:lang w:val="en-US" w:eastAsia="zh-CN"/>
                    </w:rPr>
                    <w:t>8760</w:t>
                  </w:r>
                </w:p>
              </w:tc>
            </w:tr>
            <w:tr w14:paraId="45DD9BF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jc w:val="center"/>
              </w:trPr>
              <w:tc>
                <w:tcPr>
                  <w:tcW w:w="580" w:type="dxa"/>
                  <w:vMerge w:val="continue"/>
                  <w:tcBorders>
                    <w:left w:val="single" w:color="auto" w:sz="4" w:space="0"/>
                    <w:right w:val="single" w:color="auto" w:sz="4" w:space="0"/>
                  </w:tcBorders>
                  <w:vAlign w:val="center"/>
                </w:tcPr>
                <w:p w14:paraId="0CFF431C">
                  <w:pPr>
                    <w:keepNext w:val="0"/>
                    <w:keepLines w:val="0"/>
                    <w:widowControl/>
                    <w:suppressLineNumbers w:val="0"/>
                    <w:adjustRightInd w:val="0"/>
                    <w:snapToGrid w:val="0"/>
                    <w:spacing w:before="0" w:beforeAutospacing="0" w:after="0" w:afterAutospacing="0" w:line="264" w:lineRule="auto"/>
                    <w:ind w:left="0" w:right="0"/>
                    <w:jc w:val="center"/>
                    <w:rPr>
                      <w:rFonts w:hint="default" w:ascii="Times New Roman" w:hAnsi="Times New Roman" w:eastAsia="宋体" w:cs="Times New Roman"/>
                      <w:snapToGrid w:val="0"/>
                      <w:sz w:val="18"/>
                      <w:szCs w:val="18"/>
                      <w:highlight w:val="none"/>
                    </w:rPr>
                  </w:pPr>
                </w:p>
              </w:tc>
              <w:tc>
                <w:tcPr>
                  <w:tcW w:w="423" w:type="dxa"/>
                  <w:vMerge w:val="continue"/>
                  <w:tcBorders>
                    <w:left w:val="single" w:color="auto" w:sz="4" w:space="0"/>
                    <w:right w:val="single" w:color="auto" w:sz="4" w:space="0"/>
                  </w:tcBorders>
                  <w:vAlign w:val="center"/>
                </w:tcPr>
                <w:p w14:paraId="520BF8DC">
                  <w:pPr>
                    <w:keepNext w:val="0"/>
                    <w:keepLines w:val="0"/>
                    <w:widowControl/>
                    <w:suppressLineNumbers w:val="0"/>
                    <w:adjustRightInd w:val="0"/>
                    <w:snapToGrid w:val="0"/>
                    <w:spacing w:before="0" w:beforeAutospacing="0" w:after="0" w:afterAutospacing="0" w:line="264" w:lineRule="auto"/>
                    <w:ind w:left="0" w:right="0"/>
                    <w:jc w:val="center"/>
                    <w:rPr>
                      <w:rFonts w:hint="default" w:ascii="Times New Roman" w:hAnsi="Times New Roman" w:eastAsia="宋体" w:cs="Times New Roman"/>
                      <w:snapToGrid w:val="0"/>
                      <w:sz w:val="18"/>
                      <w:szCs w:val="18"/>
                      <w:highlight w:val="none"/>
                    </w:rPr>
                  </w:pPr>
                </w:p>
              </w:tc>
              <w:tc>
                <w:tcPr>
                  <w:tcW w:w="1031" w:type="dxa"/>
                  <w:vMerge w:val="continue"/>
                  <w:tcBorders>
                    <w:left w:val="single" w:color="auto" w:sz="4" w:space="0"/>
                    <w:right w:val="single" w:color="auto" w:sz="4" w:space="0"/>
                  </w:tcBorders>
                  <w:vAlign w:val="center"/>
                </w:tcPr>
                <w:p w14:paraId="56936311">
                  <w:pPr>
                    <w:keepNext w:val="0"/>
                    <w:keepLines w:val="0"/>
                    <w:widowControl/>
                    <w:suppressLineNumbers w:val="0"/>
                    <w:adjustRightInd w:val="0"/>
                    <w:snapToGrid w:val="0"/>
                    <w:spacing w:before="0" w:beforeAutospacing="0" w:after="0" w:afterAutospacing="0" w:line="264" w:lineRule="auto"/>
                    <w:ind w:left="0" w:right="0"/>
                    <w:jc w:val="center"/>
                    <w:rPr>
                      <w:rFonts w:hint="eastAsia" w:ascii="Times New Roman" w:hAnsi="Times New Roman" w:eastAsia="宋体" w:cs="Times New Roman"/>
                      <w:snapToGrid w:val="0"/>
                      <w:sz w:val="18"/>
                      <w:szCs w:val="18"/>
                      <w:highlight w:val="none"/>
                      <w:lang w:val="en-US" w:eastAsia="zh-CN"/>
                    </w:rPr>
                  </w:pPr>
                </w:p>
              </w:tc>
              <w:tc>
                <w:tcPr>
                  <w:tcW w:w="595" w:type="dxa"/>
                  <w:tcBorders>
                    <w:top w:val="single" w:color="auto" w:sz="4" w:space="0"/>
                    <w:left w:val="single" w:color="auto" w:sz="4" w:space="0"/>
                    <w:bottom w:val="single" w:color="auto" w:sz="4" w:space="0"/>
                    <w:right w:val="single" w:color="auto" w:sz="4" w:space="0"/>
                  </w:tcBorders>
                  <w:vAlign w:val="center"/>
                </w:tcPr>
                <w:p w14:paraId="718DE594">
                  <w:pPr>
                    <w:keepNext w:val="0"/>
                    <w:keepLines w:val="0"/>
                    <w:widowControl/>
                    <w:suppressLineNumbers w:val="0"/>
                    <w:adjustRightInd w:val="0"/>
                    <w:snapToGrid w:val="0"/>
                    <w:spacing w:before="0" w:beforeAutospacing="0" w:after="0" w:afterAutospacing="0" w:line="264" w:lineRule="auto"/>
                    <w:ind w:left="0" w:right="0"/>
                    <w:jc w:val="center"/>
                    <w:rPr>
                      <w:rFonts w:hint="default" w:ascii="Times New Roman" w:hAnsi="Times New Roman" w:eastAsia="宋体" w:cs="Times New Roman"/>
                      <w:snapToGrid w:val="0"/>
                      <w:sz w:val="18"/>
                      <w:szCs w:val="18"/>
                      <w:highlight w:val="none"/>
                    </w:rPr>
                  </w:pPr>
                  <w:r>
                    <w:rPr>
                      <w:rFonts w:hint="default" w:ascii="Times New Roman" w:hAnsi="Times New Roman" w:eastAsia="宋体" w:cs="Times New Roman"/>
                      <w:snapToGrid w:val="0"/>
                      <w:sz w:val="18"/>
                      <w:szCs w:val="18"/>
                      <w:highlight w:val="none"/>
                    </w:rPr>
                    <w:t>NH</w:t>
                  </w:r>
                  <w:r>
                    <w:rPr>
                      <w:rFonts w:hint="default" w:ascii="Times New Roman" w:hAnsi="Times New Roman" w:eastAsia="宋体" w:cs="Times New Roman"/>
                      <w:snapToGrid w:val="0"/>
                      <w:sz w:val="18"/>
                      <w:szCs w:val="18"/>
                      <w:highlight w:val="none"/>
                      <w:vertAlign w:val="subscript"/>
                    </w:rPr>
                    <w:t>3</w:t>
                  </w:r>
                  <w:r>
                    <w:rPr>
                      <w:rFonts w:hint="default" w:ascii="Times New Roman" w:hAnsi="Times New Roman" w:eastAsia="宋体" w:cs="Times New Roman"/>
                      <w:snapToGrid w:val="0"/>
                      <w:sz w:val="18"/>
                      <w:szCs w:val="18"/>
                      <w:highlight w:val="none"/>
                    </w:rPr>
                    <w:t>-N</w:t>
                  </w:r>
                </w:p>
              </w:tc>
              <w:tc>
                <w:tcPr>
                  <w:tcW w:w="609" w:type="dxa"/>
                  <w:vMerge w:val="continue"/>
                  <w:tcBorders>
                    <w:left w:val="single" w:color="auto" w:sz="4" w:space="0"/>
                    <w:right w:val="single" w:color="auto" w:sz="4" w:space="0"/>
                  </w:tcBorders>
                  <w:vAlign w:val="center"/>
                </w:tcPr>
                <w:p w14:paraId="79632916">
                  <w:pPr>
                    <w:keepNext w:val="0"/>
                    <w:keepLines w:val="0"/>
                    <w:suppressLineNumbers w:val="0"/>
                    <w:snapToGrid w:val="0"/>
                    <w:spacing w:before="0" w:beforeAutospacing="0" w:after="0" w:afterAutospacing="0" w:line="264" w:lineRule="auto"/>
                    <w:ind w:left="0" w:right="0"/>
                    <w:jc w:val="center"/>
                    <w:rPr>
                      <w:rFonts w:hint="default" w:ascii="Times New Roman" w:hAnsi="Times New Roman" w:eastAsia="宋体" w:cs="Times New Roman"/>
                      <w:sz w:val="18"/>
                      <w:szCs w:val="18"/>
                      <w:highlight w:val="none"/>
                    </w:rPr>
                  </w:pPr>
                </w:p>
              </w:tc>
              <w:tc>
                <w:tcPr>
                  <w:tcW w:w="699" w:type="dxa"/>
                  <w:tcBorders>
                    <w:top w:val="single" w:color="auto" w:sz="4" w:space="0"/>
                    <w:left w:val="single" w:color="auto" w:sz="4" w:space="0"/>
                    <w:bottom w:val="single" w:color="auto" w:sz="4" w:space="0"/>
                    <w:right w:val="single" w:color="auto" w:sz="4" w:space="0"/>
                  </w:tcBorders>
                  <w:vAlign w:val="center"/>
                </w:tcPr>
                <w:p w14:paraId="1A84F74E">
                  <w:pPr>
                    <w:keepNext w:val="0"/>
                    <w:keepLines w:val="0"/>
                    <w:widowControl/>
                    <w:suppressLineNumbers w:val="0"/>
                    <w:snapToGrid w:val="0"/>
                    <w:spacing w:before="0" w:beforeAutospacing="0" w:after="0" w:afterAutospacing="0" w:line="264" w:lineRule="auto"/>
                    <w:ind w:left="0" w:right="0"/>
                    <w:jc w:val="center"/>
                    <w:rPr>
                      <w:rFonts w:hint="eastAsia" w:ascii="Times New Roman" w:hAnsi="Times New Roman" w:eastAsia="宋体" w:cs="Times New Roman"/>
                      <w:kern w:val="0"/>
                      <w:sz w:val="18"/>
                      <w:szCs w:val="18"/>
                      <w:highlight w:val="none"/>
                      <w:lang w:val="en-US" w:eastAsia="zh-CN"/>
                    </w:rPr>
                  </w:pPr>
                  <w:r>
                    <w:rPr>
                      <w:rFonts w:hint="default" w:ascii="Times New Roman" w:hAnsi="Times New Roman" w:eastAsia="宋体" w:cs="Times New Roman"/>
                      <w:kern w:val="0"/>
                      <w:sz w:val="18"/>
                      <w:szCs w:val="18"/>
                      <w:highlight w:val="none"/>
                      <w:lang w:val="en-US" w:eastAsia="zh-CN"/>
                    </w:rPr>
                    <w:t>50</w:t>
                  </w:r>
                </w:p>
              </w:tc>
              <w:tc>
                <w:tcPr>
                  <w:tcW w:w="777" w:type="dxa"/>
                  <w:tcBorders>
                    <w:top w:val="single" w:color="auto" w:sz="4" w:space="0"/>
                    <w:left w:val="single" w:color="auto" w:sz="4" w:space="0"/>
                    <w:bottom w:val="single" w:color="auto" w:sz="4" w:space="0"/>
                    <w:right w:val="single" w:color="auto" w:sz="4" w:space="0"/>
                  </w:tcBorders>
                  <w:vAlign w:val="center"/>
                </w:tcPr>
                <w:p w14:paraId="5EBF6CAD">
                  <w:pPr>
                    <w:keepNext w:val="0"/>
                    <w:keepLines w:val="0"/>
                    <w:widowControl/>
                    <w:suppressLineNumbers w:val="0"/>
                    <w:snapToGrid w:val="0"/>
                    <w:spacing w:before="0" w:beforeAutospacing="0" w:after="0" w:afterAutospacing="0" w:line="264" w:lineRule="auto"/>
                    <w:ind w:left="0" w:right="0"/>
                    <w:jc w:val="center"/>
                    <w:rPr>
                      <w:rFonts w:hint="eastAsia" w:ascii="Times New Roman" w:hAnsi="Times New Roman" w:eastAsia="宋体" w:cs="Times New Roman"/>
                      <w:kern w:val="0"/>
                      <w:sz w:val="18"/>
                      <w:szCs w:val="18"/>
                      <w:highlight w:val="none"/>
                      <w:lang w:val="en-US" w:eastAsia="zh-CN"/>
                    </w:rPr>
                  </w:pPr>
                  <w:r>
                    <w:rPr>
                      <w:rFonts w:hint="eastAsia" w:ascii="Times New Roman" w:hAnsi="Times New Roman" w:eastAsia="宋体" w:cs="Times New Roman"/>
                      <w:kern w:val="0"/>
                      <w:sz w:val="18"/>
                      <w:szCs w:val="18"/>
                      <w:highlight w:val="none"/>
                      <w:lang w:val="en-US" w:eastAsia="zh-CN"/>
                    </w:rPr>
                    <w:t xml:space="preserve">0.293 </w:t>
                  </w:r>
                </w:p>
              </w:tc>
              <w:tc>
                <w:tcPr>
                  <w:tcW w:w="630" w:type="dxa"/>
                  <w:vMerge w:val="continue"/>
                  <w:tcBorders>
                    <w:left w:val="single" w:color="auto" w:sz="4" w:space="0"/>
                    <w:right w:val="single" w:color="auto" w:sz="4" w:space="0"/>
                  </w:tcBorders>
                  <w:vAlign w:val="center"/>
                </w:tcPr>
                <w:p w14:paraId="4EE20C5F">
                  <w:pPr>
                    <w:keepNext w:val="0"/>
                    <w:keepLines w:val="0"/>
                    <w:widowControl/>
                    <w:suppressLineNumbers w:val="0"/>
                    <w:snapToGrid w:val="0"/>
                    <w:spacing w:before="0" w:beforeAutospacing="0" w:after="0" w:afterAutospacing="0" w:line="264" w:lineRule="auto"/>
                    <w:ind w:left="0" w:right="0"/>
                    <w:jc w:val="center"/>
                    <w:rPr>
                      <w:rFonts w:hint="eastAsia" w:ascii="Times New Roman" w:hAnsi="Times New Roman" w:eastAsia="宋体" w:cs="Times New Roman"/>
                      <w:kern w:val="0"/>
                      <w:sz w:val="18"/>
                      <w:szCs w:val="18"/>
                      <w:highlight w:val="none"/>
                      <w:lang w:val="en-US" w:eastAsia="zh-CN"/>
                    </w:rPr>
                  </w:pPr>
                </w:p>
              </w:tc>
              <w:tc>
                <w:tcPr>
                  <w:tcW w:w="477" w:type="dxa"/>
                  <w:tcBorders>
                    <w:left w:val="single" w:color="auto" w:sz="4" w:space="0"/>
                    <w:right w:val="single" w:color="auto" w:sz="4" w:space="0"/>
                  </w:tcBorders>
                  <w:vAlign w:val="center"/>
                </w:tcPr>
                <w:p w14:paraId="72F5BF0C">
                  <w:pPr>
                    <w:keepNext w:val="0"/>
                    <w:keepLines w:val="0"/>
                    <w:suppressLineNumbers w:val="0"/>
                    <w:snapToGrid w:val="0"/>
                    <w:spacing w:before="0" w:beforeAutospacing="0" w:after="0" w:afterAutospacing="0" w:line="264" w:lineRule="auto"/>
                    <w:ind w:left="0" w:right="0"/>
                    <w:jc w:val="center"/>
                    <w:rPr>
                      <w:rFonts w:hint="default" w:ascii="Times New Roman" w:hAnsi="Times New Roman" w:eastAsia="宋体" w:cs="Times New Roman"/>
                      <w:kern w:val="0"/>
                      <w:sz w:val="18"/>
                      <w:szCs w:val="18"/>
                      <w:highlight w:val="none"/>
                    </w:rPr>
                  </w:pPr>
                  <w:r>
                    <w:rPr>
                      <w:rFonts w:hint="eastAsia"/>
                      <w:bCs/>
                      <w:snapToGrid w:val="0"/>
                      <w:sz w:val="18"/>
                      <w:szCs w:val="18"/>
                      <w:highlight w:val="none"/>
                      <w:lang w:val="en-US" w:eastAsia="zh-CN"/>
                    </w:rPr>
                    <w:t>50</w:t>
                  </w:r>
                </w:p>
              </w:tc>
              <w:tc>
                <w:tcPr>
                  <w:tcW w:w="611" w:type="dxa"/>
                  <w:vMerge w:val="continue"/>
                  <w:tcBorders>
                    <w:left w:val="single" w:color="auto" w:sz="4" w:space="0"/>
                    <w:right w:val="single" w:color="auto" w:sz="4" w:space="0"/>
                  </w:tcBorders>
                  <w:vAlign w:val="center"/>
                </w:tcPr>
                <w:p w14:paraId="2E2D0BD5">
                  <w:pPr>
                    <w:keepNext w:val="0"/>
                    <w:keepLines w:val="0"/>
                    <w:suppressLineNumbers w:val="0"/>
                    <w:snapToGrid w:val="0"/>
                    <w:spacing w:before="0" w:beforeAutospacing="0" w:after="0" w:afterAutospacing="0" w:line="264" w:lineRule="auto"/>
                    <w:ind w:left="0" w:right="0"/>
                    <w:jc w:val="center"/>
                    <w:rPr>
                      <w:rFonts w:hint="default" w:ascii="Times New Roman" w:hAnsi="Times New Roman" w:eastAsia="宋体" w:cs="Times New Roman"/>
                      <w:kern w:val="0"/>
                      <w:sz w:val="18"/>
                      <w:szCs w:val="18"/>
                      <w:highlight w:val="none"/>
                    </w:rPr>
                  </w:pPr>
                </w:p>
              </w:tc>
              <w:tc>
                <w:tcPr>
                  <w:tcW w:w="679" w:type="dxa"/>
                  <w:tcBorders>
                    <w:top w:val="single" w:color="auto" w:sz="4" w:space="0"/>
                    <w:left w:val="single" w:color="auto" w:sz="4" w:space="0"/>
                    <w:bottom w:val="single" w:color="auto" w:sz="4" w:space="0"/>
                    <w:right w:val="single" w:color="auto" w:sz="4" w:space="0"/>
                  </w:tcBorders>
                  <w:vAlign w:val="center"/>
                </w:tcPr>
                <w:p w14:paraId="2C4ADEAF">
                  <w:pPr>
                    <w:keepNext w:val="0"/>
                    <w:keepLines w:val="0"/>
                    <w:widowControl/>
                    <w:suppressLineNumbers w:val="0"/>
                    <w:snapToGrid w:val="0"/>
                    <w:spacing w:before="0" w:beforeAutospacing="0" w:after="0" w:afterAutospacing="0" w:line="264" w:lineRule="auto"/>
                    <w:ind w:left="0" w:right="0"/>
                    <w:jc w:val="center"/>
                    <w:rPr>
                      <w:rFonts w:hint="default" w:ascii="Times New Roman" w:hAnsi="Times New Roman" w:eastAsia="宋体" w:cs="Times New Roman"/>
                      <w:kern w:val="0"/>
                      <w:sz w:val="18"/>
                      <w:szCs w:val="18"/>
                      <w:highlight w:val="none"/>
                    </w:rPr>
                  </w:pPr>
                  <w:r>
                    <w:rPr>
                      <w:rFonts w:hint="eastAsia" w:ascii="Times New Roman" w:hAnsi="Times New Roman" w:eastAsia="宋体" w:cs="Times New Roman"/>
                      <w:kern w:val="0"/>
                      <w:sz w:val="18"/>
                      <w:szCs w:val="18"/>
                      <w:highlight w:val="none"/>
                      <w:lang w:val="en-US" w:eastAsia="zh-CN"/>
                    </w:rPr>
                    <w:t>25</w:t>
                  </w:r>
                </w:p>
              </w:tc>
              <w:tc>
                <w:tcPr>
                  <w:tcW w:w="723" w:type="dxa"/>
                  <w:tcBorders>
                    <w:top w:val="single" w:color="auto" w:sz="4" w:space="0"/>
                    <w:left w:val="single" w:color="auto" w:sz="4" w:space="0"/>
                    <w:bottom w:val="single" w:color="auto" w:sz="4" w:space="0"/>
                    <w:right w:val="single" w:color="auto" w:sz="4" w:space="0"/>
                  </w:tcBorders>
                  <w:vAlign w:val="center"/>
                </w:tcPr>
                <w:p w14:paraId="730E3F0A">
                  <w:pPr>
                    <w:keepNext w:val="0"/>
                    <w:keepLines w:val="0"/>
                    <w:widowControl/>
                    <w:suppressLineNumbers w:val="0"/>
                    <w:snapToGrid w:val="0"/>
                    <w:spacing w:before="0" w:beforeAutospacing="0" w:after="0" w:afterAutospacing="0" w:line="264" w:lineRule="auto"/>
                    <w:ind w:left="0" w:right="0"/>
                    <w:jc w:val="center"/>
                    <w:rPr>
                      <w:rFonts w:hint="eastAsia" w:ascii="Times New Roman" w:hAnsi="Times New Roman" w:eastAsia="宋体" w:cs="Times New Roman"/>
                      <w:kern w:val="0"/>
                      <w:sz w:val="18"/>
                      <w:szCs w:val="18"/>
                      <w:highlight w:val="none"/>
                      <w:lang w:val="en-US" w:eastAsia="zh-CN"/>
                    </w:rPr>
                  </w:pPr>
                  <w:r>
                    <w:rPr>
                      <w:rFonts w:hint="eastAsia" w:ascii="Times New Roman" w:hAnsi="Times New Roman" w:eastAsia="宋体" w:cs="Times New Roman"/>
                      <w:kern w:val="0"/>
                      <w:sz w:val="18"/>
                      <w:szCs w:val="18"/>
                      <w:highlight w:val="none"/>
                      <w:lang w:val="en-US" w:eastAsia="zh-CN"/>
                    </w:rPr>
                    <w:t xml:space="preserve">0.147 </w:t>
                  </w:r>
                </w:p>
              </w:tc>
              <w:tc>
                <w:tcPr>
                  <w:tcW w:w="481" w:type="dxa"/>
                  <w:vMerge w:val="continue"/>
                  <w:tcBorders>
                    <w:left w:val="single" w:color="auto" w:sz="4" w:space="0"/>
                    <w:right w:val="single" w:color="auto" w:sz="4" w:space="0"/>
                  </w:tcBorders>
                  <w:vAlign w:val="center"/>
                </w:tcPr>
                <w:p w14:paraId="6CCF4E04">
                  <w:pPr>
                    <w:keepNext w:val="0"/>
                    <w:keepLines w:val="0"/>
                    <w:suppressLineNumbers w:val="0"/>
                    <w:snapToGrid w:val="0"/>
                    <w:spacing w:before="0" w:beforeAutospacing="0" w:after="0" w:afterAutospacing="0" w:line="264" w:lineRule="auto"/>
                    <w:ind w:left="0" w:right="0"/>
                    <w:jc w:val="center"/>
                    <w:rPr>
                      <w:rFonts w:hint="default" w:ascii="Times New Roman" w:hAnsi="Times New Roman" w:eastAsia="宋体" w:cs="Times New Roman"/>
                      <w:kern w:val="0"/>
                      <w:sz w:val="18"/>
                      <w:szCs w:val="18"/>
                      <w:highlight w:val="none"/>
                    </w:rPr>
                  </w:pPr>
                </w:p>
              </w:tc>
            </w:tr>
            <w:tr w14:paraId="273A110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127" w:hRule="atLeast"/>
                <w:jc w:val="center"/>
              </w:trPr>
              <w:tc>
                <w:tcPr>
                  <w:tcW w:w="580" w:type="dxa"/>
                  <w:vMerge w:val="continue"/>
                  <w:tcBorders>
                    <w:left w:val="single" w:color="auto" w:sz="4" w:space="0"/>
                    <w:right w:val="single" w:color="auto" w:sz="4" w:space="0"/>
                  </w:tcBorders>
                  <w:vAlign w:val="center"/>
                </w:tcPr>
                <w:p w14:paraId="6B2EDD05">
                  <w:pPr>
                    <w:keepNext w:val="0"/>
                    <w:keepLines w:val="0"/>
                    <w:widowControl/>
                    <w:suppressLineNumbers w:val="0"/>
                    <w:adjustRightInd w:val="0"/>
                    <w:snapToGrid w:val="0"/>
                    <w:spacing w:before="0" w:beforeAutospacing="0" w:after="0" w:afterAutospacing="0" w:line="264" w:lineRule="auto"/>
                    <w:ind w:left="0" w:right="0"/>
                    <w:jc w:val="center"/>
                    <w:rPr>
                      <w:rFonts w:hint="default" w:ascii="Times New Roman" w:hAnsi="Times New Roman" w:eastAsia="宋体" w:cs="Times New Roman"/>
                      <w:snapToGrid w:val="0"/>
                      <w:sz w:val="18"/>
                      <w:szCs w:val="18"/>
                      <w:highlight w:val="none"/>
                    </w:rPr>
                  </w:pPr>
                </w:p>
              </w:tc>
              <w:tc>
                <w:tcPr>
                  <w:tcW w:w="423" w:type="dxa"/>
                  <w:vMerge w:val="continue"/>
                  <w:tcBorders>
                    <w:left w:val="single" w:color="auto" w:sz="4" w:space="0"/>
                    <w:right w:val="single" w:color="auto" w:sz="4" w:space="0"/>
                  </w:tcBorders>
                  <w:vAlign w:val="center"/>
                </w:tcPr>
                <w:p w14:paraId="18388D5A">
                  <w:pPr>
                    <w:keepNext w:val="0"/>
                    <w:keepLines w:val="0"/>
                    <w:widowControl/>
                    <w:suppressLineNumbers w:val="0"/>
                    <w:adjustRightInd w:val="0"/>
                    <w:snapToGrid w:val="0"/>
                    <w:spacing w:before="0" w:beforeAutospacing="0" w:after="0" w:afterAutospacing="0" w:line="264" w:lineRule="auto"/>
                    <w:ind w:left="0" w:right="0"/>
                    <w:jc w:val="center"/>
                    <w:rPr>
                      <w:rFonts w:hint="default" w:ascii="Times New Roman" w:hAnsi="Times New Roman" w:eastAsia="宋体" w:cs="Times New Roman"/>
                      <w:snapToGrid w:val="0"/>
                      <w:sz w:val="18"/>
                      <w:szCs w:val="18"/>
                      <w:highlight w:val="none"/>
                    </w:rPr>
                  </w:pPr>
                </w:p>
              </w:tc>
              <w:tc>
                <w:tcPr>
                  <w:tcW w:w="1031" w:type="dxa"/>
                  <w:vMerge w:val="continue"/>
                  <w:tcBorders>
                    <w:left w:val="single" w:color="auto" w:sz="4" w:space="0"/>
                    <w:right w:val="single" w:color="auto" w:sz="4" w:space="0"/>
                  </w:tcBorders>
                  <w:vAlign w:val="center"/>
                </w:tcPr>
                <w:p w14:paraId="596A8594">
                  <w:pPr>
                    <w:keepNext w:val="0"/>
                    <w:keepLines w:val="0"/>
                    <w:widowControl/>
                    <w:suppressLineNumbers w:val="0"/>
                    <w:adjustRightInd w:val="0"/>
                    <w:snapToGrid w:val="0"/>
                    <w:spacing w:before="0" w:beforeAutospacing="0" w:after="0" w:afterAutospacing="0" w:line="264" w:lineRule="auto"/>
                    <w:ind w:left="0" w:right="0"/>
                    <w:jc w:val="center"/>
                    <w:rPr>
                      <w:rFonts w:hint="eastAsia" w:ascii="Times New Roman" w:hAnsi="Times New Roman" w:eastAsia="宋体" w:cs="Times New Roman"/>
                      <w:snapToGrid w:val="0"/>
                      <w:sz w:val="18"/>
                      <w:szCs w:val="18"/>
                      <w:highlight w:val="none"/>
                      <w:lang w:val="en-US" w:eastAsia="zh-CN"/>
                    </w:rPr>
                  </w:pPr>
                </w:p>
              </w:tc>
              <w:tc>
                <w:tcPr>
                  <w:tcW w:w="595" w:type="dxa"/>
                  <w:tcBorders>
                    <w:top w:val="single" w:color="auto" w:sz="4" w:space="0"/>
                    <w:left w:val="single" w:color="auto" w:sz="4" w:space="0"/>
                    <w:bottom w:val="single" w:color="auto" w:sz="4" w:space="0"/>
                    <w:right w:val="single" w:color="auto" w:sz="4" w:space="0"/>
                  </w:tcBorders>
                  <w:vAlign w:val="center"/>
                </w:tcPr>
                <w:p w14:paraId="25E93A7E">
                  <w:pPr>
                    <w:keepNext w:val="0"/>
                    <w:keepLines w:val="0"/>
                    <w:widowControl/>
                    <w:suppressLineNumbers w:val="0"/>
                    <w:adjustRightInd w:val="0"/>
                    <w:snapToGrid w:val="0"/>
                    <w:spacing w:before="0" w:beforeAutospacing="0" w:after="0" w:afterAutospacing="0" w:line="264" w:lineRule="auto"/>
                    <w:ind w:left="0" w:right="0"/>
                    <w:jc w:val="center"/>
                    <w:rPr>
                      <w:rFonts w:hint="default" w:ascii="Times New Roman" w:hAnsi="Times New Roman" w:eastAsia="宋体" w:cs="Times New Roman"/>
                      <w:snapToGrid w:val="0"/>
                      <w:color w:val="auto"/>
                      <w:sz w:val="18"/>
                      <w:szCs w:val="18"/>
                      <w:highlight w:val="none"/>
                      <w:lang w:val="en-US" w:eastAsia="zh-CN"/>
                    </w:rPr>
                  </w:pPr>
                  <w:r>
                    <w:rPr>
                      <w:rFonts w:hint="eastAsia" w:cs="Times New Roman"/>
                      <w:snapToGrid w:val="0"/>
                      <w:color w:val="auto"/>
                      <w:sz w:val="18"/>
                      <w:szCs w:val="18"/>
                      <w:highlight w:val="none"/>
                      <w:lang w:val="en-US" w:eastAsia="zh-CN"/>
                    </w:rPr>
                    <w:t>TP</w:t>
                  </w:r>
                </w:p>
              </w:tc>
              <w:tc>
                <w:tcPr>
                  <w:tcW w:w="609" w:type="dxa"/>
                  <w:vMerge w:val="continue"/>
                  <w:tcBorders>
                    <w:left w:val="single" w:color="auto" w:sz="4" w:space="0"/>
                    <w:right w:val="single" w:color="auto" w:sz="4" w:space="0"/>
                  </w:tcBorders>
                  <w:vAlign w:val="center"/>
                </w:tcPr>
                <w:p w14:paraId="124625D1">
                  <w:pPr>
                    <w:keepNext w:val="0"/>
                    <w:keepLines w:val="0"/>
                    <w:suppressLineNumbers w:val="0"/>
                    <w:snapToGrid w:val="0"/>
                    <w:spacing w:before="0" w:beforeAutospacing="0" w:after="0" w:afterAutospacing="0" w:line="264" w:lineRule="auto"/>
                    <w:ind w:left="0" w:right="0"/>
                    <w:jc w:val="center"/>
                    <w:rPr>
                      <w:rFonts w:hint="default" w:ascii="Times New Roman" w:hAnsi="Times New Roman" w:eastAsia="宋体" w:cs="Times New Roman"/>
                      <w:color w:val="auto"/>
                      <w:sz w:val="18"/>
                      <w:szCs w:val="18"/>
                      <w:highlight w:val="none"/>
                    </w:rPr>
                  </w:pPr>
                </w:p>
              </w:tc>
              <w:tc>
                <w:tcPr>
                  <w:tcW w:w="699" w:type="dxa"/>
                  <w:tcBorders>
                    <w:top w:val="single" w:color="auto" w:sz="4" w:space="0"/>
                    <w:left w:val="single" w:color="auto" w:sz="4" w:space="0"/>
                    <w:bottom w:val="single" w:color="auto" w:sz="4" w:space="0"/>
                    <w:right w:val="single" w:color="auto" w:sz="4" w:space="0"/>
                  </w:tcBorders>
                  <w:vAlign w:val="center"/>
                </w:tcPr>
                <w:p w14:paraId="787E0F5D">
                  <w:pPr>
                    <w:keepNext w:val="0"/>
                    <w:keepLines w:val="0"/>
                    <w:widowControl/>
                    <w:suppressLineNumbers w:val="0"/>
                    <w:snapToGrid w:val="0"/>
                    <w:spacing w:before="0" w:beforeAutospacing="0" w:after="0" w:afterAutospacing="0" w:line="264" w:lineRule="auto"/>
                    <w:ind w:left="0" w:right="0"/>
                    <w:jc w:val="center"/>
                    <w:rPr>
                      <w:rFonts w:hint="default" w:ascii="Times New Roman" w:hAnsi="Times New Roman" w:eastAsia="宋体" w:cs="Times New Roman"/>
                      <w:color w:val="auto"/>
                      <w:kern w:val="0"/>
                      <w:sz w:val="18"/>
                      <w:szCs w:val="18"/>
                      <w:highlight w:val="none"/>
                      <w:lang w:val="en-US" w:eastAsia="zh-CN"/>
                    </w:rPr>
                  </w:pPr>
                  <w:r>
                    <w:rPr>
                      <w:rFonts w:hint="eastAsia" w:cs="Times New Roman"/>
                      <w:color w:val="auto"/>
                      <w:kern w:val="0"/>
                      <w:sz w:val="18"/>
                      <w:szCs w:val="18"/>
                      <w:highlight w:val="none"/>
                      <w:lang w:val="en-US" w:eastAsia="zh-CN"/>
                    </w:rPr>
                    <w:t>10</w:t>
                  </w:r>
                </w:p>
              </w:tc>
              <w:tc>
                <w:tcPr>
                  <w:tcW w:w="777" w:type="dxa"/>
                  <w:tcBorders>
                    <w:top w:val="single" w:color="auto" w:sz="4" w:space="0"/>
                    <w:left w:val="single" w:color="auto" w:sz="4" w:space="0"/>
                    <w:bottom w:val="single" w:color="auto" w:sz="4" w:space="0"/>
                    <w:right w:val="single" w:color="auto" w:sz="4" w:space="0"/>
                  </w:tcBorders>
                  <w:vAlign w:val="center"/>
                </w:tcPr>
                <w:p w14:paraId="46719BFC">
                  <w:pPr>
                    <w:keepNext w:val="0"/>
                    <w:keepLines w:val="0"/>
                    <w:widowControl/>
                    <w:suppressLineNumbers w:val="0"/>
                    <w:snapToGrid w:val="0"/>
                    <w:spacing w:before="0" w:beforeAutospacing="0" w:after="0" w:afterAutospacing="0" w:line="264" w:lineRule="auto"/>
                    <w:ind w:left="0" w:right="0"/>
                    <w:jc w:val="center"/>
                    <w:rPr>
                      <w:rFonts w:hint="default" w:cs="Times New Roman"/>
                      <w:color w:val="auto"/>
                      <w:kern w:val="0"/>
                      <w:sz w:val="18"/>
                      <w:szCs w:val="18"/>
                      <w:highlight w:val="none"/>
                      <w:lang w:val="en-US" w:eastAsia="zh-CN"/>
                    </w:rPr>
                  </w:pPr>
                  <w:r>
                    <w:rPr>
                      <w:rFonts w:hint="eastAsia" w:cs="Times New Roman"/>
                      <w:color w:val="auto"/>
                      <w:kern w:val="0"/>
                      <w:sz w:val="18"/>
                      <w:szCs w:val="18"/>
                      <w:highlight w:val="none"/>
                      <w:lang w:val="en-US" w:eastAsia="zh-CN"/>
                    </w:rPr>
                    <w:t>0.059</w:t>
                  </w:r>
                </w:p>
              </w:tc>
              <w:tc>
                <w:tcPr>
                  <w:tcW w:w="630" w:type="dxa"/>
                  <w:vMerge w:val="continue"/>
                  <w:tcBorders>
                    <w:left w:val="single" w:color="auto" w:sz="4" w:space="0"/>
                    <w:right w:val="single" w:color="auto" w:sz="4" w:space="0"/>
                  </w:tcBorders>
                  <w:vAlign w:val="center"/>
                </w:tcPr>
                <w:p w14:paraId="17C6EB37">
                  <w:pPr>
                    <w:keepNext w:val="0"/>
                    <w:keepLines w:val="0"/>
                    <w:widowControl/>
                    <w:suppressLineNumbers w:val="0"/>
                    <w:snapToGrid w:val="0"/>
                    <w:spacing w:before="0" w:beforeAutospacing="0" w:after="0" w:afterAutospacing="0" w:line="264" w:lineRule="auto"/>
                    <w:ind w:left="0" w:right="0"/>
                    <w:jc w:val="center"/>
                    <w:rPr>
                      <w:rFonts w:hint="eastAsia" w:ascii="Times New Roman" w:hAnsi="Times New Roman" w:eastAsia="宋体" w:cs="Times New Roman"/>
                      <w:color w:val="auto"/>
                      <w:kern w:val="0"/>
                      <w:sz w:val="18"/>
                      <w:szCs w:val="18"/>
                      <w:highlight w:val="none"/>
                      <w:lang w:val="en-US" w:eastAsia="zh-CN"/>
                    </w:rPr>
                  </w:pPr>
                </w:p>
              </w:tc>
              <w:tc>
                <w:tcPr>
                  <w:tcW w:w="477" w:type="dxa"/>
                  <w:tcBorders>
                    <w:left w:val="single" w:color="auto" w:sz="4" w:space="0"/>
                    <w:right w:val="single" w:color="auto" w:sz="4" w:space="0"/>
                  </w:tcBorders>
                  <w:vAlign w:val="center"/>
                </w:tcPr>
                <w:p w14:paraId="7D70CEFE">
                  <w:pPr>
                    <w:keepNext w:val="0"/>
                    <w:keepLines w:val="0"/>
                    <w:suppressLineNumbers w:val="0"/>
                    <w:snapToGrid w:val="0"/>
                    <w:spacing w:before="0" w:beforeAutospacing="0" w:after="0" w:afterAutospacing="0" w:line="264" w:lineRule="auto"/>
                    <w:ind w:left="0" w:right="0"/>
                    <w:jc w:val="center"/>
                    <w:rPr>
                      <w:rFonts w:hint="default"/>
                      <w:bCs/>
                      <w:snapToGrid w:val="0"/>
                      <w:color w:val="auto"/>
                      <w:sz w:val="18"/>
                      <w:szCs w:val="18"/>
                      <w:highlight w:val="none"/>
                      <w:lang w:val="en-US" w:eastAsia="zh-CN"/>
                    </w:rPr>
                  </w:pPr>
                  <w:r>
                    <w:rPr>
                      <w:rFonts w:hint="eastAsia"/>
                      <w:bCs/>
                      <w:snapToGrid w:val="0"/>
                      <w:color w:val="auto"/>
                      <w:sz w:val="18"/>
                      <w:szCs w:val="18"/>
                      <w:highlight w:val="none"/>
                      <w:lang w:val="en-US" w:eastAsia="zh-CN"/>
                    </w:rPr>
                    <w:t>/</w:t>
                  </w:r>
                </w:p>
              </w:tc>
              <w:tc>
                <w:tcPr>
                  <w:tcW w:w="611" w:type="dxa"/>
                  <w:vMerge w:val="continue"/>
                  <w:tcBorders>
                    <w:left w:val="single" w:color="auto" w:sz="4" w:space="0"/>
                    <w:right w:val="single" w:color="auto" w:sz="4" w:space="0"/>
                  </w:tcBorders>
                  <w:vAlign w:val="center"/>
                </w:tcPr>
                <w:p w14:paraId="5281BE65">
                  <w:pPr>
                    <w:keepNext w:val="0"/>
                    <w:keepLines w:val="0"/>
                    <w:suppressLineNumbers w:val="0"/>
                    <w:snapToGrid w:val="0"/>
                    <w:spacing w:before="0" w:beforeAutospacing="0" w:after="0" w:afterAutospacing="0" w:line="264" w:lineRule="auto"/>
                    <w:ind w:left="0" w:right="0"/>
                    <w:jc w:val="center"/>
                    <w:rPr>
                      <w:rFonts w:hint="default" w:ascii="Times New Roman" w:hAnsi="Times New Roman" w:eastAsia="宋体" w:cs="Times New Roman"/>
                      <w:color w:val="auto"/>
                      <w:kern w:val="0"/>
                      <w:sz w:val="18"/>
                      <w:szCs w:val="18"/>
                      <w:highlight w:val="none"/>
                    </w:rPr>
                  </w:pPr>
                </w:p>
              </w:tc>
              <w:tc>
                <w:tcPr>
                  <w:tcW w:w="679" w:type="dxa"/>
                  <w:tcBorders>
                    <w:top w:val="single" w:color="auto" w:sz="4" w:space="0"/>
                    <w:left w:val="single" w:color="auto" w:sz="4" w:space="0"/>
                    <w:bottom w:val="single" w:color="auto" w:sz="4" w:space="0"/>
                    <w:right w:val="single" w:color="auto" w:sz="4" w:space="0"/>
                  </w:tcBorders>
                  <w:shd w:val="clear" w:color="auto" w:fill="auto"/>
                  <w:vAlign w:val="center"/>
                </w:tcPr>
                <w:p w14:paraId="0C138E55">
                  <w:pPr>
                    <w:keepNext w:val="0"/>
                    <w:keepLines w:val="0"/>
                    <w:widowControl/>
                    <w:suppressLineNumbers w:val="0"/>
                    <w:snapToGrid w:val="0"/>
                    <w:spacing w:before="0" w:beforeAutospacing="0" w:after="0" w:afterAutospacing="0" w:line="264" w:lineRule="auto"/>
                    <w:ind w:left="0" w:leftChars="0" w:right="0" w:rightChars="0"/>
                    <w:jc w:val="center"/>
                    <w:rPr>
                      <w:rFonts w:hint="eastAsia" w:ascii="Times New Roman" w:hAnsi="Times New Roman" w:eastAsia="宋体" w:cs="Times New Roman"/>
                      <w:color w:val="auto"/>
                      <w:kern w:val="0"/>
                      <w:sz w:val="18"/>
                      <w:szCs w:val="18"/>
                      <w:highlight w:val="none"/>
                      <w:lang w:val="en-US" w:eastAsia="zh-CN" w:bidi="ar-SA"/>
                    </w:rPr>
                  </w:pPr>
                  <w:r>
                    <w:rPr>
                      <w:rFonts w:hint="eastAsia" w:cs="Times New Roman"/>
                      <w:color w:val="auto"/>
                      <w:kern w:val="0"/>
                      <w:sz w:val="18"/>
                      <w:szCs w:val="18"/>
                      <w:highlight w:val="none"/>
                      <w:lang w:val="en-US" w:eastAsia="zh-CN"/>
                    </w:rPr>
                    <w:t>10</w:t>
                  </w:r>
                </w:p>
              </w:tc>
              <w:tc>
                <w:tcPr>
                  <w:tcW w:w="723" w:type="dxa"/>
                  <w:tcBorders>
                    <w:top w:val="single" w:color="auto" w:sz="4" w:space="0"/>
                    <w:left w:val="single" w:color="auto" w:sz="4" w:space="0"/>
                    <w:bottom w:val="single" w:color="auto" w:sz="4" w:space="0"/>
                    <w:right w:val="single" w:color="auto" w:sz="4" w:space="0"/>
                  </w:tcBorders>
                  <w:shd w:val="clear" w:color="auto" w:fill="auto"/>
                  <w:vAlign w:val="center"/>
                </w:tcPr>
                <w:p w14:paraId="3CF99368">
                  <w:pPr>
                    <w:keepNext w:val="0"/>
                    <w:keepLines w:val="0"/>
                    <w:widowControl/>
                    <w:suppressLineNumbers w:val="0"/>
                    <w:snapToGrid w:val="0"/>
                    <w:spacing w:before="0" w:beforeAutospacing="0" w:after="0" w:afterAutospacing="0" w:line="264" w:lineRule="auto"/>
                    <w:ind w:left="0" w:leftChars="0" w:right="0" w:rightChars="0"/>
                    <w:jc w:val="center"/>
                    <w:rPr>
                      <w:rFonts w:hint="eastAsia" w:ascii="Times New Roman" w:hAnsi="Times New Roman" w:eastAsia="宋体" w:cs="Times New Roman"/>
                      <w:color w:val="auto"/>
                      <w:kern w:val="0"/>
                      <w:sz w:val="18"/>
                      <w:szCs w:val="18"/>
                      <w:highlight w:val="none"/>
                      <w:lang w:val="en-US" w:eastAsia="zh-CN" w:bidi="ar-SA"/>
                    </w:rPr>
                  </w:pPr>
                  <w:r>
                    <w:rPr>
                      <w:rFonts w:hint="eastAsia" w:cs="Times New Roman"/>
                      <w:color w:val="auto"/>
                      <w:kern w:val="0"/>
                      <w:sz w:val="18"/>
                      <w:szCs w:val="18"/>
                      <w:highlight w:val="none"/>
                      <w:lang w:val="en-US" w:eastAsia="zh-CN"/>
                    </w:rPr>
                    <w:t>0.059</w:t>
                  </w:r>
                </w:p>
              </w:tc>
              <w:tc>
                <w:tcPr>
                  <w:tcW w:w="481" w:type="dxa"/>
                  <w:vMerge w:val="continue"/>
                  <w:tcBorders>
                    <w:left w:val="single" w:color="auto" w:sz="4" w:space="0"/>
                    <w:right w:val="single" w:color="auto" w:sz="4" w:space="0"/>
                  </w:tcBorders>
                  <w:vAlign w:val="center"/>
                </w:tcPr>
                <w:p w14:paraId="7B71F824">
                  <w:pPr>
                    <w:keepNext w:val="0"/>
                    <w:keepLines w:val="0"/>
                    <w:suppressLineNumbers w:val="0"/>
                    <w:snapToGrid w:val="0"/>
                    <w:spacing w:before="0" w:beforeAutospacing="0" w:after="0" w:afterAutospacing="0" w:line="264" w:lineRule="auto"/>
                    <w:ind w:left="0" w:right="0"/>
                    <w:jc w:val="center"/>
                    <w:rPr>
                      <w:rFonts w:hint="default" w:ascii="Times New Roman" w:hAnsi="Times New Roman" w:eastAsia="宋体" w:cs="Times New Roman"/>
                      <w:kern w:val="0"/>
                      <w:sz w:val="18"/>
                      <w:szCs w:val="18"/>
                      <w:highlight w:val="none"/>
                    </w:rPr>
                  </w:pPr>
                </w:p>
              </w:tc>
            </w:tr>
            <w:tr w14:paraId="39B09DC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127" w:hRule="atLeast"/>
                <w:jc w:val="center"/>
              </w:trPr>
              <w:tc>
                <w:tcPr>
                  <w:tcW w:w="580" w:type="dxa"/>
                  <w:vMerge w:val="continue"/>
                  <w:tcBorders>
                    <w:left w:val="single" w:color="auto" w:sz="4" w:space="0"/>
                    <w:right w:val="single" w:color="auto" w:sz="4" w:space="0"/>
                  </w:tcBorders>
                  <w:vAlign w:val="center"/>
                </w:tcPr>
                <w:p w14:paraId="05004076">
                  <w:pPr>
                    <w:keepNext w:val="0"/>
                    <w:keepLines w:val="0"/>
                    <w:widowControl/>
                    <w:suppressLineNumbers w:val="0"/>
                    <w:adjustRightInd w:val="0"/>
                    <w:snapToGrid w:val="0"/>
                    <w:spacing w:before="0" w:beforeAutospacing="0" w:after="0" w:afterAutospacing="0" w:line="264" w:lineRule="auto"/>
                    <w:ind w:left="0" w:right="0"/>
                    <w:jc w:val="center"/>
                    <w:rPr>
                      <w:rFonts w:hint="default" w:ascii="Times New Roman" w:hAnsi="Times New Roman" w:eastAsia="宋体" w:cs="Times New Roman"/>
                      <w:snapToGrid w:val="0"/>
                      <w:sz w:val="18"/>
                      <w:szCs w:val="18"/>
                      <w:highlight w:val="none"/>
                    </w:rPr>
                  </w:pPr>
                </w:p>
              </w:tc>
              <w:tc>
                <w:tcPr>
                  <w:tcW w:w="423" w:type="dxa"/>
                  <w:vMerge w:val="continue"/>
                  <w:tcBorders>
                    <w:left w:val="single" w:color="auto" w:sz="4" w:space="0"/>
                    <w:right w:val="single" w:color="auto" w:sz="4" w:space="0"/>
                  </w:tcBorders>
                  <w:vAlign w:val="center"/>
                </w:tcPr>
                <w:p w14:paraId="6D0F7A6D">
                  <w:pPr>
                    <w:keepNext w:val="0"/>
                    <w:keepLines w:val="0"/>
                    <w:widowControl/>
                    <w:suppressLineNumbers w:val="0"/>
                    <w:adjustRightInd w:val="0"/>
                    <w:snapToGrid w:val="0"/>
                    <w:spacing w:before="0" w:beforeAutospacing="0" w:after="0" w:afterAutospacing="0" w:line="264" w:lineRule="auto"/>
                    <w:ind w:left="0" w:right="0"/>
                    <w:jc w:val="center"/>
                    <w:rPr>
                      <w:rFonts w:hint="default" w:ascii="Times New Roman" w:hAnsi="Times New Roman" w:eastAsia="宋体" w:cs="Times New Roman"/>
                      <w:snapToGrid w:val="0"/>
                      <w:sz w:val="18"/>
                      <w:szCs w:val="18"/>
                      <w:highlight w:val="none"/>
                    </w:rPr>
                  </w:pPr>
                </w:p>
              </w:tc>
              <w:tc>
                <w:tcPr>
                  <w:tcW w:w="1031" w:type="dxa"/>
                  <w:vMerge w:val="continue"/>
                  <w:tcBorders>
                    <w:left w:val="single" w:color="auto" w:sz="4" w:space="0"/>
                    <w:right w:val="single" w:color="auto" w:sz="4" w:space="0"/>
                  </w:tcBorders>
                  <w:vAlign w:val="center"/>
                </w:tcPr>
                <w:p w14:paraId="09033922">
                  <w:pPr>
                    <w:keepNext w:val="0"/>
                    <w:keepLines w:val="0"/>
                    <w:widowControl/>
                    <w:suppressLineNumbers w:val="0"/>
                    <w:adjustRightInd w:val="0"/>
                    <w:snapToGrid w:val="0"/>
                    <w:spacing w:before="0" w:beforeAutospacing="0" w:after="0" w:afterAutospacing="0" w:line="264" w:lineRule="auto"/>
                    <w:ind w:left="0" w:right="0"/>
                    <w:jc w:val="center"/>
                    <w:rPr>
                      <w:rFonts w:hint="eastAsia" w:ascii="Times New Roman" w:hAnsi="Times New Roman" w:eastAsia="宋体" w:cs="Times New Roman"/>
                      <w:snapToGrid w:val="0"/>
                      <w:sz w:val="18"/>
                      <w:szCs w:val="18"/>
                      <w:highlight w:val="none"/>
                      <w:lang w:val="en-US" w:eastAsia="zh-CN"/>
                    </w:rPr>
                  </w:pPr>
                </w:p>
              </w:tc>
              <w:tc>
                <w:tcPr>
                  <w:tcW w:w="595" w:type="dxa"/>
                  <w:tcBorders>
                    <w:top w:val="single" w:color="auto" w:sz="4" w:space="0"/>
                    <w:left w:val="single" w:color="auto" w:sz="4" w:space="0"/>
                    <w:bottom w:val="single" w:color="auto" w:sz="4" w:space="0"/>
                    <w:right w:val="single" w:color="auto" w:sz="4" w:space="0"/>
                  </w:tcBorders>
                  <w:vAlign w:val="center"/>
                </w:tcPr>
                <w:p w14:paraId="57FF0170">
                  <w:pPr>
                    <w:keepNext w:val="0"/>
                    <w:keepLines w:val="0"/>
                    <w:widowControl/>
                    <w:suppressLineNumbers w:val="0"/>
                    <w:adjustRightInd w:val="0"/>
                    <w:snapToGrid w:val="0"/>
                    <w:spacing w:before="0" w:beforeAutospacing="0" w:after="0" w:afterAutospacing="0" w:line="264" w:lineRule="auto"/>
                    <w:ind w:left="0" w:right="0"/>
                    <w:jc w:val="center"/>
                    <w:rPr>
                      <w:rFonts w:hint="default" w:cs="Times New Roman"/>
                      <w:snapToGrid w:val="0"/>
                      <w:color w:val="auto"/>
                      <w:sz w:val="18"/>
                      <w:szCs w:val="18"/>
                      <w:highlight w:val="none"/>
                      <w:lang w:val="en-US" w:eastAsia="zh-CN"/>
                    </w:rPr>
                  </w:pPr>
                  <w:r>
                    <w:rPr>
                      <w:rFonts w:hint="eastAsia" w:cs="Times New Roman"/>
                      <w:snapToGrid w:val="0"/>
                      <w:color w:val="auto"/>
                      <w:sz w:val="18"/>
                      <w:szCs w:val="18"/>
                      <w:highlight w:val="none"/>
                      <w:lang w:val="en-US" w:eastAsia="zh-CN"/>
                    </w:rPr>
                    <w:t>TN</w:t>
                  </w:r>
                </w:p>
              </w:tc>
              <w:tc>
                <w:tcPr>
                  <w:tcW w:w="609" w:type="dxa"/>
                  <w:vMerge w:val="continue"/>
                  <w:tcBorders>
                    <w:left w:val="single" w:color="auto" w:sz="4" w:space="0"/>
                    <w:right w:val="single" w:color="auto" w:sz="4" w:space="0"/>
                  </w:tcBorders>
                  <w:vAlign w:val="center"/>
                </w:tcPr>
                <w:p w14:paraId="45853D59">
                  <w:pPr>
                    <w:keepNext w:val="0"/>
                    <w:keepLines w:val="0"/>
                    <w:suppressLineNumbers w:val="0"/>
                    <w:snapToGrid w:val="0"/>
                    <w:spacing w:before="0" w:beforeAutospacing="0" w:after="0" w:afterAutospacing="0" w:line="264" w:lineRule="auto"/>
                    <w:ind w:left="0" w:right="0"/>
                    <w:jc w:val="center"/>
                    <w:rPr>
                      <w:rFonts w:hint="default" w:ascii="Times New Roman" w:hAnsi="Times New Roman" w:eastAsia="宋体" w:cs="Times New Roman"/>
                      <w:color w:val="auto"/>
                      <w:sz w:val="18"/>
                      <w:szCs w:val="18"/>
                      <w:highlight w:val="none"/>
                    </w:rPr>
                  </w:pPr>
                </w:p>
              </w:tc>
              <w:tc>
                <w:tcPr>
                  <w:tcW w:w="699" w:type="dxa"/>
                  <w:tcBorders>
                    <w:top w:val="single" w:color="auto" w:sz="4" w:space="0"/>
                    <w:left w:val="single" w:color="auto" w:sz="4" w:space="0"/>
                    <w:bottom w:val="single" w:color="auto" w:sz="4" w:space="0"/>
                    <w:right w:val="single" w:color="auto" w:sz="4" w:space="0"/>
                  </w:tcBorders>
                  <w:vAlign w:val="center"/>
                </w:tcPr>
                <w:p w14:paraId="46ED042E">
                  <w:pPr>
                    <w:keepNext w:val="0"/>
                    <w:keepLines w:val="0"/>
                    <w:widowControl/>
                    <w:suppressLineNumbers w:val="0"/>
                    <w:snapToGrid w:val="0"/>
                    <w:spacing w:before="0" w:beforeAutospacing="0" w:after="0" w:afterAutospacing="0" w:line="264" w:lineRule="auto"/>
                    <w:ind w:left="0" w:right="0"/>
                    <w:jc w:val="center"/>
                    <w:rPr>
                      <w:rFonts w:hint="default" w:cs="Times New Roman"/>
                      <w:color w:val="auto"/>
                      <w:kern w:val="0"/>
                      <w:sz w:val="18"/>
                      <w:szCs w:val="18"/>
                      <w:highlight w:val="none"/>
                      <w:lang w:val="en-US" w:eastAsia="zh-CN"/>
                    </w:rPr>
                  </w:pPr>
                  <w:r>
                    <w:rPr>
                      <w:rFonts w:hint="eastAsia" w:cs="Times New Roman"/>
                      <w:color w:val="auto"/>
                      <w:kern w:val="0"/>
                      <w:sz w:val="18"/>
                      <w:szCs w:val="18"/>
                      <w:highlight w:val="none"/>
                      <w:lang w:val="en-US" w:eastAsia="zh-CN"/>
                    </w:rPr>
                    <w:t>70</w:t>
                  </w:r>
                </w:p>
              </w:tc>
              <w:tc>
                <w:tcPr>
                  <w:tcW w:w="777" w:type="dxa"/>
                  <w:tcBorders>
                    <w:top w:val="single" w:color="auto" w:sz="4" w:space="0"/>
                    <w:left w:val="single" w:color="auto" w:sz="4" w:space="0"/>
                    <w:bottom w:val="single" w:color="auto" w:sz="4" w:space="0"/>
                    <w:right w:val="single" w:color="auto" w:sz="4" w:space="0"/>
                  </w:tcBorders>
                  <w:vAlign w:val="center"/>
                </w:tcPr>
                <w:p w14:paraId="7CB88A57">
                  <w:pPr>
                    <w:keepNext w:val="0"/>
                    <w:keepLines w:val="0"/>
                    <w:widowControl/>
                    <w:suppressLineNumbers w:val="0"/>
                    <w:snapToGrid w:val="0"/>
                    <w:spacing w:before="0" w:beforeAutospacing="0" w:after="0" w:afterAutospacing="0" w:line="264" w:lineRule="auto"/>
                    <w:ind w:left="0" w:right="0"/>
                    <w:jc w:val="center"/>
                    <w:rPr>
                      <w:rFonts w:hint="default" w:cs="Times New Roman"/>
                      <w:color w:val="auto"/>
                      <w:kern w:val="0"/>
                      <w:sz w:val="18"/>
                      <w:szCs w:val="18"/>
                      <w:highlight w:val="none"/>
                      <w:lang w:val="en-US" w:eastAsia="zh-CN"/>
                    </w:rPr>
                  </w:pPr>
                  <w:r>
                    <w:rPr>
                      <w:rFonts w:hint="eastAsia" w:cs="Times New Roman"/>
                      <w:color w:val="auto"/>
                      <w:kern w:val="0"/>
                      <w:sz w:val="18"/>
                      <w:szCs w:val="18"/>
                      <w:highlight w:val="none"/>
                      <w:lang w:val="en-US" w:eastAsia="zh-CN"/>
                    </w:rPr>
                    <w:t>0.410</w:t>
                  </w:r>
                </w:p>
              </w:tc>
              <w:tc>
                <w:tcPr>
                  <w:tcW w:w="630" w:type="dxa"/>
                  <w:vMerge w:val="continue"/>
                  <w:tcBorders>
                    <w:left w:val="single" w:color="auto" w:sz="4" w:space="0"/>
                    <w:right w:val="single" w:color="auto" w:sz="4" w:space="0"/>
                  </w:tcBorders>
                  <w:vAlign w:val="center"/>
                </w:tcPr>
                <w:p w14:paraId="1F961933">
                  <w:pPr>
                    <w:keepNext w:val="0"/>
                    <w:keepLines w:val="0"/>
                    <w:widowControl/>
                    <w:suppressLineNumbers w:val="0"/>
                    <w:snapToGrid w:val="0"/>
                    <w:spacing w:before="0" w:beforeAutospacing="0" w:after="0" w:afterAutospacing="0" w:line="264" w:lineRule="auto"/>
                    <w:ind w:left="0" w:right="0"/>
                    <w:jc w:val="center"/>
                    <w:rPr>
                      <w:rFonts w:hint="eastAsia" w:ascii="Times New Roman" w:hAnsi="Times New Roman" w:eastAsia="宋体" w:cs="Times New Roman"/>
                      <w:color w:val="auto"/>
                      <w:kern w:val="0"/>
                      <w:sz w:val="18"/>
                      <w:szCs w:val="18"/>
                      <w:highlight w:val="none"/>
                      <w:lang w:val="en-US" w:eastAsia="zh-CN"/>
                    </w:rPr>
                  </w:pPr>
                </w:p>
              </w:tc>
              <w:tc>
                <w:tcPr>
                  <w:tcW w:w="477" w:type="dxa"/>
                  <w:tcBorders>
                    <w:left w:val="single" w:color="auto" w:sz="4" w:space="0"/>
                    <w:right w:val="single" w:color="auto" w:sz="4" w:space="0"/>
                  </w:tcBorders>
                  <w:vAlign w:val="center"/>
                </w:tcPr>
                <w:p w14:paraId="06240FD0">
                  <w:pPr>
                    <w:keepNext w:val="0"/>
                    <w:keepLines w:val="0"/>
                    <w:suppressLineNumbers w:val="0"/>
                    <w:snapToGrid w:val="0"/>
                    <w:spacing w:before="0" w:beforeAutospacing="0" w:after="0" w:afterAutospacing="0" w:line="264" w:lineRule="auto"/>
                    <w:ind w:left="0" w:right="0"/>
                    <w:jc w:val="center"/>
                    <w:rPr>
                      <w:rFonts w:hint="default"/>
                      <w:bCs/>
                      <w:snapToGrid w:val="0"/>
                      <w:color w:val="auto"/>
                      <w:sz w:val="18"/>
                      <w:szCs w:val="18"/>
                      <w:highlight w:val="none"/>
                      <w:lang w:val="en-US" w:eastAsia="zh-CN"/>
                    </w:rPr>
                  </w:pPr>
                  <w:r>
                    <w:rPr>
                      <w:rFonts w:hint="eastAsia"/>
                      <w:bCs/>
                      <w:snapToGrid w:val="0"/>
                      <w:color w:val="auto"/>
                      <w:sz w:val="18"/>
                      <w:szCs w:val="18"/>
                      <w:highlight w:val="none"/>
                      <w:lang w:val="en-US" w:eastAsia="zh-CN"/>
                    </w:rPr>
                    <w:t>20%</w:t>
                  </w:r>
                </w:p>
              </w:tc>
              <w:tc>
                <w:tcPr>
                  <w:tcW w:w="611" w:type="dxa"/>
                  <w:vMerge w:val="continue"/>
                  <w:tcBorders>
                    <w:left w:val="single" w:color="auto" w:sz="4" w:space="0"/>
                    <w:right w:val="single" w:color="auto" w:sz="4" w:space="0"/>
                  </w:tcBorders>
                  <w:vAlign w:val="center"/>
                </w:tcPr>
                <w:p w14:paraId="2A476097">
                  <w:pPr>
                    <w:keepNext w:val="0"/>
                    <w:keepLines w:val="0"/>
                    <w:suppressLineNumbers w:val="0"/>
                    <w:snapToGrid w:val="0"/>
                    <w:spacing w:before="0" w:beforeAutospacing="0" w:after="0" w:afterAutospacing="0" w:line="264" w:lineRule="auto"/>
                    <w:ind w:left="0" w:right="0"/>
                    <w:jc w:val="center"/>
                    <w:rPr>
                      <w:rFonts w:hint="default" w:ascii="Times New Roman" w:hAnsi="Times New Roman" w:eastAsia="宋体" w:cs="Times New Roman"/>
                      <w:color w:val="auto"/>
                      <w:kern w:val="0"/>
                      <w:sz w:val="18"/>
                      <w:szCs w:val="18"/>
                      <w:highlight w:val="none"/>
                    </w:rPr>
                  </w:pPr>
                </w:p>
              </w:tc>
              <w:tc>
                <w:tcPr>
                  <w:tcW w:w="679" w:type="dxa"/>
                  <w:tcBorders>
                    <w:top w:val="single" w:color="auto" w:sz="4" w:space="0"/>
                    <w:left w:val="single" w:color="auto" w:sz="4" w:space="0"/>
                    <w:bottom w:val="single" w:color="auto" w:sz="4" w:space="0"/>
                    <w:right w:val="single" w:color="auto" w:sz="4" w:space="0"/>
                  </w:tcBorders>
                  <w:vAlign w:val="center"/>
                </w:tcPr>
                <w:p w14:paraId="53DDC9F3">
                  <w:pPr>
                    <w:keepNext w:val="0"/>
                    <w:keepLines w:val="0"/>
                    <w:widowControl/>
                    <w:suppressLineNumbers w:val="0"/>
                    <w:snapToGrid w:val="0"/>
                    <w:spacing w:before="0" w:beforeAutospacing="0" w:after="0" w:afterAutospacing="0" w:line="264" w:lineRule="auto"/>
                    <w:ind w:left="0" w:right="0"/>
                    <w:jc w:val="center"/>
                    <w:rPr>
                      <w:rFonts w:hint="default" w:cs="Times New Roman"/>
                      <w:color w:val="auto"/>
                      <w:kern w:val="0"/>
                      <w:sz w:val="18"/>
                      <w:szCs w:val="18"/>
                      <w:highlight w:val="none"/>
                      <w:lang w:val="en-US" w:eastAsia="zh-CN"/>
                    </w:rPr>
                  </w:pPr>
                  <w:r>
                    <w:rPr>
                      <w:rFonts w:hint="eastAsia" w:cs="Times New Roman"/>
                      <w:color w:val="auto"/>
                      <w:kern w:val="0"/>
                      <w:sz w:val="18"/>
                      <w:szCs w:val="18"/>
                      <w:highlight w:val="none"/>
                      <w:lang w:val="en-US" w:eastAsia="zh-CN"/>
                    </w:rPr>
                    <w:t>56</w:t>
                  </w:r>
                </w:p>
              </w:tc>
              <w:tc>
                <w:tcPr>
                  <w:tcW w:w="723" w:type="dxa"/>
                  <w:tcBorders>
                    <w:top w:val="single" w:color="auto" w:sz="4" w:space="0"/>
                    <w:left w:val="single" w:color="auto" w:sz="4" w:space="0"/>
                    <w:bottom w:val="single" w:color="auto" w:sz="4" w:space="0"/>
                    <w:right w:val="single" w:color="auto" w:sz="4" w:space="0"/>
                  </w:tcBorders>
                  <w:vAlign w:val="center"/>
                </w:tcPr>
                <w:p w14:paraId="6D2962C6">
                  <w:pPr>
                    <w:keepNext w:val="0"/>
                    <w:keepLines w:val="0"/>
                    <w:widowControl/>
                    <w:suppressLineNumbers w:val="0"/>
                    <w:snapToGrid w:val="0"/>
                    <w:spacing w:before="0" w:beforeAutospacing="0" w:after="0" w:afterAutospacing="0" w:line="264" w:lineRule="auto"/>
                    <w:ind w:left="0" w:right="0"/>
                    <w:jc w:val="center"/>
                    <w:rPr>
                      <w:rFonts w:hint="default" w:cs="Times New Roman"/>
                      <w:color w:val="auto"/>
                      <w:kern w:val="0"/>
                      <w:sz w:val="18"/>
                      <w:szCs w:val="18"/>
                      <w:highlight w:val="none"/>
                      <w:lang w:val="en-US" w:eastAsia="zh-CN"/>
                    </w:rPr>
                  </w:pPr>
                  <w:r>
                    <w:rPr>
                      <w:rFonts w:hint="eastAsia" w:cs="Times New Roman"/>
                      <w:color w:val="auto"/>
                      <w:kern w:val="0"/>
                      <w:sz w:val="18"/>
                      <w:szCs w:val="18"/>
                      <w:highlight w:val="none"/>
                      <w:lang w:val="en-US" w:eastAsia="zh-CN"/>
                    </w:rPr>
                    <w:t>0.328</w:t>
                  </w:r>
                </w:p>
              </w:tc>
              <w:tc>
                <w:tcPr>
                  <w:tcW w:w="481" w:type="dxa"/>
                  <w:vMerge w:val="continue"/>
                  <w:tcBorders>
                    <w:left w:val="single" w:color="auto" w:sz="4" w:space="0"/>
                    <w:right w:val="single" w:color="auto" w:sz="4" w:space="0"/>
                  </w:tcBorders>
                  <w:vAlign w:val="center"/>
                </w:tcPr>
                <w:p w14:paraId="3CCDE5A7">
                  <w:pPr>
                    <w:keepNext w:val="0"/>
                    <w:keepLines w:val="0"/>
                    <w:suppressLineNumbers w:val="0"/>
                    <w:snapToGrid w:val="0"/>
                    <w:spacing w:before="0" w:beforeAutospacing="0" w:after="0" w:afterAutospacing="0" w:line="264" w:lineRule="auto"/>
                    <w:ind w:left="0" w:right="0"/>
                    <w:jc w:val="center"/>
                    <w:rPr>
                      <w:rFonts w:hint="default" w:ascii="Times New Roman" w:hAnsi="Times New Roman" w:eastAsia="宋体" w:cs="Times New Roman"/>
                      <w:kern w:val="0"/>
                      <w:sz w:val="18"/>
                      <w:szCs w:val="18"/>
                      <w:highlight w:val="none"/>
                    </w:rPr>
                  </w:pPr>
                </w:p>
              </w:tc>
            </w:tr>
            <w:tr w14:paraId="0D368FE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jc w:val="center"/>
              </w:trPr>
              <w:tc>
                <w:tcPr>
                  <w:tcW w:w="580" w:type="dxa"/>
                  <w:vMerge w:val="continue"/>
                  <w:tcBorders>
                    <w:left w:val="single" w:color="auto" w:sz="4" w:space="0"/>
                    <w:right w:val="single" w:color="auto" w:sz="4" w:space="0"/>
                  </w:tcBorders>
                  <w:vAlign w:val="center"/>
                </w:tcPr>
                <w:p w14:paraId="2B369A11">
                  <w:pPr>
                    <w:keepNext w:val="0"/>
                    <w:keepLines w:val="0"/>
                    <w:widowControl/>
                    <w:suppressLineNumbers w:val="0"/>
                    <w:adjustRightInd w:val="0"/>
                    <w:snapToGrid w:val="0"/>
                    <w:spacing w:before="0" w:beforeAutospacing="0" w:after="0" w:afterAutospacing="0" w:line="264" w:lineRule="auto"/>
                    <w:ind w:left="0" w:right="0"/>
                    <w:jc w:val="center"/>
                    <w:rPr>
                      <w:rFonts w:hint="default" w:ascii="Times New Roman" w:hAnsi="Times New Roman" w:eastAsia="宋体" w:cs="Times New Roman"/>
                      <w:snapToGrid w:val="0"/>
                      <w:sz w:val="18"/>
                      <w:szCs w:val="18"/>
                      <w:highlight w:val="none"/>
                    </w:rPr>
                  </w:pPr>
                </w:p>
              </w:tc>
              <w:tc>
                <w:tcPr>
                  <w:tcW w:w="423" w:type="dxa"/>
                  <w:vMerge w:val="continue"/>
                  <w:tcBorders>
                    <w:left w:val="single" w:color="auto" w:sz="4" w:space="0"/>
                    <w:right w:val="single" w:color="auto" w:sz="4" w:space="0"/>
                  </w:tcBorders>
                  <w:vAlign w:val="center"/>
                </w:tcPr>
                <w:p w14:paraId="4530DA0C">
                  <w:pPr>
                    <w:keepNext w:val="0"/>
                    <w:keepLines w:val="0"/>
                    <w:widowControl/>
                    <w:suppressLineNumbers w:val="0"/>
                    <w:adjustRightInd w:val="0"/>
                    <w:snapToGrid w:val="0"/>
                    <w:spacing w:before="0" w:beforeAutospacing="0" w:after="0" w:afterAutospacing="0" w:line="264" w:lineRule="auto"/>
                    <w:ind w:left="0" w:right="0"/>
                    <w:jc w:val="center"/>
                    <w:rPr>
                      <w:rFonts w:hint="default" w:ascii="Times New Roman" w:hAnsi="Times New Roman" w:eastAsia="宋体" w:cs="Times New Roman"/>
                      <w:snapToGrid w:val="0"/>
                      <w:sz w:val="18"/>
                      <w:szCs w:val="18"/>
                      <w:highlight w:val="none"/>
                    </w:rPr>
                  </w:pPr>
                </w:p>
              </w:tc>
              <w:tc>
                <w:tcPr>
                  <w:tcW w:w="1031" w:type="dxa"/>
                  <w:vMerge w:val="continue"/>
                  <w:tcBorders>
                    <w:left w:val="single" w:color="auto" w:sz="4" w:space="0"/>
                    <w:right w:val="single" w:color="auto" w:sz="4" w:space="0"/>
                  </w:tcBorders>
                  <w:vAlign w:val="center"/>
                </w:tcPr>
                <w:p w14:paraId="6460ED74">
                  <w:pPr>
                    <w:keepNext w:val="0"/>
                    <w:keepLines w:val="0"/>
                    <w:widowControl/>
                    <w:suppressLineNumbers w:val="0"/>
                    <w:adjustRightInd w:val="0"/>
                    <w:snapToGrid w:val="0"/>
                    <w:spacing w:before="0" w:beforeAutospacing="0" w:after="0" w:afterAutospacing="0" w:line="264" w:lineRule="auto"/>
                    <w:ind w:left="0" w:right="0"/>
                    <w:jc w:val="center"/>
                    <w:rPr>
                      <w:rFonts w:hint="eastAsia" w:ascii="Times New Roman" w:hAnsi="Times New Roman" w:eastAsia="宋体" w:cs="Times New Roman"/>
                      <w:snapToGrid w:val="0"/>
                      <w:sz w:val="18"/>
                      <w:szCs w:val="18"/>
                      <w:highlight w:val="none"/>
                      <w:lang w:val="en-US" w:eastAsia="zh-CN"/>
                    </w:rPr>
                  </w:pPr>
                </w:p>
              </w:tc>
              <w:tc>
                <w:tcPr>
                  <w:tcW w:w="595" w:type="dxa"/>
                  <w:tcBorders>
                    <w:top w:val="single" w:color="auto" w:sz="4" w:space="0"/>
                    <w:left w:val="single" w:color="auto" w:sz="4" w:space="0"/>
                    <w:bottom w:val="single" w:color="auto" w:sz="4" w:space="0"/>
                    <w:right w:val="single" w:color="auto" w:sz="4" w:space="0"/>
                  </w:tcBorders>
                  <w:vAlign w:val="center"/>
                </w:tcPr>
                <w:p w14:paraId="41F5586F">
                  <w:pPr>
                    <w:keepNext w:val="0"/>
                    <w:keepLines w:val="0"/>
                    <w:widowControl/>
                    <w:suppressLineNumbers w:val="0"/>
                    <w:adjustRightInd w:val="0"/>
                    <w:snapToGrid w:val="0"/>
                    <w:spacing w:before="0" w:beforeAutospacing="0" w:after="0" w:afterAutospacing="0" w:line="264" w:lineRule="auto"/>
                    <w:ind w:left="0" w:right="0"/>
                    <w:jc w:val="center"/>
                    <w:rPr>
                      <w:rFonts w:hint="default" w:ascii="Times New Roman" w:hAnsi="Times New Roman" w:eastAsia="宋体" w:cs="Times New Roman"/>
                      <w:snapToGrid w:val="0"/>
                      <w:sz w:val="18"/>
                      <w:szCs w:val="18"/>
                      <w:highlight w:val="none"/>
                    </w:rPr>
                  </w:pPr>
                  <w:r>
                    <w:rPr>
                      <w:rFonts w:hint="eastAsia" w:ascii="Times New Roman" w:hAnsi="Times New Roman" w:eastAsia="宋体" w:cs="Times New Roman"/>
                      <w:snapToGrid w:val="0"/>
                      <w:sz w:val="18"/>
                      <w:szCs w:val="18"/>
                      <w:highlight w:val="none"/>
                    </w:rPr>
                    <w:t>SS</w:t>
                  </w:r>
                </w:p>
              </w:tc>
              <w:tc>
                <w:tcPr>
                  <w:tcW w:w="609" w:type="dxa"/>
                  <w:vMerge w:val="continue"/>
                  <w:tcBorders>
                    <w:left w:val="single" w:color="auto" w:sz="4" w:space="0"/>
                    <w:right w:val="single" w:color="auto" w:sz="4" w:space="0"/>
                  </w:tcBorders>
                  <w:vAlign w:val="center"/>
                </w:tcPr>
                <w:p w14:paraId="2B5EDFCE">
                  <w:pPr>
                    <w:keepNext w:val="0"/>
                    <w:keepLines w:val="0"/>
                    <w:suppressLineNumbers w:val="0"/>
                    <w:snapToGrid w:val="0"/>
                    <w:spacing w:before="0" w:beforeAutospacing="0" w:after="0" w:afterAutospacing="0" w:line="264" w:lineRule="auto"/>
                    <w:ind w:left="0" w:right="0"/>
                    <w:jc w:val="center"/>
                    <w:rPr>
                      <w:rFonts w:hint="default" w:ascii="Times New Roman" w:hAnsi="Times New Roman" w:eastAsia="宋体" w:cs="Times New Roman"/>
                      <w:sz w:val="18"/>
                      <w:szCs w:val="18"/>
                      <w:highlight w:val="none"/>
                    </w:rPr>
                  </w:pPr>
                </w:p>
              </w:tc>
              <w:tc>
                <w:tcPr>
                  <w:tcW w:w="699" w:type="dxa"/>
                  <w:tcBorders>
                    <w:top w:val="single" w:color="auto" w:sz="4" w:space="0"/>
                    <w:left w:val="single" w:color="auto" w:sz="4" w:space="0"/>
                    <w:bottom w:val="single" w:color="auto" w:sz="4" w:space="0"/>
                    <w:right w:val="single" w:color="auto" w:sz="4" w:space="0"/>
                  </w:tcBorders>
                  <w:vAlign w:val="center"/>
                </w:tcPr>
                <w:p w14:paraId="5B6B44C2">
                  <w:pPr>
                    <w:keepNext w:val="0"/>
                    <w:keepLines w:val="0"/>
                    <w:widowControl/>
                    <w:suppressLineNumbers w:val="0"/>
                    <w:snapToGrid w:val="0"/>
                    <w:spacing w:before="0" w:beforeAutospacing="0" w:after="0" w:afterAutospacing="0" w:line="264" w:lineRule="auto"/>
                    <w:ind w:left="0" w:right="0"/>
                    <w:jc w:val="center"/>
                    <w:rPr>
                      <w:rFonts w:hint="eastAsia" w:ascii="Times New Roman" w:hAnsi="Times New Roman" w:eastAsia="宋体" w:cs="Times New Roman"/>
                      <w:kern w:val="0"/>
                      <w:sz w:val="18"/>
                      <w:szCs w:val="18"/>
                      <w:highlight w:val="none"/>
                      <w:lang w:val="en-US" w:eastAsia="zh-CN"/>
                    </w:rPr>
                  </w:pPr>
                  <w:r>
                    <w:rPr>
                      <w:rFonts w:hint="default" w:ascii="Times New Roman" w:hAnsi="Times New Roman" w:eastAsia="宋体" w:cs="Times New Roman"/>
                      <w:kern w:val="0"/>
                      <w:sz w:val="18"/>
                      <w:szCs w:val="18"/>
                      <w:highlight w:val="none"/>
                      <w:lang w:val="en-US" w:eastAsia="zh-CN"/>
                    </w:rPr>
                    <w:t>120</w:t>
                  </w:r>
                </w:p>
              </w:tc>
              <w:tc>
                <w:tcPr>
                  <w:tcW w:w="777" w:type="dxa"/>
                  <w:tcBorders>
                    <w:top w:val="single" w:color="auto" w:sz="4" w:space="0"/>
                    <w:left w:val="single" w:color="auto" w:sz="4" w:space="0"/>
                    <w:bottom w:val="single" w:color="auto" w:sz="4" w:space="0"/>
                    <w:right w:val="single" w:color="auto" w:sz="4" w:space="0"/>
                  </w:tcBorders>
                  <w:vAlign w:val="center"/>
                </w:tcPr>
                <w:p w14:paraId="38069879">
                  <w:pPr>
                    <w:keepNext w:val="0"/>
                    <w:keepLines w:val="0"/>
                    <w:widowControl/>
                    <w:suppressLineNumbers w:val="0"/>
                    <w:snapToGrid w:val="0"/>
                    <w:spacing w:before="0" w:beforeAutospacing="0" w:after="0" w:afterAutospacing="0" w:line="264" w:lineRule="auto"/>
                    <w:ind w:left="0" w:right="0"/>
                    <w:jc w:val="center"/>
                    <w:rPr>
                      <w:rFonts w:hint="eastAsia" w:ascii="Times New Roman" w:hAnsi="Times New Roman" w:eastAsia="宋体" w:cs="Times New Roman"/>
                      <w:kern w:val="0"/>
                      <w:sz w:val="18"/>
                      <w:szCs w:val="18"/>
                      <w:highlight w:val="none"/>
                      <w:lang w:val="en-US" w:eastAsia="zh-CN"/>
                    </w:rPr>
                  </w:pPr>
                  <w:r>
                    <w:rPr>
                      <w:rFonts w:hint="eastAsia" w:ascii="Times New Roman" w:hAnsi="Times New Roman" w:eastAsia="宋体" w:cs="Times New Roman"/>
                      <w:kern w:val="0"/>
                      <w:sz w:val="18"/>
                      <w:szCs w:val="18"/>
                      <w:highlight w:val="none"/>
                      <w:lang w:val="en-US" w:eastAsia="zh-CN"/>
                    </w:rPr>
                    <w:t xml:space="preserve">0.703 </w:t>
                  </w:r>
                </w:p>
              </w:tc>
              <w:tc>
                <w:tcPr>
                  <w:tcW w:w="630" w:type="dxa"/>
                  <w:vMerge w:val="continue"/>
                  <w:tcBorders>
                    <w:left w:val="single" w:color="auto" w:sz="4" w:space="0"/>
                    <w:right w:val="single" w:color="auto" w:sz="4" w:space="0"/>
                  </w:tcBorders>
                  <w:vAlign w:val="center"/>
                </w:tcPr>
                <w:p w14:paraId="79523F52">
                  <w:pPr>
                    <w:keepNext w:val="0"/>
                    <w:keepLines w:val="0"/>
                    <w:widowControl/>
                    <w:suppressLineNumbers w:val="0"/>
                    <w:snapToGrid w:val="0"/>
                    <w:spacing w:before="0" w:beforeAutospacing="0" w:after="0" w:afterAutospacing="0" w:line="264" w:lineRule="auto"/>
                    <w:ind w:left="0" w:right="0"/>
                    <w:jc w:val="center"/>
                    <w:rPr>
                      <w:rFonts w:hint="eastAsia" w:ascii="Times New Roman" w:hAnsi="Times New Roman" w:eastAsia="宋体" w:cs="Times New Roman"/>
                      <w:kern w:val="0"/>
                      <w:sz w:val="18"/>
                      <w:szCs w:val="18"/>
                      <w:highlight w:val="none"/>
                      <w:lang w:val="en-US" w:eastAsia="zh-CN"/>
                    </w:rPr>
                  </w:pPr>
                </w:p>
              </w:tc>
              <w:tc>
                <w:tcPr>
                  <w:tcW w:w="477" w:type="dxa"/>
                  <w:tcBorders>
                    <w:left w:val="single" w:color="auto" w:sz="4" w:space="0"/>
                    <w:right w:val="single" w:color="auto" w:sz="4" w:space="0"/>
                  </w:tcBorders>
                  <w:vAlign w:val="center"/>
                </w:tcPr>
                <w:p w14:paraId="22990832">
                  <w:pPr>
                    <w:keepNext w:val="0"/>
                    <w:keepLines w:val="0"/>
                    <w:suppressLineNumbers w:val="0"/>
                    <w:snapToGrid w:val="0"/>
                    <w:spacing w:before="0" w:beforeAutospacing="0" w:after="0" w:afterAutospacing="0" w:line="264" w:lineRule="auto"/>
                    <w:ind w:left="0" w:right="0"/>
                    <w:jc w:val="center"/>
                    <w:rPr>
                      <w:rFonts w:hint="default" w:ascii="Times New Roman" w:hAnsi="Times New Roman" w:eastAsia="宋体" w:cs="Times New Roman"/>
                      <w:kern w:val="0"/>
                      <w:sz w:val="18"/>
                      <w:szCs w:val="18"/>
                      <w:highlight w:val="none"/>
                    </w:rPr>
                  </w:pPr>
                  <w:r>
                    <w:rPr>
                      <w:rFonts w:hint="eastAsia"/>
                      <w:bCs/>
                      <w:snapToGrid w:val="0"/>
                      <w:sz w:val="18"/>
                      <w:szCs w:val="18"/>
                      <w:highlight w:val="none"/>
                      <w:lang w:val="en-US" w:eastAsia="zh-CN"/>
                    </w:rPr>
                    <w:t>25</w:t>
                  </w:r>
                </w:p>
              </w:tc>
              <w:tc>
                <w:tcPr>
                  <w:tcW w:w="611" w:type="dxa"/>
                  <w:vMerge w:val="continue"/>
                  <w:tcBorders>
                    <w:left w:val="single" w:color="auto" w:sz="4" w:space="0"/>
                    <w:right w:val="single" w:color="auto" w:sz="4" w:space="0"/>
                  </w:tcBorders>
                  <w:vAlign w:val="center"/>
                </w:tcPr>
                <w:p w14:paraId="1687E777">
                  <w:pPr>
                    <w:keepNext w:val="0"/>
                    <w:keepLines w:val="0"/>
                    <w:suppressLineNumbers w:val="0"/>
                    <w:snapToGrid w:val="0"/>
                    <w:spacing w:before="0" w:beforeAutospacing="0" w:after="0" w:afterAutospacing="0" w:line="264" w:lineRule="auto"/>
                    <w:ind w:left="0" w:right="0"/>
                    <w:jc w:val="center"/>
                    <w:rPr>
                      <w:rFonts w:hint="default" w:ascii="Times New Roman" w:hAnsi="Times New Roman" w:eastAsia="宋体" w:cs="Times New Roman"/>
                      <w:kern w:val="0"/>
                      <w:sz w:val="18"/>
                      <w:szCs w:val="18"/>
                      <w:highlight w:val="none"/>
                    </w:rPr>
                  </w:pPr>
                </w:p>
              </w:tc>
              <w:tc>
                <w:tcPr>
                  <w:tcW w:w="679" w:type="dxa"/>
                  <w:tcBorders>
                    <w:top w:val="single" w:color="auto" w:sz="4" w:space="0"/>
                    <w:left w:val="single" w:color="auto" w:sz="4" w:space="0"/>
                    <w:bottom w:val="single" w:color="auto" w:sz="4" w:space="0"/>
                    <w:right w:val="single" w:color="auto" w:sz="4" w:space="0"/>
                  </w:tcBorders>
                  <w:vAlign w:val="center"/>
                </w:tcPr>
                <w:p w14:paraId="394BC4A1">
                  <w:pPr>
                    <w:keepNext w:val="0"/>
                    <w:keepLines w:val="0"/>
                    <w:widowControl/>
                    <w:suppressLineNumbers w:val="0"/>
                    <w:snapToGrid w:val="0"/>
                    <w:spacing w:before="0" w:beforeAutospacing="0" w:after="0" w:afterAutospacing="0" w:line="264" w:lineRule="auto"/>
                    <w:ind w:left="0" w:right="0"/>
                    <w:jc w:val="center"/>
                    <w:rPr>
                      <w:rFonts w:hint="default" w:ascii="Times New Roman" w:hAnsi="Times New Roman" w:eastAsia="宋体" w:cs="Times New Roman"/>
                      <w:kern w:val="0"/>
                      <w:sz w:val="18"/>
                      <w:szCs w:val="18"/>
                      <w:highlight w:val="none"/>
                    </w:rPr>
                  </w:pPr>
                  <w:r>
                    <w:rPr>
                      <w:rFonts w:hint="eastAsia" w:ascii="Times New Roman" w:hAnsi="Times New Roman" w:eastAsia="宋体" w:cs="Times New Roman"/>
                      <w:kern w:val="0"/>
                      <w:sz w:val="18"/>
                      <w:szCs w:val="18"/>
                      <w:highlight w:val="none"/>
                      <w:lang w:val="en-US" w:eastAsia="zh-CN"/>
                    </w:rPr>
                    <w:t>90</w:t>
                  </w:r>
                </w:p>
              </w:tc>
              <w:tc>
                <w:tcPr>
                  <w:tcW w:w="723" w:type="dxa"/>
                  <w:tcBorders>
                    <w:top w:val="single" w:color="auto" w:sz="4" w:space="0"/>
                    <w:left w:val="single" w:color="auto" w:sz="4" w:space="0"/>
                    <w:bottom w:val="single" w:color="auto" w:sz="4" w:space="0"/>
                    <w:right w:val="single" w:color="auto" w:sz="4" w:space="0"/>
                  </w:tcBorders>
                  <w:vAlign w:val="center"/>
                </w:tcPr>
                <w:p w14:paraId="07D6D53A">
                  <w:pPr>
                    <w:keepNext w:val="0"/>
                    <w:keepLines w:val="0"/>
                    <w:widowControl/>
                    <w:suppressLineNumbers w:val="0"/>
                    <w:snapToGrid w:val="0"/>
                    <w:spacing w:before="0" w:beforeAutospacing="0" w:after="0" w:afterAutospacing="0" w:line="264" w:lineRule="auto"/>
                    <w:ind w:left="0" w:right="0"/>
                    <w:jc w:val="center"/>
                    <w:rPr>
                      <w:rFonts w:hint="eastAsia" w:ascii="Times New Roman" w:hAnsi="Times New Roman" w:eastAsia="宋体" w:cs="Times New Roman"/>
                      <w:kern w:val="0"/>
                      <w:sz w:val="18"/>
                      <w:szCs w:val="18"/>
                      <w:highlight w:val="none"/>
                      <w:lang w:val="en-US" w:eastAsia="zh-CN"/>
                    </w:rPr>
                  </w:pPr>
                  <w:r>
                    <w:rPr>
                      <w:rFonts w:hint="eastAsia" w:ascii="Times New Roman" w:hAnsi="Times New Roman" w:eastAsia="宋体" w:cs="Times New Roman"/>
                      <w:kern w:val="0"/>
                      <w:sz w:val="18"/>
                      <w:szCs w:val="18"/>
                      <w:highlight w:val="none"/>
                      <w:lang w:val="en-US" w:eastAsia="zh-CN"/>
                    </w:rPr>
                    <w:t xml:space="preserve">0.527 </w:t>
                  </w:r>
                </w:p>
              </w:tc>
              <w:tc>
                <w:tcPr>
                  <w:tcW w:w="481" w:type="dxa"/>
                  <w:vMerge w:val="continue"/>
                  <w:tcBorders>
                    <w:left w:val="single" w:color="auto" w:sz="4" w:space="0"/>
                    <w:right w:val="single" w:color="auto" w:sz="4" w:space="0"/>
                  </w:tcBorders>
                  <w:vAlign w:val="center"/>
                </w:tcPr>
                <w:p w14:paraId="415D4D52">
                  <w:pPr>
                    <w:keepNext w:val="0"/>
                    <w:keepLines w:val="0"/>
                    <w:suppressLineNumbers w:val="0"/>
                    <w:snapToGrid w:val="0"/>
                    <w:spacing w:before="0" w:beforeAutospacing="0" w:after="0" w:afterAutospacing="0" w:line="264" w:lineRule="auto"/>
                    <w:ind w:left="0" w:right="0"/>
                    <w:jc w:val="center"/>
                    <w:rPr>
                      <w:rFonts w:hint="default" w:ascii="Times New Roman" w:hAnsi="Times New Roman" w:eastAsia="宋体" w:cs="Times New Roman"/>
                      <w:kern w:val="0"/>
                      <w:sz w:val="18"/>
                      <w:szCs w:val="18"/>
                      <w:highlight w:val="none"/>
                    </w:rPr>
                  </w:pPr>
                </w:p>
              </w:tc>
            </w:tr>
            <w:tr w14:paraId="51F5C9F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1017" w:hRule="atLeast"/>
                <w:jc w:val="center"/>
              </w:trPr>
              <w:tc>
                <w:tcPr>
                  <w:tcW w:w="580" w:type="dxa"/>
                  <w:vMerge w:val="continue"/>
                  <w:tcBorders>
                    <w:left w:val="single" w:color="auto" w:sz="4" w:space="0"/>
                    <w:right w:val="single" w:color="auto" w:sz="4" w:space="0"/>
                  </w:tcBorders>
                  <w:vAlign w:val="center"/>
                </w:tcPr>
                <w:p w14:paraId="1545AC0F">
                  <w:pPr>
                    <w:keepNext w:val="0"/>
                    <w:keepLines w:val="0"/>
                    <w:widowControl/>
                    <w:suppressLineNumbers w:val="0"/>
                    <w:adjustRightInd w:val="0"/>
                    <w:snapToGrid w:val="0"/>
                    <w:spacing w:before="0" w:beforeAutospacing="0" w:after="0" w:afterAutospacing="0" w:line="264" w:lineRule="auto"/>
                    <w:ind w:left="0" w:right="0"/>
                    <w:jc w:val="center"/>
                    <w:rPr>
                      <w:rFonts w:hint="default" w:ascii="Times New Roman" w:hAnsi="Times New Roman" w:eastAsia="宋体" w:cs="Times New Roman"/>
                      <w:snapToGrid w:val="0"/>
                      <w:sz w:val="18"/>
                      <w:szCs w:val="18"/>
                      <w:highlight w:val="none"/>
                    </w:rPr>
                  </w:pPr>
                </w:p>
              </w:tc>
              <w:tc>
                <w:tcPr>
                  <w:tcW w:w="423" w:type="dxa"/>
                  <w:vMerge w:val="continue"/>
                  <w:tcBorders>
                    <w:left w:val="single" w:color="auto" w:sz="4" w:space="0"/>
                    <w:right w:val="single" w:color="auto" w:sz="4" w:space="0"/>
                  </w:tcBorders>
                  <w:vAlign w:val="center"/>
                </w:tcPr>
                <w:p w14:paraId="77CE0023">
                  <w:pPr>
                    <w:keepNext w:val="0"/>
                    <w:keepLines w:val="0"/>
                    <w:widowControl/>
                    <w:suppressLineNumbers w:val="0"/>
                    <w:adjustRightInd w:val="0"/>
                    <w:snapToGrid w:val="0"/>
                    <w:spacing w:before="0" w:beforeAutospacing="0" w:after="0" w:afterAutospacing="0" w:line="264" w:lineRule="auto"/>
                    <w:ind w:left="0" w:right="0"/>
                    <w:jc w:val="center"/>
                    <w:rPr>
                      <w:rFonts w:hint="default" w:ascii="Times New Roman" w:hAnsi="Times New Roman" w:eastAsia="宋体" w:cs="Times New Roman"/>
                      <w:snapToGrid w:val="0"/>
                      <w:sz w:val="18"/>
                      <w:szCs w:val="18"/>
                      <w:highlight w:val="none"/>
                    </w:rPr>
                  </w:pPr>
                </w:p>
              </w:tc>
              <w:tc>
                <w:tcPr>
                  <w:tcW w:w="1031" w:type="dxa"/>
                  <w:vMerge w:val="continue"/>
                  <w:tcBorders>
                    <w:left w:val="single" w:color="auto" w:sz="4" w:space="0"/>
                    <w:right w:val="single" w:color="auto" w:sz="4" w:space="0"/>
                  </w:tcBorders>
                  <w:vAlign w:val="center"/>
                </w:tcPr>
                <w:p w14:paraId="7217B0A7">
                  <w:pPr>
                    <w:keepNext w:val="0"/>
                    <w:keepLines w:val="0"/>
                    <w:widowControl/>
                    <w:suppressLineNumbers w:val="0"/>
                    <w:adjustRightInd w:val="0"/>
                    <w:snapToGrid w:val="0"/>
                    <w:spacing w:before="0" w:beforeAutospacing="0" w:after="0" w:afterAutospacing="0" w:line="264" w:lineRule="auto"/>
                    <w:ind w:left="0" w:right="0"/>
                    <w:jc w:val="center"/>
                    <w:rPr>
                      <w:rFonts w:hint="eastAsia" w:ascii="Times New Roman" w:hAnsi="Times New Roman" w:eastAsia="宋体" w:cs="Times New Roman"/>
                      <w:snapToGrid w:val="0"/>
                      <w:sz w:val="18"/>
                      <w:szCs w:val="18"/>
                      <w:highlight w:val="none"/>
                      <w:lang w:val="en-US" w:eastAsia="zh-CN"/>
                    </w:rPr>
                  </w:pPr>
                </w:p>
              </w:tc>
              <w:tc>
                <w:tcPr>
                  <w:tcW w:w="595" w:type="dxa"/>
                  <w:tcBorders>
                    <w:top w:val="single" w:color="auto" w:sz="4" w:space="0"/>
                    <w:left w:val="single" w:color="auto" w:sz="4" w:space="0"/>
                    <w:bottom w:val="single" w:color="auto" w:sz="4" w:space="0"/>
                    <w:right w:val="single" w:color="auto" w:sz="4" w:space="0"/>
                  </w:tcBorders>
                  <w:vAlign w:val="center"/>
                </w:tcPr>
                <w:p w14:paraId="5EF16BCE">
                  <w:pPr>
                    <w:keepNext w:val="0"/>
                    <w:keepLines w:val="0"/>
                    <w:widowControl/>
                    <w:suppressLineNumbers w:val="0"/>
                    <w:adjustRightInd w:val="0"/>
                    <w:snapToGrid w:val="0"/>
                    <w:spacing w:before="0" w:beforeAutospacing="0" w:after="0" w:afterAutospacing="0" w:line="264" w:lineRule="auto"/>
                    <w:ind w:left="0" w:right="0"/>
                    <w:jc w:val="center"/>
                    <w:rPr>
                      <w:rFonts w:hint="default" w:ascii="Times New Roman" w:hAnsi="Times New Roman" w:eastAsia="宋体" w:cs="Times New Roman"/>
                      <w:snapToGrid w:val="0"/>
                      <w:sz w:val="18"/>
                      <w:szCs w:val="18"/>
                      <w:highlight w:val="none"/>
                    </w:rPr>
                  </w:pPr>
                  <w:r>
                    <w:rPr>
                      <w:rFonts w:hint="eastAsia" w:ascii="Times New Roman" w:hAnsi="Times New Roman" w:eastAsia="宋体" w:cs="Times New Roman"/>
                      <w:snapToGrid w:val="0"/>
                      <w:sz w:val="18"/>
                      <w:szCs w:val="18"/>
                      <w:highlight w:val="none"/>
                    </w:rPr>
                    <w:t>粪大肠菌群数</w:t>
                  </w:r>
                </w:p>
              </w:tc>
              <w:tc>
                <w:tcPr>
                  <w:tcW w:w="609" w:type="dxa"/>
                  <w:vMerge w:val="continue"/>
                  <w:tcBorders>
                    <w:left w:val="single" w:color="auto" w:sz="4" w:space="0"/>
                    <w:right w:val="single" w:color="auto" w:sz="4" w:space="0"/>
                  </w:tcBorders>
                  <w:vAlign w:val="center"/>
                </w:tcPr>
                <w:p w14:paraId="294C7508">
                  <w:pPr>
                    <w:keepNext w:val="0"/>
                    <w:keepLines w:val="0"/>
                    <w:suppressLineNumbers w:val="0"/>
                    <w:snapToGrid w:val="0"/>
                    <w:spacing w:before="0" w:beforeAutospacing="0" w:after="0" w:afterAutospacing="0" w:line="264" w:lineRule="auto"/>
                    <w:ind w:left="0" w:right="0"/>
                    <w:jc w:val="center"/>
                    <w:rPr>
                      <w:rFonts w:hint="default" w:ascii="Times New Roman" w:hAnsi="Times New Roman" w:eastAsia="宋体" w:cs="Times New Roman"/>
                      <w:sz w:val="18"/>
                      <w:szCs w:val="18"/>
                      <w:highlight w:val="none"/>
                    </w:rPr>
                  </w:pPr>
                </w:p>
              </w:tc>
              <w:tc>
                <w:tcPr>
                  <w:tcW w:w="699" w:type="dxa"/>
                  <w:tcBorders>
                    <w:top w:val="single" w:color="auto" w:sz="4" w:space="0"/>
                    <w:left w:val="single" w:color="auto" w:sz="4" w:space="0"/>
                    <w:bottom w:val="single" w:color="auto" w:sz="4" w:space="0"/>
                    <w:right w:val="single" w:color="auto" w:sz="4" w:space="0"/>
                  </w:tcBorders>
                  <w:vAlign w:val="center"/>
                </w:tcPr>
                <w:p w14:paraId="227B981A">
                  <w:pPr>
                    <w:keepNext w:val="0"/>
                    <w:keepLines w:val="0"/>
                    <w:widowControl/>
                    <w:suppressLineNumbers w:val="0"/>
                    <w:snapToGrid w:val="0"/>
                    <w:spacing w:before="0" w:beforeAutospacing="0" w:after="0" w:afterAutospacing="0" w:line="264" w:lineRule="auto"/>
                    <w:ind w:left="0" w:right="0"/>
                    <w:jc w:val="center"/>
                    <w:rPr>
                      <w:rFonts w:hint="eastAsia" w:ascii="Times New Roman" w:hAnsi="Times New Roman" w:eastAsia="宋体" w:cs="Times New Roman"/>
                      <w:kern w:val="0"/>
                      <w:sz w:val="18"/>
                      <w:szCs w:val="18"/>
                      <w:highlight w:val="none"/>
                      <w:lang w:val="en-US" w:eastAsia="zh-CN"/>
                    </w:rPr>
                  </w:pPr>
                  <w:r>
                    <w:rPr>
                      <w:rFonts w:hint="default" w:ascii="Times New Roman" w:hAnsi="Times New Roman" w:eastAsia="宋体" w:cs="Times New Roman"/>
                      <w:kern w:val="0"/>
                      <w:sz w:val="18"/>
                      <w:szCs w:val="18"/>
                      <w:highlight w:val="none"/>
                      <w:lang w:val="en-US" w:eastAsia="zh-CN"/>
                    </w:rPr>
                    <w:t>2.0×10</w:t>
                  </w:r>
                  <w:r>
                    <w:rPr>
                      <w:rFonts w:hint="default" w:ascii="Times New Roman" w:hAnsi="Times New Roman" w:eastAsia="宋体" w:cs="Times New Roman"/>
                      <w:kern w:val="0"/>
                      <w:sz w:val="18"/>
                      <w:szCs w:val="18"/>
                      <w:highlight w:val="none"/>
                      <w:vertAlign w:val="superscript"/>
                      <w:lang w:val="en-US" w:eastAsia="zh-CN"/>
                    </w:rPr>
                    <w:t>8</w:t>
                  </w:r>
                  <w:r>
                    <w:rPr>
                      <w:rFonts w:hint="eastAsia" w:ascii="Times New Roman" w:hAnsi="Times New Roman" w:eastAsia="宋体" w:cs="Times New Roman"/>
                      <w:kern w:val="0"/>
                      <w:sz w:val="18"/>
                      <w:szCs w:val="18"/>
                      <w:highlight w:val="none"/>
                      <w:lang w:val="en-US" w:eastAsia="zh-CN"/>
                    </w:rPr>
                    <w:t>个/L</w:t>
                  </w:r>
                </w:p>
              </w:tc>
              <w:tc>
                <w:tcPr>
                  <w:tcW w:w="777" w:type="dxa"/>
                  <w:tcBorders>
                    <w:top w:val="single" w:color="auto" w:sz="4" w:space="0"/>
                    <w:left w:val="single" w:color="auto" w:sz="4" w:space="0"/>
                    <w:bottom w:val="single" w:color="auto" w:sz="4" w:space="0"/>
                    <w:right w:val="single" w:color="auto" w:sz="4" w:space="0"/>
                  </w:tcBorders>
                  <w:vAlign w:val="center"/>
                </w:tcPr>
                <w:p w14:paraId="27394949">
                  <w:pPr>
                    <w:keepNext w:val="0"/>
                    <w:keepLines w:val="0"/>
                    <w:widowControl/>
                    <w:suppressLineNumbers w:val="0"/>
                    <w:snapToGrid w:val="0"/>
                    <w:spacing w:before="0" w:beforeAutospacing="0" w:after="0" w:afterAutospacing="0" w:line="264" w:lineRule="auto"/>
                    <w:ind w:left="0" w:right="0"/>
                    <w:jc w:val="center"/>
                    <w:rPr>
                      <w:rFonts w:hint="default" w:ascii="Times New Roman" w:hAnsi="Times New Roman" w:eastAsia="宋体" w:cs="Times New Roman"/>
                      <w:kern w:val="0"/>
                      <w:sz w:val="18"/>
                      <w:szCs w:val="18"/>
                      <w:highlight w:val="none"/>
                      <w:lang w:val="en-US" w:eastAsia="zh-CN"/>
                    </w:rPr>
                  </w:pPr>
                  <w:r>
                    <w:rPr>
                      <w:rFonts w:hint="eastAsia" w:ascii="Times New Roman" w:hAnsi="Times New Roman" w:eastAsia="宋体" w:cs="Times New Roman"/>
                      <w:kern w:val="0"/>
                      <w:sz w:val="18"/>
                      <w:szCs w:val="18"/>
                      <w:highlight w:val="none"/>
                      <w:lang w:val="en-US" w:eastAsia="zh-CN"/>
                    </w:rPr>
                    <w:t>1.1</w:t>
                  </w:r>
                  <w:r>
                    <w:rPr>
                      <w:rFonts w:hint="eastAsia" w:cs="Times New Roman"/>
                      <w:kern w:val="0"/>
                      <w:sz w:val="18"/>
                      <w:szCs w:val="18"/>
                      <w:highlight w:val="none"/>
                      <w:lang w:val="en-US" w:eastAsia="zh-CN"/>
                    </w:rPr>
                    <w:t>7</w:t>
                  </w:r>
                  <w:r>
                    <w:rPr>
                      <w:rFonts w:hint="default" w:ascii="Times New Roman" w:hAnsi="Times New Roman" w:eastAsia="宋体" w:cs="Times New Roman"/>
                      <w:kern w:val="0"/>
                      <w:sz w:val="18"/>
                      <w:szCs w:val="18"/>
                      <w:highlight w:val="none"/>
                      <w:lang w:val="en-US" w:eastAsia="zh-CN"/>
                    </w:rPr>
                    <w:t>×10</w:t>
                  </w:r>
                  <w:r>
                    <w:rPr>
                      <w:rFonts w:hint="eastAsia" w:ascii="Times New Roman" w:hAnsi="Times New Roman" w:eastAsia="宋体" w:cs="Times New Roman"/>
                      <w:kern w:val="0"/>
                      <w:sz w:val="18"/>
                      <w:szCs w:val="18"/>
                      <w:highlight w:val="none"/>
                      <w:vertAlign w:val="superscript"/>
                      <w:lang w:val="en-US" w:eastAsia="zh-CN"/>
                    </w:rPr>
                    <w:t>15</w:t>
                  </w:r>
                  <w:r>
                    <w:rPr>
                      <w:rFonts w:hint="eastAsia" w:ascii="Times New Roman" w:hAnsi="Times New Roman" w:eastAsia="宋体" w:cs="Times New Roman"/>
                      <w:kern w:val="0"/>
                      <w:sz w:val="18"/>
                      <w:szCs w:val="18"/>
                      <w:highlight w:val="none"/>
                      <w:lang w:val="en-US" w:eastAsia="zh-CN"/>
                    </w:rPr>
                    <w:t>个/a</w:t>
                  </w:r>
                </w:p>
              </w:tc>
              <w:tc>
                <w:tcPr>
                  <w:tcW w:w="630" w:type="dxa"/>
                  <w:vMerge w:val="continue"/>
                  <w:tcBorders>
                    <w:left w:val="single" w:color="auto" w:sz="4" w:space="0"/>
                    <w:right w:val="single" w:color="auto" w:sz="4" w:space="0"/>
                  </w:tcBorders>
                  <w:vAlign w:val="center"/>
                </w:tcPr>
                <w:p w14:paraId="33313AEB">
                  <w:pPr>
                    <w:keepNext w:val="0"/>
                    <w:keepLines w:val="0"/>
                    <w:widowControl/>
                    <w:suppressLineNumbers w:val="0"/>
                    <w:snapToGrid w:val="0"/>
                    <w:spacing w:before="0" w:beforeAutospacing="0" w:after="0" w:afterAutospacing="0" w:line="264" w:lineRule="auto"/>
                    <w:ind w:left="0" w:right="0"/>
                    <w:jc w:val="center"/>
                    <w:rPr>
                      <w:rFonts w:hint="eastAsia" w:ascii="Times New Roman" w:hAnsi="Times New Roman" w:eastAsia="宋体" w:cs="Times New Roman"/>
                      <w:kern w:val="0"/>
                      <w:sz w:val="18"/>
                      <w:szCs w:val="18"/>
                      <w:highlight w:val="none"/>
                      <w:lang w:val="en-US" w:eastAsia="zh-CN"/>
                    </w:rPr>
                  </w:pPr>
                </w:p>
              </w:tc>
              <w:tc>
                <w:tcPr>
                  <w:tcW w:w="477" w:type="dxa"/>
                  <w:tcBorders>
                    <w:left w:val="single" w:color="auto" w:sz="4" w:space="0"/>
                    <w:right w:val="single" w:color="auto" w:sz="4" w:space="0"/>
                  </w:tcBorders>
                  <w:vAlign w:val="center"/>
                </w:tcPr>
                <w:p w14:paraId="7130677D">
                  <w:pPr>
                    <w:keepNext w:val="0"/>
                    <w:keepLines w:val="0"/>
                    <w:suppressLineNumbers w:val="0"/>
                    <w:snapToGrid w:val="0"/>
                    <w:spacing w:before="0" w:beforeAutospacing="0" w:after="0" w:afterAutospacing="0" w:line="264" w:lineRule="auto"/>
                    <w:ind w:left="0" w:right="0"/>
                    <w:jc w:val="center"/>
                    <w:rPr>
                      <w:rFonts w:hint="default" w:ascii="Times New Roman" w:hAnsi="Times New Roman" w:eastAsia="宋体" w:cs="Times New Roman"/>
                      <w:kern w:val="0"/>
                      <w:sz w:val="18"/>
                      <w:szCs w:val="18"/>
                      <w:highlight w:val="none"/>
                    </w:rPr>
                  </w:pPr>
                  <w:r>
                    <w:rPr>
                      <w:rFonts w:hint="default"/>
                      <w:szCs w:val="21"/>
                      <w:highlight w:val="none"/>
                    </w:rPr>
                    <w:t>&gt;</w:t>
                  </w:r>
                  <w:r>
                    <w:rPr>
                      <w:rFonts w:hint="eastAsia"/>
                      <w:bCs/>
                      <w:snapToGrid w:val="0"/>
                      <w:sz w:val="18"/>
                      <w:szCs w:val="18"/>
                      <w:highlight w:val="none"/>
                      <w:lang w:val="en-US" w:eastAsia="zh-CN"/>
                    </w:rPr>
                    <w:t>99.9</w:t>
                  </w:r>
                </w:p>
              </w:tc>
              <w:tc>
                <w:tcPr>
                  <w:tcW w:w="611" w:type="dxa"/>
                  <w:vMerge w:val="continue"/>
                  <w:tcBorders>
                    <w:left w:val="single" w:color="auto" w:sz="4" w:space="0"/>
                    <w:right w:val="single" w:color="auto" w:sz="4" w:space="0"/>
                  </w:tcBorders>
                  <w:vAlign w:val="center"/>
                </w:tcPr>
                <w:p w14:paraId="085A6F71">
                  <w:pPr>
                    <w:keepNext w:val="0"/>
                    <w:keepLines w:val="0"/>
                    <w:suppressLineNumbers w:val="0"/>
                    <w:snapToGrid w:val="0"/>
                    <w:spacing w:before="0" w:beforeAutospacing="0" w:after="0" w:afterAutospacing="0" w:line="264" w:lineRule="auto"/>
                    <w:ind w:left="0" w:right="0"/>
                    <w:jc w:val="center"/>
                    <w:rPr>
                      <w:rFonts w:hint="default" w:ascii="Times New Roman" w:hAnsi="Times New Roman" w:eastAsia="宋体" w:cs="Times New Roman"/>
                      <w:kern w:val="0"/>
                      <w:sz w:val="18"/>
                      <w:szCs w:val="18"/>
                      <w:highlight w:val="none"/>
                    </w:rPr>
                  </w:pPr>
                </w:p>
              </w:tc>
              <w:tc>
                <w:tcPr>
                  <w:tcW w:w="679" w:type="dxa"/>
                  <w:tcBorders>
                    <w:top w:val="single" w:color="auto" w:sz="4" w:space="0"/>
                    <w:left w:val="single" w:color="auto" w:sz="4" w:space="0"/>
                    <w:bottom w:val="single" w:color="auto" w:sz="4" w:space="0"/>
                    <w:right w:val="single" w:color="auto" w:sz="4" w:space="0"/>
                  </w:tcBorders>
                  <w:vAlign w:val="center"/>
                </w:tcPr>
                <w:p w14:paraId="68598047">
                  <w:pPr>
                    <w:keepNext w:val="0"/>
                    <w:keepLines w:val="0"/>
                    <w:widowControl/>
                    <w:suppressLineNumbers w:val="0"/>
                    <w:snapToGrid w:val="0"/>
                    <w:spacing w:before="0" w:beforeAutospacing="0" w:after="0" w:afterAutospacing="0" w:line="264" w:lineRule="auto"/>
                    <w:ind w:left="0" w:right="0"/>
                    <w:jc w:val="center"/>
                    <w:rPr>
                      <w:rFonts w:hint="default" w:ascii="Times New Roman" w:hAnsi="Times New Roman" w:eastAsia="宋体" w:cs="Times New Roman"/>
                      <w:kern w:val="0"/>
                      <w:sz w:val="18"/>
                      <w:szCs w:val="18"/>
                      <w:highlight w:val="none"/>
                      <w:lang w:val="en-US" w:eastAsia="zh-CN"/>
                    </w:rPr>
                  </w:pPr>
                  <w:r>
                    <w:rPr>
                      <w:rFonts w:hint="default" w:ascii="Times New Roman" w:hAnsi="Times New Roman" w:eastAsia="宋体" w:cs="Times New Roman"/>
                      <w:kern w:val="0"/>
                      <w:sz w:val="18"/>
                      <w:szCs w:val="18"/>
                      <w:highlight w:val="none"/>
                      <w:lang w:val="en-US" w:eastAsia="zh-CN"/>
                    </w:rPr>
                    <w:t>10</w:t>
                  </w:r>
                  <w:r>
                    <w:rPr>
                      <w:rFonts w:hint="eastAsia" w:ascii="Times New Roman" w:hAnsi="Times New Roman" w:eastAsia="宋体" w:cs="Times New Roman"/>
                      <w:kern w:val="0"/>
                      <w:sz w:val="18"/>
                      <w:szCs w:val="18"/>
                      <w:highlight w:val="none"/>
                      <w:vertAlign w:val="superscript"/>
                      <w:lang w:val="en-US" w:eastAsia="zh-CN"/>
                    </w:rPr>
                    <w:t>4</w:t>
                  </w:r>
                  <w:r>
                    <w:rPr>
                      <w:rFonts w:hint="eastAsia" w:ascii="Times New Roman" w:hAnsi="Times New Roman" w:eastAsia="宋体" w:cs="Times New Roman"/>
                      <w:kern w:val="0"/>
                      <w:sz w:val="18"/>
                      <w:szCs w:val="18"/>
                      <w:highlight w:val="none"/>
                      <w:lang w:val="en-US" w:eastAsia="zh-CN"/>
                    </w:rPr>
                    <w:t>个/L</w:t>
                  </w:r>
                </w:p>
              </w:tc>
              <w:tc>
                <w:tcPr>
                  <w:tcW w:w="723" w:type="dxa"/>
                  <w:tcBorders>
                    <w:top w:val="single" w:color="auto" w:sz="4" w:space="0"/>
                    <w:left w:val="single" w:color="auto" w:sz="4" w:space="0"/>
                    <w:bottom w:val="single" w:color="auto" w:sz="4" w:space="0"/>
                    <w:right w:val="single" w:color="auto" w:sz="4" w:space="0"/>
                  </w:tcBorders>
                  <w:vAlign w:val="center"/>
                </w:tcPr>
                <w:p w14:paraId="20466312">
                  <w:pPr>
                    <w:keepNext w:val="0"/>
                    <w:keepLines w:val="0"/>
                    <w:widowControl/>
                    <w:suppressLineNumbers w:val="0"/>
                    <w:snapToGrid w:val="0"/>
                    <w:spacing w:before="0" w:beforeAutospacing="0" w:after="0" w:afterAutospacing="0" w:line="264" w:lineRule="auto"/>
                    <w:ind w:left="0" w:right="0"/>
                    <w:jc w:val="center"/>
                    <w:rPr>
                      <w:rFonts w:hint="eastAsia" w:ascii="Times New Roman" w:hAnsi="Times New Roman" w:eastAsia="宋体" w:cs="Times New Roman"/>
                      <w:kern w:val="0"/>
                      <w:sz w:val="18"/>
                      <w:szCs w:val="18"/>
                      <w:highlight w:val="none"/>
                      <w:lang w:val="en-US" w:eastAsia="zh-CN"/>
                    </w:rPr>
                  </w:pPr>
                  <w:r>
                    <w:rPr>
                      <w:rFonts w:hint="eastAsia" w:cs="Times New Roman"/>
                      <w:kern w:val="0"/>
                      <w:sz w:val="18"/>
                      <w:szCs w:val="18"/>
                      <w:highlight w:val="none"/>
                      <w:lang w:val="en-US" w:eastAsia="zh-CN"/>
                    </w:rPr>
                    <w:t>5</w:t>
                  </w:r>
                  <w:r>
                    <w:rPr>
                      <w:rFonts w:hint="eastAsia" w:ascii="Times New Roman" w:hAnsi="Times New Roman" w:eastAsia="宋体" w:cs="Times New Roman"/>
                      <w:kern w:val="0"/>
                      <w:sz w:val="18"/>
                      <w:szCs w:val="18"/>
                      <w:highlight w:val="none"/>
                      <w:lang w:val="en-US" w:eastAsia="zh-CN"/>
                    </w:rPr>
                    <w:t>.</w:t>
                  </w:r>
                  <w:r>
                    <w:rPr>
                      <w:rFonts w:hint="eastAsia" w:cs="Times New Roman"/>
                      <w:kern w:val="0"/>
                      <w:sz w:val="18"/>
                      <w:szCs w:val="18"/>
                      <w:highlight w:val="none"/>
                      <w:lang w:val="en-US" w:eastAsia="zh-CN"/>
                    </w:rPr>
                    <w:t>86</w:t>
                  </w:r>
                  <w:r>
                    <w:rPr>
                      <w:rFonts w:hint="default" w:ascii="Times New Roman" w:hAnsi="Times New Roman" w:eastAsia="宋体" w:cs="Times New Roman"/>
                      <w:kern w:val="0"/>
                      <w:sz w:val="18"/>
                      <w:szCs w:val="18"/>
                      <w:highlight w:val="none"/>
                      <w:lang w:val="en-US" w:eastAsia="zh-CN"/>
                    </w:rPr>
                    <w:t>×10</w:t>
                  </w:r>
                  <w:r>
                    <w:rPr>
                      <w:rFonts w:hint="eastAsia" w:ascii="Times New Roman" w:hAnsi="Times New Roman" w:eastAsia="宋体" w:cs="Times New Roman"/>
                      <w:kern w:val="0"/>
                      <w:sz w:val="18"/>
                      <w:szCs w:val="18"/>
                      <w:highlight w:val="none"/>
                      <w:vertAlign w:val="superscript"/>
                      <w:lang w:val="en-US" w:eastAsia="zh-CN"/>
                    </w:rPr>
                    <w:t>1</w:t>
                  </w:r>
                  <w:r>
                    <w:rPr>
                      <w:rFonts w:hint="eastAsia" w:cs="Times New Roman"/>
                      <w:kern w:val="0"/>
                      <w:sz w:val="18"/>
                      <w:szCs w:val="18"/>
                      <w:highlight w:val="none"/>
                      <w:vertAlign w:val="superscript"/>
                      <w:lang w:val="en-US" w:eastAsia="zh-CN"/>
                    </w:rPr>
                    <w:t>0</w:t>
                  </w:r>
                  <w:r>
                    <w:rPr>
                      <w:rFonts w:hint="eastAsia" w:ascii="Times New Roman" w:hAnsi="Times New Roman" w:eastAsia="宋体" w:cs="Times New Roman"/>
                      <w:kern w:val="0"/>
                      <w:sz w:val="18"/>
                      <w:szCs w:val="18"/>
                      <w:highlight w:val="none"/>
                      <w:lang w:val="en-US" w:eastAsia="zh-CN"/>
                    </w:rPr>
                    <w:t>个/a</w:t>
                  </w:r>
                </w:p>
              </w:tc>
              <w:tc>
                <w:tcPr>
                  <w:tcW w:w="481" w:type="dxa"/>
                  <w:vMerge w:val="continue"/>
                  <w:tcBorders>
                    <w:left w:val="single" w:color="auto" w:sz="4" w:space="0"/>
                    <w:right w:val="single" w:color="auto" w:sz="4" w:space="0"/>
                  </w:tcBorders>
                  <w:vAlign w:val="center"/>
                </w:tcPr>
                <w:p w14:paraId="4ABDE82B">
                  <w:pPr>
                    <w:keepNext w:val="0"/>
                    <w:keepLines w:val="0"/>
                    <w:suppressLineNumbers w:val="0"/>
                    <w:snapToGrid w:val="0"/>
                    <w:spacing w:before="0" w:beforeAutospacing="0" w:after="0" w:afterAutospacing="0" w:line="264" w:lineRule="auto"/>
                    <w:ind w:left="0" w:right="0"/>
                    <w:jc w:val="center"/>
                    <w:rPr>
                      <w:rFonts w:hint="default" w:ascii="Times New Roman" w:hAnsi="Times New Roman" w:eastAsia="宋体" w:cs="Times New Roman"/>
                      <w:kern w:val="0"/>
                      <w:sz w:val="18"/>
                      <w:szCs w:val="18"/>
                      <w:highlight w:val="none"/>
                    </w:rPr>
                  </w:pPr>
                </w:p>
              </w:tc>
            </w:tr>
            <w:tr w14:paraId="5B83EE7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194" w:hRule="atLeast"/>
                <w:jc w:val="center"/>
              </w:trPr>
              <w:tc>
                <w:tcPr>
                  <w:tcW w:w="580" w:type="dxa"/>
                  <w:vMerge w:val="continue"/>
                  <w:tcBorders>
                    <w:left w:val="single" w:color="auto" w:sz="4" w:space="0"/>
                    <w:right w:val="single" w:color="auto" w:sz="4" w:space="0"/>
                  </w:tcBorders>
                  <w:vAlign w:val="center"/>
                </w:tcPr>
                <w:p w14:paraId="531025F3">
                  <w:pPr>
                    <w:keepNext w:val="0"/>
                    <w:keepLines w:val="0"/>
                    <w:widowControl/>
                    <w:suppressLineNumbers w:val="0"/>
                    <w:adjustRightInd w:val="0"/>
                    <w:snapToGrid w:val="0"/>
                    <w:spacing w:before="0" w:beforeAutospacing="0" w:after="0" w:afterAutospacing="0" w:line="264" w:lineRule="auto"/>
                    <w:ind w:left="0" w:right="0"/>
                    <w:jc w:val="center"/>
                    <w:rPr>
                      <w:rFonts w:hint="default" w:ascii="Times New Roman" w:hAnsi="Times New Roman" w:eastAsia="宋体" w:cs="Times New Roman"/>
                      <w:snapToGrid w:val="0"/>
                      <w:sz w:val="18"/>
                      <w:szCs w:val="18"/>
                      <w:highlight w:val="none"/>
                    </w:rPr>
                  </w:pPr>
                </w:p>
              </w:tc>
              <w:tc>
                <w:tcPr>
                  <w:tcW w:w="423" w:type="dxa"/>
                  <w:vMerge w:val="continue"/>
                  <w:tcBorders>
                    <w:left w:val="single" w:color="auto" w:sz="4" w:space="0"/>
                    <w:right w:val="single" w:color="auto" w:sz="4" w:space="0"/>
                  </w:tcBorders>
                  <w:vAlign w:val="center"/>
                </w:tcPr>
                <w:p w14:paraId="0DDAA23A">
                  <w:pPr>
                    <w:keepNext w:val="0"/>
                    <w:keepLines w:val="0"/>
                    <w:widowControl/>
                    <w:suppressLineNumbers w:val="0"/>
                    <w:adjustRightInd w:val="0"/>
                    <w:snapToGrid w:val="0"/>
                    <w:spacing w:before="0" w:beforeAutospacing="0" w:after="0" w:afterAutospacing="0" w:line="264" w:lineRule="auto"/>
                    <w:ind w:left="0" w:right="0"/>
                    <w:jc w:val="center"/>
                    <w:rPr>
                      <w:rFonts w:hint="default" w:ascii="Times New Roman" w:hAnsi="Times New Roman" w:eastAsia="宋体" w:cs="Times New Roman"/>
                      <w:snapToGrid w:val="0"/>
                      <w:sz w:val="18"/>
                      <w:szCs w:val="18"/>
                      <w:highlight w:val="none"/>
                    </w:rPr>
                  </w:pPr>
                </w:p>
              </w:tc>
              <w:tc>
                <w:tcPr>
                  <w:tcW w:w="1031" w:type="dxa"/>
                  <w:vMerge w:val="restart"/>
                  <w:tcBorders>
                    <w:left w:val="single" w:color="auto" w:sz="4" w:space="0"/>
                    <w:right w:val="single" w:color="auto" w:sz="4" w:space="0"/>
                  </w:tcBorders>
                  <w:vAlign w:val="center"/>
                </w:tcPr>
                <w:p w14:paraId="04472C46">
                  <w:pPr>
                    <w:keepNext w:val="0"/>
                    <w:keepLines w:val="0"/>
                    <w:widowControl/>
                    <w:suppressLineNumbers w:val="0"/>
                    <w:adjustRightInd w:val="0"/>
                    <w:snapToGrid w:val="0"/>
                    <w:spacing w:before="0" w:beforeAutospacing="0" w:after="0" w:afterAutospacing="0" w:line="264" w:lineRule="auto"/>
                    <w:ind w:left="0" w:right="0"/>
                    <w:jc w:val="center"/>
                    <w:rPr>
                      <w:rFonts w:hint="eastAsia" w:ascii="Times New Roman" w:hAnsi="Times New Roman" w:eastAsia="宋体" w:cs="Times New Roman"/>
                      <w:snapToGrid w:val="0"/>
                      <w:sz w:val="18"/>
                      <w:szCs w:val="18"/>
                      <w:highlight w:val="none"/>
                      <w:lang w:val="en-US" w:eastAsia="zh-CN"/>
                    </w:rPr>
                  </w:pPr>
                  <w:r>
                    <w:rPr>
                      <w:rFonts w:hint="eastAsia" w:ascii="Times New Roman" w:hAnsi="Times New Roman" w:eastAsia="宋体" w:cs="Times New Roman"/>
                      <w:snapToGrid w:val="0"/>
                      <w:sz w:val="18"/>
                      <w:szCs w:val="18"/>
                      <w:highlight w:val="none"/>
                      <w:lang w:val="en-US" w:eastAsia="zh-CN"/>
                    </w:rPr>
                    <w:t>科创</w:t>
                  </w:r>
                  <w:r>
                    <w:rPr>
                      <w:rFonts w:hint="eastAsia"/>
                      <w:kern w:val="0"/>
                      <w:sz w:val="18"/>
                      <w:szCs w:val="18"/>
                      <w:highlight w:val="none"/>
                      <w:lang w:val="en-US" w:eastAsia="zh-CN"/>
                    </w:rPr>
                    <w:t>综合</w:t>
                  </w:r>
                  <w:r>
                    <w:rPr>
                      <w:rFonts w:hint="eastAsia" w:ascii="Times New Roman" w:hAnsi="Times New Roman" w:eastAsia="宋体" w:cs="Times New Roman"/>
                      <w:snapToGrid w:val="0"/>
                      <w:sz w:val="18"/>
                      <w:szCs w:val="18"/>
                      <w:highlight w:val="none"/>
                      <w:lang w:val="en-US" w:eastAsia="zh-CN"/>
                    </w:rPr>
                    <w:t>楼实验室设备清洗废水</w:t>
                  </w:r>
                </w:p>
              </w:tc>
              <w:tc>
                <w:tcPr>
                  <w:tcW w:w="595" w:type="dxa"/>
                  <w:tcBorders>
                    <w:top w:val="single" w:color="auto" w:sz="4" w:space="0"/>
                    <w:left w:val="single" w:color="auto" w:sz="4" w:space="0"/>
                    <w:bottom w:val="single" w:color="auto" w:sz="4" w:space="0"/>
                    <w:right w:val="single" w:color="auto" w:sz="4" w:space="0"/>
                  </w:tcBorders>
                  <w:shd w:val="clear" w:color="auto" w:fill="auto"/>
                  <w:vAlign w:val="center"/>
                </w:tcPr>
                <w:p w14:paraId="4EF520A7">
                  <w:pPr>
                    <w:keepNext w:val="0"/>
                    <w:keepLines w:val="0"/>
                    <w:widowControl/>
                    <w:suppressLineNumbers w:val="0"/>
                    <w:adjustRightInd w:val="0"/>
                    <w:snapToGrid w:val="0"/>
                    <w:spacing w:before="0" w:beforeAutospacing="0" w:after="0" w:afterAutospacing="0" w:line="264" w:lineRule="auto"/>
                    <w:ind w:left="0" w:right="0"/>
                    <w:jc w:val="center"/>
                    <w:rPr>
                      <w:rFonts w:hint="default" w:ascii="Times New Roman" w:hAnsi="Times New Roman" w:eastAsia="宋体" w:cs="Times New Roman"/>
                      <w:snapToGrid w:val="0"/>
                      <w:kern w:val="2"/>
                      <w:sz w:val="18"/>
                      <w:szCs w:val="18"/>
                      <w:highlight w:val="none"/>
                      <w:lang w:val="en-US" w:eastAsia="zh-CN" w:bidi="ar-SA"/>
                    </w:rPr>
                  </w:pPr>
                  <w:r>
                    <w:rPr>
                      <w:rFonts w:hint="default" w:ascii="Times New Roman" w:hAnsi="Times New Roman" w:eastAsia="宋体" w:cs="Times New Roman"/>
                      <w:snapToGrid w:val="0"/>
                      <w:sz w:val="18"/>
                      <w:szCs w:val="18"/>
                      <w:highlight w:val="none"/>
                    </w:rPr>
                    <w:t>COD</w:t>
                  </w:r>
                  <w:r>
                    <w:rPr>
                      <w:rFonts w:hint="default" w:ascii="Times New Roman" w:hAnsi="Times New Roman" w:eastAsia="宋体" w:cs="Times New Roman"/>
                      <w:snapToGrid w:val="0"/>
                      <w:sz w:val="18"/>
                      <w:szCs w:val="18"/>
                      <w:highlight w:val="none"/>
                      <w:vertAlign w:val="subscript"/>
                    </w:rPr>
                    <w:t>Cr</w:t>
                  </w:r>
                </w:p>
              </w:tc>
              <w:tc>
                <w:tcPr>
                  <w:tcW w:w="609" w:type="dxa"/>
                  <w:vMerge w:val="restart"/>
                  <w:tcBorders>
                    <w:left w:val="single" w:color="auto" w:sz="4" w:space="0"/>
                    <w:right w:val="single" w:color="auto" w:sz="4" w:space="0"/>
                  </w:tcBorders>
                  <w:vAlign w:val="center"/>
                </w:tcPr>
                <w:p w14:paraId="5CA29351">
                  <w:pPr>
                    <w:keepNext w:val="0"/>
                    <w:keepLines w:val="0"/>
                    <w:suppressLineNumbers w:val="0"/>
                    <w:snapToGrid w:val="0"/>
                    <w:spacing w:before="0" w:beforeAutospacing="0" w:after="0" w:afterAutospacing="0" w:line="264" w:lineRule="auto"/>
                    <w:ind w:left="0" w:right="0"/>
                    <w:jc w:val="center"/>
                    <w:rPr>
                      <w:rFonts w:hint="default" w:ascii="Times New Roman" w:hAnsi="Times New Roman" w:eastAsia="宋体" w:cs="Times New Roman"/>
                      <w:sz w:val="18"/>
                      <w:szCs w:val="18"/>
                      <w:highlight w:val="none"/>
                      <w:lang w:val="en-US" w:eastAsia="zh-CN"/>
                    </w:rPr>
                  </w:pPr>
                  <w:r>
                    <w:rPr>
                      <w:rFonts w:hint="eastAsia" w:ascii="Times New Roman" w:hAnsi="Times New Roman" w:eastAsia="宋体" w:cs="Times New Roman"/>
                      <w:sz w:val="18"/>
                      <w:szCs w:val="18"/>
                      <w:highlight w:val="none"/>
                      <w:lang w:val="en-US" w:eastAsia="zh-CN"/>
                    </w:rPr>
                    <w:t>3088.8</w:t>
                  </w:r>
                </w:p>
              </w:tc>
              <w:tc>
                <w:tcPr>
                  <w:tcW w:w="699" w:type="dxa"/>
                  <w:tcBorders>
                    <w:top w:val="single" w:color="auto" w:sz="4" w:space="0"/>
                    <w:left w:val="single" w:color="auto" w:sz="4" w:space="0"/>
                    <w:bottom w:val="single" w:color="auto" w:sz="4" w:space="0"/>
                    <w:right w:val="single" w:color="auto" w:sz="4" w:space="0"/>
                  </w:tcBorders>
                  <w:vAlign w:val="center"/>
                </w:tcPr>
                <w:p w14:paraId="0E6A262B">
                  <w:pPr>
                    <w:keepNext w:val="0"/>
                    <w:keepLines w:val="0"/>
                    <w:widowControl/>
                    <w:suppressLineNumbers w:val="0"/>
                    <w:snapToGrid w:val="0"/>
                    <w:spacing w:before="0" w:beforeAutospacing="0" w:after="0" w:afterAutospacing="0" w:line="264" w:lineRule="auto"/>
                    <w:ind w:left="0" w:right="0"/>
                    <w:jc w:val="center"/>
                    <w:rPr>
                      <w:rFonts w:hint="eastAsia" w:ascii="Times New Roman" w:hAnsi="Times New Roman" w:eastAsia="宋体" w:cs="Times New Roman"/>
                      <w:kern w:val="0"/>
                      <w:sz w:val="18"/>
                      <w:szCs w:val="18"/>
                      <w:highlight w:val="none"/>
                      <w:lang w:val="en-US" w:eastAsia="zh-CN"/>
                    </w:rPr>
                  </w:pPr>
                  <w:r>
                    <w:rPr>
                      <w:rFonts w:hint="eastAsia" w:ascii="Times New Roman" w:hAnsi="Times New Roman" w:eastAsia="宋体" w:cs="Times New Roman"/>
                      <w:kern w:val="0"/>
                      <w:sz w:val="18"/>
                      <w:szCs w:val="18"/>
                      <w:highlight w:val="none"/>
                      <w:lang w:val="en-US" w:eastAsia="zh-CN"/>
                    </w:rPr>
                    <w:t>500</w:t>
                  </w:r>
                </w:p>
              </w:tc>
              <w:tc>
                <w:tcPr>
                  <w:tcW w:w="777" w:type="dxa"/>
                  <w:tcBorders>
                    <w:top w:val="single" w:color="auto" w:sz="4" w:space="0"/>
                    <w:left w:val="single" w:color="auto" w:sz="4" w:space="0"/>
                    <w:bottom w:val="single" w:color="auto" w:sz="4" w:space="0"/>
                    <w:right w:val="single" w:color="auto" w:sz="4" w:space="0"/>
                  </w:tcBorders>
                  <w:vAlign w:val="center"/>
                </w:tcPr>
                <w:p w14:paraId="18226BB5">
                  <w:pPr>
                    <w:keepNext w:val="0"/>
                    <w:keepLines w:val="0"/>
                    <w:widowControl/>
                    <w:suppressLineNumbers w:val="0"/>
                    <w:snapToGrid w:val="0"/>
                    <w:spacing w:before="0" w:beforeAutospacing="0" w:after="0" w:afterAutospacing="0" w:line="264" w:lineRule="auto"/>
                    <w:ind w:left="0" w:right="0"/>
                    <w:jc w:val="center"/>
                    <w:rPr>
                      <w:rFonts w:hint="eastAsia" w:ascii="Times New Roman" w:hAnsi="Times New Roman" w:eastAsia="宋体" w:cs="Times New Roman"/>
                      <w:kern w:val="0"/>
                      <w:sz w:val="18"/>
                      <w:szCs w:val="18"/>
                      <w:highlight w:val="none"/>
                      <w:lang w:val="en-US" w:eastAsia="zh-CN"/>
                    </w:rPr>
                  </w:pPr>
                  <w:r>
                    <w:rPr>
                      <w:rFonts w:hint="eastAsia" w:ascii="Times New Roman" w:hAnsi="Times New Roman" w:eastAsia="宋体" w:cs="Times New Roman"/>
                      <w:kern w:val="0"/>
                      <w:sz w:val="18"/>
                      <w:szCs w:val="18"/>
                      <w:highlight w:val="none"/>
                      <w:lang w:val="en-US" w:eastAsia="zh-CN"/>
                    </w:rPr>
                    <w:t xml:space="preserve">1.544 </w:t>
                  </w:r>
                </w:p>
              </w:tc>
              <w:tc>
                <w:tcPr>
                  <w:tcW w:w="630" w:type="dxa"/>
                  <w:vMerge w:val="continue"/>
                  <w:tcBorders>
                    <w:left w:val="single" w:color="auto" w:sz="4" w:space="0"/>
                    <w:right w:val="single" w:color="auto" w:sz="4" w:space="0"/>
                  </w:tcBorders>
                  <w:vAlign w:val="center"/>
                </w:tcPr>
                <w:p w14:paraId="7EFF41C7">
                  <w:pPr>
                    <w:keepNext w:val="0"/>
                    <w:keepLines w:val="0"/>
                    <w:suppressLineNumbers w:val="0"/>
                    <w:snapToGrid w:val="0"/>
                    <w:spacing w:before="0" w:beforeAutospacing="0" w:after="0" w:afterAutospacing="0" w:line="264" w:lineRule="auto"/>
                    <w:ind w:left="0" w:right="0"/>
                    <w:jc w:val="center"/>
                    <w:rPr>
                      <w:rFonts w:hint="default" w:ascii="Times New Roman" w:hAnsi="Times New Roman" w:eastAsia="宋体" w:cs="Times New Roman"/>
                      <w:sz w:val="18"/>
                      <w:szCs w:val="18"/>
                      <w:highlight w:val="none"/>
                    </w:rPr>
                  </w:pPr>
                </w:p>
              </w:tc>
              <w:tc>
                <w:tcPr>
                  <w:tcW w:w="477" w:type="dxa"/>
                  <w:tcBorders>
                    <w:left w:val="single" w:color="auto" w:sz="4" w:space="0"/>
                    <w:right w:val="single" w:color="auto" w:sz="4" w:space="0"/>
                  </w:tcBorders>
                  <w:vAlign w:val="center"/>
                </w:tcPr>
                <w:p w14:paraId="635E022F">
                  <w:pPr>
                    <w:keepNext w:val="0"/>
                    <w:keepLines w:val="0"/>
                    <w:suppressLineNumbers w:val="0"/>
                    <w:snapToGrid w:val="0"/>
                    <w:spacing w:before="0" w:beforeAutospacing="0" w:after="0" w:afterAutospacing="0" w:line="264" w:lineRule="auto"/>
                    <w:ind w:left="0" w:right="0"/>
                    <w:jc w:val="center"/>
                    <w:rPr>
                      <w:rFonts w:hint="default" w:ascii="Times New Roman" w:hAnsi="Times New Roman" w:eastAsia="宋体" w:cs="Times New Roman"/>
                      <w:kern w:val="0"/>
                      <w:sz w:val="18"/>
                      <w:szCs w:val="18"/>
                      <w:highlight w:val="none"/>
                    </w:rPr>
                  </w:pPr>
                  <w:r>
                    <w:rPr>
                      <w:rFonts w:hint="eastAsia"/>
                      <w:bCs/>
                      <w:snapToGrid w:val="0"/>
                      <w:sz w:val="18"/>
                      <w:szCs w:val="18"/>
                      <w:highlight w:val="none"/>
                      <w:lang w:val="en-US" w:eastAsia="zh-CN"/>
                    </w:rPr>
                    <w:t>75</w:t>
                  </w:r>
                </w:p>
              </w:tc>
              <w:tc>
                <w:tcPr>
                  <w:tcW w:w="611" w:type="dxa"/>
                  <w:vMerge w:val="restart"/>
                  <w:tcBorders>
                    <w:left w:val="single" w:color="auto" w:sz="4" w:space="0"/>
                    <w:right w:val="single" w:color="auto" w:sz="4" w:space="0"/>
                  </w:tcBorders>
                  <w:vAlign w:val="center"/>
                </w:tcPr>
                <w:p w14:paraId="451B7442">
                  <w:pPr>
                    <w:keepNext w:val="0"/>
                    <w:keepLines w:val="0"/>
                    <w:suppressLineNumbers w:val="0"/>
                    <w:snapToGrid w:val="0"/>
                    <w:spacing w:before="0" w:beforeAutospacing="0" w:after="0" w:afterAutospacing="0" w:line="264" w:lineRule="auto"/>
                    <w:ind w:left="0" w:right="0"/>
                    <w:jc w:val="center"/>
                    <w:rPr>
                      <w:rFonts w:hint="default" w:ascii="Times New Roman" w:hAnsi="Times New Roman" w:eastAsia="宋体" w:cs="Times New Roman"/>
                      <w:kern w:val="0"/>
                      <w:sz w:val="18"/>
                      <w:szCs w:val="18"/>
                      <w:highlight w:val="none"/>
                    </w:rPr>
                  </w:pPr>
                  <w:r>
                    <w:rPr>
                      <w:rFonts w:hint="eastAsia" w:ascii="Times New Roman" w:hAnsi="Times New Roman" w:eastAsia="宋体" w:cs="Times New Roman"/>
                      <w:sz w:val="18"/>
                      <w:szCs w:val="18"/>
                      <w:highlight w:val="none"/>
                      <w:lang w:val="en-US" w:eastAsia="zh-CN"/>
                    </w:rPr>
                    <w:t>3088.8</w:t>
                  </w:r>
                </w:p>
              </w:tc>
              <w:tc>
                <w:tcPr>
                  <w:tcW w:w="679" w:type="dxa"/>
                  <w:tcBorders>
                    <w:top w:val="single" w:color="auto" w:sz="4" w:space="0"/>
                    <w:left w:val="single" w:color="auto" w:sz="4" w:space="0"/>
                    <w:bottom w:val="single" w:color="auto" w:sz="4" w:space="0"/>
                    <w:right w:val="single" w:color="auto" w:sz="4" w:space="0"/>
                  </w:tcBorders>
                  <w:vAlign w:val="center"/>
                </w:tcPr>
                <w:p w14:paraId="6CDE1265">
                  <w:pPr>
                    <w:keepNext w:val="0"/>
                    <w:keepLines w:val="0"/>
                    <w:widowControl/>
                    <w:suppressLineNumbers w:val="0"/>
                    <w:snapToGrid w:val="0"/>
                    <w:spacing w:before="0" w:beforeAutospacing="0" w:after="0" w:afterAutospacing="0" w:line="264" w:lineRule="auto"/>
                    <w:ind w:left="0" w:right="0"/>
                    <w:jc w:val="center"/>
                    <w:rPr>
                      <w:rFonts w:hint="eastAsia" w:ascii="Times New Roman" w:hAnsi="Times New Roman" w:eastAsia="宋体" w:cs="Times New Roman"/>
                      <w:kern w:val="0"/>
                      <w:sz w:val="18"/>
                      <w:szCs w:val="18"/>
                      <w:highlight w:val="none"/>
                      <w:lang w:val="en-US" w:eastAsia="zh-CN"/>
                    </w:rPr>
                  </w:pPr>
                  <w:r>
                    <w:rPr>
                      <w:rFonts w:hint="eastAsia" w:ascii="Times New Roman" w:hAnsi="Times New Roman" w:eastAsia="宋体" w:cs="Times New Roman"/>
                      <w:kern w:val="0"/>
                      <w:sz w:val="18"/>
                      <w:szCs w:val="18"/>
                      <w:highlight w:val="none"/>
                      <w:lang w:val="en-US" w:eastAsia="zh-CN"/>
                    </w:rPr>
                    <w:t>125</w:t>
                  </w:r>
                </w:p>
              </w:tc>
              <w:tc>
                <w:tcPr>
                  <w:tcW w:w="723" w:type="dxa"/>
                  <w:tcBorders>
                    <w:top w:val="single" w:color="auto" w:sz="4" w:space="0"/>
                    <w:left w:val="single" w:color="auto" w:sz="4" w:space="0"/>
                    <w:bottom w:val="single" w:color="auto" w:sz="4" w:space="0"/>
                    <w:right w:val="single" w:color="auto" w:sz="4" w:space="0"/>
                  </w:tcBorders>
                  <w:vAlign w:val="center"/>
                </w:tcPr>
                <w:p w14:paraId="49C23260">
                  <w:pPr>
                    <w:keepNext w:val="0"/>
                    <w:keepLines w:val="0"/>
                    <w:widowControl/>
                    <w:suppressLineNumbers w:val="0"/>
                    <w:snapToGrid w:val="0"/>
                    <w:spacing w:before="0" w:beforeAutospacing="0" w:after="0" w:afterAutospacing="0" w:line="264" w:lineRule="auto"/>
                    <w:ind w:left="0" w:right="0"/>
                    <w:jc w:val="center"/>
                    <w:rPr>
                      <w:rFonts w:hint="eastAsia" w:ascii="Times New Roman" w:hAnsi="Times New Roman" w:eastAsia="宋体" w:cs="Times New Roman"/>
                      <w:kern w:val="0"/>
                      <w:sz w:val="18"/>
                      <w:szCs w:val="18"/>
                      <w:highlight w:val="none"/>
                      <w:lang w:val="en-US" w:eastAsia="zh-CN"/>
                    </w:rPr>
                  </w:pPr>
                  <w:r>
                    <w:rPr>
                      <w:rFonts w:hint="eastAsia" w:ascii="Times New Roman" w:hAnsi="Times New Roman" w:eastAsia="宋体" w:cs="Times New Roman"/>
                      <w:kern w:val="0"/>
                      <w:sz w:val="18"/>
                      <w:szCs w:val="18"/>
                      <w:highlight w:val="none"/>
                      <w:lang w:val="en-US" w:eastAsia="zh-CN"/>
                    </w:rPr>
                    <w:t xml:space="preserve">0.386 </w:t>
                  </w:r>
                </w:p>
              </w:tc>
              <w:tc>
                <w:tcPr>
                  <w:tcW w:w="481" w:type="dxa"/>
                  <w:vMerge w:val="restart"/>
                  <w:tcBorders>
                    <w:left w:val="single" w:color="auto" w:sz="4" w:space="0"/>
                    <w:right w:val="single" w:color="auto" w:sz="4" w:space="0"/>
                  </w:tcBorders>
                  <w:vAlign w:val="center"/>
                </w:tcPr>
                <w:p w14:paraId="38012503">
                  <w:pPr>
                    <w:keepNext w:val="0"/>
                    <w:keepLines w:val="0"/>
                    <w:suppressLineNumbers w:val="0"/>
                    <w:snapToGrid w:val="0"/>
                    <w:spacing w:before="0" w:beforeAutospacing="0" w:after="0" w:afterAutospacing="0" w:line="264" w:lineRule="auto"/>
                    <w:ind w:left="0" w:right="0"/>
                    <w:jc w:val="center"/>
                    <w:rPr>
                      <w:rFonts w:hint="default" w:ascii="Times New Roman" w:hAnsi="Times New Roman" w:eastAsia="宋体" w:cs="Times New Roman"/>
                      <w:kern w:val="0"/>
                      <w:sz w:val="18"/>
                      <w:szCs w:val="18"/>
                      <w:highlight w:val="none"/>
                    </w:rPr>
                  </w:pPr>
                  <w:r>
                    <w:rPr>
                      <w:rFonts w:hint="eastAsia" w:cs="Times New Roman"/>
                      <w:kern w:val="0"/>
                      <w:sz w:val="18"/>
                      <w:szCs w:val="18"/>
                      <w:highlight w:val="none"/>
                      <w:lang w:val="en-US" w:eastAsia="zh-CN"/>
                    </w:rPr>
                    <w:t>2080</w:t>
                  </w:r>
                </w:p>
              </w:tc>
            </w:tr>
            <w:tr w14:paraId="4740E1C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jc w:val="center"/>
              </w:trPr>
              <w:tc>
                <w:tcPr>
                  <w:tcW w:w="580" w:type="dxa"/>
                  <w:vMerge w:val="continue"/>
                  <w:tcBorders>
                    <w:left w:val="single" w:color="auto" w:sz="4" w:space="0"/>
                    <w:right w:val="single" w:color="auto" w:sz="4" w:space="0"/>
                  </w:tcBorders>
                  <w:vAlign w:val="center"/>
                </w:tcPr>
                <w:p w14:paraId="1BB90181">
                  <w:pPr>
                    <w:keepNext w:val="0"/>
                    <w:keepLines w:val="0"/>
                    <w:widowControl/>
                    <w:suppressLineNumbers w:val="0"/>
                    <w:adjustRightInd w:val="0"/>
                    <w:snapToGrid w:val="0"/>
                    <w:spacing w:before="0" w:beforeAutospacing="0" w:after="0" w:afterAutospacing="0" w:line="264" w:lineRule="auto"/>
                    <w:ind w:left="0" w:right="0"/>
                    <w:jc w:val="center"/>
                    <w:rPr>
                      <w:rFonts w:hint="default" w:ascii="Times New Roman" w:hAnsi="Times New Roman" w:eastAsia="宋体" w:cs="Times New Roman"/>
                      <w:snapToGrid w:val="0"/>
                      <w:sz w:val="18"/>
                      <w:szCs w:val="18"/>
                      <w:highlight w:val="none"/>
                    </w:rPr>
                  </w:pPr>
                </w:p>
              </w:tc>
              <w:tc>
                <w:tcPr>
                  <w:tcW w:w="423" w:type="dxa"/>
                  <w:vMerge w:val="continue"/>
                  <w:tcBorders>
                    <w:left w:val="single" w:color="auto" w:sz="4" w:space="0"/>
                    <w:right w:val="single" w:color="auto" w:sz="4" w:space="0"/>
                  </w:tcBorders>
                  <w:vAlign w:val="center"/>
                </w:tcPr>
                <w:p w14:paraId="6EB08707">
                  <w:pPr>
                    <w:keepNext w:val="0"/>
                    <w:keepLines w:val="0"/>
                    <w:widowControl/>
                    <w:suppressLineNumbers w:val="0"/>
                    <w:adjustRightInd w:val="0"/>
                    <w:snapToGrid w:val="0"/>
                    <w:spacing w:before="0" w:beforeAutospacing="0" w:after="0" w:afterAutospacing="0" w:line="264" w:lineRule="auto"/>
                    <w:ind w:left="0" w:right="0"/>
                    <w:jc w:val="center"/>
                    <w:rPr>
                      <w:rFonts w:hint="default" w:ascii="Times New Roman" w:hAnsi="Times New Roman" w:eastAsia="宋体" w:cs="Times New Roman"/>
                      <w:snapToGrid w:val="0"/>
                      <w:sz w:val="18"/>
                      <w:szCs w:val="18"/>
                      <w:highlight w:val="none"/>
                    </w:rPr>
                  </w:pPr>
                </w:p>
              </w:tc>
              <w:tc>
                <w:tcPr>
                  <w:tcW w:w="1031" w:type="dxa"/>
                  <w:vMerge w:val="continue"/>
                  <w:tcBorders>
                    <w:left w:val="single" w:color="auto" w:sz="4" w:space="0"/>
                    <w:right w:val="single" w:color="auto" w:sz="4" w:space="0"/>
                  </w:tcBorders>
                  <w:vAlign w:val="center"/>
                </w:tcPr>
                <w:p w14:paraId="117C5824">
                  <w:pPr>
                    <w:keepNext w:val="0"/>
                    <w:keepLines w:val="0"/>
                    <w:widowControl/>
                    <w:suppressLineNumbers w:val="0"/>
                    <w:adjustRightInd w:val="0"/>
                    <w:snapToGrid w:val="0"/>
                    <w:spacing w:before="0" w:beforeAutospacing="0" w:after="0" w:afterAutospacing="0" w:line="264" w:lineRule="auto"/>
                    <w:ind w:left="0" w:right="0"/>
                    <w:jc w:val="center"/>
                    <w:rPr>
                      <w:rFonts w:hint="eastAsia" w:ascii="Times New Roman" w:hAnsi="Times New Roman" w:eastAsia="宋体" w:cs="Times New Roman"/>
                      <w:snapToGrid w:val="0"/>
                      <w:sz w:val="18"/>
                      <w:szCs w:val="18"/>
                      <w:highlight w:val="none"/>
                      <w:lang w:val="en-US" w:eastAsia="zh-CN"/>
                    </w:rPr>
                  </w:pPr>
                </w:p>
              </w:tc>
              <w:tc>
                <w:tcPr>
                  <w:tcW w:w="595" w:type="dxa"/>
                  <w:tcBorders>
                    <w:top w:val="single" w:color="auto" w:sz="4" w:space="0"/>
                    <w:left w:val="single" w:color="auto" w:sz="4" w:space="0"/>
                    <w:bottom w:val="single" w:color="auto" w:sz="4" w:space="0"/>
                    <w:right w:val="single" w:color="auto" w:sz="4" w:space="0"/>
                  </w:tcBorders>
                  <w:shd w:val="clear" w:color="auto" w:fill="auto"/>
                  <w:vAlign w:val="center"/>
                </w:tcPr>
                <w:p w14:paraId="2FB603E6">
                  <w:pPr>
                    <w:keepNext w:val="0"/>
                    <w:keepLines w:val="0"/>
                    <w:widowControl/>
                    <w:suppressLineNumbers w:val="0"/>
                    <w:adjustRightInd w:val="0"/>
                    <w:snapToGrid w:val="0"/>
                    <w:spacing w:before="0" w:beforeAutospacing="0" w:after="0" w:afterAutospacing="0" w:line="264" w:lineRule="auto"/>
                    <w:ind w:left="0" w:right="0"/>
                    <w:jc w:val="center"/>
                    <w:rPr>
                      <w:rFonts w:hint="default" w:ascii="Times New Roman" w:hAnsi="Times New Roman" w:eastAsia="宋体" w:cs="Times New Roman"/>
                      <w:snapToGrid w:val="0"/>
                      <w:kern w:val="2"/>
                      <w:sz w:val="18"/>
                      <w:szCs w:val="18"/>
                      <w:highlight w:val="none"/>
                      <w:lang w:val="en-US" w:eastAsia="zh-CN" w:bidi="ar-SA"/>
                    </w:rPr>
                  </w:pPr>
                  <w:r>
                    <w:rPr>
                      <w:rFonts w:hint="eastAsia" w:ascii="Times New Roman" w:hAnsi="Times New Roman" w:eastAsia="宋体" w:cs="Times New Roman"/>
                      <w:snapToGrid w:val="0"/>
                      <w:kern w:val="2"/>
                      <w:sz w:val="18"/>
                      <w:szCs w:val="18"/>
                      <w:highlight w:val="none"/>
                      <w:lang w:val="en-US" w:eastAsia="zh-CN" w:bidi="ar-SA"/>
                    </w:rPr>
                    <w:t>BOD</w:t>
                  </w:r>
                  <w:r>
                    <w:rPr>
                      <w:rFonts w:hint="eastAsia" w:ascii="Times New Roman" w:hAnsi="Times New Roman" w:eastAsia="宋体" w:cs="Times New Roman"/>
                      <w:snapToGrid w:val="0"/>
                      <w:kern w:val="2"/>
                      <w:sz w:val="18"/>
                      <w:szCs w:val="18"/>
                      <w:highlight w:val="none"/>
                      <w:vertAlign w:val="subscript"/>
                      <w:lang w:val="en-US" w:eastAsia="zh-CN" w:bidi="ar-SA"/>
                    </w:rPr>
                    <w:t>5</w:t>
                  </w:r>
                </w:p>
              </w:tc>
              <w:tc>
                <w:tcPr>
                  <w:tcW w:w="609" w:type="dxa"/>
                  <w:vMerge w:val="continue"/>
                  <w:tcBorders>
                    <w:left w:val="single" w:color="auto" w:sz="4" w:space="0"/>
                    <w:right w:val="single" w:color="auto" w:sz="4" w:space="0"/>
                  </w:tcBorders>
                  <w:vAlign w:val="center"/>
                </w:tcPr>
                <w:p w14:paraId="782C76BA">
                  <w:pPr>
                    <w:keepNext w:val="0"/>
                    <w:keepLines w:val="0"/>
                    <w:suppressLineNumbers w:val="0"/>
                    <w:snapToGrid w:val="0"/>
                    <w:spacing w:before="0" w:beforeAutospacing="0" w:after="0" w:afterAutospacing="0" w:line="264" w:lineRule="auto"/>
                    <w:ind w:left="0" w:right="0"/>
                    <w:jc w:val="center"/>
                    <w:rPr>
                      <w:rFonts w:hint="default" w:ascii="Times New Roman" w:hAnsi="Times New Roman" w:eastAsia="宋体" w:cs="Times New Roman"/>
                      <w:sz w:val="18"/>
                      <w:szCs w:val="18"/>
                      <w:highlight w:val="none"/>
                    </w:rPr>
                  </w:pPr>
                </w:p>
              </w:tc>
              <w:tc>
                <w:tcPr>
                  <w:tcW w:w="699" w:type="dxa"/>
                  <w:tcBorders>
                    <w:top w:val="single" w:color="auto" w:sz="4" w:space="0"/>
                    <w:left w:val="single" w:color="auto" w:sz="4" w:space="0"/>
                    <w:bottom w:val="single" w:color="auto" w:sz="4" w:space="0"/>
                    <w:right w:val="single" w:color="auto" w:sz="4" w:space="0"/>
                  </w:tcBorders>
                  <w:vAlign w:val="center"/>
                </w:tcPr>
                <w:p w14:paraId="734741E4">
                  <w:pPr>
                    <w:keepNext w:val="0"/>
                    <w:keepLines w:val="0"/>
                    <w:widowControl/>
                    <w:suppressLineNumbers w:val="0"/>
                    <w:snapToGrid w:val="0"/>
                    <w:spacing w:before="0" w:beforeAutospacing="0" w:after="0" w:afterAutospacing="0" w:line="264" w:lineRule="auto"/>
                    <w:ind w:left="0" w:right="0"/>
                    <w:jc w:val="center"/>
                    <w:rPr>
                      <w:rFonts w:hint="eastAsia" w:ascii="Times New Roman" w:hAnsi="Times New Roman" w:eastAsia="宋体" w:cs="Times New Roman"/>
                      <w:kern w:val="0"/>
                      <w:sz w:val="18"/>
                      <w:szCs w:val="18"/>
                      <w:highlight w:val="none"/>
                      <w:lang w:val="en-US" w:eastAsia="zh-CN"/>
                    </w:rPr>
                  </w:pPr>
                  <w:r>
                    <w:rPr>
                      <w:rFonts w:hint="eastAsia" w:ascii="Times New Roman" w:hAnsi="Times New Roman" w:eastAsia="宋体" w:cs="Times New Roman"/>
                      <w:kern w:val="0"/>
                      <w:sz w:val="18"/>
                      <w:szCs w:val="18"/>
                      <w:highlight w:val="none"/>
                      <w:lang w:val="en-US" w:eastAsia="zh-CN"/>
                    </w:rPr>
                    <w:t>300</w:t>
                  </w:r>
                </w:p>
              </w:tc>
              <w:tc>
                <w:tcPr>
                  <w:tcW w:w="777" w:type="dxa"/>
                  <w:tcBorders>
                    <w:top w:val="single" w:color="auto" w:sz="4" w:space="0"/>
                    <w:left w:val="single" w:color="auto" w:sz="4" w:space="0"/>
                    <w:bottom w:val="single" w:color="auto" w:sz="4" w:space="0"/>
                    <w:right w:val="single" w:color="auto" w:sz="4" w:space="0"/>
                  </w:tcBorders>
                  <w:vAlign w:val="center"/>
                </w:tcPr>
                <w:p w14:paraId="009A893B">
                  <w:pPr>
                    <w:keepNext w:val="0"/>
                    <w:keepLines w:val="0"/>
                    <w:widowControl/>
                    <w:suppressLineNumbers w:val="0"/>
                    <w:snapToGrid w:val="0"/>
                    <w:spacing w:before="0" w:beforeAutospacing="0" w:after="0" w:afterAutospacing="0" w:line="264" w:lineRule="auto"/>
                    <w:ind w:left="0" w:right="0"/>
                    <w:jc w:val="center"/>
                    <w:rPr>
                      <w:rFonts w:hint="eastAsia" w:ascii="Times New Roman" w:hAnsi="Times New Roman" w:eastAsia="宋体" w:cs="Times New Roman"/>
                      <w:kern w:val="0"/>
                      <w:sz w:val="18"/>
                      <w:szCs w:val="18"/>
                      <w:highlight w:val="none"/>
                      <w:lang w:val="en-US" w:eastAsia="zh-CN"/>
                    </w:rPr>
                  </w:pPr>
                  <w:r>
                    <w:rPr>
                      <w:rFonts w:hint="eastAsia" w:ascii="Times New Roman" w:hAnsi="Times New Roman" w:eastAsia="宋体" w:cs="Times New Roman"/>
                      <w:kern w:val="0"/>
                      <w:sz w:val="18"/>
                      <w:szCs w:val="18"/>
                      <w:highlight w:val="none"/>
                      <w:lang w:val="en-US" w:eastAsia="zh-CN"/>
                    </w:rPr>
                    <w:t xml:space="preserve">0.927 </w:t>
                  </w:r>
                </w:p>
              </w:tc>
              <w:tc>
                <w:tcPr>
                  <w:tcW w:w="630" w:type="dxa"/>
                  <w:vMerge w:val="continue"/>
                  <w:tcBorders>
                    <w:left w:val="single" w:color="auto" w:sz="4" w:space="0"/>
                    <w:right w:val="single" w:color="auto" w:sz="4" w:space="0"/>
                  </w:tcBorders>
                  <w:vAlign w:val="center"/>
                </w:tcPr>
                <w:p w14:paraId="61ED246D">
                  <w:pPr>
                    <w:keepNext w:val="0"/>
                    <w:keepLines w:val="0"/>
                    <w:suppressLineNumbers w:val="0"/>
                    <w:snapToGrid w:val="0"/>
                    <w:spacing w:before="0" w:beforeAutospacing="0" w:after="0" w:afterAutospacing="0" w:line="264" w:lineRule="auto"/>
                    <w:ind w:left="0" w:right="0"/>
                    <w:jc w:val="center"/>
                    <w:rPr>
                      <w:rFonts w:hint="default" w:ascii="Times New Roman" w:hAnsi="Times New Roman" w:eastAsia="宋体" w:cs="Times New Roman"/>
                      <w:sz w:val="18"/>
                      <w:szCs w:val="18"/>
                      <w:highlight w:val="none"/>
                    </w:rPr>
                  </w:pPr>
                </w:p>
              </w:tc>
              <w:tc>
                <w:tcPr>
                  <w:tcW w:w="477" w:type="dxa"/>
                  <w:tcBorders>
                    <w:left w:val="single" w:color="auto" w:sz="4" w:space="0"/>
                    <w:right w:val="single" w:color="auto" w:sz="4" w:space="0"/>
                  </w:tcBorders>
                  <w:vAlign w:val="center"/>
                </w:tcPr>
                <w:p w14:paraId="7042B700">
                  <w:pPr>
                    <w:keepNext w:val="0"/>
                    <w:keepLines w:val="0"/>
                    <w:suppressLineNumbers w:val="0"/>
                    <w:snapToGrid w:val="0"/>
                    <w:spacing w:before="0" w:beforeAutospacing="0" w:after="0" w:afterAutospacing="0" w:line="264" w:lineRule="auto"/>
                    <w:ind w:left="0" w:right="0"/>
                    <w:jc w:val="center"/>
                    <w:rPr>
                      <w:rFonts w:hint="default" w:ascii="Times New Roman" w:hAnsi="Times New Roman" w:eastAsia="宋体" w:cs="Times New Roman"/>
                      <w:kern w:val="0"/>
                      <w:sz w:val="18"/>
                      <w:szCs w:val="18"/>
                      <w:highlight w:val="none"/>
                      <w:lang w:val="en-US" w:eastAsia="zh-CN"/>
                    </w:rPr>
                  </w:pPr>
                  <w:r>
                    <w:rPr>
                      <w:rFonts w:hint="eastAsia" w:ascii="Times New Roman" w:hAnsi="Times New Roman" w:eastAsia="宋体" w:cs="Times New Roman"/>
                      <w:kern w:val="0"/>
                      <w:sz w:val="18"/>
                      <w:szCs w:val="18"/>
                      <w:highlight w:val="none"/>
                      <w:lang w:val="en-US" w:eastAsia="zh-CN"/>
                    </w:rPr>
                    <w:t>50</w:t>
                  </w:r>
                </w:p>
              </w:tc>
              <w:tc>
                <w:tcPr>
                  <w:tcW w:w="611" w:type="dxa"/>
                  <w:vMerge w:val="continue"/>
                  <w:tcBorders>
                    <w:left w:val="single" w:color="auto" w:sz="4" w:space="0"/>
                    <w:right w:val="single" w:color="auto" w:sz="4" w:space="0"/>
                  </w:tcBorders>
                  <w:vAlign w:val="center"/>
                </w:tcPr>
                <w:p w14:paraId="6CF6E6B8">
                  <w:pPr>
                    <w:keepNext w:val="0"/>
                    <w:keepLines w:val="0"/>
                    <w:suppressLineNumbers w:val="0"/>
                    <w:snapToGrid w:val="0"/>
                    <w:spacing w:before="0" w:beforeAutospacing="0" w:after="0" w:afterAutospacing="0" w:line="264" w:lineRule="auto"/>
                    <w:ind w:left="0" w:right="0"/>
                    <w:jc w:val="center"/>
                    <w:rPr>
                      <w:rFonts w:hint="default" w:ascii="Times New Roman" w:hAnsi="Times New Roman" w:eastAsia="宋体" w:cs="Times New Roman"/>
                      <w:kern w:val="0"/>
                      <w:sz w:val="18"/>
                      <w:szCs w:val="18"/>
                      <w:highlight w:val="none"/>
                    </w:rPr>
                  </w:pPr>
                </w:p>
              </w:tc>
              <w:tc>
                <w:tcPr>
                  <w:tcW w:w="679" w:type="dxa"/>
                  <w:tcBorders>
                    <w:top w:val="single" w:color="auto" w:sz="4" w:space="0"/>
                    <w:left w:val="single" w:color="auto" w:sz="4" w:space="0"/>
                    <w:bottom w:val="single" w:color="auto" w:sz="4" w:space="0"/>
                    <w:right w:val="single" w:color="auto" w:sz="4" w:space="0"/>
                  </w:tcBorders>
                  <w:vAlign w:val="center"/>
                </w:tcPr>
                <w:p w14:paraId="1C4E350B">
                  <w:pPr>
                    <w:keepNext w:val="0"/>
                    <w:keepLines w:val="0"/>
                    <w:widowControl/>
                    <w:suppressLineNumbers w:val="0"/>
                    <w:snapToGrid w:val="0"/>
                    <w:spacing w:before="0" w:beforeAutospacing="0" w:after="0" w:afterAutospacing="0" w:line="264" w:lineRule="auto"/>
                    <w:ind w:left="0" w:right="0"/>
                    <w:jc w:val="center"/>
                    <w:rPr>
                      <w:rFonts w:hint="eastAsia" w:ascii="Times New Roman" w:hAnsi="Times New Roman" w:eastAsia="宋体" w:cs="Times New Roman"/>
                      <w:kern w:val="0"/>
                      <w:sz w:val="18"/>
                      <w:szCs w:val="18"/>
                      <w:highlight w:val="none"/>
                      <w:lang w:val="en-US" w:eastAsia="zh-CN"/>
                    </w:rPr>
                  </w:pPr>
                  <w:r>
                    <w:rPr>
                      <w:rFonts w:hint="eastAsia" w:ascii="Times New Roman" w:hAnsi="Times New Roman" w:eastAsia="宋体" w:cs="Times New Roman"/>
                      <w:kern w:val="0"/>
                      <w:sz w:val="18"/>
                      <w:szCs w:val="18"/>
                      <w:highlight w:val="none"/>
                      <w:lang w:val="en-US" w:eastAsia="zh-CN"/>
                    </w:rPr>
                    <w:t>150</w:t>
                  </w:r>
                </w:p>
              </w:tc>
              <w:tc>
                <w:tcPr>
                  <w:tcW w:w="723" w:type="dxa"/>
                  <w:tcBorders>
                    <w:top w:val="single" w:color="auto" w:sz="4" w:space="0"/>
                    <w:left w:val="single" w:color="auto" w:sz="4" w:space="0"/>
                    <w:bottom w:val="single" w:color="auto" w:sz="4" w:space="0"/>
                    <w:right w:val="single" w:color="auto" w:sz="4" w:space="0"/>
                  </w:tcBorders>
                  <w:vAlign w:val="center"/>
                </w:tcPr>
                <w:p w14:paraId="181A138B">
                  <w:pPr>
                    <w:keepNext w:val="0"/>
                    <w:keepLines w:val="0"/>
                    <w:widowControl/>
                    <w:suppressLineNumbers w:val="0"/>
                    <w:snapToGrid w:val="0"/>
                    <w:spacing w:before="0" w:beforeAutospacing="0" w:after="0" w:afterAutospacing="0" w:line="264" w:lineRule="auto"/>
                    <w:ind w:left="0" w:right="0"/>
                    <w:jc w:val="center"/>
                    <w:rPr>
                      <w:rFonts w:hint="eastAsia" w:ascii="Times New Roman" w:hAnsi="Times New Roman" w:eastAsia="宋体" w:cs="Times New Roman"/>
                      <w:kern w:val="0"/>
                      <w:sz w:val="18"/>
                      <w:szCs w:val="18"/>
                      <w:highlight w:val="none"/>
                      <w:lang w:val="en-US" w:eastAsia="zh-CN"/>
                    </w:rPr>
                  </w:pPr>
                  <w:r>
                    <w:rPr>
                      <w:rFonts w:hint="eastAsia" w:ascii="Times New Roman" w:hAnsi="Times New Roman" w:eastAsia="宋体" w:cs="Times New Roman"/>
                      <w:kern w:val="0"/>
                      <w:sz w:val="18"/>
                      <w:szCs w:val="18"/>
                      <w:highlight w:val="none"/>
                      <w:lang w:val="en-US" w:eastAsia="zh-CN"/>
                    </w:rPr>
                    <w:t xml:space="preserve">0.463 </w:t>
                  </w:r>
                </w:p>
              </w:tc>
              <w:tc>
                <w:tcPr>
                  <w:tcW w:w="481" w:type="dxa"/>
                  <w:vMerge w:val="continue"/>
                  <w:tcBorders>
                    <w:left w:val="single" w:color="auto" w:sz="4" w:space="0"/>
                    <w:right w:val="single" w:color="auto" w:sz="4" w:space="0"/>
                  </w:tcBorders>
                  <w:vAlign w:val="center"/>
                </w:tcPr>
                <w:p w14:paraId="5535B21C">
                  <w:pPr>
                    <w:keepNext w:val="0"/>
                    <w:keepLines w:val="0"/>
                    <w:suppressLineNumbers w:val="0"/>
                    <w:snapToGrid w:val="0"/>
                    <w:spacing w:before="0" w:beforeAutospacing="0" w:after="0" w:afterAutospacing="0" w:line="264" w:lineRule="auto"/>
                    <w:ind w:left="0" w:right="0"/>
                    <w:jc w:val="center"/>
                    <w:rPr>
                      <w:rFonts w:hint="default" w:ascii="Times New Roman" w:hAnsi="Times New Roman" w:eastAsia="宋体" w:cs="Times New Roman"/>
                      <w:kern w:val="0"/>
                      <w:sz w:val="18"/>
                      <w:szCs w:val="18"/>
                      <w:highlight w:val="none"/>
                    </w:rPr>
                  </w:pPr>
                </w:p>
              </w:tc>
            </w:tr>
            <w:tr w14:paraId="682814C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jc w:val="center"/>
              </w:trPr>
              <w:tc>
                <w:tcPr>
                  <w:tcW w:w="580" w:type="dxa"/>
                  <w:vMerge w:val="continue"/>
                  <w:tcBorders>
                    <w:left w:val="single" w:color="auto" w:sz="4" w:space="0"/>
                    <w:right w:val="single" w:color="auto" w:sz="4" w:space="0"/>
                  </w:tcBorders>
                  <w:vAlign w:val="center"/>
                </w:tcPr>
                <w:p w14:paraId="2FA72079">
                  <w:pPr>
                    <w:keepNext w:val="0"/>
                    <w:keepLines w:val="0"/>
                    <w:widowControl/>
                    <w:suppressLineNumbers w:val="0"/>
                    <w:adjustRightInd w:val="0"/>
                    <w:snapToGrid w:val="0"/>
                    <w:spacing w:before="0" w:beforeAutospacing="0" w:after="0" w:afterAutospacing="0" w:line="264" w:lineRule="auto"/>
                    <w:ind w:left="0" w:right="0"/>
                    <w:jc w:val="center"/>
                    <w:rPr>
                      <w:rFonts w:hint="default" w:ascii="Times New Roman" w:hAnsi="Times New Roman" w:eastAsia="宋体" w:cs="Times New Roman"/>
                      <w:snapToGrid w:val="0"/>
                      <w:sz w:val="18"/>
                      <w:szCs w:val="18"/>
                      <w:highlight w:val="none"/>
                    </w:rPr>
                  </w:pPr>
                </w:p>
              </w:tc>
              <w:tc>
                <w:tcPr>
                  <w:tcW w:w="423" w:type="dxa"/>
                  <w:vMerge w:val="continue"/>
                  <w:tcBorders>
                    <w:left w:val="single" w:color="auto" w:sz="4" w:space="0"/>
                    <w:right w:val="single" w:color="auto" w:sz="4" w:space="0"/>
                  </w:tcBorders>
                  <w:vAlign w:val="center"/>
                </w:tcPr>
                <w:p w14:paraId="798A1F01">
                  <w:pPr>
                    <w:keepNext w:val="0"/>
                    <w:keepLines w:val="0"/>
                    <w:widowControl/>
                    <w:suppressLineNumbers w:val="0"/>
                    <w:adjustRightInd w:val="0"/>
                    <w:snapToGrid w:val="0"/>
                    <w:spacing w:before="0" w:beforeAutospacing="0" w:after="0" w:afterAutospacing="0" w:line="264" w:lineRule="auto"/>
                    <w:ind w:left="0" w:right="0"/>
                    <w:jc w:val="center"/>
                    <w:rPr>
                      <w:rFonts w:hint="default" w:ascii="Times New Roman" w:hAnsi="Times New Roman" w:eastAsia="宋体" w:cs="Times New Roman"/>
                      <w:snapToGrid w:val="0"/>
                      <w:sz w:val="18"/>
                      <w:szCs w:val="18"/>
                      <w:highlight w:val="none"/>
                    </w:rPr>
                  </w:pPr>
                </w:p>
              </w:tc>
              <w:tc>
                <w:tcPr>
                  <w:tcW w:w="1031" w:type="dxa"/>
                  <w:vMerge w:val="continue"/>
                  <w:tcBorders>
                    <w:left w:val="single" w:color="auto" w:sz="4" w:space="0"/>
                    <w:right w:val="single" w:color="auto" w:sz="4" w:space="0"/>
                  </w:tcBorders>
                  <w:vAlign w:val="center"/>
                </w:tcPr>
                <w:p w14:paraId="7B732562">
                  <w:pPr>
                    <w:keepNext w:val="0"/>
                    <w:keepLines w:val="0"/>
                    <w:widowControl/>
                    <w:suppressLineNumbers w:val="0"/>
                    <w:adjustRightInd w:val="0"/>
                    <w:snapToGrid w:val="0"/>
                    <w:spacing w:before="0" w:beforeAutospacing="0" w:after="0" w:afterAutospacing="0" w:line="264" w:lineRule="auto"/>
                    <w:ind w:left="0" w:right="0"/>
                    <w:jc w:val="center"/>
                    <w:rPr>
                      <w:rFonts w:hint="eastAsia" w:ascii="Times New Roman" w:hAnsi="Times New Roman" w:eastAsia="宋体" w:cs="Times New Roman"/>
                      <w:snapToGrid w:val="0"/>
                      <w:sz w:val="18"/>
                      <w:szCs w:val="18"/>
                      <w:highlight w:val="none"/>
                      <w:lang w:val="en-US" w:eastAsia="zh-CN"/>
                    </w:rPr>
                  </w:pPr>
                </w:p>
              </w:tc>
              <w:tc>
                <w:tcPr>
                  <w:tcW w:w="595" w:type="dxa"/>
                  <w:tcBorders>
                    <w:top w:val="single" w:color="auto" w:sz="4" w:space="0"/>
                    <w:left w:val="single" w:color="auto" w:sz="4" w:space="0"/>
                    <w:bottom w:val="single" w:color="auto" w:sz="4" w:space="0"/>
                    <w:right w:val="single" w:color="auto" w:sz="4" w:space="0"/>
                  </w:tcBorders>
                  <w:vAlign w:val="center"/>
                </w:tcPr>
                <w:p w14:paraId="51C37EB9">
                  <w:pPr>
                    <w:keepNext w:val="0"/>
                    <w:keepLines w:val="0"/>
                    <w:widowControl/>
                    <w:suppressLineNumbers w:val="0"/>
                    <w:adjustRightInd w:val="0"/>
                    <w:snapToGrid w:val="0"/>
                    <w:spacing w:before="0" w:beforeAutospacing="0" w:after="0" w:afterAutospacing="0" w:line="264" w:lineRule="auto"/>
                    <w:ind w:left="0" w:right="0"/>
                    <w:jc w:val="center"/>
                    <w:rPr>
                      <w:rFonts w:hint="default" w:ascii="Times New Roman" w:hAnsi="Times New Roman" w:eastAsia="宋体" w:cs="Times New Roman"/>
                      <w:snapToGrid w:val="0"/>
                      <w:sz w:val="18"/>
                      <w:szCs w:val="18"/>
                      <w:highlight w:val="none"/>
                    </w:rPr>
                  </w:pPr>
                  <w:r>
                    <w:rPr>
                      <w:rFonts w:hint="eastAsia" w:ascii="Times New Roman" w:hAnsi="Times New Roman" w:eastAsia="宋体" w:cs="Times New Roman"/>
                      <w:snapToGrid w:val="0"/>
                      <w:sz w:val="18"/>
                      <w:szCs w:val="18"/>
                      <w:highlight w:val="none"/>
                      <w:lang w:val="en-US" w:eastAsia="zh-CN"/>
                    </w:rPr>
                    <w:t>SS</w:t>
                  </w:r>
                </w:p>
              </w:tc>
              <w:tc>
                <w:tcPr>
                  <w:tcW w:w="609" w:type="dxa"/>
                  <w:vMerge w:val="continue"/>
                  <w:tcBorders>
                    <w:left w:val="single" w:color="auto" w:sz="4" w:space="0"/>
                    <w:right w:val="single" w:color="auto" w:sz="4" w:space="0"/>
                  </w:tcBorders>
                  <w:vAlign w:val="center"/>
                </w:tcPr>
                <w:p w14:paraId="7FBC9649">
                  <w:pPr>
                    <w:keepNext w:val="0"/>
                    <w:keepLines w:val="0"/>
                    <w:suppressLineNumbers w:val="0"/>
                    <w:snapToGrid w:val="0"/>
                    <w:spacing w:before="0" w:beforeAutospacing="0" w:after="0" w:afterAutospacing="0" w:line="264" w:lineRule="auto"/>
                    <w:ind w:left="0" w:right="0"/>
                    <w:jc w:val="center"/>
                    <w:rPr>
                      <w:rFonts w:hint="default" w:ascii="Times New Roman" w:hAnsi="Times New Roman" w:eastAsia="宋体" w:cs="Times New Roman"/>
                      <w:sz w:val="18"/>
                      <w:szCs w:val="18"/>
                      <w:highlight w:val="none"/>
                    </w:rPr>
                  </w:pPr>
                </w:p>
              </w:tc>
              <w:tc>
                <w:tcPr>
                  <w:tcW w:w="699" w:type="dxa"/>
                  <w:tcBorders>
                    <w:top w:val="single" w:color="auto" w:sz="4" w:space="0"/>
                    <w:left w:val="single" w:color="auto" w:sz="4" w:space="0"/>
                    <w:bottom w:val="single" w:color="auto" w:sz="4" w:space="0"/>
                    <w:right w:val="single" w:color="auto" w:sz="4" w:space="0"/>
                  </w:tcBorders>
                  <w:vAlign w:val="center"/>
                </w:tcPr>
                <w:p w14:paraId="1715689E">
                  <w:pPr>
                    <w:keepNext w:val="0"/>
                    <w:keepLines w:val="0"/>
                    <w:widowControl/>
                    <w:suppressLineNumbers w:val="0"/>
                    <w:snapToGrid w:val="0"/>
                    <w:spacing w:before="0" w:beforeAutospacing="0" w:after="0" w:afterAutospacing="0" w:line="264" w:lineRule="auto"/>
                    <w:ind w:left="0" w:right="0"/>
                    <w:jc w:val="center"/>
                    <w:rPr>
                      <w:rFonts w:hint="eastAsia" w:ascii="Times New Roman" w:hAnsi="Times New Roman" w:eastAsia="宋体" w:cs="Times New Roman"/>
                      <w:kern w:val="0"/>
                      <w:sz w:val="18"/>
                      <w:szCs w:val="18"/>
                      <w:highlight w:val="none"/>
                      <w:lang w:val="en-US" w:eastAsia="zh-CN"/>
                    </w:rPr>
                  </w:pPr>
                  <w:r>
                    <w:rPr>
                      <w:rFonts w:hint="eastAsia" w:ascii="Times New Roman" w:hAnsi="Times New Roman" w:eastAsia="宋体" w:cs="Times New Roman"/>
                      <w:kern w:val="0"/>
                      <w:sz w:val="18"/>
                      <w:szCs w:val="18"/>
                      <w:highlight w:val="none"/>
                      <w:lang w:val="en-US" w:eastAsia="zh-CN"/>
                    </w:rPr>
                    <w:t>400</w:t>
                  </w:r>
                </w:p>
              </w:tc>
              <w:tc>
                <w:tcPr>
                  <w:tcW w:w="777" w:type="dxa"/>
                  <w:tcBorders>
                    <w:top w:val="single" w:color="auto" w:sz="4" w:space="0"/>
                    <w:left w:val="single" w:color="auto" w:sz="4" w:space="0"/>
                    <w:bottom w:val="single" w:color="auto" w:sz="4" w:space="0"/>
                    <w:right w:val="single" w:color="auto" w:sz="4" w:space="0"/>
                  </w:tcBorders>
                  <w:vAlign w:val="center"/>
                </w:tcPr>
                <w:p w14:paraId="0FE2F860">
                  <w:pPr>
                    <w:keepNext w:val="0"/>
                    <w:keepLines w:val="0"/>
                    <w:widowControl/>
                    <w:suppressLineNumbers w:val="0"/>
                    <w:snapToGrid w:val="0"/>
                    <w:spacing w:before="0" w:beforeAutospacing="0" w:after="0" w:afterAutospacing="0" w:line="264" w:lineRule="auto"/>
                    <w:ind w:left="0" w:right="0"/>
                    <w:jc w:val="center"/>
                    <w:rPr>
                      <w:rFonts w:hint="eastAsia" w:ascii="Times New Roman" w:hAnsi="Times New Roman" w:eastAsia="宋体" w:cs="Times New Roman"/>
                      <w:kern w:val="0"/>
                      <w:sz w:val="18"/>
                      <w:szCs w:val="18"/>
                      <w:highlight w:val="none"/>
                      <w:lang w:val="en-US" w:eastAsia="zh-CN"/>
                    </w:rPr>
                  </w:pPr>
                  <w:r>
                    <w:rPr>
                      <w:rFonts w:hint="eastAsia" w:ascii="Times New Roman" w:hAnsi="Times New Roman" w:eastAsia="宋体" w:cs="Times New Roman"/>
                      <w:kern w:val="0"/>
                      <w:sz w:val="18"/>
                      <w:szCs w:val="18"/>
                      <w:highlight w:val="none"/>
                      <w:lang w:val="en-US" w:eastAsia="zh-CN"/>
                    </w:rPr>
                    <w:t xml:space="preserve">1.236 </w:t>
                  </w:r>
                </w:p>
              </w:tc>
              <w:tc>
                <w:tcPr>
                  <w:tcW w:w="630" w:type="dxa"/>
                  <w:vMerge w:val="continue"/>
                  <w:tcBorders>
                    <w:left w:val="single" w:color="auto" w:sz="4" w:space="0"/>
                    <w:right w:val="single" w:color="auto" w:sz="4" w:space="0"/>
                  </w:tcBorders>
                  <w:vAlign w:val="center"/>
                </w:tcPr>
                <w:p w14:paraId="36A37F11">
                  <w:pPr>
                    <w:keepNext w:val="0"/>
                    <w:keepLines w:val="0"/>
                    <w:suppressLineNumbers w:val="0"/>
                    <w:snapToGrid w:val="0"/>
                    <w:spacing w:before="0" w:beforeAutospacing="0" w:after="0" w:afterAutospacing="0" w:line="264" w:lineRule="auto"/>
                    <w:ind w:left="0" w:right="0"/>
                    <w:jc w:val="center"/>
                    <w:rPr>
                      <w:rFonts w:hint="default" w:ascii="Times New Roman" w:hAnsi="Times New Roman" w:eastAsia="宋体" w:cs="Times New Roman"/>
                      <w:sz w:val="18"/>
                      <w:szCs w:val="18"/>
                      <w:highlight w:val="none"/>
                    </w:rPr>
                  </w:pPr>
                </w:p>
              </w:tc>
              <w:tc>
                <w:tcPr>
                  <w:tcW w:w="477" w:type="dxa"/>
                  <w:tcBorders>
                    <w:left w:val="single" w:color="auto" w:sz="4" w:space="0"/>
                    <w:right w:val="single" w:color="auto" w:sz="4" w:space="0"/>
                  </w:tcBorders>
                  <w:vAlign w:val="center"/>
                </w:tcPr>
                <w:p w14:paraId="5BC083A4">
                  <w:pPr>
                    <w:keepNext w:val="0"/>
                    <w:keepLines w:val="0"/>
                    <w:suppressLineNumbers w:val="0"/>
                    <w:snapToGrid w:val="0"/>
                    <w:spacing w:before="0" w:beforeAutospacing="0" w:after="0" w:afterAutospacing="0" w:line="264" w:lineRule="auto"/>
                    <w:ind w:left="0" w:right="0"/>
                    <w:jc w:val="center"/>
                    <w:rPr>
                      <w:rFonts w:hint="default" w:ascii="Times New Roman" w:hAnsi="Times New Roman" w:eastAsia="宋体" w:cs="Times New Roman"/>
                      <w:kern w:val="0"/>
                      <w:sz w:val="18"/>
                      <w:szCs w:val="18"/>
                      <w:highlight w:val="none"/>
                      <w:lang w:val="en-US" w:eastAsia="zh-CN"/>
                    </w:rPr>
                  </w:pPr>
                  <w:r>
                    <w:rPr>
                      <w:rFonts w:hint="eastAsia" w:ascii="Times New Roman" w:hAnsi="Times New Roman" w:eastAsia="宋体" w:cs="Times New Roman"/>
                      <w:kern w:val="0"/>
                      <w:sz w:val="18"/>
                      <w:szCs w:val="18"/>
                      <w:highlight w:val="none"/>
                      <w:lang w:val="en-US" w:eastAsia="zh-CN"/>
                    </w:rPr>
                    <w:t>25</w:t>
                  </w:r>
                </w:p>
              </w:tc>
              <w:tc>
                <w:tcPr>
                  <w:tcW w:w="611" w:type="dxa"/>
                  <w:vMerge w:val="continue"/>
                  <w:tcBorders>
                    <w:left w:val="single" w:color="auto" w:sz="4" w:space="0"/>
                    <w:right w:val="single" w:color="auto" w:sz="4" w:space="0"/>
                  </w:tcBorders>
                  <w:vAlign w:val="center"/>
                </w:tcPr>
                <w:p w14:paraId="40EDCF3C">
                  <w:pPr>
                    <w:keepNext w:val="0"/>
                    <w:keepLines w:val="0"/>
                    <w:suppressLineNumbers w:val="0"/>
                    <w:snapToGrid w:val="0"/>
                    <w:spacing w:before="0" w:beforeAutospacing="0" w:after="0" w:afterAutospacing="0" w:line="264" w:lineRule="auto"/>
                    <w:ind w:left="0" w:right="0"/>
                    <w:jc w:val="center"/>
                    <w:rPr>
                      <w:rFonts w:hint="default" w:ascii="Times New Roman" w:hAnsi="Times New Roman" w:eastAsia="宋体" w:cs="Times New Roman"/>
                      <w:kern w:val="0"/>
                      <w:sz w:val="18"/>
                      <w:szCs w:val="18"/>
                      <w:highlight w:val="none"/>
                    </w:rPr>
                  </w:pPr>
                </w:p>
              </w:tc>
              <w:tc>
                <w:tcPr>
                  <w:tcW w:w="679" w:type="dxa"/>
                  <w:tcBorders>
                    <w:top w:val="single" w:color="auto" w:sz="4" w:space="0"/>
                    <w:left w:val="single" w:color="auto" w:sz="4" w:space="0"/>
                    <w:bottom w:val="single" w:color="auto" w:sz="4" w:space="0"/>
                    <w:right w:val="single" w:color="auto" w:sz="4" w:space="0"/>
                  </w:tcBorders>
                  <w:vAlign w:val="center"/>
                </w:tcPr>
                <w:p w14:paraId="22620CBD">
                  <w:pPr>
                    <w:keepNext w:val="0"/>
                    <w:keepLines w:val="0"/>
                    <w:widowControl/>
                    <w:suppressLineNumbers w:val="0"/>
                    <w:snapToGrid w:val="0"/>
                    <w:spacing w:before="0" w:beforeAutospacing="0" w:after="0" w:afterAutospacing="0" w:line="264" w:lineRule="auto"/>
                    <w:ind w:left="0" w:right="0"/>
                    <w:jc w:val="center"/>
                    <w:rPr>
                      <w:rFonts w:hint="eastAsia" w:ascii="Times New Roman" w:hAnsi="Times New Roman" w:eastAsia="宋体" w:cs="Times New Roman"/>
                      <w:kern w:val="0"/>
                      <w:sz w:val="18"/>
                      <w:szCs w:val="18"/>
                      <w:highlight w:val="none"/>
                      <w:lang w:val="en-US" w:eastAsia="zh-CN"/>
                    </w:rPr>
                  </w:pPr>
                  <w:r>
                    <w:rPr>
                      <w:rFonts w:hint="eastAsia" w:ascii="Times New Roman" w:hAnsi="Times New Roman" w:eastAsia="宋体" w:cs="Times New Roman"/>
                      <w:kern w:val="0"/>
                      <w:sz w:val="18"/>
                      <w:szCs w:val="18"/>
                      <w:highlight w:val="none"/>
                      <w:lang w:val="en-US" w:eastAsia="zh-CN"/>
                    </w:rPr>
                    <w:t>300</w:t>
                  </w:r>
                </w:p>
              </w:tc>
              <w:tc>
                <w:tcPr>
                  <w:tcW w:w="723" w:type="dxa"/>
                  <w:tcBorders>
                    <w:top w:val="single" w:color="auto" w:sz="4" w:space="0"/>
                    <w:left w:val="single" w:color="auto" w:sz="4" w:space="0"/>
                    <w:bottom w:val="single" w:color="auto" w:sz="4" w:space="0"/>
                    <w:right w:val="single" w:color="auto" w:sz="4" w:space="0"/>
                  </w:tcBorders>
                  <w:vAlign w:val="center"/>
                </w:tcPr>
                <w:p w14:paraId="74181B82">
                  <w:pPr>
                    <w:keepNext w:val="0"/>
                    <w:keepLines w:val="0"/>
                    <w:widowControl/>
                    <w:suppressLineNumbers w:val="0"/>
                    <w:snapToGrid w:val="0"/>
                    <w:spacing w:before="0" w:beforeAutospacing="0" w:after="0" w:afterAutospacing="0" w:line="264" w:lineRule="auto"/>
                    <w:ind w:left="0" w:right="0"/>
                    <w:jc w:val="center"/>
                    <w:rPr>
                      <w:rFonts w:hint="eastAsia" w:ascii="Times New Roman" w:hAnsi="Times New Roman" w:eastAsia="宋体" w:cs="Times New Roman"/>
                      <w:kern w:val="0"/>
                      <w:sz w:val="18"/>
                      <w:szCs w:val="18"/>
                      <w:highlight w:val="none"/>
                      <w:lang w:val="en-US" w:eastAsia="zh-CN"/>
                    </w:rPr>
                  </w:pPr>
                  <w:r>
                    <w:rPr>
                      <w:rFonts w:hint="eastAsia" w:ascii="Times New Roman" w:hAnsi="Times New Roman" w:eastAsia="宋体" w:cs="Times New Roman"/>
                      <w:kern w:val="0"/>
                      <w:sz w:val="18"/>
                      <w:szCs w:val="18"/>
                      <w:highlight w:val="none"/>
                      <w:lang w:val="en-US" w:eastAsia="zh-CN"/>
                    </w:rPr>
                    <w:t xml:space="preserve">0.927 </w:t>
                  </w:r>
                </w:p>
              </w:tc>
              <w:tc>
                <w:tcPr>
                  <w:tcW w:w="481" w:type="dxa"/>
                  <w:vMerge w:val="continue"/>
                  <w:tcBorders>
                    <w:left w:val="single" w:color="auto" w:sz="4" w:space="0"/>
                    <w:right w:val="single" w:color="auto" w:sz="4" w:space="0"/>
                  </w:tcBorders>
                  <w:vAlign w:val="center"/>
                </w:tcPr>
                <w:p w14:paraId="290E9844">
                  <w:pPr>
                    <w:keepNext w:val="0"/>
                    <w:keepLines w:val="0"/>
                    <w:suppressLineNumbers w:val="0"/>
                    <w:snapToGrid w:val="0"/>
                    <w:spacing w:before="0" w:beforeAutospacing="0" w:after="0" w:afterAutospacing="0" w:line="264" w:lineRule="auto"/>
                    <w:ind w:left="0" w:right="0"/>
                    <w:jc w:val="center"/>
                    <w:rPr>
                      <w:rFonts w:hint="default" w:ascii="Times New Roman" w:hAnsi="Times New Roman" w:eastAsia="宋体" w:cs="Times New Roman"/>
                      <w:kern w:val="0"/>
                      <w:sz w:val="18"/>
                      <w:szCs w:val="18"/>
                      <w:highlight w:val="none"/>
                    </w:rPr>
                  </w:pPr>
                </w:p>
              </w:tc>
            </w:tr>
            <w:tr w14:paraId="4EF4A30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jc w:val="center"/>
              </w:trPr>
              <w:tc>
                <w:tcPr>
                  <w:tcW w:w="580" w:type="dxa"/>
                  <w:vMerge w:val="continue"/>
                  <w:tcBorders>
                    <w:left w:val="single" w:color="auto" w:sz="4" w:space="0"/>
                    <w:right w:val="single" w:color="auto" w:sz="4" w:space="0"/>
                  </w:tcBorders>
                  <w:vAlign w:val="center"/>
                </w:tcPr>
                <w:p w14:paraId="5B8DBB3E">
                  <w:pPr>
                    <w:keepNext w:val="0"/>
                    <w:keepLines w:val="0"/>
                    <w:widowControl/>
                    <w:suppressLineNumbers w:val="0"/>
                    <w:adjustRightInd w:val="0"/>
                    <w:snapToGrid w:val="0"/>
                    <w:spacing w:before="0" w:beforeAutospacing="0" w:after="0" w:afterAutospacing="0" w:line="264" w:lineRule="auto"/>
                    <w:ind w:left="0" w:right="0"/>
                    <w:jc w:val="center"/>
                    <w:rPr>
                      <w:rFonts w:hint="default" w:ascii="Times New Roman" w:hAnsi="Times New Roman" w:eastAsia="宋体" w:cs="Times New Roman"/>
                      <w:snapToGrid w:val="0"/>
                      <w:sz w:val="18"/>
                      <w:szCs w:val="18"/>
                      <w:highlight w:val="none"/>
                    </w:rPr>
                  </w:pPr>
                </w:p>
              </w:tc>
              <w:tc>
                <w:tcPr>
                  <w:tcW w:w="423" w:type="dxa"/>
                  <w:vMerge w:val="continue"/>
                  <w:tcBorders>
                    <w:left w:val="single" w:color="auto" w:sz="4" w:space="0"/>
                    <w:right w:val="single" w:color="auto" w:sz="4" w:space="0"/>
                  </w:tcBorders>
                  <w:vAlign w:val="center"/>
                </w:tcPr>
                <w:p w14:paraId="2F0346E0">
                  <w:pPr>
                    <w:keepNext w:val="0"/>
                    <w:keepLines w:val="0"/>
                    <w:widowControl/>
                    <w:suppressLineNumbers w:val="0"/>
                    <w:adjustRightInd w:val="0"/>
                    <w:snapToGrid w:val="0"/>
                    <w:spacing w:before="0" w:beforeAutospacing="0" w:after="0" w:afterAutospacing="0" w:line="264" w:lineRule="auto"/>
                    <w:ind w:left="0" w:right="0"/>
                    <w:jc w:val="center"/>
                    <w:rPr>
                      <w:rFonts w:hint="default" w:ascii="Times New Roman" w:hAnsi="Times New Roman" w:eastAsia="宋体" w:cs="Times New Roman"/>
                      <w:snapToGrid w:val="0"/>
                      <w:sz w:val="18"/>
                      <w:szCs w:val="18"/>
                      <w:highlight w:val="none"/>
                    </w:rPr>
                  </w:pPr>
                </w:p>
              </w:tc>
              <w:tc>
                <w:tcPr>
                  <w:tcW w:w="1031" w:type="dxa"/>
                  <w:vMerge w:val="continue"/>
                  <w:tcBorders>
                    <w:left w:val="single" w:color="auto" w:sz="4" w:space="0"/>
                    <w:right w:val="single" w:color="auto" w:sz="4" w:space="0"/>
                  </w:tcBorders>
                  <w:vAlign w:val="center"/>
                </w:tcPr>
                <w:p w14:paraId="027E0D4B">
                  <w:pPr>
                    <w:keepNext w:val="0"/>
                    <w:keepLines w:val="0"/>
                    <w:widowControl/>
                    <w:suppressLineNumbers w:val="0"/>
                    <w:adjustRightInd w:val="0"/>
                    <w:snapToGrid w:val="0"/>
                    <w:spacing w:before="0" w:beforeAutospacing="0" w:after="0" w:afterAutospacing="0" w:line="264" w:lineRule="auto"/>
                    <w:ind w:left="0" w:right="0"/>
                    <w:jc w:val="center"/>
                    <w:rPr>
                      <w:rFonts w:hint="eastAsia" w:ascii="Times New Roman" w:hAnsi="Times New Roman" w:eastAsia="宋体" w:cs="Times New Roman"/>
                      <w:snapToGrid w:val="0"/>
                      <w:sz w:val="18"/>
                      <w:szCs w:val="18"/>
                      <w:highlight w:val="none"/>
                      <w:lang w:val="en-US" w:eastAsia="zh-CN"/>
                    </w:rPr>
                  </w:pPr>
                </w:p>
              </w:tc>
              <w:tc>
                <w:tcPr>
                  <w:tcW w:w="595" w:type="dxa"/>
                  <w:tcBorders>
                    <w:top w:val="single" w:color="auto" w:sz="4" w:space="0"/>
                    <w:left w:val="single" w:color="auto" w:sz="4" w:space="0"/>
                    <w:bottom w:val="single" w:color="auto" w:sz="4" w:space="0"/>
                    <w:right w:val="single" w:color="auto" w:sz="4" w:space="0"/>
                  </w:tcBorders>
                  <w:vAlign w:val="center"/>
                </w:tcPr>
                <w:p w14:paraId="6151A1FE">
                  <w:pPr>
                    <w:keepNext w:val="0"/>
                    <w:keepLines w:val="0"/>
                    <w:widowControl/>
                    <w:suppressLineNumbers w:val="0"/>
                    <w:adjustRightInd w:val="0"/>
                    <w:snapToGrid w:val="0"/>
                    <w:spacing w:before="0" w:beforeAutospacing="0" w:after="0" w:afterAutospacing="0" w:line="264" w:lineRule="auto"/>
                    <w:ind w:left="0" w:right="0"/>
                    <w:jc w:val="center"/>
                    <w:rPr>
                      <w:rFonts w:hint="default" w:ascii="Times New Roman" w:hAnsi="Times New Roman" w:eastAsia="宋体" w:cs="Times New Roman"/>
                      <w:snapToGrid w:val="0"/>
                      <w:sz w:val="18"/>
                      <w:szCs w:val="18"/>
                      <w:highlight w:val="none"/>
                    </w:rPr>
                  </w:pPr>
                  <w:r>
                    <w:rPr>
                      <w:rFonts w:hint="default" w:ascii="Times New Roman" w:hAnsi="Times New Roman" w:eastAsia="宋体" w:cs="Times New Roman"/>
                      <w:snapToGrid w:val="0"/>
                      <w:sz w:val="18"/>
                      <w:szCs w:val="18"/>
                      <w:highlight w:val="none"/>
                    </w:rPr>
                    <w:t>NH</w:t>
                  </w:r>
                  <w:r>
                    <w:rPr>
                      <w:rFonts w:hint="default" w:ascii="Times New Roman" w:hAnsi="Times New Roman" w:eastAsia="宋体" w:cs="Times New Roman"/>
                      <w:snapToGrid w:val="0"/>
                      <w:sz w:val="18"/>
                      <w:szCs w:val="18"/>
                      <w:highlight w:val="none"/>
                      <w:vertAlign w:val="subscript"/>
                    </w:rPr>
                    <w:t>3</w:t>
                  </w:r>
                  <w:r>
                    <w:rPr>
                      <w:rFonts w:hint="default" w:ascii="Times New Roman" w:hAnsi="Times New Roman" w:eastAsia="宋体" w:cs="Times New Roman"/>
                      <w:snapToGrid w:val="0"/>
                      <w:sz w:val="18"/>
                      <w:szCs w:val="18"/>
                      <w:highlight w:val="none"/>
                    </w:rPr>
                    <w:t>-N</w:t>
                  </w:r>
                </w:p>
              </w:tc>
              <w:tc>
                <w:tcPr>
                  <w:tcW w:w="609" w:type="dxa"/>
                  <w:vMerge w:val="continue"/>
                  <w:tcBorders>
                    <w:left w:val="single" w:color="auto" w:sz="4" w:space="0"/>
                    <w:right w:val="single" w:color="auto" w:sz="4" w:space="0"/>
                  </w:tcBorders>
                  <w:vAlign w:val="center"/>
                </w:tcPr>
                <w:p w14:paraId="529294EC">
                  <w:pPr>
                    <w:keepNext w:val="0"/>
                    <w:keepLines w:val="0"/>
                    <w:suppressLineNumbers w:val="0"/>
                    <w:snapToGrid w:val="0"/>
                    <w:spacing w:before="0" w:beforeAutospacing="0" w:after="0" w:afterAutospacing="0" w:line="264" w:lineRule="auto"/>
                    <w:ind w:left="0" w:right="0"/>
                    <w:jc w:val="center"/>
                    <w:rPr>
                      <w:rFonts w:hint="default" w:ascii="Times New Roman" w:hAnsi="Times New Roman" w:eastAsia="宋体" w:cs="Times New Roman"/>
                      <w:sz w:val="18"/>
                      <w:szCs w:val="18"/>
                      <w:highlight w:val="none"/>
                    </w:rPr>
                  </w:pPr>
                </w:p>
              </w:tc>
              <w:tc>
                <w:tcPr>
                  <w:tcW w:w="699" w:type="dxa"/>
                  <w:tcBorders>
                    <w:top w:val="single" w:color="auto" w:sz="4" w:space="0"/>
                    <w:left w:val="single" w:color="auto" w:sz="4" w:space="0"/>
                    <w:bottom w:val="single" w:color="auto" w:sz="4" w:space="0"/>
                    <w:right w:val="single" w:color="auto" w:sz="4" w:space="0"/>
                  </w:tcBorders>
                  <w:vAlign w:val="center"/>
                </w:tcPr>
                <w:p w14:paraId="2EA945CE">
                  <w:pPr>
                    <w:keepNext w:val="0"/>
                    <w:keepLines w:val="0"/>
                    <w:widowControl/>
                    <w:suppressLineNumbers w:val="0"/>
                    <w:snapToGrid w:val="0"/>
                    <w:spacing w:before="0" w:beforeAutospacing="0" w:after="0" w:afterAutospacing="0" w:line="264" w:lineRule="auto"/>
                    <w:ind w:left="0" w:right="0"/>
                    <w:jc w:val="center"/>
                    <w:rPr>
                      <w:rFonts w:hint="eastAsia" w:ascii="Times New Roman" w:hAnsi="Times New Roman" w:eastAsia="宋体" w:cs="Times New Roman"/>
                      <w:kern w:val="0"/>
                      <w:sz w:val="18"/>
                      <w:szCs w:val="18"/>
                      <w:highlight w:val="none"/>
                      <w:lang w:val="en-US" w:eastAsia="zh-CN"/>
                    </w:rPr>
                  </w:pPr>
                  <w:r>
                    <w:rPr>
                      <w:rFonts w:hint="eastAsia" w:ascii="Times New Roman" w:hAnsi="Times New Roman" w:eastAsia="宋体" w:cs="Times New Roman"/>
                      <w:kern w:val="0"/>
                      <w:sz w:val="18"/>
                      <w:szCs w:val="18"/>
                      <w:highlight w:val="none"/>
                      <w:lang w:val="en-US" w:eastAsia="zh-CN"/>
                    </w:rPr>
                    <w:t>25</w:t>
                  </w:r>
                </w:p>
              </w:tc>
              <w:tc>
                <w:tcPr>
                  <w:tcW w:w="777" w:type="dxa"/>
                  <w:tcBorders>
                    <w:top w:val="single" w:color="auto" w:sz="4" w:space="0"/>
                    <w:left w:val="single" w:color="auto" w:sz="4" w:space="0"/>
                    <w:bottom w:val="single" w:color="auto" w:sz="4" w:space="0"/>
                    <w:right w:val="single" w:color="auto" w:sz="4" w:space="0"/>
                  </w:tcBorders>
                  <w:vAlign w:val="center"/>
                </w:tcPr>
                <w:p w14:paraId="1B78FD6B">
                  <w:pPr>
                    <w:keepNext w:val="0"/>
                    <w:keepLines w:val="0"/>
                    <w:widowControl/>
                    <w:suppressLineNumbers w:val="0"/>
                    <w:snapToGrid w:val="0"/>
                    <w:spacing w:before="0" w:beforeAutospacing="0" w:after="0" w:afterAutospacing="0" w:line="264" w:lineRule="auto"/>
                    <w:ind w:left="0" w:right="0"/>
                    <w:jc w:val="center"/>
                    <w:rPr>
                      <w:rFonts w:hint="eastAsia" w:ascii="Times New Roman" w:hAnsi="Times New Roman" w:eastAsia="宋体" w:cs="Times New Roman"/>
                      <w:kern w:val="0"/>
                      <w:sz w:val="18"/>
                      <w:szCs w:val="18"/>
                      <w:highlight w:val="none"/>
                      <w:lang w:val="en-US" w:eastAsia="zh-CN"/>
                    </w:rPr>
                  </w:pPr>
                  <w:r>
                    <w:rPr>
                      <w:rFonts w:hint="eastAsia" w:ascii="Times New Roman" w:hAnsi="Times New Roman" w:eastAsia="宋体" w:cs="Times New Roman"/>
                      <w:kern w:val="0"/>
                      <w:sz w:val="18"/>
                      <w:szCs w:val="18"/>
                      <w:highlight w:val="none"/>
                      <w:lang w:val="en-US" w:eastAsia="zh-CN"/>
                    </w:rPr>
                    <w:t xml:space="preserve">0.077 </w:t>
                  </w:r>
                </w:p>
              </w:tc>
              <w:tc>
                <w:tcPr>
                  <w:tcW w:w="630" w:type="dxa"/>
                  <w:vMerge w:val="continue"/>
                  <w:tcBorders>
                    <w:left w:val="single" w:color="auto" w:sz="4" w:space="0"/>
                    <w:right w:val="single" w:color="auto" w:sz="4" w:space="0"/>
                  </w:tcBorders>
                  <w:vAlign w:val="center"/>
                </w:tcPr>
                <w:p w14:paraId="6C00F831">
                  <w:pPr>
                    <w:keepNext w:val="0"/>
                    <w:keepLines w:val="0"/>
                    <w:suppressLineNumbers w:val="0"/>
                    <w:snapToGrid w:val="0"/>
                    <w:spacing w:before="0" w:beforeAutospacing="0" w:after="0" w:afterAutospacing="0" w:line="264" w:lineRule="auto"/>
                    <w:ind w:left="0" w:right="0"/>
                    <w:jc w:val="center"/>
                    <w:rPr>
                      <w:rFonts w:hint="default" w:ascii="Times New Roman" w:hAnsi="Times New Roman" w:eastAsia="宋体" w:cs="Times New Roman"/>
                      <w:sz w:val="18"/>
                      <w:szCs w:val="18"/>
                      <w:highlight w:val="none"/>
                    </w:rPr>
                  </w:pPr>
                </w:p>
              </w:tc>
              <w:tc>
                <w:tcPr>
                  <w:tcW w:w="477" w:type="dxa"/>
                  <w:tcBorders>
                    <w:left w:val="single" w:color="auto" w:sz="4" w:space="0"/>
                    <w:right w:val="single" w:color="auto" w:sz="4" w:space="0"/>
                  </w:tcBorders>
                  <w:vAlign w:val="center"/>
                </w:tcPr>
                <w:p w14:paraId="352EB92B">
                  <w:pPr>
                    <w:keepNext w:val="0"/>
                    <w:keepLines w:val="0"/>
                    <w:suppressLineNumbers w:val="0"/>
                    <w:snapToGrid w:val="0"/>
                    <w:spacing w:before="0" w:beforeAutospacing="0" w:after="0" w:afterAutospacing="0" w:line="264" w:lineRule="auto"/>
                    <w:ind w:left="0" w:right="0"/>
                    <w:jc w:val="center"/>
                    <w:rPr>
                      <w:rFonts w:hint="default" w:ascii="Times New Roman" w:hAnsi="Times New Roman" w:eastAsia="宋体" w:cs="Times New Roman"/>
                      <w:kern w:val="0"/>
                      <w:sz w:val="18"/>
                      <w:szCs w:val="18"/>
                      <w:highlight w:val="none"/>
                      <w:lang w:val="en-US" w:eastAsia="zh-CN"/>
                    </w:rPr>
                  </w:pPr>
                  <w:r>
                    <w:rPr>
                      <w:rFonts w:hint="eastAsia" w:ascii="Times New Roman" w:hAnsi="Times New Roman" w:eastAsia="宋体" w:cs="Times New Roman"/>
                      <w:kern w:val="0"/>
                      <w:sz w:val="18"/>
                      <w:szCs w:val="18"/>
                      <w:highlight w:val="none"/>
                      <w:lang w:val="en-US" w:eastAsia="zh-CN"/>
                    </w:rPr>
                    <w:t>50</w:t>
                  </w:r>
                </w:p>
              </w:tc>
              <w:tc>
                <w:tcPr>
                  <w:tcW w:w="611" w:type="dxa"/>
                  <w:vMerge w:val="continue"/>
                  <w:tcBorders>
                    <w:left w:val="single" w:color="auto" w:sz="4" w:space="0"/>
                    <w:right w:val="single" w:color="auto" w:sz="4" w:space="0"/>
                  </w:tcBorders>
                  <w:vAlign w:val="center"/>
                </w:tcPr>
                <w:p w14:paraId="0E031578">
                  <w:pPr>
                    <w:keepNext w:val="0"/>
                    <w:keepLines w:val="0"/>
                    <w:suppressLineNumbers w:val="0"/>
                    <w:snapToGrid w:val="0"/>
                    <w:spacing w:before="0" w:beforeAutospacing="0" w:after="0" w:afterAutospacing="0" w:line="264" w:lineRule="auto"/>
                    <w:ind w:left="0" w:right="0"/>
                    <w:jc w:val="center"/>
                    <w:rPr>
                      <w:rFonts w:hint="default" w:ascii="Times New Roman" w:hAnsi="Times New Roman" w:eastAsia="宋体" w:cs="Times New Roman"/>
                      <w:kern w:val="0"/>
                      <w:sz w:val="18"/>
                      <w:szCs w:val="18"/>
                      <w:highlight w:val="none"/>
                    </w:rPr>
                  </w:pPr>
                </w:p>
              </w:tc>
              <w:tc>
                <w:tcPr>
                  <w:tcW w:w="679" w:type="dxa"/>
                  <w:tcBorders>
                    <w:top w:val="single" w:color="auto" w:sz="4" w:space="0"/>
                    <w:left w:val="single" w:color="auto" w:sz="4" w:space="0"/>
                    <w:bottom w:val="single" w:color="auto" w:sz="4" w:space="0"/>
                    <w:right w:val="single" w:color="auto" w:sz="4" w:space="0"/>
                  </w:tcBorders>
                  <w:vAlign w:val="center"/>
                </w:tcPr>
                <w:p w14:paraId="5BB5A06C">
                  <w:pPr>
                    <w:keepNext w:val="0"/>
                    <w:keepLines w:val="0"/>
                    <w:widowControl/>
                    <w:suppressLineNumbers w:val="0"/>
                    <w:snapToGrid w:val="0"/>
                    <w:spacing w:before="0" w:beforeAutospacing="0" w:after="0" w:afterAutospacing="0" w:line="264" w:lineRule="auto"/>
                    <w:ind w:left="0" w:right="0"/>
                    <w:jc w:val="center"/>
                    <w:rPr>
                      <w:rFonts w:hint="eastAsia" w:ascii="Times New Roman" w:hAnsi="Times New Roman" w:eastAsia="宋体" w:cs="Times New Roman"/>
                      <w:kern w:val="0"/>
                      <w:sz w:val="18"/>
                      <w:szCs w:val="18"/>
                      <w:highlight w:val="none"/>
                      <w:lang w:val="en-US" w:eastAsia="zh-CN"/>
                    </w:rPr>
                  </w:pPr>
                  <w:r>
                    <w:rPr>
                      <w:rFonts w:hint="eastAsia" w:ascii="Times New Roman" w:hAnsi="Times New Roman" w:eastAsia="宋体" w:cs="Times New Roman"/>
                      <w:kern w:val="0"/>
                      <w:sz w:val="18"/>
                      <w:szCs w:val="18"/>
                      <w:highlight w:val="none"/>
                      <w:lang w:val="en-US" w:eastAsia="zh-CN"/>
                    </w:rPr>
                    <w:t>12.5</w:t>
                  </w:r>
                </w:p>
              </w:tc>
              <w:tc>
                <w:tcPr>
                  <w:tcW w:w="723" w:type="dxa"/>
                  <w:tcBorders>
                    <w:top w:val="single" w:color="auto" w:sz="4" w:space="0"/>
                    <w:left w:val="single" w:color="auto" w:sz="4" w:space="0"/>
                    <w:bottom w:val="single" w:color="auto" w:sz="4" w:space="0"/>
                    <w:right w:val="single" w:color="auto" w:sz="4" w:space="0"/>
                  </w:tcBorders>
                  <w:vAlign w:val="center"/>
                </w:tcPr>
                <w:p w14:paraId="48D2F6AA">
                  <w:pPr>
                    <w:keepNext w:val="0"/>
                    <w:keepLines w:val="0"/>
                    <w:widowControl/>
                    <w:suppressLineNumbers w:val="0"/>
                    <w:snapToGrid w:val="0"/>
                    <w:spacing w:before="0" w:beforeAutospacing="0" w:after="0" w:afterAutospacing="0" w:line="264" w:lineRule="auto"/>
                    <w:ind w:left="0" w:right="0"/>
                    <w:jc w:val="center"/>
                    <w:rPr>
                      <w:rFonts w:hint="eastAsia" w:ascii="Times New Roman" w:hAnsi="Times New Roman" w:eastAsia="宋体" w:cs="Times New Roman"/>
                      <w:kern w:val="0"/>
                      <w:sz w:val="18"/>
                      <w:szCs w:val="18"/>
                      <w:highlight w:val="none"/>
                      <w:lang w:val="en-US" w:eastAsia="zh-CN"/>
                    </w:rPr>
                  </w:pPr>
                  <w:r>
                    <w:rPr>
                      <w:rFonts w:hint="eastAsia" w:ascii="Times New Roman" w:hAnsi="Times New Roman" w:eastAsia="宋体" w:cs="Times New Roman"/>
                      <w:kern w:val="0"/>
                      <w:sz w:val="18"/>
                      <w:szCs w:val="18"/>
                      <w:highlight w:val="none"/>
                      <w:lang w:val="en-US" w:eastAsia="zh-CN"/>
                    </w:rPr>
                    <w:t xml:space="preserve">0.039 </w:t>
                  </w:r>
                </w:p>
              </w:tc>
              <w:tc>
                <w:tcPr>
                  <w:tcW w:w="481" w:type="dxa"/>
                  <w:vMerge w:val="continue"/>
                  <w:tcBorders>
                    <w:left w:val="single" w:color="auto" w:sz="4" w:space="0"/>
                    <w:right w:val="single" w:color="auto" w:sz="4" w:space="0"/>
                  </w:tcBorders>
                  <w:vAlign w:val="center"/>
                </w:tcPr>
                <w:p w14:paraId="4358A2B0">
                  <w:pPr>
                    <w:keepNext w:val="0"/>
                    <w:keepLines w:val="0"/>
                    <w:suppressLineNumbers w:val="0"/>
                    <w:snapToGrid w:val="0"/>
                    <w:spacing w:before="0" w:beforeAutospacing="0" w:after="0" w:afterAutospacing="0" w:line="264" w:lineRule="auto"/>
                    <w:ind w:left="0" w:right="0"/>
                    <w:jc w:val="center"/>
                    <w:rPr>
                      <w:rFonts w:hint="default" w:ascii="Times New Roman" w:hAnsi="Times New Roman" w:eastAsia="宋体" w:cs="Times New Roman"/>
                      <w:kern w:val="0"/>
                      <w:sz w:val="18"/>
                      <w:szCs w:val="18"/>
                      <w:highlight w:val="none"/>
                    </w:rPr>
                  </w:pPr>
                </w:p>
              </w:tc>
            </w:tr>
            <w:tr w14:paraId="3820560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jc w:val="center"/>
              </w:trPr>
              <w:tc>
                <w:tcPr>
                  <w:tcW w:w="580" w:type="dxa"/>
                  <w:vMerge w:val="continue"/>
                  <w:tcBorders>
                    <w:left w:val="single" w:color="auto" w:sz="4" w:space="0"/>
                    <w:right w:val="single" w:color="auto" w:sz="4" w:space="0"/>
                  </w:tcBorders>
                  <w:vAlign w:val="center"/>
                </w:tcPr>
                <w:p w14:paraId="276031FA">
                  <w:pPr>
                    <w:keepNext w:val="0"/>
                    <w:keepLines w:val="0"/>
                    <w:widowControl/>
                    <w:suppressLineNumbers w:val="0"/>
                    <w:adjustRightInd w:val="0"/>
                    <w:snapToGrid w:val="0"/>
                    <w:spacing w:before="0" w:beforeAutospacing="0" w:after="0" w:afterAutospacing="0" w:line="264" w:lineRule="auto"/>
                    <w:ind w:left="0" w:right="0"/>
                    <w:jc w:val="center"/>
                    <w:rPr>
                      <w:rFonts w:hint="default" w:ascii="Times New Roman" w:hAnsi="Times New Roman" w:eastAsia="宋体" w:cs="Times New Roman"/>
                      <w:snapToGrid w:val="0"/>
                      <w:sz w:val="18"/>
                      <w:szCs w:val="18"/>
                      <w:highlight w:val="none"/>
                    </w:rPr>
                  </w:pPr>
                </w:p>
              </w:tc>
              <w:tc>
                <w:tcPr>
                  <w:tcW w:w="423" w:type="dxa"/>
                  <w:vMerge w:val="continue"/>
                  <w:tcBorders>
                    <w:left w:val="single" w:color="auto" w:sz="4" w:space="0"/>
                    <w:right w:val="single" w:color="auto" w:sz="4" w:space="0"/>
                  </w:tcBorders>
                  <w:vAlign w:val="center"/>
                </w:tcPr>
                <w:p w14:paraId="568A82A7">
                  <w:pPr>
                    <w:keepNext w:val="0"/>
                    <w:keepLines w:val="0"/>
                    <w:widowControl/>
                    <w:suppressLineNumbers w:val="0"/>
                    <w:adjustRightInd w:val="0"/>
                    <w:snapToGrid w:val="0"/>
                    <w:spacing w:before="0" w:beforeAutospacing="0" w:after="0" w:afterAutospacing="0" w:line="264" w:lineRule="auto"/>
                    <w:ind w:left="0" w:right="0"/>
                    <w:jc w:val="center"/>
                    <w:rPr>
                      <w:rFonts w:hint="default" w:ascii="Times New Roman" w:hAnsi="Times New Roman" w:eastAsia="宋体" w:cs="Times New Roman"/>
                      <w:snapToGrid w:val="0"/>
                      <w:sz w:val="18"/>
                      <w:szCs w:val="18"/>
                      <w:highlight w:val="none"/>
                    </w:rPr>
                  </w:pPr>
                </w:p>
              </w:tc>
              <w:tc>
                <w:tcPr>
                  <w:tcW w:w="1031" w:type="dxa"/>
                  <w:vMerge w:val="continue"/>
                  <w:tcBorders>
                    <w:left w:val="single" w:color="auto" w:sz="4" w:space="0"/>
                    <w:right w:val="single" w:color="auto" w:sz="4" w:space="0"/>
                  </w:tcBorders>
                  <w:vAlign w:val="center"/>
                </w:tcPr>
                <w:p w14:paraId="64025937">
                  <w:pPr>
                    <w:keepNext w:val="0"/>
                    <w:keepLines w:val="0"/>
                    <w:widowControl/>
                    <w:suppressLineNumbers w:val="0"/>
                    <w:adjustRightInd w:val="0"/>
                    <w:snapToGrid w:val="0"/>
                    <w:spacing w:before="0" w:beforeAutospacing="0" w:after="0" w:afterAutospacing="0" w:line="264" w:lineRule="auto"/>
                    <w:ind w:left="0" w:right="0"/>
                    <w:jc w:val="center"/>
                    <w:rPr>
                      <w:rFonts w:hint="eastAsia" w:ascii="Times New Roman" w:hAnsi="Times New Roman" w:eastAsia="宋体" w:cs="Times New Roman"/>
                      <w:snapToGrid w:val="0"/>
                      <w:sz w:val="18"/>
                      <w:szCs w:val="18"/>
                      <w:highlight w:val="none"/>
                      <w:lang w:val="en-US" w:eastAsia="zh-CN"/>
                    </w:rPr>
                  </w:pPr>
                </w:p>
              </w:tc>
              <w:tc>
                <w:tcPr>
                  <w:tcW w:w="595" w:type="dxa"/>
                  <w:tcBorders>
                    <w:top w:val="single" w:color="auto" w:sz="4" w:space="0"/>
                    <w:left w:val="single" w:color="auto" w:sz="4" w:space="0"/>
                    <w:bottom w:val="single" w:color="auto" w:sz="4" w:space="0"/>
                    <w:right w:val="single" w:color="auto" w:sz="4" w:space="0"/>
                  </w:tcBorders>
                  <w:vAlign w:val="center"/>
                </w:tcPr>
                <w:p w14:paraId="466288C0">
                  <w:pPr>
                    <w:keepNext w:val="0"/>
                    <w:keepLines w:val="0"/>
                    <w:widowControl/>
                    <w:suppressLineNumbers w:val="0"/>
                    <w:adjustRightInd w:val="0"/>
                    <w:snapToGrid w:val="0"/>
                    <w:spacing w:before="0" w:beforeAutospacing="0" w:after="0" w:afterAutospacing="0" w:line="264" w:lineRule="auto"/>
                    <w:ind w:left="0" w:right="0"/>
                    <w:jc w:val="center"/>
                    <w:rPr>
                      <w:rFonts w:hint="default" w:ascii="Times New Roman" w:hAnsi="Times New Roman" w:eastAsia="宋体" w:cs="Times New Roman"/>
                      <w:snapToGrid w:val="0"/>
                      <w:sz w:val="18"/>
                      <w:szCs w:val="18"/>
                      <w:highlight w:val="none"/>
                      <w:lang w:val="en-US" w:eastAsia="zh-CN"/>
                    </w:rPr>
                  </w:pPr>
                  <w:r>
                    <w:rPr>
                      <w:rFonts w:hint="eastAsia" w:cs="Times New Roman"/>
                      <w:snapToGrid w:val="0"/>
                      <w:sz w:val="18"/>
                      <w:szCs w:val="18"/>
                      <w:highlight w:val="none"/>
                      <w:lang w:val="en-US" w:eastAsia="zh-CN"/>
                    </w:rPr>
                    <w:t>LAS</w:t>
                  </w:r>
                </w:p>
              </w:tc>
              <w:tc>
                <w:tcPr>
                  <w:tcW w:w="609" w:type="dxa"/>
                  <w:vMerge w:val="continue"/>
                  <w:tcBorders>
                    <w:left w:val="single" w:color="auto" w:sz="4" w:space="0"/>
                    <w:right w:val="single" w:color="auto" w:sz="4" w:space="0"/>
                  </w:tcBorders>
                  <w:vAlign w:val="center"/>
                </w:tcPr>
                <w:p w14:paraId="5CFE4B08">
                  <w:pPr>
                    <w:keepNext w:val="0"/>
                    <w:keepLines w:val="0"/>
                    <w:suppressLineNumbers w:val="0"/>
                    <w:snapToGrid w:val="0"/>
                    <w:spacing w:before="0" w:beforeAutospacing="0" w:after="0" w:afterAutospacing="0" w:line="264" w:lineRule="auto"/>
                    <w:ind w:left="0" w:right="0"/>
                    <w:jc w:val="center"/>
                    <w:rPr>
                      <w:rFonts w:hint="default" w:ascii="Times New Roman" w:hAnsi="Times New Roman" w:eastAsia="宋体" w:cs="Times New Roman"/>
                      <w:sz w:val="18"/>
                      <w:szCs w:val="18"/>
                      <w:highlight w:val="none"/>
                    </w:rPr>
                  </w:pPr>
                </w:p>
              </w:tc>
              <w:tc>
                <w:tcPr>
                  <w:tcW w:w="699" w:type="dxa"/>
                  <w:tcBorders>
                    <w:top w:val="single" w:color="auto" w:sz="4" w:space="0"/>
                    <w:left w:val="single" w:color="auto" w:sz="4" w:space="0"/>
                    <w:bottom w:val="single" w:color="auto" w:sz="4" w:space="0"/>
                    <w:right w:val="single" w:color="auto" w:sz="4" w:space="0"/>
                  </w:tcBorders>
                  <w:vAlign w:val="center"/>
                </w:tcPr>
                <w:p w14:paraId="29C577D3">
                  <w:pPr>
                    <w:keepNext w:val="0"/>
                    <w:keepLines w:val="0"/>
                    <w:widowControl/>
                    <w:suppressLineNumbers w:val="0"/>
                    <w:snapToGrid w:val="0"/>
                    <w:spacing w:before="0" w:beforeAutospacing="0" w:after="0" w:afterAutospacing="0" w:line="264" w:lineRule="auto"/>
                    <w:ind w:left="0" w:right="0"/>
                    <w:jc w:val="center"/>
                    <w:rPr>
                      <w:rFonts w:hint="default" w:ascii="Times New Roman" w:hAnsi="Times New Roman" w:eastAsia="宋体" w:cs="Times New Roman"/>
                      <w:kern w:val="0"/>
                      <w:sz w:val="18"/>
                      <w:szCs w:val="18"/>
                      <w:highlight w:val="none"/>
                      <w:lang w:val="en-US" w:eastAsia="zh-CN"/>
                    </w:rPr>
                  </w:pPr>
                  <w:r>
                    <w:rPr>
                      <w:rFonts w:hint="eastAsia" w:cs="Times New Roman"/>
                      <w:kern w:val="0"/>
                      <w:sz w:val="18"/>
                      <w:szCs w:val="18"/>
                      <w:highlight w:val="none"/>
                      <w:lang w:val="en-US" w:eastAsia="zh-CN"/>
                    </w:rPr>
                    <w:t>10</w:t>
                  </w:r>
                </w:p>
              </w:tc>
              <w:tc>
                <w:tcPr>
                  <w:tcW w:w="777" w:type="dxa"/>
                  <w:tcBorders>
                    <w:top w:val="single" w:color="auto" w:sz="4" w:space="0"/>
                    <w:left w:val="single" w:color="auto" w:sz="4" w:space="0"/>
                    <w:bottom w:val="single" w:color="auto" w:sz="4" w:space="0"/>
                    <w:right w:val="single" w:color="auto" w:sz="4" w:space="0"/>
                  </w:tcBorders>
                  <w:vAlign w:val="center"/>
                </w:tcPr>
                <w:p w14:paraId="7A3F8F65">
                  <w:pPr>
                    <w:keepNext w:val="0"/>
                    <w:keepLines w:val="0"/>
                    <w:widowControl/>
                    <w:suppressLineNumbers w:val="0"/>
                    <w:snapToGrid w:val="0"/>
                    <w:spacing w:before="0" w:beforeAutospacing="0" w:after="0" w:afterAutospacing="0" w:line="264" w:lineRule="auto"/>
                    <w:ind w:left="0" w:right="0"/>
                    <w:jc w:val="center"/>
                    <w:rPr>
                      <w:rFonts w:hint="default" w:ascii="Times New Roman" w:hAnsi="Times New Roman" w:eastAsia="宋体" w:cs="Times New Roman"/>
                      <w:kern w:val="0"/>
                      <w:sz w:val="18"/>
                      <w:szCs w:val="18"/>
                      <w:highlight w:val="none"/>
                      <w:lang w:val="en-US" w:eastAsia="zh-CN"/>
                    </w:rPr>
                  </w:pPr>
                  <w:r>
                    <w:rPr>
                      <w:rFonts w:hint="eastAsia" w:cs="Times New Roman"/>
                      <w:kern w:val="0"/>
                      <w:sz w:val="18"/>
                      <w:szCs w:val="18"/>
                      <w:highlight w:val="none"/>
                      <w:lang w:val="en-US" w:eastAsia="zh-CN"/>
                    </w:rPr>
                    <w:t>0.031</w:t>
                  </w:r>
                </w:p>
              </w:tc>
              <w:tc>
                <w:tcPr>
                  <w:tcW w:w="630" w:type="dxa"/>
                  <w:vMerge w:val="continue"/>
                  <w:tcBorders>
                    <w:left w:val="single" w:color="auto" w:sz="4" w:space="0"/>
                    <w:right w:val="single" w:color="auto" w:sz="4" w:space="0"/>
                  </w:tcBorders>
                  <w:vAlign w:val="center"/>
                </w:tcPr>
                <w:p w14:paraId="519390B4">
                  <w:pPr>
                    <w:keepNext w:val="0"/>
                    <w:keepLines w:val="0"/>
                    <w:suppressLineNumbers w:val="0"/>
                    <w:snapToGrid w:val="0"/>
                    <w:spacing w:before="0" w:beforeAutospacing="0" w:after="0" w:afterAutospacing="0" w:line="264" w:lineRule="auto"/>
                    <w:ind w:left="0" w:right="0"/>
                    <w:jc w:val="center"/>
                    <w:rPr>
                      <w:rFonts w:hint="default" w:ascii="Times New Roman" w:hAnsi="Times New Roman" w:eastAsia="宋体" w:cs="Times New Roman"/>
                      <w:sz w:val="18"/>
                      <w:szCs w:val="18"/>
                      <w:highlight w:val="none"/>
                    </w:rPr>
                  </w:pPr>
                </w:p>
              </w:tc>
              <w:tc>
                <w:tcPr>
                  <w:tcW w:w="477" w:type="dxa"/>
                  <w:tcBorders>
                    <w:left w:val="single" w:color="auto" w:sz="4" w:space="0"/>
                    <w:right w:val="single" w:color="auto" w:sz="4" w:space="0"/>
                  </w:tcBorders>
                  <w:vAlign w:val="center"/>
                </w:tcPr>
                <w:p w14:paraId="2BE14FC0">
                  <w:pPr>
                    <w:keepNext w:val="0"/>
                    <w:keepLines w:val="0"/>
                    <w:suppressLineNumbers w:val="0"/>
                    <w:snapToGrid w:val="0"/>
                    <w:spacing w:before="0" w:beforeAutospacing="0" w:after="0" w:afterAutospacing="0" w:line="264" w:lineRule="auto"/>
                    <w:ind w:left="0" w:right="0"/>
                    <w:jc w:val="center"/>
                    <w:rPr>
                      <w:rFonts w:hint="default" w:ascii="Times New Roman" w:hAnsi="Times New Roman" w:eastAsia="宋体" w:cs="Times New Roman"/>
                      <w:kern w:val="0"/>
                      <w:sz w:val="18"/>
                      <w:szCs w:val="18"/>
                      <w:highlight w:val="none"/>
                      <w:lang w:val="en-US" w:eastAsia="zh-CN"/>
                    </w:rPr>
                  </w:pPr>
                  <w:r>
                    <w:rPr>
                      <w:rFonts w:hint="eastAsia" w:cs="Times New Roman"/>
                      <w:kern w:val="0"/>
                      <w:sz w:val="18"/>
                      <w:szCs w:val="18"/>
                      <w:highlight w:val="none"/>
                      <w:lang w:val="en-US" w:eastAsia="zh-CN"/>
                    </w:rPr>
                    <w:t>40</w:t>
                  </w:r>
                </w:p>
              </w:tc>
              <w:tc>
                <w:tcPr>
                  <w:tcW w:w="611" w:type="dxa"/>
                  <w:vMerge w:val="continue"/>
                  <w:tcBorders>
                    <w:left w:val="single" w:color="auto" w:sz="4" w:space="0"/>
                    <w:right w:val="single" w:color="auto" w:sz="4" w:space="0"/>
                  </w:tcBorders>
                  <w:vAlign w:val="center"/>
                </w:tcPr>
                <w:p w14:paraId="5EEF0DCF">
                  <w:pPr>
                    <w:keepNext w:val="0"/>
                    <w:keepLines w:val="0"/>
                    <w:suppressLineNumbers w:val="0"/>
                    <w:snapToGrid w:val="0"/>
                    <w:spacing w:before="0" w:beforeAutospacing="0" w:after="0" w:afterAutospacing="0" w:line="264" w:lineRule="auto"/>
                    <w:ind w:left="0" w:right="0"/>
                    <w:jc w:val="center"/>
                    <w:rPr>
                      <w:rFonts w:hint="default" w:ascii="Times New Roman" w:hAnsi="Times New Roman" w:eastAsia="宋体" w:cs="Times New Roman"/>
                      <w:kern w:val="0"/>
                      <w:sz w:val="18"/>
                      <w:szCs w:val="18"/>
                      <w:highlight w:val="none"/>
                    </w:rPr>
                  </w:pPr>
                </w:p>
              </w:tc>
              <w:tc>
                <w:tcPr>
                  <w:tcW w:w="679" w:type="dxa"/>
                  <w:tcBorders>
                    <w:top w:val="single" w:color="auto" w:sz="4" w:space="0"/>
                    <w:left w:val="single" w:color="auto" w:sz="4" w:space="0"/>
                    <w:bottom w:val="single" w:color="auto" w:sz="4" w:space="0"/>
                    <w:right w:val="single" w:color="auto" w:sz="4" w:space="0"/>
                  </w:tcBorders>
                  <w:vAlign w:val="center"/>
                </w:tcPr>
                <w:p w14:paraId="254AC631">
                  <w:pPr>
                    <w:keepNext w:val="0"/>
                    <w:keepLines w:val="0"/>
                    <w:widowControl/>
                    <w:suppressLineNumbers w:val="0"/>
                    <w:snapToGrid w:val="0"/>
                    <w:spacing w:before="0" w:beforeAutospacing="0" w:after="0" w:afterAutospacing="0" w:line="264" w:lineRule="auto"/>
                    <w:ind w:left="0" w:right="0"/>
                    <w:jc w:val="center"/>
                    <w:rPr>
                      <w:rFonts w:hint="default" w:ascii="Times New Roman" w:hAnsi="Times New Roman" w:eastAsia="宋体" w:cs="Times New Roman"/>
                      <w:kern w:val="0"/>
                      <w:sz w:val="18"/>
                      <w:szCs w:val="18"/>
                      <w:highlight w:val="none"/>
                      <w:lang w:val="en-US" w:eastAsia="zh-CN"/>
                    </w:rPr>
                  </w:pPr>
                  <w:r>
                    <w:rPr>
                      <w:rFonts w:hint="eastAsia" w:cs="Times New Roman"/>
                      <w:kern w:val="0"/>
                      <w:sz w:val="18"/>
                      <w:szCs w:val="18"/>
                      <w:highlight w:val="none"/>
                      <w:lang w:val="en-US" w:eastAsia="zh-CN"/>
                    </w:rPr>
                    <w:t>6</w:t>
                  </w:r>
                </w:p>
              </w:tc>
              <w:tc>
                <w:tcPr>
                  <w:tcW w:w="723" w:type="dxa"/>
                  <w:tcBorders>
                    <w:top w:val="single" w:color="auto" w:sz="4" w:space="0"/>
                    <w:left w:val="single" w:color="auto" w:sz="4" w:space="0"/>
                    <w:bottom w:val="single" w:color="auto" w:sz="4" w:space="0"/>
                    <w:right w:val="single" w:color="auto" w:sz="4" w:space="0"/>
                  </w:tcBorders>
                  <w:vAlign w:val="center"/>
                </w:tcPr>
                <w:p w14:paraId="486BEDF0">
                  <w:pPr>
                    <w:keepNext w:val="0"/>
                    <w:keepLines w:val="0"/>
                    <w:widowControl/>
                    <w:suppressLineNumbers w:val="0"/>
                    <w:snapToGrid w:val="0"/>
                    <w:spacing w:before="0" w:beforeAutospacing="0" w:after="0" w:afterAutospacing="0" w:line="264" w:lineRule="auto"/>
                    <w:ind w:left="0" w:right="0"/>
                    <w:jc w:val="center"/>
                    <w:rPr>
                      <w:rFonts w:hint="default" w:ascii="Times New Roman" w:hAnsi="Times New Roman" w:eastAsia="宋体" w:cs="Times New Roman"/>
                      <w:kern w:val="0"/>
                      <w:sz w:val="18"/>
                      <w:szCs w:val="18"/>
                      <w:highlight w:val="none"/>
                      <w:lang w:val="en-US" w:eastAsia="zh-CN"/>
                    </w:rPr>
                  </w:pPr>
                  <w:r>
                    <w:rPr>
                      <w:rFonts w:hint="eastAsia" w:cs="Times New Roman"/>
                      <w:kern w:val="0"/>
                      <w:sz w:val="18"/>
                      <w:szCs w:val="18"/>
                      <w:highlight w:val="none"/>
                      <w:lang w:val="en-US" w:eastAsia="zh-CN"/>
                    </w:rPr>
                    <w:t>0.019</w:t>
                  </w:r>
                </w:p>
              </w:tc>
              <w:tc>
                <w:tcPr>
                  <w:tcW w:w="481" w:type="dxa"/>
                  <w:vMerge w:val="continue"/>
                  <w:tcBorders>
                    <w:left w:val="single" w:color="auto" w:sz="4" w:space="0"/>
                    <w:right w:val="single" w:color="auto" w:sz="4" w:space="0"/>
                  </w:tcBorders>
                  <w:vAlign w:val="center"/>
                </w:tcPr>
                <w:p w14:paraId="044C6D00">
                  <w:pPr>
                    <w:keepNext w:val="0"/>
                    <w:keepLines w:val="0"/>
                    <w:suppressLineNumbers w:val="0"/>
                    <w:snapToGrid w:val="0"/>
                    <w:spacing w:before="0" w:beforeAutospacing="0" w:after="0" w:afterAutospacing="0" w:line="264" w:lineRule="auto"/>
                    <w:ind w:left="0" w:right="0"/>
                    <w:jc w:val="center"/>
                    <w:rPr>
                      <w:rFonts w:hint="default" w:ascii="Times New Roman" w:hAnsi="Times New Roman" w:eastAsia="宋体" w:cs="Times New Roman"/>
                      <w:kern w:val="0"/>
                      <w:sz w:val="18"/>
                      <w:szCs w:val="18"/>
                      <w:highlight w:val="none"/>
                    </w:rPr>
                  </w:pPr>
                </w:p>
              </w:tc>
            </w:tr>
            <w:tr w14:paraId="0DD9D5D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jc w:val="center"/>
              </w:trPr>
              <w:tc>
                <w:tcPr>
                  <w:tcW w:w="580" w:type="dxa"/>
                  <w:vMerge w:val="continue"/>
                  <w:tcBorders>
                    <w:left w:val="single" w:color="auto" w:sz="4" w:space="0"/>
                    <w:right w:val="single" w:color="auto" w:sz="4" w:space="0"/>
                  </w:tcBorders>
                  <w:vAlign w:val="center"/>
                </w:tcPr>
                <w:p w14:paraId="1AB3C6D5">
                  <w:pPr>
                    <w:keepNext w:val="0"/>
                    <w:keepLines w:val="0"/>
                    <w:widowControl/>
                    <w:suppressLineNumbers w:val="0"/>
                    <w:adjustRightInd w:val="0"/>
                    <w:snapToGrid w:val="0"/>
                    <w:spacing w:before="0" w:beforeAutospacing="0" w:after="0" w:afterAutospacing="0" w:line="264" w:lineRule="auto"/>
                    <w:ind w:left="0" w:right="0"/>
                    <w:jc w:val="center"/>
                    <w:rPr>
                      <w:rFonts w:hint="default" w:ascii="Times New Roman" w:hAnsi="Times New Roman" w:eastAsia="宋体" w:cs="Times New Roman"/>
                      <w:snapToGrid w:val="0"/>
                      <w:sz w:val="18"/>
                      <w:szCs w:val="18"/>
                      <w:highlight w:val="none"/>
                    </w:rPr>
                  </w:pPr>
                </w:p>
              </w:tc>
              <w:tc>
                <w:tcPr>
                  <w:tcW w:w="423" w:type="dxa"/>
                  <w:vMerge w:val="continue"/>
                  <w:tcBorders>
                    <w:left w:val="single" w:color="auto" w:sz="4" w:space="0"/>
                    <w:right w:val="single" w:color="auto" w:sz="4" w:space="0"/>
                  </w:tcBorders>
                  <w:vAlign w:val="center"/>
                </w:tcPr>
                <w:p w14:paraId="766F24EB">
                  <w:pPr>
                    <w:keepNext w:val="0"/>
                    <w:keepLines w:val="0"/>
                    <w:widowControl/>
                    <w:suppressLineNumbers w:val="0"/>
                    <w:adjustRightInd w:val="0"/>
                    <w:snapToGrid w:val="0"/>
                    <w:spacing w:before="0" w:beforeAutospacing="0" w:after="0" w:afterAutospacing="0" w:line="264" w:lineRule="auto"/>
                    <w:ind w:left="0" w:right="0"/>
                    <w:jc w:val="center"/>
                    <w:rPr>
                      <w:rFonts w:hint="default" w:ascii="Times New Roman" w:hAnsi="Times New Roman" w:eastAsia="宋体" w:cs="Times New Roman"/>
                      <w:snapToGrid w:val="0"/>
                      <w:sz w:val="18"/>
                      <w:szCs w:val="18"/>
                      <w:highlight w:val="none"/>
                    </w:rPr>
                  </w:pPr>
                </w:p>
              </w:tc>
              <w:tc>
                <w:tcPr>
                  <w:tcW w:w="1031" w:type="dxa"/>
                  <w:vMerge w:val="restart"/>
                  <w:tcBorders>
                    <w:left w:val="single" w:color="auto" w:sz="4" w:space="0"/>
                    <w:right w:val="single" w:color="auto" w:sz="4" w:space="0"/>
                  </w:tcBorders>
                  <w:vAlign w:val="center"/>
                </w:tcPr>
                <w:p w14:paraId="3DE8F534">
                  <w:pPr>
                    <w:keepNext w:val="0"/>
                    <w:keepLines w:val="0"/>
                    <w:widowControl/>
                    <w:suppressLineNumbers w:val="0"/>
                    <w:adjustRightInd w:val="0"/>
                    <w:snapToGrid w:val="0"/>
                    <w:spacing w:before="0" w:beforeAutospacing="0" w:after="0" w:afterAutospacing="0" w:line="264" w:lineRule="auto"/>
                    <w:ind w:left="0" w:right="0"/>
                    <w:jc w:val="center"/>
                    <w:rPr>
                      <w:rFonts w:hint="eastAsia" w:ascii="Times New Roman" w:hAnsi="Times New Roman" w:eastAsia="宋体" w:cs="Times New Roman"/>
                      <w:snapToGrid w:val="0"/>
                      <w:sz w:val="18"/>
                      <w:szCs w:val="18"/>
                      <w:highlight w:val="none"/>
                      <w:lang w:val="en-US" w:eastAsia="zh-CN"/>
                    </w:rPr>
                  </w:pPr>
                  <w:r>
                    <w:rPr>
                      <w:rFonts w:hint="eastAsia" w:ascii="Times New Roman" w:hAnsi="Times New Roman" w:eastAsia="宋体" w:cs="Times New Roman"/>
                      <w:snapToGrid w:val="0"/>
                      <w:sz w:val="18"/>
                      <w:szCs w:val="18"/>
                      <w:highlight w:val="none"/>
                      <w:lang w:val="en-US" w:eastAsia="zh-CN"/>
                    </w:rPr>
                    <w:t>科创</w:t>
                  </w:r>
                  <w:r>
                    <w:rPr>
                      <w:rFonts w:hint="eastAsia"/>
                      <w:kern w:val="0"/>
                      <w:sz w:val="18"/>
                      <w:szCs w:val="18"/>
                      <w:highlight w:val="none"/>
                      <w:lang w:val="en-US" w:eastAsia="zh-CN"/>
                    </w:rPr>
                    <w:t>综合</w:t>
                  </w:r>
                  <w:r>
                    <w:rPr>
                      <w:rFonts w:hint="eastAsia" w:ascii="Times New Roman" w:hAnsi="Times New Roman" w:eastAsia="宋体" w:cs="Times New Roman"/>
                      <w:snapToGrid w:val="0"/>
                      <w:sz w:val="18"/>
                      <w:szCs w:val="18"/>
                      <w:highlight w:val="none"/>
                      <w:lang w:val="en-US" w:eastAsia="zh-CN"/>
                    </w:rPr>
                    <w:t>楼实验室地面清洗废水</w:t>
                  </w:r>
                </w:p>
              </w:tc>
              <w:tc>
                <w:tcPr>
                  <w:tcW w:w="595" w:type="dxa"/>
                  <w:tcBorders>
                    <w:top w:val="single" w:color="auto" w:sz="4" w:space="0"/>
                    <w:left w:val="single" w:color="auto" w:sz="4" w:space="0"/>
                    <w:bottom w:val="single" w:color="auto" w:sz="4" w:space="0"/>
                    <w:right w:val="single" w:color="auto" w:sz="4" w:space="0"/>
                  </w:tcBorders>
                  <w:shd w:val="clear" w:color="auto" w:fill="auto"/>
                  <w:vAlign w:val="center"/>
                </w:tcPr>
                <w:p w14:paraId="04E01CB9">
                  <w:pPr>
                    <w:keepNext w:val="0"/>
                    <w:keepLines w:val="0"/>
                    <w:widowControl/>
                    <w:suppressLineNumbers w:val="0"/>
                    <w:adjustRightInd w:val="0"/>
                    <w:snapToGrid w:val="0"/>
                    <w:spacing w:before="0" w:beforeAutospacing="0" w:after="0" w:afterAutospacing="0" w:line="264" w:lineRule="auto"/>
                    <w:ind w:left="0" w:right="0"/>
                    <w:jc w:val="center"/>
                    <w:rPr>
                      <w:rFonts w:hint="default" w:ascii="Times New Roman" w:hAnsi="Times New Roman" w:eastAsia="宋体" w:cs="Times New Roman"/>
                      <w:snapToGrid w:val="0"/>
                      <w:kern w:val="2"/>
                      <w:sz w:val="18"/>
                      <w:szCs w:val="18"/>
                      <w:highlight w:val="none"/>
                      <w:lang w:val="en-US" w:eastAsia="zh-CN" w:bidi="ar-SA"/>
                    </w:rPr>
                  </w:pPr>
                  <w:r>
                    <w:rPr>
                      <w:rFonts w:hint="default" w:ascii="Times New Roman" w:hAnsi="Times New Roman" w:eastAsia="宋体" w:cs="Times New Roman"/>
                      <w:snapToGrid w:val="0"/>
                      <w:sz w:val="18"/>
                      <w:szCs w:val="18"/>
                      <w:highlight w:val="none"/>
                    </w:rPr>
                    <w:t>COD</w:t>
                  </w:r>
                  <w:r>
                    <w:rPr>
                      <w:rFonts w:hint="default" w:ascii="Times New Roman" w:hAnsi="Times New Roman" w:eastAsia="宋体" w:cs="Times New Roman"/>
                      <w:snapToGrid w:val="0"/>
                      <w:sz w:val="18"/>
                      <w:szCs w:val="18"/>
                      <w:highlight w:val="none"/>
                      <w:vertAlign w:val="subscript"/>
                    </w:rPr>
                    <w:t>Cr</w:t>
                  </w:r>
                </w:p>
              </w:tc>
              <w:tc>
                <w:tcPr>
                  <w:tcW w:w="609" w:type="dxa"/>
                  <w:vMerge w:val="restart"/>
                  <w:tcBorders>
                    <w:left w:val="single" w:color="auto" w:sz="4" w:space="0"/>
                    <w:right w:val="single" w:color="auto" w:sz="4" w:space="0"/>
                  </w:tcBorders>
                  <w:vAlign w:val="center"/>
                </w:tcPr>
                <w:p w14:paraId="7887092A">
                  <w:pPr>
                    <w:keepNext w:val="0"/>
                    <w:keepLines w:val="0"/>
                    <w:suppressLineNumbers w:val="0"/>
                    <w:snapToGrid w:val="0"/>
                    <w:spacing w:before="0" w:beforeAutospacing="0" w:after="0" w:afterAutospacing="0" w:line="264" w:lineRule="auto"/>
                    <w:ind w:left="0" w:right="0"/>
                    <w:jc w:val="center"/>
                    <w:rPr>
                      <w:rFonts w:hint="default" w:ascii="Times New Roman" w:hAnsi="Times New Roman" w:eastAsia="宋体" w:cs="Times New Roman"/>
                      <w:sz w:val="18"/>
                      <w:szCs w:val="18"/>
                      <w:highlight w:val="none"/>
                      <w:lang w:val="en-US" w:eastAsia="zh-CN"/>
                    </w:rPr>
                  </w:pPr>
                  <w:r>
                    <w:rPr>
                      <w:rFonts w:hint="eastAsia" w:ascii="Times New Roman" w:hAnsi="Times New Roman" w:eastAsia="宋体" w:cs="Times New Roman"/>
                      <w:sz w:val="18"/>
                      <w:szCs w:val="18"/>
                      <w:highlight w:val="none"/>
                      <w:lang w:val="en-US" w:eastAsia="zh-CN"/>
                    </w:rPr>
                    <w:t>397.8</w:t>
                  </w:r>
                </w:p>
              </w:tc>
              <w:tc>
                <w:tcPr>
                  <w:tcW w:w="699" w:type="dxa"/>
                  <w:tcBorders>
                    <w:top w:val="single" w:color="auto" w:sz="4" w:space="0"/>
                    <w:left w:val="single" w:color="auto" w:sz="4" w:space="0"/>
                    <w:bottom w:val="single" w:color="auto" w:sz="4" w:space="0"/>
                    <w:right w:val="single" w:color="auto" w:sz="4" w:space="0"/>
                  </w:tcBorders>
                  <w:vAlign w:val="center"/>
                </w:tcPr>
                <w:p w14:paraId="0DBDECA9">
                  <w:pPr>
                    <w:keepNext w:val="0"/>
                    <w:keepLines w:val="0"/>
                    <w:widowControl/>
                    <w:suppressLineNumbers w:val="0"/>
                    <w:snapToGrid w:val="0"/>
                    <w:spacing w:before="0" w:beforeAutospacing="0" w:after="0" w:afterAutospacing="0" w:line="264" w:lineRule="auto"/>
                    <w:ind w:left="0" w:right="0"/>
                    <w:jc w:val="center"/>
                    <w:rPr>
                      <w:rFonts w:hint="default" w:ascii="Times New Roman" w:hAnsi="Times New Roman" w:eastAsia="宋体" w:cs="Times New Roman"/>
                      <w:kern w:val="0"/>
                      <w:sz w:val="18"/>
                      <w:szCs w:val="18"/>
                      <w:highlight w:val="none"/>
                      <w:lang w:val="en-US" w:eastAsia="zh-CN"/>
                    </w:rPr>
                  </w:pPr>
                  <w:r>
                    <w:rPr>
                      <w:rFonts w:hint="eastAsia" w:ascii="Times New Roman" w:hAnsi="Times New Roman" w:eastAsia="宋体" w:cs="Times New Roman"/>
                      <w:kern w:val="0"/>
                      <w:sz w:val="18"/>
                      <w:szCs w:val="18"/>
                      <w:highlight w:val="none"/>
                      <w:lang w:val="en-US" w:eastAsia="zh-CN"/>
                    </w:rPr>
                    <w:t>150</w:t>
                  </w:r>
                </w:p>
              </w:tc>
              <w:tc>
                <w:tcPr>
                  <w:tcW w:w="777" w:type="dxa"/>
                  <w:tcBorders>
                    <w:top w:val="single" w:color="auto" w:sz="4" w:space="0"/>
                    <w:left w:val="single" w:color="auto" w:sz="4" w:space="0"/>
                    <w:bottom w:val="single" w:color="auto" w:sz="4" w:space="0"/>
                    <w:right w:val="single" w:color="auto" w:sz="4" w:space="0"/>
                  </w:tcBorders>
                  <w:vAlign w:val="center"/>
                </w:tcPr>
                <w:p w14:paraId="76B06648">
                  <w:pPr>
                    <w:keepNext w:val="0"/>
                    <w:keepLines w:val="0"/>
                    <w:widowControl/>
                    <w:suppressLineNumbers w:val="0"/>
                    <w:snapToGrid w:val="0"/>
                    <w:spacing w:before="0" w:beforeAutospacing="0" w:after="0" w:afterAutospacing="0" w:line="264" w:lineRule="auto"/>
                    <w:ind w:left="0" w:right="0"/>
                    <w:jc w:val="center"/>
                    <w:rPr>
                      <w:rFonts w:hint="eastAsia" w:ascii="Times New Roman" w:hAnsi="Times New Roman" w:eastAsia="宋体" w:cs="Times New Roman"/>
                      <w:kern w:val="0"/>
                      <w:sz w:val="18"/>
                      <w:szCs w:val="18"/>
                      <w:highlight w:val="none"/>
                      <w:lang w:val="en-US" w:eastAsia="zh-CN"/>
                    </w:rPr>
                  </w:pPr>
                  <w:r>
                    <w:rPr>
                      <w:rFonts w:hint="eastAsia" w:ascii="Times New Roman" w:hAnsi="Times New Roman" w:eastAsia="宋体" w:cs="Times New Roman"/>
                      <w:kern w:val="0"/>
                      <w:sz w:val="18"/>
                      <w:szCs w:val="18"/>
                      <w:highlight w:val="none"/>
                      <w:lang w:val="en-US" w:eastAsia="zh-CN"/>
                    </w:rPr>
                    <w:t xml:space="preserve">0.060 </w:t>
                  </w:r>
                </w:p>
              </w:tc>
              <w:tc>
                <w:tcPr>
                  <w:tcW w:w="630" w:type="dxa"/>
                  <w:vMerge w:val="continue"/>
                  <w:tcBorders>
                    <w:left w:val="single" w:color="auto" w:sz="4" w:space="0"/>
                    <w:right w:val="single" w:color="auto" w:sz="4" w:space="0"/>
                  </w:tcBorders>
                  <w:vAlign w:val="center"/>
                </w:tcPr>
                <w:p w14:paraId="2E97D513">
                  <w:pPr>
                    <w:keepNext w:val="0"/>
                    <w:keepLines w:val="0"/>
                    <w:suppressLineNumbers w:val="0"/>
                    <w:snapToGrid w:val="0"/>
                    <w:spacing w:before="0" w:beforeAutospacing="0" w:after="0" w:afterAutospacing="0" w:line="264" w:lineRule="auto"/>
                    <w:ind w:left="0" w:right="0"/>
                    <w:jc w:val="center"/>
                    <w:rPr>
                      <w:rFonts w:hint="default" w:ascii="Times New Roman" w:hAnsi="Times New Roman" w:eastAsia="宋体" w:cs="Times New Roman"/>
                      <w:sz w:val="18"/>
                      <w:szCs w:val="18"/>
                      <w:highlight w:val="none"/>
                    </w:rPr>
                  </w:pPr>
                </w:p>
              </w:tc>
              <w:tc>
                <w:tcPr>
                  <w:tcW w:w="477" w:type="dxa"/>
                  <w:tcBorders>
                    <w:left w:val="single" w:color="auto" w:sz="4" w:space="0"/>
                    <w:right w:val="single" w:color="auto" w:sz="4" w:space="0"/>
                  </w:tcBorders>
                  <w:vAlign w:val="center"/>
                </w:tcPr>
                <w:p w14:paraId="4C790AAC">
                  <w:pPr>
                    <w:keepNext w:val="0"/>
                    <w:keepLines w:val="0"/>
                    <w:suppressLineNumbers w:val="0"/>
                    <w:snapToGrid w:val="0"/>
                    <w:spacing w:before="0" w:beforeAutospacing="0" w:after="0" w:afterAutospacing="0" w:line="264" w:lineRule="auto"/>
                    <w:ind w:left="0" w:right="0"/>
                    <w:jc w:val="center"/>
                    <w:rPr>
                      <w:rFonts w:hint="default" w:ascii="Times New Roman" w:hAnsi="Times New Roman" w:eastAsia="宋体" w:cs="Times New Roman"/>
                      <w:kern w:val="0"/>
                      <w:sz w:val="18"/>
                      <w:szCs w:val="18"/>
                      <w:highlight w:val="none"/>
                    </w:rPr>
                  </w:pPr>
                  <w:r>
                    <w:rPr>
                      <w:rFonts w:hint="eastAsia"/>
                      <w:bCs/>
                      <w:snapToGrid w:val="0"/>
                      <w:sz w:val="18"/>
                      <w:szCs w:val="18"/>
                      <w:highlight w:val="none"/>
                      <w:lang w:val="en-US" w:eastAsia="zh-CN"/>
                    </w:rPr>
                    <w:t>75</w:t>
                  </w:r>
                </w:p>
              </w:tc>
              <w:tc>
                <w:tcPr>
                  <w:tcW w:w="611" w:type="dxa"/>
                  <w:vMerge w:val="restart"/>
                  <w:tcBorders>
                    <w:left w:val="single" w:color="auto" w:sz="4" w:space="0"/>
                    <w:right w:val="single" w:color="auto" w:sz="4" w:space="0"/>
                  </w:tcBorders>
                  <w:vAlign w:val="center"/>
                </w:tcPr>
                <w:p w14:paraId="2B0790A9">
                  <w:pPr>
                    <w:keepNext w:val="0"/>
                    <w:keepLines w:val="0"/>
                    <w:suppressLineNumbers w:val="0"/>
                    <w:snapToGrid w:val="0"/>
                    <w:spacing w:before="0" w:beforeAutospacing="0" w:after="0" w:afterAutospacing="0" w:line="264" w:lineRule="auto"/>
                    <w:ind w:left="0" w:right="0"/>
                    <w:jc w:val="center"/>
                    <w:rPr>
                      <w:rFonts w:hint="default" w:ascii="Times New Roman" w:hAnsi="Times New Roman" w:eastAsia="宋体" w:cs="Times New Roman"/>
                      <w:kern w:val="0"/>
                      <w:sz w:val="18"/>
                      <w:szCs w:val="18"/>
                      <w:highlight w:val="none"/>
                    </w:rPr>
                  </w:pPr>
                  <w:r>
                    <w:rPr>
                      <w:rFonts w:hint="eastAsia" w:ascii="Times New Roman" w:hAnsi="Times New Roman" w:eastAsia="宋体" w:cs="Times New Roman"/>
                      <w:sz w:val="18"/>
                      <w:szCs w:val="18"/>
                      <w:highlight w:val="none"/>
                      <w:lang w:val="en-US" w:eastAsia="zh-CN"/>
                    </w:rPr>
                    <w:t>397.8</w:t>
                  </w:r>
                </w:p>
              </w:tc>
              <w:tc>
                <w:tcPr>
                  <w:tcW w:w="679" w:type="dxa"/>
                  <w:tcBorders>
                    <w:top w:val="single" w:color="auto" w:sz="4" w:space="0"/>
                    <w:left w:val="single" w:color="auto" w:sz="4" w:space="0"/>
                    <w:bottom w:val="single" w:color="auto" w:sz="4" w:space="0"/>
                    <w:right w:val="single" w:color="auto" w:sz="4" w:space="0"/>
                  </w:tcBorders>
                  <w:vAlign w:val="center"/>
                </w:tcPr>
                <w:p w14:paraId="5520BA5B">
                  <w:pPr>
                    <w:keepNext w:val="0"/>
                    <w:keepLines w:val="0"/>
                    <w:widowControl/>
                    <w:suppressLineNumbers w:val="0"/>
                    <w:snapToGrid w:val="0"/>
                    <w:spacing w:before="0" w:beforeAutospacing="0" w:after="0" w:afterAutospacing="0" w:line="264" w:lineRule="auto"/>
                    <w:ind w:left="0" w:right="0"/>
                    <w:jc w:val="center"/>
                    <w:rPr>
                      <w:rFonts w:hint="eastAsia" w:ascii="Times New Roman" w:hAnsi="Times New Roman" w:eastAsia="宋体" w:cs="Times New Roman"/>
                      <w:kern w:val="0"/>
                      <w:sz w:val="18"/>
                      <w:szCs w:val="18"/>
                      <w:highlight w:val="none"/>
                      <w:lang w:val="en-US" w:eastAsia="zh-CN"/>
                    </w:rPr>
                  </w:pPr>
                  <w:r>
                    <w:rPr>
                      <w:rFonts w:hint="eastAsia" w:ascii="Times New Roman" w:hAnsi="Times New Roman" w:eastAsia="宋体" w:cs="Times New Roman"/>
                      <w:kern w:val="0"/>
                      <w:sz w:val="18"/>
                      <w:szCs w:val="18"/>
                      <w:highlight w:val="none"/>
                      <w:lang w:val="en-US" w:eastAsia="zh-CN"/>
                    </w:rPr>
                    <w:t>37.5</w:t>
                  </w:r>
                </w:p>
              </w:tc>
              <w:tc>
                <w:tcPr>
                  <w:tcW w:w="723" w:type="dxa"/>
                  <w:tcBorders>
                    <w:top w:val="single" w:color="auto" w:sz="4" w:space="0"/>
                    <w:left w:val="single" w:color="auto" w:sz="4" w:space="0"/>
                    <w:bottom w:val="single" w:color="auto" w:sz="4" w:space="0"/>
                    <w:right w:val="single" w:color="auto" w:sz="4" w:space="0"/>
                  </w:tcBorders>
                  <w:vAlign w:val="center"/>
                </w:tcPr>
                <w:p w14:paraId="31E5B7B2">
                  <w:pPr>
                    <w:keepNext w:val="0"/>
                    <w:keepLines w:val="0"/>
                    <w:widowControl/>
                    <w:suppressLineNumbers w:val="0"/>
                    <w:snapToGrid w:val="0"/>
                    <w:spacing w:before="0" w:beforeAutospacing="0" w:after="0" w:afterAutospacing="0" w:line="264" w:lineRule="auto"/>
                    <w:ind w:left="0" w:right="0"/>
                    <w:jc w:val="center"/>
                    <w:rPr>
                      <w:rFonts w:hint="eastAsia" w:ascii="Times New Roman" w:hAnsi="Times New Roman" w:eastAsia="宋体" w:cs="Times New Roman"/>
                      <w:kern w:val="0"/>
                      <w:sz w:val="18"/>
                      <w:szCs w:val="18"/>
                      <w:highlight w:val="none"/>
                      <w:lang w:val="en-US" w:eastAsia="zh-CN"/>
                    </w:rPr>
                  </w:pPr>
                  <w:r>
                    <w:rPr>
                      <w:rFonts w:hint="eastAsia" w:ascii="Times New Roman" w:hAnsi="Times New Roman" w:eastAsia="宋体" w:cs="Times New Roman"/>
                      <w:kern w:val="0"/>
                      <w:sz w:val="18"/>
                      <w:szCs w:val="18"/>
                      <w:highlight w:val="none"/>
                      <w:lang w:val="en-US" w:eastAsia="zh-CN"/>
                    </w:rPr>
                    <w:t xml:space="preserve">0.015 </w:t>
                  </w:r>
                </w:p>
              </w:tc>
              <w:tc>
                <w:tcPr>
                  <w:tcW w:w="481" w:type="dxa"/>
                  <w:vMerge w:val="restart"/>
                  <w:tcBorders>
                    <w:left w:val="single" w:color="auto" w:sz="4" w:space="0"/>
                    <w:right w:val="single" w:color="auto" w:sz="4" w:space="0"/>
                  </w:tcBorders>
                  <w:vAlign w:val="center"/>
                </w:tcPr>
                <w:p w14:paraId="0FD6CA2B">
                  <w:pPr>
                    <w:keepNext w:val="0"/>
                    <w:keepLines w:val="0"/>
                    <w:suppressLineNumbers w:val="0"/>
                    <w:snapToGrid w:val="0"/>
                    <w:spacing w:before="0" w:beforeAutospacing="0" w:after="0" w:afterAutospacing="0" w:line="264" w:lineRule="auto"/>
                    <w:ind w:left="0" w:right="0"/>
                    <w:jc w:val="center"/>
                    <w:rPr>
                      <w:rFonts w:hint="default" w:ascii="Times New Roman" w:hAnsi="Times New Roman" w:eastAsia="宋体" w:cs="Times New Roman"/>
                      <w:kern w:val="0"/>
                      <w:sz w:val="18"/>
                      <w:szCs w:val="18"/>
                      <w:highlight w:val="none"/>
                    </w:rPr>
                  </w:pPr>
                  <w:r>
                    <w:rPr>
                      <w:rFonts w:hint="eastAsia" w:cs="Times New Roman"/>
                      <w:kern w:val="0"/>
                      <w:sz w:val="18"/>
                      <w:szCs w:val="18"/>
                      <w:highlight w:val="none"/>
                      <w:lang w:val="en-US" w:eastAsia="zh-CN"/>
                    </w:rPr>
                    <w:t>2080</w:t>
                  </w:r>
                </w:p>
              </w:tc>
            </w:tr>
            <w:tr w14:paraId="78C3AB3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jc w:val="center"/>
              </w:trPr>
              <w:tc>
                <w:tcPr>
                  <w:tcW w:w="580" w:type="dxa"/>
                  <w:vMerge w:val="continue"/>
                  <w:tcBorders>
                    <w:left w:val="single" w:color="auto" w:sz="4" w:space="0"/>
                    <w:right w:val="single" w:color="auto" w:sz="4" w:space="0"/>
                  </w:tcBorders>
                  <w:vAlign w:val="center"/>
                </w:tcPr>
                <w:p w14:paraId="170E8587">
                  <w:pPr>
                    <w:keepNext w:val="0"/>
                    <w:keepLines w:val="0"/>
                    <w:widowControl/>
                    <w:suppressLineNumbers w:val="0"/>
                    <w:adjustRightInd w:val="0"/>
                    <w:snapToGrid w:val="0"/>
                    <w:spacing w:before="0" w:beforeAutospacing="0" w:after="0" w:afterAutospacing="0" w:line="264" w:lineRule="auto"/>
                    <w:ind w:left="0" w:right="0"/>
                    <w:jc w:val="center"/>
                    <w:rPr>
                      <w:rFonts w:hint="default" w:ascii="Times New Roman" w:hAnsi="Times New Roman" w:eastAsia="宋体" w:cs="Times New Roman"/>
                      <w:snapToGrid w:val="0"/>
                      <w:sz w:val="18"/>
                      <w:szCs w:val="18"/>
                      <w:highlight w:val="none"/>
                    </w:rPr>
                  </w:pPr>
                </w:p>
              </w:tc>
              <w:tc>
                <w:tcPr>
                  <w:tcW w:w="423" w:type="dxa"/>
                  <w:vMerge w:val="continue"/>
                  <w:tcBorders>
                    <w:left w:val="single" w:color="auto" w:sz="4" w:space="0"/>
                    <w:right w:val="single" w:color="auto" w:sz="4" w:space="0"/>
                  </w:tcBorders>
                  <w:vAlign w:val="center"/>
                </w:tcPr>
                <w:p w14:paraId="098D4C62">
                  <w:pPr>
                    <w:keepNext w:val="0"/>
                    <w:keepLines w:val="0"/>
                    <w:widowControl/>
                    <w:suppressLineNumbers w:val="0"/>
                    <w:adjustRightInd w:val="0"/>
                    <w:snapToGrid w:val="0"/>
                    <w:spacing w:before="0" w:beforeAutospacing="0" w:after="0" w:afterAutospacing="0" w:line="264" w:lineRule="auto"/>
                    <w:ind w:left="0" w:right="0"/>
                    <w:jc w:val="center"/>
                    <w:rPr>
                      <w:rFonts w:hint="default" w:ascii="Times New Roman" w:hAnsi="Times New Roman" w:eastAsia="宋体" w:cs="Times New Roman"/>
                      <w:snapToGrid w:val="0"/>
                      <w:sz w:val="18"/>
                      <w:szCs w:val="18"/>
                      <w:highlight w:val="none"/>
                    </w:rPr>
                  </w:pPr>
                </w:p>
              </w:tc>
              <w:tc>
                <w:tcPr>
                  <w:tcW w:w="1031" w:type="dxa"/>
                  <w:vMerge w:val="continue"/>
                  <w:tcBorders>
                    <w:left w:val="single" w:color="auto" w:sz="4" w:space="0"/>
                    <w:right w:val="single" w:color="auto" w:sz="4" w:space="0"/>
                  </w:tcBorders>
                  <w:vAlign w:val="center"/>
                </w:tcPr>
                <w:p w14:paraId="1D9D6B60">
                  <w:pPr>
                    <w:keepNext w:val="0"/>
                    <w:keepLines w:val="0"/>
                    <w:widowControl/>
                    <w:suppressLineNumbers w:val="0"/>
                    <w:adjustRightInd w:val="0"/>
                    <w:snapToGrid w:val="0"/>
                    <w:spacing w:before="0" w:beforeAutospacing="0" w:after="0" w:afterAutospacing="0" w:line="264" w:lineRule="auto"/>
                    <w:ind w:left="0" w:right="0"/>
                    <w:jc w:val="center"/>
                    <w:rPr>
                      <w:rFonts w:hint="eastAsia" w:ascii="Times New Roman" w:hAnsi="Times New Roman" w:eastAsia="宋体" w:cs="Times New Roman"/>
                      <w:snapToGrid w:val="0"/>
                      <w:sz w:val="18"/>
                      <w:szCs w:val="18"/>
                      <w:highlight w:val="none"/>
                      <w:lang w:val="en-US" w:eastAsia="zh-CN"/>
                    </w:rPr>
                  </w:pPr>
                </w:p>
              </w:tc>
              <w:tc>
                <w:tcPr>
                  <w:tcW w:w="595" w:type="dxa"/>
                  <w:tcBorders>
                    <w:top w:val="single" w:color="auto" w:sz="4" w:space="0"/>
                    <w:left w:val="single" w:color="auto" w:sz="4" w:space="0"/>
                    <w:bottom w:val="single" w:color="auto" w:sz="4" w:space="0"/>
                    <w:right w:val="single" w:color="auto" w:sz="4" w:space="0"/>
                  </w:tcBorders>
                  <w:shd w:val="clear" w:color="auto" w:fill="auto"/>
                  <w:vAlign w:val="center"/>
                </w:tcPr>
                <w:p w14:paraId="2EDB96D7">
                  <w:pPr>
                    <w:keepNext w:val="0"/>
                    <w:keepLines w:val="0"/>
                    <w:widowControl/>
                    <w:suppressLineNumbers w:val="0"/>
                    <w:adjustRightInd w:val="0"/>
                    <w:snapToGrid w:val="0"/>
                    <w:spacing w:before="0" w:beforeAutospacing="0" w:after="0" w:afterAutospacing="0" w:line="264" w:lineRule="auto"/>
                    <w:ind w:left="0" w:right="0"/>
                    <w:jc w:val="center"/>
                    <w:rPr>
                      <w:rFonts w:hint="default" w:ascii="Times New Roman" w:hAnsi="Times New Roman" w:eastAsia="宋体" w:cs="Times New Roman"/>
                      <w:snapToGrid w:val="0"/>
                      <w:kern w:val="2"/>
                      <w:sz w:val="18"/>
                      <w:szCs w:val="18"/>
                      <w:highlight w:val="none"/>
                      <w:lang w:val="en-US" w:eastAsia="zh-CN" w:bidi="ar-SA"/>
                    </w:rPr>
                  </w:pPr>
                  <w:r>
                    <w:rPr>
                      <w:rFonts w:hint="eastAsia" w:ascii="Times New Roman" w:hAnsi="Times New Roman" w:eastAsia="宋体" w:cs="Times New Roman"/>
                      <w:snapToGrid w:val="0"/>
                      <w:sz w:val="18"/>
                      <w:szCs w:val="18"/>
                      <w:highlight w:val="none"/>
                      <w:lang w:val="en-US" w:eastAsia="zh-CN"/>
                    </w:rPr>
                    <w:t>SS</w:t>
                  </w:r>
                </w:p>
              </w:tc>
              <w:tc>
                <w:tcPr>
                  <w:tcW w:w="609" w:type="dxa"/>
                  <w:vMerge w:val="continue"/>
                  <w:tcBorders>
                    <w:left w:val="single" w:color="auto" w:sz="4" w:space="0"/>
                    <w:right w:val="single" w:color="auto" w:sz="4" w:space="0"/>
                  </w:tcBorders>
                  <w:vAlign w:val="center"/>
                </w:tcPr>
                <w:p w14:paraId="3F877B57">
                  <w:pPr>
                    <w:keepNext w:val="0"/>
                    <w:keepLines w:val="0"/>
                    <w:suppressLineNumbers w:val="0"/>
                    <w:snapToGrid w:val="0"/>
                    <w:spacing w:before="0" w:beforeAutospacing="0" w:after="0" w:afterAutospacing="0" w:line="264" w:lineRule="auto"/>
                    <w:ind w:left="0" w:right="0"/>
                    <w:jc w:val="center"/>
                    <w:rPr>
                      <w:rFonts w:hint="default" w:ascii="Times New Roman" w:hAnsi="Times New Roman" w:eastAsia="宋体" w:cs="Times New Roman"/>
                      <w:sz w:val="18"/>
                      <w:szCs w:val="18"/>
                      <w:highlight w:val="none"/>
                    </w:rPr>
                  </w:pPr>
                </w:p>
              </w:tc>
              <w:tc>
                <w:tcPr>
                  <w:tcW w:w="699" w:type="dxa"/>
                  <w:tcBorders>
                    <w:top w:val="single" w:color="auto" w:sz="4" w:space="0"/>
                    <w:left w:val="single" w:color="auto" w:sz="4" w:space="0"/>
                    <w:bottom w:val="single" w:color="auto" w:sz="4" w:space="0"/>
                    <w:right w:val="single" w:color="auto" w:sz="4" w:space="0"/>
                  </w:tcBorders>
                  <w:vAlign w:val="center"/>
                </w:tcPr>
                <w:p w14:paraId="07B1F81D">
                  <w:pPr>
                    <w:keepNext w:val="0"/>
                    <w:keepLines w:val="0"/>
                    <w:widowControl/>
                    <w:suppressLineNumbers w:val="0"/>
                    <w:snapToGrid w:val="0"/>
                    <w:spacing w:before="0" w:beforeAutospacing="0" w:after="0" w:afterAutospacing="0" w:line="264" w:lineRule="auto"/>
                    <w:ind w:left="0" w:right="0"/>
                    <w:jc w:val="center"/>
                    <w:rPr>
                      <w:rFonts w:hint="eastAsia" w:ascii="Times New Roman" w:hAnsi="Times New Roman" w:eastAsia="宋体" w:cs="Times New Roman"/>
                      <w:kern w:val="0"/>
                      <w:sz w:val="18"/>
                      <w:szCs w:val="18"/>
                      <w:highlight w:val="none"/>
                      <w:lang w:val="en-US" w:eastAsia="zh-CN"/>
                    </w:rPr>
                  </w:pPr>
                  <w:r>
                    <w:rPr>
                      <w:rFonts w:hint="eastAsia" w:ascii="Times New Roman" w:hAnsi="Times New Roman" w:eastAsia="宋体" w:cs="Times New Roman"/>
                      <w:kern w:val="0"/>
                      <w:sz w:val="18"/>
                      <w:szCs w:val="18"/>
                      <w:highlight w:val="none"/>
                      <w:lang w:val="en-US" w:eastAsia="zh-CN"/>
                    </w:rPr>
                    <w:t>150</w:t>
                  </w:r>
                </w:p>
              </w:tc>
              <w:tc>
                <w:tcPr>
                  <w:tcW w:w="777" w:type="dxa"/>
                  <w:tcBorders>
                    <w:top w:val="single" w:color="auto" w:sz="4" w:space="0"/>
                    <w:left w:val="single" w:color="auto" w:sz="4" w:space="0"/>
                    <w:bottom w:val="single" w:color="auto" w:sz="4" w:space="0"/>
                    <w:right w:val="single" w:color="auto" w:sz="4" w:space="0"/>
                  </w:tcBorders>
                  <w:vAlign w:val="center"/>
                </w:tcPr>
                <w:p w14:paraId="72040CFD">
                  <w:pPr>
                    <w:keepNext w:val="0"/>
                    <w:keepLines w:val="0"/>
                    <w:widowControl/>
                    <w:suppressLineNumbers w:val="0"/>
                    <w:snapToGrid w:val="0"/>
                    <w:spacing w:before="0" w:beforeAutospacing="0" w:after="0" w:afterAutospacing="0" w:line="264" w:lineRule="auto"/>
                    <w:ind w:left="0" w:right="0"/>
                    <w:jc w:val="center"/>
                    <w:rPr>
                      <w:rFonts w:hint="eastAsia" w:ascii="Times New Roman" w:hAnsi="Times New Roman" w:eastAsia="宋体" w:cs="Times New Roman"/>
                      <w:kern w:val="0"/>
                      <w:sz w:val="18"/>
                      <w:szCs w:val="18"/>
                      <w:highlight w:val="none"/>
                      <w:lang w:val="en-US" w:eastAsia="zh-CN"/>
                    </w:rPr>
                  </w:pPr>
                  <w:r>
                    <w:rPr>
                      <w:rFonts w:hint="eastAsia" w:ascii="Times New Roman" w:hAnsi="Times New Roman" w:eastAsia="宋体" w:cs="Times New Roman"/>
                      <w:kern w:val="0"/>
                      <w:sz w:val="18"/>
                      <w:szCs w:val="18"/>
                      <w:highlight w:val="none"/>
                      <w:lang w:val="en-US" w:eastAsia="zh-CN"/>
                    </w:rPr>
                    <w:t xml:space="preserve">0.060 </w:t>
                  </w:r>
                </w:p>
              </w:tc>
              <w:tc>
                <w:tcPr>
                  <w:tcW w:w="630" w:type="dxa"/>
                  <w:vMerge w:val="continue"/>
                  <w:tcBorders>
                    <w:left w:val="single" w:color="auto" w:sz="4" w:space="0"/>
                    <w:right w:val="single" w:color="auto" w:sz="4" w:space="0"/>
                  </w:tcBorders>
                  <w:vAlign w:val="center"/>
                </w:tcPr>
                <w:p w14:paraId="5F43009F">
                  <w:pPr>
                    <w:keepNext w:val="0"/>
                    <w:keepLines w:val="0"/>
                    <w:suppressLineNumbers w:val="0"/>
                    <w:snapToGrid w:val="0"/>
                    <w:spacing w:before="0" w:beforeAutospacing="0" w:after="0" w:afterAutospacing="0" w:line="264" w:lineRule="auto"/>
                    <w:ind w:left="0" w:right="0"/>
                    <w:jc w:val="center"/>
                    <w:rPr>
                      <w:rFonts w:hint="default" w:ascii="Times New Roman" w:hAnsi="Times New Roman" w:eastAsia="宋体" w:cs="Times New Roman"/>
                      <w:sz w:val="18"/>
                      <w:szCs w:val="18"/>
                      <w:highlight w:val="none"/>
                    </w:rPr>
                  </w:pPr>
                </w:p>
              </w:tc>
              <w:tc>
                <w:tcPr>
                  <w:tcW w:w="477" w:type="dxa"/>
                  <w:tcBorders>
                    <w:left w:val="single" w:color="auto" w:sz="4" w:space="0"/>
                    <w:right w:val="single" w:color="auto" w:sz="4" w:space="0"/>
                  </w:tcBorders>
                  <w:vAlign w:val="center"/>
                </w:tcPr>
                <w:p w14:paraId="4288DC5B">
                  <w:pPr>
                    <w:keepNext w:val="0"/>
                    <w:keepLines w:val="0"/>
                    <w:suppressLineNumbers w:val="0"/>
                    <w:snapToGrid w:val="0"/>
                    <w:spacing w:before="0" w:beforeAutospacing="0" w:after="0" w:afterAutospacing="0" w:line="264" w:lineRule="auto"/>
                    <w:ind w:left="0" w:right="0"/>
                    <w:jc w:val="center"/>
                    <w:rPr>
                      <w:rFonts w:hint="default" w:ascii="Times New Roman" w:hAnsi="Times New Roman" w:eastAsia="宋体" w:cs="Times New Roman"/>
                      <w:kern w:val="0"/>
                      <w:sz w:val="18"/>
                      <w:szCs w:val="18"/>
                      <w:highlight w:val="none"/>
                    </w:rPr>
                  </w:pPr>
                  <w:r>
                    <w:rPr>
                      <w:rFonts w:hint="eastAsia" w:ascii="Times New Roman" w:hAnsi="Times New Roman" w:eastAsia="宋体" w:cs="Times New Roman"/>
                      <w:kern w:val="0"/>
                      <w:sz w:val="18"/>
                      <w:szCs w:val="18"/>
                      <w:highlight w:val="none"/>
                      <w:lang w:val="en-US" w:eastAsia="zh-CN"/>
                    </w:rPr>
                    <w:t>25</w:t>
                  </w:r>
                </w:p>
              </w:tc>
              <w:tc>
                <w:tcPr>
                  <w:tcW w:w="611" w:type="dxa"/>
                  <w:vMerge w:val="continue"/>
                  <w:tcBorders>
                    <w:left w:val="single" w:color="auto" w:sz="4" w:space="0"/>
                    <w:right w:val="single" w:color="auto" w:sz="4" w:space="0"/>
                  </w:tcBorders>
                  <w:vAlign w:val="center"/>
                </w:tcPr>
                <w:p w14:paraId="35E53BCF">
                  <w:pPr>
                    <w:keepNext w:val="0"/>
                    <w:keepLines w:val="0"/>
                    <w:suppressLineNumbers w:val="0"/>
                    <w:snapToGrid w:val="0"/>
                    <w:spacing w:before="0" w:beforeAutospacing="0" w:after="0" w:afterAutospacing="0" w:line="264" w:lineRule="auto"/>
                    <w:ind w:left="0" w:right="0"/>
                    <w:jc w:val="center"/>
                    <w:rPr>
                      <w:rFonts w:hint="default" w:ascii="Times New Roman" w:hAnsi="Times New Roman" w:eastAsia="宋体" w:cs="Times New Roman"/>
                      <w:kern w:val="0"/>
                      <w:sz w:val="18"/>
                      <w:szCs w:val="18"/>
                      <w:highlight w:val="none"/>
                    </w:rPr>
                  </w:pPr>
                </w:p>
              </w:tc>
              <w:tc>
                <w:tcPr>
                  <w:tcW w:w="679" w:type="dxa"/>
                  <w:tcBorders>
                    <w:top w:val="single" w:color="auto" w:sz="4" w:space="0"/>
                    <w:left w:val="single" w:color="auto" w:sz="4" w:space="0"/>
                    <w:bottom w:val="single" w:color="auto" w:sz="4" w:space="0"/>
                    <w:right w:val="single" w:color="auto" w:sz="4" w:space="0"/>
                  </w:tcBorders>
                  <w:vAlign w:val="center"/>
                </w:tcPr>
                <w:p w14:paraId="2F8E9EA0">
                  <w:pPr>
                    <w:keepNext w:val="0"/>
                    <w:keepLines w:val="0"/>
                    <w:widowControl/>
                    <w:suppressLineNumbers w:val="0"/>
                    <w:snapToGrid w:val="0"/>
                    <w:spacing w:before="0" w:beforeAutospacing="0" w:after="0" w:afterAutospacing="0" w:line="264" w:lineRule="auto"/>
                    <w:ind w:left="0" w:right="0"/>
                    <w:jc w:val="center"/>
                    <w:rPr>
                      <w:rFonts w:hint="eastAsia" w:ascii="Times New Roman" w:hAnsi="Times New Roman" w:eastAsia="宋体" w:cs="Times New Roman"/>
                      <w:kern w:val="0"/>
                      <w:sz w:val="18"/>
                      <w:szCs w:val="18"/>
                      <w:highlight w:val="none"/>
                      <w:lang w:val="en-US" w:eastAsia="zh-CN"/>
                    </w:rPr>
                  </w:pPr>
                  <w:r>
                    <w:rPr>
                      <w:rFonts w:hint="eastAsia" w:ascii="Times New Roman" w:hAnsi="Times New Roman" w:eastAsia="宋体" w:cs="Times New Roman"/>
                      <w:kern w:val="0"/>
                      <w:sz w:val="18"/>
                      <w:szCs w:val="18"/>
                      <w:highlight w:val="none"/>
                      <w:lang w:val="en-US" w:eastAsia="zh-CN"/>
                    </w:rPr>
                    <w:t>112.5</w:t>
                  </w:r>
                </w:p>
              </w:tc>
              <w:tc>
                <w:tcPr>
                  <w:tcW w:w="723" w:type="dxa"/>
                  <w:tcBorders>
                    <w:top w:val="single" w:color="auto" w:sz="4" w:space="0"/>
                    <w:left w:val="single" w:color="auto" w:sz="4" w:space="0"/>
                    <w:bottom w:val="single" w:color="auto" w:sz="4" w:space="0"/>
                    <w:right w:val="single" w:color="auto" w:sz="4" w:space="0"/>
                  </w:tcBorders>
                  <w:vAlign w:val="center"/>
                </w:tcPr>
                <w:p w14:paraId="41A49C37">
                  <w:pPr>
                    <w:keepNext w:val="0"/>
                    <w:keepLines w:val="0"/>
                    <w:widowControl/>
                    <w:suppressLineNumbers w:val="0"/>
                    <w:snapToGrid w:val="0"/>
                    <w:spacing w:before="0" w:beforeAutospacing="0" w:after="0" w:afterAutospacing="0" w:line="264" w:lineRule="auto"/>
                    <w:ind w:left="0" w:right="0"/>
                    <w:jc w:val="center"/>
                    <w:rPr>
                      <w:rFonts w:hint="eastAsia" w:ascii="Times New Roman" w:hAnsi="Times New Roman" w:eastAsia="宋体" w:cs="Times New Roman"/>
                      <w:kern w:val="0"/>
                      <w:sz w:val="18"/>
                      <w:szCs w:val="18"/>
                      <w:highlight w:val="none"/>
                      <w:lang w:val="en-US" w:eastAsia="zh-CN"/>
                    </w:rPr>
                  </w:pPr>
                  <w:r>
                    <w:rPr>
                      <w:rFonts w:hint="eastAsia" w:ascii="Times New Roman" w:hAnsi="Times New Roman" w:eastAsia="宋体" w:cs="Times New Roman"/>
                      <w:kern w:val="0"/>
                      <w:sz w:val="18"/>
                      <w:szCs w:val="18"/>
                      <w:highlight w:val="none"/>
                      <w:lang w:val="en-US" w:eastAsia="zh-CN"/>
                    </w:rPr>
                    <w:t xml:space="preserve">0.045 </w:t>
                  </w:r>
                </w:p>
              </w:tc>
              <w:tc>
                <w:tcPr>
                  <w:tcW w:w="481" w:type="dxa"/>
                  <w:vMerge w:val="continue"/>
                  <w:tcBorders>
                    <w:left w:val="single" w:color="auto" w:sz="4" w:space="0"/>
                    <w:right w:val="single" w:color="auto" w:sz="4" w:space="0"/>
                  </w:tcBorders>
                  <w:vAlign w:val="center"/>
                </w:tcPr>
                <w:p w14:paraId="002A56D0">
                  <w:pPr>
                    <w:keepNext w:val="0"/>
                    <w:keepLines w:val="0"/>
                    <w:suppressLineNumbers w:val="0"/>
                    <w:snapToGrid w:val="0"/>
                    <w:spacing w:before="0" w:beforeAutospacing="0" w:after="0" w:afterAutospacing="0" w:line="264" w:lineRule="auto"/>
                    <w:ind w:left="0" w:right="0"/>
                    <w:jc w:val="center"/>
                    <w:rPr>
                      <w:rFonts w:hint="default" w:ascii="Times New Roman" w:hAnsi="Times New Roman" w:eastAsia="宋体" w:cs="Times New Roman"/>
                      <w:kern w:val="0"/>
                      <w:sz w:val="18"/>
                      <w:szCs w:val="18"/>
                      <w:highlight w:val="none"/>
                    </w:rPr>
                  </w:pPr>
                </w:p>
              </w:tc>
            </w:tr>
            <w:tr w14:paraId="1ED62CE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jc w:val="center"/>
              </w:trPr>
              <w:tc>
                <w:tcPr>
                  <w:tcW w:w="580" w:type="dxa"/>
                  <w:vMerge w:val="continue"/>
                  <w:tcBorders>
                    <w:left w:val="single" w:color="auto" w:sz="4" w:space="0"/>
                    <w:right w:val="single" w:color="auto" w:sz="4" w:space="0"/>
                  </w:tcBorders>
                  <w:vAlign w:val="center"/>
                </w:tcPr>
                <w:p w14:paraId="4ECF8BE6">
                  <w:pPr>
                    <w:keepNext w:val="0"/>
                    <w:keepLines w:val="0"/>
                    <w:widowControl/>
                    <w:suppressLineNumbers w:val="0"/>
                    <w:adjustRightInd w:val="0"/>
                    <w:snapToGrid w:val="0"/>
                    <w:spacing w:before="0" w:beforeAutospacing="0" w:after="0" w:afterAutospacing="0" w:line="264" w:lineRule="auto"/>
                    <w:ind w:left="0" w:right="0"/>
                    <w:jc w:val="center"/>
                    <w:rPr>
                      <w:rFonts w:hint="default" w:ascii="Times New Roman" w:hAnsi="Times New Roman" w:eastAsia="宋体" w:cs="Times New Roman"/>
                      <w:snapToGrid w:val="0"/>
                      <w:sz w:val="18"/>
                      <w:szCs w:val="18"/>
                      <w:highlight w:val="none"/>
                    </w:rPr>
                  </w:pPr>
                </w:p>
              </w:tc>
              <w:tc>
                <w:tcPr>
                  <w:tcW w:w="423" w:type="dxa"/>
                  <w:vMerge w:val="continue"/>
                  <w:tcBorders>
                    <w:left w:val="single" w:color="auto" w:sz="4" w:space="0"/>
                    <w:right w:val="single" w:color="auto" w:sz="4" w:space="0"/>
                  </w:tcBorders>
                  <w:vAlign w:val="center"/>
                </w:tcPr>
                <w:p w14:paraId="35FD9013">
                  <w:pPr>
                    <w:keepNext w:val="0"/>
                    <w:keepLines w:val="0"/>
                    <w:widowControl/>
                    <w:suppressLineNumbers w:val="0"/>
                    <w:adjustRightInd w:val="0"/>
                    <w:snapToGrid w:val="0"/>
                    <w:spacing w:before="0" w:beforeAutospacing="0" w:after="0" w:afterAutospacing="0" w:line="264" w:lineRule="auto"/>
                    <w:ind w:left="0" w:right="0"/>
                    <w:jc w:val="center"/>
                    <w:rPr>
                      <w:rFonts w:hint="default" w:ascii="Times New Roman" w:hAnsi="Times New Roman" w:eastAsia="宋体" w:cs="Times New Roman"/>
                      <w:snapToGrid w:val="0"/>
                      <w:sz w:val="18"/>
                      <w:szCs w:val="18"/>
                      <w:highlight w:val="none"/>
                    </w:rPr>
                  </w:pPr>
                </w:p>
              </w:tc>
              <w:tc>
                <w:tcPr>
                  <w:tcW w:w="1031" w:type="dxa"/>
                  <w:vMerge w:val="restart"/>
                  <w:tcBorders>
                    <w:left w:val="single" w:color="auto" w:sz="4" w:space="0"/>
                    <w:right w:val="single" w:color="auto" w:sz="4" w:space="0"/>
                  </w:tcBorders>
                  <w:vAlign w:val="center"/>
                </w:tcPr>
                <w:p w14:paraId="28C534AA">
                  <w:pPr>
                    <w:keepNext w:val="0"/>
                    <w:keepLines w:val="0"/>
                    <w:widowControl/>
                    <w:suppressLineNumbers w:val="0"/>
                    <w:adjustRightInd w:val="0"/>
                    <w:snapToGrid w:val="0"/>
                    <w:spacing w:before="0" w:beforeAutospacing="0" w:after="0" w:afterAutospacing="0" w:line="264" w:lineRule="auto"/>
                    <w:ind w:left="0" w:right="0"/>
                    <w:jc w:val="center"/>
                    <w:rPr>
                      <w:rFonts w:hint="eastAsia" w:ascii="Times New Roman" w:hAnsi="Times New Roman" w:eastAsia="宋体" w:cs="Times New Roman"/>
                      <w:snapToGrid w:val="0"/>
                      <w:sz w:val="18"/>
                      <w:szCs w:val="18"/>
                      <w:highlight w:val="none"/>
                      <w:lang w:val="en-US" w:eastAsia="zh-CN"/>
                    </w:rPr>
                  </w:pPr>
                  <w:r>
                    <w:rPr>
                      <w:rFonts w:hint="eastAsia" w:cs="Times New Roman"/>
                      <w:snapToGrid w:val="0"/>
                      <w:sz w:val="18"/>
                      <w:szCs w:val="18"/>
                      <w:highlight w:val="none"/>
                      <w:lang w:val="en-US" w:eastAsia="zh-CN"/>
                    </w:rPr>
                    <w:t>实验动物中心</w:t>
                  </w:r>
                  <w:r>
                    <w:rPr>
                      <w:rFonts w:hint="eastAsia" w:ascii="Times New Roman" w:hAnsi="Times New Roman" w:eastAsia="宋体" w:cs="Times New Roman"/>
                      <w:snapToGrid w:val="0"/>
                      <w:sz w:val="18"/>
                      <w:szCs w:val="18"/>
                      <w:highlight w:val="none"/>
                    </w:rPr>
                    <w:t>纯水制备浓水</w:t>
                  </w:r>
                  <w:r>
                    <w:rPr>
                      <w:rFonts w:hint="eastAsia" w:ascii="Times New Roman" w:hAnsi="Times New Roman" w:eastAsia="宋体" w:cs="Times New Roman"/>
                      <w:snapToGrid w:val="0"/>
                      <w:sz w:val="18"/>
                      <w:szCs w:val="18"/>
                      <w:highlight w:val="none"/>
                      <w:lang w:eastAsia="zh-CN"/>
                    </w:rPr>
                    <w:t>、</w:t>
                  </w:r>
                  <w:r>
                    <w:rPr>
                      <w:rFonts w:hint="eastAsia" w:ascii="Times New Roman" w:hAnsi="Times New Roman" w:eastAsia="宋体" w:cs="Times New Roman"/>
                      <w:snapToGrid w:val="0"/>
                      <w:sz w:val="18"/>
                      <w:szCs w:val="18"/>
                      <w:highlight w:val="none"/>
                      <w:lang w:val="en-US" w:eastAsia="zh-CN"/>
                    </w:rPr>
                    <w:t>反冲洗废水</w:t>
                  </w:r>
                </w:p>
              </w:tc>
              <w:tc>
                <w:tcPr>
                  <w:tcW w:w="595" w:type="dxa"/>
                  <w:tcBorders>
                    <w:top w:val="single" w:color="auto" w:sz="4" w:space="0"/>
                    <w:left w:val="single" w:color="auto" w:sz="4" w:space="0"/>
                    <w:bottom w:val="single" w:color="auto" w:sz="4" w:space="0"/>
                    <w:right w:val="single" w:color="auto" w:sz="4" w:space="0"/>
                  </w:tcBorders>
                  <w:shd w:val="clear" w:color="auto" w:fill="auto"/>
                  <w:vAlign w:val="center"/>
                </w:tcPr>
                <w:p w14:paraId="110C1666">
                  <w:pPr>
                    <w:keepNext w:val="0"/>
                    <w:keepLines w:val="0"/>
                    <w:widowControl/>
                    <w:suppressLineNumbers w:val="0"/>
                    <w:adjustRightInd w:val="0"/>
                    <w:snapToGrid w:val="0"/>
                    <w:spacing w:before="0" w:beforeAutospacing="0" w:after="0" w:afterAutospacing="0" w:line="264" w:lineRule="auto"/>
                    <w:ind w:left="0" w:right="0"/>
                    <w:jc w:val="center"/>
                    <w:rPr>
                      <w:rFonts w:hint="eastAsia" w:ascii="Times New Roman" w:hAnsi="Times New Roman" w:eastAsia="宋体" w:cs="Times New Roman"/>
                      <w:snapToGrid w:val="0"/>
                      <w:kern w:val="2"/>
                      <w:sz w:val="18"/>
                      <w:szCs w:val="18"/>
                      <w:highlight w:val="none"/>
                      <w:lang w:val="en-US" w:eastAsia="zh-CN" w:bidi="ar-SA"/>
                    </w:rPr>
                  </w:pPr>
                  <w:r>
                    <w:rPr>
                      <w:rFonts w:hint="default" w:ascii="Times New Roman" w:hAnsi="Times New Roman" w:eastAsia="宋体" w:cs="Times New Roman"/>
                      <w:snapToGrid w:val="0"/>
                      <w:sz w:val="18"/>
                      <w:szCs w:val="18"/>
                      <w:highlight w:val="none"/>
                    </w:rPr>
                    <w:t>COD</w:t>
                  </w:r>
                  <w:r>
                    <w:rPr>
                      <w:rFonts w:hint="default" w:ascii="Times New Roman" w:hAnsi="Times New Roman" w:eastAsia="宋体" w:cs="Times New Roman"/>
                      <w:snapToGrid w:val="0"/>
                      <w:sz w:val="18"/>
                      <w:szCs w:val="18"/>
                      <w:highlight w:val="none"/>
                      <w:vertAlign w:val="subscript"/>
                    </w:rPr>
                    <w:t>Cr</w:t>
                  </w:r>
                </w:p>
              </w:tc>
              <w:tc>
                <w:tcPr>
                  <w:tcW w:w="609" w:type="dxa"/>
                  <w:vMerge w:val="restart"/>
                  <w:tcBorders>
                    <w:left w:val="single" w:color="auto" w:sz="4" w:space="0"/>
                    <w:right w:val="single" w:color="auto" w:sz="4" w:space="0"/>
                  </w:tcBorders>
                  <w:vAlign w:val="center"/>
                </w:tcPr>
                <w:p w14:paraId="4D55B401">
                  <w:pPr>
                    <w:keepNext w:val="0"/>
                    <w:keepLines w:val="0"/>
                    <w:suppressLineNumbers w:val="0"/>
                    <w:snapToGrid w:val="0"/>
                    <w:spacing w:before="0" w:beforeAutospacing="0" w:after="0" w:afterAutospacing="0" w:line="264" w:lineRule="auto"/>
                    <w:ind w:left="0" w:right="0"/>
                    <w:jc w:val="center"/>
                    <w:rPr>
                      <w:rFonts w:hint="default" w:ascii="Times New Roman" w:hAnsi="Times New Roman" w:eastAsia="宋体" w:cs="Times New Roman"/>
                      <w:sz w:val="18"/>
                      <w:szCs w:val="18"/>
                      <w:highlight w:val="none"/>
                    </w:rPr>
                  </w:pPr>
                  <w:r>
                    <w:rPr>
                      <w:rFonts w:hint="eastAsia" w:ascii="Times New Roman" w:hAnsi="Times New Roman" w:eastAsia="宋体" w:cs="Times New Roman"/>
                      <w:sz w:val="18"/>
                      <w:szCs w:val="18"/>
                      <w:highlight w:val="none"/>
                      <w:lang w:val="en-US" w:eastAsia="zh-CN"/>
                    </w:rPr>
                    <w:t>975.1</w:t>
                  </w:r>
                </w:p>
              </w:tc>
              <w:tc>
                <w:tcPr>
                  <w:tcW w:w="699" w:type="dxa"/>
                  <w:tcBorders>
                    <w:top w:val="single" w:color="auto" w:sz="4" w:space="0"/>
                    <w:left w:val="single" w:color="auto" w:sz="4" w:space="0"/>
                    <w:bottom w:val="single" w:color="auto" w:sz="4" w:space="0"/>
                    <w:right w:val="single" w:color="auto" w:sz="4" w:space="0"/>
                  </w:tcBorders>
                  <w:shd w:val="clear" w:color="auto" w:fill="auto"/>
                  <w:vAlign w:val="center"/>
                </w:tcPr>
                <w:p w14:paraId="70908091">
                  <w:pPr>
                    <w:keepNext w:val="0"/>
                    <w:keepLines w:val="0"/>
                    <w:widowControl/>
                    <w:suppressLineNumbers w:val="0"/>
                    <w:snapToGrid w:val="0"/>
                    <w:spacing w:before="0" w:beforeAutospacing="0" w:after="0" w:afterAutospacing="0" w:line="264" w:lineRule="auto"/>
                    <w:ind w:left="0" w:right="0"/>
                    <w:jc w:val="center"/>
                    <w:rPr>
                      <w:rFonts w:hint="eastAsia" w:ascii="Times New Roman" w:hAnsi="Times New Roman" w:eastAsia="宋体" w:cs="Times New Roman"/>
                      <w:kern w:val="0"/>
                      <w:sz w:val="18"/>
                      <w:szCs w:val="18"/>
                      <w:highlight w:val="none"/>
                      <w:lang w:val="en-US" w:eastAsia="zh-CN" w:bidi="ar-SA"/>
                    </w:rPr>
                  </w:pPr>
                  <w:r>
                    <w:rPr>
                      <w:rFonts w:hint="eastAsia" w:ascii="Times New Roman" w:hAnsi="Times New Roman" w:eastAsia="宋体" w:cs="Times New Roman"/>
                      <w:kern w:val="0"/>
                      <w:sz w:val="18"/>
                      <w:szCs w:val="18"/>
                      <w:highlight w:val="none"/>
                      <w:lang w:val="en-US" w:eastAsia="zh-CN"/>
                    </w:rPr>
                    <w:t>80</w:t>
                  </w:r>
                </w:p>
              </w:tc>
              <w:tc>
                <w:tcPr>
                  <w:tcW w:w="777" w:type="dxa"/>
                  <w:tcBorders>
                    <w:top w:val="single" w:color="auto" w:sz="4" w:space="0"/>
                    <w:left w:val="single" w:color="auto" w:sz="4" w:space="0"/>
                    <w:bottom w:val="single" w:color="auto" w:sz="4" w:space="0"/>
                    <w:right w:val="single" w:color="auto" w:sz="4" w:space="0"/>
                  </w:tcBorders>
                  <w:shd w:val="clear" w:color="auto" w:fill="auto"/>
                  <w:vAlign w:val="center"/>
                </w:tcPr>
                <w:p w14:paraId="1466A414">
                  <w:pPr>
                    <w:keepNext w:val="0"/>
                    <w:keepLines w:val="0"/>
                    <w:widowControl/>
                    <w:suppressLineNumbers w:val="0"/>
                    <w:snapToGrid w:val="0"/>
                    <w:spacing w:before="0" w:beforeAutospacing="0" w:after="0" w:afterAutospacing="0" w:line="264" w:lineRule="auto"/>
                    <w:ind w:left="0" w:right="0"/>
                    <w:jc w:val="center"/>
                    <w:rPr>
                      <w:rFonts w:hint="eastAsia" w:ascii="Times New Roman" w:hAnsi="Times New Roman" w:eastAsia="宋体" w:cs="Times New Roman"/>
                      <w:kern w:val="0"/>
                      <w:sz w:val="18"/>
                      <w:szCs w:val="18"/>
                      <w:highlight w:val="none"/>
                      <w:lang w:val="en-US" w:eastAsia="zh-CN" w:bidi="ar-SA"/>
                    </w:rPr>
                  </w:pPr>
                  <w:r>
                    <w:rPr>
                      <w:rFonts w:hint="eastAsia" w:ascii="Times New Roman" w:hAnsi="Times New Roman" w:eastAsia="宋体" w:cs="Times New Roman"/>
                      <w:kern w:val="0"/>
                      <w:sz w:val="18"/>
                      <w:szCs w:val="18"/>
                      <w:highlight w:val="none"/>
                      <w:lang w:val="en-US" w:eastAsia="zh-CN"/>
                    </w:rPr>
                    <w:t xml:space="preserve">0.078 </w:t>
                  </w:r>
                </w:p>
              </w:tc>
              <w:tc>
                <w:tcPr>
                  <w:tcW w:w="630" w:type="dxa"/>
                  <w:tcBorders>
                    <w:left w:val="single" w:color="auto" w:sz="4" w:space="0"/>
                    <w:right w:val="single" w:color="auto" w:sz="4" w:space="0"/>
                  </w:tcBorders>
                  <w:shd w:val="clear" w:color="auto" w:fill="auto"/>
                  <w:vAlign w:val="center"/>
                </w:tcPr>
                <w:p w14:paraId="51263137">
                  <w:pPr>
                    <w:keepNext w:val="0"/>
                    <w:keepLines w:val="0"/>
                    <w:suppressLineNumbers w:val="0"/>
                    <w:snapToGrid w:val="0"/>
                    <w:spacing w:before="0" w:beforeAutospacing="0" w:after="0" w:afterAutospacing="0" w:line="264" w:lineRule="auto"/>
                    <w:ind w:left="0" w:right="0"/>
                    <w:jc w:val="center"/>
                    <w:rPr>
                      <w:rFonts w:hint="eastAsia" w:ascii="Times New Roman" w:hAnsi="Times New Roman" w:eastAsia="宋体" w:cs="Times New Roman"/>
                      <w:kern w:val="2"/>
                      <w:sz w:val="18"/>
                      <w:szCs w:val="18"/>
                      <w:highlight w:val="none"/>
                      <w:lang w:val="en-US" w:eastAsia="zh-CN" w:bidi="ar-SA"/>
                    </w:rPr>
                  </w:pPr>
                  <w:r>
                    <w:rPr>
                      <w:rFonts w:hint="eastAsia" w:ascii="Times New Roman" w:hAnsi="Times New Roman" w:eastAsia="宋体" w:cs="Times New Roman"/>
                      <w:sz w:val="18"/>
                      <w:szCs w:val="18"/>
                      <w:highlight w:val="none"/>
                      <w:lang w:val="en-US" w:eastAsia="zh-CN"/>
                    </w:rPr>
                    <w:t>/</w:t>
                  </w:r>
                </w:p>
              </w:tc>
              <w:tc>
                <w:tcPr>
                  <w:tcW w:w="477" w:type="dxa"/>
                  <w:tcBorders>
                    <w:left w:val="single" w:color="auto" w:sz="4" w:space="0"/>
                    <w:right w:val="single" w:color="auto" w:sz="4" w:space="0"/>
                  </w:tcBorders>
                  <w:shd w:val="clear" w:color="auto" w:fill="auto"/>
                  <w:vAlign w:val="center"/>
                </w:tcPr>
                <w:p w14:paraId="2962C728">
                  <w:pPr>
                    <w:keepNext w:val="0"/>
                    <w:keepLines w:val="0"/>
                    <w:suppressLineNumbers w:val="0"/>
                    <w:snapToGrid w:val="0"/>
                    <w:spacing w:before="0" w:beforeAutospacing="0" w:after="0" w:afterAutospacing="0" w:line="264" w:lineRule="auto"/>
                    <w:ind w:left="0" w:right="0"/>
                    <w:jc w:val="center"/>
                    <w:rPr>
                      <w:rFonts w:hint="default" w:ascii="Times New Roman" w:hAnsi="Times New Roman" w:eastAsia="宋体" w:cs="Times New Roman"/>
                      <w:kern w:val="0"/>
                      <w:sz w:val="18"/>
                      <w:szCs w:val="18"/>
                      <w:highlight w:val="none"/>
                      <w:lang w:val="en-US" w:eastAsia="zh-CN" w:bidi="ar-SA"/>
                    </w:rPr>
                  </w:pPr>
                  <w:r>
                    <w:rPr>
                      <w:rFonts w:hint="eastAsia" w:ascii="Times New Roman" w:hAnsi="Times New Roman" w:eastAsia="宋体" w:cs="Times New Roman"/>
                      <w:sz w:val="18"/>
                      <w:szCs w:val="18"/>
                      <w:highlight w:val="none"/>
                      <w:lang w:val="en-US" w:eastAsia="zh-CN"/>
                    </w:rPr>
                    <w:t>/</w:t>
                  </w:r>
                </w:p>
              </w:tc>
              <w:tc>
                <w:tcPr>
                  <w:tcW w:w="611" w:type="dxa"/>
                  <w:vMerge w:val="restart"/>
                  <w:tcBorders>
                    <w:left w:val="single" w:color="auto" w:sz="4" w:space="0"/>
                    <w:right w:val="single" w:color="auto" w:sz="4" w:space="0"/>
                  </w:tcBorders>
                  <w:vAlign w:val="center"/>
                </w:tcPr>
                <w:p w14:paraId="4C5059EA">
                  <w:pPr>
                    <w:keepNext w:val="0"/>
                    <w:keepLines w:val="0"/>
                    <w:suppressLineNumbers w:val="0"/>
                    <w:snapToGrid w:val="0"/>
                    <w:spacing w:before="0" w:beforeAutospacing="0" w:after="0" w:afterAutospacing="0" w:line="264" w:lineRule="auto"/>
                    <w:ind w:left="0" w:right="0"/>
                    <w:jc w:val="center"/>
                    <w:rPr>
                      <w:rFonts w:hint="default" w:ascii="Times New Roman" w:hAnsi="Times New Roman" w:eastAsia="宋体" w:cs="Times New Roman"/>
                      <w:kern w:val="0"/>
                      <w:sz w:val="18"/>
                      <w:szCs w:val="18"/>
                      <w:highlight w:val="none"/>
                    </w:rPr>
                  </w:pPr>
                  <w:r>
                    <w:rPr>
                      <w:rFonts w:hint="eastAsia" w:ascii="Times New Roman" w:hAnsi="Times New Roman" w:eastAsia="宋体" w:cs="Times New Roman"/>
                      <w:sz w:val="18"/>
                      <w:szCs w:val="18"/>
                      <w:highlight w:val="none"/>
                      <w:lang w:val="en-US" w:eastAsia="zh-CN"/>
                    </w:rPr>
                    <w:t>975.1</w:t>
                  </w:r>
                </w:p>
              </w:tc>
              <w:tc>
                <w:tcPr>
                  <w:tcW w:w="679" w:type="dxa"/>
                  <w:tcBorders>
                    <w:top w:val="single" w:color="auto" w:sz="4" w:space="0"/>
                    <w:left w:val="single" w:color="auto" w:sz="4" w:space="0"/>
                    <w:bottom w:val="single" w:color="auto" w:sz="4" w:space="0"/>
                    <w:right w:val="single" w:color="auto" w:sz="4" w:space="0"/>
                  </w:tcBorders>
                  <w:vAlign w:val="center"/>
                </w:tcPr>
                <w:p w14:paraId="25111F32">
                  <w:pPr>
                    <w:keepNext w:val="0"/>
                    <w:keepLines w:val="0"/>
                    <w:widowControl/>
                    <w:suppressLineNumbers w:val="0"/>
                    <w:snapToGrid w:val="0"/>
                    <w:spacing w:before="0" w:beforeAutospacing="0" w:after="0" w:afterAutospacing="0" w:line="264" w:lineRule="auto"/>
                    <w:ind w:left="0" w:right="0"/>
                    <w:jc w:val="center"/>
                    <w:rPr>
                      <w:rFonts w:hint="default" w:ascii="Times New Roman" w:hAnsi="Times New Roman" w:eastAsia="宋体" w:cs="Times New Roman"/>
                      <w:kern w:val="0"/>
                      <w:sz w:val="18"/>
                      <w:szCs w:val="18"/>
                      <w:highlight w:val="none"/>
                    </w:rPr>
                  </w:pPr>
                  <w:r>
                    <w:rPr>
                      <w:rFonts w:hint="eastAsia" w:ascii="Times New Roman" w:hAnsi="Times New Roman" w:eastAsia="宋体" w:cs="Times New Roman"/>
                      <w:kern w:val="0"/>
                      <w:sz w:val="18"/>
                      <w:szCs w:val="18"/>
                      <w:highlight w:val="none"/>
                      <w:lang w:val="en-US" w:eastAsia="zh-CN"/>
                    </w:rPr>
                    <w:t>80</w:t>
                  </w:r>
                </w:p>
              </w:tc>
              <w:tc>
                <w:tcPr>
                  <w:tcW w:w="723" w:type="dxa"/>
                  <w:tcBorders>
                    <w:top w:val="single" w:color="auto" w:sz="4" w:space="0"/>
                    <w:left w:val="single" w:color="auto" w:sz="4" w:space="0"/>
                    <w:bottom w:val="single" w:color="auto" w:sz="4" w:space="0"/>
                    <w:right w:val="single" w:color="auto" w:sz="4" w:space="0"/>
                  </w:tcBorders>
                  <w:vAlign w:val="center"/>
                </w:tcPr>
                <w:p w14:paraId="6FC9AF9F">
                  <w:pPr>
                    <w:keepNext w:val="0"/>
                    <w:keepLines w:val="0"/>
                    <w:widowControl/>
                    <w:suppressLineNumbers w:val="0"/>
                    <w:snapToGrid w:val="0"/>
                    <w:spacing w:before="0" w:beforeAutospacing="0" w:after="0" w:afterAutospacing="0" w:line="264" w:lineRule="auto"/>
                    <w:ind w:left="0" w:right="0"/>
                    <w:jc w:val="center"/>
                    <w:rPr>
                      <w:rFonts w:hint="eastAsia" w:ascii="Times New Roman" w:hAnsi="Times New Roman" w:eastAsia="宋体" w:cs="Times New Roman"/>
                      <w:kern w:val="0"/>
                      <w:sz w:val="18"/>
                      <w:szCs w:val="18"/>
                      <w:highlight w:val="none"/>
                      <w:lang w:val="en-US" w:eastAsia="zh-CN"/>
                    </w:rPr>
                  </w:pPr>
                  <w:r>
                    <w:rPr>
                      <w:rFonts w:hint="eastAsia" w:ascii="Times New Roman" w:hAnsi="Times New Roman" w:eastAsia="宋体" w:cs="Times New Roman"/>
                      <w:kern w:val="0"/>
                      <w:sz w:val="18"/>
                      <w:szCs w:val="18"/>
                      <w:highlight w:val="none"/>
                      <w:lang w:val="en-US" w:eastAsia="zh-CN"/>
                    </w:rPr>
                    <w:t xml:space="preserve">0.078 </w:t>
                  </w:r>
                </w:p>
              </w:tc>
              <w:tc>
                <w:tcPr>
                  <w:tcW w:w="481" w:type="dxa"/>
                  <w:vMerge w:val="restart"/>
                  <w:tcBorders>
                    <w:left w:val="single" w:color="auto" w:sz="4" w:space="0"/>
                    <w:right w:val="single" w:color="auto" w:sz="4" w:space="0"/>
                  </w:tcBorders>
                  <w:vAlign w:val="center"/>
                </w:tcPr>
                <w:p w14:paraId="5D25184F">
                  <w:pPr>
                    <w:keepNext w:val="0"/>
                    <w:keepLines w:val="0"/>
                    <w:suppressLineNumbers w:val="0"/>
                    <w:snapToGrid w:val="0"/>
                    <w:spacing w:before="0" w:beforeAutospacing="0" w:after="0" w:afterAutospacing="0" w:line="264" w:lineRule="auto"/>
                    <w:ind w:left="0" w:right="0"/>
                    <w:jc w:val="center"/>
                    <w:rPr>
                      <w:rFonts w:hint="default" w:ascii="Times New Roman" w:hAnsi="Times New Roman" w:eastAsia="宋体" w:cs="Times New Roman"/>
                      <w:kern w:val="0"/>
                      <w:sz w:val="18"/>
                      <w:szCs w:val="18"/>
                      <w:highlight w:val="none"/>
                    </w:rPr>
                  </w:pPr>
                  <w:r>
                    <w:rPr>
                      <w:rFonts w:hint="eastAsia" w:cs="Times New Roman"/>
                      <w:kern w:val="0"/>
                      <w:sz w:val="18"/>
                      <w:szCs w:val="18"/>
                      <w:highlight w:val="none"/>
                      <w:lang w:val="en-US" w:eastAsia="zh-CN"/>
                    </w:rPr>
                    <w:t>8760</w:t>
                  </w:r>
                </w:p>
              </w:tc>
            </w:tr>
            <w:tr w14:paraId="31955A6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jc w:val="center"/>
              </w:trPr>
              <w:tc>
                <w:tcPr>
                  <w:tcW w:w="580" w:type="dxa"/>
                  <w:vMerge w:val="continue"/>
                  <w:tcBorders>
                    <w:left w:val="single" w:color="auto" w:sz="4" w:space="0"/>
                    <w:right w:val="single" w:color="auto" w:sz="4" w:space="0"/>
                  </w:tcBorders>
                  <w:vAlign w:val="center"/>
                </w:tcPr>
                <w:p w14:paraId="53E92C88">
                  <w:pPr>
                    <w:keepNext w:val="0"/>
                    <w:keepLines w:val="0"/>
                    <w:widowControl/>
                    <w:suppressLineNumbers w:val="0"/>
                    <w:adjustRightInd w:val="0"/>
                    <w:snapToGrid w:val="0"/>
                    <w:spacing w:before="0" w:beforeAutospacing="0" w:after="0" w:afterAutospacing="0" w:line="264" w:lineRule="auto"/>
                    <w:ind w:left="0" w:right="0"/>
                    <w:jc w:val="center"/>
                    <w:rPr>
                      <w:rFonts w:hint="default" w:ascii="Times New Roman" w:hAnsi="Times New Roman" w:eastAsia="宋体" w:cs="Times New Roman"/>
                      <w:snapToGrid w:val="0"/>
                      <w:sz w:val="18"/>
                      <w:szCs w:val="18"/>
                      <w:highlight w:val="none"/>
                    </w:rPr>
                  </w:pPr>
                </w:p>
              </w:tc>
              <w:tc>
                <w:tcPr>
                  <w:tcW w:w="423" w:type="dxa"/>
                  <w:vMerge w:val="continue"/>
                  <w:tcBorders>
                    <w:left w:val="single" w:color="auto" w:sz="4" w:space="0"/>
                    <w:right w:val="single" w:color="auto" w:sz="4" w:space="0"/>
                  </w:tcBorders>
                  <w:vAlign w:val="center"/>
                </w:tcPr>
                <w:p w14:paraId="4F97CCEC">
                  <w:pPr>
                    <w:keepNext w:val="0"/>
                    <w:keepLines w:val="0"/>
                    <w:widowControl/>
                    <w:suppressLineNumbers w:val="0"/>
                    <w:adjustRightInd w:val="0"/>
                    <w:snapToGrid w:val="0"/>
                    <w:spacing w:before="0" w:beforeAutospacing="0" w:after="0" w:afterAutospacing="0" w:line="264" w:lineRule="auto"/>
                    <w:ind w:left="0" w:right="0"/>
                    <w:jc w:val="center"/>
                    <w:rPr>
                      <w:rFonts w:hint="default" w:ascii="Times New Roman" w:hAnsi="Times New Roman" w:eastAsia="宋体" w:cs="Times New Roman"/>
                      <w:snapToGrid w:val="0"/>
                      <w:sz w:val="18"/>
                      <w:szCs w:val="18"/>
                      <w:highlight w:val="none"/>
                    </w:rPr>
                  </w:pPr>
                </w:p>
              </w:tc>
              <w:tc>
                <w:tcPr>
                  <w:tcW w:w="1031" w:type="dxa"/>
                  <w:vMerge w:val="continue"/>
                  <w:tcBorders>
                    <w:left w:val="single" w:color="auto" w:sz="4" w:space="0"/>
                    <w:right w:val="single" w:color="auto" w:sz="4" w:space="0"/>
                  </w:tcBorders>
                  <w:vAlign w:val="center"/>
                </w:tcPr>
                <w:p w14:paraId="115252D7">
                  <w:pPr>
                    <w:keepNext w:val="0"/>
                    <w:keepLines w:val="0"/>
                    <w:widowControl/>
                    <w:suppressLineNumbers w:val="0"/>
                    <w:adjustRightInd w:val="0"/>
                    <w:snapToGrid w:val="0"/>
                    <w:spacing w:before="0" w:beforeAutospacing="0" w:after="0" w:afterAutospacing="0" w:line="264" w:lineRule="auto"/>
                    <w:ind w:left="0" w:right="0"/>
                    <w:jc w:val="center"/>
                    <w:rPr>
                      <w:rFonts w:hint="eastAsia" w:ascii="Times New Roman" w:hAnsi="Times New Roman" w:eastAsia="宋体" w:cs="Times New Roman"/>
                      <w:snapToGrid w:val="0"/>
                      <w:sz w:val="18"/>
                      <w:szCs w:val="18"/>
                      <w:highlight w:val="none"/>
                      <w:lang w:val="en-US" w:eastAsia="zh-CN"/>
                    </w:rPr>
                  </w:pPr>
                </w:p>
              </w:tc>
              <w:tc>
                <w:tcPr>
                  <w:tcW w:w="595" w:type="dxa"/>
                  <w:tcBorders>
                    <w:top w:val="single" w:color="auto" w:sz="4" w:space="0"/>
                    <w:left w:val="single" w:color="auto" w:sz="4" w:space="0"/>
                    <w:bottom w:val="single" w:color="auto" w:sz="4" w:space="0"/>
                    <w:right w:val="single" w:color="auto" w:sz="4" w:space="0"/>
                  </w:tcBorders>
                  <w:shd w:val="clear" w:color="auto" w:fill="auto"/>
                  <w:vAlign w:val="center"/>
                </w:tcPr>
                <w:p w14:paraId="41A25249">
                  <w:pPr>
                    <w:keepNext w:val="0"/>
                    <w:keepLines w:val="0"/>
                    <w:widowControl/>
                    <w:suppressLineNumbers w:val="0"/>
                    <w:adjustRightInd w:val="0"/>
                    <w:snapToGrid w:val="0"/>
                    <w:spacing w:before="0" w:beforeAutospacing="0" w:after="0" w:afterAutospacing="0" w:line="264" w:lineRule="auto"/>
                    <w:ind w:left="0" w:right="0"/>
                    <w:jc w:val="center"/>
                    <w:rPr>
                      <w:rFonts w:hint="eastAsia" w:ascii="Times New Roman" w:hAnsi="Times New Roman" w:eastAsia="宋体" w:cs="Times New Roman"/>
                      <w:snapToGrid w:val="0"/>
                      <w:kern w:val="2"/>
                      <w:sz w:val="18"/>
                      <w:szCs w:val="18"/>
                      <w:highlight w:val="none"/>
                      <w:lang w:val="en-US" w:eastAsia="zh-CN" w:bidi="ar-SA"/>
                    </w:rPr>
                  </w:pPr>
                  <w:r>
                    <w:rPr>
                      <w:rFonts w:hint="eastAsia" w:ascii="Times New Roman" w:hAnsi="Times New Roman" w:eastAsia="宋体" w:cs="Times New Roman"/>
                      <w:snapToGrid w:val="0"/>
                      <w:sz w:val="18"/>
                      <w:szCs w:val="18"/>
                      <w:highlight w:val="none"/>
                      <w:lang w:val="en-US" w:eastAsia="zh-CN"/>
                    </w:rPr>
                    <w:t>SS</w:t>
                  </w:r>
                </w:p>
              </w:tc>
              <w:tc>
                <w:tcPr>
                  <w:tcW w:w="609" w:type="dxa"/>
                  <w:vMerge w:val="continue"/>
                  <w:tcBorders>
                    <w:left w:val="single" w:color="auto" w:sz="4" w:space="0"/>
                    <w:right w:val="single" w:color="auto" w:sz="4" w:space="0"/>
                  </w:tcBorders>
                  <w:vAlign w:val="center"/>
                </w:tcPr>
                <w:p w14:paraId="02BFF00F">
                  <w:pPr>
                    <w:keepNext w:val="0"/>
                    <w:keepLines w:val="0"/>
                    <w:suppressLineNumbers w:val="0"/>
                    <w:snapToGrid w:val="0"/>
                    <w:spacing w:before="0" w:beforeAutospacing="0" w:after="0" w:afterAutospacing="0" w:line="264" w:lineRule="auto"/>
                    <w:ind w:left="0" w:right="0"/>
                    <w:jc w:val="center"/>
                    <w:rPr>
                      <w:rFonts w:hint="default" w:ascii="Times New Roman" w:hAnsi="Times New Roman" w:eastAsia="宋体" w:cs="Times New Roman"/>
                      <w:sz w:val="18"/>
                      <w:szCs w:val="18"/>
                      <w:highlight w:val="none"/>
                    </w:rPr>
                  </w:pPr>
                </w:p>
              </w:tc>
              <w:tc>
                <w:tcPr>
                  <w:tcW w:w="699" w:type="dxa"/>
                  <w:tcBorders>
                    <w:top w:val="single" w:color="auto" w:sz="4" w:space="0"/>
                    <w:left w:val="single" w:color="auto" w:sz="4" w:space="0"/>
                    <w:bottom w:val="single" w:color="auto" w:sz="4" w:space="0"/>
                    <w:right w:val="single" w:color="auto" w:sz="4" w:space="0"/>
                  </w:tcBorders>
                  <w:shd w:val="clear" w:color="auto" w:fill="auto"/>
                  <w:vAlign w:val="center"/>
                </w:tcPr>
                <w:p w14:paraId="6334853C">
                  <w:pPr>
                    <w:keepNext w:val="0"/>
                    <w:keepLines w:val="0"/>
                    <w:widowControl/>
                    <w:suppressLineNumbers w:val="0"/>
                    <w:snapToGrid w:val="0"/>
                    <w:spacing w:before="0" w:beforeAutospacing="0" w:after="0" w:afterAutospacing="0" w:line="264" w:lineRule="auto"/>
                    <w:ind w:left="0" w:right="0"/>
                    <w:jc w:val="center"/>
                    <w:rPr>
                      <w:rFonts w:hint="eastAsia" w:ascii="Times New Roman" w:hAnsi="Times New Roman" w:eastAsia="宋体" w:cs="Times New Roman"/>
                      <w:kern w:val="0"/>
                      <w:sz w:val="18"/>
                      <w:szCs w:val="18"/>
                      <w:highlight w:val="none"/>
                      <w:lang w:val="en-US" w:eastAsia="zh-CN" w:bidi="ar-SA"/>
                    </w:rPr>
                  </w:pPr>
                  <w:r>
                    <w:rPr>
                      <w:rFonts w:hint="eastAsia" w:ascii="Times New Roman" w:hAnsi="Times New Roman" w:eastAsia="宋体" w:cs="Times New Roman"/>
                      <w:kern w:val="0"/>
                      <w:sz w:val="18"/>
                      <w:szCs w:val="18"/>
                      <w:highlight w:val="none"/>
                      <w:lang w:val="en-US" w:eastAsia="zh-CN"/>
                    </w:rPr>
                    <w:t>80</w:t>
                  </w:r>
                </w:p>
              </w:tc>
              <w:tc>
                <w:tcPr>
                  <w:tcW w:w="777" w:type="dxa"/>
                  <w:tcBorders>
                    <w:top w:val="single" w:color="auto" w:sz="4" w:space="0"/>
                    <w:left w:val="single" w:color="auto" w:sz="4" w:space="0"/>
                    <w:bottom w:val="single" w:color="auto" w:sz="4" w:space="0"/>
                    <w:right w:val="single" w:color="auto" w:sz="4" w:space="0"/>
                  </w:tcBorders>
                  <w:shd w:val="clear" w:color="auto" w:fill="auto"/>
                  <w:vAlign w:val="center"/>
                </w:tcPr>
                <w:p w14:paraId="6DA9A0E6">
                  <w:pPr>
                    <w:keepNext w:val="0"/>
                    <w:keepLines w:val="0"/>
                    <w:widowControl/>
                    <w:suppressLineNumbers w:val="0"/>
                    <w:snapToGrid w:val="0"/>
                    <w:spacing w:before="0" w:beforeAutospacing="0" w:after="0" w:afterAutospacing="0" w:line="264" w:lineRule="auto"/>
                    <w:ind w:left="0" w:right="0"/>
                    <w:jc w:val="center"/>
                    <w:rPr>
                      <w:rFonts w:hint="eastAsia" w:ascii="Times New Roman" w:hAnsi="Times New Roman" w:eastAsia="宋体" w:cs="Times New Roman"/>
                      <w:kern w:val="0"/>
                      <w:sz w:val="18"/>
                      <w:szCs w:val="18"/>
                      <w:highlight w:val="none"/>
                      <w:lang w:val="en-US" w:eastAsia="zh-CN" w:bidi="ar-SA"/>
                    </w:rPr>
                  </w:pPr>
                  <w:r>
                    <w:rPr>
                      <w:rFonts w:hint="eastAsia" w:ascii="Times New Roman" w:hAnsi="Times New Roman" w:eastAsia="宋体" w:cs="Times New Roman"/>
                      <w:kern w:val="0"/>
                      <w:sz w:val="18"/>
                      <w:szCs w:val="18"/>
                      <w:highlight w:val="none"/>
                      <w:lang w:val="en-US" w:eastAsia="zh-CN"/>
                    </w:rPr>
                    <w:t>0.078</w:t>
                  </w:r>
                </w:p>
              </w:tc>
              <w:tc>
                <w:tcPr>
                  <w:tcW w:w="630" w:type="dxa"/>
                  <w:tcBorders>
                    <w:left w:val="single" w:color="auto" w:sz="4" w:space="0"/>
                    <w:right w:val="single" w:color="auto" w:sz="4" w:space="0"/>
                  </w:tcBorders>
                  <w:shd w:val="clear" w:color="auto" w:fill="auto"/>
                  <w:vAlign w:val="center"/>
                </w:tcPr>
                <w:p w14:paraId="2A913196">
                  <w:pPr>
                    <w:keepNext w:val="0"/>
                    <w:keepLines w:val="0"/>
                    <w:suppressLineNumbers w:val="0"/>
                    <w:snapToGrid w:val="0"/>
                    <w:spacing w:before="0" w:beforeAutospacing="0" w:after="0" w:afterAutospacing="0" w:line="264" w:lineRule="auto"/>
                    <w:ind w:left="0" w:right="0"/>
                    <w:jc w:val="center"/>
                    <w:rPr>
                      <w:rFonts w:hint="default" w:ascii="Times New Roman" w:hAnsi="Times New Roman" w:eastAsia="宋体" w:cs="Times New Roman"/>
                      <w:kern w:val="2"/>
                      <w:sz w:val="18"/>
                      <w:szCs w:val="18"/>
                      <w:highlight w:val="none"/>
                      <w:lang w:val="en-US" w:eastAsia="zh-CN" w:bidi="ar-SA"/>
                    </w:rPr>
                  </w:pPr>
                  <w:r>
                    <w:rPr>
                      <w:rFonts w:hint="eastAsia" w:ascii="Times New Roman" w:hAnsi="Times New Roman" w:eastAsia="宋体" w:cs="Times New Roman"/>
                      <w:sz w:val="18"/>
                      <w:szCs w:val="18"/>
                      <w:highlight w:val="none"/>
                      <w:lang w:val="en-US" w:eastAsia="zh-CN"/>
                    </w:rPr>
                    <w:t>/</w:t>
                  </w:r>
                </w:p>
              </w:tc>
              <w:tc>
                <w:tcPr>
                  <w:tcW w:w="477" w:type="dxa"/>
                  <w:tcBorders>
                    <w:left w:val="single" w:color="auto" w:sz="4" w:space="0"/>
                    <w:right w:val="single" w:color="auto" w:sz="4" w:space="0"/>
                  </w:tcBorders>
                  <w:shd w:val="clear" w:color="auto" w:fill="auto"/>
                  <w:vAlign w:val="center"/>
                </w:tcPr>
                <w:p w14:paraId="1B7BA412">
                  <w:pPr>
                    <w:keepNext w:val="0"/>
                    <w:keepLines w:val="0"/>
                    <w:suppressLineNumbers w:val="0"/>
                    <w:snapToGrid w:val="0"/>
                    <w:spacing w:before="0" w:beforeAutospacing="0" w:after="0" w:afterAutospacing="0" w:line="264" w:lineRule="auto"/>
                    <w:ind w:left="0" w:right="0"/>
                    <w:jc w:val="center"/>
                    <w:rPr>
                      <w:rFonts w:hint="default" w:ascii="Times New Roman" w:hAnsi="Times New Roman" w:eastAsia="宋体" w:cs="Times New Roman"/>
                      <w:kern w:val="0"/>
                      <w:sz w:val="18"/>
                      <w:szCs w:val="18"/>
                      <w:highlight w:val="none"/>
                      <w:lang w:val="en-US" w:eastAsia="zh-CN" w:bidi="ar-SA"/>
                    </w:rPr>
                  </w:pPr>
                  <w:r>
                    <w:rPr>
                      <w:rFonts w:hint="eastAsia" w:ascii="Times New Roman" w:hAnsi="Times New Roman" w:eastAsia="宋体" w:cs="Times New Roman"/>
                      <w:sz w:val="18"/>
                      <w:szCs w:val="18"/>
                      <w:highlight w:val="none"/>
                      <w:lang w:val="en-US" w:eastAsia="zh-CN"/>
                    </w:rPr>
                    <w:t>/</w:t>
                  </w:r>
                </w:p>
              </w:tc>
              <w:tc>
                <w:tcPr>
                  <w:tcW w:w="611" w:type="dxa"/>
                  <w:vMerge w:val="continue"/>
                  <w:tcBorders>
                    <w:left w:val="single" w:color="auto" w:sz="4" w:space="0"/>
                    <w:right w:val="single" w:color="auto" w:sz="4" w:space="0"/>
                  </w:tcBorders>
                  <w:vAlign w:val="center"/>
                </w:tcPr>
                <w:p w14:paraId="6F251C51">
                  <w:pPr>
                    <w:keepNext w:val="0"/>
                    <w:keepLines w:val="0"/>
                    <w:suppressLineNumbers w:val="0"/>
                    <w:snapToGrid w:val="0"/>
                    <w:spacing w:before="0" w:beforeAutospacing="0" w:after="0" w:afterAutospacing="0" w:line="264" w:lineRule="auto"/>
                    <w:ind w:left="0" w:right="0"/>
                    <w:jc w:val="center"/>
                    <w:rPr>
                      <w:rFonts w:hint="default" w:ascii="Times New Roman" w:hAnsi="Times New Roman" w:eastAsia="宋体" w:cs="Times New Roman"/>
                      <w:kern w:val="0"/>
                      <w:sz w:val="18"/>
                      <w:szCs w:val="18"/>
                      <w:highlight w:val="none"/>
                    </w:rPr>
                  </w:pPr>
                </w:p>
              </w:tc>
              <w:tc>
                <w:tcPr>
                  <w:tcW w:w="679" w:type="dxa"/>
                  <w:tcBorders>
                    <w:top w:val="single" w:color="auto" w:sz="4" w:space="0"/>
                    <w:left w:val="single" w:color="auto" w:sz="4" w:space="0"/>
                    <w:bottom w:val="single" w:color="auto" w:sz="4" w:space="0"/>
                    <w:right w:val="single" w:color="auto" w:sz="4" w:space="0"/>
                  </w:tcBorders>
                  <w:vAlign w:val="center"/>
                </w:tcPr>
                <w:p w14:paraId="48857346">
                  <w:pPr>
                    <w:keepNext w:val="0"/>
                    <w:keepLines w:val="0"/>
                    <w:widowControl/>
                    <w:suppressLineNumbers w:val="0"/>
                    <w:snapToGrid w:val="0"/>
                    <w:spacing w:before="0" w:beforeAutospacing="0" w:after="0" w:afterAutospacing="0" w:line="264" w:lineRule="auto"/>
                    <w:ind w:left="0" w:right="0"/>
                    <w:jc w:val="center"/>
                    <w:rPr>
                      <w:rFonts w:hint="default" w:ascii="Times New Roman" w:hAnsi="Times New Roman" w:eastAsia="宋体" w:cs="Times New Roman"/>
                      <w:kern w:val="0"/>
                      <w:sz w:val="18"/>
                      <w:szCs w:val="18"/>
                      <w:highlight w:val="none"/>
                    </w:rPr>
                  </w:pPr>
                  <w:r>
                    <w:rPr>
                      <w:rFonts w:hint="eastAsia" w:ascii="Times New Roman" w:hAnsi="Times New Roman" w:eastAsia="宋体" w:cs="Times New Roman"/>
                      <w:kern w:val="0"/>
                      <w:sz w:val="18"/>
                      <w:szCs w:val="18"/>
                      <w:highlight w:val="none"/>
                      <w:lang w:val="en-US" w:eastAsia="zh-CN"/>
                    </w:rPr>
                    <w:t>80</w:t>
                  </w:r>
                </w:p>
              </w:tc>
              <w:tc>
                <w:tcPr>
                  <w:tcW w:w="723" w:type="dxa"/>
                  <w:tcBorders>
                    <w:top w:val="single" w:color="auto" w:sz="4" w:space="0"/>
                    <w:left w:val="single" w:color="auto" w:sz="4" w:space="0"/>
                    <w:bottom w:val="single" w:color="auto" w:sz="4" w:space="0"/>
                    <w:right w:val="single" w:color="auto" w:sz="4" w:space="0"/>
                  </w:tcBorders>
                  <w:vAlign w:val="center"/>
                </w:tcPr>
                <w:p w14:paraId="77E693EE">
                  <w:pPr>
                    <w:keepNext w:val="0"/>
                    <w:keepLines w:val="0"/>
                    <w:widowControl/>
                    <w:suppressLineNumbers w:val="0"/>
                    <w:snapToGrid w:val="0"/>
                    <w:spacing w:before="0" w:beforeAutospacing="0" w:after="0" w:afterAutospacing="0" w:line="264" w:lineRule="auto"/>
                    <w:ind w:left="0" w:right="0"/>
                    <w:jc w:val="center"/>
                    <w:rPr>
                      <w:rFonts w:hint="eastAsia" w:ascii="Times New Roman" w:hAnsi="Times New Roman" w:eastAsia="宋体" w:cs="Times New Roman"/>
                      <w:kern w:val="0"/>
                      <w:sz w:val="18"/>
                      <w:szCs w:val="18"/>
                      <w:highlight w:val="none"/>
                      <w:lang w:val="en-US" w:eastAsia="zh-CN"/>
                    </w:rPr>
                  </w:pPr>
                  <w:r>
                    <w:rPr>
                      <w:rFonts w:hint="eastAsia" w:ascii="Times New Roman" w:hAnsi="Times New Roman" w:eastAsia="宋体" w:cs="Times New Roman"/>
                      <w:kern w:val="0"/>
                      <w:sz w:val="18"/>
                      <w:szCs w:val="18"/>
                      <w:highlight w:val="none"/>
                      <w:lang w:val="en-US" w:eastAsia="zh-CN"/>
                    </w:rPr>
                    <w:t>0.078</w:t>
                  </w:r>
                </w:p>
              </w:tc>
              <w:tc>
                <w:tcPr>
                  <w:tcW w:w="481" w:type="dxa"/>
                  <w:vMerge w:val="continue"/>
                  <w:tcBorders>
                    <w:left w:val="single" w:color="auto" w:sz="4" w:space="0"/>
                    <w:right w:val="single" w:color="auto" w:sz="4" w:space="0"/>
                  </w:tcBorders>
                  <w:vAlign w:val="center"/>
                </w:tcPr>
                <w:p w14:paraId="37DA9A01">
                  <w:pPr>
                    <w:keepNext w:val="0"/>
                    <w:keepLines w:val="0"/>
                    <w:suppressLineNumbers w:val="0"/>
                    <w:snapToGrid w:val="0"/>
                    <w:spacing w:before="0" w:beforeAutospacing="0" w:after="0" w:afterAutospacing="0" w:line="264" w:lineRule="auto"/>
                    <w:ind w:left="0" w:right="0"/>
                    <w:jc w:val="center"/>
                    <w:rPr>
                      <w:rFonts w:hint="default" w:ascii="Times New Roman" w:hAnsi="Times New Roman" w:eastAsia="宋体" w:cs="Times New Roman"/>
                      <w:kern w:val="0"/>
                      <w:sz w:val="18"/>
                      <w:szCs w:val="18"/>
                      <w:highlight w:val="none"/>
                    </w:rPr>
                  </w:pPr>
                </w:p>
              </w:tc>
            </w:tr>
            <w:tr w14:paraId="0A85CB1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jc w:val="center"/>
              </w:trPr>
              <w:tc>
                <w:tcPr>
                  <w:tcW w:w="580" w:type="dxa"/>
                  <w:vMerge w:val="continue"/>
                  <w:tcBorders>
                    <w:left w:val="single" w:color="auto" w:sz="4" w:space="0"/>
                    <w:right w:val="single" w:color="auto" w:sz="4" w:space="0"/>
                  </w:tcBorders>
                  <w:vAlign w:val="center"/>
                </w:tcPr>
                <w:p w14:paraId="44BF4DF7">
                  <w:pPr>
                    <w:keepNext w:val="0"/>
                    <w:keepLines w:val="0"/>
                    <w:widowControl/>
                    <w:suppressLineNumbers w:val="0"/>
                    <w:adjustRightInd w:val="0"/>
                    <w:snapToGrid w:val="0"/>
                    <w:spacing w:before="0" w:beforeAutospacing="0" w:after="0" w:afterAutospacing="0" w:line="264" w:lineRule="auto"/>
                    <w:ind w:left="0" w:right="0"/>
                    <w:jc w:val="center"/>
                    <w:rPr>
                      <w:rFonts w:hint="default" w:ascii="Times New Roman" w:hAnsi="Times New Roman" w:eastAsia="宋体" w:cs="Times New Roman"/>
                      <w:snapToGrid w:val="0"/>
                      <w:sz w:val="18"/>
                      <w:szCs w:val="18"/>
                      <w:highlight w:val="none"/>
                    </w:rPr>
                  </w:pPr>
                </w:p>
              </w:tc>
              <w:tc>
                <w:tcPr>
                  <w:tcW w:w="423" w:type="dxa"/>
                  <w:vMerge w:val="continue"/>
                  <w:tcBorders>
                    <w:left w:val="single" w:color="auto" w:sz="4" w:space="0"/>
                    <w:right w:val="single" w:color="auto" w:sz="4" w:space="0"/>
                  </w:tcBorders>
                  <w:vAlign w:val="center"/>
                </w:tcPr>
                <w:p w14:paraId="1A2FCCE5">
                  <w:pPr>
                    <w:keepNext w:val="0"/>
                    <w:keepLines w:val="0"/>
                    <w:widowControl/>
                    <w:suppressLineNumbers w:val="0"/>
                    <w:adjustRightInd w:val="0"/>
                    <w:snapToGrid w:val="0"/>
                    <w:spacing w:before="0" w:beforeAutospacing="0" w:after="0" w:afterAutospacing="0" w:line="264" w:lineRule="auto"/>
                    <w:ind w:left="0" w:right="0"/>
                    <w:jc w:val="center"/>
                    <w:rPr>
                      <w:rFonts w:hint="default" w:ascii="Times New Roman" w:hAnsi="Times New Roman" w:eastAsia="宋体" w:cs="Times New Roman"/>
                      <w:snapToGrid w:val="0"/>
                      <w:sz w:val="18"/>
                      <w:szCs w:val="18"/>
                      <w:highlight w:val="none"/>
                    </w:rPr>
                  </w:pPr>
                </w:p>
              </w:tc>
              <w:tc>
                <w:tcPr>
                  <w:tcW w:w="1031" w:type="dxa"/>
                  <w:vMerge w:val="restart"/>
                  <w:tcBorders>
                    <w:left w:val="single" w:color="auto" w:sz="4" w:space="0"/>
                    <w:right w:val="single" w:color="auto" w:sz="4" w:space="0"/>
                  </w:tcBorders>
                  <w:vAlign w:val="center"/>
                </w:tcPr>
                <w:p w14:paraId="7DE1C7B0">
                  <w:pPr>
                    <w:keepNext w:val="0"/>
                    <w:keepLines w:val="0"/>
                    <w:widowControl/>
                    <w:suppressLineNumbers w:val="0"/>
                    <w:adjustRightInd w:val="0"/>
                    <w:snapToGrid w:val="0"/>
                    <w:spacing w:before="0" w:beforeAutospacing="0" w:after="0" w:afterAutospacing="0" w:line="264" w:lineRule="auto"/>
                    <w:ind w:left="0" w:right="0"/>
                    <w:jc w:val="center"/>
                    <w:rPr>
                      <w:rFonts w:hint="default" w:ascii="Times New Roman" w:hAnsi="Times New Roman" w:eastAsia="宋体" w:cs="Times New Roman"/>
                      <w:snapToGrid w:val="0"/>
                      <w:sz w:val="18"/>
                      <w:szCs w:val="18"/>
                      <w:highlight w:val="none"/>
                      <w:lang w:val="en-US" w:eastAsia="zh-CN"/>
                    </w:rPr>
                  </w:pPr>
                  <w:r>
                    <w:rPr>
                      <w:rFonts w:hint="eastAsia" w:cs="Times New Roman"/>
                      <w:snapToGrid w:val="0"/>
                      <w:sz w:val="18"/>
                      <w:szCs w:val="18"/>
                      <w:highlight w:val="none"/>
                      <w:lang w:val="en-US" w:eastAsia="zh-CN"/>
                    </w:rPr>
                    <w:t>科创</w:t>
                  </w:r>
                  <w:r>
                    <w:rPr>
                      <w:rFonts w:hint="eastAsia"/>
                      <w:kern w:val="0"/>
                      <w:sz w:val="18"/>
                      <w:szCs w:val="18"/>
                      <w:highlight w:val="none"/>
                      <w:lang w:val="en-US" w:eastAsia="zh-CN"/>
                    </w:rPr>
                    <w:t>综合</w:t>
                  </w:r>
                  <w:r>
                    <w:rPr>
                      <w:rFonts w:hint="eastAsia" w:cs="Times New Roman"/>
                      <w:snapToGrid w:val="0"/>
                      <w:sz w:val="18"/>
                      <w:szCs w:val="18"/>
                      <w:highlight w:val="none"/>
                      <w:lang w:val="en-US" w:eastAsia="zh-CN"/>
                    </w:rPr>
                    <w:t>楼</w:t>
                  </w:r>
                  <w:r>
                    <w:rPr>
                      <w:rFonts w:hint="eastAsia" w:ascii="Times New Roman" w:hAnsi="Times New Roman" w:eastAsia="宋体" w:cs="Times New Roman"/>
                      <w:snapToGrid w:val="0"/>
                      <w:sz w:val="18"/>
                      <w:szCs w:val="18"/>
                      <w:highlight w:val="none"/>
                    </w:rPr>
                    <w:t>纯水制备浓水</w:t>
                  </w:r>
                </w:p>
              </w:tc>
              <w:tc>
                <w:tcPr>
                  <w:tcW w:w="595" w:type="dxa"/>
                  <w:tcBorders>
                    <w:top w:val="single" w:color="auto" w:sz="4" w:space="0"/>
                    <w:left w:val="single" w:color="auto" w:sz="4" w:space="0"/>
                    <w:bottom w:val="single" w:color="auto" w:sz="4" w:space="0"/>
                    <w:right w:val="single" w:color="auto" w:sz="4" w:space="0"/>
                  </w:tcBorders>
                  <w:shd w:val="clear" w:color="auto" w:fill="auto"/>
                  <w:vAlign w:val="center"/>
                </w:tcPr>
                <w:p w14:paraId="2404957D">
                  <w:pPr>
                    <w:keepNext w:val="0"/>
                    <w:keepLines w:val="0"/>
                    <w:widowControl/>
                    <w:suppressLineNumbers w:val="0"/>
                    <w:adjustRightInd w:val="0"/>
                    <w:snapToGrid w:val="0"/>
                    <w:spacing w:before="0" w:beforeAutospacing="0" w:after="0" w:afterAutospacing="0" w:line="264" w:lineRule="auto"/>
                    <w:ind w:left="0" w:right="0"/>
                    <w:jc w:val="center"/>
                    <w:rPr>
                      <w:rFonts w:hint="eastAsia" w:ascii="Times New Roman" w:hAnsi="Times New Roman" w:eastAsia="宋体" w:cs="Times New Roman"/>
                      <w:snapToGrid w:val="0"/>
                      <w:sz w:val="18"/>
                      <w:szCs w:val="18"/>
                      <w:highlight w:val="none"/>
                      <w:lang w:val="en-US" w:eastAsia="zh-CN"/>
                    </w:rPr>
                  </w:pPr>
                  <w:r>
                    <w:rPr>
                      <w:rFonts w:hint="default" w:ascii="Times New Roman" w:hAnsi="Times New Roman" w:eastAsia="宋体" w:cs="Times New Roman"/>
                      <w:snapToGrid w:val="0"/>
                      <w:sz w:val="18"/>
                      <w:szCs w:val="18"/>
                      <w:highlight w:val="none"/>
                    </w:rPr>
                    <w:t>COD</w:t>
                  </w:r>
                  <w:r>
                    <w:rPr>
                      <w:rFonts w:hint="default" w:ascii="Times New Roman" w:hAnsi="Times New Roman" w:eastAsia="宋体" w:cs="Times New Roman"/>
                      <w:snapToGrid w:val="0"/>
                      <w:sz w:val="18"/>
                      <w:szCs w:val="18"/>
                      <w:highlight w:val="none"/>
                      <w:vertAlign w:val="subscript"/>
                    </w:rPr>
                    <w:t>Cr</w:t>
                  </w:r>
                </w:p>
              </w:tc>
              <w:tc>
                <w:tcPr>
                  <w:tcW w:w="609" w:type="dxa"/>
                  <w:vMerge w:val="restart"/>
                  <w:tcBorders>
                    <w:left w:val="single" w:color="auto" w:sz="4" w:space="0"/>
                    <w:right w:val="single" w:color="auto" w:sz="4" w:space="0"/>
                  </w:tcBorders>
                  <w:vAlign w:val="center"/>
                </w:tcPr>
                <w:p w14:paraId="6DDE7F45">
                  <w:pPr>
                    <w:keepNext w:val="0"/>
                    <w:keepLines w:val="0"/>
                    <w:suppressLineNumbers w:val="0"/>
                    <w:snapToGrid w:val="0"/>
                    <w:spacing w:before="0" w:beforeAutospacing="0" w:after="0" w:afterAutospacing="0" w:line="264" w:lineRule="auto"/>
                    <w:ind w:left="0" w:right="0"/>
                    <w:jc w:val="center"/>
                    <w:rPr>
                      <w:rFonts w:hint="default" w:ascii="Times New Roman" w:hAnsi="Times New Roman" w:eastAsia="宋体" w:cs="Times New Roman"/>
                      <w:sz w:val="18"/>
                      <w:szCs w:val="18"/>
                      <w:highlight w:val="none"/>
                      <w:lang w:val="en-US" w:eastAsia="zh-CN"/>
                    </w:rPr>
                  </w:pPr>
                  <w:r>
                    <w:rPr>
                      <w:rFonts w:hint="eastAsia" w:cs="Times New Roman"/>
                      <w:sz w:val="18"/>
                      <w:szCs w:val="18"/>
                      <w:highlight w:val="none"/>
                      <w:lang w:val="en-US" w:eastAsia="zh-CN"/>
                    </w:rPr>
                    <w:t>367.7</w:t>
                  </w:r>
                </w:p>
              </w:tc>
              <w:tc>
                <w:tcPr>
                  <w:tcW w:w="699" w:type="dxa"/>
                  <w:tcBorders>
                    <w:top w:val="single" w:color="auto" w:sz="4" w:space="0"/>
                    <w:left w:val="single" w:color="auto" w:sz="4" w:space="0"/>
                    <w:bottom w:val="single" w:color="auto" w:sz="4" w:space="0"/>
                    <w:right w:val="single" w:color="auto" w:sz="4" w:space="0"/>
                  </w:tcBorders>
                  <w:shd w:val="clear" w:color="auto" w:fill="auto"/>
                  <w:vAlign w:val="center"/>
                </w:tcPr>
                <w:p w14:paraId="5D8F80FB">
                  <w:pPr>
                    <w:keepNext w:val="0"/>
                    <w:keepLines w:val="0"/>
                    <w:widowControl/>
                    <w:suppressLineNumbers w:val="0"/>
                    <w:snapToGrid w:val="0"/>
                    <w:spacing w:before="0" w:beforeAutospacing="0" w:after="0" w:afterAutospacing="0" w:line="264" w:lineRule="auto"/>
                    <w:ind w:left="0" w:right="0"/>
                    <w:jc w:val="center"/>
                    <w:rPr>
                      <w:rFonts w:hint="eastAsia" w:ascii="Times New Roman" w:hAnsi="Times New Roman" w:eastAsia="宋体" w:cs="Times New Roman"/>
                      <w:kern w:val="0"/>
                      <w:sz w:val="18"/>
                      <w:szCs w:val="18"/>
                      <w:highlight w:val="none"/>
                      <w:lang w:val="en-US" w:eastAsia="zh-CN" w:bidi="ar-SA"/>
                    </w:rPr>
                  </w:pPr>
                  <w:r>
                    <w:rPr>
                      <w:rFonts w:hint="eastAsia" w:ascii="Times New Roman" w:hAnsi="Times New Roman" w:eastAsia="宋体" w:cs="Times New Roman"/>
                      <w:kern w:val="0"/>
                      <w:sz w:val="18"/>
                      <w:szCs w:val="18"/>
                      <w:highlight w:val="none"/>
                      <w:lang w:val="en-US" w:eastAsia="zh-CN"/>
                    </w:rPr>
                    <w:t>80</w:t>
                  </w:r>
                </w:p>
              </w:tc>
              <w:tc>
                <w:tcPr>
                  <w:tcW w:w="777" w:type="dxa"/>
                  <w:tcBorders>
                    <w:top w:val="single" w:color="auto" w:sz="4" w:space="0"/>
                    <w:left w:val="single" w:color="auto" w:sz="4" w:space="0"/>
                    <w:bottom w:val="single" w:color="auto" w:sz="4" w:space="0"/>
                    <w:right w:val="single" w:color="auto" w:sz="4" w:space="0"/>
                  </w:tcBorders>
                  <w:shd w:val="clear" w:color="auto" w:fill="auto"/>
                  <w:vAlign w:val="center"/>
                </w:tcPr>
                <w:p w14:paraId="61F0AE2C">
                  <w:pPr>
                    <w:keepNext w:val="0"/>
                    <w:keepLines w:val="0"/>
                    <w:widowControl/>
                    <w:suppressLineNumbers w:val="0"/>
                    <w:snapToGrid w:val="0"/>
                    <w:spacing w:before="0" w:beforeAutospacing="0" w:after="0" w:afterAutospacing="0" w:line="264" w:lineRule="auto"/>
                    <w:ind w:left="0" w:right="0"/>
                    <w:jc w:val="center"/>
                    <w:rPr>
                      <w:rFonts w:hint="default" w:ascii="Times New Roman" w:hAnsi="Times New Roman" w:eastAsia="宋体" w:cs="Times New Roman"/>
                      <w:kern w:val="0"/>
                      <w:sz w:val="18"/>
                      <w:szCs w:val="18"/>
                      <w:highlight w:val="none"/>
                      <w:lang w:val="en-US" w:eastAsia="zh-CN"/>
                    </w:rPr>
                  </w:pPr>
                  <w:r>
                    <w:rPr>
                      <w:rFonts w:hint="eastAsia" w:cs="Times New Roman"/>
                      <w:kern w:val="0"/>
                      <w:sz w:val="18"/>
                      <w:szCs w:val="18"/>
                      <w:highlight w:val="none"/>
                      <w:lang w:val="en-US" w:eastAsia="zh-CN"/>
                    </w:rPr>
                    <w:t>0.029</w:t>
                  </w:r>
                </w:p>
              </w:tc>
              <w:tc>
                <w:tcPr>
                  <w:tcW w:w="630" w:type="dxa"/>
                  <w:tcBorders>
                    <w:left w:val="single" w:color="auto" w:sz="4" w:space="0"/>
                    <w:right w:val="single" w:color="auto" w:sz="4" w:space="0"/>
                  </w:tcBorders>
                  <w:shd w:val="clear" w:color="auto" w:fill="auto"/>
                  <w:vAlign w:val="center"/>
                </w:tcPr>
                <w:p w14:paraId="6E84D964">
                  <w:pPr>
                    <w:keepNext w:val="0"/>
                    <w:keepLines w:val="0"/>
                    <w:suppressLineNumbers w:val="0"/>
                    <w:snapToGrid w:val="0"/>
                    <w:spacing w:before="0" w:beforeAutospacing="0" w:after="0" w:afterAutospacing="0" w:line="264" w:lineRule="auto"/>
                    <w:ind w:left="0" w:right="0"/>
                    <w:jc w:val="center"/>
                    <w:rPr>
                      <w:rFonts w:hint="eastAsia" w:ascii="Times New Roman" w:hAnsi="Times New Roman" w:eastAsia="宋体" w:cs="Times New Roman"/>
                      <w:sz w:val="18"/>
                      <w:szCs w:val="18"/>
                      <w:highlight w:val="none"/>
                      <w:lang w:val="en-US" w:eastAsia="zh-CN"/>
                    </w:rPr>
                  </w:pPr>
                  <w:r>
                    <w:rPr>
                      <w:rFonts w:hint="eastAsia" w:ascii="Times New Roman" w:hAnsi="Times New Roman" w:eastAsia="宋体" w:cs="Times New Roman"/>
                      <w:sz w:val="18"/>
                      <w:szCs w:val="18"/>
                      <w:highlight w:val="none"/>
                      <w:lang w:val="en-US" w:eastAsia="zh-CN"/>
                    </w:rPr>
                    <w:t>/</w:t>
                  </w:r>
                </w:p>
              </w:tc>
              <w:tc>
                <w:tcPr>
                  <w:tcW w:w="477" w:type="dxa"/>
                  <w:tcBorders>
                    <w:left w:val="single" w:color="auto" w:sz="4" w:space="0"/>
                    <w:right w:val="single" w:color="auto" w:sz="4" w:space="0"/>
                  </w:tcBorders>
                  <w:shd w:val="clear" w:color="auto" w:fill="auto"/>
                  <w:vAlign w:val="center"/>
                </w:tcPr>
                <w:p w14:paraId="5DA0DA46">
                  <w:pPr>
                    <w:keepNext w:val="0"/>
                    <w:keepLines w:val="0"/>
                    <w:suppressLineNumbers w:val="0"/>
                    <w:snapToGrid w:val="0"/>
                    <w:spacing w:before="0" w:beforeAutospacing="0" w:after="0" w:afterAutospacing="0" w:line="264" w:lineRule="auto"/>
                    <w:ind w:left="0" w:right="0"/>
                    <w:jc w:val="center"/>
                    <w:rPr>
                      <w:rFonts w:hint="eastAsia" w:ascii="Times New Roman" w:hAnsi="Times New Roman" w:eastAsia="宋体" w:cs="Times New Roman"/>
                      <w:sz w:val="18"/>
                      <w:szCs w:val="18"/>
                      <w:highlight w:val="none"/>
                      <w:lang w:val="en-US" w:eastAsia="zh-CN"/>
                    </w:rPr>
                  </w:pPr>
                  <w:r>
                    <w:rPr>
                      <w:rFonts w:hint="eastAsia" w:ascii="Times New Roman" w:hAnsi="Times New Roman" w:eastAsia="宋体" w:cs="Times New Roman"/>
                      <w:sz w:val="18"/>
                      <w:szCs w:val="18"/>
                      <w:highlight w:val="none"/>
                      <w:lang w:val="en-US" w:eastAsia="zh-CN"/>
                    </w:rPr>
                    <w:t>/</w:t>
                  </w:r>
                </w:p>
              </w:tc>
              <w:tc>
                <w:tcPr>
                  <w:tcW w:w="611" w:type="dxa"/>
                  <w:vMerge w:val="restart"/>
                  <w:tcBorders>
                    <w:left w:val="single" w:color="auto" w:sz="4" w:space="0"/>
                    <w:right w:val="single" w:color="auto" w:sz="4" w:space="0"/>
                  </w:tcBorders>
                  <w:vAlign w:val="center"/>
                </w:tcPr>
                <w:p w14:paraId="1A4C67BD">
                  <w:pPr>
                    <w:keepNext w:val="0"/>
                    <w:keepLines w:val="0"/>
                    <w:suppressLineNumbers w:val="0"/>
                    <w:snapToGrid w:val="0"/>
                    <w:spacing w:before="0" w:beforeAutospacing="0" w:after="0" w:afterAutospacing="0" w:line="264" w:lineRule="auto"/>
                    <w:ind w:left="0" w:right="0"/>
                    <w:jc w:val="center"/>
                    <w:rPr>
                      <w:rFonts w:hint="default" w:ascii="Times New Roman" w:hAnsi="Times New Roman" w:eastAsia="宋体" w:cs="Times New Roman"/>
                      <w:kern w:val="0"/>
                      <w:sz w:val="18"/>
                      <w:szCs w:val="18"/>
                      <w:highlight w:val="none"/>
                    </w:rPr>
                  </w:pPr>
                  <w:r>
                    <w:rPr>
                      <w:rFonts w:hint="eastAsia" w:cs="Times New Roman"/>
                      <w:sz w:val="18"/>
                      <w:szCs w:val="18"/>
                      <w:highlight w:val="none"/>
                      <w:lang w:val="en-US" w:eastAsia="zh-CN"/>
                    </w:rPr>
                    <w:t>367.1</w:t>
                  </w:r>
                </w:p>
              </w:tc>
              <w:tc>
                <w:tcPr>
                  <w:tcW w:w="679" w:type="dxa"/>
                  <w:tcBorders>
                    <w:top w:val="single" w:color="auto" w:sz="4" w:space="0"/>
                    <w:left w:val="single" w:color="auto" w:sz="4" w:space="0"/>
                    <w:bottom w:val="single" w:color="auto" w:sz="4" w:space="0"/>
                    <w:right w:val="single" w:color="auto" w:sz="4" w:space="0"/>
                  </w:tcBorders>
                  <w:vAlign w:val="center"/>
                </w:tcPr>
                <w:p w14:paraId="350FBD5A">
                  <w:pPr>
                    <w:keepNext w:val="0"/>
                    <w:keepLines w:val="0"/>
                    <w:widowControl/>
                    <w:suppressLineNumbers w:val="0"/>
                    <w:snapToGrid w:val="0"/>
                    <w:spacing w:before="0" w:beforeAutospacing="0" w:after="0" w:afterAutospacing="0" w:line="264" w:lineRule="auto"/>
                    <w:ind w:left="0" w:right="0"/>
                    <w:jc w:val="center"/>
                    <w:rPr>
                      <w:rFonts w:hint="eastAsia" w:ascii="Times New Roman" w:hAnsi="Times New Roman" w:eastAsia="宋体" w:cs="Times New Roman"/>
                      <w:kern w:val="0"/>
                      <w:sz w:val="18"/>
                      <w:szCs w:val="18"/>
                      <w:highlight w:val="none"/>
                      <w:lang w:val="en-US" w:eastAsia="zh-CN"/>
                    </w:rPr>
                  </w:pPr>
                  <w:r>
                    <w:rPr>
                      <w:rFonts w:hint="eastAsia" w:ascii="Times New Roman" w:hAnsi="Times New Roman" w:eastAsia="宋体" w:cs="Times New Roman"/>
                      <w:kern w:val="0"/>
                      <w:sz w:val="18"/>
                      <w:szCs w:val="18"/>
                      <w:highlight w:val="none"/>
                      <w:lang w:val="en-US" w:eastAsia="zh-CN"/>
                    </w:rPr>
                    <w:t>80</w:t>
                  </w:r>
                </w:p>
              </w:tc>
              <w:tc>
                <w:tcPr>
                  <w:tcW w:w="723" w:type="dxa"/>
                  <w:tcBorders>
                    <w:top w:val="single" w:color="auto" w:sz="4" w:space="0"/>
                    <w:left w:val="single" w:color="auto" w:sz="4" w:space="0"/>
                    <w:bottom w:val="single" w:color="auto" w:sz="4" w:space="0"/>
                    <w:right w:val="single" w:color="auto" w:sz="4" w:space="0"/>
                  </w:tcBorders>
                  <w:vAlign w:val="center"/>
                </w:tcPr>
                <w:p w14:paraId="5ED5A586">
                  <w:pPr>
                    <w:keepNext w:val="0"/>
                    <w:keepLines w:val="0"/>
                    <w:widowControl/>
                    <w:suppressLineNumbers w:val="0"/>
                    <w:snapToGrid w:val="0"/>
                    <w:spacing w:before="0" w:beforeAutospacing="0" w:after="0" w:afterAutospacing="0" w:line="264" w:lineRule="auto"/>
                    <w:ind w:left="0" w:right="0"/>
                    <w:jc w:val="center"/>
                    <w:rPr>
                      <w:rFonts w:hint="eastAsia" w:ascii="Times New Roman" w:hAnsi="Times New Roman" w:eastAsia="宋体" w:cs="Times New Roman"/>
                      <w:kern w:val="0"/>
                      <w:sz w:val="18"/>
                      <w:szCs w:val="18"/>
                      <w:highlight w:val="none"/>
                      <w:lang w:val="en-US" w:eastAsia="zh-CN"/>
                    </w:rPr>
                  </w:pPr>
                  <w:r>
                    <w:rPr>
                      <w:rFonts w:hint="eastAsia" w:cs="Times New Roman"/>
                      <w:kern w:val="0"/>
                      <w:sz w:val="18"/>
                      <w:szCs w:val="18"/>
                      <w:highlight w:val="none"/>
                      <w:lang w:val="en-US" w:eastAsia="zh-CN"/>
                    </w:rPr>
                    <w:t>0.029</w:t>
                  </w:r>
                </w:p>
              </w:tc>
              <w:tc>
                <w:tcPr>
                  <w:tcW w:w="481" w:type="dxa"/>
                  <w:vMerge w:val="restart"/>
                  <w:tcBorders>
                    <w:left w:val="single" w:color="auto" w:sz="4" w:space="0"/>
                    <w:right w:val="single" w:color="auto" w:sz="4" w:space="0"/>
                  </w:tcBorders>
                  <w:vAlign w:val="center"/>
                </w:tcPr>
                <w:p w14:paraId="5FEF48E5">
                  <w:pPr>
                    <w:keepNext w:val="0"/>
                    <w:keepLines w:val="0"/>
                    <w:suppressLineNumbers w:val="0"/>
                    <w:snapToGrid w:val="0"/>
                    <w:spacing w:before="0" w:beforeAutospacing="0" w:after="0" w:afterAutospacing="0" w:line="264" w:lineRule="auto"/>
                    <w:ind w:left="0" w:right="0"/>
                    <w:jc w:val="center"/>
                    <w:rPr>
                      <w:rFonts w:hint="default" w:ascii="Times New Roman" w:hAnsi="Times New Roman" w:eastAsia="宋体" w:cs="Times New Roman"/>
                      <w:kern w:val="0"/>
                      <w:sz w:val="18"/>
                      <w:szCs w:val="18"/>
                      <w:highlight w:val="none"/>
                      <w:lang w:val="en-US" w:eastAsia="zh-CN"/>
                    </w:rPr>
                  </w:pPr>
                  <w:r>
                    <w:rPr>
                      <w:rFonts w:hint="eastAsia" w:cs="Times New Roman"/>
                      <w:kern w:val="0"/>
                      <w:sz w:val="18"/>
                      <w:szCs w:val="18"/>
                      <w:highlight w:val="none"/>
                      <w:lang w:val="en-US" w:eastAsia="zh-CN"/>
                    </w:rPr>
                    <w:t>2080</w:t>
                  </w:r>
                </w:p>
              </w:tc>
            </w:tr>
            <w:tr w14:paraId="61833BB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jc w:val="center"/>
              </w:trPr>
              <w:tc>
                <w:tcPr>
                  <w:tcW w:w="580" w:type="dxa"/>
                  <w:vMerge w:val="continue"/>
                  <w:tcBorders>
                    <w:left w:val="single" w:color="auto" w:sz="4" w:space="0"/>
                    <w:right w:val="single" w:color="auto" w:sz="4" w:space="0"/>
                  </w:tcBorders>
                  <w:vAlign w:val="center"/>
                </w:tcPr>
                <w:p w14:paraId="457FC0AE">
                  <w:pPr>
                    <w:keepNext w:val="0"/>
                    <w:keepLines w:val="0"/>
                    <w:widowControl/>
                    <w:suppressLineNumbers w:val="0"/>
                    <w:adjustRightInd w:val="0"/>
                    <w:snapToGrid w:val="0"/>
                    <w:spacing w:before="0" w:beforeAutospacing="0" w:after="0" w:afterAutospacing="0" w:line="264" w:lineRule="auto"/>
                    <w:ind w:left="0" w:right="0"/>
                    <w:jc w:val="center"/>
                    <w:rPr>
                      <w:rFonts w:hint="default" w:ascii="Times New Roman" w:hAnsi="Times New Roman" w:eastAsia="宋体" w:cs="Times New Roman"/>
                      <w:snapToGrid w:val="0"/>
                      <w:sz w:val="18"/>
                      <w:szCs w:val="18"/>
                      <w:highlight w:val="none"/>
                    </w:rPr>
                  </w:pPr>
                </w:p>
              </w:tc>
              <w:tc>
                <w:tcPr>
                  <w:tcW w:w="423" w:type="dxa"/>
                  <w:vMerge w:val="continue"/>
                  <w:tcBorders>
                    <w:left w:val="single" w:color="auto" w:sz="4" w:space="0"/>
                    <w:right w:val="single" w:color="auto" w:sz="4" w:space="0"/>
                  </w:tcBorders>
                  <w:vAlign w:val="center"/>
                </w:tcPr>
                <w:p w14:paraId="100B689E">
                  <w:pPr>
                    <w:keepNext w:val="0"/>
                    <w:keepLines w:val="0"/>
                    <w:widowControl/>
                    <w:suppressLineNumbers w:val="0"/>
                    <w:adjustRightInd w:val="0"/>
                    <w:snapToGrid w:val="0"/>
                    <w:spacing w:before="0" w:beforeAutospacing="0" w:after="0" w:afterAutospacing="0" w:line="264" w:lineRule="auto"/>
                    <w:ind w:left="0" w:right="0"/>
                    <w:jc w:val="center"/>
                    <w:rPr>
                      <w:rFonts w:hint="default" w:ascii="Times New Roman" w:hAnsi="Times New Roman" w:eastAsia="宋体" w:cs="Times New Roman"/>
                      <w:snapToGrid w:val="0"/>
                      <w:sz w:val="18"/>
                      <w:szCs w:val="18"/>
                      <w:highlight w:val="none"/>
                    </w:rPr>
                  </w:pPr>
                </w:p>
              </w:tc>
              <w:tc>
                <w:tcPr>
                  <w:tcW w:w="1031" w:type="dxa"/>
                  <w:vMerge w:val="continue"/>
                  <w:tcBorders>
                    <w:left w:val="single" w:color="auto" w:sz="4" w:space="0"/>
                    <w:right w:val="single" w:color="auto" w:sz="4" w:space="0"/>
                  </w:tcBorders>
                  <w:vAlign w:val="center"/>
                </w:tcPr>
                <w:p w14:paraId="244E1D54">
                  <w:pPr>
                    <w:keepNext w:val="0"/>
                    <w:keepLines w:val="0"/>
                    <w:widowControl/>
                    <w:suppressLineNumbers w:val="0"/>
                    <w:adjustRightInd w:val="0"/>
                    <w:snapToGrid w:val="0"/>
                    <w:spacing w:before="0" w:beforeAutospacing="0" w:after="0" w:afterAutospacing="0" w:line="264" w:lineRule="auto"/>
                    <w:ind w:left="0" w:right="0"/>
                    <w:jc w:val="center"/>
                    <w:rPr>
                      <w:rFonts w:hint="eastAsia" w:cs="Times New Roman"/>
                      <w:snapToGrid w:val="0"/>
                      <w:sz w:val="18"/>
                      <w:szCs w:val="18"/>
                      <w:highlight w:val="none"/>
                      <w:lang w:val="en-US" w:eastAsia="zh-CN"/>
                    </w:rPr>
                  </w:pPr>
                </w:p>
              </w:tc>
              <w:tc>
                <w:tcPr>
                  <w:tcW w:w="595" w:type="dxa"/>
                  <w:tcBorders>
                    <w:top w:val="single" w:color="auto" w:sz="4" w:space="0"/>
                    <w:left w:val="single" w:color="auto" w:sz="4" w:space="0"/>
                    <w:bottom w:val="single" w:color="auto" w:sz="4" w:space="0"/>
                    <w:right w:val="single" w:color="auto" w:sz="4" w:space="0"/>
                  </w:tcBorders>
                  <w:shd w:val="clear" w:color="auto" w:fill="auto"/>
                  <w:vAlign w:val="center"/>
                </w:tcPr>
                <w:p w14:paraId="0EFF9EE4">
                  <w:pPr>
                    <w:keepNext w:val="0"/>
                    <w:keepLines w:val="0"/>
                    <w:widowControl/>
                    <w:suppressLineNumbers w:val="0"/>
                    <w:adjustRightInd w:val="0"/>
                    <w:snapToGrid w:val="0"/>
                    <w:spacing w:before="0" w:beforeAutospacing="0" w:after="0" w:afterAutospacing="0" w:line="264" w:lineRule="auto"/>
                    <w:ind w:left="0" w:right="0"/>
                    <w:jc w:val="center"/>
                    <w:rPr>
                      <w:rFonts w:hint="eastAsia" w:ascii="Times New Roman" w:hAnsi="Times New Roman" w:eastAsia="宋体" w:cs="Times New Roman"/>
                      <w:snapToGrid w:val="0"/>
                      <w:sz w:val="18"/>
                      <w:szCs w:val="18"/>
                      <w:highlight w:val="none"/>
                      <w:lang w:val="en-US" w:eastAsia="zh-CN"/>
                    </w:rPr>
                  </w:pPr>
                  <w:r>
                    <w:rPr>
                      <w:rFonts w:hint="eastAsia" w:ascii="Times New Roman" w:hAnsi="Times New Roman" w:eastAsia="宋体" w:cs="Times New Roman"/>
                      <w:snapToGrid w:val="0"/>
                      <w:sz w:val="18"/>
                      <w:szCs w:val="18"/>
                      <w:highlight w:val="none"/>
                      <w:lang w:val="en-US" w:eastAsia="zh-CN"/>
                    </w:rPr>
                    <w:t>SS</w:t>
                  </w:r>
                </w:p>
              </w:tc>
              <w:tc>
                <w:tcPr>
                  <w:tcW w:w="609" w:type="dxa"/>
                  <w:vMerge w:val="continue"/>
                  <w:tcBorders>
                    <w:left w:val="single" w:color="auto" w:sz="4" w:space="0"/>
                    <w:right w:val="single" w:color="auto" w:sz="4" w:space="0"/>
                  </w:tcBorders>
                  <w:vAlign w:val="center"/>
                </w:tcPr>
                <w:p w14:paraId="012410DF">
                  <w:pPr>
                    <w:keepNext w:val="0"/>
                    <w:keepLines w:val="0"/>
                    <w:suppressLineNumbers w:val="0"/>
                    <w:snapToGrid w:val="0"/>
                    <w:spacing w:before="0" w:beforeAutospacing="0" w:after="0" w:afterAutospacing="0" w:line="264" w:lineRule="auto"/>
                    <w:ind w:left="0" w:right="0"/>
                    <w:jc w:val="center"/>
                    <w:rPr>
                      <w:rFonts w:hint="default" w:ascii="Times New Roman" w:hAnsi="Times New Roman" w:eastAsia="宋体" w:cs="Times New Roman"/>
                      <w:sz w:val="18"/>
                      <w:szCs w:val="18"/>
                      <w:highlight w:val="none"/>
                    </w:rPr>
                  </w:pPr>
                </w:p>
              </w:tc>
              <w:tc>
                <w:tcPr>
                  <w:tcW w:w="699" w:type="dxa"/>
                  <w:tcBorders>
                    <w:top w:val="single" w:color="auto" w:sz="4" w:space="0"/>
                    <w:left w:val="single" w:color="auto" w:sz="4" w:space="0"/>
                    <w:bottom w:val="single" w:color="auto" w:sz="4" w:space="0"/>
                    <w:right w:val="single" w:color="auto" w:sz="4" w:space="0"/>
                  </w:tcBorders>
                  <w:shd w:val="clear" w:color="auto" w:fill="auto"/>
                  <w:vAlign w:val="center"/>
                </w:tcPr>
                <w:p w14:paraId="7DA9BB0F">
                  <w:pPr>
                    <w:keepNext w:val="0"/>
                    <w:keepLines w:val="0"/>
                    <w:widowControl/>
                    <w:suppressLineNumbers w:val="0"/>
                    <w:snapToGrid w:val="0"/>
                    <w:spacing w:before="0" w:beforeAutospacing="0" w:after="0" w:afterAutospacing="0" w:line="264" w:lineRule="auto"/>
                    <w:ind w:left="0" w:right="0"/>
                    <w:jc w:val="center"/>
                    <w:rPr>
                      <w:rFonts w:hint="eastAsia" w:ascii="Times New Roman" w:hAnsi="Times New Roman" w:eastAsia="宋体" w:cs="Times New Roman"/>
                      <w:kern w:val="0"/>
                      <w:sz w:val="18"/>
                      <w:szCs w:val="18"/>
                      <w:highlight w:val="none"/>
                      <w:lang w:val="en-US" w:eastAsia="zh-CN" w:bidi="ar-SA"/>
                    </w:rPr>
                  </w:pPr>
                  <w:r>
                    <w:rPr>
                      <w:rFonts w:hint="eastAsia" w:ascii="Times New Roman" w:hAnsi="Times New Roman" w:eastAsia="宋体" w:cs="Times New Roman"/>
                      <w:kern w:val="0"/>
                      <w:sz w:val="18"/>
                      <w:szCs w:val="18"/>
                      <w:highlight w:val="none"/>
                      <w:lang w:val="en-US" w:eastAsia="zh-CN"/>
                    </w:rPr>
                    <w:t>80</w:t>
                  </w:r>
                </w:p>
              </w:tc>
              <w:tc>
                <w:tcPr>
                  <w:tcW w:w="777" w:type="dxa"/>
                  <w:tcBorders>
                    <w:top w:val="single" w:color="auto" w:sz="4" w:space="0"/>
                    <w:left w:val="single" w:color="auto" w:sz="4" w:space="0"/>
                    <w:bottom w:val="single" w:color="auto" w:sz="4" w:space="0"/>
                    <w:right w:val="single" w:color="auto" w:sz="4" w:space="0"/>
                  </w:tcBorders>
                  <w:shd w:val="clear" w:color="auto" w:fill="auto"/>
                  <w:vAlign w:val="center"/>
                </w:tcPr>
                <w:p w14:paraId="39164650">
                  <w:pPr>
                    <w:keepNext w:val="0"/>
                    <w:keepLines w:val="0"/>
                    <w:widowControl/>
                    <w:suppressLineNumbers w:val="0"/>
                    <w:snapToGrid w:val="0"/>
                    <w:spacing w:before="0" w:beforeAutospacing="0" w:after="0" w:afterAutospacing="0" w:line="264" w:lineRule="auto"/>
                    <w:ind w:left="0" w:right="0"/>
                    <w:jc w:val="center"/>
                    <w:rPr>
                      <w:rFonts w:hint="eastAsia" w:ascii="Times New Roman" w:hAnsi="Times New Roman" w:eastAsia="宋体" w:cs="Times New Roman"/>
                      <w:kern w:val="0"/>
                      <w:sz w:val="18"/>
                      <w:szCs w:val="18"/>
                      <w:highlight w:val="none"/>
                      <w:lang w:val="en-US" w:eastAsia="zh-CN"/>
                    </w:rPr>
                  </w:pPr>
                  <w:r>
                    <w:rPr>
                      <w:rFonts w:hint="eastAsia" w:cs="Times New Roman"/>
                      <w:kern w:val="0"/>
                      <w:sz w:val="18"/>
                      <w:szCs w:val="18"/>
                      <w:highlight w:val="none"/>
                      <w:lang w:val="en-US" w:eastAsia="zh-CN"/>
                    </w:rPr>
                    <w:t>0.029</w:t>
                  </w:r>
                </w:p>
              </w:tc>
              <w:tc>
                <w:tcPr>
                  <w:tcW w:w="630" w:type="dxa"/>
                  <w:tcBorders>
                    <w:left w:val="single" w:color="auto" w:sz="4" w:space="0"/>
                    <w:right w:val="single" w:color="auto" w:sz="4" w:space="0"/>
                  </w:tcBorders>
                  <w:shd w:val="clear" w:color="auto" w:fill="auto"/>
                  <w:vAlign w:val="center"/>
                </w:tcPr>
                <w:p w14:paraId="0905E59A">
                  <w:pPr>
                    <w:keepNext w:val="0"/>
                    <w:keepLines w:val="0"/>
                    <w:suppressLineNumbers w:val="0"/>
                    <w:snapToGrid w:val="0"/>
                    <w:spacing w:before="0" w:beforeAutospacing="0" w:after="0" w:afterAutospacing="0" w:line="264" w:lineRule="auto"/>
                    <w:ind w:left="0" w:right="0"/>
                    <w:jc w:val="center"/>
                    <w:rPr>
                      <w:rFonts w:hint="eastAsia" w:ascii="Times New Roman" w:hAnsi="Times New Roman" w:eastAsia="宋体" w:cs="Times New Roman"/>
                      <w:sz w:val="18"/>
                      <w:szCs w:val="18"/>
                      <w:highlight w:val="none"/>
                      <w:lang w:val="en-US" w:eastAsia="zh-CN"/>
                    </w:rPr>
                  </w:pPr>
                  <w:r>
                    <w:rPr>
                      <w:rFonts w:hint="eastAsia" w:ascii="Times New Roman" w:hAnsi="Times New Roman" w:eastAsia="宋体" w:cs="Times New Roman"/>
                      <w:sz w:val="18"/>
                      <w:szCs w:val="18"/>
                      <w:highlight w:val="none"/>
                      <w:lang w:val="en-US" w:eastAsia="zh-CN"/>
                    </w:rPr>
                    <w:t>/</w:t>
                  </w:r>
                </w:p>
              </w:tc>
              <w:tc>
                <w:tcPr>
                  <w:tcW w:w="477" w:type="dxa"/>
                  <w:tcBorders>
                    <w:left w:val="single" w:color="auto" w:sz="4" w:space="0"/>
                    <w:right w:val="single" w:color="auto" w:sz="4" w:space="0"/>
                  </w:tcBorders>
                  <w:shd w:val="clear" w:color="auto" w:fill="auto"/>
                  <w:vAlign w:val="center"/>
                </w:tcPr>
                <w:p w14:paraId="350BE6DB">
                  <w:pPr>
                    <w:keepNext w:val="0"/>
                    <w:keepLines w:val="0"/>
                    <w:suppressLineNumbers w:val="0"/>
                    <w:snapToGrid w:val="0"/>
                    <w:spacing w:before="0" w:beforeAutospacing="0" w:after="0" w:afterAutospacing="0" w:line="264" w:lineRule="auto"/>
                    <w:ind w:left="0" w:right="0"/>
                    <w:jc w:val="center"/>
                    <w:rPr>
                      <w:rFonts w:hint="eastAsia" w:ascii="Times New Roman" w:hAnsi="Times New Roman" w:eastAsia="宋体" w:cs="Times New Roman"/>
                      <w:sz w:val="18"/>
                      <w:szCs w:val="18"/>
                      <w:highlight w:val="none"/>
                      <w:lang w:val="en-US" w:eastAsia="zh-CN"/>
                    </w:rPr>
                  </w:pPr>
                  <w:r>
                    <w:rPr>
                      <w:rFonts w:hint="eastAsia" w:ascii="Times New Roman" w:hAnsi="Times New Roman" w:eastAsia="宋体" w:cs="Times New Roman"/>
                      <w:sz w:val="18"/>
                      <w:szCs w:val="18"/>
                      <w:highlight w:val="none"/>
                      <w:lang w:val="en-US" w:eastAsia="zh-CN"/>
                    </w:rPr>
                    <w:t>/</w:t>
                  </w:r>
                </w:p>
              </w:tc>
              <w:tc>
                <w:tcPr>
                  <w:tcW w:w="611" w:type="dxa"/>
                  <w:vMerge w:val="continue"/>
                  <w:tcBorders>
                    <w:left w:val="single" w:color="auto" w:sz="4" w:space="0"/>
                    <w:right w:val="single" w:color="auto" w:sz="4" w:space="0"/>
                  </w:tcBorders>
                  <w:vAlign w:val="center"/>
                </w:tcPr>
                <w:p w14:paraId="0A94A579">
                  <w:pPr>
                    <w:keepNext w:val="0"/>
                    <w:keepLines w:val="0"/>
                    <w:suppressLineNumbers w:val="0"/>
                    <w:snapToGrid w:val="0"/>
                    <w:spacing w:before="0" w:beforeAutospacing="0" w:after="0" w:afterAutospacing="0" w:line="264" w:lineRule="auto"/>
                    <w:ind w:left="0" w:right="0"/>
                    <w:jc w:val="center"/>
                    <w:rPr>
                      <w:rFonts w:hint="default" w:ascii="Times New Roman" w:hAnsi="Times New Roman" w:eastAsia="宋体" w:cs="Times New Roman"/>
                      <w:kern w:val="0"/>
                      <w:sz w:val="18"/>
                      <w:szCs w:val="18"/>
                      <w:highlight w:val="none"/>
                    </w:rPr>
                  </w:pPr>
                </w:p>
              </w:tc>
              <w:tc>
                <w:tcPr>
                  <w:tcW w:w="679" w:type="dxa"/>
                  <w:tcBorders>
                    <w:top w:val="single" w:color="auto" w:sz="4" w:space="0"/>
                    <w:left w:val="single" w:color="auto" w:sz="4" w:space="0"/>
                    <w:bottom w:val="single" w:color="auto" w:sz="4" w:space="0"/>
                    <w:right w:val="single" w:color="auto" w:sz="4" w:space="0"/>
                  </w:tcBorders>
                  <w:vAlign w:val="center"/>
                </w:tcPr>
                <w:p w14:paraId="295BE4D9">
                  <w:pPr>
                    <w:keepNext w:val="0"/>
                    <w:keepLines w:val="0"/>
                    <w:widowControl/>
                    <w:suppressLineNumbers w:val="0"/>
                    <w:snapToGrid w:val="0"/>
                    <w:spacing w:before="0" w:beforeAutospacing="0" w:after="0" w:afterAutospacing="0" w:line="264" w:lineRule="auto"/>
                    <w:ind w:left="0" w:right="0"/>
                    <w:jc w:val="center"/>
                    <w:rPr>
                      <w:rFonts w:hint="eastAsia" w:ascii="Times New Roman" w:hAnsi="Times New Roman" w:eastAsia="宋体" w:cs="Times New Roman"/>
                      <w:kern w:val="0"/>
                      <w:sz w:val="18"/>
                      <w:szCs w:val="18"/>
                      <w:highlight w:val="none"/>
                      <w:lang w:val="en-US" w:eastAsia="zh-CN"/>
                    </w:rPr>
                  </w:pPr>
                  <w:r>
                    <w:rPr>
                      <w:rFonts w:hint="eastAsia" w:ascii="Times New Roman" w:hAnsi="Times New Roman" w:eastAsia="宋体" w:cs="Times New Roman"/>
                      <w:kern w:val="0"/>
                      <w:sz w:val="18"/>
                      <w:szCs w:val="18"/>
                      <w:highlight w:val="none"/>
                      <w:lang w:val="en-US" w:eastAsia="zh-CN"/>
                    </w:rPr>
                    <w:t>80</w:t>
                  </w:r>
                </w:p>
              </w:tc>
              <w:tc>
                <w:tcPr>
                  <w:tcW w:w="723" w:type="dxa"/>
                  <w:tcBorders>
                    <w:top w:val="single" w:color="auto" w:sz="4" w:space="0"/>
                    <w:left w:val="single" w:color="auto" w:sz="4" w:space="0"/>
                    <w:bottom w:val="single" w:color="auto" w:sz="4" w:space="0"/>
                    <w:right w:val="single" w:color="auto" w:sz="4" w:space="0"/>
                  </w:tcBorders>
                  <w:vAlign w:val="center"/>
                </w:tcPr>
                <w:p w14:paraId="565A450A">
                  <w:pPr>
                    <w:keepNext w:val="0"/>
                    <w:keepLines w:val="0"/>
                    <w:widowControl/>
                    <w:suppressLineNumbers w:val="0"/>
                    <w:snapToGrid w:val="0"/>
                    <w:spacing w:before="0" w:beforeAutospacing="0" w:after="0" w:afterAutospacing="0" w:line="264" w:lineRule="auto"/>
                    <w:ind w:left="0" w:right="0"/>
                    <w:jc w:val="center"/>
                    <w:rPr>
                      <w:rFonts w:hint="eastAsia" w:ascii="Times New Roman" w:hAnsi="Times New Roman" w:eastAsia="宋体" w:cs="Times New Roman"/>
                      <w:kern w:val="0"/>
                      <w:sz w:val="18"/>
                      <w:szCs w:val="18"/>
                      <w:highlight w:val="none"/>
                      <w:lang w:val="en-US" w:eastAsia="zh-CN"/>
                    </w:rPr>
                  </w:pPr>
                  <w:r>
                    <w:rPr>
                      <w:rFonts w:hint="eastAsia" w:cs="Times New Roman"/>
                      <w:kern w:val="0"/>
                      <w:sz w:val="18"/>
                      <w:szCs w:val="18"/>
                      <w:highlight w:val="none"/>
                      <w:lang w:val="en-US" w:eastAsia="zh-CN"/>
                    </w:rPr>
                    <w:t>0.029</w:t>
                  </w:r>
                </w:p>
              </w:tc>
              <w:tc>
                <w:tcPr>
                  <w:tcW w:w="481" w:type="dxa"/>
                  <w:vMerge w:val="continue"/>
                  <w:tcBorders>
                    <w:left w:val="single" w:color="auto" w:sz="4" w:space="0"/>
                    <w:right w:val="single" w:color="auto" w:sz="4" w:space="0"/>
                  </w:tcBorders>
                  <w:vAlign w:val="center"/>
                </w:tcPr>
                <w:p w14:paraId="5E1FADFA">
                  <w:pPr>
                    <w:keepNext w:val="0"/>
                    <w:keepLines w:val="0"/>
                    <w:suppressLineNumbers w:val="0"/>
                    <w:snapToGrid w:val="0"/>
                    <w:spacing w:before="0" w:beforeAutospacing="0" w:after="0" w:afterAutospacing="0" w:line="264" w:lineRule="auto"/>
                    <w:ind w:left="0" w:right="0"/>
                    <w:jc w:val="center"/>
                    <w:rPr>
                      <w:rFonts w:hint="default" w:ascii="Times New Roman" w:hAnsi="Times New Roman" w:eastAsia="宋体" w:cs="Times New Roman"/>
                      <w:kern w:val="0"/>
                      <w:sz w:val="18"/>
                      <w:szCs w:val="18"/>
                      <w:highlight w:val="none"/>
                    </w:rPr>
                  </w:pPr>
                </w:p>
              </w:tc>
            </w:tr>
            <w:tr w14:paraId="515827A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jc w:val="center"/>
              </w:trPr>
              <w:tc>
                <w:tcPr>
                  <w:tcW w:w="580" w:type="dxa"/>
                  <w:vMerge w:val="continue"/>
                  <w:tcBorders>
                    <w:left w:val="single" w:color="auto" w:sz="4" w:space="0"/>
                    <w:right w:val="single" w:color="auto" w:sz="4" w:space="0"/>
                  </w:tcBorders>
                  <w:vAlign w:val="center"/>
                </w:tcPr>
                <w:p w14:paraId="5205AD5A">
                  <w:pPr>
                    <w:keepNext w:val="0"/>
                    <w:keepLines w:val="0"/>
                    <w:widowControl/>
                    <w:suppressLineNumbers w:val="0"/>
                    <w:adjustRightInd w:val="0"/>
                    <w:snapToGrid w:val="0"/>
                    <w:spacing w:before="0" w:beforeAutospacing="0" w:after="0" w:afterAutospacing="0" w:line="264" w:lineRule="auto"/>
                    <w:ind w:left="0" w:right="0"/>
                    <w:jc w:val="center"/>
                    <w:rPr>
                      <w:rFonts w:hint="default" w:ascii="Times New Roman" w:hAnsi="Times New Roman" w:eastAsia="宋体" w:cs="Times New Roman"/>
                      <w:snapToGrid w:val="0"/>
                      <w:sz w:val="18"/>
                      <w:szCs w:val="18"/>
                      <w:highlight w:val="none"/>
                    </w:rPr>
                  </w:pPr>
                </w:p>
              </w:tc>
              <w:tc>
                <w:tcPr>
                  <w:tcW w:w="423" w:type="dxa"/>
                  <w:vMerge w:val="continue"/>
                  <w:tcBorders>
                    <w:left w:val="single" w:color="auto" w:sz="4" w:space="0"/>
                    <w:right w:val="single" w:color="auto" w:sz="4" w:space="0"/>
                  </w:tcBorders>
                  <w:vAlign w:val="center"/>
                </w:tcPr>
                <w:p w14:paraId="3071FC30">
                  <w:pPr>
                    <w:keepNext w:val="0"/>
                    <w:keepLines w:val="0"/>
                    <w:widowControl/>
                    <w:suppressLineNumbers w:val="0"/>
                    <w:adjustRightInd w:val="0"/>
                    <w:snapToGrid w:val="0"/>
                    <w:spacing w:before="0" w:beforeAutospacing="0" w:after="0" w:afterAutospacing="0" w:line="264" w:lineRule="auto"/>
                    <w:ind w:left="0" w:right="0"/>
                    <w:jc w:val="center"/>
                    <w:rPr>
                      <w:rFonts w:hint="default" w:ascii="Times New Roman" w:hAnsi="Times New Roman" w:eastAsia="宋体" w:cs="Times New Roman"/>
                      <w:snapToGrid w:val="0"/>
                      <w:sz w:val="18"/>
                      <w:szCs w:val="18"/>
                      <w:highlight w:val="none"/>
                    </w:rPr>
                  </w:pPr>
                </w:p>
              </w:tc>
              <w:tc>
                <w:tcPr>
                  <w:tcW w:w="1031" w:type="dxa"/>
                  <w:vMerge w:val="restart"/>
                  <w:tcBorders>
                    <w:left w:val="single" w:color="auto" w:sz="4" w:space="0"/>
                    <w:right w:val="single" w:color="auto" w:sz="4" w:space="0"/>
                  </w:tcBorders>
                  <w:vAlign w:val="center"/>
                </w:tcPr>
                <w:p w14:paraId="0D09C138">
                  <w:pPr>
                    <w:keepNext w:val="0"/>
                    <w:keepLines w:val="0"/>
                    <w:widowControl/>
                    <w:suppressLineNumbers w:val="0"/>
                    <w:adjustRightInd w:val="0"/>
                    <w:snapToGrid w:val="0"/>
                    <w:spacing w:before="0" w:beforeAutospacing="0" w:after="0" w:afterAutospacing="0" w:line="264" w:lineRule="auto"/>
                    <w:ind w:left="0" w:right="0"/>
                    <w:jc w:val="center"/>
                    <w:rPr>
                      <w:rFonts w:hint="eastAsia" w:ascii="Times New Roman" w:hAnsi="Times New Roman" w:eastAsia="宋体" w:cs="Times New Roman"/>
                      <w:snapToGrid w:val="0"/>
                      <w:sz w:val="18"/>
                      <w:szCs w:val="18"/>
                      <w:highlight w:val="none"/>
                      <w:lang w:val="en-US" w:eastAsia="zh-CN"/>
                    </w:rPr>
                  </w:pPr>
                  <w:r>
                    <w:rPr>
                      <w:rFonts w:hint="eastAsia" w:cs="Times New Roman"/>
                      <w:snapToGrid w:val="0"/>
                      <w:sz w:val="18"/>
                      <w:szCs w:val="18"/>
                      <w:highlight w:val="none"/>
                      <w:lang w:val="en-US" w:eastAsia="zh-CN"/>
                    </w:rPr>
                    <w:t>实验动物中心</w:t>
                  </w:r>
                  <w:r>
                    <w:rPr>
                      <w:rFonts w:hint="eastAsia" w:ascii="Times New Roman" w:hAnsi="Times New Roman" w:eastAsia="宋体" w:cs="Times New Roman"/>
                      <w:snapToGrid w:val="0"/>
                      <w:sz w:val="18"/>
                      <w:szCs w:val="18"/>
                      <w:highlight w:val="none"/>
                      <w:lang w:val="en-US" w:eastAsia="zh-CN"/>
                    </w:rPr>
                    <w:t>软水</w:t>
                  </w:r>
                  <w:r>
                    <w:rPr>
                      <w:rFonts w:hint="eastAsia" w:ascii="Times New Roman" w:hAnsi="Times New Roman" w:eastAsia="宋体" w:cs="Times New Roman"/>
                      <w:snapToGrid w:val="0"/>
                      <w:sz w:val="18"/>
                      <w:szCs w:val="18"/>
                      <w:highlight w:val="none"/>
                    </w:rPr>
                    <w:t>制备浓水</w:t>
                  </w:r>
                  <w:r>
                    <w:rPr>
                      <w:rFonts w:hint="eastAsia" w:ascii="Times New Roman" w:hAnsi="Times New Roman" w:eastAsia="宋体" w:cs="Times New Roman"/>
                      <w:snapToGrid w:val="0"/>
                      <w:sz w:val="18"/>
                      <w:szCs w:val="18"/>
                      <w:highlight w:val="none"/>
                      <w:lang w:eastAsia="zh-CN"/>
                    </w:rPr>
                    <w:t>、</w:t>
                  </w:r>
                  <w:r>
                    <w:rPr>
                      <w:rFonts w:hint="eastAsia" w:ascii="Times New Roman" w:hAnsi="Times New Roman" w:eastAsia="宋体" w:cs="Times New Roman"/>
                      <w:snapToGrid w:val="0"/>
                      <w:sz w:val="18"/>
                      <w:szCs w:val="18"/>
                      <w:highlight w:val="none"/>
                      <w:lang w:val="en-US" w:eastAsia="zh-CN"/>
                    </w:rPr>
                    <w:t>反冲洗废水</w:t>
                  </w:r>
                </w:p>
              </w:tc>
              <w:tc>
                <w:tcPr>
                  <w:tcW w:w="595" w:type="dxa"/>
                  <w:tcBorders>
                    <w:top w:val="single" w:color="auto" w:sz="4" w:space="0"/>
                    <w:left w:val="single" w:color="auto" w:sz="4" w:space="0"/>
                    <w:bottom w:val="single" w:color="auto" w:sz="4" w:space="0"/>
                    <w:right w:val="single" w:color="auto" w:sz="4" w:space="0"/>
                  </w:tcBorders>
                  <w:shd w:val="clear" w:color="auto" w:fill="auto"/>
                  <w:vAlign w:val="center"/>
                </w:tcPr>
                <w:p w14:paraId="092DF941">
                  <w:pPr>
                    <w:keepNext w:val="0"/>
                    <w:keepLines w:val="0"/>
                    <w:widowControl/>
                    <w:suppressLineNumbers w:val="0"/>
                    <w:adjustRightInd w:val="0"/>
                    <w:snapToGrid w:val="0"/>
                    <w:spacing w:before="0" w:beforeAutospacing="0" w:after="0" w:afterAutospacing="0" w:line="264" w:lineRule="auto"/>
                    <w:ind w:left="0" w:right="0"/>
                    <w:jc w:val="center"/>
                    <w:rPr>
                      <w:rFonts w:hint="eastAsia" w:ascii="Times New Roman" w:hAnsi="Times New Roman" w:eastAsia="宋体" w:cs="Times New Roman"/>
                      <w:snapToGrid w:val="0"/>
                      <w:kern w:val="2"/>
                      <w:sz w:val="18"/>
                      <w:szCs w:val="18"/>
                      <w:highlight w:val="none"/>
                      <w:lang w:val="en-US" w:eastAsia="zh-CN" w:bidi="ar-SA"/>
                    </w:rPr>
                  </w:pPr>
                  <w:r>
                    <w:rPr>
                      <w:rFonts w:hint="default" w:ascii="Times New Roman" w:hAnsi="Times New Roman" w:eastAsia="宋体" w:cs="Times New Roman"/>
                      <w:snapToGrid w:val="0"/>
                      <w:sz w:val="18"/>
                      <w:szCs w:val="18"/>
                      <w:highlight w:val="none"/>
                    </w:rPr>
                    <w:t>COD</w:t>
                  </w:r>
                  <w:r>
                    <w:rPr>
                      <w:rFonts w:hint="default" w:ascii="Times New Roman" w:hAnsi="Times New Roman" w:eastAsia="宋体" w:cs="Times New Roman"/>
                      <w:snapToGrid w:val="0"/>
                      <w:sz w:val="18"/>
                      <w:szCs w:val="18"/>
                      <w:highlight w:val="none"/>
                      <w:vertAlign w:val="subscript"/>
                    </w:rPr>
                    <w:t>Cr</w:t>
                  </w:r>
                </w:p>
              </w:tc>
              <w:tc>
                <w:tcPr>
                  <w:tcW w:w="609" w:type="dxa"/>
                  <w:vMerge w:val="restart"/>
                  <w:tcBorders>
                    <w:left w:val="single" w:color="auto" w:sz="4" w:space="0"/>
                    <w:right w:val="single" w:color="auto" w:sz="4" w:space="0"/>
                  </w:tcBorders>
                  <w:vAlign w:val="center"/>
                </w:tcPr>
                <w:p w14:paraId="6680E6C3">
                  <w:pPr>
                    <w:keepNext w:val="0"/>
                    <w:keepLines w:val="0"/>
                    <w:suppressLineNumbers w:val="0"/>
                    <w:snapToGrid w:val="0"/>
                    <w:spacing w:before="0" w:beforeAutospacing="0" w:after="0" w:afterAutospacing="0" w:line="264" w:lineRule="auto"/>
                    <w:ind w:left="0" w:right="0"/>
                    <w:jc w:val="center"/>
                    <w:rPr>
                      <w:rFonts w:hint="default" w:ascii="Times New Roman" w:hAnsi="Times New Roman" w:eastAsia="宋体" w:cs="Times New Roman"/>
                      <w:sz w:val="18"/>
                      <w:szCs w:val="18"/>
                      <w:highlight w:val="none"/>
                    </w:rPr>
                  </w:pPr>
                  <w:r>
                    <w:rPr>
                      <w:rFonts w:hint="eastAsia" w:ascii="Times New Roman" w:hAnsi="Times New Roman" w:eastAsia="宋体" w:cs="Times New Roman"/>
                      <w:sz w:val="18"/>
                      <w:szCs w:val="18"/>
                      <w:highlight w:val="none"/>
                      <w:lang w:val="en-US" w:eastAsia="zh-CN"/>
                    </w:rPr>
                    <w:t>1475.5</w:t>
                  </w:r>
                </w:p>
              </w:tc>
              <w:tc>
                <w:tcPr>
                  <w:tcW w:w="699" w:type="dxa"/>
                  <w:tcBorders>
                    <w:top w:val="single" w:color="auto" w:sz="4" w:space="0"/>
                    <w:left w:val="single" w:color="auto" w:sz="4" w:space="0"/>
                    <w:bottom w:val="single" w:color="auto" w:sz="4" w:space="0"/>
                    <w:right w:val="single" w:color="auto" w:sz="4" w:space="0"/>
                  </w:tcBorders>
                  <w:shd w:val="clear" w:color="auto" w:fill="auto"/>
                  <w:vAlign w:val="center"/>
                </w:tcPr>
                <w:p w14:paraId="199A0843">
                  <w:pPr>
                    <w:keepNext w:val="0"/>
                    <w:keepLines w:val="0"/>
                    <w:widowControl/>
                    <w:suppressLineNumbers w:val="0"/>
                    <w:snapToGrid w:val="0"/>
                    <w:spacing w:before="0" w:beforeAutospacing="0" w:after="0" w:afterAutospacing="0" w:line="264" w:lineRule="auto"/>
                    <w:ind w:left="0" w:right="0"/>
                    <w:jc w:val="center"/>
                    <w:rPr>
                      <w:rFonts w:hint="eastAsia" w:ascii="Times New Roman" w:hAnsi="Times New Roman" w:eastAsia="宋体" w:cs="Times New Roman"/>
                      <w:kern w:val="0"/>
                      <w:sz w:val="18"/>
                      <w:szCs w:val="18"/>
                      <w:highlight w:val="none"/>
                      <w:lang w:val="en-US" w:eastAsia="zh-CN" w:bidi="ar-SA"/>
                    </w:rPr>
                  </w:pPr>
                  <w:r>
                    <w:rPr>
                      <w:rFonts w:hint="eastAsia" w:ascii="Times New Roman" w:hAnsi="Times New Roman" w:eastAsia="宋体" w:cs="Times New Roman"/>
                      <w:kern w:val="0"/>
                      <w:sz w:val="18"/>
                      <w:szCs w:val="18"/>
                      <w:highlight w:val="none"/>
                      <w:lang w:val="en-US" w:eastAsia="zh-CN"/>
                    </w:rPr>
                    <w:t>100</w:t>
                  </w:r>
                </w:p>
              </w:tc>
              <w:tc>
                <w:tcPr>
                  <w:tcW w:w="777" w:type="dxa"/>
                  <w:tcBorders>
                    <w:top w:val="single" w:color="auto" w:sz="4" w:space="0"/>
                    <w:left w:val="single" w:color="auto" w:sz="4" w:space="0"/>
                    <w:bottom w:val="single" w:color="auto" w:sz="4" w:space="0"/>
                    <w:right w:val="single" w:color="auto" w:sz="4" w:space="0"/>
                  </w:tcBorders>
                  <w:shd w:val="clear" w:color="auto" w:fill="auto"/>
                  <w:vAlign w:val="center"/>
                </w:tcPr>
                <w:p w14:paraId="429D4E43">
                  <w:pPr>
                    <w:keepNext w:val="0"/>
                    <w:keepLines w:val="0"/>
                    <w:widowControl/>
                    <w:suppressLineNumbers w:val="0"/>
                    <w:snapToGrid w:val="0"/>
                    <w:spacing w:before="0" w:beforeAutospacing="0" w:after="0" w:afterAutospacing="0" w:line="264" w:lineRule="auto"/>
                    <w:ind w:left="0" w:right="0"/>
                    <w:jc w:val="center"/>
                    <w:rPr>
                      <w:rFonts w:hint="eastAsia" w:ascii="Times New Roman" w:hAnsi="Times New Roman" w:eastAsia="宋体" w:cs="Times New Roman"/>
                      <w:kern w:val="0"/>
                      <w:sz w:val="18"/>
                      <w:szCs w:val="18"/>
                      <w:highlight w:val="none"/>
                      <w:lang w:val="en-US" w:eastAsia="zh-CN" w:bidi="ar-SA"/>
                    </w:rPr>
                  </w:pPr>
                  <w:r>
                    <w:rPr>
                      <w:rFonts w:hint="eastAsia" w:ascii="Times New Roman" w:hAnsi="Times New Roman" w:eastAsia="宋体" w:cs="Times New Roman"/>
                      <w:kern w:val="0"/>
                      <w:sz w:val="18"/>
                      <w:szCs w:val="18"/>
                      <w:highlight w:val="none"/>
                      <w:lang w:val="en-US" w:eastAsia="zh-CN"/>
                    </w:rPr>
                    <w:t>0.148</w:t>
                  </w:r>
                </w:p>
              </w:tc>
              <w:tc>
                <w:tcPr>
                  <w:tcW w:w="630" w:type="dxa"/>
                  <w:tcBorders>
                    <w:left w:val="single" w:color="auto" w:sz="4" w:space="0"/>
                    <w:right w:val="single" w:color="auto" w:sz="4" w:space="0"/>
                  </w:tcBorders>
                  <w:shd w:val="clear" w:color="auto" w:fill="auto"/>
                  <w:vAlign w:val="center"/>
                </w:tcPr>
                <w:p w14:paraId="54B37C58">
                  <w:pPr>
                    <w:keepNext w:val="0"/>
                    <w:keepLines w:val="0"/>
                    <w:suppressLineNumbers w:val="0"/>
                    <w:snapToGrid w:val="0"/>
                    <w:spacing w:before="0" w:beforeAutospacing="0" w:after="0" w:afterAutospacing="0" w:line="264" w:lineRule="auto"/>
                    <w:ind w:left="0" w:right="0"/>
                    <w:jc w:val="center"/>
                    <w:rPr>
                      <w:rFonts w:hint="default" w:ascii="Times New Roman" w:hAnsi="Times New Roman" w:eastAsia="宋体" w:cs="Times New Roman"/>
                      <w:kern w:val="2"/>
                      <w:sz w:val="18"/>
                      <w:szCs w:val="18"/>
                      <w:highlight w:val="none"/>
                      <w:lang w:val="en-US" w:eastAsia="zh-CN" w:bidi="ar-SA"/>
                    </w:rPr>
                  </w:pPr>
                  <w:r>
                    <w:rPr>
                      <w:rFonts w:hint="eastAsia" w:ascii="Times New Roman" w:hAnsi="Times New Roman" w:eastAsia="宋体" w:cs="Times New Roman"/>
                      <w:sz w:val="18"/>
                      <w:szCs w:val="18"/>
                      <w:highlight w:val="none"/>
                      <w:lang w:val="en-US" w:eastAsia="zh-CN"/>
                    </w:rPr>
                    <w:t>/</w:t>
                  </w:r>
                </w:p>
              </w:tc>
              <w:tc>
                <w:tcPr>
                  <w:tcW w:w="477" w:type="dxa"/>
                  <w:tcBorders>
                    <w:left w:val="single" w:color="auto" w:sz="4" w:space="0"/>
                    <w:right w:val="single" w:color="auto" w:sz="4" w:space="0"/>
                  </w:tcBorders>
                  <w:shd w:val="clear" w:color="auto" w:fill="auto"/>
                  <w:vAlign w:val="center"/>
                </w:tcPr>
                <w:p w14:paraId="49011E00">
                  <w:pPr>
                    <w:keepNext w:val="0"/>
                    <w:keepLines w:val="0"/>
                    <w:suppressLineNumbers w:val="0"/>
                    <w:snapToGrid w:val="0"/>
                    <w:spacing w:before="0" w:beforeAutospacing="0" w:after="0" w:afterAutospacing="0" w:line="264" w:lineRule="auto"/>
                    <w:ind w:left="0" w:right="0"/>
                    <w:jc w:val="center"/>
                    <w:rPr>
                      <w:rFonts w:hint="default" w:ascii="Times New Roman" w:hAnsi="Times New Roman" w:eastAsia="宋体" w:cs="Times New Roman"/>
                      <w:kern w:val="0"/>
                      <w:sz w:val="18"/>
                      <w:szCs w:val="18"/>
                      <w:highlight w:val="none"/>
                      <w:lang w:val="en-US" w:eastAsia="zh-CN" w:bidi="ar-SA"/>
                    </w:rPr>
                  </w:pPr>
                  <w:r>
                    <w:rPr>
                      <w:rFonts w:hint="eastAsia" w:ascii="Times New Roman" w:hAnsi="Times New Roman" w:eastAsia="宋体" w:cs="Times New Roman"/>
                      <w:sz w:val="18"/>
                      <w:szCs w:val="18"/>
                      <w:highlight w:val="none"/>
                      <w:lang w:val="en-US" w:eastAsia="zh-CN"/>
                    </w:rPr>
                    <w:t>/</w:t>
                  </w:r>
                </w:p>
              </w:tc>
              <w:tc>
                <w:tcPr>
                  <w:tcW w:w="611" w:type="dxa"/>
                  <w:vMerge w:val="restart"/>
                  <w:tcBorders>
                    <w:left w:val="single" w:color="auto" w:sz="4" w:space="0"/>
                    <w:right w:val="single" w:color="auto" w:sz="4" w:space="0"/>
                  </w:tcBorders>
                  <w:vAlign w:val="center"/>
                </w:tcPr>
                <w:p w14:paraId="1F8059A3">
                  <w:pPr>
                    <w:keepNext w:val="0"/>
                    <w:keepLines w:val="0"/>
                    <w:suppressLineNumbers w:val="0"/>
                    <w:snapToGrid w:val="0"/>
                    <w:spacing w:before="0" w:beforeAutospacing="0" w:after="0" w:afterAutospacing="0" w:line="264" w:lineRule="auto"/>
                    <w:ind w:left="0" w:right="0"/>
                    <w:jc w:val="center"/>
                    <w:rPr>
                      <w:rFonts w:hint="default" w:ascii="Times New Roman" w:hAnsi="Times New Roman" w:eastAsia="宋体" w:cs="Times New Roman"/>
                      <w:kern w:val="0"/>
                      <w:sz w:val="18"/>
                      <w:szCs w:val="18"/>
                      <w:highlight w:val="none"/>
                    </w:rPr>
                  </w:pPr>
                  <w:r>
                    <w:rPr>
                      <w:rFonts w:hint="eastAsia" w:ascii="Times New Roman" w:hAnsi="Times New Roman" w:eastAsia="宋体" w:cs="Times New Roman"/>
                      <w:sz w:val="18"/>
                      <w:szCs w:val="18"/>
                      <w:highlight w:val="none"/>
                      <w:lang w:val="en-US" w:eastAsia="zh-CN"/>
                    </w:rPr>
                    <w:t>1475.5</w:t>
                  </w:r>
                </w:p>
              </w:tc>
              <w:tc>
                <w:tcPr>
                  <w:tcW w:w="679" w:type="dxa"/>
                  <w:tcBorders>
                    <w:top w:val="single" w:color="auto" w:sz="4" w:space="0"/>
                    <w:left w:val="single" w:color="auto" w:sz="4" w:space="0"/>
                    <w:bottom w:val="single" w:color="auto" w:sz="4" w:space="0"/>
                    <w:right w:val="single" w:color="auto" w:sz="4" w:space="0"/>
                  </w:tcBorders>
                  <w:vAlign w:val="center"/>
                </w:tcPr>
                <w:p w14:paraId="496B7D38">
                  <w:pPr>
                    <w:keepNext w:val="0"/>
                    <w:keepLines w:val="0"/>
                    <w:widowControl/>
                    <w:suppressLineNumbers w:val="0"/>
                    <w:snapToGrid w:val="0"/>
                    <w:spacing w:before="0" w:beforeAutospacing="0" w:after="0" w:afterAutospacing="0" w:line="264" w:lineRule="auto"/>
                    <w:ind w:left="0" w:right="0"/>
                    <w:jc w:val="center"/>
                    <w:rPr>
                      <w:rFonts w:hint="default" w:ascii="Times New Roman" w:hAnsi="Times New Roman" w:eastAsia="宋体" w:cs="Times New Roman"/>
                      <w:kern w:val="0"/>
                      <w:sz w:val="18"/>
                      <w:szCs w:val="18"/>
                      <w:highlight w:val="none"/>
                    </w:rPr>
                  </w:pPr>
                  <w:r>
                    <w:rPr>
                      <w:rFonts w:hint="eastAsia" w:ascii="Times New Roman" w:hAnsi="Times New Roman" w:eastAsia="宋体" w:cs="Times New Roman"/>
                      <w:kern w:val="0"/>
                      <w:sz w:val="18"/>
                      <w:szCs w:val="18"/>
                      <w:highlight w:val="none"/>
                      <w:lang w:val="en-US" w:eastAsia="zh-CN"/>
                    </w:rPr>
                    <w:t>100</w:t>
                  </w:r>
                </w:p>
              </w:tc>
              <w:tc>
                <w:tcPr>
                  <w:tcW w:w="723" w:type="dxa"/>
                  <w:tcBorders>
                    <w:top w:val="single" w:color="auto" w:sz="4" w:space="0"/>
                    <w:left w:val="single" w:color="auto" w:sz="4" w:space="0"/>
                    <w:bottom w:val="single" w:color="auto" w:sz="4" w:space="0"/>
                    <w:right w:val="single" w:color="auto" w:sz="4" w:space="0"/>
                  </w:tcBorders>
                  <w:vAlign w:val="center"/>
                </w:tcPr>
                <w:p w14:paraId="7B80F8BD">
                  <w:pPr>
                    <w:keepNext w:val="0"/>
                    <w:keepLines w:val="0"/>
                    <w:widowControl/>
                    <w:suppressLineNumbers w:val="0"/>
                    <w:snapToGrid w:val="0"/>
                    <w:spacing w:before="0" w:beforeAutospacing="0" w:after="0" w:afterAutospacing="0" w:line="264" w:lineRule="auto"/>
                    <w:ind w:left="0" w:right="0"/>
                    <w:jc w:val="center"/>
                    <w:rPr>
                      <w:rFonts w:hint="eastAsia" w:ascii="Times New Roman" w:hAnsi="Times New Roman" w:eastAsia="宋体" w:cs="Times New Roman"/>
                      <w:kern w:val="0"/>
                      <w:sz w:val="18"/>
                      <w:szCs w:val="18"/>
                      <w:highlight w:val="none"/>
                      <w:lang w:val="en-US" w:eastAsia="zh-CN"/>
                    </w:rPr>
                  </w:pPr>
                  <w:r>
                    <w:rPr>
                      <w:rFonts w:hint="eastAsia" w:ascii="Times New Roman" w:hAnsi="Times New Roman" w:eastAsia="宋体" w:cs="Times New Roman"/>
                      <w:kern w:val="0"/>
                      <w:sz w:val="18"/>
                      <w:szCs w:val="18"/>
                      <w:highlight w:val="none"/>
                      <w:lang w:val="en-US" w:eastAsia="zh-CN"/>
                    </w:rPr>
                    <w:t>0.148</w:t>
                  </w:r>
                </w:p>
              </w:tc>
              <w:tc>
                <w:tcPr>
                  <w:tcW w:w="481" w:type="dxa"/>
                  <w:vMerge w:val="restart"/>
                  <w:tcBorders>
                    <w:left w:val="single" w:color="auto" w:sz="4" w:space="0"/>
                    <w:right w:val="single" w:color="auto" w:sz="4" w:space="0"/>
                  </w:tcBorders>
                  <w:vAlign w:val="center"/>
                </w:tcPr>
                <w:p w14:paraId="11B19316">
                  <w:pPr>
                    <w:keepNext w:val="0"/>
                    <w:keepLines w:val="0"/>
                    <w:suppressLineNumbers w:val="0"/>
                    <w:snapToGrid w:val="0"/>
                    <w:spacing w:before="0" w:beforeAutospacing="0" w:after="0" w:afterAutospacing="0" w:line="264" w:lineRule="auto"/>
                    <w:ind w:left="0" w:right="0"/>
                    <w:jc w:val="center"/>
                    <w:rPr>
                      <w:rFonts w:hint="default" w:ascii="Times New Roman" w:hAnsi="Times New Roman" w:eastAsia="宋体" w:cs="Times New Roman"/>
                      <w:kern w:val="0"/>
                      <w:sz w:val="18"/>
                      <w:szCs w:val="18"/>
                      <w:highlight w:val="none"/>
                    </w:rPr>
                  </w:pPr>
                  <w:r>
                    <w:rPr>
                      <w:rFonts w:hint="eastAsia" w:cs="Times New Roman"/>
                      <w:kern w:val="0"/>
                      <w:sz w:val="18"/>
                      <w:szCs w:val="18"/>
                      <w:highlight w:val="none"/>
                      <w:lang w:val="en-US" w:eastAsia="zh-CN"/>
                    </w:rPr>
                    <w:t>2080</w:t>
                  </w:r>
                </w:p>
              </w:tc>
            </w:tr>
            <w:tr w14:paraId="4EEE13A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jc w:val="center"/>
              </w:trPr>
              <w:tc>
                <w:tcPr>
                  <w:tcW w:w="580" w:type="dxa"/>
                  <w:vMerge w:val="continue"/>
                  <w:tcBorders>
                    <w:left w:val="single" w:color="auto" w:sz="4" w:space="0"/>
                    <w:right w:val="single" w:color="auto" w:sz="4" w:space="0"/>
                  </w:tcBorders>
                  <w:vAlign w:val="center"/>
                </w:tcPr>
                <w:p w14:paraId="7472FFBF">
                  <w:pPr>
                    <w:keepNext w:val="0"/>
                    <w:keepLines w:val="0"/>
                    <w:widowControl/>
                    <w:suppressLineNumbers w:val="0"/>
                    <w:adjustRightInd w:val="0"/>
                    <w:snapToGrid w:val="0"/>
                    <w:spacing w:before="0" w:beforeAutospacing="0" w:after="0" w:afterAutospacing="0" w:line="264" w:lineRule="auto"/>
                    <w:ind w:left="0" w:right="0"/>
                    <w:jc w:val="center"/>
                    <w:rPr>
                      <w:rFonts w:hint="default" w:ascii="Times New Roman" w:hAnsi="Times New Roman" w:eastAsia="宋体" w:cs="Times New Roman"/>
                      <w:snapToGrid w:val="0"/>
                      <w:sz w:val="18"/>
                      <w:szCs w:val="18"/>
                      <w:highlight w:val="none"/>
                    </w:rPr>
                  </w:pPr>
                </w:p>
              </w:tc>
              <w:tc>
                <w:tcPr>
                  <w:tcW w:w="423" w:type="dxa"/>
                  <w:vMerge w:val="continue"/>
                  <w:tcBorders>
                    <w:left w:val="single" w:color="auto" w:sz="4" w:space="0"/>
                    <w:right w:val="single" w:color="auto" w:sz="4" w:space="0"/>
                  </w:tcBorders>
                  <w:vAlign w:val="center"/>
                </w:tcPr>
                <w:p w14:paraId="662C2BDB">
                  <w:pPr>
                    <w:keepNext w:val="0"/>
                    <w:keepLines w:val="0"/>
                    <w:widowControl/>
                    <w:suppressLineNumbers w:val="0"/>
                    <w:adjustRightInd w:val="0"/>
                    <w:snapToGrid w:val="0"/>
                    <w:spacing w:before="0" w:beforeAutospacing="0" w:after="0" w:afterAutospacing="0" w:line="264" w:lineRule="auto"/>
                    <w:ind w:left="0" w:right="0"/>
                    <w:jc w:val="center"/>
                    <w:rPr>
                      <w:rFonts w:hint="default" w:ascii="Times New Roman" w:hAnsi="Times New Roman" w:eastAsia="宋体" w:cs="Times New Roman"/>
                      <w:snapToGrid w:val="0"/>
                      <w:sz w:val="18"/>
                      <w:szCs w:val="18"/>
                      <w:highlight w:val="none"/>
                    </w:rPr>
                  </w:pPr>
                </w:p>
              </w:tc>
              <w:tc>
                <w:tcPr>
                  <w:tcW w:w="1031" w:type="dxa"/>
                  <w:vMerge w:val="continue"/>
                  <w:tcBorders>
                    <w:left w:val="single" w:color="auto" w:sz="4" w:space="0"/>
                    <w:right w:val="single" w:color="auto" w:sz="4" w:space="0"/>
                  </w:tcBorders>
                  <w:vAlign w:val="center"/>
                </w:tcPr>
                <w:p w14:paraId="062D96EA">
                  <w:pPr>
                    <w:keepNext w:val="0"/>
                    <w:keepLines w:val="0"/>
                    <w:widowControl/>
                    <w:suppressLineNumbers w:val="0"/>
                    <w:adjustRightInd w:val="0"/>
                    <w:snapToGrid w:val="0"/>
                    <w:spacing w:before="0" w:beforeAutospacing="0" w:after="0" w:afterAutospacing="0" w:line="264" w:lineRule="auto"/>
                    <w:ind w:left="0" w:right="0"/>
                    <w:jc w:val="center"/>
                    <w:rPr>
                      <w:rFonts w:hint="eastAsia" w:ascii="Times New Roman" w:hAnsi="Times New Roman" w:eastAsia="宋体" w:cs="Times New Roman"/>
                      <w:snapToGrid w:val="0"/>
                      <w:sz w:val="18"/>
                      <w:szCs w:val="18"/>
                      <w:highlight w:val="none"/>
                      <w:lang w:val="en-US" w:eastAsia="zh-CN"/>
                    </w:rPr>
                  </w:pPr>
                </w:p>
              </w:tc>
              <w:tc>
                <w:tcPr>
                  <w:tcW w:w="595" w:type="dxa"/>
                  <w:tcBorders>
                    <w:top w:val="single" w:color="auto" w:sz="4" w:space="0"/>
                    <w:left w:val="single" w:color="auto" w:sz="4" w:space="0"/>
                    <w:bottom w:val="single" w:color="auto" w:sz="4" w:space="0"/>
                    <w:right w:val="single" w:color="auto" w:sz="4" w:space="0"/>
                  </w:tcBorders>
                  <w:shd w:val="clear" w:color="auto" w:fill="auto"/>
                  <w:vAlign w:val="center"/>
                </w:tcPr>
                <w:p w14:paraId="21935793">
                  <w:pPr>
                    <w:keepNext w:val="0"/>
                    <w:keepLines w:val="0"/>
                    <w:widowControl/>
                    <w:suppressLineNumbers w:val="0"/>
                    <w:adjustRightInd w:val="0"/>
                    <w:snapToGrid w:val="0"/>
                    <w:spacing w:before="0" w:beforeAutospacing="0" w:after="0" w:afterAutospacing="0" w:line="264" w:lineRule="auto"/>
                    <w:ind w:left="0" w:right="0"/>
                    <w:jc w:val="center"/>
                    <w:rPr>
                      <w:rFonts w:hint="eastAsia" w:ascii="Times New Roman" w:hAnsi="Times New Roman" w:eastAsia="宋体" w:cs="Times New Roman"/>
                      <w:snapToGrid w:val="0"/>
                      <w:kern w:val="2"/>
                      <w:sz w:val="18"/>
                      <w:szCs w:val="18"/>
                      <w:highlight w:val="none"/>
                      <w:lang w:val="en-US" w:eastAsia="zh-CN" w:bidi="ar-SA"/>
                    </w:rPr>
                  </w:pPr>
                  <w:r>
                    <w:rPr>
                      <w:rFonts w:hint="eastAsia" w:ascii="Times New Roman" w:hAnsi="Times New Roman" w:eastAsia="宋体" w:cs="Times New Roman"/>
                      <w:snapToGrid w:val="0"/>
                      <w:sz w:val="18"/>
                      <w:szCs w:val="18"/>
                      <w:highlight w:val="none"/>
                      <w:lang w:val="en-US" w:eastAsia="zh-CN"/>
                    </w:rPr>
                    <w:t>SS</w:t>
                  </w:r>
                </w:p>
              </w:tc>
              <w:tc>
                <w:tcPr>
                  <w:tcW w:w="609" w:type="dxa"/>
                  <w:vMerge w:val="continue"/>
                  <w:tcBorders>
                    <w:left w:val="single" w:color="auto" w:sz="4" w:space="0"/>
                    <w:right w:val="single" w:color="auto" w:sz="4" w:space="0"/>
                  </w:tcBorders>
                  <w:vAlign w:val="center"/>
                </w:tcPr>
                <w:p w14:paraId="06030E5C">
                  <w:pPr>
                    <w:keepNext w:val="0"/>
                    <w:keepLines w:val="0"/>
                    <w:suppressLineNumbers w:val="0"/>
                    <w:snapToGrid w:val="0"/>
                    <w:spacing w:before="0" w:beforeAutospacing="0" w:after="0" w:afterAutospacing="0" w:line="264" w:lineRule="auto"/>
                    <w:ind w:left="0" w:right="0"/>
                    <w:jc w:val="center"/>
                    <w:rPr>
                      <w:rFonts w:hint="default" w:ascii="Times New Roman" w:hAnsi="Times New Roman" w:eastAsia="宋体" w:cs="Times New Roman"/>
                      <w:sz w:val="18"/>
                      <w:szCs w:val="18"/>
                      <w:highlight w:val="none"/>
                    </w:rPr>
                  </w:pPr>
                </w:p>
              </w:tc>
              <w:tc>
                <w:tcPr>
                  <w:tcW w:w="699" w:type="dxa"/>
                  <w:tcBorders>
                    <w:top w:val="single" w:color="auto" w:sz="4" w:space="0"/>
                    <w:left w:val="single" w:color="auto" w:sz="4" w:space="0"/>
                    <w:bottom w:val="single" w:color="auto" w:sz="4" w:space="0"/>
                    <w:right w:val="single" w:color="auto" w:sz="4" w:space="0"/>
                  </w:tcBorders>
                  <w:shd w:val="clear" w:color="auto" w:fill="auto"/>
                  <w:vAlign w:val="center"/>
                </w:tcPr>
                <w:p w14:paraId="7DC50ACF">
                  <w:pPr>
                    <w:keepNext w:val="0"/>
                    <w:keepLines w:val="0"/>
                    <w:widowControl/>
                    <w:suppressLineNumbers w:val="0"/>
                    <w:snapToGrid w:val="0"/>
                    <w:spacing w:before="0" w:beforeAutospacing="0" w:after="0" w:afterAutospacing="0" w:line="264" w:lineRule="auto"/>
                    <w:ind w:left="0" w:right="0"/>
                    <w:jc w:val="center"/>
                    <w:rPr>
                      <w:rFonts w:hint="eastAsia" w:ascii="Times New Roman" w:hAnsi="Times New Roman" w:eastAsia="宋体" w:cs="Times New Roman"/>
                      <w:kern w:val="0"/>
                      <w:sz w:val="18"/>
                      <w:szCs w:val="18"/>
                      <w:highlight w:val="none"/>
                      <w:lang w:val="en-US" w:eastAsia="zh-CN" w:bidi="ar-SA"/>
                    </w:rPr>
                  </w:pPr>
                  <w:r>
                    <w:rPr>
                      <w:rFonts w:hint="eastAsia" w:ascii="Times New Roman" w:hAnsi="Times New Roman" w:eastAsia="宋体" w:cs="Times New Roman"/>
                      <w:kern w:val="0"/>
                      <w:sz w:val="18"/>
                      <w:szCs w:val="18"/>
                      <w:highlight w:val="none"/>
                      <w:lang w:val="en-US" w:eastAsia="zh-CN"/>
                    </w:rPr>
                    <w:t>100</w:t>
                  </w:r>
                </w:p>
              </w:tc>
              <w:tc>
                <w:tcPr>
                  <w:tcW w:w="777" w:type="dxa"/>
                  <w:tcBorders>
                    <w:top w:val="single" w:color="auto" w:sz="4" w:space="0"/>
                    <w:left w:val="single" w:color="auto" w:sz="4" w:space="0"/>
                    <w:bottom w:val="single" w:color="auto" w:sz="4" w:space="0"/>
                    <w:right w:val="single" w:color="auto" w:sz="4" w:space="0"/>
                  </w:tcBorders>
                  <w:shd w:val="clear" w:color="auto" w:fill="auto"/>
                  <w:vAlign w:val="center"/>
                </w:tcPr>
                <w:p w14:paraId="1C22C31A">
                  <w:pPr>
                    <w:keepNext w:val="0"/>
                    <w:keepLines w:val="0"/>
                    <w:widowControl/>
                    <w:suppressLineNumbers w:val="0"/>
                    <w:snapToGrid w:val="0"/>
                    <w:spacing w:before="0" w:beforeAutospacing="0" w:after="0" w:afterAutospacing="0" w:line="264" w:lineRule="auto"/>
                    <w:ind w:left="0" w:right="0"/>
                    <w:jc w:val="center"/>
                    <w:rPr>
                      <w:rFonts w:hint="eastAsia" w:ascii="Times New Roman" w:hAnsi="Times New Roman" w:eastAsia="宋体" w:cs="Times New Roman"/>
                      <w:kern w:val="0"/>
                      <w:sz w:val="18"/>
                      <w:szCs w:val="18"/>
                      <w:highlight w:val="none"/>
                      <w:lang w:val="en-US" w:eastAsia="zh-CN" w:bidi="ar-SA"/>
                    </w:rPr>
                  </w:pPr>
                  <w:r>
                    <w:rPr>
                      <w:rFonts w:hint="eastAsia" w:ascii="Times New Roman" w:hAnsi="Times New Roman" w:eastAsia="宋体" w:cs="Times New Roman"/>
                      <w:kern w:val="0"/>
                      <w:sz w:val="18"/>
                      <w:szCs w:val="18"/>
                      <w:highlight w:val="none"/>
                      <w:lang w:val="en-US" w:eastAsia="zh-CN"/>
                    </w:rPr>
                    <w:t>0.148</w:t>
                  </w:r>
                </w:p>
              </w:tc>
              <w:tc>
                <w:tcPr>
                  <w:tcW w:w="630" w:type="dxa"/>
                  <w:tcBorders>
                    <w:left w:val="single" w:color="auto" w:sz="4" w:space="0"/>
                    <w:right w:val="single" w:color="auto" w:sz="4" w:space="0"/>
                  </w:tcBorders>
                  <w:shd w:val="clear" w:color="auto" w:fill="auto"/>
                  <w:vAlign w:val="center"/>
                </w:tcPr>
                <w:p w14:paraId="69AAF688">
                  <w:pPr>
                    <w:keepNext w:val="0"/>
                    <w:keepLines w:val="0"/>
                    <w:suppressLineNumbers w:val="0"/>
                    <w:snapToGrid w:val="0"/>
                    <w:spacing w:before="0" w:beforeAutospacing="0" w:after="0" w:afterAutospacing="0" w:line="264" w:lineRule="auto"/>
                    <w:ind w:left="0" w:right="0"/>
                    <w:jc w:val="center"/>
                    <w:rPr>
                      <w:rFonts w:hint="default" w:ascii="Times New Roman" w:hAnsi="Times New Roman" w:eastAsia="宋体" w:cs="Times New Roman"/>
                      <w:kern w:val="2"/>
                      <w:sz w:val="18"/>
                      <w:szCs w:val="18"/>
                      <w:highlight w:val="none"/>
                      <w:lang w:val="en-US" w:eastAsia="zh-CN" w:bidi="ar-SA"/>
                    </w:rPr>
                  </w:pPr>
                  <w:r>
                    <w:rPr>
                      <w:rFonts w:hint="eastAsia" w:ascii="Times New Roman" w:hAnsi="Times New Roman" w:eastAsia="宋体" w:cs="Times New Roman"/>
                      <w:sz w:val="18"/>
                      <w:szCs w:val="18"/>
                      <w:highlight w:val="none"/>
                      <w:lang w:val="en-US" w:eastAsia="zh-CN"/>
                    </w:rPr>
                    <w:t>/</w:t>
                  </w:r>
                </w:p>
              </w:tc>
              <w:tc>
                <w:tcPr>
                  <w:tcW w:w="477" w:type="dxa"/>
                  <w:tcBorders>
                    <w:left w:val="single" w:color="auto" w:sz="4" w:space="0"/>
                    <w:right w:val="single" w:color="auto" w:sz="4" w:space="0"/>
                  </w:tcBorders>
                  <w:shd w:val="clear" w:color="auto" w:fill="auto"/>
                  <w:vAlign w:val="center"/>
                </w:tcPr>
                <w:p w14:paraId="243FAED4">
                  <w:pPr>
                    <w:keepNext w:val="0"/>
                    <w:keepLines w:val="0"/>
                    <w:suppressLineNumbers w:val="0"/>
                    <w:snapToGrid w:val="0"/>
                    <w:spacing w:before="0" w:beforeAutospacing="0" w:after="0" w:afterAutospacing="0" w:line="264" w:lineRule="auto"/>
                    <w:ind w:left="0" w:right="0"/>
                    <w:jc w:val="center"/>
                    <w:rPr>
                      <w:rFonts w:hint="default" w:ascii="Times New Roman" w:hAnsi="Times New Roman" w:eastAsia="宋体" w:cs="Times New Roman"/>
                      <w:kern w:val="0"/>
                      <w:sz w:val="18"/>
                      <w:szCs w:val="18"/>
                      <w:highlight w:val="none"/>
                      <w:lang w:val="en-US" w:eastAsia="zh-CN" w:bidi="ar-SA"/>
                    </w:rPr>
                  </w:pPr>
                  <w:r>
                    <w:rPr>
                      <w:rFonts w:hint="eastAsia" w:ascii="Times New Roman" w:hAnsi="Times New Roman" w:eastAsia="宋体" w:cs="Times New Roman"/>
                      <w:sz w:val="18"/>
                      <w:szCs w:val="18"/>
                      <w:highlight w:val="none"/>
                      <w:lang w:val="en-US" w:eastAsia="zh-CN"/>
                    </w:rPr>
                    <w:t>/</w:t>
                  </w:r>
                </w:p>
              </w:tc>
              <w:tc>
                <w:tcPr>
                  <w:tcW w:w="611" w:type="dxa"/>
                  <w:vMerge w:val="continue"/>
                  <w:tcBorders>
                    <w:left w:val="single" w:color="auto" w:sz="4" w:space="0"/>
                    <w:right w:val="single" w:color="auto" w:sz="4" w:space="0"/>
                  </w:tcBorders>
                  <w:vAlign w:val="center"/>
                </w:tcPr>
                <w:p w14:paraId="6FB46EBA">
                  <w:pPr>
                    <w:keepNext w:val="0"/>
                    <w:keepLines w:val="0"/>
                    <w:suppressLineNumbers w:val="0"/>
                    <w:snapToGrid w:val="0"/>
                    <w:spacing w:before="0" w:beforeAutospacing="0" w:after="0" w:afterAutospacing="0" w:line="264" w:lineRule="auto"/>
                    <w:ind w:left="0" w:right="0"/>
                    <w:jc w:val="center"/>
                    <w:rPr>
                      <w:rFonts w:hint="default" w:ascii="Times New Roman" w:hAnsi="Times New Roman" w:eastAsia="宋体" w:cs="Times New Roman"/>
                      <w:kern w:val="0"/>
                      <w:sz w:val="18"/>
                      <w:szCs w:val="18"/>
                      <w:highlight w:val="none"/>
                    </w:rPr>
                  </w:pPr>
                </w:p>
              </w:tc>
              <w:tc>
                <w:tcPr>
                  <w:tcW w:w="679" w:type="dxa"/>
                  <w:tcBorders>
                    <w:top w:val="single" w:color="auto" w:sz="4" w:space="0"/>
                    <w:left w:val="single" w:color="auto" w:sz="4" w:space="0"/>
                    <w:bottom w:val="single" w:color="auto" w:sz="4" w:space="0"/>
                    <w:right w:val="single" w:color="auto" w:sz="4" w:space="0"/>
                  </w:tcBorders>
                  <w:vAlign w:val="center"/>
                </w:tcPr>
                <w:p w14:paraId="6EAD94DD">
                  <w:pPr>
                    <w:keepNext w:val="0"/>
                    <w:keepLines w:val="0"/>
                    <w:widowControl/>
                    <w:suppressLineNumbers w:val="0"/>
                    <w:snapToGrid w:val="0"/>
                    <w:spacing w:before="0" w:beforeAutospacing="0" w:after="0" w:afterAutospacing="0" w:line="264" w:lineRule="auto"/>
                    <w:ind w:left="0" w:right="0"/>
                    <w:jc w:val="center"/>
                    <w:rPr>
                      <w:rFonts w:hint="default" w:ascii="Times New Roman" w:hAnsi="Times New Roman" w:eastAsia="宋体" w:cs="Times New Roman"/>
                      <w:kern w:val="0"/>
                      <w:sz w:val="18"/>
                      <w:szCs w:val="18"/>
                      <w:highlight w:val="none"/>
                    </w:rPr>
                  </w:pPr>
                  <w:r>
                    <w:rPr>
                      <w:rFonts w:hint="eastAsia" w:ascii="Times New Roman" w:hAnsi="Times New Roman" w:eastAsia="宋体" w:cs="Times New Roman"/>
                      <w:kern w:val="0"/>
                      <w:sz w:val="18"/>
                      <w:szCs w:val="18"/>
                      <w:highlight w:val="none"/>
                      <w:lang w:val="en-US" w:eastAsia="zh-CN"/>
                    </w:rPr>
                    <w:t>100</w:t>
                  </w:r>
                </w:p>
              </w:tc>
              <w:tc>
                <w:tcPr>
                  <w:tcW w:w="723" w:type="dxa"/>
                  <w:tcBorders>
                    <w:top w:val="single" w:color="auto" w:sz="4" w:space="0"/>
                    <w:left w:val="single" w:color="auto" w:sz="4" w:space="0"/>
                    <w:bottom w:val="single" w:color="auto" w:sz="4" w:space="0"/>
                    <w:right w:val="single" w:color="auto" w:sz="4" w:space="0"/>
                  </w:tcBorders>
                  <w:vAlign w:val="center"/>
                </w:tcPr>
                <w:p w14:paraId="2E940546">
                  <w:pPr>
                    <w:keepNext w:val="0"/>
                    <w:keepLines w:val="0"/>
                    <w:widowControl/>
                    <w:suppressLineNumbers w:val="0"/>
                    <w:snapToGrid w:val="0"/>
                    <w:spacing w:before="0" w:beforeAutospacing="0" w:after="0" w:afterAutospacing="0" w:line="264" w:lineRule="auto"/>
                    <w:ind w:left="0" w:right="0"/>
                    <w:jc w:val="center"/>
                    <w:rPr>
                      <w:rFonts w:hint="eastAsia" w:ascii="Times New Roman" w:hAnsi="Times New Roman" w:eastAsia="宋体" w:cs="Times New Roman"/>
                      <w:kern w:val="0"/>
                      <w:sz w:val="18"/>
                      <w:szCs w:val="18"/>
                      <w:highlight w:val="none"/>
                      <w:lang w:val="en-US" w:eastAsia="zh-CN"/>
                    </w:rPr>
                  </w:pPr>
                  <w:r>
                    <w:rPr>
                      <w:rFonts w:hint="eastAsia" w:ascii="Times New Roman" w:hAnsi="Times New Roman" w:eastAsia="宋体" w:cs="Times New Roman"/>
                      <w:kern w:val="0"/>
                      <w:sz w:val="18"/>
                      <w:szCs w:val="18"/>
                      <w:highlight w:val="none"/>
                      <w:lang w:val="en-US" w:eastAsia="zh-CN"/>
                    </w:rPr>
                    <w:t>0.148</w:t>
                  </w:r>
                </w:p>
              </w:tc>
              <w:tc>
                <w:tcPr>
                  <w:tcW w:w="481" w:type="dxa"/>
                  <w:vMerge w:val="continue"/>
                  <w:tcBorders>
                    <w:left w:val="single" w:color="auto" w:sz="4" w:space="0"/>
                    <w:right w:val="single" w:color="auto" w:sz="4" w:space="0"/>
                  </w:tcBorders>
                  <w:vAlign w:val="center"/>
                </w:tcPr>
                <w:p w14:paraId="45D5D7A0">
                  <w:pPr>
                    <w:keepNext w:val="0"/>
                    <w:keepLines w:val="0"/>
                    <w:suppressLineNumbers w:val="0"/>
                    <w:snapToGrid w:val="0"/>
                    <w:spacing w:before="0" w:beforeAutospacing="0" w:after="0" w:afterAutospacing="0" w:line="264" w:lineRule="auto"/>
                    <w:ind w:left="0" w:right="0"/>
                    <w:jc w:val="center"/>
                    <w:rPr>
                      <w:rFonts w:hint="default" w:ascii="Times New Roman" w:hAnsi="Times New Roman" w:eastAsia="宋体" w:cs="Times New Roman"/>
                      <w:kern w:val="0"/>
                      <w:sz w:val="18"/>
                      <w:szCs w:val="18"/>
                      <w:highlight w:val="none"/>
                    </w:rPr>
                  </w:pPr>
                </w:p>
              </w:tc>
            </w:tr>
            <w:tr w14:paraId="232EDA7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jc w:val="center"/>
              </w:trPr>
              <w:tc>
                <w:tcPr>
                  <w:tcW w:w="580" w:type="dxa"/>
                  <w:vMerge w:val="continue"/>
                  <w:tcBorders>
                    <w:left w:val="single" w:color="auto" w:sz="4" w:space="0"/>
                    <w:right w:val="single" w:color="auto" w:sz="4" w:space="0"/>
                  </w:tcBorders>
                  <w:vAlign w:val="center"/>
                </w:tcPr>
                <w:p w14:paraId="5D4EF73D">
                  <w:pPr>
                    <w:keepNext w:val="0"/>
                    <w:keepLines w:val="0"/>
                    <w:widowControl/>
                    <w:suppressLineNumbers w:val="0"/>
                    <w:adjustRightInd w:val="0"/>
                    <w:snapToGrid w:val="0"/>
                    <w:spacing w:before="0" w:beforeAutospacing="0" w:after="0" w:afterAutospacing="0" w:line="264" w:lineRule="auto"/>
                    <w:ind w:left="0" w:right="0"/>
                    <w:jc w:val="center"/>
                    <w:rPr>
                      <w:rFonts w:hint="default" w:ascii="Times New Roman" w:hAnsi="Times New Roman" w:eastAsia="宋体" w:cs="Times New Roman"/>
                      <w:snapToGrid w:val="0"/>
                      <w:sz w:val="18"/>
                      <w:szCs w:val="18"/>
                      <w:highlight w:val="none"/>
                    </w:rPr>
                  </w:pPr>
                </w:p>
              </w:tc>
              <w:tc>
                <w:tcPr>
                  <w:tcW w:w="423" w:type="dxa"/>
                  <w:vMerge w:val="continue"/>
                  <w:tcBorders>
                    <w:left w:val="single" w:color="auto" w:sz="4" w:space="0"/>
                    <w:right w:val="single" w:color="auto" w:sz="4" w:space="0"/>
                  </w:tcBorders>
                  <w:vAlign w:val="center"/>
                </w:tcPr>
                <w:p w14:paraId="1D6A0B2C">
                  <w:pPr>
                    <w:keepNext w:val="0"/>
                    <w:keepLines w:val="0"/>
                    <w:widowControl/>
                    <w:suppressLineNumbers w:val="0"/>
                    <w:adjustRightInd w:val="0"/>
                    <w:snapToGrid w:val="0"/>
                    <w:spacing w:before="0" w:beforeAutospacing="0" w:after="0" w:afterAutospacing="0" w:line="264" w:lineRule="auto"/>
                    <w:ind w:left="0" w:right="0"/>
                    <w:jc w:val="center"/>
                    <w:rPr>
                      <w:rFonts w:hint="default" w:ascii="Times New Roman" w:hAnsi="Times New Roman" w:eastAsia="宋体" w:cs="Times New Roman"/>
                      <w:snapToGrid w:val="0"/>
                      <w:sz w:val="18"/>
                      <w:szCs w:val="18"/>
                      <w:highlight w:val="none"/>
                    </w:rPr>
                  </w:pPr>
                </w:p>
              </w:tc>
              <w:tc>
                <w:tcPr>
                  <w:tcW w:w="1031" w:type="dxa"/>
                  <w:vMerge w:val="restart"/>
                  <w:tcBorders>
                    <w:left w:val="single" w:color="auto" w:sz="4" w:space="0"/>
                    <w:right w:val="single" w:color="auto" w:sz="4" w:space="0"/>
                  </w:tcBorders>
                  <w:vAlign w:val="center"/>
                </w:tcPr>
                <w:p w14:paraId="36B41250">
                  <w:pPr>
                    <w:keepNext w:val="0"/>
                    <w:keepLines w:val="0"/>
                    <w:widowControl/>
                    <w:suppressLineNumbers w:val="0"/>
                    <w:adjustRightInd w:val="0"/>
                    <w:snapToGrid w:val="0"/>
                    <w:spacing w:before="0" w:beforeAutospacing="0" w:after="0" w:afterAutospacing="0" w:line="264" w:lineRule="auto"/>
                    <w:ind w:left="0" w:right="0"/>
                    <w:jc w:val="center"/>
                    <w:rPr>
                      <w:rFonts w:hint="default" w:ascii="Times New Roman" w:hAnsi="Times New Roman" w:eastAsia="宋体" w:cs="Times New Roman"/>
                      <w:snapToGrid w:val="0"/>
                      <w:sz w:val="18"/>
                      <w:szCs w:val="18"/>
                      <w:highlight w:val="none"/>
                      <w:lang w:val="en-US" w:eastAsia="zh-CN"/>
                    </w:rPr>
                  </w:pPr>
                  <w:r>
                    <w:rPr>
                      <w:rFonts w:hint="eastAsia" w:cs="Times New Roman"/>
                      <w:snapToGrid w:val="0"/>
                      <w:sz w:val="18"/>
                      <w:szCs w:val="18"/>
                      <w:highlight w:val="none"/>
                      <w:lang w:val="en-US" w:eastAsia="zh-CN"/>
                    </w:rPr>
                    <w:t>一般实验室灭菌废水</w:t>
                  </w:r>
                </w:p>
              </w:tc>
              <w:tc>
                <w:tcPr>
                  <w:tcW w:w="595" w:type="dxa"/>
                  <w:tcBorders>
                    <w:top w:val="single" w:color="auto" w:sz="4" w:space="0"/>
                    <w:left w:val="single" w:color="auto" w:sz="4" w:space="0"/>
                    <w:bottom w:val="single" w:color="auto" w:sz="4" w:space="0"/>
                    <w:right w:val="single" w:color="auto" w:sz="4" w:space="0"/>
                  </w:tcBorders>
                  <w:shd w:val="clear" w:color="auto" w:fill="auto"/>
                  <w:vAlign w:val="center"/>
                </w:tcPr>
                <w:p w14:paraId="24620618">
                  <w:pPr>
                    <w:keepNext w:val="0"/>
                    <w:keepLines w:val="0"/>
                    <w:widowControl/>
                    <w:suppressLineNumbers w:val="0"/>
                    <w:adjustRightInd w:val="0"/>
                    <w:snapToGrid w:val="0"/>
                    <w:spacing w:before="0" w:beforeAutospacing="0" w:after="0" w:afterAutospacing="0" w:line="264" w:lineRule="auto"/>
                    <w:ind w:left="0" w:right="0"/>
                    <w:jc w:val="center"/>
                    <w:rPr>
                      <w:rFonts w:hint="eastAsia" w:ascii="Times New Roman" w:hAnsi="Times New Roman" w:eastAsia="宋体" w:cs="Times New Roman"/>
                      <w:snapToGrid w:val="0"/>
                      <w:kern w:val="2"/>
                      <w:sz w:val="18"/>
                      <w:szCs w:val="18"/>
                      <w:highlight w:val="none"/>
                      <w:lang w:val="en-US" w:eastAsia="zh-CN" w:bidi="ar-SA"/>
                    </w:rPr>
                  </w:pPr>
                  <w:r>
                    <w:rPr>
                      <w:rFonts w:hint="default" w:ascii="Times New Roman" w:hAnsi="Times New Roman" w:eastAsia="宋体" w:cs="Times New Roman"/>
                      <w:snapToGrid w:val="0"/>
                      <w:sz w:val="18"/>
                      <w:szCs w:val="18"/>
                      <w:highlight w:val="none"/>
                    </w:rPr>
                    <w:t>COD</w:t>
                  </w:r>
                  <w:r>
                    <w:rPr>
                      <w:rFonts w:hint="default" w:ascii="Times New Roman" w:hAnsi="Times New Roman" w:eastAsia="宋体" w:cs="Times New Roman"/>
                      <w:snapToGrid w:val="0"/>
                      <w:sz w:val="18"/>
                      <w:szCs w:val="18"/>
                      <w:highlight w:val="none"/>
                      <w:vertAlign w:val="subscript"/>
                    </w:rPr>
                    <w:t>Cr</w:t>
                  </w:r>
                </w:p>
              </w:tc>
              <w:tc>
                <w:tcPr>
                  <w:tcW w:w="609" w:type="dxa"/>
                  <w:vMerge w:val="restart"/>
                  <w:tcBorders>
                    <w:left w:val="single" w:color="auto" w:sz="4" w:space="0"/>
                    <w:right w:val="single" w:color="auto" w:sz="4" w:space="0"/>
                  </w:tcBorders>
                  <w:vAlign w:val="center"/>
                </w:tcPr>
                <w:p w14:paraId="76332287">
                  <w:pPr>
                    <w:keepNext w:val="0"/>
                    <w:keepLines w:val="0"/>
                    <w:suppressLineNumbers w:val="0"/>
                    <w:snapToGrid w:val="0"/>
                    <w:spacing w:before="0" w:beforeAutospacing="0" w:after="0" w:afterAutospacing="0" w:line="264" w:lineRule="auto"/>
                    <w:ind w:left="0" w:right="0"/>
                    <w:jc w:val="center"/>
                    <w:rPr>
                      <w:rFonts w:hint="default" w:ascii="Times New Roman" w:hAnsi="Times New Roman" w:eastAsia="宋体" w:cs="Times New Roman"/>
                      <w:sz w:val="18"/>
                      <w:szCs w:val="18"/>
                      <w:highlight w:val="none"/>
                      <w:lang w:val="en-US" w:eastAsia="zh-CN"/>
                    </w:rPr>
                  </w:pPr>
                  <w:r>
                    <w:rPr>
                      <w:rFonts w:hint="eastAsia" w:cs="Times New Roman"/>
                      <w:sz w:val="18"/>
                      <w:szCs w:val="18"/>
                      <w:highlight w:val="none"/>
                      <w:lang w:val="en-US" w:eastAsia="zh-CN"/>
                    </w:rPr>
                    <w:t>4810</w:t>
                  </w:r>
                </w:p>
              </w:tc>
              <w:tc>
                <w:tcPr>
                  <w:tcW w:w="699" w:type="dxa"/>
                  <w:tcBorders>
                    <w:top w:val="single" w:color="auto" w:sz="4" w:space="0"/>
                    <w:left w:val="single" w:color="auto" w:sz="4" w:space="0"/>
                    <w:bottom w:val="single" w:color="auto" w:sz="4" w:space="0"/>
                    <w:right w:val="single" w:color="auto" w:sz="4" w:space="0"/>
                  </w:tcBorders>
                  <w:shd w:val="clear" w:color="auto" w:fill="auto"/>
                  <w:vAlign w:val="center"/>
                </w:tcPr>
                <w:p w14:paraId="3CCEFC79">
                  <w:pPr>
                    <w:keepNext w:val="0"/>
                    <w:keepLines w:val="0"/>
                    <w:widowControl/>
                    <w:suppressLineNumbers w:val="0"/>
                    <w:snapToGrid w:val="0"/>
                    <w:spacing w:before="0" w:beforeAutospacing="0" w:after="0" w:afterAutospacing="0" w:line="264" w:lineRule="auto"/>
                    <w:ind w:left="0" w:right="0"/>
                    <w:jc w:val="center"/>
                    <w:rPr>
                      <w:rFonts w:hint="default" w:ascii="Times New Roman" w:hAnsi="Times New Roman" w:eastAsia="宋体" w:cs="Times New Roman"/>
                      <w:kern w:val="0"/>
                      <w:sz w:val="18"/>
                      <w:szCs w:val="18"/>
                      <w:highlight w:val="none"/>
                      <w:lang w:val="en-US" w:eastAsia="zh-CN"/>
                    </w:rPr>
                  </w:pPr>
                  <w:r>
                    <w:rPr>
                      <w:rFonts w:hint="eastAsia" w:cs="Times New Roman"/>
                      <w:kern w:val="0"/>
                      <w:sz w:val="18"/>
                      <w:szCs w:val="18"/>
                      <w:highlight w:val="none"/>
                      <w:lang w:val="en-US" w:eastAsia="zh-CN"/>
                    </w:rPr>
                    <w:t>20</w:t>
                  </w:r>
                </w:p>
              </w:tc>
              <w:tc>
                <w:tcPr>
                  <w:tcW w:w="777" w:type="dxa"/>
                  <w:tcBorders>
                    <w:top w:val="single" w:color="auto" w:sz="4" w:space="0"/>
                    <w:left w:val="single" w:color="auto" w:sz="4" w:space="0"/>
                    <w:bottom w:val="single" w:color="auto" w:sz="4" w:space="0"/>
                    <w:right w:val="single" w:color="auto" w:sz="4" w:space="0"/>
                  </w:tcBorders>
                  <w:shd w:val="clear" w:color="auto" w:fill="auto"/>
                  <w:vAlign w:val="center"/>
                </w:tcPr>
                <w:p w14:paraId="2443B783">
                  <w:pPr>
                    <w:keepNext w:val="0"/>
                    <w:keepLines w:val="0"/>
                    <w:widowControl/>
                    <w:suppressLineNumbers w:val="0"/>
                    <w:snapToGrid w:val="0"/>
                    <w:spacing w:before="0" w:beforeAutospacing="0" w:after="0" w:afterAutospacing="0" w:line="264" w:lineRule="auto"/>
                    <w:ind w:left="0" w:right="0"/>
                    <w:jc w:val="center"/>
                    <w:rPr>
                      <w:rFonts w:hint="default" w:ascii="Times New Roman" w:hAnsi="Times New Roman" w:eastAsia="宋体" w:cs="Times New Roman"/>
                      <w:kern w:val="0"/>
                      <w:sz w:val="18"/>
                      <w:szCs w:val="18"/>
                      <w:highlight w:val="none"/>
                      <w:lang w:val="en-US" w:eastAsia="zh-CN"/>
                    </w:rPr>
                  </w:pPr>
                  <w:r>
                    <w:rPr>
                      <w:rFonts w:hint="eastAsia" w:cs="Times New Roman"/>
                      <w:kern w:val="0"/>
                      <w:sz w:val="18"/>
                      <w:szCs w:val="18"/>
                      <w:highlight w:val="none"/>
                      <w:lang w:val="en-US" w:eastAsia="zh-CN"/>
                    </w:rPr>
                    <w:t>0.096</w:t>
                  </w:r>
                </w:p>
              </w:tc>
              <w:tc>
                <w:tcPr>
                  <w:tcW w:w="630" w:type="dxa"/>
                  <w:tcBorders>
                    <w:left w:val="single" w:color="auto" w:sz="4" w:space="0"/>
                    <w:right w:val="single" w:color="auto" w:sz="4" w:space="0"/>
                  </w:tcBorders>
                  <w:shd w:val="clear" w:color="auto" w:fill="auto"/>
                  <w:vAlign w:val="center"/>
                </w:tcPr>
                <w:p w14:paraId="73606C9C">
                  <w:pPr>
                    <w:keepNext w:val="0"/>
                    <w:keepLines w:val="0"/>
                    <w:suppressLineNumbers w:val="0"/>
                    <w:snapToGrid w:val="0"/>
                    <w:spacing w:before="0" w:beforeAutospacing="0" w:after="0" w:afterAutospacing="0" w:line="264" w:lineRule="auto"/>
                    <w:ind w:left="0" w:right="0"/>
                    <w:jc w:val="center"/>
                    <w:rPr>
                      <w:rFonts w:hint="eastAsia" w:ascii="Times New Roman" w:hAnsi="Times New Roman" w:eastAsia="宋体" w:cs="Times New Roman"/>
                      <w:sz w:val="18"/>
                      <w:szCs w:val="18"/>
                      <w:highlight w:val="none"/>
                      <w:lang w:val="en-US" w:eastAsia="zh-CN"/>
                    </w:rPr>
                  </w:pPr>
                  <w:r>
                    <w:rPr>
                      <w:rFonts w:hint="eastAsia" w:ascii="Times New Roman" w:hAnsi="Times New Roman" w:eastAsia="宋体" w:cs="Times New Roman"/>
                      <w:sz w:val="18"/>
                      <w:szCs w:val="18"/>
                      <w:highlight w:val="none"/>
                      <w:lang w:val="en-US" w:eastAsia="zh-CN"/>
                    </w:rPr>
                    <w:t>/</w:t>
                  </w:r>
                </w:p>
              </w:tc>
              <w:tc>
                <w:tcPr>
                  <w:tcW w:w="477" w:type="dxa"/>
                  <w:tcBorders>
                    <w:left w:val="single" w:color="auto" w:sz="4" w:space="0"/>
                    <w:right w:val="single" w:color="auto" w:sz="4" w:space="0"/>
                  </w:tcBorders>
                  <w:shd w:val="clear" w:color="auto" w:fill="auto"/>
                  <w:vAlign w:val="center"/>
                </w:tcPr>
                <w:p w14:paraId="411356B4">
                  <w:pPr>
                    <w:keepNext w:val="0"/>
                    <w:keepLines w:val="0"/>
                    <w:suppressLineNumbers w:val="0"/>
                    <w:snapToGrid w:val="0"/>
                    <w:spacing w:before="0" w:beforeAutospacing="0" w:after="0" w:afterAutospacing="0" w:line="264" w:lineRule="auto"/>
                    <w:ind w:left="0" w:right="0"/>
                    <w:jc w:val="center"/>
                    <w:rPr>
                      <w:rFonts w:hint="eastAsia" w:ascii="Times New Roman" w:hAnsi="Times New Roman" w:eastAsia="宋体" w:cs="Times New Roman"/>
                      <w:sz w:val="18"/>
                      <w:szCs w:val="18"/>
                      <w:highlight w:val="none"/>
                      <w:lang w:val="en-US" w:eastAsia="zh-CN"/>
                    </w:rPr>
                  </w:pPr>
                  <w:r>
                    <w:rPr>
                      <w:rFonts w:hint="eastAsia" w:ascii="Times New Roman" w:hAnsi="Times New Roman" w:eastAsia="宋体" w:cs="Times New Roman"/>
                      <w:sz w:val="18"/>
                      <w:szCs w:val="18"/>
                      <w:highlight w:val="none"/>
                      <w:lang w:val="en-US" w:eastAsia="zh-CN"/>
                    </w:rPr>
                    <w:t>/</w:t>
                  </w:r>
                </w:p>
              </w:tc>
              <w:tc>
                <w:tcPr>
                  <w:tcW w:w="611" w:type="dxa"/>
                  <w:vMerge w:val="restart"/>
                  <w:tcBorders>
                    <w:left w:val="single" w:color="auto" w:sz="4" w:space="0"/>
                    <w:right w:val="single" w:color="auto" w:sz="4" w:space="0"/>
                  </w:tcBorders>
                  <w:vAlign w:val="center"/>
                </w:tcPr>
                <w:p w14:paraId="0DDB0815">
                  <w:pPr>
                    <w:keepNext w:val="0"/>
                    <w:keepLines w:val="0"/>
                    <w:suppressLineNumbers w:val="0"/>
                    <w:snapToGrid w:val="0"/>
                    <w:spacing w:before="0" w:beforeAutospacing="0" w:after="0" w:afterAutospacing="0" w:line="264" w:lineRule="auto"/>
                    <w:ind w:left="0" w:right="0"/>
                    <w:jc w:val="center"/>
                    <w:rPr>
                      <w:rFonts w:hint="default" w:ascii="Times New Roman" w:hAnsi="Times New Roman" w:eastAsia="宋体" w:cs="Times New Roman"/>
                      <w:kern w:val="0"/>
                      <w:sz w:val="18"/>
                      <w:szCs w:val="18"/>
                      <w:highlight w:val="none"/>
                      <w:lang w:val="en-US" w:eastAsia="zh-CN"/>
                    </w:rPr>
                  </w:pPr>
                  <w:r>
                    <w:rPr>
                      <w:rFonts w:hint="eastAsia" w:cs="Times New Roman"/>
                      <w:kern w:val="0"/>
                      <w:sz w:val="18"/>
                      <w:szCs w:val="18"/>
                      <w:highlight w:val="none"/>
                      <w:lang w:val="en-US" w:eastAsia="zh-CN"/>
                    </w:rPr>
                    <w:t>4810</w:t>
                  </w:r>
                </w:p>
              </w:tc>
              <w:tc>
                <w:tcPr>
                  <w:tcW w:w="679" w:type="dxa"/>
                  <w:tcBorders>
                    <w:top w:val="single" w:color="auto" w:sz="4" w:space="0"/>
                    <w:left w:val="single" w:color="auto" w:sz="4" w:space="0"/>
                    <w:bottom w:val="single" w:color="auto" w:sz="4" w:space="0"/>
                    <w:right w:val="single" w:color="auto" w:sz="4" w:space="0"/>
                  </w:tcBorders>
                  <w:shd w:val="clear" w:color="auto" w:fill="auto"/>
                  <w:vAlign w:val="center"/>
                </w:tcPr>
                <w:p w14:paraId="485BD88B">
                  <w:pPr>
                    <w:keepNext w:val="0"/>
                    <w:keepLines w:val="0"/>
                    <w:widowControl/>
                    <w:suppressLineNumbers w:val="0"/>
                    <w:snapToGrid w:val="0"/>
                    <w:spacing w:before="0" w:beforeAutospacing="0" w:after="0" w:afterAutospacing="0" w:line="264" w:lineRule="auto"/>
                    <w:ind w:left="0" w:right="0"/>
                    <w:jc w:val="center"/>
                    <w:rPr>
                      <w:rFonts w:hint="eastAsia" w:ascii="Times New Roman" w:hAnsi="Times New Roman" w:eastAsia="宋体" w:cs="Times New Roman"/>
                      <w:kern w:val="0"/>
                      <w:sz w:val="18"/>
                      <w:szCs w:val="18"/>
                      <w:highlight w:val="none"/>
                      <w:lang w:val="en-US" w:eastAsia="zh-CN" w:bidi="ar-SA"/>
                    </w:rPr>
                  </w:pPr>
                  <w:r>
                    <w:rPr>
                      <w:rFonts w:hint="eastAsia" w:cs="Times New Roman"/>
                      <w:kern w:val="0"/>
                      <w:sz w:val="18"/>
                      <w:szCs w:val="18"/>
                      <w:highlight w:val="none"/>
                      <w:lang w:val="en-US" w:eastAsia="zh-CN"/>
                    </w:rPr>
                    <w:t>20</w:t>
                  </w:r>
                </w:p>
              </w:tc>
              <w:tc>
                <w:tcPr>
                  <w:tcW w:w="723" w:type="dxa"/>
                  <w:tcBorders>
                    <w:top w:val="single" w:color="auto" w:sz="4" w:space="0"/>
                    <w:left w:val="single" w:color="auto" w:sz="4" w:space="0"/>
                    <w:bottom w:val="single" w:color="auto" w:sz="4" w:space="0"/>
                    <w:right w:val="single" w:color="auto" w:sz="4" w:space="0"/>
                  </w:tcBorders>
                  <w:shd w:val="clear" w:color="auto" w:fill="auto"/>
                  <w:vAlign w:val="center"/>
                </w:tcPr>
                <w:p w14:paraId="71104E86">
                  <w:pPr>
                    <w:keepNext w:val="0"/>
                    <w:keepLines w:val="0"/>
                    <w:widowControl/>
                    <w:suppressLineNumbers w:val="0"/>
                    <w:snapToGrid w:val="0"/>
                    <w:spacing w:before="0" w:beforeAutospacing="0" w:after="0" w:afterAutospacing="0" w:line="264" w:lineRule="auto"/>
                    <w:ind w:left="0" w:right="0"/>
                    <w:jc w:val="center"/>
                    <w:rPr>
                      <w:rFonts w:hint="eastAsia" w:ascii="Times New Roman" w:hAnsi="Times New Roman" w:eastAsia="宋体" w:cs="Times New Roman"/>
                      <w:kern w:val="0"/>
                      <w:sz w:val="18"/>
                      <w:szCs w:val="18"/>
                      <w:highlight w:val="none"/>
                      <w:lang w:val="en-US" w:eastAsia="zh-CN" w:bidi="ar-SA"/>
                    </w:rPr>
                  </w:pPr>
                  <w:r>
                    <w:rPr>
                      <w:rFonts w:hint="eastAsia" w:cs="Times New Roman"/>
                      <w:kern w:val="0"/>
                      <w:sz w:val="18"/>
                      <w:szCs w:val="18"/>
                      <w:highlight w:val="none"/>
                      <w:lang w:val="en-US" w:eastAsia="zh-CN"/>
                    </w:rPr>
                    <w:t>0.096</w:t>
                  </w:r>
                </w:p>
              </w:tc>
              <w:tc>
                <w:tcPr>
                  <w:tcW w:w="481" w:type="dxa"/>
                  <w:vMerge w:val="restart"/>
                  <w:tcBorders>
                    <w:left w:val="single" w:color="auto" w:sz="4" w:space="0"/>
                    <w:right w:val="single" w:color="auto" w:sz="4" w:space="0"/>
                  </w:tcBorders>
                  <w:vAlign w:val="center"/>
                </w:tcPr>
                <w:p w14:paraId="463DEACF">
                  <w:pPr>
                    <w:keepNext w:val="0"/>
                    <w:keepLines w:val="0"/>
                    <w:suppressLineNumbers w:val="0"/>
                    <w:snapToGrid w:val="0"/>
                    <w:spacing w:before="0" w:beforeAutospacing="0" w:after="0" w:afterAutospacing="0" w:line="264" w:lineRule="auto"/>
                    <w:ind w:left="0" w:right="0"/>
                    <w:jc w:val="center"/>
                    <w:rPr>
                      <w:rFonts w:hint="default" w:ascii="Times New Roman" w:hAnsi="Times New Roman" w:eastAsia="宋体" w:cs="Times New Roman"/>
                      <w:kern w:val="0"/>
                      <w:sz w:val="18"/>
                      <w:szCs w:val="18"/>
                      <w:highlight w:val="none"/>
                    </w:rPr>
                  </w:pPr>
                  <w:r>
                    <w:rPr>
                      <w:rFonts w:hint="eastAsia" w:cs="Times New Roman"/>
                      <w:kern w:val="0"/>
                      <w:sz w:val="18"/>
                      <w:szCs w:val="18"/>
                      <w:highlight w:val="none"/>
                      <w:lang w:val="en-US" w:eastAsia="zh-CN"/>
                    </w:rPr>
                    <w:t>2080</w:t>
                  </w:r>
                </w:p>
              </w:tc>
            </w:tr>
            <w:tr w14:paraId="33520B5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jc w:val="center"/>
              </w:trPr>
              <w:tc>
                <w:tcPr>
                  <w:tcW w:w="580" w:type="dxa"/>
                  <w:vMerge w:val="continue"/>
                  <w:tcBorders>
                    <w:left w:val="single" w:color="auto" w:sz="4" w:space="0"/>
                    <w:right w:val="single" w:color="auto" w:sz="4" w:space="0"/>
                  </w:tcBorders>
                  <w:vAlign w:val="center"/>
                </w:tcPr>
                <w:p w14:paraId="77399508">
                  <w:pPr>
                    <w:keepNext w:val="0"/>
                    <w:keepLines w:val="0"/>
                    <w:widowControl/>
                    <w:suppressLineNumbers w:val="0"/>
                    <w:adjustRightInd w:val="0"/>
                    <w:snapToGrid w:val="0"/>
                    <w:spacing w:before="0" w:beforeAutospacing="0" w:after="0" w:afterAutospacing="0" w:line="264" w:lineRule="auto"/>
                    <w:ind w:left="0" w:right="0"/>
                    <w:jc w:val="center"/>
                    <w:rPr>
                      <w:rFonts w:hint="default" w:ascii="Times New Roman" w:hAnsi="Times New Roman" w:eastAsia="宋体" w:cs="Times New Roman"/>
                      <w:snapToGrid w:val="0"/>
                      <w:sz w:val="18"/>
                      <w:szCs w:val="18"/>
                      <w:highlight w:val="none"/>
                    </w:rPr>
                  </w:pPr>
                </w:p>
              </w:tc>
              <w:tc>
                <w:tcPr>
                  <w:tcW w:w="423" w:type="dxa"/>
                  <w:vMerge w:val="continue"/>
                  <w:tcBorders>
                    <w:left w:val="single" w:color="auto" w:sz="4" w:space="0"/>
                    <w:right w:val="single" w:color="auto" w:sz="4" w:space="0"/>
                  </w:tcBorders>
                  <w:vAlign w:val="center"/>
                </w:tcPr>
                <w:p w14:paraId="11828732">
                  <w:pPr>
                    <w:keepNext w:val="0"/>
                    <w:keepLines w:val="0"/>
                    <w:widowControl/>
                    <w:suppressLineNumbers w:val="0"/>
                    <w:adjustRightInd w:val="0"/>
                    <w:snapToGrid w:val="0"/>
                    <w:spacing w:before="0" w:beforeAutospacing="0" w:after="0" w:afterAutospacing="0" w:line="264" w:lineRule="auto"/>
                    <w:ind w:left="0" w:right="0"/>
                    <w:jc w:val="center"/>
                    <w:rPr>
                      <w:rFonts w:hint="default" w:ascii="Times New Roman" w:hAnsi="Times New Roman" w:eastAsia="宋体" w:cs="Times New Roman"/>
                      <w:snapToGrid w:val="0"/>
                      <w:sz w:val="18"/>
                      <w:szCs w:val="18"/>
                      <w:highlight w:val="none"/>
                    </w:rPr>
                  </w:pPr>
                </w:p>
              </w:tc>
              <w:tc>
                <w:tcPr>
                  <w:tcW w:w="1031" w:type="dxa"/>
                  <w:vMerge w:val="continue"/>
                  <w:tcBorders>
                    <w:left w:val="single" w:color="auto" w:sz="4" w:space="0"/>
                    <w:right w:val="single" w:color="auto" w:sz="4" w:space="0"/>
                  </w:tcBorders>
                  <w:vAlign w:val="center"/>
                </w:tcPr>
                <w:p w14:paraId="213F301C">
                  <w:pPr>
                    <w:keepNext w:val="0"/>
                    <w:keepLines w:val="0"/>
                    <w:widowControl/>
                    <w:suppressLineNumbers w:val="0"/>
                    <w:adjustRightInd w:val="0"/>
                    <w:snapToGrid w:val="0"/>
                    <w:spacing w:before="0" w:beforeAutospacing="0" w:after="0" w:afterAutospacing="0" w:line="264" w:lineRule="auto"/>
                    <w:ind w:left="0" w:right="0"/>
                    <w:jc w:val="center"/>
                    <w:rPr>
                      <w:rFonts w:hint="eastAsia" w:cs="Times New Roman"/>
                      <w:snapToGrid w:val="0"/>
                      <w:sz w:val="18"/>
                      <w:szCs w:val="18"/>
                      <w:highlight w:val="none"/>
                      <w:lang w:val="en-US" w:eastAsia="zh-CN"/>
                    </w:rPr>
                  </w:pPr>
                </w:p>
              </w:tc>
              <w:tc>
                <w:tcPr>
                  <w:tcW w:w="595" w:type="dxa"/>
                  <w:tcBorders>
                    <w:top w:val="single" w:color="auto" w:sz="4" w:space="0"/>
                    <w:left w:val="single" w:color="auto" w:sz="4" w:space="0"/>
                    <w:bottom w:val="single" w:color="auto" w:sz="4" w:space="0"/>
                    <w:right w:val="single" w:color="auto" w:sz="4" w:space="0"/>
                  </w:tcBorders>
                  <w:shd w:val="clear" w:color="auto" w:fill="auto"/>
                  <w:vAlign w:val="center"/>
                </w:tcPr>
                <w:p w14:paraId="1BA97FEE">
                  <w:pPr>
                    <w:keepNext w:val="0"/>
                    <w:keepLines w:val="0"/>
                    <w:widowControl/>
                    <w:suppressLineNumbers w:val="0"/>
                    <w:adjustRightInd w:val="0"/>
                    <w:snapToGrid w:val="0"/>
                    <w:spacing w:before="0" w:beforeAutospacing="0" w:after="0" w:afterAutospacing="0" w:line="264" w:lineRule="auto"/>
                    <w:ind w:left="0" w:right="0"/>
                    <w:jc w:val="center"/>
                    <w:rPr>
                      <w:rFonts w:hint="eastAsia" w:ascii="Times New Roman" w:hAnsi="Times New Roman" w:eastAsia="宋体" w:cs="Times New Roman"/>
                      <w:snapToGrid w:val="0"/>
                      <w:kern w:val="2"/>
                      <w:sz w:val="18"/>
                      <w:szCs w:val="18"/>
                      <w:highlight w:val="none"/>
                      <w:lang w:val="en-US" w:eastAsia="zh-CN" w:bidi="ar-SA"/>
                    </w:rPr>
                  </w:pPr>
                  <w:r>
                    <w:rPr>
                      <w:rFonts w:hint="eastAsia" w:ascii="Times New Roman" w:hAnsi="Times New Roman" w:eastAsia="宋体" w:cs="Times New Roman"/>
                      <w:snapToGrid w:val="0"/>
                      <w:sz w:val="18"/>
                      <w:szCs w:val="18"/>
                      <w:highlight w:val="none"/>
                      <w:lang w:val="en-US" w:eastAsia="zh-CN"/>
                    </w:rPr>
                    <w:t>SS</w:t>
                  </w:r>
                </w:p>
              </w:tc>
              <w:tc>
                <w:tcPr>
                  <w:tcW w:w="609" w:type="dxa"/>
                  <w:vMerge w:val="continue"/>
                  <w:tcBorders>
                    <w:left w:val="single" w:color="auto" w:sz="4" w:space="0"/>
                    <w:right w:val="single" w:color="auto" w:sz="4" w:space="0"/>
                  </w:tcBorders>
                  <w:vAlign w:val="center"/>
                </w:tcPr>
                <w:p w14:paraId="35FEFEA1">
                  <w:pPr>
                    <w:keepNext w:val="0"/>
                    <w:keepLines w:val="0"/>
                    <w:suppressLineNumbers w:val="0"/>
                    <w:snapToGrid w:val="0"/>
                    <w:spacing w:before="0" w:beforeAutospacing="0" w:after="0" w:afterAutospacing="0" w:line="264" w:lineRule="auto"/>
                    <w:ind w:left="0" w:right="0"/>
                    <w:jc w:val="center"/>
                    <w:rPr>
                      <w:rFonts w:hint="default" w:ascii="Times New Roman" w:hAnsi="Times New Roman" w:eastAsia="宋体" w:cs="Times New Roman"/>
                      <w:sz w:val="18"/>
                      <w:szCs w:val="18"/>
                      <w:highlight w:val="none"/>
                    </w:rPr>
                  </w:pPr>
                </w:p>
              </w:tc>
              <w:tc>
                <w:tcPr>
                  <w:tcW w:w="699" w:type="dxa"/>
                  <w:tcBorders>
                    <w:top w:val="single" w:color="auto" w:sz="4" w:space="0"/>
                    <w:left w:val="single" w:color="auto" w:sz="4" w:space="0"/>
                    <w:bottom w:val="single" w:color="auto" w:sz="4" w:space="0"/>
                    <w:right w:val="single" w:color="auto" w:sz="4" w:space="0"/>
                  </w:tcBorders>
                  <w:shd w:val="clear" w:color="auto" w:fill="auto"/>
                  <w:vAlign w:val="center"/>
                </w:tcPr>
                <w:p w14:paraId="116C20EF">
                  <w:pPr>
                    <w:keepNext w:val="0"/>
                    <w:keepLines w:val="0"/>
                    <w:widowControl/>
                    <w:suppressLineNumbers w:val="0"/>
                    <w:snapToGrid w:val="0"/>
                    <w:spacing w:before="0" w:beforeAutospacing="0" w:after="0" w:afterAutospacing="0" w:line="264" w:lineRule="auto"/>
                    <w:ind w:left="0" w:right="0"/>
                    <w:jc w:val="center"/>
                    <w:rPr>
                      <w:rFonts w:hint="default" w:ascii="Times New Roman" w:hAnsi="Times New Roman" w:eastAsia="宋体" w:cs="Times New Roman"/>
                      <w:kern w:val="0"/>
                      <w:sz w:val="18"/>
                      <w:szCs w:val="18"/>
                      <w:highlight w:val="none"/>
                      <w:lang w:val="en-US" w:eastAsia="zh-CN"/>
                    </w:rPr>
                  </w:pPr>
                  <w:r>
                    <w:rPr>
                      <w:rFonts w:hint="eastAsia" w:cs="Times New Roman"/>
                      <w:kern w:val="0"/>
                      <w:sz w:val="18"/>
                      <w:szCs w:val="18"/>
                      <w:highlight w:val="none"/>
                      <w:lang w:val="en-US" w:eastAsia="zh-CN"/>
                    </w:rPr>
                    <w:t>20</w:t>
                  </w:r>
                </w:p>
              </w:tc>
              <w:tc>
                <w:tcPr>
                  <w:tcW w:w="777" w:type="dxa"/>
                  <w:tcBorders>
                    <w:top w:val="single" w:color="auto" w:sz="4" w:space="0"/>
                    <w:left w:val="single" w:color="auto" w:sz="4" w:space="0"/>
                    <w:bottom w:val="single" w:color="auto" w:sz="4" w:space="0"/>
                    <w:right w:val="single" w:color="auto" w:sz="4" w:space="0"/>
                  </w:tcBorders>
                  <w:shd w:val="clear" w:color="auto" w:fill="auto"/>
                  <w:vAlign w:val="center"/>
                </w:tcPr>
                <w:p w14:paraId="6365AE41">
                  <w:pPr>
                    <w:keepNext w:val="0"/>
                    <w:keepLines w:val="0"/>
                    <w:widowControl/>
                    <w:suppressLineNumbers w:val="0"/>
                    <w:snapToGrid w:val="0"/>
                    <w:spacing w:before="0" w:beforeAutospacing="0" w:after="0" w:afterAutospacing="0" w:line="264" w:lineRule="auto"/>
                    <w:ind w:left="0" w:right="0"/>
                    <w:jc w:val="center"/>
                    <w:rPr>
                      <w:rFonts w:hint="eastAsia" w:ascii="Times New Roman" w:hAnsi="Times New Roman" w:eastAsia="宋体" w:cs="Times New Roman"/>
                      <w:kern w:val="0"/>
                      <w:sz w:val="18"/>
                      <w:szCs w:val="18"/>
                      <w:highlight w:val="none"/>
                      <w:lang w:val="en-US" w:eastAsia="zh-CN"/>
                    </w:rPr>
                  </w:pPr>
                  <w:r>
                    <w:rPr>
                      <w:rFonts w:hint="eastAsia" w:cs="Times New Roman"/>
                      <w:kern w:val="0"/>
                      <w:sz w:val="18"/>
                      <w:szCs w:val="18"/>
                      <w:highlight w:val="none"/>
                      <w:lang w:val="en-US" w:eastAsia="zh-CN"/>
                    </w:rPr>
                    <w:t>0.096</w:t>
                  </w:r>
                </w:p>
              </w:tc>
              <w:tc>
                <w:tcPr>
                  <w:tcW w:w="630" w:type="dxa"/>
                  <w:tcBorders>
                    <w:left w:val="single" w:color="auto" w:sz="4" w:space="0"/>
                    <w:right w:val="single" w:color="auto" w:sz="4" w:space="0"/>
                  </w:tcBorders>
                  <w:shd w:val="clear" w:color="auto" w:fill="auto"/>
                  <w:vAlign w:val="center"/>
                </w:tcPr>
                <w:p w14:paraId="67D4D530">
                  <w:pPr>
                    <w:keepNext w:val="0"/>
                    <w:keepLines w:val="0"/>
                    <w:suppressLineNumbers w:val="0"/>
                    <w:snapToGrid w:val="0"/>
                    <w:spacing w:before="0" w:beforeAutospacing="0" w:after="0" w:afterAutospacing="0" w:line="264" w:lineRule="auto"/>
                    <w:ind w:left="0" w:right="0"/>
                    <w:jc w:val="center"/>
                    <w:rPr>
                      <w:rFonts w:hint="eastAsia" w:ascii="Times New Roman" w:hAnsi="Times New Roman" w:eastAsia="宋体" w:cs="Times New Roman"/>
                      <w:sz w:val="18"/>
                      <w:szCs w:val="18"/>
                      <w:highlight w:val="none"/>
                      <w:lang w:val="en-US" w:eastAsia="zh-CN"/>
                    </w:rPr>
                  </w:pPr>
                  <w:r>
                    <w:rPr>
                      <w:rFonts w:hint="eastAsia" w:ascii="Times New Roman" w:hAnsi="Times New Roman" w:eastAsia="宋体" w:cs="Times New Roman"/>
                      <w:sz w:val="18"/>
                      <w:szCs w:val="18"/>
                      <w:highlight w:val="none"/>
                      <w:lang w:val="en-US" w:eastAsia="zh-CN"/>
                    </w:rPr>
                    <w:t>/</w:t>
                  </w:r>
                </w:p>
              </w:tc>
              <w:tc>
                <w:tcPr>
                  <w:tcW w:w="477" w:type="dxa"/>
                  <w:tcBorders>
                    <w:left w:val="single" w:color="auto" w:sz="4" w:space="0"/>
                    <w:right w:val="single" w:color="auto" w:sz="4" w:space="0"/>
                  </w:tcBorders>
                  <w:shd w:val="clear" w:color="auto" w:fill="auto"/>
                  <w:vAlign w:val="center"/>
                </w:tcPr>
                <w:p w14:paraId="41C39363">
                  <w:pPr>
                    <w:keepNext w:val="0"/>
                    <w:keepLines w:val="0"/>
                    <w:suppressLineNumbers w:val="0"/>
                    <w:snapToGrid w:val="0"/>
                    <w:spacing w:before="0" w:beforeAutospacing="0" w:after="0" w:afterAutospacing="0" w:line="264" w:lineRule="auto"/>
                    <w:ind w:left="0" w:right="0"/>
                    <w:jc w:val="center"/>
                    <w:rPr>
                      <w:rFonts w:hint="eastAsia" w:ascii="Times New Roman" w:hAnsi="Times New Roman" w:eastAsia="宋体" w:cs="Times New Roman"/>
                      <w:sz w:val="18"/>
                      <w:szCs w:val="18"/>
                      <w:highlight w:val="none"/>
                      <w:lang w:val="en-US" w:eastAsia="zh-CN"/>
                    </w:rPr>
                  </w:pPr>
                  <w:r>
                    <w:rPr>
                      <w:rFonts w:hint="eastAsia" w:ascii="Times New Roman" w:hAnsi="Times New Roman" w:eastAsia="宋体" w:cs="Times New Roman"/>
                      <w:sz w:val="18"/>
                      <w:szCs w:val="18"/>
                      <w:highlight w:val="none"/>
                      <w:lang w:val="en-US" w:eastAsia="zh-CN"/>
                    </w:rPr>
                    <w:t>/</w:t>
                  </w:r>
                </w:p>
              </w:tc>
              <w:tc>
                <w:tcPr>
                  <w:tcW w:w="611" w:type="dxa"/>
                  <w:vMerge w:val="continue"/>
                  <w:tcBorders>
                    <w:left w:val="single" w:color="auto" w:sz="4" w:space="0"/>
                    <w:right w:val="single" w:color="auto" w:sz="4" w:space="0"/>
                  </w:tcBorders>
                  <w:vAlign w:val="center"/>
                </w:tcPr>
                <w:p w14:paraId="7666106C">
                  <w:pPr>
                    <w:keepNext w:val="0"/>
                    <w:keepLines w:val="0"/>
                    <w:suppressLineNumbers w:val="0"/>
                    <w:snapToGrid w:val="0"/>
                    <w:spacing w:before="0" w:beforeAutospacing="0" w:after="0" w:afterAutospacing="0" w:line="264" w:lineRule="auto"/>
                    <w:ind w:left="0" w:right="0"/>
                    <w:jc w:val="center"/>
                    <w:rPr>
                      <w:rFonts w:hint="default" w:ascii="Times New Roman" w:hAnsi="Times New Roman" w:eastAsia="宋体" w:cs="Times New Roman"/>
                      <w:kern w:val="0"/>
                      <w:sz w:val="18"/>
                      <w:szCs w:val="18"/>
                      <w:highlight w:val="none"/>
                    </w:rPr>
                  </w:pPr>
                </w:p>
              </w:tc>
              <w:tc>
                <w:tcPr>
                  <w:tcW w:w="679" w:type="dxa"/>
                  <w:tcBorders>
                    <w:top w:val="single" w:color="auto" w:sz="4" w:space="0"/>
                    <w:left w:val="single" w:color="auto" w:sz="4" w:space="0"/>
                    <w:bottom w:val="single" w:color="auto" w:sz="4" w:space="0"/>
                    <w:right w:val="single" w:color="auto" w:sz="4" w:space="0"/>
                  </w:tcBorders>
                  <w:shd w:val="clear" w:color="auto" w:fill="auto"/>
                  <w:vAlign w:val="center"/>
                </w:tcPr>
                <w:p w14:paraId="4EF5A1C9">
                  <w:pPr>
                    <w:keepNext w:val="0"/>
                    <w:keepLines w:val="0"/>
                    <w:widowControl/>
                    <w:suppressLineNumbers w:val="0"/>
                    <w:snapToGrid w:val="0"/>
                    <w:spacing w:before="0" w:beforeAutospacing="0" w:after="0" w:afterAutospacing="0" w:line="264" w:lineRule="auto"/>
                    <w:ind w:left="0" w:right="0"/>
                    <w:jc w:val="center"/>
                    <w:rPr>
                      <w:rFonts w:hint="eastAsia" w:ascii="Times New Roman" w:hAnsi="Times New Roman" w:eastAsia="宋体" w:cs="Times New Roman"/>
                      <w:kern w:val="0"/>
                      <w:sz w:val="18"/>
                      <w:szCs w:val="18"/>
                      <w:highlight w:val="none"/>
                      <w:lang w:val="en-US" w:eastAsia="zh-CN" w:bidi="ar-SA"/>
                    </w:rPr>
                  </w:pPr>
                  <w:r>
                    <w:rPr>
                      <w:rFonts w:hint="eastAsia" w:cs="Times New Roman"/>
                      <w:kern w:val="0"/>
                      <w:sz w:val="18"/>
                      <w:szCs w:val="18"/>
                      <w:highlight w:val="none"/>
                      <w:lang w:val="en-US" w:eastAsia="zh-CN"/>
                    </w:rPr>
                    <w:t>20</w:t>
                  </w:r>
                </w:p>
              </w:tc>
              <w:tc>
                <w:tcPr>
                  <w:tcW w:w="723" w:type="dxa"/>
                  <w:tcBorders>
                    <w:top w:val="single" w:color="auto" w:sz="4" w:space="0"/>
                    <w:left w:val="single" w:color="auto" w:sz="4" w:space="0"/>
                    <w:bottom w:val="single" w:color="auto" w:sz="4" w:space="0"/>
                    <w:right w:val="single" w:color="auto" w:sz="4" w:space="0"/>
                  </w:tcBorders>
                  <w:shd w:val="clear" w:color="auto" w:fill="auto"/>
                  <w:vAlign w:val="center"/>
                </w:tcPr>
                <w:p w14:paraId="243B82D7">
                  <w:pPr>
                    <w:keepNext w:val="0"/>
                    <w:keepLines w:val="0"/>
                    <w:widowControl/>
                    <w:suppressLineNumbers w:val="0"/>
                    <w:snapToGrid w:val="0"/>
                    <w:spacing w:before="0" w:beforeAutospacing="0" w:after="0" w:afterAutospacing="0" w:line="264" w:lineRule="auto"/>
                    <w:ind w:left="0" w:right="0"/>
                    <w:jc w:val="center"/>
                    <w:rPr>
                      <w:rFonts w:hint="eastAsia" w:ascii="Times New Roman" w:hAnsi="Times New Roman" w:eastAsia="宋体" w:cs="Times New Roman"/>
                      <w:kern w:val="0"/>
                      <w:sz w:val="18"/>
                      <w:szCs w:val="18"/>
                      <w:highlight w:val="none"/>
                      <w:lang w:val="en-US" w:eastAsia="zh-CN" w:bidi="ar-SA"/>
                    </w:rPr>
                  </w:pPr>
                  <w:r>
                    <w:rPr>
                      <w:rFonts w:hint="eastAsia" w:cs="Times New Roman"/>
                      <w:kern w:val="0"/>
                      <w:sz w:val="18"/>
                      <w:szCs w:val="18"/>
                      <w:highlight w:val="none"/>
                      <w:lang w:val="en-US" w:eastAsia="zh-CN"/>
                    </w:rPr>
                    <w:t>0.096</w:t>
                  </w:r>
                </w:p>
              </w:tc>
              <w:tc>
                <w:tcPr>
                  <w:tcW w:w="481" w:type="dxa"/>
                  <w:vMerge w:val="continue"/>
                  <w:tcBorders>
                    <w:left w:val="single" w:color="auto" w:sz="4" w:space="0"/>
                    <w:right w:val="single" w:color="auto" w:sz="4" w:space="0"/>
                  </w:tcBorders>
                  <w:vAlign w:val="center"/>
                </w:tcPr>
                <w:p w14:paraId="1C2CC7F0">
                  <w:pPr>
                    <w:keepNext w:val="0"/>
                    <w:keepLines w:val="0"/>
                    <w:suppressLineNumbers w:val="0"/>
                    <w:snapToGrid w:val="0"/>
                    <w:spacing w:before="0" w:beforeAutospacing="0" w:after="0" w:afterAutospacing="0" w:line="264" w:lineRule="auto"/>
                    <w:ind w:left="0" w:right="0"/>
                    <w:jc w:val="center"/>
                    <w:rPr>
                      <w:rFonts w:hint="default" w:ascii="Times New Roman" w:hAnsi="Times New Roman" w:eastAsia="宋体" w:cs="Times New Roman"/>
                      <w:kern w:val="0"/>
                      <w:sz w:val="18"/>
                      <w:szCs w:val="18"/>
                      <w:highlight w:val="none"/>
                    </w:rPr>
                  </w:pPr>
                </w:p>
              </w:tc>
            </w:tr>
            <w:tr w14:paraId="72BB036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jc w:val="center"/>
              </w:trPr>
              <w:tc>
                <w:tcPr>
                  <w:tcW w:w="580" w:type="dxa"/>
                  <w:vMerge w:val="continue"/>
                  <w:tcBorders>
                    <w:left w:val="single" w:color="auto" w:sz="4" w:space="0"/>
                    <w:right w:val="single" w:color="auto" w:sz="4" w:space="0"/>
                  </w:tcBorders>
                  <w:vAlign w:val="center"/>
                </w:tcPr>
                <w:p w14:paraId="346D7EDE">
                  <w:pPr>
                    <w:keepNext w:val="0"/>
                    <w:keepLines w:val="0"/>
                    <w:widowControl/>
                    <w:suppressLineNumbers w:val="0"/>
                    <w:adjustRightInd w:val="0"/>
                    <w:snapToGrid w:val="0"/>
                    <w:spacing w:before="0" w:beforeAutospacing="0" w:after="0" w:afterAutospacing="0" w:line="264" w:lineRule="auto"/>
                    <w:ind w:left="0" w:right="0"/>
                    <w:jc w:val="center"/>
                    <w:rPr>
                      <w:rFonts w:hint="default" w:ascii="Times New Roman" w:hAnsi="Times New Roman" w:eastAsia="宋体" w:cs="Times New Roman"/>
                      <w:snapToGrid w:val="0"/>
                      <w:sz w:val="18"/>
                      <w:szCs w:val="18"/>
                      <w:highlight w:val="none"/>
                    </w:rPr>
                  </w:pPr>
                </w:p>
              </w:tc>
              <w:tc>
                <w:tcPr>
                  <w:tcW w:w="423" w:type="dxa"/>
                  <w:vMerge w:val="continue"/>
                  <w:tcBorders>
                    <w:left w:val="single" w:color="auto" w:sz="4" w:space="0"/>
                    <w:right w:val="single" w:color="auto" w:sz="4" w:space="0"/>
                  </w:tcBorders>
                  <w:vAlign w:val="center"/>
                </w:tcPr>
                <w:p w14:paraId="32F9A0A6">
                  <w:pPr>
                    <w:keepNext w:val="0"/>
                    <w:keepLines w:val="0"/>
                    <w:widowControl/>
                    <w:suppressLineNumbers w:val="0"/>
                    <w:adjustRightInd w:val="0"/>
                    <w:snapToGrid w:val="0"/>
                    <w:spacing w:before="0" w:beforeAutospacing="0" w:after="0" w:afterAutospacing="0" w:line="264" w:lineRule="auto"/>
                    <w:ind w:left="0" w:right="0"/>
                    <w:jc w:val="center"/>
                    <w:rPr>
                      <w:rFonts w:hint="default" w:ascii="Times New Roman" w:hAnsi="Times New Roman" w:eastAsia="宋体" w:cs="Times New Roman"/>
                      <w:snapToGrid w:val="0"/>
                      <w:sz w:val="18"/>
                      <w:szCs w:val="18"/>
                      <w:highlight w:val="none"/>
                    </w:rPr>
                  </w:pPr>
                </w:p>
              </w:tc>
              <w:tc>
                <w:tcPr>
                  <w:tcW w:w="1031" w:type="dxa"/>
                  <w:vMerge w:val="restart"/>
                  <w:tcBorders>
                    <w:left w:val="single" w:color="auto" w:sz="4" w:space="0"/>
                    <w:right w:val="single" w:color="auto" w:sz="4" w:space="0"/>
                  </w:tcBorders>
                  <w:vAlign w:val="center"/>
                </w:tcPr>
                <w:p w14:paraId="2CC6A24C">
                  <w:pPr>
                    <w:keepNext w:val="0"/>
                    <w:keepLines w:val="0"/>
                    <w:widowControl/>
                    <w:suppressLineNumbers w:val="0"/>
                    <w:adjustRightInd w:val="0"/>
                    <w:snapToGrid w:val="0"/>
                    <w:spacing w:before="0" w:beforeAutospacing="0" w:after="0" w:afterAutospacing="0" w:line="264" w:lineRule="auto"/>
                    <w:ind w:left="0" w:right="0"/>
                    <w:jc w:val="center"/>
                    <w:rPr>
                      <w:rFonts w:hint="default" w:cs="Times New Roman"/>
                      <w:snapToGrid w:val="0"/>
                      <w:sz w:val="18"/>
                      <w:szCs w:val="18"/>
                      <w:highlight w:val="none"/>
                      <w:lang w:val="en-US" w:eastAsia="zh-CN"/>
                    </w:rPr>
                  </w:pPr>
                  <w:r>
                    <w:rPr>
                      <w:rFonts w:hint="eastAsia" w:cs="Times New Roman"/>
                      <w:snapToGrid w:val="0"/>
                      <w:sz w:val="18"/>
                      <w:szCs w:val="18"/>
                      <w:highlight w:val="none"/>
                      <w:lang w:val="en-US" w:eastAsia="zh-CN"/>
                    </w:rPr>
                    <w:t>合计</w:t>
                  </w:r>
                </w:p>
              </w:tc>
              <w:tc>
                <w:tcPr>
                  <w:tcW w:w="595" w:type="dxa"/>
                  <w:tcBorders>
                    <w:top w:val="single" w:color="auto" w:sz="4" w:space="0"/>
                    <w:left w:val="single" w:color="auto" w:sz="4" w:space="0"/>
                    <w:bottom w:val="single" w:color="auto" w:sz="4" w:space="0"/>
                    <w:right w:val="single" w:color="auto" w:sz="4" w:space="0"/>
                  </w:tcBorders>
                  <w:shd w:val="clear" w:color="auto" w:fill="auto"/>
                  <w:vAlign w:val="center"/>
                </w:tcPr>
                <w:p w14:paraId="2EA12DA5">
                  <w:pPr>
                    <w:keepNext w:val="0"/>
                    <w:keepLines w:val="0"/>
                    <w:widowControl/>
                    <w:suppressLineNumbers w:val="0"/>
                    <w:adjustRightInd w:val="0"/>
                    <w:snapToGrid w:val="0"/>
                    <w:spacing w:before="0" w:beforeAutospacing="0" w:after="0" w:afterAutospacing="0" w:line="264" w:lineRule="auto"/>
                    <w:ind w:left="0" w:right="0"/>
                    <w:jc w:val="center"/>
                    <w:rPr>
                      <w:rFonts w:hint="eastAsia" w:ascii="Times New Roman" w:hAnsi="Times New Roman" w:eastAsia="宋体" w:cs="Times New Roman"/>
                      <w:snapToGrid w:val="0"/>
                      <w:kern w:val="2"/>
                      <w:sz w:val="18"/>
                      <w:szCs w:val="18"/>
                      <w:highlight w:val="none"/>
                      <w:lang w:val="en-US" w:eastAsia="zh-CN" w:bidi="ar-SA"/>
                    </w:rPr>
                  </w:pPr>
                  <w:r>
                    <w:rPr>
                      <w:rFonts w:hint="default" w:ascii="Times New Roman" w:hAnsi="Times New Roman" w:eastAsia="宋体" w:cs="Times New Roman"/>
                      <w:snapToGrid w:val="0"/>
                      <w:sz w:val="18"/>
                      <w:szCs w:val="18"/>
                      <w:highlight w:val="none"/>
                    </w:rPr>
                    <w:t>COD</w:t>
                  </w:r>
                  <w:r>
                    <w:rPr>
                      <w:rFonts w:hint="default" w:ascii="Times New Roman" w:hAnsi="Times New Roman" w:eastAsia="宋体" w:cs="Times New Roman"/>
                      <w:snapToGrid w:val="0"/>
                      <w:sz w:val="18"/>
                      <w:szCs w:val="18"/>
                      <w:highlight w:val="none"/>
                      <w:vertAlign w:val="subscript"/>
                    </w:rPr>
                    <w:t>Cr</w:t>
                  </w:r>
                </w:p>
              </w:tc>
              <w:tc>
                <w:tcPr>
                  <w:tcW w:w="609" w:type="dxa"/>
                  <w:vMerge w:val="restart"/>
                  <w:tcBorders>
                    <w:left w:val="single" w:color="auto" w:sz="4" w:space="0"/>
                    <w:right w:val="single" w:color="auto" w:sz="4" w:space="0"/>
                  </w:tcBorders>
                  <w:shd w:val="clear" w:color="auto" w:fill="auto"/>
                  <w:vAlign w:val="center"/>
                </w:tcPr>
                <w:p w14:paraId="2379AA8A">
                  <w:pPr>
                    <w:keepNext w:val="0"/>
                    <w:keepLines w:val="0"/>
                    <w:widowControl/>
                    <w:suppressLineNumbers w:val="0"/>
                    <w:snapToGrid w:val="0"/>
                    <w:spacing w:before="0" w:beforeAutospacing="0" w:after="0" w:afterAutospacing="0" w:line="264" w:lineRule="auto"/>
                    <w:ind w:left="0" w:right="0"/>
                    <w:jc w:val="center"/>
                    <w:rPr>
                      <w:rFonts w:hint="default" w:ascii="Times New Roman" w:hAnsi="Times New Roman" w:eastAsia="宋体" w:cs="Times New Roman"/>
                      <w:kern w:val="0"/>
                      <w:sz w:val="18"/>
                      <w:szCs w:val="18"/>
                      <w:highlight w:val="none"/>
                      <w:lang w:val="en-US" w:eastAsia="zh-CN"/>
                    </w:rPr>
                  </w:pPr>
                  <w:r>
                    <w:rPr>
                      <w:rFonts w:hint="eastAsia" w:ascii="Times New Roman" w:hAnsi="Times New Roman" w:eastAsia="宋体" w:cs="Times New Roman"/>
                      <w:kern w:val="0"/>
                      <w:sz w:val="18"/>
                      <w:szCs w:val="18"/>
                      <w:highlight w:val="none"/>
                      <w:lang w:val="en-US" w:eastAsia="zh-CN"/>
                    </w:rPr>
                    <w:t>1</w:t>
                  </w:r>
                  <w:r>
                    <w:rPr>
                      <w:rFonts w:hint="eastAsia" w:cs="Times New Roman"/>
                      <w:kern w:val="0"/>
                      <w:sz w:val="18"/>
                      <w:szCs w:val="18"/>
                      <w:highlight w:val="none"/>
                      <w:lang w:val="en-US" w:eastAsia="zh-CN"/>
                    </w:rPr>
                    <w:t>8133</w:t>
                  </w:r>
                  <w:r>
                    <w:rPr>
                      <w:rFonts w:hint="eastAsia" w:ascii="Times New Roman" w:hAnsi="Times New Roman" w:eastAsia="宋体" w:cs="Times New Roman"/>
                      <w:kern w:val="0"/>
                      <w:sz w:val="18"/>
                      <w:szCs w:val="18"/>
                      <w:highlight w:val="none"/>
                      <w:lang w:val="en-US" w:eastAsia="zh-CN"/>
                    </w:rPr>
                    <w:t>.</w:t>
                  </w:r>
                  <w:r>
                    <w:rPr>
                      <w:rFonts w:hint="eastAsia" w:cs="Times New Roman"/>
                      <w:kern w:val="0"/>
                      <w:sz w:val="18"/>
                      <w:szCs w:val="18"/>
                      <w:highlight w:val="none"/>
                      <w:lang w:val="en-US" w:eastAsia="zh-CN"/>
                    </w:rPr>
                    <w:t>6</w:t>
                  </w:r>
                </w:p>
              </w:tc>
              <w:tc>
                <w:tcPr>
                  <w:tcW w:w="699" w:type="dxa"/>
                  <w:tcBorders>
                    <w:top w:val="single" w:color="auto" w:sz="4" w:space="0"/>
                    <w:left w:val="single" w:color="auto" w:sz="4" w:space="0"/>
                    <w:bottom w:val="single" w:color="auto" w:sz="4" w:space="0"/>
                    <w:right w:val="single" w:color="auto" w:sz="4" w:space="0"/>
                  </w:tcBorders>
                  <w:shd w:val="clear" w:color="auto" w:fill="auto"/>
                  <w:vAlign w:val="center"/>
                </w:tcPr>
                <w:p w14:paraId="1DD01053">
                  <w:pPr>
                    <w:keepNext w:val="0"/>
                    <w:keepLines w:val="0"/>
                    <w:widowControl/>
                    <w:suppressLineNumbers w:val="0"/>
                    <w:snapToGrid w:val="0"/>
                    <w:spacing w:before="0" w:beforeAutospacing="0" w:after="0" w:afterAutospacing="0" w:line="264" w:lineRule="auto"/>
                    <w:ind w:left="0" w:right="0"/>
                    <w:jc w:val="center"/>
                    <w:rPr>
                      <w:rFonts w:hint="default" w:ascii="Times New Roman" w:hAnsi="Times New Roman" w:eastAsia="宋体" w:cs="Times New Roman"/>
                      <w:kern w:val="0"/>
                      <w:sz w:val="18"/>
                      <w:szCs w:val="18"/>
                      <w:highlight w:val="none"/>
                      <w:lang w:val="en-US" w:eastAsia="zh-CN"/>
                    </w:rPr>
                  </w:pPr>
                  <w:r>
                    <w:rPr>
                      <w:rFonts w:hint="eastAsia" w:ascii="Times New Roman" w:hAnsi="Times New Roman" w:eastAsia="宋体" w:cs="Times New Roman"/>
                      <w:kern w:val="0"/>
                      <w:sz w:val="18"/>
                      <w:szCs w:val="18"/>
                      <w:highlight w:val="none"/>
                      <w:lang w:val="en-US" w:eastAsia="zh-CN"/>
                    </w:rPr>
                    <w:t xml:space="preserve">446.30 </w:t>
                  </w:r>
                </w:p>
              </w:tc>
              <w:tc>
                <w:tcPr>
                  <w:tcW w:w="777" w:type="dxa"/>
                  <w:tcBorders>
                    <w:top w:val="single" w:color="auto" w:sz="4" w:space="0"/>
                    <w:left w:val="single" w:color="auto" w:sz="4" w:space="0"/>
                    <w:bottom w:val="single" w:color="auto" w:sz="4" w:space="0"/>
                    <w:right w:val="single" w:color="auto" w:sz="4" w:space="0"/>
                  </w:tcBorders>
                  <w:shd w:val="clear" w:color="auto" w:fill="auto"/>
                  <w:vAlign w:val="center"/>
                </w:tcPr>
                <w:p w14:paraId="4CA41CF6">
                  <w:pPr>
                    <w:keepNext w:val="0"/>
                    <w:keepLines w:val="0"/>
                    <w:widowControl/>
                    <w:suppressLineNumbers w:val="0"/>
                    <w:snapToGrid w:val="0"/>
                    <w:spacing w:before="0" w:beforeAutospacing="0" w:after="0" w:afterAutospacing="0" w:line="264" w:lineRule="auto"/>
                    <w:ind w:left="0" w:right="0"/>
                    <w:jc w:val="center"/>
                    <w:rPr>
                      <w:rFonts w:hint="default" w:ascii="Times New Roman" w:hAnsi="Times New Roman" w:eastAsia="宋体" w:cs="Times New Roman"/>
                      <w:kern w:val="0"/>
                      <w:sz w:val="18"/>
                      <w:szCs w:val="18"/>
                      <w:highlight w:val="none"/>
                      <w:lang w:val="en-US" w:eastAsia="zh-CN"/>
                    </w:rPr>
                  </w:pPr>
                  <w:r>
                    <w:rPr>
                      <w:rFonts w:hint="eastAsia" w:cs="Times New Roman"/>
                      <w:kern w:val="0"/>
                      <w:sz w:val="18"/>
                      <w:szCs w:val="18"/>
                      <w:highlight w:val="none"/>
                      <w:lang w:val="en-US" w:eastAsia="zh-CN"/>
                    </w:rPr>
                    <w:t>8</w:t>
                  </w:r>
                  <w:r>
                    <w:rPr>
                      <w:rFonts w:hint="eastAsia" w:ascii="Times New Roman" w:hAnsi="Times New Roman" w:eastAsia="宋体" w:cs="Times New Roman"/>
                      <w:kern w:val="0"/>
                      <w:sz w:val="18"/>
                      <w:szCs w:val="18"/>
                      <w:highlight w:val="none"/>
                      <w:lang w:val="en-US" w:eastAsia="zh-CN"/>
                    </w:rPr>
                    <w:t>.</w:t>
                  </w:r>
                  <w:r>
                    <w:rPr>
                      <w:rFonts w:hint="eastAsia" w:cs="Times New Roman"/>
                      <w:kern w:val="0"/>
                      <w:sz w:val="18"/>
                      <w:szCs w:val="18"/>
                      <w:highlight w:val="none"/>
                      <w:lang w:val="en-US" w:eastAsia="zh-CN"/>
                    </w:rPr>
                    <w:t>093</w:t>
                  </w:r>
                </w:p>
              </w:tc>
              <w:tc>
                <w:tcPr>
                  <w:tcW w:w="630" w:type="dxa"/>
                  <w:tcBorders>
                    <w:left w:val="single" w:color="auto" w:sz="4" w:space="0"/>
                    <w:right w:val="single" w:color="auto" w:sz="4" w:space="0"/>
                  </w:tcBorders>
                  <w:shd w:val="clear" w:color="auto" w:fill="auto"/>
                  <w:vAlign w:val="center"/>
                </w:tcPr>
                <w:p w14:paraId="7A70E1E8">
                  <w:pPr>
                    <w:keepNext w:val="0"/>
                    <w:keepLines w:val="0"/>
                    <w:suppressLineNumbers w:val="0"/>
                    <w:snapToGrid w:val="0"/>
                    <w:spacing w:before="0" w:beforeAutospacing="0" w:after="0" w:afterAutospacing="0" w:line="264" w:lineRule="auto"/>
                    <w:ind w:left="0" w:right="0"/>
                    <w:jc w:val="center"/>
                    <w:rPr>
                      <w:rFonts w:hint="eastAsia" w:ascii="Times New Roman" w:hAnsi="Times New Roman" w:eastAsia="宋体" w:cs="Times New Roman"/>
                      <w:sz w:val="18"/>
                      <w:szCs w:val="18"/>
                      <w:highlight w:val="none"/>
                      <w:lang w:val="en-US" w:eastAsia="zh-CN"/>
                    </w:rPr>
                  </w:pPr>
                  <w:r>
                    <w:rPr>
                      <w:rFonts w:hint="eastAsia" w:ascii="Times New Roman" w:hAnsi="Times New Roman" w:eastAsia="宋体" w:cs="Times New Roman"/>
                      <w:sz w:val="18"/>
                      <w:szCs w:val="18"/>
                      <w:highlight w:val="none"/>
                      <w:lang w:val="en-US" w:eastAsia="zh-CN"/>
                    </w:rPr>
                    <w:t>/</w:t>
                  </w:r>
                </w:p>
              </w:tc>
              <w:tc>
                <w:tcPr>
                  <w:tcW w:w="477" w:type="dxa"/>
                  <w:tcBorders>
                    <w:left w:val="single" w:color="auto" w:sz="4" w:space="0"/>
                    <w:right w:val="single" w:color="auto" w:sz="4" w:space="0"/>
                  </w:tcBorders>
                  <w:shd w:val="clear" w:color="auto" w:fill="auto"/>
                  <w:vAlign w:val="center"/>
                </w:tcPr>
                <w:p w14:paraId="4A2CB7DF">
                  <w:pPr>
                    <w:keepNext w:val="0"/>
                    <w:keepLines w:val="0"/>
                    <w:suppressLineNumbers w:val="0"/>
                    <w:snapToGrid w:val="0"/>
                    <w:spacing w:before="0" w:beforeAutospacing="0" w:after="0" w:afterAutospacing="0" w:line="264" w:lineRule="auto"/>
                    <w:ind w:left="0" w:right="0"/>
                    <w:jc w:val="center"/>
                    <w:rPr>
                      <w:rFonts w:hint="eastAsia" w:ascii="Times New Roman" w:hAnsi="Times New Roman" w:eastAsia="宋体" w:cs="Times New Roman"/>
                      <w:sz w:val="18"/>
                      <w:szCs w:val="18"/>
                      <w:highlight w:val="none"/>
                      <w:lang w:val="en-US" w:eastAsia="zh-CN"/>
                    </w:rPr>
                  </w:pPr>
                  <w:r>
                    <w:rPr>
                      <w:rFonts w:hint="eastAsia" w:ascii="Times New Roman" w:hAnsi="Times New Roman" w:eastAsia="宋体" w:cs="Times New Roman"/>
                      <w:sz w:val="18"/>
                      <w:szCs w:val="18"/>
                      <w:highlight w:val="none"/>
                      <w:lang w:val="en-US" w:eastAsia="zh-CN"/>
                    </w:rPr>
                    <w:t>/</w:t>
                  </w:r>
                </w:p>
              </w:tc>
              <w:tc>
                <w:tcPr>
                  <w:tcW w:w="611" w:type="dxa"/>
                  <w:vMerge w:val="restart"/>
                  <w:tcBorders>
                    <w:left w:val="single" w:color="auto" w:sz="4" w:space="0"/>
                    <w:right w:val="single" w:color="auto" w:sz="4" w:space="0"/>
                  </w:tcBorders>
                  <w:vAlign w:val="center"/>
                </w:tcPr>
                <w:p w14:paraId="4383591F">
                  <w:pPr>
                    <w:keepNext w:val="0"/>
                    <w:keepLines w:val="0"/>
                    <w:widowControl/>
                    <w:suppressLineNumbers w:val="0"/>
                    <w:snapToGrid w:val="0"/>
                    <w:spacing w:before="0" w:beforeAutospacing="0" w:after="0" w:afterAutospacing="0" w:line="264" w:lineRule="auto"/>
                    <w:ind w:left="0" w:right="0"/>
                    <w:jc w:val="center"/>
                    <w:rPr>
                      <w:rFonts w:hint="eastAsia" w:ascii="Times New Roman" w:hAnsi="Times New Roman" w:eastAsia="宋体" w:cs="Times New Roman"/>
                      <w:kern w:val="0"/>
                      <w:sz w:val="18"/>
                      <w:szCs w:val="18"/>
                      <w:highlight w:val="none"/>
                      <w:lang w:val="en-US" w:eastAsia="zh-CN"/>
                    </w:rPr>
                  </w:pPr>
                  <w:r>
                    <w:rPr>
                      <w:rFonts w:hint="eastAsia" w:ascii="Times New Roman" w:hAnsi="Times New Roman" w:eastAsia="宋体" w:cs="Times New Roman"/>
                      <w:kern w:val="0"/>
                      <w:sz w:val="18"/>
                      <w:szCs w:val="18"/>
                      <w:highlight w:val="none"/>
                      <w:lang w:val="en-US" w:eastAsia="zh-CN"/>
                    </w:rPr>
                    <w:t>1</w:t>
                  </w:r>
                  <w:r>
                    <w:rPr>
                      <w:rFonts w:hint="eastAsia" w:cs="Times New Roman"/>
                      <w:kern w:val="0"/>
                      <w:sz w:val="18"/>
                      <w:szCs w:val="18"/>
                      <w:highlight w:val="none"/>
                      <w:lang w:val="en-US" w:eastAsia="zh-CN"/>
                    </w:rPr>
                    <w:t>8133</w:t>
                  </w:r>
                  <w:r>
                    <w:rPr>
                      <w:rFonts w:hint="eastAsia" w:ascii="Times New Roman" w:hAnsi="Times New Roman" w:eastAsia="宋体" w:cs="Times New Roman"/>
                      <w:kern w:val="0"/>
                      <w:sz w:val="18"/>
                      <w:szCs w:val="18"/>
                      <w:highlight w:val="none"/>
                      <w:lang w:val="en-US" w:eastAsia="zh-CN"/>
                    </w:rPr>
                    <w:t>.</w:t>
                  </w:r>
                  <w:r>
                    <w:rPr>
                      <w:rFonts w:hint="eastAsia" w:cs="Times New Roman"/>
                      <w:kern w:val="0"/>
                      <w:sz w:val="18"/>
                      <w:szCs w:val="18"/>
                      <w:highlight w:val="none"/>
                      <w:lang w:val="en-US" w:eastAsia="zh-CN"/>
                    </w:rPr>
                    <w:t>6</w:t>
                  </w:r>
                </w:p>
              </w:tc>
              <w:tc>
                <w:tcPr>
                  <w:tcW w:w="679" w:type="dxa"/>
                  <w:tcBorders>
                    <w:top w:val="single" w:color="auto" w:sz="4" w:space="0"/>
                    <w:left w:val="single" w:color="auto" w:sz="4" w:space="0"/>
                    <w:bottom w:val="single" w:color="auto" w:sz="4" w:space="0"/>
                    <w:right w:val="single" w:color="auto" w:sz="4" w:space="0"/>
                  </w:tcBorders>
                  <w:shd w:val="clear" w:color="auto" w:fill="auto"/>
                  <w:vAlign w:val="center"/>
                </w:tcPr>
                <w:p w14:paraId="2169271B">
                  <w:pPr>
                    <w:keepNext w:val="0"/>
                    <w:keepLines w:val="0"/>
                    <w:widowControl/>
                    <w:suppressLineNumbers w:val="0"/>
                    <w:snapToGrid w:val="0"/>
                    <w:spacing w:before="0" w:beforeAutospacing="0" w:after="0" w:afterAutospacing="0" w:line="264" w:lineRule="auto"/>
                    <w:ind w:left="0" w:right="0"/>
                    <w:jc w:val="center"/>
                    <w:rPr>
                      <w:rFonts w:hint="eastAsia" w:ascii="Times New Roman" w:hAnsi="Times New Roman" w:eastAsia="宋体" w:cs="Times New Roman"/>
                      <w:kern w:val="0"/>
                      <w:sz w:val="18"/>
                      <w:szCs w:val="18"/>
                      <w:highlight w:val="none"/>
                      <w:lang w:val="en-US" w:eastAsia="zh-CN"/>
                    </w:rPr>
                  </w:pPr>
                  <w:r>
                    <w:rPr>
                      <w:rFonts w:hint="eastAsia" w:ascii="Times New Roman" w:hAnsi="Times New Roman" w:eastAsia="宋体" w:cs="Times New Roman"/>
                      <w:kern w:val="0"/>
                      <w:sz w:val="18"/>
                      <w:szCs w:val="18"/>
                      <w:highlight w:val="none"/>
                      <w:lang w:val="en-US" w:eastAsia="zh-CN"/>
                    </w:rPr>
                    <w:t xml:space="preserve">126.06 </w:t>
                  </w:r>
                </w:p>
              </w:tc>
              <w:tc>
                <w:tcPr>
                  <w:tcW w:w="723" w:type="dxa"/>
                  <w:tcBorders>
                    <w:top w:val="single" w:color="auto" w:sz="4" w:space="0"/>
                    <w:left w:val="single" w:color="auto" w:sz="4" w:space="0"/>
                    <w:bottom w:val="single" w:color="auto" w:sz="4" w:space="0"/>
                    <w:right w:val="single" w:color="auto" w:sz="4" w:space="0"/>
                  </w:tcBorders>
                  <w:shd w:val="clear" w:color="auto" w:fill="auto"/>
                  <w:vAlign w:val="center"/>
                </w:tcPr>
                <w:p w14:paraId="5DD3EEC7">
                  <w:pPr>
                    <w:keepNext w:val="0"/>
                    <w:keepLines w:val="0"/>
                    <w:widowControl/>
                    <w:suppressLineNumbers w:val="0"/>
                    <w:snapToGrid w:val="0"/>
                    <w:spacing w:before="0" w:beforeAutospacing="0" w:after="0" w:afterAutospacing="0" w:line="264" w:lineRule="auto"/>
                    <w:ind w:left="0" w:right="0"/>
                    <w:jc w:val="center"/>
                    <w:rPr>
                      <w:rFonts w:hint="default" w:ascii="Times New Roman" w:hAnsi="Times New Roman" w:eastAsia="宋体" w:cs="Times New Roman"/>
                      <w:kern w:val="0"/>
                      <w:sz w:val="18"/>
                      <w:szCs w:val="18"/>
                      <w:highlight w:val="none"/>
                      <w:lang w:val="en-US" w:eastAsia="zh-CN"/>
                    </w:rPr>
                  </w:pPr>
                  <w:r>
                    <w:rPr>
                      <w:rFonts w:hint="eastAsia" w:ascii="Times New Roman" w:hAnsi="Times New Roman" w:eastAsia="宋体" w:cs="Times New Roman"/>
                      <w:kern w:val="0"/>
                      <w:sz w:val="18"/>
                      <w:szCs w:val="18"/>
                      <w:highlight w:val="none"/>
                      <w:lang w:val="en-US" w:eastAsia="zh-CN"/>
                    </w:rPr>
                    <w:t>2.</w:t>
                  </w:r>
                  <w:r>
                    <w:rPr>
                      <w:rFonts w:hint="eastAsia" w:cs="Times New Roman"/>
                      <w:kern w:val="0"/>
                      <w:sz w:val="18"/>
                      <w:szCs w:val="18"/>
                      <w:highlight w:val="none"/>
                      <w:lang w:val="en-US" w:eastAsia="zh-CN"/>
                    </w:rPr>
                    <w:t>2</w:t>
                  </w:r>
                  <w:r>
                    <w:rPr>
                      <w:rFonts w:hint="eastAsia" w:ascii="Times New Roman" w:hAnsi="Times New Roman" w:eastAsia="宋体" w:cs="Times New Roman"/>
                      <w:kern w:val="0"/>
                      <w:sz w:val="18"/>
                      <w:szCs w:val="18"/>
                      <w:highlight w:val="none"/>
                      <w:lang w:val="en-US" w:eastAsia="zh-CN"/>
                    </w:rPr>
                    <w:t>8</w:t>
                  </w:r>
                  <w:r>
                    <w:rPr>
                      <w:rFonts w:hint="eastAsia" w:cs="Times New Roman"/>
                      <w:kern w:val="0"/>
                      <w:sz w:val="18"/>
                      <w:szCs w:val="18"/>
                      <w:highlight w:val="none"/>
                      <w:lang w:val="en-US" w:eastAsia="zh-CN"/>
                    </w:rPr>
                    <w:t>6</w:t>
                  </w:r>
                </w:p>
              </w:tc>
              <w:tc>
                <w:tcPr>
                  <w:tcW w:w="481" w:type="dxa"/>
                  <w:vMerge w:val="restart"/>
                  <w:tcBorders>
                    <w:left w:val="single" w:color="auto" w:sz="4" w:space="0"/>
                    <w:right w:val="single" w:color="auto" w:sz="4" w:space="0"/>
                  </w:tcBorders>
                  <w:vAlign w:val="center"/>
                </w:tcPr>
                <w:p w14:paraId="01E2BAC3">
                  <w:pPr>
                    <w:keepNext w:val="0"/>
                    <w:keepLines w:val="0"/>
                    <w:suppressLineNumbers w:val="0"/>
                    <w:snapToGrid w:val="0"/>
                    <w:spacing w:before="0" w:beforeAutospacing="0" w:after="0" w:afterAutospacing="0" w:line="264" w:lineRule="auto"/>
                    <w:ind w:left="0" w:right="0"/>
                    <w:jc w:val="center"/>
                    <w:rPr>
                      <w:rFonts w:hint="eastAsia" w:ascii="Times New Roman" w:hAnsi="Times New Roman" w:eastAsia="宋体" w:cs="Times New Roman"/>
                      <w:kern w:val="0"/>
                      <w:sz w:val="18"/>
                      <w:szCs w:val="18"/>
                      <w:highlight w:val="none"/>
                      <w:lang w:val="en-US" w:eastAsia="zh-CN"/>
                    </w:rPr>
                  </w:pPr>
                  <w:r>
                    <w:rPr>
                      <w:rFonts w:hint="eastAsia" w:cs="Times New Roman"/>
                      <w:kern w:val="0"/>
                      <w:sz w:val="18"/>
                      <w:szCs w:val="18"/>
                      <w:highlight w:val="none"/>
                      <w:lang w:val="en-US" w:eastAsia="zh-CN"/>
                    </w:rPr>
                    <w:t>/</w:t>
                  </w:r>
                </w:p>
              </w:tc>
            </w:tr>
            <w:tr w14:paraId="0CC420C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jc w:val="center"/>
              </w:trPr>
              <w:tc>
                <w:tcPr>
                  <w:tcW w:w="580" w:type="dxa"/>
                  <w:vMerge w:val="continue"/>
                  <w:tcBorders>
                    <w:left w:val="single" w:color="auto" w:sz="4" w:space="0"/>
                    <w:right w:val="single" w:color="auto" w:sz="4" w:space="0"/>
                  </w:tcBorders>
                  <w:vAlign w:val="center"/>
                </w:tcPr>
                <w:p w14:paraId="5BAFCD13">
                  <w:pPr>
                    <w:keepNext w:val="0"/>
                    <w:keepLines w:val="0"/>
                    <w:widowControl/>
                    <w:suppressLineNumbers w:val="0"/>
                    <w:adjustRightInd w:val="0"/>
                    <w:snapToGrid w:val="0"/>
                    <w:spacing w:before="0" w:beforeAutospacing="0" w:after="0" w:afterAutospacing="0" w:line="264" w:lineRule="auto"/>
                    <w:ind w:left="0" w:right="0"/>
                    <w:jc w:val="center"/>
                    <w:rPr>
                      <w:rFonts w:hint="default" w:ascii="Times New Roman" w:hAnsi="Times New Roman" w:eastAsia="宋体" w:cs="Times New Roman"/>
                      <w:snapToGrid w:val="0"/>
                      <w:sz w:val="18"/>
                      <w:szCs w:val="18"/>
                      <w:highlight w:val="none"/>
                    </w:rPr>
                  </w:pPr>
                </w:p>
              </w:tc>
              <w:tc>
                <w:tcPr>
                  <w:tcW w:w="423" w:type="dxa"/>
                  <w:vMerge w:val="continue"/>
                  <w:tcBorders>
                    <w:left w:val="single" w:color="auto" w:sz="4" w:space="0"/>
                    <w:right w:val="single" w:color="auto" w:sz="4" w:space="0"/>
                  </w:tcBorders>
                  <w:vAlign w:val="center"/>
                </w:tcPr>
                <w:p w14:paraId="0029D857">
                  <w:pPr>
                    <w:keepNext w:val="0"/>
                    <w:keepLines w:val="0"/>
                    <w:widowControl/>
                    <w:suppressLineNumbers w:val="0"/>
                    <w:adjustRightInd w:val="0"/>
                    <w:snapToGrid w:val="0"/>
                    <w:spacing w:before="0" w:beforeAutospacing="0" w:after="0" w:afterAutospacing="0" w:line="264" w:lineRule="auto"/>
                    <w:ind w:left="0" w:right="0"/>
                    <w:jc w:val="center"/>
                    <w:rPr>
                      <w:rFonts w:hint="default" w:ascii="Times New Roman" w:hAnsi="Times New Roman" w:eastAsia="宋体" w:cs="Times New Roman"/>
                      <w:snapToGrid w:val="0"/>
                      <w:sz w:val="18"/>
                      <w:szCs w:val="18"/>
                      <w:highlight w:val="none"/>
                    </w:rPr>
                  </w:pPr>
                </w:p>
              </w:tc>
              <w:tc>
                <w:tcPr>
                  <w:tcW w:w="1031" w:type="dxa"/>
                  <w:vMerge w:val="continue"/>
                  <w:tcBorders>
                    <w:left w:val="single" w:color="auto" w:sz="4" w:space="0"/>
                    <w:right w:val="single" w:color="auto" w:sz="4" w:space="0"/>
                  </w:tcBorders>
                  <w:shd w:val="clear" w:color="auto" w:fill="auto"/>
                  <w:vAlign w:val="center"/>
                </w:tcPr>
                <w:p w14:paraId="4B63A29C">
                  <w:pPr>
                    <w:keepNext w:val="0"/>
                    <w:keepLines w:val="0"/>
                    <w:widowControl/>
                    <w:suppressLineNumbers w:val="0"/>
                    <w:adjustRightInd w:val="0"/>
                    <w:snapToGrid w:val="0"/>
                    <w:spacing w:before="0" w:beforeAutospacing="0" w:after="0" w:afterAutospacing="0" w:line="264" w:lineRule="auto"/>
                    <w:ind w:left="0" w:right="0"/>
                    <w:jc w:val="center"/>
                    <w:rPr>
                      <w:rFonts w:hint="eastAsia" w:ascii="Times New Roman" w:hAnsi="Times New Roman" w:eastAsia="宋体" w:cs="Times New Roman"/>
                      <w:snapToGrid w:val="0"/>
                      <w:kern w:val="2"/>
                      <w:sz w:val="18"/>
                      <w:szCs w:val="18"/>
                      <w:highlight w:val="none"/>
                      <w:lang w:val="en-US" w:eastAsia="zh-CN" w:bidi="ar-SA"/>
                    </w:rPr>
                  </w:pPr>
                </w:p>
              </w:tc>
              <w:tc>
                <w:tcPr>
                  <w:tcW w:w="595" w:type="dxa"/>
                  <w:tcBorders>
                    <w:top w:val="single" w:color="auto" w:sz="4" w:space="0"/>
                    <w:left w:val="single" w:color="auto" w:sz="4" w:space="0"/>
                    <w:bottom w:val="single" w:color="auto" w:sz="4" w:space="0"/>
                    <w:right w:val="single" w:color="auto" w:sz="4" w:space="0"/>
                  </w:tcBorders>
                  <w:shd w:val="clear" w:color="auto" w:fill="auto"/>
                  <w:vAlign w:val="center"/>
                </w:tcPr>
                <w:p w14:paraId="32E56986">
                  <w:pPr>
                    <w:keepNext w:val="0"/>
                    <w:keepLines w:val="0"/>
                    <w:widowControl/>
                    <w:suppressLineNumbers w:val="0"/>
                    <w:adjustRightInd w:val="0"/>
                    <w:snapToGrid w:val="0"/>
                    <w:spacing w:before="0" w:beforeAutospacing="0" w:after="0" w:afterAutospacing="0" w:line="264" w:lineRule="auto"/>
                    <w:ind w:left="0" w:right="0"/>
                    <w:jc w:val="center"/>
                    <w:rPr>
                      <w:rFonts w:hint="eastAsia" w:ascii="Times New Roman" w:hAnsi="Times New Roman" w:eastAsia="宋体" w:cs="Times New Roman"/>
                      <w:snapToGrid w:val="0"/>
                      <w:kern w:val="2"/>
                      <w:sz w:val="18"/>
                      <w:szCs w:val="18"/>
                      <w:highlight w:val="none"/>
                      <w:lang w:val="en-US" w:eastAsia="zh-CN" w:bidi="ar-SA"/>
                    </w:rPr>
                  </w:pPr>
                  <w:r>
                    <w:rPr>
                      <w:rFonts w:hint="default" w:ascii="Times New Roman" w:hAnsi="Times New Roman" w:eastAsia="宋体" w:cs="Times New Roman"/>
                      <w:snapToGrid w:val="0"/>
                      <w:sz w:val="18"/>
                      <w:szCs w:val="18"/>
                      <w:highlight w:val="none"/>
                    </w:rPr>
                    <w:t>NH</w:t>
                  </w:r>
                  <w:r>
                    <w:rPr>
                      <w:rFonts w:hint="default" w:ascii="Times New Roman" w:hAnsi="Times New Roman" w:eastAsia="宋体" w:cs="Times New Roman"/>
                      <w:snapToGrid w:val="0"/>
                      <w:sz w:val="18"/>
                      <w:szCs w:val="18"/>
                      <w:highlight w:val="none"/>
                      <w:vertAlign w:val="subscript"/>
                    </w:rPr>
                    <w:t>3</w:t>
                  </w:r>
                  <w:r>
                    <w:rPr>
                      <w:rFonts w:hint="default" w:ascii="Times New Roman" w:hAnsi="Times New Roman" w:eastAsia="宋体" w:cs="Times New Roman"/>
                      <w:snapToGrid w:val="0"/>
                      <w:sz w:val="18"/>
                      <w:szCs w:val="18"/>
                      <w:highlight w:val="none"/>
                    </w:rPr>
                    <w:t>-N</w:t>
                  </w:r>
                </w:p>
              </w:tc>
              <w:tc>
                <w:tcPr>
                  <w:tcW w:w="609" w:type="dxa"/>
                  <w:vMerge w:val="continue"/>
                  <w:tcBorders>
                    <w:left w:val="single" w:color="auto" w:sz="4" w:space="0"/>
                    <w:right w:val="single" w:color="auto" w:sz="4" w:space="0"/>
                  </w:tcBorders>
                  <w:vAlign w:val="center"/>
                </w:tcPr>
                <w:p w14:paraId="5C08DA26">
                  <w:pPr>
                    <w:keepNext w:val="0"/>
                    <w:keepLines w:val="0"/>
                    <w:widowControl/>
                    <w:suppressLineNumbers w:val="0"/>
                    <w:snapToGrid w:val="0"/>
                    <w:spacing w:before="0" w:beforeAutospacing="0" w:after="0" w:afterAutospacing="0" w:line="264" w:lineRule="auto"/>
                    <w:ind w:left="0" w:right="0"/>
                    <w:jc w:val="center"/>
                    <w:rPr>
                      <w:rFonts w:hint="eastAsia" w:ascii="Times New Roman" w:hAnsi="Times New Roman" w:eastAsia="宋体" w:cs="Times New Roman"/>
                      <w:kern w:val="0"/>
                      <w:sz w:val="18"/>
                      <w:szCs w:val="18"/>
                      <w:highlight w:val="none"/>
                      <w:lang w:val="en-US" w:eastAsia="zh-CN"/>
                    </w:rPr>
                  </w:pPr>
                </w:p>
              </w:tc>
              <w:tc>
                <w:tcPr>
                  <w:tcW w:w="699" w:type="dxa"/>
                  <w:tcBorders>
                    <w:top w:val="single" w:color="auto" w:sz="4" w:space="0"/>
                    <w:left w:val="single" w:color="auto" w:sz="4" w:space="0"/>
                    <w:bottom w:val="single" w:color="auto" w:sz="4" w:space="0"/>
                    <w:right w:val="single" w:color="auto" w:sz="4" w:space="0"/>
                  </w:tcBorders>
                  <w:shd w:val="clear" w:color="auto" w:fill="auto"/>
                  <w:vAlign w:val="center"/>
                </w:tcPr>
                <w:p w14:paraId="60CC88E2">
                  <w:pPr>
                    <w:keepNext w:val="0"/>
                    <w:keepLines w:val="0"/>
                    <w:widowControl/>
                    <w:suppressLineNumbers w:val="0"/>
                    <w:snapToGrid w:val="0"/>
                    <w:spacing w:before="0" w:beforeAutospacing="0" w:after="0" w:afterAutospacing="0" w:line="264" w:lineRule="auto"/>
                    <w:ind w:left="0" w:right="0"/>
                    <w:jc w:val="center"/>
                    <w:rPr>
                      <w:rFonts w:hint="default" w:ascii="Times New Roman" w:hAnsi="Times New Roman" w:eastAsia="宋体" w:cs="Times New Roman"/>
                      <w:kern w:val="0"/>
                      <w:sz w:val="18"/>
                      <w:szCs w:val="18"/>
                      <w:highlight w:val="none"/>
                      <w:lang w:val="en-US" w:eastAsia="zh-CN"/>
                    </w:rPr>
                  </w:pPr>
                  <w:r>
                    <w:rPr>
                      <w:rFonts w:hint="eastAsia" w:ascii="Times New Roman" w:hAnsi="Times New Roman" w:eastAsia="宋体" w:cs="Times New Roman"/>
                      <w:kern w:val="0"/>
                      <w:sz w:val="18"/>
                      <w:szCs w:val="18"/>
                      <w:highlight w:val="none"/>
                      <w:lang w:val="en-US" w:eastAsia="zh-CN"/>
                    </w:rPr>
                    <w:t xml:space="preserve">21.67 </w:t>
                  </w:r>
                </w:p>
              </w:tc>
              <w:tc>
                <w:tcPr>
                  <w:tcW w:w="777" w:type="dxa"/>
                  <w:tcBorders>
                    <w:top w:val="single" w:color="auto" w:sz="4" w:space="0"/>
                    <w:left w:val="single" w:color="auto" w:sz="4" w:space="0"/>
                    <w:bottom w:val="single" w:color="auto" w:sz="4" w:space="0"/>
                    <w:right w:val="single" w:color="auto" w:sz="4" w:space="0"/>
                  </w:tcBorders>
                  <w:shd w:val="clear" w:color="auto" w:fill="auto"/>
                  <w:vAlign w:val="center"/>
                </w:tcPr>
                <w:p w14:paraId="58ACCA48">
                  <w:pPr>
                    <w:keepNext w:val="0"/>
                    <w:keepLines w:val="0"/>
                    <w:widowControl/>
                    <w:suppressLineNumbers w:val="0"/>
                    <w:snapToGrid w:val="0"/>
                    <w:spacing w:before="0" w:beforeAutospacing="0" w:after="0" w:afterAutospacing="0" w:line="264" w:lineRule="auto"/>
                    <w:ind w:left="0" w:right="0"/>
                    <w:jc w:val="center"/>
                    <w:rPr>
                      <w:rFonts w:hint="default" w:ascii="Times New Roman" w:hAnsi="Times New Roman" w:eastAsia="宋体" w:cs="Times New Roman"/>
                      <w:kern w:val="0"/>
                      <w:sz w:val="18"/>
                      <w:szCs w:val="18"/>
                      <w:highlight w:val="none"/>
                      <w:lang w:val="en-US" w:eastAsia="zh-CN"/>
                    </w:rPr>
                  </w:pPr>
                  <w:r>
                    <w:rPr>
                      <w:rFonts w:hint="eastAsia" w:ascii="Times New Roman" w:hAnsi="Times New Roman" w:eastAsia="宋体" w:cs="Times New Roman"/>
                      <w:kern w:val="0"/>
                      <w:sz w:val="18"/>
                      <w:szCs w:val="18"/>
                      <w:highlight w:val="none"/>
                      <w:lang w:val="en-US" w:eastAsia="zh-CN"/>
                    </w:rPr>
                    <w:t>0.3</w:t>
                  </w:r>
                  <w:r>
                    <w:rPr>
                      <w:rFonts w:hint="eastAsia" w:cs="Times New Roman"/>
                      <w:kern w:val="0"/>
                      <w:sz w:val="18"/>
                      <w:szCs w:val="18"/>
                      <w:highlight w:val="none"/>
                      <w:lang w:val="en-US" w:eastAsia="zh-CN"/>
                    </w:rPr>
                    <w:t>93</w:t>
                  </w:r>
                </w:p>
              </w:tc>
              <w:tc>
                <w:tcPr>
                  <w:tcW w:w="630" w:type="dxa"/>
                  <w:tcBorders>
                    <w:left w:val="single" w:color="auto" w:sz="4" w:space="0"/>
                    <w:right w:val="single" w:color="auto" w:sz="4" w:space="0"/>
                  </w:tcBorders>
                  <w:shd w:val="clear" w:color="auto" w:fill="auto"/>
                  <w:vAlign w:val="center"/>
                </w:tcPr>
                <w:p w14:paraId="7A752530">
                  <w:pPr>
                    <w:keepNext w:val="0"/>
                    <w:keepLines w:val="0"/>
                    <w:suppressLineNumbers w:val="0"/>
                    <w:snapToGrid w:val="0"/>
                    <w:spacing w:before="0" w:beforeAutospacing="0" w:after="0" w:afterAutospacing="0" w:line="264" w:lineRule="auto"/>
                    <w:ind w:left="0" w:right="0"/>
                    <w:jc w:val="center"/>
                    <w:rPr>
                      <w:rFonts w:hint="eastAsia" w:ascii="Times New Roman" w:hAnsi="Times New Roman" w:eastAsia="宋体" w:cs="Times New Roman"/>
                      <w:sz w:val="18"/>
                      <w:szCs w:val="18"/>
                      <w:highlight w:val="none"/>
                      <w:lang w:val="en-US" w:eastAsia="zh-CN"/>
                    </w:rPr>
                  </w:pPr>
                  <w:r>
                    <w:rPr>
                      <w:rFonts w:hint="eastAsia" w:ascii="Times New Roman" w:hAnsi="Times New Roman" w:eastAsia="宋体" w:cs="Times New Roman"/>
                      <w:sz w:val="18"/>
                      <w:szCs w:val="18"/>
                      <w:highlight w:val="none"/>
                      <w:lang w:val="en-US" w:eastAsia="zh-CN"/>
                    </w:rPr>
                    <w:t>/</w:t>
                  </w:r>
                </w:p>
              </w:tc>
              <w:tc>
                <w:tcPr>
                  <w:tcW w:w="477" w:type="dxa"/>
                  <w:tcBorders>
                    <w:left w:val="single" w:color="auto" w:sz="4" w:space="0"/>
                    <w:right w:val="single" w:color="auto" w:sz="4" w:space="0"/>
                  </w:tcBorders>
                  <w:shd w:val="clear" w:color="auto" w:fill="auto"/>
                  <w:vAlign w:val="center"/>
                </w:tcPr>
                <w:p w14:paraId="10D41B33">
                  <w:pPr>
                    <w:keepNext w:val="0"/>
                    <w:keepLines w:val="0"/>
                    <w:suppressLineNumbers w:val="0"/>
                    <w:snapToGrid w:val="0"/>
                    <w:spacing w:before="0" w:beforeAutospacing="0" w:after="0" w:afterAutospacing="0" w:line="264" w:lineRule="auto"/>
                    <w:ind w:left="0" w:right="0"/>
                    <w:jc w:val="center"/>
                    <w:rPr>
                      <w:rFonts w:hint="eastAsia" w:ascii="Times New Roman" w:hAnsi="Times New Roman" w:eastAsia="宋体" w:cs="Times New Roman"/>
                      <w:sz w:val="18"/>
                      <w:szCs w:val="18"/>
                      <w:highlight w:val="none"/>
                      <w:lang w:val="en-US" w:eastAsia="zh-CN"/>
                    </w:rPr>
                  </w:pPr>
                  <w:r>
                    <w:rPr>
                      <w:rFonts w:hint="eastAsia" w:ascii="Times New Roman" w:hAnsi="Times New Roman" w:eastAsia="宋体" w:cs="Times New Roman"/>
                      <w:sz w:val="18"/>
                      <w:szCs w:val="18"/>
                      <w:highlight w:val="none"/>
                      <w:lang w:val="en-US" w:eastAsia="zh-CN"/>
                    </w:rPr>
                    <w:t>/</w:t>
                  </w:r>
                </w:p>
              </w:tc>
              <w:tc>
                <w:tcPr>
                  <w:tcW w:w="611" w:type="dxa"/>
                  <w:vMerge w:val="continue"/>
                  <w:tcBorders>
                    <w:left w:val="single" w:color="auto" w:sz="4" w:space="0"/>
                    <w:right w:val="single" w:color="auto" w:sz="4" w:space="0"/>
                  </w:tcBorders>
                  <w:vAlign w:val="center"/>
                </w:tcPr>
                <w:p w14:paraId="7C0A1868">
                  <w:pPr>
                    <w:keepNext w:val="0"/>
                    <w:keepLines w:val="0"/>
                    <w:widowControl/>
                    <w:suppressLineNumbers w:val="0"/>
                    <w:snapToGrid w:val="0"/>
                    <w:spacing w:before="0" w:beforeAutospacing="0" w:after="0" w:afterAutospacing="0" w:line="264" w:lineRule="auto"/>
                    <w:ind w:left="0" w:right="0"/>
                    <w:jc w:val="center"/>
                    <w:rPr>
                      <w:rFonts w:hint="eastAsia" w:ascii="Times New Roman" w:hAnsi="Times New Roman" w:eastAsia="宋体" w:cs="Times New Roman"/>
                      <w:kern w:val="0"/>
                      <w:sz w:val="18"/>
                      <w:szCs w:val="18"/>
                      <w:highlight w:val="none"/>
                      <w:lang w:val="en-US" w:eastAsia="zh-CN"/>
                    </w:rPr>
                  </w:pPr>
                </w:p>
              </w:tc>
              <w:tc>
                <w:tcPr>
                  <w:tcW w:w="679" w:type="dxa"/>
                  <w:tcBorders>
                    <w:top w:val="single" w:color="auto" w:sz="4" w:space="0"/>
                    <w:left w:val="single" w:color="auto" w:sz="4" w:space="0"/>
                    <w:bottom w:val="single" w:color="auto" w:sz="4" w:space="0"/>
                    <w:right w:val="single" w:color="auto" w:sz="4" w:space="0"/>
                  </w:tcBorders>
                  <w:shd w:val="clear" w:color="auto" w:fill="auto"/>
                  <w:vAlign w:val="center"/>
                </w:tcPr>
                <w:p w14:paraId="453F7916">
                  <w:pPr>
                    <w:keepNext w:val="0"/>
                    <w:keepLines w:val="0"/>
                    <w:widowControl/>
                    <w:suppressLineNumbers w:val="0"/>
                    <w:snapToGrid w:val="0"/>
                    <w:spacing w:before="0" w:beforeAutospacing="0" w:after="0" w:afterAutospacing="0" w:line="264" w:lineRule="auto"/>
                    <w:ind w:left="0" w:right="0"/>
                    <w:jc w:val="center"/>
                    <w:rPr>
                      <w:rFonts w:hint="eastAsia" w:ascii="Times New Roman" w:hAnsi="Times New Roman" w:eastAsia="宋体" w:cs="Times New Roman"/>
                      <w:kern w:val="0"/>
                      <w:sz w:val="18"/>
                      <w:szCs w:val="18"/>
                      <w:highlight w:val="none"/>
                      <w:lang w:val="en-US" w:eastAsia="zh-CN"/>
                    </w:rPr>
                  </w:pPr>
                  <w:r>
                    <w:rPr>
                      <w:rFonts w:hint="eastAsia" w:ascii="Times New Roman" w:hAnsi="Times New Roman" w:eastAsia="宋体" w:cs="Times New Roman"/>
                      <w:kern w:val="0"/>
                      <w:sz w:val="18"/>
                      <w:szCs w:val="18"/>
                      <w:highlight w:val="none"/>
                      <w:lang w:val="en-US" w:eastAsia="zh-CN"/>
                    </w:rPr>
                    <w:t xml:space="preserve">10.92 </w:t>
                  </w:r>
                </w:p>
              </w:tc>
              <w:tc>
                <w:tcPr>
                  <w:tcW w:w="723" w:type="dxa"/>
                  <w:tcBorders>
                    <w:top w:val="single" w:color="auto" w:sz="4" w:space="0"/>
                    <w:left w:val="single" w:color="auto" w:sz="4" w:space="0"/>
                    <w:bottom w:val="single" w:color="auto" w:sz="4" w:space="0"/>
                    <w:right w:val="single" w:color="auto" w:sz="4" w:space="0"/>
                  </w:tcBorders>
                  <w:shd w:val="clear" w:color="auto" w:fill="auto"/>
                  <w:vAlign w:val="center"/>
                </w:tcPr>
                <w:p w14:paraId="4DDF2720">
                  <w:pPr>
                    <w:keepNext w:val="0"/>
                    <w:keepLines w:val="0"/>
                    <w:widowControl/>
                    <w:suppressLineNumbers w:val="0"/>
                    <w:snapToGrid w:val="0"/>
                    <w:spacing w:before="0" w:beforeAutospacing="0" w:after="0" w:afterAutospacing="0" w:line="264" w:lineRule="auto"/>
                    <w:ind w:left="0" w:right="0"/>
                    <w:jc w:val="center"/>
                    <w:rPr>
                      <w:rFonts w:hint="eastAsia" w:ascii="Times New Roman" w:hAnsi="Times New Roman" w:eastAsia="宋体" w:cs="Times New Roman"/>
                      <w:kern w:val="0"/>
                      <w:sz w:val="18"/>
                      <w:szCs w:val="18"/>
                      <w:highlight w:val="none"/>
                      <w:lang w:val="en-US" w:eastAsia="zh-CN"/>
                    </w:rPr>
                  </w:pPr>
                  <w:r>
                    <w:rPr>
                      <w:rFonts w:hint="eastAsia" w:ascii="Times New Roman" w:hAnsi="Times New Roman" w:eastAsia="宋体" w:cs="Times New Roman"/>
                      <w:kern w:val="0"/>
                      <w:sz w:val="18"/>
                      <w:szCs w:val="18"/>
                      <w:highlight w:val="none"/>
                      <w:lang w:val="en-US" w:eastAsia="zh-CN"/>
                    </w:rPr>
                    <w:t>0.1</w:t>
                  </w:r>
                  <w:r>
                    <w:rPr>
                      <w:rFonts w:hint="eastAsia" w:cs="Times New Roman"/>
                      <w:kern w:val="0"/>
                      <w:sz w:val="18"/>
                      <w:szCs w:val="18"/>
                      <w:highlight w:val="none"/>
                      <w:lang w:val="en-US" w:eastAsia="zh-CN"/>
                    </w:rPr>
                    <w:t>9</w:t>
                  </w:r>
                  <w:r>
                    <w:rPr>
                      <w:rFonts w:hint="eastAsia" w:ascii="Times New Roman" w:hAnsi="Times New Roman" w:eastAsia="宋体" w:cs="Times New Roman"/>
                      <w:kern w:val="0"/>
                      <w:sz w:val="18"/>
                      <w:szCs w:val="18"/>
                      <w:highlight w:val="none"/>
                      <w:lang w:val="en-US" w:eastAsia="zh-CN"/>
                    </w:rPr>
                    <w:t>8</w:t>
                  </w:r>
                </w:p>
              </w:tc>
              <w:tc>
                <w:tcPr>
                  <w:tcW w:w="481" w:type="dxa"/>
                  <w:vMerge w:val="continue"/>
                  <w:tcBorders>
                    <w:left w:val="single" w:color="auto" w:sz="4" w:space="0"/>
                    <w:right w:val="single" w:color="auto" w:sz="4" w:space="0"/>
                  </w:tcBorders>
                  <w:vAlign w:val="center"/>
                </w:tcPr>
                <w:p w14:paraId="21E7FD9D">
                  <w:pPr>
                    <w:keepNext w:val="0"/>
                    <w:keepLines w:val="0"/>
                    <w:suppressLineNumbers w:val="0"/>
                    <w:snapToGrid w:val="0"/>
                    <w:spacing w:before="0" w:beforeAutospacing="0" w:after="0" w:afterAutospacing="0" w:line="264" w:lineRule="auto"/>
                    <w:ind w:left="0" w:right="0"/>
                    <w:jc w:val="center"/>
                    <w:rPr>
                      <w:rFonts w:hint="default" w:ascii="Times New Roman" w:hAnsi="Times New Roman" w:eastAsia="宋体" w:cs="Times New Roman"/>
                      <w:kern w:val="0"/>
                      <w:sz w:val="18"/>
                      <w:szCs w:val="18"/>
                      <w:highlight w:val="none"/>
                    </w:rPr>
                  </w:pPr>
                </w:p>
              </w:tc>
            </w:tr>
            <w:tr w14:paraId="498A387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jc w:val="center"/>
              </w:trPr>
              <w:tc>
                <w:tcPr>
                  <w:tcW w:w="580" w:type="dxa"/>
                  <w:vMerge w:val="continue"/>
                  <w:tcBorders>
                    <w:left w:val="single" w:color="auto" w:sz="4" w:space="0"/>
                    <w:right w:val="single" w:color="auto" w:sz="4" w:space="0"/>
                  </w:tcBorders>
                  <w:vAlign w:val="center"/>
                </w:tcPr>
                <w:p w14:paraId="05AD0D77">
                  <w:pPr>
                    <w:keepNext w:val="0"/>
                    <w:keepLines w:val="0"/>
                    <w:widowControl/>
                    <w:suppressLineNumbers w:val="0"/>
                    <w:adjustRightInd w:val="0"/>
                    <w:snapToGrid w:val="0"/>
                    <w:spacing w:before="0" w:beforeAutospacing="0" w:after="0" w:afterAutospacing="0" w:line="264" w:lineRule="auto"/>
                    <w:ind w:left="0" w:right="0"/>
                    <w:jc w:val="center"/>
                    <w:rPr>
                      <w:rFonts w:hint="default" w:ascii="Times New Roman" w:hAnsi="Times New Roman" w:eastAsia="宋体" w:cs="Times New Roman"/>
                      <w:snapToGrid w:val="0"/>
                      <w:sz w:val="18"/>
                      <w:szCs w:val="18"/>
                      <w:highlight w:val="none"/>
                    </w:rPr>
                  </w:pPr>
                </w:p>
              </w:tc>
              <w:tc>
                <w:tcPr>
                  <w:tcW w:w="423" w:type="dxa"/>
                  <w:vMerge w:val="continue"/>
                  <w:tcBorders>
                    <w:left w:val="single" w:color="auto" w:sz="4" w:space="0"/>
                    <w:right w:val="single" w:color="auto" w:sz="4" w:space="0"/>
                  </w:tcBorders>
                  <w:vAlign w:val="center"/>
                </w:tcPr>
                <w:p w14:paraId="103C021D">
                  <w:pPr>
                    <w:keepNext w:val="0"/>
                    <w:keepLines w:val="0"/>
                    <w:widowControl/>
                    <w:suppressLineNumbers w:val="0"/>
                    <w:adjustRightInd w:val="0"/>
                    <w:snapToGrid w:val="0"/>
                    <w:spacing w:before="0" w:beforeAutospacing="0" w:after="0" w:afterAutospacing="0" w:line="264" w:lineRule="auto"/>
                    <w:ind w:left="0" w:right="0"/>
                    <w:jc w:val="center"/>
                    <w:rPr>
                      <w:rFonts w:hint="default" w:ascii="Times New Roman" w:hAnsi="Times New Roman" w:eastAsia="宋体" w:cs="Times New Roman"/>
                      <w:snapToGrid w:val="0"/>
                      <w:sz w:val="18"/>
                      <w:szCs w:val="18"/>
                      <w:highlight w:val="none"/>
                    </w:rPr>
                  </w:pPr>
                </w:p>
              </w:tc>
              <w:tc>
                <w:tcPr>
                  <w:tcW w:w="1031" w:type="dxa"/>
                  <w:vMerge w:val="continue"/>
                  <w:tcBorders>
                    <w:left w:val="single" w:color="auto" w:sz="4" w:space="0"/>
                    <w:right w:val="single" w:color="auto" w:sz="4" w:space="0"/>
                  </w:tcBorders>
                  <w:shd w:val="clear" w:color="auto" w:fill="auto"/>
                  <w:vAlign w:val="center"/>
                </w:tcPr>
                <w:p w14:paraId="1063FB95">
                  <w:pPr>
                    <w:keepNext w:val="0"/>
                    <w:keepLines w:val="0"/>
                    <w:widowControl/>
                    <w:suppressLineNumbers w:val="0"/>
                    <w:adjustRightInd w:val="0"/>
                    <w:snapToGrid w:val="0"/>
                    <w:spacing w:before="0" w:beforeAutospacing="0" w:after="0" w:afterAutospacing="0" w:line="264" w:lineRule="auto"/>
                    <w:ind w:left="0" w:right="0"/>
                    <w:jc w:val="center"/>
                    <w:rPr>
                      <w:rFonts w:hint="eastAsia" w:ascii="Times New Roman" w:hAnsi="Times New Roman" w:eastAsia="宋体" w:cs="Times New Roman"/>
                      <w:snapToGrid w:val="0"/>
                      <w:kern w:val="2"/>
                      <w:sz w:val="18"/>
                      <w:szCs w:val="18"/>
                      <w:highlight w:val="none"/>
                      <w:lang w:val="en-US" w:eastAsia="zh-CN" w:bidi="ar-SA"/>
                    </w:rPr>
                  </w:pPr>
                </w:p>
              </w:tc>
              <w:tc>
                <w:tcPr>
                  <w:tcW w:w="595" w:type="dxa"/>
                  <w:tcBorders>
                    <w:top w:val="single" w:color="auto" w:sz="4" w:space="0"/>
                    <w:left w:val="single" w:color="auto" w:sz="4" w:space="0"/>
                    <w:bottom w:val="single" w:color="auto" w:sz="4" w:space="0"/>
                    <w:right w:val="single" w:color="auto" w:sz="4" w:space="0"/>
                  </w:tcBorders>
                  <w:shd w:val="clear" w:color="auto" w:fill="auto"/>
                  <w:vAlign w:val="center"/>
                </w:tcPr>
                <w:p w14:paraId="60FC44DD">
                  <w:pPr>
                    <w:keepNext w:val="0"/>
                    <w:keepLines w:val="0"/>
                    <w:widowControl/>
                    <w:suppressLineNumbers w:val="0"/>
                    <w:adjustRightInd w:val="0"/>
                    <w:snapToGrid w:val="0"/>
                    <w:spacing w:before="0" w:beforeAutospacing="0" w:after="0" w:afterAutospacing="0" w:line="264" w:lineRule="auto"/>
                    <w:ind w:left="0" w:right="0"/>
                    <w:jc w:val="center"/>
                    <w:rPr>
                      <w:rFonts w:hint="eastAsia" w:ascii="Times New Roman" w:hAnsi="Times New Roman" w:eastAsia="宋体" w:cs="Times New Roman"/>
                      <w:snapToGrid w:val="0"/>
                      <w:kern w:val="2"/>
                      <w:sz w:val="18"/>
                      <w:szCs w:val="18"/>
                      <w:highlight w:val="none"/>
                      <w:lang w:val="en-US" w:eastAsia="zh-CN" w:bidi="ar-SA"/>
                    </w:rPr>
                  </w:pPr>
                  <w:r>
                    <w:rPr>
                      <w:rFonts w:hint="eastAsia" w:ascii="Times New Roman" w:hAnsi="Times New Roman" w:eastAsia="宋体" w:cs="Times New Roman"/>
                      <w:snapToGrid w:val="0"/>
                      <w:sz w:val="18"/>
                      <w:szCs w:val="18"/>
                      <w:highlight w:val="none"/>
                      <w:lang w:val="en-US" w:eastAsia="zh-CN"/>
                    </w:rPr>
                    <w:t>SS</w:t>
                  </w:r>
                </w:p>
              </w:tc>
              <w:tc>
                <w:tcPr>
                  <w:tcW w:w="609" w:type="dxa"/>
                  <w:vMerge w:val="continue"/>
                  <w:tcBorders>
                    <w:left w:val="single" w:color="auto" w:sz="4" w:space="0"/>
                    <w:right w:val="single" w:color="auto" w:sz="4" w:space="0"/>
                  </w:tcBorders>
                  <w:vAlign w:val="center"/>
                </w:tcPr>
                <w:p w14:paraId="09F4D1D5">
                  <w:pPr>
                    <w:keepNext w:val="0"/>
                    <w:keepLines w:val="0"/>
                    <w:widowControl/>
                    <w:suppressLineNumbers w:val="0"/>
                    <w:snapToGrid w:val="0"/>
                    <w:spacing w:before="0" w:beforeAutospacing="0" w:after="0" w:afterAutospacing="0" w:line="264" w:lineRule="auto"/>
                    <w:ind w:left="0" w:right="0"/>
                    <w:jc w:val="center"/>
                    <w:rPr>
                      <w:rFonts w:hint="eastAsia" w:ascii="Times New Roman" w:hAnsi="Times New Roman" w:eastAsia="宋体" w:cs="Times New Roman"/>
                      <w:kern w:val="0"/>
                      <w:sz w:val="18"/>
                      <w:szCs w:val="18"/>
                      <w:highlight w:val="none"/>
                      <w:lang w:val="en-US" w:eastAsia="zh-CN"/>
                    </w:rPr>
                  </w:pPr>
                </w:p>
              </w:tc>
              <w:tc>
                <w:tcPr>
                  <w:tcW w:w="699" w:type="dxa"/>
                  <w:tcBorders>
                    <w:top w:val="single" w:color="auto" w:sz="4" w:space="0"/>
                    <w:left w:val="single" w:color="auto" w:sz="4" w:space="0"/>
                    <w:bottom w:val="single" w:color="auto" w:sz="4" w:space="0"/>
                    <w:right w:val="single" w:color="auto" w:sz="4" w:space="0"/>
                  </w:tcBorders>
                  <w:shd w:val="clear" w:color="auto" w:fill="auto"/>
                  <w:vAlign w:val="center"/>
                </w:tcPr>
                <w:p w14:paraId="6BD300AF">
                  <w:pPr>
                    <w:keepNext w:val="0"/>
                    <w:keepLines w:val="0"/>
                    <w:widowControl/>
                    <w:suppressLineNumbers w:val="0"/>
                    <w:snapToGrid w:val="0"/>
                    <w:spacing w:before="0" w:beforeAutospacing="0" w:after="0" w:afterAutospacing="0" w:line="264" w:lineRule="auto"/>
                    <w:ind w:left="0" w:right="0"/>
                    <w:jc w:val="center"/>
                    <w:rPr>
                      <w:rFonts w:hint="default" w:ascii="Times New Roman" w:hAnsi="Times New Roman" w:eastAsia="宋体" w:cs="Times New Roman"/>
                      <w:kern w:val="0"/>
                      <w:sz w:val="18"/>
                      <w:szCs w:val="18"/>
                      <w:highlight w:val="none"/>
                      <w:lang w:val="en-US" w:eastAsia="zh-CN"/>
                    </w:rPr>
                  </w:pPr>
                  <w:r>
                    <w:rPr>
                      <w:rFonts w:hint="eastAsia" w:ascii="Times New Roman" w:hAnsi="Times New Roman" w:eastAsia="宋体" w:cs="Times New Roman"/>
                      <w:kern w:val="0"/>
                      <w:sz w:val="18"/>
                      <w:szCs w:val="18"/>
                      <w:highlight w:val="none"/>
                      <w:lang w:val="en-US" w:eastAsia="zh-CN"/>
                    </w:rPr>
                    <w:t xml:space="preserve">140.62 </w:t>
                  </w:r>
                </w:p>
              </w:tc>
              <w:tc>
                <w:tcPr>
                  <w:tcW w:w="777" w:type="dxa"/>
                  <w:tcBorders>
                    <w:top w:val="single" w:color="auto" w:sz="4" w:space="0"/>
                    <w:left w:val="single" w:color="auto" w:sz="4" w:space="0"/>
                    <w:bottom w:val="single" w:color="auto" w:sz="4" w:space="0"/>
                    <w:right w:val="single" w:color="auto" w:sz="4" w:space="0"/>
                  </w:tcBorders>
                  <w:shd w:val="clear" w:color="auto" w:fill="auto"/>
                  <w:vAlign w:val="center"/>
                </w:tcPr>
                <w:p w14:paraId="62C80501">
                  <w:pPr>
                    <w:keepNext w:val="0"/>
                    <w:keepLines w:val="0"/>
                    <w:widowControl/>
                    <w:suppressLineNumbers w:val="0"/>
                    <w:snapToGrid w:val="0"/>
                    <w:spacing w:before="0" w:beforeAutospacing="0" w:after="0" w:afterAutospacing="0" w:line="264" w:lineRule="auto"/>
                    <w:ind w:left="0" w:right="0"/>
                    <w:jc w:val="center"/>
                    <w:rPr>
                      <w:rFonts w:hint="default" w:ascii="Times New Roman" w:hAnsi="Times New Roman" w:eastAsia="宋体" w:cs="Times New Roman"/>
                      <w:kern w:val="0"/>
                      <w:sz w:val="18"/>
                      <w:szCs w:val="18"/>
                      <w:highlight w:val="none"/>
                      <w:lang w:val="en-US" w:eastAsia="zh-CN"/>
                    </w:rPr>
                  </w:pPr>
                  <w:r>
                    <w:rPr>
                      <w:rFonts w:hint="eastAsia" w:ascii="Times New Roman" w:hAnsi="Times New Roman" w:eastAsia="宋体" w:cs="Times New Roman"/>
                      <w:kern w:val="0"/>
                      <w:sz w:val="18"/>
                      <w:szCs w:val="18"/>
                      <w:highlight w:val="none"/>
                      <w:lang w:val="en-US" w:eastAsia="zh-CN"/>
                    </w:rPr>
                    <w:t>2.</w:t>
                  </w:r>
                  <w:r>
                    <w:rPr>
                      <w:rFonts w:hint="eastAsia" w:cs="Times New Roman"/>
                      <w:kern w:val="0"/>
                      <w:sz w:val="18"/>
                      <w:szCs w:val="18"/>
                      <w:highlight w:val="none"/>
                      <w:lang w:val="en-US" w:eastAsia="zh-CN"/>
                    </w:rPr>
                    <w:t>55</w:t>
                  </w:r>
                </w:p>
              </w:tc>
              <w:tc>
                <w:tcPr>
                  <w:tcW w:w="630" w:type="dxa"/>
                  <w:tcBorders>
                    <w:left w:val="single" w:color="auto" w:sz="4" w:space="0"/>
                    <w:right w:val="single" w:color="auto" w:sz="4" w:space="0"/>
                  </w:tcBorders>
                  <w:shd w:val="clear" w:color="auto" w:fill="auto"/>
                  <w:vAlign w:val="center"/>
                </w:tcPr>
                <w:p w14:paraId="5DCF674C">
                  <w:pPr>
                    <w:keepNext w:val="0"/>
                    <w:keepLines w:val="0"/>
                    <w:suppressLineNumbers w:val="0"/>
                    <w:snapToGrid w:val="0"/>
                    <w:spacing w:before="0" w:beforeAutospacing="0" w:after="0" w:afterAutospacing="0" w:line="264" w:lineRule="auto"/>
                    <w:ind w:left="0" w:right="0"/>
                    <w:jc w:val="center"/>
                    <w:rPr>
                      <w:rFonts w:hint="eastAsia" w:ascii="Times New Roman" w:hAnsi="Times New Roman" w:eastAsia="宋体" w:cs="Times New Roman"/>
                      <w:sz w:val="18"/>
                      <w:szCs w:val="18"/>
                      <w:highlight w:val="none"/>
                      <w:lang w:val="en-US" w:eastAsia="zh-CN"/>
                    </w:rPr>
                  </w:pPr>
                  <w:r>
                    <w:rPr>
                      <w:rFonts w:hint="eastAsia" w:ascii="Times New Roman" w:hAnsi="Times New Roman" w:eastAsia="宋体" w:cs="Times New Roman"/>
                      <w:sz w:val="18"/>
                      <w:szCs w:val="18"/>
                      <w:highlight w:val="none"/>
                      <w:lang w:val="en-US" w:eastAsia="zh-CN"/>
                    </w:rPr>
                    <w:t>/</w:t>
                  </w:r>
                </w:p>
              </w:tc>
              <w:tc>
                <w:tcPr>
                  <w:tcW w:w="477" w:type="dxa"/>
                  <w:tcBorders>
                    <w:left w:val="single" w:color="auto" w:sz="4" w:space="0"/>
                    <w:right w:val="single" w:color="auto" w:sz="4" w:space="0"/>
                  </w:tcBorders>
                  <w:shd w:val="clear" w:color="auto" w:fill="auto"/>
                  <w:vAlign w:val="center"/>
                </w:tcPr>
                <w:p w14:paraId="4C385DBE">
                  <w:pPr>
                    <w:keepNext w:val="0"/>
                    <w:keepLines w:val="0"/>
                    <w:suppressLineNumbers w:val="0"/>
                    <w:snapToGrid w:val="0"/>
                    <w:spacing w:before="0" w:beforeAutospacing="0" w:after="0" w:afterAutospacing="0" w:line="264" w:lineRule="auto"/>
                    <w:ind w:left="0" w:right="0"/>
                    <w:jc w:val="center"/>
                    <w:rPr>
                      <w:rFonts w:hint="eastAsia" w:ascii="Times New Roman" w:hAnsi="Times New Roman" w:eastAsia="宋体" w:cs="Times New Roman"/>
                      <w:sz w:val="18"/>
                      <w:szCs w:val="18"/>
                      <w:highlight w:val="none"/>
                      <w:lang w:val="en-US" w:eastAsia="zh-CN"/>
                    </w:rPr>
                  </w:pPr>
                  <w:r>
                    <w:rPr>
                      <w:rFonts w:hint="eastAsia" w:ascii="Times New Roman" w:hAnsi="Times New Roman" w:eastAsia="宋体" w:cs="Times New Roman"/>
                      <w:sz w:val="18"/>
                      <w:szCs w:val="18"/>
                      <w:highlight w:val="none"/>
                      <w:lang w:val="en-US" w:eastAsia="zh-CN"/>
                    </w:rPr>
                    <w:t>/</w:t>
                  </w:r>
                </w:p>
              </w:tc>
              <w:tc>
                <w:tcPr>
                  <w:tcW w:w="611" w:type="dxa"/>
                  <w:vMerge w:val="continue"/>
                  <w:tcBorders>
                    <w:left w:val="single" w:color="auto" w:sz="4" w:space="0"/>
                    <w:right w:val="single" w:color="auto" w:sz="4" w:space="0"/>
                  </w:tcBorders>
                  <w:vAlign w:val="center"/>
                </w:tcPr>
                <w:p w14:paraId="43FE033D">
                  <w:pPr>
                    <w:keepNext w:val="0"/>
                    <w:keepLines w:val="0"/>
                    <w:widowControl/>
                    <w:suppressLineNumbers w:val="0"/>
                    <w:snapToGrid w:val="0"/>
                    <w:spacing w:before="0" w:beforeAutospacing="0" w:after="0" w:afterAutospacing="0" w:line="264" w:lineRule="auto"/>
                    <w:ind w:left="0" w:right="0"/>
                    <w:jc w:val="center"/>
                    <w:rPr>
                      <w:rFonts w:hint="eastAsia" w:ascii="Times New Roman" w:hAnsi="Times New Roman" w:eastAsia="宋体" w:cs="Times New Roman"/>
                      <w:kern w:val="0"/>
                      <w:sz w:val="18"/>
                      <w:szCs w:val="18"/>
                      <w:highlight w:val="none"/>
                      <w:lang w:val="en-US" w:eastAsia="zh-CN"/>
                    </w:rPr>
                  </w:pPr>
                </w:p>
              </w:tc>
              <w:tc>
                <w:tcPr>
                  <w:tcW w:w="679" w:type="dxa"/>
                  <w:tcBorders>
                    <w:top w:val="single" w:color="auto" w:sz="4" w:space="0"/>
                    <w:left w:val="single" w:color="auto" w:sz="4" w:space="0"/>
                    <w:bottom w:val="single" w:color="auto" w:sz="4" w:space="0"/>
                    <w:right w:val="single" w:color="auto" w:sz="4" w:space="0"/>
                  </w:tcBorders>
                  <w:shd w:val="clear" w:color="auto" w:fill="auto"/>
                  <w:vAlign w:val="center"/>
                </w:tcPr>
                <w:p w14:paraId="049EEDCF">
                  <w:pPr>
                    <w:keepNext w:val="0"/>
                    <w:keepLines w:val="0"/>
                    <w:widowControl/>
                    <w:suppressLineNumbers w:val="0"/>
                    <w:snapToGrid w:val="0"/>
                    <w:spacing w:before="0" w:beforeAutospacing="0" w:after="0" w:afterAutospacing="0" w:line="264" w:lineRule="auto"/>
                    <w:ind w:left="0" w:right="0"/>
                    <w:jc w:val="center"/>
                    <w:rPr>
                      <w:rFonts w:hint="default" w:ascii="Times New Roman" w:hAnsi="Times New Roman" w:eastAsia="宋体" w:cs="Times New Roman"/>
                      <w:kern w:val="0"/>
                      <w:sz w:val="18"/>
                      <w:szCs w:val="18"/>
                      <w:highlight w:val="none"/>
                      <w:lang w:val="en-US" w:eastAsia="zh-CN"/>
                    </w:rPr>
                  </w:pPr>
                  <w:r>
                    <w:rPr>
                      <w:rFonts w:hint="eastAsia" w:ascii="Times New Roman" w:hAnsi="Times New Roman" w:eastAsia="宋体" w:cs="Times New Roman"/>
                      <w:kern w:val="0"/>
                      <w:sz w:val="18"/>
                      <w:szCs w:val="18"/>
                      <w:highlight w:val="none"/>
                      <w:lang w:val="en-US" w:eastAsia="zh-CN"/>
                    </w:rPr>
                    <w:t xml:space="preserve">110.29 </w:t>
                  </w:r>
                </w:p>
              </w:tc>
              <w:tc>
                <w:tcPr>
                  <w:tcW w:w="723" w:type="dxa"/>
                  <w:tcBorders>
                    <w:top w:val="single" w:color="auto" w:sz="4" w:space="0"/>
                    <w:left w:val="single" w:color="auto" w:sz="4" w:space="0"/>
                    <w:bottom w:val="single" w:color="auto" w:sz="4" w:space="0"/>
                    <w:right w:val="single" w:color="auto" w:sz="4" w:space="0"/>
                  </w:tcBorders>
                  <w:shd w:val="clear" w:color="auto" w:fill="auto"/>
                  <w:vAlign w:val="center"/>
                </w:tcPr>
                <w:p w14:paraId="780534E2">
                  <w:pPr>
                    <w:keepNext w:val="0"/>
                    <w:keepLines w:val="0"/>
                    <w:widowControl/>
                    <w:suppressLineNumbers w:val="0"/>
                    <w:snapToGrid w:val="0"/>
                    <w:spacing w:before="0" w:beforeAutospacing="0" w:after="0" w:afterAutospacing="0" w:line="264" w:lineRule="auto"/>
                    <w:ind w:left="0" w:right="0"/>
                    <w:jc w:val="center"/>
                    <w:rPr>
                      <w:rFonts w:hint="eastAsia" w:ascii="Times New Roman" w:hAnsi="Times New Roman" w:eastAsia="宋体" w:cs="Times New Roman"/>
                      <w:kern w:val="0"/>
                      <w:sz w:val="18"/>
                      <w:szCs w:val="18"/>
                      <w:highlight w:val="none"/>
                      <w:lang w:val="en-US" w:eastAsia="zh-CN"/>
                    </w:rPr>
                  </w:pPr>
                  <w:r>
                    <w:rPr>
                      <w:rFonts w:hint="eastAsia" w:cs="Times New Roman"/>
                      <w:kern w:val="0"/>
                      <w:sz w:val="18"/>
                      <w:szCs w:val="18"/>
                      <w:highlight w:val="none"/>
                      <w:lang w:val="en-US" w:eastAsia="zh-CN"/>
                    </w:rPr>
                    <w:t>2</w:t>
                  </w:r>
                </w:p>
              </w:tc>
              <w:tc>
                <w:tcPr>
                  <w:tcW w:w="481" w:type="dxa"/>
                  <w:vMerge w:val="continue"/>
                  <w:tcBorders>
                    <w:left w:val="single" w:color="auto" w:sz="4" w:space="0"/>
                    <w:right w:val="single" w:color="auto" w:sz="4" w:space="0"/>
                  </w:tcBorders>
                  <w:vAlign w:val="center"/>
                </w:tcPr>
                <w:p w14:paraId="1594951B">
                  <w:pPr>
                    <w:keepNext w:val="0"/>
                    <w:keepLines w:val="0"/>
                    <w:suppressLineNumbers w:val="0"/>
                    <w:snapToGrid w:val="0"/>
                    <w:spacing w:before="0" w:beforeAutospacing="0" w:after="0" w:afterAutospacing="0" w:line="264" w:lineRule="auto"/>
                    <w:ind w:left="0" w:right="0"/>
                    <w:jc w:val="center"/>
                    <w:rPr>
                      <w:rFonts w:hint="default" w:ascii="Times New Roman" w:hAnsi="Times New Roman" w:eastAsia="宋体" w:cs="Times New Roman"/>
                      <w:kern w:val="0"/>
                      <w:sz w:val="18"/>
                      <w:szCs w:val="18"/>
                      <w:highlight w:val="none"/>
                    </w:rPr>
                  </w:pPr>
                </w:p>
              </w:tc>
            </w:tr>
            <w:tr w14:paraId="5A0A55B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jc w:val="center"/>
              </w:trPr>
              <w:tc>
                <w:tcPr>
                  <w:tcW w:w="580" w:type="dxa"/>
                  <w:vMerge w:val="continue"/>
                  <w:tcBorders>
                    <w:left w:val="single" w:color="auto" w:sz="4" w:space="0"/>
                    <w:right w:val="single" w:color="auto" w:sz="4" w:space="0"/>
                  </w:tcBorders>
                  <w:vAlign w:val="center"/>
                </w:tcPr>
                <w:p w14:paraId="05FF42DB">
                  <w:pPr>
                    <w:keepNext w:val="0"/>
                    <w:keepLines w:val="0"/>
                    <w:widowControl/>
                    <w:suppressLineNumbers w:val="0"/>
                    <w:adjustRightInd w:val="0"/>
                    <w:snapToGrid w:val="0"/>
                    <w:spacing w:before="0" w:beforeAutospacing="0" w:after="0" w:afterAutospacing="0" w:line="264" w:lineRule="auto"/>
                    <w:ind w:left="0" w:right="0"/>
                    <w:jc w:val="center"/>
                    <w:rPr>
                      <w:rFonts w:hint="default" w:ascii="Times New Roman" w:hAnsi="Times New Roman" w:eastAsia="宋体" w:cs="Times New Roman"/>
                      <w:snapToGrid w:val="0"/>
                      <w:sz w:val="18"/>
                      <w:szCs w:val="18"/>
                      <w:highlight w:val="none"/>
                    </w:rPr>
                  </w:pPr>
                </w:p>
              </w:tc>
              <w:tc>
                <w:tcPr>
                  <w:tcW w:w="423" w:type="dxa"/>
                  <w:vMerge w:val="continue"/>
                  <w:tcBorders>
                    <w:left w:val="single" w:color="auto" w:sz="4" w:space="0"/>
                    <w:right w:val="single" w:color="auto" w:sz="4" w:space="0"/>
                  </w:tcBorders>
                  <w:vAlign w:val="center"/>
                </w:tcPr>
                <w:p w14:paraId="439ED2D0">
                  <w:pPr>
                    <w:keepNext w:val="0"/>
                    <w:keepLines w:val="0"/>
                    <w:widowControl/>
                    <w:suppressLineNumbers w:val="0"/>
                    <w:adjustRightInd w:val="0"/>
                    <w:snapToGrid w:val="0"/>
                    <w:spacing w:before="0" w:beforeAutospacing="0" w:after="0" w:afterAutospacing="0" w:line="264" w:lineRule="auto"/>
                    <w:ind w:left="0" w:right="0"/>
                    <w:jc w:val="center"/>
                    <w:rPr>
                      <w:rFonts w:hint="default" w:ascii="Times New Roman" w:hAnsi="Times New Roman" w:eastAsia="宋体" w:cs="Times New Roman"/>
                      <w:snapToGrid w:val="0"/>
                      <w:sz w:val="18"/>
                      <w:szCs w:val="18"/>
                      <w:highlight w:val="none"/>
                    </w:rPr>
                  </w:pPr>
                </w:p>
              </w:tc>
              <w:tc>
                <w:tcPr>
                  <w:tcW w:w="1031" w:type="dxa"/>
                  <w:vMerge w:val="continue"/>
                  <w:tcBorders>
                    <w:left w:val="single" w:color="auto" w:sz="4" w:space="0"/>
                    <w:right w:val="single" w:color="auto" w:sz="4" w:space="0"/>
                  </w:tcBorders>
                  <w:shd w:val="clear" w:color="auto" w:fill="auto"/>
                  <w:vAlign w:val="center"/>
                </w:tcPr>
                <w:p w14:paraId="74057187">
                  <w:pPr>
                    <w:keepNext w:val="0"/>
                    <w:keepLines w:val="0"/>
                    <w:widowControl/>
                    <w:suppressLineNumbers w:val="0"/>
                    <w:adjustRightInd w:val="0"/>
                    <w:snapToGrid w:val="0"/>
                    <w:spacing w:before="0" w:beforeAutospacing="0" w:after="0" w:afterAutospacing="0" w:line="264" w:lineRule="auto"/>
                    <w:ind w:left="0" w:right="0"/>
                    <w:jc w:val="center"/>
                    <w:rPr>
                      <w:rFonts w:hint="eastAsia" w:ascii="Times New Roman" w:hAnsi="Times New Roman" w:eastAsia="宋体" w:cs="Times New Roman"/>
                      <w:snapToGrid w:val="0"/>
                      <w:kern w:val="2"/>
                      <w:sz w:val="18"/>
                      <w:szCs w:val="18"/>
                      <w:highlight w:val="none"/>
                      <w:lang w:val="en-US" w:eastAsia="zh-CN" w:bidi="ar-SA"/>
                    </w:rPr>
                  </w:pPr>
                </w:p>
              </w:tc>
              <w:tc>
                <w:tcPr>
                  <w:tcW w:w="595" w:type="dxa"/>
                  <w:tcBorders>
                    <w:top w:val="single" w:color="auto" w:sz="4" w:space="0"/>
                    <w:left w:val="single" w:color="auto" w:sz="4" w:space="0"/>
                    <w:bottom w:val="single" w:color="auto" w:sz="4" w:space="0"/>
                    <w:right w:val="single" w:color="auto" w:sz="4" w:space="0"/>
                  </w:tcBorders>
                  <w:shd w:val="clear" w:color="auto" w:fill="auto"/>
                  <w:vAlign w:val="center"/>
                </w:tcPr>
                <w:p w14:paraId="6AB5D005">
                  <w:pPr>
                    <w:keepNext w:val="0"/>
                    <w:keepLines w:val="0"/>
                    <w:widowControl/>
                    <w:suppressLineNumbers w:val="0"/>
                    <w:adjustRightInd w:val="0"/>
                    <w:snapToGrid w:val="0"/>
                    <w:spacing w:before="0" w:beforeAutospacing="0" w:after="0" w:afterAutospacing="0" w:line="264" w:lineRule="auto"/>
                    <w:ind w:left="0" w:right="0"/>
                    <w:jc w:val="center"/>
                    <w:rPr>
                      <w:rFonts w:hint="eastAsia" w:ascii="Times New Roman" w:hAnsi="Times New Roman" w:eastAsia="宋体" w:cs="Times New Roman"/>
                      <w:snapToGrid w:val="0"/>
                      <w:sz w:val="18"/>
                      <w:szCs w:val="18"/>
                      <w:highlight w:val="none"/>
                      <w:lang w:val="en-US" w:eastAsia="zh-CN"/>
                    </w:rPr>
                  </w:pPr>
                  <w:r>
                    <w:rPr>
                      <w:rFonts w:hint="eastAsia" w:ascii="Times New Roman" w:hAnsi="Times New Roman" w:eastAsia="宋体" w:cs="Times New Roman"/>
                      <w:snapToGrid w:val="0"/>
                      <w:kern w:val="2"/>
                      <w:sz w:val="18"/>
                      <w:szCs w:val="18"/>
                      <w:highlight w:val="none"/>
                      <w:lang w:val="en-US" w:eastAsia="zh-CN" w:bidi="ar-SA"/>
                    </w:rPr>
                    <w:t>BOD</w:t>
                  </w:r>
                  <w:r>
                    <w:rPr>
                      <w:rFonts w:hint="eastAsia" w:ascii="Times New Roman" w:hAnsi="Times New Roman" w:eastAsia="宋体" w:cs="Times New Roman"/>
                      <w:snapToGrid w:val="0"/>
                      <w:kern w:val="2"/>
                      <w:sz w:val="18"/>
                      <w:szCs w:val="18"/>
                      <w:highlight w:val="none"/>
                      <w:vertAlign w:val="subscript"/>
                      <w:lang w:val="en-US" w:eastAsia="zh-CN" w:bidi="ar-SA"/>
                    </w:rPr>
                    <w:t>5</w:t>
                  </w:r>
                </w:p>
              </w:tc>
              <w:tc>
                <w:tcPr>
                  <w:tcW w:w="609" w:type="dxa"/>
                  <w:vMerge w:val="continue"/>
                  <w:tcBorders>
                    <w:left w:val="single" w:color="auto" w:sz="4" w:space="0"/>
                    <w:right w:val="single" w:color="auto" w:sz="4" w:space="0"/>
                  </w:tcBorders>
                  <w:vAlign w:val="center"/>
                </w:tcPr>
                <w:p w14:paraId="5817BDC6">
                  <w:pPr>
                    <w:keepNext w:val="0"/>
                    <w:keepLines w:val="0"/>
                    <w:widowControl/>
                    <w:suppressLineNumbers w:val="0"/>
                    <w:snapToGrid w:val="0"/>
                    <w:spacing w:before="0" w:beforeAutospacing="0" w:after="0" w:afterAutospacing="0" w:line="264" w:lineRule="auto"/>
                    <w:ind w:left="0" w:right="0"/>
                    <w:jc w:val="center"/>
                    <w:rPr>
                      <w:rFonts w:hint="eastAsia" w:ascii="Times New Roman" w:hAnsi="Times New Roman" w:eastAsia="宋体" w:cs="Times New Roman"/>
                      <w:kern w:val="0"/>
                      <w:sz w:val="18"/>
                      <w:szCs w:val="18"/>
                      <w:highlight w:val="none"/>
                      <w:lang w:val="en-US" w:eastAsia="zh-CN"/>
                    </w:rPr>
                  </w:pPr>
                </w:p>
              </w:tc>
              <w:tc>
                <w:tcPr>
                  <w:tcW w:w="699" w:type="dxa"/>
                  <w:tcBorders>
                    <w:top w:val="single" w:color="auto" w:sz="4" w:space="0"/>
                    <w:left w:val="single" w:color="auto" w:sz="4" w:space="0"/>
                    <w:bottom w:val="single" w:color="auto" w:sz="4" w:space="0"/>
                    <w:right w:val="single" w:color="auto" w:sz="4" w:space="0"/>
                  </w:tcBorders>
                  <w:shd w:val="clear" w:color="auto" w:fill="auto"/>
                  <w:vAlign w:val="center"/>
                </w:tcPr>
                <w:p w14:paraId="3701706F">
                  <w:pPr>
                    <w:keepNext w:val="0"/>
                    <w:keepLines w:val="0"/>
                    <w:widowControl/>
                    <w:suppressLineNumbers w:val="0"/>
                    <w:snapToGrid w:val="0"/>
                    <w:spacing w:before="0" w:beforeAutospacing="0" w:after="0" w:afterAutospacing="0" w:line="264" w:lineRule="auto"/>
                    <w:ind w:left="0" w:right="0"/>
                    <w:jc w:val="center"/>
                    <w:rPr>
                      <w:rFonts w:hint="default" w:ascii="Times New Roman" w:hAnsi="Times New Roman" w:eastAsia="宋体" w:cs="Times New Roman"/>
                      <w:kern w:val="0"/>
                      <w:sz w:val="18"/>
                      <w:szCs w:val="18"/>
                      <w:highlight w:val="none"/>
                      <w:lang w:val="en-US" w:eastAsia="zh-CN"/>
                    </w:rPr>
                  </w:pPr>
                  <w:r>
                    <w:rPr>
                      <w:rFonts w:hint="eastAsia" w:ascii="Times New Roman" w:hAnsi="Times New Roman" w:eastAsia="宋体" w:cs="Times New Roman"/>
                      <w:kern w:val="0"/>
                      <w:sz w:val="18"/>
                      <w:szCs w:val="18"/>
                      <w:highlight w:val="none"/>
                      <w:lang w:val="en-US" w:eastAsia="zh-CN"/>
                    </w:rPr>
                    <w:t xml:space="preserve">51.12 </w:t>
                  </w:r>
                </w:p>
              </w:tc>
              <w:tc>
                <w:tcPr>
                  <w:tcW w:w="777" w:type="dxa"/>
                  <w:tcBorders>
                    <w:top w:val="single" w:color="auto" w:sz="4" w:space="0"/>
                    <w:left w:val="single" w:color="auto" w:sz="4" w:space="0"/>
                    <w:bottom w:val="single" w:color="auto" w:sz="4" w:space="0"/>
                    <w:right w:val="single" w:color="auto" w:sz="4" w:space="0"/>
                  </w:tcBorders>
                  <w:shd w:val="clear" w:color="auto" w:fill="auto"/>
                  <w:vAlign w:val="center"/>
                </w:tcPr>
                <w:p w14:paraId="03EED2EA">
                  <w:pPr>
                    <w:keepNext w:val="0"/>
                    <w:keepLines w:val="0"/>
                    <w:widowControl/>
                    <w:suppressLineNumbers w:val="0"/>
                    <w:snapToGrid w:val="0"/>
                    <w:spacing w:before="0" w:beforeAutospacing="0" w:after="0" w:afterAutospacing="0" w:line="264" w:lineRule="auto"/>
                    <w:ind w:left="0" w:right="0"/>
                    <w:jc w:val="center"/>
                    <w:rPr>
                      <w:rFonts w:hint="eastAsia" w:ascii="Times New Roman" w:hAnsi="Times New Roman" w:eastAsia="宋体" w:cs="Times New Roman"/>
                      <w:kern w:val="0"/>
                      <w:sz w:val="18"/>
                      <w:szCs w:val="18"/>
                      <w:highlight w:val="none"/>
                      <w:lang w:val="en-US" w:eastAsia="zh-CN"/>
                    </w:rPr>
                  </w:pPr>
                  <w:r>
                    <w:rPr>
                      <w:rFonts w:hint="eastAsia" w:ascii="Times New Roman" w:hAnsi="Times New Roman" w:eastAsia="宋体" w:cs="Times New Roman"/>
                      <w:kern w:val="0"/>
                      <w:sz w:val="18"/>
                      <w:szCs w:val="18"/>
                      <w:highlight w:val="none"/>
                      <w:lang w:val="en-US" w:eastAsia="zh-CN"/>
                    </w:rPr>
                    <w:t>0.927</w:t>
                  </w:r>
                </w:p>
              </w:tc>
              <w:tc>
                <w:tcPr>
                  <w:tcW w:w="630" w:type="dxa"/>
                  <w:tcBorders>
                    <w:left w:val="single" w:color="auto" w:sz="4" w:space="0"/>
                    <w:right w:val="single" w:color="auto" w:sz="4" w:space="0"/>
                  </w:tcBorders>
                  <w:shd w:val="clear" w:color="auto" w:fill="auto"/>
                  <w:vAlign w:val="center"/>
                </w:tcPr>
                <w:p w14:paraId="6D47CDE3">
                  <w:pPr>
                    <w:keepNext w:val="0"/>
                    <w:keepLines w:val="0"/>
                    <w:suppressLineNumbers w:val="0"/>
                    <w:snapToGrid w:val="0"/>
                    <w:spacing w:before="0" w:beforeAutospacing="0" w:after="0" w:afterAutospacing="0" w:line="264" w:lineRule="auto"/>
                    <w:ind w:left="0" w:right="0"/>
                    <w:jc w:val="center"/>
                    <w:rPr>
                      <w:rFonts w:hint="eastAsia" w:ascii="Times New Roman" w:hAnsi="Times New Roman" w:eastAsia="宋体" w:cs="Times New Roman"/>
                      <w:sz w:val="18"/>
                      <w:szCs w:val="18"/>
                      <w:highlight w:val="none"/>
                      <w:lang w:val="en-US" w:eastAsia="zh-CN"/>
                    </w:rPr>
                  </w:pPr>
                </w:p>
              </w:tc>
              <w:tc>
                <w:tcPr>
                  <w:tcW w:w="477" w:type="dxa"/>
                  <w:tcBorders>
                    <w:left w:val="single" w:color="auto" w:sz="4" w:space="0"/>
                    <w:right w:val="single" w:color="auto" w:sz="4" w:space="0"/>
                  </w:tcBorders>
                  <w:shd w:val="clear" w:color="auto" w:fill="auto"/>
                  <w:vAlign w:val="center"/>
                </w:tcPr>
                <w:p w14:paraId="654D60A8">
                  <w:pPr>
                    <w:keepNext w:val="0"/>
                    <w:keepLines w:val="0"/>
                    <w:suppressLineNumbers w:val="0"/>
                    <w:snapToGrid w:val="0"/>
                    <w:spacing w:before="0" w:beforeAutospacing="0" w:after="0" w:afterAutospacing="0" w:line="264" w:lineRule="auto"/>
                    <w:ind w:left="0" w:right="0"/>
                    <w:jc w:val="center"/>
                    <w:rPr>
                      <w:rFonts w:hint="eastAsia" w:ascii="Times New Roman" w:hAnsi="Times New Roman" w:eastAsia="宋体" w:cs="Times New Roman"/>
                      <w:sz w:val="18"/>
                      <w:szCs w:val="18"/>
                      <w:highlight w:val="none"/>
                      <w:lang w:val="en-US" w:eastAsia="zh-CN"/>
                    </w:rPr>
                  </w:pPr>
                </w:p>
              </w:tc>
              <w:tc>
                <w:tcPr>
                  <w:tcW w:w="611" w:type="dxa"/>
                  <w:vMerge w:val="continue"/>
                  <w:tcBorders>
                    <w:left w:val="single" w:color="auto" w:sz="4" w:space="0"/>
                    <w:right w:val="single" w:color="auto" w:sz="4" w:space="0"/>
                  </w:tcBorders>
                  <w:vAlign w:val="center"/>
                </w:tcPr>
                <w:p w14:paraId="6C92E58C">
                  <w:pPr>
                    <w:keepNext w:val="0"/>
                    <w:keepLines w:val="0"/>
                    <w:widowControl/>
                    <w:suppressLineNumbers w:val="0"/>
                    <w:snapToGrid w:val="0"/>
                    <w:spacing w:before="0" w:beforeAutospacing="0" w:after="0" w:afterAutospacing="0" w:line="264" w:lineRule="auto"/>
                    <w:ind w:left="0" w:right="0"/>
                    <w:jc w:val="center"/>
                    <w:rPr>
                      <w:rFonts w:hint="eastAsia" w:ascii="Times New Roman" w:hAnsi="Times New Roman" w:eastAsia="宋体" w:cs="Times New Roman"/>
                      <w:kern w:val="0"/>
                      <w:sz w:val="18"/>
                      <w:szCs w:val="18"/>
                      <w:highlight w:val="none"/>
                      <w:lang w:val="en-US" w:eastAsia="zh-CN"/>
                    </w:rPr>
                  </w:pPr>
                </w:p>
              </w:tc>
              <w:tc>
                <w:tcPr>
                  <w:tcW w:w="679" w:type="dxa"/>
                  <w:tcBorders>
                    <w:top w:val="single" w:color="auto" w:sz="4" w:space="0"/>
                    <w:left w:val="single" w:color="auto" w:sz="4" w:space="0"/>
                    <w:bottom w:val="single" w:color="auto" w:sz="4" w:space="0"/>
                    <w:right w:val="single" w:color="auto" w:sz="4" w:space="0"/>
                  </w:tcBorders>
                  <w:shd w:val="clear" w:color="auto" w:fill="auto"/>
                  <w:vAlign w:val="center"/>
                </w:tcPr>
                <w:p w14:paraId="4843F4FA">
                  <w:pPr>
                    <w:keepNext w:val="0"/>
                    <w:keepLines w:val="0"/>
                    <w:widowControl/>
                    <w:suppressLineNumbers w:val="0"/>
                    <w:snapToGrid w:val="0"/>
                    <w:spacing w:before="0" w:beforeAutospacing="0" w:after="0" w:afterAutospacing="0" w:line="264" w:lineRule="auto"/>
                    <w:ind w:left="0" w:right="0"/>
                    <w:jc w:val="center"/>
                    <w:rPr>
                      <w:rFonts w:hint="default" w:ascii="Times New Roman" w:hAnsi="Times New Roman" w:eastAsia="宋体" w:cs="Times New Roman"/>
                      <w:kern w:val="0"/>
                      <w:sz w:val="18"/>
                      <w:szCs w:val="18"/>
                      <w:highlight w:val="none"/>
                      <w:lang w:val="en-US" w:eastAsia="zh-CN"/>
                    </w:rPr>
                  </w:pPr>
                  <w:r>
                    <w:rPr>
                      <w:rFonts w:hint="eastAsia" w:ascii="Times New Roman" w:hAnsi="Times New Roman" w:eastAsia="宋体" w:cs="Times New Roman"/>
                      <w:kern w:val="0"/>
                      <w:sz w:val="18"/>
                      <w:szCs w:val="18"/>
                      <w:highlight w:val="none"/>
                      <w:lang w:val="en-US" w:eastAsia="zh-CN"/>
                    </w:rPr>
                    <w:t xml:space="preserve">25.53 </w:t>
                  </w:r>
                </w:p>
              </w:tc>
              <w:tc>
                <w:tcPr>
                  <w:tcW w:w="723" w:type="dxa"/>
                  <w:tcBorders>
                    <w:top w:val="single" w:color="auto" w:sz="4" w:space="0"/>
                    <w:left w:val="single" w:color="auto" w:sz="4" w:space="0"/>
                    <w:bottom w:val="single" w:color="auto" w:sz="4" w:space="0"/>
                    <w:right w:val="single" w:color="auto" w:sz="4" w:space="0"/>
                  </w:tcBorders>
                  <w:shd w:val="clear" w:color="auto" w:fill="auto"/>
                  <w:vAlign w:val="center"/>
                </w:tcPr>
                <w:p w14:paraId="279A9725">
                  <w:pPr>
                    <w:keepNext w:val="0"/>
                    <w:keepLines w:val="0"/>
                    <w:widowControl/>
                    <w:suppressLineNumbers w:val="0"/>
                    <w:snapToGrid w:val="0"/>
                    <w:spacing w:before="0" w:beforeAutospacing="0" w:after="0" w:afterAutospacing="0" w:line="264" w:lineRule="auto"/>
                    <w:ind w:left="0" w:right="0"/>
                    <w:jc w:val="center"/>
                    <w:rPr>
                      <w:rFonts w:hint="eastAsia" w:ascii="Times New Roman" w:hAnsi="Times New Roman" w:eastAsia="宋体" w:cs="Times New Roman"/>
                      <w:kern w:val="0"/>
                      <w:sz w:val="18"/>
                      <w:szCs w:val="18"/>
                      <w:highlight w:val="none"/>
                      <w:lang w:val="en-US" w:eastAsia="zh-CN"/>
                    </w:rPr>
                  </w:pPr>
                  <w:r>
                    <w:rPr>
                      <w:rFonts w:hint="eastAsia" w:ascii="Times New Roman" w:hAnsi="Times New Roman" w:eastAsia="宋体" w:cs="Times New Roman"/>
                      <w:kern w:val="0"/>
                      <w:sz w:val="18"/>
                      <w:szCs w:val="18"/>
                      <w:highlight w:val="none"/>
                      <w:lang w:val="en-US" w:eastAsia="zh-CN"/>
                    </w:rPr>
                    <w:t>0.463</w:t>
                  </w:r>
                </w:p>
              </w:tc>
              <w:tc>
                <w:tcPr>
                  <w:tcW w:w="481" w:type="dxa"/>
                  <w:vMerge w:val="continue"/>
                  <w:tcBorders>
                    <w:left w:val="single" w:color="auto" w:sz="4" w:space="0"/>
                    <w:right w:val="single" w:color="auto" w:sz="4" w:space="0"/>
                  </w:tcBorders>
                  <w:vAlign w:val="center"/>
                </w:tcPr>
                <w:p w14:paraId="531789FC">
                  <w:pPr>
                    <w:keepNext w:val="0"/>
                    <w:keepLines w:val="0"/>
                    <w:suppressLineNumbers w:val="0"/>
                    <w:snapToGrid w:val="0"/>
                    <w:spacing w:before="0" w:beforeAutospacing="0" w:after="0" w:afterAutospacing="0" w:line="264" w:lineRule="auto"/>
                    <w:ind w:left="0" w:right="0"/>
                    <w:jc w:val="center"/>
                    <w:rPr>
                      <w:rFonts w:hint="default" w:ascii="Times New Roman" w:hAnsi="Times New Roman" w:eastAsia="宋体" w:cs="Times New Roman"/>
                      <w:kern w:val="0"/>
                      <w:sz w:val="18"/>
                      <w:szCs w:val="18"/>
                      <w:highlight w:val="none"/>
                    </w:rPr>
                  </w:pPr>
                </w:p>
              </w:tc>
            </w:tr>
            <w:tr w14:paraId="6AB80F2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jc w:val="center"/>
              </w:trPr>
              <w:tc>
                <w:tcPr>
                  <w:tcW w:w="580" w:type="dxa"/>
                  <w:vMerge w:val="continue"/>
                  <w:tcBorders>
                    <w:left w:val="single" w:color="auto" w:sz="4" w:space="0"/>
                    <w:right w:val="single" w:color="auto" w:sz="4" w:space="0"/>
                  </w:tcBorders>
                  <w:vAlign w:val="center"/>
                </w:tcPr>
                <w:p w14:paraId="28BB7324">
                  <w:pPr>
                    <w:keepNext w:val="0"/>
                    <w:keepLines w:val="0"/>
                    <w:widowControl/>
                    <w:suppressLineNumbers w:val="0"/>
                    <w:adjustRightInd w:val="0"/>
                    <w:snapToGrid w:val="0"/>
                    <w:spacing w:before="0" w:beforeAutospacing="0" w:after="0" w:afterAutospacing="0" w:line="264" w:lineRule="auto"/>
                    <w:ind w:left="0" w:right="0"/>
                    <w:jc w:val="center"/>
                    <w:rPr>
                      <w:rFonts w:hint="default" w:ascii="Times New Roman" w:hAnsi="Times New Roman" w:eastAsia="宋体" w:cs="Times New Roman"/>
                      <w:snapToGrid w:val="0"/>
                      <w:sz w:val="18"/>
                      <w:szCs w:val="18"/>
                      <w:highlight w:val="none"/>
                    </w:rPr>
                  </w:pPr>
                </w:p>
              </w:tc>
              <w:tc>
                <w:tcPr>
                  <w:tcW w:w="423" w:type="dxa"/>
                  <w:vMerge w:val="continue"/>
                  <w:tcBorders>
                    <w:left w:val="single" w:color="auto" w:sz="4" w:space="0"/>
                    <w:right w:val="single" w:color="auto" w:sz="4" w:space="0"/>
                  </w:tcBorders>
                  <w:vAlign w:val="center"/>
                </w:tcPr>
                <w:p w14:paraId="1D87DC84">
                  <w:pPr>
                    <w:keepNext w:val="0"/>
                    <w:keepLines w:val="0"/>
                    <w:widowControl/>
                    <w:suppressLineNumbers w:val="0"/>
                    <w:adjustRightInd w:val="0"/>
                    <w:snapToGrid w:val="0"/>
                    <w:spacing w:before="0" w:beforeAutospacing="0" w:after="0" w:afterAutospacing="0" w:line="264" w:lineRule="auto"/>
                    <w:ind w:left="0" w:right="0"/>
                    <w:jc w:val="center"/>
                    <w:rPr>
                      <w:rFonts w:hint="default" w:ascii="Times New Roman" w:hAnsi="Times New Roman" w:eastAsia="宋体" w:cs="Times New Roman"/>
                      <w:snapToGrid w:val="0"/>
                      <w:sz w:val="18"/>
                      <w:szCs w:val="18"/>
                      <w:highlight w:val="none"/>
                    </w:rPr>
                  </w:pPr>
                </w:p>
              </w:tc>
              <w:tc>
                <w:tcPr>
                  <w:tcW w:w="1031" w:type="dxa"/>
                  <w:vMerge w:val="continue"/>
                  <w:tcBorders>
                    <w:left w:val="single" w:color="auto" w:sz="4" w:space="0"/>
                    <w:right w:val="single" w:color="auto" w:sz="4" w:space="0"/>
                  </w:tcBorders>
                  <w:vAlign w:val="center"/>
                </w:tcPr>
                <w:p w14:paraId="64AA7CDD">
                  <w:pPr>
                    <w:keepNext w:val="0"/>
                    <w:keepLines w:val="0"/>
                    <w:widowControl/>
                    <w:suppressLineNumbers w:val="0"/>
                    <w:adjustRightInd w:val="0"/>
                    <w:snapToGrid w:val="0"/>
                    <w:spacing w:before="0" w:beforeAutospacing="0" w:after="0" w:afterAutospacing="0" w:line="264" w:lineRule="auto"/>
                    <w:ind w:left="0" w:right="0"/>
                    <w:jc w:val="center"/>
                    <w:rPr>
                      <w:rFonts w:hint="eastAsia" w:cs="Times New Roman"/>
                      <w:snapToGrid w:val="0"/>
                      <w:sz w:val="18"/>
                      <w:szCs w:val="18"/>
                      <w:highlight w:val="none"/>
                      <w:lang w:val="en-US" w:eastAsia="zh-CN"/>
                    </w:rPr>
                  </w:pPr>
                </w:p>
              </w:tc>
              <w:tc>
                <w:tcPr>
                  <w:tcW w:w="595" w:type="dxa"/>
                  <w:tcBorders>
                    <w:top w:val="single" w:color="auto" w:sz="4" w:space="0"/>
                    <w:left w:val="single" w:color="auto" w:sz="4" w:space="0"/>
                    <w:bottom w:val="single" w:color="auto" w:sz="4" w:space="0"/>
                    <w:right w:val="single" w:color="auto" w:sz="4" w:space="0"/>
                  </w:tcBorders>
                  <w:shd w:val="clear" w:color="auto" w:fill="auto"/>
                  <w:vAlign w:val="center"/>
                </w:tcPr>
                <w:p w14:paraId="0CF1AC98">
                  <w:pPr>
                    <w:keepNext w:val="0"/>
                    <w:keepLines w:val="0"/>
                    <w:widowControl/>
                    <w:suppressLineNumbers w:val="0"/>
                    <w:adjustRightInd w:val="0"/>
                    <w:snapToGrid w:val="0"/>
                    <w:spacing w:before="0" w:beforeAutospacing="0" w:after="0" w:afterAutospacing="0" w:line="264" w:lineRule="auto"/>
                    <w:ind w:left="0" w:right="0"/>
                    <w:jc w:val="center"/>
                    <w:rPr>
                      <w:rFonts w:hint="eastAsia" w:ascii="Times New Roman" w:hAnsi="Times New Roman" w:eastAsia="宋体" w:cs="Times New Roman"/>
                      <w:snapToGrid w:val="0"/>
                      <w:kern w:val="2"/>
                      <w:sz w:val="18"/>
                      <w:szCs w:val="18"/>
                      <w:highlight w:val="none"/>
                      <w:lang w:val="en-US" w:eastAsia="zh-CN" w:bidi="ar-SA"/>
                    </w:rPr>
                  </w:pPr>
                  <w:r>
                    <w:rPr>
                      <w:rFonts w:hint="eastAsia" w:ascii="Times New Roman" w:hAnsi="Times New Roman" w:eastAsia="宋体" w:cs="Times New Roman"/>
                      <w:snapToGrid w:val="0"/>
                      <w:sz w:val="18"/>
                      <w:szCs w:val="18"/>
                      <w:highlight w:val="none"/>
                    </w:rPr>
                    <w:t>粪大肠菌群数</w:t>
                  </w:r>
                </w:p>
              </w:tc>
              <w:tc>
                <w:tcPr>
                  <w:tcW w:w="609" w:type="dxa"/>
                  <w:vMerge w:val="continue"/>
                  <w:tcBorders>
                    <w:left w:val="single" w:color="auto" w:sz="4" w:space="0"/>
                    <w:right w:val="single" w:color="auto" w:sz="4" w:space="0"/>
                  </w:tcBorders>
                  <w:vAlign w:val="center"/>
                </w:tcPr>
                <w:p w14:paraId="407E0197">
                  <w:pPr>
                    <w:keepNext w:val="0"/>
                    <w:keepLines w:val="0"/>
                    <w:suppressLineNumbers w:val="0"/>
                    <w:snapToGrid w:val="0"/>
                    <w:spacing w:before="0" w:beforeAutospacing="0" w:after="0" w:afterAutospacing="0" w:line="264" w:lineRule="auto"/>
                    <w:ind w:left="0" w:right="0"/>
                    <w:jc w:val="center"/>
                    <w:rPr>
                      <w:rFonts w:hint="default" w:ascii="Times New Roman" w:hAnsi="Times New Roman" w:eastAsia="宋体" w:cs="Times New Roman"/>
                      <w:sz w:val="18"/>
                      <w:szCs w:val="18"/>
                      <w:highlight w:val="none"/>
                    </w:rPr>
                  </w:pPr>
                </w:p>
              </w:tc>
              <w:tc>
                <w:tcPr>
                  <w:tcW w:w="699" w:type="dxa"/>
                  <w:tcBorders>
                    <w:top w:val="single" w:color="auto" w:sz="4" w:space="0"/>
                    <w:left w:val="single" w:color="auto" w:sz="4" w:space="0"/>
                    <w:bottom w:val="single" w:color="auto" w:sz="4" w:space="0"/>
                    <w:right w:val="single" w:color="auto" w:sz="4" w:space="0"/>
                  </w:tcBorders>
                  <w:shd w:val="clear" w:color="auto" w:fill="auto"/>
                  <w:vAlign w:val="center"/>
                </w:tcPr>
                <w:p w14:paraId="6965F594">
                  <w:pPr>
                    <w:keepNext w:val="0"/>
                    <w:keepLines w:val="0"/>
                    <w:widowControl/>
                    <w:suppressLineNumbers w:val="0"/>
                    <w:snapToGrid w:val="0"/>
                    <w:spacing w:before="0" w:beforeAutospacing="0" w:after="0" w:afterAutospacing="0" w:line="264" w:lineRule="auto"/>
                    <w:ind w:left="0" w:right="0"/>
                    <w:jc w:val="center"/>
                    <w:rPr>
                      <w:rFonts w:hint="default" w:cs="Times New Roman"/>
                      <w:kern w:val="0"/>
                      <w:sz w:val="18"/>
                      <w:szCs w:val="18"/>
                      <w:highlight w:val="none"/>
                      <w:lang w:val="en-US" w:eastAsia="zh-CN"/>
                    </w:rPr>
                  </w:pPr>
                  <w:r>
                    <w:rPr>
                      <w:rFonts w:hint="eastAsia" w:cs="Times New Roman"/>
                      <w:kern w:val="0"/>
                      <w:sz w:val="18"/>
                      <w:szCs w:val="18"/>
                      <w:highlight w:val="none"/>
                      <w:lang w:val="en-US" w:eastAsia="zh-CN"/>
                    </w:rPr>
                    <w:t>6.45</w:t>
                  </w:r>
                  <w:r>
                    <w:rPr>
                      <w:rFonts w:hint="default" w:ascii="Times New Roman" w:hAnsi="Times New Roman" w:eastAsia="宋体" w:cs="Times New Roman"/>
                      <w:kern w:val="0"/>
                      <w:sz w:val="18"/>
                      <w:szCs w:val="18"/>
                      <w:highlight w:val="none"/>
                      <w:lang w:val="en-US" w:eastAsia="zh-CN"/>
                    </w:rPr>
                    <w:t>×10</w:t>
                  </w:r>
                  <w:r>
                    <w:rPr>
                      <w:rFonts w:hint="eastAsia" w:cs="Times New Roman"/>
                      <w:kern w:val="0"/>
                      <w:sz w:val="18"/>
                      <w:szCs w:val="18"/>
                      <w:highlight w:val="none"/>
                      <w:vertAlign w:val="superscript"/>
                      <w:lang w:val="en-US" w:eastAsia="zh-CN"/>
                    </w:rPr>
                    <w:t>7</w:t>
                  </w:r>
                  <w:r>
                    <w:rPr>
                      <w:rFonts w:hint="eastAsia" w:ascii="Times New Roman" w:hAnsi="Times New Roman" w:eastAsia="宋体" w:cs="Times New Roman"/>
                      <w:kern w:val="0"/>
                      <w:sz w:val="18"/>
                      <w:szCs w:val="18"/>
                      <w:highlight w:val="none"/>
                      <w:lang w:val="en-US" w:eastAsia="zh-CN"/>
                    </w:rPr>
                    <w:t>个/L</w:t>
                  </w:r>
                </w:p>
              </w:tc>
              <w:tc>
                <w:tcPr>
                  <w:tcW w:w="777" w:type="dxa"/>
                  <w:tcBorders>
                    <w:top w:val="single" w:color="auto" w:sz="4" w:space="0"/>
                    <w:left w:val="single" w:color="auto" w:sz="4" w:space="0"/>
                    <w:bottom w:val="single" w:color="auto" w:sz="4" w:space="0"/>
                    <w:right w:val="single" w:color="auto" w:sz="4" w:space="0"/>
                  </w:tcBorders>
                  <w:shd w:val="clear" w:color="auto" w:fill="auto"/>
                  <w:vAlign w:val="center"/>
                </w:tcPr>
                <w:p w14:paraId="7059EB3E">
                  <w:pPr>
                    <w:keepNext w:val="0"/>
                    <w:keepLines w:val="0"/>
                    <w:widowControl/>
                    <w:suppressLineNumbers w:val="0"/>
                    <w:spacing w:before="0" w:beforeAutospacing="0" w:after="0" w:afterAutospacing="0"/>
                    <w:ind w:left="0" w:right="0"/>
                    <w:jc w:val="center"/>
                    <w:textAlignment w:val="center"/>
                    <w:rPr>
                      <w:rFonts w:hint="eastAsia" w:cs="Times New Roman"/>
                      <w:kern w:val="0"/>
                      <w:sz w:val="18"/>
                      <w:szCs w:val="18"/>
                      <w:highlight w:val="none"/>
                      <w:lang w:val="en-US" w:eastAsia="zh-CN"/>
                    </w:rPr>
                  </w:pPr>
                  <w:r>
                    <w:rPr>
                      <w:rFonts w:hint="default" w:ascii="Times New Roman" w:hAnsi="Times New Roman" w:eastAsia="宋体" w:cs="Times New Roman"/>
                      <w:i w:val="0"/>
                      <w:iCs w:val="0"/>
                      <w:color w:val="000000"/>
                      <w:kern w:val="0"/>
                      <w:sz w:val="18"/>
                      <w:szCs w:val="18"/>
                      <w:highlight w:val="none"/>
                      <w:u w:val="none"/>
                      <w:lang w:val="en-US" w:eastAsia="zh-CN" w:bidi="ar"/>
                    </w:rPr>
                    <w:t>1.1</w:t>
                  </w:r>
                  <w:r>
                    <w:rPr>
                      <w:rFonts w:hint="eastAsia" w:cs="Times New Roman"/>
                      <w:i w:val="0"/>
                      <w:iCs w:val="0"/>
                      <w:color w:val="000000"/>
                      <w:kern w:val="0"/>
                      <w:sz w:val="18"/>
                      <w:szCs w:val="18"/>
                      <w:highlight w:val="none"/>
                      <w:u w:val="none"/>
                      <w:lang w:val="en-US" w:eastAsia="zh-CN" w:bidi="ar"/>
                    </w:rPr>
                    <w:t>7</w:t>
                  </w:r>
                  <w:r>
                    <w:rPr>
                      <w:rFonts w:hint="default" w:ascii="Times New Roman" w:hAnsi="Times New Roman" w:eastAsia="宋体" w:cs="Times New Roman"/>
                      <w:i w:val="0"/>
                      <w:iCs w:val="0"/>
                      <w:color w:val="000000"/>
                      <w:kern w:val="0"/>
                      <w:sz w:val="18"/>
                      <w:szCs w:val="18"/>
                      <w:highlight w:val="none"/>
                      <w:u w:val="none"/>
                      <w:lang w:val="en-US" w:eastAsia="zh-CN" w:bidi="ar"/>
                    </w:rPr>
                    <w:t>×10</w:t>
                  </w:r>
                  <w:r>
                    <w:rPr>
                      <w:rFonts w:hint="default" w:ascii="Times New Roman" w:hAnsi="Times New Roman" w:eastAsia="宋体" w:cs="Times New Roman"/>
                      <w:i w:val="0"/>
                      <w:iCs w:val="0"/>
                      <w:color w:val="000000"/>
                      <w:kern w:val="0"/>
                      <w:sz w:val="18"/>
                      <w:szCs w:val="18"/>
                      <w:highlight w:val="none"/>
                      <w:u w:val="none"/>
                      <w:vertAlign w:val="superscript"/>
                      <w:lang w:val="en-US" w:eastAsia="zh-CN" w:bidi="ar"/>
                    </w:rPr>
                    <w:t>15</w:t>
                  </w:r>
                  <w:r>
                    <w:rPr>
                      <w:rFonts w:hint="eastAsia" w:ascii="宋体" w:hAnsi="宋体" w:eastAsia="宋体" w:cs="宋体"/>
                      <w:i w:val="0"/>
                      <w:iCs w:val="0"/>
                      <w:color w:val="000000"/>
                      <w:kern w:val="0"/>
                      <w:sz w:val="18"/>
                      <w:szCs w:val="18"/>
                      <w:highlight w:val="none"/>
                      <w:u w:val="none"/>
                      <w:lang w:val="en-US" w:eastAsia="zh-CN" w:bidi="ar"/>
                    </w:rPr>
                    <w:t>个</w:t>
                  </w:r>
                  <w:r>
                    <w:rPr>
                      <w:rFonts w:hint="default" w:ascii="Times New Roman" w:hAnsi="Times New Roman" w:eastAsia="宋体" w:cs="Times New Roman"/>
                      <w:i w:val="0"/>
                      <w:iCs w:val="0"/>
                      <w:color w:val="000000"/>
                      <w:kern w:val="0"/>
                      <w:sz w:val="18"/>
                      <w:szCs w:val="18"/>
                      <w:highlight w:val="none"/>
                      <w:u w:val="none"/>
                      <w:lang w:val="en-US" w:eastAsia="zh-CN" w:bidi="ar"/>
                    </w:rPr>
                    <w:t>/a</w:t>
                  </w:r>
                </w:p>
              </w:tc>
              <w:tc>
                <w:tcPr>
                  <w:tcW w:w="630" w:type="dxa"/>
                  <w:tcBorders>
                    <w:left w:val="single" w:color="auto" w:sz="4" w:space="0"/>
                    <w:right w:val="single" w:color="auto" w:sz="4" w:space="0"/>
                  </w:tcBorders>
                  <w:shd w:val="clear" w:color="auto" w:fill="auto"/>
                  <w:vAlign w:val="center"/>
                </w:tcPr>
                <w:p w14:paraId="7D061485">
                  <w:pPr>
                    <w:keepNext w:val="0"/>
                    <w:keepLines w:val="0"/>
                    <w:suppressLineNumbers w:val="0"/>
                    <w:snapToGrid w:val="0"/>
                    <w:spacing w:before="0" w:beforeAutospacing="0" w:after="0" w:afterAutospacing="0" w:line="264" w:lineRule="auto"/>
                    <w:ind w:left="0" w:right="0"/>
                    <w:jc w:val="center"/>
                    <w:rPr>
                      <w:rFonts w:hint="eastAsia" w:ascii="Times New Roman" w:hAnsi="Times New Roman" w:eastAsia="宋体" w:cs="Times New Roman"/>
                      <w:sz w:val="18"/>
                      <w:szCs w:val="18"/>
                      <w:highlight w:val="none"/>
                      <w:lang w:val="en-US" w:eastAsia="zh-CN"/>
                    </w:rPr>
                  </w:pPr>
                  <w:r>
                    <w:rPr>
                      <w:rFonts w:hint="eastAsia" w:ascii="Times New Roman" w:hAnsi="Times New Roman" w:eastAsia="宋体" w:cs="Times New Roman"/>
                      <w:sz w:val="18"/>
                      <w:szCs w:val="18"/>
                      <w:highlight w:val="none"/>
                      <w:lang w:val="en-US" w:eastAsia="zh-CN"/>
                    </w:rPr>
                    <w:t>/</w:t>
                  </w:r>
                </w:p>
              </w:tc>
              <w:tc>
                <w:tcPr>
                  <w:tcW w:w="477" w:type="dxa"/>
                  <w:tcBorders>
                    <w:left w:val="single" w:color="auto" w:sz="4" w:space="0"/>
                    <w:right w:val="single" w:color="auto" w:sz="4" w:space="0"/>
                  </w:tcBorders>
                  <w:shd w:val="clear" w:color="auto" w:fill="auto"/>
                  <w:vAlign w:val="center"/>
                </w:tcPr>
                <w:p w14:paraId="61C36C7B">
                  <w:pPr>
                    <w:keepNext w:val="0"/>
                    <w:keepLines w:val="0"/>
                    <w:suppressLineNumbers w:val="0"/>
                    <w:snapToGrid w:val="0"/>
                    <w:spacing w:before="0" w:beforeAutospacing="0" w:after="0" w:afterAutospacing="0" w:line="264" w:lineRule="auto"/>
                    <w:ind w:left="0" w:right="0"/>
                    <w:jc w:val="center"/>
                    <w:rPr>
                      <w:rFonts w:hint="eastAsia" w:ascii="Times New Roman" w:hAnsi="Times New Roman" w:eastAsia="宋体" w:cs="Times New Roman"/>
                      <w:sz w:val="18"/>
                      <w:szCs w:val="18"/>
                      <w:highlight w:val="none"/>
                      <w:lang w:val="en-US" w:eastAsia="zh-CN"/>
                    </w:rPr>
                  </w:pPr>
                  <w:r>
                    <w:rPr>
                      <w:rFonts w:hint="eastAsia" w:ascii="Times New Roman" w:hAnsi="Times New Roman" w:eastAsia="宋体" w:cs="Times New Roman"/>
                      <w:sz w:val="18"/>
                      <w:szCs w:val="18"/>
                      <w:highlight w:val="none"/>
                      <w:lang w:val="en-US" w:eastAsia="zh-CN"/>
                    </w:rPr>
                    <w:t>/</w:t>
                  </w:r>
                </w:p>
              </w:tc>
              <w:tc>
                <w:tcPr>
                  <w:tcW w:w="611" w:type="dxa"/>
                  <w:vMerge w:val="continue"/>
                  <w:tcBorders>
                    <w:left w:val="single" w:color="auto" w:sz="4" w:space="0"/>
                    <w:right w:val="single" w:color="auto" w:sz="4" w:space="0"/>
                  </w:tcBorders>
                  <w:vAlign w:val="center"/>
                </w:tcPr>
                <w:p w14:paraId="25DF2E7B">
                  <w:pPr>
                    <w:keepNext w:val="0"/>
                    <w:keepLines w:val="0"/>
                    <w:suppressLineNumbers w:val="0"/>
                    <w:snapToGrid w:val="0"/>
                    <w:spacing w:before="0" w:beforeAutospacing="0" w:after="0" w:afterAutospacing="0" w:line="264" w:lineRule="auto"/>
                    <w:ind w:left="0" w:right="0"/>
                    <w:jc w:val="center"/>
                    <w:rPr>
                      <w:rFonts w:hint="default" w:ascii="Times New Roman" w:hAnsi="Times New Roman" w:eastAsia="宋体" w:cs="Times New Roman"/>
                      <w:kern w:val="0"/>
                      <w:sz w:val="18"/>
                      <w:szCs w:val="18"/>
                      <w:highlight w:val="none"/>
                    </w:rPr>
                  </w:pPr>
                </w:p>
              </w:tc>
              <w:tc>
                <w:tcPr>
                  <w:tcW w:w="679" w:type="dxa"/>
                  <w:tcBorders>
                    <w:top w:val="single" w:color="auto" w:sz="4" w:space="0"/>
                    <w:left w:val="single" w:color="auto" w:sz="4" w:space="0"/>
                    <w:bottom w:val="single" w:color="auto" w:sz="4" w:space="0"/>
                    <w:right w:val="single" w:color="auto" w:sz="4" w:space="0"/>
                  </w:tcBorders>
                  <w:shd w:val="clear" w:color="auto" w:fill="auto"/>
                  <w:vAlign w:val="center"/>
                </w:tcPr>
                <w:p w14:paraId="6DD16B67">
                  <w:pPr>
                    <w:keepNext w:val="0"/>
                    <w:keepLines w:val="0"/>
                    <w:widowControl/>
                    <w:suppressLineNumbers w:val="0"/>
                    <w:snapToGrid w:val="0"/>
                    <w:spacing w:before="0" w:beforeAutospacing="0" w:after="0" w:afterAutospacing="0" w:line="264" w:lineRule="auto"/>
                    <w:ind w:left="0" w:right="0"/>
                    <w:jc w:val="center"/>
                    <w:rPr>
                      <w:rFonts w:hint="eastAsia" w:cs="Times New Roman"/>
                      <w:kern w:val="0"/>
                      <w:sz w:val="18"/>
                      <w:szCs w:val="18"/>
                      <w:highlight w:val="none"/>
                      <w:lang w:val="en-US" w:eastAsia="zh-CN"/>
                    </w:rPr>
                  </w:pPr>
                  <w:r>
                    <w:rPr>
                      <w:rFonts w:hint="eastAsia" w:cs="Times New Roman"/>
                      <w:kern w:val="0"/>
                      <w:sz w:val="18"/>
                      <w:szCs w:val="18"/>
                      <w:highlight w:val="none"/>
                      <w:lang w:val="en-US" w:eastAsia="zh-CN"/>
                    </w:rPr>
                    <w:t>3.23</w:t>
                  </w:r>
                  <w:r>
                    <w:rPr>
                      <w:rFonts w:hint="default" w:ascii="Times New Roman" w:hAnsi="Times New Roman" w:eastAsia="宋体" w:cs="Times New Roman"/>
                      <w:kern w:val="0"/>
                      <w:sz w:val="18"/>
                      <w:szCs w:val="18"/>
                      <w:highlight w:val="none"/>
                      <w:lang w:val="en-US" w:eastAsia="zh-CN"/>
                    </w:rPr>
                    <w:t>×10</w:t>
                  </w:r>
                  <w:r>
                    <w:rPr>
                      <w:rFonts w:hint="eastAsia" w:cs="Times New Roman"/>
                      <w:kern w:val="0"/>
                      <w:sz w:val="18"/>
                      <w:szCs w:val="18"/>
                      <w:highlight w:val="none"/>
                      <w:vertAlign w:val="superscript"/>
                      <w:lang w:val="en-US" w:eastAsia="zh-CN"/>
                    </w:rPr>
                    <w:t>3</w:t>
                  </w:r>
                  <w:r>
                    <w:rPr>
                      <w:rFonts w:hint="eastAsia" w:ascii="Times New Roman" w:hAnsi="Times New Roman" w:eastAsia="宋体" w:cs="Times New Roman"/>
                      <w:kern w:val="0"/>
                      <w:sz w:val="18"/>
                      <w:szCs w:val="18"/>
                      <w:highlight w:val="none"/>
                      <w:lang w:val="en-US" w:eastAsia="zh-CN"/>
                    </w:rPr>
                    <w:t>个/L</w:t>
                  </w:r>
                </w:p>
              </w:tc>
              <w:tc>
                <w:tcPr>
                  <w:tcW w:w="723" w:type="dxa"/>
                  <w:tcBorders>
                    <w:top w:val="single" w:color="auto" w:sz="4" w:space="0"/>
                    <w:left w:val="single" w:color="auto" w:sz="4" w:space="0"/>
                    <w:bottom w:val="single" w:color="auto" w:sz="4" w:space="0"/>
                    <w:right w:val="single" w:color="auto" w:sz="4" w:space="0"/>
                  </w:tcBorders>
                  <w:shd w:val="clear" w:color="auto" w:fill="auto"/>
                  <w:vAlign w:val="center"/>
                </w:tcPr>
                <w:p w14:paraId="0608FB4B">
                  <w:pPr>
                    <w:keepNext w:val="0"/>
                    <w:keepLines w:val="0"/>
                    <w:widowControl/>
                    <w:suppressLineNumbers w:val="0"/>
                    <w:spacing w:before="0" w:beforeAutospacing="0" w:after="0" w:afterAutospacing="0"/>
                    <w:ind w:left="0" w:right="0"/>
                    <w:jc w:val="center"/>
                    <w:textAlignment w:val="center"/>
                    <w:rPr>
                      <w:rFonts w:hint="eastAsia" w:ascii="Times New Roman" w:hAnsi="Times New Roman" w:eastAsia="宋体" w:cs="Times New Roman"/>
                      <w:i w:val="0"/>
                      <w:iCs w:val="0"/>
                      <w:color w:val="000000"/>
                      <w:kern w:val="2"/>
                      <w:sz w:val="18"/>
                      <w:szCs w:val="18"/>
                      <w:highlight w:val="none"/>
                      <w:u w:val="none"/>
                      <w:lang w:val="en-US" w:eastAsia="zh-CN" w:bidi="ar-SA"/>
                    </w:rPr>
                  </w:pPr>
                  <w:r>
                    <w:rPr>
                      <w:rFonts w:hint="eastAsia" w:cs="Times New Roman"/>
                      <w:kern w:val="0"/>
                      <w:sz w:val="18"/>
                      <w:szCs w:val="18"/>
                      <w:highlight w:val="none"/>
                      <w:lang w:val="en-US" w:eastAsia="zh-CN"/>
                    </w:rPr>
                    <w:t>5</w:t>
                  </w:r>
                  <w:r>
                    <w:rPr>
                      <w:rFonts w:hint="eastAsia" w:ascii="Times New Roman" w:hAnsi="Times New Roman" w:eastAsia="宋体" w:cs="Times New Roman"/>
                      <w:kern w:val="0"/>
                      <w:sz w:val="18"/>
                      <w:szCs w:val="18"/>
                      <w:highlight w:val="none"/>
                      <w:lang w:val="en-US" w:eastAsia="zh-CN"/>
                    </w:rPr>
                    <w:t>.</w:t>
                  </w:r>
                  <w:r>
                    <w:rPr>
                      <w:rFonts w:hint="eastAsia" w:cs="Times New Roman"/>
                      <w:kern w:val="0"/>
                      <w:sz w:val="18"/>
                      <w:szCs w:val="18"/>
                      <w:highlight w:val="none"/>
                      <w:lang w:val="en-US" w:eastAsia="zh-CN"/>
                    </w:rPr>
                    <w:t>86</w:t>
                  </w:r>
                  <w:r>
                    <w:rPr>
                      <w:rFonts w:hint="default" w:ascii="Times New Roman" w:hAnsi="Times New Roman" w:eastAsia="宋体" w:cs="Times New Roman"/>
                      <w:kern w:val="0"/>
                      <w:sz w:val="18"/>
                      <w:szCs w:val="18"/>
                      <w:highlight w:val="none"/>
                      <w:lang w:val="en-US" w:eastAsia="zh-CN"/>
                    </w:rPr>
                    <w:t>×10</w:t>
                  </w:r>
                  <w:r>
                    <w:rPr>
                      <w:rFonts w:hint="eastAsia" w:ascii="Times New Roman" w:hAnsi="Times New Roman" w:eastAsia="宋体" w:cs="Times New Roman"/>
                      <w:kern w:val="0"/>
                      <w:sz w:val="18"/>
                      <w:szCs w:val="18"/>
                      <w:highlight w:val="none"/>
                      <w:vertAlign w:val="superscript"/>
                      <w:lang w:val="en-US" w:eastAsia="zh-CN"/>
                    </w:rPr>
                    <w:t>1</w:t>
                  </w:r>
                  <w:r>
                    <w:rPr>
                      <w:rFonts w:hint="eastAsia" w:cs="Times New Roman"/>
                      <w:kern w:val="0"/>
                      <w:sz w:val="18"/>
                      <w:szCs w:val="18"/>
                      <w:highlight w:val="none"/>
                      <w:vertAlign w:val="superscript"/>
                      <w:lang w:val="en-US" w:eastAsia="zh-CN"/>
                    </w:rPr>
                    <w:t>0</w:t>
                  </w:r>
                  <w:r>
                    <w:rPr>
                      <w:rFonts w:hint="eastAsia" w:ascii="Times New Roman" w:hAnsi="Times New Roman" w:eastAsia="宋体" w:cs="Times New Roman"/>
                      <w:kern w:val="0"/>
                      <w:sz w:val="18"/>
                      <w:szCs w:val="18"/>
                      <w:highlight w:val="none"/>
                      <w:lang w:val="en-US" w:eastAsia="zh-CN"/>
                    </w:rPr>
                    <w:t>个/a</w:t>
                  </w:r>
                </w:p>
              </w:tc>
              <w:tc>
                <w:tcPr>
                  <w:tcW w:w="481" w:type="dxa"/>
                  <w:vMerge w:val="continue"/>
                  <w:tcBorders>
                    <w:left w:val="single" w:color="auto" w:sz="4" w:space="0"/>
                    <w:right w:val="single" w:color="auto" w:sz="4" w:space="0"/>
                  </w:tcBorders>
                  <w:vAlign w:val="center"/>
                </w:tcPr>
                <w:p w14:paraId="3015A18C">
                  <w:pPr>
                    <w:keepNext w:val="0"/>
                    <w:keepLines w:val="0"/>
                    <w:suppressLineNumbers w:val="0"/>
                    <w:snapToGrid w:val="0"/>
                    <w:spacing w:before="0" w:beforeAutospacing="0" w:after="0" w:afterAutospacing="0" w:line="264" w:lineRule="auto"/>
                    <w:ind w:left="0" w:right="0"/>
                    <w:jc w:val="center"/>
                    <w:rPr>
                      <w:rFonts w:hint="default" w:ascii="Times New Roman" w:hAnsi="Times New Roman" w:eastAsia="宋体" w:cs="Times New Roman"/>
                      <w:kern w:val="0"/>
                      <w:sz w:val="18"/>
                      <w:szCs w:val="18"/>
                      <w:highlight w:val="none"/>
                    </w:rPr>
                  </w:pPr>
                </w:p>
              </w:tc>
            </w:tr>
            <w:tr w14:paraId="63E7832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jc w:val="center"/>
              </w:trPr>
              <w:tc>
                <w:tcPr>
                  <w:tcW w:w="580" w:type="dxa"/>
                  <w:vMerge w:val="continue"/>
                  <w:tcBorders>
                    <w:left w:val="single" w:color="auto" w:sz="4" w:space="0"/>
                    <w:right w:val="single" w:color="auto" w:sz="4" w:space="0"/>
                  </w:tcBorders>
                  <w:vAlign w:val="center"/>
                </w:tcPr>
                <w:p w14:paraId="6DCC8AC1">
                  <w:pPr>
                    <w:keepNext w:val="0"/>
                    <w:keepLines w:val="0"/>
                    <w:widowControl/>
                    <w:suppressLineNumbers w:val="0"/>
                    <w:adjustRightInd w:val="0"/>
                    <w:snapToGrid w:val="0"/>
                    <w:spacing w:before="0" w:beforeAutospacing="0" w:after="0" w:afterAutospacing="0" w:line="264" w:lineRule="auto"/>
                    <w:ind w:left="0" w:right="0"/>
                    <w:jc w:val="center"/>
                    <w:rPr>
                      <w:rFonts w:hint="default" w:ascii="Times New Roman" w:hAnsi="Times New Roman" w:eastAsia="宋体" w:cs="Times New Roman"/>
                      <w:snapToGrid w:val="0"/>
                      <w:sz w:val="18"/>
                      <w:szCs w:val="18"/>
                      <w:highlight w:val="none"/>
                    </w:rPr>
                  </w:pPr>
                </w:p>
              </w:tc>
              <w:tc>
                <w:tcPr>
                  <w:tcW w:w="423" w:type="dxa"/>
                  <w:vMerge w:val="continue"/>
                  <w:tcBorders>
                    <w:left w:val="single" w:color="auto" w:sz="4" w:space="0"/>
                    <w:right w:val="single" w:color="auto" w:sz="4" w:space="0"/>
                  </w:tcBorders>
                  <w:vAlign w:val="center"/>
                </w:tcPr>
                <w:p w14:paraId="07BC8D1D">
                  <w:pPr>
                    <w:keepNext w:val="0"/>
                    <w:keepLines w:val="0"/>
                    <w:widowControl/>
                    <w:suppressLineNumbers w:val="0"/>
                    <w:adjustRightInd w:val="0"/>
                    <w:snapToGrid w:val="0"/>
                    <w:spacing w:before="0" w:beforeAutospacing="0" w:after="0" w:afterAutospacing="0" w:line="264" w:lineRule="auto"/>
                    <w:ind w:left="0" w:right="0"/>
                    <w:jc w:val="center"/>
                    <w:rPr>
                      <w:rFonts w:hint="default" w:ascii="Times New Roman" w:hAnsi="Times New Roman" w:eastAsia="宋体" w:cs="Times New Roman"/>
                      <w:snapToGrid w:val="0"/>
                      <w:sz w:val="18"/>
                      <w:szCs w:val="18"/>
                      <w:highlight w:val="none"/>
                    </w:rPr>
                  </w:pPr>
                </w:p>
              </w:tc>
              <w:tc>
                <w:tcPr>
                  <w:tcW w:w="1031" w:type="dxa"/>
                  <w:vMerge w:val="continue"/>
                  <w:tcBorders>
                    <w:left w:val="single" w:color="auto" w:sz="4" w:space="0"/>
                    <w:right w:val="single" w:color="auto" w:sz="4" w:space="0"/>
                  </w:tcBorders>
                  <w:vAlign w:val="center"/>
                </w:tcPr>
                <w:p w14:paraId="0787FC20">
                  <w:pPr>
                    <w:keepNext w:val="0"/>
                    <w:keepLines w:val="0"/>
                    <w:widowControl/>
                    <w:suppressLineNumbers w:val="0"/>
                    <w:adjustRightInd w:val="0"/>
                    <w:snapToGrid w:val="0"/>
                    <w:spacing w:before="0" w:beforeAutospacing="0" w:after="0" w:afterAutospacing="0" w:line="264" w:lineRule="auto"/>
                    <w:ind w:left="0" w:right="0"/>
                    <w:jc w:val="center"/>
                    <w:rPr>
                      <w:rFonts w:hint="eastAsia" w:cs="Times New Roman"/>
                      <w:snapToGrid w:val="0"/>
                      <w:sz w:val="18"/>
                      <w:szCs w:val="18"/>
                      <w:highlight w:val="none"/>
                      <w:lang w:val="en-US" w:eastAsia="zh-CN"/>
                    </w:rPr>
                  </w:pPr>
                </w:p>
              </w:tc>
              <w:tc>
                <w:tcPr>
                  <w:tcW w:w="595" w:type="dxa"/>
                  <w:tcBorders>
                    <w:top w:val="single" w:color="auto" w:sz="4" w:space="0"/>
                    <w:left w:val="single" w:color="auto" w:sz="4" w:space="0"/>
                    <w:bottom w:val="single" w:color="auto" w:sz="4" w:space="0"/>
                    <w:right w:val="single" w:color="auto" w:sz="4" w:space="0"/>
                  </w:tcBorders>
                  <w:shd w:val="clear" w:color="auto" w:fill="auto"/>
                  <w:vAlign w:val="center"/>
                </w:tcPr>
                <w:p w14:paraId="26BD0D55">
                  <w:pPr>
                    <w:keepNext w:val="0"/>
                    <w:keepLines w:val="0"/>
                    <w:widowControl/>
                    <w:suppressLineNumbers w:val="0"/>
                    <w:adjustRightInd w:val="0"/>
                    <w:snapToGrid w:val="0"/>
                    <w:spacing w:before="0" w:beforeAutospacing="0" w:after="0" w:afterAutospacing="0" w:line="264" w:lineRule="auto"/>
                    <w:ind w:left="0" w:right="0"/>
                    <w:jc w:val="center"/>
                    <w:rPr>
                      <w:rFonts w:hint="default" w:ascii="Times New Roman" w:hAnsi="Times New Roman" w:eastAsia="宋体" w:cs="Times New Roman"/>
                      <w:snapToGrid w:val="0"/>
                      <w:sz w:val="18"/>
                      <w:szCs w:val="18"/>
                      <w:highlight w:val="none"/>
                      <w:lang w:val="en-US" w:eastAsia="zh-CN"/>
                    </w:rPr>
                  </w:pPr>
                  <w:r>
                    <w:rPr>
                      <w:rFonts w:hint="eastAsia" w:cs="Times New Roman"/>
                      <w:snapToGrid w:val="0"/>
                      <w:sz w:val="18"/>
                      <w:szCs w:val="18"/>
                      <w:highlight w:val="none"/>
                      <w:lang w:val="en-US" w:eastAsia="zh-CN"/>
                    </w:rPr>
                    <w:t>LAS</w:t>
                  </w:r>
                </w:p>
              </w:tc>
              <w:tc>
                <w:tcPr>
                  <w:tcW w:w="609" w:type="dxa"/>
                  <w:vMerge w:val="continue"/>
                  <w:tcBorders>
                    <w:left w:val="single" w:color="auto" w:sz="4" w:space="0"/>
                    <w:right w:val="single" w:color="auto" w:sz="4" w:space="0"/>
                  </w:tcBorders>
                  <w:vAlign w:val="center"/>
                </w:tcPr>
                <w:p w14:paraId="066C2966">
                  <w:pPr>
                    <w:keepNext w:val="0"/>
                    <w:keepLines w:val="0"/>
                    <w:suppressLineNumbers w:val="0"/>
                    <w:snapToGrid w:val="0"/>
                    <w:spacing w:before="0" w:beforeAutospacing="0" w:after="0" w:afterAutospacing="0" w:line="264" w:lineRule="auto"/>
                    <w:ind w:left="0" w:right="0"/>
                    <w:jc w:val="center"/>
                    <w:rPr>
                      <w:rFonts w:hint="default" w:ascii="Times New Roman" w:hAnsi="Times New Roman" w:eastAsia="宋体" w:cs="Times New Roman"/>
                      <w:sz w:val="18"/>
                      <w:szCs w:val="18"/>
                      <w:highlight w:val="none"/>
                    </w:rPr>
                  </w:pPr>
                </w:p>
              </w:tc>
              <w:tc>
                <w:tcPr>
                  <w:tcW w:w="699" w:type="dxa"/>
                  <w:tcBorders>
                    <w:top w:val="single" w:color="auto" w:sz="4" w:space="0"/>
                    <w:left w:val="single" w:color="auto" w:sz="4" w:space="0"/>
                    <w:bottom w:val="single" w:color="auto" w:sz="4" w:space="0"/>
                    <w:right w:val="single" w:color="auto" w:sz="4" w:space="0"/>
                  </w:tcBorders>
                  <w:shd w:val="clear" w:color="auto" w:fill="auto"/>
                  <w:vAlign w:val="center"/>
                </w:tcPr>
                <w:p w14:paraId="49FE6858">
                  <w:pPr>
                    <w:keepNext w:val="0"/>
                    <w:keepLines w:val="0"/>
                    <w:widowControl/>
                    <w:suppressLineNumbers w:val="0"/>
                    <w:snapToGrid w:val="0"/>
                    <w:spacing w:before="0" w:beforeAutospacing="0" w:after="0" w:afterAutospacing="0" w:line="264" w:lineRule="auto"/>
                    <w:ind w:left="0" w:right="0"/>
                    <w:jc w:val="center"/>
                    <w:rPr>
                      <w:rFonts w:hint="default" w:cs="Times New Roman"/>
                      <w:kern w:val="0"/>
                      <w:sz w:val="18"/>
                      <w:szCs w:val="18"/>
                      <w:highlight w:val="none"/>
                      <w:lang w:val="en-US" w:eastAsia="zh-CN"/>
                    </w:rPr>
                  </w:pPr>
                  <w:r>
                    <w:rPr>
                      <w:rFonts w:hint="eastAsia" w:cs="Times New Roman"/>
                      <w:kern w:val="0"/>
                      <w:sz w:val="18"/>
                      <w:szCs w:val="18"/>
                      <w:highlight w:val="none"/>
                      <w:lang w:val="en-US" w:eastAsia="zh-CN"/>
                    </w:rPr>
                    <w:t>1.71</w:t>
                  </w:r>
                </w:p>
              </w:tc>
              <w:tc>
                <w:tcPr>
                  <w:tcW w:w="777" w:type="dxa"/>
                  <w:tcBorders>
                    <w:top w:val="single" w:color="auto" w:sz="4" w:space="0"/>
                    <w:left w:val="single" w:color="auto" w:sz="4" w:space="0"/>
                    <w:bottom w:val="single" w:color="auto" w:sz="4" w:space="0"/>
                    <w:right w:val="single" w:color="auto" w:sz="4" w:space="0"/>
                  </w:tcBorders>
                  <w:shd w:val="clear" w:color="auto" w:fill="auto"/>
                  <w:vAlign w:val="center"/>
                </w:tcPr>
                <w:p w14:paraId="0A13EEC2">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kern w:val="0"/>
                      <w:sz w:val="18"/>
                      <w:szCs w:val="18"/>
                      <w:highlight w:val="none"/>
                      <w:u w:val="none"/>
                      <w:lang w:val="en-US" w:eastAsia="zh-CN" w:bidi="ar"/>
                    </w:rPr>
                  </w:pPr>
                  <w:r>
                    <w:rPr>
                      <w:rFonts w:hint="eastAsia" w:cs="Times New Roman"/>
                      <w:kern w:val="0"/>
                      <w:sz w:val="18"/>
                      <w:szCs w:val="18"/>
                      <w:highlight w:val="none"/>
                      <w:lang w:val="en-US" w:eastAsia="zh-CN"/>
                    </w:rPr>
                    <w:t>0.031</w:t>
                  </w:r>
                </w:p>
              </w:tc>
              <w:tc>
                <w:tcPr>
                  <w:tcW w:w="630" w:type="dxa"/>
                  <w:tcBorders>
                    <w:left w:val="single" w:color="auto" w:sz="4" w:space="0"/>
                    <w:right w:val="single" w:color="auto" w:sz="4" w:space="0"/>
                  </w:tcBorders>
                  <w:shd w:val="clear" w:color="auto" w:fill="auto"/>
                  <w:vAlign w:val="center"/>
                </w:tcPr>
                <w:p w14:paraId="0D62F147">
                  <w:pPr>
                    <w:keepNext w:val="0"/>
                    <w:keepLines w:val="0"/>
                    <w:suppressLineNumbers w:val="0"/>
                    <w:snapToGrid w:val="0"/>
                    <w:spacing w:before="0" w:beforeAutospacing="0" w:after="0" w:afterAutospacing="0" w:line="264" w:lineRule="auto"/>
                    <w:ind w:left="0" w:right="0"/>
                    <w:jc w:val="center"/>
                    <w:rPr>
                      <w:rFonts w:hint="eastAsia" w:ascii="Times New Roman" w:hAnsi="Times New Roman" w:eastAsia="宋体" w:cs="Times New Roman"/>
                      <w:kern w:val="2"/>
                      <w:sz w:val="18"/>
                      <w:szCs w:val="18"/>
                      <w:highlight w:val="none"/>
                      <w:lang w:val="en-US" w:eastAsia="zh-CN" w:bidi="ar-SA"/>
                    </w:rPr>
                  </w:pPr>
                  <w:r>
                    <w:rPr>
                      <w:rFonts w:hint="eastAsia" w:ascii="Times New Roman" w:hAnsi="Times New Roman" w:eastAsia="宋体" w:cs="Times New Roman"/>
                      <w:sz w:val="18"/>
                      <w:szCs w:val="18"/>
                      <w:highlight w:val="none"/>
                      <w:lang w:val="en-US" w:eastAsia="zh-CN"/>
                    </w:rPr>
                    <w:t>/</w:t>
                  </w:r>
                </w:p>
              </w:tc>
              <w:tc>
                <w:tcPr>
                  <w:tcW w:w="477" w:type="dxa"/>
                  <w:tcBorders>
                    <w:left w:val="single" w:color="auto" w:sz="4" w:space="0"/>
                    <w:right w:val="single" w:color="auto" w:sz="4" w:space="0"/>
                  </w:tcBorders>
                  <w:shd w:val="clear" w:color="auto" w:fill="auto"/>
                  <w:vAlign w:val="center"/>
                </w:tcPr>
                <w:p w14:paraId="3929886A">
                  <w:pPr>
                    <w:keepNext w:val="0"/>
                    <w:keepLines w:val="0"/>
                    <w:suppressLineNumbers w:val="0"/>
                    <w:snapToGrid w:val="0"/>
                    <w:spacing w:before="0" w:beforeAutospacing="0" w:after="0" w:afterAutospacing="0" w:line="264" w:lineRule="auto"/>
                    <w:ind w:left="0" w:right="0"/>
                    <w:jc w:val="center"/>
                    <w:rPr>
                      <w:rFonts w:hint="eastAsia" w:ascii="Times New Roman" w:hAnsi="Times New Roman" w:eastAsia="宋体" w:cs="Times New Roman"/>
                      <w:kern w:val="2"/>
                      <w:sz w:val="18"/>
                      <w:szCs w:val="18"/>
                      <w:highlight w:val="none"/>
                      <w:lang w:val="en-US" w:eastAsia="zh-CN" w:bidi="ar-SA"/>
                    </w:rPr>
                  </w:pPr>
                  <w:r>
                    <w:rPr>
                      <w:rFonts w:hint="eastAsia" w:ascii="Times New Roman" w:hAnsi="Times New Roman" w:eastAsia="宋体" w:cs="Times New Roman"/>
                      <w:sz w:val="18"/>
                      <w:szCs w:val="18"/>
                      <w:highlight w:val="none"/>
                      <w:lang w:val="en-US" w:eastAsia="zh-CN"/>
                    </w:rPr>
                    <w:t>/</w:t>
                  </w:r>
                </w:p>
              </w:tc>
              <w:tc>
                <w:tcPr>
                  <w:tcW w:w="611" w:type="dxa"/>
                  <w:vMerge w:val="continue"/>
                  <w:tcBorders>
                    <w:left w:val="single" w:color="auto" w:sz="4" w:space="0"/>
                    <w:right w:val="single" w:color="auto" w:sz="4" w:space="0"/>
                  </w:tcBorders>
                  <w:vAlign w:val="center"/>
                </w:tcPr>
                <w:p w14:paraId="41A89208">
                  <w:pPr>
                    <w:keepNext w:val="0"/>
                    <w:keepLines w:val="0"/>
                    <w:suppressLineNumbers w:val="0"/>
                    <w:snapToGrid w:val="0"/>
                    <w:spacing w:before="0" w:beforeAutospacing="0" w:after="0" w:afterAutospacing="0" w:line="264" w:lineRule="auto"/>
                    <w:ind w:left="0" w:right="0"/>
                    <w:jc w:val="center"/>
                    <w:rPr>
                      <w:rFonts w:hint="default" w:ascii="Times New Roman" w:hAnsi="Times New Roman" w:eastAsia="宋体" w:cs="Times New Roman"/>
                      <w:kern w:val="0"/>
                      <w:sz w:val="18"/>
                      <w:szCs w:val="18"/>
                      <w:highlight w:val="none"/>
                    </w:rPr>
                  </w:pPr>
                </w:p>
              </w:tc>
              <w:tc>
                <w:tcPr>
                  <w:tcW w:w="679" w:type="dxa"/>
                  <w:tcBorders>
                    <w:top w:val="single" w:color="auto" w:sz="4" w:space="0"/>
                    <w:left w:val="single" w:color="auto" w:sz="4" w:space="0"/>
                    <w:bottom w:val="single" w:color="auto" w:sz="4" w:space="0"/>
                    <w:right w:val="single" w:color="auto" w:sz="4" w:space="0"/>
                  </w:tcBorders>
                  <w:shd w:val="clear" w:color="auto" w:fill="auto"/>
                  <w:vAlign w:val="center"/>
                </w:tcPr>
                <w:p w14:paraId="45DE11AC">
                  <w:pPr>
                    <w:keepNext w:val="0"/>
                    <w:keepLines w:val="0"/>
                    <w:widowControl/>
                    <w:suppressLineNumbers w:val="0"/>
                    <w:snapToGrid w:val="0"/>
                    <w:spacing w:before="0" w:beforeAutospacing="0" w:after="0" w:afterAutospacing="0" w:line="264" w:lineRule="auto"/>
                    <w:ind w:left="0" w:right="0"/>
                    <w:jc w:val="center"/>
                    <w:rPr>
                      <w:rFonts w:hint="default" w:cs="Times New Roman"/>
                      <w:kern w:val="0"/>
                      <w:sz w:val="18"/>
                      <w:szCs w:val="18"/>
                      <w:highlight w:val="none"/>
                      <w:lang w:val="en-US" w:eastAsia="zh-CN"/>
                    </w:rPr>
                  </w:pPr>
                  <w:r>
                    <w:rPr>
                      <w:rFonts w:hint="eastAsia" w:cs="Times New Roman"/>
                      <w:kern w:val="0"/>
                      <w:sz w:val="18"/>
                      <w:szCs w:val="18"/>
                      <w:highlight w:val="none"/>
                      <w:lang w:val="en-US" w:eastAsia="zh-CN"/>
                    </w:rPr>
                    <w:t>1.05</w:t>
                  </w:r>
                </w:p>
              </w:tc>
              <w:tc>
                <w:tcPr>
                  <w:tcW w:w="723" w:type="dxa"/>
                  <w:tcBorders>
                    <w:top w:val="single" w:color="auto" w:sz="4" w:space="0"/>
                    <w:left w:val="single" w:color="auto" w:sz="4" w:space="0"/>
                    <w:bottom w:val="single" w:color="auto" w:sz="4" w:space="0"/>
                    <w:right w:val="single" w:color="auto" w:sz="4" w:space="0"/>
                  </w:tcBorders>
                  <w:shd w:val="clear" w:color="auto" w:fill="auto"/>
                  <w:vAlign w:val="center"/>
                </w:tcPr>
                <w:p w14:paraId="4A5816E9">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kern w:val="0"/>
                      <w:sz w:val="18"/>
                      <w:szCs w:val="18"/>
                      <w:highlight w:val="none"/>
                      <w:u w:val="none"/>
                      <w:lang w:val="en-US" w:eastAsia="zh-CN" w:bidi="ar"/>
                    </w:rPr>
                  </w:pPr>
                  <w:r>
                    <w:rPr>
                      <w:rFonts w:hint="eastAsia" w:cs="Times New Roman"/>
                      <w:kern w:val="0"/>
                      <w:sz w:val="18"/>
                      <w:szCs w:val="18"/>
                      <w:highlight w:val="none"/>
                      <w:lang w:val="en-US" w:eastAsia="zh-CN"/>
                    </w:rPr>
                    <w:t>0.019</w:t>
                  </w:r>
                </w:p>
              </w:tc>
              <w:tc>
                <w:tcPr>
                  <w:tcW w:w="481" w:type="dxa"/>
                  <w:vMerge w:val="continue"/>
                  <w:tcBorders>
                    <w:left w:val="single" w:color="auto" w:sz="4" w:space="0"/>
                    <w:right w:val="single" w:color="auto" w:sz="4" w:space="0"/>
                  </w:tcBorders>
                  <w:vAlign w:val="center"/>
                </w:tcPr>
                <w:p w14:paraId="227BA84A">
                  <w:pPr>
                    <w:keepNext w:val="0"/>
                    <w:keepLines w:val="0"/>
                    <w:suppressLineNumbers w:val="0"/>
                    <w:snapToGrid w:val="0"/>
                    <w:spacing w:before="0" w:beforeAutospacing="0" w:after="0" w:afterAutospacing="0" w:line="264" w:lineRule="auto"/>
                    <w:ind w:left="0" w:right="0"/>
                    <w:jc w:val="center"/>
                    <w:rPr>
                      <w:rFonts w:hint="default" w:ascii="Times New Roman" w:hAnsi="Times New Roman" w:eastAsia="宋体" w:cs="Times New Roman"/>
                      <w:kern w:val="0"/>
                      <w:sz w:val="18"/>
                      <w:szCs w:val="18"/>
                      <w:highlight w:val="none"/>
                    </w:rPr>
                  </w:pPr>
                </w:p>
              </w:tc>
            </w:tr>
            <w:tr w14:paraId="0D4B4D6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jc w:val="center"/>
              </w:trPr>
              <w:tc>
                <w:tcPr>
                  <w:tcW w:w="580" w:type="dxa"/>
                  <w:vMerge w:val="continue"/>
                  <w:tcBorders>
                    <w:left w:val="single" w:color="auto" w:sz="4" w:space="0"/>
                    <w:right w:val="single" w:color="auto" w:sz="4" w:space="0"/>
                  </w:tcBorders>
                  <w:vAlign w:val="center"/>
                </w:tcPr>
                <w:p w14:paraId="53D8504B">
                  <w:pPr>
                    <w:keepNext w:val="0"/>
                    <w:keepLines w:val="0"/>
                    <w:widowControl/>
                    <w:suppressLineNumbers w:val="0"/>
                    <w:adjustRightInd w:val="0"/>
                    <w:snapToGrid w:val="0"/>
                    <w:spacing w:before="0" w:beforeAutospacing="0" w:after="0" w:afterAutospacing="0" w:line="264" w:lineRule="auto"/>
                    <w:ind w:left="0" w:right="0"/>
                    <w:jc w:val="center"/>
                    <w:rPr>
                      <w:rFonts w:hint="default" w:ascii="Times New Roman" w:hAnsi="Times New Roman" w:eastAsia="宋体" w:cs="Times New Roman"/>
                      <w:snapToGrid w:val="0"/>
                      <w:sz w:val="18"/>
                      <w:szCs w:val="18"/>
                      <w:highlight w:val="none"/>
                    </w:rPr>
                  </w:pPr>
                </w:p>
              </w:tc>
              <w:tc>
                <w:tcPr>
                  <w:tcW w:w="423" w:type="dxa"/>
                  <w:vMerge w:val="continue"/>
                  <w:tcBorders>
                    <w:left w:val="single" w:color="auto" w:sz="4" w:space="0"/>
                    <w:right w:val="single" w:color="auto" w:sz="4" w:space="0"/>
                  </w:tcBorders>
                  <w:vAlign w:val="center"/>
                </w:tcPr>
                <w:p w14:paraId="631899D9">
                  <w:pPr>
                    <w:keepNext w:val="0"/>
                    <w:keepLines w:val="0"/>
                    <w:widowControl/>
                    <w:suppressLineNumbers w:val="0"/>
                    <w:adjustRightInd w:val="0"/>
                    <w:snapToGrid w:val="0"/>
                    <w:spacing w:before="0" w:beforeAutospacing="0" w:after="0" w:afterAutospacing="0" w:line="264" w:lineRule="auto"/>
                    <w:ind w:left="0" w:right="0"/>
                    <w:jc w:val="center"/>
                    <w:rPr>
                      <w:rFonts w:hint="default" w:ascii="Times New Roman" w:hAnsi="Times New Roman" w:eastAsia="宋体" w:cs="Times New Roman"/>
                      <w:snapToGrid w:val="0"/>
                      <w:sz w:val="18"/>
                      <w:szCs w:val="18"/>
                      <w:highlight w:val="none"/>
                    </w:rPr>
                  </w:pPr>
                </w:p>
              </w:tc>
              <w:tc>
                <w:tcPr>
                  <w:tcW w:w="1031" w:type="dxa"/>
                  <w:vMerge w:val="continue"/>
                  <w:tcBorders>
                    <w:left w:val="single" w:color="auto" w:sz="4" w:space="0"/>
                    <w:right w:val="single" w:color="auto" w:sz="4" w:space="0"/>
                  </w:tcBorders>
                  <w:vAlign w:val="center"/>
                </w:tcPr>
                <w:p w14:paraId="1BAC343E">
                  <w:pPr>
                    <w:keepNext w:val="0"/>
                    <w:keepLines w:val="0"/>
                    <w:widowControl/>
                    <w:suppressLineNumbers w:val="0"/>
                    <w:adjustRightInd w:val="0"/>
                    <w:snapToGrid w:val="0"/>
                    <w:spacing w:before="0" w:beforeAutospacing="0" w:after="0" w:afterAutospacing="0" w:line="264" w:lineRule="auto"/>
                    <w:ind w:left="0" w:right="0"/>
                    <w:jc w:val="center"/>
                    <w:rPr>
                      <w:rFonts w:hint="eastAsia" w:cs="Times New Roman"/>
                      <w:snapToGrid w:val="0"/>
                      <w:sz w:val="18"/>
                      <w:szCs w:val="18"/>
                      <w:highlight w:val="none"/>
                      <w:lang w:val="en-US" w:eastAsia="zh-CN"/>
                    </w:rPr>
                  </w:pPr>
                </w:p>
              </w:tc>
              <w:tc>
                <w:tcPr>
                  <w:tcW w:w="595" w:type="dxa"/>
                  <w:tcBorders>
                    <w:top w:val="single" w:color="auto" w:sz="4" w:space="0"/>
                    <w:left w:val="single" w:color="auto" w:sz="4" w:space="0"/>
                    <w:bottom w:val="single" w:color="auto" w:sz="4" w:space="0"/>
                    <w:right w:val="single" w:color="auto" w:sz="4" w:space="0"/>
                  </w:tcBorders>
                  <w:shd w:val="clear" w:color="auto" w:fill="auto"/>
                  <w:vAlign w:val="center"/>
                </w:tcPr>
                <w:p w14:paraId="2A730AEC">
                  <w:pPr>
                    <w:keepNext w:val="0"/>
                    <w:keepLines w:val="0"/>
                    <w:widowControl/>
                    <w:suppressLineNumbers w:val="0"/>
                    <w:adjustRightInd w:val="0"/>
                    <w:snapToGrid w:val="0"/>
                    <w:spacing w:before="0" w:beforeAutospacing="0" w:after="0" w:afterAutospacing="0" w:line="264" w:lineRule="auto"/>
                    <w:ind w:left="0" w:right="0"/>
                    <w:jc w:val="center"/>
                    <w:rPr>
                      <w:rFonts w:hint="default" w:cs="Times New Roman"/>
                      <w:snapToGrid w:val="0"/>
                      <w:sz w:val="18"/>
                      <w:szCs w:val="18"/>
                      <w:highlight w:val="none"/>
                      <w:lang w:val="en-US" w:eastAsia="zh-CN"/>
                    </w:rPr>
                  </w:pPr>
                  <w:r>
                    <w:rPr>
                      <w:rFonts w:hint="eastAsia" w:cs="Times New Roman"/>
                      <w:snapToGrid w:val="0"/>
                      <w:sz w:val="18"/>
                      <w:szCs w:val="18"/>
                      <w:highlight w:val="none"/>
                      <w:lang w:val="en-US" w:eastAsia="zh-CN"/>
                    </w:rPr>
                    <w:t>TP</w:t>
                  </w:r>
                </w:p>
              </w:tc>
              <w:tc>
                <w:tcPr>
                  <w:tcW w:w="609" w:type="dxa"/>
                  <w:vMerge w:val="continue"/>
                  <w:tcBorders>
                    <w:left w:val="single" w:color="auto" w:sz="4" w:space="0"/>
                    <w:right w:val="single" w:color="auto" w:sz="4" w:space="0"/>
                  </w:tcBorders>
                  <w:vAlign w:val="center"/>
                </w:tcPr>
                <w:p w14:paraId="05E15DE8">
                  <w:pPr>
                    <w:keepNext w:val="0"/>
                    <w:keepLines w:val="0"/>
                    <w:suppressLineNumbers w:val="0"/>
                    <w:snapToGrid w:val="0"/>
                    <w:spacing w:before="0" w:beforeAutospacing="0" w:after="0" w:afterAutospacing="0" w:line="264" w:lineRule="auto"/>
                    <w:ind w:left="0" w:right="0"/>
                    <w:jc w:val="center"/>
                    <w:rPr>
                      <w:rFonts w:hint="default" w:ascii="Times New Roman" w:hAnsi="Times New Roman" w:eastAsia="宋体" w:cs="Times New Roman"/>
                      <w:sz w:val="18"/>
                      <w:szCs w:val="18"/>
                      <w:highlight w:val="none"/>
                    </w:rPr>
                  </w:pPr>
                </w:p>
              </w:tc>
              <w:tc>
                <w:tcPr>
                  <w:tcW w:w="699" w:type="dxa"/>
                  <w:tcBorders>
                    <w:top w:val="single" w:color="auto" w:sz="4" w:space="0"/>
                    <w:left w:val="single" w:color="auto" w:sz="4" w:space="0"/>
                    <w:bottom w:val="single" w:color="auto" w:sz="4" w:space="0"/>
                    <w:right w:val="single" w:color="auto" w:sz="4" w:space="0"/>
                  </w:tcBorders>
                  <w:shd w:val="clear" w:color="auto" w:fill="auto"/>
                  <w:vAlign w:val="center"/>
                </w:tcPr>
                <w:p w14:paraId="42114C36">
                  <w:pPr>
                    <w:keepNext w:val="0"/>
                    <w:keepLines w:val="0"/>
                    <w:widowControl/>
                    <w:suppressLineNumbers w:val="0"/>
                    <w:snapToGrid w:val="0"/>
                    <w:spacing w:before="0" w:beforeAutospacing="0" w:after="0" w:afterAutospacing="0" w:line="264" w:lineRule="auto"/>
                    <w:ind w:left="0" w:leftChars="0" w:right="0" w:rightChars="0"/>
                    <w:jc w:val="center"/>
                    <w:rPr>
                      <w:rFonts w:hint="default" w:cs="Times New Roman"/>
                      <w:color w:val="auto"/>
                      <w:kern w:val="0"/>
                      <w:sz w:val="18"/>
                      <w:szCs w:val="18"/>
                      <w:highlight w:val="none"/>
                      <w:lang w:val="en-US" w:eastAsia="zh-CN"/>
                    </w:rPr>
                  </w:pPr>
                  <w:r>
                    <w:rPr>
                      <w:rFonts w:hint="eastAsia" w:cs="Times New Roman"/>
                      <w:color w:val="auto"/>
                      <w:kern w:val="0"/>
                      <w:sz w:val="18"/>
                      <w:szCs w:val="18"/>
                      <w:highlight w:val="none"/>
                      <w:lang w:val="en-US" w:eastAsia="zh-CN"/>
                    </w:rPr>
                    <w:t xml:space="preserve">3.25 </w:t>
                  </w:r>
                </w:p>
              </w:tc>
              <w:tc>
                <w:tcPr>
                  <w:tcW w:w="777" w:type="dxa"/>
                  <w:tcBorders>
                    <w:top w:val="single" w:color="auto" w:sz="4" w:space="0"/>
                    <w:left w:val="single" w:color="auto" w:sz="4" w:space="0"/>
                    <w:bottom w:val="single" w:color="auto" w:sz="4" w:space="0"/>
                    <w:right w:val="single" w:color="auto" w:sz="4" w:space="0"/>
                  </w:tcBorders>
                  <w:shd w:val="clear" w:color="auto" w:fill="auto"/>
                  <w:vAlign w:val="center"/>
                </w:tcPr>
                <w:p w14:paraId="65A59B94">
                  <w:pPr>
                    <w:keepNext w:val="0"/>
                    <w:keepLines w:val="0"/>
                    <w:widowControl/>
                    <w:suppressLineNumbers w:val="0"/>
                    <w:snapToGrid w:val="0"/>
                    <w:spacing w:before="0" w:beforeAutospacing="0" w:after="0" w:afterAutospacing="0" w:line="264" w:lineRule="auto"/>
                    <w:ind w:left="0" w:leftChars="0" w:right="0" w:rightChars="0"/>
                    <w:jc w:val="center"/>
                    <w:rPr>
                      <w:rFonts w:hint="eastAsia" w:cs="Times New Roman"/>
                      <w:color w:val="auto"/>
                      <w:kern w:val="0"/>
                      <w:sz w:val="18"/>
                      <w:szCs w:val="18"/>
                      <w:highlight w:val="none"/>
                      <w:lang w:val="en-US" w:eastAsia="zh-CN"/>
                    </w:rPr>
                  </w:pPr>
                  <w:r>
                    <w:rPr>
                      <w:rFonts w:hint="eastAsia" w:cs="Times New Roman"/>
                      <w:color w:val="auto"/>
                      <w:kern w:val="0"/>
                      <w:sz w:val="18"/>
                      <w:szCs w:val="18"/>
                      <w:highlight w:val="none"/>
                      <w:lang w:val="en-US" w:eastAsia="zh-CN"/>
                    </w:rPr>
                    <w:t>0.059</w:t>
                  </w:r>
                </w:p>
              </w:tc>
              <w:tc>
                <w:tcPr>
                  <w:tcW w:w="630" w:type="dxa"/>
                  <w:tcBorders>
                    <w:left w:val="single" w:color="auto" w:sz="4" w:space="0"/>
                    <w:right w:val="single" w:color="auto" w:sz="4" w:space="0"/>
                  </w:tcBorders>
                  <w:shd w:val="clear" w:color="auto" w:fill="auto"/>
                  <w:vAlign w:val="center"/>
                </w:tcPr>
                <w:p w14:paraId="45C08CE6">
                  <w:pPr>
                    <w:keepNext w:val="0"/>
                    <w:keepLines w:val="0"/>
                    <w:widowControl/>
                    <w:suppressLineNumbers w:val="0"/>
                    <w:snapToGrid w:val="0"/>
                    <w:spacing w:before="0" w:beforeAutospacing="0" w:after="0" w:afterAutospacing="0" w:line="264" w:lineRule="auto"/>
                    <w:ind w:left="0" w:leftChars="0" w:right="0" w:rightChars="0"/>
                    <w:jc w:val="center"/>
                    <w:rPr>
                      <w:rFonts w:hint="eastAsia" w:cs="Times New Roman"/>
                      <w:color w:val="auto"/>
                      <w:kern w:val="0"/>
                      <w:sz w:val="18"/>
                      <w:szCs w:val="18"/>
                      <w:highlight w:val="none"/>
                      <w:lang w:val="en-US" w:eastAsia="zh-CN"/>
                    </w:rPr>
                  </w:pPr>
                  <w:r>
                    <w:rPr>
                      <w:rFonts w:hint="eastAsia" w:cs="Times New Roman"/>
                      <w:color w:val="auto"/>
                      <w:kern w:val="0"/>
                      <w:sz w:val="18"/>
                      <w:szCs w:val="18"/>
                      <w:highlight w:val="none"/>
                      <w:lang w:val="en-US" w:eastAsia="zh-CN"/>
                    </w:rPr>
                    <w:t>/</w:t>
                  </w:r>
                </w:p>
              </w:tc>
              <w:tc>
                <w:tcPr>
                  <w:tcW w:w="477" w:type="dxa"/>
                  <w:tcBorders>
                    <w:left w:val="single" w:color="auto" w:sz="4" w:space="0"/>
                    <w:right w:val="single" w:color="auto" w:sz="4" w:space="0"/>
                  </w:tcBorders>
                  <w:shd w:val="clear" w:color="auto" w:fill="auto"/>
                  <w:vAlign w:val="center"/>
                </w:tcPr>
                <w:p w14:paraId="482CD8A6">
                  <w:pPr>
                    <w:keepNext w:val="0"/>
                    <w:keepLines w:val="0"/>
                    <w:widowControl/>
                    <w:suppressLineNumbers w:val="0"/>
                    <w:snapToGrid w:val="0"/>
                    <w:spacing w:before="0" w:beforeAutospacing="0" w:after="0" w:afterAutospacing="0" w:line="264" w:lineRule="auto"/>
                    <w:ind w:left="0" w:leftChars="0" w:right="0" w:rightChars="0"/>
                    <w:jc w:val="center"/>
                    <w:rPr>
                      <w:rFonts w:hint="eastAsia" w:cs="Times New Roman"/>
                      <w:color w:val="auto"/>
                      <w:kern w:val="0"/>
                      <w:sz w:val="18"/>
                      <w:szCs w:val="18"/>
                      <w:highlight w:val="none"/>
                      <w:lang w:val="en-US" w:eastAsia="zh-CN"/>
                    </w:rPr>
                  </w:pPr>
                  <w:r>
                    <w:rPr>
                      <w:rFonts w:hint="eastAsia" w:cs="Times New Roman"/>
                      <w:color w:val="auto"/>
                      <w:kern w:val="0"/>
                      <w:sz w:val="18"/>
                      <w:szCs w:val="18"/>
                      <w:highlight w:val="none"/>
                      <w:lang w:val="en-US" w:eastAsia="zh-CN"/>
                    </w:rPr>
                    <w:t>/</w:t>
                  </w:r>
                </w:p>
              </w:tc>
              <w:tc>
                <w:tcPr>
                  <w:tcW w:w="611" w:type="dxa"/>
                  <w:vMerge w:val="continue"/>
                  <w:tcBorders>
                    <w:left w:val="single" w:color="auto" w:sz="4" w:space="0"/>
                    <w:right w:val="single" w:color="auto" w:sz="4" w:space="0"/>
                  </w:tcBorders>
                  <w:vAlign w:val="center"/>
                </w:tcPr>
                <w:p w14:paraId="69934A62">
                  <w:pPr>
                    <w:keepNext w:val="0"/>
                    <w:keepLines w:val="0"/>
                    <w:suppressLineNumbers w:val="0"/>
                    <w:snapToGrid w:val="0"/>
                    <w:spacing w:before="0" w:beforeAutospacing="0" w:after="0" w:afterAutospacing="0" w:line="264" w:lineRule="auto"/>
                    <w:ind w:left="0" w:right="0"/>
                    <w:jc w:val="center"/>
                    <w:rPr>
                      <w:rFonts w:hint="default" w:ascii="Times New Roman" w:hAnsi="Times New Roman" w:eastAsia="宋体" w:cs="Times New Roman"/>
                      <w:kern w:val="0"/>
                      <w:sz w:val="18"/>
                      <w:szCs w:val="18"/>
                      <w:highlight w:val="none"/>
                    </w:rPr>
                  </w:pPr>
                </w:p>
              </w:tc>
              <w:tc>
                <w:tcPr>
                  <w:tcW w:w="679" w:type="dxa"/>
                  <w:tcBorders>
                    <w:top w:val="single" w:color="auto" w:sz="4" w:space="0"/>
                    <w:left w:val="single" w:color="auto" w:sz="4" w:space="0"/>
                    <w:bottom w:val="single" w:color="auto" w:sz="4" w:space="0"/>
                    <w:right w:val="single" w:color="auto" w:sz="4" w:space="0"/>
                  </w:tcBorders>
                  <w:shd w:val="clear" w:color="auto" w:fill="auto"/>
                  <w:vAlign w:val="center"/>
                </w:tcPr>
                <w:p w14:paraId="20A2C691">
                  <w:pPr>
                    <w:keepNext w:val="0"/>
                    <w:keepLines w:val="0"/>
                    <w:widowControl/>
                    <w:suppressLineNumbers w:val="0"/>
                    <w:snapToGrid w:val="0"/>
                    <w:spacing w:before="0" w:beforeAutospacing="0" w:after="0" w:afterAutospacing="0" w:line="264" w:lineRule="auto"/>
                    <w:ind w:left="0" w:leftChars="0" w:right="0" w:rightChars="0"/>
                    <w:jc w:val="center"/>
                    <w:rPr>
                      <w:rFonts w:hint="eastAsia" w:cs="Times New Roman"/>
                      <w:color w:val="auto"/>
                      <w:kern w:val="0"/>
                      <w:sz w:val="18"/>
                      <w:szCs w:val="18"/>
                      <w:highlight w:val="none"/>
                      <w:lang w:val="en-US" w:eastAsia="zh-CN"/>
                    </w:rPr>
                  </w:pPr>
                  <w:r>
                    <w:rPr>
                      <w:rFonts w:hint="eastAsia" w:cs="Times New Roman"/>
                      <w:color w:val="auto"/>
                      <w:kern w:val="0"/>
                      <w:sz w:val="18"/>
                      <w:szCs w:val="18"/>
                      <w:highlight w:val="none"/>
                      <w:lang w:val="en-US" w:eastAsia="zh-CN"/>
                    </w:rPr>
                    <w:t xml:space="preserve">3.25 </w:t>
                  </w:r>
                </w:p>
              </w:tc>
              <w:tc>
                <w:tcPr>
                  <w:tcW w:w="723" w:type="dxa"/>
                  <w:tcBorders>
                    <w:top w:val="single" w:color="auto" w:sz="4" w:space="0"/>
                    <w:left w:val="single" w:color="auto" w:sz="4" w:space="0"/>
                    <w:bottom w:val="single" w:color="auto" w:sz="4" w:space="0"/>
                    <w:right w:val="single" w:color="auto" w:sz="4" w:space="0"/>
                  </w:tcBorders>
                  <w:shd w:val="clear" w:color="auto" w:fill="auto"/>
                  <w:vAlign w:val="center"/>
                </w:tcPr>
                <w:p w14:paraId="036B48BF">
                  <w:pPr>
                    <w:keepNext w:val="0"/>
                    <w:keepLines w:val="0"/>
                    <w:widowControl/>
                    <w:suppressLineNumbers w:val="0"/>
                    <w:snapToGrid w:val="0"/>
                    <w:spacing w:before="0" w:beforeAutospacing="0" w:after="0" w:afterAutospacing="0" w:line="264" w:lineRule="auto"/>
                    <w:ind w:left="0" w:leftChars="0" w:right="0" w:rightChars="0"/>
                    <w:jc w:val="center"/>
                    <w:rPr>
                      <w:rFonts w:hint="eastAsia" w:cs="Times New Roman"/>
                      <w:color w:val="auto"/>
                      <w:kern w:val="0"/>
                      <w:sz w:val="18"/>
                      <w:szCs w:val="18"/>
                      <w:highlight w:val="none"/>
                      <w:lang w:val="en-US" w:eastAsia="zh-CN"/>
                    </w:rPr>
                  </w:pPr>
                  <w:r>
                    <w:rPr>
                      <w:rFonts w:hint="eastAsia" w:cs="Times New Roman"/>
                      <w:color w:val="auto"/>
                      <w:kern w:val="0"/>
                      <w:sz w:val="18"/>
                      <w:szCs w:val="18"/>
                      <w:highlight w:val="none"/>
                      <w:lang w:val="en-US" w:eastAsia="zh-CN"/>
                    </w:rPr>
                    <w:t>0.059</w:t>
                  </w:r>
                </w:p>
              </w:tc>
              <w:tc>
                <w:tcPr>
                  <w:tcW w:w="481" w:type="dxa"/>
                  <w:vMerge w:val="continue"/>
                  <w:tcBorders>
                    <w:left w:val="single" w:color="auto" w:sz="4" w:space="0"/>
                    <w:right w:val="single" w:color="auto" w:sz="4" w:space="0"/>
                  </w:tcBorders>
                  <w:vAlign w:val="center"/>
                </w:tcPr>
                <w:p w14:paraId="605A8251">
                  <w:pPr>
                    <w:keepNext w:val="0"/>
                    <w:keepLines w:val="0"/>
                    <w:suppressLineNumbers w:val="0"/>
                    <w:snapToGrid w:val="0"/>
                    <w:spacing w:before="0" w:beforeAutospacing="0" w:after="0" w:afterAutospacing="0" w:line="264" w:lineRule="auto"/>
                    <w:ind w:left="0" w:right="0"/>
                    <w:jc w:val="center"/>
                    <w:rPr>
                      <w:rFonts w:hint="default" w:ascii="Times New Roman" w:hAnsi="Times New Roman" w:eastAsia="宋体" w:cs="Times New Roman"/>
                      <w:kern w:val="0"/>
                      <w:sz w:val="18"/>
                      <w:szCs w:val="18"/>
                      <w:highlight w:val="none"/>
                    </w:rPr>
                  </w:pPr>
                </w:p>
              </w:tc>
            </w:tr>
            <w:tr w14:paraId="2E4B75A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jc w:val="center"/>
              </w:trPr>
              <w:tc>
                <w:tcPr>
                  <w:tcW w:w="580" w:type="dxa"/>
                  <w:vMerge w:val="continue"/>
                  <w:tcBorders>
                    <w:left w:val="single" w:color="auto" w:sz="4" w:space="0"/>
                    <w:right w:val="single" w:color="auto" w:sz="4" w:space="0"/>
                  </w:tcBorders>
                  <w:vAlign w:val="center"/>
                </w:tcPr>
                <w:p w14:paraId="25469C7B">
                  <w:pPr>
                    <w:keepNext w:val="0"/>
                    <w:keepLines w:val="0"/>
                    <w:widowControl/>
                    <w:suppressLineNumbers w:val="0"/>
                    <w:adjustRightInd w:val="0"/>
                    <w:snapToGrid w:val="0"/>
                    <w:spacing w:before="0" w:beforeAutospacing="0" w:after="0" w:afterAutospacing="0" w:line="264" w:lineRule="auto"/>
                    <w:ind w:left="0" w:right="0"/>
                    <w:jc w:val="center"/>
                    <w:rPr>
                      <w:rFonts w:hint="default" w:ascii="Times New Roman" w:hAnsi="Times New Roman" w:eastAsia="宋体" w:cs="Times New Roman"/>
                      <w:snapToGrid w:val="0"/>
                      <w:sz w:val="18"/>
                      <w:szCs w:val="18"/>
                      <w:highlight w:val="none"/>
                    </w:rPr>
                  </w:pPr>
                </w:p>
              </w:tc>
              <w:tc>
                <w:tcPr>
                  <w:tcW w:w="423" w:type="dxa"/>
                  <w:vMerge w:val="continue"/>
                  <w:tcBorders>
                    <w:left w:val="single" w:color="auto" w:sz="4" w:space="0"/>
                    <w:right w:val="single" w:color="auto" w:sz="4" w:space="0"/>
                  </w:tcBorders>
                  <w:vAlign w:val="center"/>
                </w:tcPr>
                <w:p w14:paraId="3F5608BD">
                  <w:pPr>
                    <w:keepNext w:val="0"/>
                    <w:keepLines w:val="0"/>
                    <w:widowControl/>
                    <w:suppressLineNumbers w:val="0"/>
                    <w:adjustRightInd w:val="0"/>
                    <w:snapToGrid w:val="0"/>
                    <w:spacing w:before="0" w:beforeAutospacing="0" w:after="0" w:afterAutospacing="0" w:line="264" w:lineRule="auto"/>
                    <w:ind w:left="0" w:right="0"/>
                    <w:jc w:val="center"/>
                    <w:rPr>
                      <w:rFonts w:hint="default" w:ascii="Times New Roman" w:hAnsi="Times New Roman" w:eastAsia="宋体" w:cs="Times New Roman"/>
                      <w:snapToGrid w:val="0"/>
                      <w:sz w:val="18"/>
                      <w:szCs w:val="18"/>
                      <w:highlight w:val="none"/>
                    </w:rPr>
                  </w:pPr>
                </w:p>
              </w:tc>
              <w:tc>
                <w:tcPr>
                  <w:tcW w:w="1031" w:type="dxa"/>
                  <w:vMerge w:val="continue"/>
                  <w:tcBorders>
                    <w:left w:val="single" w:color="auto" w:sz="4" w:space="0"/>
                    <w:right w:val="single" w:color="auto" w:sz="4" w:space="0"/>
                  </w:tcBorders>
                  <w:vAlign w:val="center"/>
                </w:tcPr>
                <w:p w14:paraId="3A46520A">
                  <w:pPr>
                    <w:keepNext w:val="0"/>
                    <w:keepLines w:val="0"/>
                    <w:widowControl/>
                    <w:suppressLineNumbers w:val="0"/>
                    <w:adjustRightInd w:val="0"/>
                    <w:snapToGrid w:val="0"/>
                    <w:spacing w:before="0" w:beforeAutospacing="0" w:after="0" w:afterAutospacing="0" w:line="264" w:lineRule="auto"/>
                    <w:ind w:left="0" w:right="0"/>
                    <w:jc w:val="center"/>
                    <w:rPr>
                      <w:rFonts w:hint="eastAsia" w:cs="Times New Roman"/>
                      <w:snapToGrid w:val="0"/>
                      <w:sz w:val="18"/>
                      <w:szCs w:val="18"/>
                      <w:highlight w:val="none"/>
                      <w:lang w:val="en-US" w:eastAsia="zh-CN"/>
                    </w:rPr>
                  </w:pPr>
                </w:p>
              </w:tc>
              <w:tc>
                <w:tcPr>
                  <w:tcW w:w="595" w:type="dxa"/>
                  <w:tcBorders>
                    <w:top w:val="single" w:color="auto" w:sz="4" w:space="0"/>
                    <w:left w:val="single" w:color="auto" w:sz="4" w:space="0"/>
                    <w:bottom w:val="single" w:color="auto" w:sz="4" w:space="0"/>
                    <w:right w:val="single" w:color="auto" w:sz="4" w:space="0"/>
                  </w:tcBorders>
                  <w:shd w:val="clear" w:color="auto" w:fill="auto"/>
                  <w:vAlign w:val="center"/>
                </w:tcPr>
                <w:p w14:paraId="6DBE5D68">
                  <w:pPr>
                    <w:keepNext w:val="0"/>
                    <w:keepLines w:val="0"/>
                    <w:widowControl/>
                    <w:suppressLineNumbers w:val="0"/>
                    <w:adjustRightInd w:val="0"/>
                    <w:snapToGrid w:val="0"/>
                    <w:spacing w:before="0" w:beforeAutospacing="0" w:after="0" w:afterAutospacing="0" w:line="264" w:lineRule="auto"/>
                    <w:ind w:left="0" w:right="0"/>
                    <w:jc w:val="center"/>
                    <w:rPr>
                      <w:rFonts w:hint="default" w:cs="Times New Roman"/>
                      <w:snapToGrid w:val="0"/>
                      <w:sz w:val="18"/>
                      <w:szCs w:val="18"/>
                      <w:highlight w:val="none"/>
                      <w:lang w:val="en-US" w:eastAsia="zh-CN"/>
                    </w:rPr>
                  </w:pPr>
                  <w:r>
                    <w:rPr>
                      <w:rFonts w:hint="eastAsia" w:cs="Times New Roman"/>
                      <w:snapToGrid w:val="0"/>
                      <w:sz w:val="18"/>
                      <w:szCs w:val="18"/>
                      <w:highlight w:val="none"/>
                      <w:lang w:val="en-US" w:eastAsia="zh-CN"/>
                    </w:rPr>
                    <w:t>TN</w:t>
                  </w:r>
                </w:p>
              </w:tc>
              <w:tc>
                <w:tcPr>
                  <w:tcW w:w="609" w:type="dxa"/>
                  <w:vMerge w:val="continue"/>
                  <w:tcBorders>
                    <w:left w:val="single" w:color="auto" w:sz="4" w:space="0"/>
                    <w:right w:val="single" w:color="auto" w:sz="4" w:space="0"/>
                  </w:tcBorders>
                  <w:vAlign w:val="center"/>
                </w:tcPr>
                <w:p w14:paraId="374A9BAF">
                  <w:pPr>
                    <w:keepNext w:val="0"/>
                    <w:keepLines w:val="0"/>
                    <w:suppressLineNumbers w:val="0"/>
                    <w:snapToGrid w:val="0"/>
                    <w:spacing w:before="0" w:beforeAutospacing="0" w:after="0" w:afterAutospacing="0" w:line="264" w:lineRule="auto"/>
                    <w:ind w:left="0" w:right="0"/>
                    <w:jc w:val="center"/>
                    <w:rPr>
                      <w:rFonts w:hint="default" w:ascii="Times New Roman" w:hAnsi="Times New Roman" w:eastAsia="宋体" w:cs="Times New Roman"/>
                      <w:sz w:val="18"/>
                      <w:szCs w:val="18"/>
                      <w:highlight w:val="none"/>
                    </w:rPr>
                  </w:pPr>
                </w:p>
              </w:tc>
              <w:tc>
                <w:tcPr>
                  <w:tcW w:w="699" w:type="dxa"/>
                  <w:tcBorders>
                    <w:top w:val="single" w:color="auto" w:sz="4" w:space="0"/>
                    <w:left w:val="single" w:color="auto" w:sz="4" w:space="0"/>
                    <w:bottom w:val="single" w:color="auto" w:sz="4" w:space="0"/>
                    <w:right w:val="single" w:color="auto" w:sz="4" w:space="0"/>
                  </w:tcBorders>
                  <w:shd w:val="clear" w:color="auto" w:fill="auto"/>
                  <w:vAlign w:val="center"/>
                </w:tcPr>
                <w:p w14:paraId="0D27B04E">
                  <w:pPr>
                    <w:keepNext w:val="0"/>
                    <w:keepLines w:val="0"/>
                    <w:widowControl/>
                    <w:suppressLineNumbers w:val="0"/>
                    <w:snapToGrid w:val="0"/>
                    <w:spacing w:before="0" w:beforeAutospacing="0" w:after="0" w:afterAutospacing="0" w:line="264" w:lineRule="auto"/>
                    <w:ind w:left="0" w:leftChars="0" w:right="0" w:rightChars="0"/>
                    <w:jc w:val="center"/>
                    <w:rPr>
                      <w:rFonts w:hint="eastAsia" w:cs="Times New Roman"/>
                      <w:color w:val="auto"/>
                      <w:kern w:val="0"/>
                      <w:sz w:val="18"/>
                      <w:szCs w:val="18"/>
                      <w:highlight w:val="none"/>
                      <w:lang w:val="en-US" w:eastAsia="zh-CN"/>
                    </w:rPr>
                  </w:pPr>
                  <w:r>
                    <w:rPr>
                      <w:rFonts w:hint="eastAsia" w:cs="Times New Roman"/>
                      <w:color w:val="auto"/>
                      <w:kern w:val="0"/>
                      <w:sz w:val="18"/>
                      <w:szCs w:val="18"/>
                      <w:highlight w:val="none"/>
                      <w:lang w:val="en-US" w:eastAsia="zh-CN"/>
                    </w:rPr>
                    <w:t xml:space="preserve">22.61 </w:t>
                  </w:r>
                </w:p>
              </w:tc>
              <w:tc>
                <w:tcPr>
                  <w:tcW w:w="777" w:type="dxa"/>
                  <w:tcBorders>
                    <w:top w:val="single" w:color="auto" w:sz="4" w:space="0"/>
                    <w:left w:val="single" w:color="auto" w:sz="4" w:space="0"/>
                    <w:bottom w:val="single" w:color="auto" w:sz="4" w:space="0"/>
                    <w:right w:val="single" w:color="auto" w:sz="4" w:space="0"/>
                  </w:tcBorders>
                  <w:shd w:val="clear" w:color="auto" w:fill="auto"/>
                  <w:vAlign w:val="center"/>
                </w:tcPr>
                <w:p w14:paraId="5D0BCF2D">
                  <w:pPr>
                    <w:keepNext w:val="0"/>
                    <w:keepLines w:val="0"/>
                    <w:widowControl/>
                    <w:suppressLineNumbers w:val="0"/>
                    <w:snapToGrid w:val="0"/>
                    <w:spacing w:before="0" w:beforeAutospacing="0" w:after="0" w:afterAutospacing="0" w:line="264" w:lineRule="auto"/>
                    <w:ind w:left="0" w:leftChars="0" w:right="0" w:rightChars="0"/>
                    <w:jc w:val="center"/>
                    <w:rPr>
                      <w:rFonts w:hint="eastAsia" w:cs="Times New Roman"/>
                      <w:color w:val="auto"/>
                      <w:kern w:val="0"/>
                      <w:sz w:val="18"/>
                      <w:szCs w:val="18"/>
                      <w:highlight w:val="none"/>
                      <w:lang w:val="en-US" w:eastAsia="zh-CN"/>
                    </w:rPr>
                  </w:pPr>
                  <w:r>
                    <w:rPr>
                      <w:rFonts w:hint="eastAsia" w:cs="Times New Roman"/>
                      <w:color w:val="auto"/>
                      <w:kern w:val="0"/>
                      <w:sz w:val="18"/>
                      <w:szCs w:val="18"/>
                      <w:highlight w:val="none"/>
                      <w:lang w:val="en-US" w:eastAsia="zh-CN"/>
                    </w:rPr>
                    <w:t>0.410</w:t>
                  </w:r>
                </w:p>
              </w:tc>
              <w:tc>
                <w:tcPr>
                  <w:tcW w:w="630" w:type="dxa"/>
                  <w:tcBorders>
                    <w:left w:val="single" w:color="auto" w:sz="4" w:space="0"/>
                    <w:right w:val="single" w:color="auto" w:sz="4" w:space="0"/>
                  </w:tcBorders>
                  <w:shd w:val="clear" w:color="auto" w:fill="auto"/>
                  <w:vAlign w:val="center"/>
                </w:tcPr>
                <w:p w14:paraId="51AA4F70">
                  <w:pPr>
                    <w:keepNext w:val="0"/>
                    <w:keepLines w:val="0"/>
                    <w:widowControl/>
                    <w:suppressLineNumbers w:val="0"/>
                    <w:snapToGrid w:val="0"/>
                    <w:spacing w:before="0" w:beforeAutospacing="0" w:after="0" w:afterAutospacing="0" w:line="264" w:lineRule="auto"/>
                    <w:ind w:left="0" w:leftChars="0" w:right="0" w:rightChars="0"/>
                    <w:jc w:val="center"/>
                    <w:rPr>
                      <w:rFonts w:hint="eastAsia" w:cs="Times New Roman"/>
                      <w:color w:val="auto"/>
                      <w:kern w:val="0"/>
                      <w:sz w:val="18"/>
                      <w:szCs w:val="18"/>
                      <w:highlight w:val="none"/>
                      <w:lang w:val="en-US" w:eastAsia="zh-CN"/>
                    </w:rPr>
                  </w:pPr>
                  <w:r>
                    <w:rPr>
                      <w:rFonts w:hint="eastAsia" w:cs="Times New Roman"/>
                      <w:color w:val="auto"/>
                      <w:kern w:val="0"/>
                      <w:sz w:val="18"/>
                      <w:szCs w:val="18"/>
                      <w:highlight w:val="none"/>
                      <w:lang w:val="en-US" w:eastAsia="zh-CN"/>
                    </w:rPr>
                    <w:t>/</w:t>
                  </w:r>
                </w:p>
              </w:tc>
              <w:tc>
                <w:tcPr>
                  <w:tcW w:w="477" w:type="dxa"/>
                  <w:tcBorders>
                    <w:left w:val="single" w:color="auto" w:sz="4" w:space="0"/>
                    <w:right w:val="single" w:color="auto" w:sz="4" w:space="0"/>
                  </w:tcBorders>
                  <w:shd w:val="clear" w:color="auto" w:fill="auto"/>
                  <w:vAlign w:val="center"/>
                </w:tcPr>
                <w:p w14:paraId="4E92ADD3">
                  <w:pPr>
                    <w:keepNext w:val="0"/>
                    <w:keepLines w:val="0"/>
                    <w:widowControl/>
                    <w:suppressLineNumbers w:val="0"/>
                    <w:snapToGrid w:val="0"/>
                    <w:spacing w:before="0" w:beforeAutospacing="0" w:after="0" w:afterAutospacing="0" w:line="264" w:lineRule="auto"/>
                    <w:ind w:left="0" w:leftChars="0" w:right="0" w:rightChars="0"/>
                    <w:jc w:val="center"/>
                    <w:rPr>
                      <w:rFonts w:hint="eastAsia" w:cs="Times New Roman"/>
                      <w:color w:val="auto"/>
                      <w:kern w:val="0"/>
                      <w:sz w:val="18"/>
                      <w:szCs w:val="18"/>
                      <w:highlight w:val="none"/>
                      <w:lang w:val="en-US" w:eastAsia="zh-CN"/>
                    </w:rPr>
                  </w:pPr>
                  <w:r>
                    <w:rPr>
                      <w:rFonts w:hint="eastAsia" w:cs="Times New Roman"/>
                      <w:color w:val="auto"/>
                      <w:kern w:val="0"/>
                      <w:sz w:val="18"/>
                      <w:szCs w:val="18"/>
                      <w:highlight w:val="none"/>
                      <w:lang w:val="en-US" w:eastAsia="zh-CN"/>
                    </w:rPr>
                    <w:t>/</w:t>
                  </w:r>
                </w:p>
              </w:tc>
              <w:tc>
                <w:tcPr>
                  <w:tcW w:w="611" w:type="dxa"/>
                  <w:vMerge w:val="continue"/>
                  <w:tcBorders>
                    <w:left w:val="single" w:color="auto" w:sz="4" w:space="0"/>
                    <w:right w:val="single" w:color="auto" w:sz="4" w:space="0"/>
                  </w:tcBorders>
                  <w:vAlign w:val="center"/>
                </w:tcPr>
                <w:p w14:paraId="536282CA">
                  <w:pPr>
                    <w:keepNext w:val="0"/>
                    <w:keepLines w:val="0"/>
                    <w:suppressLineNumbers w:val="0"/>
                    <w:snapToGrid w:val="0"/>
                    <w:spacing w:before="0" w:beforeAutospacing="0" w:after="0" w:afterAutospacing="0" w:line="264" w:lineRule="auto"/>
                    <w:ind w:left="0" w:right="0"/>
                    <w:jc w:val="center"/>
                    <w:rPr>
                      <w:rFonts w:hint="default" w:ascii="Times New Roman" w:hAnsi="Times New Roman" w:eastAsia="宋体" w:cs="Times New Roman"/>
                      <w:kern w:val="0"/>
                      <w:sz w:val="18"/>
                      <w:szCs w:val="18"/>
                      <w:highlight w:val="none"/>
                    </w:rPr>
                  </w:pPr>
                </w:p>
              </w:tc>
              <w:tc>
                <w:tcPr>
                  <w:tcW w:w="679" w:type="dxa"/>
                  <w:tcBorders>
                    <w:top w:val="single" w:color="auto" w:sz="4" w:space="0"/>
                    <w:left w:val="single" w:color="auto" w:sz="4" w:space="0"/>
                    <w:bottom w:val="single" w:color="auto" w:sz="4" w:space="0"/>
                    <w:right w:val="single" w:color="auto" w:sz="4" w:space="0"/>
                  </w:tcBorders>
                  <w:shd w:val="clear" w:color="auto" w:fill="auto"/>
                  <w:vAlign w:val="center"/>
                </w:tcPr>
                <w:p w14:paraId="55D1B8A4">
                  <w:pPr>
                    <w:keepNext w:val="0"/>
                    <w:keepLines w:val="0"/>
                    <w:widowControl/>
                    <w:suppressLineNumbers w:val="0"/>
                    <w:snapToGrid w:val="0"/>
                    <w:spacing w:before="0" w:beforeAutospacing="0" w:after="0" w:afterAutospacing="0" w:line="264" w:lineRule="auto"/>
                    <w:ind w:left="0" w:leftChars="0" w:right="0" w:rightChars="0"/>
                    <w:jc w:val="center"/>
                    <w:rPr>
                      <w:rFonts w:hint="eastAsia" w:cs="Times New Roman"/>
                      <w:color w:val="auto"/>
                      <w:kern w:val="0"/>
                      <w:sz w:val="18"/>
                      <w:szCs w:val="18"/>
                      <w:highlight w:val="none"/>
                      <w:lang w:val="en-US" w:eastAsia="zh-CN"/>
                    </w:rPr>
                  </w:pPr>
                  <w:r>
                    <w:rPr>
                      <w:rFonts w:hint="eastAsia" w:cs="Times New Roman"/>
                      <w:color w:val="auto"/>
                      <w:kern w:val="0"/>
                      <w:sz w:val="18"/>
                      <w:szCs w:val="18"/>
                      <w:highlight w:val="none"/>
                      <w:lang w:val="en-US" w:eastAsia="zh-CN"/>
                    </w:rPr>
                    <w:t xml:space="preserve">18.09 </w:t>
                  </w:r>
                </w:p>
              </w:tc>
              <w:tc>
                <w:tcPr>
                  <w:tcW w:w="723" w:type="dxa"/>
                  <w:tcBorders>
                    <w:top w:val="single" w:color="auto" w:sz="4" w:space="0"/>
                    <w:left w:val="single" w:color="auto" w:sz="4" w:space="0"/>
                    <w:bottom w:val="single" w:color="auto" w:sz="4" w:space="0"/>
                    <w:right w:val="single" w:color="auto" w:sz="4" w:space="0"/>
                  </w:tcBorders>
                  <w:shd w:val="clear" w:color="auto" w:fill="auto"/>
                  <w:vAlign w:val="center"/>
                </w:tcPr>
                <w:p w14:paraId="07258A7B">
                  <w:pPr>
                    <w:keepNext w:val="0"/>
                    <w:keepLines w:val="0"/>
                    <w:widowControl/>
                    <w:suppressLineNumbers w:val="0"/>
                    <w:snapToGrid w:val="0"/>
                    <w:spacing w:before="0" w:beforeAutospacing="0" w:after="0" w:afterAutospacing="0" w:line="264" w:lineRule="auto"/>
                    <w:ind w:left="0" w:leftChars="0" w:right="0" w:rightChars="0"/>
                    <w:jc w:val="center"/>
                    <w:rPr>
                      <w:rFonts w:hint="eastAsia" w:cs="Times New Roman"/>
                      <w:color w:val="auto"/>
                      <w:kern w:val="0"/>
                      <w:sz w:val="18"/>
                      <w:szCs w:val="18"/>
                      <w:highlight w:val="none"/>
                      <w:lang w:val="en-US" w:eastAsia="zh-CN"/>
                    </w:rPr>
                  </w:pPr>
                  <w:r>
                    <w:rPr>
                      <w:rFonts w:hint="eastAsia" w:cs="Times New Roman"/>
                      <w:color w:val="auto"/>
                      <w:kern w:val="0"/>
                      <w:sz w:val="18"/>
                      <w:szCs w:val="18"/>
                      <w:highlight w:val="none"/>
                      <w:lang w:val="en-US" w:eastAsia="zh-CN"/>
                    </w:rPr>
                    <w:t>0.328</w:t>
                  </w:r>
                </w:p>
              </w:tc>
              <w:tc>
                <w:tcPr>
                  <w:tcW w:w="481" w:type="dxa"/>
                  <w:vMerge w:val="continue"/>
                  <w:tcBorders>
                    <w:left w:val="single" w:color="auto" w:sz="4" w:space="0"/>
                    <w:right w:val="single" w:color="auto" w:sz="4" w:space="0"/>
                  </w:tcBorders>
                  <w:vAlign w:val="center"/>
                </w:tcPr>
                <w:p w14:paraId="69578F12">
                  <w:pPr>
                    <w:keepNext w:val="0"/>
                    <w:keepLines w:val="0"/>
                    <w:suppressLineNumbers w:val="0"/>
                    <w:snapToGrid w:val="0"/>
                    <w:spacing w:before="0" w:beforeAutospacing="0" w:after="0" w:afterAutospacing="0" w:line="264" w:lineRule="auto"/>
                    <w:ind w:left="0" w:right="0"/>
                    <w:jc w:val="center"/>
                    <w:rPr>
                      <w:rFonts w:hint="default" w:ascii="Times New Roman" w:hAnsi="Times New Roman" w:eastAsia="宋体" w:cs="Times New Roman"/>
                      <w:kern w:val="0"/>
                      <w:sz w:val="18"/>
                      <w:szCs w:val="18"/>
                      <w:highlight w:val="none"/>
                    </w:rPr>
                  </w:pPr>
                </w:p>
              </w:tc>
            </w:tr>
          </w:tbl>
          <w:p w14:paraId="061D24A0">
            <w:pPr>
              <w:keepNext w:val="0"/>
              <w:keepLines w:val="0"/>
              <w:widowControl/>
              <w:suppressLineNumbers w:val="0"/>
              <w:adjustRightInd w:val="0"/>
              <w:snapToGrid w:val="0"/>
              <w:spacing w:before="0" w:beforeAutospacing="0" w:after="0" w:afterAutospacing="0" w:line="360" w:lineRule="auto"/>
              <w:ind w:left="0" w:right="0" w:firstLine="465"/>
              <w:rPr>
                <w:rFonts w:hint="default" w:ascii="Times New Roman" w:hAnsi="Times New Roman" w:eastAsia="宋体" w:cs="Times New Roman"/>
                <w:b/>
                <w:snapToGrid w:val="0"/>
                <w:kern w:val="0"/>
                <w:highlight w:val="none"/>
              </w:rPr>
            </w:pPr>
            <w:r>
              <w:rPr>
                <w:rFonts w:hint="eastAsia" w:ascii="Times New Roman" w:hAnsi="Times New Roman" w:eastAsia="宋体" w:cs="Times New Roman"/>
                <w:snapToGrid w:val="0"/>
                <w:kern w:val="0"/>
                <w:highlight w:val="none"/>
              </w:rPr>
              <w:t>废水间接排放口基本情况见表</w:t>
            </w:r>
            <w:r>
              <w:rPr>
                <w:rFonts w:hint="default" w:ascii="Times New Roman" w:hAnsi="Times New Roman" w:eastAsia="宋体" w:cs="Times New Roman"/>
                <w:snapToGrid w:val="0"/>
                <w:kern w:val="0"/>
                <w:highlight w:val="none"/>
              </w:rPr>
              <w:t>4-</w:t>
            </w:r>
            <w:r>
              <w:rPr>
                <w:rFonts w:hint="eastAsia" w:cs="Times New Roman"/>
                <w:snapToGrid w:val="0"/>
                <w:kern w:val="0"/>
                <w:highlight w:val="none"/>
                <w:lang w:val="en-US" w:eastAsia="zh-CN"/>
              </w:rPr>
              <w:t>4</w:t>
            </w:r>
            <w:r>
              <w:rPr>
                <w:rFonts w:hint="eastAsia" w:ascii="Times New Roman" w:hAnsi="Times New Roman" w:eastAsia="宋体" w:cs="Times New Roman"/>
                <w:snapToGrid w:val="0"/>
                <w:kern w:val="0"/>
                <w:highlight w:val="none"/>
              </w:rPr>
              <w:t>、雨水排放口基本情况见表4-</w:t>
            </w:r>
            <w:r>
              <w:rPr>
                <w:rFonts w:hint="eastAsia" w:cs="Times New Roman"/>
                <w:snapToGrid w:val="0"/>
                <w:kern w:val="0"/>
                <w:highlight w:val="none"/>
                <w:lang w:val="en-US" w:eastAsia="zh-CN"/>
              </w:rPr>
              <w:t>5</w:t>
            </w:r>
            <w:r>
              <w:rPr>
                <w:rFonts w:hint="eastAsia" w:ascii="Times New Roman" w:hAnsi="Times New Roman" w:eastAsia="宋体" w:cs="Times New Roman"/>
                <w:snapToGrid w:val="0"/>
                <w:kern w:val="0"/>
                <w:highlight w:val="none"/>
              </w:rPr>
              <w:t>。</w:t>
            </w:r>
          </w:p>
          <w:p w14:paraId="6F86AC48">
            <w:pPr>
              <w:keepNext w:val="0"/>
              <w:keepLines w:val="0"/>
              <w:suppressLineNumbers w:val="0"/>
              <w:overflowPunct w:val="0"/>
              <w:adjustRightInd w:val="0"/>
              <w:snapToGrid w:val="0"/>
              <w:spacing w:before="0" w:beforeAutospacing="0" w:after="0" w:afterAutospacing="0" w:line="360" w:lineRule="auto"/>
              <w:ind w:left="0" w:right="0" w:firstLine="482" w:firstLineChars="200"/>
              <w:jc w:val="center"/>
              <w:rPr>
                <w:rFonts w:hint="default" w:ascii="Times New Roman" w:hAnsi="Times New Roman" w:eastAsia="宋体" w:cs="Times New Roman"/>
                <w:snapToGrid w:val="0"/>
                <w:kern w:val="0"/>
                <w:highlight w:val="none"/>
              </w:rPr>
            </w:pPr>
            <w:r>
              <w:rPr>
                <w:rFonts w:hint="eastAsia" w:ascii="Times New Roman" w:hAnsi="Times New Roman" w:eastAsia="宋体" w:cs="Times New Roman"/>
                <w:b/>
                <w:snapToGrid w:val="0"/>
                <w:kern w:val="0"/>
                <w:highlight w:val="none"/>
              </w:rPr>
              <w:t>表</w:t>
            </w:r>
            <w:r>
              <w:rPr>
                <w:rFonts w:hint="default" w:ascii="Times New Roman" w:hAnsi="Times New Roman" w:eastAsia="宋体" w:cs="Times New Roman"/>
                <w:b/>
                <w:snapToGrid w:val="0"/>
                <w:kern w:val="0"/>
                <w:highlight w:val="none"/>
              </w:rPr>
              <w:t>4-</w:t>
            </w:r>
            <w:r>
              <w:rPr>
                <w:rFonts w:hint="eastAsia" w:cs="Times New Roman"/>
                <w:b/>
                <w:snapToGrid w:val="0"/>
                <w:kern w:val="0"/>
                <w:highlight w:val="none"/>
                <w:lang w:val="en-US" w:eastAsia="zh-CN"/>
              </w:rPr>
              <w:t>4</w:t>
            </w:r>
            <w:r>
              <w:rPr>
                <w:rFonts w:hint="default" w:ascii="Times New Roman" w:hAnsi="Times New Roman" w:eastAsia="宋体" w:cs="Times New Roman"/>
                <w:b/>
                <w:snapToGrid w:val="0"/>
                <w:kern w:val="0"/>
                <w:highlight w:val="none"/>
              </w:rPr>
              <w:t xml:space="preserve">  </w:t>
            </w:r>
            <w:r>
              <w:rPr>
                <w:rFonts w:hint="eastAsia" w:ascii="Times New Roman" w:hAnsi="Times New Roman" w:eastAsia="宋体" w:cs="Times New Roman"/>
                <w:b/>
                <w:bCs/>
                <w:snapToGrid w:val="0"/>
                <w:kern w:val="0"/>
                <w:highlight w:val="none"/>
              </w:rPr>
              <w:t>废水间接排放口基本情况表</w:t>
            </w:r>
          </w:p>
          <w:tbl>
            <w:tblPr>
              <w:tblStyle w:val="32"/>
              <w:tblW w:w="8136"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19"/>
              <w:gridCol w:w="955"/>
              <w:gridCol w:w="750"/>
              <w:gridCol w:w="750"/>
              <w:gridCol w:w="780"/>
              <w:gridCol w:w="945"/>
              <w:gridCol w:w="780"/>
              <w:gridCol w:w="1301"/>
              <w:gridCol w:w="1156"/>
            </w:tblGrid>
            <w:tr w14:paraId="44541A9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19" w:type="dxa"/>
                  <w:vMerge w:val="restart"/>
                  <w:tcBorders>
                    <w:top w:val="single" w:color="auto" w:sz="4" w:space="0"/>
                    <w:left w:val="single" w:color="auto" w:sz="4" w:space="0"/>
                    <w:bottom w:val="single" w:color="auto" w:sz="4" w:space="0"/>
                    <w:right w:val="single" w:color="auto" w:sz="4" w:space="0"/>
                  </w:tcBorders>
                  <w:tcMar>
                    <w:left w:w="57" w:type="dxa"/>
                    <w:right w:w="57" w:type="dxa"/>
                  </w:tcMar>
                  <w:vAlign w:val="center"/>
                </w:tcPr>
                <w:p w14:paraId="5847BA90">
                  <w:pPr>
                    <w:keepNext w:val="0"/>
                    <w:keepLines w:val="0"/>
                    <w:suppressLineNumbers w:val="0"/>
                    <w:overflowPunct w:val="0"/>
                    <w:adjustRightInd w:val="0"/>
                    <w:snapToGrid w:val="0"/>
                    <w:spacing w:before="0" w:beforeAutospacing="0" w:after="0" w:afterAutospacing="0" w:line="264" w:lineRule="auto"/>
                    <w:ind w:left="0" w:right="0"/>
                    <w:jc w:val="center"/>
                    <w:rPr>
                      <w:rFonts w:hint="default" w:ascii="Times New Roman" w:hAnsi="Times New Roman" w:eastAsia="宋体" w:cs="Times New Roman"/>
                      <w:snapToGrid w:val="0"/>
                      <w:kern w:val="0"/>
                      <w:sz w:val="18"/>
                      <w:szCs w:val="18"/>
                      <w:highlight w:val="none"/>
                    </w:rPr>
                  </w:pPr>
                  <w:r>
                    <w:rPr>
                      <w:rFonts w:hint="eastAsia" w:ascii="Times New Roman" w:hAnsi="Times New Roman" w:eastAsia="宋体" w:cs="Times New Roman"/>
                      <w:snapToGrid w:val="0"/>
                      <w:kern w:val="0"/>
                      <w:sz w:val="18"/>
                      <w:szCs w:val="18"/>
                      <w:highlight w:val="none"/>
                    </w:rPr>
                    <w:t>排放口</w:t>
                  </w:r>
                </w:p>
                <w:p w14:paraId="46ACB571">
                  <w:pPr>
                    <w:keepNext w:val="0"/>
                    <w:keepLines w:val="0"/>
                    <w:suppressLineNumbers w:val="0"/>
                    <w:overflowPunct w:val="0"/>
                    <w:adjustRightInd w:val="0"/>
                    <w:snapToGrid w:val="0"/>
                    <w:spacing w:before="0" w:beforeAutospacing="0" w:after="0" w:afterAutospacing="0" w:line="264" w:lineRule="auto"/>
                    <w:ind w:left="0" w:right="0"/>
                    <w:jc w:val="center"/>
                    <w:rPr>
                      <w:rFonts w:hint="default" w:ascii="Times New Roman" w:hAnsi="Times New Roman" w:eastAsia="宋体" w:cs="Times New Roman"/>
                      <w:snapToGrid w:val="0"/>
                      <w:kern w:val="0"/>
                      <w:sz w:val="18"/>
                      <w:szCs w:val="18"/>
                      <w:highlight w:val="none"/>
                    </w:rPr>
                  </w:pPr>
                  <w:r>
                    <w:rPr>
                      <w:rFonts w:hint="eastAsia" w:ascii="Times New Roman" w:hAnsi="Times New Roman" w:eastAsia="宋体" w:cs="Times New Roman"/>
                      <w:snapToGrid w:val="0"/>
                      <w:kern w:val="0"/>
                      <w:sz w:val="18"/>
                      <w:szCs w:val="18"/>
                      <w:highlight w:val="none"/>
                    </w:rPr>
                    <w:t>编号</w:t>
                  </w:r>
                </w:p>
              </w:tc>
              <w:tc>
                <w:tcPr>
                  <w:tcW w:w="955" w:type="dxa"/>
                  <w:vMerge w:val="restart"/>
                  <w:tcBorders>
                    <w:top w:val="single" w:color="auto" w:sz="4" w:space="0"/>
                    <w:left w:val="single" w:color="auto" w:sz="4" w:space="0"/>
                    <w:bottom w:val="single" w:color="auto" w:sz="4" w:space="0"/>
                    <w:right w:val="single" w:color="auto" w:sz="4" w:space="0"/>
                  </w:tcBorders>
                  <w:tcMar>
                    <w:left w:w="57" w:type="dxa"/>
                    <w:right w:w="57" w:type="dxa"/>
                  </w:tcMar>
                  <w:vAlign w:val="center"/>
                </w:tcPr>
                <w:p w14:paraId="0A021F58">
                  <w:pPr>
                    <w:keepNext w:val="0"/>
                    <w:keepLines w:val="0"/>
                    <w:suppressLineNumbers w:val="0"/>
                    <w:overflowPunct w:val="0"/>
                    <w:adjustRightInd w:val="0"/>
                    <w:snapToGrid w:val="0"/>
                    <w:spacing w:before="0" w:beforeAutospacing="0" w:after="0" w:afterAutospacing="0" w:line="264" w:lineRule="auto"/>
                    <w:ind w:left="0" w:right="0"/>
                    <w:jc w:val="center"/>
                    <w:rPr>
                      <w:rFonts w:hint="default" w:ascii="Times New Roman" w:hAnsi="Times New Roman" w:eastAsia="宋体" w:cs="Times New Roman"/>
                      <w:snapToGrid w:val="0"/>
                      <w:kern w:val="0"/>
                      <w:sz w:val="18"/>
                      <w:szCs w:val="18"/>
                      <w:highlight w:val="none"/>
                    </w:rPr>
                  </w:pPr>
                  <w:r>
                    <w:rPr>
                      <w:rFonts w:hint="eastAsia" w:ascii="Times New Roman" w:hAnsi="Times New Roman" w:eastAsia="宋体" w:cs="Times New Roman"/>
                      <w:snapToGrid w:val="0"/>
                      <w:kern w:val="0"/>
                      <w:sz w:val="18"/>
                      <w:szCs w:val="18"/>
                      <w:highlight w:val="none"/>
                    </w:rPr>
                    <w:t>排放口</w:t>
                  </w:r>
                </w:p>
                <w:p w14:paraId="31B6E293">
                  <w:pPr>
                    <w:keepNext w:val="0"/>
                    <w:keepLines w:val="0"/>
                    <w:suppressLineNumbers w:val="0"/>
                    <w:overflowPunct w:val="0"/>
                    <w:adjustRightInd w:val="0"/>
                    <w:snapToGrid w:val="0"/>
                    <w:spacing w:before="0" w:beforeAutospacing="0" w:after="0" w:afterAutospacing="0" w:line="264" w:lineRule="auto"/>
                    <w:ind w:left="0" w:right="0"/>
                    <w:jc w:val="center"/>
                    <w:rPr>
                      <w:rFonts w:hint="default" w:ascii="Times New Roman" w:hAnsi="Times New Roman" w:eastAsia="宋体" w:cs="Times New Roman"/>
                      <w:snapToGrid w:val="0"/>
                      <w:kern w:val="0"/>
                      <w:sz w:val="18"/>
                      <w:szCs w:val="18"/>
                      <w:highlight w:val="none"/>
                    </w:rPr>
                  </w:pPr>
                  <w:r>
                    <w:rPr>
                      <w:rFonts w:hint="eastAsia" w:ascii="Times New Roman" w:hAnsi="Times New Roman" w:eastAsia="宋体" w:cs="Times New Roman"/>
                      <w:snapToGrid w:val="0"/>
                      <w:kern w:val="0"/>
                      <w:sz w:val="18"/>
                      <w:szCs w:val="18"/>
                      <w:highlight w:val="none"/>
                    </w:rPr>
                    <w:t>名称</w:t>
                  </w:r>
                </w:p>
              </w:tc>
              <w:tc>
                <w:tcPr>
                  <w:tcW w:w="1500" w:type="dxa"/>
                  <w:gridSpan w:val="2"/>
                  <w:tcBorders>
                    <w:top w:val="single" w:color="auto" w:sz="4" w:space="0"/>
                    <w:left w:val="single" w:color="auto" w:sz="4" w:space="0"/>
                    <w:bottom w:val="single" w:color="auto" w:sz="4" w:space="0"/>
                    <w:right w:val="single" w:color="auto" w:sz="4" w:space="0"/>
                  </w:tcBorders>
                  <w:tcMar>
                    <w:left w:w="57" w:type="dxa"/>
                    <w:right w:w="57" w:type="dxa"/>
                  </w:tcMar>
                  <w:vAlign w:val="center"/>
                </w:tcPr>
                <w:p w14:paraId="0707C7F8">
                  <w:pPr>
                    <w:keepNext w:val="0"/>
                    <w:keepLines w:val="0"/>
                    <w:suppressLineNumbers w:val="0"/>
                    <w:overflowPunct w:val="0"/>
                    <w:adjustRightInd w:val="0"/>
                    <w:snapToGrid w:val="0"/>
                    <w:spacing w:before="0" w:beforeAutospacing="0" w:after="0" w:afterAutospacing="0" w:line="264" w:lineRule="auto"/>
                    <w:ind w:left="0" w:right="0"/>
                    <w:jc w:val="center"/>
                    <w:rPr>
                      <w:rFonts w:hint="default" w:ascii="Times New Roman" w:hAnsi="Times New Roman" w:eastAsia="宋体" w:cs="Times New Roman"/>
                      <w:snapToGrid w:val="0"/>
                      <w:kern w:val="0"/>
                      <w:sz w:val="18"/>
                      <w:szCs w:val="18"/>
                      <w:highlight w:val="none"/>
                    </w:rPr>
                  </w:pPr>
                  <w:r>
                    <w:rPr>
                      <w:rFonts w:hint="eastAsia" w:ascii="Times New Roman" w:hAnsi="Times New Roman" w:eastAsia="宋体" w:cs="Times New Roman"/>
                      <w:snapToGrid w:val="0"/>
                      <w:kern w:val="0"/>
                      <w:sz w:val="18"/>
                      <w:szCs w:val="18"/>
                      <w:highlight w:val="none"/>
                    </w:rPr>
                    <w:t>排放口地理坐标</w:t>
                  </w:r>
                </w:p>
              </w:tc>
              <w:tc>
                <w:tcPr>
                  <w:tcW w:w="780" w:type="dxa"/>
                  <w:vMerge w:val="restart"/>
                  <w:tcBorders>
                    <w:top w:val="single" w:color="auto" w:sz="4" w:space="0"/>
                    <w:left w:val="single" w:color="auto" w:sz="4" w:space="0"/>
                    <w:bottom w:val="single" w:color="auto" w:sz="4" w:space="0"/>
                    <w:right w:val="single" w:color="auto" w:sz="4" w:space="0"/>
                  </w:tcBorders>
                  <w:tcMar>
                    <w:left w:w="57" w:type="dxa"/>
                    <w:right w:w="57" w:type="dxa"/>
                  </w:tcMar>
                  <w:vAlign w:val="center"/>
                </w:tcPr>
                <w:p w14:paraId="77B19C38">
                  <w:pPr>
                    <w:keepNext w:val="0"/>
                    <w:keepLines w:val="0"/>
                    <w:suppressLineNumbers w:val="0"/>
                    <w:overflowPunct w:val="0"/>
                    <w:adjustRightInd w:val="0"/>
                    <w:snapToGrid w:val="0"/>
                    <w:spacing w:before="0" w:beforeAutospacing="0" w:after="0" w:afterAutospacing="0" w:line="264" w:lineRule="auto"/>
                    <w:ind w:left="0" w:right="0"/>
                    <w:jc w:val="center"/>
                    <w:rPr>
                      <w:rFonts w:hint="default" w:ascii="Times New Roman" w:hAnsi="Times New Roman" w:eastAsia="宋体" w:cs="Times New Roman"/>
                      <w:snapToGrid w:val="0"/>
                      <w:kern w:val="0"/>
                      <w:sz w:val="18"/>
                      <w:szCs w:val="18"/>
                      <w:highlight w:val="none"/>
                    </w:rPr>
                  </w:pPr>
                  <w:r>
                    <w:rPr>
                      <w:rFonts w:hint="eastAsia" w:ascii="Times New Roman" w:hAnsi="Times New Roman" w:eastAsia="宋体" w:cs="Times New Roman"/>
                      <w:snapToGrid w:val="0"/>
                      <w:kern w:val="0"/>
                      <w:sz w:val="18"/>
                      <w:szCs w:val="18"/>
                      <w:highlight w:val="none"/>
                    </w:rPr>
                    <w:t>排放去向</w:t>
                  </w:r>
                </w:p>
              </w:tc>
              <w:tc>
                <w:tcPr>
                  <w:tcW w:w="945" w:type="dxa"/>
                  <w:vMerge w:val="restart"/>
                  <w:tcBorders>
                    <w:top w:val="single" w:color="auto" w:sz="4" w:space="0"/>
                    <w:left w:val="single" w:color="auto" w:sz="4" w:space="0"/>
                    <w:bottom w:val="single" w:color="auto" w:sz="4" w:space="0"/>
                    <w:right w:val="single" w:color="auto" w:sz="4" w:space="0"/>
                  </w:tcBorders>
                  <w:tcMar>
                    <w:left w:w="57" w:type="dxa"/>
                    <w:right w:w="57" w:type="dxa"/>
                  </w:tcMar>
                  <w:vAlign w:val="center"/>
                </w:tcPr>
                <w:p w14:paraId="62271980">
                  <w:pPr>
                    <w:keepNext w:val="0"/>
                    <w:keepLines w:val="0"/>
                    <w:suppressLineNumbers w:val="0"/>
                    <w:overflowPunct w:val="0"/>
                    <w:adjustRightInd w:val="0"/>
                    <w:snapToGrid w:val="0"/>
                    <w:spacing w:before="0" w:beforeAutospacing="0" w:after="0" w:afterAutospacing="0" w:line="264" w:lineRule="auto"/>
                    <w:ind w:left="0" w:right="0"/>
                    <w:jc w:val="center"/>
                    <w:rPr>
                      <w:rFonts w:hint="default" w:ascii="Times New Roman" w:hAnsi="Times New Roman" w:eastAsia="宋体" w:cs="Times New Roman"/>
                      <w:snapToGrid w:val="0"/>
                      <w:kern w:val="0"/>
                      <w:sz w:val="18"/>
                      <w:szCs w:val="18"/>
                      <w:highlight w:val="none"/>
                    </w:rPr>
                  </w:pPr>
                  <w:r>
                    <w:rPr>
                      <w:rFonts w:hint="eastAsia" w:ascii="Times New Roman" w:hAnsi="Times New Roman" w:eastAsia="宋体" w:cs="Times New Roman"/>
                      <w:snapToGrid w:val="0"/>
                      <w:kern w:val="0"/>
                      <w:sz w:val="18"/>
                      <w:szCs w:val="18"/>
                      <w:highlight w:val="none"/>
                    </w:rPr>
                    <w:t>间歇排放时段</w:t>
                  </w:r>
                </w:p>
              </w:tc>
              <w:tc>
                <w:tcPr>
                  <w:tcW w:w="3237" w:type="dxa"/>
                  <w:gridSpan w:val="3"/>
                  <w:tcBorders>
                    <w:top w:val="single" w:color="auto" w:sz="4" w:space="0"/>
                    <w:left w:val="single" w:color="auto" w:sz="4" w:space="0"/>
                    <w:bottom w:val="single" w:color="auto" w:sz="4" w:space="0"/>
                    <w:right w:val="single" w:color="auto" w:sz="4" w:space="0"/>
                  </w:tcBorders>
                  <w:tcMar>
                    <w:left w:w="57" w:type="dxa"/>
                    <w:right w:w="57" w:type="dxa"/>
                  </w:tcMar>
                  <w:vAlign w:val="center"/>
                </w:tcPr>
                <w:p w14:paraId="04DF09E3">
                  <w:pPr>
                    <w:keepNext w:val="0"/>
                    <w:keepLines w:val="0"/>
                    <w:suppressLineNumbers w:val="0"/>
                    <w:overflowPunct w:val="0"/>
                    <w:adjustRightInd w:val="0"/>
                    <w:snapToGrid w:val="0"/>
                    <w:spacing w:before="0" w:beforeAutospacing="0" w:after="0" w:afterAutospacing="0" w:line="264" w:lineRule="auto"/>
                    <w:ind w:left="0" w:right="0"/>
                    <w:jc w:val="center"/>
                    <w:rPr>
                      <w:rFonts w:hint="default" w:ascii="Times New Roman" w:hAnsi="Times New Roman" w:eastAsia="宋体" w:cs="Times New Roman"/>
                      <w:snapToGrid w:val="0"/>
                      <w:kern w:val="0"/>
                      <w:sz w:val="18"/>
                      <w:szCs w:val="18"/>
                      <w:highlight w:val="none"/>
                    </w:rPr>
                  </w:pPr>
                  <w:r>
                    <w:rPr>
                      <w:rFonts w:hint="eastAsia" w:ascii="Times New Roman" w:hAnsi="Times New Roman" w:eastAsia="宋体" w:cs="Times New Roman"/>
                      <w:snapToGrid w:val="0"/>
                      <w:kern w:val="0"/>
                      <w:sz w:val="18"/>
                      <w:szCs w:val="18"/>
                      <w:highlight w:val="none"/>
                    </w:rPr>
                    <w:t>收纳污水处理厂信息</w:t>
                  </w:r>
                </w:p>
              </w:tc>
            </w:tr>
            <w:tr w14:paraId="1FDB51E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19" w:type="dxa"/>
                  <w:vMerge w:val="continue"/>
                  <w:tcBorders>
                    <w:top w:val="single" w:color="auto" w:sz="4" w:space="0"/>
                    <w:left w:val="single" w:color="auto" w:sz="4" w:space="0"/>
                    <w:bottom w:val="single" w:color="auto" w:sz="4" w:space="0"/>
                    <w:right w:val="single" w:color="auto" w:sz="4" w:space="0"/>
                  </w:tcBorders>
                  <w:tcMar>
                    <w:left w:w="57" w:type="dxa"/>
                    <w:right w:w="57" w:type="dxa"/>
                  </w:tcMar>
                  <w:vAlign w:val="center"/>
                </w:tcPr>
                <w:p w14:paraId="13952ABC">
                  <w:pPr>
                    <w:keepNext w:val="0"/>
                    <w:keepLines w:val="0"/>
                    <w:suppressLineNumbers w:val="0"/>
                    <w:overflowPunct w:val="0"/>
                    <w:adjustRightInd w:val="0"/>
                    <w:snapToGrid w:val="0"/>
                    <w:spacing w:before="0" w:beforeAutospacing="0" w:after="0" w:afterAutospacing="0" w:line="264" w:lineRule="auto"/>
                    <w:ind w:left="0" w:right="0"/>
                    <w:jc w:val="center"/>
                    <w:rPr>
                      <w:rFonts w:hint="default" w:ascii="Times New Roman" w:hAnsi="Times New Roman" w:eastAsia="宋体" w:cs="Times New Roman"/>
                      <w:snapToGrid w:val="0"/>
                      <w:kern w:val="0"/>
                      <w:sz w:val="18"/>
                      <w:szCs w:val="18"/>
                      <w:highlight w:val="none"/>
                    </w:rPr>
                  </w:pPr>
                </w:p>
              </w:tc>
              <w:tc>
                <w:tcPr>
                  <w:tcW w:w="955" w:type="dxa"/>
                  <w:vMerge w:val="continue"/>
                  <w:tcBorders>
                    <w:top w:val="single" w:color="auto" w:sz="4" w:space="0"/>
                    <w:left w:val="single" w:color="auto" w:sz="4" w:space="0"/>
                    <w:bottom w:val="single" w:color="auto" w:sz="4" w:space="0"/>
                    <w:right w:val="single" w:color="auto" w:sz="4" w:space="0"/>
                  </w:tcBorders>
                  <w:tcMar>
                    <w:left w:w="57" w:type="dxa"/>
                    <w:right w:w="57" w:type="dxa"/>
                  </w:tcMar>
                  <w:vAlign w:val="center"/>
                </w:tcPr>
                <w:p w14:paraId="21B363AD">
                  <w:pPr>
                    <w:keepNext w:val="0"/>
                    <w:keepLines w:val="0"/>
                    <w:suppressLineNumbers w:val="0"/>
                    <w:overflowPunct w:val="0"/>
                    <w:adjustRightInd w:val="0"/>
                    <w:snapToGrid w:val="0"/>
                    <w:spacing w:before="0" w:beforeAutospacing="0" w:after="0" w:afterAutospacing="0" w:line="264" w:lineRule="auto"/>
                    <w:ind w:left="0" w:right="0"/>
                    <w:jc w:val="center"/>
                    <w:rPr>
                      <w:rFonts w:hint="default" w:ascii="Times New Roman" w:hAnsi="Times New Roman" w:eastAsia="宋体" w:cs="Times New Roman"/>
                      <w:snapToGrid w:val="0"/>
                      <w:kern w:val="0"/>
                      <w:sz w:val="18"/>
                      <w:szCs w:val="18"/>
                      <w:highlight w:val="none"/>
                    </w:rPr>
                  </w:pPr>
                </w:p>
              </w:tc>
              <w:tc>
                <w:tcPr>
                  <w:tcW w:w="750" w:type="dxa"/>
                  <w:tcBorders>
                    <w:top w:val="single" w:color="auto" w:sz="4" w:space="0"/>
                    <w:left w:val="single" w:color="auto" w:sz="4" w:space="0"/>
                    <w:bottom w:val="single" w:color="auto" w:sz="4" w:space="0"/>
                    <w:right w:val="single" w:color="auto" w:sz="4" w:space="0"/>
                  </w:tcBorders>
                  <w:tcMar>
                    <w:left w:w="57" w:type="dxa"/>
                    <w:right w:w="57" w:type="dxa"/>
                  </w:tcMar>
                  <w:vAlign w:val="center"/>
                </w:tcPr>
                <w:p w14:paraId="12169D1F">
                  <w:pPr>
                    <w:keepNext w:val="0"/>
                    <w:keepLines w:val="0"/>
                    <w:suppressLineNumbers w:val="0"/>
                    <w:overflowPunct w:val="0"/>
                    <w:adjustRightInd w:val="0"/>
                    <w:snapToGrid w:val="0"/>
                    <w:spacing w:before="0" w:beforeAutospacing="0" w:after="0" w:afterAutospacing="0" w:line="264" w:lineRule="auto"/>
                    <w:ind w:left="0" w:right="0"/>
                    <w:jc w:val="center"/>
                    <w:rPr>
                      <w:rFonts w:hint="default" w:ascii="Times New Roman" w:hAnsi="Times New Roman" w:eastAsia="宋体" w:cs="Times New Roman"/>
                      <w:snapToGrid w:val="0"/>
                      <w:kern w:val="0"/>
                      <w:sz w:val="18"/>
                      <w:szCs w:val="18"/>
                      <w:highlight w:val="none"/>
                    </w:rPr>
                  </w:pPr>
                  <w:r>
                    <w:rPr>
                      <w:rFonts w:hint="eastAsia" w:ascii="Times New Roman" w:hAnsi="Times New Roman" w:eastAsia="宋体" w:cs="Times New Roman"/>
                      <w:snapToGrid w:val="0"/>
                      <w:kern w:val="0"/>
                      <w:sz w:val="18"/>
                      <w:szCs w:val="18"/>
                      <w:highlight w:val="none"/>
                    </w:rPr>
                    <w:t>经度</w:t>
                  </w:r>
                </w:p>
              </w:tc>
              <w:tc>
                <w:tcPr>
                  <w:tcW w:w="750" w:type="dxa"/>
                  <w:tcBorders>
                    <w:top w:val="single" w:color="auto" w:sz="4" w:space="0"/>
                    <w:left w:val="single" w:color="auto" w:sz="4" w:space="0"/>
                    <w:bottom w:val="single" w:color="auto" w:sz="4" w:space="0"/>
                    <w:right w:val="single" w:color="auto" w:sz="4" w:space="0"/>
                  </w:tcBorders>
                  <w:tcMar>
                    <w:left w:w="57" w:type="dxa"/>
                    <w:right w:w="57" w:type="dxa"/>
                  </w:tcMar>
                  <w:vAlign w:val="center"/>
                </w:tcPr>
                <w:p w14:paraId="49D24895">
                  <w:pPr>
                    <w:keepNext w:val="0"/>
                    <w:keepLines w:val="0"/>
                    <w:suppressLineNumbers w:val="0"/>
                    <w:overflowPunct w:val="0"/>
                    <w:adjustRightInd w:val="0"/>
                    <w:snapToGrid w:val="0"/>
                    <w:spacing w:before="0" w:beforeAutospacing="0" w:after="0" w:afterAutospacing="0" w:line="264" w:lineRule="auto"/>
                    <w:ind w:left="0" w:right="0"/>
                    <w:jc w:val="center"/>
                    <w:rPr>
                      <w:rFonts w:hint="default" w:ascii="Times New Roman" w:hAnsi="Times New Roman" w:eastAsia="宋体" w:cs="Times New Roman"/>
                      <w:snapToGrid w:val="0"/>
                      <w:kern w:val="0"/>
                      <w:sz w:val="18"/>
                      <w:szCs w:val="18"/>
                      <w:highlight w:val="none"/>
                    </w:rPr>
                  </w:pPr>
                  <w:r>
                    <w:rPr>
                      <w:rFonts w:hint="eastAsia" w:ascii="Times New Roman" w:hAnsi="Times New Roman" w:eastAsia="宋体" w:cs="Times New Roman"/>
                      <w:snapToGrid w:val="0"/>
                      <w:kern w:val="0"/>
                      <w:sz w:val="18"/>
                      <w:szCs w:val="18"/>
                      <w:highlight w:val="none"/>
                    </w:rPr>
                    <w:t>纬度</w:t>
                  </w:r>
                </w:p>
              </w:tc>
              <w:tc>
                <w:tcPr>
                  <w:tcW w:w="780" w:type="dxa"/>
                  <w:vMerge w:val="continue"/>
                  <w:tcBorders>
                    <w:top w:val="single" w:color="auto" w:sz="4" w:space="0"/>
                    <w:left w:val="single" w:color="auto" w:sz="4" w:space="0"/>
                    <w:bottom w:val="single" w:color="auto" w:sz="4" w:space="0"/>
                    <w:right w:val="single" w:color="auto" w:sz="4" w:space="0"/>
                  </w:tcBorders>
                  <w:tcMar>
                    <w:left w:w="57" w:type="dxa"/>
                    <w:right w:w="57" w:type="dxa"/>
                  </w:tcMar>
                  <w:vAlign w:val="center"/>
                </w:tcPr>
                <w:p w14:paraId="5588B01B">
                  <w:pPr>
                    <w:keepNext w:val="0"/>
                    <w:keepLines w:val="0"/>
                    <w:suppressLineNumbers w:val="0"/>
                    <w:overflowPunct w:val="0"/>
                    <w:adjustRightInd w:val="0"/>
                    <w:snapToGrid w:val="0"/>
                    <w:spacing w:before="0" w:beforeAutospacing="0" w:after="0" w:afterAutospacing="0" w:line="264" w:lineRule="auto"/>
                    <w:ind w:left="0" w:right="0"/>
                    <w:jc w:val="center"/>
                    <w:rPr>
                      <w:rFonts w:hint="default" w:ascii="Times New Roman" w:hAnsi="Times New Roman" w:eastAsia="宋体" w:cs="Times New Roman"/>
                      <w:snapToGrid w:val="0"/>
                      <w:kern w:val="0"/>
                      <w:sz w:val="18"/>
                      <w:szCs w:val="18"/>
                      <w:highlight w:val="none"/>
                    </w:rPr>
                  </w:pPr>
                </w:p>
              </w:tc>
              <w:tc>
                <w:tcPr>
                  <w:tcW w:w="945" w:type="dxa"/>
                  <w:vMerge w:val="continue"/>
                  <w:tcBorders>
                    <w:top w:val="single" w:color="auto" w:sz="4" w:space="0"/>
                    <w:left w:val="single" w:color="auto" w:sz="4" w:space="0"/>
                    <w:bottom w:val="single" w:color="auto" w:sz="4" w:space="0"/>
                    <w:right w:val="single" w:color="auto" w:sz="4" w:space="0"/>
                  </w:tcBorders>
                  <w:tcMar>
                    <w:left w:w="57" w:type="dxa"/>
                    <w:right w:w="57" w:type="dxa"/>
                  </w:tcMar>
                  <w:vAlign w:val="center"/>
                </w:tcPr>
                <w:p w14:paraId="0478B53A">
                  <w:pPr>
                    <w:keepNext w:val="0"/>
                    <w:keepLines w:val="0"/>
                    <w:suppressLineNumbers w:val="0"/>
                    <w:overflowPunct w:val="0"/>
                    <w:adjustRightInd w:val="0"/>
                    <w:snapToGrid w:val="0"/>
                    <w:spacing w:before="0" w:beforeAutospacing="0" w:after="0" w:afterAutospacing="0" w:line="264" w:lineRule="auto"/>
                    <w:ind w:left="0" w:right="0"/>
                    <w:jc w:val="center"/>
                    <w:rPr>
                      <w:rFonts w:hint="default" w:ascii="Times New Roman" w:hAnsi="Times New Roman" w:eastAsia="宋体" w:cs="Times New Roman"/>
                      <w:snapToGrid w:val="0"/>
                      <w:kern w:val="0"/>
                      <w:sz w:val="18"/>
                      <w:szCs w:val="18"/>
                      <w:highlight w:val="none"/>
                    </w:rPr>
                  </w:pPr>
                </w:p>
              </w:tc>
              <w:tc>
                <w:tcPr>
                  <w:tcW w:w="780" w:type="dxa"/>
                  <w:tcBorders>
                    <w:top w:val="single" w:color="auto" w:sz="4" w:space="0"/>
                    <w:left w:val="single" w:color="auto" w:sz="4" w:space="0"/>
                    <w:bottom w:val="single" w:color="auto" w:sz="4" w:space="0"/>
                    <w:right w:val="single" w:color="auto" w:sz="4" w:space="0"/>
                  </w:tcBorders>
                  <w:tcMar>
                    <w:left w:w="57" w:type="dxa"/>
                    <w:right w:w="57" w:type="dxa"/>
                  </w:tcMar>
                  <w:vAlign w:val="center"/>
                </w:tcPr>
                <w:p w14:paraId="6882D975">
                  <w:pPr>
                    <w:keepNext w:val="0"/>
                    <w:keepLines w:val="0"/>
                    <w:suppressLineNumbers w:val="0"/>
                    <w:overflowPunct w:val="0"/>
                    <w:adjustRightInd w:val="0"/>
                    <w:snapToGrid w:val="0"/>
                    <w:spacing w:before="0" w:beforeAutospacing="0" w:after="0" w:afterAutospacing="0" w:line="264" w:lineRule="auto"/>
                    <w:ind w:left="0" w:right="0"/>
                    <w:jc w:val="center"/>
                    <w:rPr>
                      <w:rFonts w:hint="default" w:ascii="Times New Roman" w:hAnsi="Times New Roman" w:eastAsia="宋体" w:cs="Times New Roman"/>
                      <w:snapToGrid w:val="0"/>
                      <w:kern w:val="0"/>
                      <w:sz w:val="18"/>
                      <w:szCs w:val="18"/>
                      <w:highlight w:val="none"/>
                    </w:rPr>
                  </w:pPr>
                  <w:r>
                    <w:rPr>
                      <w:rFonts w:hint="eastAsia" w:ascii="Times New Roman" w:hAnsi="Times New Roman" w:eastAsia="宋体" w:cs="Times New Roman"/>
                      <w:snapToGrid w:val="0"/>
                      <w:kern w:val="0"/>
                      <w:sz w:val="18"/>
                      <w:szCs w:val="18"/>
                      <w:highlight w:val="none"/>
                    </w:rPr>
                    <w:t>名称</w:t>
                  </w:r>
                </w:p>
              </w:tc>
              <w:tc>
                <w:tcPr>
                  <w:tcW w:w="1301" w:type="dxa"/>
                  <w:tcBorders>
                    <w:top w:val="single" w:color="auto" w:sz="4" w:space="0"/>
                    <w:left w:val="single" w:color="auto" w:sz="4" w:space="0"/>
                    <w:bottom w:val="single" w:color="auto" w:sz="4" w:space="0"/>
                    <w:right w:val="single" w:color="auto" w:sz="4" w:space="0"/>
                  </w:tcBorders>
                  <w:tcMar>
                    <w:left w:w="57" w:type="dxa"/>
                    <w:right w:w="57" w:type="dxa"/>
                  </w:tcMar>
                  <w:vAlign w:val="center"/>
                </w:tcPr>
                <w:p w14:paraId="7049D24F">
                  <w:pPr>
                    <w:keepNext w:val="0"/>
                    <w:keepLines w:val="0"/>
                    <w:suppressLineNumbers w:val="0"/>
                    <w:overflowPunct w:val="0"/>
                    <w:adjustRightInd w:val="0"/>
                    <w:snapToGrid w:val="0"/>
                    <w:spacing w:before="0" w:beforeAutospacing="0" w:after="0" w:afterAutospacing="0" w:line="264" w:lineRule="auto"/>
                    <w:ind w:left="0" w:right="0"/>
                    <w:jc w:val="center"/>
                    <w:rPr>
                      <w:rFonts w:hint="default" w:ascii="Times New Roman" w:hAnsi="Times New Roman" w:eastAsia="宋体" w:cs="Times New Roman"/>
                      <w:snapToGrid w:val="0"/>
                      <w:kern w:val="0"/>
                      <w:sz w:val="18"/>
                      <w:szCs w:val="18"/>
                      <w:highlight w:val="none"/>
                    </w:rPr>
                  </w:pPr>
                  <w:r>
                    <w:rPr>
                      <w:rFonts w:hint="eastAsia" w:ascii="Times New Roman" w:hAnsi="Times New Roman" w:eastAsia="宋体" w:cs="Times New Roman"/>
                      <w:snapToGrid w:val="0"/>
                      <w:kern w:val="0"/>
                      <w:sz w:val="18"/>
                      <w:szCs w:val="18"/>
                      <w:highlight w:val="none"/>
                    </w:rPr>
                    <w:t>污染物种类</w:t>
                  </w:r>
                </w:p>
              </w:tc>
              <w:tc>
                <w:tcPr>
                  <w:tcW w:w="1156" w:type="dxa"/>
                  <w:tcBorders>
                    <w:top w:val="single" w:color="auto" w:sz="4" w:space="0"/>
                    <w:left w:val="single" w:color="auto" w:sz="4" w:space="0"/>
                    <w:bottom w:val="single" w:color="auto" w:sz="4" w:space="0"/>
                    <w:right w:val="single" w:color="auto" w:sz="4" w:space="0"/>
                  </w:tcBorders>
                  <w:tcMar>
                    <w:left w:w="57" w:type="dxa"/>
                    <w:right w:w="57" w:type="dxa"/>
                  </w:tcMar>
                  <w:vAlign w:val="center"/>
                </w:tcPr>
                <w:p w14:paraId="6817E12F">
                  <w:pPr>
                    <w:keepNext w:val="0"/>
                    <w:keepLines w:val="0"/>
                    <w:suppressLineNumbers w:val="0"/>
                    <w:overflowPunct w:val="0"/>
                    <w:adjustRightInd w:val="0"/>
                    <w:snapToGrid w:val="0"/>
                    <w:spacing w:before="0" w:beforeAutospacing="0" w:after="0" w:afterAutospacing="0" w:line="264" w:lineRule="auto"/>
                    <w:ind w:left="0" w:right="0"/>
                    <w:jc w:val="center"/>
                    <w:rPr>
                      <w:rFonts w:hint="default" w:ascii="Times New Roman" w:hAnsi="Times New Roman" w:eastAsia="宋体" w:cs="Times New Roman"/>
                      <w:snapToGrid w:val="0"/>
                      <w:kern w:val="0"/>
                      <w:sz w:val="18"/>
                      <w:szCs w:val="18"/>
                      <w:highlight w:val="none"/>
                    </w:rPr>
                  </w:pPr>
                  <w:r>
                    <w:rPr>
                      <w:rFonts w:hint="eastAsia" w:ascii="Times New Roman" w:hAnsi="Times New Roman" w:eastAsia="宋体" w:cs="Times New Roman"/>
                      <w:snapToGrid w:val="0"/>
                      <w:kern w:val="0"/>
                      <w:sz w:val="18"/>
                      <w:szCs w:val="18"/>
                      <w:highlight w:val="none"/>
                    </w:rPr>
                    <w:t>排放浓度限值</w:t>
                  </w:r>
                  <w:r>
                    <w:rPr>
                      <w:rFonts w:hint="default" w:ascii="Times New Roman" w:hAnsi="Times New Roman" w:eastAsia="宋体" w:cs="Times New Roman"/>
                      <w:snapToGrid w:val="0"/>
                      <w:kern w:val="0"/>
                      <w:sz w:val="18"/>
                      <w:szCs w:val="18"/>
                      <w:highlight w:val="none"/>
                    </w:rPr>
                    <w:t>mg/L</w:t>
                  </w:r>
                </w:p>
              </w:tc>
            </w:tr>
            <w:tr w14:paraId="25E2C03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19" w:type="dxa"/>
                  <w:vMerge w:val="restart"/>
                  <w:tcBorders>
                    <w:top w:val="single" w:color="auto" w:sz="4" w:space="0"/>
                    <w:left w:val="single" w:color="auto" w:sz="4" w:space="0"/>
                    <w:right w:val="single" w:color="auto" w:sz="4" w:space="0"/>
                  </w:tcBorders>
                  <w:tcMar>
                    <w:left w:w="57" w:type="dxa"/>
                    <w:right w:w="57" w:type="dxa"/>
                  </w:tcMar>
                  <w:vAlign w:val="center"/>
                </w:tcPr>
                <w:p w14:paraId="70CC2C8E">
                  <w:pPr>
                    <w:keepNext w:val="0"/>
                    <w:keepLines w:val="0"/>
                    <w:suppressLineNumbers w:val="0"/>
                    <w:overflowPunct w:val="0"/>
                    <w:adjustRightInd w:val="0"/>
                    <w:snapToGrid w:val="0"/>
                    <w:spacing w:before="0" w:beforeAutospacing="0" w:after="0" w:afterAutospacing="0" w:line="264" w:lineRule="auto"/>
                    <w:ind w:left="0" w:right="0"/>
                    <w:jc w:val="center"/>
                    <w:rPr>
                      <w:rFonts w:hint="eastAsia" w:ascii="Times New Roman" w:hAnsi="Times New Roman" w:eastAsia="宋体" w:cs="Times New Roman"/>
                      <w:snapToGrid w:val="0"/>
                      <w:kern w:val="0"/>
                      <w:sz w:val="18"/>
                      <w:szCs w:val="18"/>
                      <w:highlight w:val="none"/>
                      <w:lang w:val="en-US" w:eastAsia="zh-CN"/>
                    </w:rPr>
                  </w:pPr>
                  <w:r>
                    <w:rPr>
                      <w:rFonts w:hint="default" w:ascii="Times New Roman" w:hAnsi="Times New Roman" w:eastAsia="宋体" w:cs="Times New Roman"/>
                      <w:snapToGrid w:val="0"/>
                      <w:kern w:val="0"/>
                      <w:sz w:val="18"/>
                      <w:szCs w:val="18"/>
                      <w:highlight w:val="none"/>
                    </w:rPr>
                    <w:t>DW00</w:t>
                  </w:r>
                  <w:r>
                    <w:rPr>
                      <w:rFonts w:hint="eastAsia" w:cs="Times New Roman"/>
                      <w:snapToGrid w:val="0"/>
                      <w:kern w:val="0"/>
                      <w:sz w:val="18"/>
                      <w:szCs w:val="18"/>
                      <w:highlight w:val="none"/>
                      <w:lang w:val="en-US" w:eastAsia="zh-CN"/>
                    </w:rPr>
                    <w:t>1</w:t>
                  </w:r>
                </w:p>
              </w:tc>
              <w:tc>
                <w:tcPr>
                  <w:tcW w:w="955" w:type="dxa"/>
                  <w:vMerge w:val="restart"/>
                  <w:tcBorders>
                    <w:top w:val="single" w:color="auto" w:sz="4" w:space="0"/>
                    <w:left w:val="single" w:color="auto" w:sz="4" w:space="0"/>
                    <w:right w:val="single" w:color="auto" w:sz="4" w:space="0"/>
                  </w:tcBorders>
                  <w:tcMar>
                    <w:left w:w="57" w:type="dxa"/>
                    <w:right w:w="57" w:type="dxa"/>
                  </w:tcMar>
                  <w:vAlign w:val="center"/>
                </w:tcPr>
                <w:p w14:paraId="32B39235">
                  <w:pPr>
                    <w:keepNext w:val="0"/>
                    <w:keepLines w:val="0"/>
                    <w:suppressLineNumbers w:val="0"/>
                    <w:overflowPunct w:val="0"/>
                    <w:adjustRightInd w:val="0"/>
                    <w:snapToGrid w:val="0"/>
                    <w:spacing w:before="0" w:beforeAutospacing="0" w:after="0" w:afterAutospacing="0" w:line="264" w:lineRule="auto"/>
                    <w:ind w:left="0" w:right="0"/>
                    <w:jc w:val="center"/>
                    <w:rPr>
                      <w:rFonts w:hint="eastAsia" w:ascii="Times New Roman" w:hAnsi="Times New Roman" w:eastAsia="宋体" w:cs="Times New Roman"/>
                      <w:snapToGrid w:val="0"/>
                      <w:kern w:val="0"/>
                      <w:sz w:val="18"/>
                      <w:szCs w:val="18"/>
                      <w:highlight w:val="none"/>
                    </w:rPr>
                  </w:pPr>
                  <w:r>
                    <w:rPr>
                      <w:rFonts w:hint="eastAsia" w:cs="Times New Roman"/>
                      <w:snapToGrid w:val="0"/>
                      <w:sz w:val="18"/>
                      <w:szCs w:val="18"/>
                      <w:highlight w:val="none"/>
                      <w:lang w:val="en-US" w:eastAsia="zh-CN"/>
                    </w:rPr>
                    <w:t>生活污水</w:t>
                  </w:r>
                  <w:r>
                    <w:rPr>
                      <w:rFonts w:hint="eastAsia" w:ascii="Times New Roman" w:hAnsi="Times New Roman" w:eastAsia="宋体" w:cs="Times New Roman"/>
                      <w:snapToGrid w:val="0"/>
                      <w:sz w:val="18"/>
                      <w:szCs w:val="18"/>
                      <w:highlight w:val="none"/>
                    </w:rPr>
                    <w:t>排放口</w:t>
                  </w:r>
                </w:p>
              </w:tc>
              <w:tc>
                <w:tcPr>
                  <w:tcW w:w="750" w:type="dxa"/>
                  <w:vMerge w:val="restart"/>
                  <w:tcBorders>
                    <w:top w:val="single" w:color="auto" w:sz="4" w:space="0"/>
                    <w:left w:val="single" w:color="auto" w:sz="4" w:space="0"/>
                    <w:right w:val="single" w:color="auto" w:sz="4" w:space="0"/>
                  </w:tcBorders>
                  <w:tcMar>
                    <w:left w:w="57" w:type="dxa"/>
                    <w:right w:w="57" w:type="dxa"/>
                  </w:tcMar>
                  <w:vAlign w:val="center"/>
                </w:tcPr>
                <w:p w14:paraId="020D88D1">
                  <w:pPr>
                    <w:keepNext w:val="0"/>
                    <w:keepLines w:val="0"/>
                    <w:suppressLineNumbers w:val="0"/>
                    <w:adjustRightInd w:val="0"/>
                    <w:snapToGrid w:val="0"/>
                    <w:spacing w:before="0" w:beforeAutospacing="0" w:after="0" w:afterAutospacing="0" w:line="264" w:lineRule="auto"/>
                    <w:ind w:left="0" w:right="0"/>
                    <w:jc w:val="center"/>
                    <w:rPr>
                      <w:rFonts w:hint="default" w:cs="Times New Roman"/>
                      <w:color w:val="auto"/>
                      <w:sz w:val="18"/>
                      <w:szCs w:val="18"/>
                      <w:highlight w:val="none"/>
                      <w:lang w:val="en-US" w:eastAsia="zh-CN"/>
                    </w:rPr>
                  </w:pPr>
                  <w:r>
                    <w:rPr>
                      <w:rFonts w:hint="eastAsia" w:cs="Times New Roman"/>
                      <w:color w:val="auto"/>
                      <w:sz w:val="18"/>
                      <w:szCs w:val="18"/>
                      <w:highlight w:val="none"/>
                      <w:lang w:val="en-US" w:eastAsia="zh-CN"/>
                    </w:rPr>
                    <w:t>E118.833037°</w:t>
                  </w:r>
                </w:p>
              </w:tc>
              <w:tc>
                <w:tcPr>
                  <w:tcW w:w="750" w:type="dxa"/>
                  <w:vMerge w:val="restart"/>
                  <w:tcBorders>
                    <w:top w:val="single" w:color="auto" w:sz="4" w:space="0"/>
                    <w:left w:val="single" w:color="auto" w:sz="4" w:space="0"/>
                    <w:right w:val="single" w:color="auto" w:sz="4" w:space="0"/>
                  </w:tcBorders>
                  <w:tcMar>
                    <w:left w:w="57" w:type="dxa"/>
                    <w:right w:w="57" w:type="dxa"/>
                  </w:tcMar>
                  <w:vAlign w:val="center"/>
                </w:tcPr>
                <w:p w14:paraId="468AAB71">
                  <w:pPr>
                    <w:keepNext w:val="0"/>
                    <w:keepLines w:val="0"/>
                    <w:suppressLineNumbers w:val="0"/>
                    <w:adjustRightInd w:val="0"/>
                    <w:snapToGrid w:val="0"/>
                    <w:spacing w:before="0" w:beforeAutospacing="0" w:after="0" w:afterAutospacing="0" w:line="264" w:lineRule="auto"/>
                    <w:ind w:left="0" w:right="0"/>
                    <w:jc w:val="center"/>
                    <w:rPr>
                      <w:rFonts w:hint="default" w:cs="Times New Roman"/>
                      <w:color w:val="auto"/>
                      <w:sz w:val="18"/>
                      <w:szCs w:val="18"/>
                      <w:highlight w:val="none"/>
                      <w:lang w:val="en-US" w:eastAsia="zh-CN"/>
                    </w:rPr>
                  </w:pPr>
                  <w:r>
                    <w:rPr>
                      <w:rFonts w:hint="eastAsia" w:cs="Times New Roman"/>
                      <w:color w:val="auto"/>
                      <w:sz w:val="18"/>
                      <w:szCs w:val="18"/>
                      <w:highlight w:val="none"/>
                      <w:lang w:val="en-US" w:eastAsia="zh-CN"/>
                    </w:rPr>
                    <w:t>N28.952206°</w:t>
                  </w:r>
                </w:p>
              </w:tc>
              <w:tc>
                <w:tcPr>
                  <w:tcW w:w="780" w:type="dxa"/>
                  <w:vMerge w:val="restart"/>
                  <w:tcBorders>
                    <w:top w:val="single" w:color="auto" w:sz="4" w:space="0"/>
                    <w:left w:val="single" w:color="auto" w:sz="4" w:space="0"/>
                    <w:right w:val="single" w:color="auto" w:sz="4" w:space="0"/>
                  </w:tcBorders>
                  <w:tcMar>
                    <w:left w:w="57" w:type="dxa"/>
                    <w:right w:w="57" w:type="dxa"/>
                  </w:tcMar>
                  <w:vAlign w:val="center"/>
                </w:tcPr>
                <w:p w14:paraId="7C18C2D7">
                  <w:pPr>
                    <w:keepNext w:val="0"/>
                    <w:keepLines w:val="0"/>
                    <w:suppressLineNumbers w:val="0"/>
                    <w:overflowPunct w:val="0"/>
                    <w:adjustRightInd w:val="0"/>
                    <w:snapToGrid w:val="0"/>
                    <w:spacing w:before="0" w:beforeAutospacing="0" w:after="0" w:afterAutospacing="0" w:line="264" w:lineRule="auto"/>
                    <w:ind w:left="0" w:right="0"/>
                    <w:jc w:val="center"/>
                    <w:rPr>
                      <w:rFonts w:hint="eastAsia" w:ascii="Times New Roman" w:hAnsi="Times New Roman" w:eastAsia="宋体" w:cs="Times New Roman"/>
                      <w:snapToGrid w:val="0"/>
                      <w:sz w:val="18"/>
                      <w:szCs w:val="18"/>
                      <w:highlight w:val="none"/>
                    </w:rPr>
                  </w:pPr>
                  <w:r>
                    <w:rPr>
                      <w:rFonts w:hint="eastAsia" w:ascii="Times New Roman" w:hAnsi="Times New Roman" w:eastAsia="宋体" w:cs="Times New Roman"/>
                      <w:snapToGrid w:val="0"/>
                      <w:sz w:val="18"/>
                      <w:szCs w:val="18"/>
                      <w:highlight w:val="none"/>
                    </w:rPr>
                    <w:t>高铁新城再生水厂</w:t>
                  </w:r>
                </w:p>
              </w:tc>
              <w:tc>
                <w:tcPr>
                  <w:tcW w:w="945" w:type="dxa"/>
                  <w:vMerge w:val="restart"/>
                  <w:tcBorders>
                    <w:top w:val="single" w:color="auto" w:sz="4" w:space="0"/>
                    <w:left w:val="single" w:color="auto" w:sz="4" w:space="0"/>
                    <w:right w:val="single" w:color="auto" w:sz="4" w:space="0"/>
                  </w:tcBorders>
                  <w:tcMar>
                    <w:left w:w="57" w:type="dxa"/>
                    <w:right w:w="57" w:type="dxa"/>
                  </w:tcMar>
                  <w:vAlign w:val="center"/>
                </w:tcPr>
                <w:p w14:paraId="504DDF4E">
                  <w:pPr>
                    <w:keepNext w:val="0"/>
                    <w:keepLines w:val="0"/>
                    <w:suppressLineNumbers w:val="0"/>
                    <w:overflowPunct w:val="0"/>
                    <w:adjustRightInd w:val="0"/>
                    <w:snapToGrid w:val="0"/>
                    <w:spacing w:before="0" w:beforeAutospacing="0" w:after="0" w:afterAutospacing="0" w:line="264" w:lineRule="auto"/>
                    <w:ind w:left="0" w:right="0"/>
                    <w:jc w:val="center"/>
                    <w:rPr>
                      <w:rFonts w:hint="eastAsia" w:ascii="Times New Roman" w:hAnsi="Times New Roman" w:eastAsia="宋体" w:cs="Times New Roman"/>
                      <w:snapToGrid w:val="0"/>
                      <w:kern w:val="0"/>
                      <w:sz w:val="18"/>
                      <w:szCs w:val="18"/>
                      <w:highlight w:val="none"/>
                      <w:lang w:val="en-US" w:eastAsia="zh-CN"/>
                    </w:rPr>
                  </w:pPr>
                  <w:r>
                    <w:rPr>
                      <w:rFonts w:hint="eastAsia" w:ascii="Times New Roman" w:hAnsi="Times New Roman" w:eastAsia="宋体" w:cs="Times New Roman"/>
                      <w:snapToGrid w:val="0"/>
                      <w:kern w:val="0"/>
                      <w:sz w:val="18"/>
                      <w:szCs w:val="18"/>
                      <w:highlight w:val="none"/>
                      <w:lang w:val="en-US" w:eastAsia="zh-CN"/>
                    </w:rPr>
                    <w:t>0:00-24:00</w:t>
                  </w:r>
                </w:p>
              </w:tc>
              <w:tc>
                <w:tcPr>
                  <w:tcW w:w="780" w:type="dxa"/>
                  <w:vMerge w:val="restart"/>
                  <w:tcBorders>
                    <w:top w:val="single" w:color="auto" w:sz="4" w:space="0"/>
                    <w:left w:val="single" w:color="auto" w:sz="4" w:space="0"/>
                    <w:right w:val="single" w:color="auto" w:sz="4" w:space="0"/>
                  </w:tcBorders>
                  <w:tcMar>
                    <w:left w:w="57" w:type="dxa"/>
                    <w:right w:w="57" w:type="dxa"/>
                  </w:tcMar>
                  <w:vAlign w:val="center"/>
                </w:tcPr>
                <w:p w14:paraId="7093C52C">
                  <w:pPr>
                    <w:keepNext w:val="0"/>
                    <w:keepLines w:val="0"/>
                    <w:suppressLineNumbers w:val="0"/>
                    <w:overflowPunct w:val="0"/>
                    <w:adjustRightInd w:val="0"/>
                    <w:snapToGrid w:val="0"/>
                    <w:spacing w:before="0" w:beforeAutospacing="0" w:after="0" w:afterAutospacing="0" w:line="264" w:lineRule="auto"/>
                    <w:ind w:left="0" w:right="0"/>
                    <w:jc w:val="center"/>
                    <w:rPr>
                      <w:rFonts w:hint="eastAsia" w:ascii="Times New Roman" w:hAnsi="Times New Roman" w:eastAsia="宋体" w:cs="Times New Roman"/>
                      <w:snapToGrid w:val="0"/>
                      <w:sz w:val="18"/>
                      <w:szCs w:val="18"/>
                      <w:highlight w:val="none"/>
                    </w:rPr>
                  </w:pPr>
                  <w:r>
                    <w:rPr>
                      <w:rFonts w:hint="eastAsia" w:ascii="Times New Roman" w:hAnsi="Times New Roman" w:eastAsia="宋体" w:cs="Times New Roman"/>
                      <w:snapToGrid w:val="0"/>
                      <w:sz w:val="18"/>
                      <w:szCs w:val="18"/>
                      <w:highlight w:val="none"/>
                    </w:rPr>
                    <w:t>高铁新城再生水厂</w:t>
                  </w:r>
                </w:p>
              </w:tc>
              <w:tc>
                <w:tcPr>
                  <w:tcW w:w="1301" w:type="dxa"/>
                  <w:tcBorders>
                    <w:top w:val="single" w:color="auto" w:sz="4" w:space="0"/>
                    <w:left w:val="single" w:color="auto" w:sz="4" w:space="0"/>
                    <w:bottom w:val="single" w:color="auto" w:sz="4" w:space="0"/>
                    <w:right w:val="single" w:color="auto" w:sz="4" w:space="0"/>
                  </w:tcBorders>
                  <w:tcMar>
                    <w:left w:w="57" w:type="dxa"/>
                    <w:right w:w="57" w:type="dxa"/>
                  </w:tcMar>
                  <w:vAlign w:val="center"/>
                </w:tcPr>
                <w:p w14:paraId="4049C4BB">
                  <w:pPr>
                    <w:keepNext w:val="0"/>
                    <w:keepLines w:val="0"/>
                    <w:widowControl/>
                    <w:suppressLineNumbers w:val="0"/>
                    <w:adjustRightInd w:val="0"/>
                    <w:snapToGrid w:val="0"/>
                    <w:spacing w:before="0" w:beforeAutospacing="0" w:after="0" w:afterAutospacing="0" w:line="264" w:lineRule="auto"/>
                    <w:ind w:left="0" w:right="0"/>
                    <w:jc w:val="center"/>
                    <w:rPr>
                      <w:rFonts w:hint="default" w:ascii="Times New Roman" w:hAnsi="Times New Roman" w:eastAsia="宋体" w:cs="Times New Roman"/>
                      <w:snapToGrid w:val="0"/>
                      <w:sz w:val="18"/>
                      <w:szCs w:val="18"/>
                      <w:highlight w:val="none"/>
                    </w:rPr>
                  </w:pPr>
                  <w:r>
                    <w:rPr>
                      <w:rFonts w:hint="default" w:ascii="Times New Roman" w:hAnsi="Times New Roman" w:eastAsia="宋体" w:cs="Times New Roman"/>
                      <w:snapToGrid w:val="0"/>
                      <w:sz w:val="18"/>
                      <w:szCs w:val="18"/>
                      <w:highlight w:val="none"/>
                    </w:rPr>
                    <w:t>COD</w:t>
                  </w:r>
                  <w:r>
                    <w:rPr>
                      <w:rFonts w:hint="default" w:ascii="Times New Roman" w:hAnsi="Times New Roman" w:eastAsia="宋体" w:cs="Times New Roman"/>
                      <w:snapToGrid w:val="0"/>
                      <w:sz w:val="18"/>
                      <w:szCs w:val="18"/>
                      <w:highlight w:val="none"/>
                      <w:vertAlign w:val="subscript"/>
                    </w:rPr>
                    <w:t>Cr</w:t>
                  </w:r>
                </w:p>
              </w:tc>
              <w:tc>
                <w:tcPr>
                  <w:tcW w:w="1156" w:type="dxa"/>
                  <w:tcBorders>
                    <w:top w:val="single" w:color="auto" w:sz="4" w:space="0"/>
                    <w:left w:val="single" w:color="auto" w:sz="4" w:space="0"/>
                    <w:bottom w:val="single" w:color="auto" w:sz="4" w:space="0"/>
                    <w:right w:val="single" w:color="auto" w:sz="4" w:space="0"/>
                  </w:tcBorders>
                  <w:tcMar>
                    <w:left w:w="57" w:type="dxa"/>
                    <w:right w:w="57" w:type="dxa"/>
                  </w:tcMar>
                  <w:vAlign w:val="center"/>
                </w:tcPr>
                <w:p w14:paraId="3C706008">
                  <w:pPr>
                    <w:keepNext w:val="0"/>
                    <w:keepLines w:val="0"/>
                    <w:suppressLineNumbers w:val="0"/>
                    <w:overflowPunct w:val="0"/>
                    <w:adjustRightInd w:val="0"/>
                    <w:snapToGrid w:val="0"/>
                    <w:spacing w:before="0" w:beforeAutospacing="0" w:after="0" w:afterAutospacing="0" w:line="264" w:lineRule="auto"/>
                    <w:ind w:left="0" w:right="0"/>
                    <w:jc w:val="center"/>
                    <w:rPr>
                      <w:rFonts w:hint="eastAsia" w:ascii="Times New Roman" w:hAnsi="Times New Roman" w:eastAsia="宋体" w:cs="Times New Roman"/>
                      <w:snapToGrid w:val="0"/>
                      <w:color w:val="auto"/>
                      <w:kern w:val="0"/>
                      <w:sz w:val="18"/>
                      <w:szCs w:val="18"/>
                      <w:highlight w:val="none"/>
                      <w:lang w:val="en-US" w:eastAsia="zh-CN"/>
                    </w:rPr>
                  </w:pPr>
                  <w:r>
                    <w:rPr>
                      <w:rFonts w:hint="eastAsia" w:ascii="Times New Roman" w:hAnsi="Times New Roman" w:eastAsia="宋体" w:cs="Times New Roman"/>
                      <w:snapToGrid w:val="0"/>
                      <w:color w:val="auto"/>
                      <w:kern w:val="0"/>
                      <w:sz w:val="18"/>
                      <w:szCs w:val="18"/>
                      <w:highlight w:val="none"/>
                      <w:lang w:val="en-US" w:eastAsia="zh-CN"/>
                    </w:rPr>
                    <w:t>30</w:t>
                  </w:r>
                </w:p>
              </w:tc>
            </w:tr>
            <w:tr w14:paraId="27162ED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19" w:type="dxa"/>
                  <w:vMerge w:val="continue"/>
                  <w:tcBorders>
                    <w:left w:val="single" w:color="auto" w:sz="4" w:space="0"/>
                    <w:right w:val="single" w:color="auto" w:sz="4" w:space="0"/>
                  </w:tcBorders>
                  <w:tcMar>
                    <w:left w:w="57" w:type="dxa"/>
                    <w:right w:w="57" w:type="dxa"/>
                  </w:tcMar>
                  <w:vAlign w:val="center"/>
                </w:tcPr>
                <w:p w14:paraId="7EEF95A5">
                  <w:pPr>
                    <w:keepNext w:val="0"/>
                    <w:keepLines w:val="0"/>
                    <w:suppressLineNumbers w:val="0"/>
                    <w:overflowPunct w:val="0"/>
                    <w:adjustRightInd w:val="0"/>
                    <w:snapToGrid w:val="0"/>
                    <w:spacing w:before="0" w:beforeAutospacing="0" w:after="0" w:afterAutospacing="0" w:line="264" w:lineRule="auto"/>
                    <w:ind w:left="0" w:right="0"/>
                    <w:jc w:val="center"/>
                    <w:rPr>
                      <w:rFonts w:hint="default" w:ascii="Times New Roman" w:hAnsi="Times New Roman" w:eastAsia="宋体" w:cs="Times New Roman"/>
                      <w:snapToGrid w:val="0"/>
                      <w:kern w:val="0"/>
                      <w:sz w:val="18"/>
                      <w:szCs w:val="18"/>
                      <w:highlight w:val="none"/>
                    </w:rPr>
                  </w:pPr>
                </w:p>
              </w:tc>
              <w:tc>
                <w:tcPr>
                  <w:tcW w:w="955" w:type="dxa"/>
                  <w:vMerge w:val="continue"/>
                  <w:tcBorders>
                    <w:left w:val="single" w:color="auto" w:sz="4" w:space="0"/>
                    <w:right w:val="single" w:color="auto" w:sz="4" w:space="0"/>
                  </w:tcBorders>
                  <w:tcMar>
                    <w:left w:w="57" w:type="dxa"/>
                    <w:right w:w="57" w:type="dxa"/>
                  </w:tcMar>
                  <w:vAlign w:val="center"/>
                </w:tcPr>
                <w:p w14:paraId="3D220C39">
                  <w:pPr>
                    <w:keepNext w:val="0"/>
                    <w:keepLines w:val="0"/>
                    <w:suppressLineNumbers w:val="0"/>
                    <w:overflowPunct w:val="0"/>
                    <w:adjustRightInd w:val="0"/>
                    <w:snapToGrid w:val="0"/>
                    <w:spacing w:before="0" w:beforeAutospacing="0" w:after="0" w:afterAutospacing="0" w:line="264" w:lineRule="auto"/>
                    <w:ind w:left="0" w:right="0"/>
                    <w:jc w:val="center"/>
                    <w:rPr>
                      <w:rFonts w:hint="eastAsia" w:ascii="Times New Roman" w:hAnsi="Times New Roman" w:eastAsia="宋体" w:cs="Times New Roman"/>
                      <w:snapToGrid w:val="0"/>
                      <w:kern w:val="0"/>
                      <w:sz w:val="18"/>
                      <w:szCs w:val="18"/>
                      <w:highlight w:val="none"/>
                    </w:rPr>
                  </w:pPr>
                </w:p>
              </w:tc>
              <w:tc>
                <w:tcPr>
                  <w:tcW w:w="750" w:type="dxa"/>
                  <w:vMerge w:val="continue"/>
                  <w:tcBorders>
                    <w:left w:val="single" w:color="auto" w:sz="4" w:space="0"/>
                    <w:right w:val="single" w:color="auto" w:sz="4" w:space="0"/>
                  </w:tcBorders>
                  <w:tcMar>
                    <w:left w:w="57" w:type="dxa"/>
                    <w:right w:w="57" w:type="dxa"/>
                  </w:tcMar>
                  <w:vAlign w:val="center"/>
                </w:tcPr>
                <w:p w14:paraId="35FE8B13">
                  <w:pPr>
                    <w:keepNext w:val="0"/>
                    <w:keepLines w:val="0"/>
                    <w:suppressLineNumbers w:val="0"/>
                    <w:adjustRightInd w:val="0"/>
                    <w:snapToGrid w:val="0"/>
                    <w:spacing w:before="0" w:beforeAutospacing="0" w:after="0" w:afterAutospacing="0" w:line="264" w:lineRule="auto"/>
                    <w:ind w:left="0" w:right="0"/>
                    <w:jc w:val="center"/>
                    <w:rPr>
                      <w:rFonts w:hint="eastAsia" w:cs="Times New Roman"/>
                      <w:color w:val="auto"/>
                      <w:sz w:val="18"/>
                      <w:szCs w:val="18"/>
                      <w:highlight w:val="none"/>
                      <w:lang w:val="en-US" w:eastAsia="zh-CN"/>
                    </w:rPr>
                  </w:pPr>
                </w:p>
              </w:tc>
              <w:tc>
                <w:tcPr>
                  <w:tcW w:w="750" w:type="dxa"/>
                  <w:vMerge w:val="continue"/>
                  <w:tcBorders>
                    <w:left w:val="single" w:color="auto" w:sz="4" w:space="0"/>
                    <w:right w:val="single" w:color="auto" w:sz="4" w:space="0"/>
                  </w:tcBorders>
                  <w:tcMar>
                    <w:left w:w="57" w:type="dxa"/>
                    <w:right w:w="57" w:type="dxa"/>
                  </w:tcMar>
                  <w:vAlign w:val="center"/>
                </w:tcPr>
                <w:p w14:paraId="289DF0EF">
                  <w:pPr>
                    <w:keepNext w:val="0"/>
                    <w:keepLines w:val="0"/>
                    <w:suppressLineNumbers w:val="0"/>
                    <w:adjustRightInd w:val="0"/>
                    <w:snapToGrid w:val="0"/>
                    <w:spacing w:before="0" w:beforeAutospacing="0" w:after="0" w:afterAutospacing="0" w:line="264" w:lineRule="auto"/>
                    <w:ind w:left="0" w:right="0"/>
                    <w:jc w:val="center"/>
                    <w:rPr>
                      <w:rFonts w:hint="eastAsia" w:cs="Times New Roman"/>
                      <w:color w:val="auto"/>
                      <w:sz w:val="18"/>
                      <w:szCs w:val="18"/>
                      <w:highlight w:val="none"/>
                      <w:lang w:val="en-US" w:eastAsia="zh-CN"/>
                    </w:rPr>
                  </w:pPr>
                </w:p>
              </w:tc>
              <w:tc>
                <w:tcPr>
                  <w:tcW w:w="780" w:type="dxa"/>
                  <w:vMerge w:val="continue"/>
                  <w:tcBorders>
                    <w:left w:val="single" w:color="auto" w:sz="4" w:space="0"/>
                    <w:right w:val="single" w:color="auto" w:sz="4" w:space="0"/>
                  </w:tcBorders>
                  <w:tcMar>
                    <w:left w:w="57" w:type="dxa"/>
                    <w:right w:w="57" w:type="dxa"/>
                  </w:tcMar>
                  <w:vAlign w:val="center"/>
                </w:tcPr>
                <w:p w14:paraId="196791D5">
                  <w:pPr>
                    <w:keepNext w:val="0"/>
                    <w:keepLines w:val="0"/>
                    <w:suppressLineNumbers w:val="0"/>
                    <w:overflowPunct w:val="0"/>
                    <w:adjustRightInd w:val="0"/>
                    <w:snapToGrid w:val="0"/>
                    <w:spacing w:before="0" w:beforeAutospacing="0" w:after="0" w:afterAutospacing="0" w:line="264" w:lineRule="auto"/>
                    <w:ind w:left="0" w:right="0"/>
                    <w:jc w:val="center"/>
                    <w:rPr>
                      <w:rFonts w:hint="eastAsia" w:ascii="Times New Roman" w:hAnsi="Times New Roman" w:eastAsia="宋体" w:cs="Times New Roman"/>
                      <w:snapToGrid w:val="0"/>
                      <w:sz w:val="18"/>
                      <w:szCs w:val="18"/>
                      <w:highlight w:val="none"/>
                    </w:rPr>
                  </w:pPr>
                </w:p>
              </w:tc>
              <w:tc>
                <w:tcPr>
                  <w:tcW w:w="945" w:type="dxa"/>
                  <w:vMerge w:val="continue"/>
                  <w:tcBorders>
                    <w:left w:val="single" w:color="auto" w:sz="4" w:space="0"/>
                    <w:right w:val="single" w:color="auto" w:sz="4" w:space="0"/>
                  </w:tcBorders>
                  <w:tcMar>
                    <w:left w:w="57" w:type="dxa"/>
                    <w:right w:w="57" w:type="dxa"/>
                  </w:tcMar>
                  <w:vAlign w:val="center"/>
                </w:tcPr>
                <w:p w14:paraId="2868EC5F">
                  <w:pPr>
                    <w:keepNext w:val="0"/>
                    <w:keepLines w:val="0"/>
                    <w:suppressLineNumbers w:val="0"/>
                    <w:overflowPunct w:val="0"/>
                    <w:adjustRightInd w:val="0"/>
                    <w:snapToGrid w:val="0"/>
                    <w:spacing w:before="0" w:beforeAutospacing="0" w:after="0" w:afterAutospacing="0" w:line="264" w:lineRule="auto"/>
                    <w:ind w:left="0" w:right="0"/>
                    <w:jc w:val="center"/>
                    <w:rPr>
                      <w:rFonts w:hint="eastAsia" w:ascii="Times New Roman" w:hAnsi="Times New Roman" w:eastAsia="宋体" w:cs="Times New Roman"/>
                      <w:snapToGrid w:val="0"/>
                      <w:kern w:val="0"/>
                      <w:sz w:val="18"/>
                      <w:szCs w:val="18"/>
                      <w:highlight w:val="none"/>
                      <w:lang w:val="en-US" w:eastAsia="zh-CN"/>
                    </w:rPr>
                  </w:pPr>
                </w:p>
              </w:tc>
              <w:tc>
                <w:tcPr>
                  <w:tcW w:w="780" w:type="dxa"/>
                  <w:vMerge w:val="continue"/>
                  <w:tcBorders>
                    <w:left w:val="single" w:color="auto" w:sz="4" w:space="0"/>
                    <w:right w:val="single" w:color="auto" w:sz="4" w:space="0"/>
                  </w:tcBorders>
                  <w:tcMar>
                    <w:left w:w="57" w:type="dxa"/>
                    <w:right w:w="57" w:type="dxa"/>
                  </w:tcMar>
                  <w:vAlign w:val="center"/>
                </w:tcPr>
                <w:p w14:paraId="0D979ACB">
                  <w:pPr>
                    <w:keepNext w:val="0"/>
                    <w:keepLines w:val="0"/>
                    <w:suppressLineNumbers w:val="0"/>
                    <w:overflowPunct w:val="0"/>
                    <w:adjustRightInd w:val="0"/>
                    <w:snapToGrid w:val="0"/>
                    <w:spacing w:before="0" w:beforeAutospacing="0" w:after="0" w:afterAutospacing="0" w:line="264" w:lineRule="auto"/>
                    <w:ind w:left="0" w:right="0"/>
                    <w:jc w:val="center"/>
                    <w:rPr>
                      <w:rFonts w:hint="eastAsia" w:ascii="Times New Roman" w:hAnsi="Times New Roman" w:eastAsia="宋体" w:cs="Times New Roman"/>
                      <w:snapToGrid w:val="0"/>
                      <w:sz w:val="18"/>
                      <w:szCs w:val="18"/>
                      <w:highlight w:val="none"/>
                    </w:rPr>
                  </w:pPr>
                </w:p>
              </w:tc>
              <w:tc>
                <w:tcPr>
                  <w:tcW w:w="1301" w:type="dxa"/>
                  <w:tcBorders>
                    <w:top w:val="single" w:color="auto" w:sz="4" w:space="0"/>
                    <w:left w:val="single" w:color="auto" w:sz="4" w:space="0"/>
                    <w:bottom w:val="single" w:color="auto" w:sz="4" w:space="0"/>
                    <w:right w:val="single" w:color="auto" w:sz="4" w:space="0"/>
                  </w:tcBorders>
                  <w:tcMar>
                    <w:left w:w="57" w:type="dxa"/>
                    <w:right w:w="57" w:type="dxa"/>
                  </w:tcMar>
                  <w:vAlign w:val="center"/>
                </w:tcPr>
                <w:p w14:paraId="48067F3E">
                  <w:pPr>
                    <w:keepNext w:val="0"/>
                    <w:keepLines w:val="0"/>
                    <w:widowControl/>
                    <w:suppressLineNumbers w:val="0"/>
                    <w:adjustRightInd w:val="0"/>
                    <w:snapToGrid w:val="0"/>
                    <w:spacing w:before="0" w:beforeAutospacing="0" w:after="0" w:afterAutospacing="0" w:line="264" w:lineRule="auto"/>
                    <w:ind w:left="0" w:right="0"/>
                    <w:jc w:val="center"/>
                    <w:rPr>
                      <w:rFonts w:hint="default" w:ascii="Times New Roman" w:hAnsi="Times New Roman" w:eastAsia="宋体" w:cs="Times New Roman"/>
                      <w:snapToGrid w:val="0"/>
                      <w:sz w:val="18"/>
                      <w:szCs w:val="18"/>
                      <w:highlight w:val="none"/>
                    </w:rPr>
                  </w:pPr>
                  <w:r>
                    <w:rPr>
                      <w:rFonts w:hint="default" w:ascii="Times New Roman" w:hAnsi="Times New Roman" w:eastAsia="宋体" w:cs="Times New Roman"/>
                      <w:snapToGrid w:val="0"/>
                      <w:sz w:val="18"/>
                      <w:szCs w:val="18"/>
                      <w:highlight w:val="none"/>
                    </w:rPr>
                    <w:t>NH</w:t>
                  </w:r>
                  <w:r>
                    <w:rPr>
                      <w:rFonts w:hint="default" w:ascii="Times New Roman" w:hAnsi="Times New Roman" w:eastAsia="宋体" w:cs="Times New Roman"/>
                      <w:snapToGrid w:val="0"/>
                      <w:sz w:val="18"/>
                      <w:szCs w:val="18"/>
                      <w:highlight w:val="none"/>
                      <w:vertAlign w:val="subscript"/>
                    </w:rPr>
                    <w:t>3</w:t>
                  </w:r>
                  <w:r>
                    <w:rPr>
                      <w:rFonts w:hint="default" w:ascii="Times New Roman" w:hAnsi="Times New Roman" w:eastAsia="宋体" w:cs="Times New Roman"/>
                      <w:snapToGrid w:val="0"/>
                      <w:sz w:val="18"/>
                      <w:szCs w:val="18"/>
                      <w:highlight w:val="none"/>
                    </w:rPr>
                    <w:t>-N</w:t>
                  </w:r>
                </w:p>
              </w:tc>
              <w:tc>
                <w:tcPr>
                  <w:tcW w:w="1156" w:type="dxa"/>
                  <w:tcBorders>
                    <w:top w:val="single" w:color="auto" w:sz="4" w:space="0"/>
                    <w:left w:val="single" w:color="auto" w:sz="4" w:space="0"/>
                    <w:bottom w:val="single" w:color="auto" w:sz="4" w:space="0"/>
                    <w:right w:val="single" w:color="auto" w:sz="4" w:space="0"/>
                  </w:tcBorders>
                  <w:tcMar>
                    <w:left w:w="57" w:type="dxa"/>
                    <w:right w:w="57" w:type="dxa"/>
                  </w:tcMar>
                  <w:vAlign w:val="center"/>
                </w:tcPr>
                <w:p w14:paraId="1A88DB0C">
                  <w:pPr>
                    <w:keepNext w:val="0"/>
                    <w:keepLines w:val="0"/>
                    <w:suppressLineNumbers w:val="0"/>
                    <w:overflowPunct w:val="0"/>
                    <w:adjustRightInd w:val="0"/>
                    <w:snapToGrid w:val="0"/>
                    <w:spacing w:before="0" w:beforeAutospacing="0" w:after="0" w:afterAutospacing="0" w:line="264" w:lineRule="auto"/>
                    <w:ind w:left="0" w:right="0"/>
                    <w:jc w:val="center"/>
                    <w:rPr>
                      <w:rFonts w:hint="eastAsia" w:ascii="Times New Roman" w:hAnsi="Times New Roman" w:eastAsia="宋体" w:cs="Times New Roman"/>
                      <w:snapToGrid w:val="0"/>
                      <w:color w:val="auto"/>
                      <w:kern w:val="0"/>
                      <w:sz w:val="18"/>
                      <w:szCs w:val="18"/>
                      <w:highlight w:val="none"/>
                      <w:lang w:val="en-US" w:eastAsia="zh-CN"/>
                    </w:rPr>
                  </w:pPr>
                  <w:r>
                    <w:rPr>
                      <w:rFonts w:hint="eastAsia" w:ascii="Times New Roman" w:hAnsi="Times New Roman" w:eastAsia="宋体" w:cs="Times New Roman"/>
                      <w:snapToGrid w:val="0"/>
                      <w:color w:val="auto"/>
                      <w:kern w:val="0"/>
                      <w:sz w:val="18"/>
                      <w:szCs w:val="18"/>
                      <w:highlight w:val="none"/>
                      <w:lang w:val="en-US" w:eastAsia="zh-CN"/>
                    </w:rPr>
                    <w:t>1.5（3）</w:t>
                  </w:r>
                </w:p>
              </w:tc>
            </w:tr>
            <w:tr w14:paraId="7EE0F85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19" w:type="dxa"/>
                  <w:vMerge w:val="continue"/>
                  <w:tcBorders>
                    <w:left w:val="single" w:color="auto" w:sz="4" w:space="0"/>
                    <w:right w:val="single" w:color="auto" w:sz="4" w:space="0"/>
                  </w:tcBorders>
                  <w:tcMar>
                    <w:left w:w="57" w:type="dxa"/>
                    <w:right w:w="57" w:type="dxa"/>
                  </w:tcMar>
                  <w:vAlign w:val="center"/>
                </w:tcPr>
                <w:p w14:paraId="799EB395">
                  <w:pPr>
                    <w:keepNext w:val="0"/>
                    <w:keepLines w:val="0"/>
                    <w:suppressLineNumbers w:val="0"/>
                    <w:overflowPunct w:val="0"/>
                    <w:adjustRightInd w:val="0"/>
                    <w:snapToGrid w:val="0"/>
                    <w:spacing w:before="0" w:beforeAutospacing="0" w:after="0" w:afterAutospacing="0" w:line="264" w:lineRule="auto"/>
                    <w:ind w:left="0" w:right="0"/>
                    <w:jc w:val="center"/>
                    <w:rPr>
                      <w:rFonts w:hint="default" w:ascii="Times New Roman" w:hAnsi="Times New Roman" w:eastAsia="宋体" w:cs="Times New Roman"/>
                      <w:snapToGrid w:val="0"/>
                      <w:kern w:val="0"/>
                      <w:sz w:val="18"/>
                      <w:szCs w:val="18"/>
                      <w:highlight w:val="none"/>
                    </w:rPr>
                  </w:pPr>
                </w:p>
              </w:tc>
              <w:tc>
                <w:tcPr>
                  <w:tcW w:w="955" w:type="dxa"/>
                  <w:vMerge w:val="continue"/>
                  <w:tcBorders>
                    <w:left w:val="single" w:color="auto" w:sz="4" w:space="0"/>
                    <w:right w:val="single" w:color="auto" w:sz="4" w:space="0"/>
                  </w:tcBorders>
                  <w:tcMar>
                    <w:left w:w="57" w:type="dxa"/>
                    <w:right w:w="57" w:type="dxa"/>
                  </w:tcMar>
                  <w:vAlign w:val="center"/>
                </w:tcPr>
                <w:p w14:paraId="3F0F2FE0">
                  <w:pPr>
                    <w:keepNext w:val="0"/>
                    <w:keepLines w:val="0"/>
                    <w:suppressLineNumbers w:val="0"/>
                    <w:overflowPunct w:val="0"/>
                    <w:adjustRightInd w:val="0"/>
                    <w:snapToGrid w:val="0"/>
                    <w:spacing w:before="0" w:beforeAutospacing="0" w:after="0" w:afterAutospacing="0" w:line="264" w:lineRule="auto"/>
                    <w:ind w:left="0" w:right="0"/>
                    <w:jc w:val="center"/>
                    <w:rPr>
                      <w:rFonts w:hint="eastAsia" w:ascii="Times New Roman" w:hAnsi="Times New Roman" w:eastAsia="宋体" w:cs="Times New Roman"/>
                      <w:snapToGrid w:val="0"/>
                      <w:kern w:val="0"/>
                      <w:sz w:val="18"/>
                      <w:szCs w:val="18"/>
                      <w:highlight w:val="none"/>
                    </w:rPr>
                  </w:pPr>
                </w:p>
              </w:tc>
              <w:tc>
                <w:tcPr>
                  <w:tcW w:w="750" w:type="dxa"/>
                  <w:vMerge w:val="continue"/>
                  <w:tcBorders>
                    <w:left w:val="single" w:color="auto" w:sz="4" w:space="0"/>
                    <w:right w:val="single" w:color="auto" w:sz="4" w:space="0"/>
                  </w:tcBorders>
                  <w:tcMar>
                    <w:left w:w="57" w:type="dxa"/>
                    <w:right w:w="57" w:type="dxa"/>
                  </w:tcMar>
                  <w:vAlign w:val="center"/>
                </w:tcPr>
                <w:p w14:paraId="6B0C0598">
                  <w:pPr>
                    <w:keepNext w:val="0"/>
                    <w:keepLines w:val="0"/>
                    <w:suppressLineNumbers w:val="0"/>
                    <w:adjustRightInd w:val="0"/>
                    <w:snapToGrid w:val="0"/>
                    <w:spacing w:before="0" w:beforeAutospacing="0" w:after="0" w:afterAutospacing="0" w:line="264" w:lineRule="auto"/>
                    <w:ind w:left="0" w:right="0"/>
                    <w:jc w:val="center"/>
                    <w:rPr>
                      <w:rFonts w:hint="eastAsia" w:cs="Times New Roman"/>
                      <w:color w:val="auto"/>
                      <w:sz w:val="18"/>
                      <w:szCs w:val="18"/>
                      <w:highlight w:val="none"/>
                      <w:lang w:val="en-US" w:eastAsia="zh-CN"/>
                    </w:rPr>
                  </w:pPr>
                </w:p>
              </w:tc>
              <w:tc>
                <w:tcPr>
                  <w:tcW w:w="750" w:type="dxa"/>
                  <w:vMerge w:val="continue"/>
                  <w:tcBorders>
                    <w:left w:val="single" w:color="auto" w:sz="4" w:space="0"/>
                    <w:right w:val="single" w:color="auto" w:sz="4" w:space="0"/>
                  </w:tcBorders>
                  <w:tcMar>
                    <w:left w:w="57" w:type="dxa"/>
                    <w:right w:w="57" w:type="dxa"/>
                  </w:tcMar>
                  <w:vAlign w:val="center"/>
                </w:tcPr>
                <w:p w14:paraId="14C80026">
                  <w:pPr>
                    <w:keepNext w:val="0"/>
                    <w:keepLines w:val="0"/>
                    <w:suppressLineNumbers w:val="0"/>
                    <w:adjustRightInd w:val="0"/>
                    <w:snapToGrid w:val="0"/>
                    <w:spacing w:before="0" w:beforeAutospacing="0" w:after="0" w:afterAutospacing="0" w:line="264" w:lineRule="auto"/>
                    <w:ind w:left="0" w:right="0"/>
                    <w:jc w:val="center"/>
                    <w:rPr>
                      <w:rFonts w:hint="eastAsia" w:cs="Times New Roman"/>
                      <w:color w:val="auto"/>
                      <w:sz w:val="18"/>
                      <w:szCs w:val="18"/>
                      <w:highlight w:val="none"/>
                      <w:lang w:val="en-US" w:eastAsia="zh-CN"/>
                    </w:rPr>
                  </w:pPr>
                </w:p>
              </w:tc>
              <w:tc>
                <w:tcPr>
                  <w:tcW w:w="780" w:type="dxa"/>
                  <w:vMerge w:val="continue"/>
                  <w:tcBorders>
                    <w:left w:val="single" w:color="auto" w:sz="4" w:space="0"/>
                    <w:right w:val="single" w:color="auto" w:sz="4" w:space="0"/>
                  </w:tcBorders>
                  <w:tcMar>
                    <w:left w:w="57" w:type="dxa"/>
                    <w:right w:w="57" w:type="dxa"/>
                  </w:tcMar>
                  <w:vAlign w:val="center"/>
                </w:tcPr>
                <w:p w14:paraId="74C3D81B">
                  <w:pPr>
                    <w:keepNext w:val="0"/>
                    <w:keepLines w:val="0"/>
                    <w:suppressLineNumbers w:val="0"/>
                    <w:overflowPunct w:val="0"/>
                    <w:adjustRightInd w:val="0"/>
                    <w:snapToGrid w:val="0"/>
                    <w:spacing w:before="0" w:beforeAutospacing="0" w:after="0" w:afterAutospacing="0" w:line="264" w:lineRule="auto"/>
                    <w:ind w:left="0" w:right="0"/>
                    <w:jc w:val="center"/>
                    <w:rPr>
                      <w:rFonts w:hint="eastAsia" w:ascii="Times New Roman" w:hAnsi="Times New Roman" w:eastAsia="宋体" w:cs="Times New Roman"/>
                      <w:snapToGrid w:val="0"/>
                      <w:sz w:val="18"/>
                      <w:szCs w:val="18"/>
                      <w:highlight w:val="none"/>
                    </w:rPr>
                  </w:pPr>
                </w:p>
              </w:tc>
              <w:tc>
                <w:tcPr>
                  <w:tcW w:w="945" w:type="dxa"/>
                  <w:vMerge w:val="continue"/>
                  <w:tcBorders>
                    <w:left w:val="single" w:color="auto" w:sz="4" w:space="0"/>
                    <w:right w:val="single" w:color="auto" w:sz="4" w:space="0"/>
                  </w:tcBorders>
                  <w:tcMar>
                    <w:left w:w="57" w:type="dxa"/>
                    <w:right w:w="57" w:type="dxa"/>
                  </w:tcMar>
                  <w:vAlign w:val="center"/>
                </w:tcPr>
                <w:p w14:paraId="35B9850A">
                  <w:pPr>
                    <w:keepNext w:val="0"/>
                    <w:keepLines w:val="0"/>
                    <w:suppressLineNumbers w:val="0"/>
                    <w:overflowPunct w:val="0"/>
                    <w:adjustRightInd w:val="0"/>
                    <w:snapToGrid w:val="0"/>
                    <w:spacing w:before="0" w:beforeAutospacing="0" w:after="0" w:afterAutospacing="0" w:line="264" w:lineRule="auto"/>
                    <w:ind w:left="0" w:right="0"/>
                    <w:jc w:val="center"/>
                    <w:rPr>
                      <w:rFonts w:hint="eastAsia" w:ascii="Times New Roman" w:hAnsi="Times New Roman" w:eastAsia="宋体" w:cs="Times New Roman"/>
                      <w:snapToGrid w:val="0"/>
                      <w:kern w:val="0"/>
                      <w:sz w:val="18"/>
                      <w:szCs w:val="18"/>
                      <w:highlight w:val="none"/>
                      <w:lang w:val="en-US" w:eastAsia="zh-CN"/>
                    </w:rPr>
                  </w:pPr>
                </w:p>
              </w:tc>
              <w:tc>
                <w:tcPr>
                  <w:tcW w:w="780" w:type="dxa"/>
                  <w:vMerge w:val="continue"/>
                  <w:tcBorders>
                    <w:left w:val="single" w:color="auto" w:sz="4" w:space="0"/>
                    <w:right w:val="single" w:color="auto" w:sz="4" w:space="0"/>
                  </w:tcBorders>
                  <w:tcMar>
                    <w:left w:w="57" w:type="dxa"/>
                    <w:right w:w="57" w:type="dxa"/>
                  </w:tcMar>
                  <w:vAlign w:val="center"/>
                </w:tcPr>
                <w:p w14:paraId="21CF50C6">
                  <w:pPr>
                    <w:keepNext w:val="0"/>
                    <w:keepLines w:val="0"/>
                    <w:suppressLineNumbers w:val="0"/>
                    <w:overflowPunct w:val="0"/>
                    <w:adjustRightInd w:val="0"/>
                    <w:snapToGrid w:val="0"/>
                    <w:spacing w:before="0" w:beforeAutospacing="0" w:after="0" w:afterAutospacing="0" w:line="264" w:lineRule="auto"/>
                    <w:ind w:left="0" w:right="0"/>
                    <w:jc w:val="center"/>
                    <w:rPr>
                      <w:rFonts w:hint="eastAsia" w:ascii="Times New Roman" w:hAnsi="Times New Roman" w:eastAsia="宋体" w:cs="Times New Roman"/>
                      <w:snapToGrid w:val="0"/>
                      <w:sz w:val="18"/>
                      <w:szCs w:val="18"/>
                      <w:highlight w:val="none"/>
                    </w:rPr>
                  </w:pPr>
                </w:p>
              </w:tc>
              <w:tc>
                <w:tcPr>
                  <w:tcW w:w="1301" w:type="dxa"/>
                  <w:tcBorders>
                    <w:top w:val="single" w:color="auto" w:sz="4" w:space="0"/>
                    <w:left w:val="single" w:color="auto" w:sz="4" w:space="0"/>
                    <w:bottom w:val="single" w:color="auto" w:sz="4" w:space="0"/>
                    <w:right w:val="single" w:color="auto" w:sz="4" w:space="0"/>
                  </w:tcBorders>
                  <w:tcMar>
                    <w:left w:w="57" w:type="dxa"/>
                    <w:right w:w="57" w:type="dxa"/>
                  </w:tcMar>
                  <w:vAlign w:val="center"/>
                </w:tcPr>
                <w:p w14:paraId="3AEEA981">
                  <w:pPr>
                    <w:keepNext w:val="0"/>
                    <w:keepLines w:val="0"/>
                    <w:widowControl/>
                    <w:suppressLineNumbers w:val="0"/>
                    <w:adjustRightInd w:val="0"/>
                    <w:snapToGrid w:val="0"/>
                    <w:spacing w:before="0" w:beforeAutospacing="0" w:after="0" w:afterAutospacing="0" w:line="264" w:lineRule="auto"/>
                    <w:ind w:left="0" w:right="0"/>
                    <w:jc w:val="center"/>
                    <w:rPr>
                      <w:rFonts w:hint="eastAsia" w:ascii="Times New Roman" w:hAnsi="Times New Roman" w:eastAsia="宋体" w:cs="Times New Roman"/>
                      <w:snapToGrid w:val="0"/>
                      <w:sz w:val="18"/>
                      <w:szCs w:val="18"/>
                      <w:highlight w:val="none"/>
                      <w:lang w:val="en-US" w:eastAsia="zh-CN"/>
                    </w:rPr>
                  </w:pPr>
                  <w:r>
                    <w:rPr>
                      <w:rFonts w:hint="eastAsia" w:cs="Times New Roman"/>
                      <w:snapToGrid w:val="0"/>
                      <w:sz w:val="18"/>
                      <w:szCs w:val="18"/>
                      <w:highlight w:val="none"/>
                      <w:lang w:val="en-US" w:eastAsia="zh-CN"/>
                    </w:rPr>
                    <w:t>动植物油</w:t>
                  </w:r>
                </w:p>
              </w:tc>
              <w:tc>
                <w:tcPr>
                  <w:tcW w:w="1156" w:type="dxa"/>
                  <w:tcBorders>
                    <w:top w:val="single" w:color="auto" w:sz="4" w:space="0"/>
                    <w:left w:val="single" w:color="auto" w:sz="4" w:space="0"/>
                    <w:bottom w:val="single" w:color="auto" w:sz="4" w:space="0"/>
                    <w:right w:val="single" w:color="auto" w:sz="4" w:space="0"/>
                  </w:tcBorders>
                  <w:tcMar>
                    <w:left w:w="57" w:type="dxa"/>
                    <w:right w:w="57" w:type="dxa"/>
                  </w:tcMar>
                  <w:vAlign w:val="center"/>
                </w:tcPr>
                <w:p w14:paraId="626036BA">
                  <w:pPr>
                    <w:keepNext w:val="0"/>
                    <w:keepLines w:val="0"/>
                    <w:suppressLineNumbers w:val="0"/>
                    <w:overflowPunct w:val="0"/>
                    <w:adjustRightInd w:val="0"/>
                    <w:snapToGrid w:val="0"/>
                    <w:spacing w:before="0" w:beforeAutospacing="0" w:after="0" w:afterAutospacing="0" w:line="264" w:lineRule="auto"/>
                    <w:ind w:left="0" w:right="0"/>
                    <w:jc w:val="center"/>
                    <w:rPr>
                      <w:rFonts w:hint="default" w:ascii="Times New Roman" w:hAnsi="Times New Roman" w:eastAsia="宋体" w:cs="Times New Roman"/>
                      <w:snapToGrid w:val="0"/>
                      <w:color w:val="auto"/>
                      <w:kern w:val="0"/>
                      <w:sz w:val="18"/>
                      <w:szCs w:val="18"/>
                      <w:highlight w:val="none"/>
                      <w:lang w:val="en-US" w:eastAsia="zh-CN"/>
                    </w:rPr>
                  </w:pPr>
                  <w:r>
                    <w:rPr>
                      <w:rFonts w:hint="eastAsia" w:cs="Times New Roman"/>
                      <w:snapToGrid w:val="0"/>
                      <w:color w:val="auto"/>
                      <w:kern w:val="0"/>
                      <w:sz w:val="18"/>
                      <w:szCs w:val="18"/>
                      <w:highlight w:val="none"/>
                      <w:lang w:val="en-US" w:eastAsia="zh-CN"/>
                    </w:rPr>
                    <w:t>1</w:t>
                  </w:r>
                </w:p>
              </w:tc>
            </w:tr>
            <w:tr w14:paraId="300D7B8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19" w:type="dxa"/>
                  <w:vMerge w:val="restart"/>
                  <w:tcBorders>
                    <w:top w:val="single" w:color="auto" w:sz="4" w:space="0"/>
                    <w:left w:val="single" w:color="auto" w:sz="4" w:space="0"/>
                    <w:right w:val="single" w:color="auto" w:sz="4" w:space="0"/>
                  </w:tcBorders>
                  <w:tcMar>
                    <w:left w:w="57" w:type="dxa"/>
                    <w:right w:w="57" w:type="dxa"/>
                  </w:tcMar>
                  <w:vAlign w:val="center"/>
                </w:tcPr>
                <w:p w14:paraId="7AE9FFB8">
                  <w:pPr>
                    <w:keepNext w:val="0"/>
                    <w:keepLines w:val="0"/>
                    <w:suppressLineNumbers w:val="0"/>
                    <w:overflowPunct w:val="0"/>
                    <w:adjustRightInd w:val="0"/>
                    <w:snapToGrid w:val="0"/>
                    <w:spacing w:before="0" w:beforeAutospacing="0" w:after="0" w:afterAutospacing="0" w:line="264" w:lineRule="auto"/>
                    <w:ind w:left="0" w:right="0"/>
                    <w:jc w:val="center"/>
                    <w:rPr>
                      <w:rFonts w:hint="eastAsia" w:ascii="Times New Roman" w:hAnsi="Times New Roman" w:eastAsia="宋体" w:cs="Times New Roman"/>
                      <w:snapToGrid w:val="0"/>
                      <w:kern w:val="0"/>
                      <w:sz w:val="18"/>
                      <w:szCs w:val="18"/>
                      <w:highlight w:val="none"/>
                      <w:lang w:val="en-US" w:eastAsia="zh-CN"/>
                    </w:rPr>
                  </w:pPr>
                  <w:r>
                    <w:rPr>
                      <w:rFonts w:hint="default" w:ascii="Times New Roman" w:hAnsi="Times New Roman" w:eastAsia="宋体" w:cs="Times New Roman"/>
                      <w:snapToGrid w:val="0"/>
                      <w:kern w:val="0"/>
                      <w:sz w:val="18"/>
                      <w:szCs w:val="18"/>
                      <w:highlight w:val="none"/>
                    </w:rPr>
                    <w:t>DW00</w:t>
                  </w:r>
                  <w:r>
                    <w:rPr>
                      <w:rFonts w:hint="eastAsia" w:cs="Times New Roman"/>
                      <w:snapToGrid w:val="0"/>
                      <w:kern w:val="0"/>
                      <w:sz w:val="18"/>
                      <w:szCs w:val="18"/>
                      <w:highlight w:val="none"/>
                      <w:lang w:val="en-US" w:eastAsia="zh-CN"/>
                    </w:rPr>
                    <w:t>2</w:t>
                  </w:r>
                </w:p>
              </w:tc>
              <w:tc>
                <w:tcPr>
                  <w:tcW w:w="955" w:type="dxa"/>
                  <w:vMerge w:val="restart"/>
                  <w:tcBorders>
                    <w:top w:val="single" w:color="auto" w:sz="4" w:space="0"/>
                    <w:left w:val="single" w:color="auto" w:sz="4" w:space="0"/>
                    <w:right w:val="single" w:color="auto" w:sz="4" w:space="0"/>
                  </w:tcBorders>
                  <w:tcMar>
                    <w:left w:w="57" w:type="dxa"/>
                    <w:right w:w="57" w:type="dxa"/>
                  </w:tcMar>
                  <w:vAlign w:val="center"/>
                </w:tcPr>
                <w:p w14:paraId="66824934">
                  <w:pPr>
                    <w:keepNext w:val="0"/>
                    <w:keepLines w:val="0"/>
                    <w:suppressLineNumbers w:val="0"/>
                    <w:overflowPunct w:val="0"/>
                    <w:adjustRightInd w:val="0"/>
                    <w:snapToGrid w:val="0"/>
                    <w:spacing w:before="0" w:beforeAutospacing="0" w:after="0" w:afterAutospacing="0" w:line="264" w:lineRule="auto"/>
                    <w:ind w:left="0" w:right="0"/>
                    <w:jc w:val="center"/>
                    <w:rPr>
                      <w:rFonts w:hint="default" w:ascii="Times New Roman" w:hAnsi="Times New Roman" w:eastAsia="宋体" w:cs="Times New Roman"/>
                      <w:snapToGrid w:val="0"/>
                      <w:kern w:val="0"/>
                      <w:sz w:val="18"/>
                      <w:szCs w:val="18"/>
                      <w:highlight w:val="none"/>
                    </w:rPr>
                  </w:pPr>
                  <w:r>
                    <w:rPr>
                      <w:rFonts w:hint="eastAsia" w:ascii="Times New Roman" w:hAnsi="Times New Roman" w:eastAsia="宋体" w:cs="Times New Roman"/>
                      <w:snapToGrid w:val="0"/>
                      <w:kern w:val="0"/>
                      <w:sz w:val="18"/>
                      <w:szCs w:val="18"/>
                      <w:highlight w:val="none"/>
                    </w:rPr>
                    <w:t>废水排放口</w:t>
                  </w:r>
                </w:p>
              </w:tc>
              <w:tc>
                <w:tcPr>
                  <w:tcW w:w="750" w:type="dxa"/>
                  <w:vMerge w:val="restart"/>
                  <w:tcBorders>
                    <w:top w:val="single" w:color="auto" w:sz="4" w:space="0"/>
                    <w:left w:val="single" w:color="auto" w:sz="4" w:space="0"/>
                    <w:right w:val="single" w:color="auto" w:sz="4" w:space="0"/>
                  </w:tcBorders>
                  <w:tcMar>
                    <w:left w:w="57" w:type="dxa"/>
                    <w:right w:w="57" w:type="dxa"/>
                  </w:tcMar>
                  <w:vAlign w:val="center"/>
                </w:tcPr>
                <w:p w14:paraId="1875B357">
                  <w:pPr>
                    <w:keepNext w:val="0"/>
                    <w:keepLines w:val="0"/>
                    <w:suppressLineNumbers w:val="0"/>
                    <w:adjustRightInd w:val="0"/>
                    <w:snapToGrid w:val="0"/>
                    <w:spacing w:before="0" w:beforeAutospacing="0" w:after="0" w:afterAutospacing="0" w:line="264" w:lineRule="auto"/>
                    <w:ind w:left="0" w:right="0"/>
                    <w:jc w:val="center"/>
                    <w:rPr>
                      <w:rFonts w:hint="default" w:ascii="Times New Roman" w:hAnsi="Times New Roman" w:eastAsia="宋体" w:cs="Times New Roman"/>
                      <w:color w:val="auto"/>
                      <w:sz w:val="18"/>
                      <w:szCs w:val="18"/>
                      <w:highlight w:val="none"/>
                      <w:lang w:val="en-US" w:eastAsia="zh-CN"/>
                    </w:rPr>
                  </w:pPr>
                  <w:r>
                    <w:rPr>
                      <w:rFonts w:hint="eastAsia" w:cs="Times New Roman"/>
                      <w:color w:val="auto"/>
                      <w:sz w:val="18"/>
                      <w:szCs w:val="18"/>
                      <w:highlight w:val="none"/>
                      <w:lang w:val="en-US" w:eastAsia="zh-CN"/>
                    </w:rPr>
                    <w:t>E</w:t>
                  </w:r>
                  <w:r>
                    <w:rPr>
                      <w:rFonts w:hint="eastAsia" w:ascii="Times New Roman" w:hAnsi="Times New Roman" w:eastAsia="宋体" w:cs="Times New Roman"/>
                      <w:color w:val="auto"/>
                      <w:sz w:val="18"/>
                      <w:szCs w:val="18"/>
                      <w:highlight w:val="none"/>
                    </w:rPr>
                    <w:t>118.83283</w:t>
                  </w:r>
                  <w:r>
                    <w:rPr>
                      <w:rFonts w:hint="eastAsia" w:cs="Times New Roman"/>
                      <w:color w:val="auto"/>
                      <w:sz w:val="18"/>
                      <w:szCs w:val="18"/>
                      <w:highlight w:val="none"/>
                      <w:lang w:val="en-US" w:eastAsia="zh-CN"/>
                    </w:rPr>
                    <w:t>3°</w:t>
                  </w:r>
                </w:p>
              </w:tc>
              <w:tc>
                <w:tcPr>
                  <w:tcW w:w="750" w:type="dxa"/>
                  <w:vMerge w:val="restart"/>
                  <w:tcBorders>
                    <w:top w:val="single" w:color="auto" w:sz="4" w:space="0"/>
                    <w:left w:val="single" w:color="auto" w:sz="4" w:space="0"/>
                    <w:right w:val="single" w:color="auto" w:sz="4" w:space="0"/>
                  </w:tcBorders>
                  <w:tcMar>
                    <w:left w:w="57" w:type="dxa"/>
                    <w:right w:w="57" w:type="dxa"/>
                  </w:tcMar>
                  <w:vAlign w:val="center"/>
                </w:tcPr>
                <w:p w14:paraId="325FC7DD">
                  <w:pPr>
                    <w:keepNext w:val="0"/>
                    <w:keepLines w:val="0"/>
                    <w:suppressLineNumbers w:val="0"/>
                    <w:adjustRightInd w:val="0"/>
                    <w:snapToGrid w:val="0"/>
                    <w:spacing w:before="0" w:beforeAutospacing="0" w:after="0" w:afterAutospacing="0" w:line="264" w:lineRule="auto"/>
                    <w:ind w:left="0" w:right="0"/>
                    <w:jc w:val="center"/>
                    <w:rPr>
                      <w:rFonts w:hint="default" w:ascii="Times New Roman" w:hAnsi="Times New Roman" w:eastAsia="宋体" w:cs="Times New Roman"/>
                      <w:color w:val="auto"/>
                      <w:sz w:val="18"/>
                      <w:szCs w:val="18"/>
                      <w:highlight w:val="none"/>
                    </w:rPr>
                  </w:pPr>
                  <w:r>
                    <w:rPr>
                      <w:rFonts w:hint="eastAsia" w:cs="Times New Roman"/>
                      <w:color w:val="auto"/>
                      <w:sz w:val="18"/>
                      <w:szCs w:val="18"/>
                      <w:highlight w:val="none"/>
                      <w:lang w:val="en-US" w:eastAsia="zh-CN"/>
                    </w:rPr>
                    <w:t>N</w:t>
                  </w:r>
                  <w:r>
                    <w:rPr>
                      <w:rFonts w:hint="eastAsia" w:ascii="Times New Roman" w:hAnsi="Times New Roman" w:eastAsia="宋体" w:cs="Times New Roman"/>
                      <w:color w:val="auto"/>
                      <w:sz w:val="18"/>
                      <w:szCs w:val="18"/>
                      <w:highlight w:val="none"/>
                    </w:rPr>
                    <w:t>28.952581</w:t>
                  </w:r>
                  <w:r>
                    <w:rPr>
                      <w:rFonts w:hint="eastAsia" w:cs="Times New Roman"/>
                      <w:color w:val="auto"/>
                      <w:sz w:val="18"/>
                      <w:szCs w:val="18"/>
                      <w:highlight w:val="none"/>
                      <w:lang w:val="en-US" w:eastAsia="zh-CN"/>
                    </w:rPr>
                    <w:t>°</w:t>
                  </w:r>
                </w:p>
              </w:tc>
              <w:tc>
                <w:tcPr>
                  <w:tcW w:w="780" w:type="dxa"/>
                  <w:vMerge w:val="restart"/>
                  <w:tcBorders>
                    <w:top w:val="single" w:color="auto" w:sz="4" w:space="0"/>
                    <w:left w:val="single" w:color="auto" w:sz="4" w:space="0"/>
                    <w:right w:val="single" w:color="auto" w:sz="4" w:space="0"/>
                  </w:tcBorders>
                  <w:tcMar>
                    <w:left w:w="57" w:type="dxa"/>
                    <w:right w:w="57" w:type="dxa"/>
                  </w:tcMar>
                  <w:vAlign w:val="center"/>
                </w:tcPr>
                <w:p w14:paraId="0B8358F3">
                  <w:pPr>
                    <w:keepNext w:val="0"/>
                    <w:keepLines w:val="0"/>
                    <w:suppressLineNumbers w:val="0"/>
                    <w:overflowPunct w:val="0"/>
                    <w:adjustRightInd w:val="0"/>
                    <w:snapToGrid w:val="0"/>
                    <w:spacing w:before="0" w:beforeAutospacing="0" w:after="0" w:afterAutospacing="0" w:line="264" w:lineRule="auto"/>
                    <w:ind w:left="0" w:right="0"/>
                    <w:jc w:val="center"/>
                    <w:rPr>
                      <w:rFonts w:hint="default" w:ascii="Times New Roman" w:hAnsi="Times New Roman" w:eastAsia="宋体" w:cs="Times New Roman"/>
                      <w:snapToGrid w:val="0"/>
                      <w:kern w:val="0"/>
                      <w:sz w:val="18"/>
                      <w:szCs w:val="18"/>
                      <w:highlight w:val="none"/>
                    </w:rPr>
                  </w:pPr>
                  <w:r>
                    <w:rPr>
                      <w:rFonts w:hint="eastAsia" w:ascii="Times New Roman" w:hAnsi="Times New Roman" w:eastAsia="宋体" w:cs="Times New Roman"/>
                      <w:snapToGrid w:val="0"/>
                      <w:sz w:val="18"/>
                      <w:szCs w:val="18"/>
                      <w:highlight w:val="none"/>
                    </w:rPr>
                    <w:t>高铁新城再生水厂</w:t>
                  </w:r>
                </w:p>
              </w:tc>
              <w:tc>
                <w:tcPr>
                  <w:tcW w:w="945" w:type="dxa"/>
                  <w:vMerge w:val="restart"/>
                  <w:tcBorders>
                    <w:top w:val="single" w:color="auto" w:sz="4" w:space="0"/>
                    <w:left w:val="single" w:color="auto" w:sz="4" w:space="0"/>
                    <w:right w:val="single" w:color="auto" w:sz="4" w:space="0"/>
                  </w:tcBorders>
                  <w:tcMar>
                    <w:left w:w="57" w:type="dxa"/>
                    <w:right w:w="57" w:type="dxa"/>
                  </w:tcMar>
                  <w:vAlign w:val="center"/>
                </w:tcPr>
                <w:p w14:paraId="1F5240DF">
                  <w:pPr>
                    <w:keepNext w:val="0"/>
                    <w:keepLines w:val="0"/>
                    <w:suppressLineNumbers w:val="0"/>
                    <w:overflowPunct w:val="0"/>
                    <w:adjustRightInd w:val="0"/>
                    <w:snapToGrid w:val="0"/>
                    <w:spacing w:before="0" w:beforeAutospacing="0" w:after="0" w:afterAutospacing="0" w:line="264" w:lineRule="auto"/>
                    <w:ind w:left="0" w:right="0"/>
                    <w:jc w:val="center"/>
                    <w:rPr>
                      <w:rFonts w:hint="default" w:ascii="Times New Roman" w:hAnsi="Times New Roman" w:eastAsia="宋体" w:cs="Times New Roman"/>
                      <w:snapToGrid w:val="0"/>
                      <w:kern w:val="0"/>
                      <w:sz w:val="18"/>
                      <w:szCs w:val="18"/>
                      <w:highlight w:val="none"/>
                      <w:lang w:val="en-US" w:eastAsia="zh-CN"/>
                    </w:rPr>
                  </w:pPr>
                  <w:r>
                    <w:rPr>
                      <w:rFonts w:hint="eastAsia" w:ascii="Times New Roman" w:hAnsi="Times New Roman" w:eastAsia="宋体" w:cs="Times New Roman"/>
                      <w:snapToGrid w:val="0"/>
                      <w:kern w:val="0"/>
                      <w:sz w:val="18"/>
                      <w:szCs w:val="18"/>
                      <w:highlight w:val="none"/>
                      <w:lang w:val="en-US" w:eastAsia="zh-CN"/>
                    </w:rPr>
                    <w:t>0:00-24:00</w:t>
                  </w:r>
                </w:p>
              </w:tc>
              <w:tc>
                <w:tcPr>
                  <w:tcW w:w="780" w:type="dxa"/>
                  <w:vMerge w:val="restart"/>
                  <w:tcBorders>
                    <w:top w:val="single" w:color="auto" w:sz="4" w:space="0"/>
                    <w:left w:val="single" w:color="auto" w:sz="4" w:space="0"/>
                    <w:right w:val="single" w:color="auto" w:sz="4" w:space="0"/>
                  </w:tcBorders>
                  <w:tcMar>
                    <w:left w:w="57" w:type="dxa"/>
                    <w:right w:w="57" w:type="dxa"/>
                  </w:tcMar>
                  <w:vAlign w:val="center"/>
                </w:tcPr>
                <w:p w14:paraId="5CA0A574">
                  <w:pPr>
                    <w:keepNext w:val="0"/>
                    <w:keepLines w:val="0"/>
                    <w:suppressLineNumbers w:val="0"/>
                    <w:overflowPunct w:val="0"/>
                    <w:adjustRightInd w:val="0"/>
                    <w:snapToGrid w:val="0"/>
                    <w:spacing w:before="0" w:beforeAutospacing="0" w:after="0" w:afterAutospacing="0" w:line="264" w:lineRule="auto"/>
                    <w:ind w:left="0" w:right="0"/>
                    <w:jc w:val="center"/>
                    <w:rPr>
                      <w:rFonts w:hint="default" w:ascii="Times New Roman" w:hAnsi="Times New Roman" w:eastAsia="宋体" w:cs="Times New Roman"/>
                      <w:snapToGrid w:val="0"/>
                      <w:kern w:val="0"/>
                      <w:sz w:val="18"/>
                      <w:szCs w:val="18"/>
                      <w:highlight w:val="none"/>
                    </w:rPr>
                  </w:pPr>
                  <w:r>
                    <w:rPr>
                      <w:rFonts w:hint="eastAsia" w:ascii="Times New Roman" w:hAnsi="Times New Roman" w:eastAsia="宋体" w:cs="Times New Roman"/>
                      <w:snapToGrid w:val="0"/>
                      <w:sz w:val="18"/>
                      <w:szCs w:val="18"/>
                      <w:highlight w:val="none"/>
                    </w:rPr>
                    <w:t>高铁新城再生水厂</w:t>
                  </w:r>
                </w:p>
              </w:tc>
              <w:tc>
                <w:tcPr>
                  <w:tcW w:w="1301" w:type="dxa"/>
                  <w:tcBorders>
                    <w:top w:val="single" w:color="auto" w:sz="4" w:space="0"/>
                    <w:left w:val="single" w:color="auto" w:sz="4" w:space="0"/>
                    <w:bottom w:val="single" w:color="auto" w:sz="4" w:space="0"/>
                    <w:right w:val="single" w:color="auto" w:sz="4" w:space="0"/>
                  </w:tcBorders>
                  <w:tcMar>
                    <w:left w:w="57" w:type="dxa"/>
                    <w:right w:w="57" w:type="dxa"/>
                  </w:tcMar>
                  <w:vAlign w:val="center"/>
                </w:tcPr>
                <w:p w14:paraId="048F222F">
                  <w:pPr>
                    <w:keepNext w:val="0"/>
                    <w:keepLines w:val="0"/>
                    <w:widowControl/>
                    <w:suppressLineNumbers w:val="0"/>
                    <w:adjustRightInd w:val="0"/>
                    <w:snapToGrid w:val="0"/>
                    <w:spacing w:before="0" w:beforeAutospacing="0" w:after="0" w:afterAutospacing="0" w:line="264" w:lineRule="auto"/>
                    <w:ind w:left="0" w:right="0"/>
                    <w:jc w:val="center"/>
                    <w:rPr>
                      <w:rFonts w:hint="default" w:ascii="Times New Roman" w:hAnsi="Times New Roman" w:eastAsia="宋体" w:cs="Times New Roman"/>
                      <w:snapToGrid w:val="0"/>
                      <w:sz w:val="18"/>
                      <w:szCs w:val="18"/>
                      <w:highlight w:val="none"/>
                    </w:rPr>
                  </w:pPr>
                  <w:r>
                    <w:rPr>
                      <w:rFonts w:hint="default" w:ascii="Times New Roman" w:hAnsi="Times New Roman" w:eastAsia="宋体" w:cs="Times New Roman"/>
                      <w:snapToGrid w:val="0"/>
                      <w:sz w:val="18"/>
                      <w:szCs w:val="18"/>
                      <w:highlight w:val="none"/>
                    </w:rPr>
                    <w:t>COD</w:t>
                  </w:r>
                  <w:r>
                    <w:rPr>
                      <w:rFonts w:hint="default" w:ascii="Times New Roman" w:hAnsi="Times New Roman" w:eastAsia="宋体" w:cs="Times New Roman"/>
                      <w:snapToGrid w:val="0"/>
                      <w:sz w:val="18"/>
                      <w:szCs w:val="18"/>
                      <w:highlight w:val="none"/>
                      <w:vertAlign w:val="subscript"/>
                    </w:rPr>
                    <w:t>Cr</w:t>
                  </w:r>
                </w:p>
              </w:tc>
              <w:tc>
                <w:tcPr>
                  <w:tcW w:w="1156" w:type="dxa"/>
                  <w:tcBorders>
                    <w:top w:val="single" w:color="auto" w:sz="4" w:space="0"/>
                    <w:left w:val="single" w:color="auto" w:sz="4" w:space="0"/>
                    <w:bottom w:val="single" w:color="auto" w:sz="4" w:space="0"/>
                    <w:right w:val="single" w:color="auto" w:sz="4" w:space="0"/>
                  </w:tcBorders>
                  <w:tcMar>
                    <w:left w:w="57" w:type="dxa"/>
                    <w:right w:w="57" w:type="dxa"/>
                  </w:tcMar>
                  <w:vAlign w:val="center"/>
                </w:tcPr>
                <w:p w14:paraId="064738B7">
                  <w:pPr>
                    <w:keepNext w:val="0"/>
                    <w:keepLines w:val="0"/>
                    <w:suppressLineNumbers w:val="0"/>
                    <w:overflowPunct w:val="0"/>
                    <w:adjustRightInd w:val="0"/>
                    <w:snapToGrid w:val="0"/>
                    <w:spacing w:before="0" w:beforeAutospacing="0" w:after="0" w:afterAutospacing="0" w:line="264" w:lineRule="auto"/>
                    <w:ind w:left="0" w:right="0"/>
                    <w:jc w:val="center"/>
                    <w:rPr>
                      <w:rFonts w:hint="default" w:ascii="Times New Roman" w:hAnsi="Times New Roman" w:eastAsia="宋体" w:cs="Times New Roman"/>
                      <w:snapToGrid w:val="0"/>
                      <w:kern w:val="0"/>
                      <w:sz w:val="18"/>
                      <w:szCs w:val="18"/>
                      <w:highlight w:val="none"/>
                      <w:lang w:val="en-US" w:eastAsia="zh-CN"/>
                    </w:rPr>
                  </w:pPr>
                  <w:r>
                    <w:rPr>
                      <w:rFonts w:hint="eastAsia" w:ascii="Times New Roman" w:hAnsi="Times New Roman" w:eastAsia="宋体" w:cs="Times New Roman"/>
                      <w:snapToGrid w:val="0"/>
                      <w:color w:val="auto"/>
                      <w:kern w:val="0"/>
                      <w:sz w:val="18"/>
                      <w:szCs w:val="18"/>
                      <w:highlight w:val="none"/>
                      <w:lang w:val="en-US" w:eastAsia="zh-CN"/>
                    </w:rPr>
                    <w:t>30</w:t>
                  </w:r>
                </w:p>
              </w:tc>
            </w:tr>
            <w:tr w14:paraId="224425A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19" w:type="dxa"/>
                  <w:vMerge w:val="continue"/>
                  <w:tcBorders>
                    <w:left w:val="single" w:color="auto" w:sz="4" w:space="0"/>
                    <w:right w:val="single" w:color="auto" w:sz="4" w:space="0"/>
                  </w:tcBorders>
                  <w:tcMar>
                    <w:left w:w="57" w:type="dxa"/>
                    <w:right w:w="57" w:type="dxa"/>
                  </w:tcMar>
                  <w:vAlign w:val="center"/>
                </w:tcPr>
                <w:p w14:paraId="53B599CD">
                  <w:pPr>
                    <w:keepNext w:val="0"/>
                    <w:keepLines w:val="0"/>
                    <w:suppressLineNumbers w:val="0"/>
                    <w:overflowPunct w:val="0"/>
                    <w:adjustRightInd w:val="0"/>
                    <w:snapToGrid w:val="0"/>
                    <w:spacing w:before="0" w:beforeAutospacing="0" w:after="0" w:afterAutospacing="0" w:line="264" w:lineRule="auto"/>
                    <w:ind w:left="0" w:right="0"/>
                    <w:jc w:val="center"/>
                    <w:rPr>
                      <w:rFonts w:hint="default" w:ascii="Times New Roman" w:hAnsi="Times New Roman" w:eastAsia="宋体" w:cs="Times New Roman"/>
                      <w:snapToGrid w:val="0"/>
                      <w:kern w:val="0"/>
                      <w:sz w:val="18"/>
                      <w:szCs w:val="18"/>
                      <w:highlight w:val="none"/>
                    </w:rPr>
                  </w:pPr>
                </w:p>
              </w:tc>
              <w:tc>
                <w:tcPr>
                  <w:tcW w:w="955" w:type="dxa"/>
                  <w:vMerge w:val="continue"/>
                  <w:tcBorders>
                    <w:left w:val="single" w:color="auto" w:sz="4" w:space="0"/>
                    <w:right w:val="single" w:color="auto" w:sz="4" w:space="0"/>
                  </w:tcBorders>
                  <w:tcMar>
                    <w:left w:w="57" w:type="dxa"/>
                    <w:right w:w="57" w:type="dxa"/>
                  </w:tcMar>
                  <w:vAlign w:val="center"/>
                </w:tcPr>
                <w:p w14:paraId="0B4D8FE0">
                  <w:pPr>
                    <w:keepNext w:val="0"/>
                    <w:keepLines w:val="0"/>
                    <w:suppressLineNumbers w:val="0"/>
                    <w:overflowPunct w:val="0"/>
                    <w:adjustRightInd w:val="0"/>
                    <w:snapToGrid w:val="0"/>
                    <w:spacing w:before="0" w:beforeAutospacing="0" w:after="0" w:afterAutospacing="0" w:line="264" w:lineRule="auto"/>
                    <w:ind w:left="0" w:right="0"/>
                    <w:jc w:val="center"/>
                    <w:rPr>
                      <w:rFonts w:hint="eastAsia" w:ascii="Times New Roman" w:hAnsi="Times New Roman" w:eastAsia="宋体" w:cs="Times New Roman"/>
                      <w:snapToGrid w:val="0"/>
                      <w:kern w:val="0"/>
                      <w:sz w:val="18"/>
                      <w:szCs w:val="18"/>
                      <w:highlight w:val="none"/>
                    </w:rPr>
                  </w:pPr>
                </w:p>
              </w:tc>
              <w:tc>
                <w:tcPr>
                  <w:tcW w:w="750" w:type="dxa"/>
                  <w:vMerge w:val="continue"/>
                  <w:tcBorders>
                    <w:left w:val="single" w:color="auto" w:sz="4" w:space="0"/>
                    <w:right w:val="single" w:color="auto" w:sz="4" w:space="0"/>
                  </w:tcBorders>
                  <w:tcMar>
                    <w:left w:w="57" w:type="dxa"/>
                    <w:right w:w="57" w:type="dxa"/>
                  </w:tcMar>
                  <w:vAlign w:val="center"/>
                </w:tcPr>
                <w:p w14:paraId="4C14865F">
                  <w:pPr>
                    <w:keepNext w:val="0"/>
                    <w:keepLines w:val="0"/>
                    <w:suppressLineNumbers w:val="0"/>
                    <w:adjustRightInd w:val="0"/>
                    <w:snapToGrid w:val="0"/>
                    <w:spacing w:before="0" w:beforeAutospacing="0" w:after="0" w:afterAutospacing="0" w:line="264" w:lineRule="auto"/>
                    <w:ind w:left="0" w:right="0"/>
                    <w:jc w:val="center"/>
                    <w:rPr>
                      <w:rFonts w:hint="default" w:ascii="Times New Roman" w:hAnsi="Times New Roman" w:eastAsia="宋体" w:cs="Times New Roman"/>
                      <w:color w:val="FF0000"/>
                      <w:sz w:val="18"/>
                      <w:szCs w:val="18"/>
                      <w:highlight w:val="none"/>
                    </w:rPr>
                  </w:pPr>
                </w:p>
              </w:tc>
              <w:tc>
                <w:tcPr>
                  <w:tcW w:w="750" w:type="dxa"/>
                  <w:vMerge w:val="continue"/>
                  <w:tcBorders>
                    <w:left w:val="single" w:color="auto" w:sz="4" w:space="0"/>
                    <w:right w:val="single" w:color="auto" w:sz="4" w:space="0"/>
                  </w:tcBorders>
                  <w:tcMar>
                    <w:left w:w="57" w:type="dxa"/>
                    <w:right w:w="57" w:type="dxa"/>
                  </w:tcMar>
                  <w:vAlign w:val="center"/>
                </w:tcPr>
                <w:p w14:paraId="4F8894D5">
                  <w:pPr>
                    <w:keepNext w:val="0"/>
                    <w:keepLines w:val="0"/>
                    <w:suppressLineNumbers w:val="0"/>
                    <w:adjustRightInd w:val="0"/>
                    <w:snapToGrid w:val="0"/>
                    <w:spacing w:before="0" w:beforeAutospacing="0" w:after="0" w:afterAutospacing="0" w:line="264" w:lineRule="auto"/>
                    <w:ind w:left="0" w:right="0"/>
                    <w:jc w:val="center"/>
                    <w:rPr>
                      <w:rFonts w:hint="default" w:ascii="Times New Roman" w:hAnsi="Times New Roman" w:eastAsia="宋体" w:cs="Times New Roman"/>
                      <w:color w:val="FF0000"/>
                      <w:sz w:val="18"/>
                      <w:szCs w:val="18"/>
                      <w:highlight w:val="none"/>
                    </w:rPr>
                  </w:pPr>
                </w:p>
              </w:tc>
              <w:tc>
                <w:tcPr>
                  <w:tcW w:w="780" w:type="dxa"/>
                  <w:vMerge w:val="continue"/>
                  <w:tcBorders>
                    <w:left w:val="single" w:color="auto" w:sz="4" w:space="0"/>
                    <w:right w:val="single" w:color="auto" w:sz="4" w:space="0"/>
                  </w:tcBorders>
                  <w:tcMar>
                    <w:left w:w="57" w:type="dxa"/>
                    <w:right w:w="57" w:type="dxa"/>
                  </w:tcMar>
                  <w:vAlign w:val="center"/>
                </w:tcPr>
                <w:p w14:paraId="36518C56">
                  <w:pPr>
                    <w:keepNext w:val="0"/>
                    <w:keepLines w:val="0"/>
                    <w:suppressLineNumbers w:val="0"/>
                    <w:overflowPunct w:val="0"/>
                    <w:adjustRightInd w:val="0"/>
                    <w:snapToGrid w:val="0"/>
                    <w:spacing w:before="0" w:beforeAutospacing="0" w:after="0" w:afterAutospacing="0" w:line="264" w:lineRule="auto"/>
                    <w:ind w:left="0" w:right="0"/>
                    <w:jc w:val="center"/>
                    <w:rPr>
                      <w:rFonts w:hint="eastAsia" w:ascii="Times New Roman" w:hAnsi="Times New Roman" w:eastAsia="宋体" w:cs="Times New Roman"/>
                      <w:snapToGrid w:val="0"/>
                      <w:sz w:val="18"/>
                      <w:szCs w:val="18"/>
                      <w:highlight w:val="none"/>
                    </w:rPr>
                  </w:pPr>
                </w:p>
              </w:tc>
              <w:tc>
                <w:tcPr>
                  <w:tcW w:w="945" w:type="dxa"/>
                  <w:vMerge w:val="continue"/>
                  <w:tcBorders>
                    <w:left w:val="single" w:color="auto" w:sz="4" w:space="0"/>
                    <w:right w:val="single" w:color="auto" w:sz="4" w:space="0"/>
                  </w:tcBorders>
                  <w:tcMar>
                    <w:left w:w="57" w:type="dxa"/>
                    <w:right w:w="57" w:type="dxa"/>
                  </w:tcMar>
                  <w:vAlign w:val="center"/>
                </w:tcPr>
                <w:p w14:paraId="618CFFE8">
                  <w:pPr>
                    <w:keepNext w:val="0"/>
                    <w:keepLines w:val="0"/>
                    <w:suppressLineNumbers w:val="0"/>
                    <w:overflowPunct w:val="0"/>
                    <w:adjustRightInd w:val="0"/>
                    <w:snapToGrid w:val="0"/>
                    <w:spacing w:before="0" w:beforeAutospacing="0" w:after="0" w:afterAutospacing="0" w:line="264" w:lineRule="auto"/>
                    <w:ind w:left="0" w:right="0"/>
                    <w:jc w:val="center"/>
                    <w:rPr>
                      <w:rFonts w:hint="eastAsia" w:ascii="Times New Roman" w:hAnsi="Times New Roman" w:eastAsia="宋体" w:cs="Times New Roman"/>
                      <w:snapToGrid w:val="0"/>
                      <w:kern w:val="0"/>
                      <w:sz w:val="18"/>
                      <w:szCs w:val="18"/>
                      <w:highlight w:val="none"/>
                      <w:lang w:val="en-US" w:eastAsia="zh-CN"/>
                    </w:rPr>
                  </w:pPr>
                </w:p>
              </w:tc>
              <w:tc>
                <w:tcPr>
                  <w:tcW w:w="780" w:type="dxa"/>
                  <w:vMerge w:val="continue"/>
                  <w:tcBorders>
                    <w:left w:val="single" w:color="auto" w:sz="4" w:space="0"/>
                    <w:right w:val="single" w:color="auto" w:sz="4" w:space="0"/>
                  </w:tcBorders>
                  <w:tcMar>
                    <w:left w:w="57" w:type="dxa"/>
                    <w:right w:w="57" w:type="dxa"/>
                  </w:tcMar>
                  <w:vAlign w:val="center"/>
                </w:tcPr>
                <w:p w14:paraId="55EC5ECE">
                  <w:pPr>
                    <w:keepNext w:val="0"/>
                    <w:keepLines w:val="0"/>
                    <w:suppressLineNumbers w:val="0"/>
                    <w:overflowPunct w:val="0"/>
                    <w:adjustRightInd w:val="0"/>
                    <w:snapToGrid w:val="0"/>
                    <w:spacing w:before="0" w:beforeAutospacing="0" w:after="0" w:afterAutospacing="0" w:line="264" w:lineRule="auto"/>
                    <w:ind w:left="0" w:right="0"/>
                    <w:jc w:val="center"/>
                    <w:rPr>
                      <w:rFonts w:hint="eastAsia" w:ascii="Times New Roman" w:hAnsi="Times New Roman" w:eastAsia="宋体" w:cs="Times New Roman"/>
                      <w:snapToGrid w:val="0"/>
                      <w:sz w:val="18"/>
                      <w:szCs w:val="18"/>
                      <w:highlight w:val="none"/>
                    </w:rPr>
                  </w:pPr>
                </w:p>
              </w:tc>
              <w:tc>
                <w:tcPr>
                  <w:tcW w:w="1301" w:type="dxa"/>
                  <w:tcBorders>
                    <w:top w:val="single" w:color="auto" w:sz="4" w:space="0"/>
                    <w:left w:val="single" w:color="auto" w:sz="4" w:space="0"/>
                    <w:bottom w:val="single" w:color="auto" w:sz="4" w:space="0"/>
                    <w:right w:val="single" w:color="auto" w:sz="4" w:space="0"/>
                  </w:tcBorders>
                  <w:tcMar>
                    <w:left w:w="57" w:type="dxa"/>
                    <w:right w:w="57" w:type="dxa"/>
                  </w:tcMar>
                  <w:vAlign w:val="center"/>
                </w:tcPr>
                <w:p w14:paraId="39CD1EFF">
                  <w:pPr>
                    <w:keepNext w:val="0"/>
                    <w:keepLines w:val="0"/>
                    <w:widowControl/>
                    <w:suppressLineNumbers w:val="0"/>
                    <w:adjustRightInd w:val="0"/>
                    <w:snapToGrid w:val="0"/>
                    <w:spacing w:before="0" w:beforeAutospacing="0" w:after="0" w:afterAutospacing="0" w:line="264" w:lineRule="auto"/>
                    <w:ind w:left="0" w:right="0"/>
                    <w:jc w:val="center"/>
                    <w:rPr>
                      <w:rFonts w:hint="default" w:ascii="Times New Roman" w:hAnsi="Times New Roman" w:eastAsia="宋体" w:cs="Times New Roman"/>
                      <w:snapToGrid w:val="0"/>
                      <w:sz w:val="18"/>
                      <w:szCs w:val="18"/>
                      <w:highlight w:val="none"/>
                      <w:lang w:val="en-US" w:eastAsia="zh-CN"/>
                    </w:rPr>
                  </w:pPr>
                  <w:r>
                    <w:rPr>
                      <w:rFonts w:hint="eastAsia" w:ascii="Times New Roman" w:hAnsi="Times New Roman" w:eastAsia="宋体" w:cs="Times New Roman"/>
                      <w:snapToGrid w:val="0"/>
                      <w:sz w:val="18"/>
                      <w:szCs w:val="18"/>
                      <w:highlight w:val="none"/>
                      <w:lang w:val="en-US" w:eastAsia="zh-CN"/>
                    </w:rPr>
                    <w:t>BOD</w:t>
                  </w:r>
                  <w:r>
                    <w:rPr>
                      <w:rFonts w:hint="eastAsia" w:ascii="Times New Roman" w:hAnsi="Times New Roman" w:eastAsia="宋体" w:cs="Times New Roman"/>
                      <w:snapToGrid w:val="0"/>
                      <w:sz w:val="18"/>
                      <w:szCs w:val="18"/>
                      <w:highlight w:val="none"/>
                      <w:vertAlign w:val="subscript"/>
                      <w:lang w:val="en-US" w:eastAsia="zh-CN"/>
                    </w:rPr>
                    <w:t>5</w:t>
                  </w:r>
                </w:p>
              </w:tc>
              <w:tc>
                <w:tcPr>
                  <w:tcW w:w="1156" w:type="dxa"/>
                  <w:tcBorders>
                    <w:top w:val="single" w:color="auto" w:sz="4" w:space="0"/>
                    <w:left w:val="single" w:color="auto" w:sz="4" w:space="0"/>
                    <w:bottom w:val="single" w:color="auto" w:sz="4" w:space="0"/>
                    <w:right w:val="single" w:color="auto" w:sz="4" w:space="0"/>
                  </w:tcBorders>
                  <w:tcMar>
                    <w:left w:w="57" w:type="dxa"/>
                    <w:right w:w="57" w:type="dxa"/>
                  </w:tcMar>
                  <w:vAlign w:val="center"/>
                </w:tcPr>
                <w:p w14:paraId="6063E27B">
                  <w:pPr>
                    <w:keepNext w:val="0"/>
                    <w:keepLines w:val="0"/>
                    <w:suppressLineNumbers w:val="0"/>
                    <w:overflowPunct w:val="0"/>
                    <w:adjustRightInd w:val="0"/>
                    <w:snapToGrid w:val="0"/>
                    <w:spacing w:before="0" w:beforeAutospacing="0" w:after="0" w:afterAutospacing="0" w:line="264" w:lineRule="auto"/>
                    <w:ind w:left="0" w:right="0"/>
                    <w:jc w:val="center"/>
                    <w:rPr>
                      <w:rFonts w:hint="eastAsia" w:ascii="Times New Roman" w:hAnsi="Times New Roman" w:eastAsia="宋体" w:cs="Times New Roman"/>
                      <w:snapToGrid w:val="0"/>
                      <w:color w:val="auto"/>
                      <w:kern w:val="0"/>
                      <w:sz w:val="18"/>
                      <w:szCs w:val="18"/>
                      <w:highlight w:val="none"/>
                      <w:lang w:val="en-US" w:eastAsia="zh-CN"/>
                    </w:rPr>
                  </w:pPr>
                  <w:r>
                    <w:rPr>
                      <w:rFonts w:hint="eastAsia" w:ascii="Times New Roman" w:hAnsi="Times New Roman" w:eastAsia="宋体" w:cs="Times New Roman"/>
                      <w:snapToGrid w:val="0"/>
                      <w:color w:val="auto"/>
                      <w:kern w:val="0"/>
                      <w:sz w:val="18"/>
                      <w:szCs w:val="18"/>
                      <w:highlight w:val="none"/>
                      <w:lang w:val="en-US" w:eastAsia="zh-CN"/>
                    </w:rPr>
                    <w:t>10</w:t>
                  </w:r>
                </w:p>
              </w:tc>
            </w:tr>
            <w:tr w14:paraId="211E07F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19" w:type="dxa"/>
                  <w:vMerge w:val="continue"/>
                  <w:tcBorders>
                    <w:left w:val="single" w:color="auto" w:sz="4" w:space="0"/>
                    <w:right w:val="single" w:color="auto" w:sz="4" w:space="0"/>
                  </w:tcBorders>
                  <w:tcMar>
                    <w:left w:w="57" w:type="dxa"/>
                    <w:right w:w="57" w:type="dxa"/>
                  </w:tcMar>
                  <w:vAlign w:val="center"/>
                </w:tcPr>
                <w:p w14:paraId="3A931CA1">
                  <w:pPr>
                    <w:keepNext w:val="0"/>
                    <w:keepLines w:val="0"/>
                    <w:suppressLineNumbers w:val="0"/>
                    <w:overflowPunct w:val="0"/>
                    <w:adjustRightInd w:val="0"/>
                    <w:snapToGrid w:val="0"/>
                    <w:spacing w:before="0" w:beforeAutospacing="0" w:after="0" w:afterAutospacing="0" w:line="264" w:lineRule="auto"/>
                    <w:ind w:left="0" w:right="0"/>
                    <w:jc w:val="center"/>
                    <w:rPr>
                      <w:rFonts w:hint="default" w:ascii="Times New Roman" w:hAnsi="Times New Roman" w:eastAsia="宋体" w:cs="Times New Roman"/>
                      <w:snapToGrid w:val="0"/>
                      <w:kern w:val="0"/>
                      <w:sz w:val="18"/>
                      <w:szCs w:val="18"/>
                      <w:highlight w:val="none"/>
                    </w:rPr>
                  </w:pPr>
                </w:p>
              </w:tc>
              <w:tc>
                <w:tcPr>
                  <w:tcW w:w="955" w:type="dxa"/>
                  <w:vMerge w:val="continue"/>
                  <w:tcBorders>
                    <w:left w:val="single" w:color="auto" w:sz="4" w:space="0"/>
                    <w:right w:val="single" w:color="auto" w:sz="4" w:space="0"/>
                  </w:tcBorders>
                  <w:tcMar>
                    <w:left w:w="57" w:type="dxa"/>
                    <w:right w:w="57" w:type="dxa"/>
                  </w:tcMar>
                  <w:vAlign w:val="center"/>
                </w:tcPr>
                <w:p w14:paraId="726DEB46">
                  <w:pPr>
                    <w:keepNext w:val="0"/>
                    <w:keepLines w:val="0"/>
                    <w:suppressLineNumbers w:val="0"/>
                    <w:overflowPunct w:val="0"/>
                    <w:adjustRightInd w:val="0"/>
                    <w:snapToGrid w:val="0"/>
                    <w:spacing w:before="0" w:beforeAutospacing="0" w:after="0" w:afterAutospacing="0" w:line="264" w:lineRule="auto"/>
                    <w:ind w:left="0" w:right="0"/>
                    <w:jc w:val="center"/>
                    <w:rPr>
                      <w:rFonts w:hint="eastAsia" w:ascii="Times New Roman" w:hAnsi="Times New Roman" w:eastAsia="宋体" w:cs="Times New Roman"/>
                      <w:snapToGrid w:val="0"/>
                      <w:kern w:val="0"/>
                      <w:sz w:val="18"/>
                      <w:szCs w:val="18"/>
                      <w:highlight w:val="none"/>
                    </w:rPr>
                  </w:pPr>
                </w:p>
              </w:tc>
              <w:tc>
                <w:tcPr>
                  <w:tcW w:w="750" w:type="dxa"/>
                  <w:vMerge w:val="continue"/>
                  <w:tcBorders>
                    <w:left w:val="single" w:color="auto" w:sz="4" w:space="0"/>
                    <w:right w:val="single" w:color="auto" w:sz="4" w:space="0"/>
                  </w:tcBorders>
                  <w:tcMar>
                    <w:left w:w="57" w:type="dxa"/>
                    <w:right w:w="57" w:type="dxa"/>
                  </w:tcMar>
                  <w:vAlign w:val="center"/>
                </w:tcPr>
                <w:p w14:paraId="3FAC98FA">
                  <w:pPr>
                    <w:keepNext w:val="0"/>
                    <w:keepLines w:val="0"/>
                    <w:suppressLineNumbers w:val="0"/>
                    <w:adjustRightInd w:val="0"/>
                    <w:snapToGrid w:val="0"/>
                    <w:spacing w:before="0" w:beforeAutospacing="0" w:after="0" w:afterAutospacing="0" w:line="264" w:lineRule="auto"/>
                    <w:ind w:left="0" w:right="0"/>
                    <w:jc w:val="center"/>
                    <w:rPr>
                      <w:rFonts w:hint="default" w:ascii="Times New Roman" w:hAnsi="Times New Roman" w:eastAsia="宋体" w:cs="Times New Roman"/>
                      <w:color w:val="FF0000"/>
                      <w:sz w:val="18"/>
                      <w:szCs w:val="18"/>
                      <w:highlight w:val="none"/>
                    </w:rPr>
                  </w:pPr>
                </w:p>
              </w:tc>
              <w:tc>
                <w:tcPr>
                  <w:tcW w:w="750" w:type="dxa"/>
                  <w:vMerge w:val="continue"/>
                  <w:tcBorders>
                    <w:left w:val="single" w:color="auto" w:sz="4" w:space="0"/>
                    <w:right w:val="single" w:color="auto" w:sz="4" w:space="0"/>
                  </w:tcBorders>
                  <w:tcMar>
                    <w:left w:w="57" w:type="dxa"/>
                    <w:right w:w="57" w:type="dxa"/>
                  </w:tcMar>
                  <w:vAlign w:val="center"/>
                </w:tcPr>
                <w:p w14:paraId="7A25BAAE">
                  <w:pPr>
                    <w:keepNext w:val="0"/>
                    <w:keepLines w:val="0"/>
                    <w:suppressLineNumbers w:val="0"/>
                    <w:adjustRightInd w:val="0"/>
                    <w:snapToGrid w:val="0"/>
                    <w:spacing w:before="0" w:beforeAutospacing="0" w:after="0" w:afterAutospacing="0" w:line="264" w:lineRule="auto"/>
                    <w:ind w:left="0" w:right="0"/>
                    <w:jc w:val="center"/>
                    <w:rPr>
                      <w:rFonts w:hint="default" w:ascii="Times New Roman" w:hAnsi="Times New Roman" w:eastAsia="宋体" w:cs="Times New Roman"/>
                      <w:color w:val="FF0000"/>
                      <w:sz w:val="18"/>
                      <w:szCs w:val="18"/>
                      <w:highlight w:val="none"/>
                    </w:rPr>
                  </w:pPr>
                </w:p>
              </w:tc>
              <w:tc>
                <w:tcPr>
                  <w:tcW w:w="780" w:type="dxa"/>
                  <w:vMerge w:val="continue"/>
                  <w:tcBorders>
                    <w:left w:val="single" w:color="auto" w:sz="4" w:space="0"/>
                    <w:right w:val="single" w:color="auto" w:sz="4" w:space="0"/>
                  </w:tcBorders>
                  <w:tcMar>
                    <w:left w:w="57" w:type="dxa"/>
                    <w:right w:w="57" w:type="dxa"/>
                  </w:tcMar>
                  <w:vAlign w:val="center"/>
                </w:tcPr>
                <w:p w14:paraId="3E904777">
                  <w:pPr>
                    <w:keepNext w:val="0"/>
                    <w:keepLines w:val="0"/>
                    <w:suppressLineNumbers w:val="0"/>
                    <w:overflowPunct w:val="0"/>
                    <w:adjustRightInd w:val="0"/>
                    <w:snapToGrid w:val="0"/>
                    <w:spacing w:before="0" w:beforeAutospacing="0" w:after="0" w:afterAutospacing="0" w:line="264" w:lineRule="auto"/>
                    <w:ind w:left="0" w:right="0"/>
                    <w:jc w:val="center"/>
                    <w:rPr>
                      <w:rFonts w:hint="eastAsia" w:ascii="Times New Roman" w:hAnsi="Times New Roman" w:eastAsia="宋体" w:cs="Times New Roman"/>
                      <w:snapToGrid w:val="0"/>
                      <w:sz w:val="18"/>
                      <w:szCs w:val="18"/>
                      <w:highlight w:val="none"/>
                    </w:rPr>
                  </w:pPr>
                </w:p>
              </w:tc>
              <w:tc>
                <w:tcPr>
                  <w:tcW w:w="945" w:type="dxa"/>
                  <w:vMerge w:val="continue"/>
                  <w:tcBorders>
                    <w:left w:val="single" w:color="auto" w:sz="4" w:space="0"/>
                    <w:right w:val="single" w:color="auto" w:sz="4" w:space="0"/>
                  </w:tcBorders>
                  <w:tcMar>
                    <w:left w:w="57" w:type="dxa"/>
                    <w:right w:w="57" w:type="dxa"/>
                  </w:tcMar>
                  <w:vAlign w:val="center"/>
                </w:tcPr>
                <w:p w14:paraId="2116056A">
                  <w:pPr>
                    <w:keepNext w:val="0"/>
                    <w:keepLines w:val="0"/>
                    <w:suppressLineNumbers w:val="0"/>
                    <w:overflowPunct w:val="0"/>
                    <w:adjustRightInd w:val="0"/>
                    <w:snapToGrid w:val="0"/>
                    <w:spacing w:before="0" w:beforeAutospacing="0" w:after="0" w:afterAutospacing="0" w:line="264" w:lineRule="auto"/>
                    <w:ind w:left="0" w:right="0"/>
                    <w:jc w:val="center"/>
                    <w:rPr>
                      <w:rFonts w:hint="eastAsia" w:ascii="Times New Roman" w:hAnsi="Times New Roman" w:eastAsia="宋体" w:cs="Times New Roman"/>
                      <w:snapToGrid w:val="0"/>
                      <w:kern w:val="0"/>
                      <w:sz w:val="18"/>
                      <w:szCs w:val="18"/>
                      <w:highlight w:val="none"/>
                      <w:lang w:val="en-US" w:eastAsia="zh-CN"/>
                    </w:rPr>
                  </w:pPr>
                </w:p>
              </w:tc>
              <w:tc>
                <w:tcPr>
                  <w:tcW w:w="780" w:type="dxa"/>
                  <w:vMerge w:val="continue"/>
                  <w:tcBorders>
                    <w:left w:val="single" w:color="auto" w:sz="4" w:space="0"/>
                    <w:right w:val="single" w:color="auto" w:sz="4" w:space="0"/>
                  </w:tcBorders>
                  <w:tcMar>
                    <w:left w:w="57" w:type="dxa"/>
                    <w:right w:w="57" w:type="dxa"/>
                  </w:tcMar>
                  <w:vAlign w:val="center"/>
                </w:tcPr>
                <w:p w14:paraId="1E372627">
                  <w:pPr>
                    <w:keepNext w:val="0"/>
                    <w:keepLines w:val="0"/>
                    <w:suppressLineNumbers w:val="0"/>
                    <w:overflowPunct w:val="0"/>
                    <w:adjustRightInd w:val="0"/>
                    <w:snapToGrid w:val="0"/>
                    <w:spacing w:before="0" w:beforeAutospacing="0" w:after="0" w:afterAutospacing="0" w:line="264" w:lineRule="auto"/>
                    <w:ind w:left="0" w:right="0"/>
                    <w:jc w:val="center"/>
                    <w:rPr>
                      <w:rFonts w:hint="eastAsia" w:ascii="Times New Roman" w:hAnsi="Times New Roman" w:eastAsia="宋体" w:cs="Times New Roman"/>
                      <w:snapToGrid w:val="0"/>
                      <w:sz w:val="18"/>
                      <w:szCs w:val="18"/>
                      <w:highlight w:val="none"/>
                    </w:rPr>
                  </w:pPr>
                </w:p>
              </w:tc>
              <w:tc>
                <w:tcPr>
                  <w:tcW w:w="1301" w:type="dxa"/>
                  <w:tcBorders>
                    <w:top w:val="single" w:color="auto" w:sz="4" w:space="0"/>
                    <w:left w:val="single" w:color="auto" w:sz="4" w:space="0"/>
                    <w:bottom w:val="single" w:color="auto" w:sz="4" w:space="0"/>
                    <w:right w:val="single" w:color="auto" w:sz="4" w:space="0"/>
                  </w:tcBorders>
                  <w:shd w:val="clear" w:color="auto" w:fill="auto"/>
                  <w:tcMar>
                    <w:left w:w="57" w:type="dxa"/>
                    <w:right w:w="57" w:type="dxa"/>
                  </w:tcMar>
                  <w:vAlign w:val="center"/>
                </w:tcPr>
                <w:p w14:paraId="292A1D40">
                  <w:pPr>
                    <w:keepNext w:val="0"/>
                    <w:keepLines w:val="0"/>
                    <w:widowControl/>
                    <w:suppressLineNumbers w:val="0"/>
                    <w:adjustRightInd w:val="0"/>
                    <w:snapToGrid w:val="0"/>
                    <w:spacing w:before="0" w:beforeAutospacing="0" w:after="0" w:afterAutospacing="0" w:line="264" w:lineRule="auto"/>
                    <w:ind w:left="0" w:right="0"/>
                    <w:jc w:val="center"/>
                    <w:rPr>
                      <w:rFonts w:hint="eastAsia" w:ascii="Times New Roman" w:hAnsi="Times New Roman" w:eastAsia="宋体" w:cs="Times New Roman"/>
                      <w:snapToGrid w:val="0"/>
                      <w:kern w:val="2"/>
                      <w:sz w:val="18"/>
                      <w:szCs w:val="18"/>
                      <w:highlight w:val="none"/>
                      <w:lang w:val="en-US" w:eastAsia="zh-CN" w:bidi="ar-SA"/>
                    </w:rPr>
                  </w:pPr>
                  <w:r>
                    <w:rPr>
                      <w:rFonts w:hint="eastAsia" w:ascii="Times New Roman" w:hAnsi="Times New Roman" w:eastAsia="宋体" w:cs="Times New Roman"/>
                      <w:snapToGrid w:val="0"/>
                      <w:sz w:val="18"/>
                      <w:szCs w:val="18"/>
                      <w:highlight w:val="none"/>
                    </w:rPr>
                    <w:t>SS</w:t>
                  </w:r>
                </w:p>
              </w:tc>
              <w:tc>
                <w:tcPr>
                  <w:tcW w:w="1156" w:type="dxa"/>
                  <w:tcBorders>
                    <w:top w:val="single" w:color="auto" w:sz="4" w:space="0"/>
                    <w:left w:val="single" w:color="auto" w:sz="4" w:space="0"/>
                    <w:bottom w:val="single" w:color="auto" w:sz="4" w:space="0"/>
                    <w:right w:val="single" w:color="auto" w:sz="4" w:space="0"/>
                  </w:tcBorders>
                  <w:shd w:val="clear" w:color="auto" w:fill="auto"/>
                  <w:tcMar>
                    <w:left w:w="57" w:type="dxa"/>
                    <w:right w:w="57" w:type="dxa"/>
                  </w:tcMar>
                  <w:vAlign w:val="center"/>
                </w:tcPr>
                <w:p w14:paraId="6641E800">
                  <w:pPr>
                    <w:keepNext w:val="0"/>
                    <w:keepLines w:val="0"/>
                    <w:suppressLineNumbers w:val="0"/>
                    <w:overflowPunct w:val="0"/>
                    <w:adjustRightInd w:val="0"/>
                    <w:snapToGrid w:val="0"/>
                    <w:spacing w:before="0" w:beforeAutospacing="0" w:after="0" w:afterAutospacing="0" w:line="264" w:lineRule="auto"/>
                    <w:ind w:left="0" w:right="0"/>
                    <w:jc w:val="center"/>
                    <w:rPr>
                      <w:rFonts w:hint="eastAsia" w:ascii="Times New Roman" w:hAnsi="Times New Roman" w:eastAsia="宋体" w:cs="Times New Roman"/>
                      <w:snapToGrid w:val="0"/>
                      <w:kern w:val="0"/>
                      <w:sz w:val="18"/>
                      <w:szCs w:val="18"/>
                      <w:highlight w:val="none"/>
                      <w:lang w:val="en-US" w:eastAsia="zh-CN" w:bidi="ar-SA"/>
                    </w:rPr>
                  </w:pPr>
                  <w:r>
                    <w:rPr>
                      <w:rFonts w:hint="eastAsia" w:ascii="Times New Roman" w:hAnsi="Times New Roman" w:eastAsia="宋体" w:cs="Times New Roman"/>
                      <w:snapToGrid w:val="0"/>
                      <w:kern w:val="0"/>
                      <w:sz w:val="18"/>
                      <w:szCs w:val="18"/>
                      <w:highlight w:val="none"/>
                    </w:rPr>
                    <w:t>10</w:t>
                  </w:r>
                </w:p>
              </w:tc>
            </w:tr>
            <w:tr w14:paraId="74F33EE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19" w:type="dxa"/>
                  <w:vMerge w:val="continue"/>
                  <w:tcBorders>
                    <w:left w:val="single" w:color="auto" w:sz="4" w:space="0"/>
                    <w:right w:val="single" w:color="auto" w:sz="4" w:space="0"/>
                  </w:tcBorders>
                  <w:tcMar>
                    <w:left w:w="57" w:type="dxa"/>
                    <w:right w:w="57" w:type="dxa"/>
                  </w:tcMar>
                  <w:vAlign w:val="center"/>
                </w:tcPr>
                <w:p w14:paraId="084C4595">
                  <w:pPr>
                    <w:keepNext w:val="0"/>
                    <w:keepLines w:val="0"/>
                    <w:suppressLineNumbers w:val="0"/>
                    <w:overflowPunct w:val="0"/>
                    <w:adjustRightInd w:val="0"/>
                    <w:snapToGrid w:val="0"/>
                    <w:spacing w:before="0" w:beforeAutospacing="0" w:after="0" w:afterAutospacing="0" w:line="264" w:lineRule="auto"/>
                    <w:ind w:left="0" w:right="0"/>
                    <w:jc w:val="center"/>
                    <w:rPr>
                      <w:rFonts w:hint="default" w:ascii="Times New Roman" w:hAnsi="Times New Roman" w:eastAsia="宋体" w:cs="Times New Roman"/>
                      <w:snapToGrid w:val="0"/>
                      <w:kern w:val="0"/>
                      <w:sz w:val="18"/>
                      <w:szCs w:val="18"/>
                      <w:highlight w:val="none"/>
                    </w:rPr>
                  </w:pPr>
                </w:p>
              </w:tc>
              <w:tc>
                <w:tcPr>
                  <w:tcW w:w="955" w:type="dxa"/>
                  <w:vMerge w:val="continue"/>
                  <w:tcBorders>
                    <w:left w:val="single" w:color="auto" w:sz="4" w:space="0"/>
                    <w:right w:val="single" w:color="auto" w:sz="4" w:space="0"/>
                  </w:tcBorders>
                  <w:tcMar>
                    <w:left w:w="57" w:type="dxa"/>
                    <w:right w:w="57" w:type="dxa"/>
                  </w:tcMar>
                  <w:vAlign w:val="center"/>
                </w:tcPr>
                <w:p w14:paraId="7C3D7EAD">
                  <w:pPr>
                    <w:keepNext w:val="0"/>
                    <w:keepLines w:val="0"/>
                    <w:suppressLineNumbers w:val="0"/>
                    <w:overflowPunct w:val="0"/>
                    <w:adjustRightInd w:val="0"/>
                    <w:snapToGrid w:val="0"/>
                    <w:spacing w:before="0" w:beforeAutospacing="0" w:after="0" w:afterAutospacing="0" w:line="264" w:lineRule="auto"/>
                    <w:ind w:left="0" w:right="0"/>
                    <w:jc w:val="center"/>
                    <w:rPr>
                      <w:rFonts w:hint="default" w:ascii="Times New Roman" w:hAnsi="Times New Roman" w:eastAsia="宋体" w:cs="Times New Roman"/>
                      <w:snapToGrid w:val="0"/>
                      <w:kern w:val="0"/>
                      <w:sz w:val="18"/>
                      <w:szCs w:val="18"/>
                      <w:highlight w:val="none"/>
                    </w:rPr>
                  </w:pPr>
                </w:p>
              </w:tc>
              <w:tc>
                <w:tcPr>
                  <w:tcW w:w="750" w:type="dxa"/>
                  <w:vMerge w:val="continue"/>
                  <w:tcBorders>
                    <w:left w:val="single" w:color="auto" w:sz="4" w:space="0"/>
                    <w:right w:val="single" w:color="auto" w:sz="4" w:space="0"/>
                  </w:tcBorders>
                  <w:tcMar>
                    <w:left w:w="57" w:type="dxa"/>
                    <w:right w:w="57" w:type="dxa"/>
                  </w:tcMar>
                  <w:vAlign w:val="center"/>
                </w:tcPr>
                <w:p w14:paraId="20A3221F">
                  <w:pPr>
                    <w:keepNext w:val="0"/>
                    <w:keepLines w:val="0"/>
                    <w:suppressLineNumbers w:val="0"/>
                    <w:adjustRightInd w:val="0"/>
                    <w:snapToGrid w:val="0"/>
                    <w:spacing w:before="0" w:beforeAutospacing="0" w:after="0" w:afterAutospacing="0" w:line="264" w:lineRule="auto"/>
                    <w:ind w:left="0" w:right="0"/>
                    <w:jc w:val="center"/>
                    <w:rPr>
                      <w:rFonts w:hint="default" w:ascii="Times New Roman" w:hAnsi="Times New Roman" w:eastAsia="宋体" w:cs="Times New Roman"/>
                      <w:sz w:val="18"/>
                      <w:szCs w:val="18"/>
                      <w:highlight w:val="none"/>
                    </w:rPr>
                  </w:pPr>
                </w:p>
              </w:tc>
              <w:tc>
                <w:tcPr>
                  <w:tcW w:w="750" w:type="dxa"/>
                  <w:vMerge w:val="continue"/>
                  <w:tcBorders>
                    <w:left w:val="single" w:color="auto" w:sz="4" w:space="0"/>
                    <w:right w:val="single" w:color="auto" w:sz="4" w:space="0"/>
                  </w:tcBorders>
                  <w:tcMar>
                    <w:left w:w="57" w:type="dxa"/>
                    <w:right w:w="57" w:type="dxa"/>
                  </w:tcMar>
                  <w:vAlign w:val="center"/>
                </w:tcPr>
                <w:p w14:paraId="7C6D0016">
                  <w:pPr>
                    <w:keepNext w:val="0"/>
                    <w:keepLines w:val="0"/>
                    <w:suppressLineNumbers w:val="0"/>
                    <w:adjustRightInd w:val="0"/>
                    <w:snapToGrid w:val="0"/>
                    <w:spacing w:before="0" w:beforeAutospacing="0" w:after="0" w:afterAutospacing="0" w:line="264" w:lineRule="auto"/>
                    <w:ind w:left="0" w:right="0"/>
                    <w:jc w:val="center"/>
                    <w:rPr>
                      <w:rFonts w:hint="default" w:ascii="Times New Roman" w:hAnsi="Times New Roman" w:eastAsia="宋体" w:cs="Times New Roman"/>
                      <w:sz w:val="18"/>
                      <w:szCs w:val="18"/>
                      <w:highlight w:val="none"/>
                    </w:rPr>
                  </w:pPr>
                </w:p>
              </w:tc>
              <w:tc>
                <w:tcPr>
                  <w:tcW w:w="780" w:type="dxa"/>
                  <w:vMerge w:val="continue"/>
                  <w:tcBorders>
                    <w:left w:val="single" w:color="auto" w:sz="4" w:space="0"/>
                    <w:right w:val="single" w:color="auto" w:sz="4" w:space="0"/>
                  </w:tcBorders>
                  <w:tcMar>
                    <w:left w:w="57" w:type="dxa"/>
                    <w:right w:w="57" w:type="dxa"/>
                  </w:tcMar>
                  <w:vAlign w:val="center"/>
                </w:tcPr>
                <w:p w14:paraId="6ABC725F">
                  <w:pPr>
                    <w:keepNext w:val="0"/>
                    <w:keepLines w:val="0"/>
                    <w:suppressLineNumbers w:val="0"/>
                    <w:overflowPunct w:val="0"/>
                    <w:adjustRightInd w:val="0"/>
                    <w:snapToGrid w:val="0"/>
                    <w:spacing w:before="0" w:beforeAutospacing="0" w:after="0" w:afterAutospacing="0" w:line="264" w:lineRule="auto"/>
                    <w:ind w:left="0" w:right="0"/>
                    <w:jc w:val="center"/>
                    <w:rPr>
                      <w:rFonts w:hint="default" w:ascii="Times New Roman" w:hAnsi="Times New Roman" w:eastAsia="宋体" w:cs="Times New Roman"/>
                      <w:snapToGrid w:val="0"/>
                      <w:kern w:val="0"/>
                      <w:sz w:val="18"/>
                      <w:szCs w:val="18"/>
                      <w:highlight w:val="none"/>
                    </w:rPr>
                  </w:pPr>
                </w:p>
              </w:tc>
              <w:tc>
                <w:tcPr>
                  <w:tcW w:w="945" w:type="dxa"/>
                  <w:vMerge w:val="continue"/>
                  <w:tcBorders>
                    <w:left w:val="single" w:color="auto" w:sz="4" w:space="0"/>
                    <w:right w:val="single" w:color="auto" w:sz="4" w:space="0"/>
                  </w:tcBorders>
                  <w:tcMar>
                    <w:left w:w="57" w:type="dxa"/>
                    <w:right w:w="57" w:type="dxa"/>
                  </w:tcMar>
                  <w:vAlign w:val="center"/>
                </w:tcPr>
                <w:p w14:paraId="709146D9">
                  <w:pPr>
                    <w:keepNext w:val="0"/>
                    <w:keepLines w:val="0"/>
                    <w:suppressLineNumbers w:val="0"/>
                    <w:overflowPunct w:val="0"/>
                    <w:adjustRightInd w:val="0"/>
                    <w:snapToGrid w:val="0"/>
                    <w:spacing w:before="0" w:beforeAutospacing="0" w:after="0" w:afterAutospacing="0" w:line="264" w:lineRule="auto"/>
                    <w:ind w:left="0" w:right="0"/>
                    <w:jc w:val="center"/>
                    <w:rPr>
                      <w:rFonts w:hint="default" w:ascii="Times New Roman" w:hAnsi="Times New Roman" w:eastAsia="宋体" w:cs="Times New Roman"/>
                      <w:snapToGrid w:val="0"/>
                      <w:kern w:val="0"/>
                      <w:sz w:val="18"/>
                      <w:szCs w:val="18"/>
                      <w:highlight w:val="none"/>
                    </w:rPr>
                  </w:pPr>
                </w:p>
              </w:tc>
              <w:tc>
                <w:tcPr>
                  <w:tcW w:w="780" w:type="dxa"/>
                  <w:vMerge w:val="continue"/>
                  <w:tcBorders>
                    <w:left w:val="single" w:color="auto" w:sz="4" w:space="0"/>
                    <w:right w:val="single" w:color="auto" w:sz="4" w:space="0"/>
                  </w:tcBorders>
                  <w:tcMar>
                    <w:left w:w="57" w:type="dxa"/>
                    <w:right w:w="57" w:type="dxa"/>
                  </w:tcMar>
                  <w:vAlign w:val="center"/>
                </w:tcPr>
                <w:p w14:paraId="5A7AD6C2">
                  <w:pPr>
                    <w:keepNext w:val="0"/>
                    <w:keepLines w:val="0"/>
                    <w:suppressLineNumbers w:val="0"/>
                    <w:overflowPunct w:val="0"/>
                    <w:adjustRightInd w:val="0"/>
                    <w:snapToGrid w:val="0"/>
                    <w:spacing w:before="0" w:beforeAutospacing="0" w:after="0" w:afterAutospacing="0" w:line="264" w:lineRule="auto"/>
                    <w:ind w:left="0" w:right="0"/>
                    <w:jc w:val="center"/>
                    <w:rPr>
                      <w:rFonts w:hint="default" w:ascii="Times New Roman" w:hAnsi="Times New Roman" w:eastAsia="宋体" w:cs="Times New Roman"/>
                      <w:sz w:val="18"/>
                      <w:szCs w:val="18"/>
                      <w:highlight w:val="none"/>
                    </w:rPr>
                  </w:pPr>
                </w:p>
              </w:tc>
              <w:tc>
                <w:tcPr>
                  <w:tcW w:w="1301" w:type="dxa"/>
                  <w:tcBorders>
                    <w:top w:val="single" w:color="auto" w:sz="4" w:space="0"/>
                    <w:left w:val="single" w:color="auto" w:sz="4" w:space="0"/>
                    <w:bottom w:val="single" w:color="auto" w:sz="4" w:space="0"/>
                    <w:right w:val="single" w:color="auto" w:sz="4" w:space="0"/>
                  </w:tcBorders>
                  <w:tcMar>
                    <w:left w:w="57" w:type="dxa"/>
                    <w:right w:w="57" w:type="dxa"/>
                  </w:tcMar>
                  <w:vAlign w:val="center"/>
                </w:tcPr>
                <w:p w14:paraId="6F0B03B3">
                  <w:pPr>
                    <w:keepNext w:val="0"/>
                    <w:keepLines w:val="0"/>
                    <w:widowControl/>
                    <w:suppressLineNumbers w:val="0"/>
                    <w:adjustRightInd w:val="0"/>
                    <w:snapToGrid w:val="0"/>
                    <w:spacing w:before="0" w:beforeAutospacing="0" w:after="0" w:afterAutospacing="0" w:line="264" w:lineRule="auto"/>
                    <w:ind w:left="0" w:right="0"/>
                    <w:jc w:val="center"/>
                    <w:rPr>
                      <w:rFonts w:hint="default" w:ascii="Times New Roman" w:hAnsi="Times New Roman" w:eastAsia="宋体" w:cs="Times New Roman"/>
                      <w:snapToGrid w:val="0"/>
                      <w:sz w:val="18"/>
                      <w:szCs w:val="18"/>
                      <w:highlight w:val="none"/>
                    </w:rPr>
                  </w:pPr>
                  <w:r>
                    <w:rPr>
                      <w:rFonts w:hint="default" w:ascii="Times New Roman" w:hAnsi="Times New Roman" w:eastAsia="宋体" w:cs="Times New Roman"/>
                      <w:snapToGrid w:val="0"/>
                      <w:sz w:val="18"/>
                      <w:szCs w:val="18"/>
                      <w:highlight w:val="none"/>
                    </w:rPr>
                    <w:t>NH</w:t>
                  </w:r>
                  <w:r>
                    <w:rPr>
                      <w:rFonts w:hint="default" w:ascii="Times New Roman" w:hAnsi="Times New Roman" w:eastAsia="宋体" w:cs="Times New Roman"/>
                      <w:snapToGrid w:val="0"/>
                      <w:sz w:val="18"/>
                      <w:szCs w:val="18"/>
                      <w:highlight w:val="none"/>
                      <w:vertAlign w:val="subscript"/>
                    </w:rPr>
                    <w:t>3</w:t>
                  </w:r>
                  <w:r>
                    <w:rPr>
                      <w:rFonts w:hint="default" w:ascii="Times New Roman" w:hAnsi="Times New Roman" w:eastAsia="宋体" w:cs="Times New Roman"/>
                      <w:snapToGrid w:val="0"/>
                      <w:sz w:val="18"/>
                      <w:szCs w:val="18"/>
                      <w:highlight w:val="none"/>
                    </w:rPr>
                    <w:t>-N</w:t>
                  </w:r>
                </w:p>
              </w:tc>
              <w:tc>
                <w:tcPr>
                  <w:tcW w:w="1156" w:type="dxa"/>
                  <w:tcBorders>
                    <w:top w:val="single" w:color="auto" w:sz="4" w:space="0"/>
                    <w:left w:val="single" w:color="auto" w:sz="4" w:space="0"/>
                    <w:bottom w:val="single" w:color="auto" w:sz="4" w:space="0"/>
                    <w:right w:val="single" w:color="auto" w:sz="4" w:space="0"/>
                  </w:tcBorders>
                  <w:tcMar>
                    <w:left w:w="57" w:type="dxa"/>
                    <w:right w:w="57" w:type="dxa"/>
                  </w:tcMar>
                  <w:vAlign w:val="center"/>
                </w:tcPr>
                <w:p w14:paraId="728851BF">
                  <w:pPr>
                    <w:keepNext w:val="0"/>
                    <w:keepLines w:val="0"/>
                    <w:suppressLineNumbers w:val="0"/>
                    <w:overflowPunct w:val="0"/>
                    <w:adjustRightInd w:val="0"/>
                    <w:snapToGrid w:val="0"/>
                    <w:spacing w:before="0" w:beforeAutospacing="0" w:after="0" w:afterAutospacing="0" w:line="264" w:lineRule="auto"/>
                    <w:ind w:left="0" w:right="0"/>
                    <w:jc w:val="center"/>
                    <w:rPr>
                      <w:rFonts w:hint="eastAsia" w:ascii="Times New Roman" w:hAnsi="Times New Roman" w:eastAsia="宋体" w:cs="Times New Roman"/>
                      <w:snapToGrid w:val="0"/>
                      <w:kern w:val="0"/>
                      <w:sz w:val="18"/>
                      <w:szCs w:val="18"/>
                      <w:highlight w:val="none"/>
                      <w:lang w:val="en-US" w:eastAsia="zh-CN"/>
                    </w:rPr>
                  </w:pPr>
                  <w:r>
                    <w:rPr>
                      <w:rFonts w:hint="eastAsia" w:ascii="Times New Roman" w:hAnsi="Times New Roman" w:eastAsia="宋体" w:cs="Times New Roman"/>
                      <w:snapToGrid w:val="0"/>
                      <w:color w:val="auto"/>
                      <w:kern w:val="0"/>
                      <w:sz w:val="18"/>
                      <w:szCs w:val="18"/>
                      <w:highlight w:val="none"/>
                      <w:lang w:val="en-US" w:eastAsia="zh-CN"/>
                    </w:rPr>
                    <w:t>1.5（3）</w:t>
                  </w:r>
                </w:p>
              </w:tc>
            </w:tr>
            <w:tr w14:paraId="292EB41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19" w:type="dxa"/>
                  <w:vMerge w:val="continue"/>
                  <w:tcBorders>
                    <w:left w:val="single" w:color="auto" w:sz="4" w:space="0"/>
                    <w:right w:val="single" w:color="auto" w:sz="4" w:space="0"/>
                  </w:tcBorders>
                  <w:tcMar>
                    <w:left w:w="57" w:type="dxa"/>
                    <w:right w:w="57" w:type="dxa"/>
                  </w:tcMar>
                  <w:vAlign w:val="center"/>
                </w:tcPr>
                <w:p w14:paraId="49C4BEE3">
                  <w:pPr>
                    <w:keepNext w:val="0"/>
                    <w:keepLines w:val="0"/>
                    <w:suppressLineNumbers w:val="0"/>
                    <w:overflowPunct w:val="0"/>
                    <w:adjustRightInd w:val="0"/>
                    <w:snapToGrid w:val="0"/>
                    <w:spacing w:before="0" w:beforeAutospacing="0" w:after="0" w:afterAutospacing="0" w:line="264" w:lineRule="auto"/>
                    <w:ind w:left="0" w:right="0"/>
                    <w:jc w:val="center"/>
                    <w:rPr>
                      <w:rFonts w:hint="default" w:ascii="Times New Roman" w:hAnsi="Times New Roman" w:eastAsia="宋体" w:cs="Times New Roman"/>
                      <w:snapToGrid w:val="0"/>
                      <w:kern w:val="0"/>
                      <w:sz w:val="18"/>
                      <w:szCs w:val="18"/>
                      <w:highlight w:val="none"/>
                    </w:rPr>
                  </w:pPr>
                </w:p>
              </w:tc>
              <w:tc>
                <w:tcPr>
                  <w:tcW w:w="955" w:type="dxa"/>
                  <w:vMerge w:val="continue"/>
                  <w:tcBorders>
                    <w:left w:val="single" w:color="auto" w:sz="4" w:space="0"/>
                    <w:right w:val="single" w:color="auto" w:sz="4" w:space="0"/>
                  </w:tcBorders>
                  <w:tcMar>
                    <w:left w:w="57" w:type="dxa"/>
                    <w:right w:w="57" w:type="dxa"/>
                  </w:tcMar>
                  <w:vAlign w:val="center"/>
                </w:tcPr>
                <w:p w14:paraId="6D7726A7">
                  <w:pPr>
                    <w:keepNext w:val="0"/>
                    <w:keepLines w:val="0"/>
                    <w:suppressLineNumbers w:val="0"/>
                    <w:overflowPunct w:val="0"/>
                    <w:adjustRightInd w:val="0"/>
                    <w:snapToGrid w:val="0"/>
                    <w:spacing w:before="0" w:beforeAutospacing="0" w:after="0" w:afterAutospacing="0" w:line="264" w:lineRule="auto"/>
                    <w:ind w:left="0" w:right="0"/>
                    <w:jc w:val="center"/>
                    <w:rPr>
                      <w:rFonts w:hint="default" w:ascii="Times New Roman" w:hAnsi="Times New Roman" w:eastAsia="宋体" w:cs="Times New Roman"/>
                      <w:snapToGrid w:val="0"/>
                      <w:kern w:val="0"/>
                      <w:sz w:val="18"/>
                      <w:szCs w:val="18"/>
                      <w:highlight w:val="none"/>
                    </w:rPr>
                  </w:pPr>
                </w:p>
              </w:tc>
              <w:tc>
                <w:tcPr>
                  <w:tcW w:w="750" w:type="dxa"/>
                  <w:vMerge w:val="continue"/>
                  <w:tcBorders>
                    <w:left w:val="single" w:color="auto" w:sz="4" w:space="0"/>
                    <w:right w:val="single" w:color="auto" w:sz="4" w:space="0"/>
                  </w:tcBorders>
                  <w:tcMar>
                    <w:left w:w="57" w:type="dxa"/>
                    <w:right w:w="57" w:type="dxa"/>
                  </w:tcMar>
                  <w:vAlign w:val="center"/>
                </w:tcPr>
                <w:p w14:paraId="4FF6C665">
                  <w:pPr>
                    <w:keepNext w:val="0"/>
                    <w:keepLines w:val="0"/>
                    <w:suppressLineNumbers w:val="0"/>
                    <w:adjustRightInd w:val="0"/>
                    <w:snapToGrid w:val="0"/>
                    <w:spacing w:before="0" w:beforeAutospacing="0" w:after="0" w:afterAutospacing="0" w:line="264" w:lineRule="auto"/>
                    <w:ind w:left="0" w:right="0"/>
                    <w:jc w:val="center"/>
                    <w:rPr>
                      <w:rFonts w:hint="default" w:ascii="Times New Roman" w:hAnsi="Times New Roman" w:eastAsia="宋体" w:cs="Times New Roman"/>
                      <w:sz w:val="18"/>
                      <w:szCs w:val="18"/>
                      <w:highlight w:val="none"/>
                    </w:rPr>
                  </w:pPr>
                </w:p>
              </w:tc>
              <w:tc>
                <w:tcPr>
                  <w:tcW w:w="750" w:type="dxa"/>
                  <w:vMerge w:val="continue"/>
                  <w:tcBorders>
                    <w:left w:val="single" w:color="auto" w:sz="4" w:space="0"/>
                    <w:right w:val="single" w:color="auto" w:sz="4" w:space="0"/>
                  </w:tcBorders>
                  <w:tcMar>
                    <w:left w:w="57" w:type="dxa"/>
                    <w:right w:w="57" w:type="dxa"/>
                  </w:tcMar>
                  <w:vAlign w:val="center"/>
                </w:tcPr>
                <w:p w14:paraId="7520A4DE">
                  <w:pPr>
                    <w:keepNext w:val="0"/>
                    <w:keepLines w:val="0"/>
                    <w:suppressLineNumbers w:val="0"/>
                    <w:adjustRightInd w:val="0"/>
                    <w:snapToGrid w:val="0"/>
                    <w:spacing w:before="0" w:beforeAutospacing="0" w:after="0" w:afterAutospacing="0" w:line="264" w:lineRule="auto"/>
                    <w:ind w:left="0" w:right="0"/>
                    <w:jc w:val="center"/>
                    <w:rPr>
                      <w:rFonts w:hint="default" w:ascii="Times New Roman" w:hAnsi="Times New Roman" w:eastAsia="宋体" w:cs="Times New Roman"/>
                      <w:sz w:val="18"/>
                      <w:szCs w:val="18"/>
                      <w:highlight w:val="none"/>
                    </w:rPr>
                  </w:pPr>
                </w:p>
              </w:tc>
              <w:tc>
                <w:tcPr>
                  <w:tcW w:w="780" w:type="dxa"/>
                  <w:vMerge w:val="continue"/>
                  <w:tcBorders>
                    <w:left w:val="single" w:color="auto" w:sz="4" w:space="0"/>
                    <w:right w:val="single" w:color="auto" w:sz="4" w:space="0"/>
                  </w:tcBorders>
                  <w:tcMar>
                    <w:left w:w="57" w:type="dxa"/>
                    <w:right w:w="57" w:type="dxa"/>
                  </w:tcMar>
                  <w:vAlign w:val="center"/>
                </w:tcPr>
                <w:p w14:paraId="390C9CCD">
                  <w:pPr>
                    <w:keepNext w:val="0"/>
                    <w:keepLines w:val="0"/>
                    <w:suppressLineNumbers w:val="0"/>
                    <w:overflowPunct w:val="0"/>
                    <w:adjustRightInd w:val="0"/>
                    <w:snapToGrid w:val="0"/>
                    <w:spacing w:before="0" w:beforeAutospacing="0" w:after="0" w:afterAutospacing="0" w:line="264" w:lineRule="auto"/>
                    <w:ind w:left="0" w:right="0"/>
                    <w:jc w:val="center"/>
                    <w:rPr>
                      <w:rFonts w:hint="default" w:ascii="Times New Roman" w:hAnsi="Times New Roman" w:eastAsia="宋体" w:cs="Times New Roman"/>
                      <w:snapToGrid w:val="0"/>
                      <w:kern w:val="0"/>
                      <w:sz w:val="18"/>
                      <w:szCs w:val="18"/>
                      <w:highlight w:val="none"/>
                    </w:rPr>
                  </w:pPr>
                </w:p>
              </w:tc>
              <w:tc>
                <w:tcPr>
                  <w:tcW w:w="945" w:type="dxa"/>
                  <w:vMerge w:val="continue"/>
                  <w:tcBorders>
                    <w:left w:val="single" w:color="auto" w:sz="4" w:space="0"/>
                    <w:right w:val="single" w:color="auto" w:sz="4" w:space="0"/>
                  </w:tcBorders>
                  <w:tcMar>
                    <w:left w:w="57" w:type="dxa"/>
                    <w:right w:w="57" w:type="dxa"/>
                  </w:tcMar>
                  <w:vAlign w:val="center"/>
                </w:tcPr>
                <w:p w14:paraId="0E9D5581">
                  <w:pPr>
                    <w:keepNext w:val="0"/>
                    <w:keepLines w:val="0"/>
                    <w:suppressLineNumbers w:val="0"/>
                    <w:overflowPunct w:val="0"/>
                    <w:adjustRightInd w:val="0"/>
                    <w:snapToGrid w:val="0"/>
                    <w:spacing w:before="0" w:beforeAutospacing="0" w:after="0" w:afterAutospacing="0" w:line="264" w:lineRule="auto"/>
                    <w:ind w:left="0" w:right="0"/>
                    <w:jc w:val="center"/>
                    <w:rPr>
                      <w:rFonts w:hint="default" w:ascii="Times New Roman" w:hAnsi="Times New Roman" w:eastAsia="宋体" w:cs="Times New Roman"/>
                      <w:snapToGrid w:val="0"/>
                      <w:kern w:val="0"/>
                      <w:sz w:val="18"/>
                      <w:szCs w:val="18"/>
                      <w:highlight w:val="none"/>
                    </w:rPr>
                  </w:pPr>
                </w:p>
              </w:tc>
              <w:tc>
                <w:tcPr>
                  <w:tcW w:w="780" w:type="dxa"/>
                  <w:vMerge w:val="continue"/>
                  <w:tcBorders>
                    <w:left w:val="single" w:color="auto" w:sz="4" w:space="0"/>
                    <w:right w:val="single" w:color="auto" w:sz="4" w:space="0"/>
                  </w:tcBorders>
                  <w:tcMar>
                    <w:left w:w="57" w:type="dxa"/>
                    <w:right w:w="57" w:type="dxa"/>
                  </w:tcMar>
                  <w:vAlign w:val="center"/>
                </w:tcPr>
                <w:p w14:paraId="327CE883">
                  <w:pPr>
                    <w:keepNext w:val="0"/>
                    <w:keepLines w:val="0"/>
                    <w:suppressLineNumbers w:val="0"/>
                    <w:overflowPunct w:val="0"/>
                    <w:adjustRightInd w:val="0"/>
                    <w:snapToGrid w:val="0"/>
                    <w:spacing w:before="0" w:beforeAutospacing="0" w:after="0" w:afterAutospacing="0" w:line="264" w:lineRule="auto"/>
                    <w:ind w:left="0" w:right="0"/>
                    <w:jc w:val="center"/>
                    <w:rPr>
                      <w:rFonts w:hint="default" w:ascii="Times New Roman" w:hAnsi="Times New Roman" w:eastAsia="宋体" w:cs="Times New Roman"/>
                      <w:sz w:val="18"/>
                      <w:szCs w:val="18"/>
                      <w:highlight w:val="none"/>
                    </w:rPr>
                  </w:pPr>
                </w:p>
              </w:tc>
              <w:tc>
                <w:tcPr>
                  <w:tcW w:w="1301" w:type="dxa"/>
                  <w:tcBorders>
                    <w:top w:val="single" w:color="auto" w:sz="4" w:space="0"/>
                    <w:left w:val="single" w:color="auto" w:sz="4" w:space="0"/>
                    <w:bottom w:val="single" w:color="auto" w:sz="4" w:space="0"/>
                    <w:right w:val="single" w:color="auto" w:sz="4" w:space="0"/>
                  </w:tcBorders>
                  <w:tcMar>
                    <w:left w:w="57" w:type="dxa"/>
                    <w:right w:w="57" w:type="dxa"/>
                  </w:tcMar>
                  <w:vAlign w:val="center"/>
                </w:tcPr>
                <w:p w14:paraId="759D0107">
                  <w:pPr>
                    <w:keepNext w:val="0"/>
                    <w:keepLines w:val="0"/>
                    <w:widowControl/>
                    <w:suppressLineNumbers w:val="0"/>
                    <w:adjustRightInd w:val="0"/>
                    <w:snapToGrid w:val="0"/>
                    <w:spacing w:before="0" w:beforeAutospacing="0" w:after="0" w:afterAutospacing="0" w:line="264" w:lineRule="auto"/>
                    <w:ind w:left="0" w:right="0"/>
                    <w:jc w:val="center"/>
                    <w:rPr>
                      <w:rFonts w:hint="default" w:ascii="Times New Roman" w:hAnsi="Times New Roman" w:eastAsia="宋体" w:cs="Times New Roman"/>
                      <w:snapToGrid w:val="0"/>
                      <w:sz w:val="18"/>
                      <w:szCs w:val="18"/>
                      <w:highlight w:val="none"/>
                      <w:lang w:val="en-US" w:eastAsia="zh-CN"/>
                    </w:rPr>
                  </w:pPr>
                  <w:r>
                    <w:rPr>
                      <w:rFonts w:hint="eastAsia" w:cs="Times New Roman"/>
                      <w:snapToGrid w:val="0"/>
                      <w:sz w:val="18"/>
                      <w:szCs w:val="18"/>
                      <w:highlight w:val="none"/>
                      <w:lang w:val="en-US" w:eastAsia="zh-CN"/>
                    </w:rPr>
                    <w:t>TP</w:t>
                  </w:r>
                </w:p>
              </w:tc>
              <w:tc>
                <w:tcPr>
                  <w:tcW w:w="1156" w:type="dxa"/>
                  <w:tcBorders>
                    <w:top w:val="single" w:color="auto" w:sz="4" w:space="0"/>
                    <w:left w:val="single" w:color="auto" w:sz="4" w:space="0"/>
                    <w:bottom w:val="single" w:color="auto" w:sz="4" w:space="0"/>
                    <w:right w:val="single" w:color="auto" w:sz="4" w:space="0"/>
                  </w:tcBorders>
                  <w:tcMar>
                    <w:left w:w="57" w:type="dxa"/>
                    <w:right w:w="57" w:type="dxa"/>
                  </w:tcMar>
                  <w:vAlign w:val="center"/>
                </w:tcPr>
                <w:p w14:paraId="15122800">
                  <w:pPr>
                    <w:keepNext w:val="0"/>
                    <w:keepLines w:val="0"/>
                    <w:suppressLineNumbers w:val="0"/>
                    <w:overflowPunct w:val="0"/>
                    <w:adjustRightInd w:val="0"/>
                    <w:snapToGrid w:val="0"/>
                    <w:spacing w:before="0" w:beforeAutospacing="0" w:after="0" w:afterAutospacing="0" w:line="264" w:lineRule="auto"/>
                    <w:ind w:left="0" w:right="0"/>
                    <w:jc w:val="center"/>
                    <w:rPr>
                      <w:rFonts w:hint="eastAsia" w:ascii="Times New Roman" w:hAnsi="Times New Roman" w:eastAsia="宋体" w:cs="Times New Roman"/>
                      <w:snapToGrid w:val="0"/>
                      <w:color w:val="auto"/>
                      <w:kern w:val="0"/>
                      <w:sz w:val="18"/>
                      <w:szCs w:val="18"/>
                      <w:highlight w:val="none"/>
                      <w:lang w:val="en-US" w:eastAsia="zh-CN"/>
                    </w:rPr>
                  </w:pPr>
                  <w:r>
                    <w:rPr>
                      <w:rFonts w:hint="eastAsia"/>
                      <w:sz w:val="18"/>
                      <w:szCs w:val="18"/>
                      <w:highlight w:val="none"/>
                    </w:rPr>
                    <w:t>0</w:t>
                  </w:r>
                  <w:r>
                    <w:rPr>
                      <w:rFonts w:hint="default"/>
                      <w:sz w:val="18"/>
                      <w:szCs w:val="18"/>
                      <w:highlight w:val="none"/>
                    </w:rPr>
                    <w:t>.3</w:t>
                  </w:r>
                </w:p>
              </w:tc>
            </w:tr>
            <w:tr w14:paraId="5AB122A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19" w:type="dxa"/>
                  <w:vMerge w:val="continue"/>
                  <w:tcBorders>
                    <w:left w:val="single" w:color="auto" w:sz="4" w:space="0"/>
                    <w:right w:val="single" w:color="auto" w:sz="4" w:space="0"/>
                  </w:tcBorders>
                  <w:tcMar>
                    <w:left w:w="57" w:type="dxa"/>
                    <w:right w:w="57" w:type="dxa"/>
                  </w:tcMar>
                  <w:vAlign w:val="center"/>
                </w:tcPr>
                <w:p w14:paraId="6561505C">
                  <w:pPr>
                    <w:keepNext w:val="0"/>
                    <w:keepLines w:val="0"/>
                    <w:suppressLineNumbers w:val="0"/>
                    <w:overflowPunct w:val="0"/>
                    <w:adjustRightInd w:val="0"/>
                    <w:snapToGrid w:val="0"/>
                    <w:spacing w:before="0" w:beforeAutospacing="0" w:after="0" w:afterAutospacing="0" w:line="264" w:lineRule="auto"/>
                    <w:ind w:left="0" w:right="0"/>
                    <w:jc w:val="center"/>
                    <w:rPr>
                      <w:rFonts w:hint="default" w:ascii="Times New Roman" w:hAnsi="Times New Roman" w:eastAsia="宋体" w:cs="Times New Roman"/>
                      <w:snapToGrid w:val="0"/>
                      <w:kern w:val="0"/>
                      <w:sz w:val="18"/>
                      <w:szCs w:val="18"/>
                      <w:highlight w:val="none"/>
                    </w:rPr>
                  </w:pPr>
                </w:p>
              </w:tc>
              <w:tc>
                <w:tcPr>
                  <w:tcW w:w="955" w:type="dxa"/>
                  <w:vMerge w:val="continue"/>
                  <w:tcBorders>
                    <w:left w:val="single" w:color="auto" w:sz="4" w:space="0"/>
                    <w:right w:val="single" w:color="auto" w:sz="4" w:space="0"/>
                  </w:tcBorders>
                  <w:tcMar>
                    <w:left w:w="57" w:type="dxa"/>
                    <w:right w:w="57" w:type="dxa"/>
                  </w:tcMar>
                  <w:vAlign w:val="center"/>
                </w:tcPr>
                <w:p w14:paraId="299A81EA">
                  <w:pPr>
                    <w:keepNext w:val="0"/>
                    <w:keepLines w:val="0"/>
                    <w:suppressLineNumbers w:val="0"/>
                    <w:overflowPunct w:val="0"/>
                    <w:adjustRightInd w:val="0"/>
                    <w:snapToGrid w:val="0"/>
                    <w:spacing w:before="0" w:beforeAutospacing="0" w:after="0" w:afterAutospacing="0" w:line="264" w:lineRule="auto"/>
                    <w:ind w:left="0" w:right="0"/>
                    <w:jc w:val="center"/>
                    <w:rPr>
                      <w:rFonts w:hint="default" w:ascii="Times New Roman" w:hAnsi="Times New Roman" w:eastAsia="宋体" w:cs="Times New Roman"/>
                      <w:snapToGrid w:val="0"/>
                      <w:kern w:val="0"/>
                      <w:sz w:val="18"/>
                      <w:szCs w:val="18"/>
                      <w:highlight w:val="none"/>
                    </w:rPr>
                  </w:pPr>
                </w:p>
              </w:tc>
              <w:tc>
                <w:tcPr>
                  <w:tcW w:w="750" w:type="dxa"/>
                  <w:vMerge w:val="continue"/>
                  <w:tcBorders>
                    <w:left w:val="single" w:color="auto" w:sz="4" w:space="0"/>
                    <w:right w:val="single" w:color="auto" w:sz="4" w:space="0"/>
                  </w:tcBorders>
                  <w:tcMar>
                    <w:left w:w="57" w:type="dxa"/>
                    <w:right w:w="57" w:type="dxa"/>
                  </w:tcMar>
                  <w:vAlign w:val="center"/>
                </w:tcPr>
                <w:p w14:paraId="29003C86">
                  <w:pPr>
                    <w:keepNext w:val="0"/>
                    <w:keepLines w:val="0"/>
                    <w:suppressLineNumbers w:val="0"/>
                    <w:adjustRightInd w:val="0"/>
                    <w:snapToGrid w:val="0"/>
                    <w:spacing w:before="0" w:beforeAutospacing="0" w:after="0" w:afterAutospacing="0" w:line="264" w:lineRule="auto"/>
                    <w:ind w:left="0" w:right="0"/>
                    <w:jc w:val="center"/>
                    <w:rPr>
                      <w:rFonts w:hint="default" w:ascii="Times New Roman" w:hAnsi="Times New Roman" w:eastAsia="宋体" w:cs="Times New Roman"/>
                      <w:sz w:val="18"/>
                      <w:szCs w:val="18"/>
                      <w:highlight w:val="none"/>
                    </w:rPr>
                  </w:pPr>
                </w:p>
              </w:tc>
              <w:tc>
                <w:tcPr>
                  <w:tcW w:w="750" w:type="dxa"/>
                  <w:vMerge w:val="continue"/>
                  <w:tcBorders>
                    <w:left w:val="single" w:color="auto" w:sz="4" w:space="0"/>
                    <w:right w:val="single" w:color="auto" w:sz="4" w:space="0"/>
                  </w:tcBorders>
                  <w:tcMar>
                    <w:left w:w="57" w:type="dxa"/>
                    <w:right w:w="57" w:type="dxa"/>
                  </w:tcMar>
                  <w:vAlign w:val="center"/>
                </w:tcPr>
                <w:p w14:paraId="0582B587">
                  <w:pPr>
                    <w:keepNext w:val="0"/>
                    <w:keepLines w:val="0"/>
                    <w:suppressLineNumbers w:val="0"/>
                    <w:adjustRightInd w:val="0"/>
                    <w:snapToGrid w:val="0"/>
                    <w:spacing w:before="0" w:beforeAutospacing="0" w:after="0" w:afterAutospacing="0" w:line="264" w:lineRule="auto"/>
                    <w:ind w:left="0" w:right="0"/>
                    <w:jc w:val="center"/>
                    <w:rPr>
                      <w:rFonts w:hint="default" w:ascii="Times New Roman" w:hAnsi="Times New Roman" w:eastAsia="宋体" w:cs="Times New Roman"/>
                      <w:sz w:val="18"/>
                      <w:szCs w:val="18"/>
                      <w:highlight w:val="none"/>
                    </w:rPr>
                  </w:pPr>
                </w:p>
              </w:tc>
              <w:tc>
                <w:tcPr>
                  <w:tcW w:w="780" w:type="dxa"/>
                  <w:vMerge w:val="continue"/>
                  <w:tcBorders>
                    <w:left w:val="single" w:color="auto" w:sz="4" w:space="0"/>
                    <w:right w:val="single" w:color="auto" w:sz="4" w:space="0"/>
                  </w:tcBorders>
                  <w:tcMar>
                    <w:left w:w="57" w:type="dxa"/>
                    <w:right w:w="57" w:type="dxa"/>
                  </w:tcMar>
                  <w:vAlign w:val="center"/>
                </w:tcPr>
                <w:p w14:paraId="4B30BFE0">
                  <w:pPr>
                    <w:keepNext w:val="0"/>
                    <w:keepLines w:val="0"/>
                    <w:suppressLineNumbers w:val="0"/>
                    <w:overflowPunct w:val="0"/>
                    <w:adjustRightInd w:val="0"/>
                    <w:snapToGrid w:val="0"/>
                    <w:spacing w:before="0" w:beforeAutospacing="0" w:after="0" w:afterAutospacing="0" w:line="264" w:lineRule="auto"/>
                    <w:ind w:left="0" w:right="0"/>
                    <w:jc w:val="center"/>
                    <w:rPr>
                      <w:rFonts w:hint="default" w:ascii="Times New Roman" w:hAnsi="Times New Roman" w:eastAsia="宋体" w:cs="Times New Roman"/>
                      <w:snapToGrid w:val="0"/>
                      <w:kern w:val="0"/>
                      <w:sz w:val="18"/>
                      <w:szCs w:val="18"/>
                      <w:highlight w:val="none"/>
                    </w:rPr>
                  </w:pPr>
                </w:p>
              </w:tc>
              <w:tc>
                <w:tcPr>
                  <w:tcW w:w="945" w:type="dxa"/>
                  <w:vMerge w:val="continue"/>
                  <w:tcBorders>
                    <w:left w:val="single" w:color="auto" w:sz="4" w:space="0"/>
                    <w:right w:val="single" w:color="auto" w:sz="4" w:space="0"/>
                  </w:tcBorders>
                  <w:tcMar>
                    <w:left w:w="57" w:type="dxa"/>
                    <w:right w:w="57" w:type="dxa"/>
                  </w:tcMar>
                  <w:vAlign w:val="center"/>
                </w:tcPr>
                <w:p w14:paraId="697DCE93">
                  <w:pPr>
                    <w:keepNext w:val="0"/>
                    <w:keepLines w:val="0"/>
                    <w:suppressLineNumbers w:val="0"/>
                    <w:overflowPunct w:val="0"/>
                    <w:adjustRightInd w:val="0"/>
                    <w:snapToGrid w:val="0"/>
                    <w:spacing w:before="0" w:beforeAutospacing="0" w:after="0" w:afterAutospacing="0" w:line="264" w:lineRule="auto"/>
                    <w:ind w:left="0" w:right="0"/>
                    <w:jc w:val="center"/>
                    <w:rPr>
                      <w:rFonts w:hint="default" w:ascii="Times New Roman" w:hAnsi="Times New Roman" w:eastAsia="宋体" w:cs="Times New Roman"/>
                      <w:snapToGrid w:val="0"/>
                      <w:kern w:val="0"/>
                      <w:sz w:val="18"/>
                      <w:szCs w:val="18"/>
                      <w:highlight w:val="none"/>
                    </w:rPr>
                  </w:pPr>
                </w:p>
              </w:tc>
              <w:tc>
                <w:tcPr>
                  <w:tcW w:w="780" w:type="dxa"/>
                  <w:vMerge w:val="continue"/>
                  <w:tcBorders>
                    <w:left w:val="single" w:color="auto" w:sz="4" w:space="0"/>
                    <w:right w:val="single" w:color="auto" w:sz="4" w:space="0"/>
                  </w:tcBorders>
                  <w:tcMar>
                    <w:left w:w="57" w:type="dxa"/>
                    <w:right w:w="57" w:type="dxa"/>
                  </w:tcMar>
                  <w:vAlign w:val="center"/>
                </w:tcPr>
                <w:p w14:paraId="423650AB">
                  <w:pPr>
                    <w:keepNext w:val="0"/>
                    <w:keepLines w:val="0"/>
                    <w:suppressLineNumbers w:val="0"/>
                    <w:overflowPunct w:val="0"/>
                    <w:adjustRightInd w:val="0"/>
                    <w:snapToGrid w:val="0"/>
                    <w:spacing w:before="0" w:beforeAutospacing="0" w:after="0" w:afterAutospacing="0" w:line="264" w:lineRule="auto"/>
                    <w:ind w:left="0" w:right="0"/>
                    <w:jc w:val="center"/>
                    <w:rPr>
                      <w:rFonts w:hint="default" w:ascii="Times New Roman" w:hAnsi="Times New Roman" w:eastAsia="宋体" w:cs="Times New Roman"/>
                      <w:sz w:val="18"/>
                      <w:szCs w:val="18"/>
                      <w:highlight w:val="none"/>
                    </w:rPr>
                  </w:pPr>
                </w:p>
              </w:tc>
              <w:tc>
                <w:tcPr>
                  <w:tcW w:w="1301" w:type="dxa"/>
                  <w:tcBorders>
                    <w:top w:val="single" w:color="auto" w:sz="4" w:space="0"/>
                    <w:left w:val="single" w:color="auto" w:sz="4" w:space="0"/>
                    <w:bottom w:val="single" w:color="auto" w:sz="4" w:space="0"/>
                    <w:right w:val="single" w:color="auto" w:sz="4" w:space="0"/>
                  </w:tcBorders>
                  <w:tcMar>
                    <w:left w:w="57" w:type="dxa"/>
                    <w:right w:w="57" w:type="dxa"/>
                  </w:tcMar>
                  <w:vAlign w:val="center"/>
                </w:tcPr>
                <w:p w14:paraId="4B7CCB07">
                  <w:pPr>
                    <w:keepNext w:val="0"/>
                    <w:keepLines w:val="0"/>
                    <w:widowControl/>
                    <w:suppressLineNumbers w:val="0"/>
                    <w:adjustRightInd w:val="0"/>
                    <w:snapToGrid w:val="0"/>
                    <w:spacing w:before="0" w:beforeAutospacing="0" w:after="0" w:afterAutospacing="0" w:line="264" w:lineRule="auto"/>
                    <w:ind w:left="0" w:right="0"/>
                    <w:jc w:val="center"/>
                    <w:rPr>
                      <w:rFonts w:hint="default" w:cs="Times New Roman"/>
                      <w:snapToGrid w:val="0"/>
                      <w:sz w:val="18"/>
                      <w:szCs w:val="18"/>
                      <w:highlight w:val="none"/>
                      <w:lang w:val="en-US" w:eastAsia="zh-CN"/>
                    </w:rPr>
                  </w:pPr>
                  <w:r>
                    <w:rPr>
                      <w:rFonts w:hint="eastAsia" w:cs="Times New Roman"/>
                      <w:snapToGrid w:val="0"/>
                      <w:sz w:val="18"/>
                      <w:szCs w:val="18"/>
                      <w:highlight w:val="none"/>
                      <w:lang w:val="en-US" w:eastAsia="zh-CN"/>
                    </w:rPr>
                    <w:t>TN</w:t>
                  </w:r>
                </w:p>
              </w:tc>
              <w:tc>
                <w:tcPr>
                  <w:tcW w:w="1156" w:type="dxa"/>
                  <w:tcBorders>
                    <w:top w:val="single" w:color="auto" w:sz="4" w:space="0"/>
                    <w:left w:val="single" w:color="auto" w:sz="4" w:space="0"/>
                    <w:bottom w:val="single" w:color="auto" w:sz="4" w:space="0"/>
                    <w:right w:val="single" w:color="auto" w:sz="4" w:space="0"/>
                  </w:tcBorders>
                  <w:tcMar>
                    <w:left w:w="57" w:type="dxa"/>
                    <w:right w:w="57" w:type="dxa"/>
                  </w:tcMar>
                  <w:vAlign w:val="center"/>
                </w:tcPr>
                <w:p w14:paraId="7A8B784B">
                  <w:pPr>
                    <w:keepNext w:val="0"/>
                    <w:keepLines w:val="0"/>
                    <w:suppressLineNumbers w:val="0"/>
                    <w:overflowPunct w:val="0"/>
                    <w:adjustRightInd w:val="0"/>
                    <w:snapToGrid w:val="0"/>
                    <w:spacing w:before="0" w:beforeAutospacing="0" w:after="0" w:afterAutospacing="0" w:line="264" w:lineRule="auto"/>
                    <w:ind w:left="0" w:right="0"/>
                    <w:jc w:val="center"/>
                    <w:rPr>
                      <w:rFonts w:hint="eastAsia" w:ascii="Times New Roman" w:hAnsi="Times New Roman" w:eastAsia="宋体" w:cs="Times New Roman"/>
                      <w:snapToGrid w:val="0"/>
                      <w:color w:val="auto"/>
                      <w:kern w:val="0"/>
                      <w:sz w:val="18"/>
                      <w:szCs w:val="18"/>
                      <w:highlight w:val="none"/>
                      <w:lang w:val="en-US" w:eastAsia="zh-CN"/>
                    </w:rPr>
                  </w:pPr>
                  <w:r>
                    <w:rPr>
                      <w:rFonts w:hint="default"/>
                      <w:sz w:val="18"/>
                      <w:szCs w:val="18"/>
                      <w:highlight w:val="none"/>
                    </w:rPr>
                    <w:t>10</w:t>
                  </w:r>
                  <w:r>
                    <w:rPr>
                      <w:rFonts w:hint="eastAsia"/>
                      <w:sz w:val="18"/>
                      <w:szCs w:val="18"/>
                      <w:highlight w:val="none"/>
                      <w:lang w:eastAsia="zh-CN"/>
                    </w:rPr>
                    <w:t>（</w:t>
                  </w:r>
                  <w:r>
                    <w:rPr>
                      <w:rFonts w:hint="default"/>
                      <w:sz w:val="18"/>
                      <w:szCs w:val="18"/>
                      <w:highlight w:val="none"/>
                    </w:rPr>
                    <w:t>12</w:t>
                  </w:r>
                  <w:r>
                    <w:rPr>
                      <w:rFonts w:hint="eastAsia"/>
                      <w:sz w:val="18"/>
                      <w:szCs w:val="18"/>
                      <w:highlight w:val="none"/>
                      <w:lang w:eastAsia="zh-CN"/>
                    </w:rPr>
                    <w:t>）</w:t>
                  </w:r>
                </w:p>
              </w:tc>
            </w:tr>
            <w:tr w14:paraId="4A53B22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19" w:type="dxa"/>
                  <w:vMerge w:val="continue"/>
                  <w:tcBorders>
                    <w:left w:val="single" w:color="auto" w:sz="4" w:space="0"/>
                    <w:right w:val="single" w:color="auto" w:sz="4" w:space="0"/>
                  </w:tcBorders>
                  <w:tcMar>
                    <w:left w:w="57" w:type="dxa"/>
                    <w:right w:w="57" w:type="dxa"/>
                  </w:tcMar>
                  <w:vAlign w:val="center"/>
                </w:tcPr>
                <w:p w14:paraId="6F4FC32D">
                  <w:pPr>
                    <w:keepNext w:val="0"/>
                    <w:keepLines w:val="0"/>
                    <w:suppressLineNumbers w:val="0"/>
                    <w:overflowPunct w:val="0"/>
                    <w:adjustRightInd w:val="0"/>
                    <w:snapToGrid w:val="0"/>
                    <w:spacing w:before="0" w:beforeAutospacing="0" w:after="0" w:afterAutospacing="0" w:line="264" w:lineRule="auto"/>
                    <w:ind w:left="0" w:right="0"/>
                    <w:jc w:val="center"/>
                    <w:rPr>
                      <w:rFonts w:hint="default" w:ascii="Times New Roman" w:hAnsi="Times New Roman" w:eastAsia="宋体" w:cs="Times New Roman"/>
                      <w:snapToGrid w:val="0"/>
                      <w:kern w:val="0"/>
                      <w:sz w:val="18"/>
                      <w:szCs w:val="18"/>
                      <w:highlight w:val="none"/>
                    </w:rPr>
                  </w:pPr>
                </w:p>
              </w:tc>
              <w:tc>
                <w:tcPr>
                  <w:tcW w:w="955" w:type="dxa"/>
                  <w:vMerge w:val="continue"/>
                  <w:tcBorders>
                    <w:left w:val="single" w:color="auto" w:sz="4" w:space="0"/>
                    <w:right w:val="single" w:color="auto" w:sz="4" w:space="0"/>
                  </w:tcBorders>
                  <w:tcMar>
                    <w:left w:w="57" w:type="dxa"/>
                    <w:right w:w="57" w:type="dxa"/>
                  </w:tcMar>
                  <w:vAlign w:val="center"/>
                </w:tcPr>
                <w:p w14:paraId="087659F5">
                  <w:pPr>
                    <w:keepNext w:val="0"/>
                    <w:keepLines w:val="0"/>
                    <w:suppressLineNumbers w:val="0"/>
                    <w:overflowPunct w:val="0"/>
                    <w:adjustRightInd w:val="0"/>
                    <w:snapToGrid w:val="0"/>
                    <w:spacing w:before="0" w:beforeAutospacing="0" w:after="0" w:afterAutospacing="0" w:line="264" w:lineRule="auto"/>
                    <w:ind w:left="0" w:right="0"/>
                    <w:jc w:val="center"/>
                    <w:rPr>
                      <w:rFonts w:hint="default" w:ascii="Times New Roman" w:hAnsi="Times New Roman" w:eastAsia="宋体" w:cs="Times New Roman"/>
                      <w:snapToGrid w:val="0"/>
                      <w:kern w:val="0"/>
                      <w:sz w:val="18"/>
                      <w:szCs w:val="18"/>
                      <w:highlight w:val="none"/>
                    </w:rPr>
                  </w:pPr>
                </w:p>
              </w:tc>
              <w:tc>
                <w:tcPr>
                  <w:tcW w:w="750" w:type="dxa"/>
                  <w:vMerge w:val="continue"/>
                  <w:tcBorders>
                    <w:left w:val="single" w:color="auto" w:sz="4" w:space="0"/>
                    <w:right w:val="single" w:color="auto" w:sz="4" w:space="0"/>
                  </w:tcBorders>
                  <w:tcMar>
                    <w:left w:w="57" w:type="dxa"/>
                    <w:right w:w="57" w:type="dxa"/>
                  </w:tcMar>
                  <w:vAlign w:val="center"/>
                </w:tcPr>
                <w:p w14:paraId="1FC419B0">
                  <w:pPr>
                    <w:keepNext w:val="0"/>
                    <w:keepLines w:val="0"/>
                    <w:suppressLineNumbers w:val="0"/>
                    <w:adjustRightInd w:val="0"/>
                    <w:snapToGrid w:val="0"/>
                    <w:spacing w:before="0" w:beforeAutospacing="0" w:after="0" w:afterAutospacing="0" w:line="264" w:lineRule="auto"/>
                    <w:ind w:left="0" w:right="0"/>
                    <w:jc w:val="center"/>
                    <w:rPr>
                      <w:rFonts w:hint="default" w:ascii="Times New Roman" w:hAnsi="Times New Roman" w:eastAsia="宋体" w:cs="Times New Roman"/>
                      <w:sz w:val="18"/>
                      <w:szCs w:val="18"/>
                      <w:highlight w:val="none"/>
                    </w:rPr>
                  </w:pPr>
                </w:p>
              </w:tc>
              <w:tc>
                <w:tcPr>
                  <w:tcW w:w="750" w:type="dxa"/>
                  <w:vMerge w:val="continue"/>
                  <w:tcBorders>
                    <w:left w:val="single" w:color="auto" w:sz="4" w:space="0"/>
                    <w:right w:val="single" w:color="auto" w:sz="4" w:space="0"/>
                  </w:tcBorders>
                  <w:tcMar>
                    <w:left w:w="57" w:type="dxa"/>
                    <w:right w:w="57" w:type="dxa"/>
                  </w:tcMar>
                  <w:vAlign w:val="center"/>
                </w:tcPr>
                <w:p w14:paraId="2D19EFAF">
                  <w:pPr>
                    <w:keepNext w:val="0"/>
                    <w:keepLines w:val="0"/>
                    <w:suppressLineNumbers w:val="0"/>
                    <w:adjustRightInd w:val="0"/>
                    <w:snapToGrid w:val="0"/>
                    <w:spacing w:before="0" w:beforeAutospacing="0" w:after="0" w:afterAutospacing="0" w:line="264" w:lineRule="auto"/>
                    <w:ind w:left="0" w:right="0"/>
                    <w:jc w:val="center"/>
                    <w:rPr>
                      <w:rFonts w:hint="default" w:ascii="Times New Roman" w:hAnsi="Times New Roman" w:eastAsia="宋体" w:cs="Times New Roman"/>
                      <w:sz w:val="18"/>
                      <w:szCs w:val="18"/>
                      <w:highlight w:val="none"/>
                    </w:rPr>
                  </w:pPr>
                </w:p>
              </w:tc>
              <w:tc>
                <w:tcPr>
                  <w:tcW w:w="780" w:type="dxa"/>
                  <w:vMerge w:val="continue"/>
                  <w:tcBorders>
                    <w:left w:val="single" w:color="auto" w:sz="4" w:space="0"/>
                    <w:right w:val="single" w:color="auto" w:sz="4" w:space="0"/>
                  </w:tcBorders>
                  <w:tcMar>
                    <w:left w:w="57" w:type="dxa"/>
                    <w:right w:w="57" w:type="dxa"/>
                  </w:tcMar>
                  <w:vAlign w:val="center"/>
                </w:tcPr>
                <w:p w14:paraId="3DCF2030">
                  <w:pPr>
                    <w:keepNext w:val="0"/>
                    <w:keepLines w:val="0"/>
                    <w:suppressLineNumbers w:val="0"/>
                    <w:overflowPunct w:val="0"/>
                    <w:adjustRightInd w:val="0"/>
                    <w:snapToGrid w:val="0"/>
                    <w:spacing w:before="0" w:beforeAutospacing="0" w:after="0" w:afterAutospacing="0" w:line="264" w:lineRule="auto"/>
                    <w:ind w:left="0" w:right="0"/>
                    <w:jc w:val="center"/>
                    <w:rPr>
                      <w:rFonts w:hint="default" w:ascii="Times New Roman" w:hAnsi="Times New Roman" w:eastAsia="宋体" w:cs="Times New Roman"/>
                      <w:snapToGrid w:val="0"/>
                      <w:kern w:val="0"/>
                      <w:sz w:val="18"/>
                      <w:szCs w:val="18"/>
                      <w:highlight w:val="none"/>
                    </w:rPr>
                  </w:pPr>
                </w:p>
              </w:tc>
              <w:tc>
                <w:tcPr>
                  <w:tcW w:w="945" w:type="dxa"/>
                  <w:vMerge w:val="continue"/>
                  <w:tcBorders>
                    <w:left w:val="single" w:color="auto" w:sz="4" w:space="0"/>
                    <w:right w:val="single" w:color="auto" w:sz="4" w:space="0"/>
                  </w:tcBorders>
                  <w:tcMar>
                    <w:left w:w="57" w:type="dxa"/>
                    <w:right w:w="57" w:type="dxa"/>
                  </w:tcMar>
                  <w:vAlign w:val="center"/>
                </w:tcPr>
                <w:p w14:paraId="7E06FCF3">
                  <w:pPr>
                    <w:keepNext w:val="0"/>
                    <w:keepLines w:val="0"/>
                    <w:suppressLineNumbers w:val="0"/>
                    <w:overflowPunct w:val="0"/>
                    <w:adjustRightInd w:val="0"/>
                    <w:snapToGrid w:val="0"/>
                    <w:spacing w:before="0" w:beforeAutospacing="0" w:after="0" w:afterAutospacing="0" w:line="264" w:lineRule="auto"/>
                    <w:ind w:left="0" w:right="0"/>
                    <w:jc w:val="center"/>
                    <w:rPr>
                      <w:rFonts w:hint="default" w:ascii="Times New Roman" w:hAnsi="Times New Roman" w:eastAsia="宋体" w:cs="Times New Roman"/>
                      <w:snapToGrid w:val="0"/>
                      <w:kern w:val="0"/>
                      <w:sz w:val="18"/>
                      <w:szCs w:val="18"/>
                      <w:highlight w:val="none"/>
                    </w:rPr>
                  </w:pPr>
                </w:p>
              </w:tc>
              <w:tc>
                <w:tcPr>
                  <w:tcW w:w="780" w:type="dxa"/>
                  <w:vMerge w:val="continue"/>
                  <w:tcBorders>
                    <w:left w:val="single" w:color="auto" w:sz="4" w:space="0"/>
                    <w:right w:val="single" w:color="auto" w:sz="4" w:space="0"/>
                  </w:tcBorders>
                  <w:tcMar>
                    <w:left w:w="57" w:type="dxa"/>
                    <w:right w:w="57" w:type="dxa"/>
                  </w:tcMar>
                  <w:vAlign w:val="center"/>
                </w:tcPr>
                <w:p w14:paraId="7D0DE266">
                  <w:pPr>
                    <w:keepNext w:val="0"/>
                    <w:keepLines w:val="0"/>
                    <w:suppressLineNumbers w:val="0"/>
                    <w:overflowPunct w:val="0"/>
                    <w:adjustRightInd w:val="0"/>
                    <w:snapToGrid w:val="0"/>
                    <w:spacing w:before="0" w:beforeAutospacing="0" w:after="0" w:afterAutospacing="0" w:line="264" w:lineRule="auto"/>
                    <w:ind w:left="0" w:right="0"/>
                    <w:jc w:val="center"/>
                    <w:rPr>
                      <w:rFonts w:hint="default" w:ascii="Times New Roman" w:hAnsi="Times New Roman" w:eastAsia="宋体" w:cs="Times New Roman"/>
                      <w:sz w:val="18"/>
                      <w:szCs w:val="18"/>
                      <w:highlight w:val="none"/>
                    </w:rPr>
                  </w:pPr>
                </w:p>
              </w:tc>
              <w:tc>
                <w:tcPr>
                  <w:tcW w:w="1301" w:type="dxa"/>
                  <w:tcBorders>
                    <w:top w:val="single" w:color="auto" w:sz="4" w:space="0"/>
                    <w:left w:val="single" w:color="auto" w:sz="4" w:space="0"/>
                    <w:bottom w:val="single" w:color="auto" w:sz="4" w:space="0"/>
                    <w:right w:val="single" w:color="auto" w:sz="4" w:space="0"/>
                  </w:tcBorders>
                  <w:shd w:val="clear" w:color="auto" w:fill="auto"/>
                  <w:tcMar>
                    <w:left w:w="57" w:type="dxa"/>
                    <w:right w:w="57" w:type="dxa"/>
                  </w:tcMar>
                  <w:vAlign w:val="center"/>
                </w:tcPr>
                <w:p w14:paraId="3673AE38">
                  <w:pPr>
                    <w:keepNext w:val="0"/>
                    <w:keepLines w:val="0"/>
                    <w:widowControl/>
                    <w:suppressLineNumbers w:val="0"/>
                    <w:adjustRightInd w:val="0"/>
                    <w:snapToGrid w:val="0"/>
                    <w:spacing w:before="0" w:beforeAutospacing="0" w:after="0" w:afterAutospacing="0" w:line="264" w:lineRule="auto"/>
                    <w:ind w:left="0" w:right="0"/>
                    <w:jc w:val="center"/>
                    <w:rPr>
                      <w:rFonts w:hint="default" w:ascii="Times New Roman" w:hAnsi="Times New Roman" w:eastAsia="宋体" w:cs="Times New Roman"/>
                      <w:snapToGrid w:val="0"/>
                      <w:kern w:val="2"/>
                      <w:sz w:val="18"/>
                      <w:szCs w:val="18"/>
                      <w:highlight w:val="none"/>
                      <w:lang w:val="en-US" w:eastAsia="zh-CN" w:bidi="ar-SA"/>
                    </w:rPr>
                  </w:pPr>
                  <w:r>
                    <w:rPr>
                      <w:rFonts w:hint="eastAsia" w:ascii="Times New Roman" w:hAnsi="Times New Roman" w:eastAsia="宋体" w:cs="Times New Roman"/>
                      <w:snapToGrid w:val="0"/>
                      <w:sz w:val="18"/>
                      <w:szCs w:val="18"/>
                      <w:highlight w:val="none"/>
                    </w:rPr>
                    <w:t>粪大肠菌群数</w:t>
                  </w:r>
                </w:p>
              </w:tc>
              <w:tc>
                <w:tcPr>
                  <w:tcW w:w="1156" w:type="dxa"/>
                  <w:tcBorders>
                    <w:top w:val="single" w:color="auto" w:sz="4" w:space="0"/>
                    <w:left w:val="single" w:color="auto" w:sz="4" w:space="0"/>
                    <w:bottom w:val="single" w:color="auto" w:sz="4" w:space="0"/>
                    <w:right w:val="single" w:color="auto" w:sz="4" w:space="0"/>
                  </w:tcBorders>
                  <w:shd w:val="clear" w:color="auto" w:fill="auto"/>
                  <w:tcMar>
                    <w:left w:w="57" w:type="dxa"/>
                    <w:right w:w="57" w:type="dxa"/>
                  </w:tcMar>
                  <w:vAlign w:val="center"/>
                </w:tcPr>
                <w:p w14:paraId="1D6AF140">
                  <w:pPr>
                    <w:keepNext w:val="0"/>
                    <w:keepLines w:val="0"/>
                    <w:suppressLineNumbers w:val="0"/>
                    <w:overflowPunct w:val="0"/>
                    <w:adjustRightInd w:val="0"/>
                    <w:snapToGrid w:val="0"/>
                    <w:spacing w:before="0" w:beforeAutospacing="0" w:after="0" w:afterAutospacing="0" w:line="264" w:lineRule="auto"/>
                    <w:ind w:left="0" w:right="0"/>
                    <w:jc w:val="center"/>
                    <w:rPr>
                      <w:rFonts w:hint="default" w:ascii="Times New Roman" w:hAnsi="Times New Roman" w:eastAsia="宋体" w:cs="Times New Roman"/>
                      <w:snapToGrid w:val="0"/>
                      <w:kern w:val="0"/>
                      <w:sz w:val="18"/>
                      <w:szCs w:val="18"/>
                      <w:highlight w:val="none"/>
                      <w:lang w:val="en-US" w:eastAsia="zh-CN" w:bidi="ar-SA"/>
                    </w:rPr>
                  </w:pPr>
                  <w:r>
                    <w:rPr>
                      <w:rFonts w:hint="eastAsia" w:ascii="Times New Roman" w:hAnsi="Times New Roman" w:eastAsia="宋体" w:cs="Times New Roman"/>
                      <w:snapToGrid w:val="0"/>
                      <w:kern w:val="0"/>
                      <w:sz w:val="18"/>
                      <w:szCs w:val="18"/>
                      <w:highlight w:val="none"/>
                    </w:rPr>
                    <w:t>10</w:t>
                  </w:r>
                  <w:r>
                    <w:rPr>
                      <w:rFonts w:hint="eastAsia" w:ascii="Times New Roman" w:hAnsi="Times New Roman" w:eastAsia="宋体" w:cs="Times New Roman"/>
                      <w:snapToGrid w:val="0"/>
                      <w:kern w:val="0"/>
                      <w:sz w:val="18"/>
                      <w:szCs w:val="18"/>
                      <w:highlight w:val="none"/>
                      <w:vertAlign w:val="superscript"/>
                    </w:rPr>
                    <w:t>3</w:t>
                  </w:r>
                  <w:r>
                    <w:rPr>
                      <w:rFonts w:hint="eastAsia" w:ascii="Times New Roman" w:hAnsi="Times New Roman" w:eastAsia="宋体" w:cs="Times New Roman"/>
                      <w:snapToGrid w:val="0"/>
                      <w:kern w:val="0"/>
                      <w:sz w:val="18"/>
                      <w:szCs w:val="18"/>
                      <w:highlight w:val="none"/>
                    </w:rPr>
                    <w:t>个/L</w:t>
                  </w:r>
                </w:p>
              </w:tc>
            </w:tr>
            <w:tr w14:paraId="088F84F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19" w:type="dxa"/>
                  <w:vMerge w:val="continue"/>
                  <w:tcBorders>
                    <w:left w:val="single" w:color="auto" w:sz="4" w:space="0"/>
                    <w:right w:val="single" w:color="auto" w:sz="4" w:space="0"/>
                  </w:tcBorders>
                  <w:tcMar>
                    <w:left w:w="57" w:type="dxa"/>
                    <w:right w:w="57" w:type="dxa"/>
                  </w:tcMar>
                  <w:vAlign w:val="center"/>
                </w:tcPr>
                <w:p w14:paraId="169FFCB8">
                  <w:pPr>
                    <w:keepNext w:val="0"/>
                    <w:keepLines w:val="0"/>
                    <w:suppressLineNumbers w:val="0"/>
                    <w:overflowPunct w:val="0"/>
                    <w:adjustRightInd w:val="0"/>
                    <w:snapToGrid w:val="0"/>
                    <w:spacing w:before="0" w:beforeAutospacing="0" w:after="0" w:afterAutospacing="0" w:line="264" w:lineRule="auto"/>
                    <w:ind w:left="0" w:right="0"/>
                    <w:jc w:val="center"/>
                    <w:rPr>
                      <w:rFonts w:hint="default" w:ascii="Times New Roman" w:hAnsi="Times New Roman" w:eastAsia="宋体" w:cs="Times New Roman"/>
                      <w:snapToGrid w:val="0"/>
                      <w:kern w:val="0"/>
                      <w:sz w:val="18"/>
                      <w:szCs w:val="18"/>
                      <w:highlight w:val="none"/>
                    </w:rPr>
                  </w:pPr>
                </w:p>
              </w:tc>
              <w:tc>
                <w:tcPr>
                  <w:tcW w:w="955" w:type="dxa"/>
                  <w:vMerge w:val="continue"/>
                  <w:tcBorders>
                    <w:left w:val="single" w:color="auto" w:sz="4" w:space="0"/>
                    <w:right w:val="single" w:color="auto" w:sz="4" w:space="0"/>
                  </w:tcBorders>
                  <w:tcMar>
                    <w:left w:w="57" w:type="dxa"/>
                    <w:right w:w="57" w:type="dxa"/>
                  </w:tcMar>
                  <w:vAlign w:val="center"/>
                </w:tcPr>
                <w:p w14:paraId="1999CC4F">
                  <w:pPr>
                    <w:keepNext w:val="0"/>
                    <w:keepLines w:val="0"/>
                    <w:suppressLineNumbers w:val="0"/>
                    <w:overflowPunct w:val="0"/>
                    <w:adjustRightInd w:val="0"/>
                    <w:snapToGrid w:val="0"/>
                    <w:spacing w:before="0" w:beforeAutospacing="0" w:after="0" w:afterAutospacing="0" w:line="264" w:lineRule="auto"/>
                    <w:ind w:left="0" w:right="0"/>
                    <w:jc w:val="center"/>
                    <w:rPr>
                      <w:rFonts w:hint="default" w:ascii="Times New Roman" w:hAnsi="Times New Roman" w:eastAsia="宋体" w:cs="Times New Roman"/>
                      <w:snapToGrid w:val="0"/>
                      <w:kern w:val="0"/>
                      <w:sz w:val="18"/>
                      <w:szCs w:val="18"/>
                      <w:highlight w:val="none"/>
                    </w:rPr>
                  </w:pPr>
                </w:p>
              </w:tc>
              <w:tc>
                <w:tcPr>
                  <w:tcW w:w="750" w:type="dxa"/>
                  <w:vMerge w:val="continue"/>
                  <w:tcBorders>
                    <w:left w:val="single" w:color="auto" w:sz="4" w:space="0"/>
                    <w:right w:val="single" w:color="auto" w:sz="4" w:space="0"/>
                  </w:tcBorders>
                  <w:tcMar>
                    <w:left w:w="57" w:type="dxa"/>
                    <w:right w:w="57" w:type="dxa"/>
                  </w:tcMar>
                  <w:vAlign w:val="center"/>
                </w:tcPr>
                <w:p w14:paraId="09D2AE0D">
                  <w:pPr>
                    <w:keepNext w:val="0"/>
                    <w:keepLines w:val="0"/>
                    <w:suppressLineNumbers w:val="0"/>
                    <w:adjustRightInd w:val="0"/>
                    <w:snapToGrid w:val="0"/>
                    <w:spacing w:before="0" w:beforeAutospacing="0" w:after="0" w:afterAutospacing="0" w:line="264" w:lineRule="auto"/>
                    <w:ind w:left="0" w:right="0"/>
                    <w:jc w:val="center"/>
                    <w:rPr>
                      <w:rFonts w:hint="default" w:ascii="Times New Roman" w:hAnsi="Times New Roman" w:eastAsia="宋体" w:cs="Times New Roman"/>
                      <w:sz w:val="18"/>
                      <w:szCs w:val="18"/>
                      <w:highlight w:val="none"/>
                    </w:rPr>
                  </w:pPr>
                </w:p>
              </w:tc>
              <w:tc>
                <w:tcPr>
                  <w:tcW w:w="750" w:type="dxa"/>
                  <w:vMerge w:val="continue"/>
                  <w:tcBorders>
                    <w:left w:val="single" w:color="auto" w:sz="4" w:space="0"/>
                    <w:right w:val="single" w:color="auto" w:sz="4" w:space="0"/>
                  </w:tcBorders>
                  <w:tcMar>
                    <w:left w:w="57" w:type="dxa"/>
                    <w:right w:w="57" w:type="dxa"/>
                  </w:tcMar>
                  <w:vAlign w:val="center"/>
                </w:tcPr>
                <w:p w14:paraId="524340DD">
                  <w:pPr>
                    <w:keepNext w:val="0"/>
                    <w:keepLines w:val="0"/>
                    <w:suppressLineNumbers w:val="0"/>
                    <w:adjustRightInd w:val="0"/>
                    <w:snapToGrid w:val="0"/>
                    <w:spacing w:before="0" w:beforeAutospacing="0" w:after="0" w:afterAutospacing="0" w:line="264" w:lineRule="auto"/>
                    <w:ind w:left="0" w:right="0"/>
                    <w:jc w:val="center"/>
                    <w:rPr>
                      <w:rFonts w:hint="default" w:ascii="Times New Roman" w:hAnsi="Times New Roman" w:eastAsia="宋体" w:cs="Times New Roman"/>
                      <w:sz w:val="18"/>
                      <w:szCs w:val="18"/>
                      <w:highlight w:val="none"/>
                    </w:rPr>
                  </w:pPr>
                </w:p>
              </w:tc>
              <w:tc>
                <w:tcPr>
                  <w:tcW w:w="780" w:type="dxa"/>
                  <w:vMerge w:val="continue"/>
                  <w:tcBorders>
                    <w:left w:val="single" w:color="auto" w:sz="4" w:space="0"/>
                    <w:right w:val="single" w:color="auto" w:sz="4" w:space="0"/>
                  </w:tcBorders>
                  <w:tcMar>
                    <w:left w:w="57" w:type="dxa"/>
                    <w:right w:w="57" w:type="dxa"/>
                  </w:tcMar>
                  <w:vAlign w:val="center"/>
                </w:tcPr>
                <w:p w14:paraId="1435D9F6">
                  <w:pPr>
                    <w:keepNext w:val="0"/>
                    <w:keepLines w:val="0"/>
                    <w:suppressLineNumbers w:val="0"/>
                    <w:overflowPunct w:val="0"/>
                    <w:adjustRightInd w:val="0"/>
                    <w:snapToGrid w:val="0"/>
                    <w:spacing w:before="0" w:beforeAutospacing="0" w:after="0" w:afterAutospacing="0" w:line="264" w:lineRule="auto"/>
                    <w:ind w:left="0" w:right="0"/>
                    <w:jc w:val="center"/>
                    <w:rPr>
                      <w:rFonts w:hint="default" w:ascii="Times New Roman" w:hAnsi="Times New Roman" w:eastAsia="宋体" w:cs="Times New Roman"/>
                      <w:snapToGrid w:val="0"/>
                      <w:kern w:val="0"/>
                      <w:sz w:val="18"/>
                      <w:szCs w:val="18"/>
                      <w:highlight w:val="none"/>
                    </w:rPr>
                  </w:pPr>
                </w:p>
              </w:tc>
              <w:tc>
                <w:tcPr>
                  <w:tcW w:w="945" w:type="dxa"/>
                  <w:vMerge w:val="continue"/>
                  <w:tcBorders>
                    <w:left w:val="single" w:color="auto" w:sz="4" w:space="0"/>
                    <w:right w:val="single" w:color="auto" w:sz="4" w:space="0"/>
                  </w:tcBorders>
                  <w:tcMar>
                    <w:left w:w="57" w:type="dxa"/>
                    <w:right w:w="57" w:type="dxa"/>
                  </w:tcMar>
                  <w:vAlign w:val="center"/>
                </w:tcPr>
                <w:p w14:paraId="54BEB2A8">
                  <w:pPr>
                    <w:keepNext w:val="0"/>
                    <w:keepLines w:val="0"/>
                    <w:suppressLineNumbers w:val="0"/>
                    <w:overflowPunct w:val="0"/>
                    <w:adjustRightInd w:val="0"/>
                    <w:snapToGrid w:val="0"/>
                    <w:spacing w:before="0" w:beforeAutospacing="0" w:after="0" w:afterAutospacing="0" w:line="264" w:lineRule="auto"/>
                    <w:ind w:left="0" w:right="0"/>
                    <w:jc w:val="center"/>
                    <w:rPr>
                      <w:rFonts w:hint="default" w:ascii="Times New Roman" w:hAnsi="Times New Roman" w:eastAsia="宋体" w:cs="Times New Roman"/>
                      <w:snapToGrid w:val="0"/>
                      <w:kern w:val="0"/>
                      <w:sz w:val="18"/>
                      <w:szCs w:val="18"/>
                      <w:highlight w:val="none"/>
                    </w:rPr>
                  </w:pPr>
                </w:p>
              </w:tc>
              <w:tc>
                <w:tcPr>
                  <w:tcW w:w="780" w:type="dxa"/>
                  <w:vMerge w:val="continue"/>
                  <w:tcBorders>
                    <w:left w:val="single" w:color="auto" w:sz="4" w:space="0"/>
                    <w:right w:val="single" w:color="auto" w:sz="4" w:space="0"/>
                  </w:tcBorders>
                  <w:tcMar>
                    <w:left w:w="57" w:type="dxa"/>
                    <w:right w:w="57" w:type="dxa"/>
                  </w:tcMar>
                  <w:vAlign w:val="center"/>
                </w:tcPr>
                <w:p w14:paraId="2F237808">
                  <w:pPr>
                    <w:keepNext w:val="0"/>
                    <w:keepLines w:val="0"/>
                    <w:suppressLineNumbers w:val="0"/>
                    <w:overflowPunct w:val="0"/>
                    <w:adjustRightInd w:val="0"/>
                    <w:snapToGrid w:val="0"/>
                    <w:spacing w:before="0" w:beforeAutospacing="0" w:after="0" w:afterAutospacing="0" w:line="264" w:lineRule="auto"/>
                    <w:ind w:left="0" w:right="0"/>
                    <w:jc w:val="center"/>
                    <w:rPr>
                      <w:rFonts w:hint="default" w:ascii="Times New Roman" w:hAnsi="Times New Roman" w:eastAsia="宋体" w:cs="Times New Roman"/>
                      <w:sz w:val="18"/>
                      <w:szCs w:val="18"/>
                      <w:highlight w:val="none"/>
                    </w:rPr>
                  </w:pPr>
                </w:p>
              </w:tc>
              <w:tc>
                <w:tcPr>
                  <w:tcW w:w="1301" w:type="dxa"/>
                  <w:tcBorders>
                    <w:top w:val="single" w:color="auto" w:sz="4" w:space="0"/>
                    <w:left w:val="single" w:color="auto" w:sz="4" w:space="0"/>
                    <w:bottom w:val="single" w:color="auto" w:sz="4" w:space="0"/>
                    <w:right w:val="single" w:color="auto" w:sz="4" w:space="0"/>
                  </w:tcBorders>
                  <w:shd w:val="clear" w:color="auto" w:fill="auto"/>
                  <w:tcMar>
                    <w:left w:w="57" w:type="dxa"/>
                    <w:right w:w="57" w:type="dxa"/>
                  </w:tcMar>
                  <w:vAlign w:val="center"/>
                </w:tcPr>
                <w:p w14:paraId="46335032">
                  <w:pPr>
                    <w:keepNext w:val="0"/>
                    <w:keepLines w:val="0"/>
                    <w:widowControl/>
                    <w:suppressLineNumbers w:val="0"/>
                    <w:adjustRightInd w:val="0"/>
                    <w:snapToGrid w:val="0"/>
                    <w:spacing w:before="0" w:beforeAutospacing="0" w:after="0" w:afterAutospacing="0" w:line="264" w:lineRule="auto"/>
                    <w:ind w:left="0" w:right="0"/>
                    <w:jc w:val="center"/>
                    <w:rPr>
                      <w:rFonts w:hint="default" w:ascii="Times New Roman" w:hAnsi="Times New Roman" w:eastAsia="宋体" w:cs="Times New Roman"/>
                      <w:snapToGrid w:val="0"/>
                      <w:sz w:val="18"/>
                      <w:szCs w:val="18"/>
                      <w:highlight w:val="none"/>
                      <w:lang w:val="en-US" w:eastAsia="zh-CN"/>
                    </w:rPr>
                  </w:pPr>
                  <w:r>
                    <w:rPr>
                      <w:rFonts w:hint="eastAsia" w:cs="Times New Roman"/>
                      <w:snapToGrid w:val="0"/>
                      <w:sz w:val="18"/>
                      <w:szCs w:val="18"/>
                      <w:highlight w:val="none"/>
                      <w:lang w:val="en-US" w:eastAsia="zh-CN"/>
                    </w:rPr>
                    <w:t>LAS</w:t>
                  </w:r>
                </w:p>
              </w:tc>
              <w:tc>
                <w:tcPr>
                  <w:tcW w:w="1156" w:type="dxa"/>
                  <w:tcBorders>
                    <w:top w:val="single" w:color="auto" w:sz="4" w:space="0"/>
                    <w:left w:val="single" w:color="auto" w:sz="4" w:space="0"/>
                    <w:bottom w:val="single" w:color="auto" w:sz="4" w:space="0"/>
                    <w:right w:val="single" w:color="auto" w:sz="4" w:space="0"/>
                  </w:tcBorders>
                  <w:shd w:val="clear" w:color="auto" w:fill="auto"/>
                  <w:tcMar>
                    <w:left w:w="57" w:type="dxa"/>
                    <w:right w:w="57" w:type="dxa"/>
                  </w:tcMar>
                  <w:vAlign w:val="center"/>
                </w:tcPr>
                <w:p w14:paraId="6A38C344">
                  <w:pPr>
                    <w:keepNext w:val="0"/>
                    <w:keepLines w:val="0"/>
                    <w:suppressLineNumbers w:val="0"/>
                    <w:overflowPunct w:val="0"/>
                    <w:adjustRightInd w:val="0"/>
                    <w:snapToGrid w:val="0"/>
                    <w:spacing w:before="0" w:beforeAutospacing="0" w:after="0" w:afterAutospacing="0" w:line="264" w:lineRule="auto"/>
                    <w:ind w:left="0" w:right="0"/>
                    <w:jc w:val="center"/>
                    <w:rPr>
                      <w:rFonts w:hint="default" w:ascii="Times New Roman" w:hAnsi="Times New Roman" w:eastAsia="宋体" w:cs="Times New Roman"/>
                      <w:snapToGrid w:val="0"/>
                      <w:kern w:val="0"/>
                      <w:sz w:val="18"/>
                      <w:szCs w:val="18"/>
                      <w:highlight w:val="none"/>
                      <w:lang w:val="en-US" w:eastAsia="zh-CN"/>
                    </w:rPr>
                  </w:pPr>
                  <w:r>
                    <w:rPr>
                      <w:rFonts w:hint="eastAsia" w:cs="Times New Roman"/>
                      <w:snapToGrid w:val="0"/>
                      <w:kern w:val="0"/>
                      <w:sz w:val="18"/>
                      <w:szCs w:val="18"/>
                      <w:highlight w:val="none"/>
                      <w:lang w:val="en-US" w:eastAsia="zh-CN"/>
                    </w:rPr>
                    <w:t>0.5</w:t>
                  </w:r>
                </w:p>
              </w:tc>
            </w:tr>
          </w:tbl>
          <w:p w14:paraId="1C20780E">
            <w:pPr>
              <w:keepNext w:val="0"/>
              <w:keepLines w:val="0"/>
              <w:suppressLineNumbers w:val="0"/>
              <w:overflowPunct w:val="0"/>
              <w:adjustRightInd w:val="0"/>
              <w:snapToGrid w:val="0"/>
              <w:spacing w:before="0" w:beforeAutospacing="0" w:after="0" w:afterAutospacing="0" w:line="360" w:lineRule="auto"/>
              <w:ind w:left="0" w:right="0" w:firstLine="480" w:firstLineChars="200"/>
              <w:rPr>
                <w:rFonts w:hint="default" w:ascii="Times New Roman" w:hAnsi="Times New Roman" w:eastAsia="宋体" w:cs="Times New Roman"/>
                <w:snapToGrid w:val="0"/>
                <w:kern w:val="0"/>
                <w:highlight w:val="none"/>
              </w:rPr>
            </w:pPr>
            <w:r>
              <w:rPr>
                <w:rFonts w:hint="eastAsia" w:ascii="Times New Roman" w:hAnsi="Times New Roman" w:eastAsia="宋体" w:cs="Times New Roman"/>
                <w:snapToGrid w:val="0"/>
                <w:kern w:val="0"/>
                <w:highlight w:val="none"/>
              </w:rPr>
              <w:t>废水污染物排放执行标准见表</w:t>
            </w:r>
            <w:r>
              <w:rPr>
                <w:rFonts w:hint="default" w:ascii="Times New Roman" w:hAnsi="Times New Roman" w:eastAsia="宋体" w:cs="Times New Roman"/>
                <w:snapToGrid w:val="0"/>
                <w:kern w:val="0"/>
                <w:highlight w:val="none"/>
              </w:rPr>
              <w:t>4-</w:t>
            </w:r>
            <w:r>
              <w:rPr>
                <w:rFonts w:hint="eastAsia" w:ascii="Times New Roman" w:hAnsi="Times New Roman" w:eastAsia="宋体" w:cs="Times New Roman"/>
                <w:snapToGrid w:val="0"/>
                <w:kern w:val="0"/>
                <w:highlight w:val="none"/>
              </w:rPr>
              <w:t>5。</w:t>
            </w:r>
          </w:p>
          <w:p w14:paraId="4436B5B6">
            <w:pPr>
              <w:keepNext w:val="0"/>
              <w:keepLines w:val="0"/>
              <w:suppressLineNumbers w:val="0"/>
              <w:overflowPunct w:val="0"/>
              <w:adjustRightInd w:val="0"/>
              <w:snapToGrid w:val="0"/>
              <w:spacing w:before="0" w:beforeAutospacing="0" w:after="0" w:afterAutospacing="0" w:line="360" w:lineRule="auto"/>
              <w:ind w:left="0" w:right="0" w:firstLine="482" w:firstLineChars="200"/>
              <w:jc w:val="center"/>
              <w:rPr>
                <w:rFonts w:hint="default" w:ascii="Times New Roman" w:hAnsi="Times New Roman" w:eastAsia="宋体" w:cs="Times New Roman"/>
                <w:b/>
                <w:snapToGrid w:val="0"/>
                <w:kern w:val="0"/>
                <w:highlight w:val="none"/>
              </w:rPr>
            </w:pPr>
            <w:r>
              <w:rPr>
                <w:rFonts w:hint="eastAsia" w:ascii="Times New Roman" w:hAnsi="Times New Roman" w:eastAsia="宋体" w:cs="Times New Roman"/>
                <w:b/>
                <w:snapToGrid w:val="0"/>
                <w:kern w:val="0"/>
                <w:highlight w:val="none"/>
              </w:rPr>
              <w:t>表</w:t>
            </w:r>
            <w:r>
              <w:rPr>
                <w:rFonts w:hint="default" w:ascii="Times New Roman" w:hAnsi="Times New Roman" w:eastAsia="宋体" w:cs="Times New Roman"/>
                <w:b/>
                <w:snapToGrid w:val="0"/>
                <w:kern w:val="0"/>
                <w:highlight w:val="none"/>
              </w:rPr>
              <w:t>4-</w:t>
            </w:r>
            <w:r>
              <w:rPr>
                <w:rFonts w:hint="eastAsia" w:ascii="Times New Roman" w:hAnsi="Times New Roman" w:eastAsia="宋体" w:cs="Times New Roman"/>
                <w:b/>
                <w:snapToGrid w:val="0"/>
                <w:kern w:val="0"/>
                <w:highlight w:val="none"/>
              </w:rPr>
              <w:t>5</w:t>
            </w:r>
            <w:r>
              <w:rPr>
                <w:rFonts w:hint="default" w:ascii="Times New Roman" w:hAnsi="Times New Roman" w:eastAsia="宋体" w:cs="Times New Roman"/>
                <w:b/>
                <w:snapToGrid w:val="0"/>
                <w:kern w:val="0"/>
                <w:highlight w:val="none"/>
              </w:rPr>
              <w:t xml:space="preserve">  </w:t>
            </w:r>
            <w:r>
              <w:rPr>
                <w:rFonts w:hint="eastAsia" w:ascii="Times New Roman" w:hAnsi="Times New Roman" w:eastAsia="宋体" w:cs="Times New Roman"/>
                <w:b/>
                <w:snapToGrid w:val="0"/>
                <w:kern w:val="0"/>
                <w:highlight w:val="none"/>
              </w:rPr>
              <w:t>废水污染物排放执行标准表</w:t>
            </w:r>
          </w:p>
          <w:tbl>
            <w:tblPr>
              <w:tblStyle w:val="32"/>
              <w:tblW w:w="8258"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060"/>
              <w:gridCol w:w="1170"/>
              <w:gridCol w:w="1695"/>
              <w:gridCol w:w="3195"/>
              <w:gridCol w:w="1138"/>
            </w:tblGrid>
            <w:tr w14:paraId="44E372B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35" w:hRule="atLeast"/>
                <w:jc w:val="center"/>
              </w:trPr>
              <w:tc>
                <w:tcPr>
                  <w:tcW w:w="1060" w:type="dxa"/>
                  <w:vMerge w:val="restart"/>
                  <w:tcBorders>
                    <w:top w:val="single" w:color="auto" w:sz="4" w:space="0"/>
                    <w:left w:val="single" w:color="auto" w:sz="4" w:space="0"/>
                    <w:bottom w:val="single" w:color="auto" w:sz="4" w:space="0"/>
                    <w:right w:val="single" w:color="auto" w:sz="4" w:space="0"/>
                  </w:tcBorders>
                  <w:vAlign w:val="center"/>
                </w:tcPr>
                <w:p w14:paraId="7D8777B0">
                  <w:pPr>
                    <w:keepNext w:val="0"/>
                    <w:keepLines w:val="0"/>
                    <w:suppressLineNumbers w:val="0"/>
                    <w:overflowPunct w:val="0"/>
                    <w:adjustRightInd w:val="0"/>
                    <w:snapToGrid w:val="0"/>
                    <w:spacing w:before="0" w:beforeAutospacing="0" w:after="0" w:afterAutospacing="0" w:line="264" w:lineRule="auto"/>
                    <w:ind w:left="0" w:right="0"/>
                    <w:jc w:val="center"/>
                    <w:rPr>
                      <w:rFonts w:hint="eastAsia" w:ascii="Times New Roman" w:hAnsi="Times New Roman" w:eastAsia="宋体" w:cs="Times New Roman"/>
                      <w:snapToGrid w:val="0"/>
                      <w:kern w:val="0"/>
                      <w:sz w:val="21"/>
                      <w:szCs w:val="21"/>
                      <w:highlight w:val="none"/>
                    </w:rPr>
                  </w:pPr>
                  <w:r>
                    <w:rPr>
                      <w:rFonts w:hint="eastAsia" w:ascii="Times New Roman" w:hAnsi="Times New Roman" w:eastAsia="宋体" w:cs="Times New Roman"/>
                      <w:snapToGrid w:val="0"/>
                      <w:kern w:val="0"/>
                      <w:sz w:val="21"/>
                      <w:szCs w:val="21"/>
                      <w:highlight w:val="none"/>
                    </w:rPr>
                    <w:t>排放口</w:t>
                  </w:r>
                </w:p>
                <w:p w14:paraId="5578F319">
                  <w:pPr>
                    <w:keepNext w:val="0"/>
                    <w:keepLines w:val="0"/>
                    <w:suppressLineNumbers w:val="0"/>
                    <w:overflowPunct w:val="0"/>
                    <w:adjustRightInd w:val="0"/>
                    <w:snapToGrid w:val="0"/>
                    <w:spacing w:before="0" w:beforeAutospacing="0" w:after="0" w:afterAutospacing="0" w:line="264" w:lineRule="auto"/>
                    <w:ind w:left="0" w:right="0"/>
                    <w:jc w:val="center"/>
                    <w:rPr>
                      <w:rFonts w:hint="default" w:ascii="Times New Roman" w:hAnsi="Times New Roman" w:eastAsia="宋体" w:cs="Times New Roman"/>
                      <w:snapToGrid w:val="0"/>
                      <w:kern w:val="0"/>
                      <w:sz w:val="21"/>
                      <w:szCs w:val="21"/>
                      <w:highlight w:val="none"/>
                    </w:rPr>
                  </w:pPr>
                  <w:r>
                    <w:rPr>
                      <w:rFonts w:hint="eastAsia" w:ascii="Times New Roman" w:hAnsi="Times New Roman" w:eastAsia="宋体" w:cs="Times New Roman"/>
                      <w:snapToGrid w:val="0"/>
                      <w:kern w:val="0"/>
                      <w:sz w:val="21"/>
                      <w:szCs w:val="21"/>
                      <w:highlight w:val="none"/>
                    </w:rPr>
                    <w:t>编号</w:t>
                  </w:r>
                </w:p>
              </w:tc>
              <w:tc>
                <w:tcPr>
                  <w:tcW w:w="1170" w:type="dxa"/>
                  <w:vMerge w:val="restart"/>
                  <w:tcBorders>
                    <w:top w:val="single" w:color="auto" w:sz="4" w:space="0"/>
                    <w:left w:val="single" w:color="auto" w:sz="4" w:space="0"/>
                    <w:bottom w:val="single" w:color="auto" w:sz="4" w:space="0"/>
                    <w:right w:val="single" w:color="auto" w:sz="4" w:space="0"/>
                  </w:tcBorders>
                  <w:vAlign w:val="center"/>
                </w:tcPr>
                <w:p w14:paraId="02BFFF15">
                  <w:pPr>
                    <w:keepNext w:val="0"/>
                    <w:keepLines w:val="0"/>
                    <w:suppressLineNumbers w:val="0"/>
                    <w:overflowPunct w:val="0"/>
                    <w:adjustRightInd w:val="0"/>
                    <w:snapToGrid w:val="0"/>
                    <w:spacing w:before="0" w:beforeAutospacing="0" w:after="0" w:afterAutospacing="0" w:line="264" w:lineRule="auto"/>
                    <w:ind w:left="0" w:right="0"/>
                    <w:jc w:val="center"/>
                    <w:rPr>
                      <w:rFonts w:hint="eastAsia" w:ascii="Times New Roman" w:hAnsi="Times New Roman" w:eastAsia="宋体" w:cs="Times New Roman"/>
                      <w:snapToGrid w:val="0"/>
                      <w:kern w:val="0"/>
                      <w:sz w:val="21"/>
                      <w:szCs w:val="21"/>
                      <w:highlight w:val="none"/>
                    </w:rPr>
                  </w:pPr>
                  <w:r>
                    <w:rPr>
                      <w:rFonts w:hint="eastAsia" w:ascii="Times New Roman" w:hAnsi="Times New Roman" w:eastAsia="宋体" w:cs="Times New Roman"/>
                      <w:snapToGrid w:val="0"/>
                      <w:kern w:val="0"/>
                      <w:sz w:val="21"/>
                      <w:szCs w:val="21"/>
                      <w:highlight w:val="none"/>
                    </w:rPr>
                    <w:t>排放口</w:t>
                  </w:r>
                </w:p>
                <w:p w14:paraId="76A419DC">
                  <w:pPr>
                    <w:keepNext w:val="0"/>
                    <w:keepLines w:val="0"/>
                    <w:suppressLineNumbers w:val="0"/>
                    <w:overflowPunct w:val="0"/>
                    <w:adjustRightInd w:val="0"/>
                    <w:snapToGrid w:val="0"/>
                    <w:spacing w:before="0" w:beforeAutospacing="0" w:after="0" w:afterAutospacing="0" w:line="264" w:lineRule="auto"/>
                    <w:ind w:left="0" w:right="0"/>
                    <w:jc w:val="center"/>
                    <w:rPr>
                      <w:rFonts w:hint="default" w:ascii="Times New Roman" w:hAnsi="Times New Roman" w:eastAsia="宋体" w:cs="Times New Roman"/>
                      <w:snapToGrid w:val="0"/>
                      <w:kern w:val="0"/>
                      <w:sz w:val="21"/>
                      <w:szCs w:val="21"/>
                      <w:highlight w:val="none"/>
                    </w:rPr>
                  </w:pPr>
                  <w:r>
                    <w:rPr>
                      <w:rFonts w:hint="eastAsia" w:ascii="Times New Roman" w:hAnsi="Times New Roman" w:eastAsia="宋体" w:cs="Times New Roman"/>
                      <w:snapToGrid w:val="0"/>
                      <w:kern w:val="0"/>
                      <w:sz w:val="21"/>
                      <w:szCs w:val="21"/>
                      <w:highlight w:val="none"/>
                    </w:rPr>
                    <w:t>名称</w:t>
                  </w:r>
                </w:p>
              </w:tc>
              <w:tc>
                <w:tcPr>
                  <w:tcW w:w="1695" w:type="dxa"/>
                  <w:vMerge w:val="restart"/>
                  <w:tcBorders>
                    <w:top w:val="single" w:color="auto" w:sz="4" w:space="0"/>
                    <w:left w:val="single" w:color="auto" w:sz="4" w:space="0"/>
                    <w:bottom w:val="single" w:color="auto" w:sz="4" w:space="0"/>
                    <w:right w:val="single" w:color="auto" w:sz="4" w:space="0"/>
                  </w:tcBorders>
                  <w:vAlign w:val="center"/>
                </w:tcPr>
                <w:p w14:paraId="4A34AECF">
                  <w:pPr>
                    <w:keepNext w:val="0"/>
                    <w:keepLines w:val="0"/>
                    <w:suppressLineNumbers w:val="0"/>
                    <w:overflowPunct w:val="0"/>
                    <w:adjustRightInd w:val="0"/>
                    <w:snapToGrid w:val="0"/>
                    <w:spacing w:before="0" w:beforeAutospacing="0" w:after="0" w:afterAutospacing="0" w:line="264" w:lineRule="auto"/>
                    <w:ind w:left="0" w:right="0"/>
                    <w:jc w:val="center"/>
                    <w:rPr>
                      <w:rFonts w:hint="default" w:ascii="Times New Roman" w:hAnsi="Times New Roman" w:eastAsia="宋体" w:cs="Times New Roman"/>
                      <w:snapToGrid w:val="0"/>
                      <w:kern w:val="0"/>
                      <w:sz w:val="21"/>
                      <w:szCs w:val="21"/>
                      <w:highlight w:val="none"/>
                    </w:rPr>
                  </w:pPr>
                  <w:r>
                    <w:rPr>
                      <w:rFonts w:hint="eastAsia" w:ascii="Times New Roman" w:hAnsi="Times New Roman" w:eastAsia="宋体" w:cs="Times New Roman"/>
                      <w:snapToGrid w:val="0"/>
                      <w:kern w:val="0"/>
                      <w:sz w:val="21"/>
                      <w:szCs w:val="21"/>
                      <w:highlight w:val="none"/>
                    </w:rPr>
                    <w:t>污染物种类</w:t>
                  </w:r>
                </w:p>
              </w:tc>
              <w:tc>
                <w:tcPr>
                  <w:tcW w:w="4333" w:type="dxa"/>
                  <w:gridSpan w:val="2"/>
                  <w:tcBorders>
                    <w:top w:val="single" w:color="auto" w:sz="4" w:space="0"/>
                    <w:left w:val="single" w:color="auto" w:sz="4" w:space="0"/>
                    <w:bottom w:val="single" w:color="auto" w:sz="4" w:space="0"/>
                    <w:right w:val="single" w:color="auto" w:sz="4" w:space="0"/>
                  </w:tcBorders>
                  <w:vAlign w:val="center"/>
                </w:tcPr>
                <w:p w14:paraId="42568EB4">
                  <w:pPr>
                    <w:keepNext w:val="0"/>
                    <w:keepLines w:val="0"/>
                    <w:suppressLineNumbers w:val="0"/>
                    <w:overflowPunct w:val="0"/>
                    <w:adjustRightInd w:val="0"/>
                    <w:snapToGrid w:val="0"/>
                    <w:spacing w:before="0" w:beforeAutospacing="0" w:after="0" w:afterAutospacing="0" w:line="264" w:lineRule="auto"/>
                    <w:ind w:left="0" w:right="0"/>
                    <w:jc w:val="center"/>
                    <w:rPr>
                      <w:rFonts w:hint="default" w:ascii="Times New Roman" w:hAnsi="Times New Roman" w:eastAsia="宋体" w:cs="Times New Roman"/>
                      <w:snapToGrid w:val="0"/>
                      <w:kern w:val="0"/>
                      <w:sz w:val="21"/>
                      <w:szCs w:val="21"/>
                      <w:highlight w:val="none"/>
                    </w:rPr>
                  </w:pPr>
                  <w:r>
                    <w:rPr>
                      <w:rFonts w:hint="eastAsia" w:ascii="Times New Roman" w:hAnsi="Times New Roman" w:eastAsia="宋体" w:cs="Times New Roman"/>
                      <w:snapToGrid w:val="0"/>
                      <w:kern w:val="0"/>
                      <w:sz w:val="21"/>
                      <w:szCs w:val="21"/>
                      <w:highlight w:val="none"/>
                    </w:rPr>
                    <w:t>国家或地方污染物排放标准</w:t>
                  </w:r>
                </w:p>
              </w:tc>
            </w:tr>
            <w:tr w14:paraId="6A680A4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35" w:hRule="atLeast"/>
                <w:jc w:val="center"/>
              </w:trPr>
              <w:tc>
                <w:tcPr>
                  <w:tcW w:w="1060" w:type="dxa"/>
                  <w:vMerge w:val="continue"/>
                  <w:tcBorders>
                    <w:top w:val="single" w:color="auto" w:sz="4" w:space="0"/>
                    <w:left w:val="single" w:color="auto" w:sz="4" w:space="0"/>
                    <w:bottom w:val="single" w:color="auto" w:sz="4" w:space="0"/>
                    <w:right w:val="single" w:color="auto" w:sz="4" w:space="0"/>
                  </w:tcBorders>
                  <w:vAlign w:val="center"/>
                </w:tcPr>
                <w:p w14:paraId="5A39A29E">
                  <w:pPr>
                    <w:keepNext w:val="0"/>
                    <w:keepLines w:val="0"/>
                    <w:suppressLineNumbers w:val="0"/>
                    <w:overflowPunct w:val="0"/>
                    <w:adjustRightInd w:val="0"/>
                    <w:snapToGrid w:val="0"/>
                    <w:spacing w:before="0" w:beforeAutospacing="0" w:after="0" w:afterAutospacing="0" w:line="264" w:lineRule="auto"/>
                    <w:ind w:left="0" w:right="0"/>
                    <w:jc w:val="center"/>
                    <w:rPr>
                      <w:rFonts w:hint="default" w:ascii="Times New Roman" w:hAnsi="Times New Roman" w:eastAsia="宋体" w:cs="Times New Roman"/>
                      <w:snapToGrid w:val="0"/>
                      <w:kern w:val="0"/>
                      <w:sz w:val="21"/>
                      <w:szCs w:val="21"/>
                      <w:highlight w:val="none"/>
                    </w:rPr>
                  </w:pPr>
                </w:p>
              </w:tc>
              <w:tc>
                <w:tcPr>
                  <w:tcW w:w="1170" w:type="dxa"/>
                  <w:vMerge w:val="continue"/>
                  <w:tcBorders>
                    <w:top w:val="single" w:color="auto" w:sz="4" w:space="0"/>
                    <w:left w:val="single" w:color="auto" w:sz="4" w:space="0"/>
                    <w:bottom w:val="single" w:color="auto" w:sz="4" w:space="0"/>
                    <w:right w:val="single" w:color="auto" w:sz="4" w:space="0"/>
                  </w:tcBorders>
                  <w:vAlign w:val="center"/>
                </w:tcPr>
                <w:p w14:paraId="6CF7F283">
                  <w:pPr>
                    <w:keepNext w:val="0"/>
                    <w:keepLines w:val="0"/>
                    <w:suppressLineNumbers w:val="0"/>
                    <w:overflowPunct w:val="0"/>
                    <w:adjustRightInd w:val="0"/>
                    <w:snapToGrid w:val="0"/>
                    <w:spacing w:before="0" w:beforeAutospacing="0" w:after="0" w:afterAutospacing="0" w:line="264" w:lineRule="auto"/>
                    <w:ind w:left="0" w:right="0"/>
                    <w:jc w:val="center"/>
                    <w:rPr>
                      <w:rFonts w:hint="default" w:ascii="Times New Roman" w:hAnsi="Times New Roman" w:eastAsia="宋体" w:cs="Times New Roman"/>
                      <w:snapToGrid w:val="0"/>
                      <w:kern w:val="0"/>
                      <w:sz w:val="21"/>
                      <w:szCs w:val="21"/>
                      <w:highlight w:val="none"/>
                    </w:rPr>
                  </w:pPr>
                </w:p>
              </w:tc>
              <w:tc>
                <w:tcPr>
                  <w:tcW w:w="1695" w:type="dxa"/>
                  <w:vMerge w:val="continue"/>
                  <w:tcBorders>
                    <w:top w:val="single" w:color="auto" w:sz="4" w:space="0"/>
                    <w:left w:val="single" w:color="auto" w:sz="4" w:space="0"/>
                    <w:bottom w:val="single" w:color="auto" w:sz="4" w:space="0"/>
                    <w:right w:val="single" w:color="auto" w:sz="4" w:space="0"/>
                  </w:tcBorders>
                  <w:vAlign w:val="center"/>
                </w:tcPr>
                <w:p w14:paraId="77450B91">
                  <w:pPr>
                    <w:keepNext w:val="0"/>
                    <w:keepLines w:val="0"/>
                    <w:suppressLineNumbers w:val="0"/>
                    <w:overflowPunct w:val="0"/>
                    <w:adjustRightInd w:val="0"/>
                    <w:snapToGrid w:val="0"/>
                    <w:spacing w:before="0" w:beforeAutospacing="0" w:after="0" w:afterAutospacing="0" w:line="264" w:lineRule="auto"/>
                    <w:ind w:left="0" w:right="0"/>
                    <w:jc w:val="center"/>
                    <w:rPr>
                      <w:rFonts w:hint="default" w:ascii="Times New Roman" w:hAnsi="Times New Roman" w:eastAsia="宋体" w:cs="Times New Roman"/>
                      <w:snapToGrid w:val="0"/>
                      <w:kern w:val="0"/>
                      <w:sz w:val="21"/>
                      <w:szCs w:val="21"/>
                      <w:highlight w:val="none"/>
                    </w:rPr>
                  </w:pPr>
                </w:p>
              </w:tc>
              <w:tc>
                <w:tcPr>
                  <w:tcW w:w="3195" w:type="dxa"/>
                  <w:tcBorders>
                    <w:top w:val="single" w:color="auto" w:sz="4" w:space="0"/>
                    <w:left w:val="single" w:color="auto" w:sz="4" w:space="0"/>
                    <w:bottom w:val="single" w:color="auto" w:sz="4" w:space="0"/>
                    <w:right w:val="single" w:color="auto" w:sz="4" w:space="0"/>
                  </w:tcBorders>
                  <w:vAlign w:val="center"/>
                </w:tcPr>
                <w:p w14:paraId="246901A3">
                  <w:pPr>
                    <w:keepNext w:val="0"/>
                    <w:keepLines w:val="0"/>
                    <w:suppressLineNumbers w:val="0"/>
                    <w:overflowPunct w:val="0"/>
                    <w:adjustRightInd w:val="0"/>
                    <w:snapToGrid w:val="0"/>
                    <w:spacing w:before="0" w:beforeAutospacing="0" w:after="0" w:afterAutospacing="0" w:line="264" w:lineRule="auto"/>
                    <w:ind w:left="0" w:right="0"/>
                    <w:jc w:val="center"/>
                    <w:rPr>
                      <w:rFonts w:hint="default" w:ascii="Times New Roman" w:hAnsi="Times New Roman" w:eastAsia="宋体" w:cs="Times New Roman"/>
                      <w:snapToGrid w:val="0"/>
                      <w:kern w:val="0"/>
                      <w:sz w:val="21"/>
                      <w:szCs w:val="21"/>
                      <w:highlight w:val="none"/>
                    </w:rPr>
                  </w:pPr>
                  <w:r>
                    <w:rPr>
                      <w:rFonts w:hint="eastAsia" w:ascii="Times New Roman" w:hAnsi="Times New Roman" w:eastAsia="宋体" w:cs="Times New Roman"/>
                      <w:snapToGrid w:val="0"/>
                      <w:kern w:val="0"/>
                      <w:sz w:val="21"/>
                      <w:szCs w:val="21"/>
                      <w:highlight w:val="none"/>
                    </w:rPr>
                    <w:t>名称</w:t>
                  </w:r>
                </w:p>
              </w:tc>
              <w:tc>
                <w:tcPr>
                  <w:tcW w:w="1138" w:type="dxa"/>
                  <w:tcBorders>
                    <w:top w:val="single" w:color="auto" w:sz="4" w:space="0"/>
                    <w:left w:val="single" w:color="auto" w:sz="4" w:space="0"/>
                    <w:bottom w:val="single" w:color="auto" w:sz="4" w:space="0"/>
                    <w:right w:val="single" w:color="auto" w:sz="4" w:space="0"/>
                  </w:tcBorders>
                  <w:vAlign w:val="center"/>
                </w:tcPr>
                <w:p w14:paraId="41BC83F9">
                  <w:pPr>
                    <w:keepNext w:val="0"/>
                    <w:keepLines w:val="0"/>
                    <w:suppressLineNumbers w:val="0"/>
                    <w:overflowPunct w:val="0"/>
                    <w:adjustRightInd w:val="0"/>
                    <w:snapToGrid w:val="0"/>
                    <w:spacing w:before="0" w:beforeAutospacing="0" w:after="0" w:afterAutospacing="0" w:line="264" w:lineRule="auto"/>
                    <w:ind w:left="0" w:right="0"/>
                    <w:jc w:val="center"/>
                    <w:rPr>
                      <w:rFonts w:hint="default" w:ascii="Times New Roman" w:hAnsi="Times New Roman" w:eastAsia="宋体" w:cs="Times New Roman"/>
                      <w:snapToGrid w:val="0"/>
                      <w:kern w:val="0"/>
                      <w:sz w:val="21"/>
                      <w:szCs w:val="21"/>
                      <w:highlight w:val="none"/>
                    </w:rPr>
                  </w:pPr>
                  <w:r>
                    <w:rPr>
                      <w:rFonts w:hint="eastAsia" w:ascii="Times New Roman" w:hAnsi="Times New Roman" w:eastAsia="宋体" w:cs="Times New Roman"/>
                      <w:snapToGrid w:val="0"/>
                      <w:kern w:val="0"/>
                      <w:sz w:val="21"/>
                      <w:szCs w:val="21"/>
                      <w:highlight w:val="none"/>
                    </w:rPr>
                    <w:t>浓度限值</w:t>
                  </w:r>
                  <w:r>
                    <w:rPr>
                      <w:rFonts w:hint="default" w:ascii="Times New Roman" w:hAnsi="Times New Roman" w:eastAsia="宋体" w:cs="Times New Roman"/>
                      <w:snapToGrid w:val="0"/>
                      <w:kern w:val="0"/>
                      <w:sz w:val="21"/>
                      <w:szCs w:val="21"/>
                      <w:highlight w:val="none"/>
                    </w:rPr>
                    <w:t>mg/L</w:t>
                  </w:r>
                </w:p>
              </w:tc>
            </w:tr>
            <w:tr w14:paraId="2DBAACB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0" w:hRule="atLeast"/>
                <w:jc w:val="center"/>
              </w:trPr>
              <w:tc>
                <w:tcPr>
                  <w:tcW w:w="1060" w:type="dxa"/>
                  <w:vMerge w:val="restart"/>
                  <w:tcBorders>
                    <w:top w:val="single" w:color="auto" w:sz="4" w:space="0"/>
                    <w:left w:val="single" w:color="auto" w:sz="4" w:space="0"/>
                    <w:right w:val="single" w:color="auto" w:sz="4" w:space="0"/>
                  </w:tcBorders>
                  <w:vAlign w:val="center"/>
                </w:tcPr>
                <w:p w14:paraId="65419138">
                  <w:pPr>
                    <w:keepNext w:val="0"/>
                    <w:keepLines w:val="0"/>
                    <w:suppressLineNumbers w:val="0"/>
                    <w:overflowPunct w:val="0"/>
                    <w:adjustRightInd w:val="0"/>
                    <w:snapToGrid w:val="0"/>
                    <w:spacing w:before="0" w:beforeAutospacing="0" w:after="0" w:afterAutospacing="0" w:line="264" w:lineRule="auto"/>
                    <w:ind w:left="0" w:right="0"/>
                    <w:jc w:val="center"/>
                    <w:rPr>
                      <w:rFonts w:hint="default" w:ascii="Times New Roman" w:hAnsi="Times New Roman" w:eastAsia="宋体" w:cs="Times New Roman"/>
                      <w:snapToGrid w:val="0"/>
                      <w:kern w:val="0"/>
                      <w:sz w:val="21"/>
                      <w:szCs w:val="21"/>
                      <w:highlight w:val="none"/>
                      <w:lang w:val="en-US" w:eastAsia="zh-CN"/>
                    </w:rPr>
                  </w:pPr>
                  <w:r>
                    <w:rPr>
                      <w:rFonts w:hint="default" w:ascii="Times New Roman" w:hAnsi="Times New Roman" w:eastAsia="宋体" w:cs="Times New Roman"/>
                      <w:snapToGrid w:val="0"/>
                      <w:kern w:val="0"/>
                      <w:sz w:val="21"/>
                      <w:szCs w:val="21"/>
                      <w:highlight w:val="none"/>
                    </w:rPr>
                    <w:t>DW001</w:t>
                  </w:r>
                  <w:r>
                    <w:rPr>
                      <w:rFonts w:hint="eastAsia" w:cs="Times New Roman"/>
                      <w:snapToGrid w:val="0"/>
                      <w:kern w:val="0"/>
                      <w:sz w:val="21"/>
                      <w:szCs w:val="21"/>
                      <w:highlight w:val="none"/>
                      <w:lang w:eastAsia="zh-CN"/>
                    </w:rPr>
                    <w:t>、</w:t>
                  </w:r>
                  <w:r>
                    <w:rPr>
                      <w:rFonts w:hint="eastAsia" w:cs="Times New Roman"/>
                      <w:snapToGrid w:val="0"/>
                      <w:kern w:val="0"/>
                      <w:sz w:val="21"/>
                      <w:szCs w:val="21"/>
                      <w:highlight w:val="none"/>
                      <w:lang w:val="en-US" w:eastAsia="zh-CN"/>
                    </w:rPr>
                    <w:t>DW002</w:t>
                  </w:r>
                </w:p>
              </w:tc>
              <w:tc>
                <w:tcPr>
                  <w:tcW w:w="1170" w:type="dxa"/>
                  <w:vMerge w:val="restart"/>
                  <w:tcBorders>
                    <w:top w:val="single" w:color="auto" w:sz="4" w:space="0"/>
                    <w:left w:val="single" w:color="auto" w:sz="4" w:space="0"/>
                    <w:right w:val="single" w:color="auto" w:sz="4" w:space="0"/>
                  </w:tcBorders>
                  <w:vAlign w:val="center"/>
                </w:tcPr>
                <w:p w14:paraId="33B6863D">
                  <w:pPr>
                    <w:keepNext w:val="0"/>
                    <w:keepLines w:val="0"/>
                    <w:suppressLineNumbers w:val="0"/>
                    <w:overflowPunct w:val="0"/>
                    <w:adjustRightInd w:val="0"/>
                    <w:snapToGrid w:val="0"/>
                    <w:spacing w:before="0" w:beforeAutospacing="0" w:after="0" w:afterAutospacing="0" w:line="264" w:lineRule="auto"/>
                    <w:ind w:left="0" w:right="0"/>
                    <w:jc w:val="center"/>
                    <w:rPr>
                      <w:rFonts w:hint="eastAsia" w:ascii="Times New Roman" w:hAnsi="Times New Roman" w:eastAsia="宋体" w:cs="Times New Roman"/>
                      <w:snapToGrid w:val="0"/>
                      <w:kern w:val="0"/>
                      <w:sz w:val="21"/>
                      <w:szCs w:val="21"/>
                      <w:highlight w:val="none"/>
                      <w:lang w:eastAsia="zh-CN"/>
                    </w:rPr>
                  </w:pPr>
                  <w:r>
                    <w:rPr>
                      <w:rFonts w:hint="eastAsia" w:cs="Times New Roman"/>
                      <w:snapToGrid w:val="0"/>
                      <w:kern w:val="0"/>
                      <w:sz w:val="21"/>
                      <w:szCs w:val="21"/>
                      <w:highlight w:val="none"/>
                      <w:lang w:val="en-US" w:eastAsia="zh-CN"/>
                    </w:rPr>
                    <w:t>生活</w:t>
                  </w:r>
                  <w:r>
                    <w:rPr>
                      <w:rFonts w:hint="eastAsia" w:ascii="Times New Roman" w:hAnsi="Times New Roman" w:eastAsia="宋体" w:cs="Times New Roman"/>
                      <w:snapToGrid w:val="0"/>
                      <w:kern w:val="0"/>
                      <w:sz w:val="21"/>
                      <w:szCs w:val="21"/>
                      <w:highlight w:val="none"/>
                    </w:rPr>
                    <w:t>污水排放口</w:t>
                  </w:r>
                  <w:r>
                    <w:rPr>
                      <w:rFonts w:hint="eastAsia" w:cs="Times New Roman"/>
                      <w:snapToGrid w:val="0"/>
                      <w:kern w:val="0"/>
                      <w:sz w:val="21"/>
                      <w:szCs w:val="21"/>
                      <w:highlight w:val="none"/>
                      <w:lang w:eastAsia="zh-CN"/>
                    </w:rPr>
                    <w:t>、</w:t>
                  </w:r>
                  <w:r>
                    <w:rPr>
                      <w:rFonts w:hint="eastAsia" w:ascii="Times New Roman" w:hAnsi="Times New Roman" w:eastAsia="宋体" w:cs="Times New Roman"/>
                      <w:snapToGrid w:val="0"/>
                      <w:kern w:val="0"/>
                      <w:sz w:val="21"/>
                      <w:szCs w:val="21"/>
                      <w:highlight w:val="none"/>
                    </w:rPr>
                    <w:t>废水排放口</w:t>
                  </w:r>
                </w:p>
              </w:tc>
              <w:tc>
                <w:tcPr>
                  <w:tcW w:w="1695" w:type="dxa"/>
                  <w:tcBorders>
                    <w:top w:val="single" w:color="auto" w:sz="4" w:space="0"/>
                    <w:left w:val="single" w:color="auto" w:sz="4" w:space="0"/>
                    <w:bottom w:val="single" w:color="auto" w:sz="4" w:space="0"/>
                    <w:right w:val="single" w:color="auto" w:sz="4" w:space="0"/>
                  </w:tcBorders>
                  <w:vAlign w:val="center"/>
                </w:tcPr>
                <w:p w14:paraId="167EC58B">
                  <w:pPr>
                    <w:keepNext w:val="0"/>
                    <w:keepLines w:val="0"/>
                    <w:widowControl/>
                    <w:suppressLineNumbers w:val="0"/>
                    <w:adjustRightInd w:val="0"/>
                    <w:snapToGrid w:val="0"/>
                    <w:spacing w:before="0" w:beforeAutospacing="0" w:after="0" w:afterAutospacing="0" w:line="264" w:lineRule="auto"/>
                    <w:ind w:left="0" w:right="0"/>
                    <w:jc w:val="center"/>
                    <w:rPr>
                      <w:rFonts w:hint="default" w:ascii="Times New Roman" w:hAnsi="Times New Roman" w:eastAsia="宋体" w:cs="Times New Roman"/>
                      <w:snapToGrid w:val="0"/>
                      <w:sz w:val="21"/>
                      <w:szCs w:val="21"/>
                      <w:highlight w:val="none"/>
                      <w:lang w:val="en-US" w:eastAsia="zh-CN"/>
                    </w:rPr>
                  </w:pPr>
                  <w:r>
                    <w:rPr>
                      <w:rFonts w:hint="eastAsia" w:cs="Times New Roman"/>
                      <w:snapToGrid w:val="0"/>
                      <w:sz w:val="21"/>
                      <w:szCs w:val="21"/>
                      <w:highlight w:val="none"/>
                      <w:lang w:val="en-US" w:eastAsia="zh-CN"/>
                    </w:rPr>
                    <w:t>pH</w:t>
                  </w:r>
                </w:p>
              </w:tc>
              <w:tc>
                <w:tcPr>
                  <w:tcW w:w="3195" w:type="dxa"/>
                  <w:vMerge w:val="restart"/>
                  <w:tcBorders>
                    <w:top w:val="single" w:color="auto" w:sz="4" w:space="0"/>
                    <w:left w:val="single" w:color="auto" w:sz="4" w:space="0"/>
                    <w:right w:val="single" w:color="auto" w:sz="4" w:space="0"/>
                  </w:tcBorders>
                  <w:vAlign w:val="center"/>
                </w:tcPr>
                <w:p w14:paraId="0EA27520">
                  <w:pPr>
                    <w:keepNext w:val="0"/>
                    <w:keepLines w:val="0"/>
                    <w:suppressLineNumbers w:val="0"/>
                    <w:overflowPunct w:val="0"/>
                    <w:adjustRightInd w:val="0"/>
                    <w:snapToGrid w:val="0"/>
                    <w:spacing w:before="0" w:beforeAutospacing="0" w:after="0" w:afterAutospacing="0" w:line="264" w:lineRule="auto"/>
                    <w:ind w:left="0" w:right="0"/>
                    <w:jc w:val="center"/>
                    <w:rPr>
                      <w:rFonts w:hint="default" w:ascii="Times New Roman" w:hAnsi="Times New Roman" w:eastAsia="宋体" w:cs="Times New Roman"/>
                      <w:snapToGrid w:val="0"/>
                      <w:kern w:val="0"/>
                      <w:sz w:val="21"/>
                      <w:szCs w:val="21"/>
                      <w:highlight w:val="none"/>
                    </w:rPr>
                  </w:pPr>
                  <w:r>
                    <w:rPr>
                      <w:rFonts w:hint="eastAsia"/>
                      <w:snapToGrid w:val="0"/>
                      <w:kern w:val="0"/>
                      <w:sz w:val="21"/>
                      <w:szCs w:val="21"/>
                      <w:highlight w:val="none"/>
                    </w:rPr>
                    <w:t>高铁新城再生水厂进水水质标准</w:t>
                  </w:r>
                </w:p>
              </w:tc>
              <w:tc>
                <w:tcPr>
                  <w:tcW w:w="1138" w:type="dxa"/>
                  <w:tcBorders>
                    <w:top w:val="single" w:color="auto" w:sz="4" w:space="0"/>
                    <w:left w:val="single" w:color="auto" w:sz="4" w:space="0"/>
                    <w:bottom w:val="single" w:color="auto" w:sz="4" w:space="0"/>
                    <w:right w:val="single" w:color="auto" w:sz="4" w:space="0"/>
                  </w:tcBorders>
                  <w:vAlign w:val="center"/>
                </w:tcPr>
                <w:p w14:paraId="7A49E6E3">
                  <w:pPr>
                    <w:keepNext w:val="0"/>
                    <w:keepLines w:val="0"/>
                    <w:suppressLineNumbers w:val="0"/>
                    <w:overflowPunct w:val="0"/>
                    <w:adjustRightInd w:val="0"/>
                    <w:snapToGrid w:val="0"/>
                    <w:spacing w:before="0" w:beforeAutospacing="0" w:after="0" w:afterAutospacing="0" w:line="264" w:lineRule="auto"/>
                    <w:ind w:left="0" w:right="0"/>
                    <w:jc w:val="center"/>
                    <w:rPr>
                      <w:rFonts w:hint="default" w:cs="Times New Roman"/>
                      <w:snapToGrid w:val="0"/>
                      <w:kern w:val="0"/>
                      <w:sz w:val="21"/>
                      <w:szCs w:val="21"/>
                      <w:highlight w:val="none"/>
                      <w:lang w:val="en-US" w:eastAsia="zh-CN"/>
                    </w:rPr>
                  </w:pPr>
                  <w:r>
                    <w:rPr>
                      <w:rFonts w:hint="eastAsia" w:cs="Times New Roman"/>
                      <w:snapToGrid w:val="0"/>
                      <w:kern w:val="0"/>
                      <w:sz w:val="21"/>
                      <w:szCs w:val="21"/>
                      <w:highlight w:val="none"/>
                      <w:lang w:val="en-US" w:eastAsia="zh-CN"/>
                    </w:rPr>
                    <w:t>6~9</w:t>
                  </w:r>
                </w:p>
              </w:tc>
            </w:tr>
            <w:tr w14:paraId="1336CFA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0" w:hRule="atLeast"/>
                <w:jc w:val="center"/>
              </w:trPr>
              <w:tc>
                <w:tcPr>
                  <w:tcW w:w="1060" w:type="dxa"/>
                  <w:vMerge w:val="continue"/>
                  <w:tcBorders>
                    <w:left w:val="single" w:color="auto" w:sz="4" w:space="0"/>
                    <w:right w:val="single" w:color="auto" w:sz="4" w:space="0"/>
                  </w:tcBorders>
                  <w:vAlign w:val="center"/>
                </w:tcPr>
                <w:p w14:paraId="44843508">
                  <w:pPr>
                    <w:keepNext w:val="0"/>
                    <w:keepLines w:val="0"/>
                    <w:suppressLineNumbers w:val="0"/>
                    <w:overflowPunct w:val="0"/>
                    <w:adjustRightInd w:val="0"/>
                    <w:snapToGrid w:val="0"/>
                    <w:spacing w:before="0" w:beforeAutospacing="0" w:after="0" w:afterAutospacing="0" w:line="264" w:lineRule="auto"/>
                    <w:ind w:left="0" w:right="0"/>
                    <w:jc w:val="center"/>
                    <w:rPr>
                      <w:rFonts w:hint="default" w:ascii="Times New Roman" w:hAnsi="Times New Roman" w:eastAsia="宋体" w:cs="Times New Roman"/>
                      <w:snapToGrid w:val="0"/>
                      <w:kern w:val="0"/>
                      <w:sz w:val="21"/>
                      <w:szCs w:val="21"/>
                      <w:highlight w:val="none"/>
                      <w:lang w:val="en-US" w:eastAsia="zh-CN"/>
                    </w:rPr>
                  </w:pPr>
                </w:p>
              </w:tc>
              <w:tc>
                <w:tcPr>
                  <w:tcW w:w="1170" w:type="dxa"/>
                  <w:vMerge w:val="continue"/>
                  <w:tcBorders>
                    <w:left w:val="single" w:color="auto" w:sz="4" w:space="0"/>
                    <w:right w:val="single" w:color="auto" w:sz="4" w:space="0"/>
                  </w:tcBorders>
                  <w:vAlign w:val="center"/>
                </w:tcPr>
                <w:p w14:paraId="7E5C5010">
                  <w:pPr>
                    <w:keepNext w:val="0"/>
                    <w:keepLines w:val="0"/>
                    <w:suppressLineNumbers w:val="0"/>
                    <w:overflowPunct w:val="0"/>
                    <w:adjustRightInd w:val="0"/>
                    <w:snapToGrid w:val="0"/>
                    <w:spacing w:before="0" w:beforeAutospacing="0" w:after="0" w:afterAutospacing="0" w:line="264" w:lineRule="auto"/>
                    <w:ind w:left="0" w:right="0"/>
                    <w:jc w:val="center"/>
                    <w:rPr>
                      <w:rFonts w:hint="eastAsia" w:ascii="Times New Roman" w:hAnsi="Times New Roman" w:eastAsia="宋体" w:cs="Times New Roman"/>
                      <w:snapToGrid w:val="0"/>
                      <w:kern w:val="0"/>
                      <w:sz w:val="21"/>
                      <w:szCs w:val="21"/>
                      <w:highlight w:val="none"/>
                      <w:lang w:eastAsia="zh-CN"/>
                    </w:rPr>
                  </w:pPr>
                </w:p>
              </w:tc>
              <w:tc>
                <w:tcPr>
                  <w:tcW w:w="1695" w:type="dxa"/>
                  <w:tcBorders>
                    <w:top w:val="single" w:color="auto" w:sz="4" w:space="0"/>
                    <w:left w:val="single" w:color="auto" w:sz="4" w:space="0"/>
                    <w:bottom w:val="single" w:color="auto" w:sz="4" w:space="0"/>
                    <w:right w:val="single" w:color="auto" w:sz="4" w:space="0"/>
                  </w:tcBorders>
                  <w:vAlign w:val="center"/>
                </w:tcPr>
                <w:p w14:paraId="6D239E6F">
                  <w:pPr>
                    <w:keepNext w:val="0"/>
                    <w:keepLines w:val="0"/>
                    <w:widowControl/>
                    <w:suppressLineNumbers w:val="0"/>
                    <w:adjustRightInd w:val="0"/>
                    <w:snapToGrid w:val="0"/>
                    <w:spacing w:before="0" w:beforeAutospacing="0" w:after="0" w:afterAutospacing="0" w:line="264" w:lineRule="auto"/>
                    <w:ind w:left="0" w:right="0"/>
                    <w:jc w:val="center"/>
                    <w:rPr>
                      <w:rFonts w:hint="default" w:ascii="Times New Roman" w:hAnsi="Times New Roman" w:eastAsia="宋体" w:cs="Times New Roman"/>
                      <w:snapToGrid w:val="0"/>
                      <w:sz w:val="21"/>
                      <w:szCs w:val="21"/>
                      <w:highlight w:val="none"/>
                    </w:rPr>
                  </w:pPr>
                  <w:r>
                    <w:rPr>
                      <w:rFonts w:hint="default" w:ascii="Times New Roman" w:hAnsi="Times New Roman" w:eastAsia="宋体" w:cs="Times New Roman"/>
                      <w:snapToGrid w:val="0"/>
                      <w:sz w:val="21"/>
                      <w:szCs w:val="21"/>
                      <w:highlight w:val="none"/>
                    </w:rPr>
                    <w:t>COD</w:t>
                  </w:r>
                  <w:r>
                    <w:rPr>
                      <w:rFonts w:hint="default" w:ascii="Times New Roman" w:hAnsi="Times New Roman" w:eastAsia="宋体" w:cs="Times New Roman"/>
                      <w:snapToGrid w:val="0"/>
                      <w:sz w:val="21"/>
                      <w:szCs w:val="21"/>
                      <w:highlight w:val="none"/>
                      <w:vertAlign w:val="subscript"/>
                    </w:rPr>
                    <w:t>Cr</w:t>
                  </w:r>
                </w:p>
              </w:tc>
              <w:tc>
                <w:tcPr>
                  <w:tcW w:w="3195" w:type="dxa"/>
                  <w:vMerge w:val="continue"/>
                  <w:tcBorders>
                    <w:left w:val="single" w:color="auto" w:sz="4" w:space="0"/>
                    <w:right w:val="single" w:color="auto" w:sz="4" w:space="0"/>
                  </w:tcBorders>
                  <w:vAlign w:val="center"/>
                </w:tcPr>
                <w:p w14:paraId="137A4E2D">
                  <w:pPr>
                    <w:keepNext w:val="0"/>
                    <w:keepLines w:val="0"/>
                    <w:suppressLineNumbers w:val="0"/>
                    <w:overflowPunct w:val="0"/>
                    <w:adjustRightInd w:val="0"/>
                    <w:snapToGrid w:val="0"/>
                    <w:spacing w:before="0" w:beforeAutospacing="0" w:after="0" w:afterAutospacing="0" w:line="264" w:lineRule="auto"/>
                    <w:ind w:left="0" w:right="0"/>
                    <w:jc w:val="center"/>
                    <w:rPr>
                      <w:rFonts w:hint="default" w:ascii="Times New Roman" w:hAnsi="Times New Roman" w:eastAsia="宋体" w:cs="Times New Roman"/>
                      <w:snapToGrid w:val="0"/>
                      <w:kern w:val="0"/>
                      <w:sz w:val="21"/>
                      <w:szCs w:val="21"/>
                      <w:highlight w:val="none"/>
                    </w:rPr>
                  </w:pPr>
                </w:p>
              </w:tc>
              <w:tc>
                <w:tcPr>
                  <w:tcW w:w="1138" w:type="dxa"/>
                  <w:tcBorders>
                    <w:top w:val="single" w:color="auto" w:sz="4" w:space="0"/>
                    <w:left w:val="single" w:color="auto" w:sz="4" w:space="0"/>
                    <w:bottom w:val="single" w:color="auto" w:sz="4" w:space="0"/>
                    <w:right w:val="single" w:color="auto" w:sz="4" w:space="0"/>
                  </w:tcBorders>
                  <w:vAlign w:val="center"/>
                </w:tcPr>
                <w:p w14:paraId="16724194">
                  <w:pPr>
                    <w:keepNext w:val="0"/>
                    <w:keepLines w:val="0"/>
                    <w:suppressLineNumbers w:val="0"/>
                    <w:overflowPunct w:val="0"/>
                    <w:adjustRightInd w:val="0"/>
                    <w:snapToGrid w:val="0"/>
                    <w:spacing w:before="0" w:beforeAutospacing="0" w:after="0" w:afterAutospacing="0" w:line="264" w:lineRule="auto"/>
                    <w:ind w:left="0" w:right="0"/>
                    <w:jc w:val="center"/>
                    <w:rPr>
                      <w:rFonts w:hint="default" w:ascii="Times New Roman" w:hAnsi="Times New Roman" w:eastAsia="宋体" w:cs="Times New Roman"/>
                      <w:snapToGrid w:val="0"/>
                      <w:kern w:val="0"/>
                      <w:sz w:val="21"/>
                      <w:szCs w:val="21"/>
                      <w:highlight w:val="none"/>
                    </w:rPr>
                  </w:pPr>
                  <w:r>
                    <w:rPr>
                      <w:rFonts w:hint="eastAsia" w:cs="Times New Roman"/>
                      <w:snapToGrid w:val="0"/>
                      <w:kern w:val="0"/>
                      <w:sz w:val="21"/>
                      <w:szCs w:val="21"/>
                      <w:highlight w:val="none"/>
                      <w:lang w:val="en-US" w:eastAsia="zh-CN"/>
                    </w:rPr>
                    <w:t>4</w:t>
                  </w:r>
                  <w:r>
                    <w:rPr>
                      <w:rFonts w:hint="default" w:ascii="Times New Roman" w:hAnsi="Times New Roman" w:eastAsia="宋体" w:cs="Times New Roman"/>
                      <w:snapToGrid w:val="0"/>
                      <w:kern w:val="0"/>
                      <w:sz w:val="21"/>
                      <w:szCs w:val="21"/>
                      <w:highlight w:val="none"/>
                    </w:rPr>
                    <w:t>00</w:t>
                  </w:r>
                </w:p>
              </w:tc>
            </w:tr>
            <w:tr w14:paraId="2E292AE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0" w:hRule="atLeast"/>
                <w:jc w:val="center"/>
              </w:trPr>
              <w:tc>
                <w:tcPr>
                  <w:tcW w:w="1060" w:type="dxa"/>
                  <w:vMerge w:val="continue"/>
                  <w:tcBorders>
                    <w:left w:val="single" w:color="auto" w:sz="4" w:space="0"/>
                    <w:right w:val="single" w:color="auto" w:sz="4" w:space="0"/>
                  </w:tcBorders>
                  <w:vAlign w:val="center"/>
                </w:tcPr>
                <w:p w14:paraId="26C21B75">
                  <w:pPr>
                    <w:keepNext w:val="0"/>
                    <w:keepLines w:val="0"/>
                    <w:suppressLineNumbers w:val="0"/>
                    <w:overflowPunct w:val="0"/>
                    <w:adjustRightInd w:val="0"/>
                    <w:snapToGrid w:val="0"/>
                    <w:spacing w:before="0" w:beforeAutospacing="0" w:after="0" w:afterAutospacing="0" w:line="264" w:lineRule="auto"/>
                    <w:ind w:left="0" w:right="0"/>
                    <w:jc w:val="center"/>
                    <w:rPr>
                      <w:rFonts w:hint="default" w:ascii="Times New Roman" w:hAnsi="Times New Roman" w:eastAsia="宋体" w:cs="Times New Roman"/>
                      <w:snapToGrid w:val="0"/>
                      <w:kern w:val="0"/>
                      <w:sz w:val="21"/>
                      <w:szCs w:val="21"/>
                      <w:highlight w:val="none"/>
                    </w:rPr>
                  </w:pPr>
                </w:p>
              </w:tc>
              <w:tc>
                <w:tcPr>
                  <w:tcW w:w="1170" w:type="dxa"/>
                  <w:vMerge w:val="continue"/>
                  <w:tcBorders>
                    <w:left w:val="single" w:color="auto" w:sz="4" w:space="0"/>
                    <w:right w:val="single" w:color="auto" w:sz="4" w:space="0"/>
                  </w:tcBorders>
                  <w:vAlign w:val="center"/>
                </w:tcPr>
                <w:p w14:paraId="02A616C9">
                  <w:pPr>
                    <w:keepNext w:val="0"/>
                    <w:keepLines w:val="0"/>
                    <w:suppressLineNumbers w:val="0"/>
                    <w:overflowPunct w:val="0"/>
                    <w:adjustRightInd w:val="0"/>
                    <w:snapToGrid w:val="0"/>
                    <w:spacing w:before="0" w:beforeAutospacing="0" w:after="0" w:afterAutospacing="0" w:line="264" w:lineRule="auto"/>
                    <w:ind w:left="0" w:right="0"/>
                    <w:jc w:val="center"/>
                    <w:rPr>
                      <w:rFonts w:hint="eastAsia" w:ascii="Times New Roman" w:hAnsi="Times New Roman" w:eastAsia="宋体" w:cs="Times New Roman"/>
                      <w:snapToGrid w:val="0"/>
                      <w:kern w:val="0"/>
                      <w:sz w:val="21"/>
                      <w:szCs w:val="21"/>
                      <w:highlight w:val="none"/>
                    </w:rPr>
                  </w:pPr>
                </w:p>
              </w:tc>
              <w:tc>
                <w:tcPr>
                  <w:tcW w:w="1695" w:type="dxa"/>
                  <w:tcBorders>
                    <w:top w:val="single" w:color="auto" w:sz="4" w:space="0"/>
                    <w:left w:val="single" w:color="auto" w:sz="4" w:space="0"/>
                    <w:bottom w:val="single" w:color="auto" w:sz="4" w:space="0"/>
                    <w:right w:val="single" w:color="auto" w:sz="4" w:space="0"/>
                  </w:tcBorders>
                  <w:vAlign w:val="center"/>
                </w:tcPr>
                <w:p w14:paraId="7931C932">
                  <w:pPr>
                    <w:keepNext w:val="0"/>
                    <w:keepLines w:val="0"/>
                    <w:widowControl/>
                    <w:suppressLineNumbers w:val="0"/>
                    <w:adjustRightInd w:val="0"/>
                    <w:snapToGrid w:val="0"/>
                    <w:spacing w:before="0" w:beforeAutospacing="0" w:after="0" w:afterAutospacing="0" w:line="264" w:lineRule="auto"/>
                    <w:ind w:left="0" w:right="0"/>
                    <w:jc w:val="center"/>
                    <w:rPr>
                      <w:rFonts w:hint="default" w:ascii="Times New Roman" w:hAnsi="Times New Roman" w:eastAsia="宋体" w:cs="Times New Roman"/>
                      <w:snapToGrid w:val="0"/>
                      <w:sz w:val="21"/>
                      <w:szCs w:val="21"/>
                      <w:highlight w:val="none"/>
                    </w:rPr>
                  </w:pPr>
                  <w:r>
                    <w:rPr>
                      <w:rFonts w:hint="eastAsia" w:ascii="Times New Roman" w:hAnsi="Times New Roman" w:eastAsia="宋体" w:cs="Times New Roman"/>
                      <w:snapToGrid w:val="0"/>
                      <w:sz w:val="21"/>
                      <w:szCs w:val="21"/>
                      <w:highlight w:val="none"/>
                      <w:lang w:val="en-US" w:eastAsia="zh-CN"/>
                    </w:rPr>
                    <w:t>BOD</w:t>
                  </w:r>
                  <w:r>
                    <w:rPr>
                      <w:rFonts w:hint="eastAsia" w:ascii="Times New Roman" w:hAnsi="Times New Roman" w:eastAsia="宋体" w:cs="Times New Roman"/>
                      <w:snapToGrid w:val="0"/>
                      <w:sz w:val="21"/>
                      <w:szCs w:val="21"/>
                      <w:highlight w:val="none"/>
                      <w:vertAlign w:val="subscript"/>
                      <w:lang w:val="en-US" w:eastAsia="zh-CN"/>
                    </w:rPr>
                    <w:t>5</w:t>
                  </w:r>
                </w:p>
              </w:tc>
              <w:tc>
                <w:tcPr>
                  <w:tcW w:w="3195" w:type="dxa"/>
                  <w:vMerge w:val="continue"/>
                  <w:tcBorders>
                    <w:left w:val="single" w:color="auto" w:sz="4" w:space="0"/>
                    <w:right w:val="single" w:color="auto" w:sz="4" w:space="0"/>
                  </w:tcBorders>
                  <w:vAlign w:val="center"/>
                </w:tcPr>
                <w:p w14:paraId="5ED16FC3">
                  <w:pPr>
                    <w:keepNext w:val="0"/>
                    <w:keepLines w:val="0"/>
                    <w:suppressLineNumbers w:val="0"/>
                    <w:overflowPunct w:val="0"/>
                    <w:adjustRightInd w:val="0"/>
                    <w:snapToGrid w:val="0"/>
                    <w:spacing w:before="0" w:beforeAutospacing="0" w:after="0" w:afterAutospacing="0" w:line="264" w:lineRule="auto"/>
                    <w:ind w:left="0" w:right="0"/>
                    <w:jc w:val="center"/>
                    <w:rPr>
                      <w:rFonts w:hint="eastAsia" w:ascii="Times New Roman" w:hAnsi="Times New Roman" w:eastAsia="宋体" w:cs="Times New Roman"/>
                      <w:bCs/>
                      <w:sz w:val="21"/>
                      <w:szCs w:val="21"/>
                      <w:highlight w:val="none"/>
                    </w:rPr>
                  </w:pPr>
                </w:p>
              </w:tc>
              <w:tc>
                <w:tcPr>
                  <w:tcW w:w="1138" w:type="dxa"/>
                  <w:tcBorders>
                    <w:top w:val="single" w:color="auto" w:sz="4" w:space="0"/>
                    <w:left w:val="single" w:color="auto" w:sz="4" w:space="0"/>
                    <w:bottom w:val="single" w:color="auto" w:sz="4" w:space="0"/>
                    <w:right w:val="single" w:color="auto" w:sz="4" w:space="0"/>
                  </w:tcBorders>
                  <w:vAlign w:val="center"/>
                </w:tcPr>
                <w:p w14:paraId="73CCC5A8">
                  <w:pPr>
                    <w:keepNext w:val="0"/>
                    <w:keepLines w:val="0"/>
                    <w:suppressLineNumbers w:val="0"/>
                    <w:overflowPunct w:val="0"/>
                    <w:adjustRightInd w:val="0"/>
                    <w:snapToGrid w:val="0"/>
                    <w:spacing w:before="0" w:beforeAutospacing="0" w:after="0" w:afterAutospacing="0" w:line="264" w:lineRule="auto"/>
                    <w:ind w:left="0" w:right="0"/>
                    <w:jc w:val="center"/>
                    <w:rPr>
                      <w:rFonts w:hint="default" w:ascii="Times New Roman" w:hAnsi="Times New Roman" w:eastAsia="宋体" w:cs="Times New Roman"/>
                      <w:snapToGrid w:val="0"/>
                      <w:kern w:val="0"/>
                      <w:sz w:val="21"/>
                      <w:szCs w:val="21"/>
                      <w:highlight w:val="none"/>
                      <w:lang w:val="en-US" w:eastAsia="zh-CN"/>
                    </w:rPr>
                  </w:pPr>
                  <w:r>
                    <w:rPr>
                      <w:rFonts w:hint="eastAsia" w:cs="Times New Roman"/>
                      <w:snapToGrid w:val="0"/>
                      <w:kern w:val="0"/>
                      <w:sz w:val="21"/>
                      <w:szCs w:val="21"/>
                      <w:highlight w:val="none"/>
                      <w:lang w:val="en-US" w:eastAsia="zh-CN"/>
                    </w:rPr>
                    <w:t>2</w:t>
                  </w:r>
                  <w:r>
                    <w:rPr>
                      <w:rFonts w:hint="eastAsia" w:ascii="Times New Roman" w:hAnsi="Times New Roman" w:eastAsia="宋体" w:cs="Times New Roman"/>
                      <w:snapToGrid w:val="0"/>
                      <w:kern w:val="0"/>
                      <w:sz w:val="21"/>
                      <w:szCs w:val="21"/>
                      <w:highlight w:val="none"/>
                      <w:lang w:val="en-US" w:eastAsia="zh-CN"/>
                    </w:rPr>
                    <w:t>00</w:t>
                  </w:r>
                </w:p>
              </w:tc>
            </w:tr>
            <w:tr w14:paraId="2A929F8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0" w:hRule="atLeast"/>
                <w:jc w:val="center"/>
              </w:trPr>
              <w:tc>
                <w:tcPr>
                  <w:tcW w:w="1060" w:type="dxa"/>
                  <w:vMerge w:val="continue"/>
                  <w:tcBorders>
                    <w:left w:val="single" w:color="auto" w:sz="4" w:space="0"/>
                    <w:right w:val="single" w:color="auto" w:sz="4" w:space="0"/>
                  </w:tcBorders>
                  <w:vAlign w:val="center"/>
                </w:tcPr>
                <w:p w14:paraId="59C1E514">
                  <w:pPr>
                    <w:keepNext w:val="0"/>
                    <w:keepLines w:val="0"/>
                    <w:suppressLineNumbers w:val="0"/>
                    <w:overflowPunct w:val="0"/>
                    <w:adjustRightInd w:val="0"/>
                    <w:snapToGrid w:val="0"/>
                    <w:spacing w:before="0" w:beforeAutospacing="0" w:after="0" w:afterAutospacing="0" w:line="264" w:lineRule="auto"/>
                    <w:ind w:left="0" w:right="0"/>
                    <w:jc w:val="center"/>
                    <w:rPr>
                      <w:rFonts w:hint="default" w:ascii="Times New Roman" w:hAnsi="Times New Roman" w:eastAsia="宋体" w:cs="Times New Roman"/>
                      <w:snapToGrid w:val="0"/>
                      <w:kern w:val="0"/>
                      <w:sz w:val="21"/>
                      <w:szCs w:val="21"/>
                      <w:highlight w:val="none"/>
                    </w:rPr>
                  </w:pPr>
                </w:p>
              </w:tc>
              <w:tc>
                <w:tcPr>
                  <w:tcW w:w="1170" w:type="dxa"/>
                  <w:vMerge w:val="continue"/>
                  <w:tcBorders>
                    <w:left w:val="single" w:color="auto" w:sz="4" w:space="0"/>
                    <w:right w:val="single" w:color="auto" w:sz="4" w:space="0"/>
                  </w:tcBorders>
                  <w:vAlign w:val="center"/>
                </w:tcPr>
                <w:p w14:paraId="3960A800">
                  <w:pPr>
                    <w:keepNext w:val="0"/>
                    <w:keepLines w:val="0"/>
                    <w:suppressLineNumbers w:val="0"/>
                    <w:overflowPunct w:val="0"/>
                    <w:adjustRightInd w:val="0"/>
                    <w:snapToGrid w:val="0"/>
                    <w:spacing w:before="0" w:beforeAutospacing="0" w:after="0" w:afterAutospacing="0" w:line="264" w:lineRule="auto"/>
                    <w:ind w:left="0" w:right="0"/>
                    <w:jc w:val="center"/>
                    <w:rPr>
                      <w:rFonts w:hint="default" w:ascii="Times New Roman" w:hAnsi="Times New Roman" w:eastAsia="宋体" w:cs="Times New Roman"/>
                      <w:snapToGrid w:val="0"/>
                      <w:kern w:val="0"/>
                      <w:sz w:val="21"/>
                      <w:szCs w:val="21"/>
                      <w:highlight w:val="none"/>
                    </w:rPr>
                  </w:pPr>
                </w:p>
              </w:tc>
              <w:tc>
                <w:tcPr>
                  <w:tcW w:w="1695" w:type="dxa"/>
                  <w:tcBorders>
                    <w:top w:val="single" w:color="auto" w:sz="4" w:space="0"/>
                    <w:left w:val="single" w:color="auto" w:sz="4" w:space="0"/>
                    <w:bottom w:val="single" w:color="auto" w:sz="4" w:space="0"/>
                    <w:right w:val="single" w:color="auto" w:sz="4" w:space="0"/>
                  </w:tcBorders>
                  <w:vAlign w:val="center"/>
                </w:tcPr>
                <w:p w14:paraId="5BFEAD00">
                  <w:pPr>
                    <w:keepNext w:val="0"/>
                    <w:keepLines w:val="0"/>
                    <w:widowControl/>
                    <w:suppressLineNumbers w:val="0"/>
                    <w:adjustRightInd w:val="0"/>
                    <w:snapToGrid w:val="0"/>
                    <w:spacing w:before="0" w:beforeAutospacing="0" w:after="0" w:afterAutospacing="0" w:line="264" w:lineRule="auto"/>
                    <w:ind w:left="0" w:right="0"/>
                    <w:jc w:val="center"/>
                    <w:rPr>
                      <w:rFonts w:hint="default" w:ascii="Times New Roman" w:hAnsi="Times New Roman" w:eastAsia="宋体" w:cs="Times New Roman"/>
                      <w:snapToGrid w:val="0"/>
                      <w:sz w:val="21"/>
                      <w:szCs w:val="21"/>
                      <w:highlight w:val="none"/>
                    </w:rPr>
                  </w:pPr>
                  <w:r>
                    <w:rPr>
                      <w:rFonts w:hint="eastAsia" w:ascii="Times New Roman" w:hAnsi="Times New Roman" w:eastAsia="宋体" w:cs="Times New Roman"/>
                      <w:snapToGrid w:val="0"/>
                      <w:sz w:val="21"/>
                      <w:szCs w:val="21"/>
                      <w:highlight w:val="none"/>
                    </w:rPr>
                    <w:t>SS</w:t>
                  </w:r>
                </w:p>
              </w:tc>
              <w:tc>
                <w:tcPr>
                  <w:tcW w:w="3195" w:type="dxa"/>
                  <w:vMerge w:val="continue"/>
                  <w:tcBorders>
                    <w:left w:val="single" w:color="auto" w:sz="4" w:space="0"/>
                    <w:right w:val="single" w:color="auto" w:sz="4" w:space="0"/>
                  </w:tcBorders>
                  <w:vAlign w:val="center"/>
                </w:tcPr>
                <w:p w14:paraId="6E5C6984">
                  <w:pPr>
                    <w:keepNext w:val="0"/>
                    <w:keepLines w:val="0"/>
                    <w:suppressLineNumbers w:val="0"/>
                    <w:overflowPunct w:val="0"/>
                    <w:adjustRightInd w:val="0"/>
                    <w:snapToGrid w:val="0"/>
                    <w:spacing w:before="0" w:beforeAutospacing="0" w:after="0" w:afterAutospacing="0" w:line="264" w:lineRule="auto"/>
                    <w:ind w:left="0" w:right="0"/>
                    <w:jc w:val="center"/>
                    <w:rPr>
                      <w:rFonts w:hint="default" w:ascii="Times New Roman" w:hAnsi="Times New Roman" w:eastAsia="宋体" w:cs="Times New Roman"/>
                      <w:bCs/>
                      <w:sz w:val="21"/>
                      <w:szCs w:val="21"/>
                      <w:highlight w:val="none"/>
                    </w:rPr>
                  </w:pPr>
                </w:p>
              </w:tc>
              <w:tc>
                <w:tcPr>
                  <w:tcW w:w="1138" w:type="dxa"/>
                  <w:tcBorders>
                    <w:top w:val="single" w:color="auto" w:sz="4" w:space="0"/>
                    <w:left w:val="single" w:color="auto" w:sz="4" w:space="0"/>
                    <w:bottom w:val="single" w:color="auto" w:sz="4" w:space="0"/>
                    <w:right w:val="single" w:color="auto" w:sz="4" w:space="0"/>
                  </w:tcBorders>
                  <w:vAlign w:val="center"/>
                </w:tcPr>
                <w:p w14:paraId="6E96420C">
                  <w:pPr>
                    <w:keepNext w:val="0"/>
                    <w:keepLines w:val="0"/>
                    <w:suppressLineNumbers w:val="0"/>
                    <w:overflowPunct w:val="0"/>
                    <w:adjustRightInd w:val="0"/>
                    <w:snapToGrid w:val="0"/>
                    <w:spacing w:before="0" w:beforeAutospacing="0" w:after="0" w:afterAutospacing="0" w:line="264" w:lineRule="auto"/>
                    <w:ind w:left="0" w:right="0"/>
                    <w:jc w:val="center"/>
                    <w:rPr>
                      <w:rFonts w:hint="default" w:ascii="Times New Roman" w:hAnsi="Times New Roman" w:eastAsia="宋体" w:cs="Times New Roman"/>
                      <w:snapToGrid w:val="0"/>
                      <w:kern w:val="0"/>
                      <w:sz w:val="21"/>
                      <w:szCs w:val="21"/>
                      <w:highlight w:val="none"/>
                    </w:rPr>
                  </w:pPr>
                  <w:r>
                    <w:rPr>
                      <w:rFonts w:hint="eastAsia" w:cs="Times New Roman"/>
                      <w:snapToGrid w:val="0"/>
                      <w:kern w:val="0"/>
                      <w:sz w:val="21"/>
                      <w:szCs w:val="21"/>
                      <w:highlight w:val="none"/>
                      <w:lang w:val="en-US" w:eastAsia="zh-CN"/>
                    </w:rPr>
                    <w:t>25</w:t>
                  </w:r>
                  <w:r>
                    <w:rPr>
                      <w:rFonts w:hint="eastAsia" w:ascii="Times New Roman" w:hAnsi="Times New Roman" w:eastAsia="宋体" w:cs="Times New Roman"/>
                      <w:snapToGrid w:val="0"/>
                      <w:kern w:val="0"/>
                      <w:sz w:val="21"/>
                      <w:szCs w:val="21"/>
                      <w:highlight w:val="none"/>
                    </w:rPr>
                    <w:t>0</w:t>
                  </w:r>
                </w:p>
              </w:tc>
            </w:tr>
            <w:tr w14:paraId="5DE248A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48" w:hRule="atLeast"/>
                <w:jc w:val="center"/>
              </w:trPr>
              <w:tc>
                <w:tcPr>
                  <w:tcW w:w="1060" w:type="dxa"/>
                  <w:vMerge w:val="continue"/>
                  <w:tcBorders>
                    <w:left w:val="single" w:color="auto" w:sz="4" w:space="0"/>
                    <w:right w:val="single" w:color="auto" w:sz="4" w:space="0"/>
                  </w:tcBorders>
                  <w:vAlign w:val="center"/>
                </w:tcPr>
                <w:p w14:paraId="5AC8780D">
                  <w:pPr>
                    <w:keepNext w:val="0"/>
                    <w:keepLines w:val="0"/>
                    <w:suppressLineNumbers w:val="0"/>
                    <w:overflowPunct w:val="0"/>
                    <w:adjustRightInd w:val="0"/>
                    <w:snapToGrid w:val="0"/>
                    <w:spacing w:before="0" w:beforeAutospacing="0" w:after="0" w:afterAutospacing="0" w:line="264" w:lineRule="auto"/>
                    <w:ind w:left="0" w:right="0"/>
                    <w:jc w:val="center"/>
                    <w:rPr>
                      <w:rFonts w:hint="default" w:ascii="Times New Roman" w:hAnsi="Times New Roman" w:eastAsia="宋体" w:cs="Times New Roman"/>
                      <w:snapToGrid w:val="0"/>
                      <w:kern w:val="0"/>
                      <w:sz w:val="21"/>
                      <w:szCs w:val="21"/>
                      <w:highlight w:val="none"/>
                    </w:rPr>
                  </w:pPr>
                </w:p>
              </w:tc>
              <w:tc>
                <w:tcPr>
                  <w:tcW w:w="1170" w:type="dxa"/>
                  <w:vMerge w:val="continue"/>
                  <w:tcBorders>
                    <w:left w:val="single" w:color="auto" w:sz="4" w:space="0"/>
                    <w:right w:val="single" w:color="auto" w:sz="4" w:space="0"/>
                  </w:tcBorders>
                  <w:vAlign w:val="center"/>
                </w:tcPr>
                <w:p w14:paraId="1FF7D58B">
                  <w:pPr>
                    <w:keepNext w:val="0"/>
                    <w:keepLines w:val="0"/>
                    <w:suppressLineNumbers w:val="0"/>
                    <w:overflowPunct w:val="0"/>
                    <w:adjustRightInd w:val="0"/>
                    <w:snapToGrid w:val="0"/>
                    <w:spacing w:before="0" w:beforeAutospacing="0" w:after="0" w:afterAutospacing="0" w:line="264" w:lineRule="auto"/>
                    <w:ind w:left="0" w:right="0"/>
                    <w:jc w:val="center"/>
                    <w:rPr>
                      <w:rFonts w:hint="default" w:ascii="Times New Roman" w:hAnsi="Times New Roman" w:eastAsia="宋体" w:cs="Times New Roman"/>
                      <w:snapToGrid w:val="0"/>
                      <w:kern w:val="0"/>
                      <w:sz w:val="21"/>
                      <w:szCs w:val="21"/>
                      <w:highlight w:val="none"/>
                    </w:rPr>
                  </w:pPr>
                </w:p>
              </w:tc>
              <w:tc>
                <w:tcPr>
                  <w:tcW w:w="1695" w:type="dxa"/>
                  <w:tcBorders>
                    <w:top w:val="single" w:color="auto" w:sz="4" w:space="0"/>
                    <w:left w:val="single" w:color="auto" w:sz="4" w:space="0"/>
                    <w:bottom w:val="single" w:color="auto" w:sz="4" w:space="0"/>
                    <w:right w:val="single" w:color="auto" w:sz="4" w:space="0"/>
                  </w:tcBorders>
                  <w:vAlign w:val="center"/>
                </w:tcPr>
                <w:p w14:paraId="02298238">
                  <w:pPr>
                    <w:keepNext w:val="0"/>
                    <w:keepLines w:val="0"/>
                    <w:widowControl/>
                    <w:suppressLineNumbers w:val="0"/>
                    <w:adjustRightInd w:val="0"/>
                    <w:snapToGrid w:val="0"/>
                    <w:spacing w:before="0" w:beforeAutospacing="0" w:after="0" w:afterAutospacing="0" w:line="264" w:lineRule="auto"/>
                    <w:ind w:left="0" w:right="0"/>
                    <w:jc w:val="center"/>
                    <w:rPr>
                      <w:rFonts w:hint="default" w:ascii="Times New Roman" w:hAnsi="Times New Roman" w:eastAsia="宋体" w:cs="Times New Roman"/>
                      <w:snapToGrid w:val="0"/>
                      <w:sz w:val="21"/>
                      <w:szCs w:val="21"/>
                      <w:highlight w:val="none"/>
                    </w:rPr>
                  </w:pPr>
                  <w:r>
                    <w:rPr>
                      <w:rFonts w:hint="default" w:ascii="Times New Roman" w:hAnsi="Times New Roman" w:eastAsia="宋体" w:cs="Times New Roman"/>
                      <w:snapToGrid w:val="0"/>
                      <w:color w:val="auto"/>
                      <w:sz w:val="21"/>
                      <w:szCs w:val="21"/>
                      <w:highlight w:val="none"/>
                    </w:rPr>
                    <w:t>NH</w:t>
                  </w:r>
                  <w:r>
                    <w:rPr>
                      <w:rFonts w:hint="default" w:ascii="Times New Roman" w:hAnsi="Times New Roman" w:eastAsia="宋体" w:cs="Times New Roman"/>
                      <w:snapToGrid w:val="0"/>
                      <w:color w:val="auto"/>
                      <w:sz w:val="21"/>
                      <w:szCs w:val="21"/>
                      <w:highlight w:val="none"/>
                      <w:vertAlign w:val="subscript"/>
                    </w:rPr>
                    <w:t>3</w:t>
                  </w:r>
                  <w:r>
                    <w:rPr>
                      <w:rFonts w:hint="default" w:ascii="Times New Roman" w:hAnsi="Times New Roman" w:eastAsia="宋体" w:cs="Times New Roman"/>
                      <w:snapToGrid w:val="0"/>
                      <w:color w:val="auto"/>
                      <w:sz w:val="21"/>
                      <w:szCs w:val="21"/>
                      <w:highlight w:val="none"/>
                    </w:rPr>
                    <w:t>-N</w:t>
                  </w:r>
                </w:p>
              </w:tc>
              <w:tc>
                <w:tcPr>
                  <w:tcW w:w="3195" w:type="dxa"/>
                  <w:vMerge w:val="continue"/>
                  <w:tcBorders>
                    <w:left w:val="single" w:color="auto" w:sz="4" w:space="0"/>
                    <w:right w:val="single" w:color="auto" w:sz="4" w:space="0"/>
                  </w:tcBorders>
                  <w:vAlign w:val="center"/>
                </w:tcPr>
                <w:p w14:paraId="180BEEE0">
                  <w:pPr>
                    <w:keepNext w:val="0"/>
                    <w:keepLines w:val="0"/>
                    <w:suppressLineNumbers w:val="0"/>
                    <w:overflowPunct w:val="0"/>
                    <w:adjustRightInd w:val="0"/>
                    <w:snapToGrid w:val="0"/>
                    <w:spacing w:before="0" w:beforeAutospacing="0" w:after="0" w:afterAutospacing="0" w:line="264" w:lineRule="auto"/>
                    <w:ind w:left="0" w:right="0"/>
                    <w:jc w:val="center"/>
                    <w:rPr>
                      <w:rFonts w:hint="default" w:ascii="Times New Roman" w:hAnsi="Times New Roman" w:eastAsia="宋体" w:cs="Times New Roman"/>
                      <w:bCs/>
                      <w:sz w:val="21"/>
                      <w:szCs w:val="21"/>
                      <w:highlight w:val="none"/>
                    </w:rPr>
                  </w:pPr>
                </w:p>
              </w:tc>
              <w:tc>
                <w:tcPr>
                  <w:tcW w:w="1138" w:type="dxa"/>
                  <w:tcBorders>
                    <w:top w:val="single" w:color="auto" w:sz="4" w:space="0"/>
                    <w:left w:val="single" w:color="auto" w:sz="4" w:space="0"/>
                    <w:bottom w:val="single" w:color="auto" w:sz="4" w:space="0"/>
                    <w:right w:val="single" w:color="auto" w:sz="4" w:space="0"/>
                  </w:tcBorders>
                  <w:vAlign w:val="center"/>
                </w:tcPr>
                <w:p w14:paraId="0D684051">
                  <w:pPr>
                    <w:keepNext w:val="0"/>
                    <w:keepLines w:val="0"/>
                    <w:suppressLineNumbers w:val="0"/>
                    <w:overflowPunct w:val="0"/>
                    <w:adjustRightInd w:val="0"/>
                    <w:snapToGrid w:val="0"/>
                    <w:spacing w:before="0" w:beforeAutospacing="0" w:after="0" w:afterAutospacing="0" w:line="264" w:lineRule="auto"/>
                    <w:ind w:left="0" w:right="0"/>
                    <w:jc w:val="center"/>
                    <w:rPr>
                      <w:rFonts w:hint="default" w:ascii="Times New Roman" w:hAnsi="Times New Roman" w:eastAsia="宋体" w:cs="Times New Roman"/>
                      <w:snapToGrid w:val="0"/>
                      <w:kern w:val="0"/>
                      <w:sz w:val="21"/>
                      <w:szCs w:val="21"/>
                      <w:highlight w:val="none"/>
                    </w:rPr>
                  </w:pPr>
                  <w:r>
                    <w:rPr>
                      <w:rFonts w:hint="eastAsia" w:cs="Times New Roman"/>
                      <w:snapToGrid w:val="0"/>
                      <w:color w:val="auto"/>
                      <w:kern w:val="0"/>
                      <w:sz w:val="21"/>
                      <w:szCs w:val="21"/>
                      <w:highlight w:val="none"/>
                      <w:lang w:val="en-US" w:eastAsia="zh-CN"/>
                    </w:rPr>
                    <w:t>35</w:t>
                  </w:r>
                </w:p>
              </w:tc>
            </w:tr>
            <w:tr w14:paraId="2502C45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35" w:hRule="atLeast"/>
                <w:jc w:val="center"/>
              </w:trPr>
              <w:tc>
                <w:tcPr>
                  <w:tcW w:w="1060" w:type="dxa"/>
                  <w:vMerge w:val="continue"/>
                  <w:tcBorders>
                    <w:left w:val="single" w:color="auto" w:sz="4" w:space="0"/>
                    <w:right w:val="single" w:color="auto" w:sz="4" w:space="0"/>
                  </w:tcBorders>
                  <w:vAlign w:val="center"/>
                </w:tcPr>
                <w:p w14:paraId="7E3BB7A9">
                  <w:pPr>
                    <w:keepNext w:val="0"/>
                    <w:keepLines w:val="0"/>
                    <w:suppressLineNumbers w:val="0"/>
                    <w:overflowPunct w:val="0"/>
                    <w:adjustRightInd w:val="0"/>
                    <w:snapToGrid w:val="0"/>
                    <w:spacing w:before="0" w:beforeAutospacing="0" w:after="0" w:afterAutospacing="0" w:line="264" w:lineRule="auto"/>
                    <w:ind w:left="0" w:right="0"/>
                    <w:jc w:val="center"/>
                    <w:rPr>
                      <w:rFonts w:hint="default" w:ascii="Times New Roman" w:hAnsi="Times New Roman" w:eastAsia="宋体" w:cs="Times New Roman"/>
                      <w:snapToGrid w:val="0"/>
                      <w:kern w:val="0"/>
                      <w:sz w:val="21"/>
                      <w:szCs w:val="21"/>
                      <w:highlight w:val="none"/>
                    </w:rPr>
                  </w:pPr>
                </w:p>
              </w:tc>
              <w:tc>
                <w:tcPr>
                  <w:tcW w:w="1170" w:type="dxa"/>
                  <w:vMerge w:val="continue"/>
                  <w:tcBorders>
                    <w:left w:val="single" w:color="auto" w:sz="4" w:space="0"/>
                    <w:right w:val="single" w:color="auto" w:sz="4" w:space="0"/>
                  </w:tcBorders>
                  <w:vAlign w:val="center"/>
                </w:tcPr>
                <w:p w14:paraId="698DD076">
                  <w:pPr>
                    <w:keepNext w:val="0"/>
                    <w:keepLines w:val="0"/>
                    <w:suppressLineNumbers w:val="0"/>
                    <w:overflowPunct w:val="0"/>
                    <w:adjustRightInd w:val="0"/>
                    <w:snapToGrid w:val="0"/>
                    <w:spacing w:before="0" w:beforeAutospacing="0" w:after="0" w:afterAutospacing="0" w:line="264" w:lineRule="auto"/>
                    <w:ind w:left="0" w:right="0"/>
                    <w:jc w:val="center"/>
                    <w:rPr>
                      <w:rFonts w:hint="default" w:ascii="Times New Roman" w:hAnsi="Times New Roman" w:eastAsia="宋体" w:cs="Times New Roman"/>
                      <w:snapToGrid w:val="0"/>
                      <w:kern w:val="0"/>
                      <w:sz w:val="21"/>
                      <w:szCs w:val="21"/>
                      <w:highlight w:val="none"/>
                    </w:rPr>
                  </w:pPr>
                </w:p>
              </w:tc>
              <w:tc>
                <w:tcPr>
                  <w:tcW w:w="1695" w:type="dxa"/>
                  <w:tcBorders>
                    <w:top w:val="single" w:color="auto" w:sz="4" w:space="0"/>
                    <w:left w:val="single" w:color="auto" w:sz="4" w:space="0"/>
                    <w:bottom w:val="single" w:color="auto" w:sz="4" w:space="0"/>
                    <w:right w:val="single" w:color="auto" w:sz="4" w:space="0"/>
                  </w:tcBorders>
                  <w:vAlign w:val="center"/>
                </w:tcPr>
                <w:p w14:paraId="716464E7">
                  <w:pPr>
                    <w:keepNext w:val="0"/>
                    <w:keepLines w:val="0"/>
                    <w:widowControl/>
                    <w:suppressLineNumbers w:val="0"/>
                    <w:adjustRightInd w:val="0"/>
                    <w:snapToGrid w:val="0"/>
                    <w:spacing w:before="0" w:beforeAutospacing="0" w:after="0" w:afterAutospacing="0" w:line="264" w:lineRule="auto"/>
                    <w:ind w:left="0" w:right="0"/>
                    <w:jc w:val="center"/>
                    <w:rPr>
                      <w:rFonts w:hint="default" w:ascii="Times New Roman" w:hAnsi="Times New Roman" w:eastAsia="宋体" w:cs="Times New Roman"/>
                      <w:snapToGrid w:val="0"/>
                      <w:color w:val="auto"/>
                      <w:sz w:val="21"/>
                      <w:szCs w:val="21"/>
                      <w:highlight w:val="none"/>
                      <w:lang w:val="en-US" w:eastAsia="zh-CN"/>
                    </w:rPr>
                  </w:pPr>
                  <w:r>
                    <w:rPr>
                      <w:rFonts w:hint="eastAsia" w:cs="Times New Roman"/>
                      <w:snapToGrid w:val="0"/>
                      <w:color w:val="auto"/>
                      <w:sz w:val="21"/>
                      <w:szCs w:val="21"/>
                      <w:highlight w:val="none"/>
                      <w:lang w:val="en-US" w:eastAsia="zh-CN"/>
                    </w:rPr>
                    <w:t>TP</w:t>
                  </w:r>
                </w:p>
              </w:tc>
              <w:tc>
                <w:tcPr>
                  <w:tcW w:w="3195" w:type="dxa"/>
                  <w:vMerge w:val="continue"/>
                  <w:tcBorders>
                    <w:left w:val="single" w:color="auto" w:sz="4" w:space="0"/>
                    <w:right w:val="single" w:color="auto" w:sz="4" w:space="0"/>
                  </w:tcBorders>
                  <w:vAlign w:val="center"/>
                </w:tcPr>
                <w:p w14:paraId="05F3B495">
                  <w:pPr>
                    <w:keepNext w:val="0"/>
                    <w:keepLines w:val="0"/>
                    <w:suppressLineNumbers w:val="0"/>
                    <w:overflowPunct w:val="0"/>
                    <w:adjustRightInd w:val="0"/>
                    <w:snapToGrid w:val="0"/>
                    <w:spacing w:before="0" w:beforeAutospacing="0" w:after="0" w:afterAutospacing="0" w:line="264" w:lineRule="auto"/>
                    <w:ind w:left="0" w:right="0"/>
                    <w:jc w:val="center"/>
                    <w:rPr>
                      <w:rFonts w:hint="default" w:ascii="Times New Roman" w:hAnsi="Times New Roman" w:eastAsia="宋体" w:cs="Times New Roman"/>
                      <w:bCs/>
                      <w:sz w:val="21"/>
                      <w:szCs w:val="21"/>
                      <w:highlight w:val="none"/>
                    </w:rPr>
                  </w:pPr>
                </w:p>
              </w:tc>
              <w:tc>
                <w:tcPr>
                  <w:tcW w:w="1138" w:type="dxa"/>
                  <w:tcBorders>
                    <w:top w:val="single" w:color="auto" w:sz="4" w:space="0"/>
                    <w:left w:val="single" w:color="auto" w:sz="4" w:space="0"/>
                    <w:bottom w:val="single" w:color="auto" w:sz="4" w:space="0"/>
                    <w:right w:val="single" w:color="auto" w:sz="4" w:space="0"/>
                  </w:tcBorders>
                  <w:vAlign w:val="center"/>
                </w:tcPr>
                <w:p w14:paraId="19A856B7">
                  <w:pPr>
                    <w:keepNext w:val="0"/>
                    <w:keepLines w:val="0"/>
                    <w:suppressLineNumbers w:val="0"/>
                    <w:overflowPunct w:val="0"/>
                    <w:adjustRightInd w:val="0"/>
                    <w:snapToGrid w:val="0"/>
                    <w:spacing w:before="0" w:beforeAutospacing="0" w:after="0" w:afterAutospacing="0" w:line="264" w:lineRule="auto"/>
                    <w:ind w:left="0" w:right="0"/>
                    <w:jc w:val="center"/>
                    <w:rPr>
                      <w:rFonts w:hint="default" w:cs="Times New Roman"/>
                      <w:snapToGrid w:val="0"/>
                      <w:color w:val="auto"/>
                      <w:kern w:val="0"/>
                      <w:sz w:val="21"/>
                      <w:szCs w:val="21"/>
                      <w:highlight w:val="none"/>
                      <w:lang w:val="en-US" w:eastAsia="zh-CN"/>
                    </w:rPr>
                  </w:pPr>
                  <w:r>
                    <w:rPr>
                      <w:rFonts w:hint="eastAsia" w:cs="Times New Roman"/>
                      <w:snapToGrid w:val="0"/>
                      <w:color w:val="auto"/>
                      <w:kern w:val="0"/>
                      <w:sz w:val="21"/>
                      <w:szCs w:val="21"/>
                      <w:highlight w:val="none"/>
                      <w:lang w:val="en-US" w:eastAsia="zh-CN"/>
                    </w:rPr>
                    <w:t>4.0</w:t>
                  </w:r>
                </w:p>
              </w:tc>
            </w:tr>
            <w:tr w14:paraId="343F992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35" w:hRule="atLeast"/>
                <w:jc w:val="center"/>
              </w:trPr>
              <w:tc>
                <w:tcPr>
                  <w:tcW w:w="1060" w:type="dxa"/>
                  <w:vMerge w:val="continue"/>
                  <w:tcBorders>
                    <w:left w:val="single" w:color="auto" w:sz="4" w:space="0"/>
                    <w:right w:val="single" w:color="auto" w:sz="4" w:space="0"/>
                  </w:tcBorders>
                  <w:vAlign w:val="center"/>
                </w:tcPr>
                <w:p w14:paraId="7D476E18">
                  <w:pPr>
                    <w:keepNext w:val="0"/>
                    <w:keepLines w:val="0"/>
                    <w:suppressLineNumbers w:val="0"/>
                    <w:overflowPunct w:val="0"/>
                    <w:adjustRightInd w:val="0"/>
                    <w:snapToGrid w:val="0"/>
                    <w:spacing w:before="0" w:beforeAutospacing="0" w:after="0" w:afterAutospacing="0" w:line="264" w:lineRule="auto"/>
                    <w:ind w:left="0" w:right="0"/>
                    <w:jc w:val="center"/>
                    <w:rPr>
                      <w:rFonts w:hint="default" w:ascii="Times New Roman" w:hAnsi="Times New Roman" w:eastAsia="宋体" w:cs="Times New Roman"/>
                      <w:snapToGrid w:val="0"/>
                      <w:kern w:val="0"/>
                      <w:sz w:val="21"/>
                      <w:szCs w:val="21"/>
                      <w:highlight w:val="none"/>
                    </w:rPr>
                  </w:pPr>
                </w:p>
              </w:tc>
              <w:tc>
                <w:tcPr>
                  <w:tcW w:w="1170" w:type="dxa"/>
                  <w:vMerge w:val="continue"/>
                  <w:tcBorders>
                    <w:left w:val="single" w:color="auto" w:sz="4" w:space="0"/>
                    <w:right w:val="single" w:color="auto" w:sz="4" w:space="0"/>
                  </w:tcBorders>
                  <w:vAlign w:val="center"/>
                </w:tcPr>
                <w:p w14:paraId="6E71F019">
                  <w:pPr>
                    <w:keepNext w:val="0"/>
                    <w:keepLines w:val="0"/>
                    <w:suppressLineNumbers w:val="0"/>
                    <w:overflowPunct w:val="0"/>
                    <w:adjustRightInd w:val="0"/>
                    <w:snapToGrid w:val="0"/>
                    <w:spacing w:before="0" w:beforeAutospacing="0" w:after="0" w:afterAutospacing="0" w:line="264" w:lineRule="auto"/>
                    <w:ind w:left="0" w:right="0"/>
                    <w:jc w:val="center"/>
                    <w:rPr>
                      <w:rFonts w:hint="default" w:ascii="Times New Roman" w:hAnsi="Times New Roman" w:eastAsia="宋体" w:cs="Times New Roman"/>
                      <w:snapToGrid w:val="0"/>
                      <w:kern w:val="0"/>
                      <w:sz w:val="21"/>
                      <w:szCs w:val="21"/>
                      <w:highlight w:val="none"/>
                    </w:rPr>
                  </w:pPr>
                </w:p>
              </w:tc>
              <w:tc>
                <w:tcPr>
                  <w:tcW w:w="1695" w:type="dxa"/>
                  <w:tcBorders>
                    <w:top w:val="single" w:color="auto" w:sz="4" w:space="0"/>
                    <w:left w:val="single" w:color="auto" w:sz="4" w:space="0"/>
                    <w:bottom w:val="single" w:color="auto" w:sz="4" w:space="0"/>
                    <w:right w:val="single" w:color="auto" w:sz="4" w:space="0"/>
                  </w:tcBorders>
                  <w:vAlign w:val="center"/>
                </w:tcPr>
                <w:p w14:paraId="0923591A">
                  <w:pPr>
                    <w:keepNext w:val="0"/>
                    <w:keepLines w:val="0"/>
                    <w:widowControl/>
                    <w:suppressLineNumbers w:val="0"/>
                    <w:adjustRightInd w:val="0"/>
                    <w:snapToGrid w:val="0"/>
                    <w:spacing w:before="0" w:beforeAutospacing="0" w:after="0" w:afterAutospacing="0" w:line="264" w:lineRule="auto"/>
                    <w:ind w:left="0" w:right="0"/>
                    <w:jc w:val="center"/>
                    <w:rPr>
                      <w:rFonts w:hint="default" w:cs="Times New Roman"/>
                      <w:snapToGrid w:val="0"/>
                      <w:color w:val="auto"/>
                      <w:sz w:val="21"/>
                      <w:szCs w:val="21"/>
                      <w:highlight w:val="none"/>
                      <w:lang w:val="en-US" w:eastAsia="zh-CN"/>
                    </w:rPr>
                  </w:pPr>
                  <w:r>
                    <w:rPr>
                      <w:rFonts w:hint="eastAsia" w:cs="Times New Roman"/>
                      <w:snapToGrid w:val="0"/>
                      <w:color w:val="auto"/>
                      <w:sz w:val="21"/>
                      <w:szCs w:val="21"/>
                      <w:highlight w:val="none"/>
                      <w:lang w:val="en-US" w:eastAsia="zh-CN"/>
                    </w:rPr>
                    <w:t>TN</w:t>
                  </w:r>
                </w:p>
              </w:tc>
              <w:tc>
                <w:tcPr>
                  <w:tcW w:w="3195" w:type="dxa"/>
                  <w:vMerge w:val="continue"/>
                  <w:tcBorders>
                    <w:left w:val="single" w:color="auto" w:sz="4" w:space="0"/>
                    <w:right w:val="single" w:color="auto" w:sz="4" w:space="0"/>
                  </w:tcBorders>
                  <w:vAlign w:val="center"/>
                </w:tcPr>
                <w:p w14:paraId="56FD7E35">
                  <w:pPr>
                    <w:keepNext w:val="0"/>
                    <w:keepLines w:val="0"/>
                    <w:suppressLineNumbers w:val="0"/>
                    <w:overflowPunct w:val="0"/>
                    <w:adjustRightInd w:val="0"/>
                    <w:snapToGrid w:val="0"/>
                    <w:spacing w:before="0" w:beforeAutospacing="0" w:after="0" w:afterAutospacing="0" w:line="264" w:lineRule="auto"/>
                    <w:ind w:left="0" w:right="0"/>
                    <w:jc w:val="center"/>
                    <w:rPr>
                      <w:rFonts w:hint="default" w:ascii="Times New Roman" w:hAnsi="Times New Roman" w:eastAsia="宋体" w:cs="Times New Roman"/>
                      <w:bCs/>
                      <w:sz w:val="21"/>
                      <w:szCs w:val="21"/>
                      <w:highlight w:val="none"/>
                    </w:rPr>
                  </w:pPr>
                </w:p>
              </w:tc>
              <w:tc>
                <w:tcPr>
                  <w:tcW w:w="1138" w:type="dxa"/>
                  <w:tcBorders>
                    <w:top w:val="single" w:color="auto" w:sz="4" w:space="0"/>
                    <w:left w:val="single" w:color="auto" w:sz="4" w:space="0"/>
                    <w:bottom w:val="single" w:color="auto" w:sz="4" w:space="0"/>
                    <w:right w:val="single" w:color="auto" w:sz="4" w:space="0"/>
                  </w:tcBorders>
                  <w:vAlign w:val="center"/>
                </w:tcPr>
                <w:p w14:paraId="7DDDA135">
                  <w:pPr>
                    <w:keepNext w:val="0"/>
                    <w:keepLines w:val="0"/>
                    <w:suppressLineNumbers w:val="0"/>
                    <w:overflowPunct w:val="0"/>
                    <w:adjustRightInd w:val="0"/>
                    <w:snapToGrid w:val="0"/>
                    <w:spacing w:before="0" w:beforeAutospacing="0" w:after="0" w:afterAutospacing="0" w:line="264" w:lineRule="auto"/>
                    <w:ind w:left="0" w:right="0"/>
                    <w:jc w:val="center"/>
                    <w:rPr>
                      <w:rFonts w:hint="default" w:cs="Times New Roman"/>
                      <w:snapToGrid w:val="0"/>
                      <w:color w:val="auto"/>
                      <w:kern w:val="0"/>
                      <w:sz w:val="21"/>
                      <w:szCs w:val="21"/>
                      <w:highlight w:val="none"/>
                      <w:lang w:val="en-US" w:eastAsia="zh-CN"/>
                    </w:rPr>
                  </w:pPr>
                  <w:r>
                    <w:rPr>
                      <w:rFonts w:hint="eastAsia" w:cs="Times New Roman"/>
                      <w:snapToGrid w:val="0"/>
                      <w:color w:val="auto"/>
                      <w:kern w:val="0"/>
                      <w:sz w:val="21"/>
                      <w:szCs w:val="21"/>
                      <w:highlight w:val="none"/>
                      <w:lang w:val="en-US" w:eastAsia="zh-CN"/>
                    </w:rPr>
                    <w:t>45</w:t>
                  </w:r>
                </w:p>
              </w:tc>
            </w:tr>
            <w:tr w14:paraId="5B499EA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40" w:hRule="atLeast"/>
                <w:jc w:val="center"/>
              </w:trPr>
              <w:tc>
                <w:tcPr>
                  <w:tcW w:w="1060" w:type="dxa"/>
                  <w:vMerge w:val="continue"/>
                  <w:tcBorders>
                    <w:left w:val="single" w:color="auto" w:sz="4" w:space="0"/>
                    <w:right w:val="single" w:color="auto" w:sz="4" w:space="0"/>
                  </w:tcBorders>
                  <w:vAlign w:val="center"/>
                </w:tcPr>
                <w:p w14:paraId="79C234B2">
                  <w:pPr>
                    <w:keepNext w:val="0"/>
                    <w:keepLines w:val="0"/>
                    <w:suppressLineNumbers w:val="0"/>
                    <w:overflowPunct w:val="0"/>
                    <w:adjustRightInd w:val="0"/>
                    <w:snapToGrid w:val="0"/>
                    <w:spacing w:before="0" w:beforeAutospacing="0" w:after="0" w:afterAutospacing="0" w:line="264" w:lineRule="auto"/>
                    <w:ind w:left="0" w:right="0"/>
                    <w:jc w:val="center"/>
                    <w:rPr>
                      <w:rFonts w:hint="default" w:ascii="Times New Roman" w:hAnsi="Times New Roman" w:eastAsia="宋体" w:cs="Times New Roman"/>
                      <w:snapToGrid w:val="0"/>
                      <w:kern w:val="0"/>
                      <w:sz w:val="21"/>
                      <w:szCs w:val="21"/>
                      <w:highlight w:val="none"/>
                    </w:rPr>
                  </w:pPr>
                </w:p>
              </w:tc>
              <w:tc>
                <w:tcPr>
                  <w:tcW w:w="1170" w:type="dxa"/>
                  <w:vMerge w:val="continue"/>
                  <w:tcBorders>
                    <w:left w:val="single" w:color="auto" w:sz="4" w:space="0"/>
                    <w:right w:val="single" w:color="auto" w:sz="4" w:space="0"/>
                  </w:tcBorders>
                  <w:vAlign w:val="center"/>
                </w:tcPr>
                <w:p w14:paraId="29B014F9">
                  <w:pPr>
                    <w:keepNext w:val="0"/>
                    <w:keepLines w:val="0"/>
                    <w:suppressLineNumbers w:val="0"/>
                    <w:overflowPunct w:val="0"/>
                    <w:adjustRightInd w:val="0"/>
                    <w:snapToGrid w:val="0"/>
                    <w:spacing w:before="0" w:beforeAutospacing="0" w:after="0" w:afterAutospacing="0" w:line="264" w:lineRule="auto"/>
                    <w:ind w:left="0" w:right="0"/>
                    <w:jc w:val="center"/>
                    <w:rPr>
                      <w:rFonts w:hint="default" w:ascii="Times New Roman" w:hAnsi="Times New Roman" w:eastAsia="宋体" w:cs="Times New Roman"/>
                      <w:snapToGrid w:val="0"/>
                      <w:kern w:val="0"/>
                      <w:sz w:val="21"/>
                      <w:szCs w:val="21"/>
                      <w:highlight w:val="none"/>
                    </w:rPr>
                  </w:pPr>
                </w:p>
              </w:tc>
              <w:tc>
                <w:tcPr>
                  <w:tcW w:w="1695" w:type="dxa"/>
                  <w:tcBorders>
                    <w:top w:val="single" w:color="auto" w:sz="4" w:space="0"/>
                    <w:left w:val="single" w:color="auto" w:sz="4" w:space="0"/>
                    <w:bottom w:val="single" w:color="auto" w:sz="4" w:space="0"/>
                    <w:right w:val="single" w:color="auto" w:sz="4" w:space="0"/>
                  </w:tcBorders>
                  <w:vAlign w:val="center"/>
                </w:tcPr>
                <w:p w14:paraId="3C2C0992">
                  <w:pPr>
                    <w:keepNext w:val="0"/>
                    <w:keepLines w:val="0"/>
                    <w:widowControl/>
                    <w:suppressLineNumbers w:val="0"/>
                    <w:adjustRightInd w:val="0"/>
                    <w:snapToGrid w:val="0"/>
                    <w:spacing w:before="0" w:beforeAutospacing="0" w:after="0" w:afterAutospacing="0" w:line="264" w:lineRule="auto"/>
                    <w:ind w:left="0" w:right="0"/>
                    <w:jc w:val="center"/>
                    <w:rPr>
                      <w:rFonts w:hint="eastAsia" w:ascii="Times New Roman" w:hAnsi="Times New Roman" w:eastAsia="宋体" w:cs="Times New Roman"/>
                      <w:snapToGrid w:val="0"/>
                      <w:sz w:val="21"/>
                      <w:szCs w:val="21"/>
                      <w:highlight w:val="none"/>
                      <w:lang w:val="en-US" w:eastAsia="zh-CN"/>
                    </w:rPr>
                  </w:pPr>
                  <w:r>
                    <w:rPr>
                      <w:rFonts w:hint="eastAsia" w:ascii="Times New Roman" w:hAnsi="Times New Roman" w:eastAsia="宋体" w:cs="Times New Roman"/>
                      <w:snapToGrid w:val="0"/>
                      <w:sz w:val="21"/>
                      <w:szCs w:val="21"/>
                      <w:highlight w:val="none"/>
                      <w:lang w:val="en-US" w:eastAsia="zh-CN"/>
                    </w:rPr>
                    <w:t>动植物油</w:t>
                  </w:r>
                </w:p>
              </w:tc>
              <w:tc>
                <w:tcPr>
                  <w:tcW w:w="3195" w:type="dxa"/>
                  <w:vMerge w:val="restart"/>
                  <w:tcBorders>
                    <w:top w:val="single" w:color="auto" w:sz="4" w:space="0"/>
                    <w:left w:val="single" w:color="auto" w:sz="4" w:space="0"/>
                    <w:right w:val="single" w:color="auto" w:sz="4" w:space="0"/>
                  </w:tcBorders>
                  <w:vAlign w:val="center"/>
                </w:tcPr>
                <w:p w14:paraId="4C124B65">
                  <w:pPr>
                    <w:keepNext w:val="0"/>
                    <w:keepLines w:val="0"/>
                    <w:suppressLineNumbers w:val="0"/>
                    <w:overflowPunct w:val="0"/>
                    <w:adjustRightInd w:val="0"/>
                    <w:snapToGrid w:val="0"/>
                    <w:spacing w:before="0" w:beforeAutospacing="0" w:after="0" w:afterAutospacing="0" w:line="264" w:lineRule="auto"/>
                    <w:ind w:left="0" w:right="0"/>
                    <w:jc w:val="center"/>
                    <w:rPr>
                      <w:rFonts w:hint="default" w:ascii="Times New Roman" w:hAnsi="Times New Roman" w:eastAsia="宋体" w:cs="Times New Roman"/>
                      <w:color w:val="auto"/>
                      <w:sz w:val="21"/>
                      <w:szCs w:val="21"/>
                      <w:highlight w:val="none"/>
                    </w:rPr>
                  </w:pPr>
                  <w:r>
                    <w:rPr>
                      <w:rFonts w:hint="eastAsia" w:ascii="Times New Roman" w:hAnsi="Times New Roman" w:eastAsia="宋体" w:cs="Times New Roman"/>
                      <w:bCs/>
                      <w:sz w:val="21"/>
                      <w:szCs w:val="21"/>
                      <w:highlight w:val="none"/>
                    </w:rPr>
                    <w:t>《污水综合排放标准》（</w:t>
                  </w:r>
                  <w:r>
                    <w:rPr>
                      <w:rFonts w:hint="default" w:ascii="Times New Roman" w:hAnsi="Times New Roman" w:eastAsia="宋体" w:cs="Times New Roman"/>
                      <w:bCs/>
                      <w:sz w:val="21"/>
                      <w:szCs w:val="21"/>
                      <w:highlight w:val="none"/>
                    </w:rPr>
                    <w:t>GB8978-1996</w:t>
                  </w:r>
                  <w:r>
                    <w:rPr>
                      <w:rFonts w:hint="eastAsia" w:ascii="Times New Roman" w:hAnsi="Times New Roman" w:eastAsia="宋体" w:cs="Times New Roman"/>
                      <w:bCs/>
                      <w:sz w:val="21"/>
                      <w:szCs w:val="21"/>
                      <w:highlight w:val="none"/>
                    </w:rPr>
                    <w:t>）</w:t>
                  </w:r>
                </w:p>
              </w:tc>
              <w:tc>
                <w:tcPr>
                  <w:tcW w:w="1138" w:type="dxa"/>
                  <w:tcBorders>
                    <w:top w:val="single" w:color="auto" w:sz="4" w:space="0"/>
                    <w:left w:val="single" w:color="auto" w:sz="4" w:space="0"/>
                    <w:bottom w:val="single" w:color="auto" w:sz="4" w:space="0"/>
                    <w:right w:val="single" w:color="auto" w:sz="4" w:space="0"/>
                  </w:tcBorders>
                  <w:vAlign w:val="center"/>
                </w:tcPr>
                <w:p w14:paraId="1E651DCC">
                  <w:pPr>
                    <w:keepNext w:val="0"/>
                    <w:keepLines w:val="0"/>
                    <w:suppressLineNumbers w:val="0"/>
                    <w:overflowPunct w:val="0"/>
                    <w:adjustRightInd w:val="0"/>
                    <w:snapToGrid w:val="0"/>
                    <w:spacing w:before="0" w:beforeAutospacing="0" w:after="0" w:afterAutospacing="0" w:line="264" w:lineRule="auto"/>
                    <w:ind w:left="0" w:right="0"/>
                    <w:jc w:val="center"/>
                    <w:rPr>
                      <w:rFonts w:hint="default" w:ascii="Times New Roman" w:hAnsi="Times New Roman" w:eastAsia="宋体" w:cs="Times New Roman"/>
                      <w:snapToGrid w:val="0"/>
                      <w:kern w:val="0"/>
                      <w:sz w:val="21"/>
                      <w:szCs w:val="21"/>
                      <w:highlight w:val="none"/>
                      <w:lang w:val="en-US" w:eastAsia="zh-CN"/>
                    </w:rPr>
                  </w:pPr>
                  <w:r>
                    <w:rPr>
                      <w:rFonts w:hint="eastAsia" w:ascii="Times New Roman" w:hAnsi="Times New Roman" w:eastAsia="宋体" w:cs="Times New Roman"/>
                      <w:snapToGrid w:val="0"/>
                      <w:kern w:val="0"/>
                      <w:sz w:val="21"/>
                      <w:szCs w:val="21"/>
                      <w:highlight w:val="none"/>
                      <w:lang w:val="en-US" w:eastAsia="zh-CN"/>
                    </w:rPr>
                    <w:t>100</w:t>
                  </w:r>
                </w:p>
              </w:tc>
            </w:tr>
            <w:tr w14:paraId="2A83C82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40" w:hRule="atLeast"/>
                <w:jc w:val="center"/>
              </w:trPr>
              <w:tc>
                <w:tcPr>
                  <w:tcW w:w="1060" w:type="dxa"/>
                  <w:vMerge w:val="continue"/>
                  <w:tcBorders>
                    <w:left w:val="single" w:color="auto" w:sz="4" w:space="0"/>
                    <w:right w:val="single" w:color="auto" w:sz="4" w:space="0"/>
                  </w:tcBorders>
                  <w:vAlign w:val="center"/>
                </w:tcPr>
                <w:p w14:paraId="20EEDEFD">
                  <w:pPr>
                    <w:keepNext w:val="0"/>
                    <w:keepLines w:val="0"/>
                    <w:suppressLineNumbers w:val="0"/>
                    <w:overflowPunct w:val="0"/>
                    <w:adjustRightInd w:val="0"/>
                    <w:snapToGrid w:val="0"/>
                    <w:spacing w:before="0" w:beforeAutospacing="0" w:after="0" w:afterAutospacing="0" w:line="264" w:lineRule="auto"/>
                    <w:ind w:left="0" w:right="0"/>
                    <w:jc w:val="center"/>
                    <w:rPr>
                      <w:rFonts w:hint="default" w:ascii="Times New Roman" w:hAnsi="Times New Roman" w:eastAsia="宋体" w:cs="Times New Roman"/>
                      <w:snapToGrid w:val="0"/>
                      <w:kern w:val="0"/>
                      <w:sz w:val="21"/>
                      <w:szCs w:val="21"/>
                      <w:highlight w:val="none"/>
                    </w:rPr>
                  </w:pPr>
                </w:p>
              </w:tc>
              <w:tc>
                <w:tcPr>
                  <w:tcW w:w="1170" w:type="dxa"/>
                  <w:vMerge w:val="continue"/>
                  <w:tcBorders>
                    <w:left w:val="single" w:color="auto" w:sz="4" w:space="0"/>
                    <w:right w:val="single" w:color="auto" w:sz="4" w:space="0"/>
                  </w:tcBorders>
                  <w:vAlign w:val="center"/>
                </w:tcPr>
                <w:p w14:paraId="546F544E">
                  <w:pPr>
                    <w:keepNext w:val="0"/>
                    <w:keepLines w:val="0"/>
                    <w:suppressLineNumbers w:val="0"/>
                    <w:overflowPunct w:val="0"/>
                    <w:adjustRightInd w:val="0"/>
                    <w:snapToGrid w:val="0"/>
                    <w:spacing w:before="0" w:beforeAutospacing="0" w:after="0" w:afterAutospacing="0" w:line="264" w:lineRule="auto"/>
                    <w:ind w:left="0" w:right="0"/>
                    <w:jc w:val="center"/>
                    <w:rPr>
                      <w:rFonts w:hint="default" w:ascii="Times New Roman" w:hAnsi="Times New Roman" w:eastAsia="宋体" w:cs="Times New Roman"/>
                      <w:snapToGrid w:val="0"/>
                      <w:kern w:val="0"/>
                      <w:sz w:val="21"/>
                      <w:szCs w:val="21"/>
                      <w:highlight w:val="none"/>
                    </w:rPr>
                  </w:pPr>
                </w:p>
              </w:tc>
              <w:tc>
                <w:tcPr>
                  <w:tcW w:w="1695" w:type="dxa"/>
                  <w:tcBorders>
                    <w:top w:val="single" w:color="auto" w:sz="4" w:space="0"/>
                    <w:left w:val="single" w:color="auto" w:sz="4" w:space="0"/>
                    <w:bottom w:val="single" w:color="auto" w:sz="4" w:space="0"/>
                    <w:right w:val="single" w:color="auto" w:sz="4" w:space="0"/>
                  </w:tcBorders>
                  <w:vAlign w:val="center"/>
                </w:tcPr>
                <w:p w14:paraId="4061A071">
                  <w:pPr>
                    <w:keepNext w:val="0"/>
                    <w:keepLines w:val="0"/>
                    <w:widowControl/>
                    <w:suppressLineNumbers w:val="0"/>
                    <w:adjustRightInd w:val="0"/>
                    <w:snapToGrid w:val="0"/>
                    <w:spacing w:before="0" w:beforeAutospacing="0" w:after="0" w:afterAutospacing="0" w:line="264" w:lineRule="auto"/>
                    <w:ind w:left="0" w:right="0"/>
                    <w:jc w:val="center"/>
                    <w:rPr>
                      <w:rFonts w:hint="default" w:ascii="Times New Roman" w:hAnsi="Times New Roman" w:eastAsia="宋体" w:cs="Times New Roman"/>
                      <w:snapToGrid w:val="0"/>
                      <w:color w:val="auto"/>
                      <w:sz w:val="21"/>
                      <w:szCs w:val="21"/>
                      <w:highlight w:val="none"/>
                    </w:rPr>
                  </w:pPr>
                  <w:r>
                    <w:rPr>
                      <w:rFonts w:hint="eastAsia" w:ascii="Times New Roman" w:hAnsi="Times New Roman" w:eastAsia="宋体" w:cs="Times New Roman"/>
                      <w:snapToGrid w:val="0"/>
                      <w:sz w:val="21"/>
                      <w:szCs w:val="21"/>
                      <w:highlight w:val="none"/>
                    </w:rPr>
                    <w:t>粪大肠菌群数</w:t>
                  </w:r>
                </w:p>
              </w:tc>
              <w:tc>
                <w:tcPr>
                  <w:tcW w:w="3195" w:type="dxa"/>
                  <w:vMerge w:val="continue"/>
                  <w:tcBorders>
                    <w:left w:val="single" w:color="auto" w:sz="4" w:space="0"/>
                    <w:right w:val="single" w:color="auto" w:sz="4" w:space="0"/>
                  </w:tcBorders>
                  <w:vAlign w:val="center"/>
                </w:tcPr>
                <w:p w14:paraId="7EB7A543">
                  <w:pPr>
                    <w:keepNext w:val="0"/>
                    <w:keepLines w:val="0"/>
                    <w:suppressLineNumbers w:val="0"/>
                    <w:overflowPunct w:val="0"/>
                    <w:adjustRightInd w:val="0"/>
                    <w:snapToGrid w:val="0"/>
                    <w:spacing w:before="0" w:beforeAutospacing="0" w:after="0" w:afterAutospacing="0" w:line="264" w:lineRule="auto"/>
                    <w:ind w:left="0" w:right="0"/>
                    <w:jc w:val="center"/>
                    <w:rPr>
                      <w:rFonts w:hint="default" w:ascii="Times New Roman" w:hAnsi="Times New Roman" w:eastAsia="宋体" w:cs="Times New Roman"/>
                      <w:color w:val="auto"/>
                      <w:sz w:val="21"/>
                      <w:szCs w:val="21"/>
                      <w:highlight w:val="none"/>
                    </w:rPr>
                  </w:pPr>
                </w:p>
              </w:tc>
              <w:tc>
                <w:tcPr>
                  <w:tcW w:w="1138" w:type="dxa"/>
                  <w:tcBorders>
                    <w:top w:val="single" w:color="auto" w:sz="4" w:space="0"/>
                    <w:left w:val="single" w:color="auto" w:sz="4" w:space="0"/>
                    <w:bottom w:val="single" w:color="auto" w:sz="4" w:space="0"/>
                    <w:right w:val="single" w:color="auto" w:sz="4" w:space="0"/>
                  </w:tcBorders>
                  <w:vAlign w:val="center"/>
                </w:tcPr>
                <w:p w14:paraId="48DE9C09">
                  <w:pPr>
                    <w:keepNext w:val="0"/>
                    <w:keepLines w:val="0"/>
                    <w:suppressLineNumbers w:val="0"/>
                    <w:overflowPunct w:val="0"/>
                    <w:adjustRightInd w:val="0"/>
                    <w:snapToGrid w:val="0"/>
                    <w:spacing w:before="0" w:beforeAutospacing="0" w:after="0" w:afterAutospacing="0" w:line="264" w:lineRule="auto"/>
                    <w:ind w:left="0" w:right="0"/>
                    <w:jc w:val="center"/>
                    <w:rPr>
                      <w:rFonts w:hint="default" w:ascii="Times New Roman" w:hAnsi="Times New Roman" w:eastAsia="宋体" w:cs="Times New Roman"/>
                      <w:snapToGrid w:val="0"/>
                      <w:color w:val="auto"/>
                      <w:kern w:val="0"/>
                      <w:sz w:val="21"/>
                      <w:szCs w:val="21"/>
                      <w:highlight w:val="none"/>
                      <w:lang w:val="en-US" w:eastAsia="zh-CN"/>
                    </w:rPr>
                  </w:pPr>
                  <w:r>
                    <w:rPr>
                      <w:rFonts w:hint="eastAsia" w:ascii="Times New Roman" w:hAnsi="Times New Roman" w:eastAsia="宋体" w:cs="Times New Roman"/>
                      <w:snapToGrid w:val="0"/>
                      <w:kern w:val="0"/>
                      <w:sz w:val="21"/>
                      <w:szCs w:val="21"/>
                      <w:highlight w:val="none"/>
                    </w:rPr>
                    <w:t>5000个/L</w:t>
                  </w:r>
                </w:p>
              </w:tc>
            </w:tr>
            <w:tr w14:paraId="3F6C928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40" w:hRule="atLeast"/>
                <w:jc w:val="center"/>
              </w:trPr>
              <w:tc>
                <w:tcPr>
                  <w:tcW w:w="1060" w:type="dxa"/>
                  <w:vMerge w:val="continue"/>
                  <w:tcBorders>
                    <w:left w:val="single" w:color="auto" w:sz="4" w:space="0"/>
                    <w:bottom w:val="single" w:color="auto" w:sz="4" w:space="0"/>
                    <w:right w:val="single" w:color="auto" w:sz="4" w:space="0"/>
                  </w:tcBorders>
                  <w:vAlign w:val="center"/>
                </w:tcPr>
                <w:p w14:paraId="1C7A3A94">
                  <w:pPr>
                    <w:keepNext w:val="0"/>
                    <w:keepLines w:val="0"/>
                    <w:suppressLineNumbers w:val="0"/>
                    <w:overflowPunct w:val="0"/>
                    <w:adjustRightInd w:val="0"/>
                    <w:snapToGrid w:val="0"/>
                    <w:spacing w:before="0" w:beforeAutospacing="0" w:after="0" w:afterAutospacing="0" w:line="264" w:lineRule="auto"/>
                    <w:ind w:left="0" w:right="0"/>
                    <w:jc w:val="center"/>
                    <w:rPr>
                      <w:rFonts w:hint="default" w:ascii="Times New Roman" w:hAnsi="Times New Roman" w:eastAsia="宋体" w:cs="Times New Roman"/>
                      <w:snapToGrid w:val="0"/>
                      <w:kern w:val="0"/>
                      <w:sz w:val="21"/>
                      <w:szCs w:val="21"/>
                      <w:highlight w:val="none"/>
                    </w:rPr>
                  </w:pPr>
                </w:p>
              </w:tc>
              <w:tc>
                <w:tcPr>
                  <w:tcW w:w="1170" w:type="dxa"/>
                  <w:vMerge w:val="continue"/>
                  <w:tcBorders>
                    <w:left w:val="single" w:color="auto" w:sz="4" w:space="0"/>
                    <w:bottom w:val="single" w:color="auto" w:sz="4" w:space="0"/>
                    <w:right w:val="single" w:color="auto" w:sz="4" w:space="0"/>
                  </w:tcBorders>
                  <w:vAlign w:val="center"/>
                </w:tcPr>
                <w:p w14:paraId="640192B7">
                  <w:pPr>
                    <w:keepNext w:val="0"/>
                    <w:keepLines w:val="0"/>
                    <w:suppressLineNumbers w:val="0"/>
                    <w:overflowPunct w:val="0"/>
                    <w:adjustRightInd w:val="0"/>
                    <w:snapToGrid w:val="0"/>
                    <w:spacing w:before="0" w:beforeAutospacing="0" w:after="0" w:afterAutospacing="0" w:line="264" w:lineRule="auto"/>
                    <w:ind w:left="0" w:right="0"/>
                    <w:jc w:val="center"/>
                    <w:rPr>
                      <w:rFonts w:hint="default" w:ascii="Times New Roman" w:hAnsi="Times New Roman" w:eastAsia="宋体" w:cs="Times New Roman"/>
                      <w:snapToGrid w:val="0"/>
                      <w:kern w:val="0"/>
                      <w:sz w:val="21"/>
                      <w:szCs w:val="21"/>
                      <w:highlight w:val="none"/>
                    </w:rPr>
                  </w:pPr>
                </w:p>
              </w:tc>
              <w:tc>
                <w:tcPr>
                  <w:tcW w:w="1695" w:type="dxa"/>
                  <w:tcBorders>
                    <w:top w:val="single" w:color="auto" w:sz="4" w:space="0"/>
                    <w:left w:val="single" w:color="auto" w:sz="4" w:space="0"/>
                    <w:bottom w:val="single" w:color="auto" w:sz="4" w:space="0"/>
                    <w:right w:val="single" w:color="auto" w:sz="4" w:space="0"/>
                  </w:tcBorders>
                  <w:vAlign w:val="center"/>
                </w:tcPr>
                <w:p w14:paraId="3D43A128">
                  <w:pPr>
                    <w:keepNext w:val="0"/>
                    <w:keepLines w:val="0"/>
                    <w:widowControl/>
                    <w:suppressLineNumbers w:val="0"/>
                    <w:adjustRightInd w:val="0"/>
                    <w:snapToGrid w:val="0"/>
                    <w:spacing w:before="0" w:beforeAutospacing="0" w:after="0" w:afterAutospacing="0" w:line="264" w:lineRule="auto"/>
                    <w:ind w:left="0" w:right="0"/>
                    <w:jc w:val="center"/>
                    <w:rPr>
                      <w:rFonts w:hint="default" w:ascii="Times New Roman" w:hAnsi="Times New Roman" w:eastAsia="宋体" w:cs="Times New Roman"/>
                      <w:snapToGrid w:val="0"/>
                      <w:sz w:val="21"/>
                      <w:szCs w:val="21"/>
                      <w:highlight w:val="none"/>
                      <w:lang w:val="en-US" w:eastAsia="zh-CN"/>
                    </w:rPr>
                  </w:pPr>
                  <w:r>
                    <w:rPr>
                      <w:rFonts w:hint="eastAsia" w:cs="Times New Roman"/>
                      <w:snapToGrid w:val="0"/>
                      <w:sz w:val="21"/>
                      <w:szCs w:val="21"/>
                      <w:highlight w:val="none"/>
                      <w:lang w:val="en-US" w:eastAsia="zh-CN"/>
                    </w:rPr>
                    <w:t>LAS</w:t>
                  </w:r>
                </w:p>
              </w:tc>
              <w:tc>
                <w:tcPr>
                  <w:tcW w:w="3195" w:type="dxa"/>
                  <w:vMerge w:val="continue"/>
                  <w:tcBorders>
                    <w:left w:val="single" w:color="auto" w:sz="4" w:space="0"/>
                    <w:bottom w:val="single" w:color="auto" w:sz="4" w:space="0"/>
                    <w:right w:val="single" w:color="auto" w:sz="4" w:space="0"/>
                  </w:tcBorders>
                  <w:vAlign w:val="center"/>
                </w:tcPr>
                <w:p w14:paraId="1B99BE4F">
                  <w:pPr>
                    <w:keepNext w:val="0"/>
                    <w:keepLines w:val="0"/>
                    <w:suppressLineNumbers w:val="0"/>
                    <w:overflowPunct w:val="0"/>
                    <w:adjustRightInd w:val="0"/>
                    <w:snapToGrid w:val="0"/>
                    <w:spacing w:before="0" w:beforeAutospacing="0" w:after="0" w:afterAutospacing="0" w:line="264" w:lineRule="auto"/>
                    <w:ind w:left="0" w:right="0"/>
                    <w:jc w:val="center"/>
                    <w:rPr>
                      <w:rFonts w:hint="default" w:ascii="Times New Roman" w:hAnsi="Times New Roman" w:eastAsia="宋体" w:cs="Times New Roman"/>
                      <w:color w:val="auto"/>
                      <w:sz w:val="21"/>
                      <w:szCs w:val="21"/>
                      <w:highlight w:val="none"/>
                    </w:rPr>
                  </w:pPr>
                </w:p>
              </w:tc>
              <w:tc>
                <w:tcPr>
                  <w:tcW w:w="1138" w:type="dxa"/>
                  <w:tcBorders>
                    <w:top w:val="single" w:color="auto" w:sz="4" w:space="0"/>
                    <w:left w:val="single" w:color="auto" w:sz="4" w:space="0"/>
                    <w:bottom w:val="single" w:color="auto" w:sz="4" w:space="0"/>
                    <w:right w:val="single" w:color="auto" w:sz="4" w:space="0"/>
                  </w:tcBorders>
                  <w:vAlign w:val="center"/>
                </w:tcPr>
                <w:p w14:paraId="3DA47F95">
                  <w:pPr>
                    <w:keepNext w:val="0"/>
                    <w:keepLines w:val="0"/>
                    <w:suppressLineNumbers w:val="0"/>
                    <w:overflowPunct w:val="0"/>
                    <w:adjustRightInd w:val="0"/>
                    <w:snapToGrid w:val="0"/>
                    <w:spacing w:before="0" w:beforeAutospacing="0" w:after="0" w:afterAutospacing="0" w:line="264" w:lineRule="auto"/>
                    <w:ind w:left="0" w:right="0"/>
                    <w:jc w:val="center"/>
                    <w:rPr>
                      <w:rFonts w:hint="default" w:ascii="Times New Roman" w:hAnsi="Times New Roman" w:eastAsia="宋体" w:cs="Times New Roman"/>
                      <w:snapToGrid w:val="0"/>
                      <w:kern w:val="0"/>
                      <w:sz w:val="21"/>
                      <w:szCs w:val="21"/>
                      <w:highlight w:val="none"/>
                      <w:lang w:val="en-US" w:eastAsia="zh-CN"/>
                    </w:rPr>
                  </w:pPr>
                  <w:r>
                    <w:rPr>
                      <w:rFonts w:hint="eastAsia" w:cs="Times New Roman"/>
                      <w:snapToGrid w:val="0"/>
                      <w:kern w:val="0"/>
                      <w:sz w:val="21"/>
                      <w:szCs w:val="21"/>
                      <w:highlight w:val="none"/>
                      <w:lang w:val="en-US" w:eastAsia="zh-CN"/>
                    </w:rPr>
                    <w:t>20</w:t>
                  </w:r>
                </w:p>
              </w:tc>
            </w:tr>
          </w:tbl>
          <w:p w14:paraId="316755B8">
            <w:pPr>
              <w:keepNext w:val="0"/>
              <w:keepLines w:val="0"/>
              <w:suppressLineNumbers w:val="0"/>
              <w:overflowPunct w:val="0"/>
              <w:adjustRightInd w:val="0"/>
              <w:snapToGrid w:val="0"/>
              <w:spacing w:before="0" w:beforeAutospacing="0" w:after="0" w:afterAutospacing="0" w:line="360" w:lineRule="auto"/>
              <w:ind w:left="0" w:right="0" w:firstLine="480" w:firstLineChars="200"/>
              <w:rPr>
                <w:rFonts w:hint="default" w:ascii="Times New Roman" w:hAnsi="Times New Roman" w:eastAsia="宋体" w:cs="Times New Roman"/>
                <w:snapToGrid w:val="0"/>
                <w:kern w:val="0"/>
                <w:highlight w:val="none"/>
              </w:rPr>
            </w:pPr>
            <w:r>
              <w:rPr>
                <w:rFonts w:hint="eastAsia" w:ascii="Times New Roman" w:hAnsi="Times New Roman" w:eastAsia="宋体" w:cs="Times New Roman"/>
                <w:snapToGrid w:val="0"/>
                <w:kern w:val="0"/>
                <w:highlight w:val="none"/>
              </w:rPr>
              <w:t>废水自行监测计划见表</w:t>
            </w:r>
            <w:r>
              <w:rPr>
                <w:rFonts w:hint="default" w:ascii="Times New Roman" w:hAnsi="Times New Roman" w:eastAsia="宋体" w:cs="Times New Roman"/>
                <w:snapToGrid w:val="0"/>
                <w:kern w:val="0"/>
                <w:highlight w:val="none"/>
              </w:rPr>
              <w:t>4-</w:t>
            </w:r>
            <w:r>
              <w:rPr>
                <w:rFonts w:hint="eastAsia" w:ascii="Times New Roman" w:hAnsi="Times New Roman" w:eastAsia="宋体" w:cs="Times New Roman"/>
                <w:snapToGrid w:val="0"/>
                <w:kern w:val="0"/>
                <w:highlight w:val="none"/>
              </w:rPr>
              <w:t>6。</w:t>
            </w:r>
          </w:p>
          <w:p w14:paraId="38278217">
            <w:pPr>
              <w:keepNext w:val="0"/>
              <w:keepLines w:val="0"/>
              <w:suppressLineNumbers w:val="0"/>
              <w:overflowPunct w:val="0"/>
              <w:adjustRightInd w:val="0"/>
              <w:snapToGrid w:val="0"/>
              <w:spacing w:before="0" w:beforeAutospacing="0" w:after="0" w:afterAutospacing="0" w:line="360" w:lineRule="auto"/>
              <w:ind w:left="0" w:right="0" w:firstLine="482" w:firstLineChars="200"/>
              <w:jc w:val="center"/>
              <w:rPr>
                <w:rFonts w:hint="default" w:ascii="Times New Roman" w:hAnsi="Times New Roman" w:eastAsia="宋体" w:cs="Times New Roman"/>
                <w:b/>
                <w:snapToGrid w:val="0"/>
                <w:kern w:val="0"/>
                <w:highlight w:val="none"/>
              </w:rPr>
            </w:pPr>
            <w:r>
              <w:rPr>
                <w:rFonts w:hint="eastAsia" w:ascii="Times New Roman" w:hAnsi="Times New Roman" w:eastAsia="宋体" w:cs="Times New Roman"/>
                <w:b/>
                <w:snapToGrid w:val="0"/>
                <w:kern w:val="0"/>
                <w:highlight w:val="none"/>
              </w:rPr>
              <w:t>表</w:t>
            </w:r>
            <w:r>
              <w:rPr>
                <w:rFonts w:hint="default" w:ascii="Times New Roman" w:hAnsi="Times New Roman" w:eastAsia="宋体" w:cs="Times New Roman"/>
                <w:b/>
                <w:snapToGrid w:val="0"/>
                <w:kern w:val="0"/>
                <w:highlight w:val="none"/>
              </w:rPr>
              <w:t>4-</w:t>
            </w:r>
            <w:r>
              <w:rPr>
                <w:rFonts w:hint="eastAsia" w:ascii="Times New Roman" w:hAnsi="Times New Roman" w:eastAsia="宋体" w:cs="Times New Roman"/>
                <w:b/>
                <w:snapToGrid w:val="0"/>
                <w:kern w:val="0"/>
                <w:highlight w:val="none"/>
              </w:rPr>
              <w:t>6</w:t>
            </w:r>
            <w:r>
              <w:rPr>
                <w:rFonts w:hint="default" w:ascii="Times New Roman" w:hAnsi="Times New Roman" w:eastAsia="宋体" w:cs="Times New Roman"/>
                <w:b/>
                <w:snapToGrid w:val="0"/>
                <w:kern w:val="0"/>
                <w:highlight w:val="none"/>
              </w:rPr>
              <w:t xml:space="preserve">  </w:t>
            </w:r>
            <w:r>
              <w:rPr>
                <w:rFonts w:hint="eastAsia" w:ascii="Times New Roman" w:hAnsi="Times New Roman" w:eastAsia="宋体" w:cs="Times New Roman"/>
                <w:b/>
                <w:snapToGrid w:val="0"/>
                <w:kern w:val="0"/>
                <w:highlight w:val="none"/>
              </w:rPr>
              <w:t>废水自行监测计划</w:t>
            </w:r>
          </w:p>
          <w:tbl>
            <w:tblPr>
              <w:tblStyle w:val="32"/>
              <w:tblW w:w="8116"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28" w:type="dxa"/>
                <w:bottom w:w="0" w:type="dxa"/>
                <w:right w:w="28" w:type="dxa"/>
              </w:tblCellMar>
            </w:tblPr>
            <w:tblGrid>
              <w:gridCol w:w="696"/>
              <w:gridCol w:w="801"/>
              <w:gridCol w:w="892"/>
              <w:gridCol w:w="1333"/>
              <w:gridCol w:w="742"/>
              <w:gridCol w:w="3652"/>
            </w:tblGrid>
            <w:tr w14:paraId="2E82724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449" w:hRule="atLeast"/>
                <w:jc w:val="center"/>
              </w:trPr>
              <w:tc>
                <w:tcPr>
                  <w:tcW w:w="696" w:type="dxa"/>
                  <w:tcBorders>
                    <w:top w:val="single" w:color="auto" w:sz="4" w:space="0"/>
                    <w:left w:val="single" w:color="auto" w:sz="4" w:space="0"/>
                    <w:bottom w:val="single" w:color="auto" w:sz="4" w:space="0"/>
                    <w:right w:val="single" w:color="auto" w:sz="4" w:space="0"/>
                  </w:tcBorders>
                  <w:vAlign w:val="center"/>
                </w:tcPr>
                <w:p w14:paraId="5BB25CA4">
                  <w:pPr>
                    <w:keepNext w:val="0"/>
                    <w:keepLines w:val="0"/>
                    <w:suppressLineNumbers w:val="0"/>
                    <w:overflowPunct w:val="0"/>
                    <w:adjustRightInd w:val="0"/>
                    <w:snapToGrid w:val="0"/>
                    <w:spacing w:before="0" w:beforeAutospacing="0" w:after="0" w:afterAutospacing="0" w:line="264" w:lineRule="auto"/>
                    <w:ind w:left="0" w:right="0"/>
                    <w:jc w:val="center"/>
                    <w:rPr>
                      <w:rFonts w:hint="default" w:ascii="Times New Roman" w:hAnsi="Times New Roman" w:eastAsia="宋体" w:cs="Times New Roman"/>
                      <w:snapToGrid w:val="0"/>
                      <w:kern w:val="0"/>
                      <w:sz w:val="21"/>
                      <w:szCs w:val="21"/>
                      <w:highlight w:val="none"/>
                    </w:rPr>
                  </w:pPr>
                  <w:r>
                    <w:rPr>
                      <w:rFonts w:hint="eastAsia" w:ascii="Times New Roman" w:hAnsi="Times New Roman" w:eastAsia="宋体" w:cs="Times New Roman"/>
                      <w:snapToGrid w:val="0"/>
                      <w:kern w:val="0"/>
                      <w:sz w:val="21"/>
                      <w:szCs w:val="21"/>
                      <w:highlight w:val="none"/>
                    </w:rPr>
                    <w:t>排放口编号</w:t>
                  </w:r>
                </w:p>
              </w:tc>
              <w:tc>
                <w:tcPr>
                  <w:tcW w:w="801" w:type="dxa"/>
                  <w:tcBorders>
                    <w:top w:val="single" w:color="auto" w:sz="4" w:space="0"/>
                    <w:left w:val="single" w:color="auto" w:sz="4" w:space="0"/>
                    <w:bottom w:val="single" w:color="auto" w:sz="4" w:space="0"/>
                    <w:right w:val="single" w:color="auto" w:sz="4" w:space="0"/>
                  </w:tcBorders>
                  <w:vAlign w:val="center"/>
                </w:tcPr>
                <w:p w14:paraId="3AE9D551">
                  <w:pPr>
                    <w:keepNext w:val="0"/>
                    <w:keepLines w:val="0"/>
                    <w:suppressLineNumbers w:val="0"/>
                    <w:overflowPunct w:val="0"/>
                    <w:adjustRightInd w:val="0"/>
                    <w:snapToGrid w:val="0"/>
                    <w:spacing w:before="0" w:beforeAutospacing="0" w:after="0" w:afterAutospacing="0" w:line="264" w:lineRule="auto"/>
                    <w:ind w:left="0" w:right="0"/>
                    <w:jc w:val="center"/>
                    <w:rPr>
                      <w:rFonts w:hint="default" w:ascii="Times New Roman" w:hAnsi="Times New Roman" w:eastAsia="宋体" w:cs="Times New Roman"/>
                      <w:snapToGrid w:val="0"/>
                      <w:kern w:val="0"/>
                      <w:sz w:val="21"/>
                      <w:szCs w:val="21"/>
                      <w:highlight w:val="none"/>
                    </w:rPr>
                  </w:pPr>
                  <w:r>
                    <w:rPr>
                      <w:rFonts w:hint="eastAsia" w:ascii="Times New Roman" w:hAnsi="Times New Roman" w:eastAsia="宋体" w:cs="Times New Roman"/>
                      <w:snapToGrid w:val="0"/>
                      <w:kern w:val="0"/>
                      <w:sz w:val="21"/>
                      <w:szCs w:val="21"/>
                      <w:highlight w:val="none"/>
                    </w:rPr>
                    <w:t>排放口名称</w:t>
                  </w:r>
                </w:p>
              </w:tc>
              <w:tc>
                <w:tcPr>
                  <w:tcW w:w="892" w:type="dxa"/>
                  <w:tcBorders>
                    <w:top w:val="single" w:color="auto" w:sz="4" w:space="0"/>
                    <w:left w:val="single" w:color="auto" w:sz="4" w:space="0"/>
                    <w:bottom w:val="single" w:color="auto" w:sz="4" w:space="0"/>
                    <w:right w:val="single" w:color="auto" w:sz="4" w:space="0"/>
                  </w:tcBorders>
                  <w:vAlign w:val="center"/>
                </w:tcPr>
                <w:p w14:paraId="646E19AC">
                  <w:pPr>
                    <w:keepNext w:val="0"/>
                    <w:keepLines w:val="0"/>
                    <w:suppressLineNumbers w:val="0"/>
                    <w:adjustRightInd w:val="0"/>
                    <w:snapToGrid w:val="0"/>
                    <w:spacing w:before="0" w:beforeAutospacing="0" w:after="0" w:afterAutospacing="0" w:line="264" w:lineRule="auto"/>
                    <w:ind w:left="0" w:right="0"/>
                    <w:jc w:val="center"/>
                    <w:rPr>
                      <w:rFonts w:hint="default" w:ascii="Times New Roman" w:hAnsi="Times New Roman" w:eastAsia="宋体" w:cs="Times New Roman"/>
                      <w:bCs/>
                      <w:sz w:val="21"/>
                      <w:szCs w:val="21"/>
                      <w:highlight w:val="none"/>
                    </w:rPr>
                  </w:pPr>
                  <w:r>
                    <w:rPr>
                      <w:rFonts w:hint="eastAsia" w:ascii="Times New Roman" w:hAnsi="Times New Roman" w:eastAsia="宋体" w:cs="Times New Roman"/>
                      <w:bCs/>
                      <w:sz w:val="21"/>
                      <w:szCs w:val="21"/>
                      <w:highlight w:val="none"/>
                    </w:rPr>
                    <w:t>监测点位</w:t>
                  </w:r>
                </w:p>
              </w:tc>
              <w:tc>
                <w:tcPr>
                  <w:tcW w:w="1333" w:type="dxa"/>
                  <w:tcBorders>
                    <w:top w:val="single" w:color="auto" w:sz="4" w:space="0"/>
                    <w:left w:val="single" w:color="auto" w:sz="4" w:space="0"/>
                    <w:bottom w:val="single" w:color="auto" w:sz="4" w:space="0"/>
                    <w:right w:val="single" w:color="auto" w:sz="4" w:space="0"/>
                  </w:tcBorders>
                  <w:vAlign w:val="center"/>
                </w:tcPr>
                <w:p w14:paraId="36BE127A">
                  <w:pPr>
                    <w:keepNext w:val="0"/>
                    <w:keepLines w:val="0"/>
                    <w:suppressLineNumbers w:val="0"/>
                    <w:adjustRightInd w:val="0"/>
                    <w:snapToGrid w:val="0"/>
                    <w:spacing w:before="0" w:beforeAutospacing="0" w:after="0" w:afterAutospacing="0" w:line="264" w:lineRule="auto"/>
                    <w:ind w:left="0" w:right="0"/>
                    <w:jc w:val="center"/>
                    <w:rPr>
                      <w:rFonts w:hint="default" w:ascii="Times New Roman" w:hAnsi="Times New Roman" w:eastAsia="宋体" w:cs="Times New Roman"/>
                      <w:bCs/>
                      <w:sz w:val="21"/>
                      <w:szCs w:val="21"/>
                      <w:highlight w:val="none"/>
                    </w:rPr>
                  </w:pPr>
                  <w:r>
                    <w:rPr>
                      <w:rFonts w:hint="eastAsia" w:ascii="Times New Roman" w:hAnsi="Times New Roman" w:eastAsia="宋体" w:cs="Times New Roman"/>
                      <w:bCs/>
                      <w:sz w:val="21"/>
                      <w:szCs w:val="21"/>
                      <w:highlight w:val="none"/>
                    </w:rPr>
                    <w:t>监测因子</w:t>
                  </w:r>
                </w:p>
              </w:tc>
              <w:tc>
                <w:tcPr>
                  <w:tcW w:w="742" w:type="dxa"/>
                  <w:tcBorders>
                    <w:top w:val="single" w:color="auto" w:sz="4" w:space="0"/>
                    <w:left w:val="single" w:color="auto" w:sz="4" w:space="0"/>
                    <w:bottom w:val="single" w:color="auto" w:sz="4" w:space="0"/>
                    <w:right w:val="single" w:color="auto" w:sz="4" w:space="0"/>
                  </w:tcBorders>
                  <w:vAlign w:val="center"/>
                </w:tcPr>
                <w:p w14:paraId="635AAAD3">
                  <w:pPr>
                    <w:keepNext w:val="0"/>
                    <w:keepLines w:val="0"/>
                    <w:suppressLineNumbers w:val="0"/>
                    <w:adjustRightInd w:val="0"/>
                    <w:snapToGrid w:val="0"/>
                    <w:spacing w:before="0" w:beforeAutospacing="0" w:after="0" w:afterAutospacing="0" w:line="264" w:lineRule="auto"/>
                    <w:ind w:left="0" w:right="0"/>
                    <w:jc w:val="center"/>
                    <w:rPr>
                      <w:rFonts w:hint="default" w:ascii="Times New Roman" w:hAnsi="Times New Roman" w:eastAsia="宋体" w:cs="Times New Roman"/>
                      <w:bCs/>
                      <w:sz w:val="21"/>
                      <w:szCs w:val="21"/>
                      <w:highlight w:val="none"/>
                    </w:rPr>
                  </w:pPr>
                  <w:r>
                    <w:rPr>
                      <w:rFonts w:hint="eastAsia" w:ascii="Times New Roman" w:hAnsi="Times New Roman" w:eastAsia="宋体" w:cs="Times New Roman"/>
                      <w:bCs/>
                      <w:sz w:val="21"/>
                      <w:szCs w:val="21"/>
                      <w:highlight w:val="none"/>
                    </w:rPr>
                    <w:t>监测频率</w:t>
                  </w:r>
                </w:p>
              </w:tc>
              <w:tc>
                <w:tcPr>
                  <w:tcW w:w="3652" w:type="dxa"/>
                  <w:tcBorders>
                    <w:top w:val="single" w:color="auto" w:sz="4" w:space="0"/>
                    <w:left w:val="single" w:color="auto" w:sz="4" w:space="0"/>
                    <w:bottom w:val="single" w:color="auto" w:sz="4" w:space="0"/>
                    <w:right w:val="single" w:color="auto" w:sz="4" w:space="0"/>
                  </w:tcBorders>
                  <w:vAlign w:val="center"/>
                </w:tcPr>
                <w:p w14:paraId="2D706556">
                  <w:pPr>
                    <w:keepNext w:val="0"/>
                    <w:keepLines w:val="0"/>
                    <w:suppressLineNumbers w:val="0"/>
                    <w:overflowPunct w:val="0"/>
                    <w:adjustRightInd w:val="0"/>
                    <w:snapToGrid w:val="0"/>
                    <w:spacing w:before="0" w:beforeAutospacing="0" w:after="0" w:afterAutospacing="0" w:line="264" w:lineRule="auto"/>
                    <w:ind w:left="0" w:right="0"/>
                    <w:jc w:val="center"/>
                    <w:rPr>
                      <w:rFonts w:hint="default" w:ascii="Times New Roman" w:hAnsi="Times New Roman" w:eastAsia="宋体" w:cs="Times New Roman"/>
                      <w:snapToGrid w:val="0"/>
                      <w:kern w:val="0"/>
                      <w:sz w:val="21"/>
                      <w:szCs w:val="21"/>
                      <w:highlight w:val="none"/>
                    </w:rPr>
                  </w:pPr>
                  <w:r>
                    <w:rPr>
                      <w:rFonts w:hint="eastAsia" w:ascii="Times New Roman" w:hAnsi="Times New Roman" w:eastAsia="宋体" w:cs="Times New Roman"/>
                      <w:sz w:val="21"/>
                      <w:szCs w:val="21"/>
                      <w:highlight w:val="none"/>
                    </w:rPr>
                    <w:t>执行标准</w:t>
                  </w:r>
                </w:p>
              </w:tc>
            </w:tr>
            <w:tr w14:paraId="27B296C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229" w:hRule="atLeast"/>
                <w:jc w:val="center"/>
              </w:trPr>
              <w:tc>
                <w:tcPr>
                  <w:tcW w:w="696" w:type="dxa"/>
                  <w:vMerge w:val="restart"/>
                  <w:tcBorders>
                    <w:top w:val="single" w:color="auto" w:sz="4" w:space="0"/>
                    <w:left w:val="single" w:color="auto" w:sz="4" w:space="0"/>
                    <w:right w:val="single" w:color="auto" w:sz="4" w:space="0"/>
                  </w:tcBorders>
                  <w:vAlign w:val="center"/>
                </w:tcPr>
                <w:p w14:paraId="4A7C5D65">
                  <w:pPr>
                    <w:keepNext w:val="0"/>
                    <w:keepLines w:val="0"/>
                    <w:suppressLineNumbers w:val="0"/>
                    <w:overflowPunct w:val="0"/>
                    <w:adjustRightInd w:val="0"/>
                    <w:snapToGrid w:val="0"/>
                    <w:spacing w:before="0" w:beforeAutospacing="0" w:after="0" w:afterAutospacing="0" w:line="264" w:lineRule="auto"/>
                    <w:ind w:left="0" w:right="0"/>
                    <w:jc w:val="center"/>
                    <w:rPr>
                      <w:rFonts w:hint="default" w:ascii="Times New Roman" w:hAnsi="Times New Roman" w:eastAsia="宋体" w:cs="Times New Roman"/>
                      <w:snapToGrid w:val="0"/>
                      <w:kern w:val="0"/>
                      <w:sz w:val="21"/>
                      <w:szCs w:val="21"/>
                      <w:highlight w:val="none"/>
                    </w:rPr>
                  </w:pPr>
                  <w:r>
                    <w:rPr>
                      <w:rFonts w:hint="default" w:ascii="Times New Roman" w:hAnsi="Times New Roman" w:eastAsia="宋体" w:cs="Times New Roman"/>
                      <w:snapToGrid w:val="0"/>
                      <w:kern w:val="0"/>
                      <w:sz w:val="21"/>
                      <w:szCs w:val="21"/>
                      <w:highlight w:val="none"/>
                    </w:rPr>
                    <w:t>DW001</w:t>
                  </w:r>
                </w:p>
              </w:tc>
              <w:tc>
                <w:tcPr>
                  <w:tcW w:w="801" w:type="dxa"/>
                  <w:vMerge w:val="restart"/>
                  <w:tcBorders>
                    <w:top w:val="single" w:color="auto" w:sz="4" w:space="0"/>
                    <w:left w:val="single" w:color="auto" w:sz="4" w:space="0"/>
                    <w:right w:val="single" w:color="auto" w:sz="4" w:space="0"/>
                  </w:tcBorders>
                  <w:vAlign w:val="center"/>
                </w:tcPr>
                <w:p w14:paraId="75ED5101">
                  <w:pPr>
                    <w:keepNext w:val="0"/>
                    <w:keepLines w:val="0"/>
                    <w:suppressLineNumbers w:val="0"/>
                    <w:overflowPunct w:val="0"/>
                    <w:adjustRightInd w:val="0"/>
                    <w:snapToGrid w:val="0"/>
                    <w:spacing w:before="0" w:beforeAutospacing="0" w:after="0" w:afterAutospacing="0" w:line="264" w:lineRule="auto"/>
                    <w:ind w:left="0" w:right="0"/>
                    <w:jc w:val="center"/>
                    <w:rPr>
                      <w:rFonts w:hint="eastAsia" w:ascii="Times New Roman" w:hAnsi="Times New Roman" w:eastAsia="宋体" w:cs="Times New Roman"/>
                      <w:snapToGrid w:val="0"/>
                      <w:kern w:val="0"/>
                      <w:sz w:val="21"/>
                      <w:szCs w:val="21"/>
                      <w:highlight w:val="none"/>
                    </w:rPr>
                  </w:pPr>
                  <w:r>
                    <w:rPr>
                      <w:rFonts w:hint="eastAsia" w:cs="Times New Roman"/>
                      <w:snapToGrid w:val="0"/>
                      <w:kern w:val="0"/>
                      <w:sz w:val="21"/>
                      <w:szCs w:val="21"/>
                      <w:highlight w:val="none"/>
                      <w:lang w:val="en-US" w:eastAsia="zh-CN"/>
                    </w:rPr>
                    <w:t>生活</w:t>
                  </w:r>
                  <w:r>
                    <w:rPr>
                      <w:rFonts w:hint="eastAsia" w:ascii="Times New Roman" w:hAnsi="Times New Roman" w:eastAsia="宋体" w:cs="Times New Roman"/>
                      <w:snapToGrid w:val="0"/>
                      <w:kern w:val="0"/>
                      <w:sz w:val="21"/>
                      <w:szCs w:val="21"/>
                      <w:highlight w:val="none"/>
                    </w:rPr>
                    <w:t>污水排放口</w:t>
                  </w:r>
                </w:p>
              </w:tc>
              <w:tc>
                <w:tcPr>
                  <w:tcW w:w="892" w:type="dxa"/>
                  <w:vMerge w:val="restart"/>
                  <w:tcBorders>
                    <w:top w:val="single" w:color="auto" w:sz="4" w:space="0"/>
                    <w:left w:val="single" w:color="auto" w:sz="4" w:space="0"/>
                    <w:right w:val="single" w:color="auto" w:sz="4" w:space="0"/>
                  </w:tcBorders>
                  <w:vAlign w:val="center"/>
                </w:tcPr>
                <w:p w14:paraId="395A33B7">
                  <w:pPr>
                    <w:keepNext w:val="0"/>
                    <w:keepLines w:val="0"/>
                    <w:suppressLineNumbers w:val="0"/>
                    <w:overflowPunct w:val="0"/>
                    <w:adjustRightInd w:val="0"/>
                    <w:snapToGrid w:val="0"/>
                    <w:spacing w:before="0" w:beforeAutospacing="0" w:after="0" w:afterAutospacing="0" w:line="264" w:lineRule="auto"/>
                    <w:ind w:left="0" w:right="0"/>
                    <w:jc w:val="center"/>
                    <w:rPr>
                      <w:rFonts w:hint="eastAsia" w:ascii="Times New Roman" w:hAnsi="Times New Roman" w:eastAsia="宋体" w:cs="Times New Roman"/>
                      <w:snapToGrid w:val="0"/>
                      <w:kern w:val="0"/>
                      <w:sz w:val="21"/>
                      <w:szCs w:val="21"/>
                      <w:highlight w:val="none"/>
                    </w:rPr>
                  </w:pPr>
                  <w:r>
                    <w:rPr>
                      <w:rFonts w:hint="eastAsia" w:cs="Times New Roman"/>
                      <w:snapToGrid w:val="0"/>
                      <w:kern w:val="0"/>
                      <w:sz w:val="21"/>
                      <w:szCs w:val="21"/>
                      <w:highlight w:val="none"/>
                      <w:lang w:val="en-US" w:eastAsia="zh-CN"/>
                    </w:rPr>
                    <w:t>生活</w:t>
                  </w:r>
                  <w:r>
                    <w:rPr>
                      <w:rFonts w:hint="eastAsia" w:ascii="Times New Roman" w:hAnsi="Times New Roman" w:eastAsia="宋体" w:cs="Times New Roman"/>
                      <w:snapToGrid w:val="0"/>
                      <w:kern w:val="0"/>
                      <w:sz w:val="21"/>
                      <w:szCs w:val="21"/>
                      <w:highlight w:val="none"/>
                    </w:rPr>
                    <w:t>污水排放口</w:t>
                  </w:r>
                </w:p>
              </w:tc>
              <w:tc>
                <w:tcPr>
                  <w:tcW w:w="1333" w:type="dxa"/>
                  <w:tcBorders>
                    <w:top w:val="single" w:color="auto" w:sz="4" w:space="0"/>
                    <w:left w:val="single" w:color="auto" w:sz="4" w:space="0"/>
                    <w:bottom w:val="single" w:color="auto" w:sz="4" w:space="0"/>
                    <w:right w:val="single" w:color="auto" w:sz="4" w:space="0"/>
                  </w:tcBorders>
                  <w:vAlign w:val="center"/>
                </w:tcPr>
                <w:p w14:paraId="44F22E5A">
                  <w:pPr>
                    <w:keepNext w:val="0"/>
                    <w:keepLines w:val="0"/>
                    <w:suppressLineNumbers w:val="0"/>
                    <w:overflowPunct w:val="0"/>
                    <w:adjustRightInd w:val="0"/>
                    <w:snapToGrid w:val="0"/>
                    <w:spacing w:before="0" w:beforeAutospacing="0" w:after="0" w:afterAutospacing="0" w:line="264" w:lineRule="auto"/>
                    <w:ind w:left="0" w:right="0"/>
                    <w:jc w:val="center"/>
                    <w:rPr>
                      <w:rFonts w:hint="default" w:ascii="Times New Roman" w:hAnsi="Times New Roman" w:eastAsia="宋体" w:cs="Times New Roman"/>
                      <w:snapToGrid w:val="0"/>
                      <w:sz w:val="21"/>
                      <w:szCs w:val="21"/>
                      <w:highlight w:val="none"/>
                    </w:rPr>
                  </w:pPr>
                  <w:r>
                    <w:rPr>
                      <w:rFonts w:hint="eastAsia" w:ascii="Times New Roman" w:hAnsi="Times New Roman" w:eastAsia="宋体" w:cs="Times New Roman"/>
                      <w:snapToGrid w:val="0"/>
                      <w:sz w:val="21"/>
                      <w:szCs w:val="21"/>
                      <w:highlight w:val="none"/>
                      <w:lang w:val="en-US" w:eastAsia="zh-CN"/>
                    </w:rPr>
                    <w:t>动植物油</w:t>
                  </w:r>
                </w:p>
              </w:tc>
              <w:tc>
                <w:tcPr>
                  <w:tcW w:w="742" w:type="dxa"/>
                  <w:tcBorders>
                    <w:top w:val="single" w:color="auto" w:sz="4" w:space="0"/>
                    <w:left w:val="single" w:color="auto" w:sz="4" w:space="0"/>
                    <w:bottom w:val="single" w:color="auto" w:sz="4" w:space="0"/>
                    <w:right w:val="single" w:color="auto" w:sz="4" w:space="0"/>
                  </w:tcBorders>
                  <w:vAlign w:val="center"/>
                </w:tcPr>
                <w:p w14:paraId="424A7538">
                  <w:pPr>
                    <w:keepNext w:val="0"/>
                    <w:keepLines w:val="0"/>
                    <w:suppressLineNumbers w:val="0"/>
                    <w:overflowPunct w:val="0"/>
                    <w:adjustRightInd w:val="0"/>
                    <w:snapToGrid w:val="0"/>
                    <w:spacing w:before="0" w:beforeAutospacing="0" w:after="0" w:afterAutospacing="0" w:line="264" w:lineRule="auto"/>
                    <w:ind w:left="0" w:right="0"/>
                    <w:jc w:val="center"/>
                    <w:rPr>
                      <w:rFonts w:hint="default" w:ascii="Times New Roman" w:hAnsi="Times New Roman" w:eastAsia="宋体" w:cs="Times New Roman"/>
                      <w:sz w:val="21"/>
                      <w:szCs w:val="21"/>
                      <w:highlight w:val="none"/>
                    </w:rPr>
                  </w:pPr>
                  <w:r>
                    <w:rPr>
                      <w:rFonts w:hint="default" w:ascii="Times New Roman" w:hAnsi="Times New Roman" w:eastAsia="宋体" w:cs="Times New Roman"/>
                      <w:sz w:val="21"/>
                      <w:szCs w:val="21"/>
                      <w:highlight w:val="none"/>
                    </w:rPr>
                    <w:t>1</w:t>
                  </w:r>
                  <w:r>
                    <w:rPr>
                      <w:rFonts w:hint="eastAsia" w:ascii="Times New Roman" w:hAnsi="Times New Roman" w:eastAsia="宋体" w:cs="Times New Roman"/>
                      <w:sz w:val="21"/>
                      <w:szCs w:val="21"/>
                      <w:highlight w:val="none"/>
                    </w:rPr>
                    <w:t>次</w:t>
                  </w:r>
                  <w:r>
                    <w:rPr>
                      <w:rFonts w:hint="default" w:ascii="Times New Roman" w:hAnsi="Times New Roman" w:eastAsia="宋体" w:cs="Times New Roman"/>
                      <w:sz w:val="21"/>
                      <w:szCs w:val="21"/>
                      <w:highlight w:val="none"/>
                    </w:rPr>
                    <w:t>/</w:t>
                  </w:r>
                  <w:r>
                    <w:rPr>
                      <w:rFonts w:hint="eastAsia" w:ascii="Times New Roman" w:hAnsi="Times New Roman" w:eastAsia="宋体" w:cs="Times New Roman"/>
                      <w:sz w:val="21"/>
                      <w:szCs w:val="21"/>
                      <w:highlight w:val="none"/>
                    </w:rPr>
                    <w:t>年</w:t>
                  </w:r>
                </w:p>
              </w:tc>
              <w:tc>
                <w:tcPr>
                  <w:tcW w:w="3652" w:type="dxa"/>
                  <w:tcBorders>
                    <w:top w:val="single" w:color="auto" w:sz="4" w:space="0"/>
                    <w:left w:val="single" w:color="auto" w:sz="4" w:space="0"/>
                    <w:right w:val="single" w:color="auto" w:sz="4" w:space="0"/>
                  </w:tcBorders>
                  <w:vAlign w:val="center"/>
                </w:tcPr>
                <w:p w14:paraId="657462C0">
                  <w:pPr>
                    <w:keepNext w:val="0"/>
                    <w:keepLines w:val="0"/>
                    <w:suppressLineNumbers w:val="0"/>
                    <w:overflowPunct w:val="0"/>
                    <w:adjustRightInd w:val="0"/>
                    <w:snapToGrid w:val="0"/>
                    <w:spacing w:before="0" w:beforeAutospacing="0" w:after="0" w:afterAutospacing="0" w:line="264" w:lineRule="auto"/>
                    <w:ind w:left="0" w:right="0"/>
                    <w:jc w:val="center"/>
                    <w:rPr>
                      <w:rFonts w:hint="eastAsia"/>
                      <w:snapToGrid w:val="0"/>
                      <w:kern w:val="0"/>
                      <w:sz w:val="21"/>
                      <w:szCs w:val="21"/>
                      <w:highlight w:val="none"/>
                    </w:rPr>
                  </w:pPr>
                  <w:r>
                    <w:rPr>
                      <w:rFonts w:hint="eastAsia" w:ascii="Times New Roman" w:hAnsi="Times New Roman" w:eastAsia="宋体" w:cs="Times New Roman"/>
                      <w:bCs/>
                      <w:sz w:val="21"/>
                      <w:szCs w:val="21"/>
                      <w:highlight w:val="none"/>
                    </w:rPr>
                    <w:t>《污水综合排放标准》（</w:t>
                  </w:r>
                  <w:r>
                    <w:rPr>
                      <w:rFonts w:hint="default" w:ascii="Times New Roman" w:hAnsi="Times New Roman" w:eastAsia="宋体" w:cs="Times New Roman"/>
                      <w:bCs/>
                      <w:sz w:val="21"/>
                      <w:szCs w:val="21"/>
                      <w:highlight w:val="none"/>
                    </w:rPr>
                    <w:t>GB8978-1996</w:t>
                  </w:r>
                  <w:r>
                    <w:rPr>
                      <w:rFonts w:hint="eastAsia" w:ascii="Times New Roman" w:hAnsi="Times New Roman" w:eastAsia="宋体" w:cs="Times New Roman"/>
                      <w:bCs/>
                      <w:sz w:val="21"/>
                      <w:szCs w:val="21"/>
                      <w:highlight w:val="none"/>
                    </w:rPr>
                    <w:t>）</w:t>
                  </w:r>
                </w:p>
              </w:tc>
            </w:tr>
            <w:tr w14:paraId="04E15CF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229" w:hRule="atLeast"/>
                <w:jc w:val="center"/>
              </w:trPr>
              <w:tc>
                <w:tcPr>
                  <w:tcW w:w="696" w:type="dxa"/>
                  <w:vMerge w:val="continue"/>
                  <w:tcBorders>
                    <w:left w:val="single" w:color="auto" w:sz="4" w:space="0"/>
                    <w:right w:val="single" w:color="auto" w:sz="4" w:space="0"/>
                  </w:tcBorders>
                  <w:vAlign w:val="center"/>
                </w:tcPr>
                <w:p w14:paraId="7C1B6617">
                  <w:pPr>
                    <w:keepNext w:val="0"/>
                    <w:keepLines w:val="0"/>
                    <w:suppressLineNumbers w:val="0"/>
                    <w:overflowPunct w:val="0"/>
                    <w:adjustRightInd w:val="0"/>
                    <w:snapToGrid w:val="0"/>
                    <w:spacing w:before="0" w:beforeAutospacing="0" w:after="0" w:afterAutospacing="0" w:line="264" w:lineRule="auto"/>
                    <w:ind w:left="0" w:right="0"/>
                    <w:jc w:val="center"/>
                    <w:rPr>
                      <w:rFonts w:hint="default" w:ascii="Times New Roman" w:hAnsi="Times New Roman" w:eastAsia="宋体" w:cs="Times New Roman"/>
                      <w:snapToGrid w:val="0"/>
                      <w:kern w:val="0"/>
                      <w:sz w:val="21"/>
                      <w:szCs w:val="21"/>
                      <w:highlight w:val="none"/>
                    </w:rPr>
                  </w:pPr>
                </w:p>
              </w:tc>
              <w:tc>
                <w:tcPr>
                  <w:tcW w:w="801" w:type="dxa"/>
                  <w:vMerge w:val="continue"/>
                  <w:tcBorders>
                    <w:left w:val="single" w:color="auto" w:sz="4" w:space="0"/>
                    <w:right w:val="single" w:color="auto" w:sz="4" w:space="0"/>
                  </w:tcBorders>
                  <w:vAlign w:val="center"/>
                </w:tcPr>
                <w:p w14:paraId="3A72B5AC">
                  <w:pPr>
                    <w:keepNext w:val="0"/>
                    <w:keepLines w:val="0"/>
                    <w:suppressLineNumbers w:val="0"/>
                    <w:overflowPunct w:val="0"/>
                    <w:adjustRightInd w:val="0"/>
                    <w:snapToGrid w:val="0"/>
                    <w:spacing w:before="0" w:beforeAutospacing="0" w:after="0" w:afterAutospacing="0" w:line="264" w:lineRule="auto"/>
                    <w:ind w:left="0" w:right="0"/>
                    <w:jc w:val="center"/>
                    <w:rPr>
                      <w:rFonts w:hint="eastAsia" w:ascii="Times New Roman" w:hAnsi="Times New Roman" w:eastAsia="宋体" w:cs="Times New Roman"/>
                      <w:snapToGrid w:val="0"/>
                      <w:kern w:val="0"/>
                      <w:sz w:val="21"/>
                      <w:szCs w:val="21"/>
                      <w:highlight w:val="none"/>
                    </w:rPr>
                  </w:pPr>
                </w:p>
              </w:tc>
              <w:tc>
                <w:tcPr>
                  <w:tcW w:w="892" w:type="dxa"/>
                  <w:vMerge w:val="continue"/>
                  <w:tcBorders>
                    <w:left w:val="single" w:color="auto" w:sz="4" w:space="0"/>
                    <w:right w:val="single" w:color="auto" w:sz="4" w:space="0"/>
                  </w:tcBorders>
                  <w:vAlign w:val="center"/>
                </w:tcPr>
                <w:p w14:paraId="6F9BE275">
                  <w:pPr>
                    <w:keepNext w:val="0"/>
                    <w:keepLines w:val="0"/>
                    <w:suppressLineNumbers w:val="0"/>
                    <w:overflowPunct w:val="0"/>
                    <w:adjustRightInd w:val="0"/>
                    <w:snapToGrid w:val="0"/>
                    <w:spacing w:before="0" w:beforeAutospacing="0" w:after="0" w:afterAutospacing="0" w:line="264" w:lineRule="auto"/>
                    <w:ind w:left="0" w:right="0"/>
                    <w:jc w:val="center"/>
                    <w:rPr>
                      <w:rFonts w:hint="eastAsia" w:ascii="Times New Roman" w:hAnsi="Times New Roman" w:eastAsia="宋体" w:cs="Times New Roman"/>
                      <w:snapToGrid w:val="0"/>
                      <w:kern w:val="0"/>
                      <w:sz w:val="21"/>
                      <w:szCs w:val="21"/>
                      <w:highlight w:val="none"/>
                    </w:rPr>
                  </w:pPr>
                </w:p>
              </w:tc>
              <w:tc>
                <w:tcPr>
                  <w:tcW w:w="1333" w:type="dxa"/>
                  <w:tcBorders>
                    <w:top w:val="single" w:color="auto" w:sz="4" w:space="0"/>
                    <w:left w:val="single" w:color="auto" w:sz="4" w:space="0"/>
                    <w:bottom w:val="single" w:color="auto" w:sz="4" w:space="0"/>
                    <w:right w:val="single" w:color="auto" w:sz="4" w:space="0"/>
                  </w:tcBorders>
                  <w:vAlign w:val="center"/>
                </w:tcPr>
                <w:p w14:paraId="64D7731A">
                  <w:pPr>
                    <w:keepNext w:val="0"/>
                    <w:keepLines w:val="0"/>
                    <w:suppressLineNumbers w:val="0"/>
                    <w:overflowPunct w:val="0"/>
                    <w:adjustRightInd w:val="0"/>
                    <w:snapToGrid w:val="0"/>
                    <w:spacing w:before="0" w:beforeAutospacing="0" w:after="0" w:afterAutospacing="0" w:line="264" w:lineRule="auto"/>
                    <w:ind w:left="0" w:right="0"/>
                    <w:jc w:val="center"/>
                    <w:rPr>
                      <w:rFonts w:hint="default" w:ascii="Times New Roman" w:hAnsi="Times New Roman" w:eastAsia="宋体" w:cs="Times New Roman"/>
                      <w:snapToGrid w:val="0"/>
                      <w:sz w:val="21"/>
                      <w:szCs w:val="21"/>
                      <w:highlight w:val="none"/>
                    </w:rPr>
                  </w:pPr>
                  <w:r>
                    <w:rPr>
                      <w:rFonts w:hint="default" w:ascii="Times New Roman" w:hAnsi="Times New Roman" w:eastAsia="宋体" w:cs="Times New Roman"/>
                      <w:snapToGrid w:val="0"/>
                      <w:sz w:val="21"/>
                      <w:szCs w:val="21"/>
                      <w:highlight w:val="none"/>
                    </w:rPr>
                    <w:t>NH</w:t>
                  </w:r>
                  <w:r>
                    <w:rPr>
                      <w:rFonts w:hint="default" w:ascii="Times New Roman" w:hAnsi="Times New Roman" w:eastAsia="宋体" w:cs="Times New Roman"/>
                      <w:snapToGrid w:val="0"/>
                      <w:sz w:val="21"/>
                      <w:szCs w:val="21"/>
                      <w:highlight w:val="none"/>
                      <w:vertAlign w:val="subscript"/>
                    </w:rPr>
                    <w:t>3</w:t>
                  </w:r>
                  <w:r>
                    <w:rPr>
                      <w:rFonts w:hint="default" w:ascii="Times New Roman" w:hAnsi="Times New Roman" w:eastAsia="宋体" w:cs="Times New Roman"/>
                      <w:snapToGrid w:val="0"/>
                      <w:sz w:val="21"/>
                      <w:szCs w:val="21"/>
                      <w:highlight w:val="none"/>
                    </w:rPr>
                    <w:t>-N</w:t>
                  </w:r>
                </w:p>
              </w:tc>
              <w:tc>
                <w:tcPr>
                  <w:tcW w:w="742" w:type="dxa"/>
                  <w:tcBorders>
                    <w:top w:val="single" w:color="auto" w:sz="4" w:space="0"/>
                    <w:left w:val="single" w:color="auto" w:sz="4" w:space="0"/>
                    <w:bottom w:val="single" w:color="auto" w:sz="4" w:space="0"/>
                    <w:right w:val="single" w:color="auto" w:sz="4" w:space="0"/>
                  </w:tcBorders>
                  <w:vAlign w:val="center"/>
                </w:tcPr>
                <w:p w14:paraId="3550EA20">
                  <w:pPr>
                    <w:keepNext w:val="0"/>
                    <w:keepLines w:val="0"/>
                    <w:suppressLineNumbers w:val="0"/>
                    <w:overflowPunct w:val="0"/>
                    <w:adjustRightInd w:val="0"/>
                    <w:snapToGrid w:val="0"/>
                    <w:spacing w:before="0" w:beforeAutospacing="0" w:after="0" w:afterAutospacing="0" w:line="264" w:lineRule="auto"/>
                    <w:ind w:left="0" w:right="0"/>
                    <w:jc w:val="center"/>
                    <w:rPr>
                      <w:rFonts w:hint="default" w:ascii="Times New Roman" w:hAnsi="Times New Roman" w:eastAsia="宋体" w:cs="Times New Roman"/>
                      <w:sz w:val="21"/>
                      <w:szCs w:val="21"/>
                      <w:highlight w:val="none"/>
                    </w:rPr>
                  </w:pPr>
                  <w:r>
                    <w:rPr>
                      <w:rFonts w:hint="default" w:ascii="Times New Roman" w:hAnsi="Times New Roman" w:eastAsia="宋体" w:cs="Times New Roman"/>
                      <w:sz w:val="21"/>
                      <w:szCs w:val="21"/>
                      <w:highlight w:val="none"/>
                    </w:rPr>
                    <w:t>1</w:t>
                  </w:r>
                  <w:r>
                    <w:rPr>
                      <w:rFonts w:hint="eastAsia" w:ascii="Times New Roman" w:hAnsi="Times New Roman" w:eastAsia="宋体" w:cs="Times New Roman"/>
                      <w:sz w:val="21"/>
                      <w:szCs w:val="21"/>
                      <w:highlight w:val="none"/>
                    </w:rPr>
                    <w:t>次</w:t>
                  </w:r>
                  <w:r>
                    <w:rPr>
                      <w:rFonts w:hint="default" w:ascii="Times New Roman" w:hAnsi="Times New Roman" w:eastAsia="宋体" w:cs="Times New Roman"/>
                      <w:sz w:val="21"/>
                      <w:szCs w:val="21"/>
                      <w:highlight w:val="none"/>
                    </w:rPr>
                    <w:t>/</w:t>
                  </w:r>
                  <w:r>
                    <w:rPr>
                      <w:rFonts w:hint="eastAsia" w:ascii="Times New Roman" w:hAnsi="Times New Roman" w:eastAsia="宋体" w:cs="Times New Roman"/>
                      <w:sz w:val="21"/>
                      <w:szCs w:val="21"/>
                      <w:highlight w:val="none"/>
                    </w:rPr>
                    <w:t>年</w:t>
                  </w:r>
                </w:p>
              </w:tc>
              <w:tc>
                <w:tcPr>
                  <w:tcW w:w="3652" w:type="dxa"/>
                  <w:vMerge w:val="restart"/>
                  <w:tcBorders>
                    <w:top w:val="single" w:color="auto" w:sz="4" w:space="0"/>
                    <w:left w:val="single" w:color="auto" w:sz="4" w:space="0"/>
                    <w:right w:val="single" w:color="auto" w:sz="4" w:space="0"/>
                  </w:tcBorders>
                  <w:vAlign w:val="center"/>
                </w:tcPr>
                <w:p w14:paraId="237F763B">
                  <w:pPr>
                    <w:keepNext w:val="0"/>
                    <w:keepLines w:val="0"/>
                    <w:suppressLineNumbers w:val="0"/>
                    <w:overflowPunct w:val="0"/>
                    <w:adjustRightInd w:val="0"/>
                    <w:snapToGrid w:val="0"/>
                    <w:spacing w:before="0" w:beforeAutospacing="0" w:after="0" w:afterAutospacing="0" w:line="264" w:lineRule="auto"/>
                    <w:ind w:left="0" w:right="0"/>
                    <w:jc w:val="center"/>
                    <w:rPr>
                      <w:rFonts w:hint="eastAsia" w:ascii="Times New Roman" w:hAnsi="Times New Roman" w:eastAsia="宋体" w:cs="Times New Roman"/>
                      <w:bCs/>
                      <w:sz w:val="21"/>
                      <w:szCs w:val="21"/>
                      <w:highlight w:val="none"/>
                    </w:rPr>
                  </w:pPr>
                  <w:r>
                    <w:rPr>
                      <w:rFonts w:hint="eastAsia"/>
                      <w:snapToGrid w:val="0"/>
                      <w:kern w:val="0"/>
                      <w:sz w:val="21"/>
                      <w:szCs w:val="21"/>
                      <w:highlight w:val="none"/>
                    </w:rPr>
                    <w:t>高铁新城再生水厂进水水质标准</w:t>
                  </w:r>
                </w:p>
              </w:tc>
            </w:tr>
            <w:tr w14:paraId="6C900AD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229" w:hRule="atLeast"/>
                <w:jc w:val="center"/>
              </w:trPr>
              <w:tc>
                <w:tcPr>
                  <w:tcW w:w="696" w:type="dxa"/>
                  <w:vMerge w:val="continue"/>
                  <w:tcBorders>
                    <w:left w:val="single" w:color="auto" w:sz="4" w:space="0"/>
                    <w:right w:val="single" w:color="auto" w:sz="4" w:space="0"/>
                  </w:tcBorders>
                  <w:vAlign w:val="center"/>
                </w:tcPr>
                <w:p w14:paraId="55027165">
                  <w:pPr>
                    <w:keepNext w:val="0"/>
                    <w:keepLines w:val="0"/>
                    <w:suppressLineNumbers w:val="0"/>
                    <w:overflowPunct w:val="0"/>
                    <w:adjustRightInd w:val="0"/>
                    <w:snapToGrid w:val="0"/>
                    <w:spacing w:before="0" w:beforeAutospacing="0" w:after="0" w:afterAutospacing="0" w:line="264" w:lineRule="auto"/>
                    <w:ind w:left="0" w:right="0"/>
                    <w:jc w:val="center"/>
                    <w:rPr>
                      <w:rFonts w:hint="default" w:ascii="Times New Roman" w:hAnsi="Times New Roman" w:eastAsia="宋体" w:cs="Times New Roman"/>
                      <w:snapToGrid w:val="0"/>
                      <w:kern w:val="0"/>
                      <w:sz w:val="21"/>
                      <w:szCs w:val="21"/>
                      <w:highlight w:val="none"/>
                    </w:rPr>
                  </w:pPr>
                </w:p>
              </w:tc>
              <w:tc>
                <w:tcPr>
                  <w:tcW w:w="801" w:type="dxa"/>
                  <w:vMerge w:val="continue"/>
                  <w:tcBorders>
                    <w:left w:val="single" w:color="auto" w:sz="4" w:space="0"/>
                    <w:right w:val="single" w:color="auto" w:sz="4" w:space="0"/>
                  </w:tcBorders>
                  <w:vAlign w:val="center"/>
                </w:tcPr>
                <w:p w14:paraId="5A99C676">
                  <w:pPr>
                    <w:keepNext w:val="0"/>
                    <w:keepLines w:val="0"/>
                    <w:suppressLineNumbers w:val="0"/>
                    <w:overflowPunct w:val="0"/>
                    <w:adjustRightInd w:val="0"/>
                    <w:snapToGrid w:val="0"/>
                    <w:spacing w:before="0" w:beforeAutospacing="0" w:after="0" w:afterAutospacing="0" w:line="264" w:lineRule="auto"/>
                    <w:ind w:left="0" w:right="0"/>
                    <w:jc w:val="center"/>
                    <w:rPr>
                      <w:rFonts w:hint="eastAsia" w:ascii="Times New Roman" w:hAnsi="Times New Roman" w:eastAsia="宋体" w:cs="Times New Roman"/>
                      <w:snapToGrid w:val="0"/>
                      <w:kern w:val="0"/>
                      <w:sz w:val="21"/>
                      <w:szCs w:val="21"/>
                      <w:highlight w:val="none"/>
                    </w:rPr>
                  </w:pPr>
                </w:p>
              </w:tc>
              <w:tc>
                <w:tcPr>
                  <w:tcW w:w="892" w:type="dxa"/>
                  <w:vMerge w:val="continue"/>
                  <w:tcBorders>
                    <w:left w:val="single" w:color="auto" w:sz="4" w:space="0"/>
                    <w:right w:val="single" w:color="auto" w:sz="4" w:space="0"/>
                  </w:tcBorders>
                  <w:vAlign w:val="center"/>
                </w:tcPr>
                <w:p w14:paraId="592315A4">
                  <w:pPr>
                    <w:keepNext w:val="0"/>
                    <w:keepLines w:val="0"/>
                    <w:suppressLineNumbers w:val="0"/>
                    <w:overflowPunct w:val="0"/>
                    <w:adjustRightInd w:val="0"/>
                    <w:snapToGrid w:val="0"/>
                    <w:spacing w:before="0" w:beforeAutospacing="0" w:after="0" w:afterAutospacing="0" w:line="264" w:lineRule="auto"/>
                    <w:ind w:left="0" w:right="0"/>
                    <w:jc w:val="center"/>
                    <w:rPr>
                      <w:rFonts w:hint="eastAsia" w:ascii="Times New Roman" w:hAnsi="Times New Roman" w:eastAsia="宋体" w:cs="Times New Roman"/>
                      <w:snapToGrid w:val="0"/>
                      <w:kern w:val="0"/>
                      <w:sz w:val="21"/>
                      <w:szCs w:val="21"/>
                      <w:highlight w:val="none"/>
                    </w:rPr>
                  </w:pPr>
                </w:p>
              </w:tc>
              <w:tc>
                <w:tcPr>
                  <w:tcW w:w="1333" w:type="dxa"/>
                  <w:tcBorders>
                    <w:top w:val="single" w:color="auto" w:sz="4" w:space="0"/>
                    <w:left w:val="single" w:color="auto" w:sz="4" w:space="0"/>
                    <w:bottom w:val="single" w:color="auto" w:sz="4" w:space="0"/>
                    <w:right w:val="single" w:color="auto" w:sz="4" w:space="0"/>
                  </w:tcBorders>
                  <w:vAlign w:val="center"/>
                </w:tcPr>
                <w:p w14:paraId="6449EEB6">
                  <w:pPr>
                    <w:keepNext w:val="0"/>
                    <w:keepLines w:val="0"/>
                    <w:suppressLineNumbers w:val="0"/>
                    <w:overflowPunct w:val="0"/>
                    <w:adjustRightInd w:val="0"/>
                    <w:snapToGrid w:val="0"/>
                    <w:spacing w:before="0" w:beforeAutospacing="0" w:after="0" w:afterAutospacing="0" w:line="264" w:lineRule="auto"/>
                    <w:ind w:left="0" w:right="0"/>
                    <w:jc w:val="center"/>
                    <w:rPr>
                      <w:rFonts w:hint="default" w:ascii="Times New Roman" w:hAnsi="Times New Roman" w:eastAsia="宋体" w:cs="Times New Roman"/>
                      <w:snapToGrid w:val="0"/>
                      <w:sz w:val="21"/>
                      <w:szCs w:val="21"/>
                      <w:highlight w:val="none"/>
                    </w:rPr>
                  </w:pPr>
                  <w:r>
                    <w:rPr>
                      <w:rFonts w:hint="default" w:ascii="Times New Roman" w:hAnsi="Times New Roman" w:eastAsia="宋体" w:cs="Times New Roman"/>
                      <w:snapToGrid w:val="0"/>
                      <w:sz w:val="21"/>
                      <w:szCs w:val="21"/>
                      <w:highlight w:val="none"/>
                    </w:rPr>
                    <w:t>COD</w:t>
                  </w:r>
                  <w:r>
                    <w:rPr>
                      <w:rFonts w:hint="default" w:ascii="Times New Roman" w:hAnsi="Times New Roman" w:eastAsia="宋体" w:cs="Times New Roman"/>
                      <w:snapToGrid w:val="0"/>
                      <w:sz w:val="21"/>
                      <w:szCs w:val="21"/>
                      <w:highlight w:val="none"/>
                      <w:vertAlign w:val="subscript"/>
                    </w:rPr>
                    <w:t>Cr</w:t>
                  </w:r>
                </w:p>
              </w:tc>
              <w:tc>
                <w:tcPr>
                  <w:tcW w:w="742" w:type="dxa"/>
                  <w:tcBorders>
                    <w:top w:val="single" w:color="auto" w:sz="4" w:space="0"/>
                    <w:left w:val="single" w:color="auto" w:sz="4" w:space="0"/>
                    <w:bottom w:val="single" w:color="auto" w:sz="4" w:space="0"/>
                    <w:right w:val="single" w:color="auto" w:sz="4" w:space="0"/>
                  </w:tcBorders>
                  <w:vAlign w:val="center"/>
                </w:tcPr>
                <w:p w14:paraId="5FBC270F">
                  <w:pPr>
                    <w:keepNext w:val="0"/>
                    <w:keepLines w:val="0"/>
                    <w:suppressLineNumbers w:val="0"/>
                    <w:overflowPunct w:val="0"/>
                    <w:adjustRightInd w:val="0"/>
                    <w:snapToGrid w:val="0"/>
                    <w:spacing w:before="0" w:beforeAutospacing="0" w:after="0" w:afterAutospacing="0" w:line="264" w:lineRule="auto"/>
                    <w:ind w:left="0" w:right="0"/>
                    <w:jc w:val="center"/>
                    <w:rPr>
                      <w:rFonts w:hint="default" w:ascii="Times New Roman" w:hAnsi="Times New Roman" w:eastAsia="宋体" w:cs="Times New Roman"/>
                      <w:sz w:val="21"/>
                      <w:szCs w:val="21"/>
                      <w:highlight w:val="none"/>
                    </w:rPr>
                  </w:pPr>
                  <w:r>
                    <w:rPr>
                      <w:rFonts w:hint="default" w:ascii="Times New Roman" w:hAnsi="Times New Roman" w:eastAsia="宋体" w:cs="Times New Roman"/>
                      <w:sz w:val="21"/>
                      <w:szCs w:val="21"/>
                      <w:highlight w:val="none"/>
                    </w:rPr>
                    <w:t>1</w:t>
                  </w:r>
                  <w:r>
                    <w:rPr>
                      <w:rFonts w:hint="eastAsia" w:ascii="Times New Roman" w:hAnsi="Times New Roman" w:eastAsia="宋体" w:cs="Times New Roman"/>
                      <w:sz w:val="21"/>
                      <w:szCs w:val="21"/>
                      <w:highlight w:val="none"/>
                    </w:rPr>
                    <w:t>次</w:t>
                  </w:r>
                  <w:r>
                    <w:rPr>
                      <w:rFonts w:hint="default" w:ascii="Times New Roman" w:hAnsi="Times New Roman" w:eastAsia="宋体" w:cs="Times New Roman"/>
                      <w:sz w:val="21"/>
                      <w:szCs w:val="21"/>
                      <w:highlight w:val="none"/>
                    </w:rPr>
                    <w:t>/</w:t>
                  </w:r>
                  <w:r>
                    <w:rPr>
                      <w:rFonts w:hint="eastAsia" w:ascii="Times New Roman" w:hAnsi="Times New Roman" w:eastAsia="宋体" w:cs="Times New Roman"/>
                      <w:sz w:val="21"/>
                      <w:szCs w:val="21"/>
                      <w:highlight w:val="none"/>
                    </w:rPr>
                    <w:t>年</w:t>
                  </w:r>
                </w:p>
              </w:tc>
              <w:tc>
                <w:tcPr>
                  <w:tcW w:w="3652" w:type="dxa"/>
                  <w:vMerge w:val="continue"/>
                  <w:tcBorders>
                    <w:left w:val="single" w:color="auto" w:sz="4" w:space="0"/>
                    <w:right w:val="single" w:color="auto" w:sz="4" w:space="0"/>
                  </w:tcBorders>
                  <w:vAlign w:val="center"/>
                </w:tcPr>
                <w:p w14:paraId="0BF29A8C">
                  <w:pPr>
                    <w:keepNext w:val="0"/>
                    <w:keepLines w:val="0"/>
                    <w:suppressLineNumbers w:val="0"/>
                    <w:overflowPunct w:val="0"/>
                    <w:adjustRightInd w:val="0"/>
                    <w:snapToGrid w:val="0"/>
                    <w:spacing w:before="0" w:beforeAutospacing="0" w:after="0" w:afterAutospacing="0" w:line="264" w:lineRule="auto"/>
                    <w:ind w:left="0" w:right="0"/>
                    <w:jc w:val="center"/>
                    <w:rPr>
                      <w:rFonts w:hint="eastAsia" w:ascii="Times New Roman" w:hAnsi="Times New Roman" w:eastAsia="宋体" w:cs="Times New Roman"/>
                      <w:bCs/>
                      <w:sz w:val="21"/>
                      <w:szCs w:val="21"/>
                      <w:highlight w:val="none"/>
                    </w:rPr>
                  </w:pPr>
                </w:p>
              </w:tc>
            </w:tr>
            <w:tr w14:paraId="43F24C3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229" w:hRule="atLeast"/>
                <w:jc w:val="center"/>
              </w:trPr>
              <w:tc>
                <w:tcPr>
                  <w:tcW w:w="696" w:type="dxa"/>
                  <w:vMerge w:val="restart"/>
                  <w:tcBorders>
                    <w:top w:val="single" w:color="auto" w:sz="4" w:space="0"/>
                    <w:left w:val="single" w:color="auto" w:sz="4" w:space="0"/>
                    <w:right w:val="single" w:color="auto" w:sz="4" w:space="0"/>
                  </w:tcBorders>
                  <w:vAlign w:val="center"/>
                </w:tcPr>
                <w:p w14:paraId="528211D8">
                  <w:pPr>
                    <w:keepNext w:val="0"/>
                    <w:keepLines w:val="0"/>
                    <w:suppressLineNumbers w:val="0"/>
                    <w:overflowPunct w:val="0"/>
                    <w:adjustRightInd w:val="0"/>
                    <w:snapToGrid w:val="0"/>
                    <w:spacing w:before="0" w:beforeAutospacing="0" w:after="0" w:afterAutospacing="0" w:line="264" w:lineRule="auto"/>
                    <w:ind w:left="0" w:right="0"/>
                    <w:jc w:val="center"/>
                    <w:rPr>
                      <w:rFonts w:hint="eastAsia" w:ascii="Times New Roman" w:hAnsi="Times New Roman" w:eastAsia="宋体" w:cs="Times New Roman"/>
                      <w:snapToGrid w:val="0"/>
                      <w:kern w:val="0"/>
                      <w:sz w:val="21"/>
                      <w:szCs w:val="21"/>
                      <w:highlight w:val="none"/>
                      <w:lang w:val="en-US" w:eastAsia="zh-CN"/>
                    </w:rPr>
                  </w:pPr>
                  <w:r>
                    <w:rPr>
                      <w:rFonts w:hint="default" w:ascii="Times New Roman" w:hAnsi="Times New Roman" w:eastAsia="宋体" w:cs="Times New Roman"/>
                      <w:snapToGrid w:val="0"/>
                      <w:kern w:val="0"/>
                      <w:sz w:val="21"/>
                      <w:szCs w:val="21"/>
                      <w:highlight w:val="none"/>
                    </w:rPr>
                    <w:t>DW00</w:t>
                  </w:r>
                  <w:r>
                    <w:rPr>
                      <w:rFonts w:hint="eastAsia" w:cs="Times New Roman"/>
                      <w:snapToGrid w:val="0"/>
                      <w:kern w:val="0"/>
                      <w:sz w:val="21"/>
                      <w:szCs w:val="21"/>
                      <w:highlight w:val="none"/>
                      <w:lang w:val="en-US" w:eastAsia="zh-CN"/>
                    </w:rPr>
                    <w:t>2</w:t>
                  </w:r>
                </w:p>
              </w:tc>
              <w:tc>
                <w:tcPr>
                  <w:tcW w:w="801" w:type="dxa"/>
                  <w:vMerge w:val="restart"/>
                  <w:tcBorders>
                    <w:top w:val="single" w:color="auto" w:sz="4" w:space="0"/>
                    <w:left w:val="single" w:color="auto" w:sz="4" w:space="0"/>
                    <w:right w:val="single" w:color="auto" w:sz="4" w:space="0"/>
                  </w:tcBorders>
                  <w:vAlign w:val="center"/>
                </w:tcPr>
                <w:p w14:paraId="355F4AD1">
                  <w:pPr>
                    <w:keepNext w:val="0"/>
                    <w:keepLines w:val="0"/>
                    <w:suppressLineNumbers w:val="0"/>
                    <w:overflowPunct w:val="0"/>
                    <w:adjustRightInd w:val="0"/>
                    <w:snapToGrid w:val="0"/>
                    <w:spacing w:before="0" w:beforeAutospacing="0" w:after="0" w:afterAutospacing="0" w:line="264" w:lineRule="auto"/>
                    <w:ind w:left="0" w:right="0"/>
                    <w:jc w:val="center"/>
                    <w:rPr>
                      <w:rFonts w:hint="default" w:ascii="Times New Roman" w:hAnsi="Times New Roman" w:eastAsia="宋体" w:cs="Times New Roman"/>
                      <w:snapToGrid w:val="0"/>
                      <w:kern w:val="0"/>
                      <w:sz w:val="21"/>
                      <w:szCs w:val="21"/>
                      <w:highlight w:val="none"/>
                    </w:rPr>
                  </w:pPr>
                  <w:r>
                    <w:rPr>
                      <w:rFonts w:hint="eastAsia" w:cs="Times New Roman"/>
                      <w:snapToGrid w:val="0"/>
                      <w:kern w:val="0"/>
                      <w:sz w:val="21"/>
                      <w:szCs w:val="21"/>
                      <w:highlight w:val="none"/>
                      <w:lang w:val="en-US" w:eastAsia="zh-CN"/>
                    </w:rPr>
                    <w:t>废水</w:t>
                  </w:r>
                  <w:r>
                    <w:rPr>
                      <w:rFonts w:hint="eastAsia" w:ascii="Times New Roman" w:hAnsi="Times New Roman" w:eastAsia="宋体" w:cs="Times New Roman"/>
                      <w:snapToGrid w:val="0"/>
                      <w:kern w:val="0"/>
                      <w:sz w:val="21"/>
                      <w:szCs w:val="21"/>
                      <w:highlight w:val="none"/>
                    </w:rPr>
                    <w:t>排放口</w:t>
                  </w:r>
                </w:p>
              </w:tc>
              <w:tc>
                <w:tcPr>
                  <w:tcW w:w="892" w:type="dxa"/>
                  <w:vMerge w:val="restart"/>
                  <w:tcBorders>
                    <w:top w:val="single" w:color="auto" w:sz="4" w:space="0"/>
                    <w:left w:val="single" w:color="auto" w:sz="4" w:space="0"/>
                    <w:right w:val="single" w:color="auto" w:sz="4" w:space="0"/>
                  </w:tcBorders>
                  <w:vAlign w:val="center"/>
                </w:tcPr>
                <w:p w14:paraId="7402259A">
                  <w:pPr>
                    <w:keepNext w:val="0"/>
                    <w:keepLines w:val="0"/>
                    <w:suppressLineNumbers w:val="0"/>
                    <w:overflowPunct w:val="0"/>
                    <w:adjustRightInd w:val="0"/>
                    <w:snapToGrid w:val="0"/>
                    <w:spacing w:before="0" w:beforeAutospacing="0" w:after="0" w:afterAutospacing="0" w:line="264" w:lineRule="auto"/>
                    <w:ind w:left="0" w:right="0"/>
                    <w:jc w:val="center"/>
                    <w:rPr>
                      <w:rFonts w:hint="default" w:ascii="Times New Roman" w:hAnsi="Times New Roman" w:eastAsia="宋体" w:cs="Times New Roman"/>
                      <w:snapToGrid w:val="0"/>
                      <w:kern w:val="0"/>
                      <w:sz w:val="21"/>
                      <w:szCs w:val="21"/>
                      <w:highlight w:val="none"/>
                    </w:rPr>
                  </w:pPr>
                  <w:r>
                    <w:rPr>
                      <w:rFonts w:hint="eastAsia" w:ascii="Times New Roman" w:hAnsi="Times New Roman" w:eastAsia="宋体" w:cs="Times New Roman"/>
                      <w:snapToGrid w:val="0"/>
                      <w:kern w:val="0"/>
                      <w:sz w:val="21"/>
                      <w:szCs w:val="21"/>
                      <w:highlight w:val="none"/>
                    </w:rPr>
                    <w:t>废水总排放口</w:t>
                  </w:r>
                </w:p>
              </w:tc>
              <w:tc>
                <w:tcPr>
                  <w:tcW w:w="1333" w:type="dxa"/>
                  <w:tcBorders>
                    <w:top w:val="single" w:color="auto" w:sz="4" w:space="0"/>
                    <w:left w:val="single" w:color="auto" w:sz="4" w:space="0"/>
                    <w:bottom w:val="single" w:color="auto" w:sz="4" w:space="0"/>
                    <w:right w:val="single" w:color="auto" w:sz="4" w:space="0"/>
                  </w:tcBorders>
                  <w:vAlign w:val="center"/>
                </w:tcPr>
                <w:p w14:paraId="09F00BA3">
                  <w:pPr>
                    <w:keepNext w:val="0"/>
                    <w:keepLines w:val="0"/>
                    <w:suppressLineNumbers w:val="0"/>
                    <w:overflowPunct w:val="0"/>
                    <w:adjustRightInd w:val="0"/>
                    <w:snapToGrid w:val="0"/>
                    <w:spacing w:before="0" w:beforeAutospacing="0" w:after="0" w:afterAutospacing="0" w:line="264" w:lineRule="auto"/>
                    <w:ind w:left="0" w:right="0"/>
                    <w:jc w:val="center"/>
                    <w:rPr>
                      <w:rFonts w:hint="default" w:ascii="Times New Roman" w:hAnsi="Times New Roman" w:eastAsia="宋体" w:cs="Times New Roman"/>
                      <w:snapToGrid w:val="0"/>
                      <w:sz w:val="21"/>
                      <w:szCs w:val="21"/>
                      <w:highlight w:val="none"/>
                    </w:rPr>
                  </w:pPr>
                  <w:r>
                    <w:rPr>
                      <w:rFonts w:hint="eastAsia" w:cs="Times New Roman"/>
                      <w:snapToGrid w:val="0"/>
                      <w:sz w:val="21"/>
                      <w:szCs w:val="21"/>
                      <w:highlight w:val="none"/>
                      <w:lang w:val="en-US" w:eastAsia="zh-CN"/>
                    </w:rPr>
                    <w:t>pH</w:t>
                  </w:r>
                </w:p>
              </w:tc>
              <w:tc>
                <w:tcPr>
                  <w:tcW w:w="742" w:type="dxa"/>
                  <w:tcBorders>
                    <w:top w:val="single" w:color="auto" w:sz="4" w:space="0"/>
                    <w:left w:val="single" w:color="auto" w:sz="4" w:space="0"/>
                    <w:bottom w:val="single" w:color="auto" w:sz="4" w:space="0"/>
                    <w:right w:val="single" w:color="auto" w:sz="4" w:space="0"/>
                  </w:tcBorders>
                  <w:vAlign w:val="center"/>
                </w:tcPr>
                <w:p w14:paraId="4C0C84C8">
                  <w:pPr>
                    <w:keepNext w:val="0"/>
                    <w:keepLines w:val="0"/>
                    <w:suppressLineNumbers w:val="0"/>
                    <w:overflowPunct w:val="0"/>
                    <w:adjustRightInd w:val="0"/>
                    <w:snapToGrid w:val="0"/>
                    <w:spacing w:before="0" w:beforeAutospacing="0" w:after="0" w:afterAutospacing="0" w:line="264" w:lineRule="auto"/>
                    <w:ind w:left="0" w:right="0"/>
                    <w:jc w:val="center"/>
                    <w:rPr>
                      <w:rFonts w:hint="default" w:ascii="Times New Roman" w:hAnsi="Times New Roman" w:eastAsia="宋体" w:cs="Times New Roman"/>
                      <w:sz w:val="21"/>
                      <w:szCs w:val="21"/>
                      <w:highlight w:val="none"/>
                    </w:rPr>
                  </w:pPr>
                  <w:r>
                    <w:rPr>
                      <w:rFonts w:hint="default" w:ascii="Times New Roman" w:hAnsi="Times New Roman" w:eastAsia="宋体" w:cs="Times New Roman"/>
                      <w:sz w:val="21"/>
                      <w:szCs w:val="21"/>
                      <w:highlight w:val="none"/>
                    </w:rPr>
                    <w:t>1</w:t>
                  </w:r>
                  <w:r>
                    <w:rPr>
                      <w:rFonts w:hint="eastAsia" w:ascii="Times New Roman" w:hAnsi="Times New Roman" w:eastAsia="宋体" w:cs="Times New Roman"/>
                      <w:sz w:val="21"/>
                      <w:szCs w:val="21"/>
                      <w:highlight w:val="none"/>
                    </w:rPr>
                    <w:t>次</w:t>
                  </w:r>
                  <w:r>
                    <w:rPr>
                      <w:rFonts w:hint="default" w:ascii="Times New Roman" w:hAnsi="Times New Roman" w:eastAsia="宋体" w:cs="Times New Roman"/>
                      <w:sz w:val="21"/>
                      <w:szCs w:val="21"/>
                      <w:highlight w:val="none"/>
                    </w:rPr>
                    <w:t>/</w:t>
                  </w:r>
                  <w:r>
                    <w:rPr>
                      <w:rFonts w:hint="eastAsia" w:ascii="Times New Roman" w:hAnsi="Times New Roman" w:eastAsia="宋体" w:cs="Times New Roman"/>
                      <w:sz w:val="21"/>
                      <w:szCs w:val="21"/>
                      <w:highlight w:val="none"/>
                    </w:rPr>
                    <w:t>年</w:t>
                  </w:r>
                </w:p>
              </w:tc>
              <w:tc>
                <w:tcPr>
                  <w:tcW w:w="3652" w:type="dxa"/>
                  <w:vMerge w:val="continue"/>
                  <w:tcBorders>
                    <w:left w:val="single" w:color="auto" w:sz="4" w:space="0"/>
                    <w:right w:val="single" w:color="auto" w:sz="4" w:space="0"/>
                  </w:tcBorders>
                  <w:vAlign w:val="center"/>
                </w:tcPr>
                <w:p w14:paraId="6B74386B">
                  <w:pPr>
                    <w:keepNext w:val="0"/>
                    <w:keepLines w:val="0"/>
                    <w:suppressLineNumbers w:val="0"/>
                    <w:overflowPunct w:val="0"/>
                    <w:adjustRightInd w:val="0"/>
                    <w:snapToGrid w:val="0"/>
                    <w:spacing w:before="0" w:beforeAutospacing="0" w:after="0" w:afterAutospacing="0" w:line="264" w:lineRule="auto"/>
                    <w:ind w:left="0" w:right="0"/>
                    <w:jc w:val="center"/>
                    <w:rPr>
                      <w:rFonts w:hint="default" w:ascii="Times New Roman" w:hAnsi="Times New Roman" w:eastAsia="宋体" w:cs="Times New Roman"/>
                      <w:snapToGrid w:val="0"/>
                      <w:kern w:val="0"/>
                      <w:sz w:val="21"/>
                      <w:szCs w:val="21"/>
                      <w:highlight w:val="none"/>
                    </w:rPr>
                  </w:pPr>
                </w:p>
              </w:tc>
            </w:tr>
            <w:tr w14:paraId="6D1711D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229" w:hRule="atLeast"/>
                <w:jc w:val="center"/>
              </w:trPr>
              <w:tc>
                <w:tcPr>
                  <w:tcW w:w="696" w:type="dxa"/>
                  <w:vMerge w:val="continue"/>
                  <w:tcBorders>
                    <w:left w:val="single" w:color="auto" w:sz="4" w:space="0"/>
                    <w:right w:val="single" w:color="auto" w:sz="4" w:space="0"/>
                  </w:tcBorders>
                  <w:vAlign w:val="center"/>
                </w:tcPr>
                <w:p w14:paraId="32260970">
                  <w:pPr>
                    <w:keepNext w:val="0"/>
                    <w:keepLines w:val="0"/>
                    <w:suppressLineNumbers w:val="0"/>
                    <w:overflowPunct w:val="0"/>
                    <w:adjustRightInd w:val="0"/>
                    <w:snapToGrid w:val="0"/>
                    <w:spacing w:before="0" w:beforeAutospacing="0" w:after="0" w:afterAutospacing="0" w:line="264" w:lineRule="auto"/>
                    <w:ind w:left="0" w:right="0"/>
                    <w:jc w:val="center"/>
                    <w:rPr>
                      <w:rFonts w:hint="eastAsia" w:ascii="Times New Roman" w:hAnsi="Times New Roman" w:eastAsia="宋体" w:cs="Times New Roman"/>
                      <w:snapToGrid w:val="0"/>
                      <w:kern w:val="0"/>
                      <w:sz w:val="21"/>
                      <w:szCs w:val="21"/>
                      <w:highlight w:val="none"/>
                      <w:lang w:val="en-US" w:eastAsia="zh-CN"/>
                    </w:rPr>
                  </w:pPr>
                </w:p>
              </w:tc>
              <w:tc>
                <w:tcPr>
                  <w:tcW w:w="801" w:type="dxa"/>
                  <w:vMerge w:val="continue"/>
                  <w:tcBorders>
                    <w:left w:val="single" w:color="auto" w:sz="4" w:space="0"/>
                    <w:right w:val="single" w:color="auto" w:sz="4" w:space="0"/>
                  </w:tcBorders>
                  <w:vAlign w:val="center"/>
                </w:tcPr>
                <w:p w14:paraId="18E585CE">
                  <w:pPr>
                    <w:keepNext w:val="0"/>
                    <w:keepLines w:val="0"/>
                    <w:suppressLineNumbers w:val="0"/>
                    <w:overflowPunct w:val="0"/>
                    <w:adjustRightInd w:val="0"/>
                    <w:snapToGrid w:val="0"/>
                    <w:spacing w:before="0" w:beforeAutospacing="0" w:after="0" w:afterAutospacing="0" w:line="264" w:lineRule="auto"/>
                    <w:ind w:left="0" w:right="0"/>
                    <w:jc w:val="center"/>
                    <w:rPr>
                      <w:rFonts w:hint="default" w:ascii="Times New Roman" w:hAnsi="Times New Roman" w:eastAsia="宋体" w:cs="Times New Roman"/>
                      <w:snapToGrid w:val="0"/>
                      <w:kern w:val="0"/>
                      <w:sz w:val="21"/>
                      <w:szCs w:val="21"/>
                      <w:highlight w:val="none"/>
                    </w:rPr>
                  </w:pPr>
                </w:p>
              </w:tc>
              <w:tc>
                <w:tcPr>
                  <w:tcW w:w="892" w:type="dxa"/>
                  <w:vMerge w:val="continue"/>
                  <w:tcBorders>
                    <w:left w:val="single" w:color="auto" w:sz="4" w:space="0"/>
                    <w:right w:val="single" w:color="auto" w:sz="4" w:space="0"/>
                  </w:tcBorders>
                  <w:vAlign w:val="center"/>
                </w:tcPr>
                <w:p w14:paraId="0B0A7DA5">
                  <w:pPr>
                    <w:keepNext w:val="0"/>
                    <w:keepLines w:val="0"/>
                    <w:suppressLineNumbers w:val="0"/>
                    <w:overflowPunct w:val="0"/>
                    <w:adjustRightInd w:val="0"/>
                    <w:snapToGrid w:val="0"/>
                    <w:spacing w:before="0" w:beforeAutospacing="0" w:after="0" w:afterAutospacing="0" w:line="264" w:lineRule="auto"/>
                    <w:ind w:left="0" w:right="0"/>
                    <w:jc w:val="center"/>
                    <w:rPr>
                      <w:rFonts w:hint="default" w:ascii="Times New Roman" w:hAnsi="Times New Roman" w:eastAsia="宋体" w:cs="Times New Roman"/>
                      <w:snapToGrid w:val="0"/>
                      <w:kern w:val="0"/>
                      <w:sz w:val="21"/>
                      <w:szCs w:val="21"/>
                      <w:highlight w:val="none"/>
                    </w:rPr>
                  </w:pPr>
                </w:p>
              </w:tc>
              <w:tc>
                <w:tcPr>
                  <w:tcW w:w="1333" w:type="dxa"/>
                  <w:tcBorders>
                    <w:top w:val="single" w:color="auto" w:sz="4" w:space="0"/>
                    <w:left w:val="single" w:color="auto" w:sz="4" w:space="0"/>
                    <w:bottom w:val="single" w:color="auto" w:sz="4" w:space="0"/>
                    <w:right w:val="single" w:color="auto" w:sz="4" w:space="0"/>
                  </w:tcBorders>
                  <w:vAlign w:val="center"/>
                </w:tcPr>
                <w:p w14:paraId="732A55EE">
                  <w:pPr>
                    <w:keepNext w:val="0"/>
                    <w:keepLines w:val="0"/>
                    <w:suppressLineNumbers w:val="0"/>
                    <w:overflowPunct w:val="0"/>
                    <w:adjustRightInd w:val="0"/>
                    <w:snapToGrid w:val="0"/>
                    <w:spacing w:before="0" w:beforeAutospacing="0" w:after="0" w:afterAutospacing="0" w:line="264" w:lineRule="auto"/>
                    <w:ind w:left="0" w:right="0"/>
                    <w:jc w:val="center"/>
                    <w:rPr>
                      <w:rFonts w:hint="default" w:ascii="Times New Roman" w:hAnsi="Times New Roman" w:eastAsia="宋体" w:cs="Times New Roman"/>
                      <w:snapToGrid w:val="0"/>
                      <w:kern w:val="0"/>
                      <w:sz w:val="21"/>
                      <w:szCs w:val="21"/>
                      <w:highlight w:val="none"/>
                    </w:rPr>
                  </w:pPr>
                  <w:r>
                    <w:rPr>
                      <w:rFonts w:hint="default" w:ascii="Times New Roman" w:hAnsi="Times New Roman" w:eastAsia="宋体" w:cs="Times New Roman"/>
                      <w:snapToGrid w:val="0"/>
                      <w:sz w:val="21"/>
                      <w:szCs w:val="21"/>
                      <w:highlight w:val="none"/>
                    </w:rPr>
                    <w:t>COD</w:t>
                  </w:r>
                  <w:r>
                    <w:rPr>
                      <w:rFonts w:hint="default" w:ascii="Times New Roman" w:hAnsi="Times New Roman" w:eastAsia="宋体" w:cs="Times New Roman"/>
                      <w:snapToGrid w:val="0"/>
                      <w:sz w:val="21"/>
                      <w:szCs w:val="21"/>
                      <w:highlight w:val="none"/>
                      <w:vertAlign w:val="subscript"/>
                    </w:rPr>
                    <w:t>Cr</w:t>
                  </w:r>
                </w:p>
              </w:tc>
              <w:tc>
                <w:tcPr>
                  <w:tcW w:w="742" w:type="dxa"/>
                  <w:tcBorders>
                    <w:top w:val="single" w:color="auto" w:sz="4" w:space="0"/>
                    <w:left w:val="single" w:color="auto" w:sz="4" w:space="0"/>
                    <w:bottom w:val="single" w:color="auto" w:sz="4" w:space="0"/>
                    <w:right w:val="single" w:color="auto" w:sz="4" w:space="0"/>
                  </w:tcBorders>
                  <w:vAlign w:val="center"/>
                </w:tcPr>
                <w:p w14:paraId="5BA017EF">
                  <w:pPr>
                    <w:keepNext w:val="0"/>
                    <w:keepLines w:val="0"/>
                    <w:suppressLineNumbers w:val="0"/>
                    <w:overflowPunct w:val="0"/>
                    <w:adjustRightInd w:val="0"/>
                    <w:snapToGrid w:val="0"/>
                    <w:spacing w:before="0" w:beforeAutospacing="0" w:after="0" w:afterAutospacing="0" w:line="264" w:lineRule="auto"/>
                    <w:ind w:left="0" w:right="0"/>
                    <w:jc w:val="center"/>
                    <w:rPr>
                      <w:rFonts w:hint="default" w:ascii="Times New Roman" w:hAnsi="Times New Roman" w:eastAsia="宋体" w:cs="Times New Roman"/>
                      <w:snapToGrid w:val="0"/>
                      <w:kern w:val="0"/>
                      <w:sz w:val="21"/>
                      <w:szCs w:val="21"/>
                      <w:highlight w:val="none"/>
                    </w:rPr>
                  </w:pPr>
                  <w:r>
                    <w:rPr>
                      <w:rFonts w:hint="default" w:ascii="Times New Roman" w:hAnsi="Times New Roman" w:eastAsia="宋体" w:cs="Times New Roman"/>
                      <w:sz w:val="21"/>
                      <w:szCs w:val="21"/>
                      <w:highlight w:val="none"/>
                    </w:rPr>
                    <w:t>1</w:t>
                  </w:r>
                  <w:r>
                    <w:rPr>
                      <w:rFonts w:hint="eastAsia" w:ascii="Times New Roman" w:hAnsi="Times New Roman" w:eastAsia="宋体" w:cs="Times New Roman"/>
                      <w:sz w:val="21"/>
                      <w:szCs w:val="21"/>
                      <w:highlight w:val="none"/>
                    </w:rPr>
                    <w:t>次</w:t>
                  </w:r>
                  <w:r>
                    <w:rPr>
                      <w:rFonts w:hint="default" w:ascii="Times New Roman" w:hAnsi="Times New Roman" w:eastAsia="宋体" w:cs="Times New Roman"/>
                      <w:sz w:val="21"/>
                      <w:szCs w:val="21"/>
                      <w:highlight w:val="none"/>
                    </w:rPr>
                    <w:t>/</w:t>
                  </w:r>
                  <w:r>
                    <w:rPr>
                      <w:rFonts w:hint="eastAsia" w:ascii="Times New Roman" w:hAnsi="Times New Roman" w:eastAsia="宋体" w:cs="Times New Roman"/>
                      <w:sz w:val="21"/>
                      <w:szCs w:val="21"/>
                      <w:highlight w:val="none"/>
                    </w:rPr>
                    <w:t>年</w:t>
                  </w:r>
                </w:p>
              </w:tc>
              <w:tc>
                <w:tcPr>
                  <w:tcW w:w="3652" w:type="dxa"/>
                  <w:vMerge w:val="continue"/>
                  <w:tcBorders>
                    <w:left w:val="single" w:color="auto" w:sz="4" w:space="0"/>
                    <w:right w:val="single" w:color="auto" w:sz="4" w:space="0"/>
                  </w:tcBorders>
                  <w:vAlign w:val="center"/>
                </w:tcPr>
                <w:p w14:paraId="4974F5A7">
                  <w:pPr>
                    <w:keepNext w:val="0"/>
                    <w:keepLines w:val="0"/>
                    <w:suppressLineNumbers w:val="0"/>
                    <w:overflowPunct w:val="0"/>
                    <w:adjustRightInd w:val="0"/>
                    <w:snapToGrid w:val="0"/>
                    <w:spacing w:before="0" w:beforeAutospacing="0" w:after="0" w:afterAutospacing="0" w:line="264" w:lineRule="auto"/>
                    <w:ind w:left="0" w:right="0"/>
                    <w:jc w:val="center"/>
                    <w:rPr>
                      <w:rFonts w:hint="default" w:ascii="Times New Roman" w:hAnsi="Times New Roman" w:eastAsia="宋体" w:cs="Times New Roman"/>
                      <w:snapToGrid w:val="0"/>
                      <w:kern w:val="0"/>
                      <w:sz w:val="21"/>
                      <w:szCs w:val="21"/>
                      <w:highlight w:val="none"/>
                    </w:rPr>
                  </w:pPr>
                </w:p>
              </w:tc>
            </w:tr>
            <w:tr w14:paraId="6E07667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229" w:hRule="atLeast"/>
                <w:jc w:val="center"/>
              </w:trPr>
              <w:tc>
                <w:tcPr>
                  <w:tcW w:w="696" w:type="dxa"/>
                  <w:vMerge w:val="continue"/>
                  <w:tcBorders>
                    <w:left w:val="single" w:color="auto" w:sz="4" w:space="0"/>
                    <w:right w:val="single" w:color="auto" w:sz="4" w:space="0"/>
                  </w:tcBorders>
                  <w:vAlign w:val="center"/>
                </w:tcPr>
                <w:p w14:paraId="07D6B689">
                  <w:pPr>
                    <w:keepNext w:val="0"/>
                    <w:keepLines w:val="0"/>
                    <w:suppressLineNumbers w:val="0"/>
                    <w:overflowPunct w:val="0"/>
                    <w:adjustRightInd w:val="0"/>
                    <w:snapToGrid w:val="0"/>
                    <w:spacing w:before="0" w:beforeAutospacing="0" w:after="0" w:afterAutospacing="0" w:line="264" w:lineRule="auto"/>
                    <w:ind w:left="0" w:right="0"/>
                    <w:jc w:val="center"/>
                    <w:rPr>
                      <w:rFonts w:hint="default" w:ascii="Times New Roman" w:hAnsi="Times New Roman" w:eastAsia="宋体" w:cs="Times New Roman"/>
                      <w:snapToGrid w:val="0"/>
                      <w:kern w:val="0"/>
                      <w:sz w:val="21"/>
                      <w:szCs w:val="21"/>
                      <w:highlight w:val="none"/>
                    </w:rPr>
                  </w:pPr>
                </w:p>
              </w:tc>
              <w:tc>
                <w:tcPr>
                  <w:tcW w:w="801" w:type="dxa"/>
                  <w:vMerge w:val="continue"/>
                  <w:tcBorders>
                    <w:left w:val="single" w:color="auto" w:sz="4" w:space="0"/>
                    <w:right w:val="single" w:color="auto" w:sz="4" w:space="0"/>
                  </w:tcBorders>
                  <w:vAlign w:val="center"/>
                </w:tcPr>
                <w:p w14:paraId="4933FED1">
                  <w:pPr>
                    <w:keepNext w:val="0"/>
                    <w:keepLines w:val="0"/>
                    <w:suppressLineNumbers w:val="0"/>
                    <w:overflowPunct w:val="0"/>
                    <w:adjustRightInd w:val="0"/>
                    <w:snapToGrid w:val="0"/>
                    <w:spacing w:before="0" w:beforeAutospacing="0" w:after="0" w:afterAutospacing="0" w:line="264" w:lineRule="auto"/>
                    <w:ind w:left="0" w:right="0"/>
                    <w:jc w:val="center"/>
                    <w:rPr>
                      <w:rFonts w:hint="eastAsia" w:ascii="Times New Roman" w:hAnsi="Times New Roman" w:eastAsia="宋体" w:cs="Times New Roman"/>
                      <w:snapToGrid w:val="0"/>
                      <w:kern w:val="0"/>
                      <w:sz w:val="21"/>
                      <w:szCs w:val="21"/>
                      <w:highlight w:val="none"/>
                    </w:rPr>
                  </w:pPr>
                </w:p>
              </w:tc>
              <w:tc>
                <w:tcPr>
                  <w:tcW w:w="892" w:type="dxa"/>
                  <w:vMerge w:val="continue"/>
                  <w:tcBorders>
                    <w:left w:val="single" w:color="auto" w:sz="4" w:space="0"/>
                    <w:right w:val="single" w:color="auto" w:sz="4" w:space="0"/>
                  </w:tcBorders>
                  <w:vAlign w:val="center"/>
                </w:tcPr>
                <w:p w14:paraId="6B5EEFEF">
                  <w:pPr>
                    <w:keepNext w:val="0"/>
                    <w:keepLines w:val="0"/>
                    <w:suppressLineNumbers w:val="0"/>
                    <w:overflowPunct w:val="0"/>
                    <w:adjustRightInd w:val="0"/>
                    <w:snapToGrid w:val="0"/>
                    <w:spacing w:before="0" w:beforeAutospacing="0" w:after="0" w:afterAutospacing="0" w:line="264" w:lineRule="auto"/>
                    <w:ind w:left="0" w:right="0"/>
                    <w:jc w:val="center"/>
                    <w:rPr>
                      <w:rFonts w:hint="eastAsia" w:ascii="Times New Roman" w:hAnsi="Times New Roman" w:eastAsia="宋体" w:cs="Times New Roman"/>
                      <w:snapToGrid w:val="0"/>
                      <w:kern w:val="0"/>
                      <w:sz w:val="21"/>
                      <w:szCs w:val="21"/>
                      <w:highlight w:val="none"/>
                    </w:rPr>
                  </w:pPr>
                </w:p>
              </w:tc>
              <w:tc>
                <w:tcPr>
                  <w:tcW w:w="1333" w:type="dxa"/>
                  <w:tcBorders>
                    <w:top w:val="single" w:color="auto" w:sz="4" w:space="0"/>
                    <w:left w:val="single" w:color="auto" w:sz="4" w:space="0"/>
                    <w:bottom w:val="single" w:color="auto" w:sz="4" w:space="0"/>
                    <w:right w:val="single" w:color="auto" w:sz="4" w:space="0"/>
                  </w:tcBorders>
                  <w:vAlign w:val="center"/>
                </w:tcPr>
                <w:p w14:paraId="7A5F7706">
                  <w:pPr>
                    <w:keepNext w:val="0"/>
                    <w:keepLines w:val="0"/>
                    <w:suppressLineNumbers w:val="0"/>
                    <w:overflowPunct w:val="0"/>
                    <w:adjustRightInd w:val="0"/>
                    <w:snapToGrid w:val="0"/>
                    <w:spacing w:before="0" w:beforeAutospacing="0" w:after="0" w:afterAutospacing="0" w:line="264" w:lineRule="auto"/>
                    <w:ind w:left="0" w:right="0"/>
                    <w:jc w:val="center"/>
                    <w:rPr>
                      <w:rFonts w:hint="default" w:ascii="Times New Roman" w:hAnsi="Times New Roman" w:eastAsia="宋体" w:cs="Times New Roman"/>
                      <w:snapToGrid w:val="0"/>
                      <w:sz w:val="21"/>
                      <w:szCs w:val="21"/>
                      <w:highlight w:val="none"/>
                    </w:rPr>
                  </w:pPr>
                  <w:r>
                    <w:rPr>
                      <w:rFonts w:hint="eastAsia" w:ascii="Times New Roman" w:hAnsi="Times New Roman" w:eastAsia="宋体" w:cs="Times New Roman"/>
                      <w:snapToGrid w:val="0"/>
                      <w:sz w:val="21"/>
                      <w:szCs w:val="21"/>
                      <w:highlight w:val="none"/>
                      <w:lang w:val="en-US" w:eastAsia="zh-CN"/>
                    </w:rPr>
                    <w:t>BOD</w:t>
                  </w:r>
                  <w:r>
                    <w:rPr>
                      <w:rFonts w:hint="eastAsia" w:ascii="Times New Roman" w:hAnsi="Times New Roman" w:eastAsia="宋体" w:cs="Times New Roman"/>
                      <w:snapToGrid w:val="0"/>
                      <w:sz w:val="21"/>
                      <w:szCs w:val="21"/>
                      <w:highlight w:val="none"/>
                      <w:vertAlign w:val="subscript"/>
                      <w:lang w:val="en-US" w:eastAsia="zh-CN"/>
                    </w:rPr>
                    <w:t>5</w:t>
                  </w:r>
                </w:p>
              </w:tc>
              <w:tc>
                <w:tcPr>
                  <w:tcW w:w="742" w:type="dxa"/>
                  <w:tcBorders>
                    <w:top w:val="single" w:color="auto" w:sz="4" w:space="0"/>
                    <w:left w:val="single" w:color="auto" w:sz="4" w:space="0"/>
                    <w:bottom w:val="single" w:color="auto" w:sz="4" w:space="0"/>
                    <w:right w:val="single" w:color="auto" w:sz="4" w:space="0"/>
                  </w:tcBorders>
                  <w:vAlign w:val="center"/>
                </w:tcPr>
                <w:p w14:paraId="51856B2C">
                  <w:pPr>
                    <w:keepNext w:val="0"/>
                    <w:keepLines w:val="0"/>
                    <w:suppressLineNumbers w:val="0"/>
                    <w:overflowPunct w:val="0"/>
                    <w:adjustRightInd w:val="0"/>
                    <w:snapToGrid w:val="0"/>
                    <w:spacing w:before="0" w:beforeAutospacing="0" w:after="0" w:afterAutospacing="0" w:line="264" w:lineRule="auto"/>
                    <w:ind w:left="0" w:right="0"/>
                    <w:jc w:val="center"/>
                    <w:rPr>
                      <w:rFonts w:hint="default" w:ascii="Times New Roman" w:hAnsi="Times New Roman" w:eastAsia="宋体" w:cs="Times New Roman"/>
                      <w:sz w:val="21"/>
                      <w:szCs w:val="21"/>
                      <w:highlight w:val="none"/>
                    </w:rPr>
                  </w:pPr>
                  <w:r>
                    <w:rPr>
                      <w:rFonts w:hint="default" w:ascii="Times New Roman" w:hAnsi="Times New Roman" w:eastAsia="宋体" w:cs="Times New Roman"/>
                      <w:sz w:val="21"/>
                      <w:szCs w:val="21"/>
                      <w:highlight w:val="none"/>
                    </w:rPr>
                    <w:t>1</w:t>
                  </w:r>
                  <w:r>
                    <w:rPr>
                      <w:rFonts w:hint="eastAsia" w:ascii="Times New Roman" w:hAnsi="Times New Roman" w:eastAsia="宋体" w:cs="Times New Roman"/>
                      <w:sz w:val="21"/>
                      <w:szCs w:val="21"/>
                      <w:highlight w:val="none"/>
                    </w:rPr>
                    <w:t>次</w:t>
                  </w:r>
                  <w:r>
                    <w:rPr>
                      <w:rFonts w:hint="default" w:ascii="Times New Roman" w:hAnsi="Times New Roman" w:eastAsia="宋体" w:cs="Times New Roman"/>
                      <w:sz w:val="21"/>
                      <w:szCs w:val="21"/>
                      <w:highlight w:val="none"/>
                    </w:rPr>
                    <w:t>/</w:t>
                  </w:r>
                  <w:r>
                    <w:rPr>
                      <w:rFonts w:hint="eastAsia" w:ascii="Times New Roman" w:hAnsi="Times New Roman" w:eastAsia="宋体" w:cs="Times New Roman"/>
                      <w:sz w:val="21"/>
                      <w:szCs w:val="21"/>
                      <w:highlight w:val="none"/>
                    </w:rPr>
                    <w:t>年</w:t>
                  </w:r>
                </w:p>
              </w:tc>
              <w:tc>
                <w:tcPr>
                  <w:tcW w:w="3652" w:type="dxa"/>
                  <w:vMerge w:val="continue"/>
                  <w:tcBorders>
                    <w:left w:val="single" w:color="auto" w:sz="4" w:space="0"/>
                    <w:right w:val="single" w:color="auto" w:sz="4" w:space="0"/>
                  </w:tcBorders>
                  <w:vAlign w:val="center"/>
                </w:tcPr>
                <w:p w14:paraId="76886A4C">
                  <w:pPr>
                    <w:keepNext w:val="0"/>
                    <w:keepLines w:val="0"/>
                    <w:suppressLineNumbers w:val="0"/>
                    <w:overflowPunct w:val="0"/>
                    <w:adjustRightInd w:val="0"/>
                    <w:snapToGrid w:val="0"/>
                    <w:spacing w:before="0" w:beforeAutospacing="0" w:after="0" w:afterAutospacing="0" w:line="264" w:lineRule="auto"/>
                    <w:ind w:left="0" w:right="0"/>
                    <w:jc w:val="center"/>
                    <w:rPr>
                      <w:rFonts w:hint="eastAsia" w:ascii="Times New Roman" w:hAnsi="Times New Roman" w:eastAsia="宋体" w:cs="Times New Roman"/>
                      <w:bCs/>
                      <w:sz w:val="21"/>
                      <w:szCs w:val="21"/>
                      <w:highlight w:val="none"/>
                    </w:rPr>
                  </w:pPr>
                </w:p>
              </w:tc>
            </w:tr>
            <w:tr w14:paraId="4D06ABF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229" w:hRule="atLeast"/>
                <w:jc w:val="center"/>
              </w:trPr>
              <w:tc>
                <w:tcPr>
                  <w:tcW w:w="696" w:type="dxa"/>
                  <w:vMerge w:val="continue"/>
                  <w:tcBorders>
                    <w:left w:val="single" w:color="auto" w:sz="4" w:space="0"/>
                    <w:right w:val="single" w:color="auto" w:sz="4" w:space="0"/>
                  </w:tcBorders>
                  <w:vAlign w:val="center"/>
                </w:tcPr>
                <w:p w14:paraId="2A2EC688">
                  <w:pPr>
                    <w:keepNext w:val="0"/>
                    <w:keepLines w:val="0"/>
                    <w:suppressLineNumbers w:val="0"/>
                    <w:overflowPunct w:val="0"/>
                    <w:adjustRightInd w:val="0"/>
                    <w:snapToGrid w:val="0"/>
                    <w:spacing w:before="0" w:beforeAutospacing="0" w:after="0" w:afterAutospacing="0" w:line="264" w:lineRule="auto"/>
                    <w:ind w:left="0" w:right="0"/>
                    <w:jc w:val="center"/>
                    <w:rPr>
                      <w:rFonts w:hint="default" w:ascii="Times New Roman" w:hAnsi="Times New Roman" w:eastAsia="宋体" w:cs="Times New Roman"/>
                      <w:snapToGrid w:val="0"/>
                      <w:kern w:val="0"/>
                      <w:sz w:val="21"/>
                      <w:szCs w:val="21"/>
                      <w:highlight w:val="none"/>
                    </w:rPr>
                  </w:pPr>
                </w:p>
              </w:tc>
              <w:tc>
                <w:tcPr>
                  <w:tcW w:w="801" w:type="dxa"/>
                  <w:vMerge w:val="continue"/>
                  <w:tcBorders>
                    <w:left w:val="single" w:color="auto" w:sz="4" w:space="0"/>
                    <w:right w:val="single" w:color="auto" w:sz="4" w:space="0"/>
                  </w:tcBorders>
                  <w:vAlign w:val="center"/>
                </w:tcPr>
                <w:p w14:paraId="7B9DD3A1">
                  <w:pPr>
                    <w:keepNext w:val="0"/>
                    <w:keepLines w:val="0"/>
                    <w:suppressLineNumbers w:val="0"/>
                    <w:overflowPunct w:val="0"/>
                    <w:adjustRightInd w:val="0"/>
                    <w:snapToGrid w:val="0"/>
                    <w:spacing w:before="0" w:beforeAutospacing="0" w:after="0" w:afterAutospacing="0" w:line="264" w:lineRule="auto"/>
                    <w:ind w:left="0" w:right="0"/>
                    <w:jc w:val="center"/>
                    <w:rPr>
                      <w:rFonts w:hint="default" w:ascii="Times New Roman" w:hAnsi="Times New Roman" w:eastAsia="宋体" w:cs="Times New Roman"/>
                      <w:snapToGrid w:val="0"/>
                      <w:kern w:val="0"/>
                      <w:sz w:val="21"/>
                      <w:szCs w:val="21"/>
                      <w:highlight w:val="none"/>
                    </w:rPr>
                  </w:pPr>
                </w:p>
              </w:tc>
              <w:tc>
                <w:tcPr>
                  <w:tcW w:w="892" w:type="dxa"/>
                  <w:vMerge w:val="continue"/>
                  <w:tcBorders>
                    <w:left w:val="single" w:color="auto" w:sz="4" w:space="0"/>
                    <w:right w:val="single" w:color="auto" w:sz="4" w:space="0"/>
                  </w:tcBorders>
                  <w:vAlign w:val="center"/>
                </w:tcPr>
                <w:p w14:paraId="5051B87D">
                  <w:pPr>
                    <w:keepNext w:val="0"/>
                    <w:keepLines w:val="0"/>
                    <w:suppressLineNumbers w:val="0"/>
                    <w:overflowPunct w:val="0"/>
                    <w:adjustRightInd w:val="0"/>
                    <w:snapToGrid w:val="0"/>
                    <w:spacing w:before="0" w:beforeAutospacing="0" w:after="0" w:afterAutospacing="0" w:line="264" w:lineRule="auto"/>
                    <w:ind w:left="0" w:right="0"/>
                    <w:jc w:val="center"/>
                    <w:rPr>
                      <w:rFonts w:hint="default" w:ascii="Times New Roman" w:hAnsi="Times New Roman" w:eastAsia="宋体" w:cs="Times New Roman"/>
                      <w:snapToGrid w:val="0"/>
                      <w:kern w:val="0"/>
                      <w:sz w:val="21"/>
                      <w:szCs w:val="21"/>
                      <w:highlight w:val="none"/>
                    </w:rPr>
                  </w:pPr>
                </w:p>
              </w:tc>
              <w:tc>
                <w:tcPr>
                  <w:tcW w:w="1333" w:type="dxa"/>
                  <w:tcBorders>
                    <w:left w:val="single" w:color="auto" w:sz="4" w:space="0"/>
                    <w:right w:val="single" w:color="auto" w:sz="4" w:space="0"/>
                  </w:tcBorders>
                  <w:vAlign w:val="center"/>
                </w:tcPr>
                <w:p w14:paraId="725EA5F5">
                  <w:pPr>
                    <w:keepNext w:val="0"/>
                    <w:keepLines w:val="0"/>
                    <w:suppressLineNumbers w:val="0"/>
                    <w:overflowPunct w:val="0"/>
                    <w:adjustRightInd w:val="0"/>
                    <w:snapToGrid w:val="0"/>
                    <w:spacing w:before="0" w:beforeAutospacing="0" w:after="0" w:afterAutospacing="0" w:line="264" w:lineRule="auto"/>
                    <w:ind w:left="0" w:right="0"/>
                    <w:jc w:val="center"/>
                    <w:rPr>
                      <w:rFonts w:hint="default" w:ascii="Times New Roman" w:hAnsi="Times New Roman" w:eastAsia="宋体" w:cs="Times New Roman"/>
                      <w:snapToGrid w:val="0"/>
                      <w:sz w:val="21"/>
                      <w:szCs w:val="21"/>
                      <w:highlight w:val="none"/>
                    </w:rPr>
                  </w:pPr>
                  <w:r>
                    <w:rPr>
                      <w:rFonts w:hint="eastAsia" w:ascii="Times New Roman" w:hAnsi="Times New Roman" w:eastAsia="宋体" w:cs="Times New Roman"/>
                      <w:snapToGrid w:val="0"/>
                      <w:sz w:val="21"/>
                      <w:szCs w:val="21"/>
                      <w:highlight w:val="none"/>
                    </w:rPr>
                    <w:t>SS</w:t>
                  </w:r>
                </w:p>
              </w:tc>
              <w:tc>
                <w:tcPr>
                  <w:tcW w:w="742" w:type="dxa"/>
                  <w:tcBorders>
                    <w:left w:val="single" w:color="auto" w:sz="4" w:space="0"/>
                    <w:right w:val="single" w:color="auto" w:sz="4" w:space="0"/>
                  </w:tcBorders>
                  <w:vAlign w:val="center"/>
                </w:tcPr>
                <w:p w14:paraId="5E223FAC">
                  <w:pPr>
                    <w:keepNext w:val="0"/>
                    <w:keepLines w:val="0"/>
                    <w:suppressLineNumbers w:val="0"/>
                    <w:overflowPunct w:val="0"/>
                    <w:adjustRightInd w:val="0"/>
                    <w:snapToGrid w:val="0"/>
                    <w:spacing w:before="0" w:beforeAutospacing="0" w:after="0" w:afterAutospacing="0" w:line="264" w:lineRule="auto"/>
                    <w:ind w:left="0" w:right="0"/>
                    <w:jc w:val="center"/>
                    <w:rPr>
                      <w:rFonts w:hint="default" w:ascii="Times New Roman" w:hAnsi="Times New Roman" w:eastAsia="宋体" w:cs="Times New Roman"/>
                      <w:sz w:val="21"/>
                      <w:szCs w:val="21"/>
                      <w:highlight w:val="none"/>
                    </w:rPr>
                  </w:pPr>
                  <w:r>
                    <w:rPr>
                      <w:rFonts w:hint="default" w:ascii="Times New Roman" w:hAnsi="Times New Roman" w:eastAsia="宋体" w:cs="Times New Roman"/>
                      <w:sz w:val="21"/>
                      <w:szCs w:val="21"/>
                      <w:highlight w:val="none"/>
                    </w:rPr>
                    <w:t>1</w:t>
                  </w:r>
                  <w:r>
                    <w:rPr>
                      <w:rFonts w:hint="eastAsia" w:ascii="Times New Roman" w:hAnsi="Times New Roman" w:eastAsia="宋体" w:cs="Times New Roman"/>
                      <w:sz w:val="21"/>
                      <w:szCs w:val="21"/>
                      <w:highlight w:val="none"/>
                    </w:rPr>
                    <w:t>次</w:t>
                  </w:r>
                  <w:r>
                    <w:rPr>
                      <w:rFonts w:hint="default" w:ascii="Times New Roman" w:hAnsi="Times New Roman" w:eastAsia="宋体" w:cs="Times New Roman"/>
                      <w:sz w:val="21"/>
                      <w:szCs w:val="21"/>
                      <w:highlight w:val="none"/>
                    </w:rPr>
                    <w:t>/</w:t>
                  </w:r>
                  <w:r>
                    <w:rPr>
                      <w:rFonts w:hint="eastAsia" w:ascii="Times New Roman" w:hAnsi="Times New Roman" w:eastAsia="宋体" w:cs="Times New Roman"/>
                      <w:sz w:val="21"/>
                      <w:szCs w:val="21"/>
                      <w:highlight w:val="none"/>
                    </w:rPr>
                    <w:t>年</w:t>
                  </w:r>
                </w:p>
              </w:tc>
              <w:tc>
                <w:tcPr>
                  <w:tcW w:w="3652" w:type="dxa"/>
                  <w:vMerge w:val="continue"/>
                  <w:tcBorders>
                    <w:left w:val="single" w:color="auto" w:sz="4" w:space="0"/>
                    <w:right w:val="single" w:color="auto" w:sz="4" w:space="0"/>
                  </w:tcBorders>
                  <w:vAlign w:val="center"/>
                </w:tcPr>
                <w:p w14:paraId="2A83B8BD">
                  <w:pPr>
                    <w:keepNext w:val="0"/>
                    <w:keepLines w:val="0"/>
                    <w:suppressLineNumbers w:val="0"/>
                    <w:overflowPunct w:val="0"/>
                    <w:adjustRightInd w:val="0"/>
                    <w:snapToGrid w:val="0"/>
                    <w:spacing w:before="0" w:beforeAutospacing="0" w:after="0" w:afterAutospacing="0" w:line="264" w:lineRule="auto"/>
                    <w:ind w:left="0" w:right="0"/>
                    <w:jc w:val="center"/>
                    <w:rPr>
                      <w:rFonts w:hint="default" w:ascii="Times New Roman" w:hAnsi="Times New Roman" w:eastAsia="宋体" w:cs="Times New Roman"/>
                      <w:bCs/>
                      <w:sz w:val="21"/>
                      <w:szCs w:val="21"/>
                      <w:highlight w:val="none"/>
                    </w:rPr>
                  </w:pPr>
                </w:p>
              </w:tc>
            </w:tr>
            <w:tr w14:paraId="4FE2477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90" w:hRule="atLeast"/>
                <w:jc w:val="center"/>
              </w:trPr>
              <w:tc>
                <w:tcPr>
                  <w:tcW w:w="696" w:type="dxa"/>
                  <w:vMerge w:val="continue"/>
                  <w:tcBorders>
                    <w:left w:val="single" w:color="auto" w:sz="4" w:space="0"/>
                    <w:right w:val="single" w:color="auto" w:sz="4" w:space="0"/>
                  </w:tcBorders>
                  <w:vAlign w:val="center"/>
                </w:tcPr>
                <w:p w14:paraId="669DC39C">
                  <w:pPr>
                    <w:keepNext w:val="0"/>
                    <w:keepLines w:val="0"/>
                    <w:suppressLineNumbers w:val="0"/>
                    <w:overflowPunct w:val="0"/>
                    <w:adjustRightInd w:val="0"/>
                    <w:snapToGrid w:val="0"/>
                    <w:spacing w:before="0" w:beforeAutospacing="0" w:after="0" w:afterAutospacing="0" w:line="264" w:lineRule="auto"/>
                    <w:ind w:left="0" w:right="0"/>
                    <w:jc w:val="center"/>
                    <w:rPr>
                      <w:rFonts w:hint="default" w:ascii="Times New Roman" w:hAnsi="Times New Roman" w:eastAsia="宋体" w:cs="Times New Roman"/>
                      <w:snapToGrid w:val="0"/>
                      <w:kern w:val="0"/>
                      <w:sz w:val="21"/>
                      <w:szCs w:val="21"/>
                      <w:highlight w:val="none"/>
                    </w:rPr>
                  </w:pPr>
                </w:p>
              </w:tc>
              <w:tc>
                <w:tcPr>
                  <w:tcW w:w="801" w:type="dxa"/>
                  <w:vMerge w:val="continue"/>
                  <w:tcBorders>
                    <w:left w:val="single" w:color="auto" w:sz="4" w:space="0"/>
                    <w:right w:val="single" w:color="auto" w:sz="4" w:space="0"/>
                  </w:tcBorders>
                  <w:vAlign w:val="center"/>
                </w:tcPr>
                <w:p w14:paraId="3F197E52">
                  <w:pPr>
                    <w:keepNext w:val="0"/>
                    <w:keepLines w:val="0"/>
                    <w:suppressLineNumbers w:val="0"/>
                    <w:overflowPunct w:val="0"/>
                    <w:adjustRightInd w:val="0"/>
                    <w:snapToGrid w:val="0"/>
                    <w:spacing w:before="0" w:beforeAutospacing="0" w:after="0" w:afterAutospacing="0" w:line="264" w:lineRule="auto"/>
                    <w:ind w:left="0" w:right="0"/>
                    <w:jc w:val="center"/>
                    <w:rPr>
                      <w:rFonts w:hint="default" w:ascii="Times New Roman" w:hAnsi="Times New Roman" w:eastAsia="宋体" w:cs="Times New Roman"/>
                      <w:snapToGrid w:val="0"/>
                      <w:kern w:val="0"/>
                      <w:sz w:val="21"/>
                      <w:szCs w:val="21"/>
                      <w:highlight w:val="none"/>
                    </w:rPr>
                  </w:pPr>
                </w:p>
              </w:tc>
              <w:tc>
                <w:tcPr>
                  <w:tcW w:w="892" w:type="dxa"/>
                  <w:vMerge w:val="continue"/>
                  <w:tcBorders>
                    <w:left w:val="single" w:color="auto" w:sz="4" w:space="0"/>
                    <w:right w:val="single" w:color="auto" w:sz="4" w:space="0"/>
                  </w:tcBorders>
                  <w:vAlign w:val="center"/>
                </w:tcPr>
                <w:p w14:paraId="64607A3B">
                  <w:pPr>
                    <w:keepNext w:val="0"/>
                    <w:keepLines w:val="0"/>
                    <w:suppressLineNumbers w:val="0"/>
                    <w:overflowPunct w:val="0"/>
                    <w:adjustRightInd w:val="0"/>
                    <w:snapToGrid w:val="0"/>
                    <w:spacing w:before="0" w:beforeAutospacing="0" w:after="0" w:afterAutospacing="0" w:line="264" w:lineRule="auto"/>
                    <w:ind w:left="0" w:right="0"/>
                    <w:jc w:val="center"/>
                    <w:rPr>
                      <w:rFonts w:hint="default" w:ascii="Times New Roman" w:hAnsi="Times New Roman" w:eastAsia="宋体" w:cs="Times New Roman"/>
                      <w:snapToGrid w:val="0"/>
                      <w:kern w:val="0"/>
                      <w:sz w:val="21"/>
                      <w:szCs w:val="21"/>
                      <w:highlight w:val="none"/>
                    </w:rPr>
                  </w:pPr>
                </w:p>
              </w:tc>
              <w:tc>
                <w:tcPr>
                  <w:tcW w:w="1333" w:type="dxa"/>
                  <w:tcBorders>
                    <w:left w:val="single" w:color="auto" w:sz="4" w:space="0"/>
                    <w:right w:val="single" w:color="auto" w:sz="4" w:space="0"/>
                  </w:tcBorders>
                  <w:vAlign w:val="center"/>
                </w:tcPr>
                <w:p w14:paraId="0C535168">
                  <w:pPr>
                    <w:keepNext w:val="0"/>
                    <w:keepLines w:val="0"/>
                    <w:suppressLineNumbers w:val="0"/>
                    <w:overflowPunct w:val="0"/>
                    <w:adjustRightInd w:val="0"/>
                    <w:snapToGrid w:val="0"/>
                    <w:spacing w:before="0" w:beforeAutospacing="0" w:after="0" w:afterAutospacing="0" w:line="264" w:lineRule="auto"/>
                    <w:ind w:left="0" w:right="0"/>
                    <w:jc w:val="center"/>
                    <w:rPr>
                      <w:rFonts w:hint="default" w:ascii="Times New Roman" w:hAnsi="Times New Roman" w:eastAsia="宋体" w:cs="Times New Roman"/>
                      <w:snapToGrid w:val="0"/>
                      <w:sz w:val="21"/>
                      <w:szCs w:val="21"/>
                      <w:highlight w:val="none"/>
                    </w:rPr>
                  </w:pPr>
                  <w:r>
                    <w:rPr>
                      <w:rFonts w:hint="default" w:ascii="Times New Roman" w:hAnsi="Times New Roman" w:eastAsia="宋体" w:cs="Times New Roman"/>
                      <w:snapToGrid w:val="0"/>
                      <w:sz w:val="21"/>
                      <w:szCs w:val="21"/>
                      <w:highlight w:val="none"/>
                    </w:rPr>
                    <w:t>NH</w:t>
                  </w:r>
                  <w:r>
                    <w:rPr>
                      <w:rFonts w:hint="default" w:ascii="Times New Roman" w:hAnsi="Times New Roman" w:eastAsia="宋体" w:cs="Times New Roman"/>
                      <w:snapToGrid w:val="0"/>
                      <w:sz w:val="21"/>
                      <w:szCs w:val="21"/>
                      <w:highlight w:val="none"/>
                      <w:vertAlign w:val="subscript"/>
                    </w:rPr>
                    <w:t>3</w:t>
                  </w:r>
                  <w:r>
                    <w:rPr>
                      <w:rFonts w:hint="default" w:ascii="Times New Roman" w:hAnsi="Times New Roman" w:eastAsia="宋体" w:cs="Times New Roman"/>
                      <w:snapToGrid w:val="0"/>
                      <w:sz w:val="21"/>
                      <w:szCs w:val="21"/>
                      <w:highlight w:val="none"/>
                    </w:rPr>
                    <w:t>-N</w:t>
                  </w:r>
                </w:p>
              </w:tc>
              <w:tc>
                <w:tcPr>
                  <w:tcW w:w="742" w:type="dxa"/>
                  <w:tcBorders>
                    <w:left w:val="single" w:color="auto" w:sz="4" w:space="0"/>
                    <w:right w:val="single" w:color="auto" w:sz="4" w:space="0"/>
                  </w:tcBorders>
                  <w:vAlign w:val="center"/>
                </w:tcPr>
                <w:p w14:paraId="2742982A">
                  <w:pPr>
                    <w:keepNext w:val="0"/>
                    <w:keepLines w:val="0"/>
                    <w:suppressLineNumbers w:val="0"/>
                    <w:overflowPunct w:val="0"/>
                    <w:adjustRightInd w:val="0"/>
                    <w:snapToGrid w:val="0"/>
                    <w:spacing w:before="0" w:beforeAutospacing="0" w:after="0" w:afterAutospacing="0" w:line="264" w:lineRule="auto"/>
                    <w:ind w:left="0" w:right="0"/>
                    <w:jc w:val="center"/>
                    <w:rPr>
                      <w:rFonts w:hint="default" w:ascii="Times New Roman" w:hAnsi="Times New Roman" w:eastAsia="宋体" w:cs="Times New Roman"/>
                      <w:sz w:val="21"/>
                      <w:szCs w:val="21"/>
                      <w:highlight w:val="none"/>
                    </w:rPr>
                  </w:pPr>
                  <w:r>
                    <w:rPr>
                      <w:rFonts w:hint="default" w:ascii="Times New Roman" w:hAnsi="Times New Roman" w:eastAsia="宋体" w:cs="Times New Roman"/>
                      <w:sz w:val="21"/>
                      <w:szCs w:val="21"/>
                      <w:highlight w:val="none"/>
                    </w:rPr>
                    <w:t>1</w:t>
                  </w:r>
                  <w:r>
                    <w:rPr>
                      <w:rFonts w:hint="eastAsia" w:ascii="Times New Roman" w:hAnsi="Times New Roman" w:eastAsia="宋体" w:cs="Times New Roman"/>
                      <w:sz w:val="21"/>
                      <w:szCs w:val="21"/>
                      <w:highlight w:val="none"/>
                    </w:rPr>
                    <w:t>次</w:t>
                  </w:r>
                  <w:r>
                    <w:rPr>
                      <w:rFonts w:hint="default" w:ascii="Times New Roman" w:hAnsi="Times New Roman" w:eastAsia="宋体" w:cs="Times New Roman"/>
                      <w:sz w:val="21"/>
                      <w:szCs w:val="21"/>
                      <w:highlight w:val="none"/>
                    </w:rPr>
                    <w:t>/</w:t>
                  </w:r>
                  <w:r>
                    <w:rPr>
                      <w:rFonts w:hint="eastAsia" w:ascii="Times New Roman" w:hAnsi="Times New Roman" w:eastAsia="宋体" w:cs="Times New Roman"/>
                      <w:sz w:val="21"/>
                      <w:szCs w:val="21"/>
                      <w:highlight w:val="none"/>
                    </w:rPr>
                    <w:t>年</w:t>
                  </w:r>
                </w:p>
              </w:tc>
              <w:tc>
                <w:tcPr>
                  <w:tcW w:w="3652" w:type="dxa"/>
                  <w:vMerge w:val="continue"/>
                  <w:tcBorders>
                    <w:left w:val="single" w:color="auto" w:sz="4" w:space="0"/>
                    <w:right w:val="single" w:color="auto" w:sz="4" w:space="0"/>
                  </w:tcBorders>
                  <w:vAlign w:val="center"/>
                </w:tcPr>
                <w:p w14:paraId="17F87F26">
                  <w:pPr>
                    <w:keepNext w:val="0"/>
                    <w:keepLines w:val="0"/>
                    <w:suppressLineNumbers w:val="0"/>
                    <w:overflowPunct w:val="0"/>
                    <w:adjustRightInd w:val="0"/>
                    <w:snapToGrid w:val="0"/>
                    <w:spacing w:before="0" w:beforeAutospacing="0" w:after="0" w:afterAutospacing="0" w:line="264" w:lineRule="auto"/>
                    <w:ind w:left="0" w:right="0"/>
                    <w:jc w:val="center"/>
                    <w:rPr>
                      <w:rFonts w:hint="default" w:ascii="Times New Roman" w:hAnsi="Times New Roman" w:eastAsia="宋体" w:cs="Times New Roman"/>
                      <w:bCs/>
                      <w:sz w:val="21"/>
                      <w:szCs w:val="21"/>
                      <w:highlight w:val="none"/>
                    </w:rPr>
                  </w:pPr>
                </w:p>
              </w:tc>
            </w:tr>
            <w:tr w14:paraId="51EAF1F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90" w:hRule="atLeast"/>
                <w:jc w:val="center"/>
              </w:trPr>
              <w:tc>
                <w:tcPr>
                  <w:tcW w:w="696" w:type="dxa"/>
                  <w:vMerge w:val="continue"/>
                  <w:tcBorders>
                    <w:left w:val="single" w:color="auto" w:sz="4" w:space="0"/>
                    <w:right w:val="single" w:color="auto" w:sz="4" w:space="0"/>
                  </w:tcBorders>
                  <w:vAlign w:val="center"/>
                </w:tcPr>
                <w:p w14:paraId="1B450416">
                  <w:pPr>
                    <w:keepNext w:val="0"/>
                    <w:keepLines w:val="0"/>
                    <w:suppressLineNumbers w:val="0"/>
                    <w:overflowPunct w:val="0"/>
                    <w:adjustRightInd w:val="0"/>
                    <w:snapToGrid w:val="0"/>
                    <w:spacing w:before="0" w:beforeAutospacing="0" w:after="0" w:afterAutospacing="0" w:line="264" w:lineRule="auto"/>
                    <w:ind w:left="0" w:right="0"/>
                    <w:jc w:val="center"/>
                    <w:rPr>
                      <w:rFonts w:hint="default" w:ascii="Times New Roman" w:hAnsi="Times New Roman" w:eastAsia="宋体" w:cs="Times New Roman"/>
                      <w:snapToGrid w:val="0"/>
                      <w:kern w:val="0"/>
                      <w:sz w:val="21"/>
                      <w:szCs w:val="21"/>
                      <w:highlight w:val="none"/>
                    </w:rPr>
                  </w:pPr>
                </w:p>
              </w:tc>
              <w:tc>
                <w:tcPr>
                  <w:tcW w:w="801" w:type="dxa"/>
                  <w:vMerge w:val="continue"/>
                  <w:tcBorders>
                    <w:left w:val="single" w:color="auto" w:sz="4" w:space="0"/>
                    <w:right w:val="single" w:color="auto" w:sz="4" w:space="0"/>
                  </w:tcBorders>
                  <w:vAlign w:val="center"/>
                </w:tcPr>
                <w:p w14:paraId="48E69BD2">
                  <w:pPr>
                    <w:keepNext w:val="0"/>
                    <w:keepLines w:val="0"/>
                    <w:suppressLineNumbers w:val="0"/>
                    <w:overflowPunct w:val="0"/>
                    <w:adjustRightInd w:val="0"/>
                    <w:snapToGrid w:val="0"/>
                    <w:spacing w:before="0" w:beforeAutospacing="0" w:after="0" w:afterAutospacing="0" w:line="264" w:lineRule="auto"/>
                    <w:ind w:left="0" w:right="0"/>
                    <w:jc w:val="center"/>
                    <w:rPr>
                      <w:rFonts w:hint="default" w:ascii="Times New Roman" w:hAnsi="Times New Roman" w:eastAsia="宋体" w:cs="Times New Roman"/>
                      <w:snapToGrid w:val="0"/>
                      <w:kern w:val="0"/>
                      <w:sz w:val="21"/>
                      <w:szCs w:val="21"/>
                      <w:highlight w:val="none"/>
                    </w:rPr>
                  </w:pPr>
                </w:p>
              </w:tc>
              <w:tc>
                <w:tcPr>
                  <w:tcW w:w="892" w:type="dxa"/>
                  <w:vMerge w:val="continue"/>
                  <w:tcBorders>
                    <w:left w:val="single" w:color="auto" w:sz="4" w:space="0"/>
                    <w:right w:val="single" w:color="auto" w:sz="4" w:space="0"/>
                  </w:tcBorders>
                  <w:vAlign w:val="center"/>
                </w:tcPr>
                <w:p w14:paraId="47D06DB5">
                  <w:pPr>
                    <w:keepNext w:val="0"/>
                    <w:keepLines w:val="0"/>
                    <w:suppressLineNumbers w:val="0"/>
                    <w:overflowPunct w:val="0"/>
                    <w:adjustRightInd w:val="0"/>
                    <w:snapToGrid w:val="0"/>
                    <w:spacing w:before="0" w:beforeAutospacing="0" w:after="0" w:afterAutospacing="0" w:line="264" w:lineRule="auto"/>
                    <w:ind w:left="0" w:right="0"/>
                    <w:jc w:val="center"/>
                    <w:rPr>
                      <w:rFonts w:hint="default" w:ascii="Times New Roman" w:hAnsi="Times New Roman" w:eastAsia="宋体" w:cs="Times New Roman"/>
                      <w:snapToGrid w:val="0"/>
                      <w:kern w:val="0"/>
                      <w:sz w:val="21"/>
                      <w:szCs w:val="21"/>
                      <w:highlight w:val="none"/>
                    </w:rPr>
                  </w:pPr>
                </w:p>
              </w:tc>
              <w:tc>
                <w:tcPr>
                  <w:tcW w:w="1333" w:type="dxa"/>
                  <w:tcBorders>
                    <w:left w:val="single" w:color="auto" w:sz="4" w:space="0"/>
                    <w:right w:val="single" w:color="auto" w:sz="4" w:space="0"/>
                  </w:tcBorders>
                  <w:vAlign w:val="center"/>
                </w:tcPr>
                <w:p w14:paraId="029B2995">
                  <w:pPr>
                    <w:keepNext w:val="0"/>
                    <w:keepLines w:val="0"/>
                    <w:suppressLineNumbers w:val="0"/>
                    <w:overflowPunct w:val="0"/>
                    <w:adjustRightInd w:val="0"/>
                    <w:snapToGrid w:val="0"/>
                    <w:spacing w:before="0" w:beforeAutospacing="0" w:after="0" w:afterAutospacing="0" w:line="264" w:lineRule="auto"/>
                    <w:ind w:left="0" w:right="0"/>
                    <w:jc w:val="center"/>
                    <w:rPr>
                      <w:rFonts w:hint="default" w:ascii="Times New Roman" w:hAnsi="Times New Roman" w:eastAsia="宋体" w:cs="Times New Roman"/>
                      <w:snapToGrid w:val="0"/>
                      <w:sz w:val="21"/>
                      <w:szCs w:val="21"/>
                      <w:highlight w:val="none"/>
                      <w:lang w:val="en-US" w:eastAsia="zh-CN"/>
                    </w:rPr>
                  </w:pPr>
                  <w:r>
                    <w:rPr>
                      <w:rFonts w:hint="eastAsia" w:cs="Times New Roman"/>
                      <w:snapToGrid w:val="0"/>
                      <w:sz w:val="21"/>
                      <w:szCs w:val="21"/>
                      <w:highlight w:val="none"/>
                      <w:lang w:val="en-US" w:eastAsia="zh-CN"/>
                    </w:rPr>
                    <w:t>TP</w:t>
                  </w:r>
                </w:p>
              </w:tc>
              <w:tc>
                <w:tcPr>
                  <w:tcW w:w="742" w:type="dxa"/>
                  <w:tcBorders>
                    <w:left w:val="single" w:color="auto" w:sz="4" w:space="0"/>
                    <w:right w:val="single" w:color="auto" w:sz="4" w:space="0"/>
                  </w:tcBorders>
                  <w:vAlign w:val="center"/>
                </w:tcPr>
                <w:p w14:paraId="5F3BAE15">
                  <w:pPr>
                    <w:keepNext w:val="0"/>
                    <w:keepLines w:val="0"/>
                    <w:suppressLineNumbers w:val="0"/>
                    <w:overflowPunct w:val="0"/>
                    <w:adjustRightInd w:val="0"/>
                    <w:snapToGrid w:val="0"/>
                    <w:spacing w:before="0" w:beforeAutospacing="0" w:after="0" w:afterAutospacing="0" w:line="264" w:lineRule="auto"/>
                    <w:ind w:left="0" w:right="0"/>
                    <w:jc w:val="center"/>
                    <w:rPr>
                      <w:rFonts w:hint="default" w:ascii="Times New Roman" w:hAnsi="Times New Roman" w:eastAsia="宋体" w:cs="Times New Roman"/>
                      <w:sz w:val="21"/>
                      <w:szCs w:val="21"/>
                      <w:highlight w:val="none"/>
                    </w:rPr>
                  </w:pPr>
                  <w:r>
                    <w:rPr>
                      <w:rFonts w:hint="default" w:ascii="Times New Roman" w:hAnsi="Times New Roman" w:eastAsia="宋体" w:cs="Times New Roman"/>
                      <w:sz w:val="21"/>
                      <w:szCs w:val="21"/>
                      <w:highlight w:val="none"/>
                    </w:rPr>
                    <w:t>1</w:t>
                  </w:r>
                  <w:r>
                    <w:rPr>
                      <w:rFonts w:hint="eastAsia" w:ascii="Times New Roman" w:hAnsi="Times New Roman" w:eastAsia="宋体" w:cs="Times New Roman"/>
                      <w:sz w:val="21"/>
                      <w:szCs w:val="21"/>
                      <w:highlight w:val="none"/>
                    </w:rPr>
                    <w:t>次</w:t>
                  </w:r>
                  <w:r>
                    <w:rPr>
                      <w:rFonts w:hint="default" w:ascii="Times New Roman" w:hAnsi="Times New Roman" w:eastAsia="宋体" w:cs="Times New Roman"/>
                      <w:sz w:val="21"/>
                      <w:szCs w:val="21"/>
                      <w:highlight w:val="none"/>
                    </w:rPr>
                    <w:t>/</w:t>
                  </w:r>
                  <w:r>
                    <w:rPr>
                      <w:rFonts w:hint="eastAsia" w:ascii="Times New Roman" w:hAnsi="Times New Roman" w:eastAsia="宋体" w:cs="Times New Roman"/>
                      <w:sz w:val="21"/>
                      <w:szCs w:val="21"/>
                      <w:highlight w:val="none"/>
                    </w:rPr>
                    <w:t>年</w:t>
                  </w:r>
                </w:p>
              </w:tc>
              <w:tc>
                <w:tcPr>
                  <w:tcW w:w="3652" w:type="dxa"/>
                  <w:vMerge w:val="continue"/>
                  <w:tcBorders>
                    <w:left w:val="single" w:color="auto" w:sz="4" w:space="0"/>
                    <w:right w:val="single" w:color="auto" w:sz="4" w:space="0"/>
                  </w:tcBorders>
                  <w:vAlign w:val="center"/>
                </w:tcPr>
                <w:p w14:paraId="24349DF8">
                  <w:pPr>
                    <w:keepNext w:val="0"/>
                    <w:keepLines w:val="0"/>
                    <w:suppressLineNumbers w:val="0"/>
                    <w:overflowPunct w:val="0"/>
                    <w:adjustRightInd w:val="0"/>
                    <w:snapToGrid w:val="0"/>
                    <w:spacing w:before="0" w:beforeAutospacing="0" w:after="0" w:afterAutospacing="0" w:line="264" w:lineRule="auto"/>
                    <w:ind w:left="0" w:right="0"/>
                    <w:jc w:val="center"/>
                    <w:rPr>
                      <w:rFonts w:hint="default" w:ascii="Times New Roman" w:hAnsi="Times New Roman" w:eastAsia="宋体" w:cs="Times New Roman"/>
                      <w:bCs/>
                      <w:sz w:val="21"/>
                      <w:szCs w:val="21"/>
                      <w:highlight w:val="none"/>
                    </w:rPr>
                  </w:pPr>
                </w:p>
              </w:tc>
            </w:tr>
            <w:tr w14:paraId="007B8DD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90" w:hRule="atLeast"/>
                <w:jc w:val="center"/>
              </w:trPr>
              <w:tc>
                <w:tcPr>
                  <w:tcW w:w="696" w:type="dxa"/>
                  <w:vMerge w:val="continue"/>
                  <w:tcBorders>
                    <w:left w:val="single" w:color="auto" w:sz="4" w:space="0"/>
                    <w:right w:val="single" w:color="auto" w:sz="4" w:space="0"/>
                  </w:tcBorders>
                  <w:vAlign w:val="center"/>
                </w:tcPr>
                <w:p w14:paraId="287F7ACB">
                  <w:pPr>
                    <w:keepNext w:val="0"/>
                    <w:keepLines w:val="0"/>
                    <w:suppressLineNumbers w:val="0"/>
                    <w:overflowPunct w:val="0"/>
                    <w:adjustRightInd w:val="0"/>
                    <w:snapToGrid w:val="0"/>
                    <w:spacing w:before="0" w:beforeAutospacing="0" w:after="0" w:afterAutospacing="0" w:line="264" w:lineRule="auto"/>
                    <w:ind w:left="0" w:right="0"/>
                    <w:jc w:val="center"/>
                    <w:rPr>
                      <w:rFonts w:hint="default" w:ascii="Times New Roman" w:hAnsi="Times New Roman" w:eastAsia="宋体" w:cs="Times New Roman"/>
                      <w:snapToGrid w:val="0"/>
                      <w:kern w:val="0"/>
                      <w:sz w:val="21"/>
                      <w:szCs w:val="21"/>
                      <w:highlight w:val="none"/>
                    </w:rPr>
                  </w:pPr>
                </w:p>
              </w:tc>
              <w:tc>
                <w:tcPr>
                  <w:tcW w:w="801" w:type="dxa"/>
                  <w:vMerge w:val="continue"/>
                  <w:tcBorders>
                    <w:left w:val="single" w:color="auto" w:sz="4" w:space="0"/>
                    <w:right w:val="single" w:color="auto" w:sz="4" w:space="0"/>
                  </w:tcBorders>
                  <w:vAlign w:val="center"/>
                </w:tcPr>
                <w:p w14:paraId="2ADB8AFD">
                  <w:pPr>
                    <w:keepNext w:val="0"/>
                    <w:keepLines w:val="0"/>
                    <w:suppressLineNumbers w:val="0"/>
                    <w:overflowPunct w:val="0"/>
                    <w:adjustRightInd w:val="0"/>
                    <w:snapToGrid w:val="0"/>
                    <w:spacing w:before="0" w:beforeAutospacing="0" w:after="0" w:afterAutospacing="0" w:line="264" w:lineRule="auto"/>
                    <w:ind w:left="0" w:right="0"/>
                    <w:jc w:val="center"/>
                    <w:rPr>
                      <w:rFonts w:hint="default" w:ascii="Times New Roman" w:hAnsi="Times New Roman" w:eastAsia="宋体" w:cs="Times New Roman"/>
                      <w:snapToGrid w:val="0"/>
                      <w:kern w:val="0"/>
                      <w:sz w:val="21"/>
                      <w:szCs w:val="21"/>
                      <w:highlight w:val="none"/>
                    </w:rPr>
                  </w:pPr>
                </w:p>
              </w:tc>
              <w:tc>
                <w:tcPr>
                  <w:tcW w:w="892" w:type="dxa"/>
                  <w:vMerge w:val="continue"/>
                  <w:tcBorders>
                    <w:left w:val="single" w:color="auto" w:sz="4" w:space="0"/>
                    <w:right w:val="single" w:color="auto" w:sz="4" w:space="0"/>
                  </w:tcBorders>
                  <w:vAlign w:val="center"/>
                </w:tcPr>
                <w:p w14:paraId="1403447E">
                  <w:pPr>
                    <w:keepNext w:val="0"/>
                    <w:keepLines w:val="0"/>
                    <w:suppressLineNumbers w:val="0"/>
                    <w:overflowPunct w:val="0"/>
                    <w:adjustRightInd w:val="0"/>
                    <w:snapToGrid w:val="0"/>
                    <w:spacing w:before="0" w:beforeAutospacing="0" w:after="0" w:afterAutospacing="0" w:line="264" w:lineRule="auto"/>
                    <w:ind w:left="0" w:right="0"/>
                    <w:jc w:val="center"/>
                    <w:rPr>
                      <w:rFonts w:hint="default" w:ascii="Times New Roman" w:hAnsi="Times New Roman" w:eastAsia="宋体" w:cs="Times New Roman"/>
                      <w:snapToGrid w:val="0"/>
                      <w:kern w:val="0"/>
                      <w:sz w:val="21"/>
                      <w:szCs w:val="21"/>
                      <w:highlight w:val="none"/>
                    </w:rPr>
                  </w:pPr>
                </w:p>
              </w:tc>
              <w:tc>
                <w:tcPr>
                  <w:tcW w:w="1333" w:type="dxa"/>
                  <w:tcBorders>
                    <w:left w:val="single" w:color="auto" w:sz="4" w:space="0"/>
                    <w:right w:val="single" w:color="auto" w:sz="4" w:space="0"/>
                  </w:tcBorders>
                  <w:vAlign w:val="center"/>
                </w:tcPr>
                <w:p w14:paraId="05D33014">
                  <w:pPr>
                    <w:keepNext w:val="0"/>
                    <w:keepLines w:val="0"/>
                    <w:suppressLineNumbers w:val="0"/>
                    <w:overflowPunct w:val="0"/>
                    <w:adjustRightInd w:val="0"/>
                    <w:snapToGrid w:val="0"/>
                    <w:spacing w:before="0" w:beforeAutospacing="0" w:after="0" w:afterAutospacing="0" w:line="264" w:lineRule="auto"/>
                    <w:ind w:left="0" w:right="0"/>
                    <w:jc w:val="center"/>
                    <w:rPr>
                      <w:rFonts w:hint="default" w:ascii="Times New Roman" w:hAnsi="Times New Roman" w:eastAsia="宋体" w:cs="Times New Roman"/>
                      <w:snapToGrid w:val="0"/>
                      <w:sz w:val="21"/>
                      <w:szCs w:val="21"/>
                      <w:highlight w:val="none"/>
                      <w:lang w:val="en-US" w:eastAsia="zh-CN"/>
                    </w:rPr>
                  </w:pPr>
                  <w:r>
                    <w:rPr>
                      <w:rFonts w:hint="eastAsia" w:cs="Times New Roman"/>
                      <w:snapToGrid w:val="0"/>
                      <w:sz w:val="21"/>
                      <w:szCs w:val="21"/>
                      <w:highlight w:val="none"/>
                      <w:lang w:val="en-US" w:eastAsia="zh-CN"/>
                    </w:rPr>
                    <w:t>TN</w:t>
                  </w:r>
                </w:p>
              </w:tc>
              <w:tc>
                <w:tcPr>
                  <w:tcW w:w="742" w:type="dxa"/>
                  <w:tcBorders>
                    <w:left w:val="single" w:color="auto" w:sz="4" w:space="0"/>
                    <w:right w:val="single" w:color="auto" w:sz="4" w:space="0"/>
                  </w:tcBorders>
                  <w:vAlign w:val="center"/>
                </w:tcPr>
                <w:p w14:paraId="39C583AF">
                  <w:pPr>
                    <w:keepNext w:val="0"/>
                    <w:keepLines w:val="0"/>
                    <w:suppressLineNumbers w:val="0"/>
                    <w:overflowPunct w:val="0"/>
                    <w:adjustRightInd w:val="0"/>
                    <w:snapToGrid w:val="0"/>
                    <w:spacing w:before="0" w:beforeAutospacing="0" w:after="0" w:afterAutospacing="0" w:line="264" w:lineRule="auto"/>
                    <w:ind w:left="0" w:right="0"/>
                    <w:jc w:val="center"/>
                    <w:rPr>
                      <w:rFonts w:hint="default" w:ascii="Times New Roman" w:hAnsi="Times New Roman" w:eastAsia="宋体" w:cs="Times New Roman"/>
                      <w:sz w:val="21"/>
                      <w:szCs w:val="21"/>
                      <w:highlight w:val="none"/>
                    </w:rPr>
                  </w:pPr>
                  <w:r>
                    <w:rPr>
                      <w:rFonts w:hint="default" w:ascii="Times New Roman" w:hAnsi="Times New Roman" w:eastAsia="宋体" w:cs="Times New Roman"/>
                      <w:sz w:val="21"/>
                      <w:szCs w:val="21"/>
                      <w:highlight w:val="none"/>
                    </w:rPr>
                    <w:t>1</w:t>
                  </w:r>
                  <w:r>
                    <w:rPr>
                      <w:rFonts w:hint="eastAsia" w:ascii="Times New Roman" w:hAnsi="Times New Roman" w:eastAsia="宋体" w:cs="Times New Roman"/>
                      <w:sz w:val="21"/>
                      <w:szCs w:val="21"/>
                      <w:highlight w:val="none"/>
                    </w:rPr>
                    <w:t>次</w:t>
                  </w:r>
                  <w:r>
                    <w:rPr>
                      <w:rFonts w:hint="default" w:ascii="Times New Roman" w:hAnsi="Times New Roman" w:eastAsia="宋体" w:cs="Times New Roman"/>
                      <w:sz w:val="21"/>
                      <w:szCs w:val="21"/>
                      <w:highlight w:val="none"/>
                    </w:rPr>
                    <w:t>/</w:t>
                  </w:r>
                  <w:r>
                    <w:rPr>
                      <w:rFonts w:hint="eastAsia" w:ascii="Times New Roman" w:hAnsi="Times New Roman" w:eastAsia="宋体" w:cs="Times New Roman"/>
                      <w:sz w:val="21"/>
                      <w:szCs w:val="21"/>
                      <w:highlight w:val="none"/>
                    </w:rPr>
                    <w:t>年</w:t>
                  </w:r>
                </w:p>
              </w:tc>
              <w:tc>
                <w:tcPr>
                  <w:tcW w:w="3652" w:type="dxa"/>
                  <w:vMerge w:val="continue"/>
                  <w:tcBorders>
                    <w:left w:val="single" w:color="auto" w:sz="4" w:space="0"/>
                    <w:bottom w:val="single" w:color="auto" w:sz="4" w:space="0"/>
                    <w:right w:val="single" w:color="auto" w:sz="4" w:space="0"/>
                  </w:tcBorders>
                  <w:vAlign w:val="center"/>
                </w:tcPr>
                <w:p w14:paraId="1315D78A">
                  <w:pPr>
                    <w:keepNext w:val="0"/>
                    <w:keepLines w:val="0"/>
                    <w:suppressLineNumbers w:val="0"/>
                    <w:overflowPunct w:val="0"/>
                    <w:adjustRightInd w:val="0"/>
                    <w:snapToGrid w:val="0"/>
                    <w:spacing w:before="0" w:beforeAutospacing="0" w:after="0" w:afterAutospacing="0" w:line="264" w:lineRule="auto"/>
                    <w:ind w:left="0" w:right="0"/>
                    <w:jc w:val="center"/>
                    <w:rPr>
                      <w:rFonts w:hint="default" w:ascii="Times New Roman" w:hAnsi="Times New Roman" w:eastAsia="宋体" w:cs="Times New Roman"/>
                      <w:bCs/>
                      <w:sz w:val="21"/>
                      <w:szCs w:val="21"/>
                      <w:highlight w:val="none"/>
                    </w:rPr>
                  </w:pPr>
                </w:p>
              </w:tc>
            </w:tr>
            <w:tr w14:paraId="387E22D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358" w:hRule="atLeast"/>
                <w:jc w:val="center"/>
              </w:trPr>
              <w:tc>
                <w:tcPr>
                  <w:tcW w:w="696" w:type="dxa"/>
                  <w:vMerge w:val="continue"/>
                  <w:tcBorders>
                    <w:left w:val="single" w:color="auto" w:sz="4" w:space="0"/>
                    <w:right w:val="single" w:color="auto" w:sz="4" w:space="0"/>
                  </w:tcBorders>
                  <w:vAlign w:val="center"/>
                </w:tcPr>
                <w:p w14:paraId="05C6C2DE">
                  <w:pPr>
                    <w:keepNext w:val="0"/>
                    <w:keepLines w:val="0"/>
                    <w:suppressLineNumbers w:val="0"/>
                    <w:overflowPunct w:val="0"/>
                    <w:adjustRightInd w:val="0"/>
                    <w:snapToGrid w:val="0"/>
                    <w:spacing w:before="0" w:beforeAutospacing="0" w:after="0" w:afterAutospacing="0" w:line="264" w:lineRule="auto"/>
                    <w:ind w:left="0" w:right="0"/>
                    <w:jc w:val="center"/>
                    <w:rPr>
                      <w:rFonts w:hint="default" w:ascii="Times New Roman" w:hAnsi="Times New Roman" w:eastAsia="宋体" w:cs="Times New Roman"/>
                      <w:snapToGrid w:val="0"/>
                      <w:kern w:val="0"/>
                      <w:sz w:val="21"/>
                      <w:szCs w:val="21"/>
                      <w:highlight w:val="none"/>
                    </w:rPr>
                  </w:pPr>
                </w:p>
              </w:tc>
              <w:tc>
                <w:tcPr>
                  <w:tcW w:w="801" w:type="dxa"/>
                  <w:vMerge w:val="continue"/>
                  <w:tcBorders>
                    <w:left w:val="single" w:color="auto" w:sz="4" w:space="0"/>
                    <w:right w:val="single" w:color="auto" w:sz="4" w:space="0"/>
                  </w:tcBorders>
                  <w:vAlign w:val="center"/>
                </w:tcPr>
                <w:p w14:paraId="64E1A1D8">
                  <w:pPr>
                    <w:keepNext w:val="0"/>
                    <w:keepLines w:val="0"/>
                    <w:suppressLineNumbers w:val="0"/>
                    <w:overflowPunct w:val="0"/>
                    <w:adjustRightInd w:val="0"/>
                    <w:snapToGrid w:val="0"/>
                    <w:spacing w:before="0" w:beforeAutospacing="0" w:after="0" w:afterAutospacing="0" w:line="264" w:lineRule="auto"/>
                    <w:ind w:left="0" w:right="0"/>
                    <w:jc w:val="center"/>
                    <w:rPr>
                      <w:rFonts w:hint="default" w:ascii="Times New Roman" w:hAnsi="Times New Roman" w:eastAsia="宋体" w:cs="Times New Roman"/>
                      <w:snapToGrid w:val="0"/>
                      <w:kern w:val="0"/>
                      <w:sz w:val="21"/>
                      <w:szCs w:val="21"/>
                      <w:highlight w:val="none"/>
                    </w:rPr>
                  </w:pPr>
                </w:p>
              </w:tc>
              <w:tc>
                <w:tcPr>
                  <w:tcW w:w="892" w:type="dxa"/>
                  <w:vMerge w:val="continue"/>
                  <w:tcBorders>
                    <w:left w:val="single" w:color="auto" w:sz="4" w:space="0"/>
                    <w:right w:val="single" w:color="auto" w:sz="4" w:space="0"/>
                  </w:tcBorders>
                  <w:vAlign w:val="center"/>
                </w:tcPr>
                <w:p w14:paraId="56E3F387">
                  <w:pPr>
                    <w:keepNext w:val="0"/>
                    <w:keepLines w:val="0"/>
                    <w:suppressLineNumbers w:val="0"/>
                    <w:overflowPunct w:val="0"/>
                    <w:adjustRightInd w:val="0"/>
                    <w:snapToGrid w:val="0"/>
                    <w:spacing w:before="0" w:beforeAutospacing="0" w:after="0" w:afterAutospacing="0" w:line="264" w:lineRule="auto"/>
                    <w:ind w:left="0" w:right="0"/>
                    <w:jc w:val="center"/>
                    <w:rPr>
                      <w:rFonts w:hint="default" w:ascii="Times New Roman" w:hAnsi="Times New Roman" w:eastAsia="宋体" w:cs="Times New Roman"/>
                      <w:snapToGrid w:val="0"/>
                      <w:kern w:val="0"/>
                      <w:sz w:val="21"/>
                      <w:szCs w:val="21"/>
                      <w:highlight w:val="none"/>
                    </w:rPr>
                  </w:pPr>
                </w:p>
              </w:tc>
              <w:tc>
                <w:tcPr>
                  <w:tcW w:w="1333" w:type="dxa"/>
                  <w:tcBorders>
                    <w:top w:val="single" w:color="auto" w:sz="4" w:space="0"/>
                    <w:left w:val="single" w:color="auto" w:sz="4" w:space="0"/>
                    <w:bottom w:val="single" w:color="auto" w:sz="4" w:space="0"/>
                    <w:right w:val="single" w:color="auto" w:sz="4" w:space="0"/>
                  </w:tcBorders>
                  <w:vAlign w:val="center"/>
                </w:tcPr>
                <w:p w14:paraId="0D6B0AE7">
                  <w:pPr>
                    <w:keepNext w:val="0"/>
                    <w:keepLines w:val="0"/>
                    <w:suppressLineNumbers w:val="0"/>
                    <w:overflowPunct w:val="0"/>
                    <w:adjustRightInd w:val="0"/>
                    <w:snapToGrid w:val="0"/>
                    <w:spacing w:before="0" w:beforeAutospacing="0" w:after="0" w:afterAutospacing="0" w:line="264" w:lineRule="auto"/>
                    <w:ind w:left="0" w:right="0"/>
                    <w:jc w:val="center"/>
                    <w:rPr>
                      <w:rFonts w:hint="default" w:ascii="Times New Roman" w:hAnsi="Times New Roman" w:eastAsia="宋体" w:cs="Times New Roman"/>
                      <w:snapToGrid w:val="0"/>
                      <w:sz w:val="21"/>
                      <w:szCs w:val="21"/>
                      <w:highlight w:val="none"/>
                    </w:rPr>
                  </w:pPr>
                  <w:r>
                    <w:rPr>
                      <w:rFonts w:hint="eastAsia" w:ascii="Times New Roman" w:hAnsi="Times New Roman" w:eastAsia="宋体" w:cs="Times New Roman"/>
                      <w:snapToGrid w:val="0"/>
                      <w:sz w:val="21"/>
                      <w:szCs w:val="21"/>
                      <w:highlight w:val="none"/>
                    </w:rPr>
                    <w:t>粪大肠菌群数</w:t>
                  </w:r>
                </w:p>
              </w:tc>
              <w:tc>
                <w:tcPr>
                  <w:tcW w:w="742" w:type="dxa"/>
                  <w:tcBorders>
                    <w:top w:val="single" w:color="auto" w:sz="4" w:space="0"/>
                    <w:left w:val="single" w:color="auto" w:sz="4" w:space="0"/>
                    <w:bottom w:val="single" w:color="auto" w:sz="4" w:space="0"/>
                    <w:right w:val="single" w:color="auto" w:sz="4" w:space="0"/>
                  </w:tcBorders>
                  <w:vAlign w:val="center"/>
                </w:tcPr>
                <w:p w14:paraId="39773C40">
                  <w:pPr>
                    <w:keepNext w:val="0"/>
                    <w:keepLines w:val="0"/>
                    <w:suppressLineNumbers w:val="0"/>
                    <w:overflowPunct w:val="0"/>
                    <w:adjustRightInd w:val="0"/>
                    <w:snapToGrid w:val="0"/>
                    <w:spacing w:before="0" w:beforeAutospacing="0" w:after="0" w:afterAutospacing="0" w:line="264" w:lineRule="auto"/>
                    <w:ind w:left="0" w:right="0"/>
                    <w:jc w:val="center"/>
                    <w:rPr>
                      <w:rFonts w:hint="default" w:ascii="Times New Roman" w:hAnsi="Times New Roman" w:eastAsia="宋体" w:cs="Times New Roman"/>
                      <w:sz w:val="21"/>
                      <w:szCs w:val="21"/>
                      <w:highlight w:val="none"/>
                    </w:rPr>
                  </w:pPr>
                  <w:r>
                    <w:rPr>
                      <w:rFonts w:hint="default" w:ascii="Times New Roman" w:hAnsi="Times New Roman" w:eastAsia="宋体" w:cs="Times New Roman"/>
                      <w:sz w:val="21"/>
                      <w:szCs w:val="21"/>
                      <w:highlight w:val="none"/>
                    </w:rPr>
                    <w:t>1</w:t>
                  </w:r>
                  <w:r>
                    <w:rPr>
                      <w:rFonts w:hint="eastAsia" w:ascii="Times New Roman" w:hAnsi="Times New Roman" w:eastAsia="宋体" w:cs="Times New Roman"/>
                      <w:sz w:val="21"/>
                      <w:szCs w:val="21"/>
                      <w:highlight w:val="none"/>
                    </w:rPr>
                    <w:t>次</w:t>
                  </w:r>
                  <w:r>
                    <w:rPr>
                      <w:rFonts w:hint="default" w:ascii="Times New Roman" w:hAnsi="Times New Roman" w:eastAsia="宋体" w:cs="Times New Roman"/>
                      <w:sz w:val="21"/>
                      <w:szCs w:val="21"/>
                      <w:highlight w:val="none"/>
                    </w:rPr>
                    <w:t>/</w:t>
                  </w:r>
                  <w:r>
                    <w:rPr>
                      <w:rFonts w:hint="eastAsia" w:ascii="Times New Roman" w:hAnsi="Times New Roman" w:eastAsia="宋体" w:cs="Times New Roman"/>
                      <w:sz w:val="21"/>
                      <w:szCs w:val="21"/>
                      <w:highlight w:val="none"/>
                    </w:rPr>
                    <w:t>年</w:t>
                  </w:r>
                </w:p>
              </w:tc>
              <w:tc>
                <w:tcPr>
                  <w:tcW w:w="3652" w:type="dxa"/>
                  <w:vMerge w:val="restart"/>
                  <w:tcBorders>
                    <w:top w:val="single" w:color="auto" w:sz="4" w:space="0"/>
                    <w:left w:val="single" w:color="auto" w:sz="4" w:space="0"/>
                    <w:right w:val="single" w:color="auto" w:sz="4" w:space="0"/>
                  </w:tcBorders>
                  <w:vAlign w:val="center"/>
                </w:tcPr>
                <w:p w14:paraId="5361A8A8">
                  <w:pPr>
                    <w:keepNext w:val="0"/>
                    <w:keepLines w:val="0"/>
                    <w:suppressLineNumbers w:val="0"/>
                    <w:overflowPunct w:val="0"/>
                    <w:adjustRightInd w:val="0"/>
                    <w:snapToGrid w:val="0"/>
                    <w:spacing w:before="0" w:beforeAutospacing="0" w:after="0" w:afterAutospacing="0" w:line="264" w:lineRule="auto"/>
                    <w:ind w:left="0" w:right="0"/>
                    <w:jc w:val="center"/>
                    <w:rPr>
                      <w:rFonts w:hint="default" w:ascii="Times New Roman" w:hAnsi="Times New Roman" w:eastAsia="宋体" w:cs="Times New Roman"/>
                      <w:sz w:val="21"/>
                      <w:szCs w:val="21"/>
                      <w:highlight w:val="none"/>
                    </w:rPr>
                  </w:pPr>
                  <w:r>
                    <w:rPr>
                      <w:rFonts w:hint="eastAsia" w:ascii="Times New Roman" w:hAnsi="Times New Roman" w:eastAsia="宋体" w:cs="Times New Roman"/>
                      <w:bCs/>
                      <w:sz w:val="21"/>
                      <w:szCs w:val="21"/>
                      <w:highlight w:val="none"/>
                    </w:rPr>
                    <w:t>《污水综合排放标准》（</w:t>
                  </w:r>
                  <w:r>
                    <w:rPr>
                      <w:rFonts w:hint="default" w:ascii="Times New Roman" w:hAnsi="Times New Roman" w:eastAsia="宋体" w:cs="Times New Roman"/>
                      <w:bCs/>
                      <w:sz w:val="21"/>
                      <w:szCs w:val="21"/>
                      <w:highlight w:val="none"/>
                    </w:rPr>
                    <w:t>GB8978-1996</w:t>
                  </w:r>
                  <w:r>
                    <w:rPr>
                      <w:rFonts w:hint="eastAsia" w:ascii="Times New Roman" w:hAnsi="Times New Roman" w:eastAsia="宋体" w:cs="Times New Roman"/>
                      <w:bCs/>
                      <w:sz w:val="21"/>
                      <w:szCs w:val="21"/>
                      <w:highlight w:val="none"/>
                    </w:rPr>
                    <w:t>）</w:t>
                  </w:r>
                </w:p>
              </w:tc>
            </w:tr>
            <w:tr w14:paraId="4F4BC15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286" w:hRule="atLeast"/>
                <w:jc w:val="center"/>
              </w:trPr>
              <w:tc>
                <w:tcPr>
                  <w:tcW w:w="696" w:type="dxa"/>
                  <w:vMerge w:val="continue"/>
                  <w:tcBorders>
                    <w:left w:val="single" w:color="auto" w:sz="4" w:space="0"/>
                    <w:right w:val="single" w:color="auto" w:sz="4" w:space="0"/>
                  </w:tcBorders>
                  <w:vAlign w:val="center"/>
                </w:tcPr>
                <w:p w14:paraId="623DA429">
                  <w:pPr>
                    <w:keepNext w:val="0"/>
                    <w:keepLines w:val="0"/>
                    <w:suppressLineNumbers w:val="0"/>
                    <w:overflowPunct w:val="0"/>
                    <w:adjustRightInd w:val="0"/>
                    <w:snapToGrid w:val="0"/>
                    <w:spacing w:before="0" w:beforeAutospacing="0" w:after="0" w:afterAutospacing="0" w:line="264" w:lineRule="auto"/>
                    <w:ind w:left="0" w:right="0"/>
                    <w:jc w:val="center"/>
                    <w:rPr>
                      <w:rFonts w:hint="default" w:ascii="Times New Roman" w:hAnsi="Times New Roman" w:eastAsia="宋体" w:cs="Times New Roman"/>
                      <w:snapToGrid w:val="0"/>
                      <w:kern w:val="0"/>
                      <w:sz w:val="21"/>
                      <w:szCs w:val="21"/>
                      <w:highlight w:val="none"/>
                    </w:rPr>
                  </w:pPr>
                </w:p>
              </w:tc>
              <w:tc>
                <w:tcPr>
                  <w:tcW w:w="801" w:type="dxa"/>
                  <w:vMerge w:val="continue"/>
                  <w:tcBorders>
                    <w:left w:val="single" w:color="auto" w:sz="4" w:space="0"/>
                    <w:right w:val="single" w:color="auto" w:sz="4" w:space="0"/>
                  </w:tcBorders>
                  <w:vAlign w:val="center"/>
                </w:tcPr>
                <w:p w14:paraId="1EB1AC6F">
                  <w:pPr>
                    <w:keepNext w:val="0"/>
                    <w:keepLines w:val="0"/>
                    <w:suppressLineNumbers w:val="0"/>
                    <w:overflowPunct w:val="0"/>
                    <w:adjustRightInd w:val="0"/>
                    <w:snapToGrid w:val="0"/>
                    <w:spacing w:before="0" w:beforeAutospacing="0" w:after="0" w:afterAutospacing="0" w:line="264" w:lineRule="auto"/>
                    <w:ind w:left="0" w:right="0"/>
                    <w:jc w:val="center"/>
                    <w:rPr>
                      <w:rFonts w:hint="default" w:ascii="Times New Roman" w:hAnsi="Times New Roman" w:eastAsia="宋体" w:cs="Times New Roman"/>
                      <w:snapToGrid w:val="0"/>
                      <w:kern w:val="0"/>
                      <w:sz w:val="21"/>
                      <w:szCs w:val="21"/>
                      <w:highlight w:val="none"/>
                    </w:rPr>
                  </w:pPr>
                </w:p>
              </w:tc>
              <w:tc>
                <w:tcPr>
                  <w:tcW w:w="892" w:type="dxa"/>
                  <w:vMerge w:val="continue"/>
                  <w:tcBorders>
                    <w:left w:val="single" w:color="auto" w:sz="4" w:space="0"/>
                    <w:right w:val="single" w:color="auto" w:sz="4" w:space="0"/>
                  </w:tcBorders>
                  <w:vAlign w:val="center"/>
                </w:tcPr>
                <w:p w14:paraId="4D0E1B3F">
                  <w:pPr>
                    <w:keepNext w:val="0"/>
                    <w:keepLines w:val="0"/>
                    <w:suppressLineNumbers w:val="0"/>
                    <w:overflowPunct w:val="0"/>
                    <w:adjustRightInd w:val="0"/>
                    <w:snapToGrid w:val="0"/>
                    <w:spacing w:before="0" w:beforeAutospacing="0" w:after="0" w:afterAutospacing="0" w:line="264" w:lineRule="auto"/>
                    <w:ind w:left="0" w:right="0"/>
                    <w:jc w:val="center"/>
                    <w:rPr>
                      <w:rFonts w:hint="default" w:ascii="Times New Roman" w:hAnsi="Times New Roman" w:eastAsia="宋体" w:cs="Times New Roman"/>
                      <w:snapToGrid w:val="0"/>
                      <w:kern w:val="0"/>
                      <w:sz w:val="21"/>
                      <w:szCs w:val="21"/>
                      <w:highlight w:val="none"/>
                    </w:rPr>
                  </w:pPr>
                </w:p>
              </w:tc>
              <w:tc>
                <w:tcPr>
                  <w:tcW w:w="1333" w:type="dxa"/>
                  <w:tcBorders>
                    <w:top w:val="single" w:color="auto" w:sz="4" w:space="0"/>
                    <w:left w:val="single" w:color="auto" w:sz="4" w:space="0"/>
                    <w:bottom w:val="single" w:color="auto" w:sz="4" w:space="0"/>
                    <w:right w:val="single" w:color="auto" w:sz="4" w:space="0"/>
                  </w:tcBorders>
                  <w:vAlign w:val="center"/>
                </w:tcPr>
                <w:p w14:paraId="364FBDC2">
                  <w:pPr>
                    <w:keepNext w:val="0"/>
                    <w:keepLines w:val="0"/>
                    <w:suppressLineNumbers w:val="0"/>
                    <w:overflowPunct w:val="0"/>
                    <w:adjustRightInd w:val="0"/>
                    <w:snapToGrid w:val="0"/>
                    <w:spacing w:before="0" w:beforeAutospacing="0" w:after="0" w:afterAutospacing="0" w:line="264" w:lineRule="auto"/>
                    <w:ind w:left="0" w:right="0"/>
                    <w:jc w:val="center"/>
                    <w:rPr>
                      <w:rFonts w:hint="default" w:ascii="Times New Roman" w:hAnsi="Times New Roman" w:eastAsia="宋体" w:cs="Times New Roman"/>
                      <w:snapToGrid w:val="0"/>
                      <w:sz w:val="21"/>
                      <w:szCs w:val="21"/>
                      <w:highlight w:val="none"/>
                      <w:lang w:val="en-US" w:eastAsia="zh-CN"/>
                    </w:rPr>
                  </w:pPr>
                  <w:r>
                    <w:rPr>
                      <w:rFonts w:hint="eastAsia" w:cs="Times New Roman"/>
                      <w:snapToGrid w:val="0"/>
                      <w:sz w:val="21"/>
                      <w:szCs w:val="21"/>
                      <w:highlight w:val="none"/>
                      <w:lang w:val="en-US" w:eastAsia="zh-CN"/>
                    </w:rPr>
                    <w:t>LAS</w:t>
                  </w:r>
                </w:p>
              </w:tc>
              <w:tc>
                <w:tcPr>
                  <w:tcW w:w="742" w:type="dxa"/>
                  <w:tcBorders>
                    <w:top w:val="single" w:color="auto" w:sz="4" w:space="0"/>
                    <w:left w:val="single" w:color="auto" w:sz="4" w:space="0"/>
                    <w:bottom w:val="single" w:color="auto" w:sz="4" w:space="0"/>
                    <w:right w:val="single" w:color="auto" w:sz="4" w:space="0"/>
                  </w:tcBorders>
                  <w:vAlign w:val="center"/>
                </w:tcPr>
                <w:p w14:paraId="4CA6C53F">
                  <w:pPr>
                    <w:keepNext w:val="0"/>
                    <w:keepLines w:val="0"/>
                    <w:suppressLineNumbers w:val="0"/>
                    <w:overflowPunct w:val="0"/>
                    <w:adjustRightInd w:val="0"/>
                    <w:snapToGrid w:val="0"/>
                    <w:spacing w:before="0" w:beforeAutospacing="0" w:after="0" w:afterAutospacing="0" w:line="264" w:lineRule="auto"/>
                    <w:ind w:left="0" w:right="0"/>
                    <w:jc w:val="center"/>
                    <w:rPr>
                      <w:rFonts w:hint="default" w:ascii="Times New Roman" w:hAnsi="Times New Roman" w:eastAsia="宋体" w:cs="Times New Roman"/>
                      <w:sz w:val="21"/>
                      <w:szCs w:val="21"/>
                      <w:highlight w:val="none"/>
                    </w:rPr>
                  </w:pPr>
                  <w:r>
                    <w:rPr>
                      <w:rFonts w:hint="default" w:ascii="Times New Roman" w:hAnsi="Times New Roman" w:eastAsia="宋体" w:cs="Times New Roman"/>
                      <w:sz w:val="21"/>
                      <w:szCs w:val="21"/>
                      <w:highlight w:val="none"/>
                    </w:rPr>
                    <w:t>1</w:t>
                  </w:r>
                  <w:r>
                    <w:rPr>
                      <w:rFonts w:hint="eastAsia" w:ascii="Times New Roman" w:hAnsi="Times New Roman" w:eastAsia="宋体" w:cs="Times New Roman"/>
                      <w:sz w:val="21"/>
                      <w:szCs w:val="21"/>
                      <w:highlight w:val="none"/>
                    </w:rPr>
                    <w:t>次</w:t>
                  </w:r>
                  <w:r>
                    <w:rPr>
                      <w:rFonts w:hint="default" w:ascii="Times New Roman" w:hAnsi="Times New Roman" w:eastAsia="宋体" w:cs="Times New Roman"/>
                      <w:sz w:val="21"/>
                      <w:szCs w:val="21"/>
                      <w:highlight w:val="none"/>
                    </w:rPr>
                    <w:t>/</w:t>
                  </w:r>
                  <w:r>
                    <w:rPr>
                      <w:rFonts w:hint="eastAsia" w:ascii="Times New Roman" w:hAnsi="Times New Roman" w:eastAsia="宋体" w:cs="Times New Roman"/>
                      <w:sz w:val="21"/>
                      <w:szCs w:val="21"/>
                      <w:highlight w:val="none"/>
                    </w:rPr>
                    <w:t>年</w:t>
                  </w:r>
                </w:p>
              </w:tc>
              <w:tc>
                <w:tcPr>
                  <w:tcW w:w="3652" w:type="dxa"/>
                  <w:vMerge w:val="continue"/>
                  <w:tcBorders>
                    <w:left w:val="single" w:color="auto" w:sz="4" w:space="0"/>
                    <w:bottom w:val="single" w:color="auto" w:sz="4" w:space="0"/>
                    <w:right w:val="single" w:color="auto" w:sz="4" w:space="0"/>
                  </w:tcBorders>
                  <w:vAlign w:val="center"/>
                </w:tcPr>
                <w:p w14:paraId="3EC8BBDF">
                  <w:pPr>
                    <w:keepNext w:val="0"/>
                    <w:keepLines w:val="0"/>
                    <w:suppressLineNumbers w:val="0"/>
                    <w:overflowPunct w:val="0"/>
                    <w:adjustRightInd w:val="0"/>
                    <w:snapToGrid w:val="0"/>
                    <w:spacing w:before="0" w:beforeAutospacing="0" w:after="0" w:afterAutospacing="0" w:line="264" w:lineRule="auto"/>
                    <w:ind w:left="0" w:right="0"/>
                    <w:jc w:val="center"/>
                    <w:rPr>
                      <w:rFonts w:hint="eastAsia" w:ascii="Times New Roman" w:hAnsi="Times New Roman" w:eastAsia="宋体" w:cs="Times New Roman"/>
                      <w:bCs/>
                      <w:sz w:val="21"/>
                      <w:szCs w:val="21"/>
                      <w:highlight w:val="none"/>
                    </w:rPr>
                  </w:pPr>
                </w:p>
              </w:tc>
            </w:tr>
          </w:tbl>
          <w:p w14:paraId="2A044C5E">
            <w:pPr>
              <w:keepNext w:val="0"/>
              <w:keepLines w:val="0"/>
              <w:suppressLineNumbers w:val="0"/>
              <w:tabs>
                <w:tab w:val="left" w:pos="4680"/>
              </w:tabs>
              <w:adjustRightInd w:val="0"/>
              <w:snapToGrid w:val="0"/>
              <w:spacing w:before="0" w:beforeAutospacing="0" w:after="0" w:afterAutospacing="0" w:line="360" w:lineRule="auto"/>
              <w:ind w:left="0" w:right="0" w:firstLine="482" w:firstLineChars="200"/>
              <w:rPr>
                <w:rFonts w:hint="default" w:ascii="Times New Roman" w:hAnsi="Times New Roman" w:eastAsia="宋体" w:cs="Times New Roman"/>
                <w:b/>
                <w:highlight w:val="none"/>
              </w:rPr>
            </w:pPr>
            <w:r>
              <w:rPr>
                <w:rFonts w:hint="eastAsia" w:ascii="Times New Roman" w:hAnsi="Times New Roman" w:eastAsia="宋体" w:cs="Times New Roman"/>
                <w:b/>
                <w:highlight w:val="none"/>
              </w:rPr>
              <w:t>（</w:t>
            </w:r>
            <w:r>
              <w:rPr>
                <w:rFonts w:hint="default" w:ascii="Times New Roman" w:hAnsi="Times New Roman" w:eastAsia="宋体" w:cs="Times New Roman"/>
                <w:b/>
                <w:highlight w:val="none"/>
              </w:rPr>
              <w:t>2</w:t>
            </w:r>
            <w:r>
              <w:rPr>
                <w:rFonts w:hint="eastAsia" w:ascii="Times New Roman" w:hAnsi="Times New Roman" w:eastAsia="宋体" w:cs="Times New Roman"/>
                <w:b/>
                <w:highlight w:val="none"/>
              </w:rPr>
              <w:t>）废水达标性分析</w:t>
            </w:r>
          </w:p>
          <w:p w14:paraId="6C67B18B">
            <w:pPr>
              <w:keepNext w:val="0"/>
              <w:keepLines w:val="0"/>
              <w:suppressLineNumbers w:val="0"/>
              <w:tabs>
                <w:tab w:val="left" w:pos="4680"/>
              </w:tabs>
              <w:adjustRightInd w:val="0"/>
              <w:snapToGrid w:val="0"/>
              <w:spacing w:before="0" w:beforeAutospacing="0" w:after="0" w:afterAutospacing="0" w:line="360" w:lineRule="auto"/>
              <w:ind w:left="0" w:right="0" w:firstLine="480" w:firstLineChars="200"/>
              <w:rPr>
                <w:rFonts w:hint="eastAsia" w:cs="Times New Roman"/>
                <w:color w:val="auto"/>
                <w:kern w:val="0"/>
                <w:highlight w:val="none"/>
                <w:lang w:val="en-US" w:eastAsia="zh-CN"/>
              </w:rPr>
            </w:pPr>
            <w:r>
              <w:rPr>
                <w:rFonts w:hint="eastAsia" w:ascii="Times New Roman" w:hAnsi="Times New Roman" w:eastAsia="宋体" w:cs="Times New Roman"/>
                <w:highlight w:val="none"/>
              </w:rPr>
              <w:t>本项目废水主要为</w:t>
            </w:r>
            <w:r>
              <w:rPr>
                <w:rFonts w:hint="eastAsia" w:ascii="Times New Roman" w:hAnsi="Times New Roman" w:eastAsia="宋体" w:cs="Times New Roman"/>
                <w:color w:val="000000"/>
                <w:kern w:val="0"/>
                <w:highlight w:val="none"/>
              </w:rPr>
              <w:t>生活</w:t>
            </w:r>
            <w:r>
              <w:rPr>
                <w:rFonts w:hint="default" w:ascii="Times New Roman" w:hAnsi="Times New Roman" w:eastAsia="宋体" w:cs="Times New Roman"/>
                <w:color w:val="000000"/>
                <w:kern w:val="0"/>
                <w:highlight w:val="none"/>
              </w:rPr>
              <w:t>污水</w:t>
            </w:r>
            <w:r>
              <w:rPr>
                <w:rFonts w:hint="eastAsia" w:ascii="Times New Roman" w:hAnsi="Times New Roman" w:eastAsia="宋体" w:cs="Times New Roman"/>
                <w:color w:val="000000"/>
                <w:kern w:val="0"/>
                <w:highlight w:val="none"/>
                <w:lang w:eastAsia="zh-CN"/>
              </w:rPr>
              <w:t>；</w:t>
            </w:r>
            <w:r>
              <w:rPr>
                <w:rFonts w:hint="eastAsia" w:ascii="Times New Roman" w:hAnsi="Times New Roman" w:eastAsia="宋体" w:cs="Times New Roman"/>
                <w:b/>
                <w:bCs/>
                <w:color w:val="000000"/>
                <w:kern w:val="0"/>
                <w:highlight w:val="none"/>
                <w:lang w:val="en-US" w:eastAsia="zh-CN"/>
              </w:rPr>
              <w:t>实验动物中心：</w:t>
            </w:r>
            <w:r>
              <w:rPr>
                <w:rFonts w:hint="eastAsia" w:ascii="Times New Roman" w:hAnsi="Times New Roman" w:eastAsia="宋体" w:cs="Times New Roman"/>
                <w:color w:val="000000"/>
                <w:kern w:val="0"/>
                <w:highlight w:val="none"/>
                <w:lang w:val="en-US" w:eastAsia="zh-CN"/>
              </w:rPr>
              <w:t>饲养间清洗废水、洗笼及动物洗烘废水</w:t>
            </w:r>
            <w:r>
              <w:rPr>
                <w:rFonts w:hint="eastAsia" w:ascii="Times New Roman" w:hAnsi="Times New Roman" w:eastAsia="宋体" w:cs="Times New Roman"/>
                <w:color w:val="000000"/>
                <w:kern w:val="0"/>
                <w:highlight w:val="none"/>
                <w:lang w:eastAsia="zh-CN"/>
              </w:rPr>
              <w:t>、</w:t>
            </w:r>
            <w:r>
              <w:rPr>
                <w:rFonts w:hint="eastAsia" w:ascii="Times New Roman" w:hAnsi="Times New Roman" w:eastAsia="宋体" w:cs="Times New Roman"/>
                <w:color w:val="000000"/>
                <w:kern w:val="0"/>
                <w:highlight w:val="none"/>
                <w:lang w:val="en-US" w:eastAsia="zh-CN"/>
              </w:rPr>
              <w:t>洗衣废水、灭菌废水</w:t>
            </w:r>
            <w:r>
              <w:rPr>
                <w:rFonts w:hint="default" w:ascii="Times New Roman" w:hAnsi="Times New Roman" w:eastAsia="宋体" w:cs="Times New Roman"/>
                <w:color w:val="000000"/>
                <w:kern w:val="0"/>
                <w:highlight w:val="none"/>
              </w:rPr>
              <w:t>、纯水设备浓水</w:t>
            </w:r>
            <w:r>
              <w:rPr>
                <w:rFonts w:hint="eastAsia" w:ascii="Times New Roman" w:hAnsi="Times New Roman" w:eastAsia="宋体" w:cs="Times New Roman"/>
                <w:color w:val="000000"/>
                <w:kern w:val="0"/>
                <w:highlight w:val="none"/>
                <w:lang w:eastAsia="zh-CN"/>
              </w:rPr>
              <w:t>、</w:t>
            </w:r>
            <w:r>
              <w:rPr>
                <w:rFonts w:hint="eastAsia" w:ascii="Times New Roman" w:hAnsi="Times New Roman" w:eastAsia="宋体" w:cs="Times New Roman"/>
                <w:color w:val="000000"/>
                <w:kern w:val="0"/>
                <w:highlight w:val="none"/>
                <w:lang w:val="en-US" w:eastAsia="zh-CN"/>
              </w:rPr>
              <w:t>反冲洗废水、手术台废水、</w:t>
            </w:r>
            <w:r>
              <w:rPr>
                <w:rFonts w:hint="eastAsia" w:ascii="Times New Roman" w:hAnsi="Times New Roman" w:eastAsia="宋体" w:cs="Times New Roman"/>
                <w:color w:val="000000"/>
                <w:kern w:val="0"/>
                <w:highlight w:val="none"/>
              </w:rPr>
              <w:t>实验</w:t>
            </w:r>
            <w:r>
              <w:rPr>
                <w:rFonts w:hint="eastAsia" w:ascii="Times New Roman" w:hAnsi="Times New Roman" w:eastAsia="宋体" w:cs="Times New Roman"/>
                <w:color w:val="000000"/>
                <w:kern w:val="0"/>
                <w:highlight w:val="none"/>
                <w:lang w:val="en-US" w:eastAsia="zh-CN"/>
              </w:rPr>
              <w:t>室设备</w:t>
            </w:r>
            <w:r>
              <w:rPr>
                <w:rFonts w:hint="eastAsia" w:ascii="Times New Roman" w:hAnsi="Times New Roman" w:eastAsia="宋体" w:cs="Times New Roman"/>
                <w:color w:val="000000"/>
                <w:kern w:val="0"/>
                <w:highlight w:val="none"/>
              </w:rPr>
              <w:t>清洗</w:t>
            </w:r>
            <w:r>
              <w:rPr>
                <w:rFonts w:hint="eastAsia" w:ascii="Times New Roman" w:hAnsi="Times New Roman" w:eastAsia="宋体" w:cs="Times New Roman"/>
                <w:color w:val="000000"/>
                <w:kern w:val="0"/>
                <w:highlight w:val="none"/>
                <w:lang w:val="en-US" w:eastAsia="zh-CN"/>
              </w:rPr>
              <w:t>废水</w:t>
            </w:r>
            <w:r>
              <w:rPr>
                <w:rFonts w:hint="eastAsia" w:ascii="Times New Roman" w:hAnsi="Times New Roman" w:eastAsia="宋体" w:cs="Times New Roman"/>
                <w:color w:val="000000"/>
                <w:kern w:val="0"/>
                <w:highlight w:val="none"/>
                <w:lang w:eastAsia="zh-CN"/>
              </w:rPr>
              <w:t>、</w:t>
            </w:r>
            <w:r>
              <w:rPr>
                <w:rFonts w:hint="eastAsia" w:cs="Times New Roman"/>
                <w:color w:val="000000"/>
                <w:kern w:val="0"/>
                <w:highlight w:val="none"/>
                <w:lang w:val="en-US" w:eastAsia="zh-CN"/>
              </w:rPr>
              <w:t>动物尿液、</w:t>
            </w:r>
            <w:r>
              <w:rPr>
                <w:rFonts w:hint="eastAsia" w:ascii="Times New Roman" w:hAnsi="Times New Roman" w:eastAsia="宋体" w:cs="Times New Roman"/>
                <w:color w:val="000000"/>
                <w:kern w:val="0"/>
                <w:highlight w:val="none"/>
                <w:lang w:val="en-US" w:eastAsia="zh-CN"/>
              </w:rPr>
              <w:t>废气</w:t>
            </w:r>
            <w:r>
              <w:rPr>
                <w:rFonts w:hint="eastAsia" w:ascii="Times New Roman" w:hAnsi="Times New Roman" w:eastAsia="宋体" w:cs="Times New Roman"/>
                <w:color w:val="000000"/>
                <w:kern w:val="0"/>
                <w:highlight w:val="none"/>
              </w:rPr>
              <w:t>喷</w:t>
            </w:r>
            <w:r>
              <w:rPr>
                <w:rFonts w:hint="eastAsia" w:ascii="Times New Roman" w:hAnsi="Times New Roman" w:eastAsia="宋体" w:cs="Times New Roman"/>
                <w:color w:val="auto"/>
                <w:kern w:val="0"/>
                <w:highlight w:val="none"/>
              </w:rPr>
              <w:t>淋</w:t>
            </w:r>
            <w:r>
              <w:rPr>
                <w:rFonts w:hint="eastAsia" w:ascii="Times New Roman" w:hAnsi="Times New Roman" w:eastAsia="宋体" w:cs="Times New Roman"/>
                <w:color w:val="auto"/>
                <w:kern w:val="0"/>
                <w:highlight w:val="none"/>
                <w:lang w:val="en-US" w:eastAsia="zh-CN"/>
              </w:rPr>
              <w:t>废水；</w:t>
            </w:r>
            <w:r>
              <w:rPr>
                <w:rFonts w:hint="eastAsia" w:ascii="Times New Roman" w:hAnsi="Times New Roman" w:eastAsia="宋体" w:cs="Times New Roman"/>
                <w:b/>
                <w:bCs/>
                <w:color w:val="auto"/>
                <w:kern w:val="0"/>
                <w:highlight w:val="none"/>
                <w:lang w:val="en-US" w:eastAsia="zh-CN"/>
              </w:rPr>
              <w:t>科创</w:t>
            </w:r>
            <w:r>
              <w:rPr>
                <w:rFonts w:hint="eastAsia"/>
                <w:b/>
                <w:bCs/>
                <w:color w:val="auto"/>
                <w:kern w:val="0"/>
                <w:sz w:val="24"/>
                <w:szCs w:val="24"/>
                <w:highlight w:val="none"/>
                <w:lang w:val="en-US" w:eastAsia="zh-CN"/>
              </w:rPr>
              <w:t>综合</w:t>
            </w:r>
            <w:r>
              <w:rPr>
                <w:rFonts w:hint="eastAsia" w:ascii="Times New Roman" w:hAnsi="Times New Roman" w:eastAsia="宋体" w:cs="Times New Roman"/>
                <w:b/>
                <w:bCs/>
                <w:color w:val="auto"/>
                <w:kern w:val="0"/>
                <w:highlight w:val="none"/>
                <w:lang w:val="en-US" w:eastAsia="zh-CN"/>
              </w:rPr>
              <w:t>楼：</w:t>
            </w:r>
            <w:r>
              <w:rPr>
                <w:rFonts w:hint="eastAsia" w:ascii="Times New Roman" w:hAnsi="Times New Roman" w:eastAsia="宋体" w:cs="Times New Roman"/>
                <w:b w:val="0"/>
                <w:bCs w:val="0"/>
                <w:color w:val="auto"/>
                <w:kern w:val="0"/>
                <w:highlight w:val="none"/>
                <w:lang w:val="en-US" w:eastAsia="zh-CN"/>
              </w:rPr>
              <w:t>实验室设</w:t>
            </w:r>
            <w:r>
              <w:rPr>
                <w:rFonts w:hint="eastAsia" w:ascii="Times New Roman" w:hAnsi="Times New Roman" w:eastAsia="宋体" w:cs="Times New Roman"/>
                <w:color w:val="auto"/>
                <w:kern w:val="0"/>
                <w:highlight w:val="none"/>
                <w:lang w:val="en-US" w:eastAsia="zh-CN"/>
              </w:rPr>
              <w:t>备清洗废水、实验室地面清洗废水、纯水制备废水</w:t>
            </w:r>
            <w:r>
              <w:rPr>
                <w:rFonts w:hint="eastAsia" w:cs="Times New Roman"/>
                <w:color w:val="auto"/>
                <w:kern w:val="0"/>
                <w:highlight w:val="none"/>
                <w:lang w:val="en-US" w:eastAsia="zh-CN"/>
              </w:rPr>
              <w:t>。</w:t>
            </w:r>
          </w:p>
          <w:p w14:paraId="4A29BB7A">
            <w:pPr>
              <w:keepNext w:val="0"/>
              <w:keepLines w:val="0"/>
              <w:suppressLineNumbers w:val="0"/>
              <w:tabs>
                <w:tab w:val="left" w:pos="4680"/>
              </w:tabs>
              <w:adjustRightInd w:val="0"/>
              <w:snapToGrid w:val="0"/>
              <w:spacing w:before="0" w:beforeAutospacing="0" w:after="0" w:afterAutospacing="0" w:line="360" w:lineRule="auto"/>
              <w:ind w:left="0" w:right="0" w:firstLine="480" w:firstLineChars="200"/>
              <w:rPr>
                <w:rFonts w:hint="default" w:ascii="Times New Roman" w:hAnsi="Times New Roman" w:eastAsia="宋体" w:cs="Times New Roman"/>
                <w:color w:val="000000"/>
                <w:kern w:val="0"/>
                <w:highlight w:val="none"/>
                <w:lang w:val="en-US" w:eastAsia="zh-CN"/>
              </w:rPr>
            </w:pPr>
            <w:r>
              <w:rPr>
                <w:rFonts w:hint="eastAsia" w:ascii="Times New Roman" w:hAnsi="Times New Roman" w:eastAsia="宋体" w:cs="Times New Roman"/>
                <w:color w:val="auto"/>
                <w:highlight w:val="none"/>
              </w:rPr>
              <w:t>生活污水经</w:t>
            </w:r>
            <w:r>
              <w:rPr>
                <w:rFonts w:hint="eastAsia" w:cs="Times New Roman"/>
                <w:color w:val="auto"/>
                <w:highlight w:val="none"/>
                <w:lang w:val="en-US" w:eastAsia="zh-CN"/>
              </w:rPr>
              <w:t>隔油池、</w:t>
            </w:r>
            <w:r>
              <w:rPr>
                <w:rFonts w:hint="eastAsia" w:ascii="Times New Roman" w:hAnsi="Times New Roman" w:eastAsia="宋体" w:cs="Times New Roman"/>
                <w:color w:val="auto"/>
                <w:highlight w:val="none"/>
              </w:rPr>
              <w:t>化粪池预处理达标后纳入市政污水管网</w:t>
            </w:r>
            <w:r>
              <w:rPr>
                <w:rFonts w:hint="eastAsia" w:cs="Times New Roman"/>
                <w:color w:val="auto"/>
                <w:highlight w:val="none"/>
                <w:lang w:eastAsia="zh-CN"/>
              </w:rPr>
              <w:t>，本项目</w:t>
            </w:r>
            <w:r>
              <w:rPr>
                <w:rFonts w:hint="eastAsia" w:cs="Times New Roman"/>
                <w:color w:val="auto"/>
                <w:highlight w:val="none"/>
                <w:lang w:val="en-US" w:eastAsia="zh-CN"/>
              </w:rPr>
              <w:t>科创综合楼</w:t>
            </w:r>
            <w:r>
              <w:rPr>
                <w:rFonts w:hint="eastAsia" w:cs="Times New Roman"/>
                <w:color w:val="auto"/>
                <w:highlight w:val="none"/>
                <w:lang w:eastAsia="zh-CN"/>
              </w:rPr>
              <w:t>实验废水中包含涉及生物相关的实验清洗废水，因此在进入污水处理设施前应先进行灭活处理，通过高压蒸汽灭菌锅使废水中含有的细菌等菌体物质得到有效的灭活。灭活后的实验废水与其他废水</w:t>
            </w:r>
            <w:r>
              <w:rPr>
                <w:rFonts w:hint="eastAsia" w:ascii="Times New Roman" w:hAnsi="Times New Roman" w:eastAsia="宋体" w:cs="Times New Roman"/>
                <w:color w:val="auto"/>
                <w:highlight w:val="none"/>
              </w:rPr>
              <w:t>经污水处理设施处理并消毒后纳入市政污水管网</w:t>
            </w:r>
            <w:r>
              <w:rPr>
                <w:rFonts w:hint="eastAsia" w:ascii="Times New Roman" w:hAnsi="Times New Roman" w:eastAsia="宋体" w:cs="Times New Roman"/>
                <w:color w:val="auto"/>
                <w:highlight w:val="none"/>
                <w:lang w:eastAsia="zh-CN"/>
              </w:rPr>
              <w:t>，</w:t>
            </w:r>
            <w:r>
              <w:rPr>
                <w:rFonts w:hint="eastAsia" w:ascii="Times New Roman" w:hAnsi="Times New Roman" w:eastAsia="宋体" w:cs="Times New Roman"/>
                <w:color w:val="auto"/>
                <w:highlight w:val="none"/>
              </w:rPr>
              <w:t>纯水</w:t>
            </w:r>
            <w:r>
              <w:rPr>
                <w:rFonts w:hint="eastAsia" w:cs="Times New Roman"/>
                <w:highlight w:val="none"/>
                <w:lang w:val="en-US" w:eastAsia="zh-CN"/>
              </w:rPr>
              <w:t>/软水</w:t>
            </w:r>
            <w:r>
              <w:rPr>
                <w:rFonts w:hint="eastAsia" w:ascii="Times New Roman" w:hAnsi="Times New Roman" w:eastAsia="宋体" w:cs="Times New Roman"/>
                <w:highlight w:val="none"/>
              </w:rPr>
              <w:t>制备浓水</w:t>
            </w:r>
            <w:r>
              <w:rPr>
                <w:rFonts w:hint="eastAsia" w:cs="Times New Roman"/>
                <w:highlight w:val="none"/>
                <w:lang w:eastAsia="zh-CN"/>
              </w:rPr>
              <w:t>、</w:t>
            </w:r>
            <w:r>
              <w:rPr>
                <w:rFonts w:hint="eastAsia" w:cs="Times New Roman"/>
                <w:highlight w:val="none"/>
                <w:lang w:val="en-US" w:eastAsia="zh-CN"/>
              </w:rPr>
              <w:t>反冲洗废水、一般实验室灭菌废水</w:t>
            </w:r>
            <w:r>
              <w:rPr>
                <w:rFonts w:hint="eastAsia" w:ascii="Times New Roman" w:hAnsi="Times New Roman" w:eastAsia="宋体" w:cs="Times New Roman"/>
                <w:highlight w:val="none"/>
              </w:rPr>
              <w:t>水质简单，</w:t>
            </w:r>
            <w:r>
              <w:rPr>
                <w:rFonts w:hint="eastAsia" w:cs="Times New Roman"/>
                <w:highlight w:val="none"/>
                <w:lang w:val="en-US" w:eastAsia="zh-CN"/>
              </w:rPr>
              <w:t>与预处理后的其他废水一并</w:t>
            </w:r>
            <w:r>
              <w:rPr>
                <w:rFonts w:hint="eastAsia" w:ascii="Times New Roman" w:hAnsi="Times New Roman" w:eastAsia="宋体" w:cs="Times New Roman"/>
                <w:highlight w:val="none"/>
              </w:rPr>
              <w:t>纳入市政污水管网。</w:t>
            </w:r>
            <w:r>
              <w:rPr>
                <w:rFonts w:hint="eastAsia" w:ascii="Times New Roman" w:hAnsi="Times New Roman" w:eastAsia="宋体" w:cs="Times New Roman"/>
                <w:highlight w:val="none"/>
                <w:lang w:val="en-US" w:eastAsia="zh-CN"/>
              </w:rPr>
              <w:t>根据</w:t>
            </w:r>
            <w:r>
              <w:rPr>
                <w:rFonts w:hint="eastAsia" w:cs="Times New Roman"/>
                <w:highlight w:val="none"/>
                <w:lang w:val="en-US" w:eastAsia="zh-CN"/>
              </w:rPr>
              <w:t>企业提供的废水处理设计方案</w:t>
            </w:r>
            <w:r>
              <w:rPr>
                <w:rFonts w:hint="eastAsia" w:ascii="Times New Roman" w:hAnsi="Times New Roman" w:eastAsia="宋体" w:cs="Times New Roman"/>
                <w:highlight w:val="none"/>
                <w:lang w:val="en-US" w:eastAsia="zh-CN"/>
              </w:rPr>
              <w:t>，污水处理设施设计处理能力5</w:t>
            </w:r>
            <w:r>
              <w:rPr>
                <w:rFonts w:hint="eastAsia" w:cs="Times New Roman"/>
                <w:highlight w:val="none"/>
                <w:lang w:val="en-US" w:eastAsia="zh-CN"/>
              </w:rPr>
              <w:t>0</w:t>
            </w:r>
            <w:r>
              <w:rPr>
                <w:rFonts w:hint="eastAsia" w:ascii="Times New Roman" w:hAnsi="Times New Roman" w:eastAsia="宋体" w:cs="Times New Roman"/>
                <w:highlight w:val="none"/>
                <w:lang w:val="en-US" w:eastAsia="zh-CN"/>
              </w:rPr>
              <w:t>m</w:t>
            </w:r>
            <w:r>
              <w:rPr>
                <w:rFonts w:hint="eastAsia" w:ascii="Times New Roman" w:hAnsi="Times New Roman" w:eastAsia="宋体" w:cs="Times New Roman"/>
                <w:highlight w:val="none"/>
                <w:vertAlign w:val="superscript"/>
                <w:lang w:val="en-US" w:eastAsia="zh-CN"/>
              </w:rPr>
              <w:t>3</w:t>
            </w:r>
            <w:r>
              <w:rPr>
                <w:rFonts w:hint="eastAsia" w:ascii="Times New Roman" w:hAnsi="Times New Roman" w:eastAsia="宋体" w:cs="Times New Roman"/>
                <w:highlight w:val="none"/>
                <w:lang w:val="en-US" w:eastAsia="zh-CN"/>
              </w:rPr>
              <w:t>/d，废水处理工艺流程见图4-1。</w:t>
            </w:r>
          </w:p>
          <w:p w14:paraId="536408C9">
            <w:pPr>
              <w:pStyle w:val="59"/>
              <w:keepNext w:val="0"/>
              <w:keepLines w:val="0"/>
              <w:suppressLineNumbers w:val="0"/>
              <w:adjustRightInd w:val="0"/>
              <w:snapToGrid w:val="0"/>
              <w:spacing w:before="0" w:beforeAutospacing="0" w:after="0" w:afterAutospacing="0" w:line="360" w:lineRule="auto"/>
              <w:ind w:left="0" w:right="0" w:firstLine="0" w:firstLineChars="0"/>
              <w:jc w:val="center"/>
              <w:rPr>
                <w:rFonts w:hint="eastAsia" w:ascii="Times New Roman" w:hAnsi="Times New Roman" w:eastAsia="宋体" w:cs="Times New Roman"/>
                <w:b/>
                <w:spacing w:val="-2"/>
                <w:szCs w:val="21"/>
                <w:highlight w:val="none"/>
                <w:lang w:eastAsia="zh-CN"/>
              </w:rPr>
            </w:pPr>
            <w:r>
              <w:rPr>
                <w:rFonts w:hint="eastAsia" w:ascii="Times New Roman" w:hAnsi="Times New Roman" w:eastAsia="宋体" w:cs="Times New Roman"/>
                <w:b/>
                <w:spacing w:val="-2"/>
                <w:szCs w:val="21"/>
                <w:highlight w:val="none"/>
                <w:lang w:eastAsia="zh-CN"/>
              </w:rPr>
              <w:drawing>
                <wp:inline distT="0" distB="0" distL="114300" distR="114300">
                  <wp:extent cx="4853305" cy="6082030"/>
                  <wp:effectExtent l="0" t="0" r="4445" b="4445"/>
                  <wp:docPr id="22" name="图片 22" descr="2a4cc39daaf79b95c72bc74b8b7006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2" name="图片 22" descr="2a4cc39daaf79b95c72bc74b8b70066"/>
                          <pic:cNvPicPr>
                            <a:picLocks noChangeAspect="1"/>
                          </pic:cNvPicPr>
                        </pic:nvPicPr>
                        <pic:blipFill>
                          <a:blip r:embed="rId34"/>
                          <a:stretch>
                            <a:fillRect/>
                          </a:stretch>
                        </pic:blipFill>
                        <pic:spPr>
                          <a:xfrm>
                            <a:off x="0" y="0"/>
                            <a:ext cx="4853305" cy="6082030"/>
                          </a:xfrm>
                          <a:prstGeom prst="rect">
                            <a:avLst/>
                          </a:prstGeom>
                        </pic:spPr>
                      </pic:pic>
                    </a:graphicData>
                  </a:graphic>
                </wp:inline>
              </w:drawing>
            </w:r>
          </w:p>
          <w:p w14:paraId="3CB9239E">
            <w:pPr>
              <w:pStyle w:val="59"/>
              <w:keepNext w:val="0"/>
              <w:keepLines w:val="0"/>
              <w:suppressLineNumbers w:val="0"/>
              <w:adjustRightInd w:val="0"/>
              <w:snapToGrid w:val="0"/>
              <w:spacing w:before="0" w:beforeAutospacing="0" w:after="0" w:afterAutospacing="0" w:line="360" w:lineRule="auto"/>
              <w:ind w:left="0" w:right="0" w:firstLine="0" w:firstLineChars="0"/>
              <w:jc w:val="center"/>
              <w:rPr>
                <w:rFonts w:hint="default" w:ascii="Times New Roman" w:hAnsi="Times New Roman" w:eastAsia="宋体" w:cs="Times New Roman"/>
                <w:b/>
                <w:spacing w:val="-2"/>
                <w:szCs w:val="21"/>
                <w:highlight w:val="none"/>
              </w:rPr>
            </w:pPr>
            <w:r>
              <w:rPr>
                <w:rFonts w:hint="eastAsia" w:ascii="Times New Roman" w:hAnsi="Times New Roman" w:eastAsia="宋体" w:cs="Times New Roman"/>
                <w:b/>
                <w:spacing w:val="-2"/>
                <w:szCs w:val="21"/>
                <w:highlight w:val="none"/>
              </w:rPr>
              <w:t>图</w:t>
            </w:r>
            <w:r>
              <w:rPr>
                <w:rFonts w:hint="eastAsia" w:ascii="Times New Roman" w:hAnsi="Times New Roman" w:eastAsia="宋体" w:cs="Times New Roman"/>
                <w:b/>
                <w:bCs/>
                <w:szCs w:val="21"/>
                <w:highlight w:val="none"/>
              </w:rPr>
              <w:t>4</w:t>
            </w:r>
            <w:r>
              <w:rPr>
                <w:rFonts w:hint="default" w:ascii="Times New Roman" w:hAnsi="Times New Roman" w:eastAsia="宋体" w:cs="Times New Roman"/>
                <w:b/>
                <w:bCs/>
                <w:szCs w:val="21"/>
                <w:highlight w:val="none"/>
              </w:rPr>
              <w:t>-</w:t>
            </w:r>
            <w:r>
              <w:rPr>
                <w:rFonts w:hint="eastAsia" w:ascii="Times New Roman" w:hAnsi="Times New Roman" w:eastAsia="宋体" w:cs="Times New Roman"/>
                <w:b/>
                <w:bCs/>
                <w:szCs w:val="21"/>
                <w:highlight w:val="none"/>
              </w:rPr>
              <w:t>1</w:t>
            </w:r>
            <w:r>
              <w:rPr>
                <w:rFonts w:hint="default" w:ascii="Times New Roman" w:hAnsi="Times New Roman" w:eastAsia="宋体" w:cs="Times New Roman"/>
                <w:b/>
                <w:spacing w:val="-2"/>
                <w:szCs w:val="21"/>
                <w:highlight w:val="none"/>
              </w:rPr>
              <w:t xml:space="preserve">  </w:t>
            </w:r>
            <w:r>
              <w:rPr>
                <w:rFonts w:hint="eastAsia" w:ascii="Times New Roman" w:hAnsi="Times New Roman" w:eastAsia="宋体" w:cs="Times New Roman"/>
                <w:b/>
                <w:spacing w:val="-2"/>
                <w:szCs w:val="21"/>
                <w:highlight w:val="none"/>
              </w:rPr>
              <w:t>废水处理工艺流程图</w:t>
            </w:r>
          </w:p>
          <w:p w14:paraId="741CAE09">
            <w:pPr>
              <w:pStyle w:val="59"/>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360" w:lineRule="auto"/>
              <w:ind w:left="0" w:right="0" w:firstLine="474" w:firstLineChars="200"/>
              <w:jc w:val="both"/>
              <w:textAlignment w:val="auto"/>
              <w:rPr>
                <w:rFonts w:hint="default" w:ascii="Times New Roman" w:hAnsi="Times New Roman" w:eastAsia="宋体" w:cs="Times New Roman"/>
                <w:b/>
                <w:bCs w:val="0"/>
                <w:spacing w:val="-2"/>
                <w:szCs w:val="21"/>
                <w:highlight w:val="none"/>
                <w:lang w:val="en-US" w:eastAsia="zh-CN"/>
              </w:rPr>
            </w:pPr>
            <w:r>
              <w:rPr>
                <w:rFonts w:hint="eastAsia" w:eastAsia="宋体" w:cs="Times New Roman"/>
                <w:b/>
                <w:bCs w:val="0"/>
                <w:spacing w:val="-2"/>
                <w:szCs w:val="21"/>
                <w:highlight w:val="none"/>
                <w:lang w:val="en-US" w:eastAsia="zh-CN"/>
              </w:rPr>
              <w:t>废水处理工艺流程说明：</w:t>
            </w:r>
          </w:p>
          <w:p w14:paraId="178C38BA">
            <w:pPr>
              <w:pStyle w:val="59"/>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360" w:lineRule="auto"/>
              <w:ind w:left="0" w:right="0" w:firstLine="472" w:firstLineChars="200"/>
              <w:jc w:val="both"/>
              <w:textAlignment w:val="auto"/>
              <w:rPr>
                <w:rFonts w:hint="default" w:ascii="Times New Roman" w:hAnsi="Times New Roman" w:eastAsia="宋体" w:cs="Times New Roman"/>
                <w:b w:val="0"/>
                <w:bCs/>
                <w:spacing w:val="-2"/>
                <w:szCs w:val="21"/>
                <w:highlight w:val="none"/>
                <w:lang w:val="en-US" w:eastAsia="zh-CN"/>
              </w:rPr>
            </w:pPr>
            <w:r>
              <w:rPr>
                <w:rFonts w:hint="eastAsia" w:eastAsia="宋体" w:cs="Times New Roman"/>
                <w:b w:val="0"/>
                <w:bCs/>
                <w:spacing w:val="-2"/>
                <w:szCs w:val="21"/>
                <w:highlight w:val="none"/>
                <w:lang w:val="en-US" w:eastAsia="zh-CN"/>
              </w:rPr>
              <w:t>生物实验室废水需先进行灭菌灭活，然后与其他废水一并进入污水处理站。</w:t>
            </w:r>
          </w:p>
          <w:p w14:paraId="700F2473">
            <w:pPr>
              <w:pStyle w:val="59"/>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360" w:lineRule="auto"/>
              <w:ind w:left="0" w:right="0" w:firstLine="472" w:firstLineChars="200"/>
              <w:jc w:val="both"/>
              <w:textAlignment w:val="auto"/>
              <w:rPr>
                <w:rFonts w:hint="default" w:ascii="Times New Roman" w:hAnsi="Times New Roman" w:eastAsia="宋体" w:cs="Times New Roman"/>
                <w:b w:val="0"/>
                <w:bCs/>
                <w:spacing w:val="-2"/>
                <w:szCs w:val="21"/>
                <w:highlight w:val="none"/>
                <w:lang w:val="en-US" w:eastAsia="zh-CN"/>
              </w:rPr>
            </w:pPr>
            <w:r>
              <w:rPr>
                <w:rFonts w:hint="eastAsia" w:ascii="Times New Roman" w:hAnsi="Times New Roman" w:eastAsia="宋体" w:cs="Times New Roman"/>
                <w:b w:val="0"/>
                <w:bCs/>
                <w:spacing w:val="-2"/>
                <w:szCs w:val="21"/>
                <w:highlight w:val="none"/>
                <w:lang w:val="en-US" w:eastAsia="zh-CN"/>
              </w:rPr>
              <w:t>（1）废水经</w:t>
            </w:r>
            <w:r>
              <w:rPr>
                <w:rFonts w:hint="default" w:ascii="Times New Roman" w:hAnsi="Times New Roman" w:eastAsia="宋体" w:cs="Times New Roman"/>
                <w:b w:val="0"/>
                <w:bCs/>
                <w:spacing w:val="-2"/>
                <w:szCs w:val="21"/>
                <w:highlight w:val="none"/>
                <w:lang w:val="en-US" w:eastAsia="zh-CN"/>
              </w:rPr>
              <w:t>收集</w:t>
            </w:r>
            <w:r>
              <w:rPr>
                <w:rFonts w:hint="eastAsia" w:ascii="Times New Roman" w:hAnsi="Times New Roman" w:eastAsia="宋体" w:cs="Times New Roman"/>
                <w:b w:val="0"/>
                <w:bCs/>
                <w:spacing w:val="-2"/>
                <w:szCs w:val="21"/>
                <w:highlight w:val="none"/>
                <w:lang w:val="en-US" w:eastAsia="zh-CN"/>
              </w:rPr>
              <w:t>后进入</w:t>
            </w:r>
            <w:r>
              <w:rPr>
                <w:rFonts w:hint="default" w:ascii="Times New Roman" w:hAnsi="Times New Roman" w:eastAsia="宋体" w:cs="Times New Roman"/>
                <w:b w:val="0"/>
                <w:bCs/>
                <w:spacing w:val="-2"/>
                <w:szCs w:val="21"/>
                <w:highlight w:val="none"/>
                <w:lang w:val="en-US" w:eastAsia="zh-CN"/>
              </w:rPr>
              <w:t>人工格栅去除大颗粒杂物，人工格栅定期人工打捞，</w:t>
            </w:r>
            <w:r>
              <w:rPr>
                <w:rFonts w:hint="eastAsia" w:ascii="Times New Roman" w:hAnsi="Times New Roman" w:eastAsia="宋体" w:cs="Times New Roman"/>
                <w:b w:val="0"/>
                <w:bCs/>
                <w:spacing w:val="-2"/>
                <w:szCs w:val="21"/>
                <w:highlight w:val="none"/>
                <w:lang w:val="en-US" w:eastAsia="zh-CN"/>
              </w:rPr>
              <w:t>再自流入集水池，集水</w:t>
            </w:r>
            <w:r>
              <w:rPr>
                <w:rFonts w:hint="default" w:ascii="Times New Roman" w:hAnsi="Times New Roman" w:eastAsia="宋体" w:cs="Times New Roman"/>
                <w:b w:val="0"/>
                <w:bCs/>
                <w:spacing w:val="-2"/>
                <w:szCs w:val="21"/>
                <w:highlight w:val="none"/>
                <w:lang w:val="en-US" w:eastAsia="zh-CN"/>
              </w:rPr>
              <w:t>池</w:t>
            </w:r>
            <w:r>
              <w:rPr>
                <w:rFonts w:hint="eastAsia" w:ascii="Times New Roman" w:hAnsi="Times New Roman" w:eastAsia="宋体" w:cs="Times New Roman"/>
                <w:b w:val="0"/>
                <w:bCs/>
                <w:spacing w:val="-2"/>
                <w:szCs w:val="21"/>
                <w:highlight w:val="none"/>
                <w:lang w:val="en-US" w:eastAsia="zh-CN"/>
              </w:rPr>
              <w:t>设置空气搅拌器，通过</w:t>
            </w:r>
            <w:r>
              <w:rPr>
                <w:rFonts w:hint="default" w:ascii="Times New Roman" w:hAnsi="Times New Roman" w:eastAsia="宋体" w:cs="Times New Roman"/>
                <w:b w:val="0"/>
                <w:bCs/>
                <w:spacing w:val="-2"/>
                <w:szCs w:val="21"/>
                <w:highlight w:val="none"/>
                <w:lang w:val="en-US" w:eastAsia="zh-CN"/>
              </w:rPr>
              <w:t>搅拌</w:t>
            </w:r>
            <w:r>
              <w:rPr>
                <w:rFonts w:hint="eastAsia" w:ascii="Times New Roman" w:hAnsi="Times New Roman" w:eastAsia="宋体" w:cs="Times New Roman"/>
                <w:b w:val="0"/>
                <w:bCs/>
                <w:spacing w:val="-2"/>
                <w:szCs w:val="21"/>
                <w:highlight w:val="none"/>
                <w:lang w:val="en-US" w:eastAsia="zh-CN"/>
              </w:rPr>
              <w:t>作用</w:t>
            </w:r>
            <w:r>
              <w:rPr>
                <w:rFonts w:hint="default" w:ascii="Times New Roman" w:hAnsi="Times New Roman" w:eastAsia="宋体" w:cs="Times New Roman"/>
                <w:b w:val="0"/>
                <w:bCs/>
                <w:spacing w:val="-2"/>
                <w:szCs w:val="21"/>
                <w:highlight w:val="none"/>
                <w:lang w:val="en-US" w:eastAsia="zh-CN"/>
              </w:rPr>
              <w:t>对废水进行水质水量的均匀调节</w:t>
            </w:r>
            <w:r>
              <w:rPr>
                <w:rFonts w:hint="eastAsia" w:ascii="Times New Roman" w:hAnsi="Times New Roman" w:eastAsia="宋体" w:cs="Times New Roman"/>
                <w:b w:val="0"/>
                <w:bCs/>
                <w:spacing w:val="-2"/>
                <w:szCs w:val="21"/>
                <w:highlight w:val="none"/>
                <w:lang w:val="en-US" w:eastAsia="zh-CN"/>
              </w:rPr>
              <w:t>。</w:t>
            </w:r>
          </w:p>
          <w:p w14:paraId="1A841A0D">
            <w:pPr>
              <w:pStyle w:val="59"/>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360" w:lineRule="auto"/>
              <w:ind w:left="0" w:right="0" w:firstLine="472" w:firstLineChars="200"/>
              <w:jc w:val="both"/>
              <w:textAlignment w:val="auto"/>
              <w:rPr>
                <w:rFonts w:hint="default" w:ascii="Times New Roman" w:hAnsi="Times New Roman" w:eastAsia="宋体" w:cs="Times New Roman"/>
                <w:b w:val="0"/>
                <w:bCs/>
                <w:spacing w:val="-2"/>
                <w:szCs w:val="21"/>
                <w:highlight w:val="none"/>
                <w:lang w:val="en-US" w:eastAsia="zh-CN"/>
              </w:rPr>
            </w:pPr>
            <w:r>
              <w:rPr>
                <w:rFonts w:hint="eastAsia" w:eastAsia="宋体" w:cs="Times New Roman"/>
                <w:b w:val="0"/>
                <w:bCs/>
                <w:spacing w:val="-2"/>
                <w:szCs w:val="21"/>
                <w:highlight w:val="none"/>
                <w:lang w:val="en-US" w:eastAsia="zh-CN"/>
              </w:rPr>
              <w:t>（2）</w:t>
            </w:r>
            <w:r>
              <w:rPr>
                <w:rFonts w:hint="eastAsia" w:ascii="Times New Roman" w:hAnsi="Times New Roman" w:eastAsia="宋体" w:cs="Times New Roman"/>
                <w:b w:val="0"/>
                <w:bCs/>
                <w:spacing w:val="-2"/>
                <w:szCs w:val="21"/>
                <w:highlight w:val="none"/>
                <w:lang w:val="en-US" w:eastAsia="zh-CN"/>
              </w:rPr>
              <w:t>废水通过废水提升泵打入中和池，废水在中和池内投加液碱调整废水</w:t>
            </w:r>
            <w:r>
              <w:rPr>
                <w:rFonts w:hint="eastAsia" w:eastAsia="宋体" w:cs="Times New Roman"/>
                <w:b w:val="0"/>
                <w:bCs/>
                <w:spacing w:val="-2"/>
                <w:szCs w:val="21"/>
                <w:highlight w:val="none"/>
                <w:lang w:val="en-US" w:eastAsia="zh-CN"/>
              </w:rPr>
              <w:t>pH</w:t>
            </w:r>
            <w:r>
              <w:rPr>
                <w:rFonts w:hint="eastAsia" w:ascii="Times New Roman" w:hAnsi="Times New Roman" w:eastAsia="宋体" w:cs="Times New Roman"/>
                <w:b w:val="0"/>
                <w:bCs/>
                <w:spacing w:val="-2"/>
                <w:szCs w:val="21"/>
                <w:highlight w:val="none"/>
                <w:lang w:val="en-US" w:eastAsia="zh-CN"/>
              </w:rPr>
              <w:t>至7~9后，进入后续反应池。</w:t>
            </w:r>
          </w:p>
          <w:p w14:paraId="49436570">
            <w:pPr>
              <w:pStyle w:val="59"/>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360" w:lineRule="auto"/>
              <w:ind w:left="0" w:right="0" w:firstLine="472" w:firstLineChars="200"/>
              <w:jc w:val="both"/>
              <w:textAlignment w:val="auto"/>
              <w:rPr>
                <w:rFonts w:hint="default" w:ascii="Times New Roman" w:hAnsi="Times New Roman" w:eastAsia="宋体" w:cs="Times New Roman"/>
                <w:b w:val="0"/>
                <w:bCs/>
                <w:spacing w:val="-2"/>
                <w:szCs w:val="21"/>
                <w:highlight w:val="none"/>
                <w:lang w:val="en-US" w:eastAsia="zh-CN"/>
              </w:rPr>
            </w:pPr>
            <w:r>
              <w:rPr>
                <w:rFonts w:hint="eastAsia" w:eastAsia="宋体" w:cs="Times New Roman"/>
                <w:b w:val="0"/>
                <w:bCs/>
                <w:spacing w:val="-2"/>
                <w:szCs w:val="21"/>
                <w:highlight w:val="none"/>
                <w:lang w:val="en-US" w:eastAsia="zh-CN"/>
              </w:rPr>
              <w:t>（3）</w:t>
            </w:r>
            <w:r>
              <w:rPr>
                <w:rFonts w:hint="eastAsia" w:ascii="Times New Roman" w:hAnsi="Times New Roman" w:eastAsia="宋体" w:cs="Times New Roman"/>
                <w:b w:val="0"/>
                <w:bCs/>
                <w:spacing w:val="-2"/>
                <w:szCs w:val="21"/>
                <w:highlight w:val="none"/>
                <w:lang w:val="en-US" w:eastAsia="zh-CN"/>
              </w:rPr>
              <w:t>废水在反应池内依次投加混凝反应池</w:t>
            </w:r>
            <w:r>
              <w:rPr>
                <w:rFonts w:hint="default" w:ascii="Times New Roman" w:hAnsi="Times New Roman" w:eastAsia="宋体" w:cs="Times New Roman"/>
                <w:b w:val="0"/>
                <w:bCs/>
                <w:spacing w:val="-2"/>
                <w:szCs w:val="21"/>
                <w:highlight w:val="none"/>
                <w:lang w:val="en-US" w:eastAsia="zh-CN"/>
              </w:rPr>
              <w:t>PAC、PAM，充分反应后进入</w:t>
            </w:r>
            <w:r>
              <w:rPr>
                <w:rFonts w:hint="eastAsia" w:ascii="Times New Roman" w:hAnsi="Times New Roman" w:eastAsia="宋体" w:cs="Times New Roman"/>
                <w:b w:val="0"/>
                <w:bCs/>
                <w:spacing w:val="-2"/>
                <w:szCs w:val="21"/>
                <w:highlight w:val="none"/>
                <w:lang w:val="en-US" w:eastAsia="zh-CN"/>
              </w:rPr>
              <w:t>沉淀池沉淀</w:t>
            </w:r>
            <w:r>
              <w:rPr>
                <w:rFonts w:hint="default" w:ascii="Times New Roman" w:hAnsi="Times New Roman" w:eastAsia="宋体" w:cs="Times New Roman"/>
                <w:b w:val="0"/>
                <w:bCs/>
                <w:spacing w:val="-2"/>
                <w:szCs w:val="21"/>
                <w:highlight w:val="none"/>
                <w:lang w:val="en-US" w:eastAsia="zh-CN"/>
              </w:rPr>
              <w:t>区进行泥水分离，</w:t>
            </w:r>
            <w:r>
              <w:rPr>
                <w:rFonts w:hint="eastAsia" w:ascii="Times New Roman" w:hAnsi="Times New Roman" w:eastAsia="宋体" w:cs="Times New Roman"/>
                <w:b w:val="0"/>
                <w:bCs/>
                <w:spacing w:val="-2"/>
                <w:szCs w:val="21"/>
                <w:highlight w:val="none"/>
                <w:lang w:val="en-US" w:eastAsia="zh-CN"/>
              </w:rPr>
              <w:t>沉渣</w:t>
            </w:r>
            <w:r>
              <w:rPr>
                <w:rFonts w:hint="default" w:ascii="Times New Roman" w:hAnsi="Times New Roman" w:eastAsia="宋体" w:cs="Times New Roman"/>
                <w:b w:val="0"/>
                <w:bCs/>
                <w:spacing w:val="-2"/>
                <w:szCs w:val="21"/>
                <w:highlight w:val="none"/>
                <w:lang w:val="en-US" w:eastAsia="zh-CN"/>
              </w:rPr>
              <w:t>进入污泥池，上清液</w:t>
            </w:r>
            <w:r>
              <w:rPr>
                <w:rFonts w:hint="eastAsia" w:ascii="Times New Roman" w:hAnsi="Times New Roman" w:eastAsia="宋体" w:cs="Times New Roman"/>
                <w:b w:val="0"/>
                <w:bCs/>
                <w:spacing w:val="-2"/>
                <w:szCs w:val="21"/>
                <w:highlight w:val="none"/>
                <w:lang w:val="en-US" w:eastAsia="zh-CN"/>
              </w:rPr>
              <w:t>进入水解酸化池。</w:t>
            </w:r>
          </w:p>
          <w:p w14:paraId="18DE6681">
            <w:pPr>
              <w:pStyle w:val="59"/>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360" w:lineRule="auto"/>
              <w:ind w:left="0" w:right="0" w:firstLine="472" w:firstLineChars="200"/>
              <w:jc w:val="both"/>
              <w:textAlignment w:val="auto"/>
              <w:rPr>
                <w:rFonts w:hint="default" w:ascii="Times New Roman" w:hAnsi="Times New Roman" w:eastAsia="宋体" w:cs="Times New Roman"/>
                <w:b w:val="0"/>
                <w:bCs/>
                <w:spacing w:val="-2"/>
                <w:szCs w:val="21"/>
                <w:highlight w:val="none"/>
                <w:lang w:val="en-US" w:eastAsia="zh-CN"/>
              </w:rPr>
            </w:pPr>
            <w:r>
              <w:rPr>
                <w:rFonts w:hint="eastAsia" w:eastAsia="宋体" w:cs="Times New Roman"/>
                <w:b w:val="0"/>
                <w:bCs/>
                <w:spacing w:val="-2"/>
                <w:szCs w:val="21"/>
                <w:highlight w:val="none"/>
                <w:lang w:val="en-US" w:eastAsia="zh-CN"/>
              </w:rPr>
              <w:t>（4）</w:t>
            </w:r>
            <w:r>
              <w:rPr>
                <w:rFonts w:hint="default" w:ascii="Times New Roman" w:hAnsi="Times New Roman" w:eastAsia="宋体" w:cs="Times New Roman"/>
                <w:b w:val="0"/>
                <w:bCs/>
                <w:spacing w:val="-2"/>
                <w:szCs w:val="21"/>
                <w:highlight w:val="none"/>
                <w:lang w:val="en-US" w:eastAsia="zh-CN"/>
              </w:rPr>
              <w:t>废水在</w:t>
            </w:r>
            <w:r>
              <w:rPr>
                <w:rFonts w:hint="eastAsia" w:ascii="Times New Roman" w:hAnsi="Times New Roman" w:eastAsia="宋体" w:cs="Times New Roman"/>
                <w:b w:val="0"/>
                <w:bCs/>
                <w:spacing w:val="-2"/>
                <w:szCs w:val="21"/>
                <w:highlight w:val="none"/>
                <w:lang w:val="en-US" w:eastAsia="zh-CN"/>
              </w:rPr>
              <w:t>水解</w:t>
            </w:r>
            <w:r>
              <w:rPr>
                <w:rFonts w:hint="default" w:ascii="Times New Roman" w:hAnsi="Times New Roman" w:eastAsia="宋体" w:cs="Times New Roman"/>
                <w:b w:val="0"/>
                <w:bCs/>
                <w:spacing w:val="-2"/>
                <w:szCs w:val="21"/>
                <w:highlight w:val="none"/>
                <w:lang w:val="en-US" w:eastAsia="zh-CN"/>
              </w:rPr>
              <w:t>池内</w:t>
            </w:r>
            <w:r>
              <w:rPr>
                <w:rFonts w:hint="eastAsia" w:ascii="Times New Roman" w:hAnsi="Times New Roman" w:eastAsia="宋体" w:cs="Times New Roman"/>
                <w:b w:val="0"/>
                <w:bCs/>
                <w:spacing w:val="-2"/>
                <w:szCs w:val="21"/>
                <w:highlight w:val="none"/>
                <w:lang w:val="en-US" w:eastAsia="zh-CN"/>
              </w:rPr>
              <w:t>设置空气搅拌装置，</w:t>
            </w:r>
            <w:r>
              <w:rPr>
                <w:rFonts w:hint="default" w:ascii="Times New Roman" w:hAnsi="Times New Roman" w:eastAsia="宋体" w:cs="Times New Roman"/>
                <w:b w:val="0"/>
                <w:bCs/>
                <w:spacing w:val="-2"/>
                <w:szCs w:val="21"/>
                <w:highlight w:val="none"/>
                <w:lang w:val="en-US" w:eastAsia="zh-CN"/>
              </w:rPr>
              <w:t>通过厌氧和兼氧微生物对难降解有机物起到酸化水解作用，将大分子有机物转化为小分子</w:t>
            </w:r>
            <w:r>
              <w:rPr>
                <w:rFonts w:hint="eastAsia" w:ascii="Times New Roman" w:hAnsi="Times New Roman" w:eastAsia="宋体" w:cs="Times New Roman"/>
                <w:b w:val="0"/>
                <w:bCs/>
                <w:spacing w:val="-2"/>
                <w:szCs w:val="21"/>
                <w:highlight w:val="none"/>
                <w:lang w:val="en-US" w:eastAsia="zh-CN"/>
              </w:rPr>
              <w:t>，</w:t>
            </w:r>
            <w:r>
              <w:rPr>
                <w:rFonts w:hint="default" w:ascii="Times New Roman" w:hAnsi="Times New Roman" w:eastAsia="宋体" w:cs="Times New Roman"/>
                <w:b w:val="0"/>
                <w:bCs/>
                <w:spacing w:val="-2"/>
                <w:szCs w:val="21"/>
                <w:highlight w:val="none"/>
                <w:lang w:val="en-US" w:eastAsia="zh-CN"/>
              </w:rPr>
              <w:t>水解—是大分子有机物降解的必经过程，大分子有机物想要被微生物所利用，必须先水解为小分子有机物，这样才能进入细菌细胞内进一步降解。酸化—是有机物降解的提速过程，因为它将水解后的小分子有机物进一步转化为简单的化合物并分泌到细胞外。</w:t>
            </w:r>
            <w:r>
              <w:rPr>
                <w:rFonts w:hint="eastAsia" w:ascii="Times New Roman" w:hAnsi="Times New Roman" w:eastAsia="宋体" w:cs="Times New Roman"/>
                <w:b w:val="0"/>
                <w:bCs/>
                <w:spacing w:val="-2"/>
                <w:szCs w:val="21"/>
                <w:highlight w:val="none"/>
                <w:lang w:val="en-US" w:eastAsia="zh-CN"/>
              </w:rPr>
              <w:t>通过水解池进一步提高废水可生化性</w:t>
            </w:r>
            <w:r>
              <w:rPr>
                <w:rFonts w:hint="default" w:ascii="Times New Roman" w:hAnsi="Times New Roman" w:eastAsia="宋体" w:cs="Times New Roman"/>
                <w:b w:val="0"/>
                <w:bCs/>
                <w:spacing w:val="-2"/>
                <w:szCs w:val="21"/>
                <w:highlight w:val="none"/>
                <w:lang w:val="en-US" w:eastAsia="zh-CN"/>
              </w:rPr>
              <w:t>，</w:t>
            </w:r>
            <w:r>
              <w:rPr>
                <w:rFonts w:hint="eastAsia" w:ascii="Times New Roman" w:hAnsi="Times New Roman" w:eastAsia="宋体" w:cs="Times New Roman"/>
                <w:b w:val="0"/>
                <w:bCs/>
                <w:spacing w:val="-2"/>
                <w:szCs w:val="21"/>
                <w:highlight w:val="none"/>
                <w:lang w:val="en-US" w:eastAsia="zh-CN"/>
              </w:rPr>
              <w:t>水解</w:t>
            </w:r>
            <w:r>
              <w:rPr>
                <w:rFonts w:hint="default" w:ascii="Times New Roman" w:hAnsi="Times New Roman" w:eastAsia="宋体" w:cs="Times New Roman"/>
                <w:b w:val="0"/>
                <w:bCs/>
                <w:spacing w:val="-2"/>
                <w:szCs w:val="21"/>
                <w:highlight w:val="none"/>
                <w:lang w:val="en-US" w:eastAsia="zh-CN"/>
              </w:rPr>
              <w:t>池出水进入</w:t>
            </w:r>
            <w:r>
              <w:rPr>
                <w:rFonts w:hint="eastAsia" w:ascii="Times New Roman" w:hAnsi="Times New Roman" w:eastAsia="宋体" w:cs="Times New Roman"/>
                <w:b w:val="0"/>
                <w:bCs/>
                <w:spacing w:val="-2"/>
                <w:szCs w:val="21"/>
                <w:highlight w:val="none"/>
                <w:lang w:val="en-US" w:eastAsia="zh-CN"/>
              </w:rPr>
              <w:t>接触氧化池</w:t>
            </w:r>
            <w:r>
              <w:rPr>
                <w:rFonts w:hint="default" w:ascii="Times New Roman" w:hAnsi="Times New Roman" w:eastAsia="宋体" w:cs="Times New Roman"/>
                <w:b w:val="0"/>
                <w:bCs/>
                <w:spacing w:val="-2"/>
                <w:szCs w:val="21"/>
                <w:highlight w:val="none"/>
                <w:lang w:val="en-US" w:eastAsia="zh-CN"/>
              </w:rPr>
              <w:t>。</w:t>
            </w:r>
          </w:p>
          <w:p w14:paraId="5C2DE8BE">
            <w:pPr>
              <w:pStyle w:val="59"/>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360" w:lineRule="auto"/>
              <w:ind w:left="0" w:right="0" w:firstLine="472" w:firstLineChars="200"/>
              <w:jc w:val="both"/>
              <w:textAlignment w:val="auto"/>
              <w:rPr>
                <w:rFonts w:hint="default" w:ascii="Times New Roman" w:hAnsi="Times New Roman" w:eastAsia="宋体" w:cs="Times New Roman"/>
                <w:b w:val="0"/>
                <w:bCs/>
                <w:spacing w:val="-2"/>
                <w:szCs w:val="21"/>
                <w:highlight w:val="none"/>
                <w:lang w:val="en-US" w:eastAsia="zh-CN"/>
              </w:rPr>
            </w:pPr>
            <w:r>
              <w:rPr>
                <w:rFonts w:hint="eastAsia" w:eastAsia="宋体" w:cs="Times New Roman"/>
                <w:b w:val="0"/>
                <w:bCs/>
                <w:spacing w:val="-2"/>
                <w:szCs w:val="21"/>
                <w:highlight w:val="none"/>
                <w:lang w:val="en-US" w:eastAsia="zh-CN"/>
              </w:rPr>
              <w:t>（5）</w:t>
            </w:r>
            <w:r>
              <w:rPr>
                <w:rFonts w:hint="default" w:ascii="Times New Roman" w:hAnsi="Times New Roman" w:eastAsia="宋体" w:cs="Times New Roman"/>
                <w:b w:val="0"/>
                <w:bCs/>
                <w:spacing w:val="-2"/>
                <w:szCs w:val="21"/>
                <w:highlight w:val="none"/>
                <w:lang w:val="en-US" w:eastAsia="zh-CN"/>
              </w:rPr>
              <w:t>废水在</w:t>
            </w:r>
            <w:r>
              <w:rPr>
                <w:rFonts w:hint="eastAsia" w:ascii="Times New Roman" w:hAnsi="Times New Roman" w:eastAsia="宋体" w:cs="Times New Roman"/>
                <w:b w:val="0"/>
                <w:bCs/>
                <w:spacing w:val="-2"/>
                <w:szCs w:val="21"/>
                <w:highlight w:val="none"/>
                <w:lang w:val="en-US" w:eastAsia="zh-CN"/>
              </w:rPr>
              <w:t>接触氧化池内通过罗茨风机曝气搅拌，使活性污泥与废水充分混合反应，在</w:t>
            </w:r>
            <w:r>
              <w:rPr>
                <w:rFonts w:hint="default" w:ascii="Times New Roman" w:hAnsi="Times New Roman" w:eastAsia="宋体" w:cs="Times New Roman"/>
                <w:b w:val="0"/>
                <w:bCs/>
                <w:spacing w:val="-2"/>
                <w:szCs w:val="21"/>
                <w:highlight w:val="none"/>
                <w:lang w:val="en-US" w:eastAsia="zh-CN"/>
              </w:rPr>
              <w:t>曝气作用</w:t>
            </w:r>
            <w:r>
              <w:rPr>
                <w:rFonts w:hint="eastAsia" w:ascii="Times New Roman" w:hAnsi="Times New Roman" w:eastAsia="宋体" w:cs="Times New Roman"/>
                <w:b w:val="0"/>
                <w:bCs/>
                <w:spacing w:val="-2"/>
                <w:szCs w:val="21"/>
                <w:highlight w:val="none"/>
                <w:lang w:val="en-US" w:eastAsia="zh-CN"/>
              </w:rPr>
              <w:t>下</w:t>
            </w:r>
            <w:r>
              <w:rPr>
                <w:rFonts w:hint="default" w:ascii="Times New Roman" w:hAnsi="Times New Roman" w:eastAsia="宋体" w:cs="Times New Roman"/>
                <w:b w:val="0"/>
                <w:bCs/>
                <w:spacing w:val="-2"/>
                <w:szCs w:val="21"/>
                <w:highlight w:val="none"/>
                <w:lang w:val="en-US" w:eastAsia="zh-CN"/>
              </w:rPr>
              <w:t>通过</w:t>
            </w:r>
            <w:r>
              <w:rPr>
                <w:rFonts w:hint="eastAsia" w:ascii="Times New Roman" w:hAnsi="Times New Roman" w:eastAsia="宋体" w:cs="Times New Roman"/>
                <w:b w:val="0"/>
                <w:bCs/>
                <w:spacing w:val="-2"/>
                <w:szCs w:val="21"/>
                <w:highlight w:val="none"/>
                <w:lang w:val="en-US" w:eastAsia="zh-CN"/>
              </w:rPr>
              <w:t>好氧</w:t>
            </w:r>
            <w:r>
              <w:rPr>
                <w:rFonts w:hint="default" w:ascii="Times New Roman" w:hAnsi="Times New Roman" w:eastAsia="宋体" w:cs="Times New Roman"/>
                <w:b w:val="0"/>
                <w:bCs/>
                <w:spacing w:val="-2"/>
                <w:szCs w:val="21"/>
                <w:highlight w:val="none"/>
                <w:lang w:val="en-US" w:eastAsia="zh-CN"/>
              </w:rPr>
              <w:t>微生物对有机污染物进行去除，</w:t>
            </w:r>
            <w:r>
              <w:rPr>
                <w:rFonts w:hint="eastAsia" w:ascii="Times New Roman" w:hAnsi="Times New Roman" w:eastAsia="宋体" w:cs="Times New Roman"/>
                <w:b w:val="0"/>
                <w:bCs/>
                <w:spacing w:val="-2"/>
                <w:szCs w:val="21"/>
                <w:highlight w:val="none"/>
                <w:lang w:val="en-US" w:eastAsia="zh-CN"/>
              </w:rPr>
              <w:t>已达到净化废水作用，</w:t>
            </w:r>
            <w:r>
              <w:rPr>
                <w:rFonts w:hint="default" w:ascii="Times New Roman" w:hAnsi="Times New Roman" w:eastAsia="宋体" w:cs="Times New Roman"/>
                <w:b w:val="0"/>
                <w:bCs/>
                <w:spacing w:val="-2"/>
                <w:szCs w:val="21"/>
                <w:highlight w:val="none"/>
                <w:lang w:val="en-US" w:eastAsia="zh-CN"/>
              </w:rPr>
              <w:t>好氧池出水自流入二沉池。</w:t>
            </w:r>
          </w:p>
          <w:p w14:paraId="183D3C52">
            <w:pPr>
              <w:pStyle w:val="59"/>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360" w:lineRule="auto"/>
              <w:ind w:left="0" w:right="0" w:firstLine="472" w:firstLineChars="200"/>
              <w:jc w:val="both"/>
              <w:textAlignment w:val="auto"/>
              <w:rPr>
                <w:rFonts w:hint="default" w:ascii="Times New Roman" w:hAnsi="Times New Roman" w:eastAsia="宋体" w:cs="Times New Roman"/>
                <w:b w:val="0"/>
                <w:bCs/>
                <w:spacing w:val="-2"/>
                <w:szCs w:val="21"/>
                <w:highlight w:val="none"/>
                <w:lang w:val="en-US" w:eastAsia="zh-CN"/>
              </w:rPr>
            </w:pPr>
            <w:r>
              <w:rPr>
                <w:rFonts w:hint="eastAsia" w:eastAsia="宋体" w:cs="Times New Roman"/>
                <w:b w:val="0"/>
                <w:bCs/>
                <w:spacing w:val="-2"/>
                <w:szCs w:val="21"/>
                <w:highlight w:val="none"/>
                <w:lang w:val="en-US" w:eastAsia="zh-CN"/>
              </w:rPr>
              <w:t>（6）</w:t>
            </w:r>
            <w:r>
              <w:rPr>
                <w:rFonts w:hint="default" w:ascii="Times New Roman" w:hAnsi="Times New Roman" w:eastAsia="宋体" w:cs="Times New Roman"/>
                <w:b w:val="0"/>
                <w:bCs/>
                <w:spacing w:val="-2"/>
                <w:szCs w:val="21"/>
                <w:highlight w:val="none"/>
                <w:lang w:val="en-US" w:eastAsia="zh-CN"/>
              </w:rPr>
              <w:t>经过好氧处理后的废水流入二沉池。废水在池内进行重力沉降，沉淀污泥回流至生化池前段，以保持生化系统的污泥浓度</w:t>
            </w:r>
            <w:r>
              <w:rPr>
                <w:rFonts w:hint="eastAsia" w:ascii="Times New Roman" w:hAnsi="Times New Roman" w:eastAsia="宋体" w:cs="Times New Roman"/>
                <w:b w:val="0"/>
                <w:bCs/>
                <w:spacing w:val="-2"/>
                <w:szCs w:val="21"/>
                <w:highlight w:val="none"/>
                <w:lang w:val="en-US" w:eastAsia="zh-CN"/>
              </w:rPr>
              <w:t>，二沉池出水自流入消毒池</w:t>
            </w:r>
            <w:r>
              <w:rPr>
                <w:rFonts w:hint="default" w:ascii="Times New Roman" w:hAnsi="Times New Roman" w:eastAsia="宋体" w:cs="Times New Roman"/>
                <w:b w:val="0"/>
                <w:bCs/>
                <w:spacing w:val="-2"/>
                <w:szCs w:val="21"/>
                <w:highlight w:val="none"/>
                <w:lang w:val="en-US" w:eastAsia="zh-CN"/>
              </w:rPr>
              <w:t>。</w:t>
            </w:r>
          </w:p>
          <w:p w14:paraId="56E59DDC">
            <w:pPr>
              <w:pStyle w:val="59"/>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360" w:lineRule="auto"/>
              <w:ind w:left="0" w:right="0" w:firstLine="472" w:firstLineChars="200"/>
              <w:jc w:val="both"/>
              <w:textAlignment w:val="auto"/>
              <w:rPr>
                <w:rFonts w:hint="default" w:ascii="Times New Roman" w:hAnsi="Times New Roman" w:eastAsia="宋体" w:cs="Times New Roman"/>
                <w:b w:val="0"/>
                <w:bCs/>
                <w:spacing w:val="-2"/>
                <w:szCs w:val="21"/>
                <w:highlight w:val="none"/>
                <w:lang w:val="en-US" w:eastAsia="zh-CN"/>
              </w:rPr>
            </w:pPr>
            <w:r>
              <w:rPr>
                <w:rFonts w:hint="eastAsia" w:eastAsia="宋体" w:cs="Times New Roman"/>
                <w:b w:val="0"/>
                <w:bCs/>
                <w:spacing w:val="-2"/>
                <w:szCs w:val="21"/>
                <w:highlight w:val="none"/>
                <w:lang w:val="en-US" w:eastAsia="zh-CN"/>
              </w:rPr>
              <w:t>（7）</w:t>
            </w:r>
            <w:r>
              <w:rPr>
                <w:rFonts w:hint="eastAsia" w:ascii="Times New Roman" w:hAnsi="Times New Roman" w:eastAsia="宋体" w:cs="Times New Roman"/>
                <w:b w:val="0"/>
                <w:bCs/>
                <w:spacing w:val="-2"/>
                <w:szCs w:val="21"/>
                <w:highlight w:val="none"/>
                <w:lang w:val="en-US" w:eastAsia="zh-CN"/>
              </w:rPr>
              <w:t>消毒池内投加次氯酸钠消毒剂，充分反应后，去除污水中的粪大肠杆菌等病菌，后自流进入外排清水池，由泵抽出。</w:t>
            </w:r>
          </w:p>
          <w:p w14:paraId="03268C30">
            <w:pPr>
              <w:pStyle w:val="59"/>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360" w:lineRule="auto"/>
              <w:ind w:left="0" w:right="0" w:firstLine="472" w:firstLineChars="200"/>
              <w:jc w:val="both"/>
              <w:textAlignment w:val="auto"/>
              <w:rPr>
                <w:rFonts w:hint="default" w:ascii="Times New Roman" w:hAnsi="Times New Roman" w:eastAsia="宋体" w:cs="Times New Roman"/>
                <w:b w:val="0"/>
                <w:bCs/>
                <w:spacing w:val="-2"/>
                <w:szCs w:val="21"/>
                <w:highlight w:val="none"/>
                <w:lang w:val="en-US" w:eastAsia="zh-CN"/>
              </w:rPr>
            </w:pPr>
            <w:r>
              <w:rPr>
                <w:rFonts w:hint="eastAsia" w:eastAsia="宋体" w:cs="Times New Roman"/>
                <w:b w:val="0"/>
                <w:bCs/>
                <w:spacing w:val="-2"/>
                <w:szCs w:val="21"/>
                <w:highlight w:val="none"/>
                <w:lang w:val="en-US" w:eastAsia="zh-CN"/>
              </w:rPr>
              <w:t>（8）</w:t>
            </w:r>
            <w:r>
              <w:rPr>
                <w:rFonts w:hint="default" w:ascii="Times New Roman" w:hAnsi="Times New Roman" w:eastAsia="宋体" w:cs="Times New Roman"/>
                <w:b w:val="0"/>
                <w:bCs/>
                <w:spacing w:val="-2"/>
                <w:szCs w:val="21"/>
                <w:highlight w:val="none"/>
                <w:lang w:val="en-US" w:eastAsia="zh-CN"/>
              </w:rPr>
              <w:t>废水</w:t>
            </w:r>
            <w:r>
              <w:rPr>
                <w:rFonts w:hint="eastAsia" w:ascii="Times New Roman" w:hAnsi="Times New Roman" w:eastAsia="宋体" w:cs="Times New Roman"/>
                <w:b w:val="0"/>
                <w:bCs/>
                <w:spacing w:val="-2"/>
                <w:szCs w:val="21"/>
                <w:highlight w:val="none"/>
                <w:lang w:val="en-US" w:eastAsia="zh-CN"/>
              </w:rPr>
              <w:t>抽出</w:t>
            </w:r>
            <w:r>
              <w:rPr>
                <w:rFonts w:hint="default" w:ascii="Times New Roman" w:hAnsi="Times New Roman" w:eastAsia="宋体" w:cs="Times New Roman"/>
                <w:b w:val="0"/>
                <w:bCs/>
                <w:spacing w:val="-2"/>
                <w:szCs w:val="21"/>
                <w:highlight w:val="none"/>
                <w:lang w:val="en-US" w:eastAsia="zh-CN"/>
              </w:rPr>
              <w:t>经排放口</w:t>
            </w:r>
            <w:r>
              <w:rPr>
                <w:rFonts w:hint="eastAsia" w:ascii="Times New Roman" w:hAnsi="Times New Roman" w:eastAsia="宋体" w:cs="Times New Roman"/>
                <w:b w:val="0"/>
                <w:bCs/>
                <w:spacing w:val="-2"/>
                <w:szCs w:val="21"/>
                <w:highlight w:val="none"/>
                <w:lang w:val="en-US" w:eastAsia="zh-CN"/>
              </w:rPr>
              <w:t>，最后</w:t>
            </w:r>
            <w:r>
              <w:rPr>
                <w:rFonts w:hint="default" w:ascii="Times New Roman" w:hAnsi="Times New Roman" w:eastAsia="宋体" w:cs="Times New Roman"/>
                <w:b w:val="0"/>
                <w:bCs/>
                <w:spacing w:val="-2"/>
                <w:szCs w:val="21"/>
                <w:highlight w:val="none"/>
                <w:lang w:val="en-US" w:eastAsia="zh-CN"/>
              </w:rPr>
              <w:t>达标纳管排放</w:t>
            </w:r>
            <w:r>
              <w:rPr>
                <w:rFonts w:hint="eastAsia" w:ascii="Times New Roman" w:hAnsi="Times New Roman" w:eastAsia="宋体" w:cs="Times New Roman"/>
                <w:b w:val="0"/>
                <w:bCs/>
                <w:spacing w:val="-2"/>
                <w:szCs w:val="21"/>
                <w:highlight w:val="none"/>
                <w:lang w:val="en-US" w:eastAsia="zh-CN"/>
              </w:rPr>
              <w:t>。</w:t>
            </w:r>
          </w:p>
          <w:p w14:paraId="64FCC3EF">
            <w:pPr>
              <w:pStyle w:val="59"/>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360" w:lineRule="auto"/>
              <w:ind w:left="0" w:right="0" w:firstLine="474" w:firstLineChars="200"/>
              <w:jc w:val="both"/>
              <w:textAlignment w:val="auto"/>
              <w:rPr>
                <w:rFonts w:hint="eastAsia" w:ascii="Times New Roman" w:hAnsi="Times New Roman" w:eastAsia="宋体" w:cs="Times New Roman"/>
                <w:b/>
                <w:bCs w:val="0"/>
                <w:spacing w:val="-2"/>
                <w:szCs w:val="21"/>
                <w:highlight w:val="none"/>
                <w:lang w:val="en-US" w:eastAsia="zh-CN"/>
              </w:rPr>
            </w:pPr>
            <w:r>
              <w:rPr>
                <w:rFonts w:hint="eastAsia" w:ascii="Times New Roman" w:hAnsi="Times New Roman" w:eastAsia="宋体" w:cs="Times New Roman"/>
                <w:b/>
                <w:bCs w:val="0"/>
                <w:spacing w:val="-2"/>
                <w:szCs w:val="21"/>
                <w:highlight w:val="none"/>
                <w:lang w:val="en-US" w:eastAsia="zh-CN"/>
              </w:rPr>
              <w:t>污泥处理</w:t>
            </w:r>
            <w:r>
              <w:rPr>
                <w:rFonts w:hint="eastAsia" w:eastAsia="宋体" w:cs="Times New Roman"/>
                <w:b/>
                <w:bCs w:val="0"/>
                <w:spacing w:val="-2"/>
                <w:szCs w:val="21"/>
                <w:highlight w:val="none"/>
                <w:lang w:val="en-US" w:eastAsia="zh-CN"/>
              </w:rPr>
              <w:t>工艺</w:t>
            </w:r>
            <w:r>
              <w:rPr>
                <w:rFonts w:hint="eastAsia" w:ascii="Times New Roman" w:hAnsi="Times New Roman" w:eastAsia="宋体" w:cs="Times New Roman"/>
                <w:b/>
                <w:bCs w:val="0"/>
                <w:spacing w:val="-2"/>
                <w:szCs w:val="21"/>
                <w:highlight w:val="none"/>
                <w:lang w:val="en-US" w:eastAsia="zh-CN"/>
              </w:rPr>
              <w:t>流程说明：</w:t>
            </w:r>
          </w:p>
          <w:p w14:paraId="23CD3CA1">
            <w:pPr>
              <w:pStyle w:val="59"/>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360" w:lineRule="auto"/>
              <w:ind w:left="0" w:right="0" w:firstLine="472" w:firstLineChars="200"/>
              <w:jc w:val="both"/>
              <w:textAlignment w:val="auto"/>
              <w:rPr>
                <w:rFonts w:hint="eastAsia" w:ascii="Times New Roman" w:hAnsi="Times New Roman" w:eastAsia="宋体" w:cs="Times New Roman"/>
                <w:b w:val="0"/>
                <w:bCs/>
                <w:spacing w:val="-2"/>
                <w:szCs w:val="21"/>
                <w:highlight w:val="none"/>
                <w:lang w:val="en-US" w:eastAsia="zh-CN"/>
              </w:rPr>
            </w:pPr>
            <w:r>
              <w:rPr>
                <w:rFonts w:hint="eastAsia" w:ascii="Times New Roman" w:hAnsi="Times New Roman" w:eastAsia="宋体" w:cs="Times New Roman"/>
                <w:b w:val="0"/>
                <w:bCs/>
                <w:spacing w:val="-2"/>
                <w:szCs w:val="21"/>
                <w:highlight w:val="none"/>
                <w:lang w:val="en-US" w:eastAsia="zh-CN"/>
              </w:rPr>
              <w:t>初沉池沉渣以及生化池剩余污泥泵入污泥池，在投加PAM混凝后，污泥由叠螺污泥脱水机压榨后进行泥水分离。滤液自流回集水池进行处理，泥饼收集后交由有资质单位妥善处置</w:t>
            </w:r>
            <w:r>
              <w:rPr>
                <w:rFonts w:hint="eastAsia" w:eastAsia="宋体" w:cs="Times New Roman"/>
                <w:b w:val="0"/>
                <w:bCs/>
                <w:spacing w:val="-2"/>
                <w:szCs w:val="21"/>
                <w:highlight w:val="none"/>
                <w:lang w:val="en-US" w:eastAsia="zh-CN"/>
              </w:rPr>
              <w:t>。</w:t>
            </w:r>
          </w:p>
          <w:p w14:paraId="40B67100">
            <w:pPr>
              <w:keepNext w:val="0"/>
              <w:keepLines w:val="0"/>
              <w:suppressLineNumbers w:val="0"/>
              <w:adjustRightInd w:val="0"/>
              <w:snapToGrid w:val="0"/>
              <w:spacing w:before="0" w:beforeAutospacing="0" w:after="0" w:afterAutospacing="0" w:line="360" w:lineRule="auto"/>
              <w:ind w:left="0" w:right="0" w:firstLine="482" w:firstLineChars="200"/>
              <w:rPr>
                <w:rFonts w:hint="default" w:ascii="Times New Roman" w:hAnsi="Times New Roman" w:eastAsia="宋体" w:cs="Times New Roman"/>
                <w:b/>
                <w:snapToGrid w:val="0"/>
                <w:kern w:val="0"/>
                <w:highlight w:val="none"/>
              </w:rPr>
            </w:pPr>
            <w:r>
              <w:rPr>
                <w:rFonts w:hint="eastAsia" w:ascii="Times New Roman" w:hAnsi="Times New Roman" w:eastAsia="宋体" w:cs="Times New Roman"/>
                <w:b/>
                <w:snapToGrid w:val="0"/>
                <w:kern w:val="0"/>
                <w:highlight w:val="none"/>
              </w:rPr>
              <w:t>（</w:t>
            </w:r>
            <w:r>
              <w:rPr>
                <w:rFonts w:hint="default" w:ascii="Times New Roman" w:hAnsi="Times New Roman" w:eastAsia="宋体" w:cs="Times New Roman"/>
                <w:b/>
                <w:snapToGrid w:val="0"/>
                <w:kern w:val="0"/>
                <w:highlight w:val="none"/>
              </w:rPr>
              <w:t>3</w:t>
            </w:r>
            <w:r>
              <w:rPr>
                <w:rFonts w:hint="eastAsia" w:ascii="Times New Roman" w:hAnsi="Times New Roman" w:eastAsia="宋体" w:cs="Times New Roman"/>
                <w:b/>
                <w:snapToGrid w:val="0"/>
                <w:kern w:val="0"/>
                <w:highlight w:val="none"/>
              </w:rPr>
              <w:t>）依托污水处理设施的环境可行性评价</w:t>
            </w:r>
          </w:p>
          <w:p w14:paraId="6AA5E5FB">
            <w:pPr>
              <w:keepNext w:val="0"/>
              <w:keepLines w:val="0"/>
              <w:suppressLineNumbers w:val="0"/>
              <w:adjustRightInd w:val="0"/>
              <w:snapToGrid w:val="0"/>
              <w:spacing w:before="0" w:beforeAutospacing="0" w:after="0" w:afterAutospacing="0" w:line="360" w:lineRule="auto"/>
              <w:ind w:left="0" w:right="0" w:firstLine="482" w:firstLineChars="200"/>
              <w:rPr>
                <w:rFonts w:hint="default" w:ascii="Times New Roman" w:hAnsi="Times New Roman" w:eastAsia="宋体" w:cs="Times New Roman"/>
                <w:b/>
                <w:snapToGrid w:val="0"/>
                <w:kern w:val="0"/>
                <w:highlight w:val="none"/>
              </w:rPr>
            </w:pPr>
            <w:r>
              <w:rPr>
                <w:rFonts w:hint="default" w:ascii="Times New Roman" w:hAnsi="Times New Roman" w:eastAsia="宋体" w:cs="Times New Roman"/>
                <w:b/>
                <w:snapToGrid w:val="0"/>
                <w:kern w:val="0"/>
                <w:highlight w:val="none"/>
              </w:rPr>
              <w:t>a</w:t>
            </w:r>
            <w:r>
              <w:rPr>
                <w:rFonts w:hint="eastAsia" w:ascii="Times New Roman" w:hAnsi="Times New Roman" w:eastAsia="宋体" w:cs="Times New Roman"/>
                <w:b/>
                <w:snapToGrid w:val="0"/>
                <w:kern w:val="0"/>
                <w:highlight w:val="none"/>
              </w:rPr>
              <w:t>、废水纳管可行性分析</w:t>
            </w:r>
          </w:p>
          <w:p w14:paraId="0FFA9692">
            <w:pPr>
              <w:keepNext w:val="0"/>
              <w:keepLines w:val="0"/>
              <w:pageBreakBefore w:val="0"/>
              <w:suppressLineNumbers w:val="0"/>
              <w:kinsoku/>
              <w:wordWrap/>
              <w:overflowPunct/>
              <w:topLinePunct w:val="0"/>
              <w:autoSpaceDE/>
              <w:autoSpaceDN/>
              <w:bidi w:val="0"/>
              <w:adjustRightInd w:val="0"/>
              <w:snapToGrid w:val="0"/>
              <w:spacing w:before="0" w:beforeAutospacing="0" w:after="0" w:afterAutospacing="0" w:line="348" w:lineRule="auto"/>
              <w:ind w:left="0" w:right="0" w:firstLine="480" w:firstLineChars="200"/>
              <w:textAlignment w:val="auto"/>
              <w:rPr>
                <w:rFonts w:hint="default" w:ascii="Times New Roman" w:hAnsi="Times New Roman" w:eastAsia="宋体" w:cs="Times New Roman"/>
                <w:bCs/>
                <w:color w:val="auto"/>
                <w:kern w:val="0"/>
                <w:highlight w:val="none"/>
              </w:rPr>
            </w:pPr>
            <w:r>
              <w:rPr>
                <w:rFonts w:hint="eastAsia" w:ascii="Times New Roman" w:hAnsi="Times New Roman" w:eastAsia="宋体" w:cs="Times New Roman"/>
                <w:color w:val="auto"/>
                <w:kern w:val="0"/>
                <w:highlight w:val="none"/>
              </w:rPr>
              <w:t>本</w:t>
            </w:r>
            <w:r>
              <w:rPr>
                <w:rFonts w:hint="eastAsia" w:ascii="Times New Roman" w:hAnsi="Times New Roman" w:eastAsia="宋体" w:cs="Times New Roman"/>
                <w:color w:val="auto"/>
                <w:kern w:val="0"/>
                <w:highlight w:val="none"/>
                <w:lang w:val="en-US" w:eastAsia="zh-CN"/>
              </w:rPr>
              <w:t>项目</w:t>
            </w:r>
            <w:r>
              <w:rPr>
                <w:rFonts w:hint="eastAsia" w:ascii="Times New Roman" w:hAnsi="Times New Roman" w:eastAsia="宋体" w:cs="Times New Roman"/>
                <w:color w:val="auto"/>
                <w:kern w:val="0"/>
                <w:highlight w:val="none"/>
              </w:rPr>
              <w:t>位于</w:t>
            </w:r>
            <w:r>
              <w:rPr>
                <w:rFonts w:hint="eastAsia" w:ascii="Times New Roman" w:hAnsi="Times New Roman" w:eastAsia="宋体" w:cs="Times New Roman"/>
                <w:color w:val="auto"/>
                <w:kern w:val="0"/>
                <w:highlight w:val="none"/>
                <w:lang w:val="en-US" w:eastAsia="zh-CN"/>
              </w:rPr>
              <w:t>衢州市高铁新城闽江大道以南、龙游路以西、常山港以北</w:t>
            </w:r>
            <w:r>
              <w:rPr>
                <w:rFonts w:hint="eastAsia" w:ascii="Times New Roman" w:hAnsi="Times New Roman" w:eastAsia="宋体" w:cs="Times New Roman"/>
                <w:bCs/>
                <w:color w:val="auto"/>
                <w:kern w:val="0"/>
                <w:sz w:val="24"/>
                <w:szCs w:val="24"/>
                <w:highlight w:val="none"/>
              </w:rPr>
              <w:t>，根据</w:t>
            </w:r>
            <w:r>
              <w:rPr>
                <w:rFonts w:hint="eastAsia" w:ascii="Times New Roman" w:hAnsi="Times New Roman" w:eastAsia="宋体" w:cs="Times New Roman"/>
                <w:bCs/>
                <w:color w:val="auto"/>
                <w:kern w:val="0"/>
                <w:highlight w:val="none"/>
              </w:rPr>
              <w:t>现场踏勘，所在区域管网已接通，具备废水纳管条件，最终由</w:t>
            </w:r>
            <w:r>
              <w:rPr>
                <w:rFonts w:hint="eastAsia" w:ascii="Times New Roman" w:hAnsi="Times New Roman" w:eastAsia="宋体" w:cs="Times New Roman"/>
                <w:color w:val="auto"/>
                <w:kern w:val="0"/>
                <w:highlight w:val="none"/>
              </w:rPr>
              <w:t>高铁新城再生水厂</w:t>
            </w:r>
            <w:r>
              <w:rPr>
                <w:rFonts w:hint="eastAsia" w:ascii="Times New Roman" w:hAnsi="Times New Roman" w:eastAsia="宋体" w:cs="Times New Roman"/>
                <w:bCs/>
                <w:color w:val="auto"/>
                <w:kern w:val="0"/>
                <w:highlight w:val="none"/>
              </w:rPr>
              <w:t>集中处理达标后</w:t>
            </w:r>
            <w:r>
              <w:rPr>
                <w:rFonts w:hint="eastAsia" w:ascii="Times New Roman" w:hAnsi="Times New Roman" w:eastAsia="宋体" w:cs="Times New Roman"/>
                <w:bCs/>
                <w:color w:val="auto"/>
                <w:kern w:val="0"/>
                <w:highlight w:val="none"/>
                <w:lang w:val="en-US" w:eastAsia="zh-CN"/>
              </w:rPr>
              <w:t>排入</w:t>
            </w:r>
            <w:r>
              <w:rPr>
                <w:rFonts w:hint="eastAsia" w:ascii="Times New Roman" w:hAnsi="Times New Roman" w:eastAsia="宋体" w:cs="Times New Roman"/>
                <w:highlight w:val="none"/>
              </w:rPr>
              <w:t>衢州市高铁新城水环境治理项目—湿地工程</w:t>
            </w:r>
            <w:r>
              <w:rPr>
                <w:rFonts w:hint="eastAsia" w:ascii="Times New Roman" w:hAnsi="Times New Roman" w:eastAsia="宋体" w:cs="Times New Roman"/>
                <w:highlight w:val="none"/>
                <w:lang w:eastAsia="zh-CN"/>
              </w:rPr>
              <w:t>，</w:t>
            </w:r>
            <w:r>
              <w:rPr>
                <w:rFonts w:hint="eastAsia" w:ascii="Times New Roman" w:hAnsi="Times New Roman" w:eastAsia="宋体" w:cs="Times New Roman"/>
                <w:highlight w:val="none"/>
              </w:rPr>
              <w:t>流入丰收溪，最终汇入常山港</w:t>
            </w:r>
            <w:r>
              <w:rPr>
                <w:rFonts w:hint="eastAsia" w:ascii="Times New Roman" w:hAnsi="Times New Roman" w:eastAsia="宋体" w:cs="Times New Roman"/>
                <w:bCs/>
                <w:color w:val="auto"/>
                <w:kern w:val="0"/>
                <w:highlight w:val="none"/>
              </w:rPr>
              <w:t>。</w:t>
            </w:r>
          </w:p>
          <w:p w14:paraId="19738BB4">
            <w:pPr>
              <w:keepNext w:val="0"/>
              <w:keepLines w:val="0"/>
              <w:suppressLineNumbers w:val="0"/>
              <w:adjustRightInd w:val="0"/>
              <w:snapToGrid w:val="0"/>
              <w:spacing w:before="0" w:beforeAutospacing="0" w:after="0" w:afterAutospacing="0" w:line="360" w:lineRule="auto"/>
              <w:ind w:left="0" w:right="0" w:firstLine="482" w:firstLineChars="200"/>
              <w:rPr>
                <w:rFonts w:hint="default" w:ascii="Times New Roman" w:hAnsi="Times New Roman" w:eastAsia="宋体" w:cs="Times New Roman"/>
                <w:b/>
                <w:snapToGrid w:val="0"/>
                <w:kern w:val="0"/>
                <w:highlight w:val="none"/>
              </w:rPr>
            </w:pPr>
            <w:r>
              <w:rPr>
                <w:rFonts w:hint="default" w:ascii="Times New Roman" w:hAnsi="Times New Roman" w:eastAsia="宋体" w:cs="Times New Roman"/>
                <w:b/>
                <w:snapToGrid w:val="0"/>
                <w:kern w:val="0"/>
                <w:highlight w:val="none"/>
              </w:rPr>
              <w:t>b</w:t>
            </w:r>
            <w:r>
              <w:rPr>
                <w:rFonts w:hint="eastAsia" w:ascii="Times New Roman" w:hAnsi="Times New Roman" w:eastAsia="宋体" w:cs="Times New Roman"/>
                <w:b/>
                <w:snapToGrid w:val="0"/>
                <w:kern w:val="0"/>
                <w:highlight w:val="none"/>
              </w:rPr>
              <w:t>、对依托污水处理设施的环境可行性分析</w:t>
            </w:r>
          </w:p>
          <w:p w14:paraId="3ADEBC4D">
            <w:pPr>
              <w:keepNext w:val="0"/>
              <w:keepLines w:val="0"/>
              <w:suppressLineNumbers w:val="0"/>
              <w:adjustRightInd w:val="0"/>
              <w:snapToGrid w:val="0"/>
              <w:spacing w:before="0" w:beforeAutospacing="0" w:after="0" w:afterAutospacing="0" w:line="360" w:lineRule="auto"/>
              <w:ind w:left="0" w:right="0" w:firstLine="480" w:firstLineChars="200"/>
              <w:rPr>
                <w:rFonts w:hint="default" w:ascii="Times New Roman" w:hAnsi="Times New Roman" w:eastAsia="宋体" w:cs="Times New Roman"/>
                <w:highlight w:val="none"/>
              </w:rPr>
            </w:pPr>
            <w:r>
              <w:rPr>
                <w:rFonts w:hint="eastAsia" w:ascii="Times New Roman" w:hAnsi="Times New Roman" w:eastAsia="宋体" w:cs="Times New Roman"/>
                <w:highlight w:val="none"/>
              </w:rPr>
              <w:t>本项目生产废水纳管后进入高铁新城水环境治理项目—再生水厂工程，再生水厂位于开化路西北侧、石华线东侧、钱江大道南侧，距离本项目西侧约9</w:t>
            </w:r>
            <w:r>
              <w:rPr>
                <w:rFonts w:hint="eastAsia" w:ascii="Times New Roman" w:hAnsi="Times New Roman" w:eastAsia="宋体" w:cs="Times New Roman"/>
                <w:highlight w:val="none"/>
                <w:lang w:val="en-US" w:eastAsia="zh-CN"/>
              </w:rPr>
              <w:t>28</w:t>
            </w:r>
            <w:r>
              <w:rPr>
                <w:rFonts w:hint="eastAsia" w:ascii="Times New Roman" w:hAnsi="Times New Roman" w:eastAsia="宋体" w:cs="Times New Roman"/>
                <w:highlight w:val="none"/>
              </w:rPr>
              <w:t>m。再生水厂设计处理规模</w:t>
            </w:r>
            <w:r>
              <w:rPr>
                <w:rFonts w:hint="default" w:ascii="Times New Roman" w:hAnsi="Times New Roman" w:eastAsia="宋体" w:cs="Times New Roman"/>
                <w:highlight w:val="none"/>
              </w:rPr>
              <w:t>3</w:t>
            </w:r>
            <w:r>
              <w:rPr>
                <w:rFonts w:hint="eastAsia" w:ascii="Times New Roman" w:hAnsi="Times New Roman" w:eastAsia="宋体" w:cs="Times New Roman"/>
                <w:highlight w:val="none"/>
              </w:rPr>
              <w:t>万吨/日（土建一次建成，设备分两期，一期规模为1.5万吨/日），总建筑面积约6142.67m</w:t>
            </w:r>
            <w:r>
              <w:rPr>
                <w:rFonts w:hint="default" w:ascii="Times New Roman" w:hAnsi="Times New Roman" w:eastAsia="宋体" w:cs="Times New Roman"/>
                <w:highlight w:val="none"/>
                <w:vertAlign w:val="superscript"/>
              </w:rPr>
              <w:t>2</w:t>
            </w:r>
            <w:r>
              <w:rPr>
                <w:rFonts w:hint="eastAsia" w:ascii="Times New Roman" w:hAnsi="Times New Roman" w:eastAsia="宋体" w:cs="Times New Roman"/>
                <w:highlight w:val="none"/>
              </w:rPr>
              <w:t>。</w:t>
            </w:r>
            <w:r>
              <w:rPr>
                <w:rFonts w:hint="eastAsia" w:ascii="Times New Roman" w:hAnsi="Times New Roman" w:eastAsia="宋体" w:cs="Times New Roman"/>
                <w:highlight w:val="none"/>
                <w:lang w:eastAsia="zh-CN"/>
              </w:rPr>
              <w:t>再生水厂</w:t>
            </w:r>
            <w:r>
              <w:rPr>
                <w:rFonts w:hint="eastAsia" w:ascii="Times New Roman" w:hAnsi="Times New Roman" w:eastAsia="宋体" w:cs="Times New Roman"/>
                <w:highlight w:val="none"/>
              </w:rPr>
              <w:t>采用“格栅井+预处理+A</w:t>
            </w:r>
            <w:r>
              <w:rPr>
                <w:rFonts w:hint="eastAsia" w:ascii="Times New Roman" w:hAnsi="Times New Roman" w:eastAsia="宋体" w:cs="Times New Roman"/>
                <w:highlight w:val="none"/>
                <w:vertAlign w:val="superscript"/>
              </w:rPr>
              <w:t>2</w:t>
            </w:r>
            <w:r>
              <w:rPr>
                <w:rFonts w:hint="eastAsia" w:ascii="Times New Roman" w:hAnsi="Times New Roman" w:eastAsia="宋体" w:cs="Times New Roman"/>
                <w:highlight w:val="none"/>
              </w:rPr>
              <w:t>/O池+MBR膜池+紫外消毒”工艺处理，出水标准执行《城镇污水处理厂主要水污染物排放标准》（DB33/2169-2018）表2排放限值和</w:t>
            </w:r>
            <w:r>
              <w:rPr>
                <w:rFonts w:hint="default" w:ascii="Times New Roman" w:hAnsi="Times New Roman" w:eastAsia="宋体" w:cs="Times New Roman"/>
                <w:highlight w:val="none"/>
              </w:rPr>
              <w:t>《城镇污水处理厂污染物排放标准》（GB18918-2002）中一级A标准</w:t>
            </w:r>
            <w:r>
              <w:rPr>
                <w:rFonts w:hint="eastAsia" w:ascii="Times New Roman" w:hAnsi="Times New Roman" w:eastAsia="宋体" w:cs="Times New Roman"/>
                <w:highlight w:val="none"/>
              </w:rPr>
              <w:t>，尾水排入衢州市高铁新城水环境治理项目—湿地工程，流入丰收溪，最终汇入常山港。设计进出水水质指标详见下表</w:t>
            </w:r>
            <w:r>
              <w:rPr>
                <w:rFonts w:hint="default" w:ascii="Times New Roman" w:hAnsi="Times New Roman" w:eastAsia="宋体" w:cs="Times New Roman"/>
                <w:highlight w:val="none"/>
              </w:rPr>
              <w:t>4-</w:t>
            </w:r>
            <w:r>
              <w:rPr>
                <w:rFonts w:hint="eastAsia" w:cs="Times New Roman"/>
                <w:highlight w:val="none"/>
                <w:lang w:val="en-US" w:eastAsia="zh-CN"/>
              </w:rPr>
              <w:t>7</w:t>
            </w:r>
            <w:r>
              <w:rPr>
                <w:rFonts w:hint="eastAsia" w:ascii="Times New Roman" w:hAnsi="Times New Roman" w:eastAsia="宋体" w:cs="Times New Roman"/>
                <w:highlight w:val="none"/>
              </w:rPr>
              <w:t>和表</w:t>
            </w:r>
            <w:r>
              <w:rPr>
                <w:rFonts w:hint="default" w:ascii="Times New Roman" w:hAnsi="Times New Roman" w:eastAsia="宋体" w:cs="Times New Roman"/>
                <w:highlight w:val="none"/>
              </w:rPr>
              <w:t>4-</w:t>
            </w:r>
            <w:r>
              <w:rPr>
                <w:rFonts w:hint="eastAsia" w:cs="Times New Roman"/>
                <w:highlight w:val="none"/>
                <w:lang w:val="en-US" w:eastAsia="zh-CN"/>
              </w:rPr>
              <w:t>8</w:t>
            </w:r>
            <w:r>
              <w:rPr>
                <w:rFonts w:hint="eastAsia" w:ascii="Times New Roman" w:hAnsi="Times New Roman" w:eastAsia="宋体" w:cs="Times New Roman"/>
                <w:highlight w:val="none"/>
              </w:rPr>
              <w:t>。</w:t>
            </w:r>
          </w:p>
          <w:p w14:paraId="6F5A32AF">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b/>
                <w:kern w:val="0"/>
                <w:szCs w:val="21"/>
                <w:highlight w:val="none"/>
              </w:rPr>
            </w:pPr>
            <w:r>
              <w:rPr>
                <w:rFonts w:hint="default" w:ascii="Times New Roman" w:hAnsi="Times New Roman" w:eastAsia="宋体" w:cs="Times New Roman"/>
                <w:b/>
                <w:kern w:val="0"/>
                <w:szCs w:val="21"/>
                <w:highlight w:val="none"/>
              </w:rPr>
              <w:t>表4-</w:t>
            </w:r>
            <w:r>
              <w:rPr>
                <w:rFonts w:hint="eastAsia" w:cs="Times New Roman"/>
                <w:b/>
                <w:kern w:val="0"/>
                <w:szCs w:val="21"/>
                <w:highlight w:val="none"/>
                <w:lang w:val="en-US" w:eastAsia="zh-CN"/>
              </w:rPr>
              <w:t>7</w:t>
            </w:r>
            <w:r>
              <w:rPr>
                <w:rFonts w:hint="default" w:ascii="Times New Roman" w:hAnsi="Times New Roman" w:eastAsia="宋体" w:cs="Times New Roman"/>
                <w:b/>
                <w:kern w:val="0"/>
                <w:szCs w:val="21"/>
                <w:highlight w:val="none"/>
              </w:rPr>
              <w:t xml:space="preserve"> 设计进水水质</w:t>
            </w:r>
            <w:r>
              <w:rPr>
                <w:rFonts w:hint="eastAsia" w:ascii="Times New Roman" w:hAnsi="Times New Roman" w:eastAsia="宋体" w:cs="Times New Roman"/>
                <w:b/>
                <w:kern w:val="0"/>
                <w:szCs w:val="21"/>
                <w:highlight w:val="none"/>
              </w:rPr>
              <w:t>指标</w:t>
            </w:r>
          </w:p>
          <w:tbl>
            <w:tblPr>
              <w:tblStyle w:val="32"/>
              <w:tblW w:w="4999" w:type="pct"/>
              <w:jc w:val="cente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
            <w:tblGrid>
              <w:gridCol w:w="1688"/>
              <w:gridCol w:w="2459"/>
              <w:gridCol w:w="1709"/>
              <w:gridCol w:w="2414"/>
            </w:tblGrid>
            <w:tr w14:paraId="6BA49F08">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340" w:hRule="atLeast"/>
                <w:tblHeader/>
                <w:jc w:val="center"/>
              </w:trPr>
              <w:tc>
                <w:tcPr>
                  <w:tcW w:w="1020" w:type="pct"/>
                  <w:noWrap w:val="0"/>
                  <w:vAlign w:val="center"/>
                </w:tcPr>
                <w:p w14:paraId="127E05F9">
                  <w:pPr>
                    <w:keepNext w:val="0"/>
                    <w:keepLines w:val="0"/>
                    <w:suppressLineNumbers w:val="0"/>
                    <w:adjustRightInd w:val="0"/>
                    <w:snapToGrid w:val="0"/>
                    <w:spacing w:before="0" w:beforeAutospacing="0" w:after="0" w:afterAutospacing="0"/>
                    <w:ind w:left="0" w:right="0"/>
                    <w:jc w:val="center"/>
                    <w:rPr>
                      <w:rFonts w:hint="default"/>
                      <w:sz w:val="21"/>
                      <w:szCs w:val="21"/>
                      <w:highlight w:val="none"/>
                    </w:rPr>
                  </w:pPr>
                  <w:r>
                    <w:rPr>
                      <w:rFonts w:hint="default"/>
                      <w:sz w:val="21"/>
                      <w:szCs w:val="21"/>
                      <w:highlight w:val="none"/>
                    </w:rPr>
                    <w:t>污染物名称</w:t>
                  </w:r>
                </w:p>
              </w:tc>
              <w:tc>
                <w:tcPr>
                  <w:tcW w:w="1486" w:type="pct"/>
                  <w:noWrap w:val="0"/>
                  <w:vAlign w:val="center"/>
                </w:tcPr>
                <w:p w14:paraId="693CC18D">
                  <w:pPr>
                    <w:keepNext w:val="0"/>
                    <w:keepLines w:val="0"/>
                    <w:suppressLineNumbers w:val="0"/>
                    <w:adjustRightInd w:val="0"/>
                    <w:snapToGrid w:val="0"/>
                    <w:spacing w:before="0" w:beforeAutospacing="0" w:after="0" w:afterAutospacing="0"/>
                    <w:ind w:left="0" w:right="0"/>
                    <w:jc w:val="center"/>
                    <w:rPr>
                      <w:rFonts w:hint="default"/>
                      <w:sz w:val="21"/>
                      <w:szCs w:val="21"/>
                      <w:highlight w:val="none"/>
                    </w:rPr>
                  </w:pPr>
                  <w:r>
                    <w:rPr>
                      <w:rFonts w:hint="default"/>
                      <w:sz w:val="21"/>
                      <w:szCs w:val="21"/>
                      <w:highlight w:val="none"/>
                    </w:rPr>
                    <w:t>指标</w:t>
                  </w:r>
                </w:p>
              </w:tc>
              <w:tc>
                <w:tcPr>
                  <w:tcW w:w="1033" w:type="pct"/>
                  <w:noWrap w:val="0"/>
                  <w:vAlign w:val="center"/>
                </w:tcPr>
                <w:p w14:paraId="31F4A616">
                  <w:pPr>
                    <w:keepNext w:val="0"/>
                    <w:keepLines w:val="0"/>
                    <w:suppressLineNumbers w:val="0"/>
                    <w:adjustRightInd w:val="0"/>
                    <w:snapToGrid w:val="0"/>
                    <w:spacing w:before="0" w:beforeAutospacing="0" w:after="0" w:afterAutospacing="0"/>
                    <w:ind w:left="0" w:right="0"/>
                    <w:jc w:val="center"/>
                    <w:rPr>
                      <w:rFonts w:hint="default"/>
                      <w:sz w:val="21"/>
                      <w:szCs w:val="21"/>
                      <w:highlight w:val="none"/>
                    </w:rPr>
                  </w:pPr>
                  <w:r>
                    <w:rPr>
                      <w:rFonts w:hint="default"/>
                      <w:sz w:val="21"/>
                      <w:szCs w:val="21"/>
                      <w:highlight w:val="none"/>
                    </w:rPr>
                    <w:t>污染物名称</w:t>
                  </w:r>
                </w:p>
              </w:tc>
              <w:tc>
                <w:tcPr>
                  <w:tcW w:w="1459" w:type="pct"/>
                  <w:noWrap w:val="0"/>
                  <w:vAlign w:val="center"/>
                </w:tcPr>
                <w:p w14:paraId="562C3E23">
                  <w:pPr>
                    <w:keepNext w:val="0"/>
                    <w:keepLines w:val="0"/>
                    <w:suppressLineNumbers w:val="0"/>
                    <w:adjustRightInd w:val="0"/>
                    <w:snapToGrid w:val="0"/>
                    <w:spacing w:before="0" w:beforeAutospacing="0" w:after="0" w:afterAutospacing="0"/>
                    <w:ind w:left="0" w:right="0"/>
                    <w:jc w:val="center"/>
                    <w:rPr>
                      <w:rFonts w:hint="default"/>
                      <w:sz w:val="21"/>
                      <w:szCs w:val="21"/>
                      <w:highlight w:val="none"/>
                    </w:rPr>
                  </w:pPr>
                  <w:r>
                    <w:rPr>
                      <w:rFonts w:hint="default"/>
                      <w:sz w:val="21"/>
                      <w:szCs w:val="21"/>
                      <w:highlight w:val="none"/>
                    </w:rPr>
                    <w:t>指标</w:t>
                  </w:r>
                </w:p>
              </w:tc>
            </w:tr>
            <w:tr w14:paraId="4181056B">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340" w:hRule="atLeast"/>
                <w:jc w:val="center"/>
              </w:trPr>
              <w:tc>
                <w:tcPr>
                  <w:tcW w:w="1020" w:type="pct"/>
                  <w:noWrap w:val="0"/>
                  <w:vAlign w:val="center"/>
                </w:tcPr>
                <w:p w14:paraId="64810872">
                  <w:pPr>
                    <w:keepNext w:val="0"/>
                    <w:keepLines w:val="0"/>
                    <w:suppressLineNumbers w:val="0"/>
                    <w:adjustRightInd w:val="0"/>
                    <w:snapToGrid w:val="0"/>
                    <w:spacing w:before="0" w:beforeAutospacing="0" w:after="0" w:afterAutospacing="0"/>
                    <w:ind w:left="0" w:right="0"/>
                    <w:jc w:val="center"/>
                    <w:rPr>
                      <w:rFonts w:hint="default"/>
                      <w:sz w:val="21"/>
                      <w:szCs w:val="21"/>
                      <w:highlight w:val="none"/>
                    </w:rPr>
                  </w:pPr>
                  <w:r>
                    <w:rPr>
                      <w:rFonts w:hint="default"/>
                      <w:sz w:val="21"/>
                      <w:szCs w:val="21"/>
                      <w:highlight w:val="none"/>
                    </w:rPr>
                    <w:t>COD</w:t>
                  </w:r>
                  <w:r>
                    <w:rPr>
                      <w:rFonts w:hint="default"/>
                      <w:sz w:val="21"/>
                      <w:szCs w:val="21"/>
                      <w:highlight w:val="none"/>
                      <w:vertAlign w:val="subscript"/>
                    </w:rPr>
                    <w:t>Cr</w:t>
                  </w:r>
                </w:p>
              </w:tc>
              <w:tc>
                <w:tcPr>
                  <w:tcW w:w="1486" w:type="pct"/>
                  <w:noWrap w:val="0"/>
                  <w:vAlign w:val="center"/>
                </w:tcPr>
                <w:p w14:paraId="5AFF4543">
                  <w:pPr>
                    <w:keepNext w:val="0"/>
                    <w:keepLines w:val="0"/>
                    <w:suppressLineNumbers w:val="0"/>
                    <w:adjustRightInd w:val="0"/>
                    <w:snapToGrid w:val="0"/>
                    <w:spacing w:before="0" w:beforeAutospacing="0" w:after="0" w:afterAutospacing="0"/>
                    <w:ind w:left="0" w:right="0"/>
                    <w:jc w:val="center"/>
                    <w:rPr>
                      <w:rFonts w:hint="default"/>
                      <w:sz w:val="21"/>
                      <w:szCs w:val="21"/>
                      <w:highlight w:val="none"/>
                    </w:rPr>
                  </w:pPr>
                  <w:r>
                    <w:rPr>
                      <w:rFonts w:hint="default"/>
                      <w:sz w:val="21"/>
                      <w:szCs w:val="21"/>
                      <w:highlight w:val="none"/>
                    </w:rPr>
                    <w:t>≤40</w:t>
                  </w:r>
                  <w:r>
                    <w:rPr>
                      <w:rFonts w:hint="eastAsia"/>
                      <w:sz w:val="21"/>
                      <w:szCs w:val="21"/>
                      <w:highlight w:val="none"/>
                    </w:rPr>
                    <w:t>0</w:t>
                  </w:r>
                  <w:r>
                    <w:rPr>
                      <w:rFonts w:hint="default"/>
                      <w:sz w:val="21"/>
                      <w:szCs w:val="21"/>
                      <w:highlight w:val="none"/>
                    </w:rPr>
                    <w:t>mg/L</w:t>
                  </w:r>
                </w:p>
              </w:tc>
              <w:tc>
                <w:tcPr>
                  <w:tcW w:w="1033" w:type="pct"/>
                  <w:noWrap w:val="0"/>
                  <w:vAlign w:val="center"/>
                </w:tcPr>
                <w:p w14:paraId="66D1FA7B">
                  <w:pPr>
                    <w:keepNext w:val="0"/>
                    <w:keepLines w:val="0"/>
                    <w:suppressLineNumbers w:val="0"/>
                    <w:adjustRightInd w:val="0"/>
                    <w:snapToGrid w:val="0"/>
                    <w:spacing w:before="0" w:beforeAutospacing="0" w:after="0" w:afterAutospacing="0"/>
                    <w:ind w:left="0" w:right="0"/>
                    <w:jc w:val="center"/>
                    <w:rPr>
                      <w:rFonts w:hint="default"/>
                      <w:sz w:val="21"/>
                      <w:szCs w:val="21"/>
                      <w:highlight w:val="none"/>
                    </w:rPr>
                  </w:pPr>
                  <w:r>
                    <w:rPr>
                      <w:rFonts w:hint="default"/>
                      <w:sz w:val="21"/>
                      <w:szCs w:val="21"/>
                      <w:highlight w:val="none"/>
                    </w:rPr>
                    <w:t>TN</w:t>
                  </w:r>
                </w:p>
              </w:tc>
              <w:tc>
                <w:tcPr>
                  <w:tcW w:w="1459" w:type="pct"/>
                  <w:noWrap w:val="0"/>
                  <w:vAlign w:val="center"/>
                </w:tcPr>
                <w:p w14:paraId="0A1FDA80">
                  <w:pPr>
                    <w:keepNext w:val="0"/>
                    <w:keepLines w:val="0"/>
                    <w:suppressLineNumbers w:val="0"/>
                    <w:adjustRightInd w:val="0"/>
                    <w:snapToGrid w:val="0"/>
                    <w:spacing w:before="0" w:beforeAutospacing="0" w:after="0" w:afterAutospacing="0"/>
                    <w:ind w:left="0" w:right="0"/>
                    <w:jc w:val="center"/>
                    <w:rPr>
                      <w:rFonts w:hint="default"/>
                      <w:sz w:val="21"/>
                      <w:szCs w:val="21"/>
                      <w:highlight w:val="none"/>
                    </w:rPr>
                  </w:pPr>
                  <w:r>
                    <w:rPr>
                      <w:rFonts w:hint="default"/>
                      <w:sz w:val="21"/>
                      <w:szCs w:val="21"/>
                      <w:highlight w:val="none"/>
                    </w:rPr>
                    <w:t>≤45mg/L</w:t>
                  </w:r>
                </w:p>
              </w:tc>
            </w:tr>
            <w:tr w14:paraId="232A1C48">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340" w:hRule="atLeast"/>
                <w:jc w:val="center"/>
              </w:trPr>
              <w:tc>
                <w:tcPr>
                  <w:tcW w:w="2593" w:type="dxa"/>
                  <w:noWrap w:val="0"/>
                  <w:vAlign w:val="center"/>
                </w:tcPr>
                <w:p w14:paraId="556C0158">
                  <w:pPr>
                    <w:keepNext w:val="0"/>
                    <w:keepLines w:val="0"/>
                    <w:suppressLineNumbers w:val="0"/>
                    <w:adjustRightInd w:val="0"/>
                    <w:snapToGrid w:val="0"/>
                    <w:spacing w:before="0" w:beforeAutospacing="0" w:after="0" w:afterAutospacing="0"/>
                    <w:ind w:left="0" w:right="0"/>
                    <w:jc w:val="center"/>
                    <w:rPr>
                      <w:rFonts w:hint="default"/>
                      <w:sz w:val="21"/>
                      <w:szCs w:val="21"/>
                      <w:highlight w:val="none"/>
                    </w:rPr>
                  </w:pPr>
                  <w:r>
                    <w:rPr>
                      <w:rFonts w:hint="default"/>
                      <w:sz w:val="21"/>
                      <w:szCs w:val="21"/>
                      <w:highlight w:val="none"/>
                    </w:rPr>
                    <w:t>BOD</w:t>
                  </w:r>
                  <w:r>
                    <w:rPr>
                      <w:rFonts w:hint="default"/>
                      <w:sz w:val="21"/>
                      <w:szCs w:val="21"/>
                      <w:highlight w:val="none"/>
                      <w:vertAlign w:val="subscript"/>
                    </w:rPr>
                    <w:t>5</w:t>
                  </w:r>
                </w:p>
              </w:tc>
              <w:tc>
                <w:tcPr>
                  <w:tcW w:w="3778" w:type="dxa"/>
                  <w:noWrap w:val="0"/>
                  <w:vAlign w:val="center"/>
                </w:tcPr>
                <w:p w14:paraId="5CEC0B92">
                  <w:pPr>
                    <w:keepNext w:val="0"/>
                    <w:keepLines w:val="0"/>
                    <w:suppressLineNumbers w:val="0"/>
                    <w:adjustRightInd w:val="0"/>
                    <w:snapToGrid w:val="0"/>
                    <w:spacing w:before="0" w:beforeAutospacing="0" w:after="0" w:afterAutospacing="0"/>
                    <w:ind w:left="0" w:right="0"/>
                    <w:jc w:val="center"/>
                    <w:rPr>
                      <w:rFonts w:hint="default"/>
                      <w:sz w:val="21"/>
                      <w:szCs w:val="21"/>
                      <w:highlight w:val="none"/>
                    </w:rPr>
                  </w:pPr>
                  <w:r>
                    <w:rPr>
                      <w:rFonts w:hint="default"/>
                      <w:sz w:val="21"/>
                      <w:szCs w:val="21"/>
                      <w:highlight w:val="none"/>
                    </w:rPr>
                    <w:t>≤20</w:t>
                  </w:r>
                  <w:r>
                    <w:rPr>
                      <w:rFonts w:hint="eastAsia"/>
                      <w:sz w:val="21"/>
                      <w:szCs w:val="21"/>
                      <w:highlight w:val="none"/>
                    </w:rPr>
                    <w:t>0</w:t>
                  </w:r>
                  <w:r>
                    <w:rPr>
                      <w:rFonts w:hint="default"/>
                      <w:sz w:val="21"/>
                      <w:szCs w:val="21"/>
                      <w:highlight w:val="none"/>
                    </w:rPr>
                    <w:t xml:space="preserve"> mg/L</w:t>
                  </w:r>
                </w:p>
              </w:tc>
              <w:tc>
                <w:tcPr>
                  <w:tcW w:w="1033" w:type="pct"/>
                  <w:noWrap w:val="0"/>
                  <w:vAlign w:val="center"/>
                </w:tcPr>
                <w:p w14:paraId="41051E1D">
                  <w:pPr>
                    <w:keepNext w:val="0"/>
                    <w:keepLines w:val="0"/>
                    <w:suppressLineNumbers w:val="0"/>
                    <w:adjustRightInd w:val="0"/>
                    <w:snapToGrid w:val="0"/>
                    <w:spacing w:before="0" w:beforeAutospacing="0" w:after="0" w:afterAutospacing="0"/>
                    <w:ind w:left="0" w:right="0"/>
                    <w:jc w:val="center"/>
                    <w:rPr>
                      <w:rFonts w:hint="default" w:eastAsia="宋体"/>
                      <w:sz w:val="21"/>
                      <w:szCs w:val="21"/>
                      <w:highlight w:val="none"/>
                      <w:lang w:val="en-US" w:eastAsia="zh-CN"/>
                    </w:rPr>
                  </w:pPr>
                  <w:r>
                    <w:rPr>
                      <w:rFonts w:hint="eastAsia"/>
                      <w:sz w:val="21"/>
                      <w:szCs w:val="21"/>
                      <w:highlight w:val="none"/>
                      <w:lang w:val="en-US" w:eastAsia="zh-CN"/>
                    </w:rPr>
                    <w:t>TP</w:t>
                  </w:r>
                </w:p>
              </w:tc>
              <w:tc>
                <w:tcPr>
                  <w:tcW w:w="1459" w:type="pct"/>
                  <w:noWrap w:val="0"/>
                  <w:vAlign w:val="center"/>
                </w:tcPr>
                <w:p w14:paraId="7E9F3177">
                  <w:pPr>
                    <w:keepNext w:val="0"/>
                    <w:keepLines w:val="0"/>
                    <w:suppressLineNumbers w:val="0"/>
                    <w:adjustRightInd w:val="0"/>
                    <w:snapToGrid w:val="0"/>
                    <w:spacing w:before="0" w:beforeAutospacing="0" w:after="0" w:afterAutospacing="0"/>
                    <w:ind w:left="0" w:right="0"/>
                    <w:jc w:val="center"/>
                    <w:rPr>
                      <w:rFonts w:hint="default"/>
                      <w:sz w:val="21"/>
                      <w:szCs w:val="21"/>
                      <w:highlight w:val="none"/>
                    </w:rPr>
                  </w:pPr>
                  <w:r>
                    <w:rPr>
                      <w:rFonts w:hint="default"/>
                      <w:sz w:val="21"/>
                      <w:szCs w:val="21"/>
                      <w:highlight w:val="none"/>
                    </w:rPr>
                    <w:t>≤4</w:t>
                  </w:r>
                  <w:r>
                    <w:rPr>
                      <w:rFonts w:hint="eastAsia"/>
                      <w:sz w:val="21"/>
                      <w:szCs w:val="21"/>
                      <w:highlight w:val="none"/>
                      <w:lang w:val="en-US" w:eastAsia="zh-CN"/>
                    </w:rPr>
                    <w:t>.0</w:t>
                  </w:r>
                  <w:r>
                    <w:rPr>
                      <w:rFonts w:hint="default"/>
                      <w:sz w:val="21"/>
                      <w:szCs w:val="21"/>
                      <w:highlight w:val="none"/>
                    </w:rPr>
                    <w:t>mg/L</w:t>
                  </w:r>
                </w:p>
              </w:tc>
            </w:tr>
            <w:tr w14:paraId="2B7A35A4">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340" w:hRule="atLeast"/>
                <w:jc w:val="center"/>
              </w:trPr>
              <w:tc>
                <w:tcPr>
                  <w:tcW w:w="1020" w:type="pct"/>
                  <w:noWrap w:val="0"/>
                  <w:vAlign w:val="center"/>
                </w:tcPr>
                <w:p w14:paraId="36DCF942">
                  <w:pPr>
                    <w:keepNext w:val="0"/>
                    <w:keepLines w:val="0"/>
                    <w:suppressLineNumbers w:val="0"/>
                    <w:adjustRightInd w:val="0"/>
                    <w:snapToGrid w:val="0"/>
                    <w:spacing w:before="0" w:beforeAutospacing="0" w:after="0" w:afterAutospacing="0"/>
                    <w:ind w:left="0" w:right="0"/>
                    <w:jc w:val="center"/>
                    <w:rPr>
                      <w:rFonts w:hint="default"/>
                      <w:sz w:val="21"/>
                      <w:szCs w:val="21"/>
                      <w:highlight w:val="none"/>
                    </w:rPr>
                  </w:pPr>
                  <w:r>
                    <w:rPr>
                      <w:rFonts w:hint="default"/>
                      <w:sz w:val="21"/>
                      <w:szCs w:val="21"/>
                      <w:highlight w:val="none"/>
                    </w:rPr>
                    <w:t>SS</w:t>
                  </w:r>
                </w:p>
              </w:tc>
              <w:tc>
                <w:tcPr>
                  <w:tcW w:w="1486" w:type="pct"/>
                  <w:noWrap w:val="0"/>
                  <w:vAlign w:val="center"/>
                </w:tcPr>
                <w:p w14:paraId="3D6E2FE0">
                  <w:pPr>
                    <w:keepNext w:val="0"/>
                    <w:keepLines w:val="0"/>
                    <w:suppressLineNumbers w:val="0"/>
                    <w:adjustRightInd w:val="0"/>
                    <w:snapToGrid w:val="0"/>
                    <w:spacing w:before="0" w:beforeAutospacing="0" w:after="0" w:afterAutospacing="0"/>
                    <w:ind w:left="0" w:right="0"/>
                    <w:jc w:val="center"/>
                    <w:rPr>
                      <w:rFonts w:hint="default"/>
                      <w:sz w:val="21"/>
                      <w:szCs w:val="21"/>
                      <w:highlight w:val="none"/>
                    </w:rPr>
                  </w:pPr>
                  <w:r>
                    <w:rPr>
                      <w:rFonts w:hint="default"/>
                      <w:sz w:val="21"/>
                      <w:szCs w:val="21"/>
                      <w:highlight w:val="none"/>
                    </w:rPr>
                    <w:t>≤</w:t>
                  </w:r>
                  <w:r>
                    <w:rPr>
                      <w:rFonts w:hint="eastAsia"/>
                      <w:sz w:val="21"/>
                      <w:szCs w:val="21"/>
                      <w:highlight w:val="none"/>
                    </w:rPr>
                    <w:t>2</w:t>
                  </w:r>
                  <w:r>
                    <w:rPr>
                      <w:rFonts w:hint="default"/>
                      <w:sz w:val="21"/>
                      <w:szCs w:val="21"/>
                      <w:highlight w:val="none"/>
                    </w:rPr>
                    <w:t>5</w:t>
                  </w:r>
                  <w:r>
                    <w:rPr>
                      <w:rFonts w:hint="eastAsia"/>
                      <w:sz w:val="21"/>
                      <w:szCs w:val="21"/>
                      <w:highlight w:val="none"/>
                    </w:rPr>
                    <w:t>0</w:t>
                  </w:r>
                  <w:r>
                    <w:rPr>
                      <w:rFonts w:hint="default"/>
                      <w:sz w:val="21"/>
                      <w:szCs w:val="21"/>
                      <w:highlight w:val="none"/>
                    </w:rPr>
                    <w:t>mg/L</w:t>
                  </w:r>
                </w:p>
              </w:tc>
              <w:tc>
                <w:tcPr>
                  <w:tcW w:w="1033" w:type="pct"/>
                  <w:noWrap w:val="0"/>
                  <w:vAlign w:val="center"/>
                </w:tcPr>
                <w:p w14:paraId="21B7FA94">
                  <w:pPr>
                    <w:keepNext w:val="0"/>
                    <w:keepLines w:val="0"/>
                    <w:suppressLineNumbers w:val="0"/>
                    <w:adjustRightInd w:val="0"/>
                    <w:snapToGrid w:val="0"/>
                    <w:spacing w:before="0" w:beforeAutospacing="0" w:after="0" w:afterAutospacing="0"/>
                    <w:ind w:left="0" w:right="0"/>
                    <w:jc w:val="center"/>
                    <w:rPr>
                      <w:rFonts w:hint="default"/>
                      <w:sz w:val="21"/>
                      <w:szCs w:val="21"/>
                      <w:highlight w:val="none"/>
                    </w:rPr>
                  </w:pPr>
                  <w:r>
                    <w:rPr>
                      <w:rFonts w:hint="default"/>
                      <w:sz w:val="21"/>
                      <w:szCs w:val="21"/>
                      <w:highlight w:val="none"/>
                    </w:rPr>
                    <w:t>pH</w:t>
                  </w:r>
                </w:p>
              </w:tc>
              <w:tc>
                <w:tcPr>
                  <w:tcW w:w="1459" w:type="pct"/>
                  <w:noWrap w:val="0"/>
                  <w:vAlign w:val="center"/>
                </w:tcPr>
                <w:p w14:paraId="7DC1AB8D">
                  <w:pPr>
                    <w:keepNext w:val="0"/>
                    <w:keepLines w:val="0"/>
                    <w:suppressLineNumbers w:val="0"/>
                    <w:adjustRightInd w:val="0"/>
                    <w:snapToGrid w:val="0"/>
                    <w:spacing w:before="0" w:beforeAutospacing="0" w:after="0" w:afterAutospacing="0"/>
                    <w:ind w:left="0" w:right="0"/>
                    <w:jc w:val="center"/>
                    <w:rPr>
                      <w:rFonts w:hint="default"/>
                      <w:sz w:val="21"/>
                      <w:szCs w:val="21"/>
                      <w:highlight w:val="none"/>
                    </w:rPr>
                  </w:pPr>
                  <w:r>
                    <w:rPr>
                      <w:rFonts w:hint="default"/>
                      <w:sz w:val="21"/>
                      <w:szCs w:val="21"/>
                      <w:highlight w:val="none"/>
                    </w:rPr>
                    <w:t>6~9</w:t>
                  </w:r>
                </w:p>
              </w:tc>
            </w:tr>
            <w:tr w14:paraId="616D621D">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340" w:hRule="atLeast"/>
                <w:jc w:val="center"/>
              </w:trPr>
              <w:tc>
                <w:tcPr>
                  <w:tcW w:w="1020" w:type="pct"/>
                  <w:noWrap w:val="0"/>
                  <w:vAlign w:val="center"/>
                </w:tcPr>
                <w:p w14:paraId="1586605C">
                  <w:pPr>
                    <w:keepNext w:val="0"/>
                    <w:keepLines w:val="0"/>
                    <w:suppressLineNumbers w:val="0"/>
                    <w:adjustRightInd w:val="0"/>
                    <w:snapToGrid w:val="0"/>
                    <w:spacing w:before="0" w:beforeAutospacing="0" w:after="0" w:afterAutospacing="0"/>
                    <w:ind w:left="0" w:right="0"/>
                    <w:jc w:val="center"/>
                    <w:rPr>
                      <w:rFonts w:hint="default"/>
                      <w:sz w:val="21"/>
                      <w:szCs w:val="21"/>
                      <w:highlight w:val="none"/>
                    </w:rPr>
                  </w:pPr>
                  <w:r>
                    <w:rPr>
                      <w:rFonts w:hint="default"/>
                      <w:sz w:val="21"/>
                      <w:szCs w:val="21"/>
                      <w:highlight w:val="none"/>
                    </w:rPr>
                    <w:t>NH</w:t>
                  </w:r>
                  <w:r>
                    <w:rPr>
                      <w:rFonts w:hint="default"/>
                      <w:sz w:val="21"/>
                      <w:szCs w:val="21"/>
                      <w:highlight w:val="none"/>
                      <w:vertAlign w:val="subscript"/>
                    </w:rPr>
                    <w:t>3</w:t>
                  </w:r>
                  <w:r>
                    <w:rPr>
                      <w:rFonts w:hint="default"/>
                      <w:sz w:val="21"/>
                      <w:szCs w:val="21"/>
                      <w:highlight w:val="none"/>
                    </w:rPr>
                    <w:t>-N</w:t>
                  </w:r>
                </w:p>
              </w:tc>
              <w:tc>
                <w:tcPr>
                  <w:tcW w:w="1486" w:type="pct"/>
                  <w:noWrap w:val="0"/>
                  <w:vAlign w:val="center"/>
                </w:tcPr>
                <w:p w14:paraId="6ACA50B6">
                  <w:pPr>
                    <w:keepNext w:val="0"/>
                    <w:keepLines w:val="0"/>
                    <w:suppressLineNumbers w:val="0"/>
                    <w:adjustRightInd w:val="0"/>
                    <w:snapToGrid w:val="0"/>
                    <w:spacing w:before="0" w:beforeAutospacing="0" w:after="0" w:afterAutospacing="0"/>
                    <w:ind w:left="0" w:right="0"/>
                    <w:jc w:val="center"/>
                    <w:rPr>
                      <w:rFonts w:hint="default"/>
                      <w:sz w:val="21"/>
                      <w:szCs w:val="21"/>
                      <w:highlight w:val="none"/>
                    </w:rPr>
                  </w:pPr>
                  <w:r>
                    <w:rPr>
                      <w:rFonts w:hint="default"/>
                      <w:sz w:val="21"/>
                      <w:szCs w:val="21"/>
                      <w:highlight w:val="none"/>
                    </w:rPr>
                    <w:t>≤3</w:t>
                  </w:r>
                  <w:r>
                    <w:rPr>
                      <w:rFonts w:hint="eastAsia"/>
                      <w:sz w:val="21"/>
                      <w:szCs w:val="21"/>
                      <w:highlight w:val="none"/>
                    </w:rPr>
                    <w:t>5</w:t>
                  </w:r>
                  <w:r>
                    <w:rPr>
                      <w:rFonts w:hint="default"/>
                      <w:sz w:val="21"/>
                      <w:szCs w:val="21"/>
                      <w:highlight w:val="none"/>
                    </w:rPr>
                    <w:t>mg/L</w:t>
                  </w:r>
                </w:p>
              </w:tc>
              <w:tc>
                <w:tcPr>
                  <w:tcW w:w="1033" w:type="pct"/>
                  <w:noWrap w:val="0"/>
                  <w:vAlign w:val="center"/>
                </w:tcPr>
                <w:p w14:paraId="245E9813">
                  <w:pPr>
                    <w:keepNext w:val="0"/>
                    <w:keepLines w:val="0"/>
                    <w:suppressLineNumbers w:val="0"/>
                    <w:adjustRightInd w:val="0"/>
                    <w:snapToGrid w:val="0"/>
                    <w:spacing w:before="0" w:beforeAutospacing="0" w:after="0" w:afterAutospacing="0"/>
                    <w:ind w:left="0" w:right="0"/>
                    <w:jc w:val="center"/>
                    <w:rPr>
                      <w:rFonts w:hint="default"/>
                      <w:sz w:val="21"/>
                      <w:szCs w:val="21"/>
                      <w:highlight w:val="none"/>
                    </w:rPr>
                  </w:pPr>
                  <w:r>
                    <w:rPr>
                      <w:rFonts w:hint="eastAsia"/>
                      <w:sz w:val="21"/>
                      <w:szCs w:val="21"/>
                      <w:highlight w:val="none"/>
                    </w:rPr>
                    <w:t>/</w:t>
                  </w:r>
                </w:p>
              </w:tc>
              <w:tc>
                <w:tcPr>
                  <w:tcW w:w="1459" w:type="pct"/>
                  <w:noWrap w:val="0"/>
                  <w:vAlign w:val="center"/>
                </w:tcPr>
                <w:p w14:paraId="2D787C53">
                  <w:pPr>
                    <w:keepNext w:val="0"/>
                    <w:keepLines w:val="0"/>
                    <w:suppressLineNumbers w:val="0"/>
                    <w:adjustRightInd w:val="0"/>
                    <w:snapToGrid w:val="0"/>
                    <w:spacing w:before="0" w:beforeAutospacing="0" w:after="0" w:afterAutospacing="0"/>
                    <w:ind w:left="0" w:right="0"/>
                    <w:jc w:val="center"/>
                    <w:rPr>
                      <w:rFonts w:hint="default"/>
                      <w:sz w:val="21"/>
                      <w:szCs w:val="21"/>
                      <w:highlight w:val="none"/>
                    </w:rPr>
                  </w:pPr>
                  <w:r>
                    <w:rPr>
                      <w:rFonts w:hint="eastAsia"/>
                      <w:sz w:val="21"/>
                      <w:szCs w:val="21"/>
                      <w:highlight w:val="none"/>
                    </w:rPr>
                    <w:t>/</w:t>
                  </w:r>
                </w:p>
              </w:tc>
            </w:tr>
          </w:tbl>
          <w:p w14:paraId="706EF6D0">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b/>
                <w:szCs w:val="21"/>
                <w:highlight w:val="none"/>
              </w:rPr>
            </w:pPr>
            <w:r>
              <w:rPr>
                <w:rFonts w:hint="eastAsia" w:ascii="Times New Roman" w:hAnsi="Times New Roman" w:eastAsia="宋体" w:cs="Times New Roman"/>
                <w:b/>
                <w:szCs w:val="21"/>
                <w:highlight w:val="none"/>
              </w:rPr>
              <w:t>表</w:t>
            </w:r>
            <w:r>
              <w:rPr>
                <w:rFonts w:hint="default" w:ascii="Times New Roman" w:hAnsi="Times New Roman" w:eastAsia="宋体" w:cs="Times New Roman"/>
                <w:b/>
                <w:szCs w:val="21"/>
                <w:highlight w:val="none"/>
              </w:rPr>
              <w:t>4-</w:t>
            </w:r>
            <w:r>
              <w:rPr>
                <w:rFonts w:hint="eastAsia" w:cs="Times New Roman"/>
                <w:b/>
                <w:szCs w:val="21"/>
                <w:highlight w:val="none"/>
                <w:lang w:val="en-US" w:eastAsia="zh-CN"/>
              </w:rPr>
              <w:t>8</w:t>
            </w:r>
            <w:r>
              <w:rPr>
                <w:rFonts w:hint="eastAsia" w:ascii="Times New Roman" w:hAnsi="Times New Roman" w:eastAsia="宋体" w:cs="Times New Roman"/>
                <w:b/>
                <w:szCs w:val="21"/>
                <w:highlight w:val="none"/>
              </w:rPr>
              <w:t xml:space="preserve"> </w:t>
            </w:r>
            <w:r>
              <w:rPr>
                <w:rFonts w:hint="default" w:ascii="Times New Roman" w:hAnsi="Times New Roman" w:eastAsia="宋体" w:cs="Times New Roman"/>
                <w:b/>
                <w:szCs w:val="21"/>
                <w:highlight w:val="none"/>
              </w:rPr>
              <w:t>设计出水水质指标</w:t>
            </w:r>
          </w:p>
          <w:tbl>
            <w:tblPr>
              <w:tblStyle w:val="32"/>
              <w:tblW w:w="4999" w:type="pct"/>
              <w:jc w:val="cente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
            <w:tblGrid>
              <w:gridCol w:w="1693"/>
              <w:gridCol w:w="2445"/>
              <w:gridCol w:w="1717"/>
              <w:gridCol w:w="2415"/>
            </w:tblGrid>
            <w:tr w14:paraId="1878BFEF">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340" w:hRule="atLeast"/>
                <w:tblHeader/>
                <w:jc w:val="center"/>
              </w:trPr>
              <w:tc>
                <w:tcPr>
                  <w:tcW w:w="1024" w:type="pct"/>
                  <w:vAlign w:val="center"/>
                </w:tcPr>
                <w:p w14:paraId="0B85355E">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sz w:val="21"/>
                      <w:szCs w:val="21"/>
                      <w:highlight w:val="none"/>
                    </w:rPr>
                  </w:pPr>
                  <w:r>
                    <w:rPr>
                      <w:rFonts w:hint="default" w:ascii="Times New Roman" w:hAnsi="Times New Roman" w:eastAsia="宋体" w:cs="Times New Roman"/>
                      <w:sz w:val="21"/>
                      <w:szCs w:val="21"/>
                      <w:highlight w:val="none"/>
                    </w:rPr>
                    <w:t>污染物名称</w:t>
                  </w:r>
                </w:p>
              </w:tc>
              <w:tc>
                <w:tcPr>
                  <w:tcW w:w="1478" w:type="pct"/>
                  <w:vAlign w:val="center"/>
                </w:tcPr>
                <w:p w14:paraId="19C6F422">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sz w:val="21"/>
                      <w:szCs w:val="21"/>
                      <w:highlight w:val="none"/>
                    </w:rPr>
                  </w:pPr>
                  <w:r>
                    <w:rPr>
                      <w:rFonts w:hint="default" w:ascii="Times New Roman" w:hAnsi="Times New Roman" w:eastAsia="宋体" w:cs="Times New Roman"/>
                      <w:sz w:val="21"/>
                      <w:szCs w:val="21"/>
                      <w:highlight w:val="none"/>
                    </w:rPr>
                    <w:t>指标</w:t>
                  </w:r>
                </w:p>
              </w:tc>
              <w:tc>
                <w:tcPr>
                  <w:tcW w:w="1038" w:type="pct"/>
                  <w:vAlign w:val="center"/>
                </w:tcPr>
                <w:p w14:paraId="269DADBC">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sz w:val="21"/>
                      <w:szCs w:val="21"/>
                      <w:highlight w:val="none"/>
                    </w:rPr>
                  </w:pPr>
                  <w:r>
                    <w:rPr>
                      <w:rFonts w:hint="default" w:ascii="Times New Roman" w:hAnsi="Times New Roman" w:eastAsia="宋体" w:cs="Times New Roman"/>
                      <w:sz w:val="21"/>
                      <w:szCs w:val="21"/>
                      <w:highlight w:val="none"/>
                    </w:rPr>
                    <w:t>污染物名称</w:t>
                  </w:r>
                </w:p>
              </w:tc>
              <w:tc>
                <w:tcPr>
                  <w:tcW w:w="1457" w:type="pct"/>
                  <w:vAlign w:val="center"/>
                </w:tcPr>
                <w:p w14:paraId="1BF5CEF2">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sz w:val="21"/>
                      <w:szCs w:val="21"/>
                      <w:highlight w:val="none"/>
                    </w:rPr>
                  </w:pPr>
                  <w:r>
                    <w:rPr>
                      <w:rFonts w:hint="default" w:ascii="Times New Roman" w:hAnsi="Times New Roman" w:eastAsia="宋体" w:cs="Times New Roman"/>
                      <w:sz w:val="21"/>
                      <w:szCs w:val="21"/>
                      <w:highlight w:val="none"/>
                    </w:rPr>
                    <w:t>指标</w:t>
                  </w:r>
                </w:p>
              </w:tc>
            </w:tr>
            <w:tr w14:paraId="69657BA6">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340" w:hRule="atLeast"/>
                <w:jc w:val="center"/>
              </w:trPr>
              <w:tc>
                <w:tcPr>
                  <w:tcW w:w="1024" w:type="pct"/>
                  <w:vAlign w:val="center"/>
                </w:tcPr>
                <w:p w14:paraId="4922C891">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sz w:val="21"/>
                      <w:szCs w:val="21"/>
                      <w:highlight w:val="none"/>
                    </w:rPr>
                  </w:pPr>
                  <w:r>
                    <w:rPr>
                      <w:rFonts w:hint="default" w:ascii="Times New Roman" w:hAnsi="Times New Roman" w:eastAsia="宋体" w:cs="Times New Roman"/>
                      <w:sz w:val="21"/>
                      <w:szCs w:val="21"/>
                      <w:highlight w:val="none"/>
                    </w:rPr>
                    <w:t>COD</w:t>
                  </w:r>
                  <w:r>
                    <w:rPr>
                      <w:rFonts w:hint="default" w:ascii="Times New Roman" w:hAnsi="Times New Roman" w:eastAsia="宋体" w:cs="Times New Roman"/>
                      <w:sz w:val="21"/>
                      <w:szCs w:val="21"/>
                      <w:highlight w:val="none"/>
                      <w:vertAlign w:val="subscript"/>
                    </w:rPr>
                    <w:t>Cr</w:t>
                  </w:r>
                </w:p>
              </w:tc>
              <w:tc>
                <w:tcPr>
                  <w:tcW w:w="1478" w:type="pct"/>
                  <w:vAlign w:val="center"/>
                </w:tcPr>
                <w:p w14:paraId="32E96182">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sz w:val="21"/>
                      <w:szCs w:val="21"/>
                      <w:highlight w:val="none"/>
                    </w:rPr>
                  </w:pPr>
                  <w:r>
                    <w:rPr>
                      <w:rFonts w:hint="eastAsia" w:ascii="Times New Roman" w:hAnsi="Times New Roman" w:eastAsia="宋体" w:cs="Times New Roman"/>
                      <w:sz w:val="21"/>
                      <w:szCs w:val="21"/>
                      <w:highlight w:val="none"/>
                    </w:rPr>
                    <w:t>30</w:t>
                  </w:r>
                  <w:r>
                    <w:rPr>
                      <w:rFonts w:hint="default" w:ascii="Times New Roman" w:hAnsi="Times New Roman" w:eastAsia="宋体" w:cs="Times New Roman"/>
                      <w:sz w:val="21"/>
                      <w:szCs w:val="21"/>
                      <w:highlight w:val="none"/>
                    </w:rPr>
                    <w:t>mg/L</w:t>
                  </w:r>
                </w:p>
              </w:tc>
              <w:tc>
                <w:tcPr>
                  <w:tcW w:w="1038" w:type="pct"/>
                  <w:vAlign w:val="center"/>
                </w:tcPr>
                <w:p w14:paraId="34B78AFC">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sz w:val="21"/>
                      <w:szCs w:val="21"/>
                      <w:highlight w:val="none"/>
                    </w:rPr>
                  </w:pPr>
                  <w:r>
                    <w:rPr>
                      <w:rFonts w:hint="default" w:ascii="Times New Roman" w:hAnsi="Times New Roman" w:eastAsia="宋体" w:cs="Times New Roman"/>
                      <w:sz w:val="21"/>
                      <w:szCs w:val="21"/>
                      <w:highlight w:val="none"/>
                    </w:rPr>
                    <w:t>TN</w:t>
                  </w:r>
                </w:p>
              </w:tc>
              <w:tc>
                <w:tcPr>
                  <w:tcW w:w="1457" w:type="pct"/>
                  <w:vAlign w:val="center"/>
                </w:tcPr>
                <w:p w14:paraId="727C32BA">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sz w:val="21"/>
                      <w:szCs w:val="21"/>
                      <w:highlight w:val="none"/>
                    </w:rPr>
                  </w:pPr>
                  <w:r>
                    <w:rPr>
                      <w:rFonts w:hint="eastAsia" w:ascii="Times New Roman" w:hAnsi="Times New Roman" w:eastAsia="宋体" w:cs="Times New Roman"/>
                      <w:sz w:val="21"/>
                      <w:szCs w:val="21"/>
                      <w:highlight w:val="none"/>
                    </w:rPr>
                    <w:t>10（1</w:t>
                  </w:r>
                  <w:r>
                    <w:rPr>
                      <w:rFonts w:hint="default" w:ascii="Times New Roman" w:hAnsi="Times New Roman" w:eastAsia="宋体" w:cs="Times New Roman"/>
                      <w:sz w:val="21"/>
                      <w:szCs w:val="21"/>
                      <w:highlight w:val="none"/>
                    </w:rPr>
                    <w:t>2</w:t>
                  </w:r>
                  <w:r>
                    <w:rPr>
                      <w:rFonts w:hint="eastAsia" w:ascii="Times New Roman" w:hAnsi="Times New Roman" w:eastAsia="宋体" w:cs="Times New Roman"/>
                      <w:sz w:val="21"/>
                      <w:szCs w:val="21"/>
                      <w:highlight w:val="none"/>
                    </w:rPr>
                    <w:t>）</w:t>
                  </w:r>
                  <w:r>
                    <w:rPr>
                      <w:rFonts w:hint="default" w:ascii="Times New Roman" w:hAnsi="Times New Roman" w:eastAsia="宋体" w:cs="Times New Roman"/>
                      <w:sz w:val="21"/>
                      <w:szCs w:val="21"/>
                      <w:highlight w:val="none"/>
                    </w:rPr>
                    <w:t>mg/L</w:t>
                  </w:r>
                </w:p>
              </w:tc>
            </w:tr>
            <w:tr w14:paraId="684B3639">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340" w:hRule="atLeast"/>
                <w:jc w:val="center"/>
              </w:trPr>
              <w:tc>
                <w:tcPr>
                  <w:tcW w:w="1024" w:type="pct"/>
                  <w:vAlign w:val="center"/>
                </w:tcPr>
                <w:p w14:paraId="56002E18">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sz w:val="21"/>
                      <w:szCs w:val="21"/>
                      <w:highlight w:val="none"/>
                    </w:rPr>
                  </w:pPr>
                  <w:r>
                    <w:rPr>
                      <w:rFonts w:hint="default" w:ascii="Times New Roman" w:hAnsi="Times New Roman" w:eastAsia="宋体" w:cs="Times New Roman"/>
                      <w:sz w:val="21"/>
                      <w:szCs w:val="21"/>
                      <w:highlight w:val="none"/>
                    </w:rPr>
                    <w:t>SS</w:t>
                  </w:r>
                </w:p>
              </w:tc>
              <w:tc>
                <w:tcPr>
                  <w:tcW w:w="1478" w:type="pct"/>
                  <w:vAlign w:val="center"/>
                </w:tcPr>
                <w:p w14:paraId="319AC339">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sz w:val="21"/>
                      <w:szCs w:val="21"/>
                      <w:highlight w:val="none"/>
                    </w:rPr>
                  </w:pPr>
                  <w:r>
                    <w:rPr>
                      <w:rFonts w:hint="eastAsia" w:ascii="Times New Roman" w:hAnsi="Times New Roman" w:eastAsia="宋体" w:cs="Times New Roman"/>
                      <w:sz w:val="21"/>
                      <w:szCs w:val="21"/>
                      <w:highlight w:val="none"/>
                    </w:rPr>
                    <w:t>10</w:t>
                  </w:r>
                  <w:r>
                    <w:rPr>
                      <w:rFonts w:hint="default" w:ascii="Times New Roman" w:hAnsi="Times New Roman" w:eastAsia="宋体" w:cs="Times New Roman"/>
                      <w:sz w:val="21"/>
                      <w:szCs w:val="21"/>
                      <w:highlight w:val="none"/>
                    </w:rPr>
                    <w:t>mg/L</w:t>
                  </w:r>
                </w:p>
              </w:tc>
              <w:tc>
                <w:tcPr>
                  <w:tcW w:w="1038" w:type="pct"/>
                  <w:vAlign w:val="center"/>
                </w:tcPr>
                <w:p w14:paraId="002DFF27">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sz w:val="21"/>
                      <w:szCs w:val="21"/>
                      <w:highlight w:val="none"/>
                    </w:rPr>
                  </w:pPr>
                  <w:r>
                    <w:rPr>
                      <w:rFonts w:hint="default" w:ascii="Times New Roman" w:hAnsi="Times New Roman" w:eastAsia="宋体" w:cs="Times New Roman"/>
                      <w:sz w:val="21"/>
                      <w:szCs w:val="21"/>
                      <w:highlight w:val="none"/>
                    </w:rPr>
                    <w:t>pH</w:t>
                  </w:r>
                </w:p>
              </w:tc>
              <w:tc>
                <w:tcPr>
                  <w:tcW w:w="1457" w:type="pct"/>
                  <w:vAlign w:val="center"/>
                </w:tcPr>
                <w:p w14:paraId="473841D3">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sz w:val="21"/>
                      <w:szCs w:val="21"/>
                      <w:highlight w:val="none"/>
                    </w:rPr>
                  </w:pPr>
                  <w:r>
                    <w:rPr>
                      <w:rFonts w:hint="default" w:ascii="Times New Roman" w:hAnsi="Times New Roman" w:eastAsia="宋体" w:cs="Times New Roman"/>
                      <w:sz w:val="21"/>
                      <w:szCs w:val="21"/>
                      <w:highlight w:val="none"/>
                    </w:rPr>
                    <w:t>6~9</w:t>
                  </w:r>
                </w:p>
              </w:tc>
            </w:tr>
            <w:tr w14:paraId="5CA134C2">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340" w:hRule="atLeast"/>
                <w:jc w:val="center"/>
              </w:trPr>
              <w:tc>
                <w:tcPr>
                  <w:tcW w:w="1024" w:type="pct"/>
                  <w:vAlign w:val="center"/>
                </w:tcPr>
                <w:p w14:paraId="430BA7B8">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sz w:val="21"/>
                      <w:szCs w:val="21"/>
                      <w:highlight w:val="none"/>
                    </w:rPr>
                  </w:pPr>
                  <w:r>
                    <w:rPr>
                      <w:rFonts w:hint="default" w:ascii="Times New Roman" w:hAnsi="Times New Roman" w:eastAsia="宋体" w:cs="Times New Roman"/>
                      <w:sz w:val="21"/>
                      <w:szCs w:val="21"/>
                      <w:highlight w:val="none"/>
                    </w:rPr>
                    <w:t>NH</w:t>
                  </w:r>
                  <w:r>
                    <w:rPr>
                      <w:rFonts w:hint="default" w:ascii="Times New Roman" w:hAnsi="Times New Roman" w:eastAsia="宋体" w:cs="Times New Roman"/>
                      <w:sz w:val="21"/>
                      <w:szCs w:val="21"/>
                      <w:highlight w:val="none"/>
                      <w:vertAlign w:val="subscript"/>
                    </w:rPr>
                    <w:t>3</w:t>
                  </w:r>
                  <w:r>
                    <w:rPr>
                      <w:rFonts w:hint="default" w:ascii="Times New Roman" w:hAnsi="Times New Roman" w:eastAsia="宋体" w:cs="Times New Roman"/>
                      <w:sz w:val="21"/>
                      <w:szCs w:val="21"/>
                      <w:highlight w:val="none"/>
                    </w:rPr>
                    <w:t>-N</w:t>
                  </w:r>
                </w:p>
              </w:tc>
              <w:tc>
                <w:tcPr>
                  <w:tcW w:w="1478" w:type="pct"/>
                  <w:vAlign w:val="center"/>
                </w:tcPr>
                <w:p w14:paraId="23201726">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sz w:val="21"/>
                      <w:szCs w:val="21"/>
                      <w:highlight w:val="none"/>
                    </w:rPr>
                  </w:pPr>
                  <w:r>
                    <w:rPr>
                      <w:rFonts w:hint="eastAsia" w:ascii="Times New Roman" w:hAnsi="Times New Roman" w:eastAsia="宋体" w:cs="Times New Roman"/>
                      <w:sz w:val="21"/>
                      <w:szCs w:val="21"/>
                      <w:highlight w:val="none"/>
                    </w:rPr>
                    <w:t>1.5（3）</w:t>
                  </w:r>
                  <w:r>
                    <w:rPr>
                      <w:rFonts w:hint="default" w:ascii="Times New Roman" w:hAnsi="Times New Roman" w:eastAsia="宋体" w:cs="Times New Roman"/>
                      <w:sz w:val="21"/>
                      <w:szCs w:val="21"/>
                      <w:highlight w:val="none"/>
                    </w:rPr>
                    <w:t>mg/L</w:t>
                  </w:r>
                </w:p>
              </w:tc>
              <w:tc>
                <w:tcPr>
                  <w:tcW w:w="1038" w:type="pct"/>
                  <w:vAlign w:val="center"/>
                </w:tcPr>
                <w:p w14:paraId="509C99A1">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sz w:val="21"/>
                      <w:szCs w:val="21"/>
                      <w:highlight w:val="none"/>
                    </w:rPr>
                  </w:pPr>
                  <w:r>
                    <w:rPr>
                      <w:rFonts w:hint="eastAsia" w:ascii="Times New Roman" w:hAnsi="Times New Roman" w:eastAsia="宋体" w:cs="Times New Roman"/>
                      <w:sz w:val="21"/>
                      <w:szCs w:val="21"/>
                      <w:highlight w:val="none"/>
                    </w:rPr>
                    <w:t>动植物油</w:t>
                  </w:r>
                </w:p>
              </w:tc>
              <w:tc>
                <w:tcPr>
                  <w:tcW w:w="1457" w:type="pct"/>
                  <w:vAlign w:val="center"/>
                </w:tcPr>
                <w:p w14:paraId="2FA5EB07">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sz w:val="21"/>
                      <w:szCs w:val="21"/>
                      <w:highlight w:val="none"/>
                    </w:rPr>
                  </w:pPr>
                  <w:r>
                    <w:rPr>
                      <w:rFonts w:hint="eastAsia" w:ascii="Times New Roman" w:hAnsi="Times New Roman" w:eastAsia="宋体" w:cs="Times New Roman"/>
                      <w:sz w:val="21"/>
                      <w:szCs w:val="21"/>
                      <w:highlight w:val="none"/>
                    </w:rPr>
                    <w:t>1</w:t>
                  </w:r>
                  <w:r>
                    <w:rPr>
                      <w:rFonts w:hint="default" w:ascii="Times New Roman" w:hAnsi="Times New Roman" w:eastAsia="宋体" w:cs="Times New Roman"/>
                      <w:sz w:val="21"/>
                      <w:szCs w:val="21"/>
                      <w:highlight w:val="none"/>
                    </w:rPr>
                    <w:t>mg/L</w:t>
                  </w:r>
                </w:p>
              </w:tc>
            </w:tr>
            <w:tr w14:paraId="456E93CA">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340" w:hRule="atLeast"/>
                <w:jc w:val="center"/>
              </w:trPr>
              <w:tc>
                <w:tcPr>
                  <w:tcW w:w="5000" w:type="pct"/>
                  <w:gridSpan w:val="4"/>
                  <w:vAlign w:val="center"/>
                </w:tcPr>
                <w:p w14:paraId="6638FA7A">
                  <w:pPr>
                    <w:keepNext w:val="0"/>
                    <w:keepLines w:val="0"/>
                    <w:suppressLineNumbers w:val="0"/>
                    <w:adjustRightInd w:val="0"/>
                    <w:snapToGrid w:val="0"/>
                    <w:spacing w:before="0" w:beforeAutospacing="0" w:after="0" w:afterAutospacing="0"/>
                    <w:ind w:left="0" w:right="0"/>
                    <w:jc w:val="left"/>
                    <w:rPr>
                      <w:rFonts w:hint="default" w:ascii="Times New Roman" w:hAnsi="Times New Roman" w:eastAsia="宋体" w:cs="Times New Roman"/>
                      <w:sz w:val="21"/>
                      <w:szCs w:val="21"/>
                      <w:highlight w:val="none"/>
                    </w:rPr>
                  </w:pPr>
                  <w:r>
                    <w:rPr>
                      <w:rFonts w:hint="eastAsia" w:ascii="Times New Roman" w:hAnsi="Times New Roman" w:eastAsia="宋体" w:cs="Times New Roman"/>
                      <w:sz w:val="21"/>
                      <w:szCs w:val="21"/>
                      <w:highlight w:val="none"/>
                    </w:rPr>
                    <w:t>注：括号内数值为每年11月1日至次年3月31日执行。</w:t>
                  </w:r>
                </w:p>
              </w:tc>
            </w:tr>
          </w:tbl>
          <w:p w14:paraId="4752DCA1">
            <w:pPr>
              <w:keepNext w:val="0"/>
              <w:keepLines w:val="0"/>
              <w:suppressLineNumbers w:val="0"/>
              <w:adjustRightInd w:val="0"/>
              <w:snapToGrid w:val="0"/>
              <w:spacing w:before="0" w:beforeAutospacing="0" w:after="0" w:afterAutospacing="0" w:line="360" w:lineRule="auto"/>
              <w:ind w:left="0" w:right="0"/>
              <w:jc w:val="center"/>
              <w:rPr>
                <w:rFonts w:hint="eastAsia" w:ascii="Times New Roman" w:hAnsi="Times New Roman" w:eastAsia="宋体" w:cs="Times New Roman"/>
                <w:b/>
                <w:bCs/>
                <w:spacing w:val="-10"/>
                <w:highlight w:val="none"/>
              </w:rPr>
            </w:pPr>
            <w:r>
              <w:rPr>
                <w:rFonts w:hint="eastAsia" w:ascii="Times New Roman" w:hAnsi="Times New Roman" w:eastAsia="宋体" w:cs="Times New Roman"/>
                <w:color w:val="auto"/>
                <w:kern w:val="0"/>
                <w:sz w:val="24"/>
                <w:highlight w:val="none"/>
                <w:lang w:val="en-US" w:eastAsia="zh-CN"/>
              </w:rPr>
              <w:drawing>
                <wp:inline distT="0" distB="0" distL="114300" distR="114300">
                  <wp:extent cx="3867150" cy="5197475"/>
                  <wp:effectExtent l="0" t="0" r="0" b="3175"/>
                  <wp:docPr id="103" name="图片 103" descr="d33b4fd21db86a6ae48ded9bf95cbb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3" name="图片 103" descr="d33b4fd21db86a6ae48ded9bf95cbb6"/>
                          <pic:cNvPicPr>
                            <a:picLocks noChangeAspect="1"/>
                          </pic:cNvPicPr>
                        </pic:nvPicPr>
                        <pic:blipFill>
                          <a:blip r:embed="rId35"/>
                          <a:stretch>
                            <a:fillRect/>
                          </a:stretch>
                        </pic:blipFill>
                        <pic:spPr>
                          <a:xfrm>
                            <a:off x="0" y="0"/>
                            <a:ext cx="3867150" cy="5197475"/>
                          </a:xfrm>
                          <a:prstGeom prst="rect">
                            <a:avLst/>
                          </a:prstGeom>
                        </pic:spPr>
                      </pic:pic>
                    </a:graphicData>
                  </a:graphic>
                </wp:inline>
              </w:drawing>
            </w:r>
          </w:p>
          <w:p w14:paraId="0A8E7AC7">
            <w:pPr>
              <w:keepNext w:val="0"/>
              <w:keepLines w:val="0"/>
              <w:suppressLineNumbers w:val="0"/>
              <w:adjustRightInd w:val="0"/>
              <w:snapToGrid w:val="0"/>
              <w:spacing w:before="0" w:beforeAutospacing="0" w:after="0" w:afterAutospacing="0" w:line="360" w:lineRule="auto"/>
              <w:ind w:left="0" w:right="0"/>
              <w:jc w:val="center"/>
              <w:rPr>
                <w:rFonts w:hint="eastAsia" w:ascii="Times New Roman" w:hAnsi="Times New Roman" w:eastAsia="宋体" w:cs="Times New Roman"/>
                <w:b/>
                <w:bCs/>
                <w:spacing w:val="-10"/>
                <w:highlight w:val="none"/>
              </w:rPr>
            </w:pPr>
            <w:r>
              <w:rPr>
                <w:rFonts w:hint="eastAsia" w:ascii="Times New Roman" w:hAnsi="Times New Roman" w:eastAsia="宋体" w:cs="Times New Roman"/>
                <w:b/>
                <w:bCs/>
                <w:color w:val="auto"/>
                <w:kern w:val="0"/>
                <w:sz w:val="24"/>
                <w:highlight w:val="none"/>
                <w:lang w:val="en-US" w:eastAsia="zh-CN"/>
              </w:rPr>
              <w:t>图4-</w:t>
            </w:r>
            <w:r>
              <w:rPr>
                <w:rFonts w:hint="eastAsia" w:cs="Times New Roman"/>
                <w:b/>
                <w:bCs/>
                <w:color w:val="auto"/>
                <w:kern w:val="0"/>
                <w:sz w:val="24"/>
                <w:highlight w:val="none"/>
                <w:lang w:val="en-US" w:eastAsia="zh-CN"/>
              </w:rPr>
              <w:t>2</w:t>
            </w:r>
            <w:r>
              <w:rPr>
                <w:rFonts w:hint="eastAsia" w:ascii="Times New Roman" w:hAnsi="Times New Roman" w:eastAsia="宋体" w:cs="Times New Roman"/>
                <w:b/>
                <w:bCs/>
                <w:color w:val="auto"/>
                <w:kern w:val="0"/>
                <w:sz w:val="24"/>
                <w:highlight w:val="none"/>
                <w:lang w:val="en-US" w:eastAsia="zh-CN"/>
              </w:rPr>
              <w:t xml:space="preserve"> 再生水厂污水处理工艺流程图</w:t>
            </w:r>
          </w:p>
          <w:p w14:paraId="133F7B88">
            <w:pPr>
              <w:pStyle w:val="131"/>
              <w:keepNext w:val="0"/>
              <w:keepLines w:val="0"/>
              <w:suppressLineNumbers w:val="0"/>
              <w:spacing w:before="0" w:beforeAutospacing="0" w:after="0" w:afterAutospacing="0"/>
              <w:ind w:left="0" w:right="0"/>
              <w:jc w:val="left"/>
              <w:rPr>
                <w:rFonts w:hint="default" w:ascii="Times New Roman" w:hAnsi="Times New Roman" w:eastAsia="宋体" w:cs="Times New Roman"/>
                <w:highlight w:val="none"/>
              </w:rPr>
            </w:pPr>
            <w:r>
              <w:rPr>
                <w:rFonts w:hint="eastAsia" w:ascii="Times New Roman" w:hAnsi="Times New Roman" w:eastAsia="宋体" w:cs="Times New Roman"/>
                <w:highlight w:val="none"/>
                <w:lang w:eastAsia="zh-CN"/>
              </w:rPr>
              <w:t>再生水厂</w:t>
            </w:r>
            <w:r>
              <w:rPr>
                <w:rFonts w:hint="eastAsia" w:ascii="Times New Roman" w:hAnsi="Times New Roman" w:eastAsia="宋体" w:cs="Times New Roman"/>
                <w:highlight w:val="none"/>
              </w:rPr>
              <w:t>已于2</w:t>
            </w:r>
            <w:r>
              <w:rPr>
                <w:rFonts w:hint="default" w:ascii="Times New Roman" w:hAnsi="Times New Roman" w:eastAsia="宋体" w:cs="Times New Roman"/>
                <w:highlight w:val="none"/>
              </w:rPr>
              <w:t>022</w:t>
            </w:r>
            <w:r>
              <w:rPr>
                <w:rFonts w:hint="eastAsia" w:ascii="Times New Roman" w:hAnsi="Times New Roman" w:eastAsia="宋体" w:cs="Times New Roman"/>
                <w:highlight w:val="none"/>
              </w:rPr>
              <w:t>年2月2</w:t>
            </w:r>
            <w:r>
              <w:rPr>
                <w:rFonts w:hint="default" w:ascii="Times New Roman" w:hAnsi="Times New Roman" w:eastAsia="宋体" w:cs="Times New Roman"/>
                <w:highlight w:val="none"/>
              </w:rPr>
              <w:t>8</w:t>
            </w:r>
            <w:r>
              <w:rPr>
                <w:rFonts w:hint="eastAsia" w:ascii="Times New Roman" w:hAnsi="Times New Roman" w:eastAsia="宋体" w:cs="Times New Roman"/>
                <w:highlight w:val="none"/>
              </w:rPr>
              <w:t>日取得衢州市生态环境局《关于高铁新城水环境治理</w:t>
            </w:r>
            <w:r>
              <w:rPr>
                <w:rFonts w:hint="default" w:ascii="Times New Roman" w:hAnsi="Times New Roman" w:eastAsia="宋体" w:cs="Times New Roman"/>
                <w:highlight w:val="none"/>
              </w:rPr>
              <w:t>项目——再生水</w:t>
            </w:r>
            <w:r>
              <w:rPr>
                <w:rFonts w:hint="eastAsia" w:ascii="Times New Roman" w:hAnsi="Times New Roman" w:eastAsia="宋体" w:cs="Times New Roman"/>
                <w:highlight w:val="none"/>
              </w:rPr>
              <w:t>厂工程环境影响报告表的审查意见》（衢环建</w:t>
            </w:r>
            <w:r>
              <w:rPr>
                <w:rFonts w:hint="eastAsia" w:cs="Times New Roman"/>
                <w:highlight w:val="none"/>
                <w:lang w:eastAsia="zh-CN"/>
              </w:rPr>
              <w:t>〔2022〕3号</w:t>
            </w:r>
            <w:r>
              <w:rPr>
                <w:rFonts w:hint="eastAsia" w:ascii="Times New Roman" w:hAnsi="Times New Roman" w:eastAsia="宋体" w:cs="Times New Roman"/>
                <w:highlight w:val="none"/>
              </w:rPr>
              <w:t>），目前已</w:t>
            </w:r>
            <w:r>
              <w:rPr>
                <w:rFonts w:hint="eastAsia" w:ascii="Times New Roman" w:hAnsi="Times New Roman" w:eastAsia="宋体" w:cs="Times New Roman"/>
                <w:highlight w:val="none"/>
                <w:lang w:eastAsia="zh-CN"/>
              </w:rPr>
              <w:t>建成</w:t>
            </w:r>
            <w:r>
              <w:rPr>
                <w:rFonts w:hint="eastAsia" w:ascii="Times New Roman" w:hAnsi="Times New Roman" w:eastAsia="宋体" w:cs="Times New Roman"/>
                <w:highlight w:val="none"/>
              </w:rPr>
              <w:t>并</w:t>
            </w:r>
            <w:r>
              <w:rPr>
                <w:rFonts w:hint="eastAsia" w:ascii="Times New Roman" w:hAnsi="Times New Roman" w:eastAsia="宋体" w:cs="Times New Roman"/>
                <w:highlight w:val="none"/>
                <w:lang w:eastAsia="zh-CN"/>
              </w:rPr>
              <w:t>投入</w:t>
            </w:r>
            <w:r>
              <w:rPr>
                <w:rFonts w:hint="eastAsia" w:ascii="Times New Roman" w:hAnsi="Times New Roman" w:eastAsia="宋体" w:cs="Times New Roman"/>
                <w:highlight w:val="none"/>
              </w:rPr>
              <w:t>试运行中。</w:t>
            </w:r>
          </w:p>
          <w:p w14:paraId="36E6E702">
            <w:pPr>
              <w:pStyle w:val="131"/>
              <w:keepNext w:val="0"/>
              <w:keepLines w:val="0"/>
              <w:suppressLineNumbers w:val="0"/>
              <w:spacing w:before="0" w:beforeAutospacing="0" w:after="0" w:afterAutospacing="0"/>
              <w:ind w:left="0" w:right="0"/>
              <w:jc w:val="both"/>
              <w:rPr>
                <w:rFonts w:hint="eastAsia" w:ascii="Times New Roman" w:hAnsi="Times New Roman" w:eastAsia="宋体" w:cs="Times New Roman"/>
                <w:b/>
                <w:bCs/>
                <w:spacing w:val="-10"/>
                <w:highlight w:val="none"/>
                <w:lang w:eastAsia="zh-CN"/>
              </w:rPr>
            </w:pPr>
            <w:r>
              <w:rPr>
                <w:rFonts w:hint="eastAsia" w:ascii="Times New Roman" w:hAnsi="Times New Roman" w:eastAsia="宋体" w:cs="Times New Roman"/>
                <w:bCs/>
                <w:highlight w:val="none"/>
              </w:rPr>
              <w:t>再生水厂</w:t>
            </w:r>
            <w:r>
              <w:rPr>
                <w:rFonts w:hint="eastAsia" w:ascii="Times New Roman" w:hAnsi="Times New Roman" w:eastAsia="宋体" w:cs="Times New Roman"/>
                <w:highlight w:val="none"/>
              </w:rPr>
              <w:t>设计处理规模一期规模为1.5万</w:t>
            </w:r>
            <w:r>
              <w:rPr>
                <w:rFonts w:hint="default" w:ascii="Times New Roman" w:hAnsi="Times New Roman" w:eastAsia="宋体" w:cs="Times New Roman"/>
                <w:bCs/>
                <w:highlight w:val="none"/>
              </w:rPr>
              <w:t>t/</w:t>
            </w:r>
            <w:r>
              <w:rPr>
                <w:rFonts w:hint="default" w:ascii="Times New Roman" w:hAnsi="Times New Roman" w:eastAsia="宋体" w:cs="Times New Roman"/>
                <w:bCs/>
                <w:color w:val="auto"/>
                <w:highlight w:val="none"/>
              </w:rPr>
              <w:t>d</w:t>
            </w:r>
            <w:r>
              <w:rPr>
                <w:rFonts w:hint="eastAsia" w:ascii="Times New Roman" w:hAnsi="Times New Roman" w:eastAsia="宋体" w:cs="Times New Roman"/>
                <w:color w:val="auto"/>
                <w:highlight w:val="none"/>
              </w:rPr>
              <w:t>，本项目</w:t>
            </w:r>
            <w:r>
              <w:rPr>
                <w:rFonts w:hint="default" w:ascii="Times New Roman" w:hAnsi="Times New Roman" w:eastAsia="宋体" w:cs="Times New Roman"/>
                <w:bCs/>
                <w:color w:val="auto"/>
                <w:highlight w:val="none"/>
              </w:rPr>
              <w:t>废水总产生量</w:t>
            </w:r>
            <w:r>
              <w:rPr>
                <w:rFonts w:hint="eastAsia" w:cs="Times New Roman"/>
                <w:bCs/>
                <w:color w:val="auto"/>
                <w:highlight w:val="none"/>
                <w:lang w:val="en-US" w:eastAsia="zh-CN"/>
              </w:rPr>
              <w:t>92</w:t>
            </w:r>
            <w:r>
              <w:rPr>
                <w:rFonts w:hint="eastAsia" w:ascii="Times New Roman" w:hAnsi="Times New Roman" w:eastAsia="宋体" w:cs="Times New Roman"/>
                <w:color w:val="auto"/>
                <w:highlight w:val="none"/>
              </w:rPr>
              <w:t>.</w:t>
            </w:r>
            <w:r>
              <w:rPr>
                <w:rFonts w:hint="eastAsia" w:cs="Times New Roman"/>
                <w:color w:val="auto"/>
                <w:highlight w:val="none"/>
                <w:lang w:val="en-US" w:eastAsia="zh-CN"/>
              </w:rPr>
              <w:t>4</w:t>
            </w:r>
            <w:r>
              <w:rPr>
                <w:rFonts w:hint="default" w:ascii="Times New Roman" w:hAnsi="Times New Roman" w:eastAsia="宋体" w:cs="Times New Roman"/>
                <w:color w:val="auto"/>
                <w:highlight w:val="none"/>
              </w:rPr>
              <w:t>t/d</w:t>
            </w:r>
            <w:r>
              <w:rPr>
                <w:rFonts w:hint="eastAsia" w:ascii="Times New Roman" w:hAnsi="Times New Roman" w:eastAsia="宋体" w:cs="Times New Roman"/>
                <w:color w:val="auto"/>
                <w:highlight w:val="none"/>
              </w:rPr>
              <w:t>，</w:t>
            </w:r>
            <w:r>
              <w:rPr>
                <w:rFonts w:hint="eastAsia" w:ascii="Times New Roman" w:hAnsi="Times New Roman" w:eastAsia="宋体" w:cs="Times New Roman"/>
                <w:bCs/>
                <w:color w:val="auto"/>
                <w:highlight w:val="none"/>
              </w:rPr>
              <w:t>约占</w:t>
            </w:r>
            <w:r>
              <w:rPr>
                <w:rFonts w:hint="eastAsia" w:ascii="Times New Roman" w:hAnsi="Times New Roman" w:eastAsia="宋体" w:cs="Times New Roman"/>
                <w:bCs/>
                <w:color w:val="auto"/>
                <w:highlight w:val="none"/>
                <w:lang w:val="en-US" w:eastAsia="zh-CN"/>
              </w:rPr>
              <w:t>0</w:t>
            </w:r>
            <w:r>
              <w:rPr>
                <w:rFonts w:hint="default" w:ascii="Times New Roman" w:hAnsi="Times New Roman" w:eastAsia="宋体" w:cs="Times New Roman"/>
                <w:bCs/>
                <w:color w:val="auto"/>
                <w:highlight w:val="none"/>
              </w:rPr>
              <w:t>.</w:t>
            </w:r>
            <w:r>
              <w:rPr>
                <w:rFonts w:hint="eastAsia" w:cs="Times New Roman"/>
                <w:bCs/>
                <w:color w:val="auto"/>
                <w:highlight w:val="none"/>
                <w:lang w:val="en-US" w:eastAsia="zh-CN"/>
              </w:rPr>
              <w:t>6</w:t>
            </w:r>
            <w:r>
              <w:rPr>
                <w:rFonts w:hint="default" w:ascii="Times New Roman" w:hAnsi="Times New Roman" w:eastAsia="宋体" w:cs="Times New Roman"/>
                <w:bCs/>
                <w:highlight w:val="none"/>
              </w:rPr>
              <w:t>%</w:t>
            </w:r>
            <w:r>
              <w:rPr>
                <w:rFonts w:hint="eastAsia" w:ascii="Times New Roman" w:hAnsi="Times New Roman" w:eastAsia="宋体" w:cs="Times New Roman"/>
                <w:bCs/>
                <w:highlight w:val="none"/>
              </w:rPr>
              <w:t>，</w:t>
            </w:r>
            <w:r>
              <w:rPr>
                <w:rFonts w:hint="eastAsia" w:ascii="Times New Roman" w:hAnsi="Times New Roman" w:eastAsia="宋体" w:cs="Times New Roman"/>
                <w:color w:val="auto"/>
                <w:kern w:val="0"/>
                <w:sz w:val="24"/>
                <w:highlight w:val="none"/>
                <w:lang w:val="en-US" w:eastAsia="zh-CN"/>
              </w:rPr>
              <w:t>生产污水水质简单，为非持久性污染物</w:t>
            </w:r>
            <w:r>
              <w:rPr>
                <w:rFonts w:hint="eastAsia" w:ascii="Times New Roman" w:hAnsi="Times New Roman" w:eastAsia="宋体" w:cs="Times New Roman"/>
                <w:kern w:val="0"/>
                <w:sz w:val="24"/>
                <w:highlight w:val="none"/>
                <w:lang w:eastAsia="zh-CN"/>
              </w:rPr>
              <w:t>，</w:t>
            </w:r>
            <w:r>
              <w:rPr>
                <w:rFonts w:hint="eastAsia" w:ascii="Times New Roman" w:hAnsi="Times New Roman" w:eastAsia="宋体" w:cs="Times New Roman"/>
                <w:kern w:val="0"/>
                <w:sz w:val="24"/>
                <w:highlight w:val="none"/>
              </w:rPr>
              <w:t>主要污染物包括</w:t>
            </w:r>
            <w:r>
              <w:rPr>
                <w:rFonts w:hint="default" w:ascii="Times New Roman" w:hAnsi="Times New Roman" w:eastAsia="宋体" w:cs="Times New Roman"/>
                <w:kern w:val="0"/>
                <w:sz w:val="24"/>
                <w:highlight w:val="none"/>
              </w:rPr>
              <w:t>COD</w:t>
            </w:r>
            <w:r>
              <w:rPr>
                <w:rFonts w:hint="default" w:ascii="Times New Roman" w:hAnsi="Times New Roman" w:eastAsia="宋体" w:cs="Times New Roman"/>
                <w:kern w:val="0"/>
                <w:sz w:val="24"/>
                <w:highlight w:val="none"/>
                <w:vertAlign w:val="subscript"/>
              </w:rPr>
              <w:t>Cr</w:t>
            </w:r>
            <w:r>
              <w:rPr>
                <w:rFonts w:hint="eastAsia" w:ascii="Times New Roman" w:hAnsi="Times New Roman" w:eastAsia="宋体" w:cs="Times New Roman"/>
                <w:kern w:val="0"/>
                <w:sz w:val="24"/>
                <w:highlight w:val="none"/>
              </w:rPr>
              <w:t>、</w:t>
            </w:r>
            <w:r>
              <w:rPr>
                <w:rFonts w:hint="eastAsia" w:cs="Times New Roman"/>
                <w:kern w:val="0"/>
                <w:sz w:val="24"/>
                <w:highlight w:val="none"/>
                <w:lang w:val="en-US" w:eastAsia="zh-CN"/>
              </w:rPr>
              <w:t>BOD</w:t>
            </w:r>
            <w:r>
              <w:rPr>
                <w:rFonts w:hint="eastAsia" w:cs="Times New Roman"/>
                <w:kern w:val="0"/>
                <w:sz w:val="24"/>
                <w:highlight w:val="none"/>
                <w:vertAlign w:val="subscript"/>
                <w:lang w:val="en-US" w:eastAsia="zh-CN"/>
              </w:rPr>
              <w:t>5</w:t>
            </w:r>
            <w:r>
              <w:rPr>
                <w:rFonts w:hint="eastAsia" w:cs="Times New Roman"/>
                <w:kern w:val="0"/>
                <w:sz w:val="24"/>
                <w:highlight w:val="none"/>
                <w:lang w:val="en-US" w:eastAsia="zh-CN"/>
              </w:rPr>
              <w:t>、SS、</w:t>
            </w:r>
            <w:r>
              <w:rPr>
                <w:rFonts w:hint="default" w:ascii="Times New Roman" w:hAnsi="Times New Roman" w:eastAsia="宋体" w:cs="Times New Roman"/>
                <w:kern w:val="0"/>
                <w:sz w:val="24"/>
                <w:highlight w:val="none"/>
              </w:rPr>
              <w:t>NH</w:t>
            </w:r>
            <w:r>
              <w:rPr>
                <w:rFonts w:hint="default" w:ascii="Times New Roman" w:hAnsi="Times New Roman" w:eastAsia="宋体" w:cs="Times New Roman"/>
                <w:kern w:val="0"/>
                <w:sz w:val="24"/>
                <w:highlight w:val="none"/>
                <w:vertAlign w:val="subscript"/>
              </w:rPr>
              <w:t>3</w:t>
            </w:r>
            <w:r>
              <w:rPr>
                <w:rFonts w:hint="default" w:ascii="Times New Roman" w:hAnsi="Times New Roman" w:eastAsia="宋体" w:cs="Times New Roman"/>
                <w:kern w:val="0"/>
                <w:sz w:val="24"/>
                <w:highlight w:val="none"/>
              </w:rPr>
              <w:t>-N</w:t>
            </w:r>
            <w:r>
              <w:rPr>
                <w:rFonts w:hint="eastAsia" w:cs="Times New Roman"/>
                <w:kern w:val="0"/>
                <w:sz w:val="24"/>
                <w:highlight w:val="none"/>
                <w:lang w:eastAsia="zh-CN"/>
              </w:rPr>
              <w:t>、</w:t>
            </w:r>
            <w:r>
              <w:rPr>
                <w:rFonts w:hint="eastAsia" w:cs="Times New Roman"/>
                <w:kern w:val="0"/>
                <w:sz w:val="24"/>
                <w:highlight w:val="none"/>
                <w:lang w:val="en-US" w:eastAsia="zh-CN"/>
              </w:rPr>
              <w:t>粪大肠菌群</w:t>
            </w:r>
            <w:r>
              <w:rPr>
                <w:rFonts w:hint="eastAsia" w:ascii="Times New Roman" w:hAnsi="Times New Roman" w:eastAsia="宋体" w:cs="Times New Roman"/>
                <w:kern w:val="0"/>
                <w:sz w:val="24"/>
                <w:highlight w:val="none"/>
              </w:rPr>
              <w:t>等，水质复杂程度简单，经预处理后污染物浓度较低，能确保废水纳管后满足</w:t>
            </w:r>
            <w:r>
              <w:rPr>
                <w:rFonts w:hint="default" w:ascii="Times New Roman" w:hAnsi="Times New Roman" w:eastAsia="宋体" w:cs="Times New Roman"/>
                <w:sz w:val="24"/>
                <w:highlight w:val="none"/>
              </w:rPr>
              <w:t>再生水</w:t>
            </w:r>
            <w:r>
              <w:rPr>
                <w:rFonts w:hint="eastAsia" w:ascii="Times New Roman" w:hAnsi="Times New Roman" w:eastAsia="宋体" w:cs="Times New Roman"/>
                <w:sz w:val="24"/>
                <w:highlight w:val="none"/>
              </w:rPr>
              <w:t>厂</w:t>
            </w:r>
            <w:r>
              <w:rPr>
                <w:rFonts w:hint="eastAsia" w:ascii="Times New Roman" w:hAnsi="Times New Roman" w:eastAsia="宋体" w:cs="Times New Roman"/>
                <w:kern w:val="0"/>
                <w:sz w:val="24"/>
                <w:highlight w:val="none"/>
              </w:rPr>
              <w:t>设计进水标准。因此，废水接管后不会对污水处理厂污染负荷及正常运行产生不利影响，对该区域地表水体影响不大</w:t>
            </w:r>
            <w:r>
              <w:rPr>
                <w:rFonts w:hint="eastAsia" w:ascii="Times New Roman" w:hAnsi="Times New Roman" w:eastAsia="宋体" w:cs="Times New Roman"/>
                <w:kern w:val="0"/>
                <w:sz w:val="24"/>
                <w:highlight w:val="none"/>
                <w:lang w:eastAsia="zh-CN"/>
              </w:rPr>
              <w:t>。</w:t>
            </w:r>
          </w:p>
          <w:p w14:paraId="2EF6E55E">
            <w:pPr>
              <w:keepNext w:val="0"/>
              <w:keepLines w:val="0"/>
              <w:suppressLineNumbers w:val="0"/>
              <w:adjustRightInd w:val="0"/>
              <w:snapToGrid w:val="0"/>
              <w:spacing w:before="0" w:beforeAutospacing="0" w:after="0" w:afterAutospacing="0" w:line="360" w:lineRule="auto"/>
              <w:ind w:left="0" w:right="0"/>
              <w:rPr>
                <w:rFonts w:hint="default" w:ascii="Times New Roman" w:hAnsi="Times New Roman" w:eastAsia="宋体" w:cs="Times New Roman"/>
                <w:b/>
                <w:bCs/>
                <w:spacing w:val="-10"/>
                <w:highlight w:val="none"/>
              </w:rPr>
            </w:pPr>
            <w:r>
              <w:rPr>
                <w:rFonts w:hint="default" w:ascii="Times New Roman" w:hAnsi="Times New Roman" w:eastAsia="宋体" w:cs="Times New Roman"/>
                <w:b/>
                <w:bCs/>
                <w:spacing w:val="-10"/>
                <w:highlight w:val="none"/>
              </w:rPr>
              <w:t>3</w:t>
            </w:r>
            <w:r>
              <w:rPr>
                <w:rFonts w:hint="eastAsia" w:ascii="Times New Roman" w:hAnsi="Times New Roman" w:eastAsia="宋体" w:cs="Times New Roman"/>
                <w:b/>
                <w:bCs/>
                <w:spacing w:val="-10"/>
                <w:highlight w:val="none"/>
              </w:rPr>
              <w:t>、噪声</w:t>
            </w:r>
          </w:p>
          <w:p w14:paraId="04A7D8AC">
            <w:pPr>
              <w:keepNext w:val="0"/>
              <w:keepLines w:val="0"/>
              <w:suppressLineNumbers w:val="0"/>
              <w:adjustRightInd w:val="0"/>
              <w:snapToGrid w:val="0"/>
              <w:spacing w:before="0" w:beforeAutospacing="0" w:after="0" w:afterAutospacing="0" w:line="360" w:lineRule="auto"/>
              <w:ind w:left="0" w:right="0" w:firstLine="482" w:firstLineChars="200"/>
              <w:rPr>
                <w:rFonts w:hint="default" w:ascii="Times New Roman" w:hAnsi="Times New Roman" w:eastAsia="宋体" w:cs="Times New Roman"/>
                <w:b/>
                <w:highlight w:val="none"/>
              </w:rPr>
            </w:pPr>
            <w:r>
              <w:rPr>
                <w:rFonts w:hint="eastAsia" w:ascii="Times New Roman" w:hAnsi="Times New Roman" w:eastAsia="宋体" w:cs="Times New Roman"/>
                <w:b/>
                <w:highlight w:val="none"/>
              </w:rPr>
              <w:t>（</w:t>
            </w:r>
            <w:r>
              <w:rPr>
                <w:rFonts w:hint="default" w:ascii="Times New Roman" w:hAnsi="Times New Roman" w:eastAsia="宋体" w:cs="Times New Roman"/>
                <w:b/>
                <w:highlight w:val="none"/>
              </w:rPr>
              <w:t>1</w:t>
            </w:r>
            <w:r>
              <w:rPr>
                <w:rFonts w:hint="eastAsia" w:ascii="Times New Roman" w:hAnsi="Times New Roman" w:eastAsia="宋体" w:cs="Times New Roman"/>
                <w:b/>
                <w:highlight w:val="none"/>
              </w:rPr>
              <w:t>）噪声污染源源强</w:t>
            </w:r>
          </w:p>
          <w:p w14:paraId="4D41F133">
            <w:pPr>
              <w:pStyle w:val="122"/>
              <w:keepNext w:val="0"/>
              <w:keepLines w:val="0"/>
              <w:suppressLineNumbers w:val="0"/>
              <w:spacing w:before="0" w:beforeAutospacing="0" w:after="0" w:afterAutospacing="0"/>
              <w:ind w:left="0" w:right="0"/>
              <w:rPr>
                <w:rFonts w:hint="eastAsia" w:ascii="Times New Roman" w:hAnsi="Times New Roman" w:eastAsia="宋体" w:cs="Times New Roman"/>
                <w:highlight w:val="none"/>
                <w:lang w:eastAsia="zh-CN"/>
              </w:rPr>
            </w:pPr>
            <w:r>
              <w:rPr>
                <w:rFonts w:hint="eastAsia" w:ascii="Times New Roman" w:hAnsi="Times New Roman" w:eastAsia="宋体" w:cs="Times New Roman"/>
                <w:highlight w:val="none"/>
              </w:rPr>
              <w:t>建设</w:t>
            </w:r>
            <w:r>
              <w:rPr>
                <w:rFonts w:hint="default" w:ascii="Times New Roman" w:hAnsi="Times New Roman" w:eastAsia="宋体" w:cs="Times New Roman"/>
                <w:highlight w:val="none"/>
              </w:rPr>
              <w:t>项目</w:t>
            </w:r>
            <w:r>
              <w:rPr>
                <w:rFonts w:hint="eastAsia" w:ascii="Times New Roman" w:hAnsi="Times New Roman" w:eastAsia="宋体" w:cs="Times New Roman"/>
                <w:highlight w:val="none"/>
              </w:rPr>
              <w:t>饲养的</w:t>
            </w:r>
            <w:r>
              <w:rPr>
                <w:rFonts w:hint="default" w:ascii="Times New Roman" w:hAnsi="Times New Roman" w:eastAsia="宋体" w:cs="Times New Roman"/>
                <w:highlight w:val="none"/>
              </w:rPr>
              <w:t>动物叫声具有不定时性和突发性，噪声声压级在65-70dB（A）之间</w:t>
            </w:r>
            <w:r>
              <w:rPr>
                <w:rFonts w:hint="eastAsia" w:ascii="Times New Roman" w:hAnsi="Times New Roman" w:eastAsia="宋体" w:cs="Times New Roman"/>
                <w:highlight w:val="none"/>
              </w:rPr>
              <w:t>，项目使用吸音材料，在</w:t>
            </w:r>
            <w:r>
              <w:rPr>
                <w:rFonts w:hint="default" w:ascii="Times New Roman" w:hAnsi="Times New Roman" w:eastAsia="宋体" w:cs="Times New Roman"/>
                <w:highlight w:val="none"/>
              </w:rPr>
              <w:t>饲养间的</w:t>
            </w:r>
            <w:r>
              <w:rPr>
                <w:rFonts w:hint="eastAsia" w:ascii="Times New Roman" w:hAnsi="Times New Roman" w:eastAsia="宋体" w:cs="Times New Roman"/>
                <w:highlight w:val="none"/>
              </w:rPr>
              <w:t>内部或外部，增加吸音材料，如海绵、毡布或隔音板等。这些材料能够吸收并降低声音的传播，从而减少噪</w:t>
            </w:r>
            <w:r>
              <w:rPr>
                <w:rFonts w:hint="eastAsia" w:cs="Times New Roman"/>
                <w:highlight w:val="none"/>
                <w:lang w:val="en-US" w:eastAsia="zh-CN"/>
              </w:rPr>
              <w:t>声</w:t>
            </w:r>
            <w:r>
              <w:rPr>
                <w:rFonts w:hint="eastAsia" w:ascii="Times New Roman" w:hAnsi="Times New Roman" w:eastAsia="宋体" w:cs="Times New Roman"/>
                <w:highlight w:val="none"/>
              </w:rPr>
              <w:t>的产生和传递</w:t>
            </w:r>
            <w:r>
              <w:rPr>
                <w:rFonts w:hint="eastAsia" w:ascii="Times New Roman" w:hAnsi="Times New Roman" w:eastAsia="宋体" w:cs="Times New Roman"/>
                <w:highlight w:val="none"/>
                <w:lang w:eastAsia="zh-CN"/>
              </w:rPr>
              <w:t>；</w:t>
            </w:r>
            <w:r>
              <w:rPr>
                <w:rFonts w:hint="eastAsia" w:ascii="Times New Roman" w:hAnsi="Times New Roman" w:eastAsia="宋体" w:cs="Times New Roman"/>
                <w:highlight w:val="none"/>
              </w:rPr>
              <w:t>根据业主提供资料，实验设备放置于各个实验室内，各实验室可分别视为一个独立隔声间，其隔声量由门窗、墙体等综合而成，一般隔声量在15~25dB(A)之间</w:t>
            </w:r>
            <w:r>
              <w:rPr>
                <w:rFonts w:hint="eastAsia" w:ascii="Times New Roman" w:hAnsi="Times New Roman" w:eastAsia="宋体" w:cs="Times New Roman"/>
                <w:highlight w:val="none"/>
                <w:lang w:eastAsia="zh-CN"/>
              </w:rPr>
              <w:t>。</w:t>
            </w:r>
          </w:p>
          <w:p w14:paraId="768438C8">
            <w:pPr>
              <w:pStyle w:val="122"/>
              <w:keepNext w:val="0"/>
              <w:keepLines w:val="0"/>
              <w:suppressLineNumbers w:val="0"/>
              <w:spacing w:before="0" w:beforeAutospacing="0" w:after="0" w:afterAutospacing="0"/>
              <w:ind w:left="0" w:right="0"/>
              <w:rPr>
                <w:rFonts w:hint="default" w:ascii="Times New Roman" w:hAnsi="Times New Roman" w:eastAsia="宋体" w:cs="Times New Roman"/>
                <w:highlight w:val="none"/>
              </w:rPr>
            </w:pPr>
            <w:r>
              <w:rPr>
                <w:rFonts w:hint="eastAsia" w:ascii="Times New Roman" w:hAnsi="Times New Roman" w:eastAsia="宋体" w:cs="Times New Roman"/>
                <w:highlight w:val="none"/>
              </w:rPr>
              <w:t>本</w:t>
            </w:r>
            <w:r>
              <w:rPr>
                <w:rFonts w:hint="default" w:ascii="Times New Roman" w:hAnsi="Times New Roman" w:eastAsia="宋体" w:cs="Times New Roman"/>
                <w:highlight w:val="none"/>
              </w:rPr>
              <w:t>项目属于非工业类项目，声环境</w:t>
            </w:r>
            <w:r>
              <w:rPr>
                <w:rFonts w:hint="eastAsia" w:ascii="Times New Roman" w:hAnsi="Times New Roman" w:eastAsia="宋体" w:cs="Times New Roman"/>
                <w:highlight w:val="none"/>
              </w:rPr>
              <w:t>污染</w:t>
            </w:r>
            <w:r>
              <w:rPr>
                <w:rFonts w:hint="default" w:ascii="Times New Roman" w:hAnsi="Times New Roman" w:eastAsia="宋体" w:cs="Times New Roman"/>
                <w:highlight w:val="none"/>
              </w:rPr>
              <w:t>源较少，主要考虑</w:t>
            </w:r>
            <w:r>
              <w:rPr>
                <w:rFonts w:hint="eastAsia" w:ascii="Times New Roman" w:hAnsi="Times New Roman" w:eastAsia="宋体" w:cs="Times New Roman"/>
                <w:highlight w:val="none"/>
              </w:rPr>
              <w:t>屋面</w:t>
            </w:r>
            <w:r>
              <w:rPr>
                <w:rFonts w:hint="default" w:ascii="Times New Roman" w:hAnsi="Times New Roman" w:eastAsia="宋体" w:cs="Times New Roman"/>
                <w:highlight w:val="none"/>
              </w:rPr>
              <w:t>安装的排风系统的风机、多联机中央空调的外机组噪声。</w:t>
            </w:r>
          </w:p>
          <w:p w14:paraId="5C6778C0">
            <w:pPr>
              <w:pStyle w:val="122"/>
              <w:keepNext w:val="0"/>
              <w:keepLines w:val="0"/>
              <w:suppressLineNumbers w:val="0"/>
              <w:spacing w:before="0" w:beforeAutospacing="0" w:after="0" w:afterAutospacing="0"/>
              <w:ind w:left="0" w:right="0"/>
              <w:rPr>
                <w:rFonts w:hint="default" w:ascii="Times New Roman" w:hAnsi="Times New Roman" w:eastAsia="宋体" w:cs="Times New Roman"/>
                <w:highlight w:val="none"/>
              </w:rPr>
            </w:pPr>
            <w:r>
              <w:rPr>
                <w:rFonts w:hint="eastAsia" w:ascii="Times New Roman" w:hAnsi="Times New Roman" w:eastAsia="宋体" w:cs="Times New Roman"/>
                <w:highlight w:val="none"/>
              </w:rPr>
              <w:t>根据厂家</w:t>
            </w:r>
            <w:r>
              <w:rPr>
                <w:rFonts w:hint="default" w:ascii="Times New Roman" w:hAnsi="Times New Roman" w:eastAsia="宋体" w:cs="Times New Roman"/>
                <w:highlight w:val="none"/>
              </w:rPr>
              <w:t>提供的排风机</w:t>
            </w:r>
            <w:r>
              <w:rPr>
                <w:rFonts w:hint="eastAsia" w:ascii="Times New Roman" w:hAnsi="Times New Roman" w:eastAsia="宋体" w:cs="Times New Roman"/>
                <w:highlight w:val="none"/>
              </w:rPr>
              <w:t>、</w:t>
            </w:r>
            <w:r>
              <w:rPr>
                <w:rFonts w:hint="default" w:ascii="Times New Roman" w:hAnsi="Times New Roman" w:eastAsia="宋体" w:cs="Times New Roman"/>
                <w:highlight w:val="none"/>
              </w:rPr>
              <w:t>多联机中央空调外</w:t>
            </w:r>
            <w:r>
              <w:rPr>
                <w:rFonts w:hint="eastAsia" w:ascii="Times New Roman" w:hAnsi="Times New Roman" w:eastAsia="宋体" w:cs="Times New Roman"/>
                <w:highlight w:val="none"/>
              </w:rPr>
              <w:t>机</w:t>
            </w:r>
            <w:r>
              <w:rPr>
                <w:rFonts w:hint="default" w:ascii="Times New Roman" w:hAnsi="Times New Roman" w:eastAsia="宋体" w:cs="Times New Roman"/>
                <w:highlight w:val="none"/>
              </w:rPr>
              <w:t>组</w:t>
            </w:r>
            <w:r>
              <w:rPr>
                <w:rFonts w:hint="eastAsia" w:ascii="Times New Roman" w:hAnsi="Times New Roman" w:eastAsia="宋体" w:cs="Times New Roman"/>
                <w:highlight w:val="none"/>
              </w:rPr>
              <w:t>基本</w:t>
            </w:r>
            <w:r>
              <w:rPr>
                <w:rFonts w:hint="default" w:ascii="Times New Roman" w:hAnsi="Times New Roman" w:eastAsia="宋体" w:cs="Times New Roman"/>
                <w:highlight w:val="none"/>
              </w:rPr>
              <w:t>信息，噪声源源强见表</w:t>
            </w:r>
            <w:r>
              <w:rPr>
                <w:rFonts w:hint="eastAsia" w:ascii="Times New Roman" w:hAnsi="Times New Roman" w:eastAsia="宋体" w:cs="Times New Roman"/>
                <w:highlight w:val="none"/>
              </w:rPr>
              <w:t>4</w:t>
            </w:r>
            <w:r>
              <w:rPr>
                <w:rFonts w:hint="default" w:ascii="Times New Roman" w:hAnsi="Times New Roman" w:eastAsia="宋体" w:cs="Times New Roman"/>
                <w:highlight w:val="none"/>
              </w:rPr>
              <w:t>-</w:t>
            </w:r>
            <w:r>
              <w:rPr>
                <w:rFonts w:hint="eastAsia" w:cs="Times New Roman"/>
                <w:highlight w:val="none"/>
                <w:lang w:val="en-US" w:eastAsia="zh-CN"/>
              </w:rPr>
              <w:t>9</w:t>
            </w:r>
            <w:r>
              <w:rPr>
                <w:rFonts w:hint="eastAsia" w:ascii="Times New Roman" w:hAnsi="Times New Roman" w:eastAsia="宋体" w:cs="Times New Roman"/>
                <w:highlight w:val="none"/>
              </w:rPr>
              <w:t>。</w:t>
            </w:r>
          </w:p>
          <w:p w14:paraId="18D99BD9">
            <w:pPr>
              <w:keepNext w:val="0"/>
              <w:keepLines w:val="0"/>
              <w:suppressLineNumbers w:val="0"/>
              <w:adjustRightInd w:val="0"/>
              <w:snapToGrid w:val="0"/>
              <w:spacing w:before="0" w:beforeAutospacing="0" w:after="0" w:afterAutospacing="0" w:line="360" w:lineRule="auto"/>
              <w:ind w:left="0" w:right="0" w:firstLine="482" w:firstLineChars="200"/>
              <w:jc w:val="center"/>
              <w:rPr>
                <w:rFonts w:hint="eastAsia" w:ascii="Times New Roman" w:hAnsi="Times New Roman" w:eastAsia="宋体" w:cs="Times New Roman"/>
                <w:b/>
                <w:bCs/>
                <w:highlight w:val="none"/>
              </w:rPr>
            </w:pPr>
            <w:r>
              <w:rPr>
                <w:rFonts w:hint="eastAsia" w:ascii="Times New Roman" w:hAnsi="Times New Roman" w:eastAsia="宋体" w:cs="Times New Roman"/>
                <w:b/>
                <w:bCs/>
                <w:color w:val="auto"/>
                <w:highlight w:val="none"/>
              </w:rPr>
              <w:t>表4-</w:t>
            </w:r>
            <w:r>
              <w:rPr>
                <w:rFonts w:hint="eastAsia" w:cs="Times New Roman"/>
                <w:b/>
                <w:bCs/>
                <w:color w:val="auto"/>
                <w:highlight w:val="none"/>
                <w:lang w:val="en-US" w:eastAsia="zh-CN"/>
              </w:rPr>
              <w:t>9</w:t>
            </w:r>
            <w:r>
              <w:rPr>
                <w:rFonts w:hint="eastAsia" w:ascii="Times New Roman" w:hAnsi="Times New Roman" w:eastAsia="宋体" w:cs="Times New Roman"/>
                <w:b/>
                <w:bCs/>
                <w:color w:val="auto"/>
                <w:highlight w:val="none"/>
              </w:rPr>
              <w:t xml:space="preserve"> 噪声源强</w:t>
            </w:r>
            <w:r>
              <w:rPr>
                <w:rFonts w:hint="default" w:ascii="Times New Roman" w:hAnsi="Times New Roman" w:eastAsia="宋体" w:cs="Times New Roman"/>
                <w:b/>
                <w:bCs/>
                <w:color w:val="auto"/>
                <w:highlight w:val="none"/>
              </w:rPr>
              <w:t>调查清单</w:t>
            </w:r>
            <w:r>
              <w:rPr>
                <w:rFonts w:hint="eastAsia" w:ascii="Times New Roman" w:hAnsi="Times New Roman" w:eastAsia="宋体" w:cs="Times New Roman"/>
                <w:b/>
                <w:bCs/>
                <w:color w:val="auto"/>
                <w:highlight w:val="none"/>
              </w:rPr>
              <w:t>（室外）</w:t>
            </w:r>
          </w:p>
          <w:tbl>
            <w:tblPr>
              <w:tblStyle w:val="32"/>
              <w:tblW w:w="5000"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
            <w:tblGrid>
              <w:gridCol w:w="572"/>
              <w:gridCol w:w="751"/>
              <w:gridCol w:w="1398"/>
              <w:gridCol w:w="577"/>
              <w:gridCol w:w="585"/>
              <w:gridCol w:w="563"/>
              <w:gridCol w:w="562"/>
              <w:gridCol w:w="1103"/>
              <w:gridCol w:w="1048"/>
              <w:gridCol w:w="1113"/>
            </w:tblGrid>
            <w:tr w14:paraId="64D88AE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c>
                <w:tcPr>
                  <w:tcW w:w="345" w:type="pct"/>
                  <w:vMerge w:val="restart"/>
                  <w:noWrap w:val="0"/>
                  <w:tcMar>
                    <w:left w:w="57" w:type="dxa"/>
                    <w:right w:w="57" w:type="dxa"/>
                  </w:tcMar>
                  <w:vAlign w:val="center"/>
                </w:tcPr>
                <w:p w14:paraId="0F95F71C">
                  <w:pPr>
                    <w:keepNext w:val="0"/>
                    <w:keepLines w:val="0"/>
                    <w:suppressLineNumbers w:val="0"/>
                    <w:adjustRightInd w:val="0"/>
                    <w:snapToGrid w:val="0"/>
                    <w:spacing w:before="0" w:beforeAutospacing="0" w:after="0" w:afterAutospacing="0"/>
                    <w:ind w:left="0" w:right="0"/>
                    <w:jc w:val="center"/>
                    <w:rPr>
                      <w:rFonts w:hint="eastAsia" w:ascii="Times New Roman" w:hAnsi="Times New Roman" w:eastAsia="宋体" w:cs="Times New Roman"/>
                      <w:b w:val="0"/>
                      <w:bCs w:val="0"/>
                      <w:kern w:val="0"/>
                      <w:sz w:val="21"/>
                      <w:szCs w:val="21"/>
                      <w:highlight w:val="none"/>
                    </w:rPr>
                  </w:pPr>
                  <w:r>
                    <w:rPr>
                      <w:rFonts w:hint="eastAsia" w:ascii="Times New Roman" w:hAnsi="Times New Roman" w:eastAsia="宋体" w:cs="Times New Roman"/>
                      <w:b w:val="0"/>
                      <w:bCs w:val="0"/>
                      <w:kern w:val="0"/>
                      <w:sz w:val="21"/>
                      <w:szCs w:val="21"/>
                      <w:highlight w:val="none"/>
                    </w:rPr>
                    <w:t>序号</w:t>
                  </w:r>
                </w:p>
              </w:tc>
              <w:tc>
                <w:tcPr>
                  <w:tcW w:w="1298" w:type="pct"/>
                  <w:gridSpan w:val="2"/>
                  <w:vMerge w:val="restart"/>
                  <w:noWrap w:val="0"/>
                  <w:tcMar>
                    <w:left w:w="57" w:type="dxa"/>
                    <w:right w:w="57" w:type="dxa"/>
                  </w:tcMar>
                  <w:vAlign w:val="center"/>
                </w:tcPr>
                <w:p w14:paraId="636D96DD">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b w:val="0"/>
                      <w:bCs w:val="0"/>
                      <w:kern w:val="0"/>
                      <w:sz w:val="21"/>
                      <w:szCs w:val="21"/>
                      <w:highlight w:val="none"/>
                      <w:lang w:val="en-US"/>
                    </w:rPr>
                  </w:pPr>
                  <w:r>
                    <w:rPr>
                      <w:rFonts w:hint="eastAsia" w:cs="Times New Roman"/>
                      <w:b w:val="0"/>
                      <w:bCs w:val="0"/>
                      <w:kern w:val="0"/>
                      <w:sz w:val="21"/>
                      <w:szCs w:val="21"/>
                      <w:highlight w:val="none"/>
                      <w:lang w:val="en-US" w:eastAsia="zh-CN"/>
                    </w:rPr>
                    <w:t>声源名称</w:t>
                  </w:r>
                </w:p>
              </w:tc>
              <w:tc>
                <w:tcPr>
                  <w:tcW w:w="348" w:type="pct"/>
                  <w:vMerge w:val="restart"/>
                  <w:noWrap w:val="0"/>
                  <w:tcMar>
                    <w:left w:w="57" w:type="dxa"/>
                    <w:right w:w="57" w:type="dxa"/>
                  </w:tcMar>
                  <w:vAlign w:val="center"/>
                </w:tcPr>
                <w:p w14:paraId="34800D5C">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b w:val="0"/>
                      <w:bCs w:val="0"/>
                      <w:kern w:val="0"/>
                      <w:sz w:val="21"/>
                      <w:szCs w:val="21"/>
                      <w:highlight w:val="none"/>
                    </w:rPr>
                  </w:pPr>
                  <w:r>
                    <w:rPr>
                      <w:rFonts w:hint="eastAsia" w:ascii="Times New Roman" w:hAnsi="Times New Roman" w:eastAsia="宋体" w:cs="Times New Roman"/>
                      <w:b w:val="0"/>
                      <w:bCs w:val="0"/>
                      <w:kern w:val="0"/>
                      <w:sz w:val="21"/>
                      <w:szCs w:val="21"/>
                      <w:highlight w:val="none"/>
                    </w:rPr>
                    <w:t>型号</w:t>
                  </w:r>
                </w:p>
              </w:tc>
              <w:tc>
                <w:tcPr>
                  <w:tcW w:w="1033" w:type="pct"/>
                  <w:gridSpan w:val="3"/>
                  <w:noWrap w:val="0"/>
                  <w:tcMar>
                    <w:left w:w="57" w:type="dxa"/>
                    <w:right w:w="57" w:type="dxa"/>
                  </w:tcMar>
                  <w:vAlign w:val="center"/>
                </w:tcPr>
                <w:p w14:paraId="25372A61">
                  <w:pPr>
                    <w:keepNext w:val="0"/>
                    <w:keepLines w:val="0"/>
                    <w:suppressLineNumbers w:val="0"/>
                    <w:adjustRightInd w:val="0"/>
                    <w:snapToGrid w:val="0"/>
                    <w:spacing w:before="0" w:beforeAutospacing="0" w:after="0" w:afterAutospacing="0"/>
                    <w:ind w:left="0" w:right="0"/>
                    <w:jc w:val="center"/>
                    <w:rPr>
                      <w:rFonts w:hint="eastAsia" w:ascii="Times New Roman" w:hAnsi="Times New Roman" w:eastAsia="宋体" w:cs="Times New Roman"/>
                      <w:b w:val="0"/>
                      <w:bCs w:val="0"/>
                      <w:kern w:val="0"/>
                      <w:sz w:val="21"/>
                      <w:szCs w:val="21"/>
                      <w:highlight w:val="none"/>
                    </w:rPr>
                  </w:pPr>
                  <w:r>
                    <w:rPr>
                      <w:rFonts w:hint="eastAsia" w:ascii="Times New Roman" w:hAnsi="Times New Roman" w:eastAsia="宋体" w:cs="Times New Roman"/>
                      <w:b w:val="0"/>
                      <w:bCs w:val="0"/>
                      <w:kern w:val="0"/>
                      <w:sz w:val="21"/>
                      <w:szCs w:val="21"/>
                      <w:highlight w:val="none"/>
                    </w:rPr>
                    <w:t>空间相对位置/m</w:t>
                  </w:r>
                </w:p>
              </w:tc>
              <w:tc>
                <w:tcPr>
                  <w:tcW w:w="666" w:type="pct"/>
                  <w:vMerge w:val="restart"/>
                  <w:noWrap w:val="0"/>
                  <w:tcMar>
                    <w:left w:w="57" w:type="dxa"/>
                    <w:right w:w="57" w:type="dxa"/>
                  </w:tcMar>
                  <w:vAlign w:val="center"/>
                </w:tcPr>
                <w:p w14:paraId="4E099006">
                  <w:pPr>
                    <w:keepNext w:val="0"/>
                    <w:keepLines w:val="0"/>
                    <w:suppressLineNumbers w:val="0"/>
                    <w:adjustRightInd w:val="0"/>
                    <w:snapToGrid w:val="0"/>
                    <w:spacing w:before="0" w:beforeAutospacing="0" w:after="0" w:afterAutospacing="0"/>
                    <w:ind w:left="0" w:right="0"/>
                    <w:jc w:val="center"/>
                    <w:rPr>
                      <w:rFonts w:hint="eastAsia" w:ascii="Times New Roman" w:hAnsi="Times New Roman" w:eastAsia="宋体" w:cs="Times New Roman"/>
                      <w:b w:val="0"/>
                      <w:bCs w:val="0"/>
                      <w:kern w:val="0"/>
                      <w:sz w:val="21"/>
                      <w:szCs w:val="21"/>
                      <w:highlight w:val="none"/>
                    </w:rPr>
                  </w:pPr>
                  <w:r>
                    <w:rPr>
                      <w:rFonts w:hint="eastAsia" w:ascii="Times New Roman" w:hAnsi="Times New Roman" w:eastAsia="宋体" w:cs="Times New Roman"/>
                      <w:b w:val="0"/>
                      <w:bCs w:val="0"/>
                      <w:kern w:val="0"/>
                      <w:sz w:val="21"/>
                      <w:szCs w:val="21"/>
                      <w:highlight w:val="none"/>
                    </w:rPr>
                    <w:t>声功率级/</w:t>
                  </w:r>
                  <w:r>
                    <w:rPr>
                      <w:rFonts w:hint="default" w:ascii="Times New Roman" w:hAnsi="Times New Roman" w:eastAsia="宋体" w:cs="Times New Roman"/>
                      <w:b w:val="0"/>
                      <w:bCs w:val="0"/>
                      <w:kern w:val="0"/>
                      <w:sz w:val="21"/>
                      <w:szCs w:val="21"/>
                      <w:highlight w:val="none"/>
                    </w:rPr>
                    <w:t>dB</w:t>
                  </w:r>
                  <w:r>
                    <w:rPr>
                      <w:rFonts w:hint="eastAsia" w:ascii="Times New Roman" w:hAnsi="Times New Roman" w:eastAsia="宋体" w:cs="Times New Roman"/>
                      <w:b w:val="0"/>
                      <w:bCs w:val="0"/>
                      <w:kern w:val="0"/>
                      <w:sz w:val="21"/>
                      <w:szCs w:val="21"/>
                      <w:highlight w:val="none"/>
                    </w:rPr>
                    <w:t>（A）</w:t>
                  </w:r>
                </w:p>
              </w:tc>
              <w:tc>
                <w:tcPr>
                  <w:tcW w:w="633" w:type="pct"/>
                  <w:vMerge w:val="restart"/>
                  <w:noWrap w:val="0"/>
                  <w:tcMar>
                    <w:left w:w="57" w:type="dxa"/>
                    <w:right w:w="57" w:type="dxa"/>
                  </w:tcMar>
                  <w:vAlign w:val="center"/>
                </w:tcPr>
                <w:p w14:paraId="6536E050">
                  <w:pPr>
                    <w:keepNext w:val="0"/>
                    <w:keepLines w:val="0"/>
                    <w:suppressLineNumbers w:val="0"/>
                    <w:adjustRightInd w:val="0"/>
                    <w:snapToGrid w:val="0"/>
                    <w:spacing w:before="0" w:beforeAutospacing="0" w:after="0" w:afterAutospacing="0"/>
                    <w:ind w:left="0" w:right="0"/>
                    <w:jc w:val="center"/>
                    <w:rPr>
                      <w:rFonts w:hint="eastAsia" w:ascii="Times New Roman" w:hAnsi="Times New Roman" w:eastAsia="宋体" w:cs="Times New Roman"/>
                      <w:b w:val="0"/>
                      <w:bCs w:val="0"/>
                      <w:kern w:val="0"/>
                      <w:sz w:val="21"/>
                      <w:szCs w:val="21"/>
                      <w:highlight w:val="none"/>
                    </w:rPr>
                  </w:pPr>
                  <w:r>
                    <w:rPr>
                      <w:rFonts w:hint="eastAsia" w:ascii="Times New Roman" w:hAnsi="Times New Roman" w:eastAsia="宋体" w:cs="Times New Roman"/>
                      <w:b w:val="0"/>
                      <w:bCs w:val="0"/>
                      <w:kern w:val="0"/>
                      <w:sz w:val="21"/>
                      <w:szCs w:val="21"/>
                      <w:highlight w:val="none"/>
                    </w:rPr>
                    <w:t>声源控制措施</w:t>
                  </w:r>
                </w:p>
              </w:tc>
              <w:tc>
                <w:tcPr>
                  <w:tcW w:w="672" w:type="pct"/>
                  <w:vMerge w:val="restart"/>
                  <w:noWrap w:val="0"/>
                  <w:tcMar>
                    <w:left w:w="57" w:type="dxa"/>
                    <w:right w:w="57" w:type="dxa"/>
                  </w:tcMar>
                  <w:vAlign w:val="center"/>
                </w:tcPr>
                <w:p w14:paraId="1A946073">
                  <w:pPr>
                    <w:keepNext w:val="0"/>
                    <w:keepLines w:val="0"/>
                    <w:suppressLineNumbers w:val="0"/>
                    <w:adjustRightInd w:val="0"/>
                    <w:snapToGrid w:val="0"/>
                    <w:spacing w:before="0" w:beforeAutospacing="0" w:after="0" w:afterAutospacing="0"/>
                    <w:ind w:left="0" w:right="0"/>
                    <w:jc w:val="center"/>
                    <w:rPr>
                      <w:rFonts w:hint="eastAsia" w:ascii="Times New Roman" w:hAnsi="Times New Roman" w:eastAsia="宋体" w:cs="Times New Roman"/>
                      <w:b w:val="0"/>
                      <w:bCs w:val="0"/>
                      <w:kern w:val="0"/>
                      <w:sz w:val="21"/>
                      <w:szCs w:val="21"/>
                      <w:highlight w:val="none"/>
                    </w:rPr>
                  </w:pPr>
                  <w:r>
                    <w:rPr>
                      <w:rFonts w:hint="eastAsia" w:ascii="Times New Roman" w:hAnsi="Times New Roman" w:eastAsia="宋体" w:cs="Times New Roman"/>
                      <w:b w:val="0"/>
                      <w:bCs w:val="0"/>
                      <w:kern w:val="0"/>
                      <w:sz w:val="21"/>
                      <w:szCs w:val="21"/>
                      <w:highlight w:val="none"/>
                    </w:rPr>
                    <w:t>运行时段</w:t>
                  </w:r>
                </w:p>
              </w:tc>
            </w:tr>
            <w:tr w14:paraId="15C470B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c>
                <w:tcPr>
                  <w:tcW w:w="345" w:type="pct"/>
                  <w:vMerge w:val="continue"/>
                  <w:noWrap w:val="0"/>
                  <w:tcMar>
                    <w:left w:w="57" w:type="dxa"/>
                    <w:right w:w="57" w:type="dxa"/>
                  </w:tcMar>
                  <w:vAlign w:val="center"/>
                </w:tcPr>
                <w:p w14:paraId="7B01A2A1">
                  <w:pPr>
                    <w:keepNext w:val="0"/>
                    <w:keepLines w:val="0"/>
                    <w:suppressLineNumbers w:val="0"/>
                    <w:adjustRightInd w:val="0"/>
                    <w:snapToGrid w:val="0"/>
                    <w:spacing w:before="0" w:beforeAutospacing="0" w:after="0" w:afterAutospacing="0"/>
                    <w:ind w:left="0" w:right="0"/>
                    <w:jc w:val="center"/>
                    <w:rPr>
                      <w:rFonts w:hint="eastAsia" w:ascii="Times New Roman" w:hAnsi="Times New Roman" w:eastAsia="宋体" w:cs="Times New Roman"/>
                      <w:b w:val="0"/>
                      <w:bCs w:val="0"/>
                      <w:kern w:val="0"/>
                      <w:sz w:val="21"/>
                      <w:szCs w:val="21"/>
                      <w:highlight w:val="none"/>
                    </w:rPr>
                  </w:pPr>
                </w:p>
              </w:tc>
              <w:tc>
                <w:tcPr>
                  <w:tcW w:w="1298" w:type="pct"/>
                  <w:gridSpan w:val="2"/>
                  <w:vMerge w:val="continue"/>
                  <w:noWrap w:val="0"/>
                  <w:tcMar>
                    <w:left w:w="57" w:type="dxa"/>
                    <w:right w:w="57" w:type="dxa"/>
                  </w:tcMar>
                  <w:vAlign w:val="center"/>
                </w:tcPr>
                <w:p w14:paraId="7452AE96">
                  <w:pPr>
                    <w:keepNext w:val="0"/>
                    <w:keepLines w:val="0"/>
                    <w:suppressLineNumbers w:val="0"/>
                    <w:adjustRightInd w:val="0"/>
                    <w:snapToGrid w:val="0"/>
                    <w:spacing w:before="0" w:beforeAutospacing="0" w:after="0" w:afterAutospacing="0"/>
                    <w:ind w:left="0" w:right="0"/>
                    <w:jc w:val="center"/>
                    <w:rPr>
                      <w:rFonts w:hint="eastAsia" w:ascii="Times New Roman" w:hAnsi="Times New Roman" w:eastAsia="宋体" w:cs="Times New Roman"/>
                      <w:b w:val="0"/>
                      <w:bCs w:val="0"/>
                      <w:kern w:val="0"/>
                      <w:sz w:val="21"/>
                      <w:szCs w:val="21"/>
                      <w:highlight w:val="none"/>
                    </w:rPr>
                  </w:pPr>
                </w:p>
              </w:tc>
              <w:tc>
                <w:tcPr>
                  <w:tcW w:w="348" w:type="pct"/>
                  <w:vMerge w:val="continue"/>
                  <w:noWrap w:val="0"/>
                  <w:tcMar>
                    <w:left w:w="57" w:type="dxa"/>
                    <w:right w:w="57" w:type="dxa"/>
                  </w:tcMar>
                  <w:vAlign w:val="center"/>
                </w:tcPr>
                <w:p w14:paraId="33C7684B">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b w:val="0"/>
                      <w:bCs w:val="0"/>
                      <w:kern w:val="0"/>
                      <w:sz w:val="21"/>
                      <w:szCs w:val="21"/>
                      <w:highlight w:val="none"/>
                    </w:rPr>
                  </w:pPr>
                </w:p>
              </w:tc>
              <w:tc>
                <w:tcPr>
                  <w:tcW w:w="353" w:type="pct"/>
                  <w:noWrap w:val="0"/>
                  <w:tcMar>
                    <w:left w:w="57" w:type="dxa"/>
                    <w:right w:w="57" w:type="dxa"/>
                  </w:tcMar>
                  <w:vAlign w:val="center"/>
                </w:tcPr>
                <w:p w14:paraId="23A62634">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b w:val="0"/>
                      <w:bCs w:val="0"/>
                      <w:kern w:val="0"/>
                      <w:sz w:val="21"/>
                      <w:szCs w:val="21"/>
                      <w:highlight w:val="none"/>
                    </w:rPr>
                  </w:pPr>
                  <w:r>
                    <w:rPr>
                      <w:rFonts w:hint="eastAsia" w:ascii="Times New Roman" w:hAnsi="Times New Roman" w:eastAsia="宋体" w:cs="Times New Roman"/>
                      <w:b w:val="0"/>
                      <w:bCs w:val="0"/>
                      <w:kern w:val="0"/>
                      <w:sz w:val="21"/>
                      <w:szCs w:val="21"/>
                      <w:highlight w:val="none"/>
                    </w:rPr>
                    <w:t>X</w:t>
                  </w:r>
                </w:p>
              </w:tc>
              <w:tc>
                <w:tcPr>
                  <w:tcW w:w="340" w:type="pct"/>
                  <w:noWrap w:val="0"/>
                  <w:tcMar>
                    <w:left w:w="57" w:type="dxa"/>
                    <w:right w:w="57" w:type="dxa"/>
                  </w:tcMar>
                  <w:vAlign w:val="center"/>
                </w:tcPr>
                <w:p w14:paraId="61B39039">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b w:val="0"/>
                      <w:bCs w:val="0"/>
                      <w:kern w:val="0"/>
                      <w:sz w:val="21"/>
                      <w:szCs w:val="21"/>
                      <w:highlight w:val="none"/>
                    </w:rPr>
                  </w:pPr>
                  <w:r>
                    <w:rPr>
                      <w:rFonts w:hint="eastAsia" w:ascii="Times New Roman" w:hAnsi="Times New Roman" w:eastAsia="宋体" w:cs="Times New Roman"/>
                      <w:b w:val="0"/>
                      <w:bCs w:val="0"/>
                      <w:kern w:val="0"/>
                      <w:sz w:val="21"/>
                      <w:szCs w:val="21"/>
                      <w:highlight w:val="none"/>
                    </w:rPr>
                    <w:t>Y</w:t>
                  </w:r>
                </w:p>
              </w:tc>
              <w:tc>
                <w:tcPr>
                  <w:tcW w:w="339" w:type="pct"/>
                  <w:noWrap w:val="0"/>
                  <w:tcMar>
                    <w:left w:w="57" w:type="dxa"/>
                    <w:right w:w="57" w:type="dxa"/>
                  </w:tcMar>
                  <w:vAlign w:val="center"/>
                </w:tcPr>
                <w:p w14:paraId="03B56B86">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b w:val="0"/>
                      <w:bCs w:val="0"/>
                      <w:kern w:val="0"/>
                      <w:sz w:val="21"/>
                      <w:szCs w:val="21"/>
                      <w:highlight w:val="none"/>
                    </w:rPr>
                  </w:pPr>
                  <w:r>
                    <w:rPr>
                      <w:rFonts w:hint="eastAsia" w:ascii="Times New Roman" w:hAnsi="Times New Roman" w:eastAsia="宋体" w:cs="Times New Roman"/>
                      <w:b w:val="0"/>
                      <w:bCs w:val="0"/>
                      <w:kern w:val="0"/>
                      <w:sz w:val="21"/>
                      <w:szCs w:val="21"/>
                      <w:highlight w:val="none"/>
                    </w:rPr>
                    <w:t>Z</w:t>
                  </w:r>
                </w:p>
              </w:tc>
              <w:tc>
                <w:tcPr>
                  <w:tcW w:w="666" w:type="pct"/>
                  <w:vMerge w:val="continue"/>
                  <w:noWrap w:val="0"/>
                  <w:tcMar>
                    <w:left w:w="57" w:type="dxa"/>
                    <w:right w:w="57" w:type="dxa"/>
                  </w:tcMar>
                  <w:vAlign w:val="center"/>
                </w:tcPr>
                <w:p w14:paraId="4B0094BD">
                  <w:pPr>
                    <w:keepNext w:val="0"/>
                    <w:keepLines w:val="0"/>
                    <w:suppressLineNumbers w:val="0"/>
                    <w:adjustRightInd w:val="0"/>
                    <w:snapToGrid w:val="0"/>
                    <w:spacing w:before="0" w:beforeAutospacing="0" w:after="0" w:afterAutospacing="0"/>
                    <w:ind w:left="0" w:right="0"/>
                    <w:jc w:val="center"/>
                    <w:rPr>
                      <w:rFonts w:hint="eastAsia" w:ascii="Times New Roman" w:hAnsi="Times New Roman" w:eastAsia="宋体" w:cs="Times New Roman"/>
                      <w:b w:val="0"/>
                      <w:bCs w:val="0"/>
                      <w:kern w:val="0"/>
                      <w:sz w:val="21"/>
                      <w:szCs w:val="21"/>
                      <w:highlight w:val="none"/>
                    </w:rPr>
                  </w:pPr>
                </w:p>
              </w:tc>
              <w:tc>
                <w:tcPr>
                  <w:tcW w:w="633" w:type="pct"/>
                  <w:vMerge w:val="continue"/>
                  <w:noWrap w:val="0"/>
                  <w:tcMar>
                    <w:left w:w="57" w:type="dxa"/>
                    <w:right w:w="57" w:type="dxa"/>
                  </w:tcMar>
                  <w:vAlign w:val="center"/>
                </w:tcPr>
                <w:p w14:paraId="6717BFE7">
                  <w:pPr>
                    <w:keepNext w:val="0"/>
                    <w:keepLines w:val="0"/>
                    <w:suppressLineNumbers w:val="0"/>
                    <w:adjustRightInd w:val="0"/>
                    <w:snapToGrid w:val="0"/>
                    <w:spacing w:before="0" w:beforeAutospacing="0" w:after="0" w:afterAutospacing="0"/>
                    <w:ind w:left="0" w:right="0"/>
                    <w:jc w:val="center"/>
                    <w:rPr>
                      <w:rFonts w:hint="eastAsia" w:ascii="Times New Roman" w:hAnsi="Times New Roman" w:eastAsia="宋体" w:cs="Times New Roman"/>
                      <w:b w:val="0"/>
                      <w:bCs w:val="0"/>
                      <w:kern w:val="0"/>
                      <w:sz w:val="21"/>
                      <w:szCs w:val="21"/>
                      <w:highlight w:val="none"/>
                    </w:rPr>
                  </w:pPr>
                </w:p>
              </w:tc>
              <w:tc>
                <w:tcPr>
                  <w:tcW w:w="672" w:type="pct"/>
                  <w:vMerge w:val="continue"/>
                  <w:noWrap w:val="0"/>
                  <w:tcMar>
                    <w:left w:w="57" w:type="dxa"/>
                    <w:right w:w="57" w:type="dxa"/>
                  </w:tcMar>
                  <w:vAlign w:val="center"/>
                </w:tcPr>
                <w:p w14:paraId="6867C1BA">
                  <w:pPr>
                    <w:keepNext w:val="0"/>
                    <w:keepLines w:val="0"/>
                    <w:suppressLineNumbers w:val="0"/>
                    <w:adjustRightInd w:val="0"/>
                    <w:snapToGrid w:val="0"/>
                    <w:spacing w:before="0" w:beforeAutospacing="0" w:after="0" w:afterAutospacing="0"/>
                    <w:ind w:left="0" w:right="0"/>
                    <w:jc w:val="center"/>
                    <w:rPr>
                      <w:rFonts w:hint="eastAsia" w:ascii="Times New Roman" w:hAnsi="Times New Roman" w:eastAsia="宋体" w:cs="Times New Roman"/>
                      <w:b w:val="0"/>
                      <w:bCs w:val="0"/>
                      <w:kern w:val="0"/>
                      <w:sz w:val="21"/>
                      <w:szCs w:val="21"/>
                      <w:highlight w:val="none"/>
                    </w:rPr>
                  </w:pPr>
                </w:p>
              </w:tc>
            </w:tr>
            <w:tr w14:paraId="5391A09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c>
                <w:tcPr>
                  <w:tcW w:w="345" w:type="pct"/>
                  <w:noWrap w:val="0"/>
                  <w:tcMar>
                    <w:left w:w="57" w:type="dxa"/>
                    <w:right w:w="57" w:type="dxa"/>
                  </w:tcMar>
                  <w:vAlign w:val="center"/>
                </w:tcPr>
                <w:p w14:paraId="6BE0740C">
                  <w:pPr>
                    <w:keepNext w:val="0"/>
                    <w:keepLines w:val="0"/>
                    <w:suppressLineNumbers w:val="0"/>
                    <w:adjustRightInd w:val="0"/>
                    <w:snapToGrid w:val="0"/>
                    <w:spacing w:before="0" w:beforeAutospacing="0" w:after="0" w:afterAutospacing="0"/>
                    <w:ind w:left="0" w:right="0"/>
                    <w:jc w:val="center"/>
                    <w:rPr>
                      <w:rFonts w:hint="eastAsia" w:ascii="Times New Roman" w:hAnsi="Times New Roman" w:eastAsia="宋体" w:cs="Times New Roman"/>
                      <w:b w:val="0"/>
                      <w:bCs w:val="0"/>
                      <w:kern w:val="0"/>
                      <w:sz w:val="21"/>
                      <w:szCs w:val="21"/>
                      <w:highlight w:val="none"/>
                      <w:lang w:val="en-US" w:eastAsia="zh-CN"/>
                    </w:rPr>
                  </w:pPr>
                  <w:r>
                    <w:rPr>
                      <w:rFonts w:hint="eastAsia" w:ascii="Times New Roman" w:hAnsi="Times New Roman" w:eastAsia="宋体" w:cs="Times New Roman"/>
                      <w:b w:val="0"/>
                      <w:bCs w:val="0"/>
                      <w:kern w:val="0"/>
                      <w:sz w:val="21"/>
                      <w:szCs w:val="21"/>
                      <w:highlight w:val="none"/>
                      <w:lang w:val="en-US" w:eastAsia="zh-CN"/>
                    </w:rPr>
                    <w:t>1</w:t>
                  </w:r>
                </w:p>
              </w:tc>
              <w:tc>
                <w:tcPr>
                  <w:tcW w:w="453" w:type="pct"/>
                  <w:vMerge w:val="restart"/>
                  <w:noWrap w:val="0"/>
                  <w:tcMar>
                    <w:left w:w="57" w:type="dxa"/>
                    <w:right w:w="57" w:type="dxa"/>
                  </w:tcMar>
                  <w:vAlign w:val="center"/>
                </w:tcPr>
                <w:p w14:paraId="4E40E185">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b w:val="0"/>
                      <w:bCs w:val="0"/>
                      <w:sz w:val="21"/>
                      <w:szCs w:val="21"/>
                      <w:highlight w:val="none"/>
                      <w:lang w:val="en-US" w:eastAsia="zh-CN"/>
                    </w:rPr>
                  </w:pPr>
                  <w:r>
                    <w:rPr>
                      <w:rFonts w:hint="eastAsia" w:cs="Times New Roman"/>
                      <w:b w:val="0"/>
                      <w:bCs w:val="0"/>
                      <w:sz w:val="21"/>
                      <w:szCs w:val="21"/>
                      <w:highlight w:val="none"/>
                      <w:lang w:val="en-US" w:eastAsia="zh-CN"/>
                    </w:rPr>
                    <w:t>实验动物中心</w:t>
                  </w:r>
                </w:p>
              </w:tc>
              <w:tc>
                <w:tcPr>
                  <w:tcW w:w="845" w:type="pct"/>
                  <w:noWrap w:val="0"/>
                  <w:tcMar>
                    <w:left w:w="57" w:type="dxa"/>
                    <w:right w:w="57" w:type="dxa"/>
                  </w:tcMar>
                  <w:vAlign w:val="center"/>
                </w:tcPr>
                <w:p w14:paraId="6CF2800B">
                  <w:pPr>
                    <w:keepNext w:val="0"/>
                    <w:keepLines w:val="0"/>
                    <w:suppressLineNumbers w:val="0"/>
                    <w:adjustRightInd w:val="0"/>
                    <w:snapToGrid w:val="0"/>
                    <w:spacing w:before="0" w:beforeAutospacing="0" w:after="0" w:afterAutospacing="0"/>
                    <w:ind w:left="0" w:right="0"/>
                    <w:jc w:val="center"/>
                    <w:rPr>
                      <w:rFonts w:hint="eastAsia" w:cs="Times New Roman"/>
                      <w:b w:val="0"/>
                      <w:bCs w:val="0"/>
                      <w:sz w:val="21"/>
                      <w:szCs w:val="21"/>
                      <w:highlight w:val="none"/>
                      <w:lang w:val="en-US" w:eastAsia="zh-CN"/>
                    </w:rPr>
                  </w:pPr>
                  <w:r>
                    <w:rPr>
                      <w:rFonts w:hint="eastAsia" w:cs="Times New Roman"/>
                      <w:b w:val="0"/>
                      <w:bCs w:val="0"/>
                      <w:sz w:val="21"/>
                      <w:szCs w:val="21"/>
                      <w:highlight w:val="none"/>
                      <w:lang w:val="en-US" w:eastAsia="zh-CN"/>
                    </w:rPr>
                    <w:t>制水间新风系统风机</w:t>
                  </w:r>
                </w:p>
              </w:tc>
              <w:tc>
                <w:tcPr>
                  <w:tcW w:w="348" w:type="pct"/>
                  <w:noWrap w:val="0"/>
                  <w:tcMar>
                    <w:left w:w="57" w:type="dxa"/>
                    <w:right w:w="57" w:type="dxa"/>
                  </w:tcMar>
                  <w:vAlign w:val="center"/>
                </w:tcPr>
                <w:p w14:paraId="140B58EF">
                  <w:pPr>
                    <w:keepNext w:val="0"/>
                    <w:keepLines w:val="0"/>
                    <w:suppressLineNumbers w:val="0"/>
                    <w:snapToGrid w:val="0"/>
                    <w:spacing w:before="0" w:beforeAutospacing="0" w:after="0" w:afterAutospacing="0"/>
                    <w:ind w:left="0" w:right="0"/>
                    <w:jc w:val="center"/>
                    <w:rPr>
                      <w:rFonts w:hint="eastAsia" w:ascii="Times New Roman" w:hAnsi="Times New Roman" w:eastAsia="宋体" w:cs="Times New Roman"/>
                      <w:b w:val="0"/>
                      <w:bCs w:val="0"/>
                      <w:sz w:val="21"/>
                      <w:szCs w:val="21"/>
                      <w:highlight w:val="none"/>
                    </w:rPr>
                  </w:pPr>
                  <w:r>
                    <w:rPr>
                      <w:rFonts w:hint="eastAsia" w:ascii="Times New Roman" w:hAnsi="Times New Roman" w:eastAsia="宋体" w:cs="Times New Roman"/>
                      <w:b w:val="0"/>
                      <w:bCs w:val="0"/>
                      <w:sz w:val="21"/>
                      <w:szCs w:val="21"/>
                      <w:highlight w:val="none"/>
                    </w:rPr>
                    <w:t>/</w:t>
                  </w:r>
                </w:p>
              </w:tc>
              <w:tc>
                <w:tcPr>
                  <w:tcW w:w="353" w:type="pct"/>
                  <w:noWrap w:val="0"/>
                  <w:tcMar>
                    <w:left w:w="57" w:type="dxa"/>
                    <w:right w:w="57" w:type="dxa"/>
                  </w:tcMar>
                  <w:vAlign w:val="center"/>
                </w:tcPr>
                <w:p w14:paraId="1026B761">
                  <w:pPr>
                    <w:keepNext w:val="0"/>
                    <w:keepLines w:val="0"/>
                    <w:suppressLineNumbers w:val="0"/>
                    <w:spacing w:before="0" w:beforeAutospacing="0" w:after="0" w:afterAutospacing="0"/>
                    <w:ind w:left="0" w:right="0"/>
                    <w:jc w:val="center"/>
                    <w:rPr>
                      <w:rFonts w:hint="default" w:ascii="Times New Roman" w:hAnsi="Times New Roman" w:eastAsia="宋体" w:cs="Times New Roman"/>
                      <w:b w:val="0"/>
                      <w:bCs w:val="0"/>
                      <w:sz w:val="21"/>
                      <w:szCs w:val="21"/>
                      <w:highlight w:val="none"/>
                      <w:lang w:val="en-US" w:eastAsia="zh-CN"/>
                    </w:rPr>
                  </w:pPr>
                  <w:r>
                    <w:rPr>
                      <w:rFonts w:hint="eastAsia" w:ascii="Times New Roman" w:hAnsi="Times New Roman" w:eastAsia="宋体" w:cs="Times New Roman"/>
                      <w:b w:val="0"/>
                      <w:bCs w:val="0"/>
                      <w:sz w:val="21"/>
                      <w:szCs w:val="21"/>
                      <w:highlight w:val="none"/>
                      <w:lang w:val="en-US" w:eastAsia="zh-CN"/>
                    </w:rPr>
                    <w:t>-17</w:t>
                  </w:r>
                </w:p>
              </w:tc>
              <w:tc>
                <w:tcPr>
                  <w:tcW w:w="340" w:type="pct"/>
                  <w:noWrap w:val="0"/>
                  <w:tcMar>
                    <w:left w:w="57" w:type="dxa"/>
                    <w:right w:w="57" w:type="dxa"/>
                  </w:tcMar>
                  <w:vAlign w:val="center"/>
                </w:tcPr>
                <w:p w14:paraId="0444EF2C">
                  <w:pPr>
                    <w:keepNext w:val="0"/>
                    <w:keepLines w:val="0"/>
                    <w:suppressLineNumbers w:val="0"/>
                    <w:spacing w:before="0" w:beforeAutospacing="0" w:after="0" w:afterAutospacing="0"/>
                    <w:ind w:left="0" w:right="0"/>
                    <w:jc w:val="center"/>
                    <w:rPr>
                      <w:rFonts w:hint="default" w:ascii="Times New Roman" w:hAnsi="Times New Roman" w:eastAsia="宋体" w:cs="Times New Roman"/>
                      <w:b w:val="0"/>
                      <w:bCs w:val="0"/>
                      <w:sz w:val="21"/>
                      <w:szCs w:val="21"/>
                      <w:highlight w:val="none"/>
                      <w:lang w:val="en-US" w:eastAsia="zh-CN"/>
                    </w:rPr>
                  </w:pPr>
                  <w:r>
                    <w:rPr>
                      <w:rFonts w:hint="eastAsia" w:ascii="Times New Roman" w:hAnsi="Times New Roman" w:eastAsia="宋体" w:cs="Times New Roman"/>
                      <w:b w:val="0"/>
                      <w:bCs w:val="0"/>
                      <w:sz w:val="21"/>
                      <w:szCs w:val="21"/>
                      <w:highlight w:val="none"/>
                      <w:lang w:val="en-US" w:eastAsia="zh-CN"/>
                    </w:rPr>
                    <w:t>135</w:t>
                  </w:r>
                </w:p>
              </w:tc>
              <w:tc>
                <w:tcPr>
                  <w:tcW w:w="339" w:type="pct"/>
                  <w:noWrap w:val="0"/>
                  <w:tcMar>
                    <w:left w:w="57" w:type="dxa"/>
                    <w:right w:w="57" w:type="dxa"/>
                  </w:tcMar>
                  <w:vAlign w:val="center"/>
                </w:tcPr>
                <w:p w14:paraId="471FF4CC">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b w:val="0"/>
                      <w:bCs w:val="0"/>
                      <w:kern w:val="0"/>
                      <w:sz w:val="21"/>
                      <w:szCs w:val="21"/>
                      <w:highlight w:val="none"/>
                      <w:lang w:val="en-US" w:eastAsia="zh-CN"/>
                    </w:rPr>
                  </w:pPr>
                  <w:r>
                    <w:rPr>
                      <w:rFonts w:hint="eastAsia" w:ascii="Times New Roman" w:hAnsi="Times New Roman" w:eastAsia="宋体" w:cs="Times New Roman"/>
                      <w:b w:val="0"/>
                      <w:bCs w:val="0"/>
                      <w:kern w:val="0"/>
                      <w:sz w:val="21"/>
                      <w:szCs w:val="21"/>
                      <w:highlight w:val="none"/>
                      <w:lang w:val="en-US" w:eastAsia="zh-CN"/>
                    </w:rPr>
                    <w:t>25</w:t>
                  </w:r>
                </w:p>
              </w:tc>
              <w:tc>
                <w:tcPr>
                  <w:tcW w:w="666" w:type="pct"/>
                  <w:noWrap w:val="0"/>
                  <w:tcMar>
                    <w:left w:w="57" w:type="dxa"/>
                    <w:right w:w="57" w:type="dxa"/>
                  </w:tcMar>
                  <w:vAlign w:val="center"/>
                </w:tcPr>
                <w:p w14:paraId="6F9C9650">
                  <w:pPr>
                    <w:keepNext w:val="0"/>
                    <w:keepLines w:val="0"/>
                    <w:suppressLineNumbers w:val="0"/>
                    <w:snapToGrid w:val="0"/>
                    <w:spacing w:before="0" w:beforeAutospacing="0" w:after="0" w:afterAutospacing="0"/>
                    <w:ind w:left="0" w:right="0"/>
                    <w:jc w:val="center"/>
                    <w:rPr>
                      <w:rFonts w:hint="default" w:ascii="Times New Roman" w:hAnsi="Times New Roman" w:eastAsia="宋体" w:cs="Times New Roman"/>
                      <w:b w:val="0"/>
                      <w:bCs w:val="0"/>
                      <w:sz w:val="21"/>
                      <w:szCs w:val="21"/>
                      <w:highlight w:val="none"/>
                      <w:lang w:val="en-US" w:eastAsia="zh-CN"/>
                    </w:rPr>
                  </w:pPr>
                  <w:r>
                    <w:rPr>
                      <w:rFonts w:hint="eastAsia" w:ascii="Times New Roman" w:hAnsi="Times New Roman" w:eastAsia="宋体" w:cs="Times New Roman"/>
                      <w:b w:val="0"/>
                      <w:bCs w:val="0"/>
                      <w:sz w:val="21"/>
                      <w:szCs w:val="21"/>
                      <w:highlight w:val="none"/>
                      <w:lang w:val="en-US" w:eastAsia="zh-CN"/>
                    </w:rPr>
                    <w:t>7</w:t>
                  </w:r>
                  <w:r>
                    <w:rPr>
                      <w:rFonts w:hint="eastAsia" w:cs="Times New Roman"/>
                      <w:b w:val="0"/>
                      <w:bCs w:val="0"/>
                      <w:sz w:val="21"/>
                      <w:szCs w:val="21"/>
                      <w:highlight w:val="none"/>
                      <w:lang w:val="en-US" w:eastAsia="zh-CN"/>
                    </w:rPr>
                    <w:t>2</w:t>
                  </w:r>
                </w:p>
              </w:tc>
              <w:tc>
                <w:tcPr>
                  <w:tcW w:w="633" w:type="pct"/>
                  <w:vMerge w:val="restart"/>
                  <w:noWrap w:val="0"/>
                  <w:tcMar>
                    <w:left w:w="57" w:type="dxa"/>
                    <w:right w:w="57" w:type="dxa"/>
                  </w:tcMar>
                  <w:vAlign w:val="center"/>
                </w:tcPr>
                <w:p w14:paraId="1BC70B8E">
                  <w:pPr>
                    <w:keepNext w:val="0"/>
                    <w:keepLines w:val="0"/>
                    <w:suppressLineNumbers w:val="0"/>
                    <w:adjustRightInd w:val="0"/>
                    <w:snapToGrid w:val="0"/>
                    <w:spacing w:before="0" w:beforeAutospacing="0" w:after="0" w:afterAutospacing="0"/>
                    <w:ind w:left="0" w:right="0"/>
                    <w:rPr>
                      <w:rFonts w:hint="eastAsia" w:ascii="Times New Roman" w:hAnsi="Times New Roman" w:eastAsia="宋体" w:cs="Times New Roman"/>
                      <w:b w:val="0"/>
                      <w:bCs w:val="0"/>
                      <w:kern w:val="0"/>
                      <w:sz w:val="21"/>
                      <w:szCs w:val="21"/>
                      <w:highlight w:val="none"/>
                    </w:rPr>
                  </w:pPr>
                  <w:r>
                    <w:rPr>
                      <w:rFonts w:hint="eastAsia" w:ascii="Times New Roman" w:hAnsi="Times New Roman" w:eastAsia="宋体" w:cs="Times New Roman"/>
                      <w:bCs/>
                      <w:kern w:val="0"/>
                      <w:sz w:val="21"/>
                      <w:szCs w:val="21"/>
                      <w:highlight w:val="none"/>
                    </w:rPr>
                    <w:t>选用低噪声设备，采取减震、消声措施，加强管理维护。</w:t>
                  </w:r>
                </w:p>
              </w:tc>
              <w:tc>
                <w:tcPr>
                  <w:tcW w:w="672" w:type="pct"/>
                  <w:vMerge w:val="restart"/>
                  <w:noWrap w:val="0"/>
                  <w:tcMar>
                    <w:left w:w="57" w:type="dxa"/>
                    <w:right w:w="57" w:type="dxa"/>
                  </w:tcMar>
                  <w:vAlign w:val="center"/>
                </w:tcPr>
                <w:p w14:paraId="7CD11E08">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b w:val="0"/>
                      <w:bCs w:val="0"/>
                      <w:kern w:val="0"/>
                      <w:sz w:val="21"/>
                      <w:szCs w:val="21"/>
                      <w:highlight w:val="none"/>
                      <w:lang w:val="en-US" w:eastAsia="zh-CN"/>
                    </w:rPr>
                  </w:pPr>
                  <w:r>
                    <w:rPr>
                      <w:rFonts w:hint="eastAsia" w:cs="Times New Roman"/>
                      <w:b w:val="0"/>
                      <w:bCs w:val="0"/>
                      <w:kern w:val="0"/>
                      <w:sz w:val="21"/>
                      <w:szCs w:val="21"/>
                      <w:highlight w:val="none"/>
                      <w:lang w:val="en-US" w:eastAsia="zh-CN"/>
                    </w:rPr>
                    <w:t>8h，260d</w:t>
                  </w:r>
                </w:p>
              </w:tc>
            </w:tr>
            <w:tr w14:paraId="4DEF3D6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c>
                <w:tcPr>
                  <w:tcW w:w="345" w:type="pct"/>
                  <w:noWrap w:val="0"/>
                  <w:tcMar>
                    <w:left w:w="57" w:type="dxa"/>
                    <w:right w:w="57" w:type="dxa"/>
                  </w:tcMar>
                  <w:vAlign w:val="center"/>
                </w:tcPr>
                <w:p w14:paraId="722C6BCB">
                  <w:pPr>
                    <w:keepNext w:val="0"/>
                    <w:keepLines w:val="0"/>
                    <w:suppressLineNumbers w:val="0"/>
                    <w:adjustRightInd w:val="0"/>
                    <w:snapToGrid w:val="0"/>
                    <w:spacing w:before="0" w:beforeAutospacing="0" w:after="0" w:afterAutospacing="0"/>
                    <w:ind w:left="0" w:right="0"/>
                    <w:jc w:val="center"/>
                    <w:rPr>
                      <w:rFonts w:hint="eastAsia" w:ascii="Times New Roman" w:hAnsi="Times New Roman" w:eastAsia="宋体" w:cs="Times New Roman"/>
                      <w:b w:val="0"/>
                      <w:bCs w:val="0"/>
                      <w:kern w:val="0"/>
                      <w:sz w:val="21"/>
                      <w:szCs w:val="21"/>
                      <w:highlight w:val="none"/>
                      <w:lang w:val="en-US" w:eastAsia="zh-CN"/>
                    </w:rPr>
                  </w:pPr>
                  <w:r>
                    <w:rPr>
                      <w:rFonts w:hint="eastAsia" w:ascii="Times New Roman" w:hAnsi="Times New Roman" w:eastAsia="宋体" w:cs="Times New Roman"/>
                      <w:b w:val="0"/>
                      <w:bCs w:val="0"/>
                      <w:kern w:val="0"/>
                      <w:sz w:val="21"/>
                      <w:szCs w:val="21"/>
                      <w:highlight w:val="none"/>
                      <w:lang w:val="en-US" w:eastAsia="zh-CN"/>
                    </w:rPr>
                    <w:t>2</w:t>
                  </w:r>
                </w:p>
              </w:tc>
              <w:tc>
                <w:tcPr>
                  <w:tcW w:w="453" w:type="pct"/>
                  <w:vMerge w:val="continue"/>
                  <w:noWrap w:val="0"/>
                  <w:tcMar>
                    <w:left w:w="57" w:type="dxa"/>
                    <w:right w:w="57" w:type="dxa"/>
                  </w:tcMar>
                  <w:vAlign w:val="center"/>
                </w:tcPr>
                <w:p w14:paraId="77E07B2C">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b w:val="0"/>
                      <w:bCs w:val="0"/>
                      <w:sz w:val="21"/>
                      <w:szCs w:val="21"/>
                      <w:highlight w:val="none"/>
                      <w:lang w:val="en-US" w:eastAsia="zh-CN"/>
                    </w:rPr>
                  </w:pPr>
                </w:p>
              </w:tc>
              <w:tc>
                <w:tcPr>
                  <w:tcW w:w="845" w:type="pct"/>
                  <w:noWrap w:val="0"/>
                  <w:tcMar>
                    <w:left w:w="57" w:type="dxa"/>
                    <w:right w:w="57" w:type="dxa"/>
                  </w:tcMar>
                  <w:vAlign w:val="center"/>
                </w:tcPr>
                <w:p w14:paraId="345A6CF0">
                  <w:pPr>
                    <w:keepNext w:val="0"/>
                    <w:keepLines w:val="0"/>
                    <w:suppressLineNumbers w:val="0"/>
                    <w:adjustRightInd w:val="0"/>
                    <w:snapToGrid w:val="0"/>
                    <w:spacing w:before="0" w:beforeAutospacing="0" w:after="0" w:afterAutospacing="0"/>
                    <w:ind w:left="0" w:right="0"/>
                    <w:jc w:val="center"/>
                    <w:rPr>
                      <w:rFonts w:hint="eastAsia" w:cs="Times New Roman"/>
                      <w:b w:val="0"/>
                      <w:bCs w:val="0"/>
                      <w:sz w:val="21"/>
                      <w:szCs w:val="21"/>
                      <w:highlight w:val="none"/>
                      <w:lang w:val="en-US" w:eastAsia="zh-CN"/>
                    </w:rPr>
                  </w:pPr>
                  <w:r>
                    <w:rPr>
                      <w:rFonts w:hint="eastAsia" w:cs="Times New Roman"/>
                      <w:b w:val="0"/>
                      <w:bCs w:val="0"/>
                      <w:sz w:val="21"/>
                      <w:szCs w:val="21"/>
                      <w:highlight w:val="none"/>
                      <w:lang w:val="en-US" w:eastAsia="zh-CN"/>
                    </w:rPr>
                    <w:t>气源间新风系统风机</w:t>
                  </w:r>
                </w:p>
              </w:tc>
              <w:tc>
                <w:tcPr>
                  <w:tcW w:w="348" w:type="pct"/>
                  <w:noWrap w:val="0"/>
                  <w:tcMar>
                    <w:left w:w="57" w:type="dxa"/>
                    <w:right w:w="57" w:type="dxa"/>
                  </w:tcMar>
                  <w:vAlign w:val="center"/>
                </w:tcPr>
                <w:p w14:paraId="14FC2264">
                  <w:pPr>
                    <w:keepNext w:val="0"/>
                    <w:keepLines w:val="0"/>
                    <w:suppressLineNumbers w:val="0"/>
                    <w:snapToGrid w:val="0"/>
                    <w:spacing w:before="0" w:beforeAutospacing="0" w:after="0" w:afterAutospacing="0"/>
                    <w:ind w:left="0" w:right="0"/>
                    <w:jc w:val="center"/>
                    <w:rPr>
                      <w:rFonts w:hint="eastAsia" w:ascii="Times New Roman" w:hAnsi="Times New Roman" w:eastAsia="宋体" w:cs="Times New Roman"/>
                      <w:b w:val="0"/>
                      <w:bCs w:val="0"/>
                      <w:sz w:val="21"/>
                      <w:szCs w:val="21"/>
                      <w:highlight w:val="none"/>
                    </w:rPr>
                  </w:pPr>
                  <w:r>
                    <w:rPr>
                      <w:rFonts w:hint="eastAsia" w:ascii="Times New Roman" w:hAnsi="Times New Roman" w:eastAsia="宋体" w:cs="Times New Roman"/>
                      <w:b w:val="0"/>
                      <w:bCs w:val="0"/>
                      <w:sz w:val="21"/>
                      <w:szCs w:val="21"/>
                      <w:highlight w:val="none"/>
                    </w:rPr>
                    <w:t>/</w:t>
                  </w:r>
                </w:p>
              </w:tc>
              <w:tc>
                <w:tcPr>
                  <w:tcW w:w="353" w:type="pct"/>
                  <w:noWrap w:val="0"/>
                  <w:tcMar>
                    <w:left w:w="57" w:type="dxa"/>
                    <w:right w:w="57" w:type="dxa"/>
                  </w:tcMar>
                  <w:vAlign w:val="center"/>
                </w:tcPr>
                <w:p w14:paraId="0F28F2CC">
                  <w:pPr>
                    <w:keepNext w:val="0"/>
                    <w:keepLines w:val="0"/>
                    <w:suppressLineNumbers w:val="0"/>
                    <w:spacing w:before="0" w:beforeAutospacing="0" w:after="0" w:afterAutospacing="0"/>
                    <w:ind w:left="0" w:right="0"/>
                    <w:jc w:val="center"/>
                    <w:rPr>
                      <w:rFonts w:hint="eastAsia" w:ascii="Times New Roman" w:hAnsi="Times New Roman" w:eastAsia="宋体" w:cs="Times New Roman"/>
                      <w:b w:val="0"/>
                      <w:bCs w:val="0"/>
                      <w:sz w:val="21"/>
                      <w:szCs w:val="21"/>
                      <w:highlight w:val="none"/>
                      <w:lang w:val="en-US" w:eastAsia="zh-CN"/>
                    </w:rPr>
                  </w:pPr>
                  <w:r>
                    <w:rPr>
                      <w:rFonts w:hint="eastAsia" w:ascii="Times New Roman" w:hAnsi="Times New Roman" w:eastAsia="宋体" w:cs="Times New Roman"/>
                      <w:b w:val="0"/>
                      <w:bCs w:val="0"/>
                      <w:sz w:val="21"/>
                      <w:szCs w:val="21"/>
                      <w:highlight w:val="none"/>
                      <w:lang w:val="en-US" w:eastAsia="zh-CN"/>
                    </w:rPr>
                    <w:t>-17</w:t>
                  </w:r>
                </w:p>
              </w:tc>
              <w:tc>
                <w:tcPr>
                  <w:tcW w:w="340" w:type="pct"/>
                  <w:noWrap w:val="0"/>
                  <w:tcMar>
                    <w:left w:w="57" w:type="dxa"/>
                    <w:right w:w="57" w:type="dxa"/>
                  </w:tcMar>
                  <w:vAlign w:val="center"/>
                </w:tcPr>
                <w:p w14:paraId="28B51440">
                  <w:pPr>
                    <w:keepNext w:val="0"/>
                    <w:keepLines w:val="0"/>
                    <w:suppressLineNumbers w:val="0"/>
                    <w:spacing w:before="0" w:beforeAutospacing="0" w:after="0" w:afterAutospacing="0"/>
                    <w:ind w:left="0" w:right="0"/>
                    <w:jc w:val="center"/>
                    <w:rPr>
                      <w:rFonts w:hint="default" w:ascii="Times New Roman" w:hAnsi="Times New Roman" w:eastAsia="宋体" w:cs="Times New Roman"/>
                      <w:b w:val="0"/>
                      <w:bCs w:val="0"/>
                      <w:sz w:val="21"/>
                      <w:szCs w:val="21"/>
                      <w:highlight w:val="none"/>
                      <w:lang w:val="en-US" w:eastAsia="zh-CN"/>
                    </w:rPr>
                  </w:pPr>
                  <w:r>
                    <w:rPr>
                      <w:rFonts w:hint="eastAsia" w:ascii="Times New Roman" w:hAnsi="Times New Roman" w:eastAsia="宋体" w:cs="Times New Roman"/>
                      <w:b w:val="0"/>
                      <w:bCs w:val="0"/>
                      <w:sz w:val="21"/>
                      <w:szCs w:val="21"/>
                      <w:highlight w:val="none"/>
                      <w:lang w:val="en-US" w:eastAsia="zh-CN"/>
                    </w:rPr>
                    <w:t>136</w:t>
                  </w:r>
                </w:p>
              </w:tc>
              <w:tc>
                <w:tcPr>
                  <w:tcW w:w="339" w:type="pct"/>
                  <w:noWrap w:val="0"/>
                  <w:tcMar>
                    <w:left w:w="57" w:type="dxa"/>
                    <w:right w:w="57" w:type="dxa"/>
                  </w:tcMar>
                  <w:vAlign w:val="center"/>
                </w:tcPr>
                <w:p w14:paraId="478DC881">
                  <w:pPr>
                    <w:keepNext w:val="0"/>
                    <w:keepLines w:val="0"/>
                    <w:suppressLineNumbers w:val="0"/>
                    <w:adjustRightInd w:val="0"/>
                    <w:snapToGrid w:val="0"/>
                    <w:spacing w:before="0" w:beforeAutospacing="0" w:after="0" w:afterAutospacing="0"/>
                    <w:ind w:left="0" w:right="0"/>
                    <w:jc w:val="center"/>
                    <w:rPr>
                      <w:rFonts w:hint="eastAsia" w:ascii="Times New Roman" w:hAnsi="Times New Roman" w:eastAsia="宋体" w:cs="Times New Roman"/>
                      <w:b w:val="0"/>
                      <w:bCs w:val="0"/>
                      <w:kern w:val="0"/>
                      <w:sz w:val="21"/>
                      <w:szCs w:val="21"/>
                      <w:highlight w:val="none"/>
                      <w:lang w:val="en-US" w:eastAsia="zh-CN"/>
                    </w:rPr>
                  </w:pPr>
                  <w:r>
                    <w:rPr>
                      <w:rFonts w:hint="eastAsia" w:ascii="Times New Roman" w:hAnsi="Times New Roman" w:eastAsia="宋体" w:cs="Times New Roman"/>
                      <w:b w:val="0"/>
                      <w:bCs w:val="0"/>
                      <w:kern w:val="0"/>
                      <w:sz w:val="21"/>
                      <w:szCs w:val="21"/>
                      <w:highlight w:val="none"/>
                      <w:lang w:val="en-US" w:eastAsia="zh-CN"/>
                    </w:rPr>
                    <w:t>25</w:t>
                  </w:r>
                </w:p>
              </w:tc>
              <w:tc>
                <w:tcPr>
                  <w:tcW w:w="666" w:type="pct"/>
                  <w:noWrap w:val="0"/>
                  <w:tcMar>
                    <w:left w:w="57" w:type="dxa"/>
                    <w:right w:w="57" w:type="dxa"/>
                  </w:tcMar>
                  <w:vAlign w:val="center"/>
                </w:tcPr>
                <w:p w14:paraId="42B64E4E">
                  <w:pPr>
                    <w:keepNext w:val="0"/>
                    <w:keepLines w:val="0"/>
                    <w:suppressLineNumbers w:val="0"/>
                    <w:snapToGrid w:val="0"/>
                    <w:spacing w:before="0" w:beforeAutospacing="0" w:after="0" w:afterAutospacing="0"/>
                    <w:ind w:left="0" w:right="0"/>
                    <w:jc w:val="center"/>
                    <w:rPr>
                      <w:rFonts w:hint="default" w:ascii="Times New Roman" w:hAnsi="Times New Roman" w:eastAsia="宋体" w:cs="Times New Roman"/>
                      <w:b w:val="0"/>
                      <w:bCs w:val="0"/>
                      <w:sz w:val="21"/>
                      <w:szCs w:val="21"/>
                      <w:highlight w:val="none"/>
                      <w:lang w:val="en-US"/>
                    </w:rPr>
                  </w:pPr>
                  <w:r>
                    <w:rPr>
                      <w:rFonts w:hint="eastAsia" w:cs="Times New Roman"/>
                      <w:b w:val="0"/>
                      <w:bCs w:val="0"/>
                      <w:sz w:val="21"/>
                      <w:szCs w:val="21"/>
                      <w:highlight w:val="none"/>
                      <w:lang w:val="en-US" w:eastAsia="zh-CN"/>
                    </w:rPr>
                    <w:t>72</w:t>
                  </w:r>
                </w:p>
              </w:tc>
              <w:tc>
                <w:tcPr>
                  <w:tcW w:w="633" w:type="pct"/>
                  <w:vMerge w:val="continue"/>
                  <w:noWrap w:val="0"/>
                  <w:tcMar>
                    <w:left w:w="57" w:type="dxa"/>
                    <w:right w:w="57" w:type="dxa"/>
                  </w:tcMar>
                  <w:vAlign w:val="center"/>
                </w:tcPr>
                <w:p w14:paraId="31E1561B">
                  <w:pPr>
                    <w:keepNext w:val="0"/>
                    <w:keepLines w:val="0"/>
                    <w:suppressLineNumbers w:val="0"/>
                    <w:adjustRightInd w:val="0"/>
                    <w:snapToGrid w:val="0"/>
                    <w:spacing w:before="0" w:beforeAutospacing="0" w:after="0" w:afterAutospacing="0"/>
                    <w:ind w:left="0" w:right="0"/>
                    <w:rPr>
                      <w:rFonts w:hint="eastAsia" w:ascii="Times New Roman" w:hAnsi="Times New Roman" w:eastAsia="宋体" w:cs="Times New Roman"/>
                      <w:b w:val="0"/>
                      <w:bCs w:val="0"/>
                      <w:kern w:val="0"/>
                      <w:sz w:val="21"/>
                      <w:szCs w:val="21"/>
                      <w:highlight w:val="none"/>
                    </w:rPr>
                  </w:pPr>
                </w:p>
              </w:tc>
              <w:tc>
                <w:tcPr>
                  <w:tcW w:w="672" w:type="pct"/>
                  <w:vMerge w:val="continue"/>
                  <w:noWrap w:val="0"/>
                  <w:tcMar>
                    <w:left w:w="57" w:type="dxa"/>
                    <w:right w:w="57" w:type="dxa"/>
                  </w:tcMar>
                  <w:vAlign w:val="center"/>
                </w:tcPr>
                <w:p w14:paraId="2A39C2D2">
                  <w:pPr>
                    <w:keepNext w:val="0"/>
                    <w:keepLines w:val="0"/>
                    <w:suppressLineNumbers w:val="0"/>
                    <w:adjustRightInd w:val="0"/>
                    <w:snapToGrid w:val="0"/>
                    <w:spacing w:before="0" w:beforeAutospacing="0" w:after="0" w:afterAutospacing="0"/>
                    <w:ind w:left="0" w:right="0"/>
                    <w:jc w:val="center"/>
                    <w:rPr>
                      <w:rFonts w:hint="eastAsia" w:ascii="Times New Roman" w:hAnsi="Times New Roman" w:eastAsia="宋体" w:cs="Times New Roman"/>
                      <w:b w:val="0"/>
                      <w:bCs w:val="0"/>
                      <w:kern w:val="0"/>
                      <w:sz w:val="21"/>
                      <w:szCs w:val="21"/>
                      <w:highlight w:val="none"/>
                      <w:lang w:val="en-US" w:eastAsia="zh-CN"/>
                    </w:rPr>
                  </w:pPr>
                </w:p>
              </w:tc>
            </w:tr>
            <w:tr w14:paraId="4EFC263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c>
                <w:tcPr>
                  <w:tcW w:w="345" w:type="pct"/>
                  <w:noWrap w:val="0"/>
                  <w:tcMar>
                    <w:left w:w="57" w:type="dxa"/>
                    <w:right w:w="57" w:type="dxa"/>
                  </w:tcMar>
                  <w:vAlign w:val="center"/>
                </w:tcPr>
                <w:p w14:paraId="709782B4">
                  <w:pPr>
                    <w:keepNext w:val="0"/>
                    <w:keepLines w:val="0"/>
                    <w:suppressLineNumbers w:val="0"/>
                    <w:adjustRightInd w:val="0"/>
                    <w:snapToGrid w:val="0"/>
                    <w:spacing w:before="0" w:beforeAutospacing="0" w:after="0" w:afterAutospacing="0"/>
                    <w:ind w:left="0" w:right="0"/>
                    <w:jc w:val="center"/>
                    <w:rPr>
                      <w:rFonts w:hint="eastAsia" w:ascii="Times New Roman" w:hAnsi="Times New Roman" w:eastAsia="宋体" w:cs="Times New Roman"/>
                      <w:b w:val="0"/>
                      <w:bCs w:val="0"/>
                      <w:kern w:val="0"/>
                      <w:sz w:val="21"/>
                      <w:szCs w:val="21"/>
                      <w:highlight w:val="none"/>
                      <w:lang w:val="en-US" w:eastAsia="zh-CN"/>
                    </w:rPr>
                  </w:pPr>
                  <w:r>
                    <w:rPr>
                      <w:rFonts w:hint="eastAsia" w:ascii="Times New Roman" w:hAnsi="Times New Roman" w:eastAsia="宋体" w:cs="Times New Roman"/>
                      <w:b w:val="0"/>
                      <w:bCs w:val="0"/>
                      <w:kern w:val="0"/>
                      <w:sz w:val="21"/>
                      <w:szCs w:val="21"/>
                      <w:highlight w:val="none"/>
                      <w:lang w:val="en-US" w:eastAsia="zh-CN"/>
                    </w:rPr>
                    <w:t>3</w:t>
                  </w:r>
                </w:p>
              </w:tc>
              <w:tc>
                <w:tcPr>
                  <w:tcW w:w="453" w:type="pct"/>
                  <w:vMerge w:val="continue"/>
                  <w:noWrap w:val="0"/>
                  <w:tcMar>
                    <w:left w:w="57" w:type="dxa"/>
                    <w:right w:w="57" w:type="dxa"/>
                  </w:tcMar>
                  <w:vAlign w:val="center"/>
                </w:tcPr>
                <w:p w14:paraId="36003824">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b w:val="0"/>
                      <w:bCs w:val="0"/>
                      <w:sz w:val="21"/>
                      <w:szCs w:val="21"/>
                      <w:highlight w:val="none"/>
                      <w:lang w:val="en-US" w:eastAsia="zh-CN"/>
                    </w:rPr>
                  </w:pPr>
                </w:p>
              </w:tc>
              <w:tc>
                <w:tcPr>
                  <w:tcW w:w="845" w:type="pct"/>
                  <w:noWrap w:val="0"/>
                  <w:tcMar>
                    <w:left w:w="57" w:type="dxa"/>
                    <w:right w:w="57" w:type="dxa"/>
                  </w:tcMar>
                  <w:vAlign w:val="center"/>
                </w:tcPr>
                <w:p w14:paraId="0895210E">
                  <w:pPr>
                    <w:keepNext w:val="0"/>
                    <w:keepLines w:val="0"/>
                    <w:suppressLineNumbers w:val="0"/>
                    <w:adjustRightInd w:val="0"/>
                    <w:snapToGrid w:val="0"/>
                    <w:spacing w:before="0" w:beforeAutospacing="0" w:after="0" w:afterAutospacing="0"/>
                    <w:ind w:left="0" w:right="0"/>
                    <w:jc w:val="center"/>
                    <w:rPr>
                      <w:rFonts w:hint="eastAsia" w:cs="Times New Roman"/>
                      <w:b w:val="0"/>
                      <w:bCs w:val="0"/>
                      <w:sz w:val="21"/>
                      <w:szCs w:val="21"/>
                      <w:highlight w:val="none"/>
                      <w:lang w:val="en-US" w:eastAsia="zh-CN"/>
                    </w:rPr>
                  </w:pPr>
                  <w:r>
                    <w:rPr>
                      <w:rFonts w:hint="eastAsia" w:cs="Times New Roman"/>
                      <w:b w:val="0"/>
                      <w:bCs w:val="0"/>
                      <w:sz w:val="21"/>
                      <w:szCs w:val="21"/>
                      <w:highlight w:val="none"/>
                      <w:lang w:val="en-US" w:eastAsia="zh-CN"/>
                    </w:rPr>
                    <w:t>库房、耗材间新风系统风机</w:t>
                  </w:r>
                </w:p>
              </w:tc>
              <w:tc>
                <w:tcPr>
                  <w:tcW w:w="348" w:type="pct"/>
                  <w:noWrap w:val="0"/>
                  <w:tcMar>
                    <w:left w:w="57" w:type="dxa"/>
                    <w:right w:w="57" w:type="dxa"/>
                  </w:tcMar>
                  <w:vAlign w:val="center"/>
                </w:tcPr>
                <w:p w14:paraId="639497FC">
                  <w:pPr>
                    <w:keepNext w:val="0"/>
                    <w:keepLines w:val="0"/>
                    <w:suppressLineNumbers w:val="0"/>
                    <w:snapToGrid w:val="0"/>
                    <w:spacing w:before="0" w:beforeAutospacing="0" w:after="0" w:afterAutospacing="0"/>
                    <w:ind w:left="0" w:right="0"/>
                    <w:jc w:val="center"/>
                    <w:rPr>
                      <w:rFonts w:hint="eastAsia" w:ascii="Times New Roman" w:hAnsi="Times New Roman" w:eastAsia="宋体" w:cs="Times New Roman"/>
                      <w:b w:val="0"/>
                      <w:bCs w:val="0"/>
                      <w:sz w:val="21"/>
                      <w:szCs w:val="21"/>
                      <w:highlight w:val="none"/>
                    </w:rPr>
                  </w:pPr>
                  <w:r>
                    <w:rPr>
                      <w:rFonts w:hint="eastAsia" w:ascii="Times New Roman" w:hAnsi="Times New Roman" w:eastAsia="宋体" w:cs="Times New Roman"/>
                      <w:b w:val="0"/>
                      <w:bCs w:val="0"/>
                      <w:sz w:val="21"/>
                      <w:szCs w:val="21"/>
                      <w:highlight w:val="none"/>
                    </w:rPr>
                    <w:t>/</w:t>
                  </w:r>
                </w:p>
              </w:tc>
              <w:tc>
                <w:tcPr>
                  <w:tcW w:w="353" w:type="pct"/>
                  <w:noWrap w:val="0"/>
                  <w:tcMar>
                    <w:left w:w="57" w:type="dxa"/>
                    <w:right w:w="57" w:type="dxa"/>
                  </w:tcMar>
                  <w:vAlign w:val="center"/>
                </w:tcPr>
                <w:p w14:paraId="7507F0C9">
                  <w:pPr>
                    <w:keepNext w:val="0"/>
                    <w:keepLines w:val="0"/>
                    <w:suppressLineNumbers w:val="0"/>
                    <w:spacing w:before="0" w:beforeAutospacing="0" w:after="0" w:afterAutospacing="0"/>
                    <w:ind w:left="0" w:right="0"/>
                    <w:jc w:val="center"/>
                    <w:rPr>
                      <w:rFonts w:hint="eastAsia" w:ascii="Times New Roman" w:hAnsi="Times New Roman" w:eastAsia="宋体" w:cs="Times New Roman"/>
                      <w:b w:val="0"/>
                      <w:bCs w:val="0"/>
                      <w:sz w:val="21"/>
                      <w:szCs w:val="21"/>
                      <w:highlight w:val="none"/>
                      <w:lang w:val="en-US" w:eastAsia="zh-CN"/>
                    </w:rPr>
                  </w:pPr>
                  <w:r>
                    <w:rPr>
                      <w:rFonts w:hint="eastAsia" w:ascii="Times New Roman" w:hAnsi="Times New Roman" w:eastAsia="宋体" w:cs="Times New Roman"/>
                      <w:b w:val="0"/>
                      <w:bCs w:val="0"/>
                      <w:sz w:val="21"/>
                      <w:szCs w:val="21"/>
                      <w:highlight w:val="none"/>
                      <w:lang w:val="en-US" w:eastAsia="zh-CN"/>
                    </w:rPr>
                    <w:t>-17</w:t>
                  </w:r>
                </w:p>
              </w:tc>
              <w:tc>
                <w:tcPr>
                  <w:tcW w:w="340" w:type="pct"/>
                  <w:noWrap w:val="0"/>
                  <w:tcMar>
                    <w:left w:w="57" w:type="dxa"/>
                    <w:right w:w="57" w:type="dxa"/>
                  </w:tcMar>
                  <w:vAlign w:val="center"/>
                </w:tcPr>
                <w:p w14:paraId="0EE2DB27">
                  <w:pPr>
                    <w:keepNext w:val="0"/>
                    <w:keepLines w:val="0"/>
                    <w:suppressLineNumbers w:val="0"/>
                    <w:spacing w:before="0" w:beforeAutospacing="0" w:after="0" w:afterAutospacing="0"/>
                    <w:ind w:left="0" w:right="0"/>
                    <w:jc w:val="center"/>
                    <w:rPr>
                      <w:rFonts w:hint="default" w:ascii="Times New Roman" w:hAnsi="Times New Roman" w:eastAsia="宋体" w:cs="Times New Roman"/>
                      <w:b w:val="0"/>
                      <w:bCs w:val="0"/>
                      <w:sz w:val="21"/>
                      <w:szCs w:val="21"/>
                      <w:highlight w:val="none"/>
                      <w:lang w:val="en-US" w:eastAsia="zh-CN"/>
                    </w:rPr>
                  </w:pPr>
                  <w:r>
                    <w:rPr>
                      <w:rFonts w:hint="eastAsia" w:ascii="Times New Roman" w:hAnsi="Times New Roman" w:eastAsia="宋体" w:cs="Times New Roman"/>
                      <w:b w:val="0"/>
                      <w:bCs w:val="0"/>
                      <w:sz w:val="21"/>
                      <w:szCs w:val="21"/>
                      <w:highlight w:val="none"/>
                      <w:lang w:val="en-US" w:eastAsia="zh-CN"/>
                    </w:rPr>
                    <w:t>137</w:t>
                  </w:r>
                </w:p>
              </w:tc>
              <w:tc>
                <w:tcPr>
                  <w:tcW w:w="339" w:type="pct"/>
                  <w:noWrap w:val="0"/>
                  <w:tcMar>
                    <w:left w:w="57" w:type="dxa"/>
                    <w:right w:w="57" w:type="dxa"/>
                  </w:tcMar>
                  <w:vAlign w:val="center"/>
                </w:tcPr>
                <w:p w14:paraId="539C2C7C">
                  <w:pPr>
                    <w:keepNext w:val="0"/>
                    <w:keepLines w:val="0"/>
                    <w:suppressLineNumbers w:val="0"/>
                    <w:adjustRightInd w:val="0"/>
                    <w:snapToGrid w:val="0"/>
                    <w:spacing w:before="0" w:beforeAutospacing="0" w:after="0" w:afterAutospacing="0"/>
                    <w:ind w:left="0" w:right="0"/>
                    <w:jc w:val="center"/>
                    <w:rPr>
                      <w:rFonts w:hint="eastAsia" w:ascii="Times New Roman" w:hAnsi="Times New Roman" w:eastAsia="宋体" w:cs="Times New Roman"/>
                      <w:b w:val="0"/>
                      <w:bCs w:val="0"/>
                      <w:kern w:val="0"/>
                      <w:sz w:val="21"/>
                      <w:szCs w:val="21"/>
                      <w:highlight w:val="none"/>
                      <w:lang w:val="en-US" w:eastAsia="zh-CN"/>
                    </w:rPr>
                  </w:pPr>
                  <w:r>
                    <w:rPr>
                      <w:rFonts w:hint="eastAsia" w:ascii="Times New Roman" w:hAnsi="Times New Roman" w:eastAsia="宋体" w:cs="Times New Roman"/>
                      <w:b w:val="0"/>
                      <w:bCs w:val="0"/>
                      <w:kern w:val="0"/>
                      <w:sz w:val="21"/>
                      <w:szCs w:val="21"/>
                      <w:highlight w:val="none"/>
                      <w:lang w:val="en-US" w:eastAsia="zh-CN"/>
                    </w:rPr>
                    <w:t>25</w:t>
                  </w:r>
                </w:p>
              </w:tc>
              <w:tc>
                <w:tcPr>
                  <w:tcW w:w="666" w:type="pct"/>
                  <w:noWrap w:val="0"/>
                  <w:tcMar>
                    <w:left w:w="57" w:type="dxa"/>
                    <w:right w:w="57" w:type="dxa"/>
                  </w:tcMar>
                  <w:vAlign w:val="center"/>
                </w:tcPr>
                <w:p w14:paraId="5A42B58F">
                  <w:pPr>
                    <w:keepNext w:val="0"/>
                    <w:keepLines w:val="0"/>
                    <w:suppressLineNumbers w:val="0"/>
                    <w:snapToGrid w:val="0"/>
                    <w:spacing w:before="0" w:beforeAutospacing="0" w:after="0" w:afterAutospacing="0"/>
                    <w:ind w:left="0" w:right="0"/>
                    <w:jc w:val="center"/>
                    <w:rPr>
                      <w:rFonts w:hint="eastAsia" w:ascii="Times New Roman" w:hAnsi="Times New Roman" w:eastAsia="宋体" w:cs="Times New Roman"/>
                      <w:b w:val="0"/>
                      <w:bCs w:val="0"/>
                      <w:sz w:val="21"/>
                      <w:szCs w:val="21"/>
                      <w:highlight w:val="none"/>
                    </w:rPr>
                  </w:pPr>
                  <w:r>
                    <w:rPr>
                      <w:rFonts w:hint="eastAsia" w:cs="Times New Roman"/>
                      <w:b w:val="0"/>
                      <w:bCs w:val="0"/>
                      <w:sz w:val="21"/>
                      <w:szCs w:val="21"/>
                      <w:highlight w:val="none"/>
                      <w:lang w:val="en-US" w:eastAsia="zh-CN"/>
                    </w:rPr>
                    <w:t>72</w:t>
                  </w:r>
                </w:p>
              </w:tc>
              <w:tc>
                <w:tcPr>
                  <w:tcW w:w="633" w:type="pct"/>
                  <w:vMerge w:val="continue"/>
                  <w:noWrap w:val="0"/>
                  <w:tcMar>
                    <w:left w:w="57" w:type="dxa"/>
                    <w:right w:w="57" w:type="dxa"/>
                  </w:tcMar>
                  <w:vAlign w:val="center"/>
                </w:tcPr>
                <w:p w14:paraId="541FC391">
                  <w:pPr>
                    <w:keepNext w:val="0"/>
                    <w:keepLines w:val="0"/>
                    <w:suppressLineNumbers w:val="0"/>
                    <w:adjustRightInd w:val="0"/>
                    <w:snapToGrid w:val="0"/>
                    <w:spacing w:before="0" w:beforeAutospacing="0" w:after="0" w:afterAutospacing="0"/>
                    <w:ind w:left="0" w:right="0"/>
                    <w:rPr>
                      <w:rFonts w:hint="eastAsia" w:ascii="Times New Roman" w:hAnsi="Times New Roman" w:eastAsia="宋体" w:cs="Times New Roman"/>
                      <w:b w:val="0"/>
                      <w:bCs w:val="0"/>
                      <w:kern w:val="0"/>
                      <w:sz w:val="21"/>
                      <w:szCs w:val="21"/>
                      <w:highlight w:val="none"/>
                    </w:rPr>
                  </w:pPr>
                </w:p>
              </w:tc>
              <w:tc>
                <w:tcPr>
                  <w:tcW w:w="672" w:type="pct"/>
                  <w:vMerge w:val="continue"/>
                  <w:noWrap w:val="0"/>
                  <w:tcMar>
                    <w:left w:w="57" w:type="dxa"/>
                    <w:right w:w="57" w:type="dxa"/>
                  </w:tcMar>
                  <w:vAlign w:val="center"/>
                </w:tcPr>
                <w:p w14:paraId="4216E4E6">
                  <w:pPr>
                    <w:keepNext w:val="0"/>
                    <w:keepLines w:val="0"/>
                    <w:suppressLineNumbers w:val="0"/>
                    <w:adjustRightInd w:val="0"/>
                    <w:snapToGrid w:val="0"/>
                    <w:spacing w:before="0" w:beforeAutospacing="0" w:after="0" w:afterAutospacing="0"/>
                    <w:ind w:left="0" w:right="0"/>
                    <w:jc w:val="center"/>
                    <w:rPr>
                      <w:rFonts w:hint="eastAsia" w:ascii="Times New Roman" w:hAnsi="Times New Roman" w:eastAsia="宋体" w:cs="Times New Roman"/>
                      <w:b w:val="0"/>
                      <w:bCs w:val="0"/>
                      <w:kern w:val="0"/>
                      <w:sz w:val="21"/>
                      <w:szCs w:val="21"/>
                      <w:highlight w:val="none"/>
                      <w:lang w:val="en-US" w:eastAsia="zh-CN"/>
                    </w:rPr>
                  </w:pPr>
                </w:p>
              </w:tc>
            </w:tr>
            <w:tr w14:paraId="0BB8D70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c>
                <w:tcPr>
                  <w:tcW w:w="345" w:type="pct"/>
                  <w:noWrap w:val="0"/>
                  <w:tcMar>
                    <w:left w:w="57" w:type="dxa"/>
                    <w:right w:w="57" w:type="dxa"/>
                  </w:tcMar>
                  <w:vAlign w:val="center"/>
                </w:tcPr>
                <w:p w14:paraId="3FAB2825">
                  <w:pPr>
                    <w:keepNext w:val="0"/>
                    <w:keepLines w:val="0"/>
                    <w:suppressLineNumbers w:val="0"/>
                    <w:adjustRightInd w:val="0"/>
                    <w:snapToGrid w:val="0"/>
                    <w:spacing w:before="0" w:beforeAutospacing="0" w:after="0" w:afterAutospacing="0"/>
                    <w:ind w:left="0" w:right="0"/>
                    <w:jc w:val="center"/>
                    <w:rPr>
                      <w:rFonts w:hint="eastAsia" w:ascii="Times New Roman" w:hAnsi="Times New Roman" w:eastAsia="宋体" w:cs="Times New Roman"/>
                      <w:b w:val="0"/>
                      <w:bCs w:val="0"/>
                      <w:kern w:val="0"/>
                      <w:sz w:val="21"/>
                      <w:szCs w:val="21"/>
                      <w:highlight w:val="none"/>
                      <w:lang w:val="en-US" w:eastAsia="zh-CN"/>
                    </w:rPr>
                  </w:pPr>
                  <w:r>
                    <w:rPr>
                      <w:rFonts w:hint="eastAsia" w:ascii="Times New Roman" w:hAnsi="Times New Roman" w:eastAsia="宋体" w:cs="Times New Roman"/>
                      <w:b w:val="0"/>
                      <w:bCs w:val="0"/>
                      <w:kern w:val="0"/>
                      <w:sz w:val="21"/>
                      <w:szCs w:val="21"/>
                      <w:highlight w:val="none"/>
                      <w:lang w:val="en-US" w:eastAsia="zh-CN"/>
                    </w:rPr>
                    <w:t>4</w:t>
                  </w:r>
                </w:p>
              </w:tc>
              <w:tc>
                <w:tcPr>
                  <w:tcW w:w="453" w:type="pct"/>
                  <w:vMerge w:val="continue"/>
                  <w:noWrap w:val="0"/>
                  <w:tcMar>
                    <w:left w:w="57" w:type="dxa"/>
                    <w:right w:w="57" w:type="dxa"/>
                  </w:tcMar>
                  <w:vAlign w:val="center"/>
                </w:tcPr>
                <w:p w14:paraId="30D88681">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b w:val="0"/>
                      <w:bCs w:val="0"/>
                      <w:sz w:val="21"/>
                      <w:szCs w:val="21"/>
                      <w:highlight w:val="none"/>
                      <w:lang w:val="en-US" w:eastAsia="zh-CN"/>
                    </w:rPr>
                  </w:pPr>
                </w:p>
              </w:tc>
              <w:tc>
                <w:tcPr>
                  <w:tcW w:w="845" w:type="pct"/>
                  <w:noWrap w:val="0"/>
                  <w:tcMar>
                    <w:left w:w="57" w:type="dxa"/>
                    <w:right w:w="57" w:type="dxa"/>
                  </w:tcMar>
                  <w:vAlign w:val="center"/>
                </w:tcPr>
                <w:p w14:paraId="32A9F7CF">
                  <w:pPr>
                    <w:keepNext w:val="0"/>
                    <w:keepLines w:val="0"/>
                    <w:suppressLineNumbers w:val="0"/>
                    <w:adjustRightInd w:val="0"/>
                    <w:snapToGrid w:val="0"/>
                    <w:spacing w:before="0" w:beforeAutospacing="0" w:after="0" w:afterAutospacing="0"/>
                    <w:ind w:left="0" w:right="0"/>
                    <w:jc w:val="center"/>
                    <w:rPr>
                      <w:rFonts w:hint="eastAsia" w:cs="Times New Roman"/>
                      <w:bCs/>
                      <w:sz w:val="21"/>
                      <w:szCs w:val="21"/>
                      <w:highlight w:val="none"/>
                      <w:lang w:val="en-US" w:eastAsia="zh-CN"/>
                    </w:rPr>
                  </w:pPr>
                  <w:r>
                    <w:rPr>
                      <w:rFonts w:hint="eastAsia" w:cs="Times New Roman"/>
                      <w:bCs/>
                      <w:sz w:val="21"/>
                      <w:szCs w:val="21"/>
                      <w:highlight w:val="none"/>
                      <w:lang w:val="en-US" w:eastAsia="zh-CN"/>
                    </w:rPr>
                    <w:t>DA010风机</w:t>
                  </w:r>
                </w:p>
              </w:tc>
              <w:tc>
                <w:tcPr>
                  <w:tcW w:w="348" w:type="pct"/>
                  <w:noWrap w:val="0"/>
                  <w:tcMar>
                    <w:left w:w="57" w:type="dxa"/>
                    <w:right w:w="57" w:type="dxa"/>
                  </w:tcMar>
                  <w:vAlign w:val="center"/>
                </w:tcPr>
                <w:p w14:paraId="64CD745B">
                  <w:pPr>
                    <w:keepNext w:val="0"/>
                    <w:keepLines w:val="0"/>
                    <w:suppressLineNumbers w:val="0"/>
                    <w:snapToGrid w:val="0"/>
                    <w:spacing w:before="0" w:beforeAutospacing="0" w:after="0" w:afterAutospacing="0"/>
                    <w:ind w:left="0" w:right="0"/>
                    <w:jc w:val="center"/>
                    <w:rPr>
                      <w:rFonts w:hint="default" w:ascii="Times New Roman" w:hAnsi="Times New Roman" w:eastAsia="宋体" w:cs="Times New Roman"/>
                      <w:b w:val="0"/>
                      <w:bCs w:val="0"/>
                      <w:sz w:val="21"/>
                      <w:szCs w:val="21"/>
                      <w:highlight w:val="none"/>
                    </w:rPr>
                  </w:pPr>
                  <w:r>
                    <w:rPr>
                      <w:rFonts w:hint="eastAsia" w:ascii="Times New Roman" w:hAnsi="Times New Roman" w:eastAsia="宋体" w:cs="Times New Roman"/>
                      <w:b w:val="0"/>
                      <w:bCs w:val="0"/>
                      <w:sz w:val="21"/>
                      <w:szCs w:val="21"/>
                      <w:highlight w:val="none"/>
                    </w:rPr>
                    <w:t>/</w:t>
                  </w:r>
                </w:p>
              </w:tc>
              <w:tc>
                <w:tcPr>
                  <w:tcW w:w="353" w:type="pct"/>
                  <w:noWrap w:val="0"/>
                  <w:tcMar>
                    <w:left w:w="57" w:type="dxa"/>
                    <w:right w:w="57" w:type="dxa"/>
                  </w:tcMar>
                  <w:vAlign w:val="center"/>
                </w:tcPr>
                <w:p w14:paraId="68BFE99D">
                  <w:pPr>
                    <w:keepNext w:val="0"/>
                    <w:keepLines w:val="0"/>
                    <w:suppressLineNumbers w:val="0"/>
                    <w:spacing w:before="0" w:beforeAutospacing="0" w:after="0" w:afterAutospacing="0"/>
                    <w:ind w:left="0" w:right="0"/>
                    <w:jc w:val="center"/>
                    <w:rPr>
                      <w:rFonts w:hint="default" w:ascii="Times New Roman" w:hAnsi="Times New Roman" w:eastAsia="宋体" w:cs="Times New Roman"/>
                      <w:b w:val="0"/>
                      <w:bCs w:val="0"/>
                      <w:sz w:val="21"/>
                      <w:szCs w:val="21"/>
                      <w:highlight w:val="none"/>
                      <w:lang w:val="en-US" w:eastAsia="zh-CN"/>
                    </w:rPr>
                  </w:pPr>
                  <w:r>
                    <w:rPr>
                      <w:rFonts w:hint="eastAsia" w:ascii="Times New Roman" w:hAnsi="Times New Roman" w:eastAsia="宋体" w:cs="Times New Roman"/>
                      <w:b w:val="0"/>
                      <w:bCs w:val="0"/>
                      <w:sz w:val="21"/>
                      <w:szCs w:val="21"/>
                      <w:highlight w:val="none"/>
                      <w:lang w:val="en-US" w:eastAsia="zh-CN"/>
                    </w:rPr>
                    <w:t>-26</w:t>
                  </w:r>
                </w:p>
              </w:tc>
              <w:tc>
                <w:tcPr>
                  <w:tcW w:w="340" w:type="pct"/>
                  <w:noWrap w:val="0"/>
                  <w:tcMar>
                    <w:left w:w="57" w:type="dxa"/>
                    <w:right w:w="57" w:type="dxa"/>
                  </w:tcMar>
                  <w:vAlign w:val="center"/>
                </w:tcPr>
                <w:p w14:paraId="7969D7CF">
                  <w:pPr>
                    <w:keepNext w:val="0"/>
                    <w:keepLines w:val="0"/>
                    <w:suppressLineNumbers w:val="0"/>
                    <w:spacing w:before="0" w:beforeAutospacing="0" w:after="0" w:afterAutospacing="0"/>
                    <w:ind w:left="0" w:right="0"/>
                    <w:jc w:val="center"/>
                    <w:rPr>
                      <w:rFonts w:hint="default" w:ascii="Times New Roman" w:hAnsi="Times New Roman" w:eastAsia="宋体" w:cs="Times New Roman"/>
                      <w:b w:val="0"/>
                      <w:bCs w:val="0"/>
                      <w:sz w:val="21"/>
                      <w:szCs w:val="21"/>
                      <w:highlight w:val="none"/>
                      <w:lang w:val="en-US" w:eastAsia="zh-CN"/>
                    </w:rPr>
                  </w:pPr>
                  <w:r>
                    <w:rPr>
                      <w:rFonts w:hint="eastAsia" w:ascii="Times New Roman" w:hAnsi="Times New Roman" w:eastAsia="宋体" w:cs="Times New Roman"/>
                      <w:b w:val="0"/>
                      <w:bCs w:val="0"/>
                      <w:sz w:val="21"/>
                      <w:szCs w:val="21"/>
                      <w:highlight w:val="none"/>
                      <w:lang w:val="en-US" w:eastAsia="zh-CN"/>
                    </w:rPr>
                    <w:t>147</w:t>
                  </w:r>
                </w:p>
              </w:tc>
              <w:tc>
                <w:tcPr>
                  <w:tcW w:w="339" w:type="pct"/>
                  <w:noWrap w:val="0"/>
                  <w:tcMar>
                    <w:left w:w="57" w:type="dxa"/>
                    <w:right w:w="57" w:type="dxa"/>
                  </w:tcMar>
                  <w:vAlign w:val="center"/>
                </w:tcPr>
                <w:p w14:paraId="2BE50401">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b w:val="0"/>
                      <w:bCs w:val="0"/>
                      <w:kern w:val="0"/>
                      <w:sz w:val="21"/>
                      <w:szCs w:val="21"/>
                      <w:highlight w:val="none"/>
                      <w:lang w:val="en-US" w:eastAsia="zh-CN"/>
                    </w:rPr>
                  </w:pPr>
                  <w:r>
                    <w:rPr>
                      <w:rFonts w:hint="eastAsia" w:ascii="Times New Roman" w:hAnsi="Times New Roman" w:eastAsia="宋体" w:cs="Times New Roman"/>
                      <w:b w:val="0"/>
                      <w:bCs w:val="0"/>
                      <w:kern w:val="0"/>
                      <w:sz w:val="21"/>
                      <w:szCs w:val="21"/>
                      <w:highlight w:val="none"/>
                      <w:lang w:val="en-US" w:eastAsia="zh-CN"/>
                    </w:rPr>
                    <w:t>25</w:t>
                  </w:r>
                </w:p>
              </w:tc>
              <w:tc>
                <w:tcPr>
                  <w:tcW w:w="666" w:type="pct"/>
                  <w:noWrap w:val="0"/>
                  <w:tcMar>
                    <w:left w:w="57" w:type="dxa"/>
                    <w:right w:w="57" w:type="dxa"/>
                  </w:tcMar>
                  <w:vAlign w:val="center"/>
                </w:tcPr>
                <w:p w14:paraId="7B0CB3B1">
                  <w:pPr>
                    <w:keepNext w:val="0"/>
                    <w:keepLines w:val="0"/>
                    <w:suppressLineNumbers w:val="0"/>
                    <w:snapToGrid w:val="0"/>
                    <w:spacing w:before="0" w:beforeAutospacing="0" w:after="0" w:afterAutospacing="0"/>
                    <w:ind w:left="0" w:right="0"/>
                    <w:jc w:val="center"/>
                    <w:rPr>
                      <w:rFonts w:hint="default" w:ascii="Times New Roman" w:hAnsi="Times New Roman" w:eastAsia="宋体" w:cs="Times New Roman"/>
                      <w:b w:val="0"/>
                      <w:bCs w:val="0"/>
                      <w:sz w:val="21"/>
                      <w:szCs w:val="21"/>
                      <w:highlight w:val="none"/>
                      <w:lang w:val="en-US" w:eastAsia="zh-CN"/>
                    </w:rPr>
                  </w:pPr>
                  <w:r>
                    <w:rPr>
                      <w:rFonts w:hint="eastAsia" w:cs="Times New Roman"/>
                      <w:b w:val="0"/>
                      <w:bCs w:val="0"/>
                      <w:sz w:val="21"/>
                      <w:szCs w:val="21"/>
                      <w:highlight w:val="none"/>
                      <w:lang w:val="en-US" w:eastAsia="zh-CN"/>
                    </w:rPr>
                    <w:t>75</w:t>
                  </w:r>
                </w:p>
              </w:tc>
              <w:tc>
                <w:tcPr>
                  <w:tcW w:w="633" w:type="pct"/>
                  <w:vMerge w:val="continue"/>
                  <w:noWrap w:val="0"/>
                  <w:tcMar>
                    <w:left w:w="57" w:type="dxa"/>
                    <w:right w:w="57" w:type="dxa"/>
                  </w:tcMar>
                  <w:vAlign w:val="center"/>
                </w:tcPr>
                <w:p w14:paraId="38C6316D">
                  <w:pPr>
                    <w:keepNext w:val="0"/>
                    <w:keepLines w:val="0"/>
                    <w:suppressLineNumbers w:val="0"/>
                    <w:adjustRightInd w:val="0"/>
                    <w:snapToGrid w:val="0"/>
                    <w:spacing w:before="0" w:beforeAutospacing="0" w:after="0" w:afterAutospacing="0"/>
                    <w:ind w:left="0" w:right="0"/>
                    <w:rPr>
                      <w:rFonts w:hint="eastAsia" w:ascii="Times New Roman" w:hAnsi="Times New Roman" w:eastAsia="宋体" w:cs="Times New Roman"/>
                      <w:b w:val="0"/>
                      <w:bCs w:val="0"/>
                      <w:kern w:val="0"/>
                      <w:sz w:val="21"/>
                      <w:szCs w:val="21"/>
                      <w:highlight w:val="none"/>
                    </w:rPr>
                  </w:pPr>
                </w:p>
              </w:tc>
              <w:tc>
                <w:tcPr>
                  <w:tcW w:w="672" w:type="pct"/>
                  <w:noWrap w:val="0"/>
                  <w:tcMar>
                    <w:left w:w="57" w:type="dxa"/>
                    <w:right w:w="57" w:type="dxa"/>
                  </w:tcMar>
                  <w:vAlign w:val="center"/>
                </w:tcPr>
                <w:p w14:paraId="045D8F0B">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b w:val="0"/>
                      <w:bCs w:val="0"/>
                      <w:kern w:val="0"/>
                      <w:sz w:val="21"/>
                      <w:szCs w:val="21"/>
                      <w:highlight w:val="none"/>
                      <w:lang w:val="en-US" w:eastAsia="zh-CN"/>
                    </w:rPr>
                  </w:pPr>
                  <w:r>
                    <w:rPr>
                      <w:rFonts w:hint="eastAsia" w:cs="Times New Roman"/>
                      <w:b w:val="0"/>
                      <w:bCs w:val="0"/>
                      <w:kern w:val="0"/>
                      <w:sz w:val="21"/>
                      <w:szCs w:val="21"/>
                      <w:highlight w:val="none"/>
                      <w:lang w:val="en-US" w:eastAsia="zh-CN"/>
                    </w:rPr>
                    <w:t>24h，365d</w:t>
                  </w:r>
                </w:p>
              </w:tc>
            </w:tr>
            <w:tr w14:paraId="0038D2C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c>
                <w:tcPr>
                  <w:tcW w:w="345" w:type="pct"/>
                  <w:noWrap w:val="0"/>
                  <w:tcMar>
                    <w:left w:w="57" w:type="dxa"/>
                    <w:right w:w="57" w:type="dxa"/>
                  </w:tcMar>
                  <w:vAlign w:val="center"/>
                </w:tcPr>
                <w:p w14:paraId="5621019E">
                  <w:pPr>
                    <w:keepNext w:val="0"/>
                    <w:keepLines w:val="0"/>
                    <w:suppressLineNumbers w:val="0"/>
                    <w:adjustRightInd w:val="0"/>
                    <w:snapToGrid w:val="0"/>
                    <w:spacing w:before="0" w:beforeAutospacing="0" w:after="0" w:afterAutospacing="0"/>
                    <w:ind w:left="0" w:right="0"/>
                    <w:jc w:val="center"/>
                    <w:rPr>
                      <w:rFonts w:hint="eastAsia" w:ascii="Times New Roman" w:hAnsi="Times New Roman" w:eastAsia="宋体" w:cs="Times New Roman"/>
                      <w:b w:val="0"/>
                      <w:bCs w:val="0"/>
                      <w:kern w:val="0"/>
                      <w:sz w:val="21"/>
                      <w:szCs w:val="21"/>
                      <w:highlight w:val="none"/>
                      <w:lang w:val="en-US" w:eastAsia="zh-CN"/>
                    </w:rPr>
                  </w:pPr>
                  <w:r>
                    <w:rPr>
                      <w:rFonts w:hint="eastAsia" w:ascii="Times New Roman" w:hAnsi="Times New Roman" w:eastAsia="宋体" w:cs="Times New Roman"/>
                      <w:b w:val="0"/>
                      <w:bCs w:val="0"/>
                      <w:kern w:val="0"/>
                      <w:sz w:val="21"/>
                      <w:szCs w:val="21"/>
                      <w:highlight w:val="none"/>
                      <w:lang w:val="en-US" w:eastAsia="zh-CN"/>
                    </w:rPr>
                    <w:t>5</w:t>
                  </w:r>
                </w:p>
              </w:tc>
              <w:tc>
                <w:tcPr>
                  <w:tcW w:w="453" w:type="pct"/>
                  <w:vMerge w:val="continue"/>
                  <w:noWrap w:val="0"/>
                  <w:tcMar>
                    <w:left w:w="57" w:type="dxa"/>
                    <w:right w:w="57" w:type="dxa"/>
                  </w:tcMar>
                  <w:vAlign w:val="center"/>
                </w:tcPr>
                <w:p w14:paraId="3DDDCF95">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b w:val="0"/>
                      <w:bCs w:val="0"/>
                      <w:sz w:val="21"/>
                      <w:szCs w:val="21"/>
                      <w:highlight w:val="none"/>
                      <w:lang w:val="en-US" w:eastAsia="zh-CN"/>
                    </w:rPr>
                  </w:pPr>
                </w:p>
              </w:tc>
              <w:tc>
                <w:tcPr>
                  <w:tcW w:w="845" w:type="pct"/>
                  <w:noWrap w:val="0"/>
                  <w:tcMar>
                    <w:left w:w="57" w:type="dxa"/>
                    <w:right w:w="57" w:type="dxa"/>
                  </w:tcMar>
                  <w:vAlign w:val="center"/>
                </w:tcPr>
                <w:p w14:paraId="529D6FAF">
                  <w:pPr>
                    <w:keepNext w:val="0"/>
                    <w:keepLines w:val="0"/>
                    <w:suppressLineNumbers w:val="0"/>
                    <w:adjustRightInd w:val="0"/>
                    <w:snapToGrid w:val="0"/>
                    <w:spacing w:before="0" w:beforeAutospacing="0" w:after="0" w:afterAutospacing="0"/>
                    <w:ind w:left="0" w:right="0"/>
                    <w:jc w:val="center"/>
                    <w:rPr>
                      <w:rFonts w:hint="eastAsia" w:cs="Times New Roman"/>
                      <w:b w:val="0"/>
                      <w:bCs w:val="0"/>
                      <w:sz w:val="21"/>
                      <w:szCs w:val="21"/>
                      <w:highlight w:val="none"/>
                      <w:lang w:val="en-US" w:eastAsia="zh-CN"/>
                    </w:rPr>
                  </w:pPr>
                  <w:r>
                    <w:rPr>
                      <w:rFonts w:hint="eastAsia" w:cs="Times New Roman"/>
                      <w:b w:val="0"/>
                      <w:bCs w:val="0"/>
                      <w:sz w:val="21"/>
                      <w:szCs w:val="21"/>
                      <w:highlight w:val="none"/>
                      <w:lang w:val="en-US" w:eastAsia="zh-CN"/>
                    </w:rPr>
                    <w:t>清洗间新风系统风机</w:t>
                  </w:r>
                </w:p>
              </w:tc>
              <w:tc>
                <w:tcPr>
                  <w:tcW w:w="348" w:type="pct"/>
                  <w:noWrap w:val="0"/>
                  <w:tcMar>
                    <w:left w:w="57" w:type="dxa"/>
                    <w:right w:w="57" w:type="dxa"/>
                  </w:tcMar>
                  <w:vAlign w:val="center"/>
                </w:tcPr>
                <w:p w14:paraId="6D950716">
                  <w:pPr>
                    <w:keepNext w:val="0"/>
                    <w:keepLines w:val="0"/>
                    <w:suppressLineNumbers w:val="0"/>
                    <w:snapToGrid w:val="0"/>
                    <w:spacing w:before="0" w:beforeAutospacing="0" w:after="0" w:afterAutospacing="0"/>
                    <w:ind w:left="0" w:right="0"/>
                    <w:jc w:val="center"/>
                    <w:rPr>
                      <w:rFonts w:hint="eastAsia" w:ascii="Times New Roman" w:hAnsi="Times New Roman" w:eastAsia="宋体" w:cs="Times New Roman"/>
                      <w:b w:val="0"/>
                      <w:bCs w:val="0"/>
                      <w:sz w:val="21"/>
                      <w:szCs w:val="21"/>
                      <w:highlight w:val="none"/>
                    </w:rPr>
                  </w:pPr>
                  <w:r>
                    <w:rPr>
                      <w:rFonts w:hint="eastAsia" w:ascii="Times New Roman" w:hAnsi="Times New Roman" w:eastAsia="宋体" w:cs="Times New Roman"/>
                      <w:b w:val="0"/>
                      <w:bCs w:val="0"/>
                      <w:sz w:val="21"/>
                      <w:szCs w:val="21"/>
                      <w:highlight w:val="none"/>
                    </w:rPr>
                    <w:t>/</w:t>
                  </w:r>
                </w:p>
              </w:tc>
              <w:tc>
                <w:tcPr>
                  <w:tcW w:w="353" w:type="pct"/>
                  <w:noWrap w:val="0"/>
                  <w:tcMar>
                    <w:left w:w="57" w:type="dxa"/>
                    <w:right w:w="57" w:type="dxa"/>
                  </w:tcMar>
                  <w:vAlign w:val="center"/>
                </w:tcPr>
                <w:p w14:paraId="5F8948FC">
                  <w:pPr>
                    <w:keepNext w:val="0"/>
                    <w:keepLines w:val="0"/>
                    <w:suppressLineNumbers w:val="0"/>
                    <w:spacing w:before="0" w:beforeAutospacing="0" w:after="0" w:afterAutospacing="0"/>
                    <w:ind w:left="0" w:right="0"/>
                    <w:jc w:val="center"/>
                    <w:rPr>
                      <w:rFonts w:hint="default" w:ascii="Times New Roman" w:hAnsi="Times New Roman" w:eastAsia="宋体" w:cs="Times New Roman"/>
                      <w:b w:val="0"/>
                      <w:bCs w:val="0"/>
                      <w:sz w:val="21"/>
                      <w:szCs w:val="21"/>
                      <w:highlight w:val="none"/>
                      <w:lang w:val="en-US" w:eastAsia="zh-CN"/>
                    </w:rPr>
                  </w:pPr>
                  <w:r>
                    <w:rPr>
                      <w:rFonts w:hint="eastAsia" w:ascii="Times New Roman" w:hAnsi="Times New Roman" w:eastAsia="宋体" w:cs="Times New Roman"/>
                      <w:b w:val="0"/>
                      <w:bCs w:val="0"/>
                      <w:sz w:val="21"/>
                      <w:szCs w:val="21"/>
                      <w:highlight w:val="none"/>
                      <w:lang w:val="en-US" w:eastAsia="zh-CN"/>
                    </w:rPr>
                    <w:t>-31</w:t>
                  </w:r>
                </w:p>
              </w:tc>
              <w:tc>
                <w:tcPr>
                  <w:tcW w:w="340" w:type="pct"/>
                  <w:noWrap w:val="0"/>
                  <w:tcMar>
                    <w:left w:w="57" w:type="dxa"/>
                    <w:right w:w="57" w:type="dxa"/>
                  </w:tcMar>
                  <w:vAlign w:val="center"/>
                </w:tcPr>
                <w:p w14:paraId="7A22015C">
                  <w:pPr>
                    <w:keepNext w:val="0"/>
                    <w:keepLines w:val="0"/>
                    <w:suppressLineNumbers w:val="0"/>
                    <w:spacing w:before="0" w:beforeAutospacing="0" w:after="0" w:afterAutospacing="0"/>
                    <w:ind w:left="0" w:right="0"/>
                    <w:jc w:val="center"/>
                    <w:rPr>
                      <w:rFonts w:hint="default" w:ascii="Times New Roman" w:hAnsi="Times New Roman" w:eastAsia="宋体" w:cs="Times New Roman"/>
                      <w:b w:val="0"/>
                      <w:bCs w:val="0"/>
                      <w:sz w:val="21"/>
                      <w:szCs w:val="21"/>
                      <w:highlight w:val="none"/>
                      <w:lang w:val="en-US" w:eastAsia="zh-CN"/>
                    </w:rPr>
                  </w:pPr>
                  <w:r>
                    <w:rPr>
                      <w:rFonts w:hint="eastAsia" w:ascii="Times New Roman" w:hAnsi="Times New Roman" w:eastAsia="宋体" w:cs="Times New Roman"/>
                      <w:b w:val="0"/>
                      <w:bCs w:val="0"/>
                      <w:sz w:val="21"/>
                      <w:szCs w:val="21"/>
                      <w:highlight w:val="none"/>
                      <w:lang w:val="en-US" w:eastAsia="zh-CN"/>
                    </w:rPr>
                    <w:t>158</w:t>
                  </w:r>
                </w:p>
              </w:tc>
              <w:tc>
                <w:tcPr>
                  <w:tcW w:w="339" w:type="pct"/>
                  <w:noWrap w:val="0"/>
                  <w:tcMar>
                    <w:left w:w="57" w:type="dxa"/>
                    <w:right w:w="57" w:type="dxa"/>
                  </w:tcMar>
                  <w:vAlign w:val="center"/>
                </w:tcPr>
                <w:p w14:paraId="4FDC6B44">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b w:val="0"/>
                      <w:bCs w:val="0"/>
                      <w:kern w:val="0"/>
                      <w:sz w:val="21"/>
                      <w:szCs w:val="21"/>
                      <w:highlight w:val="none"/>
                      <w:lang w:val="en-US" w:eastAsia="zh-CN"/>
                    </w:rPr>
                  </w:pPr>
                  <w:r>
                    <w:rPr>
                      <w:rFonts w:hint="eastAsia" w:ascii="Times New Roman" w:hAnsi="Times New Roman" w:eastAsia="宋体" w:cs="Times New Roman"/>
                      <w:b w:val="0"/>
                      <w:bCs w:val="0"/>
                      <w:kern w:val="0"/>
                      <w:sz w:val="21"/>
                      <w:szCs w:val="21"/>
                      <w:highlight w:val="none"/>
                      <w:lang w:val="en-US" w:eastAsia="zh-CN"/>
                    </w:rPr>
                    <w:t>25</w:t>
                  </w:r>
                </w:p>
              </w:tc>
              <w:tc>
                <w:tcPr>
                  <w:tcW w:w="666" w:type="pct"/>
                  <w:noWrap w:val="0"/>
                  <w:tcMar>
                    <w:left w:w="57" w:type="dxa"/>
                    <w:right w:w="57" w:type="dxa"/>
                  </w:tcMar>
                  <w:vAlign w:val="center"/>
                </w:tcPr>
                <w:p w14:paraId="65992949">
                  <w:pPr>
                    <w:keepNext w:val="0"/>
                    <w:keepLines w:val="0"/>
                    <w:suppressLineNumbers w:val="0"/>
                    <w:snapToGrid w:val="0"/>
                    <w:spacing w:before="0" w:beforeAutospacing="0" w:after="0" w:afterAutospacing="0"/>
                    <w:ind w:left="0" w:right="0"/>
                    <w:jc w:val="center"/>
                    <w:rPr>
                      <w:rFonts w:hint="default" w:ascii="Times New Roman" w:hAnsi="Times New Roman" w:eastAsia="宋体" w:cs="Times New Roman"/>
                      <w:b w:val="0"/>
                      <w:bCs w:val="0"/>
                      <w:sz w:val="21"/>
                      <w:szCs w:val="21"/>
                      <w:highlight w:val="none"/>
                      <w:lang w:val="en-US" w:eastAsia="zh-CN"/>
                    </w:rPr>
                  </w:pPr>
                  <w:r>
                    <w:rPr>
                      <w:rFonts w:hint="eastAsia" w:cs="Times New Roman"/>
                      <w:b w:val="0"/>
                      <w:bCs w:val="0"/>
                      <w:sz w:val="21"/>
                      <w:szCs w:val="21"/>
                      <w:highlight w:val="none"/>
                      <w:lang w:val="en-US" w:eastAsia="zh-CN"/>
                    </w:rPr>
                    <w:t>73</w:t>
                  </w:r>
                </w:p>
              </w:tc>
              <w:tc>
                <w:tcPr>
                  <w:tcW w:w="633" w:type="pct"/>
                  <w:vMerge w:val="continue"/>
                  <w:noWrap w:val="0"/>
                  <w:tcMar>
                    <w:left w:w="57" w:type="dxa"/>
                    <w:right w:w="57" w:type="dxa"/>
                  </w:tcMar>
                  <w:vAlign w:val="center"/>
                </w:tcPr>
                <w:p w14:paraId="07A6357D">
                  <w:pPr>
                    <w:keepNext w:val="0"/>
                    <w:keepLines w:val="0"/>
                    <w:suppressLineNumbers w:val="0"/>
                    <w:adjustRightInd w:val="0"/>
                    <w:snapToGrid w:val="0"/>
                    <w:spacing w:before="0" w:beforeAutospacing="0" w:after="0" w:afterAutospacing="0"/>
                    <w:ind w:left="0" w:right="0"/>
                    <w:rPr>
                      <w:rFonts w:hint="eastAsia" w:ascii="Times New Roman" w:hAnsi="Times New Roman" w:eastAsia="宋体" w:cs="Times New Roman"/>
                      <w:b w:val="0"/>
                      <w:bCs w:val="0"/>
                      <w:kern w:val="0"/>
                      <w:sz w:val="21"/>
                      <w:szCs w:val="21"/>
                      <w:highlight w:val="none"/>
                    </w:rPr>
                  </w:pPr>
                </w:p>
              </w:tc>
              <w:tc>
                <w:tcPr>
                  <w:tcW w:w="672" w:type="pct"/>
                  <w:vMerge w:val="restart"/>
                  <w:noWrap w:val="0"/>
                  <w:tcMar>
                    <w:left w:w="57" w:type="dxa"/>
                    <w:right w:w="57" w:type="dxa"/>
                  </w:tcMar>
                  <w:vAlign w:val="center"/>
                </w:tcPr>
                <w:p w14:paraId="111D4385">
                  <w:pPr>
                    <w:keepNext w:val="0"/>
                    <w:keepLines w:val="0"/>
                    <w:suppressLineNumbers w:val="0"/>
                    <w:adjustRightInd w:val="0"/>
                    <w:snapToGrid w:val="0"/>
                    <w:spacing w:before="0" w:beforeAutospacing="0" w:after="0" w:afterAutospacing="0"/>
                    <w:ind w:left="0" w:right="0"/>
                    <w:jc w:val="center"/>
                    <w:rPr>
                      <w:rFonts w:hint="eastAsia" w:ascii="Times New Roman" w:hAnsi="Times New Roman" w:eastAsia="宋体" w:cs="Times New Roman"/>
                      <w:b w:val="0"/>
                      <w:bCs w:val="0"/>
                      <w:kern w:val="0"/>
                      <w:sz w:val="21"/>
                      <w:szCs w:val="21"/>
                      <w:highlight w:val="none"/>
                      <w:lang w:val="en-US" w:eastAsia="zh-CN"/>
                    </w:rPr>
                  </w:pPr>
                  <w:r>
                    <w:rPr>
                      <w:rFonts w:hint="eastAsia" w:cs="Times New Roman"/>
                      <w:b w:val="0"/>
                      <w:bCs w:val="0"/>
                      <w:kern w:val="0"/>
                      <w:sz w:val="21"/>
                      <w:szCs w:val="21"/>
                      <w:highlight w:val="none"/>
                      <w:lang w:val="en-US" w:eastAsia="zh-CN"/>
                    </w:rPr>
                    <w:t>8h，260d</w:t>
                  </w:r>
                </w:p>
              </w:tc>
            </w:tr>
            <w:tr w14:paraId="3A06DDD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c>
                <w:tcPr>
                  <w:tcW w:w="345" w:type="pct"/>
                  <w:noWrap w:val="0"/>
                  <w:tcMar>
                    <w:left w:w="57" w:type="dxa"/>
                    <w:right w:w="57" w:type="dxa"/>
                  </w:tcMar>
                  <w:vAlign w:val="center"/>
                </w:tcPr>
                <w:p w14:paraId="64F68424">
                  <w:pPr>
                    <w:keepNext w:val="0"/>
                    <w:keepLines w:val="0"/>
                    <w:suppressLineNumbers w:val="0"/>
                    <w:adjustRightInd w:val="0"/>
                    <w:snapToGrid w:val="0"/>
                    <w:spacing w:before="0" w:beforeAutospacing="0" w:after="0" w:afterAutospacing="0"/>
                    <w:ind w:left="0" w:right="0"/>
                    <w:jc w:val="center"/>
                    <w:rPr>
                      <w:rFonts w:hint="eastAsia" w:ascii="Times New Roman" w:hAnsi="Times New Roman" w:eastAsia="宋体" w:cs="Times New Roman"/>
                      <w:b w:val="0"/>
                      <w:bCs w:val="0"/>
                      <w:kern w:val="0"/>
                      <w:sz w:val="21"/>
                      <w:szCs w:val="21"/>
                      <w:highlight w:val="none"/>
                      <w:lang w:val="en-US" w:eastAsia="zh-CN"/>
                    </w:rPr>
                  </w:pPr>
                  <w:r>
                    <w:rPr>
                      <w:rFonts w:hint="eastAsia" w:ascii="Times New Roman" w:hAnsi="Times New Roman" w:eastAsia="宋体" w:cs="Times New Roman"/>
                      <w:b w:val="0"/>
                      <w:bCs w:val="0"/>
                      <w:kern w:val="0"/>
                      <w:sz w:val="21"/>
                      <w:szCs w:val="21"/>
                      <w:highlight w:val="none"/>
                      <w:lang w:val="en-US" w:eastAsia="zh-CN"/>
                    </w:rPr>
                    <w:t>6</w:t>
                  </w:r>
                </w:p>
              </w:tc>
              <w:tc>
                <w:tcPr>
                  <w:tcW w:w="453" w:type="pct"/>
                  <w:vMerge w:val="continue"/>
                  <w:noWrap w:val="0"/>
                  <w:tcMar>
                    <w:left w:w="57" w:type="dxa"/>
                    <w:right w:w="57" w:type="dxa"/>
                  </w:tcMar>
                  <w:vAlign w:val="center"/>
                </w:tcPr>
                <w:p w14:paraId="6B5A3DD0">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b w:val="0"/>
                      <w:bCs w:val="0"/>
                      <w:sz w:val="21"/>
                      <w:szCs w:val="21"/>
                      <w:highlight w:val="none"/>
                      <w:lang w:val="en-US" w:eastAsia="zh-CN"/>
                    </w:rPr>
                  </w:pPr>
                </w:p>
              </w:tc>
              <w:tc>
                <w:tcPr>
                  <w:tcW w:w="845" w:type="pct"/>
                  <w:noWrap w:val="0"/>
                  <w:tcMar>
                    <w:left w:w="57" w:type="dxa"/>
                    <w:right w:w="57" w:type="dxa"/>
                  </w:tcMar>
                  <w:vAlign w:val="center"/>
                </w:tcPr>
                <w:p w14:paraId="5C60787B">
                  <w:pPr>
                    <w:keepNext w:val="0"/>
                    <w:keepLines w:val="0"/>
                    <w:suppressLineNumbers w:val="0"/>
                    <w:adjustRightInd w:val="0"/>
                    <w:snapToGrid w:val="0"/>
                    <w:spacing w:before="0" w:beforeAutospacing="0" w:after="0" w:afterAutospacing="0"/>
                    <w:ind w:left="0" w:right="0"/>
                    <w:jc w:val="center"/>
                    <w:rPr>
                      <w:rFonts w:hint="eastAsia" w:cs="Times New Roman"/>
                      <w:b w:val="0"/>
                      <w:bCs w:val="0"/>
                      <w:sz w:val="21"/>
                      <w:szCs w:val="21"/>
                      <w:highlight w:val="none"/>
                      <w:lang w:val="en-US" w:eastAsia="zh-CN"/>
                    </w:rPr>
                  </w:pPr>
                  <w:r>
                    <w:rPr>
                      <w:rFonts w:hint="eastAsia" w:cs="Times New Roman"/>
                      <w:b w:val="0"/>
                      <w:bCs w:val="0"/>
                      <w:sz w:val="21"/>
                      <w:szCs w:val="21"/>
                      <w:highlight w:val="none"/>
                      <w:lang w:val="en-US" w:eastAsia="zh-CN"/>
                    </w:rPr>
                    <w:t>洗衣间新风系统风机</w:t>
                  </w:r>
                </w:p>
              </w:tc>
              <w:tc>
                <w:tcPr>
                  <w:tcW w:w="348" w:type="pct"/>
                  <w:noWrap w:val="0"/>
                  <w:tcMar>
                    <w:left w:w="57" w:type="dxa"/>
                    <w:right w:w="57" w:type="dxa"/>
                  </w:tcMar>
                  <w:vAlign w:val="center"/>
                </w:tcPr>
                <w:p w14:paraId="58A19465">
                  <w:pPr>
                    <w:keepNext w:val="0"/>
                    <w:keepLines w:val="0"/>
                    <w:suppressLineNumbers w:val="0"/>
                    <w:snapToGrid w:val="0"/>
                    <w:spacing w:before="0" w:beforeAutospacing="0" w:after="0" w:afterAutospacing="0"/>
                    <w:ind w:left="0" w:right="0"/>
                    <w:jc w:val="center"/>
                    <w:rPr>
                      <w:rFonts w:hint="eastAsia" w:ascii="Times New Roman" w:hAnsi="Times New Roman" w:eastAsia="宋体" w:cs="Times New Roman"/>
                      <w:b w:val="0"/>
                      <w:bCs w:val="0"/>
                      <w:sz w:val="21"/>
                      <w:szCs w:val="21"/>
                      <w:highlight w:val="none"/>
                    </w:rPr>
                  </w:pPr>
                  <w:r>
                    <w:rPr>
                      <w:rFonts w:hint="eastAsia" w:ascii="Times New Roman" w:hAnsi="Times New Roman" w:eastAsia="宋体" w:cs="Times New Roman"/>
                      <w:b w:val="0"/>
                      <w:bCs w:val="0"/>
                      <w:sz w:val="21"/>
                      <w:szCs w:val="21"/>
                      <w:highlight w:val="none"/>
                    </w:rPr>
                    <w:t>/</w:t>
                  </w:r>
                </w:p>
              </w:tc>
              <w:tc>
                <w:tcPr>
                  <w:tcW w:w="353" w:type="pct"/>
                  <w:noWrap w:val="0"/>
                  <w:tcMar>
                    <w:left w:w="57" w:type="dxa"/>
                    <w:right w:w="57" w:type="dxa"/>
                  </w:tcMar>
                  <w:vAlign w:val="center"/>
                </w:tcPr>
                <w:p w14:paraId="06F28E8E">
                  <w:pPr>
                    <w:keepNext w:val="0"/>
                    <w:keepLines w:val="0"/>
                    <w:suppressLineNumbers w:val="0"/>
                    <w:spacing w:before="0" w:beforeAutospacing="0" w:after="0" w:afterAutospacing="0"/>
                    <w:ind w:left="0" w:right="0"/>
                    <w:jc w:val="center"/>
                    <w:rPr>
                      <w:rFonts w:hint="default" w:ascii="Times New Roman" w:hAnsi="Times New Roman" w:eastAsia="宋体" w:cs="Times New Roman"/>
                      <w:b w:val="0"/>
                      <w:bCs w:val="0"/>
                      <w:sz w:val="21"/>
                      <w:szCs w:val="21"/>
                      <w:highlight w:val="none"/>
                      <w:lang w:val="en-US" w:eastAsia="zh-CN"/>
                    </w:rPr>
                  </w:pPr>
                  <w:r>
                    <w:rPr>
                      <w:rFonts w:hint="eastAsia" w:ascii="Times New Roman" w:hAnsi="Times New Roman" w:eastAsia="宋体" w:cs="Times New Roman"/>
                      <w:b w:val="0"/>
                      <w:bCs w:val="0"/>
                      <w:sz w:val="21"/>
                      <w:szCs w:val="21"/>
                      <w:highlight w:val="none"/>
                      <w:lang w:val="en-US" w:eastAsia="zh-CN"/>
                    </w:rPr>
                    <w:t>-28</w:t>
                  </w:r>
                </w:p>
              </w:tc>
              <w:tc>
                <w:tcPr>
                  <w:tcW w:w="340" w:type="pct"/>
                  <w:noWrap w:val="0"/>
                  <w:tcMar>
                    <w:left w:w="57" w:type="dxa"/>
                    <w:right w:w="57" w:type="dxa"/>
                  </w:tcMar>
                  <w:vAlign w:val="center"/>
                </w:tcPr>
                <w:p w14:paraId="6B55EB2C">
                  <w:pPr>
                    <w:keepNext w:val="0"/>
                    <w:keepLines w:val="0"/>
                    <w:suppressLineNumbers w:val="0"/>
                    <w:spacing w:before="0" w:beforeAutospacing="0" w:after="0" w:afterAutospacing="0"/>
                    <w:ind w:left="0" w:right="0"/>
                    <w:jc w:val="center"/>
                    <w:rPr>
                      <w:rFonts w:hint="default" w:ascii="Times New Roman" w:hAnsi="Times New Roman" w:eastAsia="宋体" w:cs="Times New Roman"/>
                      <w:b w:val="0"/>
                      <w:bCs w:val="0"/>
                      <w:sz w:val="21"/>
                      <w:szCs w:val="21"/>
                      <w:highlight w:val="none"/>
                      <w:lang w:val="en-US" w:eastAsia="zh-CN"/>
                    </w:rPr>
                  </w:pPr>
                  <w:r>
                    <w:rPr>
                      <w:rFonts w:hint="eastAsia" w:ascii="Times New Roman" w:hAnsi="Times New Roman" w:eastAsia="宋体" w:cs="Times New Roman"/>
                      <w:b w:val="0"/>
                      <w:bCs w:val="0"/>
                      <w:sz w:val="21"/>
                      <w:szCs w:val="21"/>
                      <w:highlight w:val="none"/>
                      <w:lang w:val="en-US" w:eastAsia="zh-CN"/>
                    </w:rPr>
                    <w:t>141</w:t>
                  </w:r>
                </w:p>
              </w:tc>
              <w:tc>
                <w:tcPr>
                  <w:tcW w:w="339" w:type="pct"/>
                  <w:noWrap w:val="0"/>
                  <w:tcMar>
                    <w:left w:w="57" w:type="dxa"/>
                    <w:right w:w="57" w:type="dxa"/>
                  </w:tcMar>
                  <w:vAlign w:val="center"/>
                </w:tcPr>
                <w:p w14:paraId="2870EFCA">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b w:val="0"/>
                      <w:bCs w:val="0"/>
                      <w:kern w:val="0"/>
                      <w:sz w:val="21"/>
                      <w:szCs w:val="21"/>
                      <w:highlight w:val="none"/>
                      <w:lang w:val="en-US" w:eastAsia="zh-CN"/>
                    </w:rPr>
                  </w:pPr>
                  <w:r>
                    <w:rPr>
                      <w:rFonts w:hint="eastAsia" w:ascii="Times New Roman" w:hAnsi="Times New Roman" w:eastAsia="宋体" w:cs="Times New Roman"/>
                      <w:b w:val="0"/>
                      <w:bCs w:val="0"/>
                      <w:kern w:val="0"/>
                      <w:sz w:val="21"/>
                      <w:szCs w:val="21"/>
                      <w:highlight w:val="none"/>
                      <w:lang w:val="en-US" w:eastAsia="zh-CN"/>
                    </w:rPr>
                    <w:t>25</w:t>
                  </w:r>
                </w:p>
              </w:tc>
              <w:tc>
                <w:tcPr>
                  <w:tcW w:w="666" w:type="pct"/>
                  <w:noWrap w:val="0"/>
                  <w:tcMar>
                    <w:left w:w="57" w:type="dxa"/>
                    <w:right w:w="57" w:type="dxa"/>
                  </w:tcMar>
                  <w:vAlign w:val="center"/>
                </w:tcPr>
                <w:p w14:paraId="4C52CB2E">
                  <w:pPr>
                    <w:keepNext w:val="0"/>
                    <w:keepLines w:val="0"/>
                    <w:suppressLineNumbers w:val="0"/>
                    <w:snapToGrid w:val="0"/>
                    <w:spacing w:before="0" w:beforeAutospacing="0" w:after="0" w:afterAutospacing="0"/>
                    <w:ind w:left="0" w:right="0"/>
                    <w:jc w:val="center"/>
                    <w:rPr>
                      <w:rFonts w:hint="default" w:ascii="Times New Roman" w:hAnsi="Times New Roman" w:eastAsia="宋体" w:cs="Times New Roman"/>
                      <w:b w:val="0"/>
                      <w:bCs w:val="0"/>
                      <w:sz w:val="21"/>
                      <w:szCs w:val="21"/>
                      <w:highlight w:val="none"/>
                      <w:lang w:val="en-US" w:eastAsia="zh-CN"/>
                    </w:rPr>
                  </w:pPr>
                  <w:r>
                    <w:rPr>
                      <w:rFonts w:hint="eastAsia" w:cs="Times New Roman"/>
                      <w:b w:val="0"/>
                      <w:bCs w:val="0"/>
                      <w:sz w:val="21"/>
                      <w:szCs w:val="21"/>
                      <w:highlight w:val="none"/>
                      <w:lang w:val="en-US" w:eastAsia="zh-CN"/>
                    </w:rPr>
                    <w:t>72</w:t>
                  </w:r>
                </w:p>
              </w:tc>
              <w:tc>
                <w:tcPr>
                  <w:tcW w:w="633" w:type="pct"/>
                  <w:vMerge w:val="continue"/>
                  <w:noWrap w:val="0"/>
                  <w:tcMar>
                    <w:left w:w="57" w:type="dxa"/>
                    <w:right w:w="57" w:type="dxa"/>
                  </w:tcMar>
                  <w:vAlign w:val="center"/>
                </w:tcPr>
                <w:p w14:paraId="78F390B2">
                  <w:pPr>
                    <w:keepNext w:val="0"/>
                    <w:keepLines w:val="0"/>
                    <w:suppressLineNumbers w:val="0"/>
                    <w:adjustRightInd w:val="0"/>
                    <w:snapToGrid w:val="0"/>
                    <w:spacing w:before="0" w:beforeAutospacing="0" w:after="0" w:afterAutospacing="0"/>
                    <w:ind w:left="0" w:right="0"/>
                    <w:rPr>
                      <w:rFonts w:hint="eastAsia" w:ascii="Times New Roman" w:hAnsi="Times New Roman" w:eastAsia="宋体" w:cs="Times New Roman"/>
                      <w:b w:val="0"/>
                      <w:bCs w:val="0"/>
                      <w:kern w:val="0"/>
                      <w:sz w:val="21"/>
                      <w:szCs w:val="21"/>
                      <w:highlight w:val="none"/>
                    </w:rPr>
                  </w:pPr>
                </w:p>
              </w:tc>
              <w:tc>
                <w:tcPr>
                  <w:tcW w:w="672" w:type="pct"/>
                  <w:vMerge w:val="continue"/>
                  <w:noWrap w:val="0"/>
                  <w:tcMar>
                    <w:left w:w="57" w:type="dxa"/>
                    <w:right w:w="57" w:type="dxa"/>
                  </w:tcMar>
                  <w:vAlign w:val="center"/>
                </w:tcPr>
                <w:p w14:paraId="039F0795">
                  <w:pPr>
                    <w:keepNext w:val="0"/>
                    <w:keepLines w:val="0"/>
                    <w:suppressLineNumbers w:val="0"/>
                    <w:adjustRightInd w:val="0"/>
                    <w:snapToGrid w:val="0"/>
                    <w:spacing w:before="0" w:beforeAutospacing="0" w:after="0" w:afterAutospacing="0"/>
                    <w:ind w:left="0" w:right="0"/>
                    <w:jc w:val="center"/>
                    <w:rPr>
                      <w:rFonts w:hint="eastAsia" w:ascii="Times New Roman" w:hAnsi="Times New Roman" w:eastAsia="宋体" w:cs="Times New Roman"/>
                      <w:b w:val="0"/>
                      <w:bCs w:val="0"/>
                      <w:kern w:val="0"/>
                      <w:sz w:val="21"/>
                      <w:szCs w:val="21"/>
                      <w:highlight w:val="none"/>
                      <w:lang w:val="en-US" w:eastAsia="zh-CN"/>
                    </w:rPr>
                  </w:pPr>
                </w:p>
              </w:tc>
            </w:tr>
            <w:tr w14:paraId="57A2F3E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c>
                <w:tcPr>
                  <w:tcW w:w="345" w:type="pct"/>
                  <w:noWrap w:val="0"/>
                  <w:tcMar>
                    <w:left w:w="57" w:type="dxa"/>
                    <w:right w:w="57" w:type="dxa"/>
                  </w:tcMar>
                  <w:vAlign w:val="center"/>
                </w:tcPr>
                <w:p w14:paraId="2743CEA9">
                  <w:pPr>
                    <w:keepNext w:val="0"/>
                    <w:keepLines w:val="0"/>
                    <w:suppressLineNumbers w:val="0"/>
                    <w:adjustRightInd w:val="0"/>
                    <w:snapToGrid w:val="0"/>
                    <w:spacing w:before="0" w:beforeAutospacing="0" w:after="0" w:afterAutospacing="0"/>
                    <w:ind w:left="0" w:right="0"/>
                    <w:jc w:val="center"/>
                    <w:rPr>
                      <w:rFonts w:hint="eastAsia" w:ascii="Times New Roman" w:hAnsi="Times New Roman" w:eastAsia="宋体" w:cs="Times New Roman"/>
                      <w:b w:val="0"/>
                      <w:bCs w:val="0"/>
                      <w:kern w:val="0"/>
                      <w:sz w:val="21"/>
                      <w:szCs w:val="21"/>
                      <w:highlight w:val="none"/>
                      <w:lang w:val="en-US" w:eastAsia="zh-CN"/>
                    </w:rPr>
                  </w:pPr>
                  <w:r>
                    <w:rPr>
                      <w:rFonts w:hint="eastAsia" w:ascii="Times New Roman" w:hAnsi="Times New Roman" w:eastAsia="宋体" w:cs="Times New Roman"/>
                      <w:b w:val="0"/>
                      <w:bCs w:val="0"/>
                      <w:kern w:val="0"/>
                      <w:sz w:val="21"/>
                      <w:szCs w:val="21"/>
                      <w:highlight w:val="none"/>
                      <w:lang w:val="en-US" w:eastAsia="zh-CN"/>
                    </w:rPr>
                    <w:t>7</w:t>
                  </w:r>
                </w:p>
              </w:tc>
              <w:tc>
                <w:tcPr>
                  <w:tcW w:w="453" w:type="pct"/>
                  <w:vMerge w:val="continue"/>
                  <w:noWrap w:val="0"/>
                  <w:tcMar>
                    <w:left w:w="57" w:type="dxa"/>
                    <w:right w:w="57" w:type="dxa"/>
                  </w:tcMar>
                  <w:vAlign w:val="center"/>
                </w:tcPr>
                <w:p w14:paraId="544D9D88">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b w:val="0"/>
                      <w:bCs w:val="0"/>
                      <w:sz w:val="21"/>
                      <w:szCs w:val="21"/>
                      <w:highlight w:val="none"/>
                      <w:lang w:val="en-US" w:eastAsia="zh-CN"/>
                    </w:rPr>
                  </w:pPr>
                </w:p>
              </w:tc>
              <w:tc>
                <w:tcPr>
                  <w:tcW w:w="845" w:type="pct"/>
                  <w:noWrap w:val="0"/>
                  <w:tcMar>
                    <w:left w:w="57" w:type="dxa"/>
                    <w:right w:w="57" w:type="dxa"/>
                  </w:tcMar>
                  <w:vAlign w:val="center"/>
                </w:tcPr>
                <w:p w14:paraId="3EF200D1">
                  <w:pPr>
                    <w:keepNext w:val="0"/>
                    <w:keepLines w:val="0"/>
                    <w:suppressLineNumbers w:val="0"/>
                    <w:adjustRightInd w:val="0"/>
                    <w:snapToGrid w:val="0"/>
                    <w:spacing w:before="0" w:beforeAutospacing="0" w:after="0" w:afterAutospacing="0"/>
                    <w:ind w:left="0" w:right="0"/>
                    <w:jc w:val="center"/>
                    <w:rPr>
                      <w:rFonts w:hint="eastAsia" w:cs="Times New Roman"/>
                      <w:bCs/>
                      <w:sz w:val="21"/>
                      <w:szCs w:val="21"/>
                      <w:highlight w:val="none"/>
                      <w:lang w:val="en-US" w:eastAsia="zh-CN"/>
                    </w:rPr>
                  </w:pPr>
                  <w:r>
                    <w:rPr>
                      <w:rFonts w:hint="eastAsia" w:cs="Times New Roman"/>
                      <w:bCs/>
                      <w:sz w:val="21"/>
                      <w:szCs w:val="21"/>
                      <w:highlight w:val="none"/>
                      <w:lang w:val="en-US" w:eastAsia="zh-CN"/>
                    </w:rPr>
                    <w:t>DA006风机</w:t>
                  </w:r>
                </w:p>
              </w:tc>
              <w:tc>
                <w:tcPr>
                  <w:tcW w:w="348" w:type="pct"/>
                  <w:noWrap w:val="0"/>
                  <w:tcMar>
                    <w:left w:w="57" w:type="dxa"/>
                    <w:right w:w="57" w:type="dxa"/>
                  </w:tcMar>
                  <w:vAlign w:val="center"/>
                </w:tcPr>
                <w:p w14:paraId="557FE0EB">
                  <w:pPr>
                    <w:keepNext w:val="0"/>
                    <w:keepLines w:val="0"/>
                    <w:suppressLineNumbers w:val="0"/>
                    <w:snapToGrid w:val="0"/>
                    <w:spacing w:before="0" w:beforeAutospacing="0" w:after="0" w:afterAutospacing="0"/>
                    <w:ind w:left="0" w:right="0"/>
                    <w:jc w:val="center"/>
                    <w:rPr>
                      <w:rFonts w:hint="eastAsia" w:ascii="Times New Roman" w:hAnsi="Times New Roman" w:eastAsia="宋体" w:cs="Times New Roman"/>
                      <w:b w:val="0"/>
                      <w:bCs w:val="0"/>
                      <w:sz w:val="21"/>
                      <w:szCs w:val="21"/>
                      <w:highlight w:val="none"/>
                    </w:rPr>
                  </w:pPr>
                  <w:r>
                    <w:rPr>
                      <w:rFonts w:hint="eastAsia" w:ascii="Times New Roman" w:hAnsi="Times New Roman" w:eastAsia="宋体" w:cs="Times New Roman"/>
                      <w:b w:val="0"/>
                      <w:bCs w:val="0"/>
                      <w:sz w:val="21"/>
                      <w:szCs w:val="21"/>
                      <w:highlight w:val="none"/>
                    </w:rPr>
                    <w:t>/</w:t>
                  </w:r>
                </w:p>
              </w:tc>
              <w:tc>
                <w:tcPr>
                  <w:tcW w:w="353" w:type="pct"/>
                  <w:noWrap w:val="0"/>
                  <w:tcMar>
                    <w:left w:w="57" w:type="dxa"/>
                    <w:right w:w="57" w:type="dxa"/>
                  </w:tcMar>
                  <w:vAlign w:val="center"/>
                </w:tcPr>
                <w:p w14:paraId="2A07165D">
                  <w:pPr>
                    <w:keepNext w:val="0"/>
                    <w:keepLines w:val="0"/>
                    <w:suppressLineNumbers w:val="0"/>
                    <w:spacing w:before="0" w:beforeAutospacing="0" w:after="0" w:afterAutospacing="0"/>
                    <w:ind w:left="0" w:right="0"/>
                    <w:jc w:val="center"/>
                    <w:rPr>
                      <w:rFonts w:hint="default" w:ascii="Times New Roman" w:hAnsi="Times New Roman" w:eastAsia="宋体" w:cs="Times New Roman"/>
                      <w:b w:val="0"/>
                      <w:bCs w:val="0"/>
                      <w:sz w:val="21"/>
                      <w:szCs w:val="21"/>
                      <w:highlight w:val="none"/>
                      <w:lang w:val="en-US" w:eastAsia="zh-CN"/>
                    </w:rPr>
                  </w:pPr>
                  <w:r>
                    <w:rPr>
                      <w:rFonts w:hint="eastAsia" w:ascii="Times New Roman" w:hAnsi="Times New Roman" w:eastAsia="宋体" w:cs="Times New Roman"/>
                      <w:b w:val="0"/>
                      <w:bCs w:val="0"/>
                      <w:sz w:val="21"/>
                      <w:szCs w:val="21"/>
                      <w:highlight w:val="none"/>
                      <w:lang w:val="en-US" w:eastAsia="zh-CN"/>
                    </w:rPr>
                    <w:t>-11</w:t>
                  </w:r>
                </w:p>
              </w:tc>
              <w:tc>
                <w:tcPr>
                  <w:tcW w:w="340" w:type="pct"/>
                  <w:noWrap w:val="0"/>
                  <w:tcMar>
                    <w:left w:w="57" w:type="dxa"/>
                    <w:right w:w="57" w:type="dxa"/>
                  </w:tcMar>
                  <w:vAlign w:val="center"/>
                </w:tcPr>
                <w:p w14:paraId="26DD2E5C">
                  <w:pPr>
                    <w:keepNext w:val="0"/>
                    <w:keepLines w:val="0"/>
                    <w:suppressLineNumbers w:val="0"/>
                    <w:spacing w:before="0" w:beforeAutospacing="0" w:after="0" w:afterAutospacing="0"/>
                    <w:ind w:left="0" w:right="0"/>
                    <w:jc w:val="center"/>
                    <w:rPr>
                      <w:rFonts w:hint="default" w:ascii="Times New Roman" w:hAnsi="Times New Roman" w:eastAsia="宋体" w:cs="Times New Roman"/>
                      <w:b w:val="0"/>
                      <w:bCs w:val="0"/>
                      <w:sz w:val="21"/>
                      <w:szCs w:val="21"/>
                      <w:highlight w:val="none"/>
                      <w:lang w:val="en-US" w:eastAsia="zh-CN"/>
                    </w:rPr>
                  </w:pPr>
                  <w:r>
                    <w:rPr>
                      <w:rFonts w:hint="eastAsia" w:ascii="Times New Roman" w:hAnsi="Times New Roman" w:eastAsia="宋体" w:cs="Times New Roman"/>
                      <w:b w:val="0"/>
                      <w:bCs w:val="0"/>
                      <w:sz w:val="21"/>
                      <w:szCs w:val="21"/>
                      <w:highlight w:val="none"/>
                      <w:lang w:val="en-US" w:eastAsia="zh-CN"/>
                    </w:rPr>
                    <w:t>137</w:t>
                  </w:r>
                </w:p>
              </w:tc>
              <w:tc>
                <w:tcPr>
                  <w:tcW w:w="339" w:type="pct"/>
                  <w:noWrap w:val="0"/>
                  <w:tcMar>
                    <w:left w:w="57" w:type="dxa"/>
                    <w:right w:w="57" w:type="dxa"/>
                  </w:tcMar>
                  <w:vAlign w:val="center"/>
                </w:tcPr>
                <w:p w14:paraId="1313F49A">
                  <w:pPr>
                    <w:keepNext w:val="0"/>
                    <w:keepLines w:val="0"/>
                    <w:suppressLineNumbers w:val="0"/>
                    <w:adjustRightInd w:val="0"/>
                    <w:snapToGrid w:val="0"/>
                    <w:spacing w:before="0" w:beforeAutospacing="0" w:after="0" w:afterAutospacing="0"/>
                    <w:ind w:left="0" w:right="0"/>
                    <w:jc w:val="center"/>
                    <w:rPr>
                      <w:rFonts w:hint="eastAsia" w:ascii="Times New Roman" w:hAnsi="Times New Roman" w:eastAsia="宋体" w:cs="Times New Roman"/>
                      <w:b w:val="0"/>
                      <w:bCs w:val="0"/>
                      <w:kern w:val="0"/>
                      <w:sz w:val="21"/>
                      <w:szCs w:val="21"/>
                      <w:highlight w:val="none"/>
                      <w:lang w:val="en-US" w:eastAsia="zh-CN"/>
                    </w:rPr>
                  </w:pPr>
                  <w:r>
                    <w:rPr>
                      <w:rFonts w:hint="eastAsia" w:ascii="Times New Roman" w:hAnsi="Times New Roman" w:eastAsia="宋体" w:cs="Times New Roman"/>
                      <w:b w:val="0"/>
                      <w:bCs w:val="0"/>
                      <w:kern w:val="0"/>
                      <w:sz w:val="21"/>
                      <w:szCs w:val="21"/>
                      <w:highlight w:val="none"/>
                      <w:lang w:val="en-US" w:eastAsia="zh-CN"/>
                    </w:rPr>
                    <w:t>25</w:t>
                  </w:r>
                </w:p>
              </w:tc>
              <w:tc>
                <w:tcPr>
                  <w:tcW w:w="666" w:type="pct"/>
                  <w:noWrap w:val="0"/>
                  <w:tcMar>
                    <w:left w:w="57" w:type="dxa"/>
                    <w:right w:w="57" w:type="dxa"/>
                  </w:tcMar>
                  <w:vAlign w:val="center"/>
                </w:tcPr>
                <w:p w14:paraId="44E05422">
                  <w:pPr>
                    <w:keepNext w:val="0"/>
                    <w:keepLines w:val="0"/>
                    <w:suppressLineNumbers w:val="0"/>
                    <w:snapToGrid w:val="0"/>
                    <w:spacing w:before="0" w:beforeAutospacing="0" w:after="0" w:afterAutospacing="0"/>
                    <w:ind w:left="0" w:right="0"/>
                    <w:jc w:val="center"/>
                    <w:rPr>
                      <w:rFonts w:hint="default" w:ascii="Times New Roman" w:hAnsi="Times New Roman" w:eastAsia="宋体" w:cs="Times New Roman"/>
                      <w:b w:val="0"/>
                      <w:bCs w:val="0"/>
                      <w:sz w:val="21"/>
                      <w:szCs w:val="21"/>
                      <w:highlight w:val="none"/>
                      <w:lang w:val="en-US" w:eastAsia="zh-CN"/>
                    </w:rPr>
                  </w:pPr>
                  <w:r>
                    <w:rPr>
                      <w:rFonts w:hint="eastAsia" w:cs="Times New Roman"/>
                      <w:b w:val="0"/>
                      <w:bCs w:val="0"/>
                      <w:sz w:val="21"/>
                      <w:szCs w:val="21"/>
                      <w:highlight w:val="none"/>
                      <w:lang w:val="en-US" w:eastAsia="zh-CN"/>
                    </w:rPr>
                    <w:t>73</w:t>
                  </w:r>
                </w:p>
              </w:tc>
              <w:tc>
                <w:tcPr>
                  <w:tcW w:w="633" w:type="pct"/>
                  <w:vMerge w:val="continue"/>
                  <w:noWrap w:val="0"/>
                  <w:tcMar>
                    <w:left w:w="57" w:type="dxa"/>
                    <w:right w:w="57" w:type="dxa"/>
                  </w:tcMar>
                  <w:vAlign w:val="center"/>
                </w:tcPr>
                <w:p w14:paraId="13B22EAE">
                  <w:pPr>
                    <w:keepNext w:val="0"/>
                    <w:keepLines w:val="0"/>
                    <w:suppressLineNumbers w:val="0"/>
                    <w:adjustRightInd w:val="0"/>
                    <w:snapToGrid w:val="0"/>
                    <w:spacing w:before="0" w:beforeAutospacing="0" w:after="0" w:afterAutospacing="0"/>
                    <w:ind w:left="0" w:right="0"/>
                    <w:rPr>
                      <w:rFonts w:hint="eastAsia" w:ascii="Times New Roman" w:hAnsi="Times New Roman" w:eastAsia="宋体" w:cs="Times New Roman"/>
                      <w:b w:val="0"/>
                      <w:bCs w:val="0"/>
                      <w:kern w:val="0"/>
                      <w:sz w:val="21"/>
                      <w:szCs w:val="21"/>
                      <w:highlight w:val="none"/>
                    </w:rPr>
                  </w:pPr>
                </w:p>
              </w:tc>
              <w:tc>
                <w:tcPr>
                  <w:tcW w:w="672" w:type="pct"/>
                  <w:noWrap w:val="0"/>
                  <w:tcMar>
                    <w:left w:w="57" w:type="dxa"/>
                    <w:right w:w="57" w:type="dxa"/>
                  </w:tcMar>
                  <w:vAlign w:val="center"/>
                </w:tcPr>
                <w:p w14:paraId="3308DD79">
                  <w:pPr>
                    <w:keepNext w:val="0"/>
                    <w:keepLines w:val="0"/>
                    <w:suppressLineNumbers w:val="0"/>
                    <w:adjustRightInd w:val="0"/>
                    <w:snapToGrid w:val="0"/>
                    <w:spacing w:before="0" w:beforeAutospacing="0" w:after="0" w:afterAutospacing="0"/>
                    <w:ind w:left="0" w:right="0"/>
                    <w:jc w:val="center"/>
                    <w:rPr>
                      <w:rFonts w:hint="eastAsia" w:ascii="Times New Roman" w:hAnsi="Times New Roman" w:eastAsia="宋体" w:cs="Times New Roman"/>
                      <w:b w:val="0"/>
                      <w:bCs w:val="0"/>
                      <w:kern w:val="0"/>
                      <w:sz w:val="21"/>
                      <w:szCs w:val="21"/>
                      <w:highlight w:val="none"/>
                      <w:lang w:val="en-US" w:eastAsia="zh-CN"/>
                    </w:rPr>
                  </w:pPr>
                  <w:r>
                    <w:rPr>
                      <w:rFonts w:hint="eastAsia" w:cs="Times New Roman"/>
                      <w:b w:val="0"/>
                      <w:bCs w:val="0"/>
                      <w:kern w:val="0"/>
                      <w:sz w:val="21"/>
                      <w:szCs w:val="21"/>
                      <w:highlight w:val="none"/>
                      <w:lang w:val="en-US" w:eastAsia="zh-CN"/>
                    </w:rPr>
                    <w:t>4h，260d</w:t>
                  </w:r>
                </w:p>
              </w:tc>
            </w:tr>
            <w:tr w14:paraId="36CE145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c>
                <w:tcPr>
                  <w:tcW w:w="345" w:type="pct"/>
                  <w:noWrap w:val="0"/>
                  <w:tcMar>
                    <w:left w:w="57" w:type="dxa"/>
                    <w:right w:w="57" w:type="dxa"/>
                  </w:tcMar>
                  <w:vAlign w:val="center"/>
                </w:tcPr>
                <w:p w14:paraId="44171A40">
                  <w:pPr>
                    <w:keepNext w:val="0"/>
                    <w:keepLines w:val="0"/>
                    <w:suppressLineNumbers w:val="0"/>
                    <w:adjustRightInd w:val="0"/>
                    <w:snapToGrid w:val="0"/>
                    <w:spacing w:before="0" w:beforeAutospacing="0" w:after="0" w:afterAutospacing="0"/>
                    <w:ind w:left="0" w:right="0"/>
                    <w:jc w:val="center"/>
                    <w:rPr>
                      <w:rFonts w:hint="eastAsia" w:ascii="Times New Roman" w:hAnsi="Times New Roman" w:eastAsia="宋体" w:cs="Times New Roman"/>
                      <w:b w:val="0"/>
                      <w:bCs w:val="0"/>
                      <w:kern w:val="0"/>
                      <w:sz w:val="21"/>
                      <w:szCs w:val="21"/>
                      <w:highlight w:val="none"/>
                      <w:lang w:val="en-US" w:eastAsia="zh-CN"/>
                    </w:rPr>
                  </w:pPr>
                  <w:r>
                    <w:rPr>
                      <w:rFonts w:hint="eastAsia" w:ascii="Times New Roman" w:hAnsi="Times New Roman" w:eastAsia="宋体" w:cs="Times New Roman"/>
                      <w:b w:val="0"/>
                      <w:bCs w:val="0"/>
                      <w:kern w:val="0"/>
                      <w:sz w:val="21"/>
                      <w:szCs w:val="21"/>
                      <w:highlight w:val="none"/>
                      <w:lang w:val="en-US" w:eastAsia="zh-CN"/>
                    </w:rPr>
                    <w:t>8</w:t>
                  </w:r>
                </w:p>
              </w:tc>
              <w:tc>
                <w:tcPr>
                  <w:tcW w:w="453" w:type="pct"/>
                  <w:vMerge w:val="continue"/>
                  <w:noWrap w:val="0"/>
                  <w:tcMar>
                    <w:left w:w="57" w:type="dxa"/>
                    <w:right w:w="57" w:type="dxa"/>
                  </w:tcMar>
                  <w:vAlign w:val="center"/>
                </w:tcPr>
                <w:p w14:paraId="1A14D845">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b w:val="0"/>
                      <w:bCs w:val="0"/>
                      <w:sz w:val="21"/>
                      <w:szCs w:val="21"/>
                      <w:highlight w:val="none"/>
                      <w:lang w:val="en-US" w:eastAsia="zh-CN"/>
                    </w:rPr>
                  </w:pPr>
                </w:p>
              </w:tc>
              <w:tc>
                <w:tcPr>
                  <w:tcW w:w="845" w:type="pct"/>
                  <w:noWrap w:val="0"/>
                  <w:tcMar>
                    <w:left w:w="57" w:type="dxa"/>
                    <w:right w:w="57" w:type="dxa"/>
                  </w:tcMar>
                  <w:vAlign w:val="center"/>
                </w:tcPr>
                <w:p w14:paraId="3FFB1DE7">
                  <w:pPr>
                    <w:keepNext w:val="0"/>
                    <w:keepLines w:val="0"/>
                    <w:suppressLineNumbers w:val="0"/>
                    <w:adjustRightInd w:val="0"/>
                    <w:snapToGrid w:val="0"/>
                    <w:spacing w:before="0" w:beforeAutospacing="0" w:after="0" w:afterAutospacing="0"/>
                    <w:ind w:left="0" w:right="0"/>
                    <w:jc w:val="center"/>
                    <w:rPr>
                      <w:rFonts w:hint="eastAsia" w:ascii="Times New Roman" w:hAnsi="Times New Roman" w:eastAsia="宋体" w:cs="Times New Roman"/>
                      <w:bCs/>
                      <w:sz w:val="21"/>
                      <w:szCs w:val="21"/>
                      <w:highlight w:val="none"/>
                      <w:lang w:val="en-US" w:eastAsia="zh-CN"/>
                    </w:rPr>
                  </w:pPr>
                  <w:r>
                    <w:rPr>
                      <w:rFonts w:hint="eastAsia" w:ascii="Times New Roman" w:hAnsi="Times New Roman" w:eastAsia="宋体" w:cs="Times New Roman"/>
                      <w:bCs/>
                      <w:sz w:val="21"/>
                      <w:szCs w:val="21"/>
                      <w:highlight w:val="none"/>
                      <w:lang w:val="en-US" w:eastAsia="zh-CN"/>
                    </w:rPr>
                    <w:t>DA00</w:t>
                  </w:r>
                  <w:r>
                    <w:rPr>
                      <w:rFonts w:hint="eastAsia" w:cs="Times New Roman"/>
                      <w:bCs/>
                      <w:sz w:val="21"/>
                      <w:szCs w:val="21"/>
                      <w:highlight w:val="none"/>
                      <w:lang w:val="en-US" w:eastAsia="zh-CN"/>
                    </w:rPr>
                    <w:t>2风机</w:t>
                  </w:r>
                </w:p>
              </w:tc>
              <w:tc>
                <w:tcPr>
                  <w:tcW w:w="348" w:type="pct"/>
                  <w:noWrap w:val="0"/>
                  <w:tcMar>
                    <w:left w:w="57" w:type="dxa"/>
                    <w:right w:w="57" w:type="dxa"/>
                  </w:tcMar>
                  <w:vAlign w:val="center"/>
                </w:tcPr>
                <w:p w14:paraId="4D5C6B29">
                  <w:pPr>
                    <w:keepNext w:val="0"/>
                    <w:keepLines w:val="0"/>
                    <w:suppressLineNumbers w:val="0"/>
                    <w:snapToGrid w:val="0"/>
                    <w:spacing w:before="0" w:beforeAutospacing="0" w:after="0" w:afterAutospacing="0"/>
                    <w:ind w:left="0" w:right="0"/>
                    <w:jc w:val="center"/>
                    <w:rPr>
                      <w:rFonts w:hint="eastAsia" w:ascii="Times New Roman" w:hAnsi="Times New Roman" w:eastAsia="宋体" w:cs="Times New Roman"/>
                      <w:b w:val="0"/>
                      <w:bCs w:val="0"/>
                      <w:sz w:val="21"/>
                      <w:szCs w:val="21"/>
                      <w:highlight w:val="none"/>
                    </w:rPr>
                  </w:pPr>
                  <w:r>
                    <w:rPr>
                      <w:rFonts w:hint="eastAsia" w:ascii="Times New Roman" w:hAnsi="Times New Roman" w:eastAsia="宋体" w:cs="Times New Roman"/>
                      <w:b w:val="0"/>
                      <w:bCs w:val="0"/>
                      <w:sz w:val="21"/>
                      <w:szCs w:val="21"/>
                      <w:highlight w:val="none"/>
                    </w:rPr>
                    <w:t>/</w:t>
                  </w:r>
                </w:p>
              </w:tc>
              <w:tc>
                <w:tcPr>
                  <w:tcW w:w="353" w:type="pct"/>
                  <w:noWrap w:val="0"/>
                  <w:tcMar>
                    <w:left w:w="57" w:type="dxa"/>
                    <w:right w:w="57" w:type="dxa"/>
                  </w:tcMar>
                  <w:vAlign w:val="center"/>
                </w:tcPr>
                <w:p w14:paraId="379C0802">
                  <w:pPr>
                    <w:keepNext w:val="0"/>
                    <w:keepLines w:val="0"/>
                    <w:suppressLineNumbers w:val="0"/>
                    <w:spacing w:before="0" w:beforeAutospacing="0" w:after="0" w:afterAutospacing="0"/>
                    <w:ind w:left="0" w:right="0"/>
                    <w:jc w:val="center"/>
                    <w:rPr>
                      <w:rFonts w:hint="default" w:ascii="Times New Roman" w:hAnsi="Times New Roman" w:eastAsia="宋体" w:cs="Times New Roman"/>
                      <w:b w:val="0"/>
                      <w:bCs w:val="0"/>
                      <w:sz w:val="21"/>
                      <w:szCs w:val="21"/>
                      <w:highlight w:val="none"/>
                      <w:lang w:val="en-US" w:eastAsia="zh-CN"/>
                    </w:rPr>
                  </w:pPr>
                  <w:r>
                    <w:rPr>
                      <w:rFonts w:hint="eastAsia" w:ascii="Times New Roman" w:hAnsi="Times New Roman" w:eastAsia="宋体" w:cs="Times New Roman"/>
                      <w:b w:val="0"/>
                      <w:bCs w:val="0"/>
                      <w:sz w:val="21"/>
                      <w:szCs w:val="21"/>
                      <w:highlight w:val="none"/>
                      <w:lang w:val="en-US" w:eastAsia="zh-CN"/>
                    </w:rPr>
                    <w:t>-29</w:t>
                  </w:r>
                </w:p>
              </w:tc>
              <w:tc>
                <w:tcPr>
                  <w:tcW w:w="340" w:type="pct"/>
                  <w:noWrap w:val="0"/>
                  <w:tcMar>
                    <w:left w:w="57" w:type="dxa"/>
                    <w:right w:w="57" w:type="dxa"/>
                  </w:tcMar>
                  <w:vAlign w:val="center"/>
                </w:tcPr>
                <w:p w14:paraId="2F79083B">
                  <w:pPr>
                    <w:keepNext w:val="0"/>
                    <w:keepLines w:val="0"/>
                    <w:suppressLineNumbers w:val="0"/>
                    <w:spacing w:before="0" w:beforeAutospacing="0" w:after="0" w:afterAutospacing="0"/>
                    <w:ind w:left="0" w:right="0"/>
                    <w:jc w:val="center"/>
                    <w:rPr>
                      <w:rFonts w:hint="default" w:ascii="Times New Roman" w:hAnsi="Times New Roman" w:eastAsia="宋体" w:cs="Times New Roman"/>
                      <w:b w:val="0"/>
                      <w:bCs w:val="0"/>
                      <w:sz w:val="21"/>
                      <w:szCs w:val="21"/>
                      <w:highlight w:val="none"/>
                      <w:lang w:val="en-US" w:eastAsia="zh-CN"/>
                    </w:rPr>
                  </w:pPr>
                  <w:r>
                    <w:rPr>
                      <w:rFonts w:hint="eastAsia" w:ascii="Times New Roman" w:hAnsi="Times New Roman" w:eastAsia="宋体" w:cs="Times New Roman"/>
                      <w:b w:val="0"/>
                      <w:bCs w:val="0"/>
                      <w:sz w:val="21"/>
                      <w:szCs w:val="21"/>
                      <w:highlight w:val="none"/>
                      <w:lang w:val="en-US" w:eastAsia="zh-CN"/>
                    </w:rPr>
                    <w:t>143</w:t>
                  </w:r>
                </w:p>
              </w:tc>
              <w:tc>
                <w:tcPr>
                  <w:tcW w:w="339" w:type="pct"/>
                  <w:noWrap w:val="0"/>
                  <w:tcMar>
                    <w:left w:w="57" w:type="dxa"/>
                    <w:right w:w="57" w:type="dxa"/>
                  </w:tcMar>
                  <w:vAlign w:val="center"/>
                </w:tcPr>
                <w:p w14:paraId="54A87189">
                  <w:pPr>
                    <w:keepNext w:val="0"/>
                    <w:keepLines w:val="0"/>
                    <w:suppressLineNumbers w:val="0"/>
                    <w:adjustRightInd w:val="0"/>
                    <w:snapToGrid w:val="0"/>
                    <w:spacing w:before="0" w:beforeAutospacing="0" w:after="0" w:afterAutospacing="0"/>
                    <w:ind w:left="0" w:right="0"/>
                    <w:jc w:val="center"/>
                    <w:rPr>
                      <w:rFonts w:hint="eastAsia" w:ascii="Times New Roman" w:hAnsi="Times New Roman" w:eastAsia="宋体" w:cs="Times New Roman"/>
                      <w:b w:val="0"/>
                      <w:bCs w:val="0"/>
                      <w:kern w:val="0"/>
                      <w:sz w:val="21"/>
                      <w:szCs w:val="21"/>
                      <w:highlight w:val="none"/>
                      <w:lang w:val="en-US" w:eastAsia="zh-CN"/>
                    </w:rPr>
                  </w:pPr>
                  <w:r>
                    <w:rPr>
                      <w:rFonts w:hint="eastAsia" w:ascii="Times New Roman" w:hAnsi="Times New Roman" w:eastAsia="宋体" w:cs="Times New Roman"/>
                      <w:b w:val="0"/>
                      <w:bCs w:val="0"/>
                      <w:kern w:val="0"/>
                      <w:sz w:val="21"/>
                      <w:szCs w:val="21"/>
                      <w:highlight w:val="none"/>
                      <w:lang w:val="en-US" w:eastAsia="zh-CN"/>
                    </w:rPr>
                    <w:t>25</w:t>
                  </w:r>
                </w:p>
              </w:tc>
              <w:tc>
                <w:tcPr>
                  <w:tcW w:w="666" w:type="pct"/>
                  <w:noWrap w:val="0"/>
                  <w:tcMar>
                    <w:left w:w="57" w:type="dxa"/>
                    <w:right w:w="57" w:type="dxa"/>
                  </w:tcMar>
                  <w:vAlign w:val="center"/>
                </w:tcPr>
                <w:p w14:paraId="67B70547">
                  <w:pPr>
                    <w:keepNext w:val="0"/>
                    <w:keepLines w:val="0"/>
                    <w:suppressLineNumbers w:val="0"/>
                    <w:snapToGrid w:val="0"/>
                    <w:spacing w:before="0" w:beforeAutospacing="0" w:after="0" w:afterAutospacing="0"/>
                    <w:ind w:left="0" w:right="0"/>
                    <w:jc w:val="center"/>
                    <w:rPr>
                      <w:rFonts w:hint="default" w:ascii="Times New Roman" w:hAnsi="Times New Roman" w:eastAsia="宋体" w:cs="Times New Roman"/>
                      <w:b w:val="0"/>
                      <w:bCs w:val="0"/>
                      <w:sz w:val="21"/>
                      <w:szCs w:val="21"/>
                      <w:highlight w:val="none"/>
                      <w:lang w:val="en-US" w:eastAsia="zh-CN"/>
                    </w:rPr>
                  </w:pPr>
                  <w:r>
                    <w:rPr>
                      <w:rFonts w:hint="eastAsia" w:cs="Times New Roman"/>
                      <w:b w:val="0"/>
                      <w:bCs w:val="0"/>
                      <w:sz w:val="21"/>
                      <w:szCs w:val="21"/>
                      <w:highlight w:val="none"/>
                      <w:lang w:val="en-US" w:eastAsia="zh-CN"/>
                    </w:rPr>
                    <w:t>74</w:t>
                  </w:r>
                </w:p>
              </w:tc>
              <w:tc>
                <w:tcPr>
                  <w:tcW w:w="633" w:type="pct"/>
                  <w:vMerge w:val="continue"/>
                  <w:noWrap w:val="0"/>
                  <w:tcMar>
                    <w:left w:w="57" w:type="dxa"/>
                    <w:right w:w="57" w:type="dxa"/>
                  </w:tcMar>
                  <w:vAlign w:val="center"/>
                </w:tcPr>
                <w:p w14:paraId="707700A4">
                  <w:pPr>
                    <w:keepNext w:val="0"/>
                    <w:keepLines w:val="0"/>
                    <w:suppressLineNumbers w:val="0"/>
                    <w:adjustRightInd w:val="0"/>
                    <w:snapToGrid w:val="0"/>
                    <w:spacing w:before="0" w:beforeAutospacing="0" w:after="0" w:afterAutospacing="0"/>
                    <w:ind w:left="0" w:right="0"/>
                    <w:rPr>
                      <w:rFonts w:hint="eastAsia" w:ascii="Times New Roman" w:hAnsi="Times New Roman" w:eastAsia="宋体" w:cs="Times New Roman"/>
                      <w:b w:val="0"/>
                      <w:bCs w:val="0"/>
                      <w:kern w:val="0"/>
                      <w:sz w:val="21"/>
                      <w:szCs w:val="21"/>
                      <w:highlight w:val="none"/>
                    </w:rPr>
                  </w:pPr>
                </w:p>
              </w:tc>
              <w:tc>
                <w:tcPr>
                  <w:tcW w:w="672" w:type="pct"/>
                  <w:noWrap w:val="0"/>
                  <w:tcMar>
                    <w:left w:w="57" w:type="dxa"/>
                    <w:right w:w="57" w:type="dxa"/>
                  </w:tcMar>
                  <w:vAlign w:val="center"/>
                </w:tcPr>
                <w:p w14:paraId="1EFBAA50">
                  <w:pPr>
                    <w:keepNext w:val="0"/>
                    <w:keepLines w:val="0"/>
                    <w:suppressLineNumbers w:val="0"/>
                    <w:adjustRightInd w:val="0"/>
                    <w:snapToGrid w:val="0"/>
                    <w:spacing w:before="0" w:beforeAutospacing="0" w:after="0" w:afterAutospacing="0"/>
                    <w:ind w:left="0" w:right="0"/>
                    <w:jc w:val="center"/>
                    <w:rPr>
                      <w:rFonts w:hint="eastAsia" w:ascii="Times New Roman" w:hAnsi="Times New Roman" w:eastAsia="宋体" w:cs="Times New Roman"/>
                      <w:b w:val="0"/>
                      <w:bCs w:val="0"/>
                      <w:kern w:val="0"/>
                      <w:sz w:val="21"/>
                      <w:szCs w:val="21"/>
                      <w:highlight w:val="none"/>
                      <w:lang w:val="en-US" w:eastAsia="zh-CN"/>
                    </w:rPr>
                  </w:pPr>
                  <w:r>
                    <w:rPr>
                      <w:rFonts w:hint="eastAsia" w:cs="Times New Roman"/>
                      <w:b w:val="0"/>
                      <w:bCs w:val="0"/>
                      <w:kern w:val="0"/>
                      <w:sz w:val="21"/>
                      <w:szCs w:val="21"/>
                      <w:highlight w:val="none"/>
                      <w:lang w:val="en-US" w:eastAsia="zh-CN"/>
                    </w:rPr>
                    <w:t>24h，365d</w:t>
                  </w:r>
                </w:p>
              </w:tc>
            </w:tr>
            <w:tr w14:paraId="2B96A21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c>
                <w:tcPr>
                  <w:tcW w:w="345" w:type="pct"/>
                  <w:noWrap w:val="0"/>
                  <w:tcMar>
                    <w:left w:w="57" w:type="dxa"/>
                    <w:right w:w="57" w:type="dxa"/>
                  </w:tcMar>
                  <w:vAlign w:val="center"/>
                </w:tcPr>
                <w:p w14:paraId="3B5FD362">
                  <w:pPr>
                    <w:keepNext w:val="0"/>
                    <w:keepLines w:val="0"/>
                    <w:suppressLineNumbers w:val="0"/>
                    <w:adjustRightInd w:val="0"/>
                    <w:snapToGrid w:val="0"/>
                    <w:spacing w:before="0" w:beforeAutospacing="0" w:after="0" w:afterAutospacing="0"/>
                    <w:ind w:left="0" w:right="0"/>
                    <w:jc w:val="center"/>
                    <w:rPr>
                      <w:rFonts w:hint="eastAsia" w:ascii="Times New Roman" w:hAnsi="Times New Roman" w:eastAsia="宋体" w:cs="Times New Roman"/>
                      <w:b w:val="0"/>
                      <w:bCs w:val="0"/>
                      <w:kern w:val="0"/>
                      <w:sz w:val="21"/>
                      <w:szCs w:val="21"/>
                      <w:highlight w:val="none"/>
                      <w:lang w:val="en-US" w:eastAsia="zh-CN"/>
                    </w:rPr>
                  </w:pPr>
                  <w:r>
                    <w:rPr>
                      <w:rFonts w:hint="eastAsia" w:ascii="Times New Roman" w:hAnsi="Times New Roman" w:eastAsia="宋体" w:cs="Times New Roman"/>
                      <w:b w:val="0"/>
                      <w:bCs w:val="0"/>
                      <w:kern w:val="0"/>
                      <w:sz w:val="21"/>
                      <w:szCs w:val="21"/>
                      <w:highlight w:val="none"/>
                      <w:lang w:val="en-US" w:eastAsia="zh-CN"/>
                    </w:rPr>
                    <w:t>9</w:t>
                  </w:r>
                </w:p>
              </w:tc>
              <w:tc>
                <w:tcPr>
                  <w:tcW w:w="453" w:type="pct"/>
                  <w:vMerge w:val="continue"/>
                  <w:noWrap w:val="0"/>
                  <w:tcMar>
                    <w:left w:w="57" w:type="dxa"/>
                    <w:right w:w="57" w:type="dxa"/>
                  </w:tcMar>
                  <w:vAlign w:val="center"/>
                </w:tcPr>
                <w:p w14:paraId="201FB14D">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b w:val="0"/>
                      <w:bCs w:val="0"/>
                      <w:sz w:val="21"/>
                      <w:szCs w:val="21"/>
                      <w:highlight w:val="none"/>
                      <w:lang w:val="en-US" w:eastAsia="zh-CN"/>
                    </w:rPr>
                  </w:pPr>
                </w:p>
              </w:tc>
              <w:tc>
                <w:tcPr>
                  <w:tcW w:w="845" w:type="pct"/>
                  <w:noWrap w:val="0"/>
                  <w:tcMar>
                    <w:left w:w="57" w:type="dxa"/>
                    <w:right w:w="57" w:type="dxa"/>
                  </w:tcMar>
                  <w:vAlign w:val="center"/>
                </w:tcPr>
                <w:p w14:paraId="2DABB418">
                  <w:pPr>
                    <w:keepNext w:val="0"/>
                    <w:keepLines w:val="0"/>
                    <w:suppressLineNumbers w:val="0"/>
                    <w:adjustRightInd w:val="0"/>
                    <w:snapToGrid w:val="0"/>
                    <w:spacing w:before="0" w:beforeAutospacing="0" w:after="0" w:afterAutospacing="0"/>
                    <w:ind w:left="0" w:right="0"/>
                    <w:jc w:val="center"/>
                    <w:rPr>
                      <w:rFonts w:hint="eastAsia" w:cs="Times New Roman"/>
                      <w:bCs/>
                      <w:sz w:val="21"/>
                      <w:szCs w:val="21"/>
                      <w:highlight w:val="none"/>
                      <w:lang w:val="en-US" w:eastAsia="zh-CN"/>
                    </w:rPr>
                  </w:pPr>
                  <w:r>
                    <w:rPr>
                      <w:rFonts w:hint="eastAsia" w:cs="Times New Roman"/>
                      <w:bCs/>
                      <w:sz w:val="21"/>
                      <w:szCs w:val="21"/>
                      <w:highlight w:val="none"/>
                      <w:lang w:val="en-US" w:eastAsia="zh-CN"/>
                    </w:rPr>
                    <w:t>DA007风机</w:t>
                  </w:r>
                </w:p>
              </w:tc>
              <w:tc>
                <w:tcPr>
                  <w:tcW w:w="348" w:type="pct"/>
                  <w:noWrap w:val="0"/>
                  <w:tcMar>
                    <w:left w:w="57" w:type="dxa"/>
                    <w:right w:w="57" w:type="dxa"/>
                  </w:tcMar>
                  <w:vAlign w:val="center"/>
                </w:tcPr>
                <w:p w14:paraId="22C8D7AB">
                  <w:pPr>
                    <w:keepNext w:val="0"/>
                    <w:keepLines w:val="0"/>
                    <w:suppressLineNumbers w:val="0"/>
                    <w:snapToGrid w:val="0"/>
                    <w:spacing w:before="0" w:beforeAutospacing="0" w:after="0" w:afterAutospacing="0"/>
                    <w:ind w:left="0" w:right="0"/>
                    <w:jc w:val="center"/>
                    <w:rPr>
                      <w:rFonts w:hint="eastAsia" w:ascii="Times New Roman" w:hAnsi="Times New Roman" w:eastAsia="宋体" w:cs="Times New Roman"/>
                      <w:b w:val="0"/>
                      <w:bCs w:val="0"/>
                      <w:sz w:val="21"/>
                      <w:szCs w:val="21"/>
                      <w:highlight w:val="none"/>
                    </w:rPr>
                  </w:pPr>
                  <w:r>
                    <w:rPr>
                      <w:rFonts w:hint="eastAsia" w:ascii="Times New Roman" w:hAnsi="Times New Roman" w:eastAsia="宋体" w:cs="Times New Roman"/>
                      <w:b w:val="0"/>
                      <w:bCs w:val="0"/>
                      <w:sz w:val="21"/>
                      <w:szCs w:val="21"/>
                      <w:highlight w:val="none"/>
                    </w:rPr>
                    <w:t>/</w:t>
                  </w:r>
                </w:p>
              </w:tc>
              <w:tc>
                <w:tcPr>
                  <w:tcW w:w="353" w:type="pct"/>
                  <w:noWrap w:val="0"/>
                  <w:tcMar>
                    <w:left w:w="57" w:type="dxa"/>
                    <w:right w:w="57" w:type="dxa"/>
                  </w:tcMar>
                  <w:vAlign w:val="center"/>
                </w:tcPr>
                <w:p w14:paraId="6AE48DD0">
                  <w:pPr>
                    <w:keepNext w:val="0"/>
                    <w:keepLines w:val="0"/>
                    <w:suppressLineNumbers w:val="0"/>
                    <w:spacing w:before="0" w:beforeAutospacing="0" w:after="0" w:afterAutospacing="0"/>
                    <w:ind w:left="0" w:right="0"/>
                    <w:jc w:val="center"/>
                    <w:rPr>
                      <w:rFonts w:hint="default" w:ascii="Times New Roman" w:hAnsi="Times New Roman" w:eastAsia="宋体" w:cs="Times New Roman"/>
                      <w:b w:val="0"/>
                      <w:bCs w:val="0"/>
                      <w:sz w:val="21"/>
                      <w:szCs w:val="21"/>
                      <w:highlight w:val="none"/>
                      <w:lang w:val="en-US" w:eastAsia="zh-CN"/>
                    </w:rPr>
                  </w:pPr>
                  <w:r>
                    <w:rPr>
                      <w:rFonts w:hint="eastAsia" w:ascii="Times New Roman" w:hAnsi="Times New Roman" w:eastAsia="宋体" w:cs="Times New Roman"/>
                      <w:b w:val="0"/>
                      <w:bCs w:val="0"/>
                      <w:sz w:val="21"/>
                      <w:szCs w:val="21"/>
                      <w:highlight w:val="none"/>
                      <w:lang w:val="en-US" w:eastAsia="zh-CN"/>
                    </w:rPr>
                    <w:t>-26</w:t>
                  </w:r>
                </w:p>
              </w:tc>
              <w:tc>
                <w:tcPr>
                  <w:tcW w:w="340" w:type="pct"/>
                  <w:noWrap w:val="0"/>
                  <w:tcMar>
                    <w:left w:w="57" w:type="dxa"/>
                    <w:right w:w="57" w:type="dxa"/>
                  </w:tcMar>
                  <w:vAlign w:val="center"/>
                </w:tcPr>
                <w:p w14:paraId="56E56DA4">
                  <w:pPr>
                    <w:keepNext w:val="0"/>
                    <w:keepLines w:val="0"/>
                    <w:suppressLineNumbers w:val="0"/>
                    <w:spacing w:before="0" w:beforeAutospacing="0" w:after="0" w:afterAutospacing="0"/>
                    <w:ind w:left="0" w:right="0"/>
                    <w:jc w:val="center"/>
                    <w:rPr>
                      <w:rFonts w:hint="default" w:ascii="Times New Roman" w:hAnsi="Times New Roman" w:eastAsia="宋体" w:cs="Times New Roman"/>
                      <w:b w:val="0"/>
                      <w:bCs w:val="0"/>
                      <w:sz w:val="21"/>
                      <w:szCs w:val="21"/>
                      <w:highlight w:val="none"/>
                      <w:lang w:val="en-US" w:eastAsia="zh-CN"/>
                    </w:rPr>
                  </w:pPr>
                  <w:r>
                    <w:rPr>
                      <w:rFonts w:hint="eastAsia" w:ascii="Times New Roman" w:hAnsi="Times New Roman" w:eastAsia="宋体" w:cs="Times New Roman"/>
                      <w:b w:val="0"/>
                      <w:bCs w:val="0"/>
                      <w:sz w:val="21"/>
                      <w:szCs w:val="21"/>
                      <w:highlight w:val="none"/>
                      <w:lang w:val="en-US" w:eastAsia="zh-CN"/>
                    </w:rPr>
                    <w:t>145</w:t>
                  </w:r>
                </w:p>
              </w:tc>
              <w:tc>
                <w:tcPr>
                  <w:tcW w:w="339" w:type="pct"/>
                  <w:noWrap w:val="0"/>
                  <w:tcMar>
                    <w:left w:w="57" w:type="dxa"/>
                    <w:right w:w="57" w:type="dxa"/>
                  </w:tcMar>
                  <w:vAlign w:val="center"/>
                </w:tcPr>
                <w:p w14:paraId="621BD376">
                  <w:pPr>
                    <w:keepNext w:val="0"/>
                    <w:keepLines w:val="0"/>
                    <w:suppressLineNumbers w:val="0"/>
                    <w:adjustRightInd w:val="0"/>
                    <w:snapToGrid w:val="0"/>
                    <w:spacing w:before="0" w:beforeAutospacing="0" w:after="0" w:afterAutospacing="0"/>
                    <w:ind w:left="0" w:right="0"/>
                    <w:jc w:val="center"/>
                    <w:rPr>
                      <w:rFonts w:hint="eastAsia" w:ascii="Times New Roman" w:hAnsi="Times New Roman" w:eastAsia="宋体" w:cs="Times New Roman"/>
                      <w:b w:val="0"/>
                      <w:bCs w:val="0"/>
                      <w:kern w:val="0"/>
                      <w:sz w:val="21"/>
                      <w:szCs w:val="21"/>
                      <w:highlight w:val="none"/>
                      <w:lang w:val="en-US" w:eastAsia="zh-CN"/>
                    </w:rPr>
                  </w:pPr>
                  <w:r>
                    <w:rPr>
                      <w:rFonts w:hint="eastAsia" w:ascii="Times New Roman" w:hAnsi="Times New Roman" w:eastAsia="宋体" w:cs="Times New Roman"/>
                      <w:b w:val="0"/>
                      <w:bCs w:val="0"/>
                      <w:kern w:val="0"/>
                      <w:sz w:val="21"/>
                      <w:szCs w:val="21"/>
                      <w:highlight w:val="none"/>
                      <w:lang w:val="en-US" w:eastAsia="zh-CN"/>
                    </w:rPr>
                    <w:t>25</w:t>
                  </w:r>
                </w:p>
              </w:tc>
              <w:tc>
                <w:tcPr>
                  <w:tcW w:w="666" w:type="pct"/>
                  <w:noWrap w:val="0"/>
                  <w:tcMar>
                    <w:left w:w="57" w:type="dxa"/>
                    <w:right w:w="57" w:type="dxa"/>
                  </w:tcMar>
                  <w:vAlign w:val="center"/>
                </w:tcPr>
                <w:p w14:paraId="51F397EB">
                  <w:pPr>
                    <w:keepNext w:val="0"/>
                    <w:keepLines w:val="0"/>
                    <w:suppressLineNumbers w:val="0"/>
                    <w:snapToGrid w:val="0"/>
                    <w:spacing w:before="0" w:beforeAutospacing="0" w:after="0" w:afterAutospacing="0"/>
                    <w:ind w:left="0" w:right="0"/>
                    <w:jc w:val="center"/>
                    <w:rPr>
                      <w:rFonts w:hint="default" w:ascii="Times New Roman" w:hAnsi="Times New Roman" w:eastAsia="宋体" w:cs="Times New Roman"/>
                      <w:b w:val="0"/>
                      <w:bCs w:val="0"/>
                      <w:sz w:val="21"/>
                      <w:szCs w:val="21"/>
                      <w:highlight w:val="none"/>
                      <w:lang w:val="en-US" w:eastAsia="zh-CN"/>
                    </w:rPr>
                  </w:pPr>
                  <w:r>
                    <w:rPr>
                      <w:rFonts w:hint="eastAsia" w:cs="Times New Roman"/>
                      <w:b w:val="0"/>
                      <w:bCs w:val="0"/>
                      <w:sz w:val="21"/>
                      <w:szCs w:val="21"/>
                      <w:highlight w:val="none"/>
                      <w:lang w:val="en-US" w:eastAsia="zh-CN"/>
                    </w:rPr>
                    <w:t>79</w:t>
                  </w:r>
                </w:p>
              </w:tc>
              <w:tc>
                <w:tcPr>
                  <w:tcW w:w="633" w:type="pct"/>
                  <w:vMerge w:val="continue"/>
                  <w:noWrap w:val="0"/>
                  <w:tcMar>
                    <w:left w:w="57" w:type="dxa"/>
                    <w:right w:w="57" w:type="dxa"/>
                  </w:tcMar>
                  <w:vAlign w:val="center"/>
                </w:tcPr>
                <w:p w14:paraId="4B918D1B">
                  <w:pPr>
                    <w:keepNext w:val="0"/>
                    <w:keepLines w:val="0"/>
                    <w:suppressLineNumbers w:val="0"/>
                    <w:adjustRightInd w:val="0"/>
                    <w:snapToGrid w:val="0"/>
                    <w:spacing w:before="0" w:beforeAutospacing="0" w:after="0" w:afterAutospacing="0"/>
                    <w:ind w:left="0" w:right="0"/>
                    <w:rPr>
                      <w:rFonts w:hint="eastAsia" w:ascii="Times New Roman" w:hAnsi="Times New Roman" w:eastAsia="宋体" w:cs="Times New Roman"/>
                      <w:b w:val="0"/>
                      <w:bCs w:val="0"/>
                      <w:kern w:val="0"/>
                      <w:sz w:val="21"/>
                      <w:szCs w:val="21"/>
                      <w:highlight w:val="none"/>
                    </w:rPr>
                  </w:pPr>
                </w:p>
              </w:tc>
              <w:tc>
                <w:tcPr>
                  <w:tcW w:w="672" w:type="pct"/>
                  <w:noWrap w:val="0"/>
                  <w:tcMar>
                    <w:left w:w="57" w:type="dxa"/>
                    <w:right w:w="57" w:type="dxa"/>
                  </w:tcMar>
                  <w:vAlign w:val="center"/>
                </w:tcPr>
                <w:p w14:paraId="055C4FD6">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b w:val="0"/>
                      <w:bCs w:val="0"/>
                      <w:kern w:val="0"/>
                      <w:sz w:val="21"/>
                      <w:szCs w:val="21"/>
                      <w:highlight w:val="none"/>
                      <w:lang w:val="en-US" w:eastAsia="zh-CN"/>
                    </w:rPr>
                  </w:pPr>
                  <w:r>
                    <w:rPr>
                      <w:rFonts w:hint="eastAsia" w:cs="Times New Roman"/>
                      <w:b w:val="0"/>
                      <w:bCs w:val="0"/>
                      <w:kern w:val="0"/>
                      <w:sz w:val="21"/>
                      <w:szCs w:val="21"/>
                      <w:highlight w:val="none"/>
                      <w:lang w:val="en-US" w:eastAsia="zh-CN"/>
                    </w:rPr>
                    <w:t>8h，260d</w:t>
                  </w:r>
                </w:p>
              </w:tc>
            </w:tr>
            <w:tr w14:paraId="4CDFA6F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c>
                <w:tcPr>
                  <w:tcW w:w="345" w:type="pct"/>
                  <w:noWrap w:val="0"/>
                  <w:tcMar>
                    <w:left w:w="57" w:type="dxa"/>
                    <w:right w:w="57" w:type="dxa"/>
                  </w:tcMar>
                  <w:vAlign w:val="center"/>
                </w:tcPr>
                <w:p w14:paraId="2008923D">
                  <w:pPr>
                    <w:keepNext w:val="0"/>
                    <w:keepLines w:val="0"/>
                    <w:suppressLineNumbers w:val="0"/>
                    <w:adjustRightInd w:val="0"/>
                    <w:snapToGrid w:val="0"/>
                    <w:spacing w:before="0" w:beforeAutospacing="0" w:after="0" w:afterAutospacing="0"/>
                    <w:ind w:left="0" w:right="0"/>
                    <w:jc w:val="center"/>
                    <w:rPr>
                      <w:rFonts w:hint="eastAsia" w:ascii="Times New Roman" w:hAnsi="Times New Roman" w:eastAsia="宋体" w:cs="Times New Roman"/>
                      <w:b w:val="0"/>
                      <w:bCs w:val="0"/>
                      <w:kern w:val="0"/>
                      <w:sz w:val="21"/>
                      <w:szCs w:val="21"/>
                      <w:highlight w:val="none"/>
                      <w:lang w:val="en-US" w:eastAsia="zh-CN"/>
                    </w:rPr>
                  </w:pPr>
                  <w:r>
                    <w:rPr>
                      <w:rFonts w:hint="eastAsia" w:ascii="Times New Roman" w:hAnsi="Times New Roman" w:eastAsia="宋体" w:cs="Times New Roman"/>
                      <w:b w:val="0"/>
                      <w:bCs w:val="0"/>
                      <w:kern w:val="0"/>
                      <w:sz w:val="21"/>
                      <w:szCs w:val="21"/>
                      <w:highlight w:val="none"/>
                      <w:lang w:val="en-US" w:eastAsia="zh-CN"/>
                    </w:rPr>
                    <w:t>10</w:t>
                  </w:r>
                </w:p>
              </w:tc>
              <w:tc>
                <w:tcPr>
                  <w:tcW w:w="453" w:type="pct"/>
                  <w:vMerge w:val="continue"/>
                  <w:noWrap w:val="0"/>
                  <w:tcMar>
                    <w:left w:w="57" w:type="dxa"/>
                    <w:right w:w="57" w:type="dxa"/>
                  </w:tcMar>
                  <w:vAlign w:val="center"/>
                </w:tcPr>
                <w:p w14:paraId="744F8D96">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b w:val="0"/>
                      <w:bCs w:val="0"/>
                      <w:sz w:val="21"/>
                      <w:szCs w:val="21"/>
                      <w:highlight w:val="none"/>
                      <w:lang w:val="en-US" w:eastAsia="zh-CN"/>
                    </w:rPr>
                  </w:pPr>
                </w:p>
              </w:tc>
              <w:tc>
                <w:tcPr>
                  <w:tcW w:w="845" w:type="pct"/>
                  <w:noWrap w:val="0"/>
                  <w:tcMar>
                    <w:left w:w="57" w:type="dxa"/>
                    <w:right w:w="57" w:type="dxa"/>
                  </w:tcMar>
                  <w:vAlign w:val="center"/>
                </w:tcPr>
                <w:p w14:paraId="63ED820F">
                  <w:pPr>
                    <w:keepNext w:val="0"/>
                    <w:keepLines w:val="0"/>
                    <w:suppressLineNumbers w:val="0"/>
                    <w:adjustRightInd w:val="0"/>
                    <w:snapToGrid w:val="0"/>
                    <w:spacing w:before="0" w:beforeAutospacing="0" w:after="0" w:afterAutospacing="0"/>
                    <w:ind w:left="0" w:right="0"/>
                    <w:jc w:val="center"/>
                    <w:rPr>
                      <w:rFonts w:hint="eastAsia"/>
                      <w:sz w:val="21"/>
                      <w:szCs w:val="21"/>
                      <w:highlight w:val="none"/>
                      <w:lang w:val="en-US" w:eastAsia="zh-CN"/>
                    </w:rPr>
                  </w:pPr>
                  <w:r>
                    <w:rPr>
                      <w:rFonts w:hint="eastAsia"/>
                      <w:sz w:val="21"/>
                      <w:szCs w:val="21"/>
                      <w:highlight w:val="none"/>
                      <w:lang w:val="en-US" w:eastAsia="zh-CN"/>
                    </w:rPr>
                    <w:t>DA004风机</w:t>
                  </w:r>
                </w:p>
              </w:tc>
              <w:tc>
                <w:tcPr>
                  <w:tcW w:w="348" w:type="pct"/>
                  <w:noWrap w:val="0"/>
                  <w:tcMar>
                    <w:left w:w="57" w:type="dxa"/>
                    <w:right w:w="57" w:type="dxa"/>
                  </w:tcMar>
                  <w:vAlign w:val="center"/>
                </w:tcPr>
                <w:p w14:paraId="5EC2ECC1">
                  <w:pPr>
                    <w:keepNext w:val="0"/>
                    <w:keepLines w:val="0"/>
                    <w:suppressLineNumbers w:val="0"/>
                    <w:snapToGrid w:val="0"/>
                    <w:spacing w:before="0" w:beforeAutospacing="0" w:after="0" w:afterAutospacing="0"/>
                    <w:ind w:left="0" w:right="0"/>
                    <w:jc w:val="center"/>
                    <w:rPr>
                      <w:rFonts w:hint="eastAsia" w:ascii="Times New Roman" w:hAnsi="Times New Roman" w:eastAsia="宋体" w:cs="Times New Roman"/>
                      <w:b w:val="0"/>
                      <w:bCs w:val="0"/>
                      <w:sz w:val="21"/>
                      <w:szCs w:val="21"/>
                      <w:highlight w:val="none"/>
                    </w:rPr>
                  </w:pPr>
                  <w:r>
                    <w:rPr>
                      <w:rFonts w:hint="eastAsia" w:ascii="Times New Roman" w:hAnsi="Times New Roman" w:eastAsia="宋体" w:cs="Times New Roman"/>
                      <w:b w:val="0"/>
                      <w:bCs w:val="0"/>
                      <w:sz w:val="21"/>
                      <w:szCs w:val="21"/>
                      <w:highlight w:val="none"/>
                    </w:rPr>
                    <w:t>/</w:t>
                  </w:r>
                </w:p>
              </w:tc>
              <w:tc>
                <w:tcPr>
                  <w:tcW w:w="353" w:type="pct"/>
                  <w:noWrap w:val="0"/>
                  <w:tcMar>
                    <w:left w:w="57" w:type="dxa"/>
                    <w:right w:w="57" w:type="dxa"/>
                  </w:tcMar>
                  <w:vAlign w:val="center"/>
                </w:tcPr>
                <w:p w14:paraId="7384C9FF">
                  <w:pPr>
                    <w:keepNext w:val="0"/>
                    <w:keepLines w:val="0"/>
                    <w:suppressLineNumbers w:val="0"/>
                    <w:spacing w:before="0" w:beforeAutospacing="0" w:after="0" w:afterAutospacing="0"/>
                    <w:ind w:left="0" w:right="0"/>
                    <w:jc w:val="center"/>
                    <w:rPr>
                      <w:rFonts w:hint="default" w:ascii="Times New Roman" w:hAnsi="Times New Roman" w:eastAsia="宋体" w:cs="Times New Roman"/>
                      <w:b w:val="0"/>
                      <w:bCs w:val="0"/>
                      <w:sz w:val="21"/>
                      <w:szCs w:val="21"/>
                      <w:highlight w:val="none"/>
                      <w:lang w:val="en-US" w:eastAsia="zh-CN"/>
                    </w:rPr>
                  </w:pPr>
                  <w:r>
                    <w:rPr>
                      <w:rFonts w:hint="eastAsia" w:ascii="Times New Roman" w:hAnsi="Times New Roman" w:eastAsia="宋体" w:cs="Times New Roman"/>
                      <w:b w:val="0"/>
                      <w:bCs w:val="0"/>
                      <w:sz w:val="21"/>
                      <w:szCs w:val="21"/>
                      <w:highlight w:val="none"/>
                      <w:lang w:val="en-US" w:eastAsia="zh-CN"/>
                    </w:rPr>
                    <w:t>-34</w:t>
                  </w:r>
                </w:p>
              </w:tc>
              <w:tc>
                <w:tcPr>
                  <w:tcW w:w="340" w:type="pct"/>
                  <w:noWrap w:val="0"/>
                  <w:tcMar>
                    <w:left w:w="57" w:type="dxa"/>
                    <w:right w:w="57" w:type="dxa"/>
                  </w:tcMar>
                  <w:vAlign w:val="center"/>
                </w:tcPr>
                <w:p w14:paraId="46A7E2FF">
                  <w:pPr>
                    <w:keepNext w:val="0"/>
                    <w:keepLines w:val="0"/>
                    <w:suppressLineNumbers w:val="0"/>
                    <w:spacing w:before="0" w:beforeAutospacing="0" w:after="0" w:afterAutospacing="0"/>
                    <w:ind w:left="0" w:right="0"/>
                    <w:jc w:val="center"/>
                    <w:rPr>
                      <w:rFonts w:hint="default" w:ascii="Times New Roman" w:hAnsi="Times New Roman" w:eastAsia="宋体" w:cs="Times New Roman"/>
                      <w:b w:val="0"/>
                      <w:bCs w:val="0"/>
                      <w:sz w:val="21"/>
                      <w:szCs w:val="21"/>
                      <w:highlight w:val="none"/>
                      <w:lang w:val="en-US" w:eastAsia="zh-CN"/>
                    </w:rPr>
                  </w:pPr>
                  <w:r>
                    <w:rPr>
                      <w:rFonts w:hint="eastAsia" w:ascii="Times New Roman" w:hAnsi="Times New Roman" w:eastAsia="宋体" w:cs="Times New Roman"/>
                      <w:b w:val="0"/>
                      <w:bCs w:val="0"/>
                      <w:sz w:val="21"/>
                      <w:szCs w:val="21"/>
                      <w:highlight w:val="none"/>
                      <w:lang w:val="en-US" w:eastAsia="zh-CN"/>
                    </w:rPr>
                    <w:t>148</w:t>
                  </w:r>
                </w:p>
              </w:tc>
              <w:tc>
                <w:tcPr>
                  <w:tcW w:w="339" w:type="pct"/>
                  <w:noWrap w:val="0"/>
                  <w:tcMar>
                    <w:left w:w="57" w:type="dxa"/>
                    <w:right w:w="57" w:type="dxa"/>
                  </w:tcMar>
                  <w:vAlign w:val="center"/>
                </w:tcPr>
                <w:p w14:paraId="53A4D43F">
                  <w:pPr>
                    <w:keepNext w:val="0"/>
                    <w:keepLines w:val="0"/>
                    <w:suppressLineNumbers w:val="0"/>
                    <w:adjustRightInd w:val="0"/>
                    <w:snapToGrid w:val="0"/>
                    <w:spacing w:before="0" w:beforeAutospacing="0" w:after="0" w:afterAutospacing="0"/>
                    <w:ind w:left="0" w:right="0"/>
                    <w:jc w:val="center"/>
                    <w:rPr>
                      <w:rFonts w:hint="eastAsia" w:ascii="Times New Roman" w:hAnsi="Times New Roman" w:eastAsia="宋体" w:cs="Times New Roman"/>
                      <w:b w:val="0"/>
                      <w:bCs w:val="0"/>
                      <w:kern w:val="0"/>
                      <w:sz w:val="21"/>
                      <w:szCs w:val="21"/>
                      <w:highlight w:val="none"/>
                      <w:lang w:val="en-US" w:eastAsia="zh-CN"/>
                    </w:rPr>
                  </w:pPr>
                  <w:r>
                    <w:rPr>
                      <w:rFonts w:hint="eastAsia" w:ascii="Times New Roman" w:hAnsi="Times New Roman" w:eastAsia="宋体" w:cs="Times New Roman"/>
                      <w:b w:val="0"/>
                      <w:bCs w:val="0"/>
                      <w:kern w:val="0"/>
                      <w:sz w:val="21"/>
                      <w:szCs w:val="21"/>
                      <w:highlight w:val="none"/>
                      <w:lang w:val="en-US" w:eastAsia="zh-CN"/>
                    </w:rPr>
                    <w:t>25</w:t>
                  </w:r>
                </w:p>
              </w:tc>
              <w:tc>
                <w:tcPr>
                  <w:tcW w:w="666" w:type="pct"/>
                  <w:noWrap w:val="0"/>
                  <w:tcMar>
                    <w:left w:w="57" w:type="dxa"/>
                    <w:right w:w="57" w:type="dxa"/>
                  </w:tcMar>
                  <w:vAlign w:val="center"/>
                </w:tcPr>
                <w:p w14:paraId="6477AD57">
                  <w:pPr>
                    <w:keepNext w:val="0"/>
                    <w:keepLines w:val="0"/>
                    <w:suppressLineNumbers w:val="0"/>
                    <w:snapToGrid w:val="0"/>
                    <w:spacing w:before="0" w:beforeAutospacing="0" w:after="0" w:afterAutospacing="0"/>
                    <w:ind w:left="0" w:right="0"/>
                    <w:jc w:val="center"/>
                    <w:rPr>
                      <w:rFonts w:hint="default" w:ascii="Times New Roman" w:hAnsi="Times New Roman" w:eastAsia="宋体" w:cs="Times New Roman"/>
                      <w:b w:val="0"/>
                      <w:bCs w:val="0"/>
                      <w:sz w:val="21"/>
                      <w:szCs w:val="21"/>
                      <w:highlight w:val="none"/>
                      <w:lang w:val="en-US" w:eastAsia="zh-CN"/>
                    </w:rPr>
                  </w:pPr>
                  <w:r>
                    <w:rPr>
                      <w:rFonts w:hint="eastAsia" w:cs="Times New Roman"/>
                      <w:b w:val="0"/>
                      <w:bCs w:val="0"/>
                      <w:sz w:val="21"/>
                      <w:szCs w:val="21"/>
                      <w:highlight w:val="none"/>
                      <w:lang w:val="en-US" w:eastAsia="zh-CN"/>
                    </w:rPr>
                    <w:t>76</w:t>
                  </w:r>
                </w:p>
              </w:tc>
              <w:tc>
                <w:tcPr>
                  <w:tcW w:w="633" w:type="pct"/>
                  <w:vMerge w:val="continue"/>
                  <w:noWrap w:val="0"/>
                  <w:tcMar>
                    <w:left w:w="57" w:type="dxa"/>
                    <w:right w:w="57" w:type="dxa"/>
                  </w:tcMar>
                  <w:vAlign w:val="center"/>
                </w:tcPr>
                <w:p w14:paraId="26DF355C">
                  <w:pPr>
                    <w:keepNext w:val="0"/>
                    <w:keepLines w:val="0"/>
                    <w:suppressLineNumbers w:val="0"/>
                    <w:adjustRightInd w:val="0"/>
                    <w:snapToGrid w:val="0"/>
                    <w:spacing w:before="0" w:beforeAutospacing="0" w:after="0" w:afterAutospacing="0"/>
                    <w:ind w:left="0" w:right="0"/>
                    <w:rPr>
                      <w:rFonts w:hint="eastAsia" w:ascii="Times New Roman" w:hAnsi="Times New Roman" w:eastAsia="宋体" w:cs="Times New Roman"/>
                      <w:b w:val="0"/>
                      <w:bCs w:val="0"/>
                      <w:kern w:val="0"/>
                      <w:sz w:val="21"/>
                      <w:szCs w:val="21"/>
                      <w:highlight w:val="none"/>
                    </w:rPr>
                  </w:pPr>
                </w:p>
              </w:tc>
              <w:tc>
                <w:tcPr>
                  <w:tcW w:w="672" w:type="pct"/>
                  <w:noWrap w:val="0"/>
                  <w:tcMar>
                    <w:left w:w="57" w:type="dxa"/>
                    <w:right w:w="57" w:type="dxa"/>
                  </w:tcMar>
                  <w:vAlign w:val="center"/>
                </w:tcPr>
                <w:p w14:paraId="7F0531FE">
                  <w:pPr>
                    <w:keepNext w:val="0"/>
                    <w:keepLines w:val="0"/>
                    <w:suppressLineNumbers w:val="0"/>
                    <w:adjustRightInd w:val="0"/>
                    <w:snapToGrid w:val="0"/>
                    <w:spacing w:before="0" w:beforeAutospacing="0" w:after="0" w:afterAutospacing="0"/>
                    <w:ind w:left="0" w:right="0"/>
                    <w:jc w:val="center"/>
                    <w:rPr>
                      <w:rFonts w:hint="eastAsia" w:ascii="Times New Roman" w:hAnsi="Times New Roman" w:eastAsia="宋体" w:cs="Times New Roman"/>
                      <w:b w:val="0"/>
                      <w:bCs w:val="0"/>
                      <w:kern w:val="0"/>
                      <w:sz w:val="21"/>
                      <w:szCs w:val="21"/>
                      <w:highlight w:val="none"/>
                      <w:lang w:val="en-US" w:eastAsia="zh-CN"/>
                    </w:rPr>
                  </w:pPr>
                  <w:r>
                    <w:rPr>
                      <w:rFonts w:hint="eastAsia" w:cs="Times New Roman"/>
                      <w:b w:val="0"/>
                      <w:bCs w:val="0"/>
                      <w:kern w:val="0"/>
                      <w:sz w:val="21"/>
                      <w:szCs w:val="21"/>
                      <w:highlight w:val="none"/>
                      <w:lang w:val="en-US" w:eastAsia="zh-CN"/>
                    </w:rPr>
                    <w:t>24h，365d</w:t>
                  </w:r>
                </w:p>
              </w:tc>
            </w:tr>
            <w:tr w14:paraId="2DD4892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c>
                <w:tcPr>
                  <w:tcW w:w="345" w:type="pct"/>
                  <w:noWrap w:val="0"/>
                  <w:tcMar>
                    <w:left w:w="57" w:type="dxa"/>
                    <w:right w:w="57" w:type="dxa"/>
                  </w:tcMar>
                  <w:vAlign w:val="center"/>
                </w:tcPr>
                <w:p w14:paraId="3F77CC4D">
                  <w:pPr>
                    <w:keepNext w:val="0"/>
                    <w:keepLines w:val="0"/>
                    <w:suppressLineNumbers w:val="0"/>
                    <w:adjustRightInd w:val="0"/>
                    <w:snapToGrid w:val="0"/>
                    <w:spacing w:before="0" w:beforeAutospacing="0" w:after="0" w:afterAutospacing="0"/>
                    <w:ind w:left="0" w:right="0"/>
                    <w:jc w:val="center"/>
                    <w:rPr>
                      <w:rFonts w:hint="eastAsia" w:ascii="Times New Roman" w:hAnsi="Times New Roman" w:eastAsia="宋体" w:cs="Times New Roman"/>
                      <w:b w:val="0"/>
                      <w:bCs w:val="0"/>
                      <w:kern w:val="0"/>
                      <w:sz w:val="21"/>
                      <w:szCs w:val="21"/>
                      <w:highlight w:val="none"/>
                      <w:lang w:val="en-US" w:eastAsia="zh-CN"/>
                    </w:rPr>
                  </w:pPr>
                  <w:r>
                    <w:rPr>
                      <w:rFonts w:hint="eastAsia" w:ascii="Times New Roman" w:hAnsi="Times New Roman" w:eastAsia="宋体" w:cs="Times New Roman"/>
                      <w:b w:val="0"/>
                      <w:bCs w:val="0"/>
                      <w:kern w:val="0"/>
                      <w:sz w:val="21"/>
                      <w:szCs w:val="21"/>
                      <w:highlight w:val="none"/>
                      <w:lang w:val="en-US" w:eastAsia="zh-CN"/>
                    </w:rPr>
                    <w:t>11</w:t>
                  </w:r>
                </w:p>
              </w:tc>
              <w:tc>
                <w:tcPr>
                  <w:tcW w:w="453" w:type="pct"/>
                  <w:vMerge w:val="continue"/>
                  <w:noWrap w:val="0"/>
                  <w:tcMar>
                    <w:left w:w="57" w:type="dxa"/>
                    <w:right w:w="57" w:type="dxa"/>
                  </w:tcMar>
                  <w:vAlign w:val="center"/>
                </w:tcPr>
                <w:p w14:paraId="6A25ACE2">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b w:val="0"/>
                      <w:bCs w:val="0"/>
                      <w:sz w:val="21"/>
                      <w:szCs w:val="21"/>
                      <w:highlight w:val="none"/>
                      <w:lang w:val="en-US" w:eastAsia="zh-CN"/>
                    </w:rPr>
                  </w:pPr>
                </w:p>
              </w:tc>
              <w:tc>
                <w:tcPr>
                  <w:tcW w:w="845" w:type="pct"/>
                  <w:noWrap w:val="0"/>
                  <w:tcMar>
                    <w:left w:w="57" w:type="dxa"/>
                    <w:right w:w="57" w:type="dxa"/>
                  </w:tcMar>
                  <w:vAlign w:val="center"/>
                </w:tcPr>
                <w:p w14:paraId="3CE1F4AB">
                  <w:pPr>
                    <w:keepNext w:val="0"/>
                    <w:keepLines w:val="0"/>
                    <w:suppressLineNumbers w:val="0"/>
                    <w:adjustRightInd w:val="0"/>
                    <w:snapToGrid w:val="0"/>
                    <w:spacing w:before="0" w:beforeAutospacing="0" w:after="0" w:afterAutospacing="0"/>
                    <w:ind w:left="0" w:right="0"/>
                    <w:jc w:val="center"/>
                    <w:rPr>
                      <w:rFonts w:hint="eastAsia" w:cs="Times New Roman"/>
                      <w:b w:val="0"/>
                      <w:bCs w:val="0"/>
                      <w:sz w:val="21"/>
                      <w:szCs w:val="21"/>
                      <w:highlight w:val="none"/>
                      <w:lang w:val="en-US" w:eastAsia="zh-CN"/>
                    </w:rPr>
                  </w:pPr>
                  <w:r>
                    <w:rPr>
                      <w:rFonts w:hint="eastAsia" w:cs="Times New Roman"/>
                      <w:b w:val="0"/>
                      <w:bCs w:val="0"/>
                      <w:sz w:val="21"/>
                      <w:szCs w:val="21"/>
                      <w:highlight w:val="none"/>
                      <w:lang w:val="en-US" w:eastAsia="zh-CN"/>
                    </w:rPr>
                    <w:t>更衣室、微生物实验室新风系统风机</w:t>
                  </w:r>
                </w:p>
              </w:tc>
              <w:tc>
                <w:tcPr>
                  <w:tcW w:w="348" w:type="pct"/>
                  <w:noWrap w:val="0"/>
                  <w:tcMar>
                    <w:left w:w="57" w:type="dxa"/>
                    <w:right w:w="57" w:type="dxa"/>
                  </w:tcMar>
                  <w:vAlign w:val="center"/>
                </w:tcPr>
                <w:p w14:paraId="5DEB0C0D">
                  <w:pPr>
                    <w:keepNext w:val="0"/>
                    <w:keepLines w:val="0"/>
                    <w:suppressLineNumbers w:val="0"/>
                    <w:snapToGrid w:val="0"/>
                    <w:spacing w:before="0" w:beforeAutospacing="0" w:after="0" w:afterAutospacing="0"/>
                    <w:ind w:left="0" w:right="0"/>
                    <w:jc w:val="center"/>
                    <w:rPr>
                      <w:rFonts w:hint="eastAsia" w:ascii="Times New Roman" w:hAnsi="Times New Roman" w:eastAsia="宋体" w:cs="Times New Roman"/>
                      <w:b w:val="0"/>
                      <w:bCs w:val="0"/>
                      <w:sz w:val="21"/>
                      <w:szCs w:val="21"/>
                      <w:highlight w:val="none"/>
                    </w:rPr>
                  </w:pPr>
                  <w:r>
                    <w:rPr>
                      <w:rFonts w:hint="eastAsia" w:ascii="Times New Roman" w:hAnsi="Times New Roman" w:eastAsia="宋体" w:cs="Times New Roman"/>
                      <w:b w:val="0"/>
                      <w:bCs w:val="0"/>
                      <w:sz w:val="21"/>
                      <w:szCs w:val="21"/>
                      <w:highlight w:val="none"/>
                    </w:rPr>
                    <w:t>/</w:t>
                  </w:r>
                </w:p>
              </w:tc>
              <w:tc>
                <w:tcPr>
                  <w:tcW w:w="353" w:type="pct"/>
                  <w:noWrap w:val="0"/>
                  <w:tcMar>
                    <w:left w:w="57" w:type="dxa"/>
                    <w:right w:w="57" w:type="dxa"/>
                  </w:tcMar>
                  <w:vAlign w:val="center"/>
                </w:tcPr>
                <w:p w14:paraId="31B48ABB">
                  <w:pPr>
                    <w:keepNext w:val="0"/>
                    <w:keepLines w:val="0"/>
                    <w:suppressLineNumbers w:val="0"/>
                    <w:spacing w:before="0" w:beforeAutospacing="0" w:after="0" w:afterAutospacing="0"/>
                    <w:ind w:left="0" w:right="0"/>
                    <w:jc w:val="center"/>
                    <w:rPr>
                      <w:rFonts w:hint="default" w:ascii="Times New Roman" w:hAnsi="Times New Roman" w:eastAsia="宋体" w:cs="Times New Roman"/>
                      <w:b w:val="0"/>
                      <w:bCs w:val="0"/>
                      <w:sz w:val="21"/>
                      <w:szCs w:val="21"/>
                      <w:highlight w:val="none"/>
                      <w:lang w:val="en-US" w:eastAsia="zh-CN"/>
                    </w:rPr>
                  </w:pPr>
                  <w:r>
                    <w:rPr>
                      <w:rFonts w:hint="eastAsia" w:ascii="Times New Roman" w:hAnsi="Times New Roman" w:eastAsia="宋体" w:cs="Times New Roman"/>
                      <w:b w:val="0"/>
                      <w:bCs w:val="0"/>
                      <w:sz w:val="21"/>
                      <w:szCs w:val="21"/>
                      <w:highlight w:val="none"/>
                      <w:lang w:val="en-US" w:eastAsia="zh-CN"/>
                    </w:rPr>
                    <w:t>21</w:t>
                  </w:r>
                </w:p>
              </w:tc>
              <w:tc>
                <w:tcPr>
                  <w:tcW w:w="340" w:type="pct"/>
                  <w:noWrap w:val="0"/>
                  <w:tcMar>
                    <w:left w:w="57" w:type="dxa"/>
                    <w:right w:w="57" w:type="dxa"/>
                  </w:tcMar>
                  <w:vAlign w:val="center"/>
                </w:tcPr>
                <w:p w14:paraId="4AB5141E">
                  <w:pPr>
                    <w:keepNext w:val="0"/>
                    <w:keepLines w:val="0"/>
                    <w:suppressLineNumbers w:val="0"/>
                    <w:spacing w:before="0" w:beforeAutospacing="0" w:after="0" w:afterAutospacing="0"/>
                    <w:ind w:left="0" w:right="0"/>
                    <w:jc w:val="center"/>
                    <w:rPr>
                      <w:rFonts w:hint="default" w:ascii="Times New Roman" w:hAnsi="Times New Roman" w:eastAsia="宋体" w:cs="Times New Roman"/>
                      <w:b w:val="0"/>
                      <w:bCs w:val="0"/>
                      <w:sz w:val="21"/>
                      <w:szCs w:val="21"/>
                      <w:highlight w:val="none"/>
                      <w:lang w:val="en-US" w:eastAsia="zh-CN"/>
                    </w:rPr>
                  </w:pPr>
                  <w:r>
                    <w:rPr>
                      <w:rFonts w:hint="eastAsia" w:ascii="Times New Roman" w:hAnsi="Times New Roman" w:eastAsia="宋体" w:cs="Times New Roman"/>
                      <w:b w:val="0"/>
                      <w:bCs w:val="0"/>
                      <w:sz w:val="21"/>
                      <w:szCs w:val="21"/>
                      <w:highlight w:val="none"/>
                      <w:lang w:val="en-US" w:eastAsia="zh-CN"/>
                    </w:rPr>
                    <w:t>139</w:t>
                  </w:r>
                </w:p>
              </w:tc>
              <w:tc>
                <w:tcPr>
                  <w:tcW w:w="339" w:type="pct"/>
                  <w:noWrap w:val="0"/>
                  <w:tcMar>
                    <w:left w:w="57" w:type="dxa"/>
                    <w:right w:w="57" w:type="dxa"/>
                  </w:tcMar>
                  <w:vAlign w:val="center"/>
                </w:tcPr>
                <w:p w14:paraId="0CC73F96">
                  <w:pPr>
                    <w:keepNext w:val="0"/>
                    <w:keepLines w:val="0"/>
                    <w:suppressLineNumbers w:val="0"/>
                    <w:adjustRightInd w:val="0"/>
                    <w:snapToGrid w:val="0"/>
                    <w:spacing w:before="0" w:beforeAutospacing="0" w:after="0" w:afterAutospacing="0"/>
                    <w:ind w:left="0" w:right="0"/>
                    <w:jc w:val="center"/>
                    <w:rPr>
                      <w:rFonts w:hint="eastAsia" w:ascii="Times New Roman" w:hAnsi="Times New Roman" w:eastAsia="宋体" w:cs="Times New Roman"/>
                      <w:b w:val="0"/>
                      <w:bCs w:val="0"/>
                      <w:kern w:val="0"/>
                      <w:sz w:val="21"/>
                      <w:szCs w:val="21"/>
                      <w:highlight w:val="none"/>
                      <w:lang w:val="en-US" w:eastAsia="zh-CN"/>
                    </w:rPr>
                  </w:pPr>
                  <w:r>
                    <w:rPr>
                      <w:rFonts w:hint="eastAsia" w:ascii="Times New Roman" w:hAnsi="Times New Roman" w:eastAsia="宋体" w:cs="Times New Roman"/>
                      <w:b w:val="0"/>
                      <w:bCs w:val="0"/>
                      <w:kern w:val="0"/>
                      <w:sz w:val="21"/>
                      <w:szCs w:val="21"/>
                      <w:highlight w:val="none"/>
                      <w:lang w:val="en-US" w:eastAsia="zh-CN"/>
                    </w:rPr>
                    <w:t>25</w:t>
                  </w:r>
                </w:p>
              </w:tc>
              <w:tc>
                <w:tcPr>
                  <w:tcW w:w="666" w:type="pct"/>
                  <w:noWrap w:val="0"/>
                  <w:tcMar>
                    <w:left w:w="57" w:type="dxa"/>
                    <w:right w:w="57" w:type="dxa"/>
                  </w:tcMar>
                  <w:vAlign w:val="center"/>
                </w:tcPr>
                <w:p w14:paraId="52EC8C19">
                  <w:pPr>
                    <w:keepNext w:val="0"/>
                    <w:keepLines w:val="0"/>
                    <w:suppressLineNumbers w:val="0"/>
                    <w:snapToGrid w:val="0"/>
                    <w:spacing w:before="0" w:beforeAutospacing="0" w:after="0" w:afterAutospacing="0"/>
                    <w:ind w:left="0" w:right="0"/>
                    <w:jc w:val="center"/>
                    <w:rPr>
                      <w:rFonts w:hint="default" w:ascii="Times New Roman" w:hAnsi="Times New Roman" w:eastAsia="宋体" w:cs="Times New Roman"/>
                      <w:b w:val="0"/>
                      <w:bCs w:val="0"/>
                      <w:sz w:val="21"/>
                      <w:szCs w:val="21"/>
                      <w:highlight w:val="none"/>
                      <w:lang w:val="en-US" w:eastAsia="zh-CN"/>
                    </w:rPr>
                  </w:pPr>
                  <w:r>
                    <w:rPr>
                      <w:rFonts w:hint="eastAsia" w:cs="Times New Roman"/>
                      <w:b w:val="0"/>
                      <w:bCs w:val="0"/>
                      <w:sz w:val="21"/>
                      <w:szCs w:val="21"/>
                      <w:highlight w:val="none"/>
                      <w:lang w:val="en-US" w:eastAsia="zh-CN"/>
                    </w:rPr>
                    <w:t>71</w:t>
                  </w:r>
                </w:p>
              </w:tc>
              <w:tc>
                <w:tcPr>
                  <w:tcW w:w="633" w:type="pct"/>
                  <w:vMerge w:val="continue"/>
                  <w:noWrap w:val="0"/>
                  <w:tcMar>
                    <w:left w:w="57" w:type="dxa"/>
                    <w:right w:w="57" w:type="dxa"/>
                  </w:tcMar>
                  <w:vAlign w:val="center"/>
                </w:tcPr>
                <w:p w14:paraId="7DAE1F96">
                  <w:pPr>
                    <w:keepNext w:val="0"/>
                    <w:keepLines w:val="0"/>
                    <w:suppressLineNumbers w:val="0"/>
                    <w:adjustRightInd w:val="0"/>
                    <w:snapToGrid w:val="0"/>
                    <w:spacing w:before="0" w:beforeAutospacing="0" w:after="0" w:afterAutospacing="0"/>
                    <w:ind w:left="0" w:right="0"/>
                    <w:rPr>
                      <w:rFonts w:hint="eastAsia" w:ascii="Times New Roman" w:hAnsi="Times New Roman" w:eastAsia="宋体" w:cs="Times New Roman"/>
                      <w:b w:val="0"/>
                      <w:bCs w:val="0"/>
                      <w:kern w:val="0"/>
                      <w:sz w:val="21"/>
                      <w:szCs w:val="21"/>
                      <w:highlight w:val="none"/>
                    </w:rPr>
                  </w:pPr>
                </w:p>
              </w:tc>
              <w:tc>
                <w:tcPr>
                  <w:tcW w:w="672" w:type="pct"/>
                  <w:noWrap w:val="0"/>
                  <w:tcMar>
                    <w:left w:w="57" w:type="dxa"/>
                    <w:right w:w="57" w:type="dxa"/>
                  </w:tcMar>
                  <w:vAlign w:val="center"/>
                </w:tcPr>
                <w:p w14:paraId="4816689F">
                  <w:pPr>
                    <w:keepNext w:val="0"/>
                    <w:keepLines w:val="0"/>
                    <w:suppressLineNumbers w:val="0"/>
                    <w:adjustRightInd w:val="0"/>
                    <w:snapToGrid w:val="0"/>
                    <w:spacing w:before="0" w:beforeAutospacing="0" w:after="0" w:afterAutospacing="0"/>
                    <w:ind w:left="0" w:right="0"/>
                    <w:jc w:val="center"/>
                    <w:rPr>
                      <w:rFonts w:hint="eastAsia" w:ascii="Times New Roman" w:hAnsi="Times New Roman" w:eastAsia="宋体" w:cs="Times New Roman"/>
                      <w:b w:val="0"/>
                      <w:bCs w:val="0"/>
                      <w:kern w:val="0"/>
                      <w:sz w:val="21"/>
                      <w:szCs w:val="21"/>
                      <w:highlight w:val="none"/>
                      <w:lang w:val="en-US" w:eastAsia="zh-CN"/>
                    </w:rPr>
                  </w:pPr>
                  <w:r>
                    <w:rPr>
                      <w:rFonts w:hint="eastAsia" w:cs="Times New Roman"/>
                      <w:b w:val="0"/>
                      <w:bCs w:val="0"/>
                      <w:kern w:val="0"/>
                      <w:sz w:val="21"/>
                      <w:szCs w:val="21"/>
                      <w:highlight w:val="none"/>
                      <w:lang w:val="en-US" w:eastAsia="zh-CN"/>
                    </w:rPr>
                    <w:t>8h，260d</w:t>
                  </w:r>
                </w:p>
              </w:tc>
            </w:tr>
            <w:tr w14:paraId="420077B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c>
                <w:tcPr>
                  <w:tcW w:w="345" w:type="pct"/>
                  <w:noWrap w:val="0"/>
                  <w:tcMar>
                    <w:left w:w="57" w:type="dxa"/>
                    <w:right w:w="57" w:type="dxa"/>
                  </w:tcMar>
                  <w:vAlign w:val="center"/>
                </w:tcPr>
                <w:p w14:paraId="0EB0559D">
                  <w:pPr>
                    <w:keepNext w:val="0"/>
                    <w:keepLines w:val="0"/>
                    <w:suppressLineNumbers w:val="0"/>
                    <w:adjustRightInd w:val="0"/>
                    <w:snapToGrid w:val="0"/>
                    <w:spacing w:before="0" w:beforeAutospacing="0" w:after="0" w:afterAutospacing="0"/>
                    <w:ind w:left="0" w:right="0"/>
                    <w:jc w:val="center"/>
                    <w:rPr>
                      <w:rFonts w:hint="eastAsia" w:ascii="Times New Roman" w:hAnsi="Times New Roman" w:eastAsia="宋体" w:cs="Times New Roman"/>
                      <w:b w:val="0"/>
                      <w:bCs w:val="0"/>
                      <w:kern w:val="0"/>
                      <w:sz w:val="21"/>
                      <w:szCs w:val="21"/>
                      <w:highlight w:val="none"/>
                      <w:lang w:val="en-US" w:eastAsia="zh-CN"/>
                    </w:rPr>
                  </w:pPr>
                  <w:r>
                    <w:rPr>
                      <w:rFonts w:hint="eastAsia" w:ascii="Times New Roman" w:hAnsi="Times New Roman" w:eastAsia="宋体" w:cs="Times New Roman"/>
                      <w:b w:val="0"/>
                      <w:bCs w:val="0"/>
                      <w:kern w:val="0"/>
                      <w:sz w:val="21"/>
                      <w:szCs w:val="21"/>
                      <w:highlight w:val="none"/>
                      <w:lang w:val="en-US" w:eastAsia="zh-CN"/>
                    </w:rPr>
                    <w:t>12</w:t>
                  </w:r>
                </w:p>
              </w:tc>
              <w:tc>
                <w:tcPr>
                  <w:tcW w:w="453" w:type="pct"/>
                  <w:vMerge w:val="continue"/>
                  <w:noWrap w:val="0"/>
                  <w:tcMar>
                    <w:left w:w="57" w:type="dxa"/>
                    <w:right w:w="57" w:type="dxa"/>
                  </w:tcMar>
                  <w:vAlign w:val="center"/>
                </w:tcPr>
                <w:p w14:paraId="7DB38E2A">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b w:val="0"/>
                      <w:bCs w:val="0"/>
                      <w:sz w:val="21"/>
                      <w:szCs w:val="21"/>
                      <w:highlight w:val="none"/>
                      <w:lang w:val="en-US" w:eastAsia="zh-CN"/>
                    </w:rPr>
                  </w:pPr>
                </w:p>
              </w:tc>
              <w:tc>
                <w:tcPr>
                  <w:tcW w:w="845" w:type="pct"/>
                  <w:noWrap w:val="0"/>
                  <w:tcMar>
                    <w:left w:w="57" w:type="dxa"/>
                    <w:right w:w="57" w:type="dxa"/>
                  </w:tcMar>
                  <w:vAlign w:val="center"/>
                </w:tcPr>
                <w:p w14:paraId="1D0CEB64">
                  <w:pPr>
                    <w:keepNext w:val="0"/>
                    <w:keepLines w:val="0"/>
                    <w:suppressLineNumbers w:val="0"/>
                    <w:adjustRightInd w:val="0"/>
                    <w:snapToGrid w:val="0"/>
                    <w:spacing w:before="0" w:beforeAutospacing="0" w:after="0" w:afterAutospacing="0"/>
                    <w:ind w:left="0" w:right="0"/>
                    <w:jc w:val="center"/>
                    <w:rPr>
                      <w:rFonts w:hint="eastAsia" w:cs="Times New Roman"/>
                      <w:bCs/>
                      <w:sz w:val="21"/>
                      <w:szCs w:val="21"/>
                      <w:highlight w:val="none"/>
                      <w:lang w:val="en-US" w:eastAsia="zh-CN"/>
                    </w:rPr>
                  </w:pPr>
                  <w:r>
                    <w:rPr>
                      <w:rFonts w:hint="eastAsia" w:cs="Times New Roman"/>
                      <w:bCs/>
                      <w:sz w:val="21"/>
                      <w:szCs w:val="21"/>
                      <w:highlight w:val="none"/>
                      <w:lang w:val="en-US" w:eastAsia="zh-CN"/>
                    </w:rPr>
                    <w:t>DA008</w:t>
                  </w:r>
                  <w:r>
                    <w:rPr>
                      <w:rFonts w:hint="eastAsia"/>
                      <w:sz w:val="21"/>
                      <w:szCs w:val="21"/>
                      <w:highlight w:val="none"/>
                      <w:lang w:val="en-US" w:eastAsia="zh-CN"/>
                    </w:rPr>
                    <w:t>风机</w:t>
                  </w:r>
                </w:p>
              </w:tc>
              <w:tc>
                <w:tcPr>
                  <w:tcW w:w="348" w:type="pct"/>
                  <w:noWrap w:val="0"/>
                  <w:tcMar>
                    <w:left w:w="57" w:type="dxa"/>
                    <w:right w:w="57" w:type="dxa"/>
                  </w:tcMar>
                  <w:vAlign w:val="center"/>
                </w:tcPr>
                <w:p w14:paraId="2FED9A3D">
                  <w:pPr>
                    <w:keepNext w:val="0"/>
                    <w:keepLines w:val="0"/>
                    <w:suppressLineNumbers w:val="0"/>
                    <w:snapToGrid w:val="0"/>
                    <w:spacing w:before="0" w:beforeAutospacing="0" w:after="0" w:afterAutospacing="0"/>
                    <w:ind w:left="0" w:right="0"/>
                    <w:jc w:val="center"/>
                    <w:rPr>
                      <w:rFonts w:hint="eastAsia" w:ascii="Times New Roman" w:hAnsi="Times New Roman" w:eastAsia="宋体" w:cs="Times New Roman"/>
                      <w:b w:val="0"/>
                      <w:bCs w:val="0"/>
                      <w:sz w:val="21"/>
                      <w:szCs w:val="21"/>
                      <w:highlight w:val="none"/>
                    </w:rPr>
                  </w:pPr>
                  <w:r>
                    <w:rPr>
                      <w:rFonts w:hint="eastAsia" w:ascii="Times New Roman" w:hAnsi="Times New Roman" w:eastAsia="宋体" w:cs="Times New Roman"/>
                      <w:b w:val="0"/>
                      <w:bCs w:val="0"/>
                      <w:sz w:val="21"/>
                      <w:szCs w:val="21"/>
                      <w:highlight w:val="none"/>
                    </w:rPr>
                    <w:t>/</w:t>
                  </w:r>
                </w:p>
              </w:tc>
              <w:tc>
                <w:tcPr>
                  <w:tcW w:w="353" w:type="pct"/>
                  <w:noWrap w:val="0"/>
                  <w:tcMar>
                    <w:left w:w="57" w:type="dxa"/>
                    <w:right w:w="57" w:type="dxa"/>
                  </w:tcMar>
                  <w:vAlign w:val="center"/>
                </w:tcPr>
                <w:p w14:paraId="36C67E5F">
                  <w:pPr>
                    <w:keepNext w:val="0"/>
                    <w:keepLines w:val="0"/>
                    <w:suppressLineNumbers w:val="0"/>
                    <w:spacing w:before="0" w:beforeAutospacing="0" w:after="0" w:afterAutospacing="0"/>
                    <w:ind w:left="0" w:right="0"/>
                    <w:jc w:val="center"/>
                    <w:rPr>
                      <w:rFonts w:hint="default" w:ascii="Times New Roman" w:hAnsi="Times New Roman" w:eastAsia="宋体" w:cs="Times New Roman"/>
                      <w:b w:val="0"/>
                      <w:bCs w:val="0"/>
                      <w:sz w:val="21"/>
                      <w:szCs w:val="21"/>
                      <w:highlight w:val="none"/>
                      <w:lang w:val="en-US" w:eastAsia="zh-CN"/>
                    </w:rPr>
                  </w:pPr>
                  <w:r>
                    <w:rPr>
                      <w:rFonts w:hint="eastAsia" w:ascii="Times New Roman" w:hAnsi="Times New Roman" w:eastAsia="宋体" w:cs="Times New Roman"/>
                      <w:b w:val="0"/>
                      <w:bCs w:val="0"/>
                      <w:sz w:val="21"/>
                      <w:szCs w:val="21"/>
                      <w:highlight w:val="none"/>
                      <w:lang w:val="en-US" w:eastAsia="zh-CN"/>
                    </w:rPr>
                    <w:t>17</w:t>
                  </w:r>
                </w:p>
              </w:tc>
              <w:tc>
                <w:tcPr>
                  <w:tcW w:w="340" w:type="pct"/>
                  <w:noWrap w:val="0"/>
                  <w:tcMar>
                    <w:left w:w="57" w:type="dxa"/>
                    <w:right w:w="57" w:type="dxa"/>
                  </w:tcMar>
                  <w:vAlign w:val="center"/>
                </w:tcPr>
                <w:p w14:paraId="407AED2E">
                  <w:pPr>
                    <w:keepNext w:val="0"/>
                    <w:keepLines w:val="0"/>
                    <w:suppressLineNumbers w:val="0"/>
                    <w:spacing w:before="0" w:beforeAutospacing="0" w:after="0" w:afterAutospacing="0"/>
                    <w:ind w:left="0" w:right="0"/>
                    <w:jc w:val="center"/>
                    <w:rPr>
                      <w:rFonts w:hint="default" w:ascii="Times New Roman" w:hAnsi="Times New Roman" w:eastAsia="宋体" w:cs="Times New Roman"/>
                      <w:b w:val="0"/>
                      <w:bCs w:val="0"/>
                      <w:sz w:val="21"/>
                      <w:szCs w:val="21"/>
                      <w:highlight w:val="none"/>
                      <w:lang w:val="en-US" w:eastAsia="zh-CN"/>
                    </w:rPr>
                  </w:pPr>
                  <w:r>
                    <w:rPr>
                      <w:rFonts w:hint="eastAsia" w:ascii="Times New Roman" w:hAnsi="Times New Roman" w:eastAsia="宋体" w:cs="Times New Roman"/>
                      <w:b w:val="0"/>
                      <w:bCs w:val="0"/>
                      <w:sz w:val="21"/>
                      <w:szCs w:val="21"/>
                      <w:highlight w:val="none"/>
                      <w:lang w:val="en-US" w:eastAsia="zh-CN"/>
                    </w:rPr>
                    <w:t>153</w:t>
                  </w:r>
                </w:p>
              </w:tc>
              <w:tc>
                <w:tcPr>
                  <w:tcW w:w="339" w:type="pct"/>
                  <w:noWrap w:val="0"/>
                  <w:tcMar>
                    <w:left w:w="57" w:type="dxa"/>
                    <w:right w:w="57" w:type="dxa"/>
                  </w:tcMar>
                  <w:vAlign w:val="center"/>
                </w:tcPr>
                <w:p w14:paraId="6F990B1B">
                  <w:pPr>
                    <w:keepNext w:val="0"/>
                    <w:keepLines w:val="0"/>
                    <w:suppressLineNumbers w:val="0"/>
                    <w:adjustRightInd w:val="0"/>
                    <w:snapToGrid w:val="0"/>
                    <w:spacing w:before="0" w:beforeAutospacing="0" w:after="0" w:afterAutospacing="0"/>
                    <w:ind w:left="0" w:right="0"/>
                    <w:jc w:val="center"/>
                    <w:rPr>
                      <w:rFonts w:hint="eastAsia" w:ascii="Times New Roman" w:hAnsi="Times New Roman" w:eastAsia="宋体" w:cs="Times New Roman"/>
                      <w:b w:val="0"/>
                      <w:bCs w:val="0"/>
                      <w:kern w:val="0"/>
                      <w:sz w:val="21"/>
                      <w:szCs w:val="21"/>
                      <w:highlight w:val="none"/>
                      <w:lang w:val="en-US" w:eastAsia="zh-CN"/>
                    </w:rPr>
                  </w:pPr>
                  <w:r>
                    <w:rPr>
                      <w:rFonts w:hint="eastAsia" w:ascii="Times New Roman" w:hAnsi="Times New Roman" w:eastAsia="宋体" w:cs="Times New Roman"/>
                      <w:b w:val="0"/>
                      <w:bCs w:val="0"/>
                      <w:kern w:val="0"/>
                      <w:sz w:val="21"/>
                      <w:szCs w:val="21"/>
                      <w:highlight w:val="none"/>
                      <w:lang w:val="en-US" w:eastAsia="zh-CN"/>
                    </w:rPr>
                    <w:t>25</w:t>
                  </w:r>
                </w:p>
              </w:tc>
              <w:tc>
                <w:tcPr>
                  <w:tcW w:w="666" w:type="pct"/>
                  <w:noWrap w:val="0"/>
                  <w:tcMar>
                    <w:left w:w="57" w:type="dxa"/>
                    <w:right w:w="57" w:type="dxa"/>
                  </w:tcMar>
                  <w:vAlign w:val="center"/>
                </w:tcPr>
                <w:p w14:paraId="6108FBE7">
                  <w:pPr>
                    <w:keepNext w:val="0"/>
                    <w:keepLines w:val="0"/>
                    <w:suppressLineNumbers w:val="0"/>
                    <w:snapToGrid w:val="0"/>
                    <w:spacing w:before="0" w:beforeAutospacing="0" w:after="0" w:afterAutospacing="0"/>
                    <w:ind w:left="0" w:right="0"/>
                    <w:jc w:val="center"/>
                    <w:rPr>
                      <w:rFonts w:hint="default" w:ascii="Times New Roman" w:hAnsi="Times New Roman" w:eastAsia="宋体" w:cs="Times New Roman"/>
                      <w:b w:val="0"/>
                      <w:bCs w:val="0"/>
                      <w:sz w:val="21"/>
                      <w:szCs w:val="21"/>
                      <w:highlight w:val="none"/>
                      <w:lang w:val="en-US" w:eastAsia="zh-CN"/>
                    </w:rPr>
                  </w:pPr>
                  <w:r>
                    <w:rPr>
                      <w:rFonts w:hint="eastAsia" w:cs="Times New Roman"/>
                      <w:b w:val="0"/>
                      <w:bCs w:val="0"/>
                      <w:sz w:val="21"/>
                      <w:szCs w:val="21"/>
                      <w:highlight w:val="none"/>
                      <w:lang w:val="en-US" w:eastAsia="zh-CN"/>
                    </w:rPr>
                    <w:t>77</w:t>
                  </w:r>
                </w:p>
              </w:tc>
              <w:tc>
                <w:tcPr>
                  <w:tcW w:w="633" w:type="pct"/>
                  <w:vMerge w:val="continue"/>
                  <w:noWrap w:val="0"/>
                  <w:tcMar>
                    <w:left w:w="57" w:type="dxa"/>
                    <w:right w:w="57" w:type="dxa"/>
                  </w:tcMar>
                  <w:vAlign w:val="center"/>
                </w:tcPr>
                <w:p w14:paraId="3D1F7D10">
                  <w:pPr>
                    <w:keepNext w:val="0"/>
                    <w:keepLines w:val="0"/>
                    <w:suppressLineNumbers w:val="0"/>
                    <w:adjustRightInd w:val="0"/>
                    <w:snapToGrid w:val="0"/>
                    <w:spacing w:before="0" w:beforeAutospacing="0" w:after="0" w:afterAutospacing="0"/>
                    <w:ind w:left="0" w:right="0"/>
                    <w:rPr>
                      <w:rFonts w:hint="eastAsia" w:ascii="Times New Roman" w:hAnsi="Times New Roman" w:eastAsia="宋体" w:cs="Times New Roman"/>
                      <w:b w:val="0"/>
                      <w:bCs w:val="0"/>
                      <w:kern w:val="0"/>
                      <w:sz w:val="21"/>
                      <w:szCs w:val="21"/>
                      <w:highlight w:val="none"/>
                    </w:rPr>
                  </w:pPr>
                </w:p>
              </w:tc>
              <w:tc>
                <w:tcPr>
                  <w:tcW w:w="672" w:type="pct"/>
                  <w:noWrap w:val="0"/>
                  <w:tcMar>
                    <w:left w:w="57" w:type="dxa"/>
                    <w:right w:w="57" w:type="dxa"/>
                  </w:tcMar>
                  <w:vAlign w:val="center"/>
                </w:tcPr>
                <w:p w14:paraId="6F1DACA8">
                  <w:pPr>
                    <w:keepNext w:val="0"/>
                    <w:keepLines w:val="0"/>
                    <w:suppressLineNumbers w:val="0"/>
                    <w:adjustRightInd w:val="0"/>
                    <w:snapToGrid w:val="0"/>
                    <w:spacing w:before="0" w:beforeAutospacing="0" w:after="0" w:afterAutospacing="0"/>
                    <w:ind w:left="0" w:right="0"/>
                    <w:jc w:val="center"/>
                    <w:rPr>
                      <w:rFonts w:hint="eastAsia" w:ascii="Times New Roman" w:hAnsi="Times New Roman" w:eastAsia="宋体" w:cs="Times New Roman"/>
                      <w:b w:val="0"/>
                      <w:bCs w:val="0"/>
                      <w:kern w:val="0"/>
                      <w:sz w:val="21"/>
                      <w:szCs w:val="21"/>
                      <w:highlight w:val="none"/>
                      <w:lang w:val="en-US" w:eastAsia="zh-CN"/>
                    </w:rPr>
                  </w:pPr>
                  <w:r>
                    <w:rPr>
                      <w:rFonts w:hint="eastAsia" w:cs="Times New Roman"/>
                      <w:b w:val="0"/>
                      <w:bCs w:val="0"/>
                      <w:kern w:val="0"/>
                      <w:sz w:val="21"/>
                      <w:szCs w:val="21"/>
                      <w:highlight w:val="none"/>
                      <w:lang w:val="en-US" w:eastAsia="zh-CN"/>
                    </w:rPr>
                    <w:t>4h，260d</w:t>
                  </w:r>
                </w:p>
              </w:tc>
            </w:tr>
            <w:tr w14:paraId="36E9F48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c>
                <w:tcPr>
                  <w:tcW w:w="345" w:type="pct"/>
                  <w:noWrap w:val="0"/>
                  <w:tcMar>
                    <w:left w:w="57" w:type="dxa"/>
                    <w:right w:w="57" w:type="dxa"/>
                  </w:tcMar>
                  <w:vAlign w:val="center"/>
                </w:tcPr>
                <w:p w14:paraId="17FD345C">
                  <w:pPr>
                    <w:keepNext w:val="0"/>
                    <w:keepLines w:val="0"/>
                    <w:suppressLineNumbers w:val="0"/>
                    <w:adjustRightInd w:val="0"/>
                    <w:snapToGrid w:val="0"/>
                    <w:spacing w:before="0" w:beforeAutospacing="0" w:after="0" w:afterAutospacing="0"/>
                    <w:ind w:left="0" w:right="0"/>
                    <w:jc w:val="center"/>
                    <w:rPr>
                      <w:rFonts w:hint="eastAsia" w:ascii="Times New Roman" w:hAnsi="Times New Roman" w:eastAsia="宋体" w:cs="Times New Roman"/>
                      <w:b w:val="0"/>
                      <w:bCs w:val="0"/>
                      <w:kern w:val="0"/>
                      <w:sz w:val="21"/>
                      <w:szCs w:val="21"/>
                      <w:highlight w:val="none"/>
                      <w:lang w:val="en-US" w:eastAsia="zh-CN"/>
                    </w:rPr>
                  </w:pPr>
                  <w:r>
                    <w:rPr>
                      <w:rFonts w:hint="eastAsia" w:ascii="Times New Roman" w:hAnsi="Times New Roman" w:eastAsia="宋体" w:cs="Times New Roman"/>
                      <w:b w:val="0"/>
                      <w:bCs w:val="0"/>
                      <w:kern w:val="0"/>
                      <w:sz w:val="21"/>
                      <w:szCs w:val="21"/>
                      <w:highlight w:val="none"/>
                      <w:lang w:val="en-US" w:eastAsia="zh-CN"/>
                    </w:rPr>
                    <w:t>13</w:t>
                  </w:r>
                </w:p>
              </w:tc>
              <w:tc>
                <w:tcPr>
                  <w:tcW w:w="453" w:type="pct"/>
                  <w:vMerge w:val="continue"/>
                  <w:noWrap w:val="0"/>
                  <w:tcMar>
                    <w:left w:w="57" w:type="dxa"/>
                    <w:right w:w="57" w:type="dxa"/>
                  </w:tcMar>
                  <w:vAlign w:val="center"/>
                </w:tcPr>
                <w:p w14:paraId="7DE0AFE7">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b w:val="0"/>
                      <w:bCs w:val="0"/>
                      <w:sz w:val="21"/>
                      <w:szCs w:val="21"/>
                      <w:highlight w:val="none"/>
                      <w:lang w:val="en-US" w:eastAsia="zh-CN"/>
                    </w:rPr>
                  </w:pPr>
                </w:p>
              </w:tc>
              <w:tc>
                <w:tcPr>
                  <w:tcW w:w="845" w:type="pct"/>
                  <w:noWrap w:val="0"/>
                  <w:tcMar>
                    <w:left w:w="57" w:type="dxa"/>
                    <w:right w:w="57" w:type="dxa"/>
                  </w:tcMar>
                  <w:vAlign w:val="center"/>
                </w:tcPr>
                <w:p w14:paraId="11A5071F">
                  <w:pPr>
                    <w:keepNext w:val="0"/>
                    <w:keepLines w:val="0"/>
                    <w:suppressLineNumbers w:val="0"/>
                    <w:adjustRightInd w:val="0"/>
                    <w:snapToGrid w:val="0"/>
                    <w:spacing w:before="0" w:beforeAutospacing="0" w:after="0" w:afterAutospacing="0"/>
                    <w:ind w:left="0" w:right="0"/>
                    <w:jc w:val="center"/>
                    <w:rPr>
                      <w:rFonts w:hint="eastAsia" w:cs="Times New Roman"/>
                      <w:bCs/>
                      <w:sz w:val="21"/>
                      <w:szCs w:val="21"/>
                      <w:highlight w:val="none"/>
                      <w:lang w:val="en-US" w:eastAsia="zh-CN"/>
                    </w:rPr>
                  </w:pPr>
                  <w:r>
                    <w:rPr>
                      <w:rFonts w:hint="eastAsia" w:cs="Times New Roman"/>
                      <w:bCs/>
                      <w:sz w:val="21"/>
                      <w:szCs w:val="21"/>
                      <w:highlight w:val="none"/>
                      <w:lang w:val="en-US" w:eastAsia="zh-CN"/>
                    </w:rPr>
                    <w:t>DA009</w:t>
                  </w:r>
                  <w:r>
                    <w:rPr>
                      <w:rFonts w:hint="eastAsia"/>
                      <w:sz w:val="21"/>
                      <w:szCs w:val="21"/>
                      <w:highlight w:val="none"/>
                      <w:lang w:val="en-US" w:eastAsia="zh-CN"/>
                    </w:rPr>
                    <w:t>风机</w:t>
                  </w:r>
                </w:p>
              </w:tc>
              <w:tc>
                <w:tcPr>
                  <w:tcW w:w="348" w:type="pct"/>
                  <w:noWrap w:val="0"/>
                  <w:tcMar>
                    <w:left w:w="57" w:type="dxa"/>
                    <w:right w:w="57" w:type="dxa"/>
                  </w:tcMar>
                  <w:vAlign w:val="center"/>
                </w:tcPr>
                <w:p w14:paraId="78E02DBD">
                  <w:pPr>
                    <w:keepNext w:val="0"/>
                    <w:keepLines w:val="0"/>
                    <w:suppressLineNumbers w:val="0"/>
                    <w:snapToGrid w:val="0"/>
                    <w:spacing w:before="0" w:beforeAutospacing="0" w:after="0" w:afterAutospacing="0"/>
                    <w:ind w:left="0" w:right="0"/>
                    <w:jc w:val="center"/>
                    <w:rPr>
                      <w:rFonts w:hint="eastAsia" w:ascii="Times New Roman" w:hAnsi="Times New Roman" w:eastAsia="宋体" w:cs="Times New Roman"/>
                      <w:b w:val="0"/>
                      <w:bCs w:val="0"/>
                      <w:sz w:val="21"/>
                      <w:szCs w:val="21"/>
                      <w:highlight w:val="none"/>
                    </w:rPr>
                  </w:pPr>
                  <w:r>
                    <w:rPr>
                      <w:rFonts w:hint="eastAsia" w:ascii="Times New Roman" w:hAnsi="Times New Roman" w:eastAsia="宋体" w:cs="Times New Roman"/>
                      <w:b w:val="0"/>
                      <w:bCs w:val="0"/>
                      <w:sz w:val="21"/>
                      <w:szCs w:val="21"/>
                      <w:highlight w:val="none"/>
                    </w:rPr>
                    <w:t>/</w:t>
                  </w:r>
                </w:p>
              </w:tc>
              <w:tc>
                <w:tcPr>
                  <w:tcW w:w="353" w:type="pct"/>
                  <w:noWrap w:val="0"/>
                  <w:tcMar>
                    <w:left w:w="57" w:type="dxa"/>
                    <w:right w:w="57" w:type="dxa"/>
                  </w:tcMar>
                  <w:vAlign w:val="center"/>
                </w:tcPr>
                <w:p w14:paraId="630EE772">
                  <w:pPr>
                    <w:keepNext w:val="0"/>
                    <w:keepLines w:val="0"/>
                    <w:suppressLineNumbers w:val="0"/>
                    <w:spacing w:before="0" w:beforeAutospacing="0" w:after="0" w:afterAutospacing="0"/>
                    <w:ind w:left="0" w:right="0"/>
                    <w:jc w:val="center"/>
                    <w:rPr>
                      <w:rFonts w:hint="eastAsia" w:ascii="Times New Roman" w:hAnsi="Times New Roman" w:eastAsia="宋体" w:cs="Times New Roman"/>
                      <w:b w:val="0"/>
                      <w:bCs w:val="0"/>
                      <w:sz w:val="21"/>
                      <w:szCs w:val="21"/>
                      <w:highlight w:val="none"/>
                      <w:lang w:val="en-US" w:eastAsia="zh-CN"/>
                    </w:rPr>
                  </w:pPr>
                  <w:r>
                    <w:rPr>
                      <w:rFonts w:hint="eastAsia" w:ascii="Times New Roman" w:hAnsi="Times New Roman" w:eastAsia="宋体" w:cs="Times New Roman"/>
                      <w:b w:val="0"/>
                      <w:bCs w:val="0"/>
                      <w:sz w:val="21"/>
                      <w:szCs w:val="21"/>
                      <w:highlight w:val="none"/>
                      <w:lang w:val="en-US" w:eastAsia="zh-CN"/>
                    </w:rPr>
                    <w:t>-28</w:t>
                  </w:r>
                </w:p>
              </w:tc>
              <w:tc>
                <w:tcPr>
                  <w:tcW w:w="340" w:type="pct"/>
                  <w:noWrap w:val="0"/>
                  <w:tcMar>
                    <w:left w:w="57" w:type="dxa"/>
                    <w:right w:w="57" w:type="dxa"/>
                  </w:tcMar>
                  <w:vAlign w:val="center"/>
                </w:tcPr>
                <w:p w14:paraId="4CC30DCC">
                  <w:pPr>
                    <w:keepNext w:val="0"/>
                    <w:keepLines w:val="0"/>
                    <w:suppressLineNumbers w:val="0"/>
                    <w:spacing w:before="0" w:beforeAutospacing="0" w:after="0" w:afterAutospacing="0"/>
                    <w:ind w:left="0" w:right="0"/>
                    <w:jc w:val="center"/>
                    <w:rPr>
                      <w:rFonts w:hint="default" w:ascii="Times New Roman" w:hAnsi="Times New Roman" w:eastAsia="宋体" w:cs="Times New Roman"/>
                      <w:b w:val="0"/>
                      <w:bCs w:val="0"/>
                      <w:sz w:val="21"/>
                      <w:szCs w:val="21"/>
                      <w:highlight w:val="none"/>
                      <w:lang w:val="en-US" w:eastAsia="zh-CN"/>
                    </w:rPr>
                  </w:pPr>
                  <w:r>
                    <w:rPr>
                      <w:rFonts w:hint="eastAsia" w:ascii="Times New Roman" w:hAnsi="Times New Roman" w:eastAsia="宋体" w:cs="Times New Roman"/>
                      <w:b w:val="0"/>
                      <w:bCs w:val="0"/>
                      <w:sz w:val="21"/>
                      <w:szCs w:val="21"/>
                      <w:highlight w:val="none"/>
                      <w:lang w:val="en-US" w:eastAsia="zh-CN"/>
                    </w:rPr>
                    <w:t>136</w:t>
                  </w:r>
                </w:p>
              </w:tc>
              <w:tc>
                <w:tcPr>
                  <w:tcW w:w="339" w:type="pct"/>
                  <w:noWrap w:val="0"/>
                  <w:tcMar>
                    <w:left w:w="57" w:type="dxa"/>
                    <w:right w:w="57" w:type="dxa"/>
                  </w:tcMar>
                  <w:vAlign w:val="center"/>
                </w:tcPr>
                <w:p w14:paraId="30C809B6">
                  <w:pPr>
                    <w:keepNext w:val="0"/>
                    <w:keepLines w:val="0"/>
                    <w:suppressLineNumbers w:val="0"/>
                    <w:adjustRightInd w:val="0"/>
                    <w:snapToGrid w:val="0"/>
                    <w:spacing w:before="0" w:beforeAutospacing="0" w:after="0" w:afterAutospacing="0"/>
                    <w:ind w:left="0" w:right="0"/>
                    <w:jc w:val="center"/>
                    <w:rPr>
                      <w:rFonts w:hint="eastAsia" w:ascii="Times New Roman" w:hAnsi="Times New Roman" w:eastAsia="宋体" w:cs="Times New Roman"/>
                      <w:b w:val="0"/>
                      <w:bCs w:val="0"/>
                      <w:kern w:val="0"/>
                      <w:sz w:val="21"/>
                      <w:szCs w:val="21"/>
                      <w:highlight w:val="none"/>
                      <w:lang w:val="en-US" w:eastAsia="zh-CN"/>
                    </w:rPr>
                  </w:pPr>
                  <w:r>
                    <w:rPr>
                      <w:rFonts w:hint="eastAsia" w:ascii="Times New Roman" w:hAnsi="Times New Roman" w:eastAsia="宋体" w:cs="Times New Roman"/>
                      <w:b w:val="0"/>
                      <w:bCs w:val="0"/>
                      <w:kern w:val="0"/>
                      <w:sz w:val="21"/>
                      <w:szCs w:val="21"/>
                      <w:highlight w:val="none"/>
                      <w:lang w:val="en-US" w:eastAsia="zh-CN"/>
                    </w:rPr>
                    <w:t>25</w:t>
                  </w:r>
                </w:p>
              </w:tc>
              <w:tc>
                <w:tcPr>
                  <w:tcW w:w="666" w:type="pct"/>
                  <w:noWrap w:val="0"/>
                  <w:tcMar>
                    <w:left w:w="57" w:type="dxa"/>
                    <w:right w:w="57" w:type="dxa"/>
                  </w:tcMar>
                  <w:vAlign w:val="center"/>
                </w:tcPr>
                <w:p w14:paraId="4AFDCD95">
                  <w:pPr>
                    <w:keepNext w:val="0"/>
                    <w:keepLines w:val="0"/>
                    <w:suppressLineNumbers w:val="0"/>
                    <w:snapToGrid w:val="0"/>
                    <w:spacing w:before="0" w:beforeAutospacing="0" w:after="0" w:afterAutospacing="0"/>
                    <w:ind w:left="0" w:right="0"/>
                    <w:jc w:val="center"/>
                    <w:rPr>
                      <w:rFonts w:hint="default" w:ascii="Times New Roman" w:hAnsi="Times New Roman" w:eastAsia="宋体" w:cs="Times New Roman"/>
                      <w:b w:val="0"/>
                      <w:bCs w:val="0"/>
                      <w:sz w:val="21"/>
                      <w:szCs w:val="21"/>
                      <w:highlight w:val="none"/>
                      <w:lang w:val="en-US" w:eastAsia="zh-CN"/>
                    </w:rPr>
                  </w:pPr>
                  <w:r>
                    <w:rPr>
                      <w:rFonts w:hint="eastAsia" w:cs="Times New Roman"/>
                      <w:b w:val="0"/>
                      <w:bCs w:val="0"/>
                      <w:sz w:val="21"/>
                      <w:szCs w:val="21"/>
                      <w:highlight w:val="none"/>
                      <w:lang w:val="en-US" w:eastAsia="zh-CN"/>
                    </w:rPr>
                    <w:t>77</w:t>
                  </w:r>
                </w:p>
              </w:tc>
              <w:tc>
                <w:tcPr>
                  <w:tcW w:w="633" w:type="pct"/>
                  <w:vMerge w:val="continue"/>
                  <w:noWrap w:val="0"/>
                  <w:tcMar>
                    <w:left w:w="57" w:type="dxa"/>
                    <w:right w:w="57" w:type="dxa"/>
                  </w:tcMar>
                  <w:vAlign w:val="center"/>
                </w:tcPr>
                <w:p w14:paraId="1A556E4B">
                  <w:pPr>
                    <w:keepNext w:val="0"/>
                    <w:keepLines w:val="0"/>
                    <w:suppressLineNumbers w:val="0"/>
                    <w:adjustRightInd w:val="0"/>
                    <w:snapToGrid w:val="0"/>
                    <w:spacing w:before="0" w:beforeAutospacing="0" w:after="0" w:afterAutospacing="0"/>
                    <w:ind w:left="0" w:right="0"/>
                    <w:rPr>
                      <w:rFonts w:hint="eastAsia" w:ascii="Times New Roman" w:hAnsi="Times New Roman" w:eastAsia="宋体" w:cs="Times New Roman"/>
                      <w:b w:val="0"/>
                      <w:bCs w:val="0"/>
                      <w:kern w:val="0"/>
                      <w:sz w:val="21"/>
                      <w:szCs w:val="21"/>
                      <w:highlight w:val="none"/>
                    </w:rPr>
                  </w:pPr>
                </w:p>
              </w:tc>
              <w:tc>
                <w:tcPr>
                  <w:tcW w:w="672" w:type="pct"/>
                  <w:noWrap w:val="0"/>
                  <w:tcMar>
                    <w:left w:w="57" w:type="dxa"/>
                    <w:right w:w="57" w:type="dxa"/>
                  </w:tcMar>
                  <w:vAlign w:val="center"/>
                </w:tcPr>
                <w:p w14:paraId="0E5D55EF">
                  <w:pPr>
                    <w:keepNext w:val="0"/>
                    <w:keepLines w:val="0"/>
                    <w:suppressLineNumbers w:val="0"/>
                    <w:adjustRightInd w:val="0"/>
                    <w:snapToGrid w:val="0"/>
                    <w:spacing w:before="0" w:beforeAutospacing="0" w:after="0" w:afterAutospacing="0"/>
                    <w:ind w:left="0" w:right="0"/>
                    <w:jc w:val="center"/>
                    <w:rPr>
                      <w:rFonts w:hint="eastAsia" w:ascii="Times New Roman" w:hAnsi="Times New Roman" w:eastAsia="宋体" w:cs="Times New Roman"/>
                      <w:b w:val="0"/>
                      <w:bCs w:val="0"/>
                      <w:kern w:val="0"/>
                      <w:sz w:val="21"/>
                      <w:szCs w:val="21"/>
                      <w:highlight w:val="none"/>
                      <w:lang w:val="en-US" w:eastAsia="zh-CN"/>
                    </w:rPr>
                  </w:pPr>
                  <w:r>
                    <w:rPr>
                      <w:rFonts w:hint="eastAsia" w:cs="Times New Roman"/>
                      <w:b w:val="0"/>
                      <w:bCs w:val="0"/>
                      <w:kern w:val="0"/>
                      <w:sz w:val="21"/>
                      <w:szCs w:val="21"/>
                      <w:highlight w:val="none"/>
                      <w:lang w:val="en-US" w:eastAsia="zh-CN"/>
                    </w:rPr>
                    <w:t>8h，260d</w:t>
                  </w:r>
                </w:p>
              </w:tc>
            </w:tr>
            <w:tr w14:paraId="301220C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c>
                <w:tcPr>
                  <w:tcW w:w="345" w:type="pct"/>
                  <w:noWrap w:val="0"/>
                  <w:tcMar>
                    <w:left w:w="57" w:type="dxa"/>
                    <w:right w:w="57" w:type="dxa"/>
                  </w:tcMar>
                  <w:vAlign w:val="center"/>
                </w:tcPr>
                <w:p w14:paraId="470C12F5">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b w:val="0"/>
                      <w:bCs w:val="0"/>
                      <w:kern w:val="0"/>
                      <w:sz w:val="21"/>
                      <w:szCs w:val="21"/>
                      <w:highlight w:val="none"/>
                      <w:lang w:val="en-US" w:eastAsia="zh-CN"/>
                    </w:rPr>
                  </w:pPr>
                  <w:r>
                    <w:rPr>
                      <w:rFonts w:hint="eastAsia" w:cs="Times New Roman"/>
                      <w:b w:val="0"/>
                      <w:bCs w:val="0"/>
                      <w:kern w:val="0"/>
                      <w:sz w:val="21"/>
                      <w:szCs w:val="21"/>
                      <w:highlight w:val="none"/>
                      <w:lang w:val="en-US" w:eastAsia="zh-CN"/>
                    </w:rPr>
                    <w:t>14</w:t>
                  </w:r>
                </w:p>
              </w:tc>
              <w:tc>
                <w:tcPr>
                  <w:tcW w:w="453" w:type="pct"/>
                  <w:vMerge w:val="continue"/>
                  <w:noWrap w:val="0"/>
                  <w:tcMar>
                    <w:left w:w="57" w:type="dxa"/>
                    <w:right w:w="57" w:type="dxa"/>
                  </w:tcMar>
                  <w:vAlign w:val="center"/>
                </w:tcPr>
                <w:p w14:paraId="0D2B0F7B">
                  <w:pPr>
                    <w:keepNext w:val="0"/>
                    <w:keepLines w:val="0"/>
                    <w:suppressLineNumbers w:val="0"/>
                    <w:adjustRightInd w:val="0"/>
                    <w:snapToGrid w:val="0"/>
                    <w:spacing w:before="0" w:beforeAutospacing="0" w:after="0" w:afterAutospacing="0"/>
                    <w:ind w:left="0" w:right="0"/>
                    <w:jc w:val="center"/>
                    <w:rPr>
                      <w:rFonts w:hint="eastAsia" w:cs="Times New Roman"/>
                      <w:bCs/>
                      <w:sz w:val="21"/>
                      <w:szCs w:val="21"/>
                      <w:highlight w:val="none"/>
                      <w:lang w:val="en-US" w:eastAsia="zh-CN"/>
                    </w:rPr>
                  </w:pPr>
                </w:p>
              </w:tc>
              <w:tc>
                <w:tcPr>
                  <w:tcW w:w="845" w:type="pct"/>
                  <w:noWrap w:val="0"/>
                  <w:tcMar>
                    <w:left w:w="57" w:type="dxa"/>
                    <w:right w:w="57" w:type="dxa"/>
                  </w:tcMar>
                  <w:vAlign w:val="center"/>
                </w:tcPr>
                <w:p w14:paraId="00E38C57">
                  <w:pPr>
                    <w:keepNext w:val="0"/>
                    <w:keepLines w:val="0"/>
                    <w:suppressLineNumbers w:val="0"/>
                    <w:adjustRightInd w:val="0"/>
                    <w:snapToGrid w:val="0"/>
                    <w:spacing w:before="0" w:beforeAutospacing="0" w:after="0" w:afterAutospacing="0"/>
                    <w:ind w:left="0" w:right="0"/>
                    <w:jc w:val="center"/>
                    <w:rPr>
                      <w:rFonts w:hint="eastAsia" w:cs="Times New Roman"/>
                      <w:bCs/>
                      <w:sz w:val="21"/>
                      <w:szCs w:val="21"/>
                      <w:highlight w:val="none"/>
                      <w:lang w:val="en-US" w:eastAsia="zh-CN"/>
                    </w:rPr>
                  </w:pPr>
                  <w:r>
                    <w:rPr>
                      <w:rFonts w:hint="eastAsia" w:cs="Times New Roman"/>
                      <w:bCs/>
                      <w:sz w:val="21"/>
                      <w:szCs w:val="21"/>
                      <w:highlight w:val="none"/>
                      <w:lang w:val="en-US" w:eastAsia="zh-CN"/>
                    </w:rPr>
                    <w:t>DA001</w:t>
                  </w:r>
                  <w:r>
                    <w:rPr>
                      <w:rFonts w:hint="eastAsia"/>
                      <w:sz w:val="21"/>
                      <w:szCs w:val="21"/>
                      <w:highlight w:val="none"/>
                      <w:lang w:val="en-US" w:eastAsia="zh-CN"/>
                    </w:rPr>
                    <w:t>风机</w:t>
                  </w:r>
                </w:p>
              </w:tc>
              <w:tc>
                <w:tcPr>
                  <w:tcW w:w="348" w:type="pct"/>
                  <w:noWrap w:val="0"/>
                  <w:tcMar>
                    <w:left w:w="57" w:type="dxa"/>
                    <w:right w:w="57" w:type="dxa"/>
                  </w:tcMar>
                  <w:vAlign w:val="center"/>
                </w:tcPr>
                <w:p w14:paraId="390711C1">
                  <w:pPr>
                    <w:keepNext w:val="0"/>
                    <w:keepLines w:val="0"/>
                    <w:suppressLineNumbers w:val="0"/>
                    <w:snapToGrid w:val="0"/>
                    <w:spacing w:before="0" w:beforeAutospacing="0" w:after="0" w:afterAutospacing="0"/>
                    <w:ind w:left="0" w:right="0"/>
                    <w:jc w:val="center"/>
                    <w:rPr>
                      <w:rFonts w:hint="eastAsia" w:ascii="Times New Roman" w:hAnsi="Times New Roman" w:eastAsia="宋体" w:cs="Times New Roman"/>
                      <w:b w:val="0"/>
                      <w:bCs w:val="0"/>
                      <w:sz w:val="21"/>
                      <w:szCs w:val="21"/>
                      <w:highlight w:val="none"/>
                    </w:rPr>
                  </w:pPr>
                  <w:r>
                    <w:rPr>
                      <w:rFonts w:hint="eastAsia" w:ascii="Times New Roman" w:hAnsi="Times New Roman" w:eastAsia="宋体" w:cs="Times New Roman"/>
                      <w:b w:val="0"/>
                      <w:bCs w:val="0"/>
                      <w:sz w:val="21"/>
                      <w:szCs w:val="21"/>
                      <w:highlight w:val="none"/>
                    </w:rPr>
                    <w:t>/</w:t>
                  </w:r>
                </w:p>
              </w:tc>
              <w:tc>
                <w:tcPr>
                  <w:tcW w:w="353" w:type="pct"/>
                  <w:noWrap w:val="0"/>
                  <w:tcMar>
                    <w:left w:w="57" w:type="dxa"/>
                    <w:right w:w="57" w:type="dxa"/>
                  </w:tcMar>
                  <w:vAlign w:val="center"/>
                </w:tcPr>
                <w:p w14:paraId="06EB0305">
                  <w:pPr>
                    <w:keepNext w:val="0"/>
                    <w:keepLines w:val="0"/>
                    <w:suppressLineNumbers w:val="0"/>
                    <w:spacing w:before="0" w:beforeAutospacing="0" w:after="0" w:afterAutospacing="0"/>
                    <w:ind w:left="0" w:right="0"/>
                    <w:jc w:val="center"/>
                    <w:rPr>
                      <w:rFonts w:hint="default" w:ascii="Times New Roman" w:hAnsi="Times New Roman" w:eastAsia="宋体" w:cs="Times New Roman"/>
                      <w:b w:val="0"/>
                      <w:bCs w:val="0"/>
                      <w:sz w:val="21"/>
                      <w:szCs w:val="21"/>
                      <w:highlight w:val="none"/>
                      <w:lang w:val="en-US" w:eastAsia="zh-CN"/>
                    </w:rPr>
                  </w:pPr>
                  <w:r>
                    <w:rPr>
                      <w:rFonts w:hint="eastAsia" w:cs="Times New Roman"/>
                      <w:b w:val="0"/>
                      <w:bCs w:val="0"/>
                      <w:sz w:val="21"/>
                      <w:szCs w:val="21"/>
                      <w:highlight w:val="none"/>
                      <w:lang w:val="en-US" w:eastAsia="zh-CN"/>
                    </w:rPr>
                    <w:t>-23</w:t>
                  </w:r>
                </w:p>
              </w:tc>
              <w:tc>
                <w:tcPr>
                  <w:tcW w:w="340" w:type="pct"/>
                  <w:noWrap w:val="0"/>
                  <w:tcMar>
                    <w:left w:w="57" w:type="dxa"/>
                    <w:right w:w="57" w:type="dxa"/>
                  </w:tcMar>
                  <w:vAlign w:val="center"/>
                </w:tcPr>
                <w:p w14:paraId="636C2CBD">
                  <w:pPr>
                    <w:keepNext w:val="0"/>
                    <w:keepLines w:val="0"/>
                    <w:suppressLineNumbers w:val="0"/>
                    <w:spacing w:before="0" w:beforeAutospacing="0" w:after="0" w:afterAutospacing="0"/>
                    <w:ind w:left="0" w:right="0"/>
                    <w:jc w:val="center"/>
                    <w:rPr>
                      <w:rFonts w:hint="default" w:ascii="Times New Roman" w:hAnsi="Times New Roman" w:eastAsia="宋体" w:cs="Times New Roman"/>
                      <w:b w:val="0"/>
                      <w:bCs w:val="0"/>
                      <w:sz w:val="21"/>
                      <w:szCs w:val="21"/>
                      <w:highlight w:val="none"/>
                      <w:lang w:val="en-US" w:eastAsia="zh-CN"/>
                    </w:rPr>
                  </w:pPr>
                  <w:r>
                    <w:rPr>
                      <w:rFonts w:hint="eastAsia" w:cs="Times New Roman"/>
                      <w:b w:val="0"/>
                      <w:bCs w:val="0"/>
                      <w:sz w:val="21"/>
                      <w:szCs w:val="21"/>
                      <w:highlight w:val="none"/>
                      <w:lang w:val="en-US" w:eastAsia="zh-CN"/>
                    </w:rPr>
                    <w:t>131</w:t>
                  </w:r>
                </w:p>
              </w:tc>
              <w:tc>
                <w:tcPr>
                  <w:tcW w:w="339" w:type="pct"/>
                  <w:noWrap w:val="0"/>
                  <w:tcMar>
                    <w:left w:w="57" w:type="dxa"/>
                    <w:right w:w="57" w:type="dxa"/>
                  </w:tcMar>
                  <w:vAlign w:val="center"/>
                </w:tcPr>
                <w:p w14:paraId="1DA10305">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b w:val="0"/>
                      <w:bCs w:val="0"/>
                      <w:kern w:val="0"/>
                      <w:sz w:val="21"/>
                      <w:szCs w:val="21"/>
                      <w:highlight w:val="none"/>
                      <w:lang w:val="en-US" w:eastAsia="zh-CN"/>
                    </w:rPr>
                  </w:pPr>
                  <w:r>
                    <w:rPr>
                      <w:rFonts w:hint="eastAsia" w:cs="Times New Roman"/>
                      <w:b w:val="0"/>
                      <w:bCs w:val="0"/>
                      <w:kern w:val="0"/>
                      <w:sz w:val="21"/>
                      <w:szCs w:val="21"/>
                      <w:highlight w:val="none"/>
                      <w:lang w:val="en-US" w:eastAsia="zh-CN"/>
                    </w:rPr>
                    <w:t>25</w:t>
                  </w:r>
                </w:p>
              </w:tc>
              <w:tc>
                <w:tcPr>
                  <w:tcW w:w="666" w:type="pct"/>
                  <w:noWrap w:val="0"/>
                  <w:tcMar>
                    <w:left w:w="57" w:type="dxa"/>
                    <w:right w:w="57" w:type="dxa"/>
                  </w:tcMar>
                  <w:vAlign w:val="center"/>
                </w:tcPr>
                <w:p w14:paraId="16A7A44C">
                  <w:pPr>
                    <w:keepNext w:val="0"/>
                    <w:keepLines w:val="0"/>
                    <w:suppressLineNumbers w:val="0"/>
                    <w:snapToGrid w:val="0"/>
                    <w:spacing w:before="0" w:beforeAutospacing="0" w:after="0" w:afterAutospacing="0"/>
                    <w:ind w:left="0" w:right="0"/>
                    <w:jc w:val="center"/>
                    <w:rPr>
                      <w:rFonts w:hint="default" w:ascii="Times New Roman" w:hAnsi="Times New Roman" w:eastAsia="宋体" w:cs="Times New Roman"/>
                      <w:b w:val="0"/>
                      <w:bCs w:val="0"/>
                      <w:sz w:val="21"/>
                      <w:szCs w:val="21"/>
                      <w:highlight w:val="none"/>
                      <w:lang w:val="en-US" w:eastAsia="zh-CN"/>
                    </w:rPr>
                  </w:pPr>
                  <w:r>
                    <w:rPr>
                      <w:rFonts w:hint="eastAsia" w:cs="Times New Roman"/>
                      <w:b w:val="0"/>
                      <w:bCs w:val="0"/>
                      <w:sz w:val="21"/>
                      <w:szCs w:val="21"/>
                      <w:highlight w:val="none"/>
                      <w:lang w:val="en-US" w:eastAsia="zh-CN"/>
                    </w:rPr>
                    <w:t>81</w:t>
                  </w:r>
                </w:p>
              </w:tc>
              <w:tc>
                <w:tcPr>
                  <w:tcW w:w="633" w:type="pct"/>
                  <w:vMerge w:val="continue"/>
                  <w:noWrap w:val="0"/>
                  <w:tcMar>
                    <w:left w:w="57" w:type="dxa"/>
                    <w:right w:w="57" w:type="dxa"/>
                  </w:tcMar>
                  <w:vAlign w:val="center"/>
                </w:tcPr>
                <w:p w14:paraId="3BA2269C">
                  <w:pPr>
                    <w:keepNext w:val="0"/>
                    <w:keepLines w:val="0"/>
                    <w:suppressLineNumbers w:val="0"/>
                    <w:adjustRightInd w:val="0"/>
                    <w:snapToGrid w:val="0"/>
                    <w:spacing w:before="0" w:beforeAutospacing="0" w:after="0" w:afterAutospacing="0"/>
                    <w:ind w:left="0" w:right="0"/>
                    <w:rPr>
                      <w:rFonts w:hint="eastAsia" w:ascii="Times New Roman" w:hAnsi="Times New Roman" w:eastAsia="宋体" w:cs="Times New Roman"/>
                      <w:b w:val="0"/>
                      <w:bCs w:val="0"/>
                      <w:kern w:val="0"/>
                      <w:sz w:val="21"/>
                      <w:szCs w:val="21"/>
                      <w:highlight w:val="none"/>
                    </w:rPr>
                  </w:pPr>
                </w:p>
              </w:tc>
              <w:tc>
                <w:tcPr>
                  <w:tcW w:w="672" w:type="pct"/>
                  <w:vMerge w:val="restart"/>
                  <w:noWrap w:val="0"/>
                  <w:tcMar>
                    <w:left w:w="57" w:type="dxa"/>
                    <w:right w:w="57" w:type="dxa"/>
                  </w:tcMar>
                  <w:vAlign w:val="center"/>
                </w:tcPr>
                <w:p w14:paraId="4E77B18D">
                  <w:pPr>
                    <w:keepNext w:val="0"/>
                    <w:keepLines w:val="0"/>
                    <w:suppressLineNumbers w:val="0"/>
                    <w:adjustRightInd w:val="0"/>
                    <w:snapToGrid w:val="0"/>
                    <w:spacing w:before="0" w:beforeAutospacing="0" w:after="0" w:afterAutospacing="0"/>
                    <w:ind w:left="0" w:right="0"/>
                    <w:jc w:val="center"/>
                    <w:rPr>
                      <w:rFonts w:hint="eastAsia" w:ascii="Times New Roman" w:hAnsi="Times New Roman" w:eastAsia="宋体" w:cs="Times New Roman"/>
                      <w:b w:val="0"/>
                      <w:bCs w:val="0"/>
                      <w:kern w:val="0"/>
                      <w:sz w:val="21"/>
                      <w:szCs w:val="21"/>
                      <w:highlight w:val="none"/>
                      <w:lang w:val="en-US" w:eastAsia="zh-CN"/>
                    </w:rPr>
                  </w:pPr>
                  <w:r>
                    <w:rPr>
                      <w:rFonts w:hint="eastAsia" w:cs="Times New Roman"/>
                      <w:b w:val="0"/>
                      <w:bCs w:val="0"/>
                      <w:kern w:val="0"/>
                      <w:sz w:val="21"/>
                      <w:szCs w:val="21"/>
                      <w:highlight w:val="none"/>
                      <w:lang w:val="en-US" w:eastAsia="zh-CN"/>
                    </w:rPr>
                    <w:t>24h，365d</w:t>
                  </w:r>
                </w:p>
              </w:tc>
            </w:tr>
            <w:tr w14:paraId="3675B1D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c>
                <w:tcPr>
                  <w:tcW w:w="345" w:type="pct"/>
                  <w:noWrap w:val="0"/>
                  <w:tcMar>
                    <w:left w:w="57" w:type="dxa"/>
                    <w:right w:w="57" w:type="dxa"/>
                  </w:tcMar>
                  <w:vAlign w:val="center"/>
                </w:tcPr>
                <w:p w14:paraId="6EA60846">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b w:val="0"/>
                      <w:bCs w:val="0"/>
                      <w:kern w:val="0"/>
                      <w:sz w:val="21"/>
                      <w:szCs w:val="21"/>
                      <w:highlight w:val="none"/>
                      <w:lang w:val="en-US" w:eastAsia="zh-CN"/>
                    </w:rPr>
                  </w:pPr>
                  <w:r>
                    <w:rPr>
                      <w:rFonts w:hint="eastAsia" w:cs="Times New Roman"/>
                      <w:b w:val="0"/>
                      <w:bCs w:val="0"/>
                      <w:kern w:val="0"/>
                      <w:sz w:val="21"/>
                      <w:szCs w:val="21"/>
                      <w:highlight w:val="none"/>
                      <w:lang w:val="en-US" w:eastAsia="zh-CN"/>
                    </w:rPr>
                    <w:t>15</w:t>
                  </w:r>
                </w:p>
              </w:tc>
              <w:tc>
                <w:tcPr>
                  <w:tcW w:w="453" w:type="pct"/>
                  <w:vMerge w:val="continue"/>
                  <w:noWrap w:val="0"/>
                  <w:tcMar>
                    <w:left w:w="57" w:type="dxa"/>
                    <w:right w:w="57" w:type="dxa"/>
                  </w:tcMar>
                  <w:vAlign w:val="center"/>
                </w:tcPr>
                <w:p w14:paraId="67548BC1">
                  <w:pPr>
                    <w:keepNext w:val="0"/>
                    <w:keepLines w:val="0"/>
                    <w:suppressLineNumbers w:val="0"/>
                    <w:adjustRightInd w:val="0"/>
                    <w:snapToGrid w:val="0"/>
                    <w:spacing w:before="0" w:beforeAutospacing="0" w:after="0" w:afterAutospacing="0"/>
                    <w:ind w:left="0" w:right="0"/>
                    <w:jc w:val="center"/>
                    <w:rPr>
                      <w:rFonts w:hint="eastAsia" w:cs="Times New Roman"/>
                      <w:bCs/>
                      <w:sz w:val="21"/>
                      <w:szCs w:val="21"/>
                      <w:highlight w:val="none"/>
                      <w:lang w:val="en-US" w:eastAsia="zh-CN"/>
                    </w:rPr>
                  </w:pPr>
                </w:p>
              </w:tc>
              <w:tc>
                <w:tcPr>
                  <w:tcW w:w="845" w:type="pct"/>
                  <w:noWrap w:val="0"/>
                  <w:tcMar>
                    <w:left w:w="57" w:type="dxa"/>
                    <w:right w:w="57" w:type="dxa"/>
                  </w:tcMar>
                  <w:vAlign w:val="center"/>
                </w:tcPr>
                <w:p w14:paraId="4ECFF361">
                  <w:pPr>
                    <w:keepNext w:val="0"/>
                    <w:keepLines w:val="0"/>
                    <w:suppressLineNumbers w:val="0"/>
                    <w:adjustRightInd w:val="0"/>
                    <w:snapToGrid w:val="0"/>
                    <w:spacing w:before="0" w:beforeAutospacing="0" w:after="0" w:afterAutospacing="0"/>
                    <w:ind w:left="0" w:right="0"/>
                    <w:jc w:val="center"/>
                    <w:rPr>
                      <w:rFonts w:hint="eastAsia" w:cs="Times New Roman"/>
                      <w:bCs/>
                      <w:sz w:val="21"/>
                      <w:szCs w:val="21"/>
                      <w:highlight w:val="none"/>
                      <w:lang w:val="en-US" w:eastAsia="zh-CN"/>
                    </w:rPr>
                  </w:pPr>
                  <w:r>
                    <w:rPr>
                      <w:rFonts w:hint="eastAsia" w:cs="Times New Roman"/>
                      <w:bCs/>
                      <w:sz w:val="21"/>
                      <w:szCs w:val="21"/>
                      <w:highlight w:val="none"/>
                      <w:lang w:val="en-US" w:eastAsia="zh-CN"/>
                    </w:rPr>
                    <w:t>DA003</w:t>
                  </w:r>
                  <w:r>
                    <w:rPr>
                      <w:rFonts w:hint="eastAsia"/>
                      <w:sz w:val="21"/>
                      <w:szCs w:val="21"/>
                      <w:highlight w:val="none"/>
                      <w:lang w:val="en-US" w:eastAsia="zh-CN"/>
                    </w:rPr>
                    <w:t>风机</w:t>
                  </w:r>
                </w:p>
              </w:tc>
              <w:tc>
                <w:tcPr>
                  <w:tcW w:w="348" w:type="pct"/>
                  <w:noWrap w:val="0"/>
                  <w:tcMar>
                    <w:left w:w="57" w:type="dxa"/>
                    <w:right w:w="57" w:type="dxa"/>
                  </w:tcMar>
                  <w:vAlign w:val="center"/>
                </w:tcPr>
                <w:p w14:paraId="4E116A1A">
                  <w:pPr>
                    <w:keepNext w:val="0"/>
                    <w:keepLines w:val="0"/>
                    <w:suppressLineNumbers w:val="0"/>
                    <w:snapToGrid w:val="0"/>
                    <w:spacing w:before="0" w:beforeAutospacing="0" w:after="0" w:afterAutospacing="0"/>
                    <w:ind w:left="0" w:right="0"/>
                    <w:jc w:val="center"/>
                    <w:rPr>
                      <w:rFonts w:hint="eastAsia" w:ascii="Times New Roman" w:hAnsi="Times New Roman" w:eastAsia="宋体" w:cs="Times New Roman"/>
                      <w:b w:val="0"/>
                      <w:bCs w:val="0"/>
                      <w:sz w:val="21"/>
                      <w:szCs w:val="21"/>
                      <w:highlight w:val="none"/>
                    </w:rPr>
                  </w:pPr>
                  <w:r>
                    <w:rPr>
                      <w:rFonts w:hint="eastAsia" w:ascii="Times New Roman" w:hAnsi="Times New Roman" w:eastAsia="宋体" w:cs="Times New Roman"/>
                      <w:b w:val="0"/>
                      <w:bCs w:val="0"/>
                      <w:sz w:val="21"/>
                      <w:szCs w:val="21"/>
                      <w:highlight w:val="none"/>
                    </w:rPr>
                    <w:t>/</w:t>
                  </w:r>
                </w:p>
              </w:tc>
              <w:tc>
                <w:tcPr>
                  <w:tcW w:w="353" w:type="pct"/>
                  <w:noWrap w:val="0"/>
                  <w:tcMar>
                    <w:left w:w="57" w:type="dxa"/>
                    <w:right w:w="57" w:type="dxa"/>
                  </w:tcMar>
                  <w:vAlign w:val="center"/>
                </w:tcPr>
                <w:p w14:paraId="379C1A6C">
                  <w:pPr>
                    <w:keepNext w:val="0"/>
                    <w:keepLines w:val="0"/>
                    <w:suppressLineNumbers w:val="0"/>
                    <w:spacing w:before="0" w:beforeAutospacing="0" w:after="0" w:afterAutospacing="0"/>
                    <w:ind w:left="0" w:right="0"/>
                    <w:jc w:val="center"/>
                    <w:rPr>
                      <w:rFonts w:hint="default" w:ascii="Times New Roman" w:hAnsi="Times New Roman" w:eastAsia="宋体" w:cs="Times New Roman"/>
                      <w:b w:val="0"/>
                      <w:bCs w:val="0"/>
                      <w:sz w:val="21"/>
                      <w:szCs w:val="21"/>
                      <w:highlight w:val="none"/>
                      <w:lang w:val="en-US" w:eastAsia="zh-CN"/>
                    </w:rPr>
                  </w:pPr>
                  <w:r>
                    <w:rPr>
                      <w:rFonts w:hint="eastAsia" w:cs="Times New Roman"/>
                      <w:b w:val="0"/>
                      <w:bCs w:val="0"/>
                      <w:sz w:val="21"/>
                      <w:szCs w:val="21"/>
                      <w:highlight w:val="none"/>
                      <w:lang w:val="en-US" w:eastAsia="zh-CN"/>
                    </w:rPr>
                    <w:t>-6</w:t>
                  </w:r>
                </w:p>
              </w:tc>
              <w:tc>
                <w:tcPr>
                  <w:tcW w:w="340" w:type="pct"/>
                  <w:noWrap w:val="0"/>
                  <w:tcMar>
                    <w:left w:w="57" w:type="dxa"/>
                    <w:right w:w="57" w:type="dxa"/>
                  </w:tcMar>
                  <w:vAlign w:val="center"/>
                </w:tcPr>
                <w:p w14:paraId="3089D335">
                  <w:pPr>
                    <w:keepNext w:val="0"/>
                    <w:keepLines w:val="0"/>
                    <w:suppressLineNumbers w:val="0"/>
                    <w:spacing w:before="0" w:beforeAutospacing="0" w:after="0" w:afterAutospacing="0"/>
                    <w:ind w:left="0" w:right="0"/>
                    <w:jc w:val="center"/>
                    <w:rPr>
                      <w:rFonts w:hint="default" w:ascii="Times New Roman" w:hAnsi="Times New Roman" w:eastAsia="宋体" w:cs="Times New Roman"/>
                      <w:b w:val="0"/>
                      <w:bCs w:val="0"/>
                      <w:sz w:val="21"/>
                      <w:szCs w:val="21"/>
                      <w:highlight w:val="none"/>
                      <w:lang w:val="en-US" w:eastAsia="zh-CN"/>
                    </w:rPr>
                  </w:pPr>
                  <w:r>
                    <w:rPr>
                      <w:rFonts w:hint="eastAsia" w:cs="Times New Roman"/>
                      <w:b w:val="0"/>
                      <w:bCs w:val="0"/>
                      <w:sz w:val="21"/>
                      <w:szCs w:val="21"/>
                      <w:highlight w:val="none"/>
                      <w:lang w:val="en-US" w:eastAsia="zh-CN"/>
                    </w:rPr>
                    <w:t>133</w:t>
                  </w:r>
                </w:p>
              </w:tc>
              <w:tc>
                <w:tcPr>
                  <w:tcW w:w="339" w:type="pct"/>
                  <w:noWrap w:val="0"/>
                  <w:tcMar>
                    <w:left w:w="57" w:type="dxa"/>
                    <w:right w:w="57" w:type="dxa"/>
                  </w:tcMar>
                  <w:vAlign w:val="center"/>
                </w:tcPr>
                <w:p w14:paraId="6530C238">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b w:val="0"/>
                      <w:bCs w:val="0"/>
                      <w:kern w:val="0"/>
                      <w:sz w:val="21"/>
                      <w:szCs w:val="21"/>
                      <w:highlight w:val="none"/>
                      <w:lang w:val="en-US" w:eastAsia="zh-CN"/>
                    </w:rPr>
                  </w:pPr>
                  <w:r>
                    <w:rPr>
                      <w:rFonts w:hint="eastAsia" w:cs="Times New Roman"/>
                      <w:b w:val="0"/>
                      <w:bCs w:val="0"/>
                      <w:kern w:val="0"/>
                      <w:sz w:val="21"/>
                      <w:szCs w:val="21"/>
                      <w:highlight w:val="none"/>
                      <w:lang w:val="en-US" w:eastAsia="zh-CN"/>
                    </w:rPr>
                    <w:t>25</w:t>
                  </w:r>
                </w:p>
              </w:tc>
              <w:tc>
                <w:tcPr>
                  <w:tcW w:w="666" w:type="pct"/>
                  <w:noWrap w:val="0"/>
                  <w:tcMar>
                    <w:left w:w="57" w:type="dxa"/>
                    <w:right w:w="57" w:type="dxa"/>
                  </w:tcMar>
                  <w:vAlign w:val="center"/>
                </w:tcPr>
                <w:p w14:paraId="0724C2EA">
                  <w:pPr>
                    <w:keepNext w:val="0"/>
                    <w:keepLines w:val="0"/>
                    <w:suppressLineNumbers w:val="0"/>
                    <w:snapToGrid w:val="0"/>
                    <w:spacing w:before="0" w:beforeAutospacing="0" w:after="0" w:afterAutospacing="0"/>
                    <w:ind w:left="0" w:right="0"/>
                    <w:jc w:val="center"/>
                    <w:rPr>
                      <w:rFonts w:hint="default" w:ascii="Times New Roman" w:hAnsi="Times New Roman" w:eastAsia="宋体" w:cs="Times New Roman"/>
                      <w:b w:val="0"/>
                      <w:bCs w:val="0"/>
                      <w:sz w:val="21"/>
                      <w:szCs w:val="21"/>
                      <w:highlight w:val="none"/>
                      <w:lang w:val="en-US" w:eastAsia="zh-CN"/>
                    </w:rPr>
                  </w:pPr>
                  <w:r>
                    <w:rPr>
                      <w:rFonts w:hint="eastAsia" w:cs="Times New Roman"/>
                      <w:b w:val="0"/>
                      <w:bCs w:val="0"/>
                      <w:sz w:val="21"/>
                      <w:szCs w:val="21"/>
                      <w:highlight w:val="none"/>
                      <w:lang w:val="en-US" w:eastAsia="zh-CN"/>
                    </w:rPr>
                    <w:t>82</w:t>
                  </w:r>
                </w:p>
              </w:tc>
              <w:tc>
                <w:tcPr>
                  <w:tcW w:w="633" w:type="pct"/>
                  <w:vMerge w:val="continue"/>
                  <w:noWrap w:val="0"/>
                  <w:tcMar>
                    <w:left w:w="57" w:type="dxa"/>
                    <w:right w:w="57" w:type="dxa"/>
                  </w:tcMar>
                  <w:vAlign w:val="center"/>
                </w:tcPr>
                <w:p w14:paraId="7139F5B6">
                  <w:pPr>
                    <w:keepNext w:val="0"/>
                    <w:keepLines w:val="0"/>
                    <w:suppressLineNumbers w:val="0"/>
                    <w:adjustRightInd w:val="0"/>
                    <w:snapToGrid w:val="0"/>
                    <w:spacing w:before="0" w:beforeAutospacing="0" w:after="0" w:afterAutospacing="0"/>
                    <w:ind w:left="0" w:right="0"/>
                    <w:rPr>
                      <w:rFonts w:hint="eastAsia" w:ascii="Times New Roman" w:hAnsi="Times New Roman" w:eastAsia="宋体" w:cs="Times New Roman"/>
                      <w:b w:val="0"/>
                      <w:bCs w:val="0"/>
                      <w:kern w:val="0"/>
                      <w:sz w:val="21"/>
                      <w:szCs w:val="21"/>
                      <w:highlight w:val="none"/>
                    </w:rPr>
                  </w:pPr>
                </w:p>
              </w:tc>
              <w:tc>
                <w:tcPr>
                  <w:tcW w:w="672" w:type="pct"/>
                  <w:vMerge w:val="continue"/>
                  <w:noWrap w:val="0"/>
                  <w:tcMar>
                    <w:left w:w="57" w:type="dxa"/>
                    <w:right w:w="57" w:type="dxa"/>
                  </w:tcMar>
                  <w:vAlign w:val="center"/>
                </w:tcPr>
                <w:p w14:paraId="707CCB77">
                  <w:pPr>
                    <w:keepNext w:val="0"/>
                    <w:keepLines w:val="0"/>
                    <w:suppressLineNumbers w:val="0"/>
                    <w:adjustRightInd w:val="0"/>
                    <w:snapToGrid w:val="0"/>
                    <w:spacing w:before="0" w:beforeAutospacing="0" w:after="0" w:afterAutospacing="0"/>
                    <w:ind w:left="0" w:right="0"/>
                    <w:jc w:val="center"/>
                    <w:rPr>
                      <w:rFonts w:hint="eastAsia" w:ascii="Times New Roman" w:hAnsi="Times New Roman" w:eastAsia="宋体" w:cs="Times New Roman"/>
                      <w:b w:val="0"/>
                      <w:bCs w:val="0"/>
                      <w:kern w:val="0"/>
                      <w:sz w:val="21"/>
                      <w:szCs w:val="21"/>
                      <w:highlight w:val="none"/>
                      <w:lang w:val="en-US" w:eastAsia="zh-CN"/>
                    </w:rPr>
                  </w:pPr>
                </w:p>
              </w:tc>
            </w:tr>
            <w:tr w14:paraId="33DB9C4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c>
                <w:tcPr>
                  <w:tcW w:w="345" w:type="pct"/>
                  <w:noWrap w:val="0"/>
                  <w:tcMar>
                    <w:left w:w="57" w:type="dxa"/>
                    <w:right w:w="57" w:type="dxa"/>
                  </w:tcMar>
                  <w:vAlign w:val="center"/>
                </w:tcPr>
                <w:p w14:paraId="6B86C5E3">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b w:val="0"/>
                      <w:bCs w:val="0"/>
                      <w:kern w:val="0"/>
                      <w:sz w:val="21"/>
                      <w:szCs w:val="21"/>
                      <w:highlight w:val="none"/>
                      <w:lang w:val="en-US" w:eastAsia="zh-CN"/>
                    </w:rPr>
                  </w:pPr>
                  <w:r>
                    <w:rPr>
                      <w:rFonts w:hint="eastAsia" w:cs="Times New Roman"/>
                      <w:b w:val="0"/>
                      <w:bCs w:val="0"/>
                      <w:kern w:val="0"/>
                      <w:sz w:val="21"/>
                      <w:szCs w:val="21"/>
                      <w:highlight w:val="none"/>
                      <w:lang w:val="en-US" w:eastAsia="zh-CN"/>
                    </w:rPr>
                    <w:t>16</w:t>
                  </w:r>
                </w:p>
              </w:tc>
              <w:tc>
                <w:tcPr>
                  <w:tcW w:w="453" w:type="pct"/>
                  <w:vMerge w:val="continue"/>
                  <w:noWrap w:val="0"/>
                  <w:tcMar>
                    <w:left w:w="57" w:type="dxa"/>
                    <w:right w:w="57" w:type="dxa"/>
                  </w:tcMar>
                  <w:vAlign w:val="center"/>
                </w:tcPr>
                <w:p w14:paraId="37506F37">
                  <w:pPr>
                    <w:keepNext w:val="0"/>
                    <w:keepLines w:val="0"/>
                    <w:suppressLineNumbers w:val="0"/>
                    <w:adjustRightInd w:val="0"/>
                    <w:snapToGrid w:val="0"/>
                    <w:spacing w:before="0" w:beforeAutospacing="0" w:after="0" w:afterAutospacing="0"/>
                    <w:ind w:left="0" w:right="0"/>
                    <w:jc w:val="center"/>
                    <w:rPr>
                      <w:rFonts w:hint="eastAsia" w:cs="Times New Roman"/>
                      <w:bCs/>
                      <w:sz w:val="21"/>
                      <w:szCs w:val="21"/>
                      <w:highlight w:val="none"/>
                      <w:lang w:val="en-US" w:eastAsia="zh-CN"/>
                    </w:rPr>
                  </w:pPr>
                </w:p>
              </w:tc>
              <w:tc>
                <w:tcPr>
                  <w:tcW w:w="845" w:type="pct"/>
                  <w:noWrap w:val="0"/>
                  <w:tcMar>
                    <w:left w:w="57" w:type="dxa"/>
                    <w:right w:w="57" w:type="dxa"/>
                  </w:tcMar>
                  <w:vAlign w:val="center"/>
                </w:tcPr>
                <w:p w14:paraId="3E96C273">
                  <w:pPr>
                    <w:keepNext w:val="0"/>
                    <w:keepLines w:val="0"/>
                    <w:suppressLineNumbers w:val="0"/>
                    <w:adjustRightInd w:val="0"/>
                    <w:snapToGrid w:val="0"/>
                    <w:spacing w:before="0" w:beforeAutospacing="0" w:after="0" w:afterAutospacing="0"/>
                    <w:ind w:left="0" w:right="0"/>
                    <w:jc w:val="center"/>
                    <w:rPr>
                      <w:rFonts w:hint="eastAsia" w:cs="Times New Roman"/>
                      <w:bCs/>
                      <w:sz w:val="21"/>
                      <w:szCs w:val="21"/>
                      <w:highlight w:val="none"/>
                      <w:lang w:val="en-US" w:eastAsia="zh-CN"/>
                    </w:rPr>
                  </w:pPr>
                  <w:r>
                    <w:rPr>
                      <w:rFonts w:hint="eastAsia" w:cs="Times New Roman"/>
                      <w:bCs/>
                      <w:sz w:val="21"/>
                      <w:szCs w:val="21"/>
                      <w:highlight w:val="none"/>
                      <w:lang w:val="en-US" w:eastAsia="zh-CN"/>
                    </w:rPr>
                    <w:t>DA005</w:t>
                  </w:r>
                  <w:r>
                    <w:rPr>
                      <w:rFonts w:hint="eastAsia"/>
                      <w:sz w:val="21"/>
                      <w:szCs w:val="21"/>
                      <w:highlight w:val="none"/>
                      <w:lang w:val="en-US" w:eastAsia="zh-CN"/>
                    </w:rPr>
                    <w:t>风机</w:t>
                  </w:r>
                </w:p>
              </w:tc>
              <w:tc>
                <w:tcPr>
                  <w:tcW w:w="348" w:type="pct"/>
                  <w:noWrap w:val="0"/>
                  <w:tcMar>
                    <w:left w:w="57" w:type="dxa"/>
                    <w:right w:w="57" w:type="dxa"/>
                  </w:tcMar>
                  <w:vAlign w:val="center"/>
                </w:tcPr>
                <w:p w14:paraId="51580D81">
                  <w:pPr>
                    <w:keepNext w:val="0"/>
                    <w:keepLines w:val="0"/>
                    <w:suppressLineNumbers w:val="0"/>
                    <w:snapToGrid w:val="0"/>
                    <w:spacing w:before="0" w:beforeAutospacing="0" w:after="0" w:afterAutospacing="0"/>
                    <w:ind w:left="0" w:right="0"/>
                    <w:jc w:val="center"/>
                    <w:rPr>
                      <w:rFonts w:hint="eastAsia" w:ascii="Times New Roman" w:hAnsi="Times New Roman" w:eastAsia="宋体" w:cs="Times New Roman"/>
                      <w:b w:val="0"/>
                      <w:bCs w:val="0"/>
                      <w:sz w:val="21"/>
                      <w:szCs w:val="21"/>
                      <w:highlight w:val="none"/>
                    </w:rPr>
                  </w:pPr>
                  <w:r>
                    <w:rPr>
                      <w:rFonts w:hint="eastAsia" w:ascii="Times New Roman" w:hAnsi="Times New Roman" w:eastAsia="宋体" w:cs="Times New Roman"/>
                      <w:b w:val="0"/>
                      <w:bCs w:val="0"/>
                      <w:sz w:val="21"/>
                      <w:szCs w:val="21"/>
                      <w:highlight w:val="none"/>
                    </w:rPr>
                    <w:t>/</w:t>
                  </w:r>
                </w:p>
              </w:tc>
              <w:tc>
                <w:tcPr>
                  <w:tcW w:w="353" w:type="pct"/>
                  <w:noWrap w:val="0"/>
                  <w:tcMar>
                    <w:left w:w="57" w:type="dxa"/>
                    <w:right w:w="57" w:type="dxa"/>
                  </w:tcMar>
                  <w:vAlign w:val="center"/>
                </w:tcPr>
                <w:p w14:paraId="4301940C">
                  <w:pPr>
                    <w:keepNext w:val="0"/>
                    <w:keepLines w:val="0"/>
                    <w:suppressLineNumbers w:val="0"/>
                    <w:spacing w:before="0" w:beforeAutospacing="0" w:after="0" w:afterAutospacing="0"/>
                    <w:ind w:left="0" w:right="0"/>
                    <w:jc w:val="center"/>
                    <w:rPr>
                      <w:rFonts w:hint="default" w:ascii="Times New Roman" w:hAnsi="Times New Roman" w:eastAsia="宋体" w:cs="Times New Roman"/>
                      <w:b w:val="0"/>
                      <w:bCs w:val="0"/>
                      <w:sz w:val="21"/>
                      <w:szCs w:val="21"/>
                      <w:highlight w:val="none"/>
                      <w:lang w:val="en-US" w:eastAsia="zh-CN"/>
                    </w:rPr>
                  </w:pPr>
                  <w:r>
                    <w:rPr>
                      <w:rFonts w:hint="eastAsia" w:cs="Times New Roman"/>
                      <w:b w:val="0"/>
                      <w:bCs w:val="0"/>
                      <w:sz w:val="21"/>
                      <w:szCs w:val="21"/>
                      <w:highlight w:val="none"/>
                      <w:lang w:val="en-US" w:eastAsia="zh-CN"/>
                    </w:rPr>
                    <w:t>9</w:t>
                  </w:r>
                </w:p>
              </w:tc>
              <w:tc>
                <w:tcPr>
                  <w:tcW w:w="340" w:type="pct"/>
                  <w:noWrap w:val="0"/>
                  <w:tcMar>
                    <w:left w:w="57" w:type="dxa"/>
                    <w:right w:w="57" w:type="dxa"/>
                  </w:tcMar>
                  <w:vAlign w:val="center"/>
                </w:tcPr>
                <w:p w14:paraId="0BE41446">
                  <w:pPr>
                    <w:keepNext w:val="0"/>
                    <w:keepLines w:val="0"/>
                    <w:suppressLineNumbers w:val="0"/>
                    <w:spacing w:before="0" w:beforeAutospacing="0" w:after="0" w:afterAutospacing="0"/>
                    <w:ind w:left="0" w:right="0"/>
                    <w:jc w:val="center"/>
                    <w:rPr>
                      <w:rFonts w:hint="default" w:ascii="Times New Roman" w:hAnsi="Times New Roman" w:eastAsia="宋体" w:cs="Times New Roman"/>
                      <w:b w:val="0"/>
                      <w:bCs w:val="0"/>
                      <w:sz w:val="21"/>
                      <w:szCs w:val="21"/>
                      <w:highlight w:val="none"/>
                      <w:lang w:val="en-US" w:eastAsia="zh-CN"/>
                    </w:rPr>
                  </w:pPr>
                  <w:r>
                    <w:rPr>
                      <w:rFonts w:hint="eastAsia" w:cs="Times New Roman"/>
                      <w:b w:val="0"/>
                      <w:bCs w:val="0"/>
                      <w:sz w:val="21"/>
                      <w:szCs w:val="21"/>
                      <w:highlight w:val="none"/>
                      <w:lang w:val="en-US" w:eastAsia="zh-CN"/>
                    </w:rPr>
                    <w:t>131</w:t>
                  </w:r>
                </w:p>
              </w:tc>
              <w:tc>
                <w:tcPr>
                  <w:tcW w:w="339" w:type="pct"/>
                  <w:noWrap w:val="0"/>
                  <w:tcMar>
                    <w:left w:w="57" w:type="dxa"/>
                    <w:right w:w="57" w:type="dxa"/>
                  </w:tcMar>
                  <w:vAlign w:val="center"/>
                </w:tcPr>
                <w:p w14:paraId="6CDB38B0">
                  <w:pPr>
                    <w:keepNext w:val="0"/>
                    <w:keepLines w:val="0"/>
                    <w:suppressLineNumbers w:val="0"/>
                    <w:adjustRightInd w:val="0"/>
                    <w:snapToGrid w:val="0"/>
                    <w:spacing w:before="0" w:beforeAutospacing="0" w:after="0" w:afterAutospacing="0"/>
                    <w:ind w:left="0" w:right="0"/>
                    <w:jc w:val="center"/>
                    <w:rPr>
                      <w:rFonts w:hint="eastAsia" w:ascii="Times New Roman" w:hAnsi="Times New Roman" w:eastAsia="宋体" w:cs="Times New Roman"/>
                      <w:b w:val="0"/>
                      <w:bCs w:val="0"/>
                      <w:kern w:val="0"/>
                      <w:sz w:val="21"/>
                      <w:szCs w:val="21"/>
                      <w:highlight w:val="none"/>
                      <w:lang w:val="en-US" w:eastAsia="zh-CN"/>
                    </w:rPr>
                  </w:pPr>
                  <w:r>
                    <w:rPr>
                      <w:rFonts w:hint="eastAsia" w:cs="Times New Roman"/>
                      <w:b w:val="0"/>
                      <w:bCs w:val="0"/>
                      <w:kern w:val="0"/>
                      <w:sz w:val="21"/>
                      <w:szCs w:val="21"/>
                      <w:highlight w:val="none"/>
                      <w:lang w:val="en-US" w:eastAsia="zh-CN"/>
                    </w:rPr>
                    <w:t>25</w:t>
                  </w:r>
                </w:p>
              </w:tc>
              <w:tc>
                <w:tcPr>
                  <w:tcW w:w="666" w:type="pct"/>
                  <w:noWrap w:val="0"/>
                  <w:tcMar>
                    <w:left w:w="57" w:type="dxa"/>
                    <w:right w:w="57" w:type="dxa"/>
                  </w:tcMar>
                  <w:vAlign w:val="center"/>
                </w:tcPr>
                <w:p w14:paraId="6907AFF9">
                  <w:pPr>
                    <w:keepNext w:val="0"/>
                    <w:keepLines w:val="0"/>
                    <w:suppressLineNumbers w:val="0"/>
                    <w:snapToGrid w:val="0"/>
                    <w:spacing w:before="0" w:beforeAutospacing="0" w:after="0" w:afterAutospacing="0"/>
                    <w:ind w:left="0" w:right="0"/>
                    <w:jc w:val="center"/>
                    <w:rPr>
                      <w:rFonts w:hint="default" w:ascii="Times New Roman" w:hAnsi="Times New Roman" w:eastAsia="宋体" w:cs="Times New Roman"/>
                      <w:b w:val="0"/>
                      <w:bCs w:val="0"/>
                      <w:sz w:val="21"/>
                      <w:szCs w:val="21"/>
                      <w:highlight w:val="none"/>
                      <w:lang w:val="en-US" w:eastAsia="zh-CN"/>
                    </w:rPr>
                  </w:pPr>
                  <w:r>
                    <w:rPr>
                      <w:rFonts w:hint="eastAsia" w:cs="Times New Roman"/>
                      <w:b w:val="0"/>
                      <w:bCs w:val="0"/>
                      <w:sz w:val="21"/>
                      <w:szCs w:val="21"/>
                      <w:highlight w:val="none"/>
                      <w:lang w:val="en-US" w:eastAsia="zh-CN"/>
                    </w:rPr>
                    <w:t>81</w:t>
                  </w:r>
                </w:p>
              </w:tc>
              <w:tc>
                <w:tcPr>
                  <w:tcW w:w="633" w:type="pct"/>
                  <w:vMerge w:val="continue"/>
                  <w:noWrap w:val="0"/>
                  <w:tcMar>
                    <w:left w:w="57" w:type="dxa"/>
                    <w:right w:w="57" w:type="dxa"/>
                  </w:tcMar>
                  <w:vAlign w:val="center"/>
                </w:tcPr>
                <w:p w14:paraId="5E0205DB">
                  <w:pPr>
                    <w:keepNext w:val="0"/>
                    <w:keepLines w:val="0"/>
                    <w:suppressLineNumbers w:val="0"/>
                    <w:adjustRightInd w:val="0"/>
                    <w:snapToGrid w:val="0"/>
                    <w:spacing w:before="0" w:beforeAutospacing="0" w:after="0" w:afterAutospacing="0"/>
                    <w:ind w:left="0" w:right="0"/>
                    <w:rPr>
                      <w:rFonts w:hint="eastAsia" w:ascii="Times New Roman" w:hAnsi="Times New Roman" w:eastAsia="宋体" w:cs="Times New Roman"/>
                      <w:b w:val="0"/>
                      <w:bCs w:val="0"/>
                      <w:kern w:val="0"/>
                      <w:sz w:val="21"/>
                      <w:szCs w:val="21"/>
                      <w:highlight w:val="none"/>
                    </w:rPr>
                  </w:pPr>
                </w:p>
              </w:tc>
              <w:tc>
                <w:tcPr>
                  <w:tcW w:w="672" w:type="pct"/>
                  <w:vMerge w:val="continue"/>
                  <w:noWrap w:val="0"/>
                  <w:tcMar>
                    <w:left w:w="57" w:type="dxa"/>
                    <w:right w:w="57" w:type="dxa"/>
                  </w:tcMar>
                  <w:vAlign w:val="center"/>
                </w:tcPr>
                <w:p w14:paraId="399C4C53">
                  <w:pPr>
                    <w:keepNext w:val="0"/>
                    <w:keepLines w:val="0"/>
                    <w:suppressLineNumbers w:val="0"/>
                    <w:adjustRightInd w:val="0"/>
                    <w:snapToGrid w:val="0"/>
                    <w:spacing w:before="0" w:beforeAutospacing="0" w:after="0" w:afterAutospacing="0"/>
                    <w:ind w:left="0" w:right="0"/>
                    <w:jc w:val="center"/>
                    <w:rPr>
                      <w:rFonts w:hint="eastAsia" w:ascii="Times New Roman" w:hAnsi="Times New Roman" w:eastAsia="宋体" w:cs="Times New Roman"/>
                      <w:b w:val="0"/>
                      <w:bCs w:val="0"/>
                      <w:kern w:val="0"/>
                      <w:sz w:val="21"/>
                      <w:szCs w:val="21"/>
                      <w:highlight w:val="none"/>
                      <w:lang w:val="en-US" w:eastAsia="zh-CN"/>
                    </w:rPr>
                  </w:pPr>
                </w:p>
              </w:tc>
            </w:tr>
            <w:tr w14:paraId="00EAA24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186" w:hRule="atLeast"/>
              </w:trPr>
              <w:tc>
                <w:tcPr>
                  <w:tcW w:w="345" w:type="pct"/>
                  <w:noWrap w:val="0"/>
                  <w:tcMar>
                    <w:left w:w="57" w:type="dxa"/>
                    <w:right w:w="57" w:type="dxa"/>
                  </w:tcMar>
                  <w:vAlign w:val="center"/>
                </w:tcPr>
                <w:p w14:paraId="27BE13B7">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b w:val="0"/>
                      <w:bCs w:val="0"/>
                      <w:kern w:val="0"/>
                      <w:sz w:val="21"/>
                      <w:szCs w:val="21"/>
                      <w:highlight w:val="none"/>
                      <w:lang w:val="en-US" w:eastAsia="zh-CN"/>
                    </w:rPr>
                  </w:pPr>
                  <w:r>
                    <w:rPr>
                      <w:rFonts w:hint="eastAsia" w:cs="Times New Roman"/>
                      <w:b w:val="0"/>
                      <w:bCs w:val="0"/>
                      <w:kern w:val="0"/>
                      <w:sz w:val="21"/>
                      <w:szCs w:val="21"/>
                      <w:highlight w:val="none"/>
                      <w:lang w:val="en-US" w:eastAsia="zh-CN"/>
                    </w:rPr>
                    <w:t>17</w:t>
                  </w:r>
                </w:p>
              </w:tc>
              <w:tc>
                <w:tcPr>
                  <w:tcW w:w="453" w:type="pct"/>
                  <w:vMerge w:val="restart"/>
                  <w:noWrap w:val="0"/>
                  <w:tcMar>
                    <w:left w:w="57" w:type="dxa"/>
                    <w:right w:w="57" w:type="dxa"/>
                  </w:tcMar>
                  <w:vAlign w:val="center"/>
                </w:tcPr>
                <w:p w14:paraId="6DB6D87A">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b w:val="0"/>
                      <w:bCs w:val="0"/>
                      <w:sz w:val="21"/>
                      <w:szCs w:val="21"/>
                      <w:highlight w:val="none"/>
                      <w:lang w:val="en-US" w:eastAsia="zh-CN"/>
                    </w:rPr>
                  </w:pPr>
                  <w:r>
                    <w:rPr>
                      <w:rFonts w:hint="eastAsia" w:cs="Times New Roman"/>
                      <w:b w:val="0"/>
                      <w:bCs w:val="0"/>
                      <w:sz w:val="21"/>
                      <w:szCs w:val="21"/>
                      <w:highlight w:val="none"/>
                      <w:lang w:val="en-US" w:eastAsia="zh-CN"/>
                    </w:rPr>
                    <w:t>多联机中央空调系统</w:t>
                  </w:r>
                </w:p>
              </w:tc>
              <w:tc>
                <w:tcPr>
                  <w:tcW w:w="845" w:type="pct"/>
                  <w:noWrap w:val="0"/>
                  <w:tcMar>
                    <w:left w:w="57" w:type="dxa"/>
                    <w:right w:w="57" w:type="dxa"/>
                  </w:tcMar>
                  <w:vAlign w:val="center"/>
                </w:tcPr>
                <w:p w14:paraId="1BB57BAC">
                  <w:pPr>
                    <w:keepNext w:val="0"/>
                    <w:keepLines w:val="0"/>
                    <w:suppressLineNumbers w:val="0"/>
                    <w:adjustRightInd w:val="0"/>
                    <w:snapToGrid w:val="0"/>
                    <w:spacing w:before="0" w:beforeAutospacing="0" w:after="0" w:afterAutospacing="0"/>
                    <w:ind w:left="0" w:right="0"/>
                    <w:jc w:val="center"/>
                    <w:rPr>
                      <w:rFonts w:hint="eastAsia" w:ascii="Times New Roman" w:hAnsi="Times New Roman" w:eastAsia="宋体" w:cs="Times New Roman"/>
                      <w:b w:val="0"/>
                      <w:bCs w:val="0"/>
                      <w:sz w:val="21"/>
                      <w:szCs w:val="21"/>
                      <w:highlight w:val="none"/>
                      <w:lang w:val="en-US" w:eastAsia="zh-CN"/>
                    </w:rPr>
                  </w:pPr>
                  <w:r>
                    <w:rPr>
                      <w:rFonts w:hint="eastAsia" w:ascii="Times New Roman" w:hAnsi="Times New Roman" w:eastAsia="宋体" w:cs="Times New Roman"/>
                      <w:b w:val="0"/>
                      <w:bCs w:val="0"/>
                      <w:sz w:val="21"/>
                      <w:szCs w:val="21"/>
                      <w:highlight w:val="none"/>
                      <w:lang w:val="en-US" w:eastAsia="zh-CN"/>
                    </w:rPr>
                    <w:t>VRF-B1-1</w:t>
                  </w:r>
                </w:p>
              </w:tc>
              <w:tc>
                <w:tcPr>
                  <w:tcW w:w="348" w:type="pct"/>
                  <w:noWrap w:val="0"/>
                  <w:tcMar>
                    <w:left w:w="57" w:type="dxa"/>
                    <w:right w:w="57" w:type="dxa"/>
                  </w:tcMar>
                  <w:vAlign w:val="center"/>
                </w:tcPr>
                <w:p w14:paraId="63D95803">
                  <w:pPr>
                    <w:keepNext w:val="0"/>
                    <w:keepLines w:val="0"/>
                    <w:suppressLineNumbers w:val="0"/>
                    <w:snapToGrid w:val="0"/>
                    <w:spacing w:before="0" w:beforeAutospacing="0" w:after="0" w:afterAutospacing="0"/>
                    <w:ind w:left="0" w:right="0"/>
                    <w:jc w:val="center"/>
                    <w:rPr>
                      <w:rFonts w:hint="eastAsia" w:ascii="Times New Roman" w:hAnsi="Times New Roman" w:eastAsia="宋体" w:cs="Times New Roman"/>
                      <w:b w:val="0"/>
                      <w:bCs w:val="0"/>
                      <w:sz w:val="21"/>
                      <w:szCs w:val="21"/>
                      <w:highlight w:val="none"/>
                    </w:rPr>
                  </w:pPr>
                  <w:r>
                    <w:rPr>
                      <w:rFonts w:hint="eastAsia" w:ascii="Times New Roman" w:hAnsi="Times New Roman" w:eastAsia="宋体" w:cs="Times New Roman"/>
                      <w:b w:val="0"/>
                      <w:bCs w:val="0"/>
                      <w:sz w:val="21"/>
                      <w:szCs w:val="21"/>
                      <w:highlight w:val="none"/>
                    </w:rPr>
                    <w:t>/</w:t>
                  </w:r>
                </w:p>
              </w:tc>
              <w:tc>
                <w:tcPr>
                  <w:tcW w:w="353" w:type="pct"/>
                  <w:noWrap w:val="0"/>
                  <w:tcMar>
                    <w:left w:w="57" w:type="dxa"/>
                    <w:right w:w="57" w:type="dxa"/>
                  </w:tcMar>
                  <w:vAlign w:val="center"/>
                </w:tcPr>
                <w:p w14:paraId="5B4105F6">
                  <w:pPr>
                    <w:keepNext w:val="0"/>
                    <w:keepLines w:val="0"/>
                    <w:suppressLineNumbers w:val="0"/>
                    <w:spacing w:before="0" w:beforeAutospacing="0" w:after="0" w:afterAutospacing="0"/>
                    <w:ind w:left="0" w:right="0"/>
                    <w:jc w:val="center"/>
                    <w:rPr>
                      <w:rFonts w:hint="default" w:ascii="Times New Roman" w:hAnsi="Times New Roman" w:eastAsia="宋体" w:cs="Times New Roman"/>
                      <w:b w:val="0"/>
                      <w:bCs w:val="0"/>
                      <w:sz w:val="21"/>
                      <w:szCs w:val="21"/>
                      <w:highlight w:val="none"/>
                      <w:lang w:val="en-US" w:eastAsia="zh-CN"/>
                    </w:rPr>
                  </w:pPr>
                  <w:r>
                    <w:rPr>
                      <w:rFonts w:hint="eastAsia" w:ascii="Times New Roman" w:hAnsi="Times New Roman" w:eastAsia="宋体" w:cs="Times New Roman"/>
                      <w:b w:val="0"/>
                      <w:bCs w:val="0"/>
                      <w:sz w:val="21"/>
                      <w:szCs w:val="21"/>
                      <w:highlight w:val="none"/>
                      <w:lang w:val="en-US" w:eastAsia="zh-CN"/>
                    </w:rPr>
                    <w:t>-33</w:t>
                  </w:r>
                </w:p>
              </w:tc>
              <w:tc>
                <w:tcPr>
                  <w:tcW w:w="340" w:type="pct"/>
                  <w:noWrap w:val="0"/>
                  <w:tcMar>
                    <w:left w:w="57" w:type="dxa"/>
                    <w:right w:w="57" w:type="dxa"/>
                  </w:tcMar>
                  <w:vAlign w:val="center"/>
                </w:tcPr>
                <w:p w14:paraId="5C839584">
                  <w:pPr>
                    <w:keepNext w:val="0"/>
                    <w:keepLines w:val="0"/>
                    <w:suppressLineNumbers w:val="0"/>
                    <w:spacing w:before="0" w:beforeAutospacing="0" w:after="0" w:afterAutospacing="0"/>
                    <w:ind w:left="0" w:right="0"/>
                    <w:jc w:val="center"/>
                    <w:rPr>
                      <w:rFonts w:hint="default" w:ascii="Times New Roman" w:hAnsi="Times New Roman" w:eastAsia="宋体" w:cs="Times New Roman"/>
                      <w:b w:val="0"/>
                      <w:bCs w:val="0"/>
                      <w:sz w:val="21"/>
                      <w:szCs w:val="21"/>
                      <w:highlight w:val="none"/>
                      <w:lang w:val="en-US" w:eastAsia="zh-CN"/>
                    </w:rPr>
                  </w:pPr>
                  <w:r>
                    <w:rPr>
                      <w:rFonts w:hint="eastAsia" w:ascii="Times New Roman" w:hAnsi="Times New Roman" w:eastAsia="宋体" w:cs="Times New Roman"/>
                      <w:b w:val="0"/>
                      <w:bCs w:val="0"/>
                      <w:sz w:val="21"/>
                      <w:szCs w:val="21"/>
                      <w:highlight w:val="none"/>
                      <w:lang w:val="en-US" w:eastAsia="zh-CN"/>
                    </w:rPr>
                    <w:t>145</w:t>
                  </w:r>
                </w:p>
              </w:tc>
              <w:tc>
                <w:tcPr>
                  <w:tcW w:w="339" w:type="pct"/>
                  <w:noWrap w:val="0"/>
                  <w:tcMar>
                    <w:left w:w="57" w:type="dxa"/>
                    <w:right w:w="57" w:type="dxa"/>
                  </w:tcMar>
                  <w:vAlign w:val="center"/>
                </w:tcPr>
                <w:p w14:paraId="6E5AD82D">
                  <w:pPr>
                    <w:keepNext w:val="0"/>
                    <w:keepLines w:val="0"/>
                    <w:suppressLineNumbers w:val="0"/>
                    <w:adjustRightInd w:val="0"/>
                    <w:snapToGrid w:val="0"/>
                    <w:spacing w:before="0" w:beforeAutospacing="0" w:after="0" w:afterAutospacing="0"/>
                    <w:ind w:left="0" w:right="0"/>
                    <w:jc w:val="center"/>
                    <w:rPr>
                      <w:rFonts w:hint="eastAsia" w:ascii="Times New Roman" w:hAnsi="Times New Roman" w:eastAsia="宋体" w:cs="Times New Roman"/>
                      <w:b w:val="0"/>
                      <w:bCs w:val="0"/>
                      <w:kern w:val="0"/>
                      <w:sz w:val="21"/>
                      <w:szCs w:val="21"/>
                      <w:highlight w:val="none"/>
                      <w:lang w:val="en-US" w:eastAsia="zh-CN"/>
                    </w:rPr>
                  </w:pPr>
                  <w:r>
                    <w:rPr>
                      <w:rFonts w:hint="eastAsia" w:ascii="Times New Roman" w:hAnsi="Times New Roman" w:eastAsia="宋体" w:cs="Times New Roman"/>
                      <w:b w:val="0"/>
                      <w:bCs w:val="0"/>
                      <w:kern w:val="0"/>
                      <w:sz w:val="21"/>
                      <w:szCs w:val="21"/>
                      <w:highlight w:val="none"/>
                      <w:lang w:val="en-US" w:eastAsia="zh-CN"/>
                    </w:rPr>
                    <w:t>25</w:t>
                  </w:r>
                </w:p>
              </w:tc>
              <w:tc>
                <w:tcPr>
                  <w:tcW w:w="666" w:type="pct"/>
                  <w:noWrap w:val="0"/>
                  <w:tcMar>
                    <w:left w:w="57" w:type="dxa"/>
                    <w:right w:w="57" w:type="dxa"/>
                  </w:tcMar>
                  <w:vAlign w:val="center"/>
                </w:tcPr>
                <w:p w14:paraId="47E58140">
                  <w:pPr>
                    <w:keepNext w:val="0"/>
                    <w:keepLines w:val="0"/>
                    <w:suppressLineNumbers w:val="0"/>
                    <w:snapToGrid w:val="0"/>
                    <w:spacing w:before="0" w:beforeAutospacing="0" w:after="0" w:afterAutospacing="0"/>
                    <w:ind w:left="0" w:right="0"/>
                    <w:jc w:val="center"/>
                    <w:rPr>
                      <w:rFonts w:hint="default" w:ascii="Times New Roman" w:hAnsi="Times New Roman" w:eastAsia="宋体" w:cs="Times New Roman"/>
                      <w:b w:val="0"/>
                      <w:bCs w:val="0"/>
                      <w:sz w:val="21"/>
                      <w:szCs w:val="21"/>
                      <w:highlight w:val="none"/>
                      <w:lang w:val="en-US" w:eastAsia="zh-CN"/>
                    </w:rPr>
                  </w:pPr>
                  <w:r>
                    <w:rPr>
                      <w:rFonts w:hint="eastAsia" w:ascii="Times New Roman" w:hAnsi="Times New Roman" w:eastAsia="宋体" w:cs="Times New Roman"/>
                      <w:b w:val="0"/>
                      <w:bCs w:val="0"/>
                      <w:sz w:val="21"/>
                      <w:szCs w:val="21"/>
                      <w:highlight w:val="none"/>
                      <w:lang w:val="en-US" w:eastAsia="zh-CN"/>
                    </w:rPr>
                    <w:t>75</w:t>
                  </w:r>
                </w:p>
              </w:tc>
              <w:tc>
                <w:tcPr>
                  <w:tcW w:w="633" w:type="pct"/>
                  <w:vMerge w:val="continue"/>
                  <w:noWrap w:val="0"/>
                  <w:tcMar>
                    <w:left w:w="57" w:type="dxa"/>
                    <w:right w:w="57" w:type="dxa"/>
                  </w:tcMar>
                  <w:vAlign w:val="center"/>
                </w:tcPr>
                <w:p w14:paraId="4ED337D9">
                  <w:pPr>
                    <w:keepNext w:val="0"/>
                    <w:keepLines w:val="0"/>
                    <w:suppressLineNumbers w:val="0"/>
                    <w:adjustRightInd w:val="0"/>
                    <w:snapToGrid w:val="0"/>
                    <w:spacing w:before="0" w:beforeAutospacing="0" w:after="0" w:afterAutospacing="0"/>
                    <w:ind w:left="0" w:right="0"/>
                    <w:rPr>
                      <w:rFonts w:hint="eastAsia" w:ascii="Times New Roman" w:hAnsi="Times New Roman" w:eastAsia="宋体" w:cs="Times New Roman"/>
                      <w:b w:val="0"/>
                      <w:bCs w:val="0"/>
                      <w:kern w:val="0"/>
                      <w:sz w:val="21"/>
                      <w:szCs w:val="21"/>
                      <w:highlight w:val="none"/>
                    </w:rPr>
                  </w:pPr>
                </w:p>
              </w:tc>
              <w:tc>
                <w:tcPr>
                  <w:tcW w:w="672" w:type="pct"/>
                  <w:vMerge w:val="restart"/>
                  <w:noWrap w:val="0"/>
                  <w:tcMar>
                    <w:left w:w="57" w:type="dxa"/>
                    <w:right w:w="57" w:type="dxa"/>
                  </w:tcMar>
                  <w:vAlign w:val="center"/>
                </w:tcPr>
                <w:p w14:paraId="26F961C8">
                  <w:pPr>
                    <w:keepNext w:val="0"/>
                    <w:keepLines w:val="0"/>
                    <w:suppressLineNumbers w:val="0"/>
                    <w:adjustRightInd w:val="0"/>
                    <w:snapToGrid w:val="0"/>
                    <w:spacing w:before="0" w:beforeAutospacing="0" w:after="0" w:afterAutospacing="0" w:line="300" w:lineRule="auto"/>
                    <w:ind w:left="0" w:right="0"/>
                    <w:jc w:val="center"/>
                    <w:rPr>
                      <w:rFonts w:hint="eastAsia" w:ascii="Times New Roman" w:hAnsi="Times New Roman" w:eastAsia="宋体" w:cs="Times New Roman"/>
                      <w:b w:val="0"/>
                      <w:bCs w:val="0"/>
                      <w:kern w:val="0"/>
                      <w:sz w:val="21"/>
                      <w:szCs w:val="21"/>
                      <w:highlight w:val="none"/>
                      <w:lang w:val="en-US" w:eastAsia="zh-CN"/>
                    </w:rPr>
                  </w:pPr>
                  <w:r>
                    <w:rPr>
                      <w:rFonts w:hint="eastAsia"/>
                      <w:bCs/>
                      <w:sz w:val="21"/>
                      <w:szCs w:val="21"/>
                      <w:highlight w:val="none"/>
                    </w:rPr>
                    <w:t>24h，6~9月；12~3月</w:t>
                  </w:r>
                </w:p>
              </w:tc>
            </w:tr>
            <w:tr w14:paraId="6C68A92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c>
                <w:tcPr>
                  <w:tcW w:w="345" w:type="pct"/>
                  <w:noWrap w:val="0"/>
                  <w:tcMar>
                    <w:left w:w="57" w:type="dxa"/>
                    <w:right w:w="57" w:type="dxa"/>
                  </w:tcMar>
                  <w:vAlign w:val="center"/>
                </w:tcPr>
                <w:p w14:paraId="1D0371C2">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b w:val="0"/>
                      <w:bCs w:val="0"/>
                      <w:kern w:val="0"/>
                      <w:sz w:val="21"/>
                      <w:szCs w:val="21"/>
                      <w:highlight w:val="none"/>
                      <w:lang w:val="en-US" w:eastAsia="zh-CN"/>
                    </w:rPr>
                  </w:pPr>
                  <w:r>
                    <w:rPr>
                      <w:rFonts w:hint="eastAsia" w:cs="Times New Roman"/>
                      <w:b w:val="0"/>
                      <w:bCs w:val="0"/>
                      <w:kern w:val="0"/>
                      <w:sz w:val="21"/>
                      <w:szCs w:val="21"/>
                      <w:highlight w:val="none"/>
                      <w:lang w:val="en-US" w:eastAsia="zh-CN"/>
                    </w:rPr>
                    <w:t>18</w:t>
                  </w:r>
                </w:p>
              </w:tc>
              <w:tc>
                <w:tcPr>
                  <w:tcW w:w="453" w:type="pct"/>
                  <w:vMerge w:val="continue"/>
                  <w:noWrap w:val="0"/>
                  <w:tcMar>
                    <w:left w:w="57" w:type="dxa"/>
                    <w:right w:w="57" w:type="dxa"/>
                  </w:tcMar>
                  <w:vAlign w:val="center"/>
                </w:tcPr>
                <w:p w14:paraId="3A42F768">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b w:val="0"/>
                      <w:bCs w:val="0"/>
                      <w:sz w:val="21"/>
                      <w:szCs w:val="21"/>
                      <w:highlight w:val="none"/>
                      <w:lang w:val="en-US" w:eastAsia="zh-CN"/>
                    </w:rPr>
                  </w:pPr>
                </w:p>
              </w:tc>
              <w:tc>
                <w:tcPr>
                  <w:tcW w:w="845" w:type="pct"/>
                  <w:noWrap w:val="0"/>
                  <w:tcMar>
                    <w:left w:w="57" w:type="dxa"/>
                    <w:right w:w="57" w:type="dxa"/>
                  </w:tcMar>
                  <w:vAlign w:val="center"/>
                </w:tcPr>
                <w:p w14:paraId="7D3EB6D3">
                  <w:pPr>
                    <w:keepNext w:val="0"/>
                    <w:keepLines w:val="0"/>
                    <w:suppressLineNumbers w:val="0"/>
                    <w:adjustRightInd w:val="0"/>
                    <w:snapToGrid w:val="0"/>
                    <w:spacing w:before="0" w:beforeAutospacing="0" w:after="0" w:afterAutospacing="0"/>
                    <w:ind w:left="0" w:right="0"/>
                    <w:jc w:val="center"/>
                    <w:rPr>
                      <w:rFonts w:hint="eastAsia" w:ascii="Times New Roman" w:hAnsi="Times New Roman" w:eastAsia="宋体" w:cs="Times New Roman"/>
                      <w:b w:val="0"/>
                      <w:bCs w:val="0"/>
                      <w:sz w:val="21"/>
                      <w:szCs w:val="21"/>
                      <w:highlight w:val="none"/>
                      <w:lang w:val="en-US" w:eastAsia="zh-CN"/>
                    </w:rPr>
                  </w:pPr>
                  <w:r>
                    <w:rPr>
                      <w:rFonts w:hint="eastAsia" w:ascii="Times New Roman" w:hAnsi="Times New Roman" w:eastAsia="宋体" w:cs="Times New Roman"/>
                      <w:b w:val="0"/>
                      <w:bCs w:val="0"/>
                      <w:sz w:val="21"/>
                      <w:szCs w:val="21"/>
                      <w:highlight w:val="none"/>
                      <w:lang w:val="en-US" w:eastAsia="zh-CN"/>
                    </w:rPr>
                    <w:t>VRF-1-2</w:t>
                  </w:r>
                </w:p>
              </w:tc>
              <w:tc>
                <w:tcPr>
                  <w:tcW w:w="348" w:type="pct"/>
                  <w:noWrap w:val="0"/>
                  <w:tcMar>
                    <w:left w:w="57" w:type="dxa"/>
                    <w:right w:w="57" w:type="dxa"/>
                  </w:tcMar>
                  <w:vAlign w:val="center"/>
                </w:tcPr>
                <w:p w14:paraId="57436831">
                  <w:pPr>
                    <w:keepNext w:val="0"/>
                    <w:keepLines w:val="0"/>
                    <w:suppressLineNumbers w:val="0"/>
                    <w:snapToGrid w:val="0"/>
                    <w:spacing w:before="0" w:beforeAutospacing="0" w:after="0" w:afterAutospacing="0"/>
                    <w:ind w:left="0" w:right="0"/>
                    <w:jc w:val="center"/>
                    <w:rPr>
                      <w:rFonts w:hint="eastAsia" w:ascii="Times New Roman" w:hAnsi="Times New Roman" w:eastAsia="宋体" w:cs="Times New Roman"/>
                      <w:b w:val="0"/>
                      <w:bCs w:val="0"/>
                      <w:sz w:val="21"/>
                      <w:szCs w:val="21"/>
                      <w:highlight w:val="none"/>
                    </w:rPr>
                  </w:pPr>
                  <w:r>
                    <w:rPr>
                      <w:rFonts w:hint="eastAsia" w:ascii="Times New Roman" w:hAnsi="Times New Roman" w:eastAsia="宋体" w:cs="Times New Roman"/>
                      <w:b w:val="0"/>
                      <w:bCs w:val="0"/>
                      <w:sz w:val="21"/>
                      <w:szCs w:val="21"/>
                      <w:highlight w:val="none"/>
                    </w:rPr>
                    <w:t>/</w:t>
                  </w:r>
                </w:p>
              </w:tc>
              <w:tc>
                <w:tcPr>
                  <w:tcW w:w="353" w:type="pct"/>
                  <w:noWrap w:val="0"/>
                  <w:tcMar>
                    <w:left w:w="57" w:type="dxa"/>
                    <w:right w:w="57" w:type="dxa"/>
                  </w:tcMar>
                  <w:vAlign w:val="center"/>
                </w:tcPr>
                <w:p w14:paraId="14019325">
                  <w:pPr>
                    <w:keepNext w:val="0"/>
                    <w:keepLines w:val="0"/>
                    <w:suppressLineNumbers w:val="0"/>
                    <w:spacing w:before="0" w:beforeAutospacing="0" w:after="0" w:afterAutospacing="0"/>
                    <w:ind w:left="0" w:right="0"/>
                    <w:jc w:val="center"/>
                    <w:rPr>
                      <w:rFonts w:hint="eastAsia" w:ascii="Times New Roman" w:hAnsi="Times New Roman" w:eastAsia="宋体" w:cs="Times New Roman"/>
                      <w:b w:val="0"/>
                      <w:bCs w:val="0"/>
                      <w:sz w:val="21"/>
                      <w:szCs w:val="21"/>
                      <w:highlight w:val="none"/>
                      <w:lang w:val="en-US" w:eastAsia="zh-CN"/>
                    </w:rPr>
                  </w:pPr>
                  <w:r>
                    <w:rPr>
                      <w:rFonts w:hint="eastAsia" w:ascii="Times New Roman" w:hAnsi="Times New Roman" w:eastAsia="宋体" w:cs="Times New Roman"/>
                      <w:b w:val="0"/>
                      <w:bCs w:val="0"/>
                      <w:sz w:val="21"/>
                      <w:szCs w:val="21"/>
                      <w:highlight w:val="none"/>
                      <w:lang w:val="en-US" w:eastAsia="zh-CN"/>
                    </w:rPr>
                    <w:t>-33</w:t>
                  </w:r>
                </w:p>
              </w:tc>
              <w:tc>
                <w:tcPr>
                  <w:tcW w:w="340" w:type="pct"/>
                  <w:noWrap w:val="0"/>
                  <w:tcMar>
                    <w:left w:w="57" w:type="dxa"/>
                    <w:right w:w="57" w:type="dxa"/>
                  </w:tcMar>
                  <w:vAlign w:val="center"/>
                </w:tcPr>
                <w:p w14:paraId="364A45DF">
                  <w:pPr>
                    <w:keepNext w:val="0"/>
                    <w:keepLines w:val="0"/>
                    <w:suppressLineNumbers w:val="0"/>
                    <w:spacing w:before="0" w:beforeAutospacing="0" w:after="0" w:afterAutospacing="0"/>
                    <w:ind w:left="0" w:right="0"/>
                    <w:jc w:val="center"/>
                    <w:rPr>
                      <w:rFonts w:hint="default" w:ascii="Times New Roman" w:hAnsi="Times New Roman" w:eastAsia="宋体" w:cs="Times New Roman"/>
                      <w:b w:val="0"/>
                      <w:bCs w:val="0"/>
                      <w:sz w:val="21"/>
                      <w:szCs w:val="21"/>
                      <w:highlight w:val="none"/>
                      <w:lang w:val="en-US" w:eastAsia="zh-CN"/>
                    </w:rPr>
                  </w:pPr>
                  <w:r>
                    <w:rPr>
                      <w:rFonts w:hint="eastAsia" w:ascii="Times New Roman" w:hAnsi="Times New Roman" w:eastAsia="宋体" w:cs="Times New Roman"/>
                      <w:b w:val="0"/>
                      <w:bCs w:val="0"/>
                      <w:sz w:val="21"/>
                      <w:szCs w:val="21"/>
                      <w:highlight w:val="none"/>
                      <w:lang w:val="en-US" w:eastAsia="zh-CN"/>
                    </w:rPr>
                    <w:t>147</w:t>
                  </w:r>
                </w:p>
              </w:tc>
              <w:tc>
                <w:tcPr>
                  <w:tcW w:w="339" w:type="pct"/>
                  <w:noWrap w:val="0"/>
                  <w:tcMar>
                    <w:left w:w="57" w:type="dxa"/>
                    <w:right w:w="57" w:type="dxa"/>
                  </w:tcMar>
                  <w:vAlign w:val="center"/>
                </w:tcPr>
                <w:p w14:paraId="3DFA08B5">
                  <w:pPr>
                    <w:keepNext w:val="0"/>
                    <w:keepLines w:val="0"/>
                    <w:suppressLineNumbers w:val="0"/>
                    <w:adjustRightInd w:val="0"/>
                    <w:snapToGrid w:val="0"/>
                    <w:spacing w:before="0" w:beforeAutospacing="0" w:after="0" w:afterAutospacing="0"/>
                    <w:ind w:left="0" w:right="0"/>
                    <w:jc w:val="center"/>
                    <w:rPr>
                      <w:rFonts w:hint="eastAsia" w:ascii="Times New Roman" w:hAnsi="Times New Roman" w:eastAsia="宋体" w:cs="Times New Roman"/>
                      <w:b w:val="0"/>
                      <w:bCs w:val="0"/>
                      <w:kern w:val="0"/>
                      <w:sz w:val="21"/>
                      <w:szCs w:val="21"/>
                      <w:highlight w:val="none"/>
                      <w:lang w:val="en-US" w:eastAsia="zh-CN"/>
                    </w:rPr>
                  </w:pPr>
                  <w:r>
                    <w:rPr>
                      <w:rFonts w:hint="eastAsia" w:ascii="Times New Roman" w:hAnsi="Times New Roman" w:eastAsia="宋体" w:cs="Times New Roman"/>
                      <w:b w:val="0"/>
                      <w:bCs w:val="0"/>
                      <w:kern w:val="0"/>
                      <w:sz w:val="21"/>
                      <w:szCs w:val="21"/>
                      <w:highlight w:val="none"/>
                      <w:lang w:val="en-US" w:eastAsia="zh-CN"/>
                    </w:rPr>
                    <w:t>25</w:t>
                  </w:r>
                </w:p>
              </w:tc>
              <w:tc>
                <w:tcPr>
                  <w:tcW w:w="666" w:type="pct"/>
                  <w:noWrap w:val="0"/>
                  <w:tcMar>
                    <w:left w:w="57" w:type="dxa"/>
                    <w:right w:w="57" w:type="dxa"/>
                  </w:tcMar>
                  <w:vAlign w:val="center"/>
                </w:tcPr>
                <w:p w14:paraId="765B0851">
                  <w:pPr>
                    <w:keepNext w:val="0"/>
                    <w:keepLines w:val="0"/>
                    <w:suppressLineNumbers w:val="0"/>
                    <w:snapToGrid w:val="0"/>
                    <w:spacing w:before="0" w:beforeAutospacing="0" w:after="0" w:afterAutospacing="0"/>
                    <w:ind w:left="0" w:right="0"/>
                    <w:jc w:val="center"/>
                    <w:rPr>
                      <w:rFonts w:hint="eastAsia" w:ascii="Times New Roman" w:hAnsi="Times New Roman" w:eastAsia="宋体" w:cs="Times New Roman"/>
                      <w:b w:val="0"/>
                      <w:bCs w:val="0"/>
                      <w:sz w:val="21"/>
                      <w:szCs w:val="21"/>
                      <w:highlight w:val="none"/>
                    </w:rPr>
                  </w:pPr>
                  <w:r>
                    <w:rPr>
                      <w:rFonts w:hint="eastAsia" w:ascii="Times New Roman" w:hAnsi="Times New Roman" w:eastAsia="宋体" w:cs="Times New Roman"/>
                      <w:b w:val="0"/>
                      <w:bCs w:val="0"/>
                      <w:sz w:val="21"/>
                      <w:szCs w:val="21"/>
                      <w:highlight w:val="none"/>
                      <w:lang w:val="en-US" w:eastAsia="zh-CN"/>
                    </w:rPr>
                    <w:t>75</w:t>
                  </w:r>
                </w:p>
              </w:tc>
              <w:tc>
                <w:tcPr>
                  <w:tcW w:w="633" w:type="pct"/>
                  <w:vMerge w:val="continue"/>
                  <w:noWrap w:val="0"/>
                  <w:tcMar>
                    <w:left w:w="57" w:type="dxa"/>
                    <w:right w:w="57" w:type="dxa"/>
                  </w:tcMar>
                  <w:vAlign w:val="center"/>
                </w:tcPr>
                <w:p w14:paraId="407DBE25">
                  <w:pPr>
                    <w:keepNext w:val="0"/>
                    <w:keepLines w:val="0"/>
                    <w:suppressLineNumbers w:val="0"/>
                    <w:adjustRightInd w:val="0"/>
                    <w:snapToGrid w:val="0"/>
                    <w:spacing w:before="0" w:beforeAutospacing="0" w:after="0" w:afterAutospacing="0"/>
                    <w:ind w:left="0" w:right="0"/>
                    <w:rPr>
                      <w:rFonts w:hint="eastAsia" w:ascii="Times New Roman" w:hAnsi="Times New Roman" w:eastAsia="宋体" w:cs="Times New Roman"/>
                      <w:b w:val="0"/>
                      <w:bCs w:val="0"/>
                      <w:kern w:val="0"/>
                      <w:sz w:val="21"/>
                      <w:szCs w:val="21"/>
                      <w:highlight w:val="none"/>
                    </w:rPr>
                  </w:pPr>
                </w:p>
              </w:tc>
              <w:tc>
                <w:tcPr>
                  <w:tcW w:w="672" w:type="pct"/>
                  <w:vMerge w:val="continue"/>
                  <w:noWrap w:val="0"/>
                  <w:tcMar>
                    <w:left w:w="57" w:type="dxa"/>
                    <w:right w:w="57" w:type="dxa"/>
                  </w:tcMar>
                  <w:vAlign w:val="center"/>
                </w:tcPr>
                <w:p w14:paraId="3702CCDB">
                  <w:pPr>
                    <w:keepNext w:val="0"/>
                    <w:keepLines w:val="0"/>
                    <w:suppressLineNumbers w:val="0"/>
                    <w:adjustRightInd w:val="0"/>
                    <w:snapToGrid w:val="0"/>
                    <w:spacing w:before="0" w:beforeAutospacing="0" w:after="0" w:afterAutospacing="0"/>
                    <w:ind w:left="0" w:right="0"/>
                    <w:jc w:val="center"/>
                    <w:rPr>
                      <w:rFonts w:hint="eastAsia" w:ascii="Times New Roman" w:hAnsi="Times New Roman" w:eastAsia="宋体" w:cs="Times New Roman"/>
                      <w:b w:val="0"/>
                      <w:bCs w:val="0"/>
                      <w:kern w:val="0"/>
                      <w:sz w:val="21"/>
                      <w:szCs w:val="21"/>
                      <w:highlight w:val="none"/>
                      <w:lang w:val="en-US" w:eastAsia="zh-CN"/>
                    </w:rPr>
                  </w:pPr>
                </w:p>
              </w:tc>
            </w:tr>
            <w:tr w14:paraId="4466CC1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c>
                <w:tcPr>
                  <w:tcW w:w="345" w:type="pct"/>
                  <w:noWrap w:val="0"/>
                  <w:tcMar>
                    <w:left w:w="57" w:type="dxa"/>
                    <w:right w:w="57" w:type="dxa"/>
                  </w:tcMar>
                  <w:vAlign w:val="center"/>
                </w:tcPr>
                <w:p w14:paraId="60B767A9">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b w:val="0"/>
                      <w:bCs w:val="0"/>
                      <w:kern w:val="0"/>
                      <w:sz w:val="21"/>
                      <w:szCs w:val="21"/>
                      <w:highlight w:val="none"/>
                      <w:lang w:val="en-US" w:eastAsia="zh-CN"/>
                    </w:rPr>
                  </w:pPr>
                  <w:r>
                    <w:rPr>
                      <w:rFonts w:hint="eastAsia" w:cs="Times New Roman"/>
                      <w:b w:val="0"/>
                      <w:bCs w:val="0"/>
                      <w:kern w:val="0"/>
                      <w:sz w:val="21"/>
                      <w:szCs w:val="21"/>
                      <w:highlight w:val="none"/>
                      <w:lang w:val="en-US" w:eastAsia="zh-CN"/>
                    </w:rPr>
                    <w:t>19</w:t>
                  </w:r>
                </w:p>
              </w:tc>
              <w:tc>
                <w:tcPr>
                  <w:tcW w:w="453" w:type="pct"/>
                  <w:vMerge w:val="continue"/>
                  <w:noWrap w:val="0"/>
                  <w:tcMar>
                    <w:left w:w="57" w:type="dxa"/>
                    <w:right w:w="57" w:type="dxa"/>
                  </w:tcMar>
                  <w:vAlign w:val="center"/>
                </w:tcPr>
                <w:p w14:paraId="4573341C">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b w:val="0"/>
                      <w:bCs w:val="0"/>
                      <w:sz w:val="21"/>
                      <w:szCs w:val="21"/>
                      <w:highlight w:val="none"/>
                      <w:lang w:val="en-US" w:eastAsia="zh-CN"/>
                    </w:rPr>
                  </w:pPr>
                </w:p>
              </w:tc>
              <w:tc>
                <w:tcPr>
                  <w:tcW w:w="845" w:type="pct"/>
                  <w:noWrap w:val="0"/>
                  <w:tcMar>
                    <w:left w:w="57" w:type="dxa"/>
                    <w:right w:w="57" w:type="dxa"/>
                  </w:tcMar>
                  <w:vAlign w:val="center"/>
                </w:tcPr>
                <w:p w14:paraId="6DD5E3B9">
                  <w:pPr>
                    <w:keepNext w:val="0"/>
                    <w:keepLines w:val="0"/>
                    <w:suppressLineNumbers w:val="0"/>
                    <w:adjustRightInd w:val="0"/>
                    <w:snapToGrid w:val="0"/>
                    <w:spacing w:before="0" w:beforeAutospacing="0" w:after="0" w:afterAutospacing="0"/>
                    <w:ind w:left="0" w:right="0"/>
                    <w:jc w:val="center"/>
                    <w:rPr>
                      <w:rFonts w:hint="eastAsia" w:ascii="Times New Roman" w:hAnsi="Times New Roman" w:eastAsia="宋体" w:cs="Times New Roman"/>
                      <w:b w:val="0"/>
                      <w:bCs w:val="0"/>
                      <w:sz w:val="21"/>
                      <w:szCs w:val="21"/>
                      <w:highlight w:val="none"/>
                      <w:lang w:val="en-US" w:eastAsia="zh-CN"/>
                    </w:rPr>
                  </w:pPr>
                  <w:r>
                    <w:rPr>
                      <w:rFonts w:hint="eastAsia" w:ascii="Times New Roman" w:hAnsi="Times New Roman" w:eastAsia="宋体" w:cs="Times New Roman"/>
                      <w:b w:val="0"/>
                      <w:bCs w:val="0"/>
                      <w:sz w:val="21"/>
                      <w:szCs w:val="21"/>
                      <w:highlight w:val="none"/>
                      <w:lang w:val="en-US" w:eastAsia="zh-CN"/>
                    </w:rPr>
                    <w:t>VRF-1-1</w:t>
                  </w:r>
                </w:p>
              </w:tc>
              <w:tc>
                <w:tcPr>
                  <w:tcW w:w="348" w:type="pct"/>
                  <w:noWrap w:val="0"/>
                  <w:tcMar>
                    <w:left w:w="57" w:type="dxa"/>
                    <w:right w:w="57" w:type="dxa"/>
                  </w:tcMar>
                  <w:vAlign w:val="center"/>
                </w:tcPr>
                <w:p w14:paraId="0DED67CC">
                  <w:pPr>
                    <w:keepNext w:val="0"/>
                    <w:keepLines w:val="0"/>
                    <w:suppressLineNumbers w:val="0"/>
                    <w:snapToGrid w:val="0"/>
                    <w:spacing w:before="0" w:beforeAutospacing="0" w:after="0" w:afterAutospacing="0"/>
                    <w:ind w:left="0" w:right="0"/>
                    <w:jc w:val="center"/>
                    <w:rPr>
                      <w:rFonts w:hint="eastAsia" w:ascii="Times New Roman" w:hAnsi="Times New Roman" w:eastAsia="宋体" w:cs="Times New Roman"/>
                      <w:b w:val="0"/>
                      <w:bCs w:val="0"/>
                      <w:sz w:val="21"/>
                      <w:szCs w:val="21"/>
                      <w:highlight w:val="none"/>
                    </w:rPr>
                  </w:pPr>
                  <w:r>
                    <w:rPr>
                      <w:rFonts w:hint="eastAsia" w:ascii="Times New Roman" w:hAnsi="Times New Roman" w:eastAsia="宋体" w:cs="Times New Roman"/>
                      <w:b w:val="0"/>
                      <w:bCs w:val="0"/>
                      <w:sz w:val="21"/>
                      <w:szCs w:val="21"/>
                      <w:highlight w:val="none"/>
                    </w:rPr>
                    <w:t>/</w:t>
                  </w:r>
                </w:p>
              </w:tc>
              <w:tc>
                <w:tcPr>
                  <w:tcW w:w="353" w:type="pct"/>
                  <w:noWrap w:val="0"/>
                  <w:tcMar>
                    <w:left w:w="57" w:type="dxa"/>
                    <w:right w:w="57" w:type="dxa"/>
                  </w:tcMar>
                  <w:vAlign w:val="center"/>
                </w:tcPr>
                <w:p w14:paraId="76A68DEA">
                  <w:pPr>
                    <w:keepNext w:val="0"/>
                    <w:keepLines w:val="0"/>
                    <w:suppressLineNumbers w:val="0"/>
                    <w:spacing w:before="0" w:beforeAutospacing="0" w:after="0" w:afterAutospacing="0"/>
                    <w:ind w:left="0" w:right="0"/>
                    <w:jc w:val="center"/>
                    <w:rPr>
                      <w:rFonts w:hint="eastAsia" w:ascii="Times New Roman" w:hAnsi="Times New Roman" w:eastAsia="宋体" w:cs="Times New Roman"/>
                      <w:b w:val="0"/>
                      <w:bCs w:val="0"/>
                      <w:sz w:val="21"/>
                      <w:szCs w:val="21"/>
                      <w:highlight w:val="none"/>
                      <w:lang w:val="en-US" w:eastAsia="zh-CN"/>
                    </w:rPr>
                  </w:pPr>
                  <w:r>
                    <w:rPr>
                      <w:rFonts w:hint="eastAsia" w:ascii="Times New Roman" w:hAnsi="Times New Roman" w:eastAsia="宋体" w:cs="Times New Roman"/>
                      <w:b w:val="0"/>
                      <w:bCs w:val="0"/>
                      <w:sz w:val="21"/>
                      <w:szCs w:val="21"/>
                      <w:highlight w:val="none"/>
                      <w:lang w:val="en-US" w:eastAsia="zh-CN"/>
                    </w:rPr>
                    <w:t>-33</w:t>
                  </w:r>
                </w:p>
              </w:tc>
              <w:tc>
                <w:tcPr>
                  <w:tcW w:w="340" w:type="pct"/>
                  <w:noWrap w:val="0"/>
                  <w:tcMar>
                    <w:left w:w="57" w:type="dxa"/>
                    <w:right w:w="57" w:type="dxa"/>
                  </w:tcMar>
                  <w:vAlign w:val="center"/>
                </w:tcPr>
                <w:p w14:paraId="07FD1200">
                  <w:pPr>
                    <w:keepNext w:val="0"/>
                    <w:keepLines w:val="0"/>
                    <w:suppressLineNumbers w:val="0"/>
                    <w:spacing w:before="0" w:beforeAutospacing="0" w:after="0" w:afterAutospacing="0"/>
                    <w:ind w:left="0" w:right="0"/>
                    <w:jc w:val="center"/>
                    <w:rPr>
                      <w:rFonts w:hint="default" w:ascii="Times New Roman" w:hAnsi="Times New Roman" w:eastAsia="宋体" w:cs="Times New Roman"/>
                      <w:b w:val="0"/>
                      <w:bCs w:val="0"/>
                      <w:sz w:val="21"/>
                      <w:szCs w:val="21"/>
                      <w:highlight w:val="none"/>
                      <w:lang w:val="en-US" w:eastAsia="zh-CN"/>
                    </w:rPr>
                  </w:pPr>
                  <w:r>
                    <w:rPr>
                      <w:rFonts w:hint="eastAsia" w:ascii="Times New Roman" w:hAnsi="Times New Roman" w:eastAsia="宋体" w:cs="Times New Roman"/>
                      <w:b w:val="0"/>
                      <w:bCs w:val="0"/>
                      <w:sz w:val="21"/>
                      <w:szCs w:val="21"/>
                      <w:highlight w:val="none"/>
                      <w:lang w:val="en-US" w:eastAsia="zh-CN"/>
                    </w:rPr>
                    <w:t>149</w:t>
                  </w:r>
                </w:p>
              </w:tc>
              <w:tc>
                <w:tcPr>
                  <w:tcW w:w="339" w:type="pct"/>
                  <w:noWrap w:val="0"/>
                  <w:tcMar>
                    <w:left w:w="57" w:type="dxa"/>
                    <w:right w:w="57" w:type="dxa"/>
                  </w:tcMar>
                  <w:vAlign w:val="center"/>
                </w:tcPr>
                <w:p w14:paraId="20C8279B">
                  <w:pPr>
                    <w:keepNext w:val="0"/>
                    <w:keepLines w:val="0"/>
                    <w:suppressLineNumbers w:val="0"/>
                    <w:adjustRightInd w:val="0"/>
                    <w:snapToGrid w:val="0"/>
                    <w:spacing w:before="0" w:beforeAutospacing="0" w:after="0" w:afterAutospacing="0"/>
                    <w:ind w:left="0" w:right="0"/>
                    <w:jc w:val="center"/>
                    <w:rPr>
                      <w:rFonts w:hint="eastAsia" w:ascii="Times New Roman" w:hAnsi="Times New Roman" w:eastAsia="宋体" w:cs="Times New Roman"/>
                      <w:b w:val="0"/>
                      <w:bCs w:val="0"/>
                      <w:kern w:val="0"/>
                      <w:sz w:val="21"/>
                      <w:szCs w:val="21"/>
                      <w:highlight w:val="none"/>
                      <w:lang w:val="en-US" w:eastAsia="zh-CN"/>
                    </w:rPr>
                  </w:pPr>
                  <w:r>
                    <w:rPr>
                      <w:rFonts w:hint="eastAsia" w:ascii="Times New Roman" w:hAnsi="Times New Roman" w:eastAsia="宋体" w:cs="Times New Roman"/>
                      <w:b w:val="0"/>
                      <w:bCs w:val="0"/>
                      <w:kern w:val="0"/>
                      <w:sz w:val="21"/>
                      <w:szCs w:val="21"/>
                      <w:highlight w:val="none"/>
                      <w:lang w:val="en-US" w:eastAsia="zh-CN"/>
                    </w:rPr>
                    <w:t>25</w:t>
                  </w:r>
                </w:p>
              </w:tc>
              <w:tc>
                <w:tcPr>
                  <w:tcW w:w="666" w:type="pct"/>
                  <w:noWrap w:val="0"/>
                  <w:tcMar>
                    <w:left w:w="57" w:type="dxa"/>
                    <w:right w:w="57" w:type="dxa"/>
                  </w:tcMar>
                  <w:vAlign w:val="center"/>
                </w:tcPr>
                <w:p w14:paraId="51323BBB">
                  <w:pPr>
                    <w:keepNext w:val="0"/>
                    <w:keepLines w:val="0"/>
                    <w:suppressLineNumbers w:val="0"/>
                    <w:snapToGrid w:val="0"/>
                    <w:spacing w:before="0" w:beforeAutospacing="0" w:after="0" w:afterAutospacing="0"/>
                    <w:ind w:left="0" w:right="0"/>
                    <w:jc w:val="center"/>
                    <w:rPr>
                      <w:rFonts w:hint="eastAsia" w:ascii="Times New Roman" w:hAnsi="Times New Roman" w:eastAsia="宋体" w:cs="Times New Roman"/>
                      <w:b w:val="0"/>
                      <w:bCs w:val="0"/>
                      <w:sz w:val="21"/>
                      <w:szCs w:val="21"/>
                      <w:highlight w:val="none"/>
                    </w:rPr>
                  </w:pPr>
                  <w:r>
                    <w:rPr>
                      <w:rFonts w:hint="eastAsia" w:ascii="Times New Roman" w:hAnsi="Times New Roman" w:eastAsia="宋体" w:cs="Times New Roman"/>
                      <w:b w:val="0"/>
                      <w:bCs w:val="0"/>
                      <w:sz w:val="21"/>
                      <w:szCs w:val="21"/>
                      <w:highlight w:val="none"/>
                      <w:lang w:val="en-US" w:eastAsia="zh-CN"/>
                    </w:rPr>
                    <w:t>75</w:t>
                  </w:r>
                </w:p>
              </w:tc>
              <w:tc>
                <w:tcPr>
                  <w:tcW w:w="633" w:type="pct"/>
                  <w:vMerge w:val="continue"/>
                  <w:noWrap w:val="0"/>
                  <w:tcMar>
                    <w:left w:w="57" w:type="dxa"/>
                    <w:right w:w="57" w:type="dxa"/>
                  </w:tcMar>
                  <w:vAlign w:val="center"/>
                </w:tcPr>
                <w:p w14:paraId="08919F5F">
                  <w:pPr>
                    <w:keepNext w:val="0"/>
                    <w:keepLines w:val="0"/>
                    <w:suppressLineNumbers w:val="0"/>
                    <w:adjustRightInd w:val="0"/>
                    <w:snapToGrid w:val="0"/>
                    <w:spacing w:before="0" w:beforeAutospacing="0" w:after="0" w:afterAutospacing="0"/>
                    <w:ind w:left="0" w:right="0"/>
                    <w:rPr>
                      <w:rFonts w:hint="eastAsia" w:ascii="Times New Roman" w:hAnsi="Times New Roman" w:eastAsia="宋体" w:cs="Times New Roman"/>
                      <w:b w:val="0"/>
                      <w:bCs w:val="0"/>
                      <w:kern w:val="0"/>
                      <w:sz w:val="21"/>
                      <w:szCs w:val="21"/>
                      <w:highlight w:val="none"/>
                    </w:rPr>
                  </w:pPr>
                </w:p>
              </w:tc>
              <w:tc>
                <w:tcPr>
                  <w:tcW w:w="672" w:type="pct"/>
                  <w:vMerge w:val="continue"/>
                  <w:noWrap w:val="0"/>
                  <w:tcMar>
                    <w:left w:w="57" w:type="dxa"/>
                    <w:right w:w="57" w:type="dxa"/>
                  </w:tcMar>
                  <w:vAlign w:val="center"/>
                </w:tcPr>
                <w:p w14:paraId="52088494">
                  <w:pPr>
                    <w:keepNext w:val="0"/>
                    <w:keepLines w:val="0"/>
                    <w:suppressLineNumbers w:val="0"/>
                    <w:adjustRightInd w:val="0"/>
                    <w:snapToGrid w:val="0"/>
                    <w:spacing w:before="0" w:beforeAutospacing="0" w:after="0" w:afterAutospacing="0"/>
                    <w:ind w:left="0" w:right="0"/>
                    <w:jc w:val="center"/>
                    <w:rPr>
                      <w:rFonts w:hint="eastAsia" w:ascii="Times New Roman" w:hAnsi="Times New Roman" w:eastAsia="宋体" w:cs="Times New Roman"/>
                      <w:b w:val="0"/>
                      <w:bCs w:val="0"/>
                      <w:kern w:val="0"/>
                      <w:sz w:val="21"/>
                      <w:szCs w:val="21"/>
                      <w:highlight w:val="none"/>
                      <w:lang w:val="en-US" w:eastAsia="zh-CN"/>
                    </w:rPr>
                  </w:pPr>
                </w:p>
              </w:tc>
            </w:tr>
            <w:tr w14:paraId="1D4B999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c>
                <w:tcPr>
                  <w:tcW w:w="345" w:type="pct"/>
                  <w:noWrap w:val="0"/>
                  <w:tcMar>
                    <w:left w:w="57" w:type="dxa"/>
                    <w:right w:w="57" w:type="dxa"/>
                  </w:tcMar>
                  <w:vAlign w:val="center"/>
                </w:tcPr>
                <w:p w14:paraId="1DD66210">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b w:val="0"/>
                      <w:bCs w:val="0"/>
                      <w:kern w:val="0"/>
                      <w:sz w:val="21"/>
                      <w:szCs w:val="21"/>
                      <w:highlight w:val="none"/>
                      <w:lang w:val="en-US" w:eastAsia="zh-CN"/>
                    </w:rPr>
                  </w:pPr>
                  <w:r>
                    <w:rPr>
                      <w:rFonts w:hint="eastAsia" w:cs="Times New Roman"/>
                      <w:b w:val="0"/>
                      <w:bCs w:val="0"/>
                      <w:kern w:val="0"/>
                      <w:sz w:val="21"/>
                      <w:szCs w:val="21"/>
                      <w:highlight w:val="none"/>
                      <w:lang w:val="en-US" w:eastAsia="zh-CN"/>
                    </w:rPr>
                    <w:t>20</w:t>
                  </w:r>
                </w:p>
              </w:tc>
              <w:tc>
                <w:tcPr>
                  <w:tcW w:w="453" w:type="pct"/>
                  <w:vMerge w:val="continue"/>
                  <w:noWrap w:val="0"/>
                  <w:tcMar>
                    <w:left w:w="57" w:type="dxa"/>
                    <w:right w:w="57" w:type="dxa"/>
                  </w:tcMar>
                  <w:vAlign w:val="center"/>
                </w:tcPr>
                <w:p w14:paraId="5630AE03">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b w:val="0"/>
                      <w:bCs w:val="0"/>
                      <w:sz w:val="21"/>
                      <w:szCs w:val="21"/>
                      <w:highlight w:val="none"/>
                      <w:lang w:val="en-US" w:eastAsia="zh-CN"/>
                    </w:rPr>
                  </w:pPr>
                </w:p>
              </w:tc>
              <w:tc>
                <w:tcPr>
                  <w:tcW w:w="845" w:type="pct"/>
                  <w:noWrap w:val="0"/>
                  <w:tcMar>
                    <w:left w:w="57" w:type="dxa"/>
                    <w:right w:w="57" w:type="dxa"/>
                  </w:tcMar>
                  <w:vAlign w:val="center"/>
                </w:tcPr>
                <w:p w14:paraId="56C553FD">
                  <w:pPr>
                    <w:keepNext w:val="0"/>
                    <w:keepLines w:val="0"/>
                    <w:suppressLineNumbers w:val="0"/>
                    <w:adjustRightInd w:val="0"/>
                    <w:snapToGrid w:val="0"/>
                    <w:spacing w:before="0" w:beforeAutospacing="0" w:after="0" w:afterAutospacing="0"/>
                    <w:ind w:left="0" w:right="0"/>
                    <w:jc w:val="center"/>
                    <w:rPr>
                      <w:rFonts w:hint="eastAsia" w:ascii="Times New Roman" w:hAnsi="Times New Roman" w:eastAsia="宋体" w:cs="Times New Roman"/>
                      <w:b w:val="0"/>
                      <w:bCs w:val="0"/>
                      <w:sz w:val="21"/>
                      <w:szCs w:val="21"/>
                      <w:highlight w:val="none"/>
                      <w:lang w:val="en-US" w:eastAsia="zh-CN"/>
                    </w:rPr>
                  </w:pPr>
                  <w:r>
                    <w:rPr>
                      <w:rFonts w:hint="eastAsia" w:ascii="Times New Roman" w:hAnsi="Times New Roman" w:eastAsia="宋体" w:cs="Times New Roman"/>
                      <w:b w:val="0"/>
                      <w:bCs w:val="0"/>
                      <w:sz w:val="21"/>
                      <w:szCs w:val="21"/>
                      <w:highlight w:val="none"/>
                      <w:lang w:val="en-US" w:eastAsia="zh-CN"/>
                    </w:rPr>
                    <w:t>VRF-2-2</w:t>
                  </w:r>
                </w:p>
              </w:tc>
              <w:tc>
                <w:tcPr>
                  <w:tcW w:w="348" w:type="pct"/>
                  <w:noWrap w:val="0"/>
                  <w:tcMar>
                    <w:left w:w="57" w:type="dxa"/>
                    <w:right w:w="57" w:type="dxa"/>
                  </w:tcMar>
                  <w:vAlign w:val="center"/>
                </w:tcPr>
                <w:p w14:paraId="50189A15">
                  <w:pPr>
                    <w:keepNext w:val="0"/>
                    <w:keepLines w:val="0"/>
                    <w:suppressLineNumbers w:val="0"/>
                    <w:snapToGrid w:val="0"/>
                    <w:spacing w:before="0" w:beforeAutospacing="0" w:after="0" w:afterAutospacing="0"/>
                    <w:ind w:left="0" w:right="0"/>
                    <w:jc w:val="center"/>
                    <w:rPr>
                      <w:rFonts w:hint="eastAsia" w:ascii="Times New Roman" w:hAnsi="Times New Roman" w:eastAsia="宋体" w:cs="Times New Roman"/>
                      <w:b w:val="0"/>
                      <w:bCs w:val="0"/>
                      <w:sz w:val="21"/>
                      <w:szCs w:val="21"/>
                      <w:highlight w:val="none"/>
                    </w:rPr>
                  </w:pPr>
                  <w:r>
                    <w:rPr>
                      <w:rFonts w:hint="eastAsia" w:ascii="Times New Roman" w:hAnsi="Times New Roman" w:eastAsia="宋体" w:cs="Times New Roman"/>
                      <w:b w:val="0"/>
                      <w:bCs w:val="0"/>
                      <w:sz w:val="21"/>
                      <w:szCs w:val="21"/>
                      <w:highlight w:val="none"/>
                    </w:rPr>
                    <w:t>/</w:t>
                  </w:r>
                </w:p>
              </w:tc>
              <w:tc>
                <w:tcPr>
                  <w:tcW w:w="353" w:type="pct"/>
                  <w:noWrap w:val="0"/>
                  <w:tcMar>
                    <w:left w:w="57" w:type="dxa"/>
                    <w:right w:w="57" w:type="dxa"/>
                  </w:tcMar>
                  <w:vAlign w:val="center"/>
                </w:tcPr>
                <w:p w14:paraId="3139BAE6">
                  <w:pPr>
                    <w:keepNext w:val="0"/>
                    <w:keepLines w:val="0"/>
                    <w:suppressLineNumbers w:val="0"/>
                    <w:spacing w:before="0" w:beforeAutospacing="0" w:after="0" w:afterAutospacing="0"/>
                    <w:ind w:left="0" w:right="0"/>
                    <w:jc w:val="center"/>
                    <w:rPr>
                      <w:rFonts w:hint="eastAsia" w:ascii="Times New Roman" w:hAnsi="Times New Roman" w:eastAsia="宋体" w:cs="Times New Roman"/>
                      <w:b w:val="0"/>
                      <w:bCs w:val="0"/>
                      <w:sz w:val="21"/>
                      <w:szCs w:val="21"/>
                      <w:highlight w:val="none"/>
                      <w:lang w:val="en-US" w:eastAsia="zh-CN"/>
                    </w:rPr>
                  </w:pPr>
                  <w:r>
                    <w:rPr>
                      <w:rFonts w:hint="eastAsia" w:ascii="Times New Roman" w:hAnsi="Times New Roman" w:eastAsia="宋体" w:cs="Times New Roman"/>
                      <w:b w:val="0"/>
                      <w:bCs w:val="0"/>
                      <w:sz w:val="21"/>
                      <w:szCs w:val="21"/>
                      <w:highlight w:val="none"/>
                      <w:lang w:val="en-US" w:eastAsia="zh-CN"/>
                    </w:rPr>
                    <w:t>-33</w:t>
                  </w:r>
                </w:p>
              </w:tc>
              <w:tc>
                <w:tcPr>
                  <w:tcW w:w="340" w:type="pct"/>
                  <w:noWrap w:val="0"/>
                  <w:tcMar>
                    <w:left w:w="57" w:type="dxa"/>
                    <w:right w:w="57" w:type="dxa"/>
                  </w:tcMar>
                  <w:vAlign w:val="center"/>
                </w:tcPr>
                <w:p w14:paraId="58BA1A8E">
                  <w:pPr>
                    <w:keepNext w:val="0"/>
                    <w:keepLines w:val="0"/>
                    <w:suppressLineNumbers w:val="0"/>
                    <w:spacing w:before="0" w:beforeAutospacing="0" w:after="0" w:afterAutospacing="0"/>
                    <w:ind w:left="0" w:right="0"/>
                    <w:jc w:val="center"/>
                    <w:rPr>
                      <w:rFonts w:hint="default" w:ascii="Times New Roman" w:hAnsi="Times New Roman" w:eastAsia="宋体" w:cs="Times New Roman"/>
                      <w:b w:val="0"/>
                      <w:bCs w:val="0"/>
                      <w:sz w:val="21"/>
                      <w:szCs w:val="21"/>
                      <w:highlight w:val="none"/>
                      <w:lang w:val="en-US" w:eastAsia="zh-CN"/>
                    </w:rPr>
                  </w:pPr>
                  <w:r>
                    <w:rPr>
                      <w:rFonts w:hint="eastAsia" w:ascii="Times New Roman" w:hAnsi="Times New Roman" w:eastAsia="宋体" w:cs="Times New Roman"/>
                      <w:b w:val="0"/>
                      <w:bCs w:val="0"/>
                      <w:sz w:val="21"/>
                      <w:szCs w:val="21"/>
                      <w:highlight w:val="none"/>
                      <w:lang w:val="en-US" w:eastAsia="zh-CN"/>
                    </w:rPr>
                    <w:t>150</w:t>
                  </w:r>
                </w:p>
              </w:tc>
              <w:tc>
                <w:tcPr>
                  <w:tcW w:w="339" w:type="pct"/>
                  <w:noWrap w:val="0"/>
                  <w:tcMar>
                    <w:left w:w="57" w:type="dxa"/>
                    <w:right w:w="57" w:type="dxa"/>
                  </w:tcMar>
                  <w:vAlign w:val="center"/>
                </w:tcPr>
                <w:p w14:paraId="0A672354">
                  <w:pPr>
                    <w:keepNext w:val="0"/>
                    <w:keepLines w:val="0"/>
                    <w:suppressLineNumbers w:val="0"/>
                    <w:adjustRightInd w:val="0"/>
                    <w:snapToGrid w:val="0"/>
                    <w:spacing w:before="0" w:beforeAutospacing="0" w:after="0" w:afterAutospacing="0"/>
                    <w:ind w:left="0" w:right="0"/>
                    <w:jc w:val="center"/>
                    <w:rPr>
                      <w:rFonts w:hint="eastAsia" w:ascii="Times New Roman" w:hAnsi="Times New Roman" w:eastAsia="宋体" w:cs="Times New Roman"/>
                      <w:b w:val="0"/>
                      <w:bCs w:val="0"/>
                      <w:kern w:val="0"/>
                      <w:sz w:val="21"/>
                      <w:szCs w:val="21"/>
                      <w:highlight w:val="none"/>
                      <w:lang w:val="en-US" w:eastAsia="zh-CN"/>
                    </w:rPr>
                  </w:pPr>
                  <w:r>
                    <w:rPr>
                      <w:rFonts w:hint="eastAsia" w:ascii="Times New Roman" w:hAnsi="Times New Roman" w:eastAsia="宋体" w:cs="Times New Roman"/>
                      <w:b w:val="0"/>
                      <w:bCs w:val="0"/>
                      <w:kern w:val="0"/>
                      <w:sz w:val="21"/>
                      <w:szCs w:val="21"/>
                      <w:highlight w:val="none"/>
                      <w:lang w:val="en-US" w:eastAsia="zh-CN"/>
                    </w:rPr>
                    <w:t>25</w:t>
                  </w:r>
                </w:p>
              </w:tc>
              <w:tc>
                <w:tcPr>
                  <w:tcW w:w="666" w:type="pct"/>
                  <w:noWrap w:val="0"/>
                  <w:tcMar>
                    <w:left w:w="57" w:type="dxa"/>
                    <w:right w:w="57" w:type="dxa"/>
                  </w:tcMar>
                  <w:vAlign w:val="center"/>
                </w:tcPr>
                <w:p w14:paraId="12504FE4">
                  <w:pPr>
                    <w:keepNext w:val="0"/>
                    <w:keepLines w:val="0"/>
                    <w:suppressLineNumbers w:val="0"/>
                    <w:snapToGrid w:val="0"/>
                    <w:spacing w:before="0" w:beforeAutospacing="0" w:after="0" w:afterAutospacing="0"/>
                    <w:ind w:left="0" w:right="0"/>
                    <w:jc w:val="center"/>
                    <w:rPr>
                      <w:rFonts w:hint="eastAsia" w:ascii="Times New Roman" w:hAnsi="Times New Roman" w:eastAsia="宋体" w:cs="Times New Roman"/>
                      <w:b w:val="0"/>
                      <w:bCs w:val="0"/>
                      <w:sz w:val="21"/>
                      <w:szCs w:val="21"/>
                      <w:highlight w:val="none"/>
                    </w:rPr>
                  </w:pPr>
                  <w:r>
                    <w:rPr>
                      <w:rFonts w:hint="eastAsia" w:ascii="Times New Roman" w:hAnsi="Times New Roman" w:eastAsia="宋体" w:cs="Times New Roman"/>
                      <w:b w:val="0"/>
                      <w:bCs w:val="0"/>
                      <w:sz w:val="21"/>
                      <w:szCs w:val="21"/>
                      <w:highlight w:val="none"/>
                      <w:lang w:val="en-US" w:eastAsia="zh-CN"/>
                    </w:rPr>
                    <w:t>75</w:t>
                  </w:r>
                </w:p>
              </w:tc>
              <w:tc>
                <w:tcPr>
                  <w:tcW w:w="633" w:type="pct"/>
                  <w:vMerge w:val="continue"/>
                  <w:noWrap w:val="0"/>
                  <w:tcMar>
                    <w:left w:w="57" w:type="dxa"/>
                    <w:right w:w="57" w:type="dxa"/>
                  </w:tcMar>
                  <w:vAlign w:val="center"/>
                </w:tcPr>
                <w:p w14:paraId="7ACD92B9">
                  <w:pPr>
                    <w:keepNext w:val="0"/>
                    <w:keepLines w:val="0"/>
                    <w:suppressLineNumbers w:val="0"/>
                    <w:adjustRightInd w:val="0"/>
                    <w:snapToGrid w:val="0"/>
                    <w:spacing w:before="0" w:beforeAutospacing="0" w:after="0" w:afterAutospacing="0"/>
                    <w:ind w:left="0" w:right="0"/>
                    <w:rPr>
                      <w:rFonts w:hint="eastAsia" w:ascii="Times New Roman" w:hAnsi="Times New Roman" w:eastAsia="宋体" w:cs="Times New Roman"/>
                      <w:b w:val="0"/>
                      <w:bCs w:val="0"/>
                      <w:kern w:val="0"/>
                      <w:sz w:val="21"/>
                      <w:szCs w:val="21"/>
                      <w:highlight w:val="none"/>
                    </w:rPr>
                  </w:pPr>
                </w:p>
              </w:tc>
              <w:tc>
                <w:tcPr>
                  <w:tcW w:w="672" w:type="pct"/>
                  <w:vMerge w:val="continue"/>
                  <w:noWrap w:val="0"/>
                  <w:tcMar>
                    <w:left w:w="57" w:type="dxa"/>
                    <w:right w:w="57" w:type="dxa"/>
                  </w:tcMar>
                  <w:vAlign w:val="center"/>
                </w:tcPr>
                <w:p w14:paraId="5A2F0A8F">
                  <w:pPr>
                    <w:keepNext w:val="0"/>
                    <w:keepLines w:val="0"/>
                    <w:suppressLineNumbers w:val="0"/>
                    <w:adjustRightInd w:val="0"/>
                    <w:snapToGrid w:val="0"/>
                    <w:spacing w:before="0" w:beforeAutospacing="0" w:after="0" w:afterAutospacing="0"/>
                    <w:ind w:left="0" w:right="0"/>
                    <w:jc w:val="center"/>
                    <w:rPr>
                      <w:rFonts w:hint="eastAsia" w:ascii="Times New Roman" w:hAnsi="Times New Roman" w:eastAsia="宋体" w:cs="Times New Roman"/>
                      <w:b w:val="0"/>
                      <w:bCs w:val="0"/>
                      <w:kern w:val="0"/>
                      <w:sz w:val="21"/>
                      <w:szCs w:val="21"/>
                      <w:highlight w:val="none"/>
                      <w:lang w:val="en-US" w:eastAsia="zh-CN"/>
                    </w:rPr>
                  </w:pPr>
                </w:p>
              </w:tc>
            </w:tr>
            <w:tr w14:paraId="725C715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c>
                <w:tcPr>
                  <w:tcW w:w="345" w:type="pct"/>
                  <w:noWrap w:val="0"/>
                  <w:tcMar>
                    <w:left w:w="57" w:type="dxa"/>
                    <w:right w:w="57" w:type="dxa"/>
                  </w:tcMar>
                  <w:vAlign w:val="center"/>
                </w:tcPr>
                <w:p w14:paraId="7F002843">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b w:val="0"/>
                      <w:bCs w:val="0"/>
                      <w:kern w:val="0"/>
                      <w:sz w:val="21"/>
                      <w:szCs w:val="21"/>
                      <w:highlight w:val="none"/>
                      <w:lang w:val="en-US" w:eastAsia="zh-CN"/>
                    </w:rPr>
                  </w:pPr>
                  <w:r>
                    <w:rPr>
                      <w:rFonts w:hint="eastAsia" w:cs="Times New Roman"/>
                      <w:b w:val="0"/>
                      <w:bCs w:val="0"/>
                      <w:kern w:val="0"/>
                      <w:sz w:val="21"/>
                      <w:szCs w:val="21"/>
                      <w:highlight w:val="none"/>
                      <w:lang w:val="en-US" w:eastAsia="zh-CN"/>
                    </w:rPr>
                    <w:t>21</w:t>
                  </w:r>
                </w:p>
              </w:tc>
              <w:tc>
                <w:tcPr>
                  <w:tcW w:w="453" w:type="pct"/>
                  <w:vMerge w:val="continue"/>
                  <w:noWrap w:val="0"/>
                  <w:tcMar>
                    <w:left w:w="57" w:type="dxa"/>
                    <w:right w:w="57" w:type="dxa"/>
                  </w:tcMar>
                  <w:vAlign w:val="center"/>
                </w:tcPr>
                <w:p w14:paraId="13319898">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b w:val="0"/>
                      <w:bCs w:val="0"/>
                      <w:sz w:val="21"/>
                      <w:szCs w:val="21"/>
                      <w:highlight w:val="none"/>
                      <w:lang w:val="en-US" w:eastAsia="zh-CN"/>
                    </w:rPr>
                  </w:pPr>
                </w:p>
              </w:tc>
              <w:tc>
                <w:tcPr>
                  <w:tcW w:w="845" w:type="pct"/>
                  <w:noWrap w:val="0"/>
                  <w:tcMar>
                    <w:left w:w="57" w:type="dxa"/>
                    <w:right w:w="57" w:type="dxa"/>
                  </w:tcMar>
                  <w:vAlign w:val="center"/>
                </w:tcPr>
                <w:p w14:paraId="38621A30">
                  <w:pPr>
                    <w:keepNext w:val="0"/>
                    <w:keepLines w:val="0"/>
                    <w:suppressLineNumbers w:val="0"/>
                    <w:adjustRightInd w:val="0"/>
                    <w:snapToGrid w:val="0"/>
                    <w:spacing w:before="0" w:beforeAutospacing="0" w:after="0" w:afterAutospacing="0"/>
                    <w:ind w:left="0" w:right="0"/>
                    <w:jc w:val="center"/>
                    <w:rPr>
                      <w:rFonts w:hint="eastAsia" w:ascii="Times New Roman" w:hAnsi="Times New Roman" w:eastAsia="宋体" w:cs="Times New Roman"/>
                      <w:b w:val="0"/>
                      <w:bCs w:val="0"/>
                      <w:sz w:val="21"/>
                      <w:szCs w:val="21"/>
                      <w:highlight w:val="none"/>
                      <w:lang w:val="en-US" w:eastAsia="zh-CN"/>
                    </w:rPr>
                  </w:pPr>
                  <w:r>
                    <w:rPr>
                      <w:rFonts w:hint="eastAsia" w:ascii="Times New Roman" w:hAnsi="Times New Roman" w:eastAsia="宋体" w:cs="Times New Roman"/>
                      <w:b w:val="0"/>
                      <w:bCs w:val="0"/>
                      <w:sz w:val="21"/>
                      <w:szCs w:val="21"/>
                      <w:highlight w:val="none"/>
                      <w:lang w:val="en-US" w:eastAsia="zh-CN"/>
                    </w:rPr>
                    <w:t>VRF-3-3</w:t>
                  </w:r>
                </w:p>
              </w:tc>
              <w:tc>
                <w:tcPr>
                  <w:tcW w:w="348" w:type="pct"/>
                  <w:noWrap w:val="0"/>
                  <w:tcMar>
                    <w:left w:w="57" w:type="dxa"/>
                    <w:right w:w="57" w:type="dxa"/>
                  </w:tcMar>
                  <w:vAlign w:val="center"/>
                </w:tcPr>
                <w:p w14:paraId="7048FF7F">
                  <w:pPr>
                    <w:keepNext w:val="0"/>
                    <w:keepLines w:val="0"/>
                    <w:suppressLineNumbers w:val="0"/>
                    <w:snapToGrid w:val="0"/>
                    <w:spacing w:before="0" w:beforeAutospacing="0" w:after="0" w:afterAutospacing="0"/>
                    <w:ind w:left="0" w:right="0"/>
                    <w:jc w:val="center"/>
                    <w:rPr>
                      <w:rFonts w:hint="eastAsia" w:ascii="Times New Roman" w:hAnsi="Times New Roman" w:eastAsia="宋体" w:cs="Times New Roman"/>
                      <w:b w:val="0"/>
                      <w:bCs w:val="0"/>
                      <w:sz w:val="21"/>
                      <w:szCs w:val="21"/>
                      <w:highlight w:val="none"/>
                    </w:rPr>
                  </w:pPr>
                  <w:r>
                    <w:rPr>
                      <w:rFonts w:hint="eastAsia" w:ascii="Times New Roman" w:hAnsi="Times New Roman" w:eastAsia="宋体" w:cs="Times New Roman"/>
                      <w:b w:val="0"/>
                      <w:bCs w:val="0"/>
                      <w:sz w:val="21"/>
                      <w:szCs w:val="21"/>
                      <w:highlight w:val="none"/>
                    </w:rPr>
                    <w:t>/</w:t>
                  </w:r>
                </w:p>
              </w:tc>
              <w:tc>
                <w:tcPr>
                  <w:tcW w:w="353" w:type="pct"/>
                  <w:noWrap w:val="0"/>
                  <w:tcMar>
                    <w:left w:w="57" w:type="dxa"/>
                    <w:right w:w="57" w:type="dxa"/>
                  </w:tcMar>
                  <w:vAlign w:val="center"/>
                </w:tcPr>
                <w:p w14:paraId="47317E16">
                  <w:pPr>
                    <w:keepNext w:val="0"/>
                    <w:keepLines w:val="0"/>
                    <w:suppressLineNumbers w:val="0"/>
                    <w:spacing w:before="0" w:beforeAutospacing="0" w:after="0" w:afterAutospacing="0"/>
                    <w:ind w:left="0" w:right="0"/>
                    <w:jc w:val="center"/>
                    <w:rPr>
                      <w:rFonts w:hint="default" w:ascii="Times New Roman" w:hAnsi="Times New Roman" w:eastAsia="宋体" w:cs="Times New Roman"/>
                      <w:b w:val="0"/>
                      <w:bCs w:val="0"/>
                      <w:sz w:val="21"/>
                      <w:szCs w:val="21"/>
                      <w:highlight w:val="none"/>
                      <w:lang w:val="en-US" w:eastAsia="zh-CN"/>
                    </w:rPr>
                  </w:pPr>
                  <w:r>
                    <w:rPr>
                      <w:rFonts w:hint="eastAsia" w:ascii="Times New Roman" w:hAnsi="Times New Roman" w:eastAsia="宋体" w:cs="Times New Roman"/>
                      <w:b w:val="0"/>
                      <w:bCs w:val="0"/>
                      <w:sz w:val="21"/>
                      <w:szCs w:val="21"/>
                      <w:highlight w:val="none"/>
                      <w:lang w:val="en-US" w:eastAsia="zh-CN"/>
                    </w:rPr>
                    <w:t>-31</w:t>
                  </w:r>
                </w:p>
              </w:tc>
              <w:tc>
                <w:tcPr>
                  <w:tcW w:w="340" w:type="pct"/>
                  <w:noWrap w:val="0"/>
                  <w:tcMar>
                    <w:left w:w="57" w:type="dxa"/>
                    <w:right w:w="57" w:type="dxa"/>
                  </w:tcMar>
                  <w:vAlign w:val="center"/>
                </w:tcPr>
                <w:p w14:paraId="4DA26A9B">
                  <w:pPr>
                    <w:keepNext w:val="0"/>
                    <w:keepLines w:val="0"/>
                    <w:suppressLineNumbers w:val="0"/>
                    <w:spacing w:before="0" w:beforeAutospacing="0" w:after="0" w:afterAutospacing="0"/>
                    <w:ind w:left="0" w:right="0"/>
                    <w:jc w:val="center"/>
                    <w:rPr>
                      <w:rFonts w:hint="default" w:ascii="Times New Roman" w:hAnsi="Times New Roman" w:eastAsia="宋体" w:cs="Times New Roman"/>
                      <w:b w:val="0"/>
                      <w:bCs w:val="0"/>
                      <w:sz w:val="21"/>
                      <w:szCs w:val="21"/>
                      <w:highlight w:val="none"/>
                      <w:lang w:val="en-US" w:eastAsia="zh-CN"/>
                    </w:rPr>
                  </w:pPr>
                  <w:r>
                    <w:rPr>
                      <w:rFonts w:hint="eastAsia" w:ascii="Times New Roman" w:hAnsi="Times New Roman" w:eastAsia="宋体" w:cs="Times New Roman"/>
                      <w:b w:val="0"/>
                      <w:bCs w:val="0"/>
                      <w:sz w:val="21"/>
                      <w:szCs w:val="21"/>
                      <w:highlight w:val="none"/>
                      <w:lang w:val="en-US" w:eastAsia="zh-CN"/>
                    </w:rPr>
                    <w:t>147</w:t>
                  </w:r>
                </w:p>
              </w:tc>
              <w:tc>
                <w:tcPr>
                  <w:tcW w:w="339" w:type="pct"/>
                  <w:noWrap w:val="0"/>
                  <w:tcMar>
                    <w:left w:w="57" w:type="dxa"/>
                    <w:right w:w="57" w:type="dxa"/>
                  </w:tcMar>
                  <w:vAlign w:val="center"/>
                </w:tcPr>
                <w:p w14:paraId="28C096EE">
                  <w:pPr>
                    <w:keepNext w:val="0"/>
                    <w:keepLines w:val="0"/>
                    <w:suppressLineNumbers w:val="0"/>
                    <w:adjustRightInd w:val="0"/>
                    <w:snapToGrid w:val="0"/>
                    <w:spacing w:before="0" w:beforeAutospacing="0" w:after="0" w:afterAutospacing="0"/>
                    <w:ind w:left="0" w:right="0"/>
                    <w:jc w:val="center"/>
                    <w:rPr>
                      <w:rFonts w:hint="eastAsia" w:ascii="Times New Roman" w:hAnsi="Times New Roman" w:eastAsia="宋体" w:cs="Times New Roman"/>
                      <w:b w:val="0"/>
                      <w:bCs w:val="0"/>
                      <w:kern w:val="0"/>
                      <w:sz w:val="21"/>
                      <w:szCs w:val="21"/>
                      <w:highlight w:val="none"/>
                      <w:lang w:val="en-US" w:eastAsia="zh-CN"/>
                    </w:rPr>
                  </w:pPr>
                  <w:r>
                    <w:rPr>
                      <w:rFonts w:hint="eastAsia" w:ascii="Times New Roman" w:hAnsi="Times New Roman" w:eastAsia="宋体" w:cs="Times New Roman"/>
                      <w:b w:val="0"/>
                      <w:bCs w:val="0"/>
                      <w:kern w:val="0"/>
                      <w:sz w:val="21"/>
                      <w:szCs w:val="21"/>
                      <w:highlight w:val="none"/>
                      <w:lang w:val="en-US" w:eastAsia="zh-CN"/>
                    </w:rPr>
                    <w:t>25</w:t>
                  </w:r>
                </w:p>
              </w:tc>
              <w:tc>
                <w:tcPr>
                  <w:tcW w:w="666" w:type="pct"/>
                  <w:noWrap w:val="0"/>
                  <w:tcMar>
                    <w:left w:w="57" w:type="dxa"/>
                    <w:right w:w="57" w:type="dxa"/>
                  </w:tcMar>
                  <w:vAlign w:val="center"/>
                </w:tcPr>
                <w:p w14:paraId="6E615CA2">
                  <w:pPr>
                    <w:keepNext w:val="0"/>
                    <w:keepLines w:val="0"/>
                    <w:suppressLineNumbers w:val="0"/>
                    <w:snapToGrid w:val="0"/>
                    <w:spacing w:before="0" w:beforeAutospacing="0" w:after="0" w:afterAutospacing="0"/>
                    <w:ind w:left="0" w:right="0"/>
                    <w:jc w:val="center"/>
                    <w:rPr>
                      <w:rFonts w:hint="eastAsia" w:ascii="Times New Roman" w:hAnsi="Times New Roman" w:eastAsia="宋体" w:cs="Times New Roman"/>
                      <w:b w:val="0"/>
                      <w:bCs w:val="0"/>
                      <w:sz w:val="21"/>
                      <w:szCs w:val="21"/>
                      <w:highlight w:val="none"/>
                    </w:rPr>
                  </w:pPr>
                  <w:r>
                    <w:rPr>
                      <w:rFonts w:hint="eastAsia" w:ascii="Times New Roman" w:hAnsi="Times New Roman" w:eastAsia="宋体" w:cs="Times New Roman"/>
                      <w:b w:val="0"/>
                      <w:bCs w:val="0"/>
                      <w:sz w:val="21"/>
                      <w:szCs w:val="21"/>
                      <w:highlight w:val="none"/>
                      <w:lang w:val="en-US" w:eastAsia="zh-CN"/>
                    </w:rPr>
                    <w:t>75</w:t>
                  </w:r>
                </w:p>
              </w:tc>
              <w:tc>
                <w:tcPr>
                  <w:tcW w:w="633" w:type="pct"/>
                  <w:vMerge w:val="continue"/>
                  <w:noWrap w:val="0"/>
                  <w:tcMar>
                    <w:left w:w="57" w:type="dxa"/>
                    <w:right w:w="57" w:type="dxa"/>
                  </w:tcMar>
                  <w:vAlign w:val="center"/>
                </w:tcPr>
                <w:p w14:paraId="225A066B">
                  <w:pPr>
                    <w:keepNext w:val="0"/>
                    <w:keepLines w:val="0"/>
                    <w:suppressLineNumbers w:val="0"/>
                    <w:adjustRightInd w:val="0"/>
                    <w:snapToGrid w:val="0"/>
                    <w:spacing w:before="0" w:beforeAutospacing="0" w:after="0" w:afterAutospacing="0"/>
                    <w:ind w:left="0" w:right="0"/>
                    <w:rPr>
                      <w:rFonts w:hint="eastAsia" w:ascii="Times New Roman" w:hAnsi="Times New Roman" w:eastAsia="宋体" w:cs="Times New Roman"/>
                      <w:b w:val="0"/>
                      <w:bCs w:val="0"/>
                      <w:kern w:val="0"/>
                      <w:sz w:val="21"/>
                      <w:szCs w:val="21"/>
                      <w:highlight w:val="none"/>
                    </w:rPr>
                  </w:pPr>
                </w:p>
              </w:tc>
              <w:tc>
                <w:tcPr>
                  <w:tcW w:w="672" w:type="pct"/>
                  <w:vMerge w:val="continue"/>
                  <w:noWrap w:val="0"/>
                  <w:tcMar>
                    <w:left w:w="57" w:type="dxa"/>
                    <w:right w:w="57" w:type="dxa"/>
                  </w:tcMar>
                  <w:vAlign w:val="center"/>
                </w:tcPr>
                <w:p w14:paraId="62C5B35D">
                  <w:pPr>
                    <w:keepNext w:val="0"/>
                    <w:keepLines w:val="0"/>
                    <w:suppressLineNumbers w:val="0"/>
                    <w:adjustRightInd w:val="0"/>
                    <w:snapToGrid w:val="0"/>
                    <w:spacing w:before="0" w:beforeAutospacing="0" w:after="0" w:afterAutospacing="0"/>
                    <w:ind w:left="0" w:right="0"/>
                    <w:jc w:val="center"/>
                    <w:rPr>
                      <w:rFonts w:hint="eastAsia" w:ascii="Times New Roman" w:hAnsi="Times New Roman" w:eastAsia="宋体" w:cs="Times New Roman"/>
                      <w:b w:val="0"/>
                      <w:bCs w:val="0"/>
                      <w:kern w:val="0"/>
                      <w:sz w:val="21"/>
                      <w:szCs w:val="21"/>
                      <w:highlight w:val="none"/>
                      <w:lang w:val="en-US" w:eastAsia="zh-CN"/>
                    </w:rPr>
                  </w:pPr>
                </w:p>
              </w:tc>
            </w:tr>
            <w:tr w14:paraId="5CDF811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c>
                <w:tcPr>
                  <w:tcW w:w="345" w:type="pct"/>
                  <w:noWrap w:val="0"/>
                  <w:tcMar>
                    <w:left w:w="57" w:type="dxa"/>
                    <w:right w:w="57" w:type="dxa"/>
                  </w:tcMar>
                  <w:vAlign w:val="center"/>
                </w:tcPr>
                <w:p w14:paraId="3E6553C9">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b w:val="0"/>
                      <w:bCs w:val="0"/>
                      <w:kern w:val="0"/>
                      <w:sz w:val="21"/>
                      <w:szCs w:val="21"/>
                      <w:highlight w:val="none"/>
                      <w:lang w:val="en-US" w:eastAsia="zh-CN"/>
                    </w:rPr>
                  </w:pPr>
                  <w:r>
                    <w:rPr>
                      <w:rFonts w:hint="eastAsia" w:cs="Times New Roman"/>
                      <w:b w:val="0"/>
                      <w:bCs w:val="0"/>
                      <w:kern w:val="0"/>
                      <w:sz w:val="21"/>
                      <w:szCs w:val="21"/>
                      <w:highlight w:val="none"/>
                      <w:lang w:val="en-US" w:eastAsia="zh-CN"/>
                    </w:rPr>
                    <w:t>22</w:t>
                  </w:r>
                </w:p>
              </w:tc>
              <w:tc>
                <w:tcPr>
                  <w:tcW w:w="453" w:type="pct"/>
                  <w:vMerge w:val="continue"/>
                  <w:noWrap w:val="0"/>
                  <w:tcMar>
                    <w:left w:w="57" w:type="dxa"/>
                    <w:right w:w="57" w:type="dxa"/>
                  </w:tcMar>
                  <w:vAlign w:val="center"/>
                </w:tcPr>
                <w:p w14:paraId="4C99F78B">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b w:val="0"/>
                      <w:bCs w:val="0"/>
                      <w:sz w:val="21"/>
                      <w:szCs w:val="21"/>
                      <w:highlight w:val="none"/>
                      <w:lang w:val="en-US" w:eastAsia="zh-CN"/>
                    </w:rPr>
                  </w:pPr>
                </w:p>
              </w:tc>
              <w:tc>
                <w:tcPr>
                  <w:tcW w:w="845" w:type="pct"/>
                  <w:noWrap w:val="0"/>
                  <w:tcMar>
                    <w:left w:w="57" w:type="dxa"/>
                    <w:right w:w="57" w:type="dxa"/>
                  </w:tcMar>
                  <w:vAlign w:val="center"/>
                </w:tcPr>
                <w:p w14:paraId="7398E7E3">
                  <w:pPr>
                    <w:keepNext w:val="0"/>
                    <w:keepLines w:val="0"/>
                    <w:suppressLineNumbers w:val="0"/>
                    <w:adjustRightInd w:val="0"/>
                    <w:snapToGrid w:val="0"/>
                    <w:spacing w:before="0" w:beforeAutospacing="0" w:after="0" w:afterAutospacing="0"/>
                    <w:ind w:left="0" w:right="0"/>
                    <w:jc w:val="center"/>
                    <w:rPr>
                      <w:rFonts w:hint="eastAsia" w:ascii="Times New Roman" w:hAnsi="Times New Roman" w:eastAsia="宋体" w:cs="Times New Roman"/>
                      <w:b w:val="0"/>
                      <w:bCs w:val="0"/>
                      <w:sz w:val="21"/>
                      <w:szCs w:val="21"/>
                      <w:highlight w:val="none"/>
                      <w:lang w:val="en-US" w:eastAsia="zh-CN"/>
                    </w:rPr>
                  </w:pPr>
                  <w:r>
                    <w:rPr>
                      <w:rFonts w:hint="eastAsia" w:ascii="Times New Roman" w:hAnsi="Times New Roman" w:eastAsia="宋体" w:cs="Times New Roman"/>
                      <w:b w:val="0"/>
                      <w:bCs w:val="0"/>
                      <w:sz w:val="21"/>
                      <w:szCs w:val="21"/>
                      <w:highlight w:val="none"/>
                      <w:lang w:val="en-US" w:eastAsia="zh-CN"/>
                    </w:rPr>
                    <w:t>VRF-2-1</w:t>
                  </w:r>
                </w:p>
              </w:tc>
              <w:tc>
                <w:tcPr>
                  <w:tcW w:w="348" w:type="pct"/>
                  <w:noWrap w:val="0"/>
                  <w:tcMar>
                    <w:left w:w="57" w:type="dxa"/>
                    <w:right w:w="57" w:type="dxa"/>
                  </w:tcMar>
                  <w:vAlign w:val="center"/>
                </w:tcPr>
                <w:p w14:paraId="1EEC9138">
                  <w:pPr>
                    <w:keepNext w:val="0"/>
                    <w:keepLines w:val="0"/>
                    <w:suppressLineNumbers w:val="0"/>
                    <w:snapToGrid w:val="0"/>
                    <w:spacing w:before="0" w:beforeAutospacing="0" w:after="0" w:afterAutospacing="0"/>
                    <w:ind w:left="0" w:right="0"/>
                    <w:jc w:val="center"/>
                    <w:rPr>
                      <w:rFonts w:hint="eastAsia" w:ascii="Times New Roman" w:hAnsi="Times New Roman" w:eastAsia="宋体" w:cs="Times New Roman"/>
                      <w:b w:val="0"/>
                      <w:bCs w:val="0"/>
                      <w:sz w:val="21"/>
                      <w:szCs w:val="21"/>
                      <w:highlight w:val="none"/>
                    </w:rPr>
                  </w:pPr>
                  <w:r>
                    <w:rPr>
                      <w:rFonts w:hint="eastAsia" w:ascii="Times New Roman" w:hAnsi="Times New Roman" w:eastAsia="宋体" w:cs="Times New Roman"/>
                      <w:b w:val="0"/>
                      <w:bCs w:val="0"/>
                      <w:sz w:val="21"/>
                      <w:szCs w:val="21"/>
                      <w:highlight w:val="none"/>
                    </w:rPr>
                    <w:t>/</w:t>
                  </w:r>
                </w:p>
              </w:tc>
              <w:tc>
                <w:tcPr>
                  <w:tcW w:w="353" w:type="pct"/>
                  <w:noWrap w:val="0"/>
                  <w:tcMar>
                    <w:left w:w="57" w:type="dxa"/>
                    <w:right w:w="57" w:type="dxa"/>
                  </w:tcMar>
                  <w:vAlign w:val="center"/>
                </w:tcPr>
                <w:p w14:paraId="33E7CF05">
                  <w:pPr>
                    <w:keepNext w:val="0"/>
                    <w:keepLines w:val="0"/>
                    <w:suppressLineNumbers w:val="0"/>
                    <w:spacing w:before="0" w:beforeAutospacing="0" w:after="0" w:afterAutospacing="0"/>
                    <w:ind w:left="0" w:right="0"/>
                    <w:jc w:val="center"/>
                    <w:rPr>
                      <w:rFonts w:hint="eastAsia" w:ascii="Times New Roman" w:hAnsi="Times New Roman" w:eastAsia="宋体" w:cs="Times New Roman"/>
                      <w:b w:val="0"/>
                      <w:bCs w:val="0"/>
                      <w:sz w:val="21"/>
                      <w:szCs w:val="21"/>
                      <w:highlight w:val="none"/>
                      <w:lang w:val="en-US" w:eastAsia="zh-CN"/>
                    </w:rPr>
                  </w:pPr>
                  <w:r>
                    <w:rPr>
                      <w:rFonts w:hint="eastAsia" w:ascii="Times New Roman" w:hAnsi="Times New Roman" w:eastAsia="宋体" w:cs="Times New Roman"/>
                      <w:b w:val="0"/>
                      <w:bCs w:val="0"/>
                      <w:sz w:val="21"/>
                      <w:szCs w:val="21"/>
                      <w:highlight w:val="none"/>
                      <w:lang w:val="en-US" w:eastAsia="zh-CN"/>
                    </w:rPr>
                    <w:t>-31</w:t>
                  </w:r>
                </w:p>
              </w:tc>
              <w:tc>
                <w:tcPr>
                  <w:tcW w:w="340" w:type="pct"/>
                  <w:noWrap w:val="0"/>
                  <w:tcMar>
                    <w:left w:w="57" w:type="dxa"/>
                    <w:right w:w="57" w:type="dxa"/>
                  </w:tcMar>
                  <w:vAlign w:val="center"/>
                </w:tcPr>
                <w:p w14:paraId="3A97C55E">
                  <w:pPr>
                    <w:keepNext w:val="0"/>
                    <w:keepLines w:val="0"/>
                    <w:suppressLineNumbers w:val="0"/>
                    <w:spacing w:before="0" w:beforeAutospacing="0" w:after="0" w:afterAutospacing="0"/>
                    <w:ind w:left="0" w:right="0"/>
                    <w:jc w:val="center"/>
                    <w:rPr>
                      <w:rFonts w:hint="eastAsia" w:ascii="Times New Roman" w:hAnsi="Times New Roman" w:eastAsia="宋体" w:cs="Times New Roman"/>
                      <w:b w:val="0"/>
                      <w:bCs w:val="0"/>
                      <w:sz w:val="21"/>
                      <w:szCs w:val="21"/>
                      <w:highlight w:val="none"/>
                      <w:lang w:val="en-US" w:eastAsia="zh-CN"/>
                    </w:rPr>
                  </w:pPr>
                  <w:r>
                    <w:rPr>
                      <w:rFonts w:hint="eastAsia" w:ascii="Times New Roman" w:hAnsi="Times New Roman" w:eastAsia="宋体" w:cs="Times New Roman"/>
                      <w:b w:val="0"/>
                      <w:bCs w:val="0"/>
                      <w:sz w:val="21"/>
                      <w:szCs w:val="21"/>
                      <w:highlight w:val="none"/>
                      <w:lang w:val="en-US" w:eastAsia="zh-CN"/>
                    </w:rPr>
                    <w:t>149</w:t>
                  </w:r>
                </w:p>
              </w:tc>
              <w:tc>
                <w:tcPr>
                  <w:tcW w:w="339" w:type="pct"/>
                  <w:noWrap w:val="0"/>
                  <w:tcMar>
                    <w:left w:w="57" w:type="dxa"/>
                    <w:right w:w="57" w:type="dxa"/>
                  </w:tcMar>
                  <w:vAlign w:val="center"/>
                </w:tcPr>
                <w:p w14:paraId="63FB01B1">
                  <w:pPr>
                    <w:keepNext w:val="0"/>
                    <w:keepLines w:val="0"/>
                    <w:suppressLineNumbers w:val="0"/>
                    <w:adjustRightInd w:val="0"/>
                    <w:snapToGrid w:val="0"/>
                    <w:spacing w:before="0" w:beforeAutospacing="0" w:after="0" w:afterAutospacing="0"/>
                    <w:ind w:left="0" w:right="0"/>
                    <w:jc w:val="center"/>
                    <w:rPr>
                      <w:rFonts w:hint="eastAsia" w:ascii="Times New Roman" w:hAnsi="Times New Roman" w:eastAsia="宋体" w:cs="Times New Roman"/>
                      <w:b w:val="0"/>
                      <w:bCs w:val="0"/>
                      <w:kern w:val="0"/>
                      <w:sz w:val="21"/>
                      <w:szCs w:val="21"/>
                      <w:highlight w:val="none"/>
                      <w:lang w:val="en-US" w:eastAsia="zh-CN"/>
                    </w:rPr>
                  </w:pPr>
                  <w:r>
                    <w:rPr>
                      <w:rFonts w:hint="eastAsia" w:ascii="Times New Roman" w:hAnsi="Times New Roman" w:eastAsia="宋体" w:cs="Times New Roman"/>
                      <w:b w:val="0"/>
                      <w:bCs w:val="0"/>
                      <w:kern w:val="0"/>
                      <w:sz w:val="21"/>
                      <w:szCs w:val="21"/>
                      <w:highlight w:val="none"/>
                      <w:lang w:val="en-US" w:eastAsia="zh-CN"/>
                    </w:rPr>
                    <w:t>25</w:t>
                  </w:r>
                </w:p>
              </w:tc>
              <w:tc>
                <w:tcPr>
                  <w:tcW w:w="666" w:type="pct"/>
                  <w:noWrap w:val="0"/>
                  <w:tcMar>
                    <w:left w:w="57" w:type="dxa"/>
                    <w:right w:w="57" w:type="dxa"/>
                  </w:tcMar>
                  <w:vAlign w:val="center"/>
                </w:tcPr>
                <w:p w14:paraId="663A26E6">
                  <w:pPr>
                    <w:keepNext w:val="0"/>
                    <w:keepLines w:val="0"/>
                    <w:suppressLineNumbers w:val="0"/>
                    <w:snapToGrid w:val="0"/>
                    <w:spacing w:before="0" w:beforeAutospacing="0" w:after="0" w:afterAutospacing="0"/>
                    <w:ind w:left="0" w:right="0"/>
                    <w:jc w:val="center"/>
                    <w:rPr>
                      <w:rFonts w:hint="eastAsia" w:ascii="Times New Roman" w:hAnsi="Times New Roman" w:eastAsia="宋体" w:cs="Times New Roman"/>
                      <w:b w:val="0"/>
                      <w:bCs w:val="0"/>
                      <w:sz w:val="21"/>
                      <w:szCs w:val="21"/>
                      <w:highlight w:val="none"/>
                    </w:rPr>
                  </w:pPr>
                  <w:r>
                    <w:rPr>
                      <w:rFonts w:hint="eastAsia" w:ascii="Times New Roman" w:hAnsi="Times New Roman" w:eastAsia="宋体" w:cs="Times New Roman"/>
                      <w:b w:val="0"/>
                      <w:bCs w:val="0"/>
                      <w:sz w:val="21"/>
                      <w:szCs w:val="21"/>
                      <w:highlight w:val="none"/>
                      <w:lang w:val="en-US" w:eastAsia="zh-CN"/>
                    </w:rPr>
                    <w:t>75</w:t>
                  </w:r>
                </w:p>
              </w:tc>
              <w:tc>
                <w:tcPr>
                  <w:tcW w:w="633" w:type="pct"/>
                  <w:vMerge w:val="continue"/>
                  <w:noWrap w:val="0"/>
                  <w:tcMar>
                    <w:left w:w="57" w:type="dxa"/>
                    <w:right w:w="57" w:type="dxa"/>
                  </w:tcMar>
                  <w:vAlign w:val="center"/>
                </w:tcPr>
                <w:p w14:paraId="0A02A851">
                  <w:pPr>
                    <w:keepNext w:val="0"/>
                    <w:keepLines w:val="0"/>
                    <w:suppressLineNumbers w:val="0"/>
                    <w:adjustRightInd w:val="0"/>
                    <w:snapToGrid w:val="0"/>
                    <w:spacing w:before="0" w:beforeAutospacing="0" w:after="0" w:afterAutospacing="0"/>
                    <w:ind w:left="0" w:right="0"/>
                    <w:rPr>
                      <w:rFonts w:hint="eastAsia" w:ascii="Times New Roman" w:hAnsi="Times New Roman" w:eastAsia="宋体" w:cs="Times New Roman"/>
                      <w:b w:val="0"/>
                      <w:bCs w:val="0"/>
                      <w:kern w:val="0"/>
                      <w:sz w:val="21"/>
                      <w:szCs w:val="21"/>
                      <w:highlight w:val="none"/>
                    </w:rPr>
                  </w:pPr>
                </w:p>
              </w:tc>
              <w:tc>
                <w:tcPr>
                  <w:tcW w:w="672" w:type="pct"/>
                  <w:vMerge w:val="continue"/>
                  <w:noWrap w:val="0"/>
                  <w:tcMar>
                    <w:left w:w="57" w:type="dxa"/>
                    <w:right w:w="57" w:type="dxa"/>
                  </w:tcMar>
                  <w:vAlign w:val="center"/>
                </w:tcPr>
                <w:p w14:paraId="4F576F13">
                  <w:pPr>
                    <w:keepNext w:val="0"/>
                    <w:keepLines w:val="0"/>
                    <w:suppressLineNumbers w:val="0"/>
                    <w:adjustRightInd w:val="0"/>
                    <w:snapToGrid w:val="0"/>
                    <w:spacing w:before="0" w:beforeAutospacing="0" w:after="0" w:afterAutospacing="0"/>
                    <w:ind w:left="0" w:right="0"/>
                    <w:jc w:val="center"/>
                    <w:rPr>
                      <w:rFonts w:hint="eastAsia" w:ascii="Times New Roman" w:hAnsi="Times New Roman" w:eastAsia="宋体" w:cs="Times New Roman"/>
                      <w:b w:val="0"/>
                      <w:bCs w:val="0"/>
                      <w:kern w:val="0"/>
                      <w:sz w:val="21"/>
                      <w:szCs w:val="21"/>
                      <w:highlight w:val="none"/>
                      <w:lang w:val="en-US" w:eastAsia="zh-CN"/>
                    </w:rPr>
                  </w:pPr>
                </w:p>
              </w:tc>
            </w:tr>
            <w:tr w14:paraId="47B467B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c>
                <w:tcPr>
                  <w:tcW w:w="345" w:type="pct"/>
                  <w:noWrap w:val="0"/>
                  <w:tcMar>
                    <w:left w:w="57" w:type="dxa"/>
                    <w:right w:w="57" w:type="dxa"/>
                  </w:tcMar>
                  <w:vAlign w:val="center"/>
                </w:tcPr>
                <w:p w14:paraId="6424A0B6">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b w:val="0"/>
                      <w:bCs w:val="0"/>
                      <w:kern w:val="0"/>
                      <w:sz w:val="21"/>
                      <w:szCs w:val="21"/>
                      <w:highlight w:val="none"/>
                      <w:lang w:val="en-US" w:eastAsia="zh-CN"/>
                    </w:rPr>
                  </w:pPr>
                  <w:r>
                    <w:rPr>
                      <w:rFonts w:hint="eastAsia" w:cs="Times New Roman"/>
                      <w:b w:val="0"/>
                      <w:bCs w:val="0"/>
                      <w:kern w:val="0"/>
                      <w:sz w:val="21"/>
                      <w:szCs w:val="21"/>
                      <w:highlight w:val="none"/>
                      <w:lang w:val="en-US" w:eastAsia="zh-CN"/>
                    </w:rPr>
                    <w:t>23</w:t>
                  </w:r>
                </w:p>
              </w:tc>
              <w:tc>
                <w:tcPr>
                  <w:tcW w:w="453" w:type="pct"/>
                  <w:vMerge w:val="continue"/>
                  <w:noWrap w:val="0"/>
                  <w:tcMar>
                    <w:left w:w="57" w:type="dxa"/>
                    <w:right w:w="57" w:type="dxa"/>
                  </w:tcMar>
                  <w:vAlign w:val="center"/>
                </w:tcPr>
                <w:p w14:paraId="1A2D2E89">
                  <w:pPr>
                    <w:keepNext w:val="0"/>
                    <w:keepLines w:val="0"/>
                    <w:suppressLineNumbers w:val="0"/>
                    <w:adjustRightInd w:val="0"/>
                    <w:snapToGrid w:val="0"/>
                    <w:spacing w:before="0" w:beforeAutospacing="0" w:after="0" w:afterAutospacing="0"/>
                    <w:ind w:left="0" w:right="0"/>
                    <w:jc w:val="center"/>
                    <w:rPr>
                      <w:rFonts w:hint="eastAsia" w:ascii="Times New Roman" w:hAnsi="Times New Roman" w:eastAsia="宋体" w:cs="Times New Roman"/>
                      <w:b w:val="0"/>
                      <w:bCs w:val="0"/>
                      <w:sz w:val="21"/>
                      <w:szCs w:val="21"/>
                      <w:highlight w:val="none"/>
                      <w:lang w:val="en-US" w:eastAsia="zh-CN"/>
                    </w:rPr>
                  </w:pPr>
                </w:p>
              </w:tc>
              <w:tc>
                <w:tcPr>
                  <w:tcW w:w="845" w:type="pct"/>
                  <w:noWrap w:val="0"/>
                  <w:tcMar>
                    <w:left w:w="57" w:type="dxa"/>
                    <w:right w:w="57" w:type="dxa"/>
                  </w:tcMar>
                  <w:vAlign w:val="center"/>
                </w:tcPr>
                <w:p w14:paraId="0DFCCEF6">
                  <w:pPr>
                    <w:keepNext w:val="0"/>
                    <w:keepLines w:val="0"/>
                    <w:suppressLineNumbers w:val="0"/>
                    <w:adjustRightInd w:val="0"/>
                    <w:snapToGrid w:val="0"/>
                    <w:spacing w:before="0" w:beforeAutospacing="0" w:after="0" w:afterAutospacing="0"/>
                    <w:ind w:left="0" w:right="0"/>
                    <w:jc w:val="center"/>
                    <w:rPr>
                      <w:rFonts w:hint="eastAsia" w:ascii="Times New Roman" w:hAnsi="Times New Roman" w:eastAsia="宋体" w:cs="Times New Roman"/>
                      <w:b w:val="0"/>
                      <w:bCs w:val="0"/>
                      <w:sz w:val="21"/>
                      <w:szCs w:val="21"/>
                      <w:highlight w:val="none"/>
                      <w:lang w:val="en-US" w:eastAsia="zh-CN"/>
                    </w:rPr>
                  </w:pPr>
                  <w:r>
                    <w:rPr>
                      <w:rFonts w:hint="eastAsia" w:ascii="Times New Roman" w:hAnsi="Times New Roman" w:eastAsia="宋体" w:cs="Times New Roman"/>
                      <w:b w:val="0"/>
                      <w:bCs w:val="0"/>
                      <w:sz w:val="21"/>
                      <w:szCs w:val="21"/>
                      <w:highlight w:val="none"/>
                      <w:lang w:val="en-US" w:eastAsia="zh-CN"/>
                    </w:rPr>
                    <w:t>VRF-3-2</w:t>
                  </w:r>
                </w:p>
              </w:tc>
              <w:tc>
                <w:tcPr>
                  <w:tcW w:w="348" w:type="pct"/>
                  <w:noWrap w:val="0"/>
                  <w:tcMar>
                    <w:left w:w="57" w:type="dxa"/>
                    <w:right w:w="57" w:type="dxa"/>
                  </w:tcMar>
                  <w:vAlign w:val="center"/>
                </w:tcPr>
                <w:p w14:paraId="384218B0">
                  <w:pPr>
                    <w:keepNext w:val="0"/>
                    <w:keepLines w:val="0"/>
                    <w:suppressLineNumbers w:val="0"/>
                    <w:snapToGrid w:val="0"/>
                    <w:spacing w:before="0" w:beforeAutospacing="0" w:after="0" w:afterAutospacing="0"/>
                    <w:ind w:left="0" w:right="0"/>
                    <w:jc w:val="center"/>
                    <w:rPr>
                      <w:rFonts w:hint="eastAsia" w:ascii="Times New Roman" w:hAnsi="Times New Roman" w:eastAsia="宋体" w:cs="Times New Roman"/>
                      <w:b w:val="0"/>
                      <w:bCs w:val="0"/>
                      <w:sz w:val="21"/>
                      <w:szCs w:val="21"/>
                      <w:highlight w:val="none"/>
                    </w:rPr>
                  </w:pPr>
                  <w:r>
                    <w:rPr>
                      <w:rFonts w:hint="eastAsia" w:ascii="Times New Roman" w:hAnsi="Times New Roman" w:eastAsia="宋体" w:cs="Times New Roman"/>
                      <w:b w:val="0"/>
                      <w:bCs w:val="0"/>
                      <w:sz w:val="21"/>
                      <w:szCs w:val="21"/>
                      <w:highlight w:val="none"/>
                    </w:rPr>
                    <w:t>/</w:t>
                  </w:r>
                </w:p>
              </w:tc>
              <w:tc>
                <w:tcPr>
                  <w:tcW w:w="353" w:type="pct"/>
                  <w:noWrap w:val="0"/>
                  <w:tcMar>
                    <w:left w:w="57" w:type="dxa"/>
                    <w:right w:w="57" w:type="dxa"/>
                  </w:tcMar>
                  <w:vAlign w:val="center"/>
                </w:tcPr>
                <w:p w14:paraId="41A2B473">
                  <w:pPr>
                    <w:keepNext w:val="0"/>
                    <w:keepLines w:val="0"/>
                    <w:suppressLineNumbers w:val="0"/>
                    <w:spacing w:before="0" w:beforeAutospacing="0" w:after="0" w:afterAutospacing="0"/>
                    <w:ind w:left="0" w:right="0"/>
                    <w:jc w:val="center"/>
                    <w:rPr>
                      <w:rFonts w:hint="eastAsia" w:ascii="Times New Roman" w:hAnsi="Times New Roman" w:eastAsia="宋体" w:cs="Times New Roman"/>
                      <w:b w:val="0"/>
                      <w:bCs w:val="0"/>
                      <w:sz w:val="21"/>
                      <w:szCs w:val="21"/>
                      <w:highlight w:val="none"/>
                      <w:lang w:val="en-US" w:eastAsia="zh-CN"/>
                    </w:rPr>
                  </w:pPr>
                  <w:r>
                    <w:rPr>
                      <w:rFonts w:hint="eastAsia" w:ascii="Times New Roman" w:hAnsi="Times New Roman" w:eastAsia="宋体" w:cs="Times New Roman"/>
                      <w:b w:val="0"/>
                      <w:bCs w:val="0"/>
                      <w:sz w:val="21"/>
                      <w:szCs w:val="21"/>
                      <w:highlight w:val="none"/>
                      <w:lang w:val="en-US" w:eastAsia="zh-CN"/>
                    </w:rPr>
                    <w:t>-31</w:t>
                  </w:r>
                </w:p>
              </w:tc>
              <w:tc>
                <w:tcPr>
                  <w:tcW w:w="340" w:type="pct"/>
                  <w:noWrap w:val="0"/>
                  <w:tcMar>
                    <w:left w:w="57" w:type="dxa"/>
                    <w:right w:w="57" w:type="dxa"/>
                  </w:tcMar>
                  <w:vAlign w:val="center"/>
                </w:tcPr>
                <w:p w14:paraId="4877C01A">
                  <w:pPr>
                    <w:keepNext w:val="0"/>
                    <w:keepLines w:val="0"/>
                    <w:suppressLineNumbers w:val="0"/>
                    <w:spacing w:before="0" w:beforeAutospacing="0" w:after="0" w:afterAutospacing="0"/>
                    <w:ind w:left="0" w:right="0"/>
                    <w:jc w:val="center"/>
                    <w:rPr>
                      <w:rFonts w:hint="eastAsia" w:ascii="Times New Roman" w:hAnsi="Times New Roman" w:eastAsia="宋体" w:cs="Times New Roman"/>
                      <w:b w:val="0"/>
                      <w:bCs w:val="0"/>
                      <w:sz w:val="21"/>
                      <w:szCs w:val="21"/>
                      <w:highlight w:val="none"/>
                      <w:lang w:val="en-US" w:eastAsia="zh-CN"/>
                    </w:rPr>
                  </w:pPr>
                  <w:r>
                    <w:rPr>
                      <w:rFonts w:hint="eastAsia" w:ascii="Times New Roman" w:hAnsi="Times New Roman" w:eastAsia="宋体" w:cs="Times New Roman"/>
                      <w:b w:val="0"/>
                      <w:bCs w:val="0"/>
                      <w:sz w:val="21"/>
                      <w:szCs w:val="21"/>
                      <w:highlight w:val="none"/>
                      <w:lang w:val="en-US" w:eastAsia="zh-CN"/>
                    </w:rPr>
                    <w:t>150</w:t>
                  </w:r>
                </w:p>
              </w:tc>
              <w:tc>
                <w:tcPr>
                  <w:tcW w:w="339" w:type="pct"/>
                  <w:noWrap w:val="0"/>
                  <w:tcMar>
                    <w:left w:w="57" w:type="dxa"/>
                    <w:right w:w="57" w:type="dxa"/>
                  </w:tcMar>
                  <w:vAlign w:val="center"/>
                </w:tcPr>
                <w:p w14:paraId="6592F172">
                  <w:pPr>
                    <w:keepNext w:val="0"/>
                    <w:keepLines w:val="0"/>
                    <w:suppressLineNumbers w:val="0"/>
                    <w:adjustRightInd w:val="0"/>
                    <w:snapToGrid w:val="0"/>
                    <w:spacing w:before="0" w:beforeAutospacing="0" w:after="0" w:afterAutospacing="0"/>
                    <w:ind w:left="0" w:right="0"/>
                    <w:jc w:val="center"/>
                    <w:rPr>
                      <w:rFonts w:hint="eastAsia" w:ascii="Times New Roman" w:hAnsi="Times New Roman" w:eastAsia="宋体" w:cs="Times New Roman"/>
                      <w:b w:val="0"/>
                      <w:bCs w:val="0"/>
                      <w:kern w:val="0"/>
                      <w:sz w:val="21"/>
                      <w:szCs w:val="21"/>
                      <w:highlight w:val="none"/>
                      <w:lang w:val="en-US" w:eastAsia="zh-CN"/>
                    </w:rPr>
                  </w:pPr>
                  <w:r>
                    <w:rPr>
                      <w:rFonts w:hint="eastAsia" w:ascii="Times New Roman" w:hAnsi="Times New Roman" w:eastAsia="宋体" w:cs="Times New Roman"/>
                      <w:b w:val="0"/>
                      <w:bCs w:val="0"/>
                      <w:kern w:val="0"/>
                      <w:sz w:val="21"/>
                      <w:szCs w:val="21"/>
                      <w:highlight w:val="none"/>
                      <w:lang w:val="en-US" w:eastAsia="zh-CN"/>
                    </w:rPr>
                    <w:t>25</w:t>
                  </w:r>
                </w:p>
              </w:tc>
              <w:tc>
                <w:tcPr>
                  <w:tcW w:w="666" w:type="pct"/>
                  <w:noWrap w:val="0"/>
                  <w:tcMar>
                    <w:left w:w="57" w:type="dxa"/>
                    <w:right w:w="57" w:type="dxa"/>
                  </w:tcMar>
                  <w:vAlign w:val="center"/>
                </w:tcPr>
                <w:p w14:paraId="158A1AFB">
                  <w:pPr>
                    <w:keepNext w:val="0"/>
                    <w:keepLines w:val="0"/>
                    <w:suppressLineNumbers w:val="0"/>
                    <w:snapToGrid w:val="0"/>
                    <w:spacing w:before="0" w:beforeAutospacing="0" w:after="0" w:afterAutospacing="0"/>
                    <w:ind w:left="0" w:right="0"/>
                    <w:jc w:val="center"/>
                    <w:rPr>
                      <w:rFonts w:hint="eastAsia" w:ascii="Times New Roman" w:hAnsi="Times New Roman" w:eastAsia="宋体" w:cs="Times New Roman"/>
                      <w:b w:val="0"/>
                      <w:bCs w:val="0"/>
                      <w:sz w:val="21"/>
                      <w:szCs w:val="21"/>
                      <w:highlight w:val="none"/>
                    </w:rPr>
                  </w:pPr>
                  <w:r>
                    <w:rPr>
                      <w:rFonts w:hint="eastAsia" w:ascii="Times New Roman" w:hAnsi="Times New Roman" w:eastAsia="宋体" w:cs="Times New Roman"/>
                      <w:b w:val="0"/>
                      <w:bCs w:val="0"/>
                      <w:sz w:val="21"/>
                      <w:szCs w:val="21"/>
                      <w:highlight w:val="none"/>
                      <w:lang w:val="en-US" w:eastAsia="zh-CN"/>
                    </w:rPr>
                    <w:t>75</w:t>
                  </w:r>
                </w:p>
              </w:tc>
              <w:tc>
                <w:tcPr>
                  <w:tcW w:w="633" w:type="pct"/>
                  <w:vMerge w:val="continue"/>
                  <w:noWrap w:val="0"/>
                  <w:tcMar>
                    <w:left w:w="57" w:type="dxa"/>
                    <w:right w:w="57" w:type="dxa"/>
                  </w:tcMar>
                  <w:vAlign w:val="center"/>
                </w:tcPr>
                <w:p w14:paraId="7CB0B45D">
                  <w:pPr>
                    <w:keepNext w:val="0"/>
                    <w:keepLines w:val="0"/>
                    <w:suppressLineNumbers w:val="0"/>
                    <w:adjustRightInd w:val="0"/>
                    <w:snapToGrid w:val="0"/>
                    <w:spacing w:before="0" w:beforeAutospacing="0" w:after="0" w:afterAutospacing="0"/>
                    <w:ind w:left="0" w:right="0"/>
                    <w:rPr>
                      <w:rFonts w:hint="eastAsia" w:ascii="Times New Roman" w:hAnsi="Times New Roman" w:eastAsia="宋体" w:cs="Times New Roman"/>
                      <w:b w:val="0"/>
                      <w:bCs w:val="0"/>
                      <w:kern w:val="0"/>
                      <w:sz w:val="21"/>
                      <w:szCs w:val="21"/>
                      <w:highlight w:val="none"/>
                    </w:rPr>
                  </w:pPr>
                </w:p>
              </w:tc>
              <w:tc>
                <w:tcPr>
                  <w:tcW w:w="672" w:type="pct"/>
                  <w:vMerge w:val="continue"/>
                  <w:noWrap w:val="0"/>
                  <w:tcMar>
                    <w:left w:w="57" w:type="dxa"/>
                    <w:right w:w="57" w:type="dxa"/>
                  </w:tcMar>
                  <w:vAlign w:val="center"/>
                </w:tcPr>
                <w:p w14:paraId="5D48B11A">
                  <w:pPr>
                    <w:keepNext w:val="0"/>
                    <w:keepLines w:val="0"/>
                    <w:suppressLineNumbers w:val="0"/>
                    <w:adjustRightInd w:val="0"/>
                    <w:snapToGrid w:val="0"/>
                    <w:spacing w:before="0" w:beforeAutospacing="0" w:after="0" w:afterAutospacing="0"/>
                    <w:ind w:left="0" w:right="0"/>
                    <w:jc w:val="center"/>
                    <w:rPr>
                      <w:rFonts w:hint="eastAsia" w:ascii="Times New Roman" w:hAnsi="Times New Roman" w:eastAsia="宋体" w:cs="Times New Roman"/>
                      <w:b w:val="0"/>
                      <w:bCs w:val="0"/>
                      <w:kern w:val="0"/>
                      <w:sz w:val="21"/>
                      <w:szCs w:val="21"/>
                      <w:highlight w:val="none"/>
                      <w:lang w:val="en-US" w:eastAsia="zh-CN"/>
                    </w:rPr>
                  </w:pPr>
                </w:p>
              </w:tc>
            </w:tr>
            <w:tr w14:paraId="4ABE0F9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c>
                <w:tcPr>
                  <w:tcW w:w="345" w:type="pct"/>
                  <w:shd w:val="clear" w:color="auto" w:fill="auto"/>
                  <w:noWrap w:val="0"/>
                  <w:tcMar>
                    <w:left w:w="57" w:type="dxa"/>
                    <w:right w:w="57" w:type="dxa"/>
                  </w:tcMar>
                  <w:vAlign w:val="center"/>
                </w:tcPr>
                <w:p w14:paraId="7F142647">
                  <w:pPr>
                    <w:keepNext w:val="0"/>
                    <w:keepLines w:val="0"/>
                    <w:suppressLineNumbers w:val="0"/>
                    <w:adjustRightInd w:val="0"/>
                    <w:snapToGrid w:val="0"/>
                    <w:spacing w:before="0" w:beforeAutospacing="0" w:after="0" w:afterAutospacing="0"/>
                    <w:ind w:left="0" w:right="0"/>
                    <w:jc w:val="center"/>
                    <w:rPr>
                      <w:rFonts w:hint="eastAsia" w:ascii="Times New Roman" w:hAnsi="Times New Roman" w:eastAsia="宋体" w:cs="Times New Roman"/>
                      <w:b w:val="0"/>
                      <w:bCs w:val="0"/>
                      <w:kern w:val="0"/>
                      <w:sz w:val="21"/>
                      <w:szCs w:val="21"/>
                      <w:highlight w:val="none"/>
                      <w:lang w:val="en-US" w:eastAsia="zh-CN" w:bidi="ar-SA"/>
                    </w:rPr>
                  </w:pPr>
                  <w:r>
                    <w:rPr>
                      <w:rFonts w:hint="eastAsia" w:ascii="Times New Roman" w:hAnsi="Times New Roman" w:eastAsia="宋体" w:cs="Times New Roman"/>
                      <w:b w:val="0"/>
                      <w:bCs w:val="0"/>
                      <w:kern w:val="0"/>
                      <w:sz w:val="21"/>
                      <w:szCs w:val="21"/>
                      <w:highlight w:val="none"/>
                      <w:lang w:val="en-US" w:eastAsia="zh-CN"/>
                    </w:rPr>
                    <w:t>24</w:t>
                  </w:r>
                </w:p>
              </w:tc>
              <w:tc>
                <w:tcPr>
                  <w:tcW w:w="453" w:type="pct"/>
                  <w:vMerge w:val="continue"/>
                  <w:noWrap w:val="0"/>
                  <w:tcMar>
                    <w:left w:w="57" w:type="dxa"/>
                    <w:right w:w="57" w:type="dxa"/>
                  </w:tcMar>
                  <w:vAlign w:val="center"/>
                </w:tcPr>
                <w:p w14:paraId="49FD251B">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b w:val="0"/>
                      <w:bCs w:val="0"/>
                      <w:sz w:val="21"/>
                      <w:szCs w:val="21"/>
                      <w:highlight w:val="none"/>
                      <w:lang w:val="en-US" w:eastAsia="zh-CN"/>
                    </w:rPr>
                  </w:pPr>
                </w:p>
              </w:tc>
              <w:tc>
                <w:tcPr>
                  <w:tcW w:w="845" w:type="pct"/>
                  <w:noWrap w:val="0"/>
                  <w:tcMar>
                    <w:left w:w="57" w:type="dxa"/>
                    <w:right w:w="57" w:type="dxa"/>
                  </w:tcMar>
                  <w:vAlign w:val="center"/>
                </w:tcPr>
                <w:p w14:paraId="5EF67F63">
                  <w:pPr>
                    <w:keepNext w:val="0"/>
                    <w:keepLines w:val="0"/>
                    <w:suppressLineNumbers w:val="0"/>
                    <w:adjustRightInd w:val="0"/>
                    <w:snapToGrid w:val="0"/>
                    <w:spacing w:before="0" w:beforeAutospacing="0" w:after="0" w:afterAutospacing="0"/>
                    <w:ind w:left="0" w:right="0"/>
                    <w:jc w:val="center"/>
                    <w:rPr>
                      <w:rFonts w:hint="eastAsia" w:ascii="Times New Roman" w:hAnsi="Times New Roman" w:eastAsia="宋体" w:cs="Times New Roman"/>
                      <w:b w:val="0"/>
                      <w:bCs w:val="0"/>
                      <w:sz w:val="21"/>
                      <w:szCs w:val="21"/>
                      <w:highlight w:val="none"/>
                      <w:lang w:val="en-US" w:eastAsia="zh-CN"/>
                    </w:rPr>
                  </w:pPr>
                  <w:r>
                    <w:rPr>
                      <w:rFonts w:hint="eastAsia" w:ascii="Times New Roman" w:hAnsi="Times New Roman" w:eastAsia="宋体" w:cs="Times New Roman"/>
                      <w:b w:val="0"/>
                      <w:bCs w:val="0"/>
                      <w:sz w:val="21"/>
                      <w:szCs w:val="21"/>
                      <w:highlight w:val="none"/>
                      <w:lang w:val="en-US" w:eastAsia="zh-CN"/>
                    </w:rPr>
                    <w:t>VRF-3-1</w:t>
                  </w:r>
                </w:p>
              </w:tc>
              <w:tc>
                <w:tcPr>
                  <w:tcW w:w="348" w:type="pct"/>
                  <w:noWrap w:val="0"/>
                  <w:tcMar>
                    <w:left w:w="57" w:type="dxa"/>
                    <w:right w:w="57" w:type="dxa"/>
                  </w:tcMar>
                  <w:vAlign w:val="center"/>
                </w:tcPr>
                <w:p w14:paraId="7411A0DF">
                  <w:pPr>
                    <w:keepNext w:val="0"/>
                    <w:keepLines w:val="0"/>
                    <w:suppressLineNumbers w:val="0"/>
                    <w:snapToGrid w:val="0"/>
                    <w:spacing w:before="0" w:beforeAutospacing="0" w:after="0" w:afterAutospacing="0"/>
                    <w:ind w:left="0" w:right="0"/>
                    <w:jc w:val="center"/>
                    <w:rPr>
                      <w:rFonts w:hint="eastAsia" w:ascii="Times New Roman" w:hAnsi="Times New Roman" w:eastAsia="宋体" w:cs="Times New Roman"/>
                      <w:b w:val="0"/>
                      <w:bCs w:val="0"/>
                      <w:sz w:val="21"/>
                      <w:szCs w:val="21"/>
                      <w:highlight w:val="none"/>
                    </w:rPr>
                  </w:pPr>
                  <w:r>
                    <w:rPr>
                      <w:rFonts w:hint="eastAsia" w:ascii="Times New Roman" w:hAnsi="Times New Roman" w:eastAsia="宋体" w:cs="Times New Roman"/>
                      <w:b w:val="0"/>
                      <w:bCs w:val="0"/>
                      <w:sz w:val="21"/>
                      <w:szCs w:val="21"/>
                      <w:highlight w:val="none"/>
                    </w:rPr>
                    <w:t>/</w:t>
                  </w:r>
                </w:p>
              </w:tc>
              <w:tc>
                <w:tcPr>
                  <w:tcW w:w="353" w:type="pct"/>
                  <w:noWrap w:val="0"/>
                  <w:tcMar>
                    <w:left w:w="57" w:type="dxa"/>
                    <w:right w:w="57" w:type="dxa"/>
                  </w:tcMar>
                  <w:vAlign w:val="center"/>
                </w:tcPr>
                <w:p w14:paraId="42A85AFB">
                  <w:pPr>
                    <w:keepNext w:val="0"/>
                    <w:keepLines w:val="0"/>
                    <w:suppressLineNumbers w:val="0"/>
                    <w:spacing w:before="0" w:beforeAutospacing="0" w:after="0" w:afterAutospacing="0"/>
                    <w:ind w:left="0" w:right="0"/>
                    <w:jc w:val="center"/>
                    <w:rPr>
                      <w:rFonts w:hint="eastAsia" w:ascii="Times New Roman" w:hAnsi="Times New Roman" w:eastAsia="宋体" w:cs="Times New Roman"/>
                      <w:b w:val="0"/>
                      <w:bCs w:val="0"/>
                      <w:sz w:val="21"/>
                      <w:szCs w:val="21"/>
                      <w:highlight w:val="none"/>
                      <w:lang w:val="en-US" w:eastAsia="zh-CN"/>
                    </w:rPr>
                  </w:pPr>
                  <w:r>
                    <w:rPr>
                      <w:rFonts w:hint="eastAsia" w:ascii="Times New Roman" w:hAnsi="Times New Roman" w:eastAsia="宋体" w:cs="Times New Roman"/>
                      <w:b w:val="0"/>
                      <w:bCs w:val="0"/>
                      <w:sz w:val="21"/>
                      <w:szCs w:val="21"/>
                      <w:highlight w:val="none"/>
                      <w:lang w:val="en-US" w:eastAsia="zh-CN"/>
                    </w:rPr>
                    <w:t>-31</w:t>
                  </w:r>
                </w:p>
              </w:tc>
              <w:tc>
                <w:tcPr>
                  <w:tcW w:w="340" w:type="pct"/>
                  <w:noWrap w:val="0"/>
                  <w:tcMar>
                    <w:left w:w="57" w:type="dxa"/>
                    <w:right w:w="57" w:type="dxa"/>
                  </w:tcMar>
                  <w:vAlign w:val="center"/>
                </w:tcPr>
                <w:p w14:paraId="78BC745E">
                  <w:pPr>
                    <w:keepNext w:val="0"/>
                    <w:keepLines w:val="0"/>
                    <w:suppressLineNumbers w:val="0"/>
                    <w:spacing w:before="0" w:beforeAutospacing="0" w:after="0" w:afterAutospacing="0"/>
                    <w:ind w:left="0" w:right="0"/>
                    <w:jc w:val="center"/>
                    <w:rPr>
                      <w:rFonts w:hint="default" w:ascii="Times New Roman" w:hAnsi="Times New Roman" w:eastAsia="宋体" w:cs="Times New Roman"/>
                      <w:b w:val="0"/>
                      <w:bCs w:val="0"/>
                      <w:sz w:val="21"/>
                      <w:szCs w:val="21"/>
                      <w:highlight w:val="none"/>
                      <w:lang w:val="en-US" w:eastAsia="zh-CN"/>
                    </w:rPr>
                  </w:pPr>
                  <w:r>
                    <w:rPr>
                      <w:rFonts w:hint="eastAsia" w:ascii="Times New Roman" w:hAnsi="Times New Roman" w:eastAsia="宋体" w:cs="Times New Roman"/>
                      <w:b w:val="0"/>
                      <w:bCs w:val="0"/>
                      <w:sz w:val="21"/>
                      <w:szCs w:val="21"/>
                      <w:highlight w:val="none"/>
                      <w:lang w:val="en-US" w:eastAsia="zh-CN"/>
                    </w:rPr>
                    <w:t>152</w:t>
                  </w:r>
                </w:p>
              </w:tc>
              <w:tc>
                <w:tcPr>
                  <w:tcW w:w="339" w:type="pct"/>
                  <w:noWrap w:val="0"/>
                  <w:tcMar>
                    <w:left w:w="57" w:type="dxa"/>
                    <w:right w:w="57" w:type="dxa"/>
                  </w:tcMar>
                  <w:vAlign w:val="center"/>
                </w:tcPr>
                <w:p w14:paraId="3950DBF1">
                  <w:pPr>
                    <w:keepNext w:val="0"/>
                    <w:keepLines w:val="0"/>
                    <w:suppressLineNumbers w:val="0"/>
                    <w:adjustRightInd w:val="0"/>
                    <w:snapToGrid w:val="0"/>
                    <w:spacing w:before="0" w:beforeAutospacing="0" w:after="0" w:afterAutospacing="0"/>
                    <w:ind w:left="0" w:right="0"/>
                    <w:jc w:val="center"/>
                    <w:rPr>
                      <w:rFonts w:hint="eastAsia" w:ascii="Times New Roman" w:hAnsi="Times New Roman" w:eastAsia="宋体" w:cs="Times New Roman"/>
                      <w:b w:val="0"/>
                      <w:bCs w:val="0"/>
                      <w:kern w:val="0"/>
                      <w:sz w:val="21"/>
                      <w:szCs w:val="21"/>
                      <w:highlight w:val="none"/>
                      <w:lang w:val="en-US" w:eastAsia="zh-CN"/>
                    </w:rPr>
                  </w:pPr>
                  <w:r>
                    <w:rPr>
                      <w:rFonts w:hint="eastAsia" w:ascii="Times New Roman" w:hAnsi="Times New Roman" w:eastAsia="宋体" w:cs="Times New Roman"/>
                      <w:b w:val="0"/>
                      <w:bCs w:val="0"/>
                      <w:kern w:val="0"/>
                      <w:sz w:val="21"/>
                      <w:szCs w:val="21"/>
                      <w:highlight w:val="none"/>
                      <w:lang w:val="en-US" w:eastAsia="zh-CN"/>
                    </w:rPr>
                    <w:t>25</w:t>
                  </w:r>
                </w:p>
              </w:tc>
              <w:tc>
                <w:tcPr>
                  <w:tcW w:w="666" w:type="pct"/>
                  <w:noWrap w:val="0"/>
                  <w:tcMar>
                    <w:left w:w="57" w:type="dxa"/>
                    <w:right w:w="57" w:type="dxa"/>
                  </w:tcMar>
                  <w:vAlign w:val="center"/>
                </w:tcPr>
                <w:p w14:paraId="3F0D6238">
                  <w:pPr>
                    <w:keepNext w:val="0"/>
                    <w:keepLines w:val="0"/>
                    <w:suppressLineNumbers w:val="0"/>
                    <w:snapToGrid w:val="0"/>
                    <w:spacing w:before="0" w:beforeAutospacing="0" w:after="0" w:afterAutospacing="0"/>
                    <w:ind w:left="0" w:right="0"/>
                    <w:jc w:val="center"/>
                    <w:rPr>
                      <w:rFonts w:hint="default" w:ascii="Times New Roman" w:hAnsi="Times New Roman" w:eastAsia="宋体" w:cs="Times New Roman"/>
                      <w:b w:val="0"/>
                      <w:bCs w:val="0"/>
                      <w:sz w:val="21"/>
                      <w:szCs w:val="21"/>
                      <w:highlight w:val="none"/>
                      <w:lang w:val="en-US" w:eastAsia="zh-CN"/>
                    </w:rPr>
                  </w:pPr>
                  <w:r>
                    <w:rPr>
                      <w:rFonts w:hint="eastAsia" w:cs="Times New Roman"/>
                      <w:b w:val="0"/>
                      <w:bCs w:val="0"/>
                      <w:sz w:val="21"/>
                      <w:szCs w:val="21"/>
                      <w:highlight w:val="none"/>
                      <w:lang w:val="en-US" w:eastAsia="zh-CN"/>
                    </w:rPr>
                    <w:t>75</w:t>
                  </w:r>
                </w:p>
              </w:tc>
              <w:tc>
                <w:tcPr>
                  <w:tcW w:w="633" w:type="pct"/>
                  <w:vMerge w:val="continue"/>
                  <w:noWrap w:val="0"/>
                  <w:tcMar>
                    <w:left w:w="57" w:type="dxa"/>
                    <w:right w:w="57" w:type="dxa"/>
                  </w:tcMar>
                  <w:vAlign w:val="center"/>
                </w:tcPr>
                <w:p w14:paraId="2716BF7F">
                  <w:pPr>
                    <w:keepNext w:val="0"/>
                    <w:keepLines w:val="0"/>
                    <w:suppressLineNumbers w:val="0"/>
                    <w:adjustRightInd w:val="0"/>
                    <w:snapToGrid w:val="0"/>
                    <w:spacing w:before="0" w:beforeAutospacing="0" w:after="0" w:afterAutospacing="0"/>
                    <w:ind w:left="0" w:right="0"/>
                    <w:rPr>
                      <w:rFonts w:hint="eastAsia" w:ascii="Times New Roman" w:hAnsi="Times New Roman" w:eastAsia="宋体" w:cs="Times New Roman"/>
                      <w:b w:val="0"/>
                      <w:bCs w:val="0"/>
                      <w:kern w:val="0"/>
                      <w:sz w:val="21"/>
                      <w:szCs w:val="21"/>
                      <w:highlight w:val="none"/>
                    </w:rPr>
                  </w:pPr>
                </w:p>
              </w:tc>
              <w:tc>
                <w:tcPr>
                  <w:tcW w:w="672" w:type="pct"/>
                  <w:vMerge w:val="continue"/>
                  <w:noWrap w:val="0"/>
                  <w:tcMar>
                    <w:left w:w="57" w:type="dxa"/>
                    <w:right w:w="57" w:type="dxa"/>
                  </w:tcMar>
                  <w:vAlign w:val="center"/>
                </w:tcPr>
                <w:p w14:paraId="37F8BA4C">
                  <w:pPr>
                    <w:keepNext w:val="0"/>
                    <w:keepLines w:val="0"/>
                    <w:suppressLineNumbers w:val="0"/>
                    <w:adjustRightInd w:val="0"/>
                    <w:snapToGrid w:val="0"/>
                    <w:spacing w:before="0" w:beforeAutospacing="0" w:after="0" w:afterAutospacing="0"/>
                    <w:ind w:left="0" w:right="0"/>
                    <w:jc w:val="center"/>
                    <w:rPr>
                      <w:rFonts w:hint="eastAsia" w:ascii="Times New Roman" w:hAnsi="Times New Roman" w:eastAsia="宋体" w:cs="Times New Roman"/>
                      <w:b w:val="0"/>
                      <w:bCs w:val="0"/>
                      <w:kern w:val="0"/>
                      <w:sz w:val="21"/>
                      <w:szCs w:val="21"/>
                      <w:highlight w:val="none"/>
                      <w:lang w:val="en-US" w:eastAsia="zh-CN"/>
                    </w:rPr>
                  </w:pPr>
                </w:p>
              </w:tc>
            </w:tr>
            <w:tr w14:paraId="2A24061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c>
                <w:tcPr>
                  <w:tcW w:w="345" w:type="pct"/>
                  <w:shd w:val="clear" w:color="auto" w:fill="auto"/>
                  <w:noWrap w:val="0"/>
                  <w:tcMar>
                    <w:left w:w="57" w:type="dxa"/>
                    <w:right w:w="57" w:type="dxa"/>
                  </w:tcMar>
                  <w:vAlign w:val="center"/>
                </w:tcPr>
                <w:p w14:paraId="7D4BD6F3">
                  <w:pPr>
                    <w:keepNext w:val="0"/>
                    <w:keepLines w:val="0"/>
                    <w:suppressLineNumbers w:val="0"/>
                    <w:adjustRightInd w:val="0"/>
                    <w:snapToGrid w:val="0"/>
                    <w:spacing w:before="0" w:beforeAutospacing="0" w:after="0" w:afterAutospacing="0"/>
                    <w:ind w:left="0" w:right="0"/>
                    <w:jc w:val="center"/>
                    <w:rPr>
                      <w:rFonts w:hint="eastAsia" w:ascii="Times New Roman" w:hAnsi="Times New Roman" w:eastAsia="宋体" w:cs="Times New Roman"/>
                      <w:b w:val="0"/>
                      <w:bCs w:val="0"/>
                      <w:kern w:val="0"/>
                      <w:sz w:val="21"/>
                      <w:szCs w:val="21"/>
                      <w:highlight w:val="none"/>
                      <w:lang w:val="en-US" w:eastAsia="zh-CN" w:bidi="ar-SA"/>
                    </w:rPr>
                  </w:pPr>
                  <w:r>
                    <w:rPr>
                      <w:rFonts w:hint="eastAsia" w:ascii="Times New Roman" w:hAnsi="Times New Roman" w:eastAsia="宋体" w:cs="Times New Roman"/>
                      <w:b w:val="0"/>
                      <w:bCs w:val="0"/>
                      <w:kern w:val="0"/>
                      <w:sz w:val="21"/>
                      <w:szCs w:val="21"/>
                      <w:highlight w:val="none"/>
                      <w:lang w:val="en-US" w:eastAsia="zh-CN"/>
                    </w:rPr>
                    <w:t>25</w:t>
                  </w:r>
                </w:p>
              </w:tc>
              <w:tc>
                <w:tcPr>
                  <w:tcW w:w="453" w:type="pct"/>
                  <w:vMerge w:val="restart"/>
                  <w:noWrap w:val="0"/>
                  <w:tcMar>
                    <w:left w:w="57" w:type="dxa"/>
                    <w:right w:w="57" w:type="dxa"/>
                  </w:tcMar>
                  <w:vAlign w:val="center"/>
                </w:tcPr>
                <w:p w14:paraId="1F1815FD">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b w:val="0"/>
                      <w:bCs w:val="0"/>
                      <w:sz w:val="21"/>
                      <w:szCs w:val="21"/>
                      <w:highlight w:val="none"/>
                      <w:lang w:val="en-US" w:eastAsia="zh-CN"/>
                    </w:rPr>
                  </w:pPr>
                  <w:r>
                    <w:rPr>
                      <w:rFonts w:hint="eastAsia" w:cs="Times New Roman"/>
                      <w:b w:val="0"/>
                      <w:bCs w:val="0"/>
                      <w:sz w:val="21"/>
                      <w:szCs w:val="21"/>
                      <w:highlight w:val="none"/>
                      <w:lang w:val="en-US" w:eastAsia="zh-CN"/>
                    </w:rPr>
                    <w:t>科创综合楼</w:t>
                  </w:r>
                </w:p>
              </w:tc>
              <w:tc>
                <w:tcPr>
                  <w:tcW w:w="845" w:type="pct"/>
                  <w:noWrap w:val="0"/>
                  <w:tcMar>
                    <w:left w:w="57" w:type="dxa"/>
                    <w:right w:w="57" w:type="dxa"/>
                  </w:tcMar>
                  <w:vAlign w:val="center"/>
                </w:tcPr>
                <w:p w14:paraId="727FAC4B">
                  <w:pPr>
                    <w:keepNext w:val="0"/>
                    <w:keepLines w:val="0"/>
                    <w:suppressLineNumbers w:val="0"/>
                    <w:adjustRightInd w:val="0"/>
                    <w:snapToGrid w:val="0"/>
                    <w:spacing w:before="0" w:beforeAutospacing="0" w:after="0" w:afterAutospacing="0"/>
                    <w:ind w:left="0" w:right="0"/>
                    <w:jc w:val="center"/>
                    <w:rPr>
                      <w:rFonts w:hint="eastAsia" w:cs="Times New Roman"/>
                      <w:b w:val="0"/>
                      <w:bCs w:val="0"/>
                      <w:sz w:val="21"/>
                      <w:szCs w:val="21"/>
                      <w:highlight w:val="none"/>
                      <w:lang w:val="en-US" w:eastAsia="zh-CN"/>
                    </w:rPr>
                  </w:pPr>
                  <w:r>
                    <w:rPr>
                      <w:rFonts w:hint="eastAsia" w:cs="Times New Roman"/>
                      <w:b w:val="0"/>
                      <w:bCs w:val="0"/>
                      <w:sz w:val="21"/>
                      <w:szCs w:val="21"/>
                      <w:highlight w:val="none"/>
                      <w:lang w:val="en-US" w:eastAsia="zh-CN"/>
                    </w:rPr>
                    <w:t>DA011风机</w:t>
                  </w:r>
                </w:p>
              </w:tc>
              <w:tc>
                <w:tcPr>
                  <w:tcW w:w="348" w:type="pct"/>
                  <w:noWrap w:val="0"/>
                  <w:tcMar>
                    <w:left w:w="57" w:type="dxa"/>
                    <w:right w:w="57" w:type="dxa"/>
                  </w:tcMar>
                  <w:vAlign w:val="center"/>
                </w:tcPr>
                <w:p w14:paraId="121244CD">
                  <w:pPr>
                    <w:keepNext w:val="0"/>
                    <w:keepLines w:val="0"/>
                    <w:suppressLineNumbers w:val="0"/>
                    <w:snapToGrid w:val="0"/>
                    <w:spacing w:before="0" w:beforeAutospacing="0" w:after="0" w:afterAutospacing="0"/>
                    <w:ind w:left="0" w:right="0"/>
                    <w:jc w:val="center"/>
                    <w:rPr>
                      <w:rFonts w:hint="eastAsia" w:ascii="Times New Roman" w:hAnsi="Times New Roman" w:eastAsia="宋体" w:cs="Times New Roman"/>
                      <w:b w:val="0"/>
                      <w:bCs w:val="0"/>
                      <w:sz w:val="21"/>
                      <w:szCs w:val="21"/>
                      <w:highlight w:val="none"/>
                    </w:rPr>
                  </w:pPr>
                  <w:r>
                    <w:rPr>
                      <w:rFonts w:hint="eastAsia" w:ascii="Times New Roman" w:hAnsi="Times New Roman" w:eastAsia="宋体" w:cs="Times New Roman"/>
                      <w:b w:val="0"/>
                      <w:bCs w:val="0"/>
                      <w:sz w:val="21"/>
                      <w:szCs w:val="21"/>
                      <w:highlight w:val="none"/>
                    </w:rPr>
                    <w:t>/</w:t>
                  </w:r>
                </w:p>
              </w:tc>
              <w:tc>
                <w:tcPr>
                  <w:tcW w:w="353" w:type="pct"/>
                  <w:noWrap w:val="0"/>
                  <w:tcMar>
                    <w:left w:w="57" w:type="dxa"/>
                    <w:right w:w="57" w:type="dxa"/>
                  </w:tcMar>
                  <w:vAlign w:val="center"/>
                </w:tcPr>
                <w:p w14:paraId="758A6730">
                  <w:pPr>
                    <w:keepNext w:val="0"/>
                    <w:keepLines w:val="0"/>
                    <w:suppressLineNumbers w:val="0"/>
                    <w:spacing w:before="0" w:beforeAutospacing="0" w:after="0" w:afterAutospacing="0"/>
                    <w:ind w:left="0" w:right="0"/>
                    <w:jc w:val="center"/>
                    <w:rPr>
                      <w:rFonts w:hint="default" w:ascii="Times New Roman" w:hAnsi="Times New Roman" w:eastAsia="宋体" w:cs="Times New Roman"/>
                      <w:b w:val="0"/>
                      <w:bCs w:val="0"/>
                      <w:sz w:val="21"/>
                      <w:szCs w:val="21"/>
                      <w:highlight w:val="none"/>
                      <w:lang w:val="en-US" w:eastAsia="zh-CN"/>
                    </w:rPr>
                  </w:pPr>
                  <w:r>
                    <w:rPr>
                      <w:rFonts w:hint="eastAsia" w:ascii="Times New Roman" w:hAnsi="Times New Roman" w:eastAsia="宋体" w:cs="Times New Roman"/>
                      <w:b w:val="0"/>
                      <w:bCs w:val="0"/>
                      <w:sz w:val="21"/>
                      <w:szCs w:val="21"/>
                      <w:highlight w:val="none"/>
                      <w:lang w:val="en-US" w:eastAsia="zh-CN"/>
                    </w:rPr>
                    <w:t>53</w:t>
                  </w:r>
                </w:p>
              </w:tc>
              <w:tc>
                <w:tcPr>
                  <w:tcW w:w="340" w:type="pct"/>
                  <w:noWrap w:val="0"/>
                  <w:tcMar>
                    <w:left w:w="57" w:type="dxa"/>
                    <w:right w:w="57" w:type="dxa"/>
                  </w:tcMar>
                  <w:vAlign w:val="center"/>
                </w:tcPr>
                <w:p w14:paraId="79E78155">
                  <w:pPr>
                    <w:keepNext w:val="0"/>
                    <w:keepLines w:val="0"/>
                    <w:suppressLineNumbers w:val="0"/>
                    <w:spacing w:before="0" w:beforeAutospacing="0" w:after="0" w:afterAutospacing="0"/>
                    <w:ind w:left="0" w:right="0"/>
                    <w:jc w:val="center"/>
                    <w:rPr>
                      <w:rFonts w:hint="default" w:ascii="Times New Roman" w:hAnsi="Times New Roman" w:eastAsia="宋体" w:cs="Times New Roman"/>
                      <w:b w:val="0"/>
                      <w:bCs w:val="0"/>
                      <w:sz w:val="21"/>
                      <w:szCs w:val="21"/>
                      <w:highlight w:val="none"/>
                      <w:lang w:val="en-US" w:eastAsia="zh-CN"/>
                    </w:rPr>
                  </w:pPr>
                  <w:r>
                    <w:rPr>
                      <w:rFonts w:hint="eastAsia" w:ascii="Times New Roman" w:hAnsi="Times New Roman" w:eastAsia="宋体" w:cs="Times New Roman"/>
                      <w:b w:val="0"/>
                      <w:bCs w:val="0"/>
                      <w:sz w:val="21"/>
                      <w:szCs w:val="21"/>
                      <w:highlight w:val="none"/>
                      <w:lang w:val="en-US" w:eastAsia="zh-CN"/>
                    </w:rPr>
                    <w:t>161</w:t>
                  </w:r>
                </w:p>
              </w:tc>
              <w:tc>
                <w:tcPr>
                  <w:tcW w:w="339" w:type="pct"/>
                  <w:noWrap w:val="0"/>
                  <w:tcMar>
                    <w:left w:w="57" w:type="dxa"/>
                    <w:right w:w="57" w:type="dxa"/>
                  </w:tcMar>
                  <w:vAlign w:val="center"/>
                </w:tcPr>
                <w:p w14:paraId="6ED0B2C3">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b w:val="0"/>
                      <w:bCs w:val="0"/>
                      <w:kern w:val="0"/>
                      <w:sz w:val="21"/>
                      <w:szCs w:val="21"/>
                      <w:highlight w:val="none"/>
                      <w:lang w:val="en-US" w:eastAsia="zh-CN"/>
                    </w:rPr>
                  </w:pPr>
                  <w:r>
                    <w:rPr>
                      <w:rFonts w:hint="eastAsia" w:ascii="Times New Roman" w:hAnsi="Times New Roman" w:eastAsia="宋体" w:cs="Times New Roman"/>
                      <w:b w:val="0"/>
                      <w:bCs w:val="0"/>
                      <w:sz w:val="21"/>
                      <w:szCs w:val="21"/>
                      <w:highlight w:val="none"/>
                      <w:lang w:val="en-US" w:eastAsia="zh-CN"/>
                    </w:rPr>
                    <w:t>37</w:t>
                  </w:r>
                </w:p>
              </w:tc>
              <w:tc>
                <w:tcPr>
                  <w:tcW w:w="666" w:type="pct"/>
                  <w:noWrap w:val="0"/>
                  <w:tcMar>
                    <w:left w:w="57" w:type="dxa"/>
                    <w:right w:w="57" w:type="dxa"/>
                  </w:tcMar>
                  <w:vAlign w:val="center"/>
                </w:tcPr>
                <w:p w14:paraId="09FC1271">
                  <w:pPr>
                    <w:keepNext w:val="0"/>
                    <w:keepLines w:val="0"/>
                    <w:suppressLineNumbers w:val="0"/>
                    <w:snapToGrid w:val="0"/>
                    <w:spacing w:before="0" w:beforeAutospacing="0" w:after="0" w:afterAutospacing="0"/>
                    <w:ind w:left="0" w:right="0"/>
                    <w:jc w:val="center"/>
                    <w:rPr>
                      <w:rFonts w:hint="default" w:ascii="Times New Roman" w:hAnsi="Times New Roman" w:eastAsia="宋体" w:cs="Times New Roman"/>
                      <w:b w:val="0"/>
                      <w:bCs w:val="0"/>
                      <w:sz w:val="21"/>
                      <w:szCs w:val="21"/>
                      <w:highlight w:val="none"/>
                      <w:lang w:val="en-US" w:eastAsia="zh-CN"/>
                    </w:rPr>
                  </w:pPr>
                  <w:r>
                    <w:rPr>
                      <w:rFonts w:hint="eastAsia" w:ascii="Times New Roman" w:hAnsi="Times New Roman" w:eastAsia="宋体" w:cs="Times New Roman"/>
                      <w:b w:val="0"/>
                      <w:bCs w:val="0"/>
                      <w:sz w:val="21"/>
                      <w:szCs w:val="21"/>
                      <w:highlight w:val="none"/>
                      <w:lang w:val="en-US" w:eastAsia="zh-CN"/>
                    </w:rPr>
                    <w:t>79</w:t>
                  </w:r>
                </w:p>
              </w:tc>
              <w:tc>
                <w:tcPr>
                  <w:tcW w:w="633" w:type="pct"/>
                  <w:vMerge w:val="continue"/>
                  <w:noWrap w:val="0"/>
                  <w:tcMar>
                    <w:left w:w="57" w:type="dxa"/>
                    <w:right w:w="57" w:type="dxa"/>
                  </w:tcMar>
                  <w:vAlign w:val="center"/>
                </w:tcPr>
                <w:p w14:paraId="3C46AFD8">
                  <w:pPr>
                    <w:keepNext w:val="0"/>
                    <w:keepLines w:val="0"/>
                    <w:suppressLineNumbers w:val="0"/>
                    <w:adjustRightInd w:val="0"/>
                    <w:snapToGrid w:val="0"/>
                    <w:spacing w:before="0" w:beforeAutospacing="0" w:after="0" w:afterAutospacing="0"/>
                    <w:ind w:left="0" w:right="0"/>
                    <w:rPr>
                      <w:rFonts w:hint="eastAsia" w:ascii="Times New Roman" w:hAnsi="Times New Roman" w:eastAsia="宋体" w:cs="Times New Roman"/>
                      <w:b w:val="0"/>
                      <w:bCs w:val="0"/>
                      <w:kern w:val="0"/>
                      <w:sz w:val="21"/>
                      <w:szCs w:val="21"/>
                      <w:highlight w:val="none"/>
                    </w:rPr>
                  </w:pPr>
                </w:p>
              </w:tc>
              <w:tc>
                <w:tcPr>
                  <w:tcW w:w="672" w:type="pct"/>
                  <w:vMerge w:val="restart"/>
                  <w:noWrap w:val="0"/>
                  <w:tcMar>
                    <w:left w:w="57" w:type="dxa"/>
                    <w:right w:w="57" w:type="dxa"/>
                  </w:tcMar>
                  <w:vAlign w:val="center"/>
                </w:tcPr>
                <w:p w14:paraId="4B8F0A11">
                  <w:pPr>
                    <w:keepNext w:val="0"/>
                    <w:keepLines w:val="0"/>
                    <w:suppressLineNumbers w:val="0"/>
                    <w:adjustRightInd w:val="0"/>
                    <w:snapToGrid w:val="0"/>
                    <w:spacing w:before="0" w:beforeAutospacing="0" w:after="0" w:afterAutospacing="0"/>
                    <w:ind w:left="0" w:right="0"/>
                    <w:jc w:val="center"/>
                    <w:rPr>
                      <w:rFonts w:hint="eastAsia" w:ascii="Times New Roman" w:hAnsi="Times New Roman" w:eastAsia="宋体" w:cs="Times New Roman"/>
                      <w:b w:val="0"/>
                      <w:bCs w:val="0"/>
                      <w:kern w:val="0"/>
                      <w:sz w:val="21"/>
                      <w:szCs w:val="21"/>
                      <w:highlight w:val="none"/>
                      <w:lang w:val="en-US" w:eastAsia="zh-CN"/>
                    </w:rPr>
                  </w:pPr>
                  <w:r>
                    <w:rPr>
                      <w:rFonts w:hint="eastAsia" w:cs="Times New Roman"/>
                      <w:b w:val="0"/>
                      <w:bCs w:val="0"/>
                      <w:kern w:val="0"/>
                      <w:sz w:val="21"/>
                      <w:szCs w:val="21"/>
                      <w:highlight w:val="none"/>
                      <w:lang w:val="en-US" w:eastAsia="zh-CN"/>
                    </w:rPr>
                    <w:t>8h，260d</w:t>
                  </w:r>
                </w:p>
              </w:tc>
            </w:tr>
            <w:tr w14:paraId="76E5E3D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c>
                <w:tcPr>
                  <w:tcW w:w="345" w:type="pct"/>
                  <w:shd w:val="clear" w:color="auto" w:fill="auto"/>
                  <w:noWrap w:val="0"/>
                  <w:tcMar>
                    <w:left w:w="57" w:type="dxa"/>
                    <w:right w:w="57" w:type="dxa"/>
                  </w:tcMar>
                  <w:vAlign w:val="center"/>
                </w:tcPr>
                <w:p w14:paraId="13D763EC">
                  <w:pPr>
                    <w:keepNext w:val="0"/>
                    <w:keepLines w:val="0"/>
                    <w:suppressLineNumbers w:val="0"/>
                    <w:adjustRightInd w:val="0"/>
                    <w:snapToGrid w:val="0"/>
                    <w:spacing w:before="0" w:beforeAutospacing="0" w:after="0" w:afterAutospacing="0"/>
                    <w:ind w:left="0" w:right="0"/>
                    <w:jc w:val="center"/>
                    <w:rPr>
                      <w:rFonts w:hint="eastAsia" w:ascii="Times New Roman" w:hAnsi="Times New Roman" w:eastAsia="宋体" w:cs="Times New Roman"/>
                      <w:b w:val="0"/>
                      <w:bCs w:val="0"/>
                      <w:kern w:val="0"/>
                      <w:sz w:val="21"/>
                      <w:szCs w:val="21"/>
                      <w:highlight w:val="none"/>
                      <w:lang w:val="en-US" w:eastAsia="zh-CN" w:bidi="ar-SA"/>
                    </w:rPr>
                  </w:pPr>
                  <w:r>
                    <w:rPr>
                      <w:rFonts w:hint="eastAsia" w:ascii="Times New Roman" w:hAnsi="Times New Roman" w:eastAsia="宋体" w:cs="Times New Roman"/>
                      <w:b w:val="0"/>
                      <w:bCs w:val="0"/>
                      <w:kern w:val="0"/>
                      <w:sz w:val="21"/>
                      <w:szCs w:val="21"/>
                      <w:highlight w:val="none"/>
                      <w:lang w:val="en-US" w:eastAsia="zh-CN"/>
                    </w:rPr>
                    <w:t>26</w:t>
                  </w:r>
                </w:p>
              </w:tc>
              <w:tc>
                <w:tcPr>
                  <w:tcW w:w="453" w:type="pct"/>
                  <w:vMerge w:val="continue"/>
                  <w:noWrap w:val="0"/>
                  <w:tcMar>
                    <w:left w:w="57" w:type="dxa"/>
                    <w:right w:w="57" w:type="dxa"/>
                  </w:tcMar>
                  <w:vAlign w:val="center"/>
                </w:tcPr>
                <w:p w14:paraId="33FC582F">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b w:val="0"/>
                      <w:bCs w:val="0"/>
                      <w:sz w:val="21"/>
                      <w:szCs w:val="21"/>
                      <w:highlight w:val="none"/>
                      <w:lang w:val="en-US" w:eastAsia="zh-CN"/>
                    </w:rPr>
                  </w:pPr>
                </w:p>
              </w:tc>
              <w:tc>
                <w:tcPr>
                  <w:tcW w:w="845" w:type="pct"/>
                  <w:noWrap w:val="0"/>
                  <w:tcMar>
                    <w:left w:w="57" w:type="dxa"/>
                    <w:right w:w="57" w:type="dxa"/>
                  </w:tcMar>
                  <w:vAlign w:val="center"/>
                </w:tcPr>
                <w:p w14:paraId="79649D2B">
                  <w:pPr>
                    <w:keepNext w:val="0"/>
                    <w:keepLines w:val="0"/>
                    <w:suppressLineNumbers w:val="0"/>
                    <w:adjustRightInd w:val="0"/>
                    <w:snapToGrid w:val="0"/>
                    <w:spacing w:before="0" w:beforeAutospacing="0" w:after="0" w:afterAutospacing="0"/>
                    <w:ind w:left="0" w:right="0"/>
                    <w:jc w:val="center"/>
                    <w:rPr>
                      <w:rFonts w:hint="eastAsia" w:cs="Times New Roman"/>
                      <w:b w:val="0"/>
                      <w:bCs w:val="0"/>
                      <w:sz w:val="21"/>
                      <w:szCs w:val="21"/>
                      <w:highlight w:val="none"/>
                      <w:lang w:val="en-US" w:eastAsia="zh-CN"/>
                    </w:rPr>
                  </w:pPr>
                  <w:r>
                    <w:rPr>
                      <w:rFonts w:hint="eastAsia" w:cs="Times New Roman"/>
                      <w:b w:val="0"/>
                      <w:bCs w:val="0"/>
                      <w:sz w:val="21"/>
                      <w:szCs w:val="21"/>
                      <w:highlight w:val="none"/>
                      <w:lang w:val="en-US" w:eastAsia="zh-CN"/>
                    </w:rPr>
                    <w:t>DA012风机</w:t>
                  </w:r>
                </w:p>
              </w:tc>
              <w:tc>
                <w:tcPr>
                  <w:tcW w:w="348" w:type="pct"/>
                  <w:noWrap w:val="0"/>
                  <w:tcMar>
                    <w:left w:w="57" w:type="dxa"/>
                    <w:right w:w="57" w:type="dxa"/>
                  </w:tcMar>
                  <w:vAlign w:val="center"/>
                </w:tcPr>
                <w:p w14:paraId="737B866C">
                  <w:pPr>
                    <w:keepNext w:val="0"/>
                    <w:keepLines w:val="0"/>
                    <w:suppressLineNumbers w:val="0"/>
                    <w:snapToGrid w:val="0"/>
                    <w:spacing w:before="0" w:beforeAutospacing="0" w:after="0" w:afterAutospacing="0"/>
                    <w:ind w:left="0" w:right="0"/>
                    <w:jc w:val="center"/>
                    <w:rPr>
                      <w:rFonts w:hint="eastAsia" w:ascii="Times New Roman" w:hAnsi="Times New Roman" w:eastAsia="宋体" w:cs="Times New Roman"/>
                      <w:b w:val="0"/>
                      <w:bCs w:val="0"/>
                      <w:sz w:val="21"/>
                      <w:szCs w:val="21"/>
                      <w:highlight w:val="none"/>
                    </w:rPr>
                  </w:pPr>
                  <w:r>
                    <w:rPr>
                      <w:rFonts w:hint="eastAsia" w:ascii="Times New Roman" w:hAnsi="Times New Roman" w:eastAsia="宋体" w:cs="Times New Roman"/>
                      <w:b w:val="0"/>
                      <w:bCs w:val="0"/>
                      <w:sz w:val="21"/>
                      <w:szCs w:val="21"/>
                      <w:highlight w:val="none"/>
                    </w:rPr>
                    <w:t>/</w:t>
                  </w:r>
                </w:p>
              </w:tc>
              <w:tc>
                <w:tcPr>
                  <w:tcW w:w="353" w:type="pct"/>
                  <w:noWrap w:val="0"/>
                  <w:tcMar>
                    <w:left w:w="57" w:type="dxa"/>
                    <w:right w:w="57" w:type="dxa"/>
                  </w:tcMar>
                  <w:vAlign w:val="center"/>
                </w:tcPr>
                <w:p w14:paraId="392E9AF4">
                  <w:pPr>
                    <w:keepNext w:val="0"/>
                    <w:keepLines w:val="0"/>
                    <w:suppressLineNumbers w:val="0"/>
                    <w:spacing w:before="0" w:beforeAutospacing="0" w:after="0" w:afterAutospacing="0"/>
                    <w:ind w:left="0" w:right="0"/>
                    <w:jc w:val="center"/>
                    <w:rPr>
                      <w:rFonts w:hint="default" w:ascii="Times New Roman" w:hAnsi="Times New Roman" w:eastAsia="宋体" w:cs="Times New Roman"/>
                      <w:b w:val="0"/>
                      <w:bCs w:val="0"/>
                      <w:sz w:val="21"/>
                      <w:szCs w:val="21"/>
                      <w:highlight w:val="none"/>
                      <w:lang w:val="en-US" w:eastAsia="zh-CN"/>
                    </w:rPr>
                  </w:pPr>
                  <w:r>
                    <w:rPr>
                      <w:rFonts w:hint="eastAsia" w:ascii="Times New Roman" w:hAnsi="Times New Roman" w:eastAsia="宋体" w:cs="Times New Roman"/>
                      <w:b w:val="0"/>
                      <w:bCs w:val="0"/>
                      <w:sz w:val="21"/>
                      <w:szCs w:val="21"/>
                      <w:highlight w:val="none"/>
                      <w:lang w:val="en-US" w:eastAsia="zh-CN"/>
                    </w:rPr>
                    <w:t>47</w:t>
                  </w:r>
                </w:p>
              </w:tc>
              <w:tc>
                <w:tcPr>
                  <w:tcW w:w="340" w:type="pct"/>
                  <w:noWrap w:val="0"/>
                  <w:tcMar>
                    <w:left w:w="57" w:type="dxa"/>
                    <w:right w:w="57" w:type="dxa"/>
                  </w:tcMar>
                  <w:vAlign w:val="center"/>
                </w:tcPr>
                <w:p w14:paraId="6686D379">
                  <w:pPr>
                    <w:keepNext w:val="0"/>
                    <w:keepLines w:val="0"/>
                    <w:suppressLineNumbers w:val="0"/>
                    <w:spacing w:before="0" w:beforeAutospacing="0" w:after="0" w:afterAutospacing="0"/>
                    <w:ind w:left="0" w:right="0"/>
                    <w:jc w:val="center"/>
                    <w:rPr>
                      <w:rFonts w:hint="default" w:ascii="Times New Roman" w:hAnsi="Times New Roman" w:eastAsia="宋体" w:cs="Times New Roman"/>
                      <w:b w:val="0"/>
                      <w:bCs w:val="0"/>
                      <w:sz w:val="21"/>
                      <w:szCs w:val="21"/>
                      <w:highlight w:val="none"/>
                      <w:lang w:val="en-US" w:eastAsia="zh-CN"/>
                    </w:rPr>
                  </w:pPr>
                  <w:r>
                    <w:rPr>
                      <w:rFonts w:hint="eastAsia" w:ascii="Times New Roman" w:hAnsi="Times New Roman" w:eastAsia="宋体" w:cs="Times New Roman"/>
                      <w:b w:val="0"/>
                      <w:bCs w:val="0"/>
                      <w:sz w:val="21"/>
                      <w:szCs w:val="21"/>
                      <w:highlight w:val="none"/>
                      <w:lang w:val="en-US" w:eastAsia="zh-CN"/>
                    </w:rPr>
                    <w:t>157</w:t>
                  </w:r>
                </w:p>
              </w:tc>
              <w:tc>
                <w:tcPr>
                  <w:tcW w:w="339" w:type="pct"/>
                  <w:noWrap w:val="0"/>
                  <w:tcMar>
                    <w:left w:w="57" w:type="dxa"/>
                    <w:right w:w="57" w:type="dxa"/>
                  </w:tcMar>
                  <w:vAlign w:val="center"/>
                </w:tcPr>
                <w:p w14:paraId="5A3FBAD4">
                  <w:pPr>
                    <w:keepNext w:val="0"/>
                    <w:keepLines w:val="0"/>
                    <w:suppressLineNumbers w:val="0"/>
                    <w:adjustRightInd w:val="0"/>
                    <w:snapToGrid w:val="0"/>
                    <w:spacing w:before="0" w:beforeAutospacing="0" w:after="0" w:afterAutospacing="0"/>
                    <w:ind w:left="0" w:right="0"/>
                    <w:jc w:val="center"/>
                    <w:rPr>
                      <w:rFonts w:hint="eastAsia" w:ascii="Times New Roman" w:hAnsi="Times New Roman" w:eastAsia="宋体" w:cs="Times New Roman"/>
                      <w:b w:val="0"/>
                      <w:bCs w:val="0"/>
                      <w:kern w:val="0"/>
                      <w:sz w:val="21"/>
                      <w:szCs w:val="21"/>
                      <w:highlight w:val="none"/>
                      <w:lang w:val="en-US" w:eastAsia="zh-CN"/>
                    </w:rPr>
                  </w:pPr>
                  <w:r>
                    <w:rPr>
                      <w:rFonts w:hint="eastAsia" w:ascii="Times New Roman" w:hAnsi="Times New Roman" w:eastAsia="宋体" w:cs="Times New Roman"/>
                      <w:b w:val="0"/>
                      <w:bCs w:val="0"/>
                      <w:sz w:val="21"/>
                      <w:szCs w:val="21"/>
                      <w:highlight w:val="none"/>
                      <w:lang w:val="en-US" w:eastAsia="zh-CN"/>
                    </w:rPr>
                    <w:t>37</w:t>
                  </w:r>
                </w:p>
              </w:tc>
              <w:tc>
                <w:tcPr>
                  <w:tcW w:w="666" w:type="pct"/>
                  <w:noWrap w:val="0"/>
                  <w:tcMar>
                    <w:left w:w="57" w:type="dxa"/>
                    <w:right w:w="57" w:type="dxa"/>
                  </w:tcMar>
                  <w:vAlign w:val="center"/>
                </w:tcPr>
                <w:p w14:paraId="335535F6">
                  <w:pPr>
                    <w:keepNext w:val="0"/>
                    <w:keepLines w:val="0"/>
                    <w:suppressLineNumbers w:val="0"/>
                    <w:snapToGrid w:val="0"/>
                    <w:spacing w:before="0" w:beforeAutospacing="0" w:after="0" w:afterAutospacing="0"/>
                    <w:ind w:left="0" w:right="0"/>
                    <w:jc w:val="center"/>
                    <w:rPr>
                      <w:rFonts w:hint="default" w:ascii="Times New Roman" w:hAnsi="Times New Roman" w:eastAsia="宋体" w:cs="Times New Roman"/>
                      <w:b w:val="0"/>
                      <w:bCs w:val="0"/>
                      <w:sz w:val="21"/>
                      <w:szCs w:val="21"/>
                      <w:highlight w:val="none"/>
                      <w:lang w:val="en-US" w:eastAsia="zh-CN"/>
                    </w:rPr>
                  </w:pPr>
                  <w:r>
                    <w:rPr>
                      <w:rFonts w:hint="eastAsia" w:ascii="Times New Roman" w:hAnsi="Times New Roman" w:eastAsia="宋体" w:cs="Times New Roman"/>
                      <w:b w:val="0"/>
                      <w:bCs w:val="0"/>
                      <w:sz w:val="21"/>
                      <w:szCs w:val="21"/>
                      <w:highlight w:val="none"/>
                      <w:lang w:val="en-US" w:eastAsia="zh-CN"/>
                    </w:rPr>
                    <w:t>82</w:t>
                  </w:r>
                </w:p>
              </w:tc>
              <w:tc>
                <w:tcPr>
                  <w:tcW w:w="633" w:type="pct"/>
                  <w:vMerge w:val="continue"/>
                  <w:noWrap w:val="0"/>
                  <w:tcMar>
                    <w:left w:w="57" w:type="dxa"/>
                    <w:right w:w="57" w:type="dxa"/>
                  </w:tcMar>
                  <w:vAlign w:val="center"/>
                </w:tcPr>
                <w:p w14:paraId="683AB26E">
                  <w:pPr>
                    <w:keepNext w:val="0"/>
                    <w:keepLines w:val="0"/>
                    <w:suppressLineNumbers w:val="0"/>
                    <w:adjustRightInd w:val="0"/>
                    <w:snapToGrid w:val="0"/>
                    <w:spacing w:before="0" w:beforeAutospacing="0" w:after="0" w:afterAutospacing="0"/>
                    <w:ind w:left="0" w:right="0"/>
                    <w:rPr>
                      <w:rFonts w:hint="eastAsia" w:ascii="Times New Roman" w:hAnsi="Times New Roman" w:eastAsia="宋体" w:cs="Times New Roman"/>
                      <w:b w:val="0"/>
                      <w:bCs w:val="0"/>
                      <w:kern w:val="0"/>
                      <w:sz w:val="21"/>
                      <w:szCs w:val="21"/>
                      <w:highlight w:val="none"/>
                    </w:rPr>
                  </w:pPr>
                </w:p>
              </w:tc>
              <w:tc>
                <w:tcPr>
                  <w:tcW w:w="672" w:type="pct"/>
                  <w:vMerge w:val="continue"/>
                  <w:noWrap w:val="0"/>
                  <w:tcMar>
                    <w:left w:w="57" w:type="dxa"/>
                    <w:right w:w="57" w:type="dxa"/>
                  </w:tcMar>
                  <w:vAlign w:val="center"/>
                </w:tcPr>
                <w:p w14:paraId="398F3AF6">
                  <w:pPr>
                    <w:keepNext w:val="0"/>
                    <w:keepLines w:val="0"/>
                    <w:suppressLineNumbers w:val="0"/>
                    <w:adjustRightInd w:val="0"/>
                    <w:snapToGrid w:val="0"/>
                    <w:spacing w:before="0" w:beforeAutospacing="0" w:after="0" w:afterAutospacing="0"/>
                    <w:ind w:left="0" w:right="0"/>
                    <w:jc w:val="center"/>
                    <w:rPr>
                      <w:rFonts w:hint="eastAsia" w:ascii="Times New Roman" w:hAnsi="Times New Roman" w:eastAsia="宋体" w:cs="Times New Roman"/>
                      <w:b w:val="0"/>
                      <w:bCs w:val="0"/>
                      <w:kern w:val="0"/>
                      <w:sz w:val="21"/>
                      <w:szCs w:val="21"/>
                      <w:highlight w:val="none"/>
                      <w:lang w:val="en-US" w:eastAsia="zh-CN"/>
                    </w:rPr>
                  </w:pPr>
                </w:p>
              </w:tc>
            </w:tr>
            <w:tr w14:paraId="30A0900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c>
                <w:tcPr>
                  <w:tcW w:w="345" w:type="pct"/>
                  <w:shd w:val="clear" w:color="auto" w:fill="auto"/>
                  <w:noWrap w:val="0"/>
                  <w:tcMar>
                    <w:left w:w="57" w:type="dxa"/>
                    <w:right w:w="57" w:type="dxa"/>
                  </w:tcMar>
                  <w:vAlign w:val="center"/>
                </w:tcPr>
                <w:p w14:paraId="52AA375E">
                  <w:pPr>
                    <w:keepNext w:val="0"/>
                    <w:keepLines w:val="0"/>
                    <w:suppressLineNumbers w:val="0"/>
                    <w:adjustRightInd w:val="0"/>
                    <w:snapToGrid w:val="0"/>
                    <w:spacing w:before="0" w:beforeAutospacing="0" w:after="0" w:afterAutospacing="0"/>
                    <w:ind w:left="0" w:right="0"/>
                    <w:jc w:val="center"/>
                    <w:rPr>
                      <w:rFonts w:hint="eastAsia" w:ascii="Times New Roman" w:hAnsi="Times New Roman" w:eastAsia="宋体" w:cs="Times New Roman"/>
                      <w:b w:val="0"/>
                      <w:bCs w:val="0"/>
                      <w:kern w:val="0"/>
                      <w:sz w:val="21"/>
                      <w:szCs w:val="21"/>
                      <w:highlight w:val="none"/>
                      <w:lang w:val="en-US" w:eastAsia="zh-CN" w:bidi="ar-SA"/>
                    </w:rPr>
                  </w:pPr>
                  <w:r>
                    <w:rPr>
                      <w:rFonts w:hint="eastAsia" w:ascii="Times New Roman" w:hAnsi="Times New Roman" w:eastAsia="宋体" w:cs="Times New Roman"/>
                      <w:b w:val="0"/>
                      <w:bCs w:val="0"/>
                      <w:kern w:val="0"/>
                      <w:sz w:val="21"/>
                      <w:szCs w:val="21"/>
                      <w:highlight w:val="none"/>
                      <w:lang w:val="en-US" w:eastAsia="zh-CN"/>
                    </w:rPr>
                    <w:t>27</w:t>
                  </w:r>
                </w:p>
              </w:tc>
              <w:tc>
                <w:tcPr>
                  <w:tcW w:w="453" w:type="pct"/>
                  <w:vMerge w:val="continue"/>
                  <w:noWrap w:val="0"/>
                  <w:tcMar>
                    <w:left w:w="57" w:type="dxa"/>
                    <w:right w:w="57" w:type="dxa"/>
                  </w:tcMar>
                  <w:vAlign w:val="center"/>
                </w:tcPr>
                <w:p w14:paraId="579E7B35">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b w:val="0"/>
                      <w:bCs w:val="0"/>
                      <w:sz w:val="21"/>
                      <w:szCs w:val="21"/>
                      <w:highlight w:val="none"/>
                      <w:lang w:val="en-US" w:eastAsia="zh-CN"/>
                    </w:rPr>
                  </w:pPr>
                </w:p>
              </w:tc>
              <w:tc>
                <w:tcPr>
                  <w:tcW w:w="845" w:type="pct"/>
                  <w:noWrap w:val="0"/>
                  <w:tcMar>
                    <w:left w:w="57" w:type="dxa"/>
                    <w:right w:w="57" w:type="dxa"/>
                  </w:tcMar>
                  <w:vAlign w:val="center"/>
                </w:tcPr>
                <w:p w14:paraId="7B4CA0DB">
                  <w:pPr>
                    <w:keepNext w:val="0"/>
                    <w:keepLines w:val="0"/>
                    <w:suppressLineNumbers w:val="0"/>
                    <w:adjustRightInd w:val="0"/>
                    <w:snapToGrid w:val="0"/>
                    <w:spacing w:before="0" w:beforeAutospacing="0" w:after="0" w:afterAutospacing="0"/>
                    <w:ind w:left="0" w:right="0"/>
                    <w:jc w:val="center"/>
                    <w:rPr>
                      <w:rFonts w:hint="eastAsia" w:cs="Times New Roman"/>
                      <w:b w:val="0"/>
                      <w:bCs w:val="0"/>
                      <w:sz w:val="21"/>
                      <w:szCs w:val="21"/>
                      <w:highlight w:val="none"/>
                      <w:lang w:val="en-US" w:eastAsia="zh-CN"/>
                    </w:rPr>
                  </w:pPr>
                  <w:r>
                    <w:rPr>
                      <w:rFonts w:hint="eastAsia" w:cs="Times New Roman"/>
                      <w:b w:val="0"/>
                      <w:bCs w:val="0"/>
                      <w:sz w:val="21"/>
                      <w:szCs w:val="21"/>
                      <w:highlight w:val="none"/>
                      <w:lang w:val="en-US" w:eastAsia="zh-CN"/>
                    </w:rPr>
                    <w:t>DA013风机</w:t>
                  </w:r>
                </w:p>
              </w:tc>
              <w:tc>
                <w:tcPr>
                  <w:tcW w:w="348" w:type="pct"/>
                  <w:noWrap w:val="0"/>
                  <w:tcMar>
                    <w:left w:w="57" w:type="dxa"/>
                    <w:right w:w="57" w:type="dxa"/>
                  </w:tcMar>
                  <w:vAlign w:val="center"/>
                </w:tcPr>
                <w:p w14:paraId="7C530C9D">
                  <w:pPr>
                    <w:keepNext w:val="0"/>
                    <w:keepLines w:val="0"/>
                    <w:suppressLineNumbers w:val="0"/>
                    <w:snapToGrid w:val="0"/>
                    <w:spacing w:before="0" w:beforeAutospacing="0" w:after="0" w:afterAutospacing="0"/>
                    <w:ind w:left="0" w:right="0"/>
                    <w:jc w:val="center"/>
                    <w:rPr>
                      <w:rFonts w:hint="eastAsia" w:ascii="Times New Roman" w:hAnsi="Times New Roman" w:eastAsia="宋体" w:cs="Times New Roman"/>
                      <w:b w:val="0"/>
                      <w:bCs w:val="0"/>
                      <w:sz w:val="21"/>
                      <w:szCs w:val="21"/>
                      <w:highlight w:val="none"/>
                    </w:rPr>
                  </w:pPr>
                  <w:r>
                    <w:rPr>
                      <w:rFonts w:hint="eastAsia" w:ascii="Times New Roman" w:hAnsi="Times New Roman" w:eastAsia="宋体" w:cs="Times New Roman"/>
                      <w:b w:val="0"/>
                      <w:bCs w:val="0"/>
                      <w:sz w:val="21"/>
                      <w:szCs w:val="21"/>
                      <w:highlight w:val="none"/>
                    </w:rPr>
                    <w:t>/</w:t>
                  </w:r>
                </w:p>
              </w:tc>
              <w:tc>
                <w:tcPr>
                  <w:tcW w:w="353" w:type="pct"/>
                  <w:noWrap w:val="0"/>
                  <w:tcMar>
                    <w:left w:w="57" w:type="dxa"/>
                    <w:right w:w="57" w:type="dxa"/>
                  </w:tcMar>
                  <w:vAlign w:val="center"/>
                </w:tcPr>
                <w:p w14:paraId="0691B8C8">
                  <w:pPr>
                    <w:keepNext w:val="0"/>
                    <w:keepLines w:val="0"/>
                    <w:suppressLineNumbers w:val="0"/>
                    <w:spacing w:before="0" w:beforeAutospacing="0" w:after="0" w:afterAutospacing="0"/>
                    <w:ind w:left="0" w:right="0"/>
                    <w:jc w:val="center"/>
                    <w:rPr>
                      <w:rFonts w:hint="default" w:ascii="Times New Roman" w:hAnsi="Times New Roman" w:eastAsia="宋体" w:cs="Times New Roman"/>
                      <w:b w:val="0"/>
                      <w:bCs w:val="0"/>
                      <w:sz w:val="21"/>
                      <w:szCs w:val="21"/>
                      <w:highlight w:val="none"/>
                      <w:lang w:val="en-US" w:eastAsia="zh-CN"/>
                    </w:rPr>
                  </w:pPr>
                  <w:r>
                    <w:rPr>
                      <w:rFonts w:hint="eastAsia" w:ascii="Times New Roman" w:hAnsi="Times New Roman" w:eastAsia="宋体" w:cs="Times New Roman"/>
                      <w:b w:val="0"/>
                      <w:bCs w:val="0"/>
                      <w:sz w:val="21"/>
                      <w:szCs w:val="21"/>
                      <w:highlight w:val="none"/>
                      <w:lang w:val="en-US" w:eastAsia="zh-CN"/>
                    </w:rPr>
                    <w:t>50</w:t>
                  </w:r>
                </w:p>
              </w:tc>
              <w:tc>
                <w:tcPr>
                  <w:tcW w:w="340" w:type="pct"/>
                  <w:noWrap w:val="0"/>
                  <w:tcMar>
                    <w:left w:w="57" w:type="dxa"/>
                    <w:right w:w="57" w:type="dxa"/>
                  </w:tcMar>
                  <w:vAlign w:val="center"/>
                </w:tcPr>
                <w:p w14:paraId="2BDF22EA">
                  <w:pPr>
                    <w:keepNext w:val="0"/>
                    <w:keepLines w:val="0"/>
                    <w:suppressLineNumbers w:val="0"/>
                    <w:spacing w:before="0" w:beforeAutospacing="0" w:after="0" w:afterAutospacing="0"/>
                    <w:ind w:left="0" w:right="0"/>
                    <w:jc w:val="center"/>
                    <w:rPr>
                      <w:rFonts w:hint="default" w:ascii="Times New Roman" w:hAnsi="Times New Roman" w:eastAsia="宋体" w:cs="Times New Roman"/>
                      <w:b w:val="0"/>
                      <w:bCs w:val="0"/>
                      <w:sz w:val="21"/>
                      <w:szCs w:val="21"/>
                      <w:highlight w:val="none"/>
                      <w:lang w:val="en-US" w:eastAsia="zh-CN"/>
                    </w:rPr>
                  </w:pPr>
                  <w:r>
                    <w:rPr>
                      <w:rFonts w:hint="eastAsia" w:ascii="Times New Roman" w:hAnsi="Times New Roman" w:eastAsia="宋体" w:cs="Times New Roman"/>
                      <w:b w:val="0"/>
                      <w:bCs w:val="0"/>
                      <w:sz w:val="21"/>
                      <w:szCs w:val="21"/>
                      <w:highlight w:val="none"/>
                      <w:lang w:val="en-US" w:eastAsia="zh-CN"/>
                    </w:rPr>
                    <w:t>112</w:t>
                  </w:r>
                </w:p>
              </w:tc>
              <w:tc>
                <w:tcPr>
                  <w:tcW w:w="339" w:type="pct"/>
                  <w:noWrap w:val="0"/>
                  <w:tcMar>
                    <w:left w:w="57" w:type="dxa"/>
                    <w:right w:w="57" w:type="dxa"/>
                  </w:tcMar>
                  <w:vAlign w:val="center"/>
                </w:tcPr>
                <w:p w14:paraId="7B5593FF">
                  <w:pPr>
                    <w:keepNext w:val="0"/>
                    <w:keepLines w:val="0"/>
                    <w:suppressLineNumbers w:val="0"/>
                    <w:adjustRightInd w:val="0"/>
                    <w:snapToGrid w:val="0"/>
                    <w:spacing w:before="0" w:beforeAutospacing="0" w:after="0" w:afterAutospacing="0"/>
                    <w:ind w:left="0" w:right="0"/>
                    <w:jc w:val="center"/>
                    <w:rPr>
                      <w:rFonts w:hint="eastAsia" w:ascii="Times New Roman" w:hAnsi="Times New Roman" w:eastAsia="宋体" w:cs="Times New Roman"/>
                      <w:b w:val="0"/>
                      <w:bCs w:val="0"/>
                      <w:kern w:val="0"/>
                      <w:sz w:val="21"/>
                      <w:szCs w:val="21"/>
                      <w:highlight w:val="none"/>
                      <w:lang w:val="en-US" w:eastAsia="zh-CN"/>
                    </w:rPr>
                  </w:pPr>
                  <w:r>
                    <w:rPr>
                      <w:rFonts w:hint="eastAsia" w:ascii="Times New Roman" w:hAnsi="Times New Roman" w:eastAsia="宋体" w:cs="Times New Roman"/>
                      <w:b w:val="0"/>
                      <w:bCs w:val="0"/>
                      <w:sz w:val="21"/>
                      <w:szCs w:val="21"/>
                      <w:highlight w:val="none"/>
                      <w:lang w:val="en-US" w:eastAsia="zh-CN"/>
                    </w:rPr>
                    <w:t>37</w:t>
                  </w:r>
                </w:p>
              </w:tc>
              <w:tc>
                <w:tcPr>
                  <w:tcW w:w="666" w:type="pct"/>
                  <w:noWrap w:val="0"/>
                  <w:tcMar>
                    <w:left w:w="57" w:type="dxa"/>
                    <w:right w:w="57" w:type="dxa"/>
                  </w:tcMar>
                  <w:vAlign w:val="center"/>
                </w:tcPr>
                <w:p w14:paraId="142C1802">
                  <w:pPr>
                    <w:keepNext w:val="0"/>
                    <w:keepLines w:val="0"/>
                    <w:suppressLineNumbers w:val="0"/>
                    <w:snapToGrid w:val="0"/>
                    <w:spacing w:before="0" w:beforeAutospacing="0" w:after="0" w:afterAutospacing="0"/>
                    <w:ind w:left="0" w:right="0"/>
                    <w:jc w:val="center"/>
                    <w:rPr>
                      <w:rFonts w:hint="default" w:ascii="Times New Roman" w:hAnsi="Times New Roman" w:eastAsia="宋体" w:cs="Times New Roman"/>
                      <w:b w:val="0"/>
                      <w:bCs w:val="0"/>
                      <w:sz w:val="21"/>
                      <w:szCs w:val="21"/>
                      <w:highlight w:val="none"/>
                      <w:lang w:val="en-US" w:eastAsia="zh-CN"/>
                    </w:rPr>
                  </w:pPr>
                  <w:r>
                    <w:rPr>
                      <w:rFonts w:hint="eastAsia" w:ascii="Times New Roman" w:hAnsi="Times New Roman" w:eastAsia="宋体" w:cs="Times New Roman"/>
                      <w:b w:val="0"/>
                      <w:bCs w:val="0"/>
                      <w:sz w:val="21"/>
                      <w:szCs w:val="21"/>
                      <w:highlight w:val="none"/>
                      <w:lang w:val="en-US" w:eastAsia="zh-CN"/>
                    </w:rPr>
                    <w:t>83</w:t>
                  </w:r>
                </w:p>
              </w:tc>
              <w:tc>
                <w:tcPr>
                  <w:tcW w:w="633" w:type="pct"/>
                  <w:vMerge w:val="continue"/>
                  <w:noWrap w:val="0"/>
                  <w:tcMar>
                    <w:left w:w="57" w:type="dxa"/>
                    <w:right w:w="57" w:type="dxa"/>
                  </w:tcMar>
                  <w:vAlign w:val="center"/>
                </w:tcPr>
                <w:p w14:paraId="3C2F2E21">
                  <w:pPr>
                    <w:keepNext w:val="0"/>
                    <w:keepLines w:val="0"/>
                    <w:suppressLineNumbers w:val="0"/>
                    <w:adjustRightInd w:val="0"/>
                    <w:snapToGrid w:val="0"/>
                    <w:spacing w:before="0" w:beforeAutospacing="0" w:after="0" w:afterAutospacing="0"/>
                    <w:ind w:left="0" w:right="0"/>
                    <w:rPr>
                      <w:rFonts w:hint="eastAsia" w:ascii="Times New Roman" w:hAnsi="Times New Roman" w:eastAsia="宋体" w:cs="Times New Roman"/>
                      <w:b w:val="0"/>
                      <w:bCs w:val="0"/>
                      <w:kern w:val="0"/>
                      <w:sz w:val="21"/>
                      <w:szCs w:val="21"/>
                      <w:highlight w:val="none"/>
                    </w:rPr>
                  </w:pPr>
                </w:p>
              </w:tc>
              <w:tc>
                <w:tcPr>
                  <w:tcW w:w="672" w:type="pct"/>
                  <w:vMerge w:val="continue"/>
                  <w:noWrap w:val="0"/>
                  <w:tcMar>
                    <w:left w:w="57" w:type="dxa"/>
                    <w:right w:w="57" w:type="dxa"/>
                  </w:tcMar>
                  <w:vAlign w:val="center"/>
                </w:tcPr>
                <w:p w14:paraId="39FAE3E8">
                  <w:pPr>
                    <w:keepNext w:val="0"/>
                    <w:keepLines w:val="0"/>
                    <w:suppressLineNumbers w:val="0"/>
                    <w:adjustRightInd w:val="0"/>
                    <w:snapToGrid w:val="0"/>
                    <w:spacing w:before="0" w:beforeAutospacing="0" w:after="0" w:afterAutospacing="0"/>
                    <w:ind w:left="0" w:right="0"/>
                    <w:jc w:val="center"/>
                    <w:rPr>
                      <w:rFonts w:hint="eastAsia" w:ascii="Times New Roman" w:hAnsi="Times New Roman" w:eastAsia="宋体" w:cs="Times New Roman"/>
                      <w:b w:val="0"/>
                      <w:bCs w:val="0"/>
                      <w:kern w:val="0"/>
                      <w:sz w:val="21"/>
                      <w:szCs w:val="21"/>
                      <w:highlight w:val="none"/>
                      <w:lang w:val="en-US" w:eastAsia="zh-CN"/>
                    </w:rPr>
                  </w:pPr>
                </w:p>
              </w:tc>
            </w:tr>
            <w:tr w14:paraId="360828C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c>
                <w:tcPr>
                  <w:tcW w:w="345" w:type="pct"/>
                  <w:shd w:val="clear" w:color="auto" w:fill="auto"/>
                  <w:noWrap w:val="0"/>
                  <w:tcMar>
                    <w:left w:w="57" w:type="dxa"/>
                    <w:right w:w="57" w:type="dxa"/>
                  </w:tcMar>
                  <w:vAlign w:val="center"/>
                </w:tcPr>
                <w:p w14:paraId="06CDC3E2">
                  <w:pPr>
                    <w:keepNext w:val="0"/>
                    <w:keepLines w:val="0"/>
                    <w:suppressLineNumbers w:val="0"/>
                    <w:adjustRightInd w:val="0"/>
                    <w:snapToGrid w:val="0"/>
                    <w:spacing w:before="0" w:beforeAutospacing="0" w:after="0" w:afterAutospacing="0"/>
                    <w:ind w:left="0" w:right="0"/>
                    <w:jc w:val="center"/>
                    <w:rPr>
                      <w:rFonts w:hint="eastAsia" w:ascii="Times New Roman" w:hAnsi="Times New Roman" w:eastAsia="宋体" w:cs="Times New Roman"/>
                      <w:b w:val="0"/>
                      <w:bCs w:val="0"/>
                      <w:kern w:val="0"/>
                      <w:sz w:val="21"/>
                      <w:szCs w:val="21"/>
                      <w:highlight w:val="none"/>
                      <w:lang w:val="en-US" w:eastAsia="zh-CN" w:bidi="ar-SA"/>
                    </w:rPr>
                  </w:pPr>
                  <w:r>
                    <w:rPr>
                      <w:rFonts w:hint="eastAsia" w:ascii="Times New Roman" w:hAnsi="Times New Roman" w:eastAsia="宋体" w:cs="Times New Roman"/>
                      <w:b w:val="0"/>
                      <w:bCs w:val="0"/>
                      <w:kern w:val="0"/>
                      <w:sz w:val="21"/>
                      <w:szCs w:val="21"/>
                      <w:highlight w:val="none"/>
                      <w:lang w:val="en-US" w:eastAsia="zh-CN"/>
                    </w:rPr>
                    <w:t>28</w:t>
                  </w:r>
                </w:p>
              </w:tc>
              <w:tc>
                <w:tcPr>
                  <w:tcW w:w="453" w:type="pct"/>
                  <w:vMerge w:val="continue"/>
                  <w:noWrap w:val="0"/>
                  <w:tcMar>
                    <w:left w:w="57" w:type="dxa"/>
                    <w:right w:w="57" w:type="dxa"/>
                  </w:tcMar>
                  <w:vAlign w:val="center"/>
                </w:tcPr>
                <w:p w14:paraId="13C78F07">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b w:val="0"/>
                      <w:bCs w:val="0"/>
                      <w:sz w:val="21"/>
                      <w:szCs w:val="21"/>
                      <w:highlight w:val="none"/>
                      <w:lang w:val="en-US" w:eastAsia="zh-CN"/>
                    </w:rPr>
                  </w:pPr>
                </w:p>
              </w:tc>
              <w:tc>
                <w:tcPr>
                  <w:tcW w:w="845" w:type="pct"/>
                  <w:noWrap w:val="0"/>
                  <w:tcMar>
                    <w:left w:w="57" w:type="dxa"/>
                    <w:right w:w="57" w:type="dxa"/>
                  </w:tcMar>
                  <w:vAlign w:val="center"/>
                </w:tcPr>
                <w:p w14:paraId="5F1AAC1F">
                  <w:pPr>
                    <w:keepNext w:val="0"/>
                    <w:keepLines w:val="0"/>
                    <w:suppressLineNumbers w:val="0"/>
                    <w:adjustRightInd w:val="0"/>
                    <w:snapToGrid w:val="0"/>
                    <w:spacing w:before="0" w:beforeAutospacing="0" w:after="0" w:afterAutospacing="0"/>
                    <w:ind w:left="0" w:right="0"/>
                    <w:jc w:val="center"/>
                    <w:rPr>
                      <w:rFonts w:hint="eastAsia" w:cs="Times New Roman"/>
                      <w:b w:val="0"/>
                      <w:bCs w:val="0"/>
                      <w:sz w:val="21"/>
                      <w:szCs w:val="21"/>
                      <w:highlight w:val="none"/>
                      <w:lang w:val="en-US" w:eastAsia="zh-CN"/>
                    </w:rPr>
                  </w:pPr>
                  <w:r>
                    <w:rPr>
                      <w:rFonts w:hint="eastAsia" w:cs="Times New Roman"/>
                      <w:b w:val="0"/>
                      <w:bCs w:val="0"/>
                      <w:sz w:val="21"/>
                      <w:szCs w:val="21"/>
                      <w:highlight w:val="none"/>
                      <w:lang w:val="en-US" w:eastAsia="zh-CN"/>
                    </w:rPr>
                    <w:t>DA014风机</w:t>
                  </w:r>
                </w:p>
              </w:tc>
              <w:tc>
                <w:tcPr>
                  <w:tcW w:w="348" w:type="pct"/>
                  <w:noWrap w:val="0"/>
                  <w:tcMar>
                    <w:left w:w="57" w:type="dxa"/>
                    <w:right w:w="57" w:type="dxa"/>
                  </w:tcMar>
                  <w:vAlign w:val="center"/>
                </w:tcPr>
                <w:p w14:paraId="06E8573E">
                  <w:pPr>
                    <w:keepNext w:val="0"/>
                    <w:keepLines w:val="0"/>
                    <w:suppressLineNumbers w:val="0"/>
                    <w:snapToGrid w:val="0"/>
                    <w:spacing w:before="0" w:beforeAutospacing="0" w:after="0" w:afterAutospacing="0"/>
                    <w:ind w:left="0" w:right="0"/>
                    <w:jc w:val="center"/>
                    <w:rPr>
                      <w:rFonts w:hint="eastAsia" w:ascii="Times New Roman" w:hAnsi="Times New Roman" w:eastAsia="宋体" w:cs="Times New Roman"/>
                      <w:b w:val="0"/>
                      <w:bCs w:val="0"/>
                      <w:sz w:val="21"/>
                      <w:szCs w:val="21"/>
                      <w:highlight w:val="none"/>
                    </w:rPr>
                  </w:pPr>
                  <w:r>
                    <w:rPr>
                      <w:rFonts w:hint="eastAsia" w:ascii="Times New Roman" w:hAnsi="Times New Roman" w:eastAsia="宋体" w:cs="Times New Roman"/>
                      <w:b w:val="0"/>
                      <w:bCs w:val="0"/>
                      <w:sz w:val="21"/>
                      <w:szCs w:val="21"/>
                      <w:highlight w:val="none"/>
                    </w:rPr>
                    <w:t>/</w:t>
                  </w:r>
                </w:p>
              </w:tc>
              <w:tc>
                <w:tcPr>
                  <w:tcW w:w="353" w:type="pct"/>
                  <w:noWrap w:val="0"/>
                  <w:tcMar>
                    <w:left w:w="57" w:type="dxa"/>
                    <w:right w:w="57" w:type="dxa"/>
                  </w:tcMar>
                  <w:vAlign w:val="center"/>
                </w:tcPr>
                <w:p w14:paraId="29BDA031">
                  <w:pPr>
                    <w:keepNext w:val="0"/>
                    <w:keepLines w:val="0"/>
                    <w:suppressLineNumbers w:val="0"/>
                    <w:spacing w:before="0" w:beforeAutospacing="0" w:after="0" w:afterAutospacing="0"/>
                    <w:ind w:left="0" w:right="0"/>
                    <w:jc w:val="center"/>
                    <w:rPr>
                      <w:rFonts w:hint="default" w:ascii="Times New Roman" w:hAnsi="Times New Roman" w:eastAsia="宋体" w:cs="Times New Roman"/>
                      <w:b w:val="0"/>
                      <w:bCs w:val="0"/>
                      <w:sz w:val="21"/>
                      <w:szCs w:val="21"/>
                      <w:highlight w:val="none"/>
                      <w:lang w:val="en-US" w:eastAsia="zh-CN"/>
                    </w:rPr>
                  </w:pPr>
                  <w:r>
                    <w:rPr>
                      <w:rFonts w:hint="eastAsia" w:ascii="Times New Roman" w:hAnsi="Times New Roman" w:eastAsia="宋体" w:cs="Times New Roman"/>
                      <w:b w:val="0"/>
                      <w:bCs w:val="0"/>
                      <w:sz w:val="21"/>
                      <w:szCs w:val="21"/>
                      <w:highlight w:val="none"/>
                      <w:lang w:val="en-US" w:eastAsia="zh-CN"/>
                    </w:rPr>
                    <w:t>51</w:t>
                  </w:r>
                </w:p>
              </w:tc>
              <w:tc>
                <w:tcPr>
                  <w:tcW w:w="340" w:type="pct"/>
                  <w:noWrap w:val="0"/>
                  <w:tcMar>
                    <w:left w:w="57" w:type="dxa"/>
                    <w:right w:w="57" w:type="dxa"/>
                  </w:tcMar>
                  <w:vAlign w:val="center"/>
                </w:tcPr>
                <w:p w14:paraId="0209838D">
                  <w:pPr>
                    <w:keepNext w:val="0"/>
                    <w:keepLines w:val="0"/>
                    <w:suppressLineNumbers w:val="0"/>
                    <w:spacing w:before="0" w:beforeAutospacing="0" w:after="0" w:afterAutospacing="0"/>
                    <w:ind w:left="0" w:right="0"/>
                    <w:jc w:val="center"/>
                    <w:rPr>
                      <w:rFonts w:hint="default" w:ascii="Times New Roman" w:hAnsi="Times New Roman" w:eastAsia="宋体" w:cs="Times New Roman"/>
                      <w:b w:val="0"/>
                      <w:bCs w:val="0"/>
                      <w:sz w:val="21"/>
                      <w:szCs w:val="21"/>
                      <w:highlight w:val="none"/>
                      <w:lang w:val="en-US" w:eastAsia="zh-CN"/>
                    </w:rPr>
                  </w:pPr>
                  <w:r>
                    <w:rPr>
                      <w:rFonts w:hint="eastAsia" w:ascii="Times New Roman" w:hAnsi="Times New Roman" w:eastAsia="宋体" w:cs="Times New Roman"/>
                      <w:b w:val="0"/>
                      <w:bCs w:val="0"/>
                      <w:sz w:val="21"/>
                      <w:szCs w:val="21"/>
                      <w:highlight w:val="none"/>
                      <w:lang w:val="en-US" w:eastAsia="zh-CN"/>
                    </w:rPr>
                    <w:t>113</w:t>
                  </w:r>
                </w:p>
              </w:tc>
              <w:tc>
                <w:tcPr>
                  <w:tcW w:w="339" w:type="pct"/>
                  <w:noWrap w:val="0"/>
                  <w:tcMar>
                    <w:left w:w="57" w:type="dxa"/>
                    <w:right w:w="57" w:type="dxa"/>
                  </w:tcMar>
                  <w:vAlign w:val="center"/>
                </w:tcPr>
                <w:p w14:paraId="3EB5D5B0">
                  <w:pPr>
                    <w:keepNext w:val="0"/>
                    <w:keepLines w:val="0"/>
                    <w:suppressLineNumbers w:val="0"/>
                    <w:adjustRightInd w:val="0"/>
                    <w:snapToGrid w:val="0"/>
                    <w:spacing w:before="0" w:beforeAutospacing="0" w:after="0" w:afterAutospacing="0"/>
                    <w:ind w:left="0" w:right="0"/>
                    <w:jc w:val="center"/>
                    <w:rPr>
                      <w:rFonts w:hint="eastAsia" w:ascii="Times New Roman" w:hAnsi="Times New Roman" w:eastAsia="宋体" w:cs="Times New Roman"/>
                      <w:b w:val="0"/>
                      <w:bCs w:val="0"/>
                      <w:kern w:val="0"/>
                      <w:sz w:val="21"/>
                      <w:szCs w:val="21"/>
                      <w:highlight w:val="none"/>
                      <w:lang w:val="en-US" w:eastAsia="zh-CN"/>
                    </w:rPr>
                  </w:pPr>
                  <w:r>
                    <w:rPr>
                      <w:rFonts w:hint="eastAsia" w:ascii="Times New Roman" w:hAnsi="Times New Roman" w:eastAsia="宋体" w:cs="Times New Roman"/>
                      <w:b w:val="0"/>
                      <w:bCs w:val="0"/>
                      <w:sz w:val="21"/>
                      <w:szCs w:val="21"/>
                      <w:highlight w:val="none"/>
                      <w:lang w:val="en-US" w:eastAsia="zh-CN"/>
                    </w:rPr>
                    <w:t>37</w:t>
                  </w:r>
                </w:p>
              </w:tc>
              <w:tc>
                <w:tcPr>
                  <w:tcW w:w="666" w:type="pct"/>
                  <w:noWrap w:val="0"/>
                  <w:tcMar>
                    <w:left w:w="57" w:type="dxa"/>
                    <w:right w:w="57" w:type="dxa"/>
                  </w:tcMar>
                  <w:vAlign w:val="center"/>
                </w:tcPr>
                <w:p w14:paraId="432F7D25">
                  <w:pPr>
                    <w:keepNext w:val="0"/>
                    <w:keepLines w:val="0"/>
                    <w:suppressLineNumbers w:val="0"/>
                    <w:snapToGrid w:val="0"/>
                    <w:spacing w:before="0" w:beforeAutospacing="0" w:after="0" w:afterAutospacing="0"/>
                    <w:ind w:left="0" w:right="0"/>
                    <w:jc w:val="center"/>
                    <w:rPr>
                      <w:rFonts w:hint="default" w:ascii="Times New Roman" w:hAnsi="Times New Roman" w:eastAsia="宋体" w:cs="Times New Roman"/>
                      <w:b w:val="0"/>
                      <w:bCs w:val="0"/>
                      <w:sz w:val="21"/>
                      <w:szCs w:val="21"/>
                      <w:highlight w:val="none"/>
                      <w:lang w:val="en-US" w:eastAsia="zh-CN"/>
                    </w:rPr>
                  </w:pPr>
                  <w:r>
                    <w:rPr>
                      <w:rFonts w:hint="eastAsia" w:ascii="Times New Roman" w:hAnsi="Times New Roman" w:eastAsia="宋体" w:cs="Times New Roman"/>
                      <w:b w:val="0"/>
                      <w:bCs w:val="0"/>
                      <w:sz w:val="21"/>
                      <w:szCs w:val="21"/>
                      <w:highlight w:val="none"/>
                      <w:lang w:val="en-US" w:eastAsia="zh-CN"/>
                    </w:rPr>
                    <w:t>85</w:t>
                  </w:r>
                </w:p>
              </w:tc>
              <w:tc>
                <w:tcPr>
                  <w:tcW w:w="633" w:type="pct"/>
                  <w:vMerge w:val="continue"/>
                  <w:noWrap w:val="0"/>
                  <w:tcMar>
                    <w:left w:w="57" w:type="dxa"/>
                    <w:right w:w="57" w:type="dxa"/>
                  </w:tcMar>
                  <w:vAlign w:val="center"/>
                </w:tcPr>
                <w:p w14:paraId="6BEEC424">
                  <w:pPr>
                    <w:keepNext w:val="0"/>
                    <w:keepLines w:val="0"/>
                    <w:suppressLineNumbers w:val="0"/>
                    <w:adjustRightInd w:val="0"/>
                    <w:snapToGrid w:val="0"/>
                    <w:spacing w:before="0" w:beforeAutospacing="0" w:after="0" w:afterAutospacing="0"/>
                    <w:ind w:left="0" w:right="0"/>
                    <w:rPr>
                      <w:rFonts w:hint="eastAsia" w:ascii="Times New Roman" w:hAnsi="Times New Roman" w:eastAsia="宋体" w:cs="Times New Roman"/>
                      <w:b w:val="0"/>
                      <w:bCs w:val="0"/>
                      <w:kern w:val="0"/>
                      <w:sz w:val="21"/>
                      <w:szCs w:val="21"/>
                      <w:highlight w:val="none"/>
                    </w:rPr>
                  </w:pPr>
                </w:p>
              </w:tc>
              <w:tc>
                <w:tcPr>
                  <w:tcW w:w="672" w:type="pct"/>
                  <w:vMerge w:val="continue"/>
                  <w:noWrap w:val="0"/>
                  <w:tcMar>
                    <w:left w:w="57" w:type="dxa"/>
                    <w:right w:w="57" w:type="dxa"/>
                  </w:tcMar>
                  <w:vAlign w:val="center"/>
                </w:tcPr>
                <w:p w14:paraId="3784DF88">
                  <w:pPr>
                    <w:keepNext w:val="0"/>
                    <w:keepLines w:val="0"/>
                    <w:suppressLineNumbers w:val="0"/>
                    <w:adjustRightInd w:val="0"/>
                    <w:snapToGrid w:val="0"/>
                    <w:spacing w:before="0" w:beforeAutospacing="0" w:after="0" w:afterAutospacing="0"/>
                    <w:ind w:left="0" w:right="0"/>
                    <w:jc w:val="center"/>
                    <w:rPr>
                      <w:rFonts w:hint="eastAsia" w:ascii="Times New Roman" w:hAnsi="Times New Roman" w:eastAsia="宋体" w:cs="Times New Roman"/>
                      <w:b w:val="0"/>
                      <w:bCs w:val="0"/>
                      <w:kern w:val="0"/>
                      <w:sz w:val="21"/>
                      <w:szCs w:val="21"/>
                      <w:highlight w:val="none"/>
                      <w:lang w:val="en-US" w:eastAsia="zh-CN"/>
                    </w:rPr>
                  </w:pPr>
                </w:p>
              </w:tc>
            </w:tr>
            <w:tr w14:paraId="42233F3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c>
                <w:tcPr>
                  <w:tcW w:w="345" w:type="pct"/>
                  <w:shd w:val="clear" w:color="auto" w:fill="auto"/>
                  <w:noWrap w:val="0"/>
                  <w:tcMar>
                    <w:left w:w="57" w:type="dxa"/>
                    <w:right w:w="57" w:type="dxa"/>
                  </w:tcMar>
                  <w:vAlign w:val="center"/>
                </w:tcPr>
                <w:p w14:paraId="30D9718F">
                  <w:pPr>
                    <w:keepNext w:val="0"/>
                    <w:keepLines w:val="0"/>
                    <w:suppressLineNumbers w:val="0"/>
                    <w:adjustRightInd w:val="0"/>
                    <w:snapToGrid w:val="0"/>
                    <w:spacing w:before="0" w:beforeAutospacing="0" w:after="0" w:afterAutospacing="0"/>
                    <w:ind w:left="0" w:right="0"/>
                    <w:jc w:val="center"/>
                    <w:rPr>
                      <w:rFonts w:hint="eastAsia" w:ascii="Times New Roman" w:hAnsi="Times New Roman" w:eastAsia="宋体" w:cs="Times New Roman"/>
                      <w:b w:val="0"/>
                      <w:bCs w:val="0"/>
                      <w:kern w:val="0"/>
                      <w:sz w:val="21"/>
                      <w:szCs w:val="21"/>
                      <w:highlight w:val="none"/>
                      <w:lang w:val="en-US" w:eastAsia="zh-CN" w:bidi="ar-SA"/>
                    </w:rPr>
                  </w:pPr>
                  <w:r>
                    <w:rPr>
                      <w:rFonts w:hint="eastAsia" w:ascii="Times New Roman" w:hAnsi="Times New Roman" w:eastAsia="宋体" w:cs="Times New Roman"/>
                      <w:b w:val="0"/>
                      <w:bCs w:val="0"/>
                      <w:kern w:val="0"/>
                      <w:sz w:val="21"/>
                      <w:szCs w:val="21"/>
                      <w:highlight w:val="none"/>
                      <w:lang w:val="en-US" w:eastAsia="zh-CN"/>
                    </w:rPr>
                    <w:t>29</w:t>
                  </w:r>
                </w:p>
              </w:tc>
              <w:tc>
                <w:tcPr>
                  <w:tcW w:w="453" w:type="pct"/>
                  <w:vMerge w:val="continue"/>
                  <w:noWrap w:val="0"/>
                  <w:tcMar>
                    <w:left w:w="57" w:type="dxa"/>
                    <w:right w:w="57" w:type="dxa"/>
                  </w:tcMar>
                  <w:vAlign w:val="center"/>
                </w:tcPr>
                <w:p w14:paraId="4AB61211">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b w:val="0"/>
                      <w:bCs w:val="0"/>
                      <w:sz w:val="21"/>
                      <w:szCs w:val="21"/>
                      <w:highlight w:val="none"/>
                      <w:lang w:val="en-US" w:eastAsia="zh-CN"/>
                    </w:rPr>
                  </w:pPr>
                </w:p>
              </w:tc>
              <w:tc>
                <w:tcPr>
                  <w:tcW w:w="845" w:type="pct"/>
                  <w:noWrap w:val="0"/>
                  <w:tcMar>
                    <w:left w:w="57" w:type="dxa"/>
                    <w:right w:w="57" w:type="dxa"/>
                  </w:tcMar>
                  <w:vAlign w:val="center"/>
                </w:tcPr>
                <w:p w14:paraId="46CA2AFE">
                  <w:pPr>
                    <w:keepNext w:val="0"/>
                    <w:keepLines w:val="0"/>
                    <w:suppressLineNumbers w:val="0"/>
                    <w:adjustRightInd w:val="0"/>
                    <w:snapToGrid w:val="0"/>
                    <w:spacing w:before="0" w:beforeAutospacing="0" w:after="0" w:afterAutospacing="0"/>
                    <w:ind w:left="0" w:right="0"/>
                    <w:jc w:val="center"/>
                    <w:rPr>
                      <w:rFonts w:hint="eastAsia" w:cs="Times New Roman"/>
                      <w:b w:val="0"/>
                      <w:bCs w:val="0"/>
                      <w:sz w:val="21"/>
                      <w:szCs w:val="21"/>
                      <w:highlight w:val="none"/>
                      <w:lang w:val="en-US" w:eastAsia="zh-CN"/>
                    </w:rPr>
                  </w:pPr>
                  <w:r>
                    <w:rPr>
                      <w:rFonts w:hint="eastAsia" w:cs="Times New Roman"/>
                      <w:b w:val="0"/>
                      <w:bCs w:val="0"/>
                      <w:sz w:val="21"/>
                      <w:szCs w:val="21"/>
                      <w:highlight w:val="none"/>
                      <w:lang w:val="en-US" w:eastAsia="zh-CN"/>
                    </w:rPr>
                    <w:t>DA015风机</w:t>
                  </w:r>
                </w:p>
              </w:tc>
              <w:tc>
                <w:tcPr>
                  <w:tcW w:w="348" w:type="pct"/>
                  <w:noWrap w:val="0"/>
                  <w:tcMar>
                    <w:left w:w="57" w:type="dxa"/>
                    <w:right w:w="57" w:type="dxa"/>
                  </w:tcMar>
                  <w:vAlign w:val="center"/>
                </w:tcPr>
                <w:p w14:paraId="4371E919">
                  <w:pPr>
                    <w:keepNext w:val="0"/>
                    <w:keepLines w:val="0"/>
                    <w:suppressLineNumbers w:val="0"/>
                    <w:snapToGrid w:val="0"/>
                    <w:spacing w:before="0" w:beforeAutospacing="0" w:after="0" w:afterAutospacing="0"/>
                    <w:ind w:left="0" w:right="0"/>
                    <w:jc w:val="center"/>
                    <w:rPr>
                      <w:rFonts w:hint="eastAsia" w:ascii="Times New Roman" w:hAnsi="Times New Roman" w:eastAsia="宋体" w:cs="Times New Roman"/>
                      <w:b w:val="0"/>
                      <w:bCs w:val="0"/>
                      <w:sz w:val="21"/>
                      <w:szCs w:val="21"/>
                      <w:highlight w:val="none"/>
                    </w:rPr>
                  </w:pPr>
                  <w:r>
                    <w:rPr>
                      <w:rFonts w:hint="eastAsia" w:ascii="Times New Roman" w:hAnsi="Times New Roman" w:eastAsia="宋体" w:cs="Times New Roman"/>
                      <w:b w:val="0"/>
                      <w:bCs w:val="0"/>
                      <w:sz w:val="21"/>
                      <w:szCs w:val="21"/>
                      <w:highlight w:val="none"/>
                    </w:rPr>
                    <w:t>/</w:t>
                  </w:r>
                </w:p>
              </w:tc>
              <w:tc>
                <w:tcPr>
                  <w:tcW w:w="353" w:type="pct"/>
                  <w:noWrap w:val="0"/>
                  <w:tcMar>
                    <w:left w:w="57" w:type="dxa"/>
                    <w:right w:w="57" w:type="dxa"/>
                  </w:tcMar>
                  <w:vAlign w:val="center"/>
                </w:tcPr>
                <w:p w14:paraId="25D95613">
                  <w:pPr>
                    <w:keepNext w:val="0"/>
                    <w:keepLines w:val="0"/>
                    <w:suppressLineNumbers w:val="0"/>
                    <w:spacing w:before="0" w:beforeAutospacing="0" w:after="0" w:afterAutospacing="0"/>
                    <w:ind w:left="0" w:right="0"/>
                    <w:jc w:val="center"/>
                    <w:rPr>
                      <w:rFonts w:hint="default" w:ascii="Times New Roman" w:hAnsi="Times New Roman" w:eastAsia="宋体" w:cs="Times New Roman"/>
                      <w:b w:val="0"/>
                      <w:bCs w:val="0"/>
                      <w:sz w:val="21"/>
                      <w:szCs w:val="21"/>
                      <w:highlight w:val="none"/>
                      <w:lang w:val="en-US" w:eastAsia="zh-CN"/>
                    </w:rPr>
                  </w:pPr>
                  <w:r>
                    <w:rPr>
                      <w:rFonts w:hint="eastAsia" w:ascii="Times New Roman" w:hAnsi="Times New Roman" w:eastAsia="宋体" w:cs="Times New Roman"/>
                      <w:b w:val="0"/>
                      <w:bCs w:val="0"/>
                      <w:sz w:val="21"/>
                      <w:szCs w:val="21"/>
                      <w:highlight w:val="none"/>
                      <w:lang w:val="en-US" w:eastAsia="zh-CN"/>
                    </w:rPr>
                    <w:t>61</w:t>
                  </w:r>
                </w:p>
              </w:tc>
              <w:tc>
                <w:tcPr>
                  <w:tcW w:w="340" w:type="pct"/>
                  <w:noWrap w:val="0"/>
                  <w:tcMar>
                    <w:left w:w="57" w:type="dxa"/>
                    <w:right w:w="57" w:type="dxa"/>
                  </w:tcMar>
                  <w:vAlign w:val="center"/>
                </w:tcPr>
                <w:p w14:paraId="597A295E">
                  <w:pPr>
                    <w:keepNext w:val="0"/>
                    <w:keepLines w:val="0"/>
                    <w:suppressLineNumbers w:val="0"/>
                    <w:spacing w:before="0" w:beforeAutospacing="0" w:after="0" w:afterAutospacing="0"/>
                    <w:ind w:left="0" w:right="0"/>
                    <w:jc w:val="center"/>
                    <w:rPr>
                      <w:rFonts w:hint="default" w:ascii="Times New Roman" w:hAnsi="Times New Roman" w:eastAsia="宋体" w:cs="Times New Roman"/>
                      <w:b w:val="0"/>
                      <w:bCs w:val="0"/>
                      <w:sz w:val="21"/>
                      <w:szCs w:val="21"/>
                      <w:highlight w:val="none"/>
                      <w:lang w:val="en-US" w:eastAsia="zh-CN"/>
                    </w:rPr>
                  </w:pPr>
                  <w:r>
                    <w:rPr>
                      <w:rFonts w:hint="eastAsia" w:ascii="Times New Roman" w:hAnsi="Times New Roman" w:eastAsia="宋体" w:cs="Times New Roman"/>
                      <w:b w:val="0"/>
                      <w:bCs w:val="0"/>
                      <w:sz w:val="21"/>
                      <w:szCs w:val="21"/>
                      <w:highlight w:val="none"/>
                      <w:lang w:val="en-US" w:eastAsia="zh-CN"/>
                    </w:rPr>
                    <w:t>115</w:t>
                  </w:r>
                </w:p>
              </w:tc>
              <w:tc>
                <w:tcPr>
                  <w:tcW w:w="339" w:type="pct"/>
                  <w:noWrap w:val="0"/>
                  <w:tcMar>
                    <w:left w:w="57" w:type="dxa"/>
                    <w:right w:w="57" w:type="dxa"/>
                  </w:tcMar>
                  <w:vAlign w:val="center"/>
                </w:tcPr>
                <w:p w14:paraId="0CC02429">
                  <w:pPr>
                    <w:keepNext w:val="0"/>
                    <w:keepLines w:val="0"/>
                    <w:suppressLineNumbers w:val="0"/>
                    <w:adjustRightInd w:val="0"/>
                    <w:snapToGrid w:val="0"/>
                    <w:spacing w:before="0" w:beforeAutospacing="0" w:after="0" w:afterAutospacing="0"/>
                    <w:ind w:left="0" w:right="0"/>
                    <w:jc w:val="center"/>
                    <w:rPr>
                      <w:rFonts w:hint="eastAsia" w:ascii="Times New Roman" w:hAnsi="Times New Roman" w:eastAsia="宋体" w:cs="Times New Roman"/>
                      <w:b w:val="0"/>
                      <w:bCs w:val="0"/>
                      <w:kern w:val="0"/>
                      <w:sz w:val="21"/>
                      <w:szCs w:val="21"/>
                      <w:highlight w:val="none"/>
                      <w:lang w:val="en-US" w:eastAsia="zh-CN"/>
                    </w:rPr>
                  </w:pPr>
                  <w:r>
                    <w:rPr>
                      <w:rFonts w:hint="eastAsia" w:ascii="Times New Roman" w:hAnsi="Times New Roman" w:eastAsia="宋体" w:cs="Times New Roman"/>
                      <w:b w:val="0"/>
                      <w:bCs w:val="0"/>
                      <w:sz w:val="21"/>
                      <w:szCs w:val="21"/>
                      <w:highlight w:val="none"/>
                      <w:lang w:val="en-US" w:eastAsia="zh-CN"/>
                    </w:rPr>
                    <w:t>37</w:t>
                  </w:r>
                </w:p>
              </w:tc>
              <w:tc>
                <w:tcPr>
                  <w:tcW w:w="666" w:type="pct"/>
                  <w:noWrap w:val="0"/>
                  <w:tcMar>
                    <w:left w:w="57" w:type="dxa"/>
                    <w:right w:w="57" w:type="dxa"/>
                  </w:tcMar>
                  <w:vAlign w:val="center"/>
                </w:tcPr>
                <w:p w14:paraId="7BEE4DE5">
                  <w:pPr>
                    <w:keepNext w:val="0"/>
                    <w:keepLines w:val="0"/>
                    <w:suppressLineNumbers w:val="0"/>
                    <w:snapToGrid w:val="0"/>
                    <w:spacing w:before="0" w:beforeAutospacing="0" w:after="0" w:afterAutospacing="0"/>
                    <w:ind w:left="0" w:right="0"/>
                    <w:jc w:val="center"/>
                    <w:rPr>
                      <w:rFonts w:hint="eastAsia" w:ascii="Times New Roman" w:hAnsi="Times New Roman" w:eastAsia="宋体" w:cs="Times New Roman"/>
                      <w:b w:val="0"/>
                      <w:bCs w:val="0"/>
                      <w:sz w:val="21"/>
                      <w:szCs w:val="21"/>
                      <w:highlight w:val="none"/>
                      <w:lang w:val="en-US" w:eastAsia="zh-CN"/>
                    </w:rPr>
                  </w:pPr>
                  <w:r>
                    <w:rPr>
                      <w:rFonts w:hint="eastAsia" w:ascii="Times New Roman" w:hAnsi="Times New Roman" w:eastAsia="宋体" w:cs="Times New Roman"/>
                      <w:b w:val="0"/>
                      <w:bCs w:val="0"/>
                      <w:sz w:val="21"/>
                      <w:szCs w:val="21"/>
                      <w:highlight w:val="none"/>
                      <w:lang w:val="en-US" w:eastAsia="zh-CN"/>
                    </w:rPr>
                    <w:t>83</w:t>
                  </w:r>
                </w:p>
              </w:tc>
              <w:tc>
                <w:tcPr>
                  <w:tcW w:w="633" w:type="pct"/>
                  <w:vMerge w:val="continue"/>
                  <w:noWrap w:val="0"/>
                  <w:tcMar>
                    <w:left w:w="57" w:type="dxa"/>
                    <w:right w:w="57" w:type="dxa"/>
                  </w:tcMar>
                  <w:vAlign w:val="center"/>
                </w:tcPr>
                <w:p w14:paraId="75A8D856">
                  <w:pPr>
                    <w:keepNext w:val="0"/>
                    <w:keepLines w:val="0"/>
                    <w:suppressLineNumbers w:val="0"/>
                    <w:adjustRightInd w:val="0"/>
                    <w:snapToGrid w:val="0"/>
                    <w:spacing w:before="0" w:beforeAutospacing="0" w:after="0" w:afterAutospacing="0"/>
                    <w:ind w:left="0" w:right="0"/>
                    <w:rPr>
                      <w:rFonts w:hint="eastAsia" w:ascii="Times New Roman" w:hAnsi="Times New Roman" w:eastAsia="宋体" w:cs="Times New Roman"/>
                      <w:b w:val="0"/>
                      <w:bCs w:val="0"/>
                      <w:kern w:val="0"/>
                      <w:sz w:val="21"/>
                      <w:szCs w:val="21"/>
                      <w:highlight w:val="none"/>
                    </w:rPr>
                  </w:pPr>
                </w:p>
              </w:tc>
              <w:tc>
                <w:tcPr>
                  <w:tcW w:w="672" w:type="pct"/>
                  <w:vMerge w:val="continue"/>
                  <w:noWrap w:val="0"/>
                  <w:tcMar>
                    <w:left w:w="57" w:type="dxa"/>
                    <w:right w:w="57" w:type="dxa"/>
                  </w:tcMar>
                  <w:vAlign w:val="center"/>
                </w:tcPr>
                <w:p w14:paraId="62EE65CE">
                  <w:pPr>
                    <w:keepNext w:val="0"/>
                    <w:keepLines w:val="0"/>
                    <w:suppressLineNumbers w:val="0"/>
                    <w:adjustRightInd w:val="0"/>
                    <w:snapToGrid w:val="0"/>
                    <w:spacing w:before="0" w:beforeAutospacing="0" w:after="0" w:afterAutospacing="0"/>
                    <w:ind w:left="0" w:right="0"/>
                    <w:jc w:val="center"/>
                    <w:rPr>
                      <w:rFonts w:hint="eastAsia" w:ascii="Times New Roman" w:hAnsi="Times New Roman" w:eastAsia="宋体" w:cs="Times New Roman"/>
                      <w:b w:val="0"/>
                      <w:bCs w:val="0"/>
                      <w:kern w:val="0"/>
                      <w:sz w:val="21"/>
                      <w:szCs w:val="21"/>
                      <w:highlight w:val="none"/>
                      <w:lang w:val="en-US" w:eastAsia="zh-CN"/>
                    </w:rPr>
                  </w:pPr>
                </w:p>
              </w:tc>
            </w:tr>
            <w:tr w14:paraId="3D33A68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c>
                <w:tcPr>
                  <w:tcW w:w="345" w:type="pct"/>
                  <w:shd w:val="clear" w:color="auto" w:fill="auto"/>
                  <w:noWrap w:val="0"/>
                  <w:tcMar>
                    <w:left w:w="57" w:type="dxa"/>
                    <w:right w:w="57" w:type="dxa"/>
                  </w:tcMar>
                  <w:vAlign w:val="center"/>
                </w:tcPr>
                <w:p w14:paraId="12FAC554">
                  <w:pPr>
                    <w:keepNext w:val="0"/>
                    <w:keepLines w:val="0"/>
                    <w:suppressLineNumbers w:val="0"/>
                    <w:adjustRightInd w:val="0"/>
                    <w:snapToGrid w:val="0"/>
                    <w:spacing w:before="0" w:beforeAutospacing="0" w:after="0" w:afterAutospacing="0"/>
                    <w:ind w:left="0" w:right="0"/>
                    <w:jc w:val="center"/>
                    <w:rPr>
                      <w:rFonts w:hint="eastAsia" w:ascii="Times New Roman" w:hAnsi="Times New Roman" w:eastAsia="宋体" w:cs="Times New Roman"/>
                      <w:b w:val="0"/>
                      <w:bCs w:val="0"/>
                      <w:kern w:val="0"/>
                      <w:sz w:val="21"/>
                      <w:szCs w:val="21"/>
                      <w:highlight w:val="none"/>
                      <w:lang w:val="en-US" w:eastAsia="zh-CN" w:bidi="ar-SA"/>
                    </w:rPr>
                  </w:pPr>
                  <w:r>
                    <w:rPr>
                      <w:rFonts w:hint="eastAsia" w:ascii="Times New Roman" w:hAnsi="Times New Roman" w:eastAsia="宋体" w:cs="Times New Roman"/>
                      <w:b w:val="0"/>
                      <w:bCs w:val="0"/>
                      <w:kern w:val="0"/>
                      <w:sz w:val="21"/>
                      <w:szCs w:val="21"/>
                      <w:highlight w:val="none"/>
                      <w:lang w:val="en-US" w:eastAsia="zh-CN"/>
                    </w:rPr>
                    <w:t>30</w:t>
                  </w:r>
                </w:p>
              </w:tc>
              <w:tc>
                <w:tcPr>
                  <w:tcW w:w="453" w:type="pct"/>
                  <w:vMerge w:val="continue"/>
                  <w:noWrap w:val="0"/>
                  <w:tcMar>
                    <w:left w:w="57" w:type="dxa"/>
                    <w:right w:w="57" w:type="dxa"/>
                  </w:tcMar>
                  <w:vAlign w:val="center"/>
                </w:tcPr>
                <w:p w14:paraId="72DD3EBB">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b w:val="0"/>
                      <w:bCs w:val="0"/>
                      <w:sz w:val="21"/>
                      <w:szCs w:val="21"/>
                      <w:highlight w:val="none"/>
                      <w:lang w:val="en-US" w:eastAsia="zh-CN"/>
                    </w:rPr>
                  </w:pPr>
                </w:p>
              </w:tc>
              <w:tc>
                <w:tcPr>
                  <w:tcW w:w="845" w:type="pct"/>
                  <w:noWrap w:val="0"/>
                  <w:tcMar>
                    <w:left w:w="57" w:type="dxa"/>
                    <w:right w:w="57" w:type="dxa"/>
                  </w:tcMar>
                  <w:vAlign w:val="center"/>
                </w:tcPr>
                <w:p w14:paraId="01C99D35">
                  <w:pPr>
                    <w:keepNext w:val="0"/>
                    <w:keepLines w:val="0"/>
                    <w:suppressLineNumbers w:val="0"/>
                    <w:adjustRightInd w:val="0"/>
                    <w:snapToGrid w:val="0"/>
                    <w:spacing w:before="0" w:beforeAutospacing="0" w:after="0" w:afterAutospacing="0"/>
                    <w:ind w:left="0" w:right="0"/>
                    <w:jc w:val="center"/>
                    <w:rPr>
                      <w:rFonts w:hint="eastAsia" w:cs="Times New Roman"/>
                      <w:b w:val="0"/>
                      <w:bCs w:val="0"/>
                      <w:sz w:val="21"/>
                      <w:szCs w:val="21"/>
                      <w:highlight w:val="none"/>
                      <w:lang w:val="en-US" w:eastAsia="zh-CN"/>
                    </w:rPr>
                  </w:pPr>
                  <w:r>
                    <w:rPr>
                      <w:rFonts w:hint="eastAsia" w:cs="Times New Roman"/>
                      <w:b w:val="0"/>
                      <w:bCs w:val="0"/>
                      <w:sz w:val="21"/>
                      <w:szCs w:val="21"/>
                      <w:highlight w:val="none"/>
                      <w:lang w:val="en-US" w:eastAsia="zh-CN"/>
                    </w:rPr>
                    <w:t>DA016风机</w:t>
                  </w:r>
                </w:p>
              </w:tc>
              <w:tc>
                <w:tcPr>
                  <w:tcW w:w="348" w:type="pct"/>
                  <w:noWrap w:val="0"/>
                  <w:tcMar>
                    <w:left w:w="57" w:type="dxa"/>
                    <w:right w:w="57" w:type="dxa"/>
                  </w:tcMar>
                  <w:vAlign w:val="center"/>
                </w:tcPr>
                <w:p w14:paraId="3560E8C8">
                  <w:pPr>
                    <w:keepNext w:val="0"/>
                    <w:keepLines w:val="0"/>
                    <w:suppressLineNumbers w:val="0"/>
                    <w:snapToGrid w:val="0"/>
                    <w:spacing w:before="0" w:beforeAutospacing="0" w:after="0" w:afterAutospacing="0"/>
                    <w:ind w:left="0" w:right="0"/>
                    <w:jc w:val="center"/>
                    <w:rPr>
                      <w:rFonts w:hint="eastAsia" w:ascii="Times New Roman" w:hAnsi="Times New Roman" w:eastAsia="宋体" w:cs="Times New Roman"/>
                      <w:b w:val="0"/>
                      <w:bCs w:val="0"/>
                      <w:sz w:val="21"/>
                      <w:szCs w:val="21"/>
                      <w:highlight w:val="none"/>
                    </w:rPr>
                  </w:pPr>
                  <w:r>
                    <w:rPr>
                      <w:rFonts w:hint="eastAsia" w:ascii="Times New Roman" w:hAnsi="Times New Roman" w:eastAsia="宋体" w:cs="Times New Roman"/>
                      <w:b w:val="0"/>
                      <w:bCs w:val="0"/>
                      <w:sz w:val="21"/>
                      <w:szCs w:val="21"/>
                      <w:highlight w:val="none"/>
                    </w:rPr>
                    <w:t>/</w:t>
                  </w:r>
                </w:p>
              </w:tc>
              <w:tc>
                <w:tcPr>
                  <w:tcW w:w="353" w:type="pct"/>
                  <w:noWrap w:val="0"/>
                  <w:tcMar>
                    <w:left w:w="57" w:type="dxa"/>
                    <w:right w:w="57" w:type="dxa"/>
                  </w:tcMar>
                  <w:vAlign w:val="center"/>
                </w:tcPr>
                <w:p w14:paraId="752D5608">
                  <w:pPr>
                    <w:keepNext w:val="0"/>
                    <w:keepLines w:val="0"/>
                    <w:suppressLineNumbers w:val="0"/>
                    <w:spacing w:before="0" w:beforeAutospacing="0" w:after="0" w:afterAutospacing="0"/>
                    <w:ind w:left="0" w:right="0"/>
                    <w:jc w:val="center"/>
                    <w:rPr>
                      <w:rFonts w:hint="default" w:ascii="Times New Roman" w:hAnsi="Times New Roman" w:eastAsia="宋体" w:cs="Times New Roman"/>
                      <w:b w:val="0"/>
                      <w:bCs w:val="0"/>
                      <w:sz w:val="21"/>
                      <w:szCs w:val="21"/>
                      <w:highlight w:val="none"/>
                      <w:lang w:val="en-US" w:eastAsia="zh-CN"/>
                    </w:rPr>
                  </w:pPr>
                  <w:r>
                    <w:rPr>
                      <w:rFonts w:hint="eastAsia" w:ascii="Times New Roman" w:hAnsi="Times New Roman" w:eastAsia="宋体" w:cs="Times New Roman"/>
                      <w:b w:val="0"/>
                      <w:bCs w:val="0"/>
                      <w:sz w:val="21"/>
                      <w:szCs w:val="21"/>
                      <w:highlight w:val="none"/>
                      <w:lang w:val="en-US" w:eastAsia="zh-CN"/>
                    </w:rPr>
                    <w:t>48</w:t>
                  </w:r>
                </w:p>
              </w:tc>
              <w:tc>
                <w:tcPr>
                  <w:tcW w:w="340" w:type="pct"/>
                  <w:noWrap w:val="0"/>
                  <w:tcMar>
                    <w:left w:w="57" w:type="dxa"/>
                    <w:right w:w="57" w:type="dxa"/>
                  </w:tcMar>
                  <w:vAlign w:val="center"/>
                </w:tcPr>
                <w:p w14:paraId="4A8C9282">
                  <w:pPr>
                    <w:keepNext w:val="0"/>
                    <w:keepLines w:val="0"/>
                    <w:suppressLineNumbers w:val="0"/>
                    <w:spacing w:before="0" w:beforeAutospacing="0" w:after="0" w:afterAutospacing="0"/>
                    <w:ind w:left="0" w:right="0"/>
                    <w:jc w:val="center"/>
                    <w:rPr>
                      <w:rFonts w:hint="default" w:ascii="Times New Roman" w:hAnsi="Times New Roman" w:eastAsia="宋体" w:cs="Times New Roman"/>
                      <w:b w:val="0"/>
                      <w:bCs w:val="0"/>
                      <w:sz w:val="21"/>
                      <w:szCs w:val="21"/>
                      <w:highlight w:val="none"/>
                      <w:lang w:val="en-US" w:eastAsia="zh-CN"/>
                    </w:rPr>
                  </w:pPr>
                  <w:r>
                    <w:rPr>
                      <w:rFonts w:hint="eastAsia" w:ascii="Times New Roman" w:hAnsi="Times New Roman" w:eastAsia="宋体" w:cs="Times New Roman"/>
                      <w:b w:val="0"/>
                      <w:bCs w:val="0"/>
                      <w:sz w:val="21"/>
                      <w:szCs w:val="21"/>
                      <w:highlight w:val="none"/>
                      <w:lang w:val="en-US" w:eastAsia="zh-CN"/>
                    </w:rPr>
                    <w:t>52</w:t>
                  </w:r>
                </w:p>
              </w:tc>
              <w:tc>
                <w:tcPr>
                  <w:tcW w:w="339" w:type="pct"/>
                  <w:noWrap w:val="0"/>
                  <w:tcMar>
                    <w:left w:w="57" w:type="dxa"/>
                    <w:right w:w="57" w:type="dxa"/>
                  </w:tcMar>
                  <w:vAlign w:val="center"/>
                </w:tcPr>
                <w:p w14:paraId="27728E00">
                  <w:pPr>
                    <w:keepNext w:val="0"/>
                    <w:keepLines w:val="0"/>
                    <w:suppressLineNumbers w:val="0"/>
                    <w:adjustRightInd w:val="0"/>
                    <w:snapToGrid w:val="0"/>
                    <w:spacing w:before="0" w:beforeAutospacing="0" w:after="0" w:afterAutospacing="0"/>
                    <w:ind w:left="0" w:right="0"/>
                    <w:jc w:val="center"/>
                    <w:rPr>
                      <w:rFonts w:hint="eastAsia" w:ascii="Times New Roman" w:hAnsi="Times New Roman" w:eastAsia="宋体" w:cs="Times New Roman"/>
                      <w:b w:val="0"/>
                      <w:bCs w:val="0"/>
                      <w:kern w:val="0"/>
                      <w:sz w:val="21"/>
                      <w:szCs w:val="21"/>
                      <w:highlight w:val="none"/>
                      <w:lang w:val="en-US" w:eastAsia="zh-CN"/>
                    </w:rPr>
                  </w:pPr>
                  <w:r>
                    <w:rPr>
                      <w:rFonts w:hint="eastAsia" w:ascii="Times New Roman" w:hAnsi="Times New Roman" w:eastAsia="宋体" w:cs="Times New Roman"/>
                      <w:b w:val="0"/>
                      <w:bCs w:val="0"/>
                      <w:sz w:val="21"/>
                      <w:szCs w:val="21"/>
                      <w:highlight w:val="none"/>
                      <w:lang w:val="en-US" w:eastAsia="zh-CN"/>
                    </w:rPr>
                    <w:t>37</w:t>
                  </w:r>
                </w:p>
              </w:tc>
              <w:tc>
                <w:tcPr>
                  <w:tcW w:w="666" w:type="pct"/>
                  <w:noWrap w:val="0"/>
                  <w:tcMar>
                    <w:left w:w="57" w:type="dxa"/>
                    <w:right w:w="57" w:type="dxa"/>
                  </w:tcMar>
                  <w:vAlign w:val="center"/>
                </w:tcPr>
                <w:p w14:paraId="12EB408D">
                  <w:pPr>
                    <w:keepNext w:val="0"/>
                    <w:keepLines w:val="0"/>
                    <w:suppressLineNumbers w:val="0"/>
                    <w:snapToGrid w:val="0"/>
                    <w:spacing w:before="0" w:beforeAutospacing="0" w:after="0" w:afterAutospacing="0"/>
                    <w:ind w:left="0" w:right="0"/>
                    <w:jc w:val="center"/>
                    <w:rPr>
                      <w:rFonts w:hint="default" w:ascii="Times New Roman" w:hAnsi="Times New Roman" w:eastAsia="宋体" w:cs="Times New Roman"/>
                      <w:b w:val="0"/>
                      <w:bCs w:val="0"/>
                      <w:sz w:val="21"/>
                      <w:szCs w:val="21"/>
                      <w:highlight w:val="none"/>
                      <w:lang w:val="en-US" w:eastAsia="zh-CN"/>
                    </w:rPr>
                  </w:pPr>
                  <w:r>
                    <w:rPr>
                      <w:rFonts w:hint="eastAsia" w:ascii="Times New Roman" w:hAnsi="Times New Roman" w:eastAsia="宋体" w:cs="Times New Roman"/>
                      <w:b w:val="0"/>
                      <w:bCs w:val="0"/>
                      <w:sz w:val="21"/>
                      <w:szCs w:val="21"/>
                      <w:highlight w:val="none"/>
                      <w:lang w:val="en-US" w:eastAsia="zh-CN"/>
                    </w:rPr>
                    <w:t>84</w:t>
                  </w:r>
                </w:p>
              </w:tc>
              <w:tc>
                <w:tcPr>
                  <w:tcW w:w="633" w:type="pct"/>
                  <w:vMerge w:val="continue"/>
                  <w:noWrap w:val="0"/>
                  <w:tcMar>
                    <w:left w:w="57" w:type="dxa"/>
                    <w:right w:w="57" w:type="dxa"/>
                  </w:tcMar>
                  <w:vAlign w:val="center"/>
                </w:tcPr>
                <w:p w14:paraId="2919458B">
                  <w:pPr>
                    <w:keepNext w:val="0"/>
                    <w:keepLines w:val="0"/>
                    <w:suppressLineNumbers w:val="0"/>
                    <w:adjustRightInd w:val="0"/>
                    <w:snapToGrid w:val="0"/>
                    <w:spacing w:before="0" w:beforeAutospacing="0" w:after="0" w:afterAutospacing="0"/>
                    <w:ind w:left="0" w:right="0"/>
                    <w:rPr>
                      <w:rFonts w:hint="eastAsia" w:ascii="Times New Roman" w:hAnsi="Times New Roman" w:eastAsia="宋体" w:cs="Times New Roman"/>
                      <w:b w:val="0"/>
                      <w:bCs w:val="0"/>
                      <w:kern w:val="0"/>
                      <w:sz w:val="21"/>
                      <w:szCs w:val="21"/>
                      <w:highlight w:val="none"/>
                    </w:rPr>
                  </w:pPr>
                </w:p>
              </w:tc>
              <w:tc>
                <w:tcPr>
                  <w:tcW w:w="672" w:type="pct"/>
                  <w:vMerge w:val="continue"/>
                  <w:noWrap w:val="0"/>
                  <w:tcMar>
                    <w:left w:w="57" w:type="dxa"/>
                    <w:right w:w="57" w:type="dxa"/>
                  </w:tcMar>
                  <w:vAlign w:val="center"/>
                </w:tcPr>
                <w:p w14:paraId="4CD37800">
                  <w:pPr>
                    <w:keepNext w:val="0"/>
                    <w:keepLines w:val="0"/>
                    <w:suppressLineNumbers w:val="0"/>
                    <w:adjustRightInd w:val="0"/>
                    <w:snapToGrid w:val="0"/>
                    <w:spacing w:before="0" w:beforeAutospacing="0" w:after="0" w:afterAutospacing="0"/>
                    <w:ind w:left="0" w:right="0"/>
                    <w:jc w:val="center"/>
                    <w:rPr>
                      <w:rFonts w:hint="eastAsia" w:ascii="Times New Roman" w:hAnsi="Times New Roman" w:eastAsia="宋体" w:cs="Times New Roman"/>
                      <w:b w:val="0"/>
                      <w:bCs w:val="0"/>
                      <w:kern w:val="0"/>
                      <w:sz w:val="21"/>
                      <w:szCs w:val="21"/>
                      <w:highlight w:val="none"/>
                      <w:lang w:val="en-US" w:eastAsia="zh-CN"/>
                    </w:rPr>
                  </w:pPr>
                </w:p>
              </w:tc>
            </w:tr>
            <w:tr w14:paraId="5C6C1F2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c>
                <w:tcPr>
                  <w:tcW w:w="345" w:type="pct"/>
                  <w:noWrap w:val="0"/>
                  <w:tcMar>
                    <w:left w:w="57" w:type="dxa"/>
                    <w:right w:w="57" w:type="dxa"/>
                  </w:tcMar>
                  <w:vAlign w:val="center"/>
                </w:tcPr>
                <w:p w14:paraId="24B8E3A7">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b w:val="0"/>
                      <w:bCs w:val="0"/>
                      <w:kern w:val="0"/>
                      <w:sz w:val="21"/>
                      <w:szCs w:val="21"/>
                      <w:highlight w:val="none"/>
                      <w:lang w:val="en-US" w:eastAsia="zh-CN"/>
                    </w:rPr>
                  </w:pPr>
                  <w:r>
                    <w:rPr>
                      <w:rFonts w:hint="eastAsia" w:cs="Times New Roman"/>
                      <w:b w:val="0"/>
                      <w:bCs w:val="0"/>
                      <w:kern w:val="0"/>
                      <w:sz w:val="21"/>
                      <w:szCs w:val="21"/>
                      <w:highlight w:val="none"/>
                      <w:lang w:val="en-US" w:eastAsia="zh-CN"/>
                    </w:rPr>
                    <w:t>31</w:t>
                  </w:r>
                </w:p>
              </w:tc>
              <w:tc>
                <w:tcPr>
                  <w:tcW w:w="453" w:type="pct"/>
                  <w:vMerge w:val="continue"/>
                  <w:noWrap w:val="0"/>
                  <w:tcMar>
                    <w:left w:w="57" w:type="dxa"/>
                    <w:right w:w="57" w:type="dxa"/>
                  </w:tcMar>
                  <w:vAlign w:val="center"/>
                </w:tcPr>
                <w:p w14:paraId="62E88658">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b w:val="0"/>
                      <w:bCs w:val="0"/>
                      <w:sz w:val="21"/>
                      <w:szCs w:val="21"/>
                      <w:highlight w:val="none"/>
                      <w:lang w:val="en-US" w:eastAsia="zh-CN"/>
                    </w:rPr>
                  </w:pPr>
                </w:p>
              </w:tc>
              <w:tc>
                <w:tcPr>
                  <w:tcW w:w="845" w:type="pct"/>
                  <w:noWrap w:val="0"/>
                  <w:tcMar>
                    <w:left w:w="57" w:type="dxa"/>
                    <w:right w:w="57" w:type="dxa"/>
                  </w:tcMar>
                  <w:vAlign w:val="center"/>
                </w:tcPr>
                <w:p w14:paraId="1C19E0DF">
                  <w:pPr>
                    <w:keepNext w:val="0"/>
                    <w:keepLines w:val="0"/>
                    <w:suppressLineNumbers w:val="0"/>
                    <w:adjustRightInd w:val="0"/>
                    <w:snapToGrid w:val="0"/>
                    <w:spacing w:before="0" w:beforeAutospacing="0" w:after="0" w:afterAutospacing="0"/>
                    <w:ind w:left="0" w:right="0"/>
                    <w:jc w:val="center"/>
                    <w:rPr>
                      <w:rFonts w:hint="eastAsia" w:cs="Times New Roman"/>
                      <w:b w:val="0"/>
                      <w:bCs w:val="0"/>
                      <w:sz w:val="21"/>
                      <w:szCs w:val="21"/>
                      <w:highlight w:val="none"/>
                      <w:lang w:val="en-US" w:eastAsia="zh-CN"/>
                    </w:rPr>
                  </w:pPr>
                  <w:r>
                    <w:rPr>
                      <w:rFonts w:hint="eastAsia" w:cs="Times New Roman"/>
                      <w:b w:val="0"/>
                      <w:bCs w:val="0"/>
                      <w:sz w:val="21"/>
                      <w:szCs w:val="21"/>
                      <w:highlight w:val="none"/>
                      <w:lang w:val="en-US" w:eastAsia="zh-CN"/>
                    </w:rPr>
                    <w:t>DA017风机</w:t>
                  </w:r>
                </w:p>
              </w:tc>
              <w:tc>
                <w:tcPr>
                  <w:tcW w:w="348" w:type="pct"/>
                  <w:noWrap w:val="0"/>
                  <w:tcMar>
                    <w:left w:w="57" w:type="dxa"/>
                    <w:right w:w="57" w:type="dxa"/>
                  </w:tcMar>
                  <w:vAlign w:val="center"/>
                </w:tcPr>
                <w:p w14:paraId="6CAD8EA3">
                  <w:pPr>
                    <w:keepNext w:val="0"/>
                    <w:keepLines w:val="0"/>
                    <w:suppressLineNumbers w:val="0"/>
                    <w:snapToGrid w:val="0"/>
                    <w:spacing w:before="0" w:beforeAutospacing="0" w:after="0" w:afterAutospacing="0"/>
                    <w:ind w:left="0" w:right="0"/>
                    <w:jc w:val="center"/>
                    <w:rPr>
                      <w:rFonts w:hint="eastAsia" w:ascii="Times New Roman" w:hAnsi="Times New Roman" w:eastAsia="宋体" w:cs="Times New Roman"/>
                      <w:b w:val="0"/>
                      <w:bCs w:val="0"/>
                      <w:sz w:val="21"/>
                      <w:szCs w:val="21"/>
                      <w:highlight w:val="none"/>
                    </w:rPr>
                  </w:pPr>
                  <w:r>
                    <w:rPr>
                      <w:rFonts w:hint="eastAsia" w:ascii="Times New Roman" w:hAnsi="Times New Roman" w:eastAsia="宋体" w:cs="Times New Roman"/>
                      <w:b w:val="0"/>
                      <w:bCs w:val="0"/>
                      <w:sz w:val="21"/>
                      <w:szCs w:val="21"/>
                      <w:highlight w:val="none"/>
                    </w:rPr>
                    <w:t>/</w:t>
                  </w:r>
                </w:p>
              </w:tc>
              <w:tc>
                <w:tcPr>
                  <w:tcW w:w="353" w:type="pct"/>
                  <w:noWrap w:val="0"/>
                  <w:tcMar>
                    <w:left w:w="57" w:type="dxa"/>
                    <w:right w:w="57" w:type="dxa"/>
                  </w:tcMar>
                  <w:vAlign w:val="center"/>
                </w:tcPr>
                <w:p w14:paraId="3A58B4B5">
                  <w:pPr>
                    <w:keepNext w:val="0"/>
                    <w:keepLines w:val="0"/>
                    <w:suppressLineNumbers w:val="0"/>
                    <w:spacing w:before="0" w:beforeAutospacing="0" w:after="0" w:afterAutospacing="0"/>
                    <w:ind w:left="0" w:right="0"/>
                    <w:jc w:val="center"/>
                    <w:rPr>
                      <w:rFonts w:hint="default" w:ascii="Times New Roman" w:hAnsi="Times New Roman" w:eastAsia="宋体" w:cs="Times New Roman"/>
                      <w:b w:val="0"/>
                      <w:bCs w:val="0"/>
                      <w:sz w:val="21"/>
                      <w:szCs w:val="21"/>
                      <w:highlight w:val="none"/>
                      <w:lang w:val="en-US" w:eastAsia="zh-CN"/>
                    </w:rPr>
                  </w:pPr>
                  <w:r>
                    <w:rPr>
                      <w:rFonts w:hint="eastAsia" w:ascii="Times New Roman" w:hAnsi="Times New Roman" w:eastAsia="宋体" w:cs="Times New Roman"/>
                      <w:b w:val="0"/>
                      <w:bCs w:val="0"/>
                      <w:sz w:val="21"/>
                      <w:szCs w:val="21"/>
                      <w:highlight w:val="none"/>
                      <w:lang w:val="en-US" w:eastAsia="zh-CN"/>
                    </w:rPr>
                    <w:t>52</w:t>
                  </w:r>
                </w:p>
              </w:tc>
              <w:tc>
                <w:tcPr>
                  <w:tcW w:w="340" w:type="pct"/>
                  <w:noWrap w:val="0"/>
                  <w:tcMar>
                    <w:left w:w="57" w:type="dxa"/>
                    <w:right w:w="57" w:type="dxa"/>
                  </w:tcMar>
                  <w:vAlign w:val="center"/>
                </w:tcPr>
                <w:p w14:paraId="4102EC28">
                  <w:pPr>
                    <w:keepNext w:val="0"/>
                    <w:keepLines w:val="0"/>
                    <w:suppressLineNumbers w:val="0"/>
                    <w:spacing w:before="0" w:beforeAutospacing="0" w:after="0" w:afterAutospacing="0"/>
                    <w:ind w:left="0" w:right="0"/>
                    <w:jc w:val="center"/>
                    <w:rPr>
                      <w:rFonts w:hint="default" w:ascii="Times New Roman" w:hAnsi="Times New Roman" w:eastAsia="宋体" w:cs="Times New Roman"/>
                      <w:b w:val="0"/>
                      <w:bCs w:val="0"/>
                      <w:sz w:val="21"/>
                      <w:szCs w:val="21"/>
                      <w:highlight w:val="none"/>
                      <w:lang w:val="en-US" w:eastAsia="zh-CN"/>
                    </w:rPr>
                  </w:pPr>
                  <w:r>
                    <w:rPr>
                      <w:rFonts w:hint="eastAsia" w:ascii="Times New Roman" w:hAnsi="Times New Roman" w:eastAsia="宋体" w:cs="Times New Roman"/>
                      <w:b w:val="0"/>
                      <w:bCs w:val="0"/>
                      <w:sz w:val="21"/>
                      <w:szCs w:val="21"/>
                      <w:highlight w:val="none"/>
                      <w:lang w:val="en-US" w:eastAsia="zh-CN"/>
                    </w:rPr>
                    <w:t>59</w:t>
                  </w:r>
                </w:p>
              </w:tc>
              <w:tc>
                <w:tcPr>
                  <w:tcW w:w="339" w:type="pct"/>
                  <w:noWrap w:val="0"/>
                  <w:tcMar>
                    <w:left w:w="57" w:type="dxa"/>
                    <w:right w:w="57" w:type="dxa"/>
                  </w:tcMar>
                  <w:vAlign w:val="center"/>
                </w:tcPr>
                <w:p w14:paraId="13CB4C38">
                  <w:pPr>
                    <w:keepNext w:val="0"/>
                    <w:keepLines w:val="0"/>
                    <w:suppressLineNumbers w:val="0"/>
                    <w:adjustRightInd w:val="0"/>
                    <w:snapToGrid w:val="0"/>
                    <w:spacing w:before="0" w:beforeAutospacing="0" w:after="0" w:afterAutospacing="0"/>
                    <w:ind w:left="0" w:right="0"/>
                    <w:jc w:val="center"/>
                    <w:rPr>
                      <w:rFonts w:hint="eastAsia" w:ascii="Times New Roman" w:hAnsi="Times New Roman" w:eastAsia="宋体" w:cs="Times New Roman"/>
                      <w:b w:val="0"/>
                      <w:bCs w:val="0"/>
                      <w:kern w:val="0"/>
                      <w:sz w:val="21"/>
                      <w:szCs w:val="21"/>
                      <w:highlight w:val="none"/>
                      <w:lang w:val="en-US" w:eastAsia="zh-CN"/>
                    </w:rPr>
                  </w:pPr>
                  <w:r>
                    <w:rPr>
                      <w:rFonts w:hint="eastAsia" w:ascii="Times New Roman" w:hAnsi="Times New Roman" w:eastAsia="宋体" w:cs="Times New Roman"/>
                      <w:b w:val="0"/>
                      <w:bCs w:val="0"/>
                      <w:sz w:val="21"/>
                      <w:szCs w:val="21"/>
                      <w:highlight w:val="none"/>
                      <w:lang w:val="en-US" w:eastAsia="zh-CN"/>
                    </w:rPr>
                    <w:t>37</w:t>
                  </w:r>
                </w:p>
              </w:tc>
              <w:tc>
                <w:tcPr>
                  <w:tcW w:w="666" w:type="pct"/>
                  <w:noWrap w:val="0"/>
                  <w:tcMar>
                    <w:left w:w="57" w:type="dxa"/>
                    <w:right w:w="57" w:type="dxa"/>
                  </w:tcMar>
                  <w:vAlign w:val="center"/>
                </w:tcPr>
                <w:p w14:paraId="31BAD32F">
                  <w:pPr>
                    <w:keepNext w:val="0"/>
                    <w:keepLines w:val="0"/>
                    <w:suppressLineNumbers w:val="0"/>
                    <w:snapToGrid w:val="0"/>
                    <w:spacing w:before="0" w:beforeAutospacing="0" w:after="0" w:afterAutospacing="0"/>
                    <w:ind w:left="0" w:right="0"/>
                    <w:jc w:val="center"/>
                    <w:rPr>
                      <w:rFonts w:hint="eastAsia" w:ascii="Times New Roman" w:hAnsi="Times New Roman" w:eastAsia="宋体" w:cs="Times New Roman"/>
                      <w:b w:val="0"/>
                      <w:bCs w:val="0"/>
                      <w:sz w:val="21"/>
                      <w:szCs w:val="21"/>
                      <w:highlight w:val="none"/>
                      <w:lang w:val="en-US" w:eastAsia="zh-CN"/>
                    </w:rPr>
                  </w:pPr>
                  <w:r>
                    <w:rPr>
                      <w:rFonts w:hint="eastAsia" w:ascii="Times New Roman" w:hAnsi="Times New Roman" w:eastAsia="宋体" w:cs="Times New Roman"/>
                      <w:b w:val="0"/>
                      <w:bCs w:val="0"/>
                      <w:sz w:val="21"/>
                      <w:szCs w:val="21"/>
                      <w:highlight w:val="none"/>
                      <w:lang w:val="en-US" w:eastAsia="zh-CN"/>
                    </w:rPr>
                    <w:t>82</w:t>
                  </w:r>
                </w:p>
              </w:tc>
              <w:tc>
                <w:tcPr>
                  <w:tcW w:w="633" w:type="pct"/>
                  <w:vMerge w:val="continue"/>
                  <w:noWrap w:val="0"/>
                  <w:tcMar>
                    <w:left w:w="57" w:type="dxa"/>
                    <w:right w:w="57" w:type="dxa"/>
                  </w:tcMar>
                  <w:vAlign w:val="center"/>
                </w:tcPr>
                <w:p w14:paraId="76D356B2">
                  <w:pPr>
                    <w:keepNext w:val="0"/>
                    <w:keepLines w:val="0"/>
                    <w:suppressLineNumbers w:val="0"/>
                    <w:adjustRightInd w:val="0"/>
                    <w:snapToGrid w:val="0"/>
                    <w:spacing w:before="0" w:beforeAutospacing="0" w:after="0" w:afterAutospacing="0"/>
                    <w:ind w:left="0" w:right="0"/>
                    <w:rPr>
                      <w:rFonts w:hint="eastAsia" w:ascii="Times New Roman" w:hAnsi="Times New Roman" w:eastAsia="宋体" w:cs="Times New Roman"/>
                      <w:b w:val="0"/>
                      <w:bCs w:val="0"/>
                      <w:kern w:val="0"/>
                      <w:sz w:val="21"/>
                      <w:szCs w:val="21"/>
                      <w:highlight w:val="none"/>
                    </w:rPr>
                  </w:pPr>
                </w:p>
              </w:tc>
              <w:tc>
                <w:tcPr>
                  <w:tcW w:w="672" w:type="pct"/>
                  <w:vMerge w:val="continue"/>
                  <w:noWrap w:val="0"/>
                  <w:tcMar>
                    <w:left w:w="57" w:type="dxa"/>
                    <w:right w:w="57" w:type="dxa"/>
                  </w:tcMar>
                  <w:vAlign w:val="center"/>
                </w:tcPr>
                <w:p w14:paraId="00BDA768">
                  <w:pPr>
                    <w:keepNext w:val="0"/>
                    <w:keepLines w:val="0"/>
                    <w:suppressLineNumbers w:val="0"/>
                    <w:adjustRightInd w:val="0"/>
                    <w:snapToGrid w:val="0"/>
                    <w:spacing w:before="0" w:beforeAutospacing="0" w:after="0" w:afterAutospacing="0"/>
                    <w:ind w:left="0" w:right="0"/>
                    <w:jc w:val="center"/>
                    <w:rPr>
                      <w:rFonts w:hint="eastAsia" w:ascii="Times New Roman" w:hAnsi="Times New Roman" w:eastAsia="宋体" w:cs="Times New Roman"/>
                      <w:b w:val="0"/>
                      <w:bCs w:val="0"/>
                      <w:kern w:val="0"/>
                      <w:sz w:val="21"/>
                      <w:szCs w:val="21"/>
                      <w:highlight w:val="none"/>
                      <w:lang w:val="en-US" w:eastAsia="zh-CN"/>
                    </w:rPr>
                  </w:pPr>
                </w:p>
              </w:tc>
            </w:tr>
            <w:tr w14:paraId="238C04C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c>
                <w:tcPr>
                  <w:tcW w:w="345" w:type="pct"/>
                  <w:noWrap w:val="0"/>
                  <w:tcMar>
                    <w:left w:w="57" w:type="dxa"/>
                    <w:right w:w="57" w:type="dxa"/>
                  </w:tcMar>
                  <w:vAlign w:val="center"/>
                </w:tcPr>
                <w:p w14:paraId="25F4F625">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b w:val="0"/>
                      <w:bCs w:val="0"/>
                      <w:kern w:val="0"/>
                      <w:sz w:val="21"/>
                      <w:szCs w:val="21"/>
                      <w:highlight w:val="none"/>
                      <w:lang w:val="en-US" w:eastAsia="zh-CN"/>
                    </w:rPr>
                  </w:pPr>
                  <w:r>
                    <w:rPr>
                      <w:rFonts w:hint="eastAsia" w:cs="Times New Roman"/>
                      <w:b w:val="0"/>
                      <w:bCs w:val="0"/>
                      <w:kern w:val="0"/>
                      <w:sz w:val="21"/>
                      <w:szCs w:val="21"/>
                      <w:highlight w:val="none"/>
                      <w:lang w:val="en-US" w:eastAsia="zh-CN"/>
                    </w:rPr>
                    <w:t>32</w:t>
                  </w:r>
                </w:p>
              </w:tc>
              <w:tc>
                <w:tcPr>
                  <w:tcW w:w="453" w:type="pct"/>
                  <w:vMerge w:val="continue"/>
                  <w:noWrap w:val="0"/>
                  <w:tcMar>
                    <w:left w:w="57" w:type="dxa"/>
                    <w:right w:w="57" w:type="dxa"/>
                  </w:tcMar>
                  <w:vAlign w:val="center"/>
                </w:tcPr>
                <w:p w14:paraId="24E6276F">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b w:val="0"/>
                      <w:bCs w:val="0"/>
                      <w:sz w:val="21"/>
                      <w:szCs w:val="21"/>
                      <w:highlight w:val="none"/>
                      <w:lang w:val="en-US" w:eastAsia="zh-CN"/>
                    </w:rPr>
                  </w:pPr>
                </w:p>
              </w:tc>
              <w:tc>
                <w:tcPr>
                  <w:tcW w:w="845" w:type="pct"/>
                  <w:noWrap w:val="0"/>
                  <w:tcMar>
                    <w:left w:w="57" w:type="dxa"/>
                    <w:right w:w="57" w:type="dxa"/>
                  </w:tcMar>
                  <w:vAlign w:val="center"/>
                </w:tcPr>
                <w:p w14:paraId="4695DB5B">
                  <w:pPr>
                    <w:keepNext w:val="0"/>
                    <w:keepLines w:val="0"/>
                    <w:suppressLineNumbers w:val="0"/>
                    <w:adjustRightInd w:val="0"/>
                    <w:snapToGrid w:val="0"/>
                    <w:spacing w:before="0" w:beforeAutospacing="0" w:after="0" w:afterAutospacing="0"/>
                    <w:ind w:left="0" w:right="0"/>
                    <w:jc w:val="center"/>
                    <w:rPr>
                      <w:rFonts w:hint="eastAsia" w:cs="Times New Roman"/>
                      <w:b w:val="0"/>
                      <w:bCs w:val="0"/>
                      <w:sz w:val="21"/>
                      <w:szCs w:val="21"/>
                      <w:highlight w:val="none"/>
                      <w:lang w:val="en-US" w:eastAsia="zh-CN"/>
                    </w:rPr>
                  </w:pPr>
                  <w:r>
                    <w:rPr>
                      <w:rFonts w:hint="eastAsia" w:cs="Times New Roman"/>
                      <w:b w:val="0"/>
                      <w:bCs w:val="0"/>
                      <w:sz w:val="21"/>
                      <w:szCs w:val="21"/>
                      <w:highlight w:val="none"/>
                      <w:lang w:val="en-US" w:eastAsia="zh-CN"/>
                    </w:rPr>
                    <w:t>DA018风机</w:t>
                  </w:r>
                </w:p>
              </w:tc>
              <w:tc>
                <w:tcPr>
                  <w:tcW w:w="348" w:type="pct"/>
                  <w:noWrap w:val="0"/>
                  <w:tcMar>
                    <w:left w:w="57" w:type="dxa"/>
                    <w:right w:w="57" w:type="dxa"/>
                  </w:tcMar>
                  <w:vAlign w:val="center"/>
                </w:tcPr>
                <w:p w14:paraId="6811A17E">
                  <w:pPr>
                    <w:keepNext w:val="0"/>
                    <w:keepLines w:val="0"/>
                    <w:suppressLineNumbers w:val="0"/>
                    <w:snapToGrid w:val="0"/>
                    <w:spacing w:before="0" w:beforeAutospacing="0" w:after="0" w:afterAutospacing="0"/>
                    <w:ind w:left="0" w:right="0"/>
                    <w:jc w:val="center"/>
                    <w:rPr>
                      <w:rFonts w:hint="eastAsia" w:ascii="Times New Roman" w:hAnsi="Times New Roman" w:eastAsia="宋体" w:cs="Times New Roman"/>
                      <w:b w:val="0"/>
                      <w:bCs w:val="0"/>
                      <w:sz w:val="21"/>
                      <w:szCs w:val="21"/>
                      <w:highlight w:val="none"/>
                    </w:rPr>
                  </w:pPr>
                  <w:r>
                    <w:rPr>
                      <w:rFonts w:hint="eastAsia" w:ascii="Times New Roman" w:hAnsi="Times New Roman" w:eastAsia="宋体" w:cs="Times New Roman"/>
                      <w:b w:val="0"/>
                      <w:bCs w:val="0"/>
                      <w:sz w:val="21"/>
                      <w:szCs w:val="21"/>
                      <w:highlight w:val="none"/>
                    </w:rPr>
                    <w:t>/</w:t>
                  </w:r>
                </w:p>
              </w:tc>
              <w:tc>
                <w:tcPr>
                  <w:tcW w:w="353" w:type="pct"/>
                  <w:noWrap w:val="0"/>
                  <w:tcMar>
                    <w:left w:w="57" w:type="dxa"/>
                    <w:right w:w="57" w:type="dxa"/>
                  </w:tcMar>
                  <w:vAlign w:val="center"/>
                </w:tcPr>
                <w:p w14:paraId="6917E452">
                  <w:pPr>
                    <w:keepNext w:val="0"/>
                    <w:keepLines w:val="0"/>
                    <w:suppressLineNumbers w:val="0"/>
                    <w:spacing w:before="0" w:beforeAutospacing="0" w:after="0" w:afterAutospacing="0"/>
                    <w:ind w:left="0" w:right="0"/>
                    <w:jc w:val="center"/>
                    <w:rPr>
                      <w:rFonts w:hint="default" w:ascii="Times New Roman" w:hAnsi="Times New Roman" w:eastAsia="宋体" w:cs="Times New Roman"/>
                      <w:b w:val="0"/>
                      <w:bCs w:val="0"/>
                      <w:sz w:val="21"/>
                      <w:szCs w:val="21"/>
                      <w:highlight w:val="none"/>
                      <w:lang w:val="en-US" w:eastAsia="zh-CN"/>
                    </w:rPr>
                  </w:pPr>
                  <w:r>
                    <w:rPr>
                      <w:rFonts w:hint="eastAsia" w:ascii="Times New Roman" w:hAnsi="Times New Roman" w:eastAsia="宋体" w:cs="Times New Roman"/>
                      <w:b w:val="0"/>
                      <w:bCs w:val="0"/>
                      <w:sz w:val="21"/>
                      <w:szCs w:val="21"/>
                      <w:highlight w:val="none"/>
                      <w:lang w:val="en-US" w:eastAsia="zh-CN"/>
                    </w:rPr>
                    <w:t>98</w:t>
                  </w:r>
                </w:p>
              </w:tc>
              <w:tc>
                <w:tcPr>
                  <w:tcW w:w="340" w:type="pct"/>
                  <w:noWrap w:val="0"/>
                  <w:tcMar>
                    <w:left w:w="57" w:type="dxa"/>
                    <w:right w:w="57" w:type="dxa"/>
                  </w:tcMar>
                  <w:vAlign w:val="center"/>
                </w:tcPr>
                <w:p w14:paraId="1FCE2B43">
                  <w:pPr>
                    <w:keepNext w:val="0"/>
                    <w:keepLines w:val="0"/>
                    <w:suppressLineNumbers w:val="0"/>
                    <w:spacing w:before="0" w:beforeAutospacing="0" w:after="0" w:afterAutospacing="0"/>
                    <w:ind w:left="0" w:right="0"/>
                    <w:jc w:val="center"/>
                    <w:rPr>
                      <w:rFonts w:hint="default" w:ascii="Times New Roman" w:hAnsi="Times New Roman" w:eastAsia="宋体" w:cs="Times New Roman"/>
                      <w:b w:val="0"/>
                      <w:bCs w:val="0"/>
                      <w:sz w:val="21"/>
                      <w:szCs w:val="21"/>
                      <w:highlight w:val="none"/>
                      <w:lang w:val="en-US" w:eastAsia="zh-CN"/>
                    </w:rPr>
                  </w:pPr>
                  <w:r>
                    <w:rPr>
                      <w:rFonts w:hint="eastAsia" w:ascii="Times New Roman" w:hAnsi="Times New Roman" w:eastAsia="宋体" w:cs="Times New Roman"/>
                      <w:b w:val="0"/>
                      <w:bCs w:val="0"/>
                      <w:sz w:val="21"/>
                      <w:szCs w:val="21"/>
                      <w:highlight w:val="none"/>
                      <w:lang w:val="en-US" w:eastAsia="zh-CN"/>
                    </w:rPr>
                    <w:t>115</w:t>
                  </w:r>
                </w:p>
              </w:tc>
              <w:tc>
                <w:tcPr>
                  <w:tcW w:w="339" w:type="pct"/>
                  <w:noWrap w:val="0"/>
                  <w:tcMar>
                    <w:left w:w="57" w:type="dxa"/>
                    <w:right w:w="57" w:type="dxa"/>
                  </w:tcMar>
                  <w:vAlign w:val="center"/>
                </w:tcPr>
                <w:p w14:paraId="2DB7E45A">
                  <w:pPr>
                    <w:keepNext w:val="0"/>
                    <w:keepLines w:val="0"/>
                    <w:suppressLineNumbers w:val="0"/>
                    <w:adjustRightInd w:val="0"/>
                    <w:snapToGrid w:val="0"/>
                    <w:spacing w:before="0" w:beforeAutospacing="0" w:after="0" w:afterAutospacing="0"/>
                    <w:ind w:left="0" w:right="0"/>
                    <w:jc w:val="center"/>
                    <w:rPr>
                      <w:rFonts w:hint="eastAsia" w:ascii="Times New Roman" w:hAnsi="Times New Roman" w:eastAsia="宋体" w:cs="Times New Roman"/>
                      <w:b w:val="0"/>
                      <w:bCs w:val="0"/>
                      <w:kern w:val="0"/>
                      <w:sz w:val="21"/>
                      <w:szCs w:val="21"/>
                      <w:highlight w:val="none"/>
                      <w:lang w:val="en-US" w:eastAsia="zh-CN"/>
                    </w:rPr>
                  </w:pPr>
                  <w:r>
                    <w:rPr>
                      <w:rFonts w:hint="eastAsia" w:ascii="Times New Roman" w:hAnsi="Times New Roman" w:eastAsia="宋体" w:cs="Times New Roman"/>
                      <w:b w:val="0"/>
                      <w:bCs w:val="0"/>
                      <w:sz w:val="21"/>
                      <w:szCs w:val="21"/>
                      <w:highlight w:val="none"/>
                      <w:lang w:val="en-US" w:eastAsia="zh-CN"/>
                    </w:rPr>
                    <w:t>37</w:t>
                  </w:r>
                </w:p>
              </w:tc>
              <w:tc>
                <w:tcPr>
                  <w:tcW w:w="666" w:type="pct"/>
                  <w:noWrap w:val="0"/>
                  <w:tcMar>
                    <w:left w:w="57" w:type="dxa"/>
                    <w:right w:w="57" w:type="dxa"/>
                  </w:tcMar>
                  <w:vAlign w:val="center"/>
                </w:tcPr>
                <w:p w14:paraId="3EE7DD2A">
                  <w:pPr>
                    <w:keepNext w:val="0"/>
                    <w:keepLines w:val="0"/>
                    <w:suppressLineNumbers w:val="0"/>
                    <w:snapToGrid w:val="0"/>
                    <w:spacing w:before="0" w:beforeAutospacing="0" w:after="0" w:afterAutospacing="0"/>
                    <w:ind w:left="0" w:right="0"/>
                    <w:jc w:val="center"/>
                    <w:rPr>
                      <w:rFonts w:hint="default" w:ascii="Times New Roman" w:hAnsi="Times New Roman" w:eastAsia="宋体" w:cs="Times New Roman"/>
                      <w:b w:val="0"/>
                      <w:bCs w:val="0"/>
                      <w:sz w:val="21"/>
                      <w:szCs w:val="21"/>
                      <w:highlight w:val="none"/>
                      <w:lang w:val="en-US" w:eastAsia="zh-CN"/>
                    </w:rPr>
                  </w:pPr>
                  <w:r>
                    <w:rPr>
                      <w:rFonts w:hint="eastAsia" w:ascii="Times New Roman" w:hAnsi="Times New Roman" w:eastAsia="宋体" w:cs="Times New Roman"/>
                      <w:b w:val="0"/>
                      <w:bCs w:val="0"/>
                      <w:sz w:val="21"/>
                      <w:szCs w:val="21"/>
                      <w:highlight w:val="none"/>
                      <w:lang w:val="en-US" w:eastAsia="zh-CN"/>
                    </w:rPr>
                    <w:t>80</w:t>
                  </w:r>
                </w:p>
              </w:tc>
              <w:tc>
                <w:tcPr>
                  <w:tcW w:w="633" w:type="pct"/>
                  <w:vMerge w:val="continue"/>
                  <w:noWrap w:val="0"/>
                  <w:tcMar>
                    <w:left w:w="57" w:type="dxa"/>
                    <w:right w:w="57" w:type="dxa"/>
                  </w:tcMar>
                  <w:vAlign w:val="center"/>
                </w:tcPr>
                <w:p w14:paraId="1C17BF48">
                  <w:pPr>
                    <w:keepNext w:val="0"/>
                    <w:keepLines w:val="0"/>
                    <w:suppressLineNumbers w:val="0"/>
                    <w:adjustRightInd w:val="0"/>
                    <w:snapToGrid w:val="0"/>
                    <w:spacing w:before="0" w:beforeAutospacing="0" w:after="0" w:afterAutospacing="0"/>
                    <w:ind w:left="0" w:right="0"/>
                    <w:rPr>
                      <w:rFonts w:hint="eastAsia" w:ascii="Times New Roman" w:hAnsi="Times New Roman" w:eastAsia="宋体" w:cs="Times New Roman"/>
                      <w:b w:val="0"/>
                      <w:bCs w:val="0"/>
                      <w:kern w:val="0"/>
                      <w:sz w:val="21"/>
                      <w:szCs w:val="21"/>
                      <w:highlight w:val="none"/>
                    </w:rPr>
                  </w:pPr>
                </w:p>
              </w:tc>
              <w:tc>
                <w:tcPr>
                  <w:tcW w:w="672" w:type="pct"/>
                  <w:vMerge w:val="continue"/>
                  <w:noWrap w:val="0"/>
                  <w:tcMar>
                    <w:left w:w="57" w:type="dxa"/>
                    <w:right w:w="57" w:type="dxa"/>
                  </w:tcMar>
                  <w:vAlign w:val="center"/>
                </w:tcPr>
                <w:p w14:paraId="50C0A245">
                  <w:pPr>
                    <w:keepNext w:val="0"/>
                    <w:keepLines w:val="0"/>
                    <w:suppressLineNumbers w:val="0"/>
                    <w:adjustRightInd w:val="0"/>
                    <w:snapToGrid w:val="0"/>
                    <w:spacing w:before="0" w:beforeAutospacing="0" w:after="0" w:afterAutospacing="0"/>
                    <w:ind w:left="0" w:right="0"/>
                    <w:jc w:val="center"/>
                    <w:rPr>
                      <w:rFonts w:hint="eastAsia" w:ascii="Times New Roman" w:hAnsi="Times New Roman" w:eastAsia="宋体" w:cs="Times New Roman"/>
                      <w:b w:val="0"/>
                      <w:bCs w:val="0"/>
                      <w:kern w:val="0"/>
                      <w:sz w:val="21"/>
                      <w:szCs w:val="21"/>
                      <w:highlight w:val="none"/>
                      <w:lang w:val="en-US" w:eastAsia="zh-CN"/>
                    </w:rPr>
                  </w:pPr>
                </w:p>
              </w:tc>
            </w:tr>
            <w:tr w14:paraId="59A472D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c>
                <w:tcPr>
                  <w:tcW w:w="345" w:type="pct"/>
                  <w:noWrap w:val="0"/>
                  <w:tcMar>
                    <w:left w:w="57" w:type="dxa"/>
                    <w:right w:w="57" w:type="dxa"/>
                  </w:tcMar>
                  <w:vAlign w:val="center"/>
                </w:tcPr>
                <w:p w14:paraId="3D7D651E">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b w:val="0"/>
                      <w:bCs w:val="0"/>
                      <w:kern w:val="0"/>
                      <w:sz w:val="21"/>
                      <w:szCs w:val="21"/>
                      <w:highlight w:val="none"/>
                      <w:lang w:val="en-US" w:eastAsia="zh-CN"/>
                    </w:rPr>
                  </w:pPr>
                  <w:r>
                    <w:rPr>
                      <w:rFonts w:hint="eastAsia" w:cs="Times New Roman"/>
                      <w:b w:val="0"/>
                      <w:bCs w:val="0"/>
                      <w:kern w:val="0"/>
                      <w:sz w:val="21"/>
                      <w:szCs w:val="21"/>
                      <w:highlight w:val="none"/>
                      <w:lang w:val="en-US" w:eastAsia="zh-CN"/>
                    </w:rPr>
                    <w:t>33</w:t>
                  </w:r>
                </w:p>
              </w:tc>
              <w:tc>
                <w:tcPr>
                  <w:tcW w:w="453" w:type="pct"/>
                  <w:vMerge w:val="continue"/>
                  <w:noWrap w:val="0"/>
                  <w:tcMar>
                    <w:left w:w="57" w:type="dxa"/>
                    <w:right w:w="57" w:type="dxa"/>
                  </w:tcMar>
                  <w:vAlign w:val="center"/>
                </w:tcPr>
                <w:p w14:paraId="0AE47473">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b w:val="0"/>
                      <w:bCs w:val="0"/>
                      <w:sz w:val="21"/>
                      <w:szCs w:val="21"/>
                      <w:highlight w:val="none"/>
                      <w:lang w:val="en-US" w:eastAsia="zh-CN"/>
                    </w:rPr>
                  </w:pPr>
                </w:p>
              </w:tc>
              <w:tc>
                <w:tcPr>
                  <w:tcW w:w="845" w:type="pct"/>
                  <w:noWrap w:val="0"/>
                  <w:tcMar>
                    <w:left w:w="57" w:type="dxa"/>
                    <w:right w:w="57" w:type="dxa"/>
                  </w:tcMar>
                  <w:vAlign w:val="center"/>
                </w:tcPr>
                <w:p w14:paraId="0C551CF2">
                  <w:pPr>
                    <w:keepNext w:val="0"/>
                    <w:keepLines w:val="0"/>
                    <w:suppressLineNumbers w:val="0"/>
                    <w:adjustRightInd w:val="0"/>
                    <w:snapToGrid w:val="0"/>
                    <w:spacing w:before="0" w:beforeAutospacing="0" w:after="0" w:afterAutospacing="0"/>
                    <w:ind w:left="0" w:right="0"/>
                    <w:jc w:val="center"/>
                    <w:rPr>
                      <w:rFonts w:hint="eastAsia" w:cs="Times New Roman"/>
                      <w:b w:val="0"/>
                      <w:bCs w:val="0"/>
                      <w:sz w:val="21"/>
                      <w:szCs w:val="21"/>
                      <w:highlight w:val="none"/>
                      <w:lang w:val="en-US" w:eastAsia="zh-CN"/>
                    </w:rPr>
                  </w:pPr>
                  <w:r>
                    <w:rPr>
                      <w:rFonts w:hint="eastAsia" w:cs="Times New Roman"/>
                      <w:b w:val="0"/>
                      <w:bCs w:val="0"/>
                      <w:sz w:val="21"/>
                      <w:szCs w:val="21"/>
                      <w:highlight w:val="none"/>
                      <w:lang w:val="en-US" w:eastAsia="zh-CN"/>
                    </w:rPr>
                    <w:t>DA019风机</w:t>
                  </w:r>
                </w:p>
              </w:tc>
              <w:tc>
                <w:tcPr>
                  <w:tcW w:w="348" w:type="pct"/>
                  <w:noWrap w:val="0"/>
                  <w:tcMar>
                    <w:left w:w="57" w:type="dxa"/>
                    <w:right w:w="57" w:type="dxa"/>
                  </w:tcMar>
                  <w:vAlign w:val="center"/>
                </w:tcPr>
                <w:p w14:paraId="4AEDEBA0">
                  <w:pPr>
                    <w:keepNext w:val="0"/>
                    <w:keepLines w:val="0"/>
                    <w:suppressLineNumbers w:val="0"/>
                    <w:snapToGrid w:val="0"/>
                    <w:spacing w:before="0" w:beforeAutospacing="0" w:after="0" w:afterAutospacing="0"/>
                    <w:ind w:left="0" w:right="0"/>
                    <w:jc w:val="center"/>
                    <w:rPr>
                      <w:rFonts w:hint="eastAsia" w:ascii="Times New Roman" w:hAnsi="Times New Roman" w:eastAsia="宋体" w:cs="Times New Roman"/>
                      <w:b w:val="0"/>
                      <w:bCs w:val="0"/>
                      <w:sz w:val="21"/>
                      <w:szCs w:val="21"/>
                      <w:highlight w:val="none"/>
                    </w:rPr>
                  </w:pPr>
                  <w:r>
                    <w:rPr>
                      <w:rFonts w:hint="eastAsia" w:ascii="Times New Roman" w:hAnsi="Times New Roman" w:eastAsia="宋体" w:cs="Times New Roman"/>
                      <w:b w:val="0"/>
                      <w:bCs w:val="0"/>
                      <w:sz w:val="21"/>
                      <w:szCs w:val="21"/>
                      <w:highlight w:val="none"/>
                    </w:rPr>
                    <w:t>/</w:t>
                  </w:r>
                </w:p>
              </w:tc>
              <w:tc>
                <w:tcPr>
                  <w:tcW w:w="353" w:type="pct"/>
                  <w:noWrap w:val="0"/>
                  <w:tcMar>
                    <w:left w:w="57" w:type="dxa"/>
                    <w:right w:w="57" w:type="dxa"/>
                  </w:tcMar>
                  <w:vAlign w:val="center"/>
                </w:tcPr>
                <w:p w14:paraId="26E09983">
                  <w:pPr>
                    <w:keepNext w:val="0"/>
                    <w:keepLines w:val="0"/>
                    <w:suppressLineNumbers w:val="0"/>
                    <w:spacing w:before="0" w:beforeAutospacing="0" w:after="0" w:afterAutospacing="0"/>
                    <w:ind w:left="0" w:right="0"/>
                    <w:jc w:val="center"/>
                    <w:rPr>
                      <w:rFonts w:hint="default" w:ascii="Times New Roman" w:hAnsi="Times New Roman" w:eastAsia="宋体" w:cs="Times New Roman"/>
                      <w:b w:val="0"/>
                      <w:bCs w:val="0"/>
                      <w:sz w:val="21"/>
                      <w:szCs w:val="21"/>
                      <w:highlight w:val="none"/>
                      <w:lang w:val="en-US" w:eastAsia="zh-CN"/>
                    </w:rPr>
                  </w:pPr>
                  <w:r>
                    <w:rPr>
                      <w:rFonts w:hint="eastAsia" w:ascii="Times New Roman" w:hAnsi="Times New Roman" w:eastAsia="宋体" w:cs="Times New Roman"/>
                      <w:b w:val="0"/>
                      <w:bCs w:val="0"/>
                      <w:sz w:val="21"/>
                      <w:szCs w:val="21"/>
                      <w:highlight w:val="none"/>
                      <w:lang w:val="en-US" w:eastAsia="zh-CN"/>
                    </w:rPr>
                    <w:t>103</w:t>
                  </w:r>
                </w:p>
              </w:tc>
              <w:tc>
                <w:tcPr>
                  <w:tcW w:w="340" w:type="pct"/>
                  <w:noWrap w:val="0"/>
                  <w:tcMar>
                    <w:left w:w="57" w:type="dxa"/>
                    <w:right w:w="57" w:type="dxa"/>
                  </w:tcMar>
                  <w:vAlign w:val="center"/>
                </w:tcPr>
                <w:p w14:paraId="7A485272">
                  <w:pPr>
                    <w:keepNext w:val="0"/>
                    <w:keepLines w:val="0"/>
                    <w:suppressLineNumbers w:val="0"/>
                    <w:spacing w:before="0" w:beforeAutospacing="0" w:after="0" w:afterAutospacing="0"/>
                    <w:ind w:left="0" w:right="0"/>
                    <w:jc w:val="center"/>
                    <w:rPr>
                      <w:rFonts w:hint="default" w:ascii="Times New Roman" w:hAnsi="Times New Roman" w:eastAsia="宋体" w:cs="Times New Roman"/>
                      <w:b w:val="0"/>
                      <w:bCs w:val="0"/>
                      <w:sz w:val="21"/>
                      <w:szCs w:val="21"/>
                      <w:highlight w:val="none"/>
                      <w:lang w:val="en-US" w:eastAsia="zh-CN"/>
                    </w:rPr>
                  </w:pPr>
                  <w:r>
                    <w:rPr>
                      <w:rFonts w:hint="eastAsia" w:ascii="Times New Roman" w:hAnsi="Times New Roman" w:eastAsia="宋体" w:cs="Times New Roman"/>
                      <w:b w:val="0"/>
                      <w:bCs w:val="0"/>
                      <w:sz w:val="21"/>
                      <w:szCs w:val="21"/>
                      <w:highlight w:val="none"/>
                      <w:lang w:val="en-US" w:eastAsia="zh-CN"/>
                    </w:rPr>
                    <w:t>97</w:t>
                  </w:r>
                </w:p>
              </w:tc>
              <w:tc>
                <w:tcPr>
                  <w:tcW w:w="339" w:type="pct"/>
                  <w:noWrap w:val="0"/>
                  <w:tcMar>
                    <w:left w:w="57" w:type="dxa"/>
                    <w:right w:w="57" w:type="dxa"/>
                  </w:tcMar>
                  <w:vAlign w:val="center"/>
                </w:tcPr>
                <w:p w14:paraId="16B7731A">
                  <w:pPr>
                    <w:keepNext w:val="0"/>
                    <w:keepLines w:val="0"/>
                    <w:suppressLineNumbers w:val="0"/>
                    <w:adjustRightInd w:val="0"/>
                    <w:snapToGrid w:val="0"/>
                    <w:spacing w:before="0" w:beforeAutospacing="0" w:after="0" w:afterAutospacing="0"/>
                    <w:ind w:left="0" w:right="0"/>
                    <w:jc w:val="center"/>
                    <w:rPr>
                      <w:rFonts w:hint="eastAsia" w:ascii="Times New Roman" w:hAnsi="Times New Roman" w:eastAsia="宋体" w:cs="Times New Roman"/>
                      <w:b w:val="0"/>
                      <w:bCs w:val="0"/>
                      <w:kern w:val="0"/>
                      <w:sz w:val="21"/>
                      <w:szCs w:val="21"/>
                      <w:highlight w:val="none"/>
                      <w:lang w:val="en-US" w:eastAsia="zh-CN"/>
                    </w:rPr>
                  </w:pPr>
                  <w:r>
                    <w:rPr>
                      <w:rFonts w:hint="eastAsia" w:ascii="Times New Roman" w:hAnsi="Times New Roman" w:eastAsia="宋体" w:cs="Times New Roman"/>
                      <w:b w:val="0"/>
                      <w:bCs w:val="0"/>
                      <w:sz w:val="21"/>
                      <w:szCs w:val="21"/>
                      <w:highlight w:val="none"/>
                      <w:lang w:val="en-US" w:eastAsia="zh-CN"/>
                    </w:rPr>
                    <w:t>37</w:t>
                  </w:r>
                </w:p>
              </w:tc>
              <w:tc>
                <w:tcPr>
                  <w:tcW w:w="666" w:type="pct"/>
                  <w:noWrap w:val="0"/>
                  <w:tcMar>
                    <w:left w:w="57" w:type="dxa"/>
                    <w:right w:w="57" w:type="dxa"/>
                  </w:tcMar>
                  <w:vAlign w:val="center"/>
                </w:tcPr>
                <w:p w14:paraId="6473A478">
                  <w:pPr>
                    <w:keepNext w:val="0"/>
                    <w:keepLines w:val="0"/>
                    <w:suppressLineNumbers w:val="0"/>
                    <w:snapToGrid w:val="0"/>
                    <w:spacing w:before="0" w:beforeAutospacing="0" w:after="0" w:afterAutospacing="0"/>
                    <w:ind w:left="0" w:right="0"/>
                    <w:jc w:val="center"/>
                    <w:rPr>
                      <w:rFonts w:hint="default" w:ascii="Times New Roman" w:hAnsi="Times New Roman" w:eastAsia="宋体" w:cs="Times New Roman"/>
                      <w:b w:val="0"/>
                      <w:bCs w:val="0"/>
                      <w:sz w:val="21"/>
                      <w:szCs w:val="21"/>
                      <w:highlight w:val="none"/>
                      <w:lang w:val="en-US" w:eastAsia="zh-CN"/>
                    </w:rPr>
                  </w:pPr>
                  <w:r>
                    <w:rPr>
                      <w:rFonts w:hint="eastAsia" w:ascii="Times New Roman" w:hAnsi="Times New Roman" w:eastAsia="宋体" w:cs="Times New Roman"/>
                      <w:b w:val="0"/>
                      <w:bCs w:val="0"/>
                      <w:sz w:val="21"/>
                      <w:szCs w:val="21"/>
                      <w:highlight w:val="none"/>
                      <w:lang w:val="en-US" w:eastAsia="zh-CN"/>
                    </w:rPr>
                    <w:t>79</w:t>
                  </w:r>
                </w:p>
              </w:tc>
              <w:tc>
                <w:tcPr>
                  <w:tcW w:w="633" w:type="pct"/>
                  <w:vMerge w:val="continue"/>
                  <w:noWrap w:val="0"/>
                  <w:tcMar>
                    <w:left w:w="57" w:type="dxa"/>
                    <w:right w:w="57" w:type="dxa"/>
                  </w:tcMar>
                  <w:vAlign w:val="center"/>
                </w:tcPr>
                <w:p w14:paraId="16E1774F">
                  <w:pPr>
                    <w:keepNext w:val="0"/>
                    <w:keepLines w:val="0"/>
                    <w:suppressLineNumbers w:val="0"/>
                    <w:adjustRightInd w:val="0"/>
                    <w:snapToGrid w:val="0"/>
                    <w:spacing w:before="0" w:beforeAutospacing="0" w:after="0" w:afterAutospacing="0"/>
                    <w:ind w:left="0" w:right="0"/>
                    <w:rPr>
                      <w:rFonts w:hint="eastAsia" w:ascii="Times New Roman" w:hAnsi="Times New Roman" w:eastAsia="宋体" w:cs="Times New Roman"/>
                      <w:b w:val="0"/>
                      <w:bCs w:val="0"/>
                      <w:kern w:val="0"/>
                      <w:sz w:val="21"/>
                      <w:szCs w:val="21"/>
                      <w:highlight w:val="none"/>
                    </w:rPr>
                  </w:pPr>
                </w:p>
              </w:tc>
              <w:tc>
                <w:tcPr>
                  <w:tcW w:w="672" w:type="pct"/>
                  <w:vMerge w:val="continue"/>
                  <w:noWrap w:val="0"/>
                  <w:tcMar>
                    <w:left w:w="57" w:type="dxa"/>
                    <w:right w:w="57" w:type="dxa"/>
                  </w:tcMar>
                  <w:vAlign w:val="center"/>
                </w:tcPr>
                <w:p w14:paraId="46BE379F">
                  <w:pPr>
                    <w:keepNext w:val="0"/>
                    <w:keepLines w:val="0"/>
                    <w:suppressLineNumbers w:val="0"/>
                    <w:adjustRightInd w:val="0"/>
                    <w:snapToGrid w:val="0"/>
                    <w:spacing w:before="0" w:beforeAutospacing="0" w:after="0" w:afterAutospacing="0"/>
                    <w:ind w:left="0" w:right="0"/>
                    <w:jc w:val="center"/>
                    <w:rPr>
                      <w:rFonts w:hint="eastAsia" w:ascii="Times New Roman" w:hAnsi="Times New Roman" w:eastAsia="宋体" w:cs="Times New Roman"/>
                      <w:b w:val="0"/>
                      <w:bCs w:val="0"/>
                      <w:kern w:val="0"/>
                      <w:sz w:val="21"/>
                      <w:szCs w:val="21"/>
                      <w:highlight w:val="none"/>
                      <w:lang w:val="en-US" w:eastAsia="zh-CN"/>
                    </w:rPr>
                  </w:pPr>
                </w:p>
              </w:tc>
            </w:tr>
            <w:tr w14:paraId="121FEE1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c>
                <w:tcPr>
                  <w:tcW w:w="345" w:type="pct"/>
                  <w:noWrap w:val="0"/>
                  <w:tcMar>
                    <w:left w:w="57" w:type="dxa"/>
                    <w:right w:w="57" w:type="dxa"/>
                  </w:tcMar>
                  <w:vAlign w:val="center"/>
                </w:tcPr>
                <w:p w14:paraId="3405B547">
                  <w:pPr>
                    <w:keepNext w:val="0"/>
                    <w:keepLines w:val="0"/>
                    <w:suppressLineNumbers w:val="0"/>
                    <w:adjustRightInd w:val="0"/>
                    <w:snapToGrid w:val="0"/>
                    <w:spacing w:before="0" w:beforeAutospacing="0" w:after="0" w:afterAutospacing="0"/>
                    <w:ind w:left="0" w:right="0"/>
                    <w:jc w:val="center"/>
                    <w:rPr>
                      <w:rFonts w:hint="default" w:cs="Times New Roman"/>
                      <w:b w:val="0"/>
                      <w:bCs w:val="0"/>
                      <w:kern w:val="0"/>
                      <w:sz w:val="21"/>
                      <w:szCs w:val="21"/>
                      <w:highlight w:val="none"/>
                      <w:lang w:val="en-US" w:eastAsia="zh-CN"/>
                    </w:rPr>
                  </w:pPr>
                  <w:r>
                    <w:rPr>
                      <w:rFonts w:hint="eastAsia" w:cs="Times New Roman"/>
                      <w:b w:val="0"/>
                      <w:bCs w:val="0"/>
                      <w:kern w:val="0"/>
                      <w:sz w:val="21"/>
                      <w:szCs w:val="21"/>
                      <w:highlight w:val="none"/>
                      <w:lang w:val="en-US" w:eastAsia="zh-CN"/>
                    </w:rPr>
                    <w:t>34</w:t>
                  </w:r>
                </w:p>
              </w:tc>
              <w:tc>
                <w:tcPr>
                  <w:tcW w:w="453" w:type="pct"/>
                  <w:noWrap w:val="0"/>
                  <w:tcMar>
                    <w:left w:w="57" w:type="dxa"/>
                    <w:right w:w="57" w:type="dxa"/>
                  </w:tcMar>
                  <w:vAlign w:val="center"/>
                </w:tcPr>
                <w:p w14:paraId="6E49835D">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b w:val="0"/>
                      <w:bCs w:val="0"/>
                      <w:sz w:val="21"/>
                      <w:szCs w:val="21"/>
                      <w:highlight w:val="none"/>
                      <w:lang w:val="en-US" w:eastAsia="zh-CN"/>
                    </w:rPr>
                  </w:pPr>
                  <w:r>
                    <w:rPr>
                      <w:rFonts w:hint="eastAsia" w:cs="Times New Roman"/>
                      <w:b w:val="0"/>
                      <w:bCs w:val="0"/>
                      <w:sz w:val="21"/>
                      <w:szCs w:val="21"/>
                      <w:highlight w:val="none"/>
                      <w:lang w:val="en-US" w:eastAsia="zh-CN"/>
                    </w:rPr>
                    <w:t>污水处理站</w:t>
                  </w:r>
                </w:p>
              </w:tc>
              <w:tc>
                <w:tcPr>
                  <w:tcW w:w="845" w:type="pct"/>
                  <w:noWrap w:val="0"/>
                  <w:tcMar>
                    <w:left w:w="57" w:type="dxa"/>
                    <w:right w:w="57" w:type="dxa"/>
                  </w:tcMar>
                  <w:vAlign w:val="center"/>
                </w:tcPr>
                <w:p w14:paraId="36BD1F9F">
                  <w:pPr>
                    <w:keepNext w:val="0"/>
                    <w:keepLines w:val="0"/>
                    <w:suppressLineNumbers w:val="0"/>
                    <w:adjustRightInd w:val="0"/>
                    <w:snapToGrid w:val="0"/>
                    <w:spacing w:before="0" w:beforeAutospacing="0" w:after="0" w:afterAutospacing="0"/>
                    <w:ind w:left="0" w:right="0"/>
                    <w:jc w:val="center"/>
                    <w:rPr>
                      <w:rFonts w:hint="default" w:cs="Times New Roman"/>
                      <w:b w:val="0"/>
                      <w:bCs w:val="0"/>
                      <w:sz w:val="21"/>
                      <w:szCs w:val="21"/>
                      <w:highlight w:val="none"/>
                      <w:lang w:val="en-US" w:eastAsia="zh-CN"/>
                    </w:rPr>
                  </w:pPr>
                  <w:r>
                    <w:rPr>
                      <w:rFonts w:hint="eastAsia" w:cs="Times New Roman"/>
                      <w:b w:val="0"/>
                      <w:bCs w:val="0"/>
                      <w:sz w:val="21"/>
                      <w:szCs w:val="21"/>
                      <w:highlight w:val="none"/>
                      <w:lang w:val="en-US" w:eastAsia="zh-CN"/>
                    </w:rPr>
                    <w:t>水泵</w:t>
                  </w:r>
                </w:p>
              </w:tc>
              <w:tc>
                <w:tcPr>
                  <w:tcW w:w="348" w:type="pct"/>
                  <w:noWrap w:val="0"/>
                  <w:tcMar>
                    <w:left w:w="57" w:type="dxa"/>
                    <w:right w:w="57" w:type="dxa"/>
                  </w:tcMar>
                  <w:vAlign w:val="center"/>
                </w:tcPr>
                <w:p w14:paraId="5D56F2C9">
                  <w:pPr>
                    <w:keepNext w:val="0"/>
                    <w:keepLines w:val="0"/>
                    <w:suppressLineNumbers w:val="0"/>
                    <w:snapToGrid w:val="0"/>
                    <w:spacing w:before="0" w:beforeAutospacing="0" w:after="0" w:afterAutospacing="0"/>
                    <w:ind w:left="0" w:right="0"/>
                    <w:jc w:val="center"/>
                    <w:rPr>
                      <w:rFonts w:hint="eastAsia" w:ascii="Times New Roman" w:hAnsi="Times New Roman" w:eastAsia="宋体" w:cs="Times New Roman"/>
                      <w:b w:val="0"/>
                      <w:bCs w:val="0"/>
                      <w:sz w:val="21"/>
                      <w:szCs w:val="21"/>
                      <w:highlight w:val="none"/>
                    </w:rPr>
                  </w:pPr>
                  <w:r>
                    <w:rPr>
                      <w:rFonts w:hint="eastAsia" w:ascii="Times New Roman" w:hAnsi="Times New Roman" w:eastAsia="宋体" w:cs="Times New Roman"/>
                      <w:b w:val="0"/>
                      <w:bCs w:val="0"/>
                      <w:sz w:val="21"/>
                      <w:szCs w:val="21"/>
                      <w:highlight w:val="none"/>
                    </w:rPr>
                    <w:t>/</w:t>
                  </w:r>
                </w:p>
              </w:tc>
              <w:tc>
                <w:tcPr>
                  <w:tcW w:w="353" w:type="pct"/>
                  <w:noWrap w:val="0"/>
                  <w:tcMar>
                    <w:left w:w="57" w:type="dxa"/>
                    <w:right w:w="57" w:type="dxa"/>
                  </w:tcMar>
                  <w:vAlign w:val="center"/>
                </w:tcPr>
                <w:p w14:paraId="53BD4385">
                  <w:pPr>
                    <w:keepNext w:val="0"/>
                    <w:keepLines w:val="0"/>
                    <w:suppressLineNumbers w:val="0"/>
                    <w:spacing w:before="0" w:beforeAutospacing="0" w:after="0" w:afterAutospacing="0"/>
                    <w:ind w:left="0" w:right="0"/>
                    <w:jc w:val="center"/>
                    <w:rPr>
                      <w:rFonts w:hint="default" w:ascii="Times New Roman" w:hAnsi="Times New Roman" w:eastAsia="宋体" w:cs="Times New Roman"/>
                      <w:b w:val="0"/>
                      <w:bCs w:val="0"/>
                      <w:sz w:val="21"/>
                      <w:szCs w:val="21"/>
                      <w:highlight w:val="none"/>
                      <w:lang w:val="en-US" w:eastAsia="zh-CN"/>
                    </w:rPr>
                  </w:pPr>
                  <w:r>
                    <w:rPr>
                      <w:rFonts w:hint="eastAsia" w:cs="Times New Roman"/>
                      <w:b w:val="0"/>
                      <w:bCs w:val="0"/>
                      <w:sz w:val="21"/>
                      <w:szCs w:val="21"/>
                      <w:highlight w:val="none"/>
                      <w:lang w:val="en-US" w:eastAsia="zh-CN"/>
                    </w:rPr>
                    <w:t>-41</w:t>
                  </w:r>
                </w:p>
              </w:tc>
              <w:tc>
                <w:tcPr>
                  <w:tcW w:w="340" w:type="pct"/>
                  <w:noWrap w:val="0"/>
                  <w:tcMar>
                    <w:left w:w="57" w:type="dxa"/>
                    <w:right w:w="57" w:type="dxa"/>
                  </w:tcMar>
                  <w:vAlign w:val="center"/>
                </w:tcPr>
                <w:p w14:paraId="40214C79">
                  <w:pPr>
                    <w:keepNext w:val="0"/>
                    <w:keepLines w:val="0"/>
                    <w:suppressLineNumbers w:val="0"/>
                    <w:spacing w:before="0" w:beforeAutospacing="0" w:after="0" w:afterAutospacing="0"/>
                    <w:ind w:left="0" w:right="0"/>
                    <w:jc w:val="center"/>
                    <w:rPr>
                      <w:rFonts w:hint="default" w:ascii="Times New Roman" w:hAnsi="Times New Roman" w:eastAsia="宋体" w:cs="Times New Roman"/>
                      <w:b w:val="0"/>
                      <w:bCs w:val="0"/>
                      <w:sz w:val="21"/>
                      <w:szCs w:val="21"/>
                      <w:highlight w:val="none"/>
                      <w:lang w:val="en-US" w:eastAsia="zh-CN"/>
                    </w:rPr>
                  </w:pPr>
                  <w:r>
                    <w:rPr>
                      <w:rFonts w:hint="eastAsia" w:cs="Times New Roman"/>
                      <w:b w:val="0"/>
                      <w:bCs w:val="0"/>
                      <w:sz w:val="21"/>
                      <w:szCs w:val="21"/>
                      <w:highlight w:val="none"/>
                      <w:lang w:val="en-US" w:eastAsia="zh-CN"/>
                    </w:rPr>
                    <w:t>122</w:t>
                  </w:r>
                </w:p>
              </w:tc>
              <w:tc>
                <w:tcPr>
                  <w:tcW w:w="339" w:type="pct"/>
                  <w:noWrap w:val="0"/>
                  <w:tcMar>
                    <w:left w:w="57" w:type="dxa"/>
                    <w:right w:w="57" w:type="dxa"/>
                  </w:tcMar>
                  <w:vAlign w:val="center"/>
                </w:tcPr>
                <w:p w14:paraId="2CC9FE8C">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b w:val="0"/>
                      <w:bCs w:val="0"/>
                      <w:sz w:val="21"/>
                      <w:szCs w:val="21"/>
                      <w:highlight w:val="none"/>
                      <w:lang w:val="en-US" w:eastAsia="zh-CN"/>
                    </w:rPr>
                  </w:pPr>
                  <w:r>
                    <w:rPr>
                      <w:rFonts w:hint="eastAsia" w:cs="Times New Roman"/>
                      <w:b w:val="0"/>
                      <w:bCs w:val="0"/>
                      <w:sz w:val="21"/>
                      <w:szCs w:val="21"/>
                      <w:highlight w:val="none"/>
                      <w:lang w:val="en-US" w:eastAsia="zh-CN"/>
                    </w:rPr>
                    <w:t>2.5</w:t>
                  </w:r>
                </w:p>
              </w:tc>
              <w:tc>
                <w:tcPr>
                  <w:tcW w:w="666" w:type="pct"/>
                  <w:noWrap w:val="0"/>
                  <w:tcMar>
                    <w:left w:w="57" w:type="dxa"/>
                    <w:right w:w="57" w:type="dxa"/>
                  </w:tcMar>
                  <w:vAlign w:val="center"/>
                </w:tcPr>
                <w:p w14:paraId="726C5B7F">
                  <w:pPr>
                    <w:keepNext w:val="0"/>
                    <w:keepLines w:val="0"/>
                    <w:suppressLineNumbers w:val="0"/>
                    <w:snapToGrid w:val="0"/>
                    <w:spacing w:before="0" w:beforeAutospacing="0" w:after="0" w:afterAutospacing="0"/>
                    <w:ind w:left="0" w:right="0"/>
                    <w:jc w:val="center"/>
                    <w:rPr>
                      <w:rFonts w:hint="default" w:ascii="Times New Roman" w:hAnsi="Times New Roman" w:eastAsia="宋体" w:cs="Times New Roman"/>
                      <w:b w:val="0"/>
                      <w:bCs w:val="0"/>
                      <w:sz w:val="21"/>
                      <w:szCs w:val="21"/>
                      <w:highlight w:val="none"/>
                      <w:lang w:val="en-US" w:eastAsia="zh-CN"/>
                    </w:rPr>
                  </w:pPr>
                  <w:r>
                    <w:rPr>
                      <w:rFonts w:hint="eastAsia" w:cs="Times New Roman"/>
                      <w:b w:val="0"/>
                      <w:bCs w:val="0"/>
                      <w:sz w:val="21"/>
                      <w:szCs w:val="21"/>
                      <w:highlight w:val="none"/>
                      <w:lang w:val="en-US" w:eastAsia="zh-CN"/>
                    </w:rPr>
                    <w:t>80</w:t>
                  </w:r>
                </w:p>
              </w:tc>
              <w:tc>
                <w:tcPr>
                  <w:tcW w:w="633" w:type="pct"/>
                  <w:vMerge w:val="continue"/>
                  <w:noWrap w:val="0"/>
                  <w:tcMar>
                    <w:left w:w="57" w:type="dxa"/>
                    <w:right w:w="57" w:type="dxa"/>
                  </w:tcMar>
                  <w:vAlign w:val="center"/>
                </w:tcPr>
                <w:p w14:paraId="12B118B1">
                  <w:pPr>
                    <w:keepNext w:val="0"/>
                    <w:keepLines w:val="0"/>
                    <w:suppressLineNumbers w:val="0"/>
                    <w:adjustRightInd w:val="0"/>
                    <w:snapToGrid w:val="0"/>
                    <w:spacing w:before="0" w:beforeAutospacing="0" w:after="0" w:afterAutospacing="0"/>
                    <w:ind w:left="0" w:right="0"/>
                    <w:rPr>
                      <w:rFonts w:hint="eastAsia" w:ascii="Times New Roman" w:hAnsi="Times New Roman" w:eastAsia="宋体" w:cs="Times New Roman"/>
                      <w:b w:val="0"/>
                      <w:bCs w:val="0"/>
                      <w:kern w:val="0"/>
                      <w:sz w:val="21"/>
                      <w:szCs w:val="21"/>
                      <w:highlight w:val="none"/>
                    </w:rPr>
                  </w:pPr>
                </w:p>
              </w:tc>
              <w:tc>
                <w:tcPr>
                  <w:tcW w:w="672" w:type="pct"/>
                  <w:noWrap w:val="0"/>
                  <w:tcMar>
                    <w:left w:w="57" w:type="dxa"/>
                    <w:right w:w="57" w:type="dxa"/>
                  </w:tcMar>
                  <w:vAlign w:val="center"/>
                </w:tcPr>
                <w:p w14:paraId="62639F82">
                  <w:pPr>
                    <w:keepNext w:val="0"/>
                    <w:keepLines w:val="0"/>
                    <w:suppressLineNumbers w:val="0"/>
                    <w:adjustRightInd w:val="0"/>
                    <w:snapToGrid w:val="0"/>
                    <w:spacing w:before="0" w:beforeAutospacing="0" w:after="0" w:afterAutospacing="0"/>
                    <w:ind w:left="0" w:right="0"/>
                    <w:jc w:val="center"/>
                    <w:rPr>
                      <w:rFonts w:hint="eastAsia" w:ascii="Times New Roman" w:hAnsi="Times New Roman" w:eastAsia="宋体" w:cs="Times New Roman"/>
                      <w:b w:val="0"/>
                      <w:bCs w:val="0"/>
                      <w:kern w:val="0"/>
                      <w:sz w:val="21"/>
                      <w:szCs w:val="21"/>
                      <w:highlight w:val="none"/>
                      <w:lang w:val="en-US" w:eastAsia="zh-CN"/>
                    </w:rPr>
                  </w:pPr>
                  <w:r>
                    <w:rPr>
                      <w:rFonts w:hint="eastAsia" w:ascii="Times New Roman" w:hAnsi="Times New Roman" w:eastAsia="宋体" w:cs="Times New Roman"/>
                      <w:b w:val="0"/>
                      <w:bCs w:val="0"/>
                      <w:kern w:val="0"/>
                      <w:sz w:val="21"/>
                      <w:szCs w:val="21"/>
                      <w:highlight w:val="none"/>
                      <w:lang w:val="en-US" w:eastAsia="zh-CN"/>
                    </w:rPr>
                    <w:t>8760h/a</w:t>
                  </w:r>
                </w:p>
              </w:tc>
            </w:tr>
            <w:tr w14:paraId="0931523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c>
                <w:tcPr>
                  <w:tcW w:w="5000" w:type="pct"/>
                  <w:gridSpan w:val="10"/>
                  <w:noWrap w:val="0"/>
                  <w:tcMar>
                    <w:left w:w="57" w:type="dxa"/>
                    <w:right w:w="57" w:type="dxa"/>
                  </w:tcMar>
                  <w:vAlign w:val="center"/>
                </w:tcPr>
                <w:p w14:paraId="7DDD972A">
                  <w:pPr>
                    <w:keepNext w:val="0"/>
                    <w:keepLines w:val="0"/>
                    <w:suppressLineNumbers w:val="0"/>
                    <w:adjustRightInd w:val="0"/>
                    <w:snapToGrid w:val="0"/>
                    <w:spacing w:before="0" w:beforeAutospacing="0" w:after="0" w:afterAutospacing="0"/>
                    <w:ind w:left="0" w:right="0"/>
                    <w:jc w:val="left"/>
                    <w:rPr>
                      <w:rFonts w:hint="eastAsia" w:ascii="Times New Roman" w:hAnsi="Times New Roman" w:eastAsia="宋体" w:cs="Times New Roman"/>
                      <w:b w:val="0"/>
                      <w:bCs w:val="0"/>
                      <w:kern w:val="0"/>
                      <w:sz w:val="21"/>
                      <w:szCs w:val="21"/>
                      <w:highlight w:val="none"/>
                    </w:rPr>
                  </w:pPr>
                  <w:r>
                    <w:rPr>
                      <w:rFonts w:hint="eastAsia" w:ascii="Times New Roman" w:hAnsi="Times New Roman" w:eastAsia="宋体" w:cs="Times New Roman"/>
                      <w:b w:val="0"/>
                      <w:bCs w:val="0"/>
                      <w:color w:val="000000"/>
                      <w:kern w:val="0"/>
                      <w:sz w:val="21"/>
                      <w:szCs w:val="21"/>
                      <w:highlight w:val="none"/>
                      <w:lang w:val="en-US" w:eastAsia="zh-CN"/>
                    </w:rPr>
                    <w:t>本次坐标系以项目厂界西南角为原点（X：0；Y：0；Z：0），</w:t>
                  </w:r>
                  <w:r>
                    <w:rPr>
                      <w:rFonts w:hint="eastAsia" w:ascii="Times New Roman" w:hAnsi="Times New Roman" w:eastAsia="宋体" w:cs="Times New Roman"/>
                      <w:b w:val="0"/>
                      <w:bCs w:val="0"/>
                      <w:color w:val="auto"/>
                      <w:sz w:val="21"/>
                      <w:szCs w:val="21"/>
                      <w:highlight w:val="none"/>
                    </w:rPr>
                    <w:t>该点坐标为（</w:t>
                  </w:r>
                  <w:r>
                    <w:rPr>
                      <w:rFonts w:hint="default" w:ascii="Times New Roman" w:hAnsi="Times New Roman" w:eastAsia="宋体" w:cs="Times New Roman"/>
                      <w:b w:val="0"/>
                      <w:bCs w:val="0"/>
                      <w:color w:val="auto"/>
                      <w:sz w:val="21"/>
                      <w:szCs w:val="21"/>
                      <w:highlight w:val="none"/>
                    </w:rPr>
                    <w:t>E</w:t>
                  </w:r>
                  <w:r>
                    <w:rPr>
                      <w:rFonts w:hint="eastAsia" w:cs="Times New Roman"/>
                      <w:b w:val="0"/>
                      <w:bCs w:val="0"/>
                      <w:color w:val="auto"/>
                      <w:sz w:val="21"/>
                      <w:szCs w:val="21"/>
                      <w:highlight w:val="none"/>
                      <w:lang w:eastAsia="zh-CN"/>
                    </w:rPr>
                    <w:t>：</w:t>
                  </w:r>
                  <w:r>
                    <w:rPr>
                      <w:rFonts w:hint="eastAsia" w:ascii="Times New Roman" w:hAnsi="Times New Roman" w:eastAsia="宋体" w:cs="Times New Roman"/>
                      <w:b w:val="0"/>
                      <w:bCs w:val="0"/>
                      <w:color w:val="000000" w:themeColor="text1"/>
                      <w:sz w:val="21"/>
                      <w:szCs w:val="21"/>
                      <w:highlight w:val="none"/>
                      <w14:textFill>
                        <w14:solidFill>
                          <w14:schemeClr w14:val="tx1"/>
                        </w14:solidFill>
                      </w14:textFill>
                    </w:rPr>
                    <w:t>118.829603</w:t>
                  </w:r>
                  <w:r>
                    <w:rPr>
                      <w:rFonts w:hint="default" w:ascii="Times New Roman" w:hAnsi="Times New Roman" w:eastAsia="宋体" w:cs="Times New Roman"/>
                      <w:b w:val="0"/>
                      <w:bCs w:val="0"/>
                      <w:color w:val="auto"/>
                      <w:sz w:val="21"/>
                      <w:szCs w:val="21"/>
                      <w:highlight w:val="none"/>
                    </w:rPr>
                    <w:t>°</w:t>
                  </w:r>
                  <w:r>
                    <w:rPr>
                      <w:rFonts w:hint="eastAsia" w:ascii="Times New Roman" w:hAnsi="Times New Roman" w:eastAsia="宋体" w:cs="Times New Roman"/>
                      <w:b w:val="0"/>
                      <w:bCs w:val="0"/>
                      <w:color w:val="auto"/>
                      <w:sz w:val="21"/>
                      <w:szCs w:val="21"/>
                      <w:highlight w:val="none"/>
                    </w:rPr>
                    <w:t>，</w:t>
                  </w:r>
                  <w:r>
                    <w:rPr>
                      <w:rFonts w:hint="default" w:ascii="Times New Roman" w:hAnsi="Times New Roman" w:eastAsia="宋体" w:cs="Times New Roman"/>
                      <w:b w:val="0"/>
                      <w:bCs w:val="0"/>
                      <w:color w:val="auto"/>
                      <w:sz w:val="21"/>
                      <w:szCs w:val="21"/>
                      <w:highlight w:val="none"/>
                    </w:rPr>
                    <w:t>N</w:t>
                  </w:r>
                  <w:r>
                    <w:rPr>
                      <w:rFonts w:hint="eastAsia" w:cs="Times New Roman"/>
                      <w:b w:val="0"/>
                      <w:bCs w:val="0"/>
                      <w:color w:val="auto"/>
                      <w:sz w:val="21"/>
                      <w:szCs w:val="21"/>
                      <w:highlight w:val="none"/>
                      <w:lang w:eastAsia="zh-CN"/>
                    </w:rPr>
                    <w:t>：</w:t>
                  </w:r>
                  <w:r>
                    <w:rPr>
                      <w:rFonts w:hint="eastAsia" w:ascii="Times New Roman" w:hAnsi="Times New Roman" w:eastAsia="宋体" w:cs="Times New Roman"/>
                      <w:b w:val="0"/>
                      <w:bCs w:val="0"/>
                      <w:color w:val="000000" w:themeColor="text1"/>
                      <w:sz w:val="21"/>
                      <w:szCs w:val="21"/>
                      <w:highlight w:val="none"/>
                      <w14:textFill>
                        <w14:solidFill>
                          <w14:schemeClr w14:val="tx1"/>
                        </w14:solidFill>
                      </w14:textFill>
                    </w:rPr>
                    <w:t>28.9513</w:t>
                  </w:r>
                  <w:r>
                    <w:rPr>
                      <w:rFonts w:hint="eastAsia" w:ascii="Times New Roman" w:hAnsi="Times New Roman" w:eastAsia="宋体" w:cs="Times New Roman"/>
                      <w:b w:val="0"/>
                      <w:bCs w:val="0"/>
                      <w:color w:val="000000" w:themeColor="text1"/>
                      <w:sz w:val="21"/>
                      <w:szCs w:val="21"/>
                      <w:highlight w:val="none"/>
                      <w:lang w:val="en-US" w:eastAsia="zh-CN"/>
                      <w14:textFill>
                        <w14:solidFill>
                          <w14:schemeClr w14:val="tx1"/>
                        </w14:solidFill>
                      </w14:textFill>
                    </w:rPr>
                    <w:t>80</w:t>
                  </w:r>
                  <w:r>
                    <w:rPr>
                      <w:rFonts w:hint="default" w:ascii="Times New Roman" w:hAnsi="Times New Roman" w:eastAsia="宋体" w:cs="Times New Roman"/>
                      <w:b w:val="0"/>
                      <w:bCs w:val="0"/>
                      <w:color w:val="auto"/>
                      <w:sz w:val="21"/>
                      <w:szCs w:val="21"/>
                      <w:highlight w:val="none"/>
                    </w:rPr>
                    <w:t>°</w:t>
                  </w:r>
                  <w:r>
                    <w:rPr>
                      <w:rFonts w:hint="eastAsia" w:ascii="Times New Roman" w:hAnsi="Times New Roman" w:eastAsia="宋体" w:cs="Times New Roman"/>
                      <w:b w:val="0"/>
                      <w:bCs w:val="0"/>
                      <w:color w:val="auto"/>
                      <w:sz w:val="21"/>
                      <w:szCs w:val="21"/>
                      <w:highlight w:val="none"/>
                    </w:rPr>
                    <w:t>）</w:t>
                  </w:r>
                  <w:r>
                    <w:rPr>
                      <w:rFonts w:hint="eastAsia" w:ascii="Times New Roman" w:hAnsi="Times New Roman" w:eastAsia="宋体" w:cs="Times New Roman"/>
                      <w:b w:val="0"/>
                      <w:bCs w:val="0"/>
                      <w:color w:val="auto"/>
                      <w:sz w:val="21"/>
                      <w:szCs w:val="21"/>
                      <w:highlight w:val="none"/>
                      <w:lang w:eastAsia="zh-CN"/>
                    </w:rPr>
                    <w:t>。</w:t>
                  </w:r>
                </w:p>
              </w:tc>
            </w:tr>
          </w:tbl>
          <w:p w14:paraId="469A169D">
            <w:pPr>
              <w:keepNext w:val="0"/>
              <w:keepLines w:val="0"/>
              <w:suppressLineNumbers w:val="0"/>
              <w:adjustRightInd w:val="0"/>
              <w:snapToGrid w:val="0"/>
              <w:spacing w:before="0" w:beforeAutospacing="0" w:after="0" w:afterAutospacing="0" w:line="360" w:lineRule="auto"/>
              <w:ind w:left="0" w:right="0" w:firstLine="482" w:firstLineChars="200"/>
              <w:rPr>
                <w:rFonts w:hint="default" w:ascii="Times New Roman" w:hAnsi="Times New Roman" w:eastAsia="宋体" w:cs="Times New Roman"/>
                <w:b/>
                <w:highlight w:val="none"/>
              </w:rPr>
            </w:pPr>
            <w:r>
              <w:rPr>
                <w:rFonts w:hint="eastAsia" w:ascii="Times New Roman" w:hAnsi="Times New Roman" w:eastAsia="宋体" w:cs="Times New Roman"/>
                <w:b/>
                <w:highlight w:val="none"/>
              </w:rPr>
              <w:t>（</w:t>
            </w:r>
            <w:r>
              <w:rPr>
                <w:rFonts w:hint="default" w:ascii="Times New Roman" w:hAnsi="Times New Roman" w:eastAsia="宋体" w:cs="Times New Roman"/>
                <w:b/>
                <w:highlight w:val="none"/>
              </w:rPr>
              <w:t>2</w:t>
            </w:r>
            <w:r>
              <w:rPr>
                <w:rFonts w:hint="eastAsia" w:ascii="Times New Roman" w:hAnsi="Times New Roman" w:eastAsia="宋体" w:cs="Times New Roman"/>
                <w:b/>
                <w:highlight w:val="none"/>
              </w:rPr>
              <w:t>）噪声达标性分析</w:t>
            </w:r>
          </w:p>
          <w:p w14:paraId="10E90C24">
            <w:pPr>
              <w:keepNext w:val="0"/>
              <w:keepLines w:val="0"/>
              <w:suppressLineNumbers w:val="0"/>
              <w:adjustRightInd w:val="0"/>
              <w:snapToGrid w:val="0"/>
              <w:spacing w:before="0" w:beforeAutospacing="0" w:after="0" w:afterAutospacing="0" w:line="348" w:lineRule="auto"/>
              <w:ind w:left="0" w:right="0" w:firstLine="480"/>
              <w:rPr>
                <w:rFonts w:hint="default" w:ascii="Times New Roman" w:hAnsi="Times New Roman" w:eastAsia="宋体" w:cs="Times New Roman"/>
                <w:snapToGrid w:val="0"/>
                <w:kern w:val="0"/>
                <w:highlight w:val="none"/>
              </w:rPr>
            </w:pPr>
            <w:r>
              <w:rPr>
                <w:rFonts w:hint="default" w:ascii="Times New Roman" w:hAnsi="Times New Roman" w:eastAsia="宋体" w:cs="Times New Roman"/>
                <w:snapToGrid w:val="0"/>
                <w:kern w:val="0"/>
                <w:highlight w:val="none"/>
              </w:rPr>
              <w:t>根据《环境影响评价技术导则 声环境》（HJ2.4-20</w:t>
            </w:r>
            <w:r>
              <w:rPr>
                <w:rFonts w:hint="eastAsia" w:ascii="Times New Roman" w:hAnsi="Times New Roman" w:eastAsia="宋体" w:cs="Times New Roman"/>
                <w:snapToGrid w:val="0"/>
                <w:kern w:val="0"/>
                <w:highlight w:val="none"/>
              </w:rPr>
              <w:t>21</w:t>
            </w:r>
            <w:r>
              <w:rPr>
                <w:rFonts w:hint="default" w:ascii="Times New Roman" w:hAnsi="Times New Roman" w:eastAsia="宋体" w:cs="Times New Roman"/>
                <w:snapToGrid w:val="0"/>
                <w:kern w:val="0"/>
                <w:highlight w:val="none"/>
              </w:rPr>
              <w:t>），在进行声环境影响预测时，一</w:t>
            </w:r>
            <w:r>
              <w:rPr>
                <w:rFonts w:hint="eastAsia" w:cs="Times New Roman"/>
                <w:snapToGrid w:val="0"/>
                <w:kern w:val="0"/>
                <w:highlight w:val="none"/>
                <w:lang w:val="en-US" w:eastAsia="zh-CN"/>
              </w:rPr>
              <w:t>般</w:t>
            </w:r>
            <w:r>
              <w:rPr>
                <w:rFonts w:hint="default" w:ascii="Times New Roman" w:hAnsi="Times New Roman" w:eastAsia="宋体" w:cs="Times New Roman"/>
                <w:snapToGrid w:val="0"/>
                <w:kern w:val="0"/>
                <w:highlight w:val="none"/>
              </w:rPr>
              <w:t>采用声源的倍频带声功率级，A计权声功率级或靠近声源某一位置的倍频带声压级，A声级来预测计算距声源不同距的声级。分别计算室内和室外两种声源。</w:t>
            </w:r>
          </w:p>
          <w:p w14:paraId="6815D3ED">
            <w:pPr>
              <w:keepNext w:val="0"/>
              <w:keepLines w:val="0"/>
              <w:suppressLineNumbers w:val="0"/>
              <w:adjustRightInd w:val="0"/>
              <w:snapToGrid w:val="0"/>
              <w:spacing w:before="0" w:beforeAutospacing="0" w:after="0" w:afterAutospacing="0" w:line="348" w:lineRule="auto"/>
              <w:ind w:left="0" w:right="0" w:firstLine="480"/>
              <w:rPr>
                <w:rFonts w:hint="default" w:ascii="Times New Roman" w:hAnsi="Times New Roman" w:eastAsia="宋体" w:cs="Times New Roman"/>
                <w:snapToGrid w:val="0"/>
                <w:kern w:val="0"/>
                <w:highlight w:val="none"/>
              </w:rPr>
            </w:pPr>
            <w:r>
              <w:rPr>
                <w:rFonts w:hint="eastAsia" w:ascii="Times New Roman" w:hAnsi="Times New Roman" w:eastAsia="宋体" w:cs="Times New Roman"/>
                <w:snapToGrid w:val="0"/>
                <w:kern w:val="0"/>
                <w:highlight w:val="none"/>
              </w:rPr>
              <w:t>a、</w:t>
            </w:r>
            <w:r>
              <w:rPr>
                <w:rFonts w:hint="default" w:ascii="Times New Roman" w:hAnsi="Times New Roman" w:eastAsia="宋体" w:cs="Times New Roman"/>
                <w:snapToGrid w:val="0"/>
                <w:kern w:val="0"/>
                <w:highlight w:val="none"/>
              </w:rPr>
              <w:t>室内声源等效室外声源功率级计算方法</w:t>
            </w:r>
          </w:p>
          <w:p w14:paraId="4328D7DC">
            <w:pPr>
              <w:keepNext w:val="0"/>
              <w:keepLines w:val="0"/>
              <w:suppressLineNumbers w:val="0"/>
              <w:adjustRightInd w:val="0"/>
              <w:snapToGrid w:val="0"/>
              <w:spacing w:before="0" w:beforeAutospacing="0" w:after="0" w:afterAutospacing="0" w:line="348" w:lineRule="auto"/>
              <w:ind w:left="0" w:right="0" w:firstLine="480"/>
              <w:rPr>
                <w:rFonts w:hint="default" w:ascii="Times New Roman" w:hAnsi="Times New Roman" w:eastAsia="宋体" w:cs="Times New Roman"/>
                <w:snapToGrid w:val="0"/>
                <w:kern w:val="0"/>
                <w:highlight w:val="none"/>
              </w:rPr>
            </w:pPr>
            <w:r>
              <w:rPr>
                <w:rFonts w:hint="default" w:ascii="Times New Roman" w:hAnsi="Times New Roman" w:eastAsia="宋体" w:cs="Times New Roman"/>
                <w:snapToGrid w:val="0"/>
                <w:kern w:val="0"/>
                <w:highlight w:val="none"/>
              </w:rPr>
              <w:t>如图</w:t>
            </w:r>
            <w:r>
              <w:rPr>
                <w:rFonts w:hint="eastAsia" w:ascii="Times New Roman" w:hAnsi="Times New Roman" w:eastAsia="宋体" w:cs="Times New Roman"/>
                <w:snapToGrid w:val="0"/>
                <w:kern w:val="0"/>
                <w:highlight w:val="none"/>
              </w:rPr>
              <w:t>4</w:t>
            </w:r>
            <w:r>
              <w:rPr>
                <w:rFonts w:hint="default" w:ascii="Times New Roman" w:hAnsi="Times New Roman" w:eastAsia="宋体" w:cs="Times New Roman"/>
                <w:snapToGrid w:val="0"/>
                <w:kern w:val="0"/>
                <w:highlight w:val="none"/>
              </w:rPr>
              <w:t>-</w:t>
            </w:r>
            <w:r>
              <w:rPr>
                <w:rFonts w:hint="eastAsia" w:ascii="Times New Roman" w:hAnsi="Times New Roman" w:eastAsia="宋体" w:cs="Times New Roman"/>
                <w:snapToGrid w:val="0"/>
                <w:kern w:val="0"/>
                <w:highlight w:val="none"/>
              </w:rPr>
              <w:t>1</w:t>
            </w:r>
            <w:r>
              <w:rPr>
                <w:rFonts w:hint="default" w:ascii="Times New Roman" w:hAnsi="Times New Roman" w:eastAsia="宋体" w:cs="Times New Roman"/>
                <w:snapToGrid w:val="0"/>
                <w:kern w:val="0"/>
                <w:highlight w:val="none"/>
              </w:rPr>
              <w:t>所示，声源位于室内，室内声源可采用等效室外声源声功率级法进行计算。设靠近开口处（或窗户）室内、室外某倍频带的声压级分别为L</w:t>
            </w:r>
            <w:r>
              <w:rPr>
                <w:rFonts w:hint="default" w:ascii="Times New Roman" w:hAnsi="Times New Roman" w:eastAsia="宋体" w:cs="Times New Roman"/>
                <w:snapToGrid w:val="0"/>
                <w:kern w:val="0"/>
                <w:highlight w:val="none"/>
                <w:vertAlign w:val="subscript"/>
              </w:rPr>
              <w:t>p1</w:t>
            </w:r>
            <w:r>
              <w:rPr>
                <w:rFonts w:hint="default" w:ascii="Times New Roman" w:hAnsi="Times New Roman" w:eastAsia="宋体" w:cs="Times New Roman"/>
                <w:snapToGrid w:val="0"/>
                <w:kern w:val="0"/>
                <w:highlight w:val="none"/>
              </w:rPr>
              <w:t>和L</w:t>
            </w:r>
            <w:r>
              <w:rPr>
                <w:rFonts w:hint="default" w:ascii="Times New Roman" w:hAnsi="Times New Roman" w:eastAsia="宋体" w:cs="Times New Roman"/>
                <w:snapToGrid w:val="0"/>
                <w:kern w:val="0"/>
                <w:highlight w:val="none"/>
                <w:vertAlign w:val="subscript"/>
              </w:rPr>
              <w:t>p2</w:t>
            </w:r>
            <w:r>
              <w:rPr>
                <w:rFonts w:hint="default" w:ascii="Times New Roman" w:hAnsi="Times New Roman" w:eastAsia="宋体" w:cs="Times New Roman"/>
                <w:snapToGrid w:val="0"/>
                <w:kern w:val="0"/>
                <w:highlight w:val="none"/>
              </w:rPr>
              <w:t>。若声源所在室内声场为近似扩散声场，则可按式</w:t>
            </w:r>
            <w:r>
              <w:rPr>
                <w:rFonts w:hint="eastAsia" w:ascii="Times New Roman" w:hAnsi="Times New Roman" w:eastAsia="宋体" w:cs="Times New Roman"/>
                <w:snapToGrid w:val="0"/>
                <w:kern w:val="0"/>
                <w:highlight w:val="none"/>
              </w:rPr>
              <w:t>4</w:t>
            </w:r>
            <w:r>
              <w:rPr>
                <w:rFonts w:hint="default" w:ascii="Times New Roman" w:hAnsi="Times New Roman" w:eastAsia="宋体" w:cs="Times New Roman"/>
                <w:snapToGrid w:val="0"/>
                <w:kern w:val="0"/>
                <w:highlight w:val="none"/>
              </w:rPr>
              <w:t>-1计算某一室内声源靠近围护结构处的倍频带声压级：</w:t>
            </w:r>
          </w:p>
          <w:p w14:paraId="2B331D30">
            <w:pPr>
              <w:pStyle w:val="7"/>
              <w:keepNext w:val="0"/>
              <w:keepLines w:val="0"/>
              <w:suppressLineNumbers w:val="0"/>
              <w:adjustRightInd w:val="0"/>
              <w:snapToGrid w:val="0"/>
              <w:spacing w:before="0" w:beforeAutospacing="0" w:after="0" w:afterAutospacing="0" w:line="360" w:lineRule="auto"/>
              <w:ind w:left="0" w:right="0"/>
              <w:jc w:val="center"/>
              <w:rPr>
                <w:rFonts w:hint="default" w:ascii="Times New Roman" w:hAnsi="Times New Roman" w:eastAsia="宋体" w:cs="Times New Roman"/>
                <w:kern w:val="0"/>
                <w:highlight w:val="none"/>
              </w:rPr>
            </w:pPr>
            <w:r>
              <w:rPr>
                <w:rFonts w:hint="default" w:ascii="Times New Roman" w:hAnsi="Times New Roman" w:eastAsia="宋体" w:cs="Times New Roman"/>
                <w:kern w:val="0"/>
                <w:highlight w:val="none"/>
              </w:rPr>
              <w:drawing>
                <wp:inline distT="0" distB="0" distL="114300" distR="114300">
                  <wp:extent cx="1680845" cy="274955"/>
                  <wp:effectExtent l="0" t="0" r="14605" b="10795"/>
                  <wp:docPr id="23" name="图片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3" name="图片 7"/>
                          <pic:cNvPicPr>
                            <a:picLocks noChangeAspect="1"/>
                          </pic:cNvPicPr>
                        </pic:nvPicPr>
                        <pic:blipFill>
                          <a:blip r:embed="rId36" cstate="print"/>
                          <a:srcRect l="10370" t="3050" r="19942" b="30847"/>
                          <a:stretch>
                            <a:fillRect/>
                          </a:stretch>
                        </pic:blipFill>
                        <pic:spPr>
                          <a:xfrm>
                            <a:off x="0" y="0"/>
                            <a:ext cx="1680845" cy="274955"/>
                          </a:xfrm>
                          <a:prstGeom prst="rect">
                            <a:avLst/>
                          </a:prstGeom>
                          <a:noFill/>
                          <a:ln>
                            <a:noFill/>
                          </a:ln>
                        </pic:spPr>
                      </pic:pic>
                    </a:graphicData>
                  </a:graphic>
                </wp:inline>
              </w:drawing>
            </w:r>
            <w:r>
              <w:rPr>
                <w:rFonts w:hint="default" w:ascii="Times New Roman" w:hAnsi="Times New Roman" w:eastAsia="宋体" w:cs="Times New Roman"/>
                <w:kern w:val="0"/>
                <w:highlight w:val="none"/>
              </w:rPr>
              <w:t xml:space="preserve">           </w:t>
            </w:r>
            <w:r>
              <w:rPr>
                <w:rFonts w:hint="default" w:ascii="Times New Roman" w:hAnsi="Times New Roman" w:eastAsia="宋体" w:cs="Times New Roman"/>
                <w:kern w:val="0"/>
                <w:sz w:val="24"/>
                <w:szCs w:val="24"/>
                <w:highlight w:val="none"/>
              </w:rPr>
              <w:t>（</w:t>
            </w:r>
            <w:r>
              <w:rPr>
                <w:rFonts w:hint="eastAsia" w:ascii="Times New Roman" w:hAnsi="Times New Roman" w:eastAsia="宋体" w:cs="Times New Roman"/>
                <w:kern w:val="0"/>
                <w:sz w:val="24"/>
                <w:szCs w:val="24"/>
                <w:highlight w:val="none"/>
              </w:rPr>
              <w:t>4</w:t>
            </w:r>
            <w:r>
              <w:rPr>
                <w:rFonts w:hint="default" w:ascii="Times New Roman" w:hAnsi="Times New Roman" w:eastAsia="宋体" w:cs="Times New Roman"/>
                <w:kern w:val="0"/>
                <w:sz w:val="24"/>
                <w:szCs w:val="24"/>
                <w:highlight w:val="none"/>
              </w:rPr>
              <w:t>-1）</w:t>
            </w:r>
          </w:p>
          <w:p w14:paraId="00958F04">
            <w:pPr>
              <w:keepNext w:val="0"/>
              <w:keepLines w:val="0"/>
              <w:suppressLineNumbers w:val="0"/>
              <w:adjustRightInd w:val="0"/>
              <w:snapToGrid w:val="0"/>
              <w:spacing w:before="0" w:beforeAutospacing="0" w:after="0" w:afterAutospacing="0" w:line="360" w:lineRule="auto"/>
              <w:ind w:left="0" w:right="0" w:firstLine="480"/>
              <w:rPr>
                <w:rFonts w:hint="default" w:ascii="Times New Roman" w:hAnsi="Times New Roman" w:eastAsia="宋体" w:cs="Times New Roman"/>
                <w:kern w:val="0"/>
                <w:highlight w:val="none"/>
              </w:rPr>
            </w:pPr>
            <w:r>
              <w:rPr>
                <w:rFonts w:hint="default" w:ascii="Times New Roman" w:hAnsi="Times New Roman" w:eastAsia="宋体" w:cs="Times New Roman"/>
                <w:snapToGrid w:val="0"/>
                <w:kern w:val="0"/>
                <w:highlight w:val="none"/>
              </w:rPr>
              <w:t>式中：</w:t>
            </w:r>
            <w:r>
              <w:rPr>
                <w:rFonts w:hint="eastAsia" w:ascii="Times New Roman" w:hAnsi="Times New Roman" w:eastAsia="宋体" w:cs="Times New Roman"/>
                <w:snapToGrid w:val="0"/>
                <w:kern w:val="0"/>
                <w:highlight w:val="none"/>
              </w:rPr>
              <w:t>TL</w:t>
            </w:r>
            <w:r>
              <w:rPr>
                <w:rFonts w:hint="default" w:ascii="Times New Roman" w:hAnsi="Times New Roman" w:eastAsia="宋体" w:cs="Times New Roman"/>
                <w:snapToGrid w:val="0"/>
                <w:kern w:val="0"/>
                <w:highlight w:val="none"/>
              </w:rPr>
              <w:t>——</w:t>
            </w:r>
            <w:r>
              <w:rPr>
                <w:rFonts w:hint="eastAsia" w:ascii="Times New Roman" w:hAnsi="Times New Roman" w:eastAsia="宋体" w:cs="Times New Roman"/>
                <w:snapToGrid w:val="0"/>
                <w:kern w:val="0"/>
                <w:highlight w:val="none"/>
              </w:rPr>
              <w:t>隔墙（或窗户）倍频带的隔声量</w:t>
            </w:r>
            <w:r>
              <w:rPr>
                <w:rFonts w:hint="default" w:ascii="Times New Roman" w:hAnsi="Times New Roman" w:eastAsia="宋体" w:cs="Times New Roman"/>
                <w:snapToGrid w:val="0"/>
                <w:kern w:val="0"/>
                <w:highlight w:val="none"/>
              </w:rPr>
              <w:t>，d</w:t>
            </w:r>
            <w:r>
              <w:rPr>
                <w:rFonts w:hint="eastAsia" w:ascii="Times New Roman" w:hAnsi="Times New Roman" w:eastAsia="宋体" w:cs="Times New Roman"/>
                <w:snapToGrid w:val="0"/>
                <w:kern w:val="0"/>
                <w:highlight w:val="none"/>
              </w:rPr>
              <w:t>B。</w:t>
            </w:r>
          </w:p>
          <w:p w14:paraId="3C46E1F1">
            <w:pPr>
              <w:keepNext w:val="0"/>
              <w:keepLines w:val="0"/>
              <w:suppressLineNumbers w:val="0"/>
              <w:adjustRightInd w:val="0"/>
              <w:snapToGrid w:val="0"/>
              <w:spacing w:before="0" w:beforeAutospacing="0" w:after="0" w:afterAutospacing="0" w:line="360" w:lineRule="auto"/>
              <w:ind w:left="0" w:right="0" w:firstLine="480"/>
              <w:jc w:val="center"/>
              <w:rPr>
                <w:rFonts w:hint="default" w:ascii="Times New Roman" w:hAnsi="Times New Roman" w:eastAsia="宋体" w:cs="Times New Roman"/>
                <w:kern w:val="0"/>
                <w:highlight w:val="none"/>
              </w:rPr>
            </w:pPr>
            <w:r>
              <w:rPr>
                <w:rFonts w:hint="default" w:ascii="Times New Roman" w:hAnsi="Times New Roman" w:eastAsia="宋体" w:cs="Times New Roman"/>
                <w:kern w:val="0"/>
                <w:highlight w:val="none"/>
              </w:rPr>
              <w:drawing>
                <wp:inline distT="0" distB="0" distL="114300" distR="114300">
                  <wp:extent cx="2117725" cy="1067435"/>
                  <wp:effectExtent l="0" t="0" r="15875" b="18415"/>
                  <wp:docPr id="24" name="图片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4" name="图片 8"/>
                          <pic:cNvPicPr>
                            <a:picLocks noChangeAspect="1"/>
                          </pic:cNvPicPr>
                        </pic:nvPicPr>
                        <pic:blipFill>
                          <a:blip r:embed="rId37" cstate="print"/>
                          <a:stretch>
                            <a:fillRect/>
                          </a:stretch>
                        </pic:blipFill>
                        <pic:spPr>
                          <a:xfrm>
                            <a:off x="0" y="0"/>
                            <a:ext cx="2117725" cy="1067435"/>
                          </a:xfrm>
                          <a:prstGeom prst="rect">
                            <a:avLst/>
                          </a:prstGeom>
                          <a:noFill/>
                          <a:ln>
                            <a:noFill/>
                          </a:ln>
                        </pic:spPr>
                      </pic:pic>
                    </a:graphicData>
                  </a:graphic>
                </wp:inline>
              </w:drawing>
            </w:r>
          </w:p>
          <w:p w14:paraId="6FD79B83">
            <w:pPr>
              <w:pStyle w:val="15"/>
              <w:keepNext w:val="0"/>
              <w:keepLines w:val="0"/>
              <w:suppressLineNumbers w:val="0"/>
              <w:adjustRightInd w:val="0"/>
              <w:snapToGrid w:val="0"/>
              <w:spacing w:before="0" w:beforeAutospacing="0" w:after="0" w:afterAutospacing="0" w:line="360" w:lineRule="auto"/>
              <w:ind w:left="0" w:right="0"/>
              <w:jc w:val="center"/>
              <w:rPr>
                <w:rFonts w:hint="default" w:ascii="Times New Roman" w:hAnsi="Times New Roman" w:eastAsia="宋体" w:cs="Times New Roman"/>
                <w:b/>
                <w:bCs/>
                <w:snapToGrid w:val="0"/>
                <w:kern w:val="0"/>
                <w:szCs w:val="24"/>
                <w:highlight w:val="none"/>
              </w:rPr>
            </w:pPr>
            <w:r>
              <w:rPr>
                <w:rFonts w:hint="default" w:ascii="Times New Roman" w:hAnsi="Times New Roman" w:eastAsia="宋体" w:cs="Times New Roman"/>
                <w:b/>
                <w:bCs/>
                <w:snapToGrid w:val="0"/>
                <w:kern w:val="0"/>
                <w:szCs w:val="24"/>
                <w:highlight w:val="none"/>
              </w:rPr>
              <w:t>图4-</w:t>
            </w:r>
            <w:r>
              <w:rPr>
                <w:rFonts w:hint="eastAsia" w:ascii="Times New Roman" w:hAnsi="Times New Roman" w:eastAsia="宋体" w:cs="Times New Roman"/>
                <w:b/>
                <w:bCs/>
                <w:snapToGrid w:val="0"/>
                <w:kern w:val="0"/>
                <w:szCs w:val="24"/>
                <w:highlight w:val="none"/>
                <w:lang w:val="en-US" w:eastAsia="zh-CN"/>
              </w:rPr>
              <w:t>3</w:t>
            </w:r>
            <w:r>
              <w:rPr>
                <w:rFonts w:hint="default" w:ascii="Times New Roman" w:hAnsi="Times New Roman" w:eastAsia="宋体" w:cs="Times New Roman"/>
                <w:b/>
                <w:bCs/>
                <w:snapToGrid w:val="0"/>
                <w:kern w:val="0"/>
                <w:szCs w:val="24"/>
                <w:highlight w:val="none"/>
              </w:rPr>
              <w:t xml:space="preserve"> 室内声源等效为室外声源图例</w:t>
            </w:r>
          </w:p>
          <w:p w14:paraId="68387999">
            <w:pPr>
              <w:keepNext w:val="0"/>
              <w:keepLines w:val="0"/>
              <w:suppressLineNumbers w:val="0"/>
              <w:adjustRightInd w:val="0"/>
              <w:snapToGrid w:val="0"/>
              <w:spacing w:before="0" w:beforeAutospacing="0" w:after="0" w:afterAutospacing="0" w:line="360" w:lineRule="auto"/>
              <w:ind w:left="0" w:right="0" w:firstLine="480"/>
              <w:rPr>
                <w:rFonts w:hint="default" w:ascii="Times New Roman" w:hAnsi="Times New Roman" w:eastAsia="宋体" w:cs="Times New Roman"/>
                <w:snapToGrid w:val="0"/>
                <w:kern w:val="0"/>
                <w:highlight w:val="none"/>
              </w:rPr>
            </w:pPr>
            <w:r>
              <w:rPr>
                <w:rFonts w:hint="eastAsia" w:ascii="Times New Roman" w:hAnsi="Times New Roman" w:eastAsia="宋体" w:cs="Times New Roman"/>
                <w:snapToGrid w:val="0"/>
                <w:kern w:val="0"/>
                <w:highlight w:val="none"/>
              </w:rPr>
              <w:t>也可按式4</w:t>
            </w:r>
            <w:r>
              <w:rPr>
                <w:rFonts w:hint="default" w:ascii="Times New Roman" w:hAnsi="Times New Roman" w:eastAsia="宋体" w:cs="Times New Roman"/>
                <w:snapToGrid w:val="0"/>
                <w:kern w:val="0"/>
                <w:highlight w:val="none"/>
              </w:rPr>
              <w:t>-</w:t>
            </w:r>
            <w:r>
              <w:rPr>
                <w:rFonts w:hint="eastAsia" w:ascii="Times New Roman" w:hAnsi="Times New Roman" w:eastAsia="宋体" w:cs="Times New Roman"/>
                <w:snapToGrid w:val="0"/>
                <w:kern w:val="0"/>
                <w:highlight w:val="none"/>
              </w:rPr>
              <w:t>2计算室内声源靠近围护结构处产生的倍频带声压级Lp1</w:t>
            </w:r>
            <w:r>
              <w:rPr>
                <w:rFonts w:hint="default" w:ascii="Times New Roman" w:hAnsi="Times New Roman" w:eastAsia="宋体" w:cs="Times New Roman"/>
                <w:snapToGrid w:val="0"/>
                <w:kern w:val="0"/>
                <w:highlight w:val="none"/>
              </w:rPr>
              <w:t>：</w:t>
            </w:r>
          </w:p>
          <w:p w14:paraId="2C751BBB">
            <w:pPr>
              <w:keepNext w:val="0"/>
              <w:keepLines w:val="0"/>
              <w:suppressLineNumbers w:val="0"/>
              <w:adjustRightInd w:val="0"/>
              <w:snapToGrid w:val="0"/>
              <w:spacing w:before="0" w:beforeAutospacing="0" w:after="0" w:afterAutospacing="0" w:line="360" w:lineRule="auto"/>
              <w:ind w:left="0" w:right="0" w:firstLine="480"/>
              <w:jc w:val="center"/>
              <w:rPr>
                <w:rFonts w:hint="default" w:ascii="Times New Roman" w:hAnsi="Times New Roman" w:eastAsia="宋体" w:cs="Times New Roman"/>
                <w:snapToGrid w:val="0"/>
                <w:kern w:val="0"/>
                <w:highlight w:val="none"/>
              </w:rPr>
            </w:pPr>
            <w:r>
              <w:rPr>
                <w:rFonts w:hint="default" w:ascii="Times New Roman" w:hAnsi="Times New Roman" w:eastAsia="宋体" w:cs="Times New Roman"/>
                <w:kern w:val="0"/>
                <w:highlight w:val="none"/>
              </w:rPr>
              <w:drawing>
                <wp:inline distT="0" distB="0" distL="114300" distR="114300">
                  <wp:extent cx="2524760" cy="580390"/>
                  <wp:effectExtent l="0" t="0" r="8890" b="10160"/>
                  <wp:docPr id="25" name="图片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5" name="图片 9"/>
                          <pic:cNvPicPr>
                            <a:picLocks noChangeAspect="1"/>
                          </pic:cNvPicPr>
                        </pic:nvPicPr>
                        <pic:blipFill>
                          <a:blip r:embed="rId38" cstate="print"/>
                          <a:stretch>
                            <a:fillRect/>
                          </a:stretch>
                        </pic:blipFill>
                        <pic:spPr>
                          <a:xfrm>
                            <a:off x="0" y="0"/>
                            <a:ext cx="2524760" cy="580390"/>
                          </a:xfrm>
                          <a:prstGeom prst="rect">
                            <a:avLst/>
                          </a:prstGeom>
                          <a:noFill/>
                          <a:ln>
                            <a:noFill/>
                          </a:ln>
                        </pic:spPr>
                      </pic:pic>
                    </a:graphicData>
                  </a:graphic>
                </wp:inline>
              </w:drawing>
            </w:r>
            <w:r>
              <w:rPr>
                <w:rFonts w:hint="default" w:ascii="Times New Roman" w:hAnsi="Times New Roman" w:eastAsia="宋体" w:cs="Times New Roman"/>
                <w:kern w:val="0"/>
                <w:highlight w:val="none"/>
              </w:rPr>
              <w:t xml:space="preserve">           （</w:t>
            </w:r>
            <w:r>
              <w:rPr>
                <w:rFonts w:hint="eastAsia" w:ascii="Times New Roman" w:hAnsi="Times New Roman" w:eastAsia="宋体" w:cs="Times New Roman"/>
                <w:kern w:val="0"/>
                <w:highlight w:val="none"/>
              </w:rPr>
              <w:t>4</w:t>
            </w:r>
            <w:r>
              <w:rPr>
                <w:rFonts w:hint="default" w:ascii="Times New Roman" w:hAnsi="Times New Roman" w:eastAsia="宋体" w:cs="Times New Roman"/>
                <w:kern w:val="0"/>
                <w:highlight w:val="none"/>
              </w:rPr>
              <w:t>-</w:t>
            </w:r>
            <w:r>
              <w:rPr>
                <w:rFonts w:hint="eastAsia" w:ascii="Times New Roman" w:hAnsi="Times New Roman" w:eastAsia="宋体" w:cs="Times New Roman"/>
                <w:kern w:val="0"/>
                <w:highlight w:val="none"/>
              </w:rPr>
              <w:t>2</w:t>
            </w:r>
            <w:r>
              <w:rPr>
                <w:rFonts w:hint="default" w:ascii="Times New Roman" w:hAnsi="Times New Roman" w:eastAsia="宋体" w:cs="Times New Roman"/>
                <w:kern w:val="0"/>
                <w:highlight w:val="none"/>
              </w:rPr>
              <w:t>）</w:t>
            </w:r>
          </w:p>
          <w:p w14:paraId="5206A30D">
            <w:pPr>
              <w:keepNext w:val="0"/>
              <w:keepLines w:val="0"/>
              <w:suppressLineNumbers w:val="0"/>
              <w:adjustRightInd w:val="0"/>
              <w:snapToGrid w:val="0"/>
              <w:spacing w:before="0" w:beforeAutospacing="0" w:after="0" w:afterAutospacing="0" w:line="360" w:lineRule="auto"/>
              <w:ind w:left="0" w:right="0" w:firstLine="480"/>
              <w:rPr>
                <w:rFonts w:hint="default" w:ascii="Times New Roman" w:hAnsi="Times New Roman" w:eastAsia="宋体" w:cs="Times New Roman"/>
                <w:snapToGrid w:val="0"/>
                <w:kern w:val="0"/>
                <w:highlight w:val="none"/>
              </w:rPr>
            </w:pPr>
            <w:r>
              <w:rPr>
                <w:rFonts w:hint="default" w:ascii="Times New Roman" w:hAnsi="Times New Roman" w:eastAsia="宋体" w:cs="Times New Roman"/>
                <w:snapToGrid w:val="0"/>
                <w:kern w:val="0"/>
                <w:highlight w:val="none"/>
              </w:rPr>
              <w:t>式中：</w:t>
            </w:r>
          </w:p>
          <w:p w14:paraId="1147DADB">
            <w:pPr>
              <w:keepNext w:val="0"/>
              <w:keepLines w:val="0"/>
              <w:suppressLineNumbers w:val="0"/>
              <w:adjustRightInd w:val="0"/>
              <w:snapToGrid w:val="0"/>
              <w:spacing w:before="0" w:beforeAutospacing="0" w:after="0" w:afterAutospacing="0" w:line="360" w:lineRule="auto"/>
              <w:ind w:left="0" w:right="0" w:firstLine="480"/>
              <w:rPr>
                <w:rFonts w:hint="default" w:ascii="Times New Roman" w:hAnsi="Times New Roman" w:eastAsia="宋体" w:cs="Times New Roman"/>
                <w:snapToGrid w:val="0"/>
                <w:kern w:val="0"/>
                <w:highlight w:val="none"/>
              </w:rPr>
            </w:pPr>
            <w:r>
              <w:rPr>
                <w:rFonts w:hint="default" w:ascii="Times New Roman" w:hAnsi="Times New Roman" w:eastAsia="宋体" w:cs="Times New Roman"/>
                <w:snapToGrid w:val="0"/>
                <w:kern w:val="0"/>
                <w:highlight w:val="none"/>
              </w:rPr>
              <w:t>Q——指向性因</w:t>
            </w:r>
            <w:r>
              <w:rPr>
                <w:rFonts w:hint="eastAsia" w:cs="Times New Roman"/>
                <w:snapToGrid w:val="0"/>
                <w:kern w:val="0"/>
                <w:highlight w:val="none"/>
                <w:lang w:val="en-US" w:eastAsia="zh-CN"/>
              </w:rPr>
              <w:t>数</w:t>
            </w:r>
            <w:r>
              <w:rPr>
                <w:rFonts w:hint="default" w:ascii="Times New Roman" w:hAnsi="Times New Roman" w:eastAsia="宋体" w:cs="Times New Roman"/>
                <w:snapToGrid w:val="0"/>
                <w:kern w:val="0"/>
                <w:highlight w:val="none"/>
              </w:rPr>
              <w:t>：通常对无指向性声源，当声源放在房间中心时，Q=1，当放在一面墙的中心时，Q=2；当放在两面墙夹角处时，Q=4，当放在三面墙夹角处时，Q=8；</w:t>
            </w:r>
          </w:p>
          <w:p w14:paraId="1AE8D0A0">
            <w:pPr>
              <w:keepNext w:val="0"/>
              <w:keepLines w:val="0"/>
              <w:suppressLineNumbers w:val="0"/>
              <w:adjustRightInd w:val="0"/>
              <w:snapToGrid w:val="0"/>
              <w:spacing w:before="0" w:beforeAutospacing="0" w:after="0" w:afterAutospacing="0" w:line="360" w:lineRule="auto"/>
              <w:ind w:left="0" w:right="0" w:firstLine="480"/>
              <w:rPr>
                <w:rFonts w:hint="default" w:ascii="Times New Roman" w:hAnsi="Times New Roman" w:eastAsia="宋体" w:cs="Times New Roman"/>
                <w:snapToGrid w:val="0"/>
                <w:kern w:val="0"/>
                <w:highlight w:val="none"/>
              </w:rPr>
            </w:pPr>
            <w:r>
              <w:rPr>
                <w:rFonts w:hint="default" w:ascii="Times New Roman" w:hAnsi="Times New Roman" w:eastAsia="宋体" w:cs="Times New Roman"/>
                <w:snapToGrid w:val="0"/>
                <w:kern w:val="0"/>
                <w:highlight w:val="none"/>
              </w:rPr>
              <w:t>R——房间常数，R=Sα/(1)−α，S为房间内表面面积，m</w:t>
            </w:r>
            <w:r>
              <w:rPr>
                <w:rFonts w:hint="default" w:ascii="Times New Roman" w:hAnsi="Times New Roman" w:eastAsia="宋体" w:cs="Times New Roman"/>
                <w:snapToGrid w:val="0"/>
                <w:kern w:val="0"/>
                <w:highlight w:val="none"/>
                <w:vertAlign w:val="superscript"/>
              </w:rPr>
              <w:t>2</w:t>
            </w:r>
            <w:r>
              <w:rPr>
                <w:rFonts w:hint="default" w:ascii="Times New Roman" w:hAnsi="Times New Roman" w:eastAsia="宋体" w:cs="Times New Roman"/>
                <w:snapToGrid w:val="0"/>
                <w:kern w:val="0"/>
                <w:highlight w:val="none"/>
              </w:rPr>
              <w:t>；α为平均吸声系数；</w:t>
            </w:r>
          </w:p>
          <w:p w14:paraId="5497E2BD">
            <w:pPr>
              <w:keepNext w:val="0"/>
              <w:keepLines w:val="0"/>
              <w:suppressLineNumbers w:val="0"/>
              <w:adjustRightInd w:val="0"/>
              <w:snapToGrid w:val="0"/>
              <w:spacing w:before="0" w:beforeAutospacing="0" w:after="0" w:afterAutospacing="0" w:line="360" w:lineRule="auto"/>
              <w:ind w:left="0" w:right="0" w:firstLine="480"/>
              <w:rPr>
                <w:rFonts w:hint="default" w:ascii="Times New Roman" w:hAnsi="Times New Roman" w:eastAsia="宋体" w:cs="Times New Roman"/>
                <w:snapToGrid w:val="0"/>
                <w:kern w:val="0"/>
                <w:highlight w:val="none"/>
              </w:rPr>
            </w:pPr>
            <w:r>
              <w:rPr>
                <w:rFonts w:hint="default" w:ascii="Times New Roman" w:hAnsi="Times New Roman" w:eastAsia="宋体" w:cs="Times New Roman"/>
                <w:snapToGrid w:val="0"/>
                <w:kern w:val="0"/>
                <w:highlight w:val="none"/>
              </w:rPr>
              <w:t>r——声源到靠近围护结构某点处的距离，m。</w:t>
            </w:r>
          </w:p>
          <w:p w14:paraId="041F09B4">
            <w:pPr>
              <w:keepNext w:val="0"/>
              <w:keepLines w:val="0"/>
              <w:suppressLineNumbers w:val="0"/>
              <w:adjustRightInd w:val="0"/>
              <w:snapToGrid w:val="0"/>
              <w:spacing w:before="0" w:beforeAutospacing="0" w:after="0" w:afterAutospacing="0" w:line="360" w:lineRule="auto"/>
              <w:ind w:left="0" w:right="0" w:firstLine="480"/>
              <w:rPr>
                <w:rFonts w:hint="default" w:ascii="Times New Roman" w:hAnsi="Times New Roman" w:eastAsia="宋体" w:cs="Times New Roman"/>
                <w:snapToGrid w:val="0"/>
                <w:kern w:val="0"/>
                <w:highlight w:val="none"/>
              </w:rPr>
            </w:pPr>
            <w:r>
              <w:rPr>
                <w:rFonts w:hint="default" w:ascii="Times New Roman" w:hAnsi="Times New Roman" w:eastAsia="宋体" w:cs="Times New Roman"/>
                <w:snapToGrid w:val="0"/>
                <w:kern w:val="0"/>
                <w:highlight w:val="none"/>
              </w:rPr>
              <w:t>然后按式（</w:t>
            </w:r>
            <w:r>
              <w:rPr>
                <w:rFonts w:hint="eastAsia" w:ascii="Times New Roman" w:hAnsi="Times New Roman" w:eastAsia="宋体" w:cs="Times New Roman"/>
                <w:snapToGrid w:val="0"/>
                <w:kern w:val="0"/>
                <w:highlight w:val="none"/>
              </w:rPr>
              <w:t>4</w:t>
            </w:r>
            <w:r>
              <w:rPr>
                <w:rFonts w:hint="default" w:ascii="Times New Roman" w:hAnsi="Times New Roman" w:eastAsia="宋体" w:cs="Times New Roman"/>
                <w:snapToGrid w:val="0"/>
                <w:kern w:val="0"/>
                <w:highlight w:val="none"/>
              </w:rPr>
              <w:t>-</w:t>
            </w:r>
            <w:r>
              <w:rPr>
                <w:rFonts w:hint="eastAsia" w:ascii="Times New Roman" w:hAnsi="Times New Roman" w:eastAsia="宋体" w:cs="Times New Roman"/>
                <w:snapToGrid w:val="0"/>
                <w:kern w:val="0"/>
                <w:highlight w:val="none"/>
              </w:rPr>
              <w:t>3</w:t>
            </w:r>
            <w:r>
              <w:rPr>
                <w:rFonts w:hint="default" w:ascii="Times New Roman" w:hAnsi="Times New Roman" w:eastAsia="宋体" w:cs="Times New Roman"/>
                <w:snapToGrid w:val="0"/>
                <w:kern w:val="0"/>
                <w:highlight w:val="none"/>
              </w:rPr>
              <w:t>）计算出所有室内声源在围护结构处产生的i倍频带叠加声压级：</w:t>
            </w:r>
          </w:p>
          <w:p w14:paraId="484328DD">
            <w:pPr>
              <w:pStyle w:val="15"/>
              <w:keepNext w:val="0"/>
              <w:keepLines w:val="0"/>
              <w:suppressLineNumbers w:val="0"/>
              <w:adjustRightInd w:val="0"/>
              <w:snapToGrid w:val="0"/>
              <w:spacing w:before="0" w:beforeAutospacing="0" w:after="0" w:afterAutospacing="0" w:line="360" w:lineRule="auto"/>
              <w:ind w:left="0" w:right="0"/>
              <w:jc w:val="center"/>
              <w:rPr>
                <w:rFonts w:hint="default" w:ascii="Times New Roman" w:hAnsi="Times New Roman" w:eastAsia="宋体" w:cs="Times New Roman"/>
                <w:kern w:val="0"/>
                <w:highlight w:val="none"/>
              </w:rPr>
            </w:pPr>
            <w:r>
              <w:rPr>
                <w:rFonts w:hint="default" w:ascii="Times New Roman" w:hAnsi="Times New Roman" w:eastAsia="宋体" w:cs="Times New Roman"/>
                <w:kern w:val="0"/>
                <w:highlight w:val="none"/>
              </w:rPr>
              <w:drawing>
                <wp:inline distT="0" distB="0" distL="114300" distR="114300">
                  <wp:extent cx="2093595" cy="531495"/>
                  <wp:effectExtent l="0" t="0" r="1905" b="1905"/>
                  <wp:docPr id="26" name="图片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6" name="图片 10"/>
                          <pic:cNvPicPr>
                            <a:picLocks noChangeAspect="1"/>
                          </pic:cNvPicPr>
                        </pic:nvPicPr>
                        <pic:blipFill>
                          <a:blip r:embed="rId39" cstate="print"/>
                          <a:stretch>
                            <a:fillRect/>
                          </a:stretch>
                        </pic:blipFill>
                        <pic:spPr>
                          <a:xfrm>
                            <a:off x="0" y="0"/>
                            <a:ext cx="2093595" cy="531495"/>
                          </a:xfrm>
                          <a:prstGeom prst="rect">
                            <a:avLst/>
                          </a:prstGeom>
                          <a:noFill/>
                          <a:ln>
                            <a:noFill/>
                          </a:ln>
                        </pic:spPr>
                      </pic:pic>
                    </a:graphicData>
                  </a:graphic>
                </wp:inline>
              </w:drawing>
            </w:r>
            <w:r>
              <w:rPr>
                <w:rFonts w:hint="default" w:ascii="Times New Roman" w:hAnsi="Times New Roman" w:eastAsia="宋体" w:cs="Times New Roman"/>
                <w:kern w:val="0"/>
                <w:szCs w:val="24"/>
                <w:highlight w:val="none"/>
              </w:rPr>
              <w:t xml:space="preserve">            （4-3）</w:t>
            </w:r>
          </w:p>
          <w:p w14:paraId="4947173F">
            <w:pPr>
              <w:keepNext w:val="0"/>
              <w:keepLines w:val="0"/>
              <w:widowControl/>
              <w:suppressLineNumbers w:val="0"/>
              <w:adjustRightInd w:val="0"/>
              <w:snapToGrid w:val="0"/>
              <w:spacing w:before="0" w:beforeAutospacing="0" w:after="0" w:afterAutospacing="0" w:line="360" w:lineRule="auto"/>
              <w:ind w:left="0" w:right="0" w:firstLine="480" w:firstLineChars="200"/>
              <w:jc w:val="left"/>
              <w:rPr>
                <w:rFonts w:hint="default" w:ascii="Times New Roman" w:hAnsi="Times New Roman" w:eastAsia="宋体" w:cs="Times New Roman"/>
                <w:snapToGrid w:val="0"/>
                <w:kern w:val="0"/>
                <w:highlight w:val="none"/>
              </w:rPr>
            </w:pPr>
            <w:r>
              <w:rPr>
                <w:rFonts w:hint="default" w:ascii="Times New Roman" w:hAnsi="Times New Roman" w:eastAsia="宋体" w:cs="Times New Roman"/>
                <w:snapToGrid w:val="0"/>
                <w:kern w:val="0"/>
                <w:highlight w:val="none"/>
              </w:rPr>
              <w:t>式中：</w:t>
            </w:r>
          </w:p>
          <w:p w14:paraId="13827342">
            <w:pPr>
              <w:keepNext w:val="0"/>
              <w:keepLines w:val="0"/>
              <w:widowControl/>
              <w:suppressLineNumbers w:val="0"/>
              <w:adjustRightInd w:val="0"/>
              <w:snapToGrid w:val="0"/>
              <w:spacing w:before="0" w:beforeAutospacing="0" w:after="0" w:afterAutospacing="0" w:line="360" w:lineRule="auto"/>
              <w:ind w:left="0" w:right="0" w:firstLine="480" w:firstLineChars="200"/>
              <w:jc w:val="left"/>
              <w:rPr>
                <w:rFonts w:hint="default" w:ascii="Times New Roman" w:hAnsi="Times New Roman" w:eastAsia="宋体" w:cs="Times New Roman"/>
                <w:snapToGrid w:val="0"/>
                <w:kern w:val="0"/>
                <w:highlight w:val="none"/>
              </w:rPr>
            </w:pPr>
            <w:r>
              <w:rPr>
                <w:rFonts w:hint="default" w:ascii="Times New Roman" w:hAnsi="Times New Roman" w:eastAsia="宋体" w:cs="Times New Roman"/>
                <w:snapToGrid w:val="0"/>
                <w:kern w:val="0"/>
                <w:highlight w:val="none"/>
              </w:rPr>
              <w:t>L</w:t>
            </w:r>
            <w:r>
              <w:rPr>
                <w:rFonts w:hint="default" w:ascii="Times New Roman" w:hAnsi="Times New Roman" w:eastAsia="宋体" w:cs="Times New Roman"/>
                <w:snapToGrid w:val="0"/>
                <w:kern w:val="0"/>
                <w:highlight w:val="none"/>
                <w:vertAlign w:val="subscript"/>
              </w:rPr>
              <w:t>p1i</w:t>
            </w:r>
            <w:r>
              <w:rPr>
                <w:rFonts w:hint="default" w:ascii="Times New Roman" w:hAnsi="Times New Roman" w:eastAsia="宋体" w:cs="Times New Roman"/>
                <w:snapToGrid w:val="0"/>
                <w:kern w:val="0"/>
                <w:highlight w:val="none"/>
              </w:rPr>
              <w:t>(T)——靠近围护结构处室内N个声源i倍频带的叠加声压级，dB；</w:t>
            </w:r>
          </w:p>
          <w:p w14:paraId="247CE046">
            <w:pPr>
              <w:keepNext w:val="0"/>
              <w:keepLines w:val="0"/>
              <w:suppressLineNumbers w:val="0"/>
              <w:adjustRightInd w:val="0"/>
              <w:snapToGrid w:val="0"/>
              <w:spacing w:before="0" w:beforeAutospacing="0" w:after="0" w:afterAutospacing="0" w:line="360" w:lineRule="auto"/>
              <w:ind w:left="0" w:right="0" w:firstLine="480"/>
              <w:rPr>
                <w:rFonts w:hint="default" w:ascii="Times New Roman" w:hAnsi="Times New Roman" w:eastAsia="宋体" w:cs="Times New Roman"/>
                <w:snapToGrid w:val="0"/>
                <w:kern w:val="0"/>
                <w:highlight w:val="none"/>
              </w:rPr>
            </w:pPr>
            <w:r>
              <w:rPr>
                <w:rFonts w:hint="default" w:ascii="Times New Roman" w:hAnsi="Times New Roman" w:eastAsia="宋体" w:cs="Times New Roman"/>
                <w:snapToGrid w:val="0"/>
                <w:kern w:val="0"/>
                <w:highlight w:val="none"/>
              </w:rPr>
              <w:t>L</w:t>
            </w:r>
            <w:r>
              <w:rPr>
                <w:rFonts w:hint="default" w:ascii="Times New Roman" w:hAnsi="Times New Roman" w:eastAsia="宋体" w:cs="Times New Roman"/>
                <w:snapToGrid w:val="0"/>
                <w:kern w:val="0"/>
                <w:highlight w:val="none"/>
                <w:vertAlign w:val="subscript"/>
              </w:rPr>
              <w:t>p1ij</w:t>
            </w:r>
            <w:r>
              <w:rPr>
                <w:rFonts w:hint="default" w:ascii="Times New Roman" w:hAnsi="Times New Roman" w:eastAsia="宋体" w:cs="Times New Roman"/>
                <w:snapToGrid w:val="0"/>
                <w:kern w:val="0"/>
                <w:highlight w:val="none"/>
              </w:rPr>
              <w:t>——室内j声源i倍频带的声压级，dB；</w:t>
            </w:r>
          </w:p>
          <w:p w14:paraId="3087E2FE">
            <w:pPr>
              <w:keepNext w:val="0"/>
              <w:keepLines w:val="0"/>
              <w:suppressLineNumbers w:val="0"/>
              <w:adjustRightInd w:val="0"/>
              <w:snapToGrid w:val="0"/>
              <w:spacing w:before="0" w:beforeAutospacing="0" w:after="0" w:afterAutospacing="0" w:line="360" w:lineRule="auto"/>
              <w:ind w:left="0" w:right="0" w:firstLine="480"/>
              <w:rPr>
                <w:rFonts w:hint="default" w:ascii="Times New Roman" w:hAnsi="Times New Roman" w:eastAsia="宋体" w:cs="Times New Roman"/>
                <w:snapToGrid w:val="0"/>
                <w:kern w:val="0"/>
                <w:highlight w:val="none"/>
              </w:rPr>
            </w:pPr>
            <w:r>
              <w:rPr>
                <w:rFonts w:hint="default" w:ascii="Times New Roman" w:hAnsi="Times New Roman" w:eastAsia="宋体" w:cs="Times New Roman"/>
                <w:snapToGrid w:val="0"/>
                <w:kern w:val="0"/>
                <w:highlight w:val="none"/>
              </w:rPr>
              <w:t>N——室内声源总数。</w:t>
            </w:r>
          </w:p>
          <w:p w14:paraId="0D70FDB5">
            <w:pPr>
              <w:keepNext w:val="0"/>
              <w:keepLines w:val="0"/>
              <w:suppressLineNumbers w:val="0"/>
              <w:adjustRightInd w:val="0"/>
              <w:snapToGrid w:val="0"/>
              <w:spacing w:before="0" w:beforeAutospacing="0" w:after="0" w:afterAutospacing="0" w:line="360" w:lineRule="auto"/>
              <w:ind w:left="0" w:right="0" w:firstLine="480"/>
              <w:rPr>
                <w:rFonts w:hint="default" w:ascii="Times New Roman" w:hAnsi="Times New Roman" w:eastAsia="宋体" w:cs="Times New Roman"/>
                <w:snapToGrid w:val="0"/>
                <w:kern w:val="0"/>
                <w:highlight w:val="none"/>
              </w:rPr>
            </w:pPr>
            <w:r>
              <w:rPr>
                <w:rFonts w:hint="default" w:ascii="Times New Roman" w:hAnsi="Times New Roman" w:eastAsia="宋体" w:cs="Times New Roman"/>
                <w:snapToGrid w:val="0"/>
                <w:kern w:val="0"/>
                <w:highlight w:val="none"/>
              </w:rPr>
              <w:t>在室内近似为扩散声场时，按式（</w:t>
            </w:r>
            <w:r>
              <w:rPr>
                <w:rFonts w:hint="eastAsia" w:ascii="Times New Roman" w:hAnsi="Times New Roman" w:eastAsia="宋体" w:cs="Times New Roman"/>
                <w:snapToGrid w:val="0"/>
                <w:kern w:val="0"/>
                <w:highlight w:val="none"/>
              </w:rPr>
              <w:t>4</w:t>
            </w:r>
            <w:r>
              <w:rPr>
                <w:rFonts w:hint="default" w:ascii="Times New Roman" w:hAnsi="Times New Roman" w:eastAsia="宋体" w:cs="Times New Roman"/>
                <w:snapToGrid w:val="0"/>
                <w:kern w:val="0"/>
                <w:highlight w:val="none"/>
              </w:rPr>
              <w:t>-</w:t>
            </w:r>
            <w:r>
              <w:rPr>
                <w:rFonts w:hint="eastAsia" w:ascii="Times New Roman" w:hAnsi="Times New Roman" w:eastAsia="宋体" w:cs="Times New Roman"/>
                <w:snapToGrid w:val="0"/>
                <w:kern w:val="0"/>
                <w:highlight w:val="none"/>
              </w:rPr>
              <w:t>4</w:t>
            </w:r>
            <w:r>
              <w:rPr>
                <w:rFonts w:hint="default" w:ascii="Times New Roman" w:hAnsi="Times New Roman" w:eastAsia="宋体" w:cs="Times New Roman"/>
                <w:snapToGrid w:val="0"/>
                <w:kern w:val="0"/>
                <w:highlight w:val="none"/>
              </w:rPr>
              <w:t>）计算出靠近室外围护结构处的声压级：</w:t>
            </w:r>
          </w:p>
          <w:p w14:paraId="0C6442D1">
            <w:pPr>
              <w:keepNext w:val="0"/>
              <w:keepLines w:val="0"/>
              <w:suppressLineNumbers w:val="0"/>
              <w:adjustRightInd w:val="0"/>
              <w:snapToGrid w:val="0"/>
              <w:spacing w:before="0" w:beforeAutospacing="0" w:after="0" w:afterAutospacing="0" w:line="360" w:lineRule="auto"/>
              <w:ind w:left="0" w:right="0" w:firstLine="480"/>
              <w:jc w:val="center"/>
              <w:rPr>
                <w:rFonts w:hint="default" w:ascii="Times New Roman" w:hAnsi="Times New Roman" w:eastAsia="宋体" w:cs="Times New Roman"/>
                <w:snapToGrid w:val="0"/>
                <w:kern w:val="0"/>
                <w:highlight w:val="none"/>
              </w:rPr>
            </w:pPr>
            <w:r>
              <w:rPr>
                <w:rFonts w:hint="default" w:ascii="Times New Roman" w:hAnsi="Times New Roman" w:eastAsia="宋体" w:cs="Times New Roman"/>
                <w:kern w:val="0"/>
                <w:highlight w:val="none"/>
              </w:rPr>
              <w:drawing>
                <wp:inline distT="0" distB="0" distL="114300" distR="114300">
                  <wp:extent cx="2249805" cy="264795"/>
                  <wp:effectExtent l="0" t="0" r="17145" b="1905"/>
                  <wp:docPr id="27" name="图片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7" name="图片 11"/>
                          <pic:cNvPicPr>
                            <a:picLocks noChangeAspect="1"/>
                          </pic:cNvPicPr>
                        </pic:nvPicPr>
                        <pic:blipFill>
                          <a:blip r:embed="rId40" cstate="print"/>
                          <a:stretch>
                            <a:fillRect/>
                          </a:stretch>
                        </pic:blipFill>
                        <pic:spPr>
                          <a:xfrm>
                            <a:off x="0" y="0"/>
                            <a:ext cx="2249805" cy="264795"/>
                          </a:xfrm>
                          <a:prstGeom prst="rect">
                            <a:avLst/>
                          </a:prstGeom>
                          <a:noFill/>
                          <a:ln>
                            <a:noFill/>
                          </a:ln>
                        </pic:spPr>
                      </pic:pic>
                    </a:graphicData>
                  </a:graphic>
                </wp:inline>
              </w:drawing>
            </w:r>
            <w:r>
              <w:rPr>
                <w:rFonts w:hint="default" w:ascii="Times New Roman" w:hAnsi="Times New Roman" w:eastAsia="宋体" w:cs="Times New Roman"/>
                <w:kern w:val="0"/>
                <w:highlight w:val="none"/>
              </w:rPr>
              <w:t xml:space="preserve">            （</w:t>
            </w:r>
            <w:r>
              <w:rPr>
                <w:rFonts w:hint="eastAsia" w:ascii="Times New Roman" w:hAnsi="Times New Roman" w:eastAsia="宋体" w:cs="Times New Roman"/>
                <w:kern w:val="0"/>
                <w:highlight w:val="none"/>
              </w:rPr>
              <w:t>4</w:t>
            </w:r>
            <w:r>
              <w:rPr>
                <w:rFonts w:hint="default" w:ascii="Times New Roman" w:hAnsi="Times New Roman" w:eastAsia="宋体" w:cs="Times New Roman"/>
                <w:kern w:val="0"/>
                <w:highlight w:val="none"/>
              </w:rPr>
              <w:t>-</w:t>
            </w:r>
            <w:r>
              <w:rPr>
                <w:rFonts w:hint="eastAsia" w:ascii="Times New Roman" w:hAnsi="Times New Roman" w:eastAsia="宋体" w:cs="Times New Roman"/>
                <w:kern w:val="0"/>
                <w:highlight w:val="none"/>
              </w:rPr>
              <w:t>4</w:t>
            </w:r>
            <w:r>
              <w:rPr>
                <w:rFonts w:hint="default" w:ascii="Times New Roman" w:hAnsi="Times New Roman" w:eastAsia="宋体" w:cs="Times New Roman"/>
                <w:kern w:val="0"/>
                <w:highlight w:val="none"/>
              </w:rPr>
              <w:t>）</w:t>
            </w:r>
          </w:p>
          <w:p w14:paraId="2CC5E711">
            <w:pPr>
              <w:keepNext w:val="0"/>
              <w:keepLines w:val="0"/>
              <w:suppressLineNumbers w:val="0"/>
              <w:adjustRightInd w:val="0"/>
              <w:snapToGrid w:val="0"/>
              <w:spacing w:before="0" w:beforeAutospacing="0" w:after="0" w:afterAutospacing="0" w:line="360" w:lineRule="auto"/>
              <w:ind w:left="0" w:right="0" w:firstLine="480"/>
              <w:rPr>
                <w:rFonts w:hint="default" w:ascii="Times New Roman" w:hAnsi="Times New Roman" w:eastAsia="宋体" w:cs="Times New Roman"/>
                <w:snapToGrid w:val="0"/>
                <w:kern w:val="0"/>
                <w:highlight w:val="none"/>
              </w:rPr>
            </w:pPr>
            <w:r>
              <w:rPr>
                <w:rFonts w:hint="default" w:ascii="Times New Roman" w:hAnsi="Times New Roman" w:eastAsia="宋体" w:cs="Times New Roman"/>
                <w:snapToGrid w:val="0"/>
                <w:kern w:val="0"/>
                <w:highlight w:val="none"/>
              </w:rPr>
              <w:t>式中：</w:t>
            </w:r>
          </w:p>
          <w:p w14:paraId="121910AF">
            <w:pPr>
              <w:keepNext w:val="0"/>
              <w:keepLines w:val="0"/>
              <w:widowControl/>
              <w:suppressLineNumbers w:val="0"/>
              <w:adjustRightInd w:val="0"/>
              <w:snapToGrid w:val="0"/>
              <w:spacing w:before="0" w:beforeAutospacing="0" w:after="0" w:afterAutospacing="0" w:line="360" w:lineRule="auto"/>
              <w:ind w:left="0" w:right="0" w:firstLine="480" w:firstLineChars="200"/>
              <w:jc w:val="left"/>
              <w:rPr>
                <w:rFonts w:hint="default" w:ascii="Times New Roman" w:hAnsi="Times New Roman" w:eastAsia="宋体" w:cs="Times New Roman"/>
                <w:snapToGrid w:val="0"/>
                <w:kern w:val="0"/>
                <w:highlight w:val="none"/>
              </w:rPr>
            </w:pPr>
            <w:r>
              <w:rPr>
                <w:rFonts w:hint="default" w:ascii="Times New Roman" w:hAnsi="Times New Roman" w:eastAsia="宋体" w:cs="Times New Roman"/>
                <w:snapToGrid w:val="0"/>
                <w:kern w:val="0"/>
                <w:highlight w:val="none"/>
              </w:rPr>
              <w:t>L</w:t>
            </w:r>
            <w:r>
              <w:rPr>
                <w:rFonts w:hint="default" w:ascii="Times New Roman" w:hAnsi="Times New Roman" w:eastAsia="宋体" w:cs="Times New Roman"/>
                <w:snapToGrid w:val="0"/>
                <w:kern w:val="0"/>
                <w:highlight w:val="none"/>
                <w:vertAlign w:val="subscript"/>
              </w:rPr>
              <w:t>p2i</w:t>
            </w:r>
            <w:r>
              <w:rPr>
                <w:rFonts w:hint="default" w:ascii="Times New Roman" w:hAnsi="Times New Roman" w:eastAsia="宋体" w:cs="Times New Roman"/>
                <w:snapToGrid w:val="0"/>
                <w:kern w:val="0"/>
                <w:highlight w:val="none"/>
              </w:rPr>
              <w:t>(T)——靠近围护结构处室内N个声源i倍频带的叠加声压级，dB</w:t>
            </w:r>
          </w:p>
          <w:p w14:paraId="2F447F3D">
            <w:pPr>
              <w:keepNext w:val="0"/>
              <w:keepLines w:val="0"/>
              <w:widowControl/>
              <w:suppressLineNumbers w:val="0"/>
              <w:adjustRightInd w:val="0"/>
              <w:snapToGrid w:val="0"/>
              <w:spacing w:before="0" w:beforeAutospacing="0" w:after="0" w:afterAutospacing="0" w:line="360" w:lineRule="auto"/>
              <w:ind w:left="0" w:right="0" w:firstLine="480" w:firstLineChars="200"/>
              <w:jc w:val="left"/>
              <w:rPr>
                <w:rFonts w:hint="default" w:ascii="Times New Roman" w:hAnsi="Times New Roman" w:eastAsia="宋体" w:cs="Times New Roman"/>
                <w:snapToGrid w:val="0"/>
                <w:kern w:val="0"/>
                <w:highlight w:val="none"/>
              </w:rPr>
            </w:pPr>
            <w:r>
              <w:rPr>
                <w:rFonts w:hint="default" w:ascii="Times New Roman" w:hAnsi="Times New Roman" w:eastAsia="宋体" w:cs="Times New Roman"/>
                <w:snapToGrid w:val="0"/>
                <w:kern w:val="0"/>
                <w:highlight w:val="none"/>
              </w:rPr>
              <w:t>TLi——围护结构i倍频带的隔声量，dB。</w:t>
            </w:r>
          </w:p>
          <w:p w14:paraId="2D2AA639">
            <w:pPr>
              <w:keepNext w:val="0"/>
              <w:keepLines w:val="0"/>
              <w:widowControl/>
              <w:suppressLineNumbers w:val="0"/>
              <w:adjustRightInd w:val="0"/>
              <w:snapToGrid w:val="0"/>
              <w:spacing w:before="0" w:beforeAutospacing="0" w:after="0" w:afterAutospacing="0" w:line="360" w:lineRule="auto"/>
              <w:ind w:left="0" w:right="0" w:firstLine="480" w:firstLineChars="200"/>
              <w:jc w:val="left"/>
              <w:rPr>
                <w:rFonts w:hint="default" w:ascii="Times New Roman" w:hAnsi="Times New Roman" w:eastAsia="宋体" w:cs="Times New Roman"/>
                <w:snapToGrid w:val="0"/>
                <w:kern w:val="0"/>
                <w:highlight w:val="none"/>
              </w:rPr>
            </w:pPr>
            <w:r>
              <w:rPr>
                <w:rFonts w:hint="default" w:ascii="Times New Roman" w:hAnsi="Times New Roman" w:eastAsia="宋体" w:cs="Times New Roman"/>
                <w:snapToGrid w:val="0"/>
                <w:kern w:val="0"/>
                <w:highlight w:val="none"/>
              </w:rPr>
              <w:t>然后按式（</w:t>
            </w:r>
            <w:r>
              <w:rPr>
                <w:rFonts w:hint="eastAsia" w:ascii="Times New Roman" w:hAnsi="Times New Roman" w:eastAsia="宋体" w:cs="Times New Roman"/>
                <w:snapToGrid w:val="0"/>
                <w:kern w:val="0"/>
                <w:highlight w:val="none"/>
              </w:rPr>
              <w:t>4</w:t>
            </w:r>
            <w:r>
              <w:rPr>
                <w:rFonts w:hint="default" w:ascii="Times New Roman" w:hAnsi="Times New Roman" w:eastAsia="宋体" w:cs="Times New Roman"/>
                <w:snapToGrid w:val="0"/>
                <w:kern w:val="0"/>
                <w:highlight w:val="none"/>
              </w:rPr>
              <w:t>-4）将室外声源的声压级和透过面积换算成等效的室外声源，计算出中心位置位于透声面积（S）处的等效声源的倍频带声功率级。</w:t>
            </w:r>
          </w:p>
          <w:p w14:paraId="3BF629B7">
            <w:pPr>
              <w:keepNext w:val="0"/>
              <w:keepLines w:val="0"/>
              <w:suppressLineNumbers w:val="0"/>
              <w:adjustRightInd w:val="0"/>
              <w:snapToGrid w:val="0"/>
              <w:spacing w:before="0" w:beforeAutospacing="0" w:after="0" w:afterAutospacing="0" w:line="360" w:lineRule="auto"/>
              <w:ind w:left="0" w:right="0" w:firstLine="480"/>
              <w:jc w:val="center"/>
              <w:rPr>
                <w:rFonts w:hint="default" w:ascii="Times New Roman" w:hAnsi="Times New Roman" w:eastAsia="宋体" w:cs="Times New Roman"/>
                <w:snapToGrid w:val="0"/>
                <w:kern w:val="0"/>
                <w:highlight w:val="none"/>
              </w:rPr>
            </w:pPr>
            <w:r>
              <w:rPr>
                <w:rFonts w:hint="default" w:ascii="Times New Roman" w:hAnsi="Times New Roman" w:eastAsia="宋体" w:cs="Times New Roman"/>
                <w:kern w:val="0"/>
                <w:highlight w:val="none"/>
              </w:rPr>
              <w:drawing>
                <wp:inline distT="0" distB="0" distL="114300" distR="114300">
                  <wp:extent cx="1632585" cy="287655"/>
                  <wp:effectExtent l="0" t="0" r="5715" b="17145"/>
                  <wp:docPr id="28" name="图片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8" name="图片 12"/>
                          <pic:cNvPicPr>
                            <a:picLocks noChangeAspect="1"/>
                          </pic:cNvPicPr>
                        </pic:nvPicPr>
                        <pic:blipFill>
                          <a:blip r:embed="rId41" cstate="print"/>
                          <a:stretch>
                            <a:fillRect/>
                          </a:stretch>
                        </pic:blipFill>
                        <pic:spPr>
                          <a:xfrm>
                            <a:off x="0" y="0"/>
                            <a:ext cx="1632585" cy="287655"/>
                          </a:xfrm>
                          <a:prstGeom prst="rect">
                            <a:avLst/>
                          </a:prstGeom>
                          <a:noFill/>
                          <a:ln>
                            <a:noFill/>
                          </a:ln>
                        </pic:spPr>
                      </pic:pic>
                    </a:graphicData>
                  </a:graphic>
                </wp:inline>
              </w:drawing>
            </w:r>
            <w:r>
              <w:rPr>
                <w:rFonts w:hint="default" w:ascii="Times New Roman" w:hAnsi="Times New Roman" w:eastAsia="宋体" w:cs="Times New Roman"/>
                <w:kern w:val="0"/>
                <w:highlight w:val="none"/>
              </w:rPr>
              <w:t xml:space="preserve">            （</w:t>
            </w:r>
            <w:r>
              <w:rPr>
                <w:rFonts w:hint="eastAsia" w:ascii="Times New Roman" w:hAnsi="Times New Roman" w:eastAsia="宋体" w:cs="Times New Roman"/>
                <w:kern w:val="0"/>
                <w:highlight w:val="none"/>
              </w:rPr>
              <w:t>4</w:t>
            </w:r>
            <w:r>
              <w:rPr>
                <w:rFonts w:hint="default" w:ascii="Times New Roman" w:hAnsi="Times New Roman" w:eastAsia="宋体" w:cs="Times New Roman"/>
                <w:kern w:val="0"/>
                <w:highlight w:val="none"/>
              </w:rPr>
              <w:t>-</w:t>
            </w:r>
            <w:r>
              <w:rPr>
                <w:rFonts w:hint="eastAsia" w:ascii="Times New Roman" w:hAnsi="Times New Roman" w:eastAsia="宋体" w:cs="Times New Roman"/>
                <w:kern w:val="0"/>
                <w:highlight w:val="none"/>
              </w:rPr>
              <w:t>5</w:t>
            </w:r>
            <w:r>
              <w:rPr>
                <w:rFonts w:hint="default" w:ascii="Times New Roman" w:hAnsi="Times New Roman" w:eastAsia="宋体" w:cs="Times New Roman"/>
                <w:kern w:val="0"/>
                <w:highlight w:val="none"/>
              </w:rPr>
              <w:t>）</w:t>
            </w:r>
          </w:p>
          <w:p w14:paraId="0D3B6FDC">
            <w:pPr>
              <w:keepNext w:val="0"/>
              <w:keepLines w:val="0"/>
              <w:suppressLineNumbers w:val="0"/>
              <w:adjustRightInd w:val="0"/>
              <w:snapToGrid w:val="0"/>
              <w:spacing w:before="0" w:beforeAutospacing="0" w:after="0" w:afterAutospacing="0" w:line="360" w:lineRule="auto"/>
              <w:ind w:left="0" w:right="0" w:firstLine="480"/>
              <w:rPr>
                <w:rFonts w:hint="default" w:ascii="Times New Roman" w:hAnsi="Times New Roman" w:eastAsia="宋体" w:cs="Times New Roman"/>
                <w:kern w:val="0"/>
                <w:highlight w:val="none"/>
              </w:rPr>
            </w:pPr>
            <w:r>
              <w:rPr>
                <w:rFonts w:hint="eastAsia" w:ascii="Times New Roman" w:hAnsi="Times New Roman" w:eastAsia="宋体" w:cs="Times New Roman"/>
                <w:snapToGrid w:val="0"/>
                <w:kern w:val="0"/>
                <w:highlight w:val="none"/>
              </w:rPr>
              <w:t>b、</w:t>
            </w:r>
            <w:r>
              <w:rPr>
                <w:rFonts w:hint="default" w:ascii="Times New Roman" w:hAnsi="Times New Roman" w:eastAsia="宋体" w:cs="Times New Roman"/>
                <w:snapToGrid w:val="0"/>
                <w:kern w:val="0"/>
                <w:highlight w:val="none"/>
              </w:rPr>
              <w:t>室外的点声源在预测点产生的声级计算基本公式</w:t>
            </w:r>
          </w:p>
          <w:p w14:paraId="1DE85DEF">
            <w:pPr>
              <w:keepNext w:val="0"/>
              <w:keepLines w:val="0"/>
              <w:suppressLineNumbers w:val="0"/>
              <w:adjustRightInd w:val="0"/>
              <w:snapToGrid w:val="0"/>
              <w:spacing w:before="0" w:beforeAutospacing="0" w:after="0" w:afterAutospacing="0" w:line="360" w:lineRule="auto"/>
              <w:ind w:left="0" w:right="0" w:firstLine="480"/>
              <w:rPr>
                <w:rFonts w:hint="default" w:ascii="Times New Roman" w:hAnsi="Times New Roman" w:eastAsia="宋体" w:cs="Times New Roman"/>
                <w:snapToGrid w:val="0"/>
                <w:kern w:val="0"/>
                <w:highlight w:val="none"/>
              </w:rPr>
            </w:pPr>
            <w:r>
              <w:rPr>
                <w:rFonts w:hint="default" w:ascii="Times New Roman" w:hAnsi="Times New Roman" w:eastAsia="宋体" w:cs="Times New Roman"/>
                <w:snapToGrid w:val="0"/>
                <w:kern w:val="0"/>
                <w:highlight w:val="none"/>
              </w:rPr>
              <w:t>在不能取得声源倍频带声功率级或倍频带声压级，只能获得A声功率级或某点的A声级时，单个室外的点声源在预测点产生的声级可按下式做近似计算：</w:t>
            </w:r>
          </w:p>
          <w:p w14:paraId="1CF70D01">
            <w:pPr>
              <w:keepNext w:val="0"/>
              <w:keepLines w:val="0"/>
              <w:suppressLineNumbers w:val="0"/>
              <w:adjustRightInd w:val="0"/>
              <w:snapToGrid w:val="0"/>
              <w:spacing w:before="0" w:beforeAutospacing="0" w:after="0" w:afterAutospacing="0" w:line="360" w:lineRule="auto"/>
              <w:ind w:left="0" w:right="0" w:firstLine="480"/>
              <w:jc w:val="center"/>
              <w:rPr>
                <w:rFonts w:hint="default" w:ascii="Times New Roman" w:hAnsi="Times New Roman" w:eastAsia="宋体" w:cs="Times New Roman"/>
                <w:snapToGrid w:val="0"/>
                <w:kern w:val="0"/>
                <w:highlight w:val="none"/>
              </w:rPr>
            </w:pPr>
            <w:r>
              <w:rPr>
                <w:rFonts w:hint="default" w:ascii="Times New Roman" w:hAnsi="Times New Roman" w:eastAsia="宋体" w:cs="Times New Roman"/>
                <w:snapToGrid w:val="0"/>
                <w:kern w:val="0"/>
                <w:highlight w:val="none"/>
              </w:rPr>
              <w:t>L</w:t>
            </w:r>
            <w:r>
              <w:rPr>
                <w:rFonts w:hint="default" w:ascii="Times New Roman" w:hAnsi="Times New Roman" w:eastAsia="宋体" w:cs="Times New Roman"/>
                <w:snapToGrid w:val="0"/>
                <w:kern w:val="0"/>
                <w:highlight w:val="none"/>
                <w:vertAlign w:val="subscript"/>
              </w:rPr>
              <w:t>A</w:t>
            </w:r>
            <w:r>
              <w:rPr>
                <w:rFonts w:hint="default" w:ascii="Times New Roman" w:hAnsi="Times New Roman" w:eastAsia="宋体" w:cs="Times New Roman"/>
                <w:snapToGrid w:val="0"/>
                <w:kern w:val="0"/>
                <w:highlight w:val="none"/>
              </w:rPr>
              <w:t>（r）=L</w:t>
            </w:r>
            <w:r>
              <w:rPr>
                <w:rFonts w:hint="default" w:ascii="Times New Roman" w:hAnsi="Times New Roman" w:eastAsia="宋体" w:cs="Times New Roman"/>
                <w:snapToGrid w:val="0"/>
                <w:kern w:val="0"/>
                <w:highlight w:val="none"/>
                <w:vertAlign w:val="subscript"/>
              </w:rPr>
              <w:t>A</w:t>
            </w:r>
            <w:r>
              <w:rPr>
                <w:rFonts w:hint="default" w:ascii="Times New Roman" w:hAnsi="Times New Roman" w:eastAsia="宋体" w:cs="Times New Roman"/>
                <w:snapToGrid w:val="0"/>
                <w:kern w:val="0"/>
                <w:highlight w:val="none"/>
              </w:rPr>
              <w:t>（r</w:t>
            </w:r>
            <w:r>
              <w:rPr>
                <w:rFonts w:hint="default" w:ascii="Times New Roman" w:hAnsi="Times New Roman" w:eastAsia="宋体" w:cs="Times New Roman"/>
                <w:snapToGrid w:val="0"/>
                <w:kern w:val="0"/>
                <w:highlight w:val="none"/>
                <w:vertAlign w:val="subscript"/>
              </w:rPr>
              <w:t>0</w:t>
            </w:r>
            <w:r>
              <w:rPr>
                <w:rFonts w:hint="default" w:ascii="Times New Roman" w:hAnsi="Times New Roman" w:eastAsia="宋体" w:cs="Times New Roman"/>
                <w:snapToGrid w:val="0"/>
                <w:kern w:val="0"/>
                <w:highlight w:val="none"/>
              </w:rPr>
              <w:t>）-A</w:t>
            </w:r>
          </w:p>
          <w:p w14:paraId="0B3B462F">
            <w:pPr>
              <w:keepNext w:val="0"/>
              <w:keepLines w:val="0"/>
              <w:suppressLineNumbers w:val="0"/>
              <w:adjustRightInd w:val="0"/>
              <w:snapToGrid w:val="0"/>
              <w:spacing w:before="0" w:beforeAutospacing="0" w:after="0" w:afterAutospacing="0" w:line="360" w:lineRule="auto"/>
              <w:ind w:left="0" w:right="0" w:firstLine="480"/>
              <w:jc w:val="center"/>
              <w:rPr>
                <w:rFonts w:hint="default" w:ascii="Times New Roman" w:hAnsi="Times New Roman" w:eastAsia="宋体" w:cs="Times New Roman"/>
                <w:snapToGrid w:val="0"/>
                <w:kern w:val="0"/>
                <w:highlight w:val="none"/>
              </w:rPr>
            </w:pPr>
            <w:r>
              <w:rPr>
                <w:rFonts w:hint="default" w:ascii="Times New Roman" w:hAnsi="Times New Roman" w:eastAsia="宋体" w:cs="Times New Roman"/>
                <w:snapToGrid w:val="0"/>
                <w:kern w:val="0"/>
                <w:highlight w:val="none"/>
              </w:rPr>
              <w:t>A=A</w:t>
            </w:r>
            <w:r>
              <w:rPr>
                <w:rFonts w:hint="default" w:ascii="Times New Roman" w:hAnsi="Times New Roman" w:eastAsia="宋体" w:cs="Times New Roman"/>
                <w:snapToGrid w:val="0"/>
                <w:kern w:val="0"/>
                <w:highlight w:val="none"/>
                <w:vertAlign w:val="subscript"/>
              </w:rPr>
              <w:t>div</w:t>
            </w:r>
            <w:r>
              <w:rPr>
                <w:rFonts w:hint="default" w:ascii="Times New Roman" w:hAnsi="Times New Roman" w:eastAsia="宋体" w:cs="Times New Roman"/>
                <w:snapToGrid w:val="0"/>
                <w:kern w:val="0"/>
                <w:highlight w:val="none"/>
              </w:rPr>
              <w:t>+A</w:t>
            </w:r>
            <w:r>
              <w:rPr>
                <w:rFonts w:hint="default" w:ascii="Times New Roman" w:hAnsi="Times New Roman" w:eastAsia="宋体" w:cs="Times New Roman"/>
                <w:snapToGrid w:val="0"/>
                <w:kern w:val="0"/>
                <w:highlight w:val="none"/>
                <w:vertAlign w:val="subscript"/>
              </w:rPr>
              <w:t>atm</w:t>
            </w:r>
            <w:r>
              <w:rPr>
                <w:rFonts w:hint="default" w:ascii="Times New Roman" w:hAnsi="Times New Roman" w:eastAsia="宋体" w:cs="Times New Roman"/>
                <w:snapToGrid w:val="0"/>
                <w:kern w:val="0"/>
                <w:highlight w:val="none"/>
              </w:rPr>
              <w:t>+A</w:t>
            </w:r>
            <w:r>
              <w:rPr>
                <w:rFonts w:hint="default" w:ascii="Times New Roman" w:hAnsi="Times New Roman" w:eastAsia="宋体" w:cs="Times New Roman"/>
                <w:snapToGrid w:val="0"/>
                <w:kern w:val="0"/>
                <w:highlight w:val="none"/>
                <w:vertAlign w:val="subscript"/>
              </w:rPr>
              <w:t>gr</w:t>
            </w:r>
            <w:r>
              <w:rPr>
                <w:rFonts w:hint="default" w:ascii="Times New Roman" w:hAnsi="Times New Roman" w:eastAsia="宋体" w:cs="Times New Roman"/>
                <w:snapToGrid w:val="0"/>
                <w:kern w:val="0"/>
                <w:highlight w:val="none"/>
              </w:rPr>
              <w:t>+A</w:t>
            </w:r>
            <w:r>
              <w:rPr>
                <w:rFonts w:hint="default" w:ascii="Times New Roman" w:hAnsi="Times New Roman" w:eastAsia="宋体" w:cs="Times New Roman"/>
                <w:snapToGrid w:val="0"/>
                <w:kern w:val="0"/>
                <w:highlight w:val="none"/>
                <w:vertAlign w:val="subscript"/>
              </w:rPr>
              <w:t>bar</w:t>
            </w:r>
            <w:r>
              <w:rPr>
                <w:rFonts w:hint="default" w:ascii="Times New Roman" w:hAnsi="Times New Roman" w:eastAsia="宋体" w:cs="Times New Roman"/>
                <w:snapToGrid w:val="0"/>
                <w:kern w:val="0"/>
                <w:highlight w:val="none"/>
              </w:rPr>
              <w:t>+A</w:t>
            </w:r>
            <w:r>
              <w:rPr>
                <w:rFonts w:hint="default" w:ascii="Times New Roman" w:hAnsi="Times New Roman" w:eastAsia="宋体" w:cs="Times New Roman"/>
                <w:snapToGrid w:val="0"/>
                <w:kern w:val="0"/>
                <w:highlight w:val="none"/>
                <w:vertAlign w:val="subscript"/>
              </w:rPr>
              <w:t>misc</w:t>
            </w:r>
          </w:p>
          <w:p w14:paraId="4B2CE819">
            <w:pPr>
              <w:keepNext w:val="0"/>
              <w:keepLines w:val="0"/>
              <w:suppressLineNumbers w:val="0"/>
              <w:adjustRightInd w:val="0"/>
              <w:snapToGrid w:val="0"/>
              <w:spacing w:before="0" w:beforeAutospacing="0" w:after="0" w:afterAutospacing="0" w:line="360" w:lineRule="auto"/>
              <w:ind w:left="0" w:right="0" w:firstLine="480"/>
              <w:rPr>
                <w:rFonts w:hint="default" w:ascii="Times New Roman" w:hAnsi="Times New Roman" w:eastAsia="宋体" w:cs="Times New Roman"/>
                <w:snapToGrid w:val="0"/>
                <w:kern w:val="0"/>
                <w:highlight w:val="none"/>
              </w:rPr>
            </w:pPr>
            <w:r>
              <w:rPr>
                <w:rFonts w:hint="default" w:ascii="Times New Roman" w:hAnsi="Times New Roman" w:eastAsia="宋体" w:cs="Times New Roman"/>
                <w:snapToGrid w:val="0"/>
                <w:kern w:val="0"/>
                <w:highlight w:val="none"/>
              </w:rPr>
              <w:t>式中：</w:t>
            </w:r>
          </w:p>
          <w:p w14:paraId="324CF2A5">
            <w:pPr>
              <w:keepNext w:val="0"/>
              <w:keepLines w:val="0"/>
              <w:suppressLineNumbers w:val="0"/>
              <w:adjustRightInd w:val="0"/>
              <w:snapToGrid w:val="0"/>
              <w:spacing w:before="0" w:beforeAutospacing="0" w:after="0" w:afterAutospacing="0" w:line="360" w:lineRule="auto"/>
              <w:ind w:left="0" w:right="0" w:firstLine="480"/>
              <w:rPr>
                <w:rFonts w:hint="default" w:ascii="Times New Roman" w:hAnsi="Times New Roman" w:eastAsia="宋体" w:cs="Times New Roman"/>
                <w:snapToGrid w:val="0"/>
                <w:kern w:val="0"/>
                <w:highlight w:val="none"/>
              </w:rPr>
            </w:pPr>
            <w:r>
              <w:rPr>
                <w:rFonts w:hint="default" w:ascii="Times New Roman" w:hAnsi="Times New Roman" w:eastAsia="宋体" w:cs="Times New Roman"/>
                <w:snapToGrid w:val="0"/>
                <w:kern w:val="0"/>
                <w:highlight w:val="none"/>
              </w:rPr>
              <w:t>L</w:t>
            </w:r>
            <w:r>
              <w:rPr>
                <w:rFonts w:hint="default" w:ascii="Times New Roman" w:hAnsi="Times New Roman" w:eastAsia="宋体" w:cs="Times New Roman"/>
                <w:snapToGrid w:val="0"/>
                <w:kern w:val="0"/>
                <w:highlight w:val="none"/>
                <w:vertAlign w:val="subscript"/>
              </w:rPr>
              <w:t>W</w:t>
            </w:r>
            <w:r>
              <w:rPr>
                <w:rFonts w:hint="default" w:ascii="Times New Roman" w:hAnsi="Times New Roman" w:eastAsia="宋体" w:cs="Times New Roman"/>
                <w:snapToGrid w:val="0"/>
                <w:kern w:val="0"/>
                <w:highlight w:val="none"/>
              </w:rPr>
              <w:t>——倍频带声功率级，dB</w:t>
            </w:r>
          </w:p>
          <w:p w14:paraId="28A33D21">
            <w:pPr>
              <w:keepNext w:val="0"/>
              <w:keepLines w:val="0"/>
              <w:suppressLineNumbers w:val="0"/>
              <w:adjustRightInd w:val="0"/>
              <w:snapToGrid w:val="0"/>
              <w:spacing w:before="0" w:beforeAutospacing="0" w:after="0" w:afterAutospacing="0" w:line="360" w:lineRule="auto"/>
              <w:ind w:left="0" w:right="0" w:firstLine="480"/>
              <w:rPr>
                <w:rFonts w:hint="default" w:ascii="Times New Roman" w:hAnsi="Times New Roman" w:eastAsia="宋体" w:cs="Times New Roman"/>
                <w:snapToGrid w:val="0"/>
                <w:kern w:val="0"/>
                <w:highlight w:val="none"/>
              </w:rPr>
            </w:pPr>
            <w:r>
              <w:rPr>
                <w:rFonts w:hint="default" w:ascii="Times New Roman" w:hAnsi="Times New Roman" w:eastAsia="宋体" w:cs="Times New Roman"/>
                <w:snapToGrid w:val="0"/>
                <w:kern w:val="0"/>
                <w:highlight w:val="none"/>
              </w:rPr>
              <w:t>A——倍频带衰减，dB（一般选中心频率为500H</w:t>
            </w:r>
            <w:r>
              <w:rPr>
                <w:rFonts w:hint="eastAsia" w:ascii="Times New Roman" w:hAnsi="Times New Roman" w:eastAsia="宋体" w:cs="Times New Roman"/>
                <w:snapToGrid w:val="0"/>
                <w:kern w:val="0"/>
                <w:highlight w:val="none"/>
              </w:rPr>
              <w:t>z</w:t>
            </w:r>
            <w:r>
              <w:rPr>
                <w:rFonts w:hint="default" w:ascii="Times New Roman" w:hAnsi="Times New Roman" w:eastAsia="宋体" w:cs="Times New Roman"/>
                <w:snapToGrid w:val="0"/>
                <w:kern w:val="0"/>
                <w:highlight w:val="none"/>
              </w:rPr>
              <w:t>的倍频带做估算）；</w:t>
            </w:r>
          </w:p>
          <w:p w14:paraId="19D96AF2">
            <w:pPr>
              <w:keepNext w:val="0"/>
              <w:keepLines w:val="0"/>
              <w:suppressLineNumbers w:val="0"/>
              <w:adjustRightInd w:val="0"/>
              <w:snapToGrid w:val="0"/>
              <w:spacing w:before="0" w:beforeAutospacing="0" w:after="0" w:afterAutospacing="0" w:line="360" w:lineRule="auto"/>
              <w:ind w:left="0" w:right="0" w:firstLine="480"/>
              <w:rPr>
                <w:rFonts w:hint="default" w:ascii="Times New Roman" w:hAnsi="Times New Roman" w:eastAsia="宋体" w:cs="Times New Roman"/>
                <w:snapToGrid w:val="0"/>
                <w:kern w:val="0"/>
                <w:highlight w:val="none"/>
              </w:rPr>
            </w:pPr>
            <w:r>
              <w:rPr>
                <w:rFonts w:hint="default" w:ascii="Times New Roman" w:hAnsi="Times New Roman" w:eastAsia="宋体" w:cs="Times New Roman"/>
                <w:snapToGrid w:val="0"/>
                <w:kern w:val="0"/>
                <w:highlight w:val="none"/>
              </w:rPr>
              <w:t>A</w:t>
            </w:r>
            <w:r>
              <w:rPr>
                <w:rFonts w:hint="default" w:ascii="Times New Roman" w:hAnsi="Times New Roman" w:eastAsia="宋体" w:cs="Times New Roman"/>
                <w:snapToGrid w:val="0"/>
                <w:kern w:val="0"/>
                <w:highlight w:val="none"/>
                <w:vertAlign w:val="subscript"/>
              </w:rPr>
              <w:t>div</w:t>
            </w:r>
            <w:r>
              <w:rPr>
                <w:rFonts w:hint="default" w:ascii="Times New Roman" w:hAnsi="Times New Roman" w:eastAsia="宋体" w:cs="Times New Roman"/>
                <w:snapToGrid w:val="0"/>
                <w:kern w:val="0"/>
                <w:highlight w:val="none"/>
              </w:rPr>
              <w:t>——几何发散引起的倍频带衰减，dB</w:t>
            </w:r>
          </w:p>
          <w:p w14:paraId="712BA2BC">
            <w:pPr>
              <w:keepNext w:val="0"/>
              <w:keepLines w:val="0"/>
              <w:suppressLineNumbers w:val="0"/>
              <w:adjustRightInd w:val="0"/>
              <w:snapToGrid w:val="0"/>
              <w:spacing w:before="0" w:beforeAutospacing="0" w:after="0" w:afterAutospacing="0" w:line="360" w:lineRule="auto"/>
              <w:ind w:left="0" w:right="0" w:firstLine="480"/>
              <w:rPr>
                <w:rFonts w:hint="default" w:ascii="Times New Roman" w:hAnsi="Times New Roman" w:eastAsia="宋体" w:cs="Times New Roman"/>
                <w:snapToGrid w:val="0"/>
                <w:kern w:val="0"/>
                <w:highlight w:val="none"/>
              </w:rPr>
            </w:pPr>
            <w:r>
              <w:rPr>
                <w:rFonts w:hint="default" w:ascii="Times New Roman" w:hAnsi="Times New Roman" w:eastAsia="宋体" w:cs="Times New Roman"/>
                <w:snapToGrid w:val="0"/>
                <w:kern w:val="0"/>
                <w:highlight w:val="none"/>
              </w:rPr>
              <w:t>A</w:t>
            </w:r>
            <w:r>
              <w:rPr>
                <w:rFonts w:hint="default" w:ascii="Times New Roman" w:hAnsi="Times New Roman" w:eastAsia="宋体" w:cs="Times New Roman"/>
                <w:snapToGrid w:val="0"/>
                <w:kern w:val="0"/>
                <w:highlight w:val="none"/>
                <w:vertAlign w:val="subscript"/>
              </w:rPr>
              <w:t>atm</w:t>
            </w:r>
            <w:r>
              <w:rPr>
                <w:rFonts w:hint="default" w:ascii="Times New Roman" w:hAnsi="Times New Roman" w:eastAsia="宋体" w:cs="Times New Roman"/>
                <w:snapToGrid w:val="0"/>
                <w:kern w:val="0"/>
                <w:highlight w:val="none"/>
              </w:rPr>
              <w:t>——大气吸收引起的倍频带衰减，dB</w:t>
            </w:r>
          </w:p>
          <w:p w14:paraId="1A02E775">
            <w:pPr>
              <w:keepNext w:val="0"/>
              <w:keepLines w:val="0"/>
              <w:suppressLineNumbers w:val="0"/>
              <w:adjustRightInd w:val="0"/>
              <w:snapToGrid w:val="0"/>
              <w:spacing w:before="0" w:beforeAutospacing="0" w:after="0" w:afterAutospacing="0" w:line="360" w:lineRule="auto"/>
              <w:ind w:left="0" w:right="0" w:firstLine="480"/>
              <w:rPr>
                <w:rFonts w:hint="default" w:ascii="Times New Roman" w:hAnsi="Times New Roman" w:eastAsia="宋体" w:cs="Times New Roman"/>
                <w:snapToGrid w:val="0"/>
                <w:kern w:val="0"/>
                <w:highlight w:val="none"/>
              </w:rPr>
            </w:pPr>
            <w:r>
              <w:rPr>
                <w:rFonts w:hint="default" w:ascii="Times New Roman" w:hAnsi="Times New Roman" w:eastAsia="宋体" w:cs="Times New Roman"/>
                <w:snapToGrid w:val="0"/>
                <w:kern w:val="0"/>
                <w:highlight w:val="none"/>
              </w:rPr>
              <w:t>A</w:t>
            </w:r>
            <w:r>
              <w:rPr>
                <w:rFonts w:hint="default" w:ascii="Times New Roman" w:hAnsi="Times New Roman" w:eastAsia="宋体" w:cs="Times New Roman"/>
                <w:snapToGrid w:val="0"/>
                <w:kern w:val="0"/>
                <w:highlight w:val="none"/>
                <w:vertAlign w:val="subscript"/>
              </w:rPr>
              <w:t>gr</w:t>
            </w:r>
            <w:r>
              <w:rPr>
                <w:rFonts w:hint="default" w:ascii="Times New Roman" w:hAnsi="Times New Roman" w:eastAsia="宋体" w:cs="Times New Roman"/>
                <w:snapToGrid w:val="0"/>
                <w:kern w:val="0"/>
                <w:highlight w:val="none"/>
              </w:rPr>
              <w:t>——地面效应引起的倍频带衰减，dB</w:t>
            </w:r>
          </w:p>
          <w:p w14:paraId="42061819">
            <w:pPr>
              <w:keepNext w:val="0"/>
              <w:keepLines w:val="0"/>
              <w:suppressLineNumbers w:val="0"/>
              <w:adjustRightInd w:val="0"/>
              <w:snapToGrid w:val="0"/>
              <w:spacing w:before="0" w:beforeAutospacing="0" w:after="0" w:afterAutospacing="0" w:line="360" w:lineRule="auto"/>
              <w:ind w:left="0" w:right="0" w:firstLine="480"/>
              <w:rPr>
                <w:rFonts w:hint="default" w:ascii="Times New Roman" w:hAnsi="Times New Roman" w:eastAsia="宋体" w:cs="Times New Roman"/>
                <w:snapToGrid w:val="0"/>
                <w:kern w:val="0"/>
                <w:highlight w:val="none"/>
              </w:rPr>
            </w:pPr>
            <w:r>
              <w:rPr>
                <w:rFonts w:hint="default" w:ascii="Times New Roman" w:hAnsi="Times New Roman" w:eastAsia="宋体" w:cs="Times New Roman"/>
                <w:snapToGrid w:val="0"/>
                <w:kern w:val="0"/>
                <w:highlight w:val="none"/>
              </w:rPr>
              <w:t>A</w:t>
            </w:r>
            <w:r>
              <w:rPr>
                <w:rFonts w:hint="default" w:ascii="Times New Roman" w:hAnsi="Times New Roman" w:eastAsia="宋体" w:cs="Times New Roman"/>
                <w:snapToGrid w:val="0"/>
                <w:kern w:val="0"/>
                <w:highlight w:val="none"/>
                <w:vertAlign w:val="subscript"/>
              </w:rPr>
              <w:t>bar</w:t>
            </w:r>
            <w:r>
              <w:rPr>
                <w:rFonts w:hint="default" w:ascii="Times New Roman" w:hAnsi="Times New Roman" w:eastAsia="宋体" w:cs="Times New Roman"/>
                <w:snapToGrid w:val="0"/>
                <w:kern w:val="0"/>
                <w:highlight w:val="none"/>
              </w:rPr>
              <w:t>——声屏障引起的倍频带衰减，dB</w:t>
            </w:r>
          </w:p>
          <w:p w14:paraId="51879D7B">
            <w:pPr>
              <w:keepNext w:val="0"/>
              <w:keepLines w:val="0"/>
              <w:suppressLineNumbers w:val="0"/>
              <w:adjustRightInd w:val="0"/>
              <w:snapToGrid w:val="0"/>
              <w:spacing w:before="0" w:beforeAutospacing="0" w:after="0" w:afterAutospacing="0" w:line="360" w:lineRule="auto"/>
              <w:ind w:left="0" w:right="0" w:firstLine="480"/>
              <w:rPr>
                <w:rFonts w:hint="default" w:ascii="Times New Roman" w:hAnsi="Times New Roman" w:eastAsia="宋体" w:cs="Times New Roman"/>
                <w:snapToGrid w:val="0"/>
                <w:kern w:val="0"/>
                <w:highlight w:val="none"/>
                <w:vertAlign w:val="subscript"/>
              </w:rPr>
            </w:pPr>
            <w:r>
              <w:rPr>
                <w:rFonts w:hint="default" w:ascii="Times New Roman" w:hAnsi="Times New Roman" w:eastAsia="宋体" w:cs="Times New Roman"/>
                <w:snapToGrid w:val="0"/>
                <w:kern w:val="0"/>
                <w:highlight w:val="none"/>
              </w:rPr>
              <w:t>A</w:t>
            </w:r>
            <w:r>
              <w:rPr>
                <w:rFonts w:hint="default" w:ascii="Times New Roman" w:hAnsi="Times New Roman" w:eastAsia="宋体" w:cs="Times New Roman"/>
                <w:snapToGrid w:val="0"/>
                <w:kern w:val="0"/>
                <w:highlight w:val="none"/>
                <w:vertAlign w:val="subscript"/>
              </w:rPr>
              <w:t>misc</w:t>
            </w:r>
            <w:r>
              <w:rPr>
                <w:rFonts w:hint="default" w:ascii="Times New Roman" w:hAnsi="Times New Roman" w:eastAsia="宋体" w:cs="Times New Roman"/>
                <w:snapToGrid w:val="0"/>
                <w:kern w:val="0"/>
                <w:highlight w:val="none"/>
              </w:rPr>
              <w:t>——其他多方面效应引起的倍频带衰减，dB</w:t>
            </w:r>
          </w:p>
          <w:p w14:paraId="2FB651CE">
            <w:pPr>
              <w:keepNext w:val="0"/>
              <w:keepLines w:val="0"/>
              <w:suppressLineNumbers w:val="0"/>
              <w:adjustRightInd w:val="0"/>
              <w:snapToGrid w:val="0"/>
              <w:spacing w:before="0" w:beforeAutospacing="0" w:after="0" w:afterAutospacing="0" w:line="360" w:lineRule="auto"/>
              <w:ind w:left="0" w:right="0" w:firstLine="480"/>
              <w:rPr>
                <w:rFonts w:hint="default" w:ascii="Times New Roman" w:hAnsi="Times New Roman" w:eastAsia="宋体" w:cs="Times New Roman"/>
                <w:snapToGrid w:val="0"/>
                <w:kern w:val="0"/>
                <w:highlight w:val="none"/>
              </w:rPr>
            </w:pPr>
            <w:r>
              <w:rPr>
                <w:rFonts w:hint="default" w:ascii="Times New Roman" w:hAnsi="Times New Roman" w:eastAsia="宋体" w:cs="Times New Roman"/>
                <w:snapToGrid w:val="0"/>
                <w:kern w:val="0"/>
                <w:highlight w:val="none"/>
              </w:rPr>
              <w:t>衰减项计算按《环境影响评价技术导则 声环境》（HJ2.4-20</w:t>
            </w:r>
            <w:r>
              <w:rPr>
                <w:rFonts w:hint="eastAsia" w:ascii="Times New Roman" w:hAnsi="Times New Roman" w:eastAsia="宋体" w:cs="Times New Roman"/>
                <w:snapToGrid w:val="0"/>
                <w:kern w:val="0"/>
                <w:highlight w:val="none"/>
              </w:rPr>
              <w:t>21</w:t>
            </w:r>
            <w:r>
              <w:rPr>
                <w:rFonts w:hint="default" w:ascii="Times New Roman" w:hAnsi="Times New Roman" w:eastAsia="宋体" w:cs="Times New Roman"/>
                <w:snapToGrid w:val="0"/>
                <w:kern w:val="0"/>
                <w:highlight w:val="none"/>
              </w:rPr>
              <w:t>）中8.3.2-8.3.7相关模式计算。</w:t>
            </w:r>
          </w:p>
          <w:p w14:paraId="620D0717">
            <w:pPr>
              <w:keepNext w:val="0"/>
              <w:keepLines w:val="0"/>
              <w:suppressLineNumbers w:val="0"/>
              <w:adjustRightInd w:val="0"/>
              <w:snapToGrid w:val="0"/>
              <w:spacing w:before="0" w:beforeAutospacing="0" w:after="0" w:afterAutospacing="0" w:line="360" w:lineRule="auto"/>
              <w:ind w:left="0" w:right="0" w:firstLine="480"/>
              <w:rPr>
                <w:rFonts w:hint="default" w:ascii="Times New Roman" w:hAnsi="Times New Roman" w:eastAsia="宋体" w:cs="Times New Roman"/>
                <w:snapToGrid w:val="0"/>
                <w:kern w:val="0"/>
                <w:highlight w:val="none"/>
              </w:rPr>
            </w:pPr>
            <w:r>
              <w:rPr>
                <w:rFonts w:hint="eastAsia" w:ascii="Times New Roman" w:hAnsi="Times New Roman" w:eastAsia="宋体" w:cs="Times New Roman"/>
                <w:snapToGrid w:val="0"/>
                <w:kern w:val="0"/>
                <w:highlight w:val="none"/>
              </w:rPr>
              <w:t>（3）</w:t>
            </w:r>
            <w:r>
              <w:rPr>
                <w:rFonts w:hint="default" w:ascii="Times New Roman" w:hAnsi="Times New Roman" w:eastAsia="宋体" w:cs="Times New Roman"/>
                <w:snapToGrid w:val="0"/>
                <w:kern w:val="0"/>
                <w:highlight w:val="none"/>
              </w:rPr>
              <w:t>噪声贡献值计算</w:t>
            </w:r>
          </w:p>
          <w:p w14:paraId="36C4AE0D">
            <w:pPr>
              <w:keepNext w:val="0"/>
              <w:keepLines w:val="0"/>
              <w:suppressLineNumbers w:val="0"/>
              <w:adjustRightInd w:val="0"/>
              <w:snapToGrid w:val="0"/>
              <w:spacing w:before="0" w:beforeAutospacing="0" w:after="0" w:afterAutospacing="0" w:line="360" w:lineRule="auto"/>
              <w:ind w:left="0" w:right="0" w:firstLine="480"/>
              <w:rPr>
                <w:rFonts w:hint="default" w:ascii="Times New Roman" w:hAnsi="Times New Roman" w:eastAsia="宋体" w:cs="Times New Roman"/>
                <w:snapToGrid w:val="0"/>
                <w:kern w:val="0"/>
                <w:highlight w:val="none"/>
              </w:rPr>
            </w:pPr>
            <w:r>
              <w:rPr>
                <w:rFonts w:hint="default" w:ascii="Times New Roman" w:hAnsi="Times New Roman" w:eastAsia="宋体" w:cs="Times New Roman"/>
                <w:snapToGrid w:val="0"/>
                <w:kern w:val="0"/>
                <w:highlight w:val="none"/>
              </w:rPr>
              <w:t>设第i个室外声源在预测点产生的A声级为L</w:t>
            </w:r>
            <w:r>
              <w:rPr>
                <w:rFonts w:hint="default" w:ascii="Times New Roman" w:hAnsi="Times New Roman" w:eastAsia="宋体" w:cs="Times New Roman"/>
                <w:snapToGrid w:val="0"/>
                <w:kern w:val="0"/>
                <w:highlight w:val="none"/>
                <w:vertAlign w:val="subscript"/>
              </w:rPr>
              <w:t>Ai</w:t>
            </w:r>
            <w:r>
              <w:rPr>
                <w:rFonts w:hint="default" w:ascii="Times New Roman" w:hAnsi="Times New Roman" w:eastAsia="宋体" w:cs="Times New Roman"/>
                <w:snapToGrid w:val="0"/>
                <w:kern w:val="0"/>
                <w:highlight w:val="none"/>
              </w:rPr>
              <w:t>，在T时间内该声源工作时间</w:t>
            </w:r>
            <w:r>
              <w:rPr>
                <w:rFonts w:hint="eastAsia" w:cs="Times New Roman"/>
                <w:snapToGrid w:val="0"/>
                <w:kern w:val="0"/>
                <w:highlight w:val="none"/>
                <w:lang w:val="en-US" w:eastAsia="zh-CN"/>
              </w:rPr>
              <w:t>为</w:t>
            </w:r>
            <w:r>
              <w:rPr>
                <w:rFonts w:hint="default" w:ascii="Times New Roman" w:hAnsi="Times New Roman" w:eastAsia="宋体" w:cs="Times New Roman"/>
                <w:snapToGrid w:val="0"/>
                <w:kern w:val="0"/>
                <w:highlight w:val="none"/>
              </w:rPr>
              <w:t>ti；第j个等效室外声源在预测点产生的A声级为L</w:t>
            </w:r>
            <w:r>
              <w:rPr>
                <w:rFonts w:hint="default" w:ascii="Times New Roman" w:hAnsi="Times New Roman" w:eastAsia="宋体" w:cs="Times New Roman"/>
                <w:snapToGrid w:val="0"/>
                <w:kern w:val="0"/>
                <w:highlight w:val="none"/>
                <w:vertAlign w:val="subscript"/>
              </w:rPr>
              <w:t>Aj</w:t>
            </w:r>
            <w:r>
              <w:rPr>
                <w:rFonts w:hint="default" w:ascii="Times New Roman" w:hAnsi="Times New Roman" w:eastAsia="宋体" w:cs="Times New Roman"/>
                <w:snapToGrid w:val="0"/>
                <w:kern w:val="0"/>
                <w:highlight w:val="none"/>
              </w:rPr>
              <w:t>，在T时间内该声源工作时间为tj，则拟建工程声源对预测点产生的贡献值（L</w:t>
            </w:r>
            <w:r>
              <w:rPr>
                <w:rFonts w:hint="default" w:ascii="Times New Roman" w:hAnsi="Times New Roman" w:eastAsia="宋体" w:cs="Times New Roman"/>
                <w:snapToGrid w:val="0"/>
                <w:kern w:val="0"/>
                <w:highlight w:val="none"/>
                <w:vertAlign w:val="subscript"/>
              </w:rPr>
              <w:t>eqg</w:t>
            </w:r>
            <w:r>
              <w:rPr>
                <w:rFonts w:hint="default" w:ascii="Times New Roman" w:hAnsi="Times New Roman" w:eastAsia="宋体" w:cs="Times New Roman"/>
                <w:snapToGrid w:val="0"/>
                <w:kern w:val="0"/>
                <w:highlight w:val="none"/>
              </w:rPr>
              <w:t>）为：</w:t>
            </w:r>
          </w:p>
          <w:p w14:paraId="7D68D7E1">
            <w:pPr>
              <w:keepNext w:val="0"/>
              <w:keepLines w:val="0"/>
              <w:suppressLineNumbers w:val="0"/>
              <w:adjustRightInd w:val="0"/>
              <w:snapToGrid w:val="0"/>
              <w:spacing w:before="0" w:beforeAutospacing="0" w:after="0" w:afterAutospacing="0" w:line="360" w:lineRule="auto"/>
              <w:ind w:left="0" w:right="0" w:firstLine="480"/>
              <w:jc w:val="center"/>
              <w:rPr>
                <w:rFonts w:hint="default" w:ascii="Times New Roman" w:hAnsi="Times New Roman" w:eastAsia="宋体" w:cs="Times New Roman"/>
                <w:snapToGrid w:val="0"/>
                <w:color w:val="FF0000"/>
                <w:kern w:val="0"/>
                <w:highlight w:val="none"/>
              </w:rPr>
            </w:pPr>
            <w:r>
              <w:rPr>
                <w:rFonts w:hint="default" w:ascii="Times New Roman" w:hAnsi="Times New Roman" w:eastAsia="宋体" w:cs="Times New Roman"/>
                <w:color w:val="FF0000"/>
                <w:kern w:val="0"/>
                <w:highlight w:val="none"/>
              </w:rPr>
              <w:drawing>
                <wp:inline distT="0" distB="0" distL="114300" distR="114300">
                  <wp:extent cx="2384425" cy="454025"/>
                  <wp:effectExtent l="0" t="0" r="15875" b="3175"/>
                  <wp:docPr id="29" name="图片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9" name="图片 13"/>
                          <pic:cNvPicPr>
                            <a:picLocks noChangeAspect="1"/>
                          </pic:cNvPicPr>
                        </pic:nvPicPr>
                        <pic:blipFill>
                          <a:blip r:embed="rId42" cstate="print"/>
                          <a:stretch>
                            <a:fillRect/>
                          </a:stretch>
                        </pic:blipFill>
                        <pic:spPr>
                          <a:xfrm>
                            <a:off x="0" y="0"/>
                            <a:ext cx="2384425" cy="454025"/>
                          </a:xfrm>
                          <a:prstGeom prst="rect">
                            <a:avLst/>
                          </a:prstGeom>
                          <a:noFill/>
                          <a:ln>
                            <a:noFill/>
                          </a:ln>
                        </pic:spPr>
                      </pic:pic>
                    </a:graphicData>
                  </a:graphic>
                </wp:inline>
              </w:drawing>
            </w:r>
            <w:r>
              <w:rPr>
                <w:rFonts w:hint="default" w:ascii="Times New Roman" w:hAnsi="Times New Roman" w:eastAsia="宋体" w:cs="Times New Roman"/>
                <w:kern w:val="0"/>
                <w:highlight w:val="none"/>
              </w:rPr>
              <w:t xml:space="preserve">         （</w:t>
            </w:r>
            <w:r>
              <w:rPr>
                <w:rFonts w:hint="eastAsia" w:ascii="Times New Roman" w:hAnsi="Times New Roman" w:eastAsia="宋体" w:cs="Times New Roman"/>
                <w:kern w:val="0"/>
                <w:highlight w:val="none"/>
              </w:rPr>
              <w:t>4</w:t>
            </w:r>
            <w:r>
              <w:rPr>
                <w:rFonts w:hint="default" w:ascii="Times New Roman" w:hAnsi="Times New Roman" w:eastAsia="宋体" w:cs="Times New Roman"/>
                <w:kern w:val="0"/>
                <w:highlight w:val="none"/>
              </w:rPr>
              <w:t>-6）</w:t>
            </w:r>
          </w:p>
          <w:p w14:paraId="2079F4FA">
            <w:pPr>
              <w:keepNext w:val="0"/>
              <w:keepLines w:val="0"/>
              <w:suppressLineNumbers w:val="0"/>
              <w:adjustRightInd w:val="0"/>
              <w:snapToGrid w:val="0"/>
              <w:spacing w:before="0" w:beforeAutospacing="0" w:after="0" w:afterAutospacing="0" w:line="360" w:lineRule="auto"/>
              <w:ind w:left="0" w:right="0" w:firstLine="480"/>
              <w:rPr>
                <w:rFonts w:hint="default" w:ascii="Times New Roman" w:hAnsi="Times New Roman" w:eastAsia="宋体" w:cs="Times New Roman"/>
                <w:snapToGrid w:val="0"/>
                <w:kern w:val="0"/>
                <w:highlight w:val="none"/>
              </w:rPr>
            </w:pPr>
            <w:r>
              <w:rPr>
                <w:rFonts w:hint="default" w:ascii="Times New Roman" w:hAnsi="Times New Roman" w:eastAsia="宋体" w:cs="Times New Roman"/>
                <w:snapToGrid w:val="0"/>
                <w:kern w:val="0"/>
                <w:highlight w:val="none"/>
              </w:rPr>
              <w:t>式中：</w:t>
            </w:r>
          </w:p>
          <w:p w14:paraId="1D4D612A">
            <w:pPr>
              <w:keepNext w:val="0"/>
              <w:keepLines w:val="0"/>
              <w:suppressLineNumbers w:val="0"/>
              <w:adjustRightInd w:val="0"/>
              <w:snapToGrid w:val="0"/>
              <w:spacing w:before="0" w:beforeAutospacing="0" w:after="0" w:afterAutospacing="0" w:line="360" w:lineRule="auto"/>
              <w:ind w:left="0" w:right="0" w:firstLine="480"/>
              <w:rPr>
                <w:rFonts w:hint="default" w:ascii="Times New Roman" w:hAnsi="Times New Roman" w:eastAsia="宋体" w:cs="Times New Roman"/>
                <w:snapToGrid w:val="0"/>
                <w:kern w:val="0"/>
                <w:highlight w:val="none"/>
              </w:rPr>
            </w:pPr>
            <w:r>
              <w:rPr>
                <w:rFonts w:hint="default" w:ascii="Times New Roman" w:hAnsi="Times New Roman" w:eastAsia="宋体" w:cs="Times New Roman"/>
                <w:snapToGrid w:val="0"/>
                <w:kern w:val="0"/>
                <w:highlight w:val="none"/>
              </w:rPr>
              <w:t>T——用于计算等效声级的时间，S</w:t>
            </w:r>
          </w:p>
          <w:p w14:paraId="078F49BF">
            <w:pPr>
              <w:keepNext w:val="0"/>
              <w:keepLines w:val="0"/>
              <w:suppressLineNumbers w:val="0"/>
              <w:adjustRightInd w:val="0"/>
              <w:snapToGrid w:val="0"/>
              <w:spacing w:before="0" w:beforeAutospacing="0" w:after="0" w:afterAutospacing="0" w:line="360" w:lineRule="auto"/>
              <w:ind w:left="0" w:right="0" w:firstLine="480"/>
              <w:rPr>
                <w:rFonts w:hint="default" w:ascii="Times New Roman" w:hAnsi="Times New Roman" w:eastAsia="宋体" w:cs="Times New Roman"/>
                <w:snapToGrid w:val="0"/>
                <w:kern w:val="0"/>
                <w:highlight w:val="none"/>
              </w:rPr>
            </w:pPr>
            <w:r>
              <w:rPr>
                <w:rFonts w:hint="default" w:ascii="Times New Roman" w:hAnsi="Times New Roman" w:eastAsia="宋体" w:cs="Times New Roman"/>
                <w:snapToGrid w:val="0"/>
                <w:kern w:val="0"/>
                <w:highlight w:val="none"/>
              </w:rPr>
              <w:t>N——为室外声源个数；</w:t>
            </w:r>
          </w:p>
          <w:p w14:paraId="40D305D8">
            <w:pPr>
              <w:keepNext w:val="0"/>
              <w:keepLines w:val="0"/>
              <w:suppressLineNumbers w:val="0"/>
              <w:adjustRightInd w:val="0"/>
              <w:snapToGrid w:val="0"/>
              <w:spacing w:before="0" w:beforeAutospacing="0" w:after="0" w:afterAutospacing="0" w:line="360" w:lineRule="auto"/>
              <w:ind w:left="0" w:right="0" w:firstLine="480"/>
              <w:rPr>
                <w:rFonts w:hint="default" w:ascii="Times New Roman" w:hAnsi="Times New Roman" w:eastAsia="宋体" w:cs="Times New Roman"/>
                <w:snapToGrid w:val="0"/>
                <w:kern w:val="0"/>
                <w:highlight w:val="none"/>
              </w:rPr>
            </w:pPr>
            <w:r>
              <w:rPr>
                <w:rFonts w:hint="default" w:ascii="Times New Roman" w:hAnsi="Times New Roman" w:eastAsia="宋体" w:cs="Times New Roman"/>
                <w:snapToGrid w:val="0"/>
                <w:kern w:val="0"/>
                <w:highlight w:val="none"/>
              </w:rPr>
              <w:t>M——为等效室外声源个数</w:t>
            </w:r>
            <w:r>
              <w:rPr>
                <w:rFonts w:hint="eastAsia" w:ascii="Times New Roman" w:hAnsi="Times New Roman" w:eastAsia="宋体" w:cs="Times New Roman"/>
                <w:snapToGrid w:val="0"/>
                <w:kern w:val="0"/>
                <w:highlight w:val="none"/>
              </w:rPr>
              <w:t>。</w:t>
            </w:r>
          </w:p>
          <w:p w14:paraId="5C9194E5">
            <w:pPr>
              <w:keepNext w:val="0"/>
              <w:keepLines w:val="0"/>
              <w:suppressLineNumbers w:val="0"/>
              <w:adjustRightInd w:val="0"/>
              <w:snapToGrid w:val="0"/>
              <w:spacing w:before="0" w:beforeAutospacing="0" w:after="0" w:afterAutospacing="0" w:line="360" w:lineRule="auto"/>
              <w:ind w:left="0" w:right="0" w:firstLine="480" w:firstLineChars="200"/>
              <w:rPr>
                <w:rFonts w:hint="default" w:ascii="Times New Roman" w:hAnsi="Times New Roman" w:eastAsia="宋体" w:cs="Times New Roman"/>
                <w:bCs/>
                <w:highlight w:val="none"/>
              </w:rPr>
            </w:pPr>
            <w:r>
              <w:rPr>
                <w:rFonts w:hint="eastAsia" w:ascii="Times New Roman" w:hAnsi="Times New Roman" w:eastAsia="宋体" w:cs="Times New Roman"/>
                <w:bCs/>
                <w:highlight w:val="none"/>
              </w:rPr>
              <w:t>本项目应加强以下几方面工作，以减少对周围声环境的污染。</w:t>
            </w:r>
          </w:p>
          <w:p w14:paraId="692DD2D0">
            <w:pPr>
              <w:keepNext w:val="0"/>
              <w:keepLines w:val="0"/>
              <w:suppressLineNumbers w:val="0"/>
              <w:adjustRightInd w:val="0"/>
              <w:snapToGrid w:val="0"/>
              <w:spacing w:before="0" w:beforeAutospacing="0" w:after="0" w:afterAutospacing="0" w:line="360" w:lineRule="auto"/>
              <w:ind w:left="0" w:right="0" w:firstLine="480" w:firstLineChars="200"/>
              <w:rPr>
                <w:rFonts w:hint="default" w:ascii="Times New Roman" w:hAnsi="Times New Roman" w:eastAsia="宋体" w:cs="Times New Roman"/>
                <w:bCs/>
                <w:highlight w:val="none"/>
              </w:rPr>
            </w:pPr>
            <w:r>
              <w:rPr>
                <w:rFonts w:hint="eastAsia" w:ascii="Times New Roman" w:hAnsi="Times New Roman" w:eastAsia="宋体" w:cs="Times New Roman"/>
                <w:bCs/>
                <w:highlight w:val="none"/>
              </w:rPr>
              <w:t>（1）在项目规划设计过程中，应科学合理进行总图布局，高噪声源动力设备应尽可能远离边界与声环境敏感建筑集中布置与室内设置，将噪声大的设备设置在车间中央，以减轻噪声对厂界的影响，并优先选用低噪声型动力设备；同时提高厂房墙体面密度，增大整体隔声量。</w:t>
            </w:r>
          </w:p>
          <w:p w14:paraId="2814E242">
            <w:pPr>
              <w:keepNext w:val="0"/>
              <w:keepLines w:val="0"/>
              <w:suppressLineNumbers w:val="0"/>
              <w:adjustRightInd w:val="0"/>
              <w:snapToGrid w:val="0"/>
              <w:spacing w:before="0" w:beforeAutospacing="0" w:after="0" w:afterAutospacing="0" w:line="360" w:lineRule="auto"/>
              <w:ind w:left="0" w:right="0" w:firstLine="480" w:firstLineChars="200"/>
              <w:rPr>
                <w:rFonts w:hint="default" w:ascii="Times New Roman" w:hAnsi="Times New Roman" w:eastAsia="宋体" w:cs="Times New Roman"/>
                <w:bCs/>
                <w:highlight w:val="none"/>
              </w:rPr>
            </w:pPr>
            <w:r>
              <w:rPr>
                <w:rFonts w:hint="eastAsia" w:ascii="Times New Roman" w:hAnsi="Times New Roman" w:eastAsia="宋体" w:cs="Times New Roman"/>
                <w:bCs/>
                <w:highlight w:val="none"/>
              </w:rPr>
              <w:t>（2）对高噪声源动力设备，在采取必要的减振、隔声、消声等措施的基础上，加强日常检查与维护保养工作，确保设备在正常情况下运行，杜绝因不正常运转而产生高噪声现象。</w:t>
            </w:r>
          </w:p>
          <w:p w14:paraId="71571382">
            <w:pPr>
              <w:keepNext w:val="0"/>
              <w:keepLines w:val="0"/>
              <w:suppressLineNumbers w:val="0"/>
              <w:adjustRightInd w:val="0"/>
              <w:snapToGrid w:val="0"/>
              <w:spacing w:before="0" w:beforeAutospacing="0" w:after="0" w:afterAutospacing="0" w:line="360" w:lineRule="auto"/>
              <w:ind w:left="0" w:right="0" w:firstLine="480" w:firstLineChars="200"/>
              <w:rPr>
                <w:rFonts w:hint="default" w:ascii="Times New Roman" w:hAnsi="Times New Roman" w:eastAsia="宋体" w:cs="Times New Roman"/>
                <w:bCs/>
                <w:highlight w:val="none"/>
              </w:rPr>
            </w:pPr>
            <w:r>
              <w:rPr>
                <w:rFonts w:hint="eastAsia" w:ascii="Times New Roman" w:hAnsi="Times New Roman" w:eastAsia="宋体" w:cs="Times New Roman"/>
                <w:bCs/>
                <w:highlight w:val="none"/>
              </w:rPr>
              <w:t>（3）所需通风设施在选用低噪声型的基础上，对各类风机产生的空气动力性噪声加装阻性或抗性消声设施进行消声，且进、排风口不应朝向敏感厂界，必要时在声环境敏感点侧设置吸隔声屏障等。</w:t>
            </w:r>
          </w:p>
          <w:p w14:paraId="4706A92F">
            <w:pPr>
              <w:keepNext w:val="0"/>
              <w:keepLines w:val="0"/>
              <w:suppressLineNumbers w:val="0"/>
              <w:adjustRightInd w:val="0"/>
              <w:snapToGrid w:val="0"/>
              <w:spacing w:before="0" w:beforeAutospacing="0" w:after="0" w:afterAutospacing="0" w:line="360" w:lineRule="auto"/>
              <w:ind w:left="0" w:right="0" w:firstLine="480" w:firstLineChars="200"/>
              <w:rPr>
                <w:rFonts w:hint="default" w:ascii="Times New Roman" w:hAnsi="Times New Roman" w:eastAsia="宋体" w:cs="Times New Roman"/>
                <w:bCs/>
                <w:highlight w:val="none"/>
              </w:rPr>
            </w:pPr>
            <w:r>
              <w:rPr>
                <w:rFonts w:hint="eastAsia" w:ascii="Times New Roman" w:hAnsi="Times New Roman" w:eastAsia="宋体" w:cs="Times New Roman"/>
                <w:bCs/>
                <w:highlight w:val="none"/>
              </w:rPr>
              <w:t>（4）机械设备运转时，会引起基础结构的振动，振动经由固体传至</w:t>
            </w:r>
            <w:r>
              <w:rPr>
                <w:rFonts w:hint="eastAsia" w:cs="Times New Roman"/>
                <w:bCs/>
                <w:highlight w:val="none"/>
                <w:lang w:val="en-US" w:eastAsia="zh-CN"/>
              </w:rPr>
              <w:t>他</w:t>
            </w:r>
            <w:r>
              <w:rPr>
                <w:rFonts w:hint="eastAsia" w:ascii="Times New Roman" w:hAnsi="Times New Roman" w:eastAsia="宋体" w:cs="Times New Roman"/>
                <w:bCs/>
                <w:highlight w:val="none"/>
              </w:rPr>
              <w:t>处。振动声多属低频噪声，采用一般隔声措施是难以解决的，需采取专门的隔振措施。一般可采用中等硬度橡胶等容许应力较高的隔振材料与减振沟相结合的方法进行减振，或者在传动部位增加隔声罩。这样，可降低噪声源强，并延长设备使用寿命，确保生产的连续性；</w:t>
            </w:r>
          </w:p>
          <w:p w14:paraId="388BFF4E">
            <w:pPr>
              <w:keepNext w:val="0"/>
              <w:keepLines w:val="0"/>
              <w:suppressLineNumbers w:val="0"/>
              <w:adjustRightInd w:val="0"/>
              <w:snapToGrid w:val="0"/>
              <w:spacing w:before="0" w:beforeAutospacing="0" w:after="0" w:afterAutospacing="0" w:line="360" w:lineRule="auto"/>
              <w:ind w:left="0" w:right="0" w:firstLine="480" w:firstLineChars="200"/>
              <w:rPr>
                <w:rFonts w:hint="eastAsia" w:ascii="Times New Roman" w:hAnsi="Times New Roman" w:eastAsia="宋体" w:cs="Times New Roman"/>
                <w:bCs/>
                <w:color w:val="000000" w:themeColor="text1"/>
                <w:highlight w:val="none"/>
                <w:lang w:eastAsia="zh-CN"/>
                <w14:textFill>
                  <w14:solidFill>
                    <w14:schemeClr w14:val="tx1"/>
                  </w14:solidFill>
                </w14:textFill>
              </w:rPr>
            </w:pPr>
            <w:r>
              <w:rPr>
                <w:rFonts w:hint="eastAsia" w:ascii="Times New Roman" w:hAnsi="Times New Roman" w:eastAsia="宋体" w:cs="Times New Roman"/>
                <w:bCs/>
                <w:highlight w:val="none"/>
              </w:rPr>
              <w:t>（5）对风机等设备采用减振橡胶进行减振，如果条件允许建议设于室内</w:t>
            </w:r>
            <w:r>
              <w:rPr>
                <w:rFonts w:hint="eastAsia" w:cs="Times New Roman"/>
                <w:bCs/>
                <w:highlight w:val="none"/>
                <w:lang w:eastAsia="zh-CN"/>
              </w:rPr>
              <w:t>。</w:t>
            </w:r>
          </w:p>
          <w:p w14:paraId="034F0943">
            <w:pPr>
              <w:keepNext w:val="0"/>
              <w:keepLines w:val="0"/>
              <w:suppressLineNumbers w:val="0"/>
              <w:adjustRightInd w:val="0"/>
              <w:snapToGrid w:val="0"/>
              <w:spacing w:before="0" w:beforeAutospacing="0" w:after="0" w:afterAutospacing="0" w:line="360" w:lineRule="auto"/>
              <w:ind w:left="0" w:right="0" w:firstLine="480" w:firstLineChars="200"/>
              <w:rPr>
                <w:rFonts w:hint="default" w:ascii="Times New Roman" w:hAnsi="Times New Roman" w:eastAsia="宋体" w:cs="Times New Roman"/>
                <w:bCs/>
                <w:color w:val="000000" w:themeColor="text1"/>
                <w:highlight w:val="none"/>
                <w14:textFill>
                  <w14:solidFill>
                    <w14:schemeClr w14:val="tx1"/>
                  </w14:solidFill>
                </w14:textFill>
              </w:rPr>
            </w:pPr>
            <w:r>
              <w:rPr>
                <w:rFonts w:hint="eastAsia" w:ascii="Times New Roman" w:hAnsi="Times New Roman" w:eastAsia="宋体" w:cs="Times New Roman"/>
                <w:bCs/>
                <w:color w:val="000000" w:themeColor="text1"/>
                <w:highlight w:val="none"/>
                <w14:textFill>
                  <w14:solidFill>
                    <w14:schemeClr w14:val="tx1"/>
                  </w14:solidFill>
                </w14:textFill>
              </w:rPr>
              <w:t>预测结果</w:t>
            </w:r>
          </w:p>
          <w:p w14:paraId="6F9D8BDD">
            <w:pPr>
              <w:keepNext w:val="0"/>
              <w:keepLines w:val="0"/>
              <w:suppressLineNumbers w:val="0"/>
              <w:adjustRightInd w:val="0"/>
              <w:snapToGrid w:val="0"/>
              <w:spacing w:before="0" w:beforeAutospacing="0" w:after="0" w:afterAutospacing="0" w:line="360" w:lineRule="auto"/>
              <w:ind w:left="0" w:right="0" w:firstLine="480" w:firstLineChars="200"/>
              <w:rPr>
                <w:rFonts w:hint="default" w:ascii="Times New Roman" w:hAnsi="Times New Roman" w:eastAsia="宋体" w:cs="Times New Roman"/>
                <w:bCs/>
                <w:color w:val="000000" w:themeColor="text1"/>
                <w:highlight w:val="none"/>
                <w14:textFill>
                  <w14:solidFill>
                    <w14:schemeClr w14:val="tx1"/>
                  </w14:solidFill>
                </w14:textFill>
              </w:rPr>
            </w:pPr>
            <w:r>
              <w:rPr>
                <w:rFonts w:hint="eastAsia" w:ascii="Times New Roman" w:hAnsi="Times New Roman" w:eastAsia="宋体" w:cs="Times New Roman"/>
                <w:bCs/>
                <w:color w:val="000000" w:themeColor="text1"/>
                <w:highlight w:val="none"/>
                <w14:textFill>
                  <w14:solidFill>
                    <w14:schemeClr w14:val="tx1"/>
                  </w14:solidFill>
                </w14:textFill>
              </w:rPr>
              <w:t>经预测计算，本项目</w:t>
            </w:r>
            <w:r>
              <w:rPr>
                <w:rFonts w:hint="eastAsia" w:ascii="Times New Roman" w:hAnsi="Times New Roman" w:eastAsia="宋体" w:cs="Times New Roman"/>
                <w:bCs/>
                <w:color w:val="000000" w:themeColor="text1"/>
                <w:highlight w:val="none"/>
                <w:lang w:val="en-US" w:eastAsia="zh-CN"/>
                <w14:textFill>
                  <w14:solidFill>
                    <w14:schemeClr w14:val="tx1"/>
                  </w14:solidFill>
                </w14:textFill>
              </w:rPr>
              <w:t>运行</w:t>
            </w:r>
            <w:r>
              <w:rPr>
                <w:rFonts w:hint="eastAsia" w:ascii="Times New Roman" w:hAnsi="Times New Roman" w:eastAsia="宋体" w:cs="Times New Roman"/>
                <w:bCs/>
                <w:color w:val="000000" w:themeColor="text1"/>
                <w:highlight w:val="none"/>
                <w14:textFill>
                  <w14:solidFill>
                    <w14:schemeClr w14:val="tx1"/>
                  </w14:solidFill>
                </w14:textFill>
              </w:rPr>
              <w:t>噪声对各厂界的影响预测情况见表4-</w:t>
            </w:r>
            <w:r>
              <w:rPr>
                <w:rFonts w:hint="eastAsia" w:cs="Times New Roman"/>
                <w:bCs/>
                <w:color w:val="000000" w:themeColor="text1"/>
                <w:highlight w:val="none"/>
                <w:lang w:val="en-US" w:eastAsia="zh-CN"/>
                <w14:textFill>
                  <w14:solidFill>
                    <w14:schemeClr w14:val="tx1"/>
                  </w14:solidFill>
                </w14:textFill>
              </w:rPr>
              <w:t>10</w:t>
            </w:r>
            <w:r>
              <w:rPr>
                <w:rFonts w:hint="eastAsia" w:ascii="Times New Roman" w:hAnsi="Times New Roman" w:eastAsia="宋体" w:cs="Times New Roman"/>
                <w:bCs/>
                <w:color w:val="000000" w:themeColor="text1"/>
                <w:highlight w:val="none"/>
                <w14:textFill>
                  <w14:solidFill>
                    <w14:schemeClr w14:val="tx1"/>
                  </w14:solidFill>
                </w14:textFill>
              </w:rPr>
              <w:t>。</w:t>
            </w:r>
          </w:p>
          <w:p w14:paraId="68E55A81">
            <w:pPr>
              <w:keepNext w:val="0"/>
              <w:keepLines w:val="0"/>
              <w:suppressLineNumbers w:val="0"/>
              <w:adjustRightInd w:val="0"/>
              <w:snapToGrid w:val="0"/>
              <w:spacing w:before="0" w:beforeAutospacing="0" w:after="0" w:afterAutospacing="0" w:line="360" w:lineRule="auto"/>
              <w:ind w:left="0" w:right="0" w:firstLine="482" w:firstLineChars="200"/>
              <w:jc w:val="center"/>
              <w:rPr>
                <w:rFonts w:hint="default" w:ascii="Times New Roman" w:hAnsi="Times New Roman" w:eastAsia="宋体" w:cs="Times New Roman"/>
                <w:b/>
                <w:highlight w:val="none"/>
              </w:rPr>
            </w:pPr>
            <w:r>
              <w:rPr>
                <w:rFonts w:hint="eastAsia" w:ascii="Times New Roman" w:hAnsi="Times New Roman" w:eastAsia="宋体" w:cs="Times New Roman"/>
                <w:b/>
                <w:highlight w:val="none"/>
              </w:rPr>
              <w:t>表</w:t>
            </w:r>
            <w:r>
              <w:rPr>
                <w:rFonts w:hint="default" w:ascii="Times New Roman" w:hAnsi="Times New Roman" w:eastAsia="宋体" w:cs="Times New Roman"/>
                <w:b/>
                <w:highlight w:val="none"/>
              </w:rPr>
              <w:t>4-</w:t>
            </w:r>
            <w:r>
              <w:rPr>
                <w:rFonts w:hint="eastAsia" w:cs="Times New Roman"/>
                <w:b/>
                <w:highlight w:val="none"/>
                <w:lang w:val="en-US" w:eastAsia="zh-CN"/>
              </w:rPr>
              <w:t>10</w:t>
            </w:r>
            <w:r>
              <w:rPr>
                <w:rFonts w:hint="eastAsia" w:ascii="Times New Roman" w:hAnsi="Times New Roman" w:eastAsia="宋体" w:cs="Times New Roman"/>
                <w:b/>
                <w:highlight w:val="none"/>
              </w:rPr>
              <w:t xml:space="preserve"> </w:t>
            </w:r>
            <w:r>
              <w:rPr>
                <w:rFonts w:hint="eastAsia" w:ascii="Times New Roman" w:hAnsi="Times New Roman" w:eastAsia="宋体" w:cs="Times New Roman"/>
                <w:b/>
                <w:highlight w:val="none"/>
                <w:lang w:val="en-US" w:eastAsia="zh-CN"/>
              </w:rPr>
              <w:t>厂</w:t>
            </w:r>
            <w:r>
              <w:rPr>
                <w:rFonts w:hint="eastAsia" w:ascii="Times New Roman" w:hAnsi="Times New Roman" w:eastAsia="宋体" w:cs="Times New Roman"/>
                <w:b/>
                <w:bCs/>
                <w:highlight w:val="none"/>
              </w:rPr>
              <w:t>界</w:t>
            </w:r>
            <w:r>
              <w:rPr>
                <w:rFonts w:hint="eastAsia" w:ascii="Times New Roman" w:hAnsi="Times New Roman" w:eastAsia="宋体" w:cs="Times New Roman"/>
                <w:b/>
                <w:highlight w:val="none"/>
              </w:rPr>
              <w:t>噪声预测结果 单位：</w:t>
            </w:r>
            <w:r>
              <w:rPr>
                <w:rFonts w:hint="default" w:ascii="Times New Roman" w:hAnsi="Times New Roman" w:eastAsia="宋体" w:cs="Times New Roman"/>
                <w:b/>
                <w:highlight w:val="none"/>
              </w:rPr>
              <w:t>dB</w:t>
            </w:r>
            <w:r>
              <w:rPr>
                <w:rFonts w:hint="eastAsia" w:ascii="Times New Roman" w:hAnsi="Times New Roman" w:eastAsia="宋体" w:cs="Times New Roman"/>
                <w:b/>
                <w:highlight w:val="none"/>
              </w:rPr>
              <w:t>(A)</w:t>
            </w:r>
          </w:p>
          <w:tbl>
            <w:tblPr>
              <w:tblStyle w:val="32"/>
              <w:tblW w:w="5000"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009"/>
              <w:gridCol w:w="1185"/>
              <w:gridCol w:w="1269"/>
              <w:gridCol w:w="1269"/>
              <w:gridCol w:w="1270"/>
              <w:gridCol w:w="1270"/>
            </w:tblGrid>
            <w:tr w14:paraId="28B6E13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68" w:hRule="atLeast"/>
                <w:jc w:val="center"/>
              </w:trPr>
              <w:tc>
                <w:tcPr>
                  <w:tcW w:w="1930" w:type="pct"/>
                  <w:gridSpan w:val="2"/>
                  <w:tcBorders>
                    <w:top w:val="single" w:color="auto" w:sz="4" w:space="0"/>
                    <w:left w:val="single" w:color="auto" w:sz="4" w:space="0"/>
                    <w:bottom w:val="single" w:color="auto" w:sz="4" w:space="0"/>
                    <w:right w:val="single" w:color="auto" w:sz="4" w:space="0"/>
                  </w:tcBorders>
                  <w:vAlign w:val="center"/>
                </w:tcPr>
                <w:p w14:paraId="4F838486">
                  <w:pPr>
                    <w:keepNext w:val="0"/>
                    <w:keepLines w:val="0"/>
                    <w:suppressLineNumbers w:val="0"/>
                    <w:spacing w:before="0" w:beforeAutospacing="0" w:after="0" w:afterAutospacing="0" w:line="276" w:lineRule="auto"/>
                    <w:ind w:left="0" w:right="0"/>
                    <w:jc w:val="center"/>
                    <w:rPr>
                      <w:rFonts w:hint="eastAsia" w:ascii="Times New Roman" w:hAnsi="Times New Roman" w:eastAsia="宋体" w:cs="Times New Roman"/>
                      <w:sz w:val="21"/>
                      <w:szCs w:val="21"/>
                      <w:highlight w:val="none"/>
                      <w:lang w:val="en-US" w:eastAsia="zh-CN"/>
                    </w:rPr>
                  </w:pPr>
                  <w:r>
                    <w:rPr>
                      <w:rFonts w:hint="eastAsia" w:ascii="Times New Roman" w:hAnsi="Times New Roman" w:eastAsia="宋体" w:cs="Times New Roman"/>
                      <w:sz w:val="21"/>
                      <w:szCs w:val="21"/>
                      <w:highlight w:val="none"/>
                      <w:lang w:val="en-US" w:eastAsia="zh-CN"/>
                    </w:rPr>
                    <w:t>本项目</w:t>
                  </w:r>
                </w:p>
              </w:tc>
              <w:tc>
                <w:tcPr>
                  <w:tcW w:w="767" w:type="pct"/>
                  <w:tcBorders>
                    <w:top w:val="single" w:color="auto" w:sz="4" w:space="0"/>
                    <w:left w:val="single" w:color="auto" w:sz="4" w:space="0"/>
                    <w:bottom w:val="single" w:color="auto" w:sz="4" w:space="0"/>
                    <w:right w:val="single" w:color="auto" w:sz="4" w:space="0"/>
                  </w:tcBorders>
                  <w:vAlign w:val="center"/>
                </w:tcPr>
                <w:p w14:paraId="59FF7F87">
                  <w:pPr>
                    <w:keepNext w:val="0"/>
                    <w:keepLines w:val="0"/>
                    <w:suppressLineNumbers w:val="0"/>
                    <w:spacing w:before="0" w:beforeAutospacing="0" w:after="0" w:afterAutospacing="0" w:line="276" w:lineRule="auto"/>
                    <w:ind w:left="0" w:right="0"/>
                    <w:jc w:val="center"/>
                    <w:rPr>
                      <w:rFonts w:hint="default" w:ascii="Times New Roman" w:hAnsi="Times New Roman" w:eastAsia="宋体" w:cs="Times New Roman"/>
                      <w:sz w:val="21"/>
                      <w:szCs w:val="21"/>
                      <w:highlight w:val="none"/>
                    </w:rPr>
                  </w:pPr>
                  <w:r>
                    <w:rPr>
                      <w:rFonts w:hint="eastAsia" w:ascii="Times New Roman" w:hAnsi="Times New Roman" w:eastAsia="宋体" w:cs="Times New Roman"/>
                      <w:sz w:val="21"/>
                      <w:szCs w:val="21"/>
                      <w:highlight w:val="none"/>
                    </w:rPr>
                    <w:t>东场界</w:t>
                  </w:r>
                </w:p>
              </w:tc>
              <w:tc>
                <w:tcPr>
                  <w:tcW w:w="767" w:type="pct"/>
                  <w:tcBorders>
                    <w:top w:val="single" w:color="auto" w:sz="4" w:space="0"/>
                    <w:left w:val="single" w:color="auto" w:sz="4" w:space="0"/>
                    <w:bottom w:val="single" w:color="auto" w:sz="4" w:space="0"/>
                    <w:right w:val="single" w:color="auto" w:sz="4" w:space="0"/>
                  </w:tcBorders>
                  <w:vAlign w:val="center"/>
                </w:tcPr>
                <w:p w14:paraId="6F2919EC">
                  <w:pPr>
                    <w:keepNext w:val="0"/>
                    <w:keepLines w:val="0"/>
                    <w:suppressLineNumbers w:val="0"/>
                    <w:spacing w:before="0" w:beforeAutospacing="0" w:after="0" w:afterAutospacing="0" w:line="276" w:lineRule="auto"/>
                    <w:ind w:left="0" w:right="0"/>
                    <w:jc w:val="center"/>
                    <w:rPr>
                      <w:rFonts w:hint="default" w:ascii="Times New Roman" w:hAnsi="Times New Roman" w:eastAsia="宋体" w:cs="Times New Roman"/>
                      <w:sz w:val="21"/>
                      <w:szCs w:val="21"/>
                      <w:highlight w:val="none"/>
                    </w:rPr>
                  </w:pPr>
                  <w:r>
                    <w:rPr>
                      <w:rFonts w:hint="eastAsia" w:ascii="Times New Roman" w:hAnsi="Times New Roman" w:eastAsia="宋体" w:cs="Times New Roman"/>
                      <w:sz w:val="21"/>
                      <w:szCs w:val="21"/>
                      <w:highlight w:val="none"/>
                    </w:rPr>
                    <w:t>南场界</w:t>
                  </w:r>
                </w:p>
              </w:tc>
              <w:tc>
                <w:tcPr>
                  <w:tcW w:w="767" w:type="pct"/>
                  <w:tcBorders>
                    <w:top w:val="single" w:color="auto" w:sz="4" w:space="0"/>
                    <w:left w:val="single" w:color="auto" w:sz="4" w:space="0"/>
                    <w:bottom w:val="single" w:color="auto" w:sz="4" w:space="0"/>
                    <w:right w:val="single" w:color="auto" w:sz="4" w:space="0"/>
                  </w:tcBorders>
                  <w:vAlign w:val="center"/>
                </w:tcPr>
                <w:p w14:paraId="02E732EA">
                  <w:pPr>
                    <w:keepNext w:val="0"/>
                    <w:keepLines w:val="0"/>
                    <w:suppressLineNumbers w:val="0"/>
                    <w:spacing w:before="0" w:beforeAutospacing="0" w:after="0" w:afterAutospacing="0" w:line="276" w:lineRule="auto"/>
                    <w:ind w:left="0" w:right="0"/>
                    <w:jc w:val="center"/>
                    <w:rPr>
                      <w:rFonts w:hint="default" w:ascii="Times New Roman" w:hAnsi="Times New Roman" w:eastAsia="宋体" w:cs="Times New Roman"/>
                      <w:sz w:val="21"/>
                      <w:szCs w:val="21"/>
                      <w:highlight w:val="none"/>
                    </w:rPr>
                  </w:pPr>
                  <w:r>
                    <w:rPr>
                      <w:rFonts w:hint="eastAsia" w:ascii="Times New Roman" w:hAnsi="Times New Roman" w:eastAsia="宋体" w:cs="Times New Roman"/>
                      <w:sz w:val="21"/>
                      <w:szCs w:val="21"/>
                      <w:highlight w:val="none"/>
                    </w:rPr>
                    <w:t>西场界</w:t>
                  </w:r>
                </w:p>
              </w:tc>
              <w:tc>
                <w:tcPr>
                  <w:tcW w:w="767" w:type="pct"/>
                  <w:tcBorders>
                    <w:top w:val="single" w:color="auto" w:sz="4" w:space="0"/>
                    <w:left w:val="single" w:color="auto" w:sz="4" w:space="0"/>
                    <w:bottom w:val="single" w:color="auto" w:sz="4" w:space="0"/>
                    <w:right w:val="single" w:color="auto" w:sz="4" w:space="0"/>
                  </w:tcBorders>
                  <w:vAlign w:val="center"/>
                </w:tcPr>
                <w:p w14:paraId="2A299907">
                  <w:pPr>
                    <w:keepNext w:val="0"/>
                    <w:keepLines w:val="0"/>
                    <w:suppressLineNumbers w:val="0"/>
                    <w:spacing w:before="0" w:beforeAutospacing="0" w:after="0" w:afterAutospacing="0" w:line="276" w:lineRule="auto"/>
                    <w:ind w:left="0" w:right="0"/>
                    <w:jc w:val="center"/>
                    <w:rPr>
                      <w:rFonts w:hint="default" w:ascii="Times New Roman" w:hAnsi="Times New Roman" w:eastAsia="宋体" w:cs="Times New Roman"/>
                      <w:sz w:val="21"/>
                      <w:szCs w:val="21"/>
                      <w:highlight w:val="none"/>
                    </w:rPr>
                  </w:pPr>
                  <w:r>
                    <w:rPr>
                      <w:rFonts w:hint="eastAsia" w:ascii="Times New Roman" w:hAnsi="Times New Roman" w:eastAsia="宋体" w:cs="Times New Roman"/>
                      <w:sz w:val="21"/>
                      <w:szCs w:val="21"/>
                      <w:highlight w:val="none"/>
                    </w:rPr>
                    <w:t>北场界</w:t>
                  </w:r>
                </w:p>
              </w:tc>
            </w:tr>
            <w:tr w14:paraId="63E74C7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96" w:hRule="atLeast"/>
                <w:jc w:val="center"/>
              </w:trPr>
              <w:tc>
                <w:tcPr>
                  <w:tcW w:w="1214" w:type="pct"/>
                  <w:vMerge w:val="restart"/>
                  <w:tcBorders>
                    <w:top w:val="single" w:color="auto" w:sz="4" w:space="0"/>
                    <w:left w:val="single" w:color="auto" w:sz="4" w:space="0"/>
                    <w:right w:val="single" w:color="auto" w:sz="4" w:space="0"/>
                  </w:tcBorders>
                  <w:vAlign w:val="center"/>
                </w:tcPr>
                <w:p w14:paraId="45D0E7E1">
                  <w:pPr>
                    <w:keepNext w:val="0"/>
                    <w:keepLines w:val="0"/>
                    <w:suppressLineNumbers w:val="0"/>
                    <w:spacing w:before="0" w:beforeAutospacing="0" w:after="0" w:afterAutospacing="0" w:line="276" w:lineRule="auto"/>
                    <w:ind w:left="0" w:right="0"/>
                    <w:jc w:val="center"/>
                    <w:rPr>
                      <w:rFonts w:hint="default" w:ascii="Times New Roman" w:hAnsi="Times New Roman" w:eastAsia="宋体" w:cs="Times New Roman"/>
                      <w:sz w:val="21"/>
                      <w:szCs w:val="21"/>
                      <w:highlight w:val="none"/>
                    </w:rPr>
                  </w:pPr>
                  <w:r>
                    <w:rPr>
                      <w:rFonts w:hint="eastAsia" w:ascii="Times New Roman" w:hAnsi="Times New Roman" w:eastAsia="宋体" w:cs="Times New Roman"/>
                      <w:sz w:val="21"/>
                      <w:szCs w:val="21"/>
                      <w:highlight w:val="none"/>
                    </w:rPr>
                    <w:t>场界贡献值</w:t>
                  </w:r>
                </w:p>
              </w:tc>
              <w:tc>
                <w:tcPr>
                  <w:tcW w:w="716" w:type="pct"/>
                  <w:tcBorders>
                    <w:top w:val="single" w:color="auto" w:sz="4" w:space="0"/>
                    <w:left w:val="single" w:color="auto" w:sz="4" w:space="0"/>
                    <w:bottom w:val="single" w:color="auto" w:sz="4" w:space="0"/>
                    <w:right w:val="single" w:color="auto" w:sz="4" w:space="0"/>
                  </w:tcBorders>
                  <w:vAlign w:val="center"/>
                </w:tcPr>
                <w:p w14:paraId="63AEF04F">
                  <w:pPr>
                    <w:keepNext w:val="0"/>
                    <w:keepLines w:val="0"/>
                    <w:suppressLineNumbers w:val="0"/>
                    <w:spacing w:before="0" w:beforeAutospacing="0" w:after="0" w:afterAutospacing="0" w:line="276" w:lineRule="auto"/>
                    <w:ind w:left="0" w:right="0"/>
                    <w:jc w:val="center"/>
                    <w:rPr>
                      <w:rFonts w:hint="default" w:ascii="Times New Roman" w:hAnsi="Times New Roman" w:eastAsia="宋体" w:cs="Times New Roman"/>
                      <w:sz w:val="21"/>
                      <w:szCs w:val="21"/>
                      <w:highlight w:val="none"/>
                    </w:rPr>
                  </w:pPr>
                  <w:r>
                    <w:rPr>
                      <w:rFonts w:hint="eastAsia" w:ascii="Times New Roman" w:hAnsi="Times New Roman" w:eastAsia="宋体" w:cs="Times New Roman"/>
                      <w:sz w:val="21"/>
                      <w:szCs w:val="21"/>
                      <w:highlight w:val="none"/>
                    </w:rPr>
                    <w:t>昼间</w:t>
                  </w:r>
                </w:p>
              </w:tc>
              <w:tc>
                <w:tcPr>
                  <w:tcW w:w="767" w:type="pct"/>
                  <w:tcBorders>
                    <w:top w:val="single" w:color="auto" w:sz="4" w:space="0"/>
                    <w:left w:val="single" w:color="auto" w:sz="4" w:space="0"/>
                    <w:bottom w:val="single" w:color="auto" w:sz="4" w:space="0"/>
                    <w:right w:val="single" w:color="auto" w:sz="4" w:space="0"/>
                  </w:tcBorders>
                  <w:vAlign w:val="bottom"/>
                </w:tcPr>
                <w:p w14:paraId="1EB1F9AB">
                  <w:pPr>
                    <w:keepNext w:val="0"/>
                    <w:keepLines w:val="0"/>
                    <w:suppressLineNumbers w:val="0"/>
                    <w:spacing w:before="0" w:beforeAutospacing="0" w:after="0" w:afterAutospacing="0" w:line="276" w:lineRule="auto"/>
                    <w:ind w:left="0" w:right="0"/>
                    <w:jc w:val="center"/>
                    <w:rPr>
                      <w:rFonts w:hint="default" w:ascii="Times New Roman" w:hAnsi="Times New Roman" w:eastAsia="宋体" w:cs="Times New Roman"/>
                      <w:sz w:val="21"/>
                      <w:szCs w:val="21"/>
                      <w:highlight w:val="none"/>
                      <w:lang w:val="en-US" w:eastAsia="zh-CN"/>
                    </w:rPr>
                  </w:pPr>
                  <w:r>
                    <w:rPr>
                      <w:rFonts w:hint="eastAsia" w:ascii="Times New Roman" w:hAnsi="Times New Roman" w:eastAsia="宋体" w:cs="Times New Roman"/>
                      <w:sz w:val="21"/>
                      <w:szCs w:val="21"/>
                      <w:highlight w:val="none"/>
                      <w:lang w:val="en-US" w:eastAsia="zh-CN"/>
                    </w:rPr>
                    <w:t>4</w:t>
                  </w:r>
                  <w:r>
                    <w:rPr>
                      <w:rFonts w:hint="eastAsia" w:cs="Times New Roman"/>
                      <w:sz w:val="21"/>
                      <w:szCs w:val="21"/>
                      <w:highlight w:val="none"/>
                      <w:lang w:val="en-US" w:eastAsia="zh-CN"/>
                    </w:rPr>
                    <w:t>5</w:t>
                  </w:r>
                </w:p>
              </w:tc>
              <w:tc>
                <w:tcPr>
                  <w:tcW w:w="767" w:type="pct"/>
                  <w:tcBorders>
                    <w:top w:val="single" w:color="auto" w:sz="4" w:space="0"/>
                    <w:left w:val="single" w:color="auto" w:sz="4" w:space="0"/>
                    <w:bottom w:val="single" w:color="auto" w:sz="4" w:space="0"/>
                    <w:right w:val="single" w:color="auto" w:sz="4" w:space="0"/>
                  </w:tcBorders>
                  <w:vAlign w:val="bottom"/>
                </w:tcPr>
                <w:p w14:paraId="76D2E7EE">
                  <w:pPr>
                    <w:keepNext w:val="0"/>
                    <w:keepLines w:val="0"/>
                    <w:suppressLineNumbers w:val="0"/>
                    <w:spacing w:before="0" w:beforeAutospacing="0" w:after="0" w:afterAutospacing="0" w:line="276" w:lineRule="auto"/>
                    <w:ind w:left="0" w:right="0"/>
                    <w:jc w:val="center"/>
                    <w:rPr>
                      <w:rFonts w:hint="eastAsia" w:ascii="Times New Roman" w:hAnsi="Times New Roman" w:eastAsia="宋体" w:cs="Times New Roman"/>
                      <w:sz w:val="21"/>
                      <w:szCs w:val="21"/>
                      <w:highlight w:val="none"/>
                      <w:lang w:val="en-US" w:eastAsia="zh-CN"/>
                    </w:rPr>
                  </w:pPr>
                  <w:r>
                    <w:rPr>
                      <w:rFonts w:hint="eastAsia" w:ascii="Times New Roman" w:hAnsi="Times New Roman" w:eastAsia="宋体" w:cs="Times New Roman"/>
                      <w:sz w:val="21"/>
                      <w:szCs w:val="21"/>
                      <w:highlight w:val="none"/>
                    </w:rPr>
                    <w:t>4</w:t>
                  </w:r>
                  <w:r>
                    <w:rPr>
                      <w:rFonts w:hint="eastAsia" w:cs="Times New Roman"/>
                      <w:sz w:val="21"/>
                      <w:szCs w:val="21"/>
                      <w:highlight w:val="none"/>
                      <w:lang w:val="en-US" w:eastAsia="zh-CN"/>
                    </w:rPr>
                    <w:t>2</w:t>
                  </w:r>
                </w:p>
              </w:tc>
              <w:tc>
                <w:tcPr>
                  <w:tcW w:w="767" w:type="pct"/>
                  <w:tcBorders>
                    <w:top w:val="single" w:color="auto" w:sz="4" w:space="0"/>
                    <w:left w:val="single" w:color="auto" w:sz="4" w:space="0"/>
                    <w:bottom w:val="single" w:color="auto" w:sz="4" w:space="0"/>
                    <w:right w:val="single" w:color="auto" w:sz="4" w:space="0"/>
                  </w:tcBorders>
                  <w:vAlign w:val="bottom"/>
                </w:tcPr>
                <w:p w14:paraId="2D186ABD">
                  <w:pPr>
                    <w:keepNext w:val="0"/>
                    <w:keepLines w:val="0"/>
                    <w:suppressLineNumbers w:val="0"/>
                    <w:spacing w:before="0" w:beforeAutospacing="0" w:after="0" w:afterAutospacing="0" w:line="276" w:lineRule="auto"/>
                    <w:ind w:left="0" w:right="0"/>
                    <w:jc w:val="center"/>
                    <w:rPr>
                      <w:rFonts w:hint="default" w:ascii="Times New Roman" w:hAnsi="Times New Roman" w:eastAsia="宋体" w:cs="Times New Roman"/>
                      <w:sz w:val="21"/>
                      <w:szCs w:val="21"/>
                      <w:highlight w:val="none"/>
                      <w:lang w:val="en-US" w:eastAsia="zh-CN"/>
                    </w:rPr>
                  </w:pPr>
                  <w:r>
                    <w:rPr>
                      <w:rFonts w:hint="eastAsia" w:cs="Times New Roman"/>
                      <w:sz w:val="21"/>
                      <w:szCs w:val="21"/>
                      <w:highlight w:val="none"/>
                      <w:lang w:val="en-US" w:eastAsia="zh-CN"/>
                    </w:rPr>
                    <w:t>53</w:t>
                  </w:r>
                </w:p>
              </w:tc>
              <w:tc>
                <w:tcPr>
                  <w:tcW w:w="767" w:type="pct"/>
                  <w:tcBorders>
                    <w:top w:val="single" w:color="auto" w:sz="4" w:space="0"/>
                    <w:left w:val="single" w:color="auto" w:sz="4" w:space="0"/>
                    <w:bottom w:val="single" w:color="auto" w:sz="4" w:space="0"/>
                    <w:right w:val="single" w:color="auto" w:sz="4" w:space="0"/>
                  </w:tcBorders>
                  <w:vAlign w:val="bottom"/>
                </w:tcPr>
                <w:p w14:paraId="553516F1">
                  <w:pPr>
                    <w:keepNext w:val="0"/>
                    <w:keepLines w:val="0"/>
                    <w:suppressLineNumbers w:val="0"/>
                    <w:spacing w:before="0" w:beforeAutospacing="0" w:after="0" w:afterAutospacing="0" w:line="276" w:lineRule="auto"/>
                    <w:ind w:left="0" w:right="0"/>
                    <w:jc w:val="center"/>
                    <w:rPr>
                      <w:rFonts w:hint="default" w:ascii="Times New Roman" w:hAnsi="Times New Roman" w:eastAsia="宋体" w:cs="Times New Roman"/>
                      <w:sz w:val="21"/>
                      <w:szCs w:val="21"/>
                      <w:highlight w:val="none"/>
                      <w:lang w:val="en-US" w:eastAsia="zh-CN"/>
                    </w:rPr>
                  </w:pPr>
                  <w:r>
                    <w:rPr>
                      <w:rFonts w:hint="eastAsia" w:cs="Times New Roman"/>
                      <w:sz w:val="21"/>
                      <w:szCs w:val="21"/>
                      <w:highlight w:val="none"/>
                      <w:lang w:val="en-US" w:eastAsia="zh-CN"/>
                    </w:rPr>
                    <w:t>49</w:t>
                  </w:r>
                </w:p>
              </w:tc>
            </w:tr>
            <w:tr w14:paraId="10D6D10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51" w:hRule="atLeast"/>
                <w:jc w:val="center"/>
              </w:trPr>
              <w:tc>
                <w:tcPr>
                  <w:tcW w:w="1214" w:type="pct"/>
                  <w:vMerge w:val="continue"/>
                  <w:tcBorders>
                    <w:left w:val="single" w:color="auto" w:sz="4" w:space="0"/>
                    <w:right w:val="single" w:color="auto" w:sz="4" w:space="0"/>
                  </w:tcBorders>
                  <w:vAlign w:val="center"/>
                </w:tcPr>
                <w:p w14:paraId="504277DD">
                  <w:pPr>
                    <w:keepNext w:val="0"/>
                    <w:keepLines w:val="0"/>
                    <w:suppressLineNumbers w:val="0"/>
                    <w:spacing w:before="0" w:beforeAutospacing="0" w:after="0" w:afterAutospacing="0" w:line="276" w:lineRule="auto"/>
                    <w:ind w:left="0" w:right="0"/>
                    <w:jc w:val="center"/>
                    <w:rPr>
                      <w:rFonts w:hint="eastAsia" w:ascii="Times New Roman" w:hAnsi="Times New Roman" w:eastAsia="宋体" w:cs="Times New Roman"/>
                      <w:sz w:val="21"/>
                      <w:szCs w:val="21"/>
                      <w:highlight w:val="none"/>
                    </w:rPr>
                  </w:pPr>
                </w:p>
              </w:tc>
              <w:tc>
                <w:tcPr>
                  <w:tcW w:w="716" w:type="pct"/>
                  <w:tcBorders>
                    <w:top w:val="single" w:color="auto" w:sz="4" w:space="0"/>
                    <w:left w:val="single" w:color="auto" w:sz="4" w:space="0"/>
                    <w:bottom w:val="single" w:color="auto" w:sz="4" w:space="0"/>
                    <w:right w:val="single" w:color="auto" w:sz="4" w:space="0"/>
                  </w:tcBorders>
                  <w:vAlign w:val="center"/>
                </w:tcPr>
                <w:p w14:paraId="0C4FC757">
                  <w:pPr>
                    <w:keepNext w:val="0"/>
                    <w:keepLines w:val="0"/>
                    <w:suppressLineNumbers w:val="0"/>
                    <w:spacing w:before="0" w:beforeAutospacing="0" w:after="0" w:afterAutospacing="0" w:line="276" w:lineRule="auto"/>
                    <w:ind w:left="0" w:right="0"/>
                    <w:jc w:val="center"/>
                    <w:rPr>
                      <w:rFonts w:hint="eastAsia" w:ascii="Times New Roman" w:hAnsi="Times New Roman" w:eastAsia="宋体" w:cs="Times New Roman"/>
                      <w:sz w:val="21"/>
                      <w:szCs w:val="21"/>
                      <w:highlight w:val="none"/>
                      <w:lang w:val="en-US" w:eastAsia="zh-CN"/>
                    </w:rPr>
                  </w:pPr>
                  <w:r>
                    <w:rPr>
                      <w:rFonts w:hint="eastAsia" w:ascii="Times New Roman" w:hAnsi="Times New Roman" w:eastAsia="宋体" w:cs="Times New Roman"/>
                      <w:sz w:val="21"/>
                      <w:szCs w:val="21"/>
                      <w:highlight w:val="none"/>
                      <w:lang w:val="en-US" w:eastAsia="zh-CN"/>
                    </w:rPr>
                    <w:t>夜间</w:t>
                  </w:r>
                </w:p>
              </w:tc>
              <w:tc>
                <w:tcPr>
                  <w:tcW w:w="767" w:type="pct"/>
                  <w:tcBorders>
                    <w:top w:val="single" w:color="auto" w:sz="4" w:space="0"/>
                    <w:left w:val="single" w:color="auto" w:sz="4" w:space="0"/>
                    <w:bottom w:val="single" w:color="auto" w:sz="4" w:space="0"/>
                    <w:right w:val="single" w:color="auto" w:sz="4" w:space="0"/>
                  </w:tcBorders>
                  <w:vAlign w:val="bottom"/>
                </w:tcPr>
                <w:p w14:paraId="4B795C17">
                  <w:pPr>
                    <w:keepNext w:val="0"/>
                    <w:keepLines w:val="0"/>
                    <w:suppressLineNumbers w:val="0"/>
                    <w:spacing w:before="0" w:beforeAutospacing="0" w:after="0" w:afterAutospacing="0" w:line="276" w:lineRule="auto"/>
                    <w:ind w:left="0" w:right="0"/>
                    <w:jc w:val="center"/>
                    <w:rPr>
                      <w:rFonts w:hint="default" w:ascii="Times New Roman" w:hAnsi="Times New Roman" w:eastAsia="宋体" w:cs="Times New Roman"/>
                      <w:sz w:val="21"/>
                      <w:szCs w:val="21"/>
                      <w:highlight w:val="none"/>
                      <w:lang w:val="en-US" w:eastAsia="zh-CN"/>
                    </w:rPr>
                  </w:pPr>
                  <w:r>
                    <w:rPr>
                      <w:rFonts w:hint="eastAsia" w:ascii="Times New Roman" w:hAnsi="Times New Roman" w:eastAsia="宋体" w:cs="Times New Roman"/>
                      <w:sz w:val="21"/>
                      <w:szCs w:val="21"/>
                      <w:highlight w:val="none"/>
                      <w:lang w:val="en-US" w:eastAsia="zh-CN"/>
                    </w:rPr>
                    <w:t>3</w:t>
                  </w:r>
                  <w:r>
                    <w:rPr>
                      <w:rFonts w:hint="eastAsia" w:cs="Times New Roman"/>
                      <w:sz w:val="21"/>
                      <w:szCs w:val="21"/>
                      <w:highlight w:val="none"/>
                      <w:lang w:val="en-US" w:eastAsia="zh-CN"/>
                    </w:rPr>
                    <w:t>9</w:t>
                  </w:r>
                </w:p>
              </w:tc>
              <w:tc>
                <w:tcPr>
                  <w:tcW w:w="767" w:type="pct"/>
                  <w:tcBorders>
                    <w:top w:val="single" w:color="auto" w:sz="4" w:space="0"/>
                    <w:left w:val="single" w:color="auto" w:sz="4" w:space="0"/>
                    <w:bottom w:val="single" w:color="auto" w:sz="4" w:space="0"/>
                    <w:right w:val="single" w:color="auto" w:sz="4" w:space="0"/>
                  </w:tcBorders>
                  <w:vAlign w:val="bottom"/>
                </w:tcPr>
                <w:p w14:paraId="5B8AAC13">
                  <w:pPr>
                    <w:keepNext w:val="0"/>
                    <w:keepLines w:val="0"/>
                    <w:suppressLineNumbers w:val="0"/>
                    <w:spacing w:before="0" w:beforeAutospacing="0" w:after="0" w:afterAutospacing="0" w:line="276" w:lineRule="auto"/>
                    <w:ind w:left="0" w:right="0"/>
                    <w:jc w:val="center"/>
                    <w:rPr>
                      <w:rFonts w:hint="default" w:ascii="Times New Roman" w:hAnsi="Times New Roman" w:eastAsia="宋体" w:cs="Times New Roman"/>
                      <w:sz w:val="21"/>
                      <w:szCs w:val="21"/>
                      <w:highlight w:val="none"/>
                      <w:lang w:val="en-US" w:eastAsia="zh-CN"/>
                    </w:rPr>
                  </w:pPr>
                  <w:r>
                    <w:rPr>
                      <w:rFonts w:hint="eastAsia" w:ascii="Times New Roman" w:hAnsi="Times New Roman" w:eastAsia="宋体" w:cs="Times New Roman"/>
                      <w:sz w:val="21"/>
                      <w:szCs w:val="21"/>
                      <w:highlight w:val="none"/>
                      <w:lang w:val="en-US" w:eastAsia="zh-CN"/>
                    </w:rPr>
                    <w:t>35</w:t>
                  </w:r>
                </w:p>
              </w:tc>
              <w:tc>
                <w:tcPr>
                  <w:tcW w:w="767" w:type="pct"/>
                  <w:tcBorders>
                    <w:top w:val="single" w:color="auto" w:sz="4" w:space="0"/>
                    <w:left w:val="single" w:color="auto" w:sz="4" w:space="0"/>
                    <w:bottom w:val="single" w:color="auto" w:sz="4" w:space="0"/>
                    <w:right w:val="single" w:color="auto" w:sz="4" w:space="0"/>
                  </w:tcBorders>
                  <w:vAlign w:val="bottom"/>
                </w:tcPr>
                <w:p w14:paraId="7521F4C2">
                  <w:pPr>
                    <w:keepNext w:val="0"/>
                    <w:keepLines w:val="0"/>
                    <w:suppressLineNumbers w:val="0"/>
                    <w:spacing w:before="0" w:beforeAutospacing="0" w:after="0" w:afterAutospacing="0" w:line="276" w:lineRule="auto"/>
                    <w:ind w:left="0" w:right="0"/>
                    <w:jc w:val="center"/>
                    <w:rPr>
                      <w:rFonts w:hint="default" w:ascii="Times New Roman" w:hAnsi="Times New Roman" w:eastAsia="宋体" w:cs="Times New Roman"/>
                      <w:sz w:val="21"/>
                      <w:szCs w:val="21"/>
                      <w:highlight w:val="none"/>
                      <w:lang w:val="en-US" w:eastAsia="zh-CN"/>
                    </w:rPr>
                  </w:pPr>
                  <w:r>
                    <w:rPr>
                      <w:rFonts w:hint="eastAsia" w:ascii="Times New Roman" w:hAnsi="Times New Roman" w:eastAsia="宋体" w:cs="Times New Roman"/>
                      <w:sz w:val="21"/>
                      <w:szCs w:val="21"/>
                      <w:highlight w:val="none"/>
                      <w:lang w:val="en-US" w:eastAsia="zh-CN"/>
                    </w:rPr>
                    <w:t>4</w:t>
                  </w:r>
                  <w:r>
                    <w:rPr>
                      <w:rFonts w:hint="eastAsia" w:cs="Times New Roman"/>
                      <w:sz w:val="21"/>
                      <w:szCs w:val="21"/>
                      <w:highlight w:val="none"/>
                      <w:lang w:val="en-US" w:eastAsia="zh-CN"/>
                    </w:rPr>
                    <w:t>3</w:t>
                  </w:r>
                </w:p>
              </w:tc>
              <w:tc>
                <w:tcPr>
                  <w:tcW w:w="767" w:type="pct"/>
                  <w:tcBorders>
                    <w:top w:val="single" w:color="auto" w:sz="4" w:space="0"/>
                    <w:left w:val="single" w:color="auto" w:sz="4" w:space="0"/>
                    <w:bottom w:val="single" w:color="auto" w:sz="4" w:space="0"/>
                    <w:right w:val="single" w:color="auto" w:sz="4" w:space="0"/>
                  </w:tcBorders>
                  <w:vAlign w:val="bottom"/>
                </w:tcPr>
                <w:p w14:paraId="320BA8C2">
                  <w:pPr>
                    <w:keepNext w:val="0"/>
                    <w:keepLines w:val="0"/>
                    <w:suppressLineNumbers w:val="0"/>
                    <w:spacing w:before="0" w:beforeAutospacing="0" w:after="0" w:afterAutospacing="0" w:line="276" w:lineRule="auto"/>
                    <w:ind w:left="0" w:right="0"/>
                    <w:jc w:val="center"/>
                    <w:rPr>
                      <w:rFonts w:hint="default" w:ascii="Times New Roman" w:hAnsi="Times New Roman" w:eastAsia="宋体" w:cs="Times New Roman"/>
                      <w:sz w:val="21"/>
                      <w:szCs w:val="21"/>
                      <w:highlight w:val="none"/>
                      <w:lang w:val="en-US" w:eastAsia="zh-CN"/>
                    </w:rPr>
                  </w:pPr>
                  <w:r>
                    <w:rPr>
                      <w:rFonts w:hint="eastAsia" w:ascii="Times New Roman" w:hAnsi="Times New Roman" w:eastAsia="宋体" w:cs="Times New Roman"/>
                      <w:sz w:val="21"/>
                      <w:szCs w:val="21"/>
                      <w:highlight w:val="none"/>
                      <w:lang w:val="en-US" w:eastAsia="zh-CN"/>
                    </w:rPr>
                    <w:t>4</w:t>
                  </w:r>
                  <w:r>
                    <w:rPr>
                      <w:rFonts w:hint="eastAsia" w:cs="Times New Roman"/>
                      <w:sz w:val="21"/>
                      <w:szCs w:val="21"/>
                      <w:highlight w:val="none"/>
                      <w:lang w:val="en-US" w:eastAsia="zh-CN"/>
                    </w:rPr>
                    <w:t>2</w:t>
                  </w:r>
                </w:p>
              </w:tc>
            </w:tr>
            <w:tr w14:paraId="4C06A3A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51" w:hRule="atLeast"/>
                <w:jc w:val="center"/>
              </w:trPr>
              <w:tc>
                <w:tcPr>
                  <w:tcW w:w="1214" w:type="pct"/>
                  <w:vMerge w:val="restart"/>
                  <w:tcBorders>
                    <w:top w:val="single" w:color="auto" w:sz="4" w:space="0"/>
                    <w:left w:val="single" w:color="auto" w:sz="4" w:space="0"/>
                    <w:right w:val="single" w:color="auto" w:sz="4" w:space="0"/>
                  </w:tcBorders>
                  <w:vAlign w:val="center"/>
                </w:tcPr>
                <w:p w14:paraId="44D512D3">
                  <w:pPr>
                    <w:keepNext w:val="0"/>
                    <w:keepLines w:val="0"/>
                    <w:suppressLineNumbers w:val="0"/>
                    <w:spacing w:before="0" w:beforeAutospacing="0" w:after="0" w:afterAutospacing="0" w:line="276" w:lineRule="auto"/>
                    <w:ind w:left="0" w:right="0"/>
                    <w:jc w:val="center"/>
                    <w:rPr>
                      <w:rFonts w:hint="default" w:ascii="Times New Roman" w:hAnsi="Times New Roman" w:eastAsia="宋体" w:cs="Times New Roman"/>
                      <w:sz w:val="21"/>
                      <w:szCs w:val="21"/>
                      <w:highlight w:val="none"/>
                    </w:rPr>
                  </w:pPr>
                  <w:r>
                    <w:rPr>
                      <w:rFonts w:hint="eastAsia" w:ascii="Times New Roman" w:hAnsi="Times New Roman" w:eastAsia="宋体" w:cs="Times New Roman"/>
                      <w:sz w:val="21"/>
                      <w:szCs w:val="21"/>
                      <w:highlight w:val="none"/>
                    </w:rPr>
                    <w:t>标准值</w:t>
                  </w:r>
                </w:p>
              </w:tc>
              <w:tc>
                <w:tcPr>
                  <w:tcW w:w="716" w:type="pct"/>
                  <w:tcBorders>
                    <w:top w:val="single" w:color="auto" w:sz="4" w:space="0"/>
                    <w:left w:val="single" w:color="auto" w:sz="4" w:space="0"/>
                    <w:bottom w:val="single" w:color="auto" w:sz="4" w:space="0"/>
                    <w:right w:val="single" w:color="auto" w:sz="4" w:space="0"/>
                  </w:tcBorders>
                  <w:vAlign w:val="center"/>
                </w:tcPr>
                <w:p w14:paraId="5BADF124">
                  <w:pPr>
                    <w:keepNext w:val="0"/>
                    <w:keepLines w:val="0"/>
                    <w:suppressLineNumbers w:val="0"/>
                    <w:spacing w:before="0" w:beforeAutospacing="0" w:after="0" w:afterAutospacing="0" w:line="276" w:lineRule="auto"/>
                    <w:ind w:left="0" w:right="0"/>
                    <w:jc w:val="center"/>
                    <w:rPr>
                      <w:rFonts w:hint="default" w:ascii="Times New Roman" w:hAnsi="Times New Roman" w:eastAsia="宋体" w:cs="Times New Roman"/>
                      <w:sz w:val="21"/>
                      <w:szCs w:val="21"/>
                      <w:highlight w:val="none"/>
                    </w:rPr>
                  </w:pPr>
                  <w:r>
                    <w:rPr>
                      <w:rFonts w:hint="eastAsia" w:ascii="Times New Roman" w:hAnsi="Times New Roman" w:eastAsia="宋体" w:cs="Times New Roman"/>
                      <w:sz w:val="21"/>
                      <w:szCs w:val="21"/>
                      <w:highlight w:val="none"/>
                    </w:rPr>
                    <w:t>昼间</w:t>
                  </w:r>
                </w:p>
              </w:tc>
              <w:tc>
                <w:tcPr>
                  <w:tcW w:w="767" w:type="pct"/>
                  <w:tcBorders>
                    <w:top w:val="single" w:color="auto" w:sz="4" w:space="0"/>
                    <w:left w:val="single" w:color="auto" w:sz="4" w:space="0"/>
                    <w:bottom w:val="single" w:color="auto" w:sz="4" w:space="0"/>
                    <w:right w:val="single" w:color="auto" w:sz="4" w:space="0"/>
                  </w:tcBorders>
                  <w:vAlign w:val="center"/>
                </w:tcPr>
                <w:p w14:paraId="19887C3F">
                  <w:pPr>
                    <w:keepNext w:val="0"/>
                    <w:keepLines w:val="0"/>
                    <w:suppressLineNumbers w:val="0"/>
                    <w:spacing w:before="0" w:beforeAutospacing="0" w:after="0" w:afterAutospacing="0" w:line="276" w:lineRule="auto"/>
                    <w:ind w:left="0" w:right="0"/>
                    <w:jc w:val="center"/>
                    <w:rPr>
                      <w:rFonts w:hint="default" w:ascii="Times New Roman" w:hAnsi="Times New Roman" w:eastAsia="宋体" w:cs="Times New Roman"/>
                      <w:sz w:val="21"/>
                      <w:szCs w:val="21"/>
                      <w:highlight w:val="none"/>
                      <w:lang w:val="en-US" w:eastAsia="zh-CN"/>
                    </w:rPr>
                  </w:pPr>
                  <w:r>
                    <w:rPr>
                      <w:rFonts w:hint="eastAsia" w:cs="Times New Roman"/>
                      <w:sz w:val="21"/>
                      <w:szCs w:val="21"/>
                      <w:highlight w:val="none"/>
                      <w:lang w:val="en-US" w:eastAsia="zh-CN"/>
                    </w:rPr>
                    <w:t>70</w:t>
                  </w:r>
                </w:p>
              </w:tc>
              <w:tc>
                <w:tcPr>
                  <w:tcW w:w="767" w:type="pct"/>
                  <w:tcBorders>
                    <w:top w:val="single" w:color="auto" w:sz="4" w:space="0"/>
                    <w:left w:val="single" w:color="auto" w:sz="4" w:space="0"/>
                    <w:bottom w:val="single" w:color="auto" w:sz="4" w:space="0"/>
                    <w:right w:val="single" w:color="auto" w:sz="4" w:space="0"/>
                  </w:tcBorders>
                  <w:vAlign w:val="center"/>
                </w:tcPr>
                <w:p w14:paraId="00B8AE91">
                  <w:pPr>
                    <w:keepNext w:val="0"/>
                    <w:keepLines w:val="0"/>
                    <w:suppressLineNumbers w:val="0"/>
                    <w:spacing w:before="0" w:beforeAutospacing="0" w:after="0" w:afterAutospacing="0" w:line="276" w:lineRule="auto"/>
                    <w:ind w:left="0" w:right="0"/>
                    <w:jc w:val="center"/>
                    <w:rPr>
                      <w:rFonts w:hint="default" w:ascii="Times New Roman" w:hAnsi="Times New Roman" w:eastAsia="宋体" w:cs="Times New Roman"/>
                      <w:sz w:val="21"/>
                      <w:szCs w:val="21"/>
                      <w:highlight w:val="none"/>
                    </w:rPr>
                  </w:pPr>
                  <w:r>
                    <w:rPr>
                      <w:rFonts w:hint="eastAsia" w:ascii="Times New Roman" w:hAnsi="Times New Roman" w:eastAsia="宋体" w:cs="Times New Roman"/>
                      <w:sz w:val="21"/>
                      <w:szCs w:val="21"/>
                      <w:highlight w:val="none"/>
                    </w:rPr>
                    <w:t>55</w:t>
                  </w:r>
                </w:p>
              </w:tc>
              <w:tc>
                <w:tcPr>
                  <w:tcW w:w="767" w:type="pct"/>
                  <w:tcBorders>
                    <w:top w:val="single" w:color="auto" w:sz="4" w:space="0"/>
                    <w:left w:val="single" w:color="auto" w:sz="4" w:space="0"/>
                    <w:bottom w:val="single" w:color="auto" w:sz="4" w:space="0"/>
                    <w:right w:val="single" w:color="auto" w:sz="4" w:space="0"/>
                  </w:tcBorders>
                  <w:vAlign w:val="center"/>
                </w:tcPr>
                <w:p w14:paraId="7C0D7669">
                  <w:pPr>
                    <w:keepNext w:val="0"/>
                    <w:keepLines w:val="0"/>
                    <w:suppressLineNumbers w:val="0"/>
                    <w:spacing w:before="0" w:beforeAutospacing="0" w:after="0" w:afterAutospacing="0" w:line="276" w:lineRule="auto"/>
                    <w:ind w:left="0" w:right="0"/>
                    <w:jc w:val="center"/>
                    <w:rPr>
                      <w:rFonts w:hint="default" w:ascii="Times New Roman" w:hAnsi="Times New Roman" w:eastAsia="宋体" w:cs="Times New Roman"/>
                      <w:sz w:val="21"/>
                      <w:szCs w:val="21"/>
                      <w:highlight w:val="none"/>
                    </w:rPr>
                  </w:pPr>
                  <w:r>
                    <w:rPr>
                      <w:rFonts w:hint="eastAsia" w:ascii="Times New Roman" w:hAnsi="Times New Roman" w:eastAsia="宋体" w:cs="Times New Roman"/>
                      <w:sz w:val="21"/>
                      <w:szCs w:val="21"/>
                      <w:highlight w:val="none"/>
                    </w:rPr>
                    <w:t>55</w:t>
                  </w:r>
                </w:p>
              </w:tc>
              <w:tc>
                <w:tcPr>
                  <w:tcW w:w="767" w:type="pct"/>
                  <w:tcBorders>
                    <w:top w:val="single" w:color="auto" w:sz="4" w:space="0"/>
                    <w:left w:val="single" w:color="auto" w:sz="4" w:space="0"/>
                    <w:bottom w:val="single" w:color="auto" w:sz="4" w:space="0"/>
                    <w:right w:val="single" w:color="auto" w:sz="4" w:space="0"/>
                  </w:tcBorders>
                  <w:shd w:val="clear" w:color="auto" w:fill="auto"/>
                  <w:vAlign w:val="center"/>
                </w:tcPr>
                <w:p w14:paraId="169F89A4">
                  <w:pPr>
                    <w:keepNext w:val="0"/>
                    <w:keepLines w:val="0"/>
                    <w:suppressLineNumbers w:val="0"/>
                    <w:spacing w:before="0" w:beforeAutospacing="0" w:after="0" w:afterAutospacing="0" w:line="276" w:lineRule="auto"/>
                    <w:ind w:left="0" w:right="0"/>
                    <w:jc w:val="center"/>
                    <w:rPr>
                      <w:rFonts w:hint="default" w:ascii="Times New Roman" w:hAnsi="Times New Roman" w:eastAsia="宋体" w:cs="Times New Roman"/>
                      <w:kern w:val="2"/>
                      <w:sz w:val="21"/>
                      <w:szCs w:val="21"/>
                      <w:highlight w:val="none"/>
                      <w:lang w:val="en-US" w:eastAsia="zh-CN" w:bidi="ar-SA"/>
                    </w:rPr>
                  </w:pPr>
                  <w:r>
                    <w:rPr>
                      <w:rFonts w:hint="eastAsia" w:cs="Times New Roman"/>
                      <w:sz w:val="21"/>
                      <w:szCs w:val="21"/>
                      <w:highlight w:val="none"/>
                      <w:lang w:val="en-US" w:eastAsia="zh-CN"/>
                    </w:rPr>
                    <w:t>70</w:t>
                  </w:r>
                </w:p>
              </w:tc>
            </w:tr>
            <w:tr w14:paraId="4239A6A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51" w:hRule="atLeast"/>
                <w:jc w:val="center"/>
              </w:trPr>
              <w:tc>
                <w:tcPr>
                  <w:tcW w:w="1214" w:type="pct"/>
                  <w:vMerge w:val="continue"/>
                  <w:tcBorders>
                    <w:left w:val="single" w:color="auto" w:sz="4" w:space="0"/>
                    <w:right w:val="single" w:color="auto" w:sz="4" w:space="0"/>
                  </w:tcBorders>
                  <w:vAlign w:val="center"/>
                </w:tcPr>
                <w:p w14:paraId="0252F805">
                  <w:pPr>
                    <w:keepNext w:val="0"/>
                    <w:keepLines w:val="0"/>
                    <w:suppressLineNumbers w:val="0"/>
                    <w:spacing w:before="0" w:beforeAutospacing="0" w:after="0" w:afterAutospacing="0" w:line="276" w:lineRule="auto"/>
                    <w:ind w:left="0" w:right="0"/>
                    <w:jc w:val="center"/>
                    <w:rPr>
                      <w:rFonts w:hint="eastAsia" w:ascii="Times New Roman" w:hAnsi="Times New Roman" w:eastAsia="宋体" w:cs="Times New Roman"/>
                      <w:sz w:val="21"/>
                      <w:szCs w:val="21"/>
                      <w:highlight w:val="none"/>
                    </w:rPr>
                  </w:pPr>
                </w:p>
              </w:tc>
              <w:tc>
                <w:tcPr>
                  <w:tcW w:w="716" w:type="pct"/>
                  <w:tcBorders>
                    <w:top w:val="single" w:color="auto" w:sz="4" w:space="0"/>
                    <w:left w:val="single" w:color="auto" w:sz="4" w:space="0"/>
                    <w:bottom w:val="single" w:color="auto" w:sz="4" w:space="0"/>
                    <w:right w:val="single" w:color="auto" w:sz="4" w:space="0"/>
                  </w:tcBorders>
                  <w:vAlign w:val="center"/>
                </w:tcPr>
                <w:p w14:paraId="47DFC895">
                  <w:pPr>
                    <w:keepNext w:val="0"/>
                    <w:keepLines w:val="0"/>
                    <w:suppressLineNumbers w:val="0"/>
                    <w:spacing w:before="0" w:beforeAutospacing="0" w:after="0" w:afterAutospacing="0" w:line="276" w:lineRule="auto"/>
                    <w:ind w:left="0" w:right="0"/>
                    <w:jc w:val="center"/>
                    <w:rPr>
                      <w:rFonts w:hint="eastAsia" w:ascii="Times New Roman" w:hAnsi="Times New Roman" w:eastAsia="宋体" w:cs="Times New Roman"/>
                      <w:sz w:val="21"/>
                      <w:szCs w:val="21"/>
                      <w:highlight w:val="none"/>
                    </w:rPr>
                  </w:pPr>
                  <w:r>
                    <w:rPr>
                      <w:rFonts w:hint="eastAsia" w:ascii="Times New Roman" w:hAnsi="Times New Roman" w:eastAsia="宋体" w:cs="Times New Roman"/>
                      <w:sz w:val="21"/>
                      <w:szCs w:val="21"/>
                      <w:highlight w:val="none"/>
                      <w:lang w:val="en-US" w:eastAsia="zh-CN"/>
                    </w:rPr>
                    <w:t>夜间</w:t>
                  </w:r>
                </w:p>
              </w:tc>
              <w:tc>
                <w:tcPr>
                  <w:tcW w:w="767" w:type="pct"/>
                  <w:tcBorders>
                    <w:top w:val="single" w:color="auto" w:sz="4" w:space="0"/>
                    <w:left w:val="single" w:color="auto" w:sz="4" w:space="0"/>
                    <w:bottom w:val="single" w:color="auto" w:sz="4" w:space="0"/>
                    <w:right w:val="single" w:color="auto" w:sz="4" w:space="0"/>
                  </w:tcBorders>
                  <w:vAlign w:val="center"/>
                </w:tcPr>
                <w:p w14:paraId="73C88C05">
                  <w:pPr>
                    <w:keepNext w:val="0"/>
                    <w:keepLines w:val="0"/>
                    <w:suppressLineNumbers w:val="0"/>
                    <w:spacing w:before="0" w:beforeAutospacing="0" w:after="0" w:afterAutospacing="0" w:line="276" w:lineRule="auto"/>
                    <w:ind w:left="0" w:right="0"/>
                    <w:jc w:val="center"/>
                    <w:rPr>
                      <w:rFonts w:hint="default" w:ascii="Times New Roman" w:hAnsi="Times New Roman" w:eastAsia="宋体" w:cs="Times New Roman"/>
                      <w:sz w:val="21"/>
                      <w:szCs w:val="21"/>
                      <w:highlight w:val="none"/>
                      <w:lang w:val="en-US" w:eastAsia="zh-CN"/>
                    </w:rPr>
                  </w:pPr>
                  <w:r>
                    <w:rPr>
                      <w:rFonts w:hint="eastAsia" w:ascii="Times New Roman" w:hAnsi="Times New Roman" w:eastAsia="宋体" w:cs="Times New Roman"/>
                      <w:sz w:val="21"/>
                      <w:szCs w:val="21"/>
                      <w:highlight w:val="none"/>
                    </w:rPr>
                    <w:t>55</w:t>
                  </w:r>
                </w:p>
              </w:tc>
              <w:tc>
                <w:tcPr>
                  <w:tcW w:w="767" w:type="pct"/>
                  <w:tcBorders>
                    <w:top w:val="single" w:color="auto" w:sz="4" w:space="0"/>
                    <w:left w:val="single" w:color="auto" w:sz="4" w:space="0"/>
                    <w:bottom w:val="single" w:color="auto" w:sz="4" w:space="0"/>
                    <w:right w:val="single" w:color="auto" w:sz="4" w:space="0"/>
                  </w:tcBorders>
                  <w:vAlign w:val="center"/>
                </w:tcPr>
                <w:p w14:paraId="44E8CA2D">
                  <w:pPr>
                    <w:keepNext w:val="0"/>
                    <w:keepLines w:val="0"/>
                    <w:suppressLineNumbers w:val="0"/>
                    <w:spacing w:before="0" w:beforeAutospacing="0" w:after="0" w:afterAutospacing="0" w:line="276" w:lineRule="auto"/>
                    <w:ind w:left="0" w:right="0"/>
                    <w:jc w:val="center"/>
                    <w:rPr>
                      <w:rFonts w:hint="eastAsia" w:ascii="Times New Roman" w:hAnsi="Times New Roman" w:eastAsia="宋体" w:cs="Times New Roman"/>
                      <w:sz w:val="21"/>
                      <w:szCs w:val="21"/>
                      <w:highlight w:val="none"/>
                    </w:rPr>
                  </w:pPr>
                  <w:r>
                    <w:rPr>
                      <w:rFonts w:hint="eastAsia" w:ascii="Times New Roman" w:hAnsi="Times New Roman" w:eastAsia="宋体" w:cs="Times New Roman"/>
                      <w:sz w:val="21"/>
                      <w:szCs w:val="21"/>
                      <w:highlight w:val="none"/>
                      <w:lang w:val="en-US" w:eastAsia="zh-CN"/>
                    </w:rPr>
                    <w:t>45</w:t>
                  </w:r>
                </w:p>
              </w:tc>
              <w:tc>
                <w:tcPr>
                  <w:tcW w:w="767" w:type="pct"/>
                  <w:tcBorders>
                    <w:top w:val="single" w:color="auto" w:sz="4" w:space="0"/>
                    <w:left w:val="single" w:color="auto" w:sz="4" w:space="0"/>
                    <w:bottom w:val="single" w:color="auto" w:sz="4" w:space="0"/>
                    <w:right w:val="single" w:color="auto" w:sz="4" w:space="0"/>
                  </w:tcBorders>
                  <w:vAlign w:val="center"/>
                </w:tcPr>
                <w:p w14:paraId="210370AA">
                  <w:pPr>
                    <w:keepNext w:val="0"/>
                    <w:keepLines w:val="0"/>
                    <w:suppressLineNumbers w:val="0"/>
                    <w:spacing w:before="0" w:beforeAutospacing="0" w:after="0" w:afterAutospacing="0" w:line="276" w:lineRule="auto"/>
                    <w:ind w:left="0" w:right="0"/>
                    <w:jc w:val="center"/>
                    <w:rPr>
                      <w:rFonts w:hint="eastAsia" w:ascii="Times New Roman" w:hAnsi="Times New Roman" w:eastAsia="宋体" w:cs="Times New Roman"/>
                      <w:sz w:val="21"/>
                      <w:szCs w:val="21"/>
                      <w:highlight w:val="none"/>
                    </w:rPr>
                  </w:pPr>
                  <w:r>
                    <w:rPr>
                      <w:rFonts w:hint="eastAsia" w:ascii="Times New Roman" w:hAnsi="Times New Roman" w:eastAsia="宋体" w:cs="Times New Roman"/>
                      <w:sz w:val="21"/>
                      <w:szCs w:val="21"/>
                      <w:highlight w:val="none"/>
                      <w:lang w:val="en-US" w:eastAsia="zh-CN"/>
                    </w:rPr>
                    <w:t>45</w:t>
                  </w:r>
                </w:p>
              </w:tc>
              <w:tc>
                <w:tcPr>
                  <w:tcW w:w="767" w:type="pct"/>
                  <w:tcBorders>
                    <w:top w:val="single" w:color="auto" w:sz="4" w:space="0"/>
                    <w:left w:val="single" w:color="auto" w:sz="4" w:space="0"/>
                    <w:bottom w:val="single" w:color="auto" w:sz="4" w:space="0"/>
                    <w:right w:val="single" w:color="auto" w:sz="4" w:space="0"/>
                  </w:tcBorders>
                  <w:shd w:val="clear" w:color="auto" w:fill="auto"/>
                  <w:vAlign w:val="center"/>
                </w:tcPr>
                <w:p w14:paraId="44FF4995">
                  <w:pPr>
                    <w:keepNext w:val="0"/>
                    <w:keepLines w:val="0"/>
                    <w:suppressLineNumbers w:val="0"/>
                    <w:spacing w:before="0" w:beforeAutospacing="0" w:after="0" w:afterAutospacing="0" w:line="276" w:lineRule="auto"/>
                    <w:ind w:left="0" w:right="0"/>
                    <w:jc w:val="center"/>
                    <w:rPr>
                      <w:rFonts w:hint="eastAsia" w:ascii="Times New Roman" w:hAnsi="Times New Roman" w:eastAsia="宋体" w:cs="Times New Roman"/>
                      <w:kern w:val="2"/>
                      <w:sz w:val="21"/>
                      <w:szCs w:val="21"/>
                      <w:highlight w:val="none"/>
                      <w:lang w:val="en-US" w:eastAsia="zh-CN" w:bidi="ar-SA"/>
                    </w:rPr>
                  </w:pPr>
                  <w:r>
                    <w:rPr>
                      <w:rFonts w:hint="eastAsia" w:ascii="Times New Roman" w:hAnsi="Times New Roman" w:eastAsia="宋体" w:cs="Times New Roman"/>
                      <w:sz w:val="21"/>
                      <w:szCs w:val="21"/>
                      <w:highlight w:val="none"/>
                    </w:rPr>
                    <w:t>55</w:t>
                  </w:r>
                </w:p>
              </w:tc>
            </w:tr>
            <w:tr w14:paraId="431D807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68" w:hRule="atLeast"/>
                <w:jc w:val="center"/>
              </w:trPr>
              <w:tc>
                <w:tcPr>
                  <w:tcW w:w="1214" w:type="pct"/>
                  <w:vMerge w:val="restart"/>
                  <w:tcBorders>
                    <w:top w:val="single" w:color="auto" w:sz="4" w:space="0"/>
                    <w:left w:val="single" w:color="auto" w:sz="4" w:space="0"/>
                    <w:right w:val="single" w:color="auto" w:sz="4" w:space="0"/>
                  </w:tcBorders>
                  <w:vAlign w:val="center"/>
                </w:tcPr>
                <w:p w14:paraId="5DB40FB1">
                  <w:pPr>
                    <w:keepNext w:val="0"/>
                    <w:keepLines w:val="0"/>
                    <w:suppressLineNumbers w:val="0"/>
                    <w:spacing w:before="0" w:beforeAutospacing="0" w:after="0" w:afterAutospacing="0" w:line="276" w:lineRule="auto"/>
                    <w:ind w:left="0" w:right="0"/>
                    <w:jc w:val="center"/>
                    <w:rPr>
                      <w:rFonts w:hint="default" w:ascii="Times New Roman" w:hAnsi="Times New Roman" w:eastAsia="宋体" w:cs="Times New Roman"/>
                      <w:sz w:val="21"/>
                      <w:szCs w:val="21"/>
                      <w:highlight w:val="none"/>
                    </w:rPr>
                  </w:pPr>
                  <w:r>
                    <w:rPr>
                      <w:rFonts w:hint="eastAsia" w:ascii="Times New Roman" w:hAnsi="Times New Roman" w:eastAsia="宋体" w:cs="Times New Roman"/>
                      <w:sz w:val="21"/>
                      <w:szCs w:val="21"/>
                      <w:highlight w:val="none"/>
                    </w:rPr>
                    <w:t>达标情况</w:t>
                  </w:r>
                </w:p>
              </w:tc>
              <w:tc>
                <w:tcPr>
                  <w:tcW w:w="716" w:type="pct"/>
                  <w:tcBorders>
                    <w:top w:val="single" w:color="auto" w:sz="4" w:space="0"/>
                    <w:left w:val="single" w:color="auto" w:sz="4" w:space="0"/>
                    <w:bottom w:val="single" w:color="auto" w:sz="4" w:space="0"/>
                    <w:right w:val="single" w:color="auto" w:sz="4" w:space="0"/>
                  </w:tcBorders>
                  <w:vAlign w:val="center"/>
                </w:tcPr>
                <w:p w14:paraId="45C2DF76">
                  <w:pPr>
                    <w:keepNext w:val="0"/>
                    <w:keepLines w:val="0"/>
                    <w:suppressLineNumbers w:val="0"/>
                    <w:spacing w:before="0" w:beforeAutospacing="0" w:after="0" w:afterAutospacing="0" w:line="276" w:lineRule="auto"/>
                    <w:ind w:left="0" w:right="0"/>
                    <w:jc w:val="center"/>
                    <w:rPr>
                      <w:rFonts w:hint="default" w:ascii="Times New Roman" w:hAnsi="Times New Roman" w:eastAsia="宋体" w:cs="Times New Roman"/>
                      <w:sz w:val="21"/>
                      <w:szCs w:val="21"/>
                      <w:highlight w:val="none"/>
                    </w:rPr>
                  </w:pPr>
                  <w:r>
                    <w:rPr>
                      <w:rFonts w:hint="eastAsia" w:ascii="Times New Roman" w:hAnsi="Times New Roman" w:eastAsia="宋体" w:cs="Times New Roman"/>
                      <w:sz w:val="21"/>
                      <w:szCs w:val="21"/>
                      <w:highlight w:val="none"/>
                    </w:rPr>
                    <w:t>昼间</w:t>
                  </w:r>
                </w:p>
              </w:tc>
              <w:tc>
                <w:tcPr>
                  <w:tcW w:w="767" w:type="pct"/>
                  <w:tcBorders>
                    <w:top w:val="single" w:color="auto" w:sz="4" w:space="0"/>
                    <w:left w:val="single" w:color="auto" w:sz="4" w:space="0"/>
                    <w:bottom w:val="single" w:color="auto" w:sz="4" w:space="0"/>
                    <w:right w:val="single" w:color="auto" w:sz="4" w:space="0"/>
                  </w:tcBorders>
                  <w:vAlign w:val="center"/>
                </w:tcPr>
                <w:p w14:paraId="23D7F673">
                  <w:pPr>
                    <w:keepNext w:val="0"/>
                    <w:keepLines w:val="0"/>
                    <w:suppressLineNumbers w:val="0"/>
                    <w:spacing w:before="0" w:beforeAutospacing="0" w:after="0" w:afterAutospacing="0" w:line="276" w:lineRule="auto"/>
                    <w:ind w:left="0" w:right="0"/>
                    <w:jc w:val="center"/>
                    <w:rPr>
                      <w:rFonts w:hint="default" w:ascii="Times New Roman" w:hAnsi="Times New Roman" w:eastAsia="宋体" w:cs="Times New Roman"/>
                      <w:sz w:val="21"/>
                      <w:szCs w:val="21"/>
                      <w:highlight w:val="none"/>
                    </w:rPr>
                  </w:pPr>
                  <w:r>
                    <w:rPr>
                      <w:rFonts w:hint="eastAsia" w:ascii="Times New Roman" w:hAnsi="Times New Roman" w:eastAsia="宋体" w:cs="Times New Roman"/>
                      <w:sz w:val="21"/>
                      <w:szCs w:val="21"/>
                      <w:highlight w:val="none"/>
                    </w:rPr>
                    <w:t>达标</w:t>
                  </w:r>
                </w:p>
              </w:tc>
              <w:tc>
                <w:tcPr>
                  <w:tcW w:w="767" w:type="pct"/>
                  <w:tcBorders>
                    <w:top w:val="single" w:color="auto" w:sz="4" w:space="0"/>
                    <w:left w:val="single" w:color="auto" w:sz="4" w:space="0"/>
                    <w:bottom w:val="single" w:color="auto" w:sz="4" w:space="0"/>
                    <w:right w:val="single" w:color="auto" w:sz="4" w:space="0"/>
                  </w:tcBorders>
                  <w:vAlign w:val="center"/>
                </w:tcPr>
                <w:p w14:paraId="7F8BA36A">
                  <w:pPr>
                    <w:keepNext w:val="0"/>
                    <w:keepLines w:val="0"/>
                    <w:suppressLineNumbers w:val="0"/>
                    <w:spacing w:before="0" w:beforeAutospacing="0" w:after="0" w:afterAutospacing="0" w:line="276" w:lineRule="auto"/>
                    <w:ind w:left="0" w:right="0"/>
                    <w:jc w:val="center"/>
                    <w:rPr>
                      <w:rFonts w:hint="default" w:ascii="Times New Roman" w:hAnsi="Times New Roman" w:eastAsia="宋体" w:cs="Times New Roman"/>
                      <w:sz w:val="21"/>
                      <w:szCs w:val="21"/>
                      <w:highlight w:val="none"/>
                    </w:rPr>
                  </w:pPr>
                  <w:r>
                    <w:rPr>
                      <w:rFonts w:hint="eastAsia" w:ascii="Times New Roman" w:hAnsi="Times New Roman" w:eastAsia="宋体" w:cs="Times New Roman"/>
                      <w:sz w:val="21"/>
                      <w:szCs w:val="21"/>
                      <w:highlight w:val="none"/>
                    </w:rPr>
                    <w:t>达标</w:t>
                  </w:r>
                </w:p>
              </w:tc>
              <w:tc>
                <w:tcPr>
                  <w:tcW w:w="767" w:type="pct"/>
                  <w:tcBorders>
                    <w:top w:val="single" w:color="auto" w:sz="4" w:space="0"/>
                    <w:left w:val="single" w:color="auto" w:sz="4" w:space="0"/>
                    <w:bottom w:val="single" w:color="auto" w:sz="4" w:space="0"/>
                    <w:right w:val="single" w:color="auto" w:sz="4" w:space="0"/>
                  </w:tcBorders>
                  <w:vAlign w:val="center"/>
                </w:tcPr>
                <w:p w14:paraId="6C764E56">
                  <w:pPr>
                    <w:keepNext w:val="0"/>
                    <w:keepLines w:val="0"/>
                    <w:suppressLineNumbers w:val="0"/>
                    <w:spacing w:before="0" w:beforeAutospacing="0" w:after="0" w:afterAutospacing="0" w:line="276" w:lineRule="auto"/>
                    <w:ind w:left="0" w:right="0"/>
                    <w:jc w:val="center"/>
                    <w:rPr>
                      <w:rFonts w:hint="default" w:ascii="Times New Roman" w:hAnsi="Times New Roman" w:eastAsia="宋体" w:cs="Times New Roman"/>
                      <w:sz w:val="21"/>
                      <w:szCs w:val="21"/>
                      <w:highlight w:val="none"/>
                    </w:rPr>
                  </w:pPr>
                  <w:r>
                    <w:rPr>
                      <w:rFonts w:hint="eastAsia" w:ascii="Times New Roman" w:hAnsi="Times New Roman" w:eastAsia="宋体" w:cs="Times New Roman"/>
                      <w:sz w:val="21"/>
                      <w:szCs w:val="21"/>
                      <w:highlight w:val="none"/>
                    </w:rPr>
                    <w:t>达标</w:t>
                  </w:r>
                </w:p>
              </w:tc>
              <w:tc>
                <w:tcPr>
                  <w:tcW w:w="767" w:type="pct"/>
                  <w:tcBorders>
                    <w:top w:val="single" w:color="auto" w:sz="4" w:space="0"/>
                    <w:left w:val="single" w:color="auto" w:sz="4" w:space="0"/>
                    <w:bottom w:val="single" w:color="auto" w:sz="4" w:space="0"/>
                    <w:right w:val="single" w:color="auto" w:sz="4" w:space="0"/>
                  </w:tcBorders>
                  <w:vAlign w:val="center"/>
                </w:tcPr>
                <w:p w14:paraId="51FB3572">
                  <w:pPr>
                    <w:keepNext w:val="0"/>
                    <w:keepLines w:val="0"/>
                    <w:suppressLineNumbers w:val="0"/>
                    <w:spacing w:before="0" w:beforeAutospacing="0" w:after="0" w:afterAutospacing="0" w:line="276" w:lineRule="auto"/>
                    <w:ind w:left="0" w:right="0"/>
                    <w:jc w:val="center"/>
                    <w:rPr>
                      <w:rFonts w:hint="default" w:ascii="Times New Roman" w:hAnsi="Times New Roman" w:eastAsia="宋体" w:cs="Times New Roman"/>
                      <w:sz w:val="21"/>
                      <w:szCs w:val="21"/>
                      <w:highlight w:val="none"/>
                    </w:rPr>
                  </w:pPr>
                  <w:r>
                    <w:rPr>
                      <w:rFonts w:hint="eastAsia" w:ascii="Times New Roman" w:hAnsi="Times New Roman" w:eastAsia="宋体" w:cs="Times New Roman"/>
                      <w:sz w:val="21"/>
                      <w:szCs w:val="21"/>
                      <w:highlight w:val="none"/>
                    </w:rPr>
                    <w:t>达标</w:t>
                  </w:r>
                </w:p>
              </w:tc>
            </w:tr>
            <w:tr w14:paraId="6D434AB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68" w:hRule="atLeast"/>
                <w:jc w:val="center"/>
              </w:trPr>
              <w:tc>
                <w:tcPr>
                  <w:tcW w:w="1214" w:type="pct"/>
                  <w:vMerge w:val="continue"/>
                  <w:tcBorders>
                    <w:left w:val="single" w:color="auto" w:sz="4" w:space="0"/>
                    <w:right w:val="single" w:color="auto" w:sz="4" w:space="0"/>
                  </w:tcBorders>
                  <w:vAlign w:val="center"/>
                </w:tcPr>
                <w:p w14:paraId="22F68A62">
                  <w:pPr>
                    <w:keepNext w:val="0"/>
                    <w:keepLines w:val="0"/>
                    <w:suppressLineNumbers w:val="0"/>
                    <w:spacing w:before="0" w:beforeAutospacing="0" w:after="0" w:afterAutospacing="0" w:line="276" w:lineRule="auto"/>
                    <w:ind w:left="0" w:right="0"/>
                    <w:jc w:val="center"/>
                    <w:rPr>
                      <w:rFonts w:hint="eastAsia" w:ascii="Times New Roman" w:hAnsi="Times New Roman" w:eastAsia="宋体" w:cs="Times New Roman"/>
                      <w:sz w:val="21"/>
                      <w:szCs w:val="21"/>
                      <w:highlight w:val="none"/>
                    </w:rPr>
                  </w:pPr>
                </w:p>
              </w:tc>
              <w:tc>
                <w:tcPr>
                  <w:tcW w:w="716" w:type="pct"/>
                  <w:tcBorders>
                    <w:top w:val="single" w:color="auto" w:sz="4" w:space="0"/>
                    <w:left w:val="single" w:color="auto" w:sz="4" w:space="0"/>
                    <w:bottom w:val="single" w:color="auto" w:sz="4" w:space="0"/>
                    <w:right w:val="single" w:color="auto" w:sz="4" w:space="0"/>
                  </w:tcBorders>
                  <w:vAlign w:val="center"/>
                </w:tcPr>
                <w:p w14:paraId="6396FAFE">
                  <w:pPr>
                    <w:keepNext w:val="0"/>
                    <w:keepLines w:val="0"/>
                    <w:suppressLineNumbers w:val="0"/>
                    <w:spacing w:before="0" w:beforeAutospacing="0" w:after="0" w:afterAutospacing="0" w:line="276" w:lineRule="auto"/>
                    <w:ind w:left="0" w:right="0"/>
                    <w:jc w:val="center"/>
                    <w:rPr>
                      <w:rFonts w:hint="eastAsia" w:ascii="Times New Roman" w:hAnsi="Times New Roman" w:eastAsia="宋体" w:cs="Times New Roman"/>
                      <w:sz w:val="21"/>
                      <w:szCs w:val="21"/>
                      <w:highlight w:val="none"/>
                    </w:rPr>
                  </w:pPr>
                  <w:r>
                    <w:rPr>
                      <w:rFonts w:hint="eastAsia" w:ascii="Times New Roman" w:hAnsi="Times New Roman" w:eastAsia="宋体" w:cs="Times New Roman"/>
                      <w:sz w:val="21"/>
                      <w:szCs w:val="21"/>
                      <w:highlight w:val="none"/>
                      <w:lang w:val="en-US" w:eastAsia="zh-CN"/>
                    </w:rPr>
                    <w:t>夜间</w:t>
                  </w:r>
                </w:p>
              </w:tc>
              <w:tc>
                <w:tcPr>
                  <w:tcW w:w="767" w:type="pct"/>
                  <w:tcBorders>
                    <w:top w:val="single" w:color="auto" w:sz="4" w:space="0"/>
                    <w:left w:val="single" w:color="auto" w:sz="4" w:space="0"/>
                    <w:bottom w:val="single" w:color="auto" w:sz="4" w:space="0"/>
                    <w:right w:val="single" w:color="auto" w:sz="4" w:space="0"/>
                  </w:tcBorders>
                  <w:vAlign w:val="center"/>
                </w:tcPr>
                <w:p w14:paraId="70F3D0A0">
                  <w:pPr>
                    <w:keepNext w:val="0"/>
                    <w:keepLines w:val="0"/>
                    <w:suppressLineNumbers w:val="0"/>
                    <w:spacing w:before="0" w:beforeAutospacing="0" w:after="0" w:afterAutospacing="0" w:line="276" w:lineRule="auto"/>
                    <w:ind w:left="0" w:right="0"/>
                    <w:jc w:val="center"/>
                    <w:rPr>
                      <w:rFonts w:hint="eastAsia" w:ascii="Times New Roman" w:hAnsi="Times New Roman" w:eastAsia="宋体" w:cs="Times New Roman"/>
                      <w:sz w:val="21"/>
                      <w:szCs w:val="21"/>
                      <w:highlight w:val="none"/>
                    </w:rPr>
                  </w:pPr>
                  <w:r>
                    <w:rPr>
                      <w:rFonts w:hint="eastAsia" w:ascii="Times New Roman" w:hAnsi="Times New Roman" w:eastAsia="宋体" w:cs="Times New Roman"/>
                      <w:sz w:val="21"/>
                      <w:szCs w:val="21"/>
                      <w:highlight w:val="none"/>
                    </w:rPr>
                    <w:t>达标</w:t>
                  </w:r>
                </w:p>
              </w:tc>
              <w:tc>
                <w:tcPr>
                  <w:tcW w:w="767" w:type="pct"/>
                  <w:tcBorders>
                    <w:top w:val="single" w:color="auto" w:sz="4" w:space="0"/>
                    <w:left w:val="single" w:color="auto" w:sz="4" w:space="0"/>
                    <w:bottom w:val="single" w:color="auto" w:sz="4" w:space="0"/>
                    <w:right w:val="single" w:color="auto" w:sz="4" w:space="0"/>
                  </w:tcBorders>
                  <w:vAlign w:val="center"/>
                </w:tcPr>
                <w:p w14:paraId="11C0B21E">
                  <w:pPr>
                    <w:keepNext w:val="0"/>
                    <w:keepLines w:val="0"/>
                    <w:suppressLineNumbers w:val="0"/>
                    <w:spacing w:before="0" w:beforeAutospacing="0" w:after="0" w:afterAutospacing="0" w:line="276" w:lineRule="auto"/>
                    <w:ind w:left="0" w:right="0"/>
                    <w:jc w:val="center"/>
                    <w:rPr>
                      <w:rFonts w:hint="eastAsia" w:ascii="Times New Roman" w:hAnsi="Times New Roman" w:eastAsia="宋体" w:cs="Times New Roman"/>
                      <w:sz w:val="21"/>
                      <w:szCs w:val="21"/>
                      <w:highlight w:val="none"/>
                    </w:rPr>
                  </w:pPr>
                  <w:r>
                    <w:rPr>
                      <w:rFonts w:hint="eastAsia" w:ascii="Times New Roman" w:hAnsi="Times New Roman" w:eastAsia="宋体" w:cs="Times New Roman"/>
                      <w:sz w:val="21"/>
                      <w:szCs w:val="21"/>
                      <w:highlight w:val="none"/>
                    </w:rPr>
                    <w:t>达标</w:t>
                  </w:r>
                </w:p>
              </w:tc>
              <w:tc>
                <w:tcPr>
                  <w:tcW w:w="767" w:type="pct"/>
                  <w:tcBorders>
                    <w:top w:val="single" w:color="auto" w:sz="4" w:space="0"/>
                    <w:left w:val="single" w:color="auto" w:sz="4" w:space="0"/>
                    <w:bottom w:val="single" w:color="auto" w:sz="4" w:space="0"/>
                    <w:right w:val="single" w:color="auto" w:sz="4" w:space="0"/>
                  </w:tcBorders>
                  <w:vAlign w:val="center"/>
                </w:tcPr>
                <w:p w14:paraId="7156EFCD">
                  <w:pPr>
                    <w:keepNext w:val="0"/>
                    <w:keepLines w:val="0"/>
                    <w:suppressLineNumbers w:val="0"/>
                    <w:spacing w:before="0" w:beforeAutospacing="0" w:after="0" w:afterAutospacing="0" w:line="276" w:lineRule="auto"/>
                    <w:ind w:left="0" w:right="0"/>
                    <w:jc w:val="center"/>
                    <w:rPr>
                      <w:rFonts w:hint="eastAsia" w:ascii="Times New Roman" w:hAnsi="Times New Roman" w:eastAsia="宋体" w:cs="Times New Roman"/>
                      <w:sz w:val="21"/>
                      <w:szCs w:val="21"/>
                      <w:highlight w:val="none"/>
                    </w:rPr>
                  </w:pPr>
                  <w:r>
                    <w:rPr>
                      <w:rFonts w:hint="eastAsia" w:ascii="Times New Roman" w:hAnsi="Times New Roman" w:eastAsia="宋体" w:cs="Times New Roman"/>
                      <w:sz w:val="21"/>
                      <w:szCs w:val="21"/>
                      <w:highlight w:val="none"/>
                    </w:rPr>
                    <w:t>达标</w:t>
                  </w:r>
                </w:p>
              </w:tc>
              <w:tc>
                <w:tcPr>
                  <w:tcW w:w="767" w:type="pct"/>
                  <w:tcBorders>
                    <w:top w:val="single" w:color="auto" w:sz="4" w:space="0"/>
                    <w:left w:val="single" w:color="auto" w:sz="4" w:space="0"/>
                    <w:bottom w:val="single" w:color="auto" w:sz="4" w:space="0"/>
                    <w:right w:val="single" w:color="auto" w:sz="4" w:space="0"/>
                  </w:tcBorders>
                  <w:vAlign w:val="center"/>
                </w:tcPr>
                <w:p w14:paraId="1E877263">
                  <w:pPr>
                    <w:keepNext w:val="0"/>
                    <w:keepLines w:val="0"/>
                    <w:suppressLineNumbers w:val="0"/>
                    <w:spacing w:before="0" w:beforeAutospacing="0" w:after="0" w:afterAutospacing="0" w:line="276" w:lineRule="auto"/>
                    <w:ind w:left="0" w:right="0"/>
                    <w:jc w:val="center"/>
                    <w:rPr>
                      <w:rFonts w:hint="eastAsia" w:ascii="Times New Roman" w:hAnsi="Times New Roman" w:eastAsia="宋体" w:cs="Times New Roman"/>
                      <w:sz w:val="21"/>
                      <w:szCs w:val="21"/>
                      <w:highlight w:val="none"/>
                    </w:rPr>
                  </w:pPr>
                  <w:r>
                    <w:rPr>
                      <w:rFonts w:hint="eastAsia" w:ascii="Times New Roman" w:hAnsi="Times New Roman" w:eastAsia="宋体" w:cs="Times New Roman"/>
                      <w:sz w:val="21"/>
                      <w:szCs w:val="21"/>
                      <w:highlight w:val="none"/>
                    </w:rPr>
                    <w:t>达标</w:t>
                  </w:r>
                </w:p>
              </w:tc>
            </w:tr>
          </w:tbl>
          <w:p w14:paraId="009CF8FC">
            <w:pPr>
              <w:keepNext w:val="0"/>
              <w:keepLines w:val="0"/>
              <w:suppressLineNumbers w:val="0"/>
              <w:adjustRightInd w:val="0"/>
              <w:snapToGrid w:val="0"/>
              <w:spacing w:before="0" w:beforeAutospacing="0" w:after="0" w:afterAutospacing="0" w:line="360" w:lineRule="auto"/>
              <w:ind w:left="0" w:right="0" w:firstLine="480" w:firstLineChars="200"/>
              <w:rPr>
                <w:rFonts w:hint="default" w:ascii="Times New Roman" w:hAnsi="Times New Roman" w:eastAsia="宋体" w:cs="Times New Roman"/>
                <w:highlight w:val="none"/>
              </w:rPr>
            </w:pPr>
            <w:r>
              <w:rPr>
                <w:rFonts w:hint="eastAsia" w:ascii="Times New Roman" w:hAnsi="Times New Roman" w:eastAsia="宋体" w:cs="Times New Roman"/>
                <w:highlight w:val="none"/>
              </w:rPr>
              <w:t>由预测结果可知，项目</w:t>
            </w:r>
            <w:r>
              <w:rPr>
                <w:rFonts w:hint="eastAsia" w:cs="Times New Roman"/>
                <w:highlight w:val="none"/>
                <w:lang w:val="en-US" w:eastAsia="zh-CN"/>
              </w:rPr>
              <w:t>南侧、西侧</w:t>
            </w:r>
            <w:r>
              <w:rPr>
                <w:rFonts w:hint="eastAsia" w:ascii="Times New Roman" w:hAnsi="Times New Roman" w:eastAsia="宋体" w:cs="Times New Roman"/>
                <w:highlight w:val="none"/>
                <w:lang w:val="en-US" w:eastAsia="zh-CN"/>
              </w:rPr>
              <w:t>厂界</w:t>
            </w:r>
            <w:r>
              <w:rPr>
                <w:rFonts w:hint="eastAsia" w:ascii="Times New Roman" w:hAnsi="Times New Roman" w:eastAsia="宋体" w:cs="Times New Roman"/>
                <w:highlight w:val="none"/>
              </w:rPr>
              <w:t>噪声预测值能满足《工业企业厂界环境噪声排放标准》（GB12348-2008）的1类标准</w:t>
            </w:r>
            <w:r>
              <w:rPr>
                <w:rFonts w:hint="eastAsia" w:ascii="Times New Roman" w:hAnsi="Times New Roman" w:eastAsia="宋体" w:cs="Times New Roman"/>
                <w:highlight w:val="none"/>
                <w:lang w:eastAsia="zh-CN"/>
              </w:rPr>
              <w:t>；</w:t>
            </w:r>
            <w:r>
              <w:rPr>
                <w:rFonts w:hint="eastAsia" w:cs="Times New Roman"/>
                <w:highlight w:val="none"/>
                <w:lang w:val="en-US" w:eastAsia="zh-CN"/>
              </w:rPr>
              <w:t>东侧、北侧</w:t>
            </w:r>
            <w:r>
              <w:rPr>
                <w:rFonts w:hint="eastAsia" w:ascii="Times New Roman" w:hAnsi="Times New Roman" w:eastAsia="宋体" w:cs="Times New Roman"/>
                <w:highlight w:val="none"/>
                <w:lang w:val="en-US" w:eastAsia="zh-CN"/>
              </w:rPr>
              <w:t>厂界</w:t>
            </w:r>
            <w:r>
              <w:rPr>
                <w:rFonts w:hint="eastAsia" w:ascii="Times New Roman" w:hAnsi="Times New Roman" w:eastAsia="宋体" w:cs="Times New Roman"/>
                <w:highlight w:val="none"/>
              </w:rPr>
              <w:t>噪声预测值能满足《工业企业厂界环境噪声排放标准》（GB12348-2008）的</w:t>
            </w:r>
            <w:r>
              <w:rPr>
                <w:rFonts w:hint="eastAsia" w:cs="Times New Roman"/>
                <w:highlight w:val="none"/>
                <w:lang w:val="en-US" w:eastAsia="zh-CN"/>
              </w:rPr>
              <w:t>4</w:t>
            </w:r>
            <w:r>
              <w:rPr>
                <w:rFonts w:hint="eastAsia" w:ascii="Times New Roman" w:hAnsi="Times New Roman" w:eastAsia="宋体" w:cs="Times New Roman"/>
                <w:highlight w:val="none"/>
              </w:rPr>
              <w:t>类标准。</w:t>
            </w:r>
          </w:p>
          <w:p w14:paraId="47206412">
            <w:pPr>
              <w:pStyle w:val="7"/>
              <w:keepNext w:val="0"/>
              <w:keepLines w:val="0"/>
              <w:suppressLineNumbers w:val="0"/>
              <w:spacing w:before="0" w:beforeAutospacing="0" w:after="0" w:afterAutospacing="0" w:line="360" w:lineRule="auto"/>
              <w:ind w:left="0" w:right="0" w:firstLine="482"/>
              <w:jc w:val="center"/>
              <w:rPr>
                <w:rFonts w:hint="default" w:ascii="Times New Roman" w:hAnsi="Times New Roman" w:eastAsia="宋体" w:cs="Times New Roman"/>
                <w:b/>
                <w:bCs/>
                <w:sz w:val="24"/>
                <w:szCs w:val="24"/>
                <w:highlight w:val="none"/>
              </w:rPr>
            </w:pPr>
            <w:r>
              <w:rPr>
                <w:rFonts w:hint="eastAsia" w:ascii="Times New Roman" w:hAnsi="Times New Roman" w:eastAsia="宋体" w:cs="Times New Roman"/>
                <w:b/>
                <w:bCs/>
                <w:sz w:val="24"/>
                <w:szCs w:val="24"/>
                <w:highlight w:val="none"/>
              </w:rPr>
              <w:t>表 4-</w:t>
            </w:r>
            <w:r>
              <w:rPr>
                <w:rFonts w:hint="eastAsia" w:cs="Times New Roman"/>
                <w:b/>
                <w:bCs/>
                <w:sz w:val="24"/>
                <w:szCs w:val="24"/>
                <w:highlight w:val="none"/>
                <w:lang w:val="en-US" w:eastAsia="zh-CN"/>
              </w:rPr>
              <w:t>11</w:t>
            </w:r>
            <w:r>
              <w:rPr>
                <w:rFonts w:hint="eastAsia" w:ascii="Times New Roman" w:hAnsi="Times New Roman" w:eastAsia="宋体" w:cs="Times New Roman"/>
                <w:b/>
                <w:bCs/>
                <w:sz w:val="24"/>
                <w:szCs w:val="24"/>
                <w:highlight w:val="none"/>
              </w:rPr>
              <w:t xml:space="preserve"> 环境保护目标噪声预测结果 单位：dB(A)</w:t>
            </w:r>
          </w:p>
          <w:tbl>
            <w:tblPr>
              <w:tblStyle w:val="33"/>
              <w:tblW w:w="4998"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670"/>
              <w:gridCol w:w="1996"/>
              <w:gridCol w:w="721"/>
              <w:gridCol w:w="900"/>
              <w:gridCol w:w="1162"/>
              <w:gridCol w:w="930"/>
              <w:gridCol w:w="870"/>
              <w:gridCol w:w="1020"/>
            </w:tblGrid>
            <w:tr w14:paraId="44E9BF4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95" w:hRule="atLeast"/>
              </w:trPr>
              <w:tc>
                <w:tcPr>
                  <w:tcW w:w="405" w:type="pct"/>
                  <w:vAlign w:val="center"/>
                </w:tcPr>
                <w:p w14:paraId="03B9289A">
                  <w:pPr>
                    <w:keepNext w:val="0"/>
                    <w:keepLines w:val="0"/>
                    <w:suppressLineNumbers w:val="0"/>
                    <w:spacing w:before="0" w:beforeAutospacing="0" w:after="0" w:afterAutospacing="0" w:line="276" w:lineRule="auto"/>
                    <w:ind w:left="0" w:right="0"/>
                    <w:jc w:val="center"/>
                    <w:rPr>
                      <w:rFonts w:hint="default" w:ascii="Times New Roman" w:hAnsi="Times New Roman" w:eastAsia="宋体" w:cs="Times New Roman"/>
                      <w:sz w:val="21"/>
                      <w:szCs w:val="21"/>
                      <w:highlight w:val="none"/>
                    </w:rPr>
                  </w:pPr>
                  <w:r>
                    <w:rPr>
                      <w:rFonts w:hint="eastAsia" w:ascii="Times New Roman" w:hAnsi="Times New Roman" w:eastAsia="宋体" w:cs="Times New Roman"/>
                      <w:sz w:val="21"/>
                      <w:szCs w:val="21"/>
                      <w:highlight w:val="none"/>
                    </w:rPr>
                    <w:t>序号</w:t>
                  </w:r>
                </w:p>
              </w:tc>
              <w:tc>
                <w:tcPr>
                  <w:tcW w:w="1642" w:type="pct"/>
                  <w:gridSpan w:val="2"/>
                  <w:vAlign w:val="center"/>
                </w:tcPr>
                <w:p w14:paraId="781B0D8C">
                  <w:pPr>
                    <w:keepNext w:val="0"/>
                    <w:keepLines w:val="0"/>
                    <w:suppressLineNumbers w:val="0"/>
                    <w:spacing w:before="0" w:beforeAutospacing="0" w:after="0" w:afterAutospacing="0" w:line="276" w:lineRule="auto"/>
                    <w:ind w:left="0" w:right="0"/>
                    <w:jc w:val="center"/>
                    <w:rPr>
                      <w:rFonts w:hint="default" w:ascii="Times New Roman" w:hAnsi="Times New Roman" w:eastAsia="宋体" w:cs="Times New Roman"/>
                      <w:sz w:val="21"/>
                      <w:szCs w:val="21"/>
                      <w:highlight w:val="none"/>
                    </w:rPr>
                  </w:pPr>
                  <w:r>
                    <w:rPr>
                      <w:rFonts w:hint="eastAsia" w:ascii="Times New Roman" w:hAnsi="Times New Roman" w:eastAsia="宋体" w:cs="Times New Roman"/>
                      <w:sz w:val="21"/>
                      <w:szCs w:val="21"/>
                      <w:highlight w:val="none"/>
                    </w:rPr>
                    <w:t>环境保护目标</w:t>
                  </w:r>
                </w:p>
              </w:tc>
              <w:tc>
                <w:tcPr>
                  <w:tcW w:w="544" w:type="pct"/>
                  <w:vAlign w:val="center"/>
                </w:tcPr>
                <w:p w14:paraId="5F222D56">
                  <w:pPr>
                    <w:keepNext w:val="0"/>
                    <w:keepLines w:val="0"/>
                    <w:suppressLineNumbers w:val="0"/>
                    <w:spacing w:before="0" w:beforeAutospacing="0" w:after="0" w:afterAutospacing="0" w:line="276" w:lineRule="auto"/>
                    <w:ind w:left="0" w:right="0"/>
                    <w:jc w:val="center"/>
                    <w:rPr>
                      <w:rFonts w:hint="default" w:ascii="Times New Roman" w:hAnsi="Times New Roman" w:eastAsia="宋体" w:cs="Times New Roman"/>
                      <w:sz w:val="21"/>
                      <w:szCs w:val="21"/>
                      <w:highlight w:val="none"/>
                    </w:rPr>
                  </w:pPr>
                  <w:r>
                    <w:rPr>
                      <w:rFonts w:hint="eastAsia" w:ascii="Times New Roman" w:hAnsi="Times New Roman" w:eastAsia="宋体" w:cs="Times New Roman"/>
                      <w:sz w:val="21"/>
                      <w:szCs w:val="21"/>
                      <w:highlight w:val="none"/>
                    </w:rPr>
                    <w:t>噪声贡献值</w:t>
                  </w:r>
                </w:p>
              </w:tc>
              <w:tc>
                <w:tcPr>
                  <w:tcW w:w="702" w:type="pct"/>
                  <w:vAlign w:val="center"/>
                </w:tcPr>
                <w:p w14:paraId="70CAA511">
                  <w:pPr>
                    <w:keepNext w:val="0"/>
                    <w:keepLines w:val="0"/>
                    <w:suppressLineNumbers w:val="0"/>
                    <w:spacing w:before="0" w:beforeAutospacing="0" w:after="0" w:afterAutospacing="0" w:line="276" w:lineRule="auto"/>
                    <w:ind w:left="0" w:right="0"/>
                    <w:jc w:val="center"/>
                    <w:rPr>
                      <w:rFonts w:hint="default" w:ascii="Times New Roman" w:hAnsi="Times New Roman" w:eastAsia="宋体" w:cs="Times New Roman"/>
                      <w:sz w:val="21"/>
                      <w:szCs w:val="21"/>
                      <w:highlight w:val="none"/>
                    </w:rPr>
                  </w:pPr>
                  <w:r>
                    <w:rPr>
                      <w:rFonts w:hint="eastAsia" w:ascii="Times New Roman" w:hAnsi="Times New Roman" w:eastAsia="宋体" w:cs="Times New Roman"/>
                      <w:sz w:val="21"/>
                      <w:szCs w:val="21"/>
                      <w:highlight w:val="none"/>
                    </w:rPr>
                    <w:t>噪声背景值</w:t>
                  </w:r>
                </w:p>
              </w:tc>
              <w:tc>
                <w:tcPr>
                  <w:tcW w:w="562" w:type="pct"/>
                  <w:vAlign w:val="center"/>
                </w:tcPr>
                <w:p w14:paraId="56CD020A">
                  <w:pPr>
                    <w:keepNext w:val="0"/>
                    <w:keepLines w:val="0"/>
                    <w:suppressLineNumbers w:val="0"/>
                    <w:spacing w:before="0" w:beforeAutospacing="0" w:after="0" w:afterAutospacing="0" w:line="276" w:lineRule="auto"/>
                    <w:ind w:left="0" w:right="0"/>
                    <w:jc w:val="center"/>
                    <w:rPr>
                      <w:rFonts w:hint="default" w:ascii="Times New Roman" w:hAnsi="Times New Roman" w:eastAsia="宋体" w:cs="Times New Roman"/>
                      <w:sz w:val="21"/>
                      <w:szCs w:val="21"/>
                      <w:highlight w:val="none"/>
                    </w:rPr>
                  </w:pPr>
                  <w:r>
                    <w:rPr>
                      <w:rFonts w:hint="eastAsia" w:ascii="Times New Roman" w:hAnsi="Times New Roman" w:eastAsia="宋体" w:cs="Times New Roman"/>
                      <w:sz w:val="21"/>
                      <w:szCs w:val="21"/>
                      <w:highlight w:val="none"/>
                    </w:rPr>
                    <w:t>噪声预测值</w:t>
                  </w:r>
                </w:p>
              </w:tc>
              <w:tc>
                <w:tcPr>
                  <w:tcW w:w="526" w:type="pct"/>
                  <w:vAlign w:val="center"/>
                </w:tcPr>
                <w:p w14:paraId="32B54ED1">
                  <w:pPr>
                    <w:keepNext w:val="0"/>
                    <w:keepLines w:val="0"/>
                    <w:suppressLineNumbers w:val="0"/>
                    <w:spacing w:before="0" w:beforeAutospacing="0" w:after="0" w:afterAutospacing="0" w:line="276" w:lineRule="auto"/>
                    <w:ind w:left="0" w:right="0"/>
                    <w:jc w:val="center"/>
                    <w:rPr>
                      <w:rFonts w:hint="default" w:ascii="Times New Roman" w:hAnsi="Times New Roman" w:eastAsia="宋体" w:cs="Times New Roman"/>
                      <w:sz w:val="21"/>
                      <w:szCs w:val="21"/>
                      <w:highlight w:val="none"/>
                    </w:rPr>
                  </w:pPr>
                  <w:r>
                    <w:rPr>
                      <w:rFonts w:hint="eastAsia" w:ascii="Times New Roman" w:hAnsi="Times New Roman" w:eastAsia="宋体" w:cs="Times New Roman"/>
                      <w:sz w:val="21"/>
                      <w:szCs w:val="21"/>
                      <w:highlight w:val="none"/>
                    </w:rPr>
                    <w:t>标准要求</w:t>
                  </w:r>
                </w:p>
              </w:tc>
              <w:tc>
                <w:tcPr>
                  <w:tcW w:w="616" w:type="pct"/>
                  <w:vAlign w:val="center"/>
                </w:tcPr>
                <w:p w14:paraId="7ADE1F1A">
                  <w:pPr>
                    <w:keepNext w:val="0"/>
                    <w:keepLines w:val="0"/>
                    <w:suppressLineNumbers w:val="0"/>
                    <w:spacing w:before="0" w:beforeAutospacing="0" w:after="0" w:afterAutospacing="0" w:line="276" w:lineRule="auto"/>
                    <w:ind w:left="0" w:right="0"/>
                    <w:jc w:val="center"/>
                    <w:rPr>
                      <w:rFonts w:hint="default" w:ascii="Times New Roman" w:hAnsi="Times New Roman" w:eastAsia="宋体" w:cs="Times New Roman"/>
                      <w:sz w:val="21"/>
                      <w:szCs w:val="21"/>
                      <w:highlight w:val="none"/>
                    </w:rPr>
                  </w:pPr>
                  <w:r>
                    <w:rPr>
                      <w:rFonts w:hint="eastAsia" w:ascii="Times New Roman" w:hAnsi="Times New Roman" w:eastAsia="宋体" w:cs="Times New Roman"/>
                      <w:sz w:val="21"/>
                      <w:szCs w:val="21"/>
                      <w:highlight w:val="none"/>
                    </w:rPr>
                    <w:t>达标情况</w:t>
                  </w:r>
                </w:p>
              </w:tc>
            </w:tr>
            <w:tr w14:paraId="143C7B2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95" w:hRule="atLeast"/>
              </w:trPr>
              <w:tc>
                <w:tcPr>
                  <w:tcW w:w="405" w:type="pct"/>
                  <w:vMerge w:val="restart"/>
                  <w:vAlign w:val="center"/>
                </w:tcPr>
                <w:p w14:paraId="15E8DB4D">
                  <w:pPr>
                    <w:keepNext w:val="0"/>
                    <w:keepLines w:val="0"/>
                    <w:suppressLineNumbers w:val="0"/>
                    <w:spacing w:before="0" w:beforeAutospacing="0" w:after="0" w:afterAutospacing="0" w:line="276" w:lineRule="auto"/>
                    <w:ind w:left="0" w:right="0"/>
                    <w:jc w:val="center"/>
                    <w:rPr>
                      <w:rFonts w:hint="default" w:ascii="Times New Roman" w:hAnsi="Times New Roman" w:eastAsia="宋体" w:cs="Times New Roman"/>
                      <w:sz w:val="21"/>
                      <w:szCs w:val="21"/>
                      <w:highlight w:val="none"/>
                    </w:rPr>
                  </w:pPr>
                  <w:r>
                    <w:rPr>
                      <w:rFonts w:hint="eastAsia" w:ascii="Times New Roman" w:hAnsi="Times New Roman" w:eastAsia="宋体" w:cs="Times New Roman"/>
                      <w:sz w:val="21"/>
                      <w:szCs w:val="21"/>
                      <w:highlight w:val="none"/>
                    </w:rPr>
                    <w:t>1</w:t>
                  </w:r>
                </w:p>
              </w:tc>
              <w:tc>
                <w:tcPr>
                  <w:tcW w:w="1206" w:type="pct"/>
                  <w:vMerge w:val="restart"/>
                  <w:vAlign w:val="center"/>
                </w:tcPr>
                <w:p w14:paraId="751F0B95">
                  <w:pPr>
                    <w:keepNext w:val="0"/>
                    <w:keepLines w:val="0"/>
                    <w:suppressLineNumbers w:val="0"/>
                    <w:spacing w:before="0" w:beforeAutospacing="0" w:after="0" w:afterAutospacing="0" w:line="276" w:lineRule="auto"/>
                    <w:ind w:left="0" w:right="0"/>
                    <w:jc w:val="center"/>
                    <w:rPr>
                      <w:rFonts w:hint="default" w:ascii="Times New Roman" w:hAnsi="Times New Roman" w:eastAsia="宋体" w:cs="Times New Roman"/>
                      <w:sz w:val="21"/>
                      <w:szCs w:val="21"/>
                      <w:highlight w:val="none"/>
                    </w:rPr>
                  </w:pPr>
                  <w:r>
                    <w:rPr>
                      <w:rFonts w:hint="eastAsia" w:ascii="Times New Roman" w:hAnsi="Times New Roman" w:eastAsia="宋体" w:cs="Times New Roman"/>
                      <w:kern w:val="2"/>
                      <w:sz w:val="21"/>
                      <w:szCs w:val="24"/>
                      <w:highlight w:val="none"/>
                      <w:lang w:val="en-US" w:eastAsia="zh-CN" w:bidi="ar-SA"/>
                    </w:rPr>
                    <w:t>四省边际中心医院（闽江大道院区）</w:t>
                  </w:r>
                </w:p>
              </w:tc>
              <w:tc>
                <w:tcPr>
                  <w:tcW w:w="435" w:type="pct"/>
                  <w:vAlign w:val="center"/>
                </w:tcPr>
                <w:p w14:paraId="29103F86">
                  <w:pPr>
                    <w:keepNext w:val="0"/>
                    <w:keepLines w:val="0"/>
                    <w:suppressLineNumbers w:val="0"/>
                    <w:spacing w:before="0" w:beforeAutospacing="0" w:after="0" w:afterAutospacing="0" w:line="276" w:lineRule="auto"/>
                    <w:ind w:left="0" w:right="0"/>
                    <w:jc w:val="center"/>
                    <w:rPr>
                      <w:rFonts w:hint="default" w:ascii="Times New Roman" w:hAnsi="Times New Roman" w:eastAsia="宋体" w:cs="Times New Roman"/>
                      <w:sz w:val="21"/>
                      <w:szCs w:val="21"/>
                      <w:highlight w:val="none"/>
                    </w:rPr>
                  </w:pPr>
                  <w:r>
                    <w:rPr>
                      <w:rFonts w:hint="eastAsia" w:ascii="Times New Roman" w:hAnsi="Times New Roman" w:eastAsia="宋体" w:cs="Times New Roman"/>
                      <w:sz w:val="21"/>
                      <w:szCs w:val="21"/>
                      <w:highlight w:val="none"/>
                    </w:rPr>
                    <w:t>昼间</w:t>
                  </w:r>
                </w:p>
              </w:tc>
              <w:tc>
                <w:tcPr>
                  <w:tcW w:w="544" w:type="pct"/>
                  <w:vAlign w:val="center"/>
                </w:tcPr>
                <w:p w14:paraId="02A18F31">
                  <w:pPr>
                    <w:keepNext w:val="0"/>
                    <w:keepLines w:val="0"/>
                    <w:suppressLineNumbers w:val="0"/>
                    <w:spacing w:before="0" w:beforeAutospacing="0" w:after="0" w:afterAutospacing="0" w:line="276" w:lineRule="auto"/>
                    <w:ind w:left="0" w:right="0"/>
                    <w:jc w:val="center"/>
                    <w:rPr>
                      <w:rFonts w:hint="default" w:ascii="Times New Roman" w:hAnsi="Times New Roman" w:eastAsia="宋体" w:cs="Times New Roman"/>
                      <w:sz w:val="21"/>
                      <w:szCs w:val="21"/>
                      <w:highlight w:val="none"/>
                      <w:lang w:val="en-US" w:eastAsia="zh-CN"/>
                    </w:rPr>
                  </w:pPr>
                  <w:r>
                    <w:rPr>
                      <w:rFonts w:hint="eastAsia" w:ascii="Times New Roman" w:hAnsi="Times New Roman" w:eastAsia="宋体" w:cs="Times New Roman"/>
                      <w:sz w:val="21"/>
                      <w:szCs w:val="21"/>
                      <w:highlight w:val="none"/>
                      <w:lang w:val="en-US" w:eastAsia="zh-CN"/>
                    </w:rPr>
                    <w:t>33</w:t>
                  </w:r>
                </w:p>
              </w:tc>
              <w:tc>
                <w:tcPr>
                  <w:tcW w:w="702" w:type="pct"/>
                  <w:vAlign w:val="center"/>
                </w:tcPr>
                <w:p w14:paraId="61A9F986">
                  <w:pPr>
                    <w:keepNext w:val="0"/>
                    <w:keepLines w:val="0"/>
                    <w:suppressLineNumbers w:val="0"/>
                    <w:spacing w:before="0" w:beforeAutospacing="0" w:after="0" w:afterAutospacing="0" w:line="276" w:lineRule="auto"/>
                    <w:ind w:left="0" w:right="0"/>
                    <w:jc w:val="center"/>
                    <w:rPr>
                      <w:rFonts w:hint="default" w:ascii="Times New Roman" w:hAnsi="Times New Roman" w:eastAsia="宋体" w:cs="Times New Roman"/>
                      <w:sz w:val="21"/>
                      <w:szCs w:val="21"/>
                      <w:highlight w:val="none"/>
                      <w:lang w:val="en-US" w:eastAsia="zh-CN"/>
                    </w:rPr>
                  </w:pPr>
                  <w:r>
                    <w:rPr>
                      <w:rFonts w:hint="eastAsia" w:ascii="Times New Roman" w:hAnsi="Times New Roman" w:eastAsia="宋体" w:cs="Times New Roman"/>
                      <w:sz w:val="21"/>
                      <w:szCs w:val="21"/>
                      <w:highlight w:val="none"/>
                      <w:lang w:val="en-US" w:eastAsia="zh-CN"/>
                    </w:rPr>
                    <w:t>66</w:t>
                  </w:r>
                </w:p>
              </w:tc>
              <w:tc>
                <w:tcPr>
                  <w:tcW w:w="562" w:type="pct"/>
                  <w:shd w:val="clear" w:color="auto" w:fill="auto"/>
                  <w:vAlign w:val="center"/>
                </w:tcPr>
                <w:p w14:paraId="4FFAA188">
                  <w:pPr>
                    <w:keepNext w:val="0"/>
                    <w:keepLines w:val="0"/>
                    <w:suppressLineNumbers w:val="0"/>
                    <w:spacing w:before="0" w:beforeAutospacing="0" w:after="0" w:afterAutospacing="0" w:line="276" w:lineRule="auto"/>
                    <w:ind w:left="0" w:right="0"/>
                    <w:jc w:val="center"/>
                    <w:rPr>
                      <w:rFonts w:hint="default" w:ascii="Times New Roman" w:hAnsi="Times New Roman" w:eastAsia="宋体" w:cs="Times New Roman"/>
                      <w:kern w:val="2"/>
                      <w:sz w:val="21"/>
                      <w:szCs w:val="21"/>
                      <w:highlight w:val="none"/>
                      <w:lang w:val="en-US" w:eastAsia="zh-CN" w:bidi="ar-SA"/>
                    </w:rPr>
                  </w:pPr>
                  <w:r>
                    <w:rPr>
                      <w:rFonts w:hint="eastAsia" w:ascii="Times New Roman" w:hAnsi="Times New Roman" w:eastAsia="宋体" w:cs="Times New Roman"/>
                      <w:sz w:val="21"/>
                      <w:szCs w:val="21"/>
                      <w:highlight w:val="none"/>
                      <w:lang w:val="en-US" w:eastAsia="zh-CN"/>
                    </w:rPr>
                    <w:t>66</w:t>
                  </w:r>
                </w:p>
              </w:tc>
              <w:tc>
                <w:tcPr>
                  <w:tcW w:w="526" w:type="pct"/>
                  <w:vAlign w:val="center"/>
                </w:tcPr>
                <w:p w14:paraId="2BE4DFBA">
                  <w:pPr>
                    <w:keepNext w:val="0"/>
                    <w:keepLines w:val="0"/>
                    <w:suppressLineNumbers w:val="0"/>
                    <w:spacing w:before="0" w:beforeAutospacing="0" w:after="0" w:afterAutospacing="0" w:line="276" w:lineRule="auto"/>
                    <w:ind w:left="0" w:right="0"/>
                    <w:jc w:val="center"/>
                    <w:rPr>
                      <w:rFonts w:hint="default" w:ascii="Times New Roman" w:hAnsi="Times New Roman" w:eastAsia="宋体" w:cs="Times New Roman"/>
                      <w:sz w:val="21"/>
                      <w:szCs w:val="21"/>
                      <w:highlight w:val="none"/>
                      <w:lang w:val="en-US" w:eastAsia="zh-CN"/>
                    </w:rPr>
                  </w:pPr>
                  <w:r>
                    <w:rPr>
                      <w:rFonts w:hint="eastAsia" w:ascii="Times New Roman" w:hAnsi="Times New Roman" w:eastAsia="宋体" w:cs="Times New Roman"/>
                      <w:sz w:val="21"/>
                      <w:szCs w:val="21"/>
                      <w:highlight w:val="none"/>
                      <w:lang w:val="en-US" w:eastAsia="zh-CN"/>
                    </w:rPr>
                    <w:t>70</w:t>
                  </w:r>
                </w:p>
              </w:tc>
              <w:tc>
                <w:tcPr>
                  <w:tcW w:w="616" w:type="pct"/>
                  <w:vAlign w:val="center"/>
                </w:tcPr>
                <w:p w14:paraId="64F0960E">
                  <w:pPr>
                    <w:keepNext w:val="0"/>
                    <w:keepLines w:val="0"/>
                    <w:suppressLineNumbers w:val="0"/>
                    <w:spacing w:before="0" w:beforeAutospacing="0" w:after="0" w:afterAutospacing="0" w:line="276" w:lineRule="auto"/>
                    <w:ind w:left="0" w:right="0"/>
                    <w:jc w:val="center"/>
                    <w:rPr>
                      <w:rFonts w:hint="default" w:ascii="Times New Roman" w:hAnsi="Times New Roman" w:eastAsia="宋体" w:cs="Times New Roman"/>
                      <w:sz w:val="21"/>
                      <w:szCs w:val="21"/>
                      <w:highlight w:val="none"/>
                    </w:rPr>
                  </w:pPr>
                  <w:r>
                    <w:rPr>
                      <w:rFonts w:hint="eastAsia" w:ascii="Times New Roman" w:hAnsi="Times New Roman" w:eastAsia="宋体" w:cs="Times New Roman"/>
                      <w:sz w:val="21"/>
                      <w:szCs w:val="21"/>
                      <w:highlight w:val="none"/>
                    </w:rPr>
                    <w:t>达标</w:t>
                  </w:r>
                </w:p>
              </w:tc>
            </w:tr>
            <w:tr w14:paraId="0C12976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51" w:hRule="atLeast"/>
              </w:trPr>
              <w:tc>
                <w:tcPr>
                  <w:tcW w:w="405" w:type="pct"/>
                  <w:vMerge w:val="continue"/>
                  <w:vAlign w:val="center"/>
                </w:tcPr>
                <w:p w14:paraId="461B074A">
                  <w:pPr>
                    <w:keepNext w:val="0"/>
                    <w:keepLines w:val="0"/>
                    <w:suppressLineNumbers w:val="0"/>
                    <w:spacing w:before="0" w:beforeAutospacing="0" w:after="0" w:afterAutospacing="0" w:line="276" w:lineRule="auto"/>
                    <w:ind w:left="0" w:right="0"/>
                    <w:jc w:val="center"/>
                    <w:rPr>
                      <w:rFonts w:hint="default" w:ascii="Times New Roman" w:hAnsi="Times New Roman" w:eastAsia="宋体" w:cs="Times New Roman"/>
                      <w:highlight w:val="none"/>
                    </w:rPr>
                  </w:pPr>
                </w:p>
              </w:tc>
              <w:tc>
                <w:tcPr>
                  <w:tcW w:w="1206" w:type="pct"/>
                  <w:vMerge w:val="continue"/>
                  <w:vAlign w:val="center"/>
                </w:tcPr>
                <w:p w14:paraId="48A1FE6B">
                  <w:pPr>
                    <w:keepNext w:val="0"/>
                    <w:keepLines w:val="0"/>
                    <w:suppressLineNumbers w:val="0"/>
                    <w:spacing w:before="0" w:beforeAutospacing="0" w:after="0" w:afterAutospacing="0" w:line="276" w:lineRule="auto"/>
                    <w:ind w:left="0" w:right="0"/>
                    <w:jc w:val="center"/>
                    <w:rPr>
                      <w:rFonts w:hint="default" w:ascii="Times New Roman" w:hAnsi="Times New Roman" w:eastAsia="宋体" w:cs="Times New Roman"/>
                      <w:sz w:val="21"/>
                      <w:szCs w:val="21"/>
                      <w:highlight w:val="none"/>
                    </w:rPr>
                  </w:pPr>
                </w:p>
              </w:tc>
              <w:tc>
                <w:tcPr>
                  <w:tcW w:w="435" w:type="pct"/>
                  <w:vAlign w:val="center"/>
                </w:tcPr>
                <w:p w14:paraId="46F5E01E">
                  <w:pPr>
                    <w:keepNext w:val="0"/>
                    <w:keepLines w:val="0"/>
                    <w:suppressLineNumbers w:val="0"/>
                    <w:spacing w:before="0" w:beforeAutospacing="0" w:after="0" w:afterAutospacing="0" w:line="276" w:lineRule="auto"/>
                    <w:ind w:left="0" w:right="0"/>
                    <w:jc w:val="center"/>
                    <w:rPr>
                      <w:rFonts w:hint="default" w:ascii="Times New Roman" w:hAnsi="Times New Roman" w:eastAsia="宋体" w:cs="Times New Roman"/>
                      <w:sz w:val="21"/>
                      <w:szCs w:val="21"/>
                      <w:highlight w:val="none"/>
                    </w:rPr>
                  </w:pPr>
                  <w:r>
                    <w:rPr>
                      <w:rFonts w:hint="eastAsia" w:ascii="Times New Roman" w:hAnsi="Times New Roman" w:eastAsia="宋体" w:cs="Times New Roman"/>
                      <w:sz w:val="21"/>
                      <w:szCs w:val="21"/>
                      <w:highlight w:val="none"/>
                    </w:rPr>
                    <w:t>夜间</w:t>
                  </w:r>
                </w:p>
              </w:tc>
              <w:tc>
                <w:tcPr>
                  <w:tcW w:w="544" w:type="pct"/>
                  <w:vAlign w:val="center"/>
                </w:tcPr>
                <w:p w14:paraId="2A27D308">
                  <w:pPr>
                    <w:keepNext w:val="0"/>
                    <w:keepLines w:val="0"/>
                    <w:suppressLineNumbers w:val="0"/>
                    <w:spacing w:before="0" w:beforeAutospacing="0" w:after="0" w:afterAutospacing="0" w:line="276" w:lineRule="auto"/>
                    <w:ind w:left="0" w:right="0"/>
                    <w:jc w:val="center"/>
                    <w:rPr>
                      <w:rFonts w:hint="default" w:ascii="Times New Roman" w:hAnsi="Times New Roman" w:eastAsia="宋体" w:cs="Times New Roman"/>
                      <w:sz w:val="21"/>
                      <w:szCs w:val="21"/>
                      <w:highlight w:val="none"/>
                      <w:lang w:val="en-US" w:eastAsia="zh-CN"/>
                    </w:rPr>
                  </w:pPr>
                  <w:r>
                    <w:rPr>
                      <w:rFonts w:hint="eastAsia" w:ascii="Times New Roman" w:hAnsi="Times New Roman" w:eastAsia="宋体" w:cs="Times New Roman"/>
                      <w:sz w:val="21"/>
                      <w:szCs w:val="21"/>
                      <w:highlight w:val="none"/>
                      <w:lang w:val="en-US" w:eastAsia="zh-CN"/>
                    </w:rPr>
                    <w:t>21</w:t>
                  </w:r>
                </w:p>
              </w:tc>
              <w:tc>
                <w:tcPr>
                  <w:tcW w:w="702" w:type="pct"/>
                  <w:vAlign w:val="center"/>
                </w:tcPr>
                <w:p w14:paraId="160D2A02">
                  <w:pPr>
                    <w:keepNext w:val="0"/>
                    <w:keepLines w:val="0"/>
                    <w:suppressLineNumbers w:val="0"/>
                    <w:spacing w:before="0" w:beforeAutospacing="0" w:after="0" w:afterAutospacing="0" w:line="276" w:lineRule="auto"/>
                    <w:ind w:left="0" w:right="0"/>
                    <w:jc w:val="center"/>
                    <w:rPr>
                      <w:rFonts w:hint="eastAsia" w:ascii="Times New Roman" w:hAnsi="Times New Roman" w:eastAsia="宋体" w:cs="Times New Roman"/>
                      <w:sz w:val="21"/>
                      <w:szCs w:val="21"/>
                      <w:highlight w:val="none"/>
                      <w:lang w:val="en-US" w:eastAsia="zh-CN"/>
                    </w:rPr>
                  </w:pPr>
                  <w:r>
                    <w:rPr>
                      <w:rFonts w:hint="eastAsia" w:ascii="Times New Roman" w:hAnsi="Times New Roman" w:eastAsia="宋体" w:cs="Times New Roman"/>
                      <w:sz w:val="21"/>
                      <w:szCs w:val="21"/>
                      <w:highlight w:val="none"/>
                    </w:rPr>
                    <w:t>4</w:t>
                  </w:r>
                  <w:r>
                    <w:rPr>
                      <w:rFonts w:hint="eastAsia" w:ascii="Times New Roman" w:hAnsi="Times New Roman" w:eastAsia="宋体" w:cs="Times New Roman"/>
                      <w:sz w:val="21"/>
                      <w:szCs w:val="21"/>
                      <w:highlight w:val="none"/>
                      <w:lang w:val="en-US" w:eastAsia="zh-CN"/>
                    </w:rPr>
                    <w:t>7</w:t>
                  </w:r>
                </w:p>
              </w:tc>
              <w:tc>
                <w:tcPr>
                  <w:tcW w:w="562" w:type="pct"/>
                  <w:shd w:val="clear" w:color="auto" w:fill="auto"/>
                  <w:vAlign w:val="center"/>
                </w:tcPr>
                <w:p w14:paraId="72ED5396">
                  <w:pPr>
                    <w:keepNext w:val="0"/>
                    <w:keepLines w:val="0"/>
                    <w:suppressLineNumbers w:val="0"/>
                    <w:spacing w:before="0" w:beforeAutospacing="0" w:after="0" w:afterAutospacing="0" w:line="276" w:lineRule="auto"/>
                    <w:ind w:left="0" w:right="0"/>
                    <w:jc w:val="center"/>
                    <w:rPr>
                      <w:rFonts w:hint="eastAsia" w:ascii="Times New Roman" w:hAnsi="Times New Roman" w:eastAsia="宋体" w:cs="Times New Roman"/>
                      <w:kern w:val="2"/>
                      <w:sz w:val="21"/>
                      <w:szCs w:val="21"/>
                      <w:highlight w:val="none"/>
                      <w:lang w:val="en-US" w:eastAsia="zh-CN" w:bidi="ar-SA"/>
                    </w:rPr>
                  </w:pPr>
                  <w:r>
                    <w:rPr>
                      <w:rFonts w:hint="eastAsia" w:ascii="Times New Roman" w:hAnsi="Times New Roman" w:eastAsia="宋体" w:cs="Times New Roman"/>
                      <w:sz w:val="21"/>
                      <w:szCs w:val="21"/>
                      <w:highlight w:val="none"/>
                    </w:rPr>
                    <w:t>4</w:t>
                  </w:r>
                  <w:r>
                    <w:rPr>
                      <w:rFonts w:hint="eastAsia" w:ascii="Times New Roman" w:hAnsi="Times New Roman" w:eastAsia="宋体" w:cs="Times New Roman"/>
                      <w:sz w:val="21"/>
                      <w:szCs w:val="21"/>
                      <w:highlight w:val="none"/>
                      <w:lang w:val="en-US" w:eastAsia="zh-CN"/>
                    </w:rPr>
                    <w:t>7</w:t>
                  </w:r>
                </w:p>
              </w:tc>
              <w:tc>
                <w:tcPr>
                  <w:tcW w:w="526" w:type="pct"/>
                  <w:vAlign w:val="center"/>
                </w:tcPr>
                <w:p w14:paraId="632856E6">
                  <w:pPr>
                    <w:keepNext w:val="0"/>
                    <w:keepLines w:val="0"/>
                    <w:suppressLineNumbers w:val="0"/>
                    <w:spacing w:before="0" w:beforeAutospacing="0" w:after="0" w:afterAutospacing="0" w:line="276" w:lineRule="auto"/>
                    <w:ind w:left="0" w:right="0"/>
                    <w:jc w:val="center"/>
                    <w:rPr>
                      <w:rFonts w:hint="default" w:ascii="Times New Roman" w:hAnsi="Times New Roman" w:eastAsia="宋体" w:cs="Times New Roman"/>
                      <w:sz w:val="21"/>
                      <w:szCs w:val="21"/>
                      <w:highlight w:val="none"/>
                      <w:lang w:val="en-US" w:eastAsia="zh-CN"/>
                    </w:rPr>
                  </w:pPr>
                  <w:r>
                    <w:rPr>
                      <w:rFonts w:hint="eastAsia" w:ascii="Times New Roman" w:hAnsi="Times New Roman" w:eastAsia="宋体" w:cs="Times New Roman"/>
                      <w:sz w:val="21"/>
                      <w:szCs w:val="21"/>
                      <w:highlight w:val="none"/>
                      <w:lang w:val="en-US" w:eastAsia="zh-CN"/>
                    </w:rPr>
                    <w:t>55</w:t>
                  </w:r>
                </w:p>
              </w:tc>
              <w:tc>
                <w:tcPr>
                  <w:tcW w:w="616" w:type="pct"/>
                  <w:vAlign w:val="center"/>
                </w:tcPr>
                <w:p w14:paraId="26D2A919">
                  <w:pPr>
                    <w:keepNext w:val="0"/>
                    <w:keepLines w:val="0"/>
                    <w:suppressLineNumbers w:val="0"/>
                    <w:spacing w:before="0" w:beforeAutospacing="0" w:after="0" w:afterAutospacing="0" w:line="276" w:lineRule="auto"/>
                    <w:ind w:left="0" w:right="0"/>
                    <w:jc w:val="center"/>
                    <w:rPr>
                      <w:rFonts w:hint="default" w:ascii="Times New Roman" w:hAnsi="Times New Roman" w:eastAsia="宋体" w:cs="Times New Roman"/>
                      <w:sz w:val="21"/>
                      <w:szCs w:val="21"/>
                      <w:highlight w:val="none"/>
                    </w:rPr>
                  </w:pPr>
                  <w:r>
                    <w:rPr>
                      <w:rFonts w:hint="eastAsia" w:ascii="Times New Roman" w:hAnsi="Times New Roman" w:eastAsia="宋体" w:cs="Times New Roman"/>
                      <w:sz w:val="21"/>
                      <w:szCs w:val="21"/>
                      <w:highlight w:val="none"/>
                    </w:rPr>
                    <w:t>达标</w:t>
                  </w:r>
                </w:p>
              </w:tc>
            </w:tr>
          </w:tbl>
          <w:p w14:paraId="08F0D79B">
            <w:pPr>
              <w:keepNext w:val="0"/>
              <w:keepLines w:val="0"/>
              <w:suppressLineNumbers w:val="0"/>
              <w:adjustRightInd w:val="0"/>
              <w:snapToGrid w:val="0"/>
              <w:spacing w:before="0" w:beforeAutospacing="0" w:after="0" w:afterAutospacing="0" w:line="360" w:lineRule="auto"/>
              <w:ind w:left="0" w:right="0" w:firstLine="480" w:firstLineChars="200"/>
              <w:rPr>
                <w:rFonts w:hint="eastAsia" w:ascii="Times New Roman" w:hAnsi="Times New Roman" w:eastAsia="宋体" w:cs="Times New Roman"/>
                <w:b/>
                <w:bCs/>
                <w:spacing w:val="-10"/>
                <w:highlight w:val="none"/>
                <w:lang w:eastAsia="zh-CN"/>
              </w:rPr>
            </w:pPr>
            <w:r>
              <w:rPr>
                <w:rFonts w:hint="eastAsia" w:ascii="Times New Roman" w:hAnsi="Times New Roman" w:eastAsia="宋体" w:cs="Times New Roman"/>
                <w:highlight w:val="none"/>
              </w:rPr>
              <w:t>由预测结果可知，项目环境保护目标声环境质量预测结果能满足《声环境质量标准》（GB3096-2008）的1类标准</w:t>
            </w:r>
            <w:r>
              <w:rPr>
                <w:rFonts w:hint="eastAsia" w:ascii="Times New Roman" w:hAnsi="Times New Roman" w:eastAsia="宋体" w:cs="Times New Roman"/>
                <w:highlight w:val="none"/>
                <w:lang w:eastAsia="zh-CN"/>
              </w:rPr>
              <w:t>。</w:t>
            </w:r>
          </w:p>
          <w:p w14:paraId="212880B4">
            <w:pPr>
              <w:keepNext w:val="0"/>
              <w:keepLines w:val="0"/>
              <w:suppressLineNumbers w:val="0"/>
              <w:adjustRightInd w:val="0"/>
              <w:snapToGrid w:val="0"/>
              <w:spacing w:before="0" w:beforeAutospacing="0" w:after="0" w:afterAutospacing="0" w:line="360" w:lineRule="auto"/>
              <w:ind w:left="0" w:right="0"/>
              <w:rPr>
                <w:rFonts w:hint="default" w:ascii="Times New Roman" w:hAnsi="Times New Roman" w:eastAsia="宋体" w:cs="Times New Roman"/>
                <w:b/>
                <w:bCs/>
                <w:spacing w:val="-10"/>
                <w:highlight w:val="none"/>
              </w:rPr>
            </w:pPr>
            <w:r>
              <w:rPr>
                <w:rFonts w:hint="default" w:ascii="Times New Roman" w:hAnsi="Times New Roman" w:eastAsia="宋体" w:cs="Times New Roman"/>
                <w:b/>
                <w:bCs/>
                <w:spacing w:val="-10"/>
                <w:highlight w:val="none"/>
              </w:rPr>
              <w:t>4</w:t>
            </w:r>
            <w:r>
              <w:rPr>
                <w:rFonts w:hint="eastAsia" w:ascii="Times New Roman" w:hAnsi="Times New Roman" w:eastAsia="宋体" w:cs="Times New Roman"/>
                <w:b/>
                <w:bCs/>
                <w:spacing w:val="-10"/>
                <w:highlight w:val="none"/>
              </w:rPr>
              <w:t>、</w:t>
            </w:r>
            <w:r>
              <w:rPr>
                <w:rFonts w:hint="eastAsia" w:ascii="Times New Roman" w:hAnsi="Times New Roman" w:eastAsia="宋体" w:cs="Times New Roman"/>
                <w:b/>
                <w:highlight w:val="none"/>
              </w:rPr>
              <w:t>固体废物</w:t>
            </w:r>
          </w:p>
          <w:p w14:paraId="5304264D">
            <w:pPr>
              <w:keepNext w:val="0"/>
              <w:keepLines w:val="0"/>
              <w:suppressLineNumbers w:val="0"/>
              <w:adjustRightInd w:val="0"/>
              <w:snapToGrid w:val="0"/>
              <w:spacing w:before="0" w:beforeAutospacing="0" w:after="0" w:afterAutospacing="0" w:line="343" w:lineRule="auto"/>
              <w:ind w:left="0" w:right="0" w:firstLine="482" w:firstLineChars="200"/>
              <w:rPr>
                <w:rFonts w:hint="default" w:ascii="Times New Roman" w:hAnsi="Times New Roman" w:eastAsia="宋体" w:cs="Times New Roman"/>
                <w:b/>
                <w:highlight w:val="none"/>
              </w:rPr>
            </w:pPr>
            <w:r>
              <w:rPr>
                <w:rFonts w:hint="eastAsia" w:ascii="Times New Roman" w:hAnsi="Times New Roman" w:eastAsia="宋体" w:cs="Times New Roman"/>
                <w:b/>
                <w:highlight w:val="none"/>
              </w:rPr>
              <w:t>（</w:t>
            </w:r>
            <w:r>
              <w:rPr>
                <w:rFonts w:hint="default" w:ascii="Times New Roman" w:hAnsi="Times New Roman" w:eastAsia="宋体" w:cs="Times New Roman"/>
                <w:b/>
                <w:highlight w:val="none"/>
              </w:rPr>
              <w:t>1</w:t>
            </w:r>
            <w:r>
              <w:rPr>
                <w:rFonts w:hint="eastAsia" w:ascii="Times New Roman" w:hAnsi="Times New Roman" w:eastAsia="宋体" w:cs="Times New Roman"/>
                <w:b/>
                <w:highlight w:val="none"/>
              </w:rPr>
              <w:t>）固废污染物源强</w:t>
            </w:r>
          </w:p>
          <w:p w14:paraId="5567B9B4">
            <w:pPr>
              <w:keepNext w:val="0"/>
              <w:keepLines w:val="0"/>
              <w:suppressLineNumbers w:val="0"/>
              <w:adjustRightInd w:val="0"/>
              <w:snapToGrid w:val="0"/>
              <w:spacing w:before="0" w:beforeAutospacing="0" w:after="0" w:afterAutospacing="0" w:line="343" w:lineRule="auto"/>
              <w:ind w:left="0" w:right="0" w:firstLine="480" w:firstLineChars="200"/>
              <w:rPr>
                <w:rFonts w:hint="default" w:ascii="Times New Roman" w:hAnsi="Times New Roman" w:eastAsia="宋体" w:cs="Times New Roman"/>
                <w:highlight w:val="none"/>
              </w:rPr>
            </w:pPr>
            <w:r>
              <w:rPr>
                <w:rFonts w:hint="eastAsia" w:ascii="Times New Roman" w:hAnsi="Times New Roman" w:eastAsia="宋体" w:cs="Times New Roman"/>
                <w:highlight w:val="none"/>
              </w:rPr>
              <w:t>项目固体废物污染源源强核算结果及相关参数见表</w:t>
            </w:r>
            <w:r>
              <w:rPr>
                <w:rFonts w:hint="default" w:ascii="Times New Roman" w:hAnsi="Times New Roman" w:eastAsia="宋体" w:cs="Times New Roman"/>
                <w:highlight w:val="none"/>
              </w:rPr>
              <w:t>4-</w:t>
            </w:r>
            <w:r>
              <w:rPr>
                <w:rFonts w:hint="eastAsia" w:cs="Times New Roman"/>
                <w:highlight w:val="none"/>
                <w:lang w:val="en-US" w:eastAsia="zh-CN"/>
              </w:rPr>
              <w:t>12</w:t>
            </w:r>
            <w:r>
              <w:rPr>
                <w:rFonts w:hint="eastAsia" w:ascii="Times New Roman" w:hAnsi="Times New Roman" w:eastAsia="宋体" w:cs="Times New Roman"/>
                <w:highlight w:val="none"/>
              </w:rPr>
              <w:t>与</w:t>
            </w:r>
            <w:r>
              <w:rPr>
                <w:rFonts w:hint="default" w:ascii="Times New Roman" w:hAnsi="Times New Roman" w:eastAsia="宋体" w:cs="Times New Roman"/>
                <w:highlight w:val="none"/>
              </w:rPr>
              <w:t>4-</w:t>
            </w:r>
            <w:r>
              <w:rPr>
                <w:rFonts w:hint="eastAsia" w:cs="Times New Roman"/>
                <w:highlight w:val="none"/>
                <w:lang w:val="en-US" w:eastAsia="zh-CN"/>
              </w:rPr>
              <w:t>13</w:t>
            </w:r>
            <w:r>
              <w:rPr>
                <w:rFonts w:hint="eastAsia" w:ascii="Times New Roman" w:hAnsi="Times New Roman" w:eastAsia="宋体" w:cs="Times New Roman"/>
                <w:highlight w:val="none"/>
              </w:rPr>
              <w:t>。</w:t>
            </w:r>
          </w:p>
          <w:p w14:paraId="36FD69D7">
            <w:pPr>
              <w:keepNext w:val="0"/>
              <w:keepLines w:val="0"/>
              <w:suppressLineNumbers w:val="0"/>
              <w:adjustRightInd w:val="0"/>
              <w:snapToGrid w:val="0"/>
              <w:spacing w:before="0" w:beforeAutospacing="0" w:after="0" w:afterAutospacing="0" w:line="343" w:lineRule="auto"/>
              <w:ind w:left="0" w:right="0" w:firstLine="482" w:firstLineChars="200"/>
              <w:jc w:val="center"/>
              <w:rPr>
                <w:rFonts w:hint="default" w:ascii="Times New Roman" w:hAnsi="Times New Roman" w:eastAsia="宋体" w:cs="Times New Roman"/>
                <w:b/>
                <w:highlight w:val="none"/>
              </w:rPr>
            </w:pPr>
            <w:r>
              <w:rPr>
                <w:rFonts w:hint="eastAsia" w:ascii="Times New Roman" w:hAnsi="Times New Roman" w:eastAsia="宋体" w:cs="Times New Roman"/>
                <w:b/>
                <w:highlight w:val="none"/>
              </w:rPr>
              <w:t>表</w:t>
            </w:r>
            <w:r>
              <w:rPr>
                <w:rFonts w:hint="default" w:ascii="Times New Roman" w:hAnsi="Times New Roman" w:eastAsia="宋体" w:cs="Times New Roman"/>
                <w:b/>
                <w:highlight w:val="none"/>
              </w:rPr>
              <w:t>4-</w:t>
            </w:r>
            <w:r>
              <w:rPr>
                <w:rFonts w:hint="eastAsia" w:cs="Times New Roman"/>
                <w:b/>
                <w:highlight w:val="none"/>
                <w:lang w:val="en-US" w:eastAsia="zh-CN"/>
              </w:rPr>
              <w:t>12</w:t>
            </w:r>
            <w:r>
              <w:rPr>
                <w:rFonts w:hint="default" w:ascii="Times New Roman" w:hAnsi="Times New Roman" w:eastAsia="宋体" w:cs="Times New Roman"/>
                <w:b/>
                <w:highlight w:val="none"/>
              </w:rPr>
              <w:t xml:space="preserve">  </w:t>
            </w:r>
            <w:r>
              <w:rPr>
                <w:rFonts w:hint="eastAsia" w:ascii="Times New Roman" w:hAnsi="Times New Roman" w:eastAsia="宋体" w:cs="Times New Roman"/>
                <w:b/>
                <w:highlight w:val="none"/>
              </w:rPr>
              <w:t>固体废物污染源源强产生情况表</w:t>
            </w:r>
          </w:p>
          <w:tbl>
            <w:tblPr>
              <w:tblStyle w:val="32"/>
              <w:tblW w:w="8258"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28" w:type="dxa"/>
                <w:bottom w:w="0" w:type="dxa"/>
                <w:right w:w="28" w:type="dxa"/>
              </w:tblCellMar>
            </w:tblPr>
            <w:tblGrid>
              <w:gridCol w:w="365"/>
              <w:gridCol w:w="930"/>
              <w:gridCol w:w="675"/>
              <w:gridCol w:w="615"/>
              <w:gridCol w:w="5673"/>
            </w:tblGrid>
            <w:tr w14:paraId="774A3ED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0" w:hRule="atLeast"/>
                <w:jc w:val="center"/>
              </w:trPr>
              <w:tc>
                <w:tcPr>
                  <w:tcW w:w="365" w:type="dxa"/>
                  <w:tcBorders>
                    <w:top w:val="single" w:color="auto" w:sz="4" w:space="0"/>
                    <w:left w:val="single" w:color="auto" w:sz="4" w:space="0"/>
                    <w:bottom w:val="single" w:color="auto" w:sz="4" w:space="0"/>
                    <w:right w:val="single" w:color="auto" w:sz="4" w:space="0"/>
                  </w:tcBorders>
                  <w:vAlign w:val="center"/>
                </w:tcPr>
                <w:p w14:paraId="1E7FE6C8">
                  <w:pPr>
                    <w:keepNext w:val="0"/>
                    <w:keepLines w:val="0"/>
                    <w:pageBreakBefore w:val="0"/>
                    <w:suppressLineNumbers w:val="0"/>
                    <w:kinsoku/>
                    <w:wordWrap/>
                    <w:overflowPunct/>
                    <w:topLinePunct w:val="0"/>
                    <w:autoSpaceDE/>
                    <w:autoSpaceDN/>
                    <w:bidi w:val="0"/>
                    <w:adjustRightInd w:val="0"/>
                    <w:snapToGrid w:val="0"/>
                    <w:spacing w:before="0" w:beforeAutospacing="0" w:after="0" w:afterAutospacing="0" w:line="264" w:lineRule="auto"/>
                    <w:ind w:left="0" w:right="0"/>
                    <w:jc w:val="center"/>
                    <w:textAlignment w:val="auto"/>
                    <w:rPr>
                      <w:rFonts w:hint="default" w:ascii="Times New Roman" w:hAnsi="Times New Roman" w:eastAsia="宋体" w:cs="Times New Roman"/>
                      <w:sz w:val="18"/>
                      <w:szCs w:val="18"/>
                      <w:highlight w:val="none"/>
                    </w:rPr>
                  </w:pPr>
                  <w:r>
                    <w:rPr>
                      <w:rFonts w:hint="eastAsia" w:ascii="Times New Roman" w:hAnsi="Times New Roman" w:eastAsia="宋体" w:cs="Times New Roman"/>
                      <w:sz w:val="18"/>
                      <w:szCs w:val="18"/>
                      <w:highlight w:val="none"/>
                    </w:rPr>
                    <w:t>序号</w:t>
                  </w:r>
                </w:p>
              </w:tc>
              <w:tc>
                <w:tcPr>
                  <w:tcW w:w="930" w:type="dxa"/>
                  <w:tcBorders>
                    <w:top w:val="single" w:color="auto" w:sz="4" w:space="0"/>
                    <w:left w:val="single" w:color="auto" w:sz="4" w:space="0"/>
                    <w:bottom w:val="single" w:color="auto" w:sz="4" w:space="0"/>
                    <w:right w:val="single" w:color="auto" w:sz="4" w:space="0"/>
                  </w:tcBorders>
                  <w:vAlign w:val="center"/>
                </w:tcPr>
                <w:p w14:paraId="528EC571">
                  <w:pPr>
                    <w:keepNext w:val="0"/>
                    <w:keepLines w:val="0"/>
                    <w:pageBreakBefore w:val="0"/>
                    <w:suppressLineNumbers w:val="0"/>
                    <w:kinsoku/>
                    <w:wordWrap/>
                    <w:overflowPunct/>
                    <w:topLinePunct w:val="0"/>
                    <w:autoSpaceDE/>
                    <w:autoSpaceDN/>
                    <w:bidi w:val="0"/>
                    <w:adjustRightInd w:val="0"/>
                    <w:snapToGrid w:val="0"/>
                    <w:spacing w:before="0" w:beforeAutospacing="0" w:after="0" w:afterAutospacing="0" w:line="264" w:lineRule="auto"/>
                    <w:ind w:left="0" w:right="0"/>
                    <w:jc w:val="center"/>
                    <w:textAlignment w:val="auto"/>
                    <w:rPr>
                      <w:rFonts w:hint="default" w:ascii="Times New Roman" w:hAnsi="Times New Roman" w:eastAsia="宋体" w:cs="Times New Roman"/>
                      <w:sz w:val="18"/>
                      <w:szCs w:val="18"/>
                      <w:highlight w:val="none"/>
                    </w:rPr>
                  </w:pPr>
                  <w:r>
                    <w:rPr>
                      <w:rFonts w:hint="eastAsia" w:ascii="Times New Roman" w:hAnsi="Times New Roman" w:eastAsia="宋体" w:cs="Times New Roman"/>
                      <w:sz w:val="18"/>
                      <w:szCs w:val="18"/>
                      <w:highlight w:val="none"/>
                    </w:rPr>
                    <w:t>固废名称</w:t>
                  </w:r>
                </w:p>
              </w:tc>
              <w:tc>
                <w:tcPr>
                  <w:tcW w:w="675" w:type="dxa"/>
                  <w:tcBorders>
                    <w:top w:val="single" w:color="auto" w:sz="4" w:space="0"/>
                    <w:left w:val="single" w:color="auto" w:sz="4" w:space="0"/>
                    <w:bottom w:val="single" w:color="auto" w:sz="4" w:space="0"/>
                    <w:right w:val="single" w:color="auto" w:sz="4" w:space="0"/>
                  </w:tcBorders>
                  <w:vAlign w:val="center"/>
                </w:tcPr>
                <w:p w14:paraId="0C8E60B8">
                  <w:pPr>
                    <w:keepNext w:val="0"/>
                    <w:keepLines w:val="0"/>
                    <w:pageBreakBefore w:val="0"/>
                    <w:suppressLineNumbers w:val="0"/>
                    <w:kinsoku/>
                    <w:wordWrap/>
                    <w:overflowPunct/>
                    <w:topLinePunct w:val="0"/>
                    <w:autoSpaceDE/>
                    <w:autoSpaceDN/>
                    <w:bidi w:val="0"/>
                    <w:adjustRightInd w:val="0"/>
                    <w:snapToGrid w:val="0"/>
                    <w:spacing w:before="0" w:beforeAutospacing="0" w:after="0" w:afterAutospacing="0" w:line="264" w:lineRule="auto"/>
                    <w:ind w:left="0" w:right="0"/>
                    <w:jc w:val="center"/>
                    <w:textAlignment w:val="auto"/>
                    <w:rPr>
                      <w:rFonts w:hint="default" w:ascii="Times New Roman" w:hAnsi="Times New Roman" w:eastAsia="宋体" w:cs="Times New Roman"/>
                      <w:sz w:val="18"/>
                      <w:szCs w:val="18"/>
                      <w:highlight w:val="none"/>
                    </w:rPr>
                  </w:pPr>
                  <w:r>
                    <w:rPr>
                      <w:rFonts w:hint="eastAsia" w:ascii="Times New Roman" w:hAnsi="Times New Roman" w:eastAsia="宋体" w:cs="Times New Roman"/>
                      <w:sz w:val="18"/>
                      <w:szCs w:val="18"/>
                      <w:highlight w:val="none"/>
                    </w:rPr>
                    <w:t>产生环节</w:t>
                  </w:r>
                </w:p>
              </w:tc>
              <w:tc>
                <w:tcPr>
                  <w:tcW w:w="615" w:type="dxa"/>
                  <w:tcBorders>
                    <w:top w:val="single" w:color="auto" w:sz="4" w:space="0"/>
                    <w:left w:val="single" w:color="auto" w:sz="4" w:space="0"/>
                    <w:bottom w:val="single" w:color="auto" w:sz="4" w:space="0"/>
                    <w:right w:val="single" w:color="auto" w:sz="4" w:space="0"/>
                  </w:tcBorders>
                  <w:vAlign w:val="center"/>
                </w:tcPr>
                <w:p w14:paraId="7C94B45C">
                  <w:pPr>
                    <w:keepNext w:val="0"/>
                    <w:keepLines w:val="0"/>
                    <w:pageBreakBefore w:val="0"/>
                    <w:suppressLineNumbers w:val="0"/>
                    <w:kinsoku/>
                    <w:wordWrap/>
                    <w:overflowPunct/>
                    <w:topLinePunct w:val="0"/>
                    <w:autoSpaceDE/>
                    <w:autoSpaceDN/>
                    <w:bidi w:val="0"/>
                    <w:adjustRightInd w:val="0"/>
                    <w:snapToGrid w:val="0"/>
                    <w:spacing w:before="0" w:beforeAutospacing="0" w:after="0" w:afterAutospacing="0" w:line="264" w:lineRule="auto"/>
                    <w:ind w:left="0" w:right="0"/>
                    <w:jc w:val="center"/>
                    <w:textAlignment w:val="auto"/>
                    <w:rPr>
                      <w:rFonts w:hint="default" w:ascii="Times New Roman" w:hAnsi="Times New Roman" w:eastAsia="宋体" w:cs="Times New Roman"/>
                      <w:sz w:val="18"/>
                      <w:szCs w:val="18"/>
                      <w:highlight w:val="none"/>
                    </w:rPr>
                  </w:pPr>
                  <w:r>
                    <w:rPr>
                      <w:rFonts w:hint="eastAsia" w:ascii="Times New Roman" w:hAnsi="Times New Roman" w:eastAsia="宋体" w:cs="Times New Roman"/>
                      <w:sz w:val="18"/>
                      <w:szCs w:val="18"/>
                      <w:highlight w:val="none"/>
                    </w:rPr>
                    <w:t>产生量</w:t>
                  </w:r>
                  <w:r>
                    <w:rPr>
                      <w:rFonts w:hint="default" w:ascii="Times New Roman" w:hAnsi="Times New Roman" w:eastAsia="宋体" w:cs="Times New Roman"/>
                      <w:sz w:val="18"/>
                      <w:szCs w:val="18"/>
                      <w:highlight w:val="none"/>
                    </w:rPr>
                    <w:t>t/a</w:t>
                  </w:r>
                </w:p>
              </w:tc>
              <w:tc>
                <w:tcPr>
                  <w:tcW w:w="5673" w:type="dxa"/>
                  <w:tcBorders>
                    <w:top w:val="single" w:color="auto" w:sz="4" w:space="0"/>
                    <w:left w:val="single" w:color="auto" w:sz="4" w:space="0"/>
                    <w:bottom w:val="single" w:color="auto" w:sz="4" w:space="0"/>
                    <w:right w:val="single" w:color="auto" w:sz="4" w:space="0"/>
                  </w:tcBorders>
                  <w:vAlign w:val="center"/>
                </w:tcPr>
                <w:p w14:paraId="26A72ED5">
                  <w:pPr>
                    <w:keepNext w:val="0"/>
                    <w:keepLines w:val="0"/>
                    <w:pageBreakBefore w:val="0"/>
                    <w:suppressLineNumbers w:val="0"/>
                    <w:kinsoku/>
                    <w:wordWrap/>
                    <w:overflowPunct/>
                    <w:topLinePunct w:val="0"/>
                    <w:autoSpaceDE/>
                    <w:autoSpaceDN/>
                    <w:bidi w:val="0"/>
                    <w:adjustRightInd w:val="0"/>
                    <w:snapToGrid w:val="0"/>
                    <w:spacing w:before="0" w:beforeAutospacing="0" w:after="0" w:afterAutospacing="0" w:line="264" w:lineRule="auto"/>
                    <w:ind w:left="0" w:right="0"/>
                    <w:jc w:val="center"/>
                    <w:textAlignment w:val="auto"/>
                    <w:rPr>
                      <w:rFonts w:hint="default" w:ascii="Times New Roman" w:hAnsi="Times New Roman" w:eastAsia="宋体" w:cs="Times New Roman"/>
                      <w:sz w:val="18"/>
                      <w:szCs w:val="18"/>
                      <w:highlight w:val="none"/>
                    </w:rPr>
                  </w:pPr>
                  <w:r>
                    <w:rPr>
                      <w:rFonts w:hint="eastAsia" w:ascii="Times New Roman" w:hAnsi="Times New Roman" w:eastAsia="宋体" w:cs="Times New Roman"/>
                      <w:sz w:val="18"/>
                      <w:szCs w:val="18"/>
                      <w:highlight w:val="none"/>
                    </w:rPr>
                    <w:t>产生量核算依据</w:t>
                  </w:r>
                </w:p>
              </w:tc>
            </w:tr>
            <w:tr w14:paraId="75C353E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0" w:hRule="atLeast"/>
                <w:jc w:val="center"/>
              </w:trPr>
              <w:tc>
                <w:tcPr>
                  <w:tcW w:w="365" w:type="dxa"/>
                  <w:tcBorders>
                    <w:top w:val="single" w:color="auto" w:sz="4" w:space="0"/>
                    <w:left w:val="single" w:color="auto" w:sz="4" w:space="0"/>
                    <w:bottom w:val="single" w:color="auto" w:sz="4" w:space="0"/>
                    <w:right w:val="single" w:color="auto" w:sz="4" w:space="0"/>
                  </w:tcBorders>
                  <w:vAlign w:val="center"/>
                </w:tcPr>
                <w:p w14:paraId="6F3DD31A">
                  <w:pPr>
                    <w:keepNext w:val="0"/>
                    <w:keepLines w:val="0"/>
                    <w:pageBreakBefore w:val="0"/>
                    <w:suppressLineNumbers w:val="0"/>
                    <w:kinsoku/>
                    <w:wordWrap/>
                    <w:overflowPunct/>
                    <w:topLinePunct w:val="0"/>
                    <w:autoSpaceDE/>
                    <w:autoSpaceDN/>
                    <w:bidi w:val="0"/>
                    <w:adjustRightInd w:val="0"/>
                    <w:snapToGrid w:val="0"/>
                    <w:spacing w:before="0" w:beforeAutospacing="0" w:after="0" w:afterAutospacing="0" w:line="264" w:lineRule="auto"/>
                    <w:ind w:left="0" w:right="0"/>
                    <w:jc w:val="center"/>
                    <w:textAlignment w:val="auto"/>
                    <w:rPr>
                      <w:rFonts w:hint="default" w:ascii="Times New Roman" w:hAnsi="Times New Roman" w:eastAsia="宋体" w:cs="Times New Roman"/>
                      <w:sz w:val="18"/>
                      <w:szCs w:val="18"/>
                      <w:highlight w:val="none"/>
                    </w:rPr>
                  </w:pPr>
                  <w:r>
                    <w:rPr>
                      <w:rFonts w:hint="default" w:ascii="Times New Roman" w:hAnsi="Times New Roman" w:eastAsia="宋体" w:cs="Times New Roman"/>
                      <w:sz w:val="18"/>
                      <w:szCs w:val="18"/>
                      <w:highlight w:val="none"/>
                    </w:rPr>
                    <w:t>1</w:t>
                  </w:r>
                </w:p>
              </w:tc>
              <w:tc>
                <w:tcPr>
                  <w:tcW w:w="930" w:type="dxa"/>
                  <w:tcBorders>
                    <w:top w:val="single" w:color="auto" w:sz="4" w:space="0"/>
                    <w:left w:val="single" w:color="auto" w:sz="4" w:space="0"/>
                    <w:bottom w:val="single" w:color="auto" w:sz="4" w:space="0"/>
                    <w:right w:val="single" w:color="auto" w:sz="4" w:space="0"/>
                  </w:tcBorders>
                  <w:vAlign w:val="center"/>
                </w:tcPr>
                <w:p w14:paraId="3249244E">
                  <w:pPr>
                    <w:keepNext w:val="0"/>
                    <w:keepLines w:val="0"/>
                    <w:pageBreakBefore w:val="0"/>
                    <w:suppressLineNumbers w:val="0"/>
                    <w:kinsoku/>
                    <w:wordWrap/>
                    <w:overflowPunct/>
                    <w:topLinePunct w:val="0"/>
                    <w:autoSpaceDE/>
                    <w:autoSpaceDN/>
                    <w:bidi w:val="0"/>
                    <w:adjustRightInd w:val="0"/>
                    <w:snapToGrid w:val="0"/>
                    <w:spacing w:before="0" w:beforeAutospacing="0" w:after="0" w:afterAutospacing="0" w:line="264" w:lineRule="auto"/>
                    <w:ind w:left="0" w:right="0"/>
                    <w:jc w:val="center"/>
                    <w:textAlignment w:val="auto"/>
                    <w:rPr>
                      <w:rFonts w:hint="default" w:ascii="Times New Roman" w:hAnsi="Times New Roman" w:eastAsia="宋体" w:cs="Times New Roman"/>
                      <w:sz w:val="18"/>
                      <w:szCs w:val="18"/>
                      <w:highlight w:val="none"/>
                    </w:rPr>
                  </w:pPr>
                  <w:r>
                    <w:rPr>
                      <w:rFonts w:hint="eastAsia" w:ascii="Times New Roman" w:hAnsi="Times New Roman" w:eastAsia="宋体" w:cs="Times New Roman"/>
                      <w:sz w:val="18"/>
                      <w:szCs w:val="18"/>
                      <w:highlight w:val="none"/>
                    </w:rPr>
                    <w:t>感染</w:t>
                  </w:r>
                  <w:r>
                    <w:rPr>
                      <w:rFonts w:hint="default" w:ascii="Times New Roman" w:hAnsi="Times New Roman" w:eastAsia="宋体" w:cs="Times New Roman"/>
                      <w:sz w:val="18"/>
                      <w:szCs w:val="18"/>
                      <w:highlight w:val="none"/>
                    </w:rPr>
                    <w:t>性废物</w:t>
                  </w:r>
                </w:p>
              </w:tc>
              <w:tc>
                <w:tcPr>
                  <w:tcW w:w="675" w:type="dxa"/>
                  <w:tcBorders>
                    <w:top w:val="single" w:color="auto" w:sz="4" w:space="0"/>
                    <w:left w:val="single" w:color="auto" w:sz="4" w:space="0"/>
                    <w:bottom w:val="single" w:color="auto" w:sz="4" w:space="0"/>
                    <w:right w:val="single" w:color="auto" w:sz="4" w:space="0"/>
                  </w:tcBorders>
                  <w:vAlign w:val="center"/>
                </w:tcPr>
                <w:p w14:paraId="4AE85D6F">
                  <w:pPr>
                    <w:keepNext w:val="0"/>
                    <w:keepLines w:val="0"/>
                    <w:pageBreakBefore w:val="0"/>
                    <w:suppressLineNumbers w:val="0"/>
                    <w:kinsoku/>
                    <w:wordWrap/>
                    <w:overflowPunct/>
                    <w:topLinePunct w:val="0"/>
                    <w:autoSpaceDE/>
                    <w:autoSpaceDN/>
                    <w:bidi w:val="0"/>
                    <w:adjustRightInd w:val="0"/>
                    <w:snapToGrid w:val="0"/>
                    <w:spacing w:before="0" w:beforeAutospacing="0" w:after="0" w:afterAutospacing="0" w:line="264" w:lineRule="auto"/>
                    <w:ind w:left="0" w:right="0"/>
                    <w:jc w:val="center"/>
                    <w:textAlignment w:val="auto"/>
                    <w:rPr>
                      <w:rFonts w:hint="default" w:ascii="Times New Roman" w:hAnsi="Times New Roman" w:eastAsia="宋体" w:cs="Times New Roman"/>
                      <w:sz w:val="18"/>
                      <w:szCs w:val="18"/>
                      <w:highlight w:val="none"/>
                    </w:rPr>
                  </w:pPr>
                  <w:r>
                    <w:rPr>
                      <w:rFonts w:hint="default" w:ascii="Times New Roman" w:hAnsi="Times New Roman" w:eastAsia="宋体" w:cs="Times New Roman"/>
                      <w:color w:val="auto"/>
                      <w:sz w:val="18"/>
                      <w:szCs w:val="18"/>
                      <w:highlight w:val="none"/>
                    </w:rPr>
                    <w:t>P2</w:t>
                  </w:r>
                  <w:r>
                    <w:rPr>
                      <w:rFonts w:hint="eastAsia" w:ascii="Times New Roman" w:hAnsi="Times New Roman" w:eastAsia="宋体" w:cs="Times New Roman"/>
                      <w:color w:val="auto"/>
                      <w:sz w:val="18"/>
                      <w:szCs w:val="18"/>
                      <w:highlight w:val="none"/>
                    </w:rPr>
                    <w:t>实验室</w:t>
                  </w:r>
                </w:p>
              </w:tc>
              <w:tc>
                <w:tcPr>
                  <w:tcW w:w="615" w:type="dxa"/>
                  <w:tcBorders>
                    <w:top w:val="single" w:color="auto" w:sz="4" w:space="0"/>
                    <w:left w:val="single" w:color="auto" w:sz="4" w:space="0"/>
                    <w:bottom w:val="single" w:color="auto" w:sz="4" w:space="0"/>
                    <w:right w:val="single" w:color="auto" w:sz="4" w:space="0"/>
                  </w:tcBorders>
                  <w:vAlign w:val="center"/>
                </w:tcPr>
                <w:p w14:paraId="790335FE">
                  <w:pPr>
                    <w:keepNext w:val="0"/>
                    <w:keepLines w:val="0"/>
                    <w:pageBreakBefore w:val="0"/>
                    <w:suppressLineNumbers w:val="0"/>
                    <w:kinsoku/>
                    <w:wordWrap/>
                    <w:overflowPunct/>
                    <w:topLinePunct w:val="0"/>
                    <w:autoSpaceDE/>
                    <w:autoSpaceDN/>
                    <w:bidi w:val="0"/>
                    <w:adjustRightInd w:val="0"/>
                    <w:snapToGrid w:val="0"/>
                    <w:spacing w:before="0" w:beforeAutospacing="0" w:after="0" w:afterAutospacing="0" w:line="264" w:lineRule="auto"/>
                    <w:ind w:left="0" w:right="0"/>
                    <w:jc w:val="center"/>
                    <w:textAlignment w:val="auto"/>
                    <w:rPr>
                      <w:rFonts w:hint="default" w:ascii="Times New Roman" w:hAnsi="Times New Roman" w:eastAsia="宋体" w:cs="Times New Roman"/>
                      <w:sz w:val="18"/>
                      <w:szCs w:val="18"/>
                      <w:highlight w:val="none"/>
                      <w:lang w:val="en-US" w:eastAsia="zh-CN"/>
                    </w:rPr>
                  </w:pPr>
                  <w:r>
                    <w:rPr>
                      <w:rFonts w:hint="eastAsia" w:cs="Times New Roman"/>
                      <w:sz w:val="18"/>
                      <w:szCs w:val="18"/>
                      <w:highlight w:val="none"/>
                      <w:lang w:val="en-US" w:eastAsia="zh-CN"/>
                    </w:rPr>
                    <w:t>10</w:t>
                  </w:r>
                </w:p>
              </w:tc>
              <w:tc>
                <w:tcPr>
                  <w:tcW w:w="5673" w:type="dxa"/>
                  <w:tcBorders>
                    <w:top w:val="single" w:color="auto" w:sz="4" w:space="0"/>
                    <w:left w:val="single" w:color="auto" w:sz="4" w:space="0"/>
                    <w:bottom w:val="single" w:color="auto" w:sz="4" w:space="0"/>
                    <w:right w:val="single" w:color="auto" w:sz="4" w:space="0"/>
                  </w:tcBorders>
                  <w:vAlign w:val="center"/>
                </w:tcPr>
                <w:p w14:paraId="2898F926">
                  <w:pPr>
                    <w:keepNext w:val="0"/>
                    <w:keepLines w:val="0"/>
                    <w:pageBreakBefore w:val="0"/>
                    <w:suppressLineNumbers w:val="0"/>
                    <w:kinsoku/>
                    <w:wordWrap/>
                    <w:overflowPunct/>
                    <w:topLinePunct w:val="0"/>
                    <w:autoSpaceDE/>
                    <w:autoSpaceDN/>
                    <w:bidi w:val="0"/>
                    <w:adjustRightInd w:val="0"/>
                    <w:snapToGrid w:val="0"/>
                    <w:spacing w:before="0" w:beforeAutospacing="0" w:after="0" w:afterAutospacing="0" w:line="264" w:lineRule="auto"/>
                    <w:ind w:left="0" w:right="0"/>
                    <w:textAlignment w:val="auto"/>
                    <w:rPr>
                      <w:rFonts w:hint="default" w:ascii="Times New Roman" w:hAnsi="Times New Roman" w:eastAsia="宋体" w:cs="Times New Roman"/>
                      <w:sz w:val="18"/>
                      <w:szCs w:val="18"/>
                      <w:highlight w:val="none"/>
                    </w:rPr>
                  </w:pPr>
                  <w:r>
                    <w:rPr>
                      <w:rFonts w:hint="eastAsia" w:ascii="Times New Roman" w:hAnsi="Times New Roman" w:eastAsia="宋体" w:cs="Times New Roman"/>
                      <w:sz w:val="18"/>
                      <w:szCs w:val="18"/>
                      <w:highlight w:val="none"/>
                    </w:rPr>
                    <w:t>本</w:t>
                  </w:r>
                  <w:r>
                    <w:rPr>
                      <w:rFonts w:hint="default" w:ascii="Times New Roman" w:hAnsi="Times New Roman" w:eastAsia="宋体" w:cs="Times New Roman"/>
                      <w:sz w:val="18"/>
                      <w:szCs w:val="18"/>
                      <w:highlight w:val="none"/>
                    </w:rPr>
                    <w:t>项目P2</w:t>
                  </w:r>
                  <w:r>
                    <w:rPr>
                      <w:rFonts w:hint="eastAsia" w:ascii="Times New Roman" w:hAnsi="Times New Roman" w:eastAsia="宋体" w:cs="Times New Roman"/>
                      <w:sz w:val="18"/>
                      <w:szCs w:val="18"/>
                      <w:highlight w:val="none"/>
                    </w:rPr>
                    <w:t>实验室进行感染性实验</w:t>
                  </w:r>
                  <w:r>
                    <w:rPr>
                      <w:rFonts w:hint="default" w:ascii="Times New Roman" w:hAnsi="Times New Roman" w:eastAsia="宋体" w:cs="Times New Roman"/>
                      <w:sz w:val="18"/>
                      <w:szCs w:val="18"/>
                      <w:highlight w:val="none"/>
                    </w:rPr>
                    <w:t>（ABSL-2）</w:t>
                  </w:r>
                  <w:r>
                    <w:rPr>
                      <w:rFonts w:hint="eastAsia" w:ascii="Times New Roman" w:hAnsi="Times New Roman" w:eastAsia="宋体" w:cs="Times New Roman"/>
                      <w:sz w:val="18"/>
                      <w:szCs w:val="18"/>
                      <w:highlight w:val="none"/>
                    </w:rPr>
                    <w:t>，实验</w:t>
                  </w:r>
                  <w:r>
                    <w:rPr>
                      <w:rFonts w:hint="default" w:ascii="Times New Roman" w:hAnsi="Times New Roman" w:eastAsia="宋体" w:cs="Times New Roman"/>
                      <w:sz w:val="18"/>
                      <w:szCs w:val="18"/>
                      <w:highlight w:val="none"/>
                    </w:rPr>
                    <w:t>过程会产生感染性废物，包括</w:t>
                  </w:r>
                  <w:r>
                    <w:rPr>
                      <w:rFonts w:hint="eastAsia" w:ascii="Times New Roman" w:hAnsi="Times New Roman" w:eastAsia="宋体" w:cs="Times New Roman"/>
                      <w:sz w:val="18"/>
                      <w:szCs w:val="18"/>
                      <w:highlight w:val="none"/>
                    </w:rPr>
                    <w:t>实验室废弃</w:t>
                  </w:r>
                  <w:r>
                    <w:rPr>
                      <w:rFonts w:hint="default" w:ascii="Times New Roman" w:hAnsi="Times New Roman" w:eastAsia="宋体" w:cs="Times New Roman"/>
                      <w:sz w:val="18"/>
                      <w:szCs w:val="18"/>
                      <w:highlight w:val="none"/>
                    </w:rPr>
                    <w:t>的病原体培养基、标本、菌种等</w:t>
                  </w:r>
                  <w:r>
                    <w:rPr>
                      <w:rFonts w:hint="eastAsia" w:ascii="Times New Roman" w:hAnsi="Times New Roman" w:eastAsia="宋体" w:cs="Times New Roman"/>
                      <w:sz w:val="18"/>
                      <w:szCs w:val="18"/>
                      <w:highlight w:val="none"/>
                    </w:rPr>
                    <w:t>，</w:t>
                  </w:r>
                  <w:r>
                    <w:rPr>
                      <w:rFonts w:hint="default" w:ascii="Times New Roman" w:hAnsi="Times New Roman" w:eastAsia="宋体" w:cs="Times New Roman"/>
                      <w:sz w:val="18"/>
                      <w:szCs w:val="18"/>
                      <w:highlight w:val="none"/>
                    </w:rPr>
                    <w:t>废弃的血液、血清、分泌物等标本和容器</w:t>
                  </w:r>
                  <w:r>
                    <w:rPr>
                      <w:rFonts w:hint="eastAsia" w:ascii="Times New Roman" w:hAnsi="Times New Roman" w:eastAsia="宋体" w:cs="Times New Roman"/>
                      <w:sz w:val="18"/>
                      <w:szCs w:val="18"/>
                      <w:highlight w:val="none"/>
                    </w:rPr>
                    <w:t>，P</w:t>
                  </w:r>
                  <w:r>
                    <w:rPr>
                      <w:rFonts w:hint="default" w:ascii="Times New Roman" w:hAnsi="Times New Roman" w:eastAsia="宋体" w:cs="Times New Roman"/>
                      <w:sz w:val="18"/>
                      <w:szCs w:val="18"/>
                      <w:highlight w:val="none"/>
                    </w:rPr>
                    <w:t>2</w:t>
                  </w:r>
                  <w:r>
                    <w:rPr>
                      <w:rFonts w:hint="eastAsia" w:ascii="Times New Roman" w:hAnsi="Times New Roman" w:eastAsia="宋体" w:cs="Times New Roman"/>
                      <w:sz w:val="18"/>
                      <w:szCs w:val="18"/>
                      <w:highlight w:val="none"/>
                    </w:rPr>
                    <w:t>实验室</w:t>
                  </w:r>
                  <w:r>
                    <w:rPr>
                      <w:rFonts w:hint="default" w:ascii="Times New Roman" w:hAnsi="Times New Roman" w:eastAsia="宋体" w:cs="Times New Roman"/>
                      <w:sz w:val="18"/>
                      <w:szCs w:val="18"/>
                      <w:highlight w:val="none"/>
                    </w:rPr>
                    <w:t>容器清洗废液，</w:t>
                  </w:r>
                  <w:r>
                    <w:rPr>
                      <w:rFonts w:hint="eastAsia" w:ascii="Times New Roman" w:hAnsi="Times New Roman" w:eastAsia="宋体" w:cs="Times New Roman"/>
                      <w:sz w:val="18"/>
                      <w:szCs w:val="18"/>
                      <w:highlight w:val="none"/>
                    </w:rPr>
                    <w:t>被血液</w:t>
                  </w:r>
                  <w:r>
                    <w:rPr>
                      <w:rFonts w:hint="default" w:ascii="Times New Roman" w:hAnsi="Times New Roman" w:eastAsia="宋体" w:cs="Times New Roman"/>
                      <w:sz w:val="18"/>
                      <w:szCs w:val="18"/>
                      <w:highlight w:val="none"/>
                    </w:rPr>
                    <w:t>、体液、</w:t>
                  </w:r>
                  <w:r>
                    <w:rPr>
                      <w:rFonts w:hint="eastAsia" w:ascii="Times New Roman" w:hAnsi="Times New Roman" w:eastAsia="宋体" w:cs="Times New Roman"/>
                      <w:sz w:val="18"/>
                      <w:szCs w:val="18"/>
                      <w:highlight w:val="none"/>
                    </w:rPr>
                    <w:t>排泄物</w:t>
                  </w:r>
                  <w:r>
                    <w:rPr>
                      <w:rFonts w:hint="default" w:ascii="Times New Roman" w:hAnsi="Times New Roman" w:eastAsia="宋体" w:cs="Times New Roman"/>
                      <w:sz w:val="18"/>
                      <w:szCs w:val="18"/>
                      <w:highlight w:val="none"/>
                    </w:rPr>
                    <w:t>等污染的除锐器以外的废物</w:t>
                  </w:r>
                  <w:r>
                    <w:rPr>
                      <w:rFonts w:hint="eastAsia" w:ascii="Times New Roman" w:hAnsi="Times New Roman" w:eastAsia="宋体" w:cs="Times New Roman"/>
                      <w:sz w:val="18"/>
                      <w:szCs w:val="18"/>
                      <w:highlight w:val="none"/>
                    </w:rPr>
                    <w:t>及P</w:t>
                  </w:r>
                  <w:r>
                    <w:rPr>
                      <w:rFonts w:hint="default" w:ascii="Times New Roman" w:hAnsi="Times New Roman" w:eastAsia="宋体" w:cs="Times New Roman"/>
                      <w:sz w:val="18"/>
                      <w:szCs w:val="18"/>
                      <w:highlight w:val="none"/>
                    </w:rPr>
                    <w:t>2实验室</w:t>
                  </w:r>
                  <w:r>
                    <w:rPr>
                      <w:rFonts w:hint="eastAsia" w:ascii="Times New Roman" w:hAnsi="Times New Roman" w:eastAsia="宋体" w:cs="Times New Roman"/>
                      <w:sz w:val="18"/>
                      <w:szCs w:val="18"/>
                      <w:highlight w:val="none"/>
                    </w:rPr>
                    <w:t>配套生物</w:t>
                  </w:r>
                  <w:r>
                    <w:rPr>
                      <w:rFonts w:hint="default" w:ascii="Times New Roman" w:hAnsi="Times New Roman" w:eastAsia="宋体" w:cs="Times New Roman"/>
                      <w:sz w:val="18"/>
                      <w:szCs w:val="18"/>
                      <w:highlight w:val="none"/>
                    </w:rPr>
                    <w:t>安全柜过滤</w:t>
                  </w:r>
                  <w:r>
                    <w:rPr>
                      <w:rFonts w:hint="eastAsia" w:ascii="Times New Roman" w:hAnsi="Times New Roman" w:eastAsia="宋体" w:cs="Times New Roman"/>
                      <w:sz w:val="18"/>
                      <w:szCs w:val="18"/>
                      <w:highlight w:val="none"/>
                    </w:rPr>
                    <w:t>器和</w:t>
                  </w:r>
                  <w:r>
                    <w:rPr>
                      <w:rFonts w:hint="default" w:ascii="Times New Roman" w:hAnsi="Times New Roman" w:eastAsia="宋体" w:cs="Times New Roman"/>
                      <w:sz w:val="18"/>
                      <w:szCs w:val="18"/>
                      <w:highlight w:val="none"/>
                    </w:rPr>
                    <w:t>净化空调系统过滤材料</w:t>
                  </w:r>
                  <w:r>
                    <w:rPr>
                      <w:rFonts w:hint="eastAsia" w:ascii="Times New Roman" w:hAnsi="Times New Roman" w:eastAsia="宋体" w:cs="Times New Roman"/>
                      <w:sz w:val="18"/>
                      <w:szCs w:val="18"/>
                      <w:highlight w:val="none"/>
                    </w:rPr>
                    <w:t>。</w:t>
                  </w:r>
                  <w:r>
                    <w:rPr>
                      <w:rFonts w:hint="default" w:ascii="Times New Roman" w:hAnsi="Times New Roman" w:eastAsia="宋体" w:cs="Times New Roman"/>
                      <w:sz w:val="18"/>
                      <w:szCs w:val="18"/>
                      <w:highlight w:val="none"/>
                    </w:rPr>
                    <w:t>根据</w:t>
                  </w:r>
                  <w:r>
                    <w:rPr>
                      <w:rFonts w:hint="eastAsia" w:ascii="Times New Roman" w:hAnsi="Times New Roman" w:eastAsia="宋体" w:cs="Times New Roman"/>
                      <w:sz w:val="18"/>
                      <w:szCs w:val="18"/>
                      <w:highlight w:val="none"/>
                    </w:rPr>
                    <w:t>企业</w:t>
                  </w:r>
                  <w:r>
                    <w:rPr>
                      <w:rFonts w:hint="default" w:ascii="Times New Roman" w:hAnsi="Times New Roman" w:eastAsia="宋体" w:cs="Times New Roman"/>
                      <w:sz w:val="18"/>
                      <w:szCs w:val="18"/>
                      <w:highlight w:val="none"/>
                    </w:rPr>
                    <w:t>提供的材料，感染性废物产生量约10t/a</w:t>
                  </w:r>
                  <w:r>
                    <w:rPr>
                      <w:rFonts w:hint="eastAsia" w:ascii="Times New Roman" w:hAnsi="Times New Roman" w:eastAsia="宋体" w:cs="Times New Roman"/>
                      <w:sz w:val="18"/>
                      <w:szCs w:val="18"/>
                      <w:highlight w:val="none"/>
                    </w:rPr>
                    <w:t>。产生</w:t>
                  </w:r>
                  <w:r>
                    <w:rPr>
                      <w:rFonts w:hint="default" w:ascii="Times New Roman" w:hAnsi="Times New Roman" w:eastAsia="宋体" w:cs="Times New Roman"/>
                      <w:sz w:val="18"/>
                      <w:szCs w:val="18"/>
                      <w:highlight w:val="none"/>
                    </w:rPr>
                    <w:t>的感染性废物在产生地点进行压力蒸汽灭菌后，按照感染性废物收集处理</w:t>
                  </w:r>
                  <w:r>
                    <w:rPr>
                      <w:rFonts w:hint="eastAsia" w:ascii="Times New Roman" w:hAnsi="Times New Roman" w:eastAsia="宋体" w:cs="Times New Roman"/>
                      <w:sz w:val="18"/>
                      <w:szCs w:val="18"/>
                      <w:highlight w:val="none"/>
                    </w:rPr>
                    <w:t>。</w:t>
                  </w:r>
                </w:p>
              </w:tc>
            </w:tr>
            <w:tr w14:paraId="49EA0DA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0" w:hRule="atLeast"/>
                <w:jc w:val="center"/>
              </w:trPr>
              <w:tc>
                <w:tcPr>
                  <w:tcW w:w="365" w:type="dxa"/>
                  <w:tcBorders>
                    <w:top w:val="single" w:color="auto" w:sz="4" w:space="0"/>
                    <w:left w:val="single" w:color="auto" w:sz="4" w:space="0"/>
                    <w:bottom w:val="single" w:color="auto" w:sz="4" w:space="0"/>
                    <w:right w:val="single" w:color="auto" w:sz="4" w:space="0"/>
                  </w:tcBorders>
                  <w:vAlign w:val="center"/>
                </w:tcPr>
                <w:p w14:paraId="247CF250">
                  <w:pPr>
                    <w:keepNext w:val="0"/>
                    <w:keepLines w:val="0"/>
                    <w:pageBreakBefore w:val="0"/>
                    <w:suppressLineNumbers w:val="0"/>
                    <w:kinsoku/>
                    <w:wordWrap/>
                    <w:overflowPunct/>
                    <w:topLinePunct w:val="0"/>
                    <w:autoSpaceDE/>
                    <w:autoSpaceDN/>
                    <w:bidi w:val="0"/>
                    <w:adjustRightInd w:val="0"/>
                    <w:snapToGrid w:val="0"/>
                    <w:spacing w:before="0" w:beforeAutospacing="0" w:after="0" w:afterAutospacing="0" w:line="264" w:lineRule="auto"/>
                    <w:ind w:left="0" w:right="0"/>
                    <w:jc w:val="center"/>
                    <w:textAlignment w:val="auto"/>
                    <w:rPr>
                      <w:rFonts w:hint="default" w:ascii="Times New Roman" w:hAnsi="Times New Roman" w:eastAsia="宋体" w:cs="Times New Roman"/>
                      <w:sz w:val="18"/>
                      <w:szCs w:val="18"/>
                      <w:highlight w:val="none"/>
                    </w:rPr>
                  </w:pPr>
                  <w:r>
                    <w:rPr>
                      <w:rFonts w:hint="default" w:ascii="Times New Roman" w:hAnsi="Times New Roman" w:eastAsia="宋体" w:cs="Times New Roman"/>
                      <w:sz w:val="18"/>
                      <w:szCs w:val="18"/>
                      <w:highlight w:val="none"/>
                    </w:rPr>
                    <w:t>2</w:t>
                  </w:r>
                </w:p>
              </w:tc>
              <w:tc>
                <w:tcPr>
                  <w:tcW w:w="930" w:type="dxa"/>
                  <w:tcBorders>
                    <w:top w:val="single" w:color="auto" w:sz="4" w:space="0"/>
                    <w:left w:val="single" w:color="auto" w:sz="4" w:space="0"/>
                    <w:bottom w:val="single" w:color="auto" w:sz="4" w:space="0"/>
                    <w:right w:val="single" w:color="auto" w:sz="4" w:space="0"/>
                  </w:tcBorders>
                  <w:vAlign w:val="center"/>
                </w:tcPr>
                <w:p w14:paraId="393F3CA9">
                  <w:pPr>
                    <w:keepNext w:val="0"/>
                    <w:keepLines w:val="0"/>
                    <w:pageBreakBefore w:val="0"/>
                    <w:suppressLineNumbers w:val="0"/>
                    <w:kinsoku/>
                    <w:wordWrap/>
                    <w:overflowPunct/>
                    <w:topLinePunct w:val="0"/>
                    <w:autoSpaceDE/>
                    <w:autoSpaceDN/>
                    <w:bidi w:val="0"/>
                    <w:adjustRightInd w:val="0"/>
                    <w:snapToGrid w:val="0"/>
                    <w:spacing w:before="0" w:beforeAutospacing="0" w:after="0" w:afterAutospacing="0" w:line="264" w:lineRule="auto"/>
                    <w:ind w:left="0" w:right="0"/>
                    <w:jc w:val="center"/>
                    <w:textAlignment w:val="auto"/>
                    <w:rPr>
                      <w:rFonts w:hint="default" w:ascii="Times New Roman" w:hAnsi="Times New Roman" w:eastAsia="宋体" w:cs="Times New Roman"/>
                      <w:sz w:val="18"/>
                      <w:szCs w:val="18"/>
                      <w:highlight w:val="none"/>
                    </w:rPr>
                  </w:pPr>
                  <w:r>
                    <w:rPr>
                      <w:rFonts w:hint="eastAsia" w:ascii="Times New Roman" w:hAnsi="Times New Roman" w:eastAsia="宋体" w:cs="Times New Roman"/>
                      <w:sz w:val="18"/>
                      <w:szCs w:val="18"/>
                      <w:highlight w:val="none"/>
                    </w:rPr>
                    <w:t>损伤性</w:t>
                  </w:r>
                  <w:r>
                    <w:rPr>
                      <w:rFonts w:hint="default" w:ascii="Times New Roman" w:hAnsi="Times New Roman" w:eastAsia="宋体" w:cs="Times New Roman"/>
                      <w:sz w:val="18"/>
                      <w:szCs w:val="18"/>
                      <w:highlight w:val="none"/>
                    </w:rPr>
                    <w:t>废物</w:t>
                  </w:r>
                </w:p>
              </w:tc>
              <w:tc>
                <w:tcPr>
                  <w:tcW w:w="675" w:type="dxa"/>
                  <w:tcBorders>
                    <w:top w:val="single" w:color="auto" w:sz="4" w:space="0"/>
                    <w:left w:val="single" w:color="auto" w:sz="4" w:space="0"/>
                    <w:bottom w:val="single" w:color="auto" w:sz="4" w:space="0"/>
                    <w:right w:val="single" w:color="auto" w:sz="4" w:space="0"/>
                  </w:tcBorders>
                  <w:vAlign w:val="center"/>
                </w:tcPr>
                <w:p w14:paraId="361BA6EF">
                  <w:pPr>
                    <w:keepNext w:val="0"/>
                    <w:keepLines w:val="0"/>
                    <w:pageBreakBefore w:val="0"/>
                    <w:suppressLineNumbers w:val="0"/>
                    <w:kinsoku/>
                    <w:wordWrap/>
                    <w:overflowPunct/>
                    <w:topLinePunct w:val="0"/>
                    <w:autoSpaceDE/>
                    <w:autoSpaceDN/>
                    <w:bidi w:val="0"/>
                    <w:adjustRightInd w:val="0"/>
                    <w:snapToGrid w:val="0"/>
                    <w:spacing w:before="0" w:beforeAutospacing="0" w:after="0" w:afterAutospacing="0" w:line="264" w:lineRule="auto"/>
                    <w:ind w:left="0" w:right="0"/>
                    <w:jc w:val="center"/>
                    <w:textAlignment w:val="auto"/>
                    <w:rPr>
                      <w:rFonts w:hint="default" w:ascii="Times New Roman" w:hAnsi="Times New Roman" w:eastAsia="宋体" w:cs="Times New Roman"/>
                      <w:sz w:val="18"/>
                      <w:szCs w:val="18"/>
                      <w:highlight w:val="none"/>
                    </w:rPr>
                  </w:pPr>
                  <w:r>
                    <w:rPr>
                      <w:rFonts w:hint="eastAsia" w:ascii="Times New Roman" w:hAnsi="Times New Roman" w:eastAsia="宋体" w:cs="Times New Roman"/>
                      <w:color w:val="auto"/>
                      <w:sz w:val="18"/>
                      <w:szCs w:val="18"/>
                      <w:highlight w:val="none"/>
                    </w:rPr>
                    <w:t>实验</w:t>
                  </w:r>
                  <w:r>
                    <w:rPr>
                      <w:rFonts w:hint="default" w:ascii="Times New Roman" w:hAnsi="Times New Roman" w:eastAsia="宋体" w:cs="Times New Roman"/>
                      <w:color w:val="auto"/>
                      <w:sz w:val="18"/>
                      <w:szCs w:val="18"/>
                      <w:highlight w:val="none"/>
                    </w:rPr>
                    <w:t>过程</w:t>
                  </w:r>
                </w:p>
              </w:tc>
              <w:tc>
                <w:tcPr>
                  <w:tcW w:w="615" w:type="dxa"/>
                  <w:tcBorders>
                    <w:top w:val="single" w:color="auto" w:sz="4" w:space="0"/>
                    <w:left w:val="single" w:color="auto" w:sz="4" w:space="0"/>
                    <w:bottom w:val="single" w:color="auto" w:sz="4" w:space="0"/>
                    <w:right w:val="single" w:color="auto" w:sz="4" w:space="0"/>
                  </w:tcBorders>
                  <w:vAlign w:val="center"/>
                </w:tcPr>
                <w:p w14:paraId="56EA781E">
                  <w:pPr>
                    <w:keepNext w:val="0"/>
                    <w:keepLines w:val="0"/>
                    <w:pageBreakBefore w:val="0"/>
                    <w:suppressLineNumbers w:val="0"/>
                    <w:kinsoku/>
                    <w:wordWrap/>
                    <w:overflowPunct/>
                    <w:topLinePunct w:val="0"/>
                    <w:autoSpaceDE/>
                    <w:autoSpaceDN/>
                    <w:bidi w:val="0"/>
                    <w:adjustRightInd w:val="0"/>
                    <w:snapToGrid w:val="0"/>
                    <w:spacing w:before="0" w:beforeAutospacing="0" w:after="0" w:afterAutospacing="0" w:line="264" w:lineRule="auto"/>
                    <w:ind w:left="0" w:right="0"/>
                    <w:jc w:val="center"/>
                    <w:textAlignment w:val="auto"/>
                    <w:rPr>
                      <w:rFonts w:hint="default" w:ascii="Times New Roman" w:hAnsi="Times New Roman" w:eastAsia="宋体" w:cs="Times New Roman"/>
                      <w:sz w:val="18"/>
                      <w:szCs w:val="18"/>
                      <w:highlight w:val="none"/>
                      <w:lang w:val="en-US" w:eastAsia="zh-CN"/>
                    </w:rPr>
                  </w:pPr>
                  <w:r>
                    <w:rPr>
                      <w:rFonts w:hint="eastAsia" w:cs="Times New Roman"/>
                      <w:sz w:val="18"/>
                      <w:szCs w:val="18"/>
                      <w:highlight w:val="none"/>
                      <w:lang w:val="en-US" w:eastAsia="zh-CN"/>
                    </w:rPr>
                    <w:t>10</w:t>
                  </w:r>
                </w:p>
              </w:tc>
              <w:tc>
                <w:tcPr>
                  <w:tcW w:w="5673" w:type="dxa"/>
                  <w:tcBorders>
                    <w:top w:val="single" w:color="auto" w:sz="4" w:space="0"/>
                    <w:left w:val="single" w:color="auto" w:sz="4" w:space="0"/>
                    <w:bottom w:val="single" w:color="auto" w:sz="4" w:space="0"/>
                    <w:right w:val="single" w:color="auto" w:sz="4" w:space="0"/>
                  </w:tcBorders>
                  <w:vAlign w:val="center"/>
                </w:tcPr>
                <w:p w14:paraId="0E8AD97E">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64" w:lineRule="auto"/>
                    <w:ind w:left="0" w:right="0"/>
                    <w:textAlignment w:val="auto"/>
                    <w:rPr>
                      <w:rFonts w:hint="default" w:ascii="Times New Roman" w:hAnsi="Times New Roman" w:eastAsia="宋体" w:cs="Times New Roman"/>
                      <w:sz w:val="18"/>
                      <w:szCs w:val="18"/>
                      <w:highlight w:val="none"/>
                    </w:rPr>
                  </w:pPr>
                  <w:r>
                    <w:rPr>
                      <w:rFonts w:hint="eastAsia" w:ascii="Times New Roman" w:hAnsi="Times New Roman" w:eastAsia="宋体" w:cs="Times New Roman"/>
                      <w:sz w:val="18"/>
                      <w:szCs w:val="18"/>
                      <w:highlight w:val="none"/>
                    </w:rPr>
                    <w:t>运营</w:t>
                  </w:r>
                  <w:r>
                    <w:rPr>
                      <w:rFonts w:hint="default" w:ascii="Times New Roman" w:hAnsi="Times New Roman" w:eastAsia="宋体" w:cs="Times New Roman"/>
                      <w:sz w:val="18"/>
                      <w:szCs w:val="18"/>
                      <w:highlight w:val="none"/>
                    </w:rPr>
                    <w:t>过程中，</w:t>
                  </w:r>
                  <w:r>
                    <w:rPr>
                      <w:rFonts w:hint="eastAsia" w:ascii="Times New Roman" w:hAnsi="Times New Roman" w:eastAsia="宋体" w:cs="Times New Roman"/>
                      <w:sz w:val="18"/>
                      <w:szCs w:val="18"/>
                      <w:highlight w:val="none"/>
                    </w:rPr>
                    <w:t>解剖</w:t>
                  </w:r>
                  <w:r>
                    <w:rPr>
                      <w:rFonts w:hint="default" w:ascii="Times New Roman" w:hAnsi="Times New Roman" w:eastAsia="宋体" w:cs="Times New Roman"/>
                      <w:sz w:val="18"/>
                      <w:szCs w:val="18"/>
                      <w:highlight w:val="none"/>
                    </w:rPr>
                    <w:t>室、</w:t>
                  </w:r>
                  <w:r>
                    <w:rPr>
                      <w:rFonts w:hint="eastAsia" w:ascii="Times New Roman" w:hAnsi="Times New Roman" w:eastAsia="宋体" w:cs="Times New Roman"/>
                      <w:sz w:val="18"/>
                      <w:szCs w:val="18"/>
                      <w:highlight w:val="none"/>
                    </w:rPr>
                    <w:t>实验室会</w:t>
                  </w:r>
                  <w:r>
                    <w:rPr>
                      <w:rFonts w:hint="default" w:ascii="Times New Roman" w:hAnsi="Times New Roman" w:eastAsia="宋体" w:cs="Times New Roman"/>
                      <w:sz w:val="18"/>
                      <w:szCs w:val="18"/>
                      <w:highlight w:val="none"/>
                    </w:rPr>
                    <w:t>产生</w:t>
                  </w:r>
                  <w:r>
                    <w:rPr>
                      <w:rFonts w:hint="eastAsia" w:ascii="Times New Roman" w:hAnsi="Times New Roman" w:eastAsia="宋体" w:cs="Times New Roman"/>
                      <w:sz w:val="18"/>
                      <w:szCs w:val="18"/>
                      <w:highlight w:val="none"/>
                    </w:rPr>
                    <w:t>废弃</w:t>
                  </w:r>
                  <w:r>
                    <w:rPr>
                      <w:rFonts w:hint="default" w:ascii="Times New Roman" w:hAnsi="Times New Roman" w:eastAsia="宋体" w:cs="Times New Roman"/>
                      <w:sz w:val="18"/>
                      <w:szCs w:val="18"/>
                      <w:highlight w:val="none"/>
                    </w:rPr>
                    <w:t>的</w:t>
                  </w:r>
                  <w:r>
                    <w:rPr>
                      <w:rFonts w:hint="eastAsia" w:ascii="Times New Roman" w:hAnsi="Times New Roman" w:eastAsia="宋体" w:cs="Times New Roman"/>
                      <w:sz w:val="18"/>
                      <w:szCs w:val="18"/>
                      <w:highlight w:val="none"/>
                    </w:rPr>
                    <w:t>金属类</w:t>
                  </w:r>
                  <w:r>
                    <w:rPr>
                      <w:rFonts w:hint="default" w:ascii="Times New Roman" w:hAnsi="Times New Roman" w:eastAsia="宋体" w:cs="Times New Roman"/>
                      <w:sz w:val="18"/>
                      <w:szCs w:val="18"/>
                      <w:highlight w:val="none"/>
                    </w:rPr>
                    <w:t>锐器</w:t>
                  </w:r>
                  <w:r>
                    <w:rPr>
                      <w:rFonts w:hint="eastAsia" w:ascii="Times New Roman" w:hAnsi="Times New Roman" w:eastAsia="宋体" w:cs="Times New Roman"/>
                      <w:sz w:val="18"/>
                      <w:szCs w:val="18"/>
                      <w:highlight w:val="none"/>
                    </w:rPr>
                    <w:t>（如</w:t>
                  </w:r>
                  <w:r>
                    <w:rPr>
                      <w:rFonts w:hint="default" w:ascii="Times New Roman" w:hAnsi="Times New Roman" w:eastAsia="宋体" w:cs="Times New Roman"/>
                      <w:sz w:val="18"/>
                      <w:szCs w:val="18"/>
                      <w:highlight w:val="none"/>
                    </w:rPr>
                    <w:t>针头、缝合针、解剖</w:t>
                  </w:r>
                  <w:r>
                    <w:rPr>
                      <w:rFonts w:hint="eastAsia" w:ascii="Times New Roman" w:hAnsi="Times New Roman" w:eastAsia="宋体" w:cs="Times New Roman"/>
                      <w:sz w:val="18"/>
                      <w:szCs w:val="18"/>
                      <w:highlight w:val="none"/>
                    </w:rPr>
                    <w:t>刀</w:t>
                  </w:r>
                  <w:r>
                    <w:rPr>
                      <w:rFonts w:hint="default" w:ascii="Times New Roman" w:hAnsi="Times New Roman" w:eastAsia="宋体" w:cs="Times New Roman"/>
                      <w:sz w:val="18"/>
                      <w:szCs w:val="18"/>
                      <w:highlight w:val="none"/>
                    </w:rPr>
                    <w:t>、手术</w:t>
                  </w:r>
                  <w:r>
                    <w:rPr>
                      <w:rFonts w:hint="eastAsia" w:ascii="Times New Roman" w:hAnsi="Times New Roman" w:eastAsia="宋体" w:cs="Times New Roman"/>
                      <w:sz w:val="18"/>
                      <w:szCs w:val="18"/>
                      <w:highlight w:val="none"/>
                    </w:rPr>
                    <w:t>刀等）和废弃</w:t>
                  </w:r>
                  <w:r>
                    <w:rPr>
                      <w:rFonts w:hint="default" w:ascii="Times New Roman" w:hAnsi="Times New Roman" w:eastAsia="宋体" w:cs="Times New Roman"/>
                      <w:sz w:val="18"/>
                      <w:szCs w:val="18"/>
                      <w:highlight w:val="none"/>
                    </w:rPr>
                    <w:t>的玻璃类锐器（</w:t>
                  </w:r>
                  <w:r>
                    <w:rPr>
                      <w:rFonts w:hint="eastAsia" w:ascii="Times New Roman" w:hAnsi="Times New Roman" w:eastAsia="宋体" w:cs="Times New Roman"/>
                      <w:sz w:val="18"/>
                      <w:szCs w:val="18"/>
                      <w:highlight w:val="none"/>
                    </w:rPr>
                    <w:t>如</w:t>
                  </w:r>
                  <w:r>
                    <w:rPr>
                      <w:rFonts w:hint="default" w:ascii="Times New Roman" w:hAnsi="Times New Roman" w:eastAsia="宋体" w:cs="Times New Roman"/>
                      <w:sz w:val="18"/>
                      <w:szCs w:val="18"/>
                      <w:highlight w:val="none"/>
                    </w:rPr>
                    <w:t>盖玻片、玻载片等），</w:t>
                  </w:r>
                  <w:r>
                    <w:rPr>
                      <w:rFonts w:hint="eastAsia" w:ascii="Times New Roman" w:hAnsi="Times New Roman" w:eastAsia="宋体" w:cs="Times New Roman"/>
                      <w:sz w:val="18"/>
                      <w:szCs w:val="18"/>
                      <w:highlight w:val="none"/>
                    </w:rPr>
                    <w:t>产生</w:t>
                  </w:r>
                  <w:r>
                    <w:rPr>
                      <w:rFonts w:hint="default" w:ascii="Times New Roman" w:hAnsi="Times New Roman" w:eastAsia="宋体" w:cs="Times New Roman"/>
                      <w:sz w:val="18"/>
                      <w:szCs w:val="18"/>
                      <w:highlight w:val="none"/>
                    </w:rPr>
                    <w:t>量约</w:t>
                  </w:r>
                  <w:r>
                    <w:rPr>
                      <w:rFonts w:hint="eastAsia" w:ascii="Times New Roman" w:hAnsi="Times New Roman" w:eastAsia="宋体" w:cs="Times New Roman"/>
                      <w:sz w:val="18"/>
                      <w:szCs w:val="18"/>
                      <w:highlight w:val="none"/>
                    </w:rPr>
                    <w:t>10</w:t>
                  </w:r>
                  <w:r>
                    <w:rPr>
                      <w:rFonts w:hint="default" w:ascii="Times New Roman" w:hAnsi="Times New Roman" w:eastAsia="宋体" w:cs="Times New Roman"/>
                      <w:sz w:val="18"/>
                      <w:szCs w:val="18"/>
                      <w:highlight w:val="none"/>
                    </w:rPr>
                    <w:t>t/a</w:t>
                  </w:r>
                  <w:r>
                    <w:rPr>
                      <w:rFonts w:hint="eastAsia" w:ascii="Times New Roman" w:hAnsi="Times New Roman" w:eastAsia="宋体" w:cs="Times New Roman"/>
                      <w:sz w:val="18"/>
                      <w:szCs w:val="18"/>
                      <w:highlight w:val="none"/>
                    </w:rPr>
                    <w:t>。</w:t>
                  </w:r>
                </w:p>
              </w:tc>
            </w:tr>
            <w:tr w14:paraId="308C90D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0" w:hRule="atLeast"/>
                <w:jc w:val="center"/>
              </w:trPr>
              <w:tc>
                <w:tcPr>
                  <w:tcW w:w="365" w:type="dxa"/>
                  <w:tcBorders>
                    <w:top w:val="single" w:color="auto" w:sz="4" w:space="0"/>
                    <w:left w:val="single" w:color="auto" w:sz="4" w:space="0"/>
                    <w:bottom w:val="single" w:color="auto" w:sz="4" w:space="0"/>
                    <w:right w:val="single" w:color="auto" w:sz="4" w:space="0"/>
                  </w:tcBorders>
                  <w:vAlign w:val="center"/>
                </w:tcPr>
                <w:p w14:paraId="35CF8F1B">
                  <w:pPr>
                    <w:keepNext w:val="0"/>
                    <w:keepLines w:val="0"/>
                    <w:pageBreakBefore w:val="0"/>
                    <w:suppressLineNumbers w:val="0"/>
                    <w:kinsoku/>
                    <w:wordWrap/>
                    <w:overflowPunct/>
                    <w:topLinePunct w:val="0"/>
                    <w:autoSpaceDE/>
                    <w:autoSpaceDN/>
                    <w:bidi w:val="0"/>
                    <w:adjustRightInd w:val="0"/>
                    <w:snapToGrid w:val="0"/>
                    <w:spacing w:before="0" w:beforeAutospacing="0" w:after="0" w:afterAutospacing="0" w:line="264" w:lineRule="auto"/>
                    <w:ind w:left="0" w:right="0"/>
                    <w:jc w:val="center"/>
                    <w:textAlignment w:val="auto"/>
                    <w:rPr>
                      <w:rFonts w:hint="default" w:ascii="Times New Roman" w:hAnsi="Times New Roman" w:eastAsia="宋体" w:cs="Times New Roman"/>
                      <w:sz w:val="18"/>
                      <w:szCs w:val="18"/>
                      <w:highlight w:val="none"/>
                    </w:rPr>
                  </w:pPr>
                  <w:r>
                    <w:rPr>
                      <w:rFonts w:hint="default" w:ascii="Times New Roman" w:hAnsi="Times New Roman" w:eastAsia="宋体" w:cs="Times New Roman"/>
                      <w:sz w:val="18"/>
                      <w:szCs w:val="18"/>
                      <w:highlight w:val="none"/>
                    </w:rPr>
                    <w:t>3</w:t>
                  </w:r>
                </w:p>
              </w:tc>
              <w:tc>
                <w:tcPr>
                  <w:tcW w:w="930" w:type="dxa"/>
                  <w:tcBorders>
                    <w:top w:val="single" w:color="auto" w:sz="4" w:space="0"/>
                    <w:left w:val="single" w:color="auto" w:sz="4" w:space="0"/>
                    <w:bottom w:val="single" w:color="auto" w:sz="4" w:space="0"/>
                    <w:right w:val="single" w:color="auto" w:sz="4" w:space="0"/>
                  </w:tcBorders>
                  <w:vAlign w:val="center"/>
                </w:tcPr>
                <w:p w14:paraId="1A09F9FC">
                  <w:pPr>
                    <w:pStyle w:val="129"/>
                    <w:keepNext w:val="0"/>
                    <w:keepLines w:val="0"/>
                    <w:suppressLineNumbers w:val="0"/>
                    <w:spacing w:before="0" w:beforeAutospacing="0" w:after="0" w:afterAutospacing="0"/>
                    <w:ind w:left="0" w:right="0"/>
                    <w:rPr>
                      <w:rFonts w:hint="eastAsia" w:ascii="Times New Roman" w:hAnsi="Times New Roman" w:eastAsia="宋体" w:cs="Times New Roman"/>
                      <w:sz w:val="18"/>
                      <w:szCs w:val="18"/>
                      <w:highlight w:val="none"/>
                      <w:lang w:val="en-US" w:eastAsia="zh-CN"/>
                    </w:rPr>
                  </w:pPr>
                  <w:r>
                    <w:rPr>
                      <w:rFonts w:hint="default" w:ascii="Times New Roman" w:hAnsi="Times New Roman" w:eastAsia="宋体" w:cs="Times New Roman"/>
                      <w:color w:val="auto"/>
                      <w:sz w:val="18"/>
                      <w:szCs w:val="18"/>
                      <w:highlight w:val="none"/>
                    </w:rPr>
                    <w:t>病理性废物</w:t>
                  </w:r>
                </w:p>
              </w:tc>
              <w:tc>
                <w:tcPr>
                  <w:tcW w:w="675" w:type="dxa"/>
                  <w:tcBorders>
                    <w:top w:val="single" w:color="auto" w:sz="4" w:space="0"/>
                    <w:left w:val="single" w:color="auto" w:sz="4" w:space="0"/>
                    <w:bottom w:val="single" w:color="auto" w:sz="4" w:space="0"/>
                    <w:right w:val="single" w:color="auto" w:sz="4" w:space="0"/>
                  </w:tcBorders>
                  <w:vAlign w:val="center"/>
                </w:tcPr>
                <w:p w14:paraId="61259892">
                  <w:pPr>
                    <w:pStyle w:val="129"/>
                    <w:keepNext w:val="0"/>
                    <w:keepLines w:val="0"/>
                    <w:suppressLineNumbers w:val="0"/>
                    <w:spacing w:before="0" w:beforeAutospacing="0" w:after="0" w:afterAutospacing="0"/>
                    <w:ind w:left="0" w:right="0"/>
                    <w:rPr>
                      <w:rFonts w:hint="eastAsia" w:ascii="Times New Roman" w:hAnsi="Times New Roman" w:eastAsia="宋体" w:cs="Times New Roman"/>
                      <w:kern w:val="2"/>
                      <w:sz w:val="18"/>
                      <w:szCs w:val="18"/>
                      <w:highlight w:val="none"/>
                      <w:lang w:val="en-US" w:eastAsia="zh-CN" w:bidi="ar-SA"/>
                    </w:rPr>
                  </w:pPr>
                  <w:r>
                    <w:rPr>
                      <w:rFonts w:hint="default" w:ascii="Times New Roman" w:hAnsi="Times New Roman" w:eastAsia="宋体" w:cs="Times New Roman"/>
                      <w:color w:val="auto"/>
                      <w:sz w:val="18"/>
                      <w:szCs w:val="18"/>
                      <w:highlight w:val="none"/>
                    </w:rPr>
                    <w:t>动物实验</w:t>
                  </w:r>
                </w:p>
              </w:tc>
              <w:tc>
                <w:tcPr>
                  <w:tcW w:w="615" w:type="dxa"/>
                  <w:tcBorders>
                    <w:top w:val="single" w:color="auto" w:sz="4" w:space="0"/>
                    <w:left w:val="single" w:color="auto" w:sz="4" w:space="0"/>
                    <w:bottom w:val="single" w:color="auto" w:sz="4" w:space="0"/>
                    <w:right w:val="single" w:color="auto" w:sz="4" w:space="0"/>
                  </w:tcBorders>
                  <w:vAlign w:val="center"/>
                </w:tcPr>
                <w:p w14:paraId="0AD2DF60">
                  <w:pPr>
                    <w:keepNext w:val="0"/>
                    <w:keepLines w:val="0"/>
                    <w:pageBreakBefore w:val="0"/>
                    <w:suppressLineNumbers w:val="0"/>
                    <w:kinsoku/>
                    <w:wordWrap/>
                    <w:overflowPunct/>
                    <w:topLinePunct w:val="0"/>
                    <w:autoSpaceDE/>
                    <w:autoSpaceDN/>
                    <w:bidi w:val="0"/>
                    <w:adjustRightInd w:val="0"/>
                    <w:snapToGrid w:val="0"/>
                    <w:spacing w:before="0" w:beforeAutospacing="0" w:after="0" w:afterAutospacing="0" w:line="276" w:lineRule="auto"/>
                    <w:ind w:left="0" w:right="0"/>
                    <w:jc w:val="center"/>
                    <w:rPr>
                      <w:rFonts w:hint="default" w:ascii="Times New Roman" w:hAnsi="Times New Roman" w:eastAsia="宋体" w:cs="Times New Roman"/>
                      <w:color w:val="auto"/>
                      <w:kern w:val="2"/>
                      <w:sz w:val="18"/>
                      <w:szCs w:val="18"/>
                      <w:highlight w:val="none"/>
                      <w:lang w:val="en-US" w:eastAsia="zh-CN" w:bidi="ar-SA"/>
                    </w:rPr>
                  </w:pPr>
                  <w:r>
                    <w:rPr>
                      <w:rFonts w:hint="default" w:ascii="Times New Roman" w:hAnsi="Times New Roman" w:eastAsia="宋体" w:cs="Times New Roman"/>
                      <w:color w:val="auto"/>
                      <w:sz w:val="18"/>
                      <w:szCs w:val="18"/>
                      <w:highlight w:val="none"/>
                    </w:rPr>
                    <w:t>2</w:t>
                  </w:r>
                  <w:r>
                    <w:rPr>
                      <w:rFonts w:hint="eastAsia" w:cs="Times New Roman"/>
                      <w:color w:val="auto"/>
                      <w:sz w:val="18"/>
                      <w:szCs w:val="18"/>
                      <w:highlight w:val="none"/>
                      <w:lang w:val="en-US" w:eastAsia="zh-CN"/>
                    </w:rPr>
                    <w:t>5</w:t>
                  </w:r>
                </w:p>
              </w:tc>
              <w:tc>
                <w:tcPr>
                  <w:tcW w:w="5673" w:type="dxa"/>
                  <w:tcBorders>
                    <w:top w:val="single" w:color="auto" w:sz="4" w:space="0"/>
                    <w:left w:val="single" w:color="auto" w:sz="4" w:space="0"/>
                    <w:bottom w:val="single" w:color="auto" w:sz="4" w:space="0"/>
                    <w:right w:val="single" w:color="auto" w:sz="4" w:space="0"/>
                  </w:tcBorders>
                  <w:vAlign w:val="center"/>
                </w:tcPr>
                <w:p w14:paraId="42687CFE">
                  <w:pPr>
                    <w:keepNext w:val="0"/>
                    <w:keepLines w:val="0"/>
                    <w:pageBreakBefore w:val="0"/>
                    <w:suppressLineNumbers w:val="0"/>
                    <w:kinsoku/>
                    <w:wordWrap/>
                    <w:overflowPunct/>
                    <w:topLinePunct w:val="0"/>
                    <w:autoSpaceDE/>
                    <w:autoSpaceDN/>
                    <w:bidi w:val="0"/>
                    <w:adjustRightInd w:val="0"/>
                    <w:snapToGrid w:val="0"/>
                    <w:spacing w:before="0" w:beforeAutospacing="0" w:after="0" w:afterAutospacing="0" w:line="264" w:lineRule="auto"/>
                    <w:ind w:left="0" w:right="0"/>
                    <w:textAlignment w:val="auto"/>
                    <w:rPr>
                      <w:rFonts w:hint="eastAsia" w:ascii="Times New Roman" w:hAnsi="Times New Roman" w:eastAsia="宋体" w:cs="Times New Roman"/>
                      <w:kern w:val="2"/>
                      <w:sz w:val="18"/>
                      <w:szCs w:val="18"/>
                      <w:highlight w:val="none"/>
                      <w:lang w:val="en-US" w:eastAsia="zh-CN" w:bidi="ar-SA"/>
                    </w:rPr>
                  </w:pPr>
                  <w:r>
                    <w:rPr>
                      <w:rFonts w:hint="default" w:ascii="Times New Roman" w:hAnsi="Times New Roman" w:eastAsia="宋体" w:cs="Times New Roman"/>
                      <w:sz w:val="18"/>
                      <w:szCs w:val="18"/>
                      <w:highlight w:val="none"/>
                    </w:rPr>
                    <w:t>动物饲养过程中会有少量动物死亡，实验完成后会产生动物尸体</w:t>
                  </w:r>
                  <w:r>
                    <w:rPr>
                      <w:rFonts w:hint="eastAsia" w:ascii="Times New Roman" w:hAnsi="Times New Roman" w:eastAsia="宋体" w:cs="Times New Roman"/>
                      <w:sz w:val="18"/>
                      <w:szCs w:val="18"/>
                      <w:highlight w:val="none"/>
                    </w:rPr>
                    <w:t>、</w:t>
                  </w:r>
                  <w:r>
                    <w:rPr>
                      <w:rFonts w:hint="default" w:ascii="Times New Roman" w:hAnsi="Times New Roman" w:eastAsia="宋体" w:cs="Times New Roman"/>
                      <w:sz w:val="18"/>
                      <w:szCs w:val="18"/>
                      <w:highlight w:val="none"/>
                    </w:rPr>
                    <w:t>动物组织</w:t>
                  </w:r>
                  <w:r>
                    <w:rPr>
                      <w:rFonts w:hint="eastAsia" w:ascii="Times New Roman" w:hAnsi="Times New Roman" w:eastAsia="宋体" w:cs="Times New Roman"/>
                      <w:sz w:val="18"/>
                      <w:szCs w:val="18"/>
                      <w:highlight w:val="none"/>
                    </w:rPr>
                    <w:t>、</w:t>
                  </w:r>
                  <w:r>
                    <w:rPr>
                      <w:rFonts w:hint="default" w:ascii="Times New Roman" w:hAnsi="Times New Roman" w:eastAsia="宋体" w:cs="Times New Roman"/>
                      <w:sz w:val="18"/>
                      <w:szCs w:val="18"/>
                      <w:highlight w:val="none"/>
                    </w:rPr>
                    <w:t>病理蜡片、废样本等</w:t>
                  </w:r>
                  <w:r>
                    <w:rPr>
                      <w:rFonts w:hint="eastAsia" w:ascii="Times New Roman" w:hAnsi="Times New Roman" w:eastAsia="宋体" w:cs="Times New Roman"/>
                      <w:sz w:val="18"/>
                      <w:szCs w:val="18"/>
                      <w:highlight w:val="none"/>
                    </w:rPr>
                    <w:t>，</w:t>
                  </w:r>
                  <w:r>
                    <w:rPr>
                      <w:rFonts w:hint="default" w:ascii="Times New Roman" w:hAnsi="Times New Roman" w:eastAsia="宋体" w:cs="Times New Roman"/>
                      <w:sz w:val="18"/>
                      <w:szCs w:val="18"/>
                      <w:highlight w:val="none"/>
                    </w:rPr>
                    <w:t>预计产生量25t/a，</w:t>
                  </w:r>
                  <w:r>
                    <w:rPr>
                      <w:rFonts w:hint="eastAsia" w:ascii="Times New Roman" w:hAnsi="Times New Roman" w:eastAsia="宋体" w:cs="Times New Roman"/>
                      <w:sz w:val="18"/>
                      <w:szCs w:val="18"/>
                      <w:highlight w:val="none"/>
                    </w:rPr>
                    <w:t>产生</w:t>
                  </w:r>
                  <w:r>
                    <w:rPr>
                      <w:rFonts w:hint="default" w:ascii="Times New Roman" w:hAnsi="Times New Roman" w:eastAsia="宋体" w:cs="Times New Roman"/>
                      <w:sz w:val="18"/>
                      <w:szCs w:val="18"/>
                      <w:highlight w:val="none"/>
                    </w:rPr>
                    <w:t>的病理性废物收集于</w:t>
                  </w:r>
                  <w:r>
                    <w:rPr>
                      <w:rFonts w:hint="eastAsia" w:ascii="Times New Roman" w:hAnsi="Times New Roman" w:eastAsia="宋体" w:cs="Times New Roman"/>
                      <w:sz w:val="18"/>
                      <w:szCs w:val="18"/>
                      <w:highlight w:val="none"/>
                    </w:rPr>
                    <w:t>医疗</w:t>
                  </w:r>
                  <w:r>
                    <w:rPr>
                      <w:rFonts w:hint="default" w:ascii="Times New Roman" w:hAnsi="Times New Roman" w:eastAsia="宋体" w:cs="Times New Roman"/>
                      <w:sz w:val="18"/>
                      <w:szCs w:val="18"/>
                      <w:highlight w:val="none"/>
                    </w:rPr>
                    <w:t>废弃物包装袋中，进行低温保存</w:t>
                  </w:r>
                  <w:r>
                    <w:rPr>
                      <w:rFonts w:hint="eastAsia" w:ascii="Times New Roman" w:hAnsi="Times New Roman" w:eastAsia="宋体" w:cs="Times New Roman"/>
                      <w:sz w:val="18"/>
                      <w:szCs w:val="18"/>
                      <w:highlight w:val="none"/>
                    </w:rPr>
                    <w:t>。进行过感染性实验的动物还需</w:t>
                  </w:r>
                  <w:r>
                    <w:rPr>
                      <w:rFonts w:hint="eastAsia" w:cs="Times New Roman"/>
                      <w:sz w:val="18"/>
                      <w:szCs w:val="18"/>
                      <w:highlight w:val="none"/>
                      <w:lang w:val="en-US" w:eastAsia="zh-CN"/>
                    </w:rPr>
                    <w:t>先</w:t>
                  </w:r>
                  <w:r>
                    <w:rPr>
                      <w:rFonts w:hint="eastAsia" w:ascii="Times New Roman" w:hAnsi="Times New Roman" w:eastAsia="宋体" w:cs="Times New Roman"/>
                      <w:sz w:val="18"/>
                      <w:szCs w:val="18"/>
                      <w:highlight w:val="none"/>
                    </w:rPr>
                    <w:t>进行高温灭菌。</w:t>
                  </w:r>
                </w:p>
              </w:tc>
            </w:tr>
            <w:tr w14:paraId="7586DB4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0" w:hRule="atLeast"/>
                <w:jc w:val="center"/>
              </w:trPr>
              <w:tc>
                <w:tcPr>
                  <w:tcW w:w="365" w:type="dxa"/>
                  <w:tcBorders>
                    <w:top w:val="single" w:color="auto" w:sz="4" w:space="0"/>
                    <w:left w:val="single" w:color="auto" w:sz="4" w:space="0"/>
                    <w:bottom w:val="single" w:color="auto" w:sz="4" w:space="0"/>
                    <w:right w:val="single" w:color="auto" w:sz="4" w:space="0"/>
                  </w:tcBorders>
                  <w:vAlign w:val="center"/>
                </w:tcPr>
                <w:p w14:paraId="46E714A4">
                  <w:pPr>
                    <w:keepNext w:val="0"/>
                    <w:keepLines w:val="0"/>
                    <w:pageBreakBefore w:val="0"/>
                    <w:suppressLineNumbers w:val="0"/>
                    <w:kinsoku/>
                    <w:wordWrap/>
                    <w:overflowPunct/>
                    <w:topLinePunct w:val="0"/>
                    <w:autoSpaceDE/>
                    <w:autoSpaceDN/>
                    <w:bidi w:val="0"/>
                    <w:adjustRightInd w:val="0"/>
                    <w:snapToGrid w:val="0"/>
                    <w:spacing w:before="0" w:beforeAutospacing="0" w:after="0" w:afterAutospacing="0" w:line="264" w:lineRule="auto"/>
                    <w:ind w:left="0" w:right="0"/>
                    <w:jc w:val="center"/>
                    <w:textAlignment w:val="auto"/>
                    <w:rPr>
                      <w:rFonts w:hint="default" w:ascii="Times New Roman" w:hAnsi="Times New Roman" w:eastAsia="宋体" w:cs="Times New Roman"/>
                      <w:sz w:val="18"/>
                      <w:szCs w:val="18"/>
                      <w:highlight w:val="none"/>
                    </w:rPr>
                  </w:pPr>
                  <w:r>
                    <w:rPr>
                      <w:rFonts w:hint="default" w:ascii="Times New Roman" w:hAnsi="Times New Roman" w:eastAsia="宋体" w:cs="Times New Roman"/>
                      <w:sz w:val="18"/>
                      <w:szCs w:val="18"/>
                      <w:highlight w:val="none"/>
                    </w:rPr>
                    <w:t>4</w:t>
                  </w:r>
                </w:p>
              </w:tc>
              <w:tc>
                <w:tcPr>
                  <w:tcW w:w="930" w:type="dxa"/>
                  <w:tcBorders>
                    <w:top w:val="single" w:color="auto" w:sz="4" w:space="0"/>
                    <w:left w:val="single" w:color="auto" w:sz="4" w:space="0"/>
                    <w:bottom w:val="single" w:color="auto" w:sz="4" w:space="0"/>
                    <w:right w:val="single" w:color="auto" w:sz="4" w:space="0"/>
                  </w:tcBorders>
                  <w:vAlign w:val="center"/>
                </w:tcPr>
                <w:p w14:paraId="64EBC312">
                  <w:pPr>
                    <w:pStyle w:val="129"/>
                    <w:keepNext w:val="0"/>
                    <w:keepLines w:val="0"/>
                    <w:suppressLineNumbers w:val="0"/>
                    <w:spacing w:before="0" w:beforeAutospacing="0" w:after="0" w:afterAutospacing="0"/>
                    <w:ind w:left="0" w:right="0"/>
                    <w:rPr>
                      <w:rFonts w:hint="eastAsia" w:ascii="Times New Roman" w:hAnsi="Times New Roman" w:eastAsia="宋体" w:cs="Times New Roman"/>
                      <w:sz w:val="18"/>
                      <w:szCs w:val="18"/>
                      <w:highlight w:val="none"/>
                      <w:lang w:val="en-US" w:eastAsia="zh-CN"/>
                    </w:rPr>
                  </w:pPr>
                  <w:r>
                    <w:rPr>
                      <w:rFonts w:hint="eastAsia" w:ascii="Times New Roman" w:hAnsi="Times New Roman" w:eastAsia="宋体" w:cs="Times New Roman"/>
                      <w:color w:val="auto"/>
                      <w:sz w:val="18"/>
                      <w:szCs w:val="18"/>
                      <w:highlight w:val="none"/>
                    </w:rPr>
                    <w:t>药物性</w:t>
                  </w:r>
                  <w:r>
                    <w:rPr>
                      <w:rFonts w:hint="default" w:ascii="Times New Roman" w:hAnsi="Times New Roman" w:eastAsia="宋体" w:cs="Times New Roman"/>
                      <w:color w:val="auto"/>
                      <w:sz w:val="18"/>
                      <w:szCs w:val="18"/>
                      <w:highlight w:val="none"/>
                    </w:rPr>
                    <w:t>废物</w:t>
                  </w:r>
                </w:p>
              </w:tc>
              <w:tc>
                <w:tcPr>
                  <w:tcW w:w="675" w:type="dxa"/>
                  <w:tcBorders>
                    <w:top w:val="single" w:color="auto" w:sz="4" w:space="0"/>
                    <w:left w:val="single" w:color="auto" w:sz="4" w:space="0"/>
                    <w:bottom w:val="single" w:color="auto" w:sz="4" w:space="0"/>
                    <w:right w:val="single" w:color="auto" w:sz="4" w:space="0"/>
                  </w:tcBorders>
                  <w:vAlign w:val="center"/>
                </w:tcPr>
                <w:p w14:paraId="43036362">
                  <w:pPr>
                    <w:pStyle w:val="129"/>
                    <w:keepNext w:val="0"/>
                    <w:keepLines w:val="0"/>
                    <w:suppressLineNumbers w:val="0"/>
                    <w:spacing w:before="0" w:beforeAutospacing="0" w:after="0" w:afterAutospacing="0"/>
                    <w:ind w:left="0" w:right="0"/>
                    <w:rPr>
                      <w:rFonts w:hint="eastAsia" w:ascii="Times New Roman" w:hAnsi="Times New Roman" w:eastAsia="宋体" w:cs="Times New Roman"/>
                      <w:kern w:val="2"/>
                      <w:sz w:val="18"/>
                      <w:szCs w:val="18"/>
                      <w:highlight w:val="none"/>
                      <w:lang w:val="en-US" w:eastAsia="zh-CN" w:bidi="ar-SA"/>
                    </w:rPr>
                  </w:pPr>
                  <w:r>
                    <w:rPr>
                      <w:rFonts w:hint="eastAsia" w:ascii="Times New Roman" w:hAnsi="Times New Roman" w:eastAsia="宋体" w:cs="Times New Roman"/>
                      <w:color w:val="auto"/>
                      <w:sz w:val="18"/>
                      <w:szCs w:val="18"/>
                      <w:highlight w:val="none"/>
                    </w:rPr>
                    <w:t>饲养</w:t>
                  </w:r>
                </w:p>
              </w:tc>
              <w:tc>
                <w:tcPr>
                  <w:tcW w:w="615" w:type="dxa"/>
                  <w:tcBorders>
                    <w:top w:val="single" w:color="auto" w:sz="4" w:space="0"/>
                    <w:left w:val="single" w:color="auto" w:sz="4" w:space="0"/>
                    <w:bottom w:val="single" w:color="auto" w:sz="4" w:space="0"/>
                    <w:right w:val="single" w:color="auto" w:sz="4" w:space="0"/>
                  </w:tcBorders>
                  <w:vAlign w:val="center"/>
                </w:tcPr>
                <w:p w14:paraId="1E0C2AAE">
                  <w:pPr>
                    <w:keepNext w:val="0"/>
                    <w:keepLines w:val="0"/>
                    <w:pageBreakBefore w:val="0"/>
                    <w:suppressLineNumbers w:val="0"/>
                    <w:kinsoku/>
                    <w:wordWrap/>
                    <w:overflowPunct/>
                    <w:topLinePunct w:val="0"/>
                    <w:autoSpaceDE/>
                    <w:autoSpaceDN/>
                    <w:bidi w:val="0"/>
                    <w:adjustRightInd w:val="0"/>
                    <w:snapToGrid w:val="0"/>
                    <w:spacing w:before="0" w:beforeAutospacing="0" w:after="0" w:afterAutospacing="0" w:line="276" w:lineRule="auto"/>
                    <w:ind w:left="0" w:right="0"/>
                    <w:jc w:val="center"/>
                    <w:rPr>
                      <w:rFonts w:hint="eastAsia" w:ascii="Times New Roman" w:hAnsi="Times New Roman" w:eastAsia="宋体" w:cs="Times New Roman"/>
                      <w:color w:val="auto"/>
                      <w:kern w:val="2"/>
                      <w:sz w:val="18"/>
                      <w:szCs w:val="18"/>
                      <w:highlight w:val="none"/>
                      <w:lang w:val="en-US" w:eastAsia="zh-CN" w:bidi="ar-SA"/>
                    </w:rPr>
                  </w:pPr>
                  <w:r>
                    <w:rPr>
                      <w:rFonts w:hint="default" w:ascii="Times New Roman" w:hAnsi="Times New Roman" w:eastAsia="宋体" w:cs="Times New Roman"/>
                      <w:color w:val="auto"/>
                      <w:sz w:val="18"/>
                      <w:szCs w:val="18"/>
                      <w:highlight w:val="none"/>
                    </w:rPr>
                    <w:t>0.</w:t>
                  </w:r>
                  <w:r>
                    <w:rPr>
                      <w:rFonts w:hint="eastAsia" w:cs="Times New Roman"/>
                      <w:color w:val="auto"/>
                      <w:sz w:val="18"/>
                      <w:szCs w:val="18"/>
                      <w:highlight w:val="none"/>
                      <w:lang w:val="en-US" w:eastAsia="zh-CN"/>
                    </w:rPr>
                    <w:t>5</w:t>
                  </w:r>
                </w:p>
              </w:tc>
              <w:tc>
                <w:tcPr>
                  <w:tcW w:w="5673" w:type="dxa"/>
                  <w:tcBorders>
                    <w:top w:val="single" w:color="auto" w:sz="4" w:space="0"/>
                    <w:left w:val="single" w:color="auto" w:sz="4" w:space="0"/>
                    <w:bottom w:val="single" w:color="auto" w:sz="4" w:space="0"/>
                    <w:right w:val="single" w:color="auto" w:sz="4" w:space="0"/>
                  </w:tcBorders>
                  <w:vAlign w:val="center"/>
                </w:tcPr>
                <w:p w14:paraId="1001827E">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64" w:lineRule="auto"/>
                    <w:ind w:left="0" w:right="0"/>
                    <w:textAlignment w:val="auto"/>
                    <w:rPr>
                      <w:rFonts w:hint="eastAsia" w:ascii="Times New Roman" w:hAnsi="Times New Roman" w:eastAsia="宋体" w:cs="Times New Roman"/>
                      <w:kern w:val="2"/>
                      <w:sz w:val="18"/>
                      <w:szCs w:val="18"/>
                      <w:highlight w:val="none"/>
                      <w:lang w:val="en-US" w:eastAsia="zh-CN" w:bidi="ar-SA"/>
                    </w:rPr>
                  </w:pPr>
                  <w:r>
                    <w:rPr>
                      <w:rFonts w:hint="eastAsia" w:ascii="Times New Roman" w:hAnsi="Times New Roman" w:eastAsia="宋体" w:cs="Times New Roman"/>
                      <w:sz w:val="18"/>
                      <w:szCs w:val="18"/>
                      <w:highlight w:val="none"/>
                    </w:rPr>
                    <w:t>动物饲养</w:t>
                  </w:r>
                  <w:r>
                    <w:rPr>
                      <w:rFonts w:hint="default" w:ascii="Times New Roman" w:hAnsi="Times New Roman" w:eastAsia="宋体" w:cs="Times New Roman"/>
                      <w:sz w:val="18"/>
                      <w:szCs w:val="18"/>
                      <w:highlight w:val="none"/>
                    </w:rPr>
                    <w:t>及研究过程中，会产生</w:t>
                  </w:r>
                  <w:r>
                    <w:rPr>
                      <w:rFonts w:hint="eastAsia" w:ascii="Times New Roman" w:hAnsi="Times New Roman" w:eastAsia="宋体" w:cs="Times New Roman"/>
                      <w:sz w:val="18"/>
                      <w:szCs w:val="18"/>
                      <w:highlight w:val="none"/>
                    </w:rPr>
                    <w:t>废弃</w:t>
                  </w:r>
                  <w:r>
                    <w:rPr>
                      <w:rFonts w:hint="default" w:ascii="Times New Roman" w:hAnsi="Times New Roman" w:eastAsia="宋体" w:cs="Times New Roman"/>
                      <w:sz w:val="18"/>
                      <w:szCs w:val="18"/>
                      <w:highlight w:val="none"/>
                    </w:rPr>
                    <w:t>药物</w:t>
                  </w:r>
                  <w:r>
                    <w:rPr>
                      <w:rFonts w:hint="eastAsia" w:ascii="Times New Roman" w:hAnsi="Times New Roman" w:eastAsia="宋体" w:cs="Times New Roman"/>
                      <w:sz w:val="18"/>
                      <w:szCs w:val="18"/>
                      <w:highlight w:val="none"/>
                    </w:rPr>
                    <w:t>、</w:t>
                  </w:r>
                  <w:r>
                    <w:rPr>
                      <w:rFonts w:hint="default" w:ascii="Times New Roman" w:hAnsi="Times New Roman" w:eastAsia="宋体" w:cs="Times New Roman"/>
                      <w:sz w:val="18"/>
                      <w:szCs w:val="18"/>
                      <w:highlight w:val="none"/>
                    </w:rPr>
                    <w:t>血液制品</w:t>
                  </w:r>
                  <w:r>
                    <w:rPr>
                      <w:rFonts w:hint="eastAsia" w:ascii="Times New Roman" w:hAnsi="Times New Roman" w:eastAsia="宋体" w:cs="Times New Roman"/>
                      <w:sz w:val="18"/>
                      <w:szCs w:val="18"/>
                      <w:highlight w:val="none"/>
                    </w:rPr>
                    <w:t>等</w:t>
                  </w:r>
                  <w:r>
                    <w:rPr>
                      <w:rFonts w:hint="default" w:ascii="Times New Roman" w:hAnsi="Times New Roman" w:eastAsia="宋体" w:cs="Times New Roman"/>
                      <w:sz w:val="18"/>
                      <w:szCs w:val="18"/>
                      <w:highlight w:val="none"/>
                    </w:rPr>
                    <w:t>，</w:t>
                  </w:r>
                  <w:r>
                    <w:rPr>
                      <w:rFonts w:hint="eastAsia" w:ascii="Times New Roman" w:hAnsi="Times New Roman" w:eastAsia="宋体" w:cs="Times New Roman"/>
                      <w:sz w:val="18"/>
                      <w:szCs w:val="18"/>
                      <w:highlight w:val="none"/>
                    </w:rPr>
                    <w:t>产生</w:t>
                  </w:r>
                  <w:r>
                    <w:rPr>
                      <w:rFonts w:hint="default" w:ascii="Times New Roman" w:hAnsi="Times New Roman" w:eastAsia="宋体" w:cs="Times New Roman"/>
                      <w:sz w:val="18"/>
                      <w:szCs w:val="18"/>
                      <w:highlight w:val="none"/>
                    </w:rPr>
                    <w:t>量约</w:t>
                  </w:r>
                  <w:r>
                    <w:rPr>
                      <w:rFonts w:hint="eastAsia" w:ascii="Times New Roman" w:hAnsi="Times New Roman" w:eastAsia="宋体" w:cs="Times New Roman"/>
                      <w:sz w:val="18"/>
                      <w:szCs w:val="18"/>
                      <w:highlight w:val="none"/>
                    </w:rPr>
                    <w:t>0.5</w:t>
                  </w:r>
                  <w:r>
                    <w:rPr>
                      <w:rFonts w:hint="default" w:ascii="Times New Roman" w:hAnsi="Times New Roman" w:eastAsia="宋体" w:cs="Times New Roman"/>
                      <w:sz w:val="18"/>
                      <w:szCs w:val="18"/>
                      <w:highlight w:val="none"/>
                    </w:rPr>
                    <w:t>t/a</w:t>
                  </w:r>
                  <w:r>
                    <w:rPr>
                      <w:rFonts w:hint="eastAsia" w:ascii="Times New Roman" w:hAnsi="Times New Roman" w:eastAsia="宋体" w:cs="Times New Roman"/>
                      <w:sz w:val="18"/>
                      <w:szCs w:val="18"/>
                      <w:highlight w:val="none"/>
                    </w:rPr>
                    <w:t>。</w:t>
                  </w:r>
                </w:p>
              </w:tc>
            </w:tr>
            <w:tr w14:paraId="7B64ECA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0" w:hRule="atLeast"/>
                <w:jc w:val="center"/>
              </w:trPr>
              <w:tc>
                <w:tcPr>
                  <w:tcW w:w="365" w:type="dxa"/>
                  <w:tcBorders>
                    <w:top w:val="single" w:color="auto" w:sz="4" w:space="0"/>
                    <w:left w:val="single" w:color="auto" w:sz="4" w:space="0"/>
                    <w:bottom w:val="single" w:color="auto" w:sz="4" w:space="0"/>
                    <w:right w:val="single" w:color="auto" w:sz="4" w:space="0"/>
                  </w:tcBorders>
                  <w:vAlign w:val="center"/>
                </w:tcPr>
                <w:p w14:paraId="7A88E0F2">
                  <w:pPr>
                    <w:keepNext w:val="0"/>
                    <w:keepLines w:val="0"/>
                    <w:pageBreakBefore w:val="0"/>
                    <w:suppressLineNumbers w:val="0"/>
                    <w:kinsoku/>
                    <w:wordWrap/>
                    <w:overflowPunct/>
                    <w:topLinePunct w:val="0"/>
                    <w:autoSpaceDE/>
                    <w:autoSpaceDN/>
                    <w:bidi w:val="0"/>
                    <w:adjustRightInd w:val="0"/>
                    <w:snapToGrid w:val="0"/>
                    <w:spacing w:before="0" w:beforeAutospacing="0" w:after="0" w:afterAutospacing="0" w:line="264" w:lineRule="auto"/>
                    <w:ind w:left="0" w:right="0"/>
                    <w:jc w:val="center"/>
                    <w:textAlignment w:val="auto"/>
                    <w:rPr>
                      <w:rFonts w:hint="default" w:ascii="Times New Roman" w:hAnsi="Times New Roman" w:eastAsia="宋体" w:cs="Times New Roman"/>
                      <w:kern w:val="2"/>
                      <w:sz w:val="18"/>
                      <w:szCs w:val="18"/>
                      <w:highlight w:val="none"/>
                      <w:lang w:val="en-US" w:eastAsia="zh-CN" w:bidi="ar-SA"/>
                    </w:rPr>
                  </w:pPr>
                  <w:r>
                    <w:rPr>
                      <w:rFonts w:hint="default" w:ascii="Times New Roman" w:hAnsi="Times New Roman" w:eastAsia="宋体" w:cs="Times New Roman"/>
                      <w:sz w:val="18"/>
                      <w:szCs w:val="18"/>
                      <w:highlight w:val="none"/>
                    </w:rPr>
                    <w:t>5</w:t>
                  </w:r>
                </w:p>
              </w:tc>
              <w:tc>
                <w:tcPr>
                  <w:tcW w:w="930" w:type="dxa"/>
                  <w:tcBorders>
                    <w:top w:val="single" w:color="auto" w:sz="4" w:space="0"/>
                    <w:left w:val="single" w:color="auto" w:sz="4" w:space="0"/>
                    <w:bottom w:val="single" w:color="auto" w:sz="4" w:space="0"/>
                    <w:right w:val="single" w:color="auto" w:sz="4" w:space="0"/>
                  </w:tcBorders>
                  <w:vAlign w:val="center"/>
                </w:tcPr>
                <w:p w14:paraId="6869EEF5">
                  <w:pPr>
                    <w:pStyle w:val="129"/>
                    <w:keepNext w:val="0"/>
                    <w:keepLines w:val="0"/>
                    <w:suppressLineNumbers w:val="0"/>
                    <w:spacing w:before="0" w:beforeAutospacing="0" w:after="0" w:afterAutospacing="0"/>
                    <w:ind w:left="0" w:right="0"/>
                    <w:rPr>
                      <w:rFonts w:hint="eastAsia" w:ascii="Times New Roman" w:hAnsi="Times New Roman" w:eastAsia="宋体" w:cs="Times New Roman"/>
                      <w:sz w:val="18"/>
                      <w:szCs w:val="18"/>
                      <w:highlight w:val="none"/>
                      <w:lang w:val="en-US" w:eastAsia="zh-CN"/>
                    </w:rPr>
                  </w:pPr>
                  <w:r>
                    <w:rPr>
                      <w:rFonts w:hint="eastAsia" w:ascii="Times New Roman" w:hAnsi="Times New Roman" w:eastAsia="宋体" w:cs="Times New Roman"/>
                      <w:color w:val="auto"/>
                      <w:sz w:val="18"/>
                      <w:szCs w:val="18"/>
                      <w:highlight w:val="none"/>
                    </w:rPr>
                    <w:t>化学性</w:t>
                  </w:r>
                  <w:r>
                    <w:rPr>
                      <w:rFonts w:hint="default" w:ascii="Times New Roman" w:hAnsi="Times New Roman" w:eastAsia="宋体" w:cs="Times New Roman"/>
                      <w:color w:val="auto"/>
                      <w:sz w:val="18"/>
                      <w:szCs w:val="18"/>
                      <w:highlight w:val="none"/>
                    </w:rPr>
                    <w:t>废物</w:t>
                  </w:r>
                </w:p>
              </w:tc>
              <w:tc>
                <w:tcPr>
                  <w:tcW w:w="675" w:type="dxa"/>
                  <w:tcBorders>
                    <w:top w:val="single" w:color="auto" w:sz="4" w:space="0"/>
                    <w:left w:val="single" w:color="auto" w:sz="4" w:space="0"/>
                    <w:bottom w:val="single" w:color="auto" w:sz="4" w:space="0"/>
                    <w:right w:val="single" w:color="auto" w:sz="4" w:space="0"/>
                  </w:tcBorders>
                  <w:vAlign w:val="center"/>
                </w:tcPr>
                <w:p w14:paraId="48A29783">
                  <w:pPr>
                    <w:pStyle w:val="129"/>
                    <w:keepNext w:val="0"/>
                    <w:keepLines w:val="0"/>
                    <w:suppressLineNumbers w:val="0"/>
                    <w:spacing w:before="0" w:beforeAutospacing="0" w:after="0" w:afterAutospacing="0"/>
                    <w:ind w:left="0" w:right="0"/>
                    <w:rPr>
                      <w:rFonts w:hint="eastAsia" w:ascii="Times New Roman" w:hAnsi="Times New Roman" w:eastAsia="宋体" w:cs="Times New Roman"/>
                      <w:kern w:val="2"/>
                      <w:sz w:val="18"/>
                      <w:szCs w:val="18"/>
                      <w:highlight w:val="none"/>
                      <w:lang w:val="en-US" w:eastAsia="zh-CN" w:bidi="ar-SA"/>
                    </w:rPr>
                  </w:pPr>
                  <w:r>
                    <w:rPr>
                      <w:rFonts w:hint="eastAsia" w:ascii="Times New Roman" w:hAnsi="Times New Roman" w:eastAsia="宋体" w:cs="Times New Roman"/>
                      <w:color w:val="auto"/>
                      <w:sz w:val="18"/>
                      <w:szCs w:val="18"/>
                      <w:highlight w:val="none"/>
                    </w:rPr>
                    <w:t>解剖</w:t>
                  </w:r>
                  <w:r>
                    <w:rPr>
                      <w:rFonts w:hint="default" w:ascii="Times New Roman" w:hAnsi="Times New Roman" w:eastAsia="宋体" w:cs="Times New Roman"/>
                      <w:color w:val="auto"/>
                      <w:sz w:val="18"/>
                      <w:szCs w:val="18"/>
                      <w:highlight w:val="none"/>
                    </w:rPr>
                    <w:t>、</w:t>
                  </w:r>
                  <w:r>
                    <w:rPr>
                      <w:rFonts w:hint="eastAsia" w:ascii="Times New Roman" w:hAnsi="Times New Roman" w:eastAsia="宋体" w:cs="Times New Roman"/>
                      <w:color w:val="auto"/>
                      <w:sz w:val="18"/>
                      <w:szCs w:val="18"/>
                      <w:highlight w:val="none"/>
                    </w:rPr>
                    <w:t>实验</w:t>
                  </w:r>
                </w:p>
              </w:tc>
              <w:tc>
                <w:tcPr>
                  <w:tcW w:w="615" w:type="dxa"/>
                  <w:tcBorders>
                    <w:top w:val="single" w:color="auto" w:sz="4" w:space="0"/>
                    <w:left w:val="single" w:color="auto" w:sz="4" w:space="0"/>
                    <w:bottom w:val="single" w:color="auto" w:sz="4" w:space="0"/>
                    <w:right w:val="single" w:color="auto" w:sz="4" w:space="0"/>
                  </w:tcBorders>
                  <w:vAlign w:val="center"/>
                </w:tcPr>
                <w:p w14:paraId="45471990">
                  <w:pPr>
                    <w:keepNext w:val="0"/>
                    <w:keepLines w:val="0"/>
                    <w:pageBreakBefore w:val="0"/>
                    <w:suppressLineNumbers w:val="0"/>
                    <w:kinsoku/>
                    <w:wordWrap/>
                    <w:overflowPunct/>
                    <w:topLinePunct w:val="0"/>
                    <w:autoSpaceDE/>
                    <w:autoSpaceDN/>
                    <w:bidi w:val="0"/>
                    <w:adjustRightInd w:val="0"/>
                    <w:snapToGrid w:val="0"/>
                    <w:spacing w:before="0" w:beforeAutospacing="0" w:after="0" w:afterAutospacing="0" w:line="276" w:lineRule="auto"/>
                    <w:ind w:left="0" w:right="0"/>
                    <w:jc w:val="center"/>
                    <w:rPr>
                      <w:rFonts w:hint="default" w:ascii="Times New Roman" w:hAnsi="Times New Roman" w:eastAsia="宋体" w:cs="Times New Roman"/>
                      <w:color w:val="auto"/>
                      <w:kern w:val="2"/>
                      <w:sz w:val="18"/>
                      <w:szCs w:val="18"/>
                      <w:highlight w:val="none"/>
                      <w:lang w:val="en-US" w:eastAsia="zh-CN" w:bidi="ar-SA"/>
                    </w:rPr>
                  </w:pPr>
                  <w:r>
                    <w:rPr>
                      <w:rFonts w:hint="default" w:ascii="Times New Roman" w:hAnsi="Times New Roman" w:eastAsia="宋体" w:cs="Times New Roman"/>
                      <w:color w:val="auto"/>
                      <w:sz w:val="18"/>
                      <w:szCs w:val="18"/>
                      <w:highlight w:val="none"/>
                    </w:rPr>
                    <w:t>0.</w:t>
                  </w:r>
                  <w:r>
                    <w:rPr>
                      <w:rFonts w:hint="eastAsia" w:cs="Times New Roman"/>
                      <w:color w:val="auto"/>
                      <w:sz w:val="18"/>
                      <w:szCs w:val="18"/>
                      <w:highlight w:val="none"/>
                      <w:lang w:val="en-US" w:eastAsia="zh-CN"/>
                    </w:rPr>
                    <w:t>05</w:t>
                  </w:r>
                </w:p>
              </w:tc>
              <w:tc>
                <w:tcPr>
                  <w:tcW w:w="5673" w:type="dxa"/>
                  <w:tcBorders>
                    <w:top w:val="single" w:color="auto" w:sz="4" w:space="0"/>
                    <w:left w:val="single" w:color="auto" w:sz="4" w:space="0"/>
                    <w:bottom w:val="single" w:color="auto" w:sz="4" w:space="0"/>
                    <w:right w:val="single" w:color="auto" w:sz="4" w:space="0"/>
                  </w:tcBorders>
                  <w:vAlign w:val="center"/>
                </w:tcPr>
                <w:p w14:paraId="00F02D30">
                  <w:pPr>
                    <w:keepNext w:val="0"/>
                    <w:keepLines w:val="0"/>
                    <w:pageBreakBefore w:val="0"/>
                    <w:suppressLineNumbers w:val="0"/>
                    <w:kinsoku/>
                    <w:wordWrap/>
                    <w:overflowPunct/>
                    <w:topLinePunct w:val="0"/>
                    <w:autoSpaceDE/>
                    <w:autoSpaceDN/>
                    <w:bidi w:val="0"/>
                    <w:adjustRightInd w:val="0"/>
                    <w:snapToGrid w:val="0"/>
                    <w:spacing w:before="0" w:beforeAutospacing="0" w:after="0" w:afterAutospacing="0" w:line="264" w:lineRule="auto"/>
                    <w:ind w:left="0" w:right="0"/>
                    <w:textAlignment w:val="auto"/>
                    <w:rPr>
                      <w:rFonts w:hint="eastAsia" w:ascii="Times New Roman" w:hAnsi="Times New Roman" w:eastAsia="宋体" w:cs="Times New Roman"/>
                      <w:sz w:val="18"/>
                      <w:szCs w:val="18"/>
                      <w:highlight w:val="none"/>
                    </w:rPr>
                  </w:pPr>
                  <w:r>
                    <w:rPr>
                      <w:rFonts w:hint="eastAsia" w:ascii="Times New Roman" w:hAnsi="Times New Roman" w:eastAsia="宋体" w:cs="Times New Roman"/>
                      <w:sz w:val="18"/>
                      <w:szCs w:val="18"/>
                      <w:highlight w:val="none"/>
                    </w:rPr>
                    <w:t>实验</w:t>
                  </w:r>
                  <w:r>
                    <w:rPr>
                      <w:rFonts w:hint="default" w:ascii="Times New Roman" w:hAnsi="Times New Roman" w:eastAsia="宋体" w:cs="Times New Roman"/>
                      <w:sz w:val="18"/>
                      <w:szCs w:val="18"/>
                      <w:highlight w:val="none"/>
                    </w:rPr>
                    <w:t>过程中，会产生化学性废物，</w:t>
                  </w:r>
                  <w:r>
                    <w:rPr>
                      <w:rFonts w:hint="eastAsia" w:ascii="Times New Roman" w:hAnsi="Times New Roman" w:eastAsia="宋体" w:cs="Times New Roman"/>
                      <w:sz w:val="18"/>
                      <w:szCs w:val="18"/>
                      <w:highlight w:val="none"/>
                    </w:rPr>
                    <w:t>根据</w:t>
                  </w:r>
                  <w:r>
                    <w:rPr>
                      <w:rFonts w:hint="default" w:ascii="Times New Roman" w:hAnsi="Times New Roman" w:eastAsia="宋体" w:cs="Times New Roman"/>
                      <w:sz w:val="18"/>
                      <w:szCs w:val="18"/>
                      <w:highlight w:val="none"/>
                    </w:rPr>
                    <w:t>企业提供信息，产生量约</w:t>
                  </w:r>
                  <w:r>
                    <w:rPr>
                      <w:rFonts w:hint="eastAsia" w:ascii="Times New Roman" w:hAnsi="Times New Roman" w:eastAsia="宋体" w:cs="Times New Roman"/>
                      <w:sz w:val="18"/>
                      <w:szCs w:val="18"/>
                      <w:highlight w:val="none"/>
                    </w:rPr>
                    <w:t>0.05</w:t>
                  </w:r>
                  <w:r>
                    <w:rPr>
                      <w:rFonts w:hint="default" w:ascii="Times New Roman" w:hAnsi="Times New Roman" w:eastAsia="宋体" w:cs="Times New Roman"/>
                      <w:sz w:val="18"/>
                      <w:szCs w:val="18"/>
                      <w:highlight w:val="none"/>
                    </w:rPr>
                    <w:t>t/a</w:t>
                  </w:r>
                  <w:r>
                    <w:rPr>
                      <w:rFonts w:hint="eastAsia" w:ascii="Times New Roman" w:hAnsi="Times New Roman" w:eastAsia="宋体" w:cs="Times New Roman"/>
                      <w:sz w:val="18"/>
                      <w:szCs w:val="18"/>
                      <w:highlight w:val="none"/>
                    </w:rPr>
                    <w:t>。</w:t>
                  </w:r>
                </w:p>
              </w:tc>
            </w:tr>
            <w:tr w14:paraId="44AB482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0" w:hRule="atLeast"/>
                <w:jc w:val="center"/>
              </w:trPr>
              <w:tc>
                <w:tcPr>
                  <w:tcW w:w="365" w:type="dxa"/>
                  <w:tcBorders>
                    <w:top w:val="single" w:color="auto" w:sz="4" w:space="0"/>
                    <w:left w:val="single" w:color="auto" w:sz="4" w:space="0"/>
                    <w:bottom w:val="single" w:color="auto" w:sz="4" w:space="0"/>
                    <w:right w:val="single" w:color="auto" w:sz="4" w:space="0"/>
                  </w:tcBorders>
                  <w:vAlign w:val="center"/>
                </w:tcPr>
                <w:p w14:paraId="669EFA24">
                  <w:pPr>
                    <w:keepNext w:val="0"/>
                    <w:keepLines w:val="0"/>
                    <w:pageBreakBefore w:val="0"/>
                    <w:suppressLineNumbers w:val="0"/>
                    <w:kinsoku/>
                    <w:wordWrap/>
                    <w:overflowPunct/>
                    <w:topLinePunct w:val="0"/>
                    <w:autoSpaceDE/>
                    <w:autoSpaceDN/>
                    <w:bidi w:val="0"/>
                    <w:adjustRightInd w:val="0"/>
                    <w:snapToGrid w:val="0"/>
                    <w:spacing w:before="0" w:beforeAutospacing="0" w:after="0" w:afterAutospacing="0" w:line="264" w:lineRule="auto"/>
                    <w:ind w:left="0" w:right="0"/>
                    <w:jc w:val="center"/>
                    <w:textAlignment w:val="auto"/>
                    <w:rPr>
                      <w:rFonts w:hint="default" w:ascii="Times New Roman" w:hAnsi="Times New Roman" w:eastAsia="宋体" w:cs="Times New Roman"/>
                      <w:kern w:val="2"/>
                      <w:sz w:val="18"/>
                      <w:szCs w:val="18"/>
                      <w:highlight w:val="none"/>
                      <w:lang w:val="en-US" w:eastAsia="zh-CN" w:bidi="ar-SA"/>
                    </w:rPr>
                  </w:pPr>
                  <w:r>
                    <w:rPr>
                      <w:rFonts w:hint="default" w:ascii="Times New Roman" w:hAnsi="Times New Roman" w:eastAsia="宋体" w:cs="Times New Roman"/>
                      <w:sz w:val="18"/>
                      <w:szCs w:val="18"/>
                      <w:highlight w:val="none"/>
                    </w:rPr>
                    <w:t>6</w:t>
                  </w:r>
                </w:p>
              </w:tc>
              <w:tc>
                <w:tcPr>
                  <w:tcW w:w="930" w:type="dxa"/>
                  <w:tcBorders>
                    <w:top w:val="single" w:color="auto" w:sz="4" w:space="0"/>
                    <w:left w:val="single" w:color="auto" w:sz="4" w:space="0"/>
                    <w:bottom w:val="single" w:color="auto" w:sz="4" w:space="0"/>
                    <w:right w:val="single" w:color="auto" w:sz="4" w:space="0"/>
                  </w:tcBorders>
                  <w:shd w:val="clear" w:color="auto" w:fill="auto"/>
                  <w:vAlign w:val="center"/>
                </w:tcPr>
                <w:p w14:paraId="0B09D013">
                  <w:pPr>
                    <w:pStyle w:val="129"/>
                    <w:keepNext w:val="0"/>
                    <w:keepLines w:val="0"/>
                    <w:suppressLineNumbers w:val="0"/>
                    <w:spacing w:before="0" w:beforeAutospacing="0" w:after="0" w:afterAutospacing="0"/>
                    <w:ind w:left="0" w:right="0"/>
                    <w:rPr>
                      <w:rFonts w:hint="eastAsia" w:ascii="Times New Roman" w:hAnsi="Times New Roman" w:eastAsia="宋体" w:cs="Times New Roman"/>
                      <w:color w:val="auto"/>
                      <w:kern w:val="0"/>
                      <w:sz w:val="18"/>
                      <w:szCs w:val="18"/>
                      <w:highlight w:val="none"/>
                      <w:lang w:val="en-US" w:eastAsia="zh-CN" w:bidi="ar-SA"/>
                    </w:rPr>
                  </w:pPr>
                  <w:r>
                    <w:rPr>
                      <w:rFonts w:hint="eastAsia" w:ascii="Times New Roman" w:hAnsi="Times New Roman" w:eastAsia="宋体" w:cs="Times New Roman"/>
                      <w:color w:val="auto"/>
                      <w:sz w:val="18"/>
                      <w:szCs w:val="18"/>
                      <w:highlight w:val="none"/>
                    </w:rPr>
                    <w:t>P</w:t>
                  </w:r>
                  <w:r>
                    <w:rPr>
                      <w:rFonts w:hint="default" w:ascii="Times New Roman" w:hAnsi="Times New Roman" w:eastAsia="宋体" w:cs="Times New Roman"/>
                      <w:color w:val="auto"/>
                      <w:sz w:val="18"/>
                      <w:szCs w:val="18"/>
                      <w:highlight w:val="none"/>
                    </w:rPr>
                    <w:t>2</w:t>
                  </w:r>
                  <w:r>
                    <w:rPr>
                      <w:rFonts w:hint="eastAsia" w:ascii="Times New Roman" w:hAnsi="Times New Roman" w:eastAsia="宋体" w:cs="Times New Roman"/>
                      <w:color w:val="auto"/>
                      <w:sz w:val="18"/>
                      <w:szCs w:val="18"/>
                      <w:highlight w:val="none"/>
                    </w:rPr>
                    <w:t>实验室废</w:t>
                  </w:r>
                  <w:r>
                    <w:rPr>
                      <w:rFonts w:hint="default" w:ascii="Times New Roman" w:hAnsi="Times New Roman" w:eastAsia="宋体" w:cs="Times New Roman"/>
                      <w:color w:val="auto"/>
                      <w:sz w:val="18"/>
                      <w:szCs w:val="18"/>
                      <w:highlight w:val="none"/>
                    </w:rPr>
                    <w:t>垫料</w:t>
                  </w:r>
                </w:p>
              </w:tc>
              <w:tc>
                <w:tcPr>
                  <w:tcW w:w="675" w:type="dxa"/>
                  <w:tcBorders>
                    <w:top w:val="single" w:color="auto" w:sz="4" w:space="0"/>
                    <w:left w:val="single" w:color="auto" w:sz="4" w:space="0"/>
                    <w:bottom w:val="single" w:color="auto" w:sz="4" w:space="0"/>
                    <w:right w:val="single" w:color="auto" w:sz="4" w:space="0"/>
                  </w:tcBorders>
                  <w:vAlign w:val="center"/>
                </w:tcPr>
                <w:p w14:paraId="3340B3D7">
                  <w:pPr>
                    <w:keepNext w:val="0"/>
                    <w:keepLines w:val="0"/>
                    <w:pageBreakBefore w:val="0"/>
                    <w:suppressLineNumbers w:val="0"/>
                    <w:kinsoku/>
                    <w:wordWrap/>
                    <w:overflowPunct/>
                    <w:topLinePunct w:val="0"/>
                    <w:autoSpaceDE/>
                    <w:autoSpaceDN/>
                    <w:bidi w:val="0"/>
                    <w:adjustRightInd w:val="0"/>
                    <w:snapToGrid w:val="0"/>
                    <w:spacing w:before="0" w:beforeAutospacing="0" w:after="0" w:afterAutospacing="0" w:line="264" w:lineRule="auto"/>
                    <w:ind w:left="0" w:right="0"/>
                    <w:jc w:val="center"/>
                    <w:textAlignment w:val="auto"/>
                    <w:rPr>
                      <w:rFonts w:hint="eastAsia" w:ascii="Times New Roman" w:hAnsi="Times New Roman" w:eastAsia="宋体" w:cs="Times New Roman"/>
                      <w:kern w:val="2"/>
                      <w:sz w:val="18"/>
                      <w:szCs w:val="18"/>
                      <w:highlight w:val="none"/>
                      <w:lang w:val="en-US" w:eastAsia="zh-CN" w:bidi="ar-SA"/>
                    </w:rPr>
                  </w:pPr>
                  <w:r>
                    <w:rPr>
                      <w:rFonts w:hint="eastAsia" w:ascii="Times New Roman" w:hAnsi="Times New Roman" w:eastAsia="宋体" w:cs="Times New Roman"/>
                      <w:color w:val="auto"/>
                      <w:sz w:val="18"/>
                      <w:szCs w:val="18"/>
                      <w:highlight w:val="none"/>
                    </w:rPr>
                    <w:t>动物</w:t>
                  </w:r>
                  <w:r>
                    <w:rPr>
                      <w:rFonts w:hint="default" w:ascii="Times New Roman" w:hAnsi="Times New Roman" w:eastAsia="宋体" w:cs="Times New Roman"/>
                      <w:color w:val="auto"/>
                      <w:sz w:val="18"/>
                      <w:szCs w:val="18"/>
                      <w:highlight w:val="none"/>
                    </w:rPr>
                    <w:t>饲养</w:t>
                  </w:r>
                </w:p>
              </w:tc>
              <w:tc>
                <w:tcPr>
                  <w:tcW w:w="615" w:type="dxa"/>
                  <w:tcBorders>
                    <w:top w:val="single" w:color="auto" w:sz="4" w:space="0"/>
                    <w:left w:val="single" w:color="auto" w:sz="4" w:space="0"/>
                    <w:bottom w:val="single" w:color="auto" w:sz="4" w:space="0"/>
                    <w:right w:val="single" w:color="auto" w:sz="4" w:space="0"/>
                  </w:tcBorders>
                  <w:vAlign w:val="center"/>
                </w:tcPr>
                <w:p w14:paraId="132AE23F">
                  <w:pPr>
                    <w:keepNext w:val="0"/>
                    <w:keepLines w:val="0"/>
                    <w:pageBreakBefore w:val="0"/>
                    <w:suppressLineNumbers w:val="0"/>
                    <w:kinsoku/>
                    <w:wordWrap/>
                    <w:overflowPunct/>
                    <w:topLinePunct w:val="0"/>
                    <w:autoSpaceDE/>
                    <w:autoSpaceDN/>
                    <w:bidi w:val="0"/>
                    <w:adjustRightInd w:val="0"/>
                    <w:snapToGrid w:val="0"/>
                    <w:spacing w:before="0" w:beforeAutospacing="0" w:after="0" w:afterAutospacing="0" w:line="276" w:lineRule="auto"/>
                    <w:ind w:left="0" w:right="0"/>
                    <w:jc w:val="center"/>
                    <w:rPr>
                      <w:rFonts w:hint="default" w:ascii="Times New Roman" w:hAnsi="Times New Roman" w:eastAsia="宋体" w:cs="Times New Roman"/>
                      <w:color w:val="auto"/>
                      <w:kern w:val="2"/>
                      <w:sz w:val="18"/>
                      <w:szCs w:val="18"/>
                      <w:highlight w:val="none"/>
                      <w:lang w:val="en-US" w:eastAsia="zh-CN" w:bidi="ar-SA"/>
                    </w:rPr>
                  </w:pPr>
                  <w:r>
                    <w:rPr>
                      <w:rFonts w:hint="eastAsia" w:cs="Times New Roman"/>
                      <w:color w:val="auto"/>
                      <w:sz w:val="18"/>
                      <w:szCs w:val="18"/>
                      <w:highlight w:val="none"/>
                      <w:lang w:val="en-US" w:eastAsia="zh-CN"/>
                    </w:rPr>
                    <w:t>10</w:t>
                  </w:r>
                  <w:r>
                    <w:rPr>
                      <w:rFonts w:hint="default" w:ascii="Times New Roman" w:hAnsi="Times New Roman" w:eastAsia="宋体" w:cs="Times New Roman"/>
                      <w:color w:val="auto"/>
                      <w:sz w:val="18"/>
                      <w:szCs w:val="18"/>
                      <w:highlight w:val="none"/>
                    </w:rPr>
                    <w:t>.</w:t>
                  </w:r>
                  <w:r>
                    <w:rPr>
                      <w:rFonts w:hint="eastAsia" w:ascii="Times New Roman" w:hAnsi="Times New Roman" w:eastAsia="宋体" w:cs="Times New Roman"/>
                      <w:color w:val="auto"/>
                      <w:sz w:val="18"/>
                      <w:szCs w:val="18"/>
                      <w:highlight w:val="none"/>
                      <w:lang w:val="en-US" w:eastAsia="zh-CN"/>
                    </w:rPr>
                    <w:t>4</w:t>
                  </w:r>
                  <w:r>
                    <w:rPr>
                      <w:rFonts w:hint="eastAsia" w:cs="Times New Roman"/>
                      <w:color w:val="auto"/>
                      <w:sz w:val="18"/>
                      <w:szCs w:val="18"/>
                      <w:highlight w:val="none"/>
                      <w:lang w:val="en-US" w:eastAsia="zh-CN"/>
                    </w:rPr>
                    <w:t>2</w:t>
                  </w:r>
                </w:p>
              </w:tc>
              <w:tc>
                <w:tcPr>
                  <w:tcW w:w="5673" w:type="dxa"/>
                  <w:tcBorders>
                    <w:top w:val="single" w:color="auto" w:sz="4" w:space="0"/>
                    <w:left w:val="single" w:color="auto" w:sz="4" w:space="0"/>
                    <w:bottom w:val="single" w:color="auto" w:sz="4" w:space="0"/>
                    <w:right w:val="single" w:color="auto" w:sz="4" w:space="0"/>
                  </w:tcBorders>
                  <w:vAlign w:val="center"/>
                </w:tcPr>
                <w:p w14:paraId="5E8A36BE">
                  <w:pPr>
                    <w:keepNext w:val="0"/>
                    <w:keepLines w:val="0"/>
                    <w:pageBreakBefore w:val="0"/>
                    <w:suppressLineNumbers w:val="0"/>
                    <w:kinsoku/>
                    <w:wordWrap/>
                    <w:overflowPunct/>
                    <w:topLinePunct w:val="0"/>
                    <w:autoSpaceDE/>
                    <w:autoSpaceDN/>
                    <w:bidi w:val="0"/>
                    <w:adjustRightInd w:val="0"/>
                    <w:snapToGrid w:val="0"/>
                    <w:spacing w:before="0" w:beforeAutospacing="0" w:after="0" w:afterAutospacing="0" w:line="264" w:lineRule="auto"/>
                    <w:ind w:left="0" w:right="0"/>
                    <w:textAlignment w:val="auto"/>
                    <w:rPr>
                      <w:rFonts w:hint="eastAsia" w:ascii="Times New Roman" w:hAnsi="Times New Roman" w:eastAsia="宋体" w:cs="Times New Roman"/>
                      <w:kern w:val="2"/>
                      <w:sz w:val="18"/>
                      <w:szCs w:val="18"/>
                      <w:highlight w:val="none"/>
                      <w:lang w:val="en-US" w:eastAsia="zh-CN" w:bidi="ar-SA"/>
                    </w:rPr>
                  </w:pPr>
                  <w:r>
                    <w:rPr>
                      <w:rFonts w:hint="eastAsia" w:ascii="Times New Roman" w:hAnsi="Times New Roman" w:eastAsia="宋体" w:cs="Times New Roman"/>
                      <w:sz w:val="18"/>
                      <w:szCs w:val="18"/>
                      <w:highlight w:val="none"/>
                    </w:rPr>
                    <w:t>本项目在动物饲养过程中，为保证实验</w:t>
                  </w:r>
                  <w:r>
                    <w:rPr>
                      <w:rFonts w:hint="eastAsia" w:ascii="Times New Roman" w:hAnsi="Times New Roman" w:eastAsia="宋体" w:cs="Times New Roman"/>
                      <w:sz w:val="18"/>
                      <w:szCs w:val="18"/>
                      <w:highlight w:val="none"/>
                      <w:lang w:val="en-US" w:eastAsia="zh-CN"/>
                    </w:rPr>
                    <w:t>动物</w:t>
                  </w:r>
                  <w:r>
                    <w:rPr>
                      <w:rFonts w:hint="eastAsia" w:ascii="Times New Roman" w:hAnsi="Times New Roman" w:eastAsia="宋体" w:cs="Times New Roman"/>
                      <w:sz w:val="18"/>
                      <w:szCs w:val="18"/>
                      <w:highlight w:val="none"/>
                    </w:rPr>
                    <w:t>的舒适性和卫生，需采用玉米芯垫料、刨花垫料铺垫于饲养笼，用于保温、吸尿、做窝。垫料由于沾染动物粪便、尿液等污物需要定期更换，本项目动物粪便与垫料一同收集处理，动物垫料每周更换一次（即52次/年）</w:t>
                  </w:r>
                  <w:r>
                    <w:rPr>
                      <w:rFonts w:hint="eastAsia" w:ascii="Times New Roman" w:hAnsi="Times New Roman" w:eastAsia="宋体" w:cs="Times New Roman"/>
                      <w:sz w:val="18"/>
                      <w:szCs w:val="18"/>
                      <w:highlight w:val="none"/>
                      <w:lang w:eastAsia="zh-CN"/>
                    </w:rPr>
                    <w:t>，</w:t>
                  </w:r>
                  <w:r>
                    <w:rPr>
                      <w:rFonts w:hint="eastAsia" w:ascii="Times New Roman" w:hAnsi="Times New Roman" w:eastAsia="宋体" w:cs="Times New Roman"/>
                      <w:sz w:val="18"/>
                      <w:szCs w:val="18"/>
                      <w:highlight w:val="none"/>
                    </w:rPr>
                    <w:t>每次更换量约为0.1kg/笼</w:t>
                  </w:r>
                  <w:r>
                    <w:rPr>
                      <w:rFonts w:hint="eastAsia" w:ascii="Times New Roman" w:hAnsi="Times New Roman" w:eastAsia="宋体" w:cs="Times New Roman"/>
                      <w:sz w:val="18"/>
                      <w:szCs w:val="18"/>
                      <w:highlight w:val="none"/>
                      <w:lang w:eastAsia="zh-CN"/>
                    </w:rPr>
                    <w:t>，</w:t>
                  </w:r>
                  <w:r>
                    <w:rPr>
                      <w:rFonts w:hint="eastAsia" w:ascii="Times New Roman" w:hAnsi="Times New Roman" w:eastAsia="宋体" w:cs="Times New Roman"/>
                      <w:sz w:val="18"/>
                      <w:szCs w:val="18"/>
                      <w:highlight w:val="none"/>
                    </w:rPr>
                    <w:t>P</w:t>
                  </w:r>
                  <w:r>
                    <w:rPr>
                      <w:rFonts w:hint="default" w:ascii="Times New Roman" w:hAnsi="Times New Roman" w:eastAsia="宋体" w:cs="Times New Roman"/>
                      <w:sz w:val="18"/>
                      <w:szCs w:val="18"/>
                      <w:highlight w:val="none"/>
                    </w:rPr>
                    <w:t>2</w:t>
                  </w:r>
                  <w:r>
                    <w:rPr>
                      <w:rFonts w:hint="eastAsia" w:ascii="Times New Roman" w:hAnsi="Times New Roman" w:eastAsia="宋体" w:cs="Times New Roman"/>
                      <w:sz w:val="18"/>
                      <w:szCs w:val="18"/>
                      <w:highlight w:val="none"/>
                    </w:rPr>
                    <w:t>实验室</w:t>
                  </w:r>
                  <w:r>
                    <w:rPr>
                      <w:rFonts w:hint="default" w:ascii="Times New Roman" w:hAnsi="Times New Roman" w:eastAsia="宋体" w:cs="Times New Roman"/>
                      <w:sz w:val="18"/>
                      <w:szCs w:val="18"/>
                      <w:highlight w:val="none"/>
                    </w:rPr>
                    <w:t>ABSL-2</w:t>
                  </w:r>
                  <w:r>
                    <w:rPr>
                      <w:rFonts w:hint="eastAsia" w:ascii="Times New Roman" w:hAnsi="Times New Roman" w:eastAsia="宋体" w:cs="Times New Roman"/>
                      <w:sz w:val="18"/>
                      <w:szCs w:val="18"/>
                      <w:highlight w:val="none"/>
                      <w:lang w:val="en-US" w:eastAsia="zh-CN"/>
                    </w:rPr>
                    <w:t>饲养区</w:t>
                  </w:r>
                  <w:r>
                    <w:rPr>
                      <w:rFonts w:hint="default" w:ascii="Times New Roman" w:hAnsi="Times New Roman" w:eastAsia="宋体" w:cs="Times New Roman"/>
                      <w:sz w:val="18"/>
                      <w:szCs w:val="18"/>
                      <w:highlight w:val="none"/>
                    </w:rPr>
                    <w:t>存在部分动物饲养，</w:t>
                  </w:r>
                  <w:r>
                    <w:rPr>
                      <w:rFonts w:hint="eastAsia" w:ascii="Times New Roman" w:hAnsi="Times New Roman" w:eastAsia="宋体" w:cs="Times New Roman"/>
                      <w:sz w:val="18"/>
                      <w:szCs w:val="18"/>
                      <w:highlight w:val="none"/>
                      <w:lang w:val="en-US" w:eastAsia="zh-CN"/>
                    </w:rPr>
                    <w:t>根据废气源强章节描述，本项目</w:t>
                  </w:r>
                  <w:r>
                    <w:rPr>
                      <w:rFonts w:hint="eastAsia" w:ascii="Times New Roman" w:hAnsi="Times New Roman" w:eastAsia="宋体" w:cs="Times New Roman"/>
                      <w:sz w:val="18"/>
                      <w:szCs w:val="18"/>
                      <w:highlight w:val="none"/>
                    </w:rPr>
                    <w:t>P</w:t>
                  </w:r>
                  <w:r>
                    <w:rPr>
                      <w:rFonts w:hint="default" w:ascii="Times New Roman" w:hAnsi="Times New Roman" w:eastAsia="宋体" w:cs="Times New Roman"/>
                      <w:sz w:val="18"/>
                      <w:szCs w:val="18"/>
                      <w:highlight w:val="none"/>
                    </w:rPr>
                    <w:t>2</w:t>
                  </w:r>
                  <w:r>
                    <w:rPr>
                      <w:rFonts w:hint="eastAsia" w:ascii="Times New Roman" w:hAnsi="Times New Roman" w:eastAsia="宋体" w:cs="Times New Roman"/>
                      <w:sz w:val="18"/>
                      <w:szCs w:val="18"/>
                      <w:highlight w:val="none"/>
                    </w:rPr>
                    <w:t>实验室</w:t>
                  </w:r>
                  <w:r>
                    <w:rPr>
                      <w:rFonts w:hint="default" w:ascii="Times New Roman" w:hAnsi="Times New Roman" w:eastAsia="宋体" w:cs="Times New Roman"/>
                      <w:sz w:val="18"/>
                      <w:szCs w:val="18"/>
                      <w:highlight w:val="none"/>
                    </w:rPr>
                    <w:t>ABSL-2</w:t>
                  </w:r>
                  <w:r>
                    <w:rPr>
                      <w:rFonts w:hint="eastAsia" w:ascii="Times New Roman" w:hAnsi="Times New Roman" w:eastAsia="宋体" w:cs="Times New Roman"/>
                      <w:sz w:val="18"/>
                      <w:szCs w:val="18"/>
                      <w:highlight w:val="none"/>
                      <w:lang w:val="en-US" w:eastAsia="zh-CN"/>
                    </w:rPr>
                    <w:t>饲养区</w:t>
                  </w:r>
                  <w:r>
                    <w:rPr>
                      <w:rFonts w:hint="eastAsia" w:ascii="Times New Roman" w:hAnsi="Times New Roman" w:eastAsia="宋体" w:cs="Times New Roman"/>
                      <w:sz w:val="18"/>
                      <w:szCs w:val="18"/>
                      <w:highlight w:val="none"/>
                    </w:rPr>
                    <w:t>约有</w:t>
                  </w:r>
                  <w:r>
                    <w:rPr>
                      <w:rFonts w:hint="eastAsia" w:cs="Times New Roman"/>
                      <w:sz w:val="18"/>
                      <w:szCs w:val="18"/>
                      <w:highlight w:val="none"/>
                      <w:lang w:val="en-US" w:eastAsia="zh-CN"/>
                    </w:rPr>
                    <w:t>20</w:t>
                  </w:r>
                  <w:r>
                    <w:rPr>
                      <w:rFonts w:hint="eastAsia" w:ascii="Times New Roman" w:hAnsi="Times New Roman" w:eastAsia="宋体" w:cs="Times New Roman"/>
                      <w:sz w:val="18"/>
                      <w:szCs w:val="18"/>
                      <w:highlight w:val="none"/>
                      <w:lang w:val="en-US" w:eastAsia="zh-CN"/>
                    </w:rPr>
                    <w:t>0</w:t>
                  </w:r>
                  <w:r>
                    <w:rPr>
                      <w:rFonts w:hint="eastAsia" w:cs="Times New Roman"/>
                      <w:sz w:val="18"/>
                      <w:szCs w:val="18"/>
                      <w:highlight w:val="none"/>
                      <w:lang w:val="en-US" w:eastAsia="zh-CN"/>
                    </w:rPr>
                    <w:t>3</w:t>
                  </w:r>
                  <w:r>
                    <w:rPr>
                      <w:rFonts w:hint="eastAsia" w:ascii="Times New Roman" w:hAnsi="Times New Roman" w:eastAsia="宋体" w:cs="Times New Roman"/>
                      <w:sz w:val="18"/>
                      <w:szCs w:val="18"/>
                      <w:highlight w:val="none"/>
                    </w:rPr>
                    <w:t>个饲养笼</w:t>
                  </w:r>
                  <w:r>
                    <w:rPr>
                      <w:rFonts w:hint="eastAsia" w:ascii="Times New Roman" w:hAnsi="Times New Roman" w:eastAsia="宋体" w:cs="Times New Roman"/>
                      <w:sz w:val="18"/>
                      <w:szCs w:val="18"/>
                      <w:highlight w:val="none"/>
                      <w:lang w:eastAsia="zh-CN"/>
                    </w:rPr>
                    <w:t>，</w:t>
                  </w:r>
                  <w:r>
                    <w:rPr>
                      <w:rFonts w:hint="eastAsia" w:ascii="Times New Roman" w:hAnsi="Times New Roman" w:eastAsia="宋体" w:cs="Times New Roman"/>
                      <w:sz w:val="18"/>
                      <w:szCs w:val="18"/>
                      <w:highlight w:val="none"/>
                    </w:rPr>
                    <w:t>则常态下本项目P</w:t>
                  </w:r>
                  <w:r>
                    <w:rPr>
                      <w:rFonts w:hint="default" w:ascii="Times New Roman" w:hAnsi="Times New Roman" w:eastAsia="宋体" w:cs="Times New Roman"/>
                      <w:sz w:val="18"/>
                      <w:szCs w:val="18"/>
                      <w:highlight w:val="none"/>
                    </w:rPr>
                    <w:t>2</w:t>
                  </w:r>
                  <w:r>
                    <w:rPr>
                      <w:rFonts w:hint="eastAsia" w:ascii="Times New Roman" w:hAnsi="Times New Roman" w:eastAsia="宋体" w:cs="Times New Roman"/>
                      <w:sz w:val="18"/>
                      <w:szCs w:val="18"/>
                      <w:highlight w:val="none"/>
                    </w:rPr>
                    <w:t>实验室</w:t>
                  </w:r>
                  <w:r>
                    <w:rPr>
                      <w:rFonts w:hint="default" w:ascii="Times New Roman" w:hAnsi="Times New Roman" w:eastAsia="宋体" w:cs="Times New Roman"/>
                      <w:sz w:val="18"/>
                      <w:szCs w:val="18"/>
                      <w:highlight w:val="none"/>
                    </w:rPr>
                    <w:t>ABSL-2</w:t>
                  </w:r>
                  <w:r>
                    <w:rPr>
                      <w:rFonts w:hint="eastAsia" w:ascii="Times New Roman" w:hAnsi="Times New Roman" w:eastAsia="宋体" w:cs="Times New Roman"/>
                      <w:sz w:val="18"/>
                      <w:szCs w:val="18"/>
                      <w:highlight w:val="none"/>
                      <w:lang w:val="en-US" w:eastAsia="zh-CN"/>
                    </w:rPr>
                    <w:t>饲养区</w:t>
                  </w:r>
                  <w:r>
                    <w:rPr>
                      <w:rFonts w:hint="eastAsia" w:ascii="Times New Roman" w:hAnsi="Times New Roman" w:eastAsia="宋体" w:cs="Times New Roman"/>
                      <w:sz w:val="18"/>
                      <w:szCs w:val="18"/>
                      <w:highlight w:val="none"/>
                    </w:rPr>
                    <w:t>粪便与垫料的产生量约为</w:t>
                  </w:r>
                  <w:r>
                    <w:rPr>
                      <w:rFonts w:hint="eastAsia" w:cs="Times New Roman"/>
                      <w:sz w:val="18"/>
                      <w:szCs w:val="18"/>
                      <w:highlight w:val="none"/>
                      <w:lang w:val="en-US" w:eastAsia="zh-CN"/>
                    </w:rPr>
                    <w:t>10</w:t>
                  </w:r>
                  <w:r>
                    <w:rPr>
                      <w:rFonts w:hint="eastAsia" w:ascii="Times New Roman" w:hAnsi="Times New Roman" w:eastAsia="宋体" w:cs="Times New Roman"/>
                      <w:sz w:val="18"/>
                      <w:szCs w:val="18"/>
                      <w:highlight w:val="none"/>
                    </w:rPr>
                    <w:t>.</w:t>
                  </w:r>
                  <w:r>
                    <w:rPr>
                      <w:rFonts w:hint="eastAsia" w:ascii="Times New Roman" w:hAnsi="Times New Roman" w:eastAsia="宋体" w:cs="Times New Roman"/>
                      <w:sz w:val="18"/>
                      <w:szCs w:val="18"/>
                      <w:highlight w:val="none"/>
                      <w:lang w:val="en-US" w:eastAsia="zh-CN"/>
                    </w:rPr>
                    <w:t>4</w:t>
                  </w:r>
                  <w:r>
                    <w:rPr>
                      <w:rFonts w:hint="eastAsia" w:cs="Times New Roman"/>
                      <w:sz w:val="18"/>
                      <w:szCs w:val="18"/>
                      <w:highlight w:val="none"/>
                      <w:lang w:val="en-US" w:eastAsia="zh-CN"/>
                    </w:rPr>
                    <w:t>2</w:t>
                  </w:r>
                  <w:r>
                    <w:rPr>
                      <w:rFonts w:hint="default" w:ascii="Times New Roman" w:hAnsi="Times New Roman" w:eastAsia="宋体" w:cs="Times New Roman"/>
                      <w:sz w:val="18"/>
                      <w:szCs w:val="18"/>
                      <w:highlight w:val="none"/>
                    </w:rPr>
                    <w:t>t/a</w:t>
                  </w:r>
                  <w:r>
                    <w:rPr>
                      <w:rFonts w:hint="eastAsia" w:ascii="Times New Roman" w:hAnsi="Times New Roman" w:eastAsia="宋体" w:cs="Times New Roman"/>
                      <w:sz w:val="18"/>
                      <w:szCs w:val="18"/>
                      <w:highlight w:val="none"/>
                      <w:lang w:eastAsia="zh-CN"/>
                    </w:rPr>
                    <w:t>，</w:t>
                  </w:r>
                  <w:r>
                    <w:rPr>
                      <w:rFonts w:hint="default" w:ascii="Times New Roman" w:hAnsi="Times New Roman" w:eastAsia="宋体" w:cs="Times New Roman"/>
                      <w:sz w:val="18"/>
                      <w:szCs w:val="18"/>
                      <w:highlight w:val="none"/>
                    </w:rPr>
                    <w:t>ABSL-2</w:t>
                  </w:r>
                  <w:r>
                    <w:rPr>
                      <w:rFonts w:hint="eastAsia" w:ascii="Times New Roman" w:hAnsi="Times New Roman" w:eastAsia="宋体" w:cs="Times New Roman"/>
                      <w:sz w:val="18"/>
                      <w:szCs w:val="18"/>
                      <w:highlight w:val="none"/>
                      <w:lang w:val="en-US" w:eastAsia="zh-CN"/>
                    </w:rPr>
                    <w:t>饲养区</w:t>
                  </w:r>
                  <w:r>
                    <w:rPr>
                      <w:rFonts w:hint="eastAsia" w:ascii="Times New Roman" w:hAnsi="Times New Roman" w:eastAsia="宋体" w:cs="Times New Roman"/>
                      <w:sz w:val="18"/>
                      <w:szCs w:val="18"/>
                      <w:highlight w:val="none"/>
                    </w:rPr>
                    <w:t>饲养过程</w:t>
                  </w:r>
                  <w:r>
                    <w:rPr>
                      <w:rFonts w:hint="default" w:ascii="Times New Roman" w:hAnsi="Times New Roman" w:eastAsia="宋体" w:cs="Times New Roman"/>
                      <w:sz w:val="18"/>
                      <w:szCs w:val="18"/>
                      <w:highlight w:val="none"/>
                    </w:rPr>
                    <w:t>产生</w:t>
                  </w:r>
                  <w:r>
                    <w:rPr>
                      <w:rFonts w:hint="eastAsia" w:ascii="Times New Roman" w:hAnsi="Times New Roman" w:eastAsia="宋体" w:cs="Times New Roman"/>
                      <w:sz w:val="18"/>
                      <w:szCs w:val="18"/>
                      <w:highlight w:val="none"/>
                    </w:rPr>
                    <w:t>的废</w:t>
                  </w:r>
                  <w:r>
                    <w:rPr>
                      <w:rFonts w:hint="default" w:ascii="Times New Roman" w:hAnsi="Times New Roman" w:eastAsia="宋体" w:cs="Times New Roman"/>
                      <w:sz w:val="18"/>
                      <w:szCs w:val="18"/>
                      <w:highlight w:val="none"/>
                    </w:rPr>
                    <w:t>垫料</w:t>
                  </w:r>
                  <w:r>
                    <w:rPr>
                      <w:rFonts w:hint="eastAsia" w:ascii="Times New Roman" w:hAnsi="Times New Roman" w:eastAsia="宋体" w:cs="Times New Roman"/>
                      <w:sz w:val="18"/>
                      <w:szCs w:val="18"/>
                      <w:highlight w:val="none"/>
                    </w:rPr>
                    <w:t>可能</w:t>
                  </w:r>
                  <w:r>
                    <w:rPr>
                      <w:rFonts w:hint="default" w:ascii="Times New Roman" w:hAnsi="Times New Roman" w:eastAsia="宋体" w:cs="Times New Roman"/>
                      <w:sz w:val="18"/>
                      <w:szCs w:val="18"/>
                      <w:highlight w:val="none"/>
                    </w:rPr>
                    <w:t>具有感染性</w:t>
                  </w:r>
                  <w:r>
                    <w:rPr>
                      <w:rFonts w:hint="eastAsia" w:ascii="Times New Roman" w:hAnsi="Times New Roman" w:eastAsia="宋体" w:cs="Times New Roman"/>
                      <w:sz w:val="18"/>
                      <w:szCs w:val="18"/>
                      <w:highlight w:val="none"/>
                    </w:rPr>
                    <w:t>，</w:t>
                  </w:r>
                  <w:r>
                    <w:rPr>
                      <w:rFonts w:hint="default" w:ascii="Times New Roman" w:hAnsi="Times New Roman" w:eastAsia="宋体" w:cs="Times New Roman"/>
                      <w:sz w:val="18"/>
                      <w:szCs w:val="18"/>
                      <w:highlight w:val="none"/>
                    </w:rPr>
                    <w:t>应经高温消毒后</w:t>
                  </w:r>
                  <w:r>
                    <w:rPr>
                      <w:rFonts w:hint="eastAsia" w:ascii="Times New Roman" w:hAnsi="Times New Roman" w:eastAsia="宋体" w:cs="Times New Roman"/>
                      <w:sz w:val="18"/>
                      <w:szCs w:val="18"/>
                      <w:highlight w:val="none"/>
                    </w:rPr>
                    <w:t>作为</w:t>
                  </w:r>
                  <w:r>
                    <w:rPr>
                      <w:rFonts w:hint="eastAsia" w:cs="Times New Roman"/>
                      <w:sz w:val="18"/>
                      <w:szCs w:val="18"/>
                      <w:highlight w:val="none"/>
                      <w:lang w:val="en-US" w:eastAsia="zh-CN"/>
                    </w:rPr>
                    <w:t>医疗废物</w:t>
                  </w:r>
                  <w:r>
                    <w:rPr>
                      <w:rFonts w:hint="default" w:ascii="Times New Roman" w:hAnsi="Times New Roman" w:eastAsia="宋体" w:cs="Times New Roman"/>
                      <w:sz w:val="18"/>
                      <w:szCs w:val="18"/>
                      <w:highlight w:val="none"/>
                    </w:rPr>
                    <w:t>处置</w:t>
                  </w:r>
                  <w:r>
                    <w:rPr>
                      <w:rFonts w:hint="eastAsia" w:ascii="Times New Roman" w:hAnsi="Times New Roman" w:eastAsia="宋体" w:cs="Times New Roman"/>
                      <w:sz w:val="18"/>
                      <w:szCs w:val="18"/>
                      <w:highlight w:val="none"/>
                    </w:rPr>
                    <w:t>。</w:t>
                  </w:r>
                </w:p>
              </w:tc>
            </w:tr>
            <w:tr w14:paraId="609D312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90" w:hRule="atLeast"/>
                <w:jc w:val="center"/>
              </w:trPr>
              <w:tc>
                <w:tcPr>
                  <w:tcW w:w="365" w:type="dxa"/>
                  <w:tcBorders>
                    <w:top w:val="single" w:color="auto" w:sz="4" w:space="0"/>
                    <w:left w:val="single" w:color="auto" w:sz="4" w:space="0"/>
                    <w:bottom w:val="single" w:color="auto" w:sz="4" w:space="0"/>
                    <w:right w:val="single" w:color="auto" w:sz="4" w:space="0"/>
                  </w:tcBorders>
                  <w:shd w:val="clear" w:color="auto" w:fill="auto"/>
                  <w:vAlign w:val="center"/>
                </w:tcPr>
                <w:p w14:paraId="43EB85F3">
                  <w:pPr>
                    <w:keepNext w:val="0"/>
                    <w:keepLines w:val="0"/>
                    <w:pageBreakBefore w:val="0"/>
                    <w:suppressLineNumbers w:val="0"/>
                    <w:kinsoku/>
                    <w:wordWrap/>
                    <w:overflowPunct/>
                    <w:topLinePunct w:val="0"/>
                    <w:autoSpaceDE/>
                    <w:autoSpaceDN/>
                    <w:bidi w:val="0"/>
                    <w:adjustRightInd w:val="0"/>
                    <w:snapToGrid w:val="0"/>
                    <w:spacing w:before="0" w:beforeAutospacing="0" w:after="0" w:afterAutospacing="0" w:line="264" w:lineRule="auto"/>
                    <w:ind w:left="0" w:right="0"/>
                    <w:jc w:val="center"/>
                    <w:textAlignment w:val="auto"/>
                    <w:rPr>
                      <w:rFonts w:hint="default" w:ascii="Times New Roman" w:hAnsi="Times New Roman" w:eastAsia="宋体" w:cs="Times New Roman"/>
                      <w:kern w:val="2"/>
                      <w:sz w:val="18"/>
                      <w:szCs w:val="18"/>
                      <w:highlight w:val="none"/>
                      <w:lang w:val="en-US" w:eastAsia="zh-CN" w:bidi="ar-SA"/>
                    </w:rPr>
                  </w:pPr>
                  <w:r>
                    <w:rPr>
                      <w:rFonts w:hint="default" w:ascii="Times New Roman" w:hAnsi="Times New Roman" w:eastAsia="宋体" w:cs="Times New Roman"/>
                      <w:sz w:val="18"/>
                      <w:szCs w:val="18"/>
                      <w:highlight w:val="none"/>
                    </w:rPr>
                    <w:t>7</w:t>
                  </w:r>
                </w:p>
              </w:tc>
              <w:tc>
                <w:tcPr>
                  <w:tcW w:w="930" w:type="dxa"/>
                  <w:tcBorders>
                    <w:top w:val="single" w:color="auto" w:sz="4" w:space="0"/>
                    <w:left w:val="single" w:color="auto" w:sz="4" w:space="0"/>
                    <w:bottom w:val="single" w:color="auto" w:sz="4" w:space="0"/>
                    <w:right w:val="single" w:color="auto" w:sz="4" w:space="0"/>
                  </w:tcBorders>
                  <w:shd w:val="clear" w:color="auto" w:fill="auto"/>
                  <w:vAlign w:val="center"/>
                </w:tcPr>
                <w:p w14:paraId="08D5DA44">
                  <w:pPr>
                    <w:pStyle w:val="129"/>
                    <w:keepNext w:val="0"/>
                    <w:keepLines w:val="0"/>
                    <w:suppressLineNumbers w:val="0"/>
                    <w:spacing w:before="0" w:beforeAutospacing="0" w:after="0" w:afterAutospacing="0"/>
                    <w:ind w:left="0" w:right="0"/>
                    <w:rPr>
                      <w:rFonts w:hint="eastAsia" w:ascii="Times New Roman" w:hAnsi="Times New Roman" w:eastAsia="宋体" w:cs="Times New Roman"/>
                      <w:color w:val="auto"/>
                      <w:kern w:val="0"/>
                      <w:sz w:val="18"/>
                      <w:szCs w:val="18"/>
                      <w:highlight w:val="none"/>
                      <w:lang w:val="en-US" w:eastAsia="zh-CN" w:bidi="ar-SA"/>
                    </w:rPr>
                  </w:pPr>
                  <w:r>
                    <w:rPr>
                      <w:rFonts w:hint="eastAsia" w:ascii="Times New Roman" w:hAnsi="Times New Roman" w:eastAsia="宋体" w:cs="Times New Roman"/>
                      <w:color w:val="auto"/>
                      <w:sz w:val="18"/>
                      <w:szCs w:val="18"/>
                      <w:highlight w:val="none"/>
                      <w:lang w:val="en-US" w:eastAsia="zh-CN"/>
                    </w:rPr>
                    <w:t>一般</w:t>
                  </w:r>
                  <w:r>
                    <w:rPr>
                      <w:rFonts w:hint="default" w:ascii="Times New Roman" w:hAnsi="Times New Roman" w:eastAsia="宋体" w:cs="Times New Roman"/>
                      <w:color w:val="auto"/>
                      <w:sz w:val="18"/>
                      <w:szCs w:val="18"/>
                      <w:highlight w:val="none"/>
                    </w:rPr>
                    <w:t>废垫料</w:t>
                  </w:r>
                </w:p>
              </w:tc>
              <w:tc>
                <w:tcPr>
                  <w:tcW w:w="675" w:type="dxa"/>
                  <w:tcBorders>
                    <w:top w:val="single" w:color="auto" w:sz="4" w:space="0"/>
                    <w:left w:val="single" w:color="auto" w:sz="4" w:space="0"/>
                    <w:bottom w:val="single" w:color="auto" w:sz="4" w:space="0"/>
                    <w:right w:val="single" w:color="auto" w:sz="4" w:space="0"/>
                  </w:tcBorders>
                  <w:shd w:val="clear" w:color="auto" w:fill="auto"/>
                  <w:vAlign w:val="center"/>
                </w:tcPr>
                <w:p w14:paraId="618EEDCA">
                  <w:pPr>
                    <w:pStyle w:val="129"/>
                    <w:keepNext w:val="0"/>
                    <w:keepLines w:val="0"/>
                    <w:suppressLineNumbers w:val="0"/>
                    <w:spacing w:before="0" w:beforeAutospacing="0" w:after="0" w:afterAutospacing="0"/>
                    <w:ind w:left="0" w:right="0"/>
                    <w:rPr>
                      <w:rFonts w:hint="eastAsia" w:ascii="Times New Roman" w:hAnsi="Times New Roman" w:eastAsia="宋体" w:cs="Times New Roman"/>
                      <w:color w:val="auto"/>
                      <w:kern w:val="0"/>
                      <w:sz w:val="18"/>
                      <w:szCs w:val="18"/>
                      <w:highlight w:val="none"/>
                      <w:lang w:val="en-US" w:eastAsia="zh-CN" w:bidi="ar-SA"/>
                    </w:rPr>
                  </w:pPr>
                  <w:r>
                    <w:rPr>
                      <w:rFonts w:hint="eastAsia" w:ascii="Times New Roman" w:hAnsi="Times New Roman" w:eastAsia="宋体" w:cs="Times New Roman"/>
                      <w:color w:val="auto"/>
                      <w:sz w:val="18"/>
                      <w:szCs w:val="18"/>
                      <w:highlight w:val="none"/>
                    </w:rPr>
                    <w:t>动物</w:t>
                  </w:r>
                  <w:r>
                    <w:rPr>
                      <w:rFonts w:hint="default" w:ascii="Times New Roman" w:hAnsi="Times New Roman" w:eastAsia="宋体" w:cs="Times New Roman"/>
                      <w:color w:val="auto"/>
                      <w:sz w:val="18"/>
                      <w:szCs w:val="18"/>
                      <w:highlight w:val="none"/>
                    </w:rPr>
                    <w:t>饲养</w:t>
                  </w:r>
                </w:p>
              </w:tc>
              <w:tc>
                <w:tcPr>
                  <w:tcW w:w="615" w:type="dxa"/>
                  <w:tcBorders>
                    <w:top w:val="single" w:color="auto" w:sz="4" w:space="0"/>
                    <w:left w:val="single" w:color="auto" w:sz="4" w:space="0"/>
                    <w:bottom w:val="single" w:color="auto" w:sz="4" w:space="0"/>
                    <w:right w:val="single" w:color="auto" w:sz="4" w:space="0"/>
                  </w:tcBorders>
                  <w:shd w:val="clear" w:color="auto" w:fill="auto"/>
                  <w:vAlign w:val="center"/>
                </w:tcPr>
                <w:p w14:paraId="3985E3CC">
                  <w:pPr>
                    <w:keepNext w:val="0"/>
                    <w:keepLines w:val="0"/>
                    <w:pageBreakBefore w:val="0"/>
                    <w:suppressLineNumbers w:val="0"/>
                    <w:kinsoku/>
                    <w:wordWrap/>
                    <w:overflowPunct/>
                    <w:topLinePunct w:val="0"/>
                    <w:autoSpaceDE/>
                    <w:autoSpaceDN/>
                    <w:bidi w:val="0"/>
                    <w:adjustRightInd w:val="0"/>
                    <w:snapToGrid w:val="0"/>
                    <w:spacing w:before="0" w:beforeAutospacing="0" w:after="0" w:afterAutospacing="0" w:line="264" w:lineRule="auto"/>
                    <w:ind w:left="0" w:right="0"/>
                    <w:jc w:val="center"/>
                    <w:textAlignment w:val="auto"/>
                    <w:rPr>
                      <w:rFonts w:hint="default" w:ascii="Times New Roman" w:hAnsi="Times New Roman" w:eastAsia="宋体" w:cs="Times New Roman"/>
                      <w:kern w:val="2"/>
                      <w:sz w:val="18"/>
                      <w:szCs w:val="18"/>
                      <w:highlight w:val="none"/>
                      <w:lang w:val="en-US" w:eastAsia="zh-CN" w:bidi="ar-SA"/>
                    </w:rPr>
                  </w:pPr>
                  <w:r>
                    <w:rPr>
                      <w:rFonts w:hint="eastAsia" w:cs="Times New Roman"/>
                      <w:kern w:val="2"/>
                      <w:sz w:val="18"/>
                      <w:szCs w:val="18"/>
                      <w:highlight w:val="none"/>
                      <w:lang w:val="en-US" w:eastAsia="zh-CN" w:bidi="ar-SA"/>
                    </w:rPr>
                    <w:t>9</w:t>
                  </w:r>
                  <w:r>
                    <w:rPr>
                      <w:rFonts w:hint="eastAsia" w:ascii="Times New Roman" w:hAnsi="Times New Roman" w:eastAsia="宋体" w:cs="Times New Roman"/>
                      <w:kern w:val="2"/>
                      <w:sz w:val="18"/>
                      <w:szCs w:val="18"/>
                      <w:highlight w:val="none"/>
                      <w:lang w:val="en-US" w:eastAsia="zh-CN" w:bidi="ar-SA"/>
                    </w:rPr>
                    <w:t>3</w:t>
                  </w:r>
                  <w:r>
                    <w:rPr>
                      <w:rFonts w:hint="eastAsia" w:cs="Times New Roman"/>
                      <w:kern w:val="2"/>
                      <w:sz w:val="18"/>
                      <w:szCs w:val="18"/>
                      <w:highlight w:val="none"/>
                      <w:lang w:val="en-US" w:eastAsia="zh-CN" w:bidi="ar-SA"/>
                    </w:rPr>
                    <w:t>.24</w:t>
                  </w:r>
                </w:p>
              </w:tc>
              <w:tc>
                <w:tcPr>
                  <w:tcW w:w="5673" w:type="dxa"/>
                  <w:tcBorders>
                    <w:top w:val="single" w:color="auto" w:sz="4" w:space="0"/>
                    <w:left w:val="single" w:color="auto" w:sz="4" w:space="0"/>
                    <w:bottom w:val="single" w:color="auto" w:sz="4" w:space="0"/>
                    <w:right w:val="single" w:color="auto" w:sz="4" w:space="0"/>
                  </w:tcBorders>
                  <w:shd w:val="clear" w:color="auto" w:fill="auto"/>
                  <w:vAlign w:val="center"/>
                </w:tcPr>
                <w:p w14:paraId="572E029A">
                  <w:pPr>
                    <w:keepNext w:val="0"/>
                    <w:keepLines w:val="0"/>
                    <w:pageBreakBefore w:val="0"/>
                    <w:suppressLineNumbers w:val="0"/>
                    <w:kinsoku/>
                    <w:wordWrap/>
                    <w:overflowPunct/>
                    <w:topLinePunct w:val="0"/>
                    <w:autoSpaceDE/>
                    <w:autoSpaceDN/>
                    <w:bidi w:val="0"/>
                    <w:adjustRightInd w:val="0"/>
                    <w:snapToGrid w:val="0"/>
                    <w:spacing w:before="0" w:beforeAutospacing="0" w:after="0" w:afterAutospacing="0" w:line="264" w:lineRule="auto"/>
                    <w:ind w:left="0" w:right="0"/>
                    <w:textAlignment w:val="auto"/>
                    <w:rPr>
                      <w:rFonts w:hint="eastAsia" w:ascii="Times New Roman" w:hAnsi="Times New Roman" w:eastAsia="宋体" w:cs="Times New Roman"/>
                      <w:kern w:val="2"/>
                      <w:sz w:val="18"/>
                      <w:szCs w:val="18"/>
                      <w:highlight w:val="none"/>
                      <w:lang w:val="en-US" w:eastAsia="zh-CN" w:bidi="ar-SA"/>
                    </w:rPr>
                  </w:pPr>
                  <w:r>
                    <w:rPr>
                      <w:rFonts w:hint="default" w:ascii="Times New Roman" w:hAnsi="Times New Roman" w:eastAsia="宋体" w:cs="Times New Roman"/>
                      <w:sz w:val="18"/>
                      <w:szCs w:val="18"/>
                      <w:highlight w:val="none"/>
                    </w:rPr>
                    <w:t>SPF级</w:t>
                  </w:r>
                  <w:r>
                    <w:rPr>
                      <w:rFonts w:hint="eastAsia" w:ascii="Times New Roman" w:hAnsi="Times New Roman" w:eastAsia="宋体" w:cs="Times New Roman"/>
                      <w:sz w:val="18"/>
                      <w:szCs w:val="18"/>
                      <w:highlight w:val="none"/>
                      <w:lang w:eastAsia="zh-CN"/>
                    </w:rPr>
                    <w:t>、</w:t>
                  </w:r>
                  <w:r>
                    <w:rPr>
                      <w:rFonts w:hint="default" w:ascii="Times New Roman" w:hAnsi="Times New Roman" w:eastAsia="宋体" w:cs="Times New Roman"/>
                      <w:sz w:val="18"/>
                      <w:szCs w:val="18"/>
                      <w:highlight w:val="none"/>
                    </w:rPr>
                    <w:t>无菌级</w:t>
                  </w:r>
                  <w:r>
                    <w:rPr>
                      <w:rFonts w:hint="eastAsia" w:ascii="Times New Roman" w:hAnsi="Times New Roman" w:eastAsia="宋体" w:cs="Times New Roman"/>
                      <w:sz w:val="18"/>
                      <w:szCs w:val="18"/>
                      <w:highlight w:val="none"/>
                      <w:lang w:val="en-US" w:eastAsia="zh-CN"/>
                    </w:rPr>
                    <w:t>饲养区</w:t>
                  </w:r>
                  <w:r>
                    <w:rPr>
                      <w:rFonts w:hint="eastAsia" w:ascii="Times New Roman" w:hAnsi="Times New Roman" w:eastAsia="宋体" w:cs="Times New Roman"/>
                      <w:sz w:val="18"/>
                      <w:szCs w:val="18"/>
                      <w:highlight w:val="none"/>
                    </w:rPr>
                    <w:t>动物</w:t>
                  </w:r>
                  <w:r>
                    <w:rPr>
                      <w:rFonts w:hint="default" w:ascii="Times New Roman" w:hAnsi="Times New Roman" w:eastAsia="宋体" w:cs="Times New Roman"/>
                      <w:sz w:val="18"/>
                      <w:szCs w:val="18"/>
                      <w:highlight w:val="none"/>
                    </w:rPr>
                    <w:t>饲养</w:t>
                  </w:r>
                  <w:r>
                    <w:rPr>
                      <w:rFonts w:hint="eastAsia" w:cs="Times New Roman"/>
                      <w:b/>
                      <w:bCs/>
                      <w:sz w:val="18"/>
                      <w:szCs w:val="18"/>
                      <w:highlight w:val="none"/>
                      <w:lang w:eastAsia="zh-CN"/>
                    </w:rPr>
                    <w:t>（</w:t>
                  </w:r>
                  <w:r>
                    <w:rPr>
                      <w:rFonts w:hint="eastAsia" w:cs="Times New Roman"/>
                      <w:b/>
                      <w:bCs/>
                      <w:sz w:val="18"/>
                      <w:szCs w:val="18"/>
                      <w:highlight w:val="none"/>
                      <w:lang w:val="en-US" w:eastAsia="zh-CN"/>
                    </w:rPr>
                    <w:t>小鼠、大鼠、豚鼠</w:t>
                  </w:r>
                  <w:r>
                    <w:rPr>
                      <w:rFonts w:hint="eastAsia" w:cs="Times New Roman"/>
                      <w:b/>
                      <w:bCs/>
                      <w:sz w:val="18"/>
                      <w:szCs w:val="18"/>
                      <w:highlight w:val="none"/>
                      <w:lang w:eastAsia="zh-CN"/>
                    </w:rPr>
                    <w:t>）</w:t>
                  </w:r>
                  <w:r>
                    <w:rPr>
                      <w:rFonts w:hint="default" w:ascii="Times New Roman" w:hAnsi="Times New Roman" w:eastAsia="宋体" w:cs="Times New Roman"/>
                      <w:sz w:val="18"/>
                      <w:szCs w:val="18"/>
                      <w:highlight w:val="none"/>
                    </w:rPr>
                    <w:t>过程</w:t>
                  </w:r>
                  <w:r>
                    <w:rPr>
                      <w:rFonts w:hint="eastAsia" w:ascii="Times New Roman" w:hAnsi="Times New Roman" w:eastAsia="宋体" w:cs="Times New Roman"/>
                      <w:sz w:val="18"/>
                      <w:szCs w:val="18"/>
                      <w:highlight w:val="none"/>
                      <w:lang w:val="en-US" w:eastAsia="zh-CN"/>
                    </w:rPr>
                    <w:t>中</w:t>
                  </w:r>
                  <w:r>
                    <w:rPr>
                      <w:rFonts w:hint="eastAsia" w:ascii="Times New Roman" w:hAnsi="Times New Roman" w:eastAsia="宋体" w:cs="Times New Roman"/>
                      <w:sz w:val="18"/>
                      <w:szCs w:val="18"/>
                      <w:highlight w:val="none"/>
                    </w:rPr>
                    <w:t>垫料由于沾染动物粪便、尿液等污物需要定期更换，本项目动物粪便与垫料一同收集处理，动物垫料每周更换一次（即52次/年）</w:t>
                  </w:r>
                  <w:r>
                    <w:rPr>
                      <w:rFonts w:hint="eastAsia" w:ascii="Times New Roman" w:hAnsi="Times New Roman" w:eastAsia="宋体" w:cs="Times New Roman"/>
                      <w:sz w:val="18"/>
                      <w:szCs w:val="18"/>
                      <w:highlight w:val="none"/>
                      <w:lang w:eastAsia="zh-CN"/>
                    </w:rPr>
                    <w:t>，</w:t>
                  </w:r>
                  <w:r>
                    <w:rPr>
                      <w:rFonts w:hint="eastAsia" w:ascii="Times New Roman" w:hAnsi="Times New Roman" w:eastAsia="宋体" w:cs="Times New Roman"/>
                      <w:sz w:val="18"/>
                      <w:szCs w:val="18"/>
                      <w:highlight w:val="none"/>
                    </w:rPr>
                    <w:t>每次更换量约为0.1kg/笼</w:t>
                  </w:r>
                  <w:r>
                    <w:rPr>
                      <w:rFonts w:hint="eastAsia" w:ascii="Times New Roman" w:hAnsi="Times New Roman" w:eastAsia="宋体" w:cs="Times New Roman"/>
                      <w:sz w:val="18"/>
                      <w:szCs w:val="18"/>
                      <w:highlight w:val="none"/>
                      <w:lang w:eastAsia="zh-CN"/>
                    </w:rPr>
                    <w:t>，</w:t>
                  </w:r>
                  <w:r>
                    <w:rPr>
                      <w:rFonts w:hint="default" w:ascii="Times New Roman" w:hAnsi="Times New Roman" w:eastAsia="宋体" w:cs="Times New Roman"/>
                      <w:sz w:val="18"/>
                      <w:szCs w:val="18"/>
                      <w:highlight w:val="none"/>
                    </w:rPr>
                    <w:t>SPF级</w:t>
                  </w:r>
                  <w:r>
                    <w:rPr>
                      <w:rFonts w:hint="eastAsia" w:ascii="Times New Roman" w:hAnsi="Times New Roman" w:eastAsia="宋体" w:cs="Times New Roman"/>
                      <w:sz w:val="18"/>
                      <w:szCs w:val="18"/>
                      <w:highlight w:val="none"/>
                      <w:lang w:eastAsia="zh-CN"/>
                    </w:rPr>
                    <w:t>、</w:t>
                  </w:r>
                  <w:r>
                    <w:rPr>
                      <w:rFonts w:hint="default" w:ascii="Times New Roman" w:hAnsi="Times New Roman" w:eastAsia="宋体" w:cs="Times New Roman"/>
                      <w:sz w:val="18"/>
                      <w:szCs w:val="18"/>
                      <w:highlight w:val="none"/>
                    </w:rPr>
                    <w:t>无菌级</w:t>
                  </w:r>
                  <w:r>
                    <w:rPr>
                      <w:rFonts w:hint="eastAsia" w:ascii="Times New Roman" w:hAnsi="Times New Roman" w:eastAsia="宋体" w:cs="Times New Roman"/>
                      <w:sz w:val="18"/>
                      <w:szCs w:val="18"/>
                      <w:highlight w:val="none"/>
                      <w:lang w:val="en-US" w:eastAsia="zh-CN"/>
                    </w:rPr>
                    <w:t>饲养区约有</w:t>
                  </w:r>
                  <w:r>
                    <w:rPr>
                      <w:rFonts w:hint="eastAsia" w:cs="Times New Roman"/>
                      <w:sz w:val="18"/>
                      <w:szCs w:val="18"/>
                      <w:highlight w:val="none"/>
                      <w:lang w:val="en-US" w:eastAsia="zh-CN"/>
                    </w:rPr>
                    <w:t>17930</w:t>
                  </w:r>
                  <w:r>
                    <w:rPr>
                      <w:rFonts w:hint="eastAsia" w:ascii="Times New Roman" w:hAnsi="Times New Roman" w:eastAsia="宋体" w:cs="Times New Roman"/>
                      <w:sz w:val="18"/>
                      <w:szCs w:val="18"/>
                      <w:highlight w:val="none"/>
                    </w:rPr>
                    <w:t>个饲养笼</w:t>
                  </w:r>
                  <w:r>
                    <w:rPr>
                      <w:rFonts w:hint="eastAsia" w:ascii="Times New Roman" w:hAnsi="Times New Roman" w:eastAsia="宋体" w:cs="Times New Roman"/>
                      <w:sz w:val="18"/>
                      <w:szCs w:val="18"/>
                      <w:highlight w:val="none"/>
                      <w:lang w:eastAsia="zh-CN"/>
                    </w:rPr>
                    <w:t>，</w:t>
                  </w:r>
                  <w:r>
                    <w:rPr>
                      <w:rFonts w:hint="eastAsia" w:ascii="Times New Roman" w:hAnsi="Times New Roman" w:eastAsia="宋体" w:cs="Times New Roman"/>
                      <w:sz w:val="18"/>
                      <w:szCs w:val="18"/>
                      <w:highlight w:val="none"/>
                    </w:rPr>
                    <w:t>则常态下本项目</w:t>
                  </w:r>
                  <w:r>
                    <w:rPr>
                      <w:rFonts w:hint="default" w:ascii="Times New Roman" w:hAnsi="Times New Roman" w:eastAsia="宋体" w:cs="Times New Roman"/>
                      <w:sz w:val="18"/>
                      <w:szCs w:val="18"/>
                      <w:highlight w:val="none"/>
                    </w:rPr>
                    <w:t>SPF级</w:t>
                  </w:r>
                  <w:r>
                    <w:rPr>
                      <w:rFonts w:hint="eastAsia" w:ascii="Times New Roman" w:hAnsi="Times New Roman" w:eastAsia="宋体" w:cs="Times New Roman"/>
                      <w:sz w:val="18"/>
                      <w:szCs w:val="18"/>
                      <w:highlight w:val="none"/>
                      <w:lang w:eastAsia="zh-CN"/>
                    </w:rPr>
                    <w:t>、</w:t>
                  </w:r>
                  <w:r>
                    <w:rPr>
                      <w:rFonts w:hint="default" w:ascii="Times New Roman" w:hAnsi="Times New Roman" w:eastAsia="宋体" w:cs="Times New Roman"/>
                      <w:sz w:val="18"/>
                      <w:szCs w:val="18"/>
                      <w:highlight w:val="none"/>
                    </w:rPr>
                    <w:t>无菌级</w:t>
                  </w:r>
                  <w:r>
                    <w:rPr>
                      <w:rFonts w:hint="eastAsia" w:ascii="Times New Roman" w:hAnsi="Times New Roman" w:eastAsia="宋体" w:cs="Times New Roman"/>
                      <w:sz w:val="18"/>
                      <w:szCs w:val="18"/>
                      <w:highlight w:val="none"/>
                      <w:lang w:val="en-US" w:eastAsia="zh-CN"/>
                    </w:rPr>
                    <w:t>饲养区</w:t>
                  </w:r>
                  <w:r>
                    <w:rPr>
                      <w:rFonts w:hint="eastAsia" w:ascii="Times New Roman" w:hAnsi="Times New Roman" w:eastAsia="宋体" w:cs="Times New Roman"/>
                      <w:sz w:val="18"/>
                      <w:szCs w:val="18"/>
                      <w:highlight w:val="none"/>
                    </w:rPr>
                    <w:t>动物</w:t>
                  </w:r>
                  <w:r>
                    <w:rPr>
                      <w:rFonts w:hint="default" w:ascii="Times New Roman" w:hAnsi="Times New Roman" w:eastAsia="宋体" w:cs="Times New Roman"/>
                      <w:sz w:val="18"/>
                      <w:szCs w:val="18"/>
                      <w:highlight w:val="none"/>
                    </w:rPr>
                    <w:t>饲养</w:t>
                  </w:r>
                  <w:r>
                    <w:rPr>
                      <w:rFonts w:hint="eastAsia" w:cs="Times New Roman"/>
                      <w:b/>
                      <w:bCs/>
                      <w:sz w:val="18"/>
                      <w:szCs w:val="18"/>
                      <w:highlight w:val="none"/>
                      <w:lang w:eastAsia="zh-CN"/>
                    </w:rPr>
                    <w:t>（</w:t>
                  </w:r>
                  <w:r>
                    <w:rPr>
                      <w:rFonts w:hint="eastAsia" w:cs="Times New Roman"/>
                      <w:b/>
                      <w:bCs/>
                      <w:sz w:val="18"/>
                      <w:szCs w:val="18"/>
                      <w:highlight w:val="none"/>
                      <w:lang w:val="en-US" w:eastAsia="zh-CN"/>
                    </w:rPr>
                    <w:t>小鼠、大鼠、豚鼠</w:t>
                  </w:r>
                  <w:r>
                    <w:rPr>
                      <w:rFonts w:hint="eastAsia" w:cs="Times New Roman"/>
                      <w:b/>
                      <w:bCs/>
                      <w:sz w:val="18"/>
                      <w:szCs w:val="18"/>
                      <w:highlight w:val="none"/>
                      <w:lang w:eastAsia="zh-CN"/>
                    </w:rPr>
                    <w:t>）</w:t>
                  </w:r>
                  <w:r>
                    <w:rPr>
                      <w:rFonts w:hint="eastAsia" w:ascii="Times New Roman" w:hAnsi="Times New Roman" w:eastAsia="宋体" w:cs="Times New Roman"/>
                      <w:sz w:val="18"/>
                      <w:szCs w:val="18"/>
                      <w:highlight w:val="none"/>
                    </w:rPr>
                    <w:t>粪便与垫料的产生量约为</w:t>
                  </w:r>
                  <w:r>
                    <w:rPr>
                      <w:rFonts w:hint="eastAsia" w:cs="Times New Roman"/>
                      <w:sz w:val="18"/>
                      <w:szCs w:val="18"/>
                      <w:highlight w:val="none"/>
                      <w:lang w:val="en-US" w:eastAsia="zh-CN"/>
                    </w:rPr>
                    <w:t>9</w:t>
                  </w:r>
                  <w:r>
                    <w:rPr>
                      <w:rFonts w:hint="eastAsia" w:ascii="Times New Roman" w:hAnsi="Times New Roman" w:eastAsia="宋体" w:cs="Times New Roman"/>
                      <w:sz w:val="18"/>
                      <w:szCs w:val="18"/>
                      <w:highlight w:val="none"/>
                      <w:lang w:val="en-US" w:eastAsia="zh-CN"/>
                    </w:rPr>
                    <w:t>3</w:t>
                  </w:r>
                  <w:r>
                    <w:rPr>
                      <w:rFonts w:hint="eastAsia" w:cs="Times New Roman"/>
                      <w:sz w:val="18"/>
                      <w:szCs w:val="18"/>
                      <w:highlight w:val="none"/>
                      <w:lang w:val="en-US" w:eastAsia="zh-CN"/>
                    </w:rPr>
                    <w:t>.24</w:t>
                  </w:r>
                  <w:r>
                    <w:rPr>
                      <w:rFonts w:hint="default" w:ascii="Times New Roman" w:hAnsi="Times New Roman" w:eastAsia="宋体" w:cs="Times New Roman"/>
                      <w:sz w:val="18"/>
                      <w:szCs w:val="18"/>
                      <w:highlight w:val="none"/>
                    </w:rPr>
                    <w:t>t/a</w:t>
                  </w:r>
                  <w:r>
                    <w:rPr>
                      <w:rFonts w:hint="eastAsia" w:ascii="Times New Roman" w:hAnsi="Times New Roman" w:eastAsia="宋体" w:cs="Times New Roman"/>
                      <w:sz w:val="18"/>
                      <w:szCs w:val="18"/>
                      <w:highlight w:val="none"/>
                    </w:rPr>
                    <w:t>，</w:t>
                  </w:r>
                  <w:r>
                    <w:rPr>
                      <w:rFonts w:hint="default" w:ascii="Times New Roman" w:hAnsi="Times New Roman" w:eastAsia="宋体" w:cs="Times New Roman"/>
                      <w:sz w:val="18"/>
                      <w:szCs w:val="18"/>
                      <w:highlight w:val="none"/>
                    </w:rPr>
                    <w:t>无</w:t>
                  </w:r>
                  <w:r>
                    <w:rPr>
                      <w:rFonts w:hint="eastAsia" w:ascii="Times New Roman" w:hAnsi="Times New Roman" w:eastAsia="宋体" w:cs="Times New Roman"/>
                      <w:sz w:val="18"/>
                      <w:szCs w:val="18"/>
                      <w:highlight w:val="none"/>
                    </w:rPr>
                    <w:t>危险</w:t>
                  </w:r>
                  <w:r>
                    <w:rPr>
                      <w:rFonts w:hint="default" w:ascii="Times New Roman" w:hAnsi="Times New Roman" w:eastAsia="宋体" w:cs="Times New Roman"/>
                      <w:sz w:val="18"/>
                      <w:szCs w:val="18"/>
                      <w:highlight w:val="none"/>
                    </w:rPr>
                    <w:t>特性，作为一般固废处置</w:t>
                  </w:r>
                  <w:r>
                    <w:rPr>
                      <w:rFonts w:hint="eastAsia" w:ascii="Times New Roman" w:hAnsi="Times New Roman" w:eastAsia="宋体" w:cs="Times New Roman"/>
                      <w:sz w:val="18"/>
                      <w:szCs w:val="18"/>
                      <w:highlight w:val="none"/>
                    </w:rPr>
                    <w:t>。</w:t>
                  </w:r>
                </w:p>
              </w:tc>
            </w:tr>
            <w:tr w14:paraId="3598E62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90" w:hRule="atLeast"/>
                <w:jc w:val="center"/>
              </w:trPr>
              <w:tc>
                <w:tcPr>
                  <w:tcW w:w="365" w:type="dxa"/>
                  <w:tcBorders>
                    <w:top w:val="single" w:color="auto" w:sz="4" w:space="0"/>
                    <w:left w:val="single" w:color="auto" w:sz="4" w:space="0"/>
                    <w:bottom w:val="single" w:color="auto" w:sz="4" w:space="0"/>
                    <w:right w:val="single" w:color="auto" w:sz="4" w:space="0"/>
                  </w:tcBorders>
                  <w:shd w:val="clear" w:color="auto" w:fill="auto"/>
                  <w:vAlign w:val="center"/>
                </w:tcPr>
                <w:p w14:paraId="3FA59762">
                  <w:pPr>
                    <w:keepNext w:val="0"/>
                    <w:keepLines w:val="0"/>
                    <w:pageBreakBefore w:val="0"/>
                    <w:suppressLineNumbers w:val="0"/>
                    <w:kinsoku/>
                    <w:wordWrap/>
                    <w:overflowPunct/>
                    <w:topLinePunct w:val="0"/>
                    <w:autoSpaceDE/>
                    <w:autoSpaceDN/>
                    <w:bidi w:val="0"/>
                    <w:adjustRightInd w:val="0"/>
                    <w:snapToGrid w:val="0"/>
                    <w:spacing w:before="0" w:beforeAutospacing="0" w:after="0" w:afterAutospacing="0" w:line="264" w:lineRule="auto"/>
                    <w:ind w:left="0" w:right="0"/>
                    <w:jc w:val="center"/>
                    <w:textAlignment w:val="auto"/>
                    <w:rPr>
                      <w:rFonts w:hint="eastAsia" w:ascii="Times New Roman" w:hAnsi="Times New Roman" w:eastAsia="宋体" w:cs="Times New Roman"/>
                      <w:kern w:val="2"/>
                      <w:sz w:val="18"/>
                      <w:szCs w:val="18"/>
                      <w:highlight w:val="none"/>
                      <w:lang w:val="en-US" w:eastAsia="zh-CN" w:bidi="ar-SA"/>
                    </w:rPr>
                  </w:pPr>
                  <w:r>
                    <w:rPr>
                      <w:rFonts w:hint="eastAsia" w:ascii="Times New Roman" w:hAnsi="Times New Roman" w:eastAsia="宋体" w:cs="Times New Roman"/>
                      <w:sz w:val="18"/>
                      <w:szCs w:val="18"/>
                      <w:highlight w:val="none"/>
                      <w:lang w:val="en-US" w:eastAsia="zh-CN"/>
                    </w:rPr>
                    <w:t>8</w:t>
                  </w:r>
                </w:p>
              </w:tc>
              <w:tc>
                <w:tcPr>
                  <w:tcW w:w="930" w:type="dxa"/>
                  <w:tcBorders>
                    <w:top w:val="single" w:color="auto" w:sz="4" w:space="0"/>
                    <w:left w:val="single" w:color="auto" w:sz="4" w:space="0"/>
                    <w:bottom w:val="single" w:color="auto" w:sz="4" w:space="0"/>
                    <w:right w:val="single" w:color="auto" w:sz="4" w:space="0"/>
                  </w:tcBorders>
                  <w:shd w:val="clear" w:color="auto" w:fill="auto"/>
                  <w:vAlign w:val="center"/>
                </w:tcPr>
                <w:p w14:paraId="5E9D2A8E">
                  <w:pPr>
                    <w:pStyle w:val="129"/>
                    <w:keepNext w:val="0"/>
                    <w:keepLines w:val="0"/>
                    <w:suppressLineNumbers w:val="0"/>
                    <w:spacing w:before="0" w:beforeAutospacing="0" w:after="0" w:afterAutospacing="0"/>
                    <w:ind w:left="0" w:right="0"/>
                    <w:rPr>
                      <w:rFonts w:hint="default" w:ascii="Times New Roman" w:hAnsi="Times New Roman" w:eastAsia="宋体" w:cs="Times New Roman"/>
                      <w:color w:val="auto"/>
                      <w:sz w:val="18"/>
                      <w:szCs w:val="18"/>
                      <w:highlight w:val="none"/>
                      <w:lang w:val="en-US" w:eastAsia="zh-CN"/>
                    </w:rPr>
                  </w:pPr>
                  <w:r>
                    <w:rPr>
                      <w:rFonts w:hint="eastAsia" w:cs="Times New Roman"/>
                      <w:color w:val="auto"/>
                      <w:sz w:val="18"/>
                      <w:szCs w:val="18"/>
                      <w:highlight w:val="none"/>
                      <w:lang w:val="en-US" w:eastAsia="zh-CN"/>
                    </w:rPr>
                    <w:t>动物粪便</w:t>
                  </w:r>
                </w:p>
              </w:tc>
              <w:tc>
                <w:tcPr>
                  <w:tcW w:w="675" w:type="dxa"/>
                  <w:tcBorders>
                    <w:top w:val="single" w:color="auto" w:sz="4" w:space="0"/>
                    <w:left w:val="single" w:color="auto" w:sz="4" w:space="0"/>
                    <w:bottom w:val="single" w:color="auto" w:sz="4" w:space="0"/>
                    <w:right w:val="single" w:color="auto" w:sz="4" w:space="0"/>
                  </w:tcBorders>
                  <w:shd w:val="clear" w:color="auto" w:fill="auto"/>
                  <w:vAlign w:val="center"/>
                </w:tcPr>
                <w:p w14:paraId="6E688AA2">
                  <w:pPr>
                    <w:pStyle w:val="129"/>
                    <w:keepNext w:val="0"/>
                    <w:keepLines w:val="0"/>
                    <w:suppressLineNumbers w:val="0"/>
                    <w:spacing w:before="0" w:beforeAutospacing="0" w:after="0" w:afterAutospacing="0"/>
                    <w:ind w:left="0" w:right="0"/>
                    <w:rPr>
                      <w:rFonts w:hint="eastAsia" w:ascii="Times New Roman" w:hAnsi="Times New Roman" w:eastAsia="宋体" w:cs="Times New Roman"/>
                      <w:color w:val="auto"/>
                      <w:sz w:val="18"/>
                      <w:szCs w:val="18"/>
                      <w:highlight w:val="none"/>
                    </w:rPr>
                  </w:pPr>
                  <w:r>
                    <w:rPr>
                      <w:rFonts w:hint="eastAsia" w:ascii="Times New Roman" w:hAnsi="Times New Roman" w:eastAsia="宋体" w:cs="Times New Roman"/>
                      <w:color w:val="auto"/>
                      <w:sz w:val="18"/>
                      <w:szCs w:val="18"/>
                      <w:highlight w:val="none"/>
                    </w:rPr>
                    <w:t>动物</w:t>
                  </w:r>
                  <w:r>
                    <w:rPr>
                      <w:rFonts w:hint="default" w:ascii="Times New Roman" w:hAnsi="Times New Roman" w:eastAsia="宋体" w:cs="Times New Roman"/>
                      <w:color w:val="auto"/>
                      <w:sz w:val="18"/>
                      <w:szCs w:val="18"/>
                      <w:highlight w:val="none"/>
                    </w:rPr>
                    <w:t>饲养</w:t>
                  </w:r>
                </w:p>
              </w:tc>
              <w:tc>
                <w:tcPr>
                  <w:tcW w:w="615" w:type="dxa"/>
                  <w:tcBorders>
                    <w:top w:val="single" w:color="auto" w:sz="4" w:space="0"/>
                    <w:left w:val="single" w:color="auto" w:sz="4" w:space="0"/>
                    <w:bottom w:val="single" w:color="auto" w:sz="4" w:space="0"/>
                    <w:right w:val="single" w:color="auto" w:sz="4" w:space="0"/>
                  </w:tcBorders>
                  <w:shd w:val="clear" w:color="auto" w:fill="auto"/>
                  <w:vAlign w:val="center"/>
                </w:tcPr>
                <w:p w14:paraId="40A75012">
                  <w:pPr>
                    <w:keepNext w:val="0"/>
                    <w:keepLines w:val="0"/>
                    <w:pageBreakBefore w:val="0"/>
                    <w:suppressLineNumbers w:val="0"/>
                    <w:kinsoku/>
                    <w:wordWrap/>
                    <w:overflowPunct/>
                    <w:topLinePunct w:val="0"/>
                    <w:autoSpaceDE/>
                    <w:autoSpaceDN/>
                    <w:bidi w:val="0"/>
                    <w:adjustRightInd w:val="0"/>
                    <w:snapToGrid w:val="0"/>
                    <w:spacing w:before="0" w:beforeAutospacing="0" w:after="0" w:afterAutospacing="0" w:line="264" w:lineRule="auto"/>
                    <w:ind w:left="0" w:right="0"/>
                    <w:jc w:val="center"/>
                    <w:textAlignment w:val="auto"/>
                    <w:rPr>
                      <w:rFonts w:hint="default" w:ascii="Times New Roman" w:hAnsi="Times New Roman" w:eastAsia="宋体" w:cs="Times New Roman"/>
                      <w:sz w:val="18"/>
                      <w:szCs w:val="18"/>
                      <w:highlight w:val="none"/>
                      <w:lang w:val="en-US" w:eastAsia="zh-CN"/>
                    </w:rPr>
                  </w:pPr>
                  <w:r>
                    <w:rPr>
                      <w:rFonts w:hint="eastAsia" w:ascii="Times New Roman" w:hAnsi="Times New Roman" w:eastAsia="宋体" w:cs="Times New Roman"/>
                      <w:sz w:val="18"/>
                      <w:szCs w:val="18"/>
                      <w:highlight w:val="none"/>
                      <w:lang w:val="en-US" w:eastAsia="zh-CN"/>
                    </w:rPr>
                    <w:t>46</w:t>
                  </w:r>
                  <w:r>
                    <w:rPr>
                      <w:rFonts w:hint="eastAsia" w:cs="Times New Roman"/>
                      <w:sz w:val="18"/>
                      <w:szCs w:val="18"/>
                      <w:highlight w:val="none"/>
                      <w:lang w:val="en-US" w:eastAsia="zh-CN"/>
                    </w:rPr>
                    <w:t>1</w:t>
                  </w:r>
                  <w:r>
                    <w:rPr>
                      <w:rFonts w:hint="eastAsia" w:ascii="Times New Roman" w:hAnsi="Times New Roman" w:eastAsia="宋体" w:cs="Times New Roman"/>
                      <w:sz w:val="18"/>
                      <w:szCs w:val="18"/>
                      <w:highlight w:val="none"/>
                      <w:lang w:val="en-US" w:eastAsia="zh-CN"/>
                    </w:rPr>
                    <w:t>.8</w:t>
                  </w:r>
                </w:p>
              </w:tc>
              <w:tc>
                <w:tcPr>
                  <w:tcW w:w="5673" w:type="dxa"/>
                  <w:tcBorders>
                    <w:top w:val="single" w:color="auto" w:sz="4" w:space="0"/>
                    <w:left w:val="single" w:color="auto" w:sz="4" w:space="0"/>
                    <w:bottom w:val="single" w:color="auto" w:sz="4" w:space="0"/>
                    <w:right w:val="single" w:color="auto" w:sz="4" w:space="0"/>
                  </w:tcBorders>
                  <w:shd w:val="clear" w:color="auto" w:fill="auto"/>
                  <w:vAlign w:val="center"/>
                </w:tcPr>
                <w:p w14:paraId="47E7932E">
                  <w:pPr>
                    <w:keepNext w:val="0"/>
                    <w:keepLines w:val="0"/>
                    <w:pageBreakBefore w:val="0"/>
                    <w:suppressLineNumbers w:val="0"/>
                    <w:kinsoku/>
                    <w:wordWrap/>
                    <w:overflowPunct/>
                    <w:topLinePunct w:val="0"/>
                    <w:autoSpaceDE/>
                    <w:autoSpaceDN/>
                    <w:bidi w:val="0"/>
                    <w:adjustRightInd w:val="0"/>
                    <w:snapToGrid w:val="0"/>
                    <w:spacing w:before="0" w:beforeAutospacing="0" w:after="0" w:afterAutospacing="0" w:line="264" w:lineRule="auto"/>
                    <w:ind w:left="0" w:right="0"/>
                    <w:textAlignment w:val="auto"/>
                    <w:rPr>
                      <w:rFonts w:hint="eastAsia" w:ascii="Times New Roman" w:hAnsi="Times New Roman" w:eastAsia="宋体" w:cs="Times New Roman"/>
                      <w:sz w:val="18"/>
                      <w:szCs w:val="18"/>
                      <w:highlight w:val="none"/>
                    </w:rPr>
                  </w:pPr>
                  <w:r>
                    <w:rPr>
                      <w:rFonts w:hint="eastAsia" w:ascii="Times New Roman" w:hAnsi="Times New Roman" w:eastAsia="宋体" w:cs="Times New Roman"/>
                      <w:sz w:val="18"/>
                      <w:szCs w:val="18"/>
                      <w:highlight w:val="none"/>
                      <w:lang w:val="en-US" w:eastAsia="zh-CN"/>
                    </w:rPr>
                    <w:t>本项目饲养动物过程中，</w:t>
                  </w:r>
                  <w:r>
                    <w:rPr>
                      <w:rFonts w:hint="eastAsia" w:ascii="Times New Roman" w:hAnsi="Times New Roman" w:eastAsia="宋体" w:cs="Times New Roman"/>
                      <w:b/>
                      <w:bCs/>
                      <w:sz w:val="18"/>
                      <w:szCs w:val="18"/>
                      <w:highlight w:val="none"/>
                      <w:lang w:val="en-US" w:eastAsia="zh-CN"/>
                    </w:rPr>
                    <w:t>猪、犬、猴、兔</w:t>
                  </w:r>
                  <w:r>
                    <w:rPr>
                      <w:rFonts w:hint="eastAsia" w:ascii="Times New Roman" w:hAnsi="Times New Roman" w:eastAsia="宋体" w:cs="Times New Roman"/>
                      <w:sz w:val="18"/>
                      <w:szCs w:val="18"/>
                      <w:highlight w:val="none"/>
                      <w:lang w:val="en-US" w:eastAsia="zh-CN"/>
                    </w:rPr>
                    <w:t>粪便产生量分别按照1t</w:t>
                  </w:r>
                  <w:r>
                    <w:rPr>
                      <w:rFonts w:hint="default" w:ascii="Times New Roman" w:hAnsi="Times New Roman" w:eastAsia="宋体" w:cs="Times New Roman"/>
                      <w:sz w:val="18"/>
                      <w:szCs w:val="18"/>
                      <w:highlight w:val="none"/>
                      <w:lang w:val="en-US" w:eastAsia="zh-CN"/>
                    </w:rPr>
                    <w:t>/</w:t>
                  </w:r>
                  <w:r>
                    <w:rPr>
                      <w:rFonts w:hint="eastAsia" w:ascii="Times New Roman" w:hAnsi="Times New Roman" w:eastAsia="宋体" w:cs="Times New Roman"/>
                      <w:sz w:val="18"/>
                      <w:szCs w:val="18"/>
                      <w:highlight w:val="none"/>
                      <w:lang w:val="en-US" w:eastAsia="zh-CN"/>
                    </w:rPr>
                    <w:t>只.年、250kg</w:t>
                  </w:r>
                  <w:r>
                    <w:rPr>
                      <w:rFonts w:hint="default" w:ascii="Times New Roman" w:hAnsi="Times New Roman" w:eastAsia="宋体" w:cs="Times New Roman"/>
                      <w:sz w:val="18"/>
                      <w:szCs w:val="18"/>
                      <w:highlight w:val="none"/>
                      <w:lang w:val="en-US" w:eastAsia="zh-CN"/>
                    </w:rPr>
                    <w:t>/</w:t>
                  </w:r>
                  <w:r>
                    <w:rPr>
                      <w:rFonts w:hint="eastAsia" w:ascii="Times New Roman" w:hAnsi="Times New Roman" w:eastAsia="宋体" w:cs="Times New Roman"/>
                      <w:sz w:val="18"/>
                      <w:szCs w:val="18"/>
                      <w:highlight w:val="none"/>
                      <w:lang w:val="en-US" w:eastAsia="zh-CN"/>
                    </w:rPr>
                    <w:t>只.年、250kg</w:t>
                  </w:r>
                  <w:r>
                    <w:rPr>
                      <w:rFonts w:hint="default" w:ascii="Times New Roman" w:hAnsi="Times New Roman" w:eastAsia="宋体" w:cs="Times New Roman"/>
                      <w:sz w:val="18"/>
                      <w:szCs w:val="18"/>
                      <w:highlight w:val="none"/>
                      <w:lang w:val="en-US" w:eastAsia="zh-CN"/>
                    </w:rPr>
                    <w:t>/</w:t>
                  </w:r>
                  <w:r>
                    <w:rPr>
                      <w:rFonts w:hint="eastAsia" w:ascii="Times New Roman" w:hAnsi="Times New Roman" w:eastAsia="宋体" w:cs="Times New Roman"/>
                      <w:sz w:val="18"/>
                      <w:szCs w:val="18"/>
                      <w:highlight w:val="none"/>
                      <w:lang w:val="en-US" w:eastAsia="zh-CN"/>
                    </w:rPr>
                    <w:t>只.年、33kg</w:t>
                  </w:r>
                  <w:r>
                    <w:rPr>
                      <w:rFonts w:hint="default" w:ascii="Times New Roman" w:hAnsi="Times New Roman" w:eastAsia="宋体" w:cs="Times New Roman"/>
                      <w:sz w:val="18"/>
                      <w:szCs w:val="18"/>
                      <w:highlight w:val="none"/>
                      <w:lang w:val="en-US" w:eastAsia="zh-CN"/>
                    </w:rPr>
                    <w:t>/</w:t>
                  </w:r>
                  <w:r>
                    <w:rPr>
                      <w:rFonts w:hint="eastAsia" w:ascii="Times New Roman" w:hAnsi="Times New Roman" w:eastAsia="宋体" w:cs="Times New Roman"/>
                      <w:sz w:val="18"/>
                      <w:szCs w:val="18"/>
                      <w:highlight w:val="none"/>
                      <w:lang w:val="en-US" w:eastAsia="zh-CN"/>
                    </w:rPr>
                    <w:t>只.年进行计算，年饲养动物</w:t>
                  </w:r>
                  <w:r>
                    <w:rPr>
                      <w:rFonts w:hint="default" w:ascii="Times New Roman" w:hAnsi="Times New Roman" w:eastAsia="宋体" w:cs="Times New Roman"/>
                      <w:sz w:val="18"/>
                      <w:szCs w:val="18"/>
                      <w:highlight w:val="none"/>
                      <w:lang w:val="en-US" w:eastAsia="zh-CN"/>
                    </w:rPr>
                    <w:t>1</w:t>
                  </w:r>
                  <w:r>
                    <w:rPr>
                      <w:rFonts w:hint="eastAsia" w:ascii="Times New Roman" w:hAnsi="Times New Roman" w:eastAsia="宋体" w:cs="Times New Roman"/>
                      <w:sz w:val="18"/>
                      <w:szCs w:val="18"/>
                      <w:highlight w:val="none"/>
                      <w:lang w:val="en-US" w:eastAsia="zh-CN"/>
                    </w:rPr>
                    <w:t>9</w:t>
                  </w:r>
                  <w:r>
                    <w:rPr>
                      <w:rFonts w:hint="eastAsia" w:cs="Times New Roman"/>
                      <w:sz w:val="18"/>
                      <w:szCs w:val="18"/>
                      <w:highlight w:val="none"/>
                      <w:lang w:val="en-US" w:eastAsia="zh-CN"/>
                    </w:rPr>
                    <w:t>3</w:t>
                  </w:r>
                  <w:r>
                    <w:rPr>
                      <w:rFonts w:hint="eastAsia" w:ascii="Times New Roman" w:hAnsi="Times New Roman" w:eastAsia="宋体" w:cs="Times New Roman"/>
                      <w:sz w:val="18"/>
                      <w:szCs w:val="18"/>
                      <w:highlight w:val="none"/>
                      <w:lang w:val="en-US" w:eastAsia="zh-CN"/>
                    </w:rPr>
                    <w:t>6只（兔600只、猪144只、犬10</w:t>
                  </w:r>
                  <w:r>
                    <w:rPr>
                      <w:rFonts w:hint="eastAsia" w:cs="Times New Roman"/>
                      <w:sz w:val="18"/>
                      <w:szCs w:val="18"/>
                      <w:highlight w:val="none"/>
                      <w:lang w:val="en-US" w:eastAsia="zh-CN"/>
                    </w:rPr>
                    <w:t>80</w:t>
                  </w:r>
                  <w:r>
                    <w:rPr>
                      <w:rFonts w:hint="eastAsia" w:ascii="Times New Roman" w:hAnsi="Times New Roman" w:eastAsia="宋体" w:cs="Times New Roman"/>
                      <w:sz w:val="18"/>
                      <w:szCs w:val="18"/>
                      <w:highlight w:val="none"/>
                      <w:lang w:val="en-US" w:eastAsia="zh-CN"/>
                    </w:rPr>
                    <w:t>只、猴112只），则动物粪便产生量为46</w:t>
                  </w:r>
                  <w:r>
                    <w:rPr>
                      <w:rFonts w:hint="eastAsia" w:cs="Times New Roman"/>
                      <w:sz w:val="18"/>
                      <w:szCs w:val="18"/>
                      <w:highlight w:val="none"/>
                      <w:lang w:val="en-US" w:eastAsia="zh-CN"/>
                    </w:rPr>
                    <w:t>1</w:t>
                  </w:r>
                  <w:r>
                    <w:rPr>
                      <w:rFonts w:hint="default" w:ascii="Times New Roman" w:hAnsi="Times New Roman" w:eastAsia="宋体" w:cs="Times New Roman"/>
                      <w:sz w:val="18"/>
                      <w:szCs w:val="18"/>
                      <w:highlight w:val="none"/>
                      <w:lang w:val="en-US" w:eastAsia="zh-CN"/>
                    </w:rPr>
                    <w:t>.8t/a</w:t>
                  </w:r>
                  <w:r>
                    <w:rPr>
                      <w:rFonts w:hint="eastAsia" w:ascii="Times New Roman" w:hAnsi="Times New Roman" w:eastAsia="宋体" w:cs="Times New Roman"/>
                      <w:sz w:val="18"/>
                      <w:szCs w:val="18"/>
                      <w:highlight w:val="none"/>
                      <w:lang w:val="en-US" w:eastAsia="zh-CN"/>
                    </w:rPr>
                    <w:t>。</w:t>
                  </w:r>
                </w:p>
              </w:tc>
            </w:tr>
            <w:tr w14:paraId="68C4C68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0" w:hRule="atLeast"/>
                <w:jc w:val="center"/>
              </w:trPr>
              <w:tc>
                <w:tcPr>
                  <w:tcW w:w="365" w:type="dxa"/>
                  <w:tcBorders>
                    <w:top w:val="single" w:color="auto" w:sz="4" w:space="0"/>
                    <w:left w:val="single" w:color="auto" w:sz="4" w:space="0"/>
                    <w:bottom w:val="single" w:color="auto" w:sz="4" w:space="0"/>
                    <w:right w:val="single" w:color="auto" w:sz="4" w:space="0"/>
                  </w:tcBorders>
                  <w:shd w:val="clear" w:color="auto" w:fill="auto"/>
                  <w:vAlign w:val="center"/>
                </w:tcPr>
                <w:p w14:paraId="0260DD0D">
                  <w:pPr>
                    <w:keepNext w:val="0"/>
                    <w:keepLines w:val="0"/>
                    <w:pageBreakBefore w:val="0"/>
                    <w:suppressLineNumbers w:val="0"/>
                    <w:kinsoku/>
                    <w:wordWrap/>
                    <w:overflowPunct/>
                    <w:topLinePunct w:val="0"/>
                    <w:autoSpaceDE/>
                    <w:autoSpaceDN/>
                    <w:bidi w:val="0"/>
                    <w:adjustRightInd w:val="0"/>
                    <w:snapToGrid w:val="0"/>
                    <w:spacing w:before="0" w:beforeAutospacing="0" w:after="0" w:afterAutospacing="0" w:line="264" w:lineRule="auto"/>
                    <w:ind w:left="0" w:right="0"/>
                    <w:jc w:val="center"/>
                    <w:textAlignment w:val="auto"/>
                    <w:rPr>
                      <w:rFonts w:hint="eastAsia" w:ascii="Times New Roman" w:hAnsi="Times New Roman" w:eastAsia="宋体" w:cs="Times New Roman"/>
                      <w:kern w:val="2"/>
                      <w:sz w:val="18"/>
                      <w:szCs w:val="18"/>
                      <w:highlight w:val="none"/>
                      <w:lang w:val="en-US" w:eastAsia="zh-CN" w:bidi="ar-SA"/>
                    </w:rPr>
                  </w:pPr>
                  <w:r>
                    <w:rPr>
                      <w:rFonts w:hint="eastAsia" w:ascii="Times New Roman" w:hAnsi="Times New Roman" w:eastAsia="宋体" w:cs="Times New Roman"/>
                      <w:sz w:val="18"/>
                      <w:szCs w:val="18"/>
                      <w:highlight w:val="none"/>
                      <w:lang w:val="en-US" w:eastAsia="zh-CN"/>
                    </w:rPr>
                    <w:t>9</w:t>
                  </w:r>
                </w:p>
              </w:tc>
              <w:tc>
                <w:tcPr>
                  <w:tcW w:w="930" w:type="dxa"/>
                  <w:tcBorders>
                    <w:top w:val="single" w:color="auto" w:sz="4" w:space="0"/>
                    <w:left w:val="single" w:color="auto" w:sz="4" w:space="0"/>
                    <w:bottom w:val="single" w:color="auto" w:sz="4" w:space="0"/>
                    <w:right w:val="single" w:color="auto" w:sz="4" w:space="0"/>
                  </w:tcBorders>
                  <w:shd w:val="clear" w:color="auto" w:fill="auto"/>
                  <w:vAlign w:val="center"/>
                </w:tcPr>
                <w:p w14:paraId="54266E5C">
                  <w:pPr>
                    <w:pStyle w:val="129"/>
                    <w:keepNext w:val="0"/>
                    <w:keepLines w:val="0"/>
                    <w:suppressLineNumbers w:val="0"/>
                    <w:spacing w:before="0" w:beforeAutospacing="0" w:after="0" w:afterAutospacing="0"/>
                    <w:ind w:left="0" w:right="0"/>
                    <w:rPr>
                      <w:rFonts w:hint="eastAsia" w:ascii="Times New Roman" w:hAnsi="Times New Roman" w:eastAsia="宋体" w:cs="Times New Roman"/>
                      <w:color w:val="auto"/>
                      <w:kern w:val="0"/>
                      <w:sz w:val="18"/>
                      <w:szCs w:val="18"/>
                      <w:highlight w:val="none"/>
                      <w:lang w:val="en-US" w:eastAsia="zh-CN" w:bidi="ar-SA"/>
                    </w:rPr>
                  </w:pPr>
                  <w:r>
                    <w:rPr>
                      <w:rFonts w:hint="eastAsia" w:ascii="Times New Roman" w:hAnsi="Times New Roman" w:eastAsia="宋体" w:cs="Times New Roman"/>
                      <w:color w:val="auto"/>
                      <w:sz w:val="18"/>
                      <w:szCs w:val="18"/>
                      <w:highlight w:val="none"/>
                    </w:rPr>
                    <w:t>污泥</w:t>
                  </w:r>
                </w:p>
              </w:tc>
              <w:tc>
                <w:tcPr>
                  <w:tcW w:w="675" w:type="dxa"/>
                  <w:tcBorders>
                    <w:top w:val="single" w:color="auto" w:sz="4" w:space="0"/>
                    <w:left w:val="single" w:color="auto" w:sz="4" w:space="0"/>
                    <w:bottom w:val="single" w:color="auto" w:sz="4" w:space="0"/>
                    <w:right w:val="single" w:color="auto" w:sz="4" w:space="0"/>
                  </w:tcBorders>
                  <w:vAlign w:val="center"/>
                </w:tcPr>
                <w:p w14:paraId="2532333A">
                  <w:pPr>
                    <w:keepNext w:val="0"/>
                    <w:keepLines w:val="0"/>
                    <w:pageBreakBefore w:val="0"/>
                    <w:suppressLineNumbers w:val="0"/>
                    <w:kinsoku/>
                    <w:wordWrap/>
                    <w:overflowPunct/>
                    <w:topLinePunct w:val="0"/>
                    <w:autoSpaceDE/>
                    <w:autoSpaceDN/>
                    <w:bidi w:val="0"/>
                    <w:adjustRightInd w:val="0"/>
                    <w:snapToGrid w:val="0"/>
                    <w:spacing w:before="0" w:beforeAutospacing="0" w:after="0" w:afterAutospacing="0" w:line="264" w:lineRule="auto"/>
                    <w:ind w:left="0" w:right="0"/>
                    <w:jc w:val="center"/>
                    <w:textAlignment w:val="auto"/>
                    <w:rPr>
                      <w:rFonts w:hint="default" w:ascii="Times New Roman" w:hAnsi="Times New Roman" w:eastAsia="宋体" w:cs="Times New Roman"/>
                      <w:color w:val="auto"/>
                      <w:kern w:val="2"/>
                      <w:sz w:val="18"/>
                      <w:szCs w:val="18"/>
                      <w:highlight w:val="none"/>
                      <w:lang w:val="en-US" w:eastAsia="zh-CN" w:bidi="ar-SA"/>
                    </w:rPr>
                  </w:pPr>
                  <w:r>
                    <w:rPr>
                      <w:rFonts w:hint="eastAsia" w:cs="Times New Roman"/>
                      <w:color w:val="auto"/>
                      <w:kern w:val="2"/>
                      <w:sz w:val="18"/>
                      <w:szCs w:val="18"/>
                      <w:highlight w:val="none"/>
                      <w:lang w:val="en-US" w:eastAsia="zh-CN" w:bidi="ar-SA"/>
                    </w:rPr>
                    <w:t>废水处理</w:t>
                  </w:r>
                </w:p>
              </w:tc>
              <w:tc>
                <w:tcPr>
                  <w:tcW w:w="615" w:type="dxa"/>
                  <w:tcBorders>
                    <w:top w:val="single" w:color="auto" w:sz="4" w:space="0"/>
                    <w:left w:val="single" w:color="auto" w:sz="4" w:space="0"/>
                    <w:bottom w:val="single" w:color="auto" w:sz="4" w:space="0"/>
                    <w:right w:val="single" w:color="auto" w:sz="4" w:space="0"/>
                  </w:tcBorders>
                  <w:vAlign w:val="center"/>
                </w:tcPr>
                <w:p w14:paraId="5C5B52F6">
                  <w:pPr>
                    <w:keepNext w:val="0"/>
                    <w:keepLines w:val="0"/>
                    <w:pageBreakBefore w:val="0"/>
                    <w:suppressLineNumbers w:val="0"/>
                    <w:kinsoku/>
                    <w:wordWrap/>
                    <w:overflowPunct/>
                    <w:topLinePunct w:val="0"/>
                    <w:autoSpaceDE/>
                    <w:autoSpaceDN/>
                    <w:bidi w:val="0"/>
                    <w:adjustRightInd w:val="0"/>
                    <w:snapToGrid w:val="0"/>
                    <w:spacing w:before="0" w:beforeAutospacing="0" w:after="0" w:afterAutospacing="0" w:line="276" w:lineRule="auto"/>
                    <w:ind w:left="0" w:right="0"/>
                    <w:jc w:val="center"/>
                    <w:rPr>
                      <w:rFonts w:hint="eastAsia" w:ascii="Times New Roman" w:hAnsi="Times New Roman" w:eastAsia="宋体" w:cs="Times New Roman"/>
                      <w:color w:val="auto"/>
                      <w:kern w:val="2"/>
                      <w:sz w:val="18"/>
                      <w:szCs w:val="18"/>
                      <w:highlight w:val="none"/>
                      <w:lang w:val="en-US" w:eastAsia="zh-CN" w:bidi="ar-SA"/>
                    </w:rPr>
                  </w:pPr>
                  <w:r>
                    <w:rPr>
                      <w:rFonts w:hint="eastAsia" w:cs="Times New Roman"/>
                      <w:color w:val="auto"/>
                      <w:sz w:val="18"/>
                      <w:szCs w:val="18"/>
                      <w:highlight w:val="none"/>
                      <w:lang w:val="en-US" w:eastAsia="zh-CN"/>
                    </w:rPr>
                    <w:t>31</w:t>
                  </w:r>
                  <w:r>
                    <w:rPr>
                      <w:rFonts w:hint="default" w:ascii="Times New Roman" w:hAnsi="Times New Roman" w:eastAsia="宋体" w:cs="Times New Roman"/>
                      <w:color w:val="auto"/>
                      <w:sz w:val="18"/>
                      <w:szCs w:val="18"/>
                      <w:highlight w:val="none"/>
                    </w:rPr>
                    <w:t>.</w:t>
                  </w:r>
                  <w:r>
                    <w:rPr>
                      <w:rFonts w:hint="eastAsia" w:cs="Times New Roman"/>
                      <w:color w:val="auto"/>
                      <w:sz w:val="18"/>
                      <w:szCs w:val="18"/>
                      <w:highlight w:val="none"/>
                      <w:lang w:val="en-US" w:eastAsia="zh-CN"/>
                    </w:rPr>
                    <w:t>52</w:t>
                  </w:r>
                </w:p>
              </w:tc>
              <w:tc>
                <w:tcPr>
                  <w:tcW w:w="5673" w:type="dxa"/>
                  <w:tcBorders>
                    <w:top w:val="single" w:color="auto" w:sz="4" w:space="0"/>
                    <w:left w:val="single" w:color="auto" w:sz="4" w:space="0"/>
                    <w:bottom w:val="single" w:color="auto" w:sz="4" w:space="0"/>
                    <w:right w:val="single" w:color="auto" w:sz="4" w:space="0"/>
                  </w:tcBorders>
                  <w:vAlign w:val="center"/>
                </w:tcPr>
                <w:p w14:paraId="2A65BD1F">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64" w:lineRule="auto"/>
                    <w:ind w:left="0" w:right="0"/>
                    <w:textAlignment w:val="auto"/>
                    <w:rPr>
                      <w:rFonts w:hint="eastAsia" w:ascii="Times New Roman" w:hAnsi="Times New Roman" w:eastAsia="宋体" w:cs="Times New Roman"/>
                      <w:color w:val="auto"/>
                      <w:kern w:val="2"/>
                      <w:sz w:val="18"/>
                      <w:szCs w:val="18"/>
                      <w:highlight w:val="none"/>
                      <w:lang w:val="en-US" w:eastAsia="zh-CN" w:bidi="ar-SA"/>
                    </w:rPr>
                  </w:pPr>
                  <w:r>
                    <w:rPr>
                      <w:rFonts w:hint="eastAsia"/>
                      <w:color w:val="auto"/>
                      <w:sz w:val="18"/>
                      <w:szCs w:val="18"/>
                      <w:highlight w:val="none"/>
                    </w:rPr>
                    <w:t>本项目实验废水处理过程中会产生一定量的污泥，污泥产生量约为废水量的0.3%，则预计污泥产生量</w:t>
                  </w:r>
                  <w:r>
                    <w:rPr>
                      <w:rFonts w:hint="eastAsia"/>
                      <w:color w:val="auto"/>
                      <w:sz w:val="18"/>
                      <w:szCs w:val="18"/>
                      <w:highlight w:val="none"/>
                      <w:lang w:val="en-US" w:eastAsia="zh-CN"/>
                    </w:rPr>
                    <w:t>31.52</w:t>
                  </w:r>
                  <w:r>
                    <w:rPr>
                      <w:rFonts w:hint="eastAsia"/>
                      <w:color w:val="auto"/>
                      <w:sz w:val="18"/>
                      <w:szCs w:val="18"/>
                      <w:highlight w:val="none"/>
                    </w:rPr>
                    <w:t>t/a。</w:t>
                  </w:r>
                </w:p>
              </w:tc>
            </w:tr>
            <w:tr w14:paraId="648338A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0" w:hRule="atLeast"/>
                <w:jc w:val="center"/>
              </w:trPr>
              <w:tc>
                <w:tcPr>
                  <w:tcW w:w="365" w:type="dxa"/>
                  <w:tcBorders>
                    <w:top w:val="single" w:color="auto" w:sz="4" w:space="0"/>
                    <w:left w:val="single" w:color="auto" w:sz="4" w:space="0"/>
                    <w:bottom w:val="single" w:color="auto" w:sz="4" w:space="0"/>
                    <w:right w:val="single" w:color="auto" w:sz="4" w:space="0"/>
                  </w:tcBorders>
                  <w:shd w:val="clear" w:color="auto" w:fill="auto"/>
                  <w:vAlign w:val="center"/>
                </w:tcPr>
                <w:p w14:paraId="7D6E322B">
                  <w:pPr>
                    <w:keepNext w:val="0"/>
                    <w:keepLines w:val="0"/>
                    <w:pageBreakBefore w:val="0"/>
                    <w:suppressLineNumbers w:val="0"/>
                    <w:kinsoku/>
                    <w:wordWrap/>
                    <w:overflowPunct/>
                    <w:topLinePunct w:val="0"/>
                    <w:autoSpaceDE/>
                    <w:autoSpaceDN/>
                    <w:bidi w:val="0"/>
                    <w:adjustRightInd w:val="0"/>
                    <w:snapToGrid w:val="0"/>
                    <w:spacing w:before="0" w:beforeAutospacing="0" w:after="0" w:afterAutospacing="0" w:line="264" w:lineRule="auto"/>
                    <w:ind w:left="0" w:leftChars="0" w:right="0" w:rightChars="0"/>
                    <w:jc w:val="center"/>
                    <w:textAlignment w:val="auto"/>
                    <w:rPr>
                      <w:rFonts w:hint="eastAsia" w:ascii="Times New Roman" w:hAnsi="Times New Roman" w:eastAsia="宋体" w:cs="Times New Roman"/>
                      <w:kern w:val="2"/>
                      <w:sz w:val="18"/>
                      <w:szCs w:val="18"/>
                      <w:highlight w:val="none"/>
                      <w:lang w:val="en-US" w:eastAsia="zh-CN" w:bidi="ar-SA"/>
                    </w:rPr>
                  </w:pPr>
                  <w:r>
                    <w:rPr>
                      <w:rFonts w:hint="eastAsia" w:ascii="Times New Roman" w:hAnsi="Times New Roman" w:eastAsia="宋体" w:cs="Times New Roman"/>
                      <w:sz w:val="18"/>
                      <w:szCs w:val="18"/>
                      <w:highlight w:val="none"/>
                      <w:lang w:val="en-US" w:eastAsia="zh-CN"/>
                    </w:rPr>
                    <w:t>10</w:t>
                  </w:r>
                </w:p>
              </w:tc>
              <w:tc>
                <w:tcPr>
                  <w:tcW w:w="930" w:type="dxa"/>
                  <w:tcBorders>
                    <w:top w:val="single" w:color="auto" w:sz="4" w:space="0"/>
                    <w:left w:val="single" w:color="auto" w:sz="4" w:space="0"/>
                    <w:bottom w:val="single" w:color="auto" w:sz="4" w:space="0"/>
                    <w:right w:val="single" w:color="auto" w:sz="4" w:space="0"/>
                  </w:tcBorders>
                  <w:shd w:val="clear" w:color="auto" w:fill="auto"/>
                  <w:vAlign w:val="center"/>
                </w:tcPr>
                <w:p w14:paraId="497A09CC">
                  <w:pPr>
                    <w:pStyle w:val="129"/>
                    <w:keepNext w:val="0"/>
                    <w:keepLines w:val="0"/>
                    <w:suppressLineNumbers w:val="0"/>
                    <w:spacing w:before="0" w:beforeAutospacing="0" w:after="0" w:afterAutospacing="0"/>
                    <w:ind w:left="0" w:right="0"/>
                    <w:rPr>
                      <w:rFonts w:hint="eastAsia" w:ascii="Times New Roman" w:hAnsi="Times New Roman" w:eastAsia="宋体" w:cs="Times New Roman"/>
                      <w:color w:val="auto"/>
                      <w:kern w:val="0"/>
                      <w:sz w:val="18"/>
                      <w:szCs w:val="18"/>
                      <w:highlight w:val="none"/>
                      <w:lang w:val="en-US" w:eastAsia="zh-CN" w:bidi="ar-SA"/>
                    </w:rPr>
                  </w:pPr>
                  <w:r>
                    <w:rPr>
                      <w:rFonts w:hint="default" w:ascii="Times New Roman" w:hAnsi="Times New Roman" w:eastAsia="宋体" w:cs="Times New Roman"/>
                      <w:color w:val="auto"/>
                      <w:sz w:val="18"/>
                      <w:szCs w:val="18"/>
                      <w:highlight w:val="none"/>
                    </w:rPr>
                    <w:t>实验废液</w:t>
                  </w:r>
                </w:p>
              </w:tc>
              <w:tc>
                <w:tcPr>
                  <w:tcW w:w="675" w:type="dxa"/>
                  <w:tcBorders>
                    <w:top w:val="single" w:color="auto" w:sz="4" w:space="0"/>
                    <w:left w:val="single" w:color="auto" w:sz="4" w:space="0"/>
                    <w:bottom w:val="single" w:color="auto" w:sz="4" w:space="0"/>
                    <w:right w:val="single" w:color="auto" w:sz="4" w:space="0"/>
                  </w:tcBorders>
                  <w:vAlign w:val="center"/>
                </w:tcPr>
                <w:p w14:paraId="5748E430">
                  <w:pPr>
                    <w:keepNext w:val="0"/>
                    <w:keepLines w:val="0"/>
                    <w:pageBreakBefore w:val="0"/>
                    <w:suppressLineNumbers w:val="0"/>
                    <w:kinsoku/>
                    <w:wordWrap/>
                    <w:overflowPunct/>
                    <w:topLinePunct w:val="0"/>
                    <w:autoSpaceDE/>
                    <w:autoSpaceDN/>
                    <w:bidi w:val="0"/>
                    <w:adjustRightInd w:val="0"/>
                    <w:snapToGrid w:val="0"/>
                    <w:spacing w:before="0" w:beforeAutospacing="0" w:after="0" w:afterAutospacing="0" w:line="264" w:lineRule="auto"/>
                    <w:ind w:left="0" w:right="0"/>
                    <w:jc w:val="center"/>
                    <w:textAlignment w:val="auto"/>
                    <w:rPr>
                      <w:rFonts w:hint="default" w:ascii="Times New Roman" w:hAnsi="Times New Roman" w:eastAsia="宋体" w:cs="Times New Roman"/>
                      <w:kern w:val="2"/>
                      <w:sz w:val="18"/>
                      <w:szCs w:val="18"/>
                      <w:highlight w:val="none"/>
                      <w:lang w:val="en-US" w:eastAsia="zh-CN" w:bidi="ar-SA"/>
                    </w:rPr>
                  </w:pPr>
                  <w:r>
                    <w:rPr>
                      <w:rFonts w:hint="default" w:ascii="Times New Roman" w:hAnsi="Times New Roman" w:eastAsia="宋体" w:cs="Times New Roman"/>
                      <w:color w:val="auto"/>
                      <w:sz w:val="18"/>
                      <w:szCs w:val="18"/>
                      <w:highlight w:val="none"/>
                    </w:rPr>
                    <w:t>实验过程</w:t>
                  </w:r>
                </w:p>
              </w:tc>
              <w:tc>
                <w:tcPr>
                  <w:tcW w:w="615" w:type="dxa"/>
                  <w:tcBorders>
                    <w:top w:val="single" w:color="auto" w:sz="4" w:space="0"/>
                    <w:left w:val="single" w:color="auto" w:sz="4" w:space="0"/>
                    <w:bottom w:val="single" w:color="auto" w:sz="4" w:space="0"/>
                    <w:right w:val="single" w:color="auto" w:sz="4" w:space="0"/>
                  </w:tcBorders>
                  <w:vAlign w:val="center"/>
                </w:tcPr>
                <w:p w14:paraId="51D9A888">
                  <w:pPr>
                    <w:keepNext w:val="0"/>
                    <w:keepLines w:val="0"/>
                    <w:pageBreakBefore w:val="0"/>
                    <w:suppressLineNumbers w:val="0"/>
                    <w:kinsoku/>
                    <w:wordWrap/>
                    <w:overflowPunct/>
                    <w:topLinePunct w:val="0"/>
                    <w:autoSpaceDE/>
                    <w:autoSpaceDN/>
                    <w:bidi w:val="0"/>
                    <w:adjustRightInd w:val="0"/>
                    <w:snapToGrid w:val="0"/>
                    <w:spacing w:before="0" w:beforeAutospacing="0" w:after="0" w:afterAutospacing="0" w:line="276" w:lineRule="auto"/>
                    <w:ind w:left="0" w:right="0"/>
                    <w:jc w:val="center"/>
                    <w:rPr>
                      <w:rFonts w:hint="default" w:ascii="Times New Roman" w:hAnsi="Times New Roman" w:eastAsia="宋体" w:cs="Times New Roman"/>
                      <w:color w:val="auto"/>
                      <w:kern w:val="2"/>
                      <w:sz w:val="18"/>
                      <w:szCs w:val="18"/>
                      <w:highlight w:val="none"/>
                      <w:lang w:val="en-US" w:eastAsia="zh-CN" w:bidi="ar-SA"/>
                    </w:rPr>
                  </w:pPr>
                  <w:r>
                    <w:rPr>
                      <w:rFonts w:hint="eastAsia" w:ascii="Times New Roman" w:hAnsi="Times New Roman" w:eastAsia="宋体" w:cs="Times New Roman"/>
                      <w:color w:val="auto"/>
                      <w:kern w:val="2"/>
                      <w:sz w:val="18"/>
                      <w:szCs w:val="18"/>
                      <w:highlight w:val="none"/>
                      <w:lang w:val="en-US" w:eastAsia="zh-CN" w:bidi="ar-SA"/>
                    </w:rPr>
                    <w:t>689</w:t>
                  </w:r>
                </w:p>
              </w:tc>
              <w:tc>
                <w:tcPr>
                  <w:tcW w:w="5673" w:type="dxa"/>
                  <w:tcBorders>
                    <w:top w:val="single" w:color="auto" w:sz="4" w:space="0"/>
                    <w:left w:val="single" w:color="auto" w:sz="4" w:space="0"/>
                    <w:bottom w:val="single" w:color="auto" w:sz="4" w:space="0"/>
                    <w:right w:val="single" w:color="auto" w:sz="4" w:space="0"/>
                  </w:tcBorders>
                  <w:vAlign w:val="center"/>
                </w:tcPr>
                <w:p w14:paraId="2E6803C7">
                  <w:pPr>
                    <w:keepNext w:val="0"/>
                    <w:keepLines w:val="0"/>
                    <w:pageBreakBefore w:val="0"/>
                    <w:suppressLineNumbers w:val="0"/>
                    <w:kinsoku/>
                    <w:wordWrap/>
                    <w:overflowPunct/>
                    <w:topLinePunct w:val="0"/>
                    <w:autoSpaceDE/>
                    <w:autoSpaceDN/>
                    <w:bidi w:val="0"/>
                    <w:adjustRightInd w:val="0"/>
                    <w:snapToGrid w:val="0"/>
                    <w:spacing w:before="0" w:beforeAutospacing="0" w:after="0" w:afterAutospacing="0" w:line="264" w:lineRule="auto"/>
                    <w:ind w:left="0" w:right="0"/>
                    <w:textAlignment w:val="auto"/>
                    <w:rPr>
                      <w:rFonts w:hint="eastAsia" w:ascii="Times New Roman" w:hAnsi="Times New Roman" w:eastAsia="宋体" w:cs="Times New Roman"/>
                      <w:kern w:val="2"/>
                      <w:sz w:val="18"/>
                      <w:szCs w:val="18"/>
                      <w:highlight w:val="none"/>
                      <w:lang w:val="en-US" w:eastAsia="zh-CN" w:bidi="ar-SA"/>
                    </w:rPr>
                  </w:pPr>
                  <w:r>
                    <w:rPr>
                      <w:rFonts w:hint="default" w:ascii="Times New Roman" w:hAnsi="Times New Roman" w:eastAsia="宋体" w:cs="Times New Roman"/>
                      <w:sz w:val="18"/>
                      <w:szCs w:val="18"/>
                      <w:highlight w:val="none"/>
                    </w:rPr>
                    <w:t>主要包括首次清洗废水、实验废液等，</w:t>
                  </w:r>
                  <w:r>
                    <w:rPr>
                      <w:rFonts w:hint="eastAsia" w:ascii="Times New Roman" w:hAnsi="Times New Roman" w:eastAsia="宋体" w:cs="Times New Roman"/>
                      <w:sz w:val="18"/>
                      <w:szCs w:val="18"/>
                      <w:highlight w:val="none"/>
                      <w:lang w:val="en-US" w:eastAsia="zh-CN"/>
                    </w:rPr>
                    <w:t>根据前述水平衡分析</w:t>
                  </w:r>
                  <w:r>
                    <w:rPr>
                      <w:rFonts w:hint="default" w:ascii="Times New Roman" w:hAnsi="Times New Roman" w:eastAsia="宋体" w:cs="Times New Roman"/>
                      <w:sz w:val="18"/>
                      <w:szCs w:val="18"/>
                      <w:highlight w:val="none"/>
                    </w:rPr>
                    <w:t>，预计产生量</w:t>
                  </w:r>
                  <w:r>
                    <w:rPr>
                      <w:rFonts w:hint="eastAsia" w:ascii="Times New Roman" w:hAnsi="Times New Roman" w:eastAsia="宋体" w:cs="Times New Roman"/>
                      <w:sz w:val="18"/>
                      <w:szCs w:val="18"/>
                      <w:highlight w:val="none"/>
                    </w:rPr>
                    <w:t>约</w:t>
                  </w:r>
                  <w:r>
                    <w:rPr>
                      <w:rFonts w:hint="eastAsia" w:ascii="Times New Roman" w:hAnsi="Times New Roman" w:eastAsia="宋体" w:cs="Times New Roman"/>
                      <w:sz w:val="18"/>
                      <w:szCs w:val="18"/>
                      <w:highlight w:val="none"/>
                      <w:lang w:val="en-US" w:eastAsia="zh-CN"/>
                    </w:rPr>
                    <w:t>68</w:t>
                  </w:r>
                  <w:r>
                    <w:rPr>
                      <w:rFonts w:hint="default" w:ascii="Times New Roman" w:hAnsi="Times New Roman" w:eastAsia="宋体" w:cs="Times New Roman"/>
                      <w:sz w:val="18"/>
                      <w:szCs w:val="18"/>
                      <w:highlight w:val="none"/>
                    </w:rPr>
                    <w:t>9t/a</w:t>
                  </w:r>
                  <w:r>
                    <w:rPr>
                      <w:rFonts w:hint="eastAsia" w:ascii="Times New Roman" w:hAnsi="Times New Roman" w:eastAsia="宋体" w:cs="Times New Roman"/>
                      <w:sz w:val="18"/>
                      <w:szCs w:val="18"/>
                      <w:highlight w:val="none"/>
                    </w:rPr>
                    <w:t>（含化学</w:t>
                  </w:r>
                  <w:r>
                    <w:rPr>
                      <w:rFonts w:hint="default" w:ascii="Times New Roman" w:hAnsi="Times New Roman" w:eastAsia="宋体" w:cs="Times New Roman"/>
                      <w:sz w:val="18"/>
                      <w:szCs w:val="18"/>
                      <w:highlight w:val="none"/>
                    </w:rPr>
                    <w:t>试剂等</w:t>
                  </w:r>
                  <w:r>
                    <w:rPr>
                      <w:rFonts w:hint="eastAsia" w:ascii="Times New Roman" w:hAnsi="Times New Roman" w:eastAsia="宋体" w:cs="Times New Roman"/>
                      <w:sz w:val="18"/>
                      <w:szCs w:val="18"/>
                      <w:highlight w:val="none"/>
                    </w:rPr>
                    <w:t>）</w:t>
                  </w:r>
                  <w:r>
                    <w:rPr>
                      <w:rFonts w:hint="default" w:ascii="Times New Roman" w:hAnsi="Times New Roman" w:eastAsia="宋体" w:cs="Times New Roman"/>
                      <w:sz w:val="18"/>
                      <w:szCs w:val="18"/>
                      <w:highlight w:val="none"/>
                    </w:rPr>
                    <w:t>，其中</w:t>
                  </w:r>
                  <w:r>
                    <w:rPr>
                      <w:rFonts w:hint="eastAsia" w:ascii="Times New Roman" w:hAnsi="Times New Roman" w:eastAsia="宋体" w:cs="Times New Roman"/>
                      <w:sz w:val="18"/>
                      <w:szCs w:val="18"/>
                      <w:highlight w:val="none"/>
                    </w:rPr>
                    <w:t>进行</w:t>
                  </w:r>
                  <w:r>
                    <w:rPr>
                      <w:rFonts w:hint="default" w:ascii="Times New Roman" w:hAnsi="Times New Roman" w:eastAsia="宋体" w:cs="Times New Roman"/>
                      <w:sz w:val="18"/>
                      <w:szCs w:val="18"/>
                      <w:highlight w:val="none"/>
                    </w:rPr>
                    <w:t>感染性</w:t>
                  </w:r>
                  <w:r>
                    <w:rPr>
                      <w:rFonts w:hint="eastAsia" w:ascii="Times New Roman" w:hAnsi="Times New Roman" w:eastAsia="宋体" w:cs="Times New Roman"/>
                      <w:sz w:val="18"/>
                      <w:szCs w:val="18"/>
                      <w:highlight w:val="none"/>
                    </w:rPr>
                    <w:t>实验</w:t>
                  </w:r>
                  <w:r>
                    <w:rPr>
                      <w:rFonts w:hint="default" w:ascii="Times New Roman" w:hAnsi="Times New Roman" w:eastAsia="宋体" w:cs="Times New Roman"/>
                      <w:sz w:val="18"/>
                      <w:szCs w:val="18"/>
                      <w:highlight w:val="none"/>
                    </w:rPr>
                    <w:t>或沾染动物组织的废液需经过灭菌灭活处理后，委托有资质单位处置</w:t>
                  </w:r>
                  <w:r>
                    <w:rPr>
                      <w:rFonts w:hint="eastAsia" w:ascii="Times New Roman" w:hAnsi="Times New Roman" w:eastAsia="宋体" w:cs="Times New Roman"/>
                      <w:sz w:val="18"/>
                      <w:szCs w:val="18"/>
                      <w:highlight w:val="none"/>
                    </w:rPr>
                    <w:t>。</w:t>
                  </w:r>
                </w:p>
              </w:tc>
            </w:tr>
            <w:tr w14:paraId="57B95B1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0" w:hRule="atLeast"/>
                <w:jc w:val="center"/>
              </w:trPr>
              <w:tc>
                <w:tcPr>
                  <w:tcW w:w="365" w:type="dxa"/>
                  <w:tcBorders>
                    <w:top w:val="single" w:color="auto" w:sz="4" w:space="0"/>
                    <w:left w:val="single" w:color="auto" w:sz="4" w:space="0"/>
                    <w:bottom w:val="single" w:color="auto" w:sz="4" w:space="0"/>
                    <w:right w:val="single" w:color="auto" w:sz="4" w:space="0"/>
                  </w:tcBorders>
                  <w:shd w:val="clear" w:color="auto" w:fill="auto"/>
                  <w:vAlign w:val="center"/>
                </w:tcPr>
                <w:p w14:paraId="5F76F15F">
                  <w:pPr>
                    <w:keepNext w:val="0"/>
                    <w:keepLines w:val="0"/>
                    <w:pageBreakBefore w:val="0"/>
                    <w:suppressLineNumbers w:val="0"/>
                    <w:kinsoku/>
                    <w:wordWrap/>
                    <w:overflowPunct/>
                    <w:topLinePunct w:val="0"/>
                    <w:autoSpaceDE/>
                    <w:autoSpaceDN/>
                    <w:bidi w:val="0"/>
                    <w:adjustRightInd w:val="0"/>
                    <w:snapToGrid w:val="0"/>
                    <w:spacing w:before="0" w:beforeAutospacing="0" w:after="0" w:afterAutospacing="0" w:line="264" w:lineRule="auto"/>
                    <w:ind w:left="0" w:leftChars="0" w:right="0" w:rightChars="0"/>
                    <w:jc w:val="center"/>
                    <w:textAlignment w:val="auto"/>
                    <w:rPr>
                      <w:rFonts w:hint="eastAsia" w:ascii="Times New Roman" w:hAnsi="Times New Roman" w:eastAsia="宋体" w:cs="Times New Roman"/>
                      <w:kern w:val="2"/>
                      <w:sz w:val="18"/>
                      <w:szCs w:val="18"/>
                      <w:highlight w:val="none"/>
                      <w:lang w:val="en-US" w:eastAsia="zh-CN" w:bidi="ar-SA"/>
                    </w:rPr>
                  </w:pPr>
                  <w:r>
                    <w:rPr>
                      <w:rFonts w:hint="eastAsia" w:ascii="Times New Roman" w:hAnsi="Times New Roman" w:eastAsia="宋体" w:cs="Times New Roman"/>
                      <w:sz w:val="18"/>
                      <w:szCs w:val="18"/>
                      <w:highlight w:val="none"/>
                      <w:lang w:val="en-US" w:eastAsia="zh-CN"/>
                    </w:rPr>
                    <w:t>11</w:t>
                  </w:r>
                </w:p>
              </w:tc>
              <w:tc>
                <w:tcPr>
                  <w:tcW w:w="930" w:type="dxa"/>
                  <w:tcBorders>
                    <w:top w:val="single" w:color="auto" w:sz="4" w:space="0"/>
                    <w:left w:val="single" w:color="auto" w:sz="4" w:space="0"/>
                    <w:bottom w:val="single" w:color="auto" w:sz="4" w:space="0"/>
                    <w:right w:val="single" w:color="auto" w:sz="4" w:space="0"/>
                  </w:tcBorders>
                  <w:shd w:val="clear" w:color="auto" w:fill="auto"/>
                  <w:vAlign w:val="center"/>
                </w:tcPr>
                <w:p w14:paraId="463D165F">
                  <w:pPr>
                    <w:pStyle w:val="129"/>
                    <w:keepNext w:val="0"/>
                    <w:keepLines w:val="0"/>
                    <w:suppressLineNumbers w:val="0"/>
                    <w:spacing w:before="0" w:beforeAutospacing="0" w:after="0" w:afterAutospacing="0"/>
                    <w:ind w:left="0" w:right="0"/>
                    <w:rPr>
                      <w:rFonts w:hint="default" w:ascii="Times New Roman" w:hAnsi="Times New Roman" w:eastAsia="宋体" w:cs="Times New Roman"/>
                      <w:color w:val="auto"/>
                      <w:kern w:val="0"/>
                      <w:sz w:val="18"/>
                      <w:szCs w:val="18"/>
                      <w:highlight w:val="none"/>
                      <w:lang w:val="en-US" w:eastAsia="zh-CN" w:bidi="ar-SA"/>
                    </w:rPr>
                  </w:pPr>
                  <w:r>
                    <w:rPr>
                      <w:rFonts w:hint="eastAsia" w:ascii="Times New Roman" w:hAnsi="Times New Roman" w:eastAsia="宋体" w:cs="Times New Roman"/>
                      <w:color w:val="auto"/>
                      <w:sz w:val="18"/>
                      <w:szCs w:val="18"/>
                      <w:highlight w:val="none"/>
                    </w:rPr>
                    <w:t>废</w:t>
                  </w:r>
                  <w:r>
                    <w:rPr>
                      <w:rFonts w:hint="default" w:ascii="Times New Roman" w:hAnsi="Times New Roman" w:eastAsia="宋体" w:cs="Times New Roman"/>
                      <w:color w:val="auto"/>
                      <w:sz w:val="18"/>
                      <w:szCs w:val="18"/>
                      <w:highlight w:val="none"/>
                    </w:rPr>
                    <w:t>实验耗材</w:t>
                  </w:r>
                </w:p>
              </w:tc>
              <w:tc>
                <w:tcPr>
                  <w:tcW w:w="675" w:type="dxa"/>
                  <w:tcBorders>
                    <w:top w:val="single" w:color="auto" w:sz="4" w:space="0"/>
                    <w:left w:val="single" w:color="auto" w:sz="4" w:space="0"/>
                    <w:bottom w:val="single" w:color="auto" w:sz="4" w:space="0"/>
                    <w:right w:val="single" w:color="auto" w:sz="4" w:space="0"/>
                  </w:tcBorders>
                  <w:vAlign w:val="center"/>
                </w:tcPr>
                <w:p w14:paraId="6EB6D5DC">
                  <w:pPr>
                    <w:keepNext w:val="0"/>
                    <w:keepLines w:val="0"/>
                    <w:pageBreakBefore w:val="0"/>
                    <w:suppressLineNumbers w:val="0"/>
                    <w:kinsoku/>
                    <w:wordWrap/>
                    <w:overflowPunct/>
                    <w:topLinePunct w:val="0"/>
                    <w:autoSpaceDE/>
                    <w:autoSpaceDN/>
                    <w:bidi w:val="0"/>
                    <w:adjustRightInd w:val="0"/>
                    <w:snapToGrid w:val="0"/>
                    <w:spacing w:before="0" w:beforeAutospacing="0" w:after="0" w:afterAutospacing="0" w:line="264" w:lineRule="auto"/>
                    <w:ind w:left="0" w:right="0"/>
                    <w:jc w:val="center"/>
                    <w:textAlignment w:val="auto"/>
                    <w:rPr>
                      <w:rFonts w:hint="default" w:ascii="Times New Roman" w:hAnsi="Times New Roman" w:eastAsia="宋体" w:cs="Times New Roman"/>
                      <w:sz w:val="18"/>
                      <w:szCs w:val="18"/>
                      <w:highlight w:val="none"/>
                    </w:rPr>
                  </w:pPr>
                  <w:r>
                    <w:rPr>
                      <w:rFonts w:hint="default" w:ascii="Times New Roman" w:hAnsi="Times New Roman" w:eastAsia="宋体" w:cs="Times New Roman"/>
                      <w:color w:val="auto"/>
                      <w:sz w:val="18"/>
                      <w:szCs w:val="18"/>
                      <w:highlight w:val="none"/>
                    </w:rPr>
                    <w:t>实验过程</w:t>
                  </w:r>
                </w:p>
              </w:tc>
              <w:tc>
                <w:tcPr>
                  <w:tcW w:w="615" w:type="dxa"/>
                  <w:tcBorders>
                    <w:top w:val="single" w:color="auto" w:sz="4" w:space="0"/>
                    <w:left w:val="single" w:color="auto" w:sz="4" w:space="0"/>
                    <w:bottom w:val="single" w:color="auto" w:sz="4" w:space="0"/>
                    <w:right w:val="single" w:color="auto" w:sz="4" w:space="0"/>
                  </w:tcBorders>
                  <w:vAlign w:val="center"/>
                </w:tcPr>
                <w:p w14:paraId="1AD2CFF1">
                  <w:pPr>
                    <w:keepNext w:val="0"/>
                    <w:keepLines w:val="0"/>
                    <w:pageBreakBefore w:val="0"/>
                    <w:suppressLineNumbers w:val="0"/>
                    <w:kinsoku/>
                    <w:wordWrap/>
                    <w:overflowPunct/>
                    <w:topLinePunct w:val="0"/>
                    <w:autoSpaceDE/>
                    <w:autoSpaceDN/>
                    <w:bidi w:val="0"/>
                    <w:adjustRightInd w:val="0"/>
                    <w:snapToGrid w:val="0"/>
                    <w:spacing w:before="0" w:beforeAutospacing="0" w:after="0" w:afterAutospacing="0" w:line="264" w:lineRule="auto"/>
                    <w:ind w:left="0" w:right="0"/>
                    <w:jc w:val="center"/>
                    <w:textAlignment w:val="auto"/>
                    <w:rPr>
                      <w:rFonts w:hint="default" w:ascii="Times New Roman" w:hAnsi="Times New Roman" w:eastAsia="宋体" w:cs="Times New Roman"/>
                      <w:sz w:val="18"/>
                      <w:szCs w:val="18"/>
                      <w:highlight w:val="none"/>
                      <w:lang w:val="en-US" w:eastAsia="zh-CN"/>
                    </w:rPr>
                  </w:pPr>
                  <w:r>
                    <w:rPr>
                      <w:rFonts w:hint="eastAsia" w:ascii="Times New Roman" w:hAnsi="Times New Roman" w:eastAsia="宋体" w:cs="Times New Roman"/>
                      <w:sz w:val="18"/>
                      <w:szCs w:val="18"/>
                      <w:highlight w:val="none"/>
                      <w:lang w:val="en-US" w:eastAsia="zh-CN"/>
                    </w:rPr>
                    <w:t>15</w:t>
                  </w:r>
                </w:p>
              </w:tc>
              <w:tc>
                <w:tcPr>
                  <w:tcW w:w="5673" w:type="dxa"/>
                  <w:tcBorders>
                    <w:top w:val="single" w:color="auto" w:sz="4" w:space="0"/>
                    <w:left w:val="single" w:color="auto" w:sz="4" w:space="0"/>
                    <w:bottom w:val="single" w:color="auto" w:sz="4" w:space="0"/>
                    <w:right w:val="single" w:color="auto" w:sz="4" w:space="0"/>
                  </w:tcBorders>
                  <w:vAlign w:val="center"/>
                </w:tcPr>
                <w:p w14:paraId="0D9180E7">
                  <w:pPr>
                    <w:keepNext w:val="0"/>
                    <w:keepLines w:val="0"/>
                    <w:pageBreakBefore w:val="0"/>
                    <w:suppressLineNumbers w:val="0"/>
                    <w:kinsoku/>
                    <w:wordWrap/>
                    <w:overflowPunct/>
                    <w:topLinePunct w:val="0"/>
                    <w:autoSpaceDE/>
                    <w:autoSpaceDN/>
                    <w:bidi w:val="0"/>
                    <w:adjustRightInd w:val="0"/>
                    <w:snapToGrid w:val="0"/>
                    <w:spacing w:before="0" w:beforeAutospacing="0" w:after="0" w:afterAutospacing="0" w:line="264" w:lineRule="auto"/>
                    <w:ind w:left="0" w:right="0"/>
                    <w:jc w:val="left"/>
                    <w:textAlignment w:val="auto"/>
                    <w:rPr>
                      <w:rFonts w:hint="default" w:ascii="Times New Roman" w:hAnsi="Times New Roman" w:eastAsia="宋体" w:cs="Times New Roman"/>
                      <w:sz w:val="18"/>
                      <w:szCs w:val="18"/>
                      <w:highlight w:val="none"/>
                    </w:rPr>
                  </w:pPr>
                  <w:r>
                    <w:rPr>
                      <w:rFonts w:hint="eastAsia" w:ascii="Times New Roman" w:hAnsi="Times New Roman" w:eastAsia="宋体" w:cs="Times New Roman"/>
                      <w:sz w:val="18"/>
                      <w:szCs w:val="18"/>
                      <w:highlight w:val="none"/>
                    </w:rPr>
                    <w:t>除</w:t>
                  </w:r>
                  <w:r>
                    <w:rPr>
                      <w:rFonts w:hint="default" w:ascii="Times New Roman" w:hAnsi="Times New Roman" w:eastAsia="宋体" w:cs="Times New Roman"/>
                      <w:sz w:val="18"/>
                      <w:szCs w:val="18"/>
                      <w:highlight w:val="none"/>
                    </w:rPr>
                    <w:t>P2</w:t>
                  </w:r>
                  <w:r>
                    <w:rPr>
                      <w:rFonts w:hint="eastAsia" w:ascii="Times New Roman" w:hAnsi="Times New Roman" w:eastAsia="宋体" w:cs="Times New Roman"/>
                      <w:sz w:val="18"/>
                      <w:szCs w:val="18"/>
                      <w:highlight w:val="none"/>
                    </w:rPr>
                    <w:t>实验室，</w:t>
                  </w:r>
                  <w:r>
                    <w:rPr>
                      <w:rFonts w:hint="default" w:ascii="Times New Roman" w:hAnsi="Times New Roman" w:eastAsia="宋体" w:cs="Times New Roman"/>
                      <w:sz w:val="18"/>
                      <w:szCs w:val="18"/>
                      <w:highlight w:val="none"/>
                    </w:rPr>
                    <w:t>其他</w:t>
                  </w:r>
                  <w:r>
                    <w:rPr>
                      <w:rFonts w:hint="eastAsia" w:ascii="Times New Roman" w:hAnsi="Times New Roman" w:eastAsia="宋体" w:cs="Times New Roman"/>
                      <w:sz w:val="18"/>
                      <w:szCs w:val="18"/>
                      <w:highlight w:val="none"/>
                    </w:rPr>
                    <w:t>实验过程</w:t>
                  </w:r>
                  <w:r>
                    <w:rPr>
                      <w:rFonts w:hint="default" w:ascii="Times New Roman" w:hAnsi="Times New Roman" w:eastAsia="宋体" w:cs="Times New Roman"/>
                      <w:sz w:val="18"/>
                      <w:szCs w:val="18"/>
                      <w:highlight w:val="none"/>
                    </w:rPr>
                    <w:t>中会产生废试纸</w:t>
                  </w:r>
                  <w:r>
                    <w:rPr>
                      <w:rFonts w:hint="eastAsia" w:ascii="Times New Roman" w:hAnsi="Times New Roman" w:eastAsia="宋体" w:cs="Times New Roman"/>
                      <w:sz w:val="18"/>
                      <w:szCs w:val="18"/>
                      <w:highlight w:val="none"/>
                    </w:rPr>
                    <w:t>、</w:t>
                  </w:r>
                  <w:r>
                    <w:rPr>
                      <w:rFonts w:hint="default" w:ascii="Times New Roman" w:hAnsi="Times New Roman" w:eastAsia="宋体" w:cs="Times New Roman"/>
                      <w:sz w:val="18"/>
                      <w:szCs w:val="18"/>
                      <w:highlight w:val="none"/>
                    </w:rPr>
                    <w:t>手套</w:t>
                  </w:r>
                  <w:r>
                    <w:rPr>
                      <w:rFonts w:hint="eastAsia" w:ascii="Times New Roman" w:hAnsi="Times New Roman" w:eastAsia="宋体" w:cs="Times New Roman"/>
                      <w:sz w:val="18"/>
                      <w:szCs w:val="18"/>
                      <w:highlight w:val="none"/>
                    </w:rPr>
                    <w:t>、</w:t>
                  </w:r>
                  <w:r>
                    <w:rPr>
                      <w:rFonts w:hint="default" w:ascii="Times New Roman" w:hAnsi="Times New Roman" w:eastAsia="宋体" w:cs="Times New Roman"/>
                      <w:sz w:val="18"/>
                      <w:szCs w:val="18"/>
                      <w:highlight w:val="none"/>
                    </w:rPr>
                    <w:t>口罩</w:t>
                  </w:r>
                  <w:r>
                    <w:rPr>
                      <w:rFonts w:hint="eastAsia" w:ascii="Times New Roman" w:hAnsi="Times New Roman" w:eastAsia="宋体" w:cs="Times New Roman"/>
                      <w:sz w:val="18"/>
                      <w:szCs w:val="18"/>
                      <w:highlight w:val="none"/>
                    </w:rPr>
                    <w:t>、</w:t>
                  </w:r>
                  <w:r>
                    <w:rPr>
                      <w:rFonts w:hint="default" w:ascii="Times New Roman" w:hAnsi="Times New Roman" w:eastAsia="宋体" w:cs="Times New Roman"/>
                      <w:sz w:val="18"/>
                      <w:szCs w:val="18"/>
                      <w:highlight w:val="none"/>
                    </w:rPr>
                    <w:t>滴管等废实验用品，根据企业提供资料，</w:t>
                  </w:r>
                  <w:r>
                    <w:rPr>
                      <w:rFonts w:hint="eastAsia" w:ascii="Times New Roman" w:hAnsi="Times New Roman" w:eastAsia="宋体" w:cs="Times New Roman"/>
                      <w:sz w:val="18"/>
                      <w:szCs w:val="18"/>
                      <w:highlight w:val="none"/>
                    </w:rPr>
                    <w:t>产生量</w:t>
                  </w:r>
                  <w:r>
                    <w:rPr>
                      <w:rFonts w:hint="default" w:ascii="Times New Roman" w:hAnsi="Times New Roman" w:eastAsia="宋体" w:cs="Times New Roman"/>
                      <w:sz w:val="18"/>
                      <w:szCs w:val="18"/>
                      <w:highlight w:val="none"/>
                    </w:rPr>
                    <w:t>约为</w:t>
                  </w:r>
                  <w:r>
                    <w:rPr>
                      <w:rFonts w:hint="eastAsia" w:ascii="Times New Roman" w:hAnsi="Times New Roman" w:eastAsia="宋体" w:cs="Times New Roman"/>
                      <w:sz w:val="18"/>
                      <w:szCs w:val="18"/>
                      <w:highlight w:val="none"/>
                    </w:rPr>
                    <w:t>15</w:t>
                  </w:r>
                  <w:r>
                    <w:rPr>
                      <w:rFonts w:hint="default" w:ascii="Times New Roman" w:hAnsi="Times New Roman" w:eastAsia="宋体" w:cs="Times New Roman"/>
                      <w:sz w:val="18"/>
                      <w:szCs w:val="18"/>
                      <w:highlight w:val="none"/>
                    </w:rPr>
                    <w:t>t/a</w:t>
                  </w:r>
                  <w:r>
                    <w:rPr>
                      <w:rFonts w:hint="eastAsia" w:ascii="Times New Roman" w:hAnsi="Times New Roman" w:eastAsia="宋体" w:cs="Times New Roman"/>
                      <w:sz w:val="18"/>
                      <w:szCs w:val="18"/>
                      <w:highlight w:val="none"/>
                    </w:rPr>
                    <w:t>。</w:t>
                  </w:r>
                </w:p>
              </w:tc>
            </w:tr>
            <w:tr w14:paraId="2689A67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0" w:hRule="atLeast"/>
                <w:jc w:val="center"/>
              </w:trPr>
              <w:tc>
                <w:tcPr>
                  <w:tcW w:w="365" w:type="dxa"/>
                  <w:tcBorders>
                    <w:top w:val="single" w:color="auto" w:sz="4" w:space="0"/>
                    <w:left w:val="single" w:color="auto" w:sz="4" w:space="0"/>
                    <w:bottom w:val="single" w:color="auto" w:sz="4" w:space="0"/>
                    <w:right w:val="single" w:color="auto" w:sz="4" w:space="0"/>
                  </w:tcBorders>
                  <w:shd w:val="clear" w:color="auto" w:fill="auto"/>
                  <w:vAlign w:val="center"/>
                </w:tcPr>
                <w:p w14:paraId="4F4F353F">
                  <w:pPr>
                    <w:keepNext w:val="0"/>
                    <w:keepLines w:val="0"/>
                    <w:pageBreakBefore w:val="0"/>
                    <w:suppressLineNumbers w:val="0"/>
                    <w:kinsoku/>
                    <w:wordWrap/>
                    <w:overflowPunct/>
                    <w:topLinePunct w:val="0"/>
                    <w:autoSpaceDE/>
                    <w:autoSpaceDN/>
                    <w:bidi w:val="0"/>
                    <w:adjustRightInd w:val="0"/>
                    <w:snapToGrid w:val="0"/>
                    <w:spacing w:before="0" w:beforeAutospacing="0" w:after="0" w:afterAutospacing="0" w:line="264" w:lineRule="auto"/>
                    <w:ind w:left="0" w:leftChars="0" w:right="0" w:rightChars="0"/>
                    <w:jc w:val="center"/>
                    <w:textAlignment w:val="auto"/>
                    <w:rPr>
                      <w:rFonts w:hint="default" w:ascii="Times New Roman" w:hAnsi="Times New Roman" w:eastAsia="宋体" w:cs="Times New Roman"/>
                      <w:kern w:val="2"/>
                      <w:sz w:val="18"/>
                      <w:szCs w:val="18"/>
                      <w:highlight w:val="none"/>
                      <w:lang w:val="en-US" w:eastAsia="zh-CN" w:bidi="ar-SA"/>
                    </w:rPr>
                  </w:pPr>
                  <w:r>
                    <w:rPr>
                      <w:rFonts w:hint="eastAsia" w:ascii="Times New Roman" w:hAnsi="Times New Roman" w:eastAsia="宋体" w:cs="Times New Roman"/>
                      <w:sz w:val="18"/>
                      <w:szCs w:val="18"/>
                      <w:highlight w:val="none"/>
                      <w:lang w:val="en-US" w:eastAsia="zh-CN"/>
                    </w:rPr>
                    <w:t>12</w:t>
                  </w:r>
                </w:p>
              </w:tc>
              <w:tc>
                <w:tcPr>
                  <w:tcW w:w="930" w:type="dxa"/>
                  <w:tcBorders>
                    <w:top w:val="single" w:color="auto" w:sz="4" w:space="0"/>
                    <w:left w:val="single" w:color="auto" w:sz="4" w:space="0"/>
                    <w:bottom w:val="single" w:color="auto" w:sz="4" w:space="0"/>
                    <w:right w:val="single" w:color="auto" w:sz="4" w:space="0"/>
                  </w:tcBorders>
                  <w:shd w:val="clear" w:color="auto" w:fill="auto"/>
                  <w:vAlign w:val="center"/>
                </w:tcPr>
                <w:p w14:paraId="08DB7396">
                  <w:pPr>
                    <w:pStyle w:val="129"/>
                    <w:keepNext w:val="0"/>
                    <w:keepLines w:val="0"/>
                    <w:suppressLineNumbers w:val="0"/>
                    <w:spacing w:before="0" w:beforeAutospacing="0" w:after="0" w:afterAutospacing="0"/>
                    <w:ind w:left="0" w:right="0"/>
                    <w:rPr>
                      <w:rFonts w:hint="default" w:ascii="Times New Roman" w:hAnsi="Times New Roman" w:eastAsia="宋体" w:cs="Times New Roman"/>
                      <w:color w:val="auto"/>
                      <w:kern w:val="0"/>
                      <w:sz w:val="18"/>
                      <w:szCs w:val="18"/>
                      <w:highlight w:val="none"/>
                      <w:lang w:val="en-US" w:eastAsia="zh-CN" w:bidi="ar-SA"/>
                    </w:rPr>
                  </w:pPr>
                  <w:r>
                    <w:rPr>
                      <w:rFonts w:hint="eastAsia" w:ascii="Times New Roman" w:hAnsi="Times New Roman" w:eastAsia="宋体" w:cs="Times New Roman"/>
                      <w:color w:val="auto"/>
                      <w:sz w:val="18"/>
                      <w:szCs w:val="18"/>
                      <w:highlight w:val="none"/>
                      <w:lang w:val="en-US" w:eastAsia="zh-CN"/>
                    </w:rPr>
                    <w:t>危险废包装材料</w:t>
                  </w:r>
                </w:p>
              </w:tc>
              <w:tc>
                <w:tcPr>
                  <w:tcW w:w="675" w:type="dxa"/>
                  <w:tcBorders>
                    <w:top w:val="single" w:color="auto" w:sz="4" w:space="0"/>
                    <w:left w:val="single" w:color="auto" w:sz="4" w:space="0"/>
                    <w:bottom w:val="single" w:color="auto" w:sz="4" w:space="0"/>
                    <w:right w:val="single" w:color="auto" w:sz="4" w:space="0"/>
                  </w:tcBorders>
                  <w:vAlign w:val="center"/>
                </w:tcPr>
                <w:p w14:paraId="70253F22">
                  <w:pPr>
                    <w:keepNext w:val="0"/>
                    <w:keepLines w:val="0"/>
                    <w:pageBreakBefore w:val="0"/>
                    <w:suppressLineNumbers w:val="0"/>
                    <w:kinsoku/>
                    <w:wordWrap/>
                    <w:overflowPunct/>
                    <w:topLinePunct w:val="0"/>
                    <w:autoSpaceDE/>
                    <w:autoSpaceDN/>
                    <w:bidi w:val="0"/>
                    <w:adjustRightInd w:val="0"/>
                    <w:snapToGrid w:val="0"/>
                    <w:spacing w:before="0" w:beforeAutospacing="0" w:after="0" w:afterAutospacing="0" w:line="264" w:lineRule="auto"/>
                    <w:ind w:left="0" w:right="0"/>
                    <w:jc w:val="center"/>
                    <w:textAlignment w:val="auto"/>
                    <w:rPr>
                      <w:rFonts w:hint="default" w:ascii="Times New Roman" w:hAnsi="Times New Roman" w:eastAsia="宋体" w:cs="Times New Roman"/>
                      <w:sz w:val="18"/>
                      <w:szCs w:val="18"/>
                      <w:highlight w:val="none"/>
                    </w:rPr>
                  </w:pPr>
                  <w:r>
                    <w:rPr>
                      <w:rFonts w:hint="default" w:ascii="Times New Roman" w:hAnsi="Times New Roman" w:eastAsia="宋体" w:cs="Times New Roman"/>
                      <w:color w:val="auto"/>
                      <w:sz w:val="18"/>
                      <w:szCs w:val="18"/>
                      <w:highlight w:val="none"/>
                    </w:rPr>
                    <w:t>实验过程</w:t>
                  </w:r>
                </w:p>
              </w:tc>
              <w:tc>
                <w:tcPr>
                  <w:tcW w:w="615" w:type="dxa"/>
                  <w:tcBorders>
                    <w:top w:val="single" w:color="auto" w:sz="4" w:space="0"/>
                    <w:left w:val="single" w:color="auto" w:sz="4" w:space="0"/>
                    <w:bottom w:val="single" w:color="auto" w:sz="4" w:space="0"/>
                    <w:right w:val="single" w:color="auto" w:sz="4" w:space="0"/>
                  </w:tcBorders>
                  <w:vAlign w:val="center"/>
                </w:tcPr>
                <w:p w14:paraId="2B205F4B">
                  <w:pPr>
                    <w:keepNext w:val="0"/>
                    <w:keepLines w:val="0"/>
                    <w:pageBreakBefore w:val="0"/>
                    <w:suppressLineNumbers w:val="0"/>
                    <w:kinsoku/>
                    <w:wordWrap/>
                    <w:overflowPunct/>
                    <w:topLinePunct w:val="0"/>
                    <w:autoSpaceDE/>
                    <w:autoSpaceDN/>
                    <w:bidi w:val="0"/>
                    <w:adjustRightInd w:val="0"/>
                    <w:snapToGrid w:val="0"/>
                    <w:spacing w:before="0" w:beforeAutospacing="0" w:after="0" w:afterAutospacing="0" w:line="264" w:lineRule="auto"/>
                    <w:ind w:left="0" w:right="0"/>
                    <w:jc w:val="center"/>
                    <w:textAlignment w:val="auto"/>
                    <w:rPr>
                      <w:rFonts w:hint="default" w:ascii="Times New Roman" w:hAnsi="Times New Roman" w:eastAsia="宋体" w:cs="Times New Roman"/>
                      <w:sz w:val="18"/>
                      <w:szCs w:val="18"/>
                      <w:highlight w:val="none"/>
                      <w:lang w:val="en-US" w:eastAsia="zh-CN"/>
                    </w:rPr>
                  </w:pPr>
                  <w:r>
                    <w:rPr>
                      <w:rFonts w:hint="eastAsia" w:ascii="Times New Roman" w:hAnsi="Times New Roman" w:eastAsia="宋体" w:cs="Times New Roman"/>
                      <w:sz w:val="18"/>
                      <w:szCs w:val="18"/>
                      <w:highlight w:val="none"/>
                      <w:lang w:eastAsia="zh-CN"/>
                    </w:rPr>
                    <w:t>0.</w:t>
                  </w:r>
                  <w:r>
                    <w:rPr>
                      <w:rFonts w:hint="eastAsia" w:ascii="Times New Roman" w:hAnsi="Times New Roman" w:eastAsia="宋体" w:cs="Times New Roman"/>
                      <w:sz w:val="18"/>
                      <w:szCs w:val="18"/>
                      <w:highlight w:val="none"/>
                      <w:lang w:val="en-US" w:eastAsia="zh-CN"/>
                    </w:rPr>
                    <w:t>5</w:t>
                  </w:r>
                </w:p>
              </w:tc>
              <w:tc>
                <w:tcPr>
                  <w:tcW w:w="5673" w:type="dxa"/>
                  <w:tcBorders>
                    <w:top w:val="single" w:color="auto" w:sz="4" w:space="0"/>
                    <w:left w:val="single" w:color="auto" w:sz="4" w:space="0"/>
                    <w:bottom w:val="single" w:color="auto" w:sz="4" w:space="0"/>
                    <w:right w:val="single" w:color="auto" w:sz="4" w:space="0"/>
                  </w:tcBorders>
                  <w:vAlign w:val="center"/>
                </w:tcPr>
                <w:p w14:paraId="66A32F6E">
                  <w:pPr>
                    <w:keepNext w:val="0"/>
                    <w:keepLines w:val="0"/>
                    <w:pageBreakBefore w:val="0"/>
                    <w:suppressLineNumbers w:val="0"/>
                    <w:kinsoku/>
                    <w:wordWrap/>
                    <w:overflowPunct/>
                    <w:topLinePunct w:val="0"/>
                    <w:autoSpaceDE/>
                    <w:autoSpaceDN/>
                    <w:bidi w:val="0"/>
                    <w:adjustRightInd w:val="0"/>
                    <w:snapToGrid w:val="0"/>
                    <w:spacing w:before="0" w:beforeAutospacing="0" w:after="0" w:afterAutospacing="0" w:line="264" w:lineRule="auto"/>
                    <w:ind w:left="0" w:right="0"/>
                    <w:textAlignment w:val="auto"/>
                    <w:rPr>
                      <w:rFonts w:hint="default" w:ascii="Times New Roman" w:hAnsi="Times New Roman" w:eastAsia="宋体" w:cs="Times New Roman"/>
                      <w:sz w:val="18"/>
                      <w:szCs w:val="18"/>
                      <w:highlight w:val="none"/>
                    </w:rPr>
                  </w:pPr>
                  <w:r>
                    <w:rPr>
                      <w:rFonts w:hint="eastAsia" w:ascii="Times New Roman" w:hAnsi="Times New Roman" w:eastAsia="宋体" w:cs="Times New Roman"/>
                      <w:sz w:val="18"/>
                      <w:szCs w:val="18"/>
                      <w:highlight w:val="none"/>
                    </w:rPr>
                    <w:t>实验</w:t>
                  </w:r>
                  <w:r>
                    <w:rPr>
                      <w:rFonts w:hint="default" w:ascii="Times New Roman" w:hAnsi="Times New Roman" w:eastAsia="宋体" w:cs="Times New Roman"/>
                      <w:sz w:val="18"/>
                      <w:szCs w:val="18"/>
                      <w:highlight w:val="none"/>
                    </w:rPr>
                    <w:t>过程中</w:t>
                  </w:r>
                  <w:r>
                    <w:rPr>
                      <w:rFonts w:hint="eastAsia" w:ascii="Times New Roman" w:hAnsi="Times New Roman" w:eastAsia="宋体" w:cs="Times New Roman"/>
                      <w:sz w:val="18"/>
                      <w:szCs w:val="18"/>
                      <w:highlight w:val="none"/>
                    </w:rPr>
                    <w:t>会</w:t>
                  </w:r>
                  <w:r>
                    <w:rPr>
                      <w:rFonts w:hint="default" w:ascii="Times New Roman" w:hAnsi="Times New Roman" w:eastAsia="宋体" w:cs="Times New Roman"/>
                      <w:sz w:val="18"/>
                      <w:szCs w:val="18"/>
                      <w:highlight w:val="none"/>
                    </w:rPr>
                    <w:t>产生沾染化学品的废包装、试剂瓶</w:t>
                  </w:r>
                  <w:r>
                    <w:rPr>
                      <w:rFonts w:hint="eastAsia" w:ascii="Times New Roman" w:hAnsi="Times New Roman" w:eastAsia="宋体" w:cs="Times New Roman"/>
                      <w:sz w:val="18"/>
                      <w:szCs w:val="18"/>
                      <w:highlight w:val="none"/>
                    </w:rPr>
                    <w:t>/桶，</w:t>
                  </w:r>
                  <w:r>
                    <w:rPr>
                      <w:rFonts w:hint="default" w:ascii="Times New Roman" w:hAnsi="Times New Roman" w:eastAsia="宋体" w:cs="Times New Roman"/>
                      <w:sz w:val="18"/>
                      <w:szCs w:val="18"/>
                      <w:highlight w:val="none"/>
                    </w:rPr>
                    <w:t>产生量约</w:t>
                  </w:r>
                  <w:r>
                    <w:rPr>
                      <w:rFonts w:hint="eastAsia" w:ascii="Times New Roman" w:hAnsi="Times New Roman" w:eastAsia="宋体" w:cs="Times New Roman"/>
                      <w:sz w:val="18"/>
                      <w:szCs w:val="18"/>
                      <w:highlight w:val="none"/>
                      <w:lang w:val="en-US" w:eastAsia="zh-CN"/>
                    </w:rPr>
                    <w:t>0.</w:t>
                  </w:r>
                  <w:r>
                    <w:rPr>
                      <w:rFonts w:hint="eastAsia" w:ascii="Times New Roman" w:hAnsi="Times New Roman" w:eastAsia="宋体" w:cs="Times New Roman"/>
                      <w:sz w:val="18"/>
                      <w:szCs w:val="18"/>
                      <w:highlight w:val="none"/>
                    </w:rPr>
                    <w:t>5</w:t>
                  </w:r>
                  <w:r>
                    <w:rPr>
                      <w:rFonts w:hint="default" w:ascii="Times New Roman" w:hAnsi="Times New Roman" w:eastAsia="宋体" w:cs="Times New Roman"/>
                      <w:sz w:val="18"/>
                      <w:szCs w:val="18"/>
                      <w:highlight w:val="none"/>
                    </w:rPr>
                    <w:t>t/a</w:t>
                  </w:r>
                  <w:r>
                    <w:rPr>
                      <w:rFonts w:hint="eastAsia" w:ascii="Times New Roman" w:hAnsi="Times New Roman" w:eastAsia="宋体" w:cs="Times New Roman"/>
                      <w:sz w:val="18"/>
                      <w:szCs w:val="18"/>
                      <w:highlight w:val="none"/>
                    </w:rPr>
                    <w:t>。</w:t>
                  </w:r>
                </w:p>
              </w:tc>
            </w:tr>
            <w:tr w14:paraId="42A46AE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0" w:hRule="atLeast"/>
                <w:jc w:val="center"/>
              </w:trPr>
              <w:tc>
                <w:tcPr>
                  <w:tcW w:w="365" w:type="dxa"/>
                  <w:tcBorders>
                    <w:top w:val="single" w:color="auto" w:sz="4" w:space="0"/>
                    <w:left w:val="single" w:color="auto" w:sz="4" w:space="0"/>
                    <w:bottom w:val="single" w:color="auto" w:sz="4" w:space="0"/>
                    <w:right w:val="single" w:color="auto" w:sz="4" w:space="0"/>
                  </w:tcBorders>
                  <w:shd w:val="clear" w:color="auto" w:fill="auto"/>
                  <w:vAlign w:val="center"/>
                </w:tcPr>
                <w:p w14:paraId="470CA7DE">
                  <w:pPr>
                    <w:keepNext w:val="0"/>
                    <w:keepLines w:val="0"/>
                    <w:pageBreakBefore w:val="0"/>
                    <w:suppressLineNumbers w:val="0"/>
                    <w:kinsoku/>
                    <w:wordWrap/>
                    <w:overflowPunct/>
                    <w:topLinePunct w:val="0"/>
                    <w:autoSpaceDE/>
                    <w:autoSpaceDN/>
                    <w:bidi w:val="0"/>
                    <w:adjustRightInd w:val="0"/>
                    <w:snapToGrid w:val="0"/>
                    <w:spacing w:before="0" w:beforeAutospacing="0" w:after="0" w:afterAutospacing="0" w:line="264" w:lineRule="auto"/>
                    <w:ind w:left="0" w:leftChars="0" w:right="0" w:rightChars="0"/>
                    <w:jc w:val="center"/>
                    <w:textAlignment w:val="auto"/>
                    <w:rPr>
                      <w:rFonts w:hint="eastAsia" w:ascii="Times New Roman" w:hAnsi="Times New Roman" w:eastAsia="宋体" w:cs="Times New Roman"/>
                      <w:kern w:val="2"/>
                      <w:sz w:val="18"/>
                      <w:szCs w:val="18"/>
                      <w:highlight w:val="none"/>
                      <w:lang w:val="en-US" w:eastAsia="zh-CN" w:bidi="ar-SA"/>
                    </w:rPr>
                  </w:pPr>
                  <w:r>
                    <w:rPr>
                      <w:rFonts w:hint="eastAsia" w:ascii="Times New Roman" w:hAnsi="Times New Roman" w:eastAsia="宋体" w:cs="Times New Roman"/>
                      <w:sz w:val="18"/>
                      <w:szCs w:val="18"/>
                      <w:highlight w:val="none"/>
                      <w:lang w:val="en-US" w:eastAsia="zh-CN"/>
                    </w:rPr>
                    <w:t>13</w:t>
                  </w:r>
                </w:p>
              </w:tc>
              <w:tc>
                <w:tcPr>
                  <w:tcW w:w="930" w:type="dxa"/>
                  <w:tcBorders>
                    <w:top w:val="single" w:color="auto" w:sz="4" w:space="0"/>
                    <w:left w:val="single" w:color="auto" w:sz="4" w:space="0"/>
                    <w:bottom w:val="single" w:color="auto" w:sz="4" w:space="0"/>
                    <w:right w:val="single" w:color="auto" w:sz="4" w:space="0"/>
                  </w:tcBorders>
                  <w:shd w:val="clear" w:color="auto" w:fill="auto"/>
                  <w:vAlign w:val="center"/>
                </w:tcPr>
                <w:p w14:paraId="3F85C3E3">
                  <w:pPr>
                    <w:pStyle w:val="129"/>
                    <w:keepNext w:val="0"/>
                    <w:keepLines w:val="0"/>
                    <w:suppressLineNumbers w:val="0"/>
                    <w:spacing w:before="0" w:beforeAutospacing="0" w:after="0" w:afterAutospacing="0"/>
                    <w:ind w:left="0" w:right="0"/>
                    <w:rPr>
                      <w:rFonts w:hint="eastAsia" w:ascii="Times New Roman" w:hAnsi="Times New Roman" w:eastAsia="宋体" w:cs="Times New Roman"/>
                      <w:color w:val="auto"/>
                      <w:sz w:val="18"/>
                      <w:szCs w:val="18"/>
                      <w:highlight w:val="none"/>
                    </w:rPr>
                  </w:pPr>
                  <w:r>
                    <w:rPr>
                      <w:rFonts w:hint="eastAsia" w:ascii="Times New Roman" w:hAnsi="Times New Roman" w:eastAsia="宋体" w:cs="Times New Roman"/>
                      <w:color w:val="auto"/>
                      <w:sz w:val="18"/>
                      <w:szCs w:val="18"/>
                      <w:highlight w:val="none"/>
                      <w:lang w:val="en-US" w:eastAsia="zh-CN"/>
                    </w:rPr>
                    <w:t>废弃样本、废培养基</w:t>
                  </w:r>
                </w:p>
              </w:tc>
              <w:tc>
                <w:tcPr>
                  <w:tcW w:w="675" w:type="dxa"/>
                  <w:tcBorders>
                    <w:top w:val="single" w:color="auto" w:sz="4" w:space="0"/>
                    <w:left w:val="single" w:color="auto" w:sz="4" w:space="0"/>
                    <w:bottom w:val="single" w:color="auto" w:sz="4" w:space="0"/>
                    <w:right w:val="single" w:color="auto" w:sz="4" w:space="0"/>
                  </w:tcBorders>
                  <w:vAlign w:val="center"/>
                </w:tcPr>
                <w:p w14:paraId="622F4B39">
                  <w:pPr>
                    <w:pStyle w:val="129"/>
                    <w:keepNext w:val="0"/>
                    <w:keepLines w:val="0"/>
                    <w:suppressLineNumbers w:val="0"/>
                    <w:spacing w:before="0" w:beforeAutospacing="0" w:after="0" w:afterAutospacing="0"/>
                    <w:ind w:left="0" w:right="0"/>
                    <w:rPr>
                      <w:rFonts w:hint="eastAsia" w:ascii="Times New Roman" w:hAnsi="Times New Roman" w:eastAsia="宋体" w:cs="Times New Roman"/>
                      <w:color w:val="auto"/>
                      <w:sz w:val="18"/>
                      <w:szCs w:val="18"/>
                      <w:highlight w:val="none"/>
                    </w:rPr>
                  </w:pPr>
                  <w:r>
                    <w:rPr>
                      <w:rFonts w:hint="eastAsia" w:ascii="Times New Roman" w:hAnsi="Times New Roman" w:eastAsia="宋体" w:cs="Times New Roman"/>
                      <w:color w:val="auto"/>
                      <w:sz w:val="18"/>
                      <w:szCs w:val="18"/>
                      <w:highlight w:val="none"/>
                    </w:rPr>
                    <w:t>实验过程</w:t>
                  </w:r>
                </w:p>
              </w:tc>
              <w:tc>
                <w:tcPr>
                  <w:tcW w:w="615" w:type="dxa"/>
                  <w:tcBorders>
                    <w:top w:val="single" w:color="auto" w:sz="4" w:space="0"/>
                    <w:left w:val="single" w:color="auto" w:sz="4" w:space="0"/>
                    <w:bottom w:val="single" w:color="auto" w:sz="4" w:space="0"/>
                    <w:right w:val="single" w:color="auto" w:sz="4" w:space="0"/>
                  </w:tcBorders>
                  <w:vAlign w:val="center"/>
                </w:tcPr>
                <w:p w14:paraId="4E6E32F0">
                  <w:pPr>
                    <w:keepNext w:val="0"/>
                    <w:keepLines w:val="0"/>
                    <w:pageBreakBefore w:val="0"/>
                    <w:suppressLineNumbers w:val="0"/>
                    <w:kinsoku/>
                    <w:wordWrap/>
                    <w:overflowPunct/>
                    <w:topLinePunct w:val="0"/>
                    <w:autoSpaceDE/>
                    <w:autoSpaceDN/>
                    <w:bidi w:val="0"/>
                    <w:adjustRightInd w:val="0"/>
                    <w:snapToGrid w:val="0"/>
                    <w:spacing w:before="0" w:beforeAutospacing="0" w:after="0" w:afterAutospacing="0" w:line="264" w:lineRule="auto"/>
                    <w:ind w:left="0" w:right="0"/>
                    <w:jc w:val="center"/>
                    <w:textAlignment w:val="auto"/>
                    <w:rPr>
                      <w:rFonts w:hint="default" w:ascii="Times New Roman" w:hAnsi="Times New Roman" w:eastAsia="宋体" w:cs="Times New Roman"/>
                      <w:sz w:val="18"/>
                      <w:szCs w:val="18"/>
                      <w:highlight w:val="none"/>
                      <w:lang w:val="en-US" w:eastAsia="zh-CN"/>
                    </w:rPr>
                  </w:pPr>
                  <w:r>
                    <w:rPr>
                      <w:rFonts w:hint="eastAsia" w:ascii="Times New Roman" w:hAnsi="Times New Roman" w:eastAsia="宋体" w:cs="Times New Roman"/>
                      <w:sz w:val="18"/>
                      <w:szCs w:val="18"/>
                      <w:highlight w:val="none"/>
                      <w:lang w:val="en-US" w:eastAsia="zh-CN"/>
                    </w:rPr>
                    <w:t>1</w:t>
                  </w:r>
                </w:p>
              </w:tc>
              <w:tc>
                <w:tcPr>
                  <w:tcW w:w="5673" w:type="dxa"/>
                  <w:tcBorders>
                    <w:top w:val="single" w:color="auto" w:sz="4" w:space="0"/>
                    <w:left w:val="single" w:color="auto" w:sz="4" w:space="0"/>
                    <w:bottom w:val="single" w:color="auto" w:sz="4" w:space="0"/>
                    <w:right w:val="single" w:color="auto" w:sz="4" w:space="0"/>
                  </w:tcBorders>
                  <w:vAlign w:val="center"/>
                </w:tcPr>
                <w:p w14:paraId="70C4A743">
                  <w:pPr>
                    <w:keepNext w:val="0"/>
                    <w:keepLines w:val="0"/>
                    <w:pageBreakBefore w:val="0"/>
                    <w:suppressLineNumbers w:val="0"/>
                    <w:kinsoku/>
                    <w:wordWrap/>
                    <w:overflowPunct/>
                    <w:topLinePunct w:val="0"/>
                    <w:autoSpaceDE/>
                    <w:autoSpaceDN/>
                    <w:bidi w:val="0"/>
                    <w:adjustRightInd w:val="0"/>
                    <w:snapToGrid w:val="0"/>
                    <w:spacing w:before="0" w:beforeAutospacing="0" w:after="0" w:afterAutospacing="0" w:line="264" w:lineRule="auto"/>
                    <w:ind w:left="0" w:right="0"/>
                    <w:textAlignment w:val="auto"/>
                    <w:rPr>
                      <w:rFonts w:hint="eastAsia" w:ascii="Times New Roman" w:hAnsi="Times New Roman" w:eastAsia="宋体" w:cs="Times New Roman"/>
                      <w:sz w:val="18"/>
                      <w:szCs w:val="18"/>
                      <w:highlight w:val="none"/>
                    </w:rPr>
                  </w:pPr>
                  <w:r>
                    <w:rPr>
                      <w:rFonts w:hint="eastAsia" w:ascii="Times New Roman" w:hAnsi="Times New Roman" w:eastAsia="宋体" w:cs="Times New Roman"/>
                      <w:sz w:val="18"/>
                      <w:szCs w:val="18"/>
                      <w:highlight w:val="none"/>
                      <w:lang w:val="en-US" w:eastAsia="zh-CN"/>
                    </w:rPr>
                    <w:t>项目完成检测后产生废弃样本材料、废培养基约为</w:t>
                  </w:r>
                  <w:r>
                    <w:rPr>
                      <w:rFonts w:hint="default" w:ascii="Times New Roman" w:hAnsi="Times New Roman" w:eastAsia="宋体" w:cs="Times New Roman"/>
                      <w:sz w:val="18"/>
                      <w:szCs w:val="18"/>
                      <w:highlight w:val="none"/>
                      <w:lang w:val="en-US" w:eastAsia="zh-CN"/>
                    </w:rPr>
                    <w:t>1t/a</w:t>
                  </w:r>
                  <w:r>
                    <w:rPr>
                      <w:rFonts w:hint="eastAsia" w:ascii="Times New Roman" w:hAnsi="Times New Roman" w:eastAsia="宋体" w:cs="Times New Roman"/>
                      <w:sz w:val="18"/>
                      <w:szCs w:val="18"/>
                      <w:highlight w:val="none"/>
                      <w:lang w:val="en-US" w:eastAsia="zh-CN"/>
                    </w:rPr>
                    <w:t>。废样本、废培养基经高压蒸汽灭菌锅消毒灭菌后收集暂存于危废间，委托有资质的单位处置。</w:t>
                  </w:r>
                </w:p>
              </w:tc>
            </w:tr>
            <w:tr w14:paraId="302BEBF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0" w:hRule="atLeast"/>
                <w:jc w:val="center"/>
              </w:trPr>
              <w:tc>
                <w:tcPr>
                  <w:tcW w:w="365" w:type="dxa"/>
                  <w:tcBorders>
                    <w:top w:val="single" w:color="auto" w:sz="4" w:space="0"/>
                    <w:left w:val="single" w:color="auto" w:sz="4" w:space="0"/>
                    <w:bottom w:val="single" w:color="auto" w:sz="4" w:space="0"/>
                    <w:right w:val="single" w:color="auto" w:sz="4" w:space="0"/>
                  </w:tcBorders>
                  <w:shd w:val="clear" w:color="auto" w:fill="auto"/>
                  <w:vAlign w:val="center"/>
                </w:tcPr>
                <w:p w14:paraId="720A3E36">
                  <w:pPr>
                    <w:keepNext w:val="0"/>
                    <w:keepLines w:val="0"/>
                    <w:pageBreakBefore w:val="0"/>
                    <w:suppressLineNumbers w:val="0"/>
                    <w:kinsoku/>
                    <w:wordWrap/>
                    <w:overflowPunct/>
                    <w:topLinePunct w:val="0"/>
                    <w:autoSpaceDE/>
                    <w:autoSpaceDN/>
                    <w:bidi w:val="0"/>
                    <w:adjustRightInd w:val="0"/>
                    <w:snapToGrid w:val="0"/>
                    <w:spacing w:before="0" w:beforeAutospacing="0" w:after="0" w:afterAutospacing="0" w:line="264" w:lineRule="auto"/>
                    <w:ind w:left="0" w:leftChars="0" w:right="0" w:rightChars="0"/>
                    <w:jc w:val="center"/>
                    <w:textAlignment w:val="auto"/>
                    <w:rPr>
                      <w:rFonts w:hint="default" w:ascii="Times New Roman" w:hAnsi="Times New Roman" w:eastAsia="宋体" w:cs="Times New Roman"/>
                      <w:kern w:val="2"/>
                      <w:sz w:val="18"/>
                      <w:szCs w:val="18"/>
                      <w:highlight w:val="none"/>
                      <w:lang w:val="en-US" w:eastAsia="zh-CN" w:bidi="ar-SA"/>
                    </w:rPr>
                  </w:pPr>
                  <w:r>
                    <w:rPr>
                      <w:rFonts w:hint="eastAsia" w:ascii="Times New Roman" w:hAnsi="Times New Roman" w:eastAsia="宋体" w:cs="Times New Roman"/>
                      <w:sz w:val="18"/>
                      <w:szCs w:val="18"/>
                      <w:highlight w:val="none"/>
                      <w:lang w:val="en-US" w:eastAsia="zh-CN"/>
                    </w:rPr>
                    <w:t>14</w:t>
                  </w:r>
                </w:p>
              </w:tc>
              <w:tc>
                <w:tcPr>
                  <w:tcW w:w="930" w:type="dxa"/>
                  <w:tcBorders>
                    <w:top w:val="single" w:color="auto" w:sz="4" w:space="0"/>
                    <w:left w:val="single" w:color="auto" w:sz="4" w:space="0"/>
                    <w:bottom w:val="single" w:color="auto" w:sz="4" w:space="0"/>
                    <w:right w:val="single" w:color="auto" w:sz="4" w:space="0"/>
                  </w:tcBorders>
                  <w:shd w:val="clear" w:color="auto" w:fill="auto"/>
                  <w:vAlign w:val="center"/>
                </w:tcPr>
                <w:p w14:paraId="30A2D652">
                  <w:pPr>
                    <w:pStyle w:val="129"/>
                    <w:keepNext w:val="0"/>
                    <w:keepLines w:val="0"/>
                    <w:suppressLineNumbers w:val="0"/>
                    <w:spacing w:before="0" w:beforeAutospacing="0" w:after="0" w:afterAutospacing="0"/>
                    <w:ind w:left="0" w:right="0"/>
                    <w:rPr>
                      <w:rFonts w:hint="default" w:ascii="Times New Roman" w:hAnsi="Times New Roman" w:eastAsia="宋体" w:cs="Times New Roman"/>
                      <w:color w:val="auto"/>
                      <w:kern w:val="0"/>
                      <w:sz w:val="18"/>
                      <w:szCs w:val="18"/>
                      <w:highlight w:val="none"/>
                      <w:lang w:val="en-US" w:eastAsia="zh-CN" w:bidi="ar-SA"/>
                    </w:rPr>
                  </w:pPr>
                  <w:r>
                    <w:rPr>
                      <w:rFonts w:hint="eastAsia" w:ascii="Times New Roman" w:hAnsi="Times New Roman" w:eastAsia="宋体" w:cs="Times New Roman"/>
                      <w:color w:val="auto"/>
                      <w:sz w:val="18"/>
                      <w:szCs w:val="18"/>
                      <w:highlight w:val="none"/>
                    </w:rPr>
                    <w:t>生物柜废</w:t>
                  </w:r>
                  <w:r>
                    <w:rPr>
                      <w:rFonts w:hint="default" w:ascii="Times New Roman" w:hAnsi="Times New Roman" w:eastAsia="宋体" w:cs="Times New Roman"/>
                      <w:color w:val="auto"/>
                      <w:sz w:val="18"/>
                      <w:szCs w:val="18"/>
                      <w:highlight w:val="none"/>
                    </w:rPr>
                    <w:t>过滤器</w:t>
                  </w:r>
                </w:p>
              </w:tc>
              <w:tc>
                <w:tcPr>
                  <w:tcW w:w="675" w:type="dxa"/>
                  <w:tcBorders>
                    <w:top w:val="single" w:color="auto" w:sz="4" w:space="0"/>
                    <w:left w:val="single" w:color="auto" w:sz="4" w:space="0"/>
                    <w:bottom w:val="single" w:color="auto" w:sz="4" w:space="0"/>
                    <w:right w:val="single" w:color="auto" w:sz="4" w:space="0"/>
                  </w:tcBorders>
                  <w:vAlign w:val="center"/>
                </w:tcPr>
                <w:p w14:paraId="053D4544">
                  <w:pPr>
                    <w:keepNext w:val="0"/>
                    <w:keepLines w:val="0"/>
                    <w:pageBreakBefore w:val="0"/>
                    <w:suppressLineNumbers w:val="0"/>
                    <w:kinsoku/>
                    <w:wordWrap/>
                    <w:overflowPunct/>
                    <w:topLinePunct w:val="0"/>
                    <w:autoSpaceDE/>
                    <w:autoSpaceDN/>
                    <w:bidi w:val="0"/>
                    <w:adjustRightInd w:val="0"/>
                    <w:snapToGrid w:val="0"/>
                    <w:spacing w:before="0" w:beforeAutospacing="0" w:after="0" w:afterAutospacing="0" w:line="264" w:lineRule="auto"/>
                    <w:ind w:left="0" w:right="0"/>
                    <w:jc w:val="center"/>
                    <w:textAlignment w:val="auto"/>
                    <w:rPr>
                      <w:rFonts w:hint="default" w:ascii="Times New Roman" w:hAnsi="Times New Roman" w:eastAsia="宋体" w:cs="Times New Roman"/>
                      <w:sz w:val="18"/>
                      <w:szCs w:val="18"/>
                      <w:highlight w:val="none"/>
                    </w:rPr>
                  </w:pPr>
                  <w:r>
                    <w:rPr>
                      <w:rFonts w:hint="eastAsia" w:ascii="Times New Roman" w:hAnsi="Times New Roman" w:eastAsia="宋体" w:cs="Times New Roman"/>
                      <w:color w:val="auto"/>
                      <w:sz w:val="18"/>
                      <w:szCs w:val="18"/>
                      <w:highlight w:val="none"/>
                    </w:rPr>
                    <w:t>生物</w:t>
                  </w:r>
                  <w:r>
                    <w:rPr>
                      <w:rFonts w:hint="default" w:ascii="Times New Roman" w:hAnsi="Times New Roman" w:eastAsia="宋体" w:cs="Times New Roman"/>
                      <w:color w:val="auto"/>
                      <w:sz w:val="18"/>
                      <w:szCs w:val="18"/>
                      <w:highlight w:val="none"/>
                    </w:rPr>
                    <w:t>安全柜</w:t>
                  </w:r>
                </w:p>
              </w:tc>
              <w:tc>
                <w:tcPr>
                  <w:tcW w:w="615" w:type="dxa"/>
                  <w:tcBorders>
                    <w:top w:val="single" w:color="auto" w:sz="4" w:space="0"/>
                    <w:left w:val="single" w:color="auto" w:sz="4" w:space="0"/>
                    <w:bottom w:val="single" w:color="auto" w:sz="4" w:space="0"/>
                    <w:right w:val="single" w:color="auto" w:sz="4" w:space="0"/>
                  </w:tcBorders>
                  <w:vAlign w:val="center"/>
                </w:tcPr>
                <w:p w14:paraId="4F64BA8C">
                  <w:pPr>
                    <w:keepNext w:val="0"/>
                    <w:keepLines w:val="0"/>
                    <w:pageBreakBefore w:val="0"/>
                    <w:suppressLineNumbers w:val="0"/>
                    <w:kinsoku/>
                    <w:wordWrap/>
                    <w:overflowPunct/>
                    <w:topLinePunct w:val="0"/>
                    <w:autoSpaceDE/>
                    <w:autoSpaceDN/>
                    <w:bidi w:val="0"/>
                    <w:adjustRightInd w:val="0"/>
                    <w:snapToGrid w:val="0"/>
                    <w:spacing w:before="0" w:beforeAutospacing="0" w:after="0" w:afterAutospacing="0" w:line="264" w:lineRule="auto"/>
                    <w:ind w:left="0" w:right="0"/>
                    <w:jc w:val="center"/>
                    <w:textAlignment w:val="auto"/>
                    <w:rPr>
                      <w:rFonts w:hint="eastAsia" w:ascii="Times New Roman" w:hAnsi="Times New Roman" w:eastAsia="宋体" w:cs="Times New Roman"/>
                      <w:sz w:val="18"/>
                      <w:szCs w:val="18"/>
                      <w:highlight w:val="none"/>
                      <w:lang w:eastAsia="zh-CN"/>
                    </w:rPr>
                  </w:pPr>
                  <w:r>
                    <w:rPr>
                      <w:rFonts w:hint="eastAsia" w:ascii="Times New Roman" w:hAnsi="Times New Roman" w:eastAsia="宋体" w:cs="Times New Roman"/>
                      <w:sz w:val="18"/>
                      <w:szCs w:val="18"/>
                      <w:highlight w:val="none"/>
                      <w:lang w:val="en-US" w:eastAsia="zh-CN"/>
                    </w:rPr>
                    <w:t>1</w:t>
                  </w:r>
                </w:p>
              </w:tc>
              <w:tc>
                <w:tcPr>
                  <w:tcW w:w="5673" w:type="dxa"/>
                  <w:tcBorders>
                    <w:top w:val="single" w:color="auto" w:sz="4" w:space="0"/>
                    <w:left w:val="single" w:color="auto" w:sz="4" w:space="0"/>
                    <w:bottom w:val="single" w:color="auto" w:sz="4" w:space="0"/>
                    <w:right w:val="single" w:color="auto" w:sz="4" w:space="0"/>
                  </w:tcBorders>
                  <w:vAlign w:val="center"/>
                </w:tcPr>
                <w:p w14:paraId="499D035D">
                  <w:pPr>
                    <w:keepNext w:val="0"/>
                    <w:keepLines w:val="0"/>
                    <w:pageBreakBefore w:val="0"/>
                    <w:suppressLineNumbers w:val="0"/>
                    <w:kinsoku/>
                    <w:wordWrap/>
                    <w:overflowPunct/>
                    <w:topLinePunct w:val="0"/>
                    <w:autoSpaceDE/>
                    <w:autoSpaceDN/>
                    <w:bidi w:val="0"/>
                    <w:adjustRightInd w:val="0"/>
                    <w:snapToGrid w:val="0"/>
                    <w:spacing w:before="0" w:beforeAutospacing="0" w:after="0" w:afterAutospacing="0" w:line="264" w:lineRule="auto"/>
                    <w:ind w:left="0" w:right="0"/>
                    <w:textAlignment w:val="auto"/>
                    <w:rPr>
                      <w:rFonts w:hint="eastAsia" w:ascii="Times New Roman" w:hAnsi="Times New Roman" w:eastAsia="宋体" w:cs="Times New Roman"/>
                      <w:sz w:val="18"/>
                      <w:szCs w:val="18"/>
                      <w:highlight w:val="none"/>
                    </w:rPr>
                  </w:pPr>
                  <w:r>
                    <w:rPr>
                      <w:rFonts w:hint="eastAsia" w:ascii="Times New Roman" w:hAnsi="Times New Roman" w:eastAsia="宋体" w:cs="Times New Roman"/>
                      <w:sz w:val="18"/>
                      <w:szCs w:val="18"/>
                      <w:highlight w:val="none"/>
                    </w:rPr>
                    <w:t>项目设置有生物安全柜，其运行过程中会定期更换过滤器，类比同类实验室运行经验，生物安全柜过滤器通常每年更换一次，更换产生的废过滤器量约为1t/a。</w:t>
                  </w:r>
                </w:p>
              </w:tc>
            </w:tr>
            <w:tr w14:paraId="1F54886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0" w:hRule="atLeast"/>
                <w:jc w:val="center"/>
              </w:trPr>
              <w:tc>
                <w:tcPr>
                  <w:tcW w:w="365" w:type="dxa"/>
                  <w:tcBorders>
                    <w:top w:val="single" w:color="auto" w:sz="4" w:space="0"/>
                    <w:left w:val="single" w:color="auto" w:sz="4" w:space="0"/>
                    <w:bottom w:val="single" w:color="auto" w:sz="4" w:space="0"/>
                    <w:right w:val="single" w:color="auto" w:sz="4" w:space="0"/>
                  </w:tcBorders>
                  <w:shd w:val="clear" w:color="auto" w:fill="auto"/>
                  <w:vAlign w:val="center"/>
                </w:tcPr>
                <w:p w14:paraId="461A3957">
                  <w:pPr>
                    <w:keepNext w:val="0"/>
                    <w:keepLines w:val="0"/>
                    <w:pageBreakBefore w:val="0"/>
                    <w:suppressLineNumbers w:val="0"/>
                    <w:kinsoku/>
                    <w:wordWrap/>
                    <w:overflowPunct/>
                    <w:topLinePunct w:val="0"/>
                    <w:autoSpaceDE/>
                    <w:autoSpaceDN/>
                    <w:bidi w:val="0"/>
                    <w:adjustRightInd w:val="0"/>
                    <w:snapToGrid w:val="0"/>
                    <w:spacing w:before="0" w:beforeAutospacing="0" w:after="0" w:afterAutospacing="0" w:line="264" w:lineRule="auto"/>
                    <w:ind w:left="0" w:leftChars="0" w:right="0" w:rightChars="0"/>
                    <w:jc w:val="center"/>
                    <w:textAlignment w:val="auto"/>
                    <w:rPr>
                      <w:rFonts w:hint="default" w:ascii="Times New Roman" w:hAnsi="Times New Roman" w:eastAsia="宋体" w:cs="Times New Roman"/>
                      <w:kern w:val="2"/>
                      <w:sz w:val="18"/>
                      <w:szCs w:val="18"/>
                      <w:highlight w:val="none"/>
                      <w:lang w:val="en-US" w:eastAsia="zh-CN" w:bidi="ar-SA"/>
                    </w:rPr>
                  </w:pPr>
                  <w:r>
                    <w:rPr>
                      <w:rFonts w:hint="eastAsia" w:ascii="Times New Roman" w:hAnsi="Times New Roman" w:eastAsia="宋体" w:cs="Times New Roman"/>
                      <w:sz w:val="18"/>
                      <w:szCs w:val="18"/>
                      <w:highlight w:val="none"/>
                      <w:lang w:val="en-US" w:eastAsia="zh-CN"/>
                    </w:rPr>
                    <w:t>15</w:t>
                  </w:r>
                </w:p>
              </w:tc>
              <w:tc>
                <w:tcPr>
                  <w:tcW w:w="930" w:type="dxa"/>
                  <w:tcBorders>
                    <w:top w:val="single" w:color="auto" w:sz="4" w:space="0"/>
                    <w:left w:val="single" w:color="auto" w:sz="4" w:space="0"/>
                    <w:bottom w:val="single" w:color="auto" w:sz="4" w:space="0"/>
                    <w:right w:val="single" w:color="auto" w:sz="4" w:space="0"/>
                  </w:tcBorders>
                  <w:shd w:val="clear" w:color="auto" w:fill="auto"/>
                  <w:vAlign w:val="center"/>
                </w:tcPr>
                <w:p w14:paraId="3DB52227">
                  <w:pPr>
                    <w:pStyle w:val="129"/>
                    <w:keepNext w:val="0"/>
                    <w:keepLines w:val="0"/>
                    <w:suppressLineNumbers w:val="0"/>
                    <w:spacing w:before="0" w:beforeAutospacing="0" w:after="0" w:afterAutospacing="0"/>
                    <w:ind w:left="0" w:right="0"/>
                    <w:rPr>
                      <w:rFonts w:hint="default" w:ascii="Times New Roman" w:hAnsi="Times New Roman" w:eastAsia="宋体" w:cs="Times New Roman"/>
                      <w:color w:val="auto"/>
                      <w:kern w:val="0"/>
                      <w:sz w:val="18"/>
                      <w:szCs w:val="18"/>
                      <w:highlight w:val="none"/>
                      <w:lang w:val="en-US" w:eastAsia="zh-CN" w:bidi="ar-SA"/>
                    </w:rPr>
                  </w:pPr>
                  <w:r>
                    <w:rPr>
                      <w:rFonts w:hint="default" w:ascii="Times New Roman" w:hAnsi="Times New Roman" w:eastAsia="宋体" w:cs="Times New Roman"/>
                      <w:color w:val="auto"/>
                      <w:sz w:val="18"/>
                      <w:szCs w:val="18"/>
                      <w:highlight w:val="none"/>
                    </w:rPr>
                    <w:t>废活性炭</w:t>
                  </w:r>
                </w:p>
              </w:tc>
              <w:tc>
                <w:tcPr>
                  <w:tcW w:w="675" w:type="dxa"/>
                  <w:tcBorders>
                    <w:top w:val="single" w:color="auto" w:sz="4" w:space="0"/>
                    <w:left w:val="single" w:color="auto" w:sz="4" w:space="0"/>
                    <w:bottom w:val="single" w:color="auto" w:sz="4" w:space="0"/>
                    <w:right w:val="single" w:color="auto" w:sz="4" w:space="0"/>
                  </w:tcBorders>
                  <w:vAlign w:val="center"/>
                </w:tcPr>
                <w:p w14:paraId="5DA28E52">
                  <w:pPr>
                    <w:keepNext w:val="0"/>
                    <w:keepLines w:val="0"/>
                    <w:pageBreakBefore w:val="0"/>
                    <w:suppressLineNumbers w:val="0"/>
                    <w:kinsoku/>
                    <w:wordWrap/>
                    <w:overflowPunct/>
                    <w:topLinePunct w:val="0"/>
                    <w:autoSpaceDE/>
                    <w:autoSpaceDN/>
                    <w:bidi w:val="0"/>
                    <w:adjustRightInd w:val="0"/>
                    <w:snapToGrid w:val="0"/>
                    <w:spacing w:before="0" w:beforeAutospacing="0" w:after="0" w:afterAutospacing="0" w:line="264" w:lineRule="auto"/>
                    <w:ind w:left="0" w:right="0"/>
                    <w:jc w:val="center"/>
                    <w:textAlignment w:val="auto"/>
                    <w:rPr>
                      <w:rFonts w:hint="eastAsia" w:ascii="Times New Roman" w:hAnsi="Times New Roman" w:eastAsia="宋体" w:cs="Times New Roman"/>
                      <w:sz w:val="18"/>
                      <w:szCs w:val="18"/>
                      <w:highlight w:val="none"/>
                      <w:lang w:val="en-US" w:eastAsia="zh-CN"/>
                    </w:rPr>
                  </w:pPr>
                  <w:r>
                    <w:rPr>
                      <w:rFonts w:hint="default" w:ascii="Times New Roman" w:hAnsi="Times New Roman" w:eastAsia="宋体" w:cs="Times New Roman"/>
                      <w:color w:val="auto"/>
                      <w:sz w:val="18"/>
                      <w:szCs w:val="18"/>
                      <w:highlight w:val="none"/>
                    </w:rPr>
                    <w:t>废气治理</w:t>
                  </w:r>
                </w:p>
              </w:tc>
              <w:tc>
                <w:tcPr>
                  <w:tcW w:w="615" w:type="dxa"/>
                  <w:tcBorders>
                    <w:top w:val="single" w:color="auto" w:sz="4" w:space="0"/>
                    <w:left w:val="single" w:color="auto" w:sz="4" w:space="0"/>
                    <w:bottom w:val="single" w:color="auto" w:sz="4" w:space="0"/>
                    <w:right w:val="single" w:color="auto" w:sz="4" w:space="0"/>
                  </w:tcBorders>
                  <w:vAlign w:val="center"/>
                </w:tcPr>
                <w:p w14:paraId="147B7B29">
                  <w:pPr>
                    <w:keepNext w:val="0"/>
                    <w:keepLines w:val="0"/>
                    <w:pageBreakBefore w:val="0"/>
                    <w:suppressLineNumbers w:val="0"/>
                    <w:kinsoku/>
                    <w:wordWrap/>
                    <w:overflowPunct/>
                    <w:topLinePunct w:val="0"/>
                    <w:autoSpaceDE/>
                    <w:autoSpaceDN/>
                    <w:bidi w:val="0"/>
                    <w:adjustRightInd w:val="0"/>
                    <w:snapToGrid w:val="0"/>
                    <w:spacing w:before="0" w:beforeAutospacing="0" w:after="0" w:afterAutospacing="0" w:line="264" w:lineRule="auto"/>
                    <w:ind w:left="0" w:right="0"/>
                    <w:jc w:val="center"/>
                    <w:textAlignment w:val="auto"/>
                    <w:rPr>
                      <w:rFonts w:hint="default" w:ascii="Times New Roman" w:hAnsi="Times New Roman" w:eastAsia="宋体" w:cs="Times New Roman"/>
                      <w:sz w:val="18"/>
                      <w:szCs w:val="18"/>
                      <w:highlight w:val="none"/>
                      <w:lang w:val="en-US" w:eastAsia="zh-CN"/>
                    </w:rPr>
                  </w:pPr>
                  <w:r>
                    <w:rPr>
                      <w:rFonts w:hint="eastAsia" w:cs="Times New Roman"/>
                      <w:sz w:val="18"/>
                      <w:szCs w:val="18"/>
                      <w:highlight w:val="none"/>
                      <w:lang w:val="en-US" w:eastAsia="zh-CN"/>
                    </w:rPr>
                    <w:t>46</w:t>
                  </w:r>
                </w:p>
              </w:tc>
              <w:tc>
                <w:tcPr>
                  <w:tcW w:w="5673" w:type="dxa"/>
                  <w:tcBorders>
                    <w:top w:val="single" w:color="auto" w:sz="4" w:space="0"/>
                    <w:left w:val="single" w:color="auto" w:sz="4" w:space="0"/>
                    <w:bottom w:val="single" w:color="auto" w:sz="4" w:space="0"/>
                    <w:right w:val="single" w:color="auto" w:sz="4" w:space="0"/>
                  </w:tcBorders>
                  <w:vAlign w:val="center"/>
                </w:tcPr>
                <w:p w14:paraId="22700335">
                  <w:pPr>
                    <w:keepNext w:val="0"/>
                    <w:keepLines w:val="0"/>
                    <w:pageBreakBefore w:val="0"/>
                    <w:suppressLineNumbers w:val="0"/>
                    <w:kinsoku/>
                    <w:wordWrap/>
                    <w:overflowPunct/>
                    <w:topLinePunct w:val="0"/>
                    <w:autoSpaceDE/>
                    <w:autoSpaceDN/>
                    <w:bidi w:val="0"/>
                    <w:adjustRightInd w:val="0"/>
                    <w:snapToGrid w:val="0"/>
                    <w:spacing w:before="0" w:beforeAutospacing="0" w:after="0" w:afterAutospacing="0" w:line="264" w:lineRule="auto"/>
                    <w:ind w:left="0" w:right="0"/>
                    <w:textAlignment w:val="auto"/>
                    <w:rPr>
                      <w:rFonts w:hint="default" w:ascii="Times New Roman" w:hAnsi="Times New Roman" w:eastAsia="宋体" w:cs="Times New Roman"/>
                      <w:sz w:val="18"/>
                      <w:szCs w:val="18"/>
                      <w:highlight w:val="none"/>
                    </w:rPr>
                  </w:pPr>
                  <w:r>
                    <w:rPr>
                      <w:rFonts w:hint="eastAsia" w:ascii="Times New Roman" w:hAnsi="Times New Roman" w:eastAsia="宋体" w:cs="Times New Roman"/>
                      <w:sz w:val="18"/>
                      <w:szCs w:val="18"/>
                      <w:highlight w:val="none"/>
                    </w:rPr>
                    <w:t>本</w:t>
                  </w:r>
                  <w:r>
                    <w:rPr>
                      <w:rFonts w:hint="default" w:ascii="Times New Roman" w:hAnsi="Times New Roman" w:eastAsia="宋体" w:cs="Times New Roman"/>
                      <w:sz w:val="18"/>
                      <w:szCs w:val="18"/>
                      <w:highlight w:val="none"/>
                    </w:rPr>
                    <w:t>项目共</w:t>
                  </w:r>
                  <w:r>
                    <w:rPr>
                      <w:rFonts w:hint="eastAsia" w:ascii="Times New Roman" w:hAnsi="Times New Roman" w:eastAsia="宋体" w:cs="Times New Roman"/>
                      <w:sz w:val="18"/>
                      <w:szCs w:val="18"/>
                      <w:highlight w:val="none"/>
                    </w:rPr>
                    <w:t>设置</w:t>
                  </w:r>
                  <w:r>
                    <w:rPr>
                      <w:rFonts w:hint="eastAsia" w:ascii="Times New Roman" w:hAnsi="Times New Roman" w:eastAsia="宋体" w:cs="Times New Roman"/>
                      <w:sz w:val="18"/>
                      <w:szCs w:val="18"/>
                      <w:highlight w:val="none"/>
                      <w:lang w:val="en-US" w:eastAsia="zh-CN"/>
                    </w:rPr>
                    <w:t>14</w:t>
                  </w:r>
                  <w:r>
                    <w:rPr>
                      <w:rFonts w:hint="eastAsia" w:ascii="Times New Roman" w:hAnsi="Times New Roman" w:eastAsia="宋体" w:cs="Times New Roman"/>
                      <w:sz w:val="18"/>
                      <w:szCs w:val="18"/>
                      <w:highlight w:val="none"/>
                    </w:rPr>
                    <w:t>套活性炭</w:t>
                  </w:r>
                  <w:r>
                    <w:rPr>
                      <w:rFonts w:hint="default" w:ascii="Times New Roman" w:hAnsi="Times New Roman" w:eastAsia="宋体" w:cs="Times New Roman"/>
                      <w:sz w:val="18"/>
                      <w:szCs w:val="18"/>
                      <w:highlight w:val="none"/>
                    </w:rPr>
                    <w:t>吸附装置，</w:t>
                  </w:r>
                  <w:r>
                    <w:rPr>
                      <w:rFonts w:hint="eastAsia" w:ascii="Times New Roman" w:hAnsi="Times New Roman" w:eastAsia="宋体" w:cs="Times New Roman"/>
                      <w:color w:val="auto"/>
                      <w:kern w:val="2"/>
                      <w:sz w:val="18"/>
                      <w:szCs w:val="18"/>
                      <w:highlight w:val="none"/>
                      <w:lang w:val="en-US" w:eastAsia="zh-CN" w:bidi="ar-SA"/>
                    </w:rPr>
                    <w:t>根据《浙江省分散吸附-集中再生活性炭法挥发性有机物治理体系建设技术指南（试行）》，这14套</w:t>
                  </w:r>
                  <w:r>
                    <w:rPr>
                      <w:rFonts w:hint="eastAsia" w:ascii="Times New Roman" w:hAnsi="Times New Roman" w:eastAsia="宋体" w:cs="Times New Roman"/>
                      <w:sz w:val="18"/>
                      <w:szCs w:val="18"/>
                      <w:highlight w:val="none"/>
                    </w:rPr>
                    <w:t>活性炭</w:t>
                  </w:r>
                  <w:r>
                    <w:rPr>
                      <w:rFonts w:hint="default" w:ascii="Times New Roman" w:hAnsi="Times New Roman" w:eastAsia="宋体" w:cs="Times New Roman"/>
                      <w:sz w:val="18"/>
                      <w:szCs w:val="18"/>
                      <w:highlight w:val="none"/>
                    </w:rPr>
                    <w:t>吸附装置</w:t>
                  </w:r>
                  <w:r>
                    <w:rPr>
                      <w:rFonts w:hint="eastAsia" w:ascii="Times New Roman" w:hAnsi="Times New Roman" w:eastAsia="宋体" w:cs="Times New Roman"/>
                      <w:sz w:val="18"/>
                      <w:szCs w:val="18"/>
                      <w:highlight w:val="none"/>
                      <w:lang w:val="en-US" w:eastAsia="zh-CN"/>
                    </w:rPr>
                    <w:t>总填装量为23t，</w:t>
                  </w:r>
                  <w:r>
                    <w:rPr>
                      <w:rFonts w:hint="eastAsia" w:ascii="Times New Roman" w:hAnsi="Times New Roman" w:eastAsia="宋体" w:cs="Times New Roman"/>
                      <w:color w:val="auto"/>
                      <w:kern w:val="2"/>
                      <w:sz w:val="18"/>
                      <w:szCs w:val="18"/>
                      <w:highlight w:val="none"/>
                      <w:lang w:val="en-US" w:eastAsia="zh-CN" w:bidi="ar-SA"/>
                    </w:rPr>
                    <w:t>因项目有机废气初始浓度较低，则活性炭更换频次按</w:t>
                  </w:r>
                  <w:r>
                    <w:rPr>
                      <w:rFonts w:hint="eastAsia" w:cs="Times New Roman"/>
                      <w:color w:val="auto"/>
                      <w:kern w:val="2"/>
                      <w:sz w:val="18"/>
                      <w:szCs w:val="18"/>
                      <w:highlight w:val="none"/>
                      <w:lang w:val="en-US" w:eastAsia="zh-CN" w:bidi="ar-SA"/>
                    </w:rPr>
                    <w:t>半</w:t>
                  </w:r>
                  <w:r>
                    <w:rPr>
                      <w:rFonts w:hint="eastAsia" w:ascii="Times New Roman" w:hAnsi="Times New Roman" w:eastAsia="宋体" w:cs="Times New Roman"/>
                      <w:color w:val="auto"/>
                      <w:kern w:val="2"/>
                      <w:sz w:val="18"/>
                      <w:szCs w:val="18"/>
                      <w:highlight w:val="none"/>
                      <w:lang w:val="en-US" w:eastAsia="zh-CN" w:bidi="ar-SA"/>
                    </w:rPr>
                    <w:t>年一次计，则废活性炭产生量约</w:t>
                  </w:r>
                  <w:r>
                    <w:rPr>
                      <w:rFonts w:hint="eastAsia" w:cs="Times New Roman"/>
                      <w:color w:val="auto"/>
                      <w:kern w:val="2"/>
                      <w:sz w:val="18"/>
                      <w:szCs w:val="18"/>
                      <w:highlight w:val="none"/>
                      <w:lang w:val="en-US" w:eastAsia="zh-CN" w:bidi="ar-SA"/>
                    </w:rPr>
                    <w:t>46</w:t>
                  </w:r>
                  <w:r>
                    <w:rPr>
                      <w:rFonts w:hint="eastAsia" w:ascii="Times New Roman" w:hAnsi="Times New Roman" w:eastAsia="宋体" w:cs="Times New Roman"/>
                      <w:color w:val="auto"/>
                      <w:kern w:val="2"/>
                      <w:sz w:val="18"/>
                      <w:szCs w:val="18"/>
                      <w:highlight w:val="none"/>
                      <w:lang w:val="en-US" w:eastAsia="zh-CN" w:bidi="ar-SA"/>
                    </w:rPr>
                    <w:t>t/a。</w:t>
                  </w:r>
                </w:p>
              </w:tc>
            </w:tr>
            <w:tr w14:paraId="1C8C13E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0" w:hRule="atLeast"/>
                <w:jc w:val="center"/>
              </w:trPr>
              <w:tc>
                <w:tcPr>
                  <w:tcW w:w="365" w:type="dxa"/>
                  <w:tcBorders>
                    <w:top w:val="single" w:color="auto" w:sz="4" w:space="0"/>
                    <w:left w:val="single" w:color="auto" w:sz="4" w:space="0"/>
                    <w:bottom w:val="single" w:color="auto" w:sz="4" w:space="0"/>
                    <w:right w:val="single" w:color="auto" w:sz="4" w:space="0"/>
                  </w:tcBorders>
                  <w:shd w:val="clear" w:color="auto" w:fill="auto"/>
                  <w:vAlign w:val="center"/>
                </w:tcPr>
                <w:p w14:paraId="35BB3012">
                  <w:pPr>
                    <w:keepNext w:val="0"/>
                    <w:keepLines w:val="0"/>
                    <w:pageBreakBefore w:val="0"/>
                    <w:suppressLineNumbers w:val="0"/>
                    <w:kinsoku/>
                    <w:wordWrap/>
                    <w:overflowPunct/>
                    <w:topLinePunct w:val="0"/>
                    <w:autoSpaceDE/>
                    <w:autoSpaceDN/>
                    <w:bidi w:val="0"/>
                    <w:adjustRightInd w:val="0"/>
                    <w:snapToGrid w:val="0"/>
                    <w:spacing w:before="0" w:beforeAutospacing="0" w:after="0" w:afterAutospacing="0" w:line="264" w:lineRule="auto"/>
                    <w:ind w:left="0" w:leftChars="0" w:right="0" w:rightChars="0"/>
                    <w:jc w:val="center"/>
                    <w:textAlignment w:val="auto"/>
                    <w:rPr>
                      <w:rFonts w:hint="eastAsia" w:ascii="Times New Roman" w:hAnsi="Times New Roman" w:eastAsia="宋体" w:cs="Times New Roman"/>
                      <w:kern w:val="2"/>
                      <w:sz w:val="18"/>
                      <w:szCs w:val="18"/>
                      <w:highlight w:val="none"/>
                      <w:lang w:val="en-US" w:eastAsia="zh-CN" w:bidi="ar-SA"/>
                    </w:rPr>
                  </w:pPr>
                  <w:r>
                    <w:rPr>
                      <w:rFonts w:hint="eastAsia" w:ascii="Times New Roman" w:hAnsi="Times New Roman" w:eastAsia="宋体" w:cs="Times New Roman"/>
                      <w:sz w:val="18"/>
                      <w:szCs w:val="18"/>
                      <w:highlight w:val="none"/>
                      <w:lang w:val="en-US" w:eastAsia="zh-CN"/>
                    </w:rPr>
                    <w:t>16</w:t>
                  </w:r>
                </w:p>
              </w:tc>
              <w:tc>
                <w:tcPr>
                  <w:tcW w:w="930" w:type="dxa"/>
                  <w:tcBorders>
                    <w:top w:val="single" w:color="auto" w:sz="4" w:space="0"/>
                    <w:left w:val="single" w:color="auto" w:sz="4" w:space="0"/>
                    <w:bottom w:val="single" w:color="auto" w:sz="4" w:space="0"/>
                    <w:right w:val="single" w:color="auto" w:sz="4" w:space="0"/>
                  </w:tcBorders>
                  <w:shd w:val="clear" w:color="auto" w:fill="auto"/>
                  <w:vAlign w:val="center"/>
                </w:tcPr>
                <w:p w14:paraId="7AA4211E">
                  <w:pPr>
                    <w:pStyle w:val="129"/>
                    <w:keepNext w:val="0"/>
                    <w:keepLines w:val="0"/>
                    <w:suppressLineNumbers w:val="0"/>
                    <w:spacing w:before="0" w:beforeAutospacing="0" w:after="0" w:afterAutospacing="0"/>
                    <w:ind w:left="0" w:right="0"/>
                    <w:rPr>
                      <w:rFonts w:hint="default" w:ascii="Times New Roman" w:hAnsi="Times New Roman" w:eastAsia="宋体" w:cs="Times New Roman"/>
                      <w:color w:val="auto"/>
                      <w:sz w:val="18"/>
                      <w:szCs w:val="18"/>
                      <w:highlight w:val="none"/>
                      <w:lang w:val="en-US" w:eastAsia="zh-CN"/>
                    </w:rPr>
                  </w:pPr>
                  <w:r>
                    <w:rPr>
                      <w:rFonts w:hint="eastAsia" w:cs="Times New Roman"/>
                      <w:color w:val="auto"/>
                      <w:sz w:val="18"/>
                      <w:szCs w:val="18"/>
                      <w:highlight w:val="none"/>
                      <w:lang w:val="en-US" w:eastAsia="zh-CN"/>
                    </w:rPr>
                    <w:t>废催化剂</w:t>
                  </w:r>
                </w:p>
              </w:tc>
              <w:tc>
                <w:tcPr>
                  <w:tcW w:w="675" w:type="dxa"/>
                  <w:tcBorders>
                    <w:top w:val="single" w:color="auto" w:sz="4" w:space="0"/>
                    <w:left w:val="single" w:color="auto" w:sz="4" w:space="0"/>
                    <w:bottom w:val="single" w:color="auto" w:sz="4" w:space="0"/>
                    <w:right w:val="single" w:color="auto" w:sz="4" w:space="0"/>
                  </w:tcBorders>
                  <w:vAlign w:val="center"/>
                </w:tcPr>
                <w:p w14:paraId="4DB26E66">
                  <w:pPr>
                    <w:keepNext w:val="0"/>
                    <w:keepLines w:val="0"/>
                    <w:pageBreakBefore w:val="0"/>
                    <w:suppressLineNumbers w:val="0"/>
                    <w:kinsoku/>
                    <w:wordWrap/>
                    <w:overflowPunct/>
                    <w:topLinePunct w:val="0"/>
                    <w:autoSpaceDE/>
                    <w:autoSpaceDN/>
                    <w:bidi w:val="0"/>
                    <w:adjustRightInd w:val="0"/>
                    <w:snapToGrid w:val="0"/>
                    <w:spacing w:before="0" w:beforeAutospacing="0" w:after="0" w:afterAutospacing="0" w:line="264" w:lineRule="auto"/>
                    <w:ind w:left="0" w:right="0"/>
                    <w:jc w:val="center"/>
                    <w:textAlignment w:val="auto"/>
                    <w:rPr>
                      <w:rFonts w:hint="eastAsia" w:ascii="Times New Roman" w:hAnsi="Times New Roman" w:eastAsia="宋体" w:cs="Times New Roman"/>
                      <w:color w:val="auto"/>
                      <w:sz w:val="18"/>
                      <w:szCs w:val="18"/>
                      <w:highlight w:val="none"/>
                      <w:lang w:val="en-US" w:eastAsia="zh-CN"/>
                    </w:rPr>
                  </w:pPr>
                  <w:r>
                    <w:rPr>
                      <w:rFonts w:hint="eastAsia" w:cs="Times New Roman"/>
                      <w:color w:val="auto"/>
                      <w:sz w:val="18"/>
                      <w:szCs w:val="18"/>
                      <w:highlight w:val="none"/>
                      <w:lang w:val="en-US" w:eastAsia="zh-CN"/>
                    </w:rPr>
                    <w:t>废气治理</w:t>
                  </w:r>
                </w:p>
              </w:tc>
              <w:tc>
                <w:tcPr>
                  <w:tcW w:w="615" w:type="dxa"/>
                  <w:tcBorders>
                    <w:top w:val="single" w:color="auto" w:sz="4" w:space="0"/>
                    <w:left w:val="single" w:color="auto" w:sz="4" w:space="0"/>
                    <w:bottom w:val="single" w:color="auto" w:sz="4" w:space="0"/>
                    <w:right w:val="single" w:color="auto" w:sz="4" w:space="0"/>
                  </w:tcBorders>
                  <w:vAlign w:val="center"/>
                </w:tcPr>
                <w:p w14:paraId="2E40491F">
                  <w:pPr>
                    <w:keepNext w:val="0"/>
                    <w:keepLines w:val="0"/>
                    <w:pageBreakBefore w:val="0"/>
                    <w:suppressLineNumbers w:val="0"/>
                    <w:kinsoku/>
                    <w:wordWrap/>
                    <w:overflowPunct/>
                    <w:topLinePunct w:val="0"/>
                    <w:autoSpaceDE/>
                    <w:autoSpaceDN/>
                    <w:bidi w:val="0"/>
                    <w:adjustRightInd w:val="0"/>
                    <w:snapToGrid w:val="0"/>
                    <w:spacing w:before="0" w:beforeAutospacing="0" w:after="0" w:afterAutospacing="0" w:line="264" w:lineRule="auto"/>
                    <w:ind w:left="0" w:right="0"/>
                    <w:jc w:val="center"/>
                    <w:textAlignment w:val="auto"/>
                    <w:rPr>
                      <w:rFonts w:hint="default" w:cs="Times New Roman"/>
                      <w:sz w:val="18"/>
                      <w:szCs w:val="18"/>
                      <w:highlight w:val="none"/>
                      <w:lang w:val="en-US" w:eastAsia="zh-CN"/>
                    </w:rPr>
                  </w:pPr>
                  <w:r>
                    <w:rPr>
                      <w:rFonts w:hint="eastAsia" w:cs="Times New Roman"/>
                      <w:sz w:val="18"/>
                      <w:szCs w:val="18"/>
                      <w:highlight w:val="none"/>
                      <w:lang w:val="en-US" w:eastAsia="zh-CN"/>
                    </w:rPr>
                    <w:t>0.1</w:t>
                  </w:r>
                </w:p>
              </w:tc>
              <w:tc>
                <w:tcPr>
                  <w:tcW w:w="5673" w:type="dxa"/>
                  <w:tcBorders>
                    <w:top w:val="single" w:color="auto" w:sz="4" w:space="0"/>
                    <w:left w:val="single" w:color="auto" w:sz="4" w:space="0"/>
                    <w:bottom w:val="single" w:color="auto" w:sz="4" w:space="0"/>
                    <w:right w:val="single" w:color="auto" w:sz="4" w:space="0"/>
                  </w:tcBorders>
                  <w:vAlign w:val="center"/>
                </w:tcPr>
                <w:p w14:paraId="506CCFFA">
                  <w:pPr>
                    <w:keepNext w:val="0"/>
                    <w:keepLines w:val="0"/>
                    <w:pageBreakBefore w:val="0"/>
                    <w:suppressLineNumbers w:val="0"/>
                    <w:kinsoku/>
                    <w:wordWrap/>
                    <w:overflowPunct/>
                    <w:topLinePunct w:val="0"/>
                    <w:autoSpaceDE/>
                    <w:autoSpaceDN/>
                    <w:bidi w:val="0"/>
                    <w:adjustRightInd w:val="0"/>
                    <w:snapToGrid w:val="0"/>
                    <w:spacing w:before="0" w:beforeAutospacing="0" w:after="0" w:afterAutospacing="0" w:line="264" w:lineRule="auto"/>
                    <w:ind w:left="0" w:right="0"/>
                    <w:textAlignment w:val="auto"/>
                    <w:rPr>
                      <w:rFonts w:hint="default" w:ascii="Times New Roman" w:hAnsi="Times New Roman" w:eastAsia="宋体" w:cs="Times New Roman"/>
                      <w:sz w:val="18"/>
                      <w:szCs w:val="18"/>
                      <w:highlight w:val="none"/>
                      <w:lang w:val="en-US" w:eastAsia="zh-CN"/>
                    </w:rPr>
                  </w:pPr>
                  <w:r>
                    <w:rPr>
                      <w:rFonts w:hint="eastAsia" w:cs="Times New Roman"/>
                      <w:sz w:val="18"/>
                      <w:szCs w:val="18"/>
                      <w:highlight w:val="none"/>
                      <w:lang w:val="en-US" w:eastAsia="zh-CN"/>
                    </w:rPr>
                    <w:t>本项目</w:t>
                  </w:r>
                  <w:r>
                    <w:rPr>
                      <w:rFonts w:hint="eastAsia"/>
                      <w:snapToGrid w:val="0"/>
                      <w:sz w:val="18"/>
                      <w:szCs w:val="18"/>
                      <w:highlight w:val="none"/>
                    </w:rPr>
                    <w:t>一体扰流喷淋除臭</w:t>
                  </w:r>
                  <w:r>
                    <w:rPr>
                      <w:rFonts w:hint="eastAsia" w:ascii="Times New Roman" w:hAnsi="Times New Roman" w:eastAsia="宋体" w:cs="Times New Roman"/>
                      <w:color w:val="auto"/>
                      <w:kern w:val="2"/>
                      <w:sz w:val="18"/>
                      <w:szCs w:val="18"/>
                      <w:highlight w:val="none"/>
                      <w:lang w:val="en-US" w:eastAsia="zh-CN" w:bidi="ar-SA"/>
                    </w:rPr>
                    <w:t>装置采用纳米半导体光催化与气液扰流净化相结合的处理工艺</w:t>
                  </w:r>
                  <w:r>
                    <w:rPr>
                      <w:rFonts w:hint="eastAsia" w:cs="Times New Roman"/>
                      <w:color w:val="auto"/>
                      <w:kern w:val="2"/>
                      <w:sz w:val="18"/>
                      <w:szCs w:val="18"/>
                      <w:highlight w:val="none"/>
                      <w:lang w:val="en-US" w:eastAsia="zh-CN" w:bidi="ar-SA"/>
                    </w:rPr>
                    <w:t>，会产生废催化剂，预计产生量约0.1t/a。</w:t>
                  </w:r>
                </w:p>
              </w:tc>
            </w:tr>
            <w:tr w14:paraId="2F1DD76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0" w:hRule="atLeast"/>
                <w:jc w:val="center"/>
              </w:trPr>
              <w:tc>
                <w:tcPr>
                  <w:tcW w:w="365" w:type="dxa"/>
                  <w:tcBorders>
                    <w:top w:val="single" w:color="auto" w:sz="4" w:space="0"/>
                    <w:left w:val="single" w:color="auto" w:sz="4" w:space="0"/>
                    <w:bottom w:val="single" w:color="auto" w:sz="4" w:space="0"/>
                    <w:right w:val="single" w:color="auto" w:sz="4" w:space="0"/>
                  </w:tcBorders>
                  <w:shd w:val="clear" w:color="auto" w:fill="auto"/>
                  <w:vAlign w:val="center"/>
                </w:tcPr>
                <w:p w14:paraId="04C148BC">
                  <w:pPr>
                    <w:keepNext w:val="0"/>
                    <w:keepLines w:val="0"/>
                    <w:pageBreakBefore w:val="0"/>
                    <w:suppressLineNumbers w:val="0"/>
                    <w:kinsoku/>
                    <w:wordWrap/>
                    <w:overflowPunct/>
                    <w:topLinePunct w:val="0"/>
                    <w:autoSpaceDE/>
                    <w:autoSpaceDN/>
                    <w:bidi w:val="0"/>
                    <w:adjustRightInd w:val="0"/>
                    <w:snapToGrid w:val="0"/>
                    <w:spacing w:before="0" w:beforeAutospacing="0" w:after="0" w:afterAutospacing="0" w:line="264" w:lineRule="auto"/>
                    <w:ind w:left="0" w:leftChars="0" w:right="0" w:rightChars="0"/>
                    <w:jc w:val="center"/>
                    <w:textAlignment w:val="auto"/>
                    <w:rPr>
                      <w:rFonts w:hint="default" w:ascii="Times New Roman" w:hAnsi="Times New Roman" w:eastAsia="宋体" w:cs="Times New Roman"/>
                      <w:kern w:val="2"/>
                      <w:sz w:val="18"/>
                      <w:szCs w:val="18"/>
                      <w:highlight w:val="none"/>
                      <w:lang w:val="en-US" w:eastAsia="zh-CN" w:bidi="ar-SA"/>
                    </w:rPr>
                  </w:pPr>
                  <w:r>
                    <w:rPr>
                      <w:rFonts w:hint="eastAsia" w:ascii="Times New Roman" w:hAnsi="Times New Roman" w:eastAsia="宋体" w:cs="Times New Roman"/>
                      <w:sz w:val="18"/>
                      <w:szCs w:val="18"/>
                      <w:highlight w:val="none"/>
                      <w:lang w:val="en-US" w:eastAsia="zh-CN"/>
                    </w:rPr>
                    <w:t>17</w:t>
                  </w:r>
                </w:p>
              </w:tc>
              <w:tc>
                <w:tcPr>
                  <w:tcW w:w="930" w:type="dxa"/>
                  <w:tcBorders>
                    <w:top w:val="single" w:color="auto" w:sz="4" w:space="0"/>
                    <w:left w:val="single" w:color="auto" w:sz="4" w:space="0"/>
                    <w:bottom w:val="single" w:color="auto" w:sz="4" w:space="0"/>
                    <w:right w:val="single" w:color="auto" w:sz="4" w:space="0"/>
                  </w:tcBorders>
                  <w:shd w:val="clear" w:color="auto" w:fill="auto"/>
                  <w:vAlign w:val="center"/>
                </w:tcPr>
                <w:p w14:paraId="0EA5E682">
                  <w:pPr>
                    <w:pStyle w:val="129"/>
                    <w:keepNext w:val="0"/>
                    <w:keepLines w:val="0"/>
                    <w:suppressLineNumbers w:val="0"/>
                    <w:spacing w:before="0" w:beforeAutospacing="0" w:after="0" w:afterAutospacing="0"/>
                    <w:ind w:left="0" w:right="0"/>
                    <w:rPr>
                      <w:rFonts w:hint="eastAsia" w:ascii="Times New Roman" w:hAnsi="Times New Roman" w:eastAsia="宋体" w:cs="Times New Roman"/>
                      <w:color w:val="auto"/>
                      <w:kern w:val="0"/>
                      <w:sz w:val="18"/>
                      <w:szCs w:val="18"/>
                      <w:highlight w:val="none"/>
                      <w:lang w:val="en-US" w:eastAsia="zh-CN" w:bidi="ar-SA"/>
                    </w:rPr>
                  </w:pPr>
                  <w:r>
                    <w:rPr>
                      <w:rFonts w:hint="eastAsia" w:ascii="Times New Roman" w:hAnsi="Times New Roman" w:eastAsia="宋体" w:cs="Times New Roman"/>
                      <w:color w:val="auto"/>
                      <w:sz w:val="18"/>
                      <w:szCs w:val="18"/>
                      <w:highlight w:val="none"/>
                    </w:rPr>
                    <w:t>废</w:t>
                  </w:r>
                  <w:r>
                    <w:rPr>
                      <w:rFonts w:hint="default" w:ascii="Times New Roman" w:hAnsi="Times New Roman" w:eastAsia="宋体" w:cs="Times New Roman"/>
                      <w:color w:val="auto"/>
                      <w:sz w:val="18"/>
                      <w:szCs w:val="18"/>
                      <w:highlight w:val="none"/>
                    </w:rPr>
                    <w:t>紫外</w:t>
                  </w:r>
                  <w:r>
                    <w:rPr>
                      <w:rFonts w:hint="eastAsia" w:ascii="Times New Roman" w:hAnsi="Times New Roman" w:eastAsia="宋体" w:cs="Times New Roman"/>
                      <w:color w:val="auto"/>
                      <w:sz w:val="18"/>
                      <w:szCs w:val="18"/>
                      <w:highlight w:val="none"/>
                    </w:rPr>
                    <w:t>光</w:t>
                  </w:r>
                  <w:r>
                    <w:rPr>
                      <w:rFonts w:hint="default" w:ascii="Times New Roman" w:hAnsi="Times New Roman" w:eastAsia="宋体" w:cs="Times New Roman"/>
                      <w:color w:val="auto"/>
                      <w:sz w:val="18"/>
                      <w:szCs w:val="18"/>
                      <w:highlight w:val="none"/>
                    </w:rPr>
                    <w:t>灯</w:t>
                  </w:r>
                </w:p>
              </w:tc>
              <w:tc>
                <w:tcPr>
                  <w:tcW w:w="675" w:type="dxa"/>
                  <w:tcBorders>
                    <w:top w:val="single" w:color="auto" w:sz="4" w:space="0"/>
                    <w:left w:val="single" w:color="auto" w:sz="4" w:space="0"/>
                    <w:bottom w:val="single" w:color="auto" w:sz="4" w:space="0"/>
                    <w:right w:val="single" w:color="auto" w:sz="4" w:space="0"/>
                  </w:tcBorders>
                  <w:vAlign w:val="center"/>
                </w:tcPr>
                <w:p w14:paraId="5C0415FC">
                  <w:pPr>
                    <w:keepNext w:val="0"/>
                    <w:keepLines w:val="0"/>
                    <w:pageBreakBefore w:val="0"/>
                    <w:suppressLineNumbers w:val="0"/>
                    <w:kinsoku/>
                    <w:wordWrap/>
                    <w:overflowPunct/>
                    <w:topLinePunct w:val="0"/>
                    <w:autoSpaceDE/>
                    <w:autoSpaceDN/>
                    <w:bidi w:val="0"/>
                    <w:adjustRightInd w:val="0"/>
                    <w:snapToGrid w:val="0"/>
                    <w:spacing w:before="0" w:beforeAutospacing="0" w:after="0" w:afterAutospacing="0" w:line="264" w:lineRule="auto"/>
                    <w:ind w:left="0" w:right="0"/>
                    <w:jc w:val="center"/>
                    <w:textAlignment w:val="auto"/>
                    <w:rPr>
                      <w:rFonts w:hint="eastAsia" w:ascii="Times New Roman" w:hAnsi="Times New Roman" w:eastAsia="宋体" w:cs="Times New Roman"/>
                      <w:kern w:val="2"/>
                      <w:sz w:val="18"/>
                      <w:szCs w:val="18"/>
                      <w:highlight w:val="none"/>
                      <w:lang w:val="en-US" w:eastAsia="zh-CN" w:bidi="ar-SA"/>
                    </w:rPr>
                  </w:pPr>
                  <w:r>
                    <w:rPr>
                      <w:rFonts w:hint="eastAsia" w:ascii="Times New Roman" w:hAnsi="Times New Roman" w:eastAsia="宋体" w:cs="Times New Roman"/>
                      <w:color w:val="auto"/>
                      <w:sz w:val="18"/>
                      <w:szCs w:val="18"/>
                      <w:highlight w:val="none"/>
                    </w:rPr>
                    <w:t>灭菌</w:t>
                  </w:r>
                </w:p>
              </w:tc>
              <w:tc>
                <w:tcPr>
                  <w:tcW w:w="615" w:type="dxa"/>
                  <w:tcBorders>
                    <w:top w:val="single" w:color="auto" w:sz="4" w:space="0"/>
                    <w:left w:val="single" w:color="auto" w:sz="4" w:space="0"/>
                    <w:bottom w:val="single" w:color="auto" w:sz="4" w:space="0"/>
                    <w:right w:val="single" w:color="auto" w:sz="4" w:space="0"/>
                  </w:tcBorders>
                  <w:vAlign w:val="center"/>
                </w:tcPr>
                <w:p w14:paraId="72C91C36">
                  <w:pPr>
                    <w:keepNext w:val="0"/>
                    <w:keepLines w:val="0"/>
                    <w:pageBreakBefore w:val="0"/>
                    <w:suppressLineNumbers w:val="0"/>
                    <w:kinsoku/>
                    <w:wordWrap/>
                    <w:overflowPunct/>
                    <w:topLinePunct w:val="0"/>
                    <w:autoSpaceDE/>
                    <w:autoSpaceDN/>
                    <w:bidi w:val="0"/>
                    <w:adjustRightInd w:val="0"/>
                    <w:snapToGrid w:val="0"/>
                    <w:spacing w:before="0" w:beforeAutospacing="0" w:after="0" w:afterAutospacing="0" w:line="264" w:lineRule="auto"/>
                    <w:ind w:left="0" w:right="0"/>
                    <w:jc w:val="center"/>
                    <w:textAlignment w:val="auto"/>
                    <w:rPr>
                      <w:rFonts w:hint="eastAsia" w:ascii="Times New Roman" w:hAnsi="Times New Roman" w:eastAsia="宋体" w:cs="Times New Roman"/>
                      <w:kern w:val="2"/>
                      <w:sz w:val="18"/>
                      <w:szCs w:val="18"/>
                      <w:highlight w:val="none"/>
                      <w:lang w:val="en-US" w:eastAsia="zh-CN" w:bidi="ar-SA"/>
                    </w:rPr>
                  </w:pPr>
                  <w:r>
                    <w:rPr>
                      <w:rFonts w:hint="eastAsia" w:ascii="Times New Roman" w:hAnsi="Times New Roman" w:eastAsia="宋体" w:cs="Times New Roman"/>
                      <w:sz w:val="18"/>
                      <w:szCs w:val="18"/>
                      <w:highlight w:val="none"/>
                    </w:rPr>
                    <w:t>0.</w:t>
                  </w:r>
                  <w:r>
                    <w:rPr>
                      <w:rFonts w:hint="eastAsia" w:cs="Times New Roman"/>
                      <w:sz w:val="18"/>
                      <w:szCs w:val="18"/>
                      <w:highlight w:val="none"/>
                      <w:lang w:val="en-US" w:eastAsia="zh-CN"/>
                    </w:rPr>
                    <w:t>1</w:t>
                  </w:r>
                </w:p>
              </w:tc>
              <w:tc>
                <w:tcPr>
                  <w:tcW w:w="5673" w:type="dxa"/>
                  <w:tcBorders>
                    <w:top w:val="single" w:color="auto" w:sz="4" w:space="0"/>
                    <w:left w:val="single" w:color="auto" w:sz="4" w:space="0"/>
                    <w:bottom w:val="single" w:color="auto" w:sz="4" w:space="0"/>
                    <w:right w:val="single" w:color="auto" w:sz="4" w:space="0"/>
                  </w:tcBorders>
                  <w:vAlign w:val="center"/>
                </w:tcPr>
                <w:p w14:paraId="421E5E84">
                  <w:pPr>
                    <w:keepNext w:val="0"/>
                    <w:keepLines w:val="0"/>
                    <w:pageBreakBefore w:val="0"/>
                    <w:suppressLineNumbers w:val="0"/>
                    <w:kinsoku/>
                    <w:wordWrap/>
                    <w:overflowPunct/>
                    <w:topLinePunct w:val="0"/>
                    <w:autoSpaceDE/>
                    <w:autoSpaceDN/>
                    <w:bidi w:val="0"/>
                    <w:adjustRightInd w:val="0"/>
                    <w:snapToGrid w:val="0"/>
                    <w:spacing w:before="0" w:beforeAutospacing="0" w:after="0" w:afterAutospacing="0" w:line="264" w:lineRule="auto"/>
                    <w:ind w:left="0" w:right="0"/>
                    <w:textAlignment w:val="auto"/>
                    <w:rPr>
                      <w:rFonts w:hint="eastAsia" w:ascii="Times New Roman" w:hAnsi="Times New Roman" w:eastAsia="宋体" w:cs="Times New Roman"/>
                      <w:kern w:val="2"/>
                      <w:sz w:val="18"/>
                      <w:szCs w:val="18"/>
                      <w:highlight w:val="none"/>
                      <w:lang w:val="en-US" w:eastAsia="zh-CN" w:bidi="ar-SA"/>
                    </w:rPr>
                  </w:pPr>
                  <w:r>
                    <w:rPr>
                      <w:rFonts w:hint="default" w:ascii="Times New Roman" w:hAnsi="Times New Roman" w:eastAsia="宋体" w:cs="Times New Roman"/>
                      <w:sz w:val="18"/>
                      <w:szCs w:val="18"/>
                      <w:highlight w:val="none"/>
                    </w:rPr>
                    <w:t>项目设置有紫外光消毒设施，主要用于处理实验室废气</w:t>
                  </w:r>
                  <w:r>
                    <w:rPr>
                      <w:rFonts w:hint="eastAsia" w:cs="Times New Roman"/>
                      <w:sz w:val="18"/>
                      <w:szCs w:val="18"/>
                      <w:highlight w:val="none"/>
                      <w:lang w:val="en-US" w:eastAsia="zh-CN"/>
                    </w:rPr>
                    <w:t>和饲养废气</w:t>
                  </w:r>
                  <w:r>
                    <w:rPr>
                      <w:rFonts w:hint="default" w:ascii="Times New Roman" w:hAnsi="Times New Roman" w:eastAsia="宋体" w:cs="Times New Roman"/>
                      <w:sz w:val="18"/>
                      <w:szCs w:val="18"/>
                      <w:highlight w:val="none"/>
                    </w:rPr>
                    <w:t>中可能存在的病菌。根据运行经验，紫外光灯的更换周期约为4次/年，则年更换产生的废紫外光</w:t>
                  </w:r>
                  <w:r>
                    <w:rPr>
                      <w:rFonts w:hint="eastAsia" w:ascii="Times New Roman" w:hAnsi="Times New Roman" w:eastAsia="宋体" w:cs="Times New Roman"/>
                      <w:sz w:val="18"/>
                      <w:szCs w:val="18"/>
                      <w:highlight w:val="none"/>
                    </w:rPr>
                    <w:t>灯</w:t>
                  </w:r>
                  <w:r>
                    <w:rPr>
                      <w:rFonts w:hint="default" w:ascii="Times New Roman" w:hAnsi="Times New Roman" w:eastAsia="宋体" w:cs="Times New Roman"/>
                      <w:sz w:val="18"/>
                      <w:szCs w:val="18"/>
                      <w:highlight w:val="none"/>
                    </w:rPr>
                    <w:t>为0.</w:t>
                  </w:r>
                  <w:r>
                    <w:rPr>
                      <w:rFonts w:hint="eastAsia" w:cs="Times New Roman"/>
                      <w:sz w:val="18"/>
                      <w:szCs w:val="18"/>
                      <w:highlight w:val="none"/>
                      <w:lang w:val="en-US" w:eastAsia="zh-CN"/>
                    </w:rPr>
                    <w:t>1</w:t>
                  </w:r>
                  <w:r>
                    <w:rPr>
                      <w:rFonts w:hint="default" w:ascii="Times New Roman" w:hAnsi="Times New Roman" w:eastAsia="宋体" w:cs="Times New Roman"/>
                      <w:sz w:val="18"/>
                      <w:szCs w:val="18"/>
                      <w:highlight w:val="none"/>
                    </w:rPr>
                    <w:t>t/a</w:t>
                  </w:r>
                  <w:r>
                    <w:rPr>
                      <w:rFonts w:hint="eastAsia" w:ascii="Times New Roman" w:hAnsi="Times New Roman" w:eastAsia="宋体" w:cs="Times New Roman"/>
                      <w:sz w:val="18"/>
                      <w:szCs w:val="18"/>
                      <w:highlight w:val="none"/>
                      <w:lang w:eastAsia="zh-CN"/>
                    </w:rPr>
                    <w:t>。</w:t>
                  </w:r>
                </w:p>
              </w:tc>
            </w:tr>
            <w:tr w14:paraId="7DC3F35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0" w:hRule="atLeast"/>
                <w:jc w:val="center"/>
              </w:trPr>
              <w:tc>
                <w:tcPr>
                  <w:tcW w:w="365" w:type="dxa"/>
                  <w:tcBorders>
                    <w:top w:val="single" w:color="auto" w:sz="4" w:space="0"/>
                    <w:left w:val="single" w:color="auto" w:sz="4" w:space="0"/>
                    <w:bottom w:val="single" w:color="auto" w:sz="4" w:space="0"/>
                    <w:right w:val="single" w:color="auto" w:sz="4" w:space="0"/>
                  </w:tcBorders>
                  <w:shd w:val="clear" w:color="auto" w:fill="auto"/>
                  <w:vAlign w:val="center"/>
                </w:tcPr>
                <w:p w14:paraId="623DD50E">
                  <w:pPr>
                    <w:keepNext w:val="0"/>
                    <w:keepLines w:val="0"/>
                    <w:pageBreakBefore w:val="0"/>
                    <w:suppressLineNumbers w:val="0"/>
                    <w:kinsoku/>
                    <w:wordWrap/>
                    <w:overflowPunct/>
                    <w:topLinePunct w:val="0"/>
                    <w:autoSpaceDE/>
                    <w:autoSpaceDN/>
                    <w:bidi w:val="0"/>
                    <w:adjustRightInd w:val="0"/>
                    <w:snapToGrid w:val="0"/>
                    <w:spacing w:before="0" w:beforeAutospacing="0" w:after="0" w:afterAutospacing="0" w:line="264" w:lineRule="auto"/>
                    <w:ind w:left="0" w:leftChars="0" w:right="0" w:rightChars="0"/>
                    <w:jc w:val="center"/>
                    <w:textAlignment w:val="auto"/>
                    <w:rPr>
                      <w:rFonts w:hint="default" w:ascii="Times New Roman" w:hAnsi="Times New Roman" w:eastAsia="宋体" w:cs="Times New Roman"/>
                      <w:kern w:val="2"/>
                      <w:sz w:val="18"/>
                      <w:szCs w:val="18"/>
                      <w:highlight w:val="none"/>
                      <w:lang w:val="en-US" w:eastAsia="zh-CN" w:bidi="ar-SA"/>
                    </w:rPr>
                  </w:pPr>
                  <w:r>
                    <w:rPr>
                      <w:rFonts w:hint="eastAsia" w:ascii="Times New Roman" w:hAnsi="Times New Roman" w:eastAsia="宋体" w:cs="Times New Roman"/>
                      <w:sz w:val="18"/>
                      <w:szCs w:val="18"/>
                      <w:highlight w:val="none"/>
                      <w:lang w:val="en-US" w:eastAsia="zh-CN"/>
                    </w:rPr>
                    <w:t>18</w:t>
                  </w:r>
                </w:p>
              </w:tc>
              <w:tc>
                <w:tcPr>
                  <w:tcW w:w="930" w:type="dxa"/>
                  <w:tcBorders>
                    <w:top w:val="single" w:color="auto" w:sz="4" w:space="0"/>
                    <w:left w:val="single" w:color="auto" w:sz="4" w:space="0"/>
                    <w:bottom w:val="single" w:color="auto" w:sz="4" w:space="0"/>
                    <w:right w:val="single" w:color="auto" w:sz="4" w:space="0"/>
                  </w:tcBorders>
                  <w:shd w:val="clear" w:color="auto" w:fill="auto"/>
                  <w:vAlign w:val="center"/>
                </w:tcPr>
                <w:p w14:paraId="212CB7B1">
                  <w:pPr>
                    <w:pStyle w:val="129"/>
                    <w:keepNext w:val="0"/>
                    <w:keepLines w:val="0"/>
                    <w:suppressLineNumbers w:val="0"/>
                    <w:spacing w:before="0" w:beforeAutospacing="0" w:after="0" w:afterAutospacing="0"/>
                    <w:ind w:left="0" w:right="0"/>
                    <w:rPr>
                      <w:rFonts w:hint="eastAsia" w:ascii="Times New Roman" w:hAnsi="Times New Roman" w:eastAsia="宋体" w:cs="Times New Roman"/>
                      <w:color w:val="auto"/>
                      <w:kern w:val="0"/>
                      <w:sz w:val="18"/>
                      <w:szCs w:val="18"/>
                      <w:highlight w:val="none"/>
                      <w:lang w:val="en-US" w:eastAsia="zh-CN" w:bidi="ar-SA"/>
                    </w:rPr>
                  </w:pPr>
                  <w:r>
                    <w:rPr>
                      <w:rFonts w:hint="eastAsia" w:ascii="Times New Roman" w:hAnsi="Times New Roman" w:eastAsia="宋体" w:cs="Times New Roman"/>
                      <w:color w:val="auto"/>
                      <w:sz w:val="18"/>
                      <w:szCs w:val="18"/>
                      <w:highlight w:val="none"/>
                    </w:rPr>
                    <w:t>一般</w:t>
                  </w:r>
                  <w:r>
                    <w:rPr>
                      <w:rFonts w:hint="default" w:ascii="Times New Roman" w:hAnsi="Times New Roman" w:eastAsia="宋体" w:cs="Times New Roman"/>
                      <w:color w:val="auto"/>
                      <w:sz w:val="18"/>
                      <w:szCs w:val="18"/>
                      <w:highlight w:val="none"/>
                    </w:rPr>
                    <w:t>废包装材料</w:t>
                  </w:r>
                </w:p>
              </w:tc>
              <w:tc>
                <w:tcPr>
                  <w:tcW w:w="675" w:type="dxa"/>
                  <w:tcBorders>
                    <w:top w:val="single" w:color="auto" w:sz="4" w:space="0"/>
                    <w:left w:val="single" w:color="auto" w:sz="4" w:space="0"/>
                    <w:bottom w:val="single" w:color="auto" w:sz="4" w:space="0"/>
                    <w:right w:val="single" w:color="auto" w:sz="4" w:space="0"/>
                  </w:tcBorders>
                  <w:vAlign w:val="center"/>
                </w:tcPr>
                <w:p w14:paraId="24918A01">
                  <w:pPr>
                    <w:keepNext w:val="0"/>
                    <w:keepLines w:val="0"/>
                    <w:pageBreakBefore w:val="0"/>
                    <w:suppressLineNumbers w:val="0"/>
                    <w:kinsoku/>
                    <w:wordWrap/>
                    <w:overflowPunct/>
                    <w:topLinePunct w:val="0"/>
                    <w:autoSpaceDE/>
                    <w:autoSpaceDN/>
                    <w:bidi w:val="0"/>
                    <w:adjustRightInd w:val="0"/>
                    <w:snapToGrid w:val="0"/>
                    <w:spacing w:before="0" w:beforeAutospacing="0" w:after="0" w:afterAutospacing="0" w:line="264" w:lineRule="auto"/>
                    <w:ind w:left="0" w:right="0"/>
                    <w:jc w:val="center"/>
                    <w:textAlignment w:val="auto"/>
                    <w:rPr>
                      <w:rFonts w:hint="default" w:ascii="Times New Roman" w:hAnsi="Times New Roman" w:eastAsia="宋体" w:cs="Times New Roman"/>
                      <w:sz w:val="18"/>
                      <w:szCs w:val="18"/>
                      <w:highlight w:val="none"/>
                      <w:lang w:val="en-US" w:eastAsia="zh-CN"/>
                    </w:rPr>
                  </w:pPr>
                  <w:r>
                    <w:rPr>
                      <w:rFonts w:hint="eastAsia" w:ascii="Times New Roman" w:hAnsi="Times New Roman" w:eastAsia="宋体" w:cs="Times New Roman"/>
                      <w:sz w:val="18"/>
                      <w:szCs w:val="18"/>
                      <w:highlight w:val="none"/>
                      <w:lang w:val="en-US" w:eastAsia="zh-CN"/>
                    </w:rPr>
                    <w:t>空气净化</w:t>
                  </w:r>
                </w:p>
              </w:tc>
              <w:tc>
                <w:tcPr>
                  <w:tcW w:w="615" w:type="dxa"/>
                  <w:tcBorders>
                    <w:top w:val="single" w:color="auto" w:sz="4" w:space="0"/>
                    <w:left w:val="single" w:color="auto" w:sz="4" w:space="0"/>
                    <w:bottom w:val="single" w:color="auto" w:sz="4" w:space="0"/>
                    <w:right w:val="single" w:color="auto" w:sz="4" w:space="0"/>
                  </w:tcBorders>
                  <w:vAlign w:val="center"/>
                </w:tcPr>
                <w:p w14:paraId="5E2768EC">
                  <w:pPr>
                    <w:keepNext w:val="0"/>
                    <w:keepLines w:val="0"/>
                    <w:pageBreakBefore w:val="0"/>
                    <w:suppressLineNumbers w:val="0"/>
                    <w:kinsoku/>
                    <w:wordWrap/>
                    <w:overflowPunct/>
                    <w:topLinePunct w:val="0"/>
                    <w:autoSpaceDE/>
                    <w:autoSpaceDN/>
                    <w:bidi w:val="0"/>
                    <w:adjustRightInd w:val="0"/>
                    <w:snapToGrid w:val="0"/>
                    <w:spacing w:before="0" w:beforeAutospacing="0" w:after="0" w:afterAutospacing="0" w:line="264" w:lineRule="auto"/>
                    <w:ind w:left="0" w:right="0"/>
                    <w:jc w:val="center"/>
                    <w:textAlignment w:val="auto"/>
                    <w:rPr>
                      <w:rFonts w:hint="default" w:ascii="Times New Roman" w:hAnsi="Times New Roman" w:eastAsia="宋体" w:cs="Times New Roman"/>
                      <w:sz w:val="18"/>
                      <w:szCs w:val="18"/>
                      <w:highlight w:val="none"/>
                      <w:lang w:val="en-US" w:eastAsia="zh-CN"/>
                    </w:rPr>
                  </w:pPr>
                  <w:r>
                    <w:rPr>
                      <w:rFonts w:hint="eastAsia" w:ascii="Times New Roman" w:hAnsi="Times New Roman" w:eastAsia="宋体" w:cs="Times New Roman"/>
                      <w:sz w:val="18"/>
                      <w:szCs w:val="18"/>
                      <w:highlight w:val="none"/>
                      <w:lang w:val="en-US" w:eastAsia="zh-CN"/>
                    </w:rPr>
                    <w:t>2</w:t>
                  </w:r>
                </w:p>
              </w:tc>
              <w:tc>
                <w:tcPr>
                  <w:tcW w:w="5673" w:type="dxa"/>
                  <w:tcBorders>
                    <w:top w:val="single" w:color="auto" w:sz="4" w:space="0"/>
                    <w:left w:val="single" w:color="auto" w:sz="4" w:space="0"/>
                    <w:bottom w:val="single" w:color="auto" w:sz="4" w:space="0"/>
                    <w:right w:val="single" w:color="auto" w:sz="4" w:space="0"/>
                  </w:tcBorders>
                  <w:vAlign w:val="center"/>
                </w:tcPr>
                <w:p w14:paraId="31E2D4C8">
                  <w:pPr>
                    <w:keepNext w:val="0"/>
                    <w:keepLines w:val="0"/>
                    <w:pageBreakBefore w:val="0"/>
                    <w:suppressLineNumbers w:val="0"/>
                    <w:kinsoku/>
                    <w:wordWrap/>
                    <w:overflowPunct/>
                    <w:topLinePunct w:val="0"/>
                    <w:autoSpaceDE/>
                    <w:autoSpaceDN/>
                    <w:bidi w:val="0"/>
                    <w:adjustRightInd w:val="0"/>
                    <w:snapToGrid w:val="0"/>
                    <w:spacing w:before="0" w:beforeAutospacing="0" w:after="0" w:afterAutospacing="0" w:line="264" w:lineRule="auto"/>
                    <w:ind w:left="0" w:right="0"/>
                    <w:textAlignment w:val="auto"/>
                    <w:rPr>
                      <w:rFonts w:hint="eastAsia" w:ascii="Times New Roman" w:hAnsi="Times New Roman" w:eastAsia="宋体" w:cs="Times New Roman"/>
                      <w:sz w:val="18"/>
                      <w:szCs w:val="18"/>
                      <w:highlight w:val="none"/>
                      <w:lang w:val="en-US" w:eastAsia="zh-CN"/>
                    </w:rPr>
                  </w:pPr>
                  <w:r>
                    <w:rPr>
                      <w:rFonts w:hint="eastAsia" w:ascii="Times New Roman" w:hAnsi="Times New Roman" w:eastAsia="宋体" w:cs="Times New Roman"/>
                      <w:sz w:val="18"/>
                      <w:szCs w:val="18"/>
                      <w:highlight w:val="none"/>
                    </w:rPr>
                    <w:t>项目运行过程</w:t>
                  </w:r>
                  <w:r>
                    <w:rPr>
                      <w:rFonts w:hint="default" w:ascii="Times New Roman" w:hAnsi="Times New Roman" w:eastAsia="宋体" w:cs="Times New Roman"/>
                      <w:sz w:val="18"/>
                      <w:szCs w:val="18"/>
                      <w:highlight w:val="none"/>
                    </w:rPr>
                    <w:t>中会产生未</w:t>
                  </w:r>
                  <w:r>
                    <w:rPr>
                      <w:rFonts w:hint="eastAsia" w:ascii="Times New Roman" w:hAnsi="Times New Roman" w:eastAsia="宋体" w:cs="Times New Roman"/>
                      <w:sz w:val="18"/>
                      <w:szCs w:val="18"/>
                      <w:highlight w:val="none"/>
                    </w:rPr>
                    <w:t>被</w:t>
                  </w:r>
                  <w:r>
                    <w:rPr>
                      <w:rFonts w:hint="default" w:ascii="Times New Roman" w:hAnsi="Times New Roman" w:eastAsia="宋体" w:cs="Times New Roman"/>
                      <w:sz w:val="18"/>
                      <w:szCs w:val="18"/>
                      <w:highlight w:val="none"/>
                    </w:rPr>
                    <w:t>污染的废纸盒、</w:t>
                  </w:r>
                  <w:r>
                    <w:rPr>
                      <w:rFonts w:hint="eastAsia" w:ascii="Times New Roman" w:hAnsi="Times New Roman" w:eastAsia="宋体" w:cs="Times New Roman"/>
                      <w:sz w:val="18"/>
                      <w:szCs w:val="18"/>
                      <w:highlight w:val="none"/>
                    </w:rPr>
                    <w:t>废</w:t>
                  </w:r>
                  <w:r>
                    <w:rPr>
                      <w:rFonts w:hint="default" w:ascii="Times New Roman" w:hAnsi="Times New Roman" w:eastAsia="宋体" w:cs="Times New Roman"/>
                      <w:sz w:val="18"/>
                      <w:szCs w:val="18"/>
                      <w:highlight w:val="none"/>
                    </w:rPr>
                    <w:t>塑料，产生量</w:t>
                  </w:r>
                  <w:r>
                    <w:rPr>
                      <w:rFonts w:hint="eastAsia" w:ascii="Times New Roman" w:hAnsi="Times New Roman" w:eastAsia="宋体" w:cs="Times New Roman"/>
                      <w:sz w:val="18"/>
                      <w:szCs w:val="18"/>
                      <w:highlight w:val="none"/>
                    </w:rPr>
                    <w:t>约2</w:t>
                  </w:r>
                  <w:r>
                    <w:rPr>
                      <w:rFonts w:hint="default" w:ascii="Times New Roman" w:hAnsi="Times New Roman" w:eastAsia="宋体" w:cs="Times New Roman"/>
                      <w:sz w:val="18"/>
                      <w:szCs w:val="18"/>
                      <w:highlight w:val="none"/>
                    </w:rPr>
                    <w:t>t/a</w:t>
                  </w:r>
                  <w:r>
                    <w:rPr>
                      <w:rFonts w:hint="eastAsia" w:ascii="Times New Roman" w:hAnsi="Times New Roman" w:eastAsia="宋体" w:cs="Times New Roman"/>
                      <w:sz w:val="18"/>
                      <w:szCs w:val="18"/>
                      <w:highlight w:val="none"/>
                      <w:lang w:eastAsia="zh-CN"/>
                    </w:rPr>
                    <w:t>。</w:t>
                  </w:r>
                </w:p>
              </w:tc>
            </w:tr>
            <w:tr w14:paraId="48B9DFC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0" w:hRule="atLeast"/>
                <w:jc w:val="center"/>
              </w:trPr>
              <w:tc>
                <w:tcPr>
                  <w:tcW w:w="365" w:type="dxa"/>
                  <w:tcBorders>
                    <w:top w:val="single" w:color="auto" w:sz="4" w:space="0"/>
                    <w:left w:val="single" w:color="auto" w:sz="4" w:space="0"/>
                    <w:bottom w:val="single" w:color="auto" w:sz="4" w:space="0"/>
                    <w:right w:val="single" w:color="auto" w:sz="4" w:space="0"/>
                  </w:tcBorders>
                  <w:shd w:val="clear" w:color="auto" w:fill="auto"/>
                  <w:vAlign w:val="center"/>
                </w:tcPr>
                <w:p w14:paraId="467710F4">
                  <w:pPr>
                    <w:keepNext w:val="0"/>
                    <w:keepLines w:val="0"/>
                    <w:pageBreakBefore w:val="0"/>
                    <w:suppressLineNumbers w:val="0"/>
                    <w:kinsoku/>
                    <w:wordWrap/>
                    <w:overflowPunct/>
                    <w:topLinePunct w:val="0"/>
                    <w:autoSpaceDE/>
                    <w:autoSpaceDN/>
                    <w:bidi w:val="0"/>
                    <w:adjustRightInd w:val="0"/>
                    <w:snapToGrid w:val="0"/>
                    <w:spacing w:before="0" w:beforeAutospacing="0" w:after="0" w:afterAutospacing="0" w:line="264" w:lineRule="auto"/>
                    <w:ind w:left="0" w:leftChars="0" w:right="0" w:rightChars="0"/>
                    <w:jc w:val="center"/>
                    <w:textAlignment w:val="auto"/>
                    <w:rPr>
                      <w:rFonts w:hint="default" w:ascii="Times New Roman" w:hAnsi="Times New Roman" w:eastAsia="宋体" w:cs="Times New Roman"/>
                      <w:kern w:val="2"/>
                      <w:sz w:val="18"/>
                      <w:szCs w:val="18"/>
                      <w:highlight w:val="none"/>
                      <w:lang w:val="en-US" w:eastAsia="zh-CN" w:bidi="ar-SA"/>
                    </w:rPr>
                  </w:pPr>
                  <w:r>
                    <w:rPr>
                      <w:rFonts w:hint="eastAsia" w:ascii="Times New Roman" w:hAnsi="Times New Roman" w:eastAsia="宋体" w:cs="Times New Roman"/>
                      <w:sz w:val="18"/>
                      <w:szCs w:val="18"/>
                      <w:highlight w:val="none"/>
                      <w:lang w:val="en-US" w:eastAsia="zh-CN"/>
                    </w:rPr>
                    <w:t>19</w:t>
                  </w:r>
                </w:p>
              </w:tc>
              <w:tc>
                <w:tcPr>
                  <w:tcW w:w="930" w:type="dxa"/>
                  <w:tcBorders>
                    <w:top w:val="single" w:color="auto" w:sz="4" w:space="0"/>
                    <w:left w:val="single" w:color="auto" w:sz="4" w:space="0"/>
                    <w:bottom w:val="single" w:color="auto" w:sz="4" w:space="0"/>
                    <w:right w:val="single" w:color="auto" w:sz="4" w:space="0"/>
                  </w:tcBorders>
                  <w:shd w:val="clear" w:color="auto" w:fill="auto"/>
                  <w:vAlign w:val="center"/>
                </w:tcPr>
                <w:p w14:paraId="60C42820">
                  <w:pPr>
                    <w:pStyle w:val="129"/>
                    <w:keepNext w:val="0"/>
                    <w:keepLines w:val="0"/>
                    <w:suppressLineNumbers w:val="0"/>
                    <w:spacing w:before="0" w:beforeAutospacing="0" w:after="0" w:afterAutospacing="0"/>
                    <w:ind w:left="0" w:right="0"/>
                    <w:rPr>
                      <w:rFonts w:hint="eastAsia" w:ascii="Times New Roman" w:hAnsi="Times New Roman" w:eastAsia="宋体" w:cs="Times New Roman"/>
                      <w:color w:val="auto"/>
                      <w:kern w:val="0"/>
                      <w:sz w:val="18"/>
                      <w:szCs w:val="18"/>
                      <w:highlight w:val="none"/>
                      <w:lang w:val="en-US" w:eastAsia="zh-CN" w:bidi="ar-SA"/>
                    </w:rPr>
                  </w:pPr>
                  <w:r>
                    <w:rPr>
                      <w:rFonts w:hint="eastAsia" w:ascii="Times New Roman" w:hAnsi="Times New Roman" w:eastAsia="宋体" w:cs="Times New Roman"/>
                      <w:color w:val="auto"/>
                      <w:sz w:val="18"/>
                      <w:szCs w:val="18"/>
                      <w:highlight w:val="none"/>
                    </w:rPr>
                    <w:t>净化</w:t>
                  </w:r>
                  <w:r>
                    <w:rPr>
                      <w:rFonts w:hint="default" w:ascii="Times New Roman" w:hAnsi="Times New Roman" w:eastAsia="宋体" w:cs="Times New Roman"/>
                      <w:color w:val="auto"/>
                      <w:sz w:val="18"/>
                      <w:szCs w:val="18"/>
                      <w:highlight w:val="none"/>
                    </w:rPr>
                    <w:t>空调系统</w:t>
                  </w:r>
                  <w:r>
                    <w:rPr>
                      <w:rFonts w:hint="eastAsia" w:ascii="Times New Roman" w:hAnsi="Times New Roman" w:eastAsia="宋体" w:cs="Times New Roman"/>
                      <w:color w:val="auto"/>
                      <w:sz w:val="18"/>
                      <w:szCs w:val="18"/>
                      <w:highlight w:val="none"/>
                    </w:rPr>
                    <w:t>废</w:t>
                  </w:r>
                  <w:r>
                    <w:rPr>
                      <w:rFonts w:hint="default" w:ascii="Times New Roman" w:hAnsi="Times New Roman" w:eastAsia="宋体" w:cs="Times New Roman"/>
                      <w:color w:val="auto"/>
                      <w:sz w:val="18"/>
                      <w:szCs w:val="18"/>
                      <w:highlight w:val="none"/>
                    </w:rPr>
                    <w:t>过滤材料</w:t>
                  </w:r>
                </w:p>
              </w:tc>
              <w:tc>
                <w:tcPr>
                  <w:tcW w:w="675" w:type="dxa"/>
                  <w:tcBorders>
                    <w:top w:val="single" w:color="auto" w:sz="4" w:space="0"/>
                    <w:left w:val="single" w:color="auto" w:sz="4" w:space="0"/>
                    <w:bottom w:val="single" w:color="auto" w:sz="4" w:space="0"/>
                    <w:right w:val="single" w:color="auto" w:sz="4" w:space="0"/>
                  </w:tcBorders>
                  <w:shd w:val="clear" w:color="auto" w:fill="auto"/>
                  <w:vAlign w:val="center"/>
                </w:tcPr>
                <w:p w14:paraId="00642231">
                  <w:pPr>
                    <w:pStyle w:val="129"/>
                    <w:keepNext w:val="0"/>
                    <w:keepLines w:val="0"/>
                    <w:suppressLineNumbers w:val="0"/>
                    <w:spacing w:before="0" w:beforeAutospacing="0" w:after="0" w:afterAutospacing="0"/>
                    <w:ind w:left="0" w:right="0"/>
                    <w:rPr>
                      <w:rFonts w:hint="eastAsia" w:ascii="Times New Roman" w:hAnsi="Times New Roman" w:eastAsia="宋体" w:cs="Times New Roman"/>
                      <w:color w:val="auto"/>
                      <w:kern w:val="0"/>
                      <w:sz w:val="18"/>
                      <w:szCs w:val="18"/>
                      <w:highlight w:val="none"/>
                      <w:lang w:val="en-US" w:eastAsia="zh-CN" w:bidi="ar-SA"/>
                    </w:rPr>
                  </w:pPr>
                  <w:r>
                    <w:rPr>
                      <w:rFonts w:hint="eastAsia" w:ascii="Times New Roman" w:hAnsi="Times New Roman" w:eastAsia="宋体" w:cs="Times New Roman"/>
                      <w:color w:val="auto"/>
                      <w:sz w:val="18"/>
                      <w:szCs w:val="18"/>
                      <w:highlight w:val="none"/>
                    </w:rPr>
                    <w:t>空气</w:t>
                  </w:r>
                  <w:r>
                    <w:rPr>
                      <w:rFonts w:hint="default" w:ascii="Times New Roman" w:hAnsi="Times New Roman" w:eastAsia="宋体" w:cs="Times New Roman"/>
                      <w:color w:val="auto"/>
                      <w:sz w:val="18"/>
                      <w:szCs w:val="18"/>
                      <w:highlight w:val="none"/>
                    </w:rPr>
                    <w:t>净化</w:t>
                  </w:r>
                </w:p>
              </w:tc>
              <w:tc>
                <w:tcPr>
                  <w:tcW w:w="615" w:type="dxa"/>
                  <w:tcBorders>
                    <w:top w:val="single" w:color="auto" w:sz="4" w:space="0"/>
                    <w:left w:val="single" w:color="auto" w:sz="4" w:space="0"/>
                    <w:bottom w:val="single" w:color="auto" w:sz="4" w:space="0"/>
                    <w:right w:val="single" w:color="auto" w:sz="4" w:space="0"/>
                  </w:tcBorders>
                  <w:vAlign w:val="center"/>
                </w:tcPr>
                <w:p w14:paraId="5283FC7E">
                  <w:pPr>
                    <w:keepNext w:val="0"/>
                    <w:keepLines w:val="0"/>
                    <w:pageBreakBefore w:val="0"/>
                    <w:suppressLineNumbers w:val="0"/>
                    <w:kinsoku/>
                    <w:wordWrap/>
                    <w:overflowPunct/>
                    <w:topLinePunct w:val="0"/>
                    <w:autoSpaceDE/>
                    <w:autoSpaceDN/>
                    <w:bidi w:val="0"/>
                    <w:adjustRightInd w:val="0"/>
                    <w:snapToGrid w:val="0"/>
                    <w:spacing w:before="0" w:beforeAutospacing="0" w:after="0" w:afterAutospacing="0" w:line="264" w:lineRule="auto"/>
                    <w:ind w:left="0" w:right="0"/>
                    <w:jc w:val="center"/>
                    <w:textAlignment w:val="auto"/>
                    <w:rPr>
                      <w:rFonts w:hint="default" w:ascii="Times New Roman" w:hAnsi="Times New Roman" w:eastAsia="宋体" w:cs="Times New Roman"/>
                      <w:sz w:val="18"/>
                      <w:szCs w:val="18"/>
                      <w:highlight w:val="none"/>
                      <w:lang w:val="en-US" w:eastAsia="zh-CN"/>
                    </w:rPr>
                  </w:pPr>
                  <w:r>
                    <w:rPr>
                      <w:rFonts w:hint="eastAsia" w:ascii="Times New Roman" w:hAnsi="Times New Roman" w:eastAsia="宋体" w:cs="Times New Roman"/>
                      <w:sz w:val="18"/>
                      <w:szCs w:val="18"/>
                      <w:highlight w:val="none"/>
                      <w:lang w:val="en-US" w:eastAsia="zh-CN"/>
                    </w:rPr>
                    <w:t>3</w:t>
                  </w:r>
                </w:p>
              </w:tc>
              <w:tc>
                <w:tcPr>
                  <w:tcW w:w="5673" w:type="dxa"/>
                  <w:tcBorders>
                    <w:top w:val="single" w:color="auto" w:sz="4" w:space="0"/>
                    <w:left w:val="single" w:color="auto" w:sz="4" w:space="0"/>
                    <w:bottom w:val="single" w:color="auto" w:sz="4" w:space="0"/>
                    <w:right w:val="single" w:color="auto" w:sz="4" w:space="0"/>
                  </w:tcBorders>
                  <w:vAlign w:val="center"/>
                </w:tcPr>
                <w:p w14:paraId="13EB6A54">
                  <w:pPr>
                    <w:keepNext w:val="0"/>
                    <w:keepLines w:val="0"/>
                    <w:pageBreakBefore w:val="0"/>
                    <w:suppressLineNumbers w:val="0"/>
                    <w:kinsoku/>
                    <w:wordWrap/>
                    <w:overflowPunct/>
                    <w:topLinePunct w:val="0"/>
                    <w:autoSpaceDE/>
                    <w:autoSpaceDN/>
                    <w:bidi w:val="0"/>
                    <w:adjustRightInd w:val="0"/>
                    <w:snapToGrid w:val="0"/>
                    <w:spacing w:before="0" w:beforeAutospacing="0" w:after="0" w:afterAutospacing="0" w:line="264" w:lineRule="auto"/>
                    <w:ind w:left="0" w:right="0"/>
                    <w:textAlignment w:val="auto"/>
                    <w:rPr>
                      <w:rFonts w:hint="eastAsia" w:ascii="Times New Roman" w:hAnsi="Times New Roman" w:eastAsia="宋体" w:cs="Times New Roman"/>
                      <w:sz w:val="18"/>
                      <w:szCs w:val="18"/>
                      <w:highlight w:val="none"/>
                      <w:lang w:eastAsia="zh-CN"/>
                    </w:rPr>
                  </w:pPr>
                  <w:r>
                    <w:rPr>
                      <w:rFonts w:hint="default" w:ascii="Times New Roman" w:hAnsi="Times New Roman" w:eastAsia="宋体" w:cs="Times New Roman"/>
                      <w:sz w:val="18"/>
                      <w:szCs w:val="18"/>
                      <w:highlight w:val="none"/>
                    </w:rPr>
                    <w:t>项目在各实验室等均设有净化空调系统，其运行过程中会定期更换过滤材料，类比同类实验室运行经验，净化空调系统过滤材料通常每2年更换一次，更换产生的废过滤材料量约为3t/a</w:t>
                  </w:r>
                  <w:r>
                    <w:rPr>
                      <w:rFonts w:hint="eastAsia" w:ascii="Times New Roman" w:hAnsi="Times New Roman" w:eastAsia="宋体" w:cs="Times New Roman"/>
                      <w:sz w:val="18"/>
                      <w:szCs w:val="18"/>
                      <w:highlight w:val="none"/>
                      <w:lang w:eastAsia="zh-CN"/>
                    </w:rPr>
                    <w:t>。</w:t>
                  </w:r>
                </w:p>
              </w:tc>
            </w:tr>
            <w:tr w14:paraId="007C0CB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0" w:hRule="atLeast"/>
                <w:jc w:val="center"/>
              </w:trPr>
              <w:tc>
                <w:tcPr>
                  <w:tcW w:w="365" w:type="dxa"/>
                  <w:tcBorders>
                    <w:top w:val="single" w:color="auto" w:sz="4" w:space="0"/>
                    <w:left w:val="single" w:color="auto" w:sz="4" w:space="0"/>
                    <w:bottom w:val="single" w:color="auto" w:sz="4" w:space="0"/>
                    <w:right w:val="single" w:color="auto" w:sz="4" w:space="0"/>
                  </w:tcBorders>
                  <w:shd w:val="clear" w:color="auto" w:fill="auto"/>
                  <w:vAlign w:val="center"/>
                </w:tcPr>
                <w:p w14:paraId="1D352484">
                  <w:pPr>
                    <w:keepNext w:val="0"/>
                    <w:keepLines w:val="0"/>
                    <w:pageBreakBefore w:val="0"/>
                    <w:suppressLineNumbers w:val="0"/>
                    <w:kinsoku/>
                    <w:wordWrap/>
                    <w:overflowPunct/>
                    <w:topLinePunct w:val="0"/>
                    <w:autoSpaceDE/>
                    <w:autoSpaceDN/>
                    <w:bidi w:val="0"/>
                    <w:adjustRightInd w:val="0"/>
                    <w:snapToGrid w:val="0"/>
                    <w:spacing w:before="0" w:beforeAutospacing="0" w:after="0" w:afterAutospacing="0" w:line="264" w:lineRule="auto"/>
                    <w:ind w:left="0" w:leftChars="0" w:right="0" w:rightChars="0"/>
                    <w:jc w:val="center"/>
                    <w:textAlignment w:val="auto"/>
                    <w:rPr>
                      <w:rFonts w:hint="default" w:ascii="Times New Roman" w:hAnsi="Times New Roman" w:eastAsia="宋体" w:cs="Times New Roman"/>
                      <w:kern w:val="2"/>
                      <w:sz w:val="18"/>
                      <w:szCs w:val="18"/>
                      <w:highlight w:val="none"/>
                      <w:lang w:val="en-US" w:eastAsia="zh-CN" w:bidi="ar-SA"/>
                    </w:rPr>
                  </w:pPr>
                  <w:r>
                    <w:rPr>
                      <w:rFonts w:hint="eastAsia" w:ascii="Times New Roman" w:hAnsi="Times New Roman" w:eastAsia="宋体" w:cs="Times New Roman"/>
                      <w:sz w:val="18"/>
                      <w:szCs w:val="18"/>
                      <w:highlight w:val="none"/>
                      <w:lang w:val="en-US" w:eastAsia="zh-CN"/>
                    </w:rPr>
                    <w:t>20</w:t>
                  </w:r>
                </w:p>
              </w:tc>
              <w:tc>
                <w:tcPr>
                  <w:tcW w:w="930" w:type="dxa"/>
                  <w:tcBorders>
                    <w:top w:val="single" w:color="auto" w:sz="4" w:space="0"/>
                    <w:left w:val="single" w:color="auto" w:sz="4" w:space="0"/>
                    <w:bottom w:val="single" w:color="auto" w:sz="4" w:space="0"/>
                    <w:right w:val="single" w:color="auto" w:sz="4" w:space="0"/>
                  </w:tcBorders>
                  <w:shd w:val="clear" w:color="auto" w:fill="auto"/>
                  <w:vAlign w:val="center"/>
                </w:tcPr>
                <w:p w14:paraId="4C2047A8">
                  <w:pPr>
                    <w:pStyle w:val="129"/>
                    <w:keepNext w:val="0"/>
                    <w:keepLines w:val="0"/>
                    <w:suppressLineNumbers w:val="0"/>
                    <w:spacing w:before="0" w:beforeAutospacing="0" w:after="0" w:afterAutospacing="0"/>
                    <w:ind w:left="0" w:right="0"/>
                    <w:rPr>
                      <w:rFonts w:hint="eastAsia" w:ascii="Times New Roman" w:hAnsi="Times New Roman" w:eastAsia="宋体" w:cs="Times New Roman"/>
                      <w:color w:val="auto"/>
                      <w:kern w:val="0"/>
                      <w:sz w:val="18"/>
                      <w:szCs w:val="18"/>
                      <w:highlight w:val="none"/>
                      <w:lang w:val="en-US" w:eastAsia="zh-CN" w:bidi="ar-SA"/>
                    </w:rPr>
                  </w:pPr>
                  <w:r>
                    <w:rPr>
                      <w:rFonts w:hint="eastAsia" w:ascii="Times New Roman" w:hAnsi="Times New Roman" w:eastAsia="宋体" w:cs="Times New Roman"/>
                      <w:color w:val="auto"/>
                      <w:sz w:val="18"/>
                      <w:szCs w:val="18"/>
                      <w:highlight w:val="none"/>
                      <w:lang w:val="en-US" w:eastAsia="zh-CN"/>
                    </w:rPr>
                    <w:t>废RO</w:t>
                  </w:r>
                  <w:r>
                    <w:rPr>
                      <w:rFonts w:hint="default" w:ascii="Times New Roman" w:hAnsi="Times New Roman" w:eastAsia="宋体" w:cs="Times New Roman"/>
                      <w:color w:val="auto"/>
                      <w:sz w:val="18"/>
                      <w:szCs w:val="18"/>
                      <w:highlight w:val="none"/>
                    </w:rPr>
                    <w:t>膜</w:t>
                  </w:r>
                </w:p>
              </w:tc>
              <w:tc>
                <w:tcPr>
                  <w:tcW w:w="675" w:type="dxa"/>
                  <w:tcBorders>
                    <w:top w:val="single" w:color="auto" w:sz="4" w:space="0"/>
                    <w:left w:val="single" w:color="auto" w:sz="4" w:space="0"/>
                    <w:bottom w:val="single" w:color="auto" w:sz="4" w:space="0"/>
                    <w:right w:val="single" w:color="auto" w:sz="4" w:space="0"/>
                  </w:tcBorders>
                  <w:shd w:val="clear" w:color="auto" w:fill="auto"/>
                  <w:vAlign w:val="center"/>
                </w:tcPr>
                <w:p w14:paraId="1FA6F75C">
                  <w:pPr>
                    <w:pStyle w:val="129"/>
                    <w:keepNext w:val="0"/>
                    <w:keepLines w:val="0"/>
                    <w:suppressLineNumbers w:val="0"/>
                    <w:spacing w:before="0" w:beforeAutospacing="0" w:after="0" w:afterAutospacing="0"/>
                    <w:ind w:left="0" w:right="0"/>
                    <w:rPr>
                      <w:rFonts w:hint="eastAsia" w:ascii="Times New Roman" w:hAnsi="Times New Roman" w:eastAsia="宋体" w:cs="Times New Roman"/>
                      <w:color w:val="auto"/>
                      <w:kern w:val="0"/>
                      <w:sz w:val="18"/>
                      <w:szCs w:val="18"/>
                      <w:highlight w:val="none"/>
                      <w:lang w:val="en-US" w:eastAsia="zh-CN" w:bidi="ar-SA"/>
                    </w:rPr>
                  </w:pPr>
                  <w:r>
                    <w:rPr>
                      <w:rFonts w:hint="eastAsia" w:ascii="Times New Roman" w:hAnsi="Times New Roman" w:eastAsia="宋体" w:cs="Times New Roman"/>
                      <w:color w:val="auto"/>
                      <w:sz w:val="18"/>
                      <w:szCs w:val="18"/>
                      <w:highlight w:val="none"/>
                    </w:rPr>
                    <w:t>原水</w:t>
                  </w:r>
                  <w:r>
                    <w:rPr>
                      <w:rFonts w:hint="default" w:ascii="Times New Roman" w:hAnsi="Times New Roman" w:eastAsia="宋体" w:cs="Times New Roman"/>
                      <w:color w:val="auto"/>
                      <w:sz w:val="18"/>
                      <w:szCs w:val="18"/>
                      <w:highlight w:val="none"/>
                    </w:rPr>
                    <w:t>净化</w:t>
                  </w:r>
                </w:p>
              </w:tc>
              <w:tc>
                <w:tcPr>
                  <w:tcW w:w="615" w:type="dxa"/>
                  <w:tcBorders>
                    <w:top w:val="single" w:color="auto" w:sz="4" w:space="0"/>
                    <w:left w:val="single" w:color="auto" w:sz="4" w:space="0"/>
                    <w:bottom w:val="single" w:color="auto" w:sz="4" w:space="0"/>
                    <w:right w:val="single" w:color="auto" w:sz="4" w:space="0"/>
                  </w:tcBorders>
                  <w:vAlign w:val="center"/>
                </w:tcPr>
                <w:p w14:paraId="580736B6">
                  <w:pPr>
                    <w:keepNext w:val="0"/>
                    <w:keepLines w:val="0"/>
                    <w:pageBreakBefore w:val="0"/>
                    <w:suppressLineNumbers w:val="0"/>
                    <w:kinsoku/>
                    <w:wordWrap/>
                    <w:overflowPunct/>
                    <w:topLinePunct w:val="0"/>
                    <w:autoSpaceDE/>
                    <w:autoSpaceDN/>
                    <w:bidi w:val="0"/>
                    <w:adjustRightInd w:val="0"/>
                    <w:snapToGrid w:val="0"/>
                    <w:spacing w:before="0" w:beforeAutospacing="0" w:after="0" w:afterAutospacing="0" w:line="264" w:lineRule="auto"/>
                    <w:ind w:left="0" w:right="0"/>
                    <w:jc w:val="center"/>
                    <w:textAlignment w:val="auto"/>
                    <w:rPr>
                      <w:rFonts w:hint="default" w:ascii="Times New Roman" w:hAnsi="Times New Roman" w:eastAsia="宋体" w:cs="Times New Roman"/>
                      <w:sz w:val="18"/>
                      <w:szCs w:val="18"/>
                      <w:highlight w:val="none"/>
                      <w:lang w:val="en-US" w:eastAsia="zh-CN"/>
                    </w:rPr>
                  </w:pPr>
                  <w:r>
                    <w:rPr>
                      <w:rFonts w:hint="eastAsia" w:ascii="Times New Roman" w:hAnsi="Times New Roman" w:eastAsia="宋体" w:cs="Times New Roman"/>
                      <w:sz w:val="18"/>
                      <w:szCs w:val="18"/>
                      <w:highlight w:val="none"/>
                      <w:lang w:val="en-US" w:eastAsia="zh-CN"/>
                    </w:rPr>
                    <w:t>0.2</w:t>
                  </w:r>
                </w:p>
              </w:tc>
              <w:tc>
                <w:tcPr>
                  <w:tcW w:w="5673" w:type="dxa"/>
                  <w:tcBorders>
                    <w:top w:val="single" w:color="auto" w:sz="4" w:space="0"/>
                    <w:left w:val="single" w:color="auto" w:sz="4" w:space="0"/>
                    <w:bottom w:val="single" w:color="auto" w:sz="4" w:space="0"/>
                    <w:right w:val="single" w:color="auto" w:sz="4" w:space="0"/>
                  </w:tcBorders>
                  <w:vAlign w:val="center"/>
                </w:tcPr>
                <w:p w14:paraId="15DAEB8D">
                  <w:pPr>
                    <w:keepNext w:val="0"/>
                    <w:keepLines w:val="0"/>
                    <w:pageBreakBefore w:val="0"/>
                    <w:suppressLineNumbers w:val="0"/>
                    <w:kinsoku/>
                    <w:wordWrap/>
                    <w:overflowPunct/>
                    <w:topLinePunct w:val="0"/>
                    <w:autoSpaceDE/>
                    <w:autoSpaceDN/>
                    <w:bidi w:val="0"/>
                    <w:adjustRightInd w:val="0"/>
                    <w:snapToGrid w:val="0"/>
                    <w:spacing w:before="0" w:beforeAutospacing="0" w:after="0" w:afterAutospacing="0" w:line="264" w:lineRule="auto"/>
                    <w:ind w:left="0" w:right="0"/>
                    <w:textAlignment w:val="auto"/>
                    <w:rPr>
                      <w:rFonts w:hint="eastAsia" w:ascii="Times New Roman" w:hAnsi="Times New Roman" w:eastAsia="宋体" w:cs="Times New Roman"/>
                      <w:sz w:val="18"/>
                      <w:szCs w:val="18"/>
                      <w:highlight w:val="none"/>
                      <w:lang w:eastAsia="zh-CN"/>
                    </w:rPr>
                  </w:pPr>
                  <w:r>
                    <w:rPr>
                      <w:rFonts w:hint="default" w:ascii="Times New Roman" w:hAnsi="Times New Roman" w:eastAsia="宋体" w:cs="Times New Roman"/>
                      <w:sz w:val="18"/>
                      <w:szCs w:val="18"/>
                      <w:highlight w:val="none"/>
                    </w:rPr>
                    <w:t>软水系统中</w:t>
                  </w:r>
                  <w:r>
                    <w:rPr>
                      <w:rFonts w:hint="eastAsia" w:ascii="Times New Roman" w:hAnsi="Times New Roman" w:eastAsia="宋体" w:cs="Times New Roman"/>
                      <w:color w:val="auto"/>
                      <w:sz w:val="18"/>
                      <w:szCs w:val="18"/>
                      <w:highlight w:val="none"/>
                      <w:lang w:val="en-US" w:eastAsia="zh-CN"/>
                    </w:rPr>
                    <w:t>废RO</w:t>
                  </w:r>
                  <w:r>
                    <w:rPr>
                      <w:rFonts w:hint="default" w:ascii="Times New Roman" w:hAnsi="Times New Roman" w:eastAsia="宋体" w:cs="Times New Roman"/>
                      <w:color w:val="auto"/>
                      <w:sz w:val="18"/>
                      <w:szCs w:val="18"/>
                      <w:highlight w:val="none"/>
                    </w:rPr>
                    <w:t>膜</w:t>
                  </w:r>
                  <w:r>
                    <w:rPr>
                      <w:rFonts w:hint="default" w:ascii="Times New Roman" w:hAnsi="Times New Roman" w:eastAsia="宋体" w:cs="Times New Roman"/>
                      <w:sz w:val="18"/>
                      <w:szCs w:val="18"/>
                      <w:highlight w:val="none"/>
                    </w:rPr>
                    <w:t>的更换周期约为1次/2年，则年更换产生的</w:t>
                  </w:r>
                  <w:r>
                    <w:rPr>
                      <w:rFonts w:hint="eastAsia" w:ascii="Times New Roman" w:hAnsi="Times New Roman" w:eastAsia="宋体" w:cs="Times New Roman"/>
                      <w:color w:val="auto"/>
                      <w:sz w:val="18"/>
                      <w:szCs w:val="18"/>
                      <w:highlight w:val="none"/>
                      <w:lang w:val="en-US" w:eastAsia="zh-CN"/>
                    </w:rPr>
                    <w:t>废RO</w:t>
                  </w:r>
                  <w:r>
                    <w:rPr>
                      <w:rFonts w:hint="default" w:ascii="Times New Roman" w:hAnsi="Times New Roman" w:eastAsia="宋体" w:cs="Times New Roman"/>
                      <w:color w:val="auto"/>
                      <w:sz w:val="18"/>
                      <w:szCs w:val="18"/>
                      <w:highlight w:val="none"/>
                    </w:rPr>
                    <w:t>膜</w:t>
                  </w:r>
                  <w:r>
                    <w:rPr>
                      <w:rFonts w:hint="default" w:ascii="Times New Roman" w:hAnsi="Times New Roman" w:eastAsia="宋体" w:cs="Times New Roman"/>
                      <w:sz w:val="18"/>
                      <w:szCs w:val="18"/>
                      <w:highlight w:val="none"/>
                    </w:rPr>
                    <w:t>量约为0.2t/a</w:t>
                  </w:r>
                  <w:r>
                    <w:rPr>
                      <w:rFonts w:hint="eastAsia" w:ascii="Times New Roman" w:hAnsi="Times New Roman" w:eastAsia="宋体" w:cs="Times New Roman"/>
                      <w:sz w:val="18"/>
                      <w:szCs w:val="18"/>
                      <w:highlight w:val="none"/>
                      <w:lang w:eastAsia="zh-CN"/>
                    </w:rPr>
                    <w:t>。</w:t>
                  </w:r>
                </w:p>
              </w:tc>
            </w:tr>
            <w:tr w14:paraId="4D792C2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0" w:hRule="atLeast"/>
                <w:jc w:val="center"/>
              </w:trPr>
              <w:tc>
                <w:tcPr>
                  <w:tcW w:w="365" w:type="dxa"/>
                  <w:tcBorders>
                    <w:top w:val="single" w:color="auto" w:sz="4" w:space="0"/>
                    <w:left w:val="single" w:color="auto" w:sz="4" w:space="0"/>
                    <w:bottom w:val="single" w:color="auto" w:sz="4" w:space="0"/>
                    <w:right w:val="single" w:color="auto" w:sz="4" w:space="0"/>
                  </w:tcBorders>
                  <w:shd w:val="clear" w:color="auto" w:fill="auto"/>
                  <w:vAlign w:val="center"/>
                </w:tcPr>
                <w:p w14:paraId="66E7504C">
                  <w:pPr>
                    <w:keepNext w:val="0"/>
                    <w:keepLines w:val="0"/>
                    <w:pageBreakBefore w:val="0"/>
                    <w:suppressLineNumbers w:val="0"/>
                    <w:kinsoku/>
                    <w:wordWrap/>
                    <w:overflowPunct/>
                    <w:topLinePunct w:val="0"/>
                    <w:autoSpaceDE/>
                    <w:autoSpaceDN/>
                    <w:bidi w:val="0"/>
                    <w:adjustRightInd w:val="0"/>
                    <w:snapToGrid w:val="0"/>
                    <w:spacing w:before="0" w:beforeAutospacing="0" w:after="0" w:afterAutospacing="0" w:line="264" w:lineRule="auto"/>
                    <w:ind w:left="0" w:leftChars="0" w:right="0" w:rightChars="0"/>
                    <w:jc w:val="center"/>
                    <w:textAlignment w:val="auto"/>
                    <w:rPr>
                      <w:rFonts w:hint="default" w:ascii="Times New Roman" w:hAnsi="Times New Roman" w:eastAsia="宋体" w:cs="Times New Roman"/>
                      <w:kern w:val="2"/>
                      <w:sz w:val="18"/>
                      <w:szCs w:val="18"/>
                      <w:highlight w:val="none"/>
                      <w:lang w:val="en-US" w:eastAsia="zh-CN" w:bidi="ar-SA"/>
                    </w:rPr>
                  </w:pPr>
                  <w:r>
                    <w:rPr>
                      <w:rFonts w:hint="eastAsia" w:ascii="Times New Roman" w:hAnsi="Times New Roman" w:eastAsia="宋体" w:cs="Times New Roman"/>
                      <w:sz w:val="18"/>
                      <w:szCs w:val="18"/>
                      <w:highlight w:val="none"/>
                      <w:lang w:val="en-US" w:eastAsia="zh-CN"/>
                    </w:rPr>
                    <w:t>21</w:t>
                  </w:r>
                </w:p>
              </w:tc>
              <w:tc>
                <w:tcPr>
                  <w:tcW w:w="930" w:type="dxa"/>
                  <w:tcBorders>
                    <w:top w:val="single" w:color="auto" w:sz="4" w:space="0"/>
                    <w:left w:val="single" w:color="auto" w:sz="4" w:space="0"/>
                    <w:bottom w:val="single" w:color="auto" w:sz="4" w:space="0"/>
                    <w:right w:val="single" w:color="auto" w:sz="4" w:space="0"/>
                  </w:tcBorders>
                  <w:shd w:val="clear" w:color="auto" w:fill="auto"/>
                  <w:vAlign w:val="center"/>
                </w:tcPr>
                <w:p w14:paraId="619E7475">
                  <w:pPr>
                    <w:pStyle w:val="129"/>
                    <w:keepNext w:val="0"/>
                    <w:keepLines w:val="0"/>
                    <w:suppressLineNumbers w:val="0"/>
                    <w:spacing w:before="0" w:beforeAutospacing="0" w:after="0" w:afterAutospacing="0"/>
                    <w:ind w:left="0" w:right="0"/>
                    <w:rPr>
                      <w:rFonts w:hint="eastAsia" w:ascii="Times New Roman" w:hAnsi="Times New Roman" w:eastAsia="宋体" w:cs="Times New Roman"/>
                      <w:color w:val="auto"/>
                      <w:kern w:val="0"/>
                      <w:sz w:val="18"/>
                      <w:szCs w:val="18"/>
                      <w:highlight w:val="none"/>
                      <w:lang w:val="en-US" w:eastAsia="zh-CN" w:bidi="ar-SA"/>
                    </w:rPr>
                  </w:pPr>
                  <w:r>
                    <w:rPr>
                      <w:rFonts w:hint="eastAsia" w:ascii="Times New Roman" w:hAnsi="Times New Roman" w:eastAsia="宋体" w:cs="Times New Roman"/>
                      <w:color w:val="auto"/>
                      <w:sz w:val="18"/>
                      <w:szCs w:val="18"/>
                      <w:highlight w:val="none"/>
                    </w:rPr>
                    <w:t>废</w:t>
                  </w:r>
                  <w:r>
                    <w:rPr>
                      <w:rFonts w:hint="default" w:ascii="Times New Roman" w:hAnsi="Times New Roman" w:eastAsia="宋体" w:cs="Times New Roman"/>
                      <w:color w:val="auto"/>
                      <w:sz w:val="18"/>
                      <w:szCs w:val="18"/>
                      <w:highlight w:val="none"/>
                    </w:rPr>
                    <w:t>树脂</w:t>
                  </w:r>
                </w:p>
              </w:tc>
              <w:tc>
                <w:tcPr>
                  <w:tcW w:w="675" w:type="dxa"/>
                  <w:tcBorders>
                    <w:top w:val="single" w:color="auto" w:sz="4" w:space="0"/>
                    <w:left w:val="single" w:color="auto" w:sz="4" w:space="0"/>
                    <w:bottom w:val="single" w:color="auto" w:sz="4" w:space="0"/>
                    <w:right w:val="single" w:color="auto" w:sz="4" w:space="0"/>
                  </w:tcBorders>
                  <w:shd w:val="clear" w:color="auto" w:fill="auto"/>
                  <w:vAlign w:val="center"/>
                </w:tcPr>
                <w:p w14:paraId="7B173E73">
                  <w:pPr>
                    <w:pStyle w:val="129"/>
                    <w:keepNext w:val="0"/>
                    <w:keepLines w:val="0"/>
                    <w:suppressLineNumbers w:val="0"/>
                    <w:spacing w:before="0" w:beforeAutospacing="0" w:after="0" w:afterAutospacing="0"/>
                    <w:ind w:left="0" w:right="0"/>
                    <w:rPr>
                      <w:rFonts w:hint="eastAsia" w:ascii="Times New Roman" w:hAnsi="Times New Roman" w:eastAsia="宋体" w:cs="Times New Roman"/>
                      <w:color w:val="auto"/>
                      <w:kern w:val="0"/>
                      <w:sz w:val="18"/>
                      <w:szCs w:val="18"/>
                      <w:highlight w:val="none"/>
                      <w:lang w:val="en-US" w:eastAsia="zh-CN" w:bidi="ar-SA"/>
                    </w:rPr>
                  </w:pPr>
                  <w:r>
                    <w:rPr>
                      <w:rFonts w:hint="eastAsia" w:ascii="Times New Roman" w:hAnsi="Times New Roman" w:eastAsia="宋体" w:cs="Times New Roman"/>
                      <w:color w:val="auto"/>
                      <w:sz w:val="18"/>
                      <w:szCs w:val="18"/>
                      <w:highlight w:val="none"/>
                    </w:rPr>
                    <w:t>原水</w:t>
                  </w:r>
                  <w:r>
                    <w:rPr>
                      <w:rFonts w:hint="default" w:ascii="Times New Roman" w:hAnsi="Times New Roman" w:eastAsia="宋体" w:cs="Times New Roman"/>
                      <w:color w:val="auto"/>
                      <w:sz w:val="18"/>
                      <w:szCs w:val="18"/>
                      <w:highlight w:val="none"/>
                    </w:rPr>
                    <w:t>净化</w:t>
                  </w:r>
                </w:p>
              </w:tc>
              <w:tc>
                <w:tcPr>
                  <w:tcW w:w="615" w:type="dxa"/>
                  <w:tcBorders>
                    <w:top w:val="single" w:color="auto" w:sz="4" w:space="0"/>
                    <w:left w:val="single" w:color="auto" w:sz="4" w:space="0"/>
                    <w:bottom w:val="single" w:color="auto" w:sz="4" w:space="0"/>
                    <w:right w:val="single" w:color="auto" w:sz="4" w:space="0"/>
                  </w:tcBorders>
                  <w:vAlign w:val="center"/>
                </w:tcPr>
                <w:p w14:paraId="6D684B19">
                  <w:pPr>
                    <w:keepNext w:val="0"/>
                    <w:keepLines w:val="0"/>
                    <w:pageBreakBefore w:val="0"/>
                    <w:suppressLineNumbers w:val="0"/>
                    <w:kinsoku/>
                    <w:wordWrap/>
                    <w:overflowPunct/>
                    <w:topLinePunct w:val="0"/>
                    <w:autoSpaceDE/>
                    <w:autoSpaceDN/>
                    <w:bidi w:val="0"/>
                    <w:adjustRightInd w:val="0"/>
                    <w:snapToGrid w:val="0"/>
                    <w:spacing w:before="0" w:beforeAutospacing="0" w:after="0" w:afterAutospacing="0" w:line="264" w:lineRule="auto"/>
                    <w:ind w:left="0" w:right="0"/>
                    <w:jc w:val="center"/>
                    <w:textAlignment w:val="auto"/>
                    <w:rPr>
                      <w:rFonts w:hint="default" w:ascii="Times New Roman" w:hAnsi="Times New Roman" w:eastAsia="宋体" w:cs="Times New Roman"/>
                      <w:sz w:val="18"/>
                      <w:szCs w:val="18"/>
                      <w:highlight w:val="none"/>
                      <w:lang w:val="en-US" w:eastAsia="zh-CN"/>
                    </w:rPr>
                  </w:pPr>
                  <w:r>
                    <w:rPr>
                      <w:rFonts w:hint="eastAsia" w:ascii="Times New Roman" w:hAnsi="Times New Roman" w:eastAsia="宋体" w:cs="Times New Roman"/>
                      <w:sz w:val="18"/>
                      <w:szCs w:val="18"/>
                      <w:highlight w:val="none"/>
                      <w:lang w:val="en-US" w:eastAsia="zh-CN"/>
                    </w:rPr>
                    <w:t>2</w:t>
                  </w:r>
                </w:p>
              </w:tc>
              <w:tc>
                <w:tcPr>
                  <w:tcW w:w="5673" w:type="dxa"/>
                  <w:tcBorders>
                    <w:top w:val="single" w:color="auto" w:sz="4" w:space="0"/>
                    <w:left w:val="single" w:color="auto" w:sz="4" w:space="0"/>
                    <w:bottom w:val="single" w:color="auto" w:sz="4" w:space="0"/>
                    <w:right w:val="single" w:color="auto" w:sz="4" w:space="0"/>
                  </w:tcBorders>
                  <w:vAlign w:val="center"/>
                </w:tcPr>
                <w:p w14:paraId="79583A74">
                  <w:pPr>
                    <w:keepNext w:val="0"/>
                    <w:keepLines w:val="0"/>
                    <w:pageBreakBefore w:val="0"/>
                    <w:suppressLineNumbers w:val="0"/>
                    <w:kinsoku/>
                    <w:wordWrap/>
                    <w:overflowPunct/>
                    <w:topLinePunct w:val="0"/>
                    <w:autoSpaceDE/>
                    <w:autoSpaceDN/>
                    <w:bidi w:val="0"/>
                    <w:adjustRightInd w:val="0"/>
                    <w:snapToGrid w:val="0"/>
                    <w:spacing w:before="0" w:beforeAutospacing="0" w:after="0" w:afterAutospacing="0" w:line="264" w:lineRule="auto"/>
                    <w:ind w:left="0" w:right="0"/>
                    <w:textAlignment w:val="auto"/>
                    <w:rPr>
                      <w:rFonts w:hint="eastAsia" w:ascii="Times New Roman" w:hAnsi="Times New Roman" w:eastAsia="宋体" w:cs="Times New Roman"/>
                      <w:sz w:val="18"/>
                      <w:szCs w:val="18"/>
                      <w:highlight w:val="none"/>
                      <w:lang w:eastAsia="zh-CN"/>
                    </w:rPr>
                  </w:pPr>
                  <w:r>
                    <w:rPr>
                      <w:rFonts w:hint="default" w:ascii="Times New Roman" w:hAnsi="Times New Roman" w:eastAsia="宋体" w:cs="Times New Roman"/>
                      <w:sz w:val="18"/>
                      <w:szCs w:val="18"/>
                      <w:highlight w:val="none"/>
                    </w:rPr>
                    <w:t>纯水系统中树脂更换周期为2</w:t>
                  </w:r>
                  <w:r>
                    <w:rPr>
                      <w:rFonts w:hint="eastAsia" w:ascii="Times New Roman" w:hAnsi="Times New Roman" w:eastAsia="宋体" w:cs="Times New Roman"/>
                      <w:sz w:val="18"/>
                      <w:szCs w:val="18"/>
                      <w:highlight w:val="none"/>
                    </w:rPr>
                    <w:t>次/年</w:t>
                  </w:r>
                  <w:r>
                    <w:rPr>
                      <w:rFonts w:hint="default" w:ascii="Times New Roman" w:hAnsi="Times New Roman" w:eastAsia="宋体" w:cs="Times New Roman"/>
                      <w:sz w:val="18"/>
                      <w:szCs w:val="18"/>
                      <w:highlight w:val="none"/>
                    </w:rPr>
                    <w:t>，</w:t>
                  </w:r>
                  <w:r>
                    <w:rPr>
                      <w:rFonts w:hint="eastAsia" w:ascii="Times New Roman" w:hAnsi="Times New Roman" w:eastAsia="宋体" w:cs="Times New Roman"/>
                      <w:sz w:val="18"/>
                      <w:szCs w:val="18"/>
                      <w:highlight w:val="none"/>
                    </w:rPr>
                    <w:t>年</w:t>
                  </w:r>
                  <w:r>
                    <w:rPr>
                      <w:rFonts w:hint="eastAsia" w:cs="Times New Roman"/>
                      <w:sz w:val="18"/>
                      <w:szCs w:val="18"/>
                      <w:highlight w:val="none"/>
                      <w:lang w:val="en-US" w:eastAsia="zh-CN"/>
                    </w:rPr>
                    <w:t>产生</w:t>
                  </w:r>
                  <w:r>
                    <w:rPr>
                      <w:rFonts w:hint="default" w:ascii="Times New Roman" w:hAnsi="Times New Roman" w:eastAsia="宋体" w:cs="Times New Roman"/>
                      <w:sz w:val="18"/>
                      <w:szCs w:val="18"/>
                      <w:highlight w:val="none"/>
                    </w:rPr>
                    <w:t>量约2t/a</w:t>
                  </w:r>
                  <w:r>
                    <w:rPr>
                      <w:rFonts w:hint="eastAsia" w:ascii="Times New Roman" w:hAnsi="Times New Roman" w:eastAsia="宋体" w:cs="Times New Roman"/>
                      <w:sz w:val="18"/>
                      <w:szCs w:val="18"/>
                      <w:highlight w:val="none"/>
                      <w:lang w:eastAsia="zh-CN"/>
                    </w:rPr>
                    <w:t>。</w:t>
                  </w:r>
                </w:p>
              </w:tc>
            </w:tr>
            <w:tr w14:paraId="74519B3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0" w:hRule="atLeast"/>
                <w:jc w:val="center"/>
              </w:trPr>
              <w:tc>
                <w:tcPr>
                  <w:tcW w:w="365" w:type="dxa"/>
                  <w:tcBorders>
                    <w:top w:val="single" w:color="auto" w:sz="4" w:space="0"/>
                    <w:left w:val="single" w:color="auto" w:sz="4" w:space="0"/>
                    <w:bottom w:val="single" w:color="auto" w:sz="4" w:space="0"/>
                    <w:right w:val="single" w:color="auto" w:sz="4" w:space="0"/>
                  </w:tcBorders>
                  <w:shd w:val="clear" w:color="auto" w:fill="auto"/>
                  <w:vAlign w:val="center"/>
                </w:tcPr>
                <w:p w14:paraId="098B2F54">
                  <w:pPr>
                    <w:keepNext w:val="0"/>
                    <w:keepLines w:val="0"/>
                    <w:pageBreakBefore w:val="0"/>
                    <w:suppressLineNumbers w:val="0"/>
                    <w:kinsoku/>
                    <w:wordWrap/>
                    <w:overflowPunct/>
                    <w:topLinePunct w:val="0"/>
                    <w:autoSpaceDE/>
                    <w:autoSpaceDN/>
                    <w:bidi w:val="0"/>
                    <w:adjustRightInd w:val="0"/>
                    <w:snapToGrid w:val="0"/>
                    <w:spacing w:before="0" w:beforeAutospacing="0" w:after="0" w:afterAutospacing="0" w:line="264" w:lineRule="auto"/>
                    <w:ind w:left="0" w:leftChars="0" w:right="0" w:rightChars="0"/>
                    <w:jc w:val="center"/>
                    <w:textAlignment w:val="auto"/>
                    <w:rPr>
                      <w:rFonts w:hint="default" w:ascii="Times New Roman" w:hAnsi="Times New Roman" w:eastAsia="宋体" w:cs="Times New Roman"/>
                      <w:kern w:val="2"/>
                      <w:sz w:val="18"/>
                      <w:szCs w:val="18"/>
                      <w:highlight w:val="none"/>
                      <w:lang w:val="en-US" w:eastAsia="zh-CN" w:bidi="ar-SA"/>
                    </w:rPr>
                  </w:pPr>
                  <w:r>
                    <w:rPr>
                      <w:rFonts w:hint="eastAsia" w:ascii="Times New Roman" w:hAnsi="Times New Roman" w:eastAsia="宋体" w:cs="Times New Roman"/>
                      <w:sz w:val="18"/>
                      <w:szCs w:val="18"/>
                      <w:highlight w:val="none"/>
                      <w:lang w:val="en-US" w:eastAsia="zh-CN"/>
                    </w:rPr>
                    <w:t>22</w:t>
                  </w:r>
                </w:p>
              </w:tc>
              <w:tc>
                <w:tcPr>
                  <w:tcW w:w="930" w:type="dxa"/>
                  <w:tcBorders>
                    <w:top w:val="single" w:color="auto" w:sz="4" w:space="0"/>
                    <w:left w:val="single" w:color="auto" w:sz="4" w:space="0"/>
                    <w:bottom w:val="single" w:color="auto" w:sz="4" w:space="0"/>
                    <w:right w:val="single" w:color="auto" w:sz="4" w:space="0"/>
                  </w:tcBorders>
                  <w:shd w:val="clear" w:color="auto" w:fill="auto"/>
                  <w:vAlign w:val="center"/>
                </w:tcPr>
                <w:p w14:paraId="3ED13EF6">
                  <w:pPr>
                    <w:pStyle w:val="129"/>
                    <w:keepNext w:val="0"/>
                    <w:keepLines w:val="0"/>
                    <w:suppressLineNumbers w:val="0"/>
                    <w:spacing w:before="0" w:beforeAutospacing="0" w:after="0" w:afterAutospacing="0"/>
                    <w:ind w:left="0" w:right="0"/>
                    <w:rPr>
                      <w:rFonts w:hint="eastAsia" w:ascii="Times New Roman" w:hAnsi="Times New Roman" w:eastAsia="宋体" w:cs="Times New Roman"/>
                      <w:color w:val="auto"/>
                      <w:sz w:val="18"/>
                      <w:szCs w:val="18"/>
                      <w:highlight w:val="none"/>
                      <w:lang w:val="en-US" w:eastAsia="zh-CN"/>
                    </w:rPr>
                  </w:pPr>
                  <w:r>
                    <w:rPr>
                      <w:rFonts w:hint="eastAsia" w:ascii="Times New Roman" w:hAnsi="Times New Roman" w:eastAsia="宋体" w:cs="Times New Roman"/>
                      <w:color w:val="auto"/>
                      <w:sz w:val="18"/>
                      <w:szCs w:val="18"/>
                      <w:highlight w:val="none"/>
                      <w:lang w:val="en-US" w:eastAsia="zh-CN"/>
                    </w:rPr>
                    <w:t>废石英砂</w:t>
                  </w:r>
                </w:p>
              </w:tc>
              <w:tc>
                <w:tcPr>
                  <w:tcW w:w="675" w:type="dxa"/>
                  <w:tcBorders>
                    <w:top w:val="single" w:color="auto" w:sz="4" w:space="0"/>
                    <w:left w:val="single" w:color="auto" w:sz="4" w:space="0"/>
                    <w:bottom w:val="single" w:color="auto" w:sz="4" w:space="0"/>
                    <w:right w:val="single" w:color="auto" w:sz="4" w:space="0"/>
                  </w:tcBorders>
                  <w:shd w:val="clear" w:color="auto" w:fill="auto"/>
                  <w:vAlign w:val="center"/>
                </w:tcPr>
                <w:p w14:paraId="5479C136">
                  <w:pPr>
                    <w:pStyle w:val="129"/>
                    <w:keepNext w:val="0"/>
                    <w:keepLines w:val="0"/>
                    <w:suppressLineNumbers w:val="0"/>
                    <w:spacing w:before="0" w:beforeAutospacing="0" w:after="0" w:afterAutospacing="0"/>
                    <w:ind w:left="0" w:right="0"/>
                    <w:rPr>
                      <w:rFonts w:hint="eastAsia" w:ascii="Times New Roman" w:hAnsi="Times New Roman" w:eastAsia="宋体" w:cs="Times New Roman"/>
                      <w:color w:val="auto"/>
                      <w:sz w:val="18"/>
                      <w:szCs w:val="18"/>
                      <w:highlight w:val="none"/>
                    </w:rPr>
                  </w:pPr>
                  <w:r>
                    <w:rPr>
                      <w:rFonts w:hint="eastAsia" w:ascii="Times New Roman" w:hAnsi="Times New Roman" w:eastAsia="宋体" w:cs="Times New Roman"/>
                      <w:color w:val="auto"/>
                      <w:sz w:val="18"/>
                      <w:szCs w:val="18"/>
                      <w:highlight w:val="none"/>
                    </w:rPr>
                    <w:t>原水</w:t>
                  </w:r>
                  <w:r>
                    <w:rPr>
                      <w:rFonts w:hint="default" w:ascii="Times New Roman" w:hAnsi="Times New Roman" w:eastAsia="宋体" w:cs="Times New Roman"/>
                      <w:color w:val="auto"/>
                      <w:sz w:val="18"/>
                      <w:szCs w:val="18"/>
                      <w:highlight w:val="none"/>
                    </w:rPr>
                    <w:t>净化</w:t>
                  </w:r>
                </w:p>
              </w:tc>
              <w:tc>
                <w:tcPr>
                  <w:tcW w:w="615" w:type="dxa"/>
                  <w:tcBorders>
                    <w:top w:val="single" w:color="auto" w:sz="4" w:space="0"/>
                    <w:left w:val="single" w:color="auto" w:sz="4" w:space="0"/>
                    <w:bottom w:val="single" w:color="auto" w:sz="4" w:space="0"/>
                    <w:right w:val="single" w:color="auto" w:sz="4" w:space="0"/>
                  </w:tcBorders>
                  <w:vAlign w:val="center"/>
                </w:tcPr>
                <w:p w14:paraId="343D3315">
                  <w:pPr>
                    <w:keepNext w:val="0"/>
                    <w:keepLines w:val="0"/>
                    <w:pageBreakBefore w:val="0"/>
                    <w:suppressLineNumbers w:val="0"/>
                    <w:kinsoku/>
                    <w:wordWrap/>
                    <w:overflowPunct/>
                    <w:topLinePunct w:val="0"/>
                    <w:autoSpaceDE/>
                    <w:autoSpaceDN/>
                    <w:bidi w:val="0"/>
                    <w:adjustRightInd w:val="0"/>
                    <w:snapToGrid w:val="0"/>
                    <w:spacing w:before="0" w:beforeAutospacing="0" w:after="0" w:afterAutospacing="0" w:line="264" w:lineRule="auto"/>
                    <w:ind w:left="0" w:right="0"/>
                    <w:jc w:val="center"/>
                    <w:textAlignment w:val="auto"/>
                    <w:rPr>
                      <w:rFonts w:hint="default" w:ascii="Times New Roman" w:hAnsi="Times New Roman" w:eastAsia="宋体" w:cs="Times New Roman"/>
                      <w:sz w:val="18"/>
                      <w:szCs w:val="18"/>
                      <w:highlight w:val="none"/>
                      <w:lang w:val="en-US" w:eastAsia="zh-CN"/>
                    </w:rPr>
                  </w:pPr>
                  <w:r>
                    <w:rPr>
                      <w:rFonts w:hint="eastAsia" w:ascii="Times New Roman" w:hAnsi="Times New Roman" w:eastAsia="宋体" w:cs="Times New Roman"/>
                      <w:sz w:val="18"/>
                      <w:szCs w:val="18"/>
                      <w:highlight w:val="none"/>
                      <w:lang w:val="en-US" w:eastAsia="zh-CN"/>
                    </w:rPr>
                    <w:t>0.2</w:t>
                  </w:r>
                </w:p>
              </w:tc>
              <w:tc>
                <w:tcPr>
                  <w:tcW w:w="5673" w:type="dxa"/>
                  <w:tcBorders>
                    <w:top w:val="single" w:color="auto" w:sz="4" w:space="0"/>
                    <w:left w:val="single" w:color="auto" w:sz="4" w:space="0"/>
                    <w:bottom w:val="single" w:color="auto" w:sz="4" w:space="0"/>
                    <w:right w:val="single" w:color="auto" w:sz="4" w:space="0"/>
                  </w:tcBorders>
                  <w:vAlign w:val="center"/>
                </w:tcPr>
                <w:p w14:paraId="614D6479">
                  <w:pPr>
                    <w:keepNext w:val="0"/>
                    <w:keepLines w:val="0"/>
                    <w:pageBreakBefore w:val="0"/>
                    <w:suppressLineNumbers w:val="0"/>
                    <w:kinsoku/>
                    <w:wordWrap/>
                    <w:overflowPunct/>
                    <w:topLinePunct w:val="0"/>
                    <w:autoSpaceDE/>
                    <w:autoSpaceDN/>
                    <w:bidi w:val="0"/>
                    <w:adjustRightInd w:val="0"/>
                    <w:snapToGrid w:val="0"/>
                    <w:spacing w:before="0" w:beforeAutospacing="0" w:after="0" w:afterAutospacing="0" w:line="264" w:lineRule="auto"/>
                    <w:ind w:left="0" w:right="0"/>
                    <w:textAlignment w:val="auto"/>
                    <w:rPr>
                      <w:rFonts w:hint="default" w:ascii="Times New Roman" w:hAnsi="Times New Roman" w:eastAsia="宋体" w:cs="Times New Roman"/>
                      <w:sz w:val="18"/>
                      <w:szCs w:val="18"/>
                      <w:highlight w:val="none"/>
                    </w:rPr>
                  </w:pPr>
                  <w:r>
                    <w:rPr>
                      <w:rFonts w:hint="eastAsia" w:ascii="Times New Roman" w:hAnsi="Times New Roman" w:eastAsia="宋体" w:cs="Times New Roman"/>
                      <w:color w:val="auto"/>
                      <w:sz w:val="18"/>
                      <w:szCs w:val="18"/>
                      <w:highlight w:val="none"/>
                      <w:lang w:val="en-US" w:eastAsia="zh-CN"/>
                    </w:rPr>
                    <w:t>项目纯水制备过程会产生废</w:t>
                  </w:r>
                  <w:r>
                    <w:rPr>
                      <w:rFonts w:hint="eastAsia" w:ascii="Times New Roman" w:hAnsi="Times New Roman" w:eastAsia="宋体" w:cs="Times New Roman"/>
                      <w:sz w:val="18"/>
                      <w:szCs w:val="18"/>
                      <w:highlight w:val="none"/>
                      <w:lang w:val="en-US" w:eastAsia="zh-CN"/>
                    </w:rPr>
                    <w:t>石英砂</w:t>
                  </w:r>
                  <w:r>
                    <w:rPr>
                      <w:rFonts w:hint="eastAsia" w:ascii="Times New Roman" w:hAnsi="Times New Roman" w:eastAsia="宋体" w:cs="Times New Roman"/>
                      <w:color w:val="auto"/>
                      <w:sz w:val="18"/>
                      <w:szCs w:val="18"/>
                      <w:highlight w:val="none"/>
                      <w:lang w:val="en-US" w:eastAsia="zh-CN"/>
                    </w:rPr>
                    <w:t>，根据建设单位提供的资料，废</w:t>
                  </w:r>
                  <w:r>
                    <w:rPr>
                      <w:rFonts w:hint="eastAsia" w:ascii="Times New Roman" w:hAnsi="Times New Roman" w:eastAsia="宋体" w:cs="Times New Roman"/>
                      <w:sz w:val="18"/>
                      <w:szCs w:val="18"/>
                      <w:highlight w:val="none"/>
                      <w:lang w:val="en-US" w:eastAsia="zh-CN"/>
                    </w:rPr>
                    <w:t>石英砂</w:t>
                  </w:r>
                  <w:r>
                    <w:rPr>
                      <w:rFonts w:hint="eastAsia" w:ascii="Times New Roman" w:hAnsi="Times New Roman" w:eastAsia="宋体" w:cs="Times New Roman"/>
                      <w:color w:val="auto"/>
                      <w:sz w:val="18"/>
                      <w:szCs w:val="18"/>
                      <w:highlight w:val="none"/>
                      <w:lang w:val="en-US" w:eastAsia="zh-CN"/>
                    </w:rPr>
                    <w:t>产生量约为0.2t/a。</w:t>
                  </w:r>
                </w:p>
              </w:tc>
            </w:tr>
            <w:tr w14:paraId="0595E1C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0" w:hRule="atLeast"/>
                <w:jc w:val="center"/>
              </w:trPr>
              <w:tc>
                <w:tcPr>
                  <w:tcW w:w="365" w:type="dxa"/>
                  <w:tcBorders>
                    <w:top w:val="single" w:color="auto" w:sz="4" w:space="0"/>
                    <w:left w:val="single" w:color="auto" w:sz="4" w:space="0"/>
                    <w:bottom w:val="single" w:color="auto" w:sz="4" w:space="0"/>
                    <w:right w:val="single" w:color="auto" w:sz="4" w:space="0"/>
                  </w:tcBorders>
                  <w:shd w:val="clear" w:color="auto" w:fill="auto"/>
                  <w:vAlign w:val="center"/>
                </w:tcPr>
                <w:p w14:paraId="01B8ABEF">
                  <w:pPr>
                    <w:keepNext w:val="0"/>
                    <w:keepLines w:val="0"/>
                    <w:pageBreakBefore w:val="0"/>
                    <w:suppressLineNumbers w:val="0"/>
                    <w:kinsoku/>
                    <w:wordWrap/>
                    <w:overflowPunct/>
                    <w:topLinePunct w:val="0"/>
                    <w:autoSpaceDE/>
                    <w:autoSpaceDN/>
                    <w:bidi w:val="0"/>
                    <w:adjustRightInd w:val="0"/>
                    <w:snapToGrid w:val="0"/>
                    <w:spacing w:before="0" w:beforeAutospacing="0" w:after="0" w:afterAutospacing="0" w:line="264" w:lineRule="auto"/>
                    <w:ind w:left="0" w:leftChars="0" w:right="0" w:rightChars="0"/>
                    <w:jc w:val="center"/>
                    <w:textAlignment w:val="auto"/>
                    <w:rPr>
                      <w:rFonts w:hint="default" w:ascii="Times New Roman" w:hAnsi="Times New Roman" w:eastAsia="宋体" w:cs="Times New Roman"/>
                      <w:kern w:val="2"/>
                      <w:sz w:val="18"/>
                      <w:szCs w:val="18"/>
                      <w:highlight w:val="none"/>
                      <w:lang w:val="en-US" w:eastAsia="zh-CN" w:bidi="ar-SA"/>
                    </w:rPr>
                  </w:pPr>
                  <w:r>
                    <w:rPr>
                      <w:rFonts w:hint="eastAsia" w:cs="Times New Roman"/>
                      <w:sz w:val="18"/>
                      <w:szCs w:val="18"/>
                      <w:highlight w:val="none"/>
                      <w:lang w:val="en-US" w:eastAsia="zh-CN"/>
                    </w:rPr>
                    <w:t>23</w:t>
                  </w:r>
                </w:p>
              </w:tc>
              <w:tc>
                <w:tcPr>
                  <w:tcW w:w="930" w:type="dxa"/>
                  <w:tcBorders>
                    <w:top w:val="single" w:color="auto" w:sz="4" w:space="0"/>
                    <w:left w:val="single" w:color="auto" w:sz="4" w:space="0"/>
                    <w:bottom w:val="single" w:color="auto" w:sz="4" w:space="0"/>
                    <w:right w:val="single" w:color="auto" w:sz="4" w:space="0"/>
                  </w:tcBorders>
                  <w:shd w:val="clear" w:color="auto" w:fill="auto"/>
                  <w:vAlign w:val="center"/>
                </w:tcPr>
                <w:p w14:paraId="122049D6">
                  <w:pPr>
                    <w:pStyle w:val="129"/>
                    <w:keepNext w:val="0"/>
                    <w:keepLines w:val="0"/>
                    <w:suppressLineNumbers w:val="0"/>
                    <w:spacing w:before="0" w:beforeAutospacing="0" w:after="0" w:afterAutospacing="0"/>
                    <w:ind w:left="0" w:right="0"/>
                    <w:rPr>
                      <w:rFonts w:hint="eastAsia" w:ascii="Times New Roman" w:hAnsi="Times New Roman" w:eastAsia="宋体" w:cs="Times New Roman"/>
                      <w:color w:val="auto"/>
                      <w:sz w:val="18"/>
                      <w:szCs w:val="18"/>
                      <w:highlight w:val="none"/>
                      <w:lang w:val="en-US" w:eastAsia="zh-CN"/>
                    </w:rPr>
                  </w:pPr>
                  <w:r>
                    <w:rPr>
                      <w:rFonts w:hint="eastAsia" w:ascii="Times New Roman" w:hAnsi="Times New Roman" w:eastAsia="宋体" w:cs="Times New Roman"/>
                      <w:color w:val="auto"/>
                      <w:sz w:val="18"/>
                      <w:szCs w:val="18"/>
                      <w:highlight w:val="none"/>
                      <w:lang w:val="en-US" w:eastAsia="zh-CN"/>
                    </w:rPr>
                    <w:t>废活性炭</w:t>
                  </w:r>
                </w:p>
              </w:tc>
              <w:tc>
                <w:tcPr>
                  <w:tcW w:w="675" w:type="dxa"/>
                  <w:tcBorders>
                    <w:top w:val="single" w:color="auto" w:sz="4" w:space="0"/>
                    <w:left w:val="single" w:color="auto" w:sz="4" w:space="0"/>
                    <w:bottom w:val="single" w:color="auto" w:sz="4" w:space="0"/>
                    <w:right w:val="single" w:color="auto" w:sz="4" w:space="0"/>
                  </w:tcBorders>
                  <w:shd w:val="clear" w:color="auto" w:fill="auto"/>
                  <w:vAlign w:val="center"/>
                </w:tcPr>
                <w:p w14:paraId="4D0A23E1">
                  <w:pPr>
                    <w:pStyle w:val="129"/>
                    <w:keepNext w:val="0"/>
                    <w:keepLines w:val="0"/>
                    <w:suppressLineNumbers w:val="0"/>
                    <w:spacing w:before="0" w:beforeAutospacing="0" w:after="0" w:afterAutospacing="0"/>
                    <w:ind w:left="0" w:right="0"/>
                    <w:rPr>
                      <w:rFonts w:hint="eastAsia" w:ascii="Times New Roman" w:hAnsi="Times New Roman" w:eastAsia="宋体" w:cs="Times New Roman"/>
                      <w:color w:val="auto"/>
                      <w:sz w:val="18"/>
                      <w:szCs w:val="18"/>
                      <w:highlight w:val="none"/>
                    </w:rPr>
                  </w:pPr>
                  <w:r>
                    <w:rPr>
                      <w:rFonts w:hint="eastAsia" w:ascii="Times New Roman" w:hAnsi="Times New Roman" w:eastAsia="宋体" w:cs="Times New Roman"/>
                      <w:color w:val="auto"/>
                      <w:sz w:val="18"/>
                      <w:szCs w:val="18"/>
                      <w:highlight w:val="none"/>
                    </w:rPr>
                    <w:t>原水</w:t>
                  </w:r>
                  <w:r>
                    <w:rPr>
                      <w:rFonts w:hint="default" w:ascii="Times New Roman" w:hAnsi="Times New Roman" w:eastAsia="宋体" w:cs="Times New Roman"/>
                      <w:color w:val="auto"/>
                      <w:sz w:val="18"/>
                      <w:szCs w:val="18"/>
                      <w:highlight w:val="none"/>
                    </w:rPr>
                    <w:t>净化</w:t>
                  </w:r>
                </w:p>
              </w:tc>
              <w:tc>
                <w:tcPr>
                  <w:tcW w:w="615" w:type="dxa"/>
                  <w:tcBorders>
                    <w:top w:val="single" w:color="auto" w:sz="4" w:space="0"/>
                    <w:left w:val="single" w:color="auto" w:sz="4" w:space="0"/>
                    <w:bottom w:val="single" w:color="auto" w:sz="4" w:space="0"/>
                    <w:right w:val="single" w:color="auto" w:sz="4" w:space="0"/>
                  </w:tcBorders>
                  <w:vAlign w:val="center"/>
                </w:tcPr>
                <w:p w14:paraId="0B0E810D">
                  <w:pPr>
                    <w:keepNext w:val="0"/>
                    <w:keepLines w:val="0"/>
                    <w:pageBreakBefore w:val="0"/>
                    <w:suppressLineNumbers w:val="0"/>
                    <w:kinsoku/>
                    <w:wordWrap/>
                    <w:overflowPunct/>
                    <w:topLinePunct w:val="0"/>
                    <w:autoSpaceDE/>
                    <w:autoSpaceDN/>
                    <w:bidi w:val="0"/>
                    <w:adjustRightInd w:val="0"/>
                    <w:snapToGrid w:val="0"/>
                    <w:spacing w:before="0" w:beforeAutospacing="0" w:after="0" w:afterAutospacing="0" w:line="264" w:lineRule="auto"/>
                    <w:ind w:left="0" w:right="0"/>
                    <w:jc w:val="center"/>
                    <w:textAlignment w:val="auto"/>
                    <w:rPr>
                      <w:rFonts w:hint="default" w:ascii="Times New Roman" w:hAnsi="Times New Roman" w:eastAsia="宋体" w:cs="Times New Roman"/>
                      <w:sz w:val="18"/>
                      <w:szCs w:val="18"/>
                      <w:highlight w:val="none"/>
                      <w:lang w:val="en-US" w:eastAsia="zh-CN"/>
                    </w:rPr>
                  </w:pPr>
                  <w:r>
                    <w:rPr>
                      <w:rFonts w:hint="eastAsia" w:ascii="Times New Roman" w:hAnsi="Times New Roman" w:eastAsia="宋体" w:cs="Times New Roman"/>
                      <w:sz w:val="18"/>
                      <w:szCs w:val="18"/>
                      <w:highlight w:val="none"/>
                      <w:lang w:val="en-US" w:eastAsia="zh-CN"/>
                    </w:rPr>
                    <w:t>0.1</w:t>
                  </w:r>
                </w:p>
              </w:tc>
              <w:tc>
                <w:tcPr>
                  <w:tcW w:w="5673" w:type="dxa"/>
                  <w:tcBorders>
                    <w:top w:val="single" w:color="auto" w:sz="4" w:space="0"/>
                    <w:left w:val="single" w:color="auto" w:sz="4" w:space="0"/>
                    <w:bottom w:val="single" w:color="auto" w:sz="4" w:space="0"/>
                    <w:right w:val="single" w:color="auto" w:sz="4" w:space="0"/>
                  </w:tcBorders>
                  <w:vAlign w:val="center"/>
                </w:tcPr>
                <w:p w14:paraId="0608EB4E">
                  <w:pPr>
                    <w:keepNext w:val="0"/>
                    <w:keepLines w:val="0"/>
                    <w:pageBreakBefore w:val="0"/>
                    <w:suppressLineNumbers w:val="0"/>
                    <w:kinsoku/>
                    <w:wordWrap/>
                    <w:overflowPunct/>
                    <w:topLinePunct w:val="0"/>
                    <w:autoSpaceDE/>
                    <w:autoSpaceDN/>
                    <w:bidi w:val="0"/>
                    <w:adjustRightInd w:val="0"/>
                    <w:snapToGrid w:val="0"/>
                    <w:spacing w:before="0" w:beforeAutospacing="0" w:after="0" w:afterAutospacing="0" w:line="264" w:lineRule="auto"/>
                    <w:ind w:left="0" w:right="0"/>
                    <w:textAlignment w:val="auto"/>
                    <w:rPr>
                      <w:rFonts w:hint="eastAsia" w:ascii="Times New Roman" w:hAnsi="Times New Roman" w:eastAsia="宋体" w:cs="Times New Roman"/>
                      <w:color w:val="auto"/>
                      <w:sz w:val="18"/>
                      <w:szCs w:val="18"/>
                      <w:highlight w:val="none"/>
                      <w:lang w:val="en-US" w:eastAsia="zh-CN"/>
                    </w:rPr>
                  </w:pPr>
                  <w:r>
                    <w:rPr>
                      <w:rFonts w:hint="eastAsia" w:ascii="Times New Roman" w:hAnsi="Times New Roman" w:eastAsia="宋体" w:cs="Times New Roman"/>
                      <w:color w:val="auto"/>
                      <w:sz w:val="18"/>
                      <w:szCs w:val="18"/>
                      <w:highlight w:val="none"/>
                      <w:lang w:val="en-US" w:eastAsia="zh-CN"/>
                    </w:rPr>
                    <w:t>项目纯水制备过程会产生废活性炭，根据建设单位提供的资料，废活性炭产生量约为0.1t/a。</w:t>
                  </w:r>
                </w:p>
              </w:tc>
            </w:tr>
            <w:tr w14:paraId="1D8506A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0" w:hRule="atLeast"/>
                <w:jc w:val="center"/>
              </w:trPr>
              <w:tc>
                <w:tcPr>
                  <w:tcW w:w="365" w:type="dxa"/>
                  <w:tcBorders>
                    <w:top w:val="single" w:color="auto" w:sz="4" w:space="0"/>
                    <w:left w:val="single" w:color="auto" w:sz="4" w:space="0"/>
                    <w:bottom w:val="single" w:color="auto" w:sz="4" w:space="0"/>
                    <w:right w:val="single" w:color="auto" w:sz="4" w:space="0"/>
                  </w:tcBorders>
                  <w:vAlign w:val="center"/>
                </w:tcPr>
                <w:p w14:paraId="7280856E">
                  <w:pPr>
                    <w:keepNext w:val="0"/>
                    <w:keepLines w:val="0"/>
                    <w:pageBreakBefore w:val="0"/>
                    <w:suppressLineNumbers w:val="0"/>
                    <w:kinsoku/>
                    <w:wordWrap/>
                    <w:overflowPunct/>
                    <w:topLinePunct w:val="0"/>
                    <w:autoSpaceDE/>
                    <w:autoSpaceDN/>
                    <w:bidi w:val="0"/>
                    <w:adjustRightInd w:val="0"/>
                    <w:snapToGrid w:val="0"/>
                    <w:spacing w:before="0" w:beforeAutospacing="0" w:after="0" w:afterAutospacing="0" w:line="264" w:lineRule="auto"/>
                    <w:ind w:left="0" w:right="0"/>
                    <w:jc w:val="center"/>
                    <w:textAlignment w:val="auto"/>
                    <w:rPr>
                      <w:rFonts w:hint="default" w:ascii="Times New Roman" w:hAnsi="Times New Roman" w:eastAsia="宋体" w:cs="Times New Roman"/>
                      <w:sz w:val="18"/>
                      <w:szCs w:val="18"/>
                      <w:highlight w:val="none"/>
                      <w:lang w:val="en-US" w:eastAsia="zh-CN"/>
                    </w:rPr>
                  </w:pPr>
                  <w:r>
                    <w:rPr>
                      <w:rFonts w:hint="eastAsia" w:cs="Times New Roman"/>
                      <w:sz w:val="18"/>
                      <w:szCs w:val="18"/>
                      <w:highlight w:val="none"/>
                      <w:lang w:val="en-US" w:eastAsia="zh-CN"/>
                    </w:rPr>
                    <w:t>24</w:t>
                  </w:r>
                </w:p>
              </w:tc>
              <w:tc>
                <w:tcPr>
                  <w:tcW w:w="930" w:type="dxa"/>
                  <w:tcBorders>
                    <w:top w:val="single" w:color="auto" w:sz="4" w:space="0"/>
                    <w:left w:val="single" w:color="auto" w:sz="4" w:space="0"/>
                    <w:bottom w:val="single" w:color="auto" w:sz="4" w:space="0"/>
                    <w:right w:val="single" w:color="auto" w:sz="4" w:space="0"/>
                  </w:tcBorders>
                  <w:shd w:val="clear" w:color="auto" w:fill="auto"/>
                  <w:vAlign w:val="center"/>
                </w:tcPr>
                <w:p w14:paraId="4EF8D369">
                  <w:pPr>
                    <w:pStyle w:val="129"/>
                    <w:keepNext w:val="0"/>
                    <w:keepLines w:val="0"/>
                    <w:suppressLineNumbers w:val="0"/>
                    <w:spacing w:before="0" w:beforeAutospacing="0" w:after="0" w:afterAutospacing="0"/>
                    <w:ind w:left="0" w:right="0"/>
                    <w:rPr>
                      <w:rFonts w:hint="eastAsia" w:ascii="Times New Roman" w:hAnsi="Times New Roman" w:eastAsia="宋体" w:cs="Times New Roman"/>
                      <w:color w:val="auto"/>
                      <w:kern w:val="0"/>
                      <w:sz w:val="18"/>
                      <w:szCs w:val="18"/>
                      <w:highlight w:val="none"/>
                      <w:lang w:val="en-US" w:eastAsia="zh-CN" w:bidi="ar-SA"/>
                    </w:rPr>
                  </w:pPr>
                  <w:r>
                    <w:rPr>
                      <w:rFonts w:hint="eastAsia" w:ascii="Times New Roman" w:hAnsi="Times New Roman" w:eastAsia="宋体" w:cs="Times New Roman"/>
                      <w:color w:val="auto"/>
                      <w:sz w:val="18"/>
                      <w:szCs w:val="18"/>
                      <w:highlight w:val="none"/>
                    </w:rPr>
                    <w:t>生活</w:t>
                  </w:r>
                  <w:r>
                    <w:rPr>
                      <w:rFonts w:hint="default" w:ascii="Times New Roman" w:hAnsi="Times New Roman" w:eastAsia="宋体" w:cs="Times New Roman"/>
                      <w:color w:val="auto"/>
                      <w:sz w:val="18"/>
                      <w:szCs w:val="18"/>
                      <w:highlight w:val="none"/>
                    </w:rPr>
                    <w:t>垃圾</w:t>
                  </w:r>
                </w:p>
              </w:tc>
              <w:tc>
                <w:tcPr>
                  <w:tcW w:w="675" w:type="dxa"/>
                  <w:tcBorders>
                    <w:top w:val="single" w:color="auto" w:sz="4" w:space="0"/>
                    <w:left w:val="single" w:color="auto" w:sz="4" w:space="0"/>
                    <w:bottom w:val="single" w:color="auto" w:sz="4" w:space="0"/>
                    <w:right w:val="single" w:color="auto" w:sz="4" w:space="0"/>
                  </w:tcBorders>
                  <w:shd w:val="clear" w:color="auto" w:fill="auto"/>
                  <w:vAlign w:val="center"/>
                </w:tcPr>
                <w:p w14:paraId="605D1C9C">
                  <w:pPr>
                    <w:pStyle w:val="129"/>
                    <w:keepNext w:val="0"/>
                    <w:keepLines w:val="0"/>
                    <w:suppressLineNumbers w:val="0"/>
                    <w:spacing w:before="0" w:beforeAutospacing="0" w:after="0" w:afterAutospacing="0"/>
                    <w:ind w:left="0" w:right="0"/>
                    <w:rPr>
                      <w:rFonts w:hint="eastAsia" w:ascii="Times New Roman" w:hAnsi="Times New Roman" w:eastAsia="宋体" w:cs="Times New Roman"/>
                      <w:color w:val="auto"/>
                      <w:kern w:val="0"/>
                      <w:sz w:val="18"/>
                      <w:szCs w:val="18"/>
                      <w:highlight w:val="none"/>
                      <w:lang w:val="en-US" w:eastAsia="zh-CN" w:bidi="ar-SA"/>
                    </w:rPr>
                  </w:pPr>
                  <w:r>
                    <w:rPr>
                      <w:rFonts w:hint="default" w:ascii="Times New Roman" w:hAnsi="Times New Roman" w:eastAsia="宋体" w:cs="Times New Roman"/>
                      <w:color w:val="auto"/>
                      <w:sz w:val="18"/>
                      <w:szCs w:val="18"/>
                      <w:highlight w:val="none"/>
                    </w:rPr>
                    <w:t>职工生活</w:t>
                  </w:r>
                </w:p>
              </w:tc>
              <w:tc>
                <w:tcPr>
                  <w:tcW w:w="615" w:type="dxa"/>
                  <w:tcBorders>
                    <w:top w:val="single" w:color="auto" w:sz="4" w:space="0"/>
                    <w:left w:val="single" w:color="auto" w:sz="4" w:space="0"/>
                    <w:bottom w:val="single" w:color="auto" w:sz="4" w:space="0"/>
                    <w:right w:val="single" w:color="auto" w:sz="4" w:space="0"/>
                  </w:tcBorders>
                  <w:vAlign w:val="center"/>
                </w:tcPr>
                <w:p w14:paraId="18DD770C">
                  <w:pPr>
                    <w:keepNext w:val="0"/>
                    <w:keepLines w:val="0"/>
                    <w:pageBreakBefore w:val="0"/>
                    <w:suppressLineNumbers w:val="0"/>
                    <w:kinsoku/>
                    <w:wordWrap/>
                    <w:overflowPunct/>
                    <w:topLinePunct w:val="0"/>
                    <w:autoSpaceDE/>
                    <w:autoSpaceDN/>
                    <w:bidi w:val="0"/>
                    <w:adjustRightInd w:val="0"/>
                    <w:snapToGrid w:val="0"/>
                    <w:spacing w:before="0" w:beforeAutospacing="0" w:after="0" w:afterAutospacing="0" w:line="264" w:lineRule="auto"/>
                    <w:ind w:left="0" w:right="0"/>
                    <w:jc w:val="center"/>
                    <w:textAlignment w:val="auto"/>
                    <w:rPr>
                      <w:rFonts w:hint="default" w:ascii="Times New Roman" w:hAnsi="Times New Roman" w:eastAsia="宋体" w:cs="Times New Roman"/>
                      <w:sz w:val="18"/>
                      <w:szCs w:val="18"/>
                      <w:highlight w:val="none"/>
                      <w:lang w:val="en-US" w:eastAsia="zh-CN"/>
                    </w:rPr>
                  </w:pPr>
                  <w:r>
                    <w:rPr>
                      <w:rFonts w:hint="eastAsia" w:ascii="Times New Roman" w:hAnsi="Times New Roman" w:eastAsia="宋体" w:cs="Times New Roman"/>
                      <w:sz w:val="18"/>
                      <w:szCs w:val="18"/>
                      <w:highlight w:val="none"/>
                      <w:lang w:val="en-US" w:eastAsia="zh-CN"/>
                    </w:rPr>
                    <w:t>91</w:t>
                  </w:r>
                </w:p>
              </w:tc>
              <w:tc>
                <w:tcPr>
                  <w:tcW w:w="5673" w:type="dxa"/>
                  <w:tcBorders>
                    <w:top w:val="single" w:color="auto" w:sz="4" w:space="0"/>
                    <w:left w:val="single" w:color="auto" w:sz="4" w:space="0"/>
                    <w:bottom w:val="single" w:color="auto" w:sz="4" w:space="0"/>
                    <w:right w:val="single" w:color="auto" w:sz="4" w:space="0"/>
                  </w:tcBorders>
                  <w:vAlign w:val="center"/>
                </w:tcPr>
                <w:p w14:paraId="0612C953">
                  <w:pPr>
                    <w:keepNext w:val="0"/>
                    <w:keepLines w:val="0"/>
                    <w:pageBreakBefore w:val="0"/>
                    <w:suppressLineNumbers w:val="0"/>
                    <w:kinsoku/>
                    <w:wordWrap/>
                    <w:overflowPunct/>
                    <w:topLinePunct w:val="0"/>
                    <w:autoSpaceDE/>
                    <w:autoSpaceDN/>
                    <w:bidi w:val="0"/>
                    <w:adjustRightInd w:val="0"/>
                    <w:snapToGrid w:val="0"/>
                    <w:spacing w:before="0" w:beforeAutospacing="0" w:after="0" w:afterAutospacing="0" w:line="264" w:lineRule="auto"/>
                    <w:ind w:left="0" w:right="0"/>
                    <w:textAlignment w:val="auto"/>
                    <w:rPr>
                      <w:rFonts w:hint="eastAsia" w:ascii="Times New Roman" w:hAnsi="Times New Roman" w:eastAsia="宋体" w:cs="Times New Roman"/>
                      <w:sz w:val="18"/>
                      <w:szCs w:val="18"/>
                      <w:highlight w:val="none"/>
                    </w:rPr>
                  </w:pPr>
                  <w:r>
                    <w:rPr>
                      <w:rFonts w:hint="default" w:ascii="Times New Roman" w:hAnsi="Times New Roman" w:eastAsia="宋体" w:cs="Times New Roman"/>
                      <w:sz w:val="18"/>
                      <w:szCs w:val="18"/>
                      <w:highlight w:val="none"/>
                    </w:rPr>
                    <w:t>本项目员工</w:t>
                  </w:r>
                  <w:r>
                    <w:rPr>
                      <w:rFonts w:hint="eastAsia" w:ascii="Times New Roman" w:hAnsi="Times New Roman" w:eastAsia="宋体" w:cs="Times New Roman"/>
                      <w:sz w:val="18"/>
                      <w:szCs w:val="18"/>
                      <w:highlight w:val="none"/>
                      <w:lang w:val="en-US" w:eastAsia="zh-CN"/>
                    </w:rPr>
                    <w:t>7</w:t>
                  </w:r>
                  <w:r>
                    <w:rPr>
                      <w:rFonts w:hint="default" w:ascii="Times New Roman" w:hAnsi="Times New Roman" w:eastAsia="宋体" w:cs="Times New Roman"/>
                      <w:sz w:val="18"/>
                      <w:szCs w:val="18"/>
                      <w:highlight w:val="none"/>
                    </w:rPr>
                    <w:t>00人，生活垃圾的产生量按0.5kg/人d，年工作260天，则生活垃圾产生量为</w:t>
                  </w:r>
                  <w:r>
                    <w:rPr>
                      <w:rFonts w:hint="eastAsia" w:cs="Times New Roman"/>
                      <w:sz w:val="18"/>
                      <w:szCs w:val="18"/>
                      <w:highlight w:val="none"/>
                      <w:lang w:val="en-US" w:eastAsia="zh-CN"/>
                    </w:rPr>
                    <w:t>91</w:t>
                  </w:r>
                  <w:r>
                    <w:rPr>
                      <w:rFonts w:hint="default" w:ascii="Times New Roman" w:hAnsi="Times New Roman" w:eastAsia="宋体" w:cs="Times New Roman"/>
                      <w:sz w:val="18"/>
                      <w:szCs w:val="18"/>
                      <w:highlight w:val="none"/>
                    </w:rPr>
                    <w:t>t/a。</w:t>
                  </w:r>
                </w:p>
              </w:tc>
            </w:tr>
          </w:tbl>
          <w:p w14:paraId="1D0AF6CA">
            <w:pPr>
              <w:keepNext w:val="0"/>
              <w:keepLines w:val="0"/>
              <w:suppressLineNumbers w:val="0"/>
              <w:adjustRightInd w:val="0"/>
              <w:snapToGrid w:val="0"/>
              <w:spacing w:before="0" w:beforeAutospacing="0" w:after="0" w:afterAutospacing="0" w:line="343" w:lineRule="auto"/>
              <w:ind w:left="0" w:right="0" w:firstLine="482" w:firstLineChars="200"/>
              <w:jc w:val="center"/>
              <w:rPr>
                <w:rFonts w:hint="default" w:ascii="Times New Roman" w:hAnsi="Times New Roman" w:eastAsia="宋体" w:cs="Times New Roman"/>
                <w:b/>
                <w:highlight w:val="none"/>
              </w:rPr>
            </w:pPr>
            <w:r>
              <w:rPr>
                <w:rFonts w:hint="eastAsia" w:ascii="Times New Roman" w:hAnsi="Times New Roman" w:eastAsia="宋体" w:cs="Times New Roman"/>
                <w:b/>
                <w:highlight w:val="none"/>
              </w:rPr>
              <w:t>表</w:t>
            </w:r>
            <w:r>
              <w:rPr>
                <w:rFonts w:hint="default" w:ascii="Times New Roman" w:hAnsi="Times New Roman" w:eastAsia="宋体" w:cs="Times New Roman"/>
                <w:b/>
                <w:highlight w:val="none"/>
              </w:rPr>
              <w:t>4-</w:t>
            </w:r>
            <w:r>
              <w:rPr>
                <w:rFonts w:hint="eastAsia" w:cs="Times New Roman"/>
                <w:b/>
                <w:highlight w:val="none"/>
                <w:lang w:val="en-US" w:eastAsia="zh-CN"/>
              </w:rPr>
              <w:t>13</w:t>
            </w:r>
            <w:r>
              <w:rPr>
                <w:rFonts w:hint="default" w:ascii="Times New Roman" w:hAnsi="Times New Roman" w:eastAsia="宋体" w:cs="Times New Roman"/>
                <w:b/>
                <w:highlight w:val="none"/>
              </w:rPr>
              <w:t xml:space="preserve"> </w:t>
            </w:r>
            <w:r>
              <w:rPr>
                <w:rFonts w:hint="eastAsia" w:ascii="Times New Roman" w:hAnsi="Times New Roman" w:eastAsia="宋体" w:cs="Times New Roman"/>
                <w:b/>
                <w:highlight w:val="none"/>
              </w:rPr>
              <w:t>固体废物污染源源强核算结果及相关参数一览表</w:t>
            </w:r>
          </w:p>
          <w:tbl>
            <w:tblPr>
              <w:tblStyle w:val="32"/>
              <w:tblW w:w="8254"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
            <w:tblGrid>
              <w:gridCol w:w="307"/>
              <w:gridCol w:w="878"/>
              <w:gridCol w:w="1058"/>
              <w:gridCol w:w="581"/>
              <w:gridCol w:w="1082"/>
              <w:gridCol w:w="895"/>
              <w:gridCol w:w="675"/>
              <w:gridCol w:w="653"/>
              <w:gridCol w:w="794"/>
              <w:gridCol w:w="705"/>
              <w:gridCol w:w="626"/>
            </w:tblGrid>
            <w:tr w14:paraId="2160E82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jc w:val="center"/>
              </w:trPr>
              <w:tc>
                <w:tcPr>
                  <w:tcW w:w="307" w:type="dxa"/>
                  <w:tcBorders>
                    <w:top w:val="single" w:color="auto" w:sz="4" w:space="0"/>
                    <w:left w:val="single" w:color="auto" w:sz="4" w:space="0"/>
                    <w:bottom w:val="single" w:color="auto" w:sz="4" w:space="0"/>
                    <w:right w:val="single" w:color="auto" w:sz="4" w:space="0"/>
                  </w:tcBorders>
                  <w:tcMar>
                    <w:left w:w="57" w:type="dxa"/>
                    <w:right w:w="57" w:type="dxa"/>
                  </w:tcMar>
                  <w:vAlign w:val="center"/>
                </w:tcPr>
                <w:p w14:paraId="0BCE9CA9">
                  <w:pPr>
                    <w:keepNext w:val="0"/>
                    <w:keepLines w:val="0"/>
                    <w:pageBreakBefore w:val="0"/>
                    <w:suppressLineNumbers w:val="0"/>
                    <w:kinsoku/>
                    <w:wordWrap/>
                    <w:overflowPunct/>
                    <w:topLinePunct w:val="0"/>
                    <w:autoSpaceDE/>
                    <w:autoSpaceDN/>
                    <w:bidi w:val="0"/>
                    <w:adjustRightInd w:val="0"/>
                    <w:snapToGrid w:val="0"/>
                    <w:spacing w:before="0" w:beforeAutospacing="0" w:after="0" w:afterAutospacing="0" w:line="276" w:lineRule="auto"/>
                    <w:ind w:left="0" w:right="0"/>
                    <w:jc w:val="center"/>
                    <w:rPr>
                      <w:rFonts w:hint="default" w:ascii="Times New Roman" w:hAnsi="Times New Roman" w:eastAsia="宋体" w:cs="Times New Roman"/>
                      <w:sz w:val="18"/>
                      <w:szCs w:val="18"/>
                      <w:highlight w:val="none"/>
                    </w:rPr>
                  </w:pPr>
                  <w:r>
                    <w:rPr>
                      <w:rFonts w:hint="eastAsia" w:ascii="Times New Roman" w:hAnsi="Times New Roman" w:eastAsia="宋体" w:cs="Times New Roman"/>
                      <w:sz w:val="18"/>
                      <w:szCs w:val="18"/>
                      <w:highlight w:val="none"/>
                    </w:rPr>
                    <w:t>序号</w:t>
                  </w:r>
                </w:p>
              </w:tc>
              <w:tc>
                <w:tcPr>
                  <w:tcW w:w="878" w:type="dxa"/>
                  <w:tcBorders>
                    <w:top w:val="single" w:color="auto" w:sz="4" w:space="0"/>
                    <w:left w:val="single" w:color="auto" w:sz="4" w:space="0"/>
                    <w:bottom w:val="single" w:color="auto" w:sz="4" w:space="0"/>
                    <w:right w:val="single" w:color="auto" w:sz="4" w:space="0"/>
                  </w:tcBorders>
                  <w:tcMar>
                    <w:left w:w="57" w:type="dxa"/>
                    <w:right w:w="57" w:type="dxa"/>
                  </w:tcMar>
                  <w:vAlign w:val="center"/>
                </w:tcPr>
                <w:p w14:paraId="2AF9FB4C">
                  <w:pPr>
                    <w:keepNext w:val="0"/>
                    <w:keepLines w:val="0"/>
                    <w:pageBreakBefore w:val="0"/>
                    <w:suppressLineNumbers w:val="0"/>
                    <w:kinsoku/>
                    <w:wordWrap/>
                    <w:overflowPunct/>
                    <w:topLinePunct w:val="0"/>
                    <w:autoSpaceDE/>
                    <w:autoSpaceDN/>
                    <w:bidi w:val="0"/>
                    <w:adjustRightInd w:val="0"/>
                    <w:snapToGrid w:val="0"/>
                    <w:spacing w:before="0" w:beforeAutospacing="0" w:after="0" w:afterAutospacing="0" w:line="276" w:lineRule="auto"/>
                    <w:ind w:left="0" w:right="0"/>
                    <w:jc w:val="center"/>
                    <w:rPr>
                      <w:rFonts w:hint="default" w:ascii="Times New Roman" w:hAnsi="Times New Roman" w:eastAsia="宋体" w:cs="Times New Roman"/>
                      <w:sz w:val="18"/>
                      <w:szCs w:val="18"/>
                      <w:highlight w:val="none"/>
                    </w:rPr>
                  </w:pPr>
                  <w:r>
                    <w:rPr>
                      <w:rFonts w:hint="eastAsia" w:ascii="Times New Roman" w:hAnsi="Times New Roman" w:eastAsia="宋体" w:cs="Times New Roman"/>
                      <w:sz w:val="18"/>
                      <w:szCs w:val="18"/>
                      <w:highlight w:val="none"/>
                    </w:rPr>
                    <w:t>固废名称</w:t>
                  </w:r>
                </w:p>
              </w:tc>
              <w:tc>
                <w:tcPr>
                  <w:tcW w:w="1058" w:type="dxa"/>
                  <w:tcBorders>
                    <w:top w:val="single" w:color="auto" w:sz="4" w:space="0"/>
                    <w:left w:val="single" w:color="auto" w:sz="4" w:space="0"/>
                    <w:bottom w:val="single" w:color="auto" w:sz="4" w:space="0"/>
                    <w:right w:val="single" w:color="auto" w:sz="4" w:space="0"/>
                  </w:tcBorders>
                  <w:tcMar>
                    <w:left w:w="57" w:type="dxa"/>
                    <w:right w:w="57" w:type="dxa"/>
                  </w:tcMar>
                  <w:vAlign w:val="center"/>
                </w:tcPr>
                <w:p w14:paraId="595CA0D9">
                  <w:pPr>
                    <w:keepNext w:val="0"/>
                    <w:keepLines w:val="0"/>
                    <w:pageBreakBefore w:val="0"/>
                    <w:suppressLineNumbers w:val="0"/>
                    <w:kinsoku/>
                    <w:wordWrap/>
                    <w:overflowPunct/>
                    <w:topLinePunct w:val="0"/>
                    <w:autoSpaceDE/>
                    <w:autoSpaceDN/>
                    <w:bidi w:val="0"/>
                    <w:adjustRightInd w:val="0"/>
                    <w:snapToGrid w:val="0"/>
                    <w:spacing w:before="0" w:beforeAutospacing="0" w:after="0" w:afterAutospacing="0" w:line="276" w:lineRule="auto"/>
                    <w:ind w:left="0" w:right="0"/>
                    <w:jc w:val="center"/>
                    <w:rPr>
                      <w:rFonts w:hint="default" w:ascii="Times New Roman" w:hAnsi="Times New Roman" w:eastAsia="宋体" w:cs="Times New Roman"/>
                      <w:sz w:val="18"/>
                      <w:szCs w:val="18"/>
                      <w:highlight w:val="none"/>
                    </w:rPr>
                  </w:pPr>
                  <w:r>
                    <w:rPr>
                      <w:rFonts w:hint="eastAsia" w:ascii="Times New Roman" w:hAnsi="Times New Roman" w:eastAsia="宋体" w:cs="Times New Roman"/>
                      <w:sz w:val="18"/>
                      <w:szCs w:val="18"/>
                      <w:highlight w:val="none"/>
                    </w:rPr>
                    <w:t>主要成分</w:t>
                  </w:r>
                </w:p>
              </w:tc>
              <w:tc>
                <w:tcPr>
                  <w:tcW w:w="581" w:type="dxa"/>
                  <w:tcBorders>
                    <w:top w:val="single" w:color="auto" w:sz="4" w:space="0"/>
                    <w:left w:val="single" w:color="auto" w:sz="4" w:space="0"/>
                    <w:bottom w:val="single" w:color="auto" w:sz="4" w:space="0"/>
                    <w:right w:val="single" w:color="auto" w:sz="4" w:space="0"/>
                  </w:tcBorders>
                  <w:tcMar>
                    <w:left w:w="57" w:type="dxa"/>
                    <w:right w:w="57" w:type="dxa"/>
                  </w:tcMar>
                  <w:vAlign w:val="center"/>
                </w:tcPr>
                <w:p w14:paraId="7DAB6046">
                  <w:pPr>
                    <w:keepNext w:val="0"/>
                    <w:keepLines w:val="0"/>
                    <w:pageBreakBefore w:val="0"/>
                    <w:suppressLineNumbers w:val="0"/>
                    <w:kinsoku/>
                    <w:wordWrap/>
                    <w:overflowPunct/>
                    <w:topLinePunct w:val="0"/>
                    <w:autoSpaceDE/>
                    <w:autoSpaceDN/>
                    <w:bidi w:val="0"/>
                    <w:adjustRightInd w:val="0"/>
                    <w:snapToGrid w:val="0"/>
                    <w:spacing w:before="0" w:beforeAutospacing="0" w:after="0" w:afterAutospacing="0" w:line="276" w:lineRule="auto"/>
                    <w:ind w:left="0" w:right="0"/>
                    <w:jc w:val="center"/>
                    <w:rPr>
                      <w:rFonts w:hint="default" w:ascii="Times New Roman" w:hAnsi="Times New Roman" w:eastAsia="宋体" w:cs="Times New Roman"/>
                      <w:sz w:val="18"/>
                      <w:szCs w:val="18"/>
                      <w:highlight w:val="none"/>
                    </w:rPr>
                  </w:pPr>
                  <w:r>
                    <w:rPr>
                      <w:rFonts w:hint="eastAsia" w:ascii="Times New Roman" w:hAnsi="Times New Roman" w:eastAsia="宋体" w:cs="Times New Roman"/>
                      <w:sz w:val="18"/>
                      <w:szCs w:val="18"/>
                      <w:highlight w:val="none"/>
                    </w:rPr>
                    <w:t>物理性状</w:t>
                  </w:r>
                </w:p>
              </w:tc>
              <w:tc>
                <w:tcPr>
                  <w:tcW w:w="1082" w:type="dxa"/>
                  <w:tcBorders>
                    <w:top w:val="single" w:color="auto" w:sz="4" w:space="0"/>
                    <w:left w:val="single" w:color="auto" w:sz="4" w:space="0"/>
                    <w:bottom w:val="single" w:color="auto" w:sz="4" w:space="0"/>
                    <w:right w:val="single" w:color="auto" w:sz="4" w:space="0"/>
                  </w:tcBorders>
                  <w:tcMar>
                    <w:left w:w="57" w:type="dxa"/>
                    <w:right w:w="57" w:type="dxa"/>
                  </w:tcMar>
                  <w:vAlign w:val="center"/>
                </w:tcPr>
                <w:p w14:paraId="26282FD1">
                  <w:pPr>
                    <w:keepNext w:val="0"/>
                    <w:keepLines w:val="0"/>
                    <w:pageBreakBefore w:val="0"/>
                    <w:suppressLineNumbers w:val="0"/>
                    <w:kinsoku/>
                    <w:wordWrap/>
                    <w:overflowPunct/>
                    <w:topLinePunct w:val="0"/>
                    <w:autoSpaceDE/>
                    <w:autoSpaceDN/>
                    <w:bidi w:val="0"/>
                    <w:adjustRightInd w:val="0"/>
                    <w:snapToGrid w:val="0"/>
                    <w:spacing w:before="0" w:beforeAutospacing="0" w:after="0" w:afterAutospacing="0" w:line="276" w:lineRule="auto"/>
                    <w:ind w:left="0" w:right="0"/>
                    <w:jc w:val="center"/>
                    <w:rPr>
                      <w:rFonts w:hint="default" w:ascii="Times New Roman" w:hAnsi="Times New Roman" w:eastAsia="宋体" w:cs="Times New Roman"/>
                      <w:sz w:val="18"/>
                      <w:szCs w:val="18"/>
                      <w:highlight w:val="none"/>
                    </w:rPr>
                  </w:pPr>
                  <w:r>
                    <w:rPr>
                      <w:rFonts w:hint="eastAsia" w:ascii="Times New Roman" w:hAnsi="Times New Roman" w:eastAsia="宋体" w:cs="Times New Roman"/>
                      <w:sz w:val="18"/>
                      <w:szCs w:val="18"/>
                      <w:highlight w:val="none"/>
                    </w:rPr>
                    <w:t>属性</w:t>
                  </w:r>
                </w:p>
              </w:tc>
              <w:tc>
                <w:tcPr>
                  <w:tcW w:w="895" w:type="dxa"/>
                  <w:tcBorders>
                    <w:top w:val="single" w:color="auto" w:sz="4" w:space="0"/>
                    <w:left w:val="single" w:color="auto" w:sz="4" w:space="0"/>
                    <w:bottom w:val="single" w:color="auto" w:sz="4" w:space="0"/>
                    <w:right w:val="single" w:color="auto" w:sz="4" w:space="0"/>
                  </w:tcBorders>
                  <w:tcMar>
                    <w:left w:w="57" w:type="dxa"/>
                    <w:right w:w="57" w:type="dxa"/>
                  </w:tcMar>
                  <w:vAlign w:val="center"/>
                </w:tcPr>
                <w:p w14:paraId="1F255C6C">
                  <w:pPr>
                    <w:keepNext w:val="0"/>
                    <w:keepLines w:val="0"/>
                    <w:pageBreakBefore w:val="0"/>
                    <w:suppressLineNumbers w:val="0"/>
                    <w:kinsoku/>
                    <w:wordWrap/>
                    <w:overflowPunct/>
                    <w:topLinePunct w:val="0"/>
                    <w:autoSpaceDE/>
                    <w:autoSpaceDN/>
                    <w:bidi w:val="0"/>
                    <w:adjustRightInd w:val="0"/>
                    <w:snapToGrid w:val="0"/>
                    <w:spacing w:before="0" w:beforeAutospacing="0" w:after="0" w:afterAutospacing="0" w:line="276" w:lineRule="auto"/>
                    <w:ind w:left="0" w:right="0"/>
                    <w:jc w:val="center"/>
                    <w:rPr>
                      <w:rFonts w:hint="default" w:ascii="Times New Roman" w:hAnsi="Times New Roman" w:eastAsia="宋体" w:cs="Times New Roman"/>
                      <w:sz w:val="18"/>
                      <w:szCs w:val="18"/>
                      <w:highlight w:val="none"/>
                    </w:rPr>
                  </w:pPr>
                  <w:r>
                    <w:rPr>
                      <w:rFonts w:hint="eastAsia" w:ascii="Times New Roman" w:hAnsi="Times New Roman" w:eastAsia="宋体" w:cs="Times New Roman"/>
                      <w:sz w:val="18"/>
                      <w:szCs w:val="18"/>
                      <w:highlight w:val="none"/>
                    </w:rPr>
                    <w:t>有毒有害成分</w:t>
                  </w:r>
                </w:p>
              </w:tc>
              <w:tc>
                <w:tcPr>
                  <w:tcW w:w="675" w:type="dxa"/>
                  <w:tcBorders>
                    <w:top w:val="single" w:color="auto" w:sz="4" w:space="0"/>
                    <w:left w:val="single" w:color="auto" w:sz="4" w:space="0"/>
                    <w:bottom w:val="single" w:color="auto" w:sz="4" w:space="0"/>
                    <w:right w:val="single" w:color="auto" w:sz="4" w:space="0"/>
                  </w:tcBorders>
                  <w:tcMar>
                    <w:left w:w="57" w:type="dxa"/>
                    <w:right w:w="57" w:type="dxa"/>
                  </w:tcMar>
                  <w:vAlign w:val="center"/>
                </w:tcPr>
                <w:p w14:paraId="7DEE7224">
                  <w:pPr>
                    <w:keepNext w:val="0"/>
                    <w:keepLines w:val="0"/>
                    <w:pageBreakBefore w:val="0"/>
                    <w:suppressLineNumbers w:val="0"/>
                    <w:kinsoku/>
                    <w:wordWrap/>
                    <w:overflowPunct/>
                    <w:topLinePunct w:val="0"/>
                    <w:autoSpaceDE/>
                    <w:autoSpaceDN/>
                    <w:bidi w:val="0"/>
                    <w:adjustRightInd w:val="0"/>
                    <w:snapToGrid w:val="0"/>
                    <w:spacing w:before="0" w:beforeAutospacing="0" w:after="0" w:afterAutospacing="0" w:line="276" w:lineRule="auto"/>
                    <w:ind w:left="0" w:right="0"/>
                    <w:jc w:val="center"/>
                    <w:rPr>
                      <w:rFonts w:hint="default" w:ascii="Times New Roman" w:hAnsi="Times New Roman" w:eastAsia="宋体" w:cs="Times New Roman"/>
                      <w:sz w:val="18"/>
                      <w:szCs w:val="18"/>
                      <w:highlight w:val="none"/>
                    </w:rPr>
                  </w:pPr>
                  <w:r>
                    <w:rPr>
                      <w:rFonts w:hint="eastAsia" w:ascii="Times New Roman" w:hAnsi="Times New Roman" w:eastAsia="宋体" w:cs="Times New Roman"/>
                      <w:sz w:val="18"/>
                      <w:szCs w:val="18"/>
                      <w:highlight w:val="none"/>
                    </w:rPr>
                    <w:t>环境危险特性</w:t>
                  </w:r>
                </w:p>
              </w:tc>
              <w:tc>
                <w:tcPr>
                  <w:tcW w:w="653" w:type="dxa"/>
                  <w:tcBorders>
                    <w:top w:val="single" w:color="auto" w:sz="4" w:space="0"/>
                    <w:left w:val="single" w:color="auto" w:sz="4" w:space="0"/>
                    <w:bottom w:val="single" w:color="auto" w:sz="4" w:space="0"/>
                    <w:right w:val="single" w:color="auto" w:sz="4" w:space="0"/>
                  </w:tcBorders>
                  <w:tcMar>
                    <w:left w:w="57" w:type="dxa"/>
                    <w:right w:w="57" w:type="dxa"/>
                  </w:tcMar>
                  <w:vAlign w:val="center"/>
                </w:tcPr>
                <w:p w14:paraId="1B2A1A27">
                  <w:pPr>
                    <w:keepNext w:val="0"/>
                    <w:keepLines w:val="0"/>
                    <w:pageBreakBefore w:val="0"/>
                    <w:suppressLineNumbers w:val="0"/>
                    <w:kinsoku/>
                    <w:wordWrap/>
                    <w:overflowPunct/>
                    <w:topLinePunct w:val="0"/>
                    <w:autoSpaceDE/>
                    <w:autoSpaceDN/>
                    <w:bidi w:val="0"/>
                    <w:adjustRightInd w:val="0"/>
                    <w:snapToGrid w:val="0"/>
                    <w:spacing w:before="0" w:beforeAutospacing="0" w:after="0" w:afterAutospacing="0" w:line="276" w:lineRule="auto"/>
                    <w:ind w:left="0" w:right="0"/>
                    <w:jc w:val="center"/>
                    <w:rPr>
                      <w:rFonts w:hint="default" w:ascii="Times New Roman" w:hAnsi="Times New Roman" w:eastAsia="宋体" w:cs="Times New Roman"/>
                      <w:sz w:val="18"/>
                      <w:szCs w:val="18"/>
                      <w:highlight w:val="none"/>
                    </w:rPr>
                  </w:pPr>
                  <w:r>
                    <w:rPr>
                      <w:rFonts w:hint="eastAsia" w:ascii="Times New Roman" w:hAnsi="Times New Roman" w:eastAsia="宋体" w:cs="Times New Roman"/>
                      <w:sz w:val="18"/>
                      <w:szCs w:val="18"/>
                      <w:highlight w:val="none"/>
                    </w:rPr>
                    <w:t>产生量</w:t>
                  </w:r>
                </w:p>
                <w:p w14:paraId="1291BAA1">
                  <w:pPr>
                    <w:keepNext w:val="0"/>
                    <w:keepLines w:val="0"/>
                    <w:pageBreakBefore w:val="0"/>
                    <w:suppressLineNumbers w:val="0"/>
                    <w:kinsoku/>
                    <w:wordWrap/>
                    <w:overflowPunct/>
                    <w:topLinePunct w:val="0"/>
                    <w:autoSpaceDE/>
                    <w:autoSpaceDN/>
                    <w:bidi w:val="0"/>
                    <w:adjustRightInd w:val="0"/>
                    <w:snapToGrid w:val="0"/>
                    <w:spacing w:before="0" w:beforeAutospacing="0" w:after="0" w:afterAutospacing="0" w:line="276" w:lineRule="auto"/>
                    <w:ind w:left="0" w:right="0"/>
                    <w:jc w:val="center"/>
                    <w:rPr>
                      <w:rFonts w:hint="default" w:ascii="Times New Roman" w:hAnsi="Times New Roman" w:eastAsia="宋体" w:cs="Times New Roman"/>
                      <w:sz w:val="18"/>
                      <w:szCs w:val="18"/>
                      <w:highlight w:val="none"/>
                    </w:rPr>
                  </w:pPr>
                  <w:r>
                    <w:rPr>
                      <w:rFonts w:hint="default" w:ascii="Times New Roman" w:hAnsi="Times New Roman" w:eastAsia="宋体" w:cs="Times New Roman"/>
                      <w:sz w:val="18"/>
                      <w:szCs w:val="18"/>
                      <w:highlight w:val="none"/>
                    </w:rPr>
                    <w:t>t/a</w:t>
                  </w:r>
                </w:p>
              </w:tc>
              <w:tc>
                <w:tcPr>
                  <w:tcW w:w="794" w:type="dxa"/>
                  <w:tcBorders>
                    <w:top w:val="single" w:color="auto" w:sz="4" w:space="0"/>
                    <w:left w:val="single" w:color="auto" w:sz="4" w:space="0"/>
                    <w:bottom w:val="single" w:color="auto" w:sz="4" w:space="0"/>
                    <w:right w:val="single" w:color="auto" w:sz="4" w:space="0"/>
                  </w:tcBorders>
                  <w:tcMar>
                    <w:left w:w="57" w:type="dxa"/>
                    <w:right w:w="57" w:type="dxa"/>
                  </w:tcMar>
                  <w:vAlign w:val="center"/>
                </w:tcPr>
                <w:p w14:paraId="4BA3E7C6">
                  <w:pPr>
                    <w:keepNext w:val="0"/>
                    <w:keepLines w:val="0"/>
                    <w:pageBreakBefore w:val="0"/>
                    <w:suppressLineNumbers w:val="0"/>
                    <w:kinsoku/>
                    <w:wordWrap/>
                    <w:overflowPunct/>
                    <w:topLinePunct w:val="0"/>
                    <w:autoSpaceDE/>
                    <w:autoSpaceDN/>
                    <w:bidi w:val="0"/>
                    <w:adjustRightInd w:val="0"/>
                    <w:snapToGrid w:val="0"/>
                    <w:spacing w:before="0" w:beforeAutospacing="0" w:after="0" w:afterAutospacing="0" w:line="276" w:lineRule="auto"/>
                    <w:ind w:left="0" w:right="0"/>
                    <w:jc w:val="center"/>
                    <w:rPr>
                      <w:rFonts w:hint="default" w:ascii="Times New Roman" w:hAnsi="Times New Roman" w:eastAsia="宋体" w:cs="Times New Roman"/>
                      <w:sz w:val="18"/>
                      <w:szCs w:val="18"/>
                      <w:highlight w:val="none"/>
                    </w:rPr>
                  </w:pPr>
                  <w:r>
                    <w:rPr>
                      <w:rFonts w:hint="eastAsia" w:ascii="Times New Roman" w:hAnsi="Times New Roman" w:eastAsia="宋体" w:cs="Times New Roman"/>
                      <w:sz w:val="18"/>
                      <w:szCs w:val="18"/>
                      <w:highlight w:val="none"/>
                    </w:rPr>
                    <w:t>贮存方式</w:t>
                  </w:r>
                </w:p>
              </w:tc>
              <w:tc>
                <w:tcPr>
                  <w:tcW w:w="705" w:type="dxa"/>
                  <w:tcBorders>
                    <w:top w:val="single" w:color="auto" w:sz="4" w:space="0"/>
                    <w:left w:val="single" w:color="auto" w:sz="4" w:space="0"/>
                    <w:bottom w:val="single" w:color="auto" w:sz="4" w:space="0"/>
                    <w:right w:val="single" w:color="auto" w:sz="4" w:space="0"/>
                  </w:tcBorders>
                  <w:tcMar>
                    <w:left w:w="57" w:type="dxa"/>
                    <w:right w:w="57" w:type="dxa"/>
                  </w:tcMar>
                  <w:vAlign w:val="center"/>
                </w:tcPr>
                <w:p w14:paraId="574D3AD5">
                  <w:pPr>
                    <w:keepNext w:val="0"/>
                    <w:keepLines w:val="0"/>
                    <w:pageBreakBefore w:val="0"/>
                    <w:suppressLineNumbers w:val="0"/>
                    <w:kinsoku/>
                    <w:wordWrap/>
                    <w:overflowPunct/>
                    <w:topLinePunct w:val="0"/>
                    <w:autoSpaceDE/>
                    <w:autoSpaceDN/>
                    <w:bidi w:val="0"/>
                    <w:adjustRightInd w:val="0"/>
                    <w:snapToGrid w:val="0"/>
                    <w:spacing w:before="0" w:beforeAutospacing="0" w:after="0" w:afterAutospacing="0" w:line="276" w:lineRule="auto"/>
                    <w:ind w:left="0" w:right="0"/>
                    <w:jc w:val="center"/>
                    <w:rPr>
                      <w:rFonts w:hint="default" w:ascii="Times New Roman" w:hAnsi="Times New Roman" w:eastAsia="宋体" w:cs="Times New Roman"/>
                      <w:sz w:val="18"/>
                      <w:szCs w:val="18"/>
                      <w:highlight w:val="none"/>
                    </w:rPr>
                  </w:pPr>
                  <w:r>
                    <w:rPr>
                      <w:rFonts w:hint="eastAsia" w:ascii="Times New Roman" w:hAnsi="Times New Roman" w:eastAsia="宋体" w:cs="Times New Roman"/>
                      <w:sz w:val="18"/>
                      <w:szCs w:val="18"/>
                      <w:highlight w:val="none"/>
                    </w:rPr>
                    <w:t>利用处置方式和去向</w:t>
                  </w:r>
                </w:p>
              </w:tc>
              <w:tc>
                <w:tcPr>
                  <w:tcW w:w="626" w:type="dxa"/>
                  <w:tcBorders>
                    <w:top w:val="single" w:color="auto" w:sz="4" w:space="0"/>
                    <w:left w:val="single" w:color="auto" w:sz="4" w:space="0"/>
                    <w:bottom w:val="single" w:color="auto" w:sz="4" w:space="0"/>
                    <w:right w:val="single" w:color="auto" w:sz="4" w:space="0"/>
                  </w:tcBorders>
                  <w:tcMar>
                    <w:left w:w="57" w:type="dxa"/>
                    <w:right w:w="57" w:type="dxa"/>
                  </w:tcMar>
                  <w:vAlign w:val="center"/>
                </w:tcPr>
                <w:p w14:paraId="59B9C98B">
                  <w:pPr>
                    <w:keepNext w:val="0"/>
                    <w:keepLines w:val="0"/>
                    <w:pageBreakBefore w:val="0"/>
                    <w:suppressLineNumbers w:val="0"/>
                    <w:kinsoku/>
                    <w:wordWrap/>
                    <w:overflowPunct/>
                    <w:topLinePunct w:val="0"/>
                    <w:autoSpaceDE/>
                    <w:autoSpaceDN/>
                    <w:bidi w:val="0"/>
                    <w:adjustRightInd w:val="0"/>
                    <w:snapToGrid w:val="0"/>
                    <w:spacing w:before="0" w:beforeAutospacing="0" w:after="0" w:afterAutospacing="0" w:line="276" w:lineRule="auto"/>
                    <w:ind w:left="0" w:right="0"/>
                    <w:jc w:val="center"/>
                    <w:rPr>
                      <w:rFonts w:hint="default" w:ascii="Times New Roman" w:hAnsi="Times New Roman" w:eastAsia="宋体" w:cs="Times New Roman"/>
                      <w:sz w:val="18"/>
                      <w:szCs w:val="18"/>
                      <w:highlight w:val="none"/>
                    </w:rPr>
                  </w:pPr>
                  <w:r>
                    <w:rPr>
                      <w:rFonts w:hint="eastAsia" w:ascii="Times New Roman" w:hAnsi="Times New Roman" w:eastAsia="宋体" w:cs="Times New Roman"/>
                      <w:sz w:val="18"/>
                      <w:szCs w:val="18"/>
                      <w:highlight w:val="none"/>
                    </w:rPr>
                    <w:t>处置量</w:t>
                  </w:r>
                </w:p>
                <w:p w14:paraId="7185486A">
                  <w:pPr>
                    <w:keepNext w:val="0"/>
                    <w:keepLines w:val="0"/>
                    <w:pageBreakBefore w:val="0"/>
                    <w:suppressLineNumbers w:val="0"/>
                    <w:kinsoku/>
                    <w:wordWrap/>
                    <w:overflowPunct/>
                    <w:topLinePunct w:val="0"/>
                    <w:autoSpaceDE/>
                    <w:autoSpaceDN/>
                    <w:bidi w:val="0"/>
                    <w:adjustRightInd w:val="0"/>
                    <w:snapToGrid w:val="0"/>
                    <w:spacing w:before="0" w:beforeAutospacing="0" w:after="0" w:afterAutospacing="0" w:line="276" w:lineRule="auto"/>
                    <w:ind w:left="0" w:right="0"/>
                    <w:jc w:val="center"/>
                    <w:rPr>
                      <w:rFonts w:hint="default" w:ascii="Times New Roman" w:hAnsi="Times New Roman" w:eastAsia="宋体" w:cs="Times New Roman"/>
                      <w:sz w:val="18"/>
                      <w:szCs w:val="18"/>
                      <w:highlight w:val="none"/>
                    </w:rPr>
                  </w:pPr>
                  <w:r>
                    <w:rPr>
                      <w:rFonts w:hint="default" w:ascii="Times New Roman" w:hAnsi="Times New Roman" w:eastAsia="宋体" w:cs="Times New Roman"/>
                      <w:sz w:val="18"/>
                      <w:szCs w:val="18"/>
                      <w:highlight w:val="none"/>
                    </w:rPr>
                    <w:t>t/a</w:t>
                  </w:r>
                </w:p>
              </w:tc>
            </w:tr>
            <w:tr w14:paraId="062A309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342" w:hRule="atLeast"/>
                <w:jc w:val="center"/>
              </w:trPr>
              <w:tc>
                <w:tcPr>
                  <w:tcW w:w="307" w:type="dxa"/>
                  <w:tcBorders>
                    <w:top w:val="single" w:color="auto" w:sz="4" w:space="0"/>
                    <w:left w:val="single" w:color="auto" w:sz="4" w:space="0"/>
                    <w:bottom w:val="single" w:color="auto" w:sz="4" w:space="0"/>
                    <w:right w:val="single" w:color="auto" w:sz="4" w:space="0"/>
                  </w:tcBorders>
                  <w:tcMar>
                    <w:left w:w="57" w:type="dxa"/>
                    <w:right w:w="57" w:type="dxa"/>
                  </w:tcMar>
                  <w:vAlign w:val="center"/>
                </w:tcPr>
                <w:p w14:paraId="5C814CB4">
                  <w:pPr>
                    <w:keepNext w:val="0"/>
                    <w:keepLines w:val="0"/>
                    <w:pageBreakBefore w:val="0"/>
                    <w:suppressLineNumbers w:val="0"/>
                    <w:kinsoku/>
                    <w:wordWrap/>
                    <w:overflowPunct/>
                    <w:topLinePunct w:val="0"/>
                    <w:autoSpaceDE/>
                    <w:autoSpaceDN/>
                    <w:bidi w:val="0"/>
                    <w:adjustRightInd w:val="0"/>
                    <w:snapToGrid w:val="0"/>
                    <w:spacing w:before="0" w:beforeAutospacing="0" w:after="0" w:afterAutospacing="0" w:line="276" w:lineRule="auto"/>
                    <w:ind w:left="0" w:right="0"/>
                    <w:jc w:val="center"/>
                    <w:rPr>
                      <w:rFonts w:hint="default" w:ascii="Times New Roman" w:hAnsi="Times New Roman" w:eastAsia="宋体" w:cs="Times New Roman"/>
                      <w:sz w:val="18"/>
                      <w:szCs w:val="18"/>
                      <w:highlight w:val="none"/>
                    </w:rPr>
                  </w:pPr>
                  <w:r>
                    <w:rPr>
                      <w:rFonts w:hint="default" w:ascii="Times New Roman" w:hAnsi="Times New Roman" w:eastAsia="宋体" w:cs="Times New Roman"/>
                      <w:sz w:val="18"/>
                      <w:szCs w:val="18"/>
                      <w:highlight w:val="none"/>
                    </w:rPr>
                    <w:t>1</w:t>
                  </w:r>
                </w:p>
              </w:tc>
              <w:tc>
                <w:tcPr>
                  <w:tcW w:w="878" w:type="dxa"/>
                  <w:tcBorders>
                    <w:top w:val="single" w:color="auto" w:sz="4" w:space="0"/>
                    <w:left w:val="single" w:color="auto" w:sz="4" w:space="0"/>
                    <w:bottom w:val="single" w:color="auto" w:sz="4" w:space="0"/>
                    <w:right w:val="single" w:color="auto" w:sz="4" w:space="0"/>
                  </w:tcBorders>
                  <w:shd w:val="clear" w:color="auto" w:fill="auto"/>
                  <w:tcMar>
                    <w:left w:w="57" w:type="dxa"/>
                    <w:right w:w="57" w:type="dxa"/>
                  </w:tcMar>
                  <w:vAlign w:val="center"/>
                </w:tcPr>
                <w:p w14:paraId="5229CCE2">
                  <w:pPr>
                    <w:keepNext w:val="0"/>
                    <w:keepLines w:val="0"/>
                    <w:pageBreakBefore w:val="0"/>
                    <w:suppressLineNumbers w:val="0"/>
                    <w:kinsoku/>
                    <w:wordWrap/>
                    <w:overflowPunct/>
                    <w:topLinePunct w:val="0"/>
                    <w:autoSpaceDE/>
                    <w:autoSpaceDN/>
                    <w:bidi w:val="0"/>
                    <w:adjustRightInd w:val="0"/>
                    <w:snapToGrid w:val="0"/>
                    <w:spacing w:before="0" w:beforeAutospacing="0" w:after="0" w:afterAutospacing="0" w:line="276" w:lineRule="auto"/>
                    <w:ind w:left="0" w:right="0"/>
                    <w:jc w:val="center"/>
                    <w:rPr>
                      <w:rFonts w:hint="default" w:ascii="Times New Roman" w:hAnsi="Times New Roman" w:eastAsia="宋体" w:cs="Times New Roman"/>
                      <w:kern w:val="2"/>
                      <w:sz w:val="18"/>
                      <w:szCs w:val="18"/>
                      <w:highlight w:val="none"/>
                      <w:lang w:val="en-US" w:eastAsia="zh-CN" w:bidi="ar-SA"/>
                    </w:rPr>
                  </w:pPr>
                  <w:r>
                    <w:rPr>
                      <w:rFonts w:hint="eastAsia" w:ascii="Times New Roman" w:hAnsi="Times New Roman" w:eastAsia="宋体" w:cs="Times New Roman"/>
                      <w:color w:val="auto"/>
                      <w:sz w:val="18"/>
                      <w:szCs w:val="18"/>
                      <w:highlight w:val="none"/>
                    </w:rPr>
                    <w:t>一般</w:t>
                  </w:r>
                  <w:r>
                    <w:rPr>
                      <w:rFonts w:hint="default" w:ascii="Times New Roman" w:hAnsi="Times New Roman" w:eastAsia="宋体" w:cs="Times New Roman"/>
                      <w:color w:val="auto"/>
                      <w:sz w:val="18"/>
                      <w:szCs w:val="18"/>
                      <w:highlight w:val="none"/>
                    </w:rPr>
                    <w:t>废包装材料</w:t>
                  </w:r>
                </w:p>
              </w:tc>
              <w:tc>
                <w:tcPr>
                  <w:tcW w:w="1058" w:type="dxa"/>
                  <w:tcBorders>
                    <w:top w:val="single" w:color="auto" w:sz="4" w:space="0"/>
                    <w:left w:val="single" w:color="auto" w:sz="4" w:space="0"/>
                    <w:bottom w:val="single" w:color="auto" w:sz="4" w:space="0"/>
                    <w:right w:val="single" w:color="auto" w:sz="4" w:space="0"/>
                  </w:tcBorders>
                  <w:shd w:val="clear" w:color="auto" w:fill="auto"/>
                  <w:tcMar>
                    <w:left w:w="57" w:type="dxa"/>
                    <w:right w:w="57" w:type="dxa"/>
                  </w:tcMar>
                  <w:vAlign w:val="center"/>
                </w:tcPr>
                <w:p w14:paraId="572F6D72">
                  <w:pPr>
                    <w:keepNext w:val="0"/>
                    <w:keepLines w:val="0"/>
                    <w:pageBreakBefore w:val="0"/>
                    <w:suppressLineNumbers w:val="0"/>
                    <w:kinsoku/>
                    <w:wordWrap/>
                    <w:overflowPunct/>
                    <w:topLinePunct w:val="0"/>
                    <w:autoSpaceDE/>
                    <w:autoSpaceDN/>
                    <w:bidi w:val="0"/>
                    <w:adjustRightInd w:val="0"/>
                    <w:snapToGrid w:val="0"/>
                    <w:spacing w:before="0" w:beforeAutospacing="0" w:after="0" w:afterAutospacing="0" w:line="276" w:lineRule="auto"/>
                    <w:ind w:left="0" w:right="0"/>
                    <w:jc w:val="center"/>
                    <w:rPr>
                      <w:rFonts w:hint="default" w:ascii="Times New Roman" w:hAnsi="Times New Roman" w:eastAsia="宋体" w:cs="Times New Roman"/>
                      <w:kern w:val="2"/>
                      <w:sz w:val="18"/>
                      <w:szCs w:val="18"/>
                      <w:highlight w:val="none"/>
                      <w:lang w:val="en-US" w:eastAsia="zh-CN" w:bidi="ar-SA"/>
                    </w:rPr>
                  </w:pPr>
                  <w:r>
                    <w:rPr>
                      <w:rFonts w:hint="eastAsia" w:ascii="Times New Roman" w:hAnsi="Times New Roman" w:eastAsia="宋体" w:cs="Times New Roman"/>
                      <w:sz w:val="18"/>
                      <w:szCs w:val="18"/>
                      <w:highlight w:val="none"/>
                    </w:rPr>
                    <w:t>塑料、泡沫等</w:t>
                  </w:r>
                </w:p>
              </w:tc>
              <w:tc>
                <w:tcPr>
                  <w:tcW w:w="581" w:type="dxa"/>
                  <w:tcBorders>
                    <w:top w:val="single" w:color="auto" w:sz="4" w:space="0"/>
                    <w:left w:val="single" w:color="auto" w:sz="4" w:space="0"/>
                    <w:bottom w:val="single" w:color="auto" w:sz="4" w:space="0"/>
                    <w:right w:val="single" w:color="auto" w:sz="4" w:space="0"/>
                  </w:tcBorders>
                  <w:shd w:val="clear" w:color="auto" w:fill="auto"/>
                  <w:tcMar>
                    <w:left w:w="57" w:type="dxa"/>
                    <w:right w:w="57" w:type="dxa"/>
                  </w:tcMar>
                  <w:vAlign w:val="center"/>
                </w:tcPr>
                <w:p w14:paraId="2E75A6C4">
                  <w:pPr>
                    <w:keepNext w:val="0"/>
                    <w:keepLines w:val="0"/>
                    <w:pageBreakBefore w:val="0"/>
                    <w:suppressLineNumbers w:val="0"/>
                    <w:kinsoku/>
                    <w:wordWrap/>
                    <w:overflowPunct/>
                    <w:topLinePunct w:val="0"/>
                    <w:autoSpaceDE/>
                    <w:autoSpaceDN/>
                    <w:bidi w:val="0"/>
                    <w:adjustRightInd w:val="0"/>
                    <w:snapToGrid w:val="0"/>
                    <w:spacing w:before="0" w:beforeAutospacing="0" w:after="0" w:afterAutospacing="0" w:line="276" w:lineRule="auto"/>
                    <w:ind w:left="0" w:right="0"/>
                    <w:jc w:val="center"/>
                    <w:rPr>
                      <w:rFonts w:hint="default" w:ascii="Times New Roman" w:hAnsi="Times New Roman" w:eastAsia="宋体" w:cs="Times New Roman"/>
                      <w:kern w:val="2"/>
                      <w:sz w:val="18"/>
                      <w:szCs w:val="18"/>
                      <w:highlight w:val="none"/>
                      <w:lang w:val="en-US" w:eastAsia="zh-CN" w:bidi="ar-SA"/>
                    </w:rPr>
                  </w:pPr>
                  <w:r>
                    <w:rPr>
                      <w:rFonts w:hint="eastAsia" w:ascii="Times New Roman" w:hAnsi="Times New Roman" w:eastAsia="宋体" w:cs="Times New Roman"/>
                      <w:sz w:val="18"/>
                      <w:szCs w:val="18"/>
                      <w:highlight w:val="none"/>
                    </w:rPr>
                    <w:t>固态</w:t>
                  </w:r>
                </w:p>
              </w:tc>
              <w:tc>
                <w:tcPr>
                  <w:tcW w:w="1082" w:type="dxa"/>
                  <w:tcBorders>
                    <w:top w:val="single" w:color="auto" w:sz="4" w:space="0"/>
                    <w:left w:val="single" w:color="auto" w:sz="4" w:space="0"/>
                    <w:bottom w:val="single" w:color="auto" w:sz="4" w:space="0"/>
                    <w:right w:val="single" w:color="auto" w:sz="4" w:space="0"/>
                  </w:tcBorders>
                  <w:shd w:val="clear" w:color="auto" w:fill="auto"/>
                  <w:tcMar>
                    <w:left w:w="57" w:type="dxa"/>
                    <w:right w:w="57" w:type="dxa"/>
                  </w:tcMar>
                  <w:vAlign w:val="center"/>
                </w:tcPr>
                <w:p w14:paraId="24E1F72F">
                  <w:pPr>
                    <w:keepNext w:val="0"/>
                    <w:keepLines w:val="0"/>
                    <w:pageBreakBefore w:val="0"/>
                    <w:suppressLineNumbers w:val="0"/>
                    <w:kinsoku/>
                    <w:wordWrap/>
                    <w:overflowPunct/>
                    <w:topLinePunct w:val="0"/>
                    <w:autoSpaceDE/>
                    <w:autoSpaceDN/>
                    <w:bidi w:val="0"/>
                    <w:adjustRightInd w:val="0"/>
                    <w:snapToGrid w:val="0"/>
                    <w:spacing w:before="0" w:beforeAutospacing="0" w:after="0" w:afterAutospacing="0" w:line="276" w:lineRule="auto"/>
                    <w:ind w:left="0" w:right="0"/>
                    <w:jc w:val="center"/>
                    <w:rPr>
                      <w:rFonts w:hint="default" w:ascii="Times New Roman" w:hAnsi="Times New Roman" w:eastAsia="宋体" w:cs="Times New Roman"/>
                      <w:kern w:val="2"/>
                      <w:sz w:val="18"/>
                      <w:szCs w:val="18"/>
                      <w:highlight w:val="none"/>
                      <w:lang w:val="en-US" w:eastAsia="zh-CN" w:bidi="ar-SA"/>
                    </w:rPr>
                  </w:pPr>
                  <w:r>
                    <w:rPr>
                      <w:rFonts w:hint="eastAsia" w:ascii="Times New Roman" w:hAnsi="Times New Roman" w:eastAsia="宋体" w:cs="Times New Roman"/>
                      <w:sz w:val="18"/>
                      <w:szCs w:val="18"/>
                      <w:highlight w:val="none"/>
                    </w:rPr>
                    <w:t>一般</w:t>
                  </w:r>
                  <w:r>
                    <w:rPr>
                      <w:rFonts w:hint="eastAsia" w:ascii="Times New Roman" w:hAnsi="Times New Roman" w:eastAsia="宋体" w:cs="Times New Roman"/>
                      <w:sz w:val="18"/>
                      <w:szCs w:val="18"/>
                      <w:highlight w:val="none"/>
                      <w:lang w:val="en-US" w:eastAsia="zh-CN"/>
                    </w:rPr>
                    <w:t>固废</w:t>
                  </w:r>
                  <w:r>
                    <w:rPr>
                      <w:rFonts w:hint="eastAsia" w:ascii="Times New Roman" w:hAnsi="Times New Roman" w:eastAsia="宋体" w:cs="Times New Roman"/>
                      <w:sz w:val="18"/>
                      <w:szCs w:val="18"/>
                      <w:highlight w:val="none"/>
                    </w:rPr>
                    <w:t>，</w:t>
                  </w:r>
                  <w:r>
                    <w:rPr>
                      <w:rFonts w:hint="default" w:ascii="Times New Roman" w:hAnsi="Times New Roman" w:eastAsia="宋体" w:cs="Times New Roman"/>
                      <w:color w:val="auto"/>
                      <w:sz w:val="18"/>
                      <w:szCs w:val="18"/>
                      <w:highlight w:val="none"/>
                    </w:rPr>
                    <w:t>900-001-S92</w:t>
                  </w:r>
                </w:p>
              </w:tc>
              <w:tc>
                <w:tcPr>
                  <w:tcW w:w="895" w:type="dxa"/>
                  <w:tcBorders>
                    <w:top w:val="single" w:color="auto" w:sz="4" w:space="0"/>
                    <w:left w:val="single" w:color="auto" w:sz="4" w:space="0"/>
                    <w:bottom w:val="single" w:color="auto" w:sz="4" w:space="0"/>
                    <w:right w:val="single" w:color="auto" w:sz="4" w:space="0"/>
                  </w:tcBorders>
                  <w:shd w:val="clear" w:color="auto" w:fill="auto"/>
                  <w:tcMar>
                    <w:left w:w="57" w:type="dxa"/>
                    <w:right w:w="57" w:type="dxa"/>
                  </w:tcMar>
                  <w:vAlign w:val="center"/>
                </w:tcPr>
                <w:p w14:paraId="2C9B00EF">
                  <w:pPr>
                    <w:keepNext w:val="0"/>
                    <w:keepLines w:val="0"/>
                    <w:pageBreakBefore w:val="0"/>
                    <w:suppressLineNumbers w:val="0"/>
                    <w:kinsoku/>
                    <w:wordWrap/>
                    <w:overflowPunct/>
                    <w:topLinePunct w:val="0"/>
                    <w:autoSpaceDE/>
                    <w:autoSpaceDN/>
                    <w:bidi w:val="0"/>
                    <w:adjustRightInd w:val="0"/>
                    <w:snapToGrid w:val="0"/>
                    <w:spacing w:before="0" w:beforeAutospacing="0" w:after="0" w:afterAutospacing="0" w:line="276" w:lineRule="auto"/>
                    <w:ind w:left="0" w:right="0"/>
                    <w:jc w:val="center"/>
                    <w:rPr>
                      <w:rFonts w:hint="default" w:ascii="Times New Roman" w:hAnsi="Times New Roman" w:eastAsia="宋体" w:cs="Times New Roman"/>
                      <w:kern w:val="2"/>
                      <w:sz w:val="18"/>
                      <w:szCs w:val="18"/>
                      <w:highlight w:val="none"/>
                      <w:lang w:val="en-US" w:eastAsia="zh-CN" w:bidi="ar-SA"/>
                    </w:rPr>
                  </w:pPr>
                  <w:r>
                    <w:rPr>
                      <w:rFonts w:hint="eastAsia" w:ascii="Times New Roman" w:hAnsi="Times New Roman" w:eastAsia="宋体" w:cs="Times New Roman"/>
                      <w:sz w:val="18"/>
                      <w:szCs w:val="18"/>
                      <w:highlight w:val="none"/>
                    </w:rPr>
                    <w:t>/</w:t>
                  </w:r>
                </w:p>
              </w:tc>
              <w:tc>
                <w:tcPr>
                  <w:tcW w:w="675" w:type="dxa"/>
                  <w:tcBorders>
                    <w:top w:val="single" w:color="auto" w:sz="4" w:space="0"/>
                    <w:left w:val="single" w:color="auto" w:sz="4" w:space="0"/>
                    <w:bottom w:val="single" w:color="auto" w:sz="4" w:space="0"/>
                    <w:right w:val="single" w:color="auto" w:sz="4" w:space="0"/>
                  </w:tcBorders>
                  <w:shd w:val="clear" w:color="auto" w:fill="auto"/>
                  <w:tcMar>
                    <w:left w:w="57" w:type="dxa"/>
                    <w:right w:w="57" w:type="dxa"/>
                  </w:tcMar>
                  <w:vAlign w:val="center"/>
                </w:tcPr>
                <w:p w14:paraId="14801231">
                  <w:pPr>
                    <w:keepNext w:val="0"/>
                    <w:keepLines w:val="0"/>
                    <w:pageBreakBefore w:val="0"/>
                    <w:suppressLineNumbers w:val="0"/>
                    <w:kinsoku/>
                    <w:wordWrap/>
                    <w:overflowPunct/>
                    <w:topLinePunct w:val="0"/>
                    <w:autoSpaceDE/>
                    <w:autoSpaceDN/>
                    <w:bidi w:val="0"/>
                    <w:adjustRightInd w:val="0"/>
                    <w:snapToGrid w:val="0"/>
                    <w:spacing w:before="0" w:beforeAutospacing="0" w:after="0" w:afterAutospacing="0" w:line="276" w:lineRule="auto"/>
                    <w:ind w:left="0" w:right="0"/>
                    <w:jc w:val="center"/>
                    <w:rPr>
                      <w:rFonts w:hint="default" w:ascii="Times New Roman" w:hAnsi="Times New Roman" w:eastAsia="宋体" w:cs="Times New Roman"/>
                      <w:kern w:val="2"/>
                      <w:sz w:val="18"/>
                      <w:szCs w:val="18"/>
                      <w:highlight w:val="none"/>
                      <w:lang w:val="en-US" w:eastAsia="zh-CN" w:bidi="ar-SA"/>
                    </w:rPr>
                  </w:pPr>
                  <w:r>
                    <w:rPr>
                      <w:rFonts w:hint="eastAsia" w:ascii="Times New Roman" w:hAnsi="Times New Roman" w:eastAsia="宋体" w:cs="Times New Roman"/>
                      <w:sz w:val="18"/>
                      <w:szCs w:val="18"/>
                      <w:highlight w:val="none"/>
                    </w:rPr>
                    <w:t>/</w:t>
                  </w:r>
                </w:p>
              </w:tc>
              <w:tc>
                <w:tcPr>
                  <w:tcW w:w="653" w:type="dxa"/>
                  <w:tcBorders>
                    <w:top w:val="single" w:color="auto" w:sz="4" w:space="0"/>
                    <w:left w:val="single" w:color="auto" w:sz="4" w:space="0"/>
                    <w:bottom w:val="single" w:color="auto" w:sz="4" w:space="0"/>
                    <w:right w:val="single" w:color="auto" w:sz="4" w:space="0"/>
                  </w:tcBorders>
                  <w:shd w:val="clear" w:color="auto" w:fill="auto"/>
                  <w:tcMar>
                    <w:left w:w="57" w:type="dxa"/>
                    <w:right w:w="57" w:type="dxa"/>
                  </w:tcMar>
                  <w:vAlign w:val="center"/>
                </w:tcPr>
                <w:p w14:paraId="78EC196B">
                  <w:pPr>
                    <w:keepNext w:val="0"/>
                    <w:keepLines w:val="0"/>
                    <w:pageBreakBefore w:val="0"/>
                    <w:suppressLineNumbers w:val="0"/>
                    <w:kinsoku/>
                    <w:wordWrap/>
                    <w:overflowPunct/>
                    <w:topLinePunct w:val="0"/>
                    <w:autoSpaceDE/>
                    <w:autoSpaceDN/>
                    <w:bidi w:val="0"/>
                    <w:adjustRightInd w:val="0"/>
                    <w:snapToGrid w:val="0"/>
                    <w:spacing w:before="0" w:beforeAutospacing="0" w:after="0" w:afterAutospacing="0" w:line="276" w:lineRule="auto"/>
                    <w:ind w:left="0" w:right="0"/>
                    <w:jc w:val="center"/>
                    <w:rPr>
                      <w:rFonts w:hint="eastAsia" w:ascii="Times New Roman" w:hAnsi="Times New Roman" w:eastAsia="宋体" w:cs="Times New Roman"/>
                      <w:kern w:val="2"/>
                      <w:sz w:val="18"/>
                      <w:szCs w:val="18"/>
                      <w:highlight w:val="none"/>
                      <w:lang w:val="en-US" w:eastAsia="zh-CN" w:bidi="ar-SA"/>
                    </w:rPr>
                  </w:pPr>
                  <w:r>
                    <w:rPr>
                      <w:rFonts w:hint="eastAsia" w:ascii="Times New Roman" w:hAnsi="Times New Roman" w:eastAsia="宋体" w:cs="Times New Roman"/>
                      <w:sz w:val="18"/>
                      <w:szCs w:val="18"/>
                      <w:highlight w:val="none"/>
                      <w:lang w:val="en-US" w:eastAsia="zh-CN"/>
                    </w:rPr>
                    <w:t>2</w:t>
                  </w:r>
                </w:p>
              </w:tc>
              <w:tc>
                <w:tcPr>
                  <w:tcW w:w="794" w:type="dxa"/>
                  <w:tcBorders>
                    <w:top w:val="single" w:color="auto" w:sz="4" w:space="0"/>
                    <w:left w:val="single" w:color="auto" w:sz="4" w:space="0"/>
                    <w:bottom w:val="single" w:color="auto" w:sz="4" w:space="0"/>
                    <w:right w:val="single" w:color="auto" w:sz="4" w:space="0"/>
                  </w:tcBorders>
                  <w:shd w:val="clear" w:color="auto" w:fill="auto"/>
                  <w:tcMar>
                    <w:left w:w="57" w:type="dxa"/>
                    <w:right w:w="57" w:type="dxa"/>
                  </w:tcMar>
                  <w:vAlign w:val="center"/>
                </w:tcPr>
                <w:p w14:paraId="6BB3BB42">
                  <w:pPr>
                    <w:keepNext w:val="0"/>
                    <w:keepLines w:val="0"/>
                    <w:pageBreakBefore w:val="0"/>
                    <w:suppressLineNumbers w:val="0"/>
                    <w:kinsoku/>
                    <w:wordWrap/>
                    <w:overflowPunct/>
                    <w:topLinePunct w:val="0"/>
                    <w:autoSpaceDE/>
                    <w:autoSpaceDN/>
                    <w:bidi w:val="0"/>
                    <w:adjustRightInd w:val="0"/>
                    <w:snapToGrid w:val="0"/>
                    <w:spacing w:before="0" w:beforeAutospacing="0" w:after="0" w:afterAutospacing="0" w:line="276" w:lineRule="auto"/>
                    <w:ind w:left="0" w:right="0"/>
                    <w:jc w:val="center"/>
                    <w:rPr>
                      <w:rFonts w:hint="default" w:ascii="Times New Roman" w:hAnsi="Times New Roman" w:eastAsia="宋体" w:cs="Times New Roman"/>
                      <w:kern w:val="2"/>
                      <w:sz w:val="18"/>
                      <w:szCs w:val="18"/>
                      <w:highlight w:val="none"/>
                      <w:lang w:val="en-US" w:eastAsia="zh-CN" w:bidi="ar-SA"/>
                    </w:rPr>
                  </w:pPr>
                  <w:r>
                    <w:rPr>
                      <w:rFonts w:hint="eastAsia" w:ascii="Times New Roman" w:hAnsi="Times New Roman" w:eastAsia="宋体" w:cs="Times New Roman"/>
                      <w:sz w:val="18"/>
                      <w:szCs w:val="18"/>
                      <w:highlight w:val="none"/>
                    </w:rPr>
                    <w:t>袋装，集中堆放</w:t>
                  </w:r>
                </w:p>
              </w:tc>
              <w:tc>
                <w:tcPr>
                  <w:tcW w:w="705" w:type="dxa"/>
                  <w:tcBorders>
                    <w:top w:val="single" w:color="auto" w:sz="4" w:space="0"/>
                    <w:left w:val="single" w:color="auto" w:sz="4" w:space="0"/>
                    <w:bottom w:val="single" w:color="auto" w:sz="4" w:space="0"/>
                    <w:right w:val="single" w:color="auto" w:sz="4" w:space="0"/>
                  </w:tcBorders>
                  <w:shd w:val="clear" w:color="auto" w:fill="auto"/>
                  <w:tcMar>
                    <w:left w:w="57" w:type="dxa"/>
                    <w:right w:w="57" w:type="dxa"/>
                  </w:tcMar>
                  <w:vAlign w:val="center"/>
                </w:tcPr>
                <w:p w14:paraId="63F2739F">
                  <w:pPr>
                    <w:keepNext w:val="0"/>
                    <w:keepLines w:val="0"/>
                    <w:pageBreakBefore w:val="0"/>
                    <w:suppressLineNumbers w:val="0"/>
                    <w:kinsoku/>
                    <w:wordWrap/>
                    <w:overflowPunct/>
                    <w:topLinePunct w:val="0"/>
                    <w:autoSpaceDE/>
                    <w:autoSpaceDN/>
                    <w:bidi w:val="0"/>
                    <w:adjustRightInd w:val="0"/>
                    <w:snapToGrid w:val="0"/>
                    <w:spacing w:before="0" w:beforeAutospacing="0" w:after="0" w:afterAutospacing="0" w:line="276" w:lineRule="auto"/>
                    <w:ind w:left="0" w:right="0"/>
                    <w:jc w:val="center"/>
                    <w:rPr>
                      <w:rFonts w:hint="default" w:ascii="Times New Roman" w:hAnsi="Times New Roman" w:eastAsia="宋体" w:cs="Times New Roman"/>
                      <w:kern w:val="2"/>
                      <w:sz w:val="18"/>
                      <w:szCs w:val="18"/>
                      <w:highlight w:val="none"/>
                      <w:lang w:val="en-US" w:eastAsia="zh-CN" w:bidi="ar-SA"/>
                    </w:rPr>
                  </w:pPr>
                  <w:r>
                    <w:rPr>
                      <w:rFonts w:hint="eastAsia" w:ascii="Times New Roman" w:hAnsi="Times New Roman" w:eastAsia="宋体" w:cs="Times New Roman"/>
                      <w:sz w:val="18"/>
                      <w:szCs w:val="18"/>
                      <w:highlight w:val="none"/>
                    </w:rPr>
                    <w:t>综合利用</w:t>
                  </w:r>
                </w:p>
              </w:tc>
              <w:tc>
                <w:tcPr>
                  <w:tcW w:w="626" w:type="dxa"/>
                  <w:tcBorders>
                    <w:top w:val="single" w:color="auto" w:sz="4" w:space="0"/>
                    <w:left w:val="single" w:color="auto" w:sz="4" w:space="0"/>
                    <w:bottom w:val="single" w:color="auto" w:sz="4" w:space="0"/>
                    <w:right w:val="single" w:color="auto" w:sz="4" w:space="0"/>
                  </w:tcBorders>
                  <w:shd w:val="clear" w:color="auto" w:fill="auto"/>
                  <w:tcMar>
                    <w:left w:w="57" w:type="dxa"/>
                    <w:right w:w="57" w:type="dxa"/>
                  </w:tcMar>
                  <w:vAlign w:val="center"/>
                </w:tcPr>
                <w:p w14:paraId="733B4A24">
                  <w:pPr>
                    <w:keepNext w:val="0"/>
                    <w:keepLines w:val="0"/>
                    <w:pageBreakBefore w:val="0"/>
                    <w:suppressLineNumbers w:val="0"/>
                    <w:kinsoku/>
                    <w:wordWrap/>
                    <w:overflowPunct/>
                    <w:topLinePunct w:val="0"/>
                    <w:autoSpaceDE/>
                    <w:autoSpaceDN/>
                    <w:bidi w:val="0"/>
                    <w:adjustRightInd w:val="0"/>
                    <w:snapToGrid w:val="0"/>
                    <w:spacing w:before="0" w:beforeAutospacing="0" w:after="0" w:afterAutospacing="0" w:line="276" w:lineRule="auto"/>
                    <w:ind w:left="0" w:right="0"/>
                    <w:jc w:val="center"/>
                    <w:rPr>
                      <w:rFonts w:hint="eastAsia" w:ascii="Times New Roman" w:hAnsi="Times New Roman" w:eastAsia="宋体" w:cs="Times New Roman"/>
                      <w:kern w:val="2"/>
                      <w:sz w:val="18"/>
                      <w:szCs w:val="18"/>
                      <w:highlight w:val="none"/>
                      <w:lang w:val="en-US" w:eastAsia="zh-CN" w:bidi="ar-SA"/>
                    </w:rPr>
                  </w:pPr>
                  <w:r>
                    <w:rPr>
                      <w:rFonts w:hint="eastAsia" w:ascii="Times New Roman" w:hAnsi="Times New Roman" w:eastAsia="宋体" w:cs="Times New Roman"/>
                      <w:sz w:val="18"/>
                      <w:szCs w:val="18"/>
                      <w:highlight w:val="none"/>
                      <w:lang w:val="en-US" w:eastAsia="zh-CN"/>
                    </w:rPr>
                    <w:t>2</w:t>
                  </w:r>
                </w:p>
              </w:tc>
            </w:tr>
            <w:tr w14:paraId="3906539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342" w:hRule="atLeast"/>
                <w:jc w:val="center"/>
              </w:trPr>
              <w:tc>
                <w:tcPr>
                  <w:tcW w:w="307" w:type="dxa"/>
                  <w:tcBorders>
                    <w:top w:val="single" w:color="auto" w:sz="4" w:space="0"/>
                    <w:left w:val="single" w:color="auto" w:sz="4" w:space="0"/>
                    <w:bottom w:val="single" w:color="auto" w:sz="4" w:space="0"/>
                    <w:right w:val="single" w:color="auto" w:sz="4" w:space="0"/>
                  </w:tcBorders>
                  <w:tcMar>
                    <w:left w:w="57" w:type="dxa"/>
                    <w:right w:w="57" w:type="dxa"/>
                  </w:tcMar>
                  <w:vAlign w:val="center"/>
                </w:tcPr>
                <w:p w14:paraId="7DFF0847">
                  <w:pPr>
                    <w:keepNext w:val="0"/>
                    <w:keepLines w:val="0"/>
                    <w:pageBreakBefore w:val="0"/>
                    <w:suppressLineNumbers w:val="0"/>
                    <w:kinsoku/>
                    <w:wordWrap/>
                    <w:overflowPunct/>
                    <w:topLinePunct w:val="0"/>
                    <w:autoSpaceDE/>
                    <w:autoSpaceDN/>
                    <w:bidi w:val="0"/>
                    <w:adjustRightInd w:val="0"/>
                    <w:snapToGrid w:val="0"/>
                    <w:spacing w:before="0" w:beforeAutospacing="0" w:after="0" w:afterAutospacing="0" w:line="276" w:lineRule="auto"/>
                    <w:ind w:left="0" w:right="0"/>
                    <w:jc w:val="center"/>
                    <w:rPr>
                      <w:rFonts w:hint="eastAsia" w:ascii="Times New Roman" w:hAnsi="Times New Roman" w:eastAsia="宋体" w:cs="Times New Roman"/>
                      <w:sz w:val="18"/>
                      <w:szCs w:val="18"/>
                      <w:highlight w:val="none"/>
                      <w:lang w:val="en-US" w:eastAsia="zh-CN"/>
                    </w:rPr>
                  </w:pPr>
                  <w:r>
                    <w:rPr>
                      <w:rFonts w:hint="eastAsia" w:cs="Times New Roman"/>
                      <w:sz w:val="18"/>
                      <w:szCs w:val="18"/>
                      <w:highlight w:val="none"/>
                      <w:lang w:val="en-US" w:eastAsia="zh-CN"/>
                    </w:rPr>
                    <w:t>2</w:t>
                  </w:r>
                </w:p>
              </w:tc>
              <w:tc>
                <w:tcPr>
                  <w:tcW w:w="878" w:type="dxa"/>
                  <w:tcBorders>
                    <w:top w:val="single" w:color="auto" w:sz="4" w:space="0"/>
                    <w:left w:val="single" w:color="auto" w:sz="4" w:space="0"/>
                    <w:bottom w:val="single" w:color="auto" w:sz="4" w:space="0"/>
                    <w:right w:val="single" w:color="auto" w:sz="4" w:space="0"/>
                  </w:tcBorders>
                  <w:shd w:val="clear" w:color="auto" w:fill="auto"/>
                  <w:tcMar>
                    <w:left w:w="57" w:type="dxa"/>
                    <w:right w:w="57" w:type="dxa"/>
                  </w:tcMar>
                  <w:vAlign w:val="center"/>
                </w:tcPr>
                <w:p w14:paraId="472C66C1">
                  <w:pPr>
                    <w:keepNext w:val="0"/>
                    <w:keepLines w:val="0"/>
                    <w:pageBreakBefore w:val="0"/>
                    <w:suppressLineNumbers w:val="0"/>
                    <w:kinsoku/>
                    <w:wordWrap/>
                    <w:overflowPunct/>
                    <w:topLinePunct w:val="0"/>
                    <w:autoSpaceDE/>
                    <w:autoSpaceDN/>
                    <w:bidi w:val="0"/>
                    <w:adjustRightInd w:val="0"/>
                    <w:snapToGrid w:val="0"/>
                    <w:spacing w:before="0" w:beforeAutospacing="0" w:after="0" w:afterAutospacing="0" w:line="276" w:lineRule="auto"/>
                    <w:ind w:left="0" w:right="0"/>
                    <w:jc w:val="center"/>
                    <w:rPr>
                      <w:rFonts w:hint="eastAsia" w:ascii="Times New Roman" w:hAnsi="Times New Roman" w:eastAsia="宋体" w:cs="Times New Roman"/>
                      <w:kern w:val="2"/>
                      <w:sz w:val="18"/>
                      <w:szCs w:val="18"/>
                      <w:highlight w:val="none"/>
                      <w:lang w:val="en-US" w:eastAsia="zh-CN" w:bidi="ar-SA"/>
                    </w:rPr>
                  </w:pPr>
                  <w:r>
                    <w:rPr>
                      <w:rFonts w:hint="eastAsia" w:ascii="Times New Roman" w:hAnsi="Times New Roman" w:eastAsia="宋体" w:cs="Times New Roman"/>
                      <w:color w:val="auto"/>
                      <w:sz w:val="18"/>
                      <w:szCs w:val="18"/>
                      <w:highlight w:val="none"/>
                      <w:lang w:val="en-US" w:eastAsia="zh-CN"/>
                    </w:rPr>
                    <w:t>一般</w:t>
                  </w:r>
                  <w:r>
                    <w:rPr>
                      <w:rFonts w:hint="default" w:ascii="Times New Roman" w:hAnsi="Times New Roman" w:eastAsia="宋体" w:cs="Times New Roman"/>
                      <w:color w:val="auto"/>
                      <w:sz w:val="18"/>
                      <w:szCs w:val="18"/>
                      <w:highlight w:val="none"/>
                    </w:rPr>
                    <w:t>废垫料</w:t>
                  </w:r>
                </w:p>
              </w:tc>
              <w:tc>
                <w:tcPr>
                  <w:tcW w:w="1058" w:type="dxa"/>
                  <w:tcBorders>
                    <w:top w:val="single" w:color="auto" w:sz="4" w:space="0"/>
                    <w:left w:val="single" w:color="auto" w:sz="4" w:space="0"/>
                    <w:bottom w:val="single" w:color="auto" w:sz="4" w:space="0"/>
                    <w:right w:val="single" w:color="auto" w:sz="4" w:space="0"/>
                  </w:tcBorders>
                  <w:shd w:val="clear" w:color="auto" w:fill="auto"/>
                  <w:tcMar>
                    <w:left w:w="57" w:type="dxa"/>
                    <w:right w:w="57" w:type="dxa"/>
                  </w:tcMar>
                  <w:vAlign w:val="center"/>
                </w:tcPr>
                <w:p w14:paraId="5653115E">
                  <w:pPr>
                    <w:keepNext w:val="0"/>
                    <w:keepLines w:val="0"/>
                    <w:pageBreakBefore w:val="0"/>
                    <w:suppressLineNumbers w:val="0"/>
                    <w:kinsoku/>
                    <w:wordWrap/>
                    <w:overflowPunct/>
                    <w:topLinePunct w:val="0"/>
                    <w:autoSpaceDE/>
                    <w:autoSpaceDN/>
                    <w:bidi w:val="0"/>
                    <w:adjustRightInd w:val="0"/>
                    <w:snapToGrid w:val="0"/>
                    <w:spacing w:before="0" w:beforeAutospacing="0" w:after="0" w:afterAutospacing="0" w:line="276" w:lineRule="auto"/>
                    <w:ind w:left="0" w:right="0"/>
                    <w:jc w:val="center"/>
                    <w:rPr>
                      <w:rFonts w:hint="eastAsia" w:ascii="Times New Roman" w:hAnsi="Times New Roman" w:eastAsia="宋体" w:cs="Times New Roman"/>
                      <w:kern w:val="2"/>
                      <w:sz w:val="18"/>
                      <w:szCs w:val="18"/>
                      <w:highlight w:val="none"/>
                      <w:lang w:val="en-US" w:eastAsia="zh-CN" w:bidi="ar-SA"/>
                    </w:rPr>
                  </w:pPr>
                  <w:r>
                    <w:rPr>
                      <w:rFonts w:hint="eastAsia" w:ascii="Times New Roman" w:hAnsi="Times New Roman" w:eastAsia="宋体" w:cs="Times New Roman"/>
                      <w:sz w:val="18"/>
                      <w:szCs w:val="18"/>
                      <w:highlight w:val="none"/>
                    </w:rPr>
                    <w:t>垫料、排泄物</w:t>
                  </w:r>
                </w:p>
              </w:tc>
              <w:tc>
                <w:tcPr>
                  <w:tcW w:w="581" w:type="dxa"/>
                  <w:tcBorders>
                    <w:top w:val="single" w:color="auto" w:sz="4" w:space="0"/>
                    <w:left w:val="single" w:color="auto" w:sz="4" w:space="0"/>
                    <w:bottom w:val="single" w:color="auto" w:sz="4" w:space="0"/>
                    <w:right w:val="single" w:color="auto" w:sz="4" w:space="0"/>
                  </w:tcBorders>
                  <w:shd w:val="clear" w:color="auto" w:fill="auto"/>
                  <w:tcMar>
                    <w:left w:w="57" w:type="dxa"/>
                    <w:right w:w="57" w:type="dxa"/>
                  </w:tcMar>
                  <w:vAlign w:val="center"/>
                </w:tcPr>
                <w:p w14:paraId="16E86B61">
                  <w:pPr>
                    <w:keepNext w:val="0"/>
                    <w:keepLines w:val="0"/>
                    <w:pageBreakBefore w:val="0"/>
                    <w:suppressLineNumbers w:val="0"/>
                    <w:kinsoku/>
                    <w:wordWrap/>
                    <w:overflowPunct/>
                    <w:topLinePunct w:val="0"/>
                    <w:autoSpaceDE/>
                    <w:autoSpaceDN/>
                    <w:bidi w:val="0"/>
                    <w:adjustRightInd w:val="0"/>
                    <w:snapToGrid w:val="0"/>
                    <w:spacing w:before="0" w:beforeAutospacing="0" w:after="0" w:afterAutospacing="0" w:line="276" w:lineRule="auto"/>
                    <w:ind w:left="0" w:right="0"/>
                    <w:jc w:val="center"/>
                    <w:rPr>
                      <w:rFonts w:hint="eastAsia" w:ascii="Times New Roman" w:hAnsi="Times New Roman" w:eastAsia="宋体" w:cs="Times New Roman"/>
                      <w:kern w:val="2"/>
                      <w:sz w:val="18"/>
                      <w:szCs w:val="18"/>
                      <w:highlight w:val="none"/>
                      <w:lang w:val="en-US" w:eastAsia="zh-CN" w:bidi="ar-SA"/>
                    </w:rPr>
                  </w:pPr>
                  <w:r>
                    <w:rPr>
                      <w:rFonts w:hint="eastAsia" w:ascii="Times New Roman" w:hAnsi="Times New Roman" w:eastAsia="宋体" w:cs="Times New Roman"/>
                      <w:sz w:val="18"/>
                      <w:szCs w:val="18"/>
                      <w:highlight w:val="none"/>
                    </w:rPr>
                    <w:t>固态</w:t>
                  </w:r>
                </w:p>
              </w:tc>
              <w:tc>
                <w:tcPr>
                  <w:tcW w:w="1082" w:type="dxa"/>
                  <w:tcBorders>
                    <w:top w:val="single" w:color="auto" w:sz="4" w:space="0"/>
                    <w:left w:val="single" w:color="auto" w:sz="4" w:space="0"/>
                    <w:bottom w:val="single" w:color="auto" w:sz="4" w:space="0"/>
                    <w:right w:val="single" w:color="auto" w:sz="4" w:space="0"/>
                  </w:tcBorders>
                  <w:shd w:val="clear" w:color="auto" w:fill="auto"/>
                  <w:tcMar>
                    <w:left w:w="57" w:type="dxa"/>
                    <w:right w:w="57" w:type="dxa"/>
                  </w:tcMar>
                  <w:vAlign w:val="center"/>
                </w:tcPr>
                <w:p w14:paraId="1A9E94E3">
                  <w:pPr>
                    <w:keepNext w:val="0"/>
                    <w:keepLines w:val="0"/>
                    <w:pageBreakBefore w:val="0"/>
                    <w:suppressLineNumbers w:val="0"/>
                    <w:kinsoku/>
                    <w:wordWrap/>
                    <w:overflowPunct/>
                    <w:topLinePunct w:val="0"/>
                    <w:autoSpaceDE/>
                    <w:autoSpaceDN/>
                    <w:bidi w:val="0"/>
                    <w:adjustRightInd w:val="0"/>
                    <w:snapToGrid w:val="0"/>
                    <w:spacing w:before="0" w:beforeAutospacing="0" w:after="0" w:afterAutospacing="0" w:line="276" w:lineRule="auto"/>
                    <w:ind w:left="0" w:right="0"/>
                    <w:jc w:val="center"/>
                    <w:rPr>
                      <w:rFonts w:hint="eastAsia" w:ascii="Times New Roman" w:hAnsi="Times New Roman" w:eastAsia="宋体" w:cs="Times New Roman"/>
                      <w:sz w:val="18"/>
                      <w:szCs w:val="18"/>
                      <w:highlight w:val="none"/>
                      <w:lang w:val="en-US" w:eastAsia="zh-CN"/>
                    </w:rPr>
                  </w:pPr>
                  <w:r>
                    <w:rPr>
                      <w:rFonts w:hint="eastAsia" w:ascii="Times New Roman" w:hAnsi="Times New Roman" w:eastAsia="宋体" w:cs="Times New Roman"/>
                      <w:sz w:val="18"/>
                      <w:szCs w:val="18"/>
                      <w:highlight w:val="none"/>
                    </w:rPr>
                    <w:t>一般</w:t>
                  </w:r>
                  <w:r>
                    <w:rPr>
                      <w:rFonts w:hint="eastAsia" w:ascii="Times New Roman" w:hAnsi="Times New Roman" w:eastAsia="宋体" w:cs="Times New Roman"/>
                      <w:sz w:val="18"/>
                      <w:szCs w:val="18"/>
                      <w:highlight w:val="none"/>
                      <w:lang w:val="en-US" w:eastAsia="zh-CN"/>
                    </w:rPr>
                    <w:t>固废</w:t>
                  </w:r>
                  <w:r>
                    <w:rPr>
                      <w:rFonts w:hint="eastAsia" w:ascii="Times New Roman" w:hAnsi="Times New Roman" w:eastAsia="宋体" w:cs="Times New Roman"/>
                      <w:sz w:val="18"/>
                      <w:szCs w:val="18"/>
                      <w:highlight w:val="none"/>
                    </w:rPr>
                    <w:t>，</w:t>
                  </w:r>
                </w:p>
                <w:p w14:paraId="31A764F2">
                  <w:pPr>
                    <w:keepNext w:val="0"/>
                    <w:keepLines w:val="0"/>
                    <w:pageBreakBefore w:val="0"/>
                    <w:suppressLineNumbers w:val="0"/>
                    <w:kinsoku/>
                    <w:wordWrap/>
                    <w:overflowPunct/>
                    <w:topLinePunct w:val="0"/>
                    <w:autoSpaceDE/>
                    <w:autoSpaceDN/>
                    <w:bidi w:val="0"/>
                    <w:adjustRightInd w:val="0"/>
                    <w:snapToGrid w:val="0"/>
                    <w:spacing w:before="0" w:beforeAutospacing="0" w:after="0" w:afterAutospacing="0" w:line="276" w:lineRule="auto"/>
                    <w:ind w:left="0" w:right="0"/>
                    <w:jc w:val="center"/>
                    <w:rPr>
                      <w:rFonts w:hint="eastAsia" w:ascii="Times New Roman" w:hAnsi="Times New Roman" w:eastAsia="宋体" w:cs="Times New Roman"/>
                      <w:kern w:val="2"/>
                      <w:sz w:val="18"/>
                      <w:szCs w:val="18"/>
                      <w:highlight w:val="none"/>
                      <w:lang w:val="en-US" w:eastAsia="zh-CN" w:bidi="ar-SA"/>
                    </w:rPr>
                  </w:pPr>
                  <w:r>
                    <w:rPr>
                      <w:rFonts w:hint="eastAsia" w:ascii="Times New Roman" w:hAnsi="Times New Roman" w:eastAsia="宋体" w:cs="Times New Roman"/>
                      <w:color w:val="auto"/>
                      <w:sz w:val="18"/>
                      <w:szCs w:val="18"/>
                      <w:highlight w:val="none"/>
                    </w:rPr>
                    <w:t>900-099-</w:t>
                  </w:r>
                  <w:r>
                    <w:rPr>
                      <w:rFonts w:hint="default" w:ascii="Times New Roman" w:hAnsi="Times New Roman" w:eastAsia="宋体" w:cs="Times New Roman"/>
                      <w:color w:val="auto"/>
                      <w:sz w:val="18"/>
                      <w:szCs w:val="18"/>
                      <w:highlight w:val="none"/>
                    </w:rPr>
                    <w:t>S59</w:t>
                  </w:r>
                </w:p>
              </w:tc>
              <w:tc>
                <w:tcPr>
                  <w:tcW w:w="895" w:type="dxa"/>
                  <w:tcBorders>
                    <w:top w:val="single" w:color="auto" w:sz="4" w:space="0"/>
                    <w:left w:val="single" w:color="auto" w:sz="4" w:space="0"/>
                    <w:bottom w:val="single" w:color="auto" w:sz="4" w:space="0"/>
                    <w:right w:val="single" w:color="auto" w:sz="4" w:space="0"/>
                  </w:tcBorders>
                  <w:shd w:val="clear" w:color="auto" w:fill="auto"/>
                  <w:tcMar>
                    <w:left w:w="57" w:type="dxa"/>
                    <w:right w:w="57" w:type="dxa"/>
                  </w:tcMar>
                  <w:vAlign w:val="center"/>
                </w:tcPr>
                <w:p w14:paraId="1D3EB6A6">
                  <w:pPr>
                    <w:keepNext w:val="0"/>
                    <w:keepLines w:val="0"/>
                    <w:pageBreakBefore w:val="0"/>
                    <w:suppressLineNumbers w:val="0"/>
                    <w:kinsoku/>
                    <w:wordWrap/>
                    <w:overflowPunct/>
                    <w:topLinePunct w:val="0"/>
                    <w:autoSpaceDE/>
                    <w:autoSpaceDN/>
                    <w:bidi w:val="0"/>
                    <w:adjustRightInd w:val="0"/>
                    <w:snapToGrid w:val="0"/>
                    <w:spacing w:before="0" w:beforeAutospacing="0" w:after="0" w:afterAutospacing="0" w:line="276" w:lineRule="auto"/>
                    <w:ind w:left="0" w:right="0"/>
                    <w:jc w:val="center"/>
                    <w:rPr>
                      <w:rFonts w:hint="default" w:ascii="Times New Roman" w:hAnsi="Times New Roman" w:eastAsia="宋体" w:cs="Times New Roman"/>
                      <w:kern w:val="2"/>
                      <w:sz w:val="18"/>
                      <w:szCs w:val="18"/>
                      <w:highlight w:val="none"/>
                      <w:lang w:val="en-US" w:eastAsia="zh-CN" w:bidi="ar-SA"/>
                    </w:rPr>
                  </w:pPr>
                  <w:r>
                    <w:rPr>
                      <w:rFonts w:hint="default" w:ascii="Times New Roman" w:hAnsi="Times New Roman" w:eastAsia="宋体" w:cs="Times New Roman"/>
                      <w:sz w:val="18"/>
                      <w:szCs w:val="18"/>
                      <w:highlight w:val="none"/>
                    </w:rPr>
                    <w:t>/</w:t>
                  </w:r>
                </w:p>
              </w:tc>
              <w:tc>
                <w:tcPr>
                  <w:tcW w:w="675" w:type="dxa"/>
                  <w:tcBorders>
                    <w:top w:val="single" w:color="auto" w:sz="4" w:space="0"/>
                    <w:left w:val="single" w:color="auto" w:sz="4" w:space="0"/>
                    <w:bottom w:val="single" w:color="auto" w:sz="4" w:space="0"/>
                    <w:right w:val="single" w:color="auto" w:sz="4" w:space="0"/>
                  </w:tcBorders>
                  <w:shd w:val="clear" w:color="auto" w:fill="auto"/>
                  <w:tcMar>
                    <w:left w:w="57" w:type="dxa"/>
                    <w:right w:w="57" w:type="dxa"/>
                  </w:tcMar>
                  <w:vAlign w:val="center"/>
                </w:tcPr>
                <w:p w14:paraId="31A551D5">
                  <w:pPr>
                    <w:keepNext w:val="0"/>
                    <w:keepLines w:val="0"/>
                    <w:pageBreakBefore w:val="0"/>
                    <w:suppressLineNumbers w:val="0"/>
                    <w:kinsoku/>
                    <w:wordWrap/>
                    <w:overflowPunct/>
                    <w:topLinePunct w:val="0"/>
                    <w:autoSpaceDE/>
                    <w:autoSpaceDN/>
                    <w:bidi w:val="0"/>
                    <w:adjustRightInd w:val="0"/>
                    <w:snapToGrid w:val="0"/>
                    <w:spacing w:before="0" w:beforeAutospacing="0" w:after="0" w:afterAutospacing="0" w:line="276" w:lineRule="auto"/>
                    <w:ind w:left="0" w:right="0"/>
                    <w:jc w:val="center"/>
                    <w:rPr>
                      <w:rFonts w:hint="default" w:ascii="Times New Roman" w:hAnsi="Times New Roman" w:eastAsia="宋体" w:cs="Times New Roman"/>
                      <w:kern w:val="2"/>
                      <w:sz w:val="18"/>
                      <w:szCs w:val="18"/>
                      <w:highlight w:val="none"/>
                      <w:lang w:val="en-US" w:eastAsia="zh-CN" w:bidi="ar-SA"/>
                    </w:rPr>
                  </w:pPr>
                  <w:r>
                    <w:rPr>
                      <w:rFonts w:hint="default" w:ascii="Times New Roman" w:hAnsi="Times New Roman" w:eastAsia="宋体" w:cs="Times New Roman"/>
                      <w:sz w:val="18"/>
                      <w:szCs w:val="18"/>
                      <w:highlight w:val="none"/>
                    </w:rPr>
                    <w:t>/</w:t>
                  </w:r>
                </w:p>
              </w:tc>
              <w:tc>
                <w:tcPr>
                  <w:tcW w:w="653" w:type="dxa"/>
                  <w:tcBorders>
                    <w:top w:val="single" w:color="auto" w:sz="4" w:space="0"/>
                    <w:left w:val="single" w:color="auto" w:sz="4" w:space="0"/>
                    <w:bottom w:val="single" w:color="auto" w:sz="4" w:space="0"/>
                    <w:right w:val="single" w:color="auto" w:sz="4" w:space="0"/>
                  </w:tcBorders>
                  <w:shd w:val="clear" w:color="auto" w:fill="auto"/>
                  <w:tcMar>
                    <w:left w:w="57" w:type="dxa"/>
                    <w:right w:w="57" w:type="dxa"/>
                  </w:tcMar>
                  <w:vAlign w:val="center"/>
                </w:tcPr>
                <w:p w14:paraId="62997789">
                  <w:pPr>
                    <w:keepNext w:val="0"/>
                    <w:keepLines w:val="0"/>
                    <w:pageBreakBefore w:val="0"/>
                    <w:suppressLineNumbers w:val="0"/>
                    <w:kinsoku/>
                    <w:wordWrap/>
                    <w:overflowPunct/>
                    <w:topLinePunct w:val="0"/>
                    <w:autoSpaceDE/>
                    <w:autoSpaceDN/>
                    <w:bidi w:val="0"/>
                    <w:adjustRightInd w:val="0"/>
                    <w:snapToGrid w:val="0"/>
                    <w:spacing w:before="0" w:beforeAutospacing="0" w:after="0" w:afterAutospacing="0" w:line="276" w:lineRule="auto"/>
                    <w:ind w:left="0" w:right="0"/>
                    <w:jc w:val="center"/>
                    <w:rPr>
                      <w:rFonts w:hint="default" w:ascii="Times New Roman" w:hAnsi="Times New Roman" w:eastAsia="宋体" w:cs="Times New Roman"/>
                      <w:kern w:val="2"/>
                      <w:sz w:val="18"/>
                      <w:szCs w:val="18"/>
                      <w:highlight w:val="none"/>
                      <w:lang w:val="en-US" w:eastAsia="zh-CN" w:bidi="ar-SA"/>
                    </w:rPr>
                  </w:pPr>
                  <w:r>
                    <w:rPr>
                      <w:rFonts w:hint="eastAsia" w:cs="Times New Roman"/>
                      <w:kern w:val="2"/>
                      <w:sz w:val="18"/>
                      <w:szCs w:val="18"/>
                      <w:highlight w:val="none"/>
                      <w:lang w:val="en-US" w:eastAsia="zh-CN" w:bidi="ar-SA"/>
                    </w:rPr>
                    <w:t>93.24</w:t>
                  </w:r>
                </w:p>
              </w:tc>
              <w:tc>
                <w:tcPr>
                  <w:tcW w:w="794" w:type="dxa"/>
                  <w:tcBorders>
                    <w:top w:val="single" w:color="auto" w:sz="4" w:space="0"/>
                    <w:left w:val="single" w:color="auto" w:sz="4" w:space="0"/>
                    <w:bottom w:val="single" w:color="auto" w:sz="4" w:space="0"/>
                    <w:right w:val="single" w:color="auto" w:sz="4" w:space="0"/>
                  </w:tcBorders>
                  <w:shd w:val="clear" w:color="auto" w:fill="auto"/>
                  <w:tcMar>
                    <w:left w:w="57" w:type="dxa"/>
                    <w:right w:w="57" w:type="dxa"/>
                  </w:tcMar>
                  <w:vAlign w:val="center"/>
                </w:tcPr>
                <w:p w14:paraId="646AE9BF">
                  <w:pPr>
                    <w:keepNext w:val="0"/>
                    <w:keepLines w:val="0"/>
                    <w:pageBreakBefore w:val="0"/>
                    <w:suppressLineNumbers w:val="0"/>
                    <w:kinsoku/>
                    <w:wordWrap/>
                    <w:overflowPunct/>
                    <w:topLinePunct w:val="0"/>
                    <w:autoSpaceDE/>
                    <w:autoSpaceDN/>
                    <w:bidi w:val="0"/>
                    <w:adjustRightInd w:val="0"/>
                    <w:snapToGrid w:val="0"/>
                    <w:spacing w:before="0" w:beforeAutospacing="0" w:after="0" w:afterAutospacing="0" w:line="276" w:lineRule="auto"/>
                    <w:ind w:left="0" w:right="0"/>
                    <w:jc w:val="center"/>
                    <w:rPr>
                      <w:rFonts w:hint="eastAsia" w:ascii="Times New Roman" w:hAnsi="Times New Roman" w:eastAsia="宋体" w:cs="Times New Roman"/>
                      <w:kern w:val="2"/>
                      <w:sz w:val="18"/>
                      <w:szCs w:val="18"/>
                      <w:highlight w:val="none"/>
                      <w:lang w:val="en-US" w:eastAsia="zh-CN" w:bidi="ar-SA"/>
                    </w:rPr>
                  </w:pPr>
                  <w:r>
                    <w:rPr>
                      <w:rFonts w:hint="eastAsia" w:cs="Times New Roman"/>
                      <w:sz w:val="18"/>
                      <w:szCs w:val="18"/>
                      <w:highlight w:val="none"/>
                      <w:lang w:val="en-US" w:eastAsia="zh-CN"/>
                    </w:rPr>
                    <w:t>吨</w:t>
                  </w:r>
                  <w:r>
                    <w:rPr>
                      <w:rFonts w:hint="eastAsia" w:ascii="Times New Roman" w:hAnsi="Times New Roman" w:eastAsia="宋体" w:cs="Times New Roman"/>
                      <w:sz w:val="18"/>
                      <w:szCs w:val="18"/>
                      <w:highlight w:val="none"/>
                    </w:rPr>
                    <w:t>袋装，集中堆放</w:t>
                  </w:r>
                </w:p>
              </w:tc>
              <w:tc>
                <w:tcPr>
                  <w:tcW w:w="705" w:type="dxa"/>
                  <w:vMerge w:val="restart"/>
                  <w:tcBorders>
                    <w:top w:val="single" w:color="auto" w:sz="4" w:space="0"/>
                    <w:left w:val="single" w:color="auto" w:sz="4" w:space="0"/>
                    <w:right w:val="single" w:color="auto" w:sz="4" w:space="0"/>
                  </w:tcBorders>
                  <w:shd w:val="clear" w:color="auto" w:fill="auto"/>
                  <w:tcMar>
                    <w:left w:w="57" w:type="dxa"/>
                    <w:right w:w="57" w:type="dxa"/>
                  </w:tcMar>
                  <w:vAlign w:val="center"/>
                </w:tcPr>
                <w:p w14:paraId="593940B6">
                  <w:pPr>
                    <w:keepNext w:val="0"/>
                    <w:keepLines w:val="0"/>
                    <w:pageBreakBefore w:val="0"/>
                    <w:suppressLineNumbers w:val="0"/>
                    <w:kinsoku/>
                    <w:wordWrap/>
                    <w:overflowPunct/>
                    <w:topLinePunct w:val="0"/>
                    <w:autoSpaceDE/>
                    <w:autoSpaceDN/>
                    <w:bidi w:val="0"/>
                    <w:adjustRightInd w:val="0"/>
                    <w:snapToGrid w:val="0"/>
                    <w:spacing w:before="0" w:beforeAutospacing="0" w:after="0" w:afterAutospacing="0" w:line="276" w:lineRule="auto"/>
                    <w:ind w:left="0" w:right="0"/>
                    <w:jc w:val="center"/>
                    <w:rPr>
                      <w:rFonts w:hint="eastAsia" w:ascii="Times New Roman" w:hAnsi="Times New Roman" w:eastAsia="宋体" w:cs="Times New Roman"/>
                      <w:sz w:val="18"/>
                      <w:szCs w:val="18"/>
                      <w:highlight w:val="none"/>
                      <w:lang w:val="en-US" w:eastAsia="zh-CN"/>
                    </w:rPr>
                  </w:pPr>
                  <w:r>
                    <w:rPr>
                      <w:rFonts w:hint="eastAsia" w:ascii="Times New Roman" w:hAnsi="Times New Roman" w:eastAsia="宋体" w:cs="Times New Roman"/>
                      <w:sz w:val="18"/>
                      <w:szCs w:val="18"/>
                      <w:highlight w:val="none"/>
                      <w:lang w:val="zh-CN"/>
                    </w:rPr>
                    <w:t>供应商回收处置</w:t>
                  </w:r>
                </w:p>
              </w:tc>
              <w:tc>
                <w:tcPr>
                  <w:tcW w:w="626" w:type="dxa"/>
                  <w:tcBorders>
                    <w:top w:val="single" w:color="auto" w:sz="4" w:space="0"/>
                    <w:left w:val="single" w:color="auto" w:sz="4" w:space="0"/>
                    <w:bottom w:val="single" w:color="auto" w:sz="4" w:space="0"/>
                    <w:right w:val="single" w:color="auto" w:sz="4" w:space="0"/>
                  </w:tcBorders>
                  <w:shd w:val="clear" w:color="auto" w:fill="auto"/>
                  <w:tcMar>
                    <w:left w:w="57" w:type="dxa"/>
                    <w:right w:w="57" w:type="dxa"/>
                  </w:tcMar>
                  <w:vAlign w:val="center"/>
                </w:tcPr>
                <w:p w14:paraId="26E8980F">
                  <w:pPr>
                    <w:keepNext w:val="0"/>
                    <w:keepLines w:val="0"/>
                    <w:pageBreakBefore w:val="0"/>
                    <w:suppressLineNumbers w:val="0"/>
                    <w:kinsoku/>
                    <w:wordWrap/>
                    <w:overflowPunct/>
                    <w:topLinePunct w:val="0"/>
                    <w:autoSpaceDE/>
                    <w:autoSpaceDN/>
                    <w:bidi w:val="0"/>
                    <w:adjustRightInd w:val="0"/>
                    <w:snapToGrid w:val="0"/>
                    <w:spacing w:before="0" w:beforeAutospacing="0" w:after="0" w:afterAutospacing="0" w:line="276" w:lineRule="auto"/>
                    <w:ind w:left="0" w:right="0"/>
                    <w:jc w:val="center"/>
                    <w:rPr>
                      <w:rFonts w:hint="default" w:ascii="Times New Roman" w:hAnsi="Times New Roman" w:eastAsia="宋体" w:cs="Times New Roman"/>
                      <w:kern w:val="2"/>
                      <w:sz w:val="18"/>
                      <w:szCs w:val="18"/>
                      <w:highlight w:val="none"/>
                      <w:lang w:val="en-US" w:eastAsia="zh-CN" w:bidi="ar-SA"/>
                    </w:rPr>
                  </w:pPr>
                  <w:r>
                    <w:rPr>
                      <w:rFonts w:hint="eastAsia" w:cs="Times New Roman"/>
                      <w:kern w:val="2"/>
                      <w:sz w:val="18"/>
                      <w:szCs w:val="18"/>
                      <w:highlight w:val="none"/>
                      <w:lang w:val="en-US" w:eastAsia="zh-CN" w:bidi="ar-SA"/>
                    </w:rPr>
                    <w:t>93.24</w:t>
                  </w:r>
                </w:p>
              </w:tc>
            </w:tr>
            <w:tr w14:paraId="3B5B6F2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342" w:hRule="atLeast"/>
                <w:jc w:val="center"/>
              </w:trPr>
              <w:tc>
                <w:tcPr>
                  <w:tcW w:w="307" w:type="dxa"/>
                  <w:tcBorders>
                    <w:top w:val="single" w:color="auto" w:sz="4" w:space="0"/>
                    <w:left w:val="single" w:color="auto" w:sz="4" w:space="0"/>
                    <w:bottom w:val="single" w:color="auto" w:sz="4" w:space="0"/>
                    <w:right w:val="single" w:color="auto" w:sz="4" w:space="0"/>
                  </w:tcBorders>
                  <w:shd w:val="clear" w:color="auto" w:fill="auto"/>
                  <w:tcMar>
                    <w:left w:w="57" w:type="dxa"/>
                    <w:right w:w="57" w:type="dxa"/>
                  </w:tcMar>
                  <w:vAlign w:val="center"/>
                </w:tcPr>
                <w:p w14:paraId="22706D8B">
                  <w:pPr>
                    <w:keepNext w:val="0"/>
                    <w:keepLines w:val="0"/>
                    <w:pageBreakBefore w:val="0"/>
                    <w:suppressLineNumbers w:val="0"/>
                    <w:kinsoku/>
                    <w:wordWrap/>
                    <w:overflowPunct/>
                    <w:topLinePunct w:val="0"/>
                    <w:autoSpaceDE/>
                    <w:autoSpaceDN/>
                    <w:bidi w:val="0"/>
                    <w:adjustRightInd w:val="0"/>
                    <w:snapToGrid w:val="0"/>
                    <w:spacing w:before="0" w:beforeAutospacing="0" w:after="0" w:afterAutospacing="0" w:line="276" w:lineRule="auto"/>
                    <w:ind w:left="0" w:leftChars="0" w:right="0" w:rightChars="0"/>
                    <w:jc w:val="center"/>
                    <w:rPr>
                      <w:rFonts w:hint="eastAsia" w:ascii="Times New Roman" w:hAnsi="Times New Roman" w:eastAsia="宋体" w:cs="Times New Roman"/>
                      <w:kern w:val="2"/>
                      <w:sz w:val="18"/>
                      <w:szCs w:val="18"/>
                      <w:highlight w:val="none"/>
                      <w:lang w:val="en-US" w:eastAsia="zh-CN" w:bidi="ar-SA"/>
                    </w:rPr>
                  </w:pPr>
                  <w:r>
                    <w:rPr>
                      <w:rFonts w:hint="eastAsia" w:ascii="Times New Roman" w:hAnsi="Times New Roman" w:eastAsia="宋体" w:cs="Times New Roman"/>
                      <w:sz w:val="18"/>
                      <w:szCs w:val="18"/>
                      <w:highlight w:val="none"/>
                    </w:rPr>
                    <w:t>3</w:t>
                  </w:r>
                </w:p>
              </w:tc>
              <w:tc>
                <w:tcPr>
                  <w:tcW w:w="878" w:type="dxa"/>
                  <w:tcBorders>
                    <w:top w:val="single" w:color="auto" w:sz="4" w:space="0"/>
                    <w:left w:val="single" w:color="auto" w:sz="4" w:space="0"/>
                    <w:bottom w:val="single" w:color="auto" w:sz="4" w:space="0"/>
                    <w:right w:val="single" w:color="auto" w:sz="4" w:space="0"/>
                  </w:tcBorders>
                  <w:shd w:val="clear" w:color="auto" w:fill="auto"/>
                  <w:tcMar>
                    <w:left w:w="57" w:type="dxa"/>
                    <w:right w:w="57" w:type="dxa"/>
                  </w:tcMar>
                  <w:vAlign w:val="center"/>
                </w:tcPr>
                <w:p w14:paraId="1FF171E5">
                  <w:pPr>
                    <w:keepNext w:val="0"/>
                    <w:keepLines w:val="0"/>
                    <w:pageBreakBefore w:val="0"/>
                    <w:suppressLineNumbers w:val="0"/>
                    <w:kinsoku/>
                    <w:wordWrap/>
                    <w:overflowPunct/>
                    <w:topLinePunct w:val="0"/>
                    <w:autoSpaceDE/>
                    <w:autoSpaceDN/>
                    <w:bidi w:val="0"/>
                    <w:adjustRightInd w:val="0"/>
                    <w:snapToGrid w:val="0"/>
                    <w:spacing w:before="0" w:beforeAutospacing="0" w:after="0" w:afterAutospacing="0" w:line="276" w:lineRule="auto"/>
                    <w:ind w:left="0" w:right="0"/>
                    <w:jc w:val="center"/>
                    <w:rPr>
                      <w:rFonts w:hint="default" w:ascii="Times New Roman" w:hAnsi="Times New Roman" w:eastAsia="宋体" w:cs="Times New Roman"/>
                      <w:color w:val="auto"/>
                      <w:sz w:val="18"/>
                      <w:szCs w:val="18"/>
                      <w:highlight w:val="none"/>
                      <w:lang w:val="en-US" w:eastAsia="zh-CN"/>
                    </w:rPr>
                  </w:pPr>
                  <w:r>
                    <w:rPr>
                      <w:rFonts w:hint="eastAsia" w:cs="Times New Roman"/>
                      <w:color w:val="auto"/>
                      <w:sz w:val="18"/>
                      <w:szCs w:val="18"/>
                      <w:highlight w:val="none"/>
                      <w:lang w:val="en-US" w:eastAsia="zh-CN"/>
                    </w:rPr>
                    <w:t>动物粪便</w:t>
                  </w:r>
                </w:p>
              </w:tc>
              <w:tc>
                <w:tcPr>
                  <w:tcW w:w="1058" w:type="dxa"/>
                  <w:tcBorders>
                    <w:top w:val="single" w:color="auto" w:sz="4" w:space="0"/>
                    <w:left w:val="single" w:color="auto" w:sz="4" w:space="0"/>
                    <w:bottom w:val="single" w:color="auto" w:sz="4" w:space="0"/>
                    <w:right w:val="single" w:color="auto" w:sz="4" w:space="0"/>
                  </w:tcBorders>
                  <w:shd w:val="clear" w:color="auto" w:fill="auto"/>
                  <w:tcMar>
                    <w:left w:w="57" w:type="dxa"/>
                    <w:right w:w="57" w:type="dxa"/>
                  </w:tcMar>
                  <w:vAlign w:val="center"/>
                </w:tcPr>
                <w:p w14:paraId="0066781D">
                  <w:pPr>
                    <w:keepNext w:val="0"/>
                    <w:keepLines w:val="0"/>
                    <w:pageBreakBefore w:val="0"/>
                    <w:suppressLineNumbers w:val="0"/>
                    <w:kinsoku/>
                    <w:wordWrap/>
                    <w:overflowPunct/>
                    <w:topLinePunct w:val="0"/>
                    <w:autoSpaceDE/>
                    <w:autoSpaceDN/>
                    <w:bidi w:val="0"/>
                    <w:adjustRightInd w:val="0"/>
                    <w:snapToGrid w:val="0"/>
                    <w:spacing w:before="0" w:beforeAutospacing="0" w:after="0" w:afterAutospacing="0" w:line="276" w:lineRule="auto"/>
                    <w:ind w:left="0" w:right="0"/>
                    <w:jc w:val="center"/>
                    <w:rPr>
                      <w:rFonts w:hint="default" w:ascii="Times New Roman" w:hAnsi="Times New Roman" w:eastAsia="宋体" w:cs="Times New Roman"/>
                      <w:sz w:val="18"/>
                      <w:szCs w:val="18"/>
                      <w:highlight w:val="none"/>
                      <w:lang w:val="en-US" w:eastAsia="zh-CN"/>
                    </w:rPr>
                  </w:pPr>
                  <w:r>
                    <w:rPr>
                      <w:rFonts w:hint="eastAsia" w:cs="Times New Roman"/>
                      <w:sz w:val="18"/>
                      <w:szCs w:val="18"/>
                      <w:highlight w:val="none"/>
                      <w:lang w:val="en-US" w:eastAsia="zh-CN"/>
                    </w:rPr>
                    <w:t>动物排泄物</w:t>
                  </w:r>
                </w:p>
              </w:tc>
              <w:tc>
                <w:tcPr>
                  <w:tcW w:w="581" w:type="dxa"/>
                  <w:tcBorders>
                    <w:top w:val="single" w:color="auto" w:sz="4" w:space="0"/>
                    <w:left w:val="single" w:color="auto" w:sz="4" w:space="0"/>
                    <w:bottom w:val="single" w:color="auto" w:sz="4" w:space="0"/>
                    <w:right w:val="single" w:color="auto" w:sz="4" w:space="0"/>
                  </w:tcBorders>
                  <w:shd w:val="clear" w:color="auto" w:fill="auto"/>
                  <w:tcMar>
                    <w:left w:w="57" w:type="dxa"/>
                    <w:right w:w="57" w:type="dxa"/>
                  </w:tcMar>
                  <w:vAlign w:val="center"/>
                </w:tcPr>
                <w:p w14:paraId="46275AD3">
                  <w:pPr>
                    <w:keepNext w:val="0"/>
                    <w:keepLines w:val="0"/>
                    <w:pageBreakBefore w:val="0"/>
                    <w:suppressLineNumbers w:val="0"/>
                    <w:kinsoku/>
                    <w:wordWrap/>
                    <w:overflowPunct/>
                    <w:topLinePunct w:val="0"/>
                    <w:autoSpaceDE/>
                    <w:autoSpaceDN/>
                    <w:bidi w:val="0"/>
                    <w:adjustRightInd w:val="0"/>
                    <w:snapToGrid w:val="0"/>
                    <w:spacing w:before="0" w:beforeAutospacing="0" w:after="0" w:afterAutospacing="0" w:line="276" w:lineRule="auto"/>
                    <w:ind w:left="0" w:right="0"/>
                    <w:jc w:val="center"/>
                    <w:rPr>
                      <w:rFonts w:hint="eastAsia" w:ascii="Times New Roman" w:hAnsi="Times New Roman" w:eastAsia="宋体" w:cs="Times New Roman"/>
                      <w:sz w:val="18"/>
                      <w:szCs w:val="18"/>
                      <w:highlight w:val="none"/>
                    </w:rPr>
                  </w:pPr>
                  <w:r>
                    <w:rPr>
                      <w:rFonts w:hint="eastAsia" w:ascii="Times New Roman" w:hAnsi="Times New Roman" w:eastAsia="宋体" w:cs="Times New Roman"/>
                      <w:sz w:val="18"/>
                      <w:szCs w:val="18"/>
                      <w:highlight w:val="none"/>
                    </w:rPr>
                    <w:t>固态</w:t>
                  </w:r>
                </w:p>
              </w:tc>
              <w:tc>
                <w:tcPr>
                  <w:tcW w:w="1082" w:type="dxa"/>
                  <w:tcBorders>
                    <w:top w:val="single" w:color="auto" w:sz="4" w:space="0"/>
                    <w:left w:val="single" w:color="auto" w:sz="4" w:space="0"/>
                    <w:bottom w:val="single" w:color="auto" w:sz="4" w:space="0"/>
                    <w:right w:val="single" w:color="auto" w:sz="4" w:space="0"/>
                  </w:tcBorders>
                  <w:shd w:val="clear" w:color="auto" w:fill="auto"/>
                  <w:tcMar>
                    <w:left w:w="57" w:type="dxa"/>
                    <w:right w:w="57" w:type="dxa"/>
                  </w:tcMar>
                  <w:vAlign w:val="center"/>
                </w:tcPr>
                <w:p w14:paraId="57AFF216">
                  <w:pPr>
                    <w:keepNext w:val="0"/>
                    <w:keepLines w:val="0"/>
                    <w:pageBreakBefore w:val="0"/>
                    <w:suppressLineNumbers w:val="0"/>
                    <w:kinsoku/>
                    <w:wordWrap/>
                    <w:overflowPunct/>
                    <w:topLinePunct w:val="0"/>
                    <w:autoSpaceDE/>
                    <w:autoSpaceDN/>
                    <w:bidi w:val="0"/>
                    <w:adjustRightInd w:val="0"/>
                    <w:snapToGrid w:val="0"/>
                    <w:spacing w:before="0" w:beforeAutospacing="0" w:after="0" w:afterAutospacing="0" w:line="276" w:lineRule="auto"/>
                    <w:ind w:left="0" w:right="0"/>
                    <w:jc w:val="center"/>
                    <w:rPr>
                      <w:rFonts w:hint="eastAsia" w:ascii="Times New Roman" w:hAnsi="Times New Roman" w:eastAsia="宋体" w:cs="Times New Roman"/>
                      <w:sz w:val="18"/>
                      <w:szCs w:val="18"/>
                      <w:highlight w:val="none"/>
                      <w:lang w:val="en-US" w:eastAsia="zh-CN"/>
                    </w:rPr>
                  </w:pPr>
                  <w:r>
                    <w:rPr>
                      <w:rFonts w:hint="eastAsia" w:ascii="Times New Roman" w:hAnsi="Times New Roman" w:eastAsia="宋体" w:cs="Times New Roman"/>
                      <w:sz w:val="18"/>
                      <w:szCs w:val="18"/>
                      <w:highlight w:val="none"/>
                    </w:rPr>
                    <w:t>一般</w:t>
                  </w:r>
                  <w:r>
                    <w:rPr>
                      <w:rFonts w:hint="eastAsia" w:ascii="Times New Roman" w:hAnsi="Times New Roman" w:eastAsia="宋体" w:cs="Times New Roman"/>
                      <w:sz w:val="18"/>
                      <w:szCs w:val="18"/>
                      <w:highlight w:val="none"/>
                      <w:lang w:val="en-US" w:eastAsia="zh-CN"/>
                    </w:rPr>
                    <w:t>固废</w:t>
                  </w:r>
                  <w:r>
                    <w:rPr>
                      <w:rFonts w:hint="eastAsia" w:ascii="Times New Roman" w:hAnsi="Times New Roman" w:eastAsia="宋体" w:cs="Times New Roman"/>
                      <w:sz w:val="18"/>
                      <w:szCs w:val="18"/>
                      <w:highlight w:val="none"/>
                    </w:rPr>
                    <w:t>，</w:t>
                  </w:r>
                </w:p>
                <w:p w14:paraId="6BA7C598">
                  <w:pPr>
                    <w:keepNext w:val="0"/>
                    <w:keepLines w:val="0"/>
                    <w:pageBreakBefore w:val="0"/>
                    <w:suppressLineNumbers w:val="0"/>
                    <w:kinsoku/>
                    <w:wordWrap/>
                    <w:overflowPunct/>
                    <w:topLinePunct w:val="0"/>
                    <w:autoSpaceDE/>
                    <w:autoSpaceDN/>
                    <w:bidi w:val="0"/>
                    <w:adjustRightInd w:val="0"/>
                    <w:snapToGrid w:val="0"/>
                    <w:spacing w:before="0" w:beforeAutospacing="0" w:after="0" w:afterAutospacing="0" w:line="276" w:lineRule="auto"/>
                    <w:ind w:left="0" w:right="0"/>
                    <w:jc w:val="center"/>
                    <w:rPr>
                      <w:rFonts w:hint="eastAsia" w:ascii="Times New Roman" w:hAnsi="Times New Roman" w:eastAsia="宋体" w:cs="Times New Roman"/>
                      <w:color w:val="auto"/>
                      <w:sz w:val="18"/>
                      <w:szCs w:val="18"/>
                      <w:highlight w:val="none"/>
                    </w:rPr>
                  </w:pPr>
                  <w:r>
                    <w:rPr>
                      <w:rFonts w:hint="eastAsia" w:ascii="Times New Roman" w:hAnsi="Times New Roman" w:eastAsia="宋体" w:cs="Times New Roman"/>
                      <w:color w:val="auto"/>
                      <w:sz w:val="18"/>
                      <w:szCs w:val="18"/>
                      <w:highlight w:val="none"/>
                    </w:rPr>
                    <w:t>900-099-</w:t>
                  </w:r>
                  <w:r>
                    <w:rPr>
                      <w:rFonts w:hint="default" w:ascii="Times New Roman" w:hAnsi="Times New Roman" w:eastAsia="宋体" w:cs="Times New Roman"/>
                      <w:color w:val="auto"/>
                      <w:sz w:val="18"/>
                      <w:szCs w:val="18"/>
                      <w:highlight w:val="none"/>
                    </w:rPr>
                    <w:t>S59</w:t>
                  </w:r>
                </w:p>
              </w:tc>
              <w:tc>
                <w:tcPr>
                  <w:tcW w:w="895" w:type="dxa"/>
                  <w:tcBorders>
                    <w:top w:val="single" w:color="auto" w:sz="4" w:space="0"/>
                    <w:left w:val="single" w:color="auto" w:sz="4" w:space="0"/>
                    <w:bottom w:val="single" w:color="auto" w:sz="4" w:space="0"/>
                    <w:right w:val="single" w:color="auto" w:sz="4" w:space="0"/>
                  </w:tcBorders>
                  <w:shd w:val="clear" w:color="auto" w:fill="auto"/>
                  <w:tcMar>
                    <w:left w:w="57" w:type="dxa"/>
                    <w:right w:w="57" w:type="dxa"/>
                  </w:tcMar>
                  <w:vAlign w:val="center"/>
                </w:tcPr>
                <w:p w14:paraId="1C81F3A4">
                  <w:pPr>
                    <w:keepNext w:val="0"/>
                    <w:keepLines w:val="0"/>
                    <w:pageBreakBefore w:val="0"/>
                    <w:suppressLineNumbers w:val="0"/>
                    <w:kinsoku/>
                    <w:wordWrap/>
                    <w:overflowPunct/>
                    <w:topLinePunct w:val="0"/>
                    <w:autoSpaceDE/>
                    <w:autoSpaceDN/>
                    <w:bidi w:val="0"/>
                    <w:adjustRightInd w:val="0"/>
                    <w:snapToGrid w:val="0"/>
                    <w:spacing w:before="0" w:beforeAutospacing="0" w:after="0" w:afterAutospacing="0" w:line="276" w:lineRule="auto"/>
                    <w:ind w:left="0" w:leftChars="0" w:right="0" w:rightChars="0"/>
                    <w:jc w:val="center"/>
                    <w:rPr>
                      <w:rFonts w:hint="default" w:ascii="Times New Roman" w:hAnsi="Times New Roman" w:eastAsia="宋体" w:cs="Times New Roman"/>
                      <w:kern w:val="2"/>
                      <w:sz w:val="18"/>
                      <w:szCs w:val="18"/>
                      <w:highlight w:val="none"/>
                      <w:lang w:val="en-US" w:eastAsia="zh-CN" w:bidi="ar-SA"/>
                    </w:rPr>
                  </w:pPr>
                  <w:r>
                    <w:rPr>
                      <w:rFonts w:hint="default" w:ascii="Times New Roman" w:hAnsi="Times New Roman" w:eastAsia="宋体" w:cs="Times New Roman"/>
                      <w:sz w:val="18"/>
                      <w:szCs w:val="18"/>
                      <w:highlight w:val="none"/>
                    </w:rPr>
                    <w:t>/</w:t>
                  </w:r>
                </w:p>
              </w:tc>
              <w:tc>
                <w:tcPr>
                  <w:tcW w:w="675" w:type="dxa"/>
                  <w:tcBorders>
                    <w:top w:val="single" w:color="auto" w:sz="4" w:space="0"/>
                    <w:left w:val="single" w:color="auto" w:sz="4" w:space="0"/>
                    <w:bottom w:val="single" w:color="auto" w:sz="4" w:space="0"/>
                    <w:right w:val="single" w:color="auto" w:sz="4" w:space="0"/>
                  </w:tcBorders>
                  <w:shd w:val="clear" w:color="auto" w:fill="auto"/>
                  <w:tcMar>
                    <w:left w:w="57" w:type="dxa"/>
                    <w:right w:w="57" w:type="dxa"/>
                  </w:tcMar>
                  <w:vAlign w:val="center"/>
                </w:tcPr>
                <w:p w14:paraId="13A95573">
                  <w:pPr>
                    <w:keepNext w:val="0"/>
                    <w:keepLines w:val="0"/>
                    <w:pageBreakBefore w:val="0"/>
                    <w:suppressLineNumbers w:val="0"/>
                    <w:kinsoku/>
                    <w:wordWrap/>
                    <w:overflowPunct/>
                    <w:topLinePunct w:val="0"/>
                    <w:autoSpaceDE/>
                    <w:autoSpaceDN/>
                    <w:bidi w:val="0"/>
                    <w:adjustRightInd w:val="0"/>
                    <w:snapToGrid w:val="0"/>
                    <w:spacing w:before="0" w:beforeAutospacing="0" w:after="0" w:afterAutospacing="0" w:line="276" w:lineRule="auto"/>
                    <w:ind w:left="0" w:leftChars="0" w:right="0" w:rightChars="0"/>
                    <w:jc w:val="center"/>
                    <w:rPr>
                      <w:rFonts w:hint="default" w:ascii="Times New Roman" w:hAnsi="Times New Roman" w:eastAsia="宋体" w:cs="Times New Roman"/>
                      <w:kern w:val="2"/>
                      <w:sz w:val="18"/>
                      <w:szCs w:val="18"/>
                      <w:highlight w:val="none"/>
                      <w:lang w:val="en-US" w:eastAsia="zh-CN" w:bidi="ar-SA"/>
                    </w:rPr>
                  </w:pPr>
                  <w:r>
                    <w:rPr>
                      <w:rFonts w:hint="default" w:ascii="Times New Roman" w:hAnsi="Times New Roman" w:eastAsia="宋体" w:cs="Times New Roman"/>
                      <w:sz w:val="18"/>
                      <w:szCs w:val="18"/>
                      <w:highlight w:val="none"/>
                    </w:rPr>
                    <w:t>/</w:t>
                  </w:r>
                </w:p>
              </w:tc>
              <w:tc>
                <w:tcPr>
                  <w:tcW w:w="653" w:type="dxa"/>
                  <w:tcBorders>
                    <w:top w:val="single" w:color="auto" w:sz="4" w:space="0"/>
                    <w:left w:val="single" w:color="auto" w:sz="4" w:space="0"/>
                    <w:bottom w:val="single" w:color="auto" w:sz="4" w:space="0"/>
                    <w:right w:val="single" w:color="auto" w:sz="4" w:space="0"/>
                  </w:tcBorders>
                  <w:shd w:val="clear" w:color="auto" w:fill="auto"/>
                  <w:tcMar>
                    <w:left w:w="57" w:type="dxa"/>
                    <w:right w:w="57" w:type="dxa"/>
                  </w:tcMar>
                  <w:vAlign w:val="center"/>
                </w:tcPr>
                <w:p w14:paraId="639FE31C">
                  <w:pPr>
                    <w:keepNext w:val="0"/>
                    <w:keepLines w:val="0"/>
                    <w:pageBreakBefore w:val="0"/>
                    <w:suppressLineNumbers w:val="0"/>
                    <w:kinsoku/>
                    <w:wordWrap/>
                    <w:overflowPunct/>
                    <w:topLinePunct w:val="0"/>
                    <w:autoSpaceDE/>
                    <w:autoSpaceDN/>
                    <w:bidi w:val="0"/>
                    <w:adjustRightInd w:val="0"/>
                    <w:snapToGrid w:val="0"/>
                    <w:spacing w:before="0" w:beforeAutospacing="0" w:after="0" w:afterAutospacing="0" w:line="276" w:lineRule="auto"/>
                    <w:ind w:left="0" w:right="0"/>
                    <w:jc w:val="center"/>
                    <w:rPr>
                      <w:rFonts w:hint="default" w:ascii="Times New Roman" w:hAnsi="Times New Roman" w:eastAsia="宋体" w:cs="Times New Roman"/>
                      <w:kern w:val="2"/>
                      <w:sz w:val="18"/>
                      <w:szCs w:val="18"/>
                      <w:highlight w:val="none"/>
                      <w:lang w:val="en-US" w:eastAsia="zh-CN" w:bidi="ar-SA"/>
                    </w:rPr>
                  </w:pPr>
                  <w:r>
                    <w:rPr>
                      <w:rFonts w:hint="eastAsia" w:cs="Times New Roman"/>
                      <w:kern w:val="2"/>
                      <w:sz w:val="18"/>
                      <w:szCs w:val="18"/>
                      <w:highlight w:val="none"/>
                      <w:lang w:val="en-US" w:eastAsia="zh-CN" w:bidi="ar-SA"/>
                    </w:rPr>
                    <w:t>461.8</w:t>
                  </w:r>
                </w:p>
              </w:tc>
              <w:tc>
                <w:tcPr>
                  <w:tcW w:w="794" w:type="dxa"/>
                  <w:tcBorders>
                    <w:top w:val="single" w:color="auto" w:sz="4" w:space="0"/>
                    <w:left w:val="single" w:color="auto" w:sz="4" w:space="0"/>
                    <w:bottom w:val="single" w:color="auto" w:sz="4" w:space="0"/>
                    <w:right w:val="single" w:color="auto" w:sz="4" w:space="0"/>
                  </w:tcBorders>
                  <w:shd w:val="clear" w:color="auto" w:fill="auto"/>
                  <w:tcMar>
                    <w:left w:w="57" w:type="dxa"/>
                    <w:right w:w="57" w:type="dxa"/>
                  </w:tcMar>
                  <w:vAlign w:val="center"/>
                </w:tcPr>
                <w:p w14:paraId="4510D41A">
                  <w:pPr>
                    <w:keepNext w:val="0"/>
                    <w:keepLines w:val="0"/>
                    <w:pageBreakBefore w:val="0"/>
                    <w:suppressLineNumbers w:val="0"/>
                    <w:kinsoku/>
                    <w:wordWrap/>
                    <w:overflowPunct/>
                    <w:topLinePunct w:val="0"/>
                    <w:autoSpaceDE/>
                    <w:autoSpaceDN/>
                    <w:bidi w:val="0"/>
                    <w:adjustRightInd w:val="0"/>
                    <w:snapToGrid w:val="0"/>
                    <w:spacing w:before="0" w:beforeAutospacing="0" w:after="0" w:afterAutospacing="0" w:line="276" w:lineRule="auto"/>
                    <w:ind w:left="0" w:right="0"/>
                    <w:jc w:val="center"/>
                    <w:rPr>
                      <w:rFonts w:hint="eastAsia" w:cs="Times New Roman"/>
                      <w:sz w:val="18"/>
                      <w:szCs w:val="18"/>
                      <w:highlight w:val="none"/>
                      <w:lang w:val="en-US" w:eastAsia="zh-CN"/>
                    </w:rPr>
                  </w:pPr>
                  <w:r>
                    <w:rPr>
                      <w:rFonts w:hint="eastAsia" w:cs="Times New Roman"/>
                      <w:sz w:val="18"/>
                      <w:szCs w:val="18"/>
                      <w:highlight w:val="none"/>
                      <w:lang w:val="en-US" w:eastAsia="zh-CN"/>
                    </w:rPr>
                    <w:t>吨</w:t>
                  </w:r>
                  <w:r>
                    <w:rPr>
                      <w:rFonts w:hint="eastAsia" w:ascii="Times New Roman" w:hAnsi="Times New Roman" w:eastAsia="宋体" w:cs="Times New Roman"/>
                      <w:sz w:val="18"/>
                      <w:szCs w:val="18"/>
                      <w:highlight w:val="none"/>
                    </w:rPr>
                    <w:t>袋装，集中堆放</w:t>
                  </w:r>
                </w:p>
              </w:tc>
              <w:tc>
                <w:tcPr>
                  <w:tcW w:w="705" w:type="dxa"/>
                  <w:vMerge w:val="continue"/>
                  <w:tcBorders>
                    <w:left w:val="single" w:color="auto" w:sz="4" w:space="0"/>
                    <w:right w:val="single" w:color="auto" w:sz="4" w:space="0"/>
                  </w:tcBorders>
                  <w:shd w:val="clear" w:color="auto" w:fill="auto"/>
                  <w:tcMar>
                    <w:left w:w="57" w:type="dxa"/>
                    <w:right w:w="57" w:type="dxa"/>
                  </w:tcMar>
                  <w:vAlign w:val="center"/>
                </w:tcPr>
                <w:p w14:paraId="6560984E">
                  <w:pPr>
                    <w:keepNext w:val="0"/>
                    <w:keepLines w:val="0"/>
                    <w:pageBreakBefore w:val="0"/>
                    <w:suppressLineNumbers w:val="0"/>
                    <w:kinsoku/>
                    <w:wordWrap/>
                    <w:overflowPunct/>
                    <w:topLinePunct w:val="0"/>
                    <w:autoSpaceDE/>
                    <w:autoSpaceDN/>
                    <w:bidi w:val="0"/>
                    <w:adjustRightInd w:val="0"/>
                    <w:snapToGrid w:val="0"/>
                    <w:spacing w:before="0" w:beforeAutospacing="0" w:after="0" w:afterAutospacing="0" w:line="276" w:lineRule="auto"/>
                    <w:ind w:left="0" w:right="0"/>
                    <w:jc w:val="center"/>
                    <w:rPr>
                      <w:rFonts w:hint="eastAsia" w:ascii="Times New Roman" w:hAnsi="Times New Roman" w:eastAsia="宋体" w:cs="Times New Roman"/>
                      <w:sz w:val="18"/>
                      <w:szCs w:val="18"/>
                      <w:highlight w:val="none"/>
                      <w:lang w:val="zh-CN"/>
                    </w:rPr>
                  </w:pPr>
                </w:p>
              </w:tc>
              <w:tc>
                <w:tcPr>
                  <w:tcW w:w="626" w:type="dxa"/>
                  <w:tcBorders>
                    <w:top w:val="single" w:color="auto" w:sz="4" w:space="0"/>
                    <w:left w:val="single" w:color="auto" w:sz="4" w:space="0"/>
                    <w:bottom w:val="single" w:color="auto" w:sz="4" w:space="0"/>
                    <w:right w:val="single" w:color="auto" w:sz="4" w:space="0"/>
                  </w:tcBorders>
                  <w:shd w:val="clear" w:color="auto" w:fill="auto"/>
                  <w:tcMar>
                    <w:left w:w="57" w:type="dxa"/>
                    <w:right w:w="57" w:type="dxa"/>
                  </w:tcMar>
                  <w:vAlign w:val="center"/>
                </w:tcPr>
                <w:p w14:paraId="6388F259">
                  <w:pPr>
                    <w:keepNext w:val="0"/>
                    <w:keepLines w:val="0"/>
                    <w:pageBreakBefore w:val="0"/>
                    <w:suppressLineNumbers w:val="0"/>
                    <w:kinsoku/>
                    <w:wordWrap/>
                    <w:overflowPunct/>
                    <w:topLinePunct w:val="0"/>
                    <w:autoSpaceDE/>
                    <w:autoSpaceDN/>
                    <w:bidi w:val="0"/>
                    <w:adjustRightInd w:val="0"/>
                    <w:snapToGrid w:val="0"/>
                    <w:spacing w:before="0" w:beforeAutospacing="0" w:after="0" w:afterAutospacing="0" w:line="276" w:lineRule="auto"/>
                    <w:ind w:left="0" w:right="0"/>
                    <w:jc w:val="center"/>
                    <w:rPr>
                      <w:rFonts w:hint="eastAsia" w:ascii="Times New Roman" w:hAnsi="Times New Roman" w:eastAsia="宋体" w:cs="Times New Roman"/>
                      <w:kern w:val="2"/>
                      <w:sz w:val="18"/>
                      <w:szCs w:val="18"/>
                      <w:highlight w:val="none"/>
                      <w:lang w:val="en-US" w:eastAsia="zh-CN" w:bidi="ar-SA"/>
                    </w:rPr>
                  </w:pPr>
                  <w:r>
                    <w:rPr>
                      <w:rFonts w:hint="eastAsia" w:cs="Times New Roman"/>
                      <w:kern w:val="2"/>
                      <w:sz w:val="18"/>
                      <w:szCs w:val="18"/>
                      <w:highlight w:val="none"/>
                      <w:lang w:val="en-US" w:eastAsia="zh-CN" w:bidi="ar-SA"/>
                    </w:rPr>
                    <w:t>461.8</w:t>
                  </w:r>
                </w:p>
              </w:tc>
            </w:tr>
            <w:tr w14:paraId="3E00041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jc w:val="center"/>
              </w:trPr>
              <w:tc>
                <w:tcPr>
                  <w:tcW w:w="307" w:type="dxa"/>
                  <w:tcBorders>
                    <w:top w:val="single" w:color="auto" w:sz="4" w:space="0"/>
                    <w:left w:val="single" w:color="auto" w:sz="4" w:space="0"/>
                    <w:bottom w:val="single" w:color="auto" w:sz="4" w:space="0"/>
                    <w:right w:val="single" w:color="auto" w:sz="4" w:space="0"/>
                  </w:tcBorders>
                  <w:shd w:val="clear" w:color="auto" w:fill="auto"/>
                  <w:tcMar>
                    <w:left w:w="57" w:type="dxa"/>
                    <w:right w:w="57" w:type="dxa"/>
                  </w:tcMar>
                  <w:vAlign w:val="center"/>
                </w:tcPr>
                <w:p w14:paraId="2CF4D124">
                  <w:pPr>
                    <w:keepNext w:val="0"/>
                    <w:keepLines w:val="0"/>
                    <w:pageBreakBefore w:val="0"/>
                    <w:suppressLineNumbers w:val="0"/>
                    <w:kinsoku/>
                    <w:wordWrap/>
                    <w:overflowPunct/>
                    <w:topLinePunct w:val="0"/>
                    <w:autoSpaceDE/>
                    <w:autoSpaceDN/>
                    <w:bidi w:val="0"/>
                    <w:adjustRightInd w:val="0"/>
                    <w:snapToGrid w:val="0"/>
                    <w:spacing w:before="0" w:beforeAutospacing="0" w:after="0" w:afterAutospacing="0" w:line="276" w:lineRule="auto"/>
                    <w:ind w:left="0" w:leftChars="0" w:right="0" w:rightChars="0"/>
                    <w:jc w:val="center"/>
                    <w:rPr>
                      <w:rFonts w:hint="eastAsia" w:ascii="Times New Roman" w:hAnsi="Times New Roman" w:eastAsia="宋体" w:cs="Times New Roman"/>
                      <w:kern w:val="2"/>
                      <w:sz w:val="18"/>
                      <w:szCs w:val="18"/>
                      <w:highlight w:val="none"/>
                      <w:lang w:val="en-US" w:eastAsia="zh-CN" w:bidi="ar-SA"/>
                    </w:rPr>
                  </w:pPr>
                  <w:r>
                    <w:rPr>
                      <w:rFonts w:hint="eastAsia" w:ascii="Times New Roman" w:hAnsi="Times New Roman" w:eastAsia="宋体" w:cs="Times New Roman"/>
                      <w:sz w:val="18"/>
                      <w:szCs w:val="18"/>
                      <w:highlight w:val="none"/>
                    </w:rPr>
                    <w:t>4</w:t>
                  </w:r>
                </w:p>
              </w:tc>
              <w:tc>
                <w:tcPr>
                  <w:tcW w:w="878" w:type="dxa"/>
                  <w:tcBorders>
                    <w:top w:val="single" w:color="auto" w:sz="4" w:space="0"/>
                    <w:left w:val="single" w:color="auto" w:sz="4" w:space="0"/>
                    <w:bottom w:val="single" w:color="auto" w:sz="4" w:space="0"/>
                    <w:right w:val="single" w:color="auto" w:sz="4" w:space="0"/>
                  </w:tcBorders>
                  <w:tcMar>
                    <w:left w:w="57" w:type="dxa"/>
                    <w:right w:w="57" w:type="dxa"/>
                  </w:tcMar>
                  <w:vAlign w:val="center"/>
                </w:tcPr>
                <w:p w14:paraId="60A7D6C4">
                  <w:pPr>
                    <w:keepNext w:val="0"/>
                    <w:keepLines w:val="0"/>
                    <w:pageBreakBefore w:val="0"/>
                    <w:suppressLineNumbers w:val="0"/>
                    <w:kinsoku/>
                    <w:wordWrap/>
                    <w:overflowPunct/>
                    <w:topLinePunct w:val="0"/>
                    <w:autoSpaceDE/>
                    <w:autoSpaceDN/>
                    <w:bidi w:val="0"/>
                    <w:adjustRightInd w:val="0"/>
                    <w:snapToGrid w:val="0"/>
                    <w:spacing w:before="0" w:beforeAutospacing="0" w:after="0" w:afterAutospacing="0" w:line="276" w:lineRule="auto"/>
                    <w:ind w:left="0" w:right="0"/>
                    <w:jc w:val="center"/>
                    <w:textAlignment w:val="auto"/>
                    <w:rPr>
                      <w:rFonts w:hint="eastAsia" w:ascii="Times New Roman" w:hAnsi="Times New Roman" w:eastAsia="宋体" w:cs="Times New Roman"/>
                      <w:kern w:val="2"/>
                      <w:sz w:val="18"/>
                      <w:szCs w:val="18"/>
                      <w:highlight w:val="none"/>
                      <w:lang w:val="en-US" w:eastAsia="zh-CN" w:bidi="ar-SA"/>
                    </w:rPr>
                  </w:pPr>
                  <w:r>
                    <w:rPr>
                      <w:rFonts w:hint="eastAsia" w:ascii="Times New Roman" w:hAnsi="Times New Roman" w:eastAsia="宋体" w:cs="Times New Roman"/>
                      <w:sz w:val="18"/>
                      <w:szCs w:val="18"/>
                      <w:highlight w:val="none"/>
                    </w:rPr>
                    <w:t>废石英砂</w:t>
                  </w:r>
                </w:p>
              </w:tc>
              <w:tc>
                <w:tcPr>
                  <w:tcW w:w="1058" w:type="dxa"/>
                  <w:tcBorders>
                    <w:top w:val="single" w:color="auto" w:sz="4" w:space="0"/>
                    <w:left w:val="single" w:color="auto" w:sz="4" w:space="0"/>
                    <w:bottom w:val="single" w:color="auto" w:sz="4" w:space="0"/>
                    <w:right w:val="single" w:color="auto" w:sz="4" w:space="0"/>
                  </w:tcBorders>
                  <w:tcMar>
                    <w:left w:w="57" w:type="dxa"/>
                    <w:right w:w="57" w:type="dxa"/>
                  </w:tcMar>
                  <w:vAlign w:val="center"/>
                </w:tcPr>
                <w:p w14:paraId="4A2811B8">
                  <w:pPr>
                    <w:keepNext w:val="0"/>
                    <w:keepLines w:val="0"/>
                    <w:pageBreakBefore w:val="0"/>
                    <w:suppressLineNumbers w:val="0"/>
                    <w:kinsoku/>
                    <w:wordWrap/>
                    <w:overflowPunct/>
                    <w:topLinePunct w:val="0"/>
                    <w:autoSpaceDE/>
                    <w:autoSpaceDN/>
                    <w:bidi w:val="0"/>
                    <w:adjustRightInd w:val="0"/>
                    <w:snapToGrid w:val="0"/>
                    <w:spacing w:before="0" w:beforeAutospacing="0" w:after="0" w:afterAutospacing="0" w:line="276" w:lineRule="auto"/>
                    <w:ind w:left="0" w:right="0"/>
                    <w:jc w:val="center"/>
                    <w:rPr>
                      <w:rFonts w:hint="default" w:ascii="Times New Roman" w:hAnsi="Times New Roman" w:eastAsia="宋体" w:cs="Times New Roman"/>
                      <w:sz w:val="18"/>
                      <w:szCs w:val="18"/>
                      <w:highlight w:val="none"/>
                      <w:lang w:val="en-US" w:eastAsia="zh-CN"/>
                    </w:rPr>
                  </w:pPr>
                  <w:r>
                    <w:rPr>
                      <w:rFonts w:hint="eastAsia" w:ascii="Times New Roman" w:hAnsi="Times New Roman" w:eastAsia="宋体" w:cs="Times New Roman"/>
                      <w:sz w:val="18"/>
                      <w:szCs w:val="18"/>
                      <w:highlight w:val="none"/>
                      <w:lang w:val="en-US" w:eastAsia="zh-CN"/>
                    </w:rPr>
                    <w:t>石英砂、杂质</w:t>
                  </w:r>
                </w:p>
              </w:tc>
              <w:tc>
                <w:tcPr>
                  <w:tcW w:w="581" w:type="dxa"/>
                  <w:tcBorders>
                    <w:top w:val="single" w:color="auto" w:sz="4" w:space="0"/>
                    <w:left w:val="single" w:color="auto" w:sz="4" w:space="0"/>
                    <w:bottom w:val="single" w:color="auto" w:sz="4" w:space="0"/>
                    <w:right w:val="single" w:color="auto" w:sz="4" w:space="0"/>
                  </w:tcBorders>
                  <w:tcMar>
                    <w:left w:w="57" w:type="dxa"/>
                    <w:right w:w="57" w:type="dxa"/>
                  </w:tcMar>
                  <w:vAlign w:val="center"/>
                </w:tcPr>
                <w:p w14:paraId="2C8397E4">
                  <w:pPr>
                    <w:keepNext w:val="0"/>
                    <w:keepLines w:val="0"/>
                    <w:pageBreakBefore w:val="0"/>
                    <w:suppressLineNumbers w:val="0"/>
                    <w:kinsoku/>
                    <w:wordWrap/>
                    <w:overflowPunct/>
                    <w:topLinePunct w:val="0"/>
                    <w:autoSpaceDE/>
                    <w:autoSpaceDN/>
                    <w:bidi w:val="0"/>
                    <w:adjustRightInd w:val="0"/>
                    <w:snapToGrid w:val="0"/>
                    <w:spacing w:before="0" w:beforeAutospacing="0" w:after="0" w:afterAutospacing="0" w:line="276" w:lineRule="auto"/>
                    <w:ind w:left="0" w:right="0"/>
                    <w:jc w:val="center"/>
                    <w:rPr>
                      <w:rFonts w:hint="default" w:ascii="Times New Roman" w:hAnsi="Times New Roman" w:eastAsia="宋体" w:cs="Times New Roman"/>
                      <w:sz w:val="18"/>
                      <w:szCs w:val="18"/>
                      <w:highlight w:val="none"/>
                    </w:rPr>
                  </w:pPr>
                  <w:r>
                    <w:rPr>
                      <w:rFonts w:hint="eastAsia" w:ascii="Times New Roman" w:hAnsi="Times New Roman" w:eastAsia="宋体" w:cs="Times New Roman"/>
                      <w:sz w:val="18"/>
                      <w:szCs w:val="18"/>
                      <w:highlight w:val="none"/>
                    </w:rPr>
                    <w:t>固态</w:t>
                  </w:r>
                </w:p>
              </w:tc>
              <w:tc>
                <w:tcPr>
                  <w:tcW w:w="1082" w:type="dxa"/>
                  <w:tcBorders>
                    <w:top w:val="single" w:color="auto" w:sz="4" w:space="0"/>
                    <w:left w:val="single" w:color="auto" w:sz="4" w:space="0"/>
                    <w:bottom w:val="single" w:color="auto" w:sz="4" w:space="0"/>
                    <w:right w:val="single" w:color="auto" w:sz="4" w:space="0"/>
                  </w:tcBorders>
                  <w:tcMar>
                    <w:left w:w="57" w:type="dxa"/>
                    <w:right w:w="57" w:type="dxa"/>
                  </w:tcMar>
                  <w:vAlign w:val="center"/>
                </w:tcPr>
                <w:p w14:paraId="0B80BED8">
                  <w:pPr>
                    <w:keepNext w:val="0"/>
                    <w:keepLines w:val="0"/>
                    <w:pageBreakBefore w:val="0"/>
                    <w:suppressLineNumbers w:val="0"/>
                    <w:kinsoku/>
                    <w:wordWrap/>
                    <w:overflowPunct/>
                    <w:topLinePunct w:val="0"/>
                    <w:autoSpaceDE/>
                    <w:autoSpaceDN/>
                    <w:bidi w:val="0"/>
                    <w:adjustRightInd w:val="0"/>
                    <w:snapToGrid w:val="0"/>
                    <w:spacing w:before="0" w:beforeAutospacing="0" w:after="0" w:afterAutospacing="0" w:line="276" w:lineRule="auto"/>
                    <w:ind w:left="0" w:right="0"/>
                    <w:jc w:val="center"/>
                    <w:rPr>
                      <w:rFonts w:hint="default" w:ascii="Times New Roman" w:hAnsi="Times New Roman" w:eastAsia="宋体" w:cs="Times New Roman"/>
                      <w:sz w:val="18"/>
                      <w:szCs w:val="18"/>
                      <w:highlight w:val="none"/>
                    </w:rPr>
                  </w:pPr>
                  <w:r>
                    <w:rPr>
                      <w:rFonts w:hint="eastAsia" w:ascii="Times New Roman" w:hAnsi="Times New Roman" w:eastAsia="宋体" w:cs="Times New Roman"/>
                      <w:sz w:val="18"/>
                      <w:szCs w:val="18"/>
                      <w:highlight w:val="none"/>
                    </w:rPr>
                    <w:t>一般</w:t>
                  </w:r>
                  <w:r>
                    <w:rPr>
                      <w:rFonts w:hint="eastAsia" w:ascii="Times New Roman" w:hAnsi="Times New Roman" w:eastAsia="宋体" w:cs="Times New Roman"/>
                      <w:sz w:val="18"/>
                      <w:szCs w:val="18"/>
                      <w:highlight w:val="none"/>
                      <w:lang w:val="en-US" w:eastAsia="zh-CN"/>
                    </w:rPr>
                    <w:t>固废</w:t>
                  </w:r>
                  <w:r>
                    <w:rPr>
                      <w:rFonts w:hint="eastAsia" w:ascii="Times New Roman" w:hAnsi="Times New Roman" w:eastAsia="宋体" w:cs="Times New Roman"/>
                      <w:sz w:val="18"/>
                      <w:szCs w:val="18"/>
                      <w:highlight w:val="none"/>
                    </w:rPr>
                    <w:t>，</w:t>
                  </w:r>
                  <w:r>
                    <w:rPr>
                      <w:rFonts w:hint="default" w:ascii="Times New Roman" w:hAnsi="Times New Roman" w:eastAsia="宋体" w:cs="Times New Roman"/>
                      <w:color w:val="auto"/>
                      <w:sz w:val="18"/>
                      <w:szCs w:val="18"/>
                      <w:highlight w:val="none"/>
                    </w:rPr>
                    <w:t>900-009-S59</w:t>
                  </w:r>
                </w:p>
              </w:tc>
              <w:tc>
                <w:tcPr>
                  <w:tcW w:w="895" w:type="dxa"/>
                  <w:tcBorders>
                    <w:top w:val="single" w:color="auto" w:sz="4" w:space="0"/>
                    <w:left w:val="single" w:color="auto" w:sz="4" w:space="0"/>
                    <w:bottom w:val="single" w:color="auto" w:sz="4" w:space="0"/>
                    <w:right w:val="single" w:color="auto" w:sz="4" w:space="0"/>
                  </w:tcBorders>
                  <w:tcMar>
                    <w:left w:w="57" w:type="dxa"/>
                    <w:right w:w="57" w:type="dxa"/>
                  </w:tcMar>
                  <w:vAlign w:val="center"/>
                </w:tcPr>
                <w:p w14:paraId="0B1B4F9E">
                  <w:pPr>
                    <w:keepNext w:val="0"/>
                    <w:keepLines w:val="0"/>
                    <w:pageBreakBefore w:val="0"/>
                    <w:suppressLineNumbers w:val="0"/>
                    <w:kinsoku/>
                    <w:wordWrap/>
                    <w:overflowPunct/>
                    <w:topLinePunct w:val="0"/>
                    <w:autoSpaceDE/>
                    <w:autoSpaceDN/>
                    <w:bidi w:val="0"/>
                    <w:adjustRightInd w:val="0"/>
                    <w:snapToGrid w:val="0"/>
                    <w:spacing w:before="0" w:beforeAutospacing="0" w:after="0" w:afterAutospacing="0" w:line="276" w:lineRule="auto"/>
                    <w:ind w:left="0" w:right="0"/>
                    <w:jc w:val="center"/>
                    <w:rPr>
                      <w:rFonts w:hint="default" w:ascii="Times New Roman" w:hAnsi="Times New Roman" w:eastAsia="宋体" w:cs="Times New Roman"/>
                      <w:sz w:val="18"/>
                      <w:szCs w:val="18"/>
                      <w:highlight w:val="none"/>
                    </w:rPr>
                  </w:pPr>
                  <w:r>
                    <w:rPr>
                      <w:rFonts w:hint="eastAsia" w:ascii="Times New Roman" w:hAnsi="Times New Roman" w:eastAsia="宋体" w:cs="Times New Roman"/>
                      <w:sz w:val="18"/>
                      <w:szCs w:val="18"/>
                      <w:highlight w:val="none"/>
                    </w:rPr>
                    <w:t>/</w:t>
                  </w:r>
                </w:p>
              </w:tc>
              <w:tc>
                <w:tcPr>
                  <w:tcW w:w="675" w:type="dxa"/>
                  <w:tcBorders>
                    <w:top w:val="single" w:color="auto" w:sz="4" w:space="0"/>
                    <w:left w:val="single" w:color="auto" w:sz="4" w:space="0"/>
                    <w:bottom w:val="single" w:color="auto" w:sz="4" w:space="0"/>
                    <w:right w:val="single" w:color="auto" w:sz="4" w:space="0"/>
                  </w:tcBorders>
                  <w:tcMar>
                    <w:left w:w="57" w:type="dxa"/>
                    <w:right w:w="57" w:type="dxa"/>
                  </w:tcMar>
                  <w:vAlign w:val="center"/>
                </w:tcPr>
                <w:p w14:paraId="42AF5970">
                  <w:pPr>
                    <w:keepNext w:val="0"/>
                    <w:keepLines w:val="0"/>
                    <w:pageBreakBefore w:val="0"/>
                    <w:suppressLineNumbers w:val="0"/>
                    <w:kinsoku/>
                    <w:wordWrap/>
                    <w:overflowPunct/>
                    <w:topLinePunct w:val="0"/>
                    <w:autoSpaceDE/>
                    <w:autoSpaceDN/>
                    <w:bidi w:val="0"/>
                    <w:adjustRightInd w:val="0"/>
                    <w:snapToGrid w:val="0"/>
                    <w:spacing w:before="0" w:beforeAutospacing="0" w:after="0" w:afterAutospacing="0" w:line="276" w:lineRule="auto"/>
                    <w:ind w:left="0" w:right="0"/>
                    <w:jc w:val="center"/>
                    <w:rPr>
                      <w:rFonts w:hint="default" w:ascii="Times New Roman" w:hAnsi="Times New Roman" w:eastAsia="宋体" w:cs="Times New Roman"/>
                      <w:sz w:val="18"/>
                      <w:szCs w:val="18"/>
                      <w:highlight w:val="none"/>
                    </w:rPr>
                  </w:pPr>
                  <w:r>
                    <w:rPr>
                      <w:rFonts w:hint="eastAsia" w:ascii="Times New Roman" w:hAnsi="Times New Roman" w:eastAsia="宋体" w:cs="Times New Roman"/>
                      <w:sz w:val="18"/>
                      <w:szCs w:val="18"/>
                      <w:highlight w:val="none"/>
                    </w:rPr>
                    <w:t>/</w:t>
                  </w:r>
                </w:p>
              </w:tc>
              <w:tc>
                <w:tcPr>
                  <w:tcW w:w="653" w:type="dxa"/>
                  <w:tcBorders>
                    <w:top w:val="single" w:color="auto" w:sz="4" w:space="0"/>
                    <w:left w:val="single" w:color="auto" w:sz="4" w:space="0"/>
                    <w:bottom w:val="single" w:color="auto" w:sz="4" w:space="0"/>
                    <w:right w:val="single" w:color="auto" w:sz="4" w:space="0"/>
                  </w:tcBorders>
                  <w:shd w:val="clear" w:color="auto" w:fill="auto"/>
                  <w:tcMar>
                    <w:left w:w="57" w:type="dxa"/>
                    <w:right w:w="57" w:type="dxa"/>
                  </w:tcMar>
                  <w:vAlign w:val="center"/>
                </w:tcPr>
                <w:p w14:paraId="25BD7744">
                  <w:pPr>
                    <w:keepNext w:val="0"/>
                    <w:keepLines w:val="0"/>
                    <w:pageBreakBefore w:val="0"/>
                    <w:suppressLineNumbers w:val="0"/>
                    <w:kinsoku/>
                    <w:wordWrap/>
                    <w:overflowPunct/>
                    <w:topLinePunct w:val="0"/>
                    <w:autoSpaceDE/>
                    <w:autoSpaceDN/>
                    <w:bidi w:val="0"/>
                    <w:adjustRightInd w:val="0"/>
                    <w:snapToGrid w:val="0"/>
                    <w:spacing w:before="0" w:beforeAutospacing="0" w:after="0" w:afterAutospacing="0" w:line="276" w:lineRule="auto"/>
                    <w:ind w:left="0" w:right="0"/>
                    <w:jc w:val="center"/>
                    <w:textAlignment w:val="auto"/>
                    <w:rPr>
                      <w:rFonts w:hint="default" w:ascii="Times New Roman" w:hAnsi="Times New Roman" w:eastAsia="宋体" w:cs="Times New Roman"/>
                      <w:kern w:val="2"/>
                      <w:sz w:val="18"/>
                      <w:szCs w:val="18"/>
                      <w:highlight w:val="none"/>
                      <w:lang w:val="en-US" w:eastAsia="zh-CN" w:bidi="ar-SA"/>
                    </w:rPr>
                  </w:pPr>
                  <w:r>
                    <w:rPr>
                      <w:rFonts w:hint="eastAsia" w:ascii="Times New Roman" w:hAnsi="Times New Roman" w:eastAsia="宋体" w:cs="Times New Roman"/>
                      <w:sz w:val="18"/>
                      <w:szCs w:val="18"/>
                      <w:highlight w:val="none"/>
                      <w:lang w:val="en-US" w:eastAsia="zh-CN"/>
                    </w:rPr>
                    <w:t>0.2</w:t>
                  </w:r>
                </w:p>
              </w:tc>
              <w:tc>
                <w:tcPr>
                  <w:tcW w:w="794" w:type="dxa"/>
                  <w:tcBorders>
                    <w:top w:val="single" w:color="auto" w:sz="4" w:space="0"/>
                    <w:left w:val="single" w:color="auto" w:sz="4" w:space="0"/>
                    <w:bottom w:val="single" w:color="auto" w:sz="4" w:space="0"/>
                    <w:right w:val="single" w:color="auto" w:sz="4" w:space="0"/>
                  </w:tcBorders>
                  <w:tcMar>
                    <w:left w:w="57" w:type="dxa"/>
                    <w:right w:w="57" w:type="dxa"/>
                  </w:tcMar>
                  <w:vAlign w:val="center"/>
                </w:tcPr>
                <w:p w14:paraId="326605D2">
                  <w:pPr>
                    <w:keepNext w:val="0"/>
                    <w:keepLines w:val="0"/>
                    <w:pageBreakBefore w:val="0"/>
                    <w:suppressLineNumbers w:val="0"/>
                    <w:kinsoku/>
                    <w:wordWrap/>
                    <w:overflowPunct/>
                    <w:topLinePunct w:val="0"/>
                    <w:autoSpaceDE/>
                    <w:autoSpaceDN/>
                    <w:bidi w:val="0"/>
                    <w:adjustRightInd w:val="0"/>
                    <w:snapToGrid w:val="0"/>
                    <w:spacing w:before="0" w:beforeAutospacing="0" w:after="0" w:afterAutospacing="0" w:line="276" w:lineRule="auto"/>
                    <w:ind w:left="0" w:right="0"/>
                    <w:jc w:val="center"/>
                    <w:rPr>
                      <w:rFonts w:hint="default" w:ascii="Times New Roman" w:hAnsi="Times New Roman" w:eastAsia="宋体" w:cs="Times New Roman"/>
                      <w:sz w:val="18"/>
                      <w:szCs w:val="18"/>
                      <w:highlight w:val="none"/>
                    </w:rPr>
                  </w:pPr>
                  <w:r>
                    <w:rPr>
                      <w:rFonts w:hint="eastAsia" w:ascii="Times New Roman" w:hAnsi="Times New Roman" w:eastAsia="宋体" w:cs="Times New Roman"/>
                      <w:sz w:val="18"/>
                      <w:szCs w:val="18"/>
                      <w:highlight w:val="none"/>
                    </w:rPr>
                    <w:t>袋装，集中堆放</w:t>
                  </w:r>
                </w:p>
              </w:tc>
              <w:tc>
                <w:tcPr>
                  <w:tcW w:w="705" w:type="dxa"/>
                  <w:vMerge w:val="continue"/>
                  <w:tcBorders>
                    <w:left w:val="single" w:color="auto" w:sz="4" w:space="0"/>
                    <w:right w:val="single" w:color="auto" w:sz="4" w:space="0"/>
                  </w:tcBorders>
                  <w:tcMar>
                    <w:left w:w="57" w:type="dxa"/>
                    <w:right w:w="57" w:type="dxa"/>
                  </w:tcMar>
                  <w:vAlign w:val="center"/>
                </w:tcPr>
                <w:p w14:paraId="0E7FEBF4">
                  <w:pPr>
                    <w:keepNext w:val="0"/>
                    <w:keepLines w:val="0"/>
                    <w:pageBreakBefore w:val="0"/>
                    <w:suppressLineNumbers w:val="0"/>
                    <w:kinsoku/>
                    <w:wordWrap/>
                    <w:overflowPunct/>
                    <w:topLinePunct w:val="0"/>
                    <w:autoSpaceDE/>
                    <w:autoSpaceDN/>
                    <w:bidi w:val="0"/>
                    <w:adjustRightInd w:val="0"/>
                    <w:snapToGrid w:val="0"/>
                    <w:spacing w:before="0" w:beforeAutospacing="0" w:after="0" w:afterAutospacing="0" w:line="276" w:lineRule="auto"/>
                    <w:ind w:left="0" w:right="0"/>
                    <w:jc w:val="center"/>
                    <w:rPr>
                      <w:rFonts w:hint="eastAsia" w:ascii="Times New Roman" w:hAnsi="Times New Roman" w:eastAsia="宋体" w:cs="Times New Roman"/>
                      <w:sz w:val="18"/>
                      <w:szCs w:val="18"/>
                      <w:highlight w:val="none"/>
                    </w:rPr>
                  </w:pPr>
                </w:p>
              </w:tc>
              <w:tc>
                <w:tcPr>
                  <w:tcW w:w="626" w:type="dxa"/>
                  <w:tcBorders>
                    <w:top w:val="single" w:color="auto" w:sz="4" w:space="0"/>
                    <w:left w:val="single" w:color="auto" w:sz="4" w:space="0"/>
                    <w:bottom w:val="single" w:color="auto" w:sz="4" w:space="0"/>
                    <w:right w:val="single" w:color="auto" w:sz="4" w:space="0"/>
                  </w:tcBorders>
                  <w:shd w:val="clear" w:color="auto" w:fill="auto"/>
                  <w:tcMar>
                    <w:left w:w="57" w:type="dxa"/>
                    <w:right w:w="57" w:type="dxa"/>
                  </w:tcMar>
                  <w:vAlign w:val="center"/>
                </w:tcPr>
                <w:p w14:paraId="30687CFD">
                  <w:pPr>
                    <w:keepNext w:val="0"/>
                    <w:keepLines w:val="0"/>
                    <w:pageBreakBefore w:val="0"/>
                    <w:suppressLineNumbers w:val="0"/>
                    <w:kinsoku/>
                    <w:wordWrap/>
                    <w:overflowPunct/>
                    <w:topLinePunct w:val="0"/>
                    <w:autoSpaceDE/>
                    <w:autoSpaceDN/>
                    <w:bidi w:val="0"/>
                    <w:adjustRightInd w:val="0"/>
                    <w:snapToGrid w:val="0"/>
                    <w:spacing w:before="0" w:beforeAutospacing="0" w:after="0" w:afterAutospacing="0" w:line="276" w:lineRule="auto"/>
                    <w:ind w:left="0" w:right="0"/>
                    <w:jc w:val="center"/>
                    <w:textAlignment w:val="auto"/>
                    <w:rPr>
                      <w:rFonts w:hint="default" w:ascii="Times New Roman" w:hAnsi="Times New Roman" w:eastAsia="宋体" w:cs="Times New Roman"/>
                      <w:kern w:val="2"/>
                      <w:sz w:val="18"/>
                      <w:szCs w:val="18"/>
                      <w:highlight w:val="none"/>
                      <w:lang w:val="en-US" w:eastAsia="zh-CN" w:bidi="ar-SA"/>
                    </w:rPr>
                  </w:pPr>
                  <w:r>
                    <w:rPr>
                      <w:rFonts w:hint="eastAsia" w:ascii="Times New Roman" w:hAnsi="Times New Roman" w:eastAsia="宋体" w:cs="Times New Roman"/>
                      <w:sz w:val="18"/>
                      <w:szCs w:val="18"/>
                      <w:highlight w:val="none"/>
                      <w:lang w:val="en-US" w:eastAsia="zh-CN"/>
                    </w:rPr>
                    <w:t>0.2</w:t>
                  </w:r>
                </w:p>
              </w:tc>
            </w:tr>
            <w:tr w14:paraId="6716A32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jc w:val="center"/>
              </w:trPr>
              <w:tc>
                <w:tcPr>
                  <w:tcW w:w="307" w:type="dxa"/>
                  <w:tcBorders>
                    <w:top w:val="single" w:color="auto" w:sz="4" w:space="0"/>
                    <w:left w:val="single" w:color="auto" w:sz="4" w:space="0"/>
                    <w:bottom w:val="single" w:color="auto" w:sz="4" w:space="0"/>
                    <w:right w:val="single" w:color="auto" w:sz="4" w:space="0"/>
                  </w:tcBorders>
                  <w:shd w:val="clear" w:color="auto" w:fill="auto"/>
                  <w:tcMar>
                    <w:left w:w="57" w:type="dxa"/>
                    <w:right w:w="57" w:type="dxa"/>
                  </w:tcMar>
                  <w:vAlign w:val="center"/>
                </w:tcPr>
                <w:p w14:paraId="50FB9F5F">
                  <w:pPr>
                    <w:keepNext w:val="0"/>
                    <w:keepLines w:val="0"/>
                    <w:pageBreakBefore w:val="0"/>
                    <w:suppressLineNumbers w:val="0"/>
                    <w:kinsoku/>
                    <w:wordWrap/>
                    <w:overflowPunct/>
                    <w:topLinePunct w:val="0"/>
                    <w:autoSpaceDE/>
                    <w:autoSpaceDN/>
                    <w:bidi w:val="0"/>
                    <w:adjustRightInd w:val="0"/>
                    <w:snapToGrid w:val="0"/>
                    <w:spacing w:before="0" w:beforeAutospacing="0" w:after="0" w:afterAutospacing="0" w:line="276" w:lineRule="auto"/>
                    <w:ind w:left="0" w:leftChars="0" w:right="0" w:rightChars="0"/>
                    <w:jc w:val="center"/>
                    <w:rPr>
                      <w:rFonts w:hint="eastAsia" w:ascii="Times New Roman" w:hAnsi="Times New Roman" w:eastAsia="宋体" w:cs="Times New Roman"/>
                      <w:kern w:val="2"/>
                      <w:sz w:val="18"/>
                      <w:szCs w:val="18"/>
                      <w:highlight w:val="none"/>
                      <w:lang w:val="en-US" w:eastAsia="zh-CN" w:bidi="ar-SA"/>
                    </w:rPr>
                  </w:pPr>
                  <w:r>
                    <w:rPr>
                      <w:rFonts w:hint="eastAsia" w:ascii="Times New Roman" w:hAnsi="Times New Roman" w:eastAsia="宋体" w:cs="Times New Roman"/>
                      <w:sz w:val="18"/>
                      <w:szCs w:val="18"/>
                      <w:highlight w:val="none"/>
                    </w:rPr>
                    <w:t>5</w:t>
                  </w:r>
                </w:p>
              </w:tc>
              <w:tc>
                <w:tcPr>
                  <w:tcW w:w="878" w:type="dxa"/>
                  <w:tcBorders>
                    <w:top w:val="single" w:color="auto" w:sz="4" w:space="0"/>
                    <w:left w:val="single" w:color="auto" w:sz="4" w:space="0"/>
                    <w:bottom w:val="single" w:color="auto" w:sz="4" w:space="0"/>
                    <w:right w:val="single" w:color="auto" w:sz="4" w:space="0"/>
                  </w:tcBorders>
                  <w:tcMar>
                    <w:left w:w="57" w:type="dxa"/>
                    <w:right w:w="57" w:type="dxa"/>
                  </w:tcMar>
                  <w:vAlign w:val="center"/>
                </w:tcPr>
                <w:p w14:paraId="05FD5EB5">
                  <w:pPr>
                    <w:keepNext w:val="0"/>
                    <w:keepLines w:val="0"/>
                    <w:pageBreakBefore w:val="0"/>
                    <w:suppressLineNumbers w:val="0"/>
                    <w:kinsoku/>
                    <w:wordWrap/>
                    <w:overflowPunct/>
                    <w:topLinePunct w:val="0"/>
                    <w:autoSpaceDE/>
                    <w:autoSpaceDN/>
                    <w:bidi w:val="0"/>
                    <w:adjustRightInd w:val="0"/>
                    <w:snapToGrid w:val="0"/>
                    <w:spacing w:before="0" w:beforeAutospacing="0" w:after="0" w:afterAutospacing="0" w:line="276" w:lineRule="auto"/>
                    <w:ind w:left="0" w:right="0"/>
                    <w:jc w:val="center"/>
                    <w:textAlignment w:val="auto"/>
                    <w:rPr>
                      <w:rFonts w:hint="eastAsia" w:ascii="Times New Roman" w:hAnsi="Times New Roman" w:eastAsia="宋体" w:cs="Times New Roman"/>
                      <w:kern w:val="2"/>
                      <w:sz w:val="18"/>
                      <w:szCs w:val="18"/>
                      <w:highlight w:val="none"/>
                      <w:lang w:val="en-US" w:eastAsia="zh-CN" w:bidi="ar-SA"/>
                    </w:rPr>
                  </w:pPr>
                  <w:r>
                    <w:rPr>
                      <w:rFonts w:hint="eastAsia" w:ascii="Times New Roman" w:hAnsi="Times New Roman" w:eastAsia="宋体" w:cs="Times New Roman"/>
                      <w:sz w:val="18"/>
                      <w:szCs w:val="18"/>
                      <w:highlight w:val="none"/>
                    </w:rPr>
                    <w:t>废活性炭</w:t>
                  </w:r>
                </w:p>
              </w:tc>
              <w:tc>
                <w:tcPr>
                  <w:tcW w:w="1058" w:type="dxa"/>
                  <w:tcBorders>
                    <w:top w:val="single" w:color="auto" w:sz="4" w:space="0"/>
                    <w:left w:val="single" w:color="auto" w:sz="4" w:space="0"/>
                    <w:bottom w:val="single" w:color="auto" w:sz="4" w:space="0"/>
                    <w:right w:val="single" w:color="auto" w:sz="4" w:space="0"/>
                  </w:tcBorders>
                  <w:tcMar>
                    <w:left w:w="57" w:type="dxa"/>
                    <w:right w:w="57" w:type="dxa"/>
                  </w:tcMar>
                  <w:vAlign w:val="center"/>
                </w:tcPr>
                <w:p w14:paraId="53604515">
                  <w:pPr>
                    <w:keepNext w:val="0"/>
                    <w:keepLines w:val="0"/>
                    <w:pageBreakBefore w:val="0"/>
                    <w:suppressLineNumbers w:val="0"/>
                    <w:kinsoku/>
                    <w:wordWrap/>
                    <w:overflowPunct/>
                    <w:topLinePunct w:val="0"/>
                    <w:autoSpaceDE/>
                    <w:autoSpaceDN/>
                    <w:bidi w:val="0"/>
                    <w:adjustRightInd w:val="0"/>
                    <w:snapToGrid w:val="0"/>
                    <w:spacing w:before="0" w:beforeAutospacing="0" w:after="0" w:afterAutospacing="0" w:line="276" w:lineRule="auto"/>
                    <w:ind w:left="0" w:right="0"/>
                    <w:jc w:val="center"/>
                    <w:rPr>
                      <w:rFonts w:hint="default" w:ascii="Times New Roman" w:hAnsi="Times New Roman" w:eastAsia="宋体" w:cs="Times New Roman"/>
                      <w:sz w:val="18"/>
                      <w:szCs w:val="18"/>
                      <w:highlight w:val="none"/>
                      <w:lang w:val="en-US" w:eastAsia="zh-CN"/>
                    </w:rPr>
                  </w:pPr>
                  <w:r>
                    <w:rPr>
                      <w:rFonts w:hint="eastAsia" w:ascii="Times New Roman" w:hAnsi="Times New Roman" w:eastAsia="宋体" w:cs="Times New Roman"/>
                      <w:sz w:val="18"/>
                      <w:szCs w:val="18"/>
                      <w:highlight w:val="none"/>
                      <w:lang w:val="en-US" w:eastAsia="zh-CN"/>
                    </w:rPr>
                    <w:t>活性炭、杂质</w:t>
                  </w:r>
                </w:p>
              </w:tc>
              <w:tc>
                <w:tcPr>
                  <w:tcW w:w="581" w:type="dxa"/>
                  <w:tcBorders>
                    <w:top w:val="single" w:color="auto" w:sz="4" w:space="0"/>
                    <w:left w:val="single" w:color="auto" w:sz="4" w:space="0"/>
                    <w:bottom w:val="single" w:color="auto" w:sz="4" w:space="0"/>
                    <w:right w:val="single" w:color="auto" w:sz="4" w:space="0"/>
                  </w:tcBorders>
                  <w:tcMar>
                    <w:left w:w="57" w:type="dxa"/>
                    <w:right w:w="57" w:type="dxa"/>
                  </w:tcMar>
                  <w:vAlign w:val="center"/>
                </w:tcPr>
                <w:p w14:paraId="67B6EEEE">
                  <w:pPr>
                    <w:keepNext w:val="0"/>
                    <w:keepLines w:val="0"/>
                    <w:pageBreakBefore w:val="0"/>
                    <w:suppressLineNumbers w:val="0"/>
                    <w:kinsoku/>
                    <w:wordWrap/>
                    <w:overflowPunct/>
                    <w:topLinePunct w:val="0"/>
                    <w:autoSpaceDE/>
                    <w:autoSpaceDN/>
                    <w:bidi w:val="0"/>
                    <w:adjustRightInd w:val="0"/>
                    <w:snapToGrid w:val="0"/>
                    <w:spacing w:before="0" w:beforeAutospacing="0" w:after="0" w:afterAutospacing="0" w:line="276" w:lineRule="auto"/>
                    <w:ind w:left="0" w:right="0"/>
                    <w:jc w:val="center"/>
                    <w:rPr>
                      <w:rFonts w:hint="eastAsia" w:ascii="Times New Roman" w:hAnsi="Times New Roman" w:eastAsia="宋体" w:cs="Times New Roman"/>
                      <w:kern w:val="2"/>
                      <w:sz w:val="18"/>
                      <w:szCs w:val="18"/>
                      <w:highlight w:val="none"/>
                      <w:lang w:val="en-US" w:eastAsia="zh-CN" w:bidi="ar-SA"/>
                    </w:rPr>
                  </w:pPr>
                  <w:r>
                    <w:rPr>
                      <w:rFonts w:hint="eastAsia" w:ascii="Times New Roman" w:hAnsi="Times New Roman" w:eastAsia="宋体" w:cs="Times New Roman"/>
                      <w:sz w:val="18"/>
                      <w:szCs w:val="18"/>
                      <w:highlight w:val="none"/>
                    </w:rPr>
                    <w:t>固态</w:t>
                  </w:r>
                </w:p>
              </w:tc>
              <w:tc>
                <w:tcPr>
                  <w:tcW w:w="1082" w:type="dxa"/>
                  <w:tcBorders>
                    <w:top w:val="single" w:color="auto" w:sz="4" w:space="0"/>
                    <w:left w:val="single" w:color="auto" w:sz="4" w:space="0"/>
                    <w:bottom w:val="single" w:color="auto" w:sz="4" w:space="0"/>
                    <w:right w:val="single" w:color="auto" w:sz="4" w:space="0"/>
                  </w:tcBorders>
                  <w:tcMar>
                    <w:left w:w="57" w:type="dxa"/>
                    <w:right w:w="57" w:type="dxa"/>
                  </w:tcMar>
                  <w:vAlign w:val="center"/>
                </w:tcPr>
                <w:p w14:paraId="4DFDB996">
                  <w:pPr>
                    <w:keepNext w:val="0"/>
                    <w:keepLines w:val="0"/>
                    <w:pageBreakBefore w:val="0"/>
                    <w:suppressLineNumbers w:val="0"/>
                    <w:kinsoku/>
                    <w:wordWrap/>
                    <w:overflowPunct/>
                    <w:topLinePunct w:val="0"/>
                    <w:autoSpaceDE/>
                    <w:autoSpaceDN/>
                    <w:bidi w:val="0"/>
                    <w:adjustRightInd w:val="0"/>
                    <w:snapToGrid w:val="0"/>
                    <w:spacing w:before="0" w:beforeAutospacing="0" w:after="0" w:afterAutospacing="0" w:line="276" w:lineRule="auto"/>
                    <w:ind w:left="0" w:right="0"/>
                    <w:jc w:val="center"/>
                    <w:rPr>
                      <w:rFonts w:hint="eastAsia" w:ascii="Times New Roman" w:hAnsi="Times New Roman" w:eastAsia="宋体" w:cs="Times New Roman"/>
                      <w:sz w:val="18"/>
                      <w:szCs w:val="18"/>
                      <w:highlight w:val="none"/>
                    </w:rPr>
                  </w:pPr>
                  <w:r>
                    <w:rPr>
                      <w:rFonts w:hint="eastAsia" w:ascii="Times New Roman" w:hAnsi="Times New Roman" w:eastAsia="宋体" w:cs="Times New Roman"/>
                      <w:sz w:val="18"/>
                      <w:szCs w:val="18"/>
                      <w:highlight w:val="none"/>
                    </w:rPr>
                    <w:t>一般</w:t>
                  </w:r>
                  <w:r>
                    <w:rPr>
                      <w:rFonts w:hint="eastAsia" w:ascii="Times New Roman" w:hAnsi="Times New Roman" w:eastAsia="宋体" w:cs="Times New Roman"/>
                      <w:sz w:val="18"/>
                      <w:szCs w:val="18"/>
                      <w:highlight w:val="none"/>
                      <w:lang w:val="en-US" w:eastAsia="zh-CN"/>
                    </w:rPr>
                    <w:t>固废</w:t>
                  </w:r>
                  <w:r>
                    <w:rPr>
                      <w:rFonts w:hint="eastAsia" w:ascii="Times New Roman" w:hAnsi="Times New Roman" w:eastAsia="宋体" w:cs="Times New Roman"/>
                      <w:sz w:val="18"/>
                      <w:szCs w:val="18"/>
                      <w:highlight w:val="none"/>
                    </w:rPr>
                    <w:t>，</w:t>
                  </w:r>
                  <w:r>
                    <w:rPr>
                      <w:rFonts w:hint="default" w:ascii="Times New Roman" w:hAnsi="Times New Roman" w:eastAsia="宋体" w:cs="Times New Roman"/>
                      <w:color w:val="auto"/>
                      <w:sz w:val="18"/>
                      <w:szCs w:val="18"/>
                      <w:highlight w:val="none"/>
                    </w:rPr>
                    <w:t>900-008-S59</w:t>
                  </w:r>
                </w:p>
              </w:tc>
              <w:tc>
                <w:tcPr>
                  <w:tcW w:w="895" w:type="dxa"/>
                  <w:tcBorders>
                    <w:top w:val="single" w:color="auto" w:sz="4" w:space="0"/>
                    <w:left w:val="single" w:color="auto" w:sz="4" w:space="0"/>
                    <w:bottom w:val="single" w:color="auto" w:sz="4" w:space="0"/>
                    <w:right w:val="single" w:color="auto" w:sz="4" w:space="0"/>
                  </w:tcBorders>
                  <w:tcMar>
                    <w:left w:w="57" w:type="dxa"/>
                    <w:right w:w="57" w:type="dxa"/>
                  </w:tcMar>
                  <w:vAlign w:val="center"/>
                </w:tcPr>
                <w:p w14:paraId="5A5DF9B0">
                  <w:pPr>
                    <w:keepNext w:val="0"/>
                    <w:keepLines w:val="0"/>
                    <w:pageBreakBefore w:val="0"/>
                    <w:suppressLineNumbers w:val="0"/>
                    <w:kinsoku/>
                    <w:wordWrap/>
                    <w:overflowPunct/>
                    <w:topLinePunct w:val="0"/>
                    <w:autoSpaceDE/>
                    <w:autoSpaceDN/>
                    <w:bidi w:val="0"/>
                    <w:adjustRightInd w:val="0"/>
                    <w:snapToGrid w:val="0"/>
                    <w:spacing w:before="0" w:beforeAutospacing="0" w:after="0" w:afterAutospacing="0" w:line="276" w:lineRule="auto"/>
                    <w:ind w:left="0" w:right="0"/>
                    <w:jc w:val="center"/>
                    <w:rPr>
                      <w:rFonts w:hint="eastAsia" w:ascii="Times New Roman" w:hAnsi="Times New Roman" w:eastAsia="宋体" w:cs="Times New Roman"/>
                      <w:kern w:val="2"/>
                      <w:sz w:val="18"/>
                      <w:szCs w:val="18"/>
                      <w:highlight w:val="none"/>
                      <w:lang w:val="en-US" w:eastAsia="zh-CN" w:bidi="ar-SA"/>
                    </w:rPr>
                  </w:pPr>
                  <w:r>
                    <w:rPr>
                      <w:rFonts w:hint="eastAsia" w:ascii="Times New Roman" w:hAnsi="Times New Roman" w:eastAsia="宋体" w:cs="Times New Roman"/>
                      <w:sz w:val="18"/>
                      <w:szCs w:val="18"/>
                      <w:highlight w:val="none"/>
                    </w:rPr>
                    <w:t>/</w:t>
                  </w:r>
                </w:p>
              </w:tc>
              <w:tc>
                <w:tcPr>
                  <w:tcW w:w="675" w:type="dxa"/>
                  <w:tcBorders>
                    <w:top w:val="single" w:color="auto" w:sz="4" w:space="0"/>
                    <w:left w:val="single" w:color="auto" w:sz="4" w:space="0"/>
                    <w:bottom w:val="single" w:color="auto" w:sz="4" w:space="0"/>
                    <w:right w:val="single" w:color="auto" w:sz="4" w:space="0"/>
                  </w:tcBorders>
                  <w:tcMar>
                    <w:left w:w="57" w:type="dxa"/>
                    <w:right w:w="57" w:type="dxa"/>
                  </w:tcMar>
                  <w:vAlign w:val="center"/>
                </w:tcPr>
                <w:p w14:paraId="5799F3A9">
                  <w:pPr>
                    <w:keepNext w:val="0"/>
                    <w:keepLines w:val="0"/>
                    <w:pageBreakBefore w:val="0"/>
                    <w:suppressLineNumbers w:val="0"/>
                    <w:kinsoku/>
                    <w:wordWrap/>
                    <w:overflowPunct/>
                    <w:topLinePunct w:val="0"/>
                    <w:autoSpaceDE/>
                    <w:autoSpaceDN/>
                    <w:bidi w:val="0"/>
                    <w:adjustRightInd w:val="0"/>
                    <w:snapToGrid w:val="0"/>
                    <w:spacing w:before="0" w:beforeAutospacing="0" w:after="0" w:afterAutospacing="0" w:line="276" w:lineRule="auto"/>
                    <w:ind w:left="0" w:right="0"/>
                    <w:jc w:val="center"/>
                    <w:rPr>
                      <w:rFonts w:hint="eastAsia" w:ascii="Times New Roman" w:hAnsi="Times New Roman" w:eastAsia="宋体" w:cs="Times New Roman"/>
                      <w:kern w:val="2"/>
                      <w:sz w:val="18"/>
                      <w:szCs w:val="18"/>
                      <w:highlight w:val="none"/>
                      <w:lang w:val="en-US" w:eastAsia="zh-CN" w:bidi="ar-SA"/>
                    </w:rPr>
                  </w:pPr>
                  <w:r>
                    <w:rPr>
                      <w:rFonts w:hint="eastAsia" w:ascii="Times New Roman" w:hAnsi="Times New Roman" w:eastAsia="宋体" w:cs="Times New Roman"/>
                      <w:sz w:val="18"/>
                      <w:szCs w:val="18"/>
                      <w:highlight w:val="none"/>
                    </w:rPr>
                    <w:t>/</w:t>
                  </w:r>
                </w:p>
              </w:tc>
              <w:tc>
                <w:tcPr>
                  <w:tcW w:w="653" w:type="dxa"/>
                  <w:tcBorders>
                    <w:top w:val="single" w:color="auto" w:sz="4" w:space="0"/>
                    <w:left w:val="single" w:color="auto" w:sz="4" w:space="0"/>
                    <w:bottom w:val="single" w:color="auto" w:sz="4" w:space="0"/>
                    <w:right w:val="single" w:color="auto" w:sz="4" w:space="0"/>
                  </w:tcBorders>
                  <w:shd w:val="clear" w:color="auto" w:fill="auto"/>
                  <w:tcMar>
                    <w:left w:w="57" w:type="dxa"/>
                    <w:right w:w="57" w:type="dxa"/>
                  </w:tcMar>
                  <w:vAlign w:val="center"/>
                </w:tcPr>
                <w:p w14:paraId="7B17D1CC">
                  <w:pPr>
                    <w:keepNext w:val="0"/>
                    <w:keepLines w:val="0"/>
                    <w:pageBreakBefore w:val="0"/>
                    <w:suppressLineNumbers w:val="0"/>
                    <w:kinsoku/>
                    <w:wordWrap/>
                    <w:overflowPunct/>
                    <w:topLinePunct w:val="0"/>
                    <w:autoSpaceDE/>
                    <w:autoSpaceDN/>
                    <w:bidi w:val="0"/>
                    <w:adjustRightInd w:val="0"/>
                    <w:snapToGrid w:val="0"/>
                    <w:spacing w:before="0" w:beforeAutospacing="0" w:after="0" w:afterAutospacing="0" w:line="276" w:lineRule="auto"/>
                    <w:ind w:left="0" w:right="0"/>
                    <w:jc w:val="center"/>
                    <w:textAlignment w:val="auto"/>
                    <w:rPr>
                      <w:rFonts w:hint="eastAsia" w:ascii="Times New Roman" w:hAnsi="Times New Roman" w:eastAsia="宋体" w:cs="Times New Roman"/>
                      <w:kern w:val="2"/>
                      <w:sz w:val="18"/>
                      <w:szCs w:val="18"/>
                      <w:highlight w:val="none"/>
                      <w:lang w:val="en-US" w:eastAsia="zh-CN" w:bidi="ar-SA"/>
                    </w:rPr>
                  </w:pPr>
                  <w:r>
                    <w:rPr>
                      <w:rFonts w:hint="eastAsia" w:ascii="Times New Roman" w:hAnsi="Times New Roman" w:eastAsia="宋体" w:cs="Times New Roman"/>
                      <w:sz w:val="18"/>
                      <w:szCs w:val="18"/>
                      <w:highlight w:val="none"/>
                      <w:lang w:val="en-US" w:eastAsia="zh-CN"/>
                    </w:rPr>
                    <w:t>0.1</w:t>
                  </w:r>
                </w:p>
              </w:tc>
              <w:tc>
                <w:tcPr>
                  <w:tcW w:w="794" w:type="dxa"/>
                  <w:tcBorders>
                    <w:top w:val="single" w:color="auto" w:sz="4" w:space="0"/>
                    <w:left w:val="single" w:color="auto" w:sz="4" w:space="0"/>
                    <w:bottom w:val="single" w:color="auto" w:sz="4" w:space="0"/>
                    <w:right w:val="single" w:color="auto" w:sz="4" w:space="0"/>
                  </w:tcBorders>
                  <w:tcMar>
                    <w:left w:w="57" w:type="dxa"/>
                    <w:right w:w="57" w:type="dxa"/>
                  </w:tcMar>
                  <w:vAlign w:val="center"/>
                </w:tcPr>
                <w:p w14:paraId="2FDE0FA5">
                  <w:pPr>
                    <w:keepNext w:val="0"/>
                    <w:keepLines w:val="0"/>
                    <w:pageBreakBefore w:val="0"/>
                    <w:suppressLineNumbers w:val="0"/>
                    <w:kinsoku/>
                    <w:wordWrap/>
                    <w:overflowPunct/>
                    <w:topLinePunct w:val="0"/>
                    <w:autoSpaceDE/>
                    <w:autoSpaceDN/>
                    <w:bidi w:val="0"/>
                    <w:adjustRightInd w:val="0"/>
                    <w:snapToGrid w:val="0"/>
                    <w:spacing w:before="0" w:beforeAutospacing="0" w:after="0" w:afterAutospacing="0" w:line="276" w:lineRule="auto"/>
                    <w:ind w:left="0" w:right="0"/>
                    <w:jc w:val="center"/>
                    <w:rPr>
                      <w:rFonts w:hint="eastAsia" w:ascii="Times New Roman" w:hAnsi="Times New Roman" w:eastAsia="宋体" w:cs="Times New Roman"/>
                      <w:kern w:val="2"/>
                      <w:sz w:val="18"/>
                      <w:szCs w:val="18"/>
                      <w:highlight w:val="none"/>
                      <w:lang w:val="en-US" w:eastAsia="zh-CN" w:bidi="ar-SA"/>
                    </w:rPr>
                  </w:pPr>
                  <w:r>
                    <w:rPr>
                      <w:rFonts w:hint="eastAsia" w:ascii="Times New Roman" w:hAnsi="Times New Roman" w:eastAsia="宋体" w:cs="Times New Roman"/>
                      <w:sz w:val="18"/>
                      <w:szCs w:val="18"/>
                      <w:highlight w:val="none"/>
                    </w:rPr>
                    <w:t>袋装，集中堆放</w:t>
                  </w:r>
                </w:p>
              </w:tc>
              <w:tc>
                <w:tcPr>
                  <w:tcW w:w="705" w:type="dxa"/>
                  <w:vMerge w:val="continue"/>
                  <w:tcBorders>
                    <w:left w:val="single" w:color="auto" w:sz="4" w:space="0"/>
                    <w:right w:val="single" w:color="auto" w:sz="4" w:space="0"/>
                  </w:tcBorders>
                  <w:tcMar>
                    <w:left w:w="57" w:type="dxa"/>
                    <w:right w:w="57" w:type="dxa"/>
                  </w:tcMar>
                  <w:vAlign w:val="center"/>
                </w:tcPr>
                <w:p w14:paraId="30F220E5">
                  <w:pPr>
                    <w:keepNext w:val="0"/>
                    <w:keepLines w:val="0"/>
                    <w:pageBreakBefore w:val="0"/>
                    <w:suppressLineNumbers w:val="0"/>
                    <w:kinsoku/>
                    <w:wordWrap/>
                    <w:overflowPunct/>
                    <w:topLinePunct w:val="0"/>
                    <w:autoSpaceDE/>
                    <w:autoSpaceDN/>
                    <w:bidi w:val="0"/>
                    <w:adjustRightInd w:val="0"/>
                    <w:snapToGrid w:val="0"/>
                    <w:spacing w:before="0" w:beforeAutospacing="0" w:after="0" w:afterAutospacing="0" w:line="276" w:lineRule="auto"/>
                    <w:ind w:left="0" w:right="0"/>
                    <w:jc w:val="center"/>
                    <w:rPr>
                      <w:rFonts w:hint="eastAsia" w:ascii="Times New Roman" w:hAnsi="Times New Roman" w:eastAsia="宋体" w:cs="Times New Roman"/>
                      <w:kern w:val="2"/>
                      <w:sz w:val="18"/>
                      <w:szCs w:val="18"/>
                      <w:highlight w:val="none"/>
                      <w:lang w:val="en-US" w:eastAsia="zh-CN" w:bidi="ar-SA"/>
                    </w:rPr>
                  </w:pPr>
                </w:p>
              </w:tc>
              <w:tc>
                <w:tcPr>
                  <w:tcW w:w="626" w:type="dxa"/>
                  <w:tcBorders>
                    <w:top w:val="single" w:color="auto" w:sz="4" w:space="0"/>
                    <w:left w:val="single" w:color="auto" w:sz="4" w:space="0"/>
                    <w:bottom w:val="single" w:color="auto" w:sz="4" w:space="0"/>
                    <w:right w:val="single" w:color="auto" w:sz="4" w:space="0"/>
                  </w:tcBorders>
                  <w:shd w:val="clear" w:color="auto" w:fill="auto"/>
                  <w:tcMar>
                    <w:left w:w="57" w:type="dxa"/>
                    <w:right w:w="57" w:type="dxa"/>
                  </w:tcMar>
                  <w:vAlign w:val="center"/>
                </w:tcPr>
                <w:p w14:paraId="031EC00A">
                  <w:pPr>
                    <w:keepNext w:val="0"/>
                    <w:keepLines w:val="0"/>
                    <w:pageBreakBefore w:val="0"/>
                    <w:suppressLineNumbers w:val="0"/>
                    <w:kinsoku/>
                    <w:wordWrap/>
                    <w:overflowPunct/>
                    <w:topLinePunct w:val="0"/>
                    <w:autoSpaceDE/>
                    <w:autoSpaceDN/>
                    <w:bidi w:val="0"/>
                    <w:adjustRightInd w:val="0"/>
                    <w:snapToGrid w:val="0"/>
                    <w:spacing w:before="0" w:beforeAutospacing="0" w:after="0" w:afterAutospacing="0" w:line="276" w:lineRule="auto"/>
                    <w:ind w:left="0" w:right="0"/>
                    <w:jc w:val="center"/>
                    <w:textAlignment w:val="auto"/>
                    <w:rPr>
                      <w:rFonts w:hint="eastAsia" w:ascii="Times New Roman" w:hAnsi="Times New Roman" w:eastAsia="宋体" w:cs="Times New Roman"/>
                      <w:kern w:val="2"/>
                      <w:sz w:val="18"/>
                      <w:szCs w:val="18"/>
                      <w:highlight w:val="none"/>
                      <w:lang w:val="en-US" w:eastAsia="zh-CN" w:bidi="ar-SA"/>
                    </w:rPr>
                  </w:pPr>
                  <w:r>
                    <w:rPr>
                      <w:rFonts w:hint="eastAsia" w:ascii="Times New Roman" w:hAnsi="Times New Roman" w:eastAsia="宋体" w:cs="Times New Roman"/>
                      <w:sz w:val="18"/>
                      <w:szCs w:val="18"/>
                      <w:highlight w:val="none"/>
                      <w:lang w:val="en-US" w:eastAsia="zh-CN"/>
                    </w:rPr>
                    <w:t>0.1</w:t>
                  </w:r>
                </w:p>
              </w:tc>
            </w:tr>
            <w:tr w14:paraId="4634199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jc w:val="center"/>
              </w:trPr>
              <w:tc>
                <w:tcPr>
                  <w:tcW w:w="307" w:type="dxa"/>
                  <w:tcBorders>
                    <w:top w:val="single" w:color="auto" w:sz="4" w:space="0"/>
                    <w:left w:val="single" w:color="auto" w:sz="4" w:space="0"/>
                    <w:bottom w:val="single" w:color="auto" w:sz="4" w:space="0"/>
                    <w:right w:val="single" w:color="auto" w:sz="4" w:space="0"/>
                  </w:tcBorders>
                  <w:shd w:val="clear" w:color="auto" w:fill="auto"/>
                  <w:tcMar>
                    <w:left w:w="57" w:type="dxa"/>
                    <w:right w:w="57" w:type="dxa"/>
                  </w:tcMar>
                  <w:vAlign w:val="center"/>
                </w:tcPr>
                <w:p w14:paraId="5973271C">
                  <w:pPr>
                    <w:keepNext w:val="0"/>
                    <w:keepLines w:val="0"/>
                    <w:pageBreakBefore w:val="0"/>
                    <w:suppressLineNumbers w:val="0"/>
                    <w:kinsoku/>
                    <w:wordWrap/>
                    <w:overflowPunct/>
                    <w:topLinePunct w:val="0"/>
                    <w:autoSpaceDE/>
                    <w:autoSpaceDN/>
                    <w:bidi w:val="0"/>
                    <w:adjustRightInd w:val="0"/>
                    <w:snapToGrid w:val="0"/>
                    <w:spacing w:before="0" w:beforeAutospacing="0" w:after="0" w:afterAutospacing="0" w:line="276" w:lineRule="auto"/>
                    <w:ind w:left="0" w:leftChars="0" w:right="0" w:rightChars="0"/>
                    <w:jc w:val="center"/>
                    <w:rPr>
                      <w:rFonts w:hint="eastAsia" w:ascii="Times New Roman" w:hAnsi="Times New Roman" w:eastAsia="宋体" w:cs="Times New Roman"/>
                      <w:kern w:val="2"/>
                      <w:sz w:val="18"/>
                      <w:szCs w:val="18"/>
                      <w:highlight w:val="none"/>
                      <w:lang w:val="en-US" w:eastAsia="zh-CN" w:bidi="ar-SA"/>
                    </w:rPr>
                  </w:pPr>
                  <w:r>
                    <w:rPr>
                      <w:rFonts w:hint="eastAsia" w:ascii="Times New Roman" w:hAnsi="Times New Roman" w:eastAsia="宋体" w:cs="Times New Roman"/>
                      <w:sz w:val="18"/>
                      <w:szCs w:val="18"/>
                      <w:highlight w:val="none"/>
                    </w:rPr>
                    <w:t>6</w:t>
                  </w:r>
                </w:p>
              </w:tc>
              <w:tc>
                <w:tcPr>
                  <w:tcW w:w="878" w:type="dxa"/>
                  <w:tcBorders>
                    <w:top w:val="single" w:color="auto" w:sz="4" w:space="0"/>
                    <w:left w:val="single" w:color="auto" w:sz="4" w:space="0"/>
                    <w:bottom w:val="single" w:color="auto" w:sz="4" w:space="0"/>
                    <w:right w:val="single" w:color="auto" w:sz="4" w:space="0"/>
                  </w:tcBorders>
                  <w:tcMar>
                    <w:left w:w="57" w:type="dxa"/>
                    <w:right w:w="57" w:type="dxa"/>
                  </w:tcMar>
                  <w:vAlign w:val="center"/>
                </w:tcPr>
                <w:p w14:paraId="708A8F4C">
                  <w:pPr>
                    <w:keepNext w:val="0"/>
                    <w:keepLines w:val="0"/>
                    <w:pageBreakBefore w:val="0"/>
                    <w:suppressLineNumbers w:val="0"/>
                    <w:kinsoku/>
                    <w:wordWrap/>
                    <w:overflowPunct/>
                    <w:topLinePunct w:val="0"/>
                    <w:autoSpaceDE/>
                    <w:autoSpaceDN/>
                    <w:bidi w:val="0"/>
                    <w:adjustRightInd w:val="0"/>
                    <w:snapToGrid w:val="0"/>
                    <w:spacing w:before="0" w:beforeAutospacing="0" w:after="0" w:afterAutospacing="0" w:line="276" w:lineRule="auto"/>
                    <w:ind w:left="0" w:right="0"/>
                    <w:jc w:val="center"/>
                    <w:textAlignment w:val="auto"/>
                    <w:rPr>
                      <w:rFonts w:hint="eastAsia" w:ascii="Times New Roman" w:hAnsi="Times New Roman" w:eastAsia="宋体" w:cs="Times New Roman"/>
                      <w:kern w:val="2"/>
                      <w:sz w:val="18"/>
                      <w:szCs w:val="18"/>
                      <w:highlight w:val="none"/>
                      <w:lang w:val="en-US" w:eastAsia="zh-CN" w:bidi="ar-SA"/>
                    </w:rPr>
                  </w:pPr>
                  <w:r>
                    <w:rPr>
                      <w:rFonts w:hint="eastAsia" w:ascii="Times New Roman" w:hAnsi="Times New Roman" w:eastAsia="宋体" w:cs="Times New Roman"/>
                      <w:sz w:val="18"/>
                      <w:szCs w:val="18"/>
                      <w:highlight w:val="none"/>
                    </w:rPr>
                    <w:t>废树脂</w:t>
                  </w:r>
                </w:p>
              </w:tc>
              <w:tc>
                <w:tcPr>
                  <w:tcW w:w="1058" w:type="dxa"/>
                  <w:tcBorders>
                    <w:top w:val="single" w:color="auto" w:sz="4" w:space="0"/>
                    <w:left w:val="single" w:color="auto" w:sz="4" w:space="0"/>
                    <w:bottom w:val="single" w:color="auto" w:sz="4" w:space="0"/>
                    <w:right w:val="single" w:color="auto" w:sz="4" w:space="0"/>
                  </w:tcBorders>
                  <w:tcMar>
                    <w:left w:w="57" w:type="dxa"/>
                    <w:right w:w="57" w:type="dxa"/>
                  </w:tcMar>
                  <w:vAlign w:val="center"/>
                </w:tcPr>
                <w:p w14:paraId="256C38B1">
                  <w:pPr>
                    <w:keepNext w:val="0"/>
                    <w:keepLines w:val="0"/>
                    <w:pageBreakBefore w:val="0"/>
                    <w:suppressLineNumbers w:val="0"/>
                    <w:kinsoku/>
                    <w:wordWrap/>
                    <w:overflowPunct/>
                    <w:topLinePunct w:val="0"/>
                    <w:autoSpaceDE/>
                    <w:autoSpaceDN/>
                    <w:bidi w:val="0"/>
                    <w:adjustRightInd w:val="0"/>
                    <w:snapToGrid w:val="0"/>
                    <w:spacing w:before="0" w:beforeAutospacing="0" w:after="0" w:afterAutospacing="0" w:line="276" w:lineRule="auto"/>
                    <w:ind w:left="0" w:right="0"/>
                    <w:jc w:val="center"/>
                    <w:rPr>
                      <w:rFonts w:hint="default" w:ascii="Times New Roman" w:hAnsi="Times New Roman" w:eastAsia="宋体" w:cs="Times New Roman"/>
                      <w:sz w:val="18"/>
                      <w:szCs w:val="18"/>
                      <w:highlight w:val="none"/>
                      <w:lang w:val="en-US" w:eastAsia="zh-CN"/>
                    </w:rPr>
                  </w:pPr>
                  <w:r>
                    <w:rPr>
                      <w:rFonts w:hint="eastAsia" w:ascii="Times New Roman" w:hAnsi="Times New Roman" w:eastAsia="宋体" w:cs="Times New Roman"/>
                      <w:sz w:val="18"/>
                      <w:szCs w:val="18"/>
                      <w:highlight w:val="none"/>
                      <w:lang w:val="en-US" w:eastAsia="zh-CN"/>
                    </w:rPr>
                    <w:t>树脂、杂质</w:t>
                  </w:r>
                </w:p>
              </w:tc>
              <w:tc>
                <w:tcPr>
                  <w:tcW w:w="581" w:type="dxa"/>
                  <w:tcBorders>
                    <w:top w:val="single" w:color="auto" w:sz="4" w:space="0"/>
                    <w:left w:val="single" w:color="auto" w:sz="4" w:space="0"/>
                    <w:bottom w:val="single" w:color="auto" w:sz="4" w:space="0"/>
                    <w:right w:val="single" w:color="auto" w:sz="4" w:space="0"/>
                  </w:tcBorders>
                  <w:tcMar>
                    <w:left w:w="57" w:type="dxa"/>
                    <w:right w:w="57" w:type="dxa"/>
                  </w:tcMar>
                  <w:vAlign w:val="center"/>
                </w:tcPr>
                <w:p w14:paraId="326C49D8">
                  <w:pPr>
                    <w:keepNext w:val="0"/>
                    <w:keepLines w:val="0"/>
                    <w:pageBreakBefore w:val="0"/>
                    <w:suppressLineNumbers w:val="0"/>
                    <w:kinsoku/>
                    <w:wordWrap/>
                    <w:overflowPunct/>
                    <w:topLinePunct w:val="0"/>
                    <w:autoSpaceDE/>
                    <w:autoSpaceDN/>
                    <w:bidi w:val="0"/>
                    <w:adjustRightInd w:val="0"/>
                    <w:snapToGrid w:val="0"/>
                    <w:spacing w:before="0" w:beforeAutospacing="0" w:after="0" w:afterAutospacing="0" w:line="276" w:lineRule="auto"/>
                    <w:ind w:left="0" w:right="0"/>
                    <w:jc w:val="center"/>
                    <w:rPr>
                      <w:rFonts w:hint="eastAsia" w:ascii="Times New Roman" w:hAnsi="Times New Roman" w:eastAsia="宋体" w:cs="Times New Roman"/>
                      <w:kern w:val="2"/>
                      <w:sz w:val="18"/>
                      <w:szCs w:val="18"/>
                      <w:highlight w:val="none"/>
                      <w:lang w:val="en-US" w:eastAsia="zh-CN" w:bidi="ar-SA"/>
                    </w:rPr>
                  </w:pPr>
                  <w:r>
                    <w:rPr>
                      <w:rFonts w:hint="eastAsia" w:ascii="Times New Roman" w:hAnsi="Times New Roman" w:eastAsia="宋体" w:cs="Times New Roman"/>
                      <w:sz w:val="18"/>
                      <w:szCs w:val="18"/>
                      <w:highlight w:val="none"/>
                    </w:rPr>
                    <w:t>固态</w:t>
                  </w:r>
                </w:p>
              </w:tc>
              <w:tc>
                <w:tcPr>
                  <w:tcW w:w="1082" w:type="dxa"/>
                  <w:tcBorders>
                    <w:top w:val="single" w:color="auto" w:sz="4" w:space="0"/>
                    <w:left w:val="single" w:color="auto" w:sz="4" w:space="0"/>
                    <w:bottom w:val="single" w:color="auto" w:sz="4" w:space="0"/>
                    <w:right w:val="single" w:color="auto" w:sz="4" w:space="0"/>
                  </w:tcBorders>
                  <w:tcMar>
                    <w:left w:w="57" w:type="dxa"/>
                    <w:right w:w="57" w:type="dxa"/>
                  </w:tcMar>
                  <w:vAlign w:val="center"/>
                </w:tcPr>
                <w:p w14:paraId="34AAC164">
                  <w:pPr>
                    <w:keepNext w:val="0"/>
                    <w:keepLines w:val="0"/>
                    <w:pageBreakBefore w:val="0"/>
                    <w:suppressLineNumbers w:val="0"/>
                    <w:kinsoku/>
                    <w:wordWrap/>
                    <w:overflowPunct/>
                    <w:topLinePunct w:val="0"/>
                    <w:autoSpaceDE/>
                    <w:autoSpaceDN/>
                    <w:bidi w:val="0"/>
                    <w:adjustRightInd w:val="0"/>
                    <w:snapToGrid w:val="0"/>
                    <w:spacing w:before="0" w:beforeAutospacing="0" w:after="0" w:afterAutospacing="0" w:line="276" w:lineRule="auto"/>
                    <w:ind w:left="0" w:right="0"/>
                    <w:jc w:val="center"/>
                    <w:rPr>
                      <w:rFonts w:hint="eastAsia" w:ascii="Times New Roman" w:hAnsi="Times New Roman" w:eastAsia="宋体" w:cs="Times New Roman"/>
                      <w:sz w:val="18"/>
                      <w:szCs w:val="18"/>
                      <w:highlight w:val="none"/>
                    </w:rPr>
                  </w:pPr>
                  <w:r>
                    <w:rPr>
                      <w:rFonts w:hint="eastAsia" w:ascii="Times New Roman" w:hAnsi="Times New Roman" w:eastAsia="宋体" w:cs="Times New Roman"/>
                      <w:sz w:val="18"/>
                      <w:szCs w:val="18"/>
                      <w:highlight w:val="none"/>
                    </w:rPr>
                    <w:t>一般</w:t>
                  </w:r>
                  <w:r>
                    <w:rPr>
                      <w:rFonts w:hint="eastAsia" w:ascii="Times New Roman" w:hAnsi="Times New Roman" w:eastAsia="宋体" w:cs="Times New Roman"/>
                      <w:sz w:val="18"/>
                      <w:szCs w:val="18"/>
                      <w:highlight w:val="none"/>
                      <w:lang w:val="en-US" w:eastAsia="zh-CN"/>
                    </w:rPr>
                    <w:t>固废</w:t>
                  </w:r>
                  <w:r>
                    <w:rPr>
                      <w:rFonts w:hint="eastAsia" w:ascii="Times New Roman" w:hAnsi="Times New Roman" w:eastAsia="宋体" w:cs="Times New Roman"/>
                      <w:sz w:val="18"/>
                      <w:szCs w:val="18"/>
                      <w:highlight w:val="none"/>
                    </w:rPr>
                    <w:t>，</w:t>
                  </w:r>
                  <w:r>
                    <w:rPr>
                      <w:rFonts w:hint="default" w:ascii="Times New Roman" w:hAnsi="Times New Roman" w:eastAsia="宋体" w:cs="Times New Roman"/>
                      <w:color w:val="auto"/>
                      <w:sz w:val="18"/>
                      <w:szCs w:val="18"/>
                      <w:highlight w:val="none"/>
                    </w:rPr>
                    <w:t>900-008-S59</w:t>
                  </w:r>
                </w:p>
              </w:tc>
              <w:tc>
                <w:tcPr>
                  <w:tcW w:w="895" w:type="dxa"/>
                  <w:tcBorders>
                    <w:top w:val="single" w:color="auto" w:sz="4" w:space="0"/>
                    <w:left w:val="single" w:color="auto" w:sz="4" w:space="0"/>
                    <w:bottom w:val="single" w:color="auto" w:sz="4" w:space="0"/>
                    <w:right w:val="single" w:color="auto" w:sz="4" w:space="0"/>
                  </w:tcBorders>
                  <w:tcMar>
                    <w:left w:w="57" w:type="dxa"/>
                    <w:right w:w="57" w:type="dxa"/>
                  </w:tcMar>
                  <w:vAlign w:val="center"/>
                </w:tcPr>
                <w:p w14:paraId="3D26695B">
                  <w:pPr>
                    <w:keepNext w:val="0"/>
                    <w:keepLines w:val="0"/>
                    <w:pageBreakBefore w:val="0"/>
                    <w:suppressLineNumbers w:val="0"/>
                    <w:kinsoku/>
                    <w:wordWrap/>
                    <w:overflowPunct/>
                    <w:topLinePunct w:val="0"/>
                    <w:autoSpaceDE/>
                    <w:autoSpaceDN/>
                    <w:bidi w:val="0"/>
                    <w:adjustRightInd w:val="0"/>
                    <w:snapToGrid w:val="0"/>
                    <w:spacing w:before="0" w:beforeAutospacing="0" w:after="0" w:afterAutospacing="0" w:line="276" w:lineRule="auto"/>
                    <w:ind w:left="0" w:right="0"/>
                    <w:jc w:val="center"/>
                    <w:rPr>
                      <w:rFonts w:hint="eastAsia" w:ascii="Times New Roman" w:hAnsi="Times New Roman" w:eastAsia="宋体" w:cs="Times New Roman"/>
                      <w:kern w:val="2"/>
                      <w:sz w:val="18"/>
                      <w:szCs w:val="18"/>
                      <w:highlight w:val="none"/>
                      <w:lang w:val="en-US" w:eastAsia="zh-CN" w:bidi="ar-SA"/>
                    </w:rPr>
                  </w:pPr>
                  <w:r>
                    <w:rPr>
                      <w:rFonts w:hint="eastAsia" w:ascii="Times New Roman" w:hAnsi="Times New Roman" w:eastAsia="宋体" w:cs="Times New Roman"/>
                      <w:sz w:val="18"/>
                      <w:szCs w:val="18"/>
                      <w:highlight w:val="none"/>
                    </w:rPr>
                    <w:t>/</w:t>
                  </w:r>
                </w:p>
              </w:tc>
              <w:tc>
                <w:tcPr>
                  <w:tcW w:w="675" w:type="dxa"/>
                  <w:tcBorders>
                    <w:top w:val="single" w:color="auto" w:sz="4" w:space="0"/>
                    <w:left w:val="single" w:color="auto" w:sz="4" w:space="0"/>
                    <w:bottom w:val="single" w:color="auto" w:sz="4" w:space="0"/>
                    <w:right w:val="single" w:color="auto" w:sz="4" w:space="0"/>
                  </w:tcBorders>
                  <w:tcMar>
                    <w:left w:w="57" w:type="dxa"/>
                    <w:right w:w="57" w:type="dxa"/>
                  </w:tcMar>
                  <w:vAlign w:val="center"/>
                </w:tcPr>
                <w:p w14:paraId="47745E35">
                  <w:pPr>
                    <w:keepNext w:val="0"/>
                    <w:keepLines w:val="0"/>
                    <w:pageBreakBefore w:val="0"/>
                    <w:suppressLineNumbers w:val="0"/>
                    <w:kinsoku/>
                    <w:wordWrap/>
                    <w:overflowPunct/>
                    <w:topLinePunct w:val="0"/>
                    <w:autoSpaceDE/>
                    <w:autoSpaceDN/>
                    <w:bidi w:val="0"/>
                    <w:adjustRightInd w:val="0"/>
                    <w:snapToGrid w:val="0"/>
                    <w:spacing w:before="0" w:beforeAutospacing="0" w:after="0" w:afterAutospacing="0" w:line="276" w:lineRule="auto"/>
                    <w:ind w:left="0" w:right="0"/>
                    <w:jc w:val="center"/>
                    <w:rPr>
                      <w:rFonts w:hint="eastAsia" w:ascii="Times New Roman" w:hAnsi="Times New Roman" w:eastAsia="宋体" w:cs="Times New Roman"/>
                      <w:kern w:val="2"/>
                      <w:sz w:val="18"/>
                      <w:szCs w:val="18"/>
                      <w:highlight w:val="none"/>
                      <w:lang w:val="en-US" w:eastAsia="zh-CN" w:bidi="ar-SA"/>
                    </w:rPr>
                  </w:pPr>
                  <w:r>
                    <w:rPr>
                      <w:rFonts w:hint="eastAsia" w:ascii="Times New Roman" w:hAnsi="Times New Roman" w:eastAsia="宋体" w:cs="Times New Roman"/>
                      <w:sz w:val="18"/>
                      <w:szCs w:val="18"/>
                      <w:highlight w:val="none"/>
                    </w:rPr>
                    <w:t>/</w:t>
                  </w:r>
                </w:p>
              </w:tc>
              <w:tc>
                <w:tcPr>
                  <w:tcW w:w="653" w:type="dxa"/>
                  <w:tcBorders>
                    <w:top w:val="single" w:color="auto" w:sz="4" w:space="0"/>
                    <w:left w:val="single" w:color="auto" w:sz="4" w:space="0"/>
                    <w:bottom w:val="single" w:color="auto" w:sz="4" w:space="0"/>
                    <w:right w:val="single" w:color="auto" w:sz="4" w:space="0"/>
                  </w:tcBorders>
                  <w:tcMar>
                    <w:left w:w="57" w:type="dxa"/>
                    <w:right w:w="57" w:type="dxa"/>
                  </w:tcMar>
                  <w:vAlign w:val="center"/>
                </w:tcPr>
                <w:p w14:paraId="7CA2FC53">
                  <w:pPr>
                    <w:keepNext w:val="0"/>
                    <w:keepLines w:val="0"/>
                    <w:pageBreakBefore w:val="0"/>
                    <w:suppressLineNumbers w:val="0"/>
                    <w:kinsoku/>
                    <w:wordWrap/>
                    <w:overflowPunct/>
                    <w:topLinePunct w:val="0"/>
                    <w:autoSpaceDE/>
                    <w:autoSpaceDN/>
                    <w:bidi w:val="0"/>
                    <w:adjustRightInd w:val="0"/>
                    <w:snapToGrid w:val="0"/>
                    <w:spacing w:before="0" w:beforeAutospacing="0" w:after="0" w:afterAutospacing="0" w:line="276" w:lineRule="auto"/>
                    <w:ind w:left="0" w:right="0"/>
                    <w:jc w:val="center"/>
                    <w:rPr>
                      <w:rFonts w:hint="default" w:ascii="Times New Roman" w:hAnsi="Times New Roman" w:eastAsia="宋体" w:cs="Times New Roman"/>
                      <w:color w:val="auto"/>
                      <w:kern w:val="2"/>
                      <w:sz w:val="18"/>
                      <w:szCs w:val="18"/>
                      <w:highlight w:val="none"/>
                      <w:lang w:val="en-US" w:eastAsia="zh-CN" w:bidi="ar-SA"/>
                    </w:rPr>
                  </w:pPr>
                  <w:r>
                    <w:rPr>
                      <w:rFonts w:hint="eastAsia" w:ascii="Times New Roman" w:hAnsi="Times New Roman" w:eastAsia="宋体" w:cs="Times New Roman"/>
                      <w:color w:val="auto"/>
                      <w:kern w:val="2"/>
                      <w:sz w:val="18"/>
                      <w:szCs w:val="18"/>
                      <w:highlight w:val="none"/>
                      <w:lang w:val="en-US" w:eastAsia="zh-CN" w:bidi="ar-SA"/>
                    </w:rPr>
                    <w:t>2</w:t>
                  </w:r>
                </w:p>
              </w:tc>
              <w:tc>
                <w:tcPr>
                  <w:tcW w:w="794" w:type="dxa"/>
                  <w:tcBorders>
                    <w:top w:val="single" w:color="auto" w:sz="4" w:space="0"/>
                    <w:left w:val="single" w:color="auto" w:sz="4" w:space="0"/>
                    <w:bottom w:val="single" w:color="auto" w:sz="4" w:space="0"/>
                    <w:right w:val="single" w:color="auto" w:sz="4" w:space="0"/>
                  </w:tcBorders>
                  <w:tcMar>
                    <w:left w:w="57" w:type="dxa"/>
                    <w:right w:w="57" w:type="dxa"/>
                  </w:tcMar>
                  <w:vAlign w:val="center"/>
                </w:tcPr>
                <w:p w14:paraId="468ADFCE">
                  <w:pPr>
                    <w:keepNext w:val="0"/>
                    <w:keepLines w:val="0"/>
                    <w:pageBreakBefore w:val="0"/>
                    <w:suppressLineNumbers w:val="0"/>
                    <w:kinsoku/>
                    <w:wordWrap/>
                    <w:overflowPunct/>
                    <w:topLinePunct w:val="0"/>
                    <w:autoSpaceDE/>
                    <w:autoSpaceDN/>
                    <w:bidi w:val="0"/>
                    <w:adjustRightInd w:val="0"/>
                    <w:snapToGrid w:val="0"/>
                    <w:spacing w:before="0" w:beforeAutospacing="0" w:after="0" w:afterAutospacing="0" w:line="276" w:lineRule="auto"/>
                    <w:ind w:left="0" w:right="0"/>
                    <w:jc w:val="center"/>
                    <w:rPr>
                      <w:rFonts w:hint="eastAsia" w:ascii="Times New Roman" w:hAnsi="Times New Roman" w:eastAsia="宋体" w:cs="Times New Roman"/>
                      <w:kern w:val="2"/>
                      <w:sz w:val="18"/>
                      <w:szCs w:val="18"/>
                      <w:highlight w:val="none"/>
                      <w:lang w:val="en-US" w:eastAsia="zh-CN" w:bidi="ar-SA"/>
                    </w:rPr>
                  </w:pPr>
                  <w:r>
                    <w:rPr>
                      <w:rFonts w:hint="eastAsia" w:ascii="Times New Roman" w:hAnsi="Times New Roman" w:eastAsia="宋体" w:cs="Times New Roman"/>
                      <w:sz w:val="18"/>
                      <w:szCs w:val="18"/>
                      <w:highlight w:val="none"/>
                    </w:rPr>
                    <w:t>袋装，集中堆放</w:t>
                  </w:r>
                </w:p>
              </w:tc>
              <w:tc>
                <w:tcPr>
                  <w:tcW w:w="705" w:type="dxa"/>
                  <w:vMerge w:val="continue"/>
                  <w:tcBorders>
                    <w:left w:val="single" w:color="auto" w:sz="4" w:space="0"/>
                    <w:right w:val="single" w:color="auto" w:sz="4" w:space="0"/>
                  </w:tcBorders>
                  <w:tcMar>
                    <w:left w:w="57" w:type="dxa"/>
                    <w:right w:w="57" w:type="dxa"/>
                  </w:tcMar>
                  <w:vAlign w:val="center"/>
                </w:tcPr>
                <w:p w14:paraId="5A4C46EB">
                  <w:pPr>
                    <w:keepNext w:val="0"/>
                    <w:keepLines w:val="0"/>
                    <w:pageBreakBefore w:val="0"/>
                    <w:suppressLineNumbers w:val="0"/>
                    <w:kinsoku/>
                    <w:wordWrap/>
                    <w:overflowPunct/>
                    <w:topLinePunct w:val="0"/>
                    <w:autoSpaceDE/>
                    <w:autoSpaceDN/>
                    <w:bidi w:val="0"/>
                    <w:adjustRightInd w:val="0"/>
                    <w:snapToGrid w:val="0"/>
                    <w:spacing w:before="0" w:beforeAutospacing="0" w:after="0" w:afterAutospacing="0" w:line="276" w:lineRule="auto"/>
                    <w:ind w:left="0" w:right="0"/>
                    <w:jc w:val="center"/>
                    <w:rPr>
                      <w:rFonts w:hint="eastAsia" w:ascii="Times New Roman" w:hAnsi="Times New Roman" w:eastAsia="宋体" w:cs="Times New Roman"/>
                      <w:kern w:val="2"/>
                      <w:sz w:val="18"/>
                      <w:szCs w:val="18"/>
                      <w:highlight w:val="none"/>
                      <w:lang w:val="en-US" w:eastAsia="zh-CN" w:bidi="ar-SA"/>
                    </w:rPr>
                  </w:pPr>
                </w:p>
              </w:tc>
              <w:tc>
                <w:tcPr>
                  <w:tcW w:w="626" w:type="dxa"/>
                  <w:tcBorders>
                    <w:top w:val="single" w:color="auto" w:sz="4" w:space="0"/>
                    <w:left w:val="single" w:color="auto" w:sz="4" w:space="0"/>
                    <w:bottom w:val="single" w:color="auto" w:sz="4" w:space="0"/>
                    <w:right w:val="single" w:color="auto" w:sz="4" w:space="0"/>
                  </w:tcBorders>
                  <w:shd w:val="clear" w:color="auto" w:fill="auto"/>
                  <w:tcMar>
                    <w:left w:w="57" w:type="dxa"/>
                    <w:right w:w="57" w:type="dxa"/>
                  </w:tcMar>
                  <w:vAlign w:val="center"/>
                </w:tcPr>
                <w:p w14:paraId="39C72748">
                  <w:pPr>
                    <w:keepNext w:val="0"/>
                    <w:keepLines w:val="0"/>
                    <w:pageBreakBefore w:val="0"/>
                    <w:suppressLineNumbers w:val="0"/>
                    <w:kinsoku/>
                    <w:wordWrap/>
                    <w:overflowPunct/>
                    <w:topLinePunct w:val="0"/>
                    <w:autoSpaceDE/>
                    <w:autoSpaceDN/>
                    <w:bidi w:val="0"/>
                    <w:adjustRightInd w:val="0"/>
                    <w:snapToGrid w:val="0"/>
                    <w:spacing w:before="0" w:beforeAutospacing="0" w:after="0" w:afterAutospacing="0" w:line="276" w:lineRule="auto"/>
                    <w:ind w:left="0" w:right="0"/>
                    <w:jc w:val="center"/>
                    <w:rPr>
                      <w:rFonts w:hint="eastAsia" w:ascii="Times New Roman" w:hAnsi="Times New Roman" w:eastAsia="宋体" w:cs="Times New Roman"/>
                      <w:color w:val="auto"/>
                      <w:kern w:val="2"/>
                      <w:sz w:val="18"/>
                      <w:szCs w:val="18"/>
                      <w:highlight w:val="none"/>
                      <w:lang w:val="en-US" w:eastAsia="zh-CN" w:bidi="ar-SA"/>
                    </w:rPr>
                  </w:pPr>
                  <w:r>
                    <w:rPr>
                      <w:rFonts w:hint="eastAsia" w:ascii="Times New Roman" w:hAnsi="Times New Roman" w:eastAsia="宋体" w:cs="Times New Roman"/>
                      <w:color w:val="auto"/>
                      <w:kern w:val="2"/>
                      <w:sz w:val="18"/>
                      <w:szCs w:val="18"/>
                      <w:highlight w:val="none"/>
                      <w:lang w:val="en-US" w:eastAsia="zh-CN" w:bidi="ar-SA"/>
                    </w:rPr>
                    <w:t>2</w:t>
                  </w:r>
                </w:p>
              </w:tc>
            </w:tr>
            <w:tr w14:paraId="2BEFC23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jc w:val="center"/>
              </w:trPr>
              <w:tc>
                <w:tcPr>
                  <w:tcW w:w="307" w:type="dxa"/>
                  <w:tcBorders>
                    <w:top w:val="single" w:color="auto" w:sz="4" w:space="0"/>
                    <w:left w:val="single" w:color="auto" w:sz="4" w:space="0"/>
                    <w:bottom w:val="single" w:color="auto" w:sz="4" w:space="0"/>
                    <w:right w:val="single" w:color="auto" w:sz="4" w:space="0"/>
                  </w:tcBorders>
                  <w:shd w:val="clear" w:color="auto" w:fill="auto"/>
                  <w:tcMar>
                    <w:left w:w="57" w:type="dxa"/>
                    <w:right w:w="57" w:type="dxa"/>
                  </w:tcMar>
                  <w:vAlign w:val="center"/>
                </w:tcPr>
                <w:p w14:paraId="0F4BA40C">
                  <w:pPr>
                    <w:keepNext w:val="0"/>
                    <w:keepLines w:val="0"/>
                    <w:pageBreakBefore w:val="0"/>
                    <w:suppressLineNumbers w:val="0"/>
                    <w:kinsoku/>
                    <w:wordWrap/>
                    <w:overflowPunct/>
                    <w:topLinePunct w:val="0"/>
                    <w:autoSpaceDE/>
                    <w:autoSpaceDN/>
                    <w:bidi w:val="0"/>
                    <w:adjustRightInd w:val="0"/>
                    <w:snapToGrid w:val="0"/>
                    <w:spacing w:before="0" w:beforeAutospacing="0" w:after="0" w:afterAutospacing="0" w:line="276" w:lineRule="auto"/>
                    <w:ind w:left="0" w:leftChars="0" w:right="0" w:rightChars="0"/>
                    <w:jc w:val="center"/>
                    <w:rPr>
                      <w:rFonts w:hint="eastAsia" w:ascii="Times New Roman" w:hAnsi="Times New Roman" w:eastAsia="宋体" w:cs="Times New Roman"/>
                      <w:kern w:val="2"/>
                      <w:sz w:val="18"/>
                      <w:szCs w:val="18"/>
                      <w:highlight w:val="none"/>
                      <w:lang w:val="en-US" w:eastAsia="zh-CN" w:bidi="ar-SA"/>
                    </w:rPr>
                  </w:pPr>
                  <w:r>
                    <w:rPr>
                      <w:rFonts w:hint="eastAsia" w:ascii="Times New Roman" w:hAnsi="Times New Roman" w:eastAsia="宋体" w:cs="Times New Roman"/>
                      <w:sz w:val="18"/>
                      <w:szCs w:val="18"/>
                      <w:highlight w:val="none"/>
                    </w:rPr>
                    <w:t>7</w:t>
                  </w:r>
                </w:p>
              </w:tc>
              <w:tc>
                <w:tcPr>
                  <w:tcW w:w="878" w:type="dxa"/>
                  <w:tcBorders>
                    <w:top w:val="single" w:color="auto" w:sz="4" w:space="0"/>
                    <w:left w:val="single" w:color="auto" w:sz="4" w:space="0"/>
                    <w:bottom w:val="single" w:color="auto" w:sz="4" w:space="0"/>
                    <w:right w:val="single" w:color="auto" w:sz="4" w:space="0"/>
                  </w:tcBorders>
                  <w:shd w:val="clear" w:color="auto" w:fill="auto"/>
                  <w:tcMar>
                    <w:left w:w="57" w:type="dxa"/>
                    <w:right w:w="57" w:type="dxa"/>
                  </w:tcMar>
                  <w:vAlign w:val="center"/>
                </w:tcPr>
                <w:p w14:paraId="3EAB3A02">
                  <w:pPr>
                    <w:keepNext w:val="0"/>
                    <w:keepLines w:val="0"/>
                    <w:pageBreakBefore w:val="0"/>
                    <w:suppressLineNumbers w:val="0"/>
                    <w:kinsoku/>
                    <w:wordWrap/>
                    <w:overflowPunct/>
                    <w:topLinePunct w:val="0"/>
                    <w:autoSpaceDE/>
                    <w:autoSpaceDN/>
                    <w:bidi w:val="0"/>
                    <w:adjustRightInd w:val="0"/>
                    <w:snapToGrid w:val="0"/>
                    <w:spacing w:before="0" w:beforeAutospacing="0" w:after="0" w:afterAutospacing="0" w:line="276" w:lineRule="auto"/>
                    <w:ind w:left="0" w:right="0"/>
                    <w:jc w:val="center"/>
                    <w:textAlignment w:val="auto"/>
                    <w:rPr>
                      <w:rFonts w:hint="eastAsia" w:ascii="Times New Roman" w:hAnsi="Times New Roman" w:eastAsia="宋体" w:cs="Times New Roman"/>
                      <w:kern w:val="2"/>
                      <w:sz w:val="18"/>
                      <w:szCs w:val="18"/>
                      <w:highlight w:val="none"/>
                      <w:lang w:val="en-US" w:eastAsia="zh-CN" w:bidi="ar-SA"/>
                    </w:rPr>
                  </w:pPr>
                  <w:r>
                    <w:rPr>
                      <w:rFonts w:hint="eastAsia" w:ascii="Times New Roman" w:hAnsi="Times New Roman" w:eastAsia="宋体" w:cs="Times New Roman"/>
                      <w:sz w:val="18"/>
                      <w:szCs w:val="18"/>
                      <w:highlight w:val="none"/>
                    </w:rPr>
                    <w:t>废RO膜</w:t>
                  </w:r>
                </w:p>
              </w:tc>
              <w:tc>
                <w:tcPr>
                  <w:tcW w:w="1058" w:type="dxa"/>
                  <w:tcBorders>
                    <w:top w:val="single" w:color="auto" w:sz="4" w:space="0"/>
                    <w:left w:val="single" w:color="auto" w:sz="4" w:space="0"/>
                    <w:bottom w:val="single" w:color="auto" w:sz="4" w:space="0"/>
                    <w:right w:val="single" w:color="auto" w:sz="4" w:space="0"/>
                  </w:tcBorders>
                  <w:shd w:val="clear" w:color="auto" w:fill="auto"/>
                  <w:tcMar>
                    <w:left w:w="57" w:type="dxa"/>
                    <w:right w:w="57" w:type="dxa"/>
                  </w:tcMar>
                  <w:vAlign w:val="center"/>
                </w:tcPr>
                <w:p w14:paraId="0EE9971F">
                  <w:pPr>
                    <w:keepNext w:val="0"/>
                    <w:keepLines w:val="0"/>
                    <w:pageBreakBefore w:val="0"/>
                    <w:suppressLineNumbers w:val="0"/>
                    <w:kinsoku/>
                    <w:wordWrap/>
                    <w:overflowPunct/>
                    <w:topLinePunct w:val="0"/>
                    <w:autoSpaceDE/>
                    <w:autoSpaceDN/>
                    <w:bidi w:val="0"/>
                    <w:adjustRightInd w:val="0"/>
                    <w:snapToGrid w:val="0"/>
                    <w:spacing w:before="0" w:beforeAutospacing="0" w:after="0" w:afterAutospacing="0" w:line="276" w:lineRule="auto"/>
                    <w:ind w:left="0" w:right="0"/>
                    <w:jc w:val="center"/>
                    <w:rPr>
                      <w:rFonts w:hint="default" w:ascii="Times New Roman" w:hAnsi="Times New Roman" w:eastAsia="宋体" w:cs="Times New Roman"/>
                      <w:kern w:val="2"/>
                      <w:sz w:val="18"/>
                      <w:szCs w:val="18"/>
                      <w:highlight w:val="none"/>
                      <w:lang w:val="en-US" w:eastAsia="zh-CN" w:bidi="ar-SA"/>
                    </w:rPr>
                  </w:pPr>
                  <w:r>
                    <w:rPr>
                      <w:rFonts w:hint="eastAsia" w:ascii="Times New Roman" w:hAnsi="Times New Roman" w:eastAsia="宋体" w:cs="Times New Roman"/>
                      <w:sz w:val="18"/>
                      <w:szCs w:val="18"/>
                      <w:highlight w:val="none"/>
                      <w:lang w:val="en-US" w:eastAsia="zh-CN"/>
                    </w:rPr>
                    <w:t>RO膜、杂质</w:t>
                  </w:r>
                </w:p>
              </w:tc>
              <w:tc>
                <w:tcPr>
                  <w:tcW w:w="581" w:type="dxa"/>
                  <w:tcBorders>
                    <w:top w:val="single" w:color="auto" w:sz="4" w:space="0"/>
                    <w:left w:val="single" w:color="auto" w:sz="4" w:space="0"/>
                    <w:bottom w:val="single" w:color="auto" w:sz="4" w:space="0"/>
                    <w:right w:val="single" w:color="auto" w:sz="4" w:space="0"/>
                  </w:tcBorders>
                  <w:shd w:val="clear" w:color="auto" w:fill="auto"/>
                  <w:tcMar>
                    <w:left w:w="57" w:type="dxa"/>
                    <w:right w:w="57" w:type="dxa"/>
                  </w:tcMar>
                  <w:vAlign w:val="center"/>
                </w:tcPr>
                <w:p w14:paraId="4DE7DFA1">
                  <w:pPr>
                    <w:keepNext w:val="0"/>
                    <w:keepLines w:val="0"/>
                    <w:pageBreakBefore w:val="0"/>
                    <w:suppressLineNumbers w:val="0"/>
                    <w:kinsoku/>
                    <w:wordWrap/>
                    <w:overflowPunct/>
                    <w:topLinePunct w:val="0"/>
                    <w:autoSpaceDE/>
                    <w:autoSpaceDN/>
                    <w:bidi w:val="0"/>
                    <w:adjustRightInd w:val="0"/>
                    <w:snapToGrid w:val="0"/>
                    <w:spacing w:before="0" w:beforeAutospacing="0" w:after="0" w:afterAutospacing="0" w:line="276" w:lineRule="auto"/>
                    <w:ind w:left="0" w:right="0"/>
                    <w:jc w:val="center"/>
                    <w:rPr>
                      <w:rFonts w:hint="eastAsia" w:ascii="Times New Roman" w:hAnsi="Times New Roman" w:eastAsia="宋体" w:cs="Times New Roman"/>
                      <w:kern w:val="2"/>
                      <w:sz w:val="18"/>
                      <w:szCs w:val="18"/>
                      <w:highlight w:val="none"/>
                      <w:lang w:val="en-US" w:eastAsia="zh-CN" w:bidi="ar-SA"/>
                    </w:rPr>
                  </w:pPr>
                  <w:r>
                    <w:rPr>
                      <w:rFonts w:hint="eastAsia" w:ascii="Times New Roman" w:hAnsi="Times New Roman" w:eastAsia="宋体" w:cs="Times New Roman"/>
                      <w:sz w:val="18"/>
                      <w:szCs w:val="18"/>
                      <w:highlight w:val="none"/>
                    </w:rPr>
                    <w:t>固态</w:t>
                  </w:r>
                </w:p>
              </w:tc>
              <w:tc>
                <w:tcPr>
                  <w:tcW w:w="1082" w:type="dxa"/>
                  <w:tcBorders>
                    <w:top w:val="single" w:color="auto" w:sz="4" w:space="0"/>
                    <w:left w:val="single" w:color="auto" w:sz="4" w:space="0"/>
                    <w:bottom w:val="single" w:color="auto" w:sz="4" w:space="0"/>
                    <w:right w:val="single" w:color="auto" w:sz="4" w:space="0"/>
                  </w:tcBorders>
                  <w:shd w:val="clear" w:color="auto" w:fill="auto"/>
                  <w:tcMar>
                    <w:left w:w="57" w:type="dxa"/>
                    <w:right w:w="57" w:type="dxa"/>
                  </w:tcMar>
                  <w:vAlign w:val="center"/>
                </w:tcPr>
                <w:p w14:paraId="302BFBA4">
                  <w:pPr>
                    <w:keepNext w:val="0"/>
                    <w:keepLines w:val="0"/>
                    <w:pageBreakBefore w:val="0"/>
                    <w:suppressLineNumbers w:val="0"/>
                    <w:kinsoku/>
                    <w:wordWrap/>
                    <w:overflowPunct/>
                    <w:topLinePunct w:val="0"/>
                    <w:autoSpaceDE/>
                    <w:autoSpaceDN/>
                    <w:bidi w:val="0"/>
                    <w:adjustRightInd w:val="0"/>
                    <w:snapToGrid w:val="0"/>
                    <w:spacing w:before="0" w:beforeAutospacing="0" w:after="0" w:afterAutospacing="0" w:line="276" w:lineRule="auto"/>
                    <w:ind w:left="0" w:right="0"/>
                    <w:jc w:val="center"/>
                    <w:rPr>
                      <w:rFonts w:hint="eastAsia" w:ascii="Times New Roman" w:hAnsi="Times New Roman" w:eastAsia="宋体" w:cs="Times New Roman"/>
                      <w:kern w:val="2"/>
                      <w:sz w:val="18"/>
                      <w:szCs w:val="18"/>
                      <w:highlight w:val="none"/>
                      <w:lang w:val="en-US" w:eastAsia="zh-CN" w:bidi="ar-SA"/>
                    </w:rPr>
                  </w:pPr>
                  <w:r>
                    <w:rPr>
                      <w:rFonts w:hint="eastAsia" w:ascii="Times New Roman" w:hAnsi="Times New Roman" w:eastAsia="宋体" w:cs="Times New Roman"/>
                      <w:sz w:val="18"/>
                      <w:szCs w:val="18"/>
                      <w:highlight w:val="none"/>
                    </w:rPr>
                    <w:t>一般</w:t>
                  </w:r>
                  <w:r>
                    <w:rPr>
                      <w:rFonts w:hint="eastAsia" w:ascii="Times New Roman" w:hAnsi="Times New Roman" w:eastAsia="宋体" w:cs="Times New Roman"/>
                      <w:sz w:val="18"/>
                      <w:szCs w:val="18"/>
                      <w:highlight w:val="none"/>
                      <w:lang w:val="en-US" w:eastAsia="zh-CN"/>
                    </w:rPr>
                    <w:t>固废</w:t>
                  </w:r>
                  <w:r>
                    <w:rPr>
                      <w:rFonts w:hint="eastAsia" w:ascii="Times New Roman" w:hAnsi="Times New Roman" w:eastAsia="宋体" w:cs="Times New Roman"/>
                      <w:sz w:val="18"/>
                      <w:szCs w:val="18"/>
                      <w:highlight w:val="none"/>
                    </w:rPr>
                    <w:t>，</w:t>
                  </w:r>
                  <w:r>
                    <w:rPr>
                      <w:rFonts w:hint="default" w:ascii="Times New Roman" w:hAnsi="Times New Roman" w:eastAsia="宋体" w:cs="Times New Roman"/>
                      <w:color w:val="auto"/>
                      <w:sz w:val="18"/>
                      <w:szCs w:val="18"/>
                      <w:highlight w:val="none"/>
                    </w:rPr>
                    <w:t>900-009-S59</w:t>
                  </w:r>
                </w:p>
              </w:tc>
              <w:tc>
                <w:tcPr>
                  <w:tcW w:w="895" w:type="dxa"/>
                  <w:tcBorders>
                    <w:top w:val="single" w:color="auto" w:sz="4" w:space="0"/>
                    <w:left w:val="single" w:color="auto" w:sz="4" w:space="0"/>
                    <w:bottom w:val="single" w:color="auto" w:sz="4" w:space="0"/>
                    <w:right w:val="single" w:color="auto" w:sz="4" w:space="0"/>
                  </w:tcBorders>
                  <w:shd w:val="clear" w:color="auto" w:fill="auto"/>
                  <w:tcMar>
                    <w:left w:w="57" w:type="dxa"/>
                    <w:right w:w="57" w:type="dxa"/>
                  </w:tcMar>
                  <w:vAlign w:val="center"/>
                </w:tcPr>
                <w:p w14:paraId="4D9D9CA2">
                  <w:pPr>
                    <w:keepNext w:val="0"/>
                    <w:keepLines w:val="0"/>
                    <w:pageBreakBefore w:val="0"/>
                    <w:suppressLineNumbers w:val="0"/>
                    <w:kinsoku/>
                    <w:wordWrap/>
                    <w:overflowPunct/>
                    <w:topLinePunct w:val="0"/>
                    <w:autoSpaceDE/>
                    <w:autoSpaceDN/>
                    <w:bidi w:val="0"/>
                    <w:adjustRightInd w:val="0"/>
                    <w:snapToGrid w:val="0"/>
                    <w:spacing w:before="0" w:beforeAutospacing="0" w:after="0" w:afterAutospacing="0" w:line="276" w:lineRule="auto"/>
                    <w:ind w:left="0" w:right="0"/>
                    <w:jc w:val="center"/>
                    <w:rPr>
                      <w:rFonts w:hint="eastAsia" w:ascii="Times New Roman" w:hAnsi="Times New Roman" w:eastAsia="宋体" w:cs="Times New Roman"/>
                      <w:kern w:val="2"/>
                      <w:sz w:val="18"/>
                      <w:szCs w:val="18"/>
                      <w:highlight w:val="none"/>
                      <w:lang w:val="en-US" w:eastAsia="zh-CN" w:bidi="ar-SA"/>
                    </w:rPr>
                  </w:pPr>
                  <w:r>
                    <w:rPr>
                      <w:rFonts w:hint="eastAsia" w:ascii="Times New Roman" w:hAnsi="Times New Roman" w:eastAsia="宋体" w:cs="Times New Roman"/>
                      <w:sz w:val="18"/>
                      <w:szCs w:val="18"/>
                      <w:highlight w:val="none"/>
                    </w:rPr>
                    <w:t>/</w:t>
                  </w:r>
                </w:p>
              </w:tc>
              <w:tc>
                <w:tcPr>
                  <w:tcW w:w="675" w:type="dxa"/>
                  <w:tcBorders>
                    <w:top w:val="single" w:color="auto" w:sz="4" w:space="0"/>
                    <w:left w:val="single" w:color="auto" w:sz="4" w:space="0"/>
                    <w:bottom w:val="single" w:color="auto" w:sz="4" w:space="0"/>
                    <w:right w:val="single" w:color="auto" w:sz="4" w:space="0"/>
                  </w:tcBorders>
                  <w:shd w:val="clear" w:color="auto" w:fill="auto"/>
                  <w:tcMar>
                    <w:left w:w="57" w:type="dxa"/>
                    <w:right w:w="57" w:type="dxa"/>
                  </w:tcMar>
                  <w:vAlign w:val="center"/>
                </w:tcPr>
                <w:p w14:paraId="5C90A1D4">
                  <w:pPr>
                    <w:keepNext w:val="0"/>
                    <w:keepLines w:val="0"/>
                    <w:pageBreakBefore w:val="0"/>
                    <w:suppressLineNumbers w:val="0"/>
                    <w:kinsoku/>
                    <w:wordWrap/>
                    <w:overflowPunct/>
                    <w:topLinePunct w:val="0"/>
                    <w:autoSpaceDE/>
                    <w:autoSpaceDN/>
                    <w:bidi w:val="0"/>
                    <w:adjustRightInd w:val="0"/>
                    <w:snapToGrid w:val="0"/>
                    <w:spacing w:before="0" w:beforeAutospacing="0" w:after="0" w:afterAutospacing="0" w:line="276" w:lineRule="auto"/>
                    <w:ind w:left="0" w:right="0"/>
                    <w:jc w:val="center"/>
                    <w:rPr>
                      <w:rFonts w:hint="eastAsia" w:ascii="Times New Roman" w:hAnsi="Times New Roman" w:eastAsia="宋体" w:cs="Times New Roman"/>
                      <w:kern w:val="2"/>
                      <w:sz w:val="18"/>
                      <w:szCs w:val="18"/>
                      <w:highlight w:val="none"/>
                      <w:lang w:val="en-US" w:eastAsia="zh-CN" w:bidi="ar-SA"/>
                    </w:rPr>
                  </w:pPr>
                  <w:r>
                    <w:rPr>
                      <w:rFonts w:hint="eastAsia" w:ascii="Times New Roman" w:hAnsi="Times New Roman" w:eastAsia="宋体" w:cs="Times New Roman"/>
                      <w:sz w:val="18"/>
                      <w:szCs w:val="18"/>
                      <w:highlight w:val="none"/>
                    </w:rPr>
                    <w:t>/</w:t>
                  </w:r>
                </w:p>
              </w:tc>
              <w:tc>
                <w:tcPr>
                  <w:tcW w:w="653" w:type="dxa"/>
                  <w:tcBorders>
                    <w:top w:val="single" w:color="auto" w:sz="4" w:space="0"/>
                    <w:left w:val="single" w:color="auto" w:sz="4" w:space="0"/>
                    <w:bottom w:val="single" w:color="auto" w:sz="4" w:space="0"/>
                    <w:right w:val="single" w:color="auto" w:sz="4" w:space="0"/>
                  </w:tcBorders>
                  <w:shd w:val="clear" w:color="auto" w:fill="auto"/>
                  <w:tcMar>
                    <w:left w:w="57" w:type="dxa"/>
                    <w:right w:w="57" w:type="dxa"/>
                  </w:tcMar>
                  <w:vAlign w:val="center"/>
                </w:tcPr>
                <w:p w14:paraId="6BEA55ED">
                  <w:pPr>
                    <w:keepNext w:val="0"/>
                    <w:keepLines w:val="0"/>
                    <w:pageBreakBefore w:val="0"/>
                    <w:suppressLineNumbers w:val="0"/>
                    <w:kinsoku/>
                    <w:wordWrap/>
                    <w:overflowPunct/>
                    <w:topLinePunct w:val="0"/>
                    <w:autoSpaceDE/>
                    <w:autoSpaceDN/>
                    <w:bidi w:val="0"/>
                    <w:adjustRightInd w:val="0"/>
                    <w:snapToGrid w:val="0"/>
                    <w:spacing w:before="0" w:beforeAutospacing="0" w:after="0" w:afterAutospacing="0" w:line="276" w:lineRule="auto"/>
                    <w:ind w:left="0" w:right="0"/>
                    <w:jc w:val="center"/>
                    <w:rPr>
                      <w:rFonts w:hint="default" w:ascii="Times New Roman" w:hAnsi="Times New Roman" w:eastAsia="宋体" w:cs="Times New Roman"/>
                      <w:color w:val="auto"/>
                      <w:kern w:val="2"/>
                      <w:sz w:val="18"/>
                      <w:szCs w:val="18"/>
                      <w:highlight w:val="none"/>
                      <w:lang w:val="en-US" w:eastAsia="zh-CN" w:bidi="ar-SA"/>
                    </w:rPr>
                  </w:pPr>
                  <w:r>
                    <w:rPr>
                      <w:rFonts w:hint="eastAsia" w:ascii="Times New Roman" w:hAnsi="Times New Roman" w:eastAsia="宋体" w:cs="Times New Roman"/>
                      <w:color w:val="auto"/>
                      <w:kern w:val="2"/>
                      <w:sz w:val="18"/>
                      <w:szCs w:val="18"/>
                      <w:highlight w:val="none"/>
                      <w:lang w:val="en-US" w:eastAsia="zh-CN" w:bidi="ar-SA"/>
                    </w:rPr>
                    <w:t>0.2</w:t>
                  </w:r>
                </w:p>
              </w:tc>
              <w:tc>
                <w:tcPr>
                  <w:tcW w:w="794" w:type="dxa"/>
                  <w:tcBorders>
                    <w:top w:val="single" w:color="auto" w:sz="4" w:space="0"/>
                    <w:left w:val="single" w:color="auto" w:sz="4" w:space="0"/>
                    <w:bottom w:val="single" w:color="auto" w:sz="4" w:space="0"/>
                    <w:right w:val="single" w:color="auto" w:sz="4" w:space="0"/>
                  </w:tcBorders>
                  <w:shd w:val="clear" w:color="auto" w:fill="auto"/>
                  <w:tcMar>
                    <w:left w:w="57" w:type="dxa"/>
                    <w:right w:w="57" w:type="dxa"/>
                  </w:tcMar>
                  <w:vAlign w:val="center"/>
                </w:tcPr>
                <w:p w14:paraId="2899399F">
                  <w:pPr>
                    <w:keepNext w:val="0"/>
                    <w:keepLines w:val="0"/>
                    <w:pageBreakBefore w:val="0"/>
                    <w:suppressLineNumbers w:val="0"/>
                    <w:kinsoku/>
                    <w:wordWrap/>
                    <w:overflowPunct/>
                    <w:topLinePunct w:val="0"/>
                    <w:autoSpaceDE/>
                    <w:autoSpaceDN/>
                    <w:bidi w:val="0"/>
                    <w:adjustRightInd w:val="0"/>
                    <w:snapToGrid w:val="0"/>
                    <w:spacing w:before="0" w:beforeAutospacing="0" w:after="0" w:afterAutospacing="0" w:line="276" w:lineRule="auto"/>
                    <w:ind w:left="0" w:right="0"/>
                    <w:jc w:val="center"/>
                    <w:rPr>
                      <w:rFonts w:hint="eastAsia" w:ascii="Times New Roman" w:hAnsi="Times New Roman" w:eastAsia="宋体" w:cs="Times New Roman"/>
                      <w:kern w:val="2"/>
                      <w:sz w:val="18"/>
                      <w:szCs w:val="18"/>
                      <w:highlight w:val="none"/>
                      <w:lang w:val="en-US" w:eastAsia="zh-CN" w:bidi="ar-SA"/>
                    </w:rPr>
                  </w:pPr>
                  <w:r>
                    <w:rPr>
                      <w:rFonts w:hint="eastAsia" w:ascii="Times New Roman" w:hAnsi="Times New Roman" w:eastAsia="宋体" w:cs="Times New Roman"/>
                      <w:sz w:val="18"/>
                      <w:szCs w:val="18"/>
                      <w:highlight w:val="none"/>
                    </w:rPr>
                    <w:t>袋装，集中堆放</w:t>
                  </w:r>
                </w:p>
              </w:tc>
              <w:tc>
                <w:tcPr>
                  <w:tcW w:w="705" w:type="dxa"/>
                  <w:vMerge w:val="continue"/>
                  <w:tcBorders>
                    <w:left w:val="single" w:color="auto" w:sz="4" w:space="0"/>
                    <w:right w:val="single" w:color="auto" w:sz="4" w:space="0"/>
                  </w:tcBorders>
                  <w:shd w:val="clear" w:color="auto" w:fill="auto"/>
                  <w:tcMar>
                    <w:left w:w="57" w:type="dxa"/>
                    <w:right w:w="57" w:type="dxa"/>
                  </w:tcMar>
                  <w:vAlign w:val="center"/>
                </w:tcPr>
                <w:p w14:paraId="6021AF84">
                  <w:pPr>
                    <w:keepNext w:val="0"/>
                    <w:keepLines w:val="0"/>
                    <w:pageBreakBefore w:val="0"/>
                    <w:suppressLineNumbers w:val="0"/>
                    <w:kinsoku/>
                    <w:wordWrap/>
                    <w:overflowPunct/>
                    <w:topLinePunct w:val="0"/>
                    <w:autoSpaceDE/>
                    <w:autoSpaceDN/>
                    <w:bidi w:val="0"/>
                    <w:adjustRightInd w:val="0"/>
                    <w:snapToGrid w:val="0"/>
                    <w:spacing w:before="0" w:beforeAutospacing="0" w:after="0" w:afterAutospacing="0" w:line="276" w:lineRule="auto"/>
                    <w:ind w:left="0" w:right="0"/>
                    <w:jc w:val="center"/>
                    <w:rPr>
                      <w:rFonts w:hint="eastAsia" w:ascii="Times New Roman" w:hAnsi="Times New Roman" w:eastAsia="宋体" w:cs="Times New Roman"/>
                      <w:kern w:val="2"/>
                      <w:sz w:val="18"/>
                      <w:szCs w:val="18"/>
                      <w:highlight w:val="none"/>
                      <w:lang w:val="en-US" w:eastAsia="zh-CN" w:bidi="ar-SA"/>
                    </w:rPr>
                  </w:pPr>
                </w:p>
              </w:tc>
              <w:tc>
                <w:tcPr>
                  <w:tcW w:w="626" w:type="dxa"/>
                  <w:tcBorders>
                    <w:top w:val="single" w:color="auto" w:sz="4" w:space="0"/>
                    <w:left w:val="single" w:color="auto" w:sz="4" w:space="0"/>
                    <w:bottom w:val="single" w:color="auto" w:sz="4" w:space="0"/>
                    <w:right w:val="single" w:color="auto" w:sz="4" w:space="0"/>
                  </w:tcBorders>
                  <w:shd w:val="clear" w:color="auto" w:fill="auto"/>
                  <w:tcMar>
                    <w:left w:w="57" w:type="dxa"/>
                    <w:right w:w="57" w:type="dxa"/>
                  </w:tcMar>
                  <w:vAlign w:val="center"/>
                </w:tcPr>
                <w:p w14:paraId="5D5DB8DD">
                  <w:pPr>
                    <w:keepNext w:val="0"/>
                    <w:keepLines w:val="0"/>
                    <w:pageBreakBefore w:val="0"/>
                    <w:suppressLineNumbers w:val="0"/>
                    <w:kinsoku/>
                    <w:wordWrap/>
                    <w:overflowPunct/>
                    <w:topLinePunct w:val="0"/>
                    <w:autoSpaceDE/>
                    <w:autoSpaceDN/>
                    <w:bidi w:val="0"/>
                    <w:adjustRightInd w:val="0"/>
                    <w:snapToGrid w:val="0"/>
                    <w:spacing w:before="0" w:beforeAutospacing="0" w:after="0" w:afterAutospacing="0" w:line="276" w:lineRule="auto"/>
                    <w:ind w:left="0" w:right="0"/>
                    <w:jc w:val="center"/>
                    <w:rPr>
                      <w:rFonts w:hint="eastAsia" w:ascii="Times New Roman" w:hAnsi="Times New Roman" w:eastAsia="宋体" w:cs="Times New Roman"/>
                      <w:color w:val="auto"/>
                      <w:kern w:val="2"/>
                      <w:sz w:val="18"/>
                      <w:szCs w:val="18"/>
                      <w:highlight w:val="none"/>
                      <w:lang w:val="en-US" w:eastAsia="zh-CN" w:bidi="ar-SA"/>
                    </w:rPr>
                  </w:pPr>
                  <w:r>
                    <w:rPr>
                      <w:rFonts w:hint="eastAsia" w:ascii="Times New Roman" w:hAnsi="Times New Roman" w:eastAsia="宋体" w:cs="Times New Roman"/>
                      <w:color w:val="auto"/>
                      <w:kern w:val="2"/>
                      <w:sz w:val="18"/>
                      <w:szCs w:val="18"/>
                      <w:highlight w:val="none"/>
                      <w:lang w:val="en-US" w:eastAsia="zh-CN" w:bidi="ar-SA"/>
                    </w:rPr>
                    <w:t>0.2</w:t>
                  </w:r>
                </w:p>
              </w:tc>
            </w:tr>
            <w:tr w14:paraId="68FD46F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jc w:val="center"/>
              </w:trPr>
              <w:tc>
                <w:tcPr>
                  <w:tcW w:w="307" w:type="dxa"/>
                  <w:tcBorders>
                    <w:top w:val="single" w:color="auto" w:sz="4" w:space="0"/>
                    <w:left w:val="single" w:color="auto" w:sz="4" w:space="0"/>
                    <w:bottom w:val="single" w:color="auto" w:sz="4" w:space="0"/>
                    <w:right w:val="single" w:color="auto" w:sz="4" w:space="0"/>
                  </w:tcBorders>
                  <w:shd w:val="clear" w:color="auto" w:fill="auto"/>
                  <w:tcMar>
                    <w:left w:w="57" w:type="dxa"/>
                    <w:right w:w="57" w:type="dxa"/>
                  </w:tcMar>
                  <w:vAlign w:val="center"/>
                </w:tcPr>
                <w:p w14:paraId="504BA430">
                  <w:pPr>
                    <w:keepNext w:val="0"/>
                    <w:keepLines w:val="0"/>
                    <w:pageBreakBefore w:val="0"/>
                    <w:suppressLineNumbers w:val="0"/>
                    <w:kinsoku/>
                    <w:wordWrap/>
                    <w:overflowPunct/>
                    <w:topLinePunct w:val="0"/>
                    <w:autoSpaceDE/>
                    <w:autoSpaceDN/>
                    <w:bidi w:val="0"/>
                    <w:adjustRightInd w:val="0"/>
                    <w:snapToGrid w:val="0"/>
                    <w:spacing w:before="0" w:beforeAutospacing="0" w:after="0" w:afterAutospacing="0" w:line="276" w:lineRule="auto"/>
                    <w:ind w:left="0" w:leftChars="0" w:right="0" w:rightChars="0"/>
                    <w:jc w:val="center"/>
                    <w:rPr>
                      <w:rFonts w:hint="eastAsia" w:ascii="Times New Roman" w:hAnsi="Times New Roman" w:eastAsia="宋体" w:cs="Times New Roman"/>
                      <w:kern w:val="2"/>
                      <w:sz w:val="18"/>
                      <w:szCs w:val="18"/>
                      <w:highlight w:val="none"/>
                      <w:lang w:val="en-US" w:eastAsia="zh-CN" w:bidi="ar-SA"/>
                    </w:rPr>
                  </w:pPr>
                  <w:r>
                    <w:rPr>
                      <w:rFonts w:hint="eastAsia" w:ascii="Times New Roman" w:hAnsi="Times New Roman" w:eastAsia="宋体" w:cs="Times New Roman"/>
                      <w:sz w:val="18"/>
                      <w:szCs w:val="18"/>
                      <w:highlight w:val="none"/>
                    </w:rPr>
                    <w:t>8</w:t>
                  </w:r>
                </w:p>
              </w:tc>
              <w:tc>
                <w:tcPr>
                  <w:tcW w:w="878" w:type="dxa"/>
                  <w:tcBorders>
                    <w:top w:val="single" w:color="auto" w:sz="4" w:space="0"/>
                    <w:left w:val="single" w:color="auto" w:sz="4" w:space="0"/>
                    <w:bottom w:val="single" w:color="auto" w:sz="4" w:space="0"/>
                    <w:right w:val="single" w:color="auto" w:sz="4" w:space="0"/>
                  </w:tcBorders>
                  <w:tcMar>
                    <w:left w:w="57" w:type="dxa"/>
                    <w:right w:w="57" w:type="dxa"/>
                  </w:tcMar>
                  <w:vAlign w:val="center"/>
                </w:tcPr>
                <w:p w14:paraId="2793643F">
                  <w:pPr>
                    <w:keepNext w:val="0"/>
                    <w:keepLines w:val="0"/>
                    <w:pageBreakBefore w:val="0"/>
                    <w:suppressLineNumbers w:val="0"/>
                    <w:kinsoku/>
                    <w:wordWrap/>
                    <w:overflowPunct/>
                    <w:topLinePunct w:val="0"/>
                    <w:autoSpaceDE/>
                    <w:autoSpaceDN/>
                    <w:bidi w:val="0"/>
                    <w:adjustRightInd w:val="0"/>
                    <w:snapToGrid w:val="0"/>
                    <w:spacing w:before="0" w:beforeAutospacing="0" w:after="0" w:afterAutospacing="0" w:line="276" w:lineRule="auto"/>
                    <w:ind w:left="0" w:right="0"/>
                    <w:jc w:val="center"/>
                    <w:textAlignment w:val="auto"/>
                    <w:rPr>
                      <w:rFonts w:hint="eastAsia" w:ascii="Times New Roman" w:hAnsi="Times New Roman" w:eastAsia="宋体" w:cs="Times New Roman"/>
                      <w:kern w:val="2"/>
                      <w:sz w:val="18"/>
                      <w:szCs w:val="18"/>
                      <w:highlight w:val="none"/>
                      <w:lang w:val="en-US" w:eastAsia="zh-CN" w:bidi="ar-SA"/>
                    </w:rPr>
                  </w:pPr>
                  <w:r>
                    <w:rPr>
                      <w:rFonts w:hint="eastAsia" w:ascii="Times New Roman" w:hAnsi="Times New Roman" w:eastAsia="宋体" w:cs="Times New Roman"/>
                      <w:color w:val="auto"/>
                      <w:sz w:val="18"/>
                      <w:szCs w:val="18"/>
                      <w:highlight w:val="none"/>
                    </w:rPr>
                    <w:t>净化</w:t>
                  </w:r>
                  <w:r>
                    <w:rPr>
                      <w:rFonts w:hint="default" w:ascii="Times New Roman" w:hAnsi="Times New Roman" w:eastAsia="宋体" w:cs="Times New Roman"/>
                      <w:color w:val="auto"/>
                      <w:sz w:val="18"/>
                      <w:szCs w:val="18"/>
                      <w:highlight w:val="none"/>
                    </w:rPr>
                    <w:t>空调系统</w:t>
                  </w:r>
                  <w:r>
                    <w:rPr>
                      <w:rFonts w:hint="eastAsia" w:ascii="Times New Roman" w:hAnsi="Times New Roman" w:eastAsia="宋体" w:cs="Times New Roman"/>
                      <w:color w:val="auto"/>
                      <w:sz w:val="18"/>
                      <w:szCs w:val="18"/>
                      <w:highlight w:val="none"/>
                    </w:rPr>
                    <w:t>废</w:t>
                  </w:r>
                  <w:r>
                    <w:rPr>
                      <w:rFonts w:hint="default" w:ascii="Times New Roman" w:hAnsi="Times New Roman" w:eastAsia="宋体" w:cs="Times New Roman"/>
                      <w:color w:val="auto"/>
                      <w:sz w:val="18"/>
                      <w:szCs w:val="18"/>
                      <w:highlight w:val="none"/>
                    </w:rPr>
                    <w:t>过滤材料</w:t>
                  </w:r>
                </w:p>
              </w:tc>
              <w:tc>
                <w:tcPr>
                  <w:tcW w:w="1058" w:type="dxa"/>
                  <w:tcBorders>
                    <w:top w:val="single" w:color="auto" w:sz="4" w:space="0"/>
                    <w:left w:val="single" w:color="auto" w:sz="4" w:space="0"/>
                    <w:bottom w:val="single" w:color="auto" w:sz="4" w:space="0"/>
                    <w:right w:val="single" w:color="auto" w:sz="4" w:space="0"/>
                  </w:tcBorders>
                  <w:tcMar>
                    <w:left w:w="57" w:type="dxa"/>
                    <w:right w:w="57" w:type="dxa"/>
                  </w:tcMar>
                  <w:vAlign w:val="center"/>
                </w:tcPr>
                <w:p w14:paraId="2D484AE2">
                  <w:pPr>
                    <w:keepNext w:val="0"/>
                    <w:keepLines w:val="0"/>
                    <w:pageBreakBefore w:val="0"/>
                    <w:suppressLineNumbers w:val="0"/>
                    <w:kinsoku/>
                    <w:wordWrap/>
                    <w:overflowPunct/>
                    <w:topLinePunct w:val="0"/>
                    <w:autoSpaceDE/>
                    <w:autoSpaceDN/>
                    <w:bidi w:val="0"/>
                    <w:adjustRightInd w:val="0"/>
                    <w:snapToGrid w:val="0"/>
                    <w:spacing w:before="0" w:beforeAutospacing="0" w:after="0" w:afterAutospacing="0" w:line="276" w:lineRule="auto"/>
                    <w:ind w:left="0" w:right="0"/>
                    <w:jc w:val="center"/>
                    <w:rPr>
                      <w:rFonts w:hint="default" w:ascii="Times New Roman" w:hAnsi="Times New Roman" w:eastAsia="宋体" w:cs="Times New Roman"/>
                      <w:sz w:val="18"/>
                      <w:szCs w:val="18"/>
                      <w:highlight w:val="none"/>
                      <w:lang w:val="en-US" w:eastAsia="zh-CN"/>
                    </w:rPr>
                  </w:pPr>
                  <w:r>
                    <w:rPr>
                      <w:rFonts w:hint="eastAsia" w:ascii="Times New Roman" w:hAnsi="Times New Roman" w:eastAsia="宋体" w:cs="Times New Roman"/>
                      <w:color w:val="auto"/>
                      <w:sz w:val="18"/>
                      <w:szCs w:val="18"/>
                      <w:highlight w:val="none"/>
                    </w:rPr>
                    <w:t>无纺布</w:t>
                  </w:r>
                  <w:r>
                    <w:rPr>
                      <w:rFonts w:hint="default" w:ascii="Times New Roman" w:hAnsi="Times New Roman" w:eastAsia="宋体" w:cs="Times New Roman"/>
                      <w:color w:val="auto"/>
                      <w:sz w:val="18"/>
                      <w:szCs w:val="18"/>
                      <w:highlight w:val="none"/>
                    </w:rPr>
                    <w:t>、</w:t>
                  </w:r>
                  <w:r>
                    <w:rPr>
                      <w:rFonts w:hint="eastAsia" w:ascii="Times New Roman" w:hAnsi="Times New Roman" w:eastAsia="宋体" w:cs="Times New Roman"/>
                      <w:color w:val="auto"/>
                      <w:sz w:val="18"/>
                      <w:szCs w:val="18"/>
                      <w:highlight w:val="none"/>
                    </w:rPr>
                    <w:t>玻璃</w:t>
                  </w:r>
                  <w:r>
                    <w:rPr>
                      <w:rFonts w:hint="default" w:ascii="Times New Roman" w:hAnsi="Times New Roman" w:eastAsia="宋体" w:cs="Times New Roman"/>
                      <w:color w:val="auto"/>
                      <w:sz w:val="18"/>
                      <w:szCs w:val="18"/>
                      <w:highlight w:val="none"/>
                    </w:rPr>
                    <w:t>纤维等</w:t>
                  </w:r>
                </w:p>
              </w:tc>
              <w:tc>
                <w:tcPr>
                  <w:tcW w:w="581" w:type="dxa"/>
                  <w:tcBorders>
                    <w:top w:val="single" w:color="auto" w:sz="4" w:space="0"/>
                    <w:left w:val="single" w:color="auto" w:sz="4" w:space="0"/>
                    <w:bottom w:val="single" w:color="auto" w:sz="4" w:space="0"/>
                    <w:right w:val="single" w:color="auto" w:sz="4" w:space="0"/>
                  </w:tcBorders>
                  <w:tcMar>
                    <w:left w:w="57" w:type="dxa"/>
                    <w:right w:w="57" w:type="dxa"/>
                  </w:tcMar>
                  <w:vAlign w:val="center"/>
                </w:tcPr>
                <w:p w14:paraId="391DBCF6">
                  <w:pPr>
                    <w:keepNext w:val="0"/>
                    <w:keepLines w:val="0"/>
                    <w:pageBreakBefore w:val="0"/>
                    <w:suppressLineNumbers w:val="0"/>
                    <w:kinsoku/>
                    <w:wordWrap/>
                    <w:overflowPunct/>
                    <w:topLinePunct w:val="0"/>
                    <w:autoSpaceDE/>
                    <w:autoSpaceDN/>
                    <w:bidi w:val="0"/>
                    <w:adjustRightInd w:val="0"/>
                    <w:snapToGrid w:val="0"/>
                    <w:spacing w:before="0" w:beforeAutospacing="0" w:after="0" w:afterAutospacing="0" w:line="276" w:lineRule="auto"/>
                    <w:ind w:left="0" w:right="0"/>
                    <w:jc w:val="center"/>
                    <w:rPr>
                      <w:rFonts w:hint="eastAsia" w:ascii="Times New Roman" w:hAnsi="Times New Roman" w:eastAsia="宋体" w:cs="Times New Roman"/>
                      <w:kern w:val="2"/>
                      <w:sz w:val="18"/>
                      <w:szCs w:val="18"/>
                      <w:highlight w:val="none"/>
                      <w:lang w:val="en-US" w:eastAsia="zh-CN" w:bidi="ar-SA"/>
                    </w:rPr>
                  </w:pPr>
                  <w:r>
                    <w:rPr>
                      <w:rFonts w:hint="eastAsia" w:ascii="Times New Roman" w:hAnsi="Times New Roman" w:eastAsia="宋体" w:cs="Times New Roman"/>
                      <w:sz w:val="18"/>
                      <w:szCs w:val="18"/>
                      <w:highlight w:val="none"/>
                    </w:rPr>
                    <w:t>固态</w:t>
                  </w:r>
                </w:p>
              </w:tc>
              <w:tc>
                <w:tcPr>
                  <w:tcW w:w="1082" w:type="dxa"/>
                  <w:tcBorders>
                    <w:top w:val="single" w:color="auto" w:sz="4" w:space="0"/>
                    <w:left w:val="single" w:color="auto" w:sz="4" w:space="0"/>
                    <w:bottom w:val="single" w:color="auto" w:sz="4" w:space="0"/>
                    <w:right w:val="single" w:color="auto" w:sz="4" w:space="0"/>
                  </w:tcBorders>
                  <w:tcMar>
                    <w:left w:w="57" w:type="dxa"/>
                    <w:right w:w="57" w:type="dxa"/>
                  </w:tcMar>
                  <w:vAlign w:val="center"/>
                </w:tcPr>
                <w:p w14:paraId="05646574">
                  <w:pPr>
                    <w:keepNext w:val="0"/>
                    <w:keepLines w:val="0"/>
                    <w:pageBreakBefore w:val="0"/>
                    <w:suppressLineNumbers w:val="0"/>
                    <w:kinsoku/>
                    <w:wordWrap/>
                    <w:overflowPunct/>
                    <w:topLinePunct w:val="0"/>
                    <w:autoSpaceDE/>
                    <w:autoSpaceDN/>
                    <w:bidi w:val="0"/>
                    <w:adjustRightInd w:val="0"/>
                    <w:snapToGrid w:val="0"/>
                    <w:spacing w:before="0" w:beforeAutospacing="0" w:after="0" w:afterAutospacing="0" w:line="276" w:lineRule="auto"/>
                    <w:ind w:left="0" w:right="0"/>
                    <w:jc w:val="center"/>
                    <w:rPr>
                      <w:rFonts w:hint="eastAsia" w:ascii="Times New Roman" w:hAnsi="Times New Roman" w:eastAsia="宋体" w:cs="Times New Roman"/>
                      <w:sz w:val="18"/>
                      <w:szCs w:val="18"/>
                      <w:highlight w:val="none"/>
                    </w:rPr>
                  </w:pPr>
                  <w:r>
                    <w:rPr>
                      <w:rFonts w:hint="eastAsia" w:ascii="Times New Roman" w:hAnsi="Times New Roman" w:eastAsia="宋体" w:cs="Times New Roman"/>
                      <w:sz w:val="18"/>
                      <w:szCs w:val="18"/>
                      <w:highlight w:val="none"/>
                    </w:rPr>
                    <w:t>一般</w:t>
                  </w:r>
                  <w:r>
                    <w:rPr>
                      <w:rFonts w:hint="eastAsia" w:ascii="Times New Roman" w:hAnsi="Times New Roman" w:eastAsia="宋体" w:cs="Times New Roman"/>
                      <w:sz w:val="18"/>
                      <w:szCs w:val="18"/>
                      <w:highlight w:val="none"/>
                      <w:lang w:val="en-US" w:eastAsia="zh-CN"/>
                    </w:rPr>
                    <w:t>固废，</w:t>
                  </w:r>
                  <w:r>
                    <w:rPr>
                      <w:rFonts w:hint="default" w:ascii="Times New Roman" w:hAnsi="Times New Roman" w:eastAsia="宋体" w:cs="Times New Roman"/>
                      <w:color w:val="auto"/>
                      <w:sz w:val="18"/>
                      <w:szCs w:val="18"/>
                      <w:highlight w:val="none"/>
                    </w:rPr>
                    <w:t>900-009-S59</w:t>
                  </w:r>
                </w:p>
              </w:tc>
              <w:tc>
                <w:tcPr>
                  <w:tcW w:w="895" w:type="dxa"/>
                  <w:tcBorders>
                    <w:top w:val="single" w:color="auto" w:sz="4" w:space="0"/>
                    <w:left w:val="single" w:color="auto" w:sz="4" w:space="0"/>
                    <w:bottom w:val="single" w:color="auto" w:sz="4" w:space="0"/>
                    <w:right w:val="single" w:color="auto" w:sz="4" w:space="0"/>
                  </w:tcBorders>
                  <w:shd w:val="clear" w:color="auto" w:fill="auto"/>
                  <w:tcMar>
                    <w:left w:w="57" w:type="dxa"/>
                    <w:right w:w="57" w:type="dxa"/>
                  </w:tcMar>
                  <w:vAlign w:val="center"/>
                </w:tcPr>
                <w:p w14:paraId="1E9FC8B4">
                  <w:pPr>
                    <w:keepNext w:val="0"/>
                    <w:keepLines w:val="0"/>
                    <w:pageBreakBefore w:val="0"/>
                    <w:suppressLineNumbers w:val="0"/>
                    <w:kinsoku/>
                    <w:wordWrap/>
                    <w:overflowPunct/>
                    <w:topLinePunct w:val="0"/>
                    <w:autoSpaceDE/>
                    <w:autoSpaceDN/>
                    <w:bidi w:val="0"/>
                    <w:adjustRightInd w:val="0"/>
                    <w:snapToGrid w:val="0"/>
                    <w:spacing w:before="0" w:beforeAutospacing="0" w:after="0" w:afterAutospacing="0" w:line="276" w:lineRule="auto"/>
                    <w:ind w:left="0" w:right="0"/>
                    <w:jc w:val="center"/>
                    <w:rPr>
                      <w:rFonts w:hint="eastAsia" w:ascii="Times New Roman" w:hAnsi="Times New Roman" w:eastAsia="宋体" w:cs="Times New Roman"/>
                      <w:kern w:val="2"/>
                      <w:sz w:val="18"/>
                      <w:szCs w:val="18"/>
                      <w:highlight w:val="none"/>
                      <w:lang w:val="en-US" w:eastAsia="zh-CN" w:bidi="ar-SA"/>
                    </w:rPr>
                  </w:pPr>
                  <w:r>
                    <w:rPr>
                      <w:rFonts w:hint="eastAsia" w:ascii="Times New Roman" w:hAnsi="Times New Roman" w:eastAsia="宋体" w:cs="Times New Roman"/>
                      <w:sz w:val="18"/>
                      <w:szCs w:val="18"/>
                      <w:highlight w:val="none"/>
                    </w:rPr>
                    <w:t>/</w:t>
                  </w:r>
                </w:p>
              </w:tc>
              <w:tc>
                <w:tcPr>
                  <w:tcW w:w="675" w:type="dxa"/>
                  <w:tcBorders>
                    <w:top w:val="single" w:color="auto" w:sz="4" w:space="0"/>
                    <w:left w:val="single" w:color="auto" w:sz="4" w:space="0"/>
                    <w:bottom w:val="single" w:color="auto" w:sz="4" w:space="0"/>
                    <w:right w:val="single" w:color="auto" w:sz="4" w:space="0"/>
                  </w:tcBorders>
                  <w:shd w:val="clear" w:color="auto" w:fill="auto"/>
                  <w:tcMar>
                    <w:left w:w="57" w:type="dxa"/>
                    <w:right w:w="57" w:type="dxa"/>
                  </w:tcMar>
                  <w:vAlign w:val="center"/>
                </w:tcPr>
                <w:p w14:paraId="5759D353">
                  <w:pPr>
                    <w:keepNext w:val="0"/>
                    <w:keepLines w:val="0"/>
                    <w:pageBreakBefore w:val="0"/>
                    <w:suppressLineNumbers w:val="0"/>
                    <w:kinsoku/>
                    <w:wordWrap/>
                    <w:overflowPunct/>
                    <w:topLinePunct w:val="0"/>
                    <w:autoSpaceDE/>
                    <w:autoSpaceDN/>
                    <w:bidi w:val="0"/>
                    <w:adjustRightInd w:val="0"/>
                    <w:snapToGrid w:val="0"/>
                    <w:spacing w:before="0" w:beforeAutospacing="0" w:after="0" w:afterAutospacing="0" w:line="276" w:lineRule="auto"/>
                    <w:ind w:left="0" w:right="0"/>
                    <w:jc w:val="center"/>
                    <w:rPr>
                      <w:rFonts w:hint="eastAsia" w:ascii="Times New Roman" w:hAnsi="Times New Roman" w:eastAsia="宋体" w:cs="Times New Roman"/>
                      <w:kern w:val="2"/>
                      <w:sz w:val="18"/>
                      <w:szCs w:val="18"/>
                      <w:highlight w:val="none"/>
                      <w:lang w:val="en-US" w:eastAsia="zh-CN" w:bidi="ar-SA"/>
                    </w:rPr>
                  </w:pPr>
                  <w:r>
                    <w:rPr>
                      <w:rFonts w:hint="eastAsia" w:ascii="Times New Roman" w:hAnsi="Times New Roman" w:eastAsia="宋体" w:cs="Times New Roman"/>
                      <w:sz w:val="18"/>
                      <w:szCs w:val="18"/>
                      <w:highlight w:val="none"/>
                    </w:rPr>
                    <w:t>/</w:t>
                  </w:r>
                </w:p>
              </w:tc>
              <w:tc>
                <w:tcPr>
                  <w:tcW w:w="653" w:type="dxa"/>
                  <w:tcBorders>
                    <w:top w:val="single" w:color="auto" w:sz="4" w:space="0"/>
                    <w:left w:val="single" w:color="auto" w:sz="4" w:space="0"/>
                    <w:bottom w:val="single" w:color="auto" w:sz="4" w:space="0"/>
                    <w:right w:val="single" w:color="auto" w:sz="4" w:space="0"/>
                  </w:tcBorders>
                  <w:tcMar>
                    <w:left w:w="57" w:type="dxa"/>
                    <w:right w:w="57" w:type="dxa"/>
                  </w:tcMar>
                  <w:vAlign w:val="center"/>
                </w:tcPr>
                <w:p w14:paraId="04C68161">
                  <w:pPr>
                    <w:keepNext w:val="0"/>
                    <w:keepLines w:val="0"/>
                    <w:pageBreakBefore w:val="0"/>
                    <w:suppressLineNumbers w:val="0"/>
                    <w:kinsoku/>
                    <w:wordWrap/>
                    <w:overflowPunct/>
                    <w:topLinePunct w:val="0"/>
                    <w:autoSpaceDE/>
                    <w:autoSpaceDN/>
                    <w:bidi w:val="0"/>
                    <w:adjustRightInd w:val="0"/>
                    <w:snapToGrid w:val="0"/>
                    <w:spacing w:before="0" w:beforeAutospacing="0" w:after="0" w:afterAutospacing="0" w:line="276" w:lineRule="auto"/>
                    <w:ind w:left="0" w:right="0"/>
                    <w:jc w:val="center"/>
                    <w:rPr>
                      <w:rFonts w:hint="default" w:ascii="Times New Roman" w:hAnsi="Times New Roman" w:eastAsia="宋体" w:cs="Times New Roman"/>
                      <w:color w:val="auto"/>
                      <w:kern w:val="2"/>
                      <w:sz w:val="18"/>
                      <w:szCs w:val="18"/>
                      <w:highlight w:val="none"/>
                      <w:lang w:val="en-US" w:eastAsia="zh-CN" w:bidi="ar-SA"/>
                    </w:rPr>
                  </w:pPr>
                  <w:r>
                    <w:rPr>
                      <w:rFonts w:hint="eastAsia" w:ascii="Times New Roman" w:hAnsi="Times New Roman" w:eastAsia="宋体" w:cs="Times New Roman"/>
                      <w:color w:val="auto"/>
                      <w:kern w:val="2"/>
                      <w:sz w:val="18"/>
                      <w:szCs w:val="18"/>
                      <w:highlight w:val="none"/>
                      <w:lang w:val="en-US" w:eastAsia="zh-CN" w:bidi="ar-SA"/>
                    </w:rPr>
                    <w:t>3</w:t>
                  </w:r>
                </w:p>
              </w:tc>
              <w:tc>
                <w:tcPr>
                  <w:tcW w:w="794" w:type="dxa"/>
                  <w:tcBorders>
                    <w:top w:val="single" w:color="auto" w:sz="4" w:space="0"/>
                    <w:left w:val="single" w:color="auto" w:sz="4" w:space="0"/>
                    <w:bottom w:val="single" w:color="auto" w:sz="4" w:space="0"/>
                    <w:right w:val="single" w:color="auto" w:sz="4" w:space="0"/>
                  </w:tcBorders>
                  <w:shd w:val="clear" w:color="auto" w:fill="auto"/>
                  <w:tcMar>
                    <w:left w:w="57" w:type="dxa"/>
                    <w:right w:w="57" w:type="dxa"/>
                  </w:tcMar>
                  <w:vAlign w:val="center"/>
                </w:tcPr>
                <w:p w14:paraId="6BB42020">
                  <w:pPr>
                    <w:keepNext w:val="0"/>
                    <w:keepLines w:val="0"/>
                    <w:pageBreakBefore w:val="0"/>
                    <w:suppressLineNumbers w:val="0"/>
                    <w:kinsoku/>
                    <w:wordWrap/>
                    <w:overflowPunct/>
                    <w:topLinePunct w:val="0"/>
                    <w:autoSpaceDE/>
                    <w:autoSpaceDN/>
                    <w:bidi w:val="0"/>
                    <w:adjustRightInd w:val="0"/>
                    <w:snapToGrid w:val="0"/>
                    <w:spacing w:before="0" w:beforeAutospacing="0" w:after="0" w:afterAutospacing="0" w:line="276" w:lineRule="auto"/>
                    <w:ind w:left="0" w:right="0"/>
                    <w:jc w:val="center"/>
                    <w:rPr>
                      <w:rFonts w:hint="eastAsia" w:ascii="Times New Roman" w:hAnsi="Times New Roman" w:eastAsia="宋体" w:cs="Times New Roman"/>
                      <w:kern w:val="2"/>
                      <w:sz w:val="18"/>
                      <w:szCs w:val="18"/>
                      <w:highlight w:val="none"/>
                      <w:lang w:val="en-US" w:eastAsia="zh-CN" w:bidi="ar-SA"/>
                    </w:rPr>
                  </w:pPr>
                  <w:r>
                    <w:rPr>
                      <w:rFonts w:hint="eastAsia" w:ascii="Times New Roman" w:hAnsi="Times New Roman" w:eastAsia="宋体" w:cs="Times New Roman"/>
                      <w:sz w:val="18"/>
                      <w:szCs w:val="18"/>
                      <w:highlight w:val="none"/>
                    </w:rPr>
                    <w:t>袋装，集中堆放</w:t>
                  </w:r>
                </w:p>
              </w:tc>
              <w:tc>
                <w:tcPr>
                  <w:tcW w:w="705" w:type="dxa"/>
                  <w:vMerge w:val="continue"/>
                  <w:tcBorders>
                    <w:left w:val="single" w:color="auto" w:sz="4" w:space="0"/>
                    <w:bottom w:val="single" w:color="auto" w:sz="4" w:space="0"/>
                    <w:right w:val="single" w:color="auto" w:sz="4" w:space="0"/>
                  </w:tcBorders>
                  <w:shd w:val="clear" w:color="auto" w:fill="auto"/>
                  <w:tcMar>
                    <w:left w:w="57" w:type="dxa"/>
                    <w:right w:w="57" w:type="dxa"/>
                  </w:tcMar>
                  <w:vAlign w:val="center"/>
                </w:tcPr>
                <w:p w14:paraId="129828EE">
                  <w:pPr>
                    <w:keepNext w:val="0"/>
                    <w:keepLines w:val="0"/>
                    <w:pageBreakBefore w:val="0"/>
                    <w:suppressLineNumbers w:val="0"/>
                    <w:kinsoku/>
                    <w:wordWrap/>
                    <w:overflowPunct/>
                    <w:topLinePunct w:val="0"/>
                    <w:autoSpaceDE/>
                    <w:autoSpaceDN/>
                    <w:bidi w:val="0"/>
                    <w:adjustRightInd w:val="0"/>
                    <w:snapToGrid w:val="0"/>
                    <w:spacing w:before="0" w:beforeAutospacing="0" w:after="0" w:afterAutospacing="0" w:line="276" w:lineRule="auto"/>
                    <w:ind w:left="0" w:right="0"/>
                    <w:jc w:val="center"/>
                    <w:rPr>
                      <w:rFonts w:hint="eastAsia" w:ascii="Times New Roman" w:hAnsi="Times New Roman" w:eastAsia="宋体" w:cs="Times New Roman"/>
                      <w:kern w:val="2"/>
                      <w:sz w:val="18"/>
                      <w:szCs w:val="18"/>
                      <w:highlight w:val="none"/>
                      <w:lang w:val="en-US" w:eastAsia="zh-CN" w:bidi="ar-SA"/>
                    </w:rPr>
                  </w:pPr>
                </w:p>
              </w:tc>
              <w:tc>
                <w:tcPr>
                  <w:tcW w:w="626" w:type="dxa"/>
                  <w:tcBorders>
                    <w:top w:val="single" w:color="auto" w:sz="4" w:space="0"/>
                    <w:left w:val="single" w:color="auto" w:sz="4" w:space="0"/>
                    <w:bottom w:val="single" w:color="auto" w:sz="4" w:space="0"/>
                    <w:right w:val="single" w:color="auto" w:sz="4" w:space="0"/>
                  </w:tcBorders>
                  <w:tcMar>
                    <w:left w:w="57" w:type="dxa"/>
                    <w:right w:w="57" w:type="dxa"/>
                  </w:tcMar>
                  <w:vAlign w:val="center"/>
                </w:tcPr>
                <w:p w14:paraId="0F168301">
                  <w:pPr>
                    <w:keepNext w:val="0"/>
                    <w:keepLines w:val="0"/>
                    <w:pageBreakBefore w:val="0"/>
                    <w:suppressLineNumbers w:val="0"/>
                    <w:kinsoku/>
                    <w:wordWrap/>
                    <w:overflowPunct/>
                    <w:topLinePunct w:val="0"/>
                    <w:autoSpaceDE/>
                    <w:autoSpaceDN/>
                    <w:bidi w:val="0"/>
                    <w:adjustRightInd w:val="0"/>
                    <w:snapToGrid w:val="0"/>
                    <w:spacing w:before="0" w:beforeAutospacing="0" w:after="0" w:afterAutospacing="0" w:line="276" w:lineRule="auto"/>
                    <w:ind w:left="0" w:right="0"/>
                    <w:jc w:val="center"/>
                    <w:rPr>
                      <w:rFonts w:hint="default" w:ascii="Times New Roman" w:hAnsi="Times New Roman" w:eastAsia="宋体" w:cs="Times New Roman"/>
                      <w:color w:val="auto"/>
                      <w:kern w:val="2"/>
                      <w:sz w:val="18"/>
                      <w:szCs w:val="18"/>
                      <w:highlight w:val="none"/>
                      <w:lang w:val="en-US" w:eastAsia="zh-CN" w:bidi="ar-SA"/>
                    </w:rPr>
                  </w:pPr>
                  <w:r>
                    <w:rPr>
                      <w:rFonts w:hint="eastAsia" w:ascii="Times New Roman" w:hAnsi="Times New Roman" w:eastAsia="宋体" w:cs="Times New Roman"/>
                      <w:color w:val="auto"/>
                      <w:kern w:val="2"/>
                      <w:sz w:val="18"/>
                      <w:szCs w:val="18"/>
                      <w:highlight w:val="none"/>
                      <w:lang w:val="en-US" w:eastAsia="zh-CN" w:bidi="ar-SA"/>
                    </w:rPr>
                    <w:t>3</w:t>
                  </w:r>
                </w:p>
              </w:tc>
            </w:tr>
            <w:tr w14:paraId="5E7C3B2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jc w:val="center"/>
              </w:trPr>
              <w:tc>
                <w:tcPr>
                  <w:tcW w:w="307" w:type="dxa"/>
                  <w:tcBorders>
                    <w:top w:val="single" w:color="auto" w:sz="4" w:space="0"/>
                    <w:left w:val="single" w:color="auto" w:sz="4" w:space="0"/>
                    <w:bottom w:val="single" w:color="auto" w:sz="4" w:space="0"/>
                    <w:right w:val="single" w:color="auto" w:sz="4" w:space="0"/>
                  </w:tcBorders>
                  <w:shd w:val="clear" w:color="auto" w:fill="auto"/>
                  <w:tcMar>
                    <w:left w:w="57" w:type="dxa"/>
                    <w:right w:w="57" w:type="dxa"/>
                  </w:tcMar>
                  <w:vAlign w:val="center"/>
                </w:tcPr>
                <w:p w14:paraId="29A88765">
                  <w:pPr>
                    <w:keepNext w:val="0"/>
                    <w:keepLines w:val="0"/>
                    <w:pageBreakBefore w:val="0"/>
                    <w:suppressLineNumbers w:val="0"/>
                    <w:kinsoku/>
                    <w:wordWrap/>
                    <w:overflowPunct/>
                    <w:topLinePunct w:val="0"/>
                    <w:autoSpaceDE/>
                    <w:autoSpaceDN/>
                    <w:bidi w:val="0"/>
                    <w:adjustRightInd w:val="0"/>
                    <w:snapToGrid w:val="0"/>
                    <w:spacing w:before="0" w:beforeAutospacing="0" w:after="0" w:afterAutospacing="0" w:line="276" w:lineRule="auto"/>
                    <w:ind w:left="0" w:leftChars="0" w:right="0" w:rightChars="0"/>
                    <w:jc w:val="center"/>
                    <w:rPr>
                      <w:rFonts w:hint="eastAsia" w:ascii="Times New Roman" w:hAnsi="Times New Roman" w:eastAsia="宋体" w:cs="Times New Roman"/>
                      <w:kern w:val="2"/>
                      <w:sz w:val="18"/>
                      <w:szCs w:val="18"/>
                      <w:highlight w:val="none"/>
                      <w:lang w:val="en-US" w:eastAsia="zh-CN" w:bidi="ar-SA"/>
                    </w:rPr>
                  </w:pPr>
                  <w:r>
                    <w:rPr>
                      <w:rFonts w:hint="eastAsia" w:ascii="Times New Roman" w:hAnsi="Times New Roman" w:eastAsia="宋体" w:cs="Times New Roman"/>
                      <w:sz w:val="18"/>
                      <w:szCs w:val="18"/>
                      <w:highlight w:val="none"/>
                      <w:lang w:val="en-US" w:eastAsia="zh-CN"/>
                    </w:rPr>
                    <w:t>9</w:t>
                  </w:r>
                </w:p>
              </w:tc>
              <w:tc>
                <w:tcPr>
                  <w:tcW w:w="878" w:type="dxa"/>
                  <w:tcBorders>
                    <w:top w:val="single" w:color="auto" w:sz="4" w:space="0"/>
                    <w:left w:val="single" w:color="auto" w:sz="4" w:space="0"/>
                    <w:bottom w:val="single" w:color="auto" w:sz="4" w:space="0"/>
                    <w:right w:val="single" w:color="auto" w:sz="4" w:space="0"/>
                  </w:tcBorders>
                  <w:shd w:val="clear" w:color="auto" w:fill="auto"/>
                  <w:tcMar>
                    <w:left w:w="57" w:type="dxa"/>
                    <w:right w:w="57" w:type="dxa"/>
                  </w:tcMar>
                  <w:vAlign w:val="center"/>
                </w:tcPr>
                <w:p w14:paraId="35E5AE8F">
                  <w:pPr>
                    <w:keepNext w:val="0"/>
                    <w:keepLines w:val="0"/>
                    <w:pageBreakBefore w:val="0"/>
                    <w:suppressLineNumbers w:val="0"/>
                    <w:kinsoku/>
                    <w:wordWrap/>
                    <w:overflowPunct/>
                    <w:topLinePunct w:val="0"/>
                    <w:autoSpaceDE/>
                    <w:autoSpaceDN/>
                    <w:bidi w:val="0"/>
                    <w:adjustRightInd w:val="0"/>
                    <w:snapToGrid w:val="0"/>
                    <w:spacing w:before="0" w:beforeAutospacing="0" w:after="0" w:afterAutospacing="0" w:line="276" w:lineRule="auto"/>
                    <w:ind w:left="0" w:right="0"/>
                    <w:jc w:val="center"/>
                    <w:textAlignment w:val="auto"/>
                    <w:rPr>
                      <w:rFonts w:hint="eastAsia" w:ascii="Times New Roman" w:hAnsi="Times New Roman" w:eastAsia="宋体" w:cs="Times New Roman"/>
                      <w:kern w:val="2"/>
                      <w:sz w:val="18"/>
                      <w:szCs w:val="18"/>
                      <w:highlight w:val="none"/>
                      <w:lang w:val="en-US" w:eastAsia="zh-CN" w:bidi="ar-SA"/>
                    </w:rPr>
                  </w:pPr>
                  <w:r>
                    <w:rPr>
                      <w:rFonts w:hint="eastAsia" w:ascii="Times New Roman" w:hAnsi="Times New Roman" w:eastAsia="宋体" w:cs="Times New Roman"/>
                      <w:sz w:val="18"/>
                      <w:szCs w:val="18"/>
                      <w:highlight w:val="none"/>
                    </w:rPr>
                    <w:t>感染</w:t>
                  </w:r>
                  <w:r>
                    <w:rPr>
                      <w:rFonts w:hint="default" w:ascii="Times New Roman" w:hAnsi="Times New Roman" w:eastAsia="宋体" w:cs="Times New Roman"/>
                      <w:sz w:val="18"/>
                      <w:szCs w:val="18"/>
                      <w:highlight w:val="none"/>
                    </w:rPr>
                    <w:t>性废物</w:t>
                  </w:r>
                </w:p>
              </w:tc>
              <w:tc>
                <w:tcPr>
                  <w:tcW w:w="1058" w:type="dxa"/>
                  <w:tcBorders>
                    <w:top w:val="single" w:color="auto" w:sz="4" w:space="0"/>
                    <w:left w:val="single" w:color="auto" w:sz="4" w:space="0"/>
                    <w:bottom w:val="single" w:color="auto" w:sz="4" w:space="0"/>
                    <w:right w:val="single" w:color="auto" w:sz="4" w:space="0"/>
                  </w:tcBorders>
                  <w:shd w:val="clear" w:color="auto" w:fill="auto"/>
                  <w:tcMar>
                    <w:left w:w="57" w:type="dxa"/>
                    <w:right w:w="57" w:type="dxa"/>
                  </w:tcMar>
                  <w:vAlign w:val="center"/>
                </w:tcPr>
                <w:p w14:paraId="35A06734">
                  <w:pPr>
                    <w:pStyle w:val="129"/>
                    <w:keepNext w:val="0"/>
                    <w:keepLines w:val="0"/>
                    <w:pageBreakBefore w:val="0"/>
                    <w:suppressLineNumbers w:val="0"/>
                    <w:kinsoku/>
                    <w:wordWrap/>
                    <w:overflowPunct/>
                    <w:topLinePunct w:val="0"/>
                    <w:autoSpaceDE/>
                    <w:autoSpaceDN/>
                    <w:bidi w:val="0"/>
                    <w:adjustRightInd w:val="0"/>
                    <w:snapToGrid w:val="0"/>
                    <w:spacing w:before="0" w:beforeAutospacing="0" w:after="0" w:afterAutospacing="0" w:line="276" w:lineRule="auto"/>
                    <w:ind w:left="0" w:right="0"/>
                    <w:rPr>
                      <w:rFonts w:hint="default" w:ascii="Times New Roman" w:hAnsi="Times New Roman" w:eastAsia="宋体" w:cs="Times New Roman"/>
                      <w:color w:val="auto"/>
                      <w:kern w:val="0"/>
                      <w:sz w:val="18"/>
                      <w:szCs w:val="18"/>
                      <w:highlight w:val="none"/>
                      <w:lang w:val="en-US" w:eastAsia="zh-CN" w:bidi="ar-SA"/>
                    </w:rPr>
                  </w:pPr>
                  <w:r>
                    <w:rPr>
                      <w:rFonts w:hint="eastAsia" w:ascii="Times New Roman" w:hAnsi="Times New Roman" w:eastAsia="宋体" w:cs="Times New Roman"/>
                      <w:color w:val="auto"/>
                      <w:sz w:val="18"/>
                      <w:szCs w:val="18"/>
                      <w:highlight w:val="none"/>
                    </w:rPr>
                    <w:t>培养基</w:t>
                  </w:r>
                  <w:r>
                    <w:rPr>
                      <w:rFonts w:hint="default" w:ascii="Times New Roman" w:hAnsi="Times New Roman" w:eastAsia="宋体" w:cs="Times New Roman"/>
                      <w:color w:val="auto"/>
                      <w:sz w:val="18"/>
                      <w:szCs w:val="18"/>
                      <w:highlight w:val="none"/>
                    </w:rPr>
                    <w:t>、菌种</w:t>
                  </w:r>
                  <w:r>
                    <w:rPr>
                      <w:rFonts w:hint="eastAsia" w:ascii="Times New Roman" w:hAnsi="Times New Roman" w:eastAsia="宋体" w:cs="Times New Roman"/>
                      <w:color w:val="auto"/>
                      <w:sz w:val="18"/>
                      <w:szCs w:val="18"/>
                      <w:highlight w:val="none"/>
                    </w:rPr>
                    <w:t>、</w:t>
                  </w:r>
                  <w:r>
                    <w:rPr>
                      <w:rFonts w:hint="default" w:ascii="Times New Roman" w:hAnsi="Times New Roman" w:eastAsia="宋体" w:cs="Times New Roman"/>
                      <w:color w:val="auto"/>
                      <w:sz w:val="18"/>
                      <w:szCs w:val="18"/>
                      <w:highlight w:val="none"/>
                    </w:rPr>
                    <w:t>血液</w:t>
                  </w:r>
                  <w:r>
                    <w:rPr>
                      <w:rFonts w:hint="eastAsia" w:ascii="Times New Roman" w:hAnsi="Times New Roman" w:eastAsia="宋体" w:cs="Times New Roman"/>
                      <w:color w:val="auto"/>
                      <w:sz w:val="18"/>
                      <w:szCs w:val="18"/>
                      <w:highlight w:val="none"/>
                    </w:rPr>
                    <w:t>等</w:t>
                  </w:r>
                </w:p>
              </w:tc>
              <w:tc>
                <w:tcPr>
                  <w:tcW w:w="581" w:type="dxa"/>
                  <w:tcBorders>
                    <w:top w:val="single" w:color="auto" w:sz="4" w:space="0"/>
                    <w:left w:val="single" w:color="auto" w:sz="4" w:space="0"/>
                    <w:bottom w:val="single" w:color="auto" w:sz="4" w:space="0"/>
                    <w:right w:val="single" w:color="auto" w:sz="4" w:space="0"/>
                  </w:tcBorders>
                  <w:shd w:val="clear" w:color="auto" w:fill="auto"/>
                  <w:tcMar>
                    <w:left w:w="57" w:type="dxa"/>
                    <w:right w:w="57" w:type="dxa"/>
                  </w:tcMar>
                  <w:vAlign w:val="center"/>
                </w:tcPr>
                <w:p w14:paraId="67E23B29">
                  <w:pPr>
                    <w:pStyle w:val="129"/>
                    <w:keepNext w:val="0"/>
                    <w:keepLines w:val="0"/>
                    <w:pageBreakBefore w:val="0"/>
                    <w:suppressLineNumbers w:val="0"/>
                    <w:kinsoku/>
                    <w:wordWrap/>
                    <w:overflowPunct/>
                    <w:topLinePunct w:val="0"/>
                    <w:autoSpaceDE/>
                    <w:autoSpaceDN/>
                    <w:bidi w:val="0"/>
                    <w:adjustRightInd w:val="0"/>
                    <w:snapToGrid w:val="0"/>
                    <w:spacing w:before="0" w:beforeAutospacing="0" w:after="0" w:afterAutospacing="0" w:line="276" w:lineRule="auto"/>
                    <w:ind w:left="0" w:right="0"/>
                    <w:rPr>
                      <w:rFonts w:hint="default" w:ascii="Times New Roman" w:hAnsi="Times New Roman" w:eastAsia="宋体" w:cs="Times New Roman"/>
                      <w:color w:val="auto"/>
                      <w:kern w:val="0"/>
                      <w:sz w:val="18"/>
                      <w:szCs w:val="18"/>
                      <w:highlight w:val="none"/>
                      <w:lang w:val="en-US" w:eastAsia="zh-CN" w:bidi="ar-SA"/>
                    </w:rPr>
                  </w:pPr>
                  <w:r>
                    <w:rPr>
                      <w:rFonts w:hint="eastAsia" w:ascii="Times New Roman" w:hAnsi="Times New Roman" w:eastAsia="宋体" w:cs="Times New Roman"/>
                      <w:color w:val="auto"/>
                      <w:sz w:val="18"/>
                      <w:szCs w:val="18"/>
                      <w:highlight w:val="none"/>
                    </w:rPr>
                    <w:t>固/液</w:t>
                  </w:r>
                </w:p>
              </w:tc>
              <w:tc>
                <w:tcPr>
                  <w:tcW w:w="1082" w:type="dxa"/>
                  <w:tcBorders>
                    <w:top w:val="single" w:color="auto" w:sz="4" w:space="0"/>
                    <w:left w:val="single" w:color="auto" w:sz="4" w:space="0"/>
                    <w:bottom w:val="single" w:color="auto" w:sz="4" w:space="0"/>
                    <w:right w:val="single" w:color="auto" w:sz="4" w:space="0"/>
                  </w:tcBorders>
                  <w:shd w:val="clear" w:color="auto" w:fill="auto"/>
                  <w:tcMar>
                    <w:left w:w="57" w:type="dxa"/>
                    <w:right w:w="57" w:type="dxa"/>
                  </w:tcMar>
                  <w:vAlign w:val="center"/>
                </w:tcPr>
                <w:p w14:paraId="395DABE4">
                  <w:pPr>
                    <w:pStyle w:val="129"/>
                    <w:keepNext w:val="0"/>
                    <w:keepLines w:val="0"/>
                    <w:pageBreakBefore w:val="0"/>
                    <w:suppressLineNumbers w:val="0"/>
                    <w:kinsoku/>
                    <w:wordWrap/>
                    <w:overflowPunct/>
                    <w:topLinePunct w:val="0"/>
                    <w:autoSpaceDE/>
                    <w:autoSpaceDN/>
                    <w:bidi w:val="0"/>
                    <w:adjustRightInd w:val="0"/>
                    <w:snapToGrid w:val="0"/>
                    <w:spacing w:before="0" w:beforeAutospacing="0" w:after="0" w:afterAutospacing="0" w:line="276" w:lineRule="auto"/>
                    <w:ind w:left="0" w:right="0"/>
                    <w:rPr>
                      <w:rFonts w:hint="default" w:ascii="Times New Roman" w:hAnsi="Times New Roman" w:eastAsia="宋体" w:cs="Times New Roman"/>
                      <w:color w:val="auto"/>
                      <w:kern w:val="0"/>
                      <w:sz w:val="18"/>
                      <w:szCs w:val="18"/>
                      <w:highlight w:val="none"/>
                      <w:lang w:val="en-US" w:eastAsia="zh-CN" w:bidi="ar-SA"/>
                    </w:rPr>
                  </w:pPr>
                  <w:r>
                    <w:rPr>
                      <w:rFonts w:hint="eastAsia" w:ascii="Times New Roman" w:hAnsi="Times New Roman" w:eastAsia="宋体" w:cs="Times New Roman"/>
                      <w:color w:val="auto"/>
                      <w:sz w:val="18"/>
                      <w:szCs w:val="18"/>
                      <w:highlight w:val="none"/>
                      <w:lang w:val="en-US" w:eastAsia="zh-CN"/>
                    </w:rPr>
                    <w:t>危险废物，</w:t>
                  </w:r>
                  <w:r>
                    <w:rPr>
                      <w:rFonts w:hint="default" w:ascii="Times New Roman" w:hAnsi="Times New Roman" w:eastAsia="宋体" w:cs="Times New Roman"/>
                      <w:color w:val="auto"/>
                      <w:sz w:val="18"/>
                      <w:szCs w:val="18"/>
                      <w:highlight w:val="none"/>
                    </w:rPr>
                    <w:t>841-001-01</w:t>
                  </w:r>
                </w:p>
              </w:tc>
              <w:tc>
                <w:tcPr>
                  <w:tcW w:w="895" w:type="dxa"/>
                  <w:tcBorders>
                    <w:top w:val="single" w:color="auto" w:sz="4" w:space="0"/>
                    <w:left w:val="single" w:color="auto" w:sz="4" w:space="0"/>
                    <w:bottom w:val="single" w:color="auto" w:sz="4" w:space="0"/>
                    <w:right w:val="single" w:color="auto" w:sz="4" w:space="0"/>
                  </w:tcBorders>
                  <w:shd w:val="clear" w:color="auto" w:fill="auto"/>
                  <w:tcMar>
                    <w:left w:w="57" w:type="dxa"/>
                    <w:right w:w="57" w:type="dxa"/>
                  </w:tcMar>
                  <w:vAlign w:val="center"/>
                </w:tcPr>
                <w:p w14:paraId="332F877F">
                  <w:pPr>
                    <w:pStyle w:val="129"/>
                    <w:keepNext w:val="0"/>
                    <w:keepLines w:val="0"/>
                    <w:pageBreakBefore w:val="0"/>
                    <w:suppressLineNumbers w:val="0"/>
                    <w:kinsoku/>
                    <w:wordWrap/>
                    <w:overflowPunct/>
                    <w:topLinePunct w:val="0"/>
                    <w:autoSpaceDE/>
                    <w:autoSpaceDN/>
                    <w:bidi w:val="0"/>
                    <w:adjustRightInd w:val="0"/>
                    <w:snapToGrid w:val="0"/>
                    <w:spacing w:before="0" w:beforeAutospacing="0" w:after="0" w:afterAutospacing="0" w:line="276" w:lineRule="auto"/>
                    <w:ind w:left="0" w:right="0"/>
                    <w:rPr>
                      <w:rFonts w:hint="default" w:ascii="Times New Roman" w:hAnsi="Times New Roman" w:eastAsia="宋体" w:cs="Times New Roman"/>
                      <w:color w:val="auto"/>
                      <w:kern w:val="0"/>
                      <w:sz w:val="18"/>
                      <w:szCs w:val="18"/>
                      <w:highlight w:val="none"/>
                      <w:lang w:val="en-US" w:eastAsia="zh-CN" w:bidi="ar-SA"/>
                    </w:rPr>
                  </w:pPr>
                  <w:r>
                    <w:rPr>
                      <w:rFonts w:hint="eastAsia" w:ascii="Times New Roman" w:hAnsi="Times New Roman" w:eastAsia="宋体" w:cs="Times New Roman"/>
                      <w:color w:val="auto"/>
                      <w:sz w:val="18"/>
                      <w:szCs w:val="18"/>
                      <w:highlight w:val="none"/>
                    </w:rPr>
                    <w:t>培养基</w:t>
                  </w:r>
                  <w:r>
                    <w:rPr>
                      <w:rFonts w:hint="default" w:ascii="Times New Roman" w:hAnsi="Times New Roman" w:eastAsia="宋体" w:cs="Times New Roman"/>
                      <w:color w:val="auto"/>
                      <w:sz w:val="18"/>
                      <w:szCs w:val="18"/>
                      <w:highlight w:val="none"/>
                    </w:rPr>
                    <w:t>、菌种</w:t>
                  </w:r>
                  <w:r>
                    <w:rPr>
                      <w:rFonts w:hint="eastAsia" w:ascii="Times New Roman" w:hAnsi="Times New Roman" w:eastAsia="宋体" w:cs="Times New Roman"/>
                      <w:color w:val="auto"/>
                      <w:sz w:val="18"/>
                      <w:szCs w:val="18"/>
                      <w:highlight w:val="none"/>
                    </w:rPr>
                    <w:t>、</w:t>
                  </w:r>
                  <w:r>
                    <w:rPr>
                      <w:rFonts w:hint="default" w:ascii="Times New Roman" w:hAnsi="Times New Roman" w:eastAsia="宋体" w:cs="Times New Roman"/>
                      <w:color w:val="auto"/>
                      <w:sz w:val="18"/>
                      <w:szCs w:val="18"/>
                      <w:highlight w:val="none"/>
                    </w:rPr>
                    <w:t>血液</w:t>
                  </w:r>
                  <w:r>
                    <w:rPr>
                      <w:rFonts w:hint="eastAsia" w:ascii="Times New Roman" w:hAnsi="Times New Roman" w:eastAsia="宋体" w:cs="Times New Roman"/>
                      <w:color w:val="auto"/>
                      <w:sz w:val="18"/>
                      <w:szCs w:val="18"/>
                      <w:highlight w:val="none"/>
                    </w:rPr>
                    <w:t>等</w:t>
                  </w:r>
                </w:p>
              </w:tc>
              <w:tc>
                <w:tcPr>
                  <w:tcW w:w="675" w:type="dxa"/>
                  <w:tcBorders>
                    <w:top w:val="single" w:color="auto" w:sz="4" w:space="0"/>
                    <w:left w:val="single" w:color="auto" w:sz="4" w:space="0"/>
                    <w:bottom w:val="single" w:color="auto" w:sz="4" w:space="0"/>
                    <w:right w:val="single" w:color="auto" w:sz="4" w:space="0"/>
                  </w:tcBorders>
                  <w:shd w:val="clear" w:color="auto" w:fill="auto"/>
                  <w:tcMar>
                    <w:left w:w="57" w:type="dxa"/>
                    <w:right w:w="57" w:type="dxa"/>
                  </w:tcMar>
                  <w:vAlign w:val="center"/>
                </w:tcPr>
                <w:p w14:paraId="18898B55">
                  <w:pPr>
                    <w:pStyle w:val="129"/>
                    <w:keepNext w:val="0"/>
                    <w:keepLines w:val="0"/>
                    <w:pageBreakBefore w:val="0"/>
                    <w:suppressLineNumbers w:val="0"/>
                    <w:kinsoku/>
                    <w:wordWrap/>
                    <w:overflowPunct/>
                    <w:topLinePunct w:val="0"/>
                    <w:autoSpaceDE/>
                    <w:autoSpaceDN/>
                    <w:bidi w:val="0"/>
                    <w:adjustRightInd w:val="0"/>
                    <w:snapToGrid w:val="0"/>
                    <w:spacing w:before="0" w:beforeAutospacing="0" w:after="0" w:afterAutospacing="0" w:line="276" w:lineRule="auto"/>
                    <w:ind w:left="0" w:right="0"/>
                    <w:rPr>
                      <w:rFonts w:hint="default" w:ascii="Times New Roman" w:hAnsi="Times New Roman" w:eastAsia="宋体" w:cs="Times New Roman"/>
                      <w:color w:val="auto"/>
                      <w:kern w:val="0"/>
                      <w:sz w:val="18"/>
                      <w:szCs w:val="18"/>
                      <w:highlight w:val="none"/>
                      <w:lang w:val="en-US" w:eastAsia="zh-CN" w:bidi="ar-SA"/>
                    </w:rPr>
                  </w:pPr>
                  <w:r>
                    <w:rPr>
                      <w:rFonts w:hint="eastAsia" w:ascii="Times New Roman" w:hAnsi="Times New Roman" w:eastAsia="宋体" w:cs="Times New Roman"/>
                      <w:color w:val="auto"/>
                      <w:sz w:val="18"/>
                      <w:szCs w:val="18"/>
                      <w:highlight w:val="none"/>
                    </w:rPr>
                    <w:t>I</w:t>
                  </w:r>
                  <w:r>
                    <w:rPr>
                      <w:rFonts w:hint="default" w:ascii="Times New Roman" w:hAnsi="Times New Roman" w:eastAsia="宋体" w:cs="Times New Roman"/>
                      <w:color w:val="auto"/>
                      <w:sz w:val="18"/>
                      <w:szCs w:val="18"/>
                      <w:highlight w:val="none"/>
                    </w:rPr>
                    <w:t>n</w:t>
                  </w:r>
                </w:p>
              </w:tc>
              <w:tc>
                <w:tcPr>
                  <w:tcW w:w="653" w:type="dxa"/>
                  <w:tcBorders>
                    <w:top w:val="single" w:color="auto" w:sz="4" w:space="0"/>
                    <w:left w:val="single" w:color="auto" w:sz="4" w:space="0"/>
                    <w:bottom w:val="single" w:color="auto" w:sz="4" w:space="0"/>
                    <w:right w:val="single" w:color="auto" w:sz="4" w:space="0"/>
                  </w:tcBorders>
                  <w:shd w:val="clear" w:color="auto" w:fill="auto"/>
                  <w:tcMar>
                    <w:left w:w="57" w:type="dxa"/>
                    <w:right w:w="57" w:type="dxa"/>
                  </w:tcMar>
                  <w:vAlign w:val="center"/>
                </w:tcPr>
                <w:p w14:paraId="6E13AD11">
                  <w:pPr>
                    <w:keepNext w:val="0"/>
                    <w:keepLines w:val="0"/>
                    <w:pageBreakBefore w:val="0"/>
                    <w:suppressLineNumbers w:val="0"/>
                    <w:kinsoku/>
                    <w:wordWrap/>
                    <w:overflowPunct/>
                    <w:topLinePunct w:val="0"/>
                    <w:autoSpaceDE/>
                    <w:autoSpaceDN/>
                    <w:bidi w:val="0"/>
                    <w:adjustRightInd w:val="0"/>
                    <w:snapToGrid w:val="0"/>
                    <w:spacing w:before="0" w:beforeAutospacing="0" w:after="0" w:afterAutospacing="0" w:line="276" w:lineRule="auto"/>
                    <w:ind w:left="0" w:right="0"/>
                    <w:jc w:val="center"/>
                    <w:textAlignment w:val="auto"/>
                    <w:rPr>
                      <w:rFonts w:hint="eastAsia" w:ascii="Times New Roman" w:hAnsi="Times New Roman" w:eastAsia="宋体" w:cs="Times New Roman"/>
                      <w:sz w:val="18"/>
                      <w:szCs w:val="18"/>
                      <w:highlight w:val="none"/>
                      <w:lang w:val="en-US" w:eastAsia="zh-CN"/>
                    </w:rPr>
                  </w:pPr>
                  <w:r>
                    <w:rPr>
                      <w:rFonts w:hint="eastAsia" w:ascii="Times New Roman" w:hAnsi="Times New Roman" w:eastAsia="宋体" w:cs="Times New Roman"/>
                      <w:sz w:val="18"/>
                      <w:szCs w:val="18"/>
                      <w:highlight w:val="none"/>
                    </w:rPr>
                    <w:t>10</w:t>
                  </w:r>
                </w:p>
              </w:tc>
              <w:tc>
                <w:tcPr>
                  <w:tcW w:w="794" w:type="dxa"/>
                  <w:tcBorders>
                    <w:top w:val="single" w:color="auto" w:sz="4" w:space="0"/>
                    <w:left w:val="single" w:color="auto" w:sz="4" w:space="0"/>
                    <w:bottom w:val="single" w:color="auto" w:sz="4" w:space="0"/>
                    <w:right w:val="single" w:color="auto" w:sz="4" w:space="0"/>
                  </w:tcBorders>
                  <w:shd w:val="clear" w:color="auto" w:fill="auto"/>
                  <w:tcMar>
                    <w:left w:w="57" w:type="dxa"/>
                    <w:right w:w="57" w:type="dxa"/>
                  </w:tcMar>
                  <w:vAlign w:val="center"/>
                </w:tcPr>
                <w:p w14:paraId="1C171D2F">
                  <w:pPr>
                    <w:pStyle w:val="129"/>
                    <w:keepNext w:val="0"/>
                    <w:keepLines w:val="0"/>
                    <w:pageBreakBefore w:val="0"/>
                    <w:suppressLineNumbers w:val="0"/>
                    <w:kinsoku/>
                    <w:wordWrap/>
                    <w:overflowPunct/>
                    <w:topLinePunct w:val="0"/>
                    <w:autoSpaceDE/>
                    <w:autoSpaceDN/>
                    <w:bidi w:val="0"/>
                    <w:adjustRightInd w:val="0"/>
                    <w:snapToGrid w:val="0"/>
                    <w:spacing w:before="0" w:beforeAutospacing="0" w:after="0" w:afterAutospacing="0" w:line="276" w:lineRule="auto"/>
                    <w:ind w:left="0" w:right="0"/>
                    <w:rPr>
                      <w:rFonts w:hint="default" w:ascii="Times New Roman" w:hAnsi="Times New Roman" w:eastAsia="宋体" w:cs="Times New Roman"/>
                      <w:bCs/>
                      <w:color w:val="auto"/>
                      <w:kern w:val="0"/>
                      <w:sz w:val="18"/>
                      <w:szCs w:val="18"/>
                      <w:highlight w:val="none"/>
                      <w:lang w:val="zh-CN" w:eastAsia="zh-CN" w:bidi="ar-SA"/>
                    </w:rPr>
                  </w:pPr>
                  <w:r>
                    <w:rPr>
                      <w:rFonts w:hint="eastAsia" w:ascii="Times New Roman" w:hAnsi="Times New Roman" w:eastAsia="宋体" w:cs="Times New Roman"/>
                      <w:bCs/>
                      <w:color w:val="auto"/>
                      <w:sz w:val="18"/>
                      <w:szCs w:val="18"/>
                      <w:highlight w:val="none"/>
                      <w:lang w:val="zh-CN"/>
                    </w:rPr>
                    <w:t>医疗</w:t>
                  </w:r>
                  <w:r>
                    <w:rPr>
                      <w:rFonts w:hint="default" w:ascii="Times New Roman" w:hAnsi="Times New Roman" w:eastAsia="宋体" w:cs="Times New Roman"/>
                      <w:bCs/>
                      <w:color w:val="auto"/>
                      <w:sz w:val="18"/>
                      <w:szCs w:val="18"/>
                      <w:highlight w:val="none"/>
                      <w:lang w:val="zh-CN"/>
                    </w:rPr>
                    <w:t>废</w:t>
                  </w:r>
                  <w:r>
                    <w:rPr>
                      <w:rFonts w:hint="eastAsia" w:ascii="Times New Roman" w:hAnsi="Times New Roman" w:eastAsia="宋体" w:cs="Times New Roman"/>
                      <w:bCs/>
                      <w:color w:val="auto"/>
                      <w:sz w:val="18"/>
                      <w:szCs w:val="18"/>
                      <w:highlight w:val="none"/>
                      <w:lang w:val="zh-CN"/>
                    </w:rPr>
                    <w:t>物</w:t>
                  </w:r>
                  <w:r>
                    <w:rPr>
                      <w:rFonts w:hint="default" w:ascii="Times New Roman" w:hAnsi="Times New Roman" w:eastAsia="宋体" w:cs="Times New Roman"/>
                      <w:bCs/>
                      <w:color w:val="auto"/>
                      <w:sz w:val="18"/>
                      <w:szCs w:val="18"/>
                      <w:highlight w:val="none"/>
                      <w:lang w:val="zh-CN"/>
                    </w:rPr>
                    <w:t>包装袋</w:t>
                  </w:r>
                </w:p>
              </w:tc>
              <w:tc>
                <w:tcPr>
                  <w:tcW w:w="705" w:type="dxa"/>
                  <w:vMerge w:val="restart"/>
                  <w:tcBorders>
                    <w:top w:val="single" w:color="auto" w:sz="4" w:space="0"/>
                    <w:left w:val="single" w:color="auto" w:sz="4" w:space="0"/>
                    <w:right w:val="single" w:color="auto" w:sz="4" w:space="0"/>
                  </w:tcBorders>
                  <w:tcMar>
                    <w:left w:w="57" w:type="dxa"/>
                    <w:right w:w="57" w:type="dxa"/>
                  </w:tcMar>
                  <w:vAlign w:val="center"/>
                </w:tcPr>
                <w:p w14:paraId="255DB655">
                  <w:pPr>
                    <w:keepNext w:val="0"/>
                    <w:keepLines w:val="0"/>
                    <w:pageBreakBefore w:val="0"/>
                    <w:suppressLineNumbers w:val="0"/>
                    <w:kinsoku/>
                    <w:wordWrap/>
                    <w:overflowPunct/>
                    <w:topLinePunct w:val="0"/>
                    <w:autoSpaceDE/>
                    <w:autoSpaceDN/>
                    <w:bidi w:val="0"/>
                    <w:adjustRightInd w:val="0"/>
                    <w:snapToGrid w:val="0"/>
                    <w:spacing w:before="0" w:beforeAutospacing="0" w:after="0" w:afterAutospacing="0" w:line="276" w:lineRule="auto"/>
                    <w:ind w:left="0" w:right="0"/>
                    <w:jc w:val="center"/>
                    <w:rPr>
                      <w:rFonts w:hint="default" w:ascii="Times New Roman" w:hAnsi="Times New Roman" w:eastAsia="宋体" w:cs="Times New Roman"/>
                      <w:sz w:val="18"/>
                      <w:szCs w:val="18"/>
                      <w:highlight w:val="none"/>
                    </w:rPr>
                  </w:pPr>
                  <w:r>
                    <w:rPr>
                      <w:rFonts w:hint="eastAsia" w:ascii="Times New Roman" w:hAnsi="Times New Roman" w:eastAsia="宋体" w:cs="Times New Roman"/>
                      <w:bCs/>
                      <w:color w:val="auto"/>
                      <w:sz w:val="18"/>
                      <w:szCs w:val="18"/>
                      <w:highlight w:val="none"/>
                      <w:lang w:val="zh-CN"/>
                    </w:rPr>
                    <w:t>委托</w:t>
                  </w:r>
                  <w:r>
                    <w:rPr>
                      <w:rFonts w:hint="default" w:ascii="Times New Roman" w:hAnsi="Times New Roman" w:eastAsia="宋体" w:cs="Times New Roman"/>
                      <w:bCs/>
                      <w:color w:val="auto"/>
                      <w:sz w:val="18"/>
                      <w:szCs w:val="18"/>
                      <w:highlight w:val="none"/>
                      <w:lang w:val="zh-CN"/>
                    </w:rPr>
                    <w:t>医疗固废处置单位处置</w:t>
                  </w:r>
                </w:p>
              </w:tc>
              <w:tc>
                <w:tcPr>
                  <w:tcW w:w="626" w:type="dxa"/>
                  <w:tcBorders>
                    <w:top w:val="single" w:color="auto" w:sz="4" w:space="0"/>
                    <w:left w:val="single" w:color="auto" w:sz="4" w:space="0"/>
                    <w:bottom w:val="single" w:color="auto" w:sz="4" w:space="0"/>
                    <w:right w:val="single" w:color="auto" w:sz="4" w:space="0"/>
                  </w:tcBorders>
                  <w:shd w:val="clear" w:color="auto" w:fill="auto"/>
                  <w:tcMar>
                    <w:left w:w="57" w:type="dxa"/>
                    <w:right w:w="57" w:type="dxa"/>
                  </w:tcMar>
                  <w:vAlign w:val="center"/>
                </w:tcPr>
                <w:p w14:paraId="4F29349D">
                  <w:pPr>
                    <w:keepNext w:val="0"/>
                    <w:keepLines w:val="0"/>
                    <w:pageBreakBefore w:val="0"/>
                    <w:suppressLineNumbers w:val="0"/>
                    <w:kinsoku/>
                    <w:wordWrap/>
                    <w:overflowPunct/>
                    <w:topLinePunct w:val="0"/>
                    <w:autoSpaceDE/>
                    <w:autoSpaceDN/>
                    <w:bidi w:val="0"/>
                    <w:adjustRightInd w:val="0"/>
                    <w:snapToGrid w:val="0"/>
                    <w:spacing w:before="0" w:beforeAutospacing="0" w:after="0" w:afterAutospacing="0" w:line="276" w:lineRule="auto"/>
                    <w:ind w:left="0" w:right="0"/>
                    <w:jc w:val="center"/>
                    <w:textAlignment w:val="auto"/>
                    <w:rPr>
                      <w:rFonts w:hint="eastAsia" w:ascii="Times New Roman" w:hAnsi="Times New Roman" w:eastAsia="宋体" w:cs="Times New Roman"/>
                      <w:kern w:val="2"/>
                      <w:sz w:val="18"/>
                      <w:szCs w:val="18"/>
                      <w:highlight w:val="none"/>
                      <w:lang w:val="en-US" w:eastAsia="zh-CN" w:bidi="ar-SA"/>
                    </w:rPr>
                  </w:pPr>
                  <w:r>
                    <w:rPr>
                      <w:rFonts w:hint="eastAsia" w:ascii="Times New Roman" w:hAnsi="Times New Roman" w:eastAsia="宋体" w:cs="Times New Roman"/>
                      <w:sz w:val="18"/>
                      <w:szCs w:val="18"/>
                      <w:highlight w:val="none"/>
                    </w:rPr>
                    <w:t>10</w:t>
                  </w:r>
                </w:p>
              </w:tc>
            </w:tr>
            <w:tr w14:paraId="186A634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jc w:val="center"/>
              </w:trPr>
              <w:tc>
                <w:tcPr>
                  <w:tcW w:w="307" w:type="dxa"/>
                  <w:tcBorders>
                    <w:top w:val="single" w:color="auto" w:sz="4" w:space="0"/>
                    <w:left w:val="single" w:color="auto" w:sz="4" w:space="0"/>
                    <w:bottom w:val="single" w:color="auto" w:sz="4" w:space="0"/>
                    <w:right w:val="single" w:color="auto" w:sz="4" w:space="0"/>
                  </w:tcBorders>
                  <w:shd w:val="clear" w:color="auto" w:fill="auto"/>
                  <w:tcMar>
                    <w:left w:w="57" w:type="dxa"/>
                    <w:right w:w="57" w:type="dxa"/>
                  </w:tcMar>
                  <w:vAlign w:val="center"/>
                </w:tcPr>
                <w:p w14:paraId="6B6BE86E">
                  <w:pPr>
                    <w:keepNext w:val="0"/>
                    <w:keepLines w:val="0"/>
                    <w:pageBreakBefore w:val="0"/>
                    <w:suppressLineNumbers w:val="0"/>
                    <w:kinsoku/>
                    <w:wordWrap/>
                    <w:overflowPunct/>
                    <w:topLinePunct w:val="0"/>
                    <w:autoSpaceDE/>
                    <w:autoSpaceDN/>
                    <w:bidi w:val="0"/>
                    <w:adjustRightInd w:val="0"/>
                    <w:snapToGrid w:val="0"/>
                    <w:spacing w:before="0" w:beforeAutospacing="0" w:after="0" w:afterAutospacing="0" w:line="276" w:lineRule="auto"/>
                    <w:ind w:left="0" w:leftChars="0" w:right="0" w:rightChars="0"/>
                    <w:jc w:val="center"/>
                    <w:rPr>
                      <w:rFonts w:hint="eastAsia" w:ascii="Times New Roman" w:hAnsi="Times New Roman" w:eastAsia="宋体" w:cs="Times New Roman"/>
                      <w:kern w:val="2"/>
                      <w:sz w:val="18"/>
                      <w:szCs w:val="18"/>
                      <w:highlight w:val="none"/>
                      <w:lang w:val="en-US" w:eastAsia="zh-CN" w:bidi="ar-SA"/>
                    </w:rPr>
                  </w:pPr>
                  <w:r>
                    <w:rPr>
                      <w:rFonts w:hint="eastAsia" w:ascii="Times New Roman" w:hAnsi="Times New Roman" w:eastAsia="宋体" w:cs="Times New Roman"/>
                      <w:sz w:val="18"/>
                      <w:szCs w:val="18"/>
                      <w:highlight w:val="none"/>
                      <w:lang w:val="en-US" w:eastAsia="zh-CN"/>
                    </w:rPr>
                    <w:t>10</w:t>
                  </w:r>
                </w:p>
              </w:tc>
              <w:tc>
                <w:tcPr>
                  <w:tcW w:w="878" w:type="dxa"/>
                  <w:tcBorders>
                    <w:top w:val="single" w:color="auto" w:sz="4" w:space="0"/>
                    <w:left w:val="single" w:color="auto" w:sz="4" w:space="0"/>
                    <w:bottom w:val="single" w:color="auto" w:sz="4" w:space="0"/>
                    <w:right w:val="single" w:color="auto" w:sz="4" w:space="0"/>
                  </w:tcBorders>
                  <w:shd w:val="clear" w:color="auto" w:fill="auto"/>
                  <w:tcMar>
                    <w:left w:w="57" w:type="dxa"/>
                    <w:right w:w="57" w:type="dxa"/>
                  </w:tcMar>
                  <w:vAlign w:val="center"/>
                </w:tcPr>
                <w:p w14:paraId="5CECE34F">
                  <w:pPr>
                    <w:keepNext w:val="0"/>
                    <w:keepLines w:val="0"/>
                    <w:pageBreakBefore w:val="0"/>
                    <w:suppressLineNumbers w:val="0"/>
                    <w:kinsoku/>
                    <w:wordWrap/>
                    <w:overflowPunct/>
                    <w:topLinePunct w:val="0"/>
                    <w:autoSpaceDE/>
                    <w:autoSpaceDN/>
                    <w:bidi w:val="0"/>
                    <w:adjustRightInd w:val="0"/>
                    <w:snapToGrid w:val="0"/>
                    <w:spacing w:before="0" w:beforeAutospacing="0" w:after="0" w:afterAutospacing="0" w:line="276" w:lineRule="auto"/>
                    <w:ind w:left="0" w:right="0"/>
                    <w:jc w:val="center"/>
                    <w:textAlignment w:val="auto"/>
                    <w:rPr>
                      <w:rFonts w:hint="eastAsia" w:ascii="Times New Roman" w:hAnsi="Times New Roman" w:eastAsia="宋体" w:cs="Times New Roman"/>
                      <w:kern w:val="2"/>
                      <w:sz w:val="18"/>
                      <w:szCs w:val="18"/>
                      <w:highlight w:val="none"/>
                      <w:lang w:val="en-US" w:eastAsia="zh-CN" w:bidi="ar-SA"/>
                    </w:rPr>
                  </w:pPr>
                  <w:r>
                    <w:rPr>
                      <w:rFonts w:hint="eastAsia" w:ascii="Times New Roman" w:hAnsi="Times New Roman" w:eastAsia="宋体" w:cs="Times New Roman"/>
                      <w:sz w:val="18"/>
                      <w:szCs w:val="18"/>
                      <w:highlight w:val="none"/>
                    </w:rPr>
                    <w:t>损伤性</w:t>
                  </w:r>
                  <w:r>
                    <w:rPr>
                      <w:rFonts w:hint="default" w:ascii="Times New Roman" w:hAnsi="Times New Roman" w:eastAsia="宋体" w:cs="Times New Roman"/>
                      <w:sz w:val="18"/>
                      <w:szCs w:val="18"/>
                      <w:highlight w:val="none"/>
                    </w:rPr>
                    <w:t>废物</w:t>
                  </w:r>
                </w:p>
              </w:tc>
              <w:tc>
                <w:tcPr>
                  <w:tcW w:w="1058" w:type="dxa"/>
                  <w:tcBorders>
                    <w:top w:val="single" w:color="auto" w:sz="4" w:space="0"/>
                    <w:left w:val="single" w:color="auto" w:sz="4" w:space="0"/>
                    <w:bottom w:val="single" w:color="auto" w:sz="4" w:space="0"/>
                    <w:right w:val="single" w:color="auto" w:sz="4" w:space="0"/>
                  </w:tcBorders>
                  <w:shd w:val="clear" w:color="auto" w:fill="auto"/>
                  <w:tcMar>
                    <w:left w:w="57" w:type="dxa"/>
                    <w:right w:w="57" w:type="dxa"/>
                  </w:tcMar>
                  <w:vAlign w:val="center"/>
                </w:tcPr>
                <w:p w14:paraId="04274477">
                  <w:pPr>
                    <w:pStyle w:val="129"/>
                    <w:keepNext w:val="0"/>
                    <w:keepLines w:val="0"/>
                    <w:pageBreakBefore w:val="0"/>
                    <w:suppressLineNumbers w:val="0"/>
                    <w:kinsoku/>
                    <w:wordWrap/>
                    <w:overflowPunct/>
                    <w:topLinePunct w:val="0"/>
                    <w:autoSpaceDE/>
                    <w:autoSpaceDN/>
                    <w:bidi w:val="0"/>
                    <w:adjustRightInd w:val="0"/>
                    <w:snapToGrid w:val="0"/>
                    <w:spacing w:before="0" w:beforeAutospacing="0" w:after="0" w:afterAutospacing="0" w:line="276" w:lineRule="auto"/>
                    <w:ind w:left="0" w:right="0"/>
                    <w:rPr>
                      <w:rFonts w:hint="default" w:ascii="Times New Roman" w:hAnsi="Times New Roman" w:eastAsia="宋体" w:cs="Times New Roman"/>
                      <w:color w:val="auto"/>
                      <w:kern w:val="0"/>
                      <w:sz w:val="18"/>
                      <w:szCs w:val="18"/>
                      <w:highlight w:val="none"/>
                      <w:lang w:val="en-US" w:eastAsia="zh-CN" w:bidi="ar-SA"/>
                    </w:rPr>
                  </w:pPr>
                  <w:r>
                    <w:rPr>
                      <w:rFonts w:hint="default" w:ascii="Times New Roman" w:hAnsi="Times New Roman" w:eastAsia="宋体" w:cs="Times New Roman"/>
                      <w:color w:val="auto"/>
                      <w:sz w:val="18"/>
                      <w:szCs w:val="18"/>
                      <w:highlight w:val="none"/>
                    </w:rPr>
                    <w:t>针头、刀片、</w:t>
                  </w:r>
                  <w:r>
                    <w:rPr>
                      <w:rFonts w:hint="eastAsia" w:ascii="Times New Roman" w:hAnsi="Times New Roman" w:eastAsia="宋体" w:cs="Times New Roman"/>
                      <w:color w:val="auto"/>
                      <w:sz w:val="18"/>
                      <w:szCs w:val="18"/>
                      <w:highlight w:val="none"/>
                    </w:rPr>
                    <w:t>载玻片</w:t>
                  </w:r>
                </w:p>
              </w:tc>
              <w:tc>
                <w:tcPr>
                  <w:tcW w:w="581" w:type="dxa"/>
                  <w:tcBorders>
                    <w:top w:val="single" w:color="auto" w:sz="4" w:space="0"/>
                    <w:left w:val="single" w:color="auto" w:sz="4" w:space="0"/>
                    <w:bottom w:val="single" w:color="auto" w:sz="4" w:space="0"/>
                    <w:right w:val="single" w:color="auto" w:sz="4" w:space="0"/>
                  </w:tcBorders>
                  <w:shd w:val="clear" w:color="auto" w:fill="auto"/>
                  <w:tcMar>
                    <w:left w:w="57" w:type="dxa"/>
                    <w:right w:w="57" w:type="dxa"/>
                  </w:tcMar>
                  <w:vAlign w:val="center"/>
                </w:tcPr>
                <w:p w14:paraId="2614AE41">
                  <w:pPr>
                    <w:pStyle w:val="129"/>
                    <w:keepNext w:val="0"/>
                    <w:keepLines w:val="0"/>
                    <w:pageBreakBefore w:val="0"/>
                    <w:suppressLineNumbers w:val="0"/>
                    <w:kinsoku/>
                    <w:wordWrap/>
                    <w:overflowPunct/>
                    <w:topLinePunct w:val="0"/>
                    <w:autoSpaceDE/>
                    <w:autoSpaceDN/>
                    <w:bidi w:val="0"/>
                    <w:adjustRightInd w:val="0"/>
                    <w:snapToGrid w:val="0"/>
                    <w:spacing w:before="0" w:beforeAutospacing="0" w:after="0" w:afterAutospacing="0" w:line="276" w:lineRule="auto"/>
                    <w:ind w:left="0" w:right="0"/>
                    <w:rPr>
                      <w:rFonts w:hint="default" w:ascii="Times New Roman" w:hAnsi="Times New Roman" w:eastAsia="宋体" w:cs="Times New Roman"/>
                      <w:color w:val="auto"/>
                      <w:kern w:val="0"/>
                      <w:sz w:val="18"/>
                      <w:szCs w:val="18"/>
                      <w:highlight w:val="none"/>
                      <w:lang w:val="en-US" w:eastAsia="zh-CN" w:bidi="ar-SA"/>
                    </w:rPr>
                  </w:pPr>
                  <w:r>
                    <w:rPr>
                      <w:rFonts w:hint="eastAsia" w:ascii="Times New Roman" w:hAnsi="Times New Roman" w:eastAsia="宋体" w:cs="Times New Roman"/>
                      <w:color w:val="auto"/>
                      <w:sz w:val="18"/>
                      <w:szCs w:val="18"/>
                      <w:highlight w:val="none"/>
                    </w:rPr>
                    <w:t>固体</w:t>
                  </w:r>
                </w:p>
              </w:tc>
              <w:tc>
                <w:tcPr>
                  <w:tcW w:w="1082" w:type="dxa"/>
                  <w:tcBorders>
                    <w:top w:val="single" w:color="auto" w:sz="4" w:space="0"/>
                    <w:left w:val="single" w:color="auto" w:sz="4" w:space="0"/>
                    <w:bottom w:val="single" w:color="auto" w:sz="4" w:space="0"/>
                    <w:right w:val="single" w:color="auto" w:sz="4" w:space="0"/>
                  </w:tcBorders>
                  <w:shd w:val="clear" w:color="auto" w:fill="auto"/>
                  <w:tcMar>
                    <w:left w:w="57" w:type="dxa"/>
                    <w:right w:w="57" w:type="dxa"/>
                  </w:tcMar>
                  <w:vAlign w:val="center"/>
                </w:tcPr>
                <w:p w14:paraId="6D41F7F9">
                  <w:pPr>
                    <w:pStyle w:val="129"/>
                    <w:keepNext w:val="0"/>
                    <w:keepLines w:val="0"/>
                    <w:pageBreakBefore w:val="0"/>
                    <w:suppressLineNumbers w:val="0"/>
                    <w:kinsoku/>
                    <w:wordWrap/>
                    <w:overflowPunct/>
                    <w:topLinePunct w:val="0"/>
                    <w:autoSpaceDE/>
                    <w:autoSpaceDN/>
                    <w:bidi w:val="0"/>
                    <w:adjustRightInd w:val="0"/>
                    <w:snapToGrid w:val="0"/>
                    <w:spacing w:before="0" w:beforeAutospacing="0" w:after="0" w:afterAutospacing="0" w:line="276" w:lineRule="auto"/>
                    <w:ind w:left="0" w:right="0"/>
                    <w:rPr>
                      <w:rFonts w:hint="default" w:ascii="Times New Roman" w:hAnsi="Times New Roman" w:eastAsia="宋体" w:cs="Times New Roman"/>
                      <w:color w:val="auto"/>
                      <w:kern w:val="0"/>
                      <w:sz w:val="18"/>
                      <w:szCs w:val="18"/>
                      <w:highlight w:val="none"/>
                      <w:lang w:val="en-US" w:eastAsia="zh-CN" w:bidi="ar-SA"/>
                    </w:rPr>
                  </w:pPr>
                  <w:r>
                    <w:rPr>
                      <w:rFonts w:hint="eastAsia" w:ascii="Times New Roman" w:hAnsi="Times New Roman" w:eastAsia="宋体" w:cs="Times New Roman"/>
                      <w:color w:val="auto"/>
                      <w:sz w:val="18"/>
                      <w:szCs w:val="18"/>
                      <w:highlight w:val="none"/>
                      <w:lang w:val="en-US" w:eastAsia="zh-CN"/>
                    </w:rPr>
                    <w:t>危险废物，</w:t>
                  </w:r>
                  <w:r>
                    <w:rPr>
                      <w:rFonts w:hint="default" w:ascii="Times New Roman" w:hAnsi="Times New Roman" w:eastAsia="宋体" w:cs="Times New Roman"/>
                      <w:color w:val="auto"/>
                      <w:sz w:val="18"/>
                      <w:szCs w:val="18"/>
                      <w:highlight w:val="none"/>
                    </w:rPr>
                    <w:t>841-002-01</w:t>
                  </w:r>
                </w:p>
              </w:tc>
              <w:tc>
                <w:tcPr>
                  <w:tcW w:w="895" w:type="dxa"/>
                  <w:tcBorders>
                    <w:top w:val="single" w:color="auto" w:sz="4" w:space="0"/>
                    <w:left w:val="single" w:color="auto" w:sz="4" w:space="0"/>
                    <w:bottom w:val="single" w:color="auto" w:sz="4" w:space="0"/>
                    <w:right w:val="single" w:color="auto" w:sz="4" w:space="0"/>
                  </w:tcBorders>
                  <w:shd w:val="clear" w:color="auto" w:fill="auto"/>
                  <w:tcMar>
                    <w:left w:w="57" w:type="dxa"/>
                    <w:right w:w="57" w:type="dxa"/>
                  </w:tcMar>
                  <w:vAlign w:val="center"/>
                </w:tcPr>
                <w:p w14:paraId="02260BBD">
                  <w:pPr>
                    <w:pStyle w:val="129"/>
                    <w:keepNext w:val="0"/>
                    <w:keepLines w:val="0"/>
                    <w:pageBreakBefore w:val="0"/>
                    <w:suppressLineNumbers w:val="0"/>
                    <w:kinsoku/>
                    <w:wordWrap/>
                    <w:overflowPunct/>
                    <w:topLinePunct w:val="0"/>
                    <w:autoSpaceDE/>
                    <w:autoSpaceDN/>
                    <w:bidi w:val="0"/>
                    <w:adjustRightInd w:val="0"/>
                    <w:snapToGrid w:val="0"/>
                    <w:spacing w:before="0" w:beforeAutospacing="0" w:after="0" w:afterAutospacing="0" w:line="276" w:lineRule="auto"/>
                    <w:ind w:left="0" w:right="0"/>
                    <w:rPr>
                      <w:rFonts w:hint="default" w:ascii="Times New Roman" w:hAnsi="Times New Roman" w:eastAsia="宋体" w:cs="Times New Roman"/>
                      <w:color w:val="auto"/>
                      <w:kern w:val="0"/>
                      <w:sz w:val="18"/>
                      <w:szCs w:val="18"/>
                      <w:highlight w:val="none"/>
                      <w:lang w:val="en-US" w:eastAsia="zh-CN" w:bidi="ar-SA"/>
                    </w:rPr>
                  </w:pPr>
                  <w:r>
                    <w:rPr>
                      <w:rFonts w:hint="default" w:ascii="Times New Roman" w:hAnsi="Times New Roman" w:eastAsia="宋体" w:cs="Times New Roman"/>
                      <w:color w:val="auto"/>
                      <w:sz w:val="18"/>
                      <w:szCs w:val="18"/>
                      <w:highlight w:val="none"/>
                    </w:rPr>
                    <w:t>针头、刀片、</w:t>
                  </w:r>
                  <w:r>
                    <w:rPr>
                      <w:rFonts w:hint="eastAsia" w:ascii="Times New Roman" w:hAnsi="Times New Roman" w:eastAsia="宋体" w:cs="Times New Roman"/>
                      <w:color w:val="auto"/>
                      <w:sz w:val="18"/>
                      <w:szCs w:val="18"/>
                      <w:highlight w:val="none"/>
                    </w:rPr>
                    <w:t>载玻片</w:t>
                  </w:r>
                </w:p>
              </w:tc>
              <w:tc>
                <w:tcPr>
                  <w:tcW w:w="675" w:type="dxa"/>
                  <w:tcBorders>
                    <w:top w:val="single" w:color="auto" w:sz="4" w:space="0"/>
                    <w:left w:val="single" w:color="auto" w:sz="4" w:space="0"/>
                    <w:bottom w:val="single" w:color="auto" w:sz="4" w:space="0"/>
                    <w:right w:val="single" w:color="auto" w:sz="4" w:space="0"/>
                  </w:tcBorders>
                  <w:shd w:val="clear" w:color="auto" w:fill="auto"/>
                  <w:tcMar>
                    <w:left w:w="57" w:type="dxa"/>
                    <w:right w:w="57" w:type="dxa"/>
                  </w:tcMar>
                  <w:vAlign w:val="center"/>
                </w:tcPr>
                <w:p w14:paraId="39D4F59F">
                  <w:pPr>
                    <w:pStyle w:val="129"/>
                    <w:keepNext w:val="0"/>
                    <w:keepLines w:val="0"/>
                    <w:pageBreakBefore w:val="0"/>
                    <w:suppressLineNumbers w:val="0"/>
                    <w:kinsoku/>
                    <w:wordWrap/>
                    <w:overflowPunct/>
                    <w:topLinePunct w:val="0"/>
                    <w:autoSpaceDE/>
                    <w:autoSpaceDN/>
                    <w:bidi w:val="0"/>
                    <w:adjustRightInd w:val="0"/>
                    <w:snapToGrid w:val="0"/>
                    <w:spacing w:before="0" w:beforeAutospacing="0" w:after="0" w:afterAutospacing="0" w:line="276" w:lineRule="auto"/>
                    <w:ind w:left="0" w:right="0"/>
                    <w:rPr>
                      <w:rFonts w:hint="default" w:ascii="Times New Roman" w:hAnsi="Times New Roman" w:eastAsia="宋体" w:cs="Times New Roman"/>
                      <w:color w:val="auto"/>
                      <w:kern w:val="0"/>
                      <w:sz w:val="18"/>
                      <w:szCs w:val="18"/>
                      <w:highlight w:val="none"/>
                      <w:lang w:val="en-US" w:eastAsia="zh-CN" w:bidi="ar-SA"/>
                    </w:rPr>
                  </w:pPr>
                  <w:r>
                    <w:rPr>
                      <w:rFonts w:hint="default" w:ascii="Times New Roman" w:hAnsi="Times New Roman" w:eastAsia="宋体" w:cs="Times New Roman"/>
                      <w:color w:val="auto"/>
                      <w:sz w:val="18"/>
                      <w:szCs w:val="18"/>
                      <w:highlight w:val="none"/>
                    </w:rPr>
                    <w:t>In</w:t>
                  </w:r>
                </w:p>
              </w:tc>
              <w:tc>
                <w:tcPr>
                  <w:tcW w:w="653" w:type="dxa"/>
                  <w:tcBorders>
                    <w:top w:val="single" w:color="auto" w:sz="4" w:space="0"/>
                    <w:left w:val="single" w:color="auto" w:sz="4" w:space="0"/>
                    <w:bottom w:val="single" w:color="auto" w:sz="4" w:space="0"/>
                    <w:right w:val="single" w:color="auto" w:sz="4" w:space="0"/>
                  </w:tcBorders>
                  <w:shd w:val="clear" w:color="auto" w:fill="auto"/>
                  <w:tcMar>
                    <w:left w:w="57" w:type="dxa"/>
                    <w:right w:w="57" w:type="dxa"/>
                  </w:tcMar>
                  <w:vAlign w:val="center"/>
                </w:tcPr>
                <w:p w14:paraId="3D769805">
                  <w:pPr>
                    <w:keepNext w:val="0"/>
                    <w:keepLines w:val="0"/>
                    <w:pageBreakBefore w:val="0"/>
                    <w:suppressLineNumbers w:val="0"/>
                    <w:kinsoku/>
                    <w:wordWrap/>
                    <w:overflowPunct/>
                    <w:topLinePunct w:val="0"/>
                    <w:autoSpaceDE/>
                    <w:autoSpaceDN/>
                    <w:bidi w:val="0"/>
                    <w:adjustRightInd w:val="0"/>
                    <w:snapToGrid w:val="0"/>
                    <w:spacing w:before="0" w:beforeAutospacing="0" w:after="0" w:afterAutospacing="0" w:line="276" w:lineRule="auto"/>
                    <w:ind w:left="0" w:right="0"/>
                    <w:jc w:val="center"/>
                    <w:textAlignment w:val="auto"/>
                    <w:rPr>
                      <w:rFonts w:hint="eastAsia" w:ascii="Times New Roman" w:hAnsi="Times New Roman" w:eastAsia="宋体" w:cs="Times New Roman"/>
                      <w:sz w:val="18"/>
                      <w:szCs w:val="18"/>
                      <w:highlight w:val="none"/>
                      <w:lang w:val="en-US" w:eastAsia="zh-CN"/>
                    </w:rPr>
                  </w:pPr>
                  <w:r>
                    <w:rPr>
                      <w:rFonts w:hint="eastAsia" w:ascii="Times New Roman" w:hAnsi="Times New Roman" w:eastAsia="宋体" w:cs="Times New Roman"/>
                      <w:sz w:val="18"/>
                      <w:szCs w:val="18"/>
                      <w:highlight w:val="none"/>
                    </w:rPr>
                    <w:t>10</w:t>
                  </w:r>
                </w:p>
              </w:tc>
              <w:tc>
                <w:tcPr>
                  <w:tcW w:w="794" w:type="dxa"/>
                  <w:tcBorders>
                    <w:top w:val="single" w:color="auto" w:sz="4" w:space="0"/>
                    <w:left w:val="single" w:color="auto" w:sz="4" w:space="0"/>
                    <w:bottom w:val="single" w:color="auto" w:sz="4" w:space="0"/>
                    <w:right w:val="single" w:color="auto" w:sz="4" w:space="0"/>
                  </w:tcBorders>
                  <w:shd w:val="clear" w:color="auto" w:fill="auto"/>
                  <w:tcMar>
                    <w:left w:w="57" w:type="dxa"/>
                    <w:right w:w="57" w:type="dxa"/>
                  </w:tcMar>
                  <w:vAlign w:val="center"/>
                </w:tcPr>
                <w:p w14:paraId="6A515A49">
                  <w:pPr>
                    <w:pStyle w:val="129"/>
                    <w:keepNext w:val="0"/>
                    <w:keepLines w:val="0"/>
                    <w:pageBreakBefore w:val="0"/>
                    <w:suppressLineNumbers w:val="0"/>
                    <w:kinsoku/>
                    <w:wordWrap/>
                    <w:overflowPunct/>
                    <w:topLinePunct w:val="0"/>
                    <w:autoSpaceDE/>
                    <w:autoSpaceDN/>
                    <w:bidi w:val="0"/>
                    <w:adjustRightInd w:val="0"/>
                    <w:snapToGrid w:val="0"/>
                    <w:spacing w:before="0" w:beforeAutospacing="0" w:after="0" w:afterAutospacing="0" w:line="276" w:lineRule="auto"/>
                    <w:ind w:left="0" w:right="0"/>
                    <w:rPr>
                      <w:rFonts w:hint="default" w:ascii="Times New Roman" w:hAnsi="Times New Roman" w:eastAsia="宋体" w:cs="Times New Roman"/>
                      <w:bCs/>
                      <w:color w:val="auto"/>
                      <w:kern w:val="0"/>
                      <w:sz w:val="18"/>
                      <w:szCs w:val="18"/>
                      <w:highlight w:val="none"/>
                      <w:lang w:val="zh-CN" w:eastAsia="zh-CN" w:bidi="ar-SA"/>
                    </w:rPr>
                  </w:pPr>
                  <w:r>
                    <w:rPr>
                      <w:rFonts w:hint="eastAsia" w:ascii="Times New Roman" w:hAnsi="Times New Roman" w:eastAsia="宋体" w:cs="Times New Roman"/>
                      <w:bCs/>
                      <w:color w:val="auto"/>
                      <w:sz w:val="18"/>
                      <w:szCs w:val="18"/>
                      <w:highlight w:val="none"/>
                      <w:lang w:val="zh-CN"/>
                    </w:rPr>
                    <w:t>利器盒</w:t>
                  </w:r>
                </w:p>
              </w:tc>
              <w:tc>
                <w:tcPr>
                  <w:tcW w:w="705" w:type="dxa"/>
                  <w:vMerge w:val="continue"/>
                  <w:tcBorders>
                    <w:left w:val="single" w:color="auto" w:sz="4" w:space="0"/>
                    <w:right w:val="single" w:color="auto" w:sz="4" w:space="0"/>
                  </w:tcBorders>
                  <w:tcMar>
                    <w:left w:w="57" w:type="dxa"/>
                    <w:right w:w="57" w:type="dxa"/>
                  </w:tcMar>
                  <w:vAlign w:val="center"/>
                </w:tcPr>
                <w:p w14:paraId="48765AE4">
                  <w:pPr>
                    <w:keepNext w:val="0"/>
                    <w:keepLines w:val="0"/>
                    <w:pageBreakBefore w:val="0"/>
                    <w:suppressLineNumbers w:val="0"/>
                    <w:kinsoku/>
                    <w:wordWrap/>
                    <w:overflowPunct/>
                    <w:topLinePunct w:val="0"/>
                    <w:autoSpaceDE/>
                    <w:autoSpaceDN/>
                    <w:bidi w:val="0"/>
                    <w:adjustRightInd w:val="0"/>
                    <w:snapToGrid w:val="0"/>
                    <w:spacing w:before="0" w:beforeAutospacing="0" w:after="0" w:afterAutospacing="0" w:line="276" w:lineRule="auto"/>
                    <w:ind w:left="0" w:right="0"/>
                    <w:jc w:val="center"/>
                    <w:rPr>
                      <w:rFonts w:hint="default" w:ascii="Times New Roman" w:hAnsi="Times New Roman" w:eastAsia="宋体" w:cs="Times New Roman"/>
                      <w:sz w:val="18"/>
                      <w:szCs w:val="18"/>
                      <w:highlight w:val="none"/>
                    </w:rPr>
                  </w:pPr>
                </w:p>
              </w:tc>
              <w:tc>
                <w:tcPr>
                  <w:tcW w:w="626" w:type="dxa"/>
                  <w:tcBorders>
                    <w:top w:val="single" w:color="auto" w:sz="4" w:space="0"/>
                    <w:left w:val="single" w:color="auto" w:sz="4" w:space="0"/>
                    <w:bottom w:val="single" w:color="auto" w:sz="4" w:space="0"/>
                    <w:right w:val="single" w:color="auto" w:sz="4" w:space="0"/>
                  </w:tcBorders>
                  <w:shd w:val="clear" w:color="auto" w:fill="auto"/>
                  <w:tcMar>
                    <w:left w:w="57" w:type="dxa"/>
                    <w:right w:w="57" w:type="dxa"/>
                  </w:tcMar>
                  <w:vAlign w:val="center"/>
                </w:tcPr>
                <w:p w14:paraId="3BC4CADE">
                  <w:pPr>
                    <w:keepNext w:val="0"/>
                    <w:keepLines w:val="0"/>
                    <w:pageBreakBefore w:val="0"/>
                    <w:suppressLineNumbers w:val="0"/>
                    <w:kinsoku/>
                    <w:wordWrap/>
                    <w:overflowPunct/>
                    <w:topLinePunct w:val="0"/>
                    <w:autoSpaceDE/>
                    <w:autoSpaceDN/>
                    <w:bidi w:val="0"/>
                    <w:adjustRightInd w:val="0"/>
                    <w:snapToGrid w:val="0"/>
                    <w:spacing w:before="0" w:beforeAutospacing="0" w:after="0" w:afterAutospacing="0" w:line="276" w:lineRule="auto"/>
                    <w:ind w:left="0" w:right="0"/>
                    <w:jc w:val="center"/>
                    <w:textAlignment w:val="auto"/>
                    <w:rPr>
                      <w:rFonts w:hint="eastAsia" w:ascii="Times New Roman" w:hAnsi="Times New Roman" w:eastAsia="宋体" w:cs="Times New Roman"/>
                      <w:kern w:val="2"/>
                      <w:sz w:val="18"/>
                      <w:szCs w:val="18"/>
                      <w:highlight w:val="none"/>
                      <w:lang w:val="en-US" w:eastAsia="zh-CN" w:bidi="ar-SA"/>
                    </w:rPr>
                  </w:pPr>
                  <w:r>
                    <w:rPr>
                      <w:rFonts w:hint="eastAsia" w:ascii="Times New Roman" w:hAnsi="Times New Roman" w:eastAsia="宋体" w:cs="Times New Roman"/>
                      <w:sz w:val="18"/>
                      <w:szCs w:val="18"/>
                      <w:highlight w:val="none"/>
                    </w:rPr>
                    <w:t>10</w:t>
                  </w:r>
                </w:p>
              </w:tc>
            </w:tr>
            <w:tr w14:paraId="14A60B9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975" w:hRule="atLeast"/>
                <w:jc w:val="center"/>
              </w:trPr>
              <w:tc>
                <w:tcPr>
                  <w:tcW w:w="307" w:type="dxa"/>
                  <w:tcBorders>
                    <w:top w:val="single" w:color="auto" w:sz="4" w:space="0"/>
                    <w:left w:val="single" w:color="auto" w:sz="4" w:space="0"/>
                    <w:bottom w:val="single" w:color="auto" w:sz="4" w:space="0"/>
                    <w:right w:val="single" w:color="auto" w:sz="4" w:space="0"/>
                  </w:tcBorders>
                  <w:shd w:val="clear" w:color="auto" w:fill="auto"/>
                  <w:tcMar>
                    <w:left w:w="57" w:type="dxa"/>
                    <w:right w:w="57" w:type="dxa"/>
                  </w:tcMar>
                  <w:vAlign w:val="center"/>
                </w:tcPr>
                <w:p w14:paraId="6E91B8D1">
                  <w:pPr>
                    <w:keepNext w:val="0"/>
                    <w:keepLines w:val="0"/>
                    <w:pageBreakBefore w:val="0"/>
                    <w:suppressLineNumbers w:val="0"/>
                    <w:kinsoku/>
                    <w:wordWrap/>
                    <w:overflowPunct/>
                    <w:topLinePunct w:val="0"/>
                    <w:autoSpaceDE/>
                    <w:autoSpaceDN/>
                    <w:bidi w:val="0"/>
                    <w:adjustRightInd w:val="0"/>
                    <w:snapToGrid w:val="0"/>
                    <w:spacing w:before="0" w:beforeAutospacing="0" w:after="0" w:afterAutospacing="0" w:line="276" w:lineRule="auto"/>
                    <w:ind w:left="0" w:leftChars="0" w:right="0" w:rightChars="0"/>
                    <w:jc w:val="center"/>
                    <w:rPr>
                      <w:rFonts w:hint="default" w:ascii="Times New Roman" w:hAnsi="Times New Roman" w:eastAsia="宋体" w:cs="Times New Roman"/>
                      <w:kern w:val="2"/>
                      <w:sz w:val="18"/>
                      <w:szCs w:val="18"/>
                      <w:highlight w:val="none"/>
                      <w:lang w:val="en-US" w:eastAsia="zh-CN" w:bidi="ar-SA"/>
                    </w:rPr>
                  </w:pPr>
                  <w:r>
                    <w:rPr>
                      <w:rFonts w:hint="eastAsia" w:ascii="Times New Roman" w:hAnsi="Times New Roman" w:eastAsia="宋体" w:cs="Times New Roman"/>
                      <w:sz w:val="18"/>
                      <w:szCs w:val="18"/>
                      <w:highlight w:val="none"/>
                      <w:lang w:val="en-US" w:eastAsia="zh-CN"/>
                    </w:rPr>
                    <w:t>11</w:t>
                  </w:r>
                </w:p>
              </w:tc>
              <w:tc>
                <w:tcPr>
                  <w:tcW w:w="878" w:type="dxa"/>
                  <w:tcBorders>
                    <w:top w:val="single" w:color="auto" w:sz="4" w:space="0"/>
                    <w:left w:val="single" w:color="auto" w:sz="4" w:space="0"/>
                    <w:bottom w:val="single" w:color="auto" w:sz="4" w:space="0"/>
                    <w:right w:val="single" w:color="auto" w:sz="4" w:space="0"/>
                  </w:tcBorders>
                  <w:shd w:val="clear" w:color="auto" w:fill="auto"/>
                  <w:tcMar>
                    <w:left w:w="57" w:type="dxa"/>
                    <w:right w:w="57" w:type="dxa"/>
                  </w:tcMar>
                  <w:vAlign w:val="center"/>
                </w:tcPr>
                <w:p w14:paraId="7B9A91C1">
                  <w:pPr>
                    <w:pStyle w:val="129"/>
                    <w:keepNext w:val="0"/>
                    <w:keepLines w:val="0"/>
                    <w:pageBreakBefore w:val="0"/>
                    <w:suppressLineNumbers w:val="0"/>
                    <w:kinsoku/>
                    <w:wordWrap/>
                    <w:overflowPunct/>
                    <w:topLinePunct w:val="0"/>
                    <w:autoSpaceDE/>
                    <w:autoSpaceDN/>
                    <w:bidi w:val="0"/>
                    <w:adjustRightInd w:val="0"/>
                    <w:snapToGrid w:val="0"/>
                    <w:spacing w:before="0" w:beforeAutospacing="0" w:after="0" w:afterAutospacing="0" w:line="276" w:lineRule="auto"/>
                    <w:ind w:left="0" w:right="0"/>
                    <w:rPr>
                      <w:rFonts w:hint="eastAsia" w:ascii="Times New Roman" w:hAnsi="Times New Roman" w:eastAsia="宋体" w:cs="Times New Roman"/>
                      <w:color w:val="000000"/>
                      <w:kern w:val="0"/>
                      <w:sz w:val="18"/>
                      <w:szCs w:val="18"/>
                      <w:highlight w:val="none"/>
                      <w:lang w:val="en-US" w:eastAsia="zh-CN" w:bidi="ar-SA"/>
                    </w:rPr>
                  </w:pPr>
                  <w:r>
                    <w:rPr>
                      <w:rFonts w:hint="default" w:ascii="Times New Roman" w:hAnsi="Times New Roman" w:eastAsia="宋体" w:cs="Times New Roman"/>
                      <w:color w:val="auto"/>
                      <w:sz w:val="18"/>
                      <w:szCs w:val="18"/>
                      <w:highlight w:val="none"/>
                    </w:rPr>
                    <w:t>病理性废物</w:t>
                  </w:r>
                </w:p>
              </w:tc>
              <w:tc>
                <w:tcPr>
                  <w:tcW w:w="1058" w:type="dxa"/>
                  <w:tcBorders>
                    <w:top w:val="single" w:color="auto" w:sz="4" w:space="0"/>
                    <w:left w:val="single" w:color="auto" w:sz="4" w:space="0"/>
                    <w:bottom w:val="single" w:color="auto" w:sz="4" w:space="0"/>
                    <w:right w:val="single" w:color="auto" w:sz="4" w:space="0"/>
                  </w:tcBorders>
                  <w:shd w:val="clear" w:color="auto" w:fill="auto"/>
                  <w:tcMar>
                    <w:left w:w="57" w:type="dxa"/>
                    <w:right w:w="57" w:type="dxa"/>
                  </w:tcMar>
                  <w:vAlign w:val="center"/>
                </w:tcPr>
                <w:p w14:paraId="4653593F">
                  <w:pPr>
                    <w:pStyle w:val="129"/>
                    <w:keepNext w:val="0"/>
                    <w:keepLines w:val="0"/>
                    <w:pageBreakBefore w:val="0"/>
                    <w:suppressLineNumbers w:val="0"/>
                    <w:kinsoku/>
                    <w:wordWrap/>
                    <w:overflowPunct/>
                    <w:topLinePunct w:val="0"/>
                    <w:autoSpaceDE/>
                    <w:autoSpaceDN/>
                    <w:bidi w:val="0"/>
                    <w:adjustRightInd w:val="0"/>
                    <w:snapToGrid w:val="0"/>
                    <w:spacing w:before="0" w:beforeAutospacing="0" w:after="0" w:afterAutospacing="0" w:line="276" w:lineRule="auto"/>
                    <w:ind w:left="0" w:right="0"/>
                    <w:rPr>
                      <w:rFonts w:hint="default" w:ascii="Times New Roman" w:hAnsi="Times New Roman" w:eastAsia="宋体" w:cs="Times New Roman"/>
                      <w:color w:val="auto"/>
                      <w:kern w:val="0"/>
                      <w:sz w:val="18"/>
                      <w:szCs w:val="18"/>
                      <w:highlight w:val="none"/>
                      <w:lang w:val="en-US" w:eastAsia="zh-CN" w:bidi="ar-SA"/>
                    </w:rPr>
                  </w:pPr>
                  <w:r>
                    <w:rPr>
                      <w:rFonts w:hint="default" w:ascii="Times New Roman" w:hAnsi="Times New Roman" w:eastAsia="宋体" w:cs="Times New Roman"/>
                      <w:color w:val="auto"/>
                      <w:sz w:val="18"/>
                      <w:szCs w:val="18"/>
                      <w:highlight w:val="none"/>
                    </w:rPr>
                    <w:t>动物尸体</w:t>
                  </w:r>
                  <w:r>
                    <w:rPr>
                      <w:rFonts w:hint="eastAsia" w:ascii="Times New Roman" w:hAnsi="Times New Roman" w:eastAsia="宋体" w:cs="Times New Roman"/>
                      <w:color w:val="auto"/>
                      <w:sz w:val="18"/>
                      <w:szCs w:val="18"/>
                      <w:highlight w:val="none"/>
                    </w:rPr>
                    <w:t>、</w:t>
                  </w:r>
                  <w:r>
                    <w:rPr>
                      <w:rFonts w:hint="default" w:ascii="Times New Roman" w:hAnsi="Times New Roman" w:eastAsia="宋体" w:cs="Times New Roman"/>
                      <w:color w:val="auto"/>
                      <w:sz w:val="18"/>
                      <w:szCs w:val="18"/>
                      <w:highlight w:val="none"/>
                    </w:rPr>
                    <w:t>动物组织</w:t>
                  </w:r>
                  <w:r>
                    <w:rPr>
                      <w:rFonts w:hint="eastAsia" w:ascii="Times New Roman" w:hAnsi="Times New Roman" w:eastAsia="宋体" w:cs="Times New Roman"/>
                      <w:color w:val="auto"/>
                      <w:sz w:val="18"/>
                      <w:szCs w:val="18"/>
                      <w:highlight w:val="none"/>
                    </w:rPr>
                    <w:t>、</w:t>
                  </w:r>
                  <w:r>
                    <w:rPr>
                      <w:rFonts w:hint="default" w:ascii="Times New Roman" w:hAnsi="Times New Roman" w:eastAsia="宋体" w:cs="Times New Roman"/>
                      <w:color w:val="auto"/>
                      <w:sz w:val="18"/>
                      <w:szCs w:val="18"/>
                      <w:highlight w:val="none"/>
                    </w:rPr>
                    <w:t>病理蜡片、废样本等</w:t>
                  </w:r>
                </w:p>
              </w:tc>
              <w:tc>
                <w:tcPr>
                  <w:tcW w:w="581" w:type="dxa"/>
                  <w:tcBorders>
                    <w:top w:val="single" w:color="auto" w:sz="4" w:space="0"/>
                    <w:left w:val="single" w:color="auto" w:sz="4" w:space="0"/>
                    <w:bottom w:val="single" w:color="auto" w:sz="4" w:space="0"/>
                    <w:right w:val="single" w:color="auto" w:sz="4" w:space="0"/>
                  </w:tcBorders>
                  <w:shd w:val="clear" w:color="auto" w:fill="auto"/>
                  <w:tcMar>
                    <w:left w:w="57" w:type="dxa"/>
                    <w:right w:w="57" w:type="dxa"/>
                  </w:tcMar>
                  <w:vAlign w:val="center"/>
                </w:tcPr>
                <w:p w14:paraId="7F53059F">
                  <w:pPr>
                    <w:pStyle w:val="129"/>
                    <w:keepNext w:val="0"/>
                    <w:keepLines w:val="0"/>
                    <w:pageBreakBefore w:val="0"/>
                    <w:suppressLineNumbers w:val="0"/>
                    <w:kinsoku/>
                    <w:wordWrap/>
                    <w:overflowPunct/>
                    <w:topLinePunct w:val="0"/>
                    <w:autoSpaceDE/>
                    <w:autoSpaceDN/>
                    <w:bidi w:val="0"/>
                    <w:adjustRightInd w:val="0"/>
                    <w:snapToGrid w:val="0"/>
                    <w:spacing w:before="0" w:beforeAutospacing="0" w:after="0" w:afterAutospacing="0" w:line="276" w:lineRule="auto"/>
                    <w:ind w:left="0" w:right="0"/>
                    <w:rPr>
                      <w:rFonts w:hint="default" w:ascii="Times New Roman" w:hAnsi="Times New Roman" w:eastAsia="宋体" w:cs="Times New Roman"/>
                      <w:color w:val="auto"/>
                      <w:kern w:val="0"/>
                      <w:sz w:val="18"/>
                      <w:szCs w:val="18"/>
                      <w:highlight w:val="none"/>
                      <w:lang w:val="en-US" w:eastAsia="zh-CN" w:bidi="ar-SA"/>
                    </w:rPr>
                  </w:pPr>
                  <w:r>
                    <w:rPr>
                      <w:rFonts w:hint="default" w:ascii="Times New Roman" w:hAnsi="Times New Roman" w:eastAsia="宋体" w:cs="Times New Roman"/>
                      <w:color w:val="auto"/>
                      <w:sz w:val="18"/>
                      <w:szCs w:val="18"/>
                      <w:highlight w:val="none"/>
                    </w:rPr>
                    <w:t>固体</w:t>
                  </w:r>
                </w:p>
              </w:tc>
              <w:tc>
                <w:tcPr>
                  <w:tcW w:w="1082" w:type="dxa"/>
                  <w:tcBorders>
                    <w:top w:val="single" w:color="auto" w:sz="4" w:space="0"/>
                    <w:left w:val="single" w:color="auto" w:sz="4" w:space="0"/>
                    <w:bottom w:val="single" w:color="auto" w:sz="4" w:space="0"/>
                    <w:right w:val="single" w:color="auto" w:sz="4" w:space="0"/>
                  </w:tcBorders>
                  <w:shd w:val="clear" w:color="auto" w:fill="auto"/>
                  <w:tcMar>
                    <w:left w:w="57" w:type="dxa"/>
                    <w:right w:w="57" w:type="dxa"/>
                  </w:tcMar>
                  <w:vAlign w:val="center"/>
                </w:tcPr>
                <w:p w14:paraId="18133359">
                  <w:pPr>
                    <w:pStyle w:val="129"/>
                    <w:keepNext w:val="0"/>
                    <w:keepLines w:val="0"/>
                    <w:pageBreakBefore w:val="0"/>
                    <w:suppressLineNumbers w:val="0"/>
                    <w:kinsoku/>
                    <w:wordWrap/>
                    <w:overflowPunct/>
                    <w:topLinePunct w:val="0"/>
                    <w:autoSpaceDE/>
                    <w:autoSpaceDN/>
                    <w:bidi w:val="0"/>
                    <w:adjustRightInd w:val="0"/>
                    <w:snapToGrid w:val="0"/>
                    <w:spacing w:before="0" w:beforeAutospacing="0" w:after="0" w:afterAutospacing="0" w:line="276" w:lineRule="auto"/>
                    <w:ind w:left="0" w:right="0"/>
                    <w:rPr>
                      <w:rFonts w:hint="default" w:ascii="Times New Roman" w:hAnsi="Times New Roman" w:eastAsia="宋体" w:cs="Times New Roman"/>
                      <w:color w:val="auto"/>
                      <w:kern w:val="0"/>
                      <w:sz w:val="18"/>
                      <w:szCs w:val="18"/>
                      <w:highlight w:val="none"/>
                      <w:lang w:val="en-US" w:eastAsia="zh-CN" w:bidi="ar-SA"/>
                    </w:rPr>
                  </w:pPr>
                  <w:r>
                    <w:rPr>
                      <w:rFonts w:hint="eastAsia" w:ascii="Times New Roman" w:hAnsi="Times New Roman" w:eastAsia="宋体" w:cs="Times New Roman"/>
                      <w:color w:val="auto"/>
                      <w:sz w:val="18"/>
                      <w:szCs w:val="18"/>
                      <w:highlight w:val="none"/>
                      <w:lang w:val="en-US" w:eastAsia="zh-CN"/>
                    </w:rPr>
                    <w:t>危险废物，</w:t>
                  </w:r>
                  <w:r>
                    <w:rPr>
                      <w:rFonts w:hint="default" w:ascii="Times New Roman" w:hAnsi="Times New Roman" w:eastAsia="宋体" w:cs="Times New Roman"/>
                      <w:color w:val="auto"/>
                      <w:sz w:val="18"/>
                      <w:szCs w:val="18"/>
                      <w:highlight w:val="none"/>
                    </w:rPr>
                    <w:t>841-003-01</w:t>
                  </w:r>
                </w:p>
              </w:tc>
              <w:tc>
                <w:tcPr>
                  <w:tcW w:w="895" w:type="dxa"/>
                  <w:tcBorders>
                    <w:top w:val="single" w:color="auto" w:sz="4" w:space="0"/>
                    <w:left w:val="single" w:color="auto" w:sz="4" w:space="0"/>
                    <w:bottom w:val="single" w:color="auto" w:sz="4" w:space="0"/>
                    <w:right w:val="single" w:color="auto" w:sz="4" w:space="0"/>
                  </w:tcBorders>
                  <w:shd w:val="clear" w:color="auto" w:fill="auto"/>
                  <w:tcMar>
                    <w:left w:w="57" w:type="dxa"/>
                    <w:right w:w="57" w:type="dxa"/>
                  </w:tcMar>
                  <w:vAlign w:val="center"/>
                </w:tcPr>
                <w:p w14:paraId="451617D4">
                  <w:pPr>
                    <w:pStyle w:val="129"/>
                    <w:keepNext w:val="0"/>
                    <w:keepLines w:val="0"/>
                    <w:pageBreakBefore w:val="0"/>
                    <w:suppressLineNumbers w:val="0"/>
                    <w:kinsoku/>
                    <w:wordWrap/>
                    <w:overflowPunct/>
                    <w:topLinePunct w:val="0"/>
                    <w:autoSpaceDE/>
                    <w:autoSpaceDN/>
                    <w:bidi w:val="0"/>
                    <w:adjustRightInd w:val="0"/>
                    <w:snapToGrid w:val="0"/>
                    <w:spacing w:before="0" w:beforeAutospacing="0" w:after="0" w:afterAutospacing="0" w:line="276" w:lineRule="auto"/>
                    <w:ind w:left="0" w:right="0"/>
                    <w:rPr>
                      <w:rFonts w:hint="default" w:ascii="Times New Roman" w:hAnsi="Times New Roman" w:eastAsia="宋体" w:cs="Times New Roman"/>
                      <w:color w:val="auto"/>
                      <w:kern w:val="0"/>
                      <w:sz w:val="18"/>
                      <w:szCs w:val="18"/>
                      <w:highlight w:val="none"/>
                      <w:lang w:val="en-US" w:eastAsia="zh-CN" w:bidi="ar-SA"/>
                    </w:rPr>
                  </w:pPr>
                  <w:r>
                    <w:rPr>
                      <w:rFonts w:hint="default" w:ascii="Times New Roman" w:hAnsi="Times New Roman" w:eastAsia="宋体" w:cs="Times New Roman"/>
                      <w:color w:val="auto"/>
                      <w:sz w:val="18"/>
                      <w:szCs w:val="18"/>
                      <w:highlight w:val="none"/>
                    </w:rPr>
                    <w:t>动物尸体</w:t>
                  </w:r>
                  <w:r>
                    <w:rPr>
                      <w:rFonts w:hint="eastAsia" w:ascii="Times New Roman" w:hAnsi="Times New Roman" w:eastAsia="宋体" w:cs="Times New Roman"/>
                      <w:color w:val="auto"/>
                      <w:sz w:val="18"/>
                      <w:szCs w:val="18"/>
                      <w:highlight w:val="none"/>
                    </w:rPr>
                    <w:t>、</w:t>
                  </w:r>
                  <w:r>
                    <w:rPr>
                      <w:rFonts w:hint="default" w:ascii="Times New Roman" w:hAnsi="Times New Roman" w:eastAsia="宋体" w:cs="Times New Roman"/>
                      <w:color w:val="auto"/>
                      <w:sz w:val="18"/>
                      <w:szCs w:val="18"/>
                      <w:highlight w:val="none"/>
                    </w:rPr>
                    <w:t>动物组织</w:t>
                  </w:r>
                  <w:r>
                    <w:rPr>
                      <w:rFonts w:hint="eastAsia" w:ascii="Times New Roman" w:hAnsi="Times New Roman" w:eastAsia="宋体" w:cs="Times New Roman"/>
                      <w:color w:val="auto"/>
                      <w:sz w:val="18"/>
                      <w:szCs w:val="18"/>
                      <w:highlight w:val="none"/>
                    </w:rPr>
                    <w:t>、</w:t>
                  </w:r>
                  <w:r>
                    <w:rPr>
                      <w:rFonts w:hint="default" w:ascii="Times New Roman" w:hAnsi="Times New Roman" w:eastAsia="宋体" w:cs="Times New Roman"/>
                      <w:color w:val="auto"/>
                      <w:sz w:val="18"/>
                      <w:szCs w:val="18"/>
                      <w:highlight w:val="none"/>
                    </w:rPr>
                    <w:t>病理蜡片、废样本等</w:t>
                  </w:r>
                </w:p>
              </w:tc>
              <w:tc>
                <w:tcPr>
                  <w:tcW w:w="675" w:type="dxa"/>
                  <w:tcBorders>
                    <w:top w:val="single" w:color="auto" w:sz="4" w:space="0"/>
                    <w:left w:val="single" w:color="auto" w:sz="4" w:space="0"/>
                    <w:bottom w:val="single" w:color="auto" w:sz="4" w:space="0"/>
                    <w:right w:val="single" w:color="auto" w:sz="4" w:space="0"/>
                  </w:tcBorders>
                  <w:shd w:val="clear" w:color="auto" w:fill="auto"/>
                  <w:tcMar>
                    <w:left w:w="57" w:type="dxa"/>
                    <w:right w:w="57" w:type="dxa"/>
                  </w:tcMar>
                  <w:vAlign w:val="center"/>
                </w:tcPr>
                <w:p w14:paraId="20AD56D0">
                  <w:pPr>
                    <w:pStyle w:val="129"/>
                    <w:keepNext w:val="0"/>
                    <w:keepLines w:val="0"/>
                    <w:pageBreakBefore w:val="0"/>
                    <w:suppressLineNumbers w:val="0"/>
                    <w:kinsoku/>
                    <w:wordWrap/>
                    <w:overflowPunct/>
                    <w:topLinePunct w:val="0"/>
                    <w:autoSpaceDE/>
                    <w:autoSpaceDN/>
                    <w:bidi w:val="0"/>
                    <w:adjustRightInd w:val="0"/>
                    <w:snapToGrid w:val="0"/>
                    <w:spacing w:before="0" w:beforeAutospacing="0" w:after="0" w:afterAutospacing="0" w:line="276" w:lineRule="auto"/>
                    <w:ind w:left="0" w:right="0"/>
                    <w:rPr>
                      <w:rFonts w:hint="default" w:ascii="Times New Roman" w:hAnsi="Times New Roman" w:eastAsia="宋体" w:cs="Times New Roman"/>
                      <w:color w:val="auto"/>
                      <w:kern w:val="0"/>
                      <w:sz w:val="18"/>
                      <w:szCs w:val="18"/>
                      <w:highlight w:val="none"/>
                      <w:lang w:val="en-US" w:eastAsia="zh-CN" w:bidi="ar-SA"/>
                    </w:rPr>
                  </w:pPr>
                  <w:r>
                    <w:rPr>
                      <w:rFonts w:hint="default" w:ascii="Times New Roman" w:hAnsi="Times New Roman" w:eastAsia="宋体" w:cs="Times New Roman"/>
                      <w:color w:val="auto"/>
                      <w:sz w:val="18"/>
                      <w:szCs w:val="18"/>
                      <w:highlight w:val="none"/>
                    </w:rPr>
                    <w:t>In</w:t>
                  </w:r>
                </w:p>
              </w:tc>
              <w:tc>
                <w:tcPr>
                  <w:tcW w:w="653" w:type="dxa"/>
                  <w:tcBorders>
                    <w:top w:val="single" w:color="auto" w:sz="4" w:space="0"/>
                    <w:left w:val="single" w:color="auto" w:sz="4" w:space="0"/>
                    <w:bottom w:val="single" w:color="auto" w:sz="4" w:space="0"/>
                    <w:right w:val="single" w:color="auto" w:sz="4" w:space="0"/>
                  </w:tcBorders>
                  <w:shd w:val="clear" w:color="auto" w:fill="auto"/>
                  <w:tcMar>
                    <w:left w:w="57" w:type="dxa"/>
                    <w:right w:w="57" w:type="dxa"/>
                  </w:tcMar>
                  <w:vAlign w:val="center"/>
                </w:tcPr>
                <w:p w14:paraId="06263A40">
                  <w:pPr>
                    <w:keepNext w:val="0"/>
                    <w:keepLines w:val="0"/>
                    <w:pageBreakBefore w:val="0"/>
                    <w:suppressLineNumbers w:val="0"/>
                    <w:kinsoku/>
                    <w:wordWrap/>
                    <w:overflowPunct/>
                    <w:topLinePunct w:val="0"/>
                    <w:autoSpaceDE/>
                    <w:autoSpaceDN/>
                    <w:bidi w:val="0"/>
                    <w:adjustRightInd w:val="0"/>
                    <w:snapToGrid w:val="0"/>
                    <w:spacing w:before="0" w:beforeAutospacing="0" w:after="0" w:afterAutospacing="0" w:line="276" w:lineRule="auto"/>
                    <w:ind w:left="0" w:right="0"/>
                    <w:jc w:val="center"/>
                    <w:textAlignment w:val="auto"/>
                    <w:rPr>
                      <w:rFonts w:hint="eastAsia" w:ascii="Times New Roman" w:hAnsi="Times New Roman" w:eastAsia="宋体" w:cs="Times New Roman"/>
                      <w:sz w:val="18"/>
                      <w:szCs w:val="18"/>
                      <w:highlight w:val="none"/>
                      <w:lang w:val="en-US" w:eastAsia="zh-CN"/>
                    </w:rPr>
                  </w:pPr>
                  <w:r>
                    <w:rPr>
                      <w:rFonts w:hint="eastAsia" w:ascii="Times New Roman" w:hAnsi="Times New Roman" w:eastAsia="宋体" w:cs="Times New Roman"/>
                      <w:sz w:val="18"/>
                      <w:szCs w:val="18"/>
                      <w:highlight w:val="none"/>
                    </w:rPr>
                    <w:t>25</w:t>
                  </w:r>
                </w:p>
              </w:tc>
              <w:tc>
                <w:tcPr>
                  <w:tcW w:w="794" w:type="dxa"/>
                  <w:tcBorders>
                    <w:top w:val="single" w:color="auto" w:sz="4" w:space="0"/>
                    <w:left w:val="single" w:color="auto" w:sz="4" w:space="0"/>
                    <w:bottom w:val="single" w:color="auto" w:sz="4" w:space="0"/>
                    <w:right w:val="single" w:color="auto" w:sz="4" w:space="0"/>
                  </w:tcBorders>
                  <w:shd w:val="clear" w:color="auto" w:fill="auto"/>
                  <w:tcMar>
                    <w:left w:w="57" w:type="dxa"/>
                    <w:right w:w="57" w:type="dxa"/>
                  </w:tcMar>
                  <w:vAlign w:val="center"/>
                </w:tcPr>
                <w:p w14:paraId="79BD78A0">
                  <w:pPr>
                    <w:pStyle w:val="129"/>
                    <w:keepNext w:val="0"/>
                    <w:keepLines w:val="0"/>
                    <w:pageBreakBefore w:val="0"/>
                    <w:suppressLineNumbers w:val="0"/>
                    <w:kinsoku/>
                    <w:wordWrap/>
                    <w:overflowPunct/>
                    <w:topLinePunct w:val="0"/>
                    <w:autoSpaceDE/>
                    <w:autoSpaceDN/>
                    <w:bidi w:val="0"/>
                    <w:adjustRightInd w:val="0"/>
                    <w:snapToGrid w:val="0"/>
                    <w:spacing w:before="0" w:beforeAutospacing="0" w:after="0" w:afterAutospacing="0" w:line="276" w:lineRule="auto"/>
                    <w:ind w:left="0" w:right="0"/>
                    <w:rPr>
                      <w:rFonts w:hint="default" w:ascii="Times New Roman" w:hAnsi="Times New Roman" w:eastAsia="宋体" w:cs="Times New Roman"/>
                      <w:bCs/>
                      <w:color w:val="auto"/>
                      <w:kern w:val="0"/>
                      <w:sz w:val="18"/>
                      <w:szCs w:val="18"/>
                      <w:highlight w:val="none"/>
                      <w:lang w:val="zh-CN" w:eastAsia="zh-CN" w:bidi="ar-SA"/>
                    </w:rPr>
                  </w:pPr>
                  <w:r>
                    <w:rPr>
                      <w:rFonts w:hint="eastAsia" w:ascii="Times New Roman" w:hAnsi="Times New Roman" w:eastAsia="宋体" w:cs="Times New Roman"/>
                      <w:bCs/>
                      <w:color w:val="auto"/>
                      <w:sz w:val="18"/>
                      <w:szCs w:val="18"/>
                      <w:highlight w:val="none"/>
                      <w:lang w:val="zh-CN"/>
                    </w:rPr>
                    <w:t>周转桶</w:t>
                  </w:r>
                </w:p>
              </w:tc>
              <w:tc>
                <w:tcPr>
                  <w:tcW w:w="705" w:type="dxa"/>
                  <w:vMerge w:val="continue"/>
                  <w:tcBorders>
                    <w:left w:val="single" w:color="auto" w:sz="4" w:space="0"/>
                    <w:right w:val="single" w:color="auto" w:sz="4" w:space="0"/>
                  </w:tcBorders>
                  <w:tcMar>
                    <w:left w:w="57" w:type="dxa"/>
                    <w:right w:w="57" w:type="dxa"/>
                  </w:tcMar>
                  <w:vAlign w:val="center"/>
                </w:tcPr>
                <w:p w14:paraId="3C2C02B7">
                  <w:pPr>
                    <w:keepNext w:val="0"/>
                    <w:keepLines w:val="0"/>
                    <w:pageBreakBefore w:val="0"/>
                    <w:suppressLineNumbers w:val="0"/>
                    <w:kinsoku/>
                    <w:wordWrap/>
                    <w:overflowPunct/>
                    <w:topLinePunct w:val="0"/>
                    <w:autoSpaceDE/>
                    <w:autoSpaceDN/>
                    <w:bidi w:val="0"/>
                    <w:adjustRightInd w:val="0"/>
                    <w:snapToGrid w:val="0"/>
                    <w:spacing w:before="0" w:beforeAutospacing="0" w:after="0" w:afterAutospacing="0" w:line="276" w:lineRule="auto"/>
                    <w:ind w:left="0" w:right="0"/>
                    <w:jc w:val="center"/>
                    <w:rPr>
                      <w:rFonts w:hint="default" w:ascii="Times New Roman" w:hAnsi="Times New Roman" w:eastAsia="宋体" w:cs="Times New Roman"/>
                      <w:sz w:val="18"/>
                      <w:szCs w:val="18"/>
                      <w:highlight w:val="none"/>
                    </w:rPr>
                  </w:pPr>
                </w:p>
              </w:tc>
              <w:tc>
                <w:tcPr>
                  <w:tcW w:w="626" w:type="dxa"/>
                  <w:tcBorders>
                    <w:top w:val="single" w:color="auto" w:sz="4" w:space="0"/>
                    <w:left w:val="single" w:color="auto" w:sz="4" w:space="0"/>
                    <w:bottom w:val="single" w:color="auto" w:sz="4" w:space="0"/>
                    <w:right w:val="single" w:color="auto" w:sz="4" w:space="0"/>
                  </w:tcBorders>
                  <w:shd w:val="clear" w:color="auto" w:fill="auto"/>
                  <w:tcMar>
                    <w:left w:w="57" w:type="dxa"/>
                    <w:right w:w="57" w:type="dxa"/>
                  </w:tcMar>
                  <w:vAlign w:val="center"/>
                </w:tcPr>
                <w:p w14:paraId="4E1C81F3">
                  <w:pPr>
                    <w:keepNext w:val="0"/>
                    <w:keepLines w:val="0"/>
                    <w:pageBreakBefore w:val="0"/>
                    <w:suppressLineNumbers w:val="0"/>
                    <w:kinsoku/>
                    <w:wordWrap/>
                    <w:overflowPunct/>
                    <w:topLinePunct w:val="0"/>
                    <w:autoSpaceDE/>
                    <w:autoSpaceDN/>
                    <w:bidi w:val="0"/>
                    <w:adjustRightInd w:val="0"/>
                    <w:snapToGrid w:val="0"/>
                    <w:spacing w:before="0" w:beforeAutospacing="0" w:after="0" w:afterAutospacing="0" w:line="276" w:lineRule="auto"/>
                    <w:ind w:left="0" w:right="0"/>
                    <w:jc w:val="center"/>
                    <w:textAlignment w:val="auto"/>
                    <w:rPr>
                      <w:rFonts w:hint="eastAsia" w:ascii="Times New Roman" w:hAnsi="Times New Roman" w:eastAsia="宋体" w:cs="Times New Roman"/>
                      <w:kern w:val="2"/>
                      <w:sz w:val="18"/>
                      <w:szCs w:val="18"/>
                      <w:highlight w:val="none"/>
                      <w:lang w:val="en-US" w:eastAsia="zh-CN" w:bidi="ar-SA"/>
                    </w:rPr>
                  </w:pPr>
                  <w:r>
                    <w:rPr>
                      <w:rFonts w:hint="eastAsia" w:ascii="Times New Roman" w:hAnsi="Times New Roman" w:eastAsia="宋体" w:cs="Times New Roman"/>
                      <w:sz w:val="18"/>
                      <w:szCs w:val="18"/>
                      <w:highlight w:val="none"/>
                    </w:rPr>
                    <w:t>25</w:t>
                  </w:r>
                </w:p>
              </w:tc>
            </w:tr>
            <w:tr w14:paraId="20A6F30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638" w:hRule="atLeast"/>
                <w:jc w:val="center"/>
              </w:trPr>
              <w:tc>
                <w:tcPr>
                  <w:tcW w:w="307" w:type="dxa"/>
                  <w:tcBorders>
                    <w:top w:val="single" w:color="auto" w:sz="4" w:space="0"/>
                    <w:left w:val="single" w:color="auto" w:sz="4" w:space="0"/>
                    <w:bottom w:val="single" w:color="auto" w:sz="4" w:space="0"/>
                    <w:right w:val="single" w:color="auto" w:sz="4" w:space="0"/>
                  </w:tcBorders>
                  <w:shd w:val="clear" w:color="auto" w:fill="auto"/>
                  <w:tcMar>
                    <w:left w:w="57" w:type="dxa"/>
                    <w:right w:w="57" w:type="dxa"/>
                  </w:tcMar>
                  <w:vAlign w:val="center"/>
                </w:tcPr>
                <w:p w14:paraId="1AA35B28">
                  <w:pPr>
                    <w:keepNext w:val="0"/>
                    <w:keepLines w:val="0"/>
                    <w:pageBreakBefore w:val="0"/>
                    <w:suppressLineNumbers w:val="0"/>
                    <w:kinsoku/>
                    <w:wordWrap/>
                    <w:overflowPunct/>
                    <w:topLinePunct w:val="0"/>
                    <w:autoSpaceDE/>
                    <w:autoSpaceDN/>
                    <w:bidi w:val="0"/>
                    <w:adjustRightInd w:val="0"/>
                    <w:snapToGrid w:val="0"/>
                    <w:spacing w:before="0" w:beforeAutospacing="0" w:after="0" w:afterAutospacing="0" w:line="276" w:lineRule="auto"/>
                    <w:ind w:left="0" w:leftChars="0" w:right="0" w:rightChars="0"/>
                    <w:jc w:val="center"/>
                    <w:rPr>
                      <w:rFonts w:hint="default" w:ascii="Times New Roman" w:hAnsi="Times New Roman" w:eastAsia="宋体" w:cs="Times New Roman"/>
                      <w:kern w:val="2"/>
                      <w:sz w:val="18"/>
                      <w:szCs w:val="18"/>
                      <w:highlight w:val="none"/>
                      <w:lang w:val="en-US" w:eastAsia="zh-CN" w:bidi="ar-SA"/>
                    </w:rPr>
                  </w:pPr>
                  <w:r>
                    <w:rPr>
                      <w:rFonts w:hint="eastAsia" w:ascii="Times New Roman" w:hAnsi="Times New Roman" w:eastAsia="宋体" w:cs="Times New Roman"/>
                      <w:sz w:val="18"/>
                      <w:szCs w:val="18"/>
                      <w:highlight w:val="none"/>
                      <w:lang w:val="en-US" w:eastAsia="zh-CN"/>
                    </w:rPr>
                    <w:t>12</w:t>
                  </w:r>
                </w:p>
              </w:tc>
              <w:tc>
                <w:tcPr>
                  <w:tcW w:w="878" w:type="dxa"/>
                  <w:tcBorders>
                    <w:top w:val="single" w:color="auto" w:sz="4" w:space="0"/>
                    <w:left w:val="single" w:color="auto" w:sz="4" w:space="0"/>
                    <w:bottom w:val="single" w:color="auto" w:sz="4" w:space="0"/>
                    <w:right w:val="single" w:color="auto" w:sz="4" w:space="0"/>
                  </w:tcBorders>
                  <w:shd w:val="clear" w:color="auto" w:fill="auto"/>
                  <w:tcMar>
                    <w:left w:w="57" w:type="dxa"/>
                    <w:right w:w="57" w:type="dxa"/>
                  </w:tcMar>
                  <w:vAlign w:val="center"/>
                </w:tcPr>
                <w:p w14:paraId="6632B55C">
                  <w:pPr>
                    <w:pStyle w:val="129"/>
                    <w:keepNext w:val="0"/>
                    <w:keepLines w:val="0"/>
                    <w:pageBreakBefore w:val="0"/>
                    <w:suppressLineNumbers w:val="0"/>
                    <w:kinsoku/>
                    <w:wordWrap/>
                    <w:overflowPunct/>
                    <w:topLinePunct w:val="0"/>
                    <w:autoSpaceDE/>
                    <w:autoSpaceDN/>
                    <w:bidi w:val="0"/>
                    <w:adjustRightInd w:val="0"/>
                    <w:snapToGrid w:val="0"/>
                    <w:spacing w:before="0" w:beforeAutospacing="0" w:after="0" w:afterAutospacing="0" w:line="276" w:lineRule="auto"/>
                    <w:ind w:left="0" w:right="0"/>
                    <w:rPr>
                      <w:rFonts w:hint="eastAsia" w:ascii="Times New Roman" w:hAnsi="Times New Roman" w:eastAsia="宋体" w:cs="Times New Roman"/>
                      <w:color w:val="000000"/>
                      <w:kern w:val="0"/>
                      <w:sz w:val="18"/>
                      <w:szCs w:val="18"/>
                      <w:highlight w:val="none"/>
                      <w:lang w:val="en-US" w:eastAsia="zh-CN" w:bidi="ar-SA"/>
                    </w:rPr>
                  </w:pPr>
                  <w:r>
                    <w:rPr>
                      <w:rFonts w:hint="eastAsia" w:ascii="Times New Roman" w:hAnsi="Times New Roman" w:eastAsia="宋体" w:cs="Times New Roman"/>
                      <w:color w:val="auto"/>
                      <w:sz w:val="18"/>
                      <w:szCs w:val="18"/>
                      <w:highlight w:val="none"/>
                    </w:rPr>
                    <w:t>药物性</w:t>
                  </w:r>
                  <w:r>
                    <w:rPr>
                      <w:rFonts w:hint="default" w:ascii="Times New Roman" w:hAnsi="Times New Roman" w:eastAsia="宋体" w:cs="Times New Roman"/>
                      <w:color w:val="auto"/>
                      <w:sz w:val="18"/>
                      <w:szCs w:val="18"/>
                      <w:highlight w:val="none"/>
                    </w:rPr>
                    <w:t>废物</w:t>
                  </w:r>
                </w:p>
              </w:tc>
              <w:tc>
                <w:tcPr>
                  <w:tcW w:w="1058" w:type="dxa"/>
                  <w:tcBorders>
                    <w:top w:val="single" w:color="auto" w:sz="4" w:space="0"/>
                    <w:left w:val="single" w:color="auto" w:sz="4" w:space="0"/>
                    <w:bottom w:val="single" w:color="auto" w:sz="4" w:space="0"/>
                    <w:right w:val="single" w:color="auto" w:sz="4" w:space="0"/>
                  </w:tcBorders>
                  <w:shd w:val="clear" w:color="auto" w:fill="auto"/>
                  <w:tcMar>
                    <w:left w:w="57" w:type="dxa"/>
                    <w:right w:w="57" w:type="dxa"/>
                  </w:tcMar>
                  <w:vAlign w:val="center"/>
                </w:tcPr>
                <w:p w14:paraId="459326F3">
                  <w:pPr>
                    <w:pStyle w:val="129"/>
                    <w:keepNext w:val="0"/>
                    <w:keepLines w:val="0"/>
                    <w:pageBreakBefore w:val="0"/>
                    <w:suppressLineNumbers w:val="0"/>
                    <w:kinsoku/>
                    <w:wordWrap/>
                    <w:overflowPunct/>
                    <w:topLinePunct w:val="0"/>
                    <w:autoSpaceDE/>
                    <w:autoSpaceDN/>
                    <w:bidi w:val="0"/>
                    <w:adjustRightInd w:val="0"/>
                    <w:snapToGrid w:val="0"/>
                    <w:spacing w:before="0" w:beforeAutospacing="0" w:after="0" w:afterAutospacing="0" w:line="276" w:lineRule="auto"/>
                    <w:ind w:left="0" w:right="0"/>
                    <w:rPr>
                      <w:rFonts w:hint="default" w:ascii="Times New Roman" w:hAnsi="Times New Roman" w:eastAsia="宋体" w:cs="Times New Roman"/>
                      <w:color w:val="auto"/>
                      <w:kern w:val="0"/>
                      <w:sz w:val="18"/>
                      <w:szCs w:val="18"/>
                      <w:highlight w:val="none"/>
                      <w:lang w:val="en-US" w:eastAsia="zh-CN" w:bidi="ar-SA"/>
                    </w:rPr>
                  </w:pPr>
                  <w:r>
                    <w:rPr>
                      <w:rFonts w:hint="eastAsia" w:ascii="Times New Roman" w:hAnsi="Times New Roman" w:eastAsia="宋体" w:cs="Times New Roman"/>
                      <w:color w:val="auto"/>
                      <w:sz w:val="18"/>
                      <w:szCs w:val="18"/>
                      <w:highlight w:val="none"/>
                    </w:rPr>
                    <w:t>药物、</w:t>
                  </w:r>
                  <w:r>
                    <w:rPr>
                      <w:rFonts w:hint="default" w:ascii="Times New Roman" w:hAnsi="Times New Roman" w:eastAsia="宋体" w:cs="Times New Roman"/>
                      <w:color w:val="auto"/>
                      <w:sz w:val="18"/>
                      <w:szCs w:val="18"/>
                      <w:highlight w:val="none"/>
                    </w:rPr>
                    <w:t>血液制品</w:t>
                  </w:r>
                  <w:r>
                    <w:rPr>
                      <w:rFonts w:hint="eastAsia" w:ascii="Times New Roman" w:hAnsi="Times New Roman" w:eastAsia="宋体" w:cs="Times New Roman"/>
                      <w:color w:val="auto"/>
                      <w:sz w:val="18"/>
                      <w:szCs w:val="18"/>
                      <w:highlight w:val="none"/>
                    </w:rPr>
                    <w:t>等</w:t>
                  </w:r>
                </w:p>
              </w:tc>
              <w:tc>
                <w:tcPr>
                  <w:tcW w:w="581" w:type="dxa"/>
                  <w:tcBorders>
                    <w:top w:val="single" w:color="auto" w:sz="4" w:space="0"/>
                    <w:left w:val="single" w:color="auto" w:sz="4" w:space="0"/>
                    <w:bottom w:val="single" w:color="auto" w:sz="4" w:space="0"/>
                    <w:right w:val="single" w:color="auto" w:sz="4" w:space="0"/>
                  </w:tcBorders>
                  <w:shd w:val="clear" w:color="auto" w:fill="auto"/>
                  <w:tcMar>
                    <w:left w:w="57" w:type="dxa"/>
                    <w:right w:w="57" w:type="dxa"/>
                  </w:tcMar>
                  <w:vAlign w:val="center"/>
                </w:tcPr>
                <w:p w14:paraId="01CD875B">
                  <w:pPr>
                    <w:pStyle w:val="129"/>
                    <w:keepNext w:val="0"/>
                    <w:keepLines w:val="0"/>
                    <w:pageBreakBefore w:val="0"/>
                    <w:suppressLineNumbers w:val="0"/>
                    <w:kinsoku/>
                    <w:wordWrap/>
                    <w:overflowPunct/>
                    <w:topLinePunct w:val="0"/>
                    <w:autoSpaceDE/>
                    <w:autoSpaceDN/>
                    <w:bidi w:val="0"/>
                    <w:adjustRightInd w:val="0"/>
                    <w:snapToGrid w:val="0"/>
                    <w:spacing w:before="0" w:beforeAutospacing="0" w:after="0" w:afterAutospacing="0" w:line="276" w:lineRule="auto"/>
                    <w:ind w:left="0" w:right="0"/>
                    <w:rPr>
                      <w:rFonts w:hint="default" w:ascii="Times New Roman" w:hAnsi="Times New Roman" w:eastAsia="宋体" w:cs="Times New Roman"/>
                      <w:color w:val="auto"/>
                      <w:kern w:val="0"/>
                      <w:sz w:val="18"/>
                      <w:szCs w:val="18"/>
                      <w:highlight w:val="none"/>
                      <w:lang w:val="en-US" w:eastAsia="zh-CN" w:bidi="ar-SA"/>
                    </w:rPr>
                  </w:pPr>
                  <w:r>
                    <w:rPr>
                      <w:rFonts w:hint="eastAsia" w:ascii="Times New Roman" w:hAnsi="Times New Roman" w:eastAsia="宋体" w:cs="Times New Roman"/>
                      <w:color w:val="auto"/>
                      <w:sz w:val="18"/>
                      <w:szCs w:val="18"/>
                      <w:highlight w:val="none"/>
                    </w:rPr>
                    <w:t>固体/液体</w:t>
                  </w:r>
                </w:p>
              </w:tc>
              <w:tc>
                <w:tcPr>
                  <w:tcW w:w="1082" w:type="dxa"/>
                  <w:tcBorders>
                    <w:top w:val="single" w:color="auto" w:sz="4" w:space="0"/>
                    <w:left w:val="single" w:color="auto" w:sz="4" w:space="0"/>
                    <w:bottom w:val="single" w:color="auto" w:sz="4" w:space="0"/>
                    <w:right w:val="single" w:color="auto" w:sz="4" w:space="0"/>
                  </w:tcBorders>
                  <w:shd w:val="clear" w:color="auto" w:fill="auto"/>
                  <w:tcMar>
                    <w:left w:w="57" w:type="dxa"/>
                    <w:right w:w="57" w:type="dxa"/>
                  </w:tcMar>
                  <w:vAlign w:val="center"/>
                </w:tcPr>
                <w:p w14:paraId="42BC0FDE">
                  <w:pPr>
                    <w:pStyle w:val="129"/>
                    <w:keepNext w:val="0"/>
                    <w:keepLines w:val="0"/>
                    <w:pageBreakBefore w:val="0"/>
                    <w:suppressLineNumbers w:val="0"/>
                    <w:kinsoku/>
                    <w:wordWrap/>
                    <w:overflowPunct/>
                    <w:topLinePunct w:val="0"/>
                    <w:autoSpaceDE/>
                    <w:autoSpaceDN/>
                    <w:bidi w:val="0"/>
                    <w:adjustRightInd w:val="0"/>
                    <w:snapToGrid w:val="0"/>
                    <w:spacing w:before="0" w:beforeAutospacing="0" w:after="0" w:afterAutospacing="0" w:line="276" w:lineRule="auto"/>
                    <w:ind w:left="0" w:right="0"/>
                    <w:rPr>
                      <w:rFonts w:hint="default" w:ascii="Times New Roman" w:hAnsi="Times New Roman" w:eastAsia="宋体" w:cs="Times New Roman"/>
                      <w:color w:val="auto"/>
                      <w:kern w:val="0"/>
                      <w:sz w:val="18"/>
                      <w:szCs w:val="18"/>
                      <w:highlight w:val="none"/>
                      <w:lang w:val="en-US" w:eastAsia="zh-CN" w:bidi="ar-SA"/>
                    </w:rPr>
                  </w:pPr>
                  <w:r>
                    <w:rPr>
                      <w:rFonts w:hint="eastAsia" w:ascii="Times New Roman" w:hAnsi="Times New Roman" w:eastAsia="宋体" w:cs="Times New Roman"/>
                      <w:color w:val="auto"/>
                      <w:sz w:val="18"/>
                      <w:szCs w:val="18"/>
                      <w:highlight w:val="none"/>
                      <w:lang w:val="en-US" w:eastAsia="zh-CN"/>
                    </w:rPr>
                    <w:t>危险废物，</w:t>
                  </w:r>
                  <w:r>
                    <w:rPr>
                      <w:rFonts w:hint="default" w:ascii="Times New Roman" w:hAnsi="Times New Roman" w:eastAsia="宋体" w:cs="Times New Roman"/>
                      <w:color w:val="auto"/>
                      <w:sz w:val="18"/>
                      <w:szCs w:val="18"/>
                      <w:highlight w:val="none"/>
                    </w:rPr>
                    <w:t>841-005-01</w:t>
                  </w:r>
                </w:p>
              </w:tc>
              <w:tc>
                <w:tcPr>
                  <w:tcW w:w="895" w:type="dxa"/>
                  <w:tcBorders>
                    <w:top w:val="single" w:color="auto" w:sz="4" w:space="0"/>
                    <w:left w:val="single" w:color="auto" w:sz="4" w:space="0"/>
                    <w:bottom w:val="single" w:color="auto" w:sz="4" w:space="0"/>
                    <w:right w:val="single" w:color="auto" w:sz="4" w:space="0"/>
                  </w:tcBorders>
                  <w:shd w:val="clear" w:color="auto" w:fill="auto"/>
                  <w:tcMar>
                    <w:left w:w="57" w:type="dxa"/>
                    <w:right w:w="57" w:type="dxa"/>
                  </w:tcMar>
                  <w:vAlign w:val="center"/>
                </w:tcPr>
                <w:p w14:paraId="20A5A103">
                  <w:pPr>
                    <w:pStyle w:val="129"/>
                    <w:keepNext w:val="0"/>
                    <w:keepLines w:val="0"/>
                    <w:pageBreakBefore w:val="0"/>
                    <w:suppressLineNumbers w:val="0"/>
                    <w:kinsoku/>
                    <w:wordWrap/>
                    <w:overflowPunct/>
                    <w:topLinePunct w:val="0"/>
                    <w:autoSpaceDE/>
                    <w:autoSpaceDN/>
                    <w:bidi w:val="0"/>
                    <w:adjustRightInd w:val="0"/>
                    <w:snapToGrid w:val="0"/>
                    <w:spacing w:before="0" w:beforeAutospacing="0" w:after="0" w:afterAutospacing="0" w:line="276" w:lineRule="auto"/>
                    <w:ind w:left="0" w:right="0"/>
                    <w:rPr>
                      <w:rFonts w:hint="default" w:ascii="Times New Roman" w:hAnsi="Times New Roman" w:eastAsia="宋体" w:cs="Times New Roman"/>
                      <w:color w:val="auto"/>
                      <w:kern w:val="0"/>
                      <w:sz w:val="18"/>
                      <w:szCs w:val="18"/>
                      <w:highlight w:val="none"/>
                      <w:lang w:val="en-US" w:eastAsia="zh-CN" w:bidi="ar-SA"/>
                    </w:rPr>
                  </w:pPr>
                  <w:r>
                    <w:rPr>
                      <w:rFonts w:hint="eastAsia" w:ascii="Times New Roman" w:hAnsi="Times New Roman" w:eastAsia="宋体" w:cs="Times New Roman"/>
                      <w:color w:val="auto"/>
                      <w:sz w:val="18"/>
                      <w:szCs w:val="18"/>
                      <w:highlight w:val="none"/>
                    </w:rPr>
                    <w:t>药物、</w:t>
                  </w:r>
                  <w:r>
                    <w:rPr>
                      <w:rFonts w:hint="default" w:ascii="Times New Roman" w:hAnsi="Times New Roman" w:eastAsia="宋体" w:cs="Times New Roman"/>
                      <w:color w:val="auto"/>
                      <w:sz w:val="18"/>
                      <w:szCs w:val="18"/>
                      <w:highlight w:val="none"/>
                    </w:rPr>
                    <w:t>血液制品</w:t>
                  </w:r>
                  <w:r>
                    <w:rPr>
                      <w:rFonts w:hint="eastAsia" w:ascii="Times New Roman" w:hAnsi="Times New Roman" w:eastAsia="宋体" w:cs="Times New Roman"/>
                      <w:color w:val="auto"/>
                      <w:sz w:val="18"/>
                      <w:szCs w:val="18"/>
                      <w:highlight w:val="none"/>
                    </w:rPr>
                    <w:t>等</w:t>
                  </w:r>
                </w:p>
              </w:tc>
              <w:tc>
                <w:tcPr>
                  <w:tcW w:w="675" w:type="dxa"/>
                  <w:tcBorders>
                    <w:top w:val="single" w:color="auto" w:sz="4" w:space="0"/>
                    <w:left w:val="single" w:color="auto" w:sz="4" w:space="0"/>
                    <w:bottom w:val="single" w:color="auto" w:sz="4" w:space="0"/>
                    <w:right w:val="single" w:color="auto" w:sz="4" w:space="0"/>
                  </w:tcBorders>
                  <w:shd w:val="clear" w:color="auto" w:fill="auto"/>
                  <w:tcMar>
                    <w:left w:w="57" w:type="dxa"/>
                    <w:right w:w="57" w:type="dxa"/>
                  </w:tcMar>
                  <w:vAlign w:val="center"/>
                </w:tcPr>
                <w:p w14:paraId="2361529D">
                  <w:pPr>
                    <w:pStyle w:val="129"/>
                    <w:keepNext w:val="0"/>
                    <w:keepLines w:val="0"/>
                    <w:pageBreakBefore w:val="0"/>
                    <w:suppressLineNumbers w:val="0"/>
                    <w:kinsoku/>
                    <w:wordWrap/>
                    <w:overflowPunct/>
                    <w:topLinePunct w:val="0"/>
                    <w:autoSpaceDE/>
                    <w:autoSpaceDN/>
                    <w:bidi w:val="0"/>
                    <w:adjustRightInd w:val="0"/>
                    <w:snapToGrid w:val="0"/>
                    <w:spacing w:before="0" w:beforeAutospacing="0" w:after="0" w:afterAutospacing="0" w:line="276" w:lineRule="auto"/>
                    <w:ind w:left="0" w:right="0"/>
                    <w:rPr>
                      <w:rFonts w:hint="default" w:ascii="Times New Roman" w:hAnsi="Times New Roman" w:eastAsia="宋体" w:cs="Times New Roman"/>
                      <w:color w:val="auto"/>
                      <w:kern w:val="0"/>
                      <w:sz w:val="18"/>
                      <w:szCs w:val="18"/>
                      <w:highlight w:val="none"/>
                      <w:lang w:val="en-US" w:eastAsia="zh-CN" w:bidi="ar-SA"/>
                    </w:rPr>
                  </w:pPr>
                  <w:r>
                    <w:rPr>
                      <w:rFonts w:hint="eastAsia" w:ascii="Times New Roman" w:hAnsi="Times New Roman" w:eastAsia="宋体" w:cs="Times New Roman"/>
                      <w:color w:val="auto"/>
                      <w:sz w:val="18"/>
                      <w:szCs w:val="18"/>
                      <w:highlight w:val="none"/>
                    </w:rPr>
                    <w:t>T</w:t>
                  </w:r>
                </w:p>
              </w:tc>
              <w:tc>
                <w:tcPr>
                  <w:tcW w:w="653" w:type="dxa"/>
                  <w:tcBorders>
                    <w:top w:val="single" w:color="auto" w:sz="4" w:space="0"/>
                    <w:left w:val="single" w:color="auto" w:sz="4" w:space="0"/>
                    <w:bottom w:val="single" w:color="auto" w:sz="4" w:space="0"/>
                    <w:right w:val="single" w:color="auto" w:sz="4" w:space="0"/>
                  </w:tcBorders>
                  <w:shd w:val="clear" w:color="auto" w:fill="auto"/>
                  <w:tcMar>
                    <w:left w:w="57" w:type="dxa"/>
                    <w:right w:w="57" w:type="dxa"/>
                  </w:tcMar>
                  <w:vAlign w:val="center"/>
                </w:tcPr>
                <w:p w14:paraId="18A0C8BB">
                  <w:pPr>
                    <w:keepNext w:val="0"/>
                    <w:keepLines w:val="0"/>
                    <w:pageBreakBefore w:val="0"/>
                    <w:suppressLineNumbers w:val="0"/>
                    <w:kinsoku/>
                    <w:wordWrap/>
                    <w:overflowPunct/>
                    <w:topLinePunct w:val="0"/>
                    <w:autoSpaceDE/>
                    <w:autoSpaceDN/>
                    <w:bidi w:val="0"/>
                    <w:adjustRightInd w:val="0"/>
                    <w:snapToGrid w:val="0"/>
                    <w:spacing w:before="0" w:beforeAutospacing="0" w:after="0" w:afterAutospacing="0" w:line="276" w:lineRule="auto"/>
                    <w:ind w:left="0" w:right="0"/>
                    <w:jc w:val="center"/>
                    <w:textAlignment w:val="auto"/>
                    <w:rPr>
                      <w:rFonts w:hint="eastAsia" w:ascii="Times New Roman" w:hAnsi="Times New Roman" w:eastAsia="宋体" w:cs="Times New Roman"/>
                      <w:sz w:val="18"/>
                      <w:szCs w:val="18"/>
                      <w:highlight w:val="none"/>
                      <w:lang w:val="en-US" w:eastAsia="zh-CN"/>
                    </w:rPr>
                  </w:pPr>
                  <w:r>
                    <w:rPr>
                      <w:rFonts w:hint="eastAsia" w:ascii="Times New Roman" w:hAnsi="Times New Roman" w:eastAsia="宋体" w:cs="Times New Roman"/>
                      <w:sz w:val="18"/>
                      <w:szCs w:val="18"/>
                      <w:highlight w:val="none"/>
                    </w:rPr>
                    <w:t>0.5</w:t>
                  </w:r>
                </w:p>
              </w:tc>
              <w:tc>
                <w:tcPr>
                  <w:tcW w:w="794" w:type="dxa"/>
                  <w:tcBorders>
                    <w:top w:val="single" w:color="auto" w:sz="4" w:space="0"/>
                    <w:left w:val="single" w:color="auto" w:sz="4" w:space="0"/>
                    <w:bottom w:val="single" w:color="auto" w:sz="4" w:space="0"/>
                    <w:right w:val="single" w:color="auto" w:sz="4" w:space="0"/>
                  </w:tcBorders>
                  <w:shd w:val="clear" w:color="auto" w:fill="auto"/>
                  <w:tcMar>
                    <w:left w:w="57" w:type="dxa"/>
                    <w:right w:w="57" w:type="dxa"/>
                  </w:tcMar>
                  <w:vAlign w:val="center"/>
                </w:tcPr>
                <w:p w14:paraId="217706BC">
                  <w:pPr>
                    <w:pStyle w:val="129"/>
                    <w:keepNext w:val="0"/>
                    <w:keepLines w:val="0"/>
                    <w:pageBreakBefore w:val="0"/>
                    <w:suppressLineNumbers w:val="0"/>
                    <w:kinsoku/>
                    <w:wordWrap/>
                    <w:overflowPunct/>
                    <w:topLinePunct w:val="0"/>
                    <w:autoSpaceDE/>
                    <w:autoSpaceDN/>
                    <w:bidi w:val="0"/>
                    <w:adjustRightInd w:val="0"/>
                    <w:snapToGrid w:val="0"/>
                    <w:spacing w:before="0" w:beforeAutospacing="0" w:after="0" w:afterAutospacing="0" w:line="276" w:lineRule="auto"/>
                    <w:ind w:left="0" w:right="0"/>
                    <w:rPr>
                      <w:rFonts w:hint="default" w:ascii="Times New Roman" w:hAnsi="Times New Roman" w:eastAsia="宋体" w:cs="Times New Roman"/>
                      <w:bCs/>
                      <w:color w:val="auto"/>
                      <w:kern w:val="0"/>
                      <w:sz w:val="18"/>
                      <w:szCs w:val="18"/>
                      <w:highlight w:val="none"/>
                      <w:lang w:val="zh-CN" w:eastAsia="zh-CN" w:bidi="ar-SA"/>
                    </w:rPr>
                  </w:pPr>
                  <w:r>
                    <w:rPr>
                      <w:rFonts w:hint="eastAsia" w:ascii="Times New Roman" w:hAnsi="Times New Roman" w:eastAsia="宋体" w:cs="Times New Roman"/>
                      <w:bCs/>
                      <w:color w:val="auto"/>
                      <w:sz w:val="18"/>
                      <w:szCs w:val="18"/>
                      <w:highlight w:val="none"/>
                      <w:lang w:val="zh-CN"/>
                    </w:rPr>
                    <w:t>密封袋</w:t>
                  </w:r>
                </w:p>
              </w:tc>
              <w:tc>
                <w:tcPr>
                  <w:tcW w:w="705" w:type="dxa"/>
                  <w:vMerge w:val="continue"/>
                  <w:tcBorders>
                    <w:left w:val="single" w:color="auto" w:sz="4" w:space="0"/>
                    <w:right w:val="single" w:color="auto" w:sz="4" w:space="0"/>
                  </w:tcBorders>
                  <w:tcMar>
                    <w:left w:w="57" w:type="dxa"/>
                    <w:right w:w="57" w:type="dxa"/>
                  </w:tcMar>
                  <w:vAlign w:val="center"/>
                </w:tcPr>
                <w:p w14:paraId="3B8EFA58">
                  <w:pPr>
                    <w:keepNext w:val="0"/>
                    <w:keepLines w:val="0"/>
                    <w:pageBreakBefore w:val="0"/>
                    <w:suppressLineNumbers w:val="0"/>
                    <w:kinsoku/>
                    <w:wordWrap/>
                    <w:overflowPunct/>
                    <w:topLinePunct w:val="0"/>
                    <w:autoSpaceDE/>
                    <w:autoSpaceDN/>
                    <w:bidi w:val="0"/>
                    <w:adjustRightInd w:val="0"/>
                    <w:snapToGrid w:val="0"/>
                    <w:spacing w:before="0" w:beforeAutospacing="0" w:after="0" w:afterAutospacing="0" w:line="276" w:lineRule="auto"/>
                    <w:ind w:left="0" w:right="0"/>
                    <w:jc w:val="center"/>
                    <w:rPr>
                      <w:rFonts w:hint="default" w:ascii="Times New Roman" w:hAnsi="Times New Roman" w:eastAsia="宋体" w:cs="Times New Roman"/>
                      <w:sz w:val="18"/>
                      <w:szCs w:val="18"/>
                      <w:highlight w:val="none"/>
                    </w:rPr>
                  </w:pPr>
                </w:p>
              </w:tc>
              <w:tc>
                <w:tcPr>
                  <w:tcW w:w="626" w:type="dxa"/>
                  <w:tcBorders>
                    <w:top w:val="single" w:color="auto" w:sz="4" w:space="0"/>
                    <w:left w:val="single" w:color="auto" w:sz="4" w:space="0"/>
                    <w:bottom w:val="single" w:color="auto" w:sz="4" w:space="0"/>
                    <w:right w:val="single" w:color="auto" w:sz="4" w:space="0"/>
                  </w:tcBorders>
                  <w:shd w:val="clear" w:color="auto" w:fill="auto"/>
                  <w:tcMar>
                    <w:left w:w="57" w:type="dxa"/>
                    <w:right w:w="57" w:type="dxa"/>
                  </w:tcMar>
                  <w:vAlign w:val="center"/>
                </w:tcPr>
                <w:p w14:paraId="68FCC425">
                  <w:pPr>
                    <w:keepNext w:val="0"/>
                    <w:keepLines w:val="0"/>
                    <w:pageBreakBefore w:val="0"/>
                    <w:suppressLineNumbers w:val="0"/>
                    <w:kinsoku/>
                    <w:wordWrap/>
                    <w:overflowPunct/>
                    <w:topLinePunct w:val="0"/>
                    <w:autoSpaceDE/>
                    <w:autoSpaceDN/>
                    <w:bidi w:val="0"/>
                    <w:adjustRightInd w:val="0"/>
                    <w:snapToGrid w:val="0"/>
                    <w:spacing w:before="0" w:beforeAutospacing="0" w:after="0" w:afterAutospacing="0" w:line="276" w:lineRule="auto"/>
                    <w:ind w:left="0" w:right="0"/>
                    <w:jc w:val="center"/>
                    <w:textAlignment w:val="auto"/>
                    <w:rPr>
                      <w:rFonts w:hint="eastAsia" w:ascii="Times New Roman" w:hAnsi="Times New Roman" w:eastAsia="宋体" w:cs="Times New Roman"/>
                      <w:kern w:val="2"/>
                      <w:sz w:val="18"/>
                      <w:szCs w:val="18"/>
                      <w:highlight w:val="none"/>
                      <w:lang w:val="en-US" w:eastAsia="zh-CN" w:bidi="ar-SA"/>
                    </w:rPr>
                  </w:pPr>
                  <w:r>
                    <w:rPr>
                      <w:rFonts w:hint="eastAsia" w:ascii="Times New Roman" w:hAnsi="Times New Roman" w:eastAsia="宋体" w:cs="Times New Roman"/>
                      <w:sz w:val="18"/>
                      <w:szCs w:val="18"/>
                      <w:highlight w:val="none"/>
                    </w:rPr>
                    <w:t>0.5</w:t>
                  </w:r>
                </w:p>
              </w:tc>
            </w:tr>
            <w:tr w14:paraId="4F45F54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jc w:val="center"/>
              </w:trPr>
              <w:tc>
                <w:tcPr>
                  <w:tcW w:w="307" w:type="dxa"/>
                  <w:tcBorders>
                    <w:top w:val="single" w:color="auto" w:sz="4" w:space="0"/>
                    <w:left w:val="single" w:color="auto" w:sz="4" w:space="0"/>
                    <w:bottom w:val="single" w:color="auto" w:sz="4" w:space="0"/>
                    <w:right w:val="single" w:color="auto" w:sz="4" w:space="0"/>
                  </w:tcBorders>
                  <w:shd w:val="clear" w:color="auto" w:fill="auto"/>
                  <w:tcMar>
                    <w:left w:w="57" w:type="dxa"/>
                    <w:right w:w="57" w:type="dxa"/>
                  </w:tcMar>
                  <w:vAlign w:val="center"/>
                </w:tcPr>
                <w:p w14:paraId="7824B7ED">
                  <w:pPr>
                    <w:keepNext w:val="0"/>
                    <w:keepLines w:val="0"/>
                    <w:pageBreakBefore w:val="0"/>
                    <w:suppressLineNumbers w:val="0"/>
                    <w:kinsoku/>
                    <w:wordWrap/>
                    <w:overflowPunct/>
                    <w:topLinePunct w:val="0"/>
                    <w:autoSpaceDE/>
                    <w:autoSpaceDN/>
                    <w:bidi w:val="0"/>
                    <w:adjustRightInd w:val="0"/>
                    <w:snapToGrid w:val="0"/>
                    <w:spacing w:before="0" w:beforeAutospacing="0" w:after="0" w:afterAutospacing="0" w:line="276" w:lineRule="auto"/>
                    <w:ind w:left="0" w:leftChars="0" w:right="0" w:rightChars="0"/>
                    <w:jc w:val="center"/>
                    <w:rPr>
                      <w:rFonts w:hint="default" w:ascii="Times New Roman" w:hAnsi="Times New Roman" w:eastAsia="宋体" w:cs="Times New Roman"/>
                      <w:kern w:val="2"/>
                      <w:sz w:val="18"/>
                      <w:szCs w:val="18"/>
                      <w:highlight w:val="none"/>
                      <w:lang w:val="en-US" w:eastAsia="zh-CN" w:bidi="ar-SA"/>
                    </w:rPr>
                  </w:pPr>
                  <w:r>
                    <w:rPr>
                      <w:rFonts w:hint="eastAsia" w:ascii="Times New Roman" w:hAnsi="Times New Roman" w:eastAsia="宋体" w:cs="Times New Roman"/>
                      <w:sz w:val="18"/>
                      <w:szCs w:val="18"/>
                      <w:highlight w:val="none"/>
                      <w:lang w:val="en-US" w:eastAsia="zh-CN"/>
                    </w:rPr>
                    <w:t>13</w:t>
                  </w:r>
                </w:p>
              </w:tc>
              <w:tc>
                <w:tcPr>
                  <w:tcW w:w="878" w:type="dxa"/>
                  <w:tcBorders>
                    <w:top w:val="single" w:color="auto" w:sz="4" w:space="0"/>
                    <w:left w:val="single" w:color="auto" w:sz="4" w:space="0"/>
                    <w:bottom w:val="single" w:color="auto" w:sz="4" w:space="0"/>
                    <w:right w:val="single" w:color="auto" w:sz="4" w:space="0"/>
                  </w:tcBorders>
                  <w:shd w:val="clear" w:color="auto" w:fill="auto"/>
                  <w:tcMar>
                    <w:left w:w="57" w:type="dxa"/>
                    <w:right w:w="57" w:type="dxa"/>
                  </w:tcMar>
                  <w:vAlign w:val="center"/>
                </w:tcPr>
                <w:p w14:paraId="21102DF8">
                  <w:pPr>
                    <w:pStyle w:val="129"/>
                    <w:keepNext w:val="0"/>
                    <w:keepLines w:val="0"/>
                    <w:pageBreakBefore w:val="0"/>
                    <w:suppressLineNumbers w:val="0"/>
                    <w:kinsoku/>
                    <w:wordWrap/>
                    <w:overflowPunct/>
                    <w:topLinePunct w:val="0"/>
                    <w:autoSpaceDE/>
                    <w:autoSpaceDN/>
                    <w:bidi w:val="0"/>
                    <w:adjustRightInd w:val="0"/>
                    <w:snapToGrid w:val="0"/>
                    <w:spacing w:before="0" w:beforeAutospacing="0" w:after="0" w:afterAutospacing="0" w:line="276" w:lineRule="auto"/>
                    <w:ind w:left="0" w:right="0"/>
                    <w:rPr>
                      <w:rFonts w:hint="eastAsia" w:ascii="Times New Roman" w:hAnsi="Times New Roman" w:eastAsia="宋体" w:cs="Times New Roman"/>
                      <w:color w:val="000000"/>
                      <w:kern w:val="0"/>
                      <w:sz w:val="18"/>
                      <w:szCs w:val="18"/>
                      <w:highlight w:val="none"/>
                      <w:lang w:val="en-US" w:eastAsia="zh-CN" w:bidi="ar-SA"/>
                    </w:rPr>
                  </w:pPr>
                  <w:r>
                    <w:rPr>
                      <w:rFonts w:hint="eastAsia" w:ascii="Times New Roman" w:hAnsi="Times New Roman" w:eastAsia="宋体" w:cs="Times New Roman"/>
                      <w:color w:val="auto"/>
                      <w:sz w:val="18"/>
                      <w:szCs w:val="18"/>
                      <w:highlight w:val="none"/>
                    </w:rPr>
                    <w:t>化学性</w:t>
                  </w:r>
                  <w:r>
                    <w:rPr>
                      <w:rFonts w:hint="default" w:ascii="Times New Roman" w:hAnsi="Times New Roman" w:eastAsia="宋体" w:cs="Times New Roman"/>
                      <w:color w:val="auto"/>
                      <w:sz w:val="18"/>
                      <w:szCs w:val="18"/>
                      <w:highlight w:val="none"/>
                    </w:rPr>
                    <w:t>废物</w:t>
                  </w:r>
                </w:p>
              </w:tc>
              <w:tc>
                <w:tcPr>
                  <w:tcW w:w="1058" w:type="dxa"/>
                  <w:tcBorders>
                    <w:top w:val="single" w:color="auto" w:sz="4" w:space="0"/>
                    <w:left w:val="single" w:color="auto" w:sz="4" w:space="0"/>
                    <w:bottom w:val="single" w:color="auto" w:sz="4" w:space="0"/>
                    <w:right w:val="single" w:color="auto" w:sz="4" w:space="0"/>
                  </w:tcBorders>
                  <w:shd w:val="clear" w:color="auto" w:fill="auto"/>
                  <w:tcMar>
                    <w:left w:w="57" w:type="dxa"/>
                    <w:right w:w="57" w:type="dxa"/>
                  </w:tcMar>
                  <w:vAlign w:val="center"/>
                </w:tcPr>
                <w:p w14:paraId="287D0CDE">
                  <w:pPr>
                    <w:pStyle w:val="129"/>
                    <w:keepNext w:val="0"/>
                    <w:keepLines w:val="0"/>
                    <w:pageBreakBefore w:val="0"/>
                    <w:suppressLineNumbers w:val="0"/>
                    <w:kinsoku/>
                    <w:wordWrap/>
                    <w:overflowPunct/>
                    <w:topLinePunct w:val="0"/>
                    <w:autoSpaceDE/>
                    <w:autoSpaceDN/>
                    <w:bidi w:val="0"/>
                    <w:adjustRightInd w:val="0"/>
                    <w:snapToGrid w:val="0"/>
                    <w:spacing w:before="0" w:beforeAutospacing="0" w:after="0" w:afterAutospacing="0" w:line="276" w:lineRule="auto"/>
                    <w:ind w:left="0" w:right="0"/>
                    <w:rPr>
                      <w:rFonts w:hint="default" w:ascii="Times New Roman" w:hAnsi="Times New Roman" w:eastAsia="宋体" w:cs="Times New Roman"/>
                      <w:color w:val="auto"/>
                      <w:kern w:val="0"/>
                      <w:sz w:val="18"/>
                      <w:szCs w:val="18"/>
                      <w:highlight w:val="none"/>
                      <w:lang w:val="en-US" w:eastAsia="zh-CN" w:bidi="ar-SA"/>
                    </w:rPr>
                  </w:pPr>
                  <w:r>
                    <w:rPr>
                      <w:rFonts w:hint="eastAsia" w:ascii="Times New Roman" w:hAnsi="Times New Roman" w:eastAsia="宋体" w:cs="Times New Roman"/>
                      <w:color w:val="auto"/>
                      <w:sz w:val="18"/>
                      <w:szCs w:val="18"/>
                      <w:highlight w:val="none"/>
                    </w:rPr>
                    <w:t>废弃</w:t>
                  </w:r>
                  <w:r>
                    <w:rPr>
                      <w:rFonts w:hint="default" w:ascii="Times New Roman" w:hAnsi="Times New Roman" w:eastAsia="宋体" w:cs="Times New Roman"/>
                      <w:color w:val="auto"/>
                      <w:sz w:val="18"/>
                      <w:szCs w:val="18"/>
                      <w:highlight w:val="none"/>
                    </w:rPr>
                    <w:t>危险化学品、含汞温度计等</w:t>
                  </w:r>
                </w:p>
              </w:tc>
              <w:tc>
                <w:tcPr>
                  <w:tcW w:w="581" w:type="dxa"/>
                  <w:tcBorders>
                    <w:top w:val="single" w:color="auto" w:sz="4" w:space="0"/>
                    <w:left w:val="single" w:color="auto" w:sz="4" w:space="0"/>
                    <w:bottom w:val="single" w:color="auto" w:sz="4" w:space="0"/>
                    <w:right w:val="single" w:color="auto" w:sz="4" w:space="0"/>
                  </w:tcBorders>
                  <w:shd w:val="clear" w:color="auto" w:fill="auto"/>
                  <w:tcMar>
                    <w:left w:w="57" w:type="dxa"/>
                    <w:right w:w="57" w:type="dxa"/>
                  </w:tcMar>
                  <w:vAlign w:val="center"/>
                </w:tcPr>
                <w:p w14:paraId="1EC56400">
                  <w:pPr>
                    <w:pStyle w:val="129"/>
                    <w:keepNext w:val="0"/>
                    <w:keepLines w:val="0"/>
                    <w:pageBreakBefore w:val="0"/>
                    <w:suppressLineNumbers w:val="0"/>
                    <w:kinsoku/>
                    <w:wordWrap/>
                    <w:overflowPunct/>
                    <w:topLinePunct w:val="0"/>
                    <w:autoSpaceDE/>
                    <w:autoSpaceDN/>
                    <w:bidi w:val="0"/>
                    <w:adjustRightInd w:val="0"/>
                    <w:snapToGrid w:val="0"/>
                    <w:spacing w:before="0" w:beforeAutospacing="0" w:after="0" w:afterAutospacing="0" w:line="276" w:lineRule="auto"/>
                    <w:ind w:left="0" w:right="0"/>
                    <w:rPr>
                      <w:rFonts w:hint="default" w:ascii="Times New Roman" w:hAnsi="Times New Roman" w:eastAsia="宋体" w:cs="Times New Roman"/>
                      <w:color w:val="auto"/>
                      <w:kern w:val="0"/>
                      <w:sz w:val="18"/>
                      <w:szCs w:val="18"/>
                      <w:highlight w:val="none"/>
                      <w:lang w:val="en-US" w:eastAsia="zh-CN" w:bidi="ar-SA"/>
                    </w:rPr>
                  </w:pPr>
                  <w:r>
                    <w:rPr>
                      <w:rFonts w:hint="eastAsia" w:ascii="Times New Roman" w:hAnsi="Times New Roman" w:eastAsia="宋体" w:cs="Times New Roman"/>
                      <w:color w:val="auto"/>
                      <w:sz w:val="18"/>
                      <w:szCs w:val="18"/>
                      <w:highlight w:val="none"/>
                    </w:rPr>
                    <w:t>固/液</w:t>
                  </w:r>
                </w:p>
              </w:tc>
              <w:tc>
                <w:tcPr>
                  <w:tcW w:w="1082" w:type="dxa"/>
                  <w:tcBorders>
                    <w:top w:val="single" w:color="auto" w:sz="4" w:space="0"/>
                    <w:left w:val="single" w:color="auto" w:sz="4" w:space="0"/>
                    <w:bottom w:val="single" w:color="auto" w:sz="4" w:space="0"/>
                    <w:right w:val="single" w:color="auto" w:sz="4" w:space="0"/>
                  </w:tcBorders>
                  <w:shd w:val="clear" w:color="auto" w:fill="auto"/>
                  <w:tcMar>
                    <w:left w:w="57" w:type="dxa"/>
                    <w:right w:w="57" w:type="dxa"/>
                  </w:tcMar>
                  <w:vAlign w:val="center"/>
                </w:tcPr>
                <w:p w14:paraId="16756600">
                  <w:pPr>
                    <w:pStyle w:val="129"/>
                    <w:keepNext w:val="0"/>
                    <w:keepLines w:val="0"/>
                    <w:pageBreakBefore w:val="0"/>
                    <w:suppressLineNumbers w:val="0"/>
                    <w:kinsoku/>
                    <w:wordWrap/>
                    <w:overflowPunct/>
                    <w:topLinePunct w:val="0"/>
                    <w:autoSpaceDE/>
                    <w:autoSpaceDN/>
                    <w:bidi w:val="0"/>
                    <w:adjustRightInd w:val="0"/>
                    <w:snapToGrid w:val="0"/>
                    <w:spacing w:before="0" w:beforeAutospacing="0" w:after="0" w:afterAutospacing="0" w:line="276" w:lineRule="auto"/>
                    <w:ind w:left="0" w:right="0"/>
                    <w:rPr>
                      <w:rFonts w:hint="default" w:ascii="Times New Roman" w:hAnsi="Times New Roman" w:eastAsia="宋体" w:cs="Times New Roman"/>
                      <w:color w:val="auto"/>
                      <w:kern w:val="0"/>
                      <w:sz w:val="18"/>
                      <w:szCs w:val="18"/>
                      <w:highlight w:val="none"/>
                      <w:lang w:val="en-US" w:eastAsia="zh-CN" w:bidi="ar-SA"/>
                    </w:rPr>
                  </w:pPr>
                  <w:r>
                    <w:rPr>
                      <w:rFonts w:hint="eastAsia" w:ascii="Times New Roman" w:hAnsi="Times New Roman" w:eastAsia="宋体" w:cs="Times New Roman"/>
                      <w:color w:val="auto"/>
                      <w:sz w:val="18"/>
                      <w:szCs w:val="18"/>
                      <w:highlight w:val="none"/>
                      <w:lang w:val="en-US" w:eastAsia="zh-CN"/>
                    </w:rPr>
                    <w:t>危险废物，</w:t>
                  </w:r>
                  <w:r>
                    <w:rPr>
                      <w:rFonts w:hint="default" w:ascii="Times New Roman" w:hAnsi="Times New Roman" w:eastAsia="宋体" w:cs="Times New Roman"/>
                      <w:color w:val="auto"/>
                      <w:sz w:val="18"/>
                      <w:szCs w:val="18"/>
                      <w:highlight w:val="none"/>
                    </w:rPr>
                    <w:t>841-004-01</w:t>
                  </w:r>
                </w:p>
              </w:tc>
              <w:tc>
                <w:tcPr>
                  <w:tcW w:w="895" w:type="dxa"/>
                  <w:tcBorders>
                    <w:top w:val="single" w:color="auto" w:sz="4" w:space="0"/>
                    <w:left w:val="single" w:color="auto" w:sz="4" w:space="0"/>
                    <w:bottom w:val="single" w:color="auto" w:sz="4" w:space="0"/>
                    <w:right w:val="single" w:color="auto" w:sz="4" w:space="0"/>
                  </w:tcBorders>
                  <w:shd w:val="clear" w:color="auto" w:fill="auto"/>
                  <w:tcMar>
                    <w:left w:w="57" w:type="dxa"/>
                    <w:right w:w="57" w:type="dxa"/>
                  </w:tcMar>
                  <w:vAlign w:val="center"/>
                </w:tcPr>
                <w:p w14:paraId="29C43F64">
                  <w:pPr>
                    <w:pStyle w:val="129"/>
                    <w:keepNext w:val="0"/>
                    <w:keepLines w:val="0"/>
                    <w:pageBreakBefore w:val="0"/>
                    <w:suppressLineNumbers w:val="0"/>
                    <w:kinsoku/>
                    <w:wordWrap/>
                    <w:overflowPunct/>
                    <w:topLinePunct w:val="0"/>
                    <w:autoSpaceDE/>
                    <w:autoSpaceDN/>
                    <w:bidi w:val="0"/>
                    <w:adjustRightInd w:val="0"/>
                    <w:snapToGrid w:val="0"/>
                    <w:spacing w:before="0" w:beforeAutospacing="0" w:after="0" w:afterAutospacing="0" w:line="276" w:lineRule="auto"/>
                    <w:ind w:left="0" w:right="0"/>
                    <w:rPr>
                      <w:rFonts w:hint="default" w:ascii="Times New Roman" w:hAnsi="Times New Roman" w:eastAsia="宋体" w:cs="Times New Roman"/>
                      <w:color w:val="auto"/>
                      <w:kern w:val="0"/>
                      <w:sz w:val="18"/>
                      <w:szCs w:val="18"/>
                      <w:highlight w:val="none"/>
                      <w:lang w:val="en-US" w:eastAsia="zh-CN" w:bidi="ar-SA"/>
                    </w:rPr>
                  </w:pPr>
                  <w:r>
                    <w:rPr>
                      <w:rFonts w:hint="eastAsia" w:ascii="Times New Roman" w:hAnsi="Times New Roman" w:eastAsia="宋体" w:cs="Times New Roman"/>
                      <w:color w:val="auto"/>
                      <w:sz w:val="18"/>
                      <w:szCs w:val="18"/>
                      <w:highlight w:val="none"/>
                    </w:rPr>
                    <w:t>废弃</w:t>
                  </w:r>
                  <w:r>
                    <w:rPr>
                      <w:rFonts w:hint="default" w:ascii="Times New Roman" w:hAnsi="Times New Roman" w:eastAsia="宋体" w:cs="Times New Roman"/>
                      <w:color w:val="auto"/>
                      <w:sz w:val="18"/>
                      <w:szCs w:val="18"/>
                      <w:highlight w:val="none"/>
                    </w:rPr>
                    <w:t>危险化学品、含汞温度计等</w:t>
                  </w:r>
                </w:p>
              </w:tc>
              <w:tc>
                <w:tcPr>
                  <w:tcW w:w="675" w:type="dxa"/>
                  <w:tcBorders>
                    <w:top w:val="single" w:color="auto" w:sz="4" w:space="0"/>
                    <w:left w:val="single" w:color="auto" w:sz="4" w:space="0"/>
                    <w:bottom w:val="single" w:color="auto" w:sz="4" w:space="0"/>
                    <w:right w:val="single" w:color="auto" w:sz="4" w:space="0"/>
                  </w:tcBorders>
                  <w:shd w:val="clear" w:color="auto" w:fill="auto"/>
                  <w:tcMar>
                    <w:left w:w="57" w:type="dxa"/>
                    <w:right w:w="57" w:type="dxa"/>
                  </w:tcMar>
                  <w:vAlign w:val="center"/>
                </w:tcPr>
                <w:p w14:paraId="521B0F36">
                  <w:pPr>
                    <w:pStyle w:val="129"/>
                    <w:keepNext w:val="0"/>
                    <w:keepLines w:val="0"/>
                    <w:pageBreakBefore w:val="0"/>
                    <w:suppressLineNumbers w:val="0"/>
                    <w:kinsoku/>
                    <w:wordWrap/>
                    <w:overflowPunct/>
                    <w:topLinePunct w:val="0"/>
                    <w:autoSpaceDE/>
                    <w:autoSpaceDN/>
                    <w:bidi w:val="0"/>
                    <w:adjustRightInd w:val="0"/>
                    <w:snapToGrid w:val="0"/>
                    <w:spacing w:before="0" w:beforeAutospacing="0" w:after="0" w:afterAutospacing="0" w:line="276" w:lineRule="auto"/>
                    <w:ind w:left="0" w:right="0"/>
                    <w:rPr>
                      <w:rFonts w:hint="default" w:ascii="Times New Roman" w:hAnsi="Times New Roman" w:eastAsia="宋体" w:cs="Times New Roman"/>
                      <w:color w:val="auto"/>
                      <w:kern w:val="0"/>
                      <w:sz w:val="18"/>
                      <w:szCs w:val="18"/>
                      <w:highlight w:val="none"/>
                      <w:lang w:val="en-US" w:eastAsia="zh-CN" w:bidi="ar-SA"/>
                    </w:rPr>
                  </w:pPr>
                  <w:r>
                    <w:rPr>
                      <w:rFonts w:hint="default" w:ascii="Times New Roman" w:hAnsi="Times New Roman" w:eastAsia="宋体" w:cs="Times New Roman"/>
                      <w:color w:val="auto"/>
                      <w:sz w:val="18"/>
                      <w:szCs w:val="18"/>
                      <w:highlight w:val="none"/>
                    </w:rPr>
                    <w:t>T/C/I/R</w:t>
                  </w:r>
                </w:p>
              </w:tc>
              <w:tc>
                <w:tcPr>
                  <w:tcW w:w="653" w:type="dxa"/>
                  <w:tcBorders>
                    <w:top w:val="single" w:color="auto" w:sz="4" w:space="0"/>
                    <w:left w:val="single" w:color="auto" w:sz="4" w:space="0"/>
                    <w:bottom w:val="single" w:color="auto" w:sz="4" w:space="0"/>
                    <w:right w:val="single" w:color="auto" w:sz="4" w:space="0"/>
                  </w:tcBorders>
                  <w:shd w:val="clear" w:color="auto" w:fill="auto"/>
                  <w:tcMar>
                    <w:left w:w="57" w:type="dxa"/>
                    <w:right w:w="57" w:type="dxa"/>
                  </w:tcMar>
                  <w:vAlign w:val="center"/>
                </w:tcPr>
                <w:p w14:paraId="4A4BFDA3">
                  <w:pPr>
                    <w:keepNext w:val="0"/>
                    <w:keepLines w:val="0"/>
                    <w:pageBreakBefore w:val="0"/>
                    <w:suppressLineNumbers w:val="0"/>
                    <w:kinsoku/>
                    <w:wordWrap/>
                    <w:overflowPunct/>
                    <w:topLinePunct w:val="0"/>
                    <w:autoSpaceDE/>
                    <w:autoSpaceDN/>
                    <w:bidi w:val="0"/>
                    <w:adjustRightInd w:val="0"/>
                    <w:snapToGrid w:val="0"/>
                    <w:spacing w:before="0" w:beforeAutospacing="0" w:after="0" w:afterAutospacing="0" w:line="276" w:lineRule="auto"/>
                    <w:ind w:left="0" w:right="0"/>
                    <w:jc w:val="center"/>
                    <w:textAlignment w:val="auto"/>
                    <w:rPr>
                      <w:rFonts w:hint="eastAsia" w:ascii="Times New Roman" w:hAnsi="Times New Roman" w:eastAsia="宋体" w:cs="Times New Roman"/>
                      <w:sz w:val="18"/>
                      <w:szCs w:val="18"/>
                      <w:highlight w:val="none"/>
                      <w:lang w:val="en-US" w:eastAsia="zh-CN"/>
                    </w:rPr>
                  </w:pPr>
                  <w:r>
                    <w:rPr>
                      <w:rFonts w:hint="eastAsia" w:ascii="Times New Roman" w:hAnsi="Times New Roman" w:eastAsia="宋体" w:cs="Times New Roman"/>
                      <w:sz w:val="18"/>
                      <w:szCs w:val="18"/>
                      <w:highlight w:val="none"/>
                    </w:rPr>
                    <w:t>0.05</w:t>
                  </w:r>
                </w:p>
              </w:tc>
              <w:tc>
                <w:tcPr>
                  <w:tcW w:w="794" w:type="dxa"/>
                  <w:tcBorders>
                    <w:top w:val="single" w:color="auto" w:sz="4" w:space="0"/>
                    <w:left w:val="single" w:color="auto" w:sz="4" w:space="0"/>
                    <w:bottom w:val="single" w:color="auto" w:sz="4" w:space="0"/>
                    <w:right w:val="single" w:color="auto" w:sz="4" w:space="0"/>
                  </w:tcBorders>
                  <w:shd w:val="clear" w:color="auto" w:fill="auto"/>
                  <w:tcMar>
                    <w:left w:w="57" w:type="dxa"/>
                    <w:right w:w="57" w:type="dxa"/>
                  </w:tcMar>
                  <w:vAlign w:val="center"/>
                </w:tcPr>
                <w:p w14:paraId="7C7CD464">
                  <w:pPr>
                    <w:pStyle w:val="129"/>
                    <w:keepNext w:val="0"/>
                    <w:keepLines w:val="0"/>
                    <w:pageBreakBefore w:val="0"/>
                    <w:suppressLineNumbers w:val="0"/>
                    <w:kinsoku/>
                    <w:wordWrap/>
                    <w:overflowPunct/>
                    <w:topLinePunct w:val="0"/>
                    <w:autoSpaceDE/>
                    <w:autoSpaceDN/>
                    <w:bidi w:val="0"/>
                    <w:adjustRightInd w:val="0"/>
                    <w:snapToGrid w:val="0"/>
                    <w:spacing w:before="0" w:beforeAutospacing="0" w:after="0" w:afterAutospacing="0" w:line="276" w:lineRule="auto"/>
                    <w:ind w:left="0" w:right="0"/>
                    <w:rPr>
                      <w:rFonts w:hint="default" w:ascii="Times New Roman" w:hAnsi="Times New Roman" w:eastAsia="宋体" w:cs="Times New Roman"/>
                      <w:bCs/>
                      <w:color w:val="auto"/>
                      <w:kern w:val="0"/>
                      <w:sz w:val="18"/>
                      <w:szCs w:val="18"/>
                      <w:highlight w:val="none"/>
                      <w:lang w:val="zh-CN" w:eastAsia="zh-CN" w:bidi="ar-SA"/>
                    </w:rPr>
                  </w:pPr>
                  <w:r>
                    <w:rPr>
                      <w:rFonts w:hint="eastAsia" w:ascii="Times New Roman" w:hAnsi="Times New Roman" w:eastAsia="宋体" w:cs="Times New Roman"/>
                      <w:bCs/>
                      <w:color w:val="auto"/>
                      <w:sz w:val="18"/>
                      <w:szCs w:val="18"/>
                      <w:highlight w:val="none"/>
                      <w:lang w:val="zh-CN"/>
                    </w:rPr>
                    <w:t>医疗</w:t>
                  </w:r>
                  <w:r>
                    <w:rPr>
                      <w:rFonts w:hint="default" w:ascii="Times New Roman" w:hAnsi="Times New Roman" w:eastAsia="宋体" w:cs="Times New Roman"/>
                      <w:bCs/>
                      <w:color w:val="auto"/>
                      <w:sz w:val="18"/>
                      <w:szCs w:val="18"/>
                      <w:highlight w:val="none"/>
                      <w:lang w:val="zh-CN"/>
                    </w:rPr>
                    <w:t>容器</w:t>
                  </w:r>
                </w:p>
              </w:tc>
              <w:tc>
                <w:tcPr>
                  <w:tcW w:w="705" w:type="dxa"/>
                  <w:vMerge w:val="continue"/>
                  <w:tcBorders>
                    <w:left w:val="single" w:color="auto" w:sz="4" w:space="0"/>
                    <w:right w:val="single" w:color="auto" w:sz="4" w:space="0"/>
                  </w:tcBorders>
                  <w:tcMar>
                    <w:left w:w="57" w:type="dxa"/>
                    <w:right w:w="57" w:type="dxa"/>
                  </w:tcMar>
                  <w:vAlign w:val="center"/>
                </w:tcPr>
                <w:p w14:paraId="7465BE02">
                  <w:pPr>
                    <w:keepNext w:val="0"/>
                    <w:keepLines w:val="0"/>
                    <w:pageBreakBefore w:val="0"/>
                    <w:suppressLineNumbers w:val="0"/>
                    <w:kinsoku/>
                    <w:wordWrap/>
                    <w:overflowPunct/>
                    <w:topLinePunct w:val="0"/>
                    <w:autoSpaceDE/>
                    <w:autoSpaceDN/>
                    <w:bidi w:val="0"/>
                    <w:adjustRightInd w:val="0"/>
                    <w:snapToGrid w:val="0"/>
                    <w:spacing w:before="0" w:beforeAutospacing="0" w:after="0" w:afterAutospacing="0" w:line="276" w:lineRule="auto"/>
                    <w:ind w:left="0" w:right="0"/>
                    <w:jc w:val="center"/>
                    <w:rPr>
                      <w:rFonts w:hint="default" w:ascii="Times New Roman" w:hAnsi="Times New Roman" w:eastAsia="宋体" w:cs="Times New Roman"/>
                      <w:sz w:val="18"/>
                      <w:szCs w:val="18"/>
                      <w:highlight w:val="none"/>
                    </w:rPr>
                  </w:pPr>
                </w:p>
              </w:tc>
              <w:tc>
                <w:tcPr>
                  <w:tcW w:w="626" w:type="dxa"/>
                  <w:tcBorders>
                    <w:top w:val="single" w:color="auto" w:sz="4" w:space="0"/>
                    <w:left w:val="single" w:color="auto" w:sz="4" w:space="0"/>
                    <w:bottom w:val="single" w:color="auto" w:sz="4" w:space="0"/>
                    <w:right w:val="single" w:color="auto" w:sz="4" w:space="0"/>
                  </w:tcBorders>
                  <w:shd w:val="clear" w:color="auto" w:fill="auto"/>
                  <w:tcMar>
                    <w:left w:w="57" w:type="dxa"/>
                    <w:right w:w="57" w:type="dxa"/>
                  </w:tcMar>
                  <w:vAlign w:val="center"/>
                </w:tcPr>
                <w:p w14:paraId="725F2E43">
                  <w:pPr>
                    <w:keepNext w:val="0"/>
                    <w:keepLines w:val="0"/>
                    <w:pageBreakBefore w:val="0"/>
                    <w:suppressLineNumbers w:val="0"/>
                    <w:kinsoku/>
                    <w:wordWrap/>
                    <w:overflowPunct/>
                    <w:topLinePunct w:val="0"/>
                    <w:autoSpaceDE/>
                    <w:autoSpaceDN/>
                    <w:bidi w:val="0"/>
                    <w:adjustRightInd w:val="0"/>
                    <w:snapToGrid w:val="0"/>
                    <w:spacing w:before="0" w:beforeAutospacing="0" w:after="0" w:afterAutospacing="0" w:line="276" w:lineRule="auto"/>
                    <w:ind w:left="0" w:right="0"/>
                    <w:jc w:val="center"/>
                    <w:textAlignment w:val="auto"/>
                    <w:rPr>
                      <w:rFonts w:hint="eastAsia" w:ascii="Times New Roman" w:hAnsi="Times New Roman" w:eastAsia="宋体" w:cs="Times New Roman"/>
                      <w:kern w:val="2"/>
                      <w:sz w:val="18"/>
                      <w:szCs w:val="18"/>
                      <w:highlight w:val="none"/>
                      <w:lang w:val="en-US" w:eastAsia="zh-CN" w:bidi="ar-SA"/>
                    </w:rPr>
                  </w:pPr>
                  <w:r>
                    <w:rPr>
                      <w:rFonts w:hint="eastAsia" w:ascii="Times New Roman" w:hAnsi="Times New Roman" w:eastAsia="宋体" w:cs="Times New Roman"/>
                      <w:sz w:val="18"/>
                      <w:szCs w:val="18"/>
                      <w:highlight w:val="none"/>
                    </w:rPr>
                    <w:t>0.05</w:t>
                  </w:r>
                </w:p>
              </w:tc>
            </w:tr>
            <w:tr w14:paraId="05005C2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jc w:val="center"/>
              </w:trPr>
              <w:tc>
                <w:tcPr>
                  <w:tcW w:w="307" w:type="dxa"/>
                  <w:tcBorders>
                    <w:top w:val="single" w:color="auto" w:sz="4" w:space="0"/>
                    <w:left w:val="single" w:color="auto" w:sz="4" w:space="0"/>
                    <w:bottom w:val="single" w:color="auto" w:sz="4" w:space="0"/>
                    <w:right w:val="single" w:color="auto" w:sz="4" w:space="0"/>
                  </w:tcBorders>
                  <w:shd w:val="clear" w:color="auto" w:fill="auto"/>
                  <w:tcMar>
                    <w:left w:w="57" w:type="dxa"/>
                    <w:right w:w="57" w:type="dxa"/>
                  </w:tcMar>
                  <w:vAlign w:val="center"/>
                </w:tcPr>
                <w:p w14:paraId="0ADE15C4">
                  <w:pPr>
                    <w:keepNext w:val="0"/>
                    <w:keepLines w:val="0"/>
                    <w:pageBreakBefore w:val="0"/>
                    <w:suppressLineNumbers w:val="0"/>
                    <w:kinsoku/>
                    <w:wordWrap/>
                    <w:overflowPunct/>
                    <w:topLinePunct w:val="0"/>
                    <w:autoSpaceDE/>
                    <w:autoSpaceDN/>
                    <w:bidi w:val="0"/>
                    <w:adjustRightInd w:val="0"/>
                    <w:snapToGrid w:val="0"/>
                    <w:spacing w:before="0" w:beforeAutospacing="0" w:after="0" w:afterAutospacing="0" w:line="276" w:lineRule="auto"/>
                    <w:ind w:left="0" w:leftChars="0" w:right="0" w:rightChars="0"/>
                    <w:jc w:val="center"/>
                    <w:rPr>
                      <w:rFonts w:hint="eastAsia" w:ascii="Times New Roman" w:hAnsi="Times New Roman" w:eastAsia="宋体" w:cs="Times New Roman"/>
                      <w:kern w:val="2"/>
                      <w:sz w:val="18"/>
                      <w:szCs w:val="18"/>
                      <w:highlight w:val="none"/>
                      <w:lang w:val="en-US" w:eastAsia="zh-CN" w:bidi="ar-SA"/>
                    </w:rPr>
                  </w:pPr>
                  <w:r>
                    <w:rPr>
                      <w:rFonts w:hint="eastAsia" w:ascii="Times New Roman" w:hAnsi="Times New Roman" w:eastAsia="宋体" w:cs="Times New Roman"/>
                      <w:sz w:val="18"/>
                      <w:szCs w:val="18"/>
                      <w:highlight w:val="none"/>
                      <w:lang w:val="en-US" w:eastAsia="zh-CN"/>
                    </w:rPr>
                    <w:t>14</w:t>
                  </w:r>
                </w:p>
              </w:tc>
              <w:tc>
                <w:tcPr>
                  <w:tcW w:w="878" w:type="dxa"/>
                  <w:tcBorders>
                    <w:top w:val="single" w:color="auto" w:sz="4" w:space="0"/>
                    <w:left w:val="single" w:color="auto" w:sz="4" w:space="0"/>
                    <w:bottom w:val="single" w:color="auto" w:sz="4" w:space="0"/>
                    <w:right w:val="single" w:color="auto" w:sz="4" w:space="0"/>
                  </w:tcBorders>
                  <w:shd w:val="clear" w:color="auto" w:fill="auto"/>
                  <w:tcMar>
                    <w:left w:w="57" w:type="dxa"/>
                    <w:right w:w="57" w:type="dxa"/>
                  </w:tcMar>
                  <w:vAlign w:val="center"/>
                </w:tcPr>
                <w:p w14:paraId="2B63DD0A">
                  <w:pPr>
                    <w:keepNext w:val="0"/>
                    <w:keepLines w:val="0"/>
                    <w:pageBreakBefore w:val="0"/>
                    <w:suppressLineNumbers w:val="0"/>
                    <w:kinsoku/>
                    <w:wordWrap/>
                    <w:overflowPunct/>
                    <w:topLinePunct w:val="0"/>
                    <w:autoSpaceDE/>
                    <w:autoSpaceDN/>
                    <w:bidi w:val="0"/>
                    <w:adjustRightInd w:val="0"/>
                    <w:snapToGrid w:val="0"/>
                    <w:spacing w:before="0" w:beforeAutospacing="0" w:after="0" w:afterAutospacing="0" w:line="276" w:lineRule="auto"/>
                    <w:ind w:left="0" w:right="0"/>
                    <w:jc w:val="center"/>
                    <w:textAlignment w:val="auto"/>
                    <w:rPr>
                      <w:rFonts w:hint="eastAsia" w:ascii="Times New Roman" w:hAnsi="Times New Roman" w:eastAsia="宋体" w:cs="Times New Roman"/>
                      <w:kern w:val="2"/>
                      <w:sz w:val="18"/>
                      <w:szCs w:val="18"/>
                      <w:highlight w:val="none"/>
                      <w:lang w:val="en-US" w:eastAsia="zh-CN" w:bidi="ar-SA"/>
                    </w:rPr>
                  </w:pPr>
                  <w:r>
                    <w:rPr>
                      <w:rFonts w:hint="eastAsia" w:ascii="Times New Roman" w:hAnsi="Times New Roman" w:eastAsia="宋体" w:cs="Times New Roman"/>
                      <w:color w:val="auto"/>
                      <w:sz w:val="18"/>
                      <w:szCs w:val="18"/>
                      <w:highlight w:val="none"/>
                    </w:rPr>
                    <w:t>P</w:t>
                  </w:r>
                  <w:r>
                    <w:rPr>
                      <w:rFonts w:hint="default" w:ascii="Times New Roman" w:hAnsi="Times New Roman" w:eastAsia="宋体" w:cs="Times New Roman"/>
                      <w:color w:val="auto"/>
                      <w:sz w:val="18"/>
                      <w:szCs w:val="18"/>
                      <w:highlight w:val="none"/>
                    </w:rPr>
                    <w:t>2</w:t>
                  </w:r>
                  <w:r>
                    <w:rPr>
                      <w:rFonts w:hint="eastAsia" w:ascii="Times New Roman" w:hAnsi="Times New Roman" w:eastAsia="宋体" w:cs="Times New Roman"/>
                      <w:color w:val="auto"/>
                      <w:sz w:val="18"/>
                      <w:szCs w:val="18"/>
                      <w:highlight w:val="none"/>
                    </w:rPr>
                    <w:t>实验室废</w:t>
                  </w:r>
                  <w:r>
                    <w:rPr>
                      <w:rFonts w:hint="default" w:ascii="Times New Roman" w:hAnsi="Times New Roman" w:eastAsia="宋体" w:cs="Times New Roman"/>
                      <w:color w:val="auto"/>
                      <w:sz w:val="18"/>
                      <w:szCs w:val="18"/>
                      <w:highlight w:val="none"/>
                    </w:rPr>
                    <w:t>垫料</w:t>
                  </w:r>
                </w:p>
              </w:tc>
              <w:tc>
                <w:tcPr>
                  <w:tcW w:w="1058" w:type="dxa"/>
                  <w:tcBorders>
                    <w:top w:val="single" w:color="auto" w:sz="4" w:space="0"/>
                    <w:left w:val="single" w:color="auto" w:sz="4" w:space="0"/>
                    <w:bottom w:val="single" w:color="auto" w:sz="4" w:space="0"/>
                    <w:right w:val="single" w:color="auto" w:sz="4" w:space="0"/>
                  </w:tcBorders>
                  <w:shd w:val="clear" w:color="auto" w:fill="auto"/>
                  <w:tcMar>
                    <w:left w:w="57" w:type="dxa"/>
                    <w:right w:w="57" w:type="dxa"/>
                  </w:tcMar>
                  <w:vAlign w:val="center"/>
                </w:tcPr>
                <w:p w14:paraId="7DE9B853">
                  <w:pPr>
                    <w:keepNext w:val="0"/>
                    <w:keepLines w:val="0"/>
                    <w:pageBreakBefore w:val="0"/>
                    <w:suppressLineNumbers w:val="0"/>
                    <w:kinsoku/>
                    <w:wordWrap/>
                    <w:overflowPunct/>
                    <w:topLinePunct w:val="0"/>
                    <w:autoSpaceDE/>
                    <w:autoSpaceDN/>
                    <w:bidi w:val="0"/>
                    <w:adjustRightInd w:val="0"/>
                    <w:snapToGrid w:val="0"/>
                    <w:spacing w:before="0" w:beforeAutospacing="0" w:after="0" w:afterAutospacing="0" w:line="276" w:lineRule="auto"/>
                    <w:ind w:left="0" w:right="0"/>
                    <w:jc w:val="center"/>
                    <w:rPr>
                      <w:rFonts w:hint="eastAsia" w:ascii="Times New Roman" w:hAnsi="Times New Roman" w:eastAsia="宋体" w:cs="Times New Roman"/>
                      <w:kern w:val="2"/>
                      <w:sz w:val="18"/>
                      <w:szCs w:val="18"/>
                      <w:highlight w:val="none"/>
                      <w:lang w:val="en-US" w:eastAsia="zh-CN" w:bidi="ar-SA"/>
                    </w:rPr>
                  </w:pPr>
                  <w:r>
                    <w:rPr>
                      <w:rFonts w:hint="eastAsia" w:ascii="Times New Roman" w:hAnsi="Times New Roman" w:eastAsia="宋体" w:cs="Times New Roman"/>
                      <w:color w:val="auto"/>
                      <w:sz w:val="18"/>
                      <w:szCs w:val="18"/>
                      <w:highlight w:val="none"/>
                    </w:rPr>
                    <w:t>木屑</w:t>
                  </w:r>
                  <w:r>
                    <w:rPr>
                      <w:rFonts w:hint="default" w:ascii="Times New Roman" w:hAnsi="Times New Roman" w:eastAsia="宋体" w:cs="Times New Roman"/>
                      <w:color w:val="auto"/>
                      <w:sz w:val="18"/>
                      <w:szCs w:val="18"/>
                      <w:highlight w:val="none"/>
                    </w:rPr>
                    <w:t>、尿液、粪便</w:t>
                  </w:r>
                </w:p>
              </w:tc>
              <w:tc>
                <w:tcPr>
                  <w:tcW w:w="581" w:type="dxa"/>
                  <w:tcBorders>
                    <w:top w:val="single" w:color="auto" w:sz="4" w:space="0"/>
                    <w:left w:val="single" w:color="auto" w:sz="4" w:space="0"/>
                    <w:bottom w:val="single" w:color="auto" w:sz="4" w:space="0"/>
                    <w:right w:val="single" w:color="auto" w:sz="4" w:space="0"/>
                  </w:tcBorders>
                  <w:shd w:val="clear" w:color="auto" w:fill="auto"/>
                  <w:tcMar>
                    <w:left w:w="57" w:type="dxa"/>
                    <w:right w:w="57" w:type="dxa"/>
                  </w:tcMar>
                  <w:vAlign w:val="center"/>
                </w:tcPr>
                <w:p w14:paraId="1282ABD8">
                  <w:pPr>
                    <w:pStyle w:val="129"/>
                    <w:keepNext w:val="0"/>
                    <w:keepLines w:val="0"/>
                    <w:pageBreakBefore w:val="0"/>
                    <w:suppressLineNumbers w:val="0"/>
                    <w:kinsoku/>
                    <w:wordWrap/>
                    <w:overflowPunct/>
                    <w:topLinePunct w:val="0"/>
                    <w:autoSpaceDE/>
                    <w:autoSpaceDN/>
                    <w:bidi w:val="0"/>
                    <w:adjustRightInd w:val="0"/>
                    <w:snapToGrid w:val="0"/>
                    <w:spacing w:before="0" w:beforeAutospacing="0" w:after="0" w:afterAutospacing="0" w:line="276" w:lineRule="auto"/>
                    <w:ind w:left="0" w:right="0"/>
                    <w:rPr>
                      <w:rFonts w:hint="eastAsia" w:ascii="Times New Roman" w:hAnsi="Times New Roman" w:eastAsia="宋体" w:cs="Times New Roman"/>
                      <w:color w:val="auto"/>
                      <w:kern w:val="0"/>
                      <w:sz w:val="18"/>
                      <w:szCs w:val="18"/>
                      <w:highlight w:val="none"/>
                      <w:lang w:val="en-US" w:eastAsia="zh-CN" w:bidi="ar-SA"/>
                    </w:rPr>
                  </w:pPr>
                  <w:r>
                    <w:rPr>
                      <w:rFonts w:hint="eastAsia" w:ascii="Times New Roman" w:hAnsi="Times New Roman" w:eastAsia="宋体" w:cs="Times New Roman"/>
                      <w:color w:val="auto"/>
                      <w:sz w:val="18"/>
                      <w:szCs w:val="18"/>
                      <w:highlight w:val="none"/>
                    </w:rPr>
                    <w:t>固体</w:t>
                  </w:r>
                </w:p>
              </w:tc>
              <w:tc>
                <w:tcPr>
                  <w:tcW w:w="1082" w:type="dxa"/>
                  <w:tcBorders>
                    <w:top w:val="single" w:color="auto" w:sz="4" w:space="0"/>
                    <w:left w:val="single" w:color="auto" w:sz="4" w:space="0"/>
                    <w:bottom w:val="single" w:color="auto" w:sz="4" w:space="0"/>
                    <w:right w:val="single" w:color="auto" w:sz="4" w:space="0"/>
                  </w:tcBorders>
                  <w:shd w:val="clear" w:color="auto" w:fill="auto"/>
                  <w:tcMar>
                    <w:left w:w="57" w:type="dxa"/>
                    <w:right w:w="57" w:type="dxa"/>
                  </w:tcMar>
                  <w:vAlign w:val="center"/>
                </w:tcPr>
                <w:p w14:paraId="5DAE4DF9">
                  <w:pPr>
                    <w:pStyle w:val="129"/>
                    <w:keepNext w:val="0"/>
                    <w:keepLines w:val="0"/>
                    <w:pageBreakBefore w:val="0"/>
                    <w:suppressLineNumbers w:val="0"/>
                    <w:kinsoku/>
                    <w:wordWrap/>
                    <w:overflowPunct/>
                    <w:topLinePunct w:val="0"/>
                    <w:autoSpaceDE/>
                    <w:autoSpaceDN/>
                    <w:bidi w:val="0"/>
                    <w:adjustRightInd w:val="0"/>
                    <w:snapToGrid w:val="0"/>
                    <w:spacing w:before="0" w:beforeAutospacing="0" w:after="0" w:afterAutospacing="0" w:line="276" w:lineRule="auto"/>
                    <w:ind w:left="0" w:right="0"/>
                    <w:rPr>
                      <w:rFonts w:hint="eastAsia" w:ascii="Times New Roman" w:hAnsi="Times New Roman" w:eastAsia="宋体" w:cs="Times New Roman"/>
                      <w:color w:val="auto"/>
                      <w:kern w:val="0"/>
                      <w:sz w:val="18"/>
                      <w:szCs w:val="18"/>
                      <w:highlight w:val="none"/>
                      <w:lang w:val="en-US" w:eastAsia="zh-CN" w:bidi="ar-SA"/>
                    </w:rPr>
                  </w:pPr>
                  <w:r>
                    <w:rPr>
                      <w:rFonts w:hint="eastAsia" w:ascii="Times New Roman" w:hAnsi="Times New Roman" w:eastAsia="宋体" w:cs="Times New Roman"/>
                      <w:color w:val="auto"/>
                      <w:sz w:val="18"/>
                      <w:szCs w:val="18"/>
                      <w:highlight w:val="none"/>
                      <w:lang w:val="en-US" w:eastAsia="zh-CN"/>
                    </w:rPr>
                    <w:t>危险废物，</w:t>
                  </w:r>
                  <w:r>
                    <w:rPr>
                      <w:rFonts w:hint="default" w:ascii="Times New Roman" w:hAnsi="Times New Roman" w:eastAsia="宋体" w:cs="Times New Roman"/>
                      <w:color w:val="auto"/>
                      <w:sz w:val="18"/>
                      <w:szCs w:val="18"/>
                      <w:highlight w:val="none"/>
                    </w:rPr>
                    <w:t>841-001-01</w:t>
                  </w:r>
                </w:p>
              </w:tc>
              <w:tc>
                <w:tcPr>
                  <w:tcW w:w="895" w:type="dxa"/>
                  <w:tcBorders>
                    <w:top w:val="single" w:color="auto" w:sz="4" w:space="0"/>
                    <w:left w:val="single" w:color="auto" w:sz="4" w:space="0"/>
                    <w:bottom w:val="single" w:color="auto" w:sz="4" w:space="0"/>
                    <w:right w:val="single" w:color="auto" w:sz="4" w:space="0"/>
                  </w:tcBorders>
                  <w:shd w:val="clear" w:color="auto" w:fill="auto"/>
                  <w:tcMar>
                    <w:left w:w="57" w:type="dxa"/>
                    <w:right w:w="57" w:type="dxa"/>
                  </w:tcMar>
                  <w:vAlign w:val="center"/>
                </w:tcPr>
                <w:p w14:paraId="1CF9CB97">
                  <w:pPr>
                    <w:keepNext w:val="0"/>
                    <w:keepLines w:val="0"/>
                    <w:pageBreakBefore w:val="0"/>
                    <w:suppressLineNumbers w:val="0"/>
                    <w:kinsoku/>
                    <w:wordWrap/>
                    <w:overflowPunct/>
                    <w:topLinePunct w:val="0"/>
                    <w:autoSpaceDE/>
                    <w:autoSpaceDN/>
                    <w:bidi w:val="0"/>
                    <w:adjustRightInd w:val="0"/>
                    <w:snapToGrid w:val="0"/>
                    <w:spacing w:before="0" w:beforeAutospacing="0" w:after="0" w:afterAutospacing="0" w:line="276" w:lineRule="auto"/>
                    <w:ind w:left="0" w:right="0"/>
                    <w:jc w:val="center"/>
                    <w:rPr>
                      <w:rFonts w:hint="eastAsia" w:ascii="Times New Roman" w:hAnsi="Times New Roman" w:eastAsia="宋体" w:cs="Times New Roman"/>
                      <w:kern w:val="2"/>
                      <w:sz w:val="18"/>
                      <w:szCs w:val="18"/>
                      <w:highlight w:val="none"/>
                      <w:lang w:val="en-US" w:eastAsia="zh-CN" w:bidi="ar-SA"/>
                    </w:rPr>
                  </w:pPr>
                  <w:r>
                    <w:rPr>
                      <w:rFonts w:hint="eastAsia" w:ascii="Times New Roman" w:hAnsi="Times New Roman" w:eastAsia="宋体" w:cs="Times New Roman"/>
                      <w:color w:val="auto"/>
                      <w:sz w:val="18"/>
                      <w:szCs w:val="18"/>
                      <w:highlight w:val="none"/>
                    </w:rPr>
                    <w:t>木屑</w:t>
                  </w:r>
                  <w:r>
                    <w:rPr>
                      <w:rFonts w:hint="default" w:ascii="Times New Roman" w:hAnsi="Times New Roman" w:eastAsia="宋体" w:cs="Times New Roman"/>
                      <w:color w:val="auto"/>
                      <w:sz w:val="18"/>
                      <w:szCs w:val="18"/>
                      <w:highlight w:val="none"/>
                    </w:rPr>
                    <w:t>、尿液、粪便</w:t>
                  </w:r>
                </w:p>
              </w:tc>
              <w:tc>
                <w:tcPr>
                  <w:tcW w:w="675" w:type="dxa"/>
                  <w:tcBorders>
                    <w:top w:val="single" w:color="auto" w:sz="4" w:space="0"/>
                    <w:left w:val="single" w:color="auto" w:sz="4" w:space="0"/>
                    <w:bottom w:val="single" w:color="auto" w:sz="4" w:space="0"/>
                    <w:right w:val="single" w:color="auto" w:sz="4" w:space="0"/>
                  </w:tcBorders>
                  <w:shd w:val="clear" w:color="auto" w:fill="auto"/>
                  <w:tcMar>
                    <w:left w:w="57" w:type="dxa"/>
                    <w:right w:w="57" w:type="dxa"/>
                  </w:tcMar>
                  <w:vAlign w:val="center"/>
                </w:tcPr>
                <w:p w14:paraId="5C7ACD27">
                  <w:pPr>
                    <w:pStyle w:val="129"/>
                    <w:keepNext w:val="0"/>
                    <w:keepLines w:val="0"/>
                    <w:pageBreakBefore w:val="0"/>
                    <w:suppressLineNumbers w:val="0"/>
                    <w:kinsoku/>
                    <w:wordWrap/>
                    <w:overflowPunct/>
                    <w:topLinePunct w:val="0"/>
                    <w:autoSpaceDE/>
                    <w:autoSpaceDN/>
                    <w:bidi w:val="0"/>
                    <w:adjustRightInd w:val="0"/>
                    <w:snapToGrid w:val="0"/>
                    <w:spacing w:before="0" w:beforeAutospacing="0" w:after="0" w:afterAutospacing="0" w:line="276" w:lineRule="auto"/>
                    <w:ind w:left="0" w:right="0"/>
                    <w:rPr>
                      <w:rFonts w:hint="default" w:ascii="Times New Roman" w:hAnsi="Times New Roman" w:eastAsia="宋体" w:cs="Times New Roman"/>
                      <w:color w:val="auto"/>
                      <w:kern w:val="0"/>
                      <w:sz w:val="18"/>
                      <w:szCs w:val="18"/>
                      <w:highlight w:val="none"/>
                      <w:lang w:val="en-US" w:eastAsia="zh-CN" w:bidi="ar-SA"/>
                    </w:rPr>
                  </w:pPr>
                  <w:r>
                    <w:rPr>
                      <w:rFonts w:hint="default" w:ascii="Times New Roman" w:hAnsi="Times New Roman" w:eastAsia="宋体" w:cs="Times New Roman"/>
                      <w:color w:val="auto"/>
                      <w:sz w:val="18"/>
                      <w:szCs w:val="18"/>
                      <w:highlight w:val="none"/>
                    </w:rPr>
                    <w:t>In</w:t>
                  </w:r>
                </w:p>
              </w:tc>
              <w:tc>
                <w:tcPr>
                  <w:tcW w:w="653" w:type="dxa"/>
                  <w:tcBorders>
                    <w:top w:val="single" w:color="auto" w:sz="4" w:space="0"/>
                    <w:left w:val="single" w:color="auto" w:sz="4" w:space="0"/>
                    <w:bottom w:val="single" w:color="auto" w:sz="4" w:space="0"/>
                    <w:right w:val="single" w:color="auto" w:sz="4" w:space="0"/>
                  </w:tcBorders>
                  <w:shd w:val="clear" w:color="auto" w:fill="auto"/>
                  <w:tcMar>
                    <w:left w:w="57" w:type="dxa"/>
                    <w:right w:w="57" w:type="dxa"/>
                  </w:tcMar>
                  <w:vAlign w:val="center"/>
                </w:tcPr>
                <w:p w14:paraId="4B820A0B">
                  <w:pPr>
                    <w:keepNext w:val="0"/>
                    <w:keepLines w:val="0"/>
                    <w:pageBreakBefore w:val="0"/>
                    <w:suppressLineNumbers w:val="0"/>
                    <w:kinsoku/>
                    <w:wordWrap/>
                    <w:overflowPunct/>
                    <w:topLinePunct w:val="0"/>
                    <w:autoSpaceDE/>
                    <w:autoSpaceDN/>
                    <w:bidi w:val="0"/>
                    <w:adjustRightInd w:val="0"/>
                    <w:snapToGrid w:val="0"/>
                    <w:spacing w:before="0" w:beforeAutospacing="0" w:after="0" w:afterAutospacing="0" w:line="276" w:lineRule="auto"/>
                    <w:ind w:left="0" w:right="0"/>
                    <w:jc w:val="center"/>
                    <w:rPr>
                      <w:rFonts w:hint="default" w:ascii="Times New Roman" w:hAnsi="Times New Roman" w:eastAsia="宋体" w:cs="Times New Roman"/>
                      <w:color w:val="auto"/>
                      <w:kern w:val="2"/>
                      <w:sz w:val="18"/>
                      <w:szCs w:val="18"/>
                      <w:highlight w:val="none"/>
                      <w:lang w:val="en-US" w:eastAsia="zh-CN" w:bidi="ar-SA"/>
                    </w:rPr>
                  </w:pPr>
                  <w:r>
                    <w:rPr>
                      <w:rFonts w:hint="eastAsia" w:cs="Times New Roman"/>
                      <w:color w:val="auto"/>
                      <w:sz w:val="18"/>
                      <w:szCs w:val="18"/>
                      <w:highlight w:val="none"/>
                      <w:lang w:val="en-US" w:eastAsia="zh-CN"/>
                    </w:rPr>
                    <w:t>10</w:t>
                  </w:r>
                  <w:r>
                    <w:rPr>
                      <w:rFonts w:hint="default" w:ascii="Times New Roman" w:hAnsi="Times New Roman" w:eastAsia="宋体" w:cs="Times New Roman"/>
                      <w:color w:val="auto"/>
                      <w:sz w:val="18"/>
                      <w:szCs w:val="18"/>
                      <w:highlight w:val="none"/>
                    </w:rPr>
                    <w:t>.</w:t>
                  </w:r>
                  <w:r>
                    <w:rPr>
                      <w:rFonts w:hint="eastAsia" w:ascii="Times New Roman" w:hAnsi="Times New Roman" w:eastAsia="宋体" w:cs="Times New Roman"/>
                      <w:color w:val="auto"/>
                      <w:sz w:val="18"/>
                      <w:szCs w:val="18"/>
                      <w:highlight w:val="none"/>
                      <w:lang w:val="en-US" w:eastAsia="zh-CN"/>
                    </w:rPr>
                    <w:t>4</w:t>
                  </w:r>
                  <w:r>
                    <w:rPr>
                      <w:rFonts w:hint="eastAsia" w:cs="Times New Roman"/>
                      <w:color w:val="auto"/>
                      <w:sz w:val="18"/>
                      <w:szCs w:val="18"/>
                      <w:highlight w:val="none"/>
                      <w:lang w:val="en-US" w:eastAsia="zh-CN"/>
                    </w:rPr>
                    <w:t>2</w:t>
                  </w:r>
                </w:p>
              </w:tc>
              <w:tc>
                <w:tcPr>
                  <w:tcW w:w="794" w:type="dxa"/>
                  <w:tcBorders>
                    <w:top w:val="single" w:color="auto" w:sz="4" w:space="0"/>
                    <w:left w:val="single" w:color="auto" w:sz="4" w:space="0"/>
                    <w:bottom w:val="single" w:color="auto" w:sz="4" w:space="0"/>
                    <w:right w:val="single" w:color="auto" w:sz="4" w:space="0"/>
                  </w:tcBorders>
                  <w:shd w:val="clear" w:color="auto" w:fill="auto"/>
                  <w:tcMar>
                    <w:left w:w="57" w:type="dxa"/>
                    <w:right w:w="57" w:type="dxa"/>
                  </w:tcMar>
                  <w:vAlign w:val="center"/>
                </w:tcPr>
                <w:p w14:paraId="1F20BF0A">
                  <w:pPr>
                    <w:keepNext w:val="0"/>
                    <w:keepLines w:val="0"/>
                    <w:pageBreakBefore w:val="0"/>
                    <w:suppressLineNumbers w:val="0"/>
                    <w:kinsoku/>
                    <w:wordWrap/>
                    <w:overflowPunct/>
                    <w:topLinePunct w:val="0"/>
                    <w:autoSpaceDE/>
                    <w:autoSpaceDN/>
                    <w:bidi w:val="0"/>
                    <w:adjustRightInd w:val="0"/>
                    <w:snapToGrid w:val="0"/>
                    <w:spacing w:before="0" w:beforeAutospacing="0" w:after="0" w:afterAutospacing="0" w:line="276" w:lineRule="auto"/>
                    <w:ind w:left="0" w:right="0"/>
                    <w:jc w:val="center"/>
                    <w:rPr>
                      <w:rFonts w:hint="eastAsia" w:ascii="Times New Roman" w:hAnsi="Times New Roman" w:eastAsia="宋体" w:cs="Times New Roman"/>
                      <w:kern w:val="2"/>
                      <w:sz w:val="18"/>
                      <w:szCs w:val="18"/>
                      <w:highlight w:val="none"/>
                      <w:lang w:val="zh-CN" w:eastAsia="zh-CN" w:bidi="ar-SA"/>
                    </w:rPr>
                  </w:pPr>
                  <w:r>
                    <w:rPr>
                      <w:rFonts w:hint="eastAsia" w:ascii="Times New Roman" w:hAnsi="Times New Roman" w:eastAsia="宋体" w:cs="Times New Roman"/>
                      <w:bCs/>
                      <w:color w:val="auto"/>
                      <w:sz w:val="18"/>
                      <w:szCs w:val="18"/>
                      <w:highlight w:val="none"/>
                      <w:lang w:val="zh-CN"/>
                    </w:rPr>
                    <w:t>吨袋</w:t>
                  </w:r>
                  <w:r>
                    <w:rPr>
                      <w:rFonts w:hint="eastAsia" w:ascii="Times New Roman" w:hAnsi="Times New Roman" w:eastAsia="宋体" w:cs="Times New Roman"/>
                      <w:sz w:val="18"/>
                      <w:szCs w:val="18"/>
                      <w:highlight w:val="none"/>
                    </w:rPr>
                    <w:t>，集中堆放</w:t>
                  </w:r>
                </w:p>
              </w:tc>
              <w:tc>
                <w:tcPr>
                  <w:tcW w:w="705" w:type="dxa"/>
                  <w:vMerge w:val="continue"/>
                  <w:tcBorders>
                    <w:left w:val="single" w:color="auto" w:sz="4" w:space="0"/>
                    <w:right w:val="single" w:color="auto" w:sz="4" w:space="0"/>
                  </w:tcBorders>
                  <w:tcMar>
                    <w:left w:w="57" w:type="dxa"/>
                    <w:right w:w="57" w:type="dxa"/>
                  </w:tcMar>
                  <w:vAlign w:val="center"/>
                </w:tcPr>
                <w:p w14:paraId="088F5A33">
                  <w:pPr>
                    <w:keepNext w:val="0"/>
                    <w:keepLines w:val="0"/>
                    <w:pageBreakBefore w:val="0"/>
                    <w:suppressLineNumbers w:val="0"/>
                    <w:kinsoku/>
                    <w:wordWrap/>
                    <w:overflowPunct/>
                    <w:topLinePunct w:val="0"/>
                    <w:autoSpaceDE/>
                    <w:autoSpaceDN/>
                    <w:bidi w:val="0"/>
                    <w:adjustRightInd w:val="0"/>
                    <w:snapToGrid w:val="0"/>
                    <w:spacing w:before="0" w:beforeAutospacing="0" w:after="0" w:afterAutospacing="0" w:line="276" w:lineRule="auto"/>
                    <w:ind w:left="0" w:right="0"/>
                    <w:jc w:val="center"/>
                    <w:rPr>
                      <w:rFonts w:hint="default" w:ascii="Times New Roman" w:hAnsi="Times New Roman" w:eastAsia="宋体" w:cs="Times New Roman"/>
                      <w:color w:val="auto"/>
                      <w:sz w:val="18"/>
                      <w:szCs w:val="18"/>
                      <w:highlight w:val="none"/>
                    </w:rPr>
                  </w:pPr>
                </w:p>
              </w:tc>
              <w:tc>
                <w:tcPr>
                  <w:tcW w:w="626" w:type="dxa"/>
                  <w:tcBorders>
                    <w:top w:val="single" w:color="auto" w:sz="4" w:space="0"/>
                    <w:left w:val="single" w:color="auto" w:sz="4" w:space="0"/>
                    <w:bottom w:val="single" w:color="auto" w:sz="4" w:space="0"/>
                    <w:right w:val="single" w:color="auto" w:sz="4" w:space="0"/>
                  </w:tcBorders>
                  <w:shd w:val="clear" w:color="auto" w:fill="auto"/>
                  <w:tcMar>
                    <w:left w:w="57" w:type="dxa"/>
                    <w:right w:w="57" w:type="dxa"/>
                  </w:tcMar>
                  <w:vAlign w:val="center"/>
                </w:tcPr>
                <w:p w14:paraId="5B6AB208">
                  <w:pPr>
                    <w:keepNext w:val="0"/>
                    <w:keepLines w:val="0"/>
                    <w:pageBreakBefore w:val="0"/>
                    <w:suppressLineNumbers w:val="0"/>
                    <w:kinsoku/>
                    <w:wordWrap/>
                    <w:overflowPunct/>
                    <w:topLinePunct w:val="0"/>
                    <w:autoSpaceDE/>
                    <w:autoSpaceDN/>
                    <w:bidi w:val="0"/>
                    <w:adjustRightInd w:val="0"/>
                    <w:snapToGrid w:val="0"/>
                    <w:spacing w:before="0" w:beforeAutospacing="0" w:after="0" w:afterAutospacing="0" w:line="276" w:lineRule="auto"/>
                    <w:ind w:left="0" w:right="0"/>
                    <w:jc w:val="center"/>
                    <w:rPr>
                      <w:rFonts w:hint="eastAsia" w:cs="Times New Roman"/>
                      <w:color w:val="auto"/>
                      <w:sz w:val="18"/>
                      <w:szCs w:val="18"/>
                      <w:highlight w:val="none"/>
                      <w:lang w:val="en-US" w:eastAsia="zh-CN"/>
                    </w:rPr>
                  </w:pPr>
                  <w:r>
                    <w:rPr>
                      <w:rFonts w:hint="eastAsia" w:cs="Times New Roman"/>
                      <w:color w:val="auto"/>
                      <w:sz w:val="18"/>
                      <w:szCs w:val="18"/>
                      <w:highlight w:val="none"/>
                      <w:lang w:val="en-US" w:eastAsia="zh-CN"/>
                    </w:rPr>
                    <w:t>10</w:t>
                  </w:r>
                  <w:r>
                    <w:rPr>
                      <w:rFonts w:hint="default" w:ascii="Times New Roman" w:hAnsi="Times New Roman" w:eastAsia="宋体" w:cs="Times New Roman"/>
                      <w:color w:val="auto"/>
                      <w:sz w:val="18"/>
                      <w:szCs w:val="18"/>
                      <w:highlight w:val="none"/>
                    </w:rPr>
                    <w:t>.</w:t>
                  </w:r>
                  <w:r>
                    <w:rPr>
                      <w:rFonts w:hint="eastAsia" w:ascii="Times New Roman" w:hAnsi="Times New Roman" w:eastAsia="宋体" w:cs="Times New Roman"/>
                      <w:color w:val="auto"/>
                      <w:sz w:val="18"/>
                      <w:szCs w:val="18"/>
                      <w:highlight w:val="none"/>
                      <w:lang w:val="en-US" w:eastAsia="zh-CN"/>
                    </w:rPr>
                    <w:t>4</w:t>
                  </w:r>
                  <w:r>
                    <w:rPr>
                      <w:rFonts w:hint="eastAsia" w:cs="Times New Roman"/>
                      <w:color w:val="auto"/>
                      <w:sz w:val="18"/>
                      <w:szCs w:val="18"/>
                      <w:highlight w:val="none"/>
                      <w:lang w:val="en-US" w:eastAsia="zh-CN"/>
                    </w:rPr>
                    <w:t>2</w:t>
                  </w:r>
                </w:p>
              </w:tc>
            </w:tr>
            <w:tr w14:paraId="7245D3A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jc w:val="center"/>
              </w:trPr>
              <w:tc>
                <w:tcPr>
                  <w:tcW w:w="307" w:type="dxa"/>
                  <w:tcBorders>
                    <w:top w:val="single" w:color="auto" w:sz="4" w:space="0"/>
                    <w:left w:val="single" w:color="auto" w:sz="4" w:space="0"/>
                    <w:bottom w:val="single" w:color="auto" w:sz="4" w:space="0"/>
                    <w:right w:val="single" w:color="auto" w:sz="4" w:space="0"/>
                  </w:tcBorders>
                  <w:shd w:val="clear" w:color="auto" w:fill="auto"/>
                  <w:tcMar>
                    <w:left w:w="57" w:type="dxa"/>
                    <w:right w:w="57" w:type="dxa"/>
                  </w:tcMar>
                  <w:vAlign w:val="center"/>
                </w:tcPr>
                <w:p w14:paraId="70DBE91A">
                  <w:pPr>
                    <w:keepNext w:val="0"/>
                    <w:keepLines w:val="0"/>
                    <w:pageBreakBefore w:val="0"/>
                    <w:suppressLineNumbers w:val="0"/>
                    <w:kinsoku/>
                    <w:wordWrap/>
                    <w:overflowPunct/>
                    <w:topLinePunct w:val="0"/>
                    <w:autoSpaceDE/>
                    <w:autoSpaceDN/>
                    <w:bidi w:val="0"/>
                    <w:adjustRightInd w:val="0"/>
                    <w:snapToGrid w:val="0"/>
                    <w:spacing w:before="0" w:beforeAutospacing="0" w:after="0" w:afterAutospacing="0" w:line="276" w:lineRule="auto"/>
                    <w:ind w:left="0" w:leftChars="0" w:right="0" w:rightChars="0"/>
                    <w:jc w:val="center"/>
                    <w:rPr>
                      <w:rFonts w:hint="default" w:ascii="Times New Roman" w:hAnsi="Times New Roman" w:eastAsia="宋体" w:cs="Times New Roman"/>
                      <w:kern w:val="2"/>
                      <w:sz w:val="18"/>
                      <w:szCs w:val="18"/>
                      <w:highlight w:val="none"/>
                      <w:lang w:val="en-US" w:eastAsia="zh-CN" w:bidi="ar-SA"/>
                    </w:rPr>
                  </w:pPr>
                  <w:r>
                    <w:rPr>
                      <w:rFonts w:hint="eastAsia" w:ascii="Times New Roman" w:hAnsi="Times New Roman" w:eastAsia="宋体" w:cs="Times New Roman"/>
                      <w:sz w:val="18"/>
                      <w:szCs w:val="18"/>
                      <w:highlight w:val="none"/>
                      <w:lang w:val="en-US" w:eastAsia="zh-CN"/>
                    </w:rPr>
                    <w:t>15</w:t>
                  </w:r>
                </w:p>
              </w:tc>
              <w:tc>
                <w:tcPr>
                  <w:tcW w:w="878" w:type="dxa"/>
                  <w:tcBorders>
                    <w:top w:val="single" w:color="auto" w:sz="4" w:space="0"/>
                    <w:left w:val="single" w:color="auto" w:sz="4" w:space="0"/>
                    <w:bottom w:val="single" w:color="auto" w:sz="4" w:space="0"/>
                    <w:right w:val="single" w:color="auto" w:sz="4" w:space="0"/>
                  </w:tcBorders>
                  <w:shd w:val="clear" w:color="auto" w:fill="auto"/>
                  <w:tcMar>
                    <w:left w:w="57" w:type="dxa"/>
                    <w:right w:w="57" w:type="dxa"/>
                  </w:tcMar>
                  <w:vAlign w:val="center"/>
                </w:tcPr>
                <w:p w14:paraId="7FF4306D">
                  <w:pPr>
                    <w:pStyle w:val="129"/>
                    <w:keepNext w:val="0"/>
                    <w:keepLines w:val="0"/>
                    <w:pageBreakBefore w:val="0"/>
                    <w:suppressLineNumbers w:val="0"/>
                    <w:kinsoku/>
                    <w:wordWrap/>
                    <w:overflowPunct/>
                    <w:topLinePunct w:val="0"/>
                    <w:autoSpaceDE/>
                    <w:autoSpaceDN/>
                    <w:bidi w:val="0"/>
                    <w:adjustRightInd w:val="0"/>
                    <w:snapToGrid w:val="0"/>
                    <w:spacing w:before="0" w:beforeAutospacing="0" w:after="0" w:afterAutospacing="0" w:line="276" w:lineRule="auto"/>
                    <w:ind w:left="0" w:right="0"/>
                    <w:rPr>
                      <w:rFonts w:hint="eastAsia" w:ascii="Times New Roman" w:hAnsi="Times New Roman" w:eastAsia="宋体" w:cs="Times New Roman"/>
                      <w:color w:val="auto"/>
                      <w:kern w:val="0"/>
                      <w:sz w:val="18"/>
                      <w:szCs w:val="18"/>
                      <w:highlight w:val="none"/>
                      <w:lang w:val="en-US" w:eastAsia="zh-CN" w:bidi="ar-SA"/>
                    </w:rPr>
                  </w:pPr>
                  <w:r>
                    <w:rPr>
                      <w:rFonts w:hint="eastAsia" w:ascii="Times New Roman" w:hAnsi="Times New Roman" w:eastAsia="宋体" w:cs="Times New Roman"/>
                      <w:color w:val="auto"/>
                      <w:sz w:val="18"/>
                      <w:szCs w:val="18"/>
                      <w:highlight w:val="none"/>
                    </w:rPr>
                    <w:t>污泥</w:t>
                  </w:r>
                </w:p>
              </w:tc>
              <w:tc>
                <w:tcPr>
                  <w:tcW w:w="1058" w:type="dxa"/>
                  <w:tcBorders>
                    <w:top w:val="single" w:color="auto" w:sz="4" w:space="0"/>
                    <w:left w:val="single" w:color="auto" w:sz="4" w:space="0"/>
                    <w:bottom w:val="single" w:color="auto" w:sz="4" w:space="0"/>
                    <w:right w:val="single" w:color="auto" w:sz="4" w:space="0"/>
                  </w:tcBorders>
                  <w:shd w:val="clear" w:color="auto" w:fill="auto"/>
                  <w:tcMar>
                    <w:left w:w="57" w:type="dxa"/>
                    <w:right w:w="57" w:type="dxa"/>
                  </w:tcMar>
                  <w:vAlign w:val="center"/>
                </w:tcPr>
                <w:p w14:paraId="6C753294">
                  <w:pPr>
                    <w:pStyle w:val="129"/>
                    <w:keepNext w:val="0"/>
                    <w:keepLines w:val="0"/>
                    <w:pageBreakBefore w:val="0"/>
                    <w:suppressLineNumbers w:val="0"/>
                    <w:kinsoku/>
                    <w:wordWrap/>
                    <w:overflowPunct/>
                    <w:topLinePunct w:val="0"/>
                    <w:autoSpaceDE/>
                    <w:autoSpaceDN/>
                    <w:bidi w:val="0"/>
                    <w:adjustRightInd w:val="0"/>
                    <w:snapToGrid w:val="0"/>
                    <w:spacing w:before="0" w:beforeAutospacing="0" w:after="0" w:afterAutospacing="0" w:line="276" w:lineRule="auto"/>
                    <w:ind w:left="0" w:right="0"/>
                    <w:rPr>
                      <w:rFonts w:hint="default" w:ascii="Times New Roman" w:hAnsi="Times New Roman" w:eastAsia="宋体" w:cs="Times New Roman"/>
                      <w:color w:val="auto"/>
                      <w:kern w:val="0"/>
                      <w:sz w:val="18"/>
                      <w:szCs w:val="18"/>
                      <w:highlight w:val="none"/>
                      <w:lang w:val="en-US" w:eastAsia="zh-CN" w:bidi="ar-SA"/>
                    </w:rPr>
                  </w:pPr>
                  <w:r>
                    <w:rPr>
                      <w:rFonts w:hint="eastAsia" w:ascii="Times New Roman" w:hAnsi="Times New Roman" w:eastAsia="宋体" w:cs="Times New Roman"/>
                      <w:color w:val="auto"/>
                      <w:sz w:val="18"/>
                      <w:szCs w:val="18"/>
                      <w:highlight w:val="none"/>
                    </w:rPr>
                    <w:t>污泥</w:t>
                  </w:r>
                </w:p>
              </w:tc>
              <w:tc>
                <w:tcPr>
                  <w:tcW w:w="581" w:type="dxa"/>
                  <w:tcBorders>
                    <w:top w:val="single" w:color="auto" w:sz="4" w:space="0"/>
                    <w:left w:val="single" w:color="auto" w:sz="4" w:space="0"/>
                    <w:bottom w:val="single" w:color="auto" w:sz="4" w:space="0"/>
                    <w:right w:val="single" w:color="auto" w:sz="4" w:space="0"/>
                  </w:tcBorders>
                  <w:shd w:val="clear" w:color="auto" w:fill="auto"/>
                  <w:tcMar>
                    <w:left w:w="57" w:type="dxa"/>
                    <w:right w:w="57" w:type="dxa"/>
                  </w:tcMar>
                  <w:vAlign w:val="center"/>
                </w:tcPr>
                <w:p w14:paraId="5E01937A">
                  <w:pPr>
                    <w:pStyle w:val="129"/>
                    <w:keepNext w:val="0"/>
                    <w:keepLines w:val="0"/>
                    <w:pageBreakBefore w:val="0"/>
                    <w:suppressLineNumbers w:val="0"/>
                    <w:kinsoku/>
                    <w:wordWrap/>
                    <w:overflowPunct/>
                    <w:topLinePunct w:val="0"/>
                    <w:autoSpaceDE/>
                    <w:autoSpaceDN/>
                    <w:bidi w:val="0"/>
                    <w:adjustRightInd w:val="0"/>
                    <w:snapToGrid w:val="0"/>
                    <w:spacing w:before="0" w:beforeAutospacing="0" w:after="0" w:afterAutospacing="0" w:line="276" w:lineRule="auto"/>
                    <w:ind w:left="0" w:right="0"/>
                    <w:rPr>
                      <w:rFonts w:hint="default" w:ascii="Times New Roman" w:hAnsi="Times New Roman" w:eastAsia="宋体" w:cs="Times New Roman"/>
                      <w:color w:val="auto"/>
                      <w:kern w:val="0"/>
                      <w:sz w:val="18"/>
                      <w:szCs w:val="18"/>
                      <w:highlight w:val="none"/>
                      <w:lang w:val="en-US" w:eastAsia="zh-CN" w:bidi="ar-SA"/>
                    </w:rPr>
                  </w:pPr>
                  <w:r>
                    <w:rPr>
                      <w:rFonts w:hint="eastAsia" w:ascii="Times New Roman" w:hAnsi="Times New Roman" w:eastAsia="宋体" w:cs="Times New Roman"/>
                      <w:color w:val="auto"/>
                      <w:sz w:val="18"/>
                      <w:szCs w:val="18"/>
                      <w:highlight w:val="none"/>
                    </w:rPr>
                    <w:t>半固态</w:t>
                  </w:r>
                </w:p>
              </w:tc>
              <w:tc>
                <w:tcPr>
                  <w:tcW w:w="1082" w:type="dxa"/>
                  <w:tcBorders>
                    <w:top w:val="single" w:color="auto" w:sz="4" w:space="0"/>
                    <w:left w:val="single" w:color="auto" w:sz="4" w:space="0"/>
                    <w:bottom w:val="single" w:color="auto" w:sz="4" w:space="0"/>
                    <w:right w:val="single" w:color="auto" w:sz="4" w:space="0"/>
                  </w:tcBorders>
                  <w:shd w:val="clear" w:color="auto" w:fill="auto"/>
                  <w:tcMar>
                    <w:left w:w="57" w:type="dxa"/>
                    <w:right w:w="57" w:type="dxa"/>
                  </w:tcMar>
                  <w:vAlign w:val="center"/>
                </w:tcPr>
                <w:p w14:paraId="1E99FA56">
                  <w:pPr>
                    <w:pStyle w:val="129"/>
                    <w:keepNext w:val="0"/>
                    <w:keepLines w:val="0"/>
                    <w:pageBreakBefore w:val="0"/>
                    <w:suppressLineNumbers w:val="0"/>
                    <w:kinsoku/>
                    <w:wordWrap/>
                    <w:overflowPunct/>
                    <w:topLinePunct w:val="0"/>
                    <w:autoSpaceDE/>
                    <w:autoSpaceDN/>
                    <w:bidi w:val="0"/>
                    <w:adjustRightInd w:val="0"/>
                    <w:snapToGrid w:val="0"/>
                    <w:spacing w:before="0" w:beforeAutospacing="0" w:after="0" w:afterAutospacing="0" w:line="276" w:lineRule="auto"/>
                    <w:ind w:left="0" w:right="0"/>
                    <w:rPr>
                      <w:rFonts w:hint="default" w:ascii="Times New Roman" w:hAnsi="Times New Roman" w:eastAsia="宋体" w:cs="Times New Roman"/>
                      <w:color w:val="auto"/>
                      <w:kern w:val="0"/>
                      <w:sz w:val="18"/>
                      <w:szCs w:val="18"/>
                      <w:highlight w:val="none"/>
                      <w:lang w:val="en-US" w:eastAsia="zh-CN" w:bidi="ar-SA"/>
                    </w:rPr>
                  </w:pPr>
                  <w:r>
                    <w:rPr>
                      <w:rFonts w:hint="eastAsia" w:ascii="Times New Roman" w:hAnsi="Times New Roman" w:eastAsia="宋体" w:cs="Times New Roman"/>
                      <w:color w:val="auto"/>
                      <w:sz w:val="18"/>
                      <w:szCs w:val="18"/>
                      <w:highlight w:val="none"/>
                      <w:lang w:val="en-US" w:eastAsia="zh-CN"/>
                    </w:rPr>
                    <w:t>危险废物，</w:t>
                  </w:r>
                  <w:r>
                    <w:rPr>
                      <w:rFonts w:hint="default" w:ascii="Times New Roman" w:hAnsi="Times New Roman" w:eastAsia="宋体" w:cs="Times New Roman"/>
                      <w:color w:val="auto"/>
                      <w:sz w:val="18"/>
                      <w:szCs w:val="18"/>
                      <w:highlight w:val="none"/>
                    </w:rPr>
                    <w:t>841-001-01</w:t>
                  </w:r>
                </w:p>
              </w:tc>
              <w:tc>
                <w:tcPr>
                  <w:tcW w:w="895" w:type="dxa"/>
                  <w:tcBorders>
                    <w:top w:val="single" w:color="auto" w:sz="4" w:space="0"/>
                    <w:left w:val="single" w:color="auto" w:sz="4" w:space="0"/>
                    <w:bottom w:val="single" w:color="auto" w:sz="4" w:space="0"/>
                    <w:right w:val="single" w:color="auto" w:sz="4" w:space="0"/>
                  </w:tcBorders>
                  <w:shd w:val="clear" w:color="auto" w:fill="auto"/>
                  <w:tcMar>
                    <w:left w:w="57" w:type="dxa"/>
                    <w:right w:w="57" w:type="dxa"/>
                  </w:tcMar>
                  <w:vAlign w:val="center"/>
                </w:tcPr>
                <w:p w14:paraId="450E460E">
                  <w:pPr>
                    <w:pStyle w:val="129"/>
                    <w:keepNext w:val="0"/>
                    <w:keepLines w:val="0"/>
                    <w:pageBreakBefore w:val="0"/>
                    <w:suppressLineNumbers w:val="0"/>
                    <w:kinsoku/>
                    <w:wordWrap/>
                    <w:overflowPunct/>
                    <w:topLinePunct w:val="0"/>
                    <w:autoSpaceDE/>
                    <w:autoSpaceDN/>
                    <w:bidi w:val="0"/>
                    <w:adjustRightInd w:val="0"/>
                    <w:snapToGrid w:val="0"/>
                    <w:spacing w:before="0" w:beforeAutospacing="0" w:after="0" w:afterAutospacing="0" w:line="276" w:lineRule="auto"/>
                    <w:ind w:left="0" w:right="0"/>
                    <w:rPr>
                      <w:rFonts w:hint="default" w:ascii="Times New Roman" w:hAnsi="Times New Roman" w:eastAsia="宋体" w:cs="Times New Roman"/>
                      <w:color w:val="auto"/>
                      <w:kern w:val="0"/>
                      <w:sz w:val="18"/>
                      <w:szCs w:val="18"/>
                      <w:highlight w:val="none"/>
                      <w:lang w:val="en-US" w:eastAsia="zh-CN" w:bidi="ar-SA"/>
                    </w:rPr>
                  </w:pPr>
                  <w:r>
                    <w:rPr>
                      <w:rFonts w:hint="eastAsia" w:ascii="Times New Roman" w:hAnsi="Times New Roman" w:eastAsia="宋体" w:cs="Times New Roman"/>
                      <w:color w:val="auto"/>
                      <w:sz w:val="18"/>
                      <w:szCs w:val="18"/>
                      <w:highlight w:val="none"/>
                    </w:rPr>
                    <w:t>污泥</w:t>
                  </w:r>
                </w:p>
              </w:tc>
              <w:tc>
                <w:tcPr>
                  <w:tcW w:w="675" w:type="dxa"/>
                  <w:tcBorders>
                    <w:top w:val="single" w:color="auto" w:sz="4" w:space="0"/>
                    <w:left w:val="single" w:color="auto" w:sz="4" w:space="0"/>
                    <w:bottom w:val="single" w:color="auto" w:sz="4" w:space="0"/>
                    <w:right w:val="single" w:color="auto" w:sz="4" w:space="0"/>
                  </w:tcBorders>
                  <w:shd w:val="clear" w:color="auto" w:fill="auto"/>
                  <w:tcMar>
                    <w:left w:w="57" w:type="dxa"/>
                    <w:right w:w="57" w:type="dxa"/>
                  </w:tcMar>
                  <w:vAlign w:val="center"/>
                </w:tcPr>
                <w:p w14:paraId="43D256EC">
                  <w:pPr>
                    <w:pStyle w:val="129"/>
                    <w:keepNext w:val="0"/>
                    <w:keepLines w:val="0"/>
                    <w:pageBreakBefore w:val="0"/>
                    <w:suppressLineNumbers w:val="0"/>
                    <w:kinsoku/>
                    <w:wordWrap/>
                    <w:overflowPunct/>
                    <w:topLinePunct w:val="0"/>
                    <w:autoSpaceDE/>
                    <w:autoSpaceDN/>
                    <w:bidi w:val="0"/>
                    <w:adjustRightInd w:val="0"/>
                    <w:snapToGrid w:val="0"/>
                    <w:spacing w:before="0" w:beforeAutospacing="0" w:after="0" w:afterAutospacing="0" w:line="276" w:lineRule="auto"/>
                    <w:ind w:left="0" w:right="0"/>
                    <w:rPr>
                      <w:rFonts w:hint="default" w:ascii="Times New Roman" w:hAnsi="Times New Roman" w:eastAsia="宋体" w:cs="Times New Roman"/>
                      <w:color w:val="auto"/>
                      <w:kern w:val="0"/>
                      <w:sz w:val="18"/>
                      <w:szCs w:val="18"/>
                      <w:highlight w:val="none"/>
                      <w:lang w:val="en-US" w:eastAsia="zh-CN" w:bidi="ar-SA"/>
                    </w:rPr>
                  </w:pPr>
                  <w:r>
                    <w:rPr>
                      <w:rFonts w:hint="default" w:ascii="Times New Roman" w:hAnsi="Times New Roman" w:eastAsia="宋体" w:cs="Times New Roman"/>
                      <w:color w:val="auto"/>
                      <w:sz w:val="18"/>
                      <w:szCs w:val="18"/>
                      <w:highlight w:val="none"/>
                    </w:rPr>
                    <w:t>In</w:t>
                  </w:r>
                </w:p>
              </w:tc>
              <w:tc>
                <w:tcPr>
                  <w:tcW w:w="653" w:type="dxa"/>
                  <w:tcBorders>
                    <w:top w:val="single" w:color="auto" w:sz="4" w:space="0"/>
                    <w:left w:val="single" w:color="auto" w:sz="4" w:space="0"/>
                    <w:bottom w:val="single" w:color="auto" w:sz="4" w:space="0"/>
                    <w:right w:val="single" w:color="auto" w:sz="4" w:space="0"/>
                  </w:tcBorders>
                  <w:tcMar>
                    <w:left w:w="57" w:type="dxa"/>
                    <w:right w:w="57" w:type="dxa"/>
                  </w:tcMar>
                  <w:vAlign w:val="center"/>
                </w:tcPr>
                <w:p w14:paraId="2DD23F6E">
                  <w:pPr>
                    <w:keepNext w:val="0"/>
                    <w:keepLines w:val="0"/>
                    <w:pageBreakBefore w:val="0"/>
                    <w:suppressLineNumbers w:val="0"/>
                    <w:kinsoku/>
                    <w:wordWrap/>
                    <w:overflowPunct/>
                    <w:topLinePunct w:val="0"/>
                    <w:autoSpaceDE/>
                    <w:autoSpaceDN/>
                    <w:bidi w:val="0"/>
                    <w:adjustRightInd w:val="0"/>
                    <w:snapToGrid w:val="0"/>
                    <w:spacing w:before="0" w:beforeAutospacing="0" w:after="0" w:afterAutospacing="0" w:line="276" w:lineRule="auto"/>
                    <w:ind w:left="0" w:right="0"/>
                    <w:jc w:val="center"/>
                    <w:rPr>
                      <w:rFonts w:hint="eastAsia" w:ascii="Times New Roman" w:hAnsi="Times New Roman" w:eastAsia="宋体" w:cs="Times New Roman"/>
                      <w:color w:val="auto"/>
                      <w:kern w:val="2"/>
                      <w:sz w:val="18"/>
                      <w:szCs w:val="18"/>
                      <w:highlight w:val="none"/>
                      <w:lang w:val="en-US" w:eastAsia="zh-CN" w:bidi="ar-SA"/>
                    </w:rPr>
                  </w:pPr>
                  <w:r>
                    <w:rPr>
                      <w:rFonts w:hint="eastAsia" w:cs="Times New Roman"/>
                      <w:color w:val="auto"/>
                      <w:sz w:val="18"/>
                      <w:szCs w:val="18"/>
                      <w:highlight w:val="none"/>
                      <w:lang w:val="en-US" w:eastAsia="zh-CN"/>
                    </w:rPr>
                    <w:t>31</w:t>
                  </w:r>
                  <w:r>
                    <w:rPr>
                      <w:rFonts w:hint="default" w:ascii="Times New Roman" w:hAnsi="Times New Roman" w:eastAsia="宋体" w:cs="Times New Roman"/>
                      <w:color w:val="auto"/>
                      <w:sz w:val="18"/>
                      <w:szCs w:val="18"/>
                      <w:highlight w:val="none"/>
                    </w:rPr>
                    <w:t>.</w:t>
                  </w:r>
                  <w:r>
                    <w:rPr>
                      <w:rFonts w:hint="eastAsia" w:cs="Times New Roman"/>
                      <w:color w:val="auto"/>
                      <w:sz w:val="18"/>
                      <w:szCs w:val="18"/>
                      <w:highlight w:val="none"/>
                      <w:lang w:val="en-US" w:eastAsia="zh-CN"/>
                    </w:rPr>
                    <w:t>52</w:t>
                  </w:r>
                </w:p>
              </w:tc>
              <w:tc>
                <w:tcPr>
                  <w:tcW w:w="794" w:type="dxa"/>
                  <w:tcBorders>
                    <w:top w:val="single" w:color="auto" w:sz="4" w:space="0"/>
                    <w:left w:val="single" w:color="auto" w:sz="4" w:space="0"/>
                    <w:bottom w:val="single" w:color="auto" w:sz="4" w:space="0"/>
                    <w:right w:val="single" w:color="auto" w:sz="4" w:space="0"/>
                  </w:tcBorders>
                  <w:shd w:val="clear" w:color="auto" w:fill="auto"/>
                  <w:tcMar>
                    <w:left w:w="57" w:type="dxa"/>
                    <w:right w:w="57" w:type="dxa"/>
                  </w:tcMar>
                  <w:vAlign w:val="center"/>
                </w:tcPr>
                <w:p w14:paraId="00A45E3F">
                  <w:pPr>
                    <w:pStyle w:val="129"/>
                    <w:keepNext w:val="0"/>
                    <w:keepLines w:val="0"/>
                    <w:pageBreakBefore w:val="0"/>
                    <w:suppressLineNumbers w:val="0"/>
                    <w:kinsoku/>
                    <w:wordWrap/>
                    <w:overflowPunct/>
                    <w:topLinePunct w:val="0"/>
                    <w:autoSpaceDE/>
                    <w:autoSpaceDN/>
                    <w:bidi w:val="0"/>
                    <w:adjustRightInd w:val="0"/>
                    <w:snapToGrid w:val="0"/>
                    <w:spacing w:before="0" w:beforeAutospacing="0" w:after="0" w:afterAutospacing="0" w:line="276" w:lineRule="auto"/>
                    <w:ind w:left="0" w:right="0"/>
                    <w:rPr>
                      <w:rFonts w:hint="default" w:ascii="Times New Roman" w:hAnsi="Times New Roman" w:eastAsia="宋体" w:cs="Times New Roman"/>
                      <w:bCs/>
                      <w:color w:val="auto"/>
                      <w:kern w:val="0"/>
                      <w:sz w:val="18"/>
                      <w:szCs w:val="18"/>
                      <w:highlight w:val="none"/>
                      <w:lang w:val="zh-CN" w:eastAsia="zh-CN" w:bidi="ar-SA"/>
                    </w:rPr>
                  </w:pPr>
                  <w:r>
                    <w:rPr>
                      <w:rFonts w:hint="eastAsia" w:ascii="Times New Roman" w:hAnsi="Times New Roman" w:eastAsia="宋体" w:cs="Times New Roman"/>
                      <w:bCs/>
                      <w:color w:val="auto"/>
                      <w:sz w:val="18"/>
                      <w:szCs w:val="18"/>
                      <w:highlight w:val="none"/>
                      <w:lang w:val="zh-CN"/>
                    </w:rPr>
                    <w:t>袋装</w:t>
                  </w:r>
                </w:p>
              </w:tc>
              <w:tc>
                <w:tcPr>
                  <w:tcW w:w="705" w:type="dxa"/>
                  <w:vMerge w:val="continue"/>
                  <w:tcBorders>
                    <w:left w:val="single" w:color="auto" w:sz="4" w:space="0"/>
                    <w:right w:val="single" w:color="auto" w:sz="4" w:space="0"/>
                  </w:tcBorders>
                  <w:tcMar>
                    <w:left w:w="57" w:type="dxa"/>
                    <w:right w:w="57" w:type="dxa"/>
                  </w:tcMar>
                  <w:vAlign w:val="center"/>
                </w:tcPr>
                <w:p w14:paraId="0D1E8F6E">
                  <w:pPr>
                    <w:keepNext w:val="0"/>
                    <w:keepLines w:val="0"/>
                    <w:pageBreakBefore w:val="0"/>
                    <w:suppressLineNumbers w:val="0"/>
                    <w:kinsoku/>
                    <w:wordWrap/>
                    <w:overflowPunct/>
                    <w:topLinePunct w:val="0"/>
                    <w:autoSpaceDE/>
                    <w:autoSpaceDN/>
                    <w:bidi w:val="0"/>
                    <w:adjustRightInd w:val="0"/>
                    <w:snapToGrid w:val="0"/>
                    <w:spacing w:before="0" w:beforeAutospacing="0" w:after="0" w:afterAutospacing="0" w:line="276" w:lineRule="auto"/>
                    <w:ind w:left="0" w:right="0"/>
                    <w:jc w:val="center"/>
                    <w:rPr>
                      <w:rFonts w:hint="default" w:ascii="Times New Roman" w:hAnsi="Times New Roman" w:eastAsia="宋体" w:cs="Times New Roman"/>
                      <w:color w:val="auto"/>
                      <w:sz w:val="18"/>
                      <w:szCs w:val="18"/>
                      <w:highlight w:val="none"/>
                    </w:rPr>
                  </w:pPr>
                </w:p>
              </w:tc>
              <w:tc>
                <w:tcPr>
                  <w:tcW w:w="626" w:type="dxa"/>
                  <w:tcBorders>
                    <w:top w:val="single" w:color="auto" w:sz="4" w:space="0"/>
                    <w:left w:val="single" w:color="auto" w:sz="4" w:space="0"/>
                    <w:bottom w:val="single" w:color="auto" w:sz="4" w:space="0"/>
                    <w:right w:val="single" w:color="auto" w:sz="4" w:space="0"/>
                  </w:tcBorders>
                  <w:shd w:val="clear" w:color="auto" w:fill="auto"/>
                  <w:tcMar>
                    <w:left w:w="57" w:type="dxa"/>
                    <w:right w:w="57" w:type="dxa"/>
                  </w:tcMar>
                  <w:vAlign w:val="center"/>
                </w:tcPr>
                <w:p w14:paraId="6844274A">
                  <w:pPr>
                    <w:keepNext w:val="0"/>
                    <w:keepLines w:val="0"/>
                    <w:pageBreakBefore w:val="0"/>
                    <w:suppressLineNumbers w:val="0"/>
                    <w:kinsoku/>
                    <w:wordWrap/>
                    <w:overflowPunct/>
                    <w:topLinePunct w:val="0"/>
                    <w:autoSpaceDE/>
                    <w:autoSpaceDN/>
                    <w:bidi w:val="0"/>
                    <w:adjustRightInd w:val="0"/>
                    <w:snapToGrid w:val="0"/>
                    <w:spacing w:before="0" w:beforeAutospacing="0" w:after="0" w:afterAutospacing="0" w:line="276" w:lineRule="auto"/>
                    <w:ind w:left="0" w:right="0"/>
                    <w:jc w:val="center"/>
                    <w:rPr>
                      <w:rFonts w:hint="eastAsia" w:ascii="Times New Roman" w:hAnsi="Times New Roman" w:eastAsia="宋体" w:cs="Times New Roman"/>
                      <w:color w:val="auto"/>
                      <w:kern w:val="2"/>
                      <w:sz w:val="18"/>
                      <w:szCs w:val="18"/>
                      <w:highlight w:val="none"/>
                      <w:lang w:val="en-US" w:eastAsia="zh-CN" w:bidi="ar-SA"/>
                    </w:rPr>
                  </w:pPr>
                  <w:r>
                    <w:rPr>
                      <w:rFonts w:hint="eastAsia" w:cs="Times New Roman"/>
                      <w:color w:val="auto"/>
                      <w:sz w:val="18"/>
                      <w:szCs w:val="18"/>
                      <w:highlight w:val="none"/>
                      <w:lang w:val="en-US" w:eastAsia="zh-CN"/>
                    </w:rPr>
                    <w:t>31</w:t>
                  </w:r>
                  <w:r>
                    <w:rPr>
                      <w:rFonts w:hint="default" w:ascii="Times New Roman" w:hAnsi="Times New Roman" w:eastAsia="宋体" w:cs="Times New Roman"/>
                      <w:color w:val="auto"/>
                      <w:sz w:val="18"/>
                      <w:szCs w:val="18"/>
                      <w:highlight w:val="none"/>
                    </w:rPr>
                    <w:t>.</w:t>
                  </w:r>
                  <w:r>
                    <w:rPr>
                      <w:rFonts w:hint="eastAsia" w:cs="Times New Roman"/>
                      <w:color w:val="auto"/>
                      <w:sz w:val="18"/>
                      <w:szCs w:val="18"/>
                      <w:highlight w:val="none"/>
                      <w:lang w:val="en-US" w:eastAsia="zh-CN"/>
                    </w:rPr>
                    <w:t>52</w:t>
                  </w:r>
                </w:p>
              </w:tc>
            </w:tr>
            <w:tr w14:paraId="7B71416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jc w:val="center"/>
              </w:trPr>
              <w:tc>
                <w:tcPr>
                  <w:tcW w:w="307" w:type="dxa"/>
                  <w:tcBorders>
                    <w:top w:val="single" w:color="auto" w:sz="4" w:space="0"/>
                    <w:left w:val="single" w:color="auto" w:sz="4" w:space="0"/>
                    <w:bottom w:val="single" w:color="auto" w:sz="4" w:space="0"/>
                    <w:right w:val="single" w:color="auto" w:sz="4" w:space="0"/>
                  </w:tcBorders>
                  <w:shd w:val="clear" w:color="auto" w:fill="auto"/>
                  <w:tcMar>
                    <w:left w:w="57" w:type="dxa"/>
                    <w:right w:w="57" w:type="dxa"/>
                  </w:tcMar>
                  <w:vAlign w:val="center"/>
                </w:tcPr>
                <w:p w14:paraId="5B68F427">
                  <w:pPr>
                    <w:keepNext w:val="0"/>
                    <w:keepLines w:val="0"/>
                    <w:pageBreakBefore w:val="0"/>
                    <w:suppressLineNumbers w:val="0"/>
                    <w:kinsoku/>
                    <w:wordWrap/>
                    <w:overflowPunct/>
                    <w:topLinePunct w:val="0"/>
                    <w:autoSpaceDE/>
                    <w:autoSpaceDN/>
                    <w:bidi w:val="0"/>
                    <w:adjustRightInd w:val="0"/>
                    <w:snapToGrid w:val="0"/>
                    <w:spacing w:before="0" w:beforeAutospacing="0" w:after="0" w:afterAutospacing="0" w:line="276" w:lineRule="auto"/>
                    <w:ind w:left="0" w:leftChars="0" w:right="0" w:rightChars="0"/>
                    <w:jc w:val="center"/>
                    <w:rPr>
                      <w:rFonts w:hint="default" w:ascii="Times New Roman" w:hAnsi="Times New Roman" w:eastAsia="宋体" w:cs="Times New Roman"/>
                      <w:kern w:val="2"/>
                      <w:sz w:val="18"/>
                      <w:szCs w:val="18"/>
                      <w:highlight w:val="none"/>
                      <w:lang w:val="en-US" w:eastAsia="zh-CN" w:bidi="ar-SA"/>
                    </w:rPr>
                  </w:pPr>
                  <w:r>
                    <w:rPr>
                      <w:rFonts w:hint="eastAsia" w:ascii="Times New Roman" w:hAnsi="Times New Roman" w:eastAsia="宋体" w:cs="Times New Roman"/>
                      <w:sz w:val="18"/>
                      <w:szCs w:val="18"/>
                      <w:highlight w:val="none"/>
                      <w:lang w:val="en-US" w:eastAsia="zh-CN"/>
                    </w:rPr>
                    <w:t>16</w:t>
                  </w:r>
                </w:p>
              </w:tc>
              <w:tc>
                <w:tcPr>
                  <w:tcW w:w="878" w:type="dxa"/>
                  <w:tcBorders>
                    <w:top w:val="single" w:color="auto" w:sz="4" w:space="0"/>
                    <w:left w:val="single" w:color="auto" w:sz="4" w:space="0"/>
                    <w:bottom w:val="single" w:color="auto" w:sz="4" w:space="0"/>
                    <w:right w:val="single" w:color="auto" w:sz="4" w:space="0"/>
                  </w:tcBorders>
                  <w:shd w:val="clear" w:color="auto" w:fill="auto"/>
                  <w:tcMar>
                    <w:left w:w="57" w:type="dxa"/>
                    <w:right w:w="57" w:type="dxa"/>
                  </w:tcMar>
                  <w:vAlign w:val="center"/>
                </w:tcPr>
                <w:p w14:paraId="6B27128C">
                  <w:pPr>
                    <w:pStyle w:val="129"/>
                    <w:keepNext w:val="0"/>
                    <w:keepLines w:val="0"/>
                    <w:pageBreakBefore w:val="0"/>
                    <w:suppressLineNumbers w:val="0"/>
                    <w:kinsoku/>
                    <w:wordWrap/>
                    <w:overflowPunct/>
                    <w:topLinePunct w:val="0"/>
                    <w:autoSpaceDE/>
                    <w:autoSpaceDN/>
                    <w:bidi w:val="0"/>
                    <w:adjustRightInd w:val="0"/>
                    <w:snapToGrid w:val="0"/>
                    <w:spacing w:before="0" w:beforeAutospacing="0" w:after="0" w:afterAutospacing="0" w:line="276" w:lineRule="auto"/>
                    <w:ind w:left="0" w:right="0"/>
                    <w:rPr>
                      <w:rFonts w:hint="eastAsia" w:ascii="Times New Roman" w:hAnsi="Times New Roman" w:eastAsia="宋体" w:cs="Times New Roman"/>
                      <w:color w:val="auto"/>
                      <w:kern w:val="0"/>
                      <w:sz w:val="18"/>
                      <w:szCs w:val="18"/>
                      <w:highlight w:val="none"/>
                      <w:lang w:val="en-US" w:eastAsia="zh-CN" w:bidi="ar-SA"/>
                    </w:rPr>
                  </w:pPr>
                  <w:r>
                    <w:rPr>
                      <w:rFonts w:hint="default" w:ascii="Times New Roman" w:hAnsi="Times New Roman" w:eastAsia="宋体" w:cs="Times New Roman"/>
                      <w:color w:val="auto"/>
                      <w:sz w:val="18"/>
                      <w:szCs w:val="18"/>
                      <w:highlight w:val="none"/>
                    </w:rPr>
                    <w:t>实验废液</w:t>
                  </w:r>
                </w:p>
              </w:tc>
              <w:tc>
                <w:tcPr>
                  <w:tcW w:w="1058" w:type="dxa"/>
                  <w:tcBorders>
                    <w:top w:val="single" w:color="auto" w:sz="4" w:space="0"/>
                    <w:left w:val="single" w:color="auto" w:sz="4" w:space="0"/>
                    <w:bottom w:val="single" w:color="auto" w:sz="4" w:space="0"/>
                    <w:right w:val="single" w:color="auto" w:sz="4" w:space="0"/>
                  </w:tcBorders>
                  <w:shd w:val="clear" w:color="auto" w:fill="auto"/>
                  <w:tcMar>
                    <w:left w:w="57" w:type="dxa"/>
                    <w:right w:w="57" w:type="dxa"/>
                  </w:tcMar>
                  <w:vAlign w:val="center"/>
                </w:tcPr>
                <w:p w14:paraId="68569967">
                  <w:pPr>
                    <w:pStyle w:val="129"/>
                    <w:keepNext w:val="0"/>
                    <w:keepLines w:val="0"/>
                    <w:pageBreakBefore w:val="0"/>
                    <w:suppressLineNumbers w:val="0"/>
                    <w:kinsoku/>
                    <w:wordWrap/>
                    <w:overflowPunct/>
                    <w:topLinePunct w:val="0"/>
                    <w:autoSpaceDE/>
                    <w:autoSpaceDN/>
                    <w:bidi w:val="0"/>
                    <w:adjustRightInd w:val="0"/>
                    <w:snapToGrid w:val="0"/>
                    <w:spacing w:before="0" w:beforeAutospacing="0" w:after="0" w:afterAutospacing="0" w:line="276" w:lineRule="auto"/>
                    <w:ind w:left="0" w:right="0"/>
                    <w:rPr>
                      <w:rFonts w:hint="default" w:ascii="Times New Roman" w:hAnsi="Times New Roman" w:eastAsia="宋体" w:cs="Times New Roman"/>
                      <w:color w:val="auto"/>
                      <w:kern w:val="0"/>
                      <w:sz w:val="18"/>
                      <w:szCs w:val="18"/>
                      <w:highlight w:val="none"/>
                      <w:lang w:val="en-US" w:eastAsia="zh-CN" w:bidi="ar-SA"/>
                    </w:rPr>
                  </w:pPr>
                  <w:r>
                    <w:rPr>
                      <w:rFonts w:hint="default" w:ascii="Times New Roman" w:hAnsi="Times New Roman" w:eastAsia="宋体" w:cs="Times New Roman"/>
                      <w:color w:val="auto"/>
                      <w:sz w:val="18"/>
                      <w:szCs w:val="18"/>
                      <w:highlight w:val="none"/>
                    </w:rPr>
                    <w:t>水、化学试剂</w:t>
                  </w:r>
                </w:p>
              </w:tc>
              <w:tc>
                <w:tcPr>
                  <w:tcW w:w="581" w:type="dxa"/>
                  <w:tcBorders>
                    <w:top w:val="single" w:color="auto" w:sz="4" w:space="0"/>
                    <w:left w:val="single" w:color="auto" w:sz="4" w:space="0"/>
                    <w:bottom w:val="single" w:color="auto" w:sz="4" w:space="0"/>
                    <w:right w:val="single" w:color="auto" w:sz="4" w:space="0"/>
                  </w:tcBorders>
                  <w:shd w:val="clear" w:color="auto" w:fill="auto"/>
                  <w:tcMar>
                    <w:left w:w="57" w:type="dxa"/>
                    <w:right w:w="57" w:type="dxa"/>
                  </w:tcMar>
                  <w:vAlign w:val="center"/>
                </w:tcPr>
                <w:p w14:paraId="48B579BF">
                  <w:pPr>
                    <w:pStyle w:val="129"/>
                    <w:keepNext w:val="0"/>
                    <w:keepLines w:val="0"/>
                    <w:pageBreakBefore w:val="0"/>
                    <w:suppressLineNumbers w:val="0"/>
                    <w:kinsoku/>
                    <w:wordWrap/>
                    <w:overflowPunct/>
                    <w:topLinePunct w:val="0"/>
                    <w:autoSpaceDE/>
                    <w:autoSpaceDN/>
                    <w:bidi w:val="0"/>
                    <w:adjustRightInd w:val="0"/>
                    <w:snapToGrid w:val="0"/>
                    <w:spacing w:before="0" w:beforeAutospacing="0" w:after="0" w:afterAutospacing="0" w:line="276" w:lineRule="auto"/>
                    <w:ind w:left="0" w:right="0"/>
                    <w:rPr>
                      <w:rFonts w:hint="default" w:ascii="Times New Roman" w:hAnsi="Times New Roman" w:eastAsia="宋体" w:cs="Times New Roman"/>
                      <w:color w:val="auto"/>
                      <w:kern w:val="0"/>
                      <w:sz w:val="18"/>
                      <w:szCs w:val="18"/>
                      <w:highlight w:val="none"/>
                      <w:lang w:val="en-US" w:eastAsia="zh-CN" w:bidi="ar-SA"/>
                    </w:rPr>
                  </w:pPr>
                  <w:r>
                    <w:rPr>
                      <w:rFonts w:hint="default" w:ascii="Times New Roman" w:hAnsi="Times New Roman" w:eastAsia="宋体" w:cs="Times New Roman"/>
                      <w:color w:val="auto"/>
                      <w:sz w:val="18"/>
                      <w:szCs w:val="18"/>
                      <w:highlight w:val="none"/>
                    </w:rPr>
                    <w:t>液体</w:t>
                  </w:r>
                </w:p>
              </w:tc>
              <w:tc>
                <w:tcPr>
                  <w:tcW w:w="1082" w:type="dxa"/>
                  <w:tcBorders>
                    <w:top w:val="single" w:color="auto" w:sz="4" w:space="0"/>
                    <w:left w:val="single" w:color="auto" w:sz="4" w:space="0"/>
                    <w:bottom w:val="single" w:color="auto" w:sz="4" w:space="0"/>
                    <w:right w:val="single" w:color="auto" w:sz="4" w:space="0"/>
                  </w:tcBorders>
                  <w:shd w:val="clear" w:color="auto" w:fill="auto"/>
                  <w:tcMar>
                    <w:left w:w="57" w:type="dxa"/>
                    <w:right w:w="57" w:type="dxa"/>
                  </w:tcMar>
                  <w:vAlign w:val="center"/>
                </w:tcPr>
                <w:p w14:paraId="5780BCFF">
                  <w:pPr>
                    <w:pStyle w:val="129"/>
                    <w:keepNext w:val="0"/>
                    <w:keepLines w:val="0"/>
                    <w:pageBreakBefore w:val="0"/>
                    <w:suppressLineNumbers w:val="0"/>
                    <w:kinsoku/>
                    <w:wordWrap/>
                    <w:overflowPunct/>
                    <w:topLinePunct w:val="0"/>
                    <w:autoSpaceDE/>
                    <w:autoSpaceDN/>
                    <w:bidi w:val="0"/>
                    <w:adjustRightInd w:val="0"/>
                    <w:snapToGrid w:val="0"/>
                    <w:spacing w:before="0" w:beforeAutospacing="0" w:after="0" w:afterAutospacing="0" w:line="276" w:lineRule="auto"/>
                    <w:ind w:left="0" w:right="0"/>
                    <w:rPr>
                      <w:rFonts w:hint="default" w:ascii="Times New Roman" w:hAnsi="Times New Roman" w:eastAsia="宋体" w:cs="Times New Roman"/>
                      <w:color w:val="auto"/>
                      <w:kern w:val="0"/>
                      <w:sz w:val="18"/>
                      <w:szCs w:val="18"/>
                      <w:highlight w:val="none"/>
                      <w:lang w:val="en-US" w:eastAsia="zh-CN" w:bidi="ar-SA"/>
                    </w:rPr>
                  </w:pPr>
                  <w:r>
                    <w:rPr>
                      <w:rFonts w:hint="eastAsia" w:ascii="Times New Roman" w:hAnsi="Times New Roman" w:eastAsia="宋体" w:cs="Times New Roman"/>
                      <w:color w:val="auto"/>
                      <w:sz w:val="18"/>
                      <w:szCs w:val="18"/>
                      <w:highlight w:val="none"/>
                      <w:lang w:val="en-US" w:eastAsia="zh-CN"/>
                    </w:rPr>
                    <w:t>危险废物，</w:t>
                  </w:r>
                  <w:r>
                    <w:rPr>
                      <w:rFonts w:hint="default" w:ascii="Times New Roman" w:hAnsi="Times New Roman" w:eastAsia="宋体" w:cs="Times New Roman"/>
                      <w:color w:val="auto"/>
                      <w:sz w:val="18"/>
                      <w:szCs w:val="18"/>
                      <w:highlight w:val="none"/>
                    </w:rPr>
                    <w:t>900-047-49</w:t>
                  </w:r>
                </w:p>
              </w:tc>
              <w:tc>
                <w:tcPr>
                  <w:tcW w:w="895" w:type="dxa"/>
                  <w:tcBorders>
                    <w:top w:val="single" w:color="auto" w:sz="4" w:space="0"/>
                    <w:left w:val="single" w:color="auto" w:sz="4" w:space="0"/>
                    <w:bottom w:val="single" w:color="auto" w:sz="4" w:space="0"/>
                    <w:right w:val="single" w:color="auto" w:sz="4" w:space="0"/>
                  </w:tcBorders>
                  <w:shd w:val="clear" w:color="auto" w:fill="auto"/>
                  <w:tcMar>
                    <w:left w:w="57" w:type="dxa"/>
                    <w:right w:w="57" w:type="dxa"/>
                  </w:tcMar>
                  <w:vAlign w:val="center"/>
                </w:tcPr>
                <w:p w14:paraId="5C44662D">
                  <w:pPr>
                    <w:pStyle w:val="129"/>
                    <w:keepNext w:val="0"/>
                    <w:keepLines w:val="0"/>
                    <w:pageBreakBefore w:val="0"/>
                    <w:suppressLineNumbers w:val="0"/>
                    <w:kinsoku/>
                    <w:wordWrap/>
                    <w:overflowPunct/>
                    <w:topLinePunct w:val="0"/>
                    <w:autoSpaceDE/>
                    <w:autoSpaceDN/>
                    <w:bidi w:val="0"/>
                    <w:adjustRightInd w:val="0"/>
                    <w:snapToGrid w:val="0"/>
                    <w:spacing w:before="0" w:beforeAutospacing="0" w:after="0" w:afterAutospacing="0" w:line="276" w:lineRule="auto"/>
                    <w:ind w:left="0" w:right="0"/>
                    <w:rPr>
                      <w:rFonts w:hint="default" w:ascii="Times New Roman" w:hAnsi="Times New Roman" w:eastAsia="宋体" w:cs="Times New Roman"/>
                      <w:color w:val="auto"/>
                      <w:kern w:val="0"/>
                      <w:sz w:val="18"/>
                      <w:szCs w:val="18"/>
                      <w:highlight w:val="none"/>
                      <w:lang w:val="en-US" w:eastAsia="zh-CN" w:bidi="ar-SA"/>
                    </w:rPr>
                  </w:pPr>
                  <w:r>
                    <w:rPr>
                      <w:rFonts w:hint="default" w:ascii="Times New Roman" w:hAnsi="Times New Roman" w:eastAsia="宋体" w:cs="Times New Roman"/>
                      <w:color w:val="auto"/>
                      <w:sz w:val="18"/>
                      <w:szCs w:val="18"/>
                      <w:highlight w:val="none"/>
                    </w:rPr>
                    <w:t>水、化学试剂</w:t>
                  </w:r>
                </w:p>
              </w:tc>
              <w:tc>
                <w:tcPr>
                  <w:tcW w:w="675" w:type="dxa"/>
                  <w:tcBorders>
                    <w:top w:val="single" w:color="auto" w:sz="4" w:space="0"/>
                    <w:left w:val="single" w:color="auto" w:sz="4" w:space="0"/>
                    <w:bottom w:val="single" w:color="auto" w:sz="4" w:space="0"/>
                    <w:right w:val="single" w:color="auto" w:sz="4" w:space="0"/>
                  </w:tcBorders>
                  <w:shd w:val="clear" w:color="auto" w:fill="auto"/>
                  <w:tcMar>
                    <w:left w:w="57" w:type="dxa"/>
                    <w:right w:w="57" w:type="dxa"/>
                  </w:tcMar>
                  <w:vAlign w:val="center"/>
                </w:tcPr>
                <w:p w14:paraId="041752F3">
                  <w:pPr>
                    <w:pStyle w:val="129"/>
                    <w:keepNext w:val="0"/>
                    <w:keepLines w:val="0"/>
                    <w:pageBreakBefore w:val="0"/>
                    <w:suppressLineNumbers w:val="0"/>
                    <w:kinsoku/>
                    <w:wordWrap/>
                    <w:overflowPunct/>
                    <w:topLinePunct w:val="0"/>
                    <w:autoSpaceDE/>
                    <w:autoSpaceDN/>
                    <w:bidi w:val="0"/>
                    <w:adjustRightInd w:val="0"/>
                    <w:snapToGrid w:val="0"/>
                    <w:spacing w:before="0" w:beforeAutospacing="0" w:after="0" w:afterAutospacing="0" w:line="276" w:lineRule="auto"/>
                    <w:ind w:left="0" w:right="0"/>
                    <w:rPr>
                      <w:rFonts w:hint="default" w:ascii="Times New Roman" w:hAnsi="Times New Roman" w:eastAsia="宋体" w:cs="Times New Roman"/>
                      <w:color w:val="auto"/>
                      <w:kern w:val="0"/>
                      <w:sz w:val="18"/>
                      <w:szCs w:val="18"/>
                      <w:highlight w:val="none"/>
                      <w:lang w:val="en-US" w:eastAsia="zh-CN" w:bidi="ar-SA"/>
                    </w:rPr>
                  </w:pPr>
                  <w:r>
                    <w:rPr>
                      <w:rFonts w:hint="default" w:ascii="Times New Roman" w:hAnsi="Times New Roman" w:eastAsia="宋体" w:cs="Times New Roman"/>
                      <w:color w:val="auto"/>
                      <w:sz w:val="18"/>
                      <w:szCs w:val="18"/>
                      <w:highlight w:val="none"/>
                    </w:rPr>
                    <w:t>T/C/I/R</w:t>
                  </w:r>
                </w:p>
              </w:tc>
              <w:tc>
                <w:tcPr>
                  <w:tcW w:w="653" w:type="dxa"/>
                  <w:tcBorders>
                    <w:top w:val="single" w:color="auto" w:sz="4" w:space="0"/>
                    <w:left w:val="single" w:color="auto" w:sz="4" w:space="0"/>
                    <w:bottom w:val="single" w:color="auto" w:sz="4" w:space="0"/>
                    <w:right w:val="single" w:color="auto" w:sz="4" w:space="0"/>
                  </w:tcBorders>
                  <w:shd w:val="clear" w:color="auto" w:fill="auto"/>
                  <w:tcMar>
                    <w:left w:w="57" w:type="dxa"/>
                    <w:right w:w="57" w:type="dxa"/>
                  </w:tcMar>
                  <w:vAlign w:val="center"/>
                </w:tcPr>
                <w:p w14:paraId="3A586592">
                  <w:pPr>
                    <w:keepNext w:val="0"/>
                    <w:keepLines w:val="0"/>
                    <w:pageBreakBefore w:val="0"/>
                    <w:suppressLineNumbers w:val="0"/>
                    <w:kinsoku/>
                    <w:wordWrap/>
                    <w:overflowPunct/>
                    <w:topLinePunct w:val="0"/>
                    <w:autoSpaceDE/>
                    <w:autoSpaceDN/>
                    <w:bidi w:val="0"/>
                    <w:adjustRightInd w:val="0"/>
                    <w:snapToGrid w:val="0"/>
                    <w:spacing w:before="0" w:beforeAutospacing="0" w:after="0" w:afterAutospacing="0" w:line="276" w:lineRule="auto"/>
                    <w:ind w:left="0" w:right="0"/>
                    <w:jc w:val="center"/>
                    <w:rPr>
                      <w:rFonts w:hint="eastAsia" w:ascii="Times New Roman" w:hAnsi="Times New Roman" w:eastAsia="宋体" w:cs="Times New Roman"/>
                      <w:color w:val="auto"/>
                      <w:kern w:val="2"/>
                      <w:sz w:val="18"/>
                      <w:szCs w:val="18"/>
                      <w:highlight w:val="none"/>
                      <w:lang w:val="en-US" w:eastAsia="zh-CN" w:bidi="ar-SA"/>
                    </w:rPr>
                  </w:pPr>
                  <w:r>
                    <w:rPr>
                      <w:rFonts w:hint="eastAsia" w:ascii="Times New Roman" w:hAnsi="Times New Roman" w:eastAsia="宋体" w:cs="Times New Roman"/>
                      <w:color w:val="auto"/>
                      <w:kern w:val="2"/>
                      <w:sz w:val="18"/>
                      <w:szCs w:val="18"/>
                      <w:highlight w:val="none"/>
                      <w:lang w:val="en-US" w:eastAsia="zh-CN" w:bidi="ar-SA"/>
                    </w:rPr>
                    <w:t>689</w:t>
                  </w:r>
                </w:p>
              </w:tc>
              <w:tc>
                <w:tcPr>
                  <w:tcW w:w="794" w:type="dxa"/>
                  <w:tcBorders>
                    <w:top w:val="single" w:color="auto" w:sz="4" w:space="0"/>
                    <w:left w:val="single" w:color="auto" w:sz="4" w:space="0"/>
                    <w:bottom w:val="single" w:color="auto" w:sz="4" w:space="0"/>
                    <w:right w:val="single" w:color="auto" w:sz="4" w:space="0"/>
                  </w:tcBorders>
                  <w:shd w:val="clear" w:color="auto" w:fill="auto"/>
                  <w:tcMar>
                    <w:left w:w="57" w:type="dxa"/>
                    <w:right w:w="57" w:type="dxa"/>
                  </w:tcMar>
                  <w:vAlign w:val="center"/>
                </w:tcPr>
                <w:p w14:paraId="2D285257">
                  <w:pPr>
                    <w:pStyle w:val="129"/>
                    <w:keepNext w:val="0"/>
                    <w:keepLines w:val="0"/>
                    <w:pageBreakBefore w:val="0"/>
                    <w:suppressLineNumbers w:val="0"/>
                    <w:kinsoku/>
                    <w:wordWrap/>
                    <w:overflowPunct/>
                    <w:topLinePunct w:val="0"/>
                    <w:autoSpaceDE/>
                    <w:autoSpaceDN/>
                    <w:bidi w:val="0"/>
                    <w:adjustRightInd w:val="0"/>
                    <w:snapToGrid w:val="0"/>
                    <w:spacing w:before="0" w:beforeAutospacing="0" w:after="0" w:afterAutospacing="0" w:line="276" w:lineRule="auto"/>
                    <w:ind w:left="0" w:right="0"/>
                    <w:rPr>
                      <w:rFonts w:hint="default" w:ascii="Times New Roman" w:hAnsi="Times New Roman" w:eastAsia="宋体" w:cs="Times New Roman"/>
                      <w:bCs/>
                      <w:color w:val="auto"/>
                      <w:kern w:val="0"/>
                      <w:sz w:val="18"/>
                      <w:szCs w:val="18"/>
                      <w:highlight w:val="none"/>
                      <w:lang w:val="zh-CN" w:eastAsia="zh-CN" w:bidi="ar-SA"/>
                    </w:rPr>
                  </w:pPr>
                  <w:r>
                    <w:rPr>
                      <w:rFonts w:hint="eastAsia" w:ascii="Times New Roman" w:hAnsi="Times New Roman" w:eastAsia="宋体" w:cs="Times New Roman"/>
                      <w:bCs/>
                      <w:color w:val="auto"/>
                      <w:sz w:val="18"/>
                      <w:szCs w:val="18"/>
                      <w:highlight w:val="none"/>
                      <w:lang w:val="zh-CN"/>
                    </w:rPr>
                    <w:t>密封桶</w:t>
                  </w:r>
                </w:p>
              </w:tc>
              <w:tc>
                <w:tcPr>
                  <w:tcW w:w="705" w:type="dxa"/>
                  <w:vMerge w:val="restart"/>
                  <w:tcBorders>
                    <w:left w:val="single" w:color="auto" w:sz="4" w:space="0"/>
                    <w:right w:val="single" w:color="auto" w:sz="4" w:space="0"/>
                  </w:tcBorders>
                  <w:tcMar>
                    <w:left w:w="57" w:type="dxa"/>
                    <w:right w:w="57" w:type="dxa"/>
                  </w:tcMar>
                  <w:vAlign w:val="center"/>
                </w:tcPr>
                <w:p w14:paraId="475C8CC9">
                  <w:pPr>
                    <w:keepNext w:val="0"/>
                    <w:keepLines w:val="0"/>
                    <w:pageBreakBefore w:val="0"/>
                    <w:suppressLineNumbers w:val="0"/>
                    <w:kinsoku/>
                    <w:wordWrap/>
                    <w:overflowPunct/>
                    <w:topLinePunct w:val="0"/>
                    <w:autoSpaceDE/>
                    <w:autoSpaceDN/>
                    <w:bidi w:val="0"/>
                    <w:adjustRightInd w:val="0"/>
                    <w:snapToGrid w:val="0"/>
                    <w:spacing w:before="0" w:beforeAutospacing="0" w:after="0" w:afterAutospacing="0" w:line="276" w:lineRule="auto"/>
                    <w:ind w:left="0" w:right="0"/>
                    <w:jc w:val="center"/>
                    <w:rPr>
                      <w:rFonts w:hint="default" w:ascii="Times New Roman" w:hAnsi="Times New Roman" w:eastAsia="宋体" w:cs="Times New Roman"/>
                      <w:sz w:val="18"/>
                      <w:szCs w:val="18"/>
                      <w:highlight w:val="none"/>
                    </w:rPr>
                  </w:pPr>
                  <w:r>
                    <w:rPr>
                      <w:rFonts w:hint="eastAsia" w:ascii="Times New Roman" w:hAnsi="Times New Roman" w:eastAsia="宋体" w:cs="Times New Roman"/>
                      <w:bCs/>
                      <w:color w:val="auto"/>
                      <w:sz w:val="18"/>
                      <w:szCs w:val="18"/>
                      <w:highlight w:val="none"/>
                      <w:lang w:val="zh-CN"/>
                    </w:rPr>
                    <w:t>委托</w:t>
                  </w:r>
                  <w:r>
                    <w:rPr>
                      <w:rFonts w:hint="default" w:ascii="Times New Roman" w:hAnsi="Times New Roman" w:eastAsia="宋体" w:cs="Times New Roman"/>
                      <w:bCs/>
                      <w:color w:val="auto"/>
                      <w:sz w:val="18"/>
                      <w:szCs w:val="18"/>
                      <w:highlight w:val="none"/>
                      <w:lang w:val="zh-CN"/>
                    </w:rPr>
                    <w:t>危废处置单位处置</w:t>
                  </w:r>
                </w:p>
              </w:tc>
              <w:tc>
                <w:tcPr>
                  <w:tcW w:w="626" w:type="dxa"/>
                  <w:tcBorders>
                    <w:top w:val="single" w:color="auto" w:sz="4" w:space="0"/>
                    <w:left w:val="single" w:color="auto" w:sz="4" w:space="0"/>
                    <w:bottom w:val="single" w:color="auto" w:sz="4" w:space="0"/>
                    <w:right w:val="single" w:color="auto" w:sz="4" w:space="0"/>
                  </w:tcBorders>
                  <w:shd w:val="clear" w:color="auto" w:fill="auto"/>
                  <w:tcMar>
                    <w:left w:w="57" w:type="dxa"/>
                    <w:right w:w="57" w:type="dxa"/>
                  </w:tcMar>
                  <w:vAlign w:val="center"/>
                </w:tcPr>
                <w:p w14:paraId="20706A68">
                  <w:pPr>
                    <w:keepNext w:val="0"/>
                    <w:keepLines w:val="0"/>
                    <w:pageBreakBefore w:val="0"/>
                    <w:suppressLineNumbers w:val="0"/>
                    <w:kinsoku/>
                    <w:wordWrap/>
                    <w:overflowPunct/>
                    <w:topLinePunct w:val="0"/>
                    <w:autoSpaceDE/>
                    <w:autoSpaceDN/>
                    <w:bidi w:val="0"/>
                    <w:adjustRightInd w:val="0"/>
                    <w:snapToGrid w:val="0"/>
                    <w:spacing w:before="0" w:beforeAutospacing="0" w:after="0" w:afterAutospacing="0" w:line="276" w:lineRule="auto"/>
                    <w:ind w:left="0" w:right="0"/>
                    <w:jc w:val="center"/>
                    <w:rPr>
                      <w:rFonts w:hint="eastAsia" w:ascii="Times New Roman" w:hAnsi="Times New Roman" w:eastAsia="宋体" w:cs="Times New Roman"/>
                      <w:color w:val="auto"/>
                      <w:kern w:val="2"/>
                      <w:sz w:val="18"/>
                      <w:szCs w:val="18"/>
                      <w:highlight w:val="none"/>
                      <w:lang w:val="en-US" w:eastAsia="zh-CN" w:bidi="ar-SA"/>
                    </w:rPr>
                  </w:pPr>
                  <w:r>
                    <w:rPr>
                      <w:rFonts w:hint="eastAsia" w:ascii="Times New Roman" w:hAnsi="Times New Roman" w:eastAsia="宋体" w:cs="Times New Roman"/>
                      <w:color w:val="auto"/>
                      <w:kern w:val="2"/>
                      <w:sz w:val="18"/>
                      <w:szCs w:val="18"/>
                      <w:highlight w:val="none"/>
                      <w:lang w:val="en-US" w:eastAsia="zh-CN" w:bidi="ar-SA"/>
                    </w:rPr>
                    <w:t>689</w:t>
                  </w:r>
                </w:p>
              </w:tc>
            </w:tr>
            <w:tr w14:paraId="1C45767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jc w:val="center"/>
              </w:trPr>
              <w:tc>
                <w:tcPr>
                  <w:tcW w:w="307" w:type="dxa"/>
                  <w:tcBorders>
                    <w:top w:val="single" w:color="auto" w:sz="4" w:space="0"/>
                    <w:left w:val="single" w:color="auto" w:sz="4" w:space="0"/>
                    <w:bottom w:val="single" w:color="auto" w:sz="4" w:space="0"/>
                    <w:right w:val="single" w:color="auto" w:sz="4" w:space="0"/>
                  </w:tcBorders>
                  <w:shd w:val="clear" w:color="auto" w:fill="auto"/>
                  <w:tcMar>
                    <w:left w:w="57" w:type="dxa"/>
                    <w:right w:w="57" w:type="dxa"/>
                  </w:tcMar>
                  <w:vAlign w:val="center"/>
                </w:tcPr>
                <w:p w14:paraId="30908257">
                  <w:pPr>
                    <w:keepNext w:val="0"/>
                    <w:keepLines w:val="0"/>
                    <w:pageBreakBefore w:val="0"/>
                    <w:suppressLineNumbers w:val="0"/>
                    <w:kinsoku/>
                    <w:wordWrap/>
                    <w:overflowPunct/>
                    <w:topLinePunct w:val="0"/>
                    <w:autoSpaceDE/>
                    <w:autoSpaceDN/>
                    <w:bidi w:val="0"/>
                    <w:adjustRightInd w:val="0"/>
                    <w:snapToGrid w:val="0"/>
                    <w:spacing w:before="0" w:beforeAutospacing="0" w:after="0" w:afterAutospacing="0" w:line="276" w:lineRule="auto"/>
                    <w:ind w:left="0" w:leftChars="0" w:right="0" w:rightChars="0"/>
                    <w:jc w:val="center"/>
                    <w:rPr>
                      <w:rFonts w:hint="default" w:ascii="Times New Roman" w:hAnsi="Times New Roman" w:eastAsia="宋体" w:cs="Times New Roman"/>
                      <w:kern w:val="2"/>
                      <w:sz w:val="18"/>
                      <w:szCs w:val="18"/>
                      <w:highlight w:val="none"/>
                      <w:lang w:val="en-US" w:eastAsia="zh-CN" w:bidi="ar-SA"/>
                    </w:rPr>
                  </w:pPr>
                  <w:r>
                    <w:rPr>
                      <w:rFonts w:hint="eastAsia" w:ascii="Times New Roman" w:hAnsi="Times New Roman" w:eastAsia="宋体" w:cs="Times New Roman"/>
                      <w:sz w:val="18"/>
                      <w:szCs w:val="18"/>
                      <w:highlight w:val="none"/>
                      <w:lang w:val="en-US" w:eastAsia="zh-CN"/>
                    </w:rPr>
                    <w:t>17</w:t>
                  </w:r>
                </w:p>
              </w:tc>
              <w:tc>
                <w:tcPr>
                  <w:tcW w:w="878" w:type="dxa"/>
                  <w:tcBorders>
                    <w:top w:val="single" w:color="auto" w:sz="4" w:space="0"/>
                    <w:left w:val="single" w:color="auto" w:sz="4" w:space="0"/>
                    <w:bottom w:val="single" w:color="auto" w:sz="4" w:space="0"/>
                    <w:right w:val="single" w:color="auto" w:sz="4" w:space="0"/>
                  </w:tcBorders>
                  <w:shd w:val="clear" w:color="auto" w:fill="auto"/>
                  <w:tcMar>
                    <w:left w:w="57" w:type="dxa"/>
                    <w:right w:w="57" w:type="dxa"/>
                  </w:tcMar>
                  <w:vAlign w:val="center"/>
                </w:tcPr>
                <w:p w14:paraId="3C60B599">
                  <w:pPr>
                    <w:pStyle w:val="129"/>
                    <w:keepNext w:val="0"/>
                    <w:keepLines w:val="0"/>
                    <w:pageBreakBefore w:val="0"/>
                    <w:suppressLineNumbers w:val="0"/>
                    <w:kinsoku/>
                    <w:wordWrap/>
                    <w:overflowPunct/>
                    <w:topLinePunct w:val="0"/>
                    <w:autoSpaceDE/>
                    <w:autoSpaceDN/>
                    <w:bidi w:val="0"/>
                    <w:adjustRightInd w:val="0"/>
                    <w:snapToGrid w:val="0"/>
                    <w:spacing w:before="0" w:beforeAutospacing="0" w:after="0" w:afterAutospacing="0" w:line="276" w:lineRule="auto"/>
                    <w:ind w:left="0" w:right="0"/>
                    <w:rPr>
                      <w:rFonts w:hint="eastAsia" w:ascii="Times New Roman" w:hAnsi="Times New Roman" w:eastAsia="宋体" w:cs="Times New Roman"/>
                      <w:color w:val="auto"/>
                      <w:kern w:val="0"/>
                      <w:sz w:val="18"/>
                      <w:szCs w:val="18"/>
                      <w:highlight w:val="none"/>
                      <w:lang w:val="en-US" w:eastAsia="zh-CN" w:bidi="ar-SA"/>
                    </w:rPr>
                  </w:pPr>
                  <w:r>
                    <w:rPr>
                      <w:rFonts w:hint="eastAsia" w:ascii="Times New Roman" w:hAnsi="Times New Roman" w:eastAsia="宋体" w:cs="Times New Roman"/>
                      <w:color w:val="auto"/>
                      <w:sz w:val="18"/>
                      <w:szCs w:val="18"/>
                      <w:highlight w:val="none"/>
                    </w:rPr>
                    <w:t>废</w:t>
                  </w:r>
                  <w:r>
                    <w:rPr>
                      <w:rFonts w:hint="default" w:ascii="Times New Roman" w:hAnsi="Times New Roman" w:eastAsia="宋体" w:cs="Times New Roman"/>
                      <w:color w:val="auto"/>
                      <w:sz w:val="18"/>
                      <w:szCs w:val="18"/>
                      <w:highlight w:val="none"/>
                    </w:rPr>
                    <w:t>实验耗材</w:t>
                  </w:r>
                </w:p>
              </w:tc>
              <w:tc>
                <w:tcPr>
                  <w:tcW w:w="1058" w:type="dxa"/>
                  <w:tcBorders>
                    <w:top w:val="single" w:color="auto" w:sz="4" w:space="0"/>
                    <w:left w:val="single" w:color="auto" w:sz="4" w:space="0"/>
                    <w:bottom w:val="single" w:color="auto" w:sz="4" w:space="0"/>
                    <w:right w:val="single" w:color="auto" w:sz="4" w:space="0"/>
                  </w:tcBorders>
                  <w:shd w:val="clear" w:color="auto" w:fill="auto"/>
                  <w:tcMar>
                    <w:left w:w="57" w:type="dxa"/>
                    <w:right w:w="57" w:type="dxa"/>
                  </w:tcMar>
                  <w:vAlign w:val="center"/>
                </w:tcPr>
                <w:p w14:paraId="3A5F9D0A">
                  <w:pPr>
                    <w:pStyle w:val="129"/>
                    <w:keepNext w:val="0"/>
                    <w:keepLines w:val="0"/>
                    <w:pageBreakBefore w:val="0"/>
                    <w:suppressLineNumbers w:val="0"/>
                    <w:kinsoku/>
                    <w:wordWrap/>
                    <w:overflowPunct/>
                    <w:topLinePunct w:val="0"/>
                    <w:autoSpaceDE/>
                    <w:autoSpaceDN/>
                    <w:bidi w:val="0"/>
                    <w:adjustRightInd w:val="0"/>
                    <w:snapToGrid w:val="0"/>
                    <w:spacing w:before="0" w:beforeAutospacing="0" w:after="0" w:afterAutospacing="0" w:line="276" w:lineRule="auto"/>
                    <w:ind w:left="0" w:right="0"/>
                    <w:rPr>
                      <w:rFonts w:hint="default" w:ascii="Times New Roman" w:hAnsi="Times New Roman" w:eastAsia="宋体" w:cs="Times New Roman"/>
                      <w:color w:val="auto"/>
                      <w:kern w:val="0"/>
                      <w:sz w:val="18"/>
                      <w:szCs w:val="18"/>
                      <w:highlight w:val="none"/>
                      <w:lang w:val="en-US" w:eastAsia="zh-CN" w:bidi="ar-SA"/>
                    </w:rPr>
                  </w:pPr>
                  <w:r>
                    <w:rPr>
                      <w:rFonts w:hint="eastAsia" w:ascii="Times New Roman" w:hAnsi="Times New Roman" w:eastAsia="宋体" w:cs="Times New Roman"/>
                      <w:color w:val="auto"/>
                      <w:sz w:val="18"/>
                      <w:szCs w:val="18"/>
                      <w:highlight w:val="none"/>
                    </w:rPr>
                    <w:t>手套</w:t>
                  </w:r>
                  <w:r>
                    <w:rPr>
                      <w:rFonts w:hint="default" w:ascii="Times New Roman" w:hAnsi="Times New Roman" w:eastAsia="宋体" w:cs="Times New Roman"/>
                      <w:color w:val="auto"/>
                      <w:sz w:val="18"/>
                      <w:szCs w:val="18"/>
                      <w:highlight w:val="none"/>
                    </w:rPr>
                    <w:t>、口罩、</w:t>
                  </w:r>
                  <w:r>
                    <w:rPr>
                      <w:rFonts w:hint="eastAsia" w:ascii="Times New Roman" w:hAnsi="Times New Roman" w:eastAsia="宋体" w:cs="Times New Roman"/>
                      <w:color w:val="auto"/>
                      <w:sz w:val="18"/>
                      <w:szCs w:val="18"/>
                      <w:highlight w:val="none"/>
                    </w:rPr>
                    <w:t>手术</w:t>
                  </w:r>
                  <w:r>
                    <w:rPr>
                      <w:rFonts w:hint="default" w:ascii="Times New Roman" w:hAnsi="Times New Roman" w:eastAsia="宋体" w:cs="Times New Roman"/>
                      <w:color w:val="auto"/>
                      <w:sz w:val="18"/>
                      <w:szCs w:val="18"/>
                      <w:highlight w:val="none"/>
                    </w:rPr>
                    <w:t>帽、</w:t>
                  </w:r>
                  <w:r>
                    <w:rPr>
                      <w:rFonts w:hint="eastAsia" w:ascii="Times New Roman" w:hAnsi="Times New Roman" w:eastAsia="宋体" w:cs="Times New Roman"/>
                      <w:color w:val="auto"/>
                      <w:sz w:val="18"/>
                      <w:szCs w:val="18"/>
                      <w:highlight w:val="none"/>
                    </w:rPr>
                    <w:t>滴管</w:t>
                  </w:r>
                  <w:r>
                    <w:rPr>
                      <w:rFonts w:hint="default" w:ascii="Times New Roman" w:hAnsi="Times New Roman" w:eastAsia="宋体" w:cs="Times New Roman"/>
                      <w:color w:val="auto"/>
                      <w:sz w:val="18"/>
                      <w:szCs w:val="18"/>
                      <w:highlight w:val="none"/>
                    </w:rPr>
                    <w:t>等</w:t>
                  </w:r>
                </w:p>
              </w:tc>
              <w:tc>
                <w:tcPr>
                  <w:tcW w:w="581" w:type="dxa"/>
                  <w:tcBorders>
                    <w:top w:val="single" w:color="auto" w:sz="4" w:space="0"/>
                    <w:left w:val="single" w:color="auto" w:sz="4" w:space="0"/>
                    <w:bottom w:val="single" w:color="auto" w:sz="4" w:space="0"/>
                    <w:right w:val="single" w:color="auto" w:sz="4" w:space="0"/>
                  </w:tcBorders>
                  <w:shd w:val="clear" w:color="auto" w:fill="auto"/>
                  <w:tcMar>
                    <w:left w:w="57" w:type="dxa"/>
                    <w:right w:w="57" w:type="dxa"/>
                  </w:tcMar>
                  <w:vAlign w:val="center"/>
                </w:tcPr>
                <w:p w14:paraId="594FA8EE">
                  <w:pPr>
                    <w:pStyle w:val="129"/>
                    <w:keepNext w:val="0"/>
                    <w:keepLines w:val="0"/>
                    <w:pageBreakBefore w:val="0"/>
                    <w:suppressLineNumbers w:val="0"/>
                    <w:kinsoku/>
                    <w:wordWrap/>
                    <w:overflowPunct/>
                    <w:topLinePunct w:val="0"/>
                    <w:autoSpaceDE/>
                    <w:autoSpaceDN/>
                    <w:bidi w:val="0"/>
                    <w:adjustRightInd w:val="0"/>
                    <w:snapToGrid w:val="0"/>
                    <w:spacing w:before="0" w:beforeAutospacing="0" w:after="0" w:afterAutospacing="0" w:line="276" w:lineRule="auto"/>
                    <w:ind w:left="0" w:right="0"/>
                    <w:rPr>
                      <w:rFonts w:hint="default" w:ascii="Times New Roman" w:hAnsi="Times New Roman" w:eastAsia="宋体" w:cs="Times New Roman"/>
                      <w:color w:val="auto"/>
                      <w:kern w:val="0"/>
                      <w:sz w:val="18"/>
                      <w:szCs w:val="18"/>
                      <w:highlight w:val="none"/>
                      <w:lang w:val="en-US" w:eastAsia="zh-CN" w:bidi="ar-SA"/>
                    </w:rPr>
                  </w:pPr>
                  <w:r>
                    <w:rPr>
                      <w:rFonts w:hint="eastAsia" w:ascii="Times New Roman" w:hAnsi="Times New Roman" w:eastAsia="宋体" w:cs="Times New Roman"/>
                      <w:color w:val="auto"/>
                      <w:sz w:val="18"/>
                      <w:szCs w:val="18"/>
                      <w:highlight w:val="none"/>
                    </w:rPr>
                    <w:t>固体</w:t>
                  </w:r>
                </w:p>
              </w:tc>
              <w:tc>
                <w:tcPr>
                  <w:tcW w:w="1082" w:type="dxa"/>
                  <w:tcBorders>
                    <w:top w:val="single" w:color="auto" w:sz="4" w:space="0"/>
                    <w:left w:val="single" w:color="auto" w:sz="4" w:space="0"/>
                    <w:bottom w:val="single" w:color="auto" w:sz="4" w:space="0"/>
                    <w:right w:val="single" w:color="auto" w:sz="4" w:space="0"/>
                  </w:tcBorders>
                  <w:shd w:val="clear" w:color="auto" w:fill="auto"/>
                  <w:tcMar>
                    <w:left w:w="57" w:type="dxa"/>
                    <w:right w:w="57" w:type="dxa"/>
                  </w:tcMar>
                  <w:vAlign w:val="center"/>
                </w:tcPr>
                <w:p w14:paraId="459B833F">
                  <w:pPr>
                    <w:pStyle w:val="129"/>
                    <w:keepNext w:val="0"/>
                    <w:keepLines w:val="0"/>
                    <w:pageBreakBefore w:val="0"/>
                    <w:suppressLineNumbers w:val="0"/>
                    <w:kinsoku/>
                    <w:wordWrap/>
                    <w:overflowPunct/>
                    <w:topLinePunct w:val="0"/>
                    <w:autoSpaceDE/>
                    <w:autoSpaceDN/>
                    <w:bidi w:val="0"/>
                    <w:adjustRightInd w:val="0"/>
                    <w:snapToGrid w:val="0"/>
                    <w:spacing w:before="0" w:beforeAutospacing="0" w:after="0" w:afterAutospacing="0" w:line="276" w:lineRule="auto"/>
                    <w:ind w:left="0" w:right="0"/>
                    <w:rPr>
                      <w:rFonts w:hint="default" w:ascii="Times New Roman" w:hAnsi="Times New Roman" w:eastAsia="宋体" w:cs="Times New Roman"/>
                      <w:color w:val="auto"/>
                      <w:kern w:val="0"/>
                      <w:sz w:val="18"/>
                      <w:szCs w:val="18"/>
                      <w:highlight w:val="none"/>
                      <w:lang w:val="en-US" w:eastAsia="zh-CN" w:bidi="ar-SA"/>
                    </w:rPr>
                  </w:pPr>
                  <w:r>
                    <w:rPr>
                      <w:rFonts w:hint="eastAsia" w:ascii="Times New Roman" w:hAnsi="Times New Roman" w:eastAsia="宋体" w:cs="Times New Roman"/>
                      <w:color w:val="auto"/>
                      <w:sz w:val="18"/>
                      <w:szCs w:val="18"/>
                      <w:highlight w:val="none"/>
                      <w:lang w:val="en-US" w:eastAsia="zh-CN"/>
                    </w:rPr>
                    <w:t>危险废物，</w:t>
                  </w:r>
                  <w:r>
                    <w:rPr>
                      <w:rFonts w:hint="default" w:ascii="Times New Roman" w:hAnsi="Times New Roman" w:eastAsia="宋体" w:cs="Times New Roman"/>
                      <w:color w:val="auto"/>
                      <w:sz w:val="18"/>
                      <w:szCs w:val="18"/>
                      <w:highlight w:val="none"/>
                    </w:rPr>
                    <w:t>900-047-49</w:t>
                  </w:r>
                </w:p>
              </w:tc>
              <w:tc>
                <w:tcPr>
                  <w:tcW w:w="895" w:type="dxa"/>
                  <w:tcBorders>
                    <w:top w:val="single" w:color="auto" w:sz="4" w:space="0"/>
                    <w:left w:val="single" w:color="auto" w:sz="4" w:space="0"/>
                    <w:bottom w:val="single" w:color="auto" w:sz="4" w:space="0"/>
                    <w:right w:val="single" w:color="auto" w:sz="4" w:space="0"/>
                  </w:tcBorders>
                  <w:shd w:val="clear" w:color="auto" w:fill="auto"/>
                  <w:tcMar>
                    <w:left w:w="57" w:type="dxa"/>
                    <w:right w:w="57" w:type="dxa"/>
                  </w:tcMar>
                  <w:vAlign w:val="center"/>
                </w:tcPr>
                <w:p w14:paraId="7E131A12">
                  <w:pPr>
                    <w:pStyle w:val="129"/>
                    <w:keepNext w:val="0"/>
                    <w:keepLines w:val="0"/>
                    <w:pageBreakBefore w:val="0"/>
                    <w:suppressLineNumbers w:val="0"/>
                    <w:kinsoku/>
                    <w:wordWrap/>
                    <w:overflowPunct/>
                    <w:topLinePunct w:val="0"/>
                    <w:autoSpaceDE/>
                    <w:autoSpaceDN/>
                    <w:bidi w:val="0"/>
                    <w:adjustRightInd w:val="0"/>
                    <w:snapToGrid w:val="0"/>
                    <w:spacing w:before="0" w:beforeAutospacing="0" w:after="0" w:afterAutospacing="0" w:line="276" w:lineRule="auto"/>
                    <w:ind w:left="0" w:right="0"/>
                    <w:rPr>
                      <w:rFonts w:hint="default" w:ascii="Times New Roman" w:hAnsi="Times New Roman" w:eastAsia="宋体" w:cs="Times New Roman"/>
                      <w:color w:val="auto"/>
                      <w:kern w:val="0"/>
                      <w:sz w:val="18"/>
                      <w:szCs w:val="18"/>
                      <w:highlight w:val="none"/>
                      <w:lang w:val="en-US" w:eastAsia="zh-CN" w:bidi="ar-SA"/>
                    </w:rPr>
                  </w:pPr>
                  <w:r>
                    <w:rPr>
                      <w:rFonts w:hint="eastAsia" w:ascii="Times New Roman" w:hAnsi="Times New Roman" w:eastAsia="宋体" w:cs="Times New Roman"/>
                      <w:color w:val="auto"/>
                      <w:sz w:val="18"/>
                      <w:szCs w:val="18"/>
                      <w:highlight w:val="none"/>
                    </w:rPr>
                    <w:t>手套</w:t>
                  </w:r>
                  <w:r>
                    <w:rPr>
                      <w:rFonts w:hint="default" w:ascii="Times New Roman" w:hAnsi="Times New Roman" w:eastAsia="宋体" w:cs="Times New Roman"/>
                      <w:color w:val="auto"/>
                      <w:sz w:val="18"/>
                      <w:szCs w:val="18"/>
                      <w:highlight w:val="none"/>
                    </w:rPr>
                    <w:t>、口罩、</w:t>
                  </w:r>
                  <w:r>
                    <w:rPr>
                      <w:rFonts w:hint="eastAsia" w:ascii="Times New Roman" w:hAnsi="Times New Roman" w:eastAsia="宋体" w:cs="Times New Roman"/>
                      <w:color w:val="auto"/>
                      <w:sz w:val="18"/>
                      <w:szCs w:val="18"/>
                      <w:highlight w:val="none"/>
                    </w:rPr>
                    <w:t>手术</w:t>
                  </w:r>
                  <w:r>
                    <w:rPr>
                      <w:rFonts w:hint="default" w:ascii="Times New Roman" w:hAnsi="Times New Roman" w:eastAsia="宋体" w:cs="Times New Roman"/>
                      <w:color w:val="auto"/>
                      <w:sz w:val="18"/>
                      <w:szCs w:val="18"/>
                      <w:highlight w:val="none"/>
                    </w:rPr>
                    <w:t>帽、</w:t>
                  </w:r>
                  <w:r>
                    <w:rPr>
                      <w:rFonts w:hint="eastAsia" w:ascii="Times New Roman" w:hAnsi="Times New Roman" w:eastAsia="宋体" w:cs="Times New Roman"/>
                      <w:color w:val="auto"/>
                      <w:sz w:val="18"/>
                      <w:szCs w:val="18"/>
                      <w:highlight w:val="none"/>
                    </w:rPr>
                    <w:t>滴</w:t>
                  </w:r>
                  <w:r>
                    <w:rPr>
                      <w:rFonts w:hint="eastAsia" w:ascii="Times New Roman" w:hAnsi="Times New Roman" w:eastAsia="宋体" w:cs="Times New Roman"/>
                      <w:color w:val="auto"/>
                      <w:sz w:val="18"/>
                      <w:szCs w:val="18"/>
                      <w:highlight w:val="none"/>
                      <w:lang w:val="en-US" w:eastAsia="zh-CN"/>
                    </w:rPr>
                    <w:t>1</w:t>
                  </w:r>
                  <w:r>
                    <w:rPr>
                      <w:rFonts w:hint="eastAsia" w:ascii="Times New Roman" w:hAnsi="Times New Roman" w:eastAsia="宋体" w:cs="Times New Roman"/>
                      <w:color w:val="auto"/>
                      <w:sz w:val="18"/>
                      <w:szCs w:val="18"/>
                      <w:highlight w:val="none"/>
                    </w:rPr>
                    <w:t>管</w:t>
                  </w:r>
                  <w:r>
                    <w:rPr>
                      <w:rFonts w:hint="default" w:ascii="Times New Roman" w:hAnsi="Times New Roman" w:eastAsia="宋体" w:cs="Times New Roman"/>
                      <w:color w:val="auto"/>
                      <w:sz w:val="18"/>
                      <w:szCs w:val="18"/>
                      <w:highlight w:val="none"/>
                    </w:rPr>
                    <w:t>等</w:t>
                  </w:r>
                </w:p>
              </w:tc>
              <w:tc>
                <w:tcPr>
                  <w:tcW w:w="675" w:type="dxa"/>
                  <w:tcBorders>
                    <w:top w:val="single" w:color="auto" w:sz="4" w:space="0"/>
                    <w:left w:val="single" w:color="auto" w:sz="4" w:space="0"/>
                    <w:bottom w:val="single" w:color="auto" w:sz="4" w:space="0"/>
                    <w:right w:val="single" w:color="auto" w:sz="4" w:space="0"/>
                  </w:tcBorders>
                  <w:shd w:val="clear" w:color="auto" w:fill="auto"/>
                  <w:tcMar>
                    <w:left w:w="57" w:type="dxa"/>
                    <w:right w:w="57" w:type="dxa"/>
                  </w:tcMar>
                  <w:vAlign w:val="center"/>
                </w:tcPr>
                <w:p w14:paraId="656CDCE6">
                  <w:pPr>
                    <w:pStyle w:val="129"/>
                    <w:keepNext w:val="0"/>
                    <w:keepLines w:val="0"/>
                    <w:pageBreakBefore w:val="0"/>
                    <w:suppressLineNumbers w:val="0"/>
                    <w:kinsoku/>
                    <w:wordWrap/>
                    <w:overflowPunct/>
                    <w:topLinePunct w:val="0"/>
                    <w:autoSpaceDE/>
                    <w:autoSpaceDN/>
                    <w:bidi w:val="0"/>
                    <w:adjustRightInd w:val="0"/>
                    <w:snapToGrid w:val="0"/>
                    <w:spacing w:before="0" w:beforeAutospacing="0" w:after="0" w:afterAutospacing="0" w:line="276" w:lineRule="auto"/>
                    <w:ind w:left="0" w:right="0"/>
                    <w:rPr>
                      <w:rFonts w:hint="default" w:ascii="Times New Roman" w:hAnsi="Times New Roman" w:eastAsia="宋体" w:cs="Times New Roman"/>
                      <w:color w:val="auto"/>
                      <w:kern w:val="0"/>
                      <w:sz w:val="18"/>
                      <w:szCs w:val="18"/>
                      <w:highlight w:val="none"/>
                      <w:lang w:val="en-US" w:eastAsia="zh-CN" w:bidi="ar-SA"/>
                    </w:rPr>
                  </w:pPr>
                  <w:r>
                    <w:rPr>
                      <w:rFonts w:hint="default" w:ascii="Times New Roman" w:hAnsi="Times New Roman" w:eastAsia="宋体" w:cs="Times New Roman"/>
                      <w:color w:val="auto"/>
                      <w:sz w:val="18"/>
                      <w:szCs w:val="18"/>
                      <w:highlight w:val="none"/>
                    </w:rPr>
                    <w:t>T/C/I/R</w:t>
                  </w:r>
                </w:p>
              </w:tc>
              <w:tc>
                <w:tcPr>
                  <w:tcW w:w="653" w:type="dxa"/>
                  <w:tcBorders>
                    <w:top w:val="single" w:color="auto" w:sz="4" w:space="0"/>
                    <w:left w:val="single" w:color="auto" w:sz="4" w:space="0"/>
                    <w:bottom w:val="single" w:color="auto" w:sz="4" w:space="0"/>
                    <w:right w:val="single" w:color="auto" w:sz="4" w:space="0"/>
                  </w:tcBorders>
                  <w:shd w:val="clear" w:color="auto" w:fill="auto"/>
                  <w:tcMar>
                    <w:left w:w="57" w:type="dxa"/>
                    <w:right w:w="57" w:type="dxa"/>
                  </w:tcMar>
                  <w:vAlign w:val="center"/>
                </w:tcPr>
                <w:p w14:paraId="415BAF7F">
                  <w:pPr>
                    <w:keepNext w:val="0"/>
                    <w:keepLines w:val="0"/>
                    <w:pageBreakBefore w:val="0"/>
                    <w:suppressLineNumbers w:val="0"/>
                    <w:kinsoku/>
                    <w:wordWrap/>
                    <w:overflowPunct/>
                    <w:topLinePunct w:val="0"/>
                    <w:autoSpaceDE/>
                    <w:autoSpaceDN/>
                    <w:bidi w:val="0"/>
                    <w:adjustRightInd w:val="0"/>
                    <w:snapToGrid w:val="0"/>
                    <w:spacing w:before="0" w:beforeAutospacing="0" w:after="0" w:afterAutospacing="0" w:line="276" w:lineRule="auto"/>
                    <w:ind w:left="0" w:right="0"/>
                    <w:jc w:val="center"/>
                    <w:textAlignment w:val="auto"/>
                    <w:rPr>
                      <w:rFonts w:hint="eastAsia" w:ascii="Times New Roman" w:hAnsi="Times New Roman" w:eastAsia="宋体" w:cs="Times New Roman"/>
                      <w:kern w:val="2"/>
                      <w:sz w:val="18"/>
                      <w:szCs w:val="18"/>
                      <w:highlight w:val="none"/>
                      <w:lang w:val="en-US" w:eastAsia="zh-CN" w:bidi="ar-SA"/>
                    </w:rPr>
                  </w:pPr>
                  <w:r>
                    <w:rPr>
                      <w:rFonts w:hint="eastAsia" w:ascii="Times New Roman" w:hAnsi="Times New Roman" w:eastAsia="宋体" w:cs="Times New Roman"/>
                      <w:sz w:val="18"/>
                      <w:szCs w:val="18"/>
                      <w:highlight w:val="none"/>
                      <w:lang w:val="en-US" w:eastAsia="zh-CN"/>
                    </w:rPr>
                    <w:t>15</w:t>
                  </w:r>
                </w:p>
              </w:tc>
              <w:tc>
                <w:tcPr>
                  <w:tcW w:w="794" w:type="dxa"/>
                  <w:tcBorders>
                    <w:top w:val="single" w:color="auto" w:sz="4" w:space="0"/>
                    <w:left w:val="single" w:color="auto" w:sz="4" w:space="0"/>
                    <w:bottom w:val="single" w:color="auto" w:sz="4" w:space="0"/>
                    <w:right w:val="single" w:color="auto" w:sz="4" w:space="0"/>
                  </w:tcBorders>
                  <w:shd w:val="clear" w:color="auto" w:fill="auto"/>
                  <w:tcMar>
                    <w:left w:w="57" w:type="dxa"/>
                    <w:right w:w="57" w:type="dxa"/>
                  </w:tcMar>
                  <w:vAlign w:val="center"/>
                </w:tcPr>
                <w:p w14:paraId="39418E9C">
                  <w:pPr>
                    <w:pStyle w:val="129"/>
                    <w:keepNext w:val="0"/>
                    <w:keepLines w:val="0"/>
                    <w:pageBreakBefore w:val="0"/>
                    <w:suppressLineNumbers w:val="0"/>
                    <w:kinsoku/>
                    <w:wordWrap/>
                    <w:overflowPunct/>
                    <w:topLinePunct w:val="0"/>
                    <w:autoSpaceDE/>
                    <w:autoSpaceDN/>
                    <w:bidi w:val="0"/>
                    <w:adjustRightInd w:val="0"/>
                    <w:snapToGrid w:val="0"/>
                    <w:spacing w:before="0" w:beforeAutospacing="0" w:after="0" w:afterAutospacing="0" w:line="276" w:lineRule="auto"/>
                    <w:ind w:left="0" w:right="0"/>
                    <w:rPr>
                      <w:rFonts w:hint="default" w:ascii="Times New Roman" w:hAnsi="Times New Roman" w:eastAsia="宋体" w:cs="Times New Roman"/>
                      <w:bCs/>
                      <w:color w:val="auto"/>
                      <w:kern w:val="0"/>
                      <w:sz w:val="18"/>
                      <w:szCs w:val="18"/>
                      <w:highlight w:val="none"/>
                      <w:lang w:val="zh-CN" w:eastAsia="zh-CN" w:bidi="ar-SA"/>
                    </w:rPr>
                  </w:pPr>
                  <w:r>
                    <w:rPr>
                      <w:rFonts w:hint="eastAsia" w:ascii="Times New Roman" w:hAnsi="Times New Roman" w:eastAsia="宋体" w:cs="Times New Roman"/>
                      <w:bCs/>
                      <w:color w:val="auto"/>
                      <w:sz w:val="18"/>
                      <w:szCs w:val="18"/>
                      <w:highlight w:val="none"/>
                      <w:lang w:val="zh-CN"/>
                    </w:rPr>
                    <w:t>防漏</w:t>
                  </w:r>
                  <w:r>
                    <w:rPr>
                      <w:rFonts w:hint="default" w:ascii="Times New Roman" w:hAnsi="Times New Roman" w:eastAsia="宋体" w:cs="Times New Roman"/>
                      <w:bCs/>
                      <w:color w:val="auto"/>
                      <w:sz w:val="18"/>
                      <w:szCs w:val="18"/>
                      <w:highlight w:val="none"/>
                      <w:lang w:val="zh-CN"/>
                    </w:rPr>
                    <w:t>胶</w:t>
                  </w:r>
                  <w:r>
                    <w:rPr>
                      <w:rFonts w:hint="eastAsia" w:ascii="Times New Roman" w:hAnsi="Times New Roman" w:eastAsia="宋体" w:cs="Times New Roman"/>
                      <w:bCs/>
                      <w:color w:val="auto"/>
                      <w:sz w:val="18"/>
                      <w:szCs w:val="18"/>
                      <w:highlight w:val="none"/>
                      <w:lang w:val="zh-CN"/>
                    </w:rPr>
                    <w:t>袋</w:t>
                  </w:r>
                </w:p>
              </w:tc>
              <w:tc>
                <w:tcPr>
                  <w:tcW w:w="705" w:type="dxa"/>
                  <w:vMerge w:val="continue"/>
                  <w:tcBorders>
                    <w:left w:val="single" w:color="auto" w:sz="4" w:space="0"/>
                    <w:right w:val="single" w:color="auto" w:sz="4" w:space="0"/>
                  </w:tcBorders>
                  <w:tcMar>
                    <w:left w:w="57" w:type="dxa"/>
                    <w:right w:w="57" w:type="dxa"/>
                  </w:tcMar>
                  <w:vAlign w:val="center"/>
                </w:tcPr>
                <w:p w14:paraId="518506A7">
                  <w:pPr>
                    <w:keepNext w:val="0"/>
                    <w:keepLines w:val="0"/>
                    <w:pageBreakBefore w:val="0"/>
                    <w:suppressLineNumbers w:val="0"/>
                    <w:kinsoku/>
                    <w:wordWrap/>
                    <w:overflowPunct/>
                    <w:topLinePunct w:val="0"/>
                    <w:autoSpaceDE/>
                    <w:autoSpaceDN/>
                    <w:bidi w:val="0"/>
                    <w:adjustRightInd w:val="0"/>
                    <w:snapToGrid w:val="0"/>
                    <w:spacing w:before="0" w:beforeAutospacing="0" w:after="0" w:afterAutospacing="0" w:line="276" w:lineRule="auto"/>
                    <w:ind w:left="0" w:right="0"/>
                    <w:jc w:val="center"/>
                    <w:rPr>
                      <w:rFonts w:hint="default" w:ascii="Times New Roman" w:hAnsi="Times New Roman" w:eastAsia="宋体" w:cs="Times New Roman"/>
                      <w:sz w:val="18"/>
                      <w:szCs w:val="18"/>
                      <w:highlight w:val="none"/>
                    </w:rPr>
                  </w:pPr>
                </w:p>
              </w:tc>
              <w:tc>
                <w:tcPr>
                  <w:tcW w:w="626" w:type="dxa"/>
                  <w:tcBorders>
                    <w:top w:val="single" w:color="auto" w:sz="4" w:space="0"/>
                    <w:left w:val="single" w:color="auto" w:sz="4" w:space="0"/>
                    <w:bottom w:val="single" w:color="auto" w:sz="4" w:space="0"/>
                    <w:right w:val="single" w:color="auto" w:sz="4" w:space="0"/>
                  </w:tcBorders>
                  <w:shd w:val="clear" w:color="auto" w:fill="auto"/>
                  <w:tcMar>
                    <w:left w:w="57" w:type="dxa"/>
                    <w:right w:w="57" w:type="dxa"/>
                  </w:tcMar>
                  <w:vAlign w:val="center"/>
                </w:tcPr>
                <w:p w14:paraId="5A8FD22A">
                  <w:pPr>
                    <w:keepNext w:val="0"/>
                    <w:keepLines w:val="0"/>
                    <w:pageBreakBefore w:val="0"/>
                    <w:suppressLineNumbers w:val="0"/>
                    <w:kinsoku/>
                    <w:wordWrap/>
                    <w:overflowPunct/>
                    <w:topLinePunct w:val="0"/>
                    <w:autoSpaceDE/>
                    <w:autoSpaceDN/>
                    <w:bidi w:val="0"/>
                    <w:adjustRightInd w:val="0"/>
                    <w:snapToGrid w:val="0"/>
                    <w:spacing w:before="0" w:beforeAutospacing="0" w:after="0" w:afterAutospacing="0" w:line="276" w:lineRule="auto"/>
                    <w:ind w:left="0" w:right="0"/>
                    <w:jc w:val="center"/>
                    <w:textAlignment w:val="auto"/>
                    <w:rPr>
                      <w:rFonts w:hint="eastAsia" w:ascii="Times New Roman" w:hAnsi="Times New Roman" w:eastAsia="宋体" w:cs="Times New Roman"/>
                      <w:kern w:val="2"/>
                      <w:sz w:val="18"/>
                      <w:szCs w:val="18"/>
                      <w:highlight w:val="none"/>
                      <w:lang w:val="en-US" w:eastAsia="zh-CN" w:bidi="ar-SA"/>
                    </w:rPr>
                  </w:pPr>
                  <w:r>
                    <w:rPr>
                      <w:rFonts w:hint="eastAsia" w:ascii="Times New Roman" w:hAnsi="Times New Roman" w:eastAsia="宋体" w:cs="Times New Roman"/>
                      <w:sz w:val="18"/>
                      <w:szCs w:val="18"/>
                      <w:highlight w:val="none"/>
                      <w:lang w:val="en-US" w:eastAsia="zh-CN"/>
                    </w:rPr>
                    <w:t>15</w:t>
                  </w:r>
                </w:p>
              </w:tc>
            </w:tr>
            <w:tr w14:paraId="3D7685D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jc w:val="center"/>
              </w:trPr>
              <w:tc>
                <w:tcPr>
                  <w:tcW w:w="307" w:type="dxa"/>
                  <w:tcBorders>
                    <w:top w:val="single" w:color="auto" w:sz="4" w:space="0"/>
                    <w:left w:val="single" w:color="auto" w:sz="4" w:space="0"/>
                    <w:bottom w:val="single" w:color="auto" w:sz="4" w:space="0"/>
                    <w:right w:val="single" w:color="auto" w:sz="4" w:space="0"/>
                  </w:tcBorders>
                  <w:shd w:val="clear" w:color="auto" w:fill="auto"/>
                  <w:tcMar>
                    <w:left w:w="57" w:type="dxa"/>
                    <w:right w:w="57" w:type="dxa"/>
                  </w:tcMar>
                  <w:vAlign w:val="center"/>
                </w:tcPr>
                <w:p w14:paraId="139D4666">
                  <w:pPr>
                    <w:keepNext w:val="0"/>
                    <w:keepLines w:val="0"/>
                    <w:pageBreakBefore w:val="0"/>
                    <w:suppressLineNumbers w:val="0"/>
                    <w:kinsoku/>
                    <w:wordWrap/>
                    <w:overflowPunct/>
                    <w:topLinePunct w:val="0"/>
                    <w:autoSpaceDE/>
                    <w:autoSpaceDN/>
                    <w:bidi w:val="0"/>
                    <w:adjustRightInd w:val="0"/>
                    <w:snapToGrid w:val="0"/>
                    <w:spacing w:before="0" w:beforeAutospacing="0" w:after="0" w:afterAutospacing="0" w:line="276" w:lineRule="auto"/>
                    <w:ind w:left="0" w:leftChars="0" w:right="0" w:rightChars="0"/>
                    <w:jc w:val="center"/>
                    <w:rPr>
                      <w:rFonts w:hint="default" w:ascii="Times New Roman" w:hAnsi="Times New Roman" w:eastAsia="宋体" w:cs="Times New Roman"/>
                      <w:kern w:val="2"/>
                      <w:sz w:val="18"/>
                      <w:szCs w:val="18"/>
                      <w:highlight w:val="none"/>
                      <w:lang w:val="en-US" w:eastAsia="zh-CN" w:bidi="ar-SA"/>
                    </w:rPr>
                  </w:pPr>
                  <w:r>
                    <w:rPr>
                      <w:rFonts w:hint="eastAsia" w:ascii="Times New Roman" w:hAnsi="Times New Roman" w:eastAsia="宋体" w:cs="Times New Roman"/>
                      <w:sz w:val="18"/>
                      <w:szCs w:val="18"/>
                      <w:highlight w:val="none"/>
                      <w:lang w:val="en-US" w:eastAsia="zh-CN"/>
                    </w:rPr>
                    <w:t>18</w:t>
                  </w:r>
                </w:p>
              </w:tc>
              <w:tc>
                <w:tcPr>
                  <w:tcW w:w="878" w:type="dxa"/>
                  <w:tcBorders>
                    <w:top w:val="single" w:color="auto" w:sz="4" w:space="0"/>
                    <w:left w:val="single" w:color="auto" w:sz="4" w:space="0"/>
                    <w:bottom w:val="single" w:color="auto" w:sz="4" w:space="0"/>
                    <w:right w:val="single" w:color="auto" w:sz="4" w:space="0"/>
                  </w:tcBorders>
                  <w:shd w:val="clear" w:color="auto" w:fill="auto"/>
                  <w:tcMar>
                    <w:left w:w="57" w:type="dxa"/>
                    <w:right w:w="57" w:type="dxa"/>
                  </w:tcMar>
                  <w:vAlign w:val="center"/>
                </w:tcPr>
                <w:p w14:paraId="36B81F82">
                  <w:pPr>
                    <w:pStyle w:val="129"/>
                    <w:keepNext w:val="0"/>
                    <w:keepLines w:val="0"/>
                    <w:pageBreakBefore w:val="0"/>
                    <w:suppressLineNumbers w:val="0"/>
                    <w:kinsoku/>
                    <w:wordWrap/>
                    <w:overflowPunct/>
                    <w:topLinePunct w:val="0"/>
                    <w:autoSpaceDE/>
                    <w:autoSpaceDN/>
                    <w:bidi w:val="0"/>
                    <w:adjustRightInd w:val="0"/>
                    <w:snapToGrid w:val="0"/>
                    <w:spacing w:before="0" w:beforeAutospacing="0" w:after="0" w:afterAutospacing="0" w:line="276" w:lineRule="auto"/>
                    <w:ind w:left="0" w:right="0"/>
                    <w:rPr>
                      <w:rFonts w:hint="eastAsia" w:ascii="Times New Roman" w:hAnsi="Times New Roman" w:eastAsia="宋体" w:cs="Times New Roman"/>
                      <w:color w:val="auto"/>
                      <w:kern w:val="0"/>
                      <w:sz w:val="18"/>
                      <w:szCs w:val="18"/>
                      <w:highlight w:val="none"/>
                      <w:lang w:val="en-US" w:eastAsia="zh-CN" w:bidi="ar-SA"/>
                    </w:rPr>
                  </w:pPr>
                  <w:r>
                    <w:rPr>
                      <w:rFonts w:hint="eastAsia" w:ascii="Times New Roman" w:hAnsi="Times New Roman" w:eastAsia="宋体" w:cs="Times New Roman"/>
                      <w:color w:val="auto"/>
                      <w:sz w:val="18"/>
                      <w:szCs w:val="18"/>
                      <w:highlight w:val="none"/>
                      <w:lang w:val="en-US" w:eastAsia="zh-CN"/>
                    </w:rPr>
                    <w:t>危险废包装材料</w:t>
                  </w:r>
                </w:p>
              </w:tc>
              <w:tc>
                <w:tcPr>
                  <w:tcW w:w="1058" w:type="dxa"/>
                  <w:tcBorders>
                    <w:top w:val="single" w:color="auto" w:sz="4" w:space="0"/>
                    <w:left w:val="single" w:color="auto" w:sz="4" w:space="0"/>
                    <w:bottom w:val="single" w:color="auto" w:sz="4" w:space="0"/>
                    <w:right w:val="single" w:color="auto" w:sz="4" w:space="0"/>
                  </w:tcBorders>
                  <w:shd w:val="clear" w:color="auto" w:fill="auto"/>
                  <w:tcMar>
                    <w:left w:w="57" w:type="dxa"/>
                    <w:right w:w="57" w:type="dxa"/>
                  </w:tcMar>
                  <w:vAlign w:val="center"/>
                </w:tcPr>
                <w:p w14:paraId="13C43D92">
                  <w:pPr>
                    <w:pStyle w:val="129"/>
                    <w:keepNext w:val="0"/>
                    <w:keepLines w:val="0"/>
                    <w:pageBreakBefore w:val="0"/>
                    <w:suppressLineNumbers w:val="0"/>
                    <w:kinsoku/>
                    <w:wordWrap/>
                    <w:overflowPunct/>
                    <w:topLinePunct w:val="0"/>
                    <w:autoSpaceDE/>
                    <w:autoSpaceDN/>
                    <w:bidi w:val="0"/>
                    <w:adjustRightInd w:val="0"/>
                    <w:snapToGrid w:val="0"/>
                    <w:spacing w:before="0" w:beforeAutospacing="0" w:after="0" w:afterAutospacing="0" w:line="276" w:lineRule="auto"/>
                    <w:ind w:left="0" w:right="0"/>
                    <w:rPr>
                      <w:rFonts w:hint="default" w:ascii="Times New Roman" w:hAnsi="Times New Roman" w:eastAsia="宋体" w:cs="Times New Roman"/>
                      <w:color w:val="auto"/>
                      <w:kern w:val="0"/>
                      <w:sz w:val="18"/>
                      <w:szCs w:val="18"/>
                      <w:highlight w:val="none"/>
                      <w:lang w:val="en-US" w:eastAsia="zh-CN" w:bidi="ar-SA"/>
                    </w:rPr>
                  </w:pPr>
                  <w:r>
                    <w:rPr>
                      <w:rFonts w:hint="eastAsia" w:ascii="Times New Roman" w:hAnsi="Times New Roman" w:eastAsia="宋体" w:cs="Times New Roman"/>
                      <w:color w:val="auto"/>
                      <w:sz w:val="18"/>
                      <w:szCs w:val="18"/>
                      <w:highlight w:val="none"/>
                    </w:rPr>
                    <w:t>塑料</w:t>
                  </w:r>
                  <w:r>
                    <w:rPr>
                      <w:rFonts w:hint="default" w:ascii="Times New Roman" w:hAnsi="Times New Roman" w:eastAsia="宋体" w:cs="Times New Roman"/>
                      <w:color w:val="auto"/>
                      <w:sz w:val="18"/>
                      <w:szCs w:val="18"/>
                      <w:highlight w:val="none"/>
                    </w:rPr>
                    <w:t>包装、玻璃瓶</w:t>
                  </w:r>
                </w:p>
              </w:tc>
              <w:tc>
                <w:tcPr>
                  <w:tcW w:w="581" w:type="dxa"/>
                  <w:tcBorders>
                    <w:top w:val="single" w:color="auto" w:sz="4" w:space="0"/>
                    <w:left w:val="single" w:color="auto" w:sz="4" w:space="0"/>
                    <w:bottom w:val="single" w:color="auto" w:sz="4" w:space="0"/>
                    <w:right w:val="single" w:color="auto" w:sz="4" w:space="0"/>
                  </w:tcBorders>
                  <w:shd w:val="clear" w:color="auto" w:fill="auto"/>
                  <w:tcMar>
                    <w:left w:w="57" w:type="dxa"/>
                    <w:right w:w="57" w:type="dxa"/>
                  </w:tcMar>
                  <w:vAlign w:val="center"/>
                </w:tcPr>
                <w:p w14:paraId="041F7D24">
                  <w:pPr>
                    <w:pStyle w:val="129"/>
                    <w:keepNext w:val="0"/>
                    <w:keepLines w:val="0"/>
                    <w:pageBreakBefore w:val="0"/>
                    <w:suppressLineNumbers w:val="0"/>
                    <w:kinsoku/>
                    <w:wordWrap/>
                    <w:overflowPunct/>
                    <w:topLinePunct w:val="0"/>
                    <w:autoSpaceDE/>
                    <w:autoSpaceDN/>
                    <w:bidi w:val="0"/>
                    <w:adjustRightInd w:val="0"/>
                    <w:snapToGrid w:val="0"/>
                    <w:spacing w:before="0" w:beforeAutospacing="0" w:after="0" w:afterAutospacing="0" w:line="276" w:lineRule="auto"/>
                    <w:ind w:left="0" w:right="0"/>
                    <w:rPr>
                      <w:rFonts w:hint="default" w:ascii="Times New Roman" w:hAnsi="Times New Roman" w:eastAsia="宋体" w:cs="Times New Roman"/>
                      <w:color w:val="auto"/>
                      <w:kern w:val="0"/>
                      <w:sz w:val="18"/>
                      <w:szCs w:val="18"/>
                      <w:highlight w:val="none"/>
                      <w:lang w:val="en-US" w:eastAsia="zh-CN" w:bidi="ar-SA"/>
                    </w:rPr>
                  </w:pPr>
                  <w:r>
                    <w:rPr>
                      <w:rFonts w:hint="default" w:ascii="Times New Roman" w:hAnsi="Times New Roman" w:eastAsia="宋体" w:cs="Times New Roman"/>
                      <w:color w:val="auto"/>
                      <w:sz w:val="18"/>
                      <w:szCs w:val="18"/>
                      <w:highlight w:val="none"/>
                    </w:rPr>
                    <w:t>固体</w:t>
                  </w:r>
                </w:p>
              </w:tc>
              <w:tc>
                <w:tcPr>
                  <w:tcW w:w="1082" w:type="dxa"/>
                  <w:tcBorders>
                    <w:top w:val="single" w:color="auto" w:sz="4" w:space="0"/>
                    <w:left w:val="single" w:color="auto" w:sz="4" w:space="0"/>
                    <w:bottom w:val="single" w:color="auto" w:sz="4" w:space="0"/>
                    <w:right w:val="single" w:color="auto" w:sz="4" w:space="0"/>
                  </w:tcBorders>
                  <w:shd w:val="clear" w:color="auto" w:fill="auto"/>
                  <w:tcMar>
                    <w:left w:w="57" w:type="dxa"/>
                    <w:right w:w="57" w:type="dxa"/>
                  </w:tcMar>
                  <w:vAlign w:val="center"/>
                </w:tcPr>
                <w:p w14:paraId="37EA4D82">
                  <w:pPr>
                    <w:pStyle w:val="129"/>
                    <w:keepNext w:val="0"/>
                    <w:keepLines w:val="0"/>
                    <w:pageBreakBefore w:val="0"/>
                    <w:suppressLineNumbers w:val="0"/>
                    <w:kinsoku/>
                    <w:wordWrap/>
                    <w:overflowPunct/>
                    <w:topLinePunct w:val="0"/>
                    <w:autoSpaceDE/>
                    <w:autoSpaceDN/>
                    <w:bidi w:val="0"/>
                    <w:adjustRightInd w:val="0"/>
                    <w:snapToGrid w:val="0"/>
                    <w:spacing w:before="0" w:beforeAutospacing="0" w:after="0" w:afterAutospacing="0" w:line="276" w:lineRule="auto"/>
                    <w:ind w:left="0" w:right="0"/>
                    <w:rPr>
                      <w:rFonts w:hint="default" w:ascii="Times New Roman" w:hAnsi="Times New Roman" w:eastAsia="宋体" w:cs="Times New Roman"/>
                      <w:color w:val="auto"/>
                      <w:kern w:val="0"/>
                      <w:sz w:val="18"/>
                      <w:szCs w:val="18"/>
                      <w:highlight w:val="none"/>
                      <w:lang w:val="en-US" w:eastAsia="zh-CN" w:bidi="ar-SA"/>
                    </w:rPr>
                  </w:pPr>
                  <w:r>
                    <w:rPr>
                      <w:rFonts w:hint="eastAsia" w:ascii="Times New Roman" w:hAnsi="Times New Roman" w:eastAsia="宋体" w:cs="Times New Roman"/>
                      <w:color w:val="auto"/>
                      <w:sz w:val="18"/>
                      <w:szCs w:val="18"/>
                      <w:highlight w:val="none"/>
                      <w:lang w:val="en-US" w:eastAsia="zh-CN"/>
                    </w:rPr>
                    <w:t>危险废物，</w:t>
                  </w:r>
                  <w:r>
                    <w:rPr>
                      <w:rFonts w:hint="default" w:ascii="Times New Roman" w:hAnsi="Times New Roman" w:eastAsia="宋体" w:cs="Times New Roman"/>
                      <w:color w:val="auto"/>
                      <w:sz w:val="18"/>
                      <w:szCs w:val="18"/>
                      <w:highlight w:val="none"/>
                    </w:rPr>
                    <w:t>900-047-49</w:t>
                  </w:r>
                </w:p>
              </w:tc>
              <w:tc>
                <w:tcPr>
                  <w:tcW w:w="895" w:type="dxa"/>
                  <w:tcBorders>
                    <w:top w:val="single" w:color="auto" w:sz="4" w:space="0"/>
                    <w:left w:val="single" w:color="auto" w:sz="4" w:space="0"/>
                    <w:bottom w:val="single" w:color="auto" w:sz="4" w:space="0"/>
                    <w:right w:val="single" w:color="auto" w:sz="4" w:space="0"/>
                  </w:tcBorders>
                  <w:shd w:val="clear" w:color="auto" w:fill="auto"/>
                  <w:tcMar>
                    <w:left w:w="57" w:type="dxa"/>
                    <w:right w:w="57" w:type="dxa"/>
                  </w:tcMar>
                  <w:vAlign w:val="center"/>
                </w:tcPr>
                <w:p w14:paraId="707E8300">
                  <w:pPr>
                    <w:pStyle w:val="129"/>
                    <w:keepNext w:val="0"/>
                    <w:keepLines w:val="0"/>
                    <w:pageBreakBefore w:val="0"/>
                    <w:suppressLineNumbers w:val="0"/>
                    <w:kinsoku/>
                    <w:wordWrap/>
                    <w:overflowPunct/>
                    <w:topLinePunct w:val="0"/>
                    <w:autoSpaceDE/>
                    <w:autoSpaceDN/>
                    <w:bidi w:val="0"/>
                    <w:adjustRightInd w:val="0"/>
                    <w:snapToGrid w:val="0"/>
                    <w:spacing w:before="0" w:beforeAutospacing="0" w:after="0" w:afterAutospacing="0" w:line="276" w:lineRule="auto"/>
                    <w:ind w:left="0" w:right="0"/>
                    <w:rPr>
                      <w:rFonts w:hint="default" w:ascii="Times New Roman" w:hAnsi="Times New Roman" w:eastAsia="宋体" w:cs="Times New Roman"/>
                      <w:color w:val="auto"/>
                      <w:kern w:val="0"/>
                      <w:sz w:val="18"/>
                      <w:szCs w:val="18"/>
                      <w:highlight w:val="none"/>
                      <w:lang w:val="en-US" w:eastAsia="zh-CN" w:bidi="ar-SA"/>
                    </w:rPr>
                  </w:pPr>
                  <w:r>
                    <w:rPr>
                      <w:rFonts w:hint="eastAsia" w:ascii="Times New Roman" w:hAnsi="Times New Roman" w:eastAsia="宋体" w:cs="Times New Roman"/>
                      <w:color w:val="auto"/>
                      <w:sz w:val="18"/>
                      <w:szCs w:val="18"/>
                      <w:highlight w:val="none"/>
                    </w:rPr>
                    <w:t>塑料</w:t>
                  </w:r>
                  <w:r>
                    <w:rPr>
                      <w:rFonts w:hint="default" w:ascii="Times New Roman" w:hAnsi="Times New Roman" w:eastAsia="宋体" w:cs="Times New Roman"/>
                      <w:color w:val="auto"/>
                      <w:sz w:val="18"/>
                      <w:szCs w:val="18"/>
                      <w:highlight w:val="none"/>
                    </w:rPr>
                    <w:t>包装、玻璃瓶</w:t>
                  </w:r>
                </w:p>
              </w:tc>
              <w:tc>
                <w:tcPr>
                  <w:tcW w:w="675" w:type="dxa"/>
                  <w:tcBorders>
                    <w:top w:val="single" w:color="auto" w:sz="4" w:space="0"/>
                    <w:left w:val="single" w:color="auto" w:sz="4" w:space="0"/>
                    <w:bottom w:val="single" w:color="auto" w:sz="4" w:space="0"/>
                    <w:right w:val="single" w:color="auto" w:sz="4" w:space="0"/>
                  </w:tcBorders>
                  <w:shd w:val="clear" w:color="auto" w:fill="auto"/>
                  <w:tcMar>
                    <w:left w:w="57" w:type="dxa"/>
                    <w:right w:w="57" w:type="dxa"/>
                  </w:tcMar>
                  <w:vAlign w:val="center"/>
                </w:tcPr>
                <w:p w14:paraId="55D5A308">
                  <w:pPr>
                    <w:pStyle w:val="129"/>
                    <w:keepNext w:val="0"/>
                    <w:keepLines w:val="0"/>
                    <w:pageBreakBefore w:val="0"/>
                    <w:suppressLineNumbers w:val="0"/>
                    <w:kinsoku/>
                    <w:wordWrap/>
                    <w:overflowPunct/>
                    <w:topLinePunct w:val="0"/>
                    <w:autoSpaceDE/>
                    <w:autoSpaceDN/>
                    <w:bidi w:val="0"/>
                    <w:adjustRightInd w:val="0"/>
                    <w:snapToGrid w:val="0"/>
                    <w:spacing w:before="0" w:beforeAutospacing="0" w:after="0" w:afterAutospacing="0" w:line="276" w:lineRule="auto"/>
                    <w:ind w:left="0" w:right="0"/>
                    <w:rPr>
                      <w:rFonts w:hint="default" w:ascii="Times New Roman" w:hAnsi="Times New Roman" w:eastAsia="宋体" w:cs="Times New Roman"/>
                      <w:color w:val="auto"/>
                      <w:kern w:val="0"/>
                      <w:sz w:val="18"/>
                      <w:szCs w:val="18"/>
                      <w:highlight w:val="none"/>
                      <w:lang w:val="en-US" w:eastAsia="zh-CN" w:bidi="ar-SA"/>
                    </w:rPr>
                  </w:pPr>
                  <w:r>
                    <w:rPr>
                      <w:rFonts w:hint="default" w:ascii="Times New Roman" w:hAnsi="Times New Roman" w:eastAsia="宋体" w:cs="Times New Roman"/>
                      <w:color w:val="auto"/>
                      <w:sz w:val="18"/>
                      <w:szCs w:val="18"/>
                      <w:highlight w:val="none"/>
                    </w:rPr>
                    <w:t>T/C/I/R</w:t>
                  </w:r>
                </w:p>
              </w:tc>
              <w:tc>
                <w:tcPr>
                  <w:tcW w:w="653" w:type="dxa"/>
                  <w:tcBorders>
                    <w:top w:val="single" w:color="auto" w:sz="4" w:space="0"/>
                    <w:left w:val="single" w:color="auto" w:sz="4" w:space="0"/>
                    <w:bottom w:val="single" w:color="auto" w:sz="4" w:space="0"/>
                    <w:right w:val="single" w:color="auto" w:sz="4" w:space="0"/>
                  </w:tcBorders>
                  <w:shd w:val="clear" w:color="auto" w:fill="auto"/>
                  <w:tcMar>
                    <w:left w:w="57" w:type="dxa"/>
                    <w:right w:w="57" w:type="dxa"/>
                  </w:tcMar>
                  <w:vAlign w:val="center"/>
                </w:tcPr>
                <w:p w14:paraId="326CEF13">
                  <w:pPr>
                    <w:keepNext w:val="0"/>
                    <w:keepLines w:val="0"/>
                    <w:pageBreakBefore w:val="0"/>
                    <w:suppressLineNumbers w:val="0"/>
                    <w:kinsoku/>
                    <w:wordWrap/>
                    <w:overflowPunct/>
                    <w:topLinePunct w:val="0"/>
                    <w:autoSpaceDE/>
                    <w:autoSpaceDN/>
                    <w:bidi w:val="0"/>
                    <w:adjustRightInd w:val="0"/>
                    <w:snapToGrid w:val="0"/>
                    <w:spacing w:before="0" w:beforeAutospacing="0" w:after="0" w:afterAutospacing="0" w:line="276" w:lineRule="auto"/>
                    <w:ind w:left="0" w:right="0"/>
                    <w:jc w:val="center"/>
                    <w:textAlignment w:val="auto"/>
                    <w:rPr>
                      <w:rFonts w:hint="eastAsia" w:ascii="Times New Roman" w:hAnsi="Times New Roman" w:eastAsia="宋体" w:cs="Times New Roman"/>
                      <w:kern w:val="2"/>
                      <w:sz w:val="18"/>
                      <w:szCs w:val="18"/>
                      <w:highlight w:val="none"/>
                      <w:lang w:val="en-US" w:eastAsia="zh-CN" w:bidi="ar-SA"/>
                    </w:rPr>
                  </w:pPr>
                  <w:r>
                    <w:rPr>
                      <w:rFonts w:hint="eastAsia" w:ascii="Times New Roman" w:hAnsi="Times New Roman" w:eastAsia="宋体" w:cs="Times New Roman"/>
                      <w:sz w:val="18"/>
                      <w:szCs w:val="18"/>
                      <w:highlight w:val="none"/>
                      <w:lang w:eastAsia="zh-CN"/>
                    </w:rPr>
                    <w:t>0.</w:t>
                  </w:r>
                  <w:r>
                    <w:rPr>
                      <w:rFonts w:hint="eastAsia" w:ascii="Times New Roman" w:hAnsi="Times New Roman" w:eastAsia="宋体" w:cs="Times New Roman"/>
                      <w:sz w:val="18"/>
                      <w:szCs w:val="18"/>
                      <w:highlight w:val="none"/>
                      <w:lang w:val="en-US" w:eastAsia="zh-CN"/>
                    </w:rPr>
                    <w:t>5</w:t>
                  </w:r>
                </w:p>
              </w:tc>
              <w:tc>
                <w:tcPr>
                  <w:tcW w:w="794" w:type="dxa"/>
                  <w:tcBorders>
                    <w:top w:val="single" w:color="auto" w:sz="4" w:space="0"/>
                    <w:left w:val="single" w:color="auto" w:sz="4" w:space="0"/>
                    <w:bottom w:val="single" w:color="auto" w:sz="4" w:space="0"/>
                    <w:right w:val="single" w:color="auto" w:sz="4" w:space="0"/>
                  </w:tcBorders>
                  <w:shd w:val="clear" w:color="auto" w:fill="auto"/>
                  <w:tcMar>
                    <w:left w:w="57" w:type="dxa"/>
                    <w:right w:w="57" w:type="dxa"/>
                  </w:tcMar>
                  <w:vAlign w:val="center"/>
                </w:tcPr>
                <w:p w14:paraId="0CAFF2CD">
                  <w:pPr>
                    <w:pStyle w:val="129"/>
                    <w:keepNext w:val="0"/>
                    <w:keepLines w:val="0"/>
                    <w:pageBreakBefore w:val="0"/>
                    <w:suppressLineNumbers w:val="0"/>
                    <w:kinsoku/>
                    <w:wordWrap/>
                    <w:overflowPunct/>
                    <w:topLinePunct w:val="0"/>
                    <w:autoSpaceDE/>
                    <w:autoSpaceDN/>
                    <w:bidi w:val="0"/>
                    <w:adjustRightInd w:val="0"/>
                    <w:snapToGrid w:val="0"/>
                    <w:spacing w:before="0" w:beforeAutospacing="0" w:after="0" w:afterAutospacing="0" w:line="276" w:lineRule="auto"/>
                    <w:ind w:left="0" w:right="0"/>
                    <w:rPr>
                      <w:rFonts w:hint="default" w:ascii="Times New Roman" w:hAnsi="Times New Roman" w:eastAsia="宋体" w:cs="Times New Roman"/>
                      <w:bCs/>
                      <w:color w:val="auto"/>
                      <w:kern w:val="0"/>
                      <w:sz w:val="18"/>
                      <w:szCs w:val="18"/>
                      <w:highlight w:val="none"/>
                      <w:lang w:val="zh-CN" w:eastAsia="zh-CN" w:bidi="ar-SA"/>
                    </w:rPr>
                  </w:pPr>
                  <w:r>
                    <w:rPr>
                      <w:rFonts w:hint="eastAsia" w:ascii="Times New Roman" w:hAnsi="Times New Roman" w:eastAsia="宋体" w:cs="Times New Roman"/>
                      <w:bCs/>
                      <w:color w:val="auto"/>
                      <w:sz w:val="18"/>
                      <w:szCs w:val="18"/>
                      <w:highlight w:val="none"/>
                      <w:lang w:val="zh-CN"/>
                    </w:rPr>
                    <w:t>防漏</w:t>
                  </w:r>
                  <w:r>
                    <w:rPr>
                      <w:rFonts w:hint="default" w:ascii="Times New Roman" w:hAnsi="Times New Roman" w:eastAsia="宋体" w:cs="Times New Roman"/>
                      <w:bCs/>
                      <w:color w:val="auto"/>
                      <w:sz w:val="18"/>
                      <w:szCs w:val="18"/>
                      <w:highlight w:val="none"/>
                      <w:lang w:val="zh-CN"/>
                    </w:rPr>
                    <w:t>胶</w:t>
                  </w:r>
                  <w:r>
                    <w:rPr>
                      <w:rFonts w:hint="eastAsia" w:ascii="Times New Roman" w:hAnsi="Times New Roman" w:eastAsia="宋体" w:cs="Times New Roman"/>
                      <w:bCs/>
                      <w:color w:val="auto"/>
                      <w:sz w:val="18"/>
                      <w:szCs w:val="18"/>
                      <w:highlight w:val="none"/>
                      <w:lang w:val="zh-CN"/>
                    </w:rPr>
                    <w:t>袋</w:t>
                  </w:r>
                </w:p>
              </w:tc>
              <w:tc>
                <w:tcPr>
                  <w:tcW w:w="705" w:type="dxa"/>
                  <w:vMerge w:val="continue"/>
                  <w:tcBorders>
                    <w:left w:val="single" w:color="auto" w:sz="4" w:space="0"/>
                    <w:right w:val="single" w:color="auto" w:sz="4" w:space="0"/>
                  </w:tcBorders>
                  <w:tcMar>
                    <w:left w:w="57" w:type="dxa"/>
                    <w:right w:w="57" w:type="dxa"/>
                  </w:tcMar>
                  <w:vAlign w:val="center"/>
                </w:tcPr>
                <w:p w14:paraId="1B14A7F7">
                  <w:pPr>
                    <w:keepNext w:val="0"/>
                    <w:keepLines w:val="0"/>
                    <w:pageBreakBefore w:val="0"/>
                    <w:suppressLineNumbers w:val="0"/>
                    <w:kinsoku/>
                    <w:wordWrap/>
                    <w:overflowPunct/>
                    <w:topLinePunct w:val="0"/>
                    <w:autoSpaceDE/>
                    <w:autoSpaceDN/>
                    <w:bidi w:val="0"/>
                    <w:adjustRightInd w:val="0"/>
                    <w:snapToGrid w:val="0"/>
                    <w:spacing w:before="0" w:beforeAutospacing="0" w:after="0" w:afterAutospacing="0" w:line="276" w:lineRule="auto"/>
                    <w:ind w:left="0" w:right="0"/>
                    <w:jc w:val="center"/>
                    <w:rPr>
                      <w:rFonts w:hint="default" w:ascii="Times New Roman" w:hAnsi="Times New Roman" w:eastAsia="宋体" w:cs="Times New Roman"/>
                      <w:sz w:val="18"/>
                      <w:szCs w:val="18"/>
                      <w:highlight w:val="none"/>
                    </w:rPr>
                  </w:pPr>
                </w:p>
              </w:tc>
              <w:tc>
                <w:tcPr>
                  <w:tcW w:w="626" w:type="dxa"/>
                  <w:tcBorders>
                    <w:top w:val="single" w:color="auto" w:sz="4" w:space="0"/>
                    <w:left w:val="single" w:color="auto" w:sz="4" w:space="0"/>
                    <w:bottom w:val="single" w:color="auto" w:sz="4" w:space="0"/>
                    <w:right w:val="single" w:color="auto" w:sz="4" w:space="0"/>
                  </w:tcBorders>
                  <w:shd w:val="clear" w:color="auto" w:fill="auto"/>
                  <w:tcMar>
                    <w:left w:w="57" w:type="dxa"/>
                    <w:right w:w="57" w:type="dxa"/>
                  </w:tcMar>
                  <w:vAlign w:val="center"/>
                </w:tcPr>
                <w:p w14:paraId="2FF43639">
                  <w:pPr>
                    <w:keepNext w:val="0"/>
                    <w:keepLines w:val="0"/>
                    <w:pageBreakBefore w:val="0"/>
                    <w:suppressLineNumbers w:val="0"/>
                    <w:kinsoku/>
                    <w:wordWrap/>
                    <w:overflowPunct/>
                    <w:topLinePunct w:val="0"/>
                    <w:autoSpaceDE/>
                    <w:autoSpaceDN/>
                    <w:bidi w:val="0"/>
                    <w:adjustRightInd w:val="0"/>
                    <w:snapToGrid w:val="0"/>
                    <w:spacing w:before="0" w:beforeAutospacing="0" w:after="0" w:afterAutospacing="0" w:line="276" w:lineRule="auto"/>
                    <w:ind w:left="0" w:right="0"/>
                    <w:jc w:val="center"/>
                    <w:textAlignment w:val="auto"/>
                    <w:rPr>
                      <w:rFonts w:hint="eastAsia" w:ascii="Times New Roman" w:hAnsi="Times New Roman" w:eastAsia="宋体" w:cs="Times New Roman"/>
                      <w:kern w:val="2"/>
                      <w:sz w:val="18"/>
                      <w:szCs w:val="18"/>
                      <w:highlight w:val="none"/>
                      <w:lang w:val="en-US" w:eastAsia="zh-CN" w:bidi="ar-SA"/>
                    </w:rPr>
                  </w:pPr>
                  <w:r>
                    <w:rPr>
                      <w:rFonts w:hint="eastAsia" w:ascii="Times New Roman" w:hAnsi="Times New Roman" w:eastAsia="宋体" w:cs="Times New Roman"/>
                      <w:sz w:val="18"/>
                      <w:szCs w:val="18"/>
                      <w:highlight w:val="none"/>
                      <w:lang w:eastAsia="zh-CN"/>
                    </w:rPr>
                    <w:t>0.</w:t>
                  </w:r>
                  <w:r>
                    <w:rPr>
                      <w:rFonts w:hint="eastAsia" w:ascii="Times New Roman" w:hAnsi="Times New Roman" w:eastAsia="宋体" w:cs="Times New Roman"/>
                      <w:sz w:val="18"/>
                      <w:szCs w:val="18"/>
                      <w:highlight w:val="none"/>
                      <w:lang w:val="en-US" w:eastAsia="zh-CN"/>
                    </w:rPr>
                    <w:t>5</w:t>
                  </w:r>
                </w:p>
              </w:tc>
            </w:tr>
            <w:tr w14:paraId="0C4C2DC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jc w:val="center"/>
              </w:trPr>
              <w:tc>
                <w:tcPr>
                  <w:tcW w:w="307" w:type="dxa"/>
                  <w:tcBorders>
                    <w:top w:val="single" w:color="auto" w:sz="4" w:space="0"/>
                    <w:left w:val="single" w:color="auto" w:sz="4" w:space="0"/>
                    <w:bottom w:val="single" w:color="auto" w:sz="4" w:space="0"/>
                    <w:right w:val="single" w:color="auto" w:sz="4" w:space="0"/>
                  </w:tcBorders>
                  <w:shd w:val="clear" w:color="auto" w:fill="auto"/>
                  <w:tcMar>
                    <w:left w:w="57" w:type="dxa"/>
                    <w:right w:w="57" w:type="dxa"/>
                  </w:tcMar>
                  <w:vAlign w:val="center"/>
                </w:tcPr>
                <w:p w14:paraId="22E2F2F0">
                  <w:pPr>
                    <w:keepNext w:val="0"/>
                    <w:keepLines w:val="0"/>
                    <w:pageBreakBefore w:val="0"/>
                    <w:suppressLineNumbers w:val="0"/>
                    <w:kinsoku/>
                    <w:wordWrap/>
                    <w:overflowPunct/>
                    <w:topLinePunct w:val="0"/>
                    <w:autoSpaceDE/>
                    <w:autoSpaceDN/>
                    <w:bidi w:val="0"/>
                    <w:adjustRightInd w:val="0"/>
                    <w:snapToGrid w:val="0"/>
                    <w:spacing w:before="0" w:beforeAutospacing="0" w:after="0" w:afterAutospacing="0" w:line="276" w:lineRule="auto"/>
                    <w:ind w:left="0" w:leftChars="0" w:right="0" w:rightChars="0"/>
                    <w:jc w:val="center"/>
                    <w:rPr>
                      <w:rFonts w:hint="default" w:ascii="Times New Roman" w:hAnsi="Times New Roman" w:eastAsia="宋体" w:cs="Times New Roman"/>
                      <w:kern w:val="2"/>
                      <w:sz w:val="18"/>
                      <w:szCs w:val="18"/>
                      <w:highlight w:val="none"/>
                      <w:lang w:val="en-US" w:eastAsia="zh-CN" w:bidi="ar-SA"/>
                    </w:rPr>
                  </w:pPr>
                  <w:r>
                    <w:rPr>
                      <w:rFonts w:hint="eastAsia" w:ascii="Times New Roman" w:hAnsi="Times New Roman" w:eastAsia="宋体" w:cs="Times New Roman"/>
                      <w:sz w:val="18"/>
                      <w:szCs w:val="18"/>
                      <w:highlight w:val="none"/>
                      <w:lang w:val="en-US" w:eastAsia="zh-CN"/>
                    </w:rPr>
                    <w:t>19</w:t>
                  </w:r>
                </w:p>
              </w:tc>
              <w:tc>
                <w:tcPr>
                  <w:tcW w:w="878" w:type="dxa"/>
                  <w:tcBorders>
                    <w:top w:val="single" w:color="auto" w:sz="4" w:space="0"/>
                    <w:left w:val="single" w:color="auto" w:sz="4" w:space="0"/>
                    <w:bottom w:val="single" w:color="auto" w:sz="4" w:space="0"/>
                    <w:right w:val="single" w:color="auto" w:sz="4" w:space="0"/>
                  </w:tcBorders>
                  <w:shd w:val="clear" w:color="auto" w:fill="auto"/>
                  <w:tcMar>
                    <w:left w:w="57" w:type="dxa"/>
                    <w:right w:w="57" w:type="dxa"/>
                  </w:tcMar>
                  <w:vAlign w:val="center"/>
                </w:tcPr>
                <w:p w14:paraId="467A0D26">
                  <w:pPr>
                    <w:pStyle w:val="129"/>
                    <w:keepNext w:val="0"/>
                    <w:keepLines w:val="0"/>
                    <w:pageBreakBefore w:val="0"/>
                    <w:suppressLineNumbers w:val="0"/>
                    <w:kinsoku/>
                    <w:wordWrap/>
                    <w:overflowPunct/>
                    <w:topLinePunct w:val="0"/>
                    <w:autoSpaceDE/>
                    <w:autoSpaceDN/>
                    <w:bidi w:val="0"/>
                    <w:adjustRightInd w:val="0"/>
                    <w:snapToGrid w:val="0"/>
                    <w:spacing w:before="0" w:beforeAutospacing="0" w:after="0" w:afterAutospacing="0" w:line="276" w:lineRule="auto"/>
                    <w:ind w:left="0" w:right="0"/>
                    <w:rPr>
                      <w:rFonts w:hint="eastAsia" w:ascii="Times New Roman" w:hAnsi="Times New Roman" w:eastAsia="宋体" w:cs="Times New Roman"/>
                      <w:color w:val="auto"/>
                      <w:kern w:val="0"/>
                      <w:sz w:val="18"/>
                      <w:szCs w:val="18"/>
                      <w:highlight w:val="none"/>
                      <w:lang w:val="en-US" w:eastAsia="zh-CN" w:bidi="ar-SA"/>
                    </w:rPr>
                  </w:pPr>
                  <w:r>
                    <w:rPr>
                      <w:rFonts w:hint="eastAsia" w:ascii="Times New Roman" w:hAnsi="Times New Roman" w:eastAsia="宋体" w:cs="Times New Roman"/>
                      <w:color w:val="auto"/>
                      <w:sz w:val="18"/>
                      <w:szCs w:val="18"/>
                      <w:highlight w:val="none"/>
                      <w:lang w:val="en-US" w:eastAsia="zh-CN"/>
                    </w:rPr>
                    <w:t>废弃样本、废培养基</w:t>
                  </w:r>
                </w:p>
              </w:tc>
              <w:tc>
                <w:tcPr>
                  <w:tcW w:w="1058" w:type="dxa"/>
                  <w:tcBorders>
                    <w:top w:val="single" w:color="auto" w:sz="4" w:space="0"/>
                    <w:left w:val="single" w:color="auto" w:sz="4" w:space="0"/>
                    <w:bottom w:val="single" w:color="auto" w:sz="4" w:space="0"/>
                    <w:right w:val="single" w:color="auto" w:sz="4" w:space="0"/>
                  </w:tcBorders>
                  <w:tcMar>
                    <w:left w:w="57" w:type="dxa"/>
                    <w:right w:w="57" w:type="dxa"/>
                  </w:tcMar>
                  <w:vAlign w:val="center"/>
                </w:tcPr>
                <w:p w14:paraId="2652E5F0">
                  <w:pPr>
                    <w:keepNext w:val="0"/>
                    <w:keepLines w:val="0"/>
                    <w:pageBreakBefore w:val="0"/>
                    <w:suppressLineNumbers w:val="0"/>
                    <w:kinsoku/>
                    <w:wordWrap/>
                    <w:overflowPunct/>
                    <w:topLinePunct w:val="0"/>
                    <w:autoSpaceDE/>
                    <w:autoSpaceDN/>
                    <w:bidi w:val="0"/>
                    <w:adjustRightInd w:val="0"/>
                    <w:snapToGrid w:val="0"/>
                    <w:spacing w:before="0" w:beforeAutospacing="0" w:after="0" w:afterAutospacing="0" w:line="276" w:lineRule="auto"/>
                    <w:ind w:left="0" w:right="0"/>
                    <w:jc w:val="center"/>
                    <w:rPr>
                      <w:rFonts w:hint="default" w:ascii="Times New Roman" w:hAnsi="Times New Roman" w:eastAsia="宋体" w:cs="Times New Roman"/>
                      <w:sz w:val="18"/>
                      <w:szCs w:val="18"/>
                      <w:highlight w:val="none"/>
                      <w:lang w:val="en-US" w:eastAsia="zh-CN"/>
                    </w:rPr>
                  </w:pPr>
                  <w:r>
                    <w:rPr>
                      <w:rFonts w:hint="default" w:ascii="Times New Roman" w:hAnsi="Times New Roman" w:eastAsia="宋体" w:cs="Times New Roman"/>
                      <w:sz w:val="18"/>
                      <w:szCs w:val="18"/>
                      <w:highlight w:val="none"/>
                      <w:lang w:val="en-US" w:eastAsia="zh-CN"/>
                    </w:rPr>
                    <w:t>化学试</w:t>
                  </w:r>
                </w:p>
                <w:p w14:paraId="3DA1D1F4">
                  <w:pPr>
                    <w:keepNext w:val="0"/>
                    <w:keepLines w:val="0"/>
                    <w:pageBreakBefore w:val="0"/>
                    <w:suppressLineNumbers w:val="0"/>
                    <w:kinsoku/>
                    <w:wordWrap/>
                    <w:overflowPunct/>
                    <w:topLinePunct w:val="0"/>
                    <w:autoSpaceDE/>
                    <w:autoSpaceDN/>
                    <w:bidi w:val="0"/>
                    <w:adjustRightInd w:val="0"/>
                    <w:snapToGrid w:val="0"/>
                    <w:spacing w:before="0" w:beforeAutospacing="0" w:after="0" w:afterAutospacing="0" w:line="276" w:lineRule="auto"/>
                    <w:ind w:left="0" w:right="0"/>
                    <w:jc w:val="center"/>
                    <w:rPr>
                      <w:rFonts w:hint="default" w:ascii="Times New Roman" w:hAnsi="Times New Roman" w:eastAsia="宋体" w:cs="Times New Roman"/>
                      <w:sz w:val="18"/>
                      <w:szCs w:val="18"/>
                      <w:highlight w:val="none"/>
                      <w:lang w:val="en-US" w:eastAsia="zh-CN"/>
                    </w:rPr>
                  </w:pPr>
                  <w:r>
                    <w:rPr>
                      <w:rFonts w:hint="default" w:ascii="Times New Roman" w:hAnsi="Times New Roman" w:eastAsia="宋体" w:cs="Times New Roman"/>
                      <w:sz w:val="18"/>
                      <w:szCs w:val="18"/>
                      <w:highlight w:val="none"/>
                      <w:lang w:val="en-US" w:eastAsia="zh-CN"/>
                    </w:rPr>
                    <w:t>剂、有害</w:t>
                  </w:r>
                </w:p>
                <w:p w14:paraId="39DCA4A0">
                  <w:pPr>
                    <w:keepNext w:val="0"/>
                    <w:keepLines w:val="0"/>
                    <w:pageBreakBefore w:val="0"/>
                    <w:suppressLineNumbers w:val="0"/>
                    <w:kinsoku/>
                    <w:wordWrap/>
                    <w:overflowPunct/>
                    <w:topLinePunct w:val="0"/>
                    <w:autoSpaceDE/>
                    <w:autoSpaceDN/>
                    <w:bidi w:val="0"/>
                    <w:adjustRightInd w:val="0"/>
                    <w:snapToGrid w:val="0"/>
                    <w:spacing w:before="0" w:beforeAutospacing="0" w:after="0" w:afterAutospacing="0" w:line="276" w:lineRule="auto"/>
                    <w:ind w:left="0" w:right="0"/>
                    <w:jc w:val="center"/>
                    <w:rPr>
                      <w:rFonts w:hint="default" w:ascii="Times New Roman" w:hAnsi="Times New Roman" w:eastAsia="宋体" w:cs="Times New Roman"/>
                      <w:sz w:val="18"/>
                      <w:szCs w:val="18"/>
                      <w:highlight w:val="none"/>
                      <w:lang w:val="en-US" w:eastAsia="zh-CN"/>
                    </w:rPr>
                  </w:pPr>
                  <w:r>
                    <w:rPr>
                      <w:rFonts w:hint="default" w:ascii="Times New Roman" w:hAnsi="Times New Roman" w:eastAsia="宋体" w:cs="Times New Roman"/>
                      <w:sz w:val="18"/>
                      <w:szCs w:val="18"/>
                      <w:highlight w:val="none"/>
                      <w:lang w:val="en-US" w:eastAsia="zh-CN"/>
                    </w:rPr>
                    <w:t>微生物等</w:t>
                  </w:r>
                </w:p>
              </w:tc>
              <w:tc>
                <w:tcPr>
                  <w:tcW w:w="581" w:type="dxa"/>
                  <w:tcBorders>
                    <w:top w:val="single" w:color="auto" w:sz="4" w:space="0"/>
                    <w:left w:val="single" w:color="auto" w:sz="4" w:space="0"/>
                    <w:bottom w:val="single" w:color="auto" w:sz="4" w:space="0"/>
                    <w:right w:val="single" w:color="auto" w:sz="4" w:space="0"/>
                  </w:tcBorders>
                  <w:tcMar>
                    <w:left w:w="57" w:type="dxa"/>
                    <w:right w:w="57" w:type="dxa"/>
                  </w:tcMar>
                  <w:vAlign w:val="center"/>
                </w:tcPr>
                <w:p w14:paraId="148DC37F">
                  <w:pPr>
                    <w:keepNext w:val="0"/>
                    <w:keepLines w:val="0"/>
                    <w:pageBreakBefore w:val="0"/>
                    <w:suppressLineNumbers w:val="0"/>
                    <w:kinsoku/>
                    <w:wordWrap/>
                    <w:overflowPunct/>
                    <w:topLinePunct w:val="0"/>
                    <w:autoSpaceDE/>
                    <w:autoSpaceDN/>
                    <w:bidi w:val="0"/>
                    <w:adjustRightInd w:val="0"/>
                    <w:snapToGrid w:val="0"/>
                    <w:spacing w:before="0" w:beforeAutospacing="0" w:after="0" w:afterAutospacing="0" w:line="276" w:lineRule="auto"/>
                    <w:ind w:left="0" w:right="0"/>
                    <w:jc w:val="center"/>
                    <w:rPr>
                      <w:rFonts w:hint="eastAsia" w:ascii="Times New Roman" w:hAnsi="Times New Roman" w:eastAsia="宋体" w:cs="Times New Roman"/>
                      <w:sz w:val="18"/>
                      <w:szCs w:val="18"/>
                      <w:highlight w:val="none"/>
                      <w:lang w:val="en-US" w:eastAsia="zh-CN"/>
                    </w:rPr>
                  </w:pPr>
                  <w:r>
                    <w:rPr>
                      <w:rFonts w:hint="eastAsia" w:ascii="Times New Roman" w:hAnsi="Times New Roman" w:eastAsia="宋体" w:cs="Times New Roman"/>
                      <w:sz w:val="18"/>
                      <w:szCs w:val="18"/>
                      <w:highlight w:val="none"/>
                      <w:lang w:val="en-US" w:eastAsia="zh-CN"/>
                    </w:rPr>
                    <w:t>液态</w:t>
                  </w:r>
                </w:p>
              </w:tc>
              <w:tc>
                <w:tcPr>
                  <w:tcW w:w="1082" w:type="dxa"/>
                  <w:tcBorders>
                    <w:top w:val="single" w:color="auto" w:sz="4" w:space="0"/>
                    <w:left w:val="single" w:color="auto" w:sz="4" w:space="0"/>
                    <w:bottom w:val="single" w:color="auto" w:sz="4" w:space="0"/>
                    <w:right w:val="single" w:color="auto" w:sz="4" w:space="0"/>
                  </w:tcBorders>
                  <w:tcMar>
                    <w:left w:w="57" w:type="dxa"/>
                    <w:right w:w="57" w:type="dxa"/>
                  </w:tcMar>
                  <w:vAlign w:val="center"/>
                </w:tcPr>
                <w:p w14:paraId="7B9BD287">
                  <w:pPr>
                    <w:pStyle w:val="129"/>
                    <w:keepNext w:val="0"/>
                    <w:keepLines w:val="0"/>
                    <w:pageBreakBefore w:val="0"/>
                    <w:suppressLineNumbers w:val="0"/>
                    <w:kinsoku/>
                    <w:wordWrap/>
                    <w:overflowPunct/>
                    <w:topLinePunct w:val="0"/>
                    <w:autoSpaceDE/>
                    <w:autoSpaceDN/>
                    <w:bidi w:val="0"/>
                    <w:adjustRightInd w:val="0"/>
                    <w:snapToGrid w:val="0"/>
                    <w:spacing w:before="0" w:beforeAutospacing="0" w:after="0" w:afterAutospacing="0" w:line="276" w:lineRule="auto"/>
                    <w:ind w:left="0" w:right="0"/>
                    <w:rPr>
                      <w:rFonts w:hint="default" w:ascii="Times New Roman" w:hAnsi="Times New Roman" w:eastAsia="宋体" w:cs="Times New Roman"/>
                      <w:color w:val="auto"/>
                      <w:sz w:val="18"/>
                      <w:szCs w:val="18"/>
                      <w:highlight w:val="none"/>
                    </w:rPr>
                  </w:pPr>
                  <w:r>
                    <w:rPr>
                      <w:rFonts w:hint="eastAsia" w:ascii="Times New Roman" w:hAnsi="Times New Roman" w:eastAsia="宋体" w:cs="Times New Roman"/>
                      <w:color w:val="auto"/>
                      <w:sz w:val="18"/>
                      <w:szCs w:val="18"/>
                      <w:highlight w:val="none"/>
                      <w:lang w:val="en-US" w:eastAsia="zh-CN"/>
                    </w:rPr>
                    <w:t>危险废物，</w:t>
                  </w:r>
                  <w:r>
                    <w:rPr>
                      <w:rFonts w:hint="default" w:ascii="Times New Roman" w:hAnsi="Times New Roman" w:eastAsia="宋体" w:cs="Times New Roman"/>
                      <w:color w:val="auto"/>
                      <w:sz w:val="18"/>
                      <w:szCs w:val="18"/>
                      <w:highlight w:val="none"/>
                      <w:lang w:val="en-US" w:eastAsia="zh-CN"/>
                    </w:rPr>
                    <w:t>900-047-49</w:t>
                  </w:r>
                </w:p>
              </w:tc>
              <w:tc>
                <w:tcPr>
                  <w:tcW w:w="895" w:type="dxa"/>
                  <w:tcBorders>
                    <w:top w:val="single" w:color="auto" w:sz="4" w:space="0"/>
                    <w:left w:val="single" w:color="auto" w:sz="4" w:space="0"/>
                    <w:bottom w:val="single" w:color="auto" w:sz="4" w:space="0"/>
                    <w:right w:val="single" w:color="auto" w:sz="4" w:space="0"/>
                  </w:tcBorders>
                  <w:shd w:val="clear" w:color="auto" w:fill="auto"/>
                  <w:tcMar>
                    <w:left w:w="57" w:type="dxa"/>
                    <w:right w:w="57" w:type="dxa"/>
                  </w:tcMar>
                  <w:vAlign w:val="center"/>
                </w:tcPr>
                <w:p w14:paraId="4CB85753">
                  <w:pPr>
                    <w:keepNext w:val="0"/>
                    <w:keepLines w:val="0"/>
                    <w:pageBreakBefore w:val="0"/>
                    <w:suppressLineNumbers w:val="0"/>
                    <w:kinsoku/>
                    <w:wordWrap/>
                    <w:overflowPunct/>
                    <w:topLinePunct w:val="0"/>
                    <w:autoSpaceDE/>
                    <w:autoSpaceDN/>
                    <w:bidi w:val="0"/>
                    <w:adjustRightInd w:val="0"/>
                    <w:snapToGrid w:val="0"/>
                    <w:spacing w:before="0" w:beforeAutospacing="0" w:after="0" w:afterAutospacing="0" w:line="276" w:lineRule="auto"/>
                    <w:ind w:left="0" w:right="0"/>
                    <w:jc w:val="center"/>
                    <w:rPr>
                      <w:rFonts w:hint="default" w:ascii="Times New Roman" w:hAnsi="Times New Roman" w:eastAsia="宋体" w:cs="Times New Roman"/>
                      <w:sz w:val="18"/>
                      <w:szCs w:val="18"/>
                      <w:highlight w:val="none"/>
                      <w:lang w:val="en-US" w:eastAsia="zh-CN"/>
                    </w:rPr>
                  </w:pPr>
                  <w:r>
                    <w:rPr>
                      <w:rFonts w:hint="default" w:ascii="Times New Roman" w:hAnsi="Times New Roman" w:eastAsia="宋体" w:cs="Times New Roman"/>
                      <w:sz w:val="18"/>
                      <w:szCs w:val="18"/>
                      <w:highlight w:val="none"/>
                      <w:lang w:val="en-US" w:eastAsia="zh-CN"/>
                    </w:rPr>
                    <w:t>化学试</w:t>
                  </w:r>
                </w:p>
                <w:p w14:paraId="6E2738EE">
                  <w:pPr>
                    <w:keepNext w:val="0"/>
                    <w:keepLines w:val="0"/>
                    <w:pageBreakBefore w:val="0"/>
                    <w:suppressLineNumbers w:val="0"/>
                    <w:kinsoku/>
                    <w:wordWrap/>
                    <w:overflowPunct/>
                    <w:topLinePunct w:val="0"/>
                    <w:autoSpaceDE/>
                    <w:autoSpaceDN/>
                    <w:bidi w:val="0"/>
                    <w:adjustRightInd w:val="0"/>
                    <w:snapToGrid w:val="0"/>
                    <w:spacing w:before="0" w:beforeAutospacing="0" w:after="0" w:afterAutospacing="0" w:line="276" w:lineRule="auto"/>
                    <w:ind w:left="0" w:right="0"/>
                    <w:jc w:val="center"/>
                    <w:rPr>
                      <w:rFonts w:hint="default" w:ascii="Times New Roman" w:hAnsi="Times New Roman" w:eastAsia="宋体" w:cs="Times New Roman"/>
                      <w:sz w:val="18"/>
                      <w:szCs w:val="18"/>
                      <w:highlight w:val="none"/>
                      <w:lang w:val="en-US" w:eastAsia="zh-CN"/>
                    </w:rPr>
                  </w:pPr>
                  <w:r>
                    <w:rPr>
                      <w:rFonts w:hint="default" w:ascii="Times New Roman" w:hAnsi="Times New Roman" w:eastAsia="宋体" w:cs="Times New Roman"/>
                      <w:sz w:val="18"/>
                      <w:szCs w:val="18"/>
                      <w:highlight w:val="none"/>
                      <w:lang w:val="en-US" w:eastAsia="zh-CN"/>
                    </w:rPr>
                    <w:t>剂、有害</w:t>
                  </w:r>
                </w:p>
                <w:p w14:paraId="3510B01A">
                  <w:pPr>
                    <w:keepNext w:val="0"/>
                    <w:keepLines w:val="0"/>
                    <w:pageBreakBefore w:val="0"/>
                    <w:suppressLineNumbers w:val="0"/>
                    <w:kinsoku/>
                    <w:wordWrap/>
                    <w:overflowPunct/>
                    <w:topLinePunct w:val="0"/>
                    <w:autoSpaceDE/>
                    <w:autoSpaceDN/>
                    <w:bidi w:val="0"/>
                    <w:adjustRightInd w:val="0"/>
                    <w:snapToGrid w:val="0"/>
                    <w:spacing w:before="0" w:beforeAutospacing="0" w:after="0" w:afterAutospacing="0" w:line="276" w:lineRule="auto"/>
                    <w:ind w:left="0" w:right="0"/>
                    <w:jc w:val="center"/>
                    <w:rPr>
                      <w:rFonts w:hint="default" w:ascii="Times New Roman" w:hAnsi="Times New Roman" w:eastAsia="宋体" w:cs="Times New Roman"/>
                      <w:kern w:val="2"/>
                      <w:sz w:val="18"/>
                      <w:szCs w:val="18"/>
                      <w:highlight w:val="none"/>
                      <w:lang w:val="en-US" w:eastAsia="zh-CN" w:bidi="ar-SA"/>
                    </w:rPr>
                  </w:pPr>
                  <w:r>
                    <w:rPr>
                      <w:rFonts w:hint="default" w:ascii="Times New Roman" w:hAnsi="Times New Roman" w:eastAsia="宋体" w:cs="Times New Roman"/>
                      <w:sz w:val="18"/>
                      <w:szCs w:val="18"/>
                      <w:highlight w:val="none"/>
                      <w:lang w:val="en-US" w:eastAsia="zh-CN"/>
                    </w:rPr>
                    <w:t>微生物等</w:t>
                  </w:r>
                </w:p>
              </w:tc>
              <w:tc>
                <w:tcPr>
                  <w:tcW w:w="675" w:type="dxa"/>
                  <w:tcBorders>
                    <w:top w:val="single" w:color="auto" w:sz="4" w:space="0"/>
                    <w:left w:val="single" w:color="auto" w:sz="4" w:space="0"/>
                    <w:bottom w:val="single" w:color="auto" w:sz="4" w:space="0"/>
                    <w:right w:val="single" w:color="auto" w:sz="4" w:space="0"/>
                  </w:tcBorders>
                  <w:tcMar>
                    <w:left w:w="57" w:type="dxa"/>
                    <w:right w:w="57" w:type="dxa"/>
                  </w:tcMar>
                  <w:vAlign w:val="center"/>
                </w:tcPr>
                <w:p w14:paraId="57526567">
                  <w:pPr>
                    <w:keepNext w:val="0"/>
                    <w:keepLines w:val="0"/>
                    <w:pageBreakBefore w:val="0"/>
                    <w:suppressLineNumbers w:val="0"/>
                    <w:kinsoku/>
                    <w:wordWrap/>
                    <w:overflowPunct/>
                    <w:topLinePunct w:val="0"/>
                    <w:autoSpaceDE/>
                    <w:autoSpaceDN/>
                    <w:bidi w:val="0"/>
                    <w:adjustRightInd w:val="0"/>
                    <w:snapToGrid w:val="0"/>
                    <w:spacing w:before="0" w:beforeAutospacing="0" w:after="0" w:afterAutospacing="0" w:line="276" w:lineRule="auto"/>
                    <w:ind w:left="0" w:right="0"/>
                    <w:jc w:val="center"/>
                    <w:rPr>
                      <w:rFonts w:hint="default" w:ascii="Times New Roman" w:hAnsi="Times New Roman" w:eastAsia="宋体" w:cs="Times New Roman"/>
                      <w:sz w:val="18"/>
                      <w:szCs w:val="18"/>
                      <w:highlight w:val="none"/>
                    </w:rPr>
                  </w:pPr>
                  <w:r>
                    <w:rPr>
                      <w:rFonts w:hint="default" w:ascii="Times New Roman" w:hAnsi="Times New Roman" w:eastAsia="宋体" w:cs="Times New Roman"/>
                      <w:color w:val="auto"/>
                      <w:sz w:val="18"/>
                      <w:szCs w:val="18"/>
                      <w:highlight w:val="none"/>
                    </w:rPr>
                    <w:t>T/C/I/R</w:t>
                  </w:r>
                </w:p>
              </w:tc>
              <w:tc>
                <w:tcPr>
                  <w:tcW w:w="653" w:type="dxa"/>
                  <w:tcBorders>
                    <w:top w:val="single" w:color="auto" w:sz="4" w:space="0"/>
                    <w:left w:val="single" w:color="auto" w:sz="4" w:space="0"/>
                    <w:bottom w:val="single" w:color="auto" w:sz="4" w:space="0"/>
                    <w:right w:val="single" w:color="auto" w:sz="4" w:space="0"/>
                  </w:tcBorders>
                  <w:shd w:val="clear" w:color="auto" w:fill="auto"/>
                  <w:tcMar>
                    <w:left w:w="57" w:type="dxa"/>
                    <w:right w:w="57" w:type="dxa"/>
                  </w:tcMar>
                  <w:vAlign w:val="center"/>
                </w:tcPr>
                <w:p w14:paraId="14FC600E">
                  <w:pPr>
                    <w:keepNext w:val="0"/>
                    <w:keepLines w:val="0"/>
                    <w:pageBreakBefore w:val="0"/>
                    <w:suppressLineNumbers w:val="0"/>
                    <w:kinsoku/>
                    <w:wordWrap/>
                    <w:overflowPunct/>
                    <w:topLinePunct w:val="0"/>
                    <w:autoSpaceDE/>
                    <w:autoSpaceDN/>
                    <w:bidi w:val="0"/>
                    <w:adjustRightInd w:val="0"/>
                    <w:snapToGrid w:val="0"/>
                    <w:spacing w:before="0" w:beforeAutospacing="0" w:after="0" w:afterAutospacing="0" w:line="276" w:lineRule="auto"/>
                    <w:ind w:left="0" w:right="0"/>
                    <w:jc w:val="center"/>
                    <w:textAlignment w:val="auto"/>
                    <w:rPr>
                      <w:rFonts w:hint="eastAsia" w:ascii="Times New Roman" w:hAnsi="Times New Roman" w:eastAsia="宋体" w:cs="Times New Roman"/>
                      <w:kern w:val="2"/>
                      <w:sz w:val="18"/>
                      <w:szCs w:val="18"/>
                      <w:highlight w:val="none"/>
                      <w:lang w:val="en-US" w:eastAsia="zh-CN" w:bidi="ar-SA"/>
                    </w:rPr>
                  </w:pPr>
                  <w:r>
                    <w:rPr>
                      <w:rFonts w:hint="eastAsia" w:ascii="Times New Roman" w:hAnsi="Times New Roman" w:eastAsia="宋体" w:cs="Times New Roman"/>
                      <w:sz w:val="18"/>
                      <w:szCs w:val="18"/>
                      <w:highlight w:val="none"/>
                      <w:lang w:val="en-US" w:eastAsia="zh-CN"/>
                    </w:rPr>
                    <w:t>1</w:t>
                  </w:r>
                </w:p>
              </w:tc>
              <w:tc>
                <w:tcPr>
                  <w:tcW w:w="794" w:type="dxa"/>
                  <w:tcBorders>
                    <w:top w:val="single" w:color="auto" w:sz="4" w:space="0"/>
                    <w:left w:val="single" w:color="auto" w:sz="4" w:space="0"/>
                    <w:bottom w:val="single" w:color="auto" w:sz="4" w:space="0"/>
                    <w:right w:val="single" w:color="auto" w:sz="4" w:space="0"/>
                  </w:tcBorders>
                  <w:tcMar>
                    <w:left w:w="57" w:type="dxa"/>
                    <w:right w:w="57" w:type="dxa"/>
                  </w:tcMar>
                  <w:vAlign w:val="center"/>
                </w:tcPr>
                <w:p w14:paraId="02810471">
                  <w:pPr>
                    <w:keepNext w:val="0"/>
                    <w:keepLines w:val="0"/>
                    <w:pageBreakBefore w:val="0"/>
                    <w:suppressLineNumbers w:val="0"/>
                    <w:kinsoku/>
                    <w:wordWrap/>
                    <w:overflowPunct/>
                    <w:topLinePunct w:val="0"/>
                    <w:autoSpaceDE/>
                    <w:autoSpaceDN/>
                    <w:bidi w:val="0"/>
                    <w:adjustRightInd w:val="0"/>
                    <w:snapToGrid w:val="0"/>
                    <w:spacing w:before="0" w:beforeAutospacing="0" w:after="0" w:afterAutospacing="0" w:line="276" w:lineRule="auto"/>
                    <w:ind w:left="0" w:right="0"/>
                    <w:jc w:val="center"/>
                    <w:rPr>
                      <w:rFonts w:hint="default" w:ascii="Times New Roman" w:hAnsi="Times New Roman" w:eastAsia="宋体" w:cs="Times New Roman"/>
                      <w:sz w:val="18"/>
                      <w:szCs w:val="18"/>
                      <w:highlight w:val="none"/>
                    </w:rPr>
                  </w:pPr>
                  <w:r>
                    <w:rPr>
                      <w:rFonts w:hint="eastAsia" w:ascii="Times New Roman" w:hAnsi="Times New Roman" w:eastAsia="宋体" w:cs="Times New Roman"/>
                      <w:bCs/>
                      <w:color w:val="auto"/>
                      <w:sz w:val="18"/>
                      <w:szCs w:val="18"/>
                      <w:highlight w:val="none"/>
                      <w:lang w:val="zh-CN"/>
                    </w:rPr>
                    <w:t>密封桶</w:t>
                  </w:r>
                </w:p>
              </w:tc>
              <w:tc>
                <w:tcPr>
                  <w:tcW w:w="705" w:type="dxa"/>
                  <w:vMerge w:val="continue"/>
                  <w:tcBorders>
                    <w:left w:val="single" w:color="auto" w:sz="4" w:space="0"/>
                    <w:right w:val="single" w:color="auto" w:sz="4" w:space="0"/>
                  </w:tcBorders>
                  <w:tcMar>
                    <w:left w:w="57" w:type="dxa"/>
                    <w:right w:w="57" w:type="dxa"/>
                  </w:tcMar>
                  <w:vAlign w:val="center"/>
                </w:tcPr>
                <w:p w14:paraId="54649CA3">
                  <w:pPr>
                    <w:keepNext w:val="0"/>
                    <w:keepLines w:val="0"/>
                    <w:pageBreakBefore w:val="0"/>
                    <w:suppressLineNumbers w:val="0"/>
                    <w:kinsoku/>
                    <w:wordWrap/>
                    <w:overflowPunct/>
                    <w:topLinePunct w:val="0"/>
                    <w:autoSpaceDE/>
                    <w:autoSpaceDN/>
                    <w:bidi w:val="0"/>
                    <w:adjustRightInd w:val="0"/>
                    <w:snapToGrid w:val="0"/>
                    <w:spacing w:before="0" w:beforeAutospacing="0" w:after="0" w:afterAutospacing="0" w:line="276" w:lineRule="auto"/>
                    <w:ind w:left="0" w:right="0"/>
                    <w:jc w:val="center"/>
                    <w:rPr>
                      <w:rFonts w:hint="default" w:ascii="Times New Roman" w:hAnsi="Times New Roman" w:eastAsia="宋体" w:cs="Times New Roman"/>
                      <w:sz w:val="18"/>
                      <w:szCs w:val="18"/>
                      <w:highlight w:val="none"/>
                    </w:rPr>
                  </w:pPr>
                </w:p>
              </w:tc>
              <w:tc>
                <w:tcPr>
                  <w:tcW w:w="626" w:type="dxa"/>
                  <w:tcBorders>
                    <w:top w:val="single" w:color="auto" w:sz="4" w:space="0"/>
                    <w:left w:val="single" w:color="auto" w:sz="4" w:space="0"/>
                    <w:bottom w:val="single" w:color="auto" w:sz="4" w:space="0"/>
                    <w:right w:val="single" w:color="auto" w:sz="4" w:space="0"/>
                  </w:tcBorders>
                  <w:shd w:val="clear" w:color="auto" w:fill="auto"/>
                  <w:tcMar>
                    <w:left w:w="57" w:type="dxa"/>
                    <w:right w:w="57" w:type="dxa"/>
                  </w:tcMar>
                  <w:vAlign w:val="center"/>
                </w:tcPr>
                <w:p w14:paraId="28227ABB">
                  <w:pPr>
                    <w:keepNext w:val="0"/>
                    <w:keepLines w:val="0"/>
                    <w:pageBreakBefore w:val="0"/>
                    <w:suppressLineNumbers w:val="0"/>
                    <w:kinsoku/>
                    <w:wordWrap/>
                    <w:overflowPunct/>
                    <w:topLinePunct w:val="0"/>
                    <w:autoSpaceDE/>
                    <w:autoSpaceDN/>
                    <w:bidi w:val="0"/>
                    <w:adjustRightInd w:val="0"/>
                    <w:snapToGrid w:val="0"/>
                    <w:spacing w:before="0" w:beforeAutospacing="0" w:after="0" w:afterAutospacing="0" w:line="276" w:lineRule="auto"/>
                    <w:ind w:left="0" w:right="0"/>
                    <w:jc w:val="center"/>
                    <w:textAlignment w:val="auto"/>
                    <w:rPr>
                      <w:rFonts w:hint="eastAsia" w:ascii="Times New Roman" w:hAnsi="Times New Roman" w:eastAsia="宋体" w:cs="Times New Roman"/>
                      <w:kern w:val="2"/>
                      <w:sz w:val="18"/>
                      <w:szCs w:val="18"/>
                      <w:highlight w:val="none"/>
                      <w:lang w:val="en-US" w:eastAsia="zh-CN" w:bidi="ar-SA"/>
                    </w:rPr>
                  </w:pPr>
                  <w:r>
                    <w:rPr>
                      <w:rFonts w:hint="eastAsia" w:ascii="Times New Roman" w:hAnsi="Times New Roman" w:eastAsia="宋体" w:cs="Times New Roman"/>
                      <w:sz w:val="18"/>
                      <w:szCs w:val="18"/>
                      <w:highlight w:val="none"/>
                      <w:lang w:val="en-US" w:eastAsia="zh-CN"/>
                    </w:rPr>
                    <w:t>1</w:t>
                  </w:r>
                </w:p>
              </w:tc>
            </w:tr>
            <w:tr w14:paraId="57314CC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jc w:val="center"/>
              </w:trPr>
              <w:tc>
                <w:tcPr>
                  <w:tcW w:w="307" w:type="dxa"/>
                  <w:tcBorders>
                    <w:top w:val="single" w:color="auto" w:sz="4" w:space="0"/>
                    <w:left w:val="single" w:color="auto" w:sz="4" w:space="0"/>
                    <w:bottom w:val="single" w:color="auto" w:sz="4" w:space="0"/>
                    <w:right w:val="single" w:color="auto" w:sz="4" w:space="0"/>
                  </w:tcBorders>
                  <w:shd w:val="clear" w:color="auto" w:fill="auto"/>
                  <w:tcMar>
                    <w:left w:w="57" w:type="dxa"/>
                    <w:right w:w="57" w:type="dxa"/>
                  </w:tcMar>
                  <w:vAlign w:val="center"/>
                </w:tcPr>
                <w:p w14:paraId="1B9F8B2C">
                  <w:pPr>
                    <w:keepNext w:val="0"/>
                    <w:keepLines w:val="0"/>
                    <w:pageBreakBefore w:val="0"/>
                    <w:suppressLineNumbers w:val="0"/>
                    <w:kinsoku/>
                    <w:wordWrap/>
                    <w:overflowPunct/>
                    <w:topLinePunct w:val="0"/>
                    <w:autoSpaceDE/>
                    <w:autoSpaceDN/>
                    <w:bidi w:val="0"/>
                    <w:adjustRightInd w:val="0"/>
                    <w:snapToGrid w:val="0"/>
                    <w:spacing w:before="0" w:beforeAutospacing="0" w:after="0" w:afterAutospacing="0" w:line="276" w:lineRule="auto"/>
                    <w:ind w:left="0" w:leftChars="0" w:right="0" w:rightChars="0"/>
                    <w:jc w:val="center"/>
                    <w:rPr>
                      <w:rFonts w:hint="default" w:ascii="Times New Roman" w:hAnsi="Times New Roman" w:eastAsia="宋体" w:cs="Times New Roman"/>
                      <w:kern w:val="2"/>
                      <w:sz w:val="18"/>
                      <w:szCs w:val="18"/>
                      <w:highlight w:val="none"/>
                      <w:lang w:val="en-US" w:eastAsia="zh-CN" w:bidi="ar-SA"/>
                    </w:rPr>
                  </w:pPr>
                  <w:r>
                    <w:rPr>
                      <w:rFonts w:hint="eastAsia" w:ascii="Times New Roman" w:hAnsi="Times New Roman" w:eastAsia="宋体" w:cs="Times New Roman"/>
                      <w:sz w:val="18"/>
                      <w:szCs w:val="18"/>
                      <w:highlight w:val="none"/>
                      <w:lang w:val="en-US" w:eastAsia="zh-CN"/>
                    </w:rPr>
                    <w:t>20</w:t>
                  </w:r>
                </w:p>
              </w:tc>
              <w:tc>
                <w:tcPr>
                  <w:tcW w:w="878" w:type="dxa"/>
                  <w:tcBorders>
                    <w:top w:val="single" w:color="auto" w:sz="4" w:space="0"/>
                    <w:left w:val="single" w:color="auto" w:sz="4" w:space="0"/>
                    <w:bottom w:val="single" w:color="auto" w:sz="4" w:space="0"/>
                    <w:right w:val="single" w:color="auto" w:sz="4" w:space="0"/>
                  </w:tcBorders>
                  <w:shd w:val="clear" w:color="auto" w:fill="auto"/>
                  <w:tcMar>
                    <w:left w:w="57" w:type="dxa"/>
                    <w:right w:w="57" w:type="dxa"/>
                  </w:tcMar>
                  <w:vAlign w:val="center"/>
                </w:tcPr>
                <w:p w14:paraId="590AAD79">
                  <w:pPr>
                    <w:pStyle w:val="129"/>
                    <w:keepNext w:val="0"/>
                    <w:keepLines w:val="0"/>
                    <w:pageBreakBefore w:val="0"/>
                    <w:suppressLineNumbers w:val="0"/>
                    <w:kinsoku/>
                    <w:wordWrap/>
                    <w:overflowPunct/>
                    <w:topLinePunct w:val="0"/>
                    <w:autoSpaceDE/>
                    <w:autoSpaceDN/>
                    <w:bidi w:val="0"/>
                    <w:adjustRightInd w:val="0"/>
                    <w:snapToGrid w:val="0"/>
                    <w:spacing w:before="0" w:beforeAutospacing="0" w:after="0" w:afterAutospacing="0" w:line="276" w:lineRule="auto"/>
                    <w:ind w:left="0" w:right="0"/>
                    <w:rPr>
                      <w:rFonts w:hint="eastAsia" w:ascii="Times New Roman" w:hAnsi="Times New Roman" w:eastAsia="宋体" w:cs="Times New Roman"/>
                      <w:color w:val="auto"/>
                      <w:kern w:val="0"/>
                      <w:sz w:val="18"/>
                      <w:szCs w:val="18"/>
                      <w:highlight w:val="none"/>
                      <w:lang w:val="en-US" w:eastAsia="zh-CN" w:bidi="ar-SA"/>
                    </w:rPr>
                  </w:pPr>
                  <w:r>
                    <w:rPr>
                      <w:rFonts w:hint="eastAsia" w:ascii="Times New Roman" w:hAnsi="Times New Roman" w:eastAsia="宋体" w:cs="Times New Roman"/>
                      <w:color w:val="auto"/>
                      <w:sz w:val="18"/>
                      <w:szCs w:val="18"/>
                      <w:highlight w:val="none"/>
                    </w:rPr>
                    <w:t>生物柜废</w:t>
                  </w:r>
                  <w:r>
                    <w:rPr>
                      <w:rFonts w:hint="default" w:ascii="Times New Roman" w:hAnsi="Times New Roman" w:eastAsia="宋体" w:cs="Times New Roman"/>
                      <w:color w:val="auto"/>
                      <w:sz w:val="18"/>
                      <w:szCs w:val="18"/>
                      <w:highlight w:val="none"/>
                    </w:rPr>
                    <w:t>过滤器</w:t>
                  </w:r>
                </w:p>
              </w:tc>
              <w:tc>
                <w:tcPr>
                  <w:tcW w:w="1058" w:type="dxa"/>
                  <w:tcBorders>
                    <w:top w:val="single" w:color="auto" w:sz="4" w:space="0"/>
                    <w:left w:val="single" w:color="auto" w:sz="4" w:space="0"/>
                    <w:bottom w:val="single" w:color="auto" w:sz="4" w:space="0"/>
                    <w:right w:val="single" w:color="auto" w:sz="4" w:space="0"/>
                  </w:tcBorders>
                  <w:shd w:val="clear" w:color="auto" w:fill="auto"/>
                  <w:tcMar>
                    <w:left w:w="57" w:type="dxa"/>
                    <w:right w:w="57" w:type="dxa"/>
                  </w:tcMar>
                  <w:vAlign w:val="center"/>
                </w:tcPr>
                <w:p w14:paraId="15E629B4">
                  <w:pPr>
                    <w:pStyle w:val="129"/>
                    <w:keepNext w:val="0"/>
                    <w:keepLines w:val="0"/>
                    <w:pageBreakBefore w:val="0"/>
                    <w:suppressLineNumbers w:val="0"/>
                    <w:kinsoku/>
                    <w:wordWrap/>
                    <w:overflowPunct/>
                    <w:topLinePunct w:val="0"/>
                    <w:autoSpaceDE/>
                    <w:autoSpaceDN/>
                    <w:bidi w:val="0"/>
                    <w:adjustRightInd w:val="0"/>
                    <w:snapToGrid w:val="0"/>
                    <w:spacing w:before="0" w:beforeAutospacing="0" w:after="0" w:afterAutospacing="0" w:line="276" w:lineRule="auto"/>
                    <w:ind w:left="0" w:right="0"/>
                    <w:rPr>
                      <w:rFonts w:hint="default" w:ascii="Times New Roman" w:hAnsi="Times New Roman" w:eastAsia="宋体" w:cs="Times New Roman"/>
                      <w:color w:val="auto"/>
                      <w:kern w:val="0"/>
                      <w:sz w:val="18"/>
                      <w:szCs w:val="18"/>
                      <w:highlight w:val="none"/>
                      <w:lang w:val="en-US" w:eastAsia="zh-CN" w:bidi="ar-SA"/>
                    </w:rPr>
                  </w:pPr>
                  <w:r>
                    <w:rPr>
                      <w:rFonts w:hint="eastAsia" w:ascii="Times New Roman" w:hAnsi="Times New Roman" w:eastAsia="宋体" w:cs="Times New Roman"/>
                      <w:color w:val="auto"/>
                      <w:sz w:val="18"/>
                      <w:szCs w:val="18"/>
                      <w:highlight w:val="none"/>
                    </w:rPr>
                    <w:t>炭、</w:t>
                  </w:r>
                  <w:r>
                    <w:rPr>
                      <w:rFonts w:hint="default" w:ascii="Times New Roman" w:hAnsi="Times New Roman" w:eastAsia="宋体" w:cs="Times New Roman"/>
                      <w:color w:val="auto"/>
                      <w:sz w:val="18"/>
                      <w:szCs w:val="18"/>
                      <w:highlight w:val="none"/>
                    </w:rPr>
                    <w:t>吸附杂质</w:t>
                  </w:r>
                </w:p>
              </w:tc>
              <w:tc>
                <w:tcPr>
                  <w:tcW w:w="581" w:type="dxa"/>
                  <w:tcBorders>
                    <w:top w:val="single" w:color="auto" w:sz="4" w:space="0"/>
                    <w:left w:val="single" w:color="auto" w:sz="4" w:space="0"/>
                    <w:bottom w:val="single" w:color="auto" w:sz="4" w:space="0"/>
                    <w:right w:val="single" w:color="auto" w:sz="4" w:space="0"/>
                  </w:tcBorders>
                  <w:shd w:val="clear" w:color="auto" w:fill="auto"/>
                  <w:tcMar>
                    <w:left w:w="57" w:type="dxa"/>
                    <w:right w:w="57" w:type="dxa"/>
                  </w:tcMar>
                  <w:vAlign w:val="center"/>
                </w:tcPr>
                <w:p w14:paraId="68CC0E4A">
                  <w:pPr>
                    <w:pStyle w:val="129"/>
                    <w:keepNext w:val="0"/>
                    <w:keepLines w:val="0"/>
                    <w:pageBreakBefore w:val="0"/>
                    <w:suppressLineNumbers w:val="0"/>
                    <w:kinsoku/>
                    <w:wordWrap/>
                    <w:overflowPunct/>
                    <w:topLinePunct w:val="0"/>
                    <w:autoSpaceDE/>
                    <w:autoSpaceDN/>
                    <w:bidi w:val="0"/>
                    <w:adjustRightInd w:val="0"/>
                    <w:snapToGrid w:val="0"/>
                    <w:spacing w:before="0" w:beforeAutospacing="0" w:after="0" w:afterAutospacing="0" w:line="276" w:lineRule="auto"/>
                    <w:ind w:left="0" w:right="0"/>
                    <w:rPr>
                      <w:rFonts w:hint="default" w:ascii="Times New Roman" w:hAnsi="Times New Roman" w:eastAsia="宋体" w:cs="Times New Roman"/>
                      <w:color w:val="auto"/>
                      <w:kern w:val="0"/>
                      <w:sz w:val="18"/>
                      <w:szCs w:val="18"/>
                      <w:highlight w:val="none"/>
                      <w:lang w:val="en-US" w:eastAsia="zh-CN" w:bidi="ar-SA"/>
                    </w:rPr>
                  </w:pPr>
                  <w:r>
                    <w:rPr>
                      <w:rFonts w:hint="eastAsia" w:ascii="Times New Roman" w:hAnsi="Times New Roman" w:eastAsia="宋体" w:cs="Times New Roman"/>
                      <w:color w:val="auto"/>
                      <w:sz w:val="18"/>
                      <w:szCs w:val="18"/>
                      <w:highlight w:val="none"/>
                    </w:rPr>
                    <w:t>固体</w:t>
                  </w:r>
                </w:p>
              </w:tc>
              <w:tc>
                <w:tcPr>
                  <w:tcW w:w="1082" w:type="dxa"/>
                  <w:tcBorders>
                    <w:top w:val="single" w:color="auto" w:sz="4" w:space="0"/>
                    <w:left w:val="single" w:color="auto" w:sz="4" w:space="0"/>
                    <w:bottom w:val="single" w:color="auto" w:sz="4" w:space="0"/>
                    <w:right w:val="single" w:color="auto" w:sz="4" w:space="0"/>
                  </w:tcBorders>
                  <w:shd w:val="clear" w:color="auto" w:fill="auto"/>
                  <w:tcMar>
                    <w:left w:w="57" w:type="dxa"/>
                    <w:right w:w="57" w:type="dxa"/>
                  </w:tcMar>
                  <w:vAlign w:val="center"/>
                </w:tcPr>
                <w:p w14:paraId="75E903D0">
                  <w:pPr>
                    <w:pStyle w:val="129"/>
                    <w:keepNext w:val="0"/>
                    <w:keepLines w:val="0"/>
                    <w:pageBreakBefore w:val="0"/>
                    <w:suppressLineNumbers w:val="0"/>
                    <w:kinsoku/>
                    <w:wordWrap/>
                    <w:overflowPunct/>
                    <w:topLinePunct w:val="0"/>
                    <w:autoSpaceDE/>
                    <w:autoSpaceDN/>
                    <w:bidi w:val="0"/>
                    <w:adjustRightInd w:val="0"/>
                    <w:snapToGrid w:val="0"/>
                    <w:spacing w:before="0" w:beforeAutospacing="0" w:after="0" w:afterAutospacing="0" w:line="276" w:lineRule="auto"/>
                    <w:ind w:left="0" w:right="0"/>
                    <w:rPr>
                      <w:rFonts w:hint="default" w:ascii="Times New Roman" w:hAnsi="Times New Roman" w:eastAsia="宋体" w:cs="Times New Roman"/>
                      <w:color w:val="auto"/>
                      <w:kern w:val="0"/>
                      <w:sz w:val="18"/>
                      <w:szCs w:val="18"/>
                      <w:highlight w:val="none"/>
                      <w:lang w:val="en-US" w:eastAsia="zh-CN" w:bidi="ar-SA"/>
                    </w:rPr>
                  </w:pPr>
                  <w:r>
                    <w:rPr>
                      <w:rFonts w:hint="eastAsia" w:ascii="Times New Roman" w:hAnsi="Times New Roman" w:eastAsia="宋体" w:cs="Times New Roman"/>
                      <w:color w:val="auto"/>
                      <w:sz w:val="18"/>
                      <w:szCs w:val="18"/>
                      <w:highlight w:val="none"/>
                      <w:lang w:val="en-US" w:eastAsia="zh-CN"/>
                    </w:rPr>
                    <w:t>危险废物，</w:t>
                  </w:r>
                  <w:r>
                    <w:rPr>
                      <w:rFonts w:hint="default" w:ascii="Times New Roman" w:hAnsi="Times New Roman" w:eastAsia="宋体" w:cs="Times New Roman"/>
                      <w:color w:val="auto"/>
                      <w:sz w:val="18"/>
                      <w:szCs w:val="18"/>
                      <w:highlight w:val="none"/>
                    </w:rPr>
                    <w:t>900-041-49</w:t>
                  </w:r>
                </w:p>
              </w:tc>
              <w:tc>
                <w:tcPr>
                  <w:tcW w:w="895" w:type="dxa"/>
                  <w:tcBorders>
                    <w:top w:val="single" w:color="auto" w:sz="4" w:space="0"/>
                    <w:left w:val="single" w:color="auto" w:sz="4" w:space="0"/>
                    <w:bottom w:val="single" w:color="auto" w:sz="4" w:space="0"/>
                    <w:right w:val="single" w:color="auto" w:sz="4" w:space="0"/>
                  </w:tcBorders>
                  <w:shd w:val="clear" w:color="auto" w:fill="auto"/>
                  <w:tcMar>
                    <w:left w:w="57" w:type="dxa"/>
                    <w:right w:w="57" w:type="dxa"/>
                  </w:tcMar>
                  <w:vAlign w:val="center"/>
                </w:tcPr>
                <w:p w14:paraId="4D66E342">
                  <w:pPr>
                    <w:pStyle w:val="129"/>
                    <w:keepNext w:val="0"/>
                    <w:keepLines w:val="0"/>
                    <w:pageBreakBefore w:val="0"/>
                    <w:suppressLineNumbers w:val="0"/>
                    <w:kinsoku/>
                    <w:wordWrap/>
                    <w:overflowPunct/>
                    <w:topLinePunct w:val="0"/>
                    <w:autoSpaceDE/>
                    <w:autoSpaceDN/>
                    <w:bidi w:val="0"/>
                    <w:adjustRightInd w:val="0"/>
                    <w:snapToGrid w:val="0"/>
                    <w:spacing w:before="0" w:beforeAutospacing="0" w:after="0" w:afterAutospacing="0" w:line="276" w:lineRule="auto"/>
                    <w:ind w:left="0" w:right="0"/>
                    <w:rPr>
                      <w:rFonts w:hint="default" w:ascii="Times New Roman" w:hAnsi="Times New Roman" w:eastAsia="宋体" w:cs="Times New Roman"/>
                      <w:color w:val="auto"/>
                      <w:kern w:val="0"/>
                      <w:sz w:val="18"/>
                      <w:szCs w:val="18"/>
                      <w:highlight w:val="none"/>
                      <w:lang w:val="en-US" w:eastAsia="zh-CN" w:bidi="ar-SA"/>
                    </w:rPr>
                  </w:pPr>
                  <w:r>
                    <w:rPr>
                      <w:rFonts w:hint="eastAsia" w:ascii="Times New Roman" w:hAnsi="Times New Roman" w:eastAsia="宋体" w:cs="Times New Roman"/>
                      <w:color w:val="auto"/>
                      <w:sz w:val="18"/>
                      <w:szCs w:val="18"/>
                      <w:highlight w:val="none"/>
                    </w:rPr>
                    <w:t>炭、</w:t>
                  </w:r>
                  <w:r>
                    <w:rPr>
                      <w:rFonts w:hint="default" w:ascii="Times New Roman" w:hAnsi="Times New Roman" w:eastAsia="宋体" w:cs="Times New Roman"/>
                      <w:color w:val="auto"/>
                      <w:sz w:val="18"/>
                      <w:szCs w:val="18"/>
                      <w:highlight w:val="none"/>
                    </w:rPr>
                    <w:t>吸附杂质</w:t>
                  </w:r>
                </w:p>
              </w:tc>
              <w:tc>
                <w:tcPr>
                  <w:tcW w:w="675" w:type="dxa"/>
                  <w:tcBorders>
                    <w:top w:val="single" w:color="auto" w:sz="4" w:space="0"/>
                    <w:left w:val="single" w:color="auto" w:sz="4" w:space="0"/>
                    <w:bottom w:val="single" w:color="auto" w:sz="4" w:space="0"/>
                    <w:right w:val="single" w:color="auto" w:sz="4" w:space="0"/>
                  </w:tcBorders>
                  <w:shd w:val="clear" w:color="auto" w:fill="auto"/>
                  <w:tcMar>
                    <w:left w:w="57" w:type="dxa"/>
                    <w:right w:w="57" w:type="dxa"/>
                  </w:tcMar>
                  <w:vAlign w:val="center"/>
                </w:tcPr>
                <w:p w14:paraId="01E6AEE3">
                  <w:pPr>
                    <w:pStyle w:val="129"/>
                    <w:keepNext w:val="0"/>
                    <w:keepLines w:val="0"/>
                    <w:pageBreakBefore w:val="0"/>
                    <w:suppressLineNumbers w:val="0"/>
                    <w:kinsoku/>
                    <w:wordWrap/>
                    <w:overflowPunct/>
                    <w:topLinePunct w:val="0"/>
                    <w:autoSpaceDE/>
                    <w:autoSpaceDN/>
                    <w:bidi w:val="0"/>
                    <w:adjustRightInd w:val="0"/>
                    <w:snapToGrid w:val="0"/>
                    <w:spacing w:before="0" w:beforeAutospacing="0" w:after="0" w:afterAutospacing="0" w:line="276" w:lineRule="auto"/>
                    <w:ind w:left="0" w:right="0"/>
                    <w:rPr>
                      <w:rFonts w:hint="default" w:ascii="Times New Roman" w:hAnsi="Times New Roman" w:eastAsia="宋体" w:cs="Times New Roman"/>
                      <w:color w:val="auto"/>
                      <w:kern w:val="0"/>
                      <w:sz w:val="18"/>
                      <w:szCs w:val="18"/>
                      <w:highlight w:val="none"/>
                      <w:lang w:val="en-US" w:eastAsia="zh-CN" w:bidi="ar-SA"/>
                    </w:rPr>
                  </w:pPr>
                  <w:r>
                    <w:rPr>
                      <w:rFonts w:hint="eastAsia" w:ascii="Times New Roman" w:hAnsi="Times New Roman" w:eastAsia="宋体" w:cs="Times New Roman"/>
                      <w:color w:val="auto"/>
                      <w:sz w:val="18"/>
                      <w:szCs w:val="18"/>
                      <w:highlight w:val="none"/>
                    </w:rPr>
                    <w:t>T</w:t>
                  </w:r>
                  <w:r>
                    <w:rPr>
                      <w:rFonts w:hint="default" w:ascii="Times New Roman" w:hAnsi="Times New Roman" w:eastAsia="宋体" w:cs="Times New Roman"/>
                      <w:color w:val="auto"/>
                      <w:sz w:val="18"/>
                      <w:szCs w:val="18"/>
                      <w:highlight w:val="none"/>
                    </w:rPr>
                    <w:t>/In</w:t>
                  </w:r>
                </w:p>
              </w:tc>
              <w:tc>
                <w:tcPr>
                  <w:tcW w:w="653" w:type="dxa"/>
                  <w:tcBorders>
                    <w:top w:val="single" w:color="auto" w:sz="4" w:space="0"/>
                    <w:left w:val="single" w:color="auto" w:sz="4" w:space="0"/>
                    <w:bottom w:val="single" w:color="auto" w:sz="4" w:space="0"/>
                    <w:right w:val="single" w:color="auto" w:sz="4" w:space="0"/>
                  </w:tcBorders>
                  <w:shd w:val="clear" w:color="auto" w:fill="auto"/>
                  <w:tcMar>
                    <w:left w:w="57" w:type="dxa"/>
                    <w:right w:w="57" w:type="dxa"/>
                  </w:tcMar>
                  <w:vAlign w:val="center"/>
                </w:tcPr>
                <w:p w14:paraId="02F1C4DF">
                  <w:pPr>
                    <w:keepNext w:val="0"/>
                    <w:keepLines w:val="0"/>
                    <w:pageBreakBefore w:val="0"/>
                    <w:suppressLineNumbers w:val="0"/>
                    <w:kinsoku/>
                    <w:wordWrap/>
                    <w:overflowPunct/>
                    <w:topLinePunct w:val="0"/>
                    <w:autoSpaceDE/>
                    <w:autoSpaceDN/>
                    <w:bidi w:val="0"/>
                    <w:adjustRightInd w:val="0"/>
                    <w:snapToGrid w:val="0"/>
                    <w:spacing w:before="0" w:beforeAutospacing="0" w:after="0" w:afterAutospacing="0" w:line="276" w:lineRule="auto"/>
                    <w:ind w:left="0" w:right="0"/>
                    <w:jc w:val="center"/>
                    <w:textAlignment w:val="auto"/>
                    <w:rPr>
                      <w:rFonts w:hint="eastAsia" w:ascii="Times New Roman" w:hAnsi="Times New Roman" w:eastAsia="宋体" w:cs="Times New Roman"/>
                      <w:kern w:val="2"/>
                      <w:sz w:val="18"/>
                      <w:szCs w:val="18"/>
                      <w:highlight w:val="none"/>
                      <w:lang w:val="en-US" w:eastAsia="zh-CN" w:bidi="ar-SA"/>
                    </w:rPr>
                  </w:pPr>
                  <w:r>
                    <w:rPr>
                      <w:rFonts w:hint="eastAsia" w:ascii="Times New Roman" w:hAnsi="Times New Roman" w:eastAsia="宋体" w:cs="Times New Roman"/>
                      <w:sz w:val="18"/>
                      <w:szCs w:val="18"/>
                      <w:highlight w:val="none"/>
                      <w:lang w:val="en-US" w:eastAsia="zh-CN"/>
                    </w:rPr>
                    <w:t>1</w:t>
                  </w:r>
                </w:p>
              </w:tc>
              <w:tc>
                <w:tcPr>
                  <w:tcW w:w="794" w:type="dxa"/>
                  <w:tcBorders>
                    <w:top w:val="single" w:color="auto" w:sz="4" w:space="0"/>
                    <w:left w:val="single" w:color="auto" w:sz="4" w:space="0"/>
                    <w:bottom w:val="single" w:color="auto" w:sz="4" w:space="0"/>
                    <w:right w:val="single" w:color="auto" w:sz="4" w:space="0"/>
                  </w:tcBorders>
                  <w:shd w:val="clear" w:color="auto" w:fill="auto"/>
                  <w:tcMar>
                    <w:left w:w="57" w:type="dxa"/>
                    <w:right w:w="57" w:type="dxa"/>
                  </w:tcMar>
                  <w:vAlign w:val="center"/>
                </w:tcPr>
                <w:p w14:paraId="2BE37CCE">
                  <w:pPr>
                    <w:pStyle w:val="129"/>
                    <w:keepNext w:val="0"/>
                    <w:keepLines w:val="0"/>
                    <w:pageBreakBefore w:val="0"/>
                    <w:suppressLineNumbers w:val="0"/>
                    <w:kinsoku/>
                    <w:wordWrap/>
                    <w:overflowPunct/>
                    <w:topLinePunct w:val="0"/>
                    <w:autoSpaceDE/>
                    <w:autoSpaceDN/>
                    <w:bidi w:val="0"/>
                    <w:adjustRightInd w:val="0"/>
                    <w:snapToGrid w:val="0"/>
                    <w:spacing w:before="0" w:beforeAutospacing="0" w:after="0" w:afterAutospacing="0" w:line="276" w:lineRule="auto"/>
                    <w:ind w:left="0" w:right="0"/>
                    <w:rPr>
                      <w:rFonts w:hint="default" w:ascii="Times New Roman" w:hAnsi="Times New Roman" w:eastAsia="宋体" w:cs="Times New Roman"/>
                      <w:bCs/>
                      <w:color w:val="auto"/>
                      <w:kern w:val="0"/>
                      <w:sz w:val="18"/>
                      <w:szCs w:val="18"/>
                      <w:highlight w:val="none"/>
                      <w:lang w:val="zh-CN" w:eastAsia="zh-CN" w:bidi="ar-SA"/>
                    </w:rPr>
                  </w:pPr>
                  <w:r>
                    <w:rPr>
                      <w:rFonts w:hint="eastAsia" w:ascii="Times New Roman" w:hAnsi="Times New Roman" w:eastAsia="宋体" w:cs="Times New Roman"/>
                      <w:bCs/>
                      <w:color w:val="auto"/>
                      <w:sz w:val="18"/>
                      <w:szCs w:val="18"/>
                      <w:highlight w:val="none"/>
                      <w:lang w:val="zh-CN"/>
                    </w:rPr>
                    <w:t>密封袋</w:t>
                  </w:r>
                </w:p>
              </w:tc>
              <w:tc>
                <w:tcPr>
                  <w:tcW w:w="705" w:type="dxa"/>
                  <w:vMerge w:val="continue"/>
                  <w:tcBorders>
                    <w:left w:val="single" w:color="auto" w:sz="4" w:space="0"/>
                    <w:right w:val="single" w:color="auto" w:sz="4" w:space="0"/>
                  </w:tcBorders>
                  <w:tcMar>
                    <w:left w:w="57" w:type="dxa"/>
                    <w:right w:w="57" w:type="dxa"/>
                  </w:tcMar>
                  <w:vAlign w:val="center"/>
                </w:tcPr>
                <w:p w14:paraId="3E367F5B">
                  <w:pPr>
                    <w:keepNext w:val="0"/>
                    <w:keepLines w:val="0"/>
                    <w:pageBreakBefore w:val="0"/>
                    <w:suppressLineNumbers w:val="0"/>
                    <w:kinsoku/>
                    <w:wordWrap/>
                    <w:overflowPunct/>
                    <w:topLinePunct w:val="0"/>
                    <w:autoSpaceDE/>
                    <w:autoSpaceDN/>
                    <w:bidi w:val="0"/>
                    <w:adjustRightInd w:val="0"/>
                    <w:snapToGrid w:val="0"/>
                    <w:spacing w:before="0" w:beforeAutospacing="0" w:after="0" w:afterAutospacing="0" w:line="276" w:lineRule="auto"/>
                    <w:ind w:left="0" w:right="0"/>
                    <w:jc w:val="center"/>
                    <w:rPr>
                      <w:rFonts w:hint="default" w:ascii="Times New Roman" w:hAnsi="Times New Roman" w:eastAsia="宋体" w:cs="Times New Roman"/>
                      <w:sz w:val="18"/>
                      <w:szCs w:val="18"/>
                      <w:highlight w:val="none"/>
                    </w:rPr>
                  </w:pPr>
                </w:p>
              </w:tc>
              <w:tc>
                <w:tcPr>
                  <w:tcW w:w="626" w:type="dxa"/>
                  <w:tcBorders>
                    <w:top w:val="single" w:color="auto" w:sz="4" w:space="0"/>
                    <w:left w:val="single" w:color="auto" w:sz="4" w:space="0"/>
                    <w:bottom w:val="single" w:color="auto" w:sz="4" w:space="0"/>
                    <w:right w:val="single" w:color="auto" w:sz="4" w:space="0"/>
                  </w:tcBorders>
                  <w:shd w:val="clear" w:color="auto" w:fill="auto"/>
                  <w:tcMar>
                    <w:left w:w="57" w:type="dxa"/>
                    <w:right w:w="57" w:type="dxa"/>
                  </w:tcMar>
                  <w:vAlign w:val="center"/>
                </w:tcPr>
                <w:p w14:paraId="5F68F255">
                  <w:pPr>
                    <w:keepNext w:val="0"/>
                    <w:keepLines w:val="0"/>
                    <w:pageBreakBefore w:val="0"/>
                    <w:suppressLineNumbers w:val="0"/>
                    <w:kinsoku/>
                    <w:wordWrap/>
                    <w:overflowPunct/>
                    <w:topLinePunct w:val="0"/>
                    <w:autoSpaceDE/>
                    <w:autoSpaceDN/>
                    <w:bidi w:val="0"/>
                    <w:adjustRightInd w:val="0"/>
                    <w:snapToGrid w:val="0"/>
                    <w:spacing w:before="0" w:beforeAutospacing="0" w:after="0" w:afterAutospacing="0" w:line="276" w:lineRule="auto"/>
                    <w:ind w:left="0" w:right="0"/>
                    <w:jc w:val="center"/>
                    <w:textAlignment w:val="auto"/>
                    <w:rPr>
                      <w:rFonts w:hint="eastAsia" w:ascii="Times New Roman" w:hAnsi="Times New Roman" w:eastAsia="宋体" w:cs="Times New Roman"/>
                      <w:kern w:val="2"/>
                      <w:sz w:val="18"/>
                      <w:szCs w:val="18"/>
                      <w:highlight w:val="none"/>
                      <w:lang w:val="en-US" w:eastAsia="zh-CN" w:bidi="ar-SA"/>
                    </w:rPr>
                  </w:pPr>
                  <w:r>
                    <w:rPr>
                      <w:rFonts w:hint="eastAsia" w:ascii="Times New Roman" w:hAnsi="Times New Roman" w:eastAsia="宋体" w:cs="Times New Roman"/>
                      <w:sz w:val="18"/>
                      <w:szCs w:val="18"/>
                      <w:highlight w:val="none"/>
                      <w:lang w:val="en-US" w:eastAsia="zh-CN"/>
                    </w:rPr>
                    <w:t>1</w:t>
                  </w:r>
                </w:p>
              </w:tc>
            </w:tr>
            <w:tr w14:paraId="32C7F67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jc w:val="center"/>
              </w:trPr>
              <w:tc>
                <w:tcPr>
                  <w:tcW w:w="307" w:type="dxa"/>
                  <w:tcBorders>
                    <w:top w:val="single" w:color="auto" w:sz="4" w:space="0"/>
                    <w:left w:val="single" w:color="auto" w:sz="4" w:space="0"/>
                    <w:bottom w:val="single" w:color="auto" w:sz="4" w:space="0"/>
                    <w:right w:val="single" w:color="auto" w:sz="4" w:space="0"/>
                  </w:tcBorders>
                  <w:shd w:val="clear" w:color="auto" w:fill="auto"/>
                  <w:tcMar>
                    <w:left w:w="57" w:type="dxa"/>
                    <w:right w:w="57" w:type="dxa"/>
                  </w:tcMar>
                  <w:vAlign w:val="center"/>
                </w:tcPr>
                <w:p w14:paraId="11929904">
                  <w:pPr>
                    <w:keepNext w:val="0"/>
                    <w:keepLines w:val="0"/>
                    <w:pageBreakBefore w:val="0"/>
                    <w:suppressLineNumbers w:val="0"/>
                    <w:kinsoku/>
                    <w:wordWrap/>
                    <w:overflowPunct/>
                    <w:topLinePunct w:val="0"/>
                    <w:autoSpaceDE/>
                    <w:autoSpaceDN/>
                    <w:bidi w:val="0"/>
                    <w:adjustRightInd w:val="0"/>
                    <w:snapToGrid w:val="0"/>
                    <w:spacing w:before="0" w:beforeAutospacing="0" w:after="0" w:afterAutospacing="0" w:line="276" w:lineRule="auto"/>
                    <w:ind w:left="0" w:leftChars="0" w:right="0" w:rightChars="0"/>
                    <w:jc w:val="center"/>
                    <w:rPr>
                      <w:rFonts w:hint="default" w:ascii="Times New Roman" w:hAnsi="Times New Roman" w:eastAsia="宋体" w:cs="Times New Roman"/>
                      <w:kern w:val="2"/>
                      <w:sz w:val="18"/>
                      <w:szCs w:val="18"/>
                      <w:highlight w:val="none"/>
                      <w:lang w:val="en-US" w:eastAsia="zh-CN" w:bidi="ar-SA"/>
                    </w:rPr>
                  </w:pPr>
                  <w:r>
                    <w:rPr>
                      <w:rFonts w:hint="eastAsia" w:ascii="Times New Roman" w:hAnsi="Times New Roman" w:eastAsia="宋体" w:cs="Times New Roman"/>
                      <w:sz w:val="18"/>
                      <w:szCs w:val="18"/>
                      <w:highlight w:val="none"/>
                      <w:lang w:val="en-US" w:eastAsia="zh-CN"/>
                    </w:rPr>
                    <w:t>21</w:t>
                  </w:r>
                </w:p>
              </w:tc>
              <w:tc>
                <w:tcPr>
                  <w:tcW w:w="878" w:type="dxa"/>
                  <w:tcBorders>
                    <w:top w:val="single" w:color="auto" w:sz="4" w:space="0"/>
                    <w:left w:val="single" w:color="auto" w:sz="4" w:space="0"/>
                    <w:bottom w:val="single" w:color="auto" w:sz="4" w:space="0"/>
                    <w:right w:val="single" w:color="auto" w:sz="4" w:space="0"/>
                  </w:tcBorders>
                  <w:shd w:val="clear" w:color="auto" w:fill="auto"/>
                  <w:tcMar>
                    <w:left w:w="57" w:type="dxa"/>
                    <w:right w:w="57" w:type="dxa"/>
                  </w:tcMar>
                  <w:vAlign w:val="center"/>
                </w:tcPr>
                <w:p w14:paraId="743B7CD3">
                  <w:pPr>
                    <w:pStyle w:val="129"/>
                    <w:keepNext w:val="0"/>
                    <w:keepLines w:val="0"/>
                    <w:pageBreakBefore w:val="0"/>
                    <w:suppressLineNumbers w:val="0"/>
                    <w:kinsoku/>
                    <w:wordWrap/>
                    <w:overflowPunct/>
                    <w:topLinePunct w:val="0"/>
                    <w:autoSpaceDE/>
                    <w:autoSpaceDN/>
                    <w:bidi w:val="0"/>
                    <w:adjustRightInd w:val="0"/>
                    <w:snapToGrid w:val="0"/>
                    <w:spacing w:before="0" w:beforeAutospacing="0" w:after="0" w:afterAutospacing="0" w:line="276" w:lineRule="auto"/>
                    <w:ind w:left="0" w:right="0"/>
                    <w:rPr>
                      <w:rFonts w:hint="eastAsia" w:ascii="Times New Roman" w:hAnsi="Times New Roman" w:eastAsia="宋体" w:cs="Times New Roman"/>
                      <w:color w:val="auto"/>
                      <w:kern w:val="0"/>
                      <w:sz w:val="18"/>
                      <w:szCs w:val="18"/>
                      <w:highlight w:val="none"/>
                      <w:lang w:val="en-US" w:eastAsia="zh-CN" w:bidi="ar-SA"/>
                    </w:rPr>
                  </w:pPr>
                  <w:r>
                    <w:rPr>
                      <w:rFonts w:hint="default" w:ascii="Times New Roman" w:hAnsi="Times New Roman" w:eastAsia="宋体" w:cs="Times New Roman"/>
                      <w:color w:val="auto"/>
                      <w:sz w:val="18"/>
                      <w:szCs w:val="18"/>
                      <w:highlight w:val="none"/>
                    </w:rPr>
                    <w:t>废活性炭</w:t>
                  </w:r>
                </w:p>
              </w:tc>
              <w:tc>
                <w:tcPr>
                  <w:tcW w:w="1058" w:type="dxa"/>
                  <w:tcBorders>
                    <w:top w:val="single" w:color="auto" w:sz="4" w:space="0"/>
                    <w:left w:val="single" w:color="auto" w:sz="4" w:space="0"/>
                    <w:bottom w:val="single" w:color="auto" w:sz="4" w:space="0"/>
                    <w:right w:val="single" w:color="auto" w:sz="4" w:space="0"/>
                  </w:tcBorders>
                  <w:shd w:val="clear" w:color="auto" w:fill="auto"/>
                  <w:tcMar>
                    <w:left w:w="57" w:type="dxa"/>
                    <w:right w:w="57" w:type="dxa"/>
                  </w:tcMar>
                  <w:vAlign w:val="center"/>
                </w:tcPr>
                <w:p w14:paraId="0647CAEE">
                  <w:pPr>
                    <w:pStyle w:val="129"/>
                    <w:keepNext w:val="0"/>
                    <w:keepLines w:val="0"/>
                    <w:pageBreakBefore w:val="0"/>
                    <w:suppressLineNumbers w:val="0"/>
                    <w:kinsoku/>
                    <w:wordWrap/>
                    <w:overflowPunct/>
                    <w:topLinePunct w:val="0"/>
                    <w:autoSpaceDE/>
                    <w:autoSpaceDN/>
                    <w:bidi w:val="0"/>
                    <w:adjustRightInd w:val="0"/>
                    <w:snapToGrid w:val="0"/>
                    <w:spacing w:before="0" w:beforeAutospacing="0" w:after="0" w:afterAutospacing="0" w:line="276" w:lineRule="auto"/>
                    <w:ind w:left="0" w:right="0"/>
                    <w:rPr>
                      <w:rFonts w:hint="default" w:ascii="Times New Roman" w:hAnsi="Times New Roman" w:eastAsia="宋体" w:cs="Times New Roman"/>
                      <w:color w:val="auto"/>
                      <w:kern w:val="0"/>
                      <w:sz w:val="18"/>
                      <w:szCs w:val="18"/>
                      <w:highlight w:val="none"/>
                      <w:lang w:val="en-US" w:eastAsia="zh-CN" w:bidi="ar-SA"/>
                    </w:rPr>
                  </w:pPr>
                  <w:r>
                    <w:rPr>
                      <w:rFonts w:hint="default" w:ascii="Times New Roman" w:hAnsi="Times New Roman" w:eastAsia="宋体" w:cs="Times New Roman"/>
                      <w:color w:val="auto"/>
                      <w:sz w:val="18"/>
                      <w:szCs w:val="18"/>
                      <w:highlight w:val="none"/>
                    </w:rPr>
                    <w:t>活性炭</w:t>
                  </w:r>
                  <w:r>
                    <w:rPr>
                      <w:rFonts w:hint="eastAsia" w:ascii="Times New Roman" w:hAnsi="Times New Roman" w:eastAsia="宋体" w:cs="Times New Roman"/>
                      <w:color w:val="auto"/>
                      <w:sz w:val="18"/>
                      <w:szCs w:val="18"/>
                      <w:highlight w:val="none"/>
                      <w:lang w:eastAsia="zh-CN"/>
                    </w:rPr>
                    <w:t>、</w:t>
                  </w:r>
                  <w:r>
                    <w:rPr>
                      <w:rFonts w:hint="eastAsia" w:ascii="Times New Roman" w:hAnsi="Times New Roman" w:eastAsia="宋体" w:cs="Times New Roman"/>
                      <w:color w:val="auto"/>
                      <w:sz w:val="18"/>
                      <w:szCs w:val="18"/>
                      <w:highlight w:val="none"/>
                      <w:lang w:val="en-US" w:eastAsia="zh-CN"/>
                    </w:rPr>
                    <w:t>有机物</w:t>
                  </w:r>
                </w:p>
              </w:tc>
              <w:tc>
                <w:tcPr>
                  <w:tcW w:w="581" w:type="dxa"/>
                  <w:tcBorders>
                    <w:top w:val="single" w:color="auto" w:sz="4" w:space="0"/>
                    <w:left w:val="single" w:color="auto" w:sz="4" w:space="0"/>
                    <w:bottom w:val="single" w:color="auto" w:sz="4" w:space="0"/>
                    <w:right w:val="single" w:color="auto" w:sz="4" w:space="0"/>
                  </w:tcBorders>
                  <w:shd w:val="clear" w:color="auto" w:fill="auto"/>
                  <w:tcMar>
                    <w:left w:w="57" w:type="dxa"/>
                    <w:right w:w="57" w:type="dxa"/>
                  </w:tcMar>
                  <w:vAlign w:val="center"/>
                </w:tcPr>
                <w:p w14:paraId="14F01ABF">
                  <w:pPr>
                    <w:pStyle w:val="129"/>
                    <w:keepNext w:val="0"/>
                    <w:keepLines w:val="0"/>
                    <w:pageBreakBefore w:val="0"/>
                    <w:suppressLineNumbers w:val="0"/>
                    <w:kinsoku/>
                    <w:wordWrap/>
                    <w:overflowPunct/>
                    <w:topLinePunct w:val="0"/>
                    <w:autoSpaceDE/>
                    <w:autoSpaceDN/>
                    <w:bidi w:val="0"/>
                    <w:adjustRightInd w:val="0"/>
                    <w:snapToGrid w:val="0"/>
                    <w:spacing w:before="0" w:beforeAutospacing="0" w:after="0" w:afterAutospacing="0" w:line="276" w:lineRule="auto"/>
                    <w:ind w:left="0" w:right="0"/>
                    <w:rPr>
                      <w:rFonts w:hint="default" w:ascii="Times New Roman" w:hAnsi="Times New Roman" w:eastAsia="宋体" w:cs="Times New Roman"/>
                      <w:color w:val="auto"/>
                      <w:kern w:val="0"/>
                      <w:sz w:val="18"/>
                      <w:szCs w:val="18"/>
                      <w:highlight w:val="none"/>
                      <w:lang w:val="en-US" w:eastAsia="zh-CN" w:bidi="ar-SA"/>
                    </w:rPr>
                  </w:pPr>
                  <w:r>
                    <w:rPr>
                      <w:rFonts w:hint="default" w:ascii="Times New Roman" w:hAnsi="Times New Roman" w:eastAsia="宋体" w:cs="Times New Roman"/>
                      <w:color w:val="auto"/>
                      <w:sz w:val="18"/>
                      <w:szCs w:val="18"/>
                      <w:highlight w:val="none"/>
                    </w:rPr>
                    <w:t>固体</w:t>
                  </w:r>
                </w:p>
              </w:tc>
              <w:tc>
                <w:tcPr>
                  <w:tcW w:w="1082" w:type="dxa"/>
                  <w:tcBorders>
                    <w:top w:val="single" w:color="auto" w:sz="4" w:space="0"/>
                    <w:left w:val="single" w:color="auto" w:sz="4" w:space="0"/>
                    <w:bottom w:val="single" w:color="auto" w:sz="4" w:space="0"/>
                    <w:right w:val="single" w:color="auto" w:sz="4" w:space="0"/>
                  </w:tcBorders>
                  <w:shd w:val="clear" w:color="auto" w:fill="auto"/>
                  <w:tcMar>
                    <w:left w:w="57" w:type="dxa"/>
                    <w:right w:w="57" w:type="dxa"/>
                  </w:tcMar>
                  <w:vAlign w:val="center"/>
                </w:tcPr>
                <w:p w14:paraId="5A2B94D9">
                  <w:pPr>
                    <w:pStyle w:val="129"/>
                    <w:keepNext w:val="0"/>
                    <w:keepLines w:val="0"/>
                    <w:pageBreakBefore w:val="0"/>
                    <w:suppressLineNumbers w:val="0"/>
                    <w:kinsoku/>
                    <w:wordWrap/>
                    <w:overflowPunct/>
                    <w:topLinePunct w:val="0"/>
                    <w:autoSpaceDE/>
                    <w:autoSpaceDN/>
                    <w:bidi w:val="0"/>
                    <w:adjustRightInd w:val="0"/>
                    <w:snapToGrid w:val="0"/>
                    <w:spacing w:before="0" w:beforeAutospacing="0" w:after="0" w:afterAutospacing="0" w:line="276" w:lineRule="auto"/>
                    <w:ind w:left="0" w:right="0"/>
                    <w:rPr>
                      <w:rFonts w:hint="default" w:ascii="Times New Roman" w:hAnsi="Times New Roman" w:eastAsia="宋体" w:cs="Times New Roman"/>
                      <w:color w:val="auto"/>
                      <w:kern w:val="0"/>
                      <w:sz w:val="18"/>
                      <w:szCs w:val="18"/>
                      <w:highlight w:val="none"/>
                      <w:lang w:val="en-US" w:eastAsia="zh-CN" w:bidi="ar-SA"/>
                    </w:rPr>
                  </w:pPr>
                  <w:r>
                    <w:rPr>
                      <w:rFonts w:hint="eastAsia" w:ascii="Times New Roman" w:hAnsi="Times New Roman" w:eastAsia="宋体" w:cs="Times New Roman"/>
                      <w:color w:val="auto"/>
                      <w:sz w:val="18"/>
                      <w:szCs w:val="18"/>
                      <w:highlight w:val="none"/>
                      <w:lang w:val="en-US" w:eastAsia="zh-CN"/>
                    </w:rPr>
                    <w:t>危险废物，</w:t>
                  </w:r>
                  <w:r>
                    <w:rPr>
                      <w:rFonts w:hint="default" w:ascii="Times New Roman" w:hAnsi="Times New Roman" w:eastAsia="宋体" w:cs="Times New Roman"/>
                      <w:color w:val="auto"/>
                      <w:sz w:val="18"/>
                      <w:szCs w:val="18"/>
                      <w:highlight w:val="none"/>
                    </w:rPr>
                    <w:t>900-039-49</w:t>
                  </w:r>
                </w:p>
              </w:tc>
              <w:tc>
                <w:tcPr>
                  <w:tcW w:w="895" w:type="dxa"/>
                  <w:tcBorders>
                    <w:top w:val="single" w:color="auto" w:sz="4" w:space="0"/>
                    <w:left w:val="single" w:color="auto" w:sz="4" w:space="0"/>
                    <w:bottom w:val="single" w:color="auto" w:sz="4" w:space="0"/>
                    <w:right w:val="single" w:color="auto" w:sz="4" w:space="0"/>
                  </w:tcBorders>
                  <w:shd w:val="clear" w:color="auto" w:fill="auto"/>
                  <w:tcMar>
                    <w:left w:w="57" w:type="dxa"/>
                    <w:right w:w="57" w:type="dxa"/>
                  </w:tcMar>
                  <w:vAlign w:val="center"/>
                </w:tcPr>
                <w:p w14:paraId="26C3E203">
                  <w:pPr>
                    <w:pStyle w:val="129"/>
                    <w:keepNext w:val="0"/>
                    <w:keepLines w:val="0"/>
                    <w:pageBreakBefore w:val="0"/>
                    <w:suppressLineNumbers w:val="0"/>
                    <w:kinsoku/>
                    <w:wordWrap/>
                    <w:overflowPunct/>
                    <w:topLinePunct w:val="0"/>
                    <w:autoSpaceDE/>
                    <w:autoSpaceDN/>
                    <w:bidi w:val="0"/>
                    <w:adjustRightInd w:val="0"/>
                    <w:snapToGrid w:val="0"/>
                    <w:spacing w:before="0" w:beforeAutospacing="0" w:after="0" w:afterAutospacing="0" w:line="276" w:lineRule="auto"/>
                    <w:ind w:left="0" w:right="0"/>
                    <w:rPr>
                      <w:rFonts w:hint="default" w:ascii="Times New Roman" w:hAnsi="Times New Roman" w:eastAsia="宋体" w:cs="Times New Roman"/>
                      <w:color w:val="auto"/>
                      <w:kern w:val="0"/>
                      <w:sz w:val="18"/>
                      <w:szCs w:val="18"/>
                      <w:highlight w:val="none"/>
                      <w:lang w:val="en-US" w:eastAsia="zh-CN" w:bidi="ar-SA"/>
                    </w:rPr>
                  </w:pPr>
                  <w:r>
                    <w:rPr>
                      <w:rFonts w:hint="eastAsia" w:ascii="Times New Roman" w:hAnsi="Times New Roman" w:eastAsia="宋体" w:cs="Times New Roman"/>
                      <w:color w:val="auto"/>
                      <w:sz w:val="18"/>
                      <w:szCs w:val="18"/>
                      <w:highlight w:val="none"/>
                      <w:lang w:val="en-US" w:eastAsia="zh-CN"/>
                    </w:rPr>
                    <w:t>有机物</w:t>
                  </w:r>
                </w:p>
              </w:tc>
              <w:tc>
                <w:tcPr>
                  <w:tcW w:w="675" w:type="dxa"/>
                  <w:tcBorders>
                    <w:top w:val="single" w:color="auto" w:sz="4" w:space="0"/>
                    <w:left w:val="single" w:color="auto" w:sz="4" w:space="0"/>
                    <w:bottom w:val="single" w:color="auto" w:sz="4" w:space="0"/>
                    <w:right w:val="single" w:color="auto" w:sz="4" w:space="0"/>
                  </w:tcBorders>
                  <w:shd w:val="clear" w:color="auto" w:fill="auto"/>
                  <w:tcMar>
                    <w:left w:w="57" w:type="dxa"/>
                    <w:right w:w="57" w:type="dxa"/>
                  </w:tcMar>
                  <w:vAlign w:val="center"/>
                </w:tcPr>
                <w:p w14:paraId="448F8DDA">
                  <w:pPr>
                    <w:pStyle w:val="129"/>
                    <w:keepNext w:val="0"/>
                    <w:keepLines w:val="0"/>
                    <w:pageBreakBefore w:val="0"/>
                    <w:suppressLineNumbers w:val="0"/>
                    <w:kinsoku/>
                    <w:wordWrap/>
                    <w:overflowPunct/>
                    <w:topLinePunct w:val="0"/>
                    <w:autoSpaceDE/>
                    <w:autoSpaceDN/>
                    <w:bidi w:val="0"/>
                    <w:adjustRightInd w:val="0"/>
                    <w:snapToGrid w:val="0"/>
                    <w:spacing w:before="0" w:beforeAutospacing="0" w:after="0" w:afterAutospacing="0" w:line="276" w:lineRule="auto"/>
                    <w:ind w:left="0" w:right="0"/>
                    <w:rPr>
                      <w:rFonts w:hint="default" w:ascii="Times New Roman" w:hAnsi="Times New Roman" w:eastAsia="宋体" w:cs="Times New Roman"/>
                      <w:color w:val="auto"/>
                      <w:kern w:val="0"/>
                      <w:sz w:val="18"/>
                      <w:szCs w:val="18"/>
                      <w:highlight w:val="none"/>
                      <w:lang w:val="en-US" w:eastAsia="zh-CN" w:bidi="ar-SA"/>
                    </w:rPr>
                  </w:pPr>
                  <w:r>
                    <w:rPr>
                      <w:rFonts w:hint="default" w:ascii="Times New Roman" w:hAnsi="Times New Roman" w:eastAsia="宋体" w:cs="Times New Roman"/>
                      <w:color w:val="auto"/>
                      <w:sz w:val="18"/>
                      <w:szCs w:val="18"/>
                      <w:highlight w:val="none"/>
                    </w:rPr>
                    <w:t>T</w:t>
                  </w:r>
                </w:p>
              </w:tc>
              <w:tc>
                <w:tcPr>
                  <w:tcW w:w="653" w:type="dxa"/>
                  <w:tcBorders>
                    <w:top w:val="single" w:color="auto" w:sz="4" w:space="0"/>
                    <w:left w:val="single" w:color="auto" w:sz="4" w:space="0"/>
                    <w:bottom w:val="single" w:color="auto" w:sz="4" w:space="0"/>
                    <w:right w:val="single" w:color="auto" w:sz="4" w:space="0"/>
                  </w:tcBorders>
                  <w:shd w:val="clear" w:color="auto" w:fill="auto"/>
                  <w:tcMar>
                    <w:left w:w="57" w:type="dxa"/>
                    <w:right w:w="57" w:type="dxa"/>
                  </w:tcMar>
                  <w:vAlign w:val="center"/>
                </w:tcPr>
                <w:p w14:paraId="0715E54A">
                  <w:pPr>
                    <w:keepNext w:val="0"/>
                    <w:keepLines w:val="0"/>
                    <w:pageBreakBefore w:val="0"/>
                    <w:suppressLineNumbers w:val="0"/>
                    <w:kinsoku/>
                    <w:wordWrap/>
                    <w:overflowPunct/>
                    <w:topLinePunct w:val="0"/>
                    <w:autoSpaceDE/>
                    <w:autoSpaceDN/>
                    <w:bidi w:val="0"/>
                    <w:adjustRightInd w:val="0"/>
                    <w:snapToGrid w:val="0"/>
                    <w:spacing w:before="0" w:beforeAutospacing="0" w:after="0" w:afterAutospacing="0" w:line="276" w:lineRule="auto"/>
                    <w:ind w:left="0" w:right="0"/>
                    <w:jc w:val="center"/>
                    <w:textAlignment w:val="auto"/>
                    <w:rPr>
                      <w:rFonts w:hint="default" w:ascii="Times New Roman" w:hAnsi="Times New Roman" w:eastAsia="宋体" w:cs="Times New Roman"/>
                      <w:kern w:val="2"/>
                      <w:sz w:val="18"/>
                      <w:szCs w:val="18"/>
                      <w:highlight w:val="none"/>
                      <w:lang w:val="en-US" w:eastAsia="zh-CN" w:bidi="ar-SA"/>
                    </w:rPr>
                  </w:pPr>
                  <w:r>
                    <w:rPr>
                      <w:rFonts w:hint="eastAsia" w:cs="Times New Roman"/>
                      <w:kern w:val="2"/>
                      <w:sz w:val="18"/>
                      <w:szCs w:val="18"/>
                      <w:highlight w:val="none"/>
                      <w:lang w:val="en-US" w:eastAsia="zh-CN" w:bidi="ar-SA"/>
                    </w:rPr>
                    <w:t>46</w:t>
                  </w:r>
                </w:p>
              </w:tc>
              <w:tc>
                <w:tcPr>
                  <w:tcW w:w="794" w:type="dxa"/>
                  <w:tcBorders>
                    <w:top w:val="single" w:color="auto" w:sz="4" w:space="0"/>
                    <w:left w:val="single" w:color="auto" w:sz="4" w:space="0"/>
                    <w:bottom w:val="single" w:color="auto" w:sz="4" w:space="0"/>
                    <w:right w:val="single" w:color="auto" w:sz="4" w:space="0"/>
                  </w:tcBorders>
                  <w:shd w:val="clear" w:color="auto" w:fill="auto"/>
                  <w:tcMar>
                    <w:left w:w="57" w:type="dxa"/>
                    <w:right w:w="57" w:type="dxa"/>
                  </w:tcMar>
                  <w:vAlign w:val="center"/>
                </w:tcPr>
                <w:p w14:paraId="06CEA955">
                  <w:pPr>
                    <w:pStyle w:val="129"/>
                    <w:keepNext w:val="0"/>
                    <w:keepLines w:val="0"/>
                    <w:pageBreakBefore w:val="0"/>
                    <w:suppressLineNumbers w:val="0"/>
                    <w:kinsoku/>
                    <w:wordWrap/>
                    <w:overflowPunct/>
                    <w:topLinePunct w:val="0"/>
                    <w:autoSpaceDE/>
                    <w:autoSpaceDN/>
                    <w:bidi w:val="0"/>
                    <w:adjustRightInd w:val="0"/>
                    <w:snapToGrid w:val="0"/>
                    <w:spacing w:before="0" w:beforeAutospacing="0" w:after="0" w:afterAutospacing="0" w:line="276" w:lineRule="auto"/>
                    <w:ind w:left="0" w:right="0"/>
                    <w:rPr>
                      <w:rFonts w:hint="default" w:ascii="Times New Roman" w:hAnsi="Times New Roman" w:eastAsia="宋体" w:cs="Times New Roman"/>
                      <w:bCs/>
                      <w:color w:val="auto"/>
                      <w:kern w:val="0"/>
                      <w:sz w:val="18"/>
                      <w:szCs w:val="18"/>
                      <w:highlight w:val="none"/>
                      <w:lang w:val="zh-CN" w:eastAsia="zh-CN" w:bidi="ar-SA"/>
                    </w:rPr>
                  </w:pPr>
                  <w:r>
                    <w:rPr>
                      <w:rFonts w:hint="eastAsia" w:ascii="Times New Roman" w:hAnsi="Times New Roman" w:eastAsia="宋体" w:cs="Times New Roman"/>
                      <w:bCs/>
                      <w:color w:val="auto"/>
                      <w:sz w:val="18"/>
                      <w:szCs w:val="18"/>
                      <w:highlight w:val="none"/>
                      <w:lang w:val="zh-CN"/>
                    </w:rPr>
                    <w:t>密封袋</w:t>
                  </w:r>
                </w:p>
              </w:tc>
              <w:tc>
                <w:tcPr>
                  <w:tcW w:w="705" w:type="dxa"/>
                  <w:vMerge w:val="continue"/>
                  <w:tcBorders>
                    <w:left w:val="single" w:color="auto" w:sz="4" w:space="0"/>
                    <w:right w:val="single" w:color="auto" w:sz="4" w:space="0"/>
                  </w:tcBorders>
                  <w:tcMar>
                    <w:left w:w="57" w:type="dxa"/>
                    <w:right w:w="57" w:type="dxa"/>
                  </w:tcMar>
                  <w:vAlign w:val="center"/>
                </w:tcPr>
                <w:p w14:paraId="13800B23">
                  <w:pPr>
                    <w:keepNext w:val="0"/>
                    <w:keepLines w:val="0"/>
                    <w:pageBreakBefore w:val="0"/>
                    <w:suppressLineNumbers w:val="0"/>
                    <w:kinsoku/>
                    <w:wordWrap/>
                    <w:overflowPunct/>
                    <w:topLinePunct w:val="0"/>
                    <w:autoSpaceDE/>
                    <w:autoSpaceDN/>
                    <w:bidi w:val="0"/>
                    <w:adjustRightInd w:val="0"/>
                    <w:snapToGrid w:val="0"/>
                    <w:spacing w:before="0" w:beforeAutospacing="0" w:after="0" w:afterAutospacing="0" w:line="276" w:lineRule="auto"/>
                    <w:ind w:left="0" w:right="0"/>
                    <w:jc w:val="center"/>
                    <w:rPr>
                      <w:rFonts w:hint="default" w:ascii="Times New Roman" w:hAnsi="Times New Roman" w:eastAsia="宋体" w:cs="Times New Roman"/>
                      <w:sz w:val="18"/>
                      <w:szCs w:val="18"/>
                      <w:highlight w:val="none"/>
                    </w:rPr>
                  </w:pPr>
                </w:p>
              </w:tc>
              <w:tc>
                <w:tcPr>
                  <w:tcW w:w="626" w:type="dxa"/>
                  <w:tcBorders>
                    <w:top w:val="single" w:color="auto" w:sz="4" w:space="0"/>
                    <w:left w:val="single" w:color="auto" w:sz="4" w:space="0"/>
                    <w:bottom w:val="single" w:color="auto" w:sz="4" w:space="0"/>
                    <w:right w:val="single" w:color="auto" w:sz="4" w:space="0"/>
                  </w:tcBorders>
                  <w:shd w:val="clear" w:color="auto" w:fill="auto"/>
                  <w:tcMar>
                    <w:left w:w="57" w:type="dxa"/>
                    <w:right w:w="57" w:type="dxa"/>
                  </w:tcMar>
                  <w:vAlign w:val="center"/>
                </w:tcPr>
                <w:p w14:paraId="6BAA8F37">
                  <w:pPr>
                    <w:keepNext w:val="0"/>
                    <w:keepLines w:val="0"/>
                    <w:pageBreakBefore w:val="0"/>
                    <w:suppressLineNumbers w:val="0"/>
                    <w:kinsoku/>
                    <w:wordWrap/>
                    <w:overflowPunct/>
                    <w:topLinePunct w:val="0"/>
                    <w:autoSpaceDE/>
                    <w:autoSpaceDN/>
                    <w:bidi w:val="0"/>
                    <w:adjustRightInd w:val="0"/>
                    <w:snapToGrid w:val="0"/>
                    <w:spacing w:before="0" w:beforeAutospacing="0" w:after="0" w:afterAutospacing="0" w:line="276" w:lineRule="auto"/>
                    <w:ind w:left="0" w:right="0"/>
                    <w:jc w:val="center"/>
                    <w:textAlignment w:val="auto"/>
                    <w:rPr>
                      <w:rFonts w:hint="default" w:ascii="Times New Roman" w:hAnsi="Times New Roman" w:eastAsia="宋体" w:cs="Times New Roman"/>
                      <w:kern w:val="2"/>
                      <w:sz w:val="18"/>
                      <w:szCs w:val="18"/>
                      <w:highlight w:val="none"/>
                      <w:lang w:val="en-US" w:eastAsia="zh-CN" w:bidi="ar-SA"/>
                    </w:rPr>
                  </w:pPr>
                  <w:r>
                    <w:rPr>
                      <w:rFonts w:hint="eastAsia" w:cs="Times New Roman"/>
                      <w:kern w:val="2"/>
                      <w:sz w:val="18"/>
                      <w:szCs w:val="18"/>
                      <w:highlight w:val="none"/>
                      <w:lang w:val="en-US" w:eastAsia="zh-CN" w:bidi="ar-SA"/>
                    </w:rPr>
                    <w:t>46</w:t>
                  </w:r>
                </w:p>
              </w:tc>
            </w:tr>
            <w:tr w14:paraId="32855E6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jc w:val="center"/>
              </w:trPr>
              <w:tc>
                <w:tcPr>
                  <w:tcW w:w="307" w:type="dxa"/>
                  <w:tcBorders>
                    <w:top w:val="single" w:color="auto" w:sz="4" w:space="0"/>
                    <w:left w:val="single" w:color="auto" w:sz="4" w:space="0"/>
                    <w:bottom w:val="single" w:color="auto" w:sz="4" w:space="0"/>
                    <w:right w:val="single" w:color="auto" w:sz="4" w:space="0"/>
                  </w:tcBorders>
                  <w:shd w:val="clear" w:color="auto" w:fill="auto"/>
                  <w:tcMar>
                    <w:left w:w="57" w:type="dxa"/>
                    <w:right w:w="57" w:type="dxa"/>
                  </w:tcMar>
                  <w:vAlign w:val="center"/>
                </w:tcPr>
                <w:p w14:paraId="5138F0B2">
                  <w:pPr>
                    <w:keepNext w:val="0"/>
                    <w:keepLines w:val="0"/>
                    <w:pageBreakBefore w:val="0"/>
                    <w:suppressLineNumbers w:val="0"/>
                    <w:kinsoku/>
                    <w:wordWrap/>
                    <w:overflowPunct/>
                    <w:topLinePunct w:val="0"/>
                    <w:autoSpaceDE/>
                    <w:autoSpaceDN/>
                    <w:bidi w:val="0"/>
                    <w:adjustRightInd w:val="0"/>
                    <w:snapToGrid w:val="0"/>
                    <w:spacing w:before="0" w:beforeAutospacing="0" w:after="0" w:afterAutospacing="0" w:line="276" w:lineRule="auto"/>
                    <w:ind w:left="0" w:leftChars="0" w:right="0" w:rightChars="0"/>
                    <w:jc w:val="center"/>
                    <w:rPr>
                      <w:rFonts w:hint="eastAsia" w:ascii="Times New Roman" w:hAnsi="Times New Roman" w:eastAsia="宋体" w:cs="Times New Roman"/>
                      <w:kern w:val="2"/>
                      <w:sz w:val="18"/>
                      <w:szCs w:val="18"/>
                      <w:highlight w:val="none"/>
                      <w:lang w:val="en-US" w:eastAsia="zh-CN" w:bidi="ar-SA"/>
                    </w:rPr>
                  </w:pPr>
                  <w:r>
                    <w:rPr>
                      <w:rFonts w:hint="eastAsia" w:ascii="Times New Roman" w:hAnsi="Times New Roman" w:eastAsia="宋体" w:cs="Times New Roman"/>
                      <w:sz w:val="18"/>
                      <w:szCs w:val="18"/>
                      <w:highlight w:val="none"/>
                      <w:lang w:val="en-US" w:eastAsia="zh-CN"/>
                    </w:rPr>
                    <w:t>22</w:t>
                  </w:r>
                </w:p>
              </w:tc>
              <w:tc>
                <w:tcPr>
                  <w:tcW w:w="878" w:type="dxa"/>
                  <w:tcBorders>
                    <w:top w:val="single" w:color="auto" w:sz="4" w:space="0"/>
                    <w:left w:val="single" w:color="auto" w:sz="4" w:space="0"/>
                    <w:bottom w:val="single" w:color="auto" w:sz="4" w:space="0"/>
                    <w:right w:val="single" w:color="auto" w:sz="4" w:space="0"/>
                  </w:tcBorders>
                  <w:shd w:val="clear" w:color="auto" w:fill="auto"/>
                  <w:tcMar>
                    <w:left w:w="57" w:type="dxa"/>
                    <w:right w:w="57" w:type="dxa"/>
                  </w:tcMar>
                  <w:vAlign w:val="center"/>
                </w:tcPr>
                <w:p w14:paraId="5A34B28F">
                  <w:pPr>
                    <w:pStyle w:val="129"/>
                    <w:keepNext w:val="0"/>
                    <w:keepLines w:val="0"/>
                    <w:pageBreakBefore w:val="0"/>
                    <w:suppressLineNumbers w:val="0"/>
                    <w:kinsoku/>
                    <w:wordWrap/>
                    <w:overflowPunct/>
                    <w:topLinePunct w:val="0"/>
                    <w:autoSpaceDE/>
                    <w:autoSpaceDN/>
                    <w:bidi w:val="0"/>
                    <w:adjustRightInd w:val="0"/>
                    <w:snapToGrid w:val="0"/>
                    <w:spacing w:before="0" w:beforeAutospacing="0" w:after="0" w:afterAutospacing="0" w:line="276" w:lineRule="auto"/>
                    <w:ind w:left="0" w:right="0"/>
                    <w:rPr>
                      <w:rFonts w:hint="default" w:ascii="Times New Roman" w:hAnsi="Times New Roman" w:eastAsia="宋体" w:cs="Times New Roman"/>
                      <w:color w:val="auto"/>
                      <w:sz w:val="18"/>
                      <w:szCs w:val="18"/>
                      <w:highlight w:val="none"/>
                      <w:lang w:val="en-US" w:eastAsia="zh-CN"/>
                    </w:rPr>
                  </w:pPr>
                  <w:r>
                    <w:rPr>
                      <w:rFonts w:hint="eastAsia" w:cs="Times New Roman"/>
                      <w:color w:val="auto"/>
                      <w:sz w:val="18"/>
                      <w:szCs w:val="18"/>
                      <w:highlight w:val="none"/>
                      <w:lang w:val="en-US" w:eastAsia="zh-CN"/>
                    </w:rPr>
                    <w:t>废催化剂</w:t>
                  </w:r>
                </w:p>
              </w:tc>
              <w:tc>
                <w:tcPr>
                  <w:tcW w:w="1058" w:type="dxa"/>
                  <w:tcBorders>
                    <w:top w:val="single" w:color="auto" w:sz="4" w:space="0"/>
                    <w:left w:val="single" w:color="auto" w:sz="4" w:space="0"/>
                    <w:bottom w:val="single" w:color="auto" w:sz="4" w:space="0"/>
                    <w:right w:val="single" w:color="auto" w:sz="4" w:space="0"/>
                  </w:tcBorders>
                  <w:shd w:val="clear" w:color="auto" w:fill="auto"/>
                  <w:tcMar>
                    <w:left w:w="57" w:type="dxa"/>
                    <w:right w:w="57" w:type="dxa"/>
                  </w:tcMar>
                  <w:vAlign w:val="center"/>
                </w:tcPr>
                <w:p w14:paraId="0F77FBB6">
                  <w:pPr>
                    <w:pStyle w:val="129"/>
                    <w:keepNext w:val="0"/>
                    <w:keepLines w:val="0"/>
                    <w:pageBreakBefore w:val="0"/>
                    <w:suppressLineNumbers w:val="0"/>
                    <w:kinsoku/>
                    <w:wordWrap/>
                    <w:overflowPunct/>
                    <w:topLinePunct w:val="0"/>
                    <w:autoSpaceDE/>
                    <w:autoSpaceDN/>
                    <w:bidi w:val="0"/>
                    <w:adjustRightInd w:val="0"/>
                    <w:snapToGrid w:val="0"/>
                    <w:spacing w:before="0" w:beforeAutospacing="0" w:after="0" w:afterAutospacing="0" w:line="276" w:lineRule="auto"/>
                    <w:ind w:left="0" w:right="0"/>
                    <w:rPr>
                      <w:rFonts w:hint="default" w:ascii="Times New Roman" w:hAnsi="Times New Roman" w:eastAsia="宋体" w:cs="Times New Roman"/>
                      <w:color w:val="auto"/>
                      <w:sz w:val="18"/>
                      <w:szCs w:val="18"/>
                      <w:highlight w:val="none"/>
                      <w:lang w:val="en-US" w:eastAsia="zh-CN"/>
                    </w:rPr>
                  </w:pPr>
                  <w:r>
                    <w:rPr>
                      <w:rFonts w:hint="eastAsia" w:cs="Times New Roman"/>
                      <w:color w:val="auto"/>
                      <w:sz w:val="18"/>
                      <w:szCs w:val="18"/>
                      <w:highlight w:val="none"/>
                      <w:lang w:val="en-US" w:eastAsia="zh-CN"/>
                    </w:rPr>
                    <w:t>催化剂，恶臭</w:t>
                  </w:r>
                </w:p>
              </w:tc>
              <w:tc>
                <w:tcPr>
                  <w:tcW w:w="581" w:type="dxa"/>
                  <w:tcBorders>
                    <w:top w:val="single" w:color="auto" w:sz="4" w:space="0"/>
                    <w:left w:val="single" w:color="auto" w:sz="4" w:space="0"/>
                    <w:bottom w:val="single" w:color="auto" w:sz="4" w:space="0"/>
                    <w:right w:val="single" w:color="auto" w:sz="4" w:space="0"/>
                  </w:tcBorders>
                  <w:shd w:val="clear" w:color="auto" w:fill="auto"/>
                  <w:tcMar>
                    <w:left w:w="57" w:type="dxa"/>
                    <w:right w:w="57" w:type="dxa"/>
                  </w:tcMar>
                  <w:vAlign w:val="center"/>
                </w:tcPr>
                <w:p w14:paraId="14C541E5">
                  <w:pPr>
                    <w:pStyle w:val="129"/>
                    <w:keepNext w:val="0"/>
                    <w:keepLines w:val="0"/>
                    <w:pageBreakBefore w:val="0"/>
                    <w:suppressLineNumbers w:val="0"/>
                    <w:kinsoku/>
                    <w:wordWrap/>
                    <w:overflowPunct/>
                    <w:topLinePunct w:val="0"/>
                    <w:autoSpaceDE/>
                    <w:autoSpaceDN/>
                    <w:bidi w:val="0"/>
                    <w:adjustRightInd w:val="0"/>
                    <w:snapToGrid w:val="0"/>
                    <w:spacing w:before="0" w:beforeAutospacing="0" w:after="0" w:afterAutospacing="0" w:line="276" w:lineRule="auto"/>
                    <w:ind w:left="0" w:right="0"/>
                    <w:rPr>
                      <w:rFonts w:hint="default" w:ascii="Times New Roman" w:hAnsi="Times New Roman" w:eastAsia="宋体" w:cs="Times New Roman"/>
                      <w:color w:val="auto"/>
                      <w:sz w:val="18"/>
                      <w:szCs w:val="18"/>
                      <w:highlight w:val="none"/>
                    </w:rPr>
                  </w:pPr>
                  <w:r>
                    <w:rPr>
                      <w:rFonts w:hint="default" w:ascii="Times New Roman" w:hAnsi="Times New Roman" w:eastAsia="宋体" w:cs="Times New Roman"/>
                      <w:color w:val="auto"/>
                      <w:sz w:val="18"/>
                      <w:szCs w:val="18"/>
                      <w:highlight w:val="none"/>
                    </w:rPr>
                    <w:t>固体</w:t>
                  </w:r>
                </w:p>
              </w:tc>
              <w:tc>
                <w:tcPr>
                  <w:tcW w:w="1082" w:type="dxa"/>
                  <w:tcBorders>
                    <w:top w:val="single" w:color="auto" w:sz="4" w:space="0"/>
                    <w:left w:val="single" w:color="auto" w:sz="4" w:space="0"/>
                    <w:bottom w:val="single" w:color="auto" w:sz="4" w:space="0"/>
                    <w:right w:val="single" w:color="auto" w:sz="4" w:space="0"/>
                  </w:tcBorders>
                  <w:shd w:val="clear" w:color="auto" w:fill="auto"/>
                  <w:tcMar>
                    <w:left w:w="57" w:type="dxa"/>
                    <w:right w:w="57" w:type="dxa"/>
                  </w:tcMar>
                  <w:vAlign w:val="center"/>
                </w:tcPr>
                <w:p w14:paraId="0A32F1BF">
                  <w:pPr>
                    <w:pStyle w:val="129"/>
                    <w:keepNext w:val="0"/>
                    <w:keepLines w:val="0"/>
                    <w:pageBreakBefore w:val="0"/>
                    <w:suppressLineNumbers w:val="0"/>
                    <w:kinsoku/>
                    <w:wordWrap/>
                    <w:overflowPunct/>
                    <w:topLinePunct w:val="0"/>
                    <w:autoSpaceDE/>
                    <w:autoSpaceDN/>
                    <w:bidi w:val="0"/>
                    <w:adjustRightInd w:val="0"/>
                    <w:snapToGrid w:val="0"/>
                    <w:spacing w:before="0" w:beforeAutospacing="0" w:after="0" w:afterAutospacing="0" w:line="276" w:lineRule="auto"/>
                    <w:ind w:left="0" w:right="0"/>
                    <w:rPr>
                      <w:rFonts w:hint="default" w:ascii="Times New Roman" w:hAnsi="Times New Roman" w:eastAsia="宋体" w:cs="Times New Roman"/>
                      <w:color w:val="auto"/>
                      <w:sz w:val="18"/>
                      <w:szCs w:val="18"/>
                      <w:highlight w:val="none"/>
                      <w:lang w:val="en-US" w:eastAsia="zh-CN"/>
                    </w:rPr>
                  </w:pPr>
                  <w:r>
                    <w:rPr>
                      <w:rFonts w:hint="eastAsia" w:ascii="Times New Roman" w:hAnsi="Times New Roman" w:eastAsia="宋体" w:cs="Times New Roman"/>
                      <w:color w:val="auto"/>
                      <w:sz w:val="18"/>
                      <w:szCs w:val="18"/>
                      <w:highlight w:val="none"/>
                    </w:rPr>
                    <w:t>危险废物，</w:t>
                  </w:r>
                </w:p>
                <w:p w14:paraId="4FD9DF86">
                  <w:pPr>
                    <w:pStyle w:val="129"/>
                    <w:keepNext w:val="0"/>
                    <w:keepLines w:val="0"/>
                    <w:pageBreakBefore w:val="0"/>
                    <w:suppressLineNumbers w:val="0"/>
                    <w:kinsoku/>
                    <w:wordWrap/>
                    <w:overflowPunct/>
                    <w:topLinePunct w:val="0"/>
                    <w:autoSpaceDE/>
                    <w:autoSpaceDN/>
                    <w:bidi w:val="0"/>
                    <w:adjustRightInd w:val="0"/>
                    <w:snapToGrid w:val="0"/>
                    <w:spacing w:before="0" w:beforeAutospacing="0" w:after="0" w:afterAutospacing="0" w:line="276" w:lineRule="auto"/>
                    <w:ind w:left="0" w:right="0"/>
                    <w:rPr>
                      <w:rFonts w:hint="eastAsia" w:ascii="Times New Roman" w:hAnsi="Times New Roman" w:eastAsia="宋体" w:cs="Times New Roman"/>
                      <w:color w:val="auto"/>
                      <w:sz w:val="18"/>
                      <w:szCs w:val="18"/>
                      <w:highlight w:val="none"/>
                      <w:lang w:val="en-US" w:eastAsia="zh-CN"/>
                    </w:rPr>
                  </w:pPr>
                  <w:r>
                    <w:rPr>
                      <w:rFonts w:hint="eastAsia" w:ascii="Times New Roman" w:hAnsi="Times New Roman" w:eastAsia="宋体" w:cs="Times New Roman"/>
                      <w:color w:val="auto"/>
                      <w:sz w:val="18"/>
                      <w:szCs w:val="18"/>
                      <w:highlight w:val="none"/>
                      <w:lang w:val="en-US" w:eastAsia="zh-CN"/>
                    </w:rPr>
                    <w:t>900-041-49</w:t>
                  </w:r>
                </w:p>
              </w:tc>
              <w:tc>
                <w:tcPr>
                  <w:tcW w:w="895" w:type="dxa"/>
                  <w:tcBorders>
                    <w:top w:val="single" w:color="auto" w:sz="4" w:space="0"/>
                    <w:left w:val="single" w:color="auto" w:sz="4" w:space="0"/>
                    <w:bottom w:val="single" w:color="auto" w:sz="4" w:space="0"/>
                    <w:right w:val="single" w:color="auto" w:sz="4" w:space="0"/>
                  </w:tcBorders>
                  <w:shd w:val="clear" w:color="auto" w:fill="auto"/>
                  <w:tcMar>
                    <w:left w:w="57" w:type="dxa"/>
                    <w:right w:w="57" w:type="dxa"/>
                  </w:tcMar>
                  <w:vAlign w:val="center"/>
                </w:tcPr>
                <w:p w14:paraId="7E41F867">
                  <w:pPr>
                    <w:pStyle w:val="129"/>
                    <w:keepNext w:val="0"/>
                    <w:keepLines w:val="0"/>
                    <w:pageBreakBefore w:val="0"/>
                    <w:suppressLineNumbers w:val="0"/>
                    <w:kinsoku/>
                    <w:wordWrap/>
                    <w:overflowPunct/>
                    <w:topLinePunct w:val="0"/>
                    <w:autoSpaceDE/>
                    <w:autoSpaceDN/>
                    <w:bidi w:val="0"/>
                    <w:adjustRightInd w:val="0"/>
                    <w:snapToGrid w:val="0"/>
                    <w:spacing w:before="0" w:beforeAutospacing="0" w:after="0" w:afterAutospacing="0" w:line="276" w:lineRule="auto"/>
                    <w:ind w:left="0" w:right="0"/>
                    <w:rPr>
                      <w:rFonts w:hint="eastAsia" w:ascii="Times New Roman" w:hAnsi="Times New Roman" w:eastAsia="宋体" w:cs="Times New Roman"/>
                      <w:color w:val="auto"/>
                      <w:sz w:val="18"/>
                      <w:szCs w:val="18"/>
                      <w:highlight w:val="none"/>
                      <w:lang w:val="en-US" w:eastAsia="zh-CN"/>
                    </w:rPr>
                  </w:pPr>
                  <w:r>
                    <w:rPr>
                      <w:rFonts w:hint="eastAsia" w:cs="Times New Roman"/>
                      <w:color w:val="auto"/>
                      <w:sz w:val="18"/>
                      <w:szCs w:val="18"/>
                      <w:highlight w:val="none"/>
                      <w:lang w:val="en-US" w:eastAsia="zh-CN"/>
                    </w:rPr>
                    <w:t>恶臭</w:t>
                  </w:r>
                </w:p>
              </w:tc>
              <w:tc>
                <w:tcPr>
                  <w:tcW w:w="675" w:type="dxa"/>
                  <w:tcBorders>
                    <w:top w:val="single" w:color="auto" w:sz="4" w:space="0"/>
                    <w:left w:val="single" w:color="auto" w:sz="4" w:space="0"/>
                    <w:bottom w:val="single" w:color="auto" w:sz="4" w:space="0"/>
                    <w:right w:val="single" w:color="auto" w:sz="4" w:space="0"/>
                  </w:tcBorders>
                  <w:shd w:val="clear" w:color="auto" w:fill="auto"/>
                  <w:tcMar>
                    <w:left w:w="57" w:type="dxa"/>
                    <w:right w:w="57" w:type="dxa"/>
                  </w:tcMar>
                  <w:vAlign w:val="center"/>
                </w:tcPr>
                <w:p w14:paraId="37E18A90">
                  <w:pPr>
                    <w:pStyle w:val="129"/>
                    <w:keepNext w:val="0"/>
                    <w:keepLines w:val="0"/>
                    <w:pageBreakBefore w:val="0"/>
                    <w:suppressLineNumbers w:val="0"/>
                    <w:kinsoku/>
                    <w:wordWrap/>
                    <w:overflowPunct/>
                    <w:topLinePunct w:val="0"/>
                    <w:autoSpaceDE/>
                    <w:autoSpaceDN/>
                    <w:bidi w:val="0"/>
                    <w:adjustRightInd w:val="0"/>
                    <w:snapToGrid w:val="0"/>
                    <w:spacing w:before="0" w:beforeAutospacing="0" w:after="0" w:afterAutospacing="0" w:line="276" w:lineRule="auto"/>
                    <w:ind w:left="0" w:right="0"/>
                    <w:rPr>
                      <w:rFonts w:hint="default" w:ascii="Times New Roman" w:hAnsi="Times New Roman" w:eastAsia="宋体" w:cs="Times New Roman"/>
                      <w:color w:val="auto"/>
                      <w:sz w:val="18"/>
                      <w:szCs w:val="18"/>
                      <w:highlight w:val="none"/>
                    </w:rPr>
                  </w:pPr>
                  <w:r>
                    <w:rPr>
                      <w:rFonts w:hint="eastAsia" w:ascii="Times New Roman" w:hAnsi="Times New Roman" w:eastAsia="宋体" w:cs="Times New Roman"/>
                      <w:color w:val="auto"/>
                      <w:sz w:val="18"/>
                      <w:szCs w:val="18"/>
                      <w:highlight w:val="none"/>
                    </w:rPr>
                    <w:t>T</w:t>
                  </w:r>
                  <w:r>
                    <w:rPr>
                      <w:rFonts w:hint="default" w:ascii="Times New Roman" w:hAnsi="Times New Roman" w:eastAsia="宋体" w:cs="Times New Roman"/>
                      <w:color w:val="auto"/>
                      <w:sz w:val="18"/>
                      <w:szCs w:val="18"/>
                      <w:highlight w:val="none"/>
                    </w:rPr>
                    <w:t>/In</w:t>
                  </w:r>
                </w:p>
              </w:tc>
              <w:tc>
                <w:tcPr>
                  <w:tcW w:w="653" w:type="dxa"/>
                  <w:tcBorders>
                    <w:top w:val="single" w:color="auto" w:sz="4" w:space="0"/>
                    <w:left w:val="single" w:color="auto" w:sz="4" w:space="0"/>
                    <w:bottom w:val="single" w:color="auto" w:sz="4" w:space="0"/>
                    <w:right w:val="single" w:color="auto" w:sz="4" w:space="0"/>
                  </w:tcBorders>
                  <w:shd w:val="clear" w:color="auto" w:fill="auto"/>
                  <w:tcMar>
                    <w:left w:w="57" w:type="dxa"/>
                    <w:right w:w="57" w:type="dxa"/>
                  </w:tcMar>
                  <w:vAlign w:val="center"/>
                </w:tcPr>
                <w:p w14:paraId="5F85BF45">
                  <w:pPr>
                    <w:keepNext w:val="0"/>
                    <w:keepLines w:val="0"/>
                    <w:pageBreakBefore w:val="0"/>
                    <w:suppressLineNumbers w:val="0"/>
                    <w:kinsoku/>
                    <w:wordWrap/>
                    <w:overflowPunct/>
                    <w:topLinePunct w:val="0"/>
                    <w:autoSpaceDE/>
                    <w:autoSpaceDN/>
                    <w:bidi w:val="0"/>
                    <w:adjustRightInd w:val="0"/>
                    <w:snapToGrid w:val="0"/>
                    <w:spacing w:before="0" w:beforeAutospacing="0" w:after="0" w:afterAutospacing="0" w:line="276" w:lineRule="auto"/>
                    <w:ind w:left="0" w:right="0"/>
                    <w:jc w:val="center"/>
                    <w:textAlignment w:val="auto"/>
                    <w:rPr>
                      <w:rFonts w:hint="default" w:cs="Times New Roman"/>
                      <w:kern w:val="2"/>
                      <w:sz w:val="18"/>
                      <w:szCs w:val="18"/>
                      <w:highlight w:val="none"/>
                      <w:lang w:val="en-US" w:eastAsia="zh-CN" w:bidi="ar-SA"/>
                    </w:rPr>
                  </w:pPr>
                  <w:r>
                    <w:rPr>
                      <w:rFonts w:hint="eastAsia" w:cs="Times New Roman"/>
                      <w:kern w:val="2"/>
                      <w:sz w:val="18"/>
                      <w:szCs w:val="18"/>
                      <w:highlight w:val="none"/>
                      <w:lang w:val="en-US" w:eastAsia="zh-CN" w:bidi="ar-SA"/>
                    </w:rPr>
                    <w:t>0.1</w:t>
                  </w:r>
                </w:p>
              </w:tc>
              <w:tc>
                <w:tcPr>
                  <w:tcW w:w="794" w:type="dxa"/>
                  <w:tcBorders>
                    <w:top w:val="single" w:color="auto" w:sz="4" w:space="0"/>
                    <w:left w:val="single" w:color="auto" w:sz="4" w:space="0"/>
                    <w:bottom w:val="single" w:color="auto" w:sz="4" w:space="0"/>
                    <w:right w:val="single" w:color="auto" w:sz="4" w:space="0"/>
                  </w:tcBorders>
                  <w:shd w:val="clear" w:color="auto" w:fill="auto"/>
                  <w:tcMar>
                    <w:left w:w="57" w:type="dxa"/>
                    <w:right w:w="57" w:type="dxa"/>
                  </w:tcMar>
                  <w:vAlign w:val="center"/>
                </w:tcPr>
                <w:p w14:paraId="426DFC0E">
                  <w:pPr>
                    <w:pStyle w:val="129"/>
                    <w:keepNext w:val="0"/>
                    <w:keepLines w:val="0"/>
                    <w:pageBreakBefore w:val="0"/>
                    <w:suppressLineNumbers w:val="0"/>
                    <w:kinsoku/>
                    <w:wordWrap/>
                    <w:overflowPunct/>
                    <w:topLinePunct w:val="0"/>
                    <w:autoSpaceDE/>
                    <w:autoSpaceDN/>
                    <w:bidi w:val="0"/>
                    <w:adjustRightInd w:val="0"/>
                    <w:snapToGrid w:val="0"/>
                    <w:spacing w:before="0" w:beforeAutospacing="0" w:after="0" w:afterAutospacing="0" w:line="276" w:lineRule="auto"/>
                    <w:ind w:left="0" w:right="0"/>
                    <w:rPr>
                      <w:rFonts w:hint="eastAsia" w:ascii="Times New Roman" w:hAnsi="Times New Roman" w:eastAsia="宋体" w:cs="Times New Roman"/>
                      <w:bCs/>
                      <w:color w:val="auto"/>
                      <w:sz w:val="18"/>
                      <w:szCs w:val="18"/>
                      <w:highlight w:val="none"/>
                      <w:lang w:val="zh-CN"/>
                    </w:rPr>
                  </w:pPr>
                  <w:r>
                    <w:rPr>
                      <w:rFonts w:hint="eastAsia" w:ascii="Times New Roman" w:hAnsi="Times New Roman" w:eastAsia="宋体" w:cs="Times New Roman"/>
                      <w:bCs/>
                      <w:color w:val="auto"/>
                      <w:sz w:val="18"/>
                      <w:szCs w:val="18"/>
                      <w:highlight w:val="none"/>
                      <w:lang w:val="zh-CN"/>
                    </w:rPr>
                    <w:t>密封袋</w:t>
                  </w:r>
                </w:p>
              </w:tc>
              <w:tc>
                <w:tcPr>
                  <w:tcW w:w="705" w:type="dxa"/>
                  <w:vMerge w:val="continue"/>
                  <w:tcBorders>
                    <w:left w:val="single" w:color="auto" w:sz="4" w:space="0"/>
                    <w:right w:val="single" w:color="auto" w:sz="4" w:space="0"/>
                  </w:tcBorders>
                  <w:tcMar>
                    <w:left w:w="57" w:type="dxa"/>
                    <w:right w:w="57" w:type="dxa"/>
                  </w:tcMar>
                  <w:vAlign w:val="center"/>
                </w:tcPr>
                <w:p w14:paraId="565229E9">
                  <w:pPr>
                    <w:keepNext w:val="0"/>
                    <w:keepLines w:val="0"/>
                    <w:pageBreakBefore w:val="0"/>
                    <w:suppressLineNumbers w:val="0"/>
                    <w:kinsoku/>
                    <w:wordWrap/>
                    <w:overflowPunct/>
                    <w:topLinePunct w:val="0"/>
                    <w:autoSpaceDE/>
                    <w:autoSpaceDN/>
                    <w:bidi w:val="0"/>
                    <w:adjustRightInd w:val="0"/>
                    <w:snapToGrid w:val="0"/>
                    <w:spacing w:before="0" w:beforeAutospacing="0" w:after="0" w:afterAutospacing="0" w:line="276" w:lineRule="auto"/>
                    <w:ind w:left="0" w:right="0"/>
                    <w:jc w:val="center"/>
                    <w:rPr>
                      <w:rFonts w:hint="default" w:ascii="Times New Roman" w:hAnsi="Times New Roman" w:eastAsia="宋体" w:cs="Times New Roman"/>
                      <w:sz w:val="18"/>
                      <w:szCs w:val="18"/>
                      <w:highlight w:val="none"/>
                    </w:rPr>
                  </w:pPr>
                </w:p>
              </w:tc>
              <w:tc>
                <w:tcPr>
                  <w:tcW w:w="626" w:type="dxa"/>
                  <w:tcBorders>
                    <w:top w:val="single" w:color="auto" w:sz="4" w:space="0"/>
                    <w:left w:val="single" w:color="auto" w:sz="4" w:space="0"/>
                    <w:bottom w:val="single" w:color="auto" w:sz="4" w:space="0"/>
                    <w:right w:val="single" w:color="auto" w:sz="4" w:space="0"/>
                  </w:tcBorders>
                  <w:shd w:val="clear" w:color="auto" w:fill="auto"/>
                  <w:tcMar>
                    <w:left w:w="57" w:type="dxa"/>
                    <w:right w:w="57" w:type="dxa"/>
                  </w:tcMar>
                  <w:vAlign w:val="center"/>
                </w:tcPr>
                <w:p w14:paraId="0A97E6E2">
                  <w:pPr>
                    <w:keepNext w:val="0"/>
                    <w:keepLines w:val="0"/>
                    <w:pageBreakBefore w:val="0"/>
                    <w:suppressLineNumbers w:val="0"/>
                    <w:kinsoku/>
                    <w:wordWrap/>
                    <w:overflowPunct/>
                    <w:topLinePunct w:val="0"/>
                    <w:autoSpaceDE/>
                    <w:autoSpaceDN/>
                    <w:bidi w:val="0"/>
                    <w:adjustRightInd w:val="0"/>
                    <w:snapToGrid w:val="0"/>
                    <w:spacing w:before="0" w:beforeAutospacing="0" w:after="0" w:afterAutospacing="0" w:line="276" w:lineRule="auto"/>
                    <w:ind w:left="0" w:right="0"/>
                    <w:jc w:val="center"/>
                    <w:textAlignment w:val="auto"/>
                    <w:rPr>
                      <w:rFonts w:hint="default" w:cs="Times New Roman"/>
                      <w:kern w:val="2"/>
                      <w:sz w:val="18"/>
                      <w:szCs w:val="18"/>
                      <w:highlight w:val="none"/>
                      <w:lang w:val="en-US" w:eastAsia="zh-CN" w:bidi="ar-SA"/>
                    </w:rPr>
                  </w:pPr>
                  <w:r>
                    <w:rPr>
                      <w:rFonts w:hint="eastAsia" w:cs="Times New Roman"/>
                      <w:kern w:val="2"/>
                      <w:sz w:val="18"/>
                      <w:szCs w:val="18"/>
                      <w:highlight w:val="none"/>
                      <w:lang w:val="en-US" w:eastAsia="zh-CN" w:bidi="ar-SA"/>
                    </w:rPr>
                    <w:t>0.1</w:t>
                  </w:r>
                </w:p>
              </w:tc>
            </w:tr>
            <w:tr w14:paraId="4781642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jc w:val="center"/>
              </w:trPr>
              <w:tc>
                <w:tcPr>
                  <w:tcW w:w="307" w:type="dxa"/>
                  <w:tcBorders>
                    <w:top w:val="single" w:color="auto" w:sz="4" w:space="0"/>
                    <w:left w:val="single" w:color="auto" w:sz="4" w:space="0"/>
                    <w:bottom w:val="single" w:color="auto" w:sz="4" w:space="0"/>
                    <w:right w:val="single" w:color="auto" w:sz="4" w:space="0"/>
                  </w:tcBorders>
                  <w:shd w:val="clear" w:color="auto" w:fill="auto"/>
                  <w:tcMar>
                    <w:left w:w="57" w:type="dxa"/>
                    <w:right w:w="57" w:type="dxa"/>
                  </w:tcMar>
                  <w:vAlign w:val="center"/>
                </w:tcPr>
                <w:p w14:paraId="06C0B732">
                  <w:pPr>
                    <w:keepNext w:val="0"/>
                    <w:keepLines w:val="0"/>
                    <w:pageBreakBefore w:val="0"/>
                    <w:suppressLineNumbers w:val="0"/>
                    <w:kinsoku/>
                    <w:wordWrap/>
                    <w:overflowPunct/>
                    <w:topLinePunct w:val="0"/>
                    <w:autoSpaceDE/>
                    <w:autoSpaceDN/>
                    <w:bidi w:val="0"/>
                    <w:adjustRightInd w:val="0"/>
                    <w:snapToGrid w:val="0"/>
                    <w:spacing w:before="0" w:beforeAutospacing="0" w:after="0" w:afterAutospacing="0" w:line="276" w:lineRule="auto"/>
                    <w:ind w:left="0" w:leftChars="0" w:right="0" w:rightChars="0"/>
                    <w:jc w:val="center"/>
                    <w:rPr>
                      <w:rFonts w:hint="default" w:ascii="Times New Roman" w:hAnsi="Times New Roman" w:eastAsia="宋体" w:cs="Times New Roman"/>
                      <w:kern w:val="2"/>
                      <w:sz w:val="18"/>
                      <w:szCs w:val="18"/>
                      <w:highlight w:val="none"/>
                      <w:lang w:val="en-US" w:eastAsia="zh-CN" w:bidi="ar-SA"/>
                    </w:rPr>
                  </w:pPr>
                  <w:r>
                    <w:rPr>
                      <w:rFonts w:hint="eastAsia" w:cs="Times New Roman"/>
                      <w:kern w:val="2"/>
                      <w:sz w:val="18"/>
                      <w:szCs w:val="18"/>
                      <w:highlight w:val="none"/>
                      <w:lang w:val="en-US" w:eastAsia="zh-CN" w:bidi="ar-SA"/>
                    </w:rPr>
                    <w:t>23</w:t>
                  </w:r>
                </w:p>
              </w:tc>
              <w:tc>
                <w:tcPr>
                  <w:tcW w:w="878" w:type="dxa"/>
                  <w:tcBorders>
                    <w:top w:val="single" w:color="auto" w:sz="4" w:space="0"/>
                    <w:left w:val="single" w:color="auto" w:sz="4" w:space="0"/>
                    <w:bottom w:val="single" w:color="auto" w:sz="4" w:space="0"/>
                    <w:right w:val="single" w:color="auto" w:sz="4" w:space="0"/>
                  </w:tcBorders>
                  <w:shd w:val="clear" w:color="auto" w:fill="auto"/>
                  <w:tcMar>
                    <w:left w:w="57" w:type="dxa"/>
                    <w:right w:w="57" w:type="dxa"/>
                  </w:tcMar>
                  <w:vAlign w:val="center"/>
                </w:tcPr>
                <w:p w14:paraId="09035886">
                  <w:pPr>
                    <w:pStyle w:val="129"/>
                    <w:keepNext w:val="0"/>
                    <w:keepLines w:val="0"/>
                    <w:pageBreakBefore w:val="0"/>
                    <w:suppressLineNumbers w:val="0"/>
                    <w:kinsoku/>
                    <w:wordWrap/>
                    <w:overflowPunct/>
                    <w:topLinePunct w:val="0"/>
                    <w:autoSpaceDE/>
                    <w:autoSpaceDN/>
                    <w:bidi w:val="0"/>
                    <w:adjustRightInd w:val="0"/>
                    <w:snapToGrid w:val="0"/>
                    <w:spacing w:before="0" w:beforeAutospacing="0" w:after="0" w:afterAutospacing="0" w:line="276" w:lineRule="auto"/>
                    <w:ind w:left="0" w:right="0"/>
                    <w:rPr>
                      <w:rFonts w:hint="eastAsia" w:ascii="Times New Roman" w:hAnsi="Times New Roman" w:eastAsia="宋体" w:cs="Times New Roman"/>
                      <w:color w:val="auto"/>
                      <w:kern w:val="0"/>
                      <w:sz w:val="18"/>
                      <w:szCs w:val="18"/>
                      <w:highlight w:val="none"/>
                      <w:lang w:val="en-US" w:eastAsia="zh-CN" w:bidi="ar-SA"/>
                    </w:rPr>
                  </w:pPr>
                  <w:r>
                    <w:rPr>
                      <w:rFonts w:hint="eastAsia" w:ascii="Times New Roman" w:hAnsi="Times New Roman" w:eastAsia="宋体" w:cs="Times New Roman"/>
                      <w:color w:val="auto"/>
                      <w:sz w:val="18"/>
                      <w:szCs w:val="18"/>
                      <w:highlight w:val="none"/>
                    </w:rPr>
                    <w:t>废</w:t>
                  </w:r>
                  <w:r>
                    <w:rPr>
                      <w:rFonts w:hint="default" w:ascii="Times New Roman" w:hAnsi="Times New Roman" w:eastAsia="宋体" w:cs="Times New Roman"/>
                      <w:color w:val="auto"/>
                      <w:sz w:val="18"/>
                      <w:szCs w:val="18"/>
                      <w:highlight w:val="none"/>
                    </w:rPr>
                    <w:t>紫外</w:t>
                  </w:r>
                  <w:r>
                    <w:rPr>
                      <w:rFonts w:hint="eastAsia" w:ascii="Times New Roman" w:hAnsi="Times New Roman" w:eastAsia="宋体" w:cs="Times New Roman"/>
                      <w:color w:val="auto"/>
                      <w:sz w:val="18"/>
                      <w:szCs w:val="18"/>
                      <w:highlight w:val="none"/>
                    </w:rPr>
                    <w:t>光</w:t>
                  </w:r>
                  <w:r>
                    <w:rPr>
                      <w:rFonts w:hint="default" w:ascii="Times New Roman" w:hAnsi="Times New Roman" w:eastAsia="宋体" w:cs="Times New Roman"/>
                      <w:color w:val="auto"/>
                      <w:sz w:val="18"/>
                      <w:szCs w:val="18"/>
                      <w:highlight w:val="none"/>
                    </w:rPr>
                    <w:t>灯</w:t>
                  </w:r>
                </w:p>
              </w:tc>
              <w:tc>
                <w:tcPr>
                  <w:tcW w:w="1058" w:type="dxa"/>
                  <w:tcBorders>
                    <w:top w:val="single" w:color="auto" w:sz="4" w:space="0"/>
                    <w:left w:val="single" w:color="auto" w:sz="4" w:space="0"/>
                    <w:bottom w:val="single" w:color="auto" w:sz="4" w:space="0"/>
                    <w:right w:val="single" w:color="auto" w:sz="4" w:space="0"/>
                  </w:tcBorders>
                  <w:shd w:val="clear" w:color="auto" w:fill="auto"/>
                  <w:tcMar>
                    <w:left w:w="57" w:type="dxa"/>
                    <w:right w:w="57" w:type="dxa"/>
                  </w:tcMar>
                  <w:vAlign w:val="center"/>
                </w:tcPr>
                <w:p w14:paraId="13555990">
                  <w:pPr>
                    <w:pStyle w:val="129"/>
                    <w:keepNext w:val="0"/>
                    <w:keepLines w:val="0"/>
                    <w:pageBreakBefore w:val="0"/>
                    <w:suppressLineNumbers w:val="0"/>
                    <w:kinsoku/>
                    <w:wordWrap/>
                    <w:overflowPunct/>
                    <w:topLinePunct w:val="0"/>
                    <w:autoSpaceDE/>
                    <w:autoSpaceDN/>
                    <w:bidi w:val="0"/>
                    <w:adjustRightInd w:val="0"/>
                    <w:snapToGrid w:val="0"/>
                    <w:spacing w:before="0" w:beforeAutospacing="0" w:after="0" w:afterAutospacing="0" w:line="276" w:lineRule="auto"/>
                    <w:ind w:left="0" w:right="0"/>
                    <w:rPr>
                      <w:rFonts w:hint="default" w:ascii="Times New Roman" w:hAnsi="Times New Roman" w:eastAsia="宋体" w:cs="Times New Roman"/>
                      <w:color w:val="auto"/>
                      <w:kern w:val="0"/>
                      <w:sz w:val="18"/>
                      <w:szCs w:val="18"/>
                      <w:highlight w:val="none"/>
                      <w:lang w:val="en-US" w:eastAsia="zh-CN" w:bidi="ar-SA"/>
                    </w:rPr>
                  </w:pPr>
                  <w:r>
                    <w:rPr>
                      <w:rFonts w:hint="eastAsia" w:ascii="Times New Roman" w:hAnsi="Times New Roman" w:eastAsia="宋体" w:cs="Times New Roman"/>
                      <w:color w:val="auto"/>
                      <w:sz w:val="18"/>
                      <w:szCs w:val="18"/>
                      <w:highlight w:val="none"/>
                    </w:rPr>
                    <w:t>汞</w:t>
                  </w:r>
                  <w:r>
                    <w:rPr>
                      <w:rFonts w:hint="default" w:ascii="Times New Roman" w:hAnsi="Times New Roman" w:eastAsia="宋体" w:cs="Times New Roman"/>
                      <w:color w:val="auto"/>
                      <w:sz w:val="18"/>
                      <w:szCs w:val="18"/>
                      <w:highlight w:val="none"/>
                    </w:rPr>
                    <w:t>、</w:t>
                  </w:r>
                  <w:r>
                    <w:rPr>
                      <w:rFonts w:hint="eastAsia" w:ascii="Times New Roman" w:hAnsi="Times New Roman" w:eastAsia="宋体" w:cs="Times New Roman"/>
                      <w:color w:val="auto"/>
                      <w:sz w:val="18"/>
                      <w:szCs w:val="18"/>
                      <w:highlight w:val="none"/>
                    </w:rPr>
                    <w:t>玻璃</w:t>
                  </w:r>
                  <w:r>
                    <w:rPr>
                      <w:rFonts w:hint="default" w:ascii="Times New Roman" w:hAnsi="Times New Roman" w:eastAsia="宋体" w:cs="Times New Roman"/>
                      <w:color w:val="auto"/>
                      <w:sz w:val="18"/>
                      <w:szCs w:val="18"/>
                      <w:highlight w:val="none"/>
                    </w:rPr>
                    <w:t>等</w:t>
                  </w:r>
                </w:p>
              </w:tc>
              <w:tc>
                <w:tcPr>
                  <w:tcW w:w="581" w:type="dxa"/>
                  <w:tcBorders>
                    <w:top w:val="single" w:color="auto" w:sz="4" w:space="0"/>
                    <w:left w:val="single" w:color="auto" w:sz="4" w:space="0"/>
                    <w:bottom w:val="single" w:color="auto" w:sz="4" w:space="0"/>
                    <w:right w:val="single" w:color="auto" w:sz="4" w:space="0"/>
                  </w:tcBorders>
                  <w:shd w:val="clear" w:color="auto" w:fill="auto"/>
                  <w:tcMar>
                    <w:left w:w="57" w:type="dxa"/>
                    <w:right w:w="57" w:type="dxa"/>
                  </w:tcMar>
                  <w:vAlign w:val="center"/>
                </w:tcPr>
                <w:p w14:paraId="01F314B4">
                  <w:pPr>
                    <w:pStyle w:val="129"/>
                    <w:keepNext w:val="0"/>
                    <w:keepLines w:val="0"/>
                    <w:pageBreakBefore w:val="0"/>
                    <w:suppressLineNumbers w:val="0"/>
                    <w:kinsoku/>
                    <w:wordWrap/>
                    <w:overflowPunct/>
                    <w:topLinePunct w:val="0"/>
                    <w:autoSpaceDE/>
                    <w:autoSpaceDN/>
                    <w:bidi w:val="0"/>
                    <w:adjustRightInd w:val="0"/>
                    <w:snapToGrid w:val="0"/>
                    <w:spacing w:before="0" w:beforeAutospacing="0" w:after="0" w:afterAutospacing="0" w:line="276" w:lineRule="auto"/>
                    <w:ind w:left="0" w:right="0"/>
                    <w:rPr>
                      <w:rFonts w:hint="default" w:ascii="Times New Roman" w:hAnsi="Times New Roman" w:eastAsia="宋体" w:cs="Times New Roman"/>
                      <w:color w:val="auto"/>
                      <w:kern w:val="0"/>
                      <w:sz w:val="18"/>
                      <w:szCs w:val="18"/>
                      <w:highlight w:val="none"/>
                      <w:lang w:val="en-US" w:eastAsia="zh-CN" w:bidi="ar-SA"/>
                    </w:rPr>
                  </w:pPr>
                  <w:r>
                    <w:rPr>
                      <w:rFonts w:hint="eastAsia" w:ascii="Times New Roman" w:hAnsi="Times New Roman" w:eastAsia="宋体" w:cs="Times New Roman"/>
                      <w:color w:val="auto"/>
                      <w:sz w:val="18"/>
                      <w:szCs w:val="18"/>
                      <w:highlight w:val="none"/>
                    </w:rPr>
                    <w:t>固体</w:t>
                  </w:r>
                </w:p>
              </w:tc>
              <w:tc>
                <w:tcPr>
                  <w:tcW w:w="1082" w:type="dxa"/>
                  <w:tcBorders>
                    <w:top w:val="single" w:color="auto" w:sz="4" w:space="0"/>
                    <w:left w:val="single" w:color="auto" w:sz="4" w:space="0"/>
                    <w:bottom w:val="single" w:color="auto" w:sz="4" w:space="0"/>
                    <w:right w:val="single" w:color="auto" w:sz="4" w:space="0"/>
                  </w:tcBorders>
                  <w:shd w:val="clear" w:color="auto" w:fill="auto"/>
                  <w:tcMar>
                    <w:left w:w="57" w:type="dxa"/>
                    <w:right w:w="57" w:type="dxa"/>
                  </w:tcMar>
                  <w:vAlign w:val="center"/>
                </w:tcPr>
                <w:p w14:paraId="6B5ABADA">
                  <w:pPr>
                    <w:pStyle w:val="129"/>
                    <w:keepNext w:val="0"/>
                    <w:keepLines w:val="0"/>
                    <w:pageBreakBefore w:val="0"/>
                    <w:suppressLineNumbers w:val="0"/>
                    <w:kinsoku/>
                    <w:wordWrap/>
                    <w:overflowPunct/>
                    <w:topLinePunct w:val="0"/>
                    <w:autoSpaceDE/>
                    <w:autoSpaceDN/>
                    <w:bidi w:val="0"/>
                    <w:adjustRightInd w:val="0"/>
                    <w:snapToGrid w:val="0"/>
                    <w:spacing w:before="0" w:beforeAutospacing="0" w:after="0" w:afterAutospacing="0" w:line="276" w:lineRule="auto"/>
                    <w:ind w:left="0" w:right="0"/>
                    <w:rPr>
                      <w:rFonts w:hint="default" w:ascii="Times New Roman" w:hAnsi="Times New Roman" w:eastAsia="宋体" w:cs="Times New Roman"/>
                      <w:color w:val="auto"/>
                      <w:kern w:val="0"/>
                      <w:sz w:val="18"/>
                      <w:szCs w:val="18"/>
                      <w:highlight w:val="none"/>
                      <w:lang w:val="en-US" w:eastAsia="zh-CN" w:bidi="ar-SA"/>
                    </w:rPr>
                  </w:pPr>
                  <w:r>
                    <w:rPr>
                      <w:rFonts w:hint="eastAsia" w:ascii="Times New Roman" w:hAnsi="Times New Roman" w:eastAsia="宋体" w:cs="Times New Roman"/>
                      <w:color w:val="auto"/>
                      <w:sz w:val="18"/>
                      <w:szCs w:val="18"/>
                      <w:highlight w:val="none"/>
                      <w:lang w:val="en-US" w:eastAsia="zh-CN"/>
                    </w:rPr>
                    <w:t>危险废物，</w:t>
                  </w:r>
                  <w:r>
                    <w:rPr>
                      <w:rFonts w:hint="default" w:ascii="Times New Roman" w:hAnsi="Times New Roman" w:eastAsia="宋体" w:cs="Times New Roman"/>
                      <w:color w:val="auto"/>
                      <w:sz w:val="18"/>
                      <w:szCs w:val="18"/>
                      <w:highlight w:val="none"/>
                    </w:rPr>
                    <w:t>900-023-29</w:t>
                  </w:r>
                </w:p>
              </w:tc>
              <w:tc>
                <w:tcPr>
                  <w:tcW w:w="895" w:type="dxa"/>
                  <w:tcBorders>
                    <w:top w:val="single" w:color="auto" w:sz="4" w:space="0"/>
                    <w:left w:val="single" w:color="auto" w:sz="4" w:space="0"/>
                    <w:bottom w:val="single" w:color="auto" w:sz="4" w:space="0"/>
                    <w:right w:val="single" w:color="auto" w:sz="4" w:space="0"/>
                  </w:tcBorders>
                  <w:shd w:val="clear" w:color="auto" w:fill="auto"/>
                  <w:tcMar>
                    <w:left w:w="57" w:type="dxa"/>
                    <w:right w:w="57" w:type="dxa"/>
                  </w:tcMar>
                  <w:vAlign w:val="center"/>
                </w:tcPr>
                <w:p w14:paraId="06AD7573">
                  <w:pPr>
                    <w:pStyle w:val="129"/>
                    <w:keepNext w:val="0"/>
                    <w:keepLines w:val="0"/>
                    <w:pageBreakBefore w:val="0"/>
                    <w:suppressLineNumbers w:val="0"/>
                    <w:kinsoku/>
                    <w:wordWrap/>
                    <w:overflowPunct/>
                    <w:topLinePunct w:val="0"/>
                    <w:autoSpaceDE/>
                    <w:autoSpaceDN/>
                    <w:bidi w:val="0"/>
                    <w:adjustRightInd w:val="0"/>
                    <w:snapToGrid w:val="0"/>
                    <w:spacing w:before="0" w:beforeAutospacing="0" w:after="0" w:afterAutospacing="0" w:line="276" w:lineRule="auto"/>
                    <w:ind w:left="0" w:right="0"/>
                    <w:rPr>
                      <w:rFonts w:hint="default" w:ascii="Times New Roman" w:hAnsi="Times New Roman" w:eastAsia="宋体" w:cs="Times New Roman"/>
                      <w:color w:val="auto"/>
                      <w:kern w:val="0"/>
                      <w:sz w:val="18"/>
                      <w:szCs w:val="18"/>
                      <w:highlight w:val="none"/>
                      <w:lang w:val="en-US" w:eastAsia="zh-CN" w:bidi="ar-SA"/>
                    </w:rPr>
                  </w:pPr>
                  <w:r>
                    <w:rPr>
                      <w:rFonts w:hint="eastAsia" w:ascii="Times New Roman" w:hAnsi="Times New Roman" w:eastAsia="宋体" w:cs="Times New Roman"/>
                      <w:color w:val="auto"/>
                      <w:sz w:val="18"/>
                      <w:szCs w:val="18"/>
                      <w:highlight w:val="none"/>
                    </w:rPr>
                    <w:t>汞</w:t>
                  </w:r>
                  <w:r>
                    <w:rPr>
                      <w:rFonts w:hint="default" w:ascii="Times New Roman" w:hAnsi="Times New Roman" w:eastAsia="宋体" w:cs="Times New Roman"/>
                      <w:color w:val="auto"/>
                      <w:sz w:val="18"/>
                      <w:szCs w:val="18"/>
                      <w:highlight w:val="none"/>
                    </w:rPr>
                    <w:t>等</w:t>
                  </w:r>
                </w:p>
              </w:tc>
              <w:tc>
                <w:tcPr>
                  <w:tcW w:w="675" w:type="dxa"/>
                  <w:tcBorders>
                    <w:top w:val="single" w:color="auto" w:sz="4" w:space="0"/>
                    <w:left w:val="single" w:color="auto" w:sz="4" w:space="0"/>
                    <w:bottom w:val="single" w:color="auto" w:sz="4" w:space="0"/>
                    <w:right w:val="single" w:color="auto" w:sz="4" w:space="0"/>
                  </w:tcBorders>
                  <w:shd w:val="clear" w:color="auto" w:fill="auto"/>
                  <w:tcMar>
                    <w:left w:w="57" w:type="dxa"/>
                    <w:right w:w="57" w:type="dxa"/>
                  </w:tcMar>
                  <w:vAlign w:val="center"/>
                </w:tcPr>
                <w:p w14:paraId="643D3336">
                  <w:pPr>
                    <w:pStyle w:val="129"/>
                    <w:keepNext w:val="0"/>
                    <w:keepLines w:val="0"/>
                    <w:pageBreakBefore w:val="0"/>
                    <w:suppressLineNumbers w:val="0"/>
                    <w:kinsoku/>
                    <w:wordWrap/>
                    <w:overflowPunct/>
                    <w:topLinePunct w:val="0"/>
                    <w:autoSpaceDE/>
                    <w:autoSpaceDN/>
                    <w:bidi w:val="0"/>
                    <w:adjustRightInd w:val="0"/>
                    <w:snapToGrid w:val="0"/>
                    <w:spacing w:before="0" w:beforeAutospacing="0" w:after="0" w:afterAutospacing="0" w:line="276" w:lineRule="auto"/>
                    <w:ind w:left="0" w:right="0"/>
                    <w:rPr>
                      <w:rFonts w:hint="default" w:ascii="Times New Roman" w:hAnsi="Times New Roman" w:eastAsia="宋体" w:cs="Times New Roman"/>
                      <w:color w:val="auto"/>
                      <w:kern w:val="0"/>
                      <w:sz w:val="18"/>
                      <w:szCs w:val="18"/>
                      <w:highlight w:val="none"/>
                      <w:lang w:val="en-US" w:eastAsia="zh-CN" w:bidi="ar-SA"/>
                    </w:rPr>
                  </w:pPr>
                  <w:r>
                    <w:rPr>
                      <w:rFonts w:hint="eastAsia" w:ascii="Times New Roman" w:hAnsi="Times New Roman" w:eastAsia="宋体" w:cs="Times New Roman"/>
                      <w:color w:val="auto"/>
                      <w:sz w:val="18"/>
                      <w:szCs w:val="18"/>
                      <w:highlight w:val="none"/>
                    </w:rPr>
                    <w:t>T</w:t>
                  </w:r>
                </w:p>
              </w:tc>
              <w:tc>
                <w:tcPr>
                  <w:tcW w:w="653" w:type="dxa"/>
                  <w:tcBorders>
                    <w:top w:val="single" w:color="auto" w:sz="4" w:space="0"/>
                    <w:left w:val="single" w:color="auto" w:sz="4" w:space="0"/>
                    <w:bottom w:val="single" w:color="auto" w:sz="4" w:space="0"/>
                    <w:right w:val="single" w:color="auto" w:sz="4" w:space="0"/>
                  </w:tcBorders>
                  <w:shd w:val="clear" w:color="auto" w:fill="auto"/>
                  <w:tcMar>
                    <w:left w:w="57" w:type="dxa"/>
                    <w:right w:w="57" w:type="dxa"/>
                  </w:tcMar>
                  <w:vAlign w:val="center"/>
                </w:tcPr>
                <w:p w14:paraId="6225BF5A">
                  <w:pPr>
                    <w:keepNext w:val="0"/>
                    <w:keepLines w:val="0"/>
                    <w:pageBreakBefore w:val="0"/>
                    <w:suppressLineNumbers w:val="0"/>
                    <w:kinsoku/>
                    <w:wordWrap/>
                    <w:overflowPunct/>
                    <w:topLinePunct w:val="0"/>
                    <w:autoSpaceDE/>
                    <w:autoSpaceDN/>
                    <w:bidi w:val="0"/>
                    <w:adjustRightInd w:val="0"/>
                    <w:snapToGrid w:val="0"/>
                    <w:spacing w:before="0" w:beforeAutospacing="0" w:after="0" w:afterAutospacing="0" w:line="276" w:lineRule="auto"/>
                    <w:ind w:left="0" w:right="0"/>
                    <w:jc w:val="center"/>
                    <w:textAlignment w:val="auto"/>
                    <w:rPr>
                      <w:rFonts w:hint="eastAsia" w:ascii="Times New Roman" w:hAnsi="Times New Roman" w:eastAsia="宋体" w:cs="Times New Roman"/>
                      <w:kern w:val="2"/>
                      <w:sz w:val="18"/>
                      <w:szCs w:val="18"/>
                      <w:highlight w:val="none"/>
                      <w:lang w:val="en-US" w:eastAsia="zh-CN" w:bidi="ar-SA"/>
                    </w:rPr>
                  </w:pPr>
                  <w:r>
                    <w:rPr>
                      <w:rFonts w:hint="eastAsia" w:ascii="Times New Roman" w:hAnsi="Times New Roman" w:eastAsia="宋体" w:cs="Times New Roman"/>
                      <w:sz w:val="18"/>
                      <w:szCs w:val="18"/>
                      <w:highlight w:val="none"/>
                    </w:rPr>
                    <w:t>0.</w:t>
                  </w:r>
                  <w:r>
                    <w:rPr>
                      <w:rFonts w:hint="eastAsia" w:cs="Times New Roman"/>
                      <w:sz w:val="18"/>
                      <w:szCs w:val="18"/>
                      <w:highlight w:val="none"/>
                      <w:lang w:val="en-US" w:eastAsia="zh-CN"/>
                    </w:rPr>
                    <w:t>1</w:t>
                  </w:r>
                </w:p>
              </w:tc>
              <w:tc>
                <w:tcPr>
                  <w:tcW w:w="794" w:type="dxa"/>
                  <w:tcBorders>
                    <w:top w:val="single" w:color="auto" w:sz="4" w:space="0"/>
                    <w:left w:val="single" w:color="auto" w:sz="4" w:space="0"/>
                    <w:bottom w:val="single" w:color="auto" w:sz="4" w:space="0"/>
                    <w:right w:val="single" w:color="auto" w:sz="4" w:space="0"/>
                  </w:tcBorders>
                  <w:shd w:val="clear" w:color="auto" w:fill="auto"/>
                  <w:tcMar>
                    <w:left w:w="57" w:type="dxa"/>
                    <w:right w:w="57" w:type="dxa"/>
                  </w:tcMar>
                  <w:vAlign w:val="center"/>
                </w:tcPr>
                <w:p w14:paraId="255B04EA">
                  <w:pPr>
                    <w:pStyle w:val="129"/>
                    <w:keepNext w:val="0"/>
                    <w:keepLines w:val="0"/>
                    <w:pageBreakBefore w:val="0"/>
                    <w:suppressLineNumbers w:val="0"/>
                    <w:kinsoku/>
                    <w:wordWrap/>
                    <w:overflowPunct/>
                    <w:topLinePunct w:val="0"/>
                    <w:autoSpaceDE/>
                    <w:autoSpaceDN/>
                    <w:bidi w:val="0"/>
                    <w:adjustRightInd w:val="0"/>
                    <w:snapToGrid w:val="0"/>
                    <w:spacing w:before="0" w:beforeAutospacing="0" w:after="0" w:afterAutospacing="0" w:line="276" w:lineRule="auto"/>
                    <w:ind w:left="0" w:right="0"/>
                    <w:rPr>
                      <w:rFonts w:hint="default" w:ascii="Times New Roman" w:hAnsi="Times New Roman" w:eastAsia="宋体" w:cs="Times New Roman"/>
                      <w:bCs/>
                      <w:color w:val="auto"/>
                      <w:kern w:val="0"/>
                      <w:sz w:val="18"/>
                      <w:szCs w:val="18"/>
                      <w:highlight w:val="none"/>
                      <w:lang w:val="zh-CN" w:eastAsia="zh-CN" w:bidi="ar-SA"/>
                    </w:rPr>
                  </w:pPr>
                  <w:r>
                    <w:rPr>
                      <w:rFonts w:hint="eastAsia" w:ascii="Times New Roman" w:hAnsi="Times New Roman" w:eastAsia="宋体" w:cs="Times New Roman"/>
                      <w:bCs/>
                      <w:color w:val="auto"/>
                      <w:sz w:val="18"/>
                      <w:szCs w:val="18"/>
                      <w:highlight w:val="none"/>
                      <w:lang w:val="zh-CN"/>
                    </w:rPr>
                    <w:t>密封袋</w:t>
                  </w:r>
                </w:p>
              </w:tc>
              <w:tc>
                <w:tcPr>
                  <w:tcW w:w="705" w:type="dxa"/>
                  <w:vMerge w:val="continue"/>
                  <w:tcBorders>
                    <w:left w:val="single" w:color="auto" w:sz="4" w:space="0"/>
                    <w:bottom w:val="single" w:color="auto" w:sz="4" w:space="0"/>
                    <w:right w:val="single" w:color="auto" w:sz="4" w:space="0"/>
                  </w:tcBorders>
                  <w:tcMar>
                    <w:left w:w="57" w:type="dxa"/>
                    <w:right w:w="57" w:type="dxa"/>
                  </w:tcMar>
                  <w:vAlign w:val="center"/>
                </w:tcPr>
                <w:p w14:paraId="74683ECA">
                  <w:pPr>
                    <w:keepNext w:val="0"/>
                    <w:keepLines w:val="0"/>
                    <w:pageBreakBefore w:val="0"/>
                    <w:suppressLineNumbers w:val="0"/>
                    <w:kinsoku/>
                    <w:wordWrap/>
                    <w:overflowPunct/>
                    <w:topLinePunct w:val="0"/>
                    <w:autoSpaceDE/>
                    <w:autoSpaceDN/>
                    <w:bidi w:val="0"/>
                    <w:adjustRightInd w:val="0"/>
                    <w:snapToGrid w:val="0"/>
                    <w:spacing w:before="0" w:beforeAutospacing="0" w:after="0" w:afterAutospacing="0" w:line="276" w:lineRule="auto"/>
                    <w:ind w:left="0" w:right="0"/>
                    <w:jc w:val="center"/>
                    <w:rPr>
                      <w:rFonts w:hint="default" w:ascii="Times New Roman" w:hAnsi="Times New Roman" w:eastAsia="宋体" w:cs="Times New Roman"/>
                      <w:sz w:val="18"/>
                      <w:szCs w:val="18"/>
                      <w:highlight w:val="none"/>
                    </w:rPr>
                  </w:pPr>
                </w:p>
              </w:tc>
              <w:tc>
                <w:tcPr>
                  <w:tcW w:w="626" w:type="dxa"/>
                  <w:tcBorders>
                    <w:top w:val="single" w:color="auto" w:sz="4" w:space="0"/>
                    <w:left w:val="single" w:color="auto" w:sz="4" w:space="0"/>
                    <w:bottom w:val="single" w:color="auto" w:sz="4" w:space="0"/>
                    <w:right w:val="single" w:color="auto" w:sz="4" w:space="0"/>
                  </w:tcBorders>
                  <w:shd w:val="clear" w:color="auto" w:fill="auto"/>
                  <w:tcMar>
                    <w:left w:w="57" w:type="dxa"/>
                    <w:right w:w="57" w:type="dxa"/>
                  </w:tcMar>
                  <w:vAlign w:val="center"/>
                </w:tcPr>
                <w:p w14:paraId="1D7A6F8F">
                  <w:pPr>
                    <w:keepNext w:val="0"/>
                    <w:keepLines w:val="0"/>
                    <w:pageBreakBefore w:val="0"/>
                    <w:suppressLineNumbers w:val="0"/>
                    <w:kinsoku/>
                    <w:wordWrap/>
                    <w:overflowPunct/>
                    <w:topLinePunct w:val="0"/>
                    <w:autoSpaceDE/>
                    <w:autoSpaceDN/>
                    <w:bidi w:val="0"/>
                    <w:adjustRightInd w:val="0"/>
                    <w:snapToGrid w:val="0"/>
                    <w:spacing w:before="0" w:beforeAutospacing="0" w:after="0" w:afterAutospacing="0" w:line="276" w:lineRule="auto"/>
                    <w:ind w:left="0" w:right="0"/>
                    <w:jc w:val="center"/>
                    <w:textAlignment w:val="auto"/>
                    <w:rPr>
                      <w:rFonts w:hint="eastAsia" w:ascii="Times New Roman" w:hAnsi="Times New Roman" w:eastAsia="宋体" w:cs="Times New Roman"/>
                      <w:kern w:val="2"/>
                      <w:sz w:val="18"/>
                      <w:szCs w:val="18"/>
                      <w:highlight w:val="none"/>
                      <w:lang w:val="en-US" w:eastAsia="zh-CN" w:bidi="ar-SA"/>
                    </w:rPr>
                  </w:pPr>
                  <w:r>
                    <w:rPr>
                      <w:rFonts w:hint="eastAsia" w:ascii="Times New Roman" w:hAnsi="Times New Roman" w:eastAsia="宋体" w:cs="Times New Roman"/>
                      <w:sz w:val="18"/>
                      <w:szCs w:val="18"/>
                      <w:highlight w:val="none"/>
                    </w:rPr>
                    <w:t>0.</w:t>
                  </w:r>
                  <w:r>
                    <w:rPr>
                      <w:rFonts w:hint="eastAsia" w:cs="Times New Roman"/>
                      <w:sz w:val="18"/>
                      <w:szCs w:val="18"/>
                      <w:highlight w:val="none"/>
                      <w:lang w:val="en-US" w:eastAsia="zh-CN"/>
                    </w:rPr>
                    <w:t>1</w:t>
                  </w:r>
                </w:p>
              </w:tc>
            </w:tr>
            <w:tr w14:paraId="6DCE97C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jc w:val="center"/>
              </w:trPr>
              <w:tc>
                <w:tcPr>
                  <w:tcW w:w="307" w:type="dxa"/>
                  <w:tcBorders>
                    <w:top w:val="single" w:color="auto" w:sz="4" w:space="0"/>
                    <w:left w:val="single" w:color="auto" w:sz="4" w:space="0"/>
                    <w:bottom w:val="single" w:color="auto" w:sz="4" w:space="0"/>
                    <w:right w:val="single" w:color="auto" w:sz="4" w:space="0"/>
                  </w:tcBorders>
                  <w:shd w:val="clear" w:color="auto" w:fill="auto"/>
                  <w:tcMar>
                    <w:left w:w="57" w:type="dxa"/>
                    <w:right w:w="57" w:type="dxa"/>
                  </w:tcMar>
                  <w:vAlign w:val="center"/>
                </w:tcPr>
                <w:p w14:paraId="5F5BDDCA">
                  <w:pPr>
                    <w:keepNext w:val="0"/>
                    <w:keepLines w:val="0"/>
                    <w:pageBreakBefore w:val="0"/>
                    <w:suppressLineNumbers w:val="0"/>
                    <w:kinsoku/>
                    <w:wordWrap/>
                    <w:overflowPunct/>
                    <w:topLinePunct w:val="0"/>
                    <w:autoSpaceDE/>
                    <w:autoSpaceDN/>
                    <w:bidi w:val="0"/>
                    <w:adjustRightInd w:val="0"/>
                    <w:snapToGrid w:val="0"/>
                    <w:spacing w:before="0" w:beforeAutospacing="0" w:after="0" w:afterAutospacing="0" w:line="276" w:lineRule="auto"/>
                    <w:ind w:left="0" w:right="0"/>
                    <w:jc w:val="center"/>
                    <w:rPr>
                      <w:rFonts w:hint="default" w:ascii="Times New Roman" w:hAnsi="Times New Roman" w:eastAsia="宋体" w:cs="Times New Roman"/>
                      <w:kern w:val="2"/>
                      <w:sz w:val="18"/>
                      <w:szCs w:val="18"/>
                      <w:highlight w:val="none"/>
                      <w:lang w:val="en-US" w:eastAsia="zh-CN" w:bidi="ar-SA"/>
                    </w:rPr>
                  </w:pPr>
                  <w:r>
                    <w:rPr>
                      <w:rFonts w:hint="eastAsia" w:cs="Times New Roman"/>
                      <w:kern w:val="2"/>
                      <w:sz w:val="18"/>
                      <w:szCs w:val="18"/>
                      <w:highlight w:val="none"/>
                      <w:lang w:val="en-US" w:eastAsia="zh-CN" w:bidi="ar-SA"/>
                    </w:rPr>
                    <w:t>24</w:t>
                  </w:r>
                </w:p>
              </w:tc>
              <w:tc>
                <w:tcPr>
                  <w:tcW w:w="878" w:type="dxa"/>
                  <w:tcBorders>
                    <w:top w:val="single" w:color="auto" w:sz="4" w:space="0"/>
                    <w:left w:val="single" w:color="auto" w:sz="4" w:space="0"/>
                    <w:bottom w:val="single" w:color="auto" w:sz="4" w:space="0"/>
                    <w:right w:val="single" w:color="auto" w:sz="4" w:space="0"/>
                  </w:tcBorders>
                  <w:tcMar>
                    <w:left w:w="57" w:type="dxa"/>
                    <w:right w:w="57" w:type="dxa"/>
                  </w:tcMar>
                  <w:vAlign w:val="center"/>
                </w:tcPr>
                <w:p w14:paraId="44BD6A7A">
                  <w:pPr>
                    <w:keepNext w:val="0"/>
                    <w:keepLines w:val="0"/>
                    <w:pageBreakBefore w:val="0"/>
                    <w:suppressLineNumbers w:val="0"/>
                    <w:kinsoku/>
                    <w:wordWrap/>
                    <w:overflowPunct/>
                    <w:topLinePunct w:val="0"/>
                    <w:autoSpaceDE/>
                    <w:autoSpaceDN/>
                    <w:bidi w:val="0"/>
                    <w:adjustRightInd w:val="0"/>
                    <w:snapToGrid w:val="0"/>
                    <w:spacing w:before="0" w:beforeAutospacing="0" w:after="0" w:afterAutospacing="0" w:line="276" w:lineRule="auto"/>
                    <w:ind w:left="0" w:right="0"/>
                    <w:jc w:val="center"/>
                    <w:textAlignment w:val="auto"/>
                    <w:rPr>
                      <w:rFonts w:hint="eastAsia" w:ascii="Times New Roman" w:hAnsi="Times New Roman" w:eastAsia="宋体" w:cs="Times New Roman"/>
                      <w:kern w:val="2"/>
                      <w:sz w:val="18"/>
                      <w:szCs w:val="18"/>
                      <w:highlight w:val="none"/>
                      <w:lang w:val="en-US" w:eastAsia="zh-CN" w:bidi="ar-SA"/>
                    </w:rPr>
                  </w:pPr>
                  <w:r>
                    <w:rPr>
                      <w:rFonts w:hint="eastAsia" w:ascii="Times New Roman" w:hAnsi="Times New Roman" w:eastAsia="宋体" w:cs="Times New Roman"/>
                      <w:color w:val="auto"/>
                      <w:sz w:val="18"/>
                      <w:szCs w:val="18"/>
                      <w:highlight w:val="none"/>
                    </w:rPr>
                    <w:t>生活</w:t>
                  </w:r>
                  <w:r>
                    <w:rPr>
                      <w:rFonts w:hint="default" w:ascii="Times New Roman" w:hAnsi="Times New Roman" w:eastAsia="宋体" w:cs="Times New Roman"/>
                      <w:color w:val="auto"/>
                      <w:sz w:val="18"/>
                      <w:szCs w:val="18"/>
                      <w:highlight w:val="none"/>
                    </w:rPr>
                    <w:t>垃圾</w:t>
                  </w:r>
                </w:p>
              </w:tc>
              <w:tc>
                <w:tcPr>
                  <w:tcW w:w="1058" w:type="dxa"/>
                  <w:tcBorders>
                    <w:top w:val="single" w:color="auto" w:sz="4" w:space="0"/>
                    <w:left w:val="single" w:color="auto" w:sz="4" w:space="0"/>
                    <w:bottom w:val="single" w:color="auto" w:sz="4" w:space="0"/>
                    <w:right w:val="single" w:color="auto" w:sz="4" w:space="0"/>
                  </w:tcBorders>
                  <w:tcMar>
                    <w:left w:w="57" w:type="dxa"/>
                    <w:right w:w="57" w:type="dxa"/>
                  </w:tcMar>
                  <w:vAlign w:val="center"/>
                </w:tcPr>
                <w:p w14:paraId="697FAB65">
                  <w:pPr>
                    <w:keepNext w:val="0"/>
                    <w:keepLines w:val="0"/>
                    <w:pageBreakBefore w:val="0"/>
                    <w:suppressLineNumbers w:val="0"/>
                    <w:kinsoku/>
                    <w:wordWrap/>
                    <w:overflowPunct/>
                    <w:topLinePunct w:val="0"/>
                    <w:autoSpaceDE/>
                    <w:autoSpaceDN/>
                    <w:bidi w:val="0"/>
                    <w:adjustRightInd w:val="0"/>
                    <w:snapToGrid w:val="0"/>
                    <w:spacing w:before="0" w:beforeAutospacing="0" w:after="0" w:afterAutospacing="0" w:line="276" w:lineRule="auto"/>
                    <w:ind w:left="0" w:right="0"/>
                    <w:jc w:val="center"/>
                    <w:rPr>
                      <w:rFonts w:hint="default" w:ascii="Times New Roman" w:hAnsi="Times New Roman" w:eastAsia="宋体" w:cs="Times New Roman"/>
                      <w:sz w:val="18"/>
                      <w:szCs w:val="18"/>
                      <w:highlight w:val="none"/>
                      <w:lang w:val="en-US" w:eastAsia="zh-CN"/>
                    </w:rPr>
                  </w:pPr>
                  <w:r>
                    <w:rPr>
                      <w:rFonts w:hint="eastAsia" w:ascii="Times New Roman" w:hAnsi="Times New Roman" w:eastAsia="宋体" w:cs="Times New Roman"/>
                      <w:color w:val="auto"/>
                      <w:sz w:val="18"/>
                      <w:szCs w:val="18"/>
                      <w:highlight w:val="none"/>
                    </w:rPr>
                    <w:t>生活</w:t>
                  </w:r>
                  <w:r>
                    <w:rPr>
                      <w:rFonts w:hint="default" w:ascii="Times New Roman" w:hAnsi="Times New Roman" w:eastAsia="宋体" w:cs="Times New Roman"/>
                      <w:color w:val="auto"/>
                      <w:sz w:val="18"/>
                      <w:szCs w:val="18"/>
                      <w:highlight w:val="none"/>
                    </w:rPr>
                    <w:t>垃圾</w:t>
                  </w:r>
                </w:p>
              </w:tc>
              <w:tc>
                <w:tcPr>
                  <w:tcW w:w="581" w:type="dxa"/>
                  <w:tcBorders>
                    <w:top w:val="single" w:color="auto" w:sz="4" w:space="0"/>
                    <w:left w:val="single" w:color="auto" w:sz="4" w:space="0"/>
                    <w:bottom w:val="single" w:color="auto" w:sz="4" w:space="0"/>
                    <w:right w:val="single" w:color="auto" w:sz="4" w:space="0"/>
                  </w:tcBorders>
                  <w:tcMar>
                    <w:left w:w="57" w:type="dxa"/>
                    <w:right w:w="57" w:type="dxa"/>
                  </w:tcMar>
                  <w:vAlign w:val="center"/>
                </w:tcPr>
                <w:p w14:paraId="42FA1D28">
                  <w:pPr>
                    <w:keepNext w:val="0"/>
                    <w:keepLines w:val="0"/>
                    <w:pageBreakBefore w:val="0"/>
                    <w:suppressLineNumbers w:val="0"/>
                    <w:kinsoku/>
                    <w:wordWrap/>
                    <w:overflowPunct/>
                    <w:topLinePunct w:val="0"/>
                    <w:autoSpaceDE/>
                    <w:autoSpaceDN/>
                    <w:bidi w:val="0"/>
                    <w:adjustRightInd w:val="0"/>
                    <w:snapToGrid w:val="0"/>
                    <w:spacing w:before="0" w:beforeAutospacing="0" w:after="0" w:afterAutospacing="0" w:line="276" w:lineRule="auto"/>
                    <w:ind w:left="0" w:right="0"/>
                    <w:jc w:val="center"/>
                    <w:rPr>
                      <w:rFonts w:hint="default" w:ascii="Times New Roman" w:hAnsi="Times New Roman" w:eastAsia="宋体" w:cs="Times New Roman"/>
                      <w:sz w:val="18"/>
                      <w:szCs w:val="18"/>
                      <w:highlight w:val="none"/>
                    </w:rPr>
                  </w:pPr>
                  <w:r>
                    <w:rPr>
                      <w:rFonts w:hint="eastAsia" w:ascii="Times New Roman" w:hAnsi="Times New Roman" w:eastAsia="宋体" w:cs="Times New Roman"/>
                      <w:color w:val="auto"/>
                      <w:sz w:val="18"/>
                      <w:szCs w:val="18"/>
                      <w:highlight w:val="none"/>
                    </w:rPr>
                    <w:t>固体</w:t>
                  </w:r>
                </w:p>
              </w:tc>
              <w:tc>
                <w:tcPr>
                  <w:tcW w:w="1082" w:type="dxa"/>
                  <w:tcBorders>
                    <w:top w:val="single" w:color="auto" w:sz="4" w:space="0"/>
                    <w:left w:val="single" w:color="auto" w:sz="4" w:space="0"/>
                    <w:bottom w:val="single" w:color="auto" w:sz="4" w:space="0"/>
                    <w:right w:val="single" w:color="auto" w:sz="4" w:space="0"/>
                  </w:tcBorders>
                  <w:tcMar>
                    <w:left w:w="57" w:type="dxa"/>
                    <w:right w:w="57" w:type="dxa"/>
                  </w:tcMar>
                  <w:vAlign w:val="center"/>
                </w:tcPr>
                <w:p w14:paraId="6B9B3FF5">
                  <w:pPr>
                    <w:keepNext w:val="0"/>
                    <w:keepLines w:val="0"/>
                    <w:pageBreakBefore w:val="0"/>
                    <w:suppressLineNumbers w:val="0"/>
                    <w:kinsoku/>
                    <w:wordWrap/>
                    <w:overflowPunct/>
                    <w:topLinePunct w:val="0"/>
                    <w:autoSpaceDE/>
                    <w:autoSpaceDN/>
                    <w:bidi w:val="0"/>
                    <w:adjustRightInd w:val="0"/>
                    <w:snapToGrid w:val="0"/>
                    <w:spacing w:before="0" w:beforeAutospacing="0" w:after="0" w:afterAutospacing="0" w:line="276" w:lineRule="auto"/>
                    <w:ind w:left="0" w:right="0"/>
                    <w:jc w:val="center"/>
                    <w:rPr>
                      <w:rFonts w:hint="default" w:ascii="Times New Roman" w:hAnsi="Times New Roman" w:eastAsia="宋体" w:cs="Times New Roman"/>
                      <w:sz w:val="18"/>
                      <w:szCs w:val="18"/>
                      <w:highlight w:val="none"/>
                    </w:rPr>
                  </w:pPr>
                  <w:r>
                    <w:rPr>
                      <w:rFonts w:hint="default" w:ascii="Times New Roman" w:hAnsi="Times New Roman" w:eastAsia="宋体" w:cs="Times New Roman"/>
                      <w:color w:val="auto"/>
                      <w:sz w:val="18"/>
                      <w:szCs w:val="18"/>
                      <w:highlight w:val="none"/>
                    </w:rPr>
                    <w:t>900-002-S64</w:t>
                  </w:r>
                </w:p>
              </w:tc>
              <w:tc>
                <w:tcPr>
                  <w:tcW w:w="895" w:type="dxa"/>
                  <w:tcBorders>
                    <w:top w:val="single" w:color="auto" w:sz="4" w:space="0"/>
                    <w:left w:val="single" w:color="auto" w:sz="4" w:space="0"/>
                    <w:bottom w:val="single" w:color="auto" w:sz="4" w:space="0"/>
                    <w:right w:val="single" w:color="auto" w:sz="4" w:space="0"/>
                  </w:tcBorders>
                  <w:tcMar>
                    <w:left w:w="57" w:type="dxa"/>
                    <w:right w:w="57" w:type="dxa"/>
                  </w:tcMar>
                  <w:vAlign w:val="center"/>
                </w:tcPr>
                <w:p w14:paraId="428CA2BF">
                  <w:pPr>
                    <w:keepNext w:val="0"/>
                    <w:keepLines w:val="0"/>
                    <w:pageBreakBefore w:val="0"/>
                    <w:suppressLineNumbers w:val="0"/>
                    <w:kinsoku/>
                    <w:wordWrap/>
                    <w:overflowPunct/>
                    <w:topLinePunct w:val="0"/>
                    <w:autoSpaceDE/>
                    <w:autoSpaceDN/>
                    <w:bidi w:val="0"/>
                    <w:adjustRightInd w:val="0"/>
                    <w:snapToGrid w:val="0"/>
                    <w:spacing w:before="0" w:beforeAutospacing="0" w:after="0" w:afterAutospacing="0" w:line="276" w:lineRule="auto"/>
                    <w:ind w:left="0" w:right="0"/>
                    <w:jc w:val="center"/>
                    <w:rPr>
                      <w:rFonts w:hint="eastAsia" w:ascii="Times New Roman" w:hAnsi="Times New Roman" w:eastAsia="宋体" w:cs="Times New Roman"/>
                      <w:sz w:val="18"/>
                      <w:szCs w:val="18"/>
                      <w:highlight w:val="none"/>
                      <w:lang w:val="en-US" w:eastAsia="zh-CN"/>
                    </w:rPr>
                  </w:pPr>
                  <w:r>
                    <w:rPr>
                      <w:rFonts w:hint="eastAsia" w:ascii="Times New Roman" w:hAnsi="Times New Roman" w:eastAsia="宋体" w:cs="Times New Roman"/>
                      <w:sz w:val="18"/>
                      <w:szCs w:val="18"/>
                      <w:highlight w:val="none"/>
                      <w:lang w:val="en-US" w:eastAsia="zh-CN"/>
                    </w:rPr>
                    <w:t>/</w:t>
                  </w:r>
                </w:p>
              </w:tc>
              <w:tc>
                <w:tcPr>
                  <w:tcW w:w="675" w:type="dxa"/>
                  <w:tcBorders>
                    <w:top w:val="single" w:color="auto" w:sz="4" w:space="0"/>
                    <w:left w:val="single" w:color="auto" w:sz="4" w:space="0"/>
                    <w:bottom w:val="single" w:color="auto" w:sz="4" w:space="0"/>
                    <w:right w:val="single" w:color="auto" w:sz="4" w:space="0"/>
                  </w:tcBorders>
                  <w:tcMar>
                    <w:left w:w="57" w:type="dxa"/>
                    <w:right w:w="57" w:type="dxa"/>
                  </w:tcMar>
                  <w:vAlign w:val="center"/>
                </w:tcPr>
                <w:p w14:paraId="264FCBFE">
                  <w:pPr>
                    <w:keepNext w:val="0"/>
                    <w:keepLines w:val="0"/>
                    <w:pageBreakBefore w:val="0"/>
                    <w:suppressLineNumbers w:val="0"/>
                    <w:kinsoku/>
                    <w:wordWrap/>
                    <w:overflowPunct/>
                    <w:topLinePunct w:val="0"/>
                    <w:autoSpaceDE/>
                    <w:autoSpaceDN/>
                    <w:bidi w:val="0"/>
                    <w:adjustRightInd w:val="0"/>
                    <w:snapToGrid w:val="0"/>
                    <w:spacing w:before="0" w:beforeAutospacing="0" w:after="0" w:afterAutospacing="0" w:line="276" w:lineRule="auto"/>
                    <w:ind w:left="0" w:right="0"/>
                    <w:jc w:val="center"/>
                    <w:rPr>
                      <w:rFonts w:hint="eastAsia" w:ascii="Times New Roman" w:hAnsi="Times New Roman" w:eastAsia="宋体" w:cs="Times New Roman"/>
                      <w:sz w:val="18"/>
                      <w:szCs w:val="18"/>
                      <w:highlight w:val="none"/>
                      <w:lang w:val="en-US" w:eastAsia="zh-CN"/>
                    </w:rPr>
                  </w:pPr>
                  <w:r>
                    <w:rPr>
                      <w:rFonts w:hint="eastAsia" w:ascii="Times New Roman" w:hAnsi="Times New Roman" w:eastAsia="宋体" w:cs="Times New Roman"/>
                      <w:sz w:val="18"/>
                      <w:szCs w:val="18"/>
                      <w:highlight w:val="none"/>
                      <w:lang w:val="en-US" w:eastAsia="zh-CN"/>
                    </w:rPr>
                    <w:t>/</w:t>
                  </w:r>
                </w:p>
              </w:tc>
              <w:tc>
                <w:tcPr>
                  <w:tcW w:w="653" w:type="dxa"/>
                  <w:tcBorders>
                    <w:top w:val="single" w:color="auto" w:sz="4" w:space="0"/>
                    <w:left w:val="single" w:color="auto" w:sz="4" w:space="0"/>
                    <w:bottom w:val="single" w:color="auto" w:sz="4" w:space="0"/>
                    <w:right w:val="single" w:color="auto" w:sz="4" w:space="0"/>
                  </w:tcBorders>
                  <w:tcMar>
                    <w:left w:w="57" w:type="dxa"/>
                    <w:right w:w="57" w:type="dxa"/>
                  </w:tcMar>
                  <w:vAlign w:val="center"/>
                </w:tcPr>
                <w:p w14:paraId="782210E9">
                  <w:pPr>
                    <w:keepNext w:val="0"/>
                    <w:keepLines w:val="0"/>
                    <w:pageBreakBefore w:val="0"/>
                    <w:suppressLineNumbers w:val="0"/>
                    <w:kinsoku/>
                    <w:wordWrap/>
                    <w:overflowPunct/>
                    <w:topLinePunct w:val="0"/>
                    <w:autoSpaceDE/>
                    <w:autoSpaceDN/>
                    <w:bidi w:val="0"/>
                    <w:adjustRightInd w:val="0"/>
                    <w:snapToGrid w:val="0"/>
                    <w:spacing w:before="0" w:beforeAutospacing="0" w:after="0" w:afterAutospacing="0" w:line="276" w:lineRule="auto"/>
                    <w:ind w:left="0" w:right="0"/>
                    <w:jc w:val="center"/>
                    <w:rPr>
                      <w:rFonts w:hint="eastAsia" w:ascii="Times New Roman" w:hAnsi="Times New Roman" w:eastAsia="宋体" w:cs="Times New Roman"/>
                      <w:color w:val="auto"/>
                      <w:kern w:val="2"/>
                      <w:sz w:val="18"/>
                      <w:szCs w:val="18"/>
                      <w:highlight w:val="none"/>
                      <w:lang w:val="en-US" w:eastAsia="zh-CN" w:bidi="ar-SA"/>
                    </w:rPr>
                  </w:pPr>
                  <w:r>
                    <w:rPr>
                      <w:rFonts w:hint="eastAsia" w:ascii="Times New Roman" w:hAnsi="Times New Roman" w:eastAsia="宋体" w:cs="Times New Roman"/>
                      <w:sz w:val="18"/>
                      <w:szCs w:val="18"/>
                      <w:highlight w:val="none"/>
                      <w:lang w:val="en-US" w:eastAsia="zh-CN"/>
                    </w:rPr>
                    <w:t>91</w:t>
                  </w:r>
                </w:p>
              </w:tc>
              <w:tc>
                <w:tcPr>
                  <w:tcW w:w="794" w:type="dxa"/>
                  <w:tcBorders>
                    <w:top w:val="single" w:color="auto" w:sz="4" w:space="0"/>
                    <w:left w:val="single" w:color="auto" w:sz="4" w:space="0"/>
                    <w:bottom w:val="single" w:color="auto" w:sz="4" w:space="0"/>
                    <w:right w:val="single" w:color="auto" w:sz="4" w:space="0"/>
                  </w:tcBorders>
                  <w:tcMar>
                    <w:left w:w="57" w:type="dxa"/>
                    <w:right w:w="57" w:type="dxa"/>
                  </w:tcMar>
                  <w:vAlign w:val="center"/>
                </w:tcPr>
                <w:p w14:paraId="0C9AC5CA">
                  <w:pPr>
                    <w:keepNext w:val="0"/>
                    <w:keepLines w:val="0"/>
                    <w:pageBreakBefore w:val="0"/>
                    <w:suppressLineNumbers w:val="0"/>
                    <w:kinsoku/>
                    <w:wordWrap/>
                    <w:overflowPunct/>
                    <w:topLinePunct w:val="0"/>
                    <w:autoSpaceDE/>
                    <w:autoSpaceDN/>
                    <w:bidi w:val="0"/>
                    <w:adjustRightInd w:val="0"/>
                    <w:snapToGrid w:val="0"/>
                    <w:spacing w:before="0" w:beforeAutospacing="0" w:after="0" w:afterAutospacing="0" w:line="276" w:lineRule="auto"/>
                    <w:ind w:left="0" w:right="0"/>
                    <w:jc w:val="center"/>
                    <w:rPr>
                      <w:rFonts w:hint="default" w:ascii="Times New Roman" w:hAnsi="Times New Roman" w:eastAsia="宋体" w:cs="Times New Roman"/>
                      <w:sz w:val="18"/>
                      <w:szCs w:val="18"/>
                      <w:highlight w:val="none"/>
                    </w:rPr>
                  </w:pPr>
                  <w:r>
                    <w:rPr>
                      <w:rFonts w:hint="eastAsia" w:ascii="Times New Roman" w:hAnsi="Times New Roman" w:eastAsia="宋体" w:cs="Times New Roman"/>
                      <w:bCs/>
                      <w:color w:val="auto"/>
                      <w:sz w:val="18"/>
                      <w:szCs w:val="18"/>
                      <w:highlight w:val="none"/>
                      <w:lang w:val="zh-CN"/>
                    </w:rPr>
                    <w:t>垃圾桶</w:t>
                  </w:r>
                </w:p>
              </w:tc>
              <w:tc>
                <w:tcPr>
                  <w:tcW w:w="705" w:type="dxa"/>
                  <w:tcBorders>
                    <w:top w:val="single" w:color="auto" w:sz="4" w:space="0"/>
                    <w:left w:val="single" w:color="auto" w:sz="4" w:space="0"/>
                    <w:bottom w:val="single" w:color="auto" w:sz="4" w:space="0"/>
                    <w:right w:val="single" w:color="auto" w:sz="4" w:space="0"/>
                  </w:tcBorders>
                  <w:tcMar>
                    <w:left w:w="57" w:type="dxa"/>
                    <w:right w:w="57" w:type="dxa"/>
                  </w:tcMar>
                  <w:vAlign w:val="center"/>
                </w:tcPr>
                <w:p w14:paraId="35B06A92">
                  <w:pPr>
                    <w:keepNext w:val="0"/>
                    <w:keepLines w:val="0"/>
                    <w:pageBreakBefore w:val="0"/>
                    <w:suppressLineNumbers w:val="0"/>
                    <w:kinsoku/>
                    <w:wordWrap/>
                    <w:overflowPunct/>
                    <w:topLinePunct w:val="0"/>
                    <w:autoSpaceDE/>
                    <w:autoSpaceDN/>
                    <w:bidi w:val="0"/>
                    <w:adjustRightInd w:val="0"/>
                    <w:snapToGrid w:val="0"/>
                    <w:spacing w:before="0" w:beforeAutospacing="0" w:after="0" w:afterAutospacing="0" w:line="276" w:lineRule="auto"/>
                    <w:ind w:left="0" w:right="0"/>
                    <w:jc w:val="center"/>
                    <w:rPr>
                      <w:rFonts w:hint="default" w:ascii="Times New Roman" w:hAnsi="Times New Roman" w:eastAsia="宋体" w:cs="Times New Roman"/>
                      <w:sz w:val="18"/>
                      <w:szCs w:val="18"/>
                      <w:highlight w:val="none"/>
                      <w:lang w:val="en-US" w:eastAsia="zh-CN"/>
                    </w:rPr>
                  </w:pPr>
                  <w:r>
                    <w:rPr>
                      <w:rFonts w:hint="eastAsia" w:ascii="Times New Roman" w:hAnsi="Times New Roman" w:eastAsia="宋体" w:cs="Times New Roman"/>
                      <w:sz w:val="18"/>
                      <w:szCs w:val="18"/>
                      <w:highlight w:val="none"/>
                      <w:lang w:val="en-US" w:eastAsia="zh-CN"/>
                    </w:rPr>
                    <w:t>环卫清运</w:t>
                  </w:r>
                </w:p>
              </w:tc>
              <w:tc>
                <w:tcPr>
                  <w:tcW w:w="626" w:type="dxa"/>
                  <w:tcBorders>
                    <w:top w:val="single" w:color="auto" w:sz="4" w:space="0"/>
                    <w:left w:val="single" w:color="auto" w:sz="4" w:space="0"/>
                    <w:bottom w:val="single" w:color="auto" w:sz="4" w:space="0"/>
                    <w:right w:val="single" w:color="auto" w:sz="4" w:space="0"/>
                  </w:tcBorders>
                  <w:shd w:val="clear" w:color="auto" w:fill="auto"/>
                  <w:tcMar>
                    <w:left w:w="57" w:type="dxa"/>
                    <w:right w:w="57" w:type="dxa"/>
                  </w:tcMar>
                  <w:vAlign w:val="center"/>
                </w:tcPr>
                <w:p w14:paraId="4EFAE87E">
                  <w:pPr>
                    <w:keepNext w:val="0"/>
                    <w:keepLines w:val="0"/>
                    <w:pageBreakBefore w:val="0"/>
                    <w:suppressLineNumbers w:val="0"/>
                    <w:kinsoku/>
                    <w:wordWrap/>
                    <w:overflowPunct/>
                    <w:topLinePunct w:val="0"/>
                    <w:autoSpaceDE/>
                    <w:autoSpaceDN/>
                    <w:bidi w:val="0"/>
                    <w:adjustRightInd w:val="0"/>
                    <w:snapToGrid w:val="0"/>
                    <w:spacing w:before="0" w:beforeAutospacing="0" w:after="0" w:afterAutospacing="0" w:line="276" w:lineRule="auto"/>
                    <w:ind w:left="0" w:right="0"/>
                    <w:jc w:val="center"/>
                    <w:rPr>
                      <w:rFonts w:hint="default" w:ascii="Times New Roman" w:hAnsi="Times New Roman" w:eastAsia="宋体" w:cs="Times New Roman"/>
                      <w:color w:val="auto"/>
                      <w:kern w:val="2"/>
                      <w:sz w:val="18"/>
                      <w:szCs w:val="18"/>
                      <w:highlight w:val="none"/>
                      <w:lang w:val="en-US" w:eastAsia="zh-CN" w:bidi="ar-SA"/>
                    </w:rPr>
                  </w:pPr>
                  <w:r>
                    <w:rPr>
                      <w:rFonts w:hint="eastAsia" w:ascii="Times New Roman" w:hAnsi="Times New Roman" w:eastAsia="宋体" w:cs="Times New Roman"/>
                      <w:sz w:val="18"/>
                      <w:szCs w:val="18"/>
                      <w:highlight w:val="none"/>
                      <w:lang w:val="en-US" w:eastAsia="zh-CN"/>
                    </w:rPr>
                    <w:t>91</w:t>
                  </w:r>
                </w:p>
              </w:tc>
            </w:tr>
          </w:tbl>
          <w:p w14:paraId="06856D82">
            <w:pPr>
              <w:keepNext w:val="0"/>
              <w:keepLines w:val="0"/>
              <w:suppressLineNumbers w:val="0"/>
              <w:adjustRightInd w:val="0"/>
              <w:snapToGrid w:val="0"/>
              <w:spacing w:before="0" w:beforeAutospacing="0" w:after="0" w:afterAutospacing="0" w:line="360" w:lineRule="auto"/>
              <w:ind w:left="0" w:right="0" w:firstLine="480" w:firstLineChars="200"/>
              <w:rPr>
                <w:rFonts w:hint="eastAsia" w:ascii="Times New Roman" w:hAnsi="Times New Roman" w:eastAsia="宋体" w:cs="Times New Roman"/>
                <w:b/>
                <w:highlight w:val="none"/>
                <w:lang w:eastAsia="zh-CN"/>
              </w:rPr>
            </w:pPr>
            <w:r>
              <w:rPr>
                <w:rFonts w:hint="default" w:ascii="Times New Roman" w:hAnsi="Times New Roman" w:eastAsia="宋体" w:cs="Times New Roman"/>
                <w:snapToGrid w:val="0"/>
                <w:highlight w:val="none"/>
              </w:rPr>
              <w:t>从</w:t>
            </w:r>
            <w:bookmarkStart w:id="19" w:name="OLE_LINK226"/>
            <w:bookmarkStart w:id="20" w:name="OLE_LINK225"/>
            <w:r>
              <w:rPr>
                <w:rFonts w:hint="default" w:ascii="Times New Roman" w:hAnsi="Times New Roman" w:eastAsia="宋体" w:cs="Times New Roman"/>
                <w:snapToGrid w:val="0"/>
                <w:highlight w:val="none"/>
              </w:rPr>
              <w:t>建设</w:t>
            </w:r>
            <w:bookmarkEnd w:id="19"/>
            <w:bookmarkEnd w:id="20"/>
            <w:r>
              <w:rPr>
                <w:rFonts w:hint="default" w:ascii="Times New Roman" w:hAnsi="Times New Roman" w:eastAsia="宋体" w:cs="Times New Roman"/>
                <w:snapToGrid w:val="0"/>
                <w:highlight w:val="none"/>
              </w:rPr>
              <w:t>项目采用的固废利用及处置方式来分析，对产生的各类固废按其性质分类分区收集和暂存，并均能得到有效利用或妥善处置。在严格管理下，建设项目的固体废物对周围环境不会产生二次污染</w:t>
            </w:r>
            <w:r>
              <w:rPr>
                <w:rFonts w:hint="eastAsia" w:ascii="Times New Roman" w:hAnsi="Times New Roman" w:eastAsia="宋体" w:cs="Times New Roman"/>
                <w:snapToGrid w:val="0"/>
                <w:highlight w:val="none"/>
                <w:lang w:eastAsia="zh-CN"/>
              </w:rPr>
              <w:t>。</w:t>
            </w:r>
          </w:p>
          <w:p w14:paraId="4C17A729">
            <w:pPr>
              <w:pStyle w:val="122"/>
              <w:keepNext w:val="0"/>
              <w:keepLines w:val="0"/>
              <w:suppressLineNumbers w:val="0"/>
              <w:spacing w:before="0" w:beforeAutospacing="0" w:after="0" w:afterAutospacing="0"/>
              <w:ind w:left="0" w:right="0" w:firstLine="482"/>
              <w:rPr>
                <w:rFonts w:hint="default" w:ascii="Times New Roman" w:hAnsi="Times New Roman" w:eastAsia="宋体" w:cs="Times New Roman"/>
                <w:highlight w:val="none"/>
              </w:rPr>
            </w:pPr>
            <w:bookmarkStart w:id="21" w:name="_Hlk28855071"/>
            <w:r>
              <w:rPr>
                <w:rFonts w:hint="eastAsia" w:cs="Times New Roman"/>
                <w:b/>
                <w:snapToGrid w:val="0"/>
                <w:highlight w:val="none"/>
                <w:lang w:eastAsia="zh-CN"/>
              </w:rPr>
              <w:t>（</w:t>
            </w:r>
            <w:r>
              <w:rPr>
                <w:rFonts w:hint="eastAsia" w:cs="Times New Roman"/>
                <w:b/>
                <w:snapToGrid w:val="0"/>
                <w:highlight w:val="none"/>
                <w:lang w:val="en-US" w:eastAsia="zh-CN"/>
              </w:rPr>
              <w:t>2</w:t>
            </w:r>
            <w:r>
              <w:rPr>
                <w:rFonts w:hint="eastAsia" w:cs="Times New Roman"/>
                <w:b/>
                <w:snapToGrid w:val="0"/>
                <w:highlight w:val="none"/>
                <w:lang w:eastAsia="zh-CN"/>
              </w:rPr>
              <w:t>）</w:t>
            </w:r>
            <w:r>
              <w:rPr>
                <w:rFonts w:hint="default" w:ascii="Times New Roman" w:hAnsi="Times New Roman" w:eastAsia="宋体" w:cs="Times New Roman"/>
                <w:b/>
                <w:snapToGrid w:val="0"/>
                <w:highlight w:val="none"/>
              </w:rPr>
              <w:t>固废暂存场所（设施）</w:t>
            </w:r>
            <w:bookmarkEnd w:id="21"/>
            <w:r>
              <w:rPr>
                <w:rFonts w:hint="eastAsia" w:ascii="Times New Roman" w:hAnsi="Times New Roman" w:eastAsia="宋体" w:cs="Times New Roman"/>
                <w:b/>
                <w:snapToGrid w:val="0"/>
                <w:highlight w:val="none"/>
              </w:rPr>
              <w:t>环境</w:t>
            </w:r>
            <w:r>
              <w:rPr>
                <w:rFonts w:hint="default" w:ascii="Times New Roman" w:hAnsi="Times New Roman" w:eastAsia="宋体" w:cs="Times New Roman"/>
                <w:b/>
                <w:snapToGrid w:val="0"/>
                <w:highlight w:val="none"/>
              </w:rPr>
              <w:t>影响分析</w:t>
            </w:r>
          </w:p>
          <w:p w14:paraId="56AF911F">
            <w:pPr>
              <w:pStyle w:val="122"/>
              <w:keepNext w:val="0"/>
              <w:keepLines w:val="0"/>
              <w:suppressLineNumbers w:val="0"/>
              <w:spacing w:before="0" w:beforeAutospacing="0" w:after="0" w:afterAutospacing="0"/>
              <w:ind w:left="0" w:right="0"/>
              <w:rPr>
                <w:rFonts w:hint="default" w:ascii="Times New Roman" w:hAnsi="Times New Roman" w:eastAsia="宋体" w:cs="Times New Roman"/>
                <w:highlight w:val="none"/>
              </w:rPr>
            </w:pPr>
            <w:r>
              <w:rPr>
                <w:rFonts w:hint="eastAsia" w:ascii="Times New Roman" w:hAnsi="Times New Roman" w:eastAsia="宋体" w:cs="Times New Roman"/>
                <w:highlight w:val="none"/>
              </w:rPr>
              <w:t>（1）贮存</w:t>
            </w:r>
            <w:r>
              <w:rPr>
                <w:rFonts w:hint="default" w:ascii="Times New Roman" w:hAnsi="Times New Roman" w:eastAsia="宋体" w:cs="Times New Roman"/>
                <w:highlight w:val="none"/>
              </w:rPr>
              <w:t>区域设置情况</w:t>
            </w:r>
          </w:p>
          <w:p w14:paraId="7FA824E9">
            <w:pPr>
              <w:pStyle w:val="122"/>
              <w:keepNext w:val="0"/>
              <w:keepLines w:val="0"/>
              <w:suppressLineNumbers w:val="0"/>
              <w:spacing w:before="0" w:beforeAutospacing="0" w:after="0" w:afterAutospacing="0"/>
              <w:ind w:left="0" w:right="0"/>
              <w:rPr>
                <w:rFonts w:hint="default" w:ascii="Times New Roman" w:hAnsi="Times New Roman" w:eastAsia="宋体" w:cs="Times New Roman"/>
                <w:highlight w:val="none"/>
              </w:rPr>
            </w:pPr>
            <w:r>
              <w:rPr>
                <w:rFonts w:hint="eastAsia" w:ascii="Times New Roman" w:hAnsi="Times New Roman" w:eastAsia="宋体" w:cs="Times New Roman"/>
                <w:highlight w:val="none"/>
              </w:rPr>
              <w:t>①</w:t>
            </w:r>
            <w:r>
              <w:rPr>
                <w:rFonts w:hint="default" w:ascii="Times New Roman" w:hAnsi="Times New Roman" w:eastAsia="宋体" w:cs="Times New Roman"/>
                <w:highlight w:val="none"/>
              </w:rPr>
              <w:t>一般固废暂存</w:t>
            </w:r>
          </w:p>
          <w:p w14:paraId="1882EB18">
            <w:pPr>
              <w:pStyle w:val="122"/>
              <w:keepNext w:val="0"/>
              <w:keepLines w:val="0"/>
              <w:suppressLineNumbers w:val="0"/>
              <w:spacing w:before="0" w:beforeAutospacing="0" w:after="0" w:afterAutospacing="0"/>
              <w:ind w:left="0" w:right="0"/>
              <w:rPr>
                <w:rFonts w:hint="default" w:ascii="Times New Roman" w:hAnsi="Times New Roman" w:eastAsia="宋体" w:cs="Times New Roman"/>
                <w:highlight w:val="none"/>
              </w:rPr>
            </w:pPr>
            <w:r>
              <w:rPr>
                <w:rFonts w:hint="eastAsia" w:ascii="Times New Roman" w:hAnsi="Times New Roman" w:eastAsia="宋体" w:cs="Times New Roman"/>
                <w:highlight w:val="none"/>
              </w:rPr>
              <w:t>本</w:t>
            </w:r>
            <w:r>
              <w:rPr>
                <w:rFonts w:hint="default" w:ascii="Times New Roman" w:hAnsi="Times New Roman" w:eastAsia="宋体" w:cs="Times New Roman"/>
                <w:highlight w:val="none"/>
              </w:rPr>
              <w:t>项目</w:t>
            </w:r>
            <w:r>
              <w:rPr>
                <w:rFonts w:hint="eastAsia" w:cs="Times New Roman"/>
                <w:highlight w:val="none"/>
                <w:lang w:val="en-US" w:eastAsia="zh-CN"/>
              </w:rPr>
              <w:t>实验动物中心</w:t>
            </w:r>
            <w:r>
              <w:rPr>
                <w:rFonts w:hint="default" w:ascii="Times New Roman" w:hAnsi="Times New Roman" w:eastAsia="宋体" w:cs="Times New Roman"/>
                <w:highlight w:val="none"/>
              </w:rPr>
              <w:t>设置</w:t>
            </w:r>
            <w:r>
              <w:rPr>
                <w:rFonts w:hint="eastAsia" w:cs="Times New Roman"/>
                <w:highlight w:val="none"/>
                <w:lang w:val="en-US" w:eastAsia="zh-CN"/>
              </w:rPr>
              <w:t>一般固废暂存间用于废垫料、粪便暂存。</w:t>
            </w:r>
            <w:r>
              <w:rPr>
                <w:rFonts w:hint="eastAsia" w:ascii="Times New Roman" w:hAnsi="Times New Roman" w:eastAsia="宋体" w:cs="Times New Roman"/>
                <w:highlight w:val="none"/>
              </w:rPr>
              <w:t>废</w:t>
            </w:r>
            <w:r>
              <w:rPr>
                <w:rFonts w:hint="default" w:ascii="Times New Roman" w:hAnsi="Times New Roman" w:eastAsia="宋体" w:cs="Times New Roman"/>
                <w:highlight w:val="none"/>
              </w:rPr>
              <w:t>树脂、</w:t>
            </w:r>
            <w:r>
              <w:rPr>
                <w:rFonts w:hint="eastAsia" w:ascii="Times New Roman" w:hAnsi="Times New Roman" w:eastAsia="宋体" w:cs="Times New Roman"/>
                <w:highlight w:val="none"/>
              </w:rPr>
              <w:t>反</w:t>
            </w:r>
            <w:r>
              <w:rPr>
                <w:rFonts w:hint="eastAsia" w:cs="Times New Roman"/>
                <w:highlight w:val="none"/>
                <w:lang w:val="en-US" w:eastAsia="zh-CN"/>
              </w:rPr>
              <w:t>RO膜</w:t>
            </w:r>
            <w:r>
              <w:rPr>
                <w:rFonts w:hint="eastAsia" w:ascii="Times New Roman" w:hAnsi="Times New Roman" w:eastAsia="宋体" w:cs="Times New Roman"/>
                <w:highlight w:val="none"/>
              </w:rPr>
              <w:t>、净化</w:t>
            </w:r>
            <w:r>
              <w:rPr>
                <w:rFonts w:hint="default" w:ascii="Times New Roman" w:hAnsi="Times New Roman" w:eastAsia="宋体" w:cs="Times New Roman"/>
                <w:highlight w:val="none"/>
              </w:rPr>
              <w:t>空调系统</w:t>
            </w:r>
            <w:r>
              <w:rPr>
                <w:rFonts w:hint="eastAsia" w:ascii="Times New Roman" w:hAnsi="Times New Roman" w:eastAsia="宋体" w:cs="Times New Roman"/>
                <w:highlight w:val="none"/>
              </w:rPr>
              <w:t>废</w:t>
            </w:r>
            <w:r>
              <w:rPr>
                <w:rFonts w:hint="default" w:ascii="Times New Roman" w:hAnsi="Times New Roman" w:eastAsia="宋体" w:cs="Times New Roman"/>
                <w:highlight w:val="none"/>
              </w:rPr>
              <w:t>过滤材料</w:t>
            </w:r>
            <w:r>
              <w:rPr>
                <w:rFonts w:hint="eastAsia" w:ascii="Times New Roman" w:hAnsi="Times New Roman" w:eastAsia="宋体" w:cs="Times New Roman"/>
                <w:highlight w:val="none"/>
              </w:rPr>
              <w:t>等</w:t>
            </w:r>
            <w:r>
              <w:rPr>
                <w:rFonts w:hint="eastAsia" w:cs="Times New Roman"/>
                <w:highlight w:val="none"/>
                <w:lang w:val="en-US" w:eastAsia="zh-CN"/>
              </w:rPr>
              <w:t>等</w:t>
            </w:r>
            <w:r>
              <w:rPr>
                <w:rFonts w:hint="eastAsia" w:ascii="Times New Roman" w:hAnsi="Times New Roman" w:eastAsia="宋体" w:cs="Times New Roman"/>
                <w:highlight w:val="none"/>
              </w:rPr>
              <w:t>在</w:t>
            </w:r>
            <w:r>
              <w:rPr>
                <w:rFonts w:hint="default" w:ascii="Times New Roman" w:hAnsi="Times New Roman" w:eastAsia="宋体" w:cs="Times New Roman"/>
                <w:highlight w:val="none"/>
              </w:rPr>
              <w:t>产生环节就由更换厂商</w:t>
            </w:r>
            <w:r>
              <w:rPr>
                <w:rFonts w:hint="eastAsia" w:ascii="Times New Roman" w:hAnsi="Times New Roman" w:eastAsia="宋体" w:cs="Times New Roman"/>
                <w:highlight w:val="none"/>
              </w:rPr>
              <w:t>直接</w:t>
            </w:r>
            <w:r>
              <w:rPr>
                <w:rFonts w:hint="default" w:ascii="Times New Roman" w:hAnsi="Times New Roman" w:eastAsia="宋体" w:cs="Times New Roman"/>
                <w:highlight w:val="none"/>
              </w:rPr>
              <w:t>回收</w:t>
            </w:r>
            <w:r>
              <w:rPr>
                <w:rFonts w:hint="eastAsia" w:ascii="Times New Roman" w:hAnsi="Times New Roman" w:eastAsia="宋体" w:cs="Times New Roman"/>
                <w:highlight w:val="none"/>
              </w:rPr>
              <w:t>处置</w:t>
            </w:r>
            <w:r>
              <w:rPr>
                <w:rFonts w:hint="default" w:ascii="Times New Roman" w:hAnsi="Times New Roman" w:eastAsia="宋体" w:cs="Times New Roman"/>
                <w:highlight w:val="none"/>
              </w:rPr>
              <w:t>利用</w:t>
            </w:r>
            <w:r>
              <w:rPr>
                <w:rFonts w:hint="eastAsia" w:ascii="Times New Roman" w:hAnsi="Times New Roman" w:eastAsia="宋体" w:cs="Times New Roman"/>
                <w:highlight w:val="none"/>
              </w:rPr>
              <w:t>。</w:t>
            </w:r>
          </w:p>
          <w:p w14:paraId="21DE43F3">
            <w:pPr>
              <w:pStyle w:val="122"/>
              <w:keepNext w:val="0"/>
              <w:keepLines w:val="0"/>
              <w:suppressLineNumbers w:val="0"/>
              <w:spacing w:before="0" w:beforeAutospacing="0" w:after="0" w:afterAutospacing="0"/>
              <w:ind w:left="0" w:right="0"/>
              <w:rPr>
                <w:rFonts w:hint="default" w:ascii="Times New Roman" w:hAnsi="Times New Roman" w:eastAsia="宋体" w:cs="Times New Roman"/>
                <w:highlight w:val="none"/>
              </w:rPr>
            </w:pPr>
            <w:r>
              <w:rPr>
                <w:rFonts w:hint="eastAsia" w:ascii="Times New Roman" w:hAnsi="Times New Roman" w:eastAsia="宋体" w:cs="Times New Roman"/>
                <w:highlight w:val="none"/>
              </w:rPr>
              <w:t>企业</w:t>
            </w:r>
            <w:r>
              <w:rPr>
                <w:rFonts w:hint="default" w:ascii="Times New Roman" w:hAnsi="Times New Roman" w:eastAsia="宋体" w:cs="Times New Roman"/>
                <w:highlight w:val="none"/>
              </w:rPr>
              <w:t>产生</w:t>
            </w:r>
            <w:r>
              <w:rPr>
                <w:rFonts w:hint="eastAsia" w:ascii="Times New Roman" w:hAnsi="Times New Roman" w:eastAsia="宋体" w:cs="Times New Roman"/>
                <w:highlight w:val="none"/>
              </w:rPr>
              <w:t>的一般</w:t>
            </w:r>
            <w:r>
              <w:rPr>
                <w:rFonts w:hint="default" w:ascii="Times New Roman" w:hAnsi="Times New Roman" w:eastAsia="宋体" w:cs="Times New Roman"/>
                <w:highlight w:val="none"/>
              </w:rPr>
              <w:t>废包装材料</w:t>
            </w:r>
            <w:r>
              <w:rPr>
                <w:rFonts w:hint="eastAsia" w:ascii="Times New Roman" w:hAnsi="Times New Roman" w:eastAsia="宋体" w:cs="Times New Roman"/>
                <w:highlight w:val="none"/>
              </w:rPr>
              <w:t>收</w:t>
            </w:r>
            <w:r>
              <w:rPr>
                <w:rFonts w:hint="default" w:ascii="Times New Roman" w:hAnsi="Times New Roman" w:eastAsia="宋体" w:cs="Times New Roman"/>
                <w:highlight w:val="none"/>
              </w:rPr>
              <w:t>集后，暂存于</w:t>
            </w:r>
            <w:r>
              <w:rPr>
                <w:rFonts w:hint="eastAsia" w:ascii="Times New Roman" w:hAnsi="Times New Roman" w:eastAsia="宋体" w:cs="Times New Roman"/>
                <w:highlight w:val="none"/>
              </w:rPr>
              <w:t>各</w:t>
            </w:r>
            <w:r>
              <w:rPr>
                <w:rFonts w:hint="default" w:ascii="Times New Roman" w:hAnsi="Times New Roman" w:eastAsia="宋体" w:cs="Times New Roman"/>
                <w:highlight w:val="none"/>
              </w:rPr>
              <w:t>实验室垃圾收集点，</w:t>
            </w:r>
            <w:r>
              <w:rPr>
                <w:rFonts w:hint="eastAsia" w:ascii="Times New Roman" w:hAnsi="Times New Roman" w:eastAsia="宋体" w:cs="Times New Roman"/>
                <w:highlight w:val="none"/>
              </w:rPr>
              <w:t>定期</w:t>
            </w:r>
            <w:r>
              <w:rPr>
                <w:rFonts w:hint="default" w:ascii="Times New Roman" w:hAnsi="Times New Roman" w:eastAsia="宋体" w:cs="Times New Roman"/>
                <w:highlight w:val="none"/>
              </w:rPr>
              <w:t>委托一般固废处置单位</w:t>
            </w:r>
            <w:r>
              <w:rPr>
                <w:rFonts w:hint="eastAsia" w:ascii="Times New Roman" w:hAnsi="Times New Roman" w:eastAsia="宋体" w:cs="Times New Roman"/>
                <w:highlight w:val="none"/>
              </w:rPr>
              <w:t>回收</w:t>
            </w:r>
            <w:r>
              <w:rPr>
                <w:rFonts w:hint="default" w:ascii="Times New Roman" w:hAnsi="Times New Roman" w:eastAsia="宋体" w:cs="Times New Roman"/>
                <w:highlight w:val="none"/>
              </w:rPr>
              <w:t>。</w:t>
            </w:r>
          </w:p>
          <w:p w14:paraId="43B488B1">
            <w:pPr>
              <w:pStyle w:val="122"/>
              <w:keepNext w:val="0"/>
              <w:keepLines w:val="0"/>
              <w:suppressLineNumbers w:val="0"/>
              <w:spacing w:before="0" w:beforeAutospacing="0" w:after="0" w:afterAutospacing="0"/>
              <w:ind w:left="0" w:right="0"/>
              <w:rPr>
                <w:rFonts w:hint="default" w:ascii="Times New Roman" w:hAnsi="Times New Roman" w:eastAsia="宋体" w:cs="Times New Roman"/>
                <w:highlight w:val="none"/>
              </w:rPr>
            </w:pPr>
            <w:r>
              <w:rPr>
                <w:rFonts w:hint="eastAsia" w:ascii="Times New Roman" w:hAnsi="Times New Roman" w:eastAsia="宋体" w:cs="Times New Roman"/>
                <w:highlight w:val="none"/>
              </w:rPr>
              <w:t>②</w:t>
            </w:r>
            <w:r>
              <w:rPr>
                <w:rFonts w:hint="default" w:ascii="Times New Roman" w:hAnsi="Times New Roman" w:eastAsia="宋体" w:cs="Times New Roman"/>
                <w:highlight w:val="none"/>
              </w:rPr>
              <w:t>危废</w:t>
            </w:r>
            <w:r>
              <w:rPr>
                <w:rFonts w:hint="eastAsia" w:ascii="Times New Roman" w:hAnsi="Times New Roman" w:eastAsia="宋体" w:cs="Times New Roman"/>
                <w:highlight w:val="none"/>
              </w:rPr>
              <w:t>收集暂存</w:t>
            </w:r>
            <w:r>
              <w:rPr>
                <w:rFonts w:hint="default" w:ascii="Times New Roman" w:hAnsi="Times New Roman" w:eastAsia="宋体" w:cs="Times New Roman"/>
                <w:highlight w:val="none"/>
              </w:rPr>
              <w:t>间</w:t>
            </w:r>
          </w:p>
          <w:p w14:paraId="5E870E90">
            <w:pPr>
              <w:pStyle w:val="122"/>
              <w:keepNext w:val="0"/>
              <w:keepLines w:val="0"/>
              <w:suppressLineNumbers w:val="0"/>
              <w:spacing w:before="0" w:beforeAutospacing="0" w:after="0" w:afterAutospacing="0"/>
              <w:ind w:left="0" w:right="0"/>
              <w:rPr>
                <w:rFonts w:hint="default" w:ascii="Times New Roman" w:hAnsi="Times New Roman" w:eastAsia="宋体" w:cs="Times New Roman"/>
                <w:highlight w:val="none"/>
              </w:rPr>
            </w:pPr>
            <w:r>
              <w:rPr>
                <w:rFonts w:hint="eastAsia" w:ascii="Times New Roman" w:hAnsi="Times New Roman" w:eastAsia="宋体" w:cs="Times New Roman"/>
                <w:highlight w:val="none"/>
                <w:lang w:val="en-US" w:eastAsia="zh-CN"/>
              </w:rPr>
              <w:t>实验动物中心</w:t>
            </w:r>
            <w:r>
              <w:rPr>
                <w:rFonts w:hint="default" w:ascii="Times New Roman" w:hAnsi="Times New Roman" w:eastAsia="宋体" w:cs="Times New Roman"/>
                <w:highlight w:val="none"/>
              </w:rPr>
              <w:t>、</w:t>
            </w:r>
            <w:r>
              <w:rPr>
                <w:rFonts w:hint="eastAsia" w:ascii="Times New Roman" w:hAnsi="Times New Roman" w:eastAsia="宋体" w:cs="Times New Roman"/>
                <w:highlight w:val="none"/>
                <w:lang w:val="en-US" w:eastAsia="zh-CN"/>
              </w:rPr>
              <w:t>科创综合楼</w:t>
            </w:r>
            <w:r>
              <w:rPr>
                <w:rFonts w:hint="default" w:ascii="Times New Roman" w:hAnsi="Times New Roman" w:eastAsia="宋体" w:cs="Times New Roman"/>
                <w:highlight w:val="none"/>
              </w:rPr>
              <w:t>均设有危废收集</w:t>
            </w:r>
            <w:r>
              <w:rPr>
                <w:rFonts w:hint="eastAsia" w:ascii="Times New Roman" w:hAnsi="Times New Roman" w:eastAsia="宋体" w:cs="Times New Roman"/>
                <w:highlight w:val="none"/>
              </w:rPr>
              <w:t>暂存</w:t>
            </w:r>
            <w:r>
              <w:rPr>
                <w:rFonts w:hint="default" w:ascii="Times New Roman" w:hAnsi="Times New Roman" w:eastAsia="宋体" w:cs="Times New Roman"/>
                <w:highlight w:val="none"/>
              </w:rPr>
              <w:t>间。</w:t>
            </w:r>
            <w:r>
              <w:rPr>
                <w:rFonts w:hint="eastAsia" w:ascii="Times New Roman" w:hAnsi="Times New Roman" w:eastAsia="宋体" w:cs="Times New Roman"/>
                <w:highlight w:val="none"/>
                <w:lang w:val="en-US" w:eastAsia="zh-CN"/>
              </w:rPr>
              <w:t>实验动物中心</w:t>
            </w:r>
            <w:r>
              <w:rPr>
                <w:rFonts w:hint="eastAsia" w:ascii="Times New Roman" w:hAnsi="Times New Roman" w:eastAsia="宋体" w:cs="Times New Roman"/>
                <w:highlight w:val="none"/>
                <w:lang w:eastAsia="zh-CN"/>
              </w:rPr>
              <w:t>固废收集暂存间主要暂存医疗废物</w:t>
            </w:r>
            <w:r>
              <w:rPr>
                <w:rFonts w:hint="eastAsia" w:cs="Times New Roman"/>
                <w:highlight w:val="none"/>
                <w:lang w:eastAsia="zh-CN"/>
              </w:rPr>
              <w:t>、</w:t>
            </w:r>
            <w:r>
              <w:rPr>
                <w:rFonts w:hint="eastAsia" w:cs="Times New Roman"/>
                <w:highlight w:val="none"/>
                <w:lang w:val="en-US" w:eastAsia="zh-CN"/>
              </w:rPr>
              <w:t>实验废液等</w:t>
            </w:r>
            <w:r>
              <w:rPr>
                <w:rFonts w:hint="eastAsia" w:ascii="Times New Roman" w:hAnsi="Times New Roman" w:eastAsia="宋体" w:cs="Times New Roman"/>
                <w:highlight w:val="none"/>
                <w:lang w:eastAsia="zh-CN"/>
              </w:rPr>
              <w:t>，</w:t>
            </w:r>
            <w:r>
              <w:rPr>
                <w:rFonts w:hint="eastAsia" w:ascii="Times New Roman" w:hAnsi="Times New Roman" w:eastAsia="宋体" w:cs="Times New Roman"/>
                <w:highlight w:val="none"/>
                <w:lang w:val="en-US" w:eastAsia="zh-CN"/>
              </w:rPr>
              <w:t>共设置</w:t>
            </w:r>
            <w:r>
              <w:rPr>
                <w:rFonts w:hint="eastAsia" w:cs="Times New Roman"/>
                <w:highlight w:val="none"/>
                <w:lang w:val="en-US" w:eastAsia="zh-CN"/>
              </w:rPr>
              <w:t>2</w:t>
            </w:r>
            <w:r>
              <w:rPr>
                <w:rFonts w:hint="eastAsia" w:ascii="Times New Roman" w:hAnsi="Times New Roman" w:eastAsia="宋体" w:cs="Times New Roman"/>
                <w:highlight w:val="none"/>
                <w:lang w:val="en-US" w:eastAsia="zh-CN"/>
              </w:rPr>
              <w:t>间危废暂存库（占地面积分别为</w:t>
            </w:r>
            <w:r>
              <w:rPr>
                <w:rFonts w:hint="eastAsia" w:cs="Times New Roman"/>
                <w:highlight w:val="none"/>
                <w:lang w:val="en-US" w:eastAsia="zh-CN"/>
              </w:rPr>
              <w:t>20</w:t>
            </w:r>
            <w:r>
              <w:rPr>
                <w:rFonts w:hint="eastAsia" w:ascii="Times New Roman" w:hAnsi="Times New Roman" w:eastAsia="宋体" w:cs="Times New Roman"/>
                <w:highlight w:val="none"/>
                <w:lang w:val="en-US" w:eastAsia="zh-CN"/>
              </w:rPr>
              <w:t>m</w:t>
            </w:r>
            <w:r>
              <w:rPr>
                <w:rFonts w:hint="eastAsia" w:ascii="Times New Roman" w:hAnsi="Times New Roman" w:eastAsia="宋体" w:cs="Times New Roman"/>
                <w:highlight w:val="none"/>
                <w:vertAlign w:val="superscript"/>
                <w:lang w:val="en-US" w:eastAsia="zh-CN"/>
              </w:rPr>
              <w:t>2</w:t>
            </w:r>
            <w:r>
              <w:rPr>
                <w:rFonts w:hint="eastAsia" w:ascii="Times New Roman" w:hAnsi="Times New Roman" w:eastAsia="宋体" w:cs="Times New Roman"/>
                <w:highlight w:val="none"/>
                <w:lang w:val="en-US" w:eastAsia="zh-CN"/>
              </w:rPr>
              <w:t>、1</w:t>
            </w:r>
            <w:r>
              <w:rPr>
                <w:rFonts w:hint="eastAsia" w:cs="Times New Roman"/>
                <w:highlight w:val="none"/>
                <w:lang w:val="en-US" w:eastAsia="zh-CN"/>
              </w:rPr>
              <w:t>5</w:t>
            </w:r>
            <w:r>
              <w:rPr>
                <w:rFonts w:hint="eastAsia" w:ascii="Times New Roman" w:hAnsi="Times New Roman" w:eastAsia="宋体" w:cs="Times New Roman"/>
                <w:highlight w:val="none"/>
                <w:lang w:val="en-US" w:eastAsia="zh-CN"/>
              </w:rPr>
              <w:t>m</w:t>
            </w:r>
            <w:r>
              <w:rPr>
                <w:rFonts w:hint="eastAsia" w:ascii="Times New Roman" w:hAnsi="Times New Roman" w:eastAsia="宋体" w:cs="Times New Roman"/>
                <w:highlight w:val="none"/>
                <w:vertAlign w:val="superscript"/>
                <w:lang w:val="en-US" w:eastAsia="zh-CN"/>
              </w:rPr>
              <w:t>2</w:t>
            </w:r>
            <w:r>
              <w:rPr>
                <w:rFonts w:hint="eastAsia" w:ascii="Times New Roman" w:hAnsi="Times New Roman" w:eastAsia="宋体" w:cs="Times New Roman"/>
                <w:highlight w:val="none"/>
                <w:lang w:val="en-US" w:eastAsia="zh-CN"/>
              </w:rPr>
              <w:t>）</w:t>
            </w:r>
            <w:r>
              <w:rPr>
                <w:rFonts w:hint="eastAsia" w:ascii="Times New Roman" w:hAnsi="Times New Roman" w:eastAsia="宋体" w:cs="Times New Roman"/>
                <w:highlight w:val="none"/>
                <w:lang w:eastAsia="zh-CN"/>
              </w:rPr>
              <w:t>。</w:t>
            </w:r>
            <w:r>
              <w:rPr>
                <w:rFonts w:hint="eastAsia" w:ascii="Times New Roman" w:hAnsi="Times New Roman" w:eastAsia="宋体" w:cs="Times New Roman"/>
                <w:highlight w:val="none"/>
                <w:lang w:val="en-US" w:eastAsia="zh-CN"/>
              </w:rPr>
              <w:t>科创综合楼</w:t>
            </w:r>
            <w:r>
              <w:rPr>
                <w:rFonts w:hint="eastAsia" w:ascii="Times New Roman" w:hAnsi="Times New Roman" w:eastAsia="宋体" w:cs="Times New Roman"/>
                <w:highlight w:val="none"/>
              </w:rPr>
              <w:t>固废</w:t>
            </w:r>
            <w:r>
              <w:rPr>
                <w:rFonts w:hint="default" w:ascii="Times New Roman" w:hAnsi="Times New Roman" w:eastAsia="宋体" w:cs="Times New Roman"/>
                <w:highlight w:val="none"/>
              </w:rPr>
              <w:t>收集</w:t>
            </w:r>
            <w:r>
              <w:rPr>
                <w:rFonts w:hint="eastAsia" w:ascii="Times New Roman" w:hAnsi="Times New Roman" w:eastAsia="宋体" w:cs="Times New Roman"/>
                <w:highlight w:val="none"/>
              </w:rPr>
              <w:t>暂存</w:t>
            </w:r>
            <w:r>
              <w:rPr>
                <w:rFonts w:hint="default" w:ascii="Times New Roman" w:hAnsi="Times New Roman" w:eastAsia="宋体" w:cs="Times New Roman"/>
                <w:highlight w:val="none"/>
              </w:rPr>
              <w:t>间主要收集实验室产生的实验废液</w:t>
            </w:r>
            <w:r>
              <w:rPr>
                <w:rFonts w:hint="eastAsia" w:ascii="Times New Roman" w:hAnsi="Times New Roman" w:eastAsia="宋体" w:cs="Times New Roman"/>
                <w:highlight w:val="none"/>
              </w:rPr>
              <w:t>，废实验</w:t>
            </w:r>
            <w:r>
              <w:rPr>
                <w:rFonts w:hint="default" w:ascii="Times New Roman" w:hAnsi="Times New Roman" w:eastAsia="宋体" w:cs="Times New Roman"/>
                <w:highlight w:val="none"/>
              </w:rPr>
              <w:t>耗材</w:t>
            </w:r>
            <w:r>
              <w:rPr>
                <w:rFonts w:hint="eastAsia" w:ascii="Times New Roman" w:hAnsi="Times New Roman" w:eastAsia="宋体" w:cs="Times New Roman"/>
                <w:highlight w:val="none"/>
              </w:rPr>
              <w:t>，沾染</w:t>
            </w:r>
            <w:r>
              <w:rPr>
                <w:rFonts w:hint="default" w:ascii="Times New Roman" w:hAnsi="Times New Roman" w:eastAsia="宋体" w:cs="Times New Roman"/>
                <w:highlight w:val="none"/>
              </w:rPr>
              <w:t>化学品</w:t>
            </w:r>
            <w:r>
              <w:rPr>
                <w:rFonts w:hint="eastAsia" w:ascii="Times New Roman" w:hAnsi="Times New Roman" w:eastAsia="宋体" w:cs="Times New Roman"/>
                <w:highlight w:val="none"/>
              </w:rPr>
              <w:t>的</w:t>
            </w:r>
            <w:r>
              <w:rPr>
                <w:rFonts w:hint="default" w:ascii="Times New Roman" w:hAnsi="Times New Roman" w:eastAsia="宋体" w:cs="Times New Roman"/>
                <w:highlight w:val="none"/>
              </w:rPr>
              <w:t>废包装瓶</w:t>
            </w:r>
            <w:r>
              <w:rPr>
                <w:rFonts w:hint="eastAsia" w:ascii="Times New Roman" w:hAnsi="Times New Roman" w:eastAsia="宋体" w:cs="Times New Roman"/>
                <w:highlight w:val="none"/>
              </w:rPr>
              <w:t>/桶</w:t>
            </w:r>
            <w:r>
              <w:rPr>
                <w:rFonts w:hint="eastAsia" w:cs="Times New Roman"/>
                <w:highlight w:val="none"/>
                <w:lang w:eastAsia="zh-CN"/>
              </w:rPr>
              <w:t>，</w:t>
            </w:r>
            <w:r>
              <w:rPr>
                <w:rFonts w:hint="eastAsia" w:cs="Times New Roman"/>
                <w:highlight w:val="none"/>
                <w:lang w:val="en-US" w:eastAsia="zh-CN"/>
              </w:rPr>
              <w:t>废活性炭</w:t>
            </w:r>
            <w:r>
              <w:rPr>
                <w:rFonts w:hint="eastAsia" w:ascii="Times New Roman" w:hAnsi="Times New Roman" w:eastAsia="宋体" w:cs="Times New Roman"/>
                <w:highlight w:val="none"/>
              </w:rPr>
              <w:t>等。本</w:t>
            </w:r>
            <w:r>
              <w:rPr>
                <w:rFonts w:hint="default" w:ascii="Times New Roman" w:hAnsi="Times New Roman" w:eastAsia="宋体" w:cs="Times New Roman"/>
                <w:highlight w:val="none"/>
              </w:rPr>
              <w:t>项目楼栋内危废收集暂存间</w:t>
            </w:r>
            <w:r>
              <w:rPr>
                <w:rFonts w:hint="eastAsia" w:ascii="Times New Roman" w:hAnsi="Times New Roman" w:eastAsia="宋体" w:cs="Times New Roman"/>
                <w:highlight w:val="none"/>
              </w:rPr>
              <w:t>均</w:t>
            </w:r>
            <w:r>
              <w:rPr>
                <w:rFonts w:hint="default" w:ascii="Times New Roman" w:hAnsi="Times New Roman" w:eastAsia="宋体" w:cs="Times New Roman"/>
                <w:highlight w:val="none"/>
              </w:rPr>
              <w:t>能满足</w:t>
            </w:r>
            <w:r>
              <w:rPr>
                <w:rFonts w:hint="eastAsia" w:ascii="Times New Roman" w:hAnsi="Times New Roman" w:eastAsia="宋体" w:cs="Times New Roman"/>
                <w:highlight w:val="none"/>
              </w:rPr>
              <w:t>最大</w:t>
            </w:r>
            <w:r>
              <w:rPr>
                <w:rFonts w:hint="default" w:ascii="Times New Roman" w:hAnsi="Times New Roman" w:eastAsia="宋体" w:cs="Times New Roman"/>
                <w:highlight w:val="none"/>
              </w:rPr>
              <w:t>贮存量</w:t>
            </w:r>
            <w:r>
              <w:rPr>
                <w:rFonts w:hint="eastAsia" w:ascii="Times New Roman" w:hAnsi="Times New Roman" w:eastAsia="宋体" w:cs="Times New Roman"/>
                <w:highlight w:val="none"/>
              </w:rPr>
              <w:t>0.5</w:t>
            </w:r>
            <w:r>
              <w:rPr>
                <w:rFonts w:hint="default" w:ascii="Times New Roman" w:hAnsi="Times New Roman" w:eastAsia="宋体" w:cs="Times New Roman"/>
                <w:highlight w:val="none"/>
              </w:rPr>
              <w:t>t</w:t>
            </w:r>
            <w:r>
              <w:rPr>
                <w:rFonts w:hint="eastAsia" w:ascii="Times New Roman" w:hAnsi="Times New Roman" w:eastAsia="宋体" w:cs="Times New Roman"/>
                <w:highlight w:val="none"/>
              </w:rPr>
              <w:t>的</w:t>
            </w:r>
            <w:r>
              <w:rPr>
                <w:rFonts w:hint="default" w:ascii="Times New Roman" w:hAnsi="Times New Roman" w:eastAsia="宋体" w:cs="Times New Roman"/>
                <w:highlight w:val="none"/>
              </w:rPr>
              <w:t>要求。</w:t>
            </w:r>
          </w:p>
          <w:p w14:paraId="6ABF0685">
            <w:pPr>
              <w:pStyle w:val="122"/>
              <w:keepNext w:val="0"/>
              <w:keepLines w:val="0"/>
              <w:suppressLineNumbers w:val="0"/>
              <w:spacing w:before="0" w:beforeAutospacing="0" w:after="0" w:afterAutospacing="0"/>
              <w:ind w:left="0" w:right="0"/>
              <w:rPr>
                <w:rFonts w:hint="default" w:ascii="Times New Roman" w:hAnsi="Times New Roman" w:eastAsia="宋体" w:cs="Times New Roman"/>
                <w:highlight w:val="none"/>
              </w:rPr>
            </w:pPr>
            <w:r>
              <w:rPr>
                <w:rFonts w:hint="eastAsia" w:ascii="Times New Roman" w:hAnsi="Times New Roman" w:eastAsia="宋体" w:cs="Times New Roman"/>
                <w:highlight w:val="none"/>
              </w:rPr>
              <w:t>（2）危废</w:t>
            </w:r>
            <w:r>
              <w:rPr>
                <w:rFonts w:hint="default" w:ascii="Times New Roman" w:hAnsi="Times New Roman" w:eastAsia="宋体" w:cs="Times New Roman"/>
                <w:highlight w:val="none"/>
              </w:rPr>
              <w:t>贮存能力可行性分析</w:t>
            </w:r>
          </w:p>
          <w:p w14:paraId="75995F6B">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60" w:lineRule="auto"/>
              <w:ind w:left="0" w:right="0" w:firstLine="480" w:firstLineChars="200"/>
              <w:textAlignment w:val="auto"/>
              <w:rPr>
                <w:rFonts w:hint="eastAsia" w:ascii="Times New Roman" w:hAnsi="Times New Roman" w:eastAsia="宋体" w:cs="Times New Roman"/>
                <w:b/>
                <w:highlight w:val="none"/>
                <w:lang w:eastAsia="zh-CN"/>
              </w:rPr>
            </w:pPr>
            <w:r>
              <w:rPr>
                <w:rFonts w:hint="eastAsia" w:ascii="Times New Roman" w:hAnsi="Times New Roman" w:eastAsia="宋体" w:cs="Times New Roman"/>
                <w:highlight w:val="none"/>
              </w:rPr>
              <w:t>本</w:t>
            </w:r>
            <w:r>
              <w:rPr>
                <w:rFonts w:hint="default" w:ascii="Times New Roman" w:hAnsi="Times New Roman" w:eastAsia="宋体" w:cs="Times New Roman"/>
                <w:highlight w:val="none"/>
              </w:rPr>
              <w:t>项目</w:t>
            </w:r>
            <w:r>
              <w:rPr>
                <w:rFonts w:hint="eastAsia" w:ascii="Times New Roman" w:hAnsi="Times New Roman" w:eastAsia="宋体" w:cs="Times New Roman"/>
                <w:highlight w:val="none"/>
              </w:rPr>
              <w:t>按照《实验室</w:t>
            </w:r>
            <w:r>
              <w:rPr>
                <w:rFonts w:hint="default" w:ascii="Times New Roman" w:hAnsi="Times New Roman" w:eastAsia="宋体" w:cs="Times New Roman"/>
                <w:highlight w:val="none"/>
              </w:rPr>
              <w:t>危险废物污染防治技术规范</w:t>
            </w:r>
            <w:r>
              <w:rPr>
                <w:rFonts w:hint="eastAsia" w:ascii="Times New Roman" w:hAnsi="Times New Roman" w:eastAsia="宋体" w:cs="Times New Roman"/>
                <w:highlight w:val="none"/>
              </w:rPr>
              <w:t>》（DB</w:t>
            </w:r>
            <w:r>
              <w:rPr>
                <w:rFonts w:hint="default" w:ascii="Times New Roman" w:hAnsi="Times New Roman" w:eastAsia="宋体" w:cs="Times New Roman"/>
                <w:highlight w:val="none"/>
              </w:rPr>
              <w:t>3201/T 1168-2023</w:t>
            </w:r>
            <w:r>
              <w:rPr>
                <w:rFonts w:hint="eastAsia" w:ascii="Times New Roman" w:hAnsi="Times New Roman" w:eastAsia="宋体" w:cs="Times New Roman"/>
                <w:highlight w:val="none"/>
              </w:rPr>
              <w:t>）要求建设危废库</w:t>
            </w:r>
            <w:r>
              <w:rPr>
                <w:rFonts w:hint="default" w:ascii="Times New Roman" w:hAnsi="Times New Roman" w:eastAsia="宋体" w:cs="Times New Roman"/>
                <w:highlight w:val="none"/>
              </w:rPr>
              <w:t>，</w:t>
            </w:r>
            <w:r>
              <w:rPr>
                <w:rFonts w:hint="eastAsia" w:ascii="Times New Roman" w:hAnsi="Times New Roman" w:eastAsia="宋体" w:cs="Times New Roman"/>
                <w:highlight w:val="none"/>
              </w:rPr>
              <w:t>项目</w:t>
            </w:r>
            <w:r>
              <w:rPr>
                <w:rFonts w:hint="default" w:ascii="Times New Roman" w:hAnsi="Times New Roman" w:eastAsia="宋体" w:cs="Times New Roman"/>
                <w:highlight w:val="none"/>
              </w:rPr>
              <w:t>危废库</w:t>
            </w:r>
            <w:r>
              <w:rPr>
                <w:rFonts w:hint="eastAsia" w:ascii="Times New Roman" w:hAnsi="Times New Roman" w:eastAsia="宋体" w:cs="Times New Roman"/>
                <w:highlight w:val="none"/>
              </w:rPr>
              <w:t>不同贮存分区之间应根据危险废物特性采用过道、隔板、隔墙等物理隔离措施</w:t>
            </w:r>
            <w:r>
              <w:rPr>
                <w:rFonts w:hint="eastAsia" w:ascii="Times New Roman" w:hAnsi="Times New Roman" w:eastAsia="宋体" w:cs="Times New Roman"/>
                <w:highlight w:val="none"/>
                <w:lang w:eastAsia="zh-CN"/>
              </w:rPr>
              <w:t>。</w:t>
            </w:r>
          </w:p>
          <w:p w14:paraId="7AFC3BED">
            <w:pPr>
              <w:pStyle w:val="130"/>
              <w:keepNext w:val="0"/>
              <w:keepLines w:val="0"/>
              <w:pageBreakBefore w:val="0"/>
              <w:widowControl/>
              <w:suppressLineNumbers w:val="0"/>
              <w:kinsoku/>
              <w:wordWrap/>
              <w:overflowPunct w:val="0"/>
              <w:topLinePunct w:val="0"/>
              <w:autoSpaceDE/>
              <w:autoSpaceDN/>
              <w:bidi w:val="0"/>
              <w:adjustRightInd/>
              <w:snapToGrid/>
              <w:spacing w:before="0" w:beforeLines="0" w:beforeAutospacing="0" w:after="0" w:afterAutospacing="0" w:line="360" w:lineRule="auto"/>
              <w:ind w:left="0" w:right="0"/>
              <w:textAlignment w:val="baseline"/>
              <w:rPr>
                <w:rFonts w:hint="eastAsia" w:ascii="Times New Roman" w:hAnsi="Times New Roman" w:eastAsia="宋体" w:cs="Times New Roman"/>
                <w:highlight w:val="none"/>
              </w:rPr>
            </w:pPr>
          </w:p>
          <w:p w14:paraId="683E8733">
            <w:pPr>
              <w:pStyle w:val="130"/>
              <w:keepNext w:val="0"/>
              <w:keepLines w:val="0"/>
              <w:pageBreakBefore w:val="0"/>
              <w:widowControl/>
              <w:suppressLineNumbers w:val="0"/>
              <w:kinsoku/>
              <w:wordWrap/>
              <w:overflowPunct w:val="0"/>
              <w:topLinePunct w:val="0"/>
              <w:autoSpaceDE/>
              <w:autoSpaceDN/>
              <w:bidi w:val="0"/>
              <w:adjustRightInd/>
              <w:snapToGrid/>
              <w:spacing w:before="0" w:beforeLines="0" w:beforeAutospacing="0" w:after="0" w:afterAutospacing="0" w:line="360" w:lineRule="auto"/>
              <w:ind w:left="0" w:right="0"/>
              <w:textAlignment w:val="baseline"/>
              <w:rPr>
                <w:rFonts w:hint="eastAsia" w:ascii="Times New Roman" w:hAnsi="Times New Roman" w:eastAsia="宋体" w:cs="Times New Roman"/>
                <w:highlight w:val="none"/>
              </w:rPr>
            </w:pPr>
          </w:p>
          <w:p w14:paraId="434D796B">
            <w:pPr>
              <w:pStyle w:val="130"/>
              <w:keepNext w:val="0"/>
              <w:keepLines w:val="0"/>
              <w:pageBreakBefore w:val="0"/>
              <w:widowControl/>
              <w:suppressLineNumbers w:val="0"/>
              <w:kinsoku/>
              <w:wordWrap/>
              <w:overflowPunct w:val="0"/>
              <w:topLinePunct w:val="0"/>
              <w:autoSpaceDE/>
              <w:autoSpaceDN/>
              <w:bidi w:val="0"/>
              <w:adjustRightInd/>
              <w:snapToGrid/>
              <w:spacing w:before="0" w:beforeLines="0" w:beforeAutospacing="0" w:after="0" w:afterAutospacing="0" w:line="360" w:lineRule="auto"/>
              <w:ind w:left="0" w:right="0"/>
              <w:textAlignment w:val="baseline"/>
              <w:rPr>
                <w:rFonts w:hint="eastAsia" w:ascii="Times New Roman" w:hAnsi="Times New Roman" w:eastAsia="宋体" w:cs="Times New Roman"/>
                <w:highlight w:val="none"/>
              </w:rPr>
            </w:pPr>
          </w:p>
          <w:p w14:paraId="432394FD">
            <w:pPr>
              <w:pStyle w:val="130"/>
              <w:keepNext w:val="0"/>
              <w:keepLines w:val="0"/>
              <w:pageBreakBefore w:val="0"/>
              <w:widowControl/>
              <w:suppressLineNumbers w:val="0"/>
              <w:kinsoku/>
              <w:wordWrap/>
              <w:overflowPunct w:val="0"/>
              <w:topLinePunct w:val="0"/>
              <w:autoSpaceDE/>
              <w:autoSpaceDN/>
              <w:bidi w:val="0"/>
              <w:adjustRightInd/>
              <w:snapToGrid/>
              <w:spacing w:before="0" w:beforeLines="0" w:beforeAutospacing="0" w:after="0" w:afterAutospacing="0" w:line="360" w:lineRule="auto"/>
              <w:ind w:left="0" w:right="0"/>
              <w:textAlignment w:val="baseline"/>
              <w:rPr>
                <w:rFonts w:hint="default" w:ascii="Times New Roman" w:hAnsi="Times New Roman" w:eastAsia="宋体" w:cs="Times New Roman"/>
                <w:highlight w:val="none"/>
              </w:rPr>
            </w:pPr>
            <w:r>
              <w:rPr>
                <w:rFonts w:hint="eastAsia" w:ascii="Times New Roman" w:hAnsi="Times New Roman" w:eastAsia="宋体" w:cs="Times New Roman"/>
                <w:highlight w:val="none"/>
              </w:rPr>
              <w:t>表4-</w:t>
            </w:r>
            <w:r>
              <w:rPr>
                <w:rFonts w:hint="eastAsia" w:cs="Times New Roman"/>
                <w:highlight w:val="none"/>
                <w:lang w:val="en-US" w:eastAsia="zh-CN"/>
              </w:rPr>
              <w:t>14</w:t>
            </w:r>
            <w:r>
              <w:rPr>
                <w:rFonts w:hint="eastAsia" w:ascii="Times New Roman" w:hAnsi="Times New Roman" w:eastAsia="宋体" w:cs="Times New Roman"/>
                <w:highlight w:val="none"/>
              </w:rPr>
              <w:t xml:space="preserve"> </w:t>
            </w:r>
            <w:r>
              <w:rPr>
                <w:rFonts w:hint="default" w:ascii="Times New Roman" w:hAnsi="Times New Roman" w:eastAsia="宋体" w:cs="Times New Roman"/>
                <w:highlight w:val="none"/>
              </w:rPr>
              <w:t xml:space="preserve"> </w:t>
            </w:r>
            <w:r>
              <w:rPr>
                <w:rFonts w:hint="eastAsia" w:ascii="Times New Roman" w:hAnsi="Times New Roman" w:eastAsia="宋体" w:cs="Times New Roman"/>
                <w:highlight w:val="none"/>
              </w:rPr>
              <w:t>危废库</w:t>
            </w:r>
            <w:r>
              <w:rPr>
                <w:rFonts w:hint="default" w:ascii="Times New Roman" w:hAnsi="Times New Roman" w:eastAsia="宋体" w:cs="Times New Roman"/>
                <w:highlight w:val="none"/>
              </w:rPr>
              <w:t>贮存能力可行性分析</w:t>
            </w:r>
          </w:p>
          <w:tbl>
            <w:tblPr>
              <w:tblStyle w:val="32"/>
              <w:tblW w:w="5000"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
            <w:tblGrid>
              <w:gridCol w:w="593"/>
              <w:gridCol w:w="1205"/>
              <w:gridCol w:w="901"/>
              <w:gridCol w:w="1202"/>
              <w:gridCol w:w="763"/>
              <w:gridCol w:w="781"/>
              <w:gridCol w:w="901"/>
              <w:gridCol w:w="811"/>
              <w:gridCol w:w="1115"/>
            </w:tblGrid>
            <w:tr w14:paraId="34A6764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84" w:hRule="atLeast"/>
                <w:jc w:val="center"/>
              </w:trPr>
              <w:tc>
                <w:tcPr>
                  <w:tcW w:w="358" w:type="pct"/>
                  <w:tcBorders>
                    <w:tl2br w:val="nil"/>
                    <w:tr2bl w:val="nil"/>
                  </w:tcBorders>
                  <w:vAlign w:val="center"/>
                </w:tcPr>
                <w:p w14:paraId="362C24A8">
                  <w:pPr>
                    <w:pStyle w:val="129"/>
                    <w:keepNext w:val="0"/>
                    <w:keepLines w:val="0"/>
                    <w:suppressLineNumbers w:val="0"/>
                    <w:spacing w:before="0" w:beforeAutospacing="0" w:after="0" w:afterAutospacing="0"/>
                    <w:ind w:left="0" w:right="0"/>
                    <w:rPr>
                      <w:rFonts w:hint="default" w:ascii="Times New Roman" w:hAnsi="Times New Roman" w:eastAsia="宋体" w:cs="Times New Roman"/>
                      <w:b/>
                      <w:color w:val="auto"/>
                      <w:sz w:val="21"/>
                      <w:szCs w:val="21"/>
                      <w:highlight w:val="none"/>
                    </w:rPr>
                  </w:pPr>
                  <w:r>
                    <w:rPr>
                      <w:rFonts w:hint="default" w:ascii="Times New Roman" w:hAnsi="Times New Roman" w:eastAsia="宋体" w:cs="Times New Roman"/>
                      <w:b/>
                      <w:color w:val="auto"/>
                      <w:sz w:val="21"/>
                      <w:szCs w:val="21"/>
                      <w:highlight w:val="none"/>
                    </w:rPr>
                    <w:t>序号</w:t>
                  </w:r>
                </w:p>
              </w:tc>
              <w:tc>
                <w:tcPr>
                  <w:tcW w:w="728" w:type="pct"/>
                  <w:tcBorders>
                    <w:tl2br w:val="nil"/>
                    <w:tr2bl w:val="nil"/>
                  </w:tcBorders>
                  <w:vAlign w:val="center"/>
                </w:tcPr>
                <w:p w14:paraId="0E53BAB6">
                  <w:pPr>
                    <w:pStyle w:val="129"/>
                    <w:keepNext w:val="0"/>
                    <w:keepLines w:val="0"/>
                    <w:suppressLineNumbers w:val="0"/>
                    <w:spacing w:before="0" w:beforeAutospacing="0" w:after="0" w:afterAutospacing="0"/>
                    <w:ind w:left="0" w:right="0"/>
                    <w:rPr>
                      <w:rFonts w:hint="default" w:ascii="Times New Roman" w:hAnsi="Times New Roman" w:eastAsia="宋体" w:cs="Times New Roman"/>
                      <w:b/>
                      <w:color w:val="auto"/>
                      <w:sz w:val="21"/>
                      <w:szCs w:val="21"/>
                      <w:highlight w:val="none"/>
                    </w:rPr>
                  </w:pPr>
                  <w:r>
                    <w:rPr>
                      <w:rFonts w:hint="default" w:ascii="Times New Roman" w:hAnsi="Times New Roman" w:eastAsia="宋体" w:cs="Times New Roman"/>
                      <w:b/>
                      <w:color w:val="auto"/>
                      <w:sz w:val="21"/>
                      <w:szCs w:val="21"/>
                      <w:highlight w:val="none"/>
                    </w:rPr>
                    <w:t>固废名称</w:t>
                  </w:r>
                </w:p>
              </w:tc>
              <w:tc>
                <w:tcPr>
                  <w:tcW w:w="544" w:type="pct"/>
                  <w:tcBorders>
                    <w:tl2br w:val="nil"/>
                    <w:tr2bl w:val="nil"/>
                  </w:tcBorders>
                  <w:vAlign w:val="center"/>
                </w:tcPr>
                <w:p w14:paraId="7811FCE9">
                  <w:pPr>
                    <w:pStyle w:val="129"/>
                    <w:keepNext w:val="0"/>
                    <w:keepLines w:val="0"/>
                    <w:suppressLineNumbers w:val="0"/>
                    <w:spacing w:before="0" w:beforeAutospacing="0" w:after="0" w:afterAutospacing="0"/>
                    <w:ind w:left="0" w:right="0"/>
                    <w:rPr>
                      <w:rFonts w:hint="default" w:ascii="Times New Roman" w:hAnsi="Times New Roman" w:eastAsia="宋体" w:cs="Times New Roman"/>
                      <w:b/>
                      <w:color w:val="auto"/>
                      <w:sz w:val="21"/>
                      <w:szCs w:val="21"/>
                      <w:highlight w:val="none"/>
                    </w:rPr>
                  </w:pPr>
                  <w:r>
                    <w:rPr>
                      <w:rFonts w:hint="eastAsia" w:ascii="Times New Roman" w:hAnsi="Times New Roman" w:eastAsia="宋体" w:cs="Times New Roman"/>
                      <w:b/>
                      <w:color w:val="auto"/>
                      <w:sz w:val="21"/>
                      <w:szCs w:val="21"/>
                      <w:highlight w:val="none"/>
                    </w:rPr>
                    <w:t>危废</w:t>
                  </w:r>
                  <w:r>
                    <w:rPr>
                      <w:rFonts w:hint="default" w:ascii="Times New Roman" w:hAnsi="Times New Roman" w:eastAsia="宋体" w:cs="Times New Roman"/>
                      <w:b/>
                      <w:color w:val="auto"/>
                      <w:sz w:val="21"/>
                      <w:szCs w:val="21"/>
                      <w:highlight w:val="none"/>
                    </w:rPr>
                    <w:t>类别</w:t>
                  </w:r>
                </w:p>
              </w:tc>
              <w:tc>
                <w:tcPr>
                  <w:tcW w:w="726" w:type="pct"/>
                  <w:tcBorders>
                    <w:tl2br w:val="nil"/>
                    <w:tr2bl w:val="nil"/>
                  </w:tcBorders>
                  <w:vAlign w:val="center"/>
                </w:tcPr>
                <w:p w14:paraId="5BA3D59C">
                  <w:pPr>
                    <w:pStyle w:val="129"/>
                    <w:keepNext w:val="0"/>
                    <w:keepLines w:val="0"/>
                    <w:suppressLineNumbers w:val="0"/>
                    <w:spacing w:before="0" w:beforeAutospacing="0" w:after="0" w:afterAutospacing="0"/>
                    <w:ind w:left="0" w:right="0"/>
                    <w:rPr>
                      <w:rFonts w:hint="default" w:ascii="Times New Roman" w:hAnsi="Times New Roman" w:eastAsia="宋体" w:cs="Times New Roman"/>
                      <w:b/>
                      <w:color w:val="auto"/>
                      <w:sz w:val="21"/>
                      <w:szCs w:val="21"/>
                      <w:highlight w:val="none"/>
                    </w:rPr>
                  </w:pPr>
                  <w:r>
                    <w:rPr>
                      <w:rFonts w:hint="eastAsia" w:ascii="Times New Roman" w:hAnsi="Times New Roman" w:eastAsia="宋体" w:cs="Times New Roman"/>
                      <w:b/>
                      <w:color w:val="auto"/>
                      <w:sz w:val="21"/>
                      <w:szCs w:val="21"/>
                      <w:highlight w:val="none"/>
                    </w:rPr>
                    <w:t>危废</w:t>
                  </w:r>
                  <w:r>
                    <w:rPr>
                      <w:rFonts w:hint="default" w:ascii="Times New Roman" w:hAnsi="Times New Roman" w:eastAsia="宋体" w:cs="Times New Roman"/>
                      <w:b/>
                      <w:color w:val="auto"/>
                      <w:sz w:val="21"/>
                      <w:szCs w:val="21"/>
                      <w:highlight w:val="none"/>
                    </w:rPr>
                    <w:t>代码</w:t>
                  </w:r>
                </w:p>
              </w:tc>
              <w:tc>
                <w:tcPr>
                  <w:tcW w:w="461" w:type="pct"/>
                  <w:tcBorders>
                    <w:tl2br w:val="nil"/>
                    <w:tr2bl w:val="nil"/>
                  </w:tcBorders>
                  <w:vAlign w:val="center"/>
                </w:tcPr>
                <w:p w14:paraId="72DDD093">
                  <w:pPr>
                    <w:pStyle w:val="129"/>
                    <w:keepNext w:val="0"/>
                    <w:keepLines w:val="0"/>
                    <w:suppressLineNumbers w:val="0"/>
                    <w:spacing w:before="0" w:beforeAutospacing="0" w:after="0" w:afterAutospacing="0"/>
                    <w:ind w:left="0" w:right="0"/>
                    <w:rPr>
                      <w:rFonts w:hint="default" w:ascii="Times New Roman" w:hAnsi="Times New Roman" w:eastAsia="宋体" w:cs="Times New Roman"/>
                      <w:b/>
                      <w:color w:val="auto"/>
                      <w:sz w:val="21"/>
                      <w:szCs w:val="21"/>
                      <w:highlight w:val="none"/>
                    </w:rPr>
                  </w:pPr>
                  <w:r>
                    <w:rPr>
                      <w:rFonts w:hint="eastAsia" w:ascii="Times New Roman" w:hAnsi="Times New Roman" w:eastAsia="宋体" w:cs="Times New Roman"/>
                      <w:b/>
                      <w:color w:val="auto"/>
                      <w:sz w:val="21"/>
                      <w:szCs w:val="21"/>
                      <w:highlight w:val="none"/>
                    </w:rPr>
                    <w:t>年</w:t>
                  </w:r>
                  <w:r>
                    <w:rPr>
                      <w:rFonts w:hint="default" w:ascii="Times New Roman" w:hAnsi="Times New Roman" w:eastAsia="宋体" w:cs="Times New Roman"/>
                      <w:b/>
                      <w:color w:val="auto"/>
                      <w:sz w:val="21"/>
                      <w:szCs w:val="21"/>
                      <w:highlight w:val="none"/>
                    </w:rPr>
                    <w:t>产生量</w:t>
                  </w:r>
                  <w:r>
                    <w:rPr>
                      <w:rFonts w:hint="eastAsia" w:ascii="Times New Roman" w:hAnsi="Times New Roman" w:eastAsia="宋体" w:cs="Times New Roman"/>
                      <w:b/>
                      <w:color w:val="auto"/>
                      <w:sz w:val="21"/>
                      <w:szCs w:val="21"/>
                      <w:highlight w:val="none"/>
                    </w:rPr>
                    <w:t>（t</w:t>
                  </w:r>
                  <w:r>
                    <w:rPr>
                      <w:rFonts w:hint="default" w:ascii="Times New Roman" w:hAnsi="Times New Roman" w:eastAsia="宋体" w:cs="Times New Roman"/>
                      <w:b/>
                      <w:color w:val="auto"/>
                      <w:sz w:val="21"/>
                      <w:szCs w:val="21"/>
                      <w:highlight w:val="none"/>
                    </w:rPr>
                    <w:t>/a</w:t>
                  </w:r>
                  <w:r>
                    <w:rPr>
                      <w:rFonts w:hint="eastAsia" w:ascii="Times New Roman" w:hAnsi="Times New Roman" w:eastAsia="宋体" w:cs="Times New Roman"/>
                      <w:b/>
                      <w:color w:val="auto"/>
                      <w:sz w:val="21"/>
                      <w:szCs w:val="21"/>
                      <w:highlight w:val="none"/>
                    </w:rPr>
                    <w:t>）</w:t>
                  </w:r>
                </w:p>
              </w:tc>
              <w:tc>
                <w:tcPr>
                  <w:tcW w:w="472" w:type="pct"/>
                  <w:tcBorders>
                    <w:tl2br w:val="nil"/>
                    <w:tr2bl w:val="nil"/>
                  </w:tcBorders>
                  <w:vAlign w:val="center"/>
                </w:tcPr>
                <w:p w14:paraId="03AC9BE9">
                  <w:pPr>
                    <w:pStyle w:val="129"/>
                    <w:keepNext w:val="0"/>
                    <w:keepLines w:val="0"/>
                    <w:suppressLineNumbers w:val="0"/>
                    <w:spacing w:before="0" w:beforeAutospacing="0" w:after="0" w:afterAutospacing="0"/>
                    <w:ind w:left="0" w:right="0"/>
                    <w:rPr>
                      <w:rFonts w:hint="default" w:ascii="Times New Roman" w:hAnsi="Times New Roman" w:eastAsia="宋体" w:cs="Times New Roman"/>
                      <w:b/>
                      <w:color w:val="auto"/>
                      <w:sz w:val="21"/>
                      <w:szCs w:val="21"/>
                      <w:highlight w:val="none"/>
                    </w:rPr>
                  </w:pPr>
                  <w:r>
                    <w:rPr>
                      <w:rFonts w:hint="eastAsia" w:ascii="Times New Roman" w:hAnsi="Times New Roman" w:eastAsia="宋体" w:cs="Times New Roman"/>
                      <w:b/>
                      <w:color w:val="auto"/>
                      <w:sz w:val="21"/>
                      <w:szCs w:val="21"/>
                      <w:highlight w:val="none"/>
                    </w:rPr>
                    <w:t>转运</w:t>
                  </w:r>
                  <w:r>
                    <w:rPr>
                      <w:rFonts w:hint="default" w:ascii="Times New Roman" w:hAnsi="Times New Roman" w:eastAsia="宋体" w:cs="Times New Roman"/>
                      <w:b/>
                      <w:color w:val="auto"/>
                      <w:sz w:val="21"/>
                      <w:szCs w:val="21"/>
                      <w:highlight w:val="none"/>
                    </w:rPr>
                    <w:t>周期</w:t>
                  </w:r>
                </w:p>
              </w:tc>
              <w:tc>
                <w:tcPr>
                  <w:tcW w:w="544" w:type="pct"/>
                  <w:tcBorders>
                    <w:tl2br w:val="nil"/>
                    <w:tr2bl w:val="nil"/>
                  </w:tcBorders>
                  <w:vAlign w:val="center"/>
                </w:tcPr>
                <w:p w14:paraId="5A83F61F">
                  <w:pPr>
                    <w:pStyle w:val="129"/>
                    <w:keepNext w:val="0"/>
                    <w:keepLines w:val="0"/>
                    <w:suppressLineNumbers w:val="0"/>
                    <w:spacing w:before="0" w:beforeAutospacing="0" w:after="0" w:afterAutospacing="0"/>
                    <w:ind w:left="0" w:right="0"/>
                    <w:rPr>
                      <w:rFonts w:hint="default" w:ascii="Times New Roman" w:hAnsi="Times New Roman" w:eastAsia="宋体" w:cs="Times New Roman"/>
                      <w:b/>
                      <w:color w:val="auto"/>
                      <w:sz w:val="21"/>
                      <w:szCs w:val="21"/>
                      <w:highlight w:val="none"/>
                    </w:rPr>
                  </w:pPr>
                  <w:r>
                    <w:rPr>
                      <w:rFonts w:hint="eastAsia" w:ascii="Times New Roman" w:hAnsi="Times New Roman" w:eastAsia="宋体" w:cs="Times New Roman"/>
                      <w:b/>
                      <w:color w:val="auto"/>
                      <w:sz w:val="21"/>
                      <w:szCs w:val="21"/>
                      <w:highlight w:val="none"/>
                    </w:rPr>
                    <w:t>最大</w:t>
                  </w:r>
                  <w:r>
                    <w:rPr>
                      <w:rFonts w:hint="default" w:ascii="Times New Roman" w:hAnsi="Times New Roman" w:eastAsia="宋体" w:cs="Times New Roman"/>
                      <w:b/>
                      <w:color w:val="auto"/>
                      <w:sz w:val="21"/>
                      <w:szCs w:val="21"/>
                      <w:highlight w:val="none"/>
                    </w:rPr>
                    <w:t>贮存</w:t>
                  </w:r>
                  <w:r>
                    <w:rPr>
                      <w:rFonts w:hint="eastAsia" w:ascii="Times New Roman" w:hAnsi="Times New Roman" w:eastAsia="宋体" w:cs="Times New Roman"/>
                      <w:b/>
                      <w:color w:val="auto"/>
                      <w:sz w:val="21"/>
                      <w:szCs w:val="21"/>
                      <w:highlight w:val="none"/>
                    </w:rPr>
                    <w:t>量</w:t>
                  </w:r>
                </w:p>
              </w:tc>
              <w:tc>
                <w:tcPr>
                  <w:tcW w:w="490" w:type="pct"/>
                  <w:tcBorders>
                    <w:tl2br w:val="nil"/>
                    <w:tr2bl w:val="nil"/>
                  </w:tcBorders>
                  <w:vAlign w:val="center"/>
                </w:tcPr>
                <w:p w14:paraId="774BDE70">
                  <w:pPr>
                    <w:pStyle w:val="129"/>
                    <w:keepNext w:val="0"/>
                    <w:keepLines w:val="0"/>
                    <w:suppressLineNumbers w:val="0"/>
                    <w:spacing w:before="0" w:beforeAutospacing="0" w:after="0" w:afterAutospacing="0"/>
                    <w:ind w:left="0" w:right="0"/>
                    <w:rPr>
                      <w:rFonts w:hint="default" w:ascii="Times New Roman" w:hAnsi="Times New Roman" w:eastAsia="宋体" w:cs="Times New Roman"/>
                      <w:b/>
                      <w:color w:val="auto"/>
                      <w:sz w:val="21"/>
                      <w:szCs w:val="21"/>
                      <w:highlight w:val="none"/>
                    </w:rPr>
                  </w:pPr>
                  <w:r>
                    <w:rPr>
                      <w:rFonts w:hint="eastAsia" w:ascii="Times New Roman" w:hAnsi="Times New Roman" w:eastAsia="宋体" w:cs="Times New Roman"/>
                      <w:b/>
                      <w:color w:val="auto"/>
                      <w:sz w:val="21"/>
                      <w:szCs w:val="21"/>
                      <w:highlight w:val="none"/>
                    </w:rPr>
                    <w:t>贮存所需空间</w:t>
                  </w:r>
                </w:p>
              </w:tc>
              <w:tc>
                <w:tcPr>
                  <w:tcW w:w="673" w:type="pct"/>
                  <w:tcBorders>
                    <w:tl2br w:val="nil"/>
                    <w:tr2bl w:val="nil"/>
                  </w:tcBorders>
                  <w:vAlign w:val="center"/>
                </w:tcPr>
                <w:p w14:paraId="375B7C82">
                  <w:pPr>
                    <w:pStyle w:val="129"/>
                    <w:keepNext w:val="0"/>
                    <w:keepLines w:val="0"/>
                    <w:suppressLineNumbers w:val="0"/>
                    <w:spacing w:before="0" w:beforeAutospacing="0" w:after="0" w:afterAutospacing="0"/>
                    <w:ind w:left="0" w:right="0"/>
                    <w:rPr>
                      <w:rFonts w:hint="default" w:ascii="Times New Roman" w:hAnsi="Times New Roman" w:eastAsia="宋体" w:cs="Times New Roman"/>
                      <w:b/>
                      <w:color w:val="auto"/>
                      <w:sz w:val="21"/>
                      <w:szCs w:val="21"/>
                      <w:highlight w:val="none"/>
                    </w:rPr>
                  </w:pPr>
                  <w:r>
                    <w:rPr>
                      <w:rFonts w:hint="eastAsia" w:ascii="Times New Roman" w:hAnsi="Times New Roman" w:eastAsia="宋体" w:cs="Times New Roman"/>
                      <w:b/>
                      <w:color w:val="auto"/>
                      <w:sz w:val="21"/>
                      <w:szCs w:val="21"/>
                      <w:highlight w:val="none"/>
                    </w:rPr>
                    <w:t>贮存</w:t>
                  </w:r>
                  <w:r>
                    <w:rPr>
                      <w:rFonts w:hint="default" w:ascii="Times New Roman" w:hAnsi="Times New Roman" w:eastAsia="宋体" w:cs="Times New Roman"/>
                      <w:b/>
                      <w:color w:val="auto"/>
                      <w:sz w:val="21"/>
                      <w:szCs w:val="21"/>
                      <w:highlight w:val="none"/>
                    </w:rPr>
                    <w:t>场所</w:t>
                  </w:r>
                </w:p>
              </w:tc>
            </w:tr>
            <w:tr w14:paraId="12AFB7F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90" w:hRule="atLeast"/>
                <w:jc w:val="center"/>
              </w:trPr>
              <w:tc>
                <w:tcPr>
                  <w:tcW w:w="358" w:type="pct"/>
                  <w:tcBorders>
                    <w:tl2br w:val="nil"/>
                    <w:tr2bl w:val="nil"/>
                  </w:tcBorders>
                  <w:vAlign w:val="center"/>
                </w:tcPr>
                <w:p w14:paraId="1FECE5D6">
                  <w:pPr>
                    <w:pStyle w:val="129"/>
                    <w:keepNext w:val="0"/>
                    <w:keepLines w:val="0"/>
                    <w:suppressLineNumbers w:val="0"/>
                    <w:spacing w:before="0" w:beforeAutospacing="0" w:after="0" w:afterAutospacing="0"/>
                    <w:ind w:left="0" w:right="0"/>
                    <w:rPr>
                      <w:rFonts w:hint="eastAsia" w:ascii="Times New Roman" w:hAnsi="Times New Roman" w:eastAsia="宋体" w:cs="Times New Roman"/>
                      <w:color w:val="auto"/>
                      <w:sz w:val="21"/>
                      <w:szCs w:val="21"/>
                      <w:highlight w:val="none"/>
                      <w:lang w:val="en-US" w:eastAsia="zh-CN"/>
                    </w:rPr>
                  </w:pPr>
                  <w:r>
                    <w:rPr>
                      <w:rFonts w:hint="eastAsia" w:ascii="Times New Roman" w:hAnsi="Times New Roman" w:eastAsia="宋体" w:cs="Times New Roman"/>
                      <w:color w:val="auto"/>
                      <w:sz w:val="21"/>
                      <w:szCs w:val="21"/>
                      <w:highlight w:val="none"/>
                      <w:lang w:val="en-US" w:eastAsia="zh-CN"/>
                    </w:rPr>
                    <w:t>1</w:t>
                  </w:r>
                </w:p>
              </w:tc>
              <w:tc>
                <w:tcPr>
                  <w:tcW w:w="728" w:type="pct"/>
                  <w:tcBorders>
                    <w:tl2br w:val="nil"/>
                    <w:tr2bl w:val="nil"/>
                  </w:tcBorders>
                  <w:vAlign w:val="center"/>
                </w:tcPr>
                <w:p w14:paraId="74FF0CFA">
                  <w:pPr>
                    <w:pStyle w:val="129"/>
                    <w:keepNext w:val="0"/>
                    <w:keepLines w:val="0"/>
                    <w:suppressLineNumbers w:val="0"/>
                    <w:spacing w:before="0" w:beforeAutospacing="0" w:after="0" w:afterAutospacing="0"/>
                    <w:ind w:left="0" w:right="0"/>
                    <w:rPr>
                      <w:rFonts w:hint="default" w:ascii="Times New Roman" w:hAnsi="Times New Roman" w:eastAsia="宋体" w:cs="Times New Roman"/>
                      <w:color w:val="auto"/>
                      <w:sz w:val="21"/>
                      <w:szCs w:val="21"/>
                      <w:highlight w:val="none"/>
                    </w:rPr>
                  </w:pPr>
                  <w:r>
                    <w:rPr>
                      <w:rFonts w:hint="eastAsia" w:ascii="Times New Roman" w:hAnsi="Times New Roman" w:eastAsia="宋体" w:cs="Times New Roman"/>
                      <w:color w:val="auto"/>
                      <w:sz w:val="21"/>
                      <w:szCs w:val="21"/>
                      <w:highlight w:val="none"/>
                    </w:rPr>
                    <w:t>污泥</w:t>
                  </w:r>
                </w:p>
              </w:tc>
              <w:tc>
                <w:tcPr>
                  <w:tcW w:w="544" w:type="pct"/>
                  <w:tcBorders>
                    <w:tl2br w:val="nil"/>
                    <w:tr2bl w:val="nil"/>
                  </w:tcBorders>
                  <w:vAlign w:val="center"/>
                </w:tcPr>
                <w:p w14:paraId="526D6627">
                  <w:pPr>
                    <w:pStyle w:val="129"/>
                    <w:keepNext w:val="0"/>
                    <w:keepLines w:val="0"/>
                    <w:suppressLineNumbers w:val="0"/>
                    <w:spacing w:before="0" w:beforeAutospacing="0" w:after="0" w:afterAutospacing="0"/>
                    <w:ind w:left="0" w:right="0"/>
                    <w:rPr>
                      <w:rFonts w:hint="default" w:ascii="Times New Roman" w:hAnsi="Times New Roman" w:eastAsia="宋体" w:cs="Times New Roman"/>
                      <w:color w:val="auto"/>
                      <w:sz w:val="21"/>
                      <w:szCs w:val="21"/>
                      <w:highlight w:val="none"/>
                    </w:rPr>
                  </w:pPr>
                  <w:r>
                    <w:rPr>
                      <w:rFonts w:hint="eastAsia" w:ascii="Times New Roman" w:hAnsi="Times New Roman" w:eastAsia="宋体" w:cs="Times New Roman"/>
                      <w:color w:val="auto"/>
                      <w:sz w:val="21"/>
                      <w:szCs w:val="21"/>
                      <w:highlight w:val="none"/>
                    </w:rPr>
                    <w:t>HW</w:t>
                  </w:r>
                  <w:r>
                    <w:rPr>
                      <w:rFonts w:hint="default" w:ascii="Times New Roman" w:hAnsi="Times New Roman" w:eastAsia="宋体" w:cs="Times New Roman"/>
                      <w:color w:val="auto"/>
                      <w:sz w:val="21"/>
                      <w:szCs w:val="21"/>
                      <w:highlight w:val="none"/>
                    </w:rPr>
                    <w:t>01</w:t>
                  </w:r>
                </w:p>
              </w:tc>
              <w:tc>
                <w:tcPr>
                  <w:tcW w:w="726" w:type="pct"/>
                  <w:tcBorders>
                    <w:tl2br w:val="nil"/>
                    <w:tr2bl w:val="nil"/>
                  </w:tcBorders>
                  <w:vAlign w:val="center"/>
                </w:tcPr>
                <w:p w14:paraId="60F90109">
                  <w:pPr>
                    <w:pStyle w:val="129"/>
                    <w:keepNext w:val="0"/>
                    <w:keepLines w:val="0"/>
                    <w:suppressLineNumbers w:val="0"/>
                    <w:spacing w:before="0" w:beforeAutospacing="0" w:after="0" w:afterAutospacing="0"/>
                    <w:ind w:left="0" w:right="0"/>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841-001-01</w:t>
                  </w:r>
                </w:p>
              </w:tc>
              <w:tc>
                <w:tcPr>
                  <w:tcW w:w="461" w:type="pct"/>
                  <w:tcBorders>
                    <w:tl2br w:val="nil"/>
                    <w:tr2bl w:val="nil"/>
                  </w:tcBorders>
                  <w:vAlign w:val="center"/>
                </w:tcPr>
                <w:p w14:paraId="42763A3F">
                  <w:pPr>
                    <w:pStyle w:val="129"/>
                    <w:keepNext w:val="0"/>
                    <w:keepLines w:val="0"/>
                    <w:suppressLineNumbers w:val="0"/>
                    <w:spacing w:before="0" w:beforeAutospacing="0" w:after="0" w:afterAutospacing="0"/>
                    <w:ind w:left="0" w:right="0"/>
                    <w:rPr>
                      <w:rFonts w:hint="default" w:ascii="Times New Roman" w:hAnsi="Times New Roman" w:eastAsia="宋体" w:cs="Times New Roman"/>
                      <w:color w:val="auto"/>
                      <w:sz w:val="21"/>
                      <w:szCs w:val="21"/>
                      <w:highlight w:val="none"/>
                      <w:lang w:val="en-US" w:eastAsia="zh-CN"/>
                    </w:rPr>
                  </w:pPr>
                  <w:r>
                    <w:rPr>
                      <w:rFonts w:hint="eastAsia" w:cs="Times New Roman"/>
                      <w:color w:val="auto"/>
                      <w:sz w:val="21"/>
                      <w:szCs w:val="21"/>
                      <w:highlight w:val="none"/>
                      <w:lang w:val="en-US" w:eastAsia="zh-CN"/>
                    </w:rPr>
                    <w:t>31.52</w:t>
                  </w:r>
                </w:p>
              </w:tc>
              <w:tc>
                <w:tcPr>
                  <w:tcW w:w="472" w:type="pct"/>
                  <w:tcBorders>
                    <w:tl2br w:val="nil"/>
                    <w:tr2bl w:val="nil"/>
                  </w:tcBorders>
                  <w:vAlign w:val="center"/>
                </w:tcPr>
                <w:p w14:paraId="080401D4">
                  <w:pPr>
                    <w:pStyle w:val="129"/>
                    <w:keepNext w:val="0"/>
                    <w:keepLines w:val="0"/>
                    <w:suppressLineNumbers w:val="0"/>
                    <w:spacing w:before="0" w:beforeAutospacing="0" w:after="0" w:afterAutospacing="0"/>
                    <w:ind w:left="0" w:right="0"/>
                    <w:rPr>
                      <w:rFonts w:hint="default" w:ascii="Times New Roman" w:hAnsi="Times New Roman" w:eastAsia="宋体" w:cs="Times New Roman"/>
                      <w:color w:val="auto"/>
                      <w:sz w:val="21"/>
                      <w:szCs w:val="21"/>
                      <w:highlight w:val="none"/>
                    </w:rPr>
                  </w:pPr>
                  <w:r>
                    <w:rPr>
                      <w:rFonts w:hint="eastAsia" w:ascii="Times New Roman" w:hAnsi="Times New Roman" w:eastAsia="宋体" w:cs="Times New Roman"/>
                      <w:color w:val="auto"/>
                      <w:sz w:val="21"/>
                      <w:szCs w:val="21"/>
                      <w:highlight w:val="none"/>
                    </w:rPr>
                    <w:t>≤</w:t>
                  </w:r>
                  <w:r>
                    <w:rPr>
                      <w:rFonts w:hint="eastAsia" w:cs="Times New Roman"/>
                      <w:color w:val="auto"/>
                      <w:sz w:val="21"/>
                      <w:szCs w:val="21"/>
                      <w:highlight w:val="none"/>
                      <w:lang w:val="en-US" w:eastAsia="zh-CN"/>
                    </w:rPr>
                    <w:t>30</w:t>
                  </w:r>
                  <w:r>
                    <w:rPr>
                      <w:rFonts w:hint="default" w:ascii="Times New Roman" w:hAnsi="Times New Roman" w:eastAsia="宋体" w:cs="Times New Roman"/>
                      <w:color w:val="auto"/>
                      <w:sz w:val="21"/>
                      <w:szCs w:val="21"/>
                      <w:highlight w:val="none"/>
                    </w:rPr>
                    <w:t>d</w:t>
                  </w:r>
                </w:p>
              </w:tc>
              <w:tc>
                <w:tcPr>
                  <w:tcW w:w="544" w:type="pct"/>
                  <w:tcBorders>
                    <w:tl2br w:val="nil"/>
                    <w:tr2bl w:val="nil"/>
                  </w:tcBorders>
                  <w:vAlign w:val="center"/>
                </w:tcPr>
                <w:p w14:paraId="0BD31381">
                  <w:pPr>
                    <w:pStyle w:val="129"/>
                    <w:keepNext w:val="0"/>
                    <w:keepLines w:val="0"/>
                    <w:suppressLineNumbers w:val="0"/>
                    <w:spacing w:before="0" w:beforeAutospacing="0" w:after="0" w:afterAutospacing="0"/>
                    <w:ind w:left="0" w:right="0"/>
                    <w:rPr>
                      <w:rFonts w:hint="default" w:ascii="Times New Roman" w:hAnsi="Times New Roman" w:eastAsia="宋体" w:cs="Times New Roman"/>
                      <w:color w:val="auto"/>
                      <w:sz w:val="21"/>
                      <w:szCs w:val="21"/>
                      <w:highlight w:val="none"/>
                    </w:rPr>
                  </w:pPr>
                  <w:r>
                    <w:rPr>
                      <w:rFonts w:hint="eastAsia" w:ascii="Times New Roman" w:hAnsi="Times New Roman" w:eastAsia="宋体" w:cs="Times New Roman"/>
                      <w:color w:val="auto"/>
                      <w:sz w:val="21"/>
                      <w:szCs w:val="21"/>
                      <w:highlight w:val="none"/>
                      <w:lang w:val="en-US" w:eastAsia="zh-CN"/>
                    </w:rPr>
                    <w:t>2.</w:t>
                  </w:r>
                  <w:r>
                    <w:rPr>
                      <w:rFonts w:hint="eastAsia" w:cs="Times New Roman"/>
                      <w:color w:val="auto"/>
                      <w:sz w:val="21"/>
                      <w:szCs w:val="21"/>
                      <w:highlight w:val="none"/>
                      <w:lang w:val="en-US" w:eastAsia="zh-CN"/>
                    </w:rPr>
                    <w:t>63</w:t>
                  </w:r>
                  <w:r>
                    <w:rPr>
                      <w:rFonts w:hint="eastAsia" w:ascii="Times New Roman" w:hAnsi="Times New Roman" w:eastAsia="宋体" w:cs="Times New Roman"/>
                      <w:color w:val="auto"/>
                      <w:sz w:val="21"/>
                      <w:szCs w:val="21"/>
                      <w:highlight w:val="none"/>
                      <w:lang w:val="en-US" w:eastAsia="zh-CN"/>
                    </w:rPr>
                    <w:t xml:space="preserve">t </w:t>
                  </w:r>
                </w:p>
              </w:tc>
              <w:tc>
                <w:tcPr>
                  <w:tcW w:w="490" w:type="pct"/>
                  <w:tcBorders>
                    <w:tl2br w:val="nil"/>
                    <w:tr2bl w:val="nil"/>
                  </w:tcBorders>
                  <w:vAlign w:val="center"/>
                </w:tcPr>
                <w:p w14:paraId="2A4D5F14">
                  <w:pPr>
                    <w:pStyle w:val="129"/>
                    <w:keepNext w:val="0"/>
                    <w:keepLines w:val="0"/>
                    <w:suppressLineNumbers w:val="0"/>
                    <w:spacing w:before="0" w:beforeAutospacing="0" w:after="0" w:afterAutospacing="0"/>
                    <w:ind w:left="0" w:right="0"/>
                    <w:rPr>
                      <w:rFonts w:hint="default" w:ascii="Times New Roman" w:hAnsi="Times New Roman" w:eastAsia="宋体" w:cs="Times New Roman"/>
                      <w:color w:val="auto"/>
                      <w:sz w:val="21"/>
                      <w:szCs w:val="21"/>
                      <w:highlight w:val="none"/>
                    </w:rPr>
                  </w:pPr>
                  <w:r>
                    <w:rPr>
                      <w:rFonts w:hint="eastAsia" w:cs="Times New Roman"/>
                      <w:color w:val="auto"/>
                      <w:sz w:val="21"/>
                      <w:szCs w:val="21"/>
                      <w:highlight w:val="none"/>
                      <w:lang w:val="en-US" w:eastAsia="zh-CN"/>
                    </w:rPr>
                    <w:t>3</w:t>
                  </w:r>
                  <w:r>
                    <w:rPr>
                      <w:rFonts w:hint="default" w:ascii="Times New Roman" w:hAnsi="Times New Roman" w:eastAsia="宋体" w:cs="Times New Roman"/>
                      <w:color w:val="auto"/>
                      <w:sz w:val="21"/>
                      <w:szCs w:val="21"/>
                      <w:highlight w:val="none"/>
                    </w:rPr>
                    <w:t>m</w:t>
                  </w:r>
                  <w:r>
                    <w:rPr>
                      <w:rFonts w:hint="default" w:ascii="Times New Roman" w:hAnsi="Times New Roman" w:eastAsia="宋体" w:cs="Times New Roman"/>
                      <w:color w:val="auto"/>
                      <w:sz w:val="21"/>
                      <w:szCs w:val="21"/>
                      <w:highlight w:val="none"/>
                      <w:vertAlign w:val="superscript"/>
                    </w:rPr>
                    <w:t>2</w:t>
                  </w:r>
                </w:p>
              </w:tc>
              <w:tc>
                <w:tcPr>
                  <w:tcW w:w="673" w:type="pct"/>
                  <w:vMerge w:val="restart"/>
                  <w:tcBorders>
                    <w:tl2br w:val="nil"/>
                    <w:tr2bl w:val="nil"/>
                  </w:tcBorders>
                  <w:vAlign w:val="center"/>
                </w:tcPr>
                <w:p w14:paraId="38B2FC33">
                  <w:pPr>
                    <w:pStyle w:val="129"/>
                    <w:keepNext w:val="0"/>
                    <w:keepLines w:val="0"/>
                    <w:suppressLineNumbers w:val="0"/>
                    <w:spacing w:before="0" w:beforeAutospacing="0" w:after="0" w:afterAutospacing="0"/>
                    <w:ind w:left="0" w:right="0"/>
                    <w:rPr>
                      <w:rFonts w:hint="default" w:ascii="Times New Roman" w:hAnsi="Times New Roman" w:eastAsia="宋体" w:cs="Times New Roman"/>
                      <w:color w:val="auto"/>
                      <w:sz w:val="21"/>
                      <w:szCs w:val="21"/>
                      <w:highlight w:val="none"/>
                    </w:rPr>
                  </w:pPr>
                  <w:r>
                    <w:rPr>
                      <w:rFonts w:hint="eastAsia" w:cs="Times New Roman"/>
                      <w:color w:val="auto"/>
                      <w:sz w:val="21"/>
                      <w:szCs w:val="21"/>
                      <w:highlight w:val="none"/>
                      <w:lang w:val="en-US" w:eastAsia="zh-CN"/>
                    </w:rPr>
                    <w:t>实验动物中心</w:t>
                  </w:r>
                  <w:r>
                    <w:rPr>
                      <w:rFonts w:hint="eastAsia" w:ascii="Times New Roman" w:hAnsi="Times New Roman" w:eastAsia="宋体" w:cs="Times New Roman"/>
                      <w:color w:val="auto"/>
                      <w:sz w:val="21"/>
                      <w:szCs w:val="21"/>
                      <w:highlight w:val="none"/>
                    </w:rPr>
                    <w:t>危废</w:t>
                  </w:r>
                  <w:r>
                    <w:rPr>
                      <w:rFonts w:hint="eastAsia" w:ascii="Times New Roman" w:hAnsi="Times New Roman" w:eastAsia="宋体" w:cs="Times New Roman"/>
                      <w:color w:val="auto"/>
                      <w:sz w:val="21"/>
                      <w:szCs w:val="21"/>
                      <w:highlight w:val="none"/>
                      <w:lang w:val="en-US" w:eastAsia="zh-CN"/>
                    </w:rPr>
                    <w:t>暂存间</w:t>
                  </w:r>
                  <w:r>
                    <w:rPr>
                      <w:rFonts w:hint="eastAsia" w:cs="Times New Roman"/>
                      <w:color w:val="auto"/>
                      <w:sz w:val="21"/>
                      <w:szCs w:val="21"/>
                      <w:highlight w:val="none"/>
                      <w:lang w:val="en-US" w:eastAsia="zh-CN"/>
                    </w:rPr>
                    <w:t>35</w:t>
                  </w:r>
                  <w:r>
                    <w:rPr>
                      <w:rFonts w:hint="default" w:ascii="Times New Roman" w:hAnsi="Times New Roman" w:eastAsia="宋体" w:cs="Times New Roman"/>
                      <w:color w:val="auto"/>
                      <w:sz w:val="21"/>
                      <w:szCs w:val="21"/>
                      <w:highlight w:val="none"/>
                    </w:rPr>
                    <w:t>m</w:t>
                  </w:r>
                  <w:r>
                    <w:rPr>
                      <w:rFonts w:hint="default" w:ascii="Times New Roman" w:hAnsi="Times New Roman" w:eastAsia="宋体" w:cs="Times New Roman"/>
                      <w:color w:val="auto"/>
                      <w:sz w:val="21"/>
                      <w:szCs w:val="21"/>
                      <w:highlight w:val="none"/>
                      <w:vertAlign w:val="superscript"/>
                    </w:rPr>
                    <w:t>2</w:t>
                  </w:r>
                </w:p>
              </w:tc>
            </w:tr>
            <w:tr w14:paraId="0D050C4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340" w:hRule="atLeast"/>
                <w:jc w:val="center"/>
              </w:trPr>
              <w:tc>
                <w:tcPr>
                  <w:tcW w:w="358" w:type="pct"/>
                  <w:tcBorders>
                    <w:tl2br w:val="nil"/>
                    <w:tr2bl w:val="nil"/>
                  </w:tcBorders>
                  <w:vAlign w:val="center"/>
                </w:tcPr>
                <w:p w14:paraId="352F084B">
                  <w:pPr>
                    <w:pStyle w:val="129"/>
                    <w:keepNext w:val="0"/>
                    <w:keepLines w:val="0"/>
                    <w:suppressLineNumbers w:val="0"/>
                    <w:spacing w:before="0" w:beforeAutospacing="0" w:after="0" w:afterAutospacing="0"/>
                    <w:ind w:left="0" w:right="0"/>
                    <w:rPr>
                      <w:rFonts w:hint="eastAsia" w:ascii="Times New Roman" w:hAnsi="Times New Roman" w:eastAsia="宋体" w:cs="Times New Roman"/>
                      <w:color w:val="auto"/>
                      <w:sz w:val="21"/>
                      <w:szCs w:val="21"/>
                      <w:highlight w:val="none"/>
                      <w:lang w:val="en-US" w:eastAsia="zh-CN"/>
                    </w:rPr>
                  </w:pPr>
                  <w:r>
                    <w:rPr>
                      <w:rFonts w:hint="eastAsia" w:ascii="Times New Roman" w:hAnsi="Times New Roman" w:eastAsia="宋体" w:cs="Times New Roman"/>
                      <w:color w:val="auto"/>
                      <w:sz w:val="21"/>
                      <w:szCs w:val="21"/>
                      <w:highlight w:val="none"/>
                      <w:lang w:val="en-US" w:eastAsia="zh-CN"/>
                    </w:rPr>
                    <w:t>2</w:t>
                  </w:r>
                </w:p>
              </w:tc>
              <w:tc>
                <w:tcPr>
                  <w:tcW w:w="728" w:type="pct"/>
                  <w:tcBorders>
                    <w:tl2br w:val="nil"/>
                    <w:tr2bl w:val="nil"/>
                  </w:tcBorders>
                  <w:vAlign w:val="center"/>
                </w:tcPr>
                <w:p w14:paraId="19924F26">
                  <w:pPr>
                    <w:pStyle w:val="129"/>
                    <w:keepNext w:val="0"/>
                    <w:keepLines w:val="0"/>
                    <w:suppressLineNumbers w:val="0"/>
                    <w:spacing w:before="0" w:beforeAutospacing="0" w:after="0" w:afterAutospacing="0"/>
                    <w:ind w:left="0" w:right="0"/>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实验废液</w:t>
                  </w:r>
                </w:p>
              </w:tc>
              <w:tc>
                <w:tcPr>
                  <w:tcW w:w="544" w:type="pct"/>
                  <w:tcBorders>
                    <w:tl2br w:val="nil"/>
                    <w:tr2bl w:val="nil"/>
                  </w:tcBorders>
                  <w:vAlign w:val="center"/>
                </w:tcPr>
                <w:p w14:paraId="3CE81D69">
                  <w:pPr>
                    <w:pStyle w:val="129"/>
                    <w:keepNext w:val="0"/>
                    <w:keepLines w:val="0"/>
                    <w:suppressLineNumbers w:val="0"/>
                    <w:spacing w:before="0" w:beforeAutospacing="0" w:after="0" w:afterAutospacing="0"/>
                    <w:ind w:left="0" w:right="0"/>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HW49</w:t>
                  </w:r>
                </w:p>
              </w:tc>
              <w:tc>
                <w:tcPr>
                  <w:tcW w:w="726" w:type="pct"/>
                  <w:tcBorders>
                    <w:tl2br w:val="nil"/>
                    <w:tr2bl w:val="nil"/>
                  </w:tcBorders>
                  <w:vAlign w:val="center"/>
                </w:tcPr>
                <w:p w14:paraId="15272826">
                  <w:pPr>
                    <w:pStyle w:val="129"/>
                    <w:keepNext w:val="0"/>
                    <w:keepLines w:val="0"/>
                    <w:suppressLineNumbers w:val="0"/>
                    <w:spacing w:before="0" w:beforeAutospacing="0" w:after="0" w:afterAutospacing="0"/>
                    <w:ind w:left="0" w:right="0"/>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900-047-49</w:t>
                  </w:r>
                </w:p>
              </w:tc>
              <w:tc>
                <w:tcPr>
                  <w:tcW w:w="461" w:type="pct"/>
                  <w:tcBorders>
                    <w:tl2br w:val="nil"/>
                    <w:tr2bl w:val="nil"/>
                  </w:tcBorders>
                  <w:vAlign w:val="center"/>
                </w:tcPr>
                <w:p w14:paraId="602C565D">
                  <w:pPr>
                    <w:pStyle w:val="129"/>
                    <w:keepNext w:val="0"/>
                    <w:keepLines w:val="0"/>
                    <w:suppressLineNumbers w:val="0"/>
                    <w:spacing w:before="0" w:beforeAutospacing="0" w:after="0" w:afterAutospacing="0"/>
                    <w:ind w:left="0" w:right="0"/>
                    <w:rPr>
                      <w:rFonts w:hint="default" w:ascii="Times New Roman" w:hAnsi="Times New Roman" w:eastAsia="宋体" w:cs="Times New Roman"/>
                      <w:color w:val="auto"/>
                      <w:sz w:val="21"/>
                      <w:szCs w:val="21"/>
                      <w:highlight w:val="none"/>
                    </w:rPr>
                  </w:pPr>
                  <w:r>
                    <w:rPr>
                      <w:rFonts w:hint="eastAsia" w:ascii="Times New Roman" w:hAnsi="Times New Roman" w:eastAsia="宋体" w:cs="Times New Roman"/>
                      <w:color w:val="auto"/>
                      <w:sz w:val="21"/>
                      <w:szCs w:val="21"/>
                      <w:highlight w:val="none"/>
                      <w:lang w:val="en-US" w:eastAsia="zh-CN"/>
                    </w:rPr>
                    <w:t>26</w:t>
                  </w:r>
                  <w:r>
                    <w:rPr>
                      <w:rFonts w:hint="eastAsia" w:ascii="Times New Roman" w:hAnsi="Times New Roman" w:eastAsia="宋体" w:cs="Times New Roman"/>
                      <w:color w:val="auto"/>
                      <w:sz w:val="21"/>
                      <w:szCs w:val="21"/>
                      <w:highlight w:val="none"/>
                    </w:rPr>
                    <w:t>0</w:t>
                  </w:r>
                </w:p>
              </w:tc>
              <w:tc>
                <w:tcPr>
                  <w:tcW w:w="472" w:type="pct"/>
                  <w:tcBorders>
                    <w:tl2br w:val="nil"/>
                    <w:tr2bl w:val="nil"/>
                  </w:tcBorders>
                  <w:vAlign w:val="center"/>
                </w:tcPr>
                <w:p w14:paraId="11CA679D">
                  <w:pPr>
                    <w:pStyle w:val="129"/>
                    <w:keepNext w:val="0"/>
                    <w:keepLines w:val="0"/>
                    <w:suppressLineNumbers w:val="0"/>
                    <w:spacing w:before="0" w:beforeAutospacing="0" w:after="0" w:afterAutospacing="0"/>
                    <w:ind w:left="0" w:right="0"/>
                    <w:rPr>
                      <w:rFonts w:hint="default" w:ascii="Times New Roman" w:hAnsi="Times New Roman" w:eastAsia="宋体" w:cs="Times New Roman"/>
                      <w:color w:val="auto"/>
                      <w:sz w:val="21"/>
                      <w:szCs w:val="21"/>
                      <w:highlight w:val="none"/>
                    </w:rPr>
                  </w:pPr>
                  <w:r>
                    <w:rPr>
                      <w:rFonts w:hint="eastAsia" w:ascii="Times New Roman" w:hAnsi="Times New Roman" w:eastAsia="宋体" w:cs="Times New Roman"/>
                      <w:color w:val="auto"/>
                      <w:sz w:val="21"/>
                      <w:szCs w:val="21"/>
                      <w:highlight w:val="none"/>
                    </w:rPr>
                    <w:t>≤</w:t>
                  </w:r>
                  <w:r>
                    <w:rPr>
                      <w:rFonts w:hint="default" w:ascii="Times New Roman" w:hAnsi="Times New Roman" w:eastAsia="宋体" w:cs="Times New Roman"/>
                      <w:color w:val="auto"/>
                      <w:sz w:val="21"/>
                      <w:szCs w:val="21"/>
                      <w:highlight w:val="none"/>
                    </w:rPr>
                    <w:t>3d</w:t>
                  </w:r>
                </w:p>
              </w:tc>
              <w:tc>
                <w:tcPr>
                  <w:tcW w:w="544" w:type="pct"/>
                  <w:tcBorders>
                    <w:tl2br w:val="nil"/>
                    <w:tr2bl w:val="nil"/>
                  </w:tcBorders>
                  <w:vAlign w:val="center"/>
                </w:tcPr>
                <w:p w14:paraId="35F9B561">
                  <w:pPr>
                    <w:pStyle w:val="129"/>
                    <w:keepNext w:val="0"/>
                    <w:keepLines w:val="0"/>
                    <w:suppressLineNumbers w:val="0"/>
                    <w:spacing w:before="0" w:beforeAutospacing="0" w:after="0" w:afterAutospacing="0"/>
                    <w:ind w:left="0" w:right="0"/>
                    <w:rPr>
                      <w:rFonts w:hint="default" w:ascii="Times New Roman" w:hAnsi="Times New Roman" w:eastAsia="宋体" w:cs="Times New Roman"/>
                      <w:color w:val="auto"/>
                      <w:sz w:val="21"/>
                      <w:szCs w:val="21"/>
                      <w:highlight w:val="none"/>
                    </w:rPr>
                  </w:pPr>
                  <w:r>
                    <w:rPr>
                      <w:rFonts w:hint="eastAsia" w:ascii="Times New Roman" w:hAnsi="Times New Roman" w:eastAsia="宋体" w:cs="Times New Roman"/>
                      <w:color w:val="auto"/>
                      <w:sz w:val="21"/>
                      <w:szCs w:val="21"/>
                      <w:highlight w:val="none"/>
                      <w:lang w:val="en-US" w:eastAsia="zh-CN"/>
                    </w:rPr>
                    <w:t xml:space="preserve">2.14t </w:t>
                  </w:r>
                </w:p>
              </w:tc>
              <w:tc>
                <w:tcPr>
                  <w:tcW w:w="490" w:type="pct"/>
                  <w:tcBorders>
                    <w:tl2br w:val="nil"/>
                    <w:tr2bl w:val="nil"/>
                  </w:tcBorders>
                  <w:vAlign w:val="center"/>
                </w:tcPr>
                <w:p w14:paraId="4B6E12A0">
                  <w:pPr>
                    <w:pStyle w:val="129"/>
                    <w:keepNext w:val="0"/>
                    <w:keepLines w:val="0"/>
                    <w:suppressLineNumbers w:val="0"/>
                    <w:spacing w:before="0" w:beforeAutospacing="0" w:after="0" w:afterAutospacing="0"/>
                    <w:ind w:left="0" w:right="0"/>
                    <w:rPr>
                      <w:rFonts w:hint="default" w:ascii="Times New Roman" w:hAnsi="Times New Roman" w:eastAsia="宋体" w:cs="Times New Roman"/>
                      <w:color w:val="auto"/>
                      <w:sz w:val="21"/>
                      <w:szCs w:val="21"/>
                      <w:highlight w:val="none"/>
                    </w:rPr>
                  </w:pPr>
                  <w:r>
                    <w:rPr>
                      <w:rFonts w:hint="eastAsia" w:cs="Times New Roman"/>
                      <w:color w:val="auto"/>
                      <w:sz w:val="21"/>
                      <w:szCs w:val="21"/>
                      <w:highlight w:val="none"/>
                      <w:lang w:val="en-US" w:eastAsia="zh-CN"/>
                    </w:rPr>
                    <w:t>3</w:t>
                  </w:r>
                  <w:r>
                    <w:rPr>
                      <w:rFonts w:hint="default" w:ascii="Times New Roman" w:hAnsi="Times New Roman" w:eastAsia="宋体" w:cs="Times New Roman"/>
                      <w:color w:val="auto"/>
                      <w:sz w:val="21"/>
                      <w:szCs w:val="21"/>
                      <w:highlight w:val="none"/>
                    </w:rPr>
                    <w:t>m</w:t>
                  </w:r>
                  <w:r>
                    <w:rPr>
                      <w:rFonts w:hint="default" w:ascii="Times New Roman" w:hAnsi="Times New Roman" w:eastAsia="宋体" w:cs="Times New Roman"/>
                      <w:color w:val="auto"/>
                      <w:sz w:val="21"/>
                      <w:szCs w:val="21"/>
                      <w:highlight w:val="none"/>
                      <w:vertAlign w:val="superscript"/>
                    </w:rPr>
                    <w:t>2</w:t>
                  </w:r>
                </w:p>
              </w:tc>
              <w:tc>
                <w:tcPr>
                  <w:tcW w:w="673" w:type="pct"/>
                  <w:vMerge w:val="continue"/>
                  <w:tcBorders>
                    <w:tl2br w:val="nil"/>
                    <w:tr2bl w:val="nil"/>
                  </w:tcBorders>
                  <w:vAlign w:val="center"/>
                </w:tcPr>
                <w:p w14:paraId="605A7689">
                  <w:pPr>
                    <w:pStyle w:val="129"/>
                    <w:keepNext w:val="0"/>
                    <w:keepLines w:val="0"/>
                    <w:suppressLineNumbers w:val="0"/>
                    <w:spacing w:before="0" w:beforeAutospacing="0" w:after="0" w:afterAutospacing="0"/>
                    <w:ind w:left="0" w:right="0"/>
                    <w:rPr>
                      <w:rFonts w:hint="default" w:ascii="Times New Roman" w:hAnsi="Times New Roman" w:eastAsia="宋体" w:cs="Times New Roman"/>
                      <w:color w:val="auto"/>
                      <w:sz w:val="21"/>
                      <w:szCs w:val="21"/>
                      <w:highlight w:val="none"/>
                    </w:rPr>
                  </w:pPr>
                </w:p>
              </w:tc>
            </w:tr>
            <w:tr w14:paraId="639BA29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340" w:hRule="atLeast"/>
                <w:jc w:val="center"/>
              </w:trPr>
              <w:tc>
                <w:tcPr>
                  <w:tcW w:w="358" w:type="pct"/>
                  <w:tcBorders>
                    <w:tl2br w:val="nil"/>
                    <w:tr2bl w:val="nil"/>
                  </w:tcBorders>
                  <w:vAlign w:val="center"/>
                </w:tcPr>
                <w:p w14:paraId="49FF56D0">
                  <w:pPr>
                    <w:pStyle w:val="129"/>
                    <w:keepNext w:val="0"/>
                    <w:keepLines w:val="0"/>
                    <w:suppressLineNumbers w:val="0"/>
                    <w:spacing w:before="0" w:beforeAutospacing="0" w:after="0" w:afterAutospacing="0"/>
                    <w:ind w:left="0" w:right="0"/>
                    <w:rPr>
                      <w:rFonts w:hint="eastAsia" w:ascii="Times New Roman" w:hAnsi="Times New Roman" w:eastAsia="宋体" w:cs="Times New Roman"/>
                      <w:color w:val="auto"/>
                      <w:sz w:val="21"/>
                      <w:szCs w:val="21"/>
                      <w:highlight w:val="none"/>
                      <w:lang w:val="en-US" w:eastAsia="zh-CN"/>
                    </w:rPr>
                  </w:pPr>
                  <w:r>
                    <w:rPr>
                      <w:rFonts w:hint="eastAsia" w:ascii="Times New Roman" w:hAnsi="Times New Roman" w:eastAsia="宋体" w:cs="Times New Roman"/>
                      <w:color w:val="auto"/>
                      <w:sz w:val="21"/>
                      <w:szCs w:val="21"/>
                      <w:highlight w:val="none"/>
                      <w:lang w:val="en-US" w:eastAsia="zh-CN"/>
                    </w:rPr>
                    <w:t>3</w:t>
                  </w:r>
                </w:p>
              </w:tc>
              <w:tc>
                <w:tcPr>
                  <w:tcW w:w="728" w:type="pct"/>
                  <w:tcBorders>
                    <w:tl2br w:val="nil"/>
                    <w:tr2bl w:val="nil"/>
                  </w:tcBorders>
                  <w:vAlign w:val="center"/>
                </w:tcPr>
                <w:p w14:paraId="5C38DCEC">
                  <w:pPr>
                    <w:pStyle w:val="129"/>
                    <w:keepNext w:val="0"/>
                    <w:keepLines w:val="0"/>
                    <w:suppressLineNumbers w:val="0"/>
                    <w:spacing w:before="0" w:beforeAutospacing="0" w:after="0" w:afterAutospacing="0"/>
                    <w:ind w:left="0" w:right="0"/>
                    <w:rPr>
                      <w:rFonts w:hint="default" w:ascii="Times New Roman" w:hAnsi="Times New Roman" w:eastAsia="宋体" w:cs="Times New Roman"/>
                      <w:color w:val="auto"/>
                      <w:sz w:val="21"/>
                      <w:szCs w:val="21"/>
                      <w:highlight w:val="none"/>
                    </w:rPr>
                  </w:pPr>
                  <w:r>
                    <w:rPr>
                      <w:rFonts w:hint="eastAsia" w:ascii="Times New Roman" w:hAnsi="Times New Roman" w:eastAsia="宋体" w:cs="Times New Roman"/>
                      <w:color w:val="auto"/>
                      <w:sz w:val="21"/>
                      <w:szCs w:val="21"/>
                      <w:highlight w:val="none"/>
                    </w:rPr>
                    <w:t>废</w:t>
                  </w:r>
                  <w:r>
                    <w:rPr>
                      <w:rFonts w:hint="default" w:ascii="Times New Roman" w:hAnsi="Times New Roman" w:eastAsia="宋体" w:cs="Times New Roman"/>
                      <w:color w:val="auto"/>
                      <w:sz w:val="21"/>
                      <w:szCs w:val="21"/>
                      <w:highlight w:val="none"/>
                    </w:rPr>
                    <w:t>实验耗材</w:t>
                  </w:r>
                </w:p>
              </w:tc>
              <w:tc>
                <w:tcPr>
                  <w:tcW w:w="544" w:type="pct"/>
                  <w:tcBorders>
                    <w:tl2br w:val="nil"/>
                    <w:tr2bl w:val="nil"/>
                  </w:tcBorders>
                  <w:vAlign w:val="center"/>
                </w:tcPr>
                <w:p w14:paraId="1454502E">
                  <w:pPr>
                    <w:pStyle w:val="129"/>
                    <w:keepNext w:val="0"/>
                    <w:keepLines w:val="0"/>
                    <w:suppressLineNumbers w:val="0"/>
                    <w:spacing w:before="0" w:beforeAutospacing="0" w:after="0" w:afterAutospacing="0"/>
                    <w:ind w:left="0" w:right="0"/>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HW49</w:t>
                  </w:r>
                </w:p>
              </w:tc>
              <w:tc>
                <w:tcPr>
                  <w:tcW w:w="726" w:type="pct"/>
                  <w:tcBorders>
                    <w:tl2br w:val="nil"/>
                    <w:tr2bl w:val="nil"/>
                  </w:tcBorders>
                  <w:vAlign w:val="center"/>
                </w:tcPr>
                <w:p w14:paraId="7BF99DC9">
                  <w:pPr>
                    <w:pStyle w:val="129"/>
                    <w:keepNext w:val="0"/>
                    <w:keepLines w:val="0"/>
                    <w:suppressLineNumbers w:val="0"/>
                    <w:spacing w:before="0" w:beforeAutospacing="0" w:after="0" w:afterAutospacing="0"/>
                    <w:ind w:left="0" w:right="0"/>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900-047-49</w:t>
                  </w:r>
                </w:p>
              </w:tc>
              <w:tc>
                <w:tcPr>
                  <w:tcW w:w="461" w:type="pct"/>
                  <w:tcBorders>
                    <w:tl2br w:val="nil"/>
                    <w:tr2bl w:val="nil"/>
                  </w:tcBorders>
                  <w:vAlign w:val="center"/>
                </w:tcPr>
                <w:p w14:paraId="383BB45A">
                  <w:pPr>
                    <w:pStyle w:val="129"/>
                    <w:keepNext w:val="0"/>
                    <w:keepLines w:val="0"/>
                    <w:suppressLineNumbers w:val="0"/>
                    <w:spacing w:before="0" w:beforeAutospacing="0" w:after="0" w:afterAutospacing="0"/>
                    <w:ind w:left="0" w:right="0"/>
                    <w:rPr>
                      <w:rFonts w:hint="eastAsia" w:ascii="Times New Roman" w:hAnsi="Times New Roman" w:eastAsia="宋体" w:cs="Times New Roman"/>
                      <w:color w:val="auto"/>
                      <w:sz w:val="21"/>
                      <w:szCs w:val="21"/>
                      <w:highlight w:val="none"/>
                      <w:lang w:eastAsia="zh-CN"/>
                    </w:rPr>
                  </w:pPr>
                  <w:r>
                    <w:rPr>
                      <w:rFonts w:hint="eastAsia" w:ascii="Times New Roman" w:hAnsi="Times New Roman" w:eastAsia="宋体" w:cs="Times New Roman"/>
                      <w:color w:val="auto"/>
                      <w:sz w:val="21"/>
                      <w:szCs w:val="21"/>
                      <w:highlight w:val="none"/>
                      <w:lang w:val="en-US" w:eastAsia="zh-CN"/>
                    </w:rPr>
                    <w:t>5</w:t>
                  </w:r>
                </w:p>
              </w:tc>
              <w:tc>
                <w:tcPr>
                  <w:tcW w:w="472" w:type="pct"/>
                  <w:tcBorders>
                    <w:tl2br w:val="nil"/>
                    <w:tr2bl w:val="nil"/>
                  </w:tcBorders>
                  <w:vAlign w:val="center"/>
                </w:tcPr>
                <w:p w14:paraId="32C23A17">
                  <w:pPr>
                    <w:pStyle w:val="129"/>
                    <w:keepNext w:val="0"/>
                    <w:keepLines w:val="0"/>
                    <w:suppressLineNumbers w:val="0"/>
                    <w:spacing w:before="0" w:beforeAutospacing="0" w:after="0" w:afterAutospacing="0"/>
                    <w:ind w:left="0" w:right="0"/>
                    <w:rPr>
                      <w:rFonts w:hint="default" w:ascii="Times New Roman" w:hAnsi="Times New Roman" w:eastAsia="宋体" w:cs="Times New Roman"/>
                      <w:color w:val="auto"/>
                      <w:sz w:val="21"/>
                      <w:szCs w:val="21"/>
                      <w:highlight w:val="none"/>
                    </w:rPr>
                  </w:pPr>
                  <w:r>
                    <w:rPr>
                      <w:rFonts w:hint="eastAsia" w:ascii="Times New Roman" w:hAnsi="Times New Roman" w:eastAsia="宋体" w:cs="Times New Roman"/>
                      <w:color w:val="auto"/>
                      <w:sz w:val="21"/>
                      <w:szCs w:val="21"/>
                      <w:highlight w:val="none"/>
                    </w:rPr>
                    <w:t>≤</w:t>
                  </w:r>
                  <w:r>
                    <w:rPr>
                      <w:rFonts w:hint="eastAsia" w:ascii="Times New Roman" w:hAnsi="Times New Roman" w:eastAsia="宋体" w:cs="Times New Roman"/>
                      <w:color w:val="auto"/>
                      <w:sz w:val="21"/>
                      <w:szCs w:val="21"/>
                      <w:highlight w:val="none"/>
                      <w:lang w:val="en-US" w:eastAsia="zh-CN"/>
                    </w:rPr>
                    <w:t>90</w:t>
                  </w:r>
                  <w:r>
                    <w:rPr>
                      <w:rFonts w:hint="default" w:ascii="Times New Roman" w:hAnsi="Times New Roman" w:eastAsia="宋体" w:cs="Times New Roman"/>
                      <w:color w:val="auto"/>
                      <w:sz w:val="21"/>
                      <w:szCs w:val="21"/>
                      <w:highlight w:val="none"/>
                    </w:rPr>
                    <w:t>d</w:t>
                  </w:r>
                </w:p>
              </w:tc>
              <w:tc>
                <w:tcPr>
                  <w:tcW w:w="544" w:type="pct"/>
                  <w:tcBorders>
                    <w:tl2br w:val="nil"/>
                    <w:tr2bl w:val="nil"/>
                  </w:tcBorders>
                  <w:vAlign w:val="center"/>
                </w:tcPr>
                <w:p w14:paraId="3C3271EC">
                  <w:pPr>
                    <w:pStyle w:val="129"/>
                    <w:keepNext w:val="0"/>
                    <w:keepLines w:val="0"/>
                    <w:suppressLineNumbers w:val="0"/>
                    <w:spacing w:before="0" w:beforeAutospacing="0" w:after="0" w:afterAutospacing="0"/>
                    <w:ind w:left="0" w:right="0"/>
                    <w:rPr>
                      <w:rFonts w:hint="default" w:ascii="Times New Roman" w:hAnsi="Times New Roman" w:eastAsia="宋体" w:cs="Times New Roman"/>
                      <w:color w:val="auto"/>
                      <w:sz w:val="21"/>
                      <w:szCs w:val="21"/>
                      <w:highlight w:val="none"/>
                    </w:rPr>
                  </w:pPr>
                  <w:r>
                    <w:rPr>
                      <w:rFonts w:hint="eastAsia" w:ascii="Times New Roman" w:hAnsi="Times New Roman" w:eastAsia="宋体" w:cs="Times New Roman"/>
                      <w:color w:val="auto"/>
                      <w:sz w:val="21"/>
                      <w:szCs w:val="21"/>
                      <w:highlight w:val="none"/>
                      <w:lang w:val="en-US" w:eastAsia="zh-CN"/>
                    </w:rPr>
                    <w:t xml:space="preserve">1.23t </w:t>
                  </w:r>
                </w:p>
              </w:tc>
              <w:tc>
                <w:tcPr>
                  <w:tcW w:w="490" w:type="pct"/>
                  <w:tcBorders>
                    <w:tl2br w:val="nil"/>
                    <w:tr2bl w:val="nil"/>
                  </w:tcBorders>
                  <w:vAlign w:val="center"/>
                </w:tcPr>
                <w:p w14:paraId="103A7FF9">
                  <w:pPr>
                    <w:pStyle w:val="129"/>
                    <w:keepNext w:val="0"/>
                    <w:keepLines w:val="0"/>
                    <w:suppressLineNumbers w:val="0"/>
                    <w:spacing w:before="0" w:beforeAutospacing="0" w:after="0" w:afterAutospacing="0"/>
                    <w:ind w:left="0" w:right="0"/>
                    <w:rPr>
                      <w:rFonts w:hint="default" w:ascii="Times New Roman" w:hAnsi="Times New Roman" w:eastAsia="宋体" w:cs="Times New Roman"/>
                      <w:color w:val="auto"/>
                      <w:sz w:val="21"/>
                      <w:szCs w:val="21"/>
                      <w:highlight w:val="none"/>
                    </w:rPr>
                  </w:pPr>
                  <w:r>
                    <w:rPr>
                      <w:rFonts w:hint="eastAsia" w:ascii="Times New Roman" w:hAnsi="Times New Roman" w:eastAsia="宋体" w:cs="Times New Roman"/>
                      <w:color w:val="auto"/>
                      <w:sz w:val="21"/>
                      <w:szCs w:val="21"/>
                      <w:highlight w:val="none"/>
                    </w:rPr>
                    <w:t>3m</w:t>
                  </w:r>
                  <w:r>
                    <w:rPr>
                      <w:rFonts w:hint="eastAsia" w:ascii="Times New Roman" w:hAnsi="Times New Roman" w:eastAsia="宋体" w:cs="Times New Roman"/>
                      <w:color w:val="auto"/>
                      <w:sz w:val="21"/>
                      <w:szCs w:val="21"/>
                      <w:highlight w:val="none"/>
                      <w:vertAlign w:val="superscript"/>
                    </w:rPr>
                    <w:t>2</w:t>
                  </w:r>
                </w:p>
              </w:tc>
              <w:tc>
                <w:tcPr>
                  <w:tcW w:w="673" w:type="pct"/>
                  <w:vMerge w:val="continue"/>
                  <w:tcBorders>
                    <w:tl2br w:val="nil"/>
                    <w:tr2bl w:val="nil"/>
                  </w:tcBorders>
                  <w:vAlign w:val="center"/>
                </w:tcPr>
                <w:p w14:paraId="135587D6">
                  <w:pPr>
                    <w:pStyle w:val="129"/>
                    <w:keepNext w:val="0"/>
                    <w:keepLines w:val="0"/>
                    <w:suppressLineNumbers w:val="0"/>
                    <w:spacing w:before="0" w:beforeAutospacing="0" w:after="0" w:afterAutospacing="0"/>
                    <w:ind w:left="0" w:right="0"/>
                    <w:rPr>
                      <w:rFonts w:hint="default" w:ascii="Times New Roman" w:hAnsi="Times New Roman" w:eastAsia="宋体" w:cs="Times New Roman"/>
                      <w:color w:val="auto"/>
                      <w:sz w:val="21"/>
                      <w:szCs w:val="21"/>
                      <w:highlight w:val="none"/>
                    </w:rPr>
                  </w:pPr>
                </w:p>
              </w:tc>
            </w:tr>
            <w:tr w14:paraId="4C92921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340" w:hRule="atLeast"/>
                <w:jc w:val="center"/>
              </w:trPr>
              <w:tc>
                <w:tcPr>
                  <w:tcW w:w="358" w:type="pct"/>
                  <w:tcBorders>
                    <w:tl2br w:val="nil"/>
                    <w:tr2bl w:val="nil"/>
                  </w:tcBorders>
                  <w:vAlign w:val="center"/>
                </w:tcPr>
                <w:p w14:paraId="442D0A6A">
                  <w:pPr>
                    <w:pStyle w:val="129"/>
                    <w:keepNext w:val="0"/>
                    <w:keepLines w:val="0"/>
                    <w:suppressLineNumbers w:val="0"/>
                    <w:spacing w:before="0" w:beforeAutospacing="0" w:after="0" w:afterAutospacing="0"/>
                    <w:ind w:left="0" w:right="0"/>
                    <w:rPr>
                      <w:rFonts w:hint="eastAsia" w:ascii="Times New Roman" w:hAnsi="Times New Roman" w:eastAsia="宋体" w:cs="Times New Roman"/>
                      <w:color w:val="auto"/>
                      <w:sz w:val="21"/>
                      <w:szCs w:val="21"/>
                      <w:highlight w:val="none"/>
                      <w:lang w:val="en-US" w:eastAsia="zh-CN"/>
                    </w:rPr>
                  </w:pPr>
                  <w:r>
                    <w:rPr>
                      <w:rFonts w:hint="eastAsia" w:ascii="Times New Roman" w:hAnsi="Times New Roman" w:eastAsia="宋体" w:cs="Times New Roman"/>
                      <w:color w:val="auto"/>
                      <w:sz w:val="21"/>
                      <w:szCs w:val="21"/>
                      <w:highlight w:val="none"/>
                      <w:lang w:val="en-US" w:eastAsia="zh-CN"/>
                    </w:rPr>
                    <w:t>4</w:t>
                  </w:r>
                </w:p>
              </w:tc>
              <w:tc>
                <w:tcPr>
                  <w:tcW w:w="728" w:type="pct"/>
                  <w:tcBorders>
                    <w:tl2br w:val="nil"/>
                    <w:tr2bl w:val="nil"/>
                  </w:tcBorders>
                  <w:vAlign w:val="center"/>
                </w:tcPr>
                <w:p w14:paraId="5D8E5DE3">
                  <w:pPr>
                    <w:pStyle w:val="129"/>
                    <w:keepNext w:val="0"/>
                    <w:keepLines w:val="0"/>
                    <w:suppressLineNumbers w:val="0"/>
                    <w:spacing w:before="0" w:beforeAutospacing="0" w:after="0" w:afterAutospacing="0"/>
                    <w:ind w:left="0" w:right="0"/>
                    <w:rPr>
                      <w:rFonts w:hint="eastAsia" w:ascii="Times New Roman" w:hAnsi="Times New Roman" w:eastAsia="宋体" w:cs="Times New Roman"/>
                      <w:color w:val="auto"/>
                      <w:sz w:val="21"/>
                      <w:szCs w:val="21"/>
                      <w:highlight w:val="none"/>
                      <w:lang w:val="en-US" w:eastAsia="zh-CN"/>
                    </w:rPr>
                  </w:pPr>
                  <w:r>
                    <w:rPr>
                      <w:rFonts w:hint="eastAsia" w:ascii="Times New Roman" w:hAnsi="Times New Roman" w:eastAsia="宋体" w:cs="Times New Roman"/>
                      <w:color w:val="auto"/>
                      <w:sz w:val="21"/>
                      <w:szCs w:val="21"/>
                      <w:highlight w:val="none"/>
                      <w:lang w:val="en-US" w:eastAsia="zh-CN"/>
                    </w:rPr>
                    <w:t>危险废包装材料</w:t>
                  </w:r>
                </w:p>
              </w:tc>
              <w:tc>
                <w:tcPr>
                  <w:tcW w:w="544" w:type="pct"/>
                  <w:tcBorders>
                    <w:tl2br w:val="nil"/>
                    <w:tr2bl w:val="nil"/>
                  </w:tcBorders>
                  <w:vAlign w:val="center"/>
                </w:tcPr>
                <w:p w14:paraId="0C0E6778">
                  <w:pPr>
                    <w:pStyle w:val="129"/>
                    <w:keepNext w:val="0"/>
                    <w:keepLines w:val="0"/>
                    <w:suppressLineNumbers w:val="0"/>
                    <w:spacing w:before="0" w:beforeAutospacing="0" w:after="0" w:afterAutospacing="0"/>
                    <w:ind w:left="0" w:right="0"/>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HW49</w:t>
                  </w:r>
                </w:p>
              </w:tc>
              <w:tc>
                <w:tcPr>
                  <w:tcW w:w="726" w:type="pct"/>
                  <w:tcBorders>
                    <w:tl2br w:val="nil"/>
                    <w:tr2bl w:val="nil"/>
                  </w:tcBorders>
                  <w:vAlign w:val="center"/>
                </w:tcPr>
                <w:p w14:paraId="08B41C06">
                  <w:pPr>
                    <w:pStyle w:val="129"/>
                    <w:keepNext w:val="0"/>
                    <w:keepLines w:val="0"/>
                    <w:suppressLineNumbers w:val="0"/>
                    <w:spacing w:before="0" w:beforeAutospacing="0" w:after="0" w:afterAutospacing="0"/>
                    <w:ind w:left="0" w:right="0"/>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900-047-49</w:t>
                  </w:r>
                </w:p>
              </w:tc>
              <w:tc>
                <w:tcPr>
                  <w:tcW w:w="461" w:type="pct"/>
                  <w:tcBorders>
                    <w:tl2br w:val="nil"/>
                    <w:tr2bl w:val="nil"/>
                  </w:tcBorders>
                  <w:vAlign w:val="center"/>
                </w:tcPr>
                <w:p w14:paraId="0A992884">
                  <w:pPr>
                    <w:pStyle w:val="129"/>
                    <w:keepNext w:val="0"/>
                    <w:keepLines w:val="0"/>
                    <w:suppressLineNumbers w:val="0"/>
                    <w:spacing w:before="0" w:beforeAutospacing="0" w:after="0" w:afterAutospacing="0"/>
                    <w:ind w:left="0" w:right="0"/>
                    <w:rPr>
                      <w:rFonts w:hint="default" w:ascii="Times New Roman" w:hAnsi="Times New Roman" w:eastAsia="宋体" w:cs="Times New Roman"/>
                      <w:color w:val="auto"/>
                      <w:sz w:val="21"/>
                      <w:szCs w:val="21"/>
                      <w:highlight w:val="none"/>
                      <w:lang w:val="en-US"/>
                    </w:rPr>
                  </w:pPr>
                  <w:r>
                    <w:rPr>
                      <w:rFonts w:hint="eastAsia" w:ascii="Times New Roman" w:hAnsi="Times New Roman" w:eastAsia="宋体" w:cs="Times New Roman"/>
                      <w:color w:val="auto"/>
                      <w:sz w:val="21"/>
                      <w:szCs w:val="21"/>
                      <w:highlight w:val="none"/>
                      <w:lang w:val="en-US" w:eastAsia="zh-CN"/>
                    </w:rPr>
                    <w:t>0.</w:t>
                  </w:r>
                  <w:r>
                    <w:rPr>
                      <w:rFonts w:hint="eastAsia" w:cs="Times New Roman"/>
                      <w:color w:val="auto"/>
                      <w:sz w:val="21"/>
                      <w:szCs w:val="21"/>
                      <w:highlight w:val="none"/>
                      <w:lang w:val="en-US" w:eastAsia="zh-CN"/>
                    </w:rPr>
                    <w:t>2</w:t>
                  </w:r>
                </w:p>
              </w:tc>
              <w:tc>
                <w:tcPr>
                  <w:tcW w:w="472" w:type="pct"/>
                  <w:tcBorders>
                    <w:tl2br w:val="nil"/>
                    <w:tr2bl w:val="nil"/>
                  </w:tcBorders>
                  <w:vAlign w:val="center"/>
                </w:tcPr>
                <w:p w14:paraId="0A1BE222">
                  <w:pPr>
                    <w:pStyle w:val="129"/>
                    <w:keepNext w:val="0"/>
                    <w:keepLines w:val="0"/>
                    <w:suppressLineNumbers w:val="0"/>
                    <w:spacing w:before="0" w:beforeAutospacing="0" w:after="0" w:afterAutospacing="0"/>
                    <w:ind w:left="0" w:right="0"/>
                    <w:rPr>
                      <w:rFonts w:hint="default" w:ascii="Times New Roman" w:hAnsi="Times New Roman" w:eastAsia="宋体" w:cs="Times New Roman"/>
                      <w:color w:val="auto"/>
                      <w:sz w:val="21"/>
                      <w:szCs w:val="21"/>
                      <w:highlight w:val="none"/>
                    </w:rPr>
                  </w:pPr>
                  <w:r>
                    <w:rPr>
                      <w:rFonts w:hint="eastAsia" w:ascii="Times New Roman" w:hAnsi="Times New Roman" w:eastAsia="宋体" w:cs="Times New Roman"/>
                      <w:color w:val="auto"/>
                      <w:sz w:val="21"/>
                      <w:szCs w:val="21"/>
                      <w:highlight w:val="none"/>
                    </w:rPr>
                    <w:t>≤</w:t>
                  </w:r>
                  <w:r>
                    <w:rPr>
                      <w:rFonts w:hint="eastAsia" w:ascii="Times New Roman" w:hAnsi="Times New Roman" w:eastAsia="宋体" w:cs="Times New Roman"/>
                      <w:color w:val="auto"/>
                      <w:sz w:val="21"/>
                      <w:szCs w:val="21"/>
                      <w:highlight w:val="none"/>
                      <w:lang w:val="en-US" w:eastAsia="zh-CN"/>
                    </w:rPr>
                    <w:t>180</w:t>
                  </w:r>
                  <w:r>
                    <w:rPr>
                      <w:rFonts w:hint="default" w:ascii="Times New Roman" w:hAnsi="Times New Roman" w:eastAsia="宋体" w:cs="Times New Roman"/>
                      <w:color w:val="auto"/>
                      <w:sz w:val="21"/>
                      <w:szCs w:val="21"/>
                      <w:highlight w:val="none"/>
                    </w:rPr>
                    <w:t>d</w:t>
                  </w:r>
                </w:p>
              </w:tc>
              <w:tc>
                <w:tcPr>
                  <w:tcW w:w="544" w:type="pct"/>
                  <w:tcBorders>
                    <w:tl2br w:val="nil"/>
                    <w:tr2bl w:val="nil"/>
                  </w:tcBorders>
                  <w:vAlign w:val="center"/>
                </w:tcPr>
                <w:p w14:paraId="0D7D38F6">
                  <w:pPr>
                    <w:pStyle w:val="129"/>
                    <w:keepNext w:val="0"/>
                    <w:keepLines w:val="0"/>
                    <w:suppressLineNumbers w:val="0"/>
                    <w:spacing w:before="0" w:beforeAutospacing="0" w:after="0" w:afterAutospacing="0"/>
                    <w:ind w:left="0" w:right="0"/>
                    <w:rPr>
                      <w:rFonts w:hint="default" w:ascii="Times New Roman" w:hAnsi="Times New Roman" w:eastAsia="宋体" w:cs="Times New Roman"/>
                      <w:color w:val="auto"/>
                      <w:sz w:val="21"/>
                      <w:szCs w:val="21"/>
                      <w:highlight w:val="none"/>
                    </w:rPr>
                  </w:pPr>
                  <w:r>
                    <w:rPr>
                      <w:rFonts w:hint="eastAsia" w:ascii="Times New Roman" w:hAnsi="Times New Roman" w:eastAsia="宋体" w:cs="Times New Roman"/>
                      <w:color w:val="auto"/>
                      <w:sz w:val="21"/>
                      <w:szCs w:val="21"/>
                      <w:highlight w:val="none"/>
                      <w:lang w:val="en-US" w:eastAsia="zh-CN"/>
                    </w:rPr>
                    <w:t>0.</w:t>
                  </w:r>
                  <w:r>
                    <w:rPr>
                      <w:rFonts w:hint="eastAsia" w:cs="Times New Roman"/>
                      <w:color w:val="auto"/>
                      <w:sz w:val="21"/>
                      <w:szCs w:val="21"/>
                      <w:highlight w:val="none"/>
                      <w:lang w:val="en-US" w:eastAsia="zh-CN"/>
                    </w:rPr>
                    <w:t>1</w:t>
                  </w:r>
                  <w:r>
                    <w:rPr>
                      <w:rFonts w:hint="eastAsia" w:ascii="Times New Roman" w:hAnsi="Times New Roman" w:eastAsia="宋体" w:cs="Times New Roman"/>
                      <w:color w:val="auto"/>
                      <w:sz w:val="21"/>
                      <w:szCs w:val="21"/>
                      <w:highlight w:val="none"/>
                      <w:lang w:val="en-US" w:eastAsia="zh-CN"/>
                    </w:rPr>
                    <w:t xml:space="preserve">t </w:t>
                  </w:r>
                </w:p>
              </w:tc>
              <w:tc>
                <w:tcPr>
                  <w:tcW w:w="490" w:type="pct"/>
                  <w:tcBorders>
                    <w:tl2br w:val="nil"/>
                    <w:tr2bl w:val="nil"/>
                  </w:tcBorders>
                  <w:vAlign w:val="center"/>
                </w:tcPr>
                <w:p w14:paraId="13BE9DE7">
                  <w:pPr>
                    <w:pStyle w:val="129"/>
                    <w:keepNext w:val="0"/>
                    <w:keepLines w:val="0"/>
                    <w:suppressLineNumbers w:val="0"/>
                    <w:spacing w:before="0" w:beforeAutospacing="0" w:after="0" w:afterAutospacing="0"/>
                    <w:ind w:left="0" w:right="0"/>
                    <w:rPr>
                      <w:rFonts w:hint="default" w:ascii="Times New Roman" w:hAnsi="Times New Roman" w:eastAsia="宋体" w:cs="Times New Roman"/>
                      <w:color w:val="auto"/>
                      <w:sz w:val="21"/>
                      <w:szCs w:val="21"/>
                      <w:highlight w:val="none"/>
                    </w:rPr>
                  </w:pPr>
                  <w:r>
                    <w:rPr>
                      <w:rFonts w:hint="eastAsia" w:cs="Times New Roman"/>
                      <w:color w:val="auto"/>
                      <w:sz w:val="21"/>
                      <w:szCs w:val="21"/>
                      <w:highlight w:val="none"/>
                      <w:lang w:val="en-US" w:eastAsia="zh-CN"/>
                    </w:rPr>
                    <w:t>1</w:t>
                  </w:r>
                  <w:r>
                    <w:rPr>
                      <w:rFonts w:hint="default" w:ascii="Times New Roman" w:hAnsi="Times New Roman" w:eastAsia="宋体" w:cs="Times New Roman"/>
                      <w:color w:val="auto"/>
                      <w:sz w:val="21"/>
                      <w:szCs w:val="21"/>
                      <w:highlight w:val="none"/>
                    </w:rPr>
                    <w:t>m</w:t>
                  </w:r>
                  <w:r>
                    <w:rPr>
                      <w:rFonts w:hint="default" w:ascii="Times New Roman" w:hAnsi="Times New Roman" w:eastAsia="宋体" w:cs="Times New Roman"/>
                      <w:color w:val="auto"/>
                      <w:sz w:val="21"/>
                      <w:szCs w:val="21"/>
                      <w:highlight w:val="none"/>
                      <w:vertAlign w:val="superscript"/>
                    </w:rPr>
                    <w:t>2</w:t>
                  </w:r>
                </w:p>
              </w:tc>
              <w:tc>
                <w:tcPr>
                  <w:tcW w:w="673" w:type="pct"/>
                  <w:vMerge w:val="continue"/>
                  <w:tcBorders>
                    <w:tl2br w:val="nil"/>
                    <w:tr2bl w:val="nil"/>
                  </w:tcBorders>
                  <w:vAlign w:val="center"/>
                </w:tcPr>
                <w:p w14:paraId="2083F1A6">
                  <w:pPr>
                    <w:pStyle w:val="129"/>
                    <w:keepNext w:val="0"/>
                    <w:keepLines w:val="0"/>
                    <w:suppressLineNumbers w:val="0"/>
                    <w:spacing w:before="0" w:beforeAutospacing="0" w:after="0" w:afterAutospacing="0"/>
                    <w:ind w:left="0" w:right="0"/>
                    <w:rPr>
                      <w:rFonts w:hint="default" w:ascii="Times New Roman" w:hAnsi="Times New Roman" w:eastAsia="宋体" w:cs="Times New Roman"/>
                      <w:color w:val="auto"/>
                      <w:sz w:val="21"/>
                      <w:szCs w:val="21"/>
                      <w:highlight w:val="none"/>
                    </w:rPr>
                  </w:pPr>
                </w:p>
              </w:tc>
            </w:tr>
            <w:tr w14:paraId="623A157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340" w:hRule="atLeast"/>
                <w:jc w:val="center"/>
              </w:trPr>
              <w:tc>
                <w:tcPr>
                  <w:tcW w:w="358" w:type="pct"/>
                  <w:tcBorders>
                    <w:tl2br w:val="nil"/>
                    <w:tr2bl w:val="nil"/>
                  </w:tcBorders>
                  <w:vAlign w:val="center"/>
                </w:tcPr>
                <w:p w14:paraId="797F5E83">
                  <w:pPr>
                    <w:pStyle w:val="129"/>
                    <w:keepNext w:val="0"/>
                    <w:keepLines w:val="0"/>
                    <w:suppressLineNumbers w:val="0"/>
                    <w:spacing w:before="0" w:beforeAutospacing="0" w:after="0" w:afterAutospacing="0"/>
                    <w:ind w:left="0" w:right="0"/>
                    <w:rPr>
                      <w:rFonts w:hint="default" w:ascii="Times New Roman" w:hAnsi="Times New Roman" w:eastAsia="宋体" w:cs="Times New Roman"/>
                      <w:color w:val="auto"/>
                      <w:sz w:val="21"/>
                      <w:szCs w:val="21"/>
                      <w:highlight w:val="none"/>
                    </w:rPr>
                  </w:pPr>
                  <w:r>
                    <w:rPr>
                      <w:rFonts w:hint="eastAsia" w:ascii="Times New Roman" w:hAnsi="Times New Roman" w:eastAsia="宋体" w:cs="Times New Roman"/>
                      <w:color w:val="auto"/>
                      <w:sz w:val="21"/>
                      <w:szCs w:val="21"/>
                      <w:highlight w:val="none"/>
                      <w:lang w:val="en-US" w:eastAsia="zh-CN"/>
                    </w:rPr>
                    <w:t>5</w:t>
                  </w:r>
                </w:p>
              </w:tc>
              <w:tc>
                <w:tcPr>
                  <w:tcW w:w="728" w:type="pct"/>
                  <w:tcBorders>
                    <w:tl2br w:val="nil"/>
                    <w:tr2bl w:val="nil"/>
                  </w:tcBorders>
                  <w:vAlign w:val="center"/>
                </w:tcPr>
                <w:p w14:paraId="79BC8D96">
                  <w:pPr>
                    <w:pStyle w:val="129"/>
                    <w:keepNext w:val="0"/>
                    <w:keepLines w:val="0"/>
                    <w:suppressLineNumbers w:val="0"/>
                    <w:spacing w:before="0" w:beforeAutospacing="0" w:after="0" w:afterAutospacing="0"/>
                    <w:ind w:left="0" w:right="0"/>
                    <w:rPr>
                      <w:rFonts w:hint="default" w:ascii="Times New Roman" w:hAnsi="Times New Roman" w:eastAsia="宋体" w:cs="Times New Roman"/>
                      <w:color w:val="auto"/>
                      <w:sz w:val="21"/>
                      <w:szCs w:val="21"/>
                      <w:highlight w:val="none"/>
                    </w:rPr>
                  </w:pPr>
                  <w:r>
                    <w:rPr>
                      <w:rFonts w:hint="eastAsia" w:ascii="Times New Roman" w:hAnsi="Times New Roman" w:eastAsia="宋体" w:cs="Times New Roman"/>
                      <w:color w:val="auto"/>
                      <w:sz w:val="21"/>
                      <w:szCs w:val="21"/>
                      <w:highlight w:val="none"/>
                    </w:rPr>
                    <w:t>生物柜废</w:t>
                  </w:r>
                  <w:r>
                    <w:rPr>
                      <w:rFonts w:hint="default" w:ascii="Times New Roman" w:hAnsi="Times New Roman" w:eastAsia="宋体" w:cs="Times New Roman"/>
                      <w:color w:val="auto"/>
                      <w:sz w:val="21"/>
                      <w:szCs w:val="21"/>
                      <w:highlight w:val="none"/>
                    </w:rPr>
                    <w:t>过滤器</w:t>
                  </w:r>
                </w:p>
              </w:tc>
              <w:tc>
                <w:tcPr>
                  <w:tcW w:w="544" w:type="pct"/>
                  <w:tcBorders>
                    <w:tl2br w:val="nil"/>
                    <w:tr2bl w:val="nil"/>
                  </w:tcBorders>
                  <w:vAlign w:val="center"/>
                </w:tcPr>
                <w:p w14:paraId="047AA1E1">
                  <w:pPr>
                    <w:pStyle w:val="129"/>
                    <w:keepNext w:val="0"/>
                    <w:keepLines w:val="0"/>
                    <w:suppressLineNumbers w:val="0"/>
                    <w:spacing w:before="0" w:beforeAutospacing="0" w:after="0" w:afterAutospacing="0"/>
                    <w:ind w:left="0" w:right="0"/>
                    <w:rPr>
                      <w:rFonts w:hint="default" w:ascii="Times New Roman" w:hAnsi="Times New Roman" w:eastAsia="宋体" w:cs="Times New Roman"/>
                      <w:color w:val="auto"/>
                      <w:sz w:val="21"/>
                      <w:szCs w:val="21"/>
                      <w:highlight w:val="none"/>
                    </w:rPr>
                  </w:pPr>
                  <w:r>
                    <w:rPr>
                      <w:rFonts w:hint="eastAsia" w:ascii="Times New Roman" w:hAnsi="Times New Roman" w:eastAsia="宋体" w:cs="Times New Roman"/>
                      <w:color w:val="auto"/>
                      <w:sz w:val="21"/>
                      <w:szCs w:val="21"/>
                      <w:highlight w:val="none"/>
                    </w:rPr>
                    <w:t>HW</w:t>
                  </w:r>
                  <w:r>
                    <w:rPr>
                      <w:rFonts w:hint="default" w:ascii="Times New Roman" w:hAnsi="Times New Roman" w:eastAsia="宋体" w:cs="Times New Roman"/>
                      <w:color w:val="auto"/>
                      <w:sz w:val="21"/>
                      <w:szCs w:val="21"/>
                      <w:highlight w:val="none"/>
                    </w:rPr>
                    <w:t>49</w:t>
                  </w:r>
                </w:p>
              </w:tc>
              <w:tc>
                <w:tcPr>
                  <w:tcW w:w="726" w:type="pct"/>
                  <w:tcBorders>
                    <w:tl2br w:val="nil"/>
                    <w:tr2bl w:val="nil"/>
                  </w:tcBorders>
                  <w:vAlign w:val="center"/>
                </w:tcPr>
                <w:p w14:paraId="4630AB4E">
                  <w:pPr>
                    <w:pStyle w:val="129"/>
                    <w:keepNext w:val="0"/>
                    <w:keepLines w:val="0"/>
                    <w:suppressLineNumbers w:val="0"/>
                    <w:spacing w:before="0" w:beforeAutospacing="0" w:after="0" w:afterAutospacing="0"/>
                    <w:ind w:left="0" w:right="0"/>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900-041-49</w:t>
                  </w:r>
                </w:p>
              </w:tc>
              <w:tc>
                <w:tcPr>
                  <w:tcW w:w="461" w:type="pct"/>
                  <w:tcBorders>
                    <w:tl2br w:val="nil"/>
                    <w:tr2bl w:val="nil"/>
                  </w:tcBorders>
                  <w:vAlign w:val="center"/>
                </w:tcPr>
                <w:p w14:paraId="3858F0A8">
                  <w:pPr>
                    <w:pStyle w:val="129"/>
                    <w:keepNext w:val="0"/>
                    <w:keepLines w:val="0"/>
                    <w:suppressLineNumbers w:val="0"/>
                    <w:spacing w:before="0" w:beforeAutospacing="0" w:after="0" w:afterAutospacing="0"/>
                    <w:ind w:left="0" w:right="0"/>
                    <w:rPr>
                      <w:rFonts w:hint="default" w:ascii="Times New Roman" w:hAnsi="Times New Roman" w:eastAsia="宋体" w:cs="Times New Roman"/>
                      <w:color w:val="auto"/>
                      <w:sz w:val="21"/>
                      <w:szCs w:val="21"/>
                      <w:highlight w:val="none"/>
                    </w:rPr>
                  </w:pPr>
                  <w:r>
                    <w:rPr>
                      <w:rFonts w:hint="eastAsia" w:ascii="Times New Roman" w:hAnsi="Times New Roman" w:eastAsia="宋体" w:cs="Times New Roman"/>
                      <w:color w:val="auto"/>
                      <w:sz w:val="21"/>
                      <w:szCs w:val="21"/>
                      <w:highlight w:val="none"/>
                    </w:rPr>
                    <w:t>1.0</w:t>
                  </w:r>
                </w:p>
              </w:tc>
              <w:tc>
                <w:tcPr>
                  <w:tcW w:w="472" w:type="pct"/>
                  <w:tcBorders>
                    <w:tl2br w:val="nil"/>
                    <w:tr2bl w:val="nil"/>
                  </w:tcBorders>
                  <w:vAlign w:val="center"/>
                </w:tcPr>
                <w:p w14:paraId="1390DA77">
                  <w:pPr>
                    <w:pStyle w:val="129"/>
                    <w:keepNext w:val="0"/>
                    <w:keepLines w:val="0"/>
                    <w:suppressLineNumbers w:val="0"/>
                    <w:spacing w:before="0" w:beforeAutospacing="0" w:after="0" w:afterAutospacing="0"/>
                    <w:ind w:left="0" w:right="0"/>
                    <w:rPr>
                      <w:rFonts w:hint="default" w:ascii="Times New Roman" w:hAnsi="Times New Roman" w:eastAsia="宋体" w:cs="Times New Roman"/>
                      <w:color w:val="auto"/>
                      <w:sz w:val="21"/>
                      <w:szCs w:val="21"/>
                      <w:highlight w:val="none"/>
                    </w:rPr>
                  </w:pPr>
                  <w:r>
                    <w:rPr>
                      <w:rFonts w:hint="eastAsia" w:ascii="Times New Roman" w:hAnsi="Times New Roman" w:eastAsia="宋体" w:cs="Times New Roman"/>
                      <w:color w:val="auto"/>
                      <w:sz w:val="21"/>
                      <w:szCs w:val="21"/>
                      <w:highlight w:val="none"/>
                    </w:rPr>
                    <w:t>≤</w:t>
                  </w:r>
                  <w:r>
                    <w:rPr>
                      <w:rFonts w:hint="default" w:ascii="Times New Roman" w:hAnsi="Times New Roman" w:eastAsia="宋体" w:cs="Times New Roman"/>
                      <w:color w:val="auto"/>
                      <w:sz w:val="21"/>
                      <w:szCs w:val="21"/>
                      <w:highlight w:val="none"/>
                    </w:rPr>
                    <w:t>90d</w:t>
                  </w:r>
                </w:p>
              </w:tc>
              <w:tc>
                <w:tcPr>
                  <w:tcW w:w="544" w:type="pct"/>
                  <w:tcBorders>
                    <w:tl2br w:val="nil"/>
                    <w:tr2bl w:val="nil"/>
                  </w:tcBorders>
                  <w:vAlign w:val="center"/>
                </w:tcPr>
                <w:p w14:paraId="79AF619F">
                  <w:pPr>
                    <w:pStyle w:val="129"/>
                    <w:keepNext w:val="0"/>
                    <w:keepLines w:val="0"/>
                    <w:suppressLineNumbers w:val="0"/>
                    <w:spacing w:before="0" w:beforeAutospacing="0" w:after="0" w:afterAutospacing="0"/>
                    <w:ind w:left="0" w:right="0"/>
                    <w:rPr>
                      <w:rFonts w:hint="default" w:ascii="Times New Roman" w:hAnsi="Times New Roman" w:eastAsia="宋体" w:cs="Times New Roman"/>
                      <w:color w:val="auto"/>
                      <w:sz w:val="21"/>
                      <w:szCs w:val="21"/>
                      <w:highlight w:val="none"/>
                    </w:rPr>
                  </w:pPr>
                  <w:r>
                    <w:rPr>
                      <w:rFonts w:hint="eastAsia" w:ascii="Times New Roman" w:hAnsi="Times New Roman" w:eastAsia="宋体" w:cs="Times New Roman"/>
                      <w:color w:val="auto"/>
                      <w:sz w:val="21"/>
                      <w:szCs w:val="21"/>
                      <w:highlight w:val="none"/>
                      <w:lang w:val="en-US" w:eastAsia="zh-CN"/>
                    </w:rPr>
                    <w:t xml:space="preserve">0.25t </w:t>
                  </w:r>
                </w:p>
              </w:tc>
              <w:tc>
                <w:tcPr>
                  <w:tcW w:w="490" w:type="pct"/>
                  <w:tcBorders>
                    <w:tl2br w:val="nil"/>
                    <w:tr2bl w:val="nil"/>
                  </w:tcBorders>
                  <w:vAlign w:val="center"/>
                </w:tcPr>
                <w:p w14:paraId="0955AF3A">
                  <w:pPr>
                    <w:pStyle w:val="129"/>
                    <w:keepNext w:val="0"/>
                    <w:keepLines w:val="0"/>
                    <w:suppressLineNumbers w:val="0"/>
                    <w:spacing w:before="0" w:beforeAutospacing="0" w:after="0" w:afterAutospacing="0"/>
                    <w:ind w:left="0" w:right="0"/>
                    <w:rPr>
                      <w:rFonts w:hint="default" w:ascii="Times New Roman" w:hAnsi="Times New Roman" w:eastAsia="宋体" w:cs="Times New Roman"/>
                      <w:color w:val="auto"/>
                      <w:sz w:val="21"/>
                      <w:szCs w:val="21"/>
                      <w:highlight w:val="none"/>
                    </w:rPr>
                  </w:pPr>
                  <w:r>
                    <w:rPr>
                      <w:rFonts w:hint="eastAsia" w:cs="Times New Roman"/>
                      <w:color w:val="auto"/>
                      <w:sz w:val="21"/>
                      <w:szCs w:val="21"/>
                      <w:highlight w:val="none"/>
                      <w:lang w:val="en-US" w:eastAsia="zh-CN"/>
                    </w:rPr>
                    <w:t>1</w:t>
                  </w:r>
                  <w:r>
                    <w:rPr>
                      <w:rFonts w:hint="default" w:ascii="Times New Roman" w:hAnsi="Times New Roman" w:eastAsia="宋体" w:cs="Times New Roman"/>
                      <w:color w:val="auto"/>
                      <w:sz w:val="21"/>
                      <w:szCs w:val="21"/>
                      <w:highlight w:val="none"/>
                    </w:rPr>
                    <w:t>m</w:t>
                  </w:r>
                  <w:r>
                    <w:rPr>
                      <w:rFonts w:hint="default" w:ascii="Times New Roman" w:hAnsi="Times New Roman" w:eastAsia="宋体" w:cs="Times New Roman"/>
                      <w:color w:val="auto"/>
                      <w:sz w:val="21"/>
                      <w:szCs w:val="21"/>
                      <w:highlight w:val="none"/>
                      <w:vertAlign w:val="superscript"/>
                    </w:rPr>
                    <w:t>2</w:t>
                  </w:r>
                </w:p>
              </w:tc>
              <w:tc>
                <w:tcPr>
                  <w:tcW w:w="673" w:type="pct"/>
                  <w:vMerge w:val="continue"/>
                  <w:tcBorders>
                    <w:tl2br w:val="nil"/>
                    <w:tr2bl w:val="nil"/>
                  </w:tcBorders>
                  <w:vAlign w:val="center"/>
                </w:tcPr>
                <w:p w14:paraId="57BEB461">
                  <w:pPr>
                    <w:pStyle w:val="129"/>
                    <w:keepNext w:val="0"/>
                    <w:keepLines w:val="0"/>
                    <w:suppressLineNumbers w:val="0"/>
                    <w:spacing w:before="0" w:beforeAutospacing="0" w:after="0" w:afterAutospacing="0"/>
                    <w:ind w:left="0" w:right="0"/>
                    <w:rPr>
                      <w:rFonts w:hint="default" w:ascii="Times New Roman" w:hAnsi="Times New Roman" w:eastAsia="宋体" w:cs="Times New Roman"/>
                      <w:color w:val="auto"/>
                      <w:sz w:val="21"/>
                      <w:szCs w:val="21"/>
                      <w:highlight w:val="none"/>
                    </w:rPr>
                  </w:pPr>
                </w:p>
              </w:tc>
            </w:tr>
            <w:tr w14:paraId="35C5037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340" w:hRule="atLeast"/>
                <w:jc w:val="center"/>
              </w:trPr>
              <w:tc>
                <w:tcPr>
                  <w:tcW w:w="358" w:type="pct"/>
                  <w:tcBorders>
                    <w:tl2br w:val="nil"/>
                    <w:tr2bl w:val="nil"/>
                  </w:tcBorders>
                  <w:vAlign w:val="center"/>
                </w:tcPr>
                <w:p w14:paraId="47776FCD">
                  <w:pPr>
                    <w:pStyle w:val="129"/>
                    <w:keepNext w:val="0"/>
                    <w:keepLines w:val="0"/>
                    <w:suppressLineNumbers w:val="0"/>
                    <w:spacing w:before="0" w:beforeAutospacing="0" w:after="0" w:afterAutospacing="0"/>
                    <w:ind w:left="0" w:right="0"/>
                    <w:rPr>
                      <w:rFonts w:hint="default" w:ascii="Times New Roman" w:hAnsi="Times New Roman" w:eastAsia="宋体" w:cs="Times New Roman"/>
                      <w:color w:val="auto"/>
                      <w:sz w:val="21"/>
                      <w:szCs w:val="21"/>
                      <w:highlight w:val="none"/>
                    </w:rPr>
                  </w:pPr>
                  <w:r>
                    <w:rPr>
                      <w:rFonts w:hint="eastAsia" w:ascii="Times New Roman" w:hAnsi="Times New Roman" w:eastAsia="宋体" w:cs="Times New Roman"/>
                      <w:color w:val="auto"/>
                      <w:sz w:val="21"/>
                      <w:szCs w:val="21"/>
                      <w:highlight w:val="none"/>
                      <w:lang w:val="en-US" w:eastAsia="zh-CN"/>
                    </w:rPr>
                    <w:t>6</w:t>
                  </w:r>
                </w:p>
              </w:tc>
              <w:tc>
                <w:tcPr>
                  <w:tcW w:w="728" w:type="pct"/>
                  <w:tcBorders>
                    <w:tl2br w:val="nil"/>
                    <w:tr2bl w:val="nil"/>
                  </w:tcBorders>
                  <w:vAlign w:val="center"/>
                </w:tcPr>
                <w:p w14:paraId="39898FAF">
                  <w:pPr>
                    <w:pStyle w:val="129"/>
                    <w:keepNext w:val="0"/>
                    <w:keepLines w:val="0"/>
                    <w:suppressLineNumbers w:val="0"/>
                    <w:spacing w:before="0" w:beforeAutospacing="0" w:after="0" w:afterAutospacing="0"/>
                    <w:ind w:left="0" w:right="0"/>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废活性炭</w:t>
                  </w:r>
                </w:p>
              </w:tc>
              <w:tc>
                <w:tcPr>
                  <w:tcW w:w="544" w:type="pct"/>
                  <w:tcBorders>
                    <w:tl2br w:val="nil"/>
                    <w:tr2bl w:val="nil"/>
                  </w:tcBorders>
                  <w:shd w:val="clear" w:color="auto" w:fill="auto"/>
                  <w:vAlign w:val="center"/>
                </w:tcPr>
                <w:p w14:paraId="75CE9270">
                  <w:pPr>
                    <w:pStyle w:val="129"/>
                    <w:keepNext w:val="0"/>
                    <w:keepLines w:val="0"/>
                    <w:suppressLineNumbers w:val="0"/>
                    <w:spacing w:before="0" w:beforeAutospacing="0" w:after="0" w:afterAutospacing="0"/>
                    <w:ind w:left="0" w:right="0"/>
                    <w:rPr>
                      <w:rFonts w:hint="eastAsia" w:ascii="Times New Roman" w:hAnsi="Times New Roman" w:eastAsia="宋体" w:cs="Times New Roman"/>
                      <w:color w:val="auto"/>
                      <w:kern w:val="0"/>
                      <w:sz w:val="21"/>
                      <w:szCs w:val="21"/>
                      <w:highlight w:val="none"/>
                      <w:lang w:val="en-US" w:eastAsia="zh-CN" w:bidi="ar-SA"/>
                    </w:rPr>
                  </w:pPr>
                  <w:r>
                    <w:rPr>
                      <w:rFonts w:hint="default" w:ascii="Times New Roman" w:hAnsi="Times New Roman" w:eastAsia="宋体" w:cs="Times New Roman"/>
                      <w:color w:val="auto"/>
                      <w:sz w:val="21"/>
                      <w:szCs w:val="21"/>
                      <w:highlight w:val="none"/>
                    </w:rPr>
                    <w:t>HW49</w:t>
                  </w:r>
                </w:p>
              </w:tc>
              <w:tc>
                <w:tcPr>
                  <w:tcW w:w="726" w:type="pct"/>
                  <w:tcBorders>
                    <w:tl2br w:val="nil"/>
                    <w:tr2bl w:val="nil"/>
                  </w:tcBorders>
                  <w:shd w:val="clear" w:color="auto" w:fill="auto"/>
                  <w:vAlign w:val="center"/>
                </w:tcPr>
                <w:p w14:paraId="42D747C3">
                  <w:pPr>
                    <w:pStyle w:val="129"/>
                    <w:keepNext w:val="0"/>
                    <w:keepLines w:val="0"/>
                    <w:suppressLineNumbers w:val="0"/>
                    <w:spacing w:before="0" w:beforeAutospacing="0" w:after="0" w:afterAutospacing="0"/>
                    <w:ind w:left="0" w:right="0"/>
                    <w:rPr>
                      <w:rFonts w:hint="default" w:ascii="Times New Roman" w:hAnsi="Times New Roman" w:eastAsia="宋体" w:cs="Times New Roman"/>
                      <w:color w:val="auto"/>
                      <w:kern w:val="0"/>
                      <w:sz w:val="21"/>
                      <w:szCs w:val="21"/>
                      <w:highlight w:val="none"/>
                      <w:lang w:val="en-US" w:eastAsia="zh-CN" w:bidi="ar-SA"/>
                    </w:rPr>
                  </w:pPr>
                  <w:r>
                    <w:rPr>
                      <w:rFonts w:hint="default" w:ascii="Times New Roman" w:hAnsi="Times New Roman" w:eastAsia="宋体" w:cs="Times New Roman"/>
                      <w:color w:val="auto"/>
                      <w:sz w:val="21"/>
                      <w:szCs w:val="21"/>
                      <w:highlight w:val="none"/>
                    </w:rPr>
                    <w:t>900-039-49</w:t>
                  </w:r>
                </w:p>
              </w:tc>
              <w:tc>
                <w:tcPr>
                  <w:tcW w:w="461" w:type="pct"/>
                  <w:tcBorders>
                    <w:tl2br w:val="nil"/>
                    <w:tr2bl w:val="nil"/>
                  </w:tcBorders>
                  <w:vAlign w:val="center"/>
                </w:tcPr>
                <w:p w14:paraId="1F5E7035">
                  <w:pPr>
                    <w:pStyle w:val="129"/>
                    <w:keepNext w:val="0"/>
                    <w:keepLines w:val="0"/>
                    <w:suppressLineNumbers w:val="0"/>
                    <w:spacing w:before="0" w:beforeAutospacing="0" w:after="0" w:afterAutospacing="0"/>
                    <w:ind w:left="0" w:right="0"/>
                    <w:rPr>
                      <w:rFonts w:hint="default" w:ascii="Times New Roman" w:hAnsi="Times New Roman" w:eastAsia="宋体" w:cs="Times New Roman"/>
                      <w:color w:val="auto"/>
                      <w:sz w:val="21"/>
                      <w:szCs w:val="21"/>
                      <w:highlight w:val="none"/>
                      <w:lang w:val="en-US" w:eastAsia="zh-CN"/>
                    </w:rPr>
                  </w:pPr>
                  <w:r>
                    <w:rPr>
                      <w:rFonts w:hint="eastAsia" w:cs="Times New Roman"/>
                      <w:color w:val="auto"/>
                      <w:sz w:val="21"/>
                      <w:szCs w:val="21"/>
                      <w:highlight w:val="none"/>
                      <w:lang w:val="en-US" w:eastAsia="zh-CN"/>
                    </w:rPr>
                    <w:t>10</w:t>
                  </w:r>
                </w:p>
              </w:tc>
              <w:tc>
                <w:tcPr>
                  <w:tcW w:w="472" w:type="pct"/>
                  <w:tcBorders>
                    <w:tl2br w:val="nil"/>
                    <w:tr2bl w:val="nil"/>
                  </w:tcBorders>
                  <w:vAlign w:val="center"/>
                </w:tcPr>
                <w:p w14:paraId="33E663DA">
                  <w:pPr>
                    <w:pStyle w:val="129"/>
                    <w:keepNext w:val="0"/>
                    <w:keepLines w:val="0"/>
                    <w:suppressLineNumbers w:val="0"/>
                    <w:spacing w:before="0" w:beforeAutospacing="0" w:after="0" w:afterAutospacing="0"/>
                    <w:ind w:left="0" w:right="0"/>
                    <w:rPr>
                      <w:rFonts w:hint="default" w:ascii="Times New Roman" w:hAnsi="Times New Roman" w:eastAsia="宋体" w:cs="Times New Roman"/>
                      <w:color w:val="auto"/>
                      <w:sz w:val="21"/>
                      <w:szCs w:val="21"/>
                      <w:highlight w:val="none"/>
                    </w:rPr>
                  </w:pPr>
                  <w:r>
                    <w:rPr>
                      <w:rFonts w:hint="eastAsia" w:ascii="Times New Roman" w:hAnsi="Times New Roman" w:eastAsia="宋体" w:cs="Times New Roman"/>
                      <w:color w:val="auto"/>
                      <w:sz w:val="21"/>
                      <w:szCs w:val="21"/>
                      <w:highlight w:val="none"/>
                    </w:rPr>
                    <w:t>≤</w:t>
                  </w:r>
                  <w:r>
                    <w:rPr>
                      <w:rFonts w:hint="eastAsia" w:cs="Times New Roman"/>
                      <w:color w:val="auto"/>
                      <w:sz w:val="21"/>
                      <w:szCs w:val="21"/>
                      <w:highlight w:val="none"/>
                      <w:lang w:val="en-US" w:eastAsia="zh-CN"/>
                    </w:rPr>
                    <w:t>180</w:t>
                  </w:r>
                  <w:r>
                    <w:rPr>
                      <w:rFonts w:hint="default" w:ascii="Times New Roman" w:hAnsi="Times New Roman" w:eastAsia="宋体" w:cs="Times New Roman"/>
                      <w:color w:val="auto"/>
                      <w:sz w:val="21"/>
                      <w:szCs w:val="21"/>
                      <w:highlight w:val="none"/>
                    </w:rPr>
                    <w:t>d</w:t>
                  </w:r>
                </w:p>
              </w:tc>
              <w:tc>
                <w:tcPr>
                  <w:tcW w:w="544" w:type="pct"/>
                  <w:tcBorders>
                    <w:tl2br w:val="nil"/>
                    <w:tr2bl w:val="nil"/>
                  </w:tcBorders>
                  <w:vAlign w:val="center"/>
                </w:tcPr>
                <w:p w14:paraId="31972F07">
                  <w:pPr>
                    <w:pStyle w:val="129"/>
                    <w:keepNext w:val="0"/>
                    <w:keepLines w:val="0"/>
                    <w:suppressLineNumbers w:val="0"/>
                    <w:spacing w:before="0" w:beforeAutospacing="0" w:after="0" w:afterAutospacing="0"/>
                    <w:ind w:left="0" w:right="0"/>
                    <w:rPr>
                      <w:rFonts w:hint="eastAsia" w:ascii="Times New Roman" w:hAnsi="Times New Roman" w:eastAsia="宋体" w:cs="Times New Roman"/>
                      <w:color w:val="auto"/>
                      <w:sz w:val="21"/>
                      <w:szCs w:val="21"/>
                      <w:highlight w:val="none"/>
                      <w:lang w:val="en-US" w:eastAsia="zh-CN"/>
                    </w:rPr>
                  </w:pPr>
                  <w:r>
                    <w:rPr>
                      <w:rFonts w:hint="eastAsia" w:ascii="Times New Roman" w:hAnsi="Times New Roman" w:eastAsia="宋体" w:cs="Times New Roman"/>
                      <w:color w:val="auto"/>
                      <w:sz w:val="21"/>
                      <w:szCs w:val="21"/>
                      <w:highlight w:val="none"/>
                      <w:lang w:val="en-US" w:eastAsia="zh-CN"/>
                    </w:rPr>
                    <w:t xml:space="preserve">5t </w:t>
                  </w:r>
                </w:p>
              </w:tc>
              <w:tc>
                <w:tcPr>
                  <w:tcW w:w="490" w:type="pct"/>
                  <w:tcBorders>
                    <w:tl2br w:val="nil"/>
                    <w:tr2bl w:val="nil"/>
                  </w:tcBorders>
                  <w:vAlign w:val="center"/>
                </w:tcPr>
                <w:p w14:paraId="7B5ACEB3">
                  <w:pPr>
                    <w:pStyle w:val="129"/>
                    <w:keepNext w:val="0"/>
                    <w:keepLines w:val="0"/>
                    <w:suppressLineNumbers w:val="0"/>
                    <w:spacing w:before="0" w:beforeAutospacing="0" w:after="0" w:afterAutospacing="0"/>
                    <w:ind w:left="0" w:right="0"/>
                    <w:rPr>
                      <w:rFonts w:hint="eastAsia" w:ascii="Times New Roman" w:hAnsi="Times New Roman" w:eastAsia="宋体" w:cs="Times New Roman"/>
                      <w:color w:val="auto"/>
                      <w:sz w:val="21"/>
                      <w:szCs w:val="21"/>
                      <w:highlight w:val="none"/>
                      <w:lang w:val="en-US" w:eastAsia="zh-CN"/>
                    </w:rPr>
                  </w:pPr>
                  <w:r>
                    <w:rPr>
                      <w:rFonts w:hint="eastAsia" w:cs="Times New Roman"/>
                      <w:color w:val="auto"/>
                      <w:sz w:val="21"/>
                      <w:szCs w:val="21"/>
                      <w:highlight w:val="none"/>
                      <w:lang w:val="en-US" w:eastAsia="zh-CN"/>
                    </w:rPr>
                    <w:t>6</w:t>
                  </w:r>
                  <w:r>
                    <w:rPr>
                      <w:rFonts w:hint="default" w:ascii="Times New Roman" w:hAnsi="Times New Roman" w:eastAsia="宋体" w:cs="Times New Roman"/>
                      <w:color w:val="auto"/>
                      <w:sz w:val="21"/>
                      <w:szCs w:val="21"/>
                      <w:highlight w:val="none"/>
                    </w:rPr>
                    <w:t>m</w:t>
                  </w:r>
                  <w:r>
                    <w:rPr>
                      <w:rFonts w:hint="default" w:ascii="Times New Roman" w:hAnsi="Times New Roman" w:eastAsia="宋体" w:cs="Times New Roman"/>
                      <w:color w:val="auto"/>
                      <w:sz w:val="21"/>
                      <w:szCs w:val="21"/>
                      <w:highlight w:val="none"/>
                      <w:vertAlign w:val="superscript"/>
                    </w:rPr>
                    <w:t>2</w:t>
                  </w:r>
                </w:p>
              </w:tc>
              <w:tc>
                <w:tcPr>
                  <w:tcW w:w="673" w:type="pct"/>
                  <w:vMerge w:val="continue"/>
                  <w:tcBorders>
                    <w:tl2br w:val="nil"/>
                    <w:tr2bl w:val="nil"/>
                  </w:tcBorders>
                  <w:vAlign w:val="center"/>
                </w:tcPr>
                <w:p w14:paraId="6C2A7957">
                  <w:pPr>
                    <w:pStyle w:val="129"/>
                    <w:keepNext w:val="0"/>
                    <w:keepLines w:val="0"/>
                    <w:suppressLineNumbers w:val="0"/>
                    <w:spacing w:before="0" w:beforeAutospacing="0" w:after="0" w:afterAutospacing="0"/>
                    <w:ind w:left="0" w:right="0"/>
                    <w:rPr>
                      <w:rFonts w:hint="default" w:ascii="Times New Roman" w:hAnsi="Times New Roman" w:eastAsia="宋体" w:cs="Times New Roman"/>
                      <w:color w:val="auto"/>
                      <w:sz w:val="21"/>
                      <w:szCs w:val="21"/>
                      <w:highlight w:val="none"/>
                    </w:rPr>
                  </w:pPr>
                </w:p>
              </w:tc>
            </w:tr>
            <w:tr w14:paraId="382834A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340" w:hRule="atLeast"/>
                <w:jc w:val="center"/>
              </w:trPr>
              <w:tc>
                <w:tcPr>
                  <w:tcW w:w="358" w:type="pct"/>
                  <w:tcBorders>
                    <w:tl2br w:val="nil"/>
                    <w:tr2bl w:val="nil"/>
                  </w:tcBorders>
                  <w:shd w:val="clear" w:color="auto" w:fill="auto"/>
                  <w:vAlign w:val="center"/>
                </w:tcPr>
                <w:p w14:paraId="25896FC9">
                  <w:pPr>
                    <w:pStyle w:val="129"/>
                    <w:keepNext w:val="0"/>
                    <w:keepLines w:val="0"/>
                    <w:suppressLineNumbers w:val="0"/>
                    <w:spacing w:before="0" w:beforeAutospacing="0" w:after="0" w:afterAutospacing="0"/>
                    <w:ind w:left="0" w:leftChars="0" w:right="0" w:rightChars="0"/>
                    <w:rPr>
                      <w:rFonts w:hint="eastAsia" w:ascii="Times New Roman" w:hAnsi="Times New Roman" w:eastAsia="宋体" w:cs="Times New Roman"/>
                      <w:color w:val="auto"/>
                      <w:kern w:val="0"/>
                      <w:sz w:val="21"/>
                      <w:szCs w:val="21"/>
                      <w:highlight w:val="none"/>
                      <w:lang w:val="en-US" w:eastAsia="zh-CN" w:bidi="ar-SA"/>
                    </w:rPr>
                  </w:pPr>
                  <w:r>
                    <w:rPr>
                      <w:rFonts w:hint="eastAsia" w:ascii="Times New Roman" w:hAnsi="Times New Roman" w:eastAsia="宋体" w:cs="Times New Roman"/>
                      <w:color w:val="auto"/>
                      <w:sz w:val="21"/>
                      <w:szCs w:val="21"/>
                      <w:highlight w:val="none"/>
                      <w:lang w:val="en-US" w:eastAsia="zh-CN"/>
                    </w:rPr>
                    <w:t>7</w:t>
                  </w:r>
                </w:p>
              </w:tc>
              <w:tc>
                <w:tcPr>
                  <w:tcW w:w="728" w:type="pct"/>
                  <w:tcBorders>
                    <w:tl2br w:val="nil"/>
                    <w:tr2bl w:val="nil"/>
                  </w:tcBorders>
                  <w:vAlign w:val="center"/>
                </w:tcPr>
                <w:p w14:paraId="1EEEA151">
                  <w:pPr>
                    <w:pStyle w:val="129"/>
                    <w:keepNext w:val="0"/>
                    <w:keepLines w:val="0"/>
                    <w:suppressLineNumbers w:val="0"/>
                    <w:spacing w:before="0" w:beforeAutospacing="0" w:after="0" w:afterAutospacing="0"/>
                    <w:ind w:left="0" w:right="0"/>
                    <w:rPr>
                      <w:rFonts w:hint="default" w:ascii="Times New Roman" w:hAnsi="Times New Roman" w:eastAsia="宋体" w:cs="Times New Roman"/>
                      <w:color w:val="auto"/>
                      <w:sz w:val="21"/>
                      <w:szCs w:val="21"/>
                      <w:highlight w:val="none"/>
                      <w:lang w:val="en-US" w:eastAsia="zh-CN"/>
                    </w:rPr>
                  </w:pPr>
                  <w:r>
                    <w:rPr>
                      <w:rFonts w:hint="eastAsia" w:cs="Times New Roman"/>
                      <w:color w:val="auto"/>
                      <w:sz w:val="21"/>
                      <w:szCs w:val="21"/>
                      <w:highlight w:val="none"/>
                      <w:lang w:val="en-US" w:eastAsia="zh-CN"/>
                    </w:rPr>
                    <w:t>废催化剂</w:t>
                  </w:r>
                </w:p>
              </w:tc>
              <w:tc>
                <w:tcPr>
                  <w:tcW w:w="544" w:type="pct"/>
                  <w:tcBorders>
                    <w:tl2br w:val="nil"/>
                    <w:tr2bl w:val="nil"/>
                  </w:tcBorders>
                  <w:shd w:val="clear" w:color="auto" w:fill="auto"/>
                  <w:vAlign w:val="center"/>
                </w:tcPr>
                <w:p w14:paraId="1432AF6C">
                  <w:pPr>
                    <w:pStyle w:val="129"/>
                    <w:keepNext w:val="0"/>
                    <w:keepLines w:val="0"/>
                    <w:suppressLineNumbers w:val="0"/>
                    <w:spacing w:before="0" w:beforeAutospacing="0" w:after="0" w:afterAutospacing="0"/>
                    <w:ind w:left="0" w:right="0"/>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HW49</w:t>
                  </w:r>
                </w:p>
              </w:tc>
              <w:tc>
                <w:tcPr>
                  <w:tcW w:w="726" w:type="pct"/>
                  <w:tcBorders>
                    <w:tl2br w:val="nil"/>
                    <w:tr2bl w:val="nil"/>
                  </w:tcBorders>
                  <w:shd w:val="clear" w:color="auto" w:fill="auto"/>
                  <w:vAlign w:val="center"/>
                </w:tcPr>
                <w:p w14:paraId="256C3E68">
                  <w:pPr>
                    <w:pStyle w:val="129"/>
                    <w:keepNext w:val="0"/>
                    <w:keepLines w:val="0"/>
                    <w:suppressLineNumbers w:val="0"/>
                    <w:spacing w:before="0" w:beforeAutospacing="0" w:after="0" w:afterAutospacing="0"/>
                    <w:ind w:left="0" w:right="0"/>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900-041-49</w:t>
                  </w:r>
                </w:p>
              </w:tc>
              <w:tc>
                <w:tcPr>
                  <w:tcW w:w="461" w:type="pct"/>
                  <w:tcBorders>
                    <w:tl2br w:val="nil"/>
                    <w:tr2bl w:val="nil"/>
                  </w:tcBorders>
                  <w:vAlign w:val="center"/>
                </w:tcPr>
                <w:p w14:paraId="469CC051">
                  <w:pPr>
                    <w:pStyle w:val="129"/>
                    <w:keepNext w:val="0"/>
                    <w:keepLines w:val="0"/>
                    <w:suppressLineNumbers w:val="0"/>
                    <w:spacing w:before="0" w:beforeAutospacing="0" w:after="0" w:afterAutospacing="0"/>
                    <w:ind w:left="0" w:right="0"/>
                    <w:rPr>
                      <w:rFonts w:hint="default" w:cs="Times New Roman"/>
                      <w:color w:val="auto"/>
                      <w:sz w:val="21"/>
                      <w:szCs w:val="21"/>
                      <w:highlight w:val="none"/>
                      <w:lang w:val="en-US" w:eastAsia="zh-CN"/>
                    </w:rPr>
                  </w:pPr>
                  <w:r>
                    <w:rPr>
                      <w:rFonts w:hint="eastAsia" w:cs="Times New Roman"/>
                      <w:color w:val="auto"/>
                      <w:sz w:val="21"/>
                      <w:szCs w:val="21"/>
                      <w:highlight w:val="none"/>
                      <w:lang w:val="en-US" w:eastAsia="zh-CN"/>
                    </w:rPr>
                    <w:t>0.1</w:t>
                  </w:r>
                </w:p>
              </w:tc>
              <w:tc>
                <w:tcPr>
                  <w:tcW w:w="472" w:type="pct"/>
                  <w:tcBorders>
                    <w:tl2br w:val="nil"/>
                    <w:tr2bl w:val="nil"/>
                  </w:tcBorders>
                  <w:shd w:val="clear" w:color="auto" w:fill="auto"/>
                  <w:vAlign w:val="center"/>
                </w:tcPr>
                <w:p w14:paraId="5BF0369C">
                  <w:pPr>
                    <w:pStyle w:val="129"/>
                    <w:keepNext w:val="0"/>
                    <w:keepLines w:val="0"/>
                    <w:suppressLineNumbers w:val="0"/>
                    <w:spacing w:before="0" w:beforeAutospacing="0" w:after="0" w:afterAutospacing="0"/>
                    <w:ind w:left="0" w:leftChars="0" w:right="0" w:rightChars="0"/>
                    <w:rPr>
                      <w:rFonts w:hint="eastAsia" w:ascii="Times New Roman" w:hAnsi="Times New Roman" w:eastAsia="宋体" w:cs="Times New Roman"/>
                      <w:color w:val="auto"/>
                      <w:kern w:val="0"/>
                      <w:sz w:val="21"/>
                      <w:szCs w:val="21"/>
                      <w:highlight w:val="none"/>
                      <w:lang w:val="en-US" w:eastAsia="zh-CN" w:bidi="ar-SA"/>
                    </w:rPr>
                  </w:pPr>
                  <w:r>
                    <w:rPr>
                      <w:rFonts w:hint="eastAsia" w:ascii="Times New Roman" w:hAnsi="Times New Roman" w:eastAsia="宋体" w:cs="Times New Roman"/>
                      <w:color w:val="auto"/>
                      <w:sz w:val="21"/>
                      <w:szCs w:val="21"/>
                      <w:highlight w:val="none"/>
                    </w:rPr>
                    <w:t>≤</w:t>
                  </w:r>
                  <w:r>
                    <w:rPr>
                      <w:rFonts w:hint="default" w:ascii="Times New Roman" w:hAnsi="Times New Roman" w:eastAsia="宋体" w:cs="Times New Roman"/>
                      <w:color w:val="auto"/>
                      <w:sz w:val="21"/>
                      <w:szCs w:val="21"/>
                      <w:highlight w:val="none"/>
                    </w:rPr>
                    <w:t>180d</w:t>
                  </w:r>
                </w:p>
              </w:tc>
              <w:tc>
                <w:tcPr>
                  <w:tcW w:w="544" w:type="pct"/>
                  <w:tcBorders>
                    <w:tl2br w:val="nil"/>
                    <w:tr2bl w:val="nil"/>
                  </w:tcBorders>
                  <w:shd w:val="clear" w:color="auto" w:fill="auto"/>
                  <w:vAlign w:val="center"/>
                </w:tcPr>
                <w:p w14:paraId="11D50D69">
                  <w:pPr>
                    <w:pStyle w:val="129"/>
                    <w:keepNext w:val="0"/>
                    <w:keepLines w:val="0"/>
                    <w:suppressLineNumbers w:val="0"/>
                    <w:spacing w:before="0" w:beforeAutospacing="0" w:after="0" w:afterAutospacing="0"/>
                    <w:ind w:left="0" w:leftChars="0" w:right="0" w:rightChars="0"/>
                    <w:rPr>
                      <w:rFonts w:hint="eastAsia" w:ascii="Times New Roman" w:hAnsi="Times New Roman" w:eastAsia="宋体" w:cs="Times New Roman"/>
                      <w:color w:val="auto"/>
                      <w:kern w:val="0"/>
                      <w:sz w:val="21"/>
                      <w:szCs w:val="21"/>
                      <w:highlight w:val="none"/>
                      <w:lang w:val="en-US" w:eastAsia="zh-CN" w:bidi="ar-SA"/>
                    </w:rPr>
                  </w:pPr>
                  <w:r>
                    <w:rPr>
                      <w:rFonts w:hint="eastAsia" w:ascii="Times New Roman" w:hAnsi="Times New Roman" w:eastAsia="宋体" w:cs="Times New Roman"/>
                      <w:color w:val="auto"/>
                      <w:sz w:val="21"/>
                      <w:szCs w:val="21"/>
                      <w:highlight w:val="none"/>
                      <w:lang w:val="en-US" w:eastAsia="zh-CN"/>
                    </w:rPr>
                    <w:t>0.0</w:t>
                  </w:r>
                  <w:r>
                    <w:rPr>
                      <w:rFonts w:hint="eastAsia" w:cs="Times New Roman"/>
                      <w:color w:val="auto"/>
                      <w:sz w:val="21"/>
                      <w:szCs w:val="21"/>
                      <w:highlight w:val="none"/>
                      <w:lang w:val="en-US" w:eastAsia="zh-CN"/>
                    </w:rPr>
                    <w:t>5</w:t>
                  </w:r>
                  <w:r>
                    <w:rPr>
                      <w:rFonts w:hint="eastAsia" w:ascii="Times New Roman" w:hAnsi="Times New Roman" w:eastAsia="宋体" w:cs="Times New Roman"/>
                      <w:color w:val="auto"/>
                      <w:sz w:val="21"/>
                      <w:szCs w:val="21"/>
                      <w:highlight w:val="none"/>
                      <w:lang w:val="en-US" w:eastAsia="zh-CN"/>
                    </w:rPr>
                    <w:t xml:space="preserve">t </w:t>
                  </w:r>
                </w:p>
              </w:tc>
              <w:tc>
                <w:tcPr>
                  <w:tcW w:w="490" w:type="pct"/>
                  <w:tcBorders>
                    <w:tl2br w:val="nil"/>
                    <w:tr2bl w:val="nil"/>
                  </w:tcBorders>
                  <w:shd w:val="clear" w:color="auto" w:fill="auto"/>
                  <w:vAlign w:val="center"/>
                </w:tcPr>
                <w:p w14:paraId="5D4C05D5">
                  <w:pPr>
                    <w:pStyle w:val="129"/>
                    <w:keepNext w:val="0"/>
                    <w:keepLines w:val="0"/>
                    <w:suppressLineNumbers w:val="0"/>
                    <w:spacing w:before="0" w:beforeAutospacing="0" w:after="0" w:afterAutospacing="0"/>
                    <w:ind w:left="0" w:leftChars="0" w:right="0" w:rightChars="0"/>
                    <w:rPr>
                      <w:rFonts w:hint="eastAsia" w:ascii="Times New Roman" w:hAnsi="Times New Roman" w:eastAsia="宋体" w:cs="Times New Roman"/>
                      <w:color w:val="auto"/>
                      <w:kern w:val="0"/>
                      <w:sz w:val="21"/>
                      <w:szCs w:val="21"/>
                      <w:highlight w:val="none"/>
                      <w:lang w:val="en-US" w:eastAsia="zh-CN" w:bidi="ar-SA"/>
                    </w:rPr>
                  </w:pPr>
                  <w:r>
                    <w:rPr>
                      <w:rFonts w:hint="eastAsia" w:ascii="Times New Roman" w:hAnsi="Times New Roman" w:eastAsia="宋体" w:cs="Times New Roman"/>
                      <w:color w:val="auto"/>
                      <w:sz w:val="21"/>
                      <w:szCs w:val="21"/>
                      <w:highlight w:val="none"/>
                    </w:rPr>
                    <w:t>1</w:t>
                  </w:r>
                  <w:r>
                    <w:rPr>
                      <w:rFonts w:hint="default" w:ascii="Times New Roman" w:hAnsi="Times New Roman" w:eastAsia="宋体" w:cs="Times New Roman"/>
                      <w:color w:val="auto"/>
                      <w:sz w:val="21"/>
                      <w:szCs w:val="21"/>
                      <w:highlight w:val="none"/>
                    </w:rPr>
                    <w:t>m</w:t>
                  </w:r>
                  <w:r>
                    <w:rPr>
                      <w:rFonts w:hint="default" w:ascii="Times New Roman" w:hAnsi="Times New Roman" w:eastAsia="宋体" w:cs="Times New Roman"/>
                      <w:color w:val="auto"/>
                      <w:sz w:val="21"/>
                      <w:szCs w:val="21"/>
                      <w:highlight w:val="none"/>
                      <w:vertAlign w:val="superscript"/>
                    </w:rPr>
                    <w:t>2</w:t>
                  </w:r>
                </w:p>
              </w:tc>
              <w:tc>
                <w:tcPr>
                  <w:tcW w:w="673" w:type="pct"/>
                  <w:vMerge w:val="continue"/>
                  <w:tcBorders>
                    <w:tl2br w:val="nil"/>
                    <w:tr2bl w:val="nil"/>
                  </w:tcBorders>
                  <w:vAlign w:val="center"/>
                </w:tcPr>
                <w:p w14:paraId="62BDEFF5">
                  <w:pPr>
                    <w:pStyle w:val="129"/>
                    <w:keepNext w:val="0"/>
                    <w:keepLines w:val="0"/>
                    <w:suppressLineNumbers w:val="0"/>
                    <w:spacing w:before="0" w:beforeAutospacing="0" w:after="0" w:afterAutospacing="0"/>
                    <w:ind w:left="0" w:right="0"/>
                    <w:rPr>
                      <w:rFonts w:hint="default" w:ascii="Times New Roman" w:hAnsi="Times New Roman" w:eastAsia="宋体" w:cs="Times New Roman"/>
                      <w:color w:val="auto"/>
                      <w:sz w:val="21"/>
                      <w:szCs w:val="21"/>
                      <w:highlight w:val="none"/>
                    </w:rPr>
                  </w:pPr>
                </w:p>
              </w:tc>
            </w:tr>
            <w:tr w14:paraId="57E99F2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340" w:hRule="atLeast"/>
                <w:jc w:val="center"/>
              </w:trPr>
              <w:tc>
                <w:tcPr>
                  <w:tcW w:w="358" w:type="pct"/>
                  <w:tcBorders>
                    <w:tl2br w:val="nil"/>
                    <w:tr2bl w:val="nil"/>
                  </w:tcBorders>
                  <w:shd w:val="clear" w:color="auto" w:fill="auto"/>
                  <w:vAlign w:val="center"/>
                </w:tcPr>
                <w:p w14:paraId="3F8DA987">
                  <w:pPr>
                    <w:pStyle w:val="129"/>
                    <w:keepNext w:val="0"/>
                    <w:keepLines w:val="0"/>
                    <w:suppressLineNumbers w:val="0"/>
                    <w:spacing w:before="0" w:beforeAutospacing="0" w:after="0" w:afterAutospacing="0"/>
                    <w:ind w:left="0" w:leftChars="0" w:right="0" w:rightChars="0"/>
                    <w:rPr>
                      <w:rFonts w:hint="default" w:ascii="Times New Roman" w:hAnsi="Times New Roman" w:eastAsia="宋体" w:cs="Times New Roman"/>
                      <w:color w:val="auto"/>
                      <w:kern w:val="0"/>
                      <w:sz w:val="21"/>
                      <w:szCs w:val="21"/>
                      <w:highlight w:val="none"/>
                      <w:lang w:val="en-US" w:eastAsia="zh-CN" w:bidi="ar-SA"/>
                    </w:rPr>
                  </w:pPr>
                  <w:r>
                    <w:rPr>
                      <w:rFonts w:hint="eastAsia" w:cs="Times New Roman"/>
                      <w:color w:val="auto"/>
                      <w:sz w:val="21"/>
                      <w:szCs w:val="21"/>
                      <w:highlight w:val="none"/>
                      <w:lang w:val="en-US" w:eastAsia="zh-CN"/>
                    </w:rPr>
                    <w:t>8</w:t>
                  </w:r>
                </w:p>
              </w:tc>
              <w:tc>
                <w:tcPr>
                  <w:tcW w:w="728" w:type="pct"/>
                  <w:tcBorders>
                    <w:tl2br w:val="nil"/>
                    <w:tr2bl w:val="nil"/>
                  </w:tcBorders>
                  <w:vAlign w:val="center"/>
                </w:tcPr>
                <w:p w14:paraId="35AC24B7">
                  <w:pPr>
                    <w:pStyle w:val="129"/>
                    <w:keepNext w:val="0"/>
                    <w:keepLines w:val="0"/>
                    <w:suppressLineNumbers w:val="0"/>
                    <w:spacing w:before="0" w:beforeAutospacing="0" w:after="0" w:afterAutospacing="0"/>
                    <w:ind w:left="0" w:right="0"/>
                    <w:rPr>
                      <w:rFonts w:hint="default" w:ascii="Times New Roman" w:hAnsi="Times New Roman" w:eastAsia="宋体" w:cs="Times New Roman"/>
                      <w:color w:val="auto"/>
                      <w:sz w:val="21"/>
                      <w:szCs w:val="21"/>
                      <w:highlight w:val="none"/>
                    </w:rPr>
                  </w:pPr>
                  <w:r>
                    <w:rPr>
                      <w:rFonts w:hint="eastAsia" w:ascii="Times New Roman" w:hAnsi="Times New Roman" w:eastAsia="宋体" w:cs="Times New Roman"/>
                      <w:color w:val="auto"/>
                      <w:sz w:val="21"/>
                      <w:szCs w:val="21"/>
                      <w:highlight w:val="none"/>
                    </w:rPr>
                    <w:t>废</w:t>
                  </w:r>
                  <w:r>
                    <w:rPr>
                      <w:rFonts w:hint="default" w:ascii="Times New Roman" w:hAnsi="Times New Roman" w:eastAsia="宋体" w:cs="Times New Roman"/>
                      <w:color w:val="auto"/>
                      <w:sz w:val="21"/>
                      <w:szCs w:val="21"/>
                      <w:highlight w:val="none"/>
                    </w:rPr>
                    <w:t>紫外</w:t>
                  </w:r>
                  <w:r>
                    <w:rPr>
                      <w:rFonts w:hint="eastAsia" w:ascii="Times New Roman" w:hAnsi="Times New Roman" w:eastAsia="宋体" w:cs="Times New Roman"/>
                      <w:color w:val="auto"/>
                      <w:sz w:val="21"/>
                      <w:szCs w:val="21"/>
                      <w:highlight w:val="none"/>
                    </w:rPr>
                    <w:t>光</w:t>
                  </w:r>
                  <w:r>
                    <w:rPr>
                      <w:rFonts w:hint="default" w:ascii="Times New Roman" w:hAnsi="Times New Roman" w:eastAsia="宋体" w:cs="Times New Roman"/>
                      <w:color w:val="auto"/>
                      <w:sz w:val="21"/>
                      <w:szCs w:val="21"/>
                      <w:highlight w:val="none"/>
                    </w:rPr>
                    <w:t>灯</w:t>
                  </w:r>
                </w:p>
              </w:tc>
              <w:tc>
                <w:tcPr>
                  <w:tcW w:w="544" w:type="pct"/>
                  <w:tcBorders>
                    <w:tl2br w:val="nil"/>
                    <w:tr2bl w:val="nil"/>
                  </w:tcBorders>
                  <w:vAlign w:val="center"/>
                </w:tcPr>
                <w:p w14:paraId="15164EDF">
                  <w:pPr>
                    <w:pStyle w:val="129"/>
                    <w:keepNext w:val="0"/>
                    <w:keepLines w:val="0"/>
                    <w:suppressLineNumbers w:val="0"/>
                    <w:spacing w:before="0" w:beforeAutospacing="0" w:after="0" w:afterAutospacing="0"/>
                    <w:ind w:left="0" w:right="0"/>
                    <w:rPr>
                      <w:rFonts w:hint="default" w:ascii="Times New Roman" w:hAnsi="Times New Roman" w:eastAsia="宋体" w:cs="Times New Roman"/>
                      <w:color w:val="auto"/>
                      <w:sz w:val="21"/>
                      <w:szCs w:val="21"/>
                      <w:highlight w:val="none"/>
                    </w:rPr>
                  </w:pPr>
                  <w:r>
                    <w:rPr>
                      <w:rFonts w:hint="eastAsia" w:ascii="Times New Roman" w:hAnsi="Times New Roman" w:eastAsia="宋体" w:cs="Times New Roman"/>
                      <w:color w:val="auto"/>
                      <w:sz w:val="21"/>
                      <w:szCs w:val="21"/>
                      <w:highlight w:val="none"/>
                    </w:rPr>
                    <w:t>HW</w:t>
                  </w:r>
                  <w:r>
                    <w:rPr>
                      <w:rFonts w:hint="default" w:ascii="Times New Roman" w:hAnsi="Times New Roman" w:eastAsia="宋体" w:cs="Times New Roman"/>
                      <w:color w:val="auto"/>
                      <w:sz w:val="21"/>
                      <w:szCs w:val="21"/>
                      <w:highlight w:val="none"/>
                    </w:rPr>
                    <w:t>29</w:t>
                  </w:r>
                </w:p>
              </w:tc>
              <w:tc>
                <w:tcPr>
                  <w:tcW w:w="726" w:type="pct"/>
                  <w:tcBorders>
                    <w:tl2br w:val="nil"/>
                    <w:tr2bl w:val="nil"/>
                  </w:tcBorders>
                  <w:vAlign w:val="center"/>
                </w:tcPr>
                <w:p w14:paraId="7D4C9AA5">
                  <w:pPr>
                    <w:pStyle w:val="129"/>
                    <w:keepNext w:val="0"/>
                    <w:keepLines w:val="0"/>
                    <w:suppressLineNumbers w:val="0"/>
                    <w:spacing w:before="0" w:beforeAutospacing="0" w:after="0" w:afterAutospacing="0"/>
                    <w:ind w:left="0" w:right="0"/>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900-023-29</w:t>
                  </w:r>
                </w:p>
              </w:tc>
              <w:tc>
                <w:tcPr>
                  <w:tcW w:w="461" w:type="pct"/>
                  <w:tcBorders>
                    <w:tl2br w:val="nil"/>
                    <w:tr2bl w:val="nil"/>
                  </w:tcBorders>
                  <w:vAlign w:val="center"/>
                </w:tcPr>
                <w:p w14:paraId="0973438A">
                  <w:pPr>
                    <w:pStyle w:val="129"/>
                    <w:keepNext w:val="0"/>
                    <w:keepLines w:val="0"/>
                    <w:suppressLineNumbers w:val="0"/>
                    <w:spacing w:before="0" w:beforeAutospacing="0" w:after="0" w:afterAutospacing="0"/>
                    <w:ind w:left="0" w:right="0"/>
                    <w:rPr>
                      <w:rFonts w:hint="eastAsia" w:ascii="Times New Roman" w:hAnsi="Times New Roman" w:eastAsia="宋体" w:cs="Times New Roman"/>
                      <w:color w:val="auto"/>
                      <w:sz w:val="21"/>
                      <w:szCs w:val="21"/>
                      <w:highlight w:val="none"/>
                      <w:lang w:val="en-US" w:eastAsia="zh-CN"/>
                    </w:rPr>
                  </w:pPr>
                  <w:r>
                    <w:rPr>
                      <w:rFonts w:hint="eastAsia" w:ascii="Times New Roman" w:hAnsi="Times New Roman" w:eastAsia="宋体" w:cs="Times New Roman"/>
                      <w:color w:val="auto"/>
                      <w:sz w:val="21"/>
                      <w:szCs w:val="21"/>
                      <w:highlight w:val="none"/>
                    </w:rPr>
                    <w:t>0.</w:t>
                  </w:r>
                  <w:r>
                    <w:rPr>
                      <w:rFonts w:hint="eastAsia" w:cs="Times New Roman"/>
                      <w:color w:val="auto"/>
                      <w:sz w:val="21"/>
                      <w:szCs w:val="21"/>
                      <w:highlight w:val="none"/>
                      <w:lang w:val="en-US" w:eastAsia="zh-CN"/>
                    </w:rPr>
                    <w:t>1</w:t>
                  </w:r>
                </w:p>
              </w:tc>
              <w:tc>
                <w:tcPr>
                  <w:tcW w:w="472" w:type="pct"/>
                  <w:tcBorders>
                    <w:tl2br w:val="nil"/>
                    <w:tr2bl w:val="nil"/>
                  </w:tcBorders>
                  <w:vAlign w:val="center"/>
                </w:tcPr>
                <w:p w14:paraId="478C7F6F">
                  <w:pPr>
                    <w:pStyle w:val="129"/>
                    <w:keepNext w:val="0"/>
                    <w:keepLines w:val="0"/>
                    <w:suppressLineNumbers w:val="0"/>
                    <w:spacing w:before="0" w:beforeAutospacing="0" w:after="0" w:afterAutospacing="0"/>
                    <w:ind w:left="0" w:right="0"/>
                    <w:rPr>
                      <w:rFonts w:hint="default" w:ascii="Times New Roman" w:hAnsi="Times New Roman" w:eastAsia="宋体" w:cs="Times New Roman"/>
                      <w:color w:val="auto"/>
                      <w:sz w:val="21"/>
                      <w:szCs w:val="21"/>
                      <w:highlight w:val="none"/>
                    </w:rPr>
                  </w:pPr>
                  <w:r>
                    <w:rPr>
                      <w:rFonts w:hint="eastAsia" w:ascii="Times New Roman" w:hAnsi="Times New Roman" w:eastAsia="宋体" w:cs="Times New Roman"/>
                      <w:color w:val="auto"/>
                      <w:sz w:val="21"/>
                      <w:szCs w:val="21"/>
                      <w:highlight w:val="none"/>
                    </w:rPr>
                    <w:t>≤</w:t>
                  </w:r>
                  <w:r>
                    <w:rPr>
                      <w:rFonts w:hint="default" w:ascii="Times New Roman" w:hAnsi="Times New Roman" w:eastAsia="宋体" w:cs="Times New Roman"/>
                      <w:color w:val="auto"/>
                      <w:sz w:val="21"/>
                      <w:szCs w:val="21"/>
                      <w:highlight w:val="none"/>
                    </w:rPr>
                    <w:t>180d</w:t>
                  </w:r>
                </w:p>
              </w:tc>
              <w:tc>
                <w:tcPr>
                  <w:tcW w:w="544" w:type="pct"/>
                  <w:tcBorders>
                    <w:tl2br w:val="nil"/>
                    <w:tr2bl w:val="nil"/>
                  </w:tcBorders>
                  <w:vAlign w:val="center"/>
                </w:tcPr>
                <w:p w14:paraId="757FAE64">
                  <w:pPr>
                    <w:pStyle w:val="129"/>
                    <w:keepNext w:val="0"/>
                    <w:keepLines w:val="0"/>
                    <w:suppressLineNumbers w:val="0"/>
                    <w:spacing w:before="0" w:beforeAutospacing="0" w:after="0" w:afterAutospacing="0"/>
                    <w:ind w:left="0" w:right="0"/>
                    <w:rPr>
                      <w:rFonts w:hint="default" w:ascii="Times New Roman" w:hAnsi="Times New Roman" w:eastAsia="宋体" w:cs="Times New Roman"/>
                      <w:color w:val="auto"/>
                      <w:sz w:val="21"/>
                      <w:szCs w:val="21"/>
                      <w:highlight w:val="none"/>
                    </w:rPr>
                  </w:pPr>
                  <w:r>
                    <w:rPr>
                      <w:rFonts w:hint="eastAsia" w:ascii="Times New Roman" w:hAnsi="Times New Roman" w:eastAsia="宋体" w:cs="Times New Roman"/>
                      <w:color w:val="auto"/>
                      <w:sz w:val="21"/>
                      <w:szCs w:val="21"/>
                      <w:highlight w:val="none"/>
                      <w:lang w:val="en-US" w:eastAsia="zh-CN"/>
                    </w:rPr>
                    <w:t>0.0</w:t>
                  </w:r>
                  <w:r>
                    <w:rPr>
                      <w:rFonts w:hint="eastAsia" w:cs="Times New Roman"/>
                      <w:color w:val="auto"/>
                      <w:sz w:val="21"/>
                      <w:szCs w:val="21"/>
                      <w:highlight w:val="none"/>
                      <w:lang w:val="en-US" w:eastAsia="zh-CN"/>
                    </w:rPr>
                    <w:t>5</w:t>
                  </w:r>
                  <w:r>
                    <w:rPr>
                      <w:rFonts w:hint="eastAsia" w:ascii="Times New Roman" w:hAnsi="Times New Roman" w:eastAsia="宋体" w:cs="Times New Roman"/>
                      <w:color w:val="auto"/>
                      <w:sz w:val="21"/>
                      <w:szCs w:val="21"/>
                      <w:highlight w:val="none"/>
                      <w:lang w:val="en-US" w:eastAsia="zh-CN"/>
                    </w:rPr>
                    <w:t xml:space="preserve">t </w:t>
                  </w:r>
                </w:p>
              </w:tc>
              <w:tc>
                <w:tcPr>
                  <w:tcW w:w="490" w:type="pct"/>
                  <w:tcBorders>
                    <w:tl2br w:val="nil"/>
                    <w:tr2bl w:val="nil"/>
                  </w:tcBorders>
                  <w:vAlign w:val="center"/>
                </w:tcPr>
                <w:p w14:paraId="590FC77E">
                  <w:pPr>
                    <w:pStyle w:val="129"/>
                    <w:keepNext w:val="0"/>
                    <w:keepLines w:val="0"/>
                    <w:suppressLineNumbers w:val="0"/>
                    <w:spacing w:before="0" w:beforeAutospacing="0" w:after="0" w:afterAutospacing="0"/>
                    <w:ind w:left="0" w:right="0"/>
                    <w:rPr>
                      <w:rFonts w:hint="default" w:ascii="Times New Roman" w:hAnsi="Times New Roman" w:eastAsia="宋体" w:cs="Times New Roman"/>
                      <w:color w:val="auto"/>
                      <w:sz w:val="21"/>
                      <w:szCs w:val="21"/>
                      <w:highlight w:val="none"/>
                    </w:rPr>
                  </w:pPr>
                  <w:r>
                    <w:rPr>
                      <w:rFonts w:hint="eastAsia" w:ascii="Times New Roman" w:hAnsi="Times New Roman" w:eastAsia="宋体" w:cs="Times New Roman"/>
                      <w:color w:val="auto"/>
                      <w:sz w:val="21"/>
                      <w:szCs w:val="21"/>
                      <w:highlight w:val="none"/>
                    </w:rPr>
                    <w:t>1</w:t>
                  </w:r>
                  <w:r>
                    <w:rPr>
                      <w:rFonts w:hint="default" w:ascii="Times New Roman" w:hAnsi="Times New Roman" w:eastAsia="宋体" w:cs="Times New Roman"/>
                      <w:color w:val="auto"/>
                      <w:sz w:val="21"/>
                      <w:szCs w:val="21"/>
                      <w:highlight w:val="none"/>
                    </w:rPr>
                    <w:t>m</w:t>
                  </w:r>
                  <w:r>
                    <w:rPr>
                      <w:rFonts w:hint="default" w:ascii="Times New Roman" w:hAnsi="Times New Roman" w:eastAsia="宋体" w:cs="Times New Roman"/>
                      <w:color w:val="auto"/>
                      <w:sz w:val="21"/>
                      <w:szCs w:val="21"/>
                      <w:highlight w:val="none"/>
                      <w:vertAlign w:val="superscript"/>
                    </w:rPr>
                    <w:t>2</w:t>
                  </w:r>
                </w:p>
              </w:tc>
              <w:tc>
                <w:tcPr>
                  <w:tcW w:w="673" w:type="pct"/>
                  <w:vMerge w:val="continue"/>
                  <w:tcBorders>
                    <w:tl2br w:val="nil"/>
                    <w:tr2bl w:val="nil"/>
                  </w:tcBorders>
                  <w:vAlign w:val="center"/>
                </w:tcPr>
                <w:p w14:paraId="475CC4BF">
                  <w:pPr>
                    <w:pStyle w:val="129"/>
                    <w:keepNext w:val="0"/>
                    <w:keepLines w:val="0"/>
                    <w:suppressLineNumbers w:val="0"/>
                    <w:spacing w:before="0" w:beforeAutospacing="0" w:after="0" w:afterAutospacing="0"/>
                    <w:ind w:left="0" w:right="0"/>
                    <w:rPr>
                      <w:rFonts w:hint="default" w:ascii="Times New Roman" w:hAnsi="Times New Roman" w:eastAsia="宋体" w:cs="Times New Roman"/>
                      <w:color w:val="FF0000"/>
                      <w:sz w:val="21"/>
                      <w:szCs w:val="21"/>
                      <w:highlight w:val="none"/>
                    </w:rPr>
                  </w:pPr>
                </w:p>
              </w:tc>
            </w:tr>
            <w:tr w14:paraId="00E23CB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340" w:hRule="atLeast"/>
                <w:jc w:val="center"/>
              </w:trPr>
              <w:tc>
                <w:tcPr>
                  <w:tcW w:w="358" w:type="pct"/>
                  <w:tcBorders>
                    <w:tl2br w:val="nil"/>
                    <w:tr2bl w:val="nil"/>
                  </w:tcBorders>
                  <w:shd w:val="clear" w:color="auto" w:fill="auto"/>
                  <w:vAlign w:val="center"/>
                </w:tcPr>
                <w:p w14:paraId="1E30DFB8">
                  <w:pPr>
                    <w:pStyle w:val="129"/>
                    <w:keepNext w:val="0"/>
                    <w:keepLines w:val="0"/>
                    <w:suppressLineNumbers w:val="0"/>
                    <w:spacing w:before="0" w:beforeAutospacing="0" w:after="0" w:afterAutospacing="0"/>
                    <w:ind w:left="0" w:leftChars="0" w:right="0" w:rightChars="0"/>
                    <w:rPr>
                      <w:rFonts w:hint="eastAsia" w:ascii="Times New Roman" w:hAnsi="Times New Roman" w:eastAsia="宋体" w:cs="Times New Roman"/>
                      <w:color w:val="auto"/>
                      <w:kern w:val="0"/>
                      <w:sz w:val="21"/>
                      <w:szCs w:val="21"/>
                      <w:highlight w:val="none"/>
                      <w:lang w:val="en-US" w:eastAsia="zh-CN" w:bidi="ar-SA"/>
                    </w:rPr>
                  </w:pPr>
                  <w:r>
                    <w:rPr>
                      <w:rFonts w:hint="eastAsia" w:ascii="Times New Roman" w:hAnsi="Times New Roman" w:eastAsia="宋体" w:cs="Times New Roman"/>
                      <w:color w:val="auto"/>
                      <w:sz w:val="21"/>
                      <w:szCs w:val="21"/>
                      <w:highlight w:val="none"/>
                      <w:lang w:val="en-US" w:eastAsia="zh-CN"/>
                    </w:rPr>
                    <w:t>9</w:t>
                  </w:r>
                </w:p>
              </w:tc>
              <w:tc>
                <w:tcPr>
                  <w:tcW w:w="728" w:type="pct"/>
                  <w:tcBorders>
                    <w:tl2br w:val="nil"/>
                    <w:tr2bl w:val="nil"/>
                  </w:tcBorders>
                  <w:shd w:val="clear" w:color="auto" w:fill="auto"/>
                  <w:vAlign w:val="center"/>
                </w:tcPr>
                <w:p w14:paraId="72D2A3A1">
                  <w:pPr>
                    <w:pStyle w:val="129"/>
                    <w:keepNext w:val="0"/>
                    <w:keepLines w:val="0"/>
                    <w:suppressLineNumbers w:val="0"/>
                    <w:spacing w:before="0" w:beforeAutospacing="0" w:after="0" w:afterAutospacing="0"/>
                    <w:ind w:left="0" w:right="0"/>
                    <w:rPr>
                      <w:rFonts w:hint="eastAsia" w:ascii="Times New Roman" w:hAnsi="Times New Roman" w:eastAsia="宋体" w:cs="Times New Roman"/>
                      <w:color w:val="auto"/>
                      <w:kern w:val="0"/>
                      <w:sz w:val="21"/>
                      <w:szCs w:val="21"/>
                      <w:highlight w:val="none"/>
                      <w:lang w:val="en-US" w:eastAsia="zh-CN" w:bidi="ar-SA"/>
                    </w:rPr>
                  </w:pPr>
                  <w:r>
                    <w:rPr>
                      <w:rFonts w:hint="eastAsia" w:ascii="Times New Roman" w:hAnsi="Times New Roman" w:eastAsia="宋体" w:cs="Times New Roman"/>
                      <w:color w:val="auto"/>
                      <w:sz w:val="21"/>
                      <w:szCs w:val="21"/>
                      <w:highlight w:val="none"/>
                    </w:rPr>
                    <w:t>P</w:t>
                  </w:r>
                  <w:r>
                    <w:rPr>
                      <w:rFonts w:hint="default" w:ascii="Times New Roman" w:hAnsi="Times New Roman" w:eastAsia="宋体" w:cs="Times New Roman"/>
                      <w:color w:val="auto"/>
                      <w:sz w:val="21"/>
                      <w:szCs w:val="21"/>
                      <w:highlight w:val="none"/>
                    </w:rPr>
                    <w:t>2</w:t>
                  </w:r>
                  <w:r>
                    <w:rPr>
                      <w:rFonts w:hint="eastAsia" w:ascii="Times New Roman" w:hAnsi="Times New Roman" w:eastAsia="宋体" w:cs="Times New Roman"/>
                      <w:color w:val="auto"/>
                      <w:sz w:val="21"/>
                      <w:szCs w:val="21"/>
                      <w:highlight w:val="none"/>
                    </w:rPr>
                    <w:t>实验室</w:t>
                  </w:r>
                  <w:r>
                    <w:rPr>
                      <w:rFonts w:hint="default" w:ascii="Times New Roman" w:hAnsi="Times New Roman" w:eastAsia="宋体" w:cs="Times New Roman"/>
                      <w:color w:val="auto"/>
                      <w:sz w:val="21"/>
                      <w:szCs w:val="21"/>
                      <w:highlight w:val="none"/>
                    </w:rPr>
                    <w:t>废垫料</w:t>
                  </w:r>
                </w:p>
              </w:tc>
              <w:tc>
                <w:tcPr>
                  <w:tcW w:w="544" w:type="pct"/>
                  <w:tcBorders>
                    <w:tl2br w:val="nil"/>
                    <w:tr2bl w:val="nil"/>
                  </w:tcBorders>
                  <w:shd w:val="clear" w:color="auto" w:fill="auto"/>
                  <w:vAlign w:val="center"/>
                </w:tcPr>
                <w:p w14:paraId="36047EB8">
                  <w:pPr>
                    <w:pStyle w:val="129"/>
                    <w:keepNext w:val="0"/>
                    <w:keepLines w:val="0"/>
                    <w:suppressLineNumbers w:val="0"/>
                    <w:spacing w:before="0" w:beforeAutospacing="0" w:after="0" w:afterAutospacing="0"/>
                    <w:ind w:left="0" w:right="0"/>
                    <w:rPr>
                      <w:rFonts w:hint="eastAsia" w:ascii="Times New Roman" w:hAnsi="Times New Roman" w:eastAsia="宋体" w:cs="Times New Roman"/>
                      <w:color w:val="auto"/>
                      <w:kern w:val="0"/>
                      <w:sz w:val="21"/>
                      <w:szCs w:val="21"/>
                      <w:highlight w:val="none"/>
                      <w:lang w:val="en-US" w:eastAsia="zh-CN" w:bidi="ar-SA"/>
                    </w:rPr>
                  </w:pPr>
                  <w:r>
                    <w:rPr>
                      <w:rFonts w:hint="eastAsia" w:ascii="Times New Roman" w:hAnsi="Times New Roman" w:eastAsia="宋体" w:cs="Times New Roman"/>
                      <w:color w:val="auto"/>
                      <w:sz w:val="21"/>
                      <w:szCs w:val="21"/>
                      <w:highlight w:val="none"/>
                    </w:rPr>
                    <w:t>HW</w:t>
                  </w:r>
                  <w:r>
                    <w:rPr>
                      <w:rFonts w:hint="default" w:ascii="Times New Roman" w:hAnsi="Times New Roman" w:eastAsia="宋体" w:cs="Times New Roman"/>
                      <w:color w:val="auto"/>
                      <w:sz w:val="21"/>
                      <w:szCs w:val="21"/>
                      <w:highlight w:val="none"/>
                    </w:rPr>
                    <w:t>01</w:t>
                  </w:r>
                </w:p>
              </w:tc>
              <w:tc>
                <w:tcPr>
                  <w:tcW w:w="726" w:type="pct"/>
                  <w:tcBorders>
                    <w:tl2br w:val="nil"/>
                    <w:tr2bl w:val="nil"/>
                  </w:tcBorders>
                  <w:shd w:val="clear" w:color="auto" w:fill="auto"/>
                  <w:vAlign w:val="center"/>
                </w:tcPr>
                <w:p w14:paraId="756D2AEA">
                  <w:pPr>
                    <w:pStyle w:val="129"/>
                    <w:keepNext w:val="0"/>
                    <w:keepLines w:val="0"/>
                    <w:suppressLineNumbers w:val="0"/>
                    <w:spacing w:before="0" w:beforeAutospacing="0" w:after="0" w:afterAutospacing="0"/>
                    <w:ind w:left="0" w:right="0"/>
                    <w:rPr>
                      <w:rFonts w:hint="default" w:ascii="Times New Roman" w:hAnsi="Times New Roman" w:eastAsia="宋体" w:cs="Times New Roman"/>
                      <w:color w:val="auto"/>
                      <w:kern w:val="0"/>
                      <w:sz w:val="21"/>
                      <w:szCs w:val="21"/>
                      <w:highlight w:val="none"/>
                      <w:lang w:val="en-US" w:eastAsia="zh-CN" w:bidi="ar-SA"/>
                    </w:rPr>
                  </w:pPr>
                  <w:r>
                    <w:rPr>
                      <w:rFonts w:hint="default" w:ascii="Times New Roman" w:hAnsi="Times New Roman" w:eastAsia="宋体" w:cs="Times New Roman"/>
                      <w:color w:val="auto"/>
                      <w:sz w:val="21"/>
                      <w:szCs w:val="21"/>
                      <w:highlight w:val="none"/>
                    </w:rPr>
                    <w:t>841-001-01</w:t>
                  </w:r>
                </w:p>
              </w:tc>
              <w:tc>
                <w:tcPr>
                  <w:tcW w:w="461" w:type="pct"/>
                  <w:tcBorders>
                    <w:tl2br w:val="nil"/>
                    <w:tr2bl w:val="nil"/>
                  </w:tcBorders>
                  <w:shd w:val="clear" w:color="auto" w:fill="auto"/>
                  <w:vAlign w:val="center"/>
                </w:tcPr>
                <w:p w14:paraId="69C6DEE2">
                  <w:pPr>
                    <w:pStyle w:val="129"/>
                    <w:keepNext w:val="0"/>
                    <w:keepLines w:val="0"/>
                    <w:suppressLineNumbers w:val="0"/>
                    <w:spacing w:before="0" w:beforeAutospacing="0" w:after="0" w:afterAutospacing="0"/>
                    <w:ind w:left="0" w:right="0"/>
                    <w:rPr>
                      <w:rFonts w:hint="default" w:ascii="Times New Roman" w:hAnsi="Times New Roman" w:eastAsia="宋体" w:cs="Times New Roman"/>
                      <w:color w:val="auto"/>
                      <w:kern w:val="0"/>
                      <w:sz w:val="21"/>
                      <w:szCs w:val="21"/>
                      <w:highlight w:val="none"/>
                      <w:lang w:val="en-US" w:eastAsia="zh-CN" w:bidi="ar-SA"/>
                    </w:rPr>
                  </w:pPr>
                  <w:r>
                    <w:rPr>
                      <w:rFonts w:hint="eastAsia" w:cs="Times New Roman"/>
                      <w:color w:val="auto"/>
                      <w:sz w:val="21"/>
                      <w:szCs w:val="21"/>
                      <w:highlight w:val="none"/>
                      <w:lang w:val="en-US" w:eastAsia="zh-CN"/>
                    </w:rPr>
                    <w:t>10</w:t>
                  </w:r>
                  <w:r>
                    <w:rPr>
                      <w:rFonts w:hint="default" w:ascii="Times New Roman" w:hAnsi="Times New Roman" w:eastAsia="宋体" w:cs="Times New Roman"/>
                      <w:color w:val="auto"/>
                      <w:sz w:val="21"/>
                      <w:szCs w:val="21"/>
                      <w:highlight w:val="none"/>
                    </w:rPr>
                    <w:t>.</w:t>
                  </w:r>
                  <w:r>
                    <w:rPr>
                      <w:rFonts w:hint="eastAsia" w:ascii="Times New Roman" w:hAnsi="Times New Roman" w:eastAsia="宋体" w:cs="Times New Roman"/>
                      <w:color w:val="auto"/>
                      <w:sz w:val="21"/>
                      <w:szCs w:val="21"/>
                      <w:highlight w:val="none"/>
                      <w:lang w:val="en-US" w:eastAsia="zh-CN"/>
                    </w:rPr>
                    <w:t>4</w:t>
                  </w:r>
                  <w:r>
                    <w:rPr>
                      <w:rFonts w:hint="eastAsia" w:cs="Times New Roman"/>
                      <w:color w:val="auto"/>
                      <w:sz w:val="21"/>
                      <w:szCs w:val="21"/>
                      <w:highlight w:val="none"/>
                      <w:lang w:val="en-US" w:eastAsia="zh-CN"/>
                    </w:rPr>
                    <w:t>2</w:t>
                  </w:r>
                </w:p>
              </w:tc>
              <w:tc>
                <w:tcPr>
                  <w:tcW w:w="472" w:type="pct"/>
                  <w:tcBorders>
                    <w:tl2br w:val="nil"/>
                    <w:tr2bl w:val="nil"/>
                  </w:tcBorders>
                  <w:shd w:val="clear" w:color="auto" w:fill="auto"/>
                  <w:vAlign w:val="center"/>
                </w:tcPr>
                <w:p w14:paraId="5ABCEBFA">
                  <w:pPr>
                    <w:pStyle w:val="129"/>
                    <w:keepNext w:val="0"/>
                    <w:keepLines w:val="0"/>
                    <w:suppressLineNumbers w:val="0"/>
                    <w:spacing w:before="0" w:beforeAutospacing="0" w:after="0" w:afterAutospacing="0"/>
                    <w:ind w:left="0" w:right="0"/>
                    <w:rPr>
                      <w:rFonts w:hint="eastAsia" w:ascii="Times New Roman" w:hAnsi="Times New Roman" w:eastAsia="宋体" w:cs="Times New Roman"/>
                      <w:color w:val="auto"/>
                      <w:kern w:val="0"/>
                      <w:sz w:val="21"/>
                      <w:szCs w:val="21"/>
                      <w:highlight w:val="none"/>
                      <w:lang w:val="en-US" w:eastAsia="zh-CN" w:bidi="ar-SA"/>
                    </w:rPr>
                  </w:pPr>
                  <w:r>
                    <w:rPr>
                      <w:rFonts w:hint="eastAsia" w:ascii="Times New Roman" w:hAnsi="Times New Roman" w:eastAsia="宋体" w:cs="Times New Roman"/>
                      <w:color w:val="auto"/>
                      <w:sz w:val="21"/>
                      <w:szCs w:val="21"/>
                      <w:highlight w:val="none"/>
                    </w:rPr>
                    <w:t>≤</w:t>
                  </w:r>
                  <w:r>
                    <w:rPr>
                      <w:rFonts w:hint="eastAsia" w:ascii="Times New Roman" w:hAnsi="Times New Roman" w:eastAsia="宋体" w:cs="Times New Roman"/>
                      <w:color w:val="auto"/>
                      <w:sz w:val="21"/>
                      <w:szCs w:val="21"/>
                      <w:highlight w:val="none"/>
                      <w:lang w:val="en-US" w:eastAsia="zh-CN"/>
                    </w:rPr>
                    <w:t>30</w:t>
                  </w:r>
                  <w:r>
                    <w:rPr>
                      <w:rFonts w:hint="default" w:ascii="Times New Roman" w:hAnsi="Times New Roman" w:eastAsia="宋体" w:cs="Times New Roman"/>
                      <w:color w:val="auto"/>
                      <w:sz w:val="21"/>
                      <w:szCs w:val="21"/>
                      <w:highlight w:val="none"/>
                    </w:rPr>
                    <w:t>d</w:t>
                  </w:r>
                </w:p>
              </w:tc>
              <w:tc>
                <w:tcPr>
                  <w:tcW w:w="544" w:type="pct"/>
                  <w:tcBorders>
                    <w:tl2br w:val="nil"/>
                    <w:tr2bl w:val="nil"/>
                  </w:tcBorders>
                  <w:shd w:val="clear" w:color="auto" w:fill="auto"/>
                  <w:vAlign w:val="center"/>
                </w:tcPr>
                <w:p w14:paraId="006F67BC">
                  <w:pPr>
                    <w:pStyle w:val="129"/>
                    <w:keepNext w:val="0"/>
                    <w:keepLines w:val="0"/>
                    <w:suppressLineNumbers w:val="0"/>
                    <w:spacing w:before="0" w:beforeAutospacing="0" w:after="0" w:afterAutospacing="0"/>
                    <w:ind w:left="0" w:right="0"/>
                    <w:rPr>
                      <w:rFonts w:hint="eastAsia" w:ascii="Times New Roman" w:hAnsi="Times New Roman" w:eastAsia="宋体" w:cs="Times New Roman"/>
                      <w:color w:val="auto"/>
                      <w:kern w:val="0"/>
                      <w:sz w:val="21"/>
                      <w:szCs w:val="21"/>
                      <w:highlight w:val="none"/>
                      <w:lang w:val="en-US" w:eastAsia="zh-CN" w:bidi="ar-SA"/>
                    </w:rPr>
                  </w:pPr>
                  <w:r>
                    <w:rPr>
                      <w:rFonts w:hint="eastAsia" w:cs="Times New Roman"/>
                      <w:color w:val="auto"/>
                      <w:sz w:val="21"/>
                      <w:szCs w:val="21"/>
                      <w:highlight w:val="none"/>
                      <w:lang w:val="en-US" w:eastAsia="zh-CN"/>
                    </w:rPr>
                    <w:t>0</w:t>
                  </w:r>
                  <w:r>
                    <w:rPr>
                      <w:rFonts w:hint="eastAsia" w:ascii="Times New Roman" w:hAnsi="Times New Roman" w:eastAsia="宋体" w:cs="Times New Roman"/>
                      <w:color w:val="auto"/>
                      <w:sz w:val="21"/>
                      <w:szCs w:val="21"/>
                      <w:highlight w:val="none"/>
                      <w:lang w:val="en-US" w:eastAsia="zh-CN"/>
                    </w:rPr>
                    <w:t>.</w:t>
                  </w:r>
                  <w:r>
                    <w:rPr>
                      <w:rFonts w:hint="eastAsia" w:cs="Times New Roman"/>
                      <w:color w:val="auto"/>
                      <w:sz w:val="21"/>
                      <w:szCs w:val="21"/>
                      <w:highlight w:val="none"/>
                      <w:lang w:val="en-US" w:eastAsia="zh-CN"/>
                    </w:rPr>
                    <w:t>86</w:t>
                  </w:r>
                  <w:r>
                    <w:rPr>
                      <w:rFonts w:hint="eastAsia" w:ascii="Times New Roman" w:hAnsi="Times New Roman" w:eastAsia="宋体" w:cs="Times New Roman"/>
                      <w:color w:val="auto"/>
                      <w:sz w:val="21"/>
                      <w:szCs w:val="21"/>
                      <w:highlight w:val="none"/>
                      <w:lang w:val="en-US" w:eastAsia="zh-CN"/>
                    </w:rPr>
                    <w:t xml:space="preserve">t </w:t>
                  </w:r>
                </w:p>
              </w:tc>
              <w:tc>
                <w:tcPr>
                  <w:tcW w:w="490" w:type="pct"/>
                  <w:tcBorders>
                    <w:tl2br w:val="nil"/>
                    <w:tr2bl w:val="nil"/>
                  </w:tcBorders>
                  <w:shd w:val="clear" w:color="auto" w:fill="auto"/>
                  <w:vAlign w:val="center"/>
                </w:tcPr>
                <w:p w14:paraId="6A9BF113">
                  <w:pPr>
                    <w:pStyle w:val="129"/>
                    <w:keepNext w:val="0"/>
                    <w:keepLines w:val="0"/>
                    <w:suppressLineNumbers w:val="0"/>
                    <w:spacing w:before="0" w:beforeAutospacing="0" w:after="0" w:afterAutospacing="0"/>
                    <w:ind w:left="0" w:right="0"/>
                    <w:rPr>
                      <w:rFonts w:hint="eastAsia" w:ascii="Times New Roman" w:hAnsi="Times New Roman" w:eastAsia="宋体" w:cs="Times New Roman"/>
                      <w:color w:val="auto"/>
                      <w:kern w:val="0"/>
                      <w:sz w:val="21"/>
                      <w:szCs w:val="21"/>
                      <w:highlight w:val="none"/>
                      <w:lang w:val="en-US" w:eastAsia="zh-CN" w:bidi="ar-SA"/>
                    </w:rPr>
                  </w:pPr>
                  <w:r>
                    <w:rPr>
                      <w:rFonts w:hint="eastAsia" w:cs="Times New Roman"/>
                      <w:color w:val="auto"/>
                      <w:sz w:val="21"/>
                      <w:szCs w:val="21"/>
                      <w:highlight w:val="none"/>
                      <w:lang w:val="en-US" w:eastAsia="zh-CN"/>
                    </w:rPr>
                    <w:t>2</w:t>
                  </w:r>
                  <w:r>
                    <w:rPr>
                      <w:rFonts w:hint="default" w:ascii="Times New Roman" w:hAnsi="Times New Roman" w:eastAsia="宋体" w:cs="Times New Roman"/>
                      <w:color w:val="auto"/>
                      <w:sz w:val="21"/>
                      <w:szCs w:val="21"/>
                      <w:highlight w:val="none"/>
                    </w:rPr>
                    <w:t>m</w:t>
                  </w:r>
                  <w:r>
                    <w:rPr>
                      <w:rFonts w:hint="default" w:ascii="Times New Roman" w:hAnsi="Times New Roman" w:eastAsia="宋体" w:cs="Times New Roman"/>
                      <w:color w:val="auto"/>
                      <w:sz w:val="21"/>
                      <w:szCs w:val="21"/>
                      <w:highlight w:val="none"/>
                      <w:vertAlign w:val="superscript"/>
                    </w:rPr>
                    <w:t>2</w:t>
                  </w:r>
                </w:p>
              </w:tc>
              <w:tc>
                <w:tcPr>
                  <w:tcW w:w="673" w:type="pct"/>
                  <w:vMerge w:val="continue"/>
                  <w:tcBorders>
                    <w:tl2br w:val="nil"/>
                    <w:tr2bl w:val="nil"/>
                  </w:tcBorders>
                  <w:vAlign w:val="center"/>
                </w:tcPr>
                <w:p w14:paraId="62AFC976">
                  <w:pPr>
                    <w:pStyle w:val="129"/>
                    <w:keepNext w:val="0"/>
                    <w:keepLines w:val="0"/>
                    <w:suppressLineNumbers w:val="0"/>
                    <w:spacing w:before="0" w:beforeAutospacing="0" w:after="0" w:afterAutospacing="0"/>
                    <w:ind w:left="0" w:right="0"/>
                    <w:rPr>
                      <w:rFonts w:hint="default" w:ascii="Times New Roman" w:hAnsi="Times New Roman" w:eastAsia="宋体" w:cs="Times New Roman"/>
                      <w:color w:val="FF0000"/>
                      <w:sz w:val="21"/>
                      <w:szCs w:val="21"/>
                      <w:highlight w:val="none"/>
                    </w:rPr>
                  </w:pPr>
                </w:p>
              </w:tc>
            </w:tr>
            <w:tr w14:paraId="1E86A83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340" w:hRule="atLeast"/>
                <w:jc w:val="center"/>
              </w:trPr>
              <w:tc>
                <w:tcPr>
                  <w:tcW w:w="358" w:type="pct"/>
                  <w:tcBorders>
                    <w:tl2br w:val="nil"/>
                    <w:tr2bl w:val="nil"/>
                  </w:tcBorders>
                  <w:shd w:val="clear" w:color="auto" w:fill="auto"/>
                  <w:vAlign w:val="center"/>
                </w:tcPr>
                <w:p w14:paraId="039A49D8">
                  <w:pPr>
                    <w:pStyle w:val="129"/>
                    <w:keepNext w:val="0"/>
                    <w:keepLines w:val="0"/>
                    <w:suppressLineNumbers w:val="0"/>
                    <w:spacing w:before="0" w:beforeAutospacing="0" w:after="0" w:afterAutospacing="0"/>
                    <w:ind w:left="0" w:leftChars="0" w:right="0" w:rightChars="0"/>
                    <w:rPr>
                      <w:rFonts w:hint="eastAsia" w:ascii="Times New Roman" w:hAnsi="Times New Roman" w:eastAsia="宋体" w:cs="Times New Roman"/>
                      <w:color w:val="auto"/>
                      <w:kern w:val="0"/>
                      <w:sz w:val="21"/>
                      <w:szCs w:val="21"/>
                      <w:highlight w:val="none"/>
                      <w:lang w:val="en-US" w:eastAsia="zh-CN" w:bidi="ar-SA"/>
                    </w:rPr>
                  </w:pPr>
                  <w:r>
                    <w:rPr>
                      <w:rFonts w:hint="eastAsia" w:ascii="Times New Roman" w:hAnsi="Times New Roman" w:eastAsia="宋体" w:cs="Times New Roman"/>
                      <w:color w:val="auto"/>
                      <w:sz w:val="21"/>
                      <w:szCs w:val="21"/>
                      <w:highlight w:val="none"/>
                      <w:lang w:val="en-US" w:eastAsia="zh-CN"/>
                    </w:rPr>
                    <w:t>10</w:t>
                  </w:r>
                </w:p>
              </w:tc>
              <w:tc>
                <w:tcPr>
                  <w:tcW w:w="728" w:type="pct"/>
                  <w:tcBorders>
                    <w:tl2br w:val="nil"/>
                    <w:tr2bl w:val="nil"/>
                  </w:tcBorders>
                  <w:vAlign w:val="center"/>
                </w:tcPr>
                <w:p w14:paraId="757D8057">
                  <w:pPr>
                    <w:pStyle w:val="129"/>
                    <w:keepNext w:val="0"/>
                    <w:keepLines w:val="0"/>
                    <w:suppressLineNumbers w:val="0"/>
                    <w:spacing w:before="0" w:beforeAutospacing="0" w:after="0" w:afterAutospacing="0"/>
                    <w:ind w:left="0" w:right="0"/>
                    <w:rPr>
                      <w:rFonts w:hint="default" w:ascii="Times New Roman" w:hAnsi="Times New Roman" w:eastAsia="宋体" w:cs="Times New Roman"/>
                      <w:color w:val="auto"/>
                      <w:sz w:val="21"/>
                      <w:szCs w:val="21"/>
                      <w:highlight w:val="none"/>
                    </w:rPr>
                  </w:pPr>
                  <w:r>
                    <w:rPr>
                      <w:rFonts w:hint="eastAsia" w:ascii="Times New Roman" w:hAnsi="Times New Roman" w:eastAsia="宋体" w:cs="Times New Roman"/>
                      <w:color w:val="auto"/>
                      <w:sz w:val="21"/>
                      <w:szCs w:val="21"/>
                      <w:highlight w:val="none"/>
                    </w:rPr>
                    <w:t>感染性</w:t>
                  </w:r>
                  <w:r>
                    <w:rPr>
                      <w:rFonts w:hint="default" w:ascii="Times New Roman" w:hAnsi="Times New Roman" w:eastAsia="宋体" w:cs="Times New Roman"/>
                      <w:color w:val="auto"/>
                      <w:sz w:val="21"/>
                      <w:szCs w:val="21"/>
                      <w:highlight w:val="none"/>
                    </w:rPr>
                    <w:t>废物</w:t>
                  </w:r>
                </w:p>
              </w:tc>
              <w:tc>
                <w:tcPr>
                  <w:tcW w:w="544" w:type="pct"/>
                  <w:tcBorders>
                    <w:tl2br w:val="nil"/>
                    <w:tr2bl w:val="nil"/>
                  </w:tcBorders>
                  <w:vAlign w:val="center"/>
                </w:tcPr>
                <w:p w14:paraId="3E13CDCB">
                  <w:pPr>
                    <w:pStyle w:val="129"/>
                    <w:keepNext w:val="0"/>
                    <w:keepLines w:val="0"/>
                    <w:suppressLineNumbers w:val="0"/>
                    <w:spacing w:before="0" w:beforeAutospacing="0" w:after="0" w:afterAutospacing="0"/>
                    <w:ind w:left="0" w:right="0"/>
                    <w:rPr>
                      <w:rFonts w:hint="default" w:ascii="Times New Roman" w:hAnsi="Times New Roman" w:eastAsia="宋体" w:cs="Times New Roman"/>
                      <w:color w:val="auto"/>
                      <w:sz w:val="21"/>
                      <w:szCs w:val="21"/>
                      <w:highlight w:val="none"/>
                    </w:rPr>
                  </w:pPr>
                  <w:r>
                    <w:rPr>
                      <w:rFonts w:hint="eastAsia" w:ascii="Times New Roman" w:hAnsi="Times New Roman" w:eastAsia="宋体" w:cs="Times New Roman"/>
                      <w:color w:val="auto"/>
                      <w:sz w:val="21"/>
                      <w:szCs w:val="21"/>
                      <w:highlight w:val="none"/>
                    </w:rPr>
                    <w:t>HW</w:t>
                  </w:r>
                  <w:r>
                    <w:rPr>
                      <w:rFonts w:hint="default" w:ascii="Times New Roman" w:hAnsi="Times New Roman" w:eastAsia="宋体" w:cs="Times New Roman"/>
                      <w:color w:val="auto"/>
                      <w:sz w:val="21"/>
                      <w:szCs w:val="21"/>
                      <w:highlight w:val="none"/>
                    </w:rPr>
                    <w:t>01</w:t>
                  </w:r>
                </w:p>
              </w:tc>
              <w:tc>
                <w:tcPr>
                  <w:tcW w:w="726" w:type="pct"/>
                  <w:tcBorders>
                    <w:tl2br w:val="nil"/>
                    <w:tr2bl w:val="nil"/>
                  </w:tcBorders>
                  <w:vAlign w:val="center"/>
                </w:tcPr>
                <w:p w14:paraId="0C64C5FB">
                  <w:pPr>
                    <w:pStyle w:val="129"/>
                    <w:keepNext w:val="0"/>
                    <w:keepLines w:val="0"/>
                    <w:suppressLineNumbers w:val="0"/>
                    <w:spacing w:before="0" w:beforeAutospacing="0" w:after="0" w:afterAutospacing="0"/>
                    <w:ind w:left="0" w:right="0"/>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841-001-01</w:t>
                  </w:r>
                </w:p>
              </w:tc>
              <w:tc>
                <w:tcPr>
                  <w:tcW w:w="461" w:type="pct"/>
                  <w:tcBorders>
                    <w:tl2br w:val="nil"/>
                    <w:tr2bl w:val="nil"/>
                  </w:tcBorders>
                  <w:vAlign w:val="center"/>
                </w:tcPr>
                <w:p w14:paraId="1E00240A">
                  <w:pPr>
                    <w:pStyle w:val="129"/>
                    <w:keepNext w:val="0"/>
                    <w:keepLines w:val="0"/>
                    <w:suppressLineNumbers w:val="0"/>
                    <w:spacing w:before="0" w:beforeAutospacing="0" w:after="0" w:afterAutospacing="0"/>
                    <w:ind w:left="0" w:right="0"/>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10</w:t>
                  </w:r>
                </w:p>
              </w:tc>
              <w:tc>
                <w:tcPr>
                  <w:tcW w:w="472" w:type="pct"/>
                  <w:tcBorders>
                    <w:tl2br w:val="nil"/>
                    <w:tr2bl w:val="nil"/>
                  </w:tcBorders>
                  <w:vAlign w:val="center"/>
                </w:tcPr>
                <w:p w14:paraId="115F8E56">
                  <w:pPr>
                    <w:keepNext w:val="0"/>
                    <w:keepLines w:val="0"/>
                    <w:suppressLineNumbers w:val="0"/>
                    <w:spacing w:before="0" w:beforeAutospacing="0" w:after="0" w:afterAutospacing="0"/>
                    <w:ind w:left="0" w:right="0"/>
                    <w:jc w:val="center"/>
                    <w:rPr>
                      <w:rFonts w:hint="eastAsia" w:ascii="Times New Roman" w:hAnsi="Times New Roman" w:eastAsia="宋体" w:cs="Times New Roman"/>
                      <w:color w:val="auto"/>
                      <w:kern w:val="0"/>
                      <w:sz w:val="21"/>
                      <w:szCs w:val="21"/>
                      <w:highlight w:val="none"/>
                      <w:lang w:val="en-US" w:eastAsia="zh-CN" w:bidi="ar-SA"/>
                    </w:rPr>
                  </w:pPr>
                  <w:r>
                    <w:rPr>
                      <w:rFonts w:hint="eastAsia" w:ascii="Times New Roman" w:hAnsi="Times New Roman" w:eastAsia="宋体" w:cs="Times New Roman"/>
                      <w:color w:val="auto"/>
                      <w:kern w:val="0"/>
                      <w:sz w:val="21"/>
                      <w:szCs w:val="21"/>
                      <w:highlight w:val="none"/>
                      <w:lang w:val="en-US" w:eastAsia="zh-CN" w:bidi="ar-SA"/>
                    </w:rPr>
                    <w:t>≤30d</w:t>
                  </w:r>
                </w:p>
              </w:tc>
              <w:tc>
                <w:tcPr>
                  <w:tcW w:w="544" w:type="pct"/>
                  <w:tcBorders>
                    <w:tl2br w:val="nil"/>
                    <w:tr2bl w:val="nil"/>
                  </w:tcBorders>
                  <w:vAlign w:val="center"/>
                </w:tcPr>
                <w:p w14:paraId="7E9755AF">
                  <w:pPr>
                    <w:pStyle w:val="129"/>
                    <w:keepNext w:val="0"/>
                    <w:keepLines w:val="0"/>
                    <w:suppressLineNumbers w:val="0"/>
                    <w:spacing w:before="0" w:beforeAutospacing="0" w:after="0" w:afterAutospacing="0"/>
                    <w:ind w:left="0" w:right="0"/>
                    <w:rPr>
                      <w:rFonts w:hint="eastAsia" w:ascii="Times New Roman" w:hAnsi="Times New Roman" w:eastAsia="宋体" w:cs="Times New Roman"/>
                      <w:color w:val="auto"/>
                      <w:sz w:val="21"/>
                      <w:szCs w:val="21"/>
                      <w:highlight w:val="none"/>
                    </w:rPr>
                  </w:pPr>
                  <w:r>
                    <w:rPr>
                      <w:rFonts w:hint="eastAsia" w:ascii="Times New Roman" w:hAnsi="Times New Roman" w:eastAsia="宋体" w:cs="Times New Roman"/>
                      <w:color w:val="auto"/>
                      <w:sz w:val="21"/>
                      <w:szCs w:val="21"/>
                      <w:highlight w:val="none"/>
                      <w:lang w:val="en-US" w:eastAsia="zh-CN"/>
                    </w:rPr>
                    <w:t xml:space="preserve">0.82t </w:t>
                  </w:r>
                </w:p>
              </w:tc>
              <w:tc>
                <w:tcPr>
                  <w:tcW w:w="490" w:type="pct"/>
                  <w:tcBorders>
                    <w:tl2br w:val="nil"/>
                    <w:tr2bl w:val="nil"/>
                  </w:tcBorders>
                  <w:vAlign w:val="center"/>
                </w:tcPr>
                <w:p w14:paraId="539945C6">
                  <w:pPr>
                    <w:pStyle w:val="129"/>
                    <w:keepNext w:val="0"/>
                    <w:keepLines w:val="0"/>
                    <w:suppressLineNumbers w:val="0"/>
                    <w:spacing w:before="0" w:beforeAutospacing="0" w:after="0" w:afterAutospacing="0"/>
                    <w:ind w:left="0" w:right="0"/>
                    <w:rPr>
                      <w:rFonts w:hint="default" w:ascii="Times New Roman" w:hAnsi="Times New Roman" w:eastAsia="宋体" w:cs="Times New Roman"/>
                      <w:color w:val="auto"/>
                      <w:sz w:val="21"/>
                      <w:szCs w:val="21"/>
                      <w:highlight w:val="none"/>
                    </w:rPr>
                  </w:pPr>
                  <w:r>
                    <w:rPr>
                      <w:rFonts w:hint="eastAsia" w:cs="Times New Roman"/>
                      <w:color w:val="auto"/>
                      <w:sz w:val="21"/>
                      <w:szCs w:val="21"/>
                      <w:highlight w:val="none"/>
                      <w:lang w:val="en-US" w:eastAsia="zh-CN"/>
                    </w:rPr>
                    <w:t>2</w:t>
                  </w:r>
                  <w:r>
                    <w:rPr>
                      <w:rFonts w:hint="eastAsia" w:ascii="Times New Roman" w:hAnsi="Times New Roman" w:eastAsia="宋体" w:cs="Times New Roman"/>
                      <w:color w:val="auto"/>
                      <w:sz w:val="21"/>
                      <w:szCs w:val="21"/>
                      <w:highlight w:val="none"/>
                    </w:rPr>
                    <w:t>m</w:t>
                  </w:r>
                  <w:r>
                    <w:rPr>
                      <w:rFonts w:hint="eastAsia" w:ascii="Times New Roman" w:hAnsi="Times New Roman" w:eastAsia="宋体" w:cs="Times New Roman"/>
                      <w:color w:val="auto"/>
                      <w:sz w:val="21"/>
                      <w:szCs w:val="21"/>
                      <w:highlight w:val="none"/>
                      <w:vertAlign w:val="superscript"/>
                    </w:rPr>
                    <w:t>2</w:t>
                  </w:r>
                </w:p>
              </w:tc>
              <w:tc>
                <w:tcPr>
                  <w:tcW w:w="673" w:type="pct"/>
                  <w:vMerge w:val="continue"/>
                  <w:tcBorders>
                    <w:tl2br w:val="nil"/>
                    <w:tr2bl w:val="nil"/>
                  </w:tcBorders>
                  <w:vAlign w:val="center"/>
                </w:tcPr>
                <w:p w14:paraId="07242C9E">
                  <w:pPr>
                    <w:pStyle w:val="129"/>
                    <w:keepNext w:val="0"/>
                    <w:keepLines w:val="0"/>
                    <w:suppressLineNumbers w:val="0"/>
                    <w:spacing w:before="0" w:beforeAutospacing="0" w:after="0" w:afterAutospacing="0"/>
                    <w:ind w:left="0" w:right="0"/>
                    <w:rPr>
                      <w:rFonts w:hint="default" w:ascii="Times New Roman" w:hAnsi="Times New Roman" w:eastAsia="宋体" w:cs="Times New Roman"/>
                      <w:color w:val="auto"/>
                      <w:sz w:val="21"/>
                      <w:szCs w:val="21"/>
                      <w:highlight w:val="none"/>
                    </w:rPr>
                  </w:pPr>
                </w:p>
              </w:tc>
            </w:tr>
            <w:tr w14:paraId="65434BF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340" w:hRule="atLeast"/>
                <w:jc w:val="center"/>
              </w:trPr>
              <w:tc>
                <w:tcPr>
                  <w:tcW w:w="358" w:type="pct"/>
                  <w:tcBorders>
                    <w:tl2br w:val="nil"/>
                    <w:tr2bl w:val="nil"/>
                  </w:tcBorders>
                  <w:shd w:val="clear" w:color="auto" w:fill="auto"/>
                  <w:vAlign w:val="center"/>
                </w:tcPr>
                <w:p w14:paraId="7F0250EE">
                  <w:pPr>
                    <w:pStyle w:val="129"/>
                    <w:keepNext w:val="0"/>
                    <w:keepLines w:val="0"/>
                    <w:suppressLineNumbers w:val="0"/>
                    <w:spacing w:before="0" w:beforeAutospacing="0" w:after="0" w:afterAutospacing="0"/>
                    <w:ind w:left="0" w:leftChars="0" w:right="0" w:rightChars="0"/>
                    <w:rPr>
                      <w:rFonts w:hint="default" w:ascii="Times New Roman" w:hAnsi="Times New Roman" w:eastAsia="宋体" w:cs="Times New Roman"/>
                      <w:color w:val="auto"/>
                      <w:kern w:val="0"/>
                      <w:sz w:val="21"/>
                      <w:szCs w:val="21"/>
                      <w:highlight w:val="none"/>
                      <w:lang w:val="en-US" w:eastAsia="zh-CN" w:bidi="ar-SA"/>
                    </w:rPr>
                  </w:pPr>
                  <w:r>
                    <w:rPr>
                      <w:rFonts w:hint="eastAsia" w:ascii="Times New Roman" w:hAnsi="Times New Roman" w:eastAsia="宋体" w:cs="Times New Roman"/>
                      <w:color w:val="auto"/>
                      <w:sz w:val="21"/>
                      <w:szCs w:val="21"/>
                      <w:highlight w:val="none"/>
                      <w:lang w:val="en-US" w:eastAsia="zh-CN"/>
                    </w:rPr>
                    <w:t>11</w:t>
                  </w:r>
                </w:p>
              </w:tc>
              <w:tc>
                <w:tcPr>
                  <w:tcW w:w="728" w:type="pct"/>
                  <w:tcBorders>
                    <w:tl2br w:val="nil"/>
                    <w:tr2bl w:val="nil"/>
                  </w:tcBorders>
                  <w:vAlign w:val="center"/>
                </w:tcPr>
                <w:p w14:paraId="2A4A4013">
                  <w:pPr>
                    <w:pStyle w:val="129"/>
                    <w:keepNext w:val="0"/>
                    <w:keepLines w:val="0"/>
                    <w:suppressLineNumbers w:val="0"/>
                    <w:spacing w:before="0" w:beforeAutospacing="0" w:after="0" w:afterAutospacing="0"/>
                    <w:ind w:left="0" w:right="0"/>
                    <w:rPr>
                      <w:rFonts w:hint="default" w:ascii="Times New Roman" w:hAnsi="Times New Roman" w:eastAsia="宋体" w:cs="Times New Roman"/>
                      <w:color w:val="auto"/>
                      <w:sz w:val="21"/>
                      <w:szCs w:val="21"/>
                      <w:highlight w:val="none"/>
                    </w:rPr>
                  </w:pPr>
                  <w:r>
                    <w:rPr>
                      <w:rFonts w:hint="eastAsia" w:ascii="Times New Roman" w:hAnsi="Times New Roman" w:eastAsia="宋体" w:cs="Times New Roman"/>
                      <w:color w:val="auto"/>
                      <w:sz w:val="21"/>
                      <w:szCs w:val="21"/>
                      <w:highlight w:val="none"/>
                    </w:rPr>
                    <w:t>损伤性</w:t>
                  </w:r>
                  <w:r>
                    <w:rPr>
                      <w:rFonts w:hint="default" w:ascii="Times New Roman" w:hAnsi="Times New Roman" w:eastAsia="宋体" w:cs="Times New Roman"/>
                      <w:color w:val="auto"/>
                      <w:sz w:val="21"/>
                      <w:szCs w:val="21"/>
                      <w:highlight w:val="none"/>
                    </w:rPr>
                    <w:t>废物</w:t>
                  </w:r>
                </w:p>
              </w:tc>
              <w:tc>
                <w:tcPr>
                  <w:tcW w:w="544" w:type="pct"/>
                  <w:tcBorders>
                    <w:tl2br w:val="nil"/>
                    <w:tr2bl w:val="nil"/>
                  </w:tcBorders>
                  <w:vAlign w:val="center"/>
                </w:tcPr>
                <w:p w14:paraId="35A8167F">
                  <w:pPr>
                    <w:pStyle w:val="129"/>
                    <w:keepNext w:val="0"/>
                    <w:keepLines w:val="0"/>
                    <w:suppressLineNumbers w:val="0"/>
                    <w:spacing w:before="0" w:beforeAutospacing="0" w:after="0" w:afterAutospacing="0"/>
                    <w:ind w:left="0" w:right="0"/>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HW01</w:t>
                  </w:r>
                </w:p>
              </w:tc>
              <w:tc>
                <w:tcPr>
                  <w:tcW w:w="726" w:type="pct"/>
                  <w:tcBorders>
                    <w:tl2br w:val="nil"/>
                    <w:tr2bl w:val="nil"/>
                  </w:tcBorders>
                  <w:vAlign w:val="center"/>
                </w:tcPr>
                <w:p w14:paraId="553A9F56">
                  <w:pPr>
                    <w:pStyle w:val="129"/>
                    <w:keepNext w:val="0"/>
                    <w:keepLines w:val="0"/>
                    <w:suppressLineNumbers w:val="0"/>
                    <w:spacing w:before="0" w:beforeAutospacing="0" w:after="0" w:afterAutospacing="0"/>
                    <w:ind w:left="0" w:right="0"/>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841-002-01</w:t>
                  </w:r>
                </w:p>
              </w:tc>
              <w:tc>
                <w:tcPr>
                  <w:tcW w:w="461" w:type="pct"/>
                  <w:tcBorders>
                    <w:tl2br w:val="nil"/>
                    <w:tr2bl w:val="nil"/>
                  </w:tcBorders>
                  <w:vAlign w:val="center"/>
                </w:tcPr>
                <w:p w14:paraId="2B2B0B60">
                  <w:pPr>
                    <w:pStyle w:val="129"/>
                    <w:keepNext w:val="0"/>
                    <w:keepLines w:val="0"/>
                    <w:suppressLineNumbers w:val="0"/>
                    <w:spacing w:before="0" w:beforeAutospacing="0" w:after="0" w:afterAutospacing="0"/>
                    <w:ind w:left="0" w:right="0"/>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10</w:t>
                  </w:r>
                </w:p>
              </w:tc>
              <w:tc>
                <w:tcPr>
                  <w:tcW w:w="472" w:type="pct"/>
                  <w:tcBorders>
                    <w:tl2br w:val="nil"/>
                    <w:tr2bl w:val="nil"/>
                  </w:tcBorders>
                  <w:vAlign w:val="center"/>
                </w:tcPr>
                <w:p w14:paraId="051B2A40">
                  <w:pPr>
                    <w:keepNext w:val="0"/>
                    <w:keepLines w:val="0"/>
                    <w:suppressLineNumbers w:val="0"/>
                    <w:spacing w:before="0" w:beforeAutospacing="0" w:after="0" w:afterAutospacing="0"/>
                    <w:ind w:left="0" w:right="0"/>
                    <w:jc w:val="center"/>
                    <w:rPr>
                      <w:rFonts w:hint="eastAsia" w:ascii="Times New Roman" w:hAnsi="Times New Roman" w:eastAsia="宋体" w:cs="Times New Roman"/>
                      <w:color w:val="auto"/>
                      <w:kern w:val="0"/>
                      <w:sz w:val="21"/>
                      <w:szCs w:val="21"/>
                      <w:highlight w:val="none"/>
                      <w:lang w:val="en-US" w:eastAsia="zh-CN" w:bidi="ar-SA"/>
                    </w:rPr>
                  </w:pPr>
                  <w:r>
                    <w:rPr>
                      <w:rFonts w:hint="eastAsia" w:ascii="Times New Roman" w:hAnsi="Times New Roman" w:eastAsia="宋体" w:cs="Times New Roman"/>
                      <w:color w:val="auto"/>
                      <w:kern w:val="0"/>
                      <w:sz w:val="21"/>
                      <w:szCs w:val="21"/>
                      <w:highlight w:val="none"/>
                      <w:lang w:val="en-US" w:eastAsia="zh-CN" w:bidi="ar-SA"/>
                    </w:rPr>
                    <w:t>≤30d</w:t>
                  </w:r>
                </w:p>
              </w:tc>
              <w:tc>
                <w:tcPr>
                  <w:tcW w:w="544" w:type="pct"/>
                  <w:tcBorders>
                    <w:tl2br w:val="nil"/>
                    <w:tr2bl w:val="nil"/>
                  </w:tcBorders>
                  <w:vAlign w:val="center"/>
                </w:tcPr>
                <w:p w14:paraId="4655F37E">
                  <w:pPr>
                    <w:pStyle w:val="129"/>
                    <w:keepNext w:val="0"/>
                    <w:keepLines w:val="0"/>
                    <w:suppressLineNumbers w:val="0"/>
                    <w:spacing w:before="0" w:beforeAutospacing="0" w:after="0" w:afterAutospacing="0"/>
                    <w:ind w:left="0" w:right="0"/>
                    <w:rPr>
                      <w:rFonts w:hint="eastAsia" w:ascii="Times New Roman" w:hAnsi="Times New Roman" w:eastAsia="宋体" w:cs="Times New Roman"/>
                      <w:color w:val="auto"/>
                      <w:sz w:val="21"/>
                      <w:szCs w:val="21"/>
                      <w:highlight w:val="none"/>
                    </w:rPr>
                  </w:pPr>
                  <w:r>
                    <w:rPr>
                      <w:rFonts w:hint="eastAsia" w:ascii="Times New Roman" w:hAnsi="Times New Roman" w:eastAsia="宋体" w:cs="Times New Roman"/>
                      <w:color w:val="auto"/>
                      <w:sz w:val="21"/>
                      <w:szCs w:val="21"/>
                      <w:highlight w:val="none"/>
                      <w:lang w:val="en-US" w:eastAsia="zh-CN"/>
                    </w:rPr>
                    <w:t xml:space="preserve">0.82t </w:t>
                  </w:r>
                </w:p>
              </w:tc>
              <w:tc>
                <w:tcPr>
                  <w:tcW w:w="490" w:type="pct"/>
                  <w:tcBorders>
                    <w:tl2br w:val="nil"/>
                    <w:tr2bl w:val="nil"/>
                  </w:tcBorders>
                  <w:vAlign w:val="center"/>
                </w:tcPr>
                <w:p w14:paraId="5EBE4AC0">
                  <w:pPr>
                    <w:pStyle w:val="129"/>
                    <w:keepNext w:val="0"/>
                    <w:keepLines w:val="0"/>
                    <w:suppressLineNumbers w:val="0"/>
                    <w:spacing w:before="0" w:beforeAutospacing="0" w:after="0" w:afterAutospacing="0"/>
                    <w:ind w:left="0" w:right="0"/>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2</w:t>
                  </w:r>
                  <w:r>
                    <w:rPr>
                      <w:rFonts w:hint="eastAsia" w:ascii="Times New Roman" w:hAnsi="Times New Roman" w:eastAsia="宋体" w:cs="Times New Roman"/>
                      <w:color w:val="auto"/>
                      <w:sz w:val="21"/>
                      <w:szCs w:val="21"/>
                      <w:highlight w:val="none"/>
                    </w:rPr>
                    <w:t>m</w:t>
                  </w:r>
                  <w:r>
                    <w:rPr>
                      <w:rFonts w:hint="eastAsia" w:ascii="Times New Roman" w:hAnsi="Times New Roman" w:eastAsia="宋体" w:cs="Times New Roman"/>
                      <w:color w:val="auto"/>
                      <w:sz w:val="21"/>
                      <w:szCs w:val="21"/>
                      <w:highlight w:val="none"/>
                      <w:vertAlign w:val="superscript"/>
                    </w:rPr>
                    <w:t>2</w:t>
                  </w:r>
                </w:p>
              </w:tc>
              <w:tc>
                <w:tcPr>
                  <w:tcW w:w="673" w:type="pct"/>
                  <w:vMerge w:val="continue"/>
                  <w:tcBorders>
                    <w:tl2br w:val="nil"/>
                    <w:tr2bl w:val="nil"/>
                  </w:tcBorders>
                  <w:vAlign w:val="center"/>
                </w:tcPr>
                <w:p w14:paraId="5C4A6F7E">
                  <w:pPr>
                    <w:pStyle w:val="129"/>
                    <w:keepNext w:val="0"/>
                    <w:keepLines w:val="0"/>
                    <w:suppressLineNumbers w:val="0"/>
                    <w:spacing w:before="0" w:beforeAutospacing="0" w:after="0" w:afterAutospacing="0"/>
                    <w:ind w:left="0" w:right="0"/>
                    <w:rPr>
                      <w:rFonts w:hint="default" w:ascii="Times New Roman" w:hAnsi="Times New Roman" w:eastAsia="宋体" w:cs="Times New Roman"/>
                      <w:color w:val="auto"/>
                      <w:sz w:val="21"/>
                      <w:szCs w:val="21"/>
                      <w:highlight w:val="none"/>
                    </w:rPr>
                  </w:pPr>
                </w:p>
              </w:tc>
            </w:tr>
            <w:tr w14:paraId="4AFA09A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340" w:hRule="atLeast"/>
                <w:jc w:val="center"/>
              </w:trPr>
              <w:tc>
                <w:tcPr>
                  <w:tcW w:w="358" w:type="pct"/>
                  <w:tcBorders>
                    <w:tl2br w:val="nil"/>
                    <w:tr2bl w:val="nil"/>
                  </w:tcBorders>
                  <w:shd w:val="clear" w:color="auto" w:fill="auto"/>
                  <w:vAlign w:val="center"/>
                </w:tcPr>
                <w:p w14:paraId="06DC6257">
                  <w:pPr>
                    <w:pStyle w:val="129"/>
                    <w:keepNext w:val="0"/>
                    <w:keepLines w:val="0"/>
                    <w:suppressLineNumbers w:val="0"/>
                    <w:spacing w:before="0" w:beforeAutospacing="0" w:after="0" w:afterAutospacing="0"/>
                    <w:ind w:left="0" w:leftChars="0" w:right="0" w:rightChars="0"/>
                    <w:rPr>
                      <w:rFonts w:hint="default" w:ascii="Times New Roman" w:hAnsi="Times New Roman" w:eastAsia="宋体" w:cs="Times New Roman"/>
                      <w:color w:val="auto"/>
                      <w:kern w:val="0"/>
                      <w:sz w:val="21"/>
                      <w:szCs w:val="21"/>
                      <w:highlight w:val="none"/>
                      <w:lang w:val="en-US" w:eastAsia="zh-CN" w:bidi="ar-SA"/>
                    </w:rPr>
                  </w:pPr>
                  <w:r>
                    <w:rPr>
                      <w:rFonts w:hint="eastAsia" w:ascii="Times New Roman" w:hAnsi="Times New Roman" w:eastAsia="宋体" w:cs="Times New Roman"/>
                      <w:color w:val="auto"/>
                      <w:sz w:val="21"/>
                      <w:szCs w:val="21"/>
                      <w:highlight w:val="none"/>
                      <w:lang w:val="en-US" w:eastAsia="zh-CN"/>
                    </w:rPr>
                    <w:t>12</w:t>
                  </w:r>
                </w:p>
              </w:tc>
              <w:tc>
                <w:tcPr>
                  <w:tcW w:w="728" w:type="pct"/>
                  <w:tcBorders>
                    <w:tl2br w:val="nil"/>
                    <w:tr2bl w:val="nil"/>
                  </w:tcBorders>
                  <w:vAlign w:val="center"/>
                </w:tcPr>
                <w:p w14:paraId="63B78E87">
                  <w:pPr>
                    <w:pStyle w:val="129"/>
                    <w:keepNext w:val="0"/>
                    <w:keepLines w:val="0"/>
                    <w:suppressLineNumbers w:val="0"/>
                    <w:spacing w:before="0" w:beforeAutospacing="0" w:after="0" w:afterAutospacing="0"/>
                    <w:ind w:left="0" w:right="0"/>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病理性废物</w:t>
                  </w:r>
                </w:p>
              </w:tc>
              <w:tc>
                <w:tcPr>
                  <w:tcW w:w="544" w:type="pct"/>
                  <w:tcBorders>
                    <w:tl2br w:val="nil"/>
                    <w:tr2bl w:val="nil"/>
                  </w:tcBorders>
                  <w:vAlign w:val="center"/>
                </w:tcPr>
                <w:p w14:paraId="1A63E073">
                  <w:pPr>
                    <w:pStyle w:val="129"/>
                    <w:keepNext w:val="0"/>
                    <w:keepLines w:val="0"/>
                    <w:suppressLineNumbers w:val="0"/>
                    <w:spacing w:before="0" w:beforeAutospacing="0" w:after="0" w:afterAutospacing="0"/>
                    <w:ind w:left="0" w:right="0"/>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HW01</w:t>
                  </w:r>
                </w:p>
              </w:tc>
              <w:tc>
                <w:tcPr>
                  <w:tcW w:w="726" w:type="pct"/>
                  <w:tcBorders>
                    <w:tl2br w:val="nil"/>
                    <w:tr2bl w:val="nil"/>
                  </w:tcBorders>
                  <w:vAlign w:val="center"/>
                </w:tcPr>
                <w:p w14:paraId="5277F50C">
                  <w:pPr>
                    <w:pStyle w:val="129"/>
                    <w:keepNext w:val="0"/>
                    <w:keepLines w:val="0"/>
                    <w:suppressLineNumbers w:val="0"/>
                    <w:spacing w:before="0" w:beforeAutospacing="0" w:after="0" w:afterAutospacing="0"/>
                    <w:ind w:left="0" w:right="0"/>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841-003-01</w:t>
                  </w:r>
                </w:p>
              </w:tc>
              <w:tc>
                <w:tcPr>
                  <w:tcW w:w="461" w:type="pct"/>
                  <w:tcBorders>
                    <w:tl2br w:val="nil"/>
                    <w:tr2bl w:val="nil"/>
                  </w:tcBorders>
                  <w:vAlign w:val="center"/>
                </w:tcPr>
                <w:p w14:paraId="0FF964FE">
                  <w:pPr>
                    <w:pStyle w:val="129"/>
                    <w:keepNext w:val="0"/>
                    <w:keepLines w:val="0"/>
                    <w:suppressLineNumbers w:val="0"/>
                    <w:spacing w:before="0" w:beforeAutospacing="0" w:after="0" w:afterAutospacing="0"/>
                    <w:ind w:left="0" w:right="0"/>
                    <w:rPr>
                      <w:rFonts w:hint="default" w:ascii="Times New Roman" w:hAnsi="Times New Roman" w:eastAsia="宋体" w:cs="Times New Roman"/>
                      <w:color w:val="auto"/>
                      <w:sz w:val="21"/>
                      <w:szCs w:val="21"/>
                      <w:highlight w:val="none"/>
                    </w:rPr>
                  </w:pPr>
                  <w:r>
                    <w:rPr>
                      <w:rFonts w:hint="eastAsia" w:ascii="Times New Roman" w:hAnsi="Times New Roman" w:eastAsia="宋体" w:cs="Times New Roman"/>
                      <w:color w:val="auto"/>
                      <w:sz w:val="21"/>
                      <w:szCs w:val="21"/>
                      <w:highlight w:val="none"/>
                    </w:rPr>
                    <w:t>25</w:t>
                  </w:r>
                </w:p>
              </w:tc>
              <w:tc>
                <w:tcPr>
                  <w:tcW w:w="472" w:type="pct"/>
                  <w:tcBorders>
                    <w:tl2br w:val="nil"/>
                    <w:tr2bl w:val="nil"/>
                  </w:tcBorders>
                  <w:vAlign w:val="center"/>
                </w:tcPr>
                <w:p w14:paraId="49B6041A">
                  <w:pPr>
                    <w:keepNext w:val="0"/>
                    <w:keepLines w:val="0"/>
                    <w:suppressLineNumbers w:val="0"/>
                    <w:spacing w:before="0" w:beforeAutospacing="0" w:after="0" w:afterAutospacing="0"/>
                    <w:ind w:left="0" w:right="0"/>
                    <w:jc w:val="center"/>
                    <w:rPr>
                      <w:rFonts w:hint="eastAsia" w:ascii="Times New Roman" w:hAnsi="Times New Roman" w:eastAsia="宋体" w:cs="Times New Roman"/>
                      <w:color w:val="auto"/>
                      <w:kern w:val="0"/>
                      <w:sz w:val="21"/>
                      <w:szCs w:val="21"/>
                      <w:highlight w:val="none"/>
                      <w:lang w:val="en-US" w:eastAsia="zh-CN" w:bidi="ar-SA"/>
                    </w:rPr>
                  </w:pPr>
                  <w:r>
                    <w:rPr>
                      <w:rFonts w:hint="eastAsia" w:ascii="Times New Roman" w:hAnsi="Times New Roman" w:eastAsia="宋体" w:cs="Times New Roman"/>
                      <w:color w:val="auto"/>
                      <w:kern w:val="0"/>
                      <w:sz w:val="21"/>
                      <w:szCs w:val="21"/>
                      <w:highlight w:val="none"/>
                      <w:lang w:val="en-US" w:eastAsia="zh-CN" w:bidi="ar-SA"/>
                    </w:rPr>
                    <w:t>≤30d</w:t>
                  </w:r>
                </w:p>
              </w:tc>
              <w:tc>
                <w:tcPr>
                  <w:tcW w:w="544" w:type="pct"/>
                  <w:tcBorders>
                    <w:tl2br w:val="nil"/>
                    <w:tr2bl w:val="nil"/>
                  </w:tcBorders>
                  <w:vAlign w:val="center"/>
                </w:tcPr>
                <w:p w14:paraId="2207BBF0">
                  <w:pPr>
                    <w:pStyle w:val="129"/>
                    <w:keepNext w:val="0"/>
                    <w:keepLines w:val="0"/>
                    <w:suppressLineNumbers w:val="0"/>
                    <w:spacing w:before="0" w:beforeAutospacing="0" w:after="0" w:afterAutospacing="0"/>
                    <w:ind w:left="0" w:right="0"/>
                    <w:rPr>
                      <w:rFonts w:hint="eastAsia" w:ascii="Times New Roman" w:hAnsi="Times New Roman" w:eastAsia="宋体" w:cs="Times New Roman"/>
                      <w:color w:val="auto"/>
                      <w:sz w:val="21"/>
                      <w:szCs w:val="21"/>
                      <w:highlight w:val="none"/>
                    </w:rPr>
                  </w:pPr>
                  <w:r>
                    <w:rPr>
                      <w:rFonts w:hint="eastAsia" w:ascii="Times New Roman" w:hAnsi="Times New Roman" w:eastAsia="宋体" w:cs="Times New Roman"/>
                      <w:color w:val="auto"/>
                      <w:sz w:val="21"/>
                      <w:szCs w:val="21"/>
                      <w:highlight w:val="none"/>
                      <w:lang w:val="en-US" w:eastAsia="zh-CN"/>
                    </w:rPr>
                    <w:t xml:space="preserve">2.05t </w:t>
                  </w:r>
                </w:p>
              </w:tc>
              <w:tc>
                <w:tcPr>
                  <w:tcW w:w="490" w:type="pct"/>
                  <w:tcBorders>
                    <w:tl2br w:val="nil"/>
                    <w:tr2bl w:val="nil"/>
                  </w:tcBorders>
                  <w:vAlign w:val="center"/>
                </w:tcPr>
                <w:p w14:paraId="61C328B0">
                  <w:pPr>
                    <w:pStyle w:val="129"/>
                    <w:keepNext w:val="0"/>
                    <w:keepLines w:val="0"/>
                    <w:suppressLineNumbers w:val="0"/>
                    <w:spacing w:before="0" w:beforeAutospacing="0" w:after="0" w:afterAutospacing="0"/>
                    <w:ind w:left="0" w:right="0"/>
                    <w:rPr>
                      <w:rFonts w:hint="default" w:ascii="Times New Roman" w:hAnsi="Times New Roman" w:eastAsia="宋体" w:cs="Times New Roman"/>
                      <w:color w:val="auto"/>
                      <w:sz w:val="21"/>
                      <w:szCs w:val="21"/>
                      <w:highlight w:val="none"/>
                    </w:rPr>
                  </w:pPr>
                  <w:r>
                    <w:rPr>
                      <w:rFonts w:hint="eastAsia" w:cs="Times New Roman"/>
                      <w:color w:val="auto"/>
                      <w:sz w:val="21"/>
                      <w:szCs w:val="21"/>
                      <w:highlight w:val="none"/>
                      <w:lang w:val="en-US" w:eastAsia="zh-CN"/>
                    </w:rPr>
                    <w:t>3</w:t>
                  </w:r>
                  <w:r>
                    <w:rPr>
                      <w:rFonts w:hint="default" w:ascii="Times New Roman" w:hAnsi="Times New Roman" w:eastAsia="宋体" w:cs="Times New Roman"/>
                      <w:color w:val="auto"/>
                      <w:sz w:val="21"/>
                      <w:szCs w:val="21"/>
                      <w:highlight w:val="none"/>
                    </w:rPr>
                    <w:t>m</w:t>
                  </w:r>
                  <w:r>
                    <w:rPr>
                      <w:rFonts w:hint="default" w:ascii="Times New Roman" w:hAnsi="Times New Roman" w:eastAsia="宋体" w:cs="Times New Roman"/>
                      <w:color w:val="auto"/>
                      <w:sz w:val="21"/>
                      <w:szCs w:val="21"/>
                      <w:highlight w:val="none"/>
                      <w:vertAlign w:val="superscript"/>
                    </w:rPr>
                    <w:t>2</w:t>
                  </w:r>
                </w:p>
              </w:tc>
              <w:tc>
                <w:tcPr>
                  <w:tcW w:w="673" w:type="pct"/>
                  <w:vMerge w:val="continue"/>
                  <w:tcBorders>
                    <w:tl2br w:val="nil"/>
                    <w:tr2bl w:val="nil"/>
                  </w:tcBorders>
                  <w:vAlign w:val="center"/>
                </w:tcPr>
                <w:p w14:paraId="251179D2">
                  <w:pPr>
                    <w:pStyle w:val="129"/>
                    <w:keepNext w:val="0"/>
                    <w:keepLines w:val="0"/>
                    <w:suppressLineNumbers w:val="0"/>
                    <w:spacing w:before="0" w:beforeAutospacing="0" w:after="0" w:afterAutospacing="0"/>
                    <w:ind w:left="0" w:right="0"/>
                    <w:rPr>
                      <w:rFonts w:hint="default" w:ascii="Times New Roman" w:hAnsi="Times New Roman" w:eastAsia="宋体" w:cs="Times New Roman"/>
                      <w:color w:val="auto"/>
                      <w:sz w:val="21"/>
                      <w:szCs w:val="21"/>
                      <w:highlight w:val="none"/>
                    </w:rPr>
                  </w:pPr>
                </w:p>
              </w:tc>
            </w:tr>
            <w:tr w14:paraId="706A309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340" w:hRule="atLeast"/>
                <w:jc w:val="center"/>
              </w:trPr>
              <w:tc>
                <w:tcPr>
                  <w:tcW w:w="358" w:type="pct"/>
                  <w:tcBorders>
                    <w:tl2br w:val="nil"/>
                    <w:tr2bl w:val="nil"/>
                  </w:tcBorders>
                  <w:shd w:val="clear" w:color="auto" w:fill="auto"/>
                  <w:vAlign w:val="center"/>
                </w:tcPr>
                <w:p w14:paraId="5AD1FD9B">
                  <w:pPr>
                    <w:pStyle w:val="129"/>
                    <w:keepNext w:val="0"/>
                    <w:keepLines w:val="0"/>
                    <w:suppressLineNumbers w:val="0"/>
                    <w:spacing w:before="0" w:beforeAutospacing="0" w:after="0" w:afterAutospacing="0"/>
                    <w:ind w:left="0" w:leftChars="0" w:right="0" w:rightChars="0"/>
                    <w:rPr>
                      <w:rFonts w:hint="default" w:ascii="Times New Roman" w:hAnsi="Times New Roman" w:eastAsia="宋体" w:cs="Times New Roman"/>
                      <w:color w:val="auto"/>
                      <w:kern w:val="0"/>
                      <w:sz w:val="21"/>
                      <w:szCs w:val="21"/>
                      <w:highlight w:val="none"/>
                      <w:lang w:val="en-US" w:eastAsia="zh-CN" w:bidi="ar-SA"/>
                    </w:rPr>
                  </w:pPr>
                  <w:r>
                    <w:rPr>
                      <w:rFonts w:hint="eastAsia" w:cs="Times New Roman"/>
                      <w:color w:val="auto"/>
                      <w:kern w:val="0"/>
                      <w:sz w:val="21"/>
                      <w:szCs w:val="21"/>
                      <w:highlight w:val="none"/>
                      <w:lang w:val="en-US" w:eastAsia="zh-CN" w:bidi="ar-SA"/>
                    </w:rPr>
                    <w:t>13</w:t>
                  </w:r>
                </w:p>
              </w:tc>
              <w:tc>
                <w:tcPr>
                  <w:tcW w:w="728" w:type="pct"/>
                  <w:tcBorders>
                    <w:tl2br w:val="nil"/>
                    <w:tr2bl w:val="nil"/>
                  </w:tcBorders>
                  <w:vAlign w:val="center"/>
                </w:tcPr>
                <w:p w14:paraId="0546F370">
                  <w:pPr>
                    <w:pStyle w:val="129"/>
                    <w:keepNext w:val="0"/>
                    <w:keepLines w:val="0"/>
                    <w:suppressLineNumbers w:val="0"/>
                    <w:spacing w:before="0" w:beforeAutospacing="0" w:after="0" w:afterAutospacing="0"/>
                    <w:ind w:left="0" w:right="0"/>
                    <w:rPr>
                      <w:rFonts w:hint="default" w:ascii="Times New Roman" w:hAnsi="Times New Roman" w:eastAsia="宋体" w:cs="Times New Roman"/>
                      <w:color w:val="auto"/>
                      <w:sz w:val="21"/>
                      <w:szCs w:val="21"/>
                      <w:highlight w:val="none"/>
                    </w:rPr>
                  </w:pPr>
                  <w:r>
                    <w:rPr>
                      <w:rFonts w:hint="eastAsia" w:ascii="Times New Roman" w:hAnsi="Times New Roman" w:eastAsia="宋体" w:cs="Times New Roman"/>
                      <w:color w:val="auto"/>
                      <w:sz w:val="21"/>
                      <w:szCs w:val="21"/>
                      <w:highlight w:val="none"/>
                    </w:rPr>
                    <w:t>药物性</w:t>
                  </w:r>
                  <w:r>
                    <w:rPr>
                      <w:rFonts w:hint="default" w:ascii="Times New Roman" w:hAnsi="Times New Roman" w:eastAsia="宋体" w:cs="Times New Roman"/>
                      <w:color w:val="auto"/>
                      <w:sz w:val="21"/>
                      <w:szCs w:val="21"/>
                      <w:highlight w:val="none"/>
                    </w:rPr>
                    <w:t>废物</w:t>
                  </w:r>
                </w:p>
              </w:tc>
              <w:tc>
                <w:tcPr>
                  <w:tcW w:w="544" w:type="pct"/>
                  <w:tcBorders>
                    <w:tl2br w:val="nil"/>
                    <w:tr2bl w:val="nil"/>
                  </w:tcBorders>
                  <w:vAlign w:val="center"/>
                </w:tcPr>
                <w:p w14:paraId="7B4AFB46">
                  <w:pPr>
                    <w:pStyle w:val="129"/>
                    <w:keepNext w:val="0"/>
                    <w:keepLines w:val="0"/>
                    <w:suppressLineNumbers w:val="0"/>
                    <w:spacing w:before="0" w:beforeAutospacing="0" w:after="0" w:afterAutospacing="0"/>
                    <w:ind w:left="0" w:right="0"/>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HW01</w:t>
                  </w:r>
                </w:p>
              </w:tc>
              <w:tc>
                <w:tcPr>
                  <w:tcW w:w="726" w:type="pct"/>
                  <w:tcBorders>
                    <w:tl2br w:val="nil"/>
                    <w:tr2bl w:val="nil"/>
                  </w:tcBorders>
                  <w:vAlign w:val="center"/>
                </w:tcPr>
                <w:p w14:paraId="79225800">
                  <w:pPr>
                    <w:pStyle w:val="129"/>
                    <w:keepNext w:val="0"/>
                    <w:keepLines w:val="0"/>
                    <w:suppressLineNumbers w:val="0"/>
                    <w:spacing w:before="0" w:beforeAutospacing="0" w:after="0" w:afterAutospacing="0"/>
                    <w:ind w:left="0" w:right="0"/>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841-005-01</w:t>
                  </w:r>
                </w:p>
              </w:tc>
              <w:tc>
                <w:tcPr>
                  <w:tcW w:w="461" w:type="pct"/>
                  <w:tcBorders>
                    <w:tl2br w:val="nil"/>
                    <w:tr2bl w:val="nil"/>
                  </w:tcBorders>
                  <w:vAlign w:val="center"/>
                </w:tcPr>
                <w:p w14:paraId="553A0EA3">
                  <w:pPr>
                    <w:pStyle w:val="129"/>
                    <w:keepNext w:val="0"/>
                    <w:keepLines w:val="0"/>
                    <w:suppressLineNumbers w:val="0"/>
                    <w:spacing w:before="0" w:beforeAutospacing="0" w:after="0" w:afterAutospacing="0"/>
                    <w:ind w:left="0" w:right="0"/>
                    <w:rPr>
                      <w:rFonts w:hint="default" w:ascii="Times New Roman" w:hAnsi="Times New Roman" w:eastAsia="宋体" w:cs="Times New Roman"/>
                      <w:color w:val="auto"/>
                      <w:sz w:val="21"/>
                      <w:szCs w:val="21"/>
                      <w:highlight w:val="none"/>
                    </w:rPr>
                  </w:pPr>
                  <w:r>
                    <w:rPr>
                      <w:rFonts w:hint="eastAsia" w:ascii="Times New Roman" w:hAnsi="Times New Roman" w:eastAsia="宋体" w:cs="Times New Roman"/>
                      <w:color w:val="auto"/>
                      <w:sz w:val="21"/>
                      <w:szCs w:val="21"/>
                      <w:highlight w:val="none"/>
                    </w:rPr>
                    <w:t>0.5</w:t>
                  </w:r>
                </w:p>
              </w:tc>
              <w:tc>
                <w:tcPr>
                  <w:tcW w:w="472" w:type="pct"/>
                  <w:tcBorders>
                    <w:tl2br w:val="nil"/>
                    <w:tr2bl w:val="nil"/>
                  </w:tcBorders>
                  <w:vAlign w:val="center"/>
                </w:tcPr>
                <w:p w14:paraId="4734AC43">
                  <w:pPr>
                    <w:keepNext w:val="0"/>
                    <w:keepLines w:val="0"/>
                    <w:suppressLineNumbers w:val="0"/>
                    <w:spacing w:before="0" w:beforeAutospacing="0" w:after="0" w:afterAutospacing="0"/>
                    <w:ind w:left="0" w:right="0"/>
                    <w:jc w:val="center"/>
                    <w:rPr>
                      <w:rFonts w:hint="eastAsia" w:ascii="Times New Roman" w:hAnsi="Times New Roman" w:eastAsia="宋体" w:cs="Times New Roman"/>
                      <w:color w:val="auto"/>
                      <w:kern w:val="0"/>
                      <w:sz w:val="21"/>
                      <w:szCs w:val="21"/>
                      <w:highlight w:val="none"/>
                      <w:lang w:val="en-US" w:eastAsia="zh-CN" w:bidi="ar-SA"/>
                    </w:rPr>
                  </w:pPr>
                  <w:r>
                    <w:rPr>
                      <w:rFonts w:hint="eastAsia" w:ascii="Times New Roman" w:hAnsi="Times New Roman" w:eastAsia="宋体" w:cs="Times New Roman"/>
                      <w:color w:val="auto"/>
                      <w:kern w:val="0"/>
                      <w:sz w:val="21"/>
                      <w:szCs w:val="21"/>
                      <w:highlight w:val="none"/>
                      <w:lang w:val="en-US" w:eastAsia="zh-CN" w:bidi="ar-SA"/>
                    </w:rPr>
                    <w:t>≤30d</w:t>
                  </w:r>
                </w:p>
              </w:tc>
              <w:tc>
                <w:tcPr>
                  <w:tcW w:w="544" w:type="pct"/>
                  <w:tcBorders>
                    <w:tl2br w:val="nil"/>
                    <w:tr2bl w:val="nil"/>
                  </w:tcBorders>
                  <w:vAlign w:val="center"/>
                </w:tcPr>
                <w:p w14:paraId="08C72576">
                  <w:pPr>
                    <w:pStyle w:val="129"/>
                    <w:keepNext w:val="0"/>
                    <w:keepLines w:val="0"/>
                    <w:suppressLineNumbers w:val="0"/>
                    <w:spacing w:before="0" w:beforeAutospacing="0" w:after="0" w:afterAutospacing="0"/>
                    <w:ind w:left="0" w:right="0"/>
                    <w:rPr>
                      <w:rFonts w:hint="eastAsia" w:ascii="Times New Roman" w:hAnsi="Times New Roman" w:eastAsia="宋体" w:cs="Times New Roman"/>
                      <w:color w:val="auto"/>
                      <w:sz w:val="21"/>
                      <w:szCs w:val="21"/>
                      <w:highlight w:val="none"/>
                    </w:rPr>
                  </w:pPr>
                  <w:r>
                    <w:rPr>
                      <w:rFonts w:hint="eastAsia" w:ascii="Times New Roman" w:hAnsi="Times New Roman" w:eastAsia="宋体" w:cs="Times New Roman"/>
                      <w:color w:val="auto"/>
                      <w:sz w:val="21"/>
                      <w:szCs w:val="21"/>
                      <w:highlight w:val="none"/>
                      <w:lang w:val="en-US" w:eastAsia="zh-CN"/>
                    </w:rPr>
                    <w:t xml:space="preserve">0.04t </w:t>
                  </w:r>
                </w:p>
              </w:tc>
              <w:tc>
                <w:tcPr>
                  <w:tcW w:w="490" w:type="pct"/>
                  <w:tcBorders>
                    <w:tl2br w:val="nil"/>
                    <w:tr2bl w:val="nil"/>
                  </w:tcBorders>
                  <w:vAlign w:val="center"/>
                </w:tcPr>
                <w:p w14:paraId="1C8AE3DE">
                  <w:pPr>
                    <w:pStyle w:val="129"/>
                    <w:keepNext w:val="0"/>
                    <w:keepLines w:val="0"/>
                    <w:suppressLineNumbers w:val="0"/>
                    <w:spacing w:before="0" w:beforeAutospacing="0" w:after="0" w:afterAutospacing="0"/>
                    <w:ind w:left="0" w:right="0"/>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0.5</w:t>
                  </w:r>
                  <w:r>
                    <w:rPr>
                      <w:rFonts w:hint="eastAsia" w:ascii="Times New Roman" w:hAnsi="Times New Roman" w:eastAsia="宋体" w:cs="Times New Roman"/>
                      <w:color w:val="auto"/>
                      <w:sz w:val="21"/>
                      <w:szCs w:val="21"/>
                      <w:highlight w:val="none"/>
                    </w:rPr>
                    <w:t>m</w:t>
                  </w:r>
                  <w:r>
                    <w:rPr>
                      <w:rFonts w:hint="eastAsia" w:ascii="Times New Roman" w:hAnsi="Times New Roman" w:eastAsia="宋体" w:cs="Times New Roman"/>
                      <w:color w:val="auto"/>
                      <w:sz w:val="21"/>
                      <w:szCs w:val="21"/>
                      <w:highlight w:val="none"/>
                      <w:vertAlign w:val="superscript"/>
                    </w:rPr>
                    <w:t>2</w:t>
                  </w:r>
                </w:p>
              </w:tc>
              <w:tc>
                <w:tcPr>
                  <w:tcW w:w="673" w:type="pct"/>
                  <w:vMerge w:val="continue"/>
                  <w:tcBorders>
                    <w:tl2br w:val="nil"/>
                    <w:tr2bl w:val="nil"/>
                  </w:tcBorders>
                  <w:vAlign w:val="center"/>
                </w:tcPr>
                <w:p w14:paraId="4998502A">
                  <w:pPr>
                    <w:pStyle w:val="129"/>
                    <w:keepNext w:val="0"/>
                    <w:keepLines w:val="0"/>
                    <w:suppressLineNumbers w:val="0"/>
                    <w:spacing w:before="0" w:beforeAutospacing="0" w:after="0" w:afterAutospacing="0"/>
                    <w:ind w:left="0" w:right="0"/>
                    <w:rPr>
                      <w:rFonts w:hint="default" w:ascii="Times New Roman" w:hAnsi="Times New Roman" w:eastAsia="宋体" w:cs="Times New Roman"/>
                      <w:color w:val="auto"/>
                      <w:sz w:val="21"/>
                      <w:szCs w:val="21"/>
                      <w:highlight w:val="none"/>
                    </w:rPr>
                  </w:pPr>
                </w:p>
              </w:tc>
            </w:tr>
            <w:tr w14:paraId="5A12D25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340" w:hRule="atLeast"/>
                <w:jc w:val="center"/>
              </w:trPr>
              <w:tc>
                <w:tcPr>
                  <w:tcW w:w="358" w:type="pct"/>
                  <w:tcBorders>
                    <w:tl2br w:val="nil"/>
                    <w:tr2bl w:val="nil"/>
                  </w:tcBorders>
                  <w:shd w:val="clear" w:color="auto" w:fill="auto"/>
                  <w:vAlign w:val="center"/>
                </w:tcPr>
                <w:p w14:paraId="5DC5FEE1">
                  <w:pPr>
                    <w:pStyle w:val="129"/>
                    <w:keepNext w:val="0"/>
                    <w:keepLines w:val="0"/>
                    <w:suppressLineNumbers w:val="0"/>
                    <w:spacing w:before="0" w:beforeAutospacing="0" w:after="0" w:afterAutospacing="0"/>
                    <w:ind w:left="0" w:right="0"/>
                    <w:rPr>
                      <w:rFonts w:hint="default" w:ascii="Times New Roman" w:hAnsi="Times New Roman" w:eastAsia="宋体" w:cs="Times New Roman"/>
                      <w:color w:val="auto"/>
                      <w:kern w:val="0"/>
                      <w:sz w:val="21"/>
                      <w:szCs w:val="21"/>
                      <w:highlight w:val="none"/>
                      <w:lang w:val="en-US" w:eastAsia="zh-CN" w:bidi="ar-SA"/>
                    </w:rPr>
                  </w:pPr>
                  <w:r>
                    <w:rPr>
                      <w:rFonts w:hint="eastAsia" w:cs="Times New Roman"/>
                      <w:color w:val="auto"/>
                      <w:kern w:val="0"/>
                      <w:sz w:val="21"/>
                      <w:szCs w:val="21"/>
                      <w:highlight w:val="none"/>
                      <w:lang w:val="en-US" w:eastAsia="zh-CN" w:bidi="ar-SA"/>
                    </w:rPr>
                    <w:t>14</w:t>
                  </w:r>
                </w:p>
              </w:tc>
              <w:tc>
                <w:tcPr>
                  <w:tcW w:w="728" w:type="pct"/>
                  <w:tcBorders>
                    <w:tl2br w:val="nil"/>
                    <w:tr2bl w:val="nil"/>
                  </w:tcBorders>
                  <w:vAlign w:val="center"/>
                </w:tcPr>
                <w:p w14:paraId="0CFE892A">
                  <w:pPr>
                    <w:pStyle w:val="129"/>
                    <w:keepNext w:val="0"/>
                    <w:keepLines w:val="0"/>
                    <w:suppressLineNumbers w:val="0"/>
                    <w:spacing w:before="0" w:beforeAutospacing="0" w:after="0" w:afterAutospacing="0"/>
                    <w:ind w:left="0" w:right="0"/>
                    <w:rPr>
                      <w:rFonts w:hint="default" w:ascii="Times New Roman" w:hAnsi="Times New Roman" w:eastAsia="宋体" w:cs="Times New Roman"/>
                      <w:color w:val="auto"/>
                      <w:sz w:val="21"/>
                      <w:szCs w:val="21"/>
                      <w:highlight w:val="none"/>
                    </w:rPr>
                  </w:pPr>
                  <w:r>
                    <w:rPr>
                      <w:rFonts w:hint="eastAsia" w:ascii="Times New Roman" w:hAnsi="Times New Roman" w:eastAsia="宋体" w:cs="Times New Roman"/>
                      <w:color w:val="auto"/>
                      <w:sz w:val="21"/>
                      <w:szCs w:val="21"/>
                      <w:highlight w:val="none"/>
                    </w:rPr>
                    <w:t>化学性</w:t>
                  </w:r>
                  <w:r>
                    <w:rPr>
                      <w:rFonts w:hint="default" w:ascii="Times New Roman" w:hAnsi="Times New Roman" w:eastAsia="宋体" w:cs="Times New Roman"/>
                      <w:color w:val="auto"/>
                      <w:sz w:val="21"/>
                      <w:szCs w:val="21"/>
                      <w:highlight w:val="none"/>
                    </w:rPr>
                    <w:t>废物</w:t>
                  </w:r>
                </w:p>
              </w:tc>
              <w:tc>
                <w:tcPr>
                  <w:tcW w:w="544" w:type="pct"/>
                  <w:tcBorders>
                    <w:tl2br w:val="nil"/>
                    <w:tr2bl w:val="nil"/>
                  </w:tcBorders>
                  <w:vAlign w:val="center"/>
                </w:tcPr>
                <w:p w14:paraId="29526D42">
                  <w:pPr>
                    <w:pStyle w:val="129"/>
                    <w:keepNext w:val="0"/>
                    <w:keepLines w:val="0"/>
                    <w:suppressLineNumbers w:val="0"/>
                    <w:spacing w:before="0" w:beforeAutospacing="0" w:after="0" w:afterAutospacing="0"/>
                    <w:ind w:left="0" w:right="0"/>
                    <w:rPr>
                      <w:rFonts w:hint="default" w:ascii="Times New Roman" w:hAnsi="Times New Roman" w:eastAsia="宋体" w:cs="Times New Roman"/>
                      <w:color w:val="auto"/>
                      <w:sz w:val="21"/>
                      <w:szCs w:val="21"/>
                      <w:highlight w:val="none"/>
                    </w:rPr>
                  </w:pPr>
                  <w:r>
                    <w:rPr>
                      <w:rFonts w:hint="eastAsia" w:ascii="Times New Roman" w:hAnsi="Times New Roman" w:eastAsia="宋体" w:cs="Times New Roman"/>
                      <w:color w:val="auto"/>
                      <w:sz w:val="21"/>
                      <w:szCs w:val="21"/>
                      <w:highlight w:val="none"/>
                    </w:rPr>
                    <w:t>HW</w:t>
                  </w:r>
                  <w:r>
                    <w:rPr>
                      <w:rFonts w:hint="default" w:ascii="Times New Roman" w:hAnsi="Times New Roman" w:eastAsia="宋体" w:cs="Times New Roman"/>
                      <w:color w:val="auto"/>
                      <w:sz w:val="21"/>
                      <w:szCs w:val="21"/>
                      <w:highlight w:val="none"/>
                    </w:rPr>
                    <w:t>01</w:t>
                  </w:r>
                </w:p>
              </w:tc>
              <w:tc>
                <w:tcPr>
                  <w:tcW w:w="726" w:type="pct"/>
                  <w:tcBorders>
                    <w:tl2br w:val="nil"/>
                    <w:tr2bl w:val="nil"/>
                  </w:tcBorders>
                  <w:vAlign w:val="center"/>
                </w:tcPr>
                <w:p w14:paraId="38C54E67">
                  <w:pPr>
                    <w:pStyle w:val="129"/>
                    <w:keepNext w:val="0"/>
                    <w:keepLines w:val="0"/>
                    <w:suppressLineNumbers w:val="0"/>
                    <w:spacing w:before="0" w:beforeAutospacing="0" w:after="0" w:afterAutospacing="0"/>
                    <w:ind w:left="0" w:right="0"/>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841-004-01</w:t>
                  </w:r>
                </w:p>
              </w:tc>
              <w:tc>
                <w:tcPr>
                  <w:tcW w:w="461" w:type="pct"/>
                  <w:tcBorders>
                    <w:tl2br w:val="nil"/>
                    <w:tr2bl w:val="nil"/>
                  </w:tcBorders>
                  <w:vAlign w:val="center"/>
                </w:tcPr>
                <w:p w14:paraId="39A83286">
                  <w:pPr>
                    <w:pStyle w:val="129"/>
                    <w:keepNext w:val="0"/>
                    <w:keepLines w:val="0"/>
                    <w:suppressLineNumbers w:val="0"/>
                    <w:spacing w:before="0" w:beforeAutospacing="0" w:after="0" w:afterAutospacing="0"/>
                    <w:ind w:left="0" w:right="0"/>
                    <w:rPr>
                      <w:rFonts w:hint="default" w:ascii="Times New Roman" w:hAnsi="Times New Roman" w:eastAsia="宋体" w:cs="Times New Roman"/>
                      <w:color w:val="auto"/>
                      <w:sz w:val="21"/>
                      <w:szCs w:val="21"/>
                      <w:highlight w:val="none"/>
                    </w:rPr>
                  </w:pPr>
                  <w:r>
                    <w:rPr>
                      <w:rFonts w:hint="eastAsia" w:ascii="Times New Roman" w:hAnsi="Times New Roman" w:eastAsia="宋体" w:cs="Times New Roman"/>
                      <w:color w:val="auto"/>
                      <w:sz w:val="21"/>
                      <w:szCs w:val="21"/>
                      <w:highlight w:val="none"/>
                    </w:rPr>
                    <w:t>0.</w:t>
                  </w:r>
                  <w:r>
                    <w:rPr>
                      <w:rFonts w:hint="eastAsia" w:cs="Times New Roman"/>
                      <w:color w:val="auto"/>
                      <w:sz w:val="21"/>
                      <w:szCs w:val="21"/>
                      <w:highlight w:val="none"/>
                      <w:lang w:val="en-US" w:eastAsia="zh-CN"/>
                    </w:rPr>
                    <w:t>0</w:t>
                  </w:r>
                  <w:r>
                    <w:rPr>
                      <w:rFonts w:hint="eastAsia" w:ascii="Times New Roman" w:hAnsi="Times New Roman" w:eastAsia="宋体" w:cs="Times New Roman"/>
                      <w:color w:val="auto"/>
                      <w:sz w:val="21"/>
                      <w:szCs w:val="21"/>
                      <w:highlight w:val="none"/>
                    </w:rPr>
                    <w:t>5</w:t>
                  </w:r>
                </w:p>
              </w:tc>
              <w:tc>
                <w:tcPr>
                  <w:tcW w:w="472" w:type="pct"/>
                  <w:tcBorders>
                    <w:tl2br w:val="nil"/>
                    <w:tr2bl w:val="nil"/>
                  </w:tcBorders>
                  <w:vAlign w:val="center"/>
                </w:tcPr>
                <w:p w14:paraId="03F697C1">
                  <w:pPr>
                    <w:keepNext w:val="0"/>
                    <w:keepLines w:val="0"/>
                    <w:suppressLineNumbers w:val="0"/>
                    <w:spacing w:before="0" w:beforeAutospacing="0" w:after="0" w:afterAutospacing="0"/>
                    <w:ind w:left="0" w:right="0"/>
                    <w:jc w:val="center"/>
                    <w:rPr>
                      <w:rFonts w:hint="eastAsia" w:ascii="Times New Roman" w:hAnsi="Times New Roman" w:eastAsia="宋体" w:cs="Times New Roman"/>
                      <w:color w:val="auto"/>
                      <w:kern w:val="0"/>
                      <w:sz w:val="21"/>
                      <w:szCs w:val="21"/>
                      <w:highlight w:val="none"/>
                      <w:lang w:val="en-US" w:eastAsia="zh-CN" w:bidi="ar-SA"/>
                    </w:rPr>
                  </w:pPr>
                  <w:r>
                    <w:rPr>
                      <w:rFonts w:hint="eastAsia" w:ascii="Times New Roman" w:hAnsi="Times New Roman" w:eastAsia="宋体" w:cs="Times New Roman"/>
                      <w:color w:val="auto"/>
                      <w:kern w:val="0"/>
                      <w:sz w:val="21"/>
                      <w:szCs w:val="21"/>
                      <w:highlight w:val="none"/>
                      <w:lang w:val="en-US" w:eastAsia="zh-CN" w:bidi="ar-SA"/>
                    </w:rPr>
                    <w:t>≤30d</w:t>
                  </w:r>
                </w:p>
              </w:tc>
              <w:tc>
                <w:tcPr>
                  <w:tcW w:w="544" w:type="pct"/>
                  <w:tcBorders>
                    <w:tl2br w:val="nil"/>
                    <w:tr2bl w:val="nil"/>
                  </w:tcBorders>
                  <w:vAlign w:val="center"/>
                </w:tcPr>
                <w:p w14:paraId="25E65562">
                  <w:pPr>
                    <w:pStyle w:val="129"/>
                    <w:keepNext w:val="0"/>
                    <w:keepLines w:val="0"/>
                    <w:suppressLineNumbers w:val="0"/>
                    <w:spacing w:before="0" w:beforeAutospacing="0" w:after="0" w:afterAutospacing="0"/>
                    <w:ind w:left="0" w:right="0"/>
                    <w:rPr>
                      <w:rFonts w:hint="eastAsia" w:ascii="Times New Roman" w:hAnsi="Times New Roman" w:eastAsia="宋体" w:cs="Times New Roman"/>
                      <w:color w:val="auto"/>
                      <w:sz w:val="21"/>
                      <w:szCs w:val="21"/>
                      <w:highlight w:val="none"/>
                    </w:rPr>
                  </w:pPr>
                  <w:r>
                    <w:rPr>
                      <w:rFonts w:hint="eastAsia" w:ascii="Times New Roman" w:hAnsi="Times New Roman" w:eastAsia="宋体" w:cs="Times New Roman"/>
                      <w:color w:val="auto"/>
                      <w:sz w:val="21"/>
                      <w:szCs w:val="21"/>
                      <w:highlight w:val="none"/>
                      <w:lang w:val="en-US" w:eastAsia="zh-CN"/>
                    </w:rPr>
                    <w:t>0.</w:t>
                  </w:r>
                  <w:r>
                    <w:rPr>
                      <w:rFonts w:hint="eastAsia" w:cs="Times New Roman"/>
                      <w:color w:val="auto"/>
                      <w:sz w:val="21"/>
                      <w:szCs w:val="21"/>
                      <w:highlight w:val="none"/>
                      <w:lang w:val="en-US" w:eastAsia="zh-CN"/>
                    </w:rPr>
                    <w:t>0</w:t>
                  </w:r>
                  <w:r>
                    <w:rPr>
                      <w:rFonts w:hint="eastAsia" w:ascii="Times New Roman" w:hAnsi="Times New Roman" w:eastAsia="宋体" w:cs="Times New Roman"/>
                      <w:color w:val="auto"/>
                      <w:sz w:val="21"/>
                      <w:szCs w:val="21"/>
                      <w:highlight w:val="none"/>
                      <w:lang w:val="en-US" w:eastAsia="zh-CN"/>
                    </w:rPr>
                    <w:t xml:space="preserve">04t </w:t>
                  </w:r>
                </w:p>
              </w:tc>
              <w:tc>
                <w:tcPr>
                  <w:tcW w:w="490" w:type="pct"/>
                  <w:tcBorders>
                    <w:tl2br w:val="nil"/>
                    <w:tr2bl w:val="nil"/>
                  </w:tcBorders>
                  <w:vAlign w:val="center"/>
                </w:tcPr>
                <w:p w14:paraId="03AFBE89">
                  <w:pPr>
                    <w:pStyle w:val="129"/>
                    <w:keepNext w:val="0"/>
                    <w:keepLines w:val="0"/>
                    <w:suppressLineNumbers w:val="0"/>
                    <w:spacing w:before="0" w:beforeAutospacing="0" w:after="0" w:afterAutospacing="0"/>
                    <w:ind w:left="0" w:right="0"/>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0.5</w:t>
                  </w:r>
                  <w:r>
                    <w:rPr>
                      <w:rFonts w:hint="eastAsia" w:ascii="Times New Roman" w:hAnsi="Times New Roman" w:eastAsia="宋体" w:cs="Times New Roman"/>
                      <w:color w:val="auto"/>
                      <w:sz w:val="21"/>
                      <w:szCs w:val="21"/>
                      <w:highlight w:val="none"/>
                    </w:rPr>
                    <w:t>m</w:t>
                  </w:r>
                  <w:r>
                    <w:rPr>
                      <w:rFonts w:hint="eastAsia" w:ascii="Times New Roman" w:hAnsi="Times New Roman" w:eastAsia="宋体" w:cs="Times New Roman"/>
                      <w:color w:val="auto"/>
                      <w:sz w:val="21"/>
                      <w:szCs w:val="21"/>
                      <w:highlight w:val="none"/>
                      <w:vertAlign w:val="superscript"/>
                    </w:rPr>
                    <w:t>2</w:t>
                  </w:r>
                </w:p>
              </w:tc>
              <w:tc>
                <w:tcPr>
                  <w:tcW w:w="673" w:type="pct"/>
                  <w:vMerge w:val="continue"/>
                  <w:tcBorders>
                    <w:tl2br w:val="nil"/>
                    <w:tr2bl w:val="nil"/>
                  </w:tcBorders>
                  <w:vAlign w:val="center"/>
                </w:tcPr>
                <w:p w14:paraId="0D401A6F">
                  <w:pPr>
                    <w:pStyle w:val="129"/>
                    <w:keepNext w:val="0"/>
                    <w:keepLines w:val="0"/>
                    <w:suppressLineNumbers w:val="0"/>
                    <w:spacing w:before="0" w:beforeAutospacing="0" w:after="0" w:afterAutospacing="0"/>
                    <w:ind w:left="0" w:right="0"/>
                    <w:rPr>
                      <w:rFonts w:hint="default" w:ascii="Times New Roman" w:hAnsi="Times New Roman" w:eastAsia="宋体" w:cs="Times New Roman"/>
                      <w:color w:val="auto"/>
                      <w:sz w:val="21"/>
                      <w:szCs w:val="21"/>
                      <w:highlight w:val="none"/>
                    </w:rPr>
                  </w:pPr>
                </w:p>
              </w:tc>
            </w:tr>
            <w:tr w14:paraId="6809C74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340" w:hRule="atLeast"/>
                <w:jc w:val="center"/>
              </w:trPr>
              <w:tc>
                <w:tcPr>
                  <w:tcW w:w="1086" w:type="pct"/>
                  <w:gridSpan w:val="2"/>
                  <w:tcBorders>
                    <w:tl2br w:val="nil"/>
                    <w:tr2bl w:val="nil"/>
                  </w:tcBorders>
                  <w:vAlign w:val="center"/>
                </w:tcPr>
                <w:p w14:paraId="1A7B51A9">
                  <w:pPr>
                    <w:pStyle w:val="129"/>
                    <w:keepNext w:val="0"/>
                    <w:keepLines w:val="0"/>
                    <w:suppressLineNumbers w:val="0"/>
                    <w:spacing w:before="0" w:beforeAutospacing="0" w:after="0" w:afterAutospacing="0"/>
                    <w:ind w:left="0" w:right="0"/>
                    <w:rPr>
                      <w:rFonts w:hint="eastAsia" w:ascii="Times New Roman" w:hAnsi="Times New Roman" w:eastAsia="宋体" w:cs="Times New Roman"/>
                      <w:color w:val="auto"/>
                      <w:sz w:val="21"/>
                      <w:szCs w:val="21"/>
                      <w:highlight w:val="none"/>
                      <w:lang w:val="en-US" w:eastAsia="zh-CN"/>
                    </w:rPr>
                  </w:pPr>
                  <w:r>
                    <w:rPr>
                      <w:rFonts w:hint="eastAsia" w:ascii="Times New Roman" w:hAnsi="Times New Roman" w:eastAsia="宋体" w:cs="Times New Roman"/>
                      <w:color w:val="auto"/>
                      <w:sz w:val="21"/>
                      <w:szCs w:val="21"/>
                      <w:highlight w:val="none"/>
                      <w:lang w:val="en-US" w:eastAsia="zh-CN"/>
                    </w:rPr>
                    <w:t>小计</w:t>
                  </w:r>
                </w:p>
              </w:tc>
              <w:tc>
                <w:tcPr>
                  <w:tcW w:w="544" w:type="pct"/>
                  <w:tcBorders>
                    <w:tl2br w:val="nil"/>
                    <w:tr2bl w:val="nil"/>
                  </w:tcBorders>
                  <w:vAlign w:val="center"/>
                </w:tcPr>
                <w:p w14:paraId="4B1F1D38">
                  <w:pPr>
                    <w:pStyle w:val="129"/>
                    <w:keepNext w:val="0"/>
                    <w:keepLines w:val="0"/>
                    <w:suppressLineNumbers w:val="0"/>
                    <w:spacing w:before="0" w:beforeAutospacing="0" w:after="0" w:afterAutospacing="0"/>
                    <w:ind w:left="0" w:right="0"/>
                    <w:jc w:val="center"/>
                    <w:rPr>
                      <w:rFonts w:hint="eastAsia" w:ascii="Times New Roman" w:hAnsi="Times New Roman" w:eastAsia="宋体" w:cs="Times New Roman"/>
                      <w:color w:val="auto"/>
                      <w:sz w:val="21"/>
                      <w:szCs w:val="21"/>
                      <w:highlight w:val="none"/>
                      <w:lang w:val="en-US" w:eastAsia="zh-CN"/>
                    </w:rPr>
                  </w:pPr>
                  <w:r>
                    <w:rPr>
                      <w:rFonts w:hint="eastAsia" w:ascii="Times New Roman" w:hAnsi="Times New Roman" w:eastAsia="宋体" w:cs="Times New Roman"/>
                      <w:color w:val="auto"/>
                      <w:sz w:val="21"/>
                      <w:szCs w:val="21"/>
                      <w:highlight w:val="none"/>
                      <w:lang w:val="en-US" w:eastAsia="zh-CN"/>
                    </w:rPr>
                    <w:t>/</w:t>
                  </w:r>
                </w:p>
              </w:tc>
              <w:tc>
                <w:tcPr>
                  <w:tcW w:w="726" w:type="pct"/>
                  <w:tcBorders>
                    <w:tl2br w:val="nil"/>
                    <w:tr2bl w:val="nil"/>
                  </w:tcBorders>
                  <w:vAlign w:val="center"/>
                </w:tcPr>
                <w:p w14:paraId="3EA48709">
                  <w:pPr>
                    <w:keepNext w:val="0"/>
                    <w:keepLines w:val="0"/>
                    <w:suppressLineNumbers w:val="0"/>
                    <w:spacing w:before="0" w:beforeAutospacing="0" w:after="0" w:afterAutospacing="0"/>
                    <w:ind w:left="0" w:right="0"/>
                    <w:jc w:val="center"/>
                    <w:rPr>
                      <w:rFonts w:hint="eastAsia" w:ascii="Times New Roman" w:hAnsi="Times New Roman" w:eastAsia="宋体" w:cs="Times New Roman"/>
                      <w:color w:val="auto"/>
                      <w:sz w:val="21"/>
                      <w:szCs w:val="21"/>
                      <w:highlight w:val="none"/>
                      <w:lang w:eastAsia="zh-CN"/>
                    </w:rPr>
                  </w:pPr>
                  <w:r>
                    <w:rPr>
                      <w:rFonts w:hint="eastAsia" w:ascii="Times New Roman" w:hAnsi="Times New Roman" w:eastAsia="宋体" w:cs="Times New Roman"/>
                      <w:color w:val="auto"/>
                      <w:sz w:val="21"/>
                      <w:szCs w:val="21"/>
                      <w:highlight w:val="none"/>
                      <w:lang w:val="en-US" w:eastAsia="zh-CN"/>
                    </w:rPr>
                    <w:t>/</w:t>
                  </w:r>
                </w:p>
              </w:tc>
              <w:tc>
                <w:tcPr>
                  <w:tcW w:w="461" w:type="pct"/>
                  <w:tcBorders>
                    <w:tl2br w:val="nil"/>
                    <w:tr2bl w:val="nil"/>
                  </w:tcBorders>
                  <w:vAlign w:val="center"/>
                </w:tcPr>
                <w:p w14:paraId="00330E47">
                  <w:pPr>
                    <w:keepNext w:val="0"/>
                    <w:keepLines w:val="0"/>
                    <w:suppressLineNumbers w:val="0"/>
                    <w:spacing w:before="0" w:beforeAutospacing="0" w:after="0" w:afterAutospacing="0"/>
                    <w:ind w:left="0" w:right="0"/>
                    <w:jc w:val="center"/>
                    <w:rPr>
                      <w:rFonts w:hint="eastAsia" w:ascii="Times New Roman" w:hAnsi="Times New Roman" w:eastAsia="宋体" w:cs="Times New Roman"/>
                      <w:color w:val="auto"/>
                      <w:sz w:val="21"/>
                      <w:szCs w:val="21"/>
                      <w:highlight w:val="none"/>
                      <w:lang w:eastAsia="zh-CN"/>
                    </w:rPr>
                  </w:pPr>
                  <w:r>
                    <w:rPr>
                      <w:rFonts w:hint="eastAsia" w:ascii="Times New Roman" w:hAnsi="Times New Roman" w:eastAsia="宋体" w:cs="Times New Roman"/>
                      <w:color w:val="auto"/>
                      <w:sz w:val="21"/>
                      <w:szCs w:val="21"/>
                      <w:highlight w:val="none"/>
                      <w:lang w:val="en-US" w:eastAsia="zh-CN"/>
                    </w:rPr>
                    <w:t>/</w:t>
                  </w:r>
                </w:p>
              </w:tc>
              <w:tc>
                <w:tcPr>
                  <w:tcW w:w="472" w:type="pct"/>
                  <w:tcBorders>
                    <w:tl2br w:val="nil"/>
                    <w:tr2bl w:val="nil"/>
                  </w:tcBorders>
                  <w:vAlign w:val="center"/>
                </w:tcPr>
                <w:p w14:paraId="4899A44A">
                  <w:pPr>
                    <w:keepNext w:val="0"/>
                    <w:keepLines w:val="0"/>
                    <w:suppressLineNumbers w:val="0"/>
                    <w:spacing w:before="0" w:beforeAutospacing="0" w:after="0" w:afterAutospacing="0"/>
                    <w:ind w:left="0" w:right="0"/>
                    <w:jc w:val="center"/>
                    <w:rPr>
                      <w:rFonts w:hint="eastAsia" w:ascii="Times New Roman" w:hAnsi="Times New Roman" w:eastAsia="宋体" w:cs="Times New Roman"/>
                      <w:color w:val="auto"/>
                      <w:kern w:val="0"/>
                      <w:sz w:val="21"/>
                      <w:szCs w:val="21"/>
                      <w:highlight w:val="none"/>
                      <w:lang w:val="en-US" w:eastAsia="zh-CN" w:bidi="ar-SA"/>
                    </w:rPr>
                  </w:pPr>
                  <w:r>
                    <w:rPr>
                      <w:rFonts w:hint="eastAsia" w:ascii="Times New Roman" w:hAnsi="Times New Roman" w:eastAsia="宋体" w:cs="Times New Roman"/>
                      <w:color w:val="auto"/>
                      <w:sz w:val="21"/>
                      <w:szCs w:val="21"/>
                      <w:highlight w:val="none"/>
                      <w:lang w:val="en-US" w:eastAsia="zh-CN"/>
                    </w:rPr>
                    <w:t>/</w:t>
                  </w:r>
                </w:p>
              </w:tc>
              <w:tc>
                <w:tcPr>
                  <w:tcW w:w="544" w:type="pct"/>
                  <w:tcBorders>
                    <w:tl2br w:val="nil"/>
                    <w:tr2bl w:val="nil"/>
                  </w:tcBorders>
                  <w:vAlign w:val="center"/>
                </w:tcPr>
                <w:p w14:paraId="0404E120">
                  <w:pPr>
                    <w:keepNext w:val="0"/>
                    <w:keepLines w:val="0"/>
                    <w:suppressLineNumbers w:val="0"/>
                    <w:spacing w:before="0" w:beforeAutospacing="0" w:after="0" w:afterAutospacing="0"/>
                    <w:ind w:left="0" w:right="0"/>
                    <w:jc w:val="center"/>
                    <w:rPr>
                      <w:rFonts w:hint="eastAsia" w:ascii="Times New Roman" w:hAnsi="Times New Roman" w:eastAsia="宋体" w:cs="Times New Roman"/>
                      <w:color w:val="auto"/>
                      <w:sz w:val="21"/>
                      <w:szCs w:val="21"/>
                      <w:highlight w:val="none"/>
                      <w:lang w:val="en-US" w:eastAsia="zh-CN"/>
                    </w:rPr>
                  </w:pPr>
                  <w:r>
                    <w:rPr>
                      <w:rFonts w:hint="eastAsia" w:ascii="Times New Roman" w:hAnsi="Times New Roman" w:eastAsia="宋体" w:cs="Times New Roman"/>
                      <w:color w:val="auto"/>
                      <w:sz w:val="21"/>
                      <w:szCs w:val="21"/>
                      <w:highlight w:val="none"/>
                      <w:lang w:val="en-US" w:eastAsia="zh-CN"/>
                    </w:rPr>
                    <w:t>/</w:t>
                  </w:r>
                </w:p>
              </w:tc>
              <w:tc>
                <w:tcPr>
                  <w:tcW w:w="490" w:type="pct"/>
                  <w:tcBorders>
                    <w:tl2br w:val="nil"/>
                    <w:tr2bl w:val="nil"/>
                  </w:tcBorders>
                  <w:vAlign w:val="center"/>
                </w:tcPr>
                <w:p w14:paraId="1679B44B">
                  <w:pPr>
                    <w:pStyle w:val="129"/>
                    <w:keepNext w:val="0"/>
                    <w:keepLines w:val="0"/>
                    <w:suppressLineNumbers w:val="0"/>
                    <w:spacing w:before="0" w:beforeAutospacing="0" w:after="0" w:afterAutospacing="0"/>
                    <w:ind w:left="0" w:right="0"/>
                    <w:rPr>
                      <w:rFonts w:hint="default" w:ascii="Times New Roman" w:hAnsi="Times New Roman" w:eastAsia="宋体" w:cs="Times New Roman"/>
                      <w:color w:val="auto"/>
                      <w:sz w:val="21"/>
                      <w:szCs w:val="21"/>
                      <w:highlight w:val="none"/>
                      <w:lang w:val="en-US" w:eastAsia="zh-CN"/>
                    </w:rPr>
                  </w:pPr>
                  <w:r>
                    <w:rPr>
                      <w:rFonts w:hint="eastAsia" w:cs="Times New Roman"/>
                      <w:b/>
                      <w:bCs/>
                      <w:color w:val="auto"/>
                      <w:sz w:val="21"/>
                      <w:szCs w:val="21"/>
                      <w:highlight w:val="none"/>
                      <w:lang w:val="en-US" w:eastAsia="zh-CN"/>
                    </w:rPr>
                    <w:t>29</w:t>
                  </w:r>
                  <w:r>
                    <w:rPr>
                      <w:rFonts w:hint="default" w:ascii="Times New Roman" w:hAnsi="Times New Roman" w:eastAsia="宋体" w:cs="Times New Roman"/>
                      <w:b/>
                      <w:bCs/>
                      <w:color w:val="auto"/>
                      <w:sz w:val="21"/>
                      <w:szCs w:val="21"/>
                      <w:highlight w:val="none"/>
                    </w:rPr>
                    <w:t>m</w:t>
                  </w:r>
                  <w:r>
                    <w:rPr>
                      <w:rFonts w:hint="default" w:ascii="Times New Roman" w:hAnsi="Times New Roman" w:eastAsia="宋体" w:cs="Times New Roman"/>
                      <w:b/>
                      <w:bCs/>
                      <w:color w:val="auto"/>
                      <w:sz w:val="21"/>
                      <w:szCs w:val="21"/>
                      <w:highlight w:val="none"/>
                      <w:vertAlign w:val="superscript"/>
                    </w:rPr>
                    <w:t>2</w:t>
                  </w:r>
                </w:p>
              </w:tc>
              <w:tc>
                <w:tcPr>
                  <w:tcW w:w="673" w:type="pct"/>
                  <w:vMerge w:val="continue"/>
                  <w:tcBorders>
                    <w:tl2br w:val="nil"/>
                    <w:tr2bl w:val="nil"/>
                  </w:tcBorders>
                  <w:vAlign w:val="center"/>
                </w:tcPr>
                <w:p w14:paraId="4373707D">
                  <w:pPr>
                    <w:pStyle w:val="129"/>
                    <w:keepNext w:val="0"/>
                    <w:keepLines w:val="0"/>
                    <w:suppressLineNumbers w:val="0"/>
                    <w:spacing w:before="0" w:beforeAutospacing="0" w:after="0" w:afterAutospacing="0"/>
                    <w:ind w:left="0" w:right="0"/>
                    <w:rPr>
                      <w:rFonts w:hint="default" w:ascii="Times New Roman" w:hAnsi="Times New Roman" w:eastAsia="宋体" w:cs="Times New Roman"/>
                      <w:color w:val="auto"/>
                      <w:sz w:val="21"/>
                      <w:szCs w:val="21"/>
                      <w:highlight w:val="none"/>
                    </w:rPr>
                  </w:pPr>
                </w:p>
              </w:tc>
            </w:tr>
            <w:tr w14:paraId="6F59428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340" w:hRule="atLeast"/>
                <w:jc w:val="center"/>
              </w:trPr>
              <w:tc>
                <w:tcPr>
                  <w:tcW w:w="358" w:type="pct"/>
                  <w:tcBorders>
                    <w:tl2br w:val="nil"/>
                    <w:tr2bl w:val="nil"/>
                  </w:tcBorders>
                  <w:shd w:val="clear" w:color="auto" w:fill="auto"/>
                  <w:vAlign w:val="center"/>
                </w:tcPr>
                <w:p w14:paraId="14C4FEA0">
                  <w:pPr>
                    <w:pStyle w:val="129"/>
                    <w:keepNext w:val="0"/>
                    <w:keepLines w:val="0"/>
                    <w:suppressLineNumbers w:val="0"/>
                    <w:spacing w:before="0" w:beforeAutospacing="0" w:after="0" w:afterAutospacing="0"/>
                    <w:ind w:left="0" w:leftChars="0" w:right="0" w:rightChars="0"/>
                    <w:rPr>
                      <w:rFonts w:hint="default" w:ascii="Times New Roman" w:hAnsi="Times New Roman" w:eastAsia="宋体" w:cs="Times New Roman"/>
                      <w:color w:val="auto"/>
                      <w:kern w:val="0"/>
                      <w:sz w:val="21"/>
                      <w:szCs w:val="21"/>
                      <w:highlight w:val="none"/>
                      <w:lang w:val="en-US" w:eastAsia="zh-CN" w:bidi="ar-SA"/>
                    </w:rPr>
                  </w:pPr>
                  <w:r>
                    <w:rPr>
                      <w:rFonts w:hint="eastAsia" w:ascii="Times New Roman" w:hAnsi="Times New Roman" w:eastAsia="宋体" w:cs="Times New Roman"/>
                      <w:color w:val="auto"/>
                      <w:sz w:val="21"/>
                      <w:szCs w:val="21"/>
                      <w:highlight w:val="none"/>
                      <w:lang w:val="en-US" w:eastAsia="zh-CN"/>
                    </w:rPr>
                    <w:t>15</w:t>
                  </w:r>
                </w:p>
              </w:tc>
              <w:tc>
                <w:tcPr>
                  <w:tcW w:w="728" w:type="pct"/>
                  <w:tcBorders>
                    <w:tl2br w:val="nil"/>
                    <w:tr2bl w:val="nil"/>
                  </w:tcBorders>
                  <w:vAlign w:val="center"/>
                </w:tcPr>
                <w:p w14:paraId="5C46F04A">
                  <w:pPr>
                    <w:pStyle w:val="129"/>
                    <w:keepNext w:val="0"/>
                    <w:keepLines w:val="0"/>
                    <w:suppressLineNumbers w:val="0"/>
                    <w:spacing w:before="0" w:beforeAutospacing="0" w:after="0" w:afterAutospacing="0"/>
                    <w:ind w:left="0" w:right="0"/>
                    <w:rPr>
                      <w:rFonts w:hint="eastAsia"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废活性炭</w:t>
                  </w:r>
                </w:p>
              </w:tc>
              <w:tc>
                <w:tcPr>
                  <w:tcW w:w="544" w:type="pct"/>
                  <w:tcBorders>
                    <w:tl2br w:val="nil"/>
                    <w:tr2bl w:val="nil"/>
                  </w:tcBorders>
                  <w:shd w:val="clear" w:color="auto" w:fill="auto"/>
                  <w:vAlign w:val="center"/>
                </w:tcPr>
                <w:p w14:paraId="753741BD">
                  <w:pPr>
                    <w:pStyle w:val="129"/>
                    <w:keepNext w:val="0"/>
                    <w:keepLines w:val="0"/>
                    <w:suppressLineNumbers w:val="0"/>
                    <w:spacing w:before="0" w:beforeAutospacing="0" w:after="0" w:afterAutospacing="0"/>
                    <w:ind w:left="0" w:right="0"/>
                    <w:rPr>
                      <w:rFonts w:hint="eastAsia" w:ascii="Times New Roman" w:hAnsi="Times New Roman" w:eastAsia="宋体" w:cs="Times New Roman"/>
                      <w:color w:val="auto"/>
                      <w:kern w:val="0"/>
                      <w:sz w:val="21"/>
                      <w:szCs w:val="21"/>
                      <w:highlight w:val="none"/>
                      <w:lang w:val="en-US" w:eastAsia="zh-CN" w:bidi="ar-SA"/>
                    </w:rPr>
                  </w:pPr>
                  <w:r>
                    <w:rPr>
                      <w:rFonts w:hint="default" w:ascii="Times New Roman" w:hAnsi="Times New Roman" w:eastAsia="宋体" w:cs="Times New Roman"/>
                      <w:color w:val="auto"/>
                      <w:sz w:val="21"/>
                      <w:szCs w:val="21"/>
                      <w:highlight w:val="none"/>
                    </w:rPr>
                    <w:t>HW49</w:t>
                  </w:r>
                </w:p>
              </w:tc>
              <w:tc>
                <w:tcPr>
                  <w:tcW w:w="726" w:type="pct"/>
                  <w:tcBorders>
                    <w:tl2br w:val="nil"/>
                    <w:tr2bl w:val="nil"/>
                  </w:tcBorders>
                  <w:shd w:val="clear" w:color="auto" w:fill="auto"/>
                  <w:vAlign w:val="center"/>
                </w:tcPr>
                <w:p w14:paraId="068F1595">
                  <w:pPr>
                    <w:pStyle w:val="129"/>
                    <w:keepNext w:val="0"/>
                    <w:keepLines w:val="0"/>
                    <w:suppressLineNumbers w:val="0"/>
                    <w:spacing w:before="0" w:beforeAutospacing="0" w:after="0" w:afterAutospacing="0"/>
                    <w:ind w:left="0" w:right="0"/>
                    <w:rPr>
                      <w:rFonts w:hint="default" w:ascii="Times New Roman" w:hAnsi="Times New Roman" w:eastAsia="宋体" w:cs="Times New Roman"/>
                      <w:color w:val="auto"/>
                      <w:kern w:val="0"/>
                      <w:sz w:val="21"/>
                      <w:szCs w:val="21"/>
                      <w:highlight w:val="none"/>
                      <w:lang w:val="en-US" w:eastAsia="zh-CN" w:bidi="ar-SA"/>
                    </w:rPr>
                  </w:pPr>
                  <w:r>
                    <w:rPr>
                      <w:rFonts w:hint="default" w:ascii="Times New Roman" w:hAnsi="Times New Roman" w:eastAsia="宋体" w:cs="Times New Roman"/>
                      <w:color w:val="auto"/>
                      <w:sz w:val="21"/>
                      <w:szCs w:val="21"/>
                      <w:highlight w:val="none"/>
                    </w:rPr>
                    <w:t>900-039-49</w:t>
                  </w:r>
                </w:p>
              </w:tc>
              <w:tc>
                <w:tcPr>
                  <w:tcW w:w="461" w:type="pct"/>
                  <w:tcBorders>
                    <w:tl2br w:val="nil"/>
                    <w:tr2bl w:val="nil"/>
                  </w:tcBorders>
                  <w:vAlign w:val="center"/>
                </w:tcPr>
                <w:p w14:paraId="7A66C9AF">
                  <w:pPr>
                    <w:pStyle w:val="129"/>
                    <w:keepNext w:val="0"/>
                    <w:keepLines w:val="0"/>
                    <w:suppressLineNumbers w:val="0"/>
                    <w:spacing w:before="0" w:beforeAutospacing="0" w:after="0" w:afterAutospacing="0"/>
                    <w:ind w:left="0" w:right="0"/>
                    <w:rPr>
                      <w:rFonts w:hint="default" w:ascii="Times New Roman" w:hAnsi="Times New Roman" w:eastAsia="宋体" w:cs="Times New Roman"/>
                      <w:color w:val="auto"/>
                      <w:sz w:val="21"/>
                      <w:szCs w:val="21"/>
                      <w:highlight w:val="none"/>
                      <w:lang w:val="en-US" w:eastAsia="zh-CN"/>
                    </w:rPr>
                  </w:pPr>
                  <w:r>
                    <w:rPr>
                      <w:rFonts w:hint="eastAsia" w:cs="Times New Roman"/>
                      <w:color w:val="auto"/>
                      <w:sz w:val="21"/>
                      <w:szCs w:val="21"/>
                      <w:highlight w:val="none"/>
                      <w:lang w:val="en-US" w:eastAsia="zh-CN"/>
                    </w:rPr>
                    <w:t>36</w:t>
                  </w:r>
                </w:p>
              </w:tc>
              <w:tc>
                <w:tcPr>
                  <w:tcW w:w="472" w:type="pct"/>
                  <w:tcBorders>
                    <w:tl2br w:val="nil"/>
                    <w:tr2bl w:val="nil"/>
                  </w:tcBorders>
                  <w:shd w:val="clear" w:color="auto" w:fill="auto"/>
                  <w:vAlign w:val="center"/>
                </w:tcPr>
                <w:p w14:paraId="6C3F91CD">
                  <w:pPr>
                    <w:pStyle w:val="129"/>
                    <w:keepNext w:val="0"/>
                    <w:keepLines w:val="0"/>
                    <w:suppressLineNumbers w:val="0"/>
                    <w:spacing w:before="0" w:beforeAutospacing="0" w:after="0" w:afterAutospacing="0"/>
                    <w:ind w:left="0" w:right="0"/>
                    <w:rPr>
                      <w:rFonts w:hint="eastAsia" w:ascii="Times New Roman" w:hAnsi="Times New Roman" w:eastAsia="宋体" w:cs="Times New Roman"/>
                      <w:color w:val="auto"/>
                      <w:kern w:val="0"/>
                      <w:sz w:val="21"/>
                      <w:szCs w:val="21"/>
                      <w:highlight w:val="none"/>
                      <w:lang w:val="en-US" w:eastAsia="zh-CN" w:bidi="ar-SA"/>
                    </w:rPr>
                  </w:pPr>
                  <w:r>
                    <w:rPr>
                      <w:rFonts w:hint="eastAsia" w:ascii="Times New Roman" w:hAnsi="Times New Roman" w:eastAsia="宋体" w:cs="Times New Roman"/>
                      <w:color w:val="auto"/>
                      <w:sz w:val="21"/>
                      <w:szCs w:val="21"/>
                      <w:highlight w:val="none"/>
                    </w:rPr>
                    <w:t>≤</w:t>
                  </w:r>
                  <w:r>
                    <w:rPr>
                      <w:rFonts w:hint="default" w:ascii="Times New Roman" w:hAnsi="Times New Roman" w:eastAsia="宋体" w:cs="Times New Roman"/>
                      <w:color w:val="auto"/>
                      <w:sz w:val="21"/>
                      <w:szCs w:val="21"/>
                      <w:highlight w:val="none"/>
                    </w:rPr>
                    <w:t>180d</w:t>
                  </w:r>
                </w:p>
              </w:tc>
              <w:tc>
                <w:tcPr>
                  <w:tcW w:w="544" w:type="pct"/>
                  <w:tcBorders>
                    <w:tl2br w:val="nil"/>
                    <w:tr2bl w:val="nil"/>
                  </w:tcBorders>
                  <w:shd w:val="clear" w:color="auto" w:fill="auto"/>
                  <w:vAlign w:val="center"/>
                </w:tcPr>
                <w:p w14:paraId="5811FC95">
                  <w:pPr>
                    <w:pStyle w:val="129"/>
                    <w:keepNext w:val="0"/>
                    <w:keepLines w:val="0"/>
                    <w:suppressLineNumbers w:val="0"/>
                    <w:spacing w:before="0" w:beforeAutospacing="0" w:after="0" w:afterAutospacing="0"/>
                    <w:ind w:left="0" w:right="0"/>
                    <w:rPr>
                      <w:rFonts w:hint="eastAsia" w:ascii="Times New Roman" w:hAnsi="Times New Roman" w:eastAsia="宋体" w:cs="Times New Roman"/>
                      <w:color w:val="auto"/>
                      <w:kern w:val="0"/>
                      <w:sz w:val="21"/>
                      <w:szCs w:val="21"/>
                      <w:highlight w:val="none"/>
                      <w:lang w:val="en-US" w:eastAsia="zh-CN" w:bidi="ar-SA"/>
                    </w:rPr>
                  </w:pPr>
                  <w:r>
                    <w:rPr>
                      <w:rFonts w:hint="eastAsia" w:ascii="Times New Roman" w:hAnsi="Times New Roman" w:eastAsia="宋体" w:cs="Times New Roman"/>
                      <w:color w:val="auto"/>
                      <w:sz w:val="21"/>
                      <w:szCs w:val="21"/>
                      <w:highlight w:val="none"/>
                      <w:lang w:val="en-US" w:eastAsia="zh-CN"/>
                    </w:rPr>
                    <w:t>18t</w:t>
                  </w:r>
                </w:p>
              </w:tc>
              <w:tc>
                <w:tcPr>
                  <w:tcW w:w="490" w:type="pct"/>
                  <w:tcBorders>
                    <w:tl2br w:val="nil"/>
                    <w:tr2bl w:val="nil"/>
                  </w:tcBorders>
                  <w:shd w:val="clear" w:color="auto" w:fill="auto"/>
                  <w:vAlign w:val="center"/>
                </w:tcPr>
                <w:p w14:paraId="3534A7FA">
                  <w:pPr>
                    <w:pStyle w:val="129"/>
                    <w:keepNext w:val="0"/>
                    <w:keepLines w:val="0"/>
                    <w:suppressLineNumbers w:val="0"/>
                    <w:spacing w:before="0" w:beforeAutospacing="0" w:after="0" w:afterAutospacing="0"/>
                    <w:ind w:left="0" w:right="0"/>
                    <w:rPr>
                      <w:rFonts w:hint="default" w:ascii="Times New Roman" w:hAnsi="Times New Roman" w:eastAsia="宋体" w:cs="Times New Roman"/>
                      <w:color w:val="auto"/>
                      <w:kern w:val="0"/>
                      <w:sz w:val="21"/>
                      <w:szCs w:val="21"/>
                      <w:highlight w:val="none"/>
                      <w:lang w:val="en-US" w:eastAsia="zh-CN" w:bidi="ar-SA"/>
                    </w:rPr>
                  </w:pPr>
                  <w:r>
                    <w:rPr>
                      <w:rFonts w:hint="eastAsia" w:cs="Times New Roman"/>
                      <w:color w:val="auto"/>
                      <w:sz w:val="21"/>
                      <w:szCs w:val="21"/>
                      <w:highlight w:val="none"/>
                      <w:lang w:val="en-US" w:eastAsia="zh-CN"/>
                    </w:rPr>
                    <w:t>3</w:t>
                  </w:r>
                  <w:r>
                    <w:rPr>
                      <w:rFonts w:hint="eastAsia" w:ascii="Times New Roman" w:hAnsi="Times New Roman" w:eastAsia="宋体" w:cs="Times New Roman"/>
                      <w:color w:val="auto"/>
                      <w:sz w:val="21"/>
                      <w:szCs w:val="21"/>
                      <w:highlight w:val="none"/>
                      <w:lang w:val="en-US" w:eastAsia="zh-CN"/>
                    </w:rPr>
                    <w:t>0</w:t>
                  </w:r>
                  <w:r>
                    <w:rPr>
                      <w:rFonts w:hint="eastAsia" w:ascii="Times New Roman" w:hAnsi="Times New Roman" w:eastAsia="宋体" w:cs="Times New Roman"/>
                      <w:color w:val="auto"/>
                      <w:sz w:val="21"/>
                      <w:szCs w:val="21"/>
                      <w:highlight w:val="none"/>
                    </w:rPr>
                    <w:t>m</w:t>
                  </w:r>
                  <w:r>
                    <w:rPr>
                      <w:rFonts w:hint="eastAsia" w:ascii="Times New Roman" w:hAnsi="Times New Roman" w:eastAsia="宋体" w:cs="Times New Roman"/>
                      <w:color w:val="auto"/>
                      <w:sz w:val="21"/>
                      <w:szCs w:val="21"/>
                      <w:highlight w:val="none"/>
                      <w:vertAlign w:val="superscript"/>
                    </w:rPr>
                    <w:t>2</w:t>
                  </w:r>
                </w:p>
              </w:tc>
              <w:tc>
                <w:tcPr>
                  <w:tcW w:w="673" w:type="pct"/>
                  <w:vMerge w:val="restart"/>
                  <w:tcBorders>
                    <w:tl2br w:val="nil"/>
                    <w:tr2bl w:val="nil"/>
                  </w:tcBorders>
                  <w:vAlign w:val="center"/>
                </w:tcPr>
                <w:p w14:paraId="0944242B">
                  <w:pPr>
                    <w:pStyle w:val="129"/>
                    <w:keepNext w:val="0"/>
                    <w:keepLines w:val="0"/>
                    <w:suppressLineNumbers w:val="0"/>
                    <w:spacing w:before="0" w:beforeAutospacing="0" w:after="0" w:afterAutospacing="0"/>
                    <w:ind w:left="0" w:right="0"/>
                    <w:rPr>
                      <w:rFonts w:hint="default" w:ascii="Times New Roman" w:hAnsi="Times New Roman" w:eastAsia="宋体" w:cs="Times New Roman"/>
                      <w:color w:val="auto"/>
                      <w:sz w:val="21"/>
                      <w:szCs w:val="21"/>
                      <w:highlight w:val="none"/>
                      <w:lang w:val="en-US" w:eastAsia="zh-CN"/>
                    </w:rPr>
                  </w:pPr>
                  <w:r>
                    <w:rPr>
                      <w:rFonts w:hint="eastAsia" w:ascii="Times New Roman" w:hAnsi="Times New Roman" w:eastAsia="宋体" w:cs="Times New Roman"/>
                      <w:color w:val="auto"/>
                      <w:sz w:val="21"/>
                      <w:szCs w:val="21"/>
                      <w:highlight w:val="none"/>
                      <w:lang w:val="en-US" w:eastAsia="zh-CN"/>
                    </w:rPr>
                    <w:t>科创综合楼每层设置1间危废暂存间（约30m</w:t>
                  </w:r>
                  <w:r>
                    <w:rPr>
                      <w:rFonts w:hint="eastAsia" w:ascii="Times New Roman" w:hAnsi="Times New Roman" w:eastAsia="宋体" w:cs="Times New Roman"/>
                      <w:color w:val="auto"/>
                      <w:sz w:val="21"/>
                      <w:szCs w:val="21"/>
                      <w:highlight w:val="none"/>
                      <w:vertAlign w:val="superscript"/>
                      <w:lang w:val="en-US" w:eastAsia="zh-CN"/>
                    </w:rPr>
                    <w:t>2</w:t>
                  </w:r>
                  <w:r>
                    <w:rPr>
                      <w:rFonts w:hint="eastAsia" w:ascii="Times New Roman" w:hAnsi="Times New Roman" w:eastAsia="宋体" w:cs="Times New Roman"/>
                      <w:color w:val="auto"/>
                      <w:sz w:val="21"/>
                      <w:szCs w:val="21"/>
                      <w:highlight w:val="none"/>
                      <w:lang w:val="en-US" w:eastAsia="zh-CN"/>
                    </w:rPr>
                    <w:t>），合计占地面积约为210m</w:t>
                  </w:r>
                  <w:r>
                    <w:rPr>
                      <w:rFonts w:hint="eastAsia" w:ascii="Times New Roman" w:hAnsi="Times New Roman" w:eastAsia="宋体" w:cs="Times New Roman"/>
                      <w:color w:val="auto"/>
                      <w:sz w:val="21"/>
                      <w:szCs w:val="21"/>
                      <w:highlight w:val="none"/>
                      <w:vertAlign w:val="superscript"/>
                      <w:lang w:val="en-US" w:eastAsia="zh-CN"/>
                    </w:rPr>
                    <w:t>2</w:t>
                  </w:r>
                </w:p>
              </w:tc>
            </w:tr>
            <w:tr w14:paraId="4AC7F1E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340" w:hRule="atLeast"/>
                <w:jc w:val="center"/>
              </w:trPr>
              <w:tc>
                <w:tcPr>
                  <w:tcW w:w="358" w:type="pct"/>
                  <w:tcBorders>
                    <w:tl2br w:val="nil"/>
                    <w:tr2bl w:val="nil"/>
                  </w:tcBorders>
                  <w:shd w:val="clear" w:color="auto" w:fill="auto"/>
                  <w:vAlign w:val="center"/>
                </w:tcPr>
                <w:p w14:paraId="0831BF3C">
                  <w:pPr>
                    <w:pStyle w:val="129"/>
                    <w:keepNext w:val="0"/>
                    <w:keepLines w:val="0"/>
                    <w:suppressLineNumbers w:val="0"/>
                    <w:spacing w:before="0" w:beforeAutospacing="0" w:after="0" w:afterAutospacing="0"/>
                    <w:ind w:left="0" w:leftChars="0" w:right="0" w:rightChars="0"/>
                    <w:rPr>
                      <w:rFonts w:hint="default" w:ascii="Times New Roman" w:hAnsi="Times New Roman" w:eastAsia="宋体" w:cs="Times New Roman"/>
                      <w:color w:val="auto"/>
                      <w:kern w:val="0"/>
                      <w:sz w:val="21"/>
                      <w:szCs w:val="21"/>
                      <w:highlight w:val="none"/>
                      <w:lang w:val="en-US" w:eastAsia="zh-CN" w:bidi="ar-SA"/>
                    </w:rPr>
                  </w:pPr>
                  <w:r>
                    <w:rPr>
                      <w:rFonts w:hint="eastAsia" w:ascii="Times New Roman" w:hAnsi="Times New Roman" w:eastAsia="宋体" w:cs="Times New Roman"/>
                      <w:color w:val="auto"/>
                      <w:sz w:val="21"/>
                      <w:szCs w:val="21"/>
                      <w:highlight w:val="none"/>
                      <w:lang w:val="en-US" w:eastAsia="zh-CN"/>
                    </w:rPr>
                    <w:t>16</w:t>
                  </w:r>
                </w:p>
              </w:tc>
              <w:tc>
                <w:tcPr>
                  <w:tcW w:w="728" w:type="pct"/>
                  <w:tcBorders>
                    <w:tl2br w:val="nil"/>
                    <w:tr2bl w:val="nil"/>
                  </w:tcBorders>
                  <w:vAlign w:val="center"/>
                </w:tcPr>
                <w:p w14:paraId="52428D6D">
                  <w:pPr>
                    <w:pStyle w:val="129"/>
                    <w:keepNext w:val="0"/>
                    <w:keepLines w:val="0"/>
                    <w:suppressLineNumbers w:val="0"/>
                    <w:spacing w:before="0" w:beforeAutospacing="0" w:after="0" w:afterAutospacing="0"/>
                    <w:ind w:left="0" w:right="0"/>
                    <w:rPr>
                      <w:rFonts w:hint="eastAsia"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实验废液</w:t>
                  </w:r>
                </w:p>
              </w:tc>
              <w:tc>
                <w:tcPr>
                  <w:tcW w:w="544" w:type="pct"/>
                  <w:tcBorders>
                    <w:tl2br w:val="nil"/>
                    <w:tr2bl w:val="nil"/>
                  </w:tcBorders>
                  <w:shd w:val="clear" w:color="auto" w:fill="auto"/>
                  <w:vAlign w:val="center"/>
                </w:tcPr>
                <w:p w14:paraId="482278C0">
                  <w:pPr>
                    <w:pStyle w:val="129"/>
                    <w:keepNext w:val="0"/>
                    <w:keepLines w:val="0"/>
                    <w:suppressLineNumbers w:val="0"/>
                    <w:spacing w:before="0" w:beforeAutospacing="0" w:after="0" w:afterAutospacing="0"/>
                    <w:ind w:left="0" w:right="0"/>
                    <w:rPr>
                      <w:rFonts w:hint="eastAsia" w:ascii="Times New Roman" w:hAnsi="Times New Roman" w:eastAsia="宋体" w:cs="Times New Roman"/>
                      <w:color w:val="auto"/>
                      <w:kern w:val="0"/>
                      <w:sz w:val="21"/>
                      <w:szCs w:val="21"/>
                      <w:highlight w:val="none"/>
                      <w:lang w:val="en-US" w:eastAsia="zh-CN" w:bidi="ar-SA"/>
                    </w:rPr>
                  </w:pPr>
                  <w:r>
                    <w:rPr>
                      <w:rFonts w:hint="default" w:ascii="Times New Roman" w:hAnsi="Times New Roman" w:eastAsia="宋体" w:cs="Times New Roman"/>
                      <w:color w:val="auto"/>
                      <w:sz w:val="21"/>
                      <w:szCs w:val="21"/>
                      <w:highlight w:val="none"/>
                    </w:rPr>
                    <w:t>HW49</w:t>
                  </w:r>
                </w:p>
              </w:tc>
              <w:tc>
                <w:tcPr>
                  <w:tcW w:w="726" w:type="pct"/>
                  <w:tcBorders>
                    <w:tl2br w:val="nil"/>
                    <w:tr2bl w:val="nil"/>
                  </w:tcBorders>
                  <w:shd w:val="clear" w:color="auto" w:fill="auto"/>
                  <w:vAlign w:val="center"/>
                </w:tcPr>
                <w:p w14:paraId="4454F80F">
                  <w:pPr>
                    <w:pStyle w:val="129"/>
                    <w:keepNext w:val="0"/>
                    <w:keepLines w:val="0"/>
                    <w:suppressLineNumbers w:val="0"/>
                    <w:spacing w:before="0" w:beforeAutospacing="0" w:after="0" w:afterAutospacing="0"/>
                    <w:ind w:left="0" w:right="0"/>
                    <w:rPr>
                      <w:rFonts w:hint="default" w:ascii="Times New Roman" w:hAnsi="Times New Roman" w:eastAsia="宋体" w:cs="Times New Roman"/>
                      <w:color w:val="auto"/>
                      <w:kern w:val="0"/>
                      <w:sz w:val="21"/>
                      <w:szCs w:val="21"/>
                      <w:highlight w:val="none"/>
                      <w:lang w:val="en-US" w:eastAsia="zh-CN" w:bidi="ar-SA"/>
                    </w:rPr>
                  </w:pPr>
                  <w:r>
                    <w:rPr>
                      <w:rFonts w:hint="default" w:ascii="Times New Roman" w:hAnsi="Times New Roman" w:eastAsia="宋体" w:cs="Times New Roman"/>
                      <w:color w:val="auto"/>
                      <w:sz w:val="21"/>
                      <w:szCs w:val="21"/>
                      <w:highlight w:val="none"/>
                    </w:rPr>
                    <w:t>900-047-49</w:t>
                  </w:r>
                </w:p>
              </w:tc>
              <w:tc>
                <w:tcPr>
                  <w:tcW w:w="461" w:type="pct"/>
                  <w:tcBorders>
                    <w:tl2br w:val="nil"/>
                    <w:tr2bl w:val="nil"/>
                  </w:tcBorders>
                  <w:shd w:val="clear" w:color="auto" w:fill="auto"/>
                  <w:vAlign w:val="center"/>
                </w:tcPr>
                <w:p w14:paraId="57116E2C">
                  <w:pPr>
                    <w:pStyle w:val="129"/>
                    <w:keepNext w:val="0"/>
                    <w:keepLines w:val="0"/>
                    <w:suppressLineNumbers w:val="0"/>
                    <w:spacing w:before="0" w:beforeAutospacing="0" w:after="0" w:afterAutospacing="0"/>
                    <w:ind w:left="0" w:right="0"/>
                    <w:rPr>
                      <w:rFonts w:hint="default" w:ascii="Times New Roman" w:hAnsi="Times New Roman" w:eastAsia="宋体" w:cs="Times New Roman"/>
                      <w:color w:val="auto"/>
                      <w:kern w:val="0"/>
                      <w:sz w:val="21"/>
                      <w:szCs w:val="21"/>
                      <w:highlight w:val="none"/>
                      <w:lang w:val="en-US" w:eastAsia="zh-CN" w:bidi="ar-SA"/>
                    </w:rPr>
                  </w:pPr>
                  <w:r>
                    <w:rPr>
                      <w:rFonts w:hint="eastAsia" w:ascii="Times New Roman" w:hAnsi="Times New Roman" w:eastAsia="宋体" w:cs="Times New Roman"/>
                      <w:color w:val="auto"/>
                      <w:kern w:val="0"/>
                      <w:sz w:val="21"/>
                      <w:szCs w:val="21"/>
                      <w:highlight w:val="none"/>
                      <w:lang w:val="en-US" w:eastAsia="zh-CN" w:bidi="ar-SA"/>
                    </w:rPr>
                    <w:t>429</w:t>
                  </w:r>
                </w:p>
              </w:tc>
              <w:tc>
                <w:tcPr>
                  <w:tcW w:w="472" w:type="pct"/>
                  <w:tcBorders>
                    <w:tl2br w:val="nil"/>
                    <w:tr2bl w:val="nil"/>
                  </w:tcBorders>
                  <w:shd w:val="clear" w:color="auto" w:fill="auto"/>
                  <w:vAlign w:val="center"/>
                </w:tcPr>
                <w:p w14:paraId="74F2F677">
                  <w:pPr>
                    <w:pStyle w:val="129"/>
                    <w:keepNext w:val="0"/>
                    <w:keepLines w:val="0"/>
                    <w:suppressLineNumbers w:val="0"/>
                    <w:spacing w:before="0" w:beforeAutospacing="0" w:after="0" w:afterAutospacing="0"/>
                    <w:ind w:left="0" w:right="0"/>
                    <w:rPr>
                      <w:rFonts w:hint="eastAsia" w:ascii="Times New Roman" w:hAnsi="Times New Roman" w:eastAsia="宋体" w:cs="Times New Roman"/>
                      <w:color w:val="auto"/>
                      <w:kern w:val="0"/>
                      <w:sz w:val="21"/>
                      <w:szCs w:val="21"/>
                      <w:highlight w:val="none"/>
                      <w:lang w:val="en-US" w:eastAsia="zh-CN" w:bidi="ar-SA"/>
                    </w:rPr>
                  </w:pPr>
                  <w:r>
                    <w:rPr>
                      <w:rFonts w:hint="eastAsia" w:ascii="Times New Roman" w:hAnsi="Times New Roman" w:eastAsia="宋体" w:cs="Times New Roman"/>
                      <w:color w:val="auto"/>
                      <w:sz w:val="21"/>
                      <w:szCs w:val="21"/>
                      <w:highlight w:val="none"/>
                    </w:rPr>
                    <w:t>≤</w:t>
                  </w:r>
                  <w:r>
                    <w:rPr>
                      <w:rFonts w:hint="default" w:ascii="Times New Roman" w:hAnsi="Times New Roman" w:eastAsia="宋体" w:cs="Times New Roman"/>
                      <w:color w:val="auto"/>
                      <w:sz w:val="21"/>
                      <w:szCs w:val="21"/>
                      <w:highlight w:val="none"/>
                    </w:rPr>
                    <w:t>3d</w:t>
                  </w:r>
                </w:p>
              </w:tc>
              <w:tc>
                <w:tcPr>
                  <w:tcW w:w="544" w:type="pct"/>
                  <w:tcBorders>
                    <w:tl2br w:val="nil"/>
                    <w:tr2bl w:val="nil"/>
                  </w:tcBorders>
                  <w:shd w:val="clear" w:color="auto" w:fill="auto"/>
                  <w:vAlign w:val="center"/>
                </w:tcPr>
                <w:p w14:paraId="76B3C111">
                  <w:pPr>
                    <w:pStyle w:val="129"/>
                    <w:keepNext w:val="0"/>
                    <w:keepLines w:val="0"/>
                    <w:suppressLineNumbers w:val="0"/>
                    <w:spacing w:before="0" w:beforeAutospacing="0" w:after="0" w:afterAutospacing="0"/>
                    <w:ind w:left="0" w:right="0"/>
                    <w:rPr>
                      <w:rFonts w:hint="eastAsia" w:ascii="Times New Roman" w:hAnsi="Times New Roman" w:eastAsia="宋体" w:cs="Times New Roman"/>
                      <w:color w:val="auto"/>
                      <w:kern w:val="0"/>
                      <w:sz w:val="21"/>
                      <w:szCs w:val="21"/>
                      <w:highlight w:val="none"/>
                      <w:lang w:val="en-US" w:eastAsia="zh-CN" w:bidi="ar-SA"/>
                    </w:rPr>
                  </w:pPr>
                  <w:r>
                    <w:rPr>
                      <w:rFonts w:hint="eastAsia" w:cs="Times New Roman"/>
                      <w:color w:val="auto"/>
                      <w:sz w:val="21"/>
                      <w:szCs w:val="21"/>
                      <w:highlight w:val="none"/>
                      <w:lang w:val="en-US" w:eastAsia="zh-CN"/>
                    </w:rPr>
                    <w:t>3.53</w:t>
                  </w:r>
                  <w:r>
                    <w:rPr>
                      <w:rFonts w:hint="default" w:ascii="Times New Roman" w:hAnsi="Times New Roman" w:eastAsia="宋体" w:cs="Times New Roman"/>
                      <w:color w:val="auto"/>
                      <w:sz w:val="21"/>
                      <w:szCs w:val="21"/>
                      <w:highlight w:val="none"/>
                    </w:rPr>
                    <w:t>t</w:t>
                  </w:r>
                </w:p>
              </w:tc>
              <w:tc>
                <w:tcPr>
                  <w:tcW w:w="490" w:type="pct"/>
                  <w:tcBorders>
                    <w:tl2br w:val="nil"/>
                    <w:tr2bl w:val="nil"/>
                  </w:tcBorders>
                  <w:shd w:val="clear" w:color="auto" w:fill="auto"/>
                  <w:vAlign w:val="center"/>
                </w:tcPr>
                <w:p w14:paraId="54F0D3A3">
                  <w:pPr>
                    <w:pStyle w:val="129"/>
                    <w:keepNext w:val="0"/>
                    <w:keepLines w:val="0"/>
                    <w:suppressLineNumbers w:val="0"/>
                    <w:spacing w:before="0" w:beforeAutospacing="0" w:after="0" w:afterAutospacing="0"/>
                    <w:ind w:left="0" w:right="0"/>
                    <w:rPr>
                      <w:rFonts w:hint="default" w:ascii="Times New Roman" w:hAnsi="Times New Roman" w:eastAsia="宋体" w:cs="Times New Roman"/>
                      <w:color w:val="auto"/>
                      <w:kern w:val="0"/>
                      <w:sz w:val="21"/>
                      <w:szCs w:val="21"/>
                      <w:highlight w:val="none"/>
                      <w:lang w:val="en-US" w:eastAsia="zh-CN" w:bidi="ar-SA"/>
                    </w:rPr>
                  </w:pPr>
                  <w:r>
                    <w:rPr>
                      <w:rFonts w:hint="eastAsia" w:cs="Times New Roman"/>
                      <w:color w:val="auto"/>
                      <w:sz w:val="21"/>
                      <w:szCs w:val="21"/>
                      <w:highlight w:val="none"/>
                      <w:lang w:val="en-US" w:eastAsia="zh-CN"/>
                    </w:rPr>
                    <w:t>8</w:t>
                  </w:r>
                  <w:r>
                    <w:rPr>
                      <w:rFonts w:hint="default" w:ascii="Times New Roman" w:hAnsi="Times New Roman" w:eastAsia="宋体" w:cs="Times New Roman"/>
                      <w:color w:val="auto"/>
                      <w:sz w:val="21"/>
                      <w:szCs w:val="21"/>
                      <w:highlight w:val="none"/>
                    </w:rPr>
                    <w:t>m</w:t>
                  </w:r>
                  <w:r>
                    <w:rPr>
                      <w:rFonts w:hint="default" w:ascii="Times New Roman" w:hAnsi="Times New Roman" w:eastAsia="宋体" w:cs="Times New Roman"/>
                      <w:color w:val="auto"/>
                      <w:sz w:val="21"/>
                      <w:szCs w:val="21"/>
                      <w:highlight w:val="none"/>
                      <w:vertAlign w:val="superscript"/>
                    </w:rPr>
                    <w:t>2</w:t>
                  </w:r>
                </w:p>
              </w:tc>
              <w:tc>
                <w:tcPr>
                  <w:tcW w:w="673" w:type="pct"/>
                  <w:vMerge w:val="continue"/>
                  <w:tcBorders>
                    <w:tl2br w:val="nil"/>
                    <w:tr2bl w:val="nil"/>
                  </w:tcBorders>
                  <w:vAlign w:val="center"/>
                </w:tcPr>
                <w:p w14:paraId="78D35C79">
                  <w:pPr>
                    <w:pStyle w:val="129"/>
                    <w:keepNext w:val="0"/>
                    <w:keepLines w:val="0"/>
                    <w:suppressLineNumbers w:val="0"/>
                    <w:spacing w:before="0" w:beforeAutospacing="0" w:after="0" w:afterAutospacing="0"/>
                    <w:ind w:left="0" w:right="0"/>
                    <w:rPr>
                      <w:rFonts w:hint="default" w:ascii="Times New Roman" w:hAnsi="Times New Roman" w:eastAsia="宋体" w:cs="Times New Roman"/>
                      <w:color w:val="auto"/>
                      <w:sz w:val="21"/>
                      <w:szCs w:val="21"/>
                      <w:highlight w:val="none"/>
                    </w:rPr>
                  </w:pPr>
                </w:p>
              </w:tc>
            </w:tr>
            <w:tr w14:paraId="36C08AE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340" w:hRule="atLeast"/>
                <w:jc w:val="center"/>
              </w:trPr>
              <w:tc>
                <w:tcPr>
                  <w:tcW w:w="358" w:type="pct"/>
                  <w:tcBorders>
                    <w:tl2br w:val="nil"/>
                    <w:tr2bl w:val="nil"/>
                  </w:tcBorders>
                  <w:shd w:val="clear" w:color="auto" w:fill="auto"/>
                  <w:vAlign w:val="center"/>
                </w:tcPr>
                <w:p w14:paraId="2395D8E5">
                  <w:pPr>
                    <w:pStyle w:val="129"/>
                    <w:keepNext w:val="0"/>
                    <w:keepLines w:val="0"/>
                    <w:suppressLineNumbers w:val="0"/>
                    <w:spacing w:before="0" w:beforeAutospacing="0" w:after="0" w:afterAutospacing="0"/>
                    <w:ind w:left="0" w:leftChars="0" w:right="0" w:rightChars="0"/>
                    <w:rPr>
                      <w:rFonts w:hint="default" w:ascii="Times New Roman" w:hAnsi="Times New Roman" w:eastAsia="宋体" w:cs="Times New Roman"/>
                      <w:color w:val="auto"/>
                      <w:kern w:val="0"/>
                      <w:sz w:val="21"/>
                      <w:szCs w:val="21"/>
                      <w:highlight w:val="none"/>
                      <w:lang w:val="en-US" w:eastAsia="zh-CN" w:bidi="ar-SA"/>
                    </w:rPr>
                  </w:pPr>
                  <w:r>
                    <w:rPr>
                      <w:rFonts w:hint="eastAsia" w:cs="Times New Roman"/>
                      <w:color w:val="auto"/>
                      <w:sz w:val="21"/>
                      <w:szCs w:val="21"/>
                      <w:highlight w:val="none"/>
                      <w:lang w:val="en-US" w:eastAsia="zh-CN"/>
                    </w:rPr>
                    <w:t>17</w:t>
                  </w:r>
                </w:p>
              </w:tc>
              <w:tc>
                <w:tcPr>
                  <w:tcW w:w="728" w:type="pct"/>
                  <w:tcBorders>
                    <w:tl2br w:val="nil"/>
                    <w:tr2bl w:val="nil"/>
                  </w:tcBorders>
                  <w:shd w:val="clear" w:color="auto" w:fill="auto"/>
                  <w:vAlign w:val="center"/>
                </w:tcPr>
                <w:p w14:paraId="1F3BF2F1">
                  <w:pPr>
                    <w:pStyle w:val="129"/>
                    <w:keepNext w:val="0"/>
                    <w:keepLines w:val="0"/>
                    <w:suppressLineNumbers w:val="0"/>
                    <w:spacing w:before="0" w:beforeAutospacing="0" w:after="0" w:afterAutospacing="0"/>
                    <w:ind w:left="0" w:right="0"/>
                    <w:rPr>
                      <w:rFonts w:hint="eastAsia" w:ascii="Times New Roman" w:hAnsi="Times New Roman" w:eastAsia="宋体" w:cs="Times New Roman"/>
                      <w:color w:val="auto"/>
                      <w:kern w:val="0"/>
                      <w:sz w:val="21"/>
                      <w:szCs w:val="21"/>
                      <w:highlight w:val="none"/>
                      <w:lang w:val="en-US" w:eastAsia="zh-CN" w:bidi="ar-SA"/>
                    </w:rPr>
                  </w:pPr>
                  <w:r>
                    <w:rPr>
                      <w:rFonts w:hint="eastAsia" w:ascii="Times New Roman" w:hAnsi="Times New Roman" w:eastAsia="宋体" w:cs="Times New Roman"/>
                      <w:color w:val="auto"/>
                      <w:sz w:val="21"/>
                      <w:szCs w:val="21"/>
                      <w:highlight w:val="none"/>
                    </w:rPr>
                    <w:t>废</w:t>
                  </w:r>
                  <w:r>
                    <w:rPr>
                      <w:rFonts w:hint="default" w:ascii="Times New Roman" w:hAnsi="Times New Roman" w:eastAsia="宋体" w:cs="Times New Roman"/>
                      <w:color w:val="auto"/>
                      <w:sz w:val="21"/>
                      <w:szCs w:val="21"/>
                      <w:highlight w:val="none"/>
                    </w:rPr>
                    <w:t>实验耗材</w:t>
                  </w:r>
                </w:p>
              </w:tc>
              <w:tc>
                <w:tcPr>
                  <w:tcW w:w="544" w:type="pct"/>
                  <w:tcBorders>
                    <w:tl2br w:val="nil"/>
                    <w:tr2bl w:val="nil"/>
                  </w:tcBorders>
                  <w:shd w:val="clear" w:color="auto" w:fill="auto"/>
                  <w:vAlign w:val="center"/>
                </w:tcPr>
                <w:p w14:paraId="660965FF">
                  <w:pPr>
                    <w:pStyle w:val="129"/>
                    <w:keepNext w:val="0"/>
                    <w:keepLines w:val="0"/>
                    <w:suppressLineNumbers w:val="0"/>
                    <w:spacing w:before="0" w:beforeAutospacing="0" w:after="0" w:afterAutospacing="0"/>
                    <w:ind w:left="0" w:right="0"/>
                    <w:rPr>
                      <w:rFonts w:hint="eastAsia" w:ascii="Times New Roman" w:hAnsi="Times New Roman" w:eastAsia="宋体" w:cs="Times New Roman"/>
                      <w:color w:val="auto"/>
                      <w:kern w:val="0"/>
                      <w:sz w:val="21"/>
                      <w:szCs w:val="21"/>
                      <w:highlight w:val="none"/>
                      <w:lang w:val="en-US" w:eastAsia="zh-CN" w:bidi="ar-SA"/>
                    </w:rPr>
                  </w:pPr>
                  <w:r>
                    <w:rPr>
                      <w:rFonts w:hint="default" w:ascii="Times New Roman" w:hAnsi="Times New Roman" w:eastAsia="宋体" w:cs="Times New Roman"/>
                      <w:color w:val="auto"/>
                      <w:sz w:val="21"/>
                      <w:szCs w:val="21"/>
                      <w:highlight w:val="none"/>
                    </w:rPr>
                    <w:t>HW49</w:t>
                  </w:r>
                </w:p>
              </w:tc>
              <w:tc>
                <w:tcPr>
                  <w:tcW w:w="726" w:type="pct"/>
                  <w:tcBorders>
                    <w:tl2br w:val="nil"/>
                    <w:tr2bl w:val="nil"/>
                  </w:tcBorders>
                  <w:shd w:val="clear" w:color="auto" w:fill="auto"/>
                  <w:vAlign w:val="center"/>
                </w:tcPr>
                <w:p w14:paraId="4986246D">
                  <w:pPr>
                    <w:pStyle w:val="129"/>
                    <w:keepNext w:val="0"/>
                    <w:keepLines w:val="0"/>
                    <w:suppressLineNumbers w:val="0"/>
                    <w:spacing w:before="0" w:beforeAutospacing="0" w:after="0" w:afterAutospacing="0"/>
                    <w:ind w:left="0" w:right="0"/>
                    <w:rPr>
                      <w:rFonts w:hint="default" w:ascii="Times New Roman" w:hAnsi="Times New Roman" w:eastAsia="宋体" w:cs="Times New Roman"/>
                      <w:color w:val="auto"/>
                      <w:kern w:val="0"/>
                      <w:sz w:val="21"/>
                      <w:szCs w:val="21"/>
                      <w:highlight w:val="none"/>
                      <w:lang w:val="en-US" w:eastAsia="zh-CN" w:bidi="ar-SA"/>
                    </w:rPr>
                  </w:pPr>
                  <w:r>
                    <w:rPr>
                      <w:rFonts w:hint="default" w:ascii="Times New Roman" w:hAnsi="Times New Roman" w:eastAsia="宋体" w:cs="Times New Roman"/>
                      <w:color w:val="auto"/>
                      <w:sz w:val="21"/>
                      <w:szCs w:val="21"/>
                      <w:highlight w:val="none"/>
                    </w:rPr>
                    <w:t>900-047-49</w:t>
                  </w:r>
                </w:p>
              </w:tc>
              <w:tc>
                <w:tcPr>
                  <w:tcW w:w="461" w:type="pct"/>
                  <w:tcBorders>
                    <w:tl2br w:val="nil"/>
                    <w:tr2bl w:val="nil"/>
                  </w:tcBorders>
                  <w:shd w:val="clear" w:color="auto" w:fill="auto"/>
                  <w:vAlign w:val="center"/>
                </w:tcPr>
                <w:p w14:paraId="405F87B4">
                  <w:pPr>
                    <w:pStyle w:val="129"/>
                    <w:keepNext w:val="0"/>
                    <w:keepLines w:val="0"/>
                    <w:suppressLineNumbers w:val="0"/>
                    <w:spacing w:before="0" w:beforeAutospacing="0" w:after="0" w:afterAutospacing="0"/>
                    <w:ind w:left="0" w:right="0"/>
                    <w:rPr>
                      <w:rFonts w:hint="default" w:ascii="Times New Roman" w:hAnsi="Times New Roman" w:eastAsia="宋体" w:cs="Times New Roman"/>
                      <w:color w:val="auto"/>
                      <w:kern w:val="0"/>
                      <w:sz w:val="21"/>
                      <w:szCs w:val="21"/>
                      <w:highlight w:val="none"/>
                      <w:lang w:val="en-US" w:eastAsia="zh-CN" w:bidi="ar-SA"/>
                    </w:rPr>
                  </w:pPr>
                  <w:r>
                    <w:rPr>
                      <w:rFonts w:hint="eastAsia" w:ascii="Times New Roman" w:hAnsi="Times New Roman" w:eastAsia="宋体" w:cs="Times New Roman"/>
                      <w:color w:val="auto"/>
                      <w:kern w:val="0"/>
                      <w:sz w:val="21"/>
                      <w:szCs w:val="21"/>
                      <w:highlight w:val="none"/>
                      <w:lang w:val="en-US" w:eastAsia="zh-CN" w:bidi="ar-SA"/>
                    </w:rPr>
                    <w:t>10</w:t>
                  </w:r>
                </w:p>
              </w:tc>
              <w:tc>
                <w:tcPr>
                  <w:tcW w:w="472" w:type="pct"/>
                  <w:tcBorders>
                    <w:tl2br w:val="nil"/>
                    <w:tr2bl w:val="nil"/>
                  </w:tcBorders>
                  <w:shd w:val="clear" w:color="auto" w:fill="auto"/>
                  <w:vAlign w:val="center"/>
                </w:tcPr>
                <w:p w14:paraId="155C609C">
                  <w:pPr>
                    <w:pStyle w:val="129"/>
                    <w:keepNext w:val="0"/>
                    <w:keepLines w:val="0"/>
                    <w:suppressLineNumbers w:val="0"/>
                    <w:spacing w:before="0" w:beforeAutospacing="0" w:after="0" w:afterAutospacing="0"/>
                    <w:ind w:left="0" w:right="0"/>
                    <w:rPr>
                      <w:rFonts w:hint="eastAsia" w:ascii="Times New Roman" w:hAnsi="Times New Roman" w:eastAsia="宋体" w:cs="Times New Roman"/>
                      <w:color w:val="auto"/>
                      <w:kern w:val="0"/>
                      <w:sz w:val="21"/>
                      <w:szCs w:val="21"/>
                      <w:highlight w:val="none"/>
                      <w:lang w:val="en-US" w:eastAsia="zh-CN" w:bidi="ar-SA"/>
                    </w:rPr>
                  </w:pPr>
                  <w:r>
                    <w:rPr>
                      <w:rFonts w:hint="eastAsia" w:ascii="Times New Roman" w:hAnsi="Times New Roman" w:eastAsia="宋体" w:cs="Times New Roman"/>
                      <w:color w:val="auto"/>
                      <w:sz w:val="21"/>
                      <w:szCs w:val="21"/>
                      <w:highlight w:val="none"/>
                    </w:rPr>
                    <w:t>≤</w:t>
                  </w:r>
                  <w:r>
                    <w:rPr>
                      <w:rFonts w:hint="eastAsia" w:ascii="Times New Roman" w:hAnsi="Times New Roman" w:eastAsia="宋体" w:cs="Times New Roman"/>
                      <w:color w:val="auto"/>
                      <w:sz w:val="21"/>
                      <w:szCs w:val="21"/>
                      <w:highlight w:val="none"/>
                      <w:lang w:val="en-US" w:eastAsia="zh-CN"/>
                    </w:rPr>
                    <w:t>90</w:t>
                  </w:r>
                  <w:r>
                    <w:rPr>
                      <w:rFonts w:hint="default" w:ascii="Times New Roman" w:hAnsi="Times New Roman" w:eastAsia="宋体" w:cs="Times New Roman"/>
                      <w:color w:val="auto"/>
                      <w:sz w:val="21"/>
                      <w:szCs w:val="21"/>
                      <w:highlight w:val="none"/>
                    </w:rPr>
                    <w:t>d</w:t>
                  </w:r>
                </w:p>
              </w:tc>
              <w:tc>
                <w:tcPr>
                  <w:tcW w:w="544" w:type="pct"/>
                  <w:tcBorders>
                    <w:tl2br w:val="nil"/>
                    <w:tr2bl w:val="nil"/>
                  </w:tcBorders>
                  <w:shd w:val="clear" w:color="auto" w:fill="auto"/>
                  <w:vAlign w:val="center"/>
                </w:tcPr>
                <w:p w14:paraId="54194413">
                  <w:pPr>
                    <w:pStyle w:val="129"/>
                    <w:keepNext w:val="0"/>
                    <w:keepLines w:val="0"/>
                    <w:suppressLineNumbers w:val="0"/>
                    <w:spacing w:before="0" w:beforeAutospacing="0" w:after="0" w:afterAutospacing="0"/>
                    <w:ind w:left="0" w:right="0"/>
                    <w:rPr>
                      <w:rFonts w:hint="eastAsia" w:ascii="Times New Roman" w:hAnsi="Times New Roman" w:eastAsia="宋体" w:cs="Times New Roman"/>
                      <w:color w:val="auto"/>
                      <w:kern w:val="0"/>
                      <w:sz w:val="21"/>
                      <w:szCs w:val="21"/>
                      <w:highlight w:val="none"/>
                      <w:lang w:val="en-US" w:eastAsia="zh-CN" w:bidi="ar-SA"/>
                    </w:rPr>
                  </w:pPr>
                  <w:r>
                    <w:rPr>
                      <w:rFonts w:hint="eastAsia" w:ascii="Times New Roman" w:hAnsi="Times New Roman" w:eastAsia="宋体" w:cs="Times New Roman"/>
                      <w:color w:val="auto"/>
                      <w:sz w:val="21"/>
                      <w:szCs w:val="21"/>
                      <w:highlight w:val="none"/>
                      <w:lang w:val="en-US" w:eastAsia="zh-CN"/>
                    </w:rPr>
                    <w:t>2</w:t>
                  </w:r>
                  <w:r>
                    <w:rPr>
                      <w:rFonts w:hint="eastAsia" w:ascii="Times New Roman" w:hAnsi="Times New Roman" w:eastAsia="宋体" w:cs="Times New Roman"/>
                      <w:color w:val="auto"/>
                      <w:sz w:val="21"/>
                      <w:szCs w:val="21"/>
                      <w:highlight w:val="none"/>
                    </w:rPr>
                    <w:t>.5</w:t>
                  </w:r>
                  <w:r>
                    <w:rPr>
                      <w:rFonts w:hint="default" w:ascii="Times New Roman" w:hAnsi="Times New Roman" w:eastAsia="宋体" w:cs="Times New Roman"/>
                      <w:color w:val="auto"/>
                      <w:sz w:val="21"/>
                      <w:szCs w:val="21"/>
                      <w:highlight w:val="none"/>
                    </w:rPr>
                    <w:t>t</w:t>
                  </w:r>
                </w:p>
              </w:tc>
              <w:tc>
                <w:tcPr>
                  <w:tcW w:w="490" w:type="pct"/>
                  <w:tcBorders>
                    <w:tl2br w:val="nil"/>
                    <w:tr2bl w:val="nil"/>
                  </w:tcBorders>
                  <w:shd w:val="clear" w:color="auto" w:fill="auto"/>
                  <w:vAlign w:val="center"/>
                </w:tcPr>
                <w:p w14:paraId="4C414DB5">
                  <w:pPr>
                    <w:pStyle w:val="129"/>
                    <w:keepNext w:val="0"/>
                    <w:keepLines w:val="0"/>
                    <w:suppressLineNumbers w:val="0"/>
                    <w:spacing w:before="0" w:beforeAutospacing="0" w:after="0" w:afterAutospacing="0"/>
                    <w:ind w:left="0" w:right="0"/>
                    <w:rPr>
                      <w:rFonts w:hint="default" w:ascii="Times New Roman" w:hAnsi="Times New Roman" w:eastAsia="宋体" w:cs="Times New Roman"/>
                      <w:color w:val="auto"/>
                      <w:kern w:val="0"/>
                      <w:sz w:val="21"/>
                      <w:szCs w:val="21"/>
                      <w:highlight w:val="none"/>
                      <w:lang w:val="en-US" w:eastAsia="zh-CN" w:bidi="ar-SA"/>
                    </w:rPr>
                  </w:pPr>
                  <w:r>
                    <w:rPr>
                      <w:rFonts w:hint="eastAsia" w:cs="Times New Roman"/>
                      <w:color w:val="auto"/>
                      <w:sz w:val="21"/>
                      <w:szCs w:val="21"/>
                      <w:highlight w:val="none"/>
                      <w:lang w:val="en-US" w:eastAsia="zh-CN"/>
                    </w:rPr>
                    <w:t>5</w:t>
                  </w:r>
                  <w:r>
                    <w:rPr>
                      <w:rFonts w:hint="eastAsia" w:ascii="Times New Roman" w:hAnsi="Times New Roman" w:eastAsia="宋体" w:cs="Times New Roman"/>
                      <w:color w:val="auto"/>
                      <w:sz w:val="21"/>
                      <w:szCs w:val="21"/>
                      <w:highlight w:val="none"/>
                    </w:rPr>
                    <w:t>m</w:t>
                  </w:r>
                  <w:r>
                    <w:rPr>
                      <w:rFonts w:hint="eastAsia" w:ascii="Times New Roman" w:hAnsi="Times New Roman" w:eastAsia="宋体" w:cs="Times New Roman"/>
                      <w:color w:val="auto"/>
                      <w:sz w:val="21"/>
                      <w:szCs w:val="21"/>
                      <w:highlight w:val="none"/>
                      <w:vertAlign w:val="superscript"/>
                    </w:rPr>
                    <w:t>2</w:t>
                  </w:r>
                </w:p>
              </w:tc>
              <w:tc>
                <w:tcPr>
                  <w:tcW w:w="673" w:type="pct"/>
                  <w:vMerge w:val="continue"/>
                  <w:tcBorders>
                    <w:tl2br w:val="nil"/>
                    <w:tr2bl w:val="nil"/>
                  </w:tcBorders>
                  <w:vAlign w:val="center"/>
                </w:tcPr>
                <w:p w14:paraId="01D36040">
                  <w:pPr>
                    <w:pStyle w:val="129"/>
                    <w:keepNext w:val="0"/>
                    <w:keepLines w:val="0"/>
                    <w:suppressLineNumbers w:val="0"/>
                    <w:spacing w:before="0" w:beforeAutospacing="0" w:after="0" w:afterAutospacing="0"/>
                    <w:ind w:left="0" w:right="0"/>
                    <w:rPr>
                      <w:rFonts w:hint="default" w:ascii="Times New Roman" w:hAnsi="Times New Roman" w:eastAsia="宋体" w:cs="Times New Roman"/>
                      <w:color w:val="auto"/>
                      <w:sz w:val="21"/>
                      <w:szCs w:val="21"/>
                      <w:highlight w:val="none"/>
                    </w:rPr>
                  </w:pPr>
                </w:p>
              </w:tc>
            </w:tr>
            <w:tr w14:paraId="3383307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340" w:hRule="atLeast"/>
                <w:jc w:val="center"/>
              </w:trPr>
              <w:tc>
                <w:tcPr>
                  <w:tcW w:w="358" w:type="pct"/>
                  <w:tcBorders>
                    <w:tl2br w:val="nil"/>
                    <w:tr2bl w:val="nil"/>
                  </w:tcBorders>
                  <w:vAlign w:val="center"/>
                </w:tcPr>
                <w:p w14:paraId="755C7E3F">
                  <w:pPr>
                    <w:pStyle w:val="129"/>
                    <w:keepNext w:val="0"/>
                    <w:keepLines w:val="0"/>
                    <w:suppressLineNumbers w:val="0"/>
                    <w:spacing w:before="0" w:beforeAutospacing="0" w:after="0" w:afterAutospacing="0"/>
                    <w:ind w:left="0" w:right="0"/>
                    <w:rPr>
                      <w:rFonts w:hint="default" w:ascii="Times New Roman" w:hAnsi="Times New Roman" w:eastAsia="宋体" w:cs="Times New Roman"/>
                      <w:color w:val="auto"/>
                      <w:sz w:val="21"/>
                      <w:szCs w:val="21"/>
                      <w:highlight w:val="none"/>
                      <w:lang w:val="en-US" w:eastAsia="zh-CN"/>
                    </w:rPr>
                  </w:pPr>
                  <w:r>
                    <w:rPr>
                      <w:rFonts w:hint="eastAsia" w:cs="Times New Roman"/>
                      <w:color w:val="auto"/>
                      <w:sz w:val="21"/>
                      <w:szCs w:val="21"/>
                      <w:highlight w:val="none"/>
                      <w:lang w:val="en-US" w:eastAsia="zh-CN"/>
                    </w:rPr>
                    <w:t>18</w:t>
                  </w:r>
                </w:p>
              </w:tc>
              <w:tc>
                <w:tcPr>
                  <w:tcW w:w="728" w:type="pct"/>
                  <w:tcBorders>
                    <w:tl2br w:val="nil"/>
                    <w:tr2bl w:val="nil"/>
                  </w:tcBorders>
                  <w:shd w:val="clear" w:color="auto" w:fill="auto"/>
                  <w:vAlign w:val="center"/>
                </w:tcPr>
                <w:p w14:paraId="400EF190">
                  <w:pPr>
                    <w:pStyle w:val="129"/>
                    <w:keepNext w:val="0"/>
                    <w:keepLines w:val="0"/>
                    <w:suppressLineNumbers w:val="0"/>
                    <w:spacing w:before="0" w:beforeAutospacing="0" w:after="0" w:afterAutospacing="0"/>
                    <w:ind w:left="0" w:right="0"/>
                    <w:rPr>
                      <w:rFonts w:hint="eastAsia" w:ascii="Times New Roman" w:hAnsi="Times New Roman" w:eastAsia="宋体" w:cs="Times New Roman"/>
                      <w:color w:val="auto"/>
                      <w:kern w:val="0"/>
                      <w:sz w:val="21"/>
                      <w:szCs w:val="21"/>
                      <w:highlight w:val="none"/>
                      <w:lang w:val="en-US" w:eastAsia="zh-CN" w:bidi="ar-SA"/>
                    </w:rPr>
                  </w:pPr>
                  <w:r>
                    <w:rPr>
                      <w:rFonts w:hint="eastAsia" w:ascii="Times New Roman" w:hAnsi="Times New Roman" w:eastAsia="宋体" w:cs="Times New Roman"/>
                      <w:color w:val="auto"/>
                      <w:sz w:val="21"/>
                      <w:szCs w:val="21"/>
                      <w:highlight w:val="none"/>
                      <w:lang w:val="en-US" w:eastAsia="zh-CN"/>
                    </w:rPr>
                    <w:t>危险废包装材料</w:t>
                  </w:r>
                </w:p>
              </w:tc>
              <w:tc>
                <w:tcPr>
                  <w:tcW w:w="544" w:type="pct"/>
                  <w:tcBorders>
                    <w:tl2br w:val="nil"/>
                    <w:tr2bl w:val="nil"/>
                  </w:tcBorders>
                  <w:shd w:val="clear" w:color="auto" w:fill="auto"/>
                  <w:vAlign w:val="center"/>
                </w:tcPr>
                <w:p w14:paraId="13C7D63B">
                  <w:pPr>
                    <w:pStyle w:val="129"/>
                    <w:keepNext w:val="0"/>
                    <w:keepLines w:val="0"/>
                    <w:suppressLineNumbers w:val="0"/>
                    <w:spacing w:before="0" w:beforeAutospacing="0" w:after="0" w:afterAutospacing="0"/>
                    <w:ind w:left="0" w:right="0"/>
                    <w:rPr>
                      <w:rFonts w:hint="default" w:ascii="Times New Roman" w:hAnsi="Times New Roman" w:eastAsia="宋体" w:cs="Times New Roman"/>
                      <w:color w:val="auto"/>
                      <w:kern w:val="0"/>
                      <w:sz w:val="21"/>
                      <w:szCs w:val="21"/>
                      <w:highlight w:val="none"/>
                      <w:lang w:val="en-US" w:eastAsia="zh-CN" w:bidi="ar-SA"/>
                    </w:rPr>
                  </w:pPr>
                  <w:r>
                    <w:rPr>
                      <w:rFonts w:hint="default" w:ascii="Times New Roman" w:hAnsi="Times New Roman" w:eastAsia="宋体" w:cs="Times New Roman"/>
                      <w:color w:val="auto"/>
                      <w:sz w:val="21"/>
                      <w:szCs w:val="21"/>
                      <w:highlight w:val="none"/>
                    </w:rPr>
                    <w:t>HW49</w:t>
                  </w:r>
                </w:p>
              </w:tc>
              <w:tc>
                <w:tcPr>
                  <w:tcW w:w="726" w:type="pct"/>
                  <w:tcBorders>
                    <w:tl2br w:val="nil"/>
                    <w:tr2bl w:val="nil"/>
                  </w:tcBorders>
                  <w:shd w:val="clear" w:color="auto" w:fill="auto"/>
                  <w:vAlign w:val="center"/>
                </w:tcPr>
                <w:p w14:paraId="4914AD42">
                  <w:pPr>
                    <w:pStyle w:val="129"/>
                    <w:keepNext w:val="0"/>
                    <w:keepLines w:val="0"/>
                    <w:suppressLineNumbers w:val="0"/>
                    <w:spacing w:before="0" w:beforeAutospacing="0" w:after="0" w:afterAutospacing="0"/>
                    <w:ind w:left="0" w:right="0"/>
                    <w:rPr>
                      <w:rFonts w:hint="default" w:ascii="Times New Roman" w:hAnsi="Times New Roman" w:eastAsia="宋体" w:cs="Times New Roman"/>
                      <w:color w:val="auto"/>
                      <w:kern w:val="0"/>
                      <w:sz w:val="21"/>
                      <w:szCs w:val="21"/>
                      <w:highlight w:val="none"/>
                      <w:lang w:val="en-US" w:eastAsia="zh-CN" w:bidi="ar-SA"/>
                    </w:rPr>
                  </w:pPr>
                  <w:r>
                    <w:rPr>
                      <w:rFonts w:hint="default" w:ascii="Times New Roman" w:hAnsi="Times New Roman" w:eastAsia="宋体" w:cs="Times New Roman"/>
                      <w:color w:val="auto"/>
                      <w:sz w:val="21"/>
                      <w:szCs w:val="21"/>
                      <w:highlight w:val="none"/>
                    </w:rPr>
                    <w:t>900-047-49</w:t>
                  </w:r>
                </w:p>
              </w:tc>
              <w:tc>
                <w:tcPr>
                  <w:tcW w:w="461" w:type="pct"/>
                  <w:tcBorders>
                    <w:tl2br w:val="nil"/>
                    <w:tr2bl w:val="nil"/>
                  </w:tcBorders>
                  <w:shd w:val="clear" w:color="auto" w:fill="auto"/>
                  <w:vAlign w:val="center"/>
                </w:tcPr>
                <w:p w14:paraId="537969AF">
                  <w:pPr>
                    <w:pStyle w:val="129"/>
                    <w:keepNext w:val="0"/>
                    <w:keepLines w:val="0"/>
                    <w:suppressLineNumbers w:val="0"/>
                    <w:spacing w:before="0" w:beforeAutospacing="0" w:after="0" w:afterAutospacing="0"/>
                    <w:ind w:left="0" w:right="0"/>
                    <w:rPr>
                      <w:rFonts w:hint="default" w:ascii="Times New Roman" w:hAnsi="Times New Roman" w:eastAsia="宋体" w:cs="Times New Roman"/>
                      <w:color w:val="auto"/>
                      <w:kern w:val="0"/>
                      <w:sz w:val="21"/>
                      <w:szCs w:val="21"/>
                      <w:highlight w:val="none"/>
                      <w:lang w:val="en-US" w:eastAsia="zh-CN" w:bidi="ar-SA"/>
                    </w:rPr>
                  </w:pPr>
                  <w:r>
                    <w:rPr>
                      <w:rFonts w:hint="eastAsia" w:ascii="Times New Roman" w:hAnsi="Times New Roman" w:eastAsia="宋体" w:cs="Times New Roman"/>
                      <w:color w:val="auto"/>
                      <w:sz w:val="21"/>
                      <w:szCs w:val="21"/>
                      <w:highlight w:val="none"/>
                      <w:lang w:val="en-US" w:eastAsia="zh-CN"/>
                    </w:rPr>
                    <w:t>0.</w:t>
                  </w:r>
                  <w:r>
                    <w:rPr>
                      <w:rFonts w:hint="eastAsia" w:cs="Times New Roman"/>
                      <w:color w:val="auto"/>
                      <w:sz w:val="21"/>
                      <w:szCs w:val="21"/>
                      <w:highlight w:val="none"/>
                      <w:lang w:val="en-US" w:eastAsia="zh-CN"/>
                    </w:rPr>
                    <w:t>3</w:t>
                  </w:r>
                </w:p>
              </w:tc>
              <w:tc>
                <w:tcPr>
                  <w:tcW w:w="472" w:type="pct"/>
                  <w:tcBorders>
                    <w:tl2br w:val="nil"/>
                    <w:tr2bl w:val="nil"/>
                  </w:tcBorders>
                  <w:shd w:val="clear" w:color="auto" w:fill="auto"/>
                  <w:vAlign w:val="center"/>
                </w:tcPr>
                <w:p w14:paraId="2FD5B4D5">
                  <w:pPr>
                    <w:pStyle w:val="129"/>
                    <w:keepNext w:val="0"/>
                    <w:keepLines w:val="0"/>
                    <w:suppressLineNumbers w:val="0"/>
                    <w:spacing w:before="0" w:beforeAutospacing="0" w:after="0" w:afterAutospacing="0"/>
                    <w:ind w:left="0" w:right="0"/>
                    <w:rPr>
                      <w:rFonts w:hint="eastAsia" w:ascii="Times New Roman" w:hAnsi="Times New Roman" w:eastAsia="宋体" w:cs="Times New Roman"/>
                      <w:color w:val="auto"/>
                      <w:kern w:val="0"/>
                      <w:sz w:val="21"/>
                      <w:szCs w:val="21"/>
                      <w:highlight w:val="none"/>
                      <w:lang w:val="en-US" w:eastAsia="zh-CN" w:bidi="ar-SA"/>
                    </w:rPr>
                  </w:pPr>
                  <w:r>
                    <w:rPr>
                      <w:rFonts w:hint="eastAsia" w:ascii="Times New Roman" w:hAnsi="Times New Roman" w:eastAsia="宋体" w:cs="Times New Roman"/>
                      <w:color w:val="auto"/>
                      <w:sz w:val="21"/>
                      <w:szCs w:val="21"/>
                      <w:highlight w:val="none"/>
                    </w:rPr>
                    <w:t>≤</w:t>
                  </w:r>
                  <w:r>
                    <w:rPr>
                      <w:rFonts w:hint="eastAsia" w:ascii="Times New Roman" w:hAnsi="Times New Roman" w:eastAsia="宋体" w:cs="Times New Roman"/>
                      <w:color w:val="auto"/>
                      <w:sz w:val="21"/>
                      <w:szCs w:val="21"/>
                      <w:highlight w:val="none"/>
                      <w:lang w:val="en-US" w:eastAsia="zh-CN"/>
                    </w:rPr>
                    <w:t>180</w:t>
                  </w:r>
                  <w:r>
                    <w:rPr>
                      <w:rFonts w:hint="default" w:ascii="Times New Roman" w:hAnsi="Times New Roman" w:eastAsia="宋体" w:cs="Times New Roman"/>
                      <w:color w:val="auto"/>
                      <w:sz w:val="21"/>
                      <w:szCs w:val="21"/>
                      <w:highlight w:val="none"/>
                    </w:rPr>
                    <w:t>d</w:t>
                  </w:r>
                </w:p>
              </w:tc>
              <w:tc>
                <w:tcPr>
                  <w:tcW w:w="544" w:type="pct"/>
                  <w:tcBorders>
                    <w:tl2br w:val="nil"/>
                    <w:tr2bl w:val="nil"/>
                  </w:tcBorders>
                  <w:shd w:val="clear" w:color="auto" w:fill="auto"/>
                  <w:vAlign w:val="center"/>
                </w:tcPr>
                <w:p w14:paraId="5FEBFE36">
                  <w:pPr>
                    <w:pStyle w:val="129"/>
                    <w:keepNext w:val="0"/>
                    <w:keepLines w:val="0"/>
                    <w:suppressLineNumbers w:val="0"/>
                    <w:spacing w:before="0" w:beforeAutospacing="0" w:after="0" w:afterAutospacing="0"/>
                    <w:ind w:left="0" w:right="0"/>
                    <w:rPr>
                      <w:rFonts w:hint="eastAsia" w:ascii="Times New Roman" w:hAnsi="Times New Roman" w:eastAsia="宋体" w:cs="Times New Roman"/>
                      <w:color w:val="auto"/>
                      <w:kern w:val="0"/>
                      <w:sz w:val="21"/>
                      <w:szCs w:val="21"/>
                      <w:highlight w:val="none"/>
                      <w:lang w:val="en-US" w:eastAsia="zh-CN" w:bidi="ar-SA"/>
                    </w:rPr>
                  </w:pPr>
                  <w:r>
                    <w:rPr>
                      <w:rFonts w:hint="eastAsia" w:ascii="Times New Roman" w:hAnsi="Times New Roman" w:eastAsia="宋体" w:cs="Times New Roman"/>
                      <w:color w:val="auto"/>
                      <w:sz w:val="21"/>
                      <w:szCs w:val="21"/>
                      <w:highlight w:val="none"/>
                      <w:lang w:val="en-US" w:eastAsia="zh-CN"/>
                    </w:rPr>
                    <w:t>0.</w:t>
                  </w:r>
                  <w:r>
                    <w:rPr>
                      <w:rFonts w:hint="eastAsia" w:cs="Times New Roman"/>
                      <w:color w:val="auto"/>
                      <w:sz w:val="21"/>
                      <w:szCs w:val="21"/>
                      <w:highlight w:val="none"/>
                      <w:lang w:val="en-US" w:eastAsia="zh-CN"/>
                    </w:rPr>
                    <w:t>1</w:t>
                  </w:r>
                  <w:r>
                    <w:rPr>
                      <w:rFonts w:hint="eastAsia" w:ascii="Times New Roman" w:hAnsi="Times New Roman" w:eastAsia="宋体" w:cs="Times New Roman"/>
                      <w:color w:val="auto"/>
                      <w:sz w:val="21"/>
                      <w:szCs w:val="21"/>
                      <w:highlight w:val="none"/>
                      <w:lang w:val="en-US" w:eastAsia="zh-CN"/>
                    </w:rPr>
                    <w:t xml:space="preserve">5t </w:t>
                  </w:r>
                </w:p>
              </w:tc>
              <w:tc>
                <w:tcPr>
                  <w:tcW w:w="490" w:type="pct"/>
                  <w:tcBorders>
                    <w:tl2br w:val="nil"/>
                    <w:tr2bl w:val="nil"/>
                  </w:tcBorders>
                  <w:shd w:val="clear" w:color="auto" w:fill="auto"/>
                  <w:vAlign w:val="center"/>
                </w:tcPr>
                <w:p w14:paraId="4DF695FF">
                  <w:pPr>
                    <w:pStyle w:val="129"/>
                    <w:keepNext w:val="0"/>
                    <w:keepLines w:val="0"/>
                    <w:suppressLineNumbers w:val="0"/>
                    <w:spacing w:before="0" w:beforeAutospacing="0" w:after="0" w:afterAutospacing="0"/>
                    <w:ind w:left="0" w:right="0"/>
                    <w:rPr>
                      <w:rFonts w:hint="eastAsia" w:ascii="Times New Roman" w:hAnsi="Times New Roman" w:eastAsia="宋体" w:cs="Times New Roman"/>
                      <w:color w:val="auto"/>
                      <w:kern w:val="0"/>
                      <w:sz w:val="21"/>
                      <w:szCs w:val="21"/>
                      <w:highlight w:val="none"/>
                      <w:lang w:val="en-US" w:eastAsia="zh-CN" w:bidi="ar-SA"/>
                    </w:rPr>
                  </w:pPr>
                  <w:r>
                    <w:rPr>
                      <w:rFonts w:hint="eastAsia" w:ascii="Times New Roman" w:hAnsi="Times New Roman" w:eastAsia="宋体" w:cs="Times New Roman"/>
                      <w:color w:val="auto"/>
                      <w:sz w:val="21"/>
                      <w:szCs w:val="21"/>
                      <w:highlight w:val="none"/>
                      <w:lang w:val="en-US" w:eastAsia="zh-CN"/>
                    </w:rPr>
                    <w:t>2</w:t>
                  </w:r>
                  <w:r>
                    <w:rPr>
                      <w:rFonts w:hint="default" w:ascii="Times New Roman" w:hAnsi="Times New Roman" w:eastAsia="宋体" w:cs="Times New Roman"/>
                      <w:color w:val="auto"/>
                      <w:sz w:val="21"/>
                      <w:szCs w:val="21"/>
                      <w:highlight w:val="none"/>
                    </w:rPr>
                    <w:t>m</w:t>
                  </w:r>
                  <w:r>
                    <w:rPr>
                      <w:rFonts w:hint="default" w:ascii="Times New Roman" w:hAnsi="Times New Roman" w:eastAsia="宋体" w:cs="Times New Roman"/>
                      <w:color w:val="auto"/>
                      <w:sz w:val="21"/>
                      <w:szCs w:val="21"/>
                      <w:highlight w:val="none"/>
                      <w:vertAlign w:val="superscript"/>
                    </w:rPr>
                    <w:t>2</w:t>
                  </w:r>
                </w:p>
              </w:tc>
              <w:tc>
                <w:tcPr>
                  <w:tcW w:w="673" w:type="pct"/>
                  <w:vMerge w:val="continue"/>
                  <w:tcBorders>
                    <w:tl2br w:val="nil"/>
                    <w:tr2bl w:val="nil"/>
                  </w:tcBorders>
                  <w:vAlign w:val="center"/>
                </w:tcPr>
                <w:p w14:paraId="2D9E4D7D">
                  <w:pPr>
                    <w:pStyle w:val="129"/>
                    <w:keepNext w:val="0"/>
                    <w:keepLines w:val="0"/>
                    <w:suppressLineNumbers w:val="0"/>
                    <w:spacing w:before="0" w:beforeAutospacing="0" w:after="0" w:afterAutospacing="0"/>
                    <w:ind w:left="0" w:right="0"/>
                    <w:rPr>
                      <w:rFonts w:hint="default" w:ascii="Times New Roman" w:hAnsi="Times New Roman" w:eastAsia="宋体" w:cs="Times New Roman"/>
                      <w:color w:val="auto"/>
                      <w:sz w:val="21"/>
                      <w:szCs w:val="21"/>
                      <w:highlight w:val="none"/>
                    </w:rPr>
                  </w:pPr>
                </w:p>
              </w:tc>
            </w:tr>
            <w:tr w14:paraId="0BDF25D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340" w:hRule="atLeast"/>
                <w:jc w:val="center"/>
              </w:trPr>
              <w:tc>
                <w:tcPr>
                  <w:tcW w:w="1086" w:type="pct"/>
                  <w:gridSpan w:val="2"/>
                  <w:tcBorders>
                    <w:tl2br w:val="nil"/>
                    <w:tr2bl w:val="nil"/>
                  </w:tcBorders>
                  <w:vAlign w:val="center"/>
                </w:tcPr>
                <w:p w14:paraId="79403E72">
                  <w:pPr>
                    <w:pStyle w:val="129"/>
                    <w:keepNext w:val="0"/>
                    <w:keepLines w:val="0"/>
                    <w:suppressLineNumbers w:val="0"/>
                    <w:spacing w:before="0" w:beforeAutospacing="0" w:after="0" w:afterAutospacing="0"/>
                    <w:ind w:left="0" w:right="0"/>
                    <w:rPr>
                      <w:rFonts w:hint="eastAsia" w:ascii="Times New Roman" w:hAnsi="Times New Roman" w:eastAsia="宋体" w:cs="Times New Roman"/>
                      <w:color w:val="auto"/>
                      <w:sz w:val="21"/>
                      <w:szCs w:val="21"/>
                      <w:highlight w:val="none"/>
                      <w:lang w:val="en-US" w:eastAsia="zh-CN"/>
                    </w:rPr>
                  </w:pPr>
                  <w:r>
                    <w:rPr>
                      <w:rFonts w:hint="eastAsia" w:ascii="Times New Roman" w:hAnsi="Times New Roman" w:eastAsia="宋体" w:cs="Times New Roman"/>
                      <w:color w:val="auto"/>
                      <w:sz w:val="21"/>
                      <w:szCs w:val="21"/>
                      <w:highlight w:val="none"/>
                      <w:lang w:val="en-US" w:eastAsia="zh-CN"/>
                    </w:rPr>
                    <w:t>小计</w:t>
                  </w:r>
                </w:p>
              </w:tc>
              <w:tc>
                <w:tcPr>
                  <w:tcW w:w="544" w:type="pct"/>
                  <w:tcBorders>
                    <w:tl2br w:val="nil"/>
                    <w:tr2bl w:val="nil"/>
                  </w:tcBorders>
                  <w:shd w:val="clear" w:color="auto" w:fill="auto"/>
                  <w:vAlign w:val="center"/>
                </w:tcPr>
                <w:p w14:paraId="2C77783E">
                  <w:pPr>
                    <w:pStyle w:val="129"/>
                    <w:keepNext w:val="0"/>
                    <w:keepLines w:val="0"/>
                    <w:suppressLineNumbers w:val="0"/>
                    <w:spacing w:before="0" w:beforeAutospacing="0" w:after="0" w:afterAutospacing="0"/>
                    <w:ind w:left="0" w:right="0"/>
                    <w:jc w:val="center"/>
                    <w:rPr>
                      <w:rFonts w:hint="eastAsia" w:ascii="Times New Roman" w:hAnsi="Times New Roman" w:eastAsia="宋体" w:cs="Times New Roman"/>
                      <w:color w:val="auto"/>
                      <w:kern w:val="0"/>
                      <w:sz w:val="21"/>
                      <w:szCs w:val="21"/>
                      <w:highlight w:val="none"/>
                      <w:lang w:val="en-US" w:eastAsia="zh-CN" w:bidi="ar-SA"/>
                    </w:rPr>
                  </w:pPr>
                  <w:r>
                    <w:rPr>
                      <w:rFonts w:hint="eastAsia" w:ascii="Times New Roman" w:hAnsi="Times New Roman" w:eastAsia="宋体" w:cs="Times New Roman"/>
                      <w:color w:val="auto"/>
                      <w:sz w:val="21"/>
                      <w:szCs w:val="21"/>
                      <w:highlight w:val="none"/>
                      <w:lang w:val="en-US" w:eastAsia="zh-CN"/>
                    </w:rPr>
                    <w:t>/</w:t>
                  </w:r>
                </w:p>
              </w:tc>
              <w:tc>
                <w:tcPr>
                  <w:tcW w:w="726" w:type="pct"/>
                  <w:tcBorders>
                    <w:tl2br w:val="nil"/>
                    <w:tr2bl w:val="nil"/>
                  </w:tcBorders>
                  <w:shd w:val="clear" w:color="auto" w:fill="auto"/>
                  <w:vAlign w:val="center"/>
                </w:tcPr>
                <w:p w14:paraId="5CBC4DCF">
                  <w:pPr>
                    <w:keepNext w:val="0"/>
                    <w:keepLines w:val="0"/>
                    <w:suppressLineNumbers w:val="0"/>
                    <w:spacing w:before="0" w:beforeAutospacing="0" w:after="0" w:afterAutospacing="0"/>
                    <w:ind w:left="0" w:right="0"/>
                    <w:jc w:val="center"/>
                    <w:rPr>
                      <w:rFonts w:hint="eastAsia" w:ascii="Times New Roman" w:hAnsi="Times New Roman" w:eastAsia="宋体" w:cs="Times New Roman"/>
                      <w:color w:val="auto"/>
                      <w:kern w:val="2"/>
                      <w:sz w:val="21"/>
                      <w:szCs w:val="21"/>
                      <w:highlight w:val="none"/>
                      <w:lang w:val="en-US" w:eastAsia="zh-CN" w:bidi="ar-SA"/>
                    </w:rPr>
                  </w:pPr>
                  <w:r>
                    <w:rPr>
                      <w:rFonts w:hint="eastAsia" w:ascii="Times New Roman" w:hAnsi="Times New Roman" w:eastAsia="宋体" w:cs="Times New Roman"/>
                      <w:color w:val="auto"/>
                      <w:sz w:val="21"/>
                      <w:szCs w:val="21"/>
                      <w:highlight w:val="none"/>
                      <w:lang w:val="en-US" w:eastAsia="zh-CN"/>
                    </w:rPr>
                    <w:t>/</w:t>
                  </w:r>
                </w:p>
              </w:tc>
              <w:tc>
                <w:tcPr>
                  <w:tcW w:w="461" w:type="pct"/>
                  <w:tcBorders>
                    <w:tl2br w:val="nil"/>
                    <w:tr2bl w:val="nil"/>
                  </w:tcBorders>
                  <w:shd w:val="clear" w:color="auto" w:fill="auto"/>
                  <w:vAlign w:val="center"/>
                </w:tcPr>
                <w:p w14:paraId="651F5614">
                  <w:pPr>
                    <w:keepNext w:val="0"/>
                    <w:keepLines w:val="0"/>
                    <w:suppressLineNumbers w:val="0"/>
                    <w:spacing w:before="0" w:beforeAutospacing="0" w:after="0" w:afterAutospacing="0"/>
                    <w:ind w:left="0" w:right="0"/>
                    <w:jc w:val="center"/>
                    <w:rPr>
                      <w:rFonts w:hint="eastAsia" w:ascii="Times New Roman" w:hAnsi="Times New Roman" w:eastAsia="宋体" w:cs="Times New Roman"/>
                      <w:color w:val="auto"/>
                      <w:kern w:val="2"/>
                      <w:sz w:val="21"/>
                      <w:szCs w:val="21"/>
                      <w:highlight w:val="none"/>
                      <w:lang w:val="en-US" w:eastAsia="zh-CN" w:bidi="ar-SA"/>
                    </w:rPr>
                  </w:pPr>
                  <w:r>
                    <w:rPr>
                      <w:rFonts w:hint="eastAsia" w:ascii="Times New Roman" w:hAnsi="Times New Roman" w:eastAsia="宋体" w:cs="Times New Roman"/>
                      <w:color w:val="auto"/>
                      <w:sz w:val="21"/>
                      <w:szCs w:val="21"/>
                      <w:highlight w:val="none"/>
                      <w:lang w:val="en-US" w:eastAsia="zh-CN"/>
                    </w:rPr>
                    <w:t>/</w:t>
                  </w:r>
                </w:p>
              </w:tc>
              <w:tc>
                <w:tcPr>
                  <w:tcW w:w="472" w:type="pct"/>
                  <w:tcBorders>
                    <w:tl2br w:val="nil"/>
                    <w:tr2bl w:val="nil"/>
                  </w:tcBorders>
                  <w:shd w:val="clear" w:color="auto" w:fill="auto"/>
                  <w:vAlign w:val="center"/>
                </w:tcPr>
                <w:p w14:paraId="0DB637CF">
                  <w:pPr>
                    <w:keepNext w:val="0"/>
                    <w:keepLines w:val="0"/>
                    <w:suppressLineNumbers w:val="0"/>
                    <w:spacing w:before="0" w:beforeAutospacing="0" w:after="0" w:afterAutospacing="0"/>
                    <w:ind w:left="0" w:right="0"/>
                    <w:jc w:val="center"/>
                    <w:rPr>
                      <w:rFonts w:hint="eastAsia" w:ascii="Times New Roman" w:hAnsi="Times New Roman" w:eastAsia="宋体" w:cs="Times New Roman"/>
                      <w:color w:val="auto"/>
                      <w:kern w:val="0"/>
                      <w:sz w:val="21"/>
                      <w:szCs w:val="21"/>
                      <w:highlight w:val="none"/>
                      <w:lang w:val="en-US" w:eastAsia="zh-CN" w:bidi="ar-SA"/>
                    </w:rPr>
                  </w:pPr>
                  <w:r>
                    <w:rPr>
                      <w:rFonts w:hint="eastAsia" w:ascii="Times New Roman" w:hAnsi="Times New Roman" w:eastAsia="宋体" w:cs="Times New Roman"/>
                      <w:color w:val="auto"/>
                      <w:sz w:val="21"/>
                      <w:szCs w:val="21"/>
                      <w:highlight w:val="none"/>
                      <w:lang w:val="en-US" w:eastAsia="zh-CN"/>
                    </w:rPr>
                    <w:t>/</w:t>
                  </w:r>
                </w:p>
              </w:tc>
              <w:tc>
                <w:tcPr>
                  <w:tcW w:w="544" w:type="pct"/>
                  <w:tcBorders>
                    <w:tl2br w:val="nil"/>
                    <w:tr2bl w:val="nil"/>
                  </w:tcBorders>
                  <w:shd w:val="clear" w:color="auto" w:fill="auto"/>
                  <w:vAlign w:val="center"/>
                </w:tcPr>
                <w:p w14:paraId="5C4CDF3D">
                  <w:pPr>
                    <w:keepNext w:val="0"/>
                    <w:keepLines w:val="0"/>
                    <w:suppressLineNumbers w:val="0"/>
                    <w:spacing w:before="0" w:beforeAutospacing="0" w:after="0" w:afterAutospacing="0"/>
                    <w:ind w:left="0" w:right="0"/>
                    <w:jc w:val="center"/>
                    <w:rPr>
                      <w:rFonts w:hint="eastAsia" w:ascii="Times New Roman" w:hAnsi="Times New Roman" w:eastAsia="宋体" w:cs="Times New Roman"/>
                      <w:color w:val="auto"/>
                      <w:kern w:val="2"/>
                      <w:sz w:val="21"/>
                      <w:szCs w:val="21"/>
                      <w:highlight w:val="none"/>
                      <w:lang w:val="en-US" w:eastAsia="zh-CN" w:bidi="ar-SA"/>
                    </w:rPr>
                  </w:pPr>
                  <w:r>
                    <w:rPr>
                      <w:rFonts w:hint="eastAsia" w:ascii="Times New Roman" w:hAnsi="Times New Roman" w:eastAsia="宋体" w:cs="Times New Roman"/>
                      <w:color w:val="auto"/>
                      <w:sz w:val="21"/>
                      <w:szCs w:val="21"/>
                      <w:highlight w:val="none"/>
                      <w:lang w:val="en-US" w:eastAsia="zh-CN"/>
                    </w:rPr>
                    <w:t>/</w:t>
                  </w:r>
                </w:p>
              </w:tc>
              <w:tc>
                <w:tcPr>
                  <w:tcW w:w="490" w:type="pct"/>
                  <w:tcBorders>
                    <w:tl2br w:val="nil"/>
                    <w:tr2bl w:val="nil"/>
                  </w:tcBorders>
                  <w:vAlign w:val="center"/>
                </w:tcPr>
                <w:p w14:paraId="25EF2912">
                  <w:pPr>
                    <w:pStyle w:val="129"/>
                    <w:keepNext w:val="0"/>
                    <w:keepLines w:val="0"/>
                    <w:suppressLineNumbers w:val="0"/>
                    <w:spacing w:before="0" w:beforeAutospacing="0" w:after="0" w:afterAutospacing="0"/>
                    <w:ind w:left="0" w:right="0"/>
                    <w:rPr>
                      <w:rFonts w:hint="default" w:ascii="Times New Roman" w:hAnsi="Times New Roman" w:eastAsia="宋体" w:cs="Times New Roman"/>
                      <w:color w:val="auto"/>
                      <w:sz w:val="21"/>
                      <w:szCs w:val="21"/>
                      <w:highlight w:val="none"/>
                      <w:lang w:val="en-US" w:eastAsia="zh-CN"/>
                    </w:rPr>
                  </w:pPr>
                  <w:r>
                    <w:rPr>
                      <w:rFonts w:hint="eastAsia" w:ascii="Times New Roman" w:hAnsi="Times New Roman" w:eastAsia="宋体" w:cs="Times New Roman"/>
                      <w:b/>
                      <w:bCs/>
                      <w:color w:val="auto"/>
                      <w:sz w:val="21"/>
                      <w:szCs w:val="21"/>
                      <w:highlight w:val="none"/>
                      <w:lang w:val="en-US" w:eastAsia="zh-CN"/>
                    </w:rPr>
                    <w:t>4</w:t>
                  </w:r>
                  <w:r>
                    <w:rPr>
                      <w:rFonts w:hint="eastAsia" w:cs="Times New Roman"/>
                      <w:b/>
                      <w:bCs/>
                      <w:color w:val="auto"/>
                      <w:sz w:val="21"/>
                      <w:szCs w:val="21"/>
                      <w:highlight w:val="none"/>
                      <w:lang w:val="en-US" w:eastAsia="zh-CN"/>
                    </w:rPr>
                    <w:t>5</w:t>
                  </w:r>
                  <w:r>
                    <w:rPr>
                      <w:rFonts w:hint="default" w:ascii="Times New Roman" w:hAnsi="Times New Roman" w:eastAsia="宋体" w:cs="Times New Roman"/>
                      <w:b/>
                      <w:bCs/>
                      <w:color w:val="auto"/>
                      <w:sz w:val="21"/>
                      <w:szCs w:val="21"/>
                      <w:highlight w:val="none"/>
                    </w:rPr>
                    <w:t>m</w:t>
                  </w:r>
                  <w:r>
                    <w:rPr>
                      <w:rFonts w:hint="default" w:ascii="Times New Roman" w:hAnsi="Times New Roman" w:eastAsia="宋体" w:cs="Times New Roman"/>
                      <w:b/>
                      <w:bCs/>
                      <w:color w:val="auto"/>
                      <w:sz w:val="21"/>
                      <w:szCs w:val="21"/>
                      <w:highlight w:val="none"/>
                      <w:vertAlign w:val="superscript"/>
                    </w:rPr>
                    <w:t>2</w:t>
                  </w:r>
                </w:p>
              </w:tc>
              <w:tc>
                <w:tcPr>
                  <w:tcW w:w="673" w:type="pct"/>
                  <w:vMerge w:val="continue"/>
                  <w:tcBorders>
                    <w:tl2br w:val="nil"/>
                    <w:tr2bl w:val="nil"/>
                  </w:tcBorders>
                  <w:vAlign w:val="center"/>
                </w:tcPr>
                <w:p w14:paraId="23B146D4">
                  <w:pPr>
                    <w:pStyle w:val="129"/>
                    <w:keepNext w:val="0"/>
                    <w:keepLines w:val="0"/>
                    <w:suppressLineNumbers w:val="0"/>
                    <w:spacing w:before="0" w:beforeAutospacing="0" w:after="0" w:afterAutospacing="0"/>
                    <w:ind w:left="0" w:right="0"/>
                    <w:rPr>
                      <w:rFonts w:hint="default" w:ascii="Times New Roman" w:hAnsi="Times New Roman" w:eastAsia="宋体" w:cs="Times New Roman"/>
                      <w:color w:val="auto"/>
                      <w:sz w:val="21"/>
                      <w:szCs w:val="21"/>
                      <w:highlight w:val="none"/>
                    </w:rPr>
                  </w:pPr>
                </w:p>
              </w:tc>
            </w:tr>
          </w:tbl>
          <w:p w14:paraId="4A83FC7E">
            <w:pPr>
              <w:pStyle w:val="122"/>
              <w:keepNext w:val="0"/>
              <w:keepLines w:val="0"/>
              <w:suppressLineNumbers w:val="0"/>
              <w:spacing w:before="0" w:beforeAutospacing="0" w:after="0" w:afterAutospacing="0"/>
              <w:ind w:left="0" w:right="0"/>
              <w:rPr>
                <w:rFonts w:hint="default" w:ascii="Times New Roman" w:hAnsi="Times New Roman" w:eastAsia="宋体" w:cs="Times New Roman"/>
                <w:highlight w:val="none"/>
              </w:rPr>
            </w:pPr>
            <w:r>
              <w:rPr>
                <w:rFonts w:hint="eastAsia" w:ascii="Times New Roman" w:hAnsi="Times New Roman" w:eastAsia="宋体" w:cs="Times New Roman"/>
                <w:highlight w:val="none"/>
              </w:rPr>
              <w:t>根据分析</w:t>
            </w:r>
            <w:r>
              <w:rPr>
                <w:rFonts w:hint="default" w:ascii="Times New Roman" w:hAnsi="Times New Roman" w:eastAsia="宋体" w:cs="Times New Roman"/>
                <w:highlight w:val="none"/>
              </w:rPr>
              <w:t>，本项目危废</w:t>
            </w:r>
            <w:r>
              <w:rPr>
                <w:rFonts w:hint="eastAsia" w:ascii="Times New Roman" w:hAnsi="Times New Roman" w:eastAsia="宋体" w:cs="Times New Roman"/>
                <w:highlight w:val="none"/>
              </w:rPr>
              <w:t>暂存点</w:t>
            </w:r>
            <w:r>
              <w:rPr>
                <w:rFonts w:hint="default" w:ascii="Times New Roman" w:hAnsi="Times New Roman" w:eastAsia="宋体" w:cs="Times New Roman"/>
                <w:highlight w:val="none"/>
              </w:rPr>
              <w:t>或危废库设置满足</w:t>
            </w:r>
            <w:r>
              <w:rPr>
                <w:rFonts w:hint="eastAsia" w:ascii="Times New Roman" w:hAnsi="Times New Roman" w:eastAsia="宋体" w:cs="Times New Roman"/>
                <w:highlight w:val="none"/>
              </w:rPr>
              <w:t>危废</w:t>
            </w:r>
            <w:r>
              <w:rPr>
                <w:rFonts w:hint="default" w:ascii="Times New Roman" w:hAnsi="Times New Roman" w:eastAsia="宋体" w:cs="Times New Roman"/>
                <w:highlight w:val="none"/>
              </w:rPr>
              <w:t>暂存需求</w:t>
            </w:r>
            <w:r>
              <w:rPr>
                <w:rFonts w:hint="eastAsia" w:ascii="Times New Roman" w:hAnsi="Times New Roman" w:eastAsia="宋体" w:cs="Times New Roman"/>
                <w:highlight w:val="none"/>
              </w:rPr>
              <w:t>。</w:t>
            </w:r>
          </w:p>
          <w:p w14:paraId="776656AF">
            <w:pPr>
              <w:pStyle w:val="122"/>
              <w:keepNext w:val="0"/>
              <w:keepLines w:val="0"/>
              <w:suppressLineNumbers w:val="0"/>
              <w:spacing w:before="0" w:beforeAutospacing="0" w:after="0" w:afterAutospacing="0"/>
              <w:ind w:left="0" w:right="0"/>
              <w:rPr>
                <w:rFonts w:hint="default" w:ascii="Times New Roman" w:hAnsi="Times New Roman" w:eastAsia="宋体" w:cs="Times New Roman"/>
                <w:highlight w:val="none"/>
              </w:rPr>
            </w:pPr>
            <w:r>
              <w:rPr>
                <w:rFonts w:hint="eastAsia" w:ascii="Times New Roman" w:hAnsi="Times New Roman" w:eastAsia="宋体" w:cs="Times New Roman"/>
                <w:highlight w:val="none"/>
              </w:rPr>
              <w:t>（3）收集贮存</w:t>
            </w:r>
            <w:r>
              <w:rPr>
                <w:rFonts w:hint="default" w:ascii="Times New Roman" w:hAnsi="Times New Roman" w:eastAsia="宋体" w:cs="Times New Roman"/>
                <w:highlight w:val="none"/>
              </w:rPr>
              <w:t>管理要求</w:t>
            </w:r>
          </w:p>
          <w:p w14:paraId="37630789">
            <w:pPr>
              <w:pStyle w:val="122"/>
              <w:keepNext w:val="0"/>
              <w:keepLines w:val="0"/>
              <w:suppressLineNumbers w:val="0"/>
              <w:spacing w:before="0" w:beforeAutospacing="0" w:after="0" w:afterAutospacing="0"/>
              <w:ind w:left="0" w:right="0"/>
              <w:rPr>
                <w:rFonts w:hint="default" w:ascii="Times New Roman" w:hAnsi="Times New Roman" w:eastAsia="宋体" w:cs="Times New Roman"/>
                <w:highlight w:val="none"/>
              </w:rPr>
            </w:pPr>
            <w:r>
              <w:rPr>
                <w:rFonts w:hint="eastAsia" w:ascii="Times New Roman" w:hAnsi="Times New Roman" w:eastAsia="宋体" w:cs="Times New Roman"/>
                <w:highlight w:val="none"/>
              </w:rPr>
              <w:t>①</w:t>
            </w:r>
            <w:r>
              <w:rPr>
                <w:rFonts w:hint="default" w:ascii="Times New Roman" w:hAnsi="Times New Roman" w:eastAsia="宋体" w:cs="Times New Roman"/>
                <w:highlight w:val="none"/>
              </w:rPr>
              <w:t>医疗废物</w:t>
            </w:r>
          </w:p>
          <w:p w14:paraId="74B8EEA6">
            <w:pPr>
              <w:pStyle w:val="122"/>
              <w:keepNext w:val="0"/>
              <w:keepLines w:val="0"/>
              <w:suppressLineNumbers w:val="0"/>
              <w:spacing w:before="0" w:beforeAutospacing="0" w:after="0" w:afterAutospacing="0"/>
              <w:ind w:left="0" w:right="0"/>
              <w:rPr>
                <w:rStyle w:val="132"/>
                <w:rFonts w:hint="default" w:ascii="Times New Roman" w:hAnsi="Times New Roman" w:eastAsia="宋体" w:cs="Times New Roman"/>
                <w:highlight w:val="none"/>
              </w:rPr>
            </w:pPr>
            <w:r>
              <w:rPr>
                <w:rFonts w:hint="default" w:ascii="Times New Roman" w:hAnsi="Times New Roman" w:eastAsia="宋体" w:cs="Times New Roman"/>
                <w:highlight w:val="none"/>
              </w:rPr>
              <w:t>本项目进行动物实验，病理性废物需按照《实验动物机构 实验动物生物安全管理规范》（DB32/T 3980-2021）的相关要求进行管理，动物处死应符合安乐死原则，先经灭菌然后放在</w:t>
            </w:r>
            <w:r>
              <w:rPr>
                <w:rFonts w:hint="eastAsia" w:ascii="Times New Roman" w:hAnsi="Times New Roman" w:eastAsia="宋体" w:cs="Times New Roman"/>
                <w:highlight w:val="none"/>
              </w:rPr>
              <w:t>指定</w:t>
            </w:r>
            <w:r>
              <w:rPr>
                <w:rFonts w:hint="default" w:ascii="Times New Roman" w:hAnsi="Times New Roman" w:eastAsia="宋体" w:cs="Times New Roman"/>
                <w:highlight w:val="none"/>
              </w:rPr>
              <w:t>安全区域并进行</w:t>
            </w:r>
            <w:r>
              <w:rPr>
                <w:rFonts w:hint="eastAsia" w:ascii="Times New Roman" w:hAnsi="Times New Roman" w:eastAsia="宋体" w:cs="Times New Roman"/>
                <w:highlight w:val="none"/>
              </w:rPr>
              <w:t>无害化处理</w:t>
            </w:r>
            <w:r>
              <w:rPr>
                <w:rFonts w:hint="default" w:ascii="Times New Roman" w:hAnsi="Times New Roman" w:eastAsia="宋体" w:cs="Times New Roman"/>
                <w:highlight w:val="none"/>
              </w:rPr>
              <w:t>，注射器及刀片等</w:t>
            </w:r>
            <w:r>
              <w:rPr>
                <w:rFonts w:hint="eastAsia" w:ascii="Times New Roman" w:hAnsi="Times New Roman" w:eastAsia="宋体" w:cs="Times New Roman"/>
                <w:highlight w:val="none"/>
              </w:rPr>
              <w:t>损伤性废物</w:t>
            </w:r>
            <w:r>
              <w:rPr>
                <w:rFonts w:hint="default" w:ascii="Times New Roman" w:hAnsi="Times New Roman" w:eastAsia="宋体" w:cs="Times New Roman"/>
                <w:highlight w:val="none"/>
              </w:rPr>
              <w:t>应放利器盒统一存放，按照医疗废弃物的处理规定进行处理。</w:t>
            </w:r>
          </w:p>
          <w:p w14:paraId="7CE9F00D">
            <w:pPr>
              <w:pStyle w:val="122"/>
              <w:keepNext w:val="0"/>
              <w:keepLines w:val="0"/>
              <w:suppressLineNumbers w:val="0"/>
              <w:spacing w:before="0" w:beforeAutospacing="0" w:after="0" w:afterAutospacing="0"/>
              <w:ind w:left="0" w:right="0"/>
              <w:rPr>
                <w:rStyle w:val="132"/>
                <w:rFonts w:hint="default" w:ascii="Times New Roman" w:hAnsi="Times New Roman" w:eastAsia="宋体" w:cs="Times New Roman"/>
                <w:highlight w:val="none"/>
              </w:rPr>
            </w:pPr>
            <w:r>
              <w:rPr>
                <w:rStyle w:val="132"/>
                <w:rFonts w:hint="eastAsia" w:ascii="Times New Roman" w:hAnsi="Times New Roman" w:eastAsia="宋体" w:cs="Times New Roman"/>
                <w:highlight w:val="none"/>
              </w:rPr>
              <w:t>对照</w:t>
            </w:r>
            <w:r>
              <w:rPr>
                <w:rStyle w:val="132"/>
                <w:rFonts w:hint="default" w:ascii="Times New Roman" w:hAnsi="Times New Roman" w:eastAsia="宋体" w:cs="Times New Roman"/>
                <w:highlight w:val="none"/>
              </w:rPr>
              <w:t>《医疗卫生机构医疗废物管理办法》</w:t>
            </w:r>
            <w:r>
              <w:rPr>
                <w:rStyle w:val="132"/>
                <w:rFonts w:hint="eastAsia" w:ascii="Times New Roman" w:hAnsi="Times New Roman" w:eastAsia="宋体" w:cs="Times New Roman"/>
                <w:highlight w:val="none"/>
              </w:rPr>
              <w:t>，</w:t>
            </w:r>
            <w:r>
              <w:rPr>
                <w:rStyle w:val="132"/>
                <w:rFonts w:hint="default" w:ascii="Times New Roman" w:hAnsi="Times New Roman" w:eastAsia="宋体" w:cs="Times New Roman"/>
                <w:highlight w:val="none"/>
              </w:rPr>
              <w:t>医疗废物收集过程中应根据医疗废物的类别，将医疗废物分置于符合《医疗废物专用包装物、容器的标准和警示标识的规定》的包装物或者容器内；在盛装医疗废物前，应当对医疗废物包装物或者容器进行认真检查，确保无破损、渗漏和其他缺陷；感染性废物、病理性废物、损伤性废物、药物性废物</w:t>
            </w:r>
            <w:r>
              <w:rPr>
                <w:rStyle w:val="132"/>
                <w:rFonts w:hint="default" w:ascii="Times New Roman" w:hAnsi="Times New Roman" w:eastAsia="宋体" w:cs="Times New Roman"/>
                <w:highlight w:val="none"/>
                <w:u w:val="none"/>
              </w:rPr>
              <w:t>不能混合收集。废弃的麻醉、精神、放射性、毒性等药品及其相关的废物的管理，依照有关法律、行政法规和国家有关规定、标准执行；化学性废物中批量的废化学试剂、废消毒剂应当交由专门机构处置；批量的含有汞的体温计、血压计等医疗器具报废时，应当交由专门机构处置；</w:t>
            </w:r>
            <w:r>
              <w:rPr>
                <w:rFonts w:hint="default" w:ascii="Times New Roman" w:hAnsi="Times New Roman" w:eastAsia="宋体" w:cs="Times New Roman"/>
                <w:highlight w:val="none"/>
                <w:u w:val="none"/>
              </w:rPr>
              <w:fldChar w:fldCharType="begin"/>
            </w:r>
            <w:r>
              <w:rPr>
                <w:rFonts w:hint="default" w:ascii="Times New Roman" w:hAnsi="Times New Roman" w:eastAsia="宋体" w:cs="Times New Roman"/>
                <w:highlight w:val="none"/>
                <w:u w:val="none"/>
              </w:rPr>
              <w:instrText xml:space="preserve"> HYPERLINK "https://baike.baidu.com/item/%E5%8C%BB%E7%96%97%E5%BA%9F%E7%89%A9/4228328?fromModule=lemma_inlink" \t "_blank" </w:instrText>
            </w:r>
            <w:r>
              <w:rPr>
                <w:rFonts w:hint="default" w:ascii="Times New Roman" w:hAnsi="Times New Roman" w:eastAsia="宋体" w:cs="Times New Roman"/>
                <w:highlight w:val="none"/>
                <w:u w:val="none"/>
              </w:rPr>
              <w:fldChar w:fldCharType="separate"/>
            </w:r>
            <w:r>
              <w:rPr>
                <w:rStyle w:val="38"/>
                <w:rFonts w:hint="default" w:ascii="Times New Roman" w:hAnsi="Times New Roman" w:eastAsia="宋体" w:cs="Times New Roman"/>
                <w:color w:val="auto"/>
                <w:highlight w:val="none"/>
                <w:u w:val="none"/>
              </w:rPr>
              <w:t>医疗废物</w:t>
            </w:r>
            <w:r>
              <w:rPr>
                <w:rStyle w:val="38"/>
                <w:rFonts w:hint="default" w:ascii="Times New Roman" w:hAnsi="Times New Roman" w:eastAsia="宋体" w:cs="Times New Roman"/>
                <w:color w:val="auto"/>
                <w:highlight w:val="none"/>
                <w:u w:val="none"/>
              </w:rPr>
              <w:fldChar w:fldCharType="end"/>
            </w:r>
            <w:r>
              <w:rPr>
                <w:rStyle w:val="132"/>
                <w:rFonts w:hint="default" w:ascii="Times New Roman" w:hAnsi="Times New Roman" w:eastAsia="宋体" w:cs="Times New Roman"/>
                <w:highlight w:val="none"/>
                <w:u w:val="none"/>
              </w:rPr>
              <w:t>中病原体的培养基、标本和菌种、毒种保存液等高</w:t>
            </w:r>
            <w:r>
              <w:rPr>
                <w:rFonts w:hint="default" w:ascii="Times New Roman" w:hAnsi="Times New Roman" w:eastAsia="宋体" w:cs="Times New Roman"/>
                <w:highlight w:val="none"/>
                <w:u w:val="none"/>
              </w:rPr>
              <w:fldChar w:fldCharType="begin"/>
            </w:r>
            <w:r>
              <w:rPr>
                <w:rFonts w:hint="default" w:ascii="Times New Roman" w:hAnsi="Times New Roman" w:eastAsia="宋体" w:cs="Times New Roman"/>
                <w:highlight w:val="none"/>
                <w:u w:val="none"/>
              </w:rPr>
              <w:instrText xml:space="preserve"> HYPERLINK "https://baike.baidu.com/item/%E5%8D%B1%E9%99%A9%E5%BA%9F%E7%89%A9/5509933?fromModule=lemma_inlink" \t "_blank" </w:instrText>
            </w:r>
            <w:r>
              <w:rPr>
                <w:rFonts w:hint="default" w:ascii="Times New Roman" w:hAnsi="Times New Roman" w:eastAsia="宋体" w:cs="Times New Roman"/>
                <w:highlight w:val="none"/>
                <w:u w:val="none"/>
              </w:rPr>
              <w:fldChar w:fldCharType="separate"/>
            </w:r>
            <w:r>
              <w:rPr>
                <w:rStyle w:val="38"/>
                <w:rFonts w:hint="default" w:ascii="Times New Roman" w:hAnsi="Times New Roman" w:eastAsia="宋体" w:cs="Times New Roman"/>
                <w:color w:val="auto"/>
                <w:highlight w:val="none"/>
                <w:u w:val="none"/>
              </w:rPr>
              <w:t>危险废物</w:t>
            </w:r>
            <w:r>
              <w:rPr>
                <w:rStyle w:val="38"/>
                <w:rFonts w:hint="default" w:ascii="Times New Roman" w:hAnsi="Times New Roman" w:eastAsia="宋体" w:cs="Times New Roman"/>
                <w:color w:val="auto"/>
                <w:highlight w:val="none"/>
                <w:u w:val="none"/>
              </w:rPr>
              <w:fldChar w:fldCharType="end"/>
            </w:r>
            <w:r>
              <w:rPr>
                <w:rStyle w:val="132"/>
                <w:rFonts w:hint="default" w:ascii="Times New Roman" w:hAnsi="Times New Roman" w:eastAsia="宋体" w:cs="Times New Roman"/>
                <w:highlight w:val="none"/>
                <w:u w:val="none"/>
              </w:rPr>
              <w:t>，应当首先</w:t>
            </w:r>
            <w:r>
              <w:rPr>
                <w:rStyle w:val="132"/>
                <w:rFonts w:hint="default" w:ascii="Times New Roman" w:hAnsi="Times New Roman" w:eastAsia="宋体" w:cs="Times New Roman"/>
                <w:highlight w:val="none"/>
              </w:rPr>
              <w:t>在产生地点进行压力蒸汽灭菌或者化学消毒处理，然后按感染性废物收集处理；放入包装物或者容器内的感染性废物、病理性废物、损伤性废物不得取出。</w:t>
            </w:r>
          </w:p>
          <w:p w14:paraId="2B887730">
            <w:pPr>
              <w:pStyle w:val="122"/>
              <w:keepNext w:val="0"/>
              <w:keepLines w:val="0"/>
              <w:suppressLineNumbers w:val="0"/>
              <w:spacing w:before="0" w:beforeAutospacing="0" w:after="0" w:afterAutospacing="0"/>
              <w:ind w:left="0" w:right="0"/>
              <w:rPr>
                <w:rFonts w:hint="default" w:ascii="Times New Roman" w:hAnsi="Times New Roman" w:eastAsia="宋体" w:cs="Times New Roman"/>
                <w:highlight w:val="none"/>
              </w:rPr>
            </w:pPr>
            <w:r>
              <w:rPr>
                <w:rStyle w:val="132"/>
                <w:rFonts w:hint="default" w:ascii="Times New Roman" w:hAnsi="Times New Roman" w:eastAsia="宋体" w:cs="Times New Roman"/>
                <w:highlight w:val="none"/>
              </w:rPr>
              <w:t>医疗卫生机构建</w:t>
            </w:r>
            <w:r>
              <w:rPr>
                <w:rStyle w:val="132"/>
                <w:rFonts w:hint="default" w:ascii="Times New Roman" w:hAnsi="Times New Roman" w:eastAsia="宋体" w:cs="Times New Roman"/>
                <w:highlight w:val="none"/>
                <w:u w:val="none"/>
              </w:rPr>
              <w:t>立的</w:t>
            </w:r>
            <w:r>
              <w:rPr>
                <w:rFonts w:hint="default" w:ascii="Times New Roman" w:hAnsi="Times New Roman" w:eastAsia="宋体" w:cs="Times New Roman"/>
                <w:highlight w:val="none"/>
                <w:u w:val="none"/>
              </w:rPr>
              <w:fldChar w:fldCharType="begin"/>
            </w:r>
            <w:r>
              <w:rPr>
                <w:rFonts w:hint="default" w:ascii="Times New Roman" w:hAnsi="Times New Roman" w:eastAsia="宋体" w:cs="Times New Roman"/>
                <w:highlight w:val="none"/>
                <w:u w:val="none"/>
              </w:rPr>
              <w:instrText xml:space="preserve"> HYPERLINK "https://baike.baidu.com/item/%E5%8C%BB%E7%96%97%E5%BA%9F%E7%89%A9/4228328?fromModule=lemma_inlink" \t "_blank" </w:instrText>
            </w:r>
            <w:r>
              <w:rPr>
                <w:rFonts w:hint="default" w:ascii="Times New Roman" w:hAnsi="Times New Roman" w:eastAsia="宋体" w:cs="Times New Roman"/>
                <w:highlight w:val="none"/>
                <w:u w:val="none"/>
              </w:rPr>
              <w:fldChar w:fldCharType="separate"/>
            </w:r>
            <w:r>
              <w:rPr>
                <w:rStyle w:val="38"/>
                <w:rFonts w:hint="default" w:ascii="Times New Roman" w:hAnsi="Times New Roman" w:eastAsia="宋体" w:cs="Times New Roman"/>
                <w:color w:val="auto"/>
                <w:highlight w:val="none"/>
                <w:u w:val="none"/>
              </w:rPr>
              <w:t>医疗废物</w:t>
            </w:r>
            <w:r>
              <w:rPr>
                <w:rStyle w:val="38"/>
                <w:rFonts w:hint="default" w:ascii="Times New Roman" w:hAnsi="Times New Roman" w:eastAsia="宋体" w:cs="Times New Roman"/>
                <w:color w:val="auto"/>
                <w:highlight w:val="none"/>
                <w:u w:val="none"/>
              </w:rPr>
              <w:fldChar w:fldCharType="end"/>
            </w:r>
            <w:r>
              <w:rPr>
                <w:rStyle w:val="132"/>
                <w:rFonts w:hint="default" w:ascii="Times New Roman" w:hAnsi="Times New Roman" w:eastAsia="宋体" w:cs="Times New Roman"/>
                <w:highlight w:val="none"/>
                <w:u w:val="none"/>
              </w:rPr>
              <w:t>暂时贮存设施、设备应当达到以下要求：远离医疗区、食品加工区、人员活动区和生活垃圾存放场所，方便医疗废物运送人员及运送工具、车辆的出入；有严密的封闭措施，设专</w:t>
            </w:r>
            <w:r>
              <w:rPr>
                <w:rStyle w:val="132"/>
                <w:rFonts w:hint="eastAsia" w:ascii="Times New Roman" w:hAnsi="Times New Roman" w:eastAsia="宋体" w:cs="Times New Roman"/>
                <w:highlight w:val="none"/>
                <w:u w:val="none"/>
              </w:rPr>
              <w:t>（</w:t>
            </w:r>
            <w:r>
              <w:rPr>
                <w:rStyle w:val="132"/>
                <w:rFonts w:hint="default" w:ascii="Times New Roman" w:hAnsi="Times New Roman" w:eastAsia="宋体" w:cs="Times New Roman"/>
                <w:highlight w:val="none"/>
                <w:u w:val="none"/>
              </w:rPr>
              <w:t>兼</w:t>
            </w:r>
            <w:r>
              <w:rPr>
                <w:rStyle w:val="132"/>
                <w:rFonts w:hint="eastAsia" w:ascii="Times New Roman" w:hAnsi="Times New Roman" w:eastAsia="宋体" w:cs="Times New Roman"/>
                <w:highlight w:val="none"/>
                <w:u w:val="none"/>
              </w:rPr>
              <w:t>）</w:t>
            </w:r>
            <w:r>
              <w:rPr>
                <w:rStyle w:val="132"/>
                <w:rFonts w:hint="default" w:ascii="Times New Roman" w:hAnsi="Times New Roman" w:eastAsia="宋体" w:cs="Times New Roman"/>
                <w:highlight w:val="none"/>
                <w:u w:val="none"/>
              </w:rPr>
              <w:t>职</w:t>
            </w:r>
            <w:r>
              <w:rPr>
                <w:rFonts w:hint="default" w:ascii="Times New Roman" w:hAnsi="Times New Roman" w:eastAsia="宋体" w:cs="Times New Roman"/>
                <w:b w:val="0"/>
                <w:bCs/>
                <w:highlight w:val="none"/>
                <w:u w:val="none"/>
              </w:rPr>
              <w:fldChar w:fldCharType="begin"/>
            </w:r>
            <w:r>
              <w:rPr>
                <w:rFonts w:hint="default" w:ascii="Times New Roman" w:hAnsi="Times New Roman" w:eastAsia="宋体" w:cs="Times New Roman"/>
                <w:b w:val="0"/>
                <w:bCs/>
                <w:highlight w:val="none"/>
                <w:u w:val="none"/>
              </w:rPr>
              <w:instrText xml:space="preserve"> HYPERLINK "https://baike.baidu.com/item/%E4%BA%BA%E5%91%98%E7%AE%A1%E7%90%86/10253791?fromModule=lemma_inlink" \t "_blank" </w:instrText>
            </w:r>
            <w:r>
              <w:rPr>
                <w:rFonts w:hint="default" w:ascii="Times New Roman" w:hAnsi="Times New Roman" w:eastAsia="宋体" w:cs="Times New Roman"/>
                <w:b w:val="0"/>
                <w:bCs/>
                <w:highlight w:val="none"/>
                <w:u w:val="none"/>
              </w:rPr>
              <w:fldChar w:fldCharType="separate"/>
            </w:r>
            <w:r>
              <w:rPr>
                <w:rStyle w:val="38"/>
                <w:rFonts w:hint="default" w:ascii="Times New Roman" w:hAnsi="Times New Roman" w:eastAsia="宋体" w:cs="Times New Roman"/>
                <w:b w:val="0"/>
                <w:bCs/>
                <w:color w:val="auto"/>
                <w:highlight w:val="none"/>
                <w:u w:val="none"/>
              </w:rPr>
              <w:t>人员管理</w:t>
            </w:r>
            <w:r>
              <w:rPr>
                <w:rStyle w:val="38"/>
                <w:rFonts w:hint="default" w:ascii="Times New Roman" w:hAnsi="Times New Roman" w:eastAsia="宋体" w:cs="Times New Roman"/>
                <w:b w:val="0"/>
                <w:bCs/>
                <w:color w:val="auto"/>
                <w:highlight w:val="none"/>
                <w:u w:val="none"/>
              </w:rPr>
              <w:fldChar w:fldCharType="end"/>
            </w:r>
            <w:r>
              <w:rPr>
                <w:rStyle w:val="132"/>
                <w:rFonts w:hint="default" w:ascii="Times New Roman" w:hAnsi="Times New Roman" w:eastAsia="宋体" w:cs="Times New Roman"/>
                <w:highlight w:val="none"/>
                <w:u w:val="none"/>
              </w:rPr>
              <w:t>，防止非工作人员接触医疗废物；有防鼠、防蚊蝇、防蟑</w:t>
            </w:r>
            <w:r>
              <w:rPr>
                <w:rStyle w:val="132"/>
                <w:rFonts w:hint="default" w:ascii="Times New Roman" w:hAnsi="Times New Roman" w:eastAsia="宋体" w:cs="Times New Roman"/>
                <w:highlight w:val="none"/>
              </w:rPr>
              <w:t xml:space="preserve">螂的安全措施；防止渗漏和雨水冲刷；易于清洁和消毒；避免阳光直射；设有明显的医疗废物警示标识和 </w:t>
            </w:r>
            <w:r>
              <w:rPr>
                <w:rStyle w:val="132"/>
                <w:rFonts w:hint="eastAsia" w:cs="Times New Roman"/>
                <w:highlight w:val="none"/>
                <w:lang w:eastAsia="zh-CN"/>
              </w:rPr>
              <w:t>“</w:t>
            </w:r>
            <w:r>
              <w:rPr>
                <w:rStyle w:val="132"/>
                <w:rFonts w:hint="default" w:ascii="Times New Roman" w:hAnsi="Times New Roman" w:eastAsia="宋体" w:cs="Times New Roman"/>
                <w:highlight w:val="none"/>
              </w:rPr>
              <w:t>禁止吸烟、饮食</w:t>
            </w:r>
            <w:r>
              <w:rPr>
                <w:rStyle w:val="132"/>
                <w:rFonts w:hint="eastAsia" w:cs="Times New Roman"/>
                <w:highlight w:val="none"/>
                <w:lang w:eastAsia="zh-CN"/>
              </w:rPr>
              <w:t>”</w:t>
            </w:r>
            <w:r>
              <w:rPr>
                <w:rStyle w:val="132"/>
                <w:rFonts w:hint="default" w:ascii="Times New Roman" w:hAnsi="Times New Roman" w:eastAsia="宋体" w:cs="Times New Roman"/>
                <w:highlight w:val="none"/>
              </w:rPr>
              <w:t>的警示标识。</w:t>
            </w:r>
          </w:p>
          <w:p w14:paraId="77E153AC">
            <w:pPr>
              <w:pStyle w:val="122"/>
              <w:keepNext w:val="0"/>
              <w:keepLines w:val="0"/>
              <w:suppressLineNumbers w:val="0"/>
              <w:spacing w:before="0" w:beforeAutospacing="0" w:after="0" w:afterAutospacing="0"/>
              <w:ind w:left="0" w:right="0"/>
              <w:rPr>
                <w:rFonts w:hint="default" w:ascii="Times New Roman" w:hAnsi="Times New Roman" w:eastAsia="宋体" w:cs="Times New Roman"/>
                <w:highlight w:val="none"/>
              </w:rPr>
            </w:pPr>
            <w:r>
              <w:rPr>
                <w:rFonts w:hint="eastAsia" w:ascii="Times New Roman" w:hAnsi="Times New Roman" w:eastAsia="宋体" w:cs="Times New Roman"/>
                <w:highlight w:val="none"/>
              </w:rPr>
              <w:t>②实验室</w:t>
            </w:r>
            <w:r>
              <w:rPr>
                <w:rFonts w:hint="default" w:ascii="Times New Roman" w:hAnsi="Times New Roman" w:eastAsia="宋体" w:cs="Times New Roman"/>
                <w:highlight w:val="none"/>
              </w:rPr>
              <w:t>废物</w:t>
            </w:r>
          </w:p>
          <w:p w14:paraId="31B2801E">
            <w:pPr>
              <w:pStyle w:val="122"/>
              <w:keepNext w:val="0"/>
              <w:keepLines w:val="0"/>
              <w:suppressLineNumbers w:val="0"/>
              <w:spacing w:before="0" w:beforeAutospacing="0" w:after="0" w:afterAutospacing="0"/>
              <w:ind w:left="0" w:right="0"/>
              <w:rPr>
                <w:rFonts w:hint="default" w:ascii="Times New Roman" w:hAnsi="Times New Roman" w:eastAsia="宋体" w:cs="Times New Roman"/>
                <w:highlight w:val="none"/>
              </w:rPr>
            </w:pPr>
            <w:r>
              <w:rPr>
                <w:rFonts w:hint="eastAsia" w:ascii="Times New Roman" w:hAnsi="Times New Roman" w:eastAsia="宋体" w:cs="Times New Roman"/>
                <w:highlight w:val="none"/>
              </w:rPr>
              <w:t>对照《实验室</w:t>
            </w:r>
            <w:r>
              <w:rPr>
                <w:rFonts w:hint="default" w:ascii="Times New Roman" w:hAnsi="Times New Roman" w:eastAsia="宋体" w:cs="Times New Roman"/>
                <w:highlight w:val="none"/>
              </w:rPr>
              <w:t>危险废物污染防治技术规范</w:t>
            </w:r>
            <w:r>
              <w:rPr>
                <w:rFonts w:hint="eastAsia" w:ascii="Times New Roman" w:hAnsi="Times New Roman" w:eastAsia="宋体" w:cs="Times New Roman"/>
                <w:highlight w:val="none"/>
              </w:rPr>
              <w:t>》（DB</w:t>
            </w:r>
            <w:r>
              <w:rPr>
                <w:rFonts w:hint="default" w:ascii="Times New Roman" w:hAnsi="Times New Roman" w:eastAsia="宋体" w:cs="Times New Roman"/>
                <w:highlight w:val="none"/>
              </w:rPr>
              <w:t>3201/T 1168-2023</w:t>
            </w:r>
            <w:r>
              <w:rPr>
                <w:rFonts w:hint="eastAsia" w:ascii="Times New Roman" w:hAnsi="Times New Roman" w:eastAsia="宋体" w:cs="Times New Roman"/>
                <w:highlight w:val="none"/>
              </w:rPr>
              <w:t>），用于盛放实验室危险废物的容器和包装物应满足GB18597规定要求。具有反应性的危险废物应经预处理，消除反应性后方可投入容器或包装物内。不相容的危险废物不得投入同一容器或包装物内。液态废物应装入容器内贮存，盛装不宜过满，容器顶部与液面之间保留10cm以上的空间。固态废物包装前应不含残留液体，包装物应具有一定强度且可封闭。废弃试剂瓶（含空瓶）应瓶口朝上码放于满足相应强度且可封闭的包装容器中，确保稳固，防止泄漏、磕碰，并在容器外部标注朝上的方向标识。</w:t>
            </w:r>
          </w:p>
          <w:p w14:paraId="5D9799C0">
            <w:pPr>
              <w:keepNext w:val="0"/>
              <w:keepLines w:val="0"/>
              <w:suppressLineNumbers w:val="0"/>
              <w:adjustRightInd w:val="0"/>
              <w:snapToGrid w:val="0"/>
              <w:spacing w:before="0" w:beforeAutospacing="0" w:after="0" w:afterAutospacing="0" w:line="360" w:lineRule="auto"/>
              <w:ind w:left="0" w:right="0" w:firstLine="480" w:firstLineChars="200"/>
              <w:rPr>
                <w:rFonts w:hint="eastAsia" w:ascii="Times New Roman" w:hAnsi="Times New Roman" w:eastAsia="宋体" w:cs="Times New Roman"/>
                <w:b/>
                <w:highlight w:val="none"/>
                <w:lang w:eastAsia="zh-CN"/>
              </w:rPr>
            </w:pPr>
            <w:r>
              <w:rPr>
                <w:rFonts w:hint="eastAsia" w:ascii="Times New Roman" w:hAnsi="Times New Roman" w:eastAsia="宋体" w:cs="Times New Roman"/>
                <w:highlight w:val="none"/>
              </w:rPr>
              <w:t>企业应根据需要建设危险废物贮存库或设置贮存点，贮存库和贮存点应满足GB 18597要求。贮存实验室危险废物应根据实验室危险废物分类和污染防治要求进行分类贮存，且应避免危险废物与不相容的物质、材料接触。用于存放实验室危险废物的装置应符合GB/T 41962要求。贮存库或贮存点、容器和包装物应按HJ1276要求设置危险废物贮存库或贮存点标志、危险废物贮存分区标志和危险废物标签等危险废物识别标志。贮存点、贮存库管理人员应每周对包装容器、防渗漏措施、标签标识、存放期限及投放记录表进行检查，并做好记录。实验室危险废物贮存除应满足环境保护相关要求外，还应依据国家安全生产、职业健康、交通运输、消防等法律法规开展相关工作</w:t>
            </w:r>
            <w:r>
              <w:rPr>
                <w:rFonts w:hint="eastAsia" w:ascii="Times New Roman" w:hAnsi="Times New Roman" w:eastAsia="宋体" w:cs="Times New Roman"/>
                <w:highlight w:val="none"/>
                <w:lang w:eastAsia="zh-CN"/>
              </w:rPr>
              <w:t>。</w:t>
            </w:r>
          </w:p>
          <w:p w14:paraId="7DF3E969">
            <w:pPr>
              <w:pStyle w:val="122"/>
              <w:keepNext w:val="0"/>
              <w:keepLines w:val="0"/>
              <w:suppressLineNumbers w:val="0"/>
              <w:spacing w:before="0" w:beforeAutospacing="0" w:after="0" w:afterAutospacing="0"/>
              <w:ind w:left="0" w:right="0"/>
              <w:rPr>
                <w:rFonts w:hint="default" w:ascii="Times New Roman" w:hAnsi="Times New Roman" w:eastAsia="宋体" w:cs="Times New Roman"/>
                <w:highlight w:val="none"/>
              </w:rPr>
            </w:pPr>
            <w:r>
              <w:rPr>
                <w:rFonts w:hint="eastAsia" w:ascii="Times New Roman" w:hAnsi="Times New Roman" w:eastAsia="宋体" w:cs="Times New Roman"/>
                <w:highlight w:val="none"/>
              </w:rPr>
              <w:t>③</w:t>
            </w:r>
            <w:r>
              <w:rPr>
                <w:rFonts w:hint="default" w:ascii="Times New Roman" w:hAnsi="Times New Roman" w:eastAsia="宋体" w:cs="Times New Roman"/>
                <w:highlight w:val="none"/>
              </w:rPr>
              <w:t>其他危险废物</w:t>
            </w:r>
          </w:p>
          <w:p w14:paraId="0B1FF640">
            <w:pPr>
              <w:pStyle w:val="122"/>
              <w:keepNext w:val="0"/>
              <w:keepLines w:val="0"/>
              <w:suppressLineNumbers w:val="0"/>
              <w:spacing w:before="0" w:beforeAutospacing="0" w:after="0" w:afterAutospacing="0"/>
              <w:ind w:left="0" w:right="0"/>
              <w:rPr>
                <w:rFonts w:hint="default" w:ascii="Times New Roman" w:hAnsi="Times New Roman" w:eastAsia="宋体" w:cs="Times New Roman"/>
                <w:highlight w:val="none"/>
              </w:rPr>
            </w:pPr>
            <w:r>
              <w:rPr>
                <w:rFonts w:hint="eastAsia" w:ascii="Times New Roman" w:hAnsi="Times New Roman" w:eastAsia="宋体" w:cs="Times New Roman"/>
                <w:highlight w:val="none"/>
              </w:rPr>
              <w:t>根据</w:t>
            </w:r>
            <w:r>
              <w:rPr>
                <w:rFonts w:hint="default" w:ascii="Times New Roman" w:hAnsi="Times New Roman" w:eastAsia="宋体" w:cs="Times New Roman"/>
                <w:highlight w:val="none"/>
              </w:rPr>
              <w:t>《危险废物贮存污染控制标准》（GB18597-2023）</w:t>
            </w:r>
            <w:r>
              <w:rPr>
                <w:rFonts w:hint="eastAsia" w:ascii="Times New Roman" w:hAnsi="Times New Roman" w:eastAsia="宋体" w:cs="Times New Roman"/>
                <w:highlight w:val="none"/>
              </w:rPr>
              <w:t>，</w:t>
            </w:r>
            <w:r>
              <w:rPr>
                <w:rFonts w:hint="default" w:ascii="Times New Roman" w:hAnsi="Times New Roman" w:eastAsia="宋体" w:cs="Times New Roman"/>
                <w:highlight w:val="none"/>
              </w:rPr>
              <w:t>危废贮存过程必须分类存放、贮存，并</w:t>
            </w:r>
            <w:r>
              <w:rPr>
                <w:rFonts w:hint="eastAsia" w:ascii="Times New Roman" w:hAnsi="Times New Roman" w:eastAsia="宋体" w:cs="Times New Roman"/>
                <w:highlight w:val="none"/>
              </w:rPr>
              <w:t>必须</w:t>
            </w:r>
            <w:r>
              <w:rPr>
                <w:rFonts w:hint="default" w:ascii="Times New Roman" w:hAnsi="Times New Roman" w:eastAsia="宋体" w:cs="Times New Roman"/>
                <w:highlight w:val="none"/>
              </w:rPr>
              <w:t>做到防雨、防渗、防漏、防扬散、防流失及其他防止污染环境的措施，不得随意露天堆放，地面进行耐腐蚀硬化处理，地基须防渗，地面表面无裂缝；不相容的危险废物需分类存放，并设置隔离间隔断；具备警示标识等方面内容。</w:t>
            </w:r>
          </w:p>
          <w:p w14:paraId="1A420BED">
            <w:pPr>
              <w:keepNext w:val="0"/>
              <w:keepLines w:val="0"/>
              <w:suppressLineNumbers w:val="0"/>
              <w:snapToGrid w:val="0"/>
              <w:spacing w:before="0" w:beforeAutospacing="0" w:after="0" w:afterAutospacing="0" w:line="360" w:lineRule="auto"/>
              <w:ind w:left="0" w:right="0" w:firstLine="480" w:firstLineChars="200"/>
              <w:rPr>
                <w:rFonts w:hint="default" w:ascii="Times New Roman" w:hAnsi="Times New Roman" w:eastAsia="宋体" w:cs="Times New Roman"/>
                <w:sz w:val="24"/>
                <w:highlight w:val="none"/>
              </w:rPr>
            </w:pPr>
            <w:r>
              <w:rPr>
                <w:rFonts w:hint="eastAsia" w:ascii="Times New Roman" w:hAnsi="Times New Roman" w:eastAsia="宋体" w:cs="Times New Roman"/>
                <w:sz w:val="24"/>
                <w:highlight w:val="none"/>
              </w:rPr>
              <w:t>危废库地面、墙面裙</w:t>
            </w:r>
            <w:r>
              <w:rPr>
                <w:rFonts w:hint="eastAsia" w:cs="Times New Roman"/>
                <w:sz w:val="24"/>
                <w:highlight w:val="none"/>
                <w:lang w:val="en-US" w:eastAsia="zh-CN"/>
              </w:rPr>
              <w:t>角</w:t>
            </w:r>
            <w:r>
              <w:rPr>
                <w:rFonts w:hint="eastAsia" w:ascii="Times New Roman" w:hAnsi="Times New Roman" w:eastAsia="宋体" w:cs="Times New Roman"/>
                <w:sz w:val="24"/>
                <w:highlight w:val="none"/>
              </w:rPr>
              <w:t>、堵截泄漏的围堰、接触危险废物的隔板和墙体等应采用坚固的材料建造，表面无裂缝。贮存设施地面与裙脚应采取表面防渗措施；表面防渗材料应与所接触的物料或污染物相容，可采用抗渗混凝土、高密度聚乙烯膜、钠基膨润土防水毯或其他防渗性能等效的材料。</w:t>
            </w:r>
          </w:p>
          <w:p w14:paraId="47DD8EF6">
            <w:pPr>
              <w:keepNext w:val="0"/>
              <w:keepLines w:val="0"/>
              <w:suppressLineNumbers w:val="0"/>
              <w:snapToGrid w:val="0"/>
              <w:spacing w:before="0" w:beforeAutospacing="0" w:after="0" w:afterAutospacing="0" w:line="360" w:lineRule="auto"/>
              <w:ind w:left="0" w:right="0" w:firstLine="480" w:firstLineChars="200"/>
              <w:rPr>
                <w:rFonts w:hint="default" w:ascii="Times New Roman" w:hAnsi="Times New Roman" w:eastAsia="宋体" w:cs="Times New Roman"/>
                <w:sz w:val="24"/>
                <w:highlight w:val="none"/>
                <w:lang w:val="zh-CN"/>
              </w:rPr>
            </w:pPr>
            <w:r>
              <w:rPr>
                <w:rFonts w:hint="eastAsia" w:ascii="Times New Roman" w:hAnsi="Times New Roman" w:eastAsia="宋体" w:cs="Times New Roman"/>
                <w:sz w:val="24"/>
                <w:highlight w:val="none"/>
              </w:rPr>
              <w:t>贮存的危险废物直接接触地面的，还应进行基础防渗，防渗层为至少1m厚黏土层（渗透系数不大于10</w:t>
            </w:r>
            <w:r>
              <w:rPr>
                <w:rFonts w:hint="eastAsia" w:ascii="Times New Roman" w:hAnsi="Times New Roman" w:eastAsia="宋体" w:cs="Times New Roman"/>
                <w:sz w:val="24"/>
                <w:highlight w:val="none"/>
                <w:vertAlign w:val="superscript"/>
              </w:rPr>
              <w:t>-7</w:t>
            </w:r>
            <w:r>
              <w:rPr>
                <w:rFonts w:hint="eastAsia" w:ascii="Times New Roman" w:hAnsi="Times New Roman" w:eastAsia="宋体" w:cs="Times New Roman"/>
                <w:sz w:val="24"/>
                <w:highlight w:val="none"/>
              </w:rPr>
              <w:t>cm/s），或至少2mm厚高密度聚乙烯膜等人工防渗材料（渗透系数不大于10</w:t>
            </w:r>
            <w:r>
              <w:rPr>
                <w:rFonts w:hint="eastAsia" w:ascii="Times New Roman" w:hAnsi="Times New Roman" w:eastAsia="宋体" w:cs="Times New Roman"/>
                <w:sz w:val="24"/>
                <w:highlight w:val="none"/>
                <w:vertAlign w:val="superscript"/>
              </w:rPr>
              <w:t>-10</w:t>
            </w:r>
            <w:r>
              <w:rPr>
                <w:rFonts w:hint="eastAsia" w:ascii="Times New Roman" w:hAnsi="Times New Roman" w:eastAsia="宋体" w:cs="Times New Roman"/>
                <w:sz w:val="24"/>
                <w:highlight w:val="none"/>
              </w:rPr>
              <w:t>cm/s），或其他防渗性能等效的材料。同一贮存设施宜采用相同的防渗、防腐工艺（包括防渗、防腐结构或材料），防渗、防腐材料应覆盖所有可能与废物及其渗滤液、渗漏液等接触的构筑物表面；用不同防渗、防腐工艺应分别建设贮存分区。存设施应采取技术和管理措施防止无关人员进入。</w:t>
            </w:r>
          </w:p>
          <w:p w14:paraId="65BCEEA4">
            <w:pPr>
              <w:pStyle w:val="122"/>
              <w:keepNext w:val="0"/>
              <w:keepLines w:val="0"/>
              <w:suppressLineNumbers w:val="0"/>
              <w:spacing w:before="0" w:beforeAutospacing="0" w:after="0" w:afterAutospacing="0"/>
              <w:ind w:left="0" w:right="0"/>
              <w:rPr>
                <w:rFonts w:hint="default" w:ascii="Times New Roman" w:hAnsi="Times New Roman" w:eastAsia="宋体" w:cs="Times New Roman"/>
                <w:highlight w:val="none"/>
              </w:rPr>
            </w:pPr>
            <w:r>
              <w:rPr>
                <w:rFonts w:hint="eastAsia" w:ascii="Times New Roman" w:hAnsi="Times New Roman" w:eastAsia="宋体" w:cs="Times New Roman"/>
                <w:highlight w:val="none"/>
              </w:rPr>
              <w:t>④危废库综合防治</w:t>
            </w:r>
            <w:r>
              <w:rPr>
                <w:rFonts w:hint="default" w:ascii="Times New Roman" w:hAnsi="Times New Roman" w:eastAsia="宋体" w:cs="Times New Roman"/>
                <w:highlight w:val="none"/>
              </w:rPr>
              <w:t>措施</w:t>
            </w:r>
          </w:p>
          <w:p w14:paraId="6F62D8E9">
            <w:pPr>
              <w:pStyle w:val="122"/>
              <w:keepNext w:val="0"/>
              <w:keepLines w:val="0"/>
              <w:suppressLineNumbers w:val="0"/>
              <w:spacing w:before="0" w:beforeAutospacing="0" w:after="0" w:afterAutospacing="0"/>
              <w:ind w:left="0" w:right="0"/>
              <w:rPr>
                <w:rFonts w:hint="default" w:ascii="Times New Roman" w:hAnsi="Times New Roman" w:eastAsia="宋体" w:cs="Times New Roman"/>
                <w:highlight w:val="none"/>
              </w:rPr>
            </w:pPr>
            <w:r>
              <w:rPr>
                <w:rFonts w:hint="eastAsia" w:ascii="Times New Roman" w:hAnsi="Times New Roman" w:eastAsia="宋体" w:cs="Times New Roman"/>
                <w:highlight w:val="none"/>
              </w:rPr>
              <w:t>危废</w:t>
            </w:r>
            <w:r>
              <w:rPr>
                <w:rFonts w:hint="eastAsia" w:cs="Times New Roman"/>
                <w:highlight w:val="none"/>
                <w:lang w:val="en-US" w:eastAsia="zh-CN"/>
              </w:rPr>
              <w:t>暂存间</w:t>
            </w:r>
            <w:r>
              <w:rPr>
                <w:rFonts w:hint="eastAsia" w:ascii="Times New Roman" w:hAnsi="Times New Roman" w:eastAsia="宋体" w:cs="Times New Roman"/>
                <w:highlight w:val="none"/>
              </w:rPr>
              <w:t>内不同贮存分区之间应采取隔离措施。隔离措施可根据危险废物特性采用过道、隔板或隔墙等方式。危废库贮存液态危险废物的，应具有液体泄漏堵截设施，堵截设施最小容积不应低于对应贮存区域最大液态废物容器容积或液态废物总储量</w:t>
            </w:r>
            <w:r>
              <w:rPr>
                <w:rFonts w:hint="eastAsia" w:cs="Times New Roman"/>
                <w:highlight w:val="none"/>
                <w:lang w:val="en-US" w:eastAsia="zh-CN"/>
              </w:rPr>
              <w:t>的</w:t>
            </w:r>
            <w:r>
              <w:rPr>
                <w:rFonts w:hint="eastAsia" w:ascii="Times New Roman" w:hAnsi="Times New Roman" w:eastAsia="宋体" w:cs="Times New Roman"/>
                <w:highlight w:val="none"/>
              </w:rPr>
              <w:t>1/10（二者取较大者）；用于贮存可能产生渗滤液的危险废物的贮存库或贮存分区应设计渗滤液收集设施，收集设施容积应满足渗滤液的收集要求。</w:t>
            </w:r>
          </w:p>
          <w:p w14:paraId="5456493D">
            <w:pPr>
              <w:pStyle w:val="122"/>
              <w:keepNext w:val="0"/>
              <w:keepLines w:val="0"/>
              <w:suppressLineNumbers w:val="0"/>
              <w:spacing w:before="0" w:beforeAutospacing="0" w:after="0" w:afterAutospacing="0"/>
              <w:ind w:left="0" w:right="0"/>
              <w:rPr>
                <w:rFonts w:hint="default" w:ascii="Times New Roman" w:hAnsi="Times New Roman" w:eastAsia="宋体" w:cs="Times New Roman"/>
                <w:highlight w:val="none"/>
              </w:rPr>
            </w:pPr>
            <w:r>
              <w:rPr>
                <w:rFonts w:hint="eastAsia" w:ascii="Times New Roman" w:hAnsi="Times New Roman" w:eastAsia="宋体" w:cs="Times New Roman"/>
                <w:highlight w:val="none"/>
              </w:rPr>
              <w:t>本</w:t>
            </w:r>
            <w:r>
              <w:rPr>
                <w:rFonts w:hint="default" w:ascii="Times New Roman" w:hAnsi="Times New Roman" w:eastAsia="宋体" w:cs="Times New Roman"/>
                <w:highlight w:val="none"/>
              </w:rPr>
              <w:t>项目</w:t>
            </w:r>
            <w:r>
              <w:rPr>
                <w:rFonts w:hint="eastAsia" w:cs="Times New Roman"/>
                <w:highlight w:val="none"/>
                <w:lang w:val="en-US" w:eastAsia="zh-CN"/>
              </w:rPr>
              <w:t>实验动物中心</w:t>
            </w:r>
            <w:r>
              <w:rPr>
                <w:rFonts w:hint="eastAsia" w:ascii="Times New Roman" w:hAnsi="Times New Roman" w:eastAsia="宋体" w:cs="Times New Roman"/>
                <w:highlight w:val="none"/>
              </w:rPr>
              <w:t>危废</w:t>
            </w:r>
            <w:r>
              <w:rPr>
                <w:rFonts w:hint="eastAsia" w:cs="Times New Roman"/>
                <w:highlight w:val="none"/>
                <w:lang w:val="en-US" w:eastAsia="zh-CN"/>
              </w:rPr>
              <w:t>暂存间</w:t>
            </w:r>
            <w:r>
              <w:rPr>
                <w:rFonts w:hint="eastAsia" w:ascii="Times New Roman" w:hAnsi="Times New Roman" w:eastAsia="宋体" w:cs="Times New Roman"/>
                <w:highlight w:val="none"/>
              </w:rPr>
              <w:t>涉及挥发性有机物、有毒有害大气污染物和刺激性气味气体的危险废物，危废</w:t>
            </w:r>
            <w:r>
              <w:rPr>
                <w:rFonts w:hint="eastAsia" w:cs="Times New Roman"/>
                <w:highlight w:val="none"/>
                <w:lang w:val="en-US" w:eastAsia="zh-CN"/>
              </w:rPr>
              <w:t>暂存间</w:t>
            </w:r>
            <w:r>
              <w:rPr>
                <w:rFonts w:hint="default" w:ascii="Times New Roman" w:hAnsi="Times New Roman" w:eastAsia="宋体" w:cs="Times New Roman"/>
                <w:highlight w:val="none"/>
              </w:rPr>
              <w:t>设置有</w:t>
            </w:r>
            <w:r>
              <w:rPr>
                <w:rFonts w:hint="eastAsia" w:ascii="Times New Roman" w:hAnsi="Times New Roman" w:eastAsia="宋体" w:cs="Times New Roman"/>
                <w:highlight w:val="none"/>
              </w:rPr>
              <w:t>气体收集装置和气体净化设施，气体</w:t>
            </w:r>
            <w:r>
              <w:rPr>
                <w:rFonts w:hint="default" w:ascii="Times New Roman" w:hAnsi="Times New Roman" w:eastAsia="宋体" w:cs="Times New Roman"/>
                <w:highlight w:val="none"/>
              </w:rPr>
              <w:t>净化后通过</w:t>
            </w:r>
            <w:r>
              <w:rPr>
                <w:rFonts w:hint="eastAsia" w:cs="Times New Roman"/>
                <w:highlight w:val="none"/>
                <w:lang w:val="en-US" w:eastAsia="zh-CN"/>
              </w:rPr>
              <w:t>30</w:t>
            </w:r>
            <w:r>
              <w:rPr>
                <w:rFonts w:hint="default" w:ascii="Times New Roman" w:hAnsi="Times New Roman" w:eastAsia="宋体" w:cs="Times New Roman"/>
                <w:highlight w:val="none"/>
              </w:rPr>
              <w:t>m</w:t>
            </w:r>
            <w:r>
              <w:rPr>
                <w:rFonts w:hint="eastAsia" w:ascii="Times New Roman" w:hAnsi="Times New Roman" w:eastAsia="宋体" w:cs="Times New Roman"/>
                <w:highlight w:val="none"/>
              </w:rPr>
              <w:t>高</w:t>
            </w:r>
            <w:r>
              <w:rPr>
                <w:rFonts w:hint="default" w:ascii="Times New Roman" w:hAnsi="Times New Roman" w:eastAsia="宋体" w:cs="Times New Roman"/>
                <w:highlight w:val="none"/>
              </w:rPr>
              <w:t>排气筒排放。</w:t>
            </w:r>
          </w:p>
          <w:p w14:paraId="668885C8">
            <w:pPr>
              <w:keepNext w:val="0"/>
              <w:keepLines w:val="0"/>
              <w:suppressLineNumbers w:val="0"/>
              <w:adjustRightInd w:val="0"/>
              <w:snapToGrid w:val="0"/>
              <w:spacing w:before="0" w:beforeAutospacing="0" w:after="0" w:afterAutospacing="0" w:line="360" w:lineRule="auto"/>
              <w:ind w:left="0" w:right="0" w:firstLine="480" w:firstLineChars="200"/>
              <w:rPr>
                <w:rFonts w:hint="eastAsia" w:ascii="Times New Roman" w:hAnsi="Times New Roman" w:eastAsia="宋体" w:cs="Times New Roman"/>
                <w:b/>
                <w:highlight w:val="none"/>
                <w:lang w:eastAsia="zh-CN"/>
              </w:rPr>
            </w:pPr>
            <w:r>
              <w:rPr>
                <w:rFonts w:hint="eastAsia" w:ascii="Times New Roman" w:hAnsi="Times New Roman" w:eastAsia="宋体" w:cs="Times New Roman"/>
                <w:highlight w:val="none"/>
              </w:rPr>
              <w:t>综上</w:t>
            </w:r>
            <w:r>
              <w:rPr>
                <w:rFonts w:hint="default" w:ascii="Times New Roman" w:hAnsi="Times New Roman" w:eastAsia="宋体" w:cs="Times New Roman"/>
                <w:highlight w:val="none"/>
              </w:rPr>
              <w:t>，</w:t>
            </w:r>
            <w:r>
              <w:rPr>
                <w:rFonts w:hint="eastAsia" w:ascii="Times New Roman" w:hAnsi="Times New Roman" w:eastAsia="宋体" w:cs="Times New Roman"/>
                <w:highlight w:val="none"/>
              </w:rPr>
              <w:t>危废收集和贮存满足</w:t>
            </w:r>
            <w:r>
              <w:rPr>
                <w:rFonts w:hint="default" w:ascii="Times New Roman" w:hAnsi="Times New Roman" w:eastAsia="宋体" w:cs="Times New Roman"/>
                <w:highlight w:val="none"/>
              </w:rPr>
              <w:t>《医疗废物管理条例》（国务院</w:t>
            </w:r>
            <w:r>
              <w:rPr>
                <w:rFonts w:hint="eastAsia" w:ascii="Times New Roman" w:hAnsi="Times New Roman" w:eastAsia="宋体" w:cs="Times New Roman"/>
                <w:highlight w:val="none"/>
              </w:rPr>
              <w:t>〔2003〕380号</w:t>
            </w:r>
            <w:r>
              <w:rPr>
                <w:rFonts w:hint="default" w:ascii="Times New Roman" w:hAnsi="Times New Roman" w:eastAsia="宋体" w:cs="Times New Roman"/>
                <w:highlight w:val="none"/>
              </w:rPr>
              <w:t>令）</w:t>
            </w:r>
            <w:r>
              <w:rPr>
                <w:rFonts w:hint="eastAsia" w:ascii="Times New Roman" w:hAnsi="Times New Roman" w:eastAsia="宋体" w:cs="Times New Roman"/>
                <w:highlight w:val="none"/>
              </w:rPr>
              <w:t>、</w:t>
            </w:r>
            <w:r>
              <w:rPr>
                <w:rFonts w:hint="default" w:ascii="Times New Roman" w:hAnsi="Times New Roman" w:eastAsia="宋体" w:cs="Times New Roman"/>
                <w:highlight w:val="none"/>
              </w:rPr>
              <w:t>《医疗卫生机构医疗废物管理办法》（</w:t>
            </w:r>
            <w:r>
              <w:rPr>
                <w:rFonts w:hint="eastAsia" w:cs="Times New Roman"/>
                <w:highlight w:val="none"/>
                <w:lang w:val="en-US" w:eastAsia="zh-CN"/>
              </w:rPr>
              <w:t>原</w:t>
            </w:r>
            <w:r>
              <w:rPr>
                <w:rFonts w:hint="default" w:ascii="Times New Roman" w:hAnsi="Times New Roman" w:eastAsia="宋体" w:cs="Times New Roman"/>
                <w:highlight w:val="none"/>
              </w:rPr>
              <w:t>卫生部</w:t>
            </w:r>
            <w:r>
              <w:rPr>
                <w:rFonts w:hint="eastAsia" w:ascii="Times New Roman" w:hAnsi="Times New Roman" w:eastAsia="宋体" w:cs="Times New Roman"/>
                <w:highlight w:val="none"/>
              </w:rPr>
              <w:t>〔2003〕36号</w:t>
            </w:r>
            <w:r>
              <w:rPr>
                <w:rFonts w:hint="default" w:ascii="Times New Roman" w:hAnsi="Times New Roman" w:eastAsia="宋体" w:cs="Times New Roman"/>
                <w:highlight w:val="none"/>
              </w:rPr>
              <w:t>令）</w:t>
            </w:r>
            <w:r>
              <w:rPr>
                <w:rFonts w:hint="eastAsia" w:ascii="Times New Roman" w:hAnsi="Times New Roman" w:eastAsia="宋体" w:cs="Times New Roman"/>
                <w:highlight w:val="none"/>
              </w:rPr>
              <w:t>及</w:t>
            </w:r>
            <w:r>
              <w:rPr>
                <w:rFonts w:hint="default" w:ascii="Times New Roman" w:hAnsi="Times New Roman" w:eastAsia="宋体" w:cs="Times New Roman"/>
                <w:highlight w:val="none"/>
              </w:rPr>
              <w:t>《危险废物贮存污染控制标准》（GB18597-2023）</w:t>
            </w:r>
            <w:r>
              <w:rPr>
                <w:rFonts w:hint="eastAsia" w:ascii="Times New Roman" w:hAnsi="Times New Roman" w:eastAsia="宋体" w:cs="Times New Roman"/>
                <w:highlight w:val="none"/>
              </w:rPr>
              <w:t>要求</w:t>
            </w:r>
            <w:r>
              <w:rPr>
                <w:rFonts w:hint="eastAsia" w:ascii="Times New Roman" w:hAnsi="Times New Roman" w:eastAsia="宋体" w:cs="Times New Roman"/>
                <w:highlight w:val="none"/>
                <w:lang w:eastAsia="zh-CN"/>
              </w:rPr>
              <w:t>。</w:t>
            </w:r>
          </w:p>
          <w:p w14:paraId="250C98F6">
            <w:pPr>
              <w:pStyle w:val="122"/>
              <w:keepNext w:val="0"/>
              <w:keepLines w:val="0"/>
              <w:suppressLineNumbers w:val="0"/>
              <w:spacing w:before="0" w:beforeAutospacing="0" w:after="0" w:afterAutospacing="0"/>
              <w:ind w:left="0" w:right="0" w:firstLine="482"/>
              <w:rPr>
                <w:rFonts w:hint="default" w:ascii="Times New Roman" w:hAnsi="Times New Roman" w:eastAsia="宋体" w:cs="Times New Roman"/>
                <w:b/>
                <w:highlight w:val="none"/>
              </w:rPr>
            </w:pPr>
            <w:r>
              <w:rPr>
                <w:rFonts w:hint="eastAsia" w:cs="Times New Roman"/>
                <w:b/>
                <w:highlight w:val="none"/>
                <w:lang w:eastAsia="zh-CN"/>
              </w:rPr>
              <w:t>（</w:t>
            </w:r>
            <w:r>
              <w:rPr>
                <w:rFonts w:hint="eastAsia" w:cs="Times New Roman"/>
                <w:b/>
                <w:highlight w:val="none"/>
                <w:lang w:val="en-US" w:eastAsia="zh-CN"/>
              </w:rPr>
              <w:t>3</w:t>
            </w:r>
            <w:r>
              <w:rPr>
                <w:rFonts w:hint="eastAsia" w:cs="Times New Roman"/>
                <w:b/>
                <w:highlight w:val="none"/>
                <w:lang w:eastAsia="zh-CN"/>
              </w:rPr>
              <w:t>）</w:t>
            </w:r>
            <w:r>
              <w:rPr>
                <w:rFonts w:hint="eastAsia" w:ascii="Times New Roman" w:hAnsi="Times New Roman" w:eastAsia="宋体" w:cs="Times New Roman"/>
                <w:b/>
                <w:highlight w:val="none"/>
              </w:rPr>
              <w:t>运输</w:t>
            </w:r>
            <w:r>
              <w:rPr>
                <w:rFonts w:hint="default" w:ascii="Times New Roman" w:hAnsi="Times New Roman" w:eastAsia="宋体" w:cs="Times New Roman"/>
                <w:b/>
                <w:highlight w:val="none"/>
              </w:rPr>
              <w:t>过程的环境影响分析</w:t>
            </w:r>
          </w:p>
          <w:p w14:paraId="03B4E283">
            <w:pPr>
              <w:pStyle w:val="122"/>
              <w:keepNext w:val="0"/>
              <w:keepLines w:val="0"/>
              <w:suppressLineNumbers w:val="0"/>
              <w:spacing w:before="0" w:beforeAutospacing="0" w:after="0" w:afterAutospacing="0"/>
              <w:ind w:left="0" w:right="0" w:firstLine="482"/>
              <w:rPr>
                <w:rFonts w:hint="default" w:ascii="Times New Roman" w:hAnsi="Times New Roman" w:eastAsia="宋体" w:cs="Times New Roman"/>
                <w:b w:val="0"/>
                <w:bCs w:val="0"/>
                <w:highlight w:val="none"/>
              </w:rPr>
            </w:pPr>
            <w:r>
              <w:rPr>
                <w:rFonts w:hint="eastAsia" w:ascii="Times New Roman" w:hAnsi="Times New Roman" w:eastAsia="宋体" w:cs="Times New Roman"/>
                <w:b w:val="0"/>
                <w:bCs w:val="0"/>
                <w:highlight w:val="none"/>
              </w:rPr>
              <w:t>1）医疗</w:t>
            </w:r>
            <w:r>
              <w:rPr>
                <w:rFonts w:hint="default" w:ascii="Times New Roman" w:hAnsi="Times New Roman" w:eastAsia="宋体" w:cs="Times New Roman"/>
                <w:b w:val="0"/>
                <w:bCs w:val="0"/>
                <w:highlight w:val="none"/>
              </w:rPr>
              <w:t>废物运输</w:t>
            </w:r>
          </w:p>
          <w:p w14:paraId="44FAB982">
            <w:pPr>
              <w:pStyle w:val="122"/>
              <w:keepNext w:val="0"/>
              <w:keepLines w:val="0"/>
              <w:suppressLineNumbers w:val="0"/>
              <w:spacing w:before="0" w:beforeAutospacing="0" w:after="0" w:afterAutospacing="0"/>
              <w:ind w:left="0" w:right="0"/>
              <w:rPr>
                <w:rFonts w:hint="default" w:ascii="Times New Roman" w:hAnsi="Times New Roman" w:eastAsia="宋体" w:cs="Times New Roman"/>
                <w:highlight w:val="none"/>
              </w:rPr>
            </w:pPr>
            <w:r>
              <w:rPr>
                <w:rFonts w:hint="eastAsia" w:ascii="Times New Roman" w:hAnsi="Times New Roman" w:eastAsia="宋体" w:cs="Times New Roman"/>
                <w:highlight w:val="none"/>
              </w:rPr>
              <w:t>医疗废物包装应符合HJ421的要求。采用周转箱/桶收集、转移医疗废物，并应执行危险废物转移联单管理制度。医疗废物运输使用车辆应符合GB19217的要求。运输过程应按照规定路线行驶，行驶过程中应锁闭车厢门，避免医疗废物丢失、遗撒。医疗废物处理处置单位应设置计量系统。处理处置单位应划定卸料区，卸料区地面防渗应满足国家和地方有关重点污染源防渗要求，并应设置废水导流和收集设施。</w:t>
            </w:r>
          </w:p>
          <w:p w14:paraId="721F8CD7">
            <w:pPr>
              <w:pStyle w:val="122"/>
              <w:keepNext w:val="0"/>
              <w:keepLines w:val="0"/>
              <w:suppressLineNumbers w:val="0"/>
              <w:spacing w:before="0" w:beforeAutospacing="0" w:after="0" w:afterAutospacing="0"/>
              <w:ind w:left="0" w:right="0" w:firstLine="482"/>
              <w:rPr>
                <w:rFonts w:hint="default" w:ascii="Times New Roman" w:hAnsi="Times New Roman" w:eastAsia="宋体" w:cs="Times New Roman"/>
                <w:b w:val="0"/>
                <w:bCs w:val="0"/>
                <w:highlight w:val="none"/>
              </w:rPr>
            </w:pPr>
            <w:r>
              <w:rPr>
                <w:rFonts w:hint="eastAsia" w:ascii="Times New Roman" w:hAnsi="Times New Roman" w:eastAsia="宋体" w:cs="Times New Roman"/>
                <w:b w:val="0"/>
                <w:bCs w:val="0"/>
                <w:highlight w:val="none"/>
              </w:rPr>
              <w:t>2）实验室</w:t>
            </w:r>
            <w:r>
              <w:rPr>
                <w:rFonts w:hint="eastAsia" w:cs="Times New Roman"/>
                <w:b w:val="0"/>
                <w:bCs w:val="0"/>
                <w:highlight w:val="none"/>
                <w:lang w:val="en-US" w:eastAsia="zh-CN"/>
              </w:rPr>
              <w:t>危险</w:t>
            </w:r>
            <w:r>
              <w:rPr>
                <w:rFonts w:hint="default" w:ascii="Times New Roman" w:hAnsi="Times New Roman" w:eastAsia="宋体" w:cs="Times New Roman"/>
                <w:b w:val="0"/>
                <w:bCs w:val="0"/>
                <w:highlight w:val="none"/>
              </w:rPr>
              <w:t>废物</w:t>
            </w:r>
            <w:r>
              <w:rPr>
                <w:rFonts w:hint="eastAsia" w:ascii="Times New Roman" w:hAnsi="Times New Roman" w:eastAsia="宋体" w:cs="Times New Roman"/>
                <w:b w:val="0"/>
                <w:bCs w:val="0"/>
                <w:highlight w:val="none"/>
              </w:rPr>
              <w:t>收集</w:t>
            </w:r>
            <w:r>
              <w:rPr>
                <w:rFonts w:hint="default" w:ascii="Times New Roman" w:hAnsi="Times New Roman" w:eastAsia="宋体" w:cs="Times New Roman"/>
                <w:b w:val="0"/>
                <w:bCs w:val="0"/>
                <w:highlight w:val="none"/>
              </w:rPr>
              <w:t>和运输</w:t>
            </w:r>
          </w:p>
          <w:p w14:paraId="35A5B630">
            <w:pPr>
              <w:pStyle w:val="122"/>
              <w:keepNext w:val="0"/>
              <w:keepLines w:val="0"/>
              <w:suppressLineNumbers w:val="0"/>
              <w:spacing w:before="0" w:beforeAutospacing="0" w:after="0" w:afterAutospacing="0"/>
              <w:ind w:left="0" w:right="0"/>
              <w:rPr>
                <w:rFonts w:hint="default" w:ascii="Times New Roman" w:hAnsi="Times New Roman" w:eastAsia="宋体" w:cs="Times New Roman"/>
                <w:highlight w:val="none"/>
              </w:rPr>
            </w:pPr>
            <w:r>
              <w:rPr>
                <w:rFonts w:hint="eastAsia" w:ascii="Times New Roman" w:hAnsi="Times New Roman" w:eastAsia="宋体" w:cs="Times New Roman"/>
                <w:highlight w:val="none"/>
              </w:rPr>
              <w:t>根据《实验室</w:t>
            </w:r>
            <w:r>
              <w:rPr>
                <w:rFonts w:hint="default" w:ascii="Times New Roman" w:hAnsi="Times New Roman" w:eastAsia="宋体" w:cs="Times New Roman"/>
                <w:highlight w:val="none"/>
              </w:rPr>
              <w:t>危险废物污染防治技术规范</w:t>
            </w:r>
            <w:r>
              <w:rPr>
                <w:rFonts w:hint="eastAsia" w:ascii="Times New Roman" w:hAnsi="Times New Roman" w:eastAsia="宋体" w:cs="Times New Roman"/>
                <w:highlight w:val="none"/>
              </w:rPr>
              <w:t>》（DB</w:t>
            </w:r>
            <w:r>
              <w:rPr>
                <w:rFonts w:hint="default" w:ascii="Times New Roman" w:hAnsi="Times New Roman" w:eastAsia="宋体" w:cs="Times New Roman"/>
                <w:highlight w:val="none"/>
              </w:rPr>
              <w:t>3201/T 1168-2023</w:t>
            </w:r>
            <w:r>
              <w:rPr>
                <w:rFonts w:hint="eastAsia" w:ascii="Times New Roman" w:hAnsi="Times New Roman" w:eastAsia="宋体" w:cs="Times New Roman"/>
                <w:highlight w:val="none"/>
              </w:rPr>
              <w:t>），实验室危险废物从贮存点转运至贮存库，应至少2人参与转运并符合HJ2025中收集和内部转运作业要求。内部转运需使用符合安全环保要求的运输工具，车内需设置泄漏液体收集装置并配备应急物资。转运前应提前确定运输路线，运输路线应避开人员聚集地。转运时，转运人员需携带必要的个人防护用具和应急物资。</w:t>
            </w:r>
          </w:p>
          <w:p w14:paraId="7D377C73">
            <w:pPr>
              <w:pStyle w:val="122"/>
              <w:keepNext w:val="0"/>
              <w:keepLines w:val="0"/>
              <w:suppressLineNumbers w:val="0"/>
              <w:spacing w:before="0" w:beforeAutospacing="0" w:after="0" w:afterAutospacing="0"/>
              <w:ind w:left="0" w:right="0"/>
              <w:rPr>
                <w:rFonts w:hint="default" w:ascii="Times New Roman" w:hAnsi="Times New Roman" w:eastAsia="宋体" w:cs="Times New Roman"/>
                <w:highlight w:val="none"/>
              </w:rPr>
            </w:pPr>
            <w:r>
              <w:rPr>
                <w:rFonts w:hint="eastAsia" w:ascii="Times New Roman" w:hAnsi="Times New Roman" w:eastAsia="宋体" w:cs="Times New Roman"/>
                <w:highlight w:val="none"/>
              </w:rPr>
              <w:t>运输至危险废物处置单位时应符合HJ2025中危险废物的运输要求。运输前固态废物可使用带封口且有内衬的吨袋进行二次包装并封口，二次包装标签应符合HJ1276中包装识别标签要求。实验室危险废物应委托有危险废物经营许可证的单位处置。</w:t>
            </w:r>
          </w:p>
          <w:p w14:paraId="19E34CFE">
            <w:pPr>
              <w:pStyle w:val="122"/>
              <w:keepNext w:val="0"/>
              <w:keepLines w:val="0"/>
              <w:suppressLineNumbers w:val="0"/>
              <w:spacing w:before="0" w:beforeAutospacing="0" w:after="0" w:afterAutospacing="0"/>
              <w:ind w:left="0" w:right="0"/>
              <w:rPr>
                <w:rFonts w:hint="default" w:ascii="Times New Roman" w:hAnsi="Times New Roman" w:eastAsia="宋体" w:cs="Times New Roman"/>
                <w:highlight w:val="none"/>
              </w:rPr>
            </w:pPr>
            <w:r>
              <w:rPr>
                <w:rFonts w:hint="eastAsia" w:ascii="Times New Roman" w:hAnsi="Times New Roman" w:eastAsia="宋体" w:cs="Times New Roman"/>
                <w:highlight w:val="none"/>
              </w:rPr>
              <w:t>3）其他</w:t>
            </w:r>
            <w:r>
              <w:rPr>
                <w:rFonts w:hint="default" w:ascii="Times New Roman" w:hAnsi="Times New Roman" w:eastAsia="宋体" w:cs="Times New Roman"/>
                <w:highlight w:val="none"/>
              </w:rPr>
              <w:t>危险废物运输</w:t>
            </w:r>
          </w:p>
          <w:p w14:paraId="06ADAC9B">
            <w:pPr>
              <w:pStyle w:val="122"/>
              <w:keepNext w:val="0"/>
              <w:keepLines w:val="0"/>
              <w:suppressLineNumbers w:val="0"/>
              <w:spacing w:before="0" w:beforeAutospacing="0" w:after="0" w:afterAutospacing="0"/>
              <w:ind w:left="0" w:right="0"/>
              <w:rPr>
                <w:rFonts w:hint="default" w:ascii="Times New Roman" w:hAnsi="Times New Roman" w:eastAsia="宋体" w:cs="Times New Roman"/>
                <w:snapToGrid w:val="0"/>
                <w:highlight w:val="none"/>
              </w:rPr>
            </w:pPr>
            <w:r>
              <w:rPr>
                <w:rFonts w:hint="default" w:ascii="Times New Roman" w:hAnsi="Times New Roman" w:eastAsia="宋体" w:cs="Times New Roman"/>
                <w:snapToGrid w:val="0"/>
                <w:highlight w:val="none"/>
                <w:lang w:val="zh-CN"/>
              </w:rPr>
              <w:t>危险废物的收集、运输按照</w:t>
            </w:r>
            <w:r>
              <w:rPr>
                <w:rFonts w:hint="default" w:ascii="Times New Roman" w:hAnsi="Times New Roman" w:eastAsia="宋体" w:cs="Times New Roman"/>
                <w:highlight w:val="none"/>
              </w:rPr>
              <w:t>《危险废物贮存污染控制标准》（GB18597-2023）</w:t>
            </w:r>
            <w:r>
              <w:rPr>
                <w:rFonts w:hint="default" w:ascii="Times New Roman" w:hAnsi="Times New Roman" w:eastAsia="宋体" w:cs="Times New Roman"/>
                <w:snapToGrid w:val="0"/>
                <w:highlight w:val="none"/>
                <w:lang w:val="zh-CN"/>
              </w:rPr>
              <w:t>的要求进行。需处理的危险废物采用专门的车辆，密闭运输，严格禁止抛洒滴漏，杜绝在运输过程中造成环境的二次污染。在危险废物的运输中执行《危险废物转移联单管理办法》中有关的规定和要求。</w:t>
            </w:r>
          </w:p>
          <w:p w14:paraId="4F587184">
            <w:pPr>
              <w:pStyle w:val="122"/>
              <w:keepNext w:val="0"/>
              <w:keepLines w:val="0"/>
              <w:suppressLineNumbers w:val="0"/>
              <w:spacing w:before="0" w:beforeAutospacing="0" w:after="0" w:afterAutospacing="0"/>
              <w:ind w:left="0" w:right="0" w:firstLine="482"/>
              <w:rPr>
                <w:rFonts w:hint="default" w:ascii="Times New Roman" w:hAnsi="Times New Roman" w:eastAsia="宋体" w:cs="Times New Roman"/>
                <w:b/>
                <w:highlight w:val="none"/>
              </w:rPr>
            </w:pPr>
            <w:r>
              <w:rPr>
                <w:rFonts w:hint="eastAsia" w:cs="Times New Roman"/>
                <w:b/>
                <w:highlight w:val="none"/>
                <w:lang w:eastAsia="zh-CN"/>
              </w:rPr>
              <w:t>（</w:t>
            </w:r>
            <w:r>
              <w:rPr>
                <w:rFonts w:hint="eastAsia" w:cs="Times New Roman"/>
                <w:b/>
                <w:highlight w:val="none"/>
                <w:lang w:val="en-US" w:eastAsia="zh-CN"/>
              </w:rPr>
              <w:t>4</w:t>
            </w:r>
            <w:r>
              <w:rPr>
                <w:rFonts w:hint="eastAsia" w:cs="Times New Roman"/>
                <w:b/>
                <w:highlight w:val="none"/>
                <w:lang w:eastAsia="zh-CN"/>
              </w:rPr>
              <w:t>）</w:t>
            </w:r>
            <w:r>
              <w:rPr>
                <w:rFonts w:hint="default" w:ascii="Times New Roman" w:hAnsi="Times New Roman" w:eastAsia="宋体" w:cs="Times New Roman"/>
                <w:b/>
                <w:highlight w:val="none"/>
              </w:rPr>
              <w:t>管理要求</w:t>
            </w:r>
          </w:p>
          <w:p w14:paraId="2A43537A">
            <w:pPr>
              <w:pStyle w:val="122"/>
              <w:keepNext w:val="0"/>
              <w:keepLines w:val="0"/>
              <w:suppressLineNumbers w:val="0"/>
              <w:spacing w:before="0" w:beforeAutospacing="0" w:after="0" w:afterAutospacing="0"/>
              <w:ind w:left="0" w:right="0"/>
              <w:rPr>
                <w:rFonts w:hint="default" w:ascii="Times New Roman" w:hAnsi="Times New Roman" w:eastAsia="宋体" w:cs="Times New Roman"/>
                <w:highlight w:val="none"/>
              </w:rPr>
            </w:pPr>
            <w:r>
              <w:rPr>
                <w:rFonts w:hint="default" w:ascii="Times New Roman" w:hAnsi="Times New Roman" w:eastAsia="宋体" w:cs="Times New Roman"/>
                <w:highlight w:val="none"/>
              </w:rPr>
              <w:t>1</w:t>
            </w:r>
            <w:r>
              <w:rPr>
                <w:rFonts w:hint="eastAsia" w:ascii="Times New Roman" w:hAnsi="Times New Roman" w:eastAsia="宋体" w:cs="Times New Roman"/>
                <w:highlight w:val="none"/>
              </w:rPr>
              <w:t>）实验室危险废物的产生单位应按规定流程做好危险废物源头分类、投放、暂存、收运、贮存及委托处置等工作，建立并执行危险废物申报登记及管理计划备案、管理台账、转移联单、应急预案备案、信息公开、事故报告等制度。</w:t>
            </w:r>
          </w:p>
          <w:p w14:paraId="67FDB473">
            <w:pPr>
              <w:pStyle w:val="122"/>
              <w:keepNext w:val="0"/>
              <w:keepLines w:val="0"/>
              <w:suppressLineNumbers w:val="0"/>
              <w:spacing w:before="0" w:beforeAutospacing="0" w:after="0" w:afterAutospacing="0"/>
              <w:ind w:left="0" w:right="0"/>
              <w:rPr>
                <w:rFonts w:hint="default" w:ascii="Times New Roman" w:hAnsi="Times New Roman" w:eastAsia="宋体" w:cs="Times New Roman"/>
                <w:highlight w:val="none"/>
              </w:rPr>
            </w:pPr>
            <w:r>
              <w:rPr>
                <w:rFonts w:hint="default" w:ascii="Times New Roman" w:hAnsi="Times New Roman" w:eastAsia="宋体" w:cs="Times New Roman"/>
                <w:highlight w:val="none"/>
              </w:rPr>
              <w:t>2</w:t>
            </w:r>
            <w:r>
              <w:rPr>
                <w:rFonts w:hint="eastAsia" w:ascii="Times New Roman" w:hAnsi="Times New Roman" w:eastAsia="宋体" w:cs="Times New Roman"/>
                <w:highlight w:val="none"/>
              </w:rPr>
              <w:t>）实验室危险废物的产生单位应至少配备1名管理人员，负责组织、协调各实验室的危险废物管理工作，监督、检查各实验室危险废物管理工作落实情况。</w:t>
            </w:r>
          </w:p>
          <w:p w14:paraId="5E7594FB">
            <w:pPr>
              <w:pStyle w:val="122"/>
              <w:keepNext w:val="0"/>
              <w:keepLines w:val="0"/>
              <w:suppressLineNumbers w:val="0"/>
              <w:spacing w:before="0" w:beforeAutospacing="0" w:after="0" w:afterAutospacing="0"/>
              <w:ind w:left="0" w:right="0"/>
              <w:rPr>
                <w:rFonts w:hint="default" w:ascii="Times New Roman" w:hAnsi="Times New Roman" w:eastAsia="宋体" w:cs="Times New Roman"/>
                <w:highlight w:val="none"/>
              </w:rPr>
            </w:pPr>
            <w:r>
              <w:rPr>
                <w:rFonts w:hint="default" w:ascii="Times New Roman" w:hAnsi="Times New Roman" w:eastAsia="宋体" w:cs="Times New Roman"/>
                <w:highlight w:val="none"/>
              </w:rPr>
              <w:t>3</w:t>
            </w:r>
            <w:r>
              <w:rPr>
                <w:rFonts w:hint="eastAsia" w:ascii="Times New Roman" w:hAnsi="Times New Roman" w:eastAsia="宋体" w:cs="Times New Roman"/>
                <w:highlight w:val="none"/>
              </w:rPr>
              <w:t>）实验室危险废物的产生单位应建立实验室危险废物管理台账，如实记录产生实验室危险废物的种类、数量、流向、贮存、处置等情况。宜采用信息化技术对实验室危险废物环境管理信息进行实时记录。</w:t>
            </w:r>
          </w:p>
          <w:p w14:paraId="50071F0F">
            <w:pPr>
              <w:pStyle w:val="122"/>
              <w:keepNext w:val="0"/>
              <w:keepLines w:val="0"/>
              <w:suppressLineNumbers w:val="0"/>
              <w:spacing w:before="0" w:beforeAutospacing="0" w:after="0" w:afterAutospacing="0"/>
              <w:ind w:left="0" w:right="0"/>
              <w:rPr>
                <w:rFonts w:hint="default" w:ascii="Times New Roman" w:hAnsi="Times New Roman" w:eastAsia="宋体" w:cs="Times New Roman"/>
                <w:highlight w:val="none"/>
              </w:rPr>
            </w:pPr>
            <w:r>
              <w:rPr>
                <w:rFonts w:hint="default" w:ascii="Times New Roman" w:hAnsi="Times New Roman" w:eastAsia="宋体" w:cs="Times New Roman"/>
                <w:highlight w:val="none"/>
              </w:rPr>
              <w:t>4</w:t>
            </w:r>
            <w:r>
              <w:rPr>
                <w:rFonts w:hint="eastAsia" w:ascii="Times New Roman" w:hAnsi="Times New Roman" w:eastAsia="宋体" w:cs="Times New Roman"/>
                <w:highlight w:val="none"/>
              </w:rPr>
              <w:t>）实验室危险废物的产生单位应开展固体废物污染环境防治的宣传教育和培训，定期对实验室危险废物管理人员和参与实验活动的学员、研究技术人员、业务工作人员以及其他相关人员进行培训，并做好培训记录。</w:t>
            </w:r>
          </w:p>
          <w:p w14:paraId="0DD36FEF">
            <w:pPr>
              <w:pStyle w:val="122"/>
              <w:keepNext w:val="0"/>
              <w:keepLines w:val="0"/>
              <w:suppressLineNumbers w:val="0"/>
              <w:spacing w:before="0" w:beforeAutospacing="0" w:after="0" w:afterAutospacing="0"/>
              <w:ind w:left="0" w:right="0" w:firstLine="482"/>
              <w:rPr>
                <w:rFonts w:hint="default" w:ascii="Times New Roman" w:hAnsi="Times New Roman" w:eastAsia="宋体" w:cs="Times New Roman"/>
                <w:b/>
                <w:highlight w:val="none"/>
              </w:rPr>
            </w:pPr>
            <w:r>
              <w:rPr>
                <w:rFonts w:hint="eastAsia" w:cs="Times New Roman"/>
                <w:b/>
                <w:highlight w:val="none"/>
                <w:lang w:eastAsia="zh-CN"/>
              </w:rPr>
              <w:t>（</w:t>
            </w:r>
            <w:r>
              <w:rPr>
                <w:rFonts w:hint="eastAsia" w:cs="Times New Roman"/>
                <w:b/>
                <w:highlight w:val="none"/>
                <w:lang w:val="en-US" w:eastAsia="zh-CN"/>
              </w:rPr>
              <w:t>5</w:t>
            </w:r>
            <w:r>
              <w:rPr>
                <w:rFonts w:hint="eastAsia" w:cs="Times New Roman"/>
                <w:b/>
                <w:highlight w:val="none"/>
                <w:lang w:eastAsia="zh-CN"/>
              </w:rPr>
              <w:t>）</w:t>
            </w:r>
            <w:r>
              <w:rPr>
                <w:rFonts w:hint="default" w:ascii="Times New Roman" w:hAnsi="Times New Roman" w:eastAsia="宋体" w:cs="Times New Roman"/>
                <w:b/>
                <w:highlight w:val="none"/>
              </w:rPr>
              <w:t>固废环境影响评价结论</w:t>
            </w:r>
          </w:p>
          <w:p w14:paraId="05CECA1F">
            <w:pPr>
              <w:keepNext w:val="0"/>
              <w:keepLines w:val="0"/>
              <w:suppressLineNumbers w:val="0"/>
              <w:adjustRightInd w:val="0"/>
              <w:snapToGrid w:val="0"/>
              <w:spacing w:before="0" w:beforeAutospacing="0" w:after="0" w:afterAutospacing="0" w:line="360" w:lineRule="auto"/>
              <w:ind w:left="0" w:right="0" w:firstLine="480" w:firstLineChars="200"/>
              <w:rPr>
                <w:rFonts w:hint="eastAsia" w:ascii="Times New Roman" w:hAnsi="Times New Roman" w:eastAsia="宋体" w:cs="Times New Roman"/>
                <w:b/>
                <w:highlight w:val="none"/>
                <w:lang w:eastAsia="zh-CN"/>
              </w:rPr>
            </w:pPr>
            <w:r>
              <w:rPr>
                <w:rFonts w:hint="default" w:ascii="Times New Roman" w:hAnsi="Times New Roman" w:eastAsia="宋体" w:cs="Times New Roman"/>
                <w:highlight w:val="none"/>
              </w:rPr>
              <w:t>本项目生活垃圾委托环卫清运</w:t>
            </w:r>
            <w:r>
              <w:rPr>
                <w:rFonts w:hint="eastAsia" w:ascii="Times New Roman" w:hAnsi="Times New Roman" w:eastAsia="宋体" w:cs="Times New Roman"/>
                <w:highlight w:val="none"/>
              </w:rPr>
              <w:t>，</w:t>
            </w:r>
            <w:r>
              <w:rPr>
                <w:rFonts w:hint="default" w:ascii="Times New Roman" w:hAnsi="Times New Roman" w:eastAsia="宋体" w:cs="Times New Roman"/>
                <w:highlight w:val="none"/>
              </w:rPr>
              <w:t>一般固废</w:t>
            </w:r>
            <w:r>
              <w:rPr>
                <w:rFonts w:hint="eastAsia" w:ascii="Times New Roman" w:hAnsi="Times New Roman" w:eastAsia="宋体" w:cs="Times New Roman"/>
                <w:highlight w:val="none"/>
              </w:rPr>
              <w:t>委托</w:t>
            </w:r>
            <w:r>
              <w:rPr>
                <w:rFonts w:hint="eastAsia" w:cs="Times New Roman"/>
                <w:highlight w:val="none"/>
                <w:lang w:val="en-US" w:eastAsia="zh-CN"/>
              </w:rPr>
              <w:t>一般</w:t>
            </w:r>
            <w:r>
              <w:rPr>
                <w:rFonts w:hint="default" w:ascii="Times New Roman" w:hAnsi="Times New Roman" w:eastAsia="宋体" w:cs="Times New Roman"/>
                <w:highlight w:val="none"/>
              </w:rPr>
              <w:t>固废处置单位处置，危险废物暂存于危废暂存</w:t>
            </w:r>
            <w:r>
              <w:rPr>
                <w:rFonts w:hint="eastAsia" w:cs="Times New Roman"/>
                <w:highlight w:val="none"/>
                <w:lang w:val="en-US" w:eastAsia="zh-CN"/>
              </w:rPr>
              <w:t>间</w:t>
            </w:r>
            <w:r>
              <w:rPr>
                <w:rFonts w:hint="default" w:ascii="Times New Roman" w:hAnsi="Times New Roman" w:eastAsia="宋体" w:cs="Times New Roman"/>
                <w:highlight w:val="none"/>
              </w:rPr>
              <w:t>内，按照</w:t>
            </w:r>
            <w:r>
              <w:rPr>
                <w:rStyle w:val="132"/>
                <w:rFonts w:hint="default" w:ascii="Times New Roman" w:hAnsi="Times New Roman" w:eastAsia="宋体" w:cs="Times New Roman"/>
                <w:highlight w:val="none"/>
              </w:rPr>
              <w:t>《医疗卫生机构医疗废物管理办法》</w:t>
            </w:r>
            <w:r>
              <w:rPr>
                <w:rFonts w:hint="default" w:ascii="Times New Roman" w:hAnsi="Times New Roman" w:eastAsia="宋体" w:cs="Times New Roman"/>
                <w:highlight w:val="none"/>
              </w:rPr>
              <w:t>和《危险废物贮存污染控制标准》（GB18597-2023）的要求处理。通过采取以上措施后，本项目运营过程中产生的固体废物均得到合理处置和处理，对当地环境影响较小</w:t>
            </w:r>
            <w:r>
              <w:rPr>
                <w:rFonts w:hint="eastAsia" w:cs="Times New Roman"/>
                <w:highlight w:val="none"/>
                <w:lang w:eastAsia="zh-CN"/>
              </w:rPr>
              <w:t>。</w:t>
            </w:r>
          </w:p>
          <w:p w14:paraId="695A089A">
            <w:pPr>
              <w:keepNext w:val="0"/>
              <w:keepLines w:val="0"/>
              <w:suppressLineNumbers w:val="0"/>
              <w:adjustRightInd w:val="0"/>
              <w:snapToGrid w:val="0"/>
              <w:spacing w:before="0" w:beforeAutospacing="0" w:after="0" w:afterAutospacing="0" w:line="360" w:lineRule="auto"/>
              <w:ind w:left="0" w:right="0"/>
              <w:rPr>
                <w:rFonts w:hint="default" w:ascii="Times New Roman" w:hAnsi="Times New Roman" w:eastAsia="宋体" w:cs="Times New Roman"/>
                <w:b/>
                <w:bCs/>
                <w:spacing w:val="-10"/>
                <w:highlight w:val="none"/>
              </w:rPr>
            </w:pPr>
            <w:r>
              <w:rPr>
                <w:rFonts w:hint="default" w:ascii="Times New Roman" w:hAnsi="Times New Roman" w:eastAsia="宋体" w:cs="Times New Roman"/>
                <w:b/>
                <w:bCs/>
                <w:spacing w:val="-10"/>
                <w:highlight w:val="none"/>
              </w:rPr>
              <w:t>5</w:t>
            </w:r>
            <w:r>
              <w:rPr>
                <w:rFonts w:hint="eastAsia" w:ascii="Times New Roman" w:hAnsi="Times New Roman" w:eastAsia="宋体" w:cs="Times New Roman"/>
                <w:b/>
                <w:bCs/>
                <w:spacing w:val="-10"/>
                <w:highlight w:val="none"/>
              </w:rPr>
              <w:t>、地下水、土壤</w:t>
            </w:r>
          </w:p>
          <w:p w14:paraId="05CCB210">
            <w:pPr>
              <w:keepNext w:val="0"/>
              <w:keepLines w:val="0"/>
              <w:suppressLineNumbers w:val="0"/>
              <w:adjustRightInd w:val="0"/>
              <w:snapToGrid w:val="0"/>
              <w:spacing w:before="0" w:beforeAutospacing="0" w:after="0" w:afterAutospacing="0" w:line="360" w:lineRule="auto"/>
              <w:ind w:left="0" w:right="0" w:firstLine="480" w:firstLineChars="200"/>
              <w:rPr>
                <w:rFonts w:hint="default" w:ascii="Times New Roman" w:hAnsi="Times New Roman" w:eastAsia="宋体" w:cs="Times New Roman"/>
                <w:snapToGrid w:val="0"/>
                <w:kern w:val="0"/>
                <w:highlight w:val="none"/>
              </w:rPr>
            </w:pPr>
            <w:r>
              <w:rPr>
                <w:rFonts w:hint="eastAsia" w:ascii="Times New Roman" w:hAnsi="Times New Roman" w:eastAsia="宋体" w:cs="Times New Roman"/>
                <w:snapToGrid w:val="0"/>
                <w:kern w:val="0"/>
                <w:highlight w:val="none"/>
              </w:rPr>
              <w:t>本项目建成后，地面进行硬化处理，本项目生活污水经</w:t>
            </w:r>
            <w:r>
              <w:rPr>
                <w:rFonts w:hint="eastAsia" w:cs="Times New Roman"/>
                <w:snapToGrid w:val="0"/>
                <w:kern w:val="0"/>
                <w:highlight w:val="none"/>
                <w:lang w:val="en-US" w:eastAsia="zh-CN"/>
              </w:rPr>
              <w:t>隔油池、</w:t>
            </w:r>
            <w:r>
              <w:rPr>
                <w:rFonts w:hint="eastAsia" w:ascii="Times New Roman" w:hAnsi="Times New Roman" w:eastAsia="宋体" w:cs="Times New Roman"/>
                <w:snapToGrid w:val="0"/>
                <w:kern w:val="0"/>
                <w:highlight w:val="none"/>
              </w:rPr>
              <w:t>化粪池预处理后纳入市政污水管网、除纯水</w:t>
            </w:r>
            <w:r>
              <w:rPr>
                <w:rFonts w:hint="eastAsia" w:cs="Times New Roman"/>
                <w:snapToGrid w:val="0"/>
                <w:kern w:val="0"/>
                <w:highlight w:val="none"/>
                <w:lang w:val="en-US" w:eastAsia="zh-CN"/>
              </w:rPr>
              <w:t>/软水</w:t>
            </w:r>
            <w:r>
              <w:rPr>
                <w:rFonts w:hint="eastAsia" w:ascii="Times New Roman" w:hAnsi="Times New Roman" w:eastAsia="宋体" w:cs="Times New Roman"/>
                <w:snapToGrid w:val="0"/>
                <w:kern w:val="0"/>
                <w:highlight w:val="none"/>
              </w:rPr>
              <w:t>制备浓水</w:t>
            </w:r>
            <w:r>
              <w:rPr>
                <w:rFonts w:hint="eastAsia" w:cs="Times New Roman"/>
                <w:snapToGrid w:val="0"/>
                <w:kern w:val="0"/>
                <w:highlight w:val="none"/>
                <w:lang w:eastAsia="zh-CN"/>
              </w:rPr>
              <w:t>、</w:t>
            </w:r>
            <w:r>
              <w:rPr>
                <w:rFonts w:hint="eastAsia" w:cs="Times New Roman"/>
                <w:snapToGrid w:val="0"/>
                <w:kern w:val="0"/>
                <w:highlight w:val="none"/>
                <w:lang w:val="en-US" w:eastAsia="zh-CN"/>
              </w:rPr>
              <w:t>反冲洗废水以及一般实验室灭菌废水</w:t>
            </w:r>
            <w:r>
              <w:rPr>
                <w:rFonts w:hint="eastAsia" w:ascii="Times New Roman" w:hAnsi="Times New Roman" w:eastAsia="宋体" w:cs="Times New Roman"/>
                <w:snapToGrid w:val="0"/>
                <w:kern w:val="0"/>
                <w:highlight w:val="none"/>
              </w:rPr>
              <w:t>，其他废水经污水处理设施处理并消毒后纳入市政污水管网</w:t>
            </w:r>
            <w:r>
              <w:rPr>
                <w:rFonts w:hint="eastAsia" w:cs="Times New Roman"/>
                <w:snapToGrid w:val="0"/>
                <w:kern w:val="0"/>
                <w:highlight w:val="none"/>
                <w:lang w:eastAsia="zh-CN"/>
              </w:rPr>
              <w:t>，</w:t>
            </w:r>
            <w:r>
              <w:rPr>
                <w:rFonts w:hint="eastAsia" w:ascii="Times New Roman" w:hAnsi="Times New Roman" w:eastAsia="宋体" w:cs="Times New Roman"/>
                <w:snapToGrid w:val="0"/>
                <w:kern w:val="0"/>
                <w:highlight w:val="none"/>
              </w:rPr>
              <w:t>纯水</w:t>
            </w:r>
            <w:r>
              <w:rPr>
                <w:rFonts w:hint="eastAsia" w:cs="Times New Roman"/>
                <w:snapToGrid w:val="0"/>
                <w:kern w:val="0"/>
                <w:highlight w:val="none"/>
                <w:lang w:val="en-US" w:eastAsia="zh-CN"/>
              </w:rPr>
              <w:t>/软水</w:t>
            </w:r>
            <w:r>
              <w:rPr>
                <w:rFonts w:hint="eastAsia" w:ascii="Times New Roman" w:hAnsi="Times New Roman" w:eastAsia="宋体" w:cs="Times New Roman"/>
                <w:snapToGrid w:val="0"/>
                <w:kern w:val="0"/>
                <w:highlight w:val="none"/>
              </w:rPr>
              <w:t>制备浓水</w:t>
            </w:r>
            <w:r>
              <w:rPr>
                <w:rFonts w:hint="eastAsia" w:cs="Times New Roman"/>
                <w:snapToGrid w:val="0"/>
                <w:kern w:val="0"/>
                <w:highlight w:val="none"/>
                <w:lang w:eastAsia="zh-CN"/>
              </w:rPr>
              <w:t>、</w:t>
            </w:r>
            <w:r>
              <w:rPr>
                <w:rFonts w:hint="eastAsia" w:cs="Times New Roman"/>
                <w:snapToGrid w:val="0"/>
                <w:kern w:val="0"/>
                <w:highlight w:val="none"/>
                <w:lang w:val="en-US" w:eastAsia="zh-CN"/>
              </w:rPr>
              <w:t>反冲洗废水以及一般实验室灭菌废水因</w:t>
            </w:r>
            <w:r>
              <w:rPr>
                <w:rFonts w:hint="eastAsia" w:ascii="Times New Roman" w:hAnsi="Times New Roman" w:eastAsia="宋体" w:cs="Times New Roman"/>
                <w:snapToGrid w:val="0"/>
                <w:kern w:val="0"/>
                <w:highlight w:val="none"/>
              </w:rPr>
              <w:t>水质简单</w:t>
            </w:r>
            <w:r>
              <w:rPr>
                <w:rFonts w:hint="eastAsia" w:cs="Times New Roman"/>
                <w:snapToGrid w:val="0"/>
                <w:kern w:val="0"/>
                <w:highlight w:val="none"/>
                <w:lang w:eastAsia="zh-CN"/>
              </w:rPr>
              <w:t>，</w:t>
            </w:r>
            <w:r>
              <w:rPr>
                <w:rFonts w:hint="eastAsia" w:ascii="Times New Roman" w:hAnsi="Times New Roman" w:eastAsia="宋体" w:cs="Times New Roman"/>
                <w:snapToGrid w:val="0"/>
                <w:kern w:val="0"/>
                <w:highlight w:val="none"/>
              </w:rPr>
              <w:t>可直接纳入市政污水管网。项目经预处理达标的废水最终送集中式污水处理厂处理。企业</w:t>
            </w:r>
            <w:r>
              <w:rPr>
                <w:rFonts w:hint="eastAsia" w:ascii="Times New Roman" w:hAnsi="Times New Roman" w:eastAsia="宋体" w:cs="Times New Roman"/>
                <w:snapToGrid w:val="0"/>
                <w:kern w:val="0"/>
                <w:highlight w:val="none"/>
                <w:lang w:val="en-US" w:eastAsia="zh-CN"/>
              </w:rPr>
              <w:t>应</w:t>
            </w:r>
            <w:r>
              <w:rPr>
                <w:rFonts w:hint="eastAsia" w:ascii="Times New Roman" w:hAnsi="Times New Roman" w:eastAsia="宋体" w:cs="Times New Roman"/>
                <w:snapToGrid w:val="0"/>
                <w:kern w:val="0"/>
                <w:highlight w:val="none"/>
              </w:rPr>
              <w:t>采取以下措施，以减轻对土壤、地下水的污染。</w:t>
            </w:r>
          </w:p>
          <w:p w14:paraId="40C409DF">
            <w:pPr>
              <w:keepNext w:val="0"/>
              <w:keepLines w:val="0"/>
              <w:suppressLineNumbers w:val="0"/>
              <w:adjustRightInd w:val="0"/>
              <w:snapToGrid w:val="0"/>
              <w:spacing w:before="0" w:beforeAutospacing="0" w:after="0" w:afterAutospacing="0" w:line="360" w:lineRule="auto"/>
              <w:ind w:left="0" w:right="0" w:firstLine="480" w:firstLineChars="200"/>
              <w:rPr>
                <w:rFonts w:hint="default" w:ascii="Times New Roman" w:hAnsi="Times New Roman" w:eastAsia="宋体" w:cs="Times New Roman"/>
                <w:snapToGrid w:val="0"/>
                <w:kern w:val="0"/>
                <w:highlight w:val="none"/>
              </w:rPr>
            </w:pPr>
            <w:r>
              <w:rPr>
                <w:rFonts w:hint="eastAsia" w:ascii="Times New Roman" w:hAnsi="Times New Roman" w:eastAsia="宋体" w:cs="Times New Roman"/>
                <w:snapToGrid w:val="0"/>
                <w:kern w:val="0"/>
                <w:highlight w:val="none"/>
              </w:rPr>
              <w:t>①源头控制措施：</w:t>
            </w:r>
          </w:p>
          <w:p w14:paraId="73B39494">
            <w:pPr>
              <w:keepNext w:val="0"/>
              <w:keepLines w:val="0"/>
              <w:pageBreakBefore w:val="0"/>
              <w:widowControl w:val="0"/>
              <w:suppressLineNumbers w:val="0"/>
              <w:kinsoku/>
              <w:wordWrap/>
              <w:overflowPunct/>
              <w:topLinePunct w:val="0"/>
              <w:bidi w:val="0"/>
              <w:adjustRightInd w:val="0"/>
              <w:snapToGrid w:val="0"/>
              <w:spacing w:before="0" w:beforeAutospacing="0" w:after="0" w:afterAutospacing="0" w:line="351" w:lineRule="auto"/>
              <w:ind w:left="0" w:right="0" w:firstLine="480" w:firstLineChars="200"/>
              <w:textAlignment w:val="auto"/>
              <w:rPr>
                <w:rFonts w:hint="default" w:ascii="Times New Roman" w:hAnsi="Times New Roman" w:eastAsia="宋体" w:cs="Times New Roman"/>
                <w:snapToGrid w:val="0"/>
                <w:kern w:val="0"/>
                <w:highlight w:val="none"/>
              </w:rPr>
            </w:pPr>
            <w:r>
              <w:rPr>
                <w:rFonts w:hint="eastAsia" w:ascii="Times New Roman" w:hAnsi="Times New Roman" w:eastAsia="宋体" w:cs="Times New Roman"/>
                <w:snapToGrid w:val="0"/>
                <w:kern w:val="0"/>
                <w:highlight w:val="none"/>
              </w:rPr>
              <w:t>项目废水预处理达标后纳管排放，各类固态废物能够得以妥善处置，有效的减少了污染物的排放量。</w:t>
            </w:r>
          </w:p>
          <w:p w14:paraId="29BD648B">
            <w:pPr>
              <w:keepNext w:val="0"/>
              <w:keepLines w:val="0"/>
              <w:pageBreakBefore w:val="0"/>
              <w:widowControl w:val="0"/>
              <w:suppressLineNumbers w:val="0"/>
              <w:kinsoku/>
              <w:wordWrap/>
              <w:overflowPunct/>
              <w:topLinePunct w:val="0"/>
              <w:bidi w:val="0"/>
              <w:adjustRightInd w:val="0"/>
              <w:snapToGrid w:val="0"/>
              <w:spacing w:before="0" w:beforeAutospacing="0" w:after="0" w:afterAutospacing="0" w:line="351" w:lineRule="auto"/>
              <w:ind w:left="0" w:right="0" w:firstLine="480" w:firstLineChars="200"/>
              <w:textAlignment w:val="auto"/>
              <w:rPr>
                <w:rFonts w:hint="default" w:ascii="Times New Roman" w:hAnsi="Times New Roman" w:eastAsia="宋体" w:cs="Times New Roman"/>
                <w:snapToGrid w:val="0"/>
                <w:kern w:val="0"/>
                <w:highlight w:val="none"/>
              </w:rPr>
            </w:pPr>
            <w:r>
              <w:rPr>
                <w:rFonts w:hint="eastAsia" w:ascii="Times New Roman" w:hAnsi="Times New Roman" w:eastAsia="宋体" w:cs="Times New Roman"/>
                <w:snapToGrid w:val="0"/>
                <w:kern w:val="0"/>
                <w:highlight w:val="none"/>
              </w:rPr>
              <w:t>②分区防治措施：</w:t>
            </w:r>
          </w:p>
          <w:p w14:paraId="07C8A260">
            <w:pPr>
              <w:keepNext w:val="0"/>
              <w:keepLines w:val="0"/>
              <w:pageBreakBefore w:val="0"/>
              <w:widowControl w:val="0"/>
              <w:suppressLineNumbers w:val="0"/>
              <w:kinsoku/>
              <w:wordWrap/>
              <w:overflowPunct/>
              <w:topLinePunct w:val="0"/>
              <w:bidi w:val="0"/>
              <w:adjustRightInd w:val="0"/>
              <w:snapToGrid w:val="0"/>
              <w:spacing w:before="0" w:beforeAutospacing="0" w:after="0" w:afterAutospacing="0" w:line="351" w:lineRule="auto"/>
              <w:ind w:left="0" w:right="0" w:firstLine="480" w:firstLineChars="200"/>
              <w:textAlignment w:val="auto"/>
              <w:rPr>
                <w:rFonts w:hint="default" w:ascii="Times New Roman" w:hAnsi="Times New Roman" w:eastAsia="宋体" w:cs="Times New Roman"/>
                <w:snapToGrid w:val="0"/>
                <w:kern w:val="0"/>
                <w:highlight w:val="none"/>
              </w:rPr>
            </w:pPr>
            <w:r>
              <w:rPr>
                <w:rFonts w:hint="eastAsia" w:ascii="Times New Roman" w:hAnsi="Times New Roman" w:eastAsia="宋体" w:cs="Times New Roman"/>
                <w:snapToGrid w:val="0"/>
                <w:kern w:val="0"/>
                <w:highlight w:val="none"/>
              </w:rPr>
              <w:t>本项目整个车间地面进行硬化、防渗处理，按照防渗标准要求进行合理设计，建立防渗设施的检漏系统。</w:t>
            </w:r>
          </w:p>
          <w:p w14:paraId="1CB0AB8C">
            <w:pPr>
              <w:keepNext w:val="0"/>
              <w:keepLines w:val="0"/>
              <w:widowControl w:val="0"/>
              <w:suppressLineNumbers w:val="0"/>
              <w:adjustRightInd w:val="0"/>
              <w:snapToGrid w:val="0"/>
              <w:spacing w:before="0" w:beforeAutospacing="0" w:after="0" w:afterAutospacing="0" w:line="360" w:lineRule="auto"/>
              <w:ind w:left="0" w:right="0" w:firstLine="0" w:firstLineChars="0"/>
              <w:jc w:val="center"/>
              <w:textAlignment w:val="baseline"/>
              <w:rPr>
                <w:rFonts w:hint="default" w:ascii="Times New Roman" w:hAnsi="Times New Roman" w:eastAsia="宋体" w:cs="Times New Roman"/>
                <w:b/>
                <w:color w:val="000000"/>
                <w:kern w:val="2"/>
                <w:sz w:val="24"/>
                <w:szCs w:val="24"/>
                <w:highlight w:val="none"/>
                <w:lang w:val="en-US" w:eastAsia="zh-CN" w:bidi="ar-SA"/>
              </w:rPr>
            </w:pPr>
            <w:r>
              <w:rPr>
                <w:rFonts w:hint="default" w:ascii="Times New Roman" w:hAnsi="Times New Roman" w:eastAsia="宋体" w:cs="Times New Roman"/>
                <w:b/>
                <w:color w:val="000000"/>
                <w:kern w:val="2"/>
                <w:sz w:val="24"/>
                <w:szCs w:val="24"/>
                <w:highlight w:val="none"/>
                <w:lang w:val="en-US" w:eastAsia="zh-CN" w:bidi="ar-SA"/>
              </w:rPr>
              <w:t>表</w:t>
            </w:r>
            <w:r>
              <w:rPr>
                <w:rFonts w:hint="eastAsia" w:ascii="Times New Roman" w:hAnsi="Times New Roman" w:eastAsia="宋体" w:cs="Times New Roman"/>
                <w:b/>
                <w:color w:val="000000"/>
                <w:kern w:val="2"/>
                <w:sz w:val="24"/>
                <w:szCs w:val="24"/>
                <w:highlight w:val="none"/>
                <w:lang w:val="en-US" w:eastAsia="zh-CN" w:bidi="ar-SA"/>
              </w:rPr>
              <w:t>4-</w:t>
            </w:r>
            <w:r>
              <w:rPr>
                <w:rFonts w:hint="eastAsia" w:cs="Times New Roman"/>
                <w:b/>
                <w:color w:val="000000"/>
                <w:kern w:val="2"/>
                <w:sz w:val="24"/>
                <w:szCs w:val="24"/>
                <w:highlight w:val="none"/>
                <w:lang w:val="en-US" w:eastAsia="zh-CN" w:bidi="ar-SA"/>
              </w:rPr>
              <w:t>1</w:t>
            </w:r>
            <w:r>
              <w:rPr>
                <w:rFonts w:hint="eastAsia" w:ascii="Times New Roman" w:hAnsi="Times New Roman" w:eastAsia="宋体" w:cs="Times New Roman"/>
                <w:b/>
                <w:color w:val="000000"/>
                <w:kern w:val="2"/>
                <w:sz w:val="24"/>
                <w:szCs w:val="24"/>
                <w:highlight w:val="none"/>
                <w:lang w:val="en-US" w:eastAsia="zh-CN" w:bidi="ar-SA"/>
              </w:rPr>
              <w:t xml:space="preserve">5 </w:t>
            </w:r>
            <w:r>
              <w:rPr>
                <w:rFonts w:hint="default" w:ascii="Times New Roman" w:hAnsi="Times New Roman" w:eastAsia="宋体" w:cs="Times New Roman"/>
                <w:b/>
                <w:color w:val="000000"/>
                <w:kern w:val="2"/>
                <w:sz w:val="24"/>
                <w:szCs w:val="24"/>
                <w:highlight w:val="none"/>
                <w:lang w:val="en-US" w:eastAsia="zh-CN" w:bidi="ar-SA"/>
              </w:rPr>
              <w:t>项目防渗分区及防渗要求</w:t>
            </w:r>
          </w:p>
          <w:tbl>
            <w:tblPr>
              <w:tblStyle w:val="32"/>
              <w:tblW w:w="4997"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596"/>
              <w:gridCol w:w="2676"/>
              <w:gridCol w:w="3995"/>
            </w:tblGrid>
            <w:tr w14:paraId="1B72543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965" w:type="pct"/>
                  <w:noWrap w:val="0"/>
                  <w:vAlign w:val="center"/>
                </w:tcPr>
                <w:p w14:paraId="5B2706C4">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76" w:lineRule="auto"/>
                    <w:ind w:left="0" w:right="0"/>
                    <w:jc w:val="center"/>
                    <w:textAlignment w:val="baseline"/>
                    <w:rPr>
                      <w:rFonts w:hint="default" w:ascii="Times New Roman" w:hAnsi="Times New Roman" w:eastAsia="宋体" w:cs="Times New Roman"/>
                      <w:snapToGrid w:val="0"/>
                      <w:kern w:val="0"/>
                      <w:sz w:val="21"/>
                      <w:szCs w:val="21"/>
                      <w:highlight w:val="none"/>
                    </w:rPr>
                  </w:pPr>
                  <w:r>
                    <w:rPr>
                      <w:rFonts w:hint="default" w:ascii="Times New Roman" w:hAnsi="Times New Roman" w:eastAsia="宋体" w:cs="Times New Roman"/>
                      <w:snapToGrid w:val="0"/>
                      <w:kern w:val="0"/>
                      <w:sz w:val="21"/>
                      <w:szCs w:val="21"/>
                      <w:highlight w:val="none"/>
                    </w:rPr>
                    <w:t>防渗分区</w:t>
                  </w:r>
                </w:p>
              </w:tc>
              <w:tc>
                <w:tcPr>
                  <w:tcW w:w="1618" w:type="pct"/>
                  <w:noWrap w:val="0"/>
                  <w:vAlign w:val="center"/>
                </w:tcPr>
                <w:p w14:paraId="1445AFF6">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76" w:lineRule="auto"/>
                    <w:ind w:left="0" w:right="0"/>
                    <w:jc w:val="center"/>
                    <w:textAlignment w:val="baseline"/>
                    <w:rPr>
                      <w:rFonts w:hint="default" w:ascii="Times New Roman" w:hAnsi="Times New Roman" w:eastAsia="宋体" w:cs="Times New Roman"/>
                      <w:snapToGrid w:val="0"/>
                      <w:kern w:val="0"/>
                      <w:sz w:val="21"/>
                      <w:szCs w:val="21"/>
                      <w:highlight w:val="none"/>
                    </w:rPr>
                  </w:pPr>
                  <w:r>
                    <w:rPr>
                      <w:rFonts w:hint="default" w:ascii="Times New Roman" w:hAnsi="Times New Roman" w:eastAsia="宋体" w:cs="Times New Roman"/>
                      <w:snapToGrid w:val="0"/>
                      <w:kern w:val="0"/>
                      <w:sz w:val="21"/>
                      <w:szCs w:val="21"/>
                      <w:highlight w:val="none"/>
                    </w:rPr>
                    <w:t>防渗位置</w:t>
                  </w:r>
                </w:p>
              </w:tc>
              <w:tc>
                <w:tcPr>
                  <w:tcW w:w="2415" w:type="pct"/>
                  <w:noWrap w:val="0"/>
                  <w:vAlign w:val="center"/>
                </w:tcPr>
                <w:p w14:paraId="21473EC8">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76" w:lineRule="auto"/>
                    <w:ind w:left="0" w:right="0"/>
                    <w:jc w:val="center"/>
                    <w:textAlignment w:val="baseline"/>
                    <w:rPr>
                      <w:rFonts w:hint="default" w:ascii="Times New Roman" w:hAnsi="Times New Roman" w:eastAsia="宋体" w:cs="Times New Roman"/>
                      <w:snapToGrid w:val="0"/>
                      <w:kern w:val="0"/>
                      <w:sz w:val="21"/>
                      <w:szCs w:val="21"/>
                      <w:highlight w:val="none"/>
                    </w:rPr>
                  </w:pPr>
                  <w:r>
                    <w:rPr>
                      <w:rFonts w:hint="default" w:ascii="Times New Roman" w:hAnsi="Times New Roman" w:eastAsia="宋体" w:cs="Times New Roman"/>
                      <w:snapToGrid w:val="0"/>
                      <w:kern w:val="0"/>
                      <w:sz w:val="21"/>
                      <w:szCs w:val="21"/>
                      <w:highlight w:val="none"/>
                    </w:rPr>
                    <w:t>防渗技术要求</w:t>
                  </w:r>
                </w:p>
              </w:tc>
            </w:tr>
            <w:tr w14:paraId="08E9E3C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965" w:type="pct"/>
                  <w:noWrap w:val="0"/>
                  <w:vAlign w:val="center"/>
                </w:tcPr>
                <w:p w14:paraId="3DD8A56B">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76" w:lineRule="auto"/>
                    <w:ind w:left="0" w:right="0"/>
                    <w:jc w:val="center"/>
                    <w:textAlignment w:val="baseline"/>
                    <w:rPr>
                      <w:rFonts w:hint="default" w:ascii="Times New Roman" w:hAnsi="Times New Roman" w:eastAsia="宋体" w:cs="Times New Roman"/>
                      <w:snapToGrid w:val="0"/>
                      <w:kern w:val="0"/>
                      <w:sz w:val="21"/>
                      <w:szCs w:val="21"/>
                      <w:highlight w:val="none"/>
                    </w:rPr>
                  </w:pPr>
                  <w:r>
                    <w:rPr>
                      <w:rFonts w:hint="eastAsia" w:ascii="Times New Roman" w:hAnsi="Times New Roman" w:eastAsia="宋体" w:cs="Times New Roman"/>
                      <w:snapToGrid w:val="0"/>
                      <w:kern w:val="0"/>
                      <w:sz w:val="21"/>
                      <w:szCs w:val="21"/>
                      <w:highlight w:val="none"/>
                    </w:rPr>
                    <w:t>重点防渗区</w:t>
                  </w:r>
                </w:p>
              </w:tc>
              <w:tc>
                <w:tcPr>
                  <w:tcW w:w="1618" w:type="pct"/>
                  <w:noWrap w:val="0"/>
                  <w:vAlign w:val="center"/>
                </w:tcPr>
                <w:p w14:paraId="50937894">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76" w:lineRule="auto"/>
                    <w:ind w:left="0" w:right="0"/>
                    <w:jc w:val="center"/>
                    <w:textAlignment w:val="baseline"/>
                    <w:rPr>
                      <w:rFonts w:hint="default" w:ascii="Times New Roman" w:hAnsi="Times New Roman" w:eastAsia="宋体" w:cs="Times New Roman"/>
                      <w:snapToGrid w:val="0"/>
                      <w:kern w:val="0"/>
                      <w:sz w:val="21"/>
                      <w:szCs w:val="21"/>
                      <w:highlight w:val="none"/>
                      <w:lang w:val="en-US" w:eastAsia="zh-CN"/>
                    </w:rPr>
                  </w:pPr>
                  <w:r>
                    <w:rPr>
                      <w:rFonts w:hint="eastAsia" w:cs="Times New Roman"/>
                      <w:sz w:val="21"/>
                      <w:szCs w:val="21"/>
                      <w:highlight w:val="none"/>
                      <w:lang w:val="en-US" w:eastAsia="zh-CN"/>
                    </w:rPr>
                    <w:t>试剂间、</w:t>
                  </w:r>
                  <w:r>
                    <w:rPr>
                      <w:rFonts w:hint="eastAsia" w:ascii="Times New Roman" w:hAnsi="Times New Roman" w:eastAsia="宋体" w:cs="Times New Roman"/>
                      <w:sz w:val="21"/>
                      <w:szCs w:val="21"/>
                      <w:highlight w:val="none"/>
                    </w:rPr>
                    <w:t>危废暂存间、污水处理站</w:t>
                  </w:r>
                  <w:r>
                    <w:rPr>
                      <w:rFonts w:hint="eastAsia" w:ascii="Times New Roman" w:hAnsi="Times New Roman" w:eastAsia="宋体" w:cs="Times New Roman"/>
                      <w:sz w:val="21"/>
                      <w:szCs w:val="21"/>
                      <w:highlight w:val="none"/>
                      <w:lang w:eastAsia="zh-CN"/>
                    </w:rPr>
                    <w:t>、</w:t>
                  </w:r>
                  <w:r>
                    <w:rPr>
                      <w:rFonts w:hint="eastAsia" w:ascii="Times New Roman" w:hAnsi="Times New Roman" w:eastAsia="宋体" w:cs="Times New Roman"/>
                      <w:sz w:val="21"/>
                      <w:szCs w:val="21"/>
                      <w:highlight w:val="none"/>
                      <w:lang w:val="en-US" w:eastAsia="zh-CN"/>
                    </w:rPr>
                    <w:t>化粪池、隔油池</w:t>
                  </w:r>
                </w:p>
              </w:tc>
              <w:tc>
                <w:tcPr>
                  <w:tcW w:w="2415" w:type="pct"/>
                  <w:noWrap w:val="0"/>
                  <w:vAlign w:val="center"/>
                </w:tcPr>
                <w:p w14:paraId="3815F7C8">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76" w:lineRule="auto"/>
                    <w:ind w:left="0" w:right="0"/>
                    <w:contextualSpacing/>
                    <w:jc w:val="center"/>
                    <w:textAlignment w:val="baseline"/>
                    <w:rPr>
                      <w:rFonts w:hint="default" w:ascii="Times New Roman" w:hAnsi="Times New Roman" w:eastAsia="宋体" w:cs="Times New Roman"/>
                      <w:color w:val="000000"/>
                      <w:kern w:val="2"/>
                      <w:sz w:val="21"/>
                      <w:szCs w:val="21"/>
                      <w:highlight w:val="none"/>
                      <w:lang w:val="en-US" w:eastAsia="zh-CN" w:bidi="ar-SA"/>
                    </w:rPr>
                  </w:pPr>
                  <w:r>
                    <w:rPr>
                      <w:rFonts w:hint="default" w:ascii="Times New Roman" w:hAnsi="Times New Roman" w:eastAsia="宋体" w:cs="Times New Roman"/>
                      <w:color w:val="000000"/>
                      <w:kern w:val="2"/>
                      <w:sz w:val="21"/>
                      <w:szCs w:val="21"/>
                      <w:highlight w:val="none"/>
                      <w:lang w:val="en-US" w:eastAsia="zh-CN" w:bidi="ar-SA"/>
                    </w:rPr>
                    <w:t>等效黏土防渗层≥</w:t>
                  </w:r>
                  <w:r>
                    <w:rPr>
                      <w:rFonts w:hint="eastAsia" w:ascii="Times New Roman" w:hAnsi="Times New Roman" w:eastAsia="宋体" w:cs="Times New Roman"/>
                      <w:color w:val="000000"/>
                      <w:kern w:val="2"/>
                      <w:sz w:val="21"/>
                      <w:szCs w:val="21"/>
                      <w:highlight w:val="none"/>
                      <w:lang w:val="en-US" w:eastAsia="zh-CN" w:bidi="ar-SA"/>
                    </w:rPr>
                    <w:t>6.0</w:t>
                  </w:r>
                  <w:r>
                    <w:rPr>
                      <w:rFonts w:hint="default" w:ascii="Times New Roman" w:hAnsi="Times New Roman" w:eastAsia="宋体" w:cs="Times New Roman"/>
                      <w:color w:val="000000"/>
                      <w:kern w:val="2"/>
                      <w:sz w:val="21"/>
                      <w:szCs w:val="21"/>
                      <w:highlight w:val="none"/>
                      <w:lang w:val="en-US" w:eastAsia="zh-CN" w:bidi="ar-SA"/>
                    </w:rPr>
                    <w:t>m，K≤1×10</w:t>
                  </w:r>
                  <w:r>
                    <w:rPr>
                      <w:rFonts w:hint="default" w:ascii="Times New Roman" w:hAnsi="Times New Roman" w:eastAsia="宋体" w:cs="Times New Roman"/>
                      <w:color w:val="000000"/>
                      <w:kern w:val="2"/>
                      <w:sz w:val="21"/>
                      <w:szCs w:val="21"/>
                      <w:highlight w:val="none"/>
                      <w:vertAlign w:val="superscript"/>
                      <w:lang w:val="en-US" w:eastAsia="zh-CN" w:bidi="ar-SA"/>
                    </w:rPr>
                    <w:t>-7</w:t>
                  </w:r>
                  <w:r>
                    <w:rPr>
                      <w:rFonts w:hint="default" w:ascii="Times New Roman" w:hAnsi="Times New Roman" w:eastAsia="宋体" w:cs="Times New Roman"/>
                      <w:color w:val="000000"/>
                      <w:kern w:val="2"/>
                      <w:sz w:val="21"/>
                      <w:szCs w:val="21"/>
                      <w:highlight w:val="none"/>
                      <w:lang w:val="en-US" w:eastAsia="zh-CN" w:bidi="ar-SA"/>
                    </w:rPr>
                    <w:t>cm/s</w:t>
                  </w:r>
                </w:p>
              </w:tc>
            </w:tr>
            <w:tr w14:paraId="53030D1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965" w:type="pct"/>
                  <w:noWrap w:val="0"/>
                  <w:vAlign w:val="center"/>
                </w:tcPr>
                <w:p w14:paraId="23B7C9B5">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76" w:lineRule="auto"/>
                    <w:ind w:left="0" w:right="0"/>
                    <w:jc w:val="center"/>
                    <w:textAlignment w:val="baseline"/>
                    <w:rPr>
                      <w:rFonts w:hint="default" w:ascii="Times New Roman" w:hAnsi="Times New Roman" w:eastAsia="宋体" w:cs="Times New Roman"/>
                      <w:snapToGrid w:val="0"/>
                      <w:kern w:val="0"/>
                      <w:sz w:val="21"/>
                      <w:szCs w:val="21"/>
                      <w:highlight w:val="none"/>
                    </w:rPr>
                  </w:pPr>
                  <w:r>
                    <w:rPr>
                      <w:rFonts w:hint="default" w:ascii="Times New Roman" w:hAnsi="Times New Roman" w:eastAsia="宋体" w:cs="Times New Roman"/>
                      <w:snapToGrid w:val="0"/>
                      <w:kern w:val="0"/>
                      <w:sz w:val="21"/>
                      <w:szCs w:val="21"/>
                      <w:highlight w:val="none"/>
                    </w:rPr>
                    <w:t>一般防渗区</w:t>
                  </w:r>
                </w:p>
              </w:tc>
              <w:tc>
                <w:tcPr>
                  <w:tcW w:w="1618" w:type="pct"/>
                  <w:noWrap w:val="0"/>
                  <w:vAlign w:val="center"/>
                </w:tcPr>
                <w:p w14:paraId="78020A8E">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76" w:lineRule="auto"/>
                    <w:ind w:left="0" w:right="0"/>
                    <w:jc w:val="center"/>
                    <w:textAlignment w:val="baseline"/>
                    <w:rPr>
                      <w:rFonts w:hint="default" w:ascii="Times New Roman" w:hAnsi="Times New Roman" w:eastAsia="宋体" w:cs="Times New Roman"/>
                      <w:snapToGrid w:val="0"/>
                      <w:kern w:val="0"/>
                      <w:sz w:val="21"/>
                      <w:szCs w:val="21"/>
                      <w:highlight w:val="none"/>
                      <w:lang w:val="en-US" w:eastAsia="zh-CN"/>
                    </w:rPr>
                  </w:pPr>
                  <w:r>
                    <w:rPr>
                      <w:rFonts w:hint="eastAsia" w:cs="Times New Roman"/>
                      <w:snapToGrid w:val="0"/>
                      <w:kern w:val="0"/>
                      <w:sz w:val="21"/>
                      <w:szCs w:val="21"/>
                      <w:highlight w:val="none"/>
                      <w:lang w:val="en-US" w:eastAsia="zh-CN"/>
                    </w:rPr>
                    <w:t>一般固废仓库</w:t>
                  </w:r>
                </w:p>
              </w:tc>
              <w:tc>
                <w:tcPr>
                  <w:tcW w:w="2415" w:type="pct"/>
                  <w:noWrap w:val="0"/>
                  <w:vAlign w:val="center"/>
                </w:tcPr>
                <w:p w14:paraId="19CDB305">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76" w:lineRule="auto"/>
                    <w:ind w:left="0" w:right="0"/>
                    <w:contextualSpacing/>
                    <w:jc w:val="center"/>
                    <w:textAlignment w:val="baseline"/>
                    <w:rPr>
                      <w:rFonts w:hint="default" w:ascii="Times New Roman" w:hAnsi="Times New Roman" w:eastAsia="宋体" w:cs="Times New Roman"/>
                      <w:color w:val="000000"/>
                      <w:kern w:val="2"/>
                      <w:sz w:val="21"/>
                      <w:szCs w:val="21"/>
                      <w:highlight w:val="none"/>
                      <w:lang w:val="en-US" w:eastAsia="zh-CN" w:bidi="ar-SA"/>
                    </w:rPr>
                  </w:pPr>
                  <w:r>
                    <w:rPr>
                      <w:rFonts w:hint="default" w:ascii="Times New Roman" w:hAnsi="Times New Roman" w:eastAsia="宋体" w:cs="Times New Roman"/>
                      <w:color w:val="000000"/>
                      <w:kern w:val="2"/>
                      <w:sz w:val="21"/>
                      <w:szCs w:val="21"/>
                      <w:highlight w:val="none"/>
                      <w:lang w:val="en-US" w:eastAsia="zh-CN" w:bidi="ar-SA"/>
                    </w:rPr>
                    <w:t>等效黏土防渗层≥1.5m，K≤1×10</w:t>
                  </w:r>
                  <w:r>
                    <w:rPr>
                      <w:rFonts w:hint="default" w:ascii="Times New Roman" w:hAnsi="Times New Roman" w:eastAsia="宋体" w:cs="Times New Roman"/>
                      <w:color w:val="000000"/>
                      <w:kern w:val="2"/>
                      <w:sz w:val="21"/>
                      <w:szCs w:val="21"/>
                      <w:highlight w:val="none"/>
                      <w:vertAlign w:val="superscript"/>
                      <w:lang w:val="en-US" w:eastAsia="zh-CN" w:bidi="ar-SA"/>
                    </w:rPr>
                    <w:t>-7</w:t>
                  </w:r>
                  <w:r>
                    <w:rPr>
                      <w:rFonts w:hint="default" w:ascii="Times New Roman" w:hAnsi="Times New Roman" w:eastAsia="宋体" w:cs="Times New Roman"/>
                      <w:color w:val="000000"/>
                      <w:kern w:val="2"/>
                      <w:sz w:val="21"/>
                      <w:szCs w:val="21"/>
                      <w:highlight w:val="none"/>
                      <w:lang w:val="en-US" w:eastAsia="zh-CN" w:bidi="ar-SA"/>
                    </w:rPr>
                    <w:t>cm/s</w:t>
                  </w:r>
                </w:p>
              </w:tc>
            </w:tr>
            <w:tr w14:paraId="61E7EA6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965" w:type="pct"/>
                  <w:noWrap w:val="0"/>
                  <w:vAlign w:val="center"/>
                </w:tcPr>
                <w:p w14:paraId="171ED7AE">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76" w:lineRule="auto"/>
                    <w:ind w:left="0" w:right="0"/>
                    <w:jc w:val="center"/>
                    <w:textAlignment w:val="baseline"/>
                    <w:rPr>
                      <w:rFonts w:hint="default" w:ascii="Times New Roman" w:hAnsi="Times New Roman" w:eastAsia="宋体" w:cs="Times New Roman"/>
                      <w:snapToGrid w:val="0"/>
                      <w:kern w:val="0"/>
                      <w:sz w:val="21"/>
                      <w:szCs w:val="21"/>
                      <w:highlight w:val="none"/>
                    </w:rPr>
                  </w:pPr>
                  <w:r>
                    <w:rPr>
                      <w:rFonts w:hint="default" w:ascii="Times New Roman" w:hAnsi="Times New Roman" w:eastAsia="宋体" w:cs="Times New Roman"/>
                      <w:snapToGrid w:val="0"/>
                      <w:kern w:val="0"/>
                      <w:sz w:val="21"/>
                      <w:szCs w:val="21"/>
                      <w:highlight w:val="none"/>
                    </w:rPr>
                    <w:t>简单防渗区</w:t>
                  </w:r>
                </w:p>
              </w:tc>
              <w:tc>
                <w:tcPr>
                  <w:tcW w:w="1618" w:type="pct"/>
                  <w:noWrap w:val="0"/>
                  <w:vAlign w:val="center"/>
                </w:tcPr>
                <w:p w14:paraId="608A5AFD">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76" w:lineRule="auto"/>
                    <w:ind w:left="0" w:right="0"/>
                    <w:jc w:val="center"/>
                    <w:textAlignment w:val="baseline"/>
                    <w:rPr>
                      <w:rFonts w:hint="default" w:ascii="Times New Roman" w:hAnsi="Times New Roman" w:eastAsia="宋体" w:cs="Times New Roman"/>
                      <w:snapToGrid w:val="0"/>
                      <w:kern w:val="0"/>
                      <w:sz w:val="21"/>
                      <w:szCs w:val="21"/>
                      <w:highlight w:val="none"/>
                    </w:rPr>
                  </w:pPr>
                  <w:r>
                    <w:rPr>
                      <w:rFonts w:hint="eastAsia" w:ascii="Times New Roman" w:hAnsi="Times New Roman" w:eastAsia="宋体" w:cs="Times New Roman"/>
                      <w:snapToGrid w:val="0"/>
                      <w:kern w:val="0"/>
                      <w:sz w:val="21"/>
                      <w:szCs w:val="21"/>
                      <w:highlight w:val="none"/>
                    </w:rPr>
                    <w:t>其他区域</w:t>
                  </w:r>
                </w:p>
              </w:tc>
              <w:tc>
                <w:tcPr>
                  <w:tcW w:w="2415" w:type="pct"/>
                  <w:noWrap w:val="0"/>
                  <w:vAlign w:val="center"/>
                </w:tcPr>
                <w:p w14:paraId="32009E98">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76" w:lineRule="auto"/>
                    <w:ind w:left="0" w:right="0"/>
                    <w:contextualSpacing/>
                    <w:jc w:val="center"/>
                    <w:textAlignment w:val="baseline"/>
                    <w:rPr>
                      <w:rFonts w:hint="default" w:ascii="Times New Roman" w:hAnsi="Times New Roman" w:eastAsia="宋体" w:cs="Times New Roman"/>
                      <w:color w:val="000000"/>
                      <w:kern w:val="2"/>
                      <w:sz w:val="21"/>
                      <w:szCs w:val="21"/>
                      <w:highlight w:val="none"/>
                      <w:lang w:val="en-US" w:eastAsia="zh-CN" w:bidi="ar-SA"/>
                    </w:rPr>
                  </w:pPr>
                  <w:r>
                    <w:rPr>
                      <w:rFonts w:hint="default" w:ascii="Times New Roman" w:hAnsi="Times New Roman" w:eastAsia="宋体" w:cs="Times New Roman"/>
                      <w:color w:val="000000"/>
                      <w:kern w:val="2"/>
                      <w:sz w:val="21"/>
                      <w:szCs w:val="21"/>
                      <w:highlight w:val="none"/>
                      <w:lang w:val="en-US" w:eastAsia="zh-CN" w:bidi="ar-SA"/>
                    </w:rPr>
                    <w:t>一般地面硬化</w:t>
                  </w:r>
                </w:p>
              </w:tc>
            </w:tr>
          </w:tbl>
          <w:p w14:paraId="6D21FC8C">
            <w:pPr>
              <w:keepNext w:val="0"/>
              <w:keepLines w:val="0"/>
              <w:pageBreakBefore w:val="0"/>
              <w:widowControl w:val="0"/>
              <w:suppressLineNumbers w:val="0"/>
              <w:kinsoku/>
              <w:wordWrap/>
              <w:overflowPunct/>
              <w:topLinePunct w:val="0"/>
              <w:autoSpaceDE/>
              <w:autoSpaceDN/>
              <w:bidi w:val="0"/>
              <w:snapToGrid w:val="0"/>
              <w:spacing w:before="60" w:beforeAutospacing="0" w:after="0" w:afterAutospacing="0" w:line="360" w:lineRule="auto"/>
              <w:ind w:left="0" w:right="0" w:firstLine="480" w:firstLineChars="200"/>
              <w:textAlignment w:val="auto"/>
              <w:rPr>
                <w:rFonts w:hint="default" w:ascii="Times New Roman" w:hAnsi="Times New Roman" w:eastAsia="宋体" w:cs="Times New Roman"/>
                <w:sz w:val="24"/>
                <w:szCs w:val="24"/>
                <w:highlight w:val="none"/>
              </w:rPr>
            </w:pPr>
            <w:r>
              <w:rPr>
                <w:rFonts w:hint="eastAsia" w:ascii="Times New Roman" w:hAnsi="Times New Roman" w:eastAsia="宋体" w:cs="Times New Roman"/>
                <w:sz w:val="24"/>
                <w:szCs w:val="24"/>
                <w:highlight w:val="none"/>
              </w:rPr>
              <w:t>简单防渗</w:t>
            </w:r>
            <w:r>
              <w:rPr>
                <w:rFonts w:hint="default" w:ascii="Times New Roman" w:hAnsi="Times New Roman" w:eastAsia="宋体" w:cs="Times New Roman"/>
                <w:sz w:val="24"/>
                <w:szCs w:val="24"/>
                <w:highlight w:val="none"/>
              </w:rPr>
              <w:t>区：没有物料或污染物泄漏，不对地下水环境造成污染的区域或部位。</w:t>
            </w:r>
          </w:p>
          <w:p w14:paraId="4FCB018C">
            <w:pPr>
              <w:keepNext w:val="0"/>
              <w:keepLines w:val="0"/>
              <w:pageBreakBefore w:val="0"/>
              <w:widowControl w:val="0"/>
              <w:suppressLineNumbers w:val="0"/>
              <w:kinsoku/>
              <w:wordWrap/>
              <w:overflowPunct/>
              <w:topLinePunct w:val="0"/>
              <w:autoSpaceDE/>
              <w:autoSpaceDN/>
              <w:bidi w:val="0"/>
              <w:snapToGrid w:val="0"/>
              <w:spacing w:before="60" w:beforeAutospacing="0" w:after="0" w:afterAutospacing="0" w:line="355" w:lineRule="auto"/>
              <w:ind w:left="0" w:right="0" w:firstLine="480" w:firstLineChars="200"/>
              <w:textAlignment w:val="auto"/>
              <w:rPr>
                <w:rFonts w:hint="default" w:ascii="Times New Roman" w:hAnsi="Times New Roman" w:eastAsia="宋体" w:cs="Times New Roman"/>
                <w:sz w:val="24"/>
                <w:szCs w:val="24"/>
                <w:highlight w:val="none"/>
              </w:rPr>
            </w:pPr>
            <w:r>
              <w:rPr>
                <w:rFonts w:hint="default" w:ascii="Times New Roman" w:hAnsi="Times New Roman" w:eastAsia="宋体" w:cs="Times New Roman"/>
                <w:sz w:val="24"/>
                <w:szCs w:val="24"/>
                <w:highlight w:val="none"/>
              </w:rPr>
              <w:t>一般</w:t>
            </w:r>
            <w:r>
              <w:rPr>
                <w:rFonts w:hint="eastAsia" w:ascii="Times New Roman" w:hAnsi="Times New Roman" w:eastAsia="宋体" w:cs="Times New Roman"/>
                <w:sz w:val="24"/>
                <w:szCs w:val="24"/>
                <w:highlight w:val="none"/>
              </w:rPr>
              <w:t>防渗区</w:t>
            </w:r>
            <w:r>
              <w:rPr>
                <w:rFonts w:hint="default" w:ascii="Times New Roman" w:hAnsi="Times New Roman" w:eastAsia="宋体" w:cs="Times New Roman"/>
                <w:sz w:val="24"/>
                <w:szCs w:val="24"/>
                <w:highlight w:val="none"/>
              </w:rPr>
              <w:t>：裸露于地面的生产功能单元，污染地下水环境的物料或污染物泄漏后，可及时发现和处理的区域部位。</w:t>
            </w:r>
          </w:p>
          <w:p w14:paraId="621BF028">
            <w:pPr>
              <w:keepNext w:val="0"/>
              <w:keepLines w:val="0"/>
              <w:pageBreakBefore w:val="0"/>
              <w:widowControl w:val="0"/>
              <w:suppressLineNumbers w:val="0"/>
              <w:kinsoku/>
              <w:wordWrap/>
              <w:overflowPunct/>
              <w:topLinePunct w:val="0"/>
              <w:autoSpaceDE/>
              <w:autoSpaceDN/>
              <w:bidi w:val="0"/>
              <w:snapToGrid w:val="0"/>
              <w:spacing w:before="60" w:beforeAutospacing="0" w:after="0" w:afterAutospacing="0" w:line="355" w:lineRule="auto"/>
              <w:ind w:left="0" w:right="0" w:firstLine="480" w:firstLineChars="200"/>
              <w:textAlignment w:val="auto"/>
              <w:rPr>
                <w:rFonts w:hint="default" w:ascii="Times New Roman" w:hAnsi="Times New Roman" w:eastAsia="宋体" w:cs="Times New Roman"/>
                <w:sz w:val="24"/>
                <w:szCs w:val="24"/>
                <w:highlight w:val="none"/>
              </w:rPr>
            </w:pPr>
            <w:r>
              <w:rPr>
                <w:rFonts w:hint="default" w:ascii="Times New Roman" w:hAnsi="Times New Roman" w:eastAsia="宋体" w:cs="Times New Roman"/>
                <w:sz w:val="24"/>
                <w:szCs w:val="24"/>
                <w:highlight w:val="none"/>
              </w:rPr>
              <w:t>重点</w:t>
            </w:r>
            <w:r>
              <w:rPr>
                <w:rFonts w:hint="eastAsia" w:ascii="Times New Roman" w:hAnsi="Times New Roman" w:eastAsia="宋体" w:cs="Times New Roman"/>
                <w:sz w:val="24"/>
                <w:szCs w:val="24"/>
                <w:highlight w:val="none"/>
              </w:rPr>
              <w:t>防渗区</w:t>
            </w:r>
            <w:r>
              <w:rPr>
                <w:rFonts w:hint="default" w:ascii="Times New Roman" w:hAnsi="Times New Roman" w:eastAsia="宋体" w:cs="Times New Roman"/>
                <w:sz w:val="24"/>
                <w:szCs w:val="24"/>
                <w:highlight w:val="none"/>
              </w:rPr>
              <w:t>：位于地下或半地下的生产功能单元，污染地下水环境的物料或污染物泄漏后，不易及时发现和处理的区域部位。</w:t>
            </w:r>
          </w:p>
          <w:p w14:paraId="138A0F05">
            <w:pPr>
              <w:keepNext w:val="0"/>
              <w:keepLines w:val="0"/>
              <w:pageBreakBefore w:val="0"/>
              <w:widowControl w:val="0"/>
              <w:suppressLineNumbers w:val="0"/>
              <w:kinsoku/>
              <w:wordWrap/>
              <w:overflowPunct/>
              <w:topLinePunct w:val="0"/>
              <w:autoSpaceDE/>
              <w:autoSpaceDN/>
              <w:bidi w:val="0"/>
              <w:adjustRightInd w:val="0"/>
              <w:snapToGrid w:val="0"/>
              <w:spacing w:before="60" w:beforeAutospacing="0" w:after="0" w:afterAutospacing="0" w:line="351" w:lineRule="auto"/>
              <w:ind w:left="0" w:right="0" w:firstLine="480" w:firstLineChars="200"/>
              <w:textAlignment w:val="auto"/>
              <w:rPr>
                <w:rFonts w:hint="default" w:ascii="Times New Roman" w:hAnsi="Times New Roman" w:eastAsia="宋体" w:cs="Times New Roman"/>
                <w:snapToGrid w:val="0"/>
                <w:kern w:val="0"/>
                <w:highlight w:val="none"/>
              </w:rPr>
            </w:pPr>
            <w:r>
              <w:rPr>
                <w:rFonts w:hint="eastAsia" w:ascii="Times New Roman" w:hAnsi="Times New Roman" w:eastAsia="宋体" w:cs="Times New Roman"/>
                <w:snapToGrid w:val="0"/>
                <w:kern w:val="0"/>
                <w:highlight w:val="none"/>
              </w:rPr>
              <w:t>综上所述，本项目所在地非地下水环境敏感区，废水不直接外排入环境，不进入周边地表、地下水体。因此企业在落实好防渗、防漏等工作后，正常生产情况下本项目不会对周边地下水及土壤环境产生不良影响。</w:t>
            </w:r>
          </w:p>
          <w:p w14:paraId="6390092D">
            <w:pPr>
              <w:keepNext w:val="0"/>
              <w:keepLines w:val="0"/>
              <w:pageBreakBefore w:val="0"/>
              <w:widowControl w:val="0"/>
              <w:suppressLineNumbers w:val="0"/>
              <w:kinsoku/>
              <w:wordWrap/>
              <w:overflowPunct/>
              <w:topLinePunct w:val="0"/>
              <w:bidi w:val="0"/>
              <w:adjustRightInd w:val="0"/>
              <w:snapToGrid w:val="0"/>
              <w:spacing w:before="0" w:beforeAutospacing="0" w:after="0" w:afterAutospacing="0" w:line="351" w:lineRule="auto"/>
              <w:ind w:left="0" w:right="0"/>
              <w:textAlignment w:val="auto"/>
              <w:rPr>
                <w:rFonts w:hint="default" w:ascii="Times New Roman" w:hAnsi="Times New Roman" w:eastAsia="宋体" w:cs="Times New Roman"/>
                <w:b/>
                <w:bCs/>
                <w:spacing w:val="-10"/>
                <w:highlight w:val="none"/>
              </w:rPr>
            </w:pPr>
            <w:r>
              <w:rPr>
                <w:rFonts w:hint="default" w:ascii="Times New Roman" w:hAnsi="Times New Roman" w:eastAsia="宋体" w:cs="Times New Roman"/>
                <w:b/>
                <w:bCs/>
                <w:spacing w:val="-10"/>
                <w:highlight w:val="none"/>
              </w:rPr>
              <w:t>6</w:t>
            </w:r>
            <w:r>
              <w:rPr>
                <w:rFonts w:hint="eastAsia" w:ascii="Times New Roman" w:hAnsi="Times New Roman" w:eastAsia="宋体" w:cs="Times New Roman"/>
                <w:b/>
                <w:bCs/>
                <w:spacing w:val="-10"/>
                <w:highlight w:val="none"/>
              </w:rPr>
              <w:t>、</w:t>
            </w:r>
            <w:r>
              <w:rPr>
                <w:rFonts w:hint="eastAsia" w:ascii="Times New Roman" w:hAnsi="Times New Roman" w:eastAsia="宋体" w:cs="Times New Roman"/>
                <w:b/>
                <w:bCs/>
                <w:snapToGrid w:val="0"/>
                <w:kern w:val="0"/>
                <w:highlight w:val="none"/>
              </w:rPr>
              <w:t>生态</w:t>
            </w:r>
          </w:p>
          <w:p w14:paraId="3F90FACC">
            <w:pPr>
              <w:keepNext w:val="0"/>
              <w:keepLines w:val="0"/>
              <w:pageBreakBefore w:val="0"/>
              <w:widowControl w:val="0"/>
              <w:suppressLineNumbers w:val="0"/>
              <w:kinsoku/>
              <w:wordWrap/>
              <w:overflowPunct/>
              <w:topLinePunct w:val="0"/>
              <w:bidi w:val="0"/>
              <w:adjustRightInd w:val="0"/>
              <w:snapToGrid w:val="0"/>
              <w:spacing w:before="0" w:beforeAutospacing="0" w:after="0" w:afterAutospacing="0" w:line="351" w:lineRule="auto"/>
              <w:ind w:left="0" w:right="0" w:firstLine="480" w:firstLineChars="200"/>
              <w:textAlignment w:val="auto"/>
              <w:rPr>
                <w:rFonts w:hint="default" w:ascii="Times New Roman" w:hAnsi="Times New Roman" w:eastAsia="宋体" w:cs="Times New Roman"/>
                <w:snapToGrid w:val="0"/>
                <w:kern w:val="0"/>
                <w:highlight w:val="none"/>
              </w:rPr>
            </w:pPr>
            <w:r>
              <w:rPr>
                <w:rFonts w:hint="default" w:ascii="Times New Roman" w:hAnsi="Times New Roman" w:eastAsia="宋体" w:cs="Times New Roman"/>
                <w:highlight w:val="none"/>
              </w:rPr>
              <w:t>本项目</w:t>
            </w:r>
            <w:r>
              <w:rPr>
                <w:rFonts w:hint="eastAsia" w:cs="Times New Roman"/>
                <w:highlight w:val="none"/>
                <w:lang w:val="en-US" w:eastAsia="zh-CN"/>
              </w:rPr>
              <w:t>位于衢州市高铁新城闽江大道以南、龙游路以西、常山港以北</w:t>
            </w:r>
            <w:r>
              <w:rPr>
                <w:rFonts w:hint="eastAsia" w:hAnsi="宋体"/>
                <w:snapToGrid w:val="0"/>
                <w:kern w:val="0"/>
                <w:highlight w:val="none"/>
              </w:rPr>
              <w:t>，不涉及生态环境保护目标</w:t>
            </w:r>
            <w:r>
              <w:rPr>
                <w:rFonts w:hint="eastAsia" w:ascii="Times New Roman" w:hAnsi="Times New Roman" w:eastAsia="宋体" w:cs="Times New Roman"/>
                <w:snapToGrid w:val="0"/>
                <w:kern w:val="0"/>
                <w:highlight w:val="none"/>
              </w:rPr>
              <w:t>。</w:t>
            </w:r>
          </w:p>
          <w:p w14:paraId="7520A26F">
            <w:pPr>
              <w:keepNext w:val="0"/>
              <w:keepLines w:val="0"/>
              <w:pageBreakBefore w:val="0"/>
              <w:widowControl w:val="0"/>
              <w:suppressLineNumbers w:val="0"/>
              <w:kinsoku/>
              <w:wordWrap/>
              <w:overflowPunct/>
              <w:topLinePunct w:val="0"/>
              <w:bidi w:val="0"/>
              <w:adjustRightInd w:val="0"/>
              <w:snapToGrid w:val="0"/>
              <w:spacing w:before="0" w:beforeAutospacing="0" w:after="0" w:afterAutospacing="0" w:line="351" w:lineRule="auto"/>
              <w:ind w:left="0" w:right="0"/>
              <w:textAlignment w:val="auto"/>
              <w:rPr>
                <w:rFonts w:hint="default" w:ascii="Times New Roman" w:hAnsi="Times New Roman" w:eastAsia="宋体" w:cs="Times New Roman"/>
                <w:b/>
                <w:bCs/>
                <w:spacing w:val="-10"/>
                <w:highlight w:val="none"/>
              </w:rPr>
            </w:pPr>
            <w:r>
              <w:rPr>
                <w:rFonts w:hint="default" w:ascii="Times New Roman" w:hAnsi="Times New Roman" w:eastAsia="宋体" w:cs="Times New Roman"/>
                <w:b/>
                <w:bCs/>
                <w:spacing w:val="-10"/>
                <w:highlight w:val="none"/>
              </w:rPr>
              <w:t>7</w:t>
            </w:r>
            <w:r>
              <w:rPr>
                <w:rFonts w:hint="eastAsia" w:ascii="Times New Roman" w:hAnsi="Times New Roman" w:eastAsia="宋体" w:cs="Times New Roman"/>
                <w:b/>
                <w:bCs/>
                <w:spacing w:val="-10"/>
                <w:highlight w:val="none"/>
              </w:rPr>
              <w:t>、</w:t>
            </w:r>
            <w:r>
              <w:rPr>
                <w:rFonts w:hint="eastAsia" w:ascii="Times New Roman" w:hAnsi="Times New Roman" w:eastAsia="宋体" w:cs="Times New Roman"/>
                <w:b/>
                <w:bCs/>
                <w:snapToGrid w:val="0"/>
                <w:kern w:val="0"/>
                <w:highlight w:val="none"/>
              </w:rPr>
              <w:t>环境风险</w:t>
            </w:r>
          </w:p>
          <w:p w14:paraId="2F92E9DA">
            <w:pPr>
              <w:keepNext w:val="0"/>
              <w:keepLines w:val="0"/>
              <w:pageBreakBefore w:val="0"/>
              <w:widowControl w:val="0"/>
              <w:suppressLineNumbers w:val="0"/>
              <w:kinsoku/>
              <w:wordWrap/>
              <w:overflowPunct/>
              <w:topLinePunct w:val="0"/>
              <w:bidi w:val="0"/>
              <w:adjustRightInd w:val="0"/>
              <w:snapToGrid w:val="0"/>
              <w:spacing w:before="0" w:beforeAutospacing="0" w:after="0" w:afterAutospacing="0" w:line="351" w:lineRule="auto"/>
              <w:ind w:left="0" w:right="0" w:firstLine="482" w:firstLineChars="200"/>
              <w:textAlignment w:val="auto"/>
              <w:rPr>
                <w:rFonts w:hint="default" w:ascii="Times New Roman" w:hAnsi="Times New Roman" w:eastAsia="宋体" w:cs="Times New Roman"/>
                <w:b/>
                <w:snapToGrid w:val="0"/>
                <w:kern w:val="0"/>
                <w:highlight w:val="none"/>
              </w:rPr>
            </w:pPr>
            <w:r>
              <w:rPr>
                <w:rFonts w:hint="eastAsia" w:ascii="Times New Roman" w:hAnsi="Times New Roman" w:eastAsia="宋体" w:cs="Times New Roman"/>
                <w:b/>
                <w:snapToGrid w:val="0"/>
                <w:kern w:val="0"/>
                <w:highlight w:val="none"/>
              </w:rPr>
              <w:t>（</w:t>
            </w:r>
            <w:r>
              <w:rPr>
                <w:rFonts w:hint="default" w:ascii="Times New Roman" w:hAnsi="Times New Roman" w:eastAsia="宋体" w:cs="Times New Roman"/>
                <w:b/>
                <w:snapToGrid w:val="0"/>
                <w:kern w:val="0"/>
                <w:highlight w:val="none"/>
              </w:rPr>
              <w:t>1</w:t>
            </w:r>
            <w:r>
              <w:rPr>
                <w:rFonts w:hint="eastAsia" w:ascii="Times New Roman" w:hAnsi="Times New Roman" w:eastAsia="宋体" w:cs="Times New Roman"/>
                <w:b/>
                <w:snapToGrid w:val="0"/>
                <w:kern w:val="0"/>
                <w:highlight w:val="none"/>
              </w:rPr>
              <w:t>）</w:t>
            </w:r>
            <w:r>
              <w:rPr>
                <w:rFonts w:hint="default" w:ascii="Times New Roman" w:hAnsi="Times New Roman" w:eastAsia="宋体" w:cs="Times New Roman"/>
                <w:b/>
                <w:snapToGrid w:val="0"/>
                <w:kern w:val="0"/>
                <w:highlight w:val="none"/>
              </w:rPr>
              <w:t>Q</w:t>
            </w:r>
            <w:r>
              <w:rPr>
                <w:rFonts w:hint="eastAsia" w:ascii="Times New Roman" w:hAnsi="Times New Roman" w:eastAsia="宋体" w:cs="Times New Roman"/>
                <w:b/>
                <w:snapToGrid w:val="0"/>
                <w:kern w:val="0"/>
                <w:highlight w:val="none"/>
              </w:rPr>
              <w:t>值计算</w:t>
            </w:r>
          </w:p>
          <w:p w14:paraId="490CB1A0">
            <w:pPr>
              <w:keepNext w:val="0"/>
              <w:keepLines w:val="0"/>
              <w:pageBreakBefore w:val="0"/>
              <w:widowControl w:val="0"/>
              <w:suppressLineNumbers w:val="0"/>
              <w:kinsoku/>
              <w:wordWrap/>
              <w:overflowPunct/>
              <w:topLinePunct w:val="0"/>
              <w:bidi w:val="0"/>
              <w:adjustRightInd w:val="0"/>
              <w:snapToGrid w:val="0"/>
              <w:spacing w:before="0" w:beforeAutospacing="0" w:after="0" w:afterAutospacing="0" w:line="351" w:lineRule="auto"/>
              <w:ind w:left="0" w:right="0" w:firstLine="480" w:firstLineChars="200"/>
              <w:textAlignment w:val="auto"/>
              <w:rPr>
                <w:rFonts w:hint="default" w:ascii="Times New Roman" w:hAnsi="Times New Roman" w:eastAsia="宋体" w:cs="Times New Roman"/>
                <w:snapToGrid w:val="0"/>
                <w:kern w:val="0"/>
                <w:highlight w:val="none"/>
              </w:rPr>
            </w:pPr>
            <w:r>
              <w:rPr>
                <w:rFonts w:hint="eastAsia" w:ascii="Times New Roman" w:hAnsi="Times New Roman" w:eastAsia="宋体" w:cs="Times New Roman"/>
                <w:snapToGrid w:val="0"/>
                <w:kern w:val="0"/>
                <w:highlight w:val="none"/>
              </w:rPr>
              <w:t>根据对建设项目风险源调查，分析建设项目生产、使用、储存过程中涉及的有毒有害、易燃易爆物质，定量分析危险物质数量与临界量的比值（</w:t>
            </w:r>
            <w:r>
              <w:rPr>
                <w:rFonts w:hint="default" w:ascii="Times New Roman" w:hAnsi="Times New Roman" w:eastAsia="宋体" w:cs="Times New Roman"/>
                <w:snapToGrid w:val="0"/>
                <w:kern w:val="0"/>
                <w:highlight w:val="none"/>
              </w:rPr>
              <w:t>Q</w:t>
            </w:r>
            <w:r>
              <w:rPr>
                <w:rFonts w:hint="eastAsia" w:ascii="Times New Roman" w:hAnsi="Times New Roman" w:eastAsia="宋体" w:cs="Times New Roman"/>
                <w:snapToGrid w:val="0"/>
                <w:kern w:val="0"/>
                <w:highlight w:val="none"/>
              </w:rPr>
              <w:t>）和所属行业及生产工艺特点（</w:t>
            </w:r>
            <w:r>
              <w:rPr>
                <w:rFonts w:hint="default" w:ascii="Times New Roman" w:hAnsi="Times New Roman" w:eastAsia="宋体" w:cs="Times New Roman"/>
                <w:snapToGrid w:val="0"/>
                <w:kern w:val="0"/>
                <w:highlight w:val="none"/>
              </w:rPr>
              <w:t>M</w:t>
            </w:r>
            <w:r>
              <w:rPr>
                <w:rFonts w:hint="eastAsia" w:ascii="Times New Roman" w:hAnsi="Times New Roman" w:eastAsia="宋体" w:cs="Times New Roman"/>
                <w:snapToGrid w:val="0"/>
                <w:kern w:val="0"/>
                <w:highlight w:val="none"/>
              </w:rPr>
              <w:t>），对危险物质及工艺系统危险性（</w:t>
            </w:r>
            <w:r>
              <w:rPr>
                <w:rFonts w:hint="default" w:ascii="Times New Roman" w:hAnsi="Times New Roman" w:eastAsia="宋体" w:cs="Times New Roman"/>
                <w:snapToGrid w:val="0"/>
                <w:kern w:val="0"/>
                <w:highlight w:val="none"/>
              </w:rPr>
              <w:t>P</w:t>
            </w:r>
            <w:r>
              <w:rPr>
                <w:rFonts w:hint="eastAsia" w:ascii="Times New Roman" w:hAnsi="Times New Roman" w:eastAsia="宋体" w:cs="Times New Roman"/>
                <w:snapToGrid w:val="0"/>
                <w:kern w:val="0"/>
                <w:highlight w:val="none"/>
              </w:rPr>
              <w:t>）等级进行判断。</w:t>
            </w:r>
          </w:p>
          <w:p w14:paraId="1C477181">
            <w:pPr>
              <w:keepNext w:val="0"/>
              <w:keepLines w:val="0"/>
              <w:pageBreakBefore w:val="0"/>
              <w:widowControl w:val="0"/>
              <w:suppressLineNumbers w:val="0"/>
              <w:kinsoku/>
              <w:wordWrap/>
              <w:overflowPunct/>
              <w:topLinePunct w:val="0"/>
              <w:bidi w:val="0"/>
              <w:adjustRightInd w:val="0"/>
              <w:snapToGrid w:val="0"/>
              <w:spacing w:before="0" w:beforeAutospacing="0" w:after="0" w:afterAutospacing="0" w:line="351" w:lineRule="auto"/>
              <w:ind w:left="0" w:right="0" w:firstLine="480" w:firstLineChars="200"/>
              <w:textAlignment w:val="auto"/>
              <w:rPr>
                <w:rFonts w:hint="default" w:ascii="Times New Roman" w:hAnsi="Times New Roman" w:eastAsia="宋体" w:cs="Times New Roman"/>
                <w:snapToGrid w:val="0"/>
                <w:kern w:val="0"/>
                <w:highlight w:val="none"/>
              </w:rPr>
            </w:pPr>
            <w:r>
              <w:rPr>
                <w:rFonts w:hint="eastAsia" w:ascii="Times New Roman" w:hAnsi="Times New Roman" w:eastAsia="宋体" w:cs="Times New Roman"/>
                <w:snapToGrid w:val="0"/>
                <w:kern w:val="0"/>
                <w:highlight w:val="none"/>
              </w:rPr>
              <w:t>根据《建设项目环境风险评价技术导则》（</w:t>
            </w:r>
            <w:r>
              <w:rPr>
                <w:rFonts w:hint="default" w:ascii="Times New Roman" w:hAnsi="Times New Roman" w:eastAsia="宋体" w:cs="Times New Roman"/>
                <w:snapToGrid w:val="0"/>
                <w:kern w:val="0"/>
                <w:highlight w:val="none"/>
              </w:rPr>
              <w:t>HJ169-2018</w:t>
            </w:r>
            <w:r>
              <w:rPr>
                <w:rFonts w:hint="eastAsia" w:ascii="Times New Roman" w:hAnsi="Times New Roman" w:eastAsia="宋体" w:cs="Times New Roman"/>
                <w:snapToGrid w:val="0"/>
                <w:kern w:val="0"/>
                <w:highlight w:val="none"/>
              </w:rPr>
              <w:t>），计算所涉及的每种危险物质在厂界内的最大存在总量与其临界量的比值</w:t>
            </w:r>
            <w:r>
              <w:rPr>
                <w:rFonts w:hint="default" w:ascii="Times New Roman" w:hAnsi="Times New Roman" w:eastAsia="宋体" w:cs="Times New Roman"/>
                <w:snapToGrid w:val="0"/>
                <w:kern w:val="0"/>
                <w:highlight w:val="none"/>
              </w:rPr>
              <w:t>Q</w:t>
            </w:r>
            <w:r>
              <w:rPr>
                <w:rFonts w:hint="eastAsia" w:ascii="Times New Roman" w:hAnsi="Times New Roman" w:eastAsia="宋体" w:cs="Times New Roman"/>
                <w:snapToGrid w:val="0"/>
                <w:kern w:val="0"/>
                <w:highlight w:val="none"/>
              </w:rPr>
              <w:t>。在不同厂区的同一种物质，按其在厂界内的最大存在总量计算；对于长输管线项目，按照两个截断阀室之间管段危险物质最大存在总量计算。</w:t>
            </w:r>
          </w:p>
          <w:p w14:paraId="73FFD174">
            <w:pPr>
              <w:keepNext w:val="0"/>
              <w:keepLines w:val="0"/>
              <w:pageBreakBefore w:val="0"/>
              <w:widowControl w:val="0"/>
              <w:suppressLineNumbers w:val="0"/>
              <w:kinsoku/>
              <w:wordWrap/>
              <w:overflowPunct/>
              <w:topLinePunct w:val="0"/>
              <w:autoSpaceDE w:val="0"/>
              <w:autoSpaceDN w:val="0"/>
              <w:bidi w:val="0"/>
              <w:adjustRightInd w:val="0"/>
              <w:snapToGrid w:val="0"/>
              <w:spacing w:before="0" w:beforeAutospacing="0" w:after="0" w:afterAutospacing="0" w:line="351" w:lineRule="auto"/>
              <w:ind w:left="0" w:right="0" w:firstLine="480" w:firstLineChars="200"/>
              <w:textAlignment w:val="auto"/>
              <w:rPr>
                <w:rFonts w:hint="default" w:ascii="Times New Roman" w:hAnsi="Times New Roman" w:eastAsia="宋体" w:cs="Times New Roman"/>
                <w:szCs w:val="20"/>
                <w:highlight w:val="none"/>
              </w:rPr>
            </w:pPr>
            <w:r>
              <w:rPr>
                <w:rFonts w:hint="eastAsia" w:ascii="Times New Roman" w:hAnsi="Times New Roman" w:eastAsia="宋体" w:cs="Times New Roman"/>
                <w:szCs w:val="20"/>
                <w:highlight w:val="none"/>
              </w:rPr>
              <w:t>①当只涉及一种危险物质时，计算该物质的总数量与其临界量的比值，即为</w:t>
            </w:r>
            <w:r>
              <w:rPr>
                <w:rFonts w:hint="default" w:ascii="Times New Roman" w:hAnsi="Times New Roman" w:eastAsia="宋体" w:cs="Times New Roman"/>
                <w:szCs w:val="20"/>
                <w:highlight w:val="none"/>
              </w:rPr>
              <w:t>Q</w:t>
            </w:r>
            <w:r>
              <w:rPr>
                <w:rFonts w:hint="eastAsia" w:ascii="Times New Roman" w:hAnsi="Times New Roman" w:eastAsia="宋体" w:cs="Times New Roman"/>
                <w:szCs w:val="20"/>
                <w:highlight w:val="none"/>
              </w:rPr>
              <w:t>；</w:t>
            </w:r>
          </w:p>
          <w:p w14:paraId="2040D819">
            <w:pPr>
              <w:keepNext w:val="0"/>
              <w:keepLines w:val="0"/>
              <w:pageBreakBefore w:val="0"/>
              <w:widowControl w:val="0"/>
              <w:suppressLineNumbers w:val="0"/>
              <w:kinsoku/>
              <w:wordWrap/>
              <w:overflowPunct/>
              <w:topLinePunct w:val="0"/>
              <w:autoSpaceDE w:val="0"/>
              <w:autoSpaceDN w:val="0"/>
              <w:bidi w:val="0"/>
              <w:adjustRightInd w:val="0"/>
              <w:snapToGrid w:val="0"/>
              <w:spacing w:before="0" w:beforeAutospacing="0" w:after="0" w:afterAutospacing="0" w:line="351" w:lineRule="auto"/>
              <w:ind w:left="0" w:right="0" w:firstLine="480" w:firstLineChars="200"/>
              <w:textAlignment w:val="auto"/>
              <w:rPr>
                <w:rFonts w:hint="default" w:ascii="Times New Roman" w:hAnsi="Times New Roman" w:eastAsia="宋体" w:cs="Times New Roman"/>
                <w:szCs w:val="20"/>
                <w:highlight w:val="none"/>
              </w:rPr>
            </w:pPr>
            <w:r>
              <w:rPr>
                <w:rFonts w:hint="eastAsia" w:ascii="Times New Roman" w:hAnsi="Times New Roman" w:eastAsia="宋体" w:cs="Times New Roman"/>
                <w:szCs w:val="20"/>
                <w:highlight w:val="none"/>
              </w:rPr>
              <w:t>②当存在多种危险物质时，则按下式计算物质总量与其临界量比值（</w:t>
            </w:r>
            <w:r>
              <w:rPr>
                <w:rFonts w:hint="default" w:ascii="Times New Roman" w:hAnsi="Times New Roman" w:eastAsia="宋体" w:cs="Times New Roman"/>
                <w:szCs w:val="20"/>
                <w:highlight w:val="none"/>
              </w:rPr>
              <w:t>Q</w:t>
            </w:r>
            <w:r>
              <w:rPr>
                <w:rFonts w:hint="eastAsia" w:ascii="Times New Roman" w:hAnsi="Times New Roman" w:eastAsia="宋体" w:cs="Times New Roman"/>
                <w:szCs w:val="20"/>
                <w:highlight w:val="none"/>
              </w:rPr>
              <w:t>）：</w:t>
            </w:r>
          </w:p>
          <w:p w14:paraId="53CB00ED">
            <w:pPr>
              <w:keepNext w:val="0"/>
              <w:keepLines w:val="0"/>
              <w:suppressLineNumbers w:val="0"/>
              <w:autoSpaceDE w:val="0"/>
              <w:autoSpaceDN w:val="0"/>
              <w:adjustRightInd w:val="0"/>
              <w:snapToGrid w:val="0"/>
              <w:spacing w:before="0" w:beforeAutospacing="0" w:after="0" w:afterAutospacing="0"/>
              <w:ind w:left="0" w:right="0" w:firstLine="480" w:firstLineChars="200"/>
              <w:rPr>
                <w:rFonts w:hint="default" w:ascii="Times New Roman" w:hAnsi="Times New Roman" w:eastAsia="宋体" w:cs="Times New Roman"/>
                <w:szCs w:val="20"/>
                <w:highlight w:val="none"/>
              </w:rPr>
            </w:pPr>
            <w:r>
              <w:rPr>
                <w:rFonts w:hint="default" w:ascii="Times New Roman" w:hAnsi="Times New Roman" w:eastAsia="宋体" w:cs="Times New Roman"/>
                <w:highlight w:val="none"/>
              </w:rPr>
              <w:drawing>
                <wp:anchor distT="0" distB="0" distL="114300" distR="114300" simplePos="0" relativeHeight="251660288" behindDoc="1" locked="0" layoutInCell="1" allowOverlap="1">
                  <wp:simplePos x="0" y="0"/>
                  <wp:positionH relativeFrom="column">
                    <wp:posOffset>1847850</wp:posOffset>
                  </wp:positionH>
                  <wp:positionV relativeFrom="paragraph">
                    <wp:posOffset>-11430</wp:posOffset>
                  </wp:positionV>
                  <wp:extent cx="1541145" cy="509270"/>
                  <wp:effectExtent l="0" t="0" r="0" b="0"/>
                  <wp:wrapNone/>
                  <wp:docPr id="1" name="图片 15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52"/>
                          <pic:cNvPicPr>
                            <a:picLocks noChangeAspect="1"/>
                          </pic:cNvPicPr>
                        </pic:nvPicPr>
                        <pic:blipFill>
                          <a:blip r:embed="rId43"/>
                          <a:stretch>
                            <a:fillRect/>
                          </a:stretch>
                        </pic:blipFill>
                        <pic:spPr>
                          <a:xfrm>
                            <a:off x="0" y="0"/>
                            <a:ext cx="1541145" cy="509270"/>
                          </a:xfrm>
                          <a:prstGeom prst="rect">
                            <a:avLst/>
                          </a:prstGeom>
                          <a:noFill/>
                          <a:ln>
                            <a:noFill/>
                          </a:ln>
                        </pic:spPr>
                      </pic:pic>
                    </a:graphicData>
                  </a:graphic>
                </wp:anchor>
              </w:drawing>
            </w:r>
          </w:p>
          <w:p w14:paraId="6C8FEB68">
            <w:pPr>
              <w:keepNext w:val="0"/>
              <w:keepLines w:val="0"/>
              <w:suppressLineNumbers w:val="0"/>
              <w:autoSpaceDE w:val="0"/>
              <w:autoSpaceDN w:val="0"/>
              <w:adjustRightInd w:val="0"/>
              <w:snapToGrid w:val="0"/>
              <w:spacing w:before="0" w:beforeAutospacing="0" w:after="0" w:afterAutospacing="0"/>
              <w:ind w:left="0" w:right="0" w:firstLine="480" w:firstLineChars="200"/>
              <w:rPr>
                <w:rFonts w:hint="default" w:ascii="Times New Roman" w:hAnsi="Times New Roman" w:eastAsia="宋体" w:cs="Times New Roman"/>
                <w:szCs w:val="20"/>
                <w:highlight w:val="none"/>
              </w:rPr>
            </w:pPr>
          </w:p>
          <w:p w14:paraId="307D47CA">
            <w:pPr>
              <w:keepNext w:val="0"/>
              <w:keepLines w:val="0"/>
              <w:suppressLineNumbers w:val="0"/>
              <w:autoSpaceDE w:val="0"/>
              <w:autoSpaceDN w:val="0"/>
              <w:adjustRightInd w:val="0"/>
              <w:snapToGrid w:val="0"/>
              <w:spacing w:before="0" w:beforeAutospacing="0" w:after="0" w:afterAutospacing="0" w:line="360" w:lineRule="auto"/>
              <w:ind w:left="0" w:right="0" w:firstLine="480" w:firstLineChars="200"/>
              <w:rPr>
                <w:rFonts w:hint="eastAsia" w:ascii="Times New Roman" w:hAnsi="Times New Roman" w:eastAsia="宋体" w:cs="Times New Roman"/>
                <w:szCs w:val="20"/>
                <w:highlight w:val="none"/>
              </w:rPr>
            </w:pPr>
          </w:p>
          <w:p w14:paraId="56DBAEEC">
            <w:pPr>
              <w:keepNext w:val="0"/>
              <w:keepLines w:val="0"/>
              <w:suppressLineNumbers w:val="0"/>
              <w:autoSpaceDE w:val="0"/>
              <w:autoSpaceDN w:val="0"/>
              <w:adjustRightInd w:val="0"/>
              <w:snapToGrid w:val="0"/>
              <w:spacing w:before="0" w:beforeAutospacing="0" w:after="0" w:afterAutospacing="0" w:line="360" w:lineRule="auto"/>
              <w:ind w:left="0" w:right="0" w:firstLine="480" w:firstLineChars="200"/>
              <w:rPr>
                <w:rFonts w:hint="default" w:ascii="Times New Roman" w:hAnsi="Times New Roman" w:eastAsia="宋体" w:cs="Times New Roman"/>
                <w:szCs w:val="20"/>
                <w:highlight w:val="none"/>
              </w:rPr>
            </w:pPr>
            <w:r>
              <w:rPr>
                <w:rFonts w:hint="eastAsia" w:ascii="Times New Roman" w:hAnsi="Times New Roman" w:eastAsia="宋体" w:cs="Times New Roman"/>
                <w:szCs w:val="20"/>
                <w:highlight w:val="none"/>
              </w:rPr>
              <w:t>式中：</w:t>
            </w:r>
            <w:r>
              <w:rPr>
                <w:rFonts w:hint="default" w:ascii="Times New Roman" w:hAnsi="Times New Roman" w:eastAsia="宋体" w:cs="Times New Roman"/>
                <w:szCs w:val="20"/>
                <w:highlight w:val="none"/>
              </w:rPr>
              <w:t>q</w:t>
            </w:r>
            <w:r>
              <w:rPr>
                <w:rFonts w:hint="default" w:ascii="Times New Roman" w:hAnsi="Times New Roman" w:eastAsia="宋体" w:cs="Times New Roman"/>
                <w:szCs w:val="20"/>
                <w:highlight w:val="none"/>
                <w:vertAlign w:val="subscript"/>
              </w:rPr>
              <w:t>1</w:t>
            </w:r>
            <w:r>
              <w:rPr>
                <w:rFonts w:hint="eastAsia" w:ascii="Times New Roman" w:hAnsi="Times New Roman" w:eastAsia="宋体" w:cs="Times New Roman"/>
                <w:szCs w:val="20"/>
                <w:highlight w:val="none"/>
              </w:rPr>
              <w:t>、</w:t>
            </w:r>
            <w:r>
              <w:rPr>
                <w:rFonts w:hint="default" w:ascii="Times New Roman" w:hAnsi="Times New Roman" w:eastAsia="宋体" w:cs="Times New Roman"/>
                <w:szCs w:val="20"/>
                <w:highlight w:val="none"/>
              </w:rPr>
              <w:t>q</w:t>
            </w:r>
            <w:r>
              <w:rPr>
                <w:rFonts w:hint="default" w:ascii="Times New Roman" w:hAnsi="Times New Roman" w:eastAsia="宋体" w:cs="Times New Roman"/>
                <w:szCs w:val="20"/>
                <w:highlight w:val="none"/>
                <w:vertAlign w:val="subscript"/>
              </w:rPr>
              <w:t>2</w:t>
            </w:r>
            <w:r>
              <w:rPr>
                <w:rFonts w:hint="default" w:ascii="Times New Roman" w:hAnsi="Times New Roman" w:eastAsia="宋体" w:cs="Times New Roman"/>
                <w:szCs w:val="20"/>
                <w:highlight w:val="none"/>
              </w:rPr>
              <w:t>…q</w:t>
            </w:r>
            <w:r>
              <w:rPr>
                <w:rFonts w:hint="default" w:ascii="Times New Roman" w:hAnsi="Times New Roman" w:eastAsia="宋体" w:cs="Times New Roman"/>
                <w:szCs w:val="20"/>
                <w:highlight w:val="none"/>
                <w:vertAlign w:val="subscript"/>
              </w:rPr>
              <w:t>n</w:t>
            </w:r>
            <w:r>
              <w:rPr>
                <w:rFonts w:hint="default" w:ascii="Times New Roman" w:hAnsi="Times New Roman" w:eastAsia="宋体" w:cs="Times New Roman"/>
                <w:szCs w:val="20"/>
                <w:highlight w:val="none"/>
              </w:rPr>
              <w:t>——</w:t>
            </w:r>
            <w:r>
              <w:rPr>
                <w:rFonts w:hint="eastAsia" w:ascii="Times New Roman" w:hAnsi="Times New Roman" w:eastAsia="宋体" w:cs="Times New Roman"/>
                <w:szCs w:val="20"/>
                <w:highlight w:val="none"/>
              </w:rPr>
              <w:t>每种危险物质的最大存在总量，</w:t>
            </w:r>
            <w:r>
              <w:rPr>
                <w:rFonts w:hint="default" w:ascii="Times New Roman" w:hAnsi="Times New Roman" w:eastAsia="宋体" w:cs="Times New Roman"/>
                <w:szCs w:val="20"/>
                <w:highlight w:val="none"/>
              </w:rPr>
              <w:t>t</w:t>
            </w:r>
            <w:r>
              <w:rPr>
                <w:rFonts w:hint="eastAsia" w:ascii="Times New Roman" w:hAnsi="Times New Roman" w:eastAsia="宋体" w:cs="Times New Roman"/>
                <w:szCs w:val="20"/>
                <w:highlight w:val="none"/>
              </w:rPr>
              <w:t>；</w:t>
            </w:r>
          </w:p>
          <w:p w14:paraId="34174A62">
            <w:pPr>
              <w:keepNext w:val="0"/>
              <w:keepLines w:val="0"/>
              <w:suppressLineNumbers w:val="0"/>
              <w:autoSpaceDE w:val="0"/>
              <w:autoSpaceDN w:val="0"/>
              <w:adjustRightInd w:val="0"/>
              <w:snapToGrid w:val="0"/>
              <w:spacing w:before="0" w:beforeAutospacing="0" w:after="0" w:afterAutospacing="0" w:line="360" w:lineRule="auto"/>
              <w:ind w:left="0" w:right="0" w:firstLine="1200" w:firstLineChars="500"/>
              <w:rPr>
                <w:rFonts w:hint="default" w:ascii="Times New Roman" w:hAnsi="Times New Roman" w:eastAsia="宋体" w:cs="Times New Roman"/>
                <w:szCs w:val="20"/>
                <w:highlight w:val="none"/>
              </w:rPr>
            </w:pPr>
            <w:r>
              <w:rPr>
                <w:rFonts w:hint="default" w:ascii="Times New Roman" w:hAnsi="Times New Roman" w:eastAsia="宋体" w:cs="Times New Roman"/>
                <w:szCs w:val="20"/>
                <w:highlight w:val="none"/>
              </w:rPr>
              <w:t>Q</w:t>
            </w:r>
            <w:r>
              <w:rPr>
                <w:rFonts w:hint="default" w:ascii="Times New Roman" w:hAnsi="Times New Roman" w:eastAsia="宋体" w:cs="Times New Roman"/>
                <w:szCs w:val="20"/>
                <w:highlight w:val="none"/>
                <w:vertAlign w:val="subscript"/>
              </w:rPr>
              <w:t>1</w:t>
            </w:r>
            <w:r>
              <w:rPr>
                <w:rFonts w:hint="eastAsia" w:ascii="Times New Roman" w:hAnsi="Times New Roman" w:eastAsia="宋体" w:cs="Times New Roman"/>
                <w:szCs w:val="20"/>
                <w:highlight w:val="none"/>
              </w:rPr>
              <w:t>、</w:t>
            </w:r>
            <w:r>
              <w:rPr>
                <w:rFonts w:hint="default" w:ascii="Times New Roman" w:hAnsi="Times New Roman" w:eastAsia="宋体" w:cs="Times New Roman"/>
                <w:szCs w:val="20"/>
                <w:highlight w:val="none"/>
              </w:rPr>
              <w:t>Q</w:t>
            </w:r>
            <w:r>
              <w:rPr>
                <w:rFonts w:hint="default" w:ascii="Times New Roman" w:hAnsi="Times New Roman" w:eastAsia="宋体" w:cs="Times New Roman"/>
                <w:szCs w:val="20"/>
                <w:highlight w:val="none"/>
                <w:vertAlign w:val="subscript"/>
              </w:rPr>
              <w:t>2</w:t>
            </w:r>
            <w:r>
              <w:rPr>
                <w:rFonts w:hint="default" w:ascii="Times New Roman" w:hAnsi="Times New Roman" w:eastAsia="宋体" w:cs="Times New Roman"/>
                <w:szCs w:val="20"/>
                <w:highlight w:val="none"/>
              </w:rPr>
              <w:t>…Q</w:t>
            </w:r>
            <w:r>
              <w:rPr>
                <w:rFonts w:hint="default" w:ascii="Times New Roman" w:hAnsi="Times New Roman" w:eastAsia="宋体" w:cs="Times New Roman"/>
                <w:szCs w:val="20"/>
                <w:highlight w:val="none"/>
                <w:vertAlign w:val="subscript"/>
              </w:rPr>
              <w:t>n</w:t>
            </w:r>
            <w:r>
              <w:rPr>
                <w:rFonts w:hint="default" w:ascii="Times New Roman" w:hAnsi="Times New Roman" w:eastAsia="宋体" w:cs="Times New Roman"/>
                <w:szCs w:val="20"/>
                <w:highlight w:val="none"/>
              </w:rPr>
              <w:t>——</w:t>
            </w:r>
            <w:r>
              <w:rPr>
                <w:rFonts w:hint="eastAsia" w:ascii="Times New Roman" w:hAnsi="Times New Roman" w:eastAsia="宋体" w:cs="Times New Roman"/>
                <w:szCs w:val="20"/>
                <w:highlight w:val="none"/>
              </w:rPr>
              <w:t>每种危险物质的临界量，</w:t>
            </w:r>
            <w:r>
              <w:rPr>
                <w:rFonts w:hint="default" w:ascii="Times New Roman" w:hAnsi="Times New Roman" w:eastAsia="宋体" w:cs="Times New Roman"/>
                <w:szCs w:val="20"/>
                <w:highlight w:val="none"/>
              </w:rPr>
              <w:t>t</w:t>
            </w:r>
            <w:r>
              <w:rPr>
                <w:rFonts w:hint="eastAsia" w:ascii="Times New Roman" w:hAnsi="Times New Roman" w:eastAsia="宋体" w:cs="Times New Roman"/>
                <w:szCs w:val="20"/>
                <w:highlight w:val="none"/>
              </w:rPr>
              <w:t>；</w:t>
            </w:r>
          </w:p>
          <w:p w14:paraId="6060047D">
            <w:pPr>
              <w:keepNext w:val="0"/>
              <w:keepLines w:val="0"/>
              <w:suppressLineNumbers w:val="0"/>
              <w:autoSpaceDE w:val="0"/>
              <w:autoSpaceDN w:val="0"/>
              <w:adjustRightInd w:val="0"/>
              <w:snapToGrid w:val="0"/>
              <w:spacing w:before="0" w:beforeAutospacing="0" w:after="0" w:afterAutospacing="0" w:line="360" w:lineRule="auto"/>
              <w:ind w:left="0" w:right="0" w:firstLine="1200" w:firstLineChars="500"/>
              <w:rPr>
                <w:rFonts w:hint="default" w:ascii="Times New Roman" w:hAnsi="Times New Roman" w:eastAsia="宋体" w:cs="Times New Roman"/>
                <w:szCs w:val="20"/>
                <w:highlight w:val="none"/>
              </w:rPr>
            </w:pPr>
            <w:r>
              <w:rPr>
                <w:rFonts w:hint="eastAsia" w:ascii="Times New Roman" w:hAnsi="Times New Roman" w:eastAsia="宋体" w:cs="Times New Roman"/>
                <w:szCs w:val="20"/>
                <w:highlight w:val="none"/>
              </w:rPr>
              <w:t>当</w:t>
            </w:r>
            <w:r>
              <w:rPr>
                <w:rFonts w:hint="default" w:ascii="Times New Roman" w:hAnsi="Times New Roman" w:eastAsia="宋体" w:cs="Times New Roman"/>
                <w:szCs w:val="20"/>
                <w:highlight w:val="none"/>
              </w:rPr>
              <w:t>Q</w:t>
            </w:r>
            <w:r>
              <w:rPr>
                <w:rFonts w:hint="eastAsia" w:ascii="Times New Roman" w:hAnsi="Times New Roman" w:eastAsia="宋体" w:cs="Times New Roman"/>
                <w:szCs w:val="20"/>
                <w:highlight w:val="none"/>
              </w:rPr>
              <w:t>＜</w:t>
            </w:r>
            <w:r>
              <w:rPr>
                <w:rFonts w:hint="default" w:ascii="Times New Roman" w:hAnsi="Times New Roman" w:eastAsia="宋体" w:cs="Times New Roman"/>
                <w:szCs w:val="20"/>
                <w:highlight w:val="none"/>
              </w:rPr>
              <w:t>1</w:t>
            </w:r>
            <w:r>
              <w:rPr>
                <w:rFonts w:hint="eastAsia" w:ascii="Times New Roman" w:hAnsi="Times New Roman" w:eastAsia="宋体" w:cs="Times New Roman"/>
                <w:szCs w:val="20"/>
                <w:highlight w:val="none"/>
              </w:rPr>
              <w:t>时，该项目环境风险潜势为Ⅰ；</w:t>
            </w:r>
          </w:p>
          <w:p w14:paraId="46CB6EA6">
            <w:pPr>
              <w:keepNext w:val="0"/>
              <w:keepLines w:val="0"/>
              <w:suppressLineNumbers w:val="0"/>
              <w:autoSpaceDE w:val="0"/>
              <w:autoSpaceDN w:val="0"/>
              <w:adjustRightInd w:val="0"/>
              <w:snapToGrid w:val="0"/>
              <w:spacing w:before="0" w:beforeAutospacing="0" w:after="0" w:afterAutospacing="0" w:line="360" w:lineRule="auto"/>
              <w:ind w:left="0" w:right="0" w:firstLine="1200" w:firstLineChars="500"/>
              <w:rPr>
                <w:rFonts w:hint="default" w:ascii="Times New Roman" w:hAnsi="Times New Roman" w:eastAsia="宋体" w:cs="Times New Roman"/>
                <w:szCs w:val="20"/>
                <w:highlight w:val="none"/>
              </w:rPr>
            </w:pPr>
            <w:r>
              <w:rPr>
                <w:rFonts w:hint="eastAsia" w:ascii="Times New Roman" w:hAnsi="Times New Roman" w:eastAsia="宋体" w:cs="Times New Roman"/>
                <w:szCs w:val="20"/>
                <w:highlight w:val="none"/>
              </w:rPr>
              <w:t>当</w:t>
            </w:r>
            <w:r>
              <w:rPr>
                <w:rFonts w:hint="default" w:ascii="Times New Roman" w:hAnsi="Times New Roman" w:eastAsia="宋体" w:cs="Times New Roman"/>
                <w:szCs w:val="20"/>
                <w:highlight w:val="none"/>
              </w:rPr>
              <w:t>Q≥1</w:t>
            </w:r>
            <w:r>
              <w:rPr>
                <w:rFonts w:hint="eastAsia" w:ascii="Times New Roman" w:hAnsi="Times New Roman" w:eastAsia="宋体" w:cs="Times New Roman"/>
                <w:szCs w:val="20"/>
                <w:highlight w:val="none"/>
              </w:rPr>
              <w:t>时，将</w:t>
            </w:r>
            <w:r>
              <w:rPr>
                <w:rFonts w:hint="default" w:ascii="Times New Roman" w:hAnsi="Times New Roman" w:eastAsia="宋体" w:cs="Times New Roman"/>
                <w:szCs w:val="20"/>
                <w:highlight w:val="none"/>
              </w:rPr>
              <w:t>Q</w:t>
            </w:r>
            <w:r>
              <w:rPr>
                <w:rFonts w:hint="eastAsia" w:ascii="Times New Roman" w:hAnsi="Times New Roman" w:eastAsia="宋体" w:cs="Times New Roman"/>
                <w:szCs w:val="20"/>
                <w:highlight w:val="none"/>
              </w:rPr>
              <w:t>值划分为：</w:t>
            </w:r>
            <w:r>
              <w:rPr>
                <w:rFonts w:hint="default" w:ascii="Times New Roman" w:hAnsi="Times New Roman" w:eastAsia="宋体" w:cs="Times New Roman"/>
                <w:szCs w:val="20"/>
                <w:highlight w:val="none"/>
              </w:rPr>
              <w:t>1≤Q</w:t>
            </w:r>
            <w:r>
              <w:rPr>
                <w:rFonts w:hint="eastAsia" w:ascii="Times New Roman" w:hAnsi="Times New Roman" w:eastAsia="宋体" w:cs="Times New Roman"/>
                <w:szCs w:val="20"/>
                <w:highlight w:val="none"/>
              </w:rPr>
              <w:t>＜</w:t>
            </w:r>
            <w:r>
              <w:rPr>
                <w:rFonts w:hint="default" w:ascii="Times New Roman" w:hAnsi="Times New Roman" w:eastAsia="宋体" w:cs="Times New Roman"/>
                <w:szCs w:val="20"/>
                <w:highlight w:val="none"/>
              </w:rPr>
              <w:t>10</w:t>
            </w:r>
            <w:r>
              <w:rPr>
                <w:rFonts w:hint="eastAsia" w:ascii="Times New Roman" w:hAnsi="Times New Roman" w:eastAsia="宋体" w:cs="Times New Roman"/>
                <w:szCs w:val="20"/>
                <w:highlight w:val="none"/>
              </w:rPr>
              <w:t>；</w:t>
            </w:r>
            <w:r>
              <w:rPr>
                <w:rFonts w:hint="default" w:ascii="Times New Roman" w:hAnsi="Times New Roman" w:eastAsia="宋体" w:cs="Times New Roman"/>
                <w:szCs w:val="20"/>
                <w:highlight w:val="none"/>
              </w:rPr>
              <w:t>10≤Q</w:t>
            </w:r>
            <w:r>
              <w:rPr>
                <w:rFonts w:hint="eastAsia" w:ascii="Times New Roman" w:hAnsi="Times New Roman" w:eastAsia="宋体" w:cs="Times New Roman"/>
                <w:szCs w:val="20"/>
                <w:highlight w:val="none"/>
              </w:rPr>
              <w:t>＜</w:t>
            </w:r>
            <w:r>
              <w:rPr>
                <w:rFonts w:hint="default" w:ascii="Times New Roman" w:hAnsi="Times New Roman" w:eastAsia="宋体" w:cs="Times New Roman"/>
                <w:szCs w:val="20"/>
                <w:highlight w:val="none"/>
              </w:rPr>
              <w:t>100</w:t>
            </w:r>
            <w:r>
              <w:rPr>
                <w:rFonts w:hint="eastAsia" w:ascii="Times New Roman" w:hAnsi="Times New Roman" w:eastAsia="宋体" w:cs="Times New Roman"/>
                <w:szCs w:val="20"/>
                <w:highlight w:val="none"/>
              </w:rPr>
              <w:t>；</w:t>
            </w:r>
            <w:r>
              <w:rPr>
                <w:rFonts w:hint="default" w:ascii="Times New Roman" w:hAnsi="Times New Roman" w:eastAsia="宋体" w:cs="Times New Roman"/>
                <w:szCs w:val="20"/>
                <w:highlight w:val="none"/>
              </w:rPr>
              <w:t>Q≥100</w:t>
            </w:r>
            <w:r>
              <w:rPr>
                <w:rFonts w:hint="eastAsia" w:ascii="Times New Roman" w:hAnsi="Times New Roman" w:eastAsia="宋体" w:cs="Times New Roman"/>
                <w:szCs w:val="20"/>
                <w:highlight w:val="none"/>
              </w:rPr>
              <w:t>。</w:t>
            </w:r>
          </w:p>
          <w:p w14:paraId="2D6F66B7">
            <w:pPr>
              <w:keepNext w:val="0"/>
              <w:keepLines w:val="0"/>
              <w:suppressLineNumbers w:val="0"/>
              <w:adjustRightInd w:val="0"/>
              <w:snapToGrid w:val="0"/>
              <w:spacing w:before="0" w:beforeAutospacing="0" w:after="0" w:afterAutospacing="0" w:line="360" w:lineRule="auto"/>
              <w:ind w:left="0" w:right="0" w:firstLine="480" w:firstLineChars="200"/>
              <w:rPr>
                <w:rFonts w:hint="default" w:ascii="Times New Roman" w:hAnsi="Times New Roman" w:eastAsia="宋体" w:cs="Times New Roman"/>
                <w:snapToGrid w:val="0"/>
                <w:kern w:val="0"/>
                <w:highlight w:val="none"/>
              </w:rPr>
            </w:pPr>
            <w:r>
              <w:rPr>
                <w:rFonts w:hint="eastAsia" w:ascii="Times New Roman" w:hAnsi="Times New Roman" w:eastAsia="宋体" w:cs="Times New Roman"/>
                <w:snapToGrid w:val="0"/>
                <w:kern w:val="0"/>
                <w:highlight w:val="none"/>
              </w:rPr>
              <w:t>根据调查，项目生产过程中涉及的危险物质主要为危险废物（感染性废物</w:t>
            </w:r>
            <w:r>
              <w:rPr>
                <w:rFonts w:hint="eastAsia" w:cs="Times New Roman"/>
                <w:snapToGrid w:val="0"/>
                <w:kern w:val="0"/>
                <w:highlight w:val="none"/>
                <w:lang w:eastAsia="zh-CN"/>
              </w:rPr>
              <w:t>、</w:t>
            </w:r>
            <w:r>
              <w:rPr>
                <w:rFonts w:hint="eastAsia" w:ascii="Times New Roman" w:hAnsi="Times New Roman" w:eastAsia="宋体" w:cs="Times New Roman"/>
                <w:snapToGrid w:val="0"/>
                <w:kern w:val="0"/>
                <w:highlight w:val="none"/>
              </w:rPr>
              <w:t>损伤性废物</w:t>
            </w:r>
            <w:r>
              <w:rPr>
                <w:rFonts w:hint="eastAsia" w:cs="Times New Roman"/>
                <w:snapToGrid w:val="0"/>
                <w:kern w:val="0"/>
                <w:highlight w:val="none"/>
                <w:lang w:eastAsia="zh-CN"/>
              </w:rPr>
              <w:t>、</w:t>
            </w:r>
            <w:r>
              <w:rPr>
                <w:rFonts w:hint="eastAsia" w:ascii="Times New Roman" w:hAnsi="Times New Roman" w:eastAsia="宋体" w:cs="Times New Roman"/>
                <w:snapToGrid w:val="0"/>
                <w:kern w:val="0"/>
                <w:highlight w:val="none"/>
              </w:rPr>
              <w:t>病理性废物</w:t>
            </w:r>
            <w:r>
              <w:rPr>
                <w:rFonts w:hint="eastAsia" w:cs="Times New Roman"/>
                <w:snapToGrid w:val="0"/>
                <w:kern w:val="0"/>
                <w:highlight w:val="none"/>
                <w:lang w:eastAsia="zh-CN"/>
              </w:rPr>
              <w:t>、</w:t>
            </w:r>
            <w:r>
              <w:rPr>
                <w:rFonts w:hint="eastAsia" w:ascii="Times New Roman" w:hAnsi="Times New Roman" w:eastAsia="宋体" w:cs="Times New Roman"/>
                <w:snapToGrid w:val="0"/>
                <w:kern w:val="0"/>
                <w:highlight w:val="none"/>
              </w:rPr>
              <w:t>药物性废物</w:t>
            </w:r>
            <w:r>
              <w:rPr>
                <w:rFonts w:hint="eastAsia" w:cs="Times New Roman"/>
                <w:snapToGrid w:val="0"/>
                <w:kern w:val="0"/>
                <w:highlight w:val="none"/>
                <w:lang w:eastAsia="zh-CN"/>
              </w:rPr>
              <w:t>、</w:t>
            </w:r>
            <w:r>
              <w:rPr>
                <w:rFonts w:hint="eastAsia" w:ascii="Times New Roman" w:hAnsi="Times New Roman" w:eastAsia="宋体" w:cs="Times New Roman"/>
                <w:snapToGrid w:val="0"/>
                <w:kern w:val="0"/>
                <w:highlight w:val="none"/>
              </w:rPr>
              <w:t>化学性废物、实验废液、污泥</w:t>
            </w:r>
            <w:r>
              <w:rPr>
                <w:rFonts w:hint="eastAsia" w:cs="Times New Roman"/>
                <w:snapToGrid w:val="0"/>
                <w:kern w:val="0"/>
                <w:highlight w:val="none"/>
                <w:lang w:eastAsia="zh-CN"/>
              </w:rPr>
              <w:t>、</w:t>
            </w:r>
            <w:r>
              <w:rPr>
                <w:rFonts w:hint="eastAsia" w:cs="Times New Roman"/>
                <w:snapToGrid w:val="0"/>
                <w:kern w:val="0"/>
                <w:highlight w:val="none"/>
                <w:lang w:val="en-US" w:eastAsia="zh-CN"/>
              </w:rPr>
              <w:t>废耗材等等</w:t>
            </w:r>
            <w:r>
              <w:rPr>
                <w:rFonts w:hint="eastAsia" w:ascii="Times New Roman" w:hAnsi="Times New Roman" w:eastAsia="宋体" w:cs="Times New Roman"/>
                <w:szCs w:val="21"/>
                <w:highlight w:val="none"/>
              </w:rPr>
              <w:t>）、乙醇（75%）</w:t>
            </w:r>
            <w:r>
              <w:rPr>
                <w:rFonts w:hint="eastAsia" w:ascii="Times New Roman" w:hAnsi="Times New Roman" w:eastAsia="宋体" w:cs="Times New Roman"/>
                <w:szCs w:val="21"/>
                <w:highlight w:val="none"/>
                <w:lang w:eastAsia="zh-CN"/>
              </w:rPr>
              <w:t>、</w:t>
            </w:r>
            <w:r>
              <w:rPr>
                <w:rFonts w:hint="eastAsia" w:ascii="Times New Roman" w:hAnsi="Times New Roman" w:eastAsia="宋体" w:cs="Times New Roman"/>
                <w:szCs w:val="21"/>
                <w:highlight w:val="none"/>
                <w:lang w:val="en-US" w:eastAsia="zh-CN"/>
              </w:rPr>
              <w:t>次氯酸钠（10%）</w:t>
            </w:r>
            <w:r>
              <w:rPr>
                <w:rFonts w:hint="eastAsia" w:cs="Times New Roman"/>
                <w:szCs w:val="21"/>
                <w:highlight w:val="none"/>
                <w:lang w:val="en-US" w:eastAsia="zh-CN"/>
              </w:rPr>
              <w:t>、甲醛（10%）以及科创</w:t>
            </w:r>
            <w:r>
              <w:rPr>
                <w:rFonts w:hint="eastAsia"/>
                <w:kern w:val="0"/>
                <w:sz w:val="24"/>
                <w:szCs w:val="24"/>
                <w:highlight w:val="none"/>
                <w:lang w:val="en-US" w:eastAsia="zh-CN"/>
              </w:rPr>
              <w:t>综合</w:t>
            </w:r>
            <w:r>
              <w:rPr>
                <w:rFonts w:hint="eastAsia" w:cs="Times New Roman"/>
                <w:szCs w:val="21"/>
                <w:highlight w:val="none"/>
                <w:lang w:val="en-US" w:eastAsia="zh-CN"/>
              </w:rPr>
              <w:t>楼实验试剂</w:t>
            </w:r>
            <w:r>
              <w:rPr>
                <w:rFonts w:hint="eastAsia" w:ascii="Times New Roman" w:hAnsi="Times New Roman" w:eastAsia="宋体" w:cs="Times New Roman"/>
                <w:snapToGrid w:val="0"/>
                <w:kern w:val="0"/>
                <w:highlight w:val="none"/>
              </w:rPr>
              <w:t>。项目危险物质数量与临界量比值</w:t>
            </w:r>
            <w:r>
              <w:rPr>
                <w:rFonts w:hint="default" w:ascii="Times New Roman" w:hAnsi="Times New Roman" w:eastAsia="宋体" w:cs="Times New Roman"/>
                <w:snapToGrid w:val="0"/>
                <w:kern w:val="0"/>
                <w:highlight w:val="none"/>
              </w:rPr>
              <w:t>Q</w:t>
            </w:r>
            <w:r>
              <w:rPr>
                <w:rFonts w:hint="eastAsia" w:ascii="Times New Roman" w:hAnsi="Times New Roman" w:eastAsia="宋体" w:cs="Times New Roman"/>
                <w:snapToGrid w:val="0"/>
                <w:kern w:val="0"/>
                <w:highlight w:val="none"/>
              </w:rPr>
              <w:t>确定见表</w:t>
            </w:r>
            <w:r>
              <w:rPr>
                <w:rFonts w:hint="default" w:ascii="Times New Roman" w:hAnsi="Times New Roman" w:eastAsia="宋体" w:cs="Times New Roman"/>
                <w:snapToGrid w:val="0"/>
                <w:kern w:val="0"/>
                <w:highlight w:val="none"/>
              </w:rPr>
              <w:t>4-</w:t>
            </w:r>
            <w:r>
              <w:rPr>
                <w:rFonts w:hint="eastAsia" w:cs="Times New Roman"/>
                <w:snapToGrid w:val="0"/>
                <w:kern w:val="0"/>
                <w:highlight w:val="none"/>
                <w:lang w:val="en-US" w:eastAsia="zh-CN"/>
              </w:rPr>
              <w:t>1</w:t>
            </w:r>
            <w:r>
              <w:rPr>
                <w:rFonts w:hint="eastAsia" w:ascii="Times New Roman" w:hAnsi="Times New Roman" w:eastAsia="宋体" w:cs="Times New Roman"/>
                <w:snapToGrid w:val="0"/>
                <w:kern w:val="0"/>
                <w:highlight w:val="none"/>
                <w:lang w:val="en-US" w:eastAsia="zh-CN"/>
              </w:rPr>
              <w:t>6</w:t>
            </w:r>
            <w:r>
              <w:rPr>
                <w:rFonts w:hint="eastAsia" w:ascii="Times New Roman" w:hAnsi="Times New Roman" w:eastAsia="宋体" w:cs="Times New Roman"/>
                <w:snapToGrid w:val="0"/>
                <w:kern w:val="0"/>
                <w:highlight w:val="none"/>
              </w:rPr>
              <w:t>。</w:t>
            </w:r>
          </w:p>
          <w:p w14:paraId="653A210D">
            <w:pPr>
              <w:keepNext w:val="0"/>
              <w:keepLines w:val="0"/>
              <w:suppressLineNumbers w:val="0"/>
              <w:adjustRightInd w:val="0"/>
              <w:snapToGrid w:val="0"/>
              <w:spacing w:before="0" w:beforeAutospacing="0" w:after="0" w:afterAutospacing="0" w:line="360" w:lineRule="auto"/>
              <w:ind w:left="0" w:right="0" w:firstLine="482" w:firstLineChars="200"/>
              <w:jc w:val="center"/>
              <w:rPr>
                <w:rFonts w:hint="default" w:ascii="Times New Roman" w:hAnsi="Times New Roman" w:eastAsia="宋体" w:cs="Times New Roman"/>
                <w:b/>
                <w:snapToGrid w:val="0"/>
                <w:kern w:val="0"/>
                <w:highlight w:val="none"/>
              </w:rPr>
            </w:pPr>
            <w:r>
              <w:rPr>
                <w:rFonts w:hint="eastAsia" w:ascii="Times New Roman" w:hAnsi="Times New Roman" w:eastAsia="宋体" w:cs="Times New Roman"/>
                <w:b/>
                <w:snapToGrid w:val="0"/>
                <w:kern w:val="0"/>
                <w:highlight w:val="none"/>
              </w:rPr>
              <w:t>表</w:t>
            </w:r>
            <w:r>
              <w:rPr>
                <w:rFonts w:hint="default" w:ascii="Times New Roman" w:hAnsi="Times New Roman" w:eastAsia="宋体" w:cs="Times New Roman"/>
                <w:b/>
                <w:snapToGrid w:val="0"/>
                <w:kern w:val="0"/>
                <w:highlight w:val="none"/>
              </w:rPr>
              <w:t>4-</w:t>
            </w:r>
            <w:r>
              <w:rPr>
                <w:rFonts w:hint="eastAsia" w:cs="Times New Roman"/>
                <w:b/>
                <w:snapToGrid w:val="0"/>
                <w:kern w:val="0"/>
                <w:highlight w:val="none"/>
                <w:lang w:val="en-US" w:eastAsia="zh-CN"/>
              </w:rPr>
              <w:t>1</w:t>
            </w:r>
            <w:r>
              <w:rPr>
                <w:rFonts w:hint="eastAsia" w:ascii="Times New Roman" w:hAnsi="Times New Roman" w:eastAsia="宋体" w:cs="Times New Roman"/>
                <w:b/>
                <w:snapToGrid w:val="0"/>
                <w:kern w:val="0"/>
                <w:highlight w:val="none"/>
                <w:lang w:val="en-US" w:eastAsia="zh-CN"/>
              </w:rPr>
              <w:t>6</w:t>
            </w:r>
            <w:r>
              <w:rPr>
                <w:rFonts w:hint="default" w:ascii="Times New Roman" w:hAnsi="Times New Roman" w:eastAsia="宋体" w:cs="Times New Roman"/>
                <w:b/>
                <w:snapToGrid w:val="0"/>
                <w:kern w:val="0"/>
                <w:highlight w:val="none"/>
              </w:rPr>
              <w:t xml:space="preserve">  </w:t>
            </w:r>
            <w:r>
              <w:rPr>
                <w:rFonts w:hint="eastAsia" w:ascii="Times New Roman" w:hAnsi="Times New Roman" w:eastAsia="宋体" w:cs="Times New Roman"/>
                <w:b/>
                <w:snapToGrid w:val="0"/>
                <w:kern w:val="0"/>
                <w:highlight w:val="none"/>
              </w:rPr>
              <w:t>建设项目</w:t>
            </w:r>
            <w:r>
              <w:rPr>
                <w:rFonts w:hint="default" w:ascii="Times New Roman" w:hAnsi="Times New Roman" w:eastAsia="宋体" w:cs="Times New Roman"/>
                <w:b/>
                <w:snapToGrid w:val="0"/>
                <w:kern w:val="0"/>
                <w:highlight w:val="none"/>
              </w:rPr>
              <w:t>Q</w:t>
            </w:r>
            <w:r>
              <w:rPr>
                <w:rFonts w:hint="eastAsia" w:ascii="Times New Roman" w:hAnsi="Times New Roman" w:eastAsia="宋体" w:cs="Times New Roman"/>
                <w:b/>
                <w:snapToGrid w:val="0"/>
                <w:kern w:val="0"/>
                <w:highlight w:val="none"/>
              </w:rPr>
              <w:t>值确定表</w:t>
            </w:r>
          </w:p>
          <w:tbl>
            <w:tblPr>
              <w:tblStyle w:val="32"/>
              <w:tblW w:w="7986"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28" w:type="dxa"/>
                <w:bottom w:w="0" w:type="dxa"/>
                <w:right w:w="28" w:type="dxa"/>
              </w:tblCellMar>
            </w:tblPr>
            <w:tblGrid>
              <w:gridCol w:w="597"/>
              <w:gridCol w:w="1500"/>
              <w:gridCol w:w="1050"/>
              <w:gridCol w:w="1627"/>
              <w:gridCol w:w="1140"/>
              <w:gridCol w:w="990"/>
              <w:gridCol w:w="1082"/>
            </w:tblGrid>
            <w:tr w14:paraId="0D23EEA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jc w:val="center"/>
              </w:trPr>
              <w:tc>
                <w:tcPr>
                  <w:tcW w:w="597" w:type="dxa"/>
                  <w:tcBorders>
                    <w:top w:val="single" w:color="auto" w:sz="4" w:space="0"/>
                    <w:left w:val="single" w:color="auto" w:sz="4" w:space="0"/>
                    <w:bottom w:val="single" w:color="auto" w:sz="4" w:space="0"/>
                    <w:right w:val="single" w:color="auto" w:sz="4" w:space="0"/>
                  </w:tcBorders>
                  <w:tcMar>
                    <w:top w:w="0" w:type="dxa"/>
                    <w:left w:w="85" w:type="dxa"/>
                    <w:bottom w:w="0" w:type="dxa"/>
                    <w:right w:w="85" w:type="dxa"/>
                  </w:tcMar>
                  <w:vAlign w:val="center"/>
                </w:tcPr>
                <w:p w14:paraId="2E727C82">
                  <w:pPr>
                    <w:keepNext w:val="0"/>
                    <w:keepLines w:val="0"/>
                    <w:suppressLineNumbers w:val="0"/>
                    <w:adjustRightInd w:val="0"/>
                    <w:snapToGrid w:val="0"/>
                    <w:spacing w:before="0" w:beforeAutospacing="0" w:after="0" w:afterAutospacing="0" w:line="264" w:lineRule="auto"/>
                    <w:ind w:left="0" w:right="0"/>
                    <w:jc w:val="center"/>
                    <w:rPr>
                      <w:rFonts w:hint="default" w:ascii="Times New Roman" w:hAnsi="Times New Roman" w:eastAsia="宋体" w:cs="Times New Roman"/>
                      <w:snapToGrid w:val="0"/>
                      <w:kern w:val="0"/>
                      <w:sz w:val="21"/>
                      <w:szCs w:val="21"/>
                      <w:highlight w:val="none"/>
                    </w:rPr>
                  </w:pPr>
                  <w:r>
                    <w:rPr>
                      <w:rFonts w:hint="eastAsia" w:ascii="Times New Roman" w:hAnsi="Times New Roman" w:eastAsia="宋体" w:cs="Times New Roman"/>
                      <w:snapToGrid w:val="0"/>
                      <w:kern w:val="0"/>
                      <w:sz w:val="21"/>
                      <w:szCs w:val="21"/>
                      <w:highlight w:val="none"/>
                    </w:rPr>
                    <w:t>序号</w:t>
                  </w:r>
                </w:p>
              </w:tc>
              <w:tc>
                <w:tcPr>
                  <w:tcW w:w="1500" w:type="dxa"/>
                  <w:tcBorders>
                    <w:top w:val="single" w:color="auto" w:sz="4" w:space="0"/>
                    <w:left w:val="single" w:color="auto" w:sz="4" w:space="0"/>
                    <w:bottom w:val="single" w:color="auto" w:sz="4" w:space="0"/>
                    <w:right w:val="single" w:color="auto" w:sz="4" w:space="0"/>
                  </w:tcBorders>
                  <w:tcMar>
                    <w:top w:w="0" w:type="dxa"/>
                    <w:left w:w="85" w:type="dxa"/>
                    <w:bottom w:w="0" w:type="dxa"/>
                    <w:right w:w="85" w:type="dxa"/>
                  </w:tcMar>
                  <w:vAlign w:val="center"/>
                </w:tcPr>
                <w:p w14:paraId="29BEA43D">
                  <w:pPr>
                    <w:keepNext w:val="0"/>
                    <w:keepLines w:val="0"/>
                    <w:suppressLineNumbers w:val="0"/>
                    <w:adjustRightInd w:val="0"/>
                    <w:snapToGrid w:val="0"/>
                    <w:spacing w:before="0" w:beforeAutospacing="0" w:after="0" w:afterAutospacing="0" w:line="264" w:lineRule="auto"/>
                    <w:ind w:left="0" w:right="0"/>
                    <w:jc w:val="center"/>
                    <w:rPr>
                      <w:rFonts w:hint="default" w:ascii="Times New Roman" w:hAnsi="Times New Roman" w:eastAsia="宋体" w:cs="Times New Roman"/>
                      <w:snapToGrid w:val="0"/>
                      <w:kern w:val="0"/>
                      <w:sz w:val="21"/>
                      <w:szCs w:val="21"/>
                      <w:highlight w:val="none"/>
                    </w:rPr>
                  </w:pPr>
                  <w:r>
                    <w:rPr>
                      <w:rFonts w:hint="eastAsia" w:ascii="Times New Roman" w:hAnsi="Times New Roman" w:eastAsia="宋体" w:cs="Times New Roman"/>
                      <w:snapToGrid w:val="0"/>
                      <w:kern w:val="0"/>
                      <w:sz w:val="21"/>
                      <w:szCs w:val="21"/>
                      <w:highlight w:val="none"/>
                    </w:rPr>
                    <w:t>危险物质名称</w:t>
                  </w:r>
                </w:p>
              </w:tc>
              <w:tc>
                <w:tcPr>
                  <w:tcW w:w="1050" w:type="dxa"/>
                  <w:tcBorders>
                    <w:top w:val="single" w:color="auto" w:sz="4" w:space="0"/>
                    <w:left w:val="single" w:color="auto" w:sz="4" w:space="0"/>
                    <w:bottom w:val="single" w:color="auto" w:sz="4" w:space="0"/>
                    <w:right w:val="single" w:color="auto" w:sz="4" w:space="0"/>
                  </w:tcBorders>
                  <w:tcMar>
                    <w:top w:w="0" w:type="dxa"/>
                    <w:left w:w="85" w:type="dxa"/>
                    <w:bottom w:w="0" w:type="dxa"/>
                    <w:right w:w="85" w:type="dxa"/>
                  </w:tcMar>
                  <w:vAlign w:val="center"/>
                </w:tcPr>
                <w:p w14:paraId="46E01524">
                  <w:pPr>
                    <w:keepNext w:val="0"/>
                    <w:keepLines w:val="0"/>
                    <w:suppressLineNumbers w:val="0"/>
                    <w:adjustRightInd w:val="0"/>
                    <w:snapToGrid w:val="0"/>
                    <w:spacing w:before="0" w:beforeAutospacing="0" w:after="0" w:afterAutospacing="0" w:line="264" w:lineRule="auto"/>
                    <w:ind w:left="0" w:right="0"/>
                    <w:jc w:val="center"/>
                    <w:rPr>
                      <w:rFonts w:hint="default" w:ascii="Times New Roman" w:hAnsi="Times New Roman" w:eastAsia="宋体" w:cs="Times New Roman"/>
                      <w:snapToGrid w:val="0"/>
                      <w:kern w:val="0"/>
                      <w:sz w:val="21"/>
                      <w:szCs w:val="21"/>
                      <w:highlight w:val="none"/>
                    </w:rPr>
                  </w:pPr>
                  <w:r>
                    <w:rPr>
                      <w:rFonts w:hint="default" w:ascii="Times New Roman" w:hAnsi="Times New Roman" w:eastAsia="宋体" w:cs="Times New Roman"/>
                      <w:snapToGrid w:val="0"/>
                      <w:kern w:val="0"/>
                      <w:sz w:val="21"/>
                      <w:szCs w:val="21"/>
                      <w:highlight w:val="none"/>
                    </w:rPr>
                    <w:t>CAS</w:t>
                  </w:r>
                  <w:r>
                    <w:rPr>
                      <w:rFonts w:hint="eastAsia" w:ascii="Times New Roman" w:hAnsi="Times New Roman" w:eastAsia="宋体" w:cs="Times New Roman"/>
                      <w:snapToGrid w:val="0"/>
                      <w:kern w:val="0"/>
                      <w:sz w:val="21"/>
                      <w:szCs w:val="21"/>
                      <w:highlight w:val="none"/>
                    </w:rPr>
                    <w:t>号</w:t>
                  </w:r>
                </w:p>
              </w:tc>
              <w:tc>
                <w:tcPr>
                  <w:tcW w:w="1627" w:type="dxa"/>
                  <w:tcBorders>
                    <w:top w:val="single" w:color="auto" w:sz="4" w:space="0"/>
                    <w:left w:val="single" w:color="auto" w:sz="4" w:space="0"/>
                    <w:bottom w:val="single" w:color="auto" w:sz="4" w:space="0"/>
                    <w:right w:val="single" w:color="auto" w:sz="4" w:space="0"/>
                  </w:tcBorders>
                  <w:tcMar>
                    <w:top w:w="0" w:type="dxa"/>
                    <w:left w:w="85" w:type="dxa"/>
                    <w:bottom w:w="0" w:type="dxa"/>
                    <w:right w:w="85" w:type="dxa"/>
                  </w:tcMar>
                  <w:vAlign w:val="center"/>
                </w:tcPr>
                <w:p w14:paraId="62345476">
                  <w:pPr>
                    <w:keepNext w:val="0"/>
                    <w:keepLines w:val="0"/>
                    <w:suppressLineNumbers w:val="0"/>
                    <w:adjustRightInd w:val="0"/>
                    <w:snapToGrid w:val="0"/>
                    <w:spacing w:before="0" w:beforeAutospacing="0" w:after="0" w:afterAutospacing="0" w:line="264" w:lineRule="auto"/>
                    <w:ind w:left="0" w:right="0"/>
                    <w:jc w:val="center"/>
                    <w:rPr>
                      <w:rFonts w:hint="default" w:ascii="Times New Roman" w:hAnsi="Times New Roman" w:eastAsia="宋体" w:cs="Times New Roman"/>
                      <w:snapToGrid w:val="0"/>
                      <w:kern w:val="0"/>
                      <w:sz w:val="21"/>
                      <w:szCs w:val="21"/>
                      <w:highlight w:val="none"/>
                    </w:rPr>
                  </w:pPr>
                  <w:r>
                    <w:rPr>
                      <w:rFonts w:hint="eastAsia" w:ascii="Times New Roman" w:hAnsi="Times New Roman" w:eastAsia="宋体" w:cs="Times New Roman"/>
                      <w:snapToGrid w:val="0"/>
                      <w:kern w:val="0"/>
                      <w:sz w:val="21"/>
                      <w:szCs w:val="21"/>
                      <w:highlight w:val="none"/>
                    </w:rPr>
                    <w:t>年使用（产生）</w:t>
                  </w:r>
                  <w:r>
                    <w:rPr>
                      <w:rFonts w:hint="default" w:ascii="Times New Roman" w:hAnsi="Times New Roman" w:eastAsia="宋体" w:cs="Times New Roman"/>
                      <w:snapToGrid w:val="0"/>
                      <w:kern w:val="0"/>
                      <w:sz w:val="21"/>
                      <w:szCs w:val="21"/>
                      <w:highlight w:val="none"/>
                    </w:rPr>
                    <w:t>t</w:t>
                  </w:r>
                </w:p>
              </w:tc>
              <w:tc>
                <w:tcPr>
                  <w:tcW w:w="1140" w:type="dxa"/>
                  <w:tcBorders>
                    <w:top w:val="single" w:color="auto" w:sz="4" w:space="0"/>
                    <w:left w:val="single" w:color="auto" w:sz="4" w:space="0"/>
                    <w:bottom w:val="single" w:color="auto" w:sz="4" w:space="0"/>
                    <w:right w:val="single" w:color="auto" w:sz="4" w:space="0"/>
                  </w:tcBorders>
                  <w:tcMar>
                    <w:top w:w="0" w:type="dxa"/>
                    <w:left w:w="85" w:type="dxa"/>
                    <w:bottom w:w="0" w:type="dxa"/>
                    <w:right w:w="85" w:type="dxa"/>
                  </w:tcMar>
                  <w:vAlign w:val="center"/>
                </w:tcPr>
                <w:p w14:paraId="09658036">
                  <w:pPr>
                    <w:keepNext w:val="0"/>
                    <w:keepLines w:val="0"/>
                    <w:suppressLineNumbers w:val="0"/>
                    <w:adjustRightInd w:val="0"/>
                    <w:snapToGrid w:val="0"/>
                    <w:spacing w:before="0" w:beforeAutospacing="0" w:after="0" w:afterAutospacing="0" w:line="264" w:lineRule="auto"/>
                    <w:ind w:left="0" w:right="0"/>
                    <w:jc w:val="center"/>
                    <w:rPr>
                      <w:rFonts w:hint="default" w:ascii="Times New Roman" w:hAnsi="Times New Roman" w:eastAsia="宋体" w:cs="Times New Roman"/>
                      <w:snapToGrid w:val="0"/>
                      <w:kern w:val="0"/>
                      <w:sz w:val="21"/>
                      <w:szCs w:val="21"/>
                      <w:highlight w:val="none"/>
                    </w:rPr>
                  </w:pPr>
                  <w:r>
                    <w:rPr>
                      <w:rFonts w:hint="eastAsia" w:ascii="Times New Roman" w:hAnsi="Times New Roman" w:eastAsia="宋体" w:cs="Times New Roman"/>
                      <w:snapToGrid w:val="0"/>
                      <w:kern w:val="0"/>
                      <w:sz w:val="21"/>
                      <w:szCs w:val="21"/>
                      <w:highlight w:val="none"/>
                    </w:rPr>
                    <w:t>最大存在总量</w:t>
                  </w:r>
                  <w:r>
                    <w:rPr>
                      <w:rFonts w:hint="default" w:ascii="Times New Roman" w:hAnsi="Times New Roman" w:eastAsia="宋体" w:cs="Times New Roman"/>
                      <w:snapToGrid w:val="0"/>
                      <w:kern w:val="0"/>
                      <w:sz w:val="21"/>
                      <w:szCs w:val="21"/>
                      <w:highlight w:val="none"/>
                    </w:rPr>
                    <w:t>q</w:t>
                  </w:r>
                  <w:r>
                    <w:rPr>
                      <w:rFonts w:hint="default" w:ascii="Times New Roman" w:hAnsi="Times New Roman" w:eastAsia="宋体" w:cs="Times New Roman"/>
                      <w:snapToGrid w:val="0"/>
                      <w:kern w:val="0"/>
                      <w:sz w:val="21"/>
                      <w:szCs w:val="21"/>
                      <w:highlight w:val="none"/>
                      <w:vertAlign w:val="subscript"/>
                    </w:rPr>
                    <w:t>n</w:t>
                  </w:r>
                  <w:r>
                    <w:rPr>
                      <w:rFonts w:hint="default" w:ascii="Times New Roman" w:hAnsi="Times New Roman" w:eastAsia="宋体" w:cs="Times New Roman"/>
                      <w:snapToGrid w:val="0"/>
                      <w:kern w:val="0"/>
                      <w:sz w:val="21"/>
                      <w:szCs w:val="21"/>
                      <w:highlight w:val="none"/>
                    </w:rPr>
                    <w:t>/t*</w:t>
                  </w:r>
                </w:p>
              </w:tc>
              <w:tc>
                <w:tcPr>
                  <w:tcW w:w="990" w:type="dxa"/>
                  <w:tcBorders>
                    <w:top w:val="single" w:color="auto" w:sz="4" w:space="0"/>
                    <w:left w:val="single" w:color="auto" w:sz="4" w:space="0"/>
                    <w:bottom w:val="single" w:color="auto" w:sz="4" w:space="0"/>
                    <w:right w:val="single" w:color="auto" w:sz="4" w:space="0"/>
                  </w:tcBorders>
                  <w:vAlign w:val="center"/>
                </w:tcPr>
                <w:p w14:paraId="04BC8EBC">
                  <w:pPr>
                    <w:keepNext w:val="0"/>
                    <w:keepLines w:val="0"/>
                    <w:suppressLineNumbers w:val="0"/>
                    <w:adjustRightInd w:val="0"/>
                    <w:snapToGrid w:val="0"/>
                    <w:spacing w:before="0" w:beforeAutospacing="0" w:after="0" w:afterAutospacing="0" w:line="264" w:lineRule="auto"/>
                    <w:ind w:left="0" w:right="0"/>
                    <w:jc w:val="center"/>
                    <w:rPr>
                      <w:rFonts w:hint="default" w:ascii="Times New Roman" w:hAnsi="Times New Roman" w:eastAsia="宋体" w:cs="Times New Roman"/>
                      <w:snapToGrid w:val="0"/>
                      <w:kern w:val="0"/>
                      <w:sz w:val="21"/>
                      <w:szCs w:val="21"/>
                      <w:highlight w:val="none"/>
                    </w:rPr>
                  </w:pPr>
                  <w:r>
                    <w:rPr>
                      <w:rFonts w:hint="eastAsia" w:ascii="Times New Roman" w:hAnsi="Times New Roman" w:eastAsia="宋体" w:cs="Times New Roman"/>
                      <w:snapToGrid w:val="0"/>
                      <w:kern w:val="0"/>
                      <w:sz w:val="21"/>
                      <w:szCs w:val="21"/>
                      <w:highlight w:val="none"/>
                    </w:rPr>
                    <w:t>临界量</w:t>
                  </w:r>
                  <w:r>
                    <w:rPr>
                      <w:rFonts w:hint="default" w:ascii="Times New Roman" w:hAnsi="Times New Roman" w:eastAsia="宋体" w:cs="Times New Roman"/>
                      <w:snapToGrid w:val="0"/>
                      <w:kern w:val="0"/>
                      <w:sz w:val="21"/>
                      <w:szCs w:val="21"/>
                      <w:highlight w:val="none"/>
                    </w:rPr>
                    <w:t>Q</w:t>
                  </w:r>
                  <w:r>
                    <w:rPr>
                      <w:rFonts w:hint="default" w:ascii="Times New Roman" w:hAnsi="Times New Roman" w:eastAsia="宋体" w:cs="Times New Roman"/>
                      <w:snapToGrid w:val="0"/>
                      <w:kern w:val="0"/>
                      <w:sz w:val="21"/>
                      <w:szCs w:val="21"/>
                      <w:highlight w:val="none"/>
                      <w:vertAlign w:val="subscript"/>
                    </w:rPr>
                    <w:t>n</w:t>
                  </w:r>
                  <w:r>
                    <w:rPr>
                      <w:rFonts w:hint="default" w:ascii="Times New Roman" w:hAnsi="Times New Roman" w:eastAsia="宋体" w:cs="Times New Roman"/>
                      <w:snapToGrid w:val="0"/>
                      <w:kern w:val="0"/>
                      <w:sz w:val="21"/>
                      <w:szCs w:val="21"/>
                      <w:highlight w:val="none"/>
                    </w:rPr>
                    <w:t>/t</w:t>
                  </w:r>
                </w:p>
              </w:tc>
              <w:tc>
                <w:tcPr>
                  <w:tcW w:w="1082" w:type="dxa"/>
                  <w:tcBorders>
                    <w:top w:val="single" w:color="auto" w:sz="4" w:space="0"/>
                    <w:left w:val="single" w:color="auto" w:sz="4" w:space="0"/>
                    <w:bottom w:val="single" w:color="auto" w:sz="4" w:space="0"/>
                    <w:right w:val="single" w:color="auto" w:sz="4" w:space="0"/>
                  </w:tcBorders>
                  <w:vAlign w:val="center"/>
                </w:tcPr>
                <w:p w14:paraId="2AA439C0">
                  <w:pPr>
                    <w:keepNext w:val="0"/>
                    <w:keepLines w:val="0"/>
                    <w:suppressLineNumbers w:val="0"/>
                    <w:adjustRightInd w:val="0"/>
                    <w:snapToGrid w:val="0"/>
                    <w:spacing w:before="0" w:beforeAutospacing="0" w:after="0" w:afterAutospacing="0" w:line="264" w:lineRule="auto"/>
                    <w:ind w:left="0" w:right="0"/>
                    <w:jc w:val="center"/>
                    <w:rPr>
                      <w:rFonts w:hint="default" w:ascii="Times New Roman" w:hAnsi="Times New Roman" w:eastAsia="宋体" w:cs="Times New Roman"/>
                      <w:snapToGrid w:val="0"/>
                      <w:kern w:val="0"/>
                      <w:sz w:val="21"/>
                      <w:szCs w:val="21"/>
                      <w:highlight w:val="none"/>
                    </w:rPr>
                  </w:pPr>
                  <w:r>
                    <w:rPr>
                      <w:rFonts w:hint="eastAsia" w:ascii="Times New Roman" w:hAnsi="Times New Roman" w:eastAsia="宋体" w:cs="Times New Roman"/>
                      <w:snapToGrid w:val="0"/>
                      <w:kern w:val="0"/>
                      <w:sz w:val="21"/>
                      <w:szCs w:val="21"/>
                      <w:highlight w:val="none"/>
                    </w:rPr>
                    <w:t>该种危险物质</w:t>
                  </w:r>
                  <w:r>
                    <w:rPr>
                      <w:rFonts w:hint="default" w:ascii="Times New Roman" w:hAnsi="Times New Roman" w:eastAsia="宋体" w:cs="Times New Roman"/>
                      <w:snapToGrid w:val="0"/>
                      <w:kern w:val="0"/>
                      <w:sz w:val="21"/>
                      <w:szCs w:val="21"/>
                      <w:highlight w:val="none"/>
                    </w:rPr>
                    <w:t>Q</w:t>
                  </w:r>
                  <w:r>
                    <w:rPr>
                      <w:rFonts w:hint="eastAsia" w:ascii="Times New Roman" w:hAnsi="Times New Roman" w:eastAsia="宋体" w:cs="Times New Roman"/>
                      <w:snapToGrid w:val="0"/>
                      <w:kern w:val="0"/>
                      <w:sz w:val="21"/>
                      <w:szCs w:val="21"/>
                      <w:highlight w:val="none"/>
                    </w:rPr>
                    <w:t>值</w:t>
                  </w:r>
                </w:p>
              </w:tc>
            </w:tr>
            <w:tr w14:paraId="4EDA8A7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jc w:val="center"/>
              </w:trPr>
              <w:tc>
                <w:tcPr>
                  <w:tcW w:w="597" w:type="dxa"/>
                  <w:tcBorders>
                    <w:top w:val="single" w:color="auto" w:sz="4" w:space="0"/>
                    <w:left w:val="single" w:color="auto" w:sz="4" w:space="0"/>
                    <w:bottom w:val="single" w:color="auto" w:sz="4" w:space="0"/>
                    <w:right w:val="single" w:color="auto" w:sz="4" w:space="0"/>
                  </w:tcBorders>
                  <w:tcMar>
                    <w:top w:w="0" w:type="dxa"/>
                    <w:left w:w="85" w:type="dxa"/>
                    <w:bottom w:w="0" w:type="dxa"/>
                    <w:right w:w="85" w:type="dxa"/>
                  </w:tcMar>
                  <w:vAlign w:val="center"/>
                </w:tcPr>
                <w:p w14:paraId="3CCD7FF9">
                  <w:pPr>
                    <w:keepNext w:val="0"/>
                    <w:keepLines w:val="0"/>
                    <w:suppressLineNumbers w:val="0"/>
                    <w:adjustRightInd w:val="0"/>
                    <w:snapToGrid w:val="0"/>
                    <w:spacing w:before="0" w:beforeAutospacing="0" w:after="0" w:afterAutospacing="0" w:line="264" w:lineRule="auto"/>
                    <w:ind w:left="0" w:right="0"/>
                    <w:jc w:val="center"/>
                    <w:rPr>
                      <w:rFonts w:hint="eastAsia" w:ascii="Times New Roman" w:hAnsi="Times New Roman" w:eastAsia="宋体" w:cs="Times New Roman"/>
                      <w:snapToGrid w:val="0"/>
                      <w:kern w:val="0"/>
                      <w:sz w:val="21"/>
                      <w:szCs w:val="21"/>
                      <w:highlight w:val="none"/>
                      <w:lang w:val="en-US" w:eastAsia="zh-CN" w:bidi="ar-SA"/>
                    </w:rPr>
                  </w:pPr>
                  <w:r>
                    <w:rPr>
                      <w:rFonts w:hint="eastAsia" w:ascii="Times New Roman" w:hAnsi="Times New Roman" w:eastAsia="宋体" w:cs="Times New Roman"/>
                      <w:snapToGrid w:val="0"/>
                      <w:kern w:val="0"/>
                      <w:sz w:val="21"/>
                      <w:szCs w:val="21"/>
                      <w:highlight w:val="none"/>
                    </w:rPr>
                    <w:t>1</w:t>
                  </w:r>
                </w:p>
              </w:tc>
              <w:tc>
                <w:tcPr>
                  <w:tcW w:w="1500" w:type="dxa"/>
                  <w:tcBorders>
                    <w:top w:val="single" w:color="auto" w:sz="4" w:space="0"/>
                    <w:left w:val="single" w:color="auto" w:sz="4" w:space="0"/>
                    <w:bottom w:val="single" w:color="auto" w:sz="4" w:space="0"/>
                    <w:right w:val="single" w:color="auto" w:sz="4" w:space="0"/>
                  </w:tcBorders>
                  <w:tcMar>
                    <w:top w:w="0" w:type="dxa"/>
                    <w:left w:w="85" w:type="dxa"/>
                    <w:bottom w:w="0" w:type="dxa"/>
                    <w:right w:w="85" w:type="dxa"/>
                  </w:tcMar>
                  <w:vAlign w:val="center"/>
                </w:tcPr>
                <w:p w14:paraId="5F2AD5C5">
                  <w:pPr>
                    <w:keepNext w:val="0"/>
                    <w:keepLines w:val="0"/>
                    <w:suppressLineNumbers w:val="0"/>
                    <w:adjustRightInd w:val="0"/>
                    <w:snapToGrid w:val="0"/>
                    <w:spacing w:before="0" w:beforeAutospacing="0" w:after="0" w:afterAutospacing="0" w:line="264" w:lineRule="auto"/>
                    <w:ind w:left="0" w:right="0"/>
                    <w:jc w:val="center"/>
                    <w:rPr>
                      <w:rFonts w:hint="eastAsia" w:ascii="Times New Roman" w:hAnsi="Times New Roman" w:eastAsia="宋体" w:cs="Times New Roman"/>
                      <w:snapToGrid w:val="0"/>
                      <w:kern w:val="0"/>
                      <w:sz w:val="21"/>
                      <w:szCs w:val="21"/>
                      <w:highlight w:val="none"/>
                      <w:lang w:val="en-US" w:eastAsia="zh-CN"/>
                    </w:rPr>
                  </w:pPr>
                  <w:r>
                    <w:rPr>
                      <w:rFonts w:hint="eastAsia" w:ascii="Times New Roman" w:hAnsi="Times New Roman" w:eastAsia="宋体" w:cs="Times New Roman"/>
                      <w:snapToGrid w:val="0"/>
                      <w:kern w:val="0"/>
                      <w:sz w:val="21"/>
                      <w:szCs w:val="21"/>
                      <w:highlight w:val="none"/>
                      <w:lang w:val="en-US" w:eastAsia="zh-CN"/>
                    </w:rPr>
                    <w:t>次氯酸钠</w:t>
                  </w:r>
                </w:p>
              </w:tc>
              <w:tc>
                <w:tcPr>
                  <w:tcW w:w="1050" w:type="dxa"/>
                  <w:tcBorders>
                    <w:top w:val="single" w:color="auto" w:sz="4" w:space="0"/>
                    <w:left w:val="single" w:color="auto" w:sz="4" w:space="0"/>
                    <w:bottom w:val="single" w:color="auto" w:sz="4" w:space="0"/>
                    <w:right w:val="single" w:color="auto" w:sz="4" w:space="0"/>
                  </w:tcBorders>
                  <w:tcMar>
                    <w:top w:w="0" w:type="dxa"/>
                    <w:left w:w="85" w:type="dxa"/>
                    <w:bottom w:w="0" w:type="dxa"/>
                    <w:right w:w="85" w:type="dxa"/>
                  </w:tcMar>
                  <w:vAlign w:val="center"/>
                </w:tcPr>
                <w:p w14:paraId="2E0B79AC">
                  <w:pPr>
                    <w:keepNext w:val="0"/>
                    <w:keepLines w:val="0"/>
                    <w:suppressLineNumbers w:val="0"/>
                    <w:adjustRightInd w:val="0"/>
                    <w:snapToGrid w:val="0"/>
                    <w:spacing w:before="0" w:beforeAutospacing="0" w:after="0" w:afterAutospacing="0" w:line="264" w:lineRule="auto"/>
                    <w:ind w:left="0" w:right="0"/>
                    <w:jc w:val="center"/>
                    <w:rPr>
                      <w:rFonts w:hint="eastAsia" w:ascii="Times New Roman" w:hAnsi="Times New Roman" w:eastAsia="宋体" w:cs="Times New Roman"/>
                      <w:snapToGrid w:val="0"/>
                      <w:kern w:val="0"/>
                      <w:sz w:val="21"/>
                      <w:szCs w:val="21"/>
                      <w:highlight w:val="none"/>
                      <w:lang w:val="en-US" w:eastAsia="zh-CN"/>
                    </w:rPr>
                  </w:pPr>
                  <w:r>
                    <w:rPr>
                      <w:rFonts w:hint="eastAsia" w:ascii="Times New Roman" w:hAnsi="Times New Roman" w:eastAsia="宋体" w:cs="Times New Roman"/>
                      <w:snapToGrid w:val="0"/>
                      <w:kern w:val="0"/>
                      <w:sz w:val="21"/>
                      <w:szCs w:val="21"/>
                      <w:highlight w:val="none"/>
                    </w:rPr>
                    <w:t>7681-52-9</w:t>
                  </w:r>
                </w:p>
              </w:tc>
              <w:tc>
                <w:tcPr>
                  <w:tcW w:w="1627" w:type="dxa"/>
                  <w:tcBorders>
                    <w:top w:val="single" w:color="auto" w:sz="4" w:space="0"/>
                    <w:left w:val="single" w:color="auto" w:sz="4" w:space="0"/>
                    <w:bottom w:val="single" w:color="auto" w:sz="4" w:space="0"/>
                    <w:right w:val="single" w:color="auto" w:sz="4" w:space="0"/>
                  </w:tcBorders>
                  <w:tcMar>
                    <w:top w:w="0" w:type="dxa"/>
                    <w:left w:w="85" w:type="dxa"/>
                    <w:bottom w:w="0" w:type="dxa"/>
                    <w:right w:w="85" w:type="dxa"/>
                  </w:tcMar>
                  <w:vAlign w:val="center"/>
                </w:tcPr>
                <w:p w14:paraId="61875C0A">
                  <w:pPr>
                    <w:keepNext w:val="0"/>
                    <w:keepLines w:val="0"/>
                    <w:suppressLineNumbers w:val="0"/>
                    <w:adjustRightInd w:val="0"/>
                    <w:snapToGrid w:val="0"/>
                    <w:spacing w:before="0" w:beforeAutospacing="0" w:after="0" w:afterAutospacing="0" w:line="264" w:lineRule="auto"/>
                    <w:ind w:left="0" w:right="0"/>
                    <w:jc w:val="center"/>
                    <w:rPr>
                      <w:rFonts w:hint="default" w:ascii="Times New Roman" w:hAnsi="Times New Roman" w:eastAsia="宋体" w:cs="Times New Roman"/>
                      <w:snapToGrid w:val="0"/>
                      <w:kern w:val="0"/>
                      <w:sz w:val="21"/>
                      <w:szCs w:val="21"/>
                      <w:highlight w:val="none"/>
                      <w:lang w:val="en-US" w:eastAsia="zh-CN"/>
                    </w:rPr>
                  </w:pPr>
                  <w:r>
                    <w:rPr>
                      <w:rFonts w:hint="eastAsia" w:ascii="Times New Roman" w:hAnsi="Times New Roman" w:eastAsia="宋体" w:cs="Times New Roman"/>
                      <w:snapToGrid w:val="0"/>
                      <w:kern w:val="0"/>
                      <w:sz w:val="21"/>
                      <w:szCs w:val="21"/>
                      <w:highlight w:val="none"/>
                      <w:lang w:val="en-US" w:eastAsia="zh-CN"/>
                    </w:rPr>
                    <w:t>0.</w:t>
                  </w:r>
                  <w:r>
                    <w:rPr>
                      <w:rFonts w:hint="eastAsia" w:cs="Times New Roman"/>
                      <w:snapToGrid w:val="0"/>
                      <w:kern w:val="0"/>
                      <w:sz w:val="21"/>
                      <w:szCs w:val="21"/>
                      <w:highlight w:val="none"/>
                      <w:lang w:val="en-US" w:eastAsia="zh-CN"/>
                    </w:rPr>
                    <w:t>13</w:t>
                  </w:r>
                  <w:r>
                    <w:rPr>
                      <w:rFonts w:hint="eastAsia" w:ascii="Times New Roman" w:hAnsi="Times New Roman" w:eastAsia="宋体" w:cs="Times New Roman"/>
                      <w:snapToGrid w:val="0"/>
                      <w:kern w:val="0"/>
                      <w:sz w:val="21"/>
                      <w:szCs w:val="21"/>
                      <w:highlight w:val="none"/>
                      <w:lang w:val="en-US" w:eastAsia="zh-CN"/>
                    </w:rPr>
                    <w:t>（10%溶液）</w:t>
                  </w:r>
                </w:p>
              </w:tc>
              <w:tc>
                <w:tcPr>
                  <w:tcW w:w="1140" w:type="dxa"/>
                  <w:tcBorders>
                    <w:top w:val="single" w:color="auto" w:sz="4" w:space="0"/>
                    <w:left w:val="single" w:color="auto" w:sz="4" w:space="0"/>
                    <w:bottom w:val="single" w:color="auto" w:sz="4" w:space="0"/>
                    <w:right w:val="single" w:color="auto" w:sz="4" w:space="0"/>
                  </w:tcBorders>
                  <w:tcMar>
                    <w:top w:w="0" w:type="dxa"/>
                    <w:left w:w="85" w:type="dxa"/>
                    <w:bottom w:w="0" w:type="dxa"/>
                    <w:right w:w="85" w:type="dxa"/>
                  </w:tcMar>
                  <w:vAlign w:val="center"/>
                </w:tcPr>
                <w:p w14:paraId="711B9C2A">
                  <w:pPr>
                    <w:keepNext w:val="0"/>
                    <w:keepLines w:val="0"/>
                    <w:suppressLineNumbers w:val="0"/>
                    <w:adjustRightInd w:val="0"/>
                    <w:snapToGrid w:val="0"/>
                    <w:spacing w:before="0" w:beforeAutospacing="0" w:after="0" w:afterAutospacing="0" w:line="264" w:lineRule="auto"/>
                    <w:ind w:left="0" w:right="0"/>
                    <w:jc w:val="center"/>
                    <w:rPr>
                      <w:rFonts w:hint="default" w:ascii="Times New Roman" w:hAnsi="Times New Roman" w:eastAsia="宋体" w:cs="Times New Roman"/>
                      <w:snapToGrid w:val="0"/>
                      <w:kern w:val="0"/>
                      <w:sz w:val="21"/>
                      <w:szCs w:val="21"/>
                      <w:highlight w:val="none"/>
                      <w:lang w:val="en-US" w:eastAsia="zh-CN"/>
                    </w:rPr>
                  </w:pPr>
                  <w:r>
                    <w:rPr>
                      <w:rFonts w:hint="eastAsia" w:cs="Times New Roman"/>
                      <w:snapToGrid w:val="0"/>
                      <w:kern w:val="0"/>
                      <w:sz w:val="21"/>
                      <w:szCs w:val="21"/>
                      <w:highlight w:val="none"/>
                      <w:lang w:val="en-US" w:eastAsia="zh-CN"/>
                    </w:rPr>
                    <w:t>0.017</w:t>
                  </w:r>
                </w:p>
              </w:tc>
              <w:tc>
                <w:tcPr>
                  <w:tcW w:w="990" w:type="dxa"/>
                  <w:tcBorders>
                    <w:top w:val="single" w:color="auto" w:sz="4" w:space="0"/>
                    <w:left w:val="single" w:color="auto" w:sz="4" w:space="0"/>
                    <w:bottom w:val="single" w:color="auto" w:sz="4" w:space="0"/>
                    <w:right w:val="single" w:color="auto" w:sz="4" w:space="0"/>
                  </w:tcBorders>
                  <w:vAlign w:val="center"/>
                </w:tcPr>
                <w:p w14:paraId="4D7B7D91">
                  <w:pPr>
                    <w:keepNext w:val="0"/>
                    <w:keepLines w:val="0"/>
                    <w:suppressLineNumbers w:val="0"/>
                    <w:adjustRightInd w:val="0"/>
                    <w:snapToGrid w:val="0"/>
                    <w:spacing w:before="0" w:beforeAutospacing="0" w:after="0" w:afterAutospacing="0" w:line="264" w:lineRule="auto"/>
                    <w:ind w:left="0" w:right="0"/>
                    <w:jc w:val="center"/>
                    <w:rPr>
                      <w:rFonts w:hint="eastAsia" w:ascii="Times New Roman" w:hAnsi="Times New Roman" w:eastAsia="宋体" w:cs="Times New Roman"/>
                      <w:snapToGrid w:val="0"/>
                      <w:kern w:val="0"/>
                      <w:sz w:val="21"/>
                      <w:szCs w:val="21"/>
                      <w:highlight w:val="none"/>
                      <w:lang w:val="en-US" w:eastAsia="zh-CN"/>
                    </w:rPr>
                  </w:pPr>
                  <w:r>
                    <w:rPr>
                      <w:rFonts w:hint="eastAsia" w:ascii="Times New Roman" w:hAnsi="Times New Roman" w:eastAsia="宋体" w:cs="Times New Roman"/>
                      <w:snapToGrid w:val="0"/>
                      <w:kern w:val="0"/>
                      <w:sz w:val="21"/>
                      <w:szCs w:val="21"/>
                      <w:highlight w:val="none"/>
                    </w:rPr>
                    <w:t>5</w:t>
                  </w:r>
                </w:p>
              </w:tc>
              <w:tc>
                <w:tcPr>
                  <w:tcW w:w="1082" w:type="dxa"/>
                  <w:tcBorders>
                    <w:top w:val="single" w:color="auto" w:sz="4" w:space="0"/>
                    <w:left w:val="single" w:color="auto" w:sz="4" w:space="0"/>
                    <w:bottom w:val="single" w:color="auto" w:sz="4" w:space="0"/>
                    <w:right w:val="single" w:color="auto" w:sz="4" w:space="0"/>
                  </w:tcBorders>
                  <w:vAlign w:val="center"/>
                </w:tcPr>
                <w:p w14:paraId="2DC68FBA">
                  <w:pPr>
                    <w:keepNext w:val="0"/>
                    <w:keepLines w:val="0"/>
                    <w:suppressLineNumbers w:val="0"/>
                    <w:spacing w:before="0" w:beforeAutospacing="0" w:after="0" w:afterAutospacing="0" w:line="276" w:lineRule="auto"/>
                    <w:ind w:left="0" w:right="0"/>
                    <w:jc w:val="center"/>
                    <w:rPr>
                      <w:rFonts w:hint="eastAsia" w:ascii="Times New Roman" w:hAnsi="Times New Roman" w:eastAsia="宋体" w:cs="Times New Roman"/>
                      <w:sz w:val="21"/>
                      <w:szCs w:val="21"/>
                      <w:highlight w:val="none"/>
                      <w:lang w:val="en-US" w:eastAsia="zh-CN"/>
                    </w:rPr>
                  </w:pPr>
                  <w:r>
                    <w:rPr>
                      <w:rFonts w:hint="eastAsia" w:ascii="Times New Roman" w:hAnsi="Times New Roman" w:eastAsia="宋体" w:cs="Times New Roman"/>
                      <w:sz w:val="21"/>
                      <w:szCs w:val="21"/>
                      <w:highlight w:val="none"/>
                      <w:lang w:val="en-US" w:eastAsia="zh-CN"/>
                    </w:rPr>
                    <w:t>0.0034</w:t>
                  </w:r>
                </w:p>
              </w:tc>
            </w:tr>
            <w:tr w14:paraId="445DD62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jc w:val="center"/>
              </w:trPr>
              <w:tc>
                <w:tcPr>
                  <w:tcW w:w="597" w:type="dxa"/>
                  <w:tcBorders>
                    <w:top w:val="single" w:color="auto" w:sz="4" w:space="0"/>
                    <w:left w:val="single" w:color="auto" w:sz="4" w:space="0"/>
                    <w:bottom w:val="single" w:color="auto" w:sz="4" w:space="0"/>
                    <w:right w:val="single" w:color="auto" w:sz="4" w:space="0"/>
                  </w:tcBorders>
                  <w:tcMar>
                    <w:top w:w="0" w:type="dxa"/>
                    <w:left w:w="85" w:type="dxa"/>
                    <w:bottom w:w="0" w:type="dxa"/>
                    <w:right w:w="85" w:type="dxa"/>
                  </w:tcMar>
                  <w:vAlign w:val="center"/>
                </w:tcPr>
                <w:p w14:paraId="48A0A9D3">
                  <w:pPr>
                    <w:keepNext w:val="0"/>
                    <w:keepLines w:val="0"/>
                    <w:suppressLineNumbers w:val="0"/>
                    <w:adjustRightInd w:val="0"/>
                    <w:snapToGrid w:val="0"/>
                    <w:spacing w:before="0" w:beforeAutospacing="0" w:after="0" w:afterAutospacing="0" w:line="264" w:lineRule="auto"/>
                    <w:ind w:left="0" w:right="0"/>
                    <w:jc w:val="center"/>
                    <w:rPr>
                      <w:rFonts w:hint="default" w:ascii="Times New Roman" w:hAnsi="Times New Roman" w:eastAsia="宋体" w:cs="Times New Roman"/>
                      <w:snapToGrid w:val="0"/>
                      <w:kern w:val="0"/>
                      <w:sz w:val="21"/>
                      <w:szCs w:val="21"/>
                      <w:highlight w:val="none"/>
                      <w:lang w:val="en-US" w:eastAsia="zh-CN" w:bidi="ar-SA"/>
                    </w:rPr>
                  </w:pPr>
                  <w:r>
                    <w:rPr>
                      <w:rFonts w:hint="eastAsia" w:ascii="Times New Roman" w:hAnsi="Times New Roman" w:eastAsia="宋体" w:cs="Times New Roman"/>
                      <w:snapToGrid w:val="0"/>
                      <w:kern w:val="0"/>
                      <w:sz w:val="21"/>
                      <w:szCs w:val="21"/>
                      <w:highlight w:val="none"/>
                    </w:rPr>
                    <w:t>2</w:t>
                  </w:r>
                </w:p>
              </w:tc>
              <w:tc>
                <w:tcPr>
                  <w:tcW w:w="1500" w:type="dxa"/>
                  <w:tcBorders>
                    <w:top w:val="single" w:color="auto" w:sz="4" w:space="0"/>
                    <w:left w:val="single" w:color="auto" w:sz="4" w:space="0"/>
                    <w:bottom w:val="single" w:color="auto" w:sz="4" w:space="0"/>
                    <w:right w:val="single" w:color="auto" w:sz="4" w:space="0"/>
                  </w:tcBorders>
                  <w:tcMar>
                    <w:top w:w="0" w:type="dxa"/>
                    <w:left w:w="85" w:type="dxa"/>
                    <w:bottom w:w="0" w:type="dxa"/>
                    <w:right w:w="85" w:type="dxa"/>
                  </w:tcMar>
                  <w:vAlign w:val="center"/>
                </w:tcPr>
                <w:p w14:paraId="3822EB65">
                  <w:pPr>
                    <w:keepNext w:val="0"/>
                    <w:keepLines w:val="0"/>
                    <w:suppressLineNumbers w:val="0"/>
                    <w:adjustRightInd w:val="0"/>
                    <w:snapToGrid w:val="0"/>
                    <w:spacing w:before="0" w:beforeAutospacing="0" w:after="0" w:afterAutospacing="0" w:line="264" w:lineRule="auto"/>
                    <w:ind w:left="0" w:right="0"/>
                    <w:jc w:val="center"/>
                    <w:rPr>
                      <w:rFonts w:hint="default" w:ascii="Times New Roman" w:hAnsi="Times New Roman" w:eastAsia="宋体" w:cs="Times New Roman"/>
                      <w:snapToGrid w:val="0"/>
                      <w:kern w:val="0"/>
                      <w:sz w:val="21"/>
                      <w:szCs w:val="21"/>
                      <w:highlight w:val="none"/>
                    </w:rPr>
                  </w:pPr>
                  <w:r>
                    <w:rPr>
                      <w:rFonts w:hint="eastAsia" w:ascii="Times New Roman" w:hAnsi="Times New Roman" w:eastAsia="宋体" w:cs="Times New Roman"/>
                      <w:snapToGrid w:val="0"/>
                      <w:kern w:val="0"/>
                      <w:sz w:val="21"/>
                      <w:szCs w:val="21"/>
                      <w:highlight w:val="none"/>
                    </w:rPr>
                    <w:t>乙醇（75%）</w:t>
                  </w:r>
                </w:p>
              </w:tc>
              <w:tc>
                <w:tcPr>
                  <w:tcW w:w="1050" w:type="dxa"/>
                  <w:tcBorders>
                    <w:top w:val="single" w:color="auto" w:sz="4" w:space="0"/>
                    <w:left w:val="single" w:color="auto" w:sz="4" w:space="0"/>
                    <w:bottom w:val="single" w:color="auto" w:sz="4" w:space="0"/>
                    <w:right w:val="single" w:color="auto" w:sz="4" w:space="0"/>
                  </w:tcBorders>
                  <w:tcMar>
                    <w:top w:w="0" w:type="dxa"/>
                    <w:left w:w="85" w:type="dxa"/>
                    <w:bottom w:w="0" w:type="dxa"/>
                    <w:right w:w="85" w:type="dxa"/>
                  </w:tcMar>
                  <w:vAlign w:val="center"/>
                </w:tcPr>
                <w:p w14:paraId="339E96E1">
                  <w:pPr>
                    <w:keepNext w:val="0"/>
                    <w:keepLines w:val="0"/>
                    <w:suppressLineNumbers w:val="0"/>
                    <w:adjustRightInd w:val="0"/>
                    <w:snapToGrid w:val="0"/>
                    <w:spacing w:before="0" w:beforeAutospacing="0" w:after="0" w:afterAutospacing="0" w:line="264" w:lineRule="auto"/>
                    <w:ind w:left="0" w:right="0"/>
                    <w:jc w:val="center"/>
                    <w:rPr>
                      <w:rFonts w:hint="default" w:ascii="Times New Roman" w:hAnsi="Times New Roman" w:eastAsia="宋体" w:cs="Times New Roman"/>
                      <w:snapToGrid w:val="0"/>
                      <w:kern w:val="0"/>
                      <w:sz w:val="21"/>
                      <w:szCs w:val="21"/>
                      <w:highlight w:val="none"/>
                    </w:rPr>
                  </w:pPr>
                  <w:r>
                    <w:rPr>
                      <w:rFonts w:hint="eastAsia" w:ascii="Times New Roman" w:hAnsi="Times New Roman" w:eastAsia="宋体" w:cs="Times New Roman"/>
                      <w:snapToGrid w:val="0"/>
                      <w:kern w:val="0"/>
                      <w:sz w:val="21"/>
                      <w:szCs w:val="21"/>
                      <w:highlight w:val="none"/>
                    </w:rPr>
                    <w:t>64-17-5</w:t>
                  </w:r>
                </w:p>
              </w:tc>
              <w:tc>
                <w:tcPr>
                  <w:tcW w:w="1627" w:type="dxa"/>
                  <w:tcBorders>
                    <w:top w:val="single" w:color="auto" w:sz="4" w:space="0"/>
                    <w:left w:val="single" w:color="auto" w:sz="4" w:space="0"/>
                    <w:bottom w:val="single" w:color="auto" w:sz="4" w:space="0"/>
                    <w:right w:val="single" w:color="auto" w:sz="4" w:space="0"/>
                  </w:tcBorders>
                  <w:tcMar>
                    <w:top w:w="0" w:type="dxa"/>
                    <w:left w:w="85" w:type="dxa"/>
                    <w:bottom w:w="0" w:type="dxa"/>
                    <w:right w:w="85" w:type="dxa"/>
                  </w:tcMar>
                  <w:vAlign w:val="center"/>
                </w:tcPr>
                <w:p w14:paraId="6FF1E8AE">
                  <w:pPr>
                    <w:keepNext w:val="0"/>
                    <w:keepLines w:val="0"/>
                    <w:suppressLineNumbers w:val="0"/>
                    <w:spacing w:before="0" w:beforeAutospacing="0" w:after="0" w:afterAutospacing="0" w:line="276" w:lineRule="auto"/>
                    <w:ind w:left="0" w:right="0"/>
                    <w:jc w:val="center"/>
                    <w:rPr>
                      <w:rFonts w:hint="default" w:ascii="Times New Roman" w:hAnsi="Times New Roman" w:eastAsia="宋体" w:cs="Times New Roman"/>
                      <w:sz w:val="21"/>
                      <w:szCs w:val="21"/>
                      <w:highlight w:val="none"/>
                      <w:lang w:val="en-US" w:eastAsia="zh-CN"/>
                    </w:rPr>
                  </w:pPr>
                  <w:r>
                    <w:rPr>
                      <w:rFonts w:hint="eastAsia" w:cs="Times New Roman"/>
                      <w:sz w:val="21"/>
                      <w:szCs w:val="21"/>
                      <w:highlight w:val="none"/>
                      <w:lang w:val="en-US" w:eastAsia="zh-CN"/>
                    </w:rPr>
                    <w:t>0.128</w:t>
                  </w:r>
                </w:p>
              </w:tc>
              <w:tc>
                <w:tcPr>
                  <w:tcW w:w="1140" w:type="dxa"/>
                  <w:tcBorders>
                    <w:top w:val="single" w:color="auto" w:sz="4" w:space="0"/>
                    <w:left w:val="single" w:color="auto" w:sz="4" w:space="0"/>
                    <w:bottom w:val="single" w:color="auto" w:sz="4" w:space="0"/>
                    <w:right w:val="single" w:color="auto" w:sz="4" w:space="0"/>
                  </w:tcBorders>
                  <w:tcMar>
                    <w:top w:w="0" w:type="dxa"/>
                    <w:left w:w="85" w:type="dxa"/>
                    <w:bottom w:w="0" w:type="dxa"/>
                    <w:right w:w="85" w:type="dxa"/>
                  </w:tcMar>
                  <w:vAlign w:val="center"/>
                </w:tcPr>
                <w:p w14:paraId="7E3A482C">
                  <w:pPr>
                    <w:keepNext w:val="0"/>
                    <w:keepLines w:val="0"/>
                    <w:suppressLineNumbers w:val="0"/>
                    <w:spacing w:before="0" w:beforeAutospacing="0" w:after="0" w:afterAutospacing="0" w:line="276" w:lineRule="auto"/>
                    <w:ind w:left="0" w:right="0"/>
                    <w:jc w:val="center"/>
                    <w:rPr>
                      <w:rFonts w:hint="default" w:ascii="Times New Roman" w:hAnsi="Times New Roman" w:eastAsia="宋体" w:cs="Times New Roman"/>
                      <w:sz w:val="21"/>
                      <w:szCs w:val="21"/>
                      <w:highlight w:val="none"/>
                      <w:lang w:val="en-US" w:eastAsia="zh-CN"/>
                    </w:rPr>
                  </w:pPr>
                  <w:r>
                    <w:rPr>
                      <w:rFonts w:hint="eastAsia" w:cs="Times New Roman"/>
                      <w:sz w:val="21"/>
                      <w:szCs w:val="21"/>
                      <w:highlight w:val="none"/>
                      <w:lang w:val="en-US" w:eastAsia="zh-CN"/>
                    </w:rPr>
                    <w:t>0.01</w:t>
                  </w:r>
                </w:p>
              </w:tc>
              <w:tc>
                <w:tcPr>
                  <w:tcW w:w="990" w:type="dxa"/>
                  <w:tcBorders>
                    <w:top w:val="single" w:color="auto" w:sz="4" w:space="0"/>
                    <w:left w:val="single" w:color="auto" w:sz="4" w:space="0"/>
                    <w:bottom w:val="single" w:color="auto" w:sz="4" w:space="0"/>
                    <w:right w:val="single" w:color="auto" w:sz="4" w:space="0"/>
                  </w:tcBorders>
                  <w:vAlign w:val="center"/>
                </w:tcPr>
                <w:p w14:paraId="76267676">
                  <w:pPr>
                    <w:keepNext w:val="0"/>
                    <w:keepLines w:val="0"/>
                    <w:suppressLineNumbers w:val="0"/>
                    <w:adjustRightInd w:val="0"/>
                    <w:snapToGrid w:val="0"/>
                    <w:spacing w:before="0" w:beforeAutospacing="0" w:after="0" w:afterAutospacing="0" w:line="264" w:lineRule="auto"/>
                    <w:ind w:left="0" w:right="0"/>
                    <w:jc w:val="center"/>
                    <w:rPr>
                      <w:rFonts w:hint="default" w:ascii="Times New Roman" w:hAnsi="Times New Roman" w:eastAsia="宋体" w:cs="Times New Roman"/>
                      <w:snapToGrid w:val="0"/>
                      <w:kern w:val="0"/>
                      <w:sz w:val="21"/>
                      <w:szCs w:val="21"/>
                      <w:highlight w:val="none"/>
                      <w:lang w:val="en-US" w:eastAsia="zh-CN"/>
                    </w:rPr>
                  </w:pPr>
                  <w:r>
                    <w:rPr>
                      <w:rFonts w:hint="eastAsia" w:cs="Times New Roman"/>
                      <w:snapToGrid w:val="0"/>
                      <w:kern w:val="0"/>
                      <w:sz w:val="21"/>
                      <w:szCs w:val="21"/>
                      <w:highlight w:val="none"/>
                      <w:lang w:val="en-US" w:eastAsia="zh-CN"/>
                    </w:rPr>
                    <w:t>500</w:t>
                  </w:r>
                </w:p>
              </w:tc>
              <w:tc>
                <w:tcPr>
                  <w:tcW w:w="1082" w:type="dxa"/>
                  <w:tcBorders>
                    <w:top w:val="single" w:color="auto" w:sz="4" w:space="0"/>
                    <w:left w:val="single" w:color="auto" w:sz="4" w:space="0"/>
                    <w:bottom w:val="single" w:color="auto" w:sz="4" w:space="0"/>
                    <w:right w:val="single" w:color="auto" w:sz="4" w:space="0"/>
                  </w:tcBorders>
                  <w:vAlign w:val="center"/>
                </w:tcPr>
                <w:p w14:paraId="5F0A1C1B">
                  <w:pPr>
                    <w:keepNext w:val="0"/>
                    <w:keepLines w:val="0"/>
                    <w:suppressLineNumbers w:val="0"/>
                    <w:spacing w:before="0" w:beforeAutospacing="0" w:after="0" w:afterAutospacing="0" w:line="276" w:lineRule="auto"/>
                    <w:ind w:left="0" w:right="0"/>
                    <w:jc w:val="center"/>
                    <w:rPr>
                      <w:rFonts w:hint="eastAsia" w:ascii="Times New Roman" w:hAnsi="Times New Roman" w:eastAsia="宋体" w:cs="Times New Roman"/>
                      <w:sz w:val="21"/>
                      <w:szCs w:val="21"/>
                      <w:highlight w:val="none"/>
                      <w:lang w:val="en-US" w:eastAsia="zh-CN"/>
                    </w:rPr>
                  </w:pPr>
                  <w:r>
                    <w:rPr>
                      <w:rFonts w:hint="eastAsia" w:ascii="Times New Roman" w:hAnsi="Times New Roman" w:eastAsia="宋体" w:cs="Times New Roman"/>
                      <w:sz w:val="21"/>
                      <w:szCs w:val="21"/>
                      <w:highlight w:val="none"/>
                      <w:lang w:val="en-US" w:eastAsia="zh-CN"/>
                    </w:rPr>
                    <w:t>0.00002</w:t>
                  </w:r>
                </w:p>
              </w:tc>
            </w:tr>
            <w:tr w14:paraId="671D9BC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jc w:val="center"/>
              </w:trPr>
              <w:tc>
                <w:tcPr>
                  <w:tcW w:w="597" w:type="dxa"/>
                  <w:tcBorders>
                    <w:top w:val="single" w:color="auto" w:sz="4" w:space="0"/>
                    <w:left w:val="single" w:color="auto" w:sz="4" w:space="0"/>
                    <w:bottom w:val="single" w:color="auto" w:sz="4" w:space="0"/>
                    <w:right w:val="single" w:color="auto" w:sz="4" w:space="0"/>
                  </w:tcBorders>
                  <w:tcMar>
                    <w:top w:w="0" w:type="dxa"/>
                    <w:left w:w="85" w:type="dxa"/>
                    <w:bottom w:w="0" w:type="dxa"/>
                    <w:right w:w="85" w:type="dxa"/>
                  </w:tcMar>
                  <w:vAlign w:val="center"/>
                </w:tcPr>
                <w:p w14:paraId="5DBBCCCA">
                  <w:pPr>
                    <w:keepNext w:val="0"/>
                    <w:keepLines w:val="0"/>
                    <w:suppressLineNumbers w:val="0"/>
                    <w:adjustRightInd w:val="0"/>
                    <w:snapToGrid w:val="0"/>
                    <w:spacing w:before="0" w:beforeAutospacing="0" w:after="0" w:afterAutospacing="0" w:line="264" w:lineRule="auto"/>
                    <w:ind w:left="0" w:right="0"/>
                    <w:jc w:val="center"/>
                    <w:rPr>
                      <w:rFonts w:hint="default" w:ascii="Times New Roman" w:hAnsi="Times New Roman" w:eastAsia="宋体" w:cs="Times New Roman"/>
                      <w:snapToGrid w:val="0"/>
                      <w:kern w:val="0"/>
                      <w:sz w:val="21"/>
                      <w:szCs w:val="21"/>
                      <w:highlight w:val="none"/>
                      <w:lang w:val="en-US" w:eastAsia="zh-CN" w:bidi="ar-SA"/>
                    </w:rPr>
                  </w:pPr>
                  <w:r>
                    <w:rPr>
                      <w:rFonts w:hint="eastAsia" w:ascii="Times New Roman" w:hAnsi="Times New Roman" w:eastAsia="宋体" w:cs="Times New Roman"/>
                      <w:snapToGrid w:val="0"/>
                      <w:kern w:val="0"/>
                      <w:sz w:val="21"/>
                      <w:szCs w:val="21"/>
                      <w:highlight w:val="none"/>
                    </w:rPr>
                    <w:t>3</w:t>
                  </w:r>
                </w:p>
              </w:tc>
              <w:tc>
                <w:tcPr>
                  <w:tcW w:w="1500" w:type="dxa"/>
                  <w:tcBorders>
                    <w:top w:val="single" w:color="auto" w:sz="4" w:space="0"/>
                    <w:left w:val="single" w:color="auto" w:sz="4" w:space="0"/>
                    <w:bottom w:val="single" w:color="auto" w:sz="4" w:space="0"/>
                    <w:right w:val="single" w:color="auto" w:sz="4" w:space="0"/>
                  </w:tcBorders>
                  <w:tcMar>
                    <w:top w:w="0" w:type="dxa"/>
                    <w:left w:w="85" w:type="dxa"/>
                    <w:bottom w:w="0" w:type="dxa"/>
                    <w:right w:w="85" w:type="dxa"/>
                  </w:tcMar>
                  <w:vAlign w:val="center"/>
                </w:tcPr>
                <w:p w14:paraId="233FBA31">
                  <w:pPr>
                    <w:keepNext w:val="0"/>
                    <w:keepLines w:val="0"/>
                    <w:suppressLineNumbers w:val="0"/>
                    <w:adjustRightInd w:val="0"/>
                    <w:snapToGrid w:val="0"/>
                    <w:spacing w:before="0" w:beforeAutospacing="0" w:after="0" w:afterAutospacing="0" w:line="264" w:lineRule="auto"/>
                    <w:ind w:left="0" w:right="0"/>
                    <w:jc w:val="center"/>
                    <w:rPr>
                      <w:rFonts w:hint="eastAsia" w:ascii="Times New Roman" w:hAnsi="Times New Roman" w:eastAsia="宋体" w:cs="Times New Roman"/>
                      <w:snapToGrid w:val="0"/>
                      <w:kern w:val="0"/>
                      <w:sz w:val="21"/>
                      <w:szCs w:val="21"/>
                      <w:highlight w:val="none"/>
                      <w:lang w:val="en-US" w:eastAsia="zh-CN"/>
                    </w:rPr>
                  </w:pPr>
                  <w:r>
                    <w:rPr>
                      <w:rFonts w:hint="eastAsia" w:cs="Times New Roman"/>
                      <w:snapToGrid w:val="0"/>
                      <w:kern w:val="0"/>
                      <w:sz w:val="21"/>
                      <w:szCs w:val="21"/>
                      <w:highlight w:val="none"/>
                      <w:lang w:val="en-US" w:eastAsia="zh-CN"/>
                    </w:rPr>
                    <w:t>甲醛</w:t>
                  </w:r>
                </w:p>
              </w:tc>
              <w:tc>
                <w:tcPr>
                  <w:tcW w:w="1050" w:type="dxa"/>
                  <w:tcBorders>
                    <w:top w:val="single" w:color="auto" w:sz="4" w:space="0"/>
                    <w:left w:val="single" w:color="auto" w:sz="4" w:space="0"/>
                    <w:bottom w:val="single" w:color="auto" w:sz="4" w:space="0"/>
                    <w:right w:val="single" w:color="auto" w:sz="4" w:space="0"/>
                  </w:tcBorders>
                  <w:tcMar>
                    <w:top w:w="0" w:type="dxa"/>
                    <w:left w:w="85" w:type="dxa"/>
                    <w:bottom w:w="0" w:type="dxa"/>
                    <w:right w:w="85" w:type="dxa"/>
                  </w:tcMar>
                  <w:vAlign w:val="center"/>
                </w:tcPr>
                <w:p w14:paraId="6651519E">
                  <w:pPr>
                    <w:keepNext w:val="0"/>
                    <w:keepLines w:val="0"/>
                    <w:suppressLineNumbers w:val="0"/>
                    <w:adjustRightInd w:val="0"/>
                    <w:snapToGrid w:val="0"/>
                    <w:spacing w:before="0" w:beforeAutospacing="0" w:after="0" w:afterAutospacing="0" w:line="264" w:lineRule="auto"/>
                    <w:ind w:left="0" w:right="0"/>
                    <w:jc w:val="center"/>
                    <w:rPr>
                      <w:rFonts w:hint="default" w:ascii="Times New Roman" w:hAnsi="Times New Roman" w:eastAsia="宋体" w:cs="Times New Roman"/>
                      <w:snapToGrid w:val="0"/>
                      <w:kern w:val="0"/>
                      <w:sz w:val="21"/>
                      <w:szCs w:val="21"/>
                      <w:highlight w:val="none"/>
                      <w:lang w:val="en-US" w:eastAsia="zh-CN"/>
                    </w:rPr>
                  </w:pPr>
                  <w:r>
                    <w:rPr>
                      <w:rFonts w:hint="eastAsia" w:cs="Times New Roman"/>
                      <w:snapToGrid w:val="0"/>
                      <w:kern w:val="0"/>
                      <w:sz w:val="21"/>
                      <w:szCs w:val="21"/>
                      <w:highlight w:val="none"/>
                      <w:lang w:val="en-US" w:eastAsia="zh-CN"/>
                    </w:rPr>
                    <w:t>50-00-0</w:t>
                  </w:r>
                </w:p>
              </w:tc>
              <w:tc>
                <w:tcPr>
                  <w:tcW w:w="1627" w:type="dxa"/>
                  <w:tcBorders>
                    <w:top w:val="single" w:color="auto" w:sz="4" w:space="0"/>
                    <w:left w:val="single" w:color="auto" w:sz="4" w:space="0"/>
                    <w:bottom w:val="single" w:color="auto" w:sz="4" w:space="0"/>
                    <w:right w:val="single" w:color="auto" w:sz="4" w:space="0"/>
                  </w:tcBorders>
                  <w:tcMar>
                    <w:top w:w="0" w:type="dxa"/>
                    <w:left w:w="85" w:type="dxa"/>
                    <w:bottom w:w="0" w:type="dxa"/>
                    <w:right w:w="85" w:type="dxa"/>
                  </w:tcMar>
                  <w:vAlign w:val="center"/>
                </w:tcPr>
                <w:p w14:paraId="7F44748E">
                  <w:pPr>
                    <w:keepNext w:val="0"/>
                    <w:keepLines w:val="0"/>
                    <w:suppressLineNumbers w:val="0"/>
                    <w:spacing w:before="0" w:beforeAutospacing="0" w:after="0" w:afterAutospacing="0" w:line="276" w:lineRule="auto"/>
                    <w:ind w:left="0" w:right="0"/>
                    <w:jc w:val="center"/>
                    <w:rPr>
                      <w:rFonts w:hint="default" w:ascii="Times New Roman" w:hAnsi="Times New Roman" w:eastAsia="宋体" w:cs="Times New Roman"/>
                      <w:sz w:val="21"/>
                      <w:szCs w:val="21"/>
                      <w:highlight w:val="none"/>
                      <w:lang w:val="en-US" w:eastAsia="zh-CN"/>
                    </w:rPr>
                  </w:pPr>
                  <w:r>
                    <w:rPr>
                      <w:rFonts w:hint="eastAsia" w:cs="Times New Roman"/>
                      <w:sz w:val="21"/>
                      <w:szCs w:val="21"/>
                      <w:highlight w:val="none"/>
                      <w:lang w:val="en-US" w:eastAsia="zh-CN"/>
                    </w:rPr>
                    <w:t>0.03（</w:t>
                  </w:r>
                  <w:r>
                    <w:rPr>
                      <w:rFonts w:hint="eastAsia" w:ascii="Times New Roman" w:hAnsi="Times New Roman" w:eastAsia="宋体" w:cs="Times New Roman"/>
                      <w:snapToGrid w:val="0"/>
                      <w:kern w:val="0"/>
                      <w:sz w:val="21"/>
                      <w:szCs w:val="21"/>
                      <w:highlight w:val="none"/>
                      <w:lang w:val="en-US" w:eastAsia="zh-CN"/>
                    </w:rPr>
                    <w:t>10%溶液</w:t>
                  </w:r>
                  <w:r>
                    <w:rPr>
                      <w:rFonts w:hint="eastAsia" w:cs="Times New Roman"/>
                      <w:sz w:val="21"/>
                      <w:szCs w:val="21"/>
                      <w:highlight w:val="none"/>
                      <w:lang w:val="en-US" w:eastAsia="zh-CN"/>
                    </w:rPr>
                    <w:t>）</w:t>
                  </w:r>
                </w:p>
              </w:tc>
              <w:tc>
                <w:tcPr>
                  <w:tcW w:w="1140" w:type="dxa"/>
                  <w:tcBorders>
                    <w:top w:val="single" w:color="auto" w:sz="4" w:space="0"/>
                    <w:left w:val="single" w:color="auto" w:sz="4" w:space="0"/>
                    <w:bottom w:val="single" w:color="auto" w:sz="4" w:space="0"/>
                    <w:right w:val="single" w:color="auto" w:sz="4" w:space="0"/>
                  </w:tcBorders>
                  <w:tcMar>
                    <w:top w:w="0" w:type="dxa"/>
                    <w:left w:w="85" w:type="dxa"/>
                    <w:bottom w:w="0" w:type="dxa"/>
                    <w:right w:w="85" w:type="dxa"/>
                  </w:tcMar>
                  <w:vAlign w:val="center"/>
                </w:tcPr>
                <w:p w14:paraId="1A9EBD33">
                  <w:pPr>
                    <w:keepNext w:val="0"/>
                    <w:keepLines w:val="0"/>
                    <w:suppressLineNumbers w:val="0"/>
                    <w:spacing w:before="0" w:beforeAutospacing="0" w:after="0" w:afterAutospacing="0" w:line="276" w:lineRule="auto"/>
                    <w:ind w:left="0" w:right="0"/>
                    <w:jc w:val="center"/>
                    <w:rPr>
                      <w:rFonts w:hint="default" w:ascii="Times New Roman" w:hAnsi="Times New Roman" w:eastAsia="宋体" w:cs="Times New Roman"/>
                      <w:sz w:val="21"/>
                      <w:szCs w:val="21"/>
                      <w:highlight w:val="none"/>
                      <w:lang w:val="en-US" w:eastAsia="zh-CN"/>
                    </w:rPr>
                  </w:pPr>
                  <w:r>
                    <w:rPr>
                      <w:rFonts w:hint="eastAsia" w:cs="Times New Roman"/>
                      <w:sz w:val="21"/>
                      <w:szCs w:val="21"/>
                      <w:highlight w:val="none"/>
                      <w:lang w:val="en-US" w:eastAsia="zh-CN"/>
                    </w:rPr>
                    <w:t>0.006</w:t>
                  </w:r>
                </w:p>
              </w:tc>
              <w:tc>
                <w:tcPr>
                  <w:tcW w:w="990" w:type="dxa"/>
                  <w:tcBorders>
                    <w:top w:val="single" w:color="auto" w:sz="4" w:space="0"/>
                    <w:left w:val="single" w:color="auto" w:sz="4" w:space="0"/>
                    <w:bottom w:val="single" w:color="auto" w:sz="4" w:space="0"/>
                    <w:right w:val="single" w:color="auto" w:sz="4" w:space="0"/>
                  </w:tcBorders>
                  <w:vAlign w:val="center"/>
                </w:tcPr>
                <w:p w14:paraId="568900AA">
                  <w:pPr>
                    <w:keepNext w:val="0"/>
                    <w:keepLines w:val="0"/>
                    <w:suppressLineNumbers w:val="0"/>
                    <w:adjustRightInd w:val="0"/>
                    <w:snapToGrid w:val="0"/>
                    <w:spacing w:before="0" w:beforeAutospacing="0" w:after="0" w:afterAutospacing="0" w:line="264" w:lineRule="auto"/>
                    <w:ind w:left="0" w:right="0"/>
                    <w:jc w:val="center"/>
                    <w:rPr>
                      <w:rFonts w:hint="default" w:ascii="Times New Roman" w:hAnsi="Times New Roman" w:eastAsia="宋体" w:cs="Times New Roman"/>
                      <w:snapToGrid w:val="0"/>
                      <w:kern w:val="0"/>
                      <w:sz w:val="21"/>
                      <w:szCs w:val="21"/>
                      <w:highlight w:val="none"/>
                      <w:lang w:val="en-US" w:eastAsia="zh-CN"/>
                    </w:rPr>
                  </w:pPr>
                  <w:r>
                    <w:rPr>
                      <w:rFonts w:hint="eastAsia" w:cs="Times New Roman"/>
                      <w:snapToGrid w:val="0"/>
                      <w:kern w:val="0"/>
                      <w:sz w:val="21"/>
                      <w:szCs w:val="21"/>
                      <w:highlight w:val="none"/>
                      <w:lang w:val="en-US" w:eastAsia="zh-CN"/>
                    </w:rPr>
                    <w:t>0.5</w:t>
                  </w:r>
                </w:p>
              </w:tc>
              <w:tc>
                <w:tcPr>
                  <w:tcW w:w="1082" w:type="dxa"/>
                  <w:tcBorders>
                    <w:top w:val="single" w:color="auto" w:sz="4" w:space="0"/>
                    <w:left w:val="single" w:color="auto" w:sz="4" w:space="0"/>
                    <w:bottom w:val="single" w:color="auto" w:sz="4" w:space="0"/>
                    <w:right w:val="single" w:color="auto" w:sz="4" w:space="0"/>
                  </w:tcBorders>
                  <w:vAlign w:val="center"/>
                </w:tcPr>
                <w:p w14:paraId="41A7935D">
                  <w:pPr>
                    <w:keepNext w:val="0"/>
                    <w:keepLines w:val="0"/>
                    <w:suppressLineNumbers w:val="0"/>
                    <w:spacing w:before="0" w:beforeAutospacing="0" w:after="0" w:afterAutospacing="0" w:line="276" w:lineRule="auto"/>
                    <w:ind w:left="0" w:right="0"/>
                    <w:jc w:val="center"/>
                    <w:rPr>
                      <w:rFonts w:hint="default" w:ascii="Times New Roman" w:hAnsi="Times New Roman" w:eastAsia="宋体" w:cs="Times New Roman"/>
                      <w:sz w:val="21"/>
                      <w:szCs w:val="21"/>
                      <w:highlight w:val="none"/>
                      <w:lang w:val="en-US" w:eastAsia="zh-CN"/>
                    </w:rPr>
                  </w:pPr>
                  <w:r>
                    <w:rPr>
                      <w:rFonts w:hint="eastAsia" w:ascii="Times New Roman" w:hAnsi="Times New Roman" w:eastAsia="宋体" w:cs="Times New Roman"/>
                      <w:sz w:val="21"/>
                      <w:szCs w:val="21"/>
                      <w:highlight w:val="none"/>
                      <w:lang w:val="en-US" w:eastAsia="zh-CN"/>
                    </w:rPr>
                    <w:t>0.012</w:t>
                  </w:r>
                </w:p>
              </w:tc>
            </w:tr>
            <w:tr w14:paraId="5BE7480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jc w:val="center"/>
              </w:trPr>
              <w:tc>
                <w:tcPr>
                  <w:tcW w:w="597" w:type="dxa"/>
                  <w:tcBorders>
                    <w:top w:val="single" w:color="auto" w:sz="4" w:space="0"/>
                    <w:left w:val="single" w:color="auto" w:sz="4" w:space="0"/>
                    <w:bottom w:val="single" w:color="auto" w:sz="4" w:space="0"/>
                    <w:right w:val="single" w:color="auto" w:sz="4" w:space="0"/>
                  </w:tcBorders>
                  <w:tcMar>
                    <w:top w:w="0" w:type="dxa"/>
                    <w:left w:w="85" w:type="dxa"/>
                    <w:bottom w:w="0" w:type="dxa"/>
                    <w:right w:w="85" w:type="dxa"/>
                  </w:tcMar>
                  <w:vAlign w:val="center"/>
                </w:tcPr>
                <w:p w14:paraId="4D400CDC">
                  <w:pPr>
                    <w:keepNext w:val="0"/>
                    <w:keepLines w:val="0"/>
                    <w:suppressLineNumbers w:val="0"/>
                    <w:adjustRightInd w:val="0"/>
                    <w:snapToGrid w:val="0"/>
                    <w:spacing w:before="0" w:beforeAutospacing="0" w:after="0" w:afterAutospacing="0" w:line="264" w:lineRule="auto"/>
                    <w:ind w:left="0" w:right="0"/>
                    <w:jc w:val="center"/>
                    <w:rPr>
                      <w:rFonts w:hint="eastAsia" w:ascii="Times New Roman" w:hAnsi="Times New Roman" w:eastAsia="宋体" w:cs="Times New Roman"/>
                      <w:snapToGrid w:val="0"/>
                      <w:kern w:val="0"/>
                      <w:sz w:val="21"/>
                      <w:szCs w:val="21"/>
                      <w:highlight w:val="none"/>
                      <w:lang w:val="en-US" w:eastAsia="zh-CN"/>
                    </w:rPr>
                  </w:pPr>
                  <w:r>
                    <w:rPr>
                      <w:rFonts w:hint="eastAsia" w:cs="Times New Roman"/>
                      <w:snapToGrid w:val="0"/>
                      <w:kern w:val="0"/>
                      <w:sz w:val="21"/>
                      <w:szCs w:val="21"/>
                      <w:highlight w:val="none"/>
                      <w:lang w:val="en-US" w:eastAsia="zh-CN"/>
                    </w:rPr>
                    <w:t>4</w:t>
                  </w:r>
                </w:p>
              </w:tc>
              <w:tc>
                <w:tcPr>
                  <w:tcW w:w="1500" w:type="dxa"/>
                  <w:tcBorders>
                    <w:top w:val="single" w:color="auto" w:sz="4" w:space="0"/>
                    <w:left w:val="single" w:color="auto" w:sz="4" w:space="0"/>
                    <w:bottom w:val="single" w:color="auto" w:sz="4" w:space="0"/>
                    <w:right w:val="single" w:color="auto" w:sz="4" w:space="0"/>
                  </w:tcBorders>
                  <w:tcMar>
                    <w:top w:w="0" w:type="dxa"/>
                    <w:left w:w="85" w:type="dxa"/>
                    <w:bottom w:w="0" w:type="dxa"/>
                    <w:right w:w="85" w:type="dxa"/>
                  </w:tcMar>
                  <w:vAlign w:val="top"/>
                </w:tcPr>
                <w:p w14:paraId="537696B5">
                  <w:pPr>
                    <w:keepNext w:val="0"/>
                    <w:keepLines w:val="0"/>
                    <w:suppressLineNumbers w:val="0"/>
                    <w:adjustRightInd w:val="0"/>
                    <w:snapToGrid w:val="0"/>
                    <w:spacing w:before="0" w:beforeAutospacing="0" w:after="0" w:afterAutospacing="0" w:line="264" w:lineRule="auto"/>
                    <w:ind w:left="0" w:right="0"/>
                    <w:jc w:val="center"/>
                    <w:rPr>
                      <w:rFonts w:hint="eastAsia" w:ascii="Times New Roman" w:hAnsi="Times New Roman" w:eastAsia="宋体" w:cs="Times New Roman"/>
                      <w:snapToGrid w:val="0"/>
                      <w:kern w:val="0"/>
                      <w:sz w:val="21"/>
                      <w:szCs w:val="21"/>
                      <w:highlight w:val="none"/>
                      <w:lang w:val="en-US" w:eastAsia="zh-CN"/>
                    </w:rPr>
                  </w:pPr>
                  <w:r>
                    <w:rPr>
                      <w:rFonts w:hint="eastAsia" w:ascii="Times New Roman" w:hAnsi="Times New Roman" w:eastAsia="宋体" w:cs="Times New Roman"/>
                      <w:snapToGrid w:val="0"/>
                      <w:kern w:val="0"/>
                      <w:sz w:val="21"/>
                      <w:szCs w:val="21"/>
                      <w:highlight w:val="none"/>
                      <w:lang w:val="en-US" w:eastAsia="zh-CN"/>
                    </w:rPr>
                    <w:t>乙酸乙酯</w:t>
                  </w:r>
                </w:p>
              </w:tc>
              <w:tc>
                <w:tcPr>
                  <w:tcW w:w="1050" w:type="dxa"/>
                  <w:tcBorders>
                    <w:top w:val="single" w:color="auto" w:sz="4" w:space="0"/>
                    <w:left w:val="single" w:color="auto" w:sz="4" w:space="0"/>
                    <w:bottom w:val="single" w:color="auto" w:sz="4" w:space="0"/>
                    <w:right w:val="single" w:color="auto" w:sz="4" w:space="0"/>
                  </w:tcBorders>
                  <w:tcMar>
                    <w:top w:w="0" w:type="dxa"/>
                    <w:left w:w="85" w:type="dxa"/>
                    <w:bottom w:w="0" w:type="dxa"/>
                    <w:right w:w="85" w:type="dxa"/>
                  </w:tcMar>
                  <w:vAlign w:val="top"/>
                </w:tcPr>
                <w:p w14:paraId="4E63253C">
                  <w:pPr>
                    <w:keepNext w:val="0"/>
                    <w:keepLines w:val="0"/>
                    <w:suppressLineNumbers w:val="0"/>
                    <w:adjustRightInd w:val="0"/>
                    <w:snapToGrid w:val="0"/>
                    <w:spacing w:before="0" w:beforeAutospacing="0" w:after="0" w:afterAutospacing="0" w:line="264" w:lineRule="auto"/>
                    <w:ind w:left="0" w:right="0"/>
                    <w:jc w:val="center"/>
                    <w:rPr>
                      <w:rFonts w:hint="eastAsia" w:ascii="Times New Roman" w:hAnsi="Times New Roman" w:eastAsia="宋体" w:cs="Times New Roman"/>
                      <w:snapToGrid w:val="0"/>
                      <w:kern w:val="0"/>
                      <w:sz w:val="21"/>
                      <w:szCs w:val="21"/>
                      <w:highlight w:val="none"/>
                      <w:lang w:val="en-US" w:eastAsia="zh-CN"/>
                    </w:rPr>
                  </w:pPr>
                  <w:r>
                    <w:rPr>
                      <w:rFonts w:hint="eastAsia" w:ascii="Times New Roman" w:hAnsi="Times New Roman" w:eastAsia="宋体" w:cs="Times New Roman"/>
                      <w:snapToGrid w:val="0"/>
                      <w:kern w:val="0"/>
                      <w:sz w:val="21"/>
                      <w:szCs w:val="21"/>
                      <w:highlight w:val="none"/>
                    </w:rPr>
                    <w:t>141-78-6</w:t>
                  </w:r>
                </w:p>
              </w:tc>
              <w:tc>
                <w:tcPr>
                  <w:tcW w:w="1627" w:type="dxa"/>
                  <w:tcBorders>
                    <w:top w:val="single" w:color="auto" w:sz="4" w:space="0"/>
                    <w:left w:val="single" w:color="auto" w:sz="4" w:space="0"/>
                    <w:bottom w:val="single" w:color="auto" w:sz="4" w:space="0"/>
                    <w:right w:val="single" w:color="auto" w:sz="4" w:space="0"/>
                  </w:tcBorders>
                  <w:tcMar>
                    <w:top w:w="0" w:type="dxa"/>
                    <w:left w:w="85" w:type="dxa"/>
                    <w:bottom w:w="0" w:type="dxa"/>
                    <w:right w:w="85" w:type="dxa"/>
                  </w:tcMar>
                  <w:vAlign w:val="center"/>
                </w:tcPr>
                <w:p w14:paraId="60C260C5">
                  <w:pPr>
                    <w:keepNext w:val="0"/>
                    <w:keepLines w:val="0"/>
                    <w:suppressLineNumbers w:val="0"/>
                    <w:spacing w:before="0" w:beforeAutospacing="0" w:after="0" w:afterAutospacing="0" w:line="276" w:lineRule="auto"/>
                    <w:ind w:left="0" w:right="0"/>
                    <w:jc w:val="center"/>
                    <w:rPr>
                      <w:rFonts w:hint="eastAsia" w:cs="Times New Roman"/>
                      <w:sz w:val="21"/>
                      <w:szCs w:val="21"/>
                      <w:highlight w:val="none"/>
                      <w:lang w:val="en-US" w:eastAsia="zh-CN"/>
                    </w:rPr>
                  </w:pPr>
                  <w:r>
                    <w:rPr>
                      <w:rFonts w:hint="eastAsia" w:ascii="Times New Roman" w:hAnsi="Times New Roman" w:eastAsia="宋体" w:cs="Times New Roman"/>
                      <w:sz w:val="21"/>
                      <w:szCs w:val="21"/>
                      <w:highlight w:val="none"/>
                      <w:lang w:val="en-US" w:eastAsia="zh-CN"/>
                    </w:rPr>
                    <w:t>1</w:t>
                  </w:r>
                  <w:r>
                    <w:rPr>
                      <w:rFonts w:hint="eastAsia" w:cs="Times New Roman"/>
                      <w:sz w:val="21"/>
                      <w:szCs w:val="21"/>
                      <w:highlight w:val="none"/>
                      <w:lang w:val="en-US" w:eastAsia="zh-CN"/>
                    </w:rPr>
                    <w:t>.</w:t>
                  </w:r>
                  <w:r>
                    <w:rPr>
                      <w:rFonts w:hint="eastAsia" w:ascii="Times New Roman" w:hAnsi="Times New Roman" w:eastAsia="宋体" w:cs="Times New Roman"/>
                      <w:sz w:val="21"/>
                      <w:szCs w:val="21"/>
                      <w:highlight w:val="none"/>
                      <w:lang w:val="en-US" w:eastAsia="zh-CN"/>
                    </w:rPr>
                    <w:t>08</w:t>
                  </w:r>
                </w:p>
              </w:tc>
              <w:tc>
                <w:tcPr>
                  <w:tcW w:w="1140" w:type="dxa"/>
                  <w:tcBorders>
                    <w:top w:val="single" w:color="auto" w:sz="4" w:space="0"/>
                    <w:left w:val="single" w:color="auto" w:sz="4" w:space="0"/>
                    <w:bottom w:val="single" w:color="auto" w:sz="4" w:space="0"/>
                    <w:right w:val="single" w:color="auto" w:sz="4" w:space="0"/>
                  </w:tcBorders>
                  <w:tcMar>
                    <w:top w:w="0" w:type="dxa"/>
                    <w:left w:w="85" w:type="dxa"/>
                    <w:bottom w:w="0" w:type="dxa"/>
                    <w:right w:w="85" w:type="dxa"/>
                  </w:tcMar>
                  <w:vAlign w:val="top"/>
                </w:tcPr>
                <w:p w14:paraId="677629E6">
                  <w:pPr>
                    <w:keepNext w:val="0"/>
                    <w:keepLines w:val="0"/>
                    <w:suppressLineNumbers w:val="0"/>
                    <w:spacing w:before="0" w:beforeAutospacing="0" w:after="0" w:afterAutospacing="0" w:line="276" w:lineRule="auto"/>
                    <w:ind w:left="0" w:right="0"/>
                    <w:jc w:val="center"/>
                    <w:rPr>
                      <w:rFonts w:hint="eastAsia" w:ascii="Times New Roman" w:hAnsi="Times New Roman" w:eastAsia="宋体" w:cs="Times New Roman"/>
                      <w:sz w:val="21"/>
                      <w:szCs w:val="21"/>
                      <w:highlight w:val="none"/>
                      <w:lang w:val="en-US" w:eastAsia="zh-CN"/>
                    </w:rPr>
                  </w:pPr>
                  <w:r>
                    <w:rPr>
                      <w:rFonts w:hint="eastAsia" w:ascii="Times New Roman" w:hAnsi="Times New Roman" w:eastAsia="宋体" w:cs="Times New Roman"/>
                      <w:sz w:val="21"/>
                      <w:szCs w:val="21"/>
                      <w:highlight w:val="none"/>
                      <w:lang w:val="en-US" w:eastAsia="zh-CN"/>
                    </w:rPr>
                    <w:t>0</w:t>
                  </w:r>
                  <w:r>
                    <w:rPr>
                      <w:rFonts w:hint="eastAsia" w:cs="Times New Roman"/>
                      <w:sz w:val="21"/>
                      <w:szCs w:val="21"/>
                      <w:highlight w:val="none"/>
                      <w:lang w:val="en-US" w:eastAsia="zh-CN"/>
                    </w:rPr>
                    <w:t>.</w:t>
                  </w:r>
                  <w:r>
                    <w:rPr>
                      <w:rFonts w:hint="eastAsia" w:ascii="Times New Roman" w:hAnsi="Times New Roman" w:eastAsia="宋体" w:cs="Times New Roman"/>
                      <w:sz w:val="21"/>
                      <w:szCs w:val="21"/>
                      <w:highlight w:val="none"/>
                      <w:lang w:val="en-US" w:eastAsia="zh-CN"/>
                    </w:rPr>
                    <w:t>108</w:t>
                  </w:r>
                </w:p>
              </w:tc>
              <w:tc>
                <w:tcPr>
                  <w:tcW w:w="990" w:type="dxa"/>
                  <w:tcBorders>
                    <w:top w:val="single" w:color="auto" w:sz="4" w:space="0"/>
                    <w:left w:val="single" w:color="auto" w:sz="4" w:space="0"/>
                    <w:bottom w:val="single" w:color="auto" w:sz="4" w:space="0"/>
                    <w:right w:val="single" w:color="auto" w:sz="4" w:space="0"/>
                  </w:tcBorders>
                  <w:vAlign w:val="top"/>
                </w:tcPr>
                <w:p w14:paraId="407E4600">
                  <w:pPr>
                    <w:keepNext w:val="0"/>
                    <w:keepLines w:val="0"/>
                    <w:suppressLineNumbers w:val="0"/>
                    <w:spacing w:before="0" w:beforeAutospacing="0" w:after="0" w:afterAutospacing="0" w:line="276" w:lineRule="auto"/>
                    <w:ind w:left="0" w:right="0"/>
                    <w:jc w:val="center"/>
                    <w:rPr>
                      <w:rFonts w:hint="eastAsia" w:ascii="Times New Roman" w:hAnsi="Times New Roman" w:eastAsia="宋体" w:cs="Times New Roman"/>
                      <w:sz w:val="21"/>
                      <w:szCs w:val="21"/>
                      <w:highlight w:val="none"/>
                      <w:lang w:val="en-US" w:eastAsia="zh-CN"/>
                    </w:rPr>
                  </w:pPr>
                  <w:r>
                    <w:rPr>
                      <w:rFonts w:hint="eastAsia" w:ascii="Times New Roman" w:hAnsi="Times New Roman" w:eastAsia="宋体" w:cs="Times New Roman"/>
                      <w:sz w:val="21"/>
                      <w:szCs w:val="21"/>
                      <w:highlight w:val="none"/>
                      <w:lang w:val="en-US" w:eastAsia="zh-CN"/>
                    </w:rPr>
                    <w:t>10</w:t>
                  </w:r>
                </w:p>
              </w:tc>
              <w:tc>
                <w:tcPr>
                  <w:tcW w:w="1082" w:type="dxa"/>
                  <w:tcBorders>
                    <w:top w:val="single" w:color="auto" w:sz="4" w:space="0"/>
                    <w:left w:val="single" w:color="auto" w:sz="4" w:space="0"/>
                    <w:bottom w:val="single" w:color="auto" w:sz="4" w:space="0"/>
                    <w:right w:val="single" w:color="auto" w:sz="4" w:space="0"/>
                  </w:tcBorders>
                  <w:vAlign w:val="center"/>
                </w:tcPr>
                <w:p w14:paraId="2E2185EA">
                  <w:pPr>
                    <w:keepNext w:val="0"/>
                    <w:keepLines w:val="0"/>
                    <w:suppressLineNumbers w:val="0"/>
                    <w:spacing w:before="0" w:beforeAutospacing="0" w:after="0" w:afterAutospacing="0" w:line="276" w:lineRule="auto"/>
                    <w:ind w:left="0" w:right="0"/>
                    <w:jc w:val="center"/>
                    <w:rPr>
                      <w:rFonts w:hint="eastAsia" w:ascii="Times New Roman" w:hAnsi="Times New Roman" w:eastAsia="宋体" w:cs="Times New Roman"/>
                      <w:sz w:val="21"/>
                      <w:szCs w:val="21"/>
                      <w:highlight w:val="none"/>
                      <w:lang w:val="en-US" w:eastAsia="zh-CN"/>
                    </w:rPr>
                  </w:pPr>
                  <w:r>
                    <w:rPr>
                      <w:rFonts w:hint="eastAsia" w:ascii="Times New Roman" w:hAnsi="Times New Roman" w:eastAsia="宋体" w:cs="Times New Roman"/>
                      <w:sz w:val="21"/>
                      <w:szCs w:val="21"/>
                      <w:highlight w:val="none"/>
                      <w:lang w:val="en-US" w:eastAsia="zh-CN"/>
                    </w:rPr>
                    <w:t>0.0108</w:t>
                  </w:r>
                </w:p>
              </w:tc>
            </w:tr>
            <w:tr w14:paraId="5B6DD02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jc w:val="center"/>
              </w:trPr>
              <w:tc>
                <w:tcPr>
                  <w:tcW w:w="597" w:type="dxa"/>
                  <w:tcBorders>
                    <w:top w:val="single" w:color="auto" w:sz="4" w:space="0"/>
                    <w:left w:val="single" w:color="auto" w:sz="4" w:space="0"/>
                    <w:bottom w:val="single" w:color="auto" w:sz="4" w:space="0"/>
                    <w:right w:val="single" w:color="auto" w:sz="4" w:space="0"/>
                  </w:tcBorders>
                  <w:tcMar>
                    <w:top w:w="0" w:type="dxa"/>
                    <w:left w:w="85" w:type="dxa"/>
                    <w:bottom w:w="0" w:type="dxa"/>
                    <w:right w:w="85" w:type="dxa"/>
                  </w:tcMar>
                  <w:vAlign w:val="center"/>
                </w:tcPr>
                <w:p w14:paraId="15C7DC21">
                  <w:pPr>
                    <w:keepNext w:val="0"/>
                    <w:keepLines w:val="0"/>
                    <w:suppressLineNumbers w:val="0"/>
                    <w:adjustRightInd w:val="0"/>
                    <w:snapToGrid w:val="0"/>
                    <w:spacing w:before="0" w:beforeAutospacing="0" w:after="0" w:afterAutospacing="0" w:line="264" w:lineRule="auto"/>
                    <w:ind w:left="0" w:right="0"/>
                    <w:jc w:val="center"/>
                    <w:rPr>
                      <w:rFonts w:hint="eastAsia" w:ascii="Times New Roman" w:hAnsi="Times New Roman" w:eastAsia="宋体" w:cs="Times New Roman"/>
                      <w:snapToGrid w:val="0"/>
                      <w:kern w:val="0"/>
                      <w:sz w:val="21"/>
                      <w:szCs w:val="21"/>
                      <w:highlight w:val="none"/>
                      <w:lang w:val="en-US" w:eastAsia="zh-CN"/>
                    </w:rPr>
                  </w:pPr>
                  <w:r>
                    <w:rPr>
                      <w:rFonts w:hint="eastAsia" w:cs="Times New Roman"/>
                      <w:snapToGrid w:val="0"/>
                      <w:kern w:val="0"/>
                      <w:sz w:val="21"/>
                      <w:szCs w:val="21"/>
                      <w:highlight w:val="none"/>
                      <w:lang w:val="en-US" w:eastAsia="zh-CN"/>
                    </w:rPr>
                    <w:t>5</w:t>
                  </w:r>
                </w:p>
              </w:tc>
              <w:tc>
                <w:tcPr>
                  <w:tcW w:w="1500" w:type="dxa"/>
                  <w:tcBorders>
                    <w:top w:val="single" w:color="auto" w:sz="4" w:space="0"/>
                    <w:left w:val="single" w:color="auto" w:sz="4" w:space="0"/>
                    <w:bottom w:val="single" w:color="auto" w:sz="4" w:space="0"/>
                    <w:right w:val="single" w:color="auto" w:sz="4" w:space="0"/>
                  </w:tcBorders>
                  <w:tcMar>
                    <w:top w:w="0" w:type="dxa"/>
                    <w:left w:w="85" w:type="dxa"/>
                    <w:bottom w:w="0" w:type="dxa"/>
                    <w:right w:w="85" w:type="dxa"/>
                  </w:tcMar>
                  <w:vAlign w:val="top"/>
                </w:tcPr>
                <w:p w14:paraId="6696B4A9">
                  <w:pPr>
                    <w:keepNext w:val="0"/>
                    <w:keepLines w:val="0"/>
                    <w:suppressLineNumbers w:val="0"/>
                    <w:adjustRightInd w:val="0"/>
                    <w:snapToGrid w:val="0"/>
                    <w:spacing w:before="0" w:beforeAutospacing="0" w:after="0" w:afterAutospacing="0" w:line="264" w:lineRule="auto"/>
                    <w:ind w:left="0" w:right="0"/>
                    <w:jc w:val="center"/>
                    <w:rPr>
                      <w:rFonts w:hint="eastAsia" w:ascii="Times New Roman" w:hAnsi="Times New Roman" w:eastAsia="宋体" w:cs="Times New Roman"/>
                      <w:snapToGrid w:val="0"/>
                      <w:kern w:val="0"/>
                      <w:sz w:val="21"/>
                      <w:szCs w:val="21"/>
                      <w:highlight w:val="none"/>
                      <w:lang w:val="en-US" w:eastAsia="zh-CN"/>
                    </w:rPr>
                  </w:pPr>
                  <w:r>
                    <w:rPr>
                      <w:rFonts w:hint="eastAsia" w:ascii="Times New Roman" w:hAnsi="Times New Roman" w:eastAsia="宋体" w:cs="Times New Roman"/>
                      <w:snapToGrid w:val="0"/>
                      <w:kern w:val="0"/>
                      <w:sz w:val="21"/>
                      <w:szCs w:val="21"/>
                      <w:highlight w:val="none"/>
                      <w:lang w:val="en-US" w:eastAsia="zh-CN"/>
                    </w:rPr>
                    <w:t>石油醚</w:t>
                  </w:r>
                </w:p>
              </w:tc>
              <w:tc>
                <w:tcPr>
                  <w:tcW w:w="1050" w:type="dxa"/>
                  <w:tcBorders>
                    <w:top w:val="single" w:color="auto" w:sz="4" w:space="0"/>
                    <w:left w:val="single" w:color="auto" w:sz="4" w:space="0"/>
                    <w:bottom w:val="single" w:color="auto" w:sz="4" w:space="0"/>
                    <w:right w:val="single" w:color="auto" w:sz="4" w:space="0"/>
                  </w:tcBorders>
                  <w:tcMar>
                    <w:top w:w="0" w:type="dxa"/>
                    <w:left w:w="85" w:type="dxa"/>
                    <w:bottom w:w="0" w:type="dxa"/>
                    <w:right w:w="85" w:type="dxa"/>
                  </w:tcMar>
                  <w:vAlign w:val="top"/>
                </w:tcPr>
                <w:p w14:paraId="25461D30">
                  <w:pPr>
                    <w:keepNext w:val="0"/>
                    <w:keepLines w:val="0"/>
                    <w:suppressLineNumbers w:val="0"/>
                    <w:adjustRightInd w:val="0"/>
                    <w:snapToGrid w:val="0"/>
                    <w:spacing w:before="0" w:beforeAutospacing="0" w:after="0" w:afterAutospacing="0" w:line="264" w:lineRule="auto"/>
                    <w:ind w:left="0" w:right="0"/>
                    <w:jc w:val="center"/>
                    <w:rPr>
                      <w:rFonts w:hint="eastAsia" w:ascii="Times New Roman" w:hAnsi="Times New Roman" w:eastAsia="宋体" w:cs="Times New Roman"/>
                      <w:snapToGrid w:val="0"/>
                      <w:kern w:val="0"/>
                      <w:sz w:val="21"/>
                      <w:szCs w:val="21"/>
                      <w:highlight w:val="none"/>
                      <w:lang w:val="en-US" w:eastAsia="zh-CN"/>
                    </w:rPr>
                  </w:pPr>
                  <w:r>
                    <w:rPr>
                      <w:rFonts w:hint="eastAsia" w:ascii="Times New Roman" w:hAnsi="Times New Roman" w:eastAsia="宋体" w:cs="Times New Roman"/>
                      <w:snapToGrid w:val="0"/>
                      <w:kern w:val="0"/>
                      <w:sz w:val="21"/>
                      <w:szCs w:val="21"/>
                      <w:highlight w:val="none"/>
                    </w:rPr>
                    <w:t>8032-32-4</w:t>
                  </w:r>
                </w:p>
              </w:tc>
              <w:tc>
                <w:tcPr>
                  <w:tcW w:w="1627" w:type="dxa"/>
                  <w:tcBorders>
                    <w:top w:val="single" w:color="auto" w:sz="4" w:space="0"/>
                    <w:left w:val="single" w:color="auto" w:sz="4" w:space="0"/>
                    <w:bottom w:val="single" w:color="auto" w:sz="4" w:space="0"/>
                    <w:right w:val="single" w:color="auto" w:sz="4" w:space="0"/>
                  </w:tcBorders>
                  <w:tcMar>
                    <w:top w:w="0" w:type="dxa"/>
                    <w:left w:w="85" w:type="dxa"/>
                    <w:bottom w:w="0" w:type="dxa"/>
                    <w:right w:w="85" w:type="dxa"/>
                  </w:tcMar>
                  <w:vAlign w:val="center"/>
                </w:tcPr>
                <w:p w14:paraId="642C9AFE">
                  <w:pPr>
                    <w:keepNext w:val="0"/>
                    <w:keepLines w:val="0"/>
                    <w:suppressLineNumbers w:val="0"/>
                    <w:spacing w:before="0" w:beforeAutospacing="0" w:after="0" w:afterAutospacing="0" w:line="276" w:lineRule="auto"/>
                    <w:ind w:left="0" w:right="0"/>
                    <w:jc w:val="center"/>
                    <w:rPr>
                      <w:rFonts w:hint="default" w:cs="Times New Roman"/>
                      <w:sz w:val="21"/>
                      <w:szCs w:val="21"/>
                      <w:highlight w:val="none"/>
                      <w:lang w:val="en-US" w:eastAsia="zh-CN"/>
                    </w:rPr>
                  </w:pPr>
                  <w:r>
                    <w:rPr>
                      <w:rFonts w:hint="eastAsia" w:ascii="Times New Roman" w:hAnsi="Times New Roman" w:eastAsia="宋体" w:cs="Times New Roman"/>
                      <w:sz w:val="21"/>
                      <w:szCs w:val="21"/>
                      <w:highlight w:val="none"/>
                      <w:lang w:val="en-US" w:eastAsia="zh-CN"/>
                    </w:rPr>
                    <w:t>0</w:t>
                  </w:r>
                  <w:r>
                    <w:rPr>
                      <w:rFonts w:hint="eastAsia" w:cs="Times New Roman"/>
                      <w:sz w:val="21"/>
                      <w:szCs w:val="21"/>
                      <w:highlight w:val="none"/>
                      <w:lang w:val="en-US" w:eastAsia="zh-CN"/>
                    </w:rPr>
                    <w:t>.</w:t>
                  </w:r>
                  <w:r>
                    <w:rPr>
                      <w:rFonts w:hint="eastAsia" w:ascii="Times New Roman" w:hAnsi="Times New Roman" w:eastAsia="宋体" w:cs="Times New Roman"/>
                      <w:sz w:val="21"/>
                      <w:szCs w:val="21"/>
                      <w:highlight w:val="none"/>
                      <w:lang w:val="en-US" w:eastAsia="zh-CN"/>
                    </w:rPr>
                    <w:t>3</w:t>
                  </w:r>
                  <w:r>
                    <w:rPr>
                      <w:rFonts w:hint="eastAsia" w:cs="Times New Roman"/>
                      <w:sz w:val="21"/>
                      <w:szCs w:val="21"/>
                      <w:highlight w:val="none"/>
                      <w:lang w:val="en-US" w:eastAsia="zh-CN"/>
                    </w:rPr>
                    <w:t>9</w:t>
                  </w:r>
                </w:p>
              </w:tc>
              <w:tc>
                <w:tcPr>
                  <w:tcW w:w="1140" w:type="dxa"/>
                  <w:tcBorders>
                    <w:top w:val="single" w:color="auto" w:sz="4" w:space="0"/>
                    <w:left w:val="single" w:color="auto" w:sz="4" w:space="0"/>
                    <w:bottom w:val="single" w:color="auto" w:sz="4" w:space="0"/>
                    <w:right w:val="single" w:color="auto" w:sz="4" w:space="0"/>
                  </w:tcBorders>
                  <w:tcMar>
                    <w:top w:w="0" w:type="dxa"/>
                    <w:left w:w="85" w:type="dxa"/>
                    <w:bottom w:w="0" w:type="dxa"/>
                    <w:right w:w="85" w:type="dxa"/>
                  </w:tcMar>
                  <w:vAlign w:val="top"/>
                </w:tcPr>
                <w:p w14:paraId="2F928DD4">
                  <w:pPr>
                    <w:keepNext w:val="0"/>
                    <w:keepLines w:val="0"/>
                    <w:suppressLineNumbers w:val="0"/>
                    <w:spacing w:before="0" w:beforeAutospacing="0" w:after="0" w:afterAutospacing="0" w:line="276" w:lineRule="auto"/>
                    <w:ind w:left="0" w:right="0"/>
                    <w:jc w:val="center"/>
                    <w:rPr>
                      <w:rFonts w:hint="default" w:ascii="Times New Roman" w:hAnsi="Times New Roman" w:eastAsia="宋体" w:cs="Times New Roman"/>
                      <w:sz w:val="21"/>
                      <w:szCs w:val="21"/>
                      <w:highlight w:val="none"/>
                      <w:lang w:val="en-US" w:eastAsia="zh-CN"/>
                    </w:rPr>
                  </w:pPr>
                  <w:r>
                    <w:rPr>
                      <w:rFonts w:hint="eastAsia" w:ascii="Times New Roman" w:hAnsi="Times New Roman" w:eastAsia="宋体" w:cs="Times New Roman"/>
                      <w:sz w:val="21"/>
                      <w:szCs w:val="21"/>
                      <w:highlight w:val="none"/>
                      <w:lang w:val="en-US" w:eastAsia="zh-CN"/>
                    </w:rPr>
                    <w:t>0.03</w:t>
                  </w:r>
                  <w:r>
                    <w:rPr>
                      <w:rFonts w:hint="eastAsia" w:cs="Times New Roman"/>
                      <w:sz w:val="21"/>
                      <w:szCs w:val="21"/>
                      <w:highlight w:val="none"/>
                      <w:lang w:val="en-US" w:eastAsia="zh-CN"/>
                    </w:rPr>
                    <w:t>3</w:t>
                  </w:r>
                </w:p>
              </w:tc>
              <w:tc>
                <w:tcPr>
                  <w:tcW w:w="990" w:type="dxa"/>
                  <w:tcBorders>
                    <w:top w:val="single" w:color="auto" w:sz="4" w:space="0"/>
                    <w:left w:val="single" w:color="auto" w:sz="4" w:space="0"/>
                    <w:bottom w:val="single" w:color="auto" w:sz="4" w:space="0"/>
                    <w:right w:val="single" w:color="auto" w:sz="4" w:space="0"/>
                  </w:tcBorders>
                  <w:vAlign w:val="top"/>
                </w:tcPr>
                <w:p w14:paraId="58B29144">
                  <w:pPr>
                    <w:keepNext w:val="0"/>
                    <w:keepLines w:val="0"/>
                    <w:suppressLineNumbers w:val="0"/>
                    <w:spacing w:before="0" w:beforeAutospacing="0" w:after="0" w:afterAutospacing="0" w:line="276" w:lineRule="auto"/>
                    <w:ind w:left="0" w:right="0"/>
                    <w:jc w:val="center"/>
                    <w:rPr>
                      <w:rFonts w:hint="eastAsia" w:ascii="Times New Roman" w:hAnsi="Times New Roman" w:eastAsia="宋体" w:cs="Times New Roman"/>
                      <w:sz w:val="21"/>
                      <w:szCs w:val="21"/>
                      <w:highlight w:val="none"/>
                      <w:lang w:val="en-US" w:eastAsia="zh-CN"/>
                    </w:rPr>
                  </w:pPr>
                  <w:r>
                    <w:rPr>
                      <w:rFonts w:hint="eastAsia" w:ascii="Times New Roman" w:hAnsi="Times New Roman" w:eastAsia="宋体" w:cs="Times New Roman"/>
                      <w:sz w:val="21"/>
                      <w:szCs w:val="21"/>
                      <w:highlight w:val="none"/>
                      <w:lang w:val="en-US" w:eastAsia="zh-CN"/>
                    </w:rPr>
                    <w:t>10</w:t>
                  </w:r>
                </w:p>
              </w:tc>
              <w:tc>
                <w:tcPr>
                  <w:tcW w:w="1082" w:type="dxa"/>
                  <w:tcBorders>
                    <w:top w:val="single" w:color="auto" w:sz="4" w:space="0"/>
                    <w:left w:val="single" w:color="auto" w:sz="4" w:space="0"/>
                    <w:bottom w:val="single" w:color="auto" w:sz="4" w:space="0"/>
                    <w:right w:val="single" w:color="auto" w:sz="4" w:space="0"/>
                  </w:tcBorders>
                  <w:vAlign w:val="center"/>
                </w:tcPr>
                <w:p w14:paraId="111CAFF8">
                  <w:pPr>
                    <w:keepNext w:val="0"/>
                    <w:keepLines w:val="0"/>
                    <w:suppressLineNumbers w:val="0"/>
                    <w:spacing w:before="0" w:beforeAutospacing="0" w:after="0" w:afterAutospacing="0" w:line="276" w:lineRule="auto"/>
                    <w:ind w:left="0" w:right="0"/>
                    <w:jc w:val="center"/>
                    <w:rPr>
                      <w:rFonts w:hint="eastAsia" w:ascii="Times New Roman" w:hAnsi="Times New Roman" w:eastAsia="宋体" w:cs="Times New Roman"/>
                      <w:sz w:val="21"/>
                      <w:szCs w:val="21"/>
                      <w:highlight w:val="none"/>
                      <w:lang w:val="en-US" w:eastAsia="zh-CN"/>
                    </w:rPr>
                  </w:pPr>
                  <w:r>
                    <w:rPr>
                      <w:rFonts w:hint="eastAsia" w:ascii="Times New Roman" w:hAnsi="Times New Roman" w:eastAsia="宋体" w:cs="Times New Roman"/>
                      <w:sz w:val="21"/>
                      <w:szCs w:val="21"/>
                      <w:highlight w:val="none"/>
                      <w:lang w:val="en-US" w:eastAsia="zh-CN"/>
                    </w:rPr>
                    <w:t>0.0033</w:t>
                  </w:r>
                </w:p>
              </w:tc>
            </w:tr>
            <w:tr w14:paraId="1B5BBD8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jc w:val="center"/>
              </w:trPr>
              <w:tc>
                <w:tcPr>
                  <w:tcW w:w="597" w:type="dxa"/>
                  <w:tcBorders>
                    <w:top w:val="single" w:color="auto" w:sz="4" w:space="0"/>
                    <w:left w:val="single" w:color="auto" w:sz="4" w:space="0"/>
                    <w:bottom w:val="single" w:color="auto" w:sz="4" w:space="0"/>
                    <w:right w:val="single" w:color="auto" w:sz="4" w:space="0"/>
                  </w:tcBorders>
                  <w:tcMar>
                    <w:top w:w="0" w:type="dxa"/>
                    <w:left w:w="85" w:type="dxa"/>
                    <w:bottom w:w="0" w:type="dxa"/>
                    <w:right w:w="85" w:type="dxa"/>
                  </w:tcMar>
                  <w:vAlign w:val="center"/>
                </w:tcPr>
                <w:p w14:paraId="21C05929">
                  <w:pPr>
                    <w:keepNext w:val="0"/>
                    <w:keepLines w:val="0"/>
                    <w:suppressLineNumbers w:val="0"/>
                    <w:adjustRightInd w:val="0"/>
                    <w:snapToGrid w:val="0"/>
                    <w:spacing w:before="0" w:beforeAutospacing="0" w:after="0" w:afterAutospacing="0" w:line="264" w:lineRule="auto"/>
                    <w:ind w:left="0" w:right="0"/>
                    <w:jc w:val="center"/>
                    <w:rPr>
                      <w:rFonts w:hint="eastAsia" w:ascii="Times New Roman" w:hAnsi="Times New Roman" w:eastAsia="宋体" w:cs="Times New Roman"/>
                      <w:snapToGrid w:val="0"/>
                      <w:kern w:val="0"/>
                      <w:sz w:val="21"/>
                      <w:szCs w:val="21"/>
                      <w:highlight w:val="none"/>
                      <w:lang w:val="en-US" w:eastAsia="zh-CN"/>
                    </w:rPr>
                  </w:pPr>
                  <w:r>
                    <w:rPr>
                      <w:rFonts w:hint="eastAsia" w:cs="Times New Roman"/>
                      <w:snapToGrid w:val="0"/>
                      <w:kern w:val="0"/>
                      <w:sz w:val="21"/>
                      <w:szCs w:val="21"/>
                      <w:highlight w:val="none"/>
                      <w:lang w:val="en-US" w:eastAsia="zh-CN"/>
                    </w:rPr>
                    <w:t>6</w:t>
                  </w:r>
                </w:p>
              </w:tc>
              <w:tc>
                <w:tcPr>
                  <w:tcW w:w="1500" w:type="dxa"/>
                  <w:tcBorders>
                    <w:top w:val="single" w:color="auto" w:sz="4" w:space="0"/>
                    <w:left w:val="single" w:color="auto" w:sz="4" w:space="0"/>
                    <w:bottom w:val="single" w:color="auto" w:sz="4" w:space="0"/>
                    <w:right w:val="single" w:color="auto" w:sz="4" w:space="0"/>
                  </w:tcBorders>
                  <w:tcMar>
                    <w:top w:w="0" w:type="dxa"/>
                    <w:left w:w="85" w:type="dxa"/>
                    <w:bottom w:w="0" w:type="dxa"/>
                    <w:right w:w="85" w:type="dxa"/>
                  </w:tcMar>
                  <w:vAlign w:val="top"/>
                </w:tcPr>
                <w:p w14:paraId="0E7D5D9D">
                  <w:pPr>
                    <w:keepNext w:val="0"/>
                    <w:keepLines w:val="0"/>
                    <w:suppressLineNumbers w:val="0"/>
                    <w:adjustRightInd w:val="0"/>
                    <w:snapToGrid w:val="0"/>
                    <w:spacing w:before="0" w:beforeAutospacing="0" w:after="0" w:afterAutospacing="0" w:line="264" w:lineRule="auto"/>
                    <w:ind w:left="0" w:right="0"/>
                    <w:jc w:val="center"/>
                    <w:rPr>
                      <w:rFonts w:hint="eastAsia" w:ascii="Times New Roman" w:hAnsi="Times New Roman" w:eastAsia="宋体" w:cs="Times New Roman"/>
                      <w:snapToGrid w:val="0"/>
                      <w:kern w:val="0"/>
                      <w:sz w:val="21"/>
                      <w:szCs w:val="21"/>
                      <w:highlight w:val="none"/>
                      <w:lang w:val="en-US" w:eastAsia="zh-CN"/>
                    </w:rPr>
                  </w:pPr>
                  <w:r>
                    <w:rPr>
                      <w:rFonts w:hint="eastAsia" w:ascii="Times New Roman" w:hAnsi="Times New Roman" w:eastAsia="宋体" w:cs="Times New Roman"/>
                      <w:snapToGrid w:val="0"/>
                      <w:kern w:val="0"/>
                      <w:sz w:val="21"/>
                      <w:szCs w:val="21"/>
                      <w:highlight w:val="none"/>
                      <w:lang w:val="en-US" w:eastAsia="zh-CN"/>
                    </w:rPr>
                    <w:t>乙醚</w:t>
                  </w:r>
                </w:p>
              </w:tc>
              <w:tc>
                <w:tcPr>
                  <w:tcW w:w="1050" w:type="dxa"/>
                  <w:tcBorders>
                    <w:top w:val="single" w:color="auto" w:sz="4" w:space="0"/>
                    <w:left w:val="single" w:color="auto" w:sz="4" w:space="0"/>
                    <w:bottom w:val="single" w:color="auto" w:sz="4" w:space="0"/>
                    <w:right w:val="single" w:color="auto" w:sz="4" w:space="0"/>
                  </w:tcBorders>
                  <w:tcMar>
                    <w:top w:w="0" w:type="dxa"/>
                    <w:left w:w="85" w:type="dxa"/>
                    <w:bottom w:w="0" w:type="dxa"/>
                    <w:right w:w="85" w:type="dxa"/>
                  </w:tcMar>
                  <w:vAlign w:val="top"/>
                </w:tcPr>
                <w:p w14:paraId="21A6EC7E">
                  <w:pPr>
                    <w:keepNext w:val="0"/>
                    <w:keepLines w:val="0"/>
                    <w:suppressLineNumbers w:val="0"/>
                    <w:adjustRightInd w:val="0"/>
                    <w:snapToGrid w:val="0"/>
                    <w:spacing w:before="0" w:beforeAutospacing="0" w:after="0" w:afterAutospacing="0" w:line="264" w:lineRule="auto"/>
                    <w:ind w:left="0" w:right="0"/>
                    <w:jc w:val="center"/>
                    <w:rPr>
                      <w:rFonts w:hint="eastAsia" w:ascii="Times New Roman" w:hAnsi="Times New Roman" w:eastAsia="宋体" w:cs="Times New Roman"/>
                      <w:snapToGrid w:val="0"/>
                      <w:kern w:val="0"/>
                      <w:sz w:val="21"/>
                      <w:szCs w:val="21"/>
                      <w:highlight w:val="none"/>
                      <w:lang w:val="en-US" w:eastAsia="zh-CN"/>
                    </w:rPr>
                  </w:pPr>
                  <w:r>
                    <w:rPr>
                      <w:rFonts w:hint="eastAsia" w:ascii="Times New Roman" w:hAnsi="Times New Roman" w:eastAsia="宋体" w:cs="Times New Roman"/>
                      <w:snapToGrid w:val="0"/>
                      <w:kern w:val="0"/>
                      <w:sz w:val="21"/>
                      <w:szCs w:val="21"/>
                      <w:highlight w:val="none"/>
                    </w:rPr>
                    <w:t>60-29-7</w:t>
                  </w:r>
                </w:p>
              </w:tc>
              <w:tc>
                <w:tcPr>
                  <w:tcW w:w="1627" w:type="dxa"/>
                  <w:tcBorders>
                    <w:top w:val="single" w:color="auto" w:sz="4" w:space="0"/>
                    <w:left w:val="single" w:color="auto" w:sz="4" w:space="0"/>
                    <w:bottom w:val="single" w:color="auto" w:sz="4" w:space="0"/>
                    <w:right w:val="single" w:color="auto" w:sz="4" w:space="0"/>
                  </w:tcBorders>
                  <w:tcMar>
                    <w:top w:w="0" w:type="dxa"/>
                    <w:left w:w="85" w:type="dxa"/>
                    <w:bottom w:w="0" w:type="dxa"/>
                    <w:right w:w="85" w:type="dxa"/>
                  </w:tcMar>
                  <w:vAlign w:val="center"/>
                </w:tcPr>
                <w:p w14:paraId="5EA19704">
                  <w:pPr>
                    <w:keepNext w:val="0"/>
                    <w:keepLines w:val="0"/>
                    <w:suppressLineNumbers w:val="0"/>
                    <w:spacing w:before="0" w:beforeAutospacing="0" w:after="0" w:afterAutospacing="0" w:line="276" w:lineRule="auto"/>
                    <w:ind w:left="0" w:right="0"/>
                    <w:jc w:val="center"/>
                    <w:rPr>
                      <w:rFonts w:hint="default" w:cs="Times New Roman"/>
                      <w:sz w:val="21"/>
                      <w:szCs w:val="21"/>
                      <w:highlight w:val="none"/>
                      <w:lang w:val="en-US" w:eastAsia="zh-CN"/>
                    </w:rPr>
                  </w:pPr>
                  <w:r>
                    <w:rPr>
                      <w:rFonts w:hint="eastAsia" w:cs="Times New Roman"/>
                      <w:sz w:val="21"/>
                      <w:szCs w:val="21"/>
                      <w:highlight w:val="none"/>
                      <w:lang w:val="en-US" w:eastAsia="zh-CN"/>
                    </w:rPr>
                    <w:t>0.428</w:t>
                  </w:r>
                </w:p>
              </w:tc>
              <w:tc>
                <w:tcPr>
                  <w:tcW w:w="1140" w:type="dxa"/>
                  <w:tcBorders>
                    <w:top w:val="single" w:color="auto" w:sz="4" w:space="0"/>
                    <w:left w:val="single" w:color="auto" w:sz="4" w:space="0"/>
                    <w:bottom w:val="single" w:color="auto" w:sz="4" w:space="0"/>
                    <w:right w:val="single" w:color="auto" w:sz="4" w:space="0"/>
                  </w:tcBorders>
                  <w:tcMar>
                    <w:top w:w="0" w:type="dxa"/>
                    <w:left w:w="85" w:type="dxa"/>
                    <w:bottom w:w="0" w:type="dxa"/>
                    <w:right w:w="85" w:type="dxa"/>
                  </w:tcMar>
                  <w:vAlign w:val="top"/>
                </w:tcPr>
                <w:p w14:paraId="2BF87A57">
                  <w:pPr>
                    <w:keepNext w:val="0"/>
                    <w:keepLines w:val="0"/>
                    <w:suppressLineNumbers w:val="0"/>
                    <w:spacing w:before="0" w:beforeAutospacing="0" w:after="0" w:afterAutospacing="0" w:line="276" w:lineRule="auto"/>
                    <w:ind w:left="0" w:right="0"/>
                    <w:jc w:val="center"/>
                    <w:rPr>
                      <w:rFonts w:hint="default" w:ascii="Times New Roman" w:hAnsi="Times New Roman" w:eastAsia="宋体" w:cs="Times New Roman"/>
                      <w:sz w:val="21"/>
                      <w:szCs w:val="21"/>
                      <w:highlight w:val="none"/>
                      <w:lang w:val="en-US" w:eastAsia="zh-CN"/>
                    </w:rPr>
                  </w:pPr>
                  <w:r>
                    <w:rPr>
                      <w:rFonts w:hint="eastAsia" w:ascii="Times New Roman" w:hAnsi="Times New Roman" w:eastAsia="宋体" w:cs="Times New Roman"/>
                      <w:sz w:val="21"/>
                      <w:szCs w:val="21"/>
                      <w:highlight w:val="none"/>
                      <w:lang w:val="en-US" w:eastAsia="zh-CN"/>
                    </w:rPr>
                    <w:t>0.04</w:t>
                  </w:r>
                  <w:r>
                    <w:rPr>
                      <w:rFonts w:hint="eastAsia" w:cs="Times New Roman"/>
                      <w:sz w:val="21"/>
                      <w:szCs w:val="21"/>
                      <w:highlight w:val="none"/>
                      <w:lang w:val="en-US" w:eastAsia="zh-CN"/>
                    </w:rPr>
                    <w:t>3</w:t>
                  </w:r>
                </w:p>
              </w:tc>
              <w:tc>
                <w:tcPr>
                  <w:tcW w:w="990" w:type="dxa"/>
                  <w:tcBorders>
                    <w:top w:val="single" w:color="auto" w:sz="4" w:space="0"/>
                    <w:left w:val="single" w:color="auto" w:sz="4" w:space="0"/>
                    <w:bottom w:val="single" w:color="auto" w:sz="4" w:space="0"/>
                    <w:right w:val="single" w:color="auto" w:sz="4" w:space="0"/>
                  </w:tcBorders>
                  <w:vAlign w:val="top"/>
                </w:tcPr>
                <w:p w14:paraId="06EC4095">
                  <w:pPr>
                    <w:keepNext w:val="0"/>
                    <w:keepLines w:val="0"/>
                    <w:suppressLineNumbers w:val="0"/>
                    <w:spacing w:before="0" w:beforeAutospacing="0" w:after="0" w:afterAutospacing="0" w:line="276" w:lineRule="auto"/>
                    <w:ind w:left="0" w:right="0"/>
                    <w:jc w:val="center"/>
                    <w:rPr>
                      <w:rFonts w:hint="eastAsia" w:ascii="Times New Roman" w:hAnsi="Times New Roman" w:eastAsia="宋体" w:cs="Times New Roman"/>
                      <w:sz w:val="21"/>
                      <w:szCs w:val="21"/>
                      <w:highlight w:val="none"/>
                      <w:lang w:val="en-US" w:eastAsia="zh-CN"/>
                    </w:rPr>
                  </w:pPr>
                  <w:r>
                    <w:rPr>
                      <w:rFonts w:hint="eastAsia" w:ascii="Times New Roman" w:hAnsi="Times New Roman" w:eastAsia="宋体" w:cs="Times New Roman"/>
                      <w:sz w:val="21"/>
                      <w:szCs w:val="21"/>
                      <w:highlight w:val="none"/>
                      <w:lang w:val="en-US" w:eastAsia="zh-CN"/>
                    </w:rPr>
                    <w:t>10</w:t>
                  </w:r>
                </w:p>
              </w:tc>
              <w:tc>
                <w:tcPr>
                  <w:tcW w:w="1082" w:type="dxa"/>
                  <w:tcBorders>
                    <w:top w:val="single" w:color="auto" w:sz="4" w:space="0"/>
                    <w:left w:val="single" w:color="auto" w:sz="4" w:space="0"/>
                    <w:bottom w:val="single" w:color="auto" w:sz="4" w:space="0"/>
                    <w:right w:val="single" w:color="auto" w:sz="4" w:space="0"/>
                  </w:tcBorders>
                  <w:vAlign w:val="center"/>
                </w:tcPr>
                <w:p w14:paraId="0BF3027B">
                  <w:pPr>
                    <w:keepNext w:val="0"/>
                    <w:keepLines w:val="0"/>
                    <w:suppressLineNumbers w:val="0"/>
                    <w:spacing w:before="0" w:beforeAutospacing="0" w:after="0" w:afterAutospacing="0" w:line="276" w:lineRule="auto"/>
                    <w:ind w:left="0" w:right="0"/>
                    <w:jc w:val="center"/>
                    <w:rPr>
                      <w:rFonts w:hint="eastAsia" w:ascii="Times New Roman" w:hAnsi="Times New Roman" w:eastAsia="宋体" w:cs="Times New Roman"/>
                      <w:sz w:val="21"/>
                      <w:szCs w:val="21"/>
                      <w:highlight w:val="none"/>
                      <w:lang w:val="en-US" w:eastAsia="zh-CN"/>
                    </w:rPr>
                  </w:pPr>
                  <w:r>
                    <w:rPr>
                      <w:rFonts w:hint="eastAsia" w:ascii="Times New Roman" w:hAnsi="Times New Roman" w:eastAsia="宋体" w:cs="Times New Roman"/>
                      <w:sz w:val="21"/>
                      <w:szCs w:val="21"/>
                      <w:highlight w:val="none"/>
                      <w:lang w:val="en-US" w:eastAsia="zh-CN"/>
                    </w:rPr>
                    <w:t>0.0043</w:t>
                  </w:r>
                </w:p>
              </w:tc>
            </w:tr>
            <w:tr w14:paraId="56C8969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jc w:val="center"/>
              </w:trPr>
              <w:tc>
                <w:tcPr>
                  <w:tcW w:w="597" w:type="dxa"/>
                  <w:tcBorders>
                    <w:top w:val="single" w:color="auto" w:sz="4" w:space="0"/>
                    <w:left w:val="single" w:color="auto" w:sz="4" w:space="0"/>
                    <w:bottom w:val="single" w:color="auto" w:sz="4" w:space="0"/>
                    <w:right w:val="single" w:color="auto" w:sz="4" w:space="0"/>
                  </w:tcBorders>
                  <w:tcMar>
                    <w:top w:w="0" w:type="dxa"/>
                    <w:left w:w="85" w:type="dxa"/>
                    <w:bottom w:w="0" w:type="dxa"/>
                    <w:right w:w="85" w:type="dxa"/>
                  </w:tcMar>
                  <w:vAlign w:val="center"/>
                </w:tcPr>
                <w:p w14:paraId="7AD2ADE1">
                  <w:pPr>
                    <w:keepNext w:val="0"/>
                    <w:keepLines w:val="0"/>
                    <w:suppressLineNumbers w:val="0"/>
                    <w:adjustRightInd w:val="0"/>
                    <w:snapToGrid w:val="0"/>
                    <w:spacing w:before="0" w:beforeAutospacing="0" w:after="0" w:afterAutospacing="0" w:line="264" w:lineRule="auto"/>
                    <w:ind w:left="0" w:right="0"/>
                    <w:jc w:val="center"/>
                    <w:rPr>
                      <w:rFonts w:hint="eastAsia" w:ascii="Times New Roman" w:hAnsi="Times New Roman" w:eastAsia="宋体" w:cs="Times New Roman"/>
                      <w:snapToGrid w:val="0"/>
                      <w:kern w:val="0"/>
                      <w:sz w:val="21"/>
                      <w:szCs w:val="21"/>
                      <w:highlight w:val="none"/>
                      <w:lang w:val="en-US" w:eastAsia="zh-CN"/>
                    </w:rPr>
                  </w:pPr>
                  <w:r>
                    <w:rPr>
                      <w:rFonts w:hint="eastAsia" w:cs="Times New Roman"/>
                      <w:snapToGrid w:val="0"/>
                      <w:kern w:val="0"/>
                      <w:sz w:val="21"/>
                      <w:szCs w:val="21"/>
                      <w:highlight w:val="none"/>
                      <w:lang w:val="en-US" w:eastAsia="zh-CN"/>
                    </w:rPr>
                    <w:t>7</w:t>
                  </w:r>
                </w:p>
              </w:tc>
              <w:tc>
                <w:tcPr>
                  <w:tcW w:w="1500" w:type="dxa"/>
                  <w:tcBorders>
                    <w:top w:val="single" w:color="auto" w:sz="4" w:space="0"/>
                    <w:left w:val="single" w:color="auto" w:sz="4" w:space="0"/>
                    <w:bottom w:val="single" w:color="auto" w:sz="4" w:space="0"/>
                    <w:right w:val="single" w:color="auto" w:sz="4" w:space="0"/>
                  </w:tcBorders>
                  <w:tcMar>
                    <w:top w:w="0" w:type="dxa"/>
                    <w:left w:w="85" w:type="dxa"/>
                    <w:bottom w:w="0" w:type="dxa"/>
                    <w:right w:w="85" w:type="dxa"/>
                  </w:tcMar>
                  <w:vAlign w:val="top"/>
                </w:tcPr>
                <w:p w14:paraId="7C73E0FC">
                  <w:pPr>
                    <w:keepNext w:val="0"/>
                    <w:keepLines w:val="0"/>
                    <w:suppressLineNumbers w:val="0"/>
                    <w:adjustRightInd w:val="0"/>
                    <w:snapToGrid w:val="0"/>
                    <w:spacing w:before="0" w:beforeAutospacing="0" w:after="0" w:afterAutospacing="0" w:line="264" w:lineRule="auto"/>
                    <w:ind w:left="0" w:right="0"/>
                    <w:jc w:val="center"/>
                    <w:rPr>
                      <w:rFonts w:hint="eastAsia" w:ascii="Times New Roman" w:hAnsi="Times New Roman" w:eastAsia="宋体" w:cs="Times New Roman"/>
                      <w:snapToGrid w:val="0"/>
                      <w:kern w:val="0"/>
                      <w:sz w:val="21"/>
                      <w:szCs w:val="21"/>
                      <w:highlight w:val="none"/>
                      <w:lang w:val="en-US" w:eastAsia="zh-CN"/>
                    </w:rPr>
                  </w:pPr>
                  <w:r>
                    <w:rPr>
                      <w:rFonts w:hint="eastAsia" w:ascii="Times New Roman" w:hAnsi="Times New Roman" w:eastAsia="宋体" w:cs="Times New Roman"/>
                      <w:snapToGrid w:val="0"/>
                      <w:kern w:val="0"/>
                      <w:sz w:val="21"/>
                      <w:szCs w:val="21"/>
                      <w:highlight w:val="none"/>
                      <w:lang w:val="en-US" w:eastAsia="zh-CN"/>
                    </w:rPr>
                    <w:t>盐酸（≥37%）</w:t>
                  </w:r>
                </w:p>
              </w:tc>
              <w:tc>
                <w:tcPr>
                  <w:tcW w:w="1050" w:type="dxa"/>
                  <w:tcBorders>
                    <w:top w:val="single" w:color="auto" w:sz="4" w:space="0"/>
                    <w:left w:val="single" w:color="auto" w:sz="4" w:space="0"/>
                    <w:bottom w:val="single" w:color="auto" w:sz="4" w:space="0"/>
                    <w:right w:val="single" w:color="auto" w:sz="4" w:space="0"/>
                  </w:tcBorders>
                  <w:tcMar>
                    <w:top w:w="0" w:type="dxa"/>
                    <w:left w:w="85" w:type="dxa"/>
                    <w:bottom w:w="0" w:type="dxa"/>
                    <w:right w:w="85" w:type="dxa"/>
                  </w:tcMar>
                  <w:vAlign w:val="top"/>
                </w:tcPr>
                <w:p w14:paraId="19899AFF">
                  <w:pPr>
                    <w:keepNext w:val="0"/>
                    <w:keepLines w:val="0"/>
                    <w:suppressLineNumbers w:val="0"/>
                    <w:adjustRightInd w:val="0"/>
                    <w:snapToGrid w:val="0"/>
                    <w:spacing w:before="0" w:beforeAutospacing="0" w:after="0" w:afterAutospacing="0" w:line="264" w:lineRule="auto"/>
                    <w:ind w:left="0" w:right="0"/>
                    <w:jc w:val="center"/>
                    <w:rPr>
                      <w:rFonts w:hint="eastAsia" w:ascii="Times New Roman" w:hAnsi="Times New Roman" w:eastAsia="宋体" w:cs="Times New Roman"/>
                      <w:snapToGrid w:val="0"/>
                      <w:kern w:val="0"/>
                      <w:sz w:val="21"/>
                      <w:szCs w:val="21"/>
                      <w:highlight w:val="none"/>
                      <w:lang w:val="en-US" w:eastAsia="zh-CN"/>
                    </w:rPr>
                  </w:pPr>
                  <w:r>
                    <w:rPr>
                      <w:rFonts w:hint="eastAsia" w:ascii="Times New Roman" w:hAnsi="Times New Roman" w:eastAsia="宋体" w:cs="Times New Roman"/>
                      <w:snapToGrid w:val="0"/>
                      <w:kern w:val="0"/>
                      <w:sz w:val="21"/>
                      <w:szCs w:val="21"/>
                      <w:highlight w:val="none"/>
                    </w:rPr>
                    <w:t>7647-01-0</w:t>
                  </w:r>
                </w:p>
              </w:tc>
              <w:tc>
                <w:tcPr>
                  <w:tcW w:w="1627" w:type="dxa"/>
                  <w:tcBorders>
                    <w:top w:val="single" w:color="auto" w:sz="4" w:space="0"/>
                    <w:left w:val="single" w:color="auto" w:sz="4" w:space="0"/>
                    <w:bottom w:val="single" w:color="auto" w:sz="4" w:space="0"/>
                    <w:right w:val="single" w:color="auto" w:sz="4" w:space="0"/>
                  </w:tcBorders>
                  <w:tcMar>
                    <w:top w:w="0" w:type="dxa"/>
                    <w:left w:w="85" w:type="dxa"/>
                    <w:bottom w:w="0" w:type="dxa"/>
                    <w:right w:w="85" w:type="dxa"/>
                  </w:tcMar>
                  <w:vAlign w:val="center"/>
                </w:tcPr>
                <w:p w14:paraId="4CF3CCA7">
                  <w:pPr>
                    <w:keepNext w:val="0"/>
                    <w:keepLines w:val="0"/>
                    <w:suppressLineNumbers w:val="0"/>
                    <w:spacing w:before="0" w:beforeAutospacing="0" w:after="0" w:afterAutospacing="0" w:line="276" w:lineRule="auto"/>
                    <w:ind w:left="0" w:right="0"/>
                    <w:jc w:val="center"/>
                    <w:rPr>
                      <w:rFonts w:hint="eastAsia" w:cs="Times New Roman"/>
                      <w:sz w:val="21"/>
                      <w:szCs w:val="21"/>
                      <w:highlight w:val="none"/>
                      <w:lang w:val="en-US" w:eastAsia="zh-CN"/>
                    </w:rPr>
                  </w:pPr>
                  <w:r>
                    <w:rPr>
                      <w:rFonts w:hint="eastAsia" w:ascii="Times New Roman" w:hAnsi="Times New Roman" w:eastAsia="宋体" w:cs="Times New Roman"/>
                      <w:sz w:val="21"/>
                      <w:szCs w:val="21"/>
                      <w:highlight w:val="none"/>
                      <w:lang w:val="en-US" w:eastAsia="zh-CN"/>
                    </w:rPr>
                    <w:t>0.059</w:t>
                  </w:r>
                </w:p>
              </w:tc>
              <w:tc>
                <w:tcPr>
                  <w:tcW w:w="1140" w:type="dxa"/>
                  <w:tcBorders>
                    <w:top w:val="single" w:color="auto" w:sz="4" w:space="0"/>
                    <w:left w:val="single" w:color="auto" w:sz="4" w:space="0"/>
                    <w:bottom w:val="single" w:color="auto" w:sz="4" w:space="0"/>
                    <w:right w:val="single" w:color="auto" w:sz="4" w:space="0"/>
                  </w:tcBorders>
                  <w:tcMar>
                    <w:top w:w="0" w:type="dxa"/>
                    <w:left w:w="85" w:type="dxa"/>
                    <w:bottom w:w="0" w:type="dxa"/>
                    <w:right w:w="85" w:type="dxa"/>
                  </w:tcMar>
                  <w:vAlign w:val="top"/>
                </w:tcPr>
                <w:p w14:paraId="518FD4D8">
                  <w:pPr>
                    <w:keepNext w:val="0"/>
                    <w:keepLines w:val="0"/>
                    <w:suppressLineNumbers w:val="0"/>
                    <w:spacing w:before="0" w:beforeAutospacing="0" w:after="0" w:afterAutospacing="0" w:line="276" w:lineRule="auto"/>
                    <w:ind w:left="0" w:right="0"/>
                    <w:jc w:val="center"/>
                    <w:rPr>
                      <w:rFonts w:hint="eastAsia" w:ascii="Times New Roman" w:hAnsi="Times New Roman" w:eastAsia="宋体" w:cs="Times New Roman"/>
                      <w:sz w:val="21"/>
                      <w:szCs w:val="21"/>
                      <w:highlight w:val="none"/>
                      <w:lang w:val="en-US" w:eastAsia="zh-CN"/>
                    </w:rPr>
                  </w:pPr>
                  <w:r>
                    <w:rPr>
                      <w:rFonts w:hint="eastAsia" w:ascii="Times New Roman" w:hAnsi="Times New Roman" w:eastAsia="宋体" w:cs="Times New Roman"/>
                      <w:sz w:val="21"/>
                      <w:szCs w:val="21"/>
                      <w:highlight w:val="none"/>
                      <w:lang w:val="en-US" w:eastAsia="zh-CN"/>
                    </w:rPr>
                    <w:t>0.0059</w:t>
                  </w:r>
                </w:p>
              </w:tc>
              <w:tc>
                <w:tcPr>
                  <w:tcW w:w="990" w:type="dxa"/>
                  <w:tcBorders>
                    <w:top w:val="single" w:color="auto" w:sz="4" w:space="0"/>
                    <w:left w:val="single" w:color="auto" w:sz="4" w:space="0"/>
                    <w:bottom w:val="single" w:color="auto" w:sz="4" w:space="0"/>
                    <w:right w:val="single" w:color="auto" w:sz="4" w:space="0"/>
                  </w:tcBorders>
                  <w:vAlign w:val="top"/>
                </w:tcPr>
                <w:p w14:paraId="49160096">
                  <w:pPr>
                    <w:keepNext w:val="0"/>
                    <w:keepLines w:val="0"/>
                    <w:suppressLineNumbers w:val="0"/>
                    <w:spacing w:before="0" w:beforeAutospacing="0" w:after="0" w:afterAutospacing="0" w:line="276" w:lineRule="auto"/>
                    <w:ind w:left="0" w:right="0"/>
                    <w:jc w:val="center"/>
                    <w:rPr>
                      <w:rFonts w:hint="eastAsia" w:ascii="Times New Roman" w:hAnsi="Times New Roman" w:eastAsia="宋体" w:cs="Times New Roman"/>
                      <w:sz w:val="21"/>
                      <w:szCs w:val="21"/>
                      <w:highlight w:val="none"/>
                      <w:lang w:val="en-US" w:eastAsia="zh-CN"/>
                    </w:rPr>
                  </w:pPr>
                  <w:r>
                    <w:rPr>
                      <w:rFonts w:hint="eastAsia" w:ascii="Times New Roman" w:hAnsi="Times New Roman" w:eastAsia="宋体" w:cs="Times New Roman"/>
                      <w:sz w:val="21"/>
                      <w:szCs w:val="21"/>
                      <w:highlight w:val="none"/>
                      <w:lang w:val="en-US" w:eastAsia="zh-CN"/>
                    </w:rPr>
                    <w:t>7.5</w:t>
                  </w:r>
                </w:p>
              </w:tc>
              <w:tc>
                <w:tcPr>
                  <w:tcW w:w="1082" w:type="dxa"/>
                  <w:tcBorders>
                    <w:top w:val="single" w:color="auto" w:sz="4" w:space="0"/>
                    <w:left w:val="single" w:color="auto" w:sz="4" w:space="0"/>
                    <w:bottom w:val="single" w:color="auto" w:sz="4" w:space="0"/>
                    <w:right w:val="single" w:color="auto" w:sz="4" w:space="0"/>
                  </w:tcBorders>
                  <w:vAlign w:val="center"/>
                </w:tcPr>
                <w:p w14:paraId="08F0654E">
                  <w:pPr>
                    <w:keepNext w:val="0"/>
                    <w:keepLines w:val="0"/>
                    <w:suppressLineNumbers w:val="0"/>
                    <w:spacing w:before="0" w:beforeAutospacing="0" w:after="0" w:afterAutospacing="0" w:line="276" w:lineRule="auto"/>
                    <w:ind w:left="0" w:right="0"/>
                    <w:jc w:val="center"/>
                    <w:rPr>
                      <w:rFonts w:hint="default" w:ascii="Times New Roman" w:hAnsi="Times New Roman" w:eastAsia="宋体" w:cs="Times New Roman"/>
                      <w:sz w:val="21"/>
                      <w:szCs w:val="21"/>
                      <w:highlight w:val="none"/>
                      <w:lang w:val="en-US" w:eastAsia="zh-CN"/>
                    </w:rPr>
                  </w:pPr>
                  <w:r>
                    <w:rPr>
                      <w:rFonts w:hint="eastAsia" w:ascii="Times New Roman" w:hAnsi="Times New Roman" w:eastAsia="宋体" w:cs="Times New Roman"/>
                      <w:sz w:val="21"/>
                      <w:szCs w:val="21"/>
                      <w:highlight w:val="none"/>
                      <w:lang w:val="en-US" w:eastAsia="zh-CN"/>
                    </w:rPr>
                    <w:t>0.000</w:t>
                  </w:r>
                  <w:r>
                    <w:rPr>
                      <w:rFonts w:hint="eastAsia" w:cs="Times New Roman"/>
                      <w:sz w:val="21"/>
                      <w:szCs w:val="21"/>
                      <w:highlight w:val="none"/>
                      <w:lang w:val="en-US" w:eastAsia="zh-CN"/>
                    </w:rPr>
                    <w:t>8</w:t>
                  </w:r>
                </w:p>
              </w:tc>
            </w:tr>
            <w:tr w14:paraId="21F9356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jc w:val="center"/>
              </w:trPr>
              <w:tc>
                <w:tcPr>
                  <w:tcW w:w="597" w:type="dxa"/>
                  <w:tcBorders>
                    <w:top w:val="single" w:color="auto" w:sz="4" w:space="0"/>
                    <w:left w:val="single" w:color="auto" w:sz="4" w:space="0"/>
                    <w:bottom w:val="single" w:color="auto" w:sz="4" w:space="0"/>
                    <w:right w:val="single" w:color="auto" w:sz="4" w:space="0"/>
                  </w:tcBorders>
                  <w:tcMar>
                    <w:top w:w="0" w:type="dxa"/>
                    <w:left w:w="85" w:type="dxa"/>
                    <w:bottom w:w="0" w:type="dxa"/>
                    <w:right w:w="85" w:type="dxa"/>
                  </w:tcMar>
                  <w:vAlign w:val="center"/>
                </w:tcPr>
                <w:p w14:paraId="35E2D129">
                  <w:pPr>
                    <w:keepNext w:val="0"/>
                    <w:keepLines w:val="0"/>
                    <w:suppressLineNumbers w:val="0"/>
                    <w:adjustRightInd w:val="0"/>
                    <w:snapToGrid w:val="0"/>
                    <w:spacing w:before="0" w:beforeAutospacing="0" w:after="0" w:afterAutospacing="0" w:line="264" w:lineRule="auto"/>
                    <w:ind w:left="0" w:right="0"/>
                    <w:jc w:val="center"/>
                    <w:rPr>
                      <w:rFonts w:hint="eastAsia" w:ascii="Times New Roman" w:hAnsi="Times New Roman" w:eastAsia="宋体" w:cs="Times New Roman"/>
                      <w:snapToGrid w:val="0"/>
                      <w:kern w:val="0"/>
                      <w:sz w:val="21"/>
                      <w:szCs w:val="21"/>
                      <w:highlight w:val="none"/>
                      <w:lang w:val="en-US" w:eastAsia="zh-CN"/>
                    </w:rPr>
                  </w:pPr>
                  <w:r>
                    <w:rPr>
                      <w:rFonts w:hint="eastAsia" w:cs="Times New Roman"/>
                      <w:snapToGrid w:val="0"/>
                      <w:kern w:val="0"/>
                      <w:sz w:val="21"/>
                      <w:szCs w:val="21"/>
                      <w:highlight w:val="none"/>
                      <w:lang w:val="en-US" w:eastAsia="zh-CN"/>
                    </w:rPr>
                    <w:t>8</w:t>
                  </w:r>
                </w:p>
              </w:tc>
              <w:tc>
                <w:tcPr>
                  <w:tcW w:w="1500" w:type="dxa"/>
                  <w:tcBorders>
                    <w:top w:val="single" w:color="auto" w:sz="4" w:space="0"/>
                    <w:left w:val="single" w:color="auto" w:sz="4" w:space="0"/>
                    <w:bottom w:val="single" w:color="auto" w:sz="4" w:space="0"/>
                    <w:right w:val="single" w:color="auto" w:sz="4" w:space="0"/>
                  </w:tcBorders>
                  <w:tcMar>
                    <w:top w:w="0" w:type="dxa"/>
                    <w:left w:w="85" w:type="dxa"/>
                    <w:bottom w:w="0" w:type="dxa"/>
                    <w:right w:w="85" w:type="dxa"/>
                  </w:tcMar>
                  <w:vAlign w:val="top"/>
                </w:tcPr>
                <w:p w14:paraId="6A027CCE">
                  <w:pPr>
                    <w:keepNext w:val="0"/>
                    <w:keepLines w:val="0"/>
                    <w:suppressLineNumbers w:val="0"/>
                    <w:adjustRightInd w:val="0"/>
                    <w:snapToGrid w:val="0"/>
                    <w:spacing w:before="0" w:beforeAutospacing="0" w:after="0" w:afterAutospacing="0" w:line="264" w:lineRule="auto"/>
                    <w:ind w:left="0" w:right="0"/>
                    <w:jc w:val="center"/>
                    <w:rPr>
                      <w:rFonts w:hint="eastAsia" w:ascii="Times New Roman" w:hAnsi="Times New Roman" w:eastAsia="宋体" w:cs="Times New Roman"/>
                      <w:snapToGrid w:val="0"/>
                      <w:kern w:val="0"/>
                      <w:sz w:val="21"/>
                      <w:szCs w:val="21"/>
                      <w:highlight w:val="none"/>
                      <w:lang w:val="en-US" w:eastAsia="zh-CN"/>
                    </w:rPr>
                  </w:pPr>
                  <w:r>
                    <w:rPr>
                      <w:rFonts w:hint="eastAsia" w:ascii="Times New Roman" w:hAnsi="Times New Roman" w:eastAsia="宋体" w:cs="Times New Roman"/>
                      <w:snapToGrid w:val="0"/>
                      <w:kern w:val="0"/>
                      <w:sz w:val="21"/>
                      <w:szCs w:val="21"/>
                      <w:highlight w:val="none"/>
                      <w:lang w:val="en-US" w:eastAsia="zh-CN"/>
                    </w:rPr>
                    <w:t>乙酸</w:t>
                  </w:r>
                </w:p>
              </w:tc>
              <w:tc>
                <w:tcPr>
                  <w:tcW w:w="1050" w:type="dxa"/>
                  <w:tcBorders>
                    <w:top w:val="single" w:color="auto" w:sz="4" w:space="0"/>
                    <w:left w:val="single" w:color="auto" w:sz="4" w:space="0"/>
                    <w:bottom w:val="single" w:color="auto" w:sz="4" w:space="0"/>
                    <w:right w:val="single" w:color="auto" w:sz="4" w:space="0"/>
                  </w:tcBorders>
                  <w:tcMar>
                    <w:top w:w="0" w:type="dxa"/>
                    <w:left w:w="85" w:type="dxa"/>
                    <w:bottom w:w="0" w:type="dxa"/>
                    <w:right w:w="85" w:type="dxa"/>
                  </w:tcMar>
                  <w:vAlign w:val="top"/>
                </w:tcPr>
                <w:p w14:paraId="11657641">
                  <w:pPr>
                    <w:keepNext w:val="0"/>
                    <w:keepLines w:val="0"/>
                    <w:suppressLineNumbers w:val="0"/>
                    <w:adjustRightInd w:val="0"/>
                    <w:snapToGrid w:val="0"/>
                    <w:spacing w:before="0" w:beforeAutospacing="0" w:after="0" w:afterAutospacing="0" w:line="264" w:lineRule="auto"/>
                    <w:ind w:left="0" w:right="0"/>
                    <w:jc w:val="center"/>
                    <w:rPr>
                      <w:rFonts w:hint="eastAsia" w:ascii="Times New Roman" w:hAnsi="Times New Roman" w:eastAsia="宋体" w:cs="Times New Roman"/>
                      <w:snapToGrid w:val="0"/>
                      <w:kern w:val="0"/>
                      <w:sz w:val="21"/>
                      <w:szCs w:val="21"/>
                      <w:highlight w:val="none"/>
                      <w:lang w:val="en-US" w:eastAsia="zh-CN"/>
                    </w:rPr>
                  </w:pPr>
                  <w:r>
                    <w:rPr>
                      <w:rFonts w:hint="eastAsia" w:ascii="Times New Roman" w:hAnsi="Times New Roman" w:eastAsia="宋体" w:cs="Times New Roman"/>
                      <w:snapToGrid w:val="0"/>
                      <w:kern w:val="0"/>
                      <w:sz w:val="21"/>
                      <w:szCs w:val="21"/>
                      <w:highlight w:val="none"/>
                    </w:rPr>
                    <w:t>64-19-7</w:t>
                  </w:r>
                </w:p>
              </w:tc>
              <w:tc>
                <w:tcPr>
                  <w:tcW w:w="1627" w:type="dxa"/>
                  <w:tcBorders>
                    <w:top w:val="single" w:color="auto" w:sz="4" w:space="0"/>
                    <w:left w:val="single" w:color="auto" w:sz="4" w:space="0"/>
                    <w:bottom w:val="single" w:color="auto" w:sz="4" w:space="0"/>
                    <w:right w:val="single" w:color="auto" w:sz="4" w:space="0"/>
                  </w:tcBorders>
                  <w:tcMar>
                    <w:top w:w="0" w:type="dxa"/>
                    <w:left w:w="85" w:type="dxa"/>
                    <w:bottom w:w="0" w:type="dxa"/>
                    <w:right w:w="85" w:type="dxa"/>
                  </w:tcMar>
                  <w:vAlign w:val="center"/>
                </w:tcPr>
                <w:p w14:paraId="2D26C892">
                  <w:pPr>
                    <w:keepNext w:val="0"/>
                    <w:keepLines w:val="0"/>
                    <w:suppressLineNumbers w:val="0"/>
                    <w:spacing w:before="0" w:beforeAutospacing="0" w:after="0" w:afterAutospacing="0" w:line="276" w:lineRule="auto"/>
                    <w:ind w:left="0" w:right="0"/>
                    <w:jc w:val="center"/>
                    <w:rPr>
                      <w:rFonts w:hint="default" w:cs="Times New Roman"/>
                      <w:sz w:val="21"/>
                      <w:szCs w:val="21"/>
                      <w:highlight w:val="none"/>
                      <w:lang w:val="en-US" w:eastAsia="zh-CN"/>
                    </w:rPr>
                  </w:pPr>
                  <w:r>
                    <w:rPr>
                      <w:rFonts w:hint="eastAsia" w:ascii="Times New Roman" w:hAnsi="Times New Roman" w:eastAsia="宋体" w:cs="Times New Roman"/>
                      <w:sz w:val="21"/>
                      <w:szCs w:val="21"/>
                      <w:highlight w:val="none"/>
                      <w:lang w:val="en-US" w:eastAsia="zh-CN"/>
                    </w:rPr>
                    <w:t>0.0</w:t>
                  </w:r>
                  <w:r>
                    <w:rPr>
                      <w:rFonts w:hint="eastAsia" w:cs="Times New Roman"/>
                      <w:sz w:val="21"/>
                      <w:szCs w:val="21"/>
                      <w:highlight w:val="none"/>
                      <w:lang w:val="en-US" w:eastAsia="zh-CN"/>
                    </w:rPr>
                    <w:t>021</w:t>
                  </w:r>
                </w:p>
              </w:tc>
              <w:tc>
                <w:tcPr>
                  <w:tcW w:w="1140" w:type="dxa"/>
                  <w:tcBorders>
                    <w:top w:val="single" w:color="auto" w:sz="4" w:space="0"/>
                    <w:left w:val="single" w:color="auto" w:sz="4" w:space="0"/>
                    <w:bottom w:val="single" w:color="auto" w:sz="4" w:space="0"/>
                    <w:right w:val="single" w:color="auto" w:sz="4" w:space="0"/>
                  </w:tcBorders>
                  <w:tcMar>
                    <w:top w:w="0" w:type="dxa"/>
                    <w:left w:w="85" w:type="dxa"/>
                    <w:bottom w:w="0" w:type="dxa"/>
                    <w:right w:w="85" w:type="dxa"/>
                  </w:tcMar>
                  <w:vAlign w:val="top"/>
                </w:tcPr>
                <w:p w14:paraId="13F86629">
                  <w:pPr>
                    <w:keepNext w:val="0"/>
                    <w:keepLines w:val="0"/>
                    <w:suppressLineNumbers w:val="0"/>
                    <w:spacing w:before="0" w:beforeAutospacing="0" w:after="0" w:afterAutospacing="0" w:line="276" w:lineRule="auto"/>
                    <w:ind w:left="0" w:right="0"/>
                    <w:jc w:val="center"/>
                    <w:rPr>
                      <w:rFonts w:hint="eastAsia" w:ascii="Times New Roman" w:hAnsi="Times New Roman" w:eastAsia="宋体" w:cs="Times New Roman"/>
                      <w:sz w:val="21"/>
                      <w:szCs w:val="21"/>
                      <w:highlight w:val="none"/>
                      <w:lang w:val="en-US" w:eastAsia="zh-CN"/>
                    </w:rPr>
                  </w:pPr>
                  <w:r>
                    <w:rPr>
                      <w:rFonts w:hint="eastAsia" w:ascii="Times New Roman" w:hAnsi="Times New Roman" w:eastAsia="宋体" w:cs="Times New Roman"/>
                      <w:sz w:val="21"/>
                      <w:szCs w:val="21"/>
                      <w:highlight w:val="none"/>
                      <w:lang w:val="en-US" w:eastAsia="zh-CN"/>
                    </w:rPr>
                    <w:t>0.0</w:t>
                  </w:r>
                  <w:r>
                    <w:rPr>
                      <w:rFonts w:hint="eastAsia" w:cs="Times New Roman"/>
                      <w:sz w:val="21"/>
                      <w:szCs w:val="21"/>
                      <w:highlight w:val="none"/>
                      <w:lang w:val="en-US" w:eastAsia="zh-CN"/>
                    </w:rPr>
                    <w:t>0</w:t>
                  </w:r>
                  <w:r>
                    <w:rPr>
                      <w:rFonts w:hint="eastAsia" w:ascii="Times New Roman" w:hAnsi="Times New Roman" w:eastAsia="宋体" w:cs="Times New Roman"/>
                      <w:sz w:val="21"/>
                      <w:szCs w:val="21"/>
                      <w:highlight w:val="none"/>
                      <w:lang w:val="en-US" w:eastAsia="zh-CN"/>
                    </w:rPr>
                    <w:t>53</w:t>
                  </w:r>
                </w:p>
              </w:tc>
              <w:tc>
                <w:tcPr>
                  <w:tcW w:w="990" w:type="dxa"/>
                  <w:tcBorders>
                    <w:top w:val="single" w:color="auto" w:sz="4" w:space="0"/>
                    <w:left w:val="single" w:color="auto" w:sz="4" w:space="0"/>
                    <w:bottom w:val="single" w:color="auto" w:sz="4" w:space="0"/>
                    <w:right w:val="single" w:color="auto" w:sz="4" w:space="0"/>
                  </w:tcBorders>
                  <w:vAlign w:val="top"/>
                </w:tcPr>
                <w:p w14:paraId="7123A5AD">
                  <w:pPr>
                    <w:keepNext w:val="0"/>
                    <w:keepLines w:val="0"/>
                    <w:suppressLineNumbers w:val="0"/>
                    <w:spacing w:before="0" w:beforeAutospacing="0" w:after="0" w:afterAutospacing="0" w:line="276" w:lineRule="auto"/>
                    <w:ind w:left="0" w:right="0"/>
                    <w:jc w:val="center"/>
                    <w:rPr>
                      <w:rFonts w:hint="eastAsia" w:ascii="Times New Roman" w:hAnsi="Times New Roman" w:eastAsia="宋体" w:cs="Times New Roman"/>
                      <w:sz w:val="21"/>
                      <w:szCs w:val="21"/>
                      <w:highlight w:val="none"/>
                      <w:lang w:val="en-US" w:eastAsia="zh-CN"/>
                    </w:rPr>
                  </w:pPr>
                  <w:r>
                    <w:rPr>
                      <w:rFonts w:hint="eastAsia" w:ascii="Times New Roman" w:hAnsi="Times New Roman" w:eastAsia="宋体" w:cs="Times New Roman"/>
                      <w:sz w:val="21"/>
                      <w:szCs w:val="21"/>
                      <w:highlight w:val="none"/>
                      <w:lang w:val="en-US" w:eastAsia="zh-CN"/>
                    </w:rPr>
                    <w:t>10</w:t>
                  </w:r>
                </w:p>
              </w:tc>
              <w:tc>
                <w:tcPr>
                  <w:tcW w:w="1082" w:type="dxa"/>
                  <w:tcBorders>
                    <w:top w:val="single" w:color="auto" w:sz="4" w:space="0"/>
                    <w:left w:val="single" w:color="auto" w:sz="4" w:space="0"/>
                    <w:bottom w:val="single" w:color="auto" w:sz="4" w:space="0"/>
                    <w:right w:val="single" w:color="auto" w:sz="4" w:space="0"/>
                  </w:tcBorders>
                  <w:vAlign w:val="center"/>
                </w:tcPr>
                <w:p w14:paraId="04653F14">
                  <w:pPr>
                    <w:keepNext w:val="0"/>
                    <w:keepLines w:val="0"/>
                    <w:suppressLineNumbers w:val="0"/>
                    <w:spacing w:before="0" w:beforeAutospacing="0" w:after="0" w:afterAutospacing="0" w:line="276" w:lineRule="auto"/>
                    <w:ind w:left="0" w:right="0"/>
                    <w:jc w:val="center"/>
                    <w:rPr>
                      <w:rFonts w:hint="eastAsia" w:ascii="Times New Roman" w:hAnsi="Times New Roman" w:eastAsia="宋体" w:cs="Times New Roman"/>
                      <w:sz w:val="21"/>
                      <w:szCs w:val="21"/>
                      <w:highlight w:val="none"/>
                      <w:lang w:val="en-US" w:eastAsia="zh-CN"/>
                    </w:rPr>
                  </w:pPr>
                  <w:r>
                    <w:rPr>
                      <w:rFonts w:hint="eastAsia" w:ascii="Times New Roman" w:hAnsi="Times New Roman" w:eastAsia="宋体" w:cs="Times New Roman"/>
                      <w:sz w:val="21"/>
                      <w:szCs w:val="21"/>
                      <w:highlight w:val="none"/>
                      <w:lang w:val="en-US" w:eastAsia="zh-CN"/>
                    </w:rPr>
                    <w:t>0.00053</w:t>
                  </w:r>
                </w:p>
              </w:tc>
            </w:tr>
            <w:tr w14:paraId="619D135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jc w:val="center"/>
              </w:trPr>
              <w:tc>
                <w:tcPr>
                  <w:tcW w:w="597" w:type="dxa"/>
                  <w:tcBorders>
                    <w:top w:val="single" w:color="auto" w:sz="4" w:space="0"/>
                    <w:left w:val="single" w:color="auto" w:sz="4" w:space="0"/>
                    <w:bottom w:val="single" w:color="auto" w:sz="4" w:space="0"/>
                    <w:right w:val="single" w:color="auto" w:sz="4" w:space="0"/>
                  </w:tcBorders>
                  <w:tcMar>
                    <w:top w:w="0" w:type="dxa"/>
                    <w:left w:w="85" w:type="dxa"/>
                    <w:bottom w:w="0" w:type="dxa"/>
                    <w:right w:w="85" w:type="dxa"/>
                  </w:tcMar>
                  <w:vAlign w:val="center"/>
                </w:tcPr>
                <w:p w14:paraId="5622A107">
                  <w:pPr>
                    <w:keepNext w:val="0"/>
                    <w:keepLines w:val="0"/>
                    <w:suppressLineNumbers w:val="0"/>
                    <w:adjustRightInd w:val="0"/>
                    <w:snapToGrid w:val="0"/>
                    <w:spacing w:before="0" w:beforeAutospacing="0" w:after="0" w:afterAutospacing="0" w:line="264" w:lineRule="auto"/>
                    <w:ind w:left="0" w:right="0"/>
                    <w:jc w:val="center"/>
                    <w:rPr>
                      <w:rFonts w:hint="eastAsia" w:ascii="Times New Roman" w:hAnsi="Times New Roman" w:eastAsia="宋体" w:cs="Times New Roman"/>
                      <w:snapToGrid w:val="0"/>
                      <w:kern w:val="0"/>
                      <w:sz w:val="21"/>
                      <w:szCs w:val="21"/>
                      <w:highlight w:val="none"/>
                      <w:lang w:val="en-US" w:eastAsia="zh-CN"/>
                    </w:rPr>
                  </w:pPr>
                  <w:r>
                    <w:rPr>
                      <w:rFonts w:hint="eastAsia" w:cs="Times New Roman"/>
                      <w:snapToGrid w:val="0"/>
                      <w:kern w:val="0"/>
                      <w:sz w:val="21"/>
                      <w:szCs w:val="21"/>
                      <w:highlight w:val="none"/>
                      <w:lang w:val="en-US" w:eastAsia="zh-CN"/>
                    </w:rPr>
                    <w:t>9</w:t>
                  </w:r>
                </w:p>
              </w:tc>
              <w:tc>
                <w:tcPr>
                  <w:tcW w:w="1500" w:type="dxa"/>
                  <w:tcBorders>
                    <w:top w:val="single" w:color="auto" w:sz="4" w:space="0"/>
                    <w:left w:val="single" w:color="auto" w:sz="4" w:space="0"/>
                    <w:bottom w:val="single" w:color="auto" w:sz="4" w:space="0"/>
                    <w:right w:val="single" w:color="auto" w:sz="4" w:space="0"/>
                  </w:tcBorders>
                  <w:tcMar>
                    <w:top w:w="0" w:type="dxa"/>
                    <w:left w:w="85" w:type="dxa"/>
                    <w:bottom w:w="0" w:type="dxa"/>
                    <w:right w:w="85" w:type="dxa"/>
                  </w:tcMar>
                  <w:vAlign w:val="top"/>
                </w:tcPr>
                <w:p w14:paraId="2851938A">
                  <w:pPr>
                    <w:keepNext w:val="0"/>
                    <w:keepLines w:val="0"/>
                    <w:suppressLineNumbers w:val="0"/>
                    <w:adjustRightInd w:val="0"/>
                    <w:snapToGrid w:val="0"/>
                    <w:spacing w:before="0" w:beforeAutospacing="0" w:after="0" w:afterAutospacing="0" w:line="264" w:lineRule="auto"/>
                    <w:ind w:left="0" w:right="0"/>
                    <w:jc w:val="center"/>
                    <w:rPr>
                      <w:rFonts w:hint="eastAsia" w:ascii="Times New Roman" w:hAnsi="Times New Roman" w:eastAsia="宋体" w:cs="Times New Roman"/>
                      <w:snapToGrid w:val="0"/>
                      <w:kern w:val="0"/>
                      <w:sz w:val="21"/>
                      <w:szCs w:val="21"/>
                      <w:highlight w:val="none"/>
                      <w:lang w:val="en-US" w:eastAsia="zh-CN"/>
                    </w:rPr>
                  </w:pPr>
                  <w:r>
                    <w:rPr>
                      <w:rFonts w:hint="eastAsia" w:ascii="Times New Roman" w:hAnsi="Times New Roman" w:eastAsia="宋体" w:cs="Times New Roman"/>
                      <w:snapToGrid w:val="0"/>
                      <w:kern w:val="0"/>
                      <w:sz w:val="21"/>
                      <w:szCs w:val="21"/>
                      <w:highlight w:val="none"/>
                      <w:lang w:val="en-US" w:eastAsia="zh-CN"/>
                    </w:rPr>
                    <w:t>乙腈</w:t>
                  </w:r>
                </w:p>
              </w:tc>
              <w:tc>
                <w:tcPr>
                  <w:tcW w:w="1050" w:type="dxa"/>
                  <w:tcBorders>
                    <w:top w:val="single" w:color="auto" w:sz="4" w:space="0"/>
                    <w:left w:val="single" w:color="auto" w:sz="4" w:space="0"/>
                    <w:bottom w:val="single" w:color="auto" w:sz="4" w:space="0"/>
                    <w:right w:val="single" w:color="auto" w:sz="4" w:space="0"/>
                  </w:tcBorders>
                  <w:tcMar>
                    <w:top w:w="0" w:type="dxa"/>
                    <w:left w:w="85" w:type="dxa"/>
                    <w:bottom w:w="0" w:type="dxa"/>
                    <w:right w:w="85" w:type="dxa"/>
                  </w:tcMar>
                  <w:vAlign w:val="top"/>
                </w:tcPr>
                <w:p w14:paraId="74B1CD8F">
                  <w:pPr>
                    <w:keepNext w:val="0"/>
                    <w:keepLines w:val="0"/>
                    <w:suppressLineNumbers w:val="0"/>
                    <w:adjustRightInd w:val="0"/>
                    <w:snapToGrid w:val="0"/>
                    <w:spacing w:before="0" w:beforeAutospacing="0" w:after="0" w:afterAutospacing="0" w:line="264" w:lineRule="auto"/>
                    <w:ind w:left="0" w:right="0"/>
                    <w:jc w:val="center"/>
                    <w:rPr>
                      <w:rFonts w:hint="eastAsia" w:ascii="Times New Roman" w:hAnsi="Times New Roman" w:eastAsia="宋体" w:cs="Times New Roman"/>
                      <w:snapToGrid w:val="0"/>
                      <w:kern w:val="0"/>
                      <w:sz w:val="21"/>
                      <w:szCs w:val="21"/>
                      <w:highlight w:val="none"/>
                      <w:lang w:val="en-US" w:eastAsia="zh-CN"/>
                    </w:rPr>
                  </w:pPr>
                  <w:r>
                    <w:rPr>
                      <w:rFonts w:hint="eastAsia" w:ascii="Times New Roman" w:hAnsi="Times New Roman" w:eastAsia="宋体" w:cs="Times New Roman"/>
                      <w:snapToGrid w:val="0"/>
                      <w:kern w:val="0"/>
                      <w:sz w:val="21"/>
                      <w:szCs w:val="21"/>
                      <w:highlight w:val="none"/>
                    </w:rPr>
                    <w:t>75-05-8</w:t>
                  </w:r>
                </w:p>
              </w:tc>
              <w:tc>
                <w:tcPr>
                  <w:tcW w:w="1627" w:type="dxa"/>
                  <w:tcBorders>
                    <w:top w:val="single" w:color="auto" w:sz="4" w:space="0"/>
                    <w:left w:val="single" w:color="auto" w:sz="4" w:space="0"/>
                    <w:bottom w:val="single" w:color="auto" w:sz="4" w:space="0"/>
                    <w:right w:val="single" w:color="auto" w:sz="4" w:space="0"/>
                  </w:tcBorders>
                  <w:tcMar>
                    <w:top w:w="0" w:type="dxa"/>
                    <w:left w:w="85" w:type="dxa"/>
                    <w:bottom w:w="0" w:type="dxa"/>
                    <w:right w:w="85" w:type="dxa"/>
                  </w:tcMar>
                  <w:vAlign w:val="center"/>
                </w:tcPr>
                <w:p w14:paraId="637193BC">
                  <w:pPr>
                    <w:keepNext w:val="0"/>
                    <w:keepLines w:val="0"/>
                    <w:suppressLineNumbers w:val="0"/>
                    <w:spacing w:before="0" w:beforeAutospacing="0" w:after="0" w:afterAutospacing="0" w:line="276" w:lineRule="auto"/>
                    <w:ind w:left="0" w:right="0"/>
                    <w:jc w:val="center"/>
                    <w:rPr>
                      <w:rFonts w:hint="default" w:cs="Times New Roman"/>
                      <w:sz w:val="21"/>
                      <w:szCs w:val="21"/>
                      <w:highlight w:val="none"/>
                      <w:lang w:val="en-US" w:eastAsia="zh-CN"/>
                    </w:rPr>
                  </w:pPr>
                  <w:r>
                    <w:rPr>
                      <w:rFonts w:hint="eastAsia" w:cs="Times New Roman"/>
                      <w:sz w:val="21"/>
                      <w:szCs w:val="21"/>
                      <w:highlight w:val="none"/>
                      <w:lang w:val="en-US" w:eastAsia="zh-CN"/>
                    </w:rPr>
                    <w:t>0.0008</w:t>
                  </w:r>
                </w:p>
              </w:tc>
              <w:tc>
                <w:tcPr>
                  <w:tcW w:w="1140" w:type="dxa"/>
                  <w:tcBorders>
                    <w:top w:val="single" w:color="auto" w:sz="4" w:space="0"/>
                    <w:left w:val="single" w:color="auto" w:sz="4" w:space="0"/>
                    <w:bottom w:val="single" w:color="auto" w:sz="4" w:space="0"/>
                    <w:right w:val="single" w:color="auto" w:sz="4" w:space="0"/>
                  </w:tcBorders>
                  <w:tcMar>
                    <w:top w:w="0" w:type="dxa"/>
                    <w:left w:w="85" w:type="dxa"/>
                    <w:bottom w:w="0" w:type="dxa"/>
                    <w:right w:w="85" w:type="dxa"/>
                  </w:tcMar>
                  <w:vAlign w:val="top"/>
                </w:tcPr>
                <w:p w14:paraId="4D4DB955">
                  <w:pPr>
                    <w:keepNext w:val="0"/>
                    <w:keepLines w:val="0"/>
                    <w:suppressLineNumbers w:val="0"/>
                    <w:spacing w:before="0" w:beforeAutospacing="0" w:after="0" w:afterAutospacing="0" w:line="276" w:lineRule="auto"/>
                    <w:ind w:left="0" w:right="0"/>
                    <w:jc w:val="center"/>
                    <w:rPr>
                      <w:rFonts w:hint="eastAsia" w:ascii="Times New Roman" w:hAnsi="Times New Roman" w:eastAsia="宋体" w:cs="Times New Roman"/>
                      <w:sz w:val="21"/>
                      <w:szCs w:val="21"/>
                      <w:highlight w:val="none"/>
                      <w:lang w:val="en-US" w:eastAsia="zh-CN"/>
                    </w:rPr>
                  </w:pPr>
                  <w:r>
                    <w:rPr>
                      <w:rFonts w:hint="eastAsia" w:ascii="Times New Roman" w:hAnsi="Times New Roman" w:eastAsia="宋体" w:cs="Times New Roman"/>
                      <w:sz w:val="21"/>
                      <w:szCs w:val="21"/>
                      <w:highlight w:val="none"/>
                      <w:lang w:val="en-US" w:eastAsia="zh-CN"/>
                    </w:rPr>
                    <w:t>0.0</w:t>
                  </w:r>
                  <w:r>
                    <w:rPr>
                      <w:rFonts w:hint="eastAsia" w:cs="Times New Roman"/>
                      <w:sz w:val="21"/>
                      <w:szCs w:val="21"/>
                      <w:highlight w:val="none"/>
                      <w:lang w:val="en-US" w:eastAsia="zh-CN"/>
                    </w:rPr>
                    <w:t>0</w:t>
                  </w:r>
                  <w:r>
                    <w:rPr>
                      <w:rFonts w:hint="eastAsia" w:ascii="Times New Roman" w:hAnsi="Times New Roman" w:eastAsia="宋体" w:cs="Times New Roman"/>
                      <w:sz w:val="21"/>
                      <w:szCs w:val="21"/>
                      <w:highlight w:val="none"/>
                      <w:lang w:val="en-US" w:eastAsia="zh-CN"/>
                    </w:rPr>
                    <w:t>2</w:t>
                  </w:r>
                </w:p>
              </w:tc>
              <w:tc>
                <w:tcPr>
                  <w:tcW w:w="990" w:type="dxa"/>
                  <w:tcBorders>
                    <w:top w:val="single" w:color="auto" w:sz="4" w:space="0"/>
                    <w:left w:val="single" w:color="auto" w:sz="4" w:space="0"/>
                    <w:bottom w:val="single" w:color="auto" w:sz="4" w:space="0"/>
                    <w:right w:val="single" w:color="auto" w:sz="4" w:space="0"/>
                  </w:tcBorders>
                  <w:vAlign w:val="top"/>
                </w:tcPr>
                <w:p w14:paraId="2713F878">
                  <w:pPr>
                    <w:keepNext w:val="0"/>
                    <w:keepLines w:val="0"/>
                    <w:suppressLineNumbers w:val="0"/>
                    <w:spacing w:before="0" w:beforeAutospacing="0" w:after="0" w:afterAutospacing="0" w:line="276" w:lineRule="auto"/>
                    <w:ind w:left="0" w:right="0"/>
                    <w:jc w:val="center"/>
                    <w:rPr>
                      <w:rFonts w:hint="eastAsia" w:ascii="Times New Roman" w:hAnsi="Times New Roman" w:eastAsia="宋体" w:cs="Times New Roman"/>
                      <w:sz w:val="21"/>
                      <w:szCs w:val="21"/>
                      <w:highlight w:val="none"/>
                      <w:lang w:val="en-US" w:eastAsia="zh-CN"/>
                    </w:rPr>
                  </w:pPr>
                  <w:r>
                    <w:rPr>
                      <w:rFonts w:hint="eastAsia" w:ascii="Times New Roman" w:hAnsi="Times New Roman" w:eastAsia="宋体" w:cs="Times New Roman"/>
                      <w:sz w:val="21"/>
                      <w:szCs w:val="21"/>
                      <w:highlight w:val="none"/>
                      <w:lang w:val="en-US" w:eastAsia="zh-CN"/>
                    </w:rPr>
                    <w:t>10</w:t>
                  </w:r>
                </w:p>
              </w:tc>
              <w:tc>
                <w:tcPr>
                  <w:tcW w:w="1082" w:type="dxa"/>
                  <w:tcBorders>
                    <w:top w:val="single" w:color="auto" w:sz="4" w:space="0"/>
                    <w:left w:val="single" w:color="auto" w:sz="4" w:space="0"/>
                    <w:bottom w:val="single" w:color="auto" w:sz="4" w:space="0"/>
                    <w:right w:val="single" w:color="auto" w:sz="4" w:space="0"/>
                  </w:tcBorders>
                  <w:vAlign w:val="center"/>
                </w:tcPr>
                <w:p w14:paraId="44759B69">
                  <w:pPr>
                    <w:keepNext w:val="0"/>
                    <w:keepLines w:val="0"/>
                    <w:suppressLineNumbers w:val="0"/>
                    <w:spacing w:before="0" w:beforeAutospacing="0" w:after="0" w:afterAutospacing="0" w:line="276" w:lineRule="auto"/>
                    <w:ind w:left="0" w:right="0"/>
                    <w:jc w:val="center"/>
                    <w:rPr>
                      <w:rFonts w:hint="eastAsia" w:ascii="Times New Roman" w:hAnsi="Times New Roman" w:eastAsia="宋体" w:cs="Times New Roman"/>
                      <w:sz w:val="21"/>
                      <w:szCs w:val="21"/>
                      <w:highlight w:val="none"/>
                      <w:lang w:val="en-US" w:eastAsia="zh-CN"/>
                    </w:rPr>
                  </w:pPr>
                  <w:r>
                    <w:rPr>
                      <w:rFonts w:hint="eastAsia" w:ascii="Times New Roman" w:hAnsi="Times New Roman" w:eastAsia="宋体" w:cs="Times New Roman"/>
                      <w:sz w:val="21"/>
                      <w:szCs w:val="21"/>
                      <w:highlight w:val="none"/>
                      <w:lang w:val="en-US" w:eastAsia="zh-CN"/>
                    </w:rPr>
                    <w:t>0.0002</w:t>
                  </w:r>
                </w:p>
              </w:tc>
            </w:tr>
            <w:tr w14:paraId="7200F1A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jc w:val="center"/>
              </w:trPr>
              <w:tc>
                <w:tcPr>
                  <w:tcW w:w="597" w:type="dxa"/>
                  <w:tcBorders>
                    <w:top w:val="single" w:color="auto" w:sz="4" w:space="0"/>
                    <w:left w:val="single" w:color="auto" w:sz="4" w:space="0"/>
                    <w:bottom w:val="single" w:color="auto" w:sz="4" w:space="0"/>
                    <w:right w:val="single" w:color="auto" w:sz="4" w:space="0"/>
                  </w:tcBorders>
                  <w:tcMar>
                    <w:top w:w="0" w:type="dxa"/>
                    <w:left w:w="85" w:type="dxa"/>
                    <w:bottom w:w="0" w:type="dxa"/>
                    <w:right w:w="85" w:type="dxa"/>
                  </w:tcMar>
                  <w:vAlign w:val="center"/>
                </w:tcPr>
                <w:p w14:paraId="1628C1AF">
                  <w:pPr>
                    <w:keepNext w:val="0"/>
                    <w:keepLines w:val="0"/>
                    <w:suppressLineNumbers w:val="0"/>
                    <w:adjustRightInd w:val="0"/>
                    <w:snapToGrid w:val="0"/>
                    <w:spacing w:before="0" w:beforeAutospacing="0" w:after="0" w:afterAutospacing="0" w:line="264" w:lineRule="auto"/>
                    <w:ind w:left="0" w:right="0"/>
                    <w:jc w:val="center"/>
                    <w:rPr>
                      <w:rFonts w:hint="default" w:ascii="Times New Roman" w:hAnsi="Times New Roman" w:eastAsia="宋体" w:cs="Times New Roman"/>
                      <w:snapToGrid w:val="0"/>
                      <w:kern w:val="0"/>
                      <w:sz w:val="21"/>
                      <w:szCs w:val="21"/>
                      <w:highlight w:val="none"/>
                      <w:lang w:val="en-US" w:eastAsia="zh-CN"/>
                    </w:rPr>
                  </w:pPr>
                  <w:r>
                    <w:rPr>
                      <w:rFonts w:hint="eastAsia" w:cs="Times New Roman"/>
                      <w:snapToGrid w:val="0"/>
                      <w:kern w:val="0"/>
                      <w:sz w:val="21"/>
                      <w:szCs w:val="21"/>
                      <w:highlight w:val="none"/>
                      <w:lang w:val="en-US" w:eastAsia="zh-CN"/>
                    </w:rPr>
                    <w:t>10</w:t>
                  </w:r>
                </w:p>
              </w:tc>
              <w:tc>
                <w:tcPr>
                  <w:tcW w:w="1500" w:type="dxa"/>
                  <w:tcBorders>
                    <w:top w:val="single" w:color="auto" w:sz="4" w:space="0"/>
                    <w:left w:val="single" w:color="auto" w:sz="4" w:space="0"/>
                    <w:bottom w:val="single" w:color="auto" w:sz="4" w:space="0"/>
                    <w:right w:val="single" w:color="auto" w:sz="4" w:space="0"/>
                  </w:tcBorders>
                  <w:tcMar>
                    <w:top w:w="0" w:type="dxa"/>
                    <w:left w:w="85" w:type="dxa"/>
                    <w:bottom w:w="0" w:type="dxa"/>
                    <w:right w:w="85" w:type="dxa"/>
                  </w:tcMar>
                  <w:vAlign w:val="top"/>
                </w:tcPr>
                <w:p w14:paraId="4C03CC5C">
                  <w:pPr>
                    <w:keepNext w:val="0"/>
                    <w:keepLines w:val="0"/>
                    <w:suppressLineNumbers w:val="0"/>
                    <w:adjustRightInd w:val="0"/>
                    <w:snapToGrid w:val="0"/>
                    <w:spacing w:before="0" w:beforeAutospacing="0" w:after="0" w:afterAutospacing="0" w:line="264" w:lineRule="auto"/>
                    <w:ind w:left="0" w:right="0"/>
                    <w:jc w:val="center"/>
                    <w:rPr>
                      <w:rFonts w:hint="eastAsia" w:ascii="Times New Roman" w:hAnsi="Times New Roman" w:eastAsia="宋体" w:cs="Times New Roman"/>
                      <w:snapToGrid w:val="0"/>
                      <w:kern w:val="0"/>
                      <w:sz w:val="21"/>
                      <w:szCs w:val="21"/>
                      <w:highlight w:val="none"/>
                      <w:lang w:val="en-US" w:eastAsia="zh-CN"/>
                    </w:rPr>
                  </w:pPr>
                  <w:r>
                    <w:rPr>
                      <w:rFonts w:hint="eastAsia" w:ascii="Times New Roman" w:hAnsi="Times New Roman" w:eastAsia="宋体" w:cs="Times New Roman"/>
                      <w:snapToGrid w:val="0"/>
                      <w:kern w:val="0"/>
                      <w:sz w:val="21"/>
                      <w:szCs w:val="21"/>
                      <w:highlight w:val="none"/>
                      <w:lang w:val="en-US" w:eastAsia="zh-CN"/>
                    </w:rPr>
                    <w:t>硫酸</w:t>
                  </w:r>
                </w:p>
              </w:tc>
              <w:tc>
                <w:tcPr>
                  <w:tcW w:w="1050" w:type="dxa"/>
                  <w:tcBorders>
                    <w:top w:val="single" w:color="auto" w:sz="4" w:space="0"/>
                    <w:left w:val="single" w:color="auto" w:sz="4" w:space="0"/>
                    <w:bottom w:val="single" w:color="auto" w:sz="4" w:space="0"/>
                    <w:right w:val="single" w:color="auto" w:sz="4" w:space="0"/>
                  </w:tcBorders>
                  <w:tcMar>
                    <w:top w:w="0" w:type="dxa"/>
                    <w:left w:w="85" w:type="dxa"/>
                    <w:bottom w:w="0" w:type="dxa"/>
                    <w:right w:w="85" w:type="dxa"/>
                  </w:tcMar>
                  <w:vAlign w:val="top"/>
                </w:tcPr>
                <w:p w14:paraId="7DF67751">
                  <w:pPr>
                    <w:keepNext w:val="0"/>
                    <w:keepLines w:val="0"/>
                    <w:suppressLineNumbers w:val="0"/>
                    <w:adjustRightInd w:val="0"/>
                    <w:snapToGrid w:val="0"/>
                    <w:spacing w:before="0" w:beforeAutospacing="0" w:after="0" w:afterAutospacing="0" w:line="264" w:lineRule="auto"/>
                    <w:ind w:left="0" w:right="0"/>
                    <w:jc w:val="center"/>
                    <w:rPr>
                      <w:rFonts w:hint="eastAsia" w:ascii="Times New Roman" w:hAnsi="Times New Roman" w:eastAsia="宋体" w:cs="Times New Roman"/>
                      <w:snapToGrid w:val="0"/>
                      <w:kern w:val="0"/>
                      <w:sz w:val="21"/>
                      <w:szCs w:val="21"/>
                      <w:highlight w:val="none"/>
                      <w:lang w:val="en-US" w:eastAsia="zh-CN"/>
                    </w:rPr>
                  </w:pPr>
                  <w:r>
                    <w:rPr>
                      <w:rFonts w:hint="eastAsia" w:ascii="Times New Roman" w:hAnsi="Times New Roman" w:eastAsia="宋体" w:cs="Times New Roman"/>
                      <w:snapToGrid w:val="0"/>
                      <w:kern w:val="0"/>
                      <w:sz w:val="21"/>
                      <w:szCs w:val="21"/>
                      <w:highlight w:val="none"/>
                    </w:rPr>
                    <w:t>7664-93-9</w:t>
                  </w:r>
                </w:p>
              </w:tc>
              <w:tc>
                <w:tcPr>
                  <w:tcW w:w="1627" w:type="dxa"/>
                  <w:tcBorders>
                    <w:top w:val="single" w:color="auto" w:sz="4" w:space="0"/>
                    <w:left w:val="single" w:color="auto" w:sz="4" w:space="0"/>
                    <w:bottom w:val="single" w:color="auto" w:sz="4" w:space="0"/>
                    <w:right w:val="single" w:color="auto" w:sz="4" w:space="0"/>
                  </w:tcBorders>
                  <w:tcMar>
                    <w:top w:w="0" w:type="dxa"/>
                    <w:left w:w="85" w:type="dxa"/>
                    <w:bottom w:w="0" w:type="dxa"/>
                    <w:right w:w="85" w:type="dxa"/>
                  </w:tcMar>
                  <w:vAlign w:val="center"/>
                </w:tcPr>
                <w:p w14:paraId="1259AC18">
                  <w:pPr>
                    <w:keepNext w:val="0"/>
                    <w:keepLines w:val="0"/>
                    <w:suppressLineNumbers w:val="0"/>
                    <w:spacing w:before="0" w:beforeAutospacing="0" w:after="0" w:afterAutospacing="0" w:line="276" w:lineRule="auto"/>
                    <w:ind w:left="0" w:right="0"/>
                    <w:jc w:val="center"/>
                    <w:rPr>
                      <w:rFonts w:hint="eastAsia" w:cs="Times New Roman"/>
                      <w:sz w:val="21"/>
                      <w:szCs w:val="21"/>
                      <w:highlight w:val="none"/>
                      <w:lang w:val="en-US" w:eastAsia="zh-CN"/>
                    </w:rPr>
                  </w:pPr>
                  <w:r>
                    <w:rPr>
                      <w:rFonts w:hint="eastAsia" w:ascii="Times New Roman" w:hAnsi="Times New Roman" w:eastAsia="宋体" w:cs="Times New Roman"/>
                      <w:sz w:val="21"/>
                      <w:szCs w:val="21"/>
                      <w:highlight w:val="none"/>
                      <w:lang w:val="en-US" w:eastAsia="zh-CN"/>
                    </w:rPr>
                    <w:t>0.092</w:t>
                  </w:r>
                </w:p>
              </w:tc>
              <w:tc>
                <w:tcPr>
                  <w:tcW w:w="1140" w:type="dxa"/>
                  <w:tcBorders>
                    <w:top w:val="single" w:color="auto" w:sz="4" w:space="0"/>
                    <w:left w:val="single" w:color="auto" w:sz="4" w:space="0"/>
                    <w:bottom w:val="single" w:color="auto" w:sz="4" w:space="0"/>
                    <w:right w:val="single" w:color="auto" w:sz="4" w:space="0"/>
                  </w:tcBorders>
                  <w:tcMar>
                    <w:top w:w="0" w:type="dxa"/>
                    <w:left w:w="85" w:type="dxa"/>
                    <w:bottom w:w="0" w:type="dxa"/>
                    <w:right w:w="85" w:type="dxa"/>
                  </w:tcMar>
                  <w:vAlign w:val="top"/>
                </w:tcPr>
                <w:p w14:paraId="6678CD9A">
                  <w:pPr>
                    <w:keepNext w:val="0"/>
                    <w:keepLines w:val="0"/>
                    <w:suppressLineNumbers w:val="0"/>
                    <w:spacing w:before="0" w:beforeAutospacing="0" w:after="0" w:afterAutospacing="0" w:line="276" w:lineRule="auto"/>
                    <w:ind w:left="0" w:right="0"/>
                    <w:jc w:val="center"/>
                    <w:rPr>
                      <w:rFonts w:hint="eastAsia" w:ascii="Times New Roman" w:hAnsi="Times New Roman" w:eastAsia="宋体" w:cs="Times New Roman"/>
                      <w:sz w:val="21"/>
                      <w:szCs w:val="21"/>
                      <w:highlight w:val="none"/>
                      <w:lang w:val="en-US" w:eastAsia="zh-CN"/>
                    </w:rPr>
                  </w:pPr>
                  <w:r>
                    <w:rPr>
                      <w:rFonts w:hint="eastAsia" w:ascii="Times New Roman" w:hAnsi="Times New Roman" w:eastAsia="宋体" w:cs="Times New Roman"/>
                      <w:sz w:val="21"/>
                      <w:szCs w:val="21"/>
                      <w:highlight w:val="none"/>
                      <w:lang w:val="en-US" w:eastAsia="zh-CN"/>
                    </w:rPr>
                    <w:t>0.0</w:t>
                  </w:r>
                  <w:r>
                    <w:rPr>
                      <w:rFonts w:hint="eastAsia" w:cs="Times New Roman"/>
                      <w:sz w:val="21"/>
                      <w:szCs w:val="21"/>
                      <w:highlight w:val="none"/>
                      <w:lang w:val="en-US" w:eastAsia="zh-CN"/>
                    </w:rPr>
                    <w:t>0</w:t>
                  </w:r>
                  <w:r>
                    <w:rPr>
                      <w:rFonts w:hint="eastAsia" w:ascii="Times New Roman" w:hAnsi="Times New Roman" w:eastAsia="宋体" w:cs="Times New Roman"/>
                      <w:sz w:val="21"/>
                      <w:szCs w:val="21"/>
                      <w:highlight w:val="none"/>
                      <w:lang w:val="en-US" w:eastAsia="zh-CN"/>
                    </w:rPr>
                    <w:t>92</w:t>
                  </w:r>
                </w:p>
              </w:tc>
              <w:tc>
                <w:tcPr>
                  <w:tcW w:w="990" w:type="dxa"/>
                  <w:tcBorders>
                    <w:top w:val="single" w:color="auto" w:sz="4" w:space="0"/>
                    <w:left w:val="single" w:color="auto" w:sz="4" w:space="0"/>
                    <w:bottom w:val="single" w:color="auto" w:sz="4" w:space="0"/>
                    <w:right w:val="single" w:color="auto" w:sz="4" w:space="0"/>
                  </w:tcBorders>
                  <w:vAlign w:val="top"/>
                </w:tcPr>
                <w:p w14:paraId="3A3FAC87">
                  <w:pPr>
                    <w:keepNext w:val="0"/>
                    <w:keepLines w:val="0"/>
                    <w:suppressLineNumbers w:val="0"/>
                    <w:spacing w:before="0" w:beforeAutospacing="0" w:after="0" w:afterAutospacing="0" w:line="276" w:lineRule="auto"/>
                    <w:ind w:left="0" w:right="0"/>
                    <w:jc w:val="center"/>
                    <w:rPr>
                      <w:rFonts w:hint="eastAsia" w:ascii="Times New Roman" w:hAnsi="Times New Roman" w:eastAsia="宋体" w:cs="Times New Roman"/>
                      <w:sz w:val="21"/>
                      <w:szCs w:val="21"/>
                      <w:highlight w:val="none"/>
                      <w:lang w:val="en-US" w:eastAsia="zh-CN"/>
                    </w:rPr>
                  </w:pPr>
                  <w:r>
                    <w:rPr>
                      <w:rFonts w:hint="eastAsia" w:ascii="Times New Roman" w:hAnsi="Times New Roman" w:eastAsia="宋体" w:cs="Times New Roman"/>
                      <w:sz w:val="21"/>
                      <w:szCs w:val="21"/>
                      <w:highlight w:val="none"/>
                      <w:lang w:val="en-US" w:eastAsia="zh-CN"/>
                    </w:rPr>
                    <w:t>10</w:t>
                  </w:r>
                </w:p>
              </w:tc>
              <w:tc>
                <w:tcPr>
                  <w:tcW w:w="1082" w:type="dxa"/>
                  <w:tcBorders>
                    <w:top w:val="single" w:color="auto" w:sz="4" w:space="0"/>
                    <w:left w:val="single" w:color="auto" w:sz="4" w:space="0"/>
                    <w:bottom w:val="single" w:color="auto" w:sz="4" w:space="0"/>
                    <w:right w:val="single" w:color="auto" w:sz="4" w:space="0"/>
                  </w:tcBorders>
                  <w:vAlign w:val="center"/>
                </w:tcPr>
                <w:p w14:paraId="1F35933E">
                  <w:pPr>
                    <w:keepNext w:val="0"/>
                    <w:keepLines w:val="0"/>
                    <w:suppressLineNumbers w:val="0"/>
                    <w:spacing w:before="0" w:beforeAutospacing="0" w:after="0" w:afterAutospacing="0" w:line="276" w:lineRule="auto"/>
                    <w:ind w:left="0" w:right="0"/>
                    <w:jc w:val="center"/>
                    <w:rPr>
                      <w:rFonts w:hint="eastAsia" w:ascii="Times New Roman" w:hAnsi="Times New Roman" w:eastAsia="宋体" w:cs="Times New Roman"/>
                      <w:sz w:val="21"/>
                      <w:szCs w:val="21"/>
                      <w:highlight w:val="none"/>
                      <w:lang w:val="en-US" w:eastAsia="zh-CN"/>
                    </w:rPr>
                  </w:pPr>
                  <w:r>
                    <w:rPr>
                      <w:rFonts w:hint="eastAsia" w:ascii="Times New Roman" w:hAnsi="Times New Roman" w:eastAsia="宋体" w:cs="Times New Roman"/>
                      <w:sz w:val="21"/>
                      <w:szCs w:val="21"/>
                      <w:highlight w:val="none"/>
                      <w:lang w:val="en-US" w:eastAsia="zh-CN"/>
                    </w:rPr>
                    <w:t>0.00092</w:t>
                  </w:r>
                </w:p>
              </w:tc>
            </w:tr>
            <w:tr w14:paraId="3704E83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jc w:val="center"/>
              </w:trPr>
              <w:tc>
                <w:tcPr>
                  <w:tcW w:w="597" w:type="dxa"/>
                  <w:tcBorders>
                    <w:top w:val="single" w:color="auto" w:sz="4" w:space="0"/>
                    <w:left w:val="single" w:color="auto" w:sz="4" w:space="0"/>
                    <w:bottom w:val="single" w:color="auto" w:sz="4" w:space="0"/>
                    <w:right w:val="single" w:color="auto" w:sz="4" w:space="0"/>
                  </w:tcBorders>
                  <w:tcMar>
                    <w:top w:w="0" w:type="dxa"/>
                    <w:left w:w="85" w:type="dxa"/>
                    <w:bottom w:w="0" w:type="dxa"/>
                    <w:right w:w="85" w:type="dxa"/>
                  </w:tcMar>
                  <w:vAlign w:val="center"/>
                </w:tcPr>
                <w:p w14:paraId="67F06579">
                  <w:pPr>
                    <w:keepNext w:val="0"/>
                    <w:keepLines w:val="0"/>
                    <w:suppressLineNumbers w:val="0"/>
                    <w:adjustRightInd w:val="0"/>
                    <w:snapToGrid w:val="0"/>
                    <w:spacing w:before="0" w:beforeAutospacing="0" w:after="0" w:afterAutospacing="0" w:line="264" w:lineRule="auto"/>
                    <w:ind w:left="0" w:right="0"/>
                    <w:jc w:val="center"/>
                    <w:rPr>
                      <w:rFonts w:hint="default" w:ascii="Times New Roman" w:hAnsi="Times New Roman" w:eastAsia="宋体" w:cs="Times New Roman"/>
                      <w:snapToGrid w:val="0"/>
                      <w:kern w:val="0"/>
                      <w:sz w:val="21"/>
                      <w:szCs w:val="21"/>
                      <w:highlight w:val="none"/>
                      <w:lang w:val="en-US" w:eastAsia="zh-CN"/>
                    </w:rPr>
                  </w:pPr>
                  <w:r>
                    <w:rPr>
                      <w:rFonts w:hint="eastAsia" w:cs="Times New Roman"/>
                      <w:snapToGrid w:val="0"/>
                      <w:kern w:val="0"/>
                      <w:sz w:val="21"/>
                      <w:szCs w:val="21"/>
                      <w:highlight w:val="none"/>
                      <w:lang w:val="en-US" w:eastAsia="zh-CN"/>
                    </w:rPr>
                    <w:t>11</w:t>
                  </w:r>
                </w:p>
              </w:tc>
              <w:tc>
                <w:tcPr>
                  <w:tcW w:w="1500" w:type="dxa"/>
                  <w:tcBorders>
                    <w:top w:val="single" w:color="auto" w:sz="4" w:space="0"/>
                    <w:left w:val="single" w:color="auto" w:sz="4" w:space="0"/>
                    <w:bottom w:val="single" w:color="auto" w:sz="4" w:space="0"/>
                    <w:right w:val="single" w:color="auto" w:sz="4" w:space="0"/>
                  </w:tcBorders>
                  <w:tcMar>
                    <w:top w:w="0" w:type="dxa"/>
                    <w:left w:w="85" w:type="dxa"/>
                    <w:bottom w:w="0" w:type="dxa"/>
                    <w:right w:w="85" w:type="dxa"/>
                  </w:tcMar>
                  <w:vAlign w:val="top"/>
                </w:tcPr>
                <w:p w14:paraId="380901B8">
                  <w:pPr>
                    <w:keepNext w:val="0"/>
                    <w:keepLines w:val="0"/>
                    <w:suppressLineNumbers w:val="0"/>
                    <w:adjustRightInd w:val="0"/>
                    <w:snapToGrid w:val="0"/>
                    <w:spacing w:before="0" w:beforeAutospacing="0" w:after="0" w:afterAutospacing="0" w:line="264" w:lineRule="auto"/>
                    <w:ind w:left="0" w:right="0"/>
                    <w:jc w:val="center"/>
                    <w:rPr>
                      <w:rFonts w:hint="eastAsia" w:ascii="Times New Roman" w:hAnsi="Times New Roman" w:eastAsia="宋体" w:cs="Times New Roman"/>
                      <w:snapToGrid w:val="0"/>
                      <w:kern w:val="0"/>
                      <w:sz w:val="21"/>
                      <w:szCs w:val="21"/>
                      <w:highlight w:val="none"/>
                      <w:lang w:val="en-US" w:eastAsia="zh-CN"/>
                    </w:rPr>
                  </w:pPr>
                  <w:r>
                    <w:rPr>
                      <w:rFonts w:hint="eastAsia" w:ascii="Times New Roman" w:hAnsi="Times New Roman" w:eastAsia="宋体" w:cs="Times New Roman"/>
                      <w:snapToGrid w:val="0"/>
                      <w:kern w:val="0"/>
                      <w:sz w:val="21"/>
                      <w:szCs w:val="21"/>
                      <w:highlight w:val="none"/>
                      <w:lang w:val="en-US" w:eastAsia="zh-CN"/>
                    </w:rPr>
                    <w:t>无水乙醇</w:t>
                  </w:r>
                </w:p>
              </w:tc>
              <w:tc>
                <w:tcPr>
                  <w:tcW w:w="1050" w:type="dxa"/>
                  <w:tcBorders>
                    <w:top w:val="single" w:color="auto" w:sz="4" w:space="0"/>
                    <w:left w:val="single" w:color="auto" w:sz="4" w:space="0"/>
                    <w:bottom w:val="single" w:color="auto" w:sz="4" w:space="0"/>
                    <w:right w:val="single" w:color="auto" w:sz="4" w:space="0"/>
                  </w:tcBorders>
                  <w:tcMar>
                    <w:top w:w="0" w:type="dxa"/>
                    <w:left w:w="85" w:type="dxa"/>
                    <w:bottom w:w="0" w:type="dxa"/>
                    <w:right w:w="85" w:type="dxa"/>
                  </w:tcMar>
                  <w:vAlign w:val="top"/>
                </w:tcPr>
                <w:p w14:paraId="6D24901F">
                  <w:pPr>
                    <w:keepNext w:val="0"/>
                    <w:keepLines w:val="0"/>
                    <w:suppressLineNumbers w:val="0"/>
                    <w:adjustRightInd w:val="0"/>
                    <w:snapToGrid w:val="0"/>
                    <w:spacing w:before="0" w:beforeAutospacing="0" w:after="0" w:afterAutospacing="0" w:line="264" w:lineRule="auto"/>
                    <w:ind w:left="0" w:right="0"/>
                    <w:jc w:val="center"/>
                    <w:rPr>
                      <w:rFonts w:hint="eastAsia" w:ascii="Times New Roman" w:hAnsi="Times New Roman" w:eastAsia="宋体" w:cs="Times New Roman"/>
                      <w:snapToGrid w:val="0"/>
                      <w:kern w:val="0"/>
                      <w:sz w:val="21"/>
                      <w:szCs w:val="21"/>
                      <w:highlight w:val="none"/>
                      <w:lang w:val="en-US" w:eastAsia="zh-CN"/>
                    </w:rPr>
                  </w:pPr>
                  <w:r>
                    <w:rPr>
                      <w:rFonts w:hint="eastAsia" w:ascii="Times New Roman" w:hAnsi="Times New Roman" w:eastAsia="宋体" w:cs="Times New Roman"/>
                      <w:snapToGrid w:val="0"/>
                      <w:kern w:val="0"/>
                      <w:sz w:val="21"/>
                      <w:szCs w:val="21"/>
                      <w:highlight w:val="none"/>
                    </w:rPr>
                    <w:t>64-17-5</w:t>
                  </w:r>
                </w:p>
              </w:tc>
              <w:tc>
                <w:tcPr>
                  <w:tcW w:w="1627" w:type="dxa"/>
                  <w:tcBorders>
                    <w:top w:val="single" w:color="auto" w:sz="4" w:space="0"/>
                    <w:left w:val="single" w:color="auto" w:sz="4" w:space="0"/>
                    <w:bottom w:val="single" w:color="auto" w:sz="4" w:space="0"/>
                    <w:right w:val="single" w:color="auto" w:sz="4" w:space="0"/>
                  </w:tcBorders>
                  <w:tcMar>
                    <w:top w:w="0" w:type="dxa"/>
                    <w:left w:w="85" w:type="dxa"/>
                    <w:bottom w:w="0" w:type="dxa"/>
                    <w:right w:w="85" w:type="dxa"/>
                  </w:tcMar>
                  <w:vAlign w:val="center"/>
                </w:tcPr>
                <w:p w14:paraId="65D03CA9">
                  <w:pPr>
                    <w:keepNext w:val="0"/>
                    <w:keepLines w:val="0"/>
                    <w:suppressLineNumbers w:val="0"/>
                    <w:spacing w:before="0" w:beforeAutospacing="0" w:after="0" w:afterAutospacing="0" w:line="276" w:lineRule="auto"/>
                    <w:ind w:left="0" w:right="0"/>
                    <w:jc w:val="center"/>
                    <w:rPr>
                      <w:rFonts w:hint="eastAsia" w:cs="Times New Roman"/>
                      <w:sz w:val="21"/>
                      <w:szCs w:val="21"/>
                      <w:highlight w:val="none"/>
                      <w:lang w:val="en-US" w:eastAsia="zh-CN"/>
                    </w:rPr>
                  </w:pPr>
                  <w:r>
                    <w:rPr>
                      <w:rFonts w:hint="eastAsia" w:ascii="Times New Roman" w:hAnsi="Times New Roman" w:eastAsia="宋体" w:cs="Times New Roman"/>
                      <w:sz w:val="21"/>
                      <w:szCs w:val="21"/>
                      <w:highlight w:val="none"/>
                      <w:lang w:val="en-US" w:eastAsia="zh-CN"/>
                    </w:rPr>
                    <w:t>3</w:t>
                  </w:r>
                  <w:r>
                    <w:rPr>
                      <w:rFonts w:hint="eastAsia" w:cs="Times New Roman"/>
                      <w:sz w:val="21"/>
                      <w:szCs w:val="21"/>
                      <w:highlight w:val="none"/>
                      <w:lang w:val="en-US" w:eastAsia="zh-CN"/>
                    </w:rPr>
                    <w:t>.</w:t>
                  </w:r>
                  <w:r>
                    <w:rPr>
                      <w:rFonts w:hint="eastAsia" w:ascii="Times New Roman" w:hAnsi="Times New Roman" w:eastAsia="宋体" w:cs="Times New Roman"/>
                      <w:sz w:val="21"/>
                      <w:szCs w:val="21"/>
                      <w:highlight w:val="none"/>
                      <w:lang w:val="en-US" w:eastAsia="zh-CN"/>
                    </w:rPr>
                    <w:t>16</w:t>
                  </w:r>
                </w:p>
              </w:tc>
              <w:tc>
                <w:tcPr>
                  <w:tcW w:w="1140" w:type="dxa"/>
                  <w:tcBorders>
                    <w:top w:val="single" w:color="auto" w:sz="4" w:space="0"/>
                    <w:left w:val="single" w:color="auto" w:sz="4" w:space="0"/>
                    <w:bottom w:val="single" w:color="auto" w:sz="4" w:space="0"/>
                    <w:right w:val="single" w:color="auto" w:sz="4" w:space="0"/>
                  </w:tcBorders>
                  <w:tcMar>
                    <w:top w:w="0" w:type="dxa"/>
                    <w:left w:w="85" w:type="dxa"/>
                    <w:bottom w:w="0" w:type="dxa"/>
                    <w:right w:w="85" w:type="dxa"/>
                  </w:tcMar>
                  <w:vAlign w:val="top"/>
                </w:tcPr>
                <w:p w14:paraId="1FC107C7">
                  <w:pPr>
                    <w:keepNext w:val="0"/>
                    <w:keepLines w:val="0"/>
                    <w:suppressLineNumbers w:val="0"/>
                    <w:spacing w:before="0" w:beforeAutospacing="0" w:after="0" w:afterAutospacing="0" w:line="276" w:lineRule="auto"/>
                    <w:ind w:left="0" w:right="0"/>
                    <w:jc w:val="center"/>
                    <w:rPr>
                      <w:rFonts w:hint="eastAsia" w:ascii="Times New Roman" w:hAnsi="Times New Roman" w:eastAsia="宋体" w:cs="Times New Roman"/>
                      <w:sz w:val="21"/>
                      <w:szCs w:val="21"/>
                      <w:highlight w:val="none"/>
                      <w:lang w:val="en-US" w:eastAsia="zh-CN"/>
                    </w:rPr>
                  </w:pPr>
                  <w:r>
                    <w:rPr>
                      <w:rFonts w:hint="eastAsia" w:cs="Times New Roman"/>
                      <w:sz w:val="21"/>
                      <w:szCs w:val="21"/>
                      <w:highlight w:val="none"/>
                      <w:lang w:val="en-US" w:eastAsia="zh-CN"/>
                    </w:rPr>
                    <w:t>0.</w:t>
                  </w:r>
                  <w:r>
                    <w:rPr>
                      <w:rFonts w:hint="eastAsia" w:ascii="Times New Roman" w:hAnsi="Times New Roman" w:eastAsia="宋体" w:cs="Times New Roman"/>
                      <w:sz w:val="21"/>
                      <w:szCs w:val="21"/>
                      <w:highlight w:val="none"/>
                      <w:lang w:val="en-US" w:eastAsia="zh-CN"/>
                    </w:rPr>
                    <w:t>316</w:t>
                  </w:r>
                </w:p>
              </w:tc>
              <w:tc>
                <w:tcPr>
                  <w:tcW w:w="990" w:type="dxa"/>
                  <w:tcBorders>
                    <w:top w:val="single" w:color="auto" w:sz="4" w:space="0"/>
                    <w:left w:val="single" w:color="auto" w:sz="4" w:space="0"/>
                    <w:bottom w:val="single" w:color="auto" w:sz="4" w:space="0"/>
                    <w:right w:val="single" w:color="auto" w:sz="4" w:space="0"/>
                  </w:tcBorders>
                  <w:vAlign w:val="top"/>
                </w:tcPr>
                <w:p w14:paraId="0C4CDAF6">
                  <w:pPr>
                    <w:keepNext w:val="0"/>
                    <w:keepLines w:val="0"/>
                    <w:suppressLineNumbers w:val="0"/>
                    <w:spacing w:before="0" w:beforeAutospacing="0" w:after="0" w:afterAutospacing="0" w:line="276" w:lineRule="auto"/>
                    <w:ind w:left="0" w:right="0"/>
                    <w:jc w:val="center"/>
                    <w:rPr>
                      <w:rFonts w:hint="eastAsia" w:ascii="Times New Roman" w:hAnsi="Times New Roman" w:eastAsia="宋体" w:cs="Times New Roman"/>
                      <w:sz w:val="21"/>
                      <w:szCs w:val="21"/>
                      <w:highlight w:val="none"/>
                      <w:lang w:val="en-US" w:eastAsia="zh-CN"/>
                    </w:rPr>
                  </w:pPr>
                  <w:r>
                    <w:rPr>
                      <w:rFonts w:hint="eastAsia" w:ascii="Times New Roman" w:hAnsi="Times New Roman" w:eastAsia="宋体" w:cs="Times New Roman"/>
                      <w:sz w:val="21"/>
                      <w:szCs w:val="21"/>
                      <w:highlight w:val="none"/>
                      <w:lang w:val="en-US" w:eastAsia="zh-CN"/>
                    </w:rPr>
                    <w:t>500</w:t>
                  </w:r>
                </w:p>
              </w:tc>
              <w:tc>
                <w:tcPr>
                  <w:tcW w:w="1082" w:type="dxa"/>
                  <w:tcBorders>
                    <w:top w:val="single" w:color="auto" w:sz="4" w:space="0"/>
                    <w:left w:val="single" w:color="auto" w:sz="4" w:space="0"/>
                    <w:bottom w:val="single" w:color="auto" w:sz="4" w:space="0"/>
                    <w:right w:val="single" w:color="auto" w:sz="4" w:space="0"/>
                  </w:tcBorders>
                  <w:vAlign w:val="center"/>
                </w:tcPr>
                <w:p w14:paraId="39B993E0">
                  <w:pPr>
                    <w:keepNext w:val="0"/>
                    <w:keepLines w:val="0"/>
                    <w:suppressLineNumbers w:val="0"/>
                    <w:spacing w:before="0" w:beforeAutospacing="0" w:after="0" w:afterAutospacing="0" w:line="276" w:lineRule="auto"/>
                    <w:ind w:left="0" w:right="0"/>
                    <w:jc w:val="center"/>
                    <w:rPr>
                      <w:rFonts w:hint="eastAsia" w:ascii="Times New Roman" w:hAnsi="Times New Roman" w:eastAsia="宋体" w:cs="Times New Roman"/>
                      <w:sz w:val="21"/>
                      <w:szCs w:val="21"/>
                      <w:highlight w:val="none"/>
                      <w:lang w:val="en-US" w:eastAsia="zh-CN"/>
                    </w:rPr>
                  </w:pPr>
                  <w:r>
                    <w:rPr>
                      <w:rFonts w:hint="eastAsia" w:ascii="Times New Roman" w:hAnsi="Times New Roman" w:eastAsia="宋体" w:cs="Times New Roman"/>
                      <w:sz w:val="21"/>
                      <w:szCs w:val="21"/>
                      <w:highlight w:val="none"/>
                      <w:lang w:val="en-US" w:eastAsia="zh-CN"/>
                    </w:rPr>
                    <w:t>0.000632</w:t>
                  </w:r>
                </w:p>
              </w:tc>
            </w:tr>
            <w:tr w14:paraId="0FDE30C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jc w:val="center"/>
              </w:trPr>
              <w:tc>
                <w:tcPr>
                  <w:tcW w:w="597" w:type="dxa"/>
                  <w:tcBorders>
                    <w:top w:val="single" w:color="auto" w:sz="4" w:space="0"/>
                    <w:left w:val="single" w:color="auto" w:sz="4" w:space="0"/>
                    <w:bottom w:val="single" w:color="auto" w:sz="4" w:space="0"/>
                    <w:right w:val="single" w:color="auto" w:sz="4" w:space="0"/>
                  </w:tcBorders>
                  <w:tcMar>
                    <w:top w:w="0" w:type="dxa"/>
                    <w:left w:w="85" w:type="dxa"/>
                    <w:bottom w:w="0" w:type="dxa"/>
                    <w:right w:w="85" w:type="dxa"/>
                  </w:tcMar>
                  <w:vAlign w:val="center"/>
                </w:tcPr>
                <w:p w14:paraId="2BB6C810">
                  <w:pPr>
                    <w:keepNext w:val="0"/>
                    <w:keepLines w:val="0"/>
                    <w:suppressLineNumbers w:val="0"/>
                    <w:adjustRightInd w:val="0"/>
                    <w:snapToGrid w:val="0"/>
                    <w:spacing w:before="0" w:beforeAutospacing="0" w:after="0" w:afterAutospacing="0" w:line="264" w:lineRule="auto"/>
                    <w:ind w:left="0" w:right="0"/>
                    <w:jc w:val="center"/>
                    <w:rPr>
                      <w:rFonts w:hint="default" w:ascii="Times New Roman" w:hAnsi="Times New Roman" w:eastAsia="宋体" w:cs="Times New Roman"/>
                      <w:snapToGrid w:val="0"/>
                      <w:kern w:val="0"/>
                      <w:sz w:val="21"/>
                      <w:szCs w:val="21"/>
                      <w:highlight w:val="none"/>
                      <w:lang w:val="en-US" w:eastAsia="zh-CN"/>
                    </w:rPr>
                  </w:pPr>
                  <w:r>
                    <w:rPr>
                      <w:rFonts w:hint="eastAsia" w:cs="Times New Roman"/>
                      <w:snapToGrid w:val="0"/>
                      <w:kern w:val="0"/>
                      <w:sz w:val="21"/>
                      <w:szCs w:val="21"/>
                      <w:highlight w:val="none"/>
                      <w:lang w:val="en-US" w:eastAsia="zh-CN"/>
                    </w:rPr>
                    <w:t>12</w:t>
                  </w:r>
                </w:p>
              </w:tc>
              <w:tc>
                <w:tcPr>
                  <w:tcW w:w="1500" w:type="dxa"/>
                  <w:tcBorders>
                    <w:top w:val="single" w:color="auto" w:sz="4" w:space="0"/>
                    <w:left w:val="single" w:color="auto" w:sz="4" w:space="0"/>
                    <w:bottom w:val="single" w:color="auto" w:sz="4" w:space="0"/>
                    <w:right w:val="single" w:color="auto" w:sz="4" w:space="0"/>
                  </w:tcBorders>
                  <w:tcMar>
                    <w:top w:w="0" w:type="dxa"/>
                    <w:left w:w="85" w:type="dxa"/>
                    <w:bottom w:w="0" w:type="dxa"/>
                    <w:right w:w="85" w:type="dxa"/>
                  </w:tcMar>
                  <w:vAlign w:val="center"/>
                </w:tcPr>
                <w:p w14:paraId="6753E86F">
                  <w:pPr>
                    <w:keepNext w:val="0"/>
                    <w:keepLines w:val="0"/>
                    <w:suppressLineNumbers w:val="0"/>
                    <w:adjustRightInd w:val="0"/>
                    <w:snapToGrid w:val="0"/>
                    <w:spacing w:before="0" w:beforeAutospacing="0" w:after="0" w:afterAutospacing="0" w:line="264" w:lineRule="auto"/>
                    <w:ind w:left="0" w:right="0"/>
                    <w:jc w:val="center"/>
                    <w:rPr>
                      <w:rFonts w:hint="default" w:ascii="Times New Roman" w:hAnsi="Times New Roman" w:eastAsia="宋体" w:cs="Times New Roman"/>
                      <w:snapToGrid w:val="0"/>
                      <w:kern w:val="0"/>
                      <w:sz w:val="21"/>
                      <w:szCs w:val="21"/>
                      <w:highlight w:val="none"/>
                    </w:rPr>
                  </w:pPr>
                  <w:r>
                    <w:rPr>
                      <w:rFonts w:hint="eastAsia" w:ascii="Times New Roman" w:hAnsi="Times New Roman" w:eastAsia="宋体" w:cs="Times New Roman"/>
                      <w:snapToGrid w:val="0"/>
                      <w:kern w:val="0"/>
                      <w:sz w:val="21"/>
                      <w:szCs w:val="21"/>
                      <w:highlight w:val="none"/>
                    </w:rPr>
                    <w:t>危险废物</w:t>
                  </w:r>
                </w:p>
              </w:tc>
              <w:tc>
                <w:tcPr>
                  <w:tcW w:w="1050" w:type="dxa"/>
                  <w:tcBorders>
                    <w:top w:val="single" w:color="auto" w:sz="4" w:space="0"/>
                    <w:left w:val="single" w:color="auto" w:sz="4" w:space="0"/>
                    <w:bottom w:val="single" w:color="auto" w:sz="4" w:space="0"/>
                    <w:right w:val="single" w:color="auto" w:sz="4" w:space="0"/>
                  </w:tcBorders>
                  <w:tcMar>
                    <w:top w:w="0" w:type="dxa"/>
                    <w:left w:w="85" w:type="dxa"/>
                    <w:bottom w:w="0" w:type="dxa"/>
                    <w:right w:w="85" w:type="dxa"/>
                  </w:tcMar>
                  <w:vAlign w:val="center"/>
                </w:tcPr>
                <w:p w14:paraId="48F33DA5">
                  <w:pPr>
                    <w:keepNext w:val="0"/>
                    <w:keepLines w:val="0"/>
                    <w:suppressLineNumbers w:val="0"/>
                    <w:adjustRightInd w:val="0"/>
                    <w:snapToGrid w:val="0"/>
                    <w:spacing w:before="0" w:beforeAutospacing="0" w:after="0" w:afterAutospacing="0" w:line="264" w:lineRule="auto"/>
                    <w:ind w:left="0" w:right="0"/>
                    <w:jc w:val="center"/>
                    <w:rPr>
                      <w:rFonts w:hint="default" w:ascii="Times New Roman" w:hAnsi="Times New Roman" w:eastAsia="宋体" w:cs="Times New Roman"/>
                      <w:snapToGrid w:val="0"/>
                      <w:kern w:val="0"/>
                      <w:sz w:val="21"/>
                      <w:szCs w:val="21"/>
                      <w:highlight w:val="none"/>
                    </w:rPr>
                  </w:pPr>
                  <w:r>
                    <w:rPr>
                      <w:rFonts w:hint="default" w:ascii="Times New Roman" w:hAnsi="Times New Roman" w:eastAsia="宋体" w:cs="Times New Roman"/>
                      <w:snapToGrid w:val="0"/>
                      <w:kern w:val="0"/>
                      <w:sz w:val="21"/>
                      <w:szCs w:val="21"/>
                      <w:highlight w:val="none"/>
                    </w:rPr>
                    <w:t>/</w:t>
                  </w:r>
                </w:p>
              </w:tc>
              <w:tc>
                <w:tcPr>
                  <w:tcW w:w="1627" w:type="dxa"/>
                  <w:tcBorders>
                    <w:top w:val="single" w:color="auto" w:sz="4" w:space="0"/>
                    <w:left w:val="single" w:color="auto" w:sz="4" w:space="0"/>
                    <w:bottom w:val="single" w:color="auto" w:sz="4" w:space="0"/>
                    <w:right w:val="single" w:color="auto" w:sz="4" w:space="0"/>
                  </w:tcBorders>
                  <w:shd w:val="clear" w:color="auto" w:fill="auto"/>
                  <w:tcMar>
                    <w:top w:w="0" w:type="dxa"/>
                    <w:left w:w="85" w:type="dxa"/>
                    <w:bottom w:w="0" w:type="dxa"/>
                    <w:right w:w="85" w:type="dxa"/>
                  </w:tcMar>
                  <w:vAlign w:val="center"/>
                </w:tcPr>
                <w:p w14:paraId="4911B935">
                  <w:pPr>
                    <w:keepNext w:val="0"/>
                    <w:keepLines w:val="0"/>
                    <w:suppressLineNumbers w:val="0"/>
                    <w:spacing w:before="0" w:beforeAutospacing="0" w:after="0" w:afterAutospacing="0" w:line="276" w:lineRule="auto"/>
                    <w:ind w:left="0" w:right="0"/>
                    <w:jc w:val="center"/>
                    <w:rPr>
                      <w:rFonts w:hint="default" w:ascii="Times New Roman" w:hAnsi="Times New Roman" w:eastAsia="宋体" w:cs="Times New Roman"/>
                      <w:sz w:val="21"/>
                      <w:szCs w:val="21"/>
                      <w:highlight w:val="none"/>
                      <w:lang w:val="en-US" w:eastAsia="zh-CN"/>
                    </w:rPr>
                  </w:pPr>
                  <w:r>
                    <w:rPr>
                      <w:rFonts w:hint="eastAsia" w:cs="Times New Roman"/>
                      <w:sz w:val="21"/>
                      <w:szCs w:val="21"/>
                      <w:highlight w:val="none"/>
                      <w:lang w:val="en-US" w:eastAsia="zh-CN"/>
                    </w:rPr>
                    <w:t>701.</w:t>
                  </w:r>
                  <w:r>
                    <w:rPr>
                      <w:rFonts w:hint="eastAsia" w:ascii="Times New Roman" w:hAnsi="Times New Roman" w:eastAsia="宋体" w:cs="Times New Roman"/>
                      <w:sz w:val="21"/>
                      <w:szCs w:val="21"/>
                      <w:highlight w:val="none"/>
                      <w:lang w:val="en-US" w:eastAsia="zh-CN"/>
                    </w:rPr>
                    <w:t>39</w:t>
                  </w:r>
                </w:p>
              </w:tc>
              <w:tc>
                <w:tcPr>
                  <w:tcW w:w="1140" w:type="dxa"/>
                  <w:tcBorders>
                    <w:top w:val="single" w:color="auto" w:sz="4" w:space="0"/>
                    <w:left w:val="single" w:color="auto" w:sz="4" w:space="0"/>
                    <w:bottom w:val="single" w:color="auto" w:sz="4" w:space="0"/>
                    <w:right w:val="single" w:color="auto" w:sz="4" w:space="0"/>
                  </w:tcBorders>
                  <w:shd w:val="clear" w:color="auto" w:fill="auto"/>
                  <w:tcMar>
                    <w:top w:w="0" w:type="dxa"/>
                    <w:left w:w="85" w:type="dxa"/>
                    <w:bottom w:w="0" w:type="dxa"/>
                    <w:right w:w="85" w:type="dxa"/>
                  </w:tcMar>
                  <w:vAlign w:val="center"/>
                </w:tcPr>
                <w:p w14:paraId="6CE8DDD5">
                  <w:pPr>
                    <w:keepNext w:val="0"/>
                    <w:keepLines w:val="0"/>
                    <w:suppressLineNumbers w:val="0"/>
                    <w:spacing w:before="0" w:beforeAutospacing="0" w:after="0" w:afterAutospacing="0" w:line="276" w:lineRule="auto"/>
                    <w:ind w:left="0" w:right="0"/>
                    <w:jc w:val="center"/>
                    <w:rPr>
                      <w:rFonts w:hint="default" w:ascii="Times New Roman" w:hAnsi="Times New Roman" w:eastAsia="宋体" w:cs="Times New Roman"/>
                      <w:sz w:val="21"/>
                      <w:szCs w:val="21"/>
                      <w:highlight w:val="none"/>
                      <w:lang w:val="en-US" w:eastAsia="zh-CN"/>
                    </w:rPr>
                  </w:pPr>
                  <w:r>
                    <w:rPr>
                      <w:rFonts w:hint="eastAsia" w:ascii="Times New Roman" w:hAnsi="Times New Roman" w:eastAsia="宋体" w:cs="Times New Roman"/>
                      <w:sz w:val="21"/>
                      <w:szCs w:val="21"/>
                      <w:highlight w:val="none"/>
                      <w:lang w:val="en-US" w:eastAsia="zh-CN"/>
                    </w:rPr>
                    <w:t>40.224</w:t>
                  </w:r>
                </w:p>
              </w:tc>
              <w:tc>
                <w:tcPr>
                  <w:tcW w:w="990" w:type="dxa"/>
                  <w:tcBorders>
                    <w:top w:val="single" w:color="auto" w:sz="4" w:space="0"/>
                    <w:left w:val="single" w:color="auto" w:sz="4" w:space="0"/>
                    <w:bottom w:val="single" w:color="auto" w:sz="4" w:space="0"/>
                    <w:right w:val="single" w:color="auto" w:sz="4" w:space="0"/>
                  </w:tcBorders>
                  <w:vAlign w:val="center"/>
                </w:tcPr>
                <w:p w14:paraId="7B5FB820">
                  <w:pPr>
                    <w:keepNext w:val="0"/>
                    <w:keepLines w:val="0"/>
                    <w:suppressLineNumbers w:val="0"/>
                    <w:spacing w:before="0" w:beforeAutospacing="0" w:after="0" w:afterAutospacing="0" w:line="276" w:lineRule="auto"/>
                    <w:ind w:left="0" w:right="0"/>
                    <w:jc w:val="center"/>
                    <w:rPr>
                      <w:rFonts w:hint="default" w:ascii="Times New Roman" w:hAnsi="Times New Roman" w:eastAsia="宋体" w:cs="Times New Roman"/>
                      <w:sz w:val="21"/>
                      <w:szCs w:val="21"/>
                      <w:highlight w:val="none"/>
                      <w:lang w:val="en-US" w:eastAsia="zh-CN"/>
                    </w:rPr>
                  </w:pPr>
                  <w:r>
                    <w:rPr>
                      <w:rFonts w:hint="eastAsia" w:ascii="Times New Roman" w:hAnsi="Times New Roman" w:eastAsia="宋体" w:cs="Times New Roman"/>
                      <w:sz w:val="21"/>
                      <w:szCs w:val="21"/>
                      <w:highlight w:val="none"/>
                      <w:lang w:val="en-US" w:eastAsia="zh-CN"/>
                    </w:rPr>
                    <w:t>50</w:t>
                  </w:r>
                </w:p>
              </w:tc>
              <w:tc>
                <w:tcPr>
                  <w:tcW w:w="1082" w:type="dxa"/>
                  <w:tcBorders>
                    <w:top w:val="single" w:color="auto" w:sz="4" w:space="0"/>
                    <w:left w:val="single" w:color="auto" w:sz="4" w:space="0"/>
                    <w:bottom w:val="single" w:color="auto" w:sz="4" w:space="0"/>
                    <w:right w:val="single" w:color="auto" w:sz="4" w:space="0"/>
                  </w:tcBorders>
                  <w:vAlign w:val="center"/>
                </w:tcPr>
                <w:p w14:paraId="4D2259F3">
                  <w:pPr>
                    <w:keepNext w:val="0"/>
                    <w:keepLines w:val="0"/>
                    <w:suppressLineNumbers w:val="0"/>
                    <w:spacing w:before="0" w:beforeAutospacing="0" w:after="0" w:afterAutospacing="0" w:line="276" w:lineRule="auto"/>
                    <w:ind w:left="0" w:right="0"/>
                    <w:jc w:val="center"/>
                    <w:rPr>
                      <w:rFonts w:hint="default" w:ascii="Times New Roman" w:hAnsi="Times New Roman" w:eastAsia="宋体" w:cs="Times New Roman"/>
                      <w:sz w:val="21"/>
                      <w:szCs w:val="21"/>
                      <w:highlight w:val="none"/>
                      <w:lang w:val="en-US" w:eastAsia="zh-CN"/>
                    </w:rPr>
                  </w:pPr>
                  <w:r>
                    <w:rPr>
                      <w:rFonts w:hint="eastAsia" w:ascii="Times New Roman" w:hAnsi="Times New Roman" w:eastAsia="宋体" w:cs="Times New Roman"/>
                      <w:sz w:val="21"/>
                      <w:szCs w:val="21"/>
                      <w:highlight w:val="none"/>
                      <w:lang w:val="en-US" w:eastAsia="zh-CN"/>
                    </w:rPr>
                    <w:t>0.</w:t>
                  </w:r>
                  <w:r>
                    <w:rPr>
                      <w:rFonts w:hint="eastAsia" w:cs="Times New Roman"/>
                      <w:sz w:val="21"/>
                      <w:szCs w:val="21"/>
                      <w:highlight w:val="none"/>
                      <w:lang w:val="en-US" w:eastAsia="zh-CN"/>
                    </w:rPr>
                    <w:t>7</w:t>
                  </w:r>
                  <w:r>
                    <w:rPr>
                      <w:rFonts w:hint="eastAsia" w:ascii="Times New Roman" w:hAnsi="Times New Roman" w:eastAsia="宋体" w:cs="Times New Roman"/>
                      <w:sz w:val="21"/>
                      <w:szCs w:val="21"/>
                      <w:highlight w:val="none"/>
                      <w:lang w:val="en-US" w:eastAsia="zh-CN"/>
                    </w:rPr>
                    <w:t>8</w:t>
                  </w:r>
                  <w:r>
                    <w:rPr>
                      <w:rFonts w:hint="eastAsia" w:cs="Times New Roman"/>
                      <w:sz w:val="21"/>
                      <w:szCs w:val="21"/>
                      <w:highlight w:val="none"/>
                      <w:lang w:val="en-US" w:eastAsia="zh-CN"/>
                    </w:rPr>
                    <w:t>2</w:t>
                  </w:r>
                </w:p>
              </w:tc>
            </w:tr>
            <w:tr w14:paraId="2A674A1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jc w:val="center"/>
              </w:trPr>
              <w:tc>
                <w:tcPr>
                  <w:tcW w:w="597" w:type="dxa"/>
                  <w:tcBorders>
                    <w:top w:val="single" w:color="auto" w:sz="4" w:space="0"/>
                    <w:left w:val="single" w:color="auto" w:sz="4" w:space="0"/>
                    <w:bottom w:val="single" w:color="auto" w:sz="4" w:space="0"/>
                    <w:right w:val="single" w:color="auto" w:sz="4" w:space="0"/>
                  </w:tcBorders>
                  <w:tcMar>
                    <w:top w:w="0" w:type="dxa"/>
                    <w:left w:w="85" w:type="dxa"/>
                    <w:bottom w:w="0" w:type="dxa"/>
                    <w:right w:w="85" w:type="dxa"/>
                  </w:tcMar>
                  <w:vAlign w:val="center"/>
                </w:tcPr>
                <w:p w14:paraId="7C38BBBA">
                  <w:pPr>
                    <w:keepNext w:val="0"/>
                    <w:keepLines w:val="0"/>
                    <w:suppressLineNumbers w:val="0"/>
                    <w:adjustRightInd w:val="0"/>
                    <w:snapToGrid w:val="0"/>
                    <w:spacing w:before="0" w:beforeAutospacing="0" w:after="0" w:afterAutospacing="0" w:line="264" w:lineRule="auto"/>
                    <w:ind w:left="0" w:right="0"/>
                    <w:jc w:val="center"/>
                    <w:rPr>
                      <w:rFonts w:hint="default" w:cs="Times New Roman"/>
                      <w:snapToGrid w:val="0"/>
                      <w:kern w:val="0"/>
                      <w:sz w:val="21"/>
                      <w:szCs w:val="21"/>
                      <w:highlight w:val="none"/>
                      <w:lang w:val="en-US" w:eastAsia="zh-CN"/>
                    </w:rPr>
                  </w:pPr>
                  <w:r>
                    <w:rPr>
                      <w:rFonts w:hint="eastAsia" w:cs="Times New Roman"/>
                      <w:snapToGrid w:val="0"/>
                      <w:kern w:val="0"/>
                      <w:sz w:val="21"/>
                      <w:szCs w:val="21"/>
                      <w:highlight w:val="none"/>
                      <w:lang w:val="en-US" w:eastAsia="zh-CN"/>
                    </w:rPr>
                    <w:t>13</w:t>
                  </w:r>
                </w:p>
              </w:tc>
              <w:tc>
                <w:tcPr>
                  <w:tcW w:w="1500" w:type="dxa"/>
                  <w:tcBorders>
                    <w:top w:val="single" w:color="auto" w:sz="4" w:space="0"/>
                    <w:left w:val="single" w:color="auto" w:sz="4" w:space="0"/>
                    <w:bottom w:val="single" w:color="auto" w:sz="4" w:space="0"/>
                    <w:right w:val="single" w:color="auto" w:sz="4" w:space="0"/>
                  </w:tcBorders>
                  <w:tcMar>
                    <w:top w:w="0" w:type="dxa"/>
                    <w:left w:w="85" w:type="dxa"/>
                    <w:bottom w:w="0" w:type="dxa"/>
                    <w:right w:w="85" w:type="dxa"/>
                  </w:tcMar>
                  <w:vAlign w:val="center"/>
                </w:tcPr>
                <w:p w14:paraId="4D4B49F7">
                  <w:pPr>
                    <w:keepNext w:val="0"/>
                    <w:keepLines w:val="0"/>
                    <w:suppressLineNumbers w:val="0"/>
                    <w:adjustRightInd w:val="0"/>
                    <w:snapToGrid w:val="0"/>
                    <w:spacing w:before="0" w:beforeAutospacing="0" w:after="0" w:afterAutospacing="0" w:line="264" w:lineRule="auto"/>
                    <w:ind w:left="0" w:right="0"/>
                    <w:jc w:val="center"/>
                    <w:rPr>
                      <w:rFonts w:hint="eastAsia" w:ascii="Times New Roman" w:hAnsi="Times New Roman" w:eastAsia="宋体" w:cs="Times New Roman"/>
                      <w:b w:val="0"/>
                      <w:bCs w:val="0"/>
                      <w:snapToGrid w:val="0"/>
                      <w:kern w:val="0"/>
                      <w:sz w:val="21"/>
                      <w:szCs w:val="21"/>
                      <w:highlight w:val="none"/>
                      <w:lang w:eastAsia="zh-CN"/>
                    </w:rPr>
                  </w:pPr>
                  <w:r>
                    <w:rPr>
                      <w:rFonts w:hint="eastAsia" w:ascii="Times New Roman" w:hAnsi="Times New Roman" w:eastAsia="宋体" w:cs="Times New Roman"/>
                      <w:b w:val="0"/>
                      <w:bCs w:val="0"/>
                      <w:snapToGrid w:val="0"/>
                      <w:kern w:val="0"/>
                      <w:sz w:val="21"/>
                      <w:szCs w:val="21"/>
                      <w:highlight w:val="none"/>
                    </w:rPr>
                    <w:t>危险废物</w:t>
                  </w:r>
                  <w:r>
                    <w:rPr>
                      <w:rFonts w:hint="eastAsia" w:cs="Times New Roman"/>
                      <w:b w:val="0"/>
                      <w:bCs w:val="0"/>
                      <w:snapToGrid w:val="0"/>
                      <w:kern w:val="0"/>
                      <w:sz w:val="21"/>
                      <w:szCs w:val="21"/>
                      <w:highlight w:val="none"/>
                      <w:lang w:eastAsia="zh-CN"/>
                    </w:rPr>
                    <w:t>（</w:t>
                  </w:r>
                  <w:r>
                    <w:rPr>
                      <w:rFonts w:hint="eastAsia" w:cs="Times New Roman"/>
                      <w:b w:val="0"/>
                      <w:bCs w:val="0"/>
                      <w:snapToGrid w:val="0"/>
                      <w:kern w:val="0"/>
                      <w:sz w:val="21"/>
                      <w:szCs w:val="21"/>
                      <w:highlight w:val="none"/>
                      <w:lang w:val="en-US" w:eastAsia="zh-CN"/>
                    </w:rPr>
                    <w:t>CODcr</w:t>
                  </w:r>
                  <w:r>
                    <w:rPr>
                      <w:rFonts w:hint="eastAsia" w:cs="Times New Roman"/>
                      <w:b w:val="0"/>
                      <w:bCs w:val="0"/>
                      <w:spacing w:val="-2"/>
                      <w:sz w:val="21"/>
                      <w:szCs w:val="21"/>
                      <w:highlight w:val="none"/>
                      <w:lang w:val="en-US" w:eastAsia="zh-CN"/>
                    </w:rPr>
                    <w:t>≥10000mg/L</w:t>
                  </w:r>
                  <w:r>
                    <w:rPr>
                      <w:rFonts w:hint="eastAsia" w:cs="Times New Roman"/>
                      <w:b w:val="0"/>
                      <w:bCs w:val="0"/>
                      <w:snapToGrid w:val="0"/>
                      <w:kern w:val="0"/>
                      <w:sz w:val="21"/>
                      <w:szCs w:val="21"/>
                      <w:highlight w:val="none"/>
                      <w:lang w:eastAsia="zh-CN"/>
                    </w:rPr>
                    <w:t>）</w:t>
                  </w:r>
                </w:p>
              </w:tc>
              <w:tc>
                <w:tcPr>
                  <w:tcW w:w="1050" w:type="dxa"/>
                  <w:tcBorders>
                    <w:top w:val="single" w:color="auto" w:sz="4" w:space="0"/>
                    <w:left w:val="single" w:color="auto" w:sz="4" w:space="0"/>
                    <w:bottom w:val="single" w:color="auto" w:sz="4" w:space="0"/>
                    <w:right w:val="single" w:color="auto" w:sz="4" w:space="0"/>
                  </w:tcBorders>
                  <w:tcMar>
                    <w:top w:w="0" w:type="dxa"/>
                    <w:left w:w="85" w:type="dxa"/>
                    <w:bottom w:w="0" w:type="dxa"/>
                    <w:right w:w="85" w:type="dxa"/>
                  </w:tcMar>
                  <w:vAlign w:val="center"/>
                </w:tcPr>
                <w:p w14:paraId="4DC8B62A">
                  <w:pPr>
                    <w:keepNext w:val="0"/>
                    <w:keepLines w:val="0"/>
                    <w:suppressLineNumbers w:val="0"/>
                    <w:adjustRightInd w:val="0"/>
                    <w:snapToGrid w:val="0"/>
                    <w:spacing w:before="0" w:beforeAutospacing="0" w:after="0" w:afterAutospacing="0" w:line="264" w:lineRule="auto"/>
                    <w:ind w:left="0" w:right="0"/>
                    <w:jc w:val="center"/>
                    <w:rPr>
                      <w:rFonts w:hint="default" w:ascii="Times New Roman" w:hAnsi="Times New Roman" w:eastAsia="宋体" w:cs="Times New Roman"/>
                      <w:b w:val="0"/>
                      <w:bCs w:val="0"/>
                      <w:snapToGrid w:val="0"/>
                      <w:kern w:val="0"/>
                      <w:sz w:val="21"/>
                      <w:szCs w:val="21"/>
                      <w:highlight w:val="none"/>
                    </w:rPr>
                  </w:pPr>
                  <w:r>
                    <w:rPr>
                      <w:rFonts w:hint="default" w:ascii="Times New Roman" w:hAnsi="Times New Roman" w:eastAsia="宋体" w:cs="Times New Roman"/>
                      <w:b w:val="0"/>
                      <w:bCs w:val="0"/>
                      <w:snapToGrid w:val="0"/>
                      <w:kern w:val="0"/>
                      <w:sz w:val="21"/>
                      <w:szCs w:val="21"/>
                      <w:highlight w:val="none"/>
                    </w:rPr>
                    <w:t>/</w:t>
                  </w:r>
                </w:p>
              </w:tc>
              <w:tc>
                <w:tcPr>
                  <w:tcW w:w="1627" w:type="dxa"/>
                  <w:tcBorders>
                    <w:top w:val="single" w:color="auto" w:sz="4" w:space="0"/>
                    <w:left w:val="single" w:color="auto" w:sz="4" w:space="0"/>
                    <w:bottom w:val="single" w:color="auto" w:sz="4" w:space="0"/>
                    <w:right w:val="single" w:color="auto" w:sz="4" w:space="0"/>
                  </w:tcBorders>
                  <w:shd w:val="clear" w:color="auto" w:fill="auto"/>
                  <w:tcMar>
                    <w:top w:w="0" w:type="dxa"/>
                    <w:left w:w="85" w:type="dxa"/>
                    <w:bottom w:w="0" w:type="dxa"/>
                    <w:right w:w="85" w:type="dxa"/>
                  </w:tcMar>
                  <w:vAlign w:val="center"/>
                </w:tcPr>
                <w:p w14:paraId="5955D07C">
                  <w:pPr>
                    <w:keepNext w:val="0"/>
                    <w:keepLines w:val="0"/>
                    <w:suppressLineNumbers w:val="0"/>
                    <w:spacing w:before="0" w:beforeAutospacing="0" w:after="0" w:afterAutospacing="0" w:line="276" w:lineRule="auto"/>
                    <w:ind w:left="0" w:right="0"/>
                    <w:jc w:val="center"/>
                    <w:rPr>
                      <w:rFonts w:hint="default" w:ascii="Times New Roman" w:hAnsi="Times New Roman" w:eastAsia="宋体" w:cs="Times New Roman"/>
                      <w:b w:val="0"/>
                      <w:bCs w:val="0"/>
                      <w:sz w:val="21"/>
                      <w:szCs w:val="21"/>
                      <w:highlight w:val="none"/>
                      <w:lang w:val="en-US" w:eastAsia="zh-CN"/>
                    </w:rPr>
                  </w:pPr>
                  <w:r>
                    <w:rPr>
                      <w:rFonts w:hint="eastAsia" w:cs="Times New Roman"/>
                      <w:b w:val="0"/>
                      <w:bCs w:val="0"/>
                      <w:sz w:val="21"/>
                      <w:szCs w:val="21"/>
                      <w:highlight w:val="none"/>
                      <w:lang w:val="en-US" w:eastAsia="zh-CN"/>
                    </w:rPr>
                    <w:t>137.8</w:t>
                  </w:r>
                </w:p>
              </w:tc>
              <w:tc>
                <w:tcPr>
                  <w:tcW w:w="1140" w:type="dxa"/>
                  <w:tcBorders>
                    <w:top w:val="single" w:color="auto" w:sz="4" w:space="0"/>
                    <w:left w:val="single" w:color="auto" w:sz="4" w:space="0"/>
                    <w:bottom w:val="single" w:color="auto" w:sz="4" w:space="0"/>
                    <w:right w:val="single" w:color="auto" w:sz="4" w:space="0"/>
                  </w:tcBorders>
                  <w:shd w:val="clear" w:color="auto" w:fill="auto"/>
                  <w:tcMar>
                    <w:top w:w="0" w:type="dxa"/>
                    <w:left w:w="85" w:type="dxa"/>
                    <w:bottom w:w="0" w:type="dxa"/>
                    <w:right w:w="85" w:type="dxa"/>
                  </w:tcMar>
                  <w:vAlign w:val="center"/>
                </w:tcPr>
                <w:p w14:paraId="2C95298C">
                  <w:pPr>
                    <w:keepNext w:val="0"/>
                    <w:keepLines w:val="0"/>
                    <w:suppressLineNumbers w:val="0"/>
                    <w:spacing w:before="0" w:beforeAutospacing="0" w:after="0" w:afterAutospacing="0" w:line="276" w:lineRule="auto"/>
                    <w:ind w:left="0" w:right="0"/>
                    <w:jc w:val="center"/>
                    <w:rPr>
                      <w:rFonts w:hint="default" w:ascii="Times New Roman" w:hAnsi="Times New Roman" w:eastAsia="宋体" w:cs="Times New Roman"/>
                      <w:b w:val="0"/>
                      <w:bCs w:val="0"/>
                      <w:sz w:val="21"/>
                      <w:szCs w:val="21"/>
                      <w:highlight w:val="none"/>
                      <w:lang w:val="en-US" w:eastAsia="zh-CN"/>
                    </w:rPr>
                  </w:pPr>
                  <w:r>
                    <w:rPr>
                      <w:rFonts w:hint="eastAsia" w:cs="Times New Roman"/>
                      <w:b w:val="0"/>
                      <w:bCs w:val="0"/>
                      <w:sz w:val="21"/>
                      <w:szCs w:val="21"/>
                      <w:highlight w:val="none"/>
                      <w:lang w:val="en-US" w:eastAsia="zh-CN"/>
                    </w:rPr>
                    <w:t>1.13</w:t>
                  </w:r>
                </w:p>
              </w:tc>
              <w:tc>
                <w:tcPr>
                  <w:tcW w:w="990" w:type="dxa"/>
                  <w:tcBorders>
                    <w:top w:val="single" w:color="auto" w:sz="4" w:space="0"/>
                    <w:left w:val="single" w:color="auto" w:sz="4" w:space="0"/>
                    <w:bottom w:val="single" w:color="auto" w:sz="4" w:space="0"/>
                    <w:right w:val="single" w:color="auto" w:sz="4" w:space="0"/>
                  </w:tcBorders>
                  <w:vAlign w:val="center"/>
                </w:tcPr>
                <w:p w14:paraId="47D386BC">
                  <w:pPr>
                    <w:keepNext w:val="0"/>
                    <w:keepLines w:val="0"/>
                    <w:suppressLineNumbers w:val="0"/>
                    <w:spacing w:before="0" w:beforeAutospacing="0" w:after="0" w:afterAutospacing="0" w:line="276" w:lineRule="auto"/>
                    <w:ind w:left="0" w:right="0"/>
                    <w:jc w:val="center"/>
                    <w:rPr>
                      <w:rFonts w:hint="default" w:ascii="Times New Roman" w:hAnsi="Times New Roman" w:eastAsia="宋体" w:cs="Times New Roman"/>
                      <w:b w:val="0"/>
                      <w:bCs w:val="0"/>
                      <w:sz w:val="21"/>
                      <w:szCs w:val="21"/>
                      <w:highlight w:val="none"/>
                      <w:lang w:val="en-US" w:eastAsia="zh-CN"/>
                    </w:rPr>
                  </w:pPr>
                  <w:r>
                    <w:rPr>
                      <w:rFonts w:hint="eastAsia" w:cs="Times New Roman"/>
                      <w:b w:val="0"/>
                      <w:bCs w:val="0"/>
                      <w:sz w:val="21"/>
                      <w:szCs w:val="21"/>
                      <w:highlight w:val="none"/>
                      <w:lang w:val="en-US" w:eastAsia="zh-CN"/>
                    </w:rPr>
                    <w:t>10</w:t>
                  </w:r>
                </w:p>
              </w:tc>
              <w:tc>
                <w:tcPr>
                  <w:tcW w:w="1082" w:type="dxa"/>
                  <w:tcBorders>
                    <w:top w:val="single" w:color="auto" w:sz="4" w:space="0"/>
                    <w:left w:val="single" w:color="auto" w:sz="4" w:space="0"/>
                    <w:bottom w:val="single" w:color="auto" w:sz="4" w:space="0"/>
                    <w:right w:val="single" w:color="auto" w:sz="4" w:space="0"/>
                  </w:tcBorders>
                  <w:vAlign w:val="center"/>
                </w:tcPr>
                <w:p w14:paraId="16293359">
                  <w:pPr>
                    <w:keepNext w:val="0"/>
                    <w:keepLines w:val="0"/>
                    <w:suppressLineNumbers w:val="0"/>
                    <w:spacing w:before="0" w:beforeAutospacing="0" w:after="0" w:afterAutospacing="0" w:line="276" w:lineRule="auto"/>
                    <w:ind w:left="0" w:right="0"/>
                    <w:jc w:val="center"/>
                    <w:rPr>
                      <w:rFonts w:hint="default" w:ascii="Times New Roman" w:hAnsi="Times New Roman" w:eastAsia="宋体" w:cs="Times New Roman"/>
                      <w:b w:val="0"/>
                      <w:bCs w:val="0"/>
                      <w:sz w:val="21"/>
                      <w:szCs w:val="21"/>
                      <w:highlight w:val="none"/>
                      <w:lang w:val="en-US" w:eastAsia="zh-CN"/>
                    </w:rPr>
                  </w:pPr>
                  <w:r>
                    <w:rPr>
                      <w:rFonts w:hint="eastAsia" w:cs="Times New Roman"/>
                      <w:b w:val="0"/>
                      <w:bCs w:val="0"/>
                      <w:sz w:val="21"/>
                      <w:szCs w:val="21"/>
                      <w:highlight w:val="none"/>
                      <w:lang w:val="en-US" w:eastAsia="zh-CN"/>
                    </w:rPr>
                    <w:t>0.113</w:t>
                  </w:r>
                </w:p>
              </w:tc>
            </w:tr>
            <w:tr w14:paraId="11158B8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jc w:val="center"/>
              </w:trPr>
              <w:tc>
                <w:tcPr>
                  <w:tcW w:w="6904" w:type="dxa"/>
                  <w:gridSpan w:val="6"/>
                  <w:tcBorders>
                    <w:top w:val="single" w:color="auto" w:sz="4" w:space="0"/>
                    <w:left w:val="single" w:color="auto" w:sz="4" w:space="0"/>
                    <w:bottom w:val="single" w:color="auto" w:sz="4" w:space="0"/>
                    <w:right w:val="single" w:color="auto" w:sz="4" w:space="0"/>
                  </w:tcBorders>
                  <w:tcMar>
                    <w:top w:w="0" w:type="dxa"/>
                    <w:left w:w="85" w:type="dxa"/>
                    <w:bottom w:w="0" w:type="dxa"/>
                    <w:right w:w="85" w:type="dxa"/>
                  </w:tcMar>
                  <w:vAlign w:val="center"/>
                </w:tcPr>
                <w:p w14:paraId="7EA9792B">
                  <w:pPr>
                    <w:keepNext w:val="0"/>
                    <w:keepLines w:val="0"/>
                    <w:suppressLineNumbers w:val="0"/>
                    <w:adjustRightInd w:val="0"/>
                    <w:snapToGrid w:val="0"/>
                    <w:spacing w:before="0" w:beforeAutospacing="0" w:after="0" w:afterAutospacing="0" w:line="264" w:lineRule="auto"/>
                    <w:ind w:left="0" w:right="0"/>
                    <w:jc w:val="center"/>
                    <w:rPr>
                      <w:rFonts w:hint="default" w:ascii="Times New Roman" w:hAnsi="Times New Roman" w:eastAsia="宋体" w:cs="Times New Roman"/>
                      <w:snapToGrid w:val="0"/>
                      <w:kern w:val="0"/>
                      <w:sz w:val="21"/>
                      <w:szCs w:val="21"/>
                      <w:highlight w:val="none"/>
                    </w:rPr>
                  </w:pPr>
                  <w:r>
                    <w:rPr>
                      <w:rFonts w:hint="eastAsia" w:ascii="Times New Roman" w:hAnsi="Times New Roman" w:eastAsia="宋体" w:cs="Times New Roman"/>
                      <w:snapToGrid w:val="0"/>
                      <w:kern w:val="0"/>
                      <w:sz w:val="21"/>
                      <w:szCs w:val="21"/>
                      <w:highlight w:val="none"/>
                    </w:rPr>
                    <w:t>项目</w:t>
                  </w:r>
                  <w:r>
                    <w:rPr>
                      <w:rFonts w:hint="default" w:ascii="Times New Roman" w:hAnsi="Times New Roman" w:eastAsia="宋体" w:cs="Times New Roman"/>
                      <w:snapToGrid w:val="0"/>
                      <w:kern w:val="0"/>
                      <w:sz w:val="21"/>
                      <w:szCs w:val="21"/>
                      <w:highlight w:val="none"/>
                    </w:rPr>
                    <w:t>Q</w:t>
                  </w:r>
                  <w:r>
                    <w:rPr>
                      <w:rFonts w:hint="eastAsia" w:ascii="Times New Roman" w:hAnsi="Times New Roman" w:eastAsia="宋体" w:cs="Times New Roman"/>
                      <w:snapToGrid w:val="0"/>
                      <w:kern w:val="0"/>
                      <w:sz w:val="21"/>
                      <w:szCs w:val="21"/>
                      <w:highlight w:val="none"/>
                    </w:rPr>
                    <w:t>值</w:t>
                  </w:r>
                  <w:r>
                    <w:rPr>
                      <w:rFonts w:hint="default" w:ascii="Times New Roman" w:hAnsi="Times New Roman" w:eastAsia="宋体" w:cs="Times New Roman"/>
                      <w:snapToGrid w:val="0"/>
                      <w:kern w:val="0"/>
                      <w:sz w:val="21"/>
                      <w:szCs w:val="21"/>
                      <w:highlight w:val="none"/>
                    </w:rPr>
                    <w:t>∑</w:t>
                  </w:r>
                </w:p>
              </w:tc>
              <w:tc>
                <w:tcPr>
                  <w:tcW w:w="1082" w:type="dxa"/>
                  <w:tcBorders>
                    <w:top w:val="single" w:color="auto" w:sz="4" w:space="0"/>
                    <w:left w:val="single" w:color="auto" w:sz="4" w:space="0"/>
                    <w:bottom w:val="single" w:color="auto" w:sz="4" w:space="0"/>
                    <w:right w:val="single" w:color="auto" w:sz="4" w:space="0"/>
                  </w:tcBorders>
                  <w:vAlign w:val="center"/>
                </w:tcPr>
                <w:p w14:paraId="07FD23AE">
                  <w:pPr>
                    <w:keepNext w:val="0"/>
                    <w:keepLines w:val="0"/>
                    <w:suppressLineNumbers w:val="0"/>
                    <w:adjustRightInd w:val="0"/>
                    <w:snapToGrid w:val="0"/>
                    <w:spacing w:before="0" w:beforeAutospacing="0" w:after="0" w:afterAutospacing="0" w:line="264" w:lineRule="auto"/>
                    <w:ind w:left="0" w:right="0"/>
                    <w:jc w:val="center"/>
                    <w:rPr>
                      <w:rFonts w:hint="default" w:ascii="Times New Roman" w:hAnsi="Times New Roman" w:eastAsia="宋体" w:cs="Times New Roman"/>
                      <w:snapToGrid w:val="0"/>
                      <w:kern w:val="0"/>
                      <w:sz w:val="21"/>
                      <w:szCs w:val="21"/>
                      <w:highlight w:val="none"/>
                      <w:lang w:val="en-US" w:eastAsia="zh-CN"/>
                    </w:rPr>
                  </w:pPr>
                  <w:r>
                    <w:rPr>
                      <w:rFonts w:hint="default" w:ascii="Times New Roman" w:hAnsi="Times New Roman" w:eastAsia="宋体" w:cs="Times New Roman"/>
                      <w:snapToGrid w:val="0"/>
                      <w:kern w:val="0"/>
                      <w:sz w:val="21"/>
                      <w:szCs w:val="21"/>
                      <w:highlight w:val="none"/>
                    </w:rPr>
                    <w:t>0.</w:t>
                  </w:r>
                  <w:r>
                    <w:rPr>
                      <w:rFonts w:hint="eastAsia" w:cs="Times New Roman"/>
                      <w:snapToGrid w:val="0"/>
                      <w:kern w:val="0"/>
                      <w:sz w:val="21"/>
                      <w:szCs w:val="21"/>
                      <w:highlight w:val="none"/>
                      <w:lang w:val="en-US" w:eastAsia="zh-CN"/>
                    </w:rPr>
                    <w:t>932</w:t>
                  </w:r>
                </w:p>
              </w:tc>
            </w:tr>
          </w:tbl>
          <w:p w14:paraId="63EF88F8">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firstLine="414" w:firstLineChars="200"/>
              <w:textAlignment w:val="auto"/>
              <w:rPr>
                <w:rFonts w:hint="default" w:ascii="Times New Roman" w:hAnsi="Times New Roman" w:eastAsia="宋体" w:cs="Times New Roman"/>
                <w:b/>
                <w:bCs/>
                <w:spacing w:val="-2"/>
                <w:sz w:val="21"/>
                <w:szCs w:val="21"/>
                <w:highlight w:val="none"/>
                <w:lang w:val="en-US" w:eastAsia="zh-CN"/>
              </w:rPr>
            </w:pPr>
            <w:r>
              <w:rPr>
                <w:rFonts w:hint="eastAsia" w:cs="Times New Roman"/>
                <w:b/>
                <w:bCs/>
                <w:spacing w:val="-2"/>
                <w:sz w:val="21"/>
                <w:szCs w:val="21"/>
                <w:highlight w:val="none"/>
                <w:lang w:val="en-US" w:eastAsia="zh-CN"/>
              </w:rPr>
              <w:t>注：本项目实验室废液总产生量689t/a，结合同类型企业实验室废液产生情况，约20%实验室废液（即137.8t）按CODcr≥10000mg/L计，根据《企业突发环境事件风险分级方法》（HJ941-2018），CODcr浓度≥10000mg/L的有机废液临界量取10t；</w:t>
            </w:r>
            <w:r>
              <w:rPr>
                <w:rFonts w:hint="eastAsia" w:ascii="Times New Roman" w:hAnsi="Times New Roman" w:eastAsia="宋体" w:cs="Times New Roman"/>
                <w:b/>
                <w:bCs/>
                <w:snapToGrid w:val="0"/>
                <w:kern w:val="0"/>
                <w:sz w:val="21"/>
                <w:szCs w:val="21"/>
                <w:highlight w:val="none"/>
              </w:rPr>
              <w:t>根据《建设项目环境风险评价技术导则》（</w:t>
            </w:r>
            <w:r>
              <w:rPr>
                <w:rFonts w:hint="default" w:ascii="Times New Roman" w:hAnsi="Times New Roman" w:eastAsia="宋体" w:cs="Times New Roman"/>
                <w:b/>
                <w:bCs/>
                <w:snapToGrid w:val="0"/>
                <w:kern w:val="0"/>
                <w:sz w:val="21"/>
                <w:szCs w:val="21"/>
                <w:highlight w:val="none"/>
              </w:rPr>
              <w:t>HJ169-2018</w:t>
            </w:r>
            <w:r>
              <w:rPr>
                <w:rFonts w:hint="eastAsia" w:ascii="Times New Roman" w:hAnsi="Times New Roman" w:eastAsia="宋体" w:cs="Times New Roman"/>
                <w:b/>
                <w:bCs/>
                <w:snapToGrid w:val="0"/>
                <w:kern w:val="0"/>
                <w:sz w:val="21"/>
                <w:szCs w:val="21"/>
                <w:highlight w:val="none"/>
              </w:rPr>
              <w:t>）</w:t>
            </w:r>
            <w:r>
              <w:rPr>
                <w:rFonts w:hint="eastAsia" w:cs="Times New Roman"/>
                <w:b/>
                <w:bCs/>
                <w:snapToGrid w:val="0"/>
                <w:kern w:val="0"/>
                <w:sz w:val="21"/>
                <w:szCs w:val="21"/>
                <w:highlight w:val="none"/>
                <w:lang w:eastAsia="zh-CN"/>
              </w:rPr>
              <w:t>，</w:t>
            </w:r>
            <w:r>
              <w:rPr>
                <w:rFonts w:hint="eastAsia" w:cs="Times New Roman"/>
                <w:b/>
                <w:bCs/>
                <w:spacing w:val="-2"/>
                <w:sz w:val="21"/>
                <w:szCs w:val="21"/>
                <w:highlight w:val="none"/>
                <w:lang w:val="en-US" w:eastAsia="zh-CN"/>
              </w:rPr>
              <w:t>剩余约80%实验室废液（即551.2t）临界量取50t，其他危险废物（150.19t）临界量均取50t。</w:t>
            </w:r>
          </w:p>
          <w:p w14:paraId="5BC7C04F">
            <w:pPr>
              <w:keepNext w:val="0"/>
              <w:keepLines w:val="0"/>
              <w:suppressLineNumbers w:val="0"/>
              <w:adjustRightInd w:val="0"/>
              <w:snapToGrid w:val="0"/>
              <w:spacing w:before="0" w:beforeAutospacing="0" w:after="0" w:afterAutospacing="0" w:line="360" w:lineRule="auto"/>
              <w:ind w:left="0" w:right="0" w:firstLine="472" w:firstLineChars="200"/>
              <w:rPr>
                <w:rFonts w:hint="default" w:ascii="Times New Roman" w:hAnsi="Times New Roman" w:eastAsia="宋体" w:cs="Times New Roman"/>
                <w:highlight w:val="none"/>
              </w:rPr>
            </w:pPr>
            <w:r>
              <w:rPr>
                <w:rFonts w:hint="eastAsia" w:ascii="Times New Roman" w:hAnsi="Times New Roman" w:eastAsia="宋体" w:cs="Times New Roman"/>
                <w:spacing w:val="-2"/>
                <w:szCs w:val="20"/>
                <w:highlight w:val="none"/>
              </w:rPr>
              <w:t>从上表可知，项目</w:t>
            </w:r>
            <w:r>
              <w:rPr>
                <w:rFonts w:hint="eastAsia" w:ascii="Times New Roman" w:hAnsi="Times New Roman" w:eastAsia="宋体" w:cs="Times New Roman"/>
                <w:snapToGrid w:val="0"/>
                <w:kern w:val="0"/>
                <w:highlight w:val="none"/>
              </w:rPr>
              <w:t>危险物质数量与临界量比值</w:t>
            </w:r>
            <w:r>
              <w:rPr>
                <w:rFonts w:hint="default" w:ascii="Times New Roman" w:hAnsi="Times New Roman" w:eastAsia="宋体" w:cs="Times New Roman"/>
                <w:szCs w:val="20"/>
                <w:highlight w:val="none"/>
              </w:rPr>
              <w:t>Q=</w:t>
            </w:r>
            <w:r>
              <w:rPr>
                <w:rFonts w:hint="eastAsia" w:ascii="Times New Roman" w:hAnsi="Times New Roman" w:eastAsia="宋体" w:cs="Times New Roman"/>
                <w:snapToGrid w:val="0"/>
                <w:kern w:val="0"/>
                <w:szCs w:val="21"/>
                <w:highlight w:val="none"/>
                <w:lang w:eastAsia="zh-CN"/>
              </w:rPr>
              <w:t>0.</w:t>
            </w:r>
            <w:r>
              <w:rPr>
                <w:rFonts w:hint="eastAsia" w:cs="Times New Roman"/>
                <w:snapToGrid w:val="0"/>
                <w:kern w:val="0"/>
                <w:szCs w:val="21"/>
                <w:highlight w:val="none"/>
                <w:lang w:val="en-US" w:eastAsia="zh-CN"/>
              </w:rPr>
              <w:t>932</w:t>
            </w:r>
            <w:r>
              <w:rPr>
                <w:rFonts w:hint="eastAsia" w:ascii="Times New Roman" w:hAnsi="Times New Roman" w:eastAsia="宋体" w:cs="Times New Roman"/>
                <w:snapToGrid w:val="0"/>
                <w:kern w:val="0"/>
                <w:szCs w:val="21"/>
                <w:highlight w:val="none"/>
              </w:rPr>
              <w:t>（</w:t>
            </w:r>
            <w:r>
              <w:rPr>
                <w:rFonts w:hint="default" w:ascii="Times New Roman" w:hAnsi="Times New Roman" w:eastAsia="宋体" w:cs="Times New Roman"/>
                <w:szCs w:val="20"/>
                <w:highlight w:val="none"/>
              </w:rPr>
              <w:t>Q</w:t>
            </w:r>
            <w:r>
              <w:rPr>
                <w:rFonts w:hint="eastAsia" w:ascii="Times New Roman" w:hAnsi="Times New Roman" w:eastAsia="宋体" w:cs="Times New Roman"/>
                <w:szCs w:val="20"/>
                <w:highlight w:val="none"/>
              </w:rPr>
              <w:t>＜</w:t>
            </w:r>
            <w:r>
              <w:rPr>
                <w:rFonts w:hint="default" w:ascii="Times New Roman" w:hAnsi="Times New Roman" w:eastAsia="宋体" w:cs="Times New Roman"/>
                <w:szCs w:val="20"/>
                <w:highlight w:val="none"/>
              </w:rPr>
              <w:t>1</w:t>
            </w:r>
            <w:r>
              <w:rPr>
                <w:rFonts w:hint="eastAsia" w:ascii="Times New Roman" w:hAnsi="Times New Roman" w:eastAsia="宋体" w:cs="Times New Roman"/>
                <w:szCs w:val="20"/>
                <w:highlight w:val="none"/>
              </w:rPr>
              <w:t>）</w:t>
            </w:r>
            <w:r>
              <w:rPr>
                <w:rFonts w:hint="eastAsia" w:ascii="Times New Roman" w:hAnsi="Times New Roman" w:eastAsia="宋体" w:cs="Times New Roman"/>
                <w:spacing w:val="-2"/>
                <w:szCs w:val="20"/>
                <w:highlight w:val="none"/>
              </w:rPr>
              <w:t>。因此，</w:t>
            </w:r>
            <w:r>
              <w:rPr>
                <w:rFonts w:hint="eastAsia" w:ascii="Times New Roman" w:hAnsi="Times New Roman" w:eastAsia="宋体" w:cs="Times New Roman"/>
                <w:snapToGrid w:val="0"/>
                <w:kern w:val="0"/>
                <w:highlight w:val="none"/>
              </w:rPr>
              <w:t>项目</w:t>
            </w:r>
            <w:r>
              <w:rPr>
                <w:rFonts w:hint="eastAsia" w:ascii="Times New Roman" w:hAnsi="Times New Roman" w:eastAsia="宋体" w:cs="Times New Roman"/>
                <w:szCs w:val="20"/>
                <w:highlight w:val="none"/>
              </w:rPr>
              <w:t>环境风险潜势为</w:t>
            </w:r>
            <w:r>
              <w:rPr>
                <w:rFonts w:hint="default" w:ascii="Times New Roman" w:hAnsi="Times New Roman" w:eastAsia="宋体" w:cs="Times New Roman"/>
                <w:szCs w:val="20"/>
                <w:highlight w:val="none"/>
              </w:rPr>
              <w:t>Ⅰ</w:t>
            </w:r>
            <w:r>
              <w:rPr>
                <w:rFonts w:hint="eastAsia" w:ascii="Times New Roman" w:hAnsi="Times New Roman" w:eastAsia="宋体" w:cs="Times New Roman"/>
                <w:szCs w:val="20"/>
                <w:highlight w:val="none"/>
              </w:rPr>
              <w:t>。根据环境风险评价工作等级划分表格，项目环境风险评价工作等级为简单分析，故本项目不开展专项评价，环境风险简单分析内容见表</w:t>
            </w:r>
            <w:r>
              <w:rPr>
                <w:rFonts w:hint="default" w:ascii="Times New Roman" w:hAnsi="Times New Roman" w:eastAsia="宋体" w:cs="Times New Roman"/>
                <w:szCs w:val="20"/>
                <w:highlight w:val="none"/>
              </w:rPr>
              <w:t>4-</w:t>
            </w:r>
            <w:r>
              <w:rPr>
                <w:rFonts w:hint="eastAsia" w:cs="Times New Roman"/>
                <w:szCs w:val="20"/>
                <w:highlight w:val="none"/>
                <w:lang w:val="en-US" w:eastAsia="zh-CN"/>
              </w:rPr>
              <w:t>1</w:t>
            </w:r>
            <w:r>
              <w:rPr>
                <w:rFonts w:hint="eastAsia" w:ascii="Times New Roman" w:hAnsi="Times New Roman" w:eastAsia="宋体" w:cs="Times New Roman"/>
                <w:szCs w:val="20"/>
                <w:highlight w:val="none"/>
                <w:lang w:val="en-US" w:eastAsia="zh-CN"/>
              </w:rPr>
              <w:t>7</w:t>
            </w:r>
            <w:r>
              <w:rPr>
                <w:rFonts w:hint="eastAsia" w:ascii="Times New Roman" w:hAnsi="Times New Roman" w:eastAsia="宋体" w:cs="Times New Roman"/>
                <w:szCs w:val="20"/>
                <w:highlight w:val="none"/>
              </w:rPr>
              <w:t>。</w:t>
            </w:r>
          </w:p>
          <w:p w14:paraId="6778E094">
            <w:pPr>
              <w:keepNext w:val="0"/>
              <w:keepLines w:val="0"/>
              <w:suppressLineNumbers w:val="0"/>
              <w:adjustRightInd w:val="0"/>
              <w:snapToGrid w:val="0"/>
              <w:spacing w:before="0" w:beforeAutospacing="0" w:after="0" w:afterAutospacing="0" w:line="360" w:lineRule="auto"/>
              <w:ind w:left="0" w:right="0"/>
              <w:jc w:val="center"/>
              <w:rPr>
                <w:rFonts w:hint="default" w:ascii="Times New Roman" w:hAnsi="Times New Roman" w:eastAsia="宋体" w:cs="Times New Roman"/>
                <w:b/>
                <w:highlight w:val="none"/>
              </w:rPr>
            </w:pPr>
            <w:r>
              <w:rPr>
                <w:rFonts w:hint="eastAsia" w:ascii="Times New Roman" w:hAnsi="Times New Roman" w:eastAsia="宋体" w:cs="Times New Roman"/>
                <w:b/>
                <w:highlight w:val="none"/>
              </w:rPr>
              <w:t>表</w:t>
            </w:r>
            <w:r>
              <w:rPr>
                <w:rFonts w:hint="default" w:ascii="Times New Roman" w:hAnsi="Times New Roman" w:eastAsia="宋体" w:cs="Times New Roman"/>
                <w:b/>
                <w:highlight w:val="none"/>
              </w:rPr>
              <w:t>4-</w:t>
            </w:r>
            <w:r>
              <w:rPr>
                <w:rFonts w:hint="eastAsia" w:cs="Times New Roman"/>
                <w:b/>
                <w:highlight w:val="none"/>
                <w:lang w:val="en-US" w:eastAsia="zh-CN"/>
              </w:rPr>
              <w:t>1</w:t>
            </w:r>
            <w:r>
              <w:rPr>
                <w:rFonts w:hint="eastAsia" w:ascii="Times New Roman" w:hAnsi="Times New Roman" w:eastAsia="宋体" w:cs="Times New Roman"/>
                <w:b/>
                <w:highlight w:val="none"/>
                <w:lang w:val="en-US" w:eastAsia="zh-CN"/>
              </w:rPr>
              <w:t>7</w:t>
            </w:r>
            <w:r>
              <w:rPr>
                <w:rFonts w:hint="default" w:ascii="Times New Roman" w:hAnsi="Times New Roman" w:eastAsia="宋体" w:cs="Times New Roman"/>
                <w:b/>
                <w:highlight w:val="none"/>
              </w:rPr>
              <w:t xml:space="preserve">  </w:t>
            </w:r>
            <w:r>
              <w:rPr>
                <w:rFonts w:hint="eastAsia" w:ascii="Times New Roman" w:hAnsi="Times New Roman" w:eastAsia="宋体" w:cs="Times New Roman"/>
                <w:b/>
                <w:highlight w:val="none"/>
              </w:rPr>
              <w:t>环境风险影响分析内容表</w:t>
            </w:r>
          </w:p>
          <w:tbl>
            <w:tblPr>
              <w:tblStyle w:val="32"/>
              <w:tblW w:w="8139"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28" w:type="dxa"/>
                <w:bottom w:w="0" w:type="dxa"/>
                <w:right w:w="28" w:type="dxa"/>
              </w:tblCellMar>
            </w:tblPr>
            <w:tblGrid>
              <w:gridCol w:w="1206"/>
              <w:gridCol w:w="6933"/>
            </w:tblGrid>
            <w:tr w14:paraId="52A722F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535" w:hRule="atLeast"/>
                <w:jc w:val="center"/>
              </w:trPr>
              <w:tc>
                <w:tcPr>
                  <w:tcW w:w="1206" w:type="dxa"/>
                  <w:tcBorders>
                    <w:tl2br w:val="nil"/>
                    <w:tr2bl w:val="nil"/>
                  </w:tcBorders>
                  <w:vAlign w:val="center"/>
                </w:tcPr>
                <w:p w14:paraId="7BA8B68A">
                  <w:pPr>
                    <w:keepNext w:val="0"/>
                    <w:keepLines w:val="0"/>
                    <w:suppressLineNumbers w:val="0"/>
                    <w:adjustRightInd w:val="0"/>
                    <w:snapToGrid w:val="0"/>
                    <w:spacing w:before="0" w:beforeAutospacing="0" w:after="0" w:afterAutospacing="0" w:line="264" w:lineRule="auto"/>
                    <w:ind w:left="0" w:right="0"/>
                    <w:jc w:val="center"/>
                    <w:rPr>
                      <w:rFonts w:hint="default" w:ascii="Times New Roman" w:hAnsi="Times New Roman" w:eastAsia="宋体" w:cs="Times New Roman"/>
                      <w:sz w:val="18"/>
                      <w:szCs w:val="18"/>
                      <w:highlight w:val="none"/>
                    </w:rPr>
                  </w:pPr>
                  <w:r>
                    <w:rPr>
                      <w:rFonts w:hint="eastAsia" w:ascii="Times New Roman" w:hAnsi="Times New Roman" w:eastAsia="宋体" w:cs="Times New Roman"/>
                      <w:sz w:val="18"/>
                      <w:szCs w:val="18"/>
                      <w:highlight w:val="none"/>
                    </w:rPr>
                    <w:t>主要危险物质及分布</w:t>
                  </w:r>
                </w:p>
              </w:tc>
              <w:tc>
                <w:tcPr>
                  <w:tcW w:w="6933" w:type="dxa"/>
                  <w:tcBorders>
                    <w:tl2br w:val="nil"/>
                    <w:tr2bl w:val="nil"/>
                  </w:tcBorders>
                  <w:vAlign w:val="center"/>
                </w:tcPr>
                <w:p w14:paraId="4B73CCA0">
                  <w:pPr>
                    <w:keepNext w:val="0"/>
                    <w:keepLines w:val="0"/>
                    <w:suppressLineNumbers w:val="0"/>
                    <w:adjustRightInd w:val="0"/>
                    <w:snapToGrid w:val="0"/>
                    <w:spacing w:before="0" w:beforeAutospacing="0" w:after="0" w:afterAutospacing="0" w:line="264" w:lineRule="auto"/>
                    <w:ind w:left="0" w:right="0"/>
                    <w:textAlignment w:val="baseline"/>
                    <w:rPr>
                      <w:rFonts w:hint="eastAsia" w:ascii="Times New Roman" w:hAnsi="Times New Roman" w:eastAsia="宋体" w:cs="Times New Roman"/>
                      <w:sz w:val="18"/>
                      <w:szCs w:val="18"/>
                      <w:highlight w:val="none"/>
                    </w:rPr>
                  </w:pPr>
                  <w:r>
                    <w:rPr>
                      <w:rFonts w:hint="eastAsia" w:ascii="Times New Roman" w:hAnsi="Times New Roman" w:eastAsia="宋体" w:cs="Times New Roman"/>
                      <w:sz w:val="18"/>
                      <w:szCs w:val="18"/>
                      <w:highlight w:val="none"/>
                    </w:rPr>
                    <w:t>主要危险物质：乙醇（75%）</w:t>
                  </w:r>
                  <w:r>
                    <w:rPr>
                      <w:rFonts w:hint="eastAsia" w:ascii="Times New Roman" w:hAnsi="Times New Roman" w:eastAsia="宋体" w:cs="Times New Roman"/>
                      <w:sz w:val="18"/>
                      <w:szCs w:val="18"/>
                      <w:highlight w:val="none"/>
                      <w:lang w:eastAsia="zh-CN"/>
                    </w:rPr>
                    <w:t>、</w:t>
                  </w:r>
                  <w:r>
                    <w:rPr>
                      <w:rFonts w:hint="eastAsia" w:ascii="Times New Roman" w:hAnsi="Times New Roman" w:eastAsia="宋体" w:cs="Times New Roman"/>
                      <w:sz w:val="18"/>
                      <w:szCs w:val="18"/>
                      <w:highlight w:val="none"/>
                      <w:lang w:val="en-US" w:eastAsia="zh-CN"/>
                    </w:rPr>
                    <w:t>次氯酸钠（10%）、甲醛（10%）、科创</w:t>
                  </w:r>
                  <w:r>
                    <w:rPr>
                      <w:rFonts w:hint="eastAsia"/>
                      <w:kern w:val="0"/>
                      <w:sz w:val="18"/>
                      <w:szCs w:val="18"/>
                      <w:highlight w:val="none"/>
                      <w:lang w:val="en-US" w:eastAsia="zh-CN"/>
                    </w:rPr>
                    <w:t>综合</w:t>
                  </w:r>
                  <w:r>
                    <w:rPr>
                      <w:rFonts w:hint="eastAsia" w:ascii="Times New Roman" w:hAnsi="Times New Roman" w:eastAsia="宋体" w:cs="Times New Roman"/>
                      <w:sz w:val="18"/>
                      <w:szCs w:val="18"/>
                      <w:highlight w:val="none"/>
                      <w:lang w:val="en-US" w:eastAsia="zh-CN"/>
                    </w:rPr>
                    <w:t>楼实验试剂</w:t>
                  </w:r>
                  <w:r>
                    <w:rPr>
                      <w:rFonts w:hint="eastAsia" w:ascii="Times New Roman" w:hAnsi="Times New Roman" w:eastAsia="宋体" w:cs="Times New Roman"/>
                      <w:sz w:val="18"/>
                      <w:szCs w:val="18"/>
                      <w:highlight w:val="none"/>
                    </w:rPr>
                    <w:t>和危险废物（感染性废物</w:t>
                  </w:r>
                  <w:r>
                    <w:rPr>
                      <w:rFonts w:hint="eastAsia" w:ascii="Times New Roman" w:hAnsi="Times New Roman" w:eastAsia="宋体" w:cs="Times New Roman"/>
                      <w:sz w:val="18"/>
                      <w:szCs w:val="18"/>
                      <w:highlight w:val="none"/>
                      <w:lang w:eastAsia="zh-CN"/>
                    </w:rPr>
                    <w:t>、</w:t>
                  </w:r>
                  <w:r>
                    <w:rPr>
                      <w:rFonts w:hint="eastAsia" w:ascii="Times New Roman" w:hAnsi="Times New Roman" w:eastAsia="宋体" w:cs="Times New Roman"/>
                      <w:sz w:val="18"/>
                      <w:szCs w:val="18"/>
                      <w:highlight w:val="none"/>
                    </w:rPr>
                    <w:t>损伤性废物</w:t>
                  </w:r>
                  <w:r>
                    <w:rPr>
                      <w:rFonts w:hint="eastAsia" w:ascii="Times New Roman" w:hAnsi="Times New Roman" w:eastAsia="宋体" w:cs="Times New Roman"/>
                      <w:sz w:val="18"/>
                      <w:szCs w:val="18"/>
                      <w:highlight w:val="none"/>
                      <w:lang w:eastAsia="zh-CN"/>
                    </w:rPr>
                    <w:t>、</w:t>
                  </w:r>
                  <w:r>
                    <w:rPr>
                      <w:rFonts w:hint="eastAsia" w:ascii="Times New Roman" w:hAnsi="Times New Roman" w:eastAsia="宋体" w:cs="Times New Roman"/>
                      <w:sz w:val="18"/>
                      <w:szCs w:val="18"/>
                      <w:highlight w:val="none"/>
                    </w:rPr>
                    <w:t>病理性废物</w:t>
                  </w:r>
                  <w:r>
                    <w:rPr>
                      <w:rFonts w:hint="eastAsia" w:ascii="Times New Roman" w:hAnsi="Times New Roman" w:eastAsia="宋体" w:cs="Times New Roman"/>
                      <w:sz w:val="18"/>
                      <w:szCs w:val="18"/>
                      <w:highlight w:val="none"/>
                      <w:lang w:eastAsia="zh-CN"/>
                    </w:rPr>
                    <w:t>、</w:t>
                  </w:r>
                  <w:r>
                    <w:rPr>
                      <w:rFonts w:hint="eastAsia" w:ascii="Times New Roman" w:hAnsi="Times New Roman" w:eastAsia="宋体" w:cs="Times New Roman"/>
                      <w:sz w:val="18"/>
                      <w:szCs w:val="18"/>
                      <w:highlight w:val="none"/>
                    </w:rPr>
                    <w:t>药物性废物</w:t>
                  </w:r>
                  <w:r>
                    <w:rPr>
                      <w:rFonts w:hint="eastAsia" w:ascii="Times New Roman" w:hAnsi="Times New Roman" w:eastAsia="宋体" w:cs="Times New Roman"/>
                      <w:sz w:val="18"/>
                      <w:szCs w:val="18"/>
                      <w:highlight w:val="none"/>
                      <w:lang w:eastAsia="zh-CN"/>
                    </w:rPr>
                    <w:t>、</w:t>
                  </w:r>
                  <w:r>
                    <w:rPr>
                      <w:rFonts w:hint="eastAsia" w:ascii="Times New Roman" w:hAnsi="Times New Roman" w:eastAsia="宋体" w:cs="Times New Roman"/>
                      <w:sz w:val="18"/>
                      <w:szCs w:val="18"/>
                      <w:highlight w:val="none"/>
                    </w:rPr>
                    <w:t>化学性废物、实验废液、污泥</w:t>
                  </w:r>
                  <w:r>
                    <w:rPr>
                      <w:rFonts w:hint="eastAsia" w:ascii="Times New Roman" w:hAnsi="Times New Roman" w:eastAsia="宋体" w:cs="Times New Roman"/>
                      <w:sz w:val="18"/>
                      <w:szCs w:val="18"/>
                      <w:highlight w:val="none"/>
                      <w:lang w:eastAsia="zh-CN"/>
                    </w:rPr>
                    <w:t>、</w:t>
                  </w:r>
                  <w:r>
                    <w:rPr>
                      <w:rFonts w:hint="eastAsia" w:ascii="Times New Roman" w:hAnsi="Times New Roman" w:eastAsia="宋体" w:cs="Times New Roman"/>
                      <w:sz w:val="18"/>
                      <w:szCs w:val="18"/>
                      <w:highlight w:val="none"/>
                      <w:lang w:val="en-US" w:eastAsia="zh-CN"/>
                    </w:rPr>
                    <w:t>废耗材等等</w:t>
                  </w:r>
                  <w:r>
                    <w:rPr>
                      <w:rFonts w:hint="eastAsia" w:ascii="Times New Roman" w:hAnsi="Times New Roman" w:eastAsia="宋体" w:cs="Times New Roman"/>
                      <w:sz w:val="18"/>
                      <w:szCs w:val="18"/>
                      <w:highlight w:val="none"/>
                    </w:rPr>
                    <w:t>）</w:t>
                  </w:r>
                </w:p>
                <w:p w14:paraId="1827A31D">
                  <w:pPr>
                    <w:keepNext w:val="0"/>
                    <w:keepLines w:val="0"/>
                    <w:suppressLineNumbers w:val="0"/>
                    <w:adjustRightInd w:val="0"/>
                    <w:snapToGrid w:val="0"/>
                    <w:spacing w:before="0" w:beforeAutospacing="0" w:after="0" w:afterAutospacing="0" w:line="264" w:lineRule="auto"/>
                    <w:ind w:left="0" w:right="0"/>
                    <w:textAlignment w:val="baseline"/>
                    <w:rPr>
                      <w:rFonts w:hint="default" w:ascii="Times New Roman" w:hAnsi="Times New Roman" w:eastAsia="宋体" w:cs="Times New Roman"/>
                      <w:sz w:val="18"/>
                      <w:szCs w:val="18"/>
                      <w:highlight w:val="none"/>
                    </w:rPr>
                  </w:pPr>
                  <w:r>
                    <w:rPr>
                      <w:rFonts w:hint="eastAsia" w:ascii="Times New Roman" w:hAnsi="Times New Roman" w:eastAsia="宋体" w:cs="Times New Roman"/>
                      <w:sz w:val="18"/>
                      <w:szCs w:val="18"/>
                      <w:highlight w:val="none"/>
                    </w:rPr>
                    <w:t>危险单元：</w:t>
                  </w:r>
                  <w:r>
                    <w:rPr>
                      <w:rFonts w:hint="eastAsia" w:cs="Times New Roman"/>
                      <w:sz w:val="18"/>
                      <w:szCs w:val="18"/>
                      <w:highlight w:val="none"/>
                      <w:lang w:val="en-US" w:eastAsia="zh-CN"/>
                    </w:rPr>
                    <w:t>试剂间</w:t>
                  </w:r>
                  <w:r>
                    <w:rPr>
                      <w:rFonts w:hint="eastAsia" w:ascii="Times New Roman" w:hAnsi="Times New Roman" w:eastAsia="宋体" w:cs="Times New Roman"/>
                      <w:sz w:val="18"/>
                      <w:szCs w:val="18"/>
                      <w:highlight w:val="none"/>
                    </w:rPr>
                    <w:t>、危废仓库</w:t>
                  </w:r>
                </w:p>
              </w:tc>
            </w:tr>
            <w:tr w14:paraId="5236DEF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332" w:hRule="atLeast"/>
                <w:jc w:val="center"/>
              </w:trPr>
              <w:tc>
                <w:tcPr>
                  <w:tcW w:w="1206" w:type="dxa"/>
                  <w:tcBorders>
                    <w:tl2br w:val="nil"/>
                    <w:tr2bl w:val="nil"/>
                  </w:tcBorders>
                  <w:vAlign w:val="center"/>
                </w:tcPr>
                <w:p w14:paraId="67D99DBC">
                  <w:pPr>
                    <w:keepNext w:val="0"/>
                    <w:keepLines w:val="0"/>
                    <w:suppressLineNumbers w:val="0"/>
                    <w:adjustRightInd w:val="0"/>
                    <w:snapToGrid w:val="0"/>
                    <w:spacing w:before="0" w:beforeAutospacing="0" w:after="0" w:afterAutospacing="0" w:line="264" w:lineRule="auto"/>
                    <w:ind w:left="0" w:right="0"/>
                    <w:jc w:val="center"/>
                    <w:textAlignment w:val="baseline"/>
                    <w:rPr>
                      <w:rFonts w:hint="default" w:ascii="Times New Roman" w:hAnsi="Times New Roman" w:eastAsia="宋体" w:cs="Times New Roman"/>
                      <w:sz w:val="18"/>
                      <w:szCs w:val="18"/>
                      <w:highlight w:val="none"/>
                    </w:rPr>
                  </w:pPr>
                  <w:r>
                    <w:rPr>
                      <w:rFonts w:hint="eastAsia" w:ascii="Times New Roman" w:hAnsi="Times New Roman" w:eastAsia="宋体" w:cs="Times New Roman"/>
                      <w:sz w:val="18"/>
                      <w:szCs w:val="18"/>
                      <w:highlight w:val="none"/>
                    </w:rPr>
                    <w:t>环境影响途径及危害后果</w:t>
                  </w:r>
                </w:p>
              </w:tc>
              <w:tc>
                <w:tcPr>
                  <w:tcW w:w="6933" w:type="dxa"/>
                  <w:tcBorders>
                    <w:tl2br w:val="nil"/>
                    <w:tr2bl w:val="nil"/>
                  </w:tcBorders>
                  <w:vAlign w:val="center"/>
                </w:tcPr>
                <w:p w14:paraId="624F8AFA">
                  <w:pPr>
                    <w:keepNext w:val="0"/>
                    <w:keepLines w:val="0"/>
                    <w:suppressLineNumbers w:val="0"/>
                    <w:adjustRightInd w:val="0"/>
                    <w:snapToGrid w:val="0"/>
                    <w:spacing w:before="0" w:beforeAutospacing="0" w:after="0" w:afterAutospacing="0" w:line="264" w:lineRule="auto"/>
                    <w:ind w:left="0" w:right="0"/>
                    <w:textAlignment w:val="baseline"/>
                    <w:rPr>
                      <w:rFonts w:hint="default" w:ascii="Times New Roman" w:hAnsi="Times New Roman" w:eastAsia="宋体" w:cs="Times New Roman"/>
                      <w:sz w:val="18"/>
                      <w:szCs w:val="18"/>
                      <w:highlight w:val="none"/>
                    </w:rPr>
                  </w:pPr>
                  <w:r>
                    <w:rPr>
                      <w:rFonts w:hint="eastAsia" w:ascii="Times New Roman" w:hAnsi="Times New Roman" w:eastAsia="宋体" w:cs="Times New Roman"/>
                      <w:sz w:val="18"/>
                      <w:szCs w:val="18"/>
                      <w:highlight w:val="none"/>
                    </w:rPr>
                    <w:t>由于操作失误等原因，导致危险物质泄漏、火灾，引发次生</w:t>
                  </w:r>
                  <w:r>
                    <w:rPr>
                      <w:rFonts w:hint="default" w:ascii="Times New Roman" w:hAnsi="Times New Roman" w:eastAsia="宋体" w:cs="Times New Roman"/>
                      <w:sz w:val="18"/>
                      <w:szCs w:val="18"/>
                      <w:highlight w:val="none"/>
                    </w:rPr>
                    <w:t>/</w:t>
                  </w:r>
                  <w:r>
                    <w:rPr>
                      <w:rFonts w:hint="eastAsia" w:ascii="Times New Roman" w:hAnsi="Times New Roman" w:eastAsia="宋体" w:cs="Times New Roman"/>
                      <w:sz w:val="18"/>
                      <w:szCs w:val="18"/>
                      <w:highlight w:val="none"/>
                    </w:rPr>
                    <w:t>伴生污染物排放，最终污染物进入环境空气，事故废水进入地表水、地下水。</w:t>
                  </w:r>
                </w:p>
              </w:tc>
            </w:tr>
            <w:tr w14:paraId="65CEB42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336" w:hRule="atLeast"/>
                <w:jc w:val="center"/>
              </w:trPr>
              <w:tc>
                <w:tcPr>
                  <w:tcW w:w="1206" w:type="dxa"/>
                  <w:tcBorders>
                    <w:tl2br w:val="nil"/>
                    <w:tr2bl w:val="nil"/>
                  </w:tcBorders>
                  <w:vAlign w:val="center"/>
                </w:tcPr>
                <w:p w14:paraId="33486F73">
                  <w:pPr>
                    <w:keepNext w:val="0"/>
                    <w:keepLines w:val="0"/>
                    <w:suppressLineNumbers w:val="0"/>
                    <w:adjustRightInd w:val="0"/>
                    <w:snapToGrid w:val="0"/>
                    <w:spacing w:before="0" w:beforeAutospacing="0" w:after="0" w:afterAutospacing="0" w:line="264" w:lineRule="auto"/>
                    <w:ind w:left="0" w:right="0"/>
                    <w:jc w:val="center"/>
                    <w:textAlignment w:val="baseline"/>
                    <w:rPr>
                      <w:rFonts w:hint="default" w:ascii="Times New Roman" w:hAnsi="Times New Roman" w:eastAsia="宋体" w:cs="Times New Roman"/>
                      <w:sz w:val="18"/>
                      <w:szCs w:val="18"/>
                      <w:highlight w:val="none"/>
                    </w:rPr>
                  </w:pPr>
                  <w:r>
                    <w:rPr>
                      <w:rFonts w:hint="eastAsia" w:ascii="Times New Roman" w:hAnsi="Times New Roman" w:eastAsia="宋体" w:cs="Times New Roman"/>
                      <w:sz w:val="18"/>
                      <w:szCs w:val="18"/>
                      <w:highlight w:val="none"/>
                    </w:rPr>
                    <w:t>风险防范措施要求</w:t>
                  </w:r>
                </w:p>
              </w:tc>
              <w:tc>
                <w:tcPr>
                  <w:tcW w:w="6933" w:type="dxa"/>
                  <w:tcBorders>
                    <w:tl2br w:val="nil"/>
                    <w:tr2bl w:val="nil"/>
                  </w:tcBorders>
                  <w:vAlign w:val="center"/>
                </w:tcPr>
                <w:p w14:paraId="210672FB">
                  <w:pPr>
                    <w:keepNext w:val="0"/>
                    <w:keepLines w:val="0"/>
                    <w:numPr>
                      <w:ilvl w:val="0"/>
                      <w:numId w:val="8"/>
                    </w:numPr>
                    <w:suppressLineNumbers w:val="0"/>
                    <w:adjustRightInd w:val="0"/>
                    <w:snapToGrid w:val="0"/>
                    <w:spacing w:before="0" w:beforeAutospacing="0" w:after="0" w:afterAutospacing="0" w:line="264" w:lineRule="auto"/>
                    <w:ind w:left="0" w:right="0"/>
                    <w:textAlignment w:val="baseline"/>
                    <w:rPr>
                      <w:rFonts w:hint="default" w:ascii="Times New Roman" w:hAnsi="Times New Roman" w:eastAsia="宋体" w:cs="Times New Roman"/>
                      <w:sz w:val="18"/>
                      <w:szCs w:val="18"/>
                      <w:highlight w:val="none"/>
                    </w:rPr>
                  </w:pPr>
                  <w:r>
                    <w:rPr>
                      <w:rFonts w:hint="eastAsia" w:ascii="Times New Roman" w:hAnsi="Times New Roman" w:eastAsia="宋体" w:cs="Times New Roman"/>
                      <w:sz w:val="18"/>
                      <w:szCs w:val="18"/>
                      <w:highlight w:val="none"/>
                    </w:rPr>
                    <w:t>加强对危险物质（乙醇（75%）</w:t>
                  </w:r>
                  <w:r>
                    <w:rPr>
                      <w:rFonts w:hint="eastAsia" w:ascii="Times New Roman" w:hAnsi="Times New Roman" w:eastAsia="宋体" w:cs="Times New Roman"/>
                      <w:sz w:val="18"/>
                      <w:szCs w:val="18"/>
                      <w:highlight w:val="none"/>
                      <w:lang w:eastAsia="zh-CN"/>
                    </w:rPr>
                    <w:t>、</w:t>
                  </w:r>
                  <w:r>
                    <w:rPr>
                      <w:rFonts w:hint="eastAsia" w:ascii="Times New Roman" w:hAnsi="Times New Roman" w:eastAsia="宋体" w:cs="Times New Roman"/>
                      <w:sz w:val="18"/>
                      <w:szCs w:val="18"/>
                      <w:highlight w:val="none"/>
                      <w:lang w:val="en-US" w:eastAsia="zh-CN"/>
                    </w:rPr>
                    <w:t>次氯酸钠（10%）、甲醛（10%）</w:t>
                  </w:r>
                  <w:r>
                    <w:rPr>
                      <w:rFonts w:hint="eastAsia" w:ascii="Times New Roman" w:hAnsi="Times New Roman" w:eastAsia="宋体" w:cs="Times New Roman"/>
                      <w:sz w:val="18"/>
                      <w:szCs w:val="18"/>
                      <w:highlight w:val="none"/>
                    </w:rPr>
                    <w:t>、</w:t>
                  </w:r>
                  <w:r>
                    <w:rPr>
                      <w:rFonts w:hint="eastAsia" w:ascii="Times New Roman" w:hAnsi="Times New Roman" w:eastAsia="宋体" w:cs="Times New Roman"/>
                      <w:snapToGrid w:val="0"/>
                      <w:kern w:val="0"/>
                      <w:sz w:val="18"/>
                      <w:szCs w:val="18"/>
                      <w:highlight w:val="none"/>
                    </w:rPr>
                    <w:t>危险废物</w:t>
                  </w:r>
                  <w:r>
                    <w:rPr>
                      <w:rFonts w:hint="eastAsia" w:ascii="Times New Roman" w:hAnsi="Times New Roman" w:eastAsia="宋体" w:cs="Times New Roman"/>
                      <w:sz w:val="18"/>
                      <w:szCs w:val="18"/>
                      <w:highlight w:val="none"/>
                    </w:rPr>
                    <w:t>）的管理，加强风险源监控，在相关场所按要求设置标志标识，避免事故的发生或减少事故产生的危害。</w:t>
                  </w:r>
                </w:p>
                <w:p w14:paraId="480495AC">
                  <w:pPr>
                    <w:keepNext w:val="0"/>
                    <w:keepLines w:val="0"/>
                    <w:suppressLineNumbers w:val="0"/>
                    <w:adjustRightInd w:val="0"/>
                    <w:snapToGrid w:val="0"/>
                    <w:spacing w:before="0" w:beforeAutospacing="0" w:after="0" w:afterAutospacing="0" w:line="264" w:lineRule="auto"/>
                    <w:ind w:left="0" w:right="0"/>
                    <w:textAlignment w:val="baseline"/>
                    <w:rPr>
                      <w:rFonts w:hint="default" w:ascii="Times New Roman" w:hAnsi="Times New Roman" w:eastAsia="宋体" w:cs="Times New Roman"/>
                      <w:sz w:val="18"/>
                      <w:szCs w:val="18"/>
                      <w:highlight w:val="none"/>
                    </w:rPr>
                  </w:pPr>
                  <w:r>
                    <w:rPr>
                      <w:rFonts w:hint="default" w:ascii="Times New Roman" w:hAnsi="Times New Roman" w:eastAsia="宋体" w:cs="Times New Roman"/>
                      <w:sz w:val="18"/>
                      <w:szCs w:val="18"/>
                      <w:highlight w:val="none"/>
                    </w:rPr>
                    <w:t>2</w:t>
                  </w:r>
                  <w:r>
                    <w:rPr>
                      <w:rFonts w:hint="eastAsia" w:ascii="Times New Roman" w:hAnsi="Times New Roman" w:eastAsia="宋体" w:cs="Times New Roman"/>
                      <w:sz w:val="18"/>
                      <w:szCs w:val="18"/>
                      <w:highlight w:val="none"/>
                    </w:rPr>
                    <w:t>、危险物质储存地点应设置事故废水收集和应急储存设施。</w:t>
                  </w:r>
                </w:p>
                <w:p w14:paraId="1BA0A129">
                  <w:pPr>
                    <w:keepNext w:val="0"/>
                    <w:keepLines w:val="0"/>
                    <w:suppressLineNumbers w:val="0"/>
                    <w:adjustRightInd w:val="0"/>
                    <w:snapToGrid w:val="0"/>
                    <w:spacing w:before="0" w:beforeAutospacing="0" w:after="0" w:afterAutospacing="0" w:line="264" w:lineRule="auto"/>
                    <w:ind w:left="0" w:right="0"/>
                    <w:textAlignment w:val="baseline"/>
                    <w:rPr>
                      <w:rFonts w:hint="default" w:ascii="Times New Roman" w:hAnsi="Times New Roman" w:eastAsia="宋体" w:cs="Times New Roman"/>
                      <w:sz w:val="18"/>
                      <w:szCs w:val="18"/>
                      <w:highlight w:val="none"/>
                    </w:rPr>
                  </w:pPr>
                  <w:r>
                    <w:rPr>
                      <w:rFonts w:hint="default" w:ascii="Times New Roman" w:hAnsi="Times New Roman" w:eastAsia="宋体" w:cs="Times New Roman"/>
                      <w:sz w:val="18"/>
                      <w:szCs w:val="18"/>
                      <w:highlight w:val="none"/>
                    </w:rPr>
                    <w:t>3</w:t>
                  </w:r>
                  <w:r>
                    <w:rPr>
                      <w:rFonts w:hint="eastAsia" w:ascii="Times New Roman" w:hAnsi="Times New Roman" w:eastAsia="宋体" w:cs="Times New Roman"/>
                      <w:sz w:val="18"/>
                      <w:szCs w:val="18"/>
                      <w:highlight w:val="none"/>
                    </w:rPr>
                    <w:t>、做好地下水分区防渗。</w:t>
                  </w:r>
                </w:p>
              </w:tc>
            </w:tr>
          </w:tbl>
          <w:p w14:paraId="4F286F13">
            <w:pPr>
              <w:keepNext w:val="0"/>
              <w:keepLines w:val="0"/>
              <w:suppressLineNumbers w:val="0"/>
              <w:adjustRightInd w:val="0"/>
              <w:snapToGrid w:val="0"/>
              <w:spacing w:before="0" w:beforeAutospacing="0" w:after="0" w:afterAutospacing="0" w:line="360" w:lineRule="auto"/>
              <w:ind w:left="0" w:right="0" w:firstLine="482" w:firstLineChars="200"/>
              <w:rPr>
                <w:rFonts w:hint="default" w:ascii="Times New Roman" w:hAnsi="Times New Roman" w:eastAsia="宋体" w:cs="Times New Roman"/>
                <w:b/>
                <w:snapToGrid w:val="0"/>
                <w:kern w:val="0"/>
                <w:highlight w:val="none"/>
              </w:rPr>
            </w:pPr>
            <w:r>
              <w:rPr>
                <w:rFonts w:hint="eastAsia" w:ascii="Times New Roman" w:hAnsi="Times New Roman" w:eastAsia="宋体" w:cs="Times New Roman"/>
                <w:b/>
                <w:snapToGrid w:val="0"/>
                <w:kern w:val="0"/>
                <w:highlight w:val="none"/>
              </w:rPr>
              <w:t>（</w:t>
            </w:r>
            <w:r>
              <w:rPr>
                <w:rFonts w:hint="default" w:ascii="Times New Roman" w:hAnsi="Times New Roman" w:eastAsia="宋体" w:cs="Times New Roman"/>
                <w:b/>
                <w:snapToGrid w:val="0"/>
                <w:kern w:val="0"/>
                <w:highlight w:val="none"/>
              </w:rPr>
              <w:t>2</w:t>
            </w:r>
            <w:r>
              <w:rPr>
                <w:rFonts w:hint="eastAsia" w:ascii="Times New Roman" w:hAnsi="Times New Roman" w:eastAsia="宋体" w:cs="Times New Roman"/>
                <w:b/>
                <w:snapToGrid w:val="0"/>
                <w:kern w:val="0"/>
                <w:highlight w:val="none"/>
              </w:rPr>
              <w:t>）环境风险防范措施及应急要求</w:t>
            </w:r>
          </w:p>
          <w:p w14:paraId="0EAB4766">
            <w:pPr>
              <w:keepNext w:val="0"/>
              <w:keepLines w:val="0"/>
              <w:suppressLineNumbers w:val="0"/>
              <w:adjustRightInd w:val="0"/>
              <w:snapToGrid w:val="0"/>
              <w:spacing w:before="0" w:beforeAutospacing="0" w:after="0" w:afterAutospacing="0" w:line="360" w:lineRule="auto"/>
              <w:ind w:left="0" w:right="0" w:firstLine="480" w:firstLineChars="200"/>
              <w:rPr>
                <w:rFonts w:hint="default" w:ascii="Times New Roman" w:hAnsi="Times New Roman" w:eastAsia="宋体" w:cs="Times New Roman"/>
                <w:bCs/>
                <w:snapToGrid w:val="0"/>
                <w:highlight w:val="none"/>
              </w:rPr>
            </w:pPr>
            <w:r>
              <w:rPr>
                <w:rFonts w:hint="eastAsia" w:ascii="Times New Roman" w:hAnsi="Times New Roman" w:eastAsia="宋体" w:cs="Times New Roman"/>
                <w:bCs/>
                <w:snapToGrid w:val="0"/>
                <w:highlight w:val="none"/>
              </w:rPr>
              <w:t>针对企业可能产生的环境风险隐患，采取一系列</w:t>
            </w:r>
            <w:r>
              <w:rPr>
                <w:rFonts w:hint="eastAsia" w:cs="Times New Roman"/>
                <w:bCs/>
                <w:snapToGrid w:val="0"/>
                <w:highlight w:val="none"/>
                <w:lang w:val="en-US" w:eastAsia="zh-CN"/>
              </w:rPr>
              <w:t>防范</w:t>
            </w:r>
            <w:r>
              <w:rPr>
                <w:rFonts w:hint="eastAsia" w:ascii="Times New Roman" w:hAnsi="Times New Roman" w:eastAsia="宋体" w:cs="Times New Roman"/>
                <w:bCs/>
                <w:snapToGrid w:val="0"/>
                <w:highlight w:val="none"/>
              </w:rPr>
              <w:t>措施。为进一步减少环境风险可能产生的环境影响，在采取预防措施基础上加强以下风险防范和管理措施：</w:t>
            </w:r>
          </w:p>
          <w:p w14:paraId="0250FF7A">
            <w:pPr>
              <w:keepNext w:val="0"/>
              <w:keepLines w:val="0"/>
              <w:suppressLineNumbers w:val="0"/>
              <w:spacing w:before="0" w:beforeAutospacing="0" w:after="0" w:afterAutospacing="0" w:line="360" w:lineRule="auto"/>
              <w:ind w:left="0" w:right="0" w:firstLine="480" w:firstLineChars="200"/>
              <w:rPr>
                <w:rFonts w:hint="default" w:cs="Times New Roman"/>
                <w:snapToGrid/>
                <w:kern w:val="2"/>
                <w:szCs w:val="22"/>
                <w:highlight w:val="none"/>
                <w:lang w:val="en-US" w:eastAsia="zh-CN"/>
              </w:rPr>
            </w:pPr>
            <w:r>
              <w:rPr>
                <w:rFonts w:hint="eastAsia" w:cs="Times New Roman"/>
                <w:snapToGrid/>
                <w:kern w:val="2"/>
                <w:szCs w:val="22"/>
                <w:highlight w:val="none"/>
                <w:lang w:val="en-US" w:eastAsia="zh-CN"/>
              </w:rPr>
              <w:t>a、危险化学品存储过程中的风险分析及应急措施</w:t>
            </w:r>
          </w:p>
          <w:p w14:paraId="62E56C90">
            <w:pPr>
              <w:keepNext w:val="0"/>
              <w:keepLines w:val="0"/>
              <w:suppressLineNumbers w:val="0"/>
              <w:spacing w:before="0" w:beforeAutospacing="0" w:after="0" w:afterAutospacing="0" w:line="360" w:lineRule="auto"/>
              <w:ind w:left="0" w:right="0" w:firstLine="480" w:firstLineChars="200"/>
              <w:rPr>
                <w:rFonts w:hint="eastAsia" w:ascii="Times New Roman" w:hAnsi="Times New Roman" w:eastAsia="宋体" w:cs="Times New Roman"/>
                <w:snapToGrid/>
                <w:kern w:val="2"/>
                <w:szCs w:val="22"/>
                <w:highlight w:val="none"/>
                <w:lang w:val="en-US" w:eastAsia="zh-CN"/>
              </w:rPr>
            </w:pPr>
            <w:r>
              <w:rPr>
                <w:rFonts w:hint="eastAsia" w:ascii="Times New Roman" w:hAnsi="Times New Roman" w:eastAsia="宋体" w:cs="Times New Roman"/>
                <w:snapToGrid/>
                <w:kern w:val="2"/>
                <w:szCs w:val="22"/>
                <w:highlight w:val="none"/>
                <w:lang w:val="en-US" w:eastAsia="zh-CN"/>
              </w:rPr>
              <w:t>①根据使用液体试剂的数量及频率，合理安排储存量，尽量减少储量，降低风险。</w:t>
            </w:r>
          </w:p>
          <w:p w14:paraId="18FD51F6">
            <w:pPr>
              <w:keepNext w:val="0"/>
              <w:keepLines w:val="0"/>
              <w:suppressLineNumbers w:val="0"/>
              <w:spacing w:before="0" w:beforeAutospacing="0" w:after="0" w:afterAutospacing="0" w:line="360" w:lineRule="auto"/>
              <w:ind w:left="0" w:right="0" w:firstLine="480" w:firstLineChars="200"/>
              <w:rPr>
                <w:rFonts w:hint="eastAsia" w:ascii="Times New Roman" w:hAnsi="Times New Roman" w:eastAsia="宋体" w:cs="Times New Roman"/>
                <w:snapToGrid/>
                <w:kern w:val="2"/>
                <w:szCs w:val="22"/>
                <w:highlight w:val="none"/>
                <w:lang w:val="en-US" w:eastAsia="zh-CN"/>
              </w:rPr>
            </w:pPr>
            <w:r>
              <w:rPr>
                <w:rFonts w:hint="eastAsia" w:ascii="Times New Roman" w:hAnsi="Times New Roman" w:eastAsia="宋体" w:cs="Times New Roman"/>
                <w:snapToGrid/>
                <w:kern w:val="2"/>
                <w:szCs w:val="22"/>
                <w:highlight w:val="none"/>
                <w:lang w:val="en-US" w:eastAsia="zh-CN"/>
              </w:rPr>
              <w:t>②贮存地点或场所应有明显的标志警示牌、注意事项，并安排专人定期检查巡视。</w:t>
            </w:r>
          </w:p>
          <w:p w14:paraId="1D1C6B15">
            <w:pPr>
              <w:keepNext w:val="0"/>
              <w:keepLines w:val="0"/>
              <w:suppressLineNumbers w:val="0"/>
              <w:spacing w:before="0" w:beforeAutospacing="0" w:after="0" w:afterAutospacing="0" w:line="360" w:lineRule="auto"/>
              <w:ind w:left="0" w:right="0" w:firstLine="480" w:firstLineChars="200"/>
              <w:rPr>
                <w:rFonts w:hint="eastAsia" w:ascii="Times New Roman" w:hAnsi="Times New Roman" w:eastAsia="宋体" w:cs="Times New Roman"/>
                <w:snapToGrid/>
                <w:kern w:val="2"/>
                <w:szCs w:val="22"/>
                <w:highlight w:val="none"/>
                <w:lang w:val="en-US" w:eastAsia="zh-CN"/>
              </w:rPr>
            </w:pPr>
            <w:r>
              <w:rPr>
                <w:rFonts w:hint="eastAsia" w:ascii="Times New Roman" w:hAnsi="Times New Roman" w:eastAsia="宋体" w:cs="Times New Roman"/>
                <w:snapToGrid/>
                <w:kern w:val="2"/>
                <w:szCs w:val="22"/>
                <w:highlight w:val="none"/>
                <w:lang w:val="en-US" w:eastAsia="zh-CN"/>
              </w:rPr>
              <w:t>③液体试剂出入库房的装卸和搬运过程中应轻拿轻放，禁止随意丢弃和高空抛</w:t>
            </w:r>
            <w:r>
              <w:rPr>
                <w:rFonts w:hint="eastAsia" w:cs="Times New Roman"/>
                <w:snapToGrid/>
                <w:kern w:val="2"/>
                <w:szCs w:val="22"/>
                <w:highlight w:val="none"/>
                <w:lang w:val="en-US" w:eastAsia="zh-CN"/>
              </w:rPr>
              <w:t>洒</w:t>
            </w:r>
            <w:r>
              <w:rPr>
                <w:rFonts w:hint="eastAsia" w:ascii="Times New Roman" w:hAnsi="Times New Roman" w:eastAsia="宋体" w:cs="Times New Roman"/>
                <w:snapToGrid/>
                <w:kern w:val="2"/>
                <w:szCs w:val="22"/>
                <w:highlight w:val="none"/>
                <w:lang w:val="en-US" w:eastAsia="zh-CN"/>
              </w:rPr>
              <w:t>，对进出入库房的试剂应有详细的记录。</w:t>
            </w:r>
          </w:p>
          <w:p w14:paraId="17F61EA4">
            <w:pPr>
              <w:keepNext w:val="0"/>
              <w:keepLines w:val="0"/>
              <w:suppressLineNumbers w:val="0"/>
              <w:spacing w:before="0" w:beforeAutospacing="0" w:after="0" w:afterAutospacing="0" w:line="360" w:lineRule="auto"/>
              <w:ind w:left="0" w:right="0" w:firstLine="480" w:firstLineChars="200"/>
              <w:rPr>
                <w:rFonts w:hint="eastAsia" w:ascii="Times New Roman" w:hAnsi="Times New Roman" w:eastAsia="宋体" w:cs="Times New Roman"/>
                <w:snapToGrid/>
                <w:kern w:val="2"/>
                <w:szCs w:val="22"/>
                <w:highlight w:val="none"/>
                <w:lang w:val="en-US" w:eastAsia="zh-CN"/>
              </w:rPr>
            </w:pPr>
            <w:r>
              <w:rPr>
                <w:rFonts w:hint="eastAsia" w:ascii="Times New Roman" w:hAnsi="Times New Roman" w:eastAsia="宋体" w:cs="Times New Roman"/>
                <w:snapToGrid/>
                <w:kern w:val="2"/>
                <w:szCs w:val="22"/>
                <w:highlight w:val="none"/>
                <w:lang w:val="en-US" w:eastAsia="zh-CN"/>
              </w:rPr>
              <w:t>④厂房内应配备足量的吸附材料和一定量的干沙及收集桶，以备发生泄漏时可以第一时间对泄漏的风险物质进行吸附和收集。</w:t>
            </w:r>
          </w:p>
          <w:p w14:paraId="129BC8A9">
            <w:pPr>
              <w:keepNext w:val="0"/>
              <w:keepLines w:val="0"/>
              <w:suppressLineNumbers w:val="0"/>
              <w:spacing w:before="0" w:beforeAutospacing="0" w:after="0" w:afterAutospacing="0" w:line="360" w:lineRule="auto"/>
              <w:ind w:left="0" w:right="0" w:firstLine="480" w:firstLineChars="200"/>
              <w:rPr>
                <w:rFonts w:hint="eastAsia" w:ascii="Times New Roman" w:hAnsi="Times New Roman" w:eastAsia="宋体" w:cs="Times New Roman"/>
                <w:snapToGrid/>
                <w:kern w:val="2"/>
                <w:szCs w:val="22"/>
                <w:highlight w:val="none"/>
                <w:lang w:val="en-US" w:eastAsia="zh-CN"/>
              </w:rPr>
            </w:pPr>
            <w:r>
              <w:rPr>
                <w:rFonts w:hint="eastAsia" w:ascii="Times New Roman" w:hAnsi="Times New Roman" w:eastAsia="宋体" w:cs="Times New Roman"/>
                <w:snapToGrid/>
                <w:kern w:val="2"/>
                <w:szCs w:val="22"/>
                <w:highlight w:val="none"/>
                <w:lang w:val="en-US" w:eastAsia="zh-CN"/>
              </w:rPr>
              <w:t>⑤企业应配备一定量的下水道阻流袋，用于防止风险物质泄漏后经雨水冲刷通过雨水管网排入周边地表水体。</w:t>
            </w:r>
          </w:p>
          <w:p w14:paraId="2937DA2D">
            <w:pPr>
              <w:keepNext w:val="0"/>
              <w:keepLines w:val="0"/>
              <w:suppressLineNumbers w:val="0"/>
              <w:spacing w:before="0" w:beforeAutospacing="0" w:after="0" w:afterAutospacing="0" w:line="360" w:lineRule="auto"/>
              <w:ind w:left="0" w:right="0" w:firstLine="480" w:firstLineChars="200"/>
              <w:rPr>
                <w:rFonts w:hint="eastAsia" w:ascii="Times New Roman" w:hAnsi="Times New Roman" w:eastAsia="宋体" w:cs="Times New Roman"/>
                <w:snapToGrid/>
                <w:kern w:val="2"/>
                <w:szCs w:val="22"/>
                <w:highlight w:val="none"/>
                <w:lang w:val="en-US" w:eastAsia="zh-CN"/>
              </w:rPr>
            </w:pPr>
            <w:r>
              <w:rPr>
                <w:rFonts w:hint="eastAsia" w:ascii="Times New Roman" w:hAnsi="Times New Roman" w:eastAsia="宋体" w:cs="Times New Roman"/>
                <w:snapToGrid/>
                <w:kern w:val="2"/>
                <w:szCs w:val="22"/>
                <w:highlight w:val="none"/>
                <w:lang w:val="en-US" w:eastAsia="zh-CN"/>
              </w:rPr>
              <w:t>⑥污水排口应设置截断阀</w:t>
            </w:r>
            <w:r>
              <w:rPr>
                <w:rFonts w:hint="eastAsia" w:cs="Times New Roman"/>
                <w:snapToGrid/>
                <w:kern w:val="2"/>
                <w:szCs w:val="22"/>
                <w:highlight w:val="none"/>
                <w:lang w:val="en-US" w:eastAsia="zh-CN"/>
              </w:rPr>
              <w:t>。</w:t>
            </w:r>
          </w:p>
          <w:p w14:paraId="006B553C">
            <w:pPr>
              <w:keepNext w:val="0"/>
              <w:keepLines w:val="0"/>
              <w:suppressLineNumbers w:val="0"/>
              <w:spacing w:before="0" w:beforeAutospacing="0" w:after="0" w:afterAutospacing="0" w:line="360" w:lineRule="auto"/>
              <w:ind w:left="0" w:right="0" w:firstLine="480" w:firstLineChars="200"/>
              <w:rPr>
                <w:rFonts w:hint="eastAsia" w:ascii="Times New Roman" w:hAnsi="Times New Roman" w:eastAsia="宋体" w:cs="Times New Roman"/>
                <w:snapToGrid/>
                <w:kern w:val="2"/>
                <w:szCs w:val="22"/>
                <w:highlight w:val="none"/>
                <w:lang w:val="en-US" w:eastAsia="zh-CN"/>
              </w:rPr>
            </w:pPr>
            <w:r>
              <w:rPr>
                <w:rFonts w:hint="eastAsia" w:ascii="Times New Roman" w:hAnsi="Times New Roman" w:eastAsia="宋体" w:cs="Times New Roman"/>
                <w:snapToGrid/>
                <w:kern w:val="2"/>
                <w:szCs w:val="22"/>
                <w:highlight w:val="none"/>
                <w:lang w:val="en-US" w:eastAsia="zh-CN"/>
              </w:rPr>
              <w:t>⑦实验区域设置水喷淋系统，如有火灾应急情况可及时启动喷淋系统。</w:t>
            </w:r>
          </w:p>
          <w:p w14:paraId="7ADF9A07">
            <w:pPr>
              <w:keepNext w:val="0"/>
              <w:keepLines w:val="0"/>
              <w:suppressLineNumbers w:val="0"/>
              <w:spacing w:before="0" w:beforeAutospacing="0" w:after="0" w:afterAutospacing="0" w:line="360" w:lineRule="auto"/>
              <w:ind w:left="0" w:right="0" w:firstLine="480" w:firstLineChars="200"/>
              <w:rPr>
                <w:rFonts w:hint="default" w:ascii="Times New Roman" w:hAnsi="Times New Roman" w:eastAsia="宋体" w:cs="Times New Roman"/>
                <w:snapToGrid/>
                <w:kern w:val="2"/>
                <w:szCs w:val="22"/>
                <w:highlight w:val="none"/>
              </w:rPr>
            </w:pPr>
            <w:r>
              <w:rPr>
                <w:rFonts w:hint="eastAsia" w:cs="Times New Roman"/>
                <w:snapToGrid/>
                <w:kern w:val="2"/>
                <w:szCs w:val="22"/>
                <w:highlight w:val="none"/>
                <w:lang w:val="en-US" w:eastAsia="zh-CN"/>
              </w:rPr>
              <w:t>b</w:t>
            </w:r>
            <w:r>
              <w:rPr>
                <w:rFonts w:hint="eastAsia" w:ascii="Times New Roman" w:hAnsi="Times New Roman" w:eastAsia="宋体" w:cs="Times New Roman"/>
                <w:snapToGrid/>
                <w:kern w:val="2"/>
                <w:szCs w:val="22"/>
                <w:highlight w:val="none"/>
                <w:lang w:val="en-US" w:eastAsia="zh-CN"/>
              </w:rPr>
              <w:t>、</w:t>
            </w:r>
            <w:r>
              <w:rPr>
                <w:rFonts w:hint="eastAsia" w:ascii="Times New Roman" w:hAnsi="Times New Roman" w:eastAsia="宋体" w:cs="Times New Roman"/>
                <w:snapToGrid/>
                <w:kern w:val="2"/>
                <w:szCs w:val="22"/>
                <w:highlight w:val="none"/>
              </w:rPr>
              <w:t>本项目废水处理设施风险分析及措施</w:t>
            </w:r>
          </w:p>
          <w:p w14:paraId="52486EFB">
            <w:pPr>
              <w:keepNext w:val="0"/>
              <w:keepLines w:val="0"/>
              <w:suppressLineNumbers w:val="0"/>
              <w:spacing w:before="0" w:beforeAutospacing="0" w:after="0" w:afterAutospacing="0" w:line="360" w:lineRule="auto"/>
              <w:ind w:left="0" w:right="0" w:firstLine="480" w:firstLineChars="200"/>
              <w:rPr>
                <w:rFonts w:hint="default" w:ascii="Times New Roman" w:hAnsi="Times New Roman" w:eastAsia="宋体" w:cs="Times New Roman"/>
                <w:snapToGrid/>
                <w:kern w:val="2"/>
                <w:szCs w:val="22"/>
                <w:highlight w:val="none"/>
              </w:rPr>
            </w:pPr>
            <w:r>
              <w:rPr>
                <w:rFonts w:hint="eastAsia" w:ascii="Times New Roman" w:hAnsi="Times New Roman" w:eastAsia="宋体" w:cs="Times New Roman"/>
                <w:snapToGrid/>
                <w:kern w:val="2"/>
                <w:szCs w:val="22"/>
                <w:highlight w:val="none"/>
              </w:rPr>
              <w:t>①防腐防渗措施</w:t>
            </w:r>
          </w:p>
          <w:p w14:paraId="7B9DCAA5">
            <w:pPr>
              <w:keepNext w:val="0"/>
              <w:keepLines w:val="0"/>
              <w:suppressLineNumbers w:val="0"/>
              <w:spacing w:before="0" w:beforeAutospacing="0" w:after="0" w:afterAutospacing="0" w:line="360" w:lineRule="auto"/>
              <w:ind w:left="0" w:right="0" w:firstLine="480" w:firstLineChars="200"/>
              <w:rPr>
                <w:rFonts w:hint="default" w:ascii="Times New Roman" w:hAnsi="Times New Roman" w:eastAsia="宋体" w:cs="Times New Roman"/>
                <w:snapToGrid/>
                <w:kern w:val="2"/>
                <w:szCs w:val="22"/>
                <w:highlight w:val="none"/>
              </w:rPr>
            </w:pPr>
            <w:r>
              <w:rPr>
                <w:rFonts w:hint="eastAsia" w:ascii="Times New Roman" w:hAnsi="Times New Roman" w:eastAsia="宋体" w:cs="Times New Roman"/>
                <w:snapToGrid/>
                <w:kern w:val="2"/>
                <w:szCs w:val="22"/>
                <w:highlight w:val="none"/>
              </w:rPr>
              <w:t>本项目污水管、污泥管主要采用</w:t>
            </w:r>
            <w:r>
              <w:rPr>
                <w:rFonts w:hint="default" w:ascii="Times New Roman" w:hAnsi="Times New Roman" w:eastAsia="宋体" w:cs="Times New Roman"/>
                <w:snapToGrid/>
                <w:kern w:val="2"/>
                <w:szCs w:val="22"/>
                <w:highlight w:val="none"/>
              </w:rPr>
              <w:t>U-PVC</w:t>
            </w:r>
            <w:r>
              <w:rPr>
                <w:rFonts w:hint="eastAsia" w:ascii="Times New Roman" w:hAnsi="Times New Roman" w:eastAsia="宋体" w:cs="Times New Roman"/>
                <w:snapToGrid/>
                <w:kern w:val="2"/>
                <w:szCs w:val="22"/>
                <w:highlight w:val="none"/>
              </w:rPr>
              <w:t>管，大口径管道（管径＞</w:t>
            </w:r>
            <w:r>
              <w:rPr>
                <w:rFonts w:hint="default" w:ascii="Times New Roman" w:hAnsi="Times New Roman" w:eastAsia="宋体" w:cs="Times New Roman"/>
                <w:snapToGrid/>
                <w:kern w:val="2"/>
                <w:szCs w:val="22"/>
                <w:highlight w:val="none"/>
              </w:rPr>
              <w:t>DN100mm</w:t>
            </w:r>
            <w:r>
              <w:rPr>
                <w:rFonts w:hint="eastAsia" w:ascii="Times New Roman" w:hAnsi="Times New Roman" w:eastAsia="宋体" w:cs="Times New Roman"/>
                <w:snapToGrid/>
                <w:kern w:val="2"/>
                <w:szCs w:val="22"/>
                <w:highlight w:val="none"/>
              </w:rPr>
              <w:t>）采用焊接钢管，采用优质防腐涂料进行防腐，管道安装完毕后需涂防锈涂料</w:t>
            </w:r>
            <w:r>
              <w:rPr>
                <w:rFonts w:hint="default" w:ascii="Times New Roman" w:hAnsi="Times New Roman" w:eastAsia="宋体" w:cs="Times New Roman"/>
                <w:snapToGrid/>
                <w:kern w:val="2"/>
                <w:szCs w:val="22"/>
                <w:highlight w:val="none"/>
              </w:rPr>
              <w:t>3</w:t>
            </w:r>
            <w:r>
              <w:rPr>
                <w:rFonts w:hint="eastAsia" w:ascii="Times New Roman" w:hAnsi="Times New Roman" w:eastAsia="宋体" w:cs="Times New Roman"/>
                <w:snapToGrid/>
                <w:kern w:val="2"/>
                <w:szCs w:val="22"/>
                <w:highlight w:val="none"/>
              </w:rPr>
              <w:t>度。</w:t>
            </w:r>
          </w:p>
          <w:p w14:paraId="0CF1BD73">
            <w:pPr>
              <w:keepNext w:val="0"/>
              <w:keepLines w:val="0"/>
              <w:suppressLineNumbers w:val="0"/>
              <w:spacing w:before="0" w:beforeAutospacing="0" w:after="0" w:afterAutospacing="0" w:line="360" w:lineRule="auto"/>
              <w:ind w:left="0" w:right="0" w:firstLine="480" w:firstLineChars="200"/>
              <w:rPr>
                <w:rFonts w:hint="default" w:ascii="Times New Roman" w:hAnsi="Times New Roman" w:eastAsia="宋体" w:cs="Times New Roman"/>
                <w:snapToGrid/>
                <w:kern w:val="2"/>
                <w:szCs w:val="22"/>
                <w:highlight w:val="none"/>
              </w:rPr>
            </w:pPr>
            <w:r>
              <w:rPr>
                <w:rFonts w:hint="eastAsia" w:ascii="Times New Roman" w:hAnsi="Times New Roman" w:eastAsia="宋体" w:cs="Times New Roman"/>
                <w:snapToGrid/>
                <w:kern w:val="2"/>
                <w:szCs w:val="22"/>
                <w:highlight w:val="none"/>
              </w:rPr>
              <w:t>本项目采用</w:t>
            </w:r>
            <w:r>
              <w:rPr>
                <w:rFonts w:hint="eastAsia" w:ascii="Times New Roman" w:hAnsi="Times New Roman" w:eastAsia="宋体" w:cs="Times New Roman"/>
                <w:snapToGrid/>
                <w:kern w:val="2"/>
                <w:szCs w:val="22"/>
                <w:highlight w:val="none"/>
                <w:lang w:val="en-US" w:eastAsia="zh-CN"/>
              </w:rPr>
              <w:t>全埋地钢砼</w:t>
            </w:r>
            <w:r>
              <w:rPr>
                <w:rFonts w:hint="eastAsia" w:ascii="Times New Roman" w:hAnsi="Times New Roman" w:eastAsia="宋体" w:cs="Times New Roman"/>
                <w:snapToGrid/>
                <w:kern w:val="2"/>
                <w:szCs w:val="22"/>
                <w:highlight w:val="none"/>
              </w:rPr>
              <w:t>池，构筑物采用抗渗结构，抗渗等级</w:t>
            </w:r>
            <w:r>
              <w:rPr>
                <w:rFonts w:hint="default" w:ascii="Times New Roman" w:hAnsi="Times New Roman" w:eastAsia="宋体" w:cs="Times New Roman"/>
                <w:snapToGrid/>
                <w:kern w:val="2"/>
                <w:szCs w:val="22"/>
                <w:highlight w:val="none"/>
              </w:rPr>
              <w:t>S6</w:t>
            </w:r>
            <w:r>
              <w:rPr>
                <w:rFonts w:hint="eastAsia" w:ascii="Times New Roman" w:hAnsi="Times New Roman" w:eastAsia="宋体" w:cs="Times New Roman"/>
                <w:snapToGrid/>
                <w:kern w:val="2"/>
                <w:szCs w:val="22"/>
                <w:highlight w:val="none"/>
              </w:rPr>
              <w:t>。</w:t>
            </w:r>
          </w:p>
          <w:p w14:paraId="1ECCBA7C">
            <w:pPr>
              <w:keepNext w:val="0"/>
              <w:keepLines w:val="0"/>
              <w:suppressLineNumbers w:val="0"/>
              <w:spacing w:before="0" w:beforeAutospacing="0" w:after="0" w:afterAutospacing="0" w:line="360" w:lineRule="auto"/>
              <w:ind w:left="0" w:right="0" w:firstLine="480" w:firstLineChars="200"/>
              <w:rPr>
                <w:rFonts w:hint="eastAsia" w:ascii="Times New Roman" w:hAnsi="Times New Roman" w:eastAsia="宋体" w:cs="Times New Roman"/>
                <w:snapToGrid/>
                <w:kern w:val="2"/>
                <w:szCs w:val="22"/>
                <w:highlight w:val="none"/>
              </w:rPr>
            </w:pPr>
            <w:r>
              <w:rPr>
                <w:rFonts w:hint="eastAsia" w:ascii="Times New Roman" w:hAnsi="Times New Roman" w:eastAsia="宋体" w:cs="Times New Roman"/>
                <w:snapToGrid/>
                <w:kern w:val="2"/>
                <w:szCs w:val="22"/>
                <w:highlight w:val="none"/>
              </w:rPr>
              <w:t>②</w:t>
            </w:r>
            <w:r>
              <w:rPr>
                <w:rFonts w:hint="eastAsia" w:ascii="Times New Roman" w:hAnsi="Times New Roman" w:eastAsia="宋体" w:cs="Times New Roman"/>
                <w:snapToGrid/>
                <w:kern w:val="2"/>
                <w:szCs w:val="22"/>
                <w:highlight w:val="none"/>
                <w:lang w:val="en-US" w:eastAsia="zh-CN"/>
              </w:rPr>
              <w:t>参照</w:t>
            </w:r>
            <w:r>
              <w:rPr>
                <w:rFonts w:hint="eastAsia" w:ascii="Times New Roman" w:hAnsi="Times New Roman" w:eastAsia="宋体" w:cs="Times New Roman"/>
                <w:snapToGrid/>
                <w:kern w:val="2"/>
                <w:szCs w:val="22"/>
                <w:highlight w:val="none"/>
              </w:rPr>
              <w:t>《医院污水处理工程技术规范》（</w:t>
            </w:r>
            <w:r>
              <w:rPr>
                <w:rFonts w:hint="default" w:ascii="Times New Roman" w:hAnsi="Times New Roman" w:eastAsia="宋体" w:cs="Times New Roman"/>
                <w:snapToGrid/>
                <w:kern w:val="2"/>
                <w:szCs w:val="22"/>
                <w:highlight w:val="none"/>
              </w:rPr>
              <w:t>HJ2029-2013</w:t>
            </w:r>
            <w:r>
              <w:rPr>
                <w:rFonts w:hint="eastAsia" w:ascii="Times New Roman" w:hAnsi="Times New Roman" w:eastAsia="宋体" w:cs="Times New Roman"/>
                <w:snapToGrid/>
                <w:kern w:val="2"/>
                <w:szCs w:val="22"/>
                <w:highlight w:val="none"/>
              </w:rPr>
              <w:t>）“医院污水处理工程应设应急事故池，以贮存处理系统事故或其他突发事件时医院污水。非传染病医院污水处理工程应急事故池容积不小于日排放量的</w:t>
            </w:r>
            <w:r>
              <w:rPr>
                <w:rFonts w:hint="default" w:ascii="Times New Roman" w:hAnsi="Times New Roman" w:eastAsia="宋体" w:cs="Times New Roman"/>
                <w:snapToGrid/>
                <w:kern w:val="2"/>
                <w:szCs w:val="22"/>
                <w:highlight w:val="none"/>
              </w:rPr>
              <w:t>30%</w:t>
            </w:r>
            <w:r>
              <w:rPr>
                <w:rFonts w:hint="eastAsia" w:ascii="Times New Roman" w:hAnsi="Times New Roman" w:eastAsia="宋体" w:cs="Times New Roman"/>
                <w:snapToGrid/>
                <w:kern w:val="2"/>
                <w:szCs w:val="22"/>
                <w:highlight w:val="none"/>
              </w:rPr>
              <w:t>”。本项目</w:t>
            </w:r>
            <w:r>
              <w:rPr>
                <w:rFonts w:hint="eastAsia" w:ascii="Times New Roman" w:hAnsi="Times New Roman" w:eastAsia="宋体" w:cs="Times New Roman"/>
                <w:snapToGrid/>
                <w:kern w:val="2"/>
                <w:szCs w:val="22"/>
                <w:highlight w:val="none"/>
                <w:lang w:val="en-US" w:eastAsia="zh-CN"/>
              </w:rPr>
              <w:t>废水主要污染物为粪大肠杆菌群，与医疗废水类</w:t>
            </w:r>
            <w:r>
              <w:rPr>
                <w:rFonts w:hint="eastAsia" w:ascii="Times New Roman" w:hAnsi="Times New Roman" w:eastAsia="宋体" w:cs="Times New Roman"/>
                <w:snapToGrid/>
                <w:kern w:val="2"/>
                <w:sz w:val="24"/>
                <w:szCs w:val="24"/>
                <w:highlight w:val="none"/>
                <w:lang w:val="en-US" w:eastAsia="zh-CN"/>
              </w:rPr>
              <w:t>似，</w:t>
            </w:r>
            <w:r>
              <w:rPr>
                <w:rFonts w:hint="eastAsia" w:ascii="Times New Roman" w:hAnsi="Times New Roman" w:eastAsia="宋体" w:cs="Times New Roman"/>
                <w:sz w:val="24"/>
                <w:szCs w:val="24"/>
                <w:highlight w:val="none"/>
              </w:rPr>
              <w:t>饲养</w:t>
            </w:r>
            <w:r>
              <w:rPr>
                <w:rFonts w:hint="eastAsia" w:ascii="Times New Roman" w:hAnsi="Times New Roman" w:eastAsia="宋体" w:cs="Times New Roman"/>
                <w:sz w:val="24"/>
                <w:szCs w:val="24"/>
                <w:highlight w:val="none"/>
                <w:lang w:val="en-US" w:eastAsia="zh-CN"/>
              </w:rPr>
              <w:t>间</w:t>
            </w:r>
            <w:r>
              <w:rPr>
                <w:rFonts w:hint="eastAsia" w:ascii="Times New Roman" w:hAnsi="Times New Roman" w:eastAsia="宋体" w:cs="Times New Roman"/>
                <w:sz w:val="24"/>
                <w:szCs w:val="24"/>
                <w:highlight w:val="none"/>
              </w:rPr>
              <w:t>清洗废水、</w:t>
            </w:r>
            <w:r>
              <w:rPr>
                <w:rFonts w:hint="eastAsia" w:ascii="Times New Roman" w:hAnsi="Times New Roman" w:eastAsia="宋体" w:cs="Times New Roman"/>
                <w:sz w:val="24"/>
                <w:szCs w:val="24"/>
                <w:highlight w:val="none"/>
                <w:lang w:val="en-US" w:eastAsia="zh-CN"/>
              </w:rPr>
              <w:t>洗笼及动物洗烘废水、实验室设备</w:t>
            </w:r>
            <w:r>
              <w:rPr>
                <w:rFonts w:hint="eastAsia" w:ascii="Times New Roman" w:hAnsi="Times New Roman" w:eastAsia="宋体" w:cs="Times New Roman"/>
                <w:sz w:val="24"/>
                <w:szCs w:val="24"/>
                <w:highlight w:val="none"/>
              </w:rPr>
              <w:t>清洗废水、动物尿液</w:t>
            </w:r>
            <w:r>
              <w:rPr>
                <w:rFonts w:hint="eastAsia" w:cs="Times New Roman"/>
                <w:sz w:val="24"/>
                <w:szCs w:val="24"/>
                <w:highlight w:val="none"/>
                <w:lang w:eastAsia="zh-CN"/>
              </w:rPr>
              <w:t>、</w:t>
            </w:r>
            <w:r>
              <w:rPr>
                <w:rFonts w:hint="eastAsia" w:ascii="Times New Roman" w:hAnsi="Times New Roman" w:eastAsia="宋体" w:cs="Times New Roman"/>
                <w:sz w:val="24"/>
                <w:szCs w:val="24"/>
                <w:highlight w:val="none"/>
              </w:rPr>
              <w:t>洗衣废水、</w:t>
            </w:r>
            <w:r>
              <w:rPr>
                <w:rFonts w:hint="eastAsia" w:ascii="Times New Roman" w:hAnsi="Times New Roman" w:eastAsia="宋体" w:cs="Times New Roman"/>
                <w:sz w:val="24"/>
                <w:szCs w:val="24"/>
                <w:highlight w:val="none"/>
                <w:lang w:val="en-US" w:eastAsia="zh-CN"/>
              </w:rPr>
              <w:t>废气</w:t>
            </w:r>
            <w:r>
              <w:rPr>
                <w:rFonts w:hint="eastAsia" w:ascii="Times New Roman" w:hAnsi="Times New Roman" w:eastAsia="宋体" w:cs="Times New Roman"/>
                <w:sz w:val="24"/>
                <w:szCs w:val="24"/>
                <w:highlight w:val="none"/>
              </w:rPr>
              <w:t>喷淋废水、灭菌废水</w:t>
            </w:r>
            <w:r>
              <w:rPr>
                <w:rFonts w:hint="eastAsia" w:ascii="Times New Roman" w:hAnsi="Times New Roman" w:eastAsia="宋体" w:cs="Times New Roman"/>
                <w:sz w:val="24"/>
                <w:szCs w:val="24"/>
                <w:highlight w:val="none"/>
                <w:lang w:eastAsia="zh-CN"/>
              </w:rPr>
              <w:t>（</w:t>
            </w:r>
            <w:r>
              <w:rPr>
                <w:rFonts w:hint="eastAsia" w:ascii="Times New Roman" w:hAnsi="Times New Roman" w:eastAsia="宋体" w:cs="Times New Roman"/>
                <w:sz w:val="24"/>
                <w:szCs w:val="24"/>
                <w:highlight w:val="none"/>
                <w:lang w:val="en-US" w:eastAsia="zh-CN"/>
              </w:rPr>
              <w:t>包括一般实验室灭菌废水、P2实验室灭菌废水</w:t>
            </w:r>
            <w:r>
              <w:rPr>
                <w:rFonts w:hint="eastAsia" w:ascii="Times New Roman" w:hAnsi="Times New Roman" w:eastAsia="宋体" w:cs="Times New Roman"/>
                <w:sz w:val="24"/>
                <w:szCs w:val="24"/>
                <w:highlight w:val="none"/>
                <w:lang w:eastAsia="zh-CN"/>
              </w:rPr>
              <w:t>）</w:t>
            </w:r>
            <w:r>
              <w:rPr>
                <w:rFonts w:hint="eastAsia" w:ascii="Times New Roman" w:hAnsi="Times New Roman" w:eastAsia="宋体" w:cs="Times New Roman"/>
                <w:sz w:val="24"/>
                <w:szCs w:val="24"/>
                <w:highlight w:val="none"/>
              </w:rPr>
              <w:t>、纯水</w:t>
            </w:r>
            <w:r>
              <w:rPr>
                <w:rFonts w:hint="eastAsia" w:ascii="Times New Roman" w:hAnsi="Times New Roman" w:eastAsia="宋体" w:cs="Times New Roman"/>
                <w:sz w:val="24"/>
                <w:szCs w:val="24"/>
                <w:highlight w:val="none"/>
                <w:lang w:val="en-US" w:eastAsia="zh-CN"/>
              </w:rPr>
              <w:t>/软水</w:t>
            </w:r>
            <w:r>
              <w:rPr>
                <w:rFonts w:hint="eastAsia" w:ascii="Times New Roman" w:hAnsi="Times New Roman" w:eastAsia="宋体" w:cs="Times New Roman"/>
                <w:sz w:val="24"/>
                <w:szCs w:val="24"/>
                <w:highlight w:val="none"/>
              </w:rPr>
              <w:t>制备浓水</w:t>
            </w:r>
            <w:r>
              <w:rPr>
                <w:rFonts w:hint="eastAsia" w:ascii="Times New Roman" w:hAnsi="Times New Roman" w:eastAsia="宋体" w:cs="Times New Roman"/>
                <w:sz w:val="24"/>
                <w:szCs w:val="24"/>
                <w:highlight w:val="none"/>
                <w:lang w:eastAsia="zh-CN"/>
              </w:rPr>
              <w:t>、</w:t>
            </w:r>
            <w:r>
              <w:rPr>
                <w:rFonts w:hint="eastAsia" w:ascii="Times New Roman" w:hAnsi="Times New Roman" w:eastAsia="宋体" w:cs="Times New Roman"/>
                <w:sz w:val="24"/>
                <w:szCs w:val="24"/>
                <w:highlight w:val="none"/>
                <w:lang w:val="en-US" w:eastAsia="zh-CN"/>
              </w:rPr>
              <w:t>反冲洗废水</w:t>
            </w:r>
            <w:r>
              <w:rPr>
                <w:rFonts w:hint="eastAsia" w:ascii="Times New Roman" w:hAnsi="Times New Roman" w:eastAsia="宋体" w:cs="Times New Roman"/>
                <w:sz w:val="24"/>
                <w:szCs w:val="24"/>
                <w:highlight w:val="none"/>
                <w:lang w:eastAsia="zh-CN"/>
              </w:rPr>
              <w:t>、</w:t>
            </w:r>
            <w:r>
              <w:rPr>
                <w:rFonts w:hint="eastAsia" w:ascii="Times New Roman" w:hAnsi="Times New Roman" w:eastAsia="宋体" w:cs="Times New Roman"/>
                <w:sz w:val="24"/>
                <w:szCs w:val="24"/>
                <w:highlight w:val="none"/>
                <w:lang w:val="en-US" w:eastAsia="zh-CN"/>
              </w:rPr>
              <w:t>地面清洗废水</w:t>
            </w:r>
            <w:r>
              <w:rPr>
                <w:rFonts w:hint="eastAsia" w:ascii="Times New Roman" w:hAnsi="Times New Roman" w:eastAsia="宋体" w:cs="Times New Roman"/>
                <w:snapToGrid/>
                <w:kern w:val="2"/>
                <w:sz w:val="24"/>
                <w:szCs w:val="24"/>
                <w:highlight w:val="none"/>
                <w:lang w:val="en-US" w:eastAsia="zh-CN"/>
              </w:rPr>
              <w:t>总产</w:t>
            </w:r>
            <w:r>
              <w:rPr>
                <w:rFonts w:hint="eastAsia" w:ascii="Times New Roman" w:hAnsi="Times New Roman" w:eastAsia="宋体" w:cs="Times New Roman"/>
                <w:snapToGrid/>
                <w:kern w:val="2"/>
                <w:szCs w:val="22"/>
                <w:highlight w:val="none"/>
                <w:lang w:val="en-US" w:eastAsia="zh-CN"/>
              </w:rPr>
              <w:t>生量</w:t>
            </w:r>
            <w:r>
              <w:rPr>
                <w:rFonts w:hint="eastAsia" w:ascii="Times New Roman" w:hAnsi="Times New Roman" w:eastAsia="宋体" w:cs="Times New Roman"/>
                <w:snapToGrid/>
                <w:kern w:val="2"/>
                <w:szCs w:val="22"/>
                <w:highlight w:val="none"/>
              </w:rPr>
              <w:t>约</w:t>
            </w:r>
            <w:r>
              <w:rPr>
                <w:rFonts w:hint="eastAsia" w:ascii="Times New Roman" w:hAnsi="Times New Roman" w:eastAsia="宋体" w:cs="Times New Roman"/>
                <w:snapToGrid/>
                <w:kern w:val="2"/>
                <w:szCs w:val="22"/>
                <w:highlight w:val="none"/>
                <w:lang w:val="en-US" w:eastAsia="zh-CN"/>
              </w:rPr>
              <w:t>49.68</w:t>
            </w:r>
            <w:r>
              <w:rPr>
                <w:rFonts w:hint="default" w:ascii="Times New Roman" w:hAnsi="Times New Roman" w:eastAsia="宋体" w:cs="Times New Roman"/>
                <w:snapToGrid/>
                <w:kern w:val="2"/>
                <w:szCs w:val="22"/>
                <w:highlight w:val="none"/>
              </w:rPr>
              <w:t>m</w:t>
            </w:r>
            <w:r>
              <w:rPr>
                <w:rFonts w:hint="default" w:ascii="Times New Roman" w:hAnsi="Times New Roman" w:eastAsia="宋体" w:cs="Times New Roman"/>
                <w:snapToGrid/>
                <w:kern w:val="2"/>
                <w:szCs w:val="22"/>
                <w:highlight w:val="none"/>
                <w:vertAlign w:val="superscript"/>
              </w:rPr>
              <w:t>3</w:t>
            </w:r>
            <w:r>
              <w:rPr>
                <w:rFonts w:hint="default" w:ascii="Times New Roman" w:hAnsi="Times New Roman" w:eastAsia="宋体" w:cs="Times New Roman"/>
                <w:snapToGrid/>
                <w:kern w:val="2"/>
                <w:szCs w:val="22"/>
                <w:highlight w:val="none"/>
              </w:rPr>
              <w:t>/d</w:t>
            </w:r>
            <w:r>
              <w:rPr>
                <w:rFonts w:hint="eastAsia" w:ascii="Times New Roman" w:hAnsi="Times New Roman" w:eastAsia="宋体" w:cs="Times New Roman"/>
                <w:snapToGrid/>
                <w:kern w:val="2"/>
                <w:szCs w:val="22"/>
                <w:highlight w:val="none"/>
              </w:rPr>
              <w:t>，本环评要求建设单位在废水处理装置设置有效容积不小于1</w:t>
            </w:r>
            <w:r>
              <w:rPr>
                <w:rFonts w:hint="eastAsia" w:ascii="Times New Roman" w:hAnsi="Times New Roman" w:eastAsia="宋体" w:cs="Times New Roman"/>
                <w:snapToGrid/>
                <w:kern w:val="2"/>
                <w:szCs w:val="22"/>
                <w:highlight w:val="none"/>
                <w:lang w:val="en-US" w:eastAsia="zh-CN"/>
              </w:rPr>
              <w:t>4.9</w:t>
            </w:r>
            <w:r>
              <w:rPr>
                <w:rFonts w:hint="default" w:ascii="Times New Roman" w:hAnsi="Times New Roman" w:eastAsia="宋体" w:cs="Times New Roman"/>
                <w:snapToGrid/>
                <w:kern w:val="2"/>
                <w:szCs w:val="22"/>
                <w:highlight w:val="none"/>
              </w:rPr>
              <w:t>m</w:t>
            </w:r>
            <w:r>
              <w:rPr>
                <w:rFonts w:hint="default" w:ascii="Times New Roman" w:hAnsi="Times New Roman" w:eastAsia="宋体" w:cs="Times New Roman"/>
                <w:snapToGrid/>
                <w:kern w:val="2"/>
                <w:szCs w:val="22"/>
                <w:highlight w:val="none"/>
                <w:vertAlign w:val="superscript"/>
              </w:rPr>
              <w:t>3</w:t>
            </w:r>
            <w:r>
              <w:rPr>
                <w:rFonts w:hint="eastAsia" w:ascii="Times New Roman" w:hAnsi="Times New Roman" w:eastAsia="宋体" w:cs="Times New Roman"/>
                <w:snapToGrid/>
                <w:kern w:val="2"/>
                <w:szCs w:val="22"/>
                <w:highlight w:val="none"/>
              </w:rPr>
              <w:t>的应急事故池，本项目规划设置</w:t>
            </w:r>
            <w:r>
              <w:rPr>
                <w:rFonts w:hint="default" w:ascii="Times New Roman" w:hAnsi="Times New Roman" w:eastAsia="宋体" w:cs="Times New Roman"/>
                <w:snapToGrid/>
                <w:kern w:val="2"/>
                <w:szCs w:val="22"/>
                <w:highlight w:val="none"/>
              </w:rPr>
              <w:t>1</w:t>
            </w:r>
            <w:r>
              <w:rPr>
                <w:rFonts w:hint="eastAsia" w:ascii="Times New Roman" w:hAnsi="Times New Roman" w:eastAsia="宋体" w:cs="Times New Roman"/>
                <w:snapToGrid/>
                <w:kern w:val="2"/>
                <w:szCs w:val="22"/>
                <w:highlight w:val="none"/>
              </w:rPr>
              <w:t>座事故应急池（</w:t>
            </w:r>
            <w:r>
              <w:rPr>
                <w:rFonts w:hint="eastAsia" w:ascii="Times New Roman" w:hAnsi="Times New Roman" w:eastAsia="宋体" w:cs="Times New Roman"/>
                <w:snapToGrid/>
                <w:kern w:val="2"/>
                <w:szCs w:val="22"/>
                <w:highlight w:val="none"/>
                <w:lang w:val="en-US" w:eastAsia="zh-CN"/>
              </w:rPr>
              <w:t>2.5</w:t>
            </w:r>
            <w:r>
              <w:rPr>
                <w:rFonts w:hint="default" w:ascii="Times New Roman" w:hAnsi="Times New Roman" w:eastAsia="宋体" w:cs="Times New Roman"/>
                <w:snapToGrid/>
                <w:kern w:val="2"/>
                <w:szCs w:val="22"/>
                <w:highlight w:val="none"/>
              </w:rPr>
              <w:t>×</w:t>
            </w:r>
            <w:r>
              <w:rPr>
                <w:rFonts w:hint="eastAsia" w:ascii="Times New Roman" w:hAnsi="Times New Roman" w:eastAsia="宋体" w:cs="Times New Roman"/>
                <w:snapToGrid/>
                <w:kern w:val="2"/>
                <w:szCs w:val="22"/>
                <w:highlight w:val="none"/>
                <w:lang w:val="en-US" w:eastAsia="zh-CN"/>
              </w:rPr>
              <w:t>2</w:t>
            </w:r>
            <w:r>
              <w:rPr>
                <w:rFonts w:hint="default" w:ascii="Times New Roman" w:hAnsi="Times New Roman" w:eastAsia="宋体" w:cs="Times New Roman"/>
                <w:snapToGrid/>
                <w:kern w:val="2"/>
                <w:szCs w:val="22"/>
                <w:highlight w:val="none"/>
              </w:rPr>
              <w:t>×</w:t>
            </w:r>
            <w:r>
              <w:rPr>
                <w:rFonts w:hint="eastAsia" w:ascii="Times New Roman" w:hAnsi="Times New Roman" w:eastAsia="宋体" w:cs="Times New Roman"/>
                <w:snapToGrid/>
                <w:kern w:val="2"/>
                <w:szCs w:val="22"/>
                <w:highlight w:val="none"/>
                <w:lang w:val="en-US" w:eastAsia="zh-CN"/>
              </w:rPr>
              <w:t>3</w:t>
            </w:r>
            <w:r>
              <w:rPr>
                <w:rFonts w:hint="default" w:ascii="Times New Roman" w:hAnsi="Times New Roman" w:eastAsia="宋体" w:cs="Times New Roman"/>
                <w:snapToGrid/>
                <w:kern w:val="2"/>
                <w:szCs w:val="22"/>
                <w:highlight w:val="none"/>
              </w:rPr>
              <w:t>m</w:t>
            </w:r>
            <w:r>
              <w:rPr>
                <w:rFonts w:hint="eastAsia" w:ascii="Times New Roman" w:hAnsi="Times New Roman" w:eastAsia="宋体" w:cs="Times New Roman"/>
                <w:snapToGrid/>
                <w:kern w:val="2"/>
                <w:szCs w:val="22"/>
                <w:highlight w:val="none"/>
              </w:rPr>
              <w:t>），有效池容</w:t>
            </w:r>
            <w:r>
              <w:rPr>
                <w:rFonts w:hint="default" w:ascii="Times New Roman" w:hAnsi="Times New Roman" w:eastAsia="宋体" w:cs="Times New Roman"/>
                <w:snapToGrid/>
                <w:kern w:val="2"/>
                <w:szCs w:val="22"/>
                <w:highlight w:val="none"/>
              </w:rPr>
              <w:t>1</w:t>
            </w:r>
            <w:r>
              <w:rPr>
                <w:rFonts w:hint="eastAsia" w:ascii="Times New Roman" w:hAnsi="Times New Roman" w:eastAsia="宋体" w:cs="Times New Roman"/>
                <w:snapToGrid/>
                <w:kern w:val="2"/>
                <w:szCs w:val="22"/>
                <w:highlight w:val="none"/>
              </w:rPr>
              <w:t>5</w:t>
            </w:r>
            <w:r>
              <w:rPr>
                <w:rFonts w:hint="default" w:ascii="Times New Roman" w:hAnsi="Times New Roman" w:eastAsia="宋体" w:cs="Times New Roman"/>
                <w:snapToGrid/>
                <w:kern w:val="2"/>
                <w:szCs w:val="22"/>
                <w:highlight w:val="none"/>
              </w:rPr>
              <w:t>m</w:t>
            </w:r>
            <w:r>
              <w:rPr>
                <w:rFonts w:hint="default" w:ascii="Times New Roman" w:hAnsi="Times New Roman" w:eastAsia="宋体" w:cs="Times New Roman"/>
                <w:snapToGrid/>
                <w:kern w:val="2"/>
                <w:szCs w:val="22"/>
                <w:highlight w:val="none"/>
                <w:vertAlign w:val="superscript"/>
              </w:rPr>
              <w:t>3</w:t>
            </w:r>
            <w:r>
              <w:rPr>
                <w:rFonts w:hint="eastAsia" w:ascii="Times New Roman" w:hAnsi="Times New Roman" w:eastAsia="宋体" w:cs="Times New Roman"/>
                <w:snapToGrid/>
                <w:kern w:val="2"/>
                <w:szCs w:val="22"/>
                <w:highlight w:val="none"/>
              </w:rPr>
              <w:t>，位于污水站</w:t>
            </w:r>
            <w:r>
              <w:rPr>
                <w:rFonts w:hint="eastAsia" w:ascii="Times New Roman" w:hAnsi="Times New Roman" w:eastAsia="宋体" w:cs="Times New Roman"/>
                <w:snapToGrid/>
                <w:kern w:val="2"/>
                <w:szCs w:val="22"/>
                <w:highlight w:val="none"/>
                <w:lang w:val="en-US" w:eastAsia="zh-CN"/>
              </w:rPr>
              <w:t>内</w:t>
            </w:r>
            <w:r>
              <w:rPr>
                <w:rFonts w:hint="eastAsia" w:ascii="Times New Roman" w:hAnsi="Times New Roman" w:eastAsia="宋体" w:cs="Times New Roman"/>
                <w:snapToGrid/>
                <w:kern w:val="2"/>
                <w:szCs w:val="22"/>
                <w:highlight w:val="none"/>
              </w:rPr>
              <w:t>，能满足应急容积需求，要求废水管道设置切断阀，污水处理设施若发生应急事故，污水可排入应急池，待污水处理设施故障排除后，再排入污水</w:t>
            </w:r>
            <w:r>
              <w:rPr>
                <w:rFonts w:hint="eastAsia" w:cs="Times New Roman"/>
                <w:snapToGrid/>
                <w:kern w:val="2"/>
                <w:szCs w:val="22"/>
                <w:highlight w:val="none"/>
                <w:lang w:val="en-US" w:eastAsia="zh-CN"/>
              </w:rPr>
              <w:t>处理站</w:t>
            </w:r>
            <w:r>
              <w:rPr>
                <w:rFonts w:hint="eastAsia" w:ascii="Times New Roman" w:hAnsi="Times New Roman" w:eastAsia="宋体" w:cs="Times New Roman"/>
                <w:snapToGrid/>
                <w:kern w:val="2"/>
                <w:szCs w:val="22"/>
                <w:highlight w:val="none"/>
              </w:rPr>
              <w:t>处理后达标排放。</w:t>
            </w:r>
          </w:p>
          <w:p w14:paraId="5047B65F">
            <w:pPr>
              <w:keepNext w:val="0"/>
              <w:keepLines w:val="0"/>
              <w:suppressLineNumbers w:val="0"/>
              <w:spacing w:before="0" w:beforeAutospacing="0" w:after="0" w:afterAutospacing="0" w:line="360" w:lineRule="auto"/>
              <w:ind w:left="0" w:right="0" w:firstLine="480" w:firstLineChars="200"/>
              <w:rPr>
                <w:rFonts w:hint="default" w:ascii="Times New Roman" w:hAnsi="Times New Roman" w:eastAsia="宋体" w:cs="Times New Roman"/>
                <w:snapToGrid/>
                <w:kern w:val="2"/>
                <w:szCs w:val="22"/>
                <w:highlight w:val="none"/>
              </w:rPr>
            </w:pPr>
            <w:r>
              <w:rPr>
                <w:rFonts w:hint="eastAsia" w:ascii="Times New Roman" w:hAnsi="Times New Roman" w:eastAsia="宋体" w:cs="Times New Roman"/>
                <w:snapToGrid/>
                <w:kern w:val="2"/>
                <w:szCs w:val="22"/>
                <w:highlight w:val="none"/>
              </w:rPr>
              <w:t>③由于项目污水处理设施设有强制通风设备，并为工作人员配备工作服、手套、面罩、护目镜、防毒面具以及急救用品。</w:t>
            </w:r>
          </w:p>
          <w:p w14:paraId="34268E1F">
            <w:pPr>
              <w:keepNext w:val="0"/>
              <w:keepLines w:val="0"/>
              <w:suppressLineNumbers w:val="0"/>
              <w:spacing w:before="0" w:beforeAutospacing="0" w:after="0" w:afterAutospacing="0" w:line="360" w:lineRule="auto"/>
              <w:ind w:left="0" w:right="0" w:firstLine="480" w:firstLineChars="200"/>
              <w:rPr>
                <w:rFonts w:hint="default" w:ascii="Times New Roman" w:hAnsi="Times New Roman" w:eastAsia="宋体" w:cs="Times New Roman"/>
                <w:snapToGrid/>
                <w:kern w:val="2"/>
                <w:szCs w:val="22"/>
                <w:highlight w:val="none"/>
              </w:rPr>
            </w:pPr>
            <w:r>
              <w:rPr>
                <w:rFonts w:hint="eastAsia" w:ascii="Times New Roman" w:hAnsi="Times New Roman" w:eastAsia="宋体" w:cs="Times New Roman"/>
                <w:snapToGrid/>
                <w:kern w:val="2"/>
                <w:szCs w:val="22"/>
                <w:highlight w:val="none"/>
              </w:rPr>
              <w:t>④项目应建设完善的排水管网和切换系统，可应对管道破裂、泵设备损坏或失效、人为操作失误等事故。</w:t>
            </w:r>
          </w:p>
          <w:p w14:paraId="41A32A76">
            <w:pPr>
              <w:keepNext w:val="0"/>
              <w:keepLines w:val="0"/>
              <w:suppressLineNumbers w:val="0"/>
              <w:spacing w:before="0" w:beforeAutospacing="0" w:after="0" w:afterAutospacing="0" w:line="360" w:lineRule="auto"/>
              <w:ind w:left="0" w:right="0" w:firstLine="480" w:firstLineChars="200"/>
              <w:rPr>
                <w:rFonts w:hint="default" w:ascii="Times New Roman" w:hAnsi="Times New Roman" w:eastAsia="宋体" w:cs="Times New Roman"/>
                <w:snapToGrid/>
                <w:kern w:val="2"/>
                <w:szCs w:val="22"/>
                <w:highlight w:val="none"/>
              </w:rPr>
            </w:pPr>
            <w:r>
              <w:rPr>
                <w:rFonts w:hint="eastAsia" w:ascii="Times New Roman" w:hAnsi="Times New Roman" w:eastAsia="宋体" w:cs="Times New Roman"/>
                <w:snapToGrid/>
                <w:kern w:val="2"/>
                <w:szCs w:val="22"/>
                <w:highlight w:val="none"/>
              </w:rPr>
              <w:t>⑤定期对废水处理设施排放尾水进行监测，确保项目污废水达标排放。</w:t>
            </w:r>
          </w:p>
          <w:p w14:paraId="4F4537E5">
            <w:pPr>
              <w:keepNext w:val="0"/>
              <w:keepLines w:val="0"/>
              <w:suppressLineNumbers w:val="0"/>
              <w:spacing w:before="0" w:beforeAutospacing="0" w:after="0" w:afterAutospacing="0" w:line="360" w:lineRule="auto"/>
              <w:ind w:left="0" w:right="0" w:firstLine="480" w:firstLineChars="200"/>
              <w:rPr>
                <w:rFonts w:hint="default" w:ascii="Times New Roman" w:hAnsi="Times New Roman" w:eastAsia="宋体" w:cs="Times New Roman"/>
                <w:snapToGrid/>
                <w:kern w:val="2"/>
                <w:szCs w:val="22"/>
                <w:highlight w:val="none"/>
              </w:rPr>
            </w:pPr>
            <w:r>
              <w:rPr>
                <w:rFonts w:hint="eastAsia" w:ascii="Times New Roman" w:hAnsi="Times New Roman" w:eastAsia="宋体" w:cs="Times New Roman"/>
                <w:snapToGrid/>
                <w:kern w:val="2"/>
                <w:szCs w:val="22"/>
                <w:highlight w:val="none"/>
                <w:lang w:val="en-US" w:eastAsia="zh-CN"/>
              </w:rPr>
              <w:t>c、</w:t>
            </w:r>
            <w:r>
              <w:rPr>
                <w:rFonts w:hint="eastAsia" w:ascii="Times New Roman" w:hAnsi="Times New Roman" w:eastAsia="宋体" w:cs="Times New Roman"/>
                <w:snapToGrid/>
                <w:kern w:val="2"/>
                <w:szCs w:val="22"/>
                <w:highlight w:val="none"/>
              </w:rPr>
              <w:t>废气事故性排放防范措施</w:t>
            </w:r>
          </w:p>
          <w:p w14:paraId="264D1A0C">
            <w:pPr>
              <w:keepNext w:val="0"/>
              <w:keepLines w:val="0"/>
              <w:suppressLineNumbers w:val="0"/>
              <w:spacing w:before="0" w:beforeAutospacing="0" w:after="0" w:afterAutospacing="0" w:line="360" w:lineRule="auto"/>
              <w:ind w:left="0" w:right="0" w:firstLine="480" w:firstLineChars="200"/>
              <w:rPr>
                <w:rFonts w:hint="default" w:ascii="Times New Roman" w:hAnsi="Times New Roman" w:eastAsia="宋体" w:cs="Times New Roman"/>
                <w:snapToGrid/>
                <w:kern w:val="2"/>
                <w:szCs w:val="22"/>
                <w:highlight w:val="none"/>
              </w:rPr>
            </w:pPr>
            <w:r>
              <w:rPr>
                <w:rFonts w:hint="eastAsia" w:ascii="Times New Roman" w:hAnsi="Times New Roman" w:eastAsia="宋体" w:cs="Times New Roman"/>
                <w:snapToGrid/>
                <w:kern w:val="2"/>
                <w:szCs w:val="22"/>
                <w:highlight w:val="none"/>
              </w:rPr>
              <w:t>①平时加强废气治理设施的维护保养，及时发现处理设备的隐患，并及时维修，确保废气处理设施系统正常运行。</w:t>
            </w:r>
          </w:p>
          <w:p w14:paraId="45C3D16F">
            <w:pPr>
              <w:keepNext w:val="0"/>
              <w:keepLines w:val="0"/>
              <w:suppressLineNumbers w:val="0"/>
              <w:spacing w:before="0" w:beforeAutospacing="0" w:after="0" w:afterAutospacing="0" w:line="360" w:lineRule="auto"/>
              <w:ind w:left="0" w:right="0" w:firstLine="480" w:firstLineChars="200"/>
              <w:rPr>
                <w:rFonts w:hint="default" w:ascii="Times New Roman" w:hAnsi="Times New Roman" w:eastAsia="宋体" w:cs="Times New Roman"/>
                <w:snapToGrid/>
                <w:kern w:val="2"/>
                <w:szCs w:val="22"/>
                <w:highlight w:val="none"/>
              </w:rPr>
            </w:pPr>
            <w:r>
              <w:rPr>
                <w:rFonts w:hint="eastAsia" w:ascii="Times New Roman" w:hAnsi="Times New Roman" w:eastAsia="宋体" w:cs="Times New Roman"/>
                <w:snapToGrid/>
                <w:kern w:val="2"/>
                <w:szCs w:val="22"/>
                <w:highlight w:val="none"/>
              </w:rPr>
              <w:t>②设立专业的环保管理人员，对管理人员进行岗位培训，对废气处理实施全过程跟踪控制。</w:t>
            </w:r>
          </w:p>
          <w:p w14:paraId="6807F4C7">
            <w:pPr>
              <w:keepNext w:val="0"/>
              <w:keepLines w:val="0"/>
              <w:suppressLineNumbers w:val="0"/>
              <w:spacing w:before="0" w:beforeAutospacing="0" w:after="0" w:afterAutospacing="0" w:line="360" w:lineRule="auto"/>
              <w:ind w:left="0" w:right="0" w:firstLine="480" w:firstLineChars="200"/>
              <w:rPr>
                <w:rFonts w:hint="default" w:ascii="Times New Roman" w:hAnsi="Times New Roman" w:eastAsia="宋体" w:cs="Times New Roman"/>
                <w:snapToGrid/>
                <w:kern w:val="2"/>
                <w:szCs w:val="22"/>
                <w:highlight w:val="none"/>
              </w:rPr>
            </w:pPr>
            <w:r>
              <w:rPr>
                <w:rFonts w:hint="eastAsia" w:ascii="Times New Roman" w:hAnsi="Times New Roman" w:eastAsia="宋体" w:cs="Times New Roman"/>
                <w:snapToGrid/>
                <w:kern w:val="2"/>
                <w:szCs w:val="22"/>
                <w:highlight w:val="none"/>
              </w:rPr>
              <w:t>③项目应有备用电源以备停电时保障废气处理设备正常运行。</w:t>
            </w:r>
          </w:p>
          <w:p w14:paraId="0B696CEB">
            <w:pPr>
              <w:keepNext w:val="0"/>
              <w:keepLines w:val="0"/>
              <w:suppressLineNumbers w:val="0"/>
              <w:spacing w:before="0" w:beforeAutospacing="0" w:after="0" w:afterAutospacing="0" w:line="360" w:lineRule="auto"/>
              <w:ind w:left="0" w:right="0" w:firstLine="480" w:firstLineChars="200"/>
              <w:rPr>
                <w:rFonts w:hint="default" w:ascii="Times New Roman" w:hAnsi="Times New Roman" w:eastAsia="宋体" w:cs="Times New Roman"/>
                <w:snapToGrid/>
                <w:kern w:val="2"/>
                <w:szCs w:val="22"/>
                <w:highlight w:val="none"/>
              </w:rPr>
            </w:pPr>
            <w:r>
              <w:rPr>
                <w:rFonts w:hint="eastAsia" w:ascii="Times New Roman" w:hAnsi="Times New Roman" w:eastAsia="宋体" w:cs="Times New Roman"/>
                <w:snapToGrid/>
                <w:kern w:val="2"/>
                <w:szCs w:val="22"/>
                <w:highlight w:val="none"/>
              </w:rPr>
              <w:t>④废气处理设备运转异常（停产检修）。</w:t>
            </w:r>
          </w:p>
          <w:p w14:paraId="2A64FE90">
            <w:pPr>
              <w:keepNext w:val="0"/>
              <w:keepLines w:val="0"/>
              <w:suppressLineNumbers w:val="0"/>
              <w:spacing w:before="0" w:beforeAutospacing="0" w:after="0" w:afterAutospacing="0" w:line="360" w:lineRule="auto"/>
              <w:ind w:left="0" w:right="0" w:firstLine="480" w:firstLineChars="200"/>
              <w:rPr>
                <w:rFonts w:hint="default" w:ascii="Times New Roman" w:hAnsi="Times New Roman" w:eastAsia="宋体" w:cs="Times New Roman"/>
                <w:snapToGrid/>
                <w:kern w:val="2"/>
                <w:szCs w:val="22"/>
                <w:highlight w:val="none"/>
              </w:rPr>
            </w:pPr>
            <w:r>
              <w:rPr>
                <w:rFonts w:hint="eastAsia" w:ascii="Times New Roman" w:hAnsi="Times New Roman" w:eastAsia="宋体" w:cs="Times New Roman"/>
                <w:snapToGrid/>
                <w:kern w:val="2"/>
                <w:szCs w:val="22"/>
                <w:highlight w:val="none"/>
              </w:rPr>
              <w:t>⑤废气处理风机运转异常（启用备用风机）。</w:t>
            </w:r>
          </w:p>
          <w:p w14:paraId="564305C4">
            <w:pPr>
              <w:keepNext w:val="0"/>
              <w:keepLines w:val="0"/>
              <w:suppressLineNumbers w:val="0"/>
              <w:spacing w:before="0" w:beforeAutospacing="0" w:after="0" w:afterAutospacing="0" w:line="360" w:lineRule="auto"/>
              <w:ind w:left="0" w:right="0" w:firstLine="480" w:firstLineChars="200"/>
              <w:rPr>
                <w:rFonts w:hint="default" w:ascii="Times New Roman" w:hAnsi="Times New Roman" w:eastAsia="宋体" w:cs="Times New Roman"/>
                <w:snapToGrid/>
                <w:kern w:val="2"/>
                <w:szCs w:val="22"/>
                <w:highlight w:val="none"/>
              </w:rPr>
            </w:pPr>
            <w:r>
              <w:rPr>
                <w:rFonts w:hint="eastAsia" w:ascii="Times New Roman" w:hAnsi="Times New Roman" w:eastAsia="宋体" w:cs="Times New Roman"/>
                <w:snapToGrid/>
                <w:kern w:val="2"/>
                <w:szCs w:val="22"/>
                <w:highlight w:val="none"/>
                <w:lang w:val="en-US" w:eastAsia="zh-CN"/>
              </w:rPr>
              <w:t>d、危险</w:t>
            </w:r>
            <w:r>
              <w:rPr>
                <w:rFonts w:hint="eastAsia" w:ascii="Times New Roman" w:hAnsi="Times New Roman" w:eastAsia="宋体" w:cs="Times New Roman"/>
                <w:snapToGrid/>
                <w:kern w:val="2"/>
                <w:szCs w:val="22"/>
                <w:highlight w:val="none"/>
              </w:rPr>
              <w:t>废物</w:t>
            </w:r>
          </w:p>
          <w:p w14:paraId="50195C8E">
            <w:pPr>
              <w:keepNext w:val="0"/>
              <w:keepLines w:val="0"/>
              <w:suppressLineNumbers w:val="0"/>
              <w:spacing w:before="0" w:beforeAutospacing="0" w:after="0" w:afterAutospacing="0" w:line="360" w:lineRule="auto"/>
              <w:ind w:left="0" w:right="0" w:firstLine="480" w:firstLineChars="200"/>
              <w:rPr>
                <w:rFonts w:hint="default" w:ascii="Times New Roman" w:hAnsi="Times New Roman" w:eastAsia="宋体" w:cs="Times New Roman"/>
                <w:snapToGrid/>
                <w:kern w:val="2"/>
                <w:szCs w:val="22"/>
                <w:highlight w:val="none"/>
              </w:rPr>
            </w:pPr>
            <w:r>
              <w:rPr>
                <w:rFonts w:hint="eastAsia" w:ascii="Times New Roman" w:hAnsi="Times New Roman" w:eastAsia="宋体" w:cs="Times New Roman"/>
                <w:snapToGrid/>
                <w:kern w:val="2"/>
                <w:szCs w:val="22"/>
                <w:highlight w:val="none"/>
              </w:rPr>
              <w:t>主要为运输过程中事故防范措施。由于医疗固废的运输较其他货物的运输有更大的危险性，因此在运输中应特别小心谨慎、确保安全。为此应注意以下几个问题：</w:t>
            </w:r>
          </w:p>
          <w:p w14:paraId="3EC5C65B">
            <w:pPr>
              <w:keepNext w:val="0"/>
              <w:keepLines w:val="0"/>
              <w:suppressLineNumbers w:val="0"/>
              <w:spacing w:before="0" w:beforeAutospacing="0" w:after="0" w:afterAutospacing="0" w:line="360" w:lineRule="auto"/>
              <w:ind w:left="0" w:right="0" w:firstLine="480" w:firstLineChars="200"/>
              <w:rPr>
                <w:rFonts w:hint="default" w:ascii="Times New Roman" w:hAnsi="Times New Roman" w:eastAsia="宋体" w:cs="Times New Roman"/>
                <w:snapToGrid/>
                <w:kern w:val="2"/>
                <w:szCs w:val="22"/>
                <w:highlight w:val="none"/>
              </w:rPr>
            </w:pPr>
            <w:r>
              <w:rPr>
                <w:rFonts w:hint="eastAsia" w:ascii="Times New Roman" w:hAnsi="Times New Roman" w:eastAsia="宋体" w:cs="Times New Roman"/>
                <w:snapToGrid/>
                <w:kern w:val="2"/>
                <w:szCs w:val="22"/>
                <w:highlight w:val="none"/>
              </w:rPr>
              <w:t>①合理地规划运输路线及时间，运输时必须谨慎驾驶，以免事故发生。</w:t>
            </w:r>
          </w:p>
          <w:p w14:paraId="17774B9C">
            <w:pPr>
              <w:keepNext w:val="0"/>
              <w:keepLines w:val="0"/>
              <w:suppressLineNumbers w:val="0"/>
              <w:spacing w:before="0" w:beforeAutospacing="0" w:after="0" w:afterAutospacing="0" w:line="360" w:lineRule="auto"/>
              <w:ind w:left="0" w:right="0" w:firstLine="480" w:firstLineChars="200"/>
              <w:rPr>
                <w:rFonts w:hint="default" w:ascii="Times New Roman" w:hAnsi="Times New Roman" w:eastAsia="宋体" w:cs="Times New Roman"/>
                <w:snapToGrid/>
                <w:kern w:val="2"/>
                <w:szCs w:val="22"/>
                <w:highlight w:val="none"/>
              </w:rPr>
            </w:pPr>
            <w:r>
              <w:rPr>
                <w:rFonts w:hint="eastAsia" w:ascii="Times New Roman" w:hAnsi="Times New Roman" w:eastAsia="宋体" w:cs="Times New Roman"/>
                <w:snapToGrid/>
                <w:kern w:val="2"/>
                <w:szCs w:val="22"/>
                <w:highlight w:val="none"/>
              </w:rPr>
              <w:t>②医用化学品和医疗固废的装运应做到定车、定人。</w:t>
            </w:r>
          </w:p>
          <w:p w14:paraId="5C7126AE">
            <w:pPr>
              <w:keepNext w:val="0"/>
              <w:keepLines w:val="0"/>
              <w:suppressLineNumbers w:val="0"/>
              <w:spacing w:before="0" w:beforeAutospacing="0" w:after="0" w:afterAutospacing="0" w:line="360" w:lineRule="auto"/>
              <w:ind w:left="0" w:right="0" w:firstLine="480" w:firstLineChars="200"/>
              <w:rPr>
                <w:rFonts w:hint="default" w:ascii="Times New Roman" w:hAnsi="Times New Roman" w:eastAsia="宋体" w:cs="Times New Roman"/>
                <w:snapToGrid/>
                <w:kern w:val="2"/>
                <w:szCs w:val="22"/>
                <w:highlight w:val="none"/>
              </w:rPr>
            </w:pPr>
            <w:r>
              <w:rPr>
                <w:rFonts w:hint="eastAsia" w:ascii="Times New Roman" w:hAnsi="Times New Roman" w:eastAsia="宋体" w:cs="Times New Roman"/>
                <w:snapToGrid/>
                <w:kern w:val="2"/>
                <w:szCs w:val="22"/>
                <w:highlight w:val="none"/>
              </w:rPr>
              <w:t>③被装运的危险物品必须在其外包装的明显部位按规定粘贴《危险货物包装标志》（</w:t>
            </w:r>
            <w:r>
              <w:rPr>
                <w:rFonts w:hint="default" w:ascii="Times New Roman" w:hAnsi="Times New Roman" w:eastAsia="宋体" w:cs="Times New Roman"/>
                <w:snapToGrid/>
                <w:kern w:val="2"/>
                <w:szCs w:val="22"/>
                <w:highlight w:val="none"/>
              </w:rPr>
              <w:t>GB190-2009</w:t>
            </w:r>
            <w:r>
              <w:rPr>
                <w:rFonts w:hint="eastAsia" w:ascii="Times New Roman" w:hAnsi="Times New Roman" w:eastAsia="宋体" w:cs="Times New Roman"/>
                <w:snapToGrid/>
                <w:kern w:val="2"/>
                <w:szCs w:val="22"/>
                <w:highlight w:val="none"/>
              </w:rPr>
              <w:t>）规定的危险物品标志，包装标志的粘贴要正确、牢固。同时具有有毒等多种危险特性时，则应根据其不同危险特性，同时粘贴相应的几种包装标志，以便一旦发生问题时，可以进行多</w:t>
            </w:r>
            <w:r>
              <w:rPr>
                <w:rFonts w:hint="eastAsia" w:cs="Times New Roman"/>
                <w:snapToGrid/>
                <w:kern w:val="2"/>
                <w:szCs w:val="22"/>
                <w:highlight w:val="none"/>
                <w:lang w:val="en-US" w:eastAsia="zh-CN"/>
              </w:rPr>
              <w:t>重</w:t>
            </w:r>
            <w:r>
              <w:rPr>
                <w:rFonts w:hint="eastAsia" w:ascii="Times New Roman" w:hAnsi="Times New Roman" w:eastAsia="宋体" w:cs="Times New Roman"/>
                <w:snapToGrid/>
                <w:kern w:val="2"/>
                <w:szCs w:val="22"/>
                <w:highlight w:val="none"/>
              </w:rPr>
              <w:t>防护。</w:t>
            </w:r>
          </w:p>
          <w:p w14:paraId="3F8C68F9">
            <w:pPr>
              <w:keepNext w:val="0"/>
              <w:keepLines w:val="0"/>
              <w:suppressLineNumbers w:val="0"/>
              <w:spacing w:before="0" w:beforeAutospacing="0" w:after="0" w:afterAutospacing="0" w:line="360" w:lineRule="auto"/>
              <w:ind w:left="0" w:right="0" w:firstLine="480" w:firstLineChars="200"/>
              <w:rPr>
                <w:rFonts w:hint="default" w:ascii="Times New Roman" w:hAnsi="Times New Roman" w:eastAsia="宋体" w:cs="Times New Roman"/>
                <w:snapToGrid/>
                <w:kern w:val="2"/>
                <w:szCs w:val="22"/>
                <w:highlight w:val="none"/>
              </w:rPr>
            </w:pPr>
            <w:r>
              <w:rPr>
                <w:rFonts w:hint="eastAsia" w:ascii="Times New Roman" w:hAnsi="Times New Roman" w:eastAsia="宋体" w:cs="Times New Roman"/>
                <w:snapToGrid/>
                <w:kern w:val="2"/>
                <w:szCs w:val="22"/>
                <w:highlight w:val="none"/>
              </w:rPr>
              <w:t>④在危险物品的运输过程中，一旦发生意外事故，驾驶员和押运人员应在采取应急处理的同时，迅速报告公安机关和环保等有关部门，疏散群众，防止事态进一步扩大，并积极协助前来救助处理的公安交通和环保人员抢救伤者和处理运输物质，使危害减至最小范围。</w:t>
            </w:r>
          </w:p>
          <w:p w14:paraId="2E8F23A2">
            <w:pPr>
              <w:keepNext w:val="0"/>
              <w:keepLines w:val="0"/>
              <w:suppressLineNumbers w:val="0"/>
              <w:spacing w:before="0" w:beforeAutospacing="0" w:after="0" w:afterAutospacing="0" w:line="360" w:lineRule="auto"/>
              <w:ind w:left="0" w:right="0" w:firstLine="480" w:firstLineChars="200"/>
              <w:rPr>
                <w:rFonts w:hint="default" w:ascii="Times New Roman" w:hAnsi="Times New Roman" w:eastAsia="宋体" w:cs="Times New Roman"/>
                <w:snapToGrid/>
                <w:kern w:val="2"/>
                <w:szCs w:val="22"/>
                <w:highlight w:val="none"/>
              </w:rPr>
            </w:pPr>
            <w:r>
              <w:rPr>
                <w:rFonts w:hint="eastAsia" w:ascii="Times New Roman" w:hAnsi="Times New Roman" w:eastAsia="宋体" w:cs="Times New Roman"/>
                <w:snapToGrid/>
                <w:kern w:val="2"/>
                <w:szCs w:val="22"/>
                <w:highlight w:val="none"/>
              </w:rPr>
              <w:t>⑤运输医疗废物的车辆的驾驶员和押运人员，在出车前必须检查防毒、防护用品和检查工具是否携带齐全有效，在运输途中发现泄漏时应积极主动采取措施处理，防止事态进一步扩大，在切断泄漏源后应将情况及时向当地公安机关和有关部门报告，如处理不了，应立即报告当地公安机关和有关部门请求支援。</w:t>
            </w:r>
          </w:p>
          <w:p w14:paraId="23352E2B">
            <w:pPr>
              <w:keepNext w:val="0"/>
              <w:keepLines w:val="0"/>
              <w:suppressLineNumbers w:val="0"/>
              <w:spacing w:before="0" w:beforeAutospacing="0" w:after="0" w:afterAutospacing="0" w:line="360" w:lineRule="auto"/>
              <w:ind w:left="0" w:right="0" w:firstLine="480" w:firstLineChars="200"/>
              <w:rPr>
                <w:rFonts w:hint="default" w:ascii="Times New Roman" w:hAnsi="Times New Roman" w:eastAsia="宋体" w:cs="Times New Roman"/>
                <w:snapToGrid/>
                <w:kern w:val="2"/>
                <w:szCs w:val="22"/>
                <w:highlight w:val="none"/>
              </w:rPr>
            </w:pPr>
            <w:r>
              <w:rPr>
                <w:rFonts w:hint="eastAsia" w:cs="Times New Roman"/>
                <w:snapToGrid/>
                <w:kern w:val="2"/>
                <w:szCs w:val="22"/>
                <w:highlight w:val="none"/>
                <w:lang w:val="en-US" w:eastAsia="zh-CN"/>
              </w:rPr>
              <w:t>e</w:t>
            </w:r>
            <w:r>
              <w:rPr>
                <w:rFonts w:hint="eastAsia" w:ascii="Times New Roman" w:hAnsi="Times New Roman" w:eastAsia="宋体" w:cs="Times New Roman"/>
                <w:snapToGrid/>
                <w:kern w:val="2"/>
                <w:szCs w:val="22"/>
                <w:highlight w:val="none"/>
                <w:lang w:val="en-US" w:eastAsia="zh-CN"/>
              </w:rPr>
              <w:t>、</w:t>
            </w:r>
            <w:r>
              <w:rPr>
                <w:rFonts w:hint="eastAsia" w:ascii="Times New Roman" w:hAnsi="Times New Roman" w:eastAsia="宋体" w:cs="Times New Roman"/>
                <w:snapToGrid/>
                <w:kern w:val="2"/>
                <w:szCs w:val="22"/>
                <w:highlight w:val="none"/>
              </w:rPr>
              <w:t>其他风险防范措施</w:t>
            </w:r>
          </w:p>
          <w:p w14:paraId="0343AF3A">
            <w:pPr>
              <w:keepNext w:val="0"/>
              <w:keepLines w:val="0"/>
              <w:suppressLineNumbers w:val="0"/>
              <w:spacing w:before="0" w:beforeAutospacing="0" w:after="0" w:afterAutospacing="0" w:line="360" w:lineRule="auto"/>
              <w:ind w:left="0" w:right="0" w:firstLine="480" w:firstLineChars="200"/>
              <w:rPr>
                <w:rFonts w:hint="default" w:ascii="Times New Roman" w:hAnsi="Times New Roman" w:eastAsia="宋体" w:cs="Times New Roman"/>
                <w:snapToGrid/>
                <w:kern w:val="2"/>
                <w:szCs w:val="22"/>
                <w:highlight w:val="none"/>
              </w:rPr>
            </w:pPr>
            <w:r>
              <w:rPr>
                <w:rFonts w:hint="eastAsia" w:ascii="Times New Roman" w:hAnsi="Times New Roman" w:eastAsia="宋体" w:cs="Times New Roman"/>
                <w:snapToGrid/>
                <w:kern w:val="2"/>
                <w:szCs w:val="22"/>
                <w:highlight w:val="none"/>
              </w:rPr>
              <w:t>①对可能发生的事故，应制订应急计划，使各部门在事故发生后能有步骤、有秩序地采取各项应急措施；</w:t>
            </w:r>
          </w:p>
          <w:p w14:paraId="0585EF38">
            <w:pPr>
              <w:keepNext w:val="0"/>
              <w:keepLines w:val="0"/>
              <w:suppressLineNumbers w:val="0"/>
              <w:spacing w:before="0" w:beforeAutospacing="0" w:after="0" w:afterAutospacing="0" w:line="360" w:lineRule="auto"/>
              <w:ind w:left="0" w:right="0" w:firstLine="480" w:firstLineChars="200"/>
              <w:rPr>
                <w:rFonts w:hint="default" w:ascii="Times New Roman" w:hAnsi="Times New Roman" w:eastAsia="宋体" w:cs="Times New Roman"/>
                <w:snapToGrid/>
                <w:kern w:val="2"/>
                <w:szCs w:val="22"/>
                <w:highlight w:val="none"/>
              </w:rPr>
            </w:pPr>
            <w:r>
              <w:rPr>
                <w:rFonts w:hint="eastAsia" w:ascii="Times New Roman" w:hAnsi="Times New Roman" w:eastAsia="宋体" w:cs="Times New Roman"/>
                <w:snapToGrid/>
                <w:kern w:val="2"/>
                <w:szCs w:val="22"/>
                <w:highlight w:val="none"/>
              </w:rPr>
              <w:t>②事故应急救援一般包括报警与接警、应急救援队伍的出动、救援后备队的预备、实施应急救援（紧急疏散、现场急救）、溢出或泄漏救援和火灾控制几个方面；</w:t>
            </w:r>
          </w:p>
          <w:p w14:paraId="314CCAC5">
            <w:pPr>
              <w:keepNext w:val="0"/>
              <w:keepLines w:val="0"/>
              <w:suppressLineNumbers w:val="0"/>
              <w:spacing w:before="0" w:beforeAutospacing="0" w:after="0" w:afterAutospacing="0" w:line="360" w:lineRule="auto"/>
              <w:ind w:left="0" w:right="0" w:firstLine="480" w:firstLineChars="200"/>
              <w:rPr>
                <w:rFonts w:hint="default" w:ascii="Times New Roman" w:hAnsi="Times New Roman" w:eastAsia="宋体" w:cs="Times New Roman"/>
                <w:snapToGrid/>
                <w:kern w:val="2"/>
                <w:szCs w:val="22"/>
                <w:highlight w:val="none"/>
              </w:rPr>
            </w:pPr>
            <w:r>
              <w:rPr>
                <w:rFonts w:hint="eastAsia" w:ascii="Times New Roman" w:hAnsi="Times New Roman" w:eastAsia="宋体" w:cs="Times New Roman"/>
                <w:snapToGrid/>
                <w:kern w:val="2"/>
                <w:szCs w:val="22"/>
                <w:highlight w:val="none"/>
              </w:rPr>
              <w:t>③当事故发生后，应迅速组织企业和专业应急监测机构对事故现场以及周围环境进行连续不间断监测，及时了解事故现场及敏感目标环境空气中污染物的浓度或水体中污染物浓度，对事故的性质、参数以及各类污染物质的扩散程度进行评估，为指挥部门提供决策依据；</w:t>
            </w:r>
          </w:p>
          <w:p w14:paraId="30A1768A">
            <w:pPr>
              <w:keepNext w:val="0"/>
              <w:keepLines w:val="0"/>
              <w:suppressLineNumbers w:val="0"/>
              <w:spacing w:before="0" w:beforeAutospacing="0" w:after="0" w:afterAutospacing="0" w:line="360" w:lineRule="auto"/>
              <w:ind w:left="0" w:right="0" w:firstLine="480" w:firstLineChars="200"/>
              <w:rPr>
                <w:rFonts w:hint="default" w:ascii="Times New Roman" w:hAnsi="Times New Roman" w:eastAsia="宋体" w:cs="Times New Roman"/>
                <w:snapToGrid/>
                <w:kern w:val="2"/>
                <w:szCs w:val="22"/>
                <w:highlight w:val="none"/>
              </w:rPr>
            </w:pPr>
            <w:r>
              <w:rPr>
                <w:rFonts w:hint="eastAsia" w:ascii="Times New Roman" w:hAnsi="Times New Roman" w:eastAsia="宋体" w:cs="Times New Roman"/>
                <w:snapToGrid/>
                <w:kern w:val="2"/>
                <w:szCs w:val="22"/>
                <w:highlight w:val="none"/>
              </w:rPr>
              <w:t>④应急救援保障：整个</w:t>
            </w:r>
            <w:r>
              <w:rPr>
                <w:rFonts w:hint="eastAsia" w:ascii="Times New Roman" w:hAnsi="Times New Roman" w:eastAsia="宋体" w:cs="Times New Roman"/>
                <w:snapToGrid/>
                <w:kern w:val="2"/>
                <w:szCs w:val="22"/>
                <w:highlight w:val="none"/>
                <w:lang w:val="en-US" w:eastAsia="zh-CN"/>
              </w:rPr>
              <w:t>实验室</w:t>
            </w:r>
            <w:r>
              <w:rPr>
                <w:rFonts w:hint="eastAsia" w:ascii="Times New Roman" w:hAnsi="Times New Roman" w:eastAsia="宋体" w:cs="Times New Roman"/>
                <w:snapToGrid/>
                <w:kern w:val="2"/>
                <w:szCs w:val="22"/>
                <w:highlight w:val="none"/>
              </w:rPr>
              <w:t>的公用工程、行政管理及生产设施人员全部由公司统一配置；</w:t>
            </w:r>
          </w:p>
          <w:p w14:paraId="39F0C808">
            <w:pPr>
              <w:keepNext w:val="0"/>
              <w:keepLines w:val="0"/>
              <w:suppressLineNumbers w:val="0"/>
              <w:spacing w:before="0" w:beforeAutospacing="0" w:after="0" w:afterAutospacing="0" w:line="360" w:lineRule="auto"/>
              <w:ind w:left="0" w:right="0" w:firstLine="480" w:firstLineChars="200"/>
              <w:rPr>
                <w:rFonts w:hint="default" w:ascii="Times New Roman" w:hAnsi="Times New Roman" w:eastAsia="宋体" w:cs="Times New Roman"/>
                <w:snapToGrid/>
                <w:kern w:val="2"/>
                <w:szCs w:val="22"/>
                <w:highlight w:val="none"/>
              </w:rPr>
            </w:pPr>
            <w:r>
              <w:rPr>
                <w:rFonts w:hint="eastAsia" w:ascii="Times New Roman" w:hAnsi="Times New Roman" w:eastAsia="宋体" w:cs="Times New Roman"/>
                <w:snapToGrid/>
                <w:kern w:val="2"/>
                <w:szCs w:val="22"/>
                <w:highlight w:val="none"/>
              </w:rPr>
              <w:t>⑤当发生重大事故时，启动重大事故应急救援程序；</w:t>
            </w:r>
          </w:p>
          <w:p w14:paraId="77EF0196">
            <w:pPr>
              <w:keepNext w:val="0"/>
              <w:keepLines w:val="0"/>
              <w:suppressLineNumbers w:val="0"/>
              <w:spacing w:before="0" w:beforeAutospacing="0" w:after="0" w:afterAutospacing="0" w:line="360" w:lineRule="auto"/>
              <w:ind w:left="0" w:right="0" w:firstLine="480" w:firstLineChars="200"/>
              <w:rPr>
                <w:rFonts w:hint="default" w:ascii="Times New Roman" w:hAnsi="Times New Roman" w:eastAsia="宋体" w:cs="Times New Roman"/>
                <w:snapToGrid/>
                <w:kern w:val="2"/>
                <w:szCs w:val="22"/>
                <w:highlight w:val="none"/>
              </w:rPr>
            </w:pPr>
            <w:r>
              <w:rPr>
                <w:rFonts w:hint="eastAsia" w:ascii="Times New Roman" w:hAnsi="Times New Roman" w:eastAsia="宋体" w:cs="Times New Roman"/>
                <w:snapToGrid/>
                <w:kern w:val="2"/>
                <w:szCs w:val="22"/>
                <w:highlight w:val="none"/>
              </w:rPr>
              <w:t>⑥企业定期实施应急培训计划；</w:t>
            </w:r>
          </w:p>
          <w:p w14:paraId="711B5274">
            <w:pPr>
              <w:keepNext w:val="0"/>
              <w:keepLines w:val="0"/>
              <w:suppressLineNumbers w:val="0"/>
              <w:spacing w:before="0" w:beforeAutospacing="0" w:after="0" w:afterAutospacing="0" w:line="360" w:lineRule="auto"/>
              <w:ind w:left="0" w:right="0" w:firstLine="480" w:firstLineChars="200"/>
              <w:rPr>
                <w:rFonts w:hint="default" w:ascii="Times New Roman" w:hAnsi="Times New Roman" w:eastAsia="宋体" w:cs="Times New Roman"/>
                <w:snapToGrid/>
                <w:kern w:val="2"/>
                <w:szCs w:val="22"/>
                <w:highlight w:val="none"/>
              </w:rPr>
            </w:pPr>
            <w:r>
              <w:rPr>
                <w:rFonts w:hint="eastAsia" w:ascii="Times New Roman" w:hAnsi="Times New Roman" w:eastAsia="宋体" w:cs="Times New Roman"/>
                <w:snapToGrid/>
                <w:kern w:val="2"/>
                <w:szCs w:val="22"/>
                <w:highlight w:val="none"/>
              </w:rPr>
              <w:t>⑦建设单位将负责对</w:t>
            </w:r>
            <w:r>
              <w:rPr>
                <w:rFonts w:hint="eastAsia" w:ascii="Times New Roman" w:hAnsi="Times New Roman" w:eastAsia="宋体" w:cs="Times New Roman"/>
                <w:snapToGrid/>
                <w:kern w:val="2"/>
                <w:szCs w:val="22"/>
                <w:highlight w:val="none"/>
                <w:lang w:val="en-US" w:eastAsia="zh-CN"/>
              </w:rPr>
              <w:t>项目</w:t>
            </w:r>
            <w:r>
              <w:rPr>
                <w:rFonts w:hint="eastAsia" w:ascii="Times New Roman" w:hAnsi="Times New Roman" w:eastAsia="宋体" w:cs="Times New Roman"/>
                <w:snapToGrid/>
                <w:kern w:val="2"/>
                <w:szCs w:val="22"/>
                <w:highlight w:val="none"/>
              </w:rPr>
              <w:t>邻近地区开展公众教育、培训和发布本企业有关安全生产的基本信息，加强与周边公众的交流，如发生事故，可以更好</w:t>
            </w:r>
            <w:r>
              <w:rPr>
                <w:rFonts w:hint="eastAsia" w:cs="Times New Roman"/>
                <w:snapToGrid/>
                <w:kern w:val="2"/>
                <w:szCs w:val="22"/>
                <w:highlight w:val="none"/>
                <w:lang w:val="en-US" w:eastAsia="zh-CN"/>
              </w:rPr>
              <w:t>地</w:t>
            </w:r>
            <w:r>
              <w:rPr>
                <w:rFonts w:hint="eastAsia" w:ascii="Times New Roman" w:hAnsi="Times New Roman" w:eastAsia="宋体" w:cs="Times New Roman"/>
                <w:snapToGrid/>
                <w:kern w:val="2"/>
                <w:szCs w:val="22"/>
                <w:highlight w:val="none"/>
              </w:rPr>
              <w:t>疏散、防护污染；</w:t>
            </w:r>
          </w:p>
          <w:p w14:paraId="5273F87C">
            <w:pPr>
              <w:keepNext w:val="0"/>
              <w:keepLines w:val="0"/>
              <w:suppressLineNumbers w:val="0"/>
              <w:spacing w:before="0" w:beforeAutospacing="0" w:after="0" w:afterAutospacing="0" w:line="360" w:lineRule="auto"/>
              <w:ind w:left="0" w:right="0" w:firstLine="480" w:firstLineChars="200"/>
              <w:rPr>
                <w:rFonts w:hint="default" w:ascii="Times New Roman" w:hAnsi="Times New Roman" w:eastAsia="宋体" w:cs="Times New Roman"/>
                <w:snapToGrid/>
                <w:kern w:val="2"/>
                <w:szCs w:val="22"/>
                <w:highlight w:val="none"/>
              </w:rPr>
            </w:pPr>
            <w:r>
              <w:rPr>
                <w:rFonts w:hint="eastAsia" w:ascii="Times New Roman" w:hAnsi="Times New Roman" w:eastAsia="宋体" w:cs="Times New Roman"/>
                <w:snapToGrid/>
                <w:kern w:val="2"/>
                <w:szCs w:val="22"/>
                <w:highlight w:val="none"/>
              </w:rPr>
              <w:t>⑧发生事故时，启动社会救援应急预案，建立单位互助体系及社会支援。</w:t>
            </w:r>
          </w:p>
          <w:p w14:paraId="02148BB7">
            <w:pPr>
              <w:keepNext w:val="0"/>
              <w:keepLines w:val="0"/>
              <w:suppressLineNumbers w:val="0"/>
              <w:adjustRightInd w:val="0"/>
              <w:snapToGrid w:val="0"/>
              <w:spacing w:before="0" w:beforeAutospacing="0" w:after="0" w:afterAutospacing="0" w:line="360" w:lineRule="auto"/>
              <w:ind w:left="0" w:right="0" w:firstLine="480" w:firstLineChars="200"/>
              <w:rPr>
                <w:rFonts w:hint="default" w:ascii="Times New Roman" w:hAnsi="Times New Roman" w:eastAsia="宋体" w:cs="Times New Roman"/>
                <w:bCs/>
                <w:snapToGrid w:val="0"/>
                <w:highlight w:val="none"/>
              </w:rPr>
            </w:pPr>
            <w:r>
              <w:rPr>
                <w:rFonts w:hint="eastAsia" w:ascii="Times New Roman" w:hAnsi="Times New Roman" w:eastAsia="宋体" w:cs="Times New Roman"/>
                <w:snapToGrid w:val="0"/>
                <w:color w:val="000000"/>
                <w:kern w:val="0"/>
                <w:szCs w:val="20"/>
                <w:highlight w:val="none"/>
              </w:rPr>
              <w:t>此外，</w:t>
            </w:r>
            <w:r>
              <w:rPr>
                <w:rFonts w:hint="eastAsia" w:ascii="Times New Roman" w:hAnsi="Times New Roman" w:eastAsia="宋体" w:cs="Times New Roman"/>
                <w:snapToGrid w:val="0"/>
                <w:color w:val="000000"/>
                <w:kern w:val="0"/>
                <w:highlight w:val="none"/>
              </w:rPr>
              <w:t>根</w:t>
            </w:r>
            <w:r>
              <w:rPr>
                <w:rFonts w:hint="eastAsia" w:ascii="Times New Roman" w:hAnsi="Times New Roman" w:eastAsia="宋体" w:cs="Times New Roman"/>
                <w:snapToGrid w:val="0"/>
                <w:kern w:val="0"/>
                <w:highlight w:val="none"/>
              </w:rPr>
              <w:t>据《</w:t>
            </w:r>
            <w:r>
              <w:rPr>
                <w:rFonts w:hint="eastAsia" w:ascii="Times New Roman" w:hAnsi="Times New Roman" w:eastAsia="宋体" w:cs="Times New Roman"/>
                <w:bCs/>
                <w:snapToGrid w:val="0"/>
                <w:highlight w:val="none"/>
              </w:rPr>
              <w:t>浙江省应急管理厅 浙江省生态环境厅关于加强工业企业环保设施安全生产工作的指导意见》</w:t>
            </w:r>
            <w:r>
              <w:rPr>
                <w:rFonts w:hint="eastAsia" w:cs="Times New Roman"/>
                <w:bCs/>
                <w:snapToGrid w:val="0"/>
                <w:highlight w:val="none"/>
                <w:lang w:eastAsia="zh-CN"/>
              </w:rPr>
              <w:t>（</w:t>
            </w:r>
            <w:r>
              <w:rPr>
                <w:rFonts w:hint="eastAsia" w:ascii="Times New Roman" w:hAnsi="Times New Roman" w:eastAsia="宋体" w:cs="Times New Roman"/>
                <w:bCs/>
                <w:snapToGrid w:val="0"/>
                <w:highlight w:val="none"/>
              </w:rPr>
              <w:t>浙应急基础</w:t>
            </w:r>
            <w:r>
              <w:rPr>
                <w:rFonts w:hint="eastAsia" w:cs="Times New Roman"/>
                <w:bCs/>
                <w:snapToGrid w:val="0"/>
                <w:highlight w:val="none"/>
                <w:lang w:eastAsia="zh-CN"/>
              </w:rPr>
              <w:t>〔2022〕143号）</w:t>
            </w:r>
            <w:r>
              <w:rPr>
                <w:rFonts w:hint="eastAsia" w:cs="Times New Roman"/>
                <w:bCs/>
                <w:snapToGrid w:val="0"/>
                <w:highlight w:val="none"/>
                <w:lang w:val="en-US" w:eastAsia="zh-CN"/>
              </w:rPr>
              <w:t>和《浙江省安全生产委员会成员单位安全生产工作任务分工》（浙安委〔2024〕20号）</w:t>
            </w:r>
            <w:r>
              <w:rPr>
                <w:rFonts w:hint="eastAsia" w:ascii="Times New Roman" w:hAnsi="Times New Roman" w:eastAsia="宋体" w:cs="Times New Roman"/>
                <w:bCs/>
                <w:snapToGrid w:val="0"/>
                <w:highlight w:val="none"/>
              </w:rPr>
              <w:t>，</w:t>
            </w:r>
            <w:r>
              <w:rPr>
                <w:rFonts w:hint="eastAsia" w:cs="Times New Roman"/>
                <w:bCs/>
                <w:snapToGrid w:val="0"/>
                <w:highlight w:val="none"/>
                <w:lang w:val="en-US" w:eastAsia="zh-CN"/>
              </w:rPr>
              <w:t>上述</w:t>
            </w:r>
            <w:r>
              <w:rPr>
                <w:rFonts w:hint="eastAsia" w:ascii="Times New Roman" w:hAnsi="Times New Roman" w:eastAsia="宋体" w:cs="Times New Roman"/>
                <w:bCs/>
                <w:snapToGrid w:val="0"/>
                <w:highlight w:val="none"/>
              </w:rPr>
              <w:t>文件将新、改、扩建环保设施纳入建设项目管理，要求在环境保护“三同时”阶段落实有关安全要求。</w:t>
            </w:r>
          </w:p>
          <w:p w14:paraId="7294E39D">
            <w:pPr>
              <w:keepNext w:val="0"/>
              <w:keepLines w:val="0"/>
              <w:suppressLineNumbers w:val="0"/>
              <w:adjustRightInd w:val="0"/>
              <w:snapToGrid w:val="0"/>
              <w:spacing w:before="0" w:beforeAutospacing="0" w:after="0" w:afterAutospacing="0" w:line="360" w:lineRule="auto"/>
              <w:ind w:left="0" w:right="0" w:firstLine="480" w:firstLineChars="200"/>
              <w:rPr>
                <w:rFonts w:hint="default" w:ascii="Times New Roman" w:hAnsi="Times New Roman" w:eastAsia="宋体" w:cs="Times New Roman"/>
                <w:bCs/>
                <w:snapToGrid w:val="0"/>
                <w:highlight w:val="none"/>
              </w:rPr>
            </w:pPr>
            <w:r>
              <w:rPr>
                <w:rFonts w:hint="eastAsia" w:ascii="Times New Roman" w:hAnsi="Times New Roman" w:eastAsia="宋体" w:cs="Times New Roman"/>
                <w:bCs/>
                <w:snapToGrid w:val="0"/>
                <w:highlight w:val="none"/>
              </w:rPr>
              <w:t>一是立项阶段，在企业环境影响评价时，不得采用淘汰的设备和工艺，在环评技术审查等环节，明确可邀请应</w:t>
            </w:r>
            <w:r>
              <w:rPr>
                <w:rFonts w:hint="eastAsia" w:cs="Times New Roman"/>
                <w:bCs/>
                <w:snapToGrid w:val="0"/>
                <w:highlight w:val="none"/>
                <w:lang w:val="en-US" w:eastAsia="zh-CN"/>
              </w:rPr>
              <w:t>急</w:t>
            </w:r>
            <w:r>
              <w:rPr>
                <w:rFonts w:hint="eastAsia" w:ascii="Times New Roman" w:hAnsi="Times New Roman" w:eastAsia="宋体" w:cs="Times New Roman"/>
                <w:bCs/>
                <w:snapToGrid w:val="0"/>
                <w:highlight w:val="none"/>
              </w:rPr>
              <w:t>管理部门和安全专家参与论证。</w:t>
            </w:r>
          </w:p>
          <w:p w14:paraId="36231795">
            <w:pPr>
              <w:keepNext w:val="0"/>
              <w:keepLines w:val="0"/>
              <w:suppressLineNumbers w:val="0"/>
              <w:adjustRightInd w:val="0"/>
              <w:snapToGrid w:val="0"/>
              <w:spacing w:before="0" w:beforeAutospacing="0" w:after="0" w:afterAutospacing="0" w:line="360" w:lineRule="auto"/>
              <w:ind w:left="0" w:right="0" w:firstLine="480" w:firstLineChars="200"/>
              <w:rPr>
                <w:rFonts w:hint="default" w:ascii="Times New Roman" w:hAnsi="Times New Roman" w:eastAsia="宋体" w:cs="Times New Roman"/>
                <w:bCs/>
                <w:snapToGrid w:val="0"/>
                <w:highlight w:val="none"/>
              </w:rPr>
            </w:pPr>
            <w:r>
              <w:rPr>
                <w:rFonts w:hint="eastAsia" w:ascii="Times New Roman" w:hAnsi="Times New Roman" w:eastAsia="宋体" w:cs="Times New Roman"/>
                <w:bCs/>
                <w:snapToGrid w:val="0"/>
                <w:highlight w:val="none"/>
              </w:rPr>
              <w:t>二是设计阶段，企业应委托有相应资质设计单位对环保设施进行设计，自行开展或组织环保、安全生产有关专家参与设计审查。</w:t>
            </w:r>
          </w:p>
          <w:p w14:paraId="33F4CA3C">
            <w:pPr>
              <w:keepNext w:val="0"/>
              <w:keepLines w:val="0"/>
              <w:suppressLineNumbers w:val="0"/>
              <w:adjustRightInd w:val="0"/>
              <w:snapToGrid w:val="0"/>
              <w:spacing w:before="0" w:beforeAutospacing="0" w:after="0" w:afterAutospacing="0" w:line="360" w:lineRule="auto"/>
              <w:ind w:left="0" w:right="0" w:firstLine="480" w:firstLineChars="200"/>
              <w:rPr>
                <w:rFonts w:hint="default" w:ascii="Times New Roman" w:hAnsi="Times New Roman" w:eastAsia="宋体" w:cs="Times New Roman"/>
                <w:bCs/>
                <w:snapToGrid w:val="0"/>
                <w:highlight w:val="none"/>
              </w:rPr>
            </w:pPr>
            <w:r>
              <w:rPr>
                <w:rFonts w:hint="eastAsia" w:ascii="Times New Roman" w:hAnsi="Times New Roman" w:eastAsia="宋体" w:cs="Times New Roman"/>
                <w:bCs/>
                <w:snapToGrid w:val="0"/>
                <w:highlight w:val="none"/>
              </w:rPr>
              <w:t>三是建设和验收阶段，严格按照设计方案和施工技术标准施工，组织环保设施竣工验收，形成书面报告。已建成的重点环保设施且未进行正规设计的，要委托第三方单位开展设计诊断，落实整改措施，实行销号闭环管理。</w:t>
            </w:r>
          </w:p>
          <w:p w14:paraId="0B9AC090">
            <w:pPr>
              <w:pStyle w:val="122"/>
              <w:keepNext w:val="0"/>
              <w:keepLines w:val="0"/>
              <w:suppressLineNumbers w:val="0"/>
              <w:spacing w:before="0" w:beforeAutospacing="0" w:after="0" w:afterAutospacing="0"/>
              <w:ind w:left="0" w:leftChars="0" w:right="0" w:firstLine="0" w:firstLineChars="0"/>
              <w:rPr>
                <w:rFonts w:hint="default" w:ascii="Times New Roman" w:hAnsi="Times New Roman" w:eastAsia="宋体" w:cs="Times New Roman"/>
                <w:b/>
                <w:highlight w:val="none"/>
              </w:rPr>
            </w:pPr>
            <w:r>
              <w:rPr>
                <w:rFonts w:hint="eastAsia" w:cs="Times New Roman"/>
                <w:b/>
                <w:highlight w:val="none"/>
                <w:lang w:val="en-US" w:eastAsia="zh-CN"/>
              </w:rPr>
              <w:t>8、</w:t>
            </w:r>
            <w:r>
              <w:rPr>
                <w:rFonts w:hint="eastAsia" w:ascii="Times New Roman" w:hAnsi="Times New Roman" w:eastAsia="宋体" w:cs="Times New Roman"/>
                <w:b/>
                <w:highlight w:val="none"/>
              </w:rPr>
              <w:t>生物</w:t>
            </w:r>
            <w:r>
              <w:rPr>
                <w:rFonts w:hint="default" w:ascii="Times New Roman" w:hAnsi="Times New Roman" w:eastAsia="宋体" w:cs="Times New Roman"/>
                <w:b/>
                <w:highlight w:val="none"/>
              </w:rPr>
              <w:t>安全</w:t>
            </w:r>
            <w:r>
              <w:rPr>
                <w:rFonts w:hint="eastAsia" w:ascii="Times New Roman" w:hAnsi="Times New Roman" w:eastAsia="宋体" w:cs="Times New Roman"/>
                <w:b/>
                <w:highlight w:val="none"/>
              </w:rPr>
              <w:t>评价</w:t>
            </w:r>
          </w:p>
          <w:p w14:paraId="0A075CC1">
            <w:pPr>
              <w:pStyle w:val="122"/>
              <w:keepNext w:val="0"/>
              <w:keepLines w:val="0"/>
              <w:suppressLineNumbers w:val="0"/>
              <w:spacing w:before="0" w:beforeAutospacing="0" w:after="0" w:afterAutospacing="0"/>
              <w:ind w:left="0" w:right="0"/>
              <w:rPr>
                <w:rFonts w:hint="default" w:ascii="Times New Roman" w:hAnsi="Times New Roman" w:eastAsia="宋体" w:cs="Times New Roman"/>
                <w:highlight w:val="none"/>
              </w:rPr>
            </w:pPr>
            <w:r>
              <w:rPr>
                <w:rFonts w:hint="eastAsia" w:ascii="Times New Roman" w:hAnsi="Times New Roman" w:eastAsia="宋体" w:cs="Times New Roman"/>
                <w:highlight w:val="none"/>
              </w:rPr>
              <w:t>根据医院研究课题需求，部分动物实验会涉及《动物病原微生物分类名录》中第三类动物微生物，生物安全等级为</w:t>
            </w:r>
            <w:r>
              <w:rPr>
                <w:rFonts w:hint="default" w:ascii="Times New Roman" w:hAnsi="Times New Roman" w:eastAsia="宋体" w:cs="Times New Roman"/>
                <w:highlight w:val="none"/>
              </w:rPr>
              <w:t>ABSL-2</w:t>
            </w:r>
            <w:r>
              <w:rPr>
                <w:rFonts w:hint="eastAsia" w:ascii="Times New Roman" w:hAnsi="Times New Roman" w:eastAsia="宋体" w:cs="Times New Roman"/>
                <w:highlight w:val="none"/>
              </w:rPr>
              <w:t>。其中，在</w:t>
            </w:r>
            <w:r>
              <w:rPr>
                <w:rFonts w:hint="eastAsia" w:cs="Times New Roman"/>
                <w:highlight w:val="none"/>
                <w:lang w:val="en-US" w:eastAsia="zh-CN"/>
              </w:rPr>
              <w:t>实验动物中心3</w:t>
            </w:r>
            <w:r>
              <w:rPr>
                <w:rFonts w:hint="eastAsia" w:ascii="Times New Roman" w:hAnsi="Times New Roman" w:eastAsia="宋体" w:cs="Times New Roman"/>
                <w:highlight w:val="none"/>
              </w:rPr>
              <w:t>层</w:t>
            </w:r>
            <w:r>
              <w:rPr>
                <w:rFonts w:hint="eastAsia" w:cs="Times New Roman"/>
                <w:highlight w:val="none"/>
                <w:lang w:val="en-US" w:eastAsia="zh-CN"/>
              </w:rPr>
              <w:t>和科创综合楼7层</w:t>
            </w:r>
            <w:r>
              <w:rPr>
                <w:rFonts w:hint="eastAsia" w:ascii="Times New Roman" w:hAnsi="Times New Roman" w:eastAsia="宋体" w:cs="Times New Roman"/>
                <w:highlight w:val="none"/>
              </w:rPr>
              <w:t>拟设置</w:t>
            </w:r>
            <w:r>
              <w:rPr>
                <w:rFonts w:hint="default" w:ascii="Times New Roman" w:hAnsi="Times New Roman" w:eastAsia="宋体" w:cs="Times New Roman"/>
                <w:highlight w:val="none"/>
              </w:rPr>
              <w:t>P2</w:t>
            </w:r>
            <w:r>
              <w:rPr>
                <w:rFonts w:hint="eastAsia" w:ascii="Times New Roman" w:hAnsi="Times New Roman" w:eastAsia="宋体" w:cs="Times New Roman"/>
                <w:highlight w:val="none"/>
              </w:rPr>
              <w:t>实验室（</w:t>
            </w:r>
            <w:r>
              <w:rPr>
                <w:rFonts w:hint="default" w:ascii="Times New Roman" w:hAnsi="Times New Roman" w:eastAsia="宋体" w:cs="Times New Roman"/>
                <w:highlight w:val="none"/>
              </w:rPr>
              <w:t>ABSL-2</w:t>
            </w:r>
            <w:r>
              <w:rPr>
                <w:rFonts w:hint="eastAsia" w:ascii="Times New Roman" w:hAnsi="Times New Roman" w:eastAsia="宋体" w:cs="Times New Roman"/>
                <w:highlight w:val="none"/>
              </w:rPr>
              <w:t>）。</w:t>
            </w:r>
          </w:p>
          <w:p w14:paraId="62C3A230">
            <w:pPr>
              <w:pStyle w:val="122"/>
              <w:keepNext w:val="0"/>
              <w:keepLines w:val="0"/>
              <w:suppressLineNumbers w:val="0"/>
              <w:spacing w:before="0" w:beforeAutospacing="0" w:after="0" w:afterAutospacing="0"/>
              <w:ind w:left="0" w:right="0"/>
              <w:rPr>
                <w:rFonts w:hint="default" w:ascii="Times New Roman" w:hAnsi="Times New Roman" w:eastAsia="宋体" w:cs="Times New Roman"/>
                <w:highlight w:val="none"/>
              </w:rPr>
            </w:pPr>
            <w:r>
              <w:rPr>
                <w:rFonts w:hint="eastAsia" w:ascii="Times New Roman" w:hAnsi="Times New Roman" w:eastAsia="宋体" w:cs="Times New Roman"/>
                <w:highlight w:val="none"/>
              </w:rPr>
              <w:t>（</w:t>
            </w:r>
            <w:r>
              <w:rPr>
                <w:rFonts w:hint="default" w:ascii="Times New Roman" w:hAnsi="Times New Roman" w:eastAsia="宋体" w:cs="Times New Roman"/>
                <w:highlight w:val="none"/>
              </w:rPr>
              <w:t>1</w:t>
            </w:r>
            <w:r>
              <w:rPr>
                <w:rFonts w:hint="eastAsia" w:ascii="Times New Roman" w:hAnsi="Times New Roman" w:eastAsia="宋体" w:cs="Times New Roman"/>
                <w:highlight w:val="none"/>
              </w:rPr>
              <w:t>）评价标准</w:t>
            </w:r>
          </w:p>
          <w:p w14:paraId="05E0A2A7">
            <w:pPr>
              <w:pStyle w:val="122"/>
              <w:keepNext w:val="0"/>
              <w:keepLines w:val="0"/>
              <w:suppressLineNumbers w:val="0"/>
              <w:spacing w:before="0" w:beforeAutospacing="0" w:after="0" w:afterAutospacing="0"/>
              <w:ind w:left="0" w:right="0"/>
              <w:rPr>
                <w:rFonts w:hint="default" w:ascii="Times New Roman" w:hAnsi="Times New Roman" w:eastAsia="宋体" w:cs="Times New Roman"/>
                <w:highlight w:val="none"/>
              </w:rPr>
            </w:pPr>
            <w:r>
              <w:rPr>
                <w:rFonts w:hint="eastAsia" w:ascii="Times New Roman" w:hAnsi="Times New Roman" w:eastAsia="宋体" w:cs="Times New Roman"/>
                <w:highlight w:val="none"/>
              </w:rPr>
              <w:t>根据《病原微生物实验室生物安全管理条例》《动物病原微生物分类名录》确定建设项目的生物安全等级。</w:t>
            </w:r>
          </w:p>
          <w:p w14:paraId="2A43CF4E">
            <w:pPr>
              <w:pStyle w:val="122"/>
              <w:keepNext w:val="0"/>
              <w:keepLines w:val="0"/>
              <w:suppressLineNumbers w:val="0"/>
              <w:spacing w:before="0" w:beforeAutospacing="0" w:after="0" w:afterAutospacing="0"/>
              <w:ind w:left="0" w:right="0"/>
              <w:rPr>
                <w:rFonts w:hint="default" w:ascii="Times New Roman" w:hAnsi="Times New Roman" w:eastAsia="宋体" w:cs="Times New Roman"/>
                <w:highlight w:val="none"/>
              </w:rPr>
            </w:pPr>
            <w:r>
              <w:rPr>
                <w:rFonts w:hint="eastAsia" w:ascii="Times New Roman" w:hAnsi="Times New Roman" w:eastAsia="宋体" w:cs="Times New Roman"/>
                <w:highlight w:val="none"/>
              </w:rPr>
              <w:t>根据建设项目的生物安全等级，以《微生物和生物医学实验室生物安全通用准则》（</w:t>
            </w:r>
            <w:r>
              <w:rPr>
                <w:rFonts w:hint="default" w:ascii="Times New Roman" w:hAnsi="Times New Roman" w:eastAsia="宋体" w:cs="Times New Roman"/>
                <w:highlight w:val="none"/>
              </w:rPr>
              <w:t>WS 233-2017</w:t>
            </w:r>
            <w:r>
              <w:rPr>
                <w:rFonts w:hint="eastAsia" w:ascii="Times New Roman" w:hAnsi="Times New Roman" w:eastAsia="宋体" w:cs="Times New Roman"/>
                <w:highlight w:val="none"/>
              </w:rPr>
              <w:t>）、《实验室生物安全通用要求》（</w:t>
            </w:r>
            <w:r>
              <w:rPr>
                <w:rFonts w:hint="default" w:ascii="Times New Roman" w:hAnsi="Times New Roman" w:eastAsia="宋体" w:cs="Times New Roman"/>
                <w:highlight w:val="none"/>
              </w:rPr>
              <w:t>GB19489-2008</w:t>
            </w:r>
            <w:r>
              <w:rPr>
                <w:rFonts w:hint="eastAsia" w:ascii="Times New Roman" w:hAnsi="Times New Roman" w:eastAsia="宋体" w:cs="Times New Roman"/>
                <w:highlight w:val="none"/>
              </w:rPr>
              <w:t>）、《生物安全实验室建筑技术规范》（</w:t>
            </w:r>
            <w:r>
              <w:rPr>
                <w:rFonts w:hint="default" w:ascii="Times New Roman" w:hAnsi="Times New Roman" w:eastAsia="宋体" w:cs="Times New Roman"/>
                <w:highlight w:val="none"/>
              </w:rPr>
              <w:t>GB 50346-2011</w:t>
            </w:r>
            <w:r>
              <w:rPr>
                <w:rFonts w:hint="eastAsia" w:ascii="Times New Roman" w:hAnsi="Times New Roman" w:eastAsia="宋体" w:cs="Times New Roman"/>
                <w:highlight w:val="none"/>
              </w:rPr>
              <w:t xml:space="preserve">）等作为评价标准，以判断建设项目拟采取的生物安全防护措施是否符合标准和规范要求。 </w:t>
            </w:r>
          </w:p>
          <w:p w14:paraId="05233471">
            <w:pPr>
              <w:pStyle w:val="122"/>
              <w:keepNext w:val="0"/>
              <w:keepLines w:val="0"/>
              <w:suppressLineNumbers w:val="0"/>
              <w:spacing w:before="0" w:beforeAutospacing="0" w:after="0" w:afterAutospacing="0"/>
              <w:ind w:left="0" w:right="0"/>
              <w:rPr>
                <w:rFonts w:hint="default" w:ascii="Times New Roman" w:hAnsi="Times New Roman" w:eastAsia="宋体" w:cs="Times New Roman"/>
                <w:highlight w:val="none"/>
              </w:rPr>
            </w:pPr>
            <w:r>
              <w:rPr>
                <w:rFonts w:hint="eastAsia" w:ascii="Times New Roman" w:hAnsi="Times New Roman" w:eastAsia="宋体" w:cs="Times New Roman"/>
                <w:highlight w:val="none"/>
              </w:rPr>
              <w:t>（</w:t>
            </w:r>
            <w:r>
              <w:rPr>
                <w:rFonts w:hint="default" w:ascii="Times New Roman" w:hAnsi="Times New Roman" w:eastAsia="宋体" w:cs="Times New Roman"/>
                <w:highlight w:val="none"/>
              </w:rPr>
              <w:t>2</w:t>
            </w:r>
            <w:r>
              <w:rPr>
                <w:rFonts w:hint="eastAsia" w:ascii="Times New Roman" w:hAnsi="Times New Roman" w:eastAsia="宋体" w:cs="Times New Roman"/>
                <w:highlight w:val="none"/>
              </w:rPr>
              <w:t>）生物安全等级及要求</w:t>
            </w:r>
          </w:p>
          <w:p w14:paraId="6E19ECCD">
            <w:pPr>
              <w:pStyle w:val="122"/>
              <w:keepNext w:val="0"/>
              <w:keepLines w:val="0"/>
              <w:suppressLineNumbers w:val="0"/>
              <w:spacing w:before="0" w:beforeAutospacing="0" w:after="0" w:afterAutospacing="0"/>
              <w:ind w:left="0" w:right="0"/>
              <w:rPr>
                <w:rFonts w:hint="default" w:ascii="Times New Roman" w:hAnsi="Times New Roman" w:eastAsia="宋体" w:cs="Times New Roman"/>
                <w:highlight w:val="none"/>
              </w:rPr>
            </w:pPr>
            <w:r>
              <w:rPr>
                <w:rFonts w:hint="eastAsia" w:ascii="Times New Roman" w:hAnsi="Times New Roman" w:eastAsia="宋体" w:cs="Times New Roman"/>
                <w:highlight w:val="none"/>
              </w:rPr>
              <w:t>微生物危害等级是根据病原微生物的传染性、感染后对个体或者群体的危害程度进行划分。国家《病原微生物实验室生物安全管理条例》（国务院</w:t>
            </w:r>
            <w:r>
              <w:rPr>
                <w:rFonts w:hint="default" w:ascii="Times New Roman" w:hAnsi="Times New Roman" w:eastAsia="宋体" w:cs="Times New Roman"/>
                <w:highlight w:val="none"/>
              </w:rPr>
              <w:t>424</w:t>
            </w:r>
            <w:r>
              <w:rPr>
                <w:rFonts w:hint="eastAsia" w:ascii="Times New Roman" w:hAnsi="Times New Roman" w:eastAsia="宋体" w:cs="Times New Roman"/>
                <w:highlight w:val="none"/>
              </w:rPr>
              <w:t>号令</w:t>
            </w:r>
            <w:r>
              <w:rPr>
                <w:rFonts w:hint="default" w:ascii="Times New Roman" w:hAnsi="Times New Roman" w:eastAsia="宋体" w:cs="Times New Roman"/>
                <w:highlight w:val="none"/>
              </w:rPr>
              <w:t>2004.11.12.</w:t>
            </w:r>
            <w:r>
              <w:rPr>
                <w:rFonts w:hint="eastAsia" w:ascii="Times New Roman" w:hAnsi="Times New Roman" w:eastAsia="宋体" w:cs="Times New Roman"/>
                <w:highlight w:val="none"/>
              </w:rPr>
              <w:t>）将微生物危害等级分为四类，《实验室生物安全通用要求》（</w:t>
            </w:r>
            <w:r>
              <w:rPr>
                <w:rFonts w:hint="default" w:ascii="Times New Roman" w:hAnsi="Times New Roman" w:eastAsia="宋体" w:cs="Times New Roman"/>
                <w:highlight w:val="none"/>
              </w:rPr>
              <w:t>GB19489-2008</w:t>
            </w:r>
            <w:r>
              <w:rPr>
                <w:rFonts w:hint="eastAsia" w:ascii="Times New Roman" w:hAnsi="Times New Roman" w:eastAsia="宋体" w:cs="Times New Roman"/>
                <w:highlight w:val="none"/>
              </w:rPr>
              <w:t>）将生物安全防护水平分为四级，详见表</w:t>
            </w:r>
            <w:r>
              <w:rPr>
                <w:rFonts w:hint="default" w:ascii="Times New Roman" w:hAnsi="Times New Roman" w:eastAsia="宋体" w:cs="Times New Roman"/>
                <w:highlight w:val="none"/>
              </w:rPr>
              <w:t>4-</w:t>
            </w:r>
            <w:r>
              <w:rPr>
                <w:rFonts w:hint="eastAsia" w:cs="Times New Roman"/>
                <w:highlight w:val="none"/>
                <w:lang w:val="en-US" w:eastAsia="zh-CN"/>
              </w:rPr>
              <w:t>18</w:t>
            </w:r>
            <w:r>
              <w:rPr>
                <w:rFonts w:hint="eastAsia" w:ascii="Times New Roman" w:hAnsi="Times New Roman" w:eastAsia="宋体" w:cs="Times New Roman"/>
                <w:highlight w:val="none"/>
              </w:rPr>
              <w:t>。</w:t>
            </w:r>
          </w:p>
          <w:p w14:paraId="0460939D">
            <w:pPr>
              <w:pStyle w:val="128"/>
              <w:keepNext w:val="0"/>
              <w:keepLines w:val="0"/>
              <w:pageBreakBefore w:val="0"/>
              <w:widowControl w:val="0"/>
              <w:suppressLineNumbers w:val="0"/>
              <w:kinsoku/>
              <w:wordWrap/>
              <w:overflowPunct/>
              <w:topLinePunct w:val="0"/>
              <w:autoSpaceDE/>
              <w:autoSpaceDN/>
              <w:bidi w:val="0"/>
              <w:adjustRightInd w:val="0"/>
              <w:snapToGrid w:val="0"/>
              <w:spacing w:before="0" w:beforeLines="0" w:beforeAutospacing="0" w:after="0" w:afterAutospacing="0" w:line="360" w:lineRule="auto"/>
              <w:ind w:left="0" w:right="0"/>
              <w:textAlignment w:val="auto"/>
              <w:rPr>
                <w:rFonts w:hint="default" w:ascii="Times New Roman" w:hAnsi="Times New Roman" w:eastAsia="宋体" w:cs="Times New Roman"/>
                <w:color w:val="auto"/>
                <w:highlight w:val="none"/>
              </w:rPr>
            </w:pPr>
            <w:r>
              <w:rPr>
                <w:rFonts w:hint="eastAsia" w:ascii="Times New Roman" w:hAnsi="Times New Roman" w:eastAsia="宋体" w:cs="Times New Roman"/>
                <w:color w:val="auto"/>
                <w:highlight w:val="none"/>
              </w:rPr>
              <w:t>表</w:t>
            </w:r>
            <w:r>
              <w:rPr>
                <w:rFonts w:hint="default" w:ascii="Times New Roman" w:hAnsi="Times New Roman" w:eastAsia="宋体" w:cs="Times New Roman"/>
                <w:color w:val="auto"/>
                <w:highlight w:val="none"/>
              </w:rPr>
              <w:t>4-</w:t>
            </w:r>
            <w:r>
              <w:rPr>
                <w:rFonts w:hint="eastAsia" w:cs="Times New Roman"/>
                <w:color w:val="auto"/>
                <w:highlight w:val="none"/>
                <w:lang w:val="en-US" w:eastAsia="zh-CN"/>
              </w:rPr>
              <w:t>18</w:t>
            </w:r>
            <w:r>
              <w:rPr>
                <w:rFonts w:hint="default" w:ascii="Times New Roman" w:hAnsi="Times New Roman" w:eastAsia="宋体" w:cs="Times New Roman"/>
                <w:color w:val="auto"/>
                <w:highlight w:val="none"/>
              </w:rPr>
              <w:t xml:space="preserve">  </w:t>
            </w:r>
            <w:r>
              <w:rPr>
                <w:rFonts w:hint="eastAsia" w:ascii="Times New Roman" w:hAnsi="Times New Roman" w:eastAsia="宋体" w:cs="Times New Roman"/>
                <w:color w:val="auto"/>
                <w:highlight w:val="none"/>
              </w:rPr>
              <w:t>不同危害程度病原微生物的分级</w:t>
            </w:r>
          </w:p>
          <w:tbl>
            <w:tblPr>
              <w:tblStyle w:val="32"/>
              <w:tblW w:w="5000" w:type="pct"/>
              <w:jc w:val="cente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7" w:type="dxa"/>
                <w:bottom w:w="0" w:type="dxa"/>
                <w:right w:w="17" w:type="dxa"/>
              </w:tblCellMar>
            </w:tblPr>
            <w:tblGrid>
              <w:gridCol w:w="3704"/>
              <w:gridCol w:w="4568"/>
            </w:tblGrid>
            <w:tr w14:paraId="17731E72">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7" w:type="dxa"/>
                  <w:bottom w:w="0" w:type="dxa"/>
                  <w:right w:w="17" w:type="dxa"/>
                </w:tblCellMar>
              </w:tblPrEx>
              <w:trPr>
                <w:jc w:val="center"/>
              </w:trPr>
              <w:tc>
                <w:tcPr>
                  <w:tcW w:w="2239" w:type="pct"/>
                  <w:tcBorders>
                    <w:tl2br w:val="nil"/>
                    <w:tr2bl w:val="nil"/>
                  </w:tcBorders>
                </w:tcPr>
                <w:p w14:paraId="2C98B9F2">
                  <w:pPr>
                    <w:pStyle w:val="120"/>
                    <w:keepNext w:val="0"/>
                    <w:keepLines w:val="0"/>
                    <w:framePr w:hSpace="0" w:wrap="auto" w:vAnchor="margin" w:hAnchor="text" w:xAlign="left" w:yAlign="inline"/>
                    <w:suppressLineNumbers w:val="0"/>
                    <w:spacing w:before="0" w:beforeAutospacing="0" w:after="0" w:afterAutospacing="0"/>
                    <w:ind w:left="0" w:right="0"/>
                    <w:rPr>
                      <w:rFonts w:hint="default" w:ascii="Times New Roman" w:hAnsi="Times New Roman" w:eastAsia="宋体" w:cs="Times New Roman"/>
                      <w:b w:val="0"/>
                      <w:bCs w:val="0"/>
                      <w:color w:val="auto"/>
                      <w:sz w:val="21"/>
                      <w:szCs w:val="21"/>
                      <w:highlight w:val="none"/>
                    </w:rPr>
                  </w:pPr>
                  <w:r>
                    <w:rPr>
                      <w:rFonts w:hint="eastAsia" w:ascii="Times New Roman" w:hAnsi="Times New Roman" w:eastAsia="宋体" w:cs="Times New Roman"/>
                      <w:b w:val="0"/>
                      <w:bCs w:val="0"/>
                      <w:color w:val="auto"/>
                      <w:sz w:val="21"/>
                      <w:szCs w:val="21"/>
                      <w:highlight w:val="none"/>
                    </w:rPr>
                    <w:t>《病原微生物实验室生物安全管理</w:t>
                  </w:r>
                  <w:r>
                    <w:rPr>
                      <w:rFonts w:hint="eastAsia" w:ascii="Times New Roman" w:hAnsi="Times New Roman" w:eastAsia="宋体" w:cs="Times New Roman"/>
                      <w:b w:val="0"/>
                      <w:bCs w:val="0"/>
                      <w:color w:val="auto"/>
                      <w:spacing w:val="-2"/>
                      <w:sz w:val="21"/>
                      <w:szCs w:val="21"/>
                      <w:highlight w:val="none"/>
                    </w:rPr>
                    <w:t>条例》（国务院</w:t>
                  </w:r>
                  <w:r>
                    <w:rPr>
                      <w:rFonts w:hint="default" w:ascii="Times New Roman" w:hAnsi="Times New Roman" w:eastAsia="宋体" w:cs="Times New Roman"/>
                      <w:b w:val="0"/>
                      <w:bCs w:val="0"/>
                      <w:color w:val="auto"/>
                      <w:spacing w:val="-2"/>
                      <w:sz w:val="21"/>
                      <w:szCs w:val="21"/>
                      <w:highlight w:val="none"/>
                    </w:rPr>
                    <w:t>424</w:t>
                  </w:r>
                  <w:r>
                    <w:rPr>
                      <w:rFonts w:hint="eastAsia" w:ascii="Times New Roman" w:hAnsi="Times New Roman" w:eastAsia="宋体" w:cs="Times New Roman"/>
                      <w:b w:val="0"/>
                      <w:bCs w:val="0"/>
                      <w:color w:val="auto"/>
                      <w:spacing w:val="-2"/>
                      <w:sz w:val="21"/>
                      <w:szCs w:val="21"/>
                      <w:highlight w:val="none"/>
                    </w:rPr>
                    <w:t>号令）</w:t>
                  </w:r>
                </w:p>
              </w:tc>
              <w:tc>
                <w:tcPr>
                  <w:tcW w:w="2761" w:type="pct"/>
                  <w:tcBorders>
                    <w:tl2br w:val="nil"/>
                    <w:tr2bl w:val="nil"/>
                  </w:tcBorders>
                </w:tcPr>
                <w:p w14:paraId="0FD791AE">
                  <w:pPr>
                    <w:pStyle w:val="120"/>
                    <w:keepNext w:val="0"/>
                    <w:keepLines w:val="0"/>
                    <w:framePr w:hSpace="0" w:wrap="auto" w:vAnchor="margin" w:hAnchor="text" w:xAlign="left" w:yAlign="inline"/>
                    <w:suppressLineNumbers w:val="0"/>
                    <w:spacing w:before="0" w:beforeAutospacing="0" w:after="0" w:afterAutospacing="0"/>
                    <w:ind w:left="0" w:right="0"/>
                    <w:rPr>
                      <w:rFonts w:hint="default" w:ascii="Times New Roman" w:hAnsi="Times New Roman" w:eastAsia="宋体" w:cs="Times New Roman"/>
                      <w:b w:val="0"/>
                      <w:bCs w:val="0"/>
                      <w:color w:val="auto"/>
                      <w:sz w:val="21"/>
                      <w:szCs w:val="21"/>
                      <w:highlight w:val="none"/>
                    </w:rPr>
                  </w:pPr>
                  <w:r>
                    <w:rPr>
                      <w:rFonts w:hint="eastAsia" w:ascii="Times New Roman" w:hAnsi="Times New Roman" w:eastAsia="宋体" w:cs="Times New Roman"/>
                      <w:b w:val="0"/>
                      <w:bCs w:val="0"/>
                      <w:color w:val="auto"/>
                      <w:sz w:val="21"/>
                      <w:szCs w:val="21"/>
                      <w:highlight w:val="none"/>
                    </w:rPr>
                    <w:t>《实验室生物安全通用要求》</w:t>
                  </w:r>
                </w:p>
                <w:p w14:paraId="3F19DC31">
                  <w:pPr>
                    <w:pStyle w:val="120"/>
                    <w:keepNext w:val="0"/>
                    <w:keepLines w:val="0"/>
                    <w:framePr w:hSpace="0" w:wrap="auto" w:vAnchor="margin" w:hAnchor="text" w:xAlign="left" w:yAlign="inline"/>
                    <w:suppressLineNumbers w:val="0"/>
                    <w:spacing w:before="0" w:beforeAutospacing="0" w:after="0" w:afterAutospacing="0"/>
                    <w:ind w:left="0" w:right="0"/>
                    <w:rPr>
                      <w:rFonts w:hint="default" w:ascii="Times New Roman" w:hAnsi="Times New Roman" w:eastAsia="宋体" w:cs="Times New Roman"/>
                      <w:b w:val="0"/>
                      <w:bCs w:val="0"/>
                      <w:color w:val="auto"/>
                      <w:sz w:val="21"/>
                      <w:szCs w:val="21"/>
                      <w:highlight w:val="none"/>
                    </w:rPr>
                  </w:pPr>
                  <w:r>
                    <w:rPr>
                      <w:rFonts w:hint="eastAsia" w:ascii="Times New Roman" w:hAnsi="Times New Roman" w:eastAsia="宋体" w:cs="Times New Roman"/>
                      <w:b w:val="0"/>
                      <w:bCs w:val="0"/>
                      <w:color w:val="auto"/>
                      <w:sz w:val="21"/>
                      <w:szCs w:val="21"/>
                      <w:highlight w:val="none"/>
                    </w:rPr>
                    <w:t>（</w:t>
                  </w:r>
                  <w:r>
                    <w:rPr>
                      <w:rFonts w:hint="default" w:ascii="Times New Roman" w:hAnsi="Times New Roman" w:eastAsia="宋体" w:cs="Times New Roman"/>
                      <w:b w:val="0"/>
                      <w:bCs w:val="0"/>
                      <w:color w:val="auto"/>
                      <w:sz w:val="21"/>
                      <w:szCs w:val="21"/>
                      <w:highlight w:val="none"/>
                    </w:rPr>
                    <w:t>GB19489-2008</w:t>
                  </w:r>
                  <w:r>
                    <w:rPr>
                      <w:rFonts w:hint="eastAsia" w:ascii="Times New Roman" w:hAnsi="Times New Roman" w:eastAsia="宋体" w:cs="Times New Roman"/>
                      <w:b w:val="0"/>
                      <w:bCs w:val="0"/>
                      <w:color w:val="auto"/>
                      <w:sz w:val="21"/>
                      <w:szCs w:val="21"/>
                      <w:highlight w:val="none"/>
                    </w:rPr>
                    <w:t>）</w:t>
                  </w:r>
                </w:p>
              </w:tc>
            </w:tr>
            <w:tr w14:paraId="6954FCBF">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7" w:type="dxa"/>
                  <w:bottom w:w="0" w:type="dxa"/>
                  <w:right w:w="17" w:type="dxa"/>
                </w:tblCellMar>
              </w:tblPrEx>
              <w:trPr>
                <w:jc w:val="center"/>
              </w:trPr>
              <w:tc>
                <w:tcPr>
                  <w:tcW w:w="2239" w:type="pct"/>
                  <w:tcBorders>
                    <w:tl2br w:val="nil"/>
                    <w:tr2bl w:val="nil"/>
                  </w:tcBorders>
                </w:tcPr>
                <w:p w14:paraId="318ADA23">
                  <w:pPr>
                    <w:pStyle w:val="120"/>
                    <w:keepNext w:val="0"/>
                    <w:keepLines w:val="0"/>
                    <w:framePr w:hSpace="0" w:wrap="auto" w:vAnchor="margin" w:hAnchor="text" w:xAlign="left" w:yAlign="inline"/>
                    <w:suppressLineNumbers w:val="0"/>
                    <w:spacing w:before="0" w:beforeAutospacing="0" w:after="0" w:afterAutospacing="0"/>
                    <w:ind w:left="0" w:right="0"/>
                    <w:jc w:val="both"/>
                    <w:rPr>
                      <w:rFonts w:hint="default" w:ascii="Times New Roman" w:hAnsi="Times New Roman" w:eastAsia="宋体" w:cs="Times New Roman"/>
                      <w:color w:val="auto"/>
                      <w:sz w:val="21"/>
                      <w:szCs w:val="21"/>
                      <w:highlight w:val="none"/>
                    </w:rPr>
                  </w:pPr>
                  <w:r>
                    <w:rPr>
                      <w:rFonts w:hint="eastAsia" w:ascii="Times New Roman" w:hAnsi="Times New Roman" w:eastAsia="宋体" w:cs="Times New Roman"/>
                      <w:b/>
                      <w:color w:val="auto"/>
                      <w:spacing w:val="-2"/>
                      <w:sz w:val="21"/>
                      <w:szCs w:val="21"/>
                      <w:highlight w:val="none"/>
                    </w:rPr>
                    <w:t>四类</w:t>
                  </w:r>
                  <w:r>
                    <w:rPr>
                      <w:rFonts w:hint="eastAsia" w:ascii="Times New Roman" w:hAnsi="Times New Roman" w:eastAsia="宋体" w:cs="Times New Roman"/>
                      <w:color w:val="auto"/>
                      <w:spacing w:val="-2"/>
                      <w:sz w:val="21"/>
                      <w:szCs w:val="21"/>
                      <w:highlight w:val="none"/>
                    </w:rPr>
                    <w:t>在通常情况下不会引起人类或</w:t>
                  </w:r>
                  <w:r>
                    <w:rPr>
                      <w:rFonts w:hint="eastAsia" w:ascii="Times New Roman" w:hAnsi="Times New Roman" w:eastAsia="宋体" w:cs="Times New Roman"/>
                      <w:color w:val="auto"/>
                      <w:spacing w:val="-1"/>
                      <w:sz w:val="21"/>
                      <w:szCs w:val="21"/>
                      <w:highlight w:val="none"/>
                    </w:rPr>
                    <w:t>者动物疾病的微生物</w:t>
                  </w:r>
                </w:p>
              </w:tc>
              <w:tc>
                <w:tcPr>
                  <w:tcW w:w="2761" w:type="pct"/>
                  <w:tcBorders>
                    <w:tl2br w:val="nil"/>
                    <w:tr2bl w:val="nil"/>
                  </w:tcBorders>
                </w:tcPr>
                <w:p w14:paraId="2A7187D7">
                  <w:pPr>
                    <w:pStyle w:val="120"/>
                    <w:keepNext w:val="0"/>
                    <w:keepLines w:val="0"/>
                    <w:framePr w:hSpace="0" w:wrap="auto" w:vAnchor="margin" w:hAnchor="text" w:xAlign="left" w:yAlign="inline"/>
                    <w:suppressLineNumbers w:val="0"/>
                    <w:spacing w:before="0" w:beforeAutospacing="0" w:after="0" w:afterAutospacing="0"/>
                    <w:ind w:left="0" w:right="0"/>
                    <w:jc w:val="both"/>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b/>
                      <w:color w:val="auto"/>
                      <w:sz w:val="21"/>
                      <w:szCs w:val="21"/>
                      <w:highlight w:val="none"/>
                    </w:rPr>
                    <w:t>Ⅰ</w:t>
                  </w:r>
                  <w:r>
                    <w:rPr>
                      <w:rFonts w:hint="eastAsia" w:ascii="Times New Roman" w:hAnsi="Times New Roman" w:eastAsia="宋体" w:cs="Times New Roman"/>
                      <w:b/>
                      <w:color w:val="auto"/>
                      <w:sz w:val="21"/>
                      <w:szCs w:val="21"/>
                      <w:highlight w:val="none"/>
                    </w:rPr>
                    <w:t>级</w:t>
                  </w:r>
                  <w:r>
                    <w:rPr>
                      <w:rFonts w:hint="eastAsia" w:ascii="Times New Roman" w:hAnsi="Times New Roman" w:eastAsia="宋体" w:cs="Times New Roman"/>
                      <w:color w:val="auto"/>
                      <w:sz w:val="21"/>
                      <w:szCs w:val="21"/>
                      <w:highlight w:val="none"/>
                    </w:rPr>
                    <w:t>（低个体危害，低群体危险）不太可能</w:t>
                  </w:r>
                  <w:r>
                    <w:rPr>
                      <w:rFonts w:hint="eastAsia" w:ascii="Times New Roman" w:hAnsi="Times New Roman" w:eastAsia="宋体" w:cs="Times New Roman"/>
                      <w:color w:val="auto"/>
                      <w:spacing w:val="-1"/>
                      <w:sz w:val="21"/>
                      <w:szCs w:val="21"/>
                      <w:highlight w:val="none"/>
                    </w:rPr>
                    <w:t>引起</w:t>
                  </w:r>
                  <w:r>
                    <w:rPr>
                      <w:rFonts w:hint="eastAsia" w:ascii="Times New Roman" w:hAnsi="Times New Roman" w:eastAsia="宋体" w:cs="Times New Roman"/>
                      <w:color w:val="auto"/>
                      <w:spacing w:val="-3"/>
                      <w:sz w:val="21"/>
                      <w:szCs w:val="21"/>
                      <w:highlight w:val="none"/>
                    </w:rPr>
                    <w:t>人或动物致病的微生物。</w:t>
                  </w:r>
                </w:p>
              </w:tc>
            </w:tr>
            <w:tr w14:paraId="560CDE8F">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7" w:type="dxa"/>
                  <w:bottom w:w="0" w:type="dxa"/>
                  <w:right w:w="17" w:type="dxa"/>
                </w:tblCellMar>
              </w:tblPrEx>
              <w:trPr>
                <w:jc w:val="center"/>
              </w:trPr>
              <w:tc>
                <w:tcPr>
                  <w:tcW w:w="2239" w:type="pct"/>
                  <w:tcBorders>
                    <w:tl2br w:val="nil"/>
                    <w:tr2bl w:val="nil"/>
                  </w:tcBorders>
                </w:tcPr>
                <w:p w14:paraId="66CF5068">
                  <w:pPr>
                    <w:pStyle w:val="120"/>
                    <w:keepNext w:val="0"/>
                    <w:keepLines w:val="0"/>
                    <w:framePr w:hSpace="0" w:wrap="auto" w:vAnchor="margin" w:hAnchor="text" w:xAlign="left" w:yAlign="inline"/>
                    <w:suppressLineNumbers w:val="0"/>
                    <w:spacing w:before="0" w:beforeAutospacing="0" w:after="0" w:afterAutospacing="0"/>
                    <w:ind w:left="0" w:right="0"/>
                    <w:jc w:val="both"/>
                    <w:rPr>
                      <w:rFonts w:hint="default" w:ascii="Times New Roman" w:hAnsi="Times New Roman" w:eastAsia="宋体" w:cs="Times New Roman"/>
                      <w:color w:val="auto"/>
                      <w:sz w:val="21"/>
                      <w:szCs w:val="21"/>
                      <w:highlight w:val="none"/>
                    </w:rPr>
                  </w:pPr>
                  <w:r>
                    <w:rPr>
                      <w:rFonts w:hint="eastAsia" w:ascii="Times New Roman" w:hAnsi="Times New Roman" w:eastAsia="宋体" w:cs="Times New Roman"/>
                      <w:b/>
                      <w:color w:val="auto"/>
                      <w:spacing w:val="-7"/>
                      <w:sz w:val="21"/>
                      <w:szCs w:val="21"/>
                      <w:highlight w:val="none"/>
                    </w:rPr>
                    <w:t>三类</w:t>
                  </w:r>
                  <w:r>
                    <w:rPr>
                      <w:rFonts w:hint="eastAsia" w:ascii="Times New Roman" w:hAnsi="Times New Roman" w:eastAsia="宋体" w:cs="Times New Roman"/>
                      <w:color w:val="auto"/>
                      <w:sz w:val="21"/>
                      <w:szCs w:val="21"/>
                      <w:highlight w:val="none"/>
                    </w:rPr>
                    <w:t>能够引起人类或者动物疾病，但一般情况下对人、动物或者环境不构成严重危害，传播风险有限，实验室感染后很少引起严重疾病，并且具备有效治疗和预防措施的微生物。</w:t>
                  </w:r>
                </w:p>
              </w:tc>
              <w:tc>
                <w:tcPr>
                  <w:tcW w:w="2761" w:type="pct"/>
                  <w:tcBorders>
                    <w:tl2br w:val="nil"/>
                    <w:tr2bl w:val="nil"/>
                  </w:tcBorders>
                </w:tcPr>
                <w:p w14:paraId="74F0F5A2">
                  <w:pPr>
                    <w:pStyle w:val="120"/>
                    <w:keepNext w:val="0"/>
                    <w:keepLines w:val="0"/>
                    <w:framePr w:hSpace="0" w:wrap="auto" w:vAnchor="margin" w:hAnchor="text" w:xAlign="left" w:yAlign="inline"/>
                    <w:suppressLineNumbers w:val="0"/>
                    <w:spacing w:before="0" w:beforeAutospacing="0" w:after="0" w:afterAutospacing="0"/>
                    <w:ind w:left="0" w:right="0"/>
                    <w:jc w:val="both"/>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b/>
                      <w:color w:val="auto"/>
                      <w:sz w:val="21"/>
                      <w:szCs w:val="21"/>
                      <w:highlight w:val="none"/>
                    </w:rPr>
                    <w:t>Ⅱ</w:t>
                  </w:r>
                  <w:r>
                    <w:rPr>
                      <w:rFonts w:hint="eastAsia" w:ascii="Times New Roman" w:hAnsi="Times New Roman" w:eastAsia="宋体" w:cs="Times New Roman"/>
                      <w:b/>
                      <w:color w:val="auto"/>
                      <w:sz w:val="21"/>
                      <w:szCs w:val="21"/>
                      <w:highlight w:val="none"/>
                    </w:rPr>
                    <w:t>级</w:t>
                  </w:r>
                  <w:r>
                    <w:rPr>
                      <w:rFonts w:hint="eastAsia" w:ascii="Times New Roman" w:hAnsi="Times New Roman" w:eastAsia="宋体" w:cs="Times New Roman"/>
                      <w:color w:val="auto"/>
                      <w:sz w:val="21"/>
                      <w:szCs w:val="21"/>
                      <w:highlight w:val="none"/>
                    </w:rPr>
                    <w:t>（中等个体危害，有限群体危害）能引起人或动物发病，但一般情况下对健康工作者、群体、家畜或环境不会引起严重危害的病原微生物。实验室感染不导致严重疾病，具备有效治疗和预防措施，并且传播风险有限。</w:t>
                  </w:r>
                </w:p>
              </w:tc>
            </w:tr>
            <w:tr w14:paraId="23CA776B">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7" w:type="dxa"/>
                  <w:bottom w:w="0" w:type="dxa"/>
                  <w:right w:w="17" w:type="dxa"/>
                </w:tblCellMar>
              </w:tblPrEx>
              <w:trPr>
                <w:jc w:val="center"/>
              </w:trPr>
              <w:tc>
                <w:tcPr>
                  <w:tcW w:w="2239" w:type="pct"/>
                  <w:tcBorders>
                    <w:tl2br w:val="nil"/>
                    <w:tr2bl w:val="nil"/>
                  </w:tcBorders>
                </w:tcPr>
                <w:p w14:paraId="3685244A">
                  <w:pPr>
                    <w:pStyle w:val="120"/>
                    <w:keepNext w:val="0"/>
                    <w:keepLines w:val="0"/>
                    <w:framePr w:hSpace="0" w:wrap="auto" w:vAnchor="margin" w:hAnchor="text" w:xAlign="left" w:yAlign="inline"/>
                    <w:suppressLineNumbers w:val="0"/>
                    <w:spacing w:before="0" w:beforeAutospacing="0" w:after="0" w:afterAutospacing="0"/>
                    <w:ind w:left="0" w:right="0"/>
                    <w:jc w:val="both"/>
                    <w:rPr>
                      <w:rFonts w:hint="default" w:ascii="Times New Roman" w:hAnsi="Times New Roman" w:eastAsia="宋体" w:cs="Times New Roman"/>
                      <w:color w:val="auto"/>
                      <w:sz w:val="21"/>
                      <w:szCs w:val="21"/>
                      <w:highlight w:val="none"/>
                    </w:rPr>
                  </w:pPr>
                  <w:r>
                    <w:rPr>
                      <w:rFonts w:hint="eastAsia" w:ascii="Times New Roman" w:hAnsi="Times New Roman" w:eastAsia="宋体" w:cs="Times New Roman"/>
                      <w:b/>
                      <w:color w:val="auto"/>
                      <w:sz w:val="21"/>
                      <w:szCs w:val="21"/>
                      <w:highlight w:val="none"/>
                    </w:rPr>
                    <w:t>二类</w:t>
                  </w:r>
                  <w:r>
                    <w:rPr>
                      <w:rFonts w:hint="eastAsia" w:ascii="Times New Roman" w:hAnsi="Times New Roman" w:eastAsia="宋体" w:cs="Times New Roman"/>
                      <w:color w:val="auto"/>
                      <w:sz w:val="21"/>
                      <w:szCs w:val="21"/>
                      <w:highlight w:val="none"/>
                    </w:rPr>
                    <w:t>能够引起人类或者动物严重疾病，比较容易直接或者间接在人与人、动物与人、动物与动物间传播的微生物。</w:t>
                  </w:r>
                </w:p>
              </w:tc>
              <w:tc>
                <w:tcPr>
                  <w:tcW w:w="2761" w:type="pct"/>
                  <w:tcBorders>
                    <w:tl2br w:val="nil"/>
                    <w:tr2bl w:val="nil"/>
                  </w:tcBorders>
                </w:tcPr>
                <w:p w14:paraId="2EF836C6">
                  <w:pPr>
                    <w:pStyle w:val="120"/>
                    <w:keepNext w:val="0"/>
                    <w:keepLines w:val="0"/>
                    <w:framePr w:hSpace="0" w:wrap="auto" w:vAnchor="margin" w:hAnchor="text" w:xAlign="left" w:yAlign="inline"/>
                    <w:suppressLineNumbers w:val="0"/>
                    <w:spacing w:before="0" w:beforeAutospacing="0" w:after="0" w:afterAutospacing="0"/>
                    <w:ind w:left="0" w:right="0"/>
                    <w:jc w:val="both"/>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b/>
                      <w:color w:val="auto"/>
                      <w:sz w:val="21"/>
                      <w:szCs w:val="21"/>
                      <w:highlight w:val="none"/>
                    </w:rPr>
                    <w:t>Ⅲ</w:t>
                  </w:r>
                  <w:r>
                    <w:rPr>
                      <w:rFonts w:hint="eastAsia" w:ascii="Times New Roman" w:hAnsi="Times New Roman" w:eastAsia="宋体" w:cs="Times New Roman"/>
                      <w:b/>
                      <w:color w:val="auto"/>
                      <w:sz w:val="21"/>
                      <w:szCs w:val="21"/>
                      <w:highlight w:val="none"/>
                    </w:rPr>
                    <w:t>级</w:t>
                  </w:r>
                  <w:r>
                    <w:rPr>
                      <w:rFonts w:hint="eastAsia" w:ascii="Times New Roman" w:hAnsi="Times New Roman" w:eastAsia="宋体" w:cs="Times New Roman"/>
                      <w:color w:val="auto"/>
                      <w:sz w:val="21"/>
                      <w:szCs w:val="21"/>
                      <w:highlight w:val="none"/>
                    </w:rPr>
                    <w:t>（高个体危害，低群体危害）能引起人类或动物严重疾病，或造成严重经济损失，但通常不能因偶尔接触而在个体间传播，或能使用抗生素、抗寄生虫药物治疗的病原微生物。</w:t>
                  </w:r>
                </w:p>
              </w:tc>
            </w:tr>
            <w:tr w14:paraId="0853EF19">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7" w:type="dxa"/>
                  <w:bottom w:w="0" w:type="dxa"/>
                  <w:right w:w="17" w:type="dxa"/>
                </w:tblCellMar>
              </w:tblPrEx>
              <w:trPr>
                <w:jc w:val="center"/>
              </w:trPr>
              <w:tc>
                <w:tcPr>
                  <w:tcW w:w="2239" w:type="pct"/>
                  <w:tcBorders>
                    <w:tl2br w:val="nil"/>
                    <w:tr2bl w:val="nil"/>
                  </w:tcBorders>
                </w:tcPr>
                <w:p w14:paraId="33A5F051">
                  <w:pPr>
                    <w:pStyle w:val="120"/>
                    <w:keepNext w:val="0"/>
                    <w:keepLines w:val="0"/>
                    <w:framePr w:hSpace="0" w:wrap="auto" w:vAnchor="margin" w:hAnchor="text" w:xAlign="left" w:yAlign="inline"/>
                    <w:suppressLineNumbers w:val="0"/>
                    <w:spacing w:before="0" w:beforeAutospacing="0" w:after="0" w:afterAutospacing="0"/>
                    <w:ind w:left="0" w:right="0"/>
                    <w:jc w:val="both"/>
                    <w:rPr>
                      <w:rFonts w:hint="default" w:ascii="Times New Roman" w:hAnsi="Times New Roman" w:eastAsia="宋体" w:cs="Times New Roman"/>
                      <w:color w:val="auto"/>
                      <w:sz w:val="21"/>
                      <w:szCs w:val="21"/>
                      <w:highlight w:val="none"/>
                    </w:rPr>
                  </w:pPr>
                  <w:r>
                    <w:rPr>
                      <w:rFonts w:hint="eastAsia" w:ascii="Times New Roman" w:hAnsi="Times New Roman" w:eastAsia="宋体" w:cs="Times New Roman"/>
                      <w:b/>
                      <w:color w:val="auto"/>
                      <w:sz w:val="21"/>
                      <w:szCs w:val="21"/>
                      <w:highlight w:val="none"/>
                    </w:rPr>
                    <w:t>一类</w:t>
                  </w:r>
                  <w:r>
                    <w:rPr>
                      <w:rFonts w:hint="eastAsia" w:ascii="Times New Roman" w:hAnsi="Times New Roman" w:eastAsia="宋体" w:cs="Times New Roman"/>
                      <w:color w:val="auto"/>
                      <w:sz w:val="21"/>
                      <w:szCs w:val="21"/>
                      <w:highlight w:val="none"/>
                    </w:rPr>
                    <w:t>能够引起人类或者动物非常严重疾病的微生物，以及我国尚未发现或者已经宣布消灭的微生物。</w:t>
                  </w:r>
                </w:p>
              </w:tc>
              <w:tc>
                <w:tcPr>
                  <w:tcW w:w="2761" w:type="pct"/>
                  <w:tcBorders>
                    <w:tl2br w:val="nil"/>
                    <w:tr2bl w:val="nil"/>
                  </w:tcBorders>
                </w:tcPr>
                <w:p w14:paraId="3DBEDE34">
                  <w:pPr>
                    <w:pStyle w:val="120"/>
                    <w:keepNext w:val="0"/>
                    <w:keepLines w:val="0"/>
                    <w:framePr w:hSpace="0" w:wrap="auto" w:vAnchor="margin" w:hAnchor="text" w:xAlign="left" w:yAlign="inline"/>
                    <w:suppressLineNumbers w:val="0"/>
                    <w:spacing w:before="0" w:beforeAutospacing="0" w:after="0" w:afterAutospacing="0"/>
                    <w:ind w:left="0" w:right="0"/>
                    <w:jc w:val="both"/>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b/>
                      <w:color w:val="auto"/>
                      <w:sz w:val="21"/>
                      <w:szCs w:val="21"/>
                      <w:highlight w:val="none"/>
                    </w:rPr>
                    <w:t>Ⅳ</w:t>
                  </w:r>
                  <w:r>
                    <w:rPr>
                      <w:rFonts w:hint="eastAsia" w:ascii="Times New Roman" w:hAnsi="Times New Roman" w:eastAsia="宋体" w:cs="Times New Roman"/>
                      <w:b/>
                      <w:color w:val="auto"/>
                      <w:sz w:val="21"/>
                      <w:szCs w:val="21"/>
                      <w:highlight w:val="none"/>
                    </w:rPr>
                    <w:t>级</w:t>
                  </w:r>
                  <w:r>
                    <w:rPr>
                      <w:rFonts w:hint="eastAsia" w:ascii="Times New Roman" w:hAnsi="Times New Roman" w:eastAsia="宋体" w:cs="Times New Roman"/>
                      <w:color w:val="auto"/>
                      <w:sz w:val="21"/>
                      <w:szCs w:val="21"/>
                      <w:highlight w:val="none"/>
                    </w:rPr>
                    <w:t>（高个体危害，高群体危害）能引起人或动物非常严重疾病，一般不能治愈，容易直接或间接或偶然接触在人与人，或动物与人，或人与动物，或动物与动物间传播的病原微生物。</w:t>
                  </w:r>
                </w:p>
              </w:tc>
            </w:tr>
          </w:tbl>
          <w:p w14:paraId="0C5D5EEB">
            <w:pPr>
              <w:pStyle w:val="122"/>
              <w:keepNext w:val="0"/>
              <w:keepLines w:val="0"/>
              <w:suppressLineNumbers w:val="0"/>
              <w:spacing w:before="0" w:beforeAutospacing="0" w:after="0" w:afterAutospacing="0"/>
              <w:ind w:left="0" w:right="0"/>
              <w:rPr>
                <w:rFonts w:hint="default" w:ascii="Times New Roman" w:hAnsi="Times New Roman" w:eastAsia="宋体" w:cs="Times New Roman"/>
                <w:highlight w:val="none"/>
              </w:rPr>
            </w:pPr>
            <w:r>
              <w:rPr>
                <w:rFonts w:hint="eastAsia" w:ascii="Times New Roman" w:hAnsi="Times New Roman" w:eastAsia="宋体" w:cs="Times New Roman"/>
                <w:highlight w:val="none"/>
              </w:rPr>
              <w:t>项目动物试验中会根据课题研究需求涉及《动物病原微生物分类名录》中第三类微生物。对照《动物病原微生物分类名录》所列病原微生物与生物安全防护实验室适用级别表</w:t>
            </w:r>
            <w:r>
              <w:rPr>
                <w:rFonts w:hint="default" w:ascii="Times New Roman" w:hAnsi="Times New Roman" w:eastAsia="宋体" w:cs="Times New Roman"/>
                <w:highlight w:val="none"/>
              </w:rPr>
              <w:t>，P2</w:t>
            </w:r>
            <w:r>
              <w:rPr>
                <w:rFonts w:hint="eastAsia" w:ascii="Times New Roman" w:hAnsi="Times New Roman" w:eastAsia="宋体" w:cs="Times New Roman"/>
                <w:highlight w:val="none"/>
              </w:rPr>
              <w:t>实验室</w:t>
            </w:r>
            <w:r>
              <w:rPr>
                <w:rFonts w:hint="default" w:ascii="Times New Roman" w:hAnsi="Times New Roman" w:eastAsia="宋体" w:cs="Times New Roman"/>
                <w:highlight w:val="none"/>
              </w:rPr>
              <w:t>应</w:t>
            </w:r>
            <w:r>
              <w:rPr>
                <w:rFonts w:hint="eastAsia" w:ascii="Times New Roman" w:hAnsi="Times New Roman" w:eastAsia="宋体" w:cs="Times New Roman"/>
                <w:highlight w:val="none"/>
              </w:rPr>
              <w:t>为</w:t>
            </w:r>
            <w:r>
              <w:rPr>
                <w:rFonts w:hint="default" w:ascii="Times New Roman" w:hAnsi="Times New Roman" w:eastAsia="宋体" w:cs="Times New Roman"/>
                <w:highlight w:val="none"/>
              </w:rPr>
              <w:t>Ⅱ</w:t>
            </w:r>
            <w:r>
              <w:rPr>
                <w:rFonts w:hint="eastAsia" w:ascii="Times New Roman" w:hAnsi="Times New Roman" w:eastAsia="宋体" w:cs="Times New Roman"/>
                <w:highlight w:val="none"/>
              </w:rPr>
              <w:t>级生物安全防护水平。</w:t>
            </w:r>
          </w:p>
          <w:p w14:paraId="1B9927CC">
            <w:pPr>
              <w:pStyle w:val="122"/>
              <w:keepNext w:val="0"/>
              <w:keepLines w:val="0"/>
              <w:suppressLineNumbers w:val="0"/>
              <w:spacing w:before="0" w:beforeAutospacing="0" w:after="0" w:afterAutospacing="0"/>
              <w:ind w:left="0" w:right="0"/>
              <w:rPr>
                <w:rFonts w:hint="default" w:ascii="Times New Roman" w:hAnsi="Times New Roman" w:eastAsia="宋体" w:cs="Times New Roman"/>
                <w:highlight w:val="none"/>
              </w:rPr>
            </w:pPr>
            <w:r>
              <w:rPr>
                <w:rFonts w:hint="eastAsia" w:ascii="Times New Roman" w:hAnsi="Times New Roman" w:eastAsia="宋体" w:cs="Times New Roman"/>
                <w:highlight w:val="none"/>
              </w:rPr>
              <w:t>《生物安全实验室建筑技术规范》（</w:t>
            </w:r>
            <w:r>
              <w:rPr>
                <w:rFonts w:hint="default" w:ascii="Times New Roman" w:hAnsi="Times New Roman" w:eastAsia="宋体" w:cs="Times New Roman"/>
                <w:highlight w:val="none"/>
              </w:rPr>
              <w:t>GB50346-2011</w:t>
            </w:r>
            <w:r>
              <w:rPr>
                <w:rFonts w:hint="eastAsia" w:ascii="Times New Roman" w:hAnsi="Times New Roman" w:eastAsia="宋体" w:cs="Times New Roman"/>
                <w:highlight w:val="none"/>
              </w:rPr>
              <w:t>）列出各级生物安全实验 室处理对象，见表</w:t>
            </w:r>
            <w:r>
              <w:rPr>
                <w:rFonts w:hint="default" w:ascii="Times New Roman" w:hAnsi="Times New Roman" w:eastAsia="宋体" w:cs="Times New Roman"/>
                <w:highlight w:val="none"/>
              </w:rPr>
              <w:t>4-</w:t>
            </w:r>
            <w:r>
              <w:rPr>
                <w:rFonts w:hint="eastAsia" w:cs="Times New Roman"/>
                <w:highlight w:val="none"/>
                <w:lang w:val="en-US" w:eastAsia="zh-CN"/>
              </w:rPr>
              <w:t>19</w:t>
            </w:r>
            <w:r>
              <w:rPr>
                <w:rFonts w:hint="eastAsia" w:ascii="Times New Roman" w:hAnsi="Times New Roman" w:eastAsia="宋体" w:cs="Times New Roman"/>
                <w:highlight w:val="none"/>
              </w:rPr>
              <w:t>。</w:t>
            </w:r>
          </w:p>
          <w:p w14:paraId="15869FAF">
            <w:pPr>
              <w:pStyle w:val="128"/>
              <w:keepNext w:val="0"/>
              <w:keepLines w:val="0"/>
              <w:pageBreakBefore w:val="0"/>
              <w:widowControl w:val="0"/>
              <w:suppressLineNumbers w:val="0"/>
              <w:kinsoku/>
              <w:wordWrap/>
              <w:overflowPunct/>
              <w:topLinePunct w:val="0"/>
              <w:autoSpaceDE/>
              <w:autoSpaceDN/>
              <w:bidi w:val="0"/>
              <w:adjustRightInd w:val="0"/>
              <w:snapToGrid w:val="0"/>
              <w:spacing w:before="0" w:beforeLines="0" w:beforeAutospacing="0" w:after="0" w:afterAutospacing="0" w:line="360" w:lineRule="auto"/>
              <w:ind w:left="0" w:right="0"/>
              <w:textAlignment w:val="auto"/>
              <w:rPr>
                <w:rFonts w:hint="eastAsia" w:ascii="Times New Roman" w:hAnsi="Times New Roman" w:eastAsia="宋体" w:cs="Times New Roman"/>
                <w:color w:val="auto"/>
                <w:highlight w:val="none"/>
              </w:rPr>
            </w:pPr>
            <w:r>
              <w:rPr>
                <w:rFonts w:hint="eastAsia" w:ascii="Times New Roman" w:hAnsi="Times New Roman" w:eastAsia="宋体" w:cs="Times New Roman"/>
                <w:color w:val="auto"/>
                <w:highlight w:val="none"/>
              </w:rPr>
              <w:t>表4-</w:t>
            </w:r>
            <w:r>
              <w:rPr>
                <w:rFonts w:hint="eastAsia" w:cs="Times New Roman"/>
                <w:color w:val="auto"/>
                <w:highlight w:val="none"/>
                <w:lang w:val="en-US" w:eastAsia="zh-CN"/>
              </w:rPr>
              <w:t>19</w:t>
            </w:r>
            <w:r>
              <w:rPr>
                <w:rFonts w:hint="eastAsia" w:ascii="Times New Roman" w:hAnsi="Times New Roman" w:eastAsia="宋体" w:cs="Times New Roman"/>
                <w:color w:val="auto"/>
                <w:highlight w:val="none"/>
              </w:rPr>
              <w:t xml:space="preserve"> 各级生物安全实验室处理对象</w:t>
            </w:r>
          </w:p>
          <w:tbl>
            <w:tblPr>
              <w:tblStyle w:val="32"/>
              <w:tblW w:w="5000" w:type="pct"/>
              <w:tblInd w:w="-5" w:type="dxa"/>
              <w:tblBorders>
                <w:top w:val="single" w:color="000000" w:sz="4" w:space="0"/>
                <w:left w:val="single" w:color="000000" w:sz="4" w:space="0"/>
                <w:bottom w:val="single" w:color="000000" w:sz="4" w:space="0"/>
                <w:right w:val="single" w:color="000000" w:sz="4" w:space="0"/>
                <w:insideH w:val="single" w:color="000000" w:sz="2" w:space="0"/>
                <w:insideV w:val="single" w:color="000000" w:sz="2" w:space="0"/>
              </w:tblBorders>
              <w:tblLayout w:type="fixed"/>
              <w:tblCellMar>
                <w:top w:w="0" w:type="dxa"/>
                <w:left w:w="17" w:type="dxa"/>
                <w:bottom w:w="0" w:type="dxa"/>
                <w:right w:w="17" w:type="dxa"/>
              </w:tblCellMar>
            </w:tblPr>
            <w:tblGrid>
              <w:gridCol w:w="779"/>
              <w:gridCol w:w="1312"/>
              <w:gridCol w:w="6181"/>
            </w:tblGrid>
            <w:tr w14:paraId="66D6D456">
              <w:tblPrEx>
                <w:tblBorders>
                  <w:top w:val="single" w:color="000000" w:sz="4" w:space="0"/>
                  <w:left w:val="single" w:color="000000" w:sz="4" w:space="0"/>
                  <w:bottom w:val="single" w:color="000000" w:sz="4" w:space="0"/>
                  <w:right w:val="single" w:color="000000" w:sz="4" w:space="0"/>
                  <w:insideH w:val="single" w:color="000000" w:sz="2" w:space="0"/>
                  <w:insideV w:val="single" w:color="000000" w:sz="2" w:space="0"/>
                </w:tblBorders>
                <w:tblCellMar>
                  <w:top w:w="0" w:type="dxa"/>
                  <w:left w:w="17" w:type="dxa"/>
                  <w:bottom w:w="0" w:type="dxa"/>
                  <w:right w:w="17" w:type="dxa"/>
                </w:tblCellMar>
              </w:tblPrEx>
              <w:trPr>
                <w:trHeight w:val="280" w:hRule="atLeast"/>
              </w:trPr>
              <w:tc>
                <w:tcPr>
                  <w:tcW w:w="470" w:type="pct"/>
                  <w:tcBorders>
                    <w:tl2br w:val="nil"/>
                    <w:tr2bl w:val="nil"/>
                  </w:tcBorders>
                  <w:vAlign w:val="center"/>
                </w:tcPr>
                <w:p w14:paraId="33E8ECF6">
                  <w:pPr>
                    <w:pStyle w:val="120"/>
                    <w:keepNext w:val="0"/>
                    <w:keepLines w:val="0"/>
                    <w:framePr w:hSpace="0" w:wrap="auto" w:vAnchor="margin" w:hAnchor="text" w:xAlign="left" w:yAlign="inline"/>
                    <w:suppressLineNumbers w:val="0"/>
                    <w:spacing w:before="0" w:beforeAutospacing="0" w:after="0" w:afterAutospacing="0"/>
                    <w:ind w:left="0" w:right="0"/>
                    <w:rPr>
                      <w:rFonts w:hint="default" w:ascii="Times New Roman" w:hAnsi="Times New Roman" w:eastAsia="宋体" w:cs="Times New Roman"/>
                      <w:b/>
                      <w:color w:val="auto"/>
                      <w:sz w:val="21"/>
                      <w:szCs w:val="21"/>
                      <w:highlight w:val="none"/>
                    </w:rPr>
                  </w:pPr>
                  <w:r>
                    <w:rPr>
                      <w:rFonts w:hint="eastAsia" w:ascii="Times New Roman" w:hAnsi="Times New Roman" w:eastAsia="宋体" w:cs="Times New Roman"/>
                      <w:b/>
                      <w:color w:val="auto"/>
                      <w:sz w:val="21"/>
                      <w:szCs w:val="21"/>
                      <w:highlight w:val="none"/>
                    </w:rPr>
                    <w:t>分级</w:t>
                  </w:r>
                </w:p>
              </w:tc>
              <w:tc>
                <w:tcPr>
                  <w:tcW w:w="793" w:type="pct"/>
                  <w:tcBorders>
                    <w:tl2br w:val="nil"/>
                    <w:tr2bl w:val="nil"/>
                  </w:tcBorders>
                  <w:vAlign w:val="center"/>
                </w:tcPr>
                <w:p w14:paraId="1E601C1E">
                  <w:pPr>
                    <w:pStyle w:val="120"/>
                    <w:keepNext w:val="0"/>
                    <w:keepLines w:val="0"/>
                    <w:framePr w:hSpace="0" w:wrap="auto" w:vAnchor="margin" w:hAnchor="text" w:xAlign="left" w:yAlign="inline"/>
                    <w:suppressLineNumbers w:val="0"/>
                    <w:spacing w:before="0" w:beforeAutospacing="0" w:after="0" w:afterAutospacing="0"/>
                    <w:ind w:left="0" w:right="0"/>
                    <w:rPr>
                      <w:rFonts w:hint="default" w:ascii="Times New Roman" w:hAnsi="Times New Roman" w:eastAsia="宋体" w:cs="Times New Roman"/>
                      <w:b/>
                      <w:color w:val="auto"/>
                      <w:sz w:val="21"/>
                      <w:szCs w:val="21"/>
                      <w:highlight w:val="none"/>
                    </w:rPr>
                  </w:pPr>
                  <w:r>
                    <w:rPr>
                      <w:rFonts w:hint="eastAsia" w:ascii="Times New Roman" w:hAnsi="Times New Roman" w:eastAsia="宋体" w:cs="Times New Roman"/>
                      <w:b/>
                      <w:color w:val="auto"/>
                      <w:sz w:val="21"/>
                      <w:szCs w:val="21"/>
                      <w:highlight w:val="none"/>
                    </w:rPr>
                    <w:t>危害程度</w:t>
                  </w:r>
                </w:p>
              </w:tc>
              <w:tc>
                <w:tcPr>
                  <w:tcW w:w="3736" w:type="pct"/>
                  <w:tcBorders>
                    <w:tl2br w:val="nil"/>
                    <w:tr2bl w:val="nil"/>
                  </w:tcBorders>
                  <w:vAlign w:val="center"/>
                </w:tcPr>
                <w:p w14:paraId="7C7A1537">
                  <w:pPr>
                    <w:pStyle w:val="120"/>
                    <w:keepNext w:val="0"/>
                    <w:keepLines w:val="0"/>
                    <w:framePr w:hSpace="0" w:wrap="auto" w:vAnchor="margin" w:hAnchor="text" w:xAlign="left" w:yAlign="inline"/>
                    <w:suppressLineNumbers w:val="0"/>
                    <w:spacing w:before="0" w:beforeAutospacing="0" w:after="0" w:afterAutospacing="0"/>
                    <w:ind w:left="0" w:right="0"/>
                    <w:rPr>
                      <w:rFonts w:hint="default" w:ascii="Times New Roman" w:hAnsi="Times New Roman" w:eastAsia="宋体" w:cs="Times New Roman"/>
                      <w:b/>
                      <w:color w:val="auto"/>
                      <w:sz w:val="21"/>
                      <w:szCs w:val="21"/>
                      <w:highlight w:val="none"/>
                    </w:rPr>
                  </w:pPr>
                  <w:r>
                    <w:rPr>
                      <w:rFonts w:hint="eastAsia" w:ascii="Times New Roman" w:hAnsi="Times New Roman" w:eastAsia="宋体" w:cs="Times New Roman"/>
                      <w:b/>
                      <w:color w:val="auto"/>
                      <w:sz w:val="21"/>
                      <w:szCs w:val="21"/>
                      <w:highlight w:val="none"/>
                    </w:rPr>
                    <w:t>处理对象</w:t>
                  </w:r>
                </w:p>
              </w:tc>
            </w:tr>
            <w:tr w14:paraId="588CF6A4">
              <w:tblPrEx>
                <w:tblBorders>
                  <w:top w:val="single" w:color="000000" w:sz="4" w:space="0"/>
                  <w:left w:val="single" w:color="000000" w:sz="4" w:space="0"/>
                  <w:bottom w:val="single" w:color="000000" w:sz="4" w:space="0"/>
                  <w:right w:val="single" w:color="000000" w:sz="4" w:space="0"/>
                  <w:insideH w:val="single" w:color="000000" w:sz="2" w:space="0"/>
                  <w:insideV w:val="single" w:color="000000" w:sz="2" w:space="0"/>
                </w:tblBorders>
                <w:tblCellMar>
                  <w:top w:w="0" w:type="dxa"/>
                  <w:left w:w="17" w:type="dxa"/>
                  <w:bottom w:w="0" w:type="dxa"/>
                  <w:right w:w="17" w:type="dxa"/>
                </w:tblCellMar>
              </w:tblPrEx>
              <w:trPr>
                <w:trHeight w:val="551" w:hRule="atLeast"/>
              </w:trPr>
              <w:tc>
                <w:tcPr>
                  <w:tcW w:w="470" w:type="pct"/>
                  <w:tcBorders>
                    <w:tl2br w:val="nil"/>
                    <w:tr2bl w:val="nil"/>
                  </w:tcBorders>
                  <w:vAlign w:val="center"/>
                </w:tcPr>
                <w:p w14:paraId="1EF141FE">
                  <w:pPr>
                    <w:pStyle w:val="120"/>
                    <w:keepNext w:val="0"/>
                    <w:keepLines w:val="0"/>
                    <w:framePr w:hSpace="0" w:wrap="auto" w:vAnchor="margin" w:hAnchor="text" w:xAlign="left" w:yAlign="inline"/>
                    <w:suppressLineNumbers w:val="0"/>
                    <w:spacing w:before="0" w:beforeAutospacing="0" w:after="0" w:afterAutospacing="0"/>
                    <w:ind w:left="0" w:right="0"/>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Ⅰ</w:t>
                  </w:r>
                  <w:r>
                    <w:rPr>
                      <w:rFonts w:hint="eastAsia" w:ascii="Times New Roman" w:hAnsi="Times New Roman" w:eastAsia="宋体" w:cs="Times New Roman"/>
                      <w:color w:val="auto"/>
                      <w:sz w:val="21"/>
                      <w:szCs w:val="21"/>
                      <w:highlight w:val="none"/>
                    </w:rPr>
                    <w:t>级</w:t>
                  </w:r>
                </w:p>
              </w:tc>
              <w:tc>
                <w:tcPr>
                  <w:tcW w:w="793" w:type="pct"/>
                  <w:tcBorders>
                    <w:tl2br w:val="nil"/>
                    <w:tr2bl w:val="nil"/>
                  </w:tcBorders>
                  <w:vAlign w:val="center"/>
                </w:tcPr>
                <w:p w14:paraId="3278F4A6">
                  <w:pPr>
                    <w:pStyle w:val="120"/>
                    <w:keepNext w:val="0"/>
                    <w:keepLines w:val="0"/>
                    <w:framePr w:hSpace="0" w:wrap="auto" w:vAnchor="margin" w:hAnchor="text" w:xAlign="left" w:yAlign="inline"/>
                    <w:suppressLineNumbers w:val="0"/>
                    <w:spacing w:before="0" w:beforeAutospacing="0" w:after="0" w:afterAutospacing="0"/>
                    <w:ind w:left="0" w:right="0"/>
                    <w:jc w:val="both"/>
                    <w:rPr>
                      <w:rFonts w:hint="default" w:ascii="Times New Roman" w:hAnsi="Times New Roman" w:eastAsia="宋体" w:cs="Times New Roman"/>
                      <w:color w:val="auto"/>
                      <w:sz w:val="21"/>
                      <w:szCs w:val="21"/>
                      <w:highlight w:val="none"/>
                    </w:rPr>
                  </w:pPr>
                  <w:r>
                    <w:rPr>
                      <w:rFonts w:hint="eastAsia" w:ascii="Times New Roman" w:hAnsi="Times New Roman" w:eastAsia="宋体" w:cs="Times New Roman"/>
                      <w:color w:val="auto"/>
                      <w:sz w:val="21"/>
                      <w:szCs w:val="21"/>
                      <w:highlight w:val="none"/>
                    </w:rPr>
                    <w:t>低个体危害，低群体危害</w:t>
                  </w:r>
                </w:p>
              </w:tc>
              <w:tc>
                <w:tcPr>
                  <w:tcW w:w="3736" w:type="pct"/>
                  <w:tcBorders>
                    <w:tl2br w:val="nil"/>
                    <w:tr2bl w:val="nil"/>
                  </w:tcBorders>
                  <w:vAlign w:val="center"/>
                </w:tcPr>
                <w:p w14:paraId="0A9791D1">
                  <w:pPr>
                    <w:pStyle w:val="120"/>
                    <w:keepNext w:val="0"/>
                    <w:keepLines w:val="0"/>
                    <w:framePr w:hSpace="0" w:wrap="auto" w:vAnchor="margin" w:hAnchor="text" w:xAlign="left" w:yAlign="inline"/>
                    <w:suppressLineNumbers w:val="0"/>
                    <w:spacing w:before="0" w:beforeAutospacing="0" w:after="0" w:afterAutospacing="0"/>
                    <w:ind w:left="0" w:right="0"/>
                    <w:jc w:val="both"/>
                    <w:rPr>
                      <w:rFonts w:hint="default" w:ascii="Times New Roman" w:hAnsi="Times New Roman" w:eastAsia="宋体" w:cs="Times New Roman"/>
                      <w:color w:val="auto"/>
                      <w:sz w:val="21"/>
                      <w:szCs w:val="21"/>
                      <w:highlight w:val="none"/>
                    </w:rPr>
                  </w:pPr>
                  <w:r>
                    <w:rPr>
                      <w:rFonts w:hint="eastAsia" w:ascii="Times New Roman" w:hAnsi="Times New Roman" w:eastAsia="宋体" w:cs="Times New Roman"/>
                      <w:color w:val="auto"/>
                      <w:sz w:val="21"/>
                      <w:szCs w:val="21"/>
                      <w:highlight w:val="none"/>
                    </w:rPr>
                    <w:t>对人体、动植物环境危害较低，不具有对健康成人、动植物致病的致病因子。</w:t>
                  </w:r>
                </w:p>
              </w:tc>
            </w:tr>
            <w:tr w14:paraId="53CE6CBE">
              <w:tblPrEx>
                <w:tblBorders>
                  <w:top w:val="single" w:color="000000" w:sz="4" w:space="0"/>
                  <w:left w:val="single" w:color="000000" w:sz="4" w:space="0"/>
                  <w:bottom w:val="single" w:color="000000" w:sz="4" w:space="0"/>
                  <w:right w:val="single" w:color="000000" w:sz="4" w:space="0"/>
                  <w:insideH w:val="single" w:color="000000" w:sz="2" w:space="0"/>
                  <w:insideV w:val="single" w:color="000000" w:sz="2" w:space="0"/>
                </w:tblBorders>
                <w:tblCellMar>
                  <w:top w:w="0" w:type="dxa"/>
                  <w:left w:w="17" w:type="dxa"/>
                  <w:bottom w:w="0" w:type="dxa"/>
                  <w:right w:w="17" w:type="dxa"/>
                </w:tblCellMar>
              </w:tblPrEx>
              <w:trPr>
                <w:trHeight w:val="90" w:hRule="atLeast"/>
              </w:trPr>
              <w:tc>
                <w:tcPr>
                  <w:tcW w:w="470" w:type="pct"/>
                  <w:tcBorders>
                    <w:tl2br w:val="nil"/>
                    <w:tr2bl w:val="nil"/>
                  </w:tcBorders>
                  <w:vAlign w:val="center"/>
                </w:tcPr>
                <w:p w14:paraId="5721BF1F">
                  <w:pPr>
                    <w:pStyle w:val="120"/>
                    <w:keepNext w:val="0"/>
                    <w:keepLines w:val="0"/>
                    <w:framePr w:hSpace="0" w:wrap="auto" w:vAnchor="margin" w:hAnchor="text" w:xAlign="left" w:yAlign="inline"/>
                    <w:suppressLineNumbers w:val="0"/>
                    <w:spacing w:before="0" w:beforeAutospacing="0" w:after="0" w:afterAutospacing="0"/>
                    <w:ind w:left="0" w:right="0"/>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Ⅱ</w:t>
                  </w:r>
                  <w:r>
                    <w:rPr>
                      <w:rFonts w:hint="eastAsia" w:ascii="Times New Roman" w:hAnsi="Times New Roman" w:eastAsia="宋体" w:cs="Times New Roman"/>
                      <w:color w:val="auto"/>
                      <w:sz w:val="21"/>
                      <w:szCs w:val="21"/>
                      <w:highlight w:val="none"/>
                    </w:rPr>
                    <w:t>级</w:t>
                  </w:r>
                </w:p>
              </w:tc>
              <w:tc>
                <w:tcPr>
                  <w:tcW w:w="793" w:type="pct"/>
                  <w:tcBorders>
                    <w:tl2br w:val="nil"/>
                    <w:tr2bl w:val="nil"/>
                  </w:tcBorders>
                  <w:vAlign w:val="center"/>
                </w:tcPr>
                <w:p w14:paraId="48AFCBB3">
                  <w:pPr>
                    <w:pStyle w:val="120"/>
                    <w:keepNext w:val="0"/>
                    <w:keepLines w:val="0"/>
                    <w:framePr w:hSpace="0" w:wrap="auto" w:vAnchor="margin" w:hAnchor="text" w:xAlign="left" w:yAlign="inline"/>
                    <w:suppressLineNumbers w:val="0"/>
                    <w:spacing w:before="0" w:beforeAutospacing="0" w:after="0" w:afterAutospacing="0"/>
                    <w:ind w:left="0" w:right="0"/>
                    <w:jc w:val="both"/>
                    <w:rPr>
                      <w:rFonts w:hint="default" w:ascii="Times New Roman" w:hAnsi="Times New Roman" w:eastAsia="宋体" w:cs="Times New Roman"/>
                      <w:color w:val="auto"/>
                      <w:sz w:val="21"/>
                      <w:szCs w:val="21"/>
                      <w:highlight w:val="none"/>
                    </w:rPr>
                  </w:pPr>
                  <w:r>
                    <w:rPr>
                      <w:rFonts w:hint="eastAsia" w:ascii="Times New Roman" w:hAnsi="Times New Roman" w:eastAsia="宋体" w:cs="Times New Roman"/>
                      <w:color w:val="auto"/>
                      <w:sz w:val="21"/>
                      <w:szCs w:val="21"/>
                      <w:highlight w:val="none"/>
                    </w:rPr>
                    <w:t>中等个体危害，有限群体危害</w:t>
                  </w:r>
                </w:p>
              </w:tc>
              <w:tc>
                <w:tcPr>
                  <w:tcW w:w="3736" w:type="pct"/>
                  <w:tcBorders>
                    <w:tl2br w:val="nil"/>
                    <w:tr2bl w:val="nil"/>
                  </w:tcBorders>
                  <w:vAlign w:val="center"/>
                </w:tcPr>
                <w:p w14:paraId="3F75BBB7">
                  <w:pPr>
                    <w:pStyle w:val="120"/>
                    <w:keepNext w:val="0"/>
                    <w:keepLines w:val="0"/>
                    <w:framePr w:hSpace="0" w:wrap="auto" w:vAnchor="margin" w:hAnchor="text" w:xAlign="left" w:yAlign="inline"/>
                    <w:suppressLineNumbers w:val="0"/>
                    <w:spacing w:before="0" w:beforeAutospacing="0" w:after="0" w:afterAutospacing="0"/>
                    <w:ind w:left="0" w:right="0"/>
                    <w:jc w:val="both"/>
                    <w:rPr>
                      <w:rFonts w:hint="default" w:ascii="Times New Roman" w:hAnsi="Times New Roman" w:eastAsia="宋体" w:cs="Times New Roman"/>
                      <w:color w:val="auto"/>
                      <w:sz w:val="21"/>
                      <w:szCs w:val="21"/>
                      <w:highlight w:val="none"/>
                    </w:rPr>
                  </w:pPr>
                  <w:r>
                    <w:rPr>
                      <w:rFonts w:hint="eastAsia" w:ascii="Times New Roman" w:hAnsi="Times New Roman" w:eastAsia="宋体" w:cs="Times New Roman"/>
                      <w:color w:val="auto"/>
                      <w:sz w:val="21"/>
                      <w:szCs w:val="21"/>
                      <w:highlight w:val="none"/>
                    </w:rPr>
                    <w:t>对人体、动植物或环境具有中等危害或具有潜在危险的致病因子，对健康成人、动物和环境不会造成严重危害。有效的预防和治疗措施</w:t>
                  </w:r>
                </w:p>
              </w:tc>
            </w:tr>
            <w:tr w14:paraId="5D5271AD">
              <w:tblPrEx>
                <w:tblBorders>
                  <w:top w:val="single" w:color="000000" w:sz="4" w:space="0"/>
                  <w:left w:val="single" w:color="000000" w:sz="4" w:space="0"/>
                  <w:bottom w:val="single" w:color="000000" w:sz="4" w:space="0"/>
                  <w:right w:val="single" w:color="000000" w:sz="4" w:space="0"/>
                  <w:insideH w:val="single" w:color="000000" w:sz="2" w:space="0"/>
                  <w:insideV w:val="single" w:color="000000" w:sz="2" w:space="0"/>
                </w:tblBorders>
                <w:tblCellMar>
                  <w:top w:w="0" w:type="dxa"/>
                  <w:left w:w="17" w:type="dxa"/>
                  <w:bottom w:w="0" w:type="dxa"/>
                  <w:right w:w="17" w:type="dxa"/>
                </w:tblCellMar>
              </w:tblPrEx>
              <w:trPr>
                <w:trHeight w:val="822" w:hRule="atLeast"/>
              </w:trPr>
              <w:tc>
                <w:tcPr>
                  <w:tcW w:w="470" w:type="pct"/>
                  <w:tcBorders>
                    <w:tl2br w:val="nil"/>
                    <w:tr2bl w:val="nil"/>
                  </w:tcBorders>
                  <w:vAlign w:val="center"/>
                </w:tcPr>
                <w:p w14:paraId="2B46DF38">
                  <w:pPr>
                    <w:pStyle w:val="120"/>
                    <w:keepNext w:val="0"/>
                    <w:keepLines w:val="0"/>
                    <w:framePr w:hSpace="0" w:wrap="auto" w:vAnchor="margin" w:hAnchor="text" w:xAlign="left" w:yAlign="inline"/>
                    <w:suppressLineNumbers w:val="0"/>
                    <w:spacing w:before="0" w:beforeAutospacing="0" w:after="0" w:afterAutospacing="0"/>
                    <w:ind w:left="0" w:right="0"/>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Ⅲ</w:t>
                  </w:r>
                  <w:r>
                    <w:rPr>
                      <w:rFonts w:hint="eastAsia" w:ascii="Times New Roman" w:hAnsi="Times New Roman" w:eastAsia="宋体" w:cs="Times New Roman"/>
                      <w:color w:val="auto"/>
                      <w:sz w:val="21"/>
                      <w:szCs w:val="21"/>
                      <w:highlight w:val="none"/>
                    </w:rPr>
                    <w:t>级</w:t>
                  </w:r>
                </w:p>
              </w:tc>
              <w:tc>
                <w:tcPr>
                  <w:tcW w:w="793" w:type="pct"/>
                  <w:tcBorders>
                    <w:tl2br w:val="nil"/>
                    <w:tr2bl w:val="nil"/>
                  </w:tcBorders>
                  <w:vAlign w:val="center"/>
                </w:tcPr>
                <w:p w14:paraId="24F23F2F">
                  <w:pPr>
                    <w:pStyle w:val="120"/>
                    <w:keepNext w:val="0"/>
                    <w:keepLines w:val="0"/>
                    <w:framePr w:hSpace="0" w:wrap="auto" w:vAnchor="margin" w:hAnchor="text" w:xAlign="left" w:yAlign="inline"/>
                    <w:suppressLineNumbers w:val="0"/>
                    <w:spacing w:before="0" w:beforeAutospacing="0" w:after="0" w:afterAutospacing="0"/>
                    <w:ind w:left="0" w:right="0"/>
                    <w:jc w:val="both"/>
                    <w:rPr>
                      <w:rFonts w:hint="default" w:ascii="Times New Roman" w:hAnsi="Times New Roman" w:eastAsia="宋体" w:cs="Times New Roman"/>
                      <w:color w:val="auto"/>
                      <w:sz w:val="21"/>
                      <w:szCs w:val="21"/>
                      <w:highlight w:val="none"/>
                    </w:rPr>
                  </w:pPr>
                  <w:r>
                    <w:rPr>
                      <w:rFonts w:hint="eastAsia" w:ascii="Times New Roman" w:hAnsi="Times New Roman" w:eastAsia="宋体" w:cs="Times New Roman"/>
                      <w:color w:val="auto"/>
                      <w:sz w:val="21"/>
                      <w:szCs w:val="21"/>
                      <w:highlight w:val="none"/>
                    </w:rPr>
                    <w:t>高个体危害，低群体危害</w:t>
                  </w:r>
                </w:p>
              </w:tc>
              <w:tc>
                <w:tcPr>
                  <w:tcW w:w="3736" w:type="pct"/>
                  <w:tcBorders>
                    <w:tl2br w:val="nil"/>
                    <w:tr2bl w:val="nil"/>
                  </w:tcBorders>
                  <w:vAlign w:val="center"/>
                </w:tcPr>
                <w:p w14:paraId="32F77BD0">
                  <w:pPr>
                    <w:pStyle w:val="120"/>
                    <w:keepNext w:val="0"/>
                    <w:keepLines w:val="0"/>
                    <w:framePr w:hSpace="0" w:wrap="auto" w:vAnchor="margin" w:hAnchor="text" w:xAlign="left" w:yAlign="inline"/>
                    <w:suppressLineNumbers w:val="0"/>
                    <w:spacing w:before="0" w:beforeAutospacing="0" w:after="0" w:afterAutospacing="0"/>
                    <w:ind w:left="0" w:right="0"/>
                    <w:jc w:val="both"/>
                    <w:rPr>
                      <w:rFonts w:hint="default" w:ascii="Times New Roman" w:hAnsi="Times New Roman" w:eastAsia="宋体" w:cs="Times New Roman"/>
                      <w:color w:val="auto"/>
                      <w:sz w:val="21"/>
                      <w:szCs w:val="21"/>
                      <w:highlight w:val="none"/>
                    </w:rPr>
                  </w:pPr>
                  <w:r>
                    <w:rPr>
                      <w:rFonts w:hint="eastAsia" w:ascii="Times New Roman" w:hAnsi="Times New Roman" w:eastAsia="宋体" w:cs="Times New Roman"/>
                      <w:color w:val="auto"/>
                      <w:sz w:val="21"/>
                      <w:szCs w:val="21"/>
                      <w:highlight w:val="none"/>
                    </w:rPr>
                    <w:t>对人体、动植物或环境具有高度危害性，通过直接接触或气溶胶使人传染上严重的甚至是致命疾病，或对动植物和环境具有高度危害的致病因子。通常有预防和治疗措施。</w:t>
                  </w:r>
                </w:p>
              </w:tc>
            </w:tr>
            <w:tr w14:paraId="3A94875F">
              <w:tblPrEx>
                <w:tblBorders>
                  <w:top w:val="single" w:color="000000" w:sz="4" w:space="0"/>
                  <w:left w:val="single" w:color="000000" w:sz="4" w:space="0"/>
                  <w:bottom w:val="single" w:color="000000" w:sz="4" w:space="0"/>
                  <w:right w:val="single" w:color="000000" w:sz="4" w:space="0"/>
                  <w:insideH w:val="single" w:color="000000" w:sz="2" w:space="0"/>
                  <w:insideV w:val="single" w:color="000000" w:sz="2" w:space="0"/>
                </w:tblBorders>
                <w:tblCellMar>
                  <w:top w:w="0" w:type="dxa"/>
                  <w:left w:w="17" w:type="dxa"/>
                  <w:bottom w:w="0" w:type="dxa"/>
                  <w:right w:w="17" w:type="dxa"/>
                </w:tblCellMar>
              </w:tblPrEx>
              <w:trPr>
                <w:trHeight w:val="553" w:hRule="atLeast"/>
              </w:trPr>
              <w:tc>
                <w:tcPr>
                  <w:tcW w:w="470" w:type="pct"/>
                  <w:tcBorders>
                    <w:tl2br w:val="nil"/>
                    <w:tr2bl w:val="nil"/>
                  </w:tcBorders>
                  <w:vAlign w:val="center"/>
                </w:tcPr>
                <w:p w14:paraId="0FD4294A">
                  <w:pPr>
                    <w:pStyle w:val="120"/>
                    <w:keepNext w:val="0"/>
                    <w:keepLines w:val="0"/>
                    <w:framePr w:hSpace="0" w:wrap="auto" w:vAnchor="margin" w:hAnchor="text" w:xAlign="left" w:yAlign="inline"/>
                    <w:suppressLineNumbers w:val="0"/>
                    <w:spacing w:before="0" w:beforeAutospacing="0" w:after="0" w:afterAutospacing="0"/>
                    <w:ind w:left="0" w:right="0"/>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Ⅳ</w:t>
                  </w:r>
                  <w:r>
                    <w:rPr>
                      <w:rFonts w:hint="eastAsia" w:ascii="Times New Roman" w:hAnsi="Times New Roman" w:eastAsia="宋体" w:cs="Times New Roman"/>
                      <w:color w:val="auto"/>
                      <w:sz w:val="21"/>
                      <w:szCs w:val="21"/>
                      <w:highlight w:val="none"/>
                    </w:rPr>
                    <w:t>级</w:t>
                  </w:r>
                </w:p>
              </w:tc>
              <w:tc>
                <w:tcPr>
                  <w:tcW w:w="793" w:type="pct"/>
                  <w:tcBorders>
                    <w:tl2br w:val="nil"/>
                    <w:tr2bl w:val="nil"/>
                  </w:tcBorders>
                  <w:vAlign w:val="center"/>
                </w:tcPr>
                <w:p w14:paraId="4684F12F">
                  <w:pPr>
                    <w:pStyle w:val="120"/>
                    <w:keepNext w:val="0"/>
                    <w:keepLines w:val="0"/>
                    <w:framePr w:hSpace="0" w:wrap="auto" w:vAnchor="margin" w:hAnchor="text" w:xAlign="left" w:yAlign="inline"/>
                    <w:suppressLineNumbers w:val="0"/>
                    <w:spacing w:before="0" w:beforeAutospacing="0" w:after="0" w:afterAutospacing="0"/>
                    <w:ind w:left="0" w:right="0"/>
                    <w:jc w:val="both"/>
                    <w:rPr>
                      <w:rFonts w:hint="default" w:ascii="Times New Roman" w:hAnsi="Times New Roman" w:eastAsia="宋体" w:cs="Times New Roman"/>
                      <w:color w:val="auto"/>
                      <w:sz w:val="21"/>
                      <w:szCs w:val="21"/>
                      <w:highlight w:val="none"/>
                    </w:rPr>
                  </w:pPr>
                  <w:r>
                    <w:rPr>
                      <w:rFonts w:hint="eastAsia" w:ascii="Times New Roman" w:hAnsi="Times New Roman" w:eastAsia="宋体" w:cs="Times New Roman"/>
                      <w:color w:val="auto"/>
                      <w:sz w:val="21"/>
                      <w:szCs w:val="21"/>
                      <w:highlight w:val="none"/>
                    </w:rPr>
                    <w:t>高个体危害，高群体危害</w:t>
                  </w:r>
                </w:p>
              </w:tc>
              <w:tc>
                <w:tcPr>
                  <w:tcW w:w="3736" w:type="pct"/>
                  <w:tcBorders>
                    <w:tl2br w:val="nil"/>
                    <w:tr2bl w:val="nil"/>
                  </w:tcBorders>
                  <w:vAlign w:val="center"/>
                </w:tcPr>
                <w:p w14:paraId="4F0A2F16">
                  <w:pPr>
                    <w:pStyle w:val="120"/>
                    <w:keepNext w:val="0"/>
                    <w:keepLines w:val="0"/>
                    <w:framePr w:hSpace="0" w:wrap="auto" w:vAnchor="margin" w:hAnchor="text" w:xAlign="left" w:yAlign="inline"/>
                    <w:suppressLineNumbers w:val="0"/>
                    <w:spacing w:before="0" w:beforeAutospacing="0" w:after="0" w:afterAutospacing="0"/>
                    <w:ind w:left="0" w:right="0"/>
                    <w:jc w:val="both"/>
                    <w:rPr>
                      <w:rFonts w:hint="default" w:ascii="Times New Roman" w:hAnsi="Times New Roman" w:eastAsia="宋体" w:cs="Times New Roman"/>
                      <w:color w:val="auto"/>
                      <w:sz w:val="21"/>
                      <w:szCs w:val="21"/>
                      <w:highlight w:val="none"/>
                    </w:rPr>
                  </w:pPr>
                  <w:r>
                    <w:rPr>
                      <w:rFonts w:hint="eastAsia" w:ascii="Times New Roman" w:hAnsi="Times New Roman" w:eastAsia="宋体" w:cs="Times New Roman"/>
                      <w:color w:val="auto"/>
                      <w:sz w:val="21"/>
                      <w:szCs w:val="21"/>
                      <w:highlight w:val="none"/>
                    </w:rPr>
                    <w:t>对人体或环境有高度危险性，通过气溶胶途径传播或传播途径不明，没有预防措施。</w:t>
                  </w:r>
                </w:p>
              </w:tc>
            </w:tr>
          </w:tbl>
          <w:p w14:paraId="2B6FFA49">
            <w:pPr>
              <w:pStyle w:val="122"/>
              <w:keepNext w:val="0"/>
              <w:keepLines w:val="0"/>
              <w:suppressLineNumbers w:val="0"/>
              <w:spacing w:before="0" w:beforeAutospacing="0" w:after="0" w:afterAutospacing="0"/>
              <w:ind w:left="0" w:right="0"/>
              <w:rPr>
                <w:rFonts w:hint="default" w:ascii="Times New Roman" w:hAnsi="Times New Roman" w:eastAsia="宋体" w:cs="Times New Roman"/>
                <w:highlight w:val="none"/>
              </w:rPr>
            </w:pPr>
            <w:r>
              <w:rPr>
                <w:rFonts w:hint="eastAsia" w:ascii="Times New Roman" w:hAnsi="Times New Roman" w:eastAsia="宋体" w:cs="Times New Roman"/>
                <w:highlight w:val="none"/>
              </w:rPr>
              <w:t>虽然</w:t>
            </w:r>
            <w:r>
              <w:rPr>
                <w:rFonts w:hint="default" w:ascii="Times New Roman" w:hAnsi="Times New Roman" w:eastAsia="宋体" w:cs="Times New Roman"/>
                <w:highlight w:val="none"/>
              </w:rPr>
              <w:t>P2</w:t>
            </w:r>
            <w:r>
              <w:rPr>
                <w:rFonts w:hint="eastAsia" w:ascii="Times New Roman" w:hAnsi="Times New Roman" w:eastAsia="宋体" w:cs="Times New Roman"/>
                <w:highlight w:val="none"/>
              </w:rPr>
              <w:t>实验室涉及的动物病原微生物一般情况下对动物或者环境不构成严重危害，但若生物安全设备、操作流程或应急程序措施不完善，依然存在对实验室动物或周围环境的感染影响。因此应对建设项目的安全设备及个体防护、实验室设计与建造、管理制度、有关生物安全的污染控制措施等进行分析，提出确保环境安全的措施和建议，最大程度地减少病原微生物实验活动对周围环境的影响。</w:t>
            </w:r>
          </w:p>
          <w:p w14:paraId="4E34D86D">
            <w:pPr>
              <w:pStyle w:val="122"/>
              <w:keepNext w:val="0"/>
              <w:keepLines w:val="0"/>
              <w:suppressLineNumbers w:val="0"/>
              <w:spacing w:before="0" w:beforeAutospacing="0" w:after="0" w:afterAutospacing="0"/>
              <w:ind w:left="0" w:right="0"/>
              <w:rPr>
                <w:rFonts w:hint="default" w:ascii="Times New Roman" w:hAnsi="Times New Roman" w:eastAsia="宋体" w:cs="Times New Roman"/>
                <w:highlight w:val="none"/>
              </w:rPr>
            </w:pPr>
            <w:r>
              <w:rPr>
                <w:rFonts w:hint="eastAsia" w:ascii="Times New Roman" w:hAnsi="Times New Roman" w:eastAsia="宋体" w:cs="Times New Roman"/>
                <w:highlight w:val="none"/>
              </w:rPr>
              <w:t>各级病原微生物实验室生物安全基本要求见下表。</w:t>
            </w:r>
          </w:p>
          <w:p w14:paraId="4950A33B">
            <w:pPr>
              <w:pStyle w:val="128"/>
              <w:keepNext w:val="0"/>
              <w:keepLines w:val="0"/>
              <w:pageBreakBefore w:val="0"/>
              <w:widowControl w:val="0"/>
              <w:suppressLineNumbers w:val="0"/>
              <w:kinsoku/>
              <w:wordWrap/>
              <w:overflowPunct/>
              <w:topLinePunct w:val="0"/>
              <w:autoSpaceDE/>
              <w:autoSpaceDN/>
              <w:bidi w:val="0"/>
              <w:adjustRightInd w:val="0"/>
              <w:snapToGrid w:val="0"/>
              <w:spacing w:before="0" w:beforeLines="0" w:beforeAutospacing="0" w:after="0" w:afterAutospacing="0" w:line="360" w:lineRule="auto"/>
              <w:ind w:left="0" w:right="0"/>
              <w:textAlignment w:val="auto"/>
              <w:rPr>
                <w:rFonts w:hint="eastAsia" w:ascii="Times New Roman" w:hAnsi="Times New Roman" w:eastAsia="宋体" w:cs="Times New Roman"/>
                <w:color w:val="auto"/>
                <w:highlight w:val="none"/>
              </w:rPr>
            </w:pPr>
            <w:r>
              <w:rPr>
                <w:rFonts w:hint="eastAsia" w:ascii="Times New Roman" w:hAnsi="Times New Roman" w:eastAsia="宋体" w:cs="Times New Roman"/>
                <w:color w:val="auto"/>
                <w:highlight w:val="none"/>
              </w:rPr>
              <w:t>表4-</w:t>
            </w:r>
            <w:r>
              <w:rPr>
                <w:rFonts w:hint="eastAsia" w:cs="Times New Roman"/>
                <w:color w:val="auto"/>
                <w:highlight w:val="none"/>
                <w:lang w:val="en-US" w:eastAsia="zh-CN"/>
              </w:rPr>
              <w:t>20</w:t>
            </w:r>
            <w:r>
              <w:rPr>
                <w:rFonts w:hint="eastAsia" w:ascii="Times New Roman" w:hAnsi="Times New Roman" w:eastAsia="宋体" w:cs="Times New Roman"/>
                <w:color w:val="auto"/>
                <w:highlight w:val="none"/>
              </w:rPr>
              <w:t xml:space="preserve">  </w:t>
            </w:r>
            <w:r>
              <w:rPr>
                <w:rFonts w:hint="default" w:ascii="Times New Roman" w:hAnsi="Times New Roman" w:eastAsia="宋体" w:cs="Times New Roman"/>
                <w:color w:val="auto"/>
                <w:highlight w:val="none"/>
              </w:rPr>
              <w:t>Ⅰ</w:t>
            </w:r>
            <w:r>
              <w:rPr>
                <w:rFonts w:hint="eastAsia" w:ascii="Times New Roman" w:hAnsi="Times New Roman" w:eastAsia="宋体" w:cs="Times New Roman"/>
                <w:color w:val="auto"/>
                <w:highlight w:val="none"/>
              </w:rPr>
              <w:t>级、</w:t>
            </w:r>
            <w:r>
              <w:rPr>
                <w:rFonts w:hint="default" w:ascii="Times New Roman" w:hAnsi="Times New Roman" w:eastAsia="宋体" w:cs="Times New Roman"/>
                <w:color w:val="auto"/>
                <w:highlight w:val="none"/>
              </w:rPr>
              <w:t>Ⅱ</w:t>
            </w:r>
            <w:r>
              <w:rPr>
                <w:rFonts w:hint="eastAsia" w:ascii="Times New Roman" w:hAnsi="Times New Roman" w:eastAsia="宋体" w:cs="Times New Roman"/>
                <w:color w:val="auto"/>
                <w:highlight w:val="none"/>
              </w:rPr>
              <w:t>级病原微生物实验室生物安全基本要求</w:t>
            </w:r>
          </w:p>
          <w:tbl>
            <w:tblPr>
              <w:tblStyle w:val="32"/>
              <w:tblW w:w="5000" w:type="pct"/>
              <w:tblInd w:w="-5"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
            <w:tblGrid>
              <w:gridCol w:w="1006"/>
              <w:gridCol w:w="7266"/>
            </w:tblGrid>
            <w:tr w14:paraId="21F5E3D0">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284" w:hRule="atLeast"/>
              </w:trPr>
              <w:tc>
                <w:tcPr>
                  <w:tcW w:w="608" w:type="pct"/>
                  <w:tcBorders>
                    <w:tl2br w:val="nil"/>
                    <w:tr2bl w:val="nil"/>
                  </w:tcBorders>
                  <w:vAlign w:val="center"/>
                </w:tcPr>
                <w:p w14:paraId="4A502A98">
                  <w:pPr>
                    <w:pStyle w:val="120"/>
                    <w:keepNext w:val="0"/>
                    <w:keepLines w:val="0"/>
                    <w:framePr w:hSpace="0" w:wrap="auto" w:vAnchor="margin" w:hAnchor="text" w:xAlign="left" w:yAlign="inline"/>
                    <w:suppressLineNumbers w:val="0"/>
                    <w:spacing w:before="0" w:beforeAutospacing="0" w:after="0" w:afterAutospacing="0"/>
                    <w:ind w:left="0" w:right="0"/>
                    <w:rPr>
                      <w:rFonts w:hint="default" w:ascii="Times New Roman" w:hAnsi="Times New Roman" w:eastAsia="宋体" w:cs="Times New Roman"/>
                      <w:b/>
                      <w:color w:val="auto"/>
                      <w:sz w:val="21"/>
                      <w:szCs w:val="21"/>
                      <w:highlight w:val="none"/>
                    </w:rPr>
                  </w:pPr>
                  <w:r>
                    <w:rPr>
                      <w:rFonts w:hint="eastAsia" w:ascii="Times New Roman" w:hAnsi="Times New Roman" w:eastAsia="宋体" w:cs="Times New Roman"/>
                      <w:b/>
                      <w:color w:val="auto"/>
                      <w:sz w:val="21"/>
                      <w:szCs w:val="21"/>
                      <w:highlight w:val="none"/>
                    </w:rPr>
                    <w:t>等级</w:t>
                  </w:r>
                </w:p>
              </w:tc>
              <w:tc>
                <w:tcPr>
                  <w:tcW w:w="4392" w:type="pct"/>
                  <w:tcBorders>
                    <w:tl2br w:val="nil"/>
                    <w:tr2bl w:val="nil"/>
                  </w:tcBorders>
                  <w:vAlign w:val="center"/>
                </w:tcPr>
                <w:p w14:paraId="194966B9">
                  <w:pPr>
                    <w:pStyle w:val="120"/>
                    <w:keepNext w:val="0"/>
                    <w:keepLines w:val="0"/>
                    <w:framePr w:hSpace="0" w:wrap="auto" w:vAnchor="margin" w:hAnchor="text" w:xAlign="left" w:yAlign="inline"/>
                    <w:suppressLineNumbers w:val="0"/>
                    <w:spacing w:before="0" w:beforeAutospacing="0" w:after="0" w:afterAutospacing="0"/>
                    <w:ind w:left="0" w:right="0"/>
                    <w:rPr>
                      <w:rFonts w:hint="default" w:ascii="Times New Roman" w:hAnsi="Times New Roman" w:eastAsia="宋体" w:cs="Times New Roman"/>
                      <w:b/>
                      <w:color w:val="auto"/>
                      <w:sz w:val="21"/>
                      <w:szCs w:val="21"/>
                      <w:highlight w:val="none"/>
                    </w:rPr>
                  </w:pPr>
                  <w:r>
                    <w:rPr>
                      <w:rFonts w:hint="eastAsia" w:ascii="Times New Roman" w:hAnsi="Times New Roman" w:eastAsia="宋体" w:cs="Times New Roman"/>
                      <w:b/>
                      <w:color w:val="auto"/>
                      <w:sz w:val="21"/>
                      <w:szCs w:val="21"/>
                      <w:highlight w:val="none"/>
                    </w:rPr>
                    <w:t>基本要求</w:t>
                  </w:r>
                </w:p>
              </w:tc>
            </w:tr>
            <w:tr w14:paraId="730CC84E">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278" w:hRule="atLeast"/>
              </w:trPr>
              <w:tc>
                <w:tcPr>
                  <w:tcW w:w="608" w:type="pct"/>
                  <w:tcBorders>
                    <w:tl2br w:val="nil"/>
                    <w:tr2bl w:val="nil"/>
                  </w:tcBorders>
                  <w:shd w:val="clear" w:color="auto" w:fill="D9D9D9"/>
                  <w:vAlign w:val="center"/>
                </w:tcPr>
                <w:p w14:paraId="7A7F19CA">
                  <w:pPr>
                    <w:pStyle w:val="120"/>
                    <w:keepNext w:val="0"/>
                    <w:keepLines w:val="0"/>
                    <w:framePr w:hSpace="0" w:wrap="auto" w:vAnchor="margin" w:hAnchor="text" w:xAlign="left" w:yAlign="inline"/>
                    <w:suppressLineNumbers w:val="0"/>
                    <w:spacing w:before="0" w:beforeAutospacing="0" w:after="0" w:afterAutospacing="0"/>
                    <w:ind w:left="0" w:right="0"/>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Ⅰ</w:t>
                  </w:r>
                  <w:r>
                    <w:rPr>
                      <w:rFonts w:hint="eastAsia" w:ascii="Times New Roman" w:hAnsi="Times New Roman" w:eastAsia="宋体" w:cs="Times New Roman"/>
                      <w:color w:val="auto"/>
                      <w:sz w:val="21"/>
                      <w:szCs w:val="21"/>
                      <w:highlight w:val="none"/>
                    </w:rPr>
                    <w:t>级</w:t>
                  </w:r>
                </w:p>
              </w:tc>
              <w:tc>
                <w:tcPr>
                  <w:tcW w:w="4392" w:type="pct"/>
                  <w:tcBorders>
                    <w:tl2br w:val="nil"/>
                    <w:tr2bl w:val="nil"/>
                  </w:tcBorders>
                  <w:shd w:val="clear" w:color="auto" w:fill="D9D9D9"/>
                  <w:vAlign w:val="center"/>
                </w:tcPr>
                <w:p w14:paraId="13CD0332">
                  <w:pPr>
                    <w:pStyle w:val="120"/>
                    <w:keepNext w:val="0"/>
                    <w:keepLines w:val="0"/>
                    <w:framePr w:hSpace="0" w:wrap="auto" w:vAnchor="margin" w:hAnchor="text" w:xAlign="left" w:yAlign="inline"/>
                    <w:suppressLineNumbers w:val="0"/>
                    <w:spacing w:before="0" w:beforeAutospacing="0" w:after="0" w:afterAutospacing="0"/>
                    <w:ind w:left="0" w:right="0"/>
                    <w:jc w:val="both"/>
                    <w:rPr>
                      <w:rFonts w:hint="default" w:ascii="Times New Roman" w:hAnsi="Times New Roman" w:eastAsia="宋体" w:cs="Times New Roman"/>
                      <w:color w:val="auto"/>
                      <w:sz w:val="21"/>
                      <w:szCs w:val="21"/>
                      <w:highlight w:val="none"/>
                    </w:rPr>
                  </w:pPr>
                  <w:r>
                    <w:rPr>
                      <w:rFonts w:hint="eastAsia" w:ascii="Times New Roman" w:hAnsi="Times New Roman" w:eastAsia="宋体" w:cs="Times New Roman"/>
                      <w:color w:val="auto"/>
                      <w:sz w:val="21"/>
                      <w:szCs w:val="21"/>
                      <w:highlight w:val="none"/>
                    </w:rPr>
                    <w:t>普通微生物学实验室</w:t>
                  </w:r>
                </w:p>
              </w:tc>
            </w:tr>
            <w:tr w14:paraId="63797285">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271" w:hRule="atLeast"/>
              </w:trPr>
              <w:tc>
                <w:tcPr>
                  <w:tcW w:w="608" w:type="pct"/>
                  <w:tcBorders>
                    <w:tl2br w:val="nil"/>
                    <w:tr2bl w:val="nil"/>
                  </w:tcBorders>
                  <w:shd w:val="clear" w:color="auto" w:fill="E0E0E0"/>
                  <w:vAlign w:val="center"/>
                </w:tcPr>
                <w:p w14:paraId="0585206D">
                  <w:pPr>
                    <w:pStyle w:val="120"/>
                    <w:keepNext w:val="0"/>
                    <w:keepLines w:val="0"/>
                    <w:framePr w:hSpace="0" w:wrap="auto" w:vAnchor="margin" w:hAnchor="text" w:xAlign="left" w:yAlign="inline"/>
                    <w:suppressLineNumbers w:val="0"/>
                    <w:spacing w:before="0" w:beforeAutospacing="0" w:after="0" w:afterAutospacing="0"/>
                    <w:ind w:left="0" w:right="0"/>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Ⅱ</w:t>
                  </w:r>
                  <w:r>
                    <w:rPr>
                      <w:rFonts w:hint="eastAsia" w:ascii="Times New Roman" w:hAnsi="Times New Roman" w:eastAsia="宋体" w:cs="Times New Roman"/>
                      <w:color w:val="auto"/>
                      <w:sz w:val="21"/>
                      <w:szCs w:val="21"/>
                      <w:highlight w:val="none"/>
                    </w:rPr>
                    <w:t>级</w:t>
                  </w:r>
                </w:p>
              </w:tc>
              <w:tc>
                <w:tcPr>
                  <w:tcW w:w="4392" w:type="pct"/>
                  <w:tcBorders>
                    <w:tl2br w:val="nil"/>
                    <w:tr2bl w:val="nil"/>
                  </w:tcBorders>
                  <w:shd w:val="clear" w:color="auto" w:fill="E0E0E0"/>
                  <w:vAlign w:val="center"/>
                </w:tcPr>
                <w:p w14:paraId="5134BEE9">
                  <w:pPr>
                    <w:pStyle w:val="120"/>
                    <w:keepNext w:val="0"/>
                    <w:keepLines w:val="0"/>
                    <w:framePr w:hSpace="0" w:wrap="auto" w:vAnchor="margin" w:hAnchor="text" w:xAlign="left" w:yAlign="inline"/>
                    <w:suppressLineNumbers w:val="0"/>
                    <w:spacing w:before="0" w:beforeAutospacing="0" w:after="0" w:afterAutospacing="0"/>
                    <w:ind w:left="0" w:right="0"/>
                    <w:jc w:val="both"/>
                    <w:rPr>
                      <w:rFonts w:hint="default" w:ascii="Times New Roman" w:hAnsi="Times New Roman" w:eastAsia="宋体" w:cs="Times New Roman"/>
                      <w:color w:val="auto"/>
                      <w:sz w:val="21"/>
                      <w:szCs w:val="21"/>
                      <w:highlight w:val="none"/>
                    </w:rPr>
                  </w:pPr>
                  <w:r>
                    <w:rPr>
                      <w:rFonts w:hint="eastAsia" w:ascii="Times New Roman" w:hAnsi="Times New Roman" w:eastAsia="宋体" w:cs="Times New Roman"/>
                      <w:color w:val="auto"/>
                      <w:sz w:val="21"/>
                      <w:szCs w:val="21"/>
                      <w:highlight w:val="none"/>
                    </w:rPr>
                    <w:t>实验材料要在</w:t>
                  </w:r>
                  <w:r>
                    <w:rPr>
                      <w:rFonts w:hint="default" w:ascii="Times New Roman" w:hAnsi="Times New Roman" w:eastAsia="宋体" w:cs="Times New Roman"/>
                      <w:color w:val="auto"/>
                      <w:sz w:val="21"/>
                      <w:szCs w:val="21"/>
                      <w:highlight w:val="none"/>
                    </w:rPr>
                    <w:t>Ⅰ</w:t>
                  </w:r>
                  <w:r>
                    <w:rPr>
                      <w:rFonts w:hint="eastAsia" w:ascii="Times New Roman" w:hAnsi="Times New Roman" w:eastAsia="宋体" w:cs="Times New Roman"/>
                      <w:color w:val="auto"/>
                      <w:sz w:val="21"/>
                      <w:szCs w:val="21"/>
                      <w:highlight w:val="none"/>
                    </w:rPr>
                    <w:t>级或</w:t>
                  </w:r>
                  <w:r>
                    <w:rPr>
                      <w:rFonts w:hint="default" w:ascii="Times New Roman" w:hAnsi="Times New Roman" w:eastAsia="宋体" w:cs="Times New Roman"/>
                      <w:color w:val="auto"/>
                      <w:sz w:val="21"/>
                      <w:szCs w:val="21"/>
                      <w:highlight w:val="none"/>
                    </w:rPr>
                    <w:t>Ⅱ</w:t>
                  </w:r>
                  <w:r>
                    <w:rPr>
                      <w:rFonts w:hint="eastAsia" w:ascii="Times New Roman" w:hAnsi="Times New Roman" w:eastAsia="宋体" w:cs="Times New Roman"/>
                      <w:color w:val="auto"/>
                      <w:sz w:val="21"/>
                      <w:szCs w:val="21"/>
                      <w:highlight w:val="none"/>
                    </w:rPr>
                    <w:t>级生物安全柜内操作污物须经高压灭菌</w:t>
                  </w:r>
                </w:p>
                <w:p w14:paraId="2FAA9885">
                  <w:pPr>
                    <w:pStyle w:val="120"/>
                    <w:keepNext w:val="0"/>
                    <w:keepLines w:val="0"/>
                    <w:framePr w:hSpace="0" w:wrap="auto" w:vAnchor="margin" w:hAnchor="text" w:xAlign="left" w:yAlign="inline"/>
                    <w:suppressLineNumbers w:val="0"/>
                    <w:spacing w:before="0" w:beforeAutospacing="0" w:after="0" w:afterAutospacing="0"/>
                    <w:ind w:left="0" w:right="0"/>
                    <w:jc w:val="both"/>
                    <w:rPr>
                      <w:rFonts w:hint="default" w:ascii="Times New Roman" w:hAnsi="Times New Roman" w:eastAsia="宋体" w:cs="Times New Roman"/>
                      <w:color w:val="auto"/>
                      <w:sz w:val="21"/>
                      <w:szCs w:val="21"/>
                      <w:highlight w:val="none"/>
                    </w:rPr>
                  </w:pPr>
                  <w:r>
                    <w:rPr>
                      <w:rFonts w:hint="eastAsia" w:ascii="Times New Roman" w:hAnsi="Times New Roman" w:eastAsia="宋体" w:cs="Times New Roman"/>
                      <w:color w:val="auto"/>
                      <w:sz w:val="21"/>
                      <w:szCs w:val="21"/>
                      <w:highlight w:val="none"/>
                    </w:rPr>
                    <w:t>限制人员进出</w:t>
                  </w:r>
                </w:p>
              </w:tc>
            </w:tr>
          </w:tbl>
          <w:p w14:paraId="47E8FE40">
            <w:pPr>
              <w:pStyle w:val="122"/>
              <w:keepNext w:val="0"/>
              <w:keepLines w:val="0"/>
              <w:suppressLineNumbers w:val="0"/>
              <w:spacing w:before="0" w:beforeAutospacing="0" w:after="0" w:afterAutospacing="0"/>
              <w:ind w:left="0" w:right="0"/>
              <w:rPr>
                <w:rFonts w:hint="default" w:ascii="Times New Roman" w:hAnsi="Times New Roman" w:eastAsia="宋体" w:cs="Times New Roman"/>
                <w:highlight w:val="none"/>
              </w:rPr>
            </w:pPr>
            <w:r>
              <w:rPr>
                <w:rFonts w:hint="eastAsia" w:ascii="Times New Roman" w:hAnsi="Times New Roman" w:eastAsia="宋体" w:cs="Times New Roman"/>
                <w:highlight w:val="none"/>
              </w:rPr>
              <w:t>《实验室生物安全通用要求》（</w:t>
            </w:r>
            <w:r>
              <w:rPr>
                <w:rFonts w:hint="default" w:ascii="Times New Roman" w:hAnsi="Times New Roman" w:eastAsia="宋体" w:cs="Times New Roman"/>
                <w:highlight w:val="none"/>
              </w:rPr>
              <w:t>GB19489-2008</w:t>
            </w:r>
            <w:r>
              <w:rPr>
                <w:rFonts w:hint="eastAsia" w:ascii="Times New Roman" w:hAnsi="Times New Roman" w:eastAsia="宋体" w:cs="Times New Roman"/>
                <w:highlight w:val="none"/>
              </w:rPr>
              <w:t>）关于“</w:t>
            </w:r>
            <w:r>
              <w:rPr>
                <w:rFonts w:hint="default" w:ascii="Times New Roman" w:hAnsi="Times New Roman" w:eastAsia="宋体" w:cs="Times New Roman"/>
                <w:highlight w:val="none"/>
              </w:rPr>
              <w:t>ABSL-2</w:t>
            </w:r>
            <w:r>
              <w:rPr>
                <w:rFonts w:hint="eastAsia" w:ascii="Times New Roman" w:hAnsi="Times New Roman" w:eastAsia="宋体" w:cs="Times New Roman"/>
                <w:highlight w:val="none"/>
              </w:rPr>
              <w:t>实验室”的</w:t>
            </w:r>
            <w:r>
              <w:rPr>
                <w:rFonts w:hint="eastAsia" w:ascii="Times New Roman" w:hAnsi="Times New Roman" w:eastAsia="宋体" w:cs="Times New Roman"/>
                <w:spacing w:val="-13"/>
                <w:highlight w:val="none"/>
              </w:rPr>
              <w:t>要求如下：</w:t>
            </w:r>
          </w:p>
          <w:p w14:paraId="321B0A7F">
            <w:pPr>
              <w:pStyle w:val="122"/>
              <w:keepNext w:val="0"/>
              <w:keepLines w:val="0"/>
              <w:suppressLineNumbers w:val="0"/>
              <w:spacing w:before="0" w:beforeAutospacing="0" w:after="0" w:afterAutospacing="0"/>
              <w:ind w:left="0" w:right="0"/>
              <w:rPr>
                <w:rFonts w:hint="default" w:ascii="Times New Roman" w:hAnsi="Times New Roman" w:eastAsia="宋体" w:cs="Times New Roman"/>
                <w:highlight w:val="none"/>
              </w:rPr>
            </w:pPr>
            <w:r>
              <w:rPr>
                <w:rFonts w:hint="default" w:ascii="Times New Roman" w:hAnsi="Times New Roman" w:eastAsia="宋体" w:cs="Times New Roman"/>
                <w:highlight w:val="none"/>
              </w:rPr>
              <w:t>1</w:t>
            </w:r>
            <w:r>
              <w:rPr>
                <w:rFonts w:hint="eastAsia" w:ascii="Times New Roman" w:hAnsi="Times New Roman" w:eastAsia="宋体" w:cs="Times New Roman"/>
                <w:highlight w:val="none"/>
              </w:rPr>
              <w:t>）动物饲养间应与建筑物内的其他区域隔离。</w:t>
            </w:r>
          </w:p>
          <w:p w14:paraId="175656EF">
            <w:pPr>
              <w:pStyle w:val="122"/>
              <w:keepNext w:val="0"/>
              <w:keepLines w:val="0"/>
              <w:suppressLineNumbers w:val="0"/>
              <w:spacing w:before="0" w:beforeAutospacing="0" w:after="0" w:afterAutospacing="0"/>
              <w:ind w:left="0" w:right="0"/>
              <w:rPr>
                <w:rFonts w:hint="default" w:ascii="Times New Roman" w:hAnsi="Times New Roman" w:eastAsia="宋体" w:cs="Times New Roman"/>
                <w:highlight w:val="none"/>
              </w:rPr>
            </w:pPr>
            <w:r>
              <w:rPr>
                <w:rFonts w:hint="default" w:ascii="Times New Roman" w:hAnsi="Times New Roman" w:eastAsia="宋体" w:cs="Times New Roman"/>
                <w:highlight w:val="none"/>
              </w:rPr>
              <w:t>2</w:t>
            </w:r>
            <w:r>
              <w:rPr>
                <w:rFonts w:hint="eastAsia" w:ascii="Times New Roman" w:hAnsi="Times New Roman" w:eastAsia="宋体" w:cs="Times New Roman"/>
                <w:highlight w:val="none"/>
              </w:rPr>
              <w:t>）动物饲养间的门应有可视窗，向里开；打开的门应能够自动关闭，需要时，可以锁上。</w:t>
            </w:r>
          </w:p>
          <w:p w14:paraId="79A980DF">
            <w:pPr>
              <w:pStyle w:val="122"/>
              <w:keepNext w:val="0"/>
              <w:keepLines w:val="0"/>
              <w:suppressLineNumbers w:val="0"/>
              <w:spacing w:before="0" w:beforeAutospacing="0" w:after="0" w:afterAutospacing="0"/>
              <w:ind w:left="0" w:right="0" w:firstLine="468"/>
              <w:rPr>
                <w:rFonts w:hint="default" w:ascii="Times New Roman" w:hAnsi="Times New Roman" w:eastAsia="宋体" w:cs="Times New Roman"/>
                <w:highlight w:val="none"/>
              </w:rPr>
            </w:pPr>
            <w:r>
              <w:rPr>
                <w:rFonts w:hint="default" w:ascii="Times New Roman" w:hAnsi="Times New Roman" w:eastAsia="宋体" w:cs="Times New Roman"/>
                <w:spacing w:val="-3"/>
                <w:highlight w:val="none"/>
              </w:rPr>
              <w:t>3</w:t>
            </w:r>
            <w:r>
              <w:rPr>
                <w:rFonts w:hint="eastAsia" w:ascii="Times New Roman" w:hAnsi="Times New Roman" w:eastAsia="宋体" w:cs="Times New Roman"/>
                <w:spacing w:val="-3"/>
                <w:highlight w:val="none"/>
              </w:rPr>
              <w:t>）动物饲养间的工作表面应防水和易于消毒灭菌。</w:t>
            </w:r>
          </w:p>
          <w:p w14:paraId="1D13D857">
            <w:pPr>
              <w:pStyle w:val="122"/>
              <w:keepNext w:val="0"/>
              <w:keepLines w:val="0"/>
              <w:suppressLineNumbers w:val="0"/>
              <w:spacing w:before="0" w:beforeAutospacing="0" w:after="0" w:afterAutospacing="0"/>
              <w:ind w:left="0" w:right="0"/>
              <w:rPr>
                <w:rFonts w:hint="default" w:ascii="Times New Roman" w:hAnsi="Times New Roman" w:eastAsia="宋体" w:cs="Times New Roman"/>
                <w:highlight w:val="none"/>
              </w:rPr>
            </w:pPr>
            <w:r>
              <w:rPr>
                <w:rFonts w:hint="default" w:ascii="Times New Roman" w:hAnsi="Times New Roman" w:eastAsia="宋体" w:cs="Times New Roman"/>
                <w:highlight w:val="none"/>
              </w:rPr>
              <w:t>4</w:t>
            </w:r>
            <w:r>
              <w:rPr>
                <w:rFonts w:hint="eastAsia" w:ascii="Times New Roman" w:hAnsi="Times New Roman" w:eastAsia="宋体" w:cs="Times New Roman"/>
                <w:highlight w:val="none"/>
              </w:rPr>
              <w:t>）不宜安装窗户。如果安装窗户，所有窗户应密闭；需要时，窗户外部应装防护网。</w:t>
            </w:r>
          </w:p>
          <w:p w14:paraId="4794C1E5">
            <w:pPr>
              <w:pStyle w:val="122"/>
              <w:keepNext w:val="0"/>
              <w:keepLines w:val="0"/>
              <w:suppressLineNumbers w:val="0"/>
              <w:spacing w:before="0" w:beforeAutospacing="0" w:after="0" w:afterAutospacing="0"/>
              <w:ind w:left="0" w:right="0" w:firstLine="468"/>
              <w:rPr>
                <w:rFonts w:hint="default" w:ascii="Times New Roman" w:hAnsi="Times New Roman" w:eastAsia="宋体" w:cs="Times New Roman"/>
                <w:highlight w:val="none"/>
              </w:rPr>
            </w:pPr>
            <w:r>
              <w:rPr>
                <w:rFonts w:hint="default" w:ascii="Times New Roman" w:hAnsi="Times New Roman" w:eastAsia="宋体" w:cs="Times New Roman"/>
                <w:spacing w:val="-3"/>
                <w:highlight w:val="none"/>
              </w:rPr>
              <w:t>5</w:t>
            </w:r>
            <w:r>
              <w:rPr>
                <w:rFonts w:hint="eastAsia" w:ascii="Times New Roman" w:hAnsi="Times New Roman" w:eastAsia="宋体" w:cs="Times New Roman"/>
                <w:spacing w:val="-3"/>
                <w:highlight w:val="none"/>
              </w:rPr>
              <w:t>）围护结构的强度应与所饲养的动物种类相适应。</w:t>
            </w:r>
          </w:p>
          <w:p w14:paraId="6597FB6A">
            <w:pPr>
              <w:pStyle w:val="122"/>
              <w:keepNext w:val="0"/>
              <w:keepLines w:val="0"/>
              <w:suppressLineNumbers w:val="0"/>
              <w:spacing w:before="0" w:beforeAutospacing="0" w:after="0" w:afterAutospacing="0"/>
              <w:ind w:left="0" w:right="0"/>
              <w:rPr>
                <w:rFonts w:hint="default" w:ascii="Times New Roman" w:hAnsi="Times New Roman" w:eastAsia="宋体" w:cs="Times New Roman"/>
                <w:highlight w:val="none"/>
              </w:rPr>
            </w:pPr>
            <w:r>
              <w:rPr>
                <w:rFonts w:hint="default" w:ascii="Times New Roman" w:hAnsi="Times New Roman" w:eastAsia="宋体" w:cs="Times New Roman"/>
                <w:highlight w:val="none"/>
              </w:rPr>
              <w:t>6</w:t>
            </w:r>
            <w:r>
              <w:rPr>
                <w:rFonts w:hint="eastAsia" w:ascii="Times New Roman" w:hAnsi="Times New Roman" w:eastAsia="宋体" w:cs="Times New Roman"/>
                <w:highlight w:val="none"/>
              </w:rPr>
              <w:t>）如果有地面液体收集系统，应设防液体回流装置，存水弯应有足够的深度。</w:t>
            </w:r>
          </w:p>
          <w:p w14:paraId="2312CD62">
            <w:pPr>
              <w:pStyle w:val="122"/>
              <w:keepNext w:val="0"/>
              <w:keepLines w:val="0"/>
              <w:suppressLineNumbers w:val="0"/>
              <w:spacing w:before="0" w:beforeAutospacing="0" w:after="0" w:afterAutospacing="0"/>
              <w:ind w:left="0" w:right="0" w:firstLine="468"/>
              <w:rPr>
                <w:rFonts w:hint="default" w:ascii="Times New Roman" w:hAnsi="Times New Roman" w:eastAsia="宋体" w:cs="Times New Roman"/>
                <w:highlight w:val="none"/>
              </w:rPr>
            </w:pPr>
            <w:r>
              <w:rPr>
                <w:rFonts w:hint="default" w:ascii="Times New Roman" w:hAnsi="Times New Roman" w:eastAsia="宋体" w:cs="Times New Roman"/>
                <w:spacing w:val="-3"/>
                <w:highlight w:val="none"/>
              </w:rPr>
              <w:t>7</w:t>
            </w:r>
            <w:r>
              <w:rPr>
                <w:rFonts w:hint="eastAsia" w:ascii="Times New Roman" w:hAnsi="Times New Roman" w:eastAsia="宋体" w:cs="Times New Roman"/>
                <w:spacing w:val="-3"/>
                <w:highlight w:val="none"/>
              </w:rPr>
              <w:t>）不得循环使用动物实验室排出的空气。</w:t>
            </w:r>
          </w:p>
          <w:p w14:paraId="4CF6651F">
            <w:pPr>
              <w:pStyle w:val="122"/>
              <w:keepNext w:val="0"/>
              <w:keepLines w:val="0"/>
              <w:suppressLineNumbers w:val="0"/>
              <w:spacing w:before="0" w:beforeAutospacing="0" w:after="0" w:afterAutospacing="0"/>
              <w:ind w:left="0" w:right="0" w:firstLine="468"/>
              <w:rPr>
                <w:rFonts w:hint="default" w:ascii="Times New Roman" w:hAnsi="Times New Roman" w:eastAsia="宋体" w:cs="Times New Roman"/>
                <w:highlight w:val="none"/>
              </w:rPr>
            </w:pPr>
            <w:r>
              <w:rPr>
                <w:rFonts w:hint="default" w:ascii="Times New Roman" w:hAnsi="Times New Roman" w:eastAsia="宋体" w:cs="Times New Roman"/>
                <w:spacing w:val="-3"/>
                <w:highlight w:val="none"/>
              </w:rPr>
              <w:t>8</w:t>
            </w:r>
            <w:r>
              <w:rPr>
                <w:rFonts w:hint="eastAsia" w:ascii="Times New Roman" w:hAnsi="Times New Roman" w:eastAsia="宋体" w:cs="Times New Roman"/>
                <w:spacing w:val="-3"/>
                <w:highlight w:val="none"/>
              </w:rPr>
              <w:t>）应设置洗手池或手部清洁装置，宜设置在出口处。</w:t>
            </w:r>
          </w:p>
          <w:p w14:paraId="4020F5CD">
            <w:pPr>
              <w:pStyle w:val="122"/>
              <w:keepNext w:val="0"/>
              <w:keepLines w:val="0"/>
              <w:suppressLineNumbers w:val="0"/>
              <w:spacing w:before="0" w:beforeAutospacing="0" w:after="0" w:afterAutospacing="0"/>
              <w:ind w:left="0" w:right="0" w:firstLine="468"/>
              <w:rPr>
                <w:rFonts w:hint="default" w:ascii="Times New Roman" w:hAnsi="Times New Roman" w:eastAsia="宋体" w:cs="Times New Roman"/>
                <w:highlight w:val="none"/>
              </w:rPr>
            </w:pPr>
            <w:r>
              <w:rPr>
                <w:rFonts w:hint="default" w:ascii="Times New Roman" w:hAnsi="Times New Roman" w:eastAsia="宋体" w:cs="Times New Roman"/>
                <w:spacing w:val="-3"/>
                <w:highlight w:val="none"/>
              </w:rPr>
              <w:t>9</w:t>
            </w:r>
            <w:r>
              <w:rPr>
                <w:rFonts w:hint="eastAsia" w:ascii="Times New Roman" w:hAnsi="Times New Roman" w:eastAsia="宋体" w:cs="Times New Roman"/>
                <w:spacing w:val="-3"/>
                <w:highlight w:val="none"/>
              </w:rPr>
              <w:t>）宜将动物饲养间的室内气压控制为负压。</w:t>
            </w:r>
          </w:p>
          <w:p w14:paraId="6EFDD23D">
            <w:pPr>
              <w:pStyle w:val="122"/>
              <w:keepNext w:val="0"/>
              <w:keepLines w:val="0"/>
              <w:suppressLineNumbers w:val="0"/>
              <w:spacing w:before="0" w:beforeAutospacing="0" w:after="0" w:afterAutospacing="0"/>
              <w:ind w:left="0" w:right="0" w:firstLine="464"/>
              <w:rPr>
                <w:rFonts w:hint="default" w:ascii="Times New Roman" w:hAnsi="Times New Roman" w:eastAsia="宋体" w:cs="Times New Roman"/>
                <w:highlight w:val="none"/>
              </w:rPr>
            </w:pPr>
            <w:r>
              <w:rPr>
                <w:rFonts w:hint="default" w:ascii="Times New Roman" w:hAnsi="Times New Roman" w:eastAsia="宋体" w:cs="Times New Roman"/>
                <w:spacing w:val="-4"/>
                <w:highlight w:val="none"/>
              </w:rPr>
              <w:t>10</w:t>
            </w:r>
            <w:r>
              <w:rPr>
                <w:rFonts w:hint="eastAsia" w:ascii="Times New Roman" w:hAnsi="Times New Roman" w:eastAsia="宋体" w:cs="Times New Roman"/>
                <w:spacing w:val="-4"/>
                <w:highlight w:val="none"/>
              </w:rPr>
              <w:t>）应可以对动物笼具清洗和消毒灭菌。</w:t>
            </w:r>
          </w:p>
          <w:p w14:paraId="7FC0E952">
            <w:pPr>
              <w:pStyle w:val="122"/>
              <w:keepNext w:val="0"/>
              <w:keepLines w:val="0"/>
              <w:suppressLineNumbers w:val="0"/>
              <w:spacing w:before="0" w:beforeAutospacing="0" w:after="0" w:afterAutospacing="0"/>
              <w:ind w:left="0" w:right="0"/>
              <w:rPr>
                <w:rFonts w:hint="default" w:ascii="Times New Roman" w:hAnsi="Times New Roman" w:eastAsia="宋体" w:cs="Times New Roman"/>
                <w:highlight w:val="none"/>
              </w:rPr>
            </w:pPr>
            <w:r>
              <w:rPr>
                <w:rFonts w:hint="default" w:ascii="Times New Roman" w:hAnsi="Times New Roman" w:eastAsia="宋体" w:cs="Times New Roman"/>
                <w:highlight w:val="none"/>
              </w:rPr>
              <w:t>11</w:t>
            </w:r>
            <w:r>
              <w:rPr>
                <w:rFonts w:hint="eastAsia" w:ascii="Times New Roman" w:hAnsi="Times New Roman" w:eastAsia="宋体" w:cs="Times New Roman"/>
                <w:highlight w:val="none"/>
              </w:rPr>
              <w:t>）应设置实验动物饲养笼具或护栏，除考虑安全要求外还应考虑对动物福利的要求。</w:t>
            </w:r>
          </w:p>
          <w:p w14:paraId="556DE93A">
            <w:pPr>
              <w:pStyle w:val="122"/>
              <w:keepNext w:val="0"/>
              <w:keepLines w:val="0"/>
              <w:suppressLineNumbers w:val="0"/>
              <w:spacing w:before="0" w:beforeAutospacing="0" w:after="0" w:afterAutospacing="0"/>
              <w:ind w:left="0" w:right="0"/>
              <w:rPr>
                <w:rFonts w:hint="default" w:ascii="Times New Roman" w:hAnsi="Times New Roman" w:eastAsia="宋体" w:cs="Times New Roman"/>
                <w:highlight w:val="none"/>
              </w:rPr>
            </w:pPr>
            <w:r>
              <w:rPr>
                <w:rFonts w:hint="default" w:ascii="Times New Roman" w:hAnsi="Times New Roman" w:eastAsia="宋体" w:cs="Times New Roman"/>
                <w:highlight w:val="none"/>
              </w:rPr>
              <w:t>12</w:t>
            </w:r>
            <w:r>
              <w:rPr>
                <w:rFonts w:hint="eastAsia" w:ascii="Times New Roman" w:hAnsi="Times New Roman" w:eastAsia="宋体" w:cs="Times New Roman"/>
                <w:highlight w:val="none"/>
              </w:rPr>
              <w:t>）动物尸体及相关废物的处置设施和设备应符合国家相关规定的要求。</w:t>
            </w:r>
          </w:p>
          <w:p w14:paraId="29537ED1">
            <w:pPr>
              <w:pStyle w:val="122"/>
              <w:keepNext w:val="0"/>
              <w:keepLines w:val="0"/>
              <w:suppressLineNumbers w:val="0"/>
              <w:spacing w:before="0" w:beforeAutospacing="0" w:after="0" w:afterAutospacing="0"/>
              <w:ind w:left="0" w:right="0"/>
              <w:rPr>
                <w:rFonts w:hint="default" w:ascii="Times New Roman" w:hAnsi="Times New Roman" w:eastAsia="宋体" w:cs="Times New Roman"/>
                <w:highlight w:val="none"/>
              </w:rPr>
            </w:pPr>
            <w:r>
              <w:rPr>
                <w:rFonts w:hint="default" w:ascii="Times New Roman" w:hAnsi="Times New Roman" w:eastAsia="宋体" w:cs="Times New Roman"/>
                <w:highlight w:val="none"/>
              </w:rPr>
              <w:t>1</w:t>
            </w:r>
            <w:r>
              <w:rPr>
                <w:rFonts w:hint="eastAsia" w:cs="Times New Roman"/>
                <w:highlight w:val="none"/>
                <w:lang w:val="en-US" w:eastAsia="zh-CN"/>
              </w:rPr>
              <w:t>3</w:t>
            </w:r>
            <w:r>
              <w:rPr>
                <w:rFonts w:hint="eastAsia" w:ascii="Times New Roman" w:hAnsi="Times New Roman" w:eastAsia="宋体" w:cs="Times New Roman"/>
                <w:highlight w:val="none"/>
              </w:rPr>
              <w:t>）动物饲养间应在出入口处设置缓冲间。</w:t>
            </w:r>
          </w:p>
          <w:p w14:paraId="0AB36C24">
            <w:pPr>
              <w:pStyle w:val="122"/>
              <w:keepNext w:val="0"/>
              <w:keepLines w:val="0"/>
              <w:suppressLineNumbers w:val="0"/>
              <w:spacing w:before="0" w:beforeAutospacing="0" w:after="0" w:afterAutospacing="0"/>
              <w:ind w:left="0" w:right="0"/>
              <w:rPr>
                <w:rFonts w:hint="default" w:ascii="Times New Roman" w:hAnsi="Times New Roman" w:eastAsia="宋体" w:cs="Times New Roman"/>
                <w:highlight w:val="none"/>
              </w:rPr>
            </w:pPr>
            <w:r>
              <w:rPr>
                <w:rFonts w:hint="eastAsia" w:cs="Times New Roman"/>
                <w:highlight w:val="none"/>
                <w:lang w:val="en-US" w:eastAsia="zh-CN"/>
              </w:rPr>
              <w:t>14</w:t>
            </w:r>
            <w:r>
              <w:rPr>
                <w:rFonts w:hint="eastAsia" w:ascii="Times New Roman" w:hAnsi="Times New Roman" w:eastAsia="宋体" w:cs="Times New Roman"/>
                <w:highlight w:val="none"/>
              </w:rPr>
              <w:t>）应设置非手动洗手池或手部清洁装置，宜设置在出口处。</w:t>
            </w:r>
          </w:p>
          <w:p w14:paraId="1B1290DF">
            <w:pPr>
              <w:pStyle w:val="122"/>
              <w:keepNext w:val="0"/>
              <w:keepLines w:val="0"/>
              <w:suppressLineNumbers w:val="0"/>
              <w:spacing w:before="0" w:beforeAutospacing="0" w:after="0" w:afterAutospacing="0"/>
              <w:ind w:left="0" w:right="0"/>
              <w:rPr>
                <w:rFonts w:hint="default" w:ascii="Times New Roman" w:hAnsi="Times New Roman" w:eastAsia="宋体" w:cs="Times New Roman"/>
                <w:highlight w:val="none"/>
              </w:rPr>
            </w:pPr>
            <w:r>
              <w:rPr>
                <w:rFonts w:hint="eastAsia" w:cs="Times New Roman"/>
                <w:highlight w:val="none"/>
                <w:lang w:val="en-US" w:eastAsia="zh-CN"/>
              </w:rPr>
              <w:t>15</w:t>
            </w:r>
            <w:r>
              <w:rPr>
                <w:rFonts w:hint="eastAsia" w:ascii="Times New Roman" w:hAnsi="Times New Roman" w:eastAsia="宋体" w:cs="Times New Roman"/>
                <w:highlight w:val="none"/>
              </w:rPr>
              <w:t>）应在邻近区域配备高压蒸汽灭菌器。</w:t>
            </w:r>
          </w:p>
          <w:p w14:paraId="1908E98F">
            <w:pPr>
              <w:pStyle w:val="122"/>
              <w:keepNext w:val="0"/>
              <w:keepLines w:val="0"/>
              <w:suppressLineNumbers w:val="0"/>
              <w:spacing w:before="0" w:beforeAutospacing="0" w:after="0" w:afterAutospacing="0"/>
              <w:ind w:left="0" w:right="0"/>
              <w:rPr>
                <w:rFonts w:hint="default" w:ascii="Times New Roman" w:hAnsi="Times New Roman" w:eastAsia="宋体" w:cs="Times New Roman"/>
                <w:highlight w:val="none"/>
              </w:rPr>
            </w:pPr>
            <w:r>
              <w:rPr>
                <w:rFonts w:hint="eastAsia" w:cs="Times New Roman"/>
                <w:highlight w:val="none"/>
                <w:lang w:val="en-US" w:eastAsia="zh-CN"/>
              </w:rPr>
              <w:t>16</w:t>
            </w:r>
            <w:r>
              <w:rPr>
                <w:rFonts w:hint="eastAsia" w:ascii="Times New Roman" w:hAnsi="Times New Roman" w:eastAsia="宋体" w:cs="Times New Roman"/>
                <w:highlight w:val="none"/>
              </w:rPr>
              <w:t>）适用时，应在安全隔离装置内从事可能产生有害气溶胶的活动；排气应经</w:t>
            </w:r>
            <w:r>
              <w:rPr>
                <w:rFonts w:hint="default" w:ascii="Times New Roman" w:hAnsi="Times New Roman" w:eastAsia="宋体" w:cs="Times New Roman"/>
                <w:highlight w:val="none"/>
              </w:rPr>
              <w:t>HEPA</w:t>
            </w:r>
            <w:r>
              <w:rPr>
                <w:rFonts w:hint="eastAsia" w:ascii="Times New Roman" w:hAnsi="Times New Roman" w:eastAsia="宋体" w:cs="Times New Roman"/>
                <w:highlight w:val="none"/>
              </w:rPr>
              <w:t>过滤器的过滤后排出。</w:t>
            </w:r>
          </w:p>
          <w:p w14:paraId="3E1E3B95">
            <w:pPr>
              <w:pStyle w:val="122"/>
              <w:keepNext w:val="0"/>
              <w:keepLines w:val="0"/>
              <w:suppressLineNumbers w:val="0"/>
              <w:spacing w:before="0" w:beforeAutospacing="0" w:after="0" w:afterAutospacing="0"/>
              <w:ind w:left="0" w:right="0"/>
              <w:rPr>
                <w:rFonts w:hint="default" w:ascii="Times New Roman" w:hAnsi="Times New Roman" w:eastAsia="宋体" w:cs="Times New Roman"/>
                <w:highlight w:val="none"/>
              </w:rPr>
            </w:pPr>
            <w:r>
              <w:rPr>
                <w:rFonts w:hint="eastAsia" w:cs="Times New Roman"/>
                <w:highlight w:val="none"/>
                <w:lang w:val="en-US" w:eastAsia="zh-CN"/>
              </w:rPr>
              <w:t>17</w:t>
            </w:r>
            <w:r>
              <w:rPr>
                <w:rFonts w:hint="eastAsia" w:ascii="Times New Roman" w:hAnsi="Times New Roman" w:eastAsia="宋体" w:cs="Times New Roman"/>
                <w:highlight w:val="none"/>
              </w:rPr>
              <w:t>）应将动物饲养间的室内气压控制为负压，气体应直接排放到其所在的建筑物外。</w:t>
            </w:r>
          </w:p>
          <w:p w14:paraId="1EF93607">
            <w:pPr>
              <w:pStyle w:val="122"/>
              <w:keepNext w:val="0"/>
              <w:keepLines w:val="0"/>
              <w:suppressLineNumbers w:val="0"/>
              <w:spacing w:before="0" w:beforeAutospacing="0" w:after="0" w:afterAutospacing="0"/>
              <w:ind w:left="0" w:right="0"/>
              <w:rPr>
                <w:rFonts w:hint="default" w:ascii="Times New Roman" w:hAnsi="Times New Roman" w:eastAsia="宋体" w:cs="Times New Roman"/>
                <w:highlight w:val="none"/>
              </w:rPr>
            </w:pPr>
            <w:r>
              <w:rPr>
                <w:rFonts w:hint="eastAsia" w:cs="Times New Roman"/>
                <w:highlight w:val="none"/>
                <w:lang w:val="en-US" w:eastAsia="zh-CN"/>
              </w:rPr>
              <w:t>18</w:t>
            </w:r>
            <w:r>
              <w:rPr>
                <w:rFonts w:hint="eastAsia" w:ascii="Times New Roman" w:hAnsi="Times New Roman" w:eastAsia="宋体" w:cs="Times New Roman"/>
                <w:highlight w:val="none"/>
              </w:rPr>
              <w:t>）应根据风险评估的结果，确定是否需要使用</w:t>
            </w:r>
            <w:r>
              <w:rPr>
                <w:rFonts w:hint="default" w:ascii="Times New Roman" w:hAnsi="Times New Roman" w:eastAsia="宋体" w:cs="Times New Roman"/>
                <w:highlight w:val="none"/>
              </w:rPr>
              <w:t>HEPA</w:t>
            </w:r>
            <w:r>
              <w:rPr>
                <w:rFonts w:hint="eastAsia" w:ascii="Times New Roman" w:hAnsi="Times New Roman" w:eastAsia="宋体" w:cs="Times New Roman"/>
                <w:highlight w:val="none"/>
              </w:rPr>
              <w:t>过滤器过滤动物饲养间排出的气体。</w:t>
            </w:r>
          </w:p>
          <w:p w14:paraId="1AFD01CE">
            <w:pPr>
              <w:pStyle w:val="122"/>
              <w:keepNext w:val="0"/>
              <w:keepLines w:val="0"/>
              <w:suppressLineNumbers w:val="0"/>
              <w:spacing w:before="0" w:beforeAutospacing="0" w:after="0" w:afterAutospacing="0"/>
              <w:ind w:left="0" w:right="0"/>
              <w:rPr>
                <w:rFonts w:hint="default" w:ascii="Times New Roman" w:hAnsi="Times New Roman" w:eastAsia="宋体" w:cs="Times New Roman"/>
                <w:highlight w:val="none"/>
              </w:rPr>
            </w:pPr>
            <w:r>
              <w:rPr>
                <w:rFonts w:hint="eastAsia" w:cs="Times New Roman"/>
                <w:highlight w:val="none"/>
                <w:lang w:val="en-US" w:eastAsia="zh-CN"/>
              </w:rPr>
              <w:t>19</w:t>
            </w:r>
            <w:r>
              <w:rPr>
                <w:rFonts w:hint="eastAsia" w:ascii="Times New Roman" w:hAnsi="Times New Roman" w:eastAsia="宋体" w:cs="Times New Roman"/>
                <w:highlight w:val="none"/>
              </w:rPr>
              <w:t>）当不能满足</w:t>
            </w:r>
            <w:r>
              <w:rPr>
                <w:rFonts w:hint="eastAsia" w:cs="Times New Roman"/>
                <w:highlight w:val="none"/>
                <w:lang w:val="en-US" w:eastAsia="zh-CN"/>
              </w:rPr>
              <w:t>16</w:t>
            </w:r>
            <w:r>
              <w:rPr>
                <w:rFonts w:hint="eastAsia" w:ascii="Times New Roman" w:hAnsi="Times New Roman" w:eastAsia="宋体" w:cs="Times New Roman"/>
                <w:highlight w:val="none"/>
              </w:rPr>
              <w:t>）时，应使用</w:t>
            </w:r>
            <w:r>
              <w:rPr>
                <w:rFonts w:hint="default" w:ascii="Times New Roman" w:hAnsi="Times New Roman" w:eastAsia="宋体" w:cs="Times New Roman"/>
                <w:highlight w:val="none"/>
              </w:rPr>
              <w:t>HEPA</w:t>
            </w:r>
            <w:r>
              <w:rPr>
                <w:rFonts w:hint="eastAsia" w:ascii="Times New Roman" w:hAnsi="Times New Roman" w:eastAsia="宋体" w:cs="Times New Roman"/>
                <w:highlight w:val="none"/>
              </w:rPr>
              <w:t>过滤器过滤动物饲养间排出的气体。</w:t>
            </w:r>
          </w:p>
          <w:p w14:paraId="1DA47C97">
            <w:pPr>
              <w:pStyle w:val="122"/>
              <w:keepNext w:val="0"/>
              <w:keepLines w:val="0"/>
              <w:suppressLineNumbers w:val="0"/>
              <w:spacing w:before="0" w:beforeAutospacing="0" w:after="0" w:afterAutospacing="0"/>
              <w:ind w:left="0" w:right="0"/>
              <w:rPr>
                <w:rFonts w:hint="default" w:ascii="Times New Roman" w:hAnsi="Times New Roman" w:eastAsia="宋体" w:cs="Times New Roman"/>
                <w:highlight w:val="none"/>
              </w:rPr>
            </w:pPr>
            <w:r>
              <w:rPr>
                <w:rFonts w:hint="eastAsia" w:cs="Times New Roman"/>
                <w:highlight w:val="none"/>
                <w:lang w:val="en-US" w:eastAsia="zh-CN"/>
              </w:rPr>
              <w:t>20</w:t>
            </w:r>
            <w:r>
              <w:rPr>
                <w:rFonts w:hint="eastAsia" w:ascii="Times New Roman" w:hAnsi="Times New Roman" w:eastAsia="宋体" w:cs="Times New Roman"/>
                <w:highlight w:val="none"/>
              </w:rPr>
              <w:t>）实验室的外部排风口应至少高出本实验室所在建筑的顶部</w:t>
            </w:r>
            <w:r>
              <w:rPr>
                <w:rFonts w:hint="default" w:ascii="Times New Roman" w:hAnsi="Times New Roman" w:eastAsia="宋体" w:cs="Times New Roman"/>
                <w:highlight w:val="none"/>
              </w:rPr>
              <w:t>2m</w:t>
            </w:r>
            <w:r>
              <w:rPr>
                <w:rFonts w:hint="eastAsia" w:ascii="Times New Roman" w:hAnsi="Times New Roman" w:eastAsia="宋体" w:cs="Times New Roman"/>
                <w:highlight w:val="none"/>
              </w:rPr>
              <w:t>，应有防风、防雨、防鼠、防虫设计，但不应影响气体向上空排放。</w:t>
            </w:r>
          </w:p>
          <w:p w14:paraId="36C2932D">
            <w:pPr>
              <w:pStyle w:val="122"/>
              <w:keepNext w:val="0"/>
              <w:keepLines w:val="0"/>
              <w:suppressLineNumbers w:val="0"/>
              <w:spacing w:before="0" w:beforeAutospacing="0" w:after="0" w:afterAutospacing="0"/>
              <w:ind w:left="0" w:right="0"/>
              <w:rPr>
                <w:rFonts w:hint="default" w:ascii="Times New Roman" w:hAnsi="Times New Roman" w:eastAsia="宋体" w:cs="Times New Roman"/>
                <w:highlight w:val="none"/>
              </w:rPr>
            </w:pPr>
            <w:r>
              <w:rPr>
                <w:rFonts w:hint="eastAsia" w:cs="Times New Roman"/>
                <w:highlight w:val="none"/>
                <w:lang w:val="en-US" w:eastAsia="zh-CN"/>
              </w:rPr>
              <w:t>21</w:t>
            </w:r>
            <w:r>
              <w:rPr>
                <w:rFonts w:hint="eastAsia" w:ascii="Times New Roman" w:hAnsi="Times New Roman" w:eastAsia="宋体" w:cs="Times New Roman"/>
                <w:highlight w:val="none"/>
              </w:rPr>
              <w:t>）污水（包括污物）应消毒灭菌处理，并应对消毒灭菌效果进行监测，以确保达到排放要求。</w:t>
            </w:r>
          </w:p>
          <w:p w14:paraId="40E9C313">
            <w:pPr>
              <w:pStyle w:val="122"/>
              <w:keepNext w:val="0"/>
              <w:keepLines w:val="0"/>
              <w:suppressLineNumbers w:val="0"/>
              <w:spacing w:before="0" w:beforeAutospacing="0" w:after="0" w:afterAutospacing="0"/>
              <w:ind w:left="0" w:right="0"/>
              <w:rPr>
                <w:rFonts w:hint="default" w:ascii="Times New Roman" w:hAnsi="Times New Roman" w:eastAsia="宋体" w:cs="Times New Roman"/>
                <w:highlight w:val="none"/>
              </w:rPr>
            </w:pPr>
            <w:r>
              <w:rPr>
                <w:rFonts w:hint="eastAsia" w:ascii="Times New Roman" w:hAnsi="Times New Roman" w:eastAsia="宋体" w:cs="Times New Roman"/>
                <w:highlight w:val="none"/>
              </w:rPr>
              <w:t>（</w:t>
            </w:r>
            <w:r>
              <w:rPr>
                <w:rFonts w:hint="default" w:ascii="Times New Roman" w:hAnsi="Times New Roman" w:eastAsia="宋体" w:cs="Times New Roman"/>
                <w:highlight w:val="none"/>
              </w:rPr>
              <w:t>4</w:t>
            </w:r>
            <w:r>
              <w:rPr>
                <w:rFonts w:hint="eastAsia" w:ascii="Times New Roman" w:hAnsi="Times New Roman" w:eastAsia="宋体" w:cs="Times New Roman"/>
                <w:highlight w:val="none"/>
              </w:rPr>
              <w:t>）项目生物安全评价</w:t>
            </w:r>
          </w:p>
          <w:p w14:paraId="109C7280">
            <w:pPr>
              <w:pStyle w:val="122"/>
              <w:keepNext w:val="0"/>
              <w:keepLines w:val="0"/>
              <w:suppressLineNumbers w:val="0"/>
              <w:spacing w:before="0" w:beforeAutospacing="0" w:after="0" w:afterAutospacing="0"/>
              <w:ind w:left="0" w:right="0"/>
              <w:rPr>
                <w:rFonts w:hint="default" w:ascii="Times New Roman" w:hAnsi="Times New Roman" w:eastAsia="宋体" w:cs="Times New Roman"/>
                <w:highlight w:val="none"/>
              </w:rPr>
            </w:pPr>
            <w:r>
              <w:rPr>
                <w:rFonts w:hint="eastAsia" w:ascii="Times New Roman" w:hAnsi="Times New Roman" w:eastAsia="宋体" w:cs="Times New Roman"/>
                <w:highlight w:val="none"/>
              </w:rPr>
              <w:t>项目动物实验使用的菌种均来自正规公司外购，即用即买，保存于菌种专用冷藏冰箱，来源可靠，储存量较少。</w:t>
            </w:r>
          </w:p>
          <w:p w14:paraId="72E1FFC9">
            <w:pPr>
              <w:pStyle w:val="122"/>
              <w:keepNext w:val="0"/>
              <w:keepLines w:val="0"/>
              <w:suppressLineNumbers w:val="0"/>
              <w:spacing w:before="0" w:beforeAutospacing="0" w:after="0" w:afterAutospacing="0"/>
              <w:ind w:left="0" w:right="0"/>
              <w:rPr>
                <w:rFonts w:hint="default" w:ascii="Times New Roman" w:hAnsi="Times New Roman" w:eastAsia="宋体" w:cs="Times New Roman"/>
                <w:highlight w:val="none"/>
              </w:rPr>
            </w:pPr>
            <w:r>
              <w:rPr>
                <w:rFonts w:hint="default" w:ascii="Times New Roman" w:hAnsi="Times New Roman" w:eastAsia="宋体" w:cs="Times New Roman"/>
                <w:highlight w:val="none"/>
              </w:rPr>
              <w:t>ABSL-2</w:t>
            </w:r>
            <w:r>
              <w:rPr>
                <w:rFonts w:hint="eastAsia" w:ascii="Times New Roman" w:hAnsi="Times New Roman" w:eastAsia="宋体" w:cs="Times New Roman"/>
                <w:highlight w:val="none"/>
              </w:rPr>
              <w:t>实验室采用防止节肢动物和啮齿动物进入的建筑设计。微生物实验间参照《生物安全实验室建筑技术规范》（</w:t>
            </w:r>
            <w:r>
              <w:rPr>
                <w:rFonts w:hint="default" w:ascii="Times New Roman" w:hAnsi="Times New Roman" w:eastAsia="宋体" w:cs="Times New Roman"/>
                <w:highlight w:val="none"/>
              </w:rPr>
              <w:t>GB50346-2011</w:t>
            </w:r>
            <w:r>
              <w:rPr>
                <w:rFonts w:hint="eastAsia" w:ascii="Times New Roman" w:hAnsi="Times New Roman" w:eastAsia="宋体" w:cs="Times New Roman"/>
                <w:highlight w:val="none"/>
              </w:rPr>
              <w:t>）要求，满足生物安全要求。</w:t>
            </w:r>
          </w:p>
          <w:p w14:paraId="6673B251">
            <w:pPr>
              <w:pStyle w:val="122"/>
              <w:keepNext w:val="0"/>
              <w:keepLines w:val="0"/>
              <w:suppressLineNumbers w:val="0"/>
              <w:spacing w:before="0" w:beforeAutospacing="0" w:after="0" w:afterAutospacing="0"/>
              <w:ind w:left="0" w:right="0"/>
              <w:rPr>
                <w:rFonts w:hint="default" w:ascii="Times New Roman" w:hAnsi="Times New Roman" w:eastAsia="宋体" w:cs="Times New Roman"/>
                <w:highlight w:val="none"/>
              </w:rPr>
            </w:pPr>
            <w:r>
              <w:rPr>
                <w:rFonts w:hint="default" w:ascii="Times New Roman" w:hAnsi="Times New Roman" w:eastAsia="宋体" w:cs="Times New Roman"/>
                <w:highlight w:val="none"/>
              </w:rPr>
              <w:t>ABSL-2</w:t>
            </w:r>
            <w:r>
              <w:rPr>
                <w:rFonts w:hint="eastAsia" w:ascii="Times New Roman" w:hAnsi="Times New Roman" w:eastAsia="宋体" w:cs="Times New Roman"/>
                <w:highlight w:val="none"/>
              </w:rPr>
              <w:t>实验室配备有高压灭菌锅</w:t>
            </w:r>
            <w:r>
              <w:rPr>
                <w:rFonts w:hint="eastAsia" w:cs="Times New Roman"/>
                <w:highlight w:val="none"/>
                <w:lang w:val="en-US" w:eastAsia="zh-CN"/>
              </w:rPr>
              <w:t>1</w:t>
            </w:r>
            <w:r>
              <w:rPr>
                <w:rFonts w:hint="eastAsia" w:ascii="Times New Roman" w:hAnsi="Times New Roman" w:eastAsia="宋体" w:cs="Times New Roman"/>
                <w:highlight w:val="none"/>
              </w:rPr>
              <w:t>台。</w:t>
            </w:r>
          </w:p>
          <w:p w14:paraId="32C4EC18">
            <w:pPr>
              <w:pStyle w:val="122"/>
              <w:keepNext w:val="0"/>
              <w:keepLines w:val="0"/>
              <w:suppressLineNumbers w:val="0"/>
              <w:spacing w:before="0" w:beforeAutospacing="0" w:after="0" w:afterAutospacing="0"/>
              <w:ind w:left="0" w:right="0"/>
              <w:rPr>
                <w:rFonts w:hint="default" w:ascii="Times New Roman" w:hAnsi="Times New Roman" w:eastAsia="宋体" w:cs="Times New Roman"/>
                <w:highlight w:val="none"/>
              </w:rPr>
            </w:pPr>
            <w:r>
              <w:rPr>
                <w:rFonts w:hint="eastAsia" w:ascii="Times New Roman" w:hAnsi="Times New Roman" w:eastAsia="宋体" w:cs="Times New Roman"/>
                <w:highlight w:val="none"/>
              </w:rPr>
              <w:t>高压灭菌锅：沾有病原微生物的物品在实验室内经高压灭菌后，可以有效清除污染。</w:t>
            </w:r>
          </w:p>
          <w:p w14:paraId="17A78652">
            <w:pPr>
              <w:pStyle w:val="122"/>
              <w:keepNext w:val="0"/>
              <w:keepLines w:val="0"/>
              <w:suppressLineNumbers w:val="0"/>
              <w:spacing w:before="0" w:beforeAutospacing="0" w:after="0" w:afterAutospacing="0"/>
              <w:ind w:left="0" w:right="0"/>
              <w:rPr>
                <w:rFonts w:hint="default" w:ascii="Times New Roman" w:hAnsi="Times New Roman" w:eastAsia="宋体" w:cs="Times New Roman"/>
                <w:highlight w:val="none"/>
              </w:rPr>
            </w:pPr>
            <w:r>
              <w:rPr>
                <w:rFonts w:hint="default" w:ascii="Times New Roman" w:hAnsi="Times New Roman" w:eastAsia="宋体" w:cs="Times New Roman"/>
                <w:highlight w:val="none"/>
              </w:rPr>
              <w:t>ABSL-2</w:t>
            </w:r>
            <w:r>
              <w:rPr>
                <w:rFonts w:hint="eastAsia" w:ascii="Times New Roman" w:hAnsi="Times New Roman" w:eastAsia="宋体" w:cs="Times New Roman"/>
                <w:highlight w:val="none"/>
              </w:rPr>
              <w:t>实验室实验</w:t>
            </w:r>
            <w:r>
              <w:rPr>
                <w:rFonts w:hint="default" w:ascii="Times New Roman" w:hAnsi="Times New Roman" w:eastAsia="宋体" w:cs="Times New Roman"/>
                <w:highlight w:val="none"/>
              </w:rPr>
              <w:t>废液和首道清洗废液</w:t>
            </w:r>
            <w:r>
              <w:rPr>
                <w:rFonts w:hint="eastAsia" w:ascii="Times New Roman" w:hAnsi="Times New Roman" w:eastAsia="宋体" w:cs="Times New Roman"/>
                <w:highlight w:val="none"/>
              </w:rPr>
              <w:t>可能含有病原微生物，在实验室内先集中收集至不锈钢容器内，经高压蒸汽灭活（</w:t>
            </w:r>
            <w:r>
              <w:rPr>
                <w:rFonts w:hint="default" w:ascii="Times New Roman" w:hAnsi="Times New Roman" w:eastAsia="宋体" w:cs="Times New Roman"/>
                <w:highlight w:val="none"/>
              </w:rPr>
              <w:t>121</w:t>
            </w:r>
            <w:r>
              <w:rPr>
                <w:rFonts w:hint="eastAsia" w:ascii="Times New Roman" w:hAnsi="Times New Roman" w:eastAsia="宋体" w:cs="Times New Roman"/>
                <w:highlight w:val="none"/>
              </w:rPr>
              <w:t>℃，</w:t>
            </w:r>
            <w:r>
              <w:rPr>
                <w:rFonts w:hint="default" w:ascii="Times New Roman" w:hAnsi="Times New Roman" w:eastAsia="宋体" w:cs="Times New Roman"/>
                <w:highlight w:val="none"/>
              </w:rPr>
              <w:t>0.11MPa</w:t>
            </w:r>
            <w:r>
              <w:rPr>
                <w:rFonts w:hint="eastAsia" w:ascii="Times New Roman" w:hAnsi="Times New Roman" w:eastAsia="宋体" w:cs="Times New Roman"/>
                <w:highlight w:val="none"/>
              </w:rPr>
              <w:t>，</w:t>
            </w:r>
            <w:r>
              <w:rPr>
                <w:rFonts w:hint="default" w:ascii="Times New Roman" w:hAnsi="Times New Roman" w:eastAsia="宋体" w:cs="Times New Roman"/>
                <w:highlight w:val="none"/>
              </w:rPr>
              <w:t>30min</w:t>
            </w:r>
            <w:r>
              <w:rPr>
                <w:rFonts w:hint="eastAsia" w:ascii="Times New Roman" w:hAnsi="Times New Roman" w:eastAsia="宋体" w:cs="Times New Roman"/>
                <w:highlight w:val="none"/>
              </w:rPr>
              <w:t>），作为危险废物暂存于</w:t>
            </w:r>
            <w:r>
              <w:rPr>
                <w:rFonts w:hint="eastAsia" w:cs="Times New Roman"/>
                <w:highlight w:val="none"/>
                <w:lang w:val="en-US" w:eastAsia="zh-CN"/>
              </w:rPr>
              <w:t>危废</w:t>
            </w:r>
            <w:r>
              <w:rPr>
                <w:rFonts w:hint="eastAsia" w:ascii="Times New Roman" w:hAnsi="Times New Roman" w:eastAsia="宋体" w:cs="Times New Roman"/>
                <w:highlight w:val="none"/>
              </w:rPr>
              <w:t>暂存间，委托有资质单位处置。</w:t>
            </w:r>
            <w:r>
              <w:rPr>
                <w:rFonts w:hint="default" w:ascii="Times New Roman" w:hAnsi="Times New Roman" w:eastAsia="宋体" w:cs="Times New Roman"/>
                <w:highlight w:val="none"/>
              </w:rPr>
              <w:t>ABSL-2</w:t>
            </w:r>
            <w:r>
              <w:rPr>
                <w:rFonts w:hint="eastAsia" w:ascii="Times New Roman" w:hAnsi="Times New Roman" w:eastAsia="宋体" w:cs="Times New Roman"/>
                <w:highlight w:val="none"/>
              </w:rPr>
              <w:t>实验室中段</w:t>
            </w:r>
            <w:r>
              <w:rPr>
                <w:rFonts w:hint="default" w:ascii="Times New Roman" w:hAnsi="Times New Roman" w:eastAsia="宋体" w:cs="Times New Roman"/>
                <w:highlight w:val="none"/>
              </w:rPr>
              <w:t>和后道清洗废水经</w:t>
            </w:r>
            <w:r>
              <w:rPr>
                <w:rFonts w:hint="eastAsia" w:ascii="Times New Roman" w:hAnsi="Times New Roman" w:eastAsia="宋体" w:cs="Times New Roman"/>
                <w:highlight w:val="none"/>
              </w:rPr>
              <w:t>高压</w:t>
            </w:r>
            <w:r>
              <w:rPr>
                <w:rFonts w:hint="default" w:ascii="Times New Roman" w:hAnsi="Times New Roman" w:eastAsia="宋体" w:cs="Times New Roman"/>
                <w:highlight w:val="none"/>
              </w:rPr>
              <w:t>蒸汽灭活后，接管至污水处理站集中处理。</w:t>
            </w:r>
            <w:r>
              <w:rPr>
                <w:rFonts w:hint="eastAsia" w:ascii="Times New Roman" w:hAnsi="Times New Roman" w:eastAsia="宋体" w:cs="Times New Roman"/>
                <w:highlight w:val="none"/>
              </w:rPr>
              <w:t>实验室废液或</w:t>
            </w:r>
            <w:r>
              <w:rPr>
                <w:rFonts w:hint="default" w:ascii="Times New Roman" w:hAnsi="Times New Roman" w:eastAsia="宋体" w:cs="Times New Roman"/>
                <w:highlight w:val="none"/>
              </w:rPr>
              <w:t>废水</w:t>
            </w:r>
            <w:r>
              <w:rPr>
                <w:rFonts w:hint="eastAsia" w:ascii="Times New Roman" w:hAnsi="Times New Roman" w:eastAsia="宋体" w:cs="Times New Roman"/>
                <w:highlight w:val="none"/>
              </w:rPr>
              <w:t>不会对环境产生危害。</w:t>
            </w:r>
          </w:p>
          <w:p w14:paraId="372E650A">
            <w:pPr>
              <w:pStyle w:val="122"/>
              <w:keepNext w:val="0"/>
              <w:keepLines w:val="0"/>
              <w:suppressLineNumbers w:val="0"/>
              <w:spacing w:before="0" w:beforeAutospacing="0" w:after="0" w:afterAutospacing="0"/>
              <w:ind w:left="0" w:right="0"/>
              <w:rPr>
                <w:rFonts w:hint="default" w:ascii="Times New Roman" w:hAnsi="Times New Roman" w:eastAsia="宋体" w:cs="Times New Roman"/>
                <w:highlight w:val="none"/>
              </w:rPr>
            </w:pPr>
            <w:r>
              <w:rPr>
                <w:rFonts w:hint="eastAsia" w:ascii="Times New Roman" w:hAnsi="Times New Roman" w:eastAsia="宋体" w:cs="Times New Roman"/>
                <w:highlight w:val="none"/>
              </w:rPr>
              <w:t>所有可能沾有病原微生物的废物以及动物尸体收集后，密封袋装，在实验室内进行高温灭活处理后，暂存于</w:t>
            </w:r>
            <w:r>
              <w:rPr>
                <w:rFonts w:hint="eastAsia" w:cs="Times New Roman"/>
                <w:highlight w:val="none"/>
                <w:lang w:val="en-US" w:eastAsia="zh-CN"/>
              </w:rPr>
              <w:t>危废</w:t>
            </w:r>
            <w:r>
              <w:rPr>
                <w:rFonts w:hint="eastAsia" w:ascii="Times New Roman" w:hAnsi="Times New Roman" w:eastAsia="宋体" w:cs="Times New Roman"/>
                <w:highlight w:val="none"/>
              </w:rPr>
              <w:t>暂存间，委托资质单位处理。</w:t>
            </w:r>
          </w:p>
          <w:p w14:paraId="2CA5FC9D">
            <w:pPr>
              <w:pStyle w:val="122"/>
              <w:keepNext w:val="0"/>
              <w:keepLines w:val="0"/>
              <w:suppressLineNumbers w:val="0"/>
              <w:spacing w:before="0" w:beforeAutospacing="0" w:after="0" w:afterAutospacing="0"/>
              <w:ind w:left="0" w:right="0"/>
              <w:rPr>
                <w:rFonts w:hint="default" w:ascii="Times New Roman" w:hAnsi="Times New Roman" w:eastAsia="宋体" w:cs="Times New Roman"/>
                <w:highlight w:val="none"/>
              </w:rPr>
            </w:pPr>
            <w:r>
              <w:rPr>
                <w:rFonts w:hint="eastAsia" w:ascii="Times New Roman" w:hAnsi="Times New Roman" w:eastAsia="宋体" w:cs="Times New Roman"/>
                <w:highlight w:val="none"/>
              </w:rPr>
              <w:t>项目微生物实验间产生的可能有潜在生物危害的废气、废水、固废经上述途径排放，符合生物安全要求，不会对环境产生生物危害。</w:t>
            </w:r>
          </w:p>
          <w:p w14:paraId="5DFB6CF9">
            <w:pPr>
              <w:pStyle w:val="122"/>
              <w:keepNext w:val="0"/>
              <w:keepLines w:val="0"/>
              <w:suppressLineNumbers w:val="0"/>
              <w:spacing w:before="0" w:beforeAutospacing="0" w:after="0" w:afterAutospacing="0"/>
              <w:ind w:left="0" w:right="0"/>
              <w:rPr>
                <w:rFonts w:hint="default" w:ascii="Times New Roman" w:hAnsi="Times New Roman" w:eastAsia="宋体" w:cs="Times New Roman"/>
                <w:highlight w:val="none"/>
              </w:rPr>
            </w:pPr>
            <w:r>
              <w:rPr>
                <w:rFonts w:hint="default" w:ascii="Times New Roman" w:hAnsi="Times New Roman" w:eastAsia="宋体" w:cs="Times New Roman"/>
                <w:highlight w:val="none"/>
              </w:rPr>
              <w:t>ABSL-2</w:t>
            </w:r>
            <w:r>
              <w:rPr>
                <w:rFonts w:hint="eastAsia" w:ascii="Times New Roman" w:hAnsi="Times New Roman" w:eastAsia="宋体" w:cs="Times New Roman"/>
                <w:highlight w:val="none"/>
              </w:rPr>
              <w:t>实验室符合</w:t>
            </w:r>
            <w:r>
              <w:rPr>
                <w:rFonts w:hint="default" w:ascii="Times New Roman" w:hAnsi="Times New Roman" w:eastAsia="宋体" w:cs="Times New Roman"/>
                <w:highlight w:val="none"/>
              </w:rPr>
              <w:t>ABSL-2</w:t>
            </w:r>
            <w:r>
              <w:rPr>
                <w:rFonts w:hint="eastAsia" w:ascii="Times New Roman" w:hAnsi="Times New Roman" w:eastAsia="宋体" w:cs="Times New Roman"/>
                <w:highlight w:val="none"/>
              </w:rPr>
              <w:t>（</w:t>
            </w:r>
            <w:r>
              <w:rPr>
                <w:rFonts w:hint="default" w:ascii="Times New Roman" w:hAnsi="Times New Roman" w:eastAsia="宋体" w:cs="Times New Roman"/>
                <w:highlight w:val="none"/>
              </w:rPr>
              <w:t>Ⅱ</w:t>
            </w:r>
            <w:r>
              <w:rPr>
                <w:rFonts w:hint="eastAsia" w:ascii="Times New Roman" w:hAnsi="Times New Roman" w:eastAsia="宋体" w:cs="Times New Roman"/>
                <w:highlight w:val="none"/>
              </w:rPr>
              <w:t>级生物安全实验室）“实验材料要在</w:t>
            </w:r>
            <w:r>
              <w:rPr>
                <w:rFonts w:hint="default" w:ascii="Times New Roman" w:hAnsi="Times New Roman" w:eastAsia="宋体" w:cs="Times New Roman"/>
                <w:highlight w:val="none"/>
              </w:rPr>
              <w:t>Ⅰ</w:t>
            </w:r>
            <w:r>
              <w:rPr>
                <w:rFonts w:hint="eastAsia" w:ascii="Times New Roman" w:hAnsi="Times New Roman" w:eastAsia="宋体" w:cs="Times New Roman"/>
                <w:highlight w:val="none"/>
              </w:rPr>
              <w:t>级或Ⅱ级生物安全柜内操作、污物须经高压灭菌的基本要求”。</w:t>
            </w:r>
          </w:p>
          <w:p w14:paraId="5E25CF20">
            <w:pPr>
              <w:pStyle w:val="122"/>
              <w:keepNext w:val="0"/>
              <w:keepLines w:val="0"/>
              <w:suppressLineNumbers w:val="0"/>
              <w:spacing w:before="0" w:beforeAutospacing="0" w:after="0" w:afterAutospacing="0"/>
              <w:ind w:left="0" w:right="0"/>
              <w:rPr>
                <w:rFonts w:hint="default" w:ascii="Times New Roman" w:hAnsi="Times New Roman" w:eastAsia="宋体" w:cs="Times New Roman"/>
                <w:highlight w:val="none"/>
              </w:rPr>
            </w:pPr>
            <w:r>
              <w:rPr>
                <w:rFonts w:hint="eastAsia" w:ascii="Times New Roman" w:hAnsi="Times New Roman" w:eastAsia="宋体" w:cs="Times New Roman"/>
                <w:highlight w:val="none"/>
              </w:rPr>
              <w:t>（</w:t>
            </w:r>
            <w:r>
              <w:rPr>
                <w:rFonts w:hint="default" w:ascii="Times New Roman" w:hAnsi="Times New Roman" w:eastAsia="宋体" w:cs="Times New Roman"/>
                <w:highlight w:val="none"/>
              </w:rPr>
              <w:t>5</w:t>
            </w:r>
            <w:r>
              <w:rPr>
                <w:rFonts w:hint="eastAsia" w:ascii="Times New Roman" w:hAnsi="Times New Roman" w:eastAsia="宋体" w:cs="Times New Roman"/>
                <w:highlight w:val="none"/>
              </w:rPr>
              <w:t>）项目生物安全事故影响分析及防范措施</w:t>
            </w:r>
          </w:p>
          <w:p w14:paraId="0380D27C">
            <w:pPr>
              <w:pStyle w:val="122"/>
              <w:keepNext w:val="0"/>
              <w:keepLines w:val="0"/>
              <w:suppressLineNumbers w:val="0"/>
              <w:spacing w:before="0" w:beforeAutospacing="0" w:after="0" w:afterAutospacing="0"/>
              <w:ind w:left="0" w:right="0"/>
              <w:rPr>
                <w:rFonts w:hint="default" w:ascii="Times New Roman" w:hAnsi="Times New Roman" w:eastAsia="宋体" w:cs="Times New Roman"/>
                <w:highlight w:val="none"/>
              </w:rPr>
            </w:pPr>
            <w:r>
              <w:rPr>
                <w:rFonts w:hint="eastAsia" w:ascii="Times New Roman" w:hAnsi="Times New Roman" w:eastAsia="宋体" w:cs="Times New Roman"/>
                <w:highlight w:val="none"/>
              </w:rPr>
              <w:t>①生物安全事故影响分析</w:t>
            </w:r>
          </w:p>
          <w:p w14:paraId="6A4C6E1B">
            <w:pPr>
              <w:pStyle w:val="122"/>
              <w:keepNext w:val="0"/>
              <w:keepLines w:val="0"/>
              <w:suppressLineNumbers w:val="0"/>
              <w:spacing w:before="0" w:beforeAutospacing="0" w:after="0" w:afterAutospacing="0"/>
              <w:ind w:left="0" w:right="0"/>
              <w:rPr>
                <w:rFonts w:hint="default" w:ascii="Times New Roman" w:hAnsi="Times New Roman" w:eastAsia="宋体" w:cs="Times New Roman"/>
                <w:highlight w:val="none"/>
              </w:rPr>
            </w:pPr>
            <w:r>
              <w:rPr>
                <w:rFonts w:hint="eastAsia" w:ascii="Times New Roman" w:hAnsi="Times New Roman" w:eastAsia="宋体" w:cs="Times New Roman"/>
                <w:highlight w:val="none"/>
              </w:rPr>
              <w:t>项目使用的菌种，危害性最高的为第三类危害等级病原微生物，属“能够引起人类或者动物疾病，但一般情况下对人、动物或者环境不构成严重危害，传播风险有限，实验室感染后很少引起严重疾病，并且具备有效治疗和预防措施的微生物”。虽然项目使用的菌种危害性不大，不会引起严重疾病且传播风险有限，但是使用或管理不当会对动物、人类健康以及社会生活造成一定威胁。</w:t>
            </w:r>
          </w:p>
          <w:p w14:paraId="72CCD61A">
            <w:pPr>
              <w:pStyle w:val="122"/>
              <w:keepNext w:val="0"/>
              <w:keepLines w:val="0"/>
              <w:suppressLineNumbers w:val="0"/>
              <w:spacing w:before="0" w:beforeAutospacing="0" w:after="0" w:afterAutospacing="0"/>
              <w:ind w:left="0" w:right="0"/>
              <w:rPr>
                <w:rFonts w:hint="default" w:ascii="Times New Roman" w:hAnsi="Times New Roman" w:eastAsia="宋体" w:cs="Times New Roman"/>
                <w:highlight w:val="none"/>
              </w:rPr>
            </w:pPr>
            <w:r>
              <w:rPr>
                <w:rFonts w:hint="eastAsia" w:ascii="Times New Roman" w:hAnsi="Times New Roman" w:eastAsia="宋体" w:cs="Times New Roman"/>
                <w:highlight w:val="none"/>
              </w:rPr>
              <w:t>②生物安全事故防范措施</w:t>
            </w:r>
          </w:p>
          <w:p w14:paraId="5045B308">
            <w:pPr>
              <w:pStyle w:val="122"/>
              <w:keepNext w:val="0"/>
              <w:keepLines w:val="0"/>
              <w:suppressLineNumbers w:val="0"/>
              <w:spacing w:before="0" w:beforeAutospacing="0" w:after="0" w:afterAutospacing="0"/>
              <w:ind w:left="0" w:right="0"/>
              <w:rPr>
                <w:rFonts w:hint="default" w:ascii="Times New Roman" w:hAnsi="Times New Roman" w:eastAsia="宋体" w:cs="Times New Roman"/>
                <w:highlight w:val="none"/>
              </w:rPr>
            </w:pPr>
            <w:r>
              <w:rPr>
                <w:rFonts w:hint="eastAsia" w:ascii="Times New Roman" w:hAnsi="Times New Roman" w:eastAsia="宋体" w:cs="Times New Roman"/>
                <w:highlight w:val="none"/>
              </w:rPr>
              <w:t>项目采用各种防范措施防止生物安全事故的发生，各个环节中须严格控制：</w:t>
            </w:r>
          </w:p>
          <w:p w14:paraId="3DE7F73B">
            <w:pPr>
              <w:pStyle w:val="122"/>
              <w:keepNext w:val="0"/>
              <w:keepLines w:val="0"/>
              <w:suppressLineNumbers w:val="0"/>
              <w:spacing w:before="0" w:beforeAutospacing="0" w:after="0" w:afterAutospacing="0"/>
              <w:ind w:left="0" w:right="0"/>
              <w:rPr>
                <w:rFonts w:hint="default" w:ascii="Times New Roman" w:hAnsi="Times New Roman" w:eastAsia="宋体" w:cs="Times New Roman"/>
                <w:highlight w:val="none"/>
              </w:rPr>
            </w:pPr>
            <w:r>
              <w:rPr>
                <w:rFonts w:hint="default" w:ascii="Times New Roman" w:hAnsi="Times New Roman" w:eastAsia="宋体" w:cs="Times New Roman"/>
                <w:highlight w:val="none"/>
              </w:rPr>
              <w:t>1</w:t>
            </w:r>
            <w:r>
              <w:rPr>
                <w:rFonts w:hint="eastAsia" w:ascii="Times New Roman" w:hAnsi="Times New Roman" w:eastAsia="宋体" w:cs="Times New Roman"/>
                <w:highlight w:val="none"/>
              </w:rPr>
              <w:t>）确保生物安全防护设施、设备、个人防护设备、材料等符合国家有关安全要求，定期检查、维护、更新，确保不降低其设计性能，保证生物安全设施正常运转。</w:t>
            </w:r>
          </w:p>
          <w:p w14:paraId="3B940785">
            <w:pPr>
              <w:pStyle w:val="122"/>
              <w:keepNext w:val="0"/>
              <w:keepLines w:val="0"/>
              <w:suppressLineNumbers w:val="0"/>
              <w:spacing w:before="0" w:beforeAutospacing="0" w:after="0" w:afterAutospacing="0"/>
              <w:ind w:left="0" w:right="0"/>
              <w:rPr>
                <w:rFonts w:hint="default" w:ascii="Times New Roman" w:hAnsi="Times New Roman" w:eastAsia="宋体" w:cs="Times New Roman"/>
                <w:highlight w:val="none"/>
              </w:rPr>
            </w:pPr>
            <w:r>
              <w:rPr>
                <w:rFonts w:hint="eastAsia" w:ascii="Times New Roman" w:hAnsi="Times New Roman" w:eastAsia="宋体" w:cs="Times New Roman"/>
                <w:highlight w:val="none"/>
              </w:rPr>
              <w:t>每年应对工作场所至少检查一次应急装备、警报体系和撤离程序功能及状态。</w:t>
            </w:r>
          </w:p>
          <w:p w14:paraId="096B3460">
            <w:pPr>
              <w:pStyle w:val="122"/>
              <w:keepNext w:val="0"/>
              <w:keepLines w:val="0"/>
              <w:suppressLineNumbers w:val="0"/>
              <w:spacing w:before="0" w:beforeAutospacing="0" w:after="0" w:afterAutospacing="0"/>
              <w:ind w:left="0" w:right="0"/>
              <w:rPr>
                <w:rFonts w:hint="default" w:ascii="Times New Roman" w:hAnsi="Times New Roman" w:eastAsia="宋体" w:cs="Times New Roman"/>
                <w:highlight w:val="none"/>
              </w:rPr>
            </w:pPr>
            <w:r>
              <w:rPr>
                <w:rFonts w:hint="default" w:ascii="Times New Roman" w:hAnsi="Times New Roman" w:eastAsia="宋体" w:cs="Times New Roman"/>
                <w:highlight w:val="none"/>
              </w:rPr>
              <w:t>2</w:t>
            </w:r>
            <w:r>
              <w:rPr>
                <w:rFonts w:hint="eastAsia" w:ascii="Times New Roman" w:hAnsi="Times New Roman" w:eastAsia="宋体" w:cs="Times New Roman"/>
                <w:highlight w:val="none"/>
              </w:rPr>
              <w:t>）相关物品及文件记录需要传出时，应装入塑料袋密封，再经高压消毒后方能带出，尽量使用电子记录。</w:t>
            </w:r>
          </w:p>
          <w:p w14:paraId="248DEA9F">
            <w:pPr>
              <w:pStyle w:val="122"/>
              <w:keepNext w:val="0"/>
              <w:keepLines w:val="0"/>
              <w:suppressLineNumbers w:val="0"/>
              <w:spacing w:before="0" w:beforeAutospacing="0" w:after="0" w:afterAutospacing="0"/>
              <w:ind w:left="0" w:right="0"/>
              <w:rPr>
                <w:rFonts w:hint="default" w:ascii="Times New Roman" w:hAnsi="Times New Roman" w:eastAsia="宋体" w:cs="Times New Roman"/>
                <w:highlight w:val="none"/>
              </w:rPr>
            </w:pPr>
            <w:r>
              <w:rPr>
                <w:rFonts w:hint="default" w:ascii="Times New Roman" w:hAnsi="Times New Roman" w:eastAsia="宋体" w:cs="Times New Roman"/>
                <w:highlight w:val="none"/>
              </w:rPr>
              <w:t>3</w:t>
            </w:r>
            <w:r>
              <w:rPr>
                <w:rFonts w:hint="eastAsia" w:ascii="Times New Roman" w:hAnsi="Times New Roman" w:eastAsia="宋体" w:cs="Times New Roman"/>
                <w:highlight w:val="none"/>
              </w:rPr>
              <w:t>）入口应明确标示出操作所接触的病原体的名称、危害等级、预防措施负责人姓名、紧急联络方式等，同时应标示出国际通用生物危险符号。</w:t>
            </w:r>
          </w:p>
          <w:p w14:paraId="1487DC1A">
            <w:pPr>
              <w:pStyle w:val="122"/>
              <w:keepNext w:val="0"/>
              <w:keepLines w:val="0"/>
              <w:suppressLineNumbers w:val="0"/>
              <w:spacing w:before="0" w:beforeAutospacing="0" w:after="0" w:afterAutospacing="0"/>
              <w:ind w:left="0" w:right="0"/>
              <w:rPr>
                <w:rFonts w:hint="default" w:ascii="Times New Roman" w:hAnsi="Times New Roman" w:eastAsia="宋体" w:cs="Times New Roman"/>
                <w:highlight w:val="none"/>
              </w:rPr>
            </w:pPr>
            <w:r>
              <w:rPr>
                <w:rFonts w:hint="default" w:ascii="Times New Roman" w:hAnsi="Times New Roman" w:eastAsia="宋体" w:cs="Times New Roman"/>
                <w:highlight w:val="none"/>
              </w:rPr>
              <w:t>4</w:t>
            </w:r>
            <w:r>
              <w:rPr>
                <w:rFonts w:hint="eastAsia" w:ascii="Times New Roman" w:hAnsi="Times New Roman" w:eastAsia="宋体" w:cs="Times New Roman"/>
                <w:highlight w:val="none"/>
              </w:rPr>
              <w:t>）发生火灾时，采取特制灭火剂进行灭火。同时，设有消防、事故水收集池，避免火灾、事故造成菌种泄漏。</w:t>
            </w:r>
          </w:p>
          <w:p w14:paraId="7A9DAD29">
            <w:pPr>
              <w:pStyle w:val="122"/>
              <w:keepNext w:val="0"/>
              <w:keepLines w:val="0"/>
              <w:suppressLineNumbers w:val="0"/>
              <w:spacing w:before="0" w:beforeAutospacing="0" w:after="0" w:afterAutospacing="0"/>
              <w:ind w:left="0" w:right="0"/>
              <w:rPr>
                <w:rFonts w:hint="default" w:ascii="Times New Roman" w:hAnsi="Times New Roman" w:eastAsia="宋体" w:cs="Times New Roman"/>
                <w:highlight w:val="none"/>
              </w:rPr>
            </w:pPr>
            <w:r>
              <w:rPr>
                <w:rFonts w:hint="default" w:ascii="Times New Roman" w:hAnsi="Times New Roman" w:eastAsia="宋体" w:cs="Times New Roman"/>
                <w:highlight w:val="none"/>
              </w:rPr>
              <w:t>5</w:t>
            </w:r>
            <w:r>
              <w:rPr>
                <w:rFonts w:hint="eastAsia" w:ascii="Times New Roman" w:hAnsi="Times New Roman" w:eastAsia="宋体" w:cs="Times New Roman"/>
                <w:highlight w:val="none"/>
              </w:rPr>
              <w:t>）设置备用电源。</w:t>
            </w:r>
          </w:p>
          <w:p w14:paraId="6C0723F3">
            <w:pPr>
              <w:pStyle w:val="122"/>
              <w:keepNext w:val="0"/>
              <w:keepLines w:val="0"/>
              <w:suppressLineNumbers w:val="0"/>
              <w:spacing w:before="0" w:beforeAutospacing="0" w:after="0" w:afterAutospacing="0"/>
              <w:ind w:left="0" w:right="0"/>
              <w:rPr>
                <w:rFonts w:hint="default" w:ascii="Times New Roman" w:hAnsi="Times New Roman" w:eastAsia="宋体" w:cs="Times New Roman"/>
                <w:highlight w:val="none"/>
              </w:rPr>
            </w:pPr>
            <w:r>
              <w:rPr>
                <w:rFonts w:hint="eastAsia" w:ascii="Times New Roman" w:hAnsi="Times New Roman" w:eastAsia="宋体" w:cs="Times New Roman"/>
                <w:highlight w:val="none"/>
              </w:rPr>
              <w:t>项目采取严格的生物安全防范措施，并将各种措施落实到各项管理制度中，形成制度化，严禁生物安全事故发生，可以大大降低生物安全事故环境影响。</w:t>
            </w:r>
          </w:p>
          <w:p w14:paraId="6FD3225C">
            <w:pPr>
              <w:pStyle w:val="122"/>
              <w:keepNext w:val="0"/>
              <w:keepLines w:val="0"/>
              <w:suppressLineNumbers w:val="0"/>
              <w:spacing w:before="0" w:beforeAutospacing="0" w:after="0" w:afterAutospacing="0"/>
              <w:ind w:left="0" w:right="0"/>
              <w:rPr>
                <w:rFonts w:hint="default" w:ascii="Times New Roman" w:hAnsi="Times New Roman" w:eastAsia="宋体" w:cs="Times New Roman"/>
                <w:highlight w:val="none"/>
              </w:rPr>
            </w:pPr>
            <w:r>
              <w:rPr>
                <w:rFonts w:hint="eastAsia" w:ascii="Times New Roman" w:hAnsi="Times New Roman" w:eastAsia="宋体" w:cs="Times New Roman"/>
                <w:highlight w:val="none"/>
              </w:rPr>
              <w:t>（</w:t>
            </w:r>
            <w:r>
              <w:rPr>
                <w:rFonts w:hint="default" w:ascii="Times New Roman" w:hAnsi="Times New Roman" w:eastAsia="宋体" w:cs="Times New Roman"/>
                <w:highlight w:val="none"/>
              </w:rPr>
              <w:t>6</w:t>
            </w:r>
            <w:r>
              <w:rPr>
                <w:rFonts w:hint="eastAsia" w:ascii="Times New Roman" w:hAnsi="Times New Roman" w:eastAsia="宋体" w:cs="Times New Roman"/>
                <w:highlight w:val="none"/>
              </w:rPr>
              <w:t>）项目生物安全分析结论</w:t>
            </w:r>
          </w:p>
          <w:p w14:paraId="2392E7D5">
            <w:pPr>
              <w:pStyle w:val="122"/>
              <w:keepNext w:val="0"/>
              <w:keepLines w:val="0"/>
              <w:suppressLineNumbers w:val="0"/>
              <w:spacing w:before="0" w:beforeAutospacing="0" w:after="0" w:afterAutospacing="0"/>
              <w:ind w:left="0" w:right="0"/>
              <w:rPr>
                <w:rFonts w:hint="default" w:ascii="Times New Roman" w:hAnsi="Times New Roman" w:eastAsia="宋体" w:cs="Times New Roman"/>
                <w:highlight w:val="none"/>
              </w:rPr>
            </w:pPr>
            <w:r>
              <w:rPr>
                <w:rFonts w:hint="eastAsia" w:ascii="Times New Roman" w:hAnsi="Times New Roman" w:eastAsia="宋体" w:cs="Times New Roman"/>
                <w:highlight w:val="none"/>
              </w:rPr>
              <w:t>项目动物实验中会根据课题研究需求使用部分第三</w:t>
            </w:r>
            <w:r>
              <w:rPr>
                <w:rFonts w:hint="default" w:ascii="Times New Roman" w:hAnsi="Times New Roman" w:eastAsia="宋体" w:cs="Times New Roman"/>
                <w:highlight w:val="none"/>
              </w:rPr>
              <w:t>类</w:t>
            </w:r>
            <w:r>
              <w:rPr>
                <w:rFonts w:hint="eastAsia" w:ascii="Times New Roman" w:hAnsi="Times New Roman" w:eastAsia="宋体" w:cs="Times New Roman"/>
                <w:highlight w:val="none"/>
              </w:rPr>
              <w:t>动物病原微生物，生物安全等级为</w:t>
            </w:r>
            <w:r>
              <w:rPr>
                <w:rFonts w:hint="default" w:ascii="Times New Roman" w:hAnsi="Times New Roman" w:eastAsia="宋体" w:cs="Times New Roman"/>
                <w:highlight w:val="none"/>
              </w:rPr>
              <w:t>ABSL-2</w:t>
            </w:r>
            <w:r>
              <w:rPr>
                <w:rFonts w:hint="eastAsia" w:ascii="Times New Roman" w:hAnsi="Times New Roman" w:eastAsia="宋体" w:cs="Times New Roman"/>
                <w:highlight w:val="none"/>
              </w:rPr>
              <w:t>。</w:t>
            </w:r>
          </w:p>
          <w:p w14:paraId="10194DAE">
            <w:pPr>
              <w:pStyle w:val="122"/>
              <w:keepNext w:val="0"/>
              <w:keepLines w:val="0"/>
              <w:suppressLineNumbers w:val="0"/>
              <w:spacing w:before="0" w:beforeAutospacing="0" w:after="0" w:afterAutospacing="0"/>
              <w:ind w:left="0" w:right="0"/>
              <w:rPr>
                <w:rFonts w:hint="default" w:ascii="Times New Roman" w:hAnsi="Times New Roman" w:eastAsia="宋体" w:cs="Times New Roman"/>
                <w:highlight w:val="none"/>
              </w:rPr>
            </w:pPr>
            <w:r>
              <w:rPr>
                <w:rFonts w:hint="eastAsia" w:ascii="Times New Roman" w:hAnsi="Times New Roman" w:eastAsia="宋体" w:cs="Times New Roman"/>
                <w:highlight w:val="none"/>
              </w:rPr>
              <w:t>通过加强管理和事故防范，采取相应安全防护措施，对可能有潜在生物危害的废水进行严格灭菌、废气经高效过滤器过滤除菌后排放、固废先在灭活后委托有资质单位最终处置。</w:t>
            </w:r>
          </w:p>
          <w:p w14:paraId="1E0995B9">
            <w:pPr>
              <w:pStyle w:val="122"/>
              <w:keepNext w:val="0"/>
              <w:keepLines w:val="0"/>
              <w:suppressLineNumbers w:val="0"/>
              <w:spacing w:before="0" w:beforeAutospacing="0" w:after="0" w:afterAutospacing="0"/>
              <w:ind w:left="0" w:right="0"/>
              <w:rPr>
                <w:rFonts w:hint="default" w:ascii="Times New Roman" w:hAnsi="Times New Roman" w:eastAsia="宋体" w:cs="Times New Roman"/>
                <w:highlight w:val="none"/>
              </w:rPr>
            </w:pPr>
            <w:r>
              <w:rPr>
                <w:rFonts w:hint="eastAsia" w:ascii="Times New Roman" w:hAnsi="Times New Roman" w:eastAsia="宋体" w:cs="Times New Roman"/>
                <w:highlight w:val="none"/>
              </w:rPr>
              <w:t>项目设计建造、防护设施配置、排污控制、管理及防范措施均符合国家有关要求，</w:t>
            </w:r>
            <w:r>
              <w:rPr>
                <w:rFonts w:hint="default" w:ascii="Times New Roman" w:hAnsi="Times New Roman" w:eastAsia="宋体" w:cs="Times New Roman"/>
                <w:highlight w:val="none"/>
              </w:rPr>
              <w:t>ABSL-2</w:t>
            </w:r>
            <w:r>
              <w:rPr>
                <w:rFonts w:hint="eastAsia" w:ascii="Times New Roman" w:hAnsi="Times New Roman" w:eastAsia="宋体" w:cs="Times New Roman"/>
                <w:highlight w:val="none"/>
              </w:rPr>
              <w:t>实验室已达到</w:t>
            </w:r>
            <w:r>
              <w:rPr>
                <w:rFonts w:hint="default" w:ascii="Times New Roman" w:hAnsi="Times New Roman" w:eastAsia="宋体" w:cs="Times New Roman"/>
                <w:highlight w:val="none"/>
              </w:rPr>
              <w:t>Ⅱ</w:t>
            </w:r>
            <w:r>
              <w:rPr>
                <w:rFonts w:hint="eastAsia" w:ascii="Times New Roman" w:hAnsi="Times New Roman" w:eastAsia="宋体" w:cs="Times New Roman"/>
                <w:highlight w:val="none"/>
              </w:rPr>
              <w:t>级生物安全防护水平，项目建设符合生物安全要求。</w:t>
            </w:r>
          </w:p>
          <w:p w14:paraId="60E9D2DF">
            <w:pPr>
              <w:keepNext w:val="0"/>
              <w:keepLines w:val="0"/>
              <w:suppressLineNumbers w:val="0"/>
              <w:adjustRightInd w:val="0"/>
              <w:snapToGrid w:val="0"/>
              <w:spacing w:before="0" w:beforeAutospacing="0" w:after="0" w:afterAutospacing="0" w:line="360" w:lineRule="auto"/>
              <w:ind w:left="0" w:right="0"/>
              <w:rPr>
                <w:rFonts w:hint="default" w:ascii="Times New Roman" w:hAnsi="Times New Roman" w:eastAsia="宋体" w:cs="Times New Roman"/>
                <w:b/>
                <w:bCs/>
                <w:spacing w:val="-10"/>
                <w:highlight w:val="none"/>
              </w:rPr>
            </w:pPr>
            <w:r>
              <w:rPr>
                <w:rFonts w:hint="eastAsia" w:ascii="Times New Roman" w:hAnsi="Times New Roman" w:eastAsia="宋体" w:cs="Times New Roman"/>
                <w:b/>
                <w:bCs/>
                <w:spacing w:val="-10"/>
                <w:highlight w:val="none"/>
                <w:lang w:val="en-US" w:eastAsia="zh-CN"/>
              </w:rPr>
              <w:t>9</w:t>
            </w:r>
            <w:r>
              <w:rPr>
                <w:rFonts w:hint="eastAsia" w:ascii="Times New Roman" w:hAnsi="Times New Roman" w:eastAsia="宋体" w:cs="Times New Roman"/>
                <w:b/>
                <w:bCs/>
                <w:spacing w:val="-10"/>
                <w:highlight w:val="none"/>
              </w:rPr>
              <w:t>、</w:t>
            </w:r>
            <w:r>
              <w:rPr>
                <w:rFonts w:hint="eastAsia" w:ascii="Times New Roman" w:hAnsi="Times New Roman" w:eastAsia="宋体" w:cs="Times New Roman"/>
                <w:b/>
                <w:bCs/>
                <w:color w:val="000000"/>
                <w:highlight w:val="none"/>
              </w:rPr>
              <w:t>电磁辐射</w:t>
            </w:r>
          </w:p>
          <w:p w14:paraId="0B123C92">
            <w:pPr>
              <w:keepNext w:val="0"/>
              <w:keepLines w:val="0"/>
              <w:suppressLineNumbers w:val="0"/>
              <w:adjustRightInd w:val="0"/>
              <w:snapToGrid w:val="0"/>
              <w:spacing w:before="0" w:beforeAutospacing="0" w:after="0" w:afterAutospacing="0" w:line="343" w:lineRule="auto"/>
              <w:ind w:left="0" w:right="0" w:firstLine="480" w:firstLineChars="200"/>
              <w:rPr>
                <w:rFonts w:hint="default" w:ascii="Times New Roman" w:hAnsi="Times New Roman" w:eastAsia="宋体" w:cs="Times New Roman"/>
                <w:snapToGrid w:val="0"/>
                <w:kern w:val="0"/>
                <w:highlight w:val="none"/>
              </w:rPr>
            </w:pPr>
            <w:r>
              <w:rPr>
                <w:rFonts w:hint="eastAsia" w:ascii="Times New Roman" w:hAnsi="Times New Roman" w:eastAsia="宋体" w:cs="Times New Roman"/>
                <w:snapToGrid w:val="0"/>
                <w:kern w:val="0"/>
                <w:highlight w:val="none"/>
              </w:rPr>
              <w:t>本项目不涉及电磁辐射。</w:t>
            </w:r>
          </w:p>
          <w:p w14:paraId="35EECE68">
            <w:pPr>
              <w:keepNext w:val="0"/>
              <w:keepLines w:val="0"/>
              <w:suppressLineNumbers w:val="0"/>
              <w:adjustRightInd w:val="0"/>
              <w:snapToGrid w:val="0"/>
              <w:spacing w:before="0" w:beforeAutospacing="0" w:after="0" w:afterAutospacing="0" w:line="360" w:lineRule="auto"/>
              <w:ind w:left="0" w:right="0"/>
              <w:rPr>
                <w:rFonts w:hint="default" w:ascii="Times New Roman" w:hAnsi="Times New Roman" w:eastAsia="宋体" w:cs="Times New Roman"/>
                <w:b/>
                <w:bCs/>
                <w:color w:val="000000"/>
                <w:highlight w:val="none"/>
              </w:rPr>
            </w:pPr>
            <w:r>
              <w:rPr>
                <w:rFonts w:hint="eastAsia" w:ascii="Times New Roman" w:hAnsi="Times New Roman" w:eastAsia="宋体" w:cs="Times New Roman"/>
                <w:b/>
                <w:bCs/>
                <w:color w:val="000000"/>
                <w:highlight w:val="none"/>
                <w:lang w:val="en-US" w:eastAsia="zh-CN"/>
              </w:rPr>
              <w:t>10</w:t>
            </w:r>
            <w:r>
              <w:rPr>
                <w:rFonts w:hint="default" w:ascii="Times New Roman" w:hAnsi="Times New Roman" w:eastAsia="宋体" w:cs="Times New Roman"/>
                <w:b/>
                <w:bCs/>
                <w:color w:val="000000"/>
                <w:highlight w:val="none"/>
              </w:rPr>
              <w:t>、</w:t>
            </w:r>
            <w:r>
              <w:rPr>
                <w:rFonts w:hint="eastAsia" w:ascii="Times New Roman" w:hAnsi="Times New Roman" w:eastAsia="宋体" w:cs="Times New Roman"/>
                <w:b/>
                <w:bCs/>
                <w:color w:val="000000"/>
                <w:highlight w:val="none"/>
              </w:rPr>
              <w:t>环保设备投资估算</w:t>
            </w:r>
          </w:p>
          <w:p w14:paraId="5AE7A90F">
            <w:pPr>
              <w:keepNext w:val="0"/>
              <w:keepLines w:val="0"/>
              <w:suppressLineNumbers w:val="0"/>
              <w:adjustRightInd w:val="0"/>
              <w:snapToGrid w:val="0"/>
              <w:spacing w:before="0" w:beforeAutospacing="0" w:after="0" w:afterAutospacing="0" w:line="360" w:lineRule="auto"/>
              <w:ind w:left="0" w:right="0" w:firstLine="480" w:firstLineChars="200"/>
              <w:rPr>
                <w:rFonts w:hint="default" w:ascii="Times New Roman" w:hAnsi="Times New Roman" w:eastAsia="宋体" w:cs="Times New Roman"/>
                <w:color w:val="000000"/>
                <w:highlight w:val="none"/>
              </w:rPr>
            </w:pPr>
            <w:r>
              <w:rPr>
                <w:rFonts w:hint="eastAsia" w:ascii="Times New Roman" w:hAnsi="Times New Roman" w:eastAsia="宋体" w:cs="Times New Roman"/>
                <w:color w:val="000000"/>
                <w:highlight w:val="none"/>
              </w:rPr>
              <w:t>项目</w:t>
            </w:r>
            <w:r>
              <w:rPr>
                <w:rFonts w:hint="default" w:ascii="Times New Roman" w:hAnsi="Times New Roman" w:eastAsia="宋体" w:cs="Times New Roman"/>
                <w:color w:val="000000"/>
                <w:highlight w:val="none"/>
              </w:rPr>
              <w:t>环保设施包括</w:t>
            </w:r>
            <w:r>
              <w:rPr>
                <w:rFonts w:hint="eastAsia" w:ascii="Times New Roman" w:hAnsi="Times New Roman" w:eastAsia="宋体" w:cs="Times New Roman"/>
                <w:color w:val="000000"/>
                <w:highlight w:val="none"/>
              </w:rPr>
              <w:t>废气收集</w:t>
            </w:r>
            <w:r>
              <w:rPr>
                <w:rFonts w:hint="eastAsia" w:cs="Times New Roman"/>
                <w:color w:val="000000"/>
                <w:highlight w:val="none"/>
                <w:lang w:val="en-US" w:eastAsia="zh-CN"/>
              </w:rPr>
              <w:t>净化</w:t>
            </w:r>
            <w:r>
              <w:rPr>
                <w:rFonts w:hint="eastAsia" w:ascii="Times New Roman" w:hAnsi="Times New Roman" w:eastAsia="宋体" w:cs="Times New Roman"/>
                <w:color w:val="000000"/>
                <w:highlight w:val="none"/>
              </w:rPr>
              <w:t>、</w:t>
            </w:r>
            <w:r>
              <w:rPr>
                <w:rFonts w:hint="eastAsia" w:cs="Times New Roman"/>
                <w:color w:val="000000"/>
                <w:highlight w:val="none"/>
                <w:lang w:val="en-US" w:eastAsia="zh-CN"/>
              </w:rPr>
              <w:t>废水收集处理、</w:t>
            </w:r>
            <w:r>
              <w:rPr>
                <w:rFonts w:hint="default" w:ascii="Times New Roman" w:hAnsi="Times New Roman" w:eastAsia="宋体" w:cs="Times New Roman"/>
                <w:color w:val="000000"/>
                <w:highlight w:val="none"/>
              </w:rPr>
              <w:t>噪声治理</w:t>
            </w:r>
            <w:r>
              <w:rPr>
                <w:rFonts w:hint="eastAsia" w:ascii="Times New Roman" w:hAnsi="Times New Roman" w:eastAsia="宋体" w:cs="Times New Roman"/>
                <w:color w:val="000000"/>
                <w:highlight w:val="none"/>
              </w:rPr>
              <w:t>及</w:t>
            </w:r>
            <w:r>
              <w:rPr>
                <w:rFonts w:hint="default" w:ascii="Times New Roman" w:hAnsi="Times New Roman" w:eastAsia="宋体" w:cs="Times New Roman"/>
                <w:color w:val="000000"/>
                <w:highlight w:val="none"/>
              </w:rPr>
              <w:t>固体废物收集、储存等，其一次性投资费用见表</w:t>
            </w:r>
            <w:r>
              <w:rPr>
                <w:rFonts w:hint="eastAsia" w:ascii="Times New Roman" w:hAnsi="Times New Roman" w:eastAsia="宋体" w:cs="Times New Roman"/>
                <w:color w:val="000000"/>
                <w:highlight w:val="none"/>
              </w:rPr>
              <w:t>4-2</w:t>
            </w:r>
            <w:r>
              <w:rPr>
                <w:rFonts w:hint="eastAsia" w:cs="Times New Roman"/>
                <w:color w:val="000000"/>
                <w:highlight w:val="none"/>
                <w:lang w:val="en-US" w:eastAsia="zh-CN"/>
              </w:rPr>
              <w:t>1</w:t>
            </w:r>
            <w:r>
              <w:rPr>
                <w:rFonts w:hint="default" w:ascii="Times New Roman" w:hAnsi="Times New Roman" w:eastAsia="宋体" w:cs="Times New Roman"/>
                <w:color w:val="000000"/>
                <w:highlight w:val="none"/>
              </w:rPr>
              <w:t>。</w:t>
            </w:r>
          </w:p>
          <w:p w14:paraId="458F5312">
            <w:pPr>
              <w:keepNext w:val="0"/>
              <w:keepLines w:val="0"/>
              <w:suppressLineNumbers w:val="0"/>
              <w:adjustRightInd w:val="0"/>
              <w:snapToGrid w:val="0"/>
              <w:spacing w:before="0" w:beforeAutospacing="0" w:after="0" w:afterAutospacing="0" w:line="360" w:lineRule="auto"/>
              <w:ind w:left="0" w:right="0"/>
              <w:jc w:val="center"/>
              <w:textAlignment w:val="baseline"/>
              <w:rPr>
                <w:rFonts w:hint="eastAsia" w:ascii="Times New Roman" w:hAnsi="Times New Roman" w:eastAsia="宋体" w:cs="Times New Roman"/>
                <w:b/>
                <w:sz w:val="24"/>
                <w:szCs w:val="24"/>
                <w:highlight w:val="none"/>
              </w:rPr>
            </w:pPr>
          </w:p>
          <w:p w14:paraId="28DC2EF3">
            <w:pPr>
              <w:keepNext w:val="0"/>
              <w:keepLines w:val="0"/>
              <w:suppressLineNumbers w:val="0"/>
              <w:adjustRightInd w:val="0"/>
              <w:snapToGrid w:val="0"/>
              <w:spacing w:before="0" w:beforeAutospacing="0" w:after="0" w:afterAutospacing="0" w:line="360" w:lineRule="auto"/>
              <w:ind w:left="0" w:right="0"/>
              <w:jc w:val="center"/>
              <w:textAlignment w:val="baseline"/>
              <w:rPr>
                <w:rFonts w:hint="default" w:ascii="Times New Roman" w:hAnsi="Times New Roman" w:eastAsia="宋体" w:cs="Times New Roman"/>
                <w:b/>
                <w:sz w:val="24"/>
                <w:szCs w:val="24"/>
                <w:highlight w:val="none"/>
              </w:rPr>
            </w:pPr>
            <w:r>
              <w:rPr>
                <w:rFonts w:hint="eastAsia" w:ascii="Times New Roman" w:hAnsi="Times New Roman" w:eastAsia="宋体" w:cs="Times New Roman"/>
                <w:b/>
                <w:sz w:val="24"/>
                <w:szCs w:val="24"/>
                <w:highlight w:val="none"/>
              </w:rPr>
              <w:t>表4-2</w:t>
            </w:r>
            <w:r>
              <w:rPr>
                <w:rFonts w:hint="eastAsia" w:cs="Times New Roman"/>
                <w:b/>
                <w:sz w:val="24"/>
                <w:szCs w:val="24"/>
                <w:highlight w:val="none"/>
                <w:lang w:val="en-US" w:eastAsia="zh-CN"/>
              </w:rPr>
              <w:t>1</w:t>
            </w:r>
            <w:r>
              <w:rPr>
                <w:rFonts w:hint="eastAsia" w:ascii="Times New Roman" w:hAnsi="Times New Roman" w:eastAsia="宋体" w:cs="Times New Roman"/>
                <w:b/>
                <w:sz w:val="24"/>
                <w:szCs w:val="24"/>
                <w:highlight w:val="none"/>
              </w:rPr>
              <w:t xml:space="preserve"> 环保投资费用估算表</w:t>
            </w:r>
          </w:p>
          <w:tbl>
            <w:tblPr>
              <w:tblStyle w:val="32"/>
              <w:tblW w:w="4998"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320"/>
              <w:gridCol w:w="5474"/>
              <w:gridCol w:w="1475"/>
            </w:tblGrid>
            <w:tr w14:paraId="7F755B7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98" w:type="pct"/>
                  <w:vAlign w:val="center"/>
                </w:tcPr>
                <w:p w14:paraId="7FB2C4DC">
                  <w:pPr>
                    <w:keepNext w:val="0"/>
                    <w:keepLines w:val="0"/>
                    <w:suppressLineNumbers w:val="0"/>
                    <w:adjustRightInd w:val="0"/>
                    <w:snapToGrid w:val="0"/>
                    <w:spacing w:before="0" w:beforeAutospacing="0" w:after="0" w:afterAutospacing="0" w:line="360" w:lineRule="auto"/>
                    <w:ind w:left="0" w:right="0"/>
                    <w:jc w:val="center"/>
                    <w:rPr>
                      <w:rFonts w:hint="default" w:ascii="Times New Roman" w:hAnsi="Times New Roman" w:eastAsia="宋体" w:cs="Times New Roman"/>
                      <w:color w:val="000000"/>
                      <w:sz w:val="21"/>
                      <w:szCs w:val="21"/>
                      <w:highlight w:val="none"/>
                    </w:rPr>
                  </w:pPr>
                  <w:r>
                    <w:rPr>
                      <w:rFonts w:hint="default" w:ascii="Times New Roman" w:hAnsi="Times New Roman" w:eastAsia="宋体" w:cs="Times New Roman"/>
                      <w:color w:val="000000"/>
                      <w:sz w:val="21"/>
                      <w:szCs w:val="21"/>
                      <w:highlight w:val="none"/>
                    </w:rPr>
                    <w:t>类别</w:t>
                  </w:r>
                </w:p>
              </w:tc>
              <w:tc>
                <w:tcPr>
                  <w:tcW w:w="3309" w:type="pct"/>
                  <w:vAlign w:val="center"/>
                </w:tcPr>
                <w:p w14:paraId="5AFA7A02">
                  <w:pPr>
                    <w:keepNext w:val="0"/>
                    <w:keepLines w:val="0"/>
                    <w:suppressLineNumbers w:val="0"/>
                    <w:adjustRightInd w:val="0"/>
                    <w:snapToGrid w:val="0"/>
                    <w:spacing w:before="0" w:beforeAutospacing="0" w:after="0" w:afterAutospacing="0" w:line="360" w:lineRule="auto"/>
                    <w:ind w:left="0" w:right="0"/>
                    <w:jc w:val="center"/>
                    <w:rPr>
                      <w:rFonts w:hint="default" w:ascii="Times New Roman" w:hAnsi="Times New Roman" w:eastAsia="宋体" w:cs="Times New Roman"/>
                      <w:color w:val="000000"/>
                      <w:sz w:val="21"/>
                      <w:szCs w:val="21"/>
                      <w:highlight w:val="none"/>
                    </w:rPr>
                  </w:pPr>
                  <w:r>
                    <w:rPr>
                      <w:rFonts w:hint="default" w:ascii="Times New Roman" w:hAnsi="Times New Roman" w:eastAsia="宋体" w:cs="Times New Roman"/>
                      <w:color w:val="000000"/>
                      <w:sz w:val="21"/>
                      <w:szCs w:val="21"/>
                      <w:highlight w:val="none"/>
                    </w:rPr>
                    <w:t>措施内容</w:t>
                  </w:r>
                </w:p>
              </w:tc>
              <w:tc>
                <w:tcPr>
                  <w:tcW w:w="891" w:type="pct"/>
                  <w:vAlign w:val="center"/>
                </w:tcPr>
                <w:p w14:paraId="3715C7F2">
                  <w:pPr>
                    <w:keepNext w:val="0"/>
                    <w:keepLines w:val="0"/>
                    <w:suppressLineNumbers w:val="0"/>
                    <w:adjustRightInd w:val="0"/>
                    <w:snapToGrid w:val="0"/>
                    <w:spacing w:before="0" w:beforeAutospacing="0" w:after="0" w:afterAutospacing="0" w:line="360" w:lineRule="auto"/>
                    <w:ind w:left="0" w:right="0"/>
                    <w:jc w:val="center"/>
                    <w:rPr>
                      <w:rFonts w:hint="default" w:ascii="Times New Roman" w:hAnsi="Times New Roman" w:eastAsia="宋体" w:cs="Times New Roman"/>
                      <w:color w:val="000000"/>
                      <w:sz w:val="21"/>
                      <w:szCs w:val="21"/>
                      <w:highlight w:val="none"/>
                    </w:rPr>
                  </w:pPr>
                  <w:r>
                    <w:rPr>
                      <w:rFonts w:hint="default" w:ascii="Times New Roman" w:hAnsi="Times New Roman" w:eastAsia="宋体" w:cs="Times New Roman"/>
                      <w:color w:val="000000"/>
                      <w:sz w:val="21"/>
                      <w:szCs w:val="21"/>
                      <w:highlight w:val="none"/>
                    </w:rPr>
                    <w:t>投资（万元）</w:t>
                  </w:r>
                </w:p>
              </w:tc>
            </w:tr>
            <w:tr w14:paraId="00CCD40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6" w:hRule="atLeast"/>
                <w:jc w:val="center"/>
              </w:trPr>
              <w:tc>
                <w:tcPr>
                  <w:tcW w:w="798" w:type="pct"/>
                  <w:vMerge w:val="restart"/>
                  <w:vAlign w:val="center"/>
                </w:tcPr>
                <w:p w14:paraId="15740907">
                  <w:pPr>
                    <w:pStyle w:val="73"/>
                    <w:keepNext w:val="0"/>
                    <w:keepLines w:val="0"/>
                    <w:widowControl w:val="0"/>
                    <w:suppressLineNumbers w:val="0"/>
                    <w:pBdr>
                      <w:left w:val="none" w:color="auto" w:sz="0" w:space="0"/>
                      <w:bottom w:val="none" w:color="auto" w:sz="0" w:space="0"/>
                      <w:right w:val="none" w:color="auto" w:sz="0" w:space="0"/>
                    </w:pBdr>
                    <w:adjustRightInd w:val="0"/>
                    <w:snapToGrid w:val="0"/>
                    <w:spacing w:before="0" w:beforeAutospacing="0" w:after="0" w:afterAutospacing="0"/>
                    <w:ind w:left="0" w:right="0"/>
                    <w:rPr>
                      <w:rFonts w:hint="default" w:ascii="Times New Roman" w:hAnsi="Times New Roman" w:eastAsia="宋体" w:cs="Times New Roman"/>
                      <w:color w:val="000000"/>
                      <w:kern w:val="2"/>
                      <w:sz w:val="21"/>
                      <w:szCs w:val="21"/>
                      <w:highlight w:val="none"/>
                    </w:rPr>
                  </w:pPr>
                  <w:bookmarkStart w:id="22" w:name="OLE_LINK4" w:colFirst="1" w:colLast="1"/>
                  <w:bookmarkStart w:id="23" w:name="_Hlk279310246"/>
                  <w:r>
                    <w:rPr>
                      <w:rFonts w:hint="eastAsia" w:ascii="Times New Roman" w:hAnsi="Times New Roman" w:eastAsia="宋体" w:cs="Times New Roman"/>
                      <w:color w:val="000000"/>
                      <w:kern w:val="2"/>
                      <w:sz w:val="21"/>
                      <w:szCs w:val="21"/>
                      <w:highlight w:val="none"/>
                    </w:rPr>
                    <w:t>废气</w:t>
                  </w:r>
                </w:p>
              </w:tc>
              <w:tc>
                <w:tcPr>
                  <w:tcW w:w="3309" w:type="pct"/>
                  <w:vAlign w:val="center"/>
                </w:tcPr>
                <w:p w14:paraId="106410A3">
                  <w:pPr>
                    <w:pStyle w:val="7"/>
                    <w:keepNext w:val="0"/>
                    <w:keepLines w:val="0"/>
                    <w:suppressLineNumbers w:val="0"/>
                    <w:adjustRightInd w:val="0"/>
                    <w:snapToGrid w:val="0"/>
                    <w:spacing w:before="0" w:beforeAutospacing="0" w:after="0" w:afterAutospacing="0" w:line="360" w:lineRule="auto"/>
                    <w:ind w:left="0" w:right="0" w:firstLine="0" w:firstLineChars="0"/>
                    <w:rPr>
                      <w:rFonts w:hint="default" w:ascii="Times New Roman" w:hAnsi="Times New Roman" w:eastAsia="宋体" w:cs="Times New Roman"/>
                      <w:color w:val="000000"/>
                      <w:sz w:val="21"/>
                      <w:szCs w:val="21"/>
                      <w:highlight w:val="none"/>
                      <w:lang w:val="en-US" w:eastAsia="zh-CN"/>
                    </w:rPr>
                  </w:pPr>
                  <w:r>
                    <w:rPr>
                      <w:rFonts w:hint="eastAsia" w:cs="Times New Roman"/>
                      <w:color w:val="000000"/>
                      <w:sz w:val="21"/>
                      <w:szCs w:val="21"/>
                      <w:highlight w:val="none"/>
                      <w:lang w:val="en-US" w:eastAsia="zh-CN"/>
                    </w:rPr>
                    <w:t>实验动物中心</w:t>
                  </w:r>
                  <w:r>
                    <w:rPr>
                      <w:rFonts w:hint="eastAsia" w:ascii="Times New Roman" w:hAnsi="Times New Roman" w:eastAsia="宋体" w:cs="Times New Roman"/>
                      <w:color w:val="000000"/>
                      <w:sz w:val="21"/>
                      <w:szCs w:val="21"/>
                      <w:highlight w:val="none"/>
                      <w:lang w:val="en-US" w:eastAsia="zh-CN"/>
                    </w:rPr>
                    <w:t>废气（动物</w:t>
                  </w:r>
                  <w:r>
                    <w:rPr>
                      <w:rFonts w:hint="eastAsia" w:cs="Times New Roman"/>
                      <w:color w:val="000000"/>
                      <w:sz w:val="21"/>
                      <w:szCs w:val="21"/>
                      <w:highlight w:val="none"/>
                      <w:lang w:val="en-US" w:eastAsia="zh-CN"/>
                    </w:rPr>
                    <w:t>饲养废气</w:t>
                  </w:r>
                  <w:r>
                    <w:rPr>
                      <w:rFonts w:hint="eastAsia" w:ascii="Times New Roman" w:hAnsi="Times New Roman" w:eastAsia="宋体" w:cs="Times New Roman"/>
                      <w:color w:val="000000"/>
                      <w:sz w:val="21"/>
                      <w:szCs w:val="21"/>
                      <w:highlight w:val="none"/>
                      <w:lang w:val="en-US" w:eastAsia="zh-CN"/>
                    </w:rPr>
                    <w:t>、消毒有机废气</w:t>
                  </w:r>
                  <w:r>
                    <w:rPr>
                      <w:rFonts w:hint="eastAsia" w:cs="Times New Roman"/>
                      <w:color w:val="000000"/>
                      <w:sz w:val="21"/>
                      <w:szCs w:val="21"/>
                      <w:highlight w:val="none"/>
                      <w:lang w:val="en-US" w:eastAsia="zh-CN"/>
                    </w:rPr>
                    <w:t>等</w:t>
                  </w:r>
                  <w:r>
                    <w:rPr>
                      <w:rFonts w:hint="eastAsia" w:ascii="Times New Roman" w:hAnsi="Times New Roman" w:eastAsia="宋体" w:cs="Times New Roman"/>
                      <w:color w:val="000000"/>
                      <w:sz w:val="21"/>
                      <w:szCs w:val="21"/>
                      <w:highlight w:val="none"/>
                      <w:lang w:val="en-US" w:eastAsia="zh-CN"/>
                    </w:rPr>
                    <w:t>）</w:t>
                  </w:r>
                  <w:r>
                    <w:rPr>
                      <w:rFonts w:hint="eastAsia" w:cs="Times New Roman"/>
                      <w:color w:val="000000"/>
                      <w:sz w:val="21"/>
                      <w:szCs w:val="21"/>
                      <w:highlight w:val="none"/>
                      <w:lang w:val="en-US" w:eastAsia="zh-CN"/>
                    </w:rPr>
                    <w:t>、污水处理站废气</w:t>
                  </w:r>
                  <w:r>
                    <w:rPr>
                      <w:rFonts w:hint="eastAsia" w:ascii="Times New Roman" w:hAnsi="Times New Roman" w:eastAsia="宋体" w:cs="Times New Roman"/>
                      <w:color w:val="000000"/>
                      <w:sz w:val="21"/>
                      <w:szCs w:val="21"/>
                      <w:highlight w:val="none"/>
                      <w:lang w:val="en-US" w:eastAsia="zh-CN"/>
                    </w:rPr>
                    <w:t>收集</w:t>
                  </w:r>
                  <w:r>
                    <w:rPr>
                      <w:rFonts w:hint="eastAsia" w:cs="Times New Roman"/>
                      <w:color w:val="000000"/>
                      <w:sz w:val="21"/>
                      <w:szCs w:val="21"/>
                      <w:highlight w:val="none"/>
                      <w:lang w:val="en-US" w:eastAsia="zh-CN"/>
                    </w:rPr>
                    <w:t>处理</w:t>
                  </w:r>
                  <w:r>
                    <w:rPr>
                      <w:rFonts w:hint="eastAsia" w:ascii="Times New Roman" w:hAnsi="Times New Roman" w:eastAsia="宋体" w:cs="Times New Roman"/>
                      <w:color w:val="000000"/>
                      <w:sz w:val="21"/>
                      <w:szCs w:val="21"/>
                      <w:highlight w:val="none"/>
                      <w:lang w:val="en-US" w:eastAsia="zh-CN"/>
                    </w:rPr>
                    <w:t>系统</w:t>
                  </w:r>
                  <w:r>
                    <w:rPr>
                      <w:rFonts w:hint="eastAsia" w:cs="Times New Roman"/>
                      <w:color w:val="000000"/>
                      <w:sz w:val="21"/>
                      <w:szCs w:val="21"/>
                      <w:highlight w:val="none"/>
                      <w:lang w:val="en-US" w:eastAsia="zh-CN"/>
                    </w:rPr>
                    <w:t>（DA001~DA010）</w:t>
                  </w:r>
                </w:p>
              </w:tc>
              <w:tc>
                <w:tcPr>
                  <w:tcW w:w="891" w:type="pct"/>
                  <w:vAlign w:val="center"/>
                </w:tcPr>
                <w:p w14:paraId="0D7F2F10">
                  <w:pPr>
                    <w:keepNext w:val="0"/>
                    <w:keepLines w:val="0"/>
                    <w:suppressLineNumbers w:val="0"/>
                    <w:adjustRightInd w:val="0"/>
                    <w:snapToGrid w:val="0"/>
                    <w:spacing w:before="0" w:beforeAutospacing="0" w:after="0" w:afterAutospacing="0" w:line="360" w:lineRule="auto"/>
                    <w:ind w:left="0" w:right="0"/>
                    <w:jc w:val="center"/>
                    <w:rPr>
                      <w:rFonts w:hint="default" w:ascii="Times New Roman" w:hAnsi="Times New Roman" w:eastAsia="宋体" w:cs="Times New Roman"/>
                      <w:color w:val="000000"/>
                      <w:sz w:val="21"/>
                      <w:szCs w:val="21"/>
                      <w:highlight w:val="none"/>
                      <w:lang w:val="en-US" w:eastAsia="zh-CN"/>
                    </w:rPr>
                  </w:pPr>
                  <w:r>
                    <w:rPr>
                      <w:rFonts w:hint="eastAsia" w:cs="Times New Roman"/>
                      <w:color w:val="000000"/>
                      <w:sz w:val="21"/>
                      <w:szCs w:val="21"/>
                      <w:highlight w:val="none"/>
                      <w:lang w:val="en-US" w:eastAsia="zh-CN"/>
                    </w:rPr>
                    <w:t>100</w:t>
                  </w:r>
                </w:p>
              </w:tc>
            </w:tr>
            <w:tr w14:paraId="5909CAA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6" w:hRule="atLeast"/>
                <w:jc w:val="center"/>
              </w:trPr>
              <w:tc>
                <w:tcPr>
                  <w:tcW w:w="798" w:type="pct"/>
                  <w:vMerge w:val="continue"/>
                  <w:vAlign w:val="center"/>
                </w:tcPr>
                <w:p w14:paraId="305690C7">
                  <w:pPr>
                    <w:pStyle w:val="73"/>
                    <w:keepNext w:val="0"/>
                    <w:keepLines w:val="0"/>
                    <w:widowControl w:val="0"/>
                    <w:suppressLineNumbers w:val="0"/>
                    <w:pBdr>
                      <w:left w:val="none" w:color="auto" w:sz="0" w:space="0"/>
                      <w:bottom w:val="none" w:color="auto" w:sz="0" w:space="0"/>
                      <w:right w:val="none" w:color="auto" w:sz="0" w:space="0"/>
                    </w:pBdr>
                    <w:adjustRightInd w:val="0"/>
                    <w:snapToGrid w:val="0"/>
                    <w:spacing w:before="0" w:beforeAutospacing="0" w:after="0" w:afterAutospacing="0"/>
                    <w:ind w:left="0" w:right="0"/>
                    <w:rPr>
                      <w:rFonts w:hint="eastAsia" w:ascii="Times New Roman" w:hAnsi="Times New Roman" w:eastAsia="宋体" w:cs="Times New Roman"/>
                      <w:color w:val="000000"/>
                      <w:kern w:val="2"/>
                      <w:sz w:val="21"/>
                      <w:szCs w:val="21"/>
                      <w:highlight w:val="none"/>
                    </w:rPr>
                  </w:pPr>
                </w:p>
              </w:tc>
              <w:tc>
                <w:tcPr>
                  <w:tcW w:w="3309" w:type="pct"/>
                  <w:vAlign w:val="center"/>
                </w:tcPr>
                <w:p w14:paraId="5F10652B">
                  <w:pPr>
                    <w:pStyle w:val="7"/>
                    <w:keepNext w:val="0"/>
                    <w:keepLines w:val="0"/>
                    <w:suppressLineNumbers w:val="0"/>
                    <w:adjustRightInd w:val="0"/>
                    <w:snapToGrid w:val="0"/>
                    <w:spacing w:before="0" w:beforeAutospacing="0" w:after="0" w:afterAutospacing="0" w:line="360" w:lineRule="auto"/>
                    <w:ind w:left="0" w:right="0" w:firstLine="0" w:firstLineChars="0"/>
                    <w:rPr>
                      <w:rFonts w:hint="default" w:cs="Times New Roman"/>
                      <w:color w:val="000000"/>
                      <w:sz w:val="21"/>
                      <w:szCs w:val="21"/>
                      <w:highlight w:val="none"/>
                      <w:lang w:val="en-US" w:eastAsia="zh-CN"/>
                    </w:rPr>
                  </w:pPr>
                  <w:r>
                    <w:rPr>
                      <w:rFonts w:hint="eastAsia" w:cs="Times New Roman"/>
                      <w:color w:val="000000"/>
                      <w:sz w:val="21"/>
                      <w:szCs w:val="21"/>
                      <w:highlight w:val="none"/>
                      <w:lang w:val="en-US" w:eastAsia="zh-CN"/>
                    </w:rPr>
                    <w:t>科创综合楼废气</w:t>
                  </w:r>
                  <w:r>
                    <w:rPr>
                      <w:rFonts w:hint="eastAsia" w:ascii="Times New Roman" w:hAnsi="Times New Roman" w:eastAsia="宋体" w:cs="Times New Roman"/>
                      <w:color w:val="000000"/>
                      <w:sz w:val="21"/>
                      <w:szCs w:val="21"/>
                      <w:highlight w:val="none"/>
                      <w:lang w:val="en-US" w:eastAsia="zh-CN"/>
                    </w:rPr>
                    <w:t>收集</w:t>
                  </w:r>
                  <w:r>
                    <w:rPr>
                      <w:rFonts w:hint="eastAsia" w:cs="Times New Roman"/>
                      <w:color w:val="000000"/>
                      <w:sz w:val="21"/>
                      <w:szCs w:val="21"/>
                      <w:highlight w:val="none"/>
                      <w:lang w:val="en-US" w:eastAsia="zh-CN"/>
                    </w:rPr>
                    <w:t>处理</w:t>
                  </w:r>
                  <w:r>
                    <w:rPr>
                      <w:rFonts w:hint="eastAsia" w:ascii="Times New Roman" w:hAnsi="Times New Roman" w:eastAsia="宋体" w:cs="Times New Roman"/>
                      <w:color w:val="000000"/>
                      <w:sz w:val="21"/>
                      <w:szCs w:val="21"/>
                      <w:highlight w:val="none"/>
                      <w:lang w:val="en-US" w:eastAsia="zh-CN"/>
                    </w:rPr>
                    <w:t>系统</w:t>
                  </w:r>
                  <w:r>
                    <w:rPr>
                      <w:rFonts w:hint="eastAsia" w:cs="Times New Roman"/>
                      <w:color w:val="000000"/>
                      <w:sz w:val="21"/>
                      <w:szCs w:val="21"/>
                      <w:highlight w:val="none"/>
                      <w:lang w:val="en-US" w:eastAsia="zh-CN"/>
                    </w:rPr>
                    <w:t>（DA011~DA019）</w:t>
                  </w:r>
                </w:p>
              </w:tc>
              <w:tc>
                <w:tcPr>
                  <w:tcW w:w="891" w:type="pct"/>
                  <w:vAlign w:val="center"/>
                </w:tcPr>
                <w:p w14:paraId="3238C397">
                  <w:pPr>
                    <w:keepNext w:val="0"/>
                    <w:keepLines w:val="0"/>
                    <w:suppressLineNumbers w:val="0"/>
                    <w:adjustRightInd w:val="0"/>
                    <w:snapToGrid w:val="0"/>
                    <w:spacing w:before="0" w:beforeAutospacing="0" w:after="0" w:afterAutospacing="0" w:line="360" w:lineRule="auto"/>
                    <w:ind w:left="0" w:right="0"/>
                    <w:jc w:val="center"/>
                    <w:rPr>
                      <w:rFonts w:hint="default" w:ascii="Times New Roman" w:hAnsi="Times New Roman" w:eastAsia="宋体" w:cs="Times New Roman"/>
                      <w:color w:val="000000"/>
                      <w:sz w:val="21"/>
                      <w:szCs w:val="21"/>
                      <w:highlight w:val="none"/>
                      <w:lang w:val="en-US" w:eastAsia="zh-CN"/>
                    </w:rPr>
                  </w:pPr>
                  <w:r>
                    <w:rPr>
                      <w:rFonts w:hint="eastAsia" w:cs="Times New Roman"/>
                      <w:color w:val="000000"/>
                      <w:sz w:val="21"/>
                      <w:szCs w:val="21"/>
                      <w:highlight w:val="none"/>
                      <w:lang w:val="en-US" w:eastAsia="zh-CN"/>
                    </w:rPr>
                    <w:t>80</w:t>
                  </w:r>
                </w:p>
              </w:tc>
            </w:tr>
            <w:tr w14:paraId="6774309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6" w:hRule="atLeast"/>
                <w:jc w:val="center"/>
              </w:trPr>
              <w:tc>
                <w:tcPr>
                  <w:tcW w:w="798" w:type="pct"/>
                  <w:vMerge w:val="continue"/>
                  <w:vAlign w:val="center"/>
                </w:tcPr>
                <w:p w14:paraId="270EED1C">
                  <w:pPr>
                    <w:pStyle w:val="73"/>
                    <w:keepNext w:val="0"/>
                    <w:keepLines w:val="0"/>
                    <w:widowControl w:val="0"/>
                    <w:suppressLineNumbers w:val="0"/>
                    <w:pBdr>
                      <w:left w:val="none" w:color="auto" w:sz="0" w:space="0"/>
                      <w:bottom w:val="none" w:color="auto" w:sz="0" w:space="0"/>
                      <w:right w:val="none" w:color="auto" w:sz="0" w:space="0"/>
                    </w:pBdr>
                    <w:adjustRightInd w:val="0"/>
                    <w:snapToGrid w:val="0"/>
                    <w:spacing w:before="0" w:beforeAutospacing="0" w:after="0" w:afterAutospacing="0"/>
                    <w:ind w:left="0" w:right="0"/>
                    <w:rPr>
                      <w:rFonts w:hint="eastAsia" w:ascii="Times New Roman" w:hAnsi="Times New Roman" w:eastAsia="宋体" w:cs="Times New Roman"/>
                      <w:color w:val="000000"/>
                      <w:kern w:val="2"/>
                      <w:sz w:val="21"/>
                      <w:szCs w:val="21"/>
                      <w:highlight w:val="none"/>
                    </w:rPr>
                  </w:pPr>
                </w:p>
              </w:tc>
              <w:tc>
                <w:tcPr>
                  <w:tcW w:w="3309" w:type="pct"/>
                  <w:vAlign w:val="center"/>
                </w:tcPr>
                <w:p w14:paraId="5FB49269">
                  <w:pPr>
                    <w:pStyle w:val="7"/>
                    <w:keepNext w:val="0"/>
                    <w:keepLines w:val="0"/>
                    <w:suppressLineNumbers w:val="0"/>
                    <w:adjustRightInd w:val="0"/>
                    <w:snapToGrid w:val="0"/>
                    <w:spacing w:before="0" w:beforeAutospacing="0" w:after="0" w:afterAutospacing="0" w:line="360" w:lineRule="auto"/>
                    <w:ind w:left="0" w:right="0" w:firstLine="0" w:firstLineChars="0"/>
                    <w:rPr>
                      <w:rFonts w:hint="eastAsia" w:eastAsia="宋体" w:cs="Times New Roman"/>
                      <w:color w:val="000000"/>
                      <w:sz w:val="21"/>
                      <w:szCs w:val="21"/>
                      <w:highlight w:val="none"/>
                      <w:lang w:val="en-US" w:eastAsia="zh-CN"/>
                    </w:rPr>
                  </w:pPr>
                  <w:r>
                    <w:rPr>
                      <w:rFonts w:hint="eastAsia"/>
                      <w:bCs/>
                      <w:szCs w:val="21"/>
                      <w:highlight w:val="none"/>
                    </w:rPr>
                    <w:t>油烟净化处理装置</w:t>
                  </w:r>
                  <w:r>
                    <w:rPr>
                      <w:rFonts w:hint="eastAsia"/>
                      <w:bCs/>
                      <w:szCs w:val="21"/>
                      <w:highlight w:val="none"/>
                      <w:lang w:eastAsia="zh-CN"/>
                    </w:rPr>
                    <w:t>（</w:t>
                  </w:r>
                  <w:r>
                    <w:rPr>
                      <w:rFonts w:hint="eastAsia"/>
                      <w:bCs/>
                      <w:szCs w:val="21"/>
                      <w:highlight w:val="none"/>
                      <w:lang w:val="en-US" w:eastAsia="zh-CN"/>
                    </w:rPr>
                    <w:t>DA020</w:t>
                  </w:r>
                  <w:r>
                    <w:rPr>
                      <w:rFonts w:hint="eastAsia"/>
                      <w:bCs/>
                      <w:szCs w:val="21"/>
                      <w:highlight w:val="none"/>
                      <w:lang w:eastAsia="zh-CN"/>
                    </w:rPr>
                    <w:t>）</w:t>
                  </w:r>
                </w:p>
              </w:tc>
              <w:tc>
                <w:tcPr>
                  <w:tcW w:w="891" w:type="pct"/>
                  <w:vAlign w:val="center"/>
                </w:tcPr>
                <w:p w14:paraId="5C801E60">
                  <w:pPr>
                    <w:keepNext w:val="0"/>
                    <w:keepLines w:val="0"/>
                    <w:suppressLineNumbers w:val="0"/>
                    <w:adjustRightInd w:val="0"/>
                    <w:snapToGrid w:val="0"/>
                    <w:spacing w:before="0" w:beforeAutospacing="0" w:after="0" w:afterAutospacing="0" w:line="360" w:lineRule="auto"/>
                    <w:ind w:left="0" w:right="0"/>
                    <w:jc w:val="center"/>
                    <w:rPr>
                      <w:rFonts w:hint="default" w:cs="Times New Roman"/>
                      <w:color w:val="000000"/>
                      <w:sz w:val="21"/>
                      <w:szCs w:val="21"/>
                      <w:highlight w:val="none"/>
                      <w:lang w:val="en-US" w:eastAsia="zh-CN"/>
                    </w:rPr>
                  </w:pPr>
                  <w:r>
                    <w:rPr>
                      <w:rFonts w:hint="eastAsia" w:cs="Times New Roman"/>
                      <w:color w:val="000000"/>
                      <w:sz w:val="21"/>
                      <w:szCs w:val="21"/>
                      <w:highlight w:val="none"/>
                      <w:lang w:val="en-US" w:eastAsia="zh-CN"/>
                    </w:rPr>
                    <w:t>5</w:t>
                  </w:r>
                </w:p>
              </w:tc>
            </w:tr>
            <w:tr w14:paraId="4F281F2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54" w:hRule="atLeast"/>
                <w:jc w:val="center"/>
              </w:trPr>
              <w:tc>
                <w:tcPr>
                  <w:tcW w:w="798" w:type="pct"/>
                  <w:vMerge w:val="restart"/>
                  <w:vAlign w:val="center"/>
                </w:tcPr>
                <w:p w14:paraId="45FE13E3">
                  <w:pPr>
                    <w:pStyle w:val="73"/>
                    <w:keepNext w:val="0"/>
                    <w:keepLines w:val="0"/>
                    <w:widowControl w:val="0"/>
                    <w:suppressLineNumbers w:val="0"/>
                    <w:pBdr>
                      <w:left w:val="none" w:color="auto" w:sz="0" w:space="0"/>
                      <w:bottom w:val="none" w:color="auto" w:sz="0" w:space="0"/>
                      <w:right w:val="none" w:color="auto" w:sz="0" w:space="0"/>
                    </w:pBdr>
                    <w:adjustRightInd w:val="0"/>
                    <w:snapToGrid w:val="0"/>
                    <w:spacing w:before="0" w:beforeAutospacing="0" w:after="0" w:afterAutospacing="0"/>
                    <w:ind w:left="0" w:right="0"/>
                    <w:rPr>
                      <w:rFonts w:hint="eastAsia" w:ascii="Times New Roman" w:hAnsi="Times New Roman" w:eastAsia="宋体" w:cs="Times New Roman"/>
                      <w:color w:val="000000"/>
                      <w:kern w:val="2"/>
                      <w:sz w:val="21"/>
                      <w:szCs w:val="21"/>
                      <w:highlight w:val="none"/>
                      <w:lang w:val="en-US" w:eastAsia="zh-CN"/>
                    </w:rPr>
                  </w:pPr>
                  <w:r>
                    <w:rPr>
                      <w:rFonts w:hint="eastAsia" w:ascii="Times New Roman" w:cs="Times New Roman"/>
                      <w:color w:val="000000"/>
                      <w:kern w:val="2"/>
                      <w:sz w:val="21"/>
                      <w:szCs w:val="21"/>
                      <w:highlight w:val="none"/>
                      <w:lang w:val="en-US" w:eastAsia="zh-CN"/>
                    </w:rPr>
                    <w:t>废水</w:t>
                  </w:r>
                </w:p>
              </w:tc>
              <w:tc>
                <w:tcPr>
                  <w:tcW w:w="3309" w:type="pct"/>
                  <w:vAlign w:val="center"/>
                </w:tcPr>
                <w:p w14:paraId="518081D0">
                  <w:pPr>
                    <w:pStyle w:val="7"/>
                    <w:keepNext w:val="0"/>
                    <w:keepLines w:val="0"/>
                    <w:suppressLineNumbers w:val="0"/>
                    <w:adjustRightInd w:val="0"/>
                    <w:snapToGrid w:val="0"/>
                    <w:spacing w:before="0" w:beforeAutospacing="0" w:after="0" w:afterAutospacing="0" w:line="360" w:lineRule="auto"/>
                    <w:ind w:left="0" w:right="0" w:firstLine="0" w:firstLineChars="0"/>
                    <w:rPr>
                      <w:rFonts w:hint="eastAsia" w:ascii="Times New Roman" w:hAnsi="Times New Roman" w:eastAsia="宋体" w:cs="Times New Roman"/>
                      <w:color w:val="000000"/>
                      <w:sz w:val="21"/>
                      <w:szCs w:val="21"/>
                      <w:highlight w:val="none"/>
                      <w:lang w:val="en-US" w:eastAsia="zh-CN"/>
                    </w:rPr>
                  </w:pPr>
                  <w:r>
                    <w:rPr>
                      <w:rFonts w:hint="eastAsia" w:cs="Times New Roman"/>
                      <w:color w:val="000000"/>
                      <w:sz w:val="21"/>
                      <w:szCs w:val="21"/>
                      <w:highlight w:val="none"/>
                      <w:lang w:val="en-US" w:eastAsia="zh-CN"/>
                    </w:rPr>
                    <w:t>污水处理站（</w:t>
                  </w:r>
                  <w:r>
                    <w:rPr>
                      <w:rFonts w:hint="default" w:ascii="Times New Roman" w:hAnsi="Times New Roman" w:cs="Times New Roman"/>
                      <w:b w:val="0"/>
                      <w:bCs/>
                      <w:color w:val="auto"/>
                      <w:sz w:val="21"/>
                      <w:szCs w:val="21"/>
                      <w:highlight w:val="none"/>
                      <w:lang w:eastAsia="zh-CN"/>
                    </w:rPr>
                    <w:t>人工格栅</w:t>
                  </w:r>
                  <w:r>
                    <w:rPr>
                      <w:rFonts w:hint="eastAsia" w:ascii="Times New Roman" w:hAnsi="Times New Roman" w:cs="Times New Roman"/>
                      <w:b w:val="0"/>
                      <w:bCs/>
                      <w:color w:val="auto"/>
                      <w:sz w:val="21"/>
                      <w:szCs w:val="21"/>
                      <w:highlight w:val="none"/>
                      <w:lang w:val="en-US" w:eastAsia="zh-CN"/>
                    </w:rPr>
                    <w:t>+</w:t>
                  </w:r>
                  <w:r>
                    <w:rPr>
                      <w:rFonts w:hint="eastAsia" w:cs="Times New Roman"/>
                      <w:b w:val="0"/>
                      <w:bCs/>
                      <w:color w:val="auto"/>
                      <w:sz w:val="21"/>
                      <w:szCs w:val="21"/>
                      <w:highlight w:val="none"/>
                      <w:lang w:val="en-US" w:eastAsia="zh-CN"/>
                    </w:rPr>
                    <w:t>收集</w:t>
                  </w:r>
                  <w:r>
                    <w:rPr>
                      <w:rFonts w:hint="eastAsia" w:ascii="Times New Roman" w:hAnsi="Times New Roman" w:cs="Times New Roman"/>
                      <w:b w:val="0"/>
                      <w:bCs/>
                      <w:color w:val="auto"/>
                      <w:sz w:val="21"/>
                      <w:szCs w:val="21"/>
                      <w:highlight w:val="none"/>
                      <w:lang w:eastAsia="zh-CN"/>
                    </w:rPr>
                    <w:t>池</w:t>
                  </w:r>
                  <w:r>
                    <w:rPr>
                      <w:rFonts w:hint="eastAsia" w:cs="Times New Roman"/>
                      <w:b w:val="0"/>
                      <w:bCs/>
                      <w:color w:val="auto"/>
                      <w:sz w:val="21"/>
                      <w:szCs w:val="21"/>
                      <w:highlight w:val="none"/>
                      <w:lang w:val="en-US" w:eastAsia="zh-CN"/>
                    </w:rPr>
                    <w:t>+反应池</w:t>
                  </w:r>
                  <w:r>
                    <w:rPr>
                      <w:rFonts w:hint="eastAsia" w:ascii="Times New Roman" w:hAnsi="Times New Roman" w:cs="Times New Roman"/>
                      <w:b w:val="0"/>
                      <w:bCs/>
                      <w:color w:val="auto"/>
                      <w:sz w:val="21"/>
                      <w:szCs w:val="21"/>
                      <w:highlight w:val="none"/>
                      <w:lang w:val="en-US" w:eastAsia="zh-CN"/>
                    </w:rPr>
                    <w:t>+初沉池</w:t>
                  </w:r>
                  <w:r>
                    <w:rPr>
                      <w:rFonts w:hint="eastAsia" w:cs="Times New Roman"/>
                      <w:b w:val="0"/>
                      <w:bCs/>
                      <w:color w:val="auto"/>
                      <w:sz w:val="21"/>
                      <w:szCs w:val="21"/>
                      <w:highlight w:val="none"/>
                      <w:lang w:val="en-US" w:eastAsia="zh-CN"/>
                    </w:rPr>
                    <w:t>+水解池</w:t>
                  </w:r>
                  <w:r>
                    <w:rPr>
                      <w:rFonts w:hint="eastAsia" w:ascii="Times New Roman" w:hAnsi="Times New Roman" w:cs="Times New Roman"/>
                      <w:b w:val="0"/>
                      <w:bCs/>
                      <w:color w:val="auto"/>
                      <w:sz w:val="21"/>
                      <w:szCs w:val="21"/>
                      <w:highlight w:val="none"/>
                      <w:lang w:val="en-US" w:eastAsia="zh-CN"/>
                    </w:rPr>
                    <w:t>+</w:t>
                  </w:r>
                  <w:r>
                    <w:rPr>
                      <w:rFonts w:hint="eastAsia" w:cs="Times New Roman"/>
                      <w:b w:val="0"/>
                      <w:bCs/>
                      <w:color w:val="auto"/>
                      <w:sz w:val="21"/>
                      <w:szCs w:val="21"/>
                      <w:highlight w:val="none"/>
                      <w:lang w:val="en-US" w:eastAsia="zh-CN"/>
                    </w:rPr>
                    <w:t>接触氧化池</w:t>
                  </w:r>
                  <w:r>
                    <w:rPr>
                      <w:rFonts w:hint="default" w:ascii="Times New Roman" w:hAnsi="Times New Roman" w:eastAsia="宋体" w:cs="Times New Roman"/>
                      <w:b w:val="0"/>
                      <w:bCs/>
                      <w:color w:val="auto"/>
                      <w:sz w:val="21"/>
                      <w:szCs w:val="21"/>
                      <w:highlight w:val="none"/>
                    </w:rPr>
                    <w:t>+二沉池</w:t>
                  </w:r>
                  <w:r>
                    <w:rPr>
                      <w:rFonts w:hint="eastAsia" w:ascii="Times New Roman" w:hAnsi="Times New Roman" w:eastAsia="宋体" w:cs="Times New Roman"/>
                      <w:b w:val="0"/>
                      <w:bCs/>
                      <w:color w:val="auto"/>
                      <w:sz w:val="21"/>
                      <w:szCs w:val="21"/>
                      <w:highlight w:val="none"/>
                      <w:lang w:val="en-US" w:eastAsia="zh-CN"/>
                    </w:rPr>
                    <w:t>+消毒池</w:t>
                  </w:r>
                  <w:r>
                    <w:rPr>
                      <w:rFonts w:hint="eastAsia" w:cs="Times New Roman"/>
                      <w:color w:val="000000"/>
                      <w:sz w:val="21"/>
                      <w:szCs w:val="21"/>
                      <w:highlight w:val="none"/>
                      <w:lang w:val="en-US" w:eastAsia="zh-CN"/>
                    </w:rPr>
                    <w:t>）</w:t>
                  </w:r>
                </w:p>
              </w:tc>
              <w:tc>
                <w:tcPr>
                  <w:tcW w:w="891" w:type="pct"/>
                  <w:vAlign w:val="center"/>
                </w:tcPr>
                <w:p w14:paraId="50B40DF0">
                  <w:pPr>
                    <w:keepNext w:val="0"/>
                    <w:keepLines w:val="0"/>
                    <w:suppressLineNumbers w:val="0"/>
                    <w:adjustRightInd w:val="0"/>
                    <w:snapToGrid w:val="0"/>
                    <w:spacing w:before="0" w:beforeAutospacing="0" w:after="0" w:afterAutospacing="0" w:line="360" w:lineRule="auto"/>
                    <w:ind w:left="0" w:right="0"/>
                    <w:jc w:val="center"/>
                    <w:rPr>
                      <w:rFonts w:hint="default" w:ascii="Times New Roman" w:hAnsi="Times New Roman" w:eastAsia="宋体" w:cs="Times New Roman"/>
                      <w:color w:val="000000"/>
                      <w:sz w:val="21"/>
                      <w:szCs w:val="21"/>
                      <w:highlight w:val="none"/>
                      <w:lang w:val="en-US" w:eastAsia="zh-CN"/>
                    </w:rPr>
                  </w:pPr>
                  <w:r>
                    <w:rPr>
                      <w:rFonts w:hint="eastAsia" w:cs="Times New Roman"/>
                      <w:color w:val="000000"/>
                      <w:sz w:val="21"/>
                      <w:szCs w:val="21"/>
                      <w:highlight w:val="none"/>
                      <w:lang w:val="en-US" w:eastAsia="zh-CN"/>
                    </w:rPr>
                    <w:t>80</w:t>
                  </w:r>
                </w:p>
              </w:tc>
            </w:tr>
            <w:tr w14:paraId="1EE9A64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54" w:hRule="atLeast"/>
                <w:jc w:val="center"/>
              </w:trPr>
              <w:tc>
                <w:tcPr>
                  <w:tcW w:w="798" w:type="pct"/>
                  <w:vMerge w:val="continue"/>
                  <w:vAlign w:val="center"/>
                </w:tcPr>
                <w:p w14:paraId="645E002A">
                  <w:pPr>
                    <w:pStyle w:val="73"/>
                    <w:keepNext w:val="0"/>
                    <w:keepLines w:val="0"/>
                    <w:widowControl w:val="0"/>
                    <w:suppressLineNumbers w:val="0"/>
                    <w:pBdr>
                      <w:left w:val="none" w:color="auto" w:sz="0" w:space="0"/>
                      <w:bottom w:val="none" w:color="auto" w:sz="0" w:space="0"/>
                      <w:right w:val="none" w:color="auto" w:sz="0" w:space="0"/>
                    </w:pBdr>
                    <w:adjustRightInd w:val="0"/>
                    <w:snapToGrid w:val="0"/>
                    <w:spacing w:before="0" w:beforeAutospacing="0" w:after="0" w:afterAutospacing="0"/>
                    <w:ind w:left="0" w:right="0"/>
                    <w:rPr>
                      <w:rFonts w:hint="eastAsia" w:ascii="Times New Roman" w:cs="Times New Roman"/>
                      <w:color w:val="000000"/>
                      <w:kern w:val="2"/>
                      <w:sz w:val="21"/>
                      <w:szCs w:val="21"/>
                      <w:highlight w:val="none"/>
                      <w:lang w:val="en-US" w:eastAsia="zh-CN"/>
                    </w:rPr>
                  </w:pPr>
                </w:p>
              </w:tc>
              <w:tc>
                <w:tcPr>
                  <w:tcW w:w="3309" w:type="pct"/>
                  <w:vAlign w:val="center"/>
                </w:tcPr>
                <w:p w14:paraId="48C062E0">
                  <w:pPr>
                    <w:pStyle w:val="7"/>
                    <w:keepNext w:val="0"/>
                    <w:keepLines w:val="0"/>
                    <w:suppressLineNumbers w:val="0"/>
                    <w:adjustRightInd w:val="0"/>
                    <w:snapToGrid w:val="0"/>
                    <w:spacing w:before="0" w:beforeAutospacing="0" w:after="0" w:afterAutospacing="0" w:line="360" w:lineRule="auto"/>
                    <w:ind w:left="0" w:right="0" w:firstLine="0" w:firstLineChars="0"/>
                    <w:rPr>
                      <w:rFonts w:hint="default" w:cs="Times New Roman"/>
                      <w:color w:val="000000"/>
                      <w:sz w:val="21"/>
                      <w:szCs w:val="21"/>
                      <w:highlight w:val="none"/>
                      <w:lang w:val="en-US" w:eastAsia="zh-CN"/>
                    </w:rPr>
                  </w:pPr>
                  <w:r>
                    <w:rPr>
                      <w:rFonts w:hint="eastAsia" w:cs="Times New Roman"/>
                      <w:color w:val="000000"/>
                      <w:sz w:val="21"/>
                      <w:szCs w:val="21"/>
                      <w:highlight w:val="none"/>
                      <w:lang w:val="en-US" w:eastAsia="zh-CN"/>
                    </w:rPr>
                    <w:t>隔油池、化粪池</w:t>
                  </w:r>
                </w:p>
              </w:tc>
              <w:tc>
                <w:tcPr>
                  <w:tcW w:w="891" w:type="pct"/>
                  <w:vAlign w:val="center"/>
                </w:tcPr>
                <w:p w14:paraId="2AA15F15">
                  <w:pPr>
                    <w:keepNext w:val="0"/>
                    <w:keepLines w:val="0"/>
                    <w:suppressLineNumbers w:val="0"/>
                    <w:adjustRightInd w:val="0"/>
                    <w:snapToGrid w:val="0"/>
                    <w:spacing w:before="0" w:beforeAutospacing="0" w:after="0" w:afterAutospacing="0" w:line="360" w:lineRule="auto"/>
                    <w:ind w:left="0" w:right="0"/>
                    <w:jc w:val="center"/>
                    <w:rPr>
                      <w:rFonts w:hint="default" w:ascii="Times New Roman" w:hAnsi="Times New Roman" w:eastAsia="宋体" w:cs="Times New Roman"/>
                      <w:color w:val="000000"/>
                      <w:sz w:val="21"/>
                      <w:szCs w:val="21"/>
                      <w:highlight w:val="none"/>
                      <w:lang w:val="en-US" w:eastAsia="zh-CN"/>
                    </w:rPr>
                  </w:pPr>
                  <w:r>
                    <w:rPr>
                      <w:rFonts w:hint="eastAsia" w:cs="Times New Roman"/>
                      <w:color w:val="000000"/>
                      <w:sz w:val="21"/>
                      <w:szCs w:val="21"/>
                      <w:highlight w:val="none"/>
                      <w:lang w:val="en-US" w:eastAsia="zh-CN"/>
                    </w:rPr>
                    <w:t>2</w:t>
                  </w:r>
                </w:p>
              </w:tc>
            </w:tr>
            <w:tr w14:paraId="697AD8E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98" w:type="pct"/>
                  <w:vAlign w:val="center"/>
                </w:tcPr>
                <w:p w14:paraId="2DE45B96">
                  <w:pPr>
                    <w:pStyle w:val="73"/>
                    <w:keepNext w:val="0"/>
                    <w:keepLines w:val="0"/>
                    <w:widowControl w:val="0"/>
                    <w:suppressLineNumbers w:val="0"/>
                    <w:pBdr>
                      <w:left w:val="none" w:color="auto" w:sz="0" w:space="0"/>
                      <w:bottom w:val="none" w:color="auto" w:sz="0" w:space="0"/>
                      <w:right w:val="none" w:color="auto" w:sz="0" w:space="0"/>
                    </w:pBdr>
                    <w:adjustRightInd w:val="0"/>
                    <w:snapToGrid w:val="0"/>
                    <w:spacing w:before="0" w:beforeAutospacing="0" w:after="0" w:afterAutospacing="0"/>
                    <w:ind w:left="0" w:right="0"/>
                    <w:rPr>
                      <w:rFonts w:hint="default" w:ascii="Times New Roman" w:hAnsi="Times New Roman" w:eastAsia="宋体" w:cs="Times New Roman"/>
                      <w:color w:val="000000"/>
                      <w:kern w:val="2"/>
                      <w:sz w:val="21"/>
                      <w:szCs w:val="21"/>
                      <w:highlight w:val="none"/>
                    </w:rPr>
                  </w:pPr>
                  <w:r>
                    <w:rPr>
                      <w:rFonts w:hint="default" w:ascii="Times New Roman" w:hAnsi="Times New Roman" w:eastAsia="宋体" w:cs="Times New Roman"/>
                      <w:color w:val="000000"/>
                      <w:kern w:val="2"/>
                      <w:sz w:val="21"/>
                      <w:szCs w:val="21"/>
                      <w:highlight w:val="none"/>
                    </w:rPr>
                    <w:t>噪声</w:t>
                  </w:r>
                </w:p>
              </w:tc>
              <w:tc>
                <w:tcPr>
                  <w:tcW w:w="3309" w:type="pct"/>
                  <w:vAlign w:val="center"/>
                </w:tcPr>
                <w:p w14:paraId="2D466A79">
                  <w:pPr>
                    <w:pStyle w:val="73"/>
                    <w:keepNext w:val="0"/>
                    <w:keepLines w:val="0"/>
                    <w:widowControl w:val="0"/>
                    <w:suppressLineNumbers w:val="0"/>
                    <w:pBdr>
                      <w:left w:val="none" w:color="auto" w:sz="0" w:space="0"/>
                      <w:bottom w:val="none" w:color="auto" w:sz="0" w:space="0"/>
                      <w:right w:val="none" w:color="auto" w:sz="0" w:space="0"/>
                    </w:pBdr>
                    <w:adjustRightInd w:val="0"/>
                    <w:snapToGrid w:val="0"/>
                    <w:spacing w:before="0" w:beforeAutospacing="0" w:after="0" w:afterAutospacing="0"/>
                    <w:ind w:left="0" w:right="0"/>
                    <w:jc w:val="both"/>
                    <w:rPr>
                      <w:rFonts w:hint="default" w:ascii="Times New Roman" w:hAnsi="Times New Roman" w:eastAsia="宋体" w:cs="Times New Roman"/>
                      <w:color w:val="000000"/>
                      <w:kern w:val="2"/>
                      <w:sz w:val="21"/>
                      <w:szCs w:val="21"/>
                      <w:highlight w:val="none"/>
                      <w:lang w:val="en-US" w:eastAsia="zh-CN"/>
                    </w:rPr>
                  </w:pPr>
                  <w:r>
                    <w:rPr>
                      <w:rFonts w:hint="eastAsia" w:ascii="Times New Roman" w:hAnsi="Times New Roman" w:eastAsia="宋体" w:cs="Times New Roman"/>
                      <w:color w:val="000000"/>
                      <w:kern w:val="2"/>
                      <w:sz w:val="21"/>
                      <w:szCs w:val="21"/>
                      <w:highlight w:val="none"/>
                      <w:lang w:val="en-US" w:eastAsia="zh-CN"/>
                    </w:rPr>
                    <w:t>墙面隔声材料</w:t>
                  </w:r>
                  <w:r>
                    <w:rPr>
                      <w:rFonts w:hint="eastAsia" w:ascii="Times New Roman" w:cs="Times New Roman"/>
                      <w:color w:val="000000"/>
                      <w:kern w:val="2"/>
                      <w:sz w:val="21"/>
                      <w:szCs w:val="21"/>
                      <w:highlight w:val="none"/>
                      <w:lang w:val="en-US" w:eastAsia="zh-CN"/>
                    </w:rPr>
                    <w:t>、</w:t>
                  </w:r>
                  <w:r>
                    <w:rPr>
                      <w:rFonts w:hint="eastAsia" w:ascii="Times New Roman" w:hAnsi="Times New Roman" w:eastAsia="宋体" w:cs="Times New Roman"/>
                      <w:b w:val="0"/>
                      <w:bCs/>
                      <w:color w:val="auto"/>
                      <w:sz w:val="21"/>
                      <w:szCs w:val="21"/>
                      <w:highlight w:val="none"/>
                      <w:vertAlign w:val="baseline"/>
                    </w:rPr>
                    <w:t>选用低噪设备、基础减震</w:t>
                  </w:r>
                </w:p>
              </w:tc>
              <w:tc>
                <w:tcPr>
                  <w:tcW w:w="891" w:type="pct"/>
                  <w:vAlign w:val="center"/>
                </w:tcPr>
                <w:p w14:paraId="6F0B5CE1">
                  <w:pPr>
                    <w:keepNext w:val="0"/>
                    <w:keepLines w:val="0"/>
                    <w:suppressLineNumbers w:val="0"/>
                    <w:adjustRightInd w:val="0"/>
                    <w:snapToGrid w:val="0"/>
                    <w:spacing w:before="0" w:beforeAutospacing="0" w:after="0" w:afterAutospacing="0" w:line="360" w:lineRule="auto"/>
                    <w:ind w:left="0" w:right="0"/>
                    <w:jc w:val="center"/>
                    <w:rPr>
                      <w:rFonts w:hint="eastAsia" w:ascii="Times New Roman" w:hAnsi="Times New Roman" w:eastAsia="宋体" w:cs="Times New Roman"/>
                      <w:color w:val="000000"/>
                      <w:sz w:val="21"/>
                      <w:szCs w:val="21"/>
                      <w:highlight w:val="none"/>
                      <w:lang w:eastAsia="zh-CN"/>
                    </w:rPr>
                  </w:pPr>
                  <w:r>
                    <w:rPr>
                      <w:rFonts w:hint="eastAsia" w:cs="Times New Roman"/>
                      <w:color w:val="000000"/>
                      <w:sz w:val="21"/>
                      <w:szCs w:val="21"/>
                      <w:highlight w:val="none"/>
                      <w:lang w:val="en-US" w:eastAsia="zh-CN"/>
                    </w:rPr>
                    <w:t>5</w:t>
                  </w:r>
                </w:p>
              </w:tc>
            </w:tr>
            <w:tr w14:paraId="39DAF34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99" w:hRule="atLeast"/>
                <w:jc w:val="center"/>
              </w:trPr>
              <w:tc>
                <w:tcPr>
                  <w:tcW w:w="798" w:type="pct"/>
                  <w:vMerge w:val="restart"/>
                  <w:vAlign w:val="center"/>
                </w:tcPr>
                <w:p w14:paraId="05C44AB8">
                  <w:pPr>
                    <w:pStyle w:val="73"/>
                    <w:keepNext w:val="0"/>
                    <w:keepLines w:val="0"/>
                    <w:widowControl w:val="0"/>
                    <w:suppressLineNumbers w:val="0"/>
                    <w:pBdr>
                      <w:left w:val="none" w:color="auto" w:sz="0" w:space="0"/>
                      <w:bottom w:val="none" w:color="auto" w:sz="0" w:space="0"/>
                      <w:right w:val="none" w:color="auto" w:sz="0" w:space="0"/>
                    </w:pBdr>
                    <w:adjustRightInd w:val="0"/>
                    <w:snapToGrid w:val="0"/>
                    <w:spacing w:before="0" w:beforeAutospacing="0" w:after="0" w:afterAutospacing="0"/>
                    <w:ind w:left="0" w:right="0"/>
                    <w:rPr>
                      <w:rFonts w:hint="default" w:ascii="Times New Roman" w:hAnsi="Times New Roman" w:eastAsia="宋体" w:cs="Times New Roman"/>
                      <w:color w:val="000000"/>
                      <w:kern w:val="2"/>
                      <w:sz w:val="21"/>
                      <w:szCs w:val="21"/>
                      <w:highlight w:val="none"/>
                    </w:rPr>
                  </w:pPr>
                  <w:r>
                    <w:rPr>
                      <w:rFonts w:hint="default" w:ascii="Times New Roman" w:hAnsi="Times New Roman" w:eastAsia="宋体" w:cs="Times New Roman"/>
                      <w:color w:val="000000"/>
                      <w:kern w:val="2"/>
                      <w:sz w:val="21"/>
                      <w:szCs w:val="21"/>
                      <w:highlight w:val="none"/>
                    </w:rPr>
                    <w:t>固废</w:t>
                  </w:r>
                </w:p>
              </w:tc>
              <w:tc>
                <w:tcPr>
                  <w:tcW w:w="3309" w:type="pct"/>
                  <w:vAlign w:val="center"/>
                </w:tcPr>
                <w:p w14:paraId="76A95973">
                  <w:pPr>
                    <w:pStyle w:val="73"/>
                    <w:keepNext w:val="0"/>
                    <w:keepLines w:val="0"/>
                    <w:widowControl w:val="0"/>
                    <w:suppressLineNumbers w:val="0"/>
                    <w:pBdr>
                      <w:left w:val="none" w:color="auto" w:sz="0" w:space="0"/>
                      <w:bottom w:val="none" w:color="auto" w:sz="0" w:space="0"/>
                      <w:right w:val="none" w:color="auto" w:sz="0" w:space="0"/>
                    </w:pBdr>
                    <w:adjustRightInd w:val="0"/>
                    <w:snapToGrid w:val="0"/>
                    <w:spacing w:before="0" w:beforeAutospacing="0" w:after="0" w:afterAutospacing="0"/>
                    <w:ind w:left="0" w:right="0"/>
                    <w:jc w:val="both"/>
                    <w:rPr>
                      <w:rFonts w:hint="default" w:ascii="Times New Roman" w:hAnsi="Times New Roman" w:eastAsia="宋体" w:cs="Times New Roman"/>
                      <w:color w:val="000000"/>
                      <w:kern w:val="2"/>
                      <w:sz w:val="21"/>
                      <w:szCs w:val="21"/>
                      <w:highlight w:val="none"/>
                      <w:lang w:val="en-US" w:eastAsia="zh-CN"/>
                    </w:rPr>
                  </w:pPr>
                  <w:r>
                    <w:rPr>
                      <w:rFonts w:hint="eastAsia" w:ascii="Times New Roman" w:cs="Times New Roman"/>
                      <w:color w:val="000000"/>
                      <w:kern w:val="2"/>
                      <w:sz w:val="21"/>
                      <w:szCs w:val="21"/>
                      <w:highlight w:val="none"/>
                      <w:lang w:val="en-US" w:eastAsia="zh-CN"/>
                    </w:rPr>
                    <w:t>危废暂存间</w:t>
                  </w:r>
                </w:p>
              </w:tc>
              <w:tc>
                <w:tcPr>
                  <w:tcW w:w="891" w:type="pct"/>
                  <w:vAlign w:val="center"/>
                </w:tcPr>
                <w:p w14:paraId="19F5E479">
                  <w:pPr>
                    <w:keepNext w:val="0"/>
                    <w:keepLines w:val="0"/>
                    <w:suppressLineNumbers w:val="0"/>
                    <w:adjustRightInd w:val="0"/>
                    <w:snapToGrid w:val="0"/>
                    <w:spacing w:before="0" w:beforeAutospacing="0" w:after="0" w:afterAutospacing="0" w:line="360" w:lineRule="auto"/>
                    <w:ind w:left="0" w:right="0"/>
                    <w:jc w:val="center"/>
                    <w:rPr>
                      <w:rFonts w:hint="default" w:ascii="Times New Roman" w:hAnsi="Times New Roman" w:eastAsia="宋体" w:cs="Times New Roman"/>
                      <w:color w:val="000000"/>
                      <w:sz w:val="21"/>
                      <w:szCs w:val="21"/>
                      <w:highlight w:val="none"/>
                      <w:lang w:val="en-US" w:eastAsia="zh-CN"/>
                    </w:rPr>
                  </w:pPr>
                  <w:r>
                    <w:rPr>
                      <w:rFonts w:hint="eastAsia" w:cs="Times New Roman"/>
                      <w:color w:val="000000"/>
                      <w:sz w:val="21"/>
                      <w:szCs w:val="21"/>
                      <w:highlight w:val="none"/>
                      <w:lang w:val="en-US" w:eastAsia="zh-CN"/>
                    </w:rPr>
                    <w:t>30</w:t>
                  </w:r>
                </w:p>
              </w:tc>
            </w:tr>
            <w:tr w14:paraId="5CAE91F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99" w:hRule="atLeast"/>
                <w:jc w:val="center"/>
              </w:trPr>
              <w:tc>
                <w:tcPr>
                  <w:tcW w:w="798" w:type="pct"/>
                  <w:vMerge w:val="continue"/>
                  <w:vAlign w:val="center"/>
                </w:tcPr>
                <w:p w14:paraId="10488CA8">
                  <w:pPr>
                    <w:pStyle w:val="73"/>
                    <w:keepNext w:val="0"/>
                    <w:keepLines w:val="0"/>
                    <w:widowControl w:val="0"/>
                    <w:suppressLineNumbers w:val="0"/>
                    <w:pBdr>
                      <w:left w:val="none" w:color="auto" w:sz="0" w:space="0"/>
                      <w:bottom w:val="none" w:color="auto" w:sz="0" w:space="0"/>
                      <w:right w:val="none" w:color="auto" w:sz="0" w:space="0"/>
                    </w:pBdr>
                    <w:adjustRightInd w:val="0"/>
                    <w:snapToGrid w:val="0"/>
                    <w:spacing w:before="0" w:beforeAutospacing="0" w:after="0" w:afterAutospacing="0"/>
                    <w:ind w:left="0" w:right="0"/>
                    <w:rPr>
                      <w:rFonts w:hint="default" w:ascii="Times New Roman" w:hAnsi="Times New Roman" w:eastAsia="宋体" w:cs="Times New Roman"/>
                      <w:color w:val="000000"/>
                      <w:kern w:val="2"/>
                      <w:sz w:val="21"/>
                      <w:szCs w:val="21"/>
                      <w:highlight w:val="none"/>
                    </w:rPr>
                  </w:pPr>
                </w:p>
              </w:tc>
              <w:tc>
                <w:tcPr>
                  <w:tcW w:w="3309" w:type="pct"/>
                  <w:vAlign w:val="center"/>
                </w:tcPr>
                <w:p w14:paraId="47F353EE">
                  <w:pPr>
                    <w:pStyle w:val="73"/>
                    <w:keepNext w:val="0"/>
                    <w:keepLines w:val="0"/>
                    <w:widowControl w:val="0"/>
                    <w:suppressLineNumbers w:val="0"/>
                    <w:pBdr>
                      <w:left w:val="none" w:color="auto" w:sz="0" w:space="0"/>
                      <w:bottom w:val="none" w:color="auto" w:sz="0" w:space="0"/>
                      <w:right w:val="none" w:color="auto" w:sz="0" w:space="0"/>
                    </w:pBdr>
                    <w:adjustRightInd w:val="0"/>
                    <w:snapToGrid w:val="0"/>
                    <w:spacing w:before="0" w:beforeAutospacing="0" w:after="0" w:afterAutospacing="0"/>
                    <w:ind w:left="0" w:right="0"/>
                    <w:jc w:val="both"/>
                    <w:rPr>
                      <w:rFonts w:hint="default" w:ascii="Times New Roman" w:cs="Times New Roman"/>
                      <w:color w:val="000000"/>
                      <w:kern w:val="2"/>
                      <w:sz w:val="21"/>
                      <w:szCs w:val="21"/>
                      <w:highlight w:val="none"/>
                      <w:lang w:val="en-US" w:eastAsia="zh-CN"/>
                    </w:rPr>
                  </w:pPr>
                  <w:r>
                    <w:rPr>
                      <w:rFonts w:hint="eastAsia" w:ascii="Times New Roman" w:cs="Times New Roman"/>
                      <w:color w:val="000000"/>
                      <w:kern w:val="2"/>
                      <w:sz w:val="21"/>
                      <w:szCs w:val="21"/>
                      <w:highlight w:val="none"/>
                      <w:lang w:val="en-US" w:eastAsia="zh-CN"/>
                    </w:rPr>
                    <w:t>一般固废暂存间</w:t>
                  </w:r>
                </w:p>
              </w:tc>
              <w:tc>
                <w:tcPr>
                  <w:tcW w:w="891" w:type="pct"/>
                  <w:vAlign w:val="center"/>
                </w:tcPr>
                <w:p w14:paraId="210EFC3F">
                  <w:pPr>
                    <w:keepNext w:val="0"/>
                    <w:keepLines w:val="0"/>
                    <w:suppressLineNumbers w:val="0"/>
                    <w:adjustRightInd w:val="0"/>
                    <w:snapToGrid w:val="0"/>
                    <w:spacing w:before="0" w:beforeAutospacing="0" w:after="0" w:afterAutospacing="0" w:line="360" w:lineRule="auto"/>
                    <w:ind w:left="0" w:right="0"/>
                    <w:jc w:val="center"/>
                    <w:rPr>
                      <w:rFonts w:hint="default" w:cs="Times New Roman"/>
                      <w:color w:val="000000"/>
                      <w:sz w:val="21"/>
                      <w:szCs w:val="21"/>
                      <w:highlight w:val="none"/>
                      <w:lang w:val="en-US" w:eastAsia="zh-CN"/>
                    </w:rPr>
                  </w:pPr>
                  <w:r>
                    <w:rPr>
                      <w:rFonts w:hint="eastAsia" w:cs="Times New Roman"/>
                      <w:color w:val="000000"/>
                      <w:sz w:val="21"/>
                      <w:szCs w:val="21"/>
                      <w:highlight w:val="none"/>
                      <w:lang w:val="en-US" w:eastAsia="zh-CN"/>
                    </w:rPr>
                    <w:t>8</w:t>
                  </w:r>
                </w:p>
              </w:tc>
            </w:tr>
            <w:tr w14:paraId="615D524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99" w:hRule="atLeast"/>
                <w:jc w:val="center"/>
              </w:trPr>
              <w:tc>
                <w:tcPr>
                  <w:tcW w:w="798" w:type="pct"/>
                  <w:vMerge w:val="continue"/>
                  <w:vAlign w:val="center"/>
                </w:tcPr>
                <w:p w14:paraId="235A79B9">
                  <w:pPr>
                    <w:keepNext w:val="0"/>
                    <w:keepLines w:val="0"/>
                    <w:suppressLineNumbers w:val="0"/>
                    <w:adjustRightInd w:val="0"/>
                    <w:snapToGrid w:val="0"/>
                    <w:spacing w:before="0" w:beforeAutospacing="0" w:after="0" w:afterAutospacing="0" w:line="360" w:lineRule="auto"/>
                    <w:ind w:left="0" w:right="0"/>
                    <w:jc w:val="center"/>
                    <w:rPr>
                      <w:rFonts w:hint="default"/>
                      <w:sz w:val="21"/>
                      <w:szCs w:val="21"/>
                      <w:highlight w:val="none"/>
                    </w:rPr>
                  </w:pPr>
                </w:p>
              </w:tc>
              <w:tc>
                <w:tcPr>
                  <w:tcW w:w="3309" w:type="pct"/>
                  <w:vAlign w:val="center"/>
                </w:tcPr>
                <w:p w14:paraId="525DE3CB">
                  <w:pPr>
                    <w:keepNext w:val="0"/>
                    <w:keepLines w:val="0"/>
                    <w:suppressLineNumbers w:val="0"/>
                    <w:adjustRightInd w:val="0"/>
                    <w:snapToGrid w:val="0"/>
                    <w:spacing w:before="0" w:beforeAutospacing="0" w:after="0" w:afterAutospacing="0" w:line="360" w:lineRule="auto"/>
                    <w:ind w:left="0" w:right="0"/>
                    <w:jc w:val="left"/>
                    <w:rPr>
                      <w:rFonts w:hint="default" w:ascii="Times New Roman" w:hAnsi="Times New Roman" w:eastAsia="宋体" w:cs="Times New Roman"/>
                      <w:color w:val="000000"/>
                      <w:kern w:val="2"/>
                      <w:sz w:val="21"/>
                      <w:szCs w:val="21"/>
                      <w:highlight w:val="none"/>
                    </w:rPr>
                  </w:pPr>
                  <w:r>
                    <w:rPr>
                      <w:rFonts w:hint="eastAsia" w:ascii="Times New Roman" w:cs="Times New Roman"/>
                      <w:color w:val="000000"/>
                      <w:kern w:val="2"/>
                      <w:sz w:val="21"/>
                      <w:szCs w:val="21"/>
                      <w:highlight w:val="none"/>
                      <w:lang w:val="en-US" w:eastAsia="zh-CN"/>
                    </w:rPr>
                    <w:t>垃圾桶</w:t>
                  </w:r>
                </w:p>
              </w:tc>
              <w:tc>
                <w:tcPr>
                  <w:tcW w:w="891" w:type="pct"/>
                  <w:vAlign w:val="center"/>
                </w:tcPr>
                <w:p w14:paraId="5E6E52B2">
                  <w:pPr>
                    <w:keepNext w:val="0"/>
                    <w:keepLines w:val="0"/>
                    <w:suppressLineNumbers w:val="0"/>
                    <w:adjustRightInd w:val="0"/>
                    <w:snapToGrid w:val="0"/>
                    <w:spacing w:before="0" w:beforeAutospacing="0" w:after="0" w:afterAutospacing="0" w:line="360" w:lineRule="auto"/>
                    <w:ind w:left="0" w:right="0"/>
                    <w:jc w:val="center"/>
                    <w:rPr>
                      <w:rFonts w:hint="eastAsia" w:ascii="Times New Roman" w:hAnsi="Times New Roman" w:eastAsia="宋体" w:cs="Times New Roman"/>
                      <w:color w:val="000000"/>
                      <w:kern w:val="2"/>
                      <w:sz w:val="21"/>
                      <w:szCs w:val="21"/>
                      <w:highlight w:val="none"/>
                      <w:lang w:val="en-US" w:eastAsia="zh-CN"/>
                    </w:rPr>
                  </w:pPr>
                  <w:r>
                    <w:rPr>
                      <w:rFonts w:hint="eastAsia" w:cs="Times New Roman"/>
                      <w:color w:val="000000"/>
                      <w:kern w:val="2"/>
                      <w:sz w:val="21"/>
                      <w:szCs w:val="21"/>
                      <w:highlight w:val="none"/>
                      <w:lang w:val="en-US" w:eastAsia="zh-CN"/>
                    </w:rPr>
                    <w:t>2</w:t>
                  </w:r>
                </w:p>
              </w:tc>
            </w:tr>
            <w:tr w14:paraId="339759C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99" w:hRule="atLeast"/>
                <w:jc w:val="center"/>
              </w:trPr>
              <w:tc>
                <w:tcPr>
                  <w:tcW w:w="798" w:type="pct"/>
                  <w:vAlign w:val="center"/>
                </w:tcPr>
                <w:p w14:paraId="710E1AB1">
                  <w:pPr>
                    <w:keepNext w:val="0"/>
                    <w:keepLines w:val="0"/>
                    <w:suppressLineNumbers w:val="0"/>
                    <w:adjustRightInd w:val="0"/>
                    <w:snapToGrid w:val="0"/>
                    <w:spacing w:before="0" w:beforeAutospacing="0" w:after="0" w:afterAutospacing="0" w:line="360" w:lineRule="auto"/>
                    <w:ind w:left="0" w:right="0"/>
                    <w:jc w:val="center"/>
                    <w:rPr>
                      <w:rFonts w:hint="eastAsia" w:eastAsia="宋体"/>
                      <w:sz w:val="21"/>
                      <w:szCs w:val="21"/>
                      <w:highlight w:val="none"/>
                      <w:lang w:val="en-US" w:eastAsia="zh-CN"/>
                    </w:rPr>
                  </w:pPr>
                  <w:r>
                    <w:rPr>
                      <w:rFonts w:hint="eastAsia"/>
                      <w:sz w:val="21"/>
                      <w:szCs w:val="21"/>
                      <w:highlight w:val="none"/>
                      <w:lang w:val="en-US" w:eastAsia="zh-CN"/>
                    </w:rPr>
                    <w:t>排污口整治</w:t>
                  </w:r>
                </w:p>
              </w:tc>
              <w:tc>
                <w:tcPr>
                  <w:tcW w:w="3309" w:type="pct"/>
                  <w:vAlign w:val="center"/>
                </w:tcPr>
                <w:p w14:paraId="654F91B6">
                  <w:pPr>
                    <w:keepNext w:val="0"/>
                    <w:keepLines w:val="0"/>
                    <w:suppressLineNumbers w:val="0"/>
                    <w:adjustRightInd w:val="0"/>
                    <w:snapToGrid w:val="0"/>
                    <w:spacing w:before="0" w:beforeAutospacing="0" w:after="0" w:afterAutospacing="0" w:line="360" w:lineRule="auto"/>
                    <w:ind w:left="0" w:right="0"/>
                    <w:jc w:val="left"/>
                    <w:rPr>
                      <w:rFonts w:hint="eastAsia" w:ascii="Times New Roman" w:cs="Times New Roman"/>
                      <w:color w:val="000000"/>
                      <w:kern w:val="2"/>
                      <w:sz w:val="21"/>
                      <w:szCs w:val="21"/>
                      <w:highlight w:val="none"/>
                      <w:lang w:val="en-US" w:eastAsia="zh-CN"/>
                    </w:rPr>
                  </w:pPr>
                  <w:r>
                    <w:rPr>
                      <w:rFonts w:hint="eastAsia" w:ascii="Times New Roman" w:hAnsi="Times New Roman" w:eastAsia="宋体" w:cs="Times New Roman"/>
                      <w:b w:val="0"/>
                      <w:bCs/>
                      <w:color w:val="auto"/>
                      <w:sz w:val="21"/>
                      <w:szCs w:val="21"/>
                      <w:highlight w:val="none"/>
                      <w:vertAlign w:val="baseline"/>
                    </w:rPr>
                    <w:t>环保</w:t>
                  </w:r>
                  <w:r>
                    <w:rPr>
                      <w:rFonts w:hint="eastAsia" w:ascii="Times New Roman" w:hAnsi="Times New Roman" w:eastAsia="宋体" w:cs="Times New Roman"/>
                      <w:b w:val="0"/>
                      <w:bCs/>
                      <w:color w:val="auto"/>
                      <w:sz w:val="21"/>
                      <w:szCs w:val="21"/>
                      <w:highlight w:val="none"/>
                      <w:vertAlign w:val="baseline"/>
                      <w:lang w:val="en-US" w:eastAsia="zh-CN"/>
                    </w:rPr>
                    <w:t>标识</w:t>
                  </w:r>
                  <w:r>
                    <w:rPr>
                      <w:rFonts w:hint="eastAsia" w:ascii="Times New Roman" w:hAnsi="Times New Roman" w:eastAsia="宋体" w:cs="Times New Roman"/>
                      <w:b w:val="0"/>
                      <w:bCs/>
                      <w:color w:val="auto"/>
                      <w:sz w:val="21"/>
                      <w:szCs w:val="21"/>
                      <w:highlight w:val="none"/>
                      <w:vertAlign w:val="baseline"/>
                    </w:rPr>
                    <w:t>牌</w:t>
                  </w:r>
                  <w:r>
                    <w:rPr>
                      <w:rFonts w:hint="eastAsia" w:ascii="Times New Roman" w:hAnsi="Times New Roman" w:eastAsia="宋体" w:cs="Times New Roman"/>
                      <w:b w:val="0"/>
                      <w:bCs/>
                      <w:color w:val="auto"/>
                      <w:sz w:val="21"/>
                      <w:szCs w:val="21"/>
                      <w:highlight w:val="none"/>
                      <w:vertAlign w:val="baseline"/>
                      <w:lang w:eastAsia="zh-CN"/>
                    </w:rPr>
                    <w:t>、</w:t>
                  </w:r>
                  <w:r>
                    <w:rPr>
                      <w:rFonts w:hint="eastAsia" w:ascii="Times New Roman" w:hAnsi="Times New Roman" w:eastAsia="宋体" w:cs="Times New Roman"/>
                      <w:b w:val="0"/>
                      <w:bCs/>
                      <w:color w:val="auto"/>
                      <w:sz w:val="21"/>
                      <w:szCs w:val="21"/>
                      <w:highlight w:val="none"/>
                      <w:vertAlign w:val="baseline"/>
                    </w:rPr>
                    <w:t>排污口规范化建设</w:t>
                  </w:r>
                </w:p>
              </w:tc>
              <w:tc>
                <w:tcPr>
                  <w:tcW w:w="891" w:type="pct"/>
                  <w:vAlign w:val="center"/>
                </w:tcPr>
                <w:p w14:paraId="34F2F0B6">
                  <w:pPr>
                    <w:keepNext w:val="0"/>
                    <w:keepLines w:val="0"/>
                    <w:suppressLineNumbers w:val="0"/>
                    <w:adjustRightInd w:val="0"/>
                    <w:snapToGrid w:val="0"/>
                    <w:spacing w:before="0" w:beforeAutospacing="0" w:after="0" w:afterAutospacing="0" w:line="360" w:lineRule="auto"/>
                    <w:ind w:left="0" w:right="0"/>
                    <w:jc w:val="center"/>
                    <w:rPr>
                      <w:rFonts w:hint="default" w:cs="Times New Roman"/>
                      <w:color w:val="000000"/>
                      <w:kern w:val="2"/>
                      <w:sz w:val="21"/>
                      <w:szCs w:val="21"/>
                      <w:highlight w:val="none"/>
                      <w:lang w:val="en-US" w:eastAsia="zh-CN"/>
                    </w:rPr>
                  </w:pPr>
                  <w:r>
                    <w:rPr>
                      <w:rFonts w:hint="eastAsia" w:cs="Times New Roman"/>
                      <w:color w:val="000000"/>
                      <w:kern w:val="2"/>
                      <w:sz w:val="21"/>
                      <w:szCs w:val="21"/>
                      <w:highlight w:val="none"/>
                      <w:lang w:val="en-US" w:eastAsia="zh-CN"/>
                    </w:rPr>
                    <w:t>5</w:t>
                  </w:r>
                </w:p>
              </w:tc>
            </w:tr>
            <w:tr w14:paraId="028C1CA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98" w:type="pct"/>
                  <w:vAlign w:val="center"/>
                </w:tcPr>
                <w:p w14:paraId="648DD75A">
                  <w:pPr>
                    <w:pStyle w:val="73"/>
                    <w:keepNext w:val="0"/>
                    <w:keepLines w:val="0"/>
                    <w:widowControl w:val="0"/>
                    <w:suppressLineNumbers w:val="0"/>
                    <w:pBdr>
                      <w:left w:val="none" w:color="auto" w:sz="0" w:space="0"/>
                      <w:bottom w:val="none" w:color="auto" w:sz="0" w:space="0"/>
                      <w:right w:val="none" w:color="auto" w:sz="0" w:space="0"/>
                    </w:pBdr>
                    <w:adjustRightInd w:val="0"/>
                    <w:snapToGrid w:val="0"/>
                    <w:spacing w:before="0" w:beforeAutospacing="0" w:after="0" w:afterAutospacing="0"/>
                    <w:ind w:left="0" w:right="0"/>
                    <w:rPr>
                      <w:rFonts w:hint="default" w:ascii="Times New Roman" w:hAnsi="Times New Roman" w:eastAsia="宋体" w:cs="Times New Roman"/>
                      <w:color w:val="000000"/>
                      <w:kern w:val="2"/>
                      <w:sz w:val="21"/>
                      <w:szCs w:val="21"/>
                      <w:highlight w:val="none"/>
                      <w:lang w:val="en-US"/>
                    </w:rPr>
                  </w:pPr>
                  <w:r>
                    <w:rPr>
                      <w:rFonts w:hint="eastAsia" w:ascii="Times New Roman" w:hAnsi="Times New Roman" w:eastAsia="宋体" w:cs="Times New Roman"/>
                      <w:color w:val="000000"/>
                      <w:kern w:val="2"/>
                      <w:sz w:val="21"/>
                      <w:szCs w:val="21"/>
                      <w:highlight w:val="none"/>
                      <w:lang w:val="en-US"/>
                    </w:rPr>
                    <w:t>总计</w:t>
                  </w:r>
                </w:p>
              </w:tc>
              <w:tc>
                <w:tcPr>
                  <w:tcW w:w="3309" w:type="pct"/>
                  <w:vAlign w:val="center"/>
                </w:tcPr>
                <w:p w14:paraId="4D7ABE1D">
                  <w:pPr>
                    <w:pStyle w:val="73"/>
                    <w:keepNext w:val="0"/>
                    <w:keepLines w:val="0"/>
                    <w:widowControl w:val="0"/>
                    <w:suppressLineNumbers w:val="0"/>
                    <w:pBdr>
                      <w:left w:val="none" w:color="auto" w:sz="0" w:space="0"/>
                      <w:bottom w:val="none" w:color="auto" w:sz="0" w:space="0"/>
                      <w:right w:val="none" w:color="auto" w:sz="0" w:space="0"/>
                    </w:pBdr>
                    <w:adjustRightInd w:val="0"/>
                    <w:snapToGrid w:val="0"/>
                    <w:spacing w:before="0" w:beforeAutospacing="0" w:after="0" w:afterAutospacing="0"/>
                    <w:ind w:left="0" w:right="0"/>
                    <w:jc w:val="both"/>
                    <w:rPr>
                      <w:rFonts w:hint="default" w:ascii="Times New Roman" w:hAnsi="Times New Roman" w:eastAsia="宋体" w:cs="Times New Roman"/>
                      <w:color w:val="000000"/>
                      <w:sz w:val="21"/>
                      <w:szCs w:val="21"/>
                      <w:highlight w:val="none"/>
                      <w:lang w:val="en-US"/>
                    </w:rPr>
                  </w:pPr>
                  <w:r>
                    <w:rPr>
                      <w:rFonts w:hint="eastAsia" w:ascii="Times New Roman" w:hAnsi="Times New Roman" w:eastAsia="宋体" w:cs="Times New Roman"/>
                      <w:color w:val="000000"/>
                      <w:sz w:val="21"/>
                      <w:szCs w:val="21"/>
                      <w:highlight w:val="none"/>
                      <w:lang w:val="en-US"/>
                    </w:rPr>
                    <w:t>/</w:t>
                  </w:r>
                </w:p>
              </w:tc>
              <w:tc>
                <w:tcPr>
                  <w:tcW w:w="891" w:type="pct"/>
                  <w:vAlign w:val="center"/>
                </w:tcPr>
                <w:p w14:paraId="28D042DA">
                  <w:pPr>
                    <w:keepNext w:val="0"/>
                    <w:keepLines w:val="0"/>
                    <w:suppressLineNumbers w:val="0"/>
                    <w:adjustRightInd w:val="0"/>
                    <w:snapToGrid w:val="0"/>
                    <w:spacing w:before="0" w:beforeAutospacing="0" w:after="0" w:afterAutospacing="0" w:line="360" w:lineRule="auto"/>
                    <w:ind w:left="0" w:right="0"/>
                    <w:jc w:val="center"/>
                    <w:rPr>
                      <w:rFonts w:hint="default" w:ascii="Times New Roman" w:hAnsi="Times New Roman" w:eastAsia="宋体" w:cs="Times New Roman"/>
                      <w:color w:val="000000"/>
                      <w:sz w:val="21"/>
                      <w:szCs w:val="21"/>
                      <w:highlight w:val="none"/>
                      <w:lang w:val="en-US" w:eastAsia="zh-CN"/>
                    </w:rPr>
                  </w:pPr>
                  <w:r>
                    <w:rPr>
                      <w:rFonts w:hint="eastAsia" w:cs="Times New Roman"/>
                      <w:color w:val="000000"/>
                      <w:sz w:val="21"/>
                      <w:szCs w:val="21"/>
                      <w:highlight w:val="none"/>
                      <w:lang w:val="en-US" w:eastAsia="zh-CN"/>
                    </w:rPr>
                    <w:t>317</w:t>
                  </w:r>
                </w:p>
              </w:tc>
            </w:tr>
            <w:bookmarkEnd w:id="22"/>
            <w:bookmarkEnd w:id="23"/>
          </w:tbl>
          <w:p w14:paraId="684D85B3">
            <w:pPr>
              <w:keepNext w:val="0"/>
              <w:keepLines w:val="0"/>
              <w:suppressLineNumbers w:val="0"/>
              <w:adjustRightInd w:val="0"/>
              <w:snapToGrid w:val="0"/>
              <w:spacing w:before="0" w:beforeAutospacing="0" w:after="0" w:afterAutospacing="0" w:line="343" w:lineRule="auto"/>
              <w:ind w:left="0" w:right="0" w:firstLine="482" w:firstLineChars="200"/>
              <w:rPr>
                <w:rFonts w:hint="default" w:ascii="Times New Roman" w:hAnsi="Times New Roman" w:eastAsia="宋体" w:cs="Times New Roman"/>
                <w:b/>
                <w:highlight w:val="none"/>
              </w:rPr>
            </w:pPr>
          </w:p>
        </w:tc>
      </w:tr>
    </w:tbl>
    <w:p w14:paraId="022B817F">
      <w:pPr>
        <w:rPr>
          <w:highlight w:val="none"/>
        </w:rPr>
        <w:sectPr>
          <w:pgSz w:w="11907" w:h="16840"/>
          <w:pgMar w:top="1701" w:right="1531" w:bottom="1701" w:left="1531" w:header="851" w:footer="851" w:gutter="0"/>
          <w:pgBorders>
            <w:top w:val="none" w:sz="0" w:space="0"/>
            <w:left w:val="none" w:sz="0" w:space="0"/>
            <w:bottom w:val="none" w:sz="0" w:space="0"/>
            <w:right w:val="none" w:sz="0" w:space="0"/>
          </w:pgBorders>
          <w:pgNumType w:fmt="decimal"/>
          <w:cols w:space="720" w:num="1"/>
          <w:docGrid w:linePitch="312" w:charSpace="0"/>
        </w:sectPr>
      </w:pPr>
    </w:p>
    <w:p w14:paraId="5DC65940">
      <w:pPr>
        <w:pStyle w:val="2"/>
        <w:keepLines/>
        <w:widowControl/>
        <w:overflowPunct/>
        <w:adjustRightInd w:val="0"/>
        <w:spacing w:before="240" w:beforeLines="100" w:after="240" w:afterLines="100" w:line="240" w:lineRule="auto"/>
        <w:ind w:left="0" w:firstLine="0"/>
        <w:jc w:val="center"/>
        <w:rPr>
          <w:rFonts w:eastAsia="宋体"/>
          <w:b w:val="0"/>
          <w:color w:val="auto"/>
          <w:highlight w:val="none"/>
          <w:lang w:val="zh-CN"/>
        </w:rPr>
      </w:pPr>
      <w:bookmarkStart w:id="24" w:name="_Toc31532"/>
      <w:bookmarkStart w:id="25" w:name="_Toc66538121"/>
      <w:r>
        <w:rPr>
          <w:rFonts w:hint="eastAsia" w:eastAsia="宋体"/>
          <w:b w:val="0"/>
          <w:color w:val="auto"/>
          <w:highlight w:val="none"/>
          <w:lang w:val="zh-CN"/>
        </w:rPr>
        <w:t>五、</w:t>
      </w:r>
      <w:bookmarkStart w:id="26" w:name="_Hlk54167917"/>
      <w:r>
        <w:rPr>
          <w:rFonts w:hint="eastAsia" w:eastAsia="宋体"/>
          <w:b w:val="0"/>
          <w:color w:val="auto"/>
          <w:highlight w:val="none"/>
          <w:lang w:val="zh-CN"/>
        </w:rPr>
        <w:t>环境保护措施监督检查清单</w:t>
      </w:r>
      <w:bookmarkEnd w:id="24"/>
      <w:bookmarkEnd w:id="25"/>
      <w:bookmarkEnd w:id="26"/>
    </w:p>
    <w:tbl>
      <w:tblPr>
        <w:tblStyle w:val="32"/>
        <w:tblW w:w="9060" w:type="dxa"/>
        <w:jc w:val="center"/>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28" w:type="dxa"/>
          <w:bottom w:w="0" w:type="dxa"/>
          <w:right w:w="28" w:type="dxa"/>
        </w:tblCellMar>
      </w:tblPr>
      <w:tblGrid>
        <w:gridCol w:w="1029"/>
        <w:gridCol w:w="604"/>
        <w:gridCol w:w="1054"/>
        <w:gridCol w:w="1020"/>
        <w:gridCol w:w="3493"/>
        <w:gridCol w:w="1860"/>
      </w:tblGrid>
      <w:tr w14:paraId="066F5E63">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28" w:type="dxa"/>
            <w:bottom w:w="0" w:type="dxa"/>
            <w:right w:w="28" w:type="dxa"/>
          </w:tblCellMar>
        </w:tblPrEx>
        <w:trPr>
          <w:trHeight w:val="0" w:hRule="atLeast"/>
          <w:jc w:val="center"/>
        </w:trPr>
        <w:tc>
          <w:tcPr>
            <w:tcW w:w="1029" w:type="dxa"/>
            <w:tcBorders>
              <w:top w:val="single" w:color="auto" w:sz="8" w:space="0"/>
              <w:tl2br w:val="single" w:color="auto" w:sz="4" w:space="0"/>
            </w:tcBorders>
          </w:tcPr>
          <w:p w14:paraId="2BC8D921">
            <w:pPr>
              <w:keepNext w:val="0"/>
              <w:keepLines w:val="0"/>
              <w:suppressLineNumbers w:val="0"/>
              <w:adjustRightInd w:val="0"/>
              <w:snapToGrid w:val="0"/>
              <w:spacing w:before="0" w:beforeAutospacing="0" w:after="0" w:afterAutospacing="0" w:line="264" w:lineRule="auto"/>
              <w:ind w:left="0" w:right="0"/>
              <w:jc w:val="right"/>
              <w:rPr>
                <w:rFonts w:hint="default"/>
                <w:sz w:val="18"/>
                <w:szCs w:val="18"/>
                <w:highlight w:val="none"/>
              </w:rPr>
            </w:pPr>
            <w:r>
              <w:rPr>
                <w:rFonts w:hint="eastAsia" w:hAnsi="宋体"/>
                <w:sz w:val="18"/>
                <w:szCs w:val="18"/>
                <w:highlight w:val="none"/>
              </w:rPr>
              <w:t>内容</w:t>
            </w:r>
          </w:p>
          <w:p w14:paraId="3CEEB351">
            <w:pPr>
              <w:keepNext w:val="0"/>
              <w:keepLines w:val="0"/>
              <w:suppressLineNumbers w:val="0"/>
              <w:adjustRightInd w:val="0"/>
              <w:snapToGrid w:val="0"/>
              <w:spacing w:before="0" w:beforeAutospacing="0" w:after="0" w:afterAutospacing="0" w:line="264" w:lineRule="auto"/>
              <w:ind w:left="0" w:right="0"/>
              <w:rPr>
                <w:rFonts w:hint="default"/>
                <w:sz w:val="18"/>
                <w:szCs w:val="18"/>
                <w:highlight w:val="none"/>
              </w:rPr>
            </w:pPr>
            <w:r>
              <w:rPr>
                <w:rFonts w:hint="eastAsia" w:hAnsi="宋体"/>
                <w:sz w:val="18"/>
                <w:szCs w:val="18"/>
                <w:highlight w:val="none"/>
              </w:rPr>
              <w:t>要素</w:t>
            </w:r>
          </w:p>
        </w:tc>
        <w:tc>
          <w:tcPr>
            <w:tcW w:w="1658" w:type="dxa"/>
            <w:gridSpan w:val="2"/>
            <w:tcBorders>
              <w:top w:val="single" w:color="auto" w:sz="8" w:space="0"/>
            </w:tcBorders>
            <w:vAlign w:val="center"/>
          </w:tcPr>
          <w:p w14:paraId="0C4FD071">
            <w:pPr>
              <w:keepNext w:val="0"/>
              <w:keepLines w:val="0"/>
              <w:suppressLineNumbers w:val="0"/>
              <w:adjustRightInd w:val="0"/>
              <w:snapToGrid w:val="0"/>
              <w:spacing w:before="0" w:beforeAutospacing="0" w:after="0" w:afterAutospacing="0" w:line="264" w:lineRule="auto"/>
              <w:ind w:left="0" w:right="0"/>
              <w:jc w:val="center"/>
              <w:rPr>
                <w:rFonts w:hint="default"/>
                <w:sz w:val="18"/>
                <w:szCs w:val="18"/>
                <w:highlight w:val="none"/>
              </w:rPr>
            </w:pPr>
            <w:r>
              <w:rPr>
                <w:rFonts w:hint="eastAsia" w:hAnsi="宋体"/>
                <w:sz w:val="18"/>
                <w:szCs w:val="18"/>
                <w:highlight w:val="none"/>
              </w:rPr>
              <w:t>排放口</w:t>
            </w:r>
            <w:r>
              <w:rPr>
                <w:rFonts w:hint="eastAsia"/>
                <w:sz w:val="18"/>
                <w:szCs w:val="18"/>
                <w:highlight w:val="none"/>
              </w:rPr>
              <w:t>（</w:t>
            </w:r>
            <w:r>
              <w:rPr>
                <w:rFonts w:hint="eastAsia" w:hAnsi="宋体"/>
                <w:sz w:val="18"/>
                <w:szCs w:val="18"/>
                <w:highlight w:val="none"/>
              </w:rPr>
              <w:t>编号、名称</w:t>
            </w:r>
            <w:r>
              <w:rPr>
                <w:rFonts w:hint="eastAsia"/>
                <w:sz w:val="18"/>
                <w:szCs w:val="18"/>
                <w:highlight w:val="none"/>
              </w:rPr>
              <w:t>）</w:t>
            </w:r>
            <w:r>
              <w:rPr>
                <w:rFonts w:hint="default"/>
                <w:sz w:val="18"/>
                <w:szCs w:val="18"/>
                <w:highlight w:val="none"/>
              </w:rPr>
              <w:t>/</w:t>
            </w:r>
            <w:r>
              <w:rPr>
                <w:rFonts w:hint="eastAsia" w:hAnsi="宋体"/>
                <w:sz w:val="18"/>
                <w:szCs w:val="18"/>
                <w:highlight w:val="none"/>
              </w:rPr>
              <w:t>污染源</w:t>
            </w:r>
          </w:p>
        </w:tc>
        <w:tc>
          <w:tcPr>
            <w:tcW w:w="1020" w:type="dxa"/>
            <w:tcBorders>
              <w:top w:val="single" w:color="auto" w:sz="8" w:space="0"/>
            </w:tcBorders>
            <w:vAlign w:val="center"/>
          </w:tcPr>
          <w:p w14:paraId="6C73CD3F">
            <w:pPr>
              <w:keepNext w:val="0"/>
              <w:keepLines w:val="0"/>
              <w:suppressLineNumbers w:val="0"/>
              <w:adjustRightInd w:val="0"/>
              <w:snapToGrid w:val="0"/>
              <w:spacing w:before="0" w:beforeAutospacing="0" w:after="0" w:afterAutospacing="0" w:line="264" w:lineRule="auto"/>
              <w:ind w:left="0" w:right="0"/>
              <w:jc w:val="center"/>
              <w:rPr>
                <w:rFonts w:hint="default"/>
                <w:sz w:val="18"/>
                <w:szCs w:val="18"/>
                <w:highlight w:val="none"/>
              </w:rPr>
            </w:pPr>
            <w:r>
              <w:rPr>
                <w:rFonts w:hint="eastAsia" w:hAnsi="宋体"/>
                <w:sz w:val="18"/>
                <w:szCs w:val="18"/>
                <w:highlight w:val="none"/>
              </w:rPr>
              <w:t>污染物项目</w:t>
            </w:r>
          </w:p>
        </w:tc>
        <w:tc>
          <w:tcPr>
            <w:tcW w:w="3493" w:type="dxa"/>
            <w:tcBorders>
              <w:top w:val="single" w:color="auto" w:sz="8" w:space="0"/>
            </w:tcBorders>
            <w:vAlign w:val="center"/>
          </w:tcPr>
          <w:p w14:paraId="63534F40">
            <w:pPr>
              <w:keepNext w:val="0"/>
              <w:keepLines w:val="0"/>
              <w:suppressLineNumbers w:val="0"/>
              <w:adjustRightInd w:val="0"/>
              <w:snapToGrid w:val="0"/>
              <w:spacing w:before="0" w:beforeAutospacing="0" w:after="0" w:afterAutospacing="0" w:line="264" w:lineRule="auto"/>
              <w:ind w:left="0" w:right="0"/>
              <w:jc w:val="center"/>
              <w:rPr>
                <w:rFonts w:hint="default"/>
                <w:sz w:val="18"/>
                <w:szCs w:val="18"/>
                <w:highlight w:val="none"/>
              </w:rPr>
            </w:pPr>
            <w:r>
              <w:rPr>
                <w:rFonts w:hint="eastAsia" w:hAnsi="宋体"/>
                <w:sz w:val="18"/>
                <w:szCs w:val="18"/>
                <w:highlight w:val="none"/>
              </w:rPr>
              <w:t>环境保护措施</w:t>
            </w:r>
          </w:p>
        </w:tc>
        <w:tc>
          <w:tcPr>
            <w:tcW w:w="1860" w:type="dxa"/>
            <w:tcBorders>
              <w:top w:val="single" w:color="auto" w:sz="8" w:space="0"/>
            </w:tcBorders>
            <w:vAlign w:val="center"/>
          </w:tcPr>
          <w:p w14:paraId="75B6EEE6">
            <w:pPr>
              <w:keepNext w:val="0"/>
              <w:keepLines w:val="0"/>
              <w:suppressLineNumbers w:val="0"/>
              <w:adjustRightInd w:val="0"/>
              <w:snapToGrid w:val="0"/>
              <w:spacing w:before="0" w:beforeAutospacing="0" w:after="0" w:afterAutospacing="0" w:line="264" w:lineRule="auto"/>
              <w:ind w:left="0" w:right="0"/>
              <w:jc w:val="center"/>
              <w:rPr>
                <w:rFonts w:hint="default"/>
                <w:sz w:val="18"/>
                <w:szCs w:val="18"/>
                <w:highlight w:val="none"/>
              </w:rPr>
            </w:pPr>
            <w:r>
              <w:rPr>
                <w:rFonts w:hint="eastAsia" w:hAnsi="宋体"/>
                <w:sz w:val="18"/>
                <w:szCs w:val="18"/>
                <w:highlight w:val="none"/>
              </w:rPr>
              <w:t>执行标准</w:t>
            </w:r>
          </w:p>
        </w:tc>
      </w:tr>
      <w:tr w14:paraId="3216C26D">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28" w:type="dxa"/>
            <w:bottom w:w="0" w:type="dxa"/>
            <w:right w:w="28" w:type="dxa"/>
          </w:tblCellMar>
        </w:tblPrEx>
        <w:trPr>
          <w:trHeight w:val="0" w:hRule="atLeast"/>
          <w:jc w:val="center"/>
        </w:trPr>
        <w:tc>
          <w:tcPr>
            <w:tcW w:w="1029" w:type="dxa"/>
            <w:vMerge w:val="restart"/>
            <w:vAlign w:val="center"/>
          </w:tcPr>
          <w:p w14:paraId="5EB46BE7">
            <w:pPr>
              <w:keepNext w:val="0"/>
              <w:keepLines w:val="0"/>
              <w:suppressLineNumbers w:val="0"/>
              <w:adjustRightInd w:val="0"/>
              <w:snapToGrid w:val="0"/>
              <w:spacing w:before="0" w:beforeAutospacing="0" w:after="0" w:afterAutospacing="0" w:line="264" w:lineRule="auto"/>
              <w:ind w:left="0" w:right="0"/>
              <w:jc w:val="center"/>
              <w:rPr>
                <w:rFonts w:hint="default" w:hAnsi="宋体"/>
                <w:sz w:val="18"/>
                <w:szCs w:val="18"/>
                <w:highlight w:val="none"/>
              </w:rPr>
            </w:pPr>
            <w:r>
              <w:rPr>
                <w:rFonts w:hint="eastAsia" w:hAnsi="宋体"/>
                <w:sz w:val="18"/>
                <w:szCs w:val="18"/>
                <w:highlight w:val="none"/>
              </w:rPr>
              <w:t>大气环境</w:t>
            </w:r>
          </w:p>
        </w:tc>
        <w:tc>
          <w:tcPr>
            <w:tcW w:w="604" w:type="dxa"/>
            <w:vMerge w:val="restart"/>
            <w:vAlign w:val="center"/>
          </w:tcPr>
          <w:p w14:paraId="185CE60F">
            <w:pPr>
              <w:keepNext w:val="0"/>
              <w:keepLines w:val="0"/>
              <w:suppressLineNumbers w:val="0"/>
              <w:adjustRightInd w:val="0"/>
              <w:snapToGrid w:val="0"/>
              <w:spacing w:before="0" w:beforeAutospacing="0" w:after="0" w:afterAutospacing="0" w:line="276" w:lineRule="auto"/>
              <w:ind w:left="0" w:right="0"/>
              <w:rPr>
                <w:rFonts w:hint="eastAsia" w:eastAsia="宋体"/>
                <w:sz w:val="18"/>
                <w:szCs w:val="18"/>
                <w:highlight w:val="none"/>
                <w:lang w:val="en-US" w:eastAsia="zh-CN"/>
              </w:rPr>
            </w:pPr>
            <w:r>
              <w:rPr>
                <w:rFonts w:hint="eastAsia"/>
                <w:sz w:val="18"/>
                <w:szCs w:val="18"/>
                <w:highlight w:val="none"/>
                <w:lang w:val="en-US" w:eastAsia="zh-CN"/>
              </w:rPr>
              <w:t>实验动物中心</w:t>
            </w:r>
          </w:p>
        </w:tc>
        <w:tc>
          <w:tcPr>
            <w:tcW w:w="1054" w:type="dxa"/>
            <w:vMerge w:val="restart"/>
            <w:vAlign w:val="center"/>
          </w:tcPr>
          <w:p w14:paraId="17E2D08D">
            <w:pPr>
              <w:keepNext w:val="0"/>
              <w:keepLines w:val="0"/>
              <w:suppressLineNumbers w:val="0"/>
              <w:adjustRightInd w:val="0"/>
              <w:snapToGrid w:val="0"/>
              <w:spacing w:before="0" w:beforeAutospacing="0" w:after="0" w:afterAutospacing="0" w:line="276" w:lineRule="auto"/>
              <w:ind w:left="0" w:right="0"/>
              <w:rPr>
                <w:rFonts w:hint="eastAsia"/>
                <w:sz w:val="18"/>
                <w:szCs w:val="18"/>
                <w:highlight w:val="none"/>
                <w:lang w:val="en-US" w:eastAsia="zh-CN"/>
              </w:rPr>
            </w:pPr>
            <w:r>
              <w:rPr>
                <w:rFonts w:hint="eastAsia"/>
                <w:sz w:val="18"/>
                <w:szCs w:val="18"/>
                <w:highlight w:val="none"/>
                <w:lang w:val="en-US" w:eastAsia="zh-CN"/>
              </w:rPr>
              <w:t>动物饲养</w:t>
            </w:r>
            <w:r>
              <w:rPr>
                <w:rFonts w:hint="eastAsia"/>
                <w:sz w:val="18"/>
                <w:szCs w:val="18"/>
                <w:highlight w:val="none"/>
              </w:rPr>
              <w:t>废气</w:t>
            </w:r>
            <w:r>
              <w:rPr>
                <w:rFonts w:hint="eastAsia"/>
                <w:sz w:val="18"/>
                <w:szCs w:val="18"/>
                <w:highlight w:val="none"/>
                <w:lang w:eastAsia="zh-CN"/>
              </w:rPr>
              <w:t>、</w:t>
            </w:r>
            <w:r>
              <w:rPr>
                <w:rFonts w:hint="eastAsia"/>
                <w:sz w:val="18"/>
                <w:szCs w:val="18"/>
                <w:highlight w:val="none"/>
                <w:lang w:val="en-US" w:eastAsia="zh-CN"/>
              </w:rPr>
              <w:t>污水处理站废气</w:t>
            </w:r>
            <w:r>
              <w:rPr>
                <w:rFonts w:hint="eastAsia"/>
                <w:sz w:val="18"/>
                <w:szCs w:val="18"/>
                <w:highlight w:val="none"/>
              </w:rPr>
              <w:t>排气筒（DA001</w:t>
            </w:r>
            <w:r>
              <w:rPr>
                <w:rFonts w:hint="eastAsia"/>
                <w:sz w:val="18"/>
                <w:szCs w:val="18"/>
                <w:highlight w:val="none"/>
                <w:lang w:val="en-US" w:eastAsia="zh-CN"/>
              </w:rPr>
              <w:t>~DA005</w:t>
            </w:r>
            <w:r>
              <w:rPr>
                <w:rFonts w:hint="eastAsia"/>
                <w:sz w:val="18"/>
                <w:szCs w:val="18"/>
                <w:highlight w:val="none"/>
              </w:rPr>
              <w:t>）</w:t>
            </w:r>
          </w:p>
        </w:tc>
        <w:tc>
          <w:tcPr>
            <w:tcW w:w="1020" w:type="dxa"/>
            <w:vMerge w:val="restart"/>
            <w:vAlign w:val="center"/>
          </w:tcPr>
          <w:p w14:paraId="26AB8009">
            <w:pPr>
              <w:keepNext w:val="0"/>
              <w:keepLines w:val="0"/>
              <w:suppressLineNumbers w:val="0"/>
              <w:adjustRightInd w:val="0"/>
              <w:snapToGrid w:val="0"/>
              <w:spacing w:before="0" w:beforeAutospacing="0" w:after="0" w:afterAutospacing="0" w:line="276" w:lineRule="auto"/>
              <w:ind w:left="0" w:right="0"/>
              <w:rPr>
                <w:rFonts w:hint="default" w:eastAsia="宋体"/>
                <w:sz w:val="18"/>
                <w:szCs w:val="18"/>
                <w:highlight w:val="none"/>
                <w:lang w:val="en-US" w:eastAsia="zh-CN"/>
              </w:rPr>
            </w:pPr>
            <w:r>
              <w:rPr>
                <w:rFonts w:hint="eastAsia"/>
                <w:sz w:val="18"/>
                <w:szCs w:val="18"/>
                <w:highlight w:val="none"/>
              </w:rPr>
              <w:t>氨、硫化氢、臭气浓度</w:t>
            </w:r>
            <w:r>
              <w:rPr>
                <w:rFonts w:hint="eastAsia"/>
                <w:sz w:val="18"/>
                <w:szCs w:val="18"/>
                <w:highlight w:val="none"/>
                <w:lang w:eastAsia="zh-CN"/>
              </w:rPr>
              <w:t>、</w:t>
            </w:r>
            <w:r>
              <w:rPr>
                <w:rFonts w:hint="eastAsia"/>
                <w:sz w:val="18"/>
                <w:szCs w:val="18"/>
                <w:highlight w:val="none"/>
                <w:lang w:val="en-US" w:eastAsia="zh-CN"/>
              </w:rPr>
              <w:t>颗粒物</w:t>
            </w:r>
          </w:p>
        </w:tc>
        <w:tc>
          <w:tcPr>
            <w:tcW w:w="3493" w:type="dxa"/>
            <w:vAlign w:val="center"/>
          </w:tcPr>
          <w:p w14:paraId="7C6E0DAD">
            <w:pPr>
              <w:keepNext w:val="0"/>
              <w:keepLines w:val="0"/>
              <w:suppressLineNumbers w:val="0"/>
              <w:adjustRightInd w:val="0"/>
              <w:snapToGrid w:val="0"/>
              <w:spacing w:before="0" w:beforeAutospacing="0" w:after="0" w:afterAutospacing="0" w:line="264" w:lineRule="auto"/>
              <w:ind w:left="0" w:right="0"/>
              <w:jc w:val="both"/>
              <w:rPr>
                <w:rFonts w:hint="default" w:eastAsia="宋体"/>
                <w:sz w:val="18"/>
                <w:szCs w:val="18"/>
                <w:highlight w:val="none"/>
                <w:lang w:val="en-US" w:eastAsia="zh-CN"/>
              </w:rPr>
            </w:pPr>
            <w:r>
              <w:rPr>
                <w:rFonts w:hint="eastAsia"/>
                <w:sz w:val="18"/>
                <w:szCs w:val="18"/>
                <w:highlight w:val="none"/>
                <w:lang w:val="en-US" w:eastAsia="zh-CN"/>
              </w:rPr>
              <w:t>实验动物中心一层</w:t>
            </w:r>
            <w:r>
              <w:rPr>
                <w:rFonts w:hint="default" w:ascii="Times New Roman" w:hAnsi="Times New Roman" w:eastAsia="宋体" w:cs="Times New Roman"/>
                <w:bCs/>
                <w:sz w:val="18"/>
                <w:szCs w:val="18"/>
                <w:highlight w:val="none"/>
              </w:rPr>
              <w:t>动物饲养</w:t>
            </w:r>
            <w:r>
              <w:rPr>
                <w:rFonts w:hint="eastAsia" w:ascii="Times New Roman" w:hAnsi="Times New Roman" w:eastAsia="宋体" w:cs="Times New Roman"/>
                <w:bCs/>
                <w:sz w:val="18"/>
                <w:szCs w:val="18"/>
                <w:highlight w:val="none"/>
              </w:rPr>
              <w:t>区域</w:t>
            </w:r>
            <w:r>
              <w:rPr>
                <w:rFonts w:hint="eastAsia" w:ascii="Times New Roman" w:hAnsi="Times New Roman" w:eastAsia="宋体" w:cs="Times New Roman"/>
                <w:bCs/>
                <w:sz w:val="18"/>
                <w:szCs w:val="18"/>
                <w:highlight w:val="none"/>
                <w:lang w:val="en-US" w:eastAsia="zh-CN"/>
              </w:rPr>
              <w:t>恶臭气体和污水处理站恶臭气体一并经收集后引入溶液空调自带喷淋除臭装置处理后通过30m高排气筒（DA001）高空排放，废气风量为21283m</w:t>
            </w:r>
            <w:r>
              <w:rPr>
                <w:rFonts w:hint="eastAsia" w:ascii="Times New Roman" w:hAnsi="Times New Roman" w:eastAsia="宋体" w:cs="Times New Roman"/>
                <w:bCs/>
                <w:sz w:val="18"/>
                <w:szCs w:val="18"/>
                <w:highlight w:val="none"/>
                <w:vertAlign w:val="superscript"/>
                <w:lang w:val="en-US" w:eastAsia="zh-CN"/>
              </w:rPr>
              <w:t>3</w:t>
            </w:r>
            <w:r>
              <w:rPr>
                <w:rFonts w:hint="eastAsia" w:ascii="Times New Roman" w:hAnsi="Times New Roman" w:eastAsia="宋体" w:cs="Times New Roman"/>
                <w:bCs/>
                <w:sz w:val="18"/>
                <w:szCs w:val="18"/>
                <w:highlight w:val="none"/>
                <w:lang w:val="en-US" w:eastAsia="zh-CN"/>
              </w:rPr>
              <w:t>/h。</w:t>
            </w:r>
          </w:p>
        </w:tc>
        <w:tc>
          <w:tcPr>
            <w:tcW w:w="1860" w:type="dxa"/>
            <w:vMerge w:val="restart"/>
            <w:vAlign w:val="center"/>
          </w:tcPr>
          <w:p w14:paraId="1619CB6E">
            <w:pPr>
              <w:keepNext w:val="0"/>
              <w:keepLines w:val="0"/>
              <w:suppressLineNumbers w:val="0"/>
              <w:adjustRightInd w:val="0"/>
              <w:snapToGrid w:val="0"/>
              <w:spacing w:before="0" w:beforeAutospacing="0" w:after="0" w:afterAutospacing="0" w:line="264" w:lineRule="auto"/>
              <w:ind w:left="0" w:right="0"/>
              <w:rPr>
                <w:rFonts w:hint="eastAsia" w:eastAsia="宋体"/>
                <w:bCs/>
                <w:sz w:val="18"/>
                <w:szCs w:val="18"/>
                <w:highlight w:val="none"/>
                <w:lang w:eastAsia="zh-CN"/>
              </w:rPr>
            </w:pPr>
            <w:r>
              <w:rPr>
                <w:rFonts w:hint="eastAsia"/>
                <w:bCs/>
                <w:sz w:val="18"/>
                <w:szCs w:val="18"/>
                <w:highlight w:val="none"/>
              </w:rPr>
              <w:t>《恶臭污染物排放标准》（GB14554-93）表2</w:t>
            </w:r>
            <w:r>
              <w:rPr>
                <w:rFonts w:hint="eastAsia"/>
                <w:bCs/>
                <w:sz w:val="18"/>
                <w:szCs w:val="18"/>
                <w:highlight w:val="none"/>
                <w:lang w:eastAsia="zh-CN"/>
              </w:rPr>
              <w:t>、</w:t>
            </w:r>
            <w:r>
              <w:rPr>
                <w:rFonts w:hint="eastAsia"/>
                <w:bCs/>
                <w:sz w:val="18"/>
                <w:szCs w:val="18"/>
                <w:highlight w:val="none"/>
              </w:rPr>
              <w:t>《大气污染物综合排放标准》（GB16297-1996）中表2</w:t>
            </w:r>
          </w:p>
        </w:tc>
      </w:tr>
      <w:tr w14:paraId="1B0B715E">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28" w:type="dxa"/>
            <w:bottom w:w="0" w:type="dxa"/>
            <w:right w:w="28" w:type="dxa"/>
          </w:tblCellMar>
        </w:tblPrEx>
        <w:trPr>
          <w:trHeight w:val="0" w:hRule="atLeast"/>
          <w:jc w:val="center"/>
        </w:trPr>
        <w:tc>
          <w:tcPr>
            <w:tcW w:w="1029" w:type="dxa"/>
            <w:vMerge w:val="continue"/>
            <w:vAlign w:val="center"/>
          </w:tcPr>
          <w:p w14:paraId="72DD84A3">
            <w:pPr>
              <w:keepNext w:val="0"/>
              <w:keepLines w:val="0"/>
              <w:suppressLineNumbers w:val="0"/>
              <w:adjustRightInd w:val="0"/>
              <w:snapToGrid w:val="0"/>
              <w:spacing w:before="0" w:beforeAutospacing="0" w:after="0" w:afterAutospacing="0" w:line="264" w:lineRule="auto"/>
              <w:ind w:left="0" w:right="0"/>
              <w:jc w:val="both"/>
              <w:rPr>
                <w:rFonts w:hint="default"/>
                <w:sz w:val="18"/>
                <w:szCs w:val="18"/>
                <w:highlight w:val="none"/>
              </w:rPr>
            </w:pPr>
          </w:p>
        </w:tc>
        <w:tc>
          <w:tcPr>
            <w:tcW w:w="604" w:type="dxa"/>
            <w:vMerge w:val="continue"/>
            <w:vAlign w:val="center"/>
          </w:tcPr>
          <w:p w14:paraId="42BA6F9D">
            <w:pPr>
              <w:keepNext w:val="0"/>
              <w:keepLines w:val="0"/>
              <w:suppressLineNumbers w:val="0"/>
              <w:adjustRightInd w:val="0"/>
              <w:snapToGrid w:val="0"/>
              <w:spacing w:before="0" w:beforeAutospacing="0" w:after="0" w:afterAutospacing="0" w:line="264" w:lineRule="auto"/>
              <w:ind w:left="0" w:right="0"/>
              <w:jc w:val="both"/>
              <w:rPr>
                <w:rFonts w:hint="default"/>
                <w:sz w:val="18"/>
                <w:szCs w:val="18"/>
                <w:highlight w:val="none"/>
              </w:rPr>
            </w:pPr>
          </w:p>
        </w:tc>
        <w:tc>
          <w:tcPr>
            <w:tcW w:w="1054" w:type="dxa"/>
            <w:vMerge w:val="continue"/>
            <w:vAlign w:val="center"/>
          </w:tcPr>
          <w:p w14:paraId="26AEEC1D">
            <w:pPr>
              <w:keepNext w:val="0"/>
              <w:keepLines w:val="0"/>
              <w:suppressLineNumbers w:val="0"/>
              <w:adjustRightInd w:val="0"/>
              <w:snapToGrid w:val="0"/>
              <w:spacing w:before="0" w:beforeAutospacing="0" w:after="0" w:afterAutospacing="0" w:line="264" w:lineRule="auto"/>
              <w:ind w:left="0" w:right="0"/>
              <w:jc w:val="both"/>
              <w:rPr>
                <w:rFonts w:hint="default"/>
                <w:sz w:val="18"/>
                <w:szCs w:val="18"/>
                <w:highlight w:val="none"/>
              </w:rPr>
            </w:pPr>
          </w:p>
        </w:tc>
        <w:tc>
          <w:tcPr>
            <w:tcW w:w="1020" w:type="dxa"/>
            <w:vMerge w:val="continue"/>
            <w:vAlign w:val="center"/>
          </w:tcPr>
          <w:p w14:paraId="3DEBC7F2">
            <w:pPr>
              <w:keepNext w:val="0"/>
              <w:keepLines w:val="0"/>
              <w:suppressLineNumbers w:val="0"/>
              <w:adjustRightInd w:val="0"/>
              <w:snapToGrid w:val="0"/>
              <w:spacing w:before="0" w:beforeAutospacing="0" w:after="0" w:afterAutospacing="0" w:line="264" w:lineRule="auto"/>
              <w:ind w:left="0" w:right="0"/>
              <w:jc w:val="both"/>
              <w:rPr>
                <w:rFonts w:hint="default"/>
                <w:sz w:val="18"/>
                <w:szCs w:val="18"/>
                <w:highlight w:val="none"/>
              </w:rPr>
            </w:pPr>
          </w:p>
        </w:tc>
        <w:tc>
          <w:tcPr>
            <w:tcW w:w="3493" w:type="dxa"/>
            <w:vAlign w:val="center"/>
          </w:tcPr>
          <w:p w14:paraId="69E28770">
            <w:pPr>
              <w:keepNext w:val="0"/>
              <w:keepLines w:val="0"/>
              <w:suppressLineNumbers w:val="0"/>
              <w:adjustRightInd w:val="0"/>
              <w:snapToGrid w:val="0"/>
              <w:spacing w:before="0" w:beforeAutospacing="0" w:after="0" w:afterAutospacing="0" w:line="264" w:lineRule="auto"/>
              <w:ind w:left="0" w:right="0"/>
              <w:jc w:val="both"/>
              <w:rPr>
                <w:rFonts w:hint="default" w:ascii="Times New Roman" w:hAnsi="Times New Roman" w:eastAsia="宋体" w:cs="Times New Roman"/>
                <w:bCs/>
                <w:sz w:val="18"/>
                <w:szCs w:val="18"/>
                <w:highlight w:val="none"/>
              </w:rPr>
            </w:pPr>
            <w:r>
              <w:rPr>
                <w:rFonts w:hint="eastAsia" w:ascii="Times New Roman" w:hAnsi="Times New Roman" w:eastAsia="宋体" w:cs="Times New Roman"/>
                <w:bCs/>
                <w:sz w:val="18"/>
                <w:szCs w:val="18"/>
                <w:highlight w:val="none"/>
                <w:lang w:val="en-US" w:eastAsia="zh-CN"/>
              </w:rPr>
              <w:t>其余楼层</w:t>
            </w:r>
            <w:r>
              <w:rPr>
                <w:rFonts w:hint="default" w:ascii="Times New Roman" w:hAnsi="Times New Roman" w:eastAsia="宋体" w:cs="Times New Roman"/>
                <w:bCs/>
                <w:sz w:val="18"/>
                <w:szCs w:val="18"/>
                <w:highlight w:val="none"/>
              </w:rPr>
              <w:t>动物饲养</w:t>
            </w:r>
            <w:r>
              <w:rPr>
                <w:rFonts w:hint="eastAsia" w:ascii="Times New Roman" w:hAnsi="Times New Roman" w:eastAsia="宋体" w:cs="Times New Roman"/>
                <w:bCs/>
                <w:sz w:val="18"/>
                <w:szCs w:val="18"/>
                <w:highlight w:val="none"/>
              </w:rPr>
              <w:t>区域</w:t>
            </w:r>
            <w:r>
              <w:rPr>
                <w:rFonts w:hint="eastAsia" w:ascii="Times New Roman" w:hAnsi="Times New Roman" w:eastAsia="宋体" w:cs="Times New Roman"/>
                <w:bCs/>
                <w:sz w:val="18"/>
                <w:szCs w:val="18"/>
                <w:highlight w:val="none"/>
                <w:lang w:val="en-US" w:eastAsia="zh-CN"/>
              </w:rPr>
              <w:t>恶臭气体经收集后引入2套溶液空调自带喷淋除臭装置和2套一体扰流喷淋除臭装置处理后分别通过4根30m高排气筒（DA002~DA005）高空排放，废气风量分别为</w:t>
            </w:r>
            <w:r>
              <w:rPr>
                <w:rFonts w:hint="eastAsia"/>
                <w:bCs/>
                <w:kern w:val="0"/>
                <w:sz w:val="18"/>
                <w:szCs w:val="18"/>
                <w:highlight w:val="none"/>
                <w:lang w:val="en-US" w:eastAsia="zh-CN"/>
              </w:rPr>
              <w:t>4860</w:t>
            </w:r>
            <w:r>
              <w:rPr>
                <w:rFonts w:hint="eastAsia" w:ascii="Times New Roman" w:hAnsi="Times New Roman" w:eastAsia="宋体" w:cs="Times New Roman"/>
                <w:bCs/>
                <w:sz w:val="18"/>
                <w:szCs w:val="18"/>
                <w:highlight w:val="none"/>
                <w:lang w:val="en-US" w:eastAsia="zh-CN"/>
              </w:rPr>
              <w:t>m</w:t>
            </w:r>
            <w:r>
              <w:rPr>
                <w:rFonts w:hint="eastAsia" w:ascii="Times New Roman" w:hAnsi="Times New Roman" w:eastAsia="宋体" w:cs="Times New Roman"/>
                <w:bCs/>
                <w:sz w:val="18"/>
                <w:szCs w:val="18"/>
                <w:highlight w:val="none"/>
                <w:vertAlign w:val="superscript"/>
                <w:lang w:val="en-US" w:eastAsia="zh-CN"/>
              </w:rPr>
              <w:t>3</w:t>
            </w:r>
            <w:r>
              <w:rPr>
                <w:rFonts w:hint="eastAsia" w:ascii="Times New Roman" w:hAnsi="Times New Roman" w:eastAsia="宋体" w:cs="Times New Roman"/>
                <w:bCs/>
                <w:sz w:val="18"/>
                <w:szCs w:val="18"/>
                <w:highlight w:val="none"/>
                <w:lang w:val="en-US" w:eastAsia="zh-CN"/>
              </w:rPr>
              <w:t>/h、</w:t>
            </w:r>
            <w:r>
              <w:rPr>
                <w:rFonts w:hint="eastAsia"/>
                <w:bCs/>
                <w:kern w:val="0"/>
                <w:sz w:val="18"/>
                <w:szCs w:val="18"/>
                <w:highlight w:val="none"/>
                <w:lang w:val="en-US" w:eastAsia="zh-CN"/>
              </w:rPr>
              <w:t>21375</w:t>
            </w:r>
            <w:r>
              <w:rPr>
                <w:rFonts w:hint="eastAsia" w:ascii="Times New Roman" w:hAnsi="Times New Roman" w:eastAsia="宋体" w:cs="Times New Roman"/>
                <w:bCs/>
                <w:sz w:val="18"/>
                <w:szCs w:val="18"/>
                <w:highlight w:val="none"/>
                <w:lang w:val="en-US" w:eastAsia="zh-CN"/>
              </w:rPr>
              <w:t>m</w:t>
            </w:r>
            <w:r>
              <w:rPr>
                <w:rFonts w:hint="eastAsia" w:ascii="Times New Roman" w:hAnsi="Times New Roman" w:eastAsia="宋体" w:cs="Times New Roman"/>
                <w:bCs/>
                <w:sz w:val="18"/>
                <w:szCs w:val="18"/>
                <w:highlight w:val="none"/>
                <w:vertAlign w:val="superscript"/>
                <w:lang w:val="en-US" w:eastAsia="zh-CN"/>
              </w:rPr>
              <w:t>3</w:t>
            </w:r>
            <w:r>
              <w:rPr>
                <w:rFonts w:hint="eastAsia" w:ascii="Times New Roman" w:hAnsi="Times New Roman" w:eastAsia="宋体" w:cs="Times New Roman"/>
                <w:bCs/>
                <w:sz w:val="18"/>
                <w:szCs w:val="18"/>
                <w:highlight w:val="none"/>
                <w:lang w:val="en-US" w:eastAsia="zh-CN"/>
              </w:rPr>
              <w:t>/h、</w:t>
            </w:r>
            <w:r>
              <w:rPr>
                <w:rFonts w:hint="eastAsia"/>
                <w:bCs/>
                <w:kern w:val="0"/>
                <w:sz w:val="18"/>
                <w:szCs w:val="18"/>
                <w:highlight w:val="none"/>
                <w:lang w:val="en-US" w:eastAsia="zh-CN"/>
              </w:rPr>
              <w:t>6809</w:t>
            </w:r>
            <w:r>
              <w:rPr>
                <w:rFonts w:hint="eastAsia" w:ascii="Times New Roman" w:hAnsi="Times New Roman" w:eastAsia="宋体" w:cs="Times New Roman"/>
                <w:bCs/>
                <w:sz w:val="18"/>
                <w:szCs w:val="18"/>
                <w:highlight w:val="none"/>
                <w:lang w:val="en-US" w:eastAsia="zh-CN"/>
              </w:rPr>
              <w:t>m</w:t>
            </w:r>
            <w:r>
              <w:rPr>
                <w:rFonts w:hint="eastAsia" w:ascii="Times New Roman" w:hAnsi="Times New Roman" w:eastAsia="宋体" w:cs="Times New Roman"/>
                <w:bCs/>
                <w:sz w:val="18"/>
                <w:szCs w:val="18"/>
                <w:highlight w:val="none"/>
                <w:vertAlign w:val="superscript"/>
                <w:lang w:val="en-US" w:eastAsia="zh-CN"/>
              </w:rPr>
              <w:t>3</w:t>
            </w:r>
            <w:r>
              <w:rPr>
                <w:rFonts w:hint="eastAsia" w:ascii="Times New Roman" w:hAnsi="Times New Roman" w:eastAsia="宋体" w:cs="Times New Roman"/>
                <w:bCs/>
                <w:sz w:val="18"/>
                <w:szCs w:val="18"/>
                <w:highlight w:val="none"/>
                <w:lang w:val="en-US" w:eastAsia="zh-CN"/>
              </w:rPr>
              <w:t>/h、</w:t>
            </w:r>
            <w:r>
              <w:rPr>
                <w:rFonts w:hint="eastAsia"/>
                <w:bCs/>
                <w:kern w:val="0"/>
                <w:sz w:val="18"/>
                <w:szCs w:val="18"/>
                <w:highlight w:val="none"/>
                <w:lang w:val="en-US" w:eastAsia="zh-CN"/>
              </w:rPr>
              <w:t>19080</w:t>
            </w:r>
            <w:r>
              <w:rPr>
                <w:rFonts w:hint="eastAsia" w:ascii="Times New Roman" w:hAnsi="Times New Roman" w:eastAsia="宋体" w:cs="Times New Roman"/>
                <w:bCs/>
                <w:sz w:val="18"/>
                <w:szCs w:val="18"/>
                <w:highlight w:val="none"/>
                <w:lang w:val="en-US" w:eastAsia="zh-CN"/>
              </w:rPr>
              <w:t>m</w:t>
            </w:r>
            <w:r>
              <w:rPr>
                <w:rFonts w:hint="eastAsia" w:ascii="Times New Roman" w:hAnsi="Times New Roman" w:eastAsia="宋体" w:cs="Times New Roman"/>
                <w:bCs/>
                <w:sz w:val="18"/>
                <w:szCs w:val="18"/>
                <w:highlight w:val="none"/>
                <w:vertAlign w:val="superscript"/>
                <w:lang w:val="en-US" w:eastAsia="zh-CN"/>
              </w:rPr>
              <w:t>3</w:t>
            </w:r>
            <w:r>
              <w:rPr>
                <w:rFonts w:hint="eastAsia" w:ascii="Times New Roman" w:hAnsi="Times New Roman" w:eastAsia="宋体" w:cs="Times New Roman"/>
                <w:bCs/>
                <w:sz w:val="18"/>
                <w:szCs w:val="18"/>
                <w:highlight w:val="none"/>
                <w:lang w:val="en-US" w:eastAsia="zh-CN"/>
              </w:rPr>
              <w:t>/h</w:t>
            </w:r>
            <w:r>
              <w:rPr>
                <w:rFonts w:hint="eastAsia"/>
                <w:sz w:val="18"/>
                <w:szCs w:val="18"/>
                <w:highlight w:val="none"/>
              </w:rPr>
              <w:t>。</w:t>
            </w:r>
          </w:p>
        </w:tc>
        <w:tc>
          <w:tcPr>
            <w:tcW w:w="1860" w:type="dxa"/>
            <w:vMerge w:val="continue"/>
            <w:vAlign w:val="center"/>
          </w:tcPr>
          <w:p w14:paraId="2906124F">
            <w:pPr>
              <w:keepNext w:val="0"/>
              <w:keepLines w:val="0"/>
              <w:suppressLineNumbers w:val="0"/>
              <w:adjustRightInd w:val="0"/>
              <w:snapToGrid w:val="0"/>
              <w:spacing w:before="0" w:beforeAutospacing="0" w:after="0" w:afterAutospacing="0" w:line="264" w:lineRule="auto"/>
              <w:ind w:left="0" w:right="0"/>
              <w:jc w:val="both"/>
              <w:rPr>
                <w:rFonts w:hint="default" w:ascii="Times New Roman" w:hAnsi="Times New Roman" w:eastAsia="宋体" w:cs="Times New Roman"/>
                <w:bCs/>
                <w:sz w:val="18"/>
                <w:szCs w:val="18"/>
                <w:highlight w:val="none"/>
              </w:rPr>
            </w:pPr>
          </w:p>
        </w:tc>
      </w:tr>
      <w:tr w14:paraId="2DA803E0">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28" w:type="dxa"/>
            <w:bottom w:w="0" w:type="dxa"/>
            <w:right w:w="28" w:type="dxa"/>
          </w:tblCellMar>
        </w:tblPrEx>
        <w:trPr>
          <w:trHeight w:val="0" w:hRule="atLeast"/>
          <w:jc w:val="center"/>
        </w:trPr>
        <w:tc>
          <w:tcPr>
            <w:tcW w:w="1029" w:type="dxa"/>
            <w:vMerge w:val="continue"/>
            <w:vAlign w:val="center"/>
          </w:tcPr>
          <w:p w14:paraId="7CF6668F">
            <w:pPr>
              <w:keepNext w:val="0"/>
              <w:keepLines w:val="0"/>
              <w:suppressLineNumbers w:val="0"/>
              <w:adjustRightInd w:val="0"/>
              <w:snapToGrid w:val="0"/>
              <w:spacing w:before="0" w:beforeAutospacing="0" w:after="0" w:afterAutospacing="0" w:line="264" w:lineRule="auto"/>
              <w:ind w:left="0" w:right="0"/>
              <w:jc w:val="center"/>
              <w:rPr>
                <w:rFonts w:hint="eastAsia" w:hAnsi="宋体"/>
                <w:sz w:val="18"/>
                <w:szCs w:val="18"/>
                <w:highlight w:val="none"/>
              </w:rPr>
            </w:pPr>
          </w:p>
        </w:tc>
        <w:tc>
          <w:tcPr>
            <w:tcW w:w="604" w:type="dxa"/>
            <w:vMerge w:val="continue"/>
            <w:vAlign w:val="center"/>
          </w:tcPr>
          <w:p w14:paraId="3BAA8A32">
            <w:pPr>
              <w:keepNext w:val="0"/>
              <w:keepLines w:val="0"/>
              <w:suppressLineNumbers w:val="0"/>
              <w:adjustRightInd w:val="0"/>
              <w:snapToGrid w:val="0"/>
              <w:spacing w:before="0" w:beforeAutospacing="0" w:after="0" w:afterAutospacing="0" w:line="276" w:lineRule="auto"/>
              <w:ind w:left="0" w:right="0"/>
              <w:rPr>
                <w:rFonts w:hint="default"/>
                <w:sz w:val="18"/>
                <w:szCs w:val="18"/>
                <w:highlight w:val="none"/>
                <w:lang w:val="en-US" w:eastAsia="zh-CN"/>
              </w:rPr>
            </w:pPr>
          </w:p>
        </w:tc>
        <w:tc>
          <w:tcPr>
            <w:tcW w:w="1054" w:type="dxa"/>
            <w:vAlign w:val="center"/>
          </w:tcPr>
          <w:p w14:paraId="54AA5080">
            <w:pPr>
              <w:keepNext w:val="0"/>
              <w:keepLines w:val="0"/>
              <w:suppressLineNumbers w:val="0"/>
              <w:adjustRightInd w:val="0"/>
              <w:snapToGrid w:val="0"/>
              <w:spacing w:before="0" w:beforeAutospacing="0" w:after="0" w:afterAutospacing="0" w:line="276" w:lineRule="auto"/>
              <w:ind w:left="0" w:right="0"/>
              <w:rPr>
                <w:rFonts w:hint="eastAsia"/>
                <w:sz w:val="18"/>
                <w:szCs w:val="18"/>
                <w:highlight w:val="none"/>
                <w:lang w:val="en-US" w:eastAsia="zh-CN"/>
              </w:rPr>
            </w:pPr>
            <w:r>
              <w:rPr>
                <w:rFonts w:hint="eastAsia"/>
                <w:sz w:val="18"/>
                <w:szCs w:val="18"/>
                <w:highlight w:val="none"/>
                <w:lang w:val="en-US" w:eastAsia="zh-CN"/>
              </w:rPr>
              <w:t>一层消毒废气</w:t>
            </w:r>
            <w:r>
              <w:rPr>
                <w:rFonts w:hint="eastAsia"/>
                <w:bCs/>
                <w:kern w:val="0"/>
                <w:sz w:val="18"/>
                <w:szCs w:val="18"/>
                <w:highlight w:val="none"/>
                <w:lang w:val="en-US" w:eastAsia="zh-CN"/>
              </w:rPr>
              <w:t>排气筒</w:t>
            </w:r>
            <w:r>
              <w:rPr>
                <w:rFonts w:hint="eastAsia"/>
                <w:sz w:val="18"/>
                <w:szCs w:val="18"/>
                <w:highlight w:val="none"/>
              </w:rPr>
              <w:t>（DA00</w:t>
            </w:r>
            <w:r>
              <w:rPr>
                <w:rFonts w:hint="eastAsia"/>
                <w:sz w:val="18"/>
                <w:szCs w:val="18"/>
                <w:highlight w:val="none"/>
                <w:lang w:val="en-US" w:eastAsia="zh-CN"/>
              </w:rPr>
              <w:t>6</w:t>
            </w:r>
            <w:r>
              <w:rPr>
                <w:rFonts w:hint="eastAsia"/>
                <w:sz w:val="18"/>
                <w:szCs w:val="18"/>
                <w:highlight w:val="none"/>
              </w:rPr>
              <w:t>）</w:t>
            </w:r>
          </w:p>
        </w:tc>
        <w:tc>
          <w:tcPr>
            <w:tcW w:w="1020" w:type="dxa"/>
            <w:vAlign w:val="center"/>
          </w:tcPr>
          <w:p w14:paraId="4CEC99CF">
            <w:pPr>
              <w:keepNext w:val="0"/>
              <w:keepLines w:val="0"/>
              <w:suppressLineNumbers w:val="0"/>
              <w:adjustRightInd w:val="0"/>
              <w:snapToGrid w:val="0"/>
              <w:spacing w:before="0" w:beforeAutospacing="0" w:after="0" w:afterAutospacing="0" w:line="276" w:lineRule="auto"/>
              <w:ind w:left="0" w:right="0"/>
              <w:rPr>
                <w:rFonts w:hint="eastAsia"/>
                <w:sz w:val="18"/>
                <w:szCs w:val="18"/>
                <w:highlight w:val="none"/>
              </w:rPr>
            </w:pPr>
            <w:r>
              <w:rPr>
                <w:rFonts w:hint="eastAsia"/>
                <w:sz w:val="18"/>
                <w:szCs w:val="18"/>
                <w:highlight w:val="none"/>
                <w:lang w:val="en-US" w:eastAsia="zh-CN"/>
              </w:rPr>
              <w:t>非甲烷总烃、氯气</w:t>
            </w:r>
          </w:p>
        </w:tc>
        <w:tc>
          <w:tcPr>
            <w:tcW w:w="3493" w:type="dxa"/>
            <w:vAlign w:val="center"/>
          </w:tcPr>
          <w:p w14:paraId="5095B1E9">
            <w:pPr>
              <w:keepNext w:val="0"/>
              <w:keepLines w:val="0"/>
              <w:suppressLineNumbers w:val="0"/>
              <w:adjustRightInd w:val="0"/>
              <w:snapToGrid w:val="0"/>
              <w:spacing w:before="0" w:beforeAutospacing="0" w:after="0" w:afterAutospacing="0" w:line="264" w:lineRule="auto"/>
              <w:ind w:left="0" w:right="0"/>
              <w:jc w:val="both"/>
              <w:rPr>
                <w:rFonts w:hint="default" w:ascii="Times New Roman" w:hAnsi="Times New Roman" w:eastAsia="宋体" w:cs="Times New Roman"/>
                <w:bCs/>
                <w:sz w:val="18"/>
                <w:szCs w:val="18"/>
                <w:highlight w:val="none"/>
              </w:rPr>
            </w:pPr>
            <w:r>
              <w:rPr>
                <w:rFonts w:hint="eastAsia" w:ascii="Times New Roman" w:hAnsi="Times New Roman" w:eastAsia="宋体" w:cs="Times New Roman"/>
                <w:bCs/>
                <w:sz w:val="18"/>
                <w:szCs w:val="18"/>
                <w:highlight w:val="none"/>
                <w:lang w:val="en-US" w:eastAsia="zh-CN"/>
              </w:rPr>
              <w:t>实验动物中心一层复苏室、准备室、手术室等区域消毒废气经收集后引入活性炭吸附装置处理后通过30m高排气筒（DA006）高空排放，废气风量为</w:t>
            </w:r>
            <w:r>
              <w:rPr>
                <w:rFonts w:hint="eastAsia"/>
                <w:bCs/>
                <w:kern w:val="0"/>
                <w:sz w:val="18"/>
                <w:szCs w:val="18"/>
                <w:highlight w:val="none"/>
                <w:lang w:val="en-US" w:eastAsia="zh-CN"/>
              </w:rPr>
              <w:t>2453</w:t>
            </w:r>
            <w:r>
              <w:rPr>
                <w:rFonts w:hint="eastAsia" w:ascii="Times New Roman" w:hAnsi="Times New Roman" w:eastAsia="宋体" w:cs="Times New Roman"/>
                <w:bCs/>
                <w:sz w:val="18"/>
                <w:szCs w:val="18"/>
                <w:highlight w:val="none"/>
                <w:lang w:val="en-US" w:eastAsia="zh-CN"/>
              </w:rPr>
              <w:t>m</w:t>
            </w:r>
            <w:r>
              <w:rPr>
                <w:rFonts w:hint="eastAsia" w:ascii="Times New Roman" w:hAnsi="Times New Roman" w:eastAsia="宋体" w:cs="Times New Roman"/>
                <w:bCs/>
                <w:sz w:val="18"/>
                <w:szCs w:val="18"/>
                <w:highlight w:val="none"/>
                <w:vertAlign w:val="superscript"/>
                <w:lang w:val="en-US" w:eastAsia="zh-CN"/>
              </w:rPr>
              <w:t>3</w:t>
            </w:r>
            <w:r>
              <w:rPr>
                <w:rFonts w:hint="eastAsia" w:ascii="Times New Roman" w:hAnsi="Times New Roman" w:eastAsia="宋体" w:cs="Times New Roman"/>
                <w:bCs/>
                <w:sz w:val="18"/>
                <w:szCs w:val="18"/>
                <w:highlight w:val="none"/>
                <w:lang w:val="en-US" w:eastAsia="zh-CN"/>
              </w:rPr>
              <w:t>/h</w:t>
            </w:r>
            <w:r>
              <w:rPr>
                <w:rFonts w:hint="eastAsia"/>
                <w:sz w:val="18"/>
                <w:szCs w:val="18"/>
                <w:highlight w:val="none"/>
              </w:rPr>
              <w:t>。</w:t>
            </w:r>
          </w:p>
        </w:tc>
        <w:tc>
          <w:tcPr>
            <w:tcW w:w="1860" w:type="dxa"/>
            <w:vMerge w:val="restart"/>
            <w:vAlign w:val="center"/>
          </w:tcPr>
          <w:p w14:paraId="5FC81C7E">
            <w:pPr>
              <w:keepNext w:val="0"/>
              <w:keepLines w:val="0"/>
              <w:suppressLineNumbers w:val="0"/>
              <w:adjustRightInd w:val="0"/>
              <w:snapToGrid w:val="0"/>
              <w:spacing w:before="0" w:beforeAutospacing="0" w:after="0" w:afterAutospacing="0" w:line="264" w:lineRule="auto"/>
              <w:ind w:left="0" w:right="0"/>
              <w:rPr>
                <w:rFonts w:hint="eastAsia" w:eastAsia="宋体"/>
                <w:bCs/>
                <w:sz w:val="18"/>
                <w:szCs w:val="18"/>
                <w:highlight w:val="none"/>
                <w:lang w:eastAsia="zh-CN"/>
              </w:rPr>
            </w:pPr>
            <w:r>
              <w:rPr>
                <w:rFonts w:hint="eastAsia"/>
                <w:bCs/>
                <w:sz w:val="18"/>
                <w:szCs w:val="18"/>
                <w:highlight w:val="none"/>
              </w:rPr>
              <w:t>《大气污染物综合排放标准》（GB16297-1996）中表2</w:t>
            </w:r>
            <w:r>
              <w:rPr>
                <w:rFonts w:hint="eastAsia"/>
                <w:bCs/>
                <w:sz w:val="18"/>
                <w:szCs w:val="18"/>
                <w:highlight w:val="none"/>
                <w:lang w:eastAsia="zh-CN"/>
              </w:rPr>
              <w:t>、</w:t>
            </w:r>
            <w:r>
              <w:rPr>
                <w:rFonts w:hint="eastAsia"/>
                <w:bCs/>
                <w:sz w:val="18"/>
                <w:szCs w:val="18"/>
                <w:highlight w:val="none"/>
              </w:rPr>
              <w:t>《恶臭污染物排放标准》（GB14554-93）表2</w:t>
            </w:r>
          </w:p>
        </w:tc>
      </w:tr>
      <w:tr w14:paraId="79D01BD0">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28" w:type="dxa"/>
            <w:bottom w:w="0" w:type="dxa"/>
            <w:right w:w="28" w:type="dxa"/>
          </w:tblCellMar>
        </w:tblPrEx>
        <w:trPr>
          <w:trHeight w:val="0" w:hRule="atLeast"/>
          <w:jc w:val="center"/>
        </w:trPr>
        <w:tc>
          <w:tcPr>
            <w:tcW w:w="1029" w:type="dxa"/>
            <w:vMerge w:val="continue"/>
            <w:vAlign w:val="center"/>
          </w:tcPr>
          <w:p w14:paraId="69033D3A">
            <w:pPr>
              <w:keepNext w:val="0"/>
              <w:keepLines w:val="0"/>
              <w:suppressLineNumbers w:val="0"/>
              <w:adjustRightInd w:val="0"/>
              <w:snapToGrid w:val="0"/>
              <w:spacing w:before="0" w:beforeAutospacing="0" w:after="0" w:afterAutospacing="0" w:line="264" w:lineRule="auto"/>
              <w:ind w:left="0" w:right="0"/>
              <w:jc w:val="center"/>
              <w:rPr>
                <w:rFonts w:hint="eastAsia" w:hAnsi="宋体"/>
                <w:sz w:val="18"/>
                <w:szCs w:val="18"/>
                <w:highlight w:val="none"/>
              </w:rPr>
            </w:pPr>
          </w:p>
        </w:tc>
        <w:tc>
          <w:tcPr>
            <w:tcW w:w="604" w:type="dxa"/>
            <w:vMerge w:val="continue"/>
            <w:vAlign w:val="center"/>
          </w:tcPr>
          <w:p w14:paraId="0E0BA70E">
            <w:pPr>
              <w:keepNext w:val="0"/>
              <w:keepLines w:val="0"/>
              <w:suppressLineNumbers w:val="0"/>
              <w:adjustRightInd w:val="0"/>
              <w:snapToGrid w:val="0"/>
              <w:spacing w:before="0" w:beforeAutospacing="0" w:after="0" w:afterAutospacing="0" w:line="276" w:lineRule="auto"/>
              <w:ind w:left="0" w:right="0"/>
              <w:rPr>
                <w:rFonts w:hint="default"/>
                <w:sz w:val="18"/>
                <w:szCs w:val="18"/>
                <w:highlight w:val="none"/>
                <w:lang w:val="en-US" w:eastAsia="zh-CN"/>
              </w:rPr>
            </w:pPr>
          </w:p>
        </w:tc>
        <w:tc>
          <w:tcPr>
            <w:tcW w:w="1054" w:type="dxa"/>
            <w:vAlign w:val="center"/>
          </w:tcPr>
          <w:p w14:paraId="7793AB08">
            <w:pPr>
              <w:keepNext w:val="0"/>
              <w:keepLines w:val="0"/>
              <w:suppressLineNumbers w:val="0"/>
              <w:adjustRightInd w:val="0"/>
              <w:snapToGrid w:val="0"/>
              <w:spacing w:before="0" w:beforeAutospacing="0" w:after="0" w:afterAutospacing="0" w:line="276" w:lineRule="auto"/>
              <w:ind w:left="0" w:right="0"/>
              <w:rPr>
                <w:rFonts w:hint="eastAsia"/>
                <w:sz w:val="18"/>
                <w:szCs w:val="18"/>
                <w:highlight w:val="none"/>
                <w:lang w:val="en-US" w:eastAsia="zh-CN"/>
              </w:rPr>
            </w:pPr>
            <w:r>
              <w:rPr>
                <w:rFonts w:hint="eastAsia"/>
                <w:sz w:val="18"/>
                <w:szCs w:val="18"/>
                <w:highlight w:val="none"/>
                <w:lang w:val="en-US" w:eastAsia="zh-CN"/>
              </w:rPr>
              <w:t>二层消毒废气、</w:t>
            </w:r>
            <w:r>
              <w:rPr>
                <w:rFonts w:hint="eastAsia"/>
                <w:bCs/>
                <w:kern w:val="0"/>
                <w:sz w:val="18"/>
                <w:szCs w:val="18"/>
                <w:highlight w:val="none"/>
                <w:lang w:val="en-US" w:eastAsia="zh-CN"/>
              </w:rPr>
              <w:t>解剖废气排气筒</w:t>
            </w:r>
            <w:r>
              <w:rPr>
                <w:rFonts w:hint="eastAsia"/>
                <w:sz w:val="18"/>
                <w:szCs w:val="18"/>
                <w:highlight w:val="none"/>
              </w:rPr>
              <w:t>（DA00</w:t>
            </w:r>
            <w:r>
              <w:rPr>
                <w:rFonts w:hint="eastAsia"/>
                <w:sz w:val="18"/>
                <w:szCs w:val="18"/>
                <w:highlight w:val="none"/>
                <w:lang w:val="en-US" w:eastAsia="zh-CN"/>
              </w:rPr>
              <w:t>7</w:t>
            </w:r>
            <w:r>
              <w:rPr>
                <w:rFonts w:hint="eastAsia"/>
                <w:sz w:val="18"/>
                <w:szCs w:val="18"/>
                <w:highlight w:val="none"/>
              </w:rPr>
              <w:t>）</w:t>
            </w:r>
          </w:p>
        </w:tc>
        <w:tc>
          <w:tcPr>
            <w:tcW w:w="1020" w:type="dxa"/>
            <w:vAlign w:val="center"/>
          </w:tcPr>
          <w:p w14:paraId="52BD9BC1">
            <w:pPr>
              <w:keepNext w:val="0"/>
              <w:keepLines w:val="0"/>
              <w:suppressLineNumbers w:val="0"/>
              <w:adjustRightInd w:val="0"/>
              <w:snapToGrid w:val="0"/>
              <w:spacing w:before="0" w:beforeAutospacing="0" w:after="0" w:afterAutospacing="0" w:line="276" w:lineRule="auto"/>
              <w:ind w:left="0" w:right="0"/>
              <w:rPr>
                <w:rFonts w:hint="default" w:eastAsia="宋体"/>
                <w:sz w:val="18"/>
                <w:szCs w:val="18"/>
                <w:highlight w:val="none"/>
                <w:lang w:val="en-US" w:eastAsia="zh-CN"/>
              </w:rPr>
            </w:pPr>
            <w:r>
              <w:rPr>
                <w:rFonts w:hint="eastAsia"/>
                <w:sz w:val="18"/>
                <w:szCs w:val="18"/>
                <w:highlight w:val="none"/>
                <w:lang w:val="en-US" w:eastAsia="zh-CN"/>
              </w:rPr>
              <w:t>非甲烷总烃、氯气、甲醛</w:t>
            </w:r>
          </w:p>
        </w:tc>
        <w:tc>
          <w:tcPr>
            <w:tcW w:w="3493" w:type="dxa"/>
            <w:vAlign w:val="center"/>
          </w:tcPr>
          <w:p w14:paraId="5A392911">
            <w:pPr>
              <w:keepNext w:val="0"/>
              <w:keepLines w:val="0"/>
              <w:suppressLineNumbers w:val="0"/>
              <w:adjustRightInd w:val="0"/>
              <w:snapToGrid w:val="0"/>
              <w:spacing w:before="0" w:beforeAutospacing="0" w:after="0" w:afterAutospacing="0" w:line="264" w:lineRule="auto"/>
              <w:ind w:left="0" w:right="0"/>
              <w:jc w:val="both"/>
              <w:rPr>
                <w:rFonts w:hint="default" w:ascii="Times New Roman" w:hAnsi="Times New Roman" w:eastAsia="宋体" w:cs="Times New Roman"/>
                <w:bCs/>
                <w:sz w:val="18"/>
                <w:szCs w:val="18"/>
                <w:highlight w:val="none"/>
              </w:rPr>
            </w:pPr>
            <w:r>
              <w:rPr>
                <w:rFonts w:hint="eastAsia"/>
                <w:sz w:val="18"/>
                <w:szCs w:val="18"/>
                <w:highlight w:val="none"/>
                <w:lang w:val="en-US" w:eastAsia="zh-CN"/>
              </w:rPr>
              <w:t>二层洗消室、准备间、解剖室等区域消毒废气以及二层解剖室解剖废气经活性炭吸附装置处理后通过30m高排气筒（DA007）高空排放，</w:t>
            </w:r>
            <w:r>
              <w:rPr>
                <w:rFonts w:hint="eastAsia" w:ascii="Times New Roman" w:hAnsi="Times New Roman" w:eastAsia="宋体" w:cs="Times New Roman"/>
                <w:bCs/>
                <w:sz w:val="18"/>
                <w:szCs w:val="18"/>
                <w:highlight w:val="none"/>
                <w:lang w:val="en-US" w:eastAsia="zh-CN"/>
              </w:rPr>
              <w:t>废气风量为</w:t>
            </w:r>
            <w:r>
              <w:rPr>
                <w:rFonts w:hint="eastAsia"/>
                <w:bCs/>
                <w:kern w:val="0"/>
                <w:sz w:val="18"/>
                <w:szCs w:val="18"/>
                <w:highlight w:val="none"/>
                <w:lang w:val="en-US" w:eastAsia="zh-CN"/>
              </w:rPr>
              <w:t>14900</w:t>
            </w:r>
            <w:r>
              <w:rPr>
                <w:rFonts w:hint="eastAsia" w:ascii="Times New Roman" w:hAnsi="Times New Roman" w:eastAsia="宋体" w:cs="Times New Roman"/>
                <w:bCs/>
                <w:sz w:val="18"/>
                <w:szCs w:val="18"/>
                <w:highlight w:val="none"/>
                <w:lang w:val="en-US" w:eastAsia="zh-CN"/>
              </w:rPr>
              <w:t>m</w:t>
            </w:r>
            <w:r>
              <w:rPr>
                <w:rFonts w:hint="eastAsia" w:ascii="Times New Roman" w:hAnsi="Times New Roman" w:eastAsia="宋体" w:cs="Times New Roman"/>
                <w:bCs/>
                <w:sz w:val="18"/>
                <w:szCs w:val="18"/>
                <w:highlight w:val="none"/>
                <w:vertAlign w:val="superscript"/>
                <w:lang w:val="en-US" w:eastAsia="zh-CN"/>
              </w:rPr>
              <w:t>3</w:t>
            </w:r>
            <w:r>
              <w:rPr>
                <w:rFonts w:hint="eastAsia" w:ascii="Times New Roman" w:hAnsi="Times New Roman" w:eastAsia="宋体" w:cs="Times New Roman"/>
                <w:bCs/>
                <w:sz w:val="18"/>
                <w:szCs w:val="18"/>
                <w:highlight w:val="none"/>
                <w:lang w:val="en-US" w:eastAsia="zh-CN"/>
              </w:rPr>
              <w:t>/h</w:t>
            </w:r>
            <w:r>
              <w:rPr>
                <w:rFonts w:hint="eastAsia"/>
                <w:sz w:val="18"/>
                <w:szCs w:val="18"/>
                <w:highlight w:val="none"/>
              </w:rPr>
              <w:t>。</w:t>
            </w:r>
          </w:p>
        </w:tc>
        <w:tc>
          <w:tcPr>
            <w:tcW w:w="1860" w:type="dxa"/>
            <w:vMerge w:val="continue"/>
            <w:vAlign w:val="center"/>
          </w:tcPr>
          <w:p w14:paraId="6F68F5DC">
            <w:pPr>
              <w:keepNext w:val="0"/>
              <w:keepLines w:val="0"/>
              <w:suppressLineNumbers w:val="0"/>
              <w:adjustRightInd w:val="0"/>
              <w:snapToGrid w:val="0"/>
              <w:spacing w:before="0" w:beforeAutospacing="0" w:after="0" w:afterAutospacing="0" w:line="264" w:lineRule="auto"/>
              <w:ind w:left="0" w:right="0"/>
              <w:rPr>
                <w:rFonts w:hint="eastAsia"/>
                <w:bCs/>
                <w:sz w:val="18"/>
                <w:szCs w:val="18"/>
                <w:highlight w:val="none"/>
              </w:rPr>
            </w:pPr>
          </w:p>
        </w:tc>
      </w:tr>
      <w:tr w14:paraId="23D5AAA9">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28" w:type="dxa"/>
            <w:bottom w:w="0" w:type="dxa"/>
            <w:right w:w="28" w:type="dxa"/>
          </w:tblCellMar>
        </w:tblPrEx>
        <w:trPr>
          <w:trHeight w:val="0" w:hRule="atLeast"/>
          <w:jc w:val="center"/>
        </w:trPr>
        <w:tc>
          <w:tcPr>
            <w:tcW w:w="1029" w:type="dxa"/>
            <w:vMerge w:val="continue"/>
            <w:vAlign w:val="center"/>
          </w:tcPr>
          <w:p w14:paraId="593F3C90">
            <w:pPr>
              <w:keepNext w:val="0"/>
              <w:keepLines w:val="0"/>
              <w:suppressLineNumbers w:val="0"/>
              <w:adjustRightInd w:val="0"/>
              <w:snapToGrid w:val="0"/>
              <w:spacing w:before="0" w:beforeAutospacing="0" w:after="0" w:afterAutospacing="0" w:line="264" w:lineRule="auto"/>
              <w:ind w:left="0" w:right="0"/>
              <w:jc w:val="center"/>
              <w:rPr>
                <w:rFonts w:hint="eastAsia" w:hAnsi="宋体"/>
                <w:sz w:val="18"/>
                <w:szCs w:val="18"/>
                <w:highlight w:val="none"/>
              </w:rPr>
            </w:pPr>
          </w:p>
        </w:tc>
        <w:tc>
          <w:tcPr>
            <w:tcW w:w="604" w:type="dxa"/>
            <w:vMerge w:val="continue"/>
            <w:vAlign w:val="center"/>
          </w:tcPr>
          <w:p w14:paraId="557F5C68">
            <w:pPr>
              <w:keepNext w:val="0"/>
              <w:keepLines w:val="0"/>
              <w:suppressLineNumbers w:val="0"/>
              <w:adjustRightInd w:val="0"/>
              <w:snapToGrid w:val="0"/>
              <w:spacing w:before="0" w:beforeAutospacing="0" w:after="0" w:afterAutospacing="0" w:line="276" w:lineRule="auto"/>
              <w:ind w:left="0" w:right="0"/>
              <w:rPr>
                <w:rFonts w:hint="eastAsia"/>
                <w:sz w:val="18"/>
                <w:szCs w:val="18"/>
                <w:highlight w:val="none"/>
                <w:lang w:val="en-US" w:eastAsia="zh-CN"/>
              </w:rPr>
            </w:pPr>
          </w:p>
        </w:tc>
        <w:tc>
          <w:tcPr>
            <w:tcW w:w="1054" w:type="dxa"/>
            <w:vAlign w:val="center"/>
          </w:tcPr>
          <w:p w14:paraId="34BA4E5A">
            <w:pPr>
              <w:keepNext w:val="0"/>
              <w:keepLines w:val="0"/>
              <w:suppressLineNumbers w:val="0"/>
              <w:adjustRightInd w:val="0"/>
              <w:snapToGrid w:val="0"/>
              <w:spacing w:before="0" w:beforeAutospacing="0" w:after="0" w:afterAutospacing="0" w:line="276" w:lineRule="auto"/>
              <w:ind w:left="0" w:right="0"/>
              <w:rPr>
                <w:rFonts w:hint="eastAsia"/>
                <w:sz w:val="18"/>
                <w:szCs w:val="18"/>
                <w:highlight w:val="none"/>
                <w:lang w:val="en-US" w:eastAsia="zh-CN"/>
              </w:rPr>
            </w:pPr>
            <w:r>
              <w:rPr>
                <w:rFonts w:hint="eastAsia"/>
                <w:sz w:val="18"/>
                <w:szCs w:val="18"/>
                <w:highlight w:val="none"/>
                <w:lang w:val="en-US" w:eastAsia="zh-CN"/>
              </w:rPr>
              <w:t>三层普通实验废气排气筒</w:t>
            </w:r>
            <w:r>
              <w:rPr>
                <w:rFonts w:hint="eastAsia"/>
                <w:sz w:val="18"/>
                <w:szCs w:val="18"/>
                <w:highlight w:val="none"/>
              </w:rPr>
              <w:t>（DA00</w:t>
            </w:r>
            <w:r>
              <w:rPr>
                <w:rFonts w:hint="eastAsia"/>
                <w:sz w:val="18"/>
                <w:szCs w:val="18"/>
                <w:highlight w:val="none"/>
                <w:lang w:val="en-US" w:eastAsia="zh-CN"/>
              </w:rPr>
              <w:t>8</w:t>
            </w:r>
            <w:r>
              <w:rPr>
                <w:rFonts w:hint="eastAsia"/>
                <w:sz w:val="18"/>
                <w:szCs w:val="18"/>
                <w:highlight w:val="none"/>
              </w:rPr>
              <w:t>）</w:t>
            </w:r>
          </w:p>
        </w:tc>
        <w:tc>
          <w:tcPr>
            <w:tcW w:w="1020" w:type="dxa"/>
            <w:vAlign w:val="center"/>
          </w:tcPr>
          <w:p w14:paraId="36FE1D56">
            <w:pPr>
              <w:keepNext w:val="0"/>
              <w:keepLines w:val="0"/>
              <w:suppressLineNumbers w:val="0"/>
              <w:adjustRightInd w:val="0"/>
              <w:snapToGrid w:val="0"/>
              <w:spacing w:before="0" w:beforeAutospacing="0" w:after="0" w:afterAutospacing="0" w:line="276" w:lineRule="auto"/>
              <w:ind w:left="0" w:right="0"/>
              <w:rPr>
                <w:rFonts w:hint="eastAsia"/>
                <w:sz w:val="18"/>
                <w:szCs w:val="18"/>
                <w:highlight w:val="none"/>
                <w:lang w:val="en-US" w:eastAsia="zh-CN"/>
              </w:rPr>
            </w:pPr>
            <w:r>
              <w:rPr>
                <w:rFonts w:hint="eastAsia"/>
                <w:sz w:val="18"/>
                <w:szCs w:val="18"/>
                <w:highlight w:val="none"/>
                <w:lang w:val="en-US" w:eastAsia="zh-CN"/>
              </w:rPr>
              <w:t>非甲烷总烃、氯气</w:t>
            </w:r>
          </w:p>
        </w:tc>
        <w:tc>
          <w:tcPr>
            <w:tcW w:w="3493" w:type="dxa"/>
            <w:vAlign w:val="center"/>
          </w:tcPr>
          <w:p w14:paraId="3DDC910D">
            <w:pPr>
              <w:keepNext w:val="0"/>
              <w:keepLines w:val="0"/>
              <w:suppressLineNumbers w:val="0"/>
              <w:adjustRightInd w:val="0"/>
              <w:snapToGrid w:val="0"/>
              <w:spacing w:before="0" w:beforeAutospacing="0" w:after="0" w:afterAutospacing="0" w:line="264" w:lineRule="auto"/>
              <w:ind w:left="0" w:right="0"/>
              <w:jc w:val="both"/>
              <w:rPr>
                <w:rFonts w:hint="eastAsia"/>
                <w:sz w:val="18"/>
                <w:szCs w:val="18"/>
                <w:highlight w:val="none"/>
                <w:lang w:val="en-US" w:eastAsia="zh-CN"/>
              </w:rPr>
            </w:pPr>
            <w:r>
              <w:rPr>
                <w:rFonts w:hint="eastAsia"/>
                <w:sz w:val="18"/>
                <w:szCs w:val="18"/>
                <w:highlight w:val="none"/>
                <w:lang w:val="en-US" w:eastAsia="zh-CN"/>
              </w:rPr>
              <w:t>三层普通实验区域消毒废气经活性炭吸附装置处理后通过30m高排气筒（DA008）高空排放，</w:t>
            </w:r>
            <w:r>
              <w:rPr>
                <w:rFonts w:hint="eastAsia" w:ascii="Times New Roman" w:hAnsi="Times New Roman" w:eastAsia="宋体" w:cs="Times New Roman"/>
                <w:bCs/>
                <w:sz w:val="18"/>
                <w:szCs w:val="18"/>
                <w:highlight w:val="none"/>
                <w:lang w:val="en-US" w:eastAsia="zh-CN"/>
              </w:rPr>
              <w:t>废气风量为</w:t>
            </w:r>
            <w:r>
              <w:rPr>
                <w:rFonts w:hint="eastAsia" w:cs="Times New Roman"/>
                <w:bCs/>
                <w:sz w:val="18"/>
                <w:szCs w:val="18"/>
                <w:highlight w:val="none"/>
                <w:lang w:val="en-US" w:eastAsia="zh-CN"/>
              </w:rPr>
              <w:t>83</w:t>
            </w:r>
            <w:r>
              <w:rPr>
                <w:rFonts w:hint="eastAsia"/>
                <w:bCs/>
                <w:kern w:val="0"/>
                <w:sz w:val="18"/>
                <w:szCs w:val="18"/>
                <w:highlight w:val="none"/>
                <w:lang w:val="en-US" w:eastAsia="zh-CN"/>
              </w:rPr>
              <w:t>70</w:t>
            </w:r>
            <w:r>
              <w:rPr>
                <w:rFonts w:hint="eastAsia" w:ascii="Times New Roman" w:hAnsi="Times New Roman" w:eastAsia="宋体" w:cs="Times New Roman"/>
                <w:bCs/>
                <w:sz w:val="18"/>
                <w:szCs w:val="18"/>
                <w:highlight w:val="none"/>
                <w:lang w:val="en-US" w:eastAsia="zh-CN"/>
              </w:rPr>
              <w:t>m</w:t>
            </w:r>
            <w:r>
              <w:rPr>
                <w:rFonts w:hint="eastAsia" w:ascii="Times New Roman" w:hAnsi="Times New Roman" w:eastAsia="宋体" w:cs="Times New Roman"/>
                <w:bCs/>
                <w:sz w:val="18"/>
                <w:szCs w:val="18"/>
                <w:highlight w:val="none"/>
                <w:vertAlign w:val="superscript"/>
                <w:lang w:val="en-US" w:eastAsia="zh-CN"/>
              </w:rPr>
              <w:t>3</w:t>
            </w:r>
            <w:r>
              <w:rPr>
                <w:rFonts w:hint="eastAsia" w:ascii="Times New Roman" w:hAnsi="Times New Roman" w:eastAsia="宋体" w:cs="Times New Roman"/>
                <w:bCs/>
                <w:sz w:val="18"/>
                <w:szCs w:val="18"/>
                <w:highlight w:val="none"/>
                <w:lang w:val="en-US" w:eastAsia="zh-CN"/>
              </w:rPr>
              <w:t>/h。</w:t>
            </w:r>
          </w:p>
        </w:tc>
        <w:tc>
          <w:tcPr>
            <w:tcW w:w="1860" w:type="dxa"/>
            <w:vMerge w:val="continue"/>
            <w:vAlign w:val="center"/>
          </w:tcPr>
          <w:p w14:paraId="2160000F">
            <w:pPr>
              <w:keepNext w:val="0"/>
              <w:keepLines w:val="0"/>
              <w:suppressLineNumbers w:val="0"/>
              <w:adjustRightInd w:val="0"/>
              <w:snapToGrid w:val="0"/>
              <w:spacing w:before="0" w:beforeAutospacing="0" w:after="0" w:afterAutospacing="0" w:line="264" w:lineRule="auto"/>
              <w:ind w:left="0" w:right="0"/>
              <w:rPr>
                <w:rFonts w:hint="eastAsia"/>
                <w:bCs/>
                <w:sz w:val="18"/>
                <w:szCs w:val="18"/>
                <w:highlight w:val="none"/>
              </w:rPr>
            </w:pPr>
          </w:p>
        </w:tc>
      </w:tr>
      <w:tr w14:paraId="1054FA69">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28" w:type="dxa"/>
            <w:bottom w:w="0" w:type="dxa"/>
            <w:right w:w="28" w:type="dxa"/>
          </w:tblCellMar>
        </w:tblPrEx>
        <w:trPr>
          <w:trHeight w:val="0" w:hRule="atLeast"/>
          <w:jc w:val="center"/>
        </w:trPr>
        <w:tc>
          <w:tcPr>
            <w:tcW w:w="1029" w:type="dxa"/>
            <w:vMerge w:val="continue"/>
            <w:vAlign w:val="center"/>
          </w:tcPr>
          <w:p w14:paraId="4F305834">
            <w:pPr>
              <w:keepNext w:val="0"/>
              <w:keepLines w:val="0"/>
              <w:suppressLineNumbers w:val="0"/>
              <w:adjustRightInd w:val="0"/>
              <w:snapToGrid w:val="0"/>
              <w:spacing w:before="0" w:beforeAutospacing="0" w:after="0" w:afterAutospacing="0" w:line="264" w:lineRule="auto"/>
              <w:ind w:left="0" w:right="0"/>
              <w:jc w:val="center"/>
              <w:rPr>
                <w:rFonts w:hint="eastAsia" w:hAnsi="宋体"/>
                <w:sz w:val="18"/>
                <w:szCs w:val="18"/>
                <w:highlight w:val="none"/>
              </w:rPr>
            </w:pPr>
          </w:p>
        </w:tc>
        <w:tc>
          <w:tcPr>
            <w:tcW w:w="604" w:type="dxa"/>
            <w:vMerge w:val="continue"/>
            <w:vAlign w:val="center"/>
          </w:tcPr>
          <w:p w14:paraId="0377E46A">
            <w:pPr>
              <w:keepNext w:val="0"/>
              <w:keepLines w:val="0"/>
              <w:suppressLineNumbers w:val="0"/>
              <w:adjustRightInd w:val="0"/>
              <w:snapToGrid w:val="0"/>
              <w:spacing w:before="0" w:beforeAutospacing="0" w:after="0" w:afterAutospacing="0" w:line="276" w:lineRule="auto"/>
              <w:ind w:left="0" w:right="0"/>
              <w:rPr>
                <w:rFonts w:hint="eastAsia"/>
                <w:sz w:val="18"/>
                <w:szCs w:val="18"/>
                <w:highlight w:val="none"/>
                <w:lang w:val="en-US" w:eastAsia="zh-CN"/>
              </w:rPr>
            </w:pPr>
          </w:p>
        </w:tc>
        <w:tc>
          <w:tcPr>
            <w:tcW w:w="1054" w:type="dxa"/>
            <w:vAlign w:val="center"/>
          </w:tcPr>
          <w:p w14:paraId="27A6CD71">
            <w:pPr>
              <w:keepNext w:val="0"/>
              <w:keepLines w:val="0"/>
              <w:suppressLineNumbers w:val="0"/>
              <w:adjustRightInd w:val="0"/>
              <w:snapToGrid w:val="0"/>
              <w:spacing w:before="0" w:beforeAutospacing="0" w:after="0" w:afterAutospacing="0" w:line="276" w:lineRule="auto"/>
              <w:ind w:left="0" w:right="0"/>
              <w:rPr>
                <w:rFonts w:hint="eastAsia"/>
                <w:bCs/>
                <w:kern w:val="0"/>
                <w:sz w:val="18"/>
                <w:szCs w:val="18"/>
                <w:highlight w:val="none"/>
                <w:lang w:val="en-US" w:eastAsia="zh-CN"/>
              </w:rPr>
            </w:pPr>
            <w:r>
              <w:rPr>
                <w:rFonts w:hint="eastAsia"/>
                <w:bCs/>
                <w:kern w:val="0"/>
                <w:sz w:val="18"/>
                <w:szCs w:val="18"/>
                <w:highlight w:val="none"/>
                <w:lang w:val="en-US" w:eastAsia="zh-CN"/>
              </w:rPr>
              <w:t>三层</w:t>
            </w:r>
            <w:r>
              <w:rPr>
                <w:rFonts w:hint="eastAsia"/>
                <w:sz w:val="18"/>
                <w:szCs w:val="18"/>
                <w:highlight w:val="none"/>
                <w:lang w:val="en-US" w:eastAsia="zh-CN"/>
              </w:rPr>
              <w:t>消毒废气、</w:t>
            </w:r>
            <w:r>
              <w:rPr>
                <w:rFonts w:hint="eastAsia"/>
                <w:bCs/>
                <w:kern w:val="0"/>
                <w:sz w:val="18"/>
                <w:szCs w:val="18"/>
                <w:highlight w:val="none"/>
                <w:lang w:val="en-US" w:eastAsia="zh-CN"/>
              </w:rPr>
              <w:t>解剖废气排气筒</w:t>
            </w:r>
            <w:r>
              <w:rPr>
                <w:rFonts w:hint="eastAsia"/>
                <w:sz w:val="18"/>
                <w:szCs w:val="18"/>
                <w:highlight w:val="none"/>
              </w:rPr>
              <w:t>（DA0</w:t>
            </w:r>
            <w:r>
              <w:rPr>
                <w:rFonts w:hint="eastAsia"/>
                <w:sz w:val="18"/>
                <w:szCs w:val="18"/>
                <w:highlight w:val="none"/>
                <w:lang w:val="en-US" w:eastAsia="zh-CN"/>
              </w:rPr>
              <w:t>09</w:t>
            </w:r>
            <w:r>
              <w:rPr>
                <w:rFonts w:hint="eastAsia"/>
                <w:sz w:val="18"/>
                <w:szCs w:val="18"/>
                <w:highlight w:val="none"/>
              </w:rPr>
              <w:t>）</w:t>
            </w:r>
          </w:p>
        </w:tc>
        <w:tc>
          <w:tcPr>
            <w:tcW w:w="1020" w:type="dxa"/>
            <w:vAlign w:val="center"/>
          </w:tcPr>
          <w:p w14:paraId="2E450730">
            <w:pPr>
              <w:keepNext w:val="0"/>
              <w:keepLines w:val="0"/>
              <w:suppressLineNumbers w:val="0"/>
              <w:adjustRightInd w:val="0"/>
              <w:snapToGrid w:val="0"/>
              <w:spacing w:before="0" w:beforeAutospacing="0" w:after="0" w:afterAutospacing="0" w:line="276" w:lineRule="auto"/>
              <w:ind w:left="0" w:right="0"/>
              <w:rPr>
                <w:rFonts w:hint="eastAsia"/>
                <w:sz w:val="18"/>
                <w:szCs w:val="18"/>
                <w:highlight w:val="none"/>
                <w:lang w:val="en-US" w:eastAsia="zh-CN"/>
              </w:rPr>
            </w:pPr>
            <w:r>
              <w:rPr>
                <w:rFonts w:hint="eastAsia"/>
                <w:sz w:val="18"/>
                <w:szCs w:val="18"/>
                <w:highlight w:val="none"/>
                <w:lang w:val="en-US" w:eastAsia="zh-CN"/>
              </w:rPr>
              <w:t>非甲烷总烃、氯气、甲醛</w:t>
            </w:r>
          </w:p>
        </w:tc>
        <w:tc>
          <w:tcPr>
            <w:tcW w:w="3493" w:type="dxa"/>
            <w:vAlign w:val="center"/>
          </w:tcPr>
          <w:p w14:paraId="50BB3250">
            <w:pPr>
              <w:keepNext w:val="0"/>
              <w:keepLines w:val="0"/>
              <w:suppressLineNumbers w:val="0"/>
              <w:adjustRightInd w:val="0"/>
              <w:snapToGrid w:val="0"/>
              <w:spacing w:before="0" w:beforeAutospacing="0" w:after="0" w:afterAutospacing="0" w:line="264" w:lineRule="auto"/>
              <w:ind w:left="0" w:right="0"/>
              <w:jc w:val="both"/>
              <w:rPr>
                <w:rFonts w:hint="eastAsia"/>
                <w:sz w:val="18"/>
                <w:szCs w:val="18"/>
                <w:highlight w:val="none"/>
                <w:lang w:val="en-US" w:eastAsia="zh-CN"/>
              </w:rPr>
            </w:pPr>
            <w:r>
              <w:rPr>
                <w:rFonts w:hint="eastAsia"/>
                <w:bCs/>
                <w:kern w:val="0"/>
                <w:sz w:val="18"/>
                <w:szCs w:val="18"/>
                <w:highlight w:val="none"/>
                <w:lang w:val="en-US" w:eastAsia="zh-CN"/>
              </w:rPr>
              <w:t>三层外准备间、解剖室等区域消毒废气以及解剖废气经活性炭吸附装置处理后通过30m高排气筒（DA009）高空排放</w:t>
            </w:r>
            <w:r>
              <w:rPr>
                <w:rFonts w:hint="eastAsia"/>
                <w:sz w:val="18"/>
                <w:szCs w:val="18"/>
                <w:highlight w:val="none"/>
                <w:lang w:val="en-US" w:eastAsia="zh-CN"/>
              </w:rPr>
              <w:t>，</w:t>
            </w:r>
            <w:r>
              <w:rPr>
                <w:rFonts w:hint="eastAsia" w:ascii="Times New Roman" w:hAnsi="Times New Roman" w:eastAsia="宋体" w:cs="Times New Roman"/>
                <w:bCs/>
                <w:sz w:val="18"/>
                <w:szCs w:val="18"/>
                <w:highlight w:val="none"/>
                <w:lang w:val="en-US" w:eastAsia="zh-CN"/>
              </w:rPr>
              <w:t>废气风量为</w:t>
            </w:r>
            <w:r>
              <w:rPr>
                <w:rFonts w:hint="eastAsia"/>
                <w:bCs/>
                <w:kern w:val="0"/>
                <w:sz w:val="18"/>
                <w:szCs w:val="18"/>
                <w:highlight w:val="none"/>
                <w:lang w:val="en-US" w:eastAsia="zh-CN"/>
              </w:rPr>
              <w:t>7820</w:t>
            </w:r>
            <w:r>
              <w:rPr>
                <w:rFonts w:hint="eastAsia" w:ascii="Times New Roman" w:hAnsi="Times New Roman" w:eastAsia="宋体" w:cs="Times New Roman"/>
                <w:bCs/>
                <w:sz w:val="18"/>
                <w:szCs w:val="18"/>
                <w:highlight w:val="none"/>
                <w:lang w:val="en-US" w:eastAsia="zh-CN"/>
              </w:rPr>
              <w:t>m</w:t>
            </w:r>
            <w:r>
              <w:rPr>
                <w:rFonts w:hint="eastAsia" w:ascii="Times New Roman" w:hAnsi="Times New Roman" w:eastAsia="宋体" w:cs="Times New Roman"/>
                <w:bCs/>
                <w:sz w:val="18"/>
                <w:szCs w:val="18"/>
                <w:highlight w:val="none"/>
                <w:vertAlign w:val="superscript"/>
                <w:lang w:val="en-US" w:eastAsia="zh-CN"/>
              </w:rPr>
              <w:t>3</w:t>
            </w:r>
            <w:r>
              <w:rPr>
                <w:rFonts w:hint="eastAsia" w:ascii="Times New Roman" w:hAnsi="Times New Roman" w:eastAsia="宋体" w:cs="Times New Roman"/>
                <w:bCs/>
                <w:sz w:val="18"/>
                <w:szCs w:val="18"/>
                <w:highlight w:val="none"/>
                <w:lang w:val="en-US" w:eastAsia="zh-CN"/>
              </w:rPr>
              <w:t>/h。</w:t>
            </w:r>
          </w:p>
        </w:tc>
        <w:tc>
          <w:tcPr>
            <w:tcW w:w="1860" w:type="dxa"/>
            <w:vMerge w:val="continue"/>
            <w:vAlign w:val="center"/>
          </w:tcPr>
          <w:p w14:paraId="6CB5834C">
            <w:pPr>
              <w:keepNext w:val="0"/>
              <w:keepLines w:val="0"/>
              <w:suppressLineNumbers w:val="0"/>
              <w:adjustRightInd w:val="0"/>
              <w:snapToGrid w:val="0"/>
              <w:spacing w:before="0" w:beforeAutospacing="0" w:after="0" w:afterAutospacing="0" w:line="264" w:lineRule="auto"/>
              <w:ind w:left="0" w:right="0"/>
              <w:rPr>
                <w:rFonts w:hint="eastAsia"/>
                <w:bCs/>
                <w:sz w:val="18"/>
                <w:szCs w:val="18"/>
                <w:highlight w:val="none"/>
              </w:rPr>
            </w:pPr>
          </w:p>
        </w:tc>
      </w:tr>
      <w:tr w14:paraId="649FC870">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28" w:type="dxa"/>
            <w:bottom w:w="0" w:type="dxa"/>
            <w:right w:w="28" w:type="dxa"/>
          </w:tblCellMar>
        </w:tblPrEx>
        <w:trPr>
          <w:trHeight w:val="0" w:hRule="atLeast"/>
          <w:jc w:val="center"/>
        </w:trPr>
        <w:tc>
          <w:tcPr>
            <w:tcW w:w="1029" w:type="dxa"/>
            <w:vMerge w:val="continue"/>
            <w:vAlign w:val="center"/>
          </w:tcPr>
          <w:p w14:paraId="396B7C53">
            <w:pPr>
              <w:keepNext w:val="0"/>
              <w:keepLines w:val="0"/>
              <w:suppressLineNumbers w:val="0"/>
              <w:adjustRightInd w:val="0"/>
              <w:snapToGrid w:val="0"/>
              <w:spacing w:before="0" w:beforeAutospacing="0" w:after="0" w:afterAutospacing="0" w:line="264" w:lineRule="auto"/>
              <w:ind w:left="0" w:right="0"/>
              <w:jc w:val="center"/>
              <w:rPr>
                <w:rFonts w:hint="eastAsia" w:hAnsi="宋体"/>
                <w:sz w:val="18"/>
                <w:szCs w:val="18"/>
                <w:highlight w:val="none"/>
              </w:rPr>
            </w:pPr>
          </w:p>
        </w:tc>
        <w:tc>
          <w:tcPr>
            <w:tcW w:w="604" w:type="dxa"/>
            <w:vMerge w:val="continue"/>
            <w:vAlign w:val="center"/>
          </w:tcPr>
          <w:p w14:paraId="7055E9EB">
            <w:pPr>
              <w:keepNext w:val="0"/>
              <w:keepLines w:val="0"/>
              <w:suppressLineNumbers w:val="0"/>
              <w:adjustRightInd w:val="0"/>
              <w:snapToGrid w:val="0"/>
              <w:spacing w:before="0" w:beforeAutospacing="0" w:after="0" w:afterAutospacing="0" w:line="276" w:lineRule="auto"/>
              <w:ind w:left="0" w:right="0"/>
              <w:rPr>
                <w:rFonts w:hint="eastAsia"/>
                <w:sz w:val="18"/>
                <w:szCs w:val="18"/>
                <w:highlight w:val="none"/>
                <w:lang w:val="en-US" w:eastAsia="zh-CN"/>
              </w:rPr>
            </w:pPr>
          </w:p>
        </w:tc>
        <w:tc>
          <w:tcPr>
            <w:tcW w:w="1054" w:type="dxa"/>
            <w:vAlign w:val="center"/>
          </w:tcPr>
          <w:p w14:paraId="527D44B9">
            <w:pPr>
              <w:keepNext w:val="0"/>
              <w:keepLines w:val="0"/>
              <w:suppressLineNumbers w:val="0"/>
              <w:adjustRightInd w:val="0"/>
              <w:snapToGrid w:val="0"/>
              <w:spacing w:before="0" w:beforeAutospacing="0" w:after="0" w:afterAutospacing="0" w:line="276" w:lineRule="auto"/>
              <w:ind w:left="0" w:right="0"/>
              <w:rPr>
                <w:rFonts w:hint="eastAsia"/>
                <w:bCs/>
                <w:kern w:val="0"/>
                <w:sz w:val="18"/>
                <w:szCs w:val="18"/>
                <w:highlight w:val="none"/>
                <w:lang w:val="en-US" w:eastAsia="zh-CN"/>
              </w:rPr>
            </w:pPr>
            <w:r>
              <w:rPr>
                <w:rFonts w:hint="eastAsia"/>
                <w:bCs/>
                <w:kern w:val="0"/>
                <w:sz w:val="18"/>
                <w:szCs w:val="18"/>
                <w:highlight w:val="none"/>
                <w:lang w:val="en-US" w:eastAsia="zh-CN"/>
              </w:rPr>
              <w:t>一层解剖废气、危废暂存间、一般固废暂存间废气排气筒</w:t>
            </w:r>
            <w:r>
              <w:rPr>
                <w:rFonts w:hint="eastAsia"/>
                <w:sz w:val="18"/>
                <w:szCs w:val="18"/>
                <w:highlight w:val="none"/>
              </w:rPr>
              <w:t>（DA0</w:t>
            </w:r>
            <w:r>
              <w:rPr>
                <w:rFonts w:hint="eastAsia"/>
                <w:sz w:val="18"/>
                <w:szCs w:val="18"/>
                <w:highlight w:val="none"/>
                <w:lang w:val="en-US" w:eastAsia="zh-CN"/>
              </w:rPr>
              <w:t>10</w:t>
            </w:r>
            <w:r>
              <w:rPr>
                <w:rFonts w:hint="eastAsia"/>
                <w:sz w:val="18"/>
                <w:szCs w:val="18"/>
                <w:highlight w:val="none"/>
              </w:rPr>
              <w:t>）</w:t>
            </w:r>
          </w:p>
        </w:tc>
        <w:tc>
          <w:tcPr>
            <w:tcW w:w="1020" w:type="dxa"/>
            <w:vAlign w:val="center"/>
          </w:tcPr>
          <w:p w14:paraId="3130AD5A">
            <w:pPr>
              <w:keepNext w:val="0"/>
              <w:keepLines w:val="0"/>
              <w:suppressLineNumbers w:val="0"/>
              <w:adjustRightInd w:val="0"/>
              <w:snapToGrid w:val="0"/>
              <w:spacing w:before="0" w:beforeAutospacing="0" w:after="0" w:afterAutospacing="0" w:line="276" w:lineRule="auto"/>
              <w:ind w:left="0" w:right="0"/>
              <w:rPr>
                <w:rFonts w:hint="eastAsia"/>
                <w:sz w:val="18"/>
                <w:szCs w:val="18"/>
                <w:highlight w:val="none"/>
                <w:lang w:val="en-US" w:eastAsia="zh-CN"/>
              </w:rPr>
            </w:pPr>
            <w:r>
              <w:rPr>
                <w:rFonts w:hint="eastAsia"/>
                <w:sz w:val="18"/>
                <w:szCs w:val="18"/>
                <w:highlight w:val="none"/>
                <w:lang w:val="en-US" w:eastAsia="zh-CN"/>
              </w:rPr>
              <w:t>甲醛、</w:t>
            </w:r>
            <w:r>
              <w:rPr>
                <w:rFonts w:hint="eastAsia"/>
                <w:sz w:val="18"/>
                <w:szCs w:val="18"/>
                <w:highlight w:val="none"/>
              </w:rPr>
              <w:t>氨、硫化氢、臭气浓度</w:t>
            </w:r>
          </w:p>
        </w:tc>
        <w:tc>
          <w:tcPr>
            <w:tcW w:w="3493" w:type="dxa"/>
            <w:vAlign w:val="center"/>
          </w:tcPr>
          <w:p w14:paraId="24784CD3">
            <w:pPr>
              <w:keepNext w:val="0"/>
              <w:keepLines w:val="0"/>
              <w:suppressLineNumbers w:val="0"/>
              <w:adjustRightInd w:val="0"/>
              <w:snapToGrid w:val="0"/>
              <w:spacing w:before="0" w:beforeAutospacing="0" w:after="0" w:afterAutospacing="0" w:line="264" w:lineRule="auto"/>
              <w:ind w:left="0" w:right="0"/>
              <w:jc w:val="both"/>
              <w:rPr>
                <w:rFonts w:hint="eastAsia"/>
                <w:bCs/>
                <w:kern w:val="0"/>
                <w:sz w:val="18"/>
                <w:szCs w:val="18"/>
                <w:highlight w:val="none"/>
                <w:lang w:val="en-US" w:eastAsia="zh-CN"/>
              </w:rPr>
            </w:pPr>
            <w:r>
              <w:rPr>
                <w:rFonts w:hint="eastAsia"/>
                <w:bCs/>
                <w:kern w:val="0"/>
                <w:sz w:val="18"/>
                <w:szCs w:val="18"/>
                <w:highlight w:val="none"/>
                <w:lang w:val="en-US" w:eastAsia="zh-CN"/>
              </w:rPr>
              <w:t>一层危废暂存间、一般固废暂存间废气以及一层解剖室解剖废气经活性炭吸附装置处理后通过30m高排气筒（DA010）高空排放</w:t>
            </w:r>
            <w:r>
              <w:rPr>
                <w:rFonts w:hint="eastAsia"/>
                <w:sz w:val="18"/>
                <w:szCs w:val="18"/>
                <w:highlight w:val="none"/>
                <w:lang w:val="en-US" w:eastAsia="zh-CN"/>
              </w:rPr>
              <w:t>，</w:t>
            </w:r>
            <w:r>
              <w:rPr>
                <w:rFonts w:hint="eastAsia" w:ascii="Times New Roman" w:hAnsi="Times New Roman" w:eastAsia="宋体" w:cs="Times New Roman"/>
                <w:bCs/>
                <w:sz w:val="18"/>
                <w:szCs w:val="18"/>
                <w:highlight w:val="none"/>
                <w:lang w:val="en-US" w:eastAsia="zh-CN"/>
              </w:rPr>
              <w:t>废气风量为600</w:t>
            </w:r>
            <w:r>
              <w:rPr>
                <w:rFonts w:hint="eastAsia"/>
                <w:bCs/>
                <w:kern w:val="0"/>
                <w:sz w:val="18"/>
                <w:szCs w:val="18"/>
                <w:highlight w:val="none"/>
                <w:lang w:val="en-US" w:eastAsia="zh-CN"/>
              </w:rPr>
              <w:t>0</w:t>
            </w:r>
            <w:r>
              <w:rPr>
                <w:rFonts w:hint="eastAsia" w:ascii="Times New Roman" w:hAnsi="Times New Roman" w:eastAsia="宋体" w:cs="Times New Roman"/>
                <w:bCs/>
                <w:sz w:val="18"/>
                <w:szCs w:val="18"/>
                <w:highlight w:val="none"/>
                <w:lang w:val="en-US" w:eastAsia="zh-CN"/>
              </w:rPr>
              <w:t>m</w:t>
            </w:r>
            <w:r>
              <w:rPr>
                <w:rFonts w:hint="eastAsia" w:ascii="Times New Roman" w:hAnsi="Times New Roman" w:eastAsia="宋体" w:cs="Times New Roman"/>
                <w:bCs/>
                <w:sz w:val="18"/>
                <w:szCs w:val="18"/>
                <w:highlight w:val="none"/>
                <w:vertAlign w:val="superscript"/>
                <w:lang w:val="en-US" w:eastAsia="zh-CN"/>
              </w:rPr>
              <w:t>3</w:t>
            </w:r>
            <w:r>
              <w:rPr>
                <w:rFonts w:hint="eastAsia" w:ascii="Times New Roman" w:hAnsi="Times New Roman" w:eastAsia="宋体" w:cs="Times New Roman"/>
                <w:bCs/>
                <w:sz w:val="18"/>
                <w:szCs w:val="18"/>
                <w:highlight w:val="none"/>
                <w:lang w:val="en-US" w:eastAsia="zh-CN"/>
              </w:rPr>
              <w:t>/h。</w:t>
            </w:r>
          </w:p>
        </w:tc>
        <w:tc>
          <w:tcPr>
            <w:tcW w:w="1860" w:type="dxa"/>
            <w:vMerge w:val="continue"/>
            <w:vAlign w:val="center"/>
          </w:tcPr>
          <w:p w14:paraId="5CB8DA9D">
            <w:pPr>
              <w:keepNext w:val="0"/>
              <w:keepLines w:val="0"/>
              <w:suppressLineNumbers w:val="0"/>
              <w:adjustRightInd w:val="0"/>
              <w:snapToGrid w:val="0"/>
              <w:spacing w:before="0" w:beforeAutospacing="0" w:after="0" w:afterAutospacing="0" w:line="264" w:lineRule="auto"/>
              <w:ind w:left="0" w:right="0"/>
              <w:rPr>
                <w:rFonts w:hint="eastAsia"/>
                <w:bCs/>
                <w:sz w:val="18"/>
                <w:szCs w:val="18"/>
                <w:highlight w:val="none"/>
              </w:rPr>
            </w:pPr>
          </w:p>
        </w:tc>
      </w:tr>
      <w:tr w14:paraId="283DED62">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28" w:type="dxa"/>
            <w:bottom w:w="0" w:type="dxa"/>
            <w:right w:w="28" w:type="dxa"/>
          </w:tblCellMar>
        </w:tblPrEx>
        <w:trPr>
          <w:trHeight w:val="967" w:hRule="atLeast"/>
          <w:jc w:val="center"/>
        </w:trPr>
        <w:tc>
          <w:tcPr>
            <w:tcW w:w="1029" w:type="dxa"/>
            <w:vMerge w:val="continue"/>
            <w:vAlign w:val="center"/>
          </w:tcPr>
          <w:p w14:paraId="03F5380B">
            <w:pPr>
              <w:keepNext w:val="0"/>
              <w:keepLines w:val="0"/>
              <w:suppressLineNumbers w:val="0"/>
              <w:adjustRightInd w:val="0"/>
              <w:snapToGrid w:val="0"/>
              <w:spacing w:before="0" w:beforeAutospacing="0" w:after="0" w:afterAutospacing="0" w:line="264" w:lineRule="auto"/>
              <w:ind w:left="0" w:right="0"/>
              <w:jc w:val="center"/>
              <w:rPr>
                <w:rFonts w:hint="eastAsia" w:hAnsi="宋体"/>
                <w:sz w:val="18"/>
                <w:szCs w:val="18"/>
                <w:highlight w:val="none"/>
              </w:rPr>
            </w:pPr>
          </w:p>
        </w:tc>
        <w:tc>
          <w:tcPr>
            <w:tcW w:w="1658" w:type="dxa"/>
            <w:gridSpan w:val="2"/>
            <w:vMerge w:val="restart"/>
            <w:vAlign w:val="center"/>
          </w:tcPr>
          <w:p w14:paraId="6EB910D9">
            <w:pPr>
              <w:keepNext w:val="0"/>
              <w:keepLines w:val="0"/>
              <w:suppressLineNumbers w:val="0"/>
              <w:adjustRightInd w:val="0"/>
              <w:snapToGrid w:val="0"/>
              <w:spacing w:before="0" w:beforeAutospacing="0" w:after="0" w:afterAutospacing="0" w:line="276" w:lineRule="auto"/>
              <w:ind w:left="0" w:right="0"/>
              <w:rPr>
                <w:rFonts w:hint="default"/>
                <w:bCs/>
                <w:kern w:val="0"/>
                <w:sz w:val="18"/>
                <w:szCs w:val="18"/>
                <w:highlight w:val="none"/>
                <w:lang w:val="en-US" w:eastAsia="zh-CN"/>
              </w:rPr>
            </w:pPr>
            <w:r>
              <w:rPr>
                <w:rFonts w:hint="eastAsia"/>
                <w:bCs/>
                <w:kern w:val="0"/>
                <w:sz w:val="18"/>
                <w:szCs w:val="18"/>
                <w:highlight w:val="none"/>
                <w:lang w:val="en-US" w:eastAsia="zh-CN"/>
              </w:rPr>
              <w:t>科创综合楼废气排气筒（DA011-DA019）</w:t>
            </w:r>
          </w:p>
        </w:tc>
        <w:tc>
          <w:tcPr>
            <w:tcW w:w="1020" w:type="dxa"/>
            <w:vAlign w:val="center"/>
          </w:tcPr>
          <w:p w14:paraId="4F03E634">
            <w:pPr>
              <w:keepNext w:val="0"/>
              <w:keepLines w:val="0"/>
              <w:suppressLineNumbers w:val="0"/>
              <w:adjustRightInd w:val="0"/>
              <w:snapToGrid w:val="0"/>
              <w:spacing w:before="0" w:beforeAutospacing="0" w:after="0" w:afterAutospacing="0" w:line="276" w:lineRule="auto"/>
              <w:ind w:left="0" w:right="0"/>
              <w:rPr>
                <w:rFonts w:hint="default"/>
                <w:sz w:val="18"/>
                <w:szCs w:val="18"/>
                <w:highlight w:val="none"/>
                <w:lang w:val="en-US" w:eastAsia="zh-CN"/>
              </w:rPr>
            </w:pPr>
            <w:r>
              <w:rPr>
                <w:rFonts w:hint="eastAsia"/>
                <w:sz w:val="18"/>
                <w:szCs w:val="18"/>
                <w:highlight w:val="none"/>
                <w:lang w:val="en-US" w:eastAsia="zh-CN"/>
              </w:rPr>
              <w:t>非甲烷总烃、氯化氢</w:t>
            </w:r>
          </w:p>
        </w:tc>
        <w:tc>
          <w:tcPr>
            <w:tcW w:w="3493" w:type="dxa"/>
            <w:vMerge w:val="restart"/>
            <w:vAlign w:val="center"/>
          </w:tcPr>
          <w:p w14:paraId="5227BF31">
            <w:pPr>
              <w:keepNext w:val="0"/>
              <w:keepLines w:val="0"/>
              <w:suppressLineNumbers w:val="0"/>
              <w:adjustRightInd w:val="0"/>
              <w:snapToGrid w:val="0"/>
              <w:spacing w:before="0" w:beforeAutospacing="0" w:after="0" w:afterAutospacing="0" w:line="264" w:lineRule="auto"/>
              <w:ind w:left="0" w:right="0"/>
              <w:jc w:val="both"/>
              <w:rPr>
                <w:rFonts w:hint="eastAsia"/>
                <w:bCs/>
                <w:kern w:val="0"/>
                <w:sz w:val="18"/>
                <w:szCs w:val="18"/>
                <w:highlight w:val="none"/>
                <w:lang w:val="en-US" w:eastAsia="zh-CN"/>
              </w:rPr>
            </w:pPr>
            <w:r>
              <w:rPr>
                <w:rFonts w:hint="eastAsia"/>
                <w:bCs/>
                <w:kern w:val="0"/>
                <w:sz w:val="18"/>
                <w:szCs w:val="18"/>
                <w:highlight w:val="none"/>
                <w:lang w:val="en-US" w:eastAsia="zh-CN"/>
              </w:rPr>
              <w:t>科创综合楼废气</w:t>
            </w:r>
            <w:r>
              <w:rPr>
                <w:rFonts w:hint="eastAsia" w:ascii="Times New Roman" w:hAnsi="Times New Roman" w:eastAsia="宋体" w:cs="Times New Roman"/>
                <w:bCs/>
                <w:sz w:val="18"/>
                <w:szCs w:val="18"/>
                <w:highlight w:val="none"/>
                <w:lang w:val="en-US" w:eastAsia="zh-CN"/>
              </w:rPr>
              <w:t>经收集后引入9套活性炭吸附装置处理后通过9根40m高排气筒（DA011-DA019）高空排放，废气风量分别为</w:t>
            </w:r>
            <w:r>
              <w:rPr>
                <w:rFonts w:hint="eastAsia" w:cs="Times New Roman"/>
                <w:sz w:val="18"/>
                <w:szCs w:val="18"/>
                <w:highlight w:val="none"/>
                <w:lang w:val="en-US" w:eastAsia="zh-CN"/>
              </w:rPr>
              <w:t>1505</w:t>
            </w:r>
            <w:r>
              <w:rPr>
                <w:rFonts w:hint="eastAsia" w:ascii="Times New Roman" w:hAnsi="Times New Roman" w:eastAsia="宋体" w:cs="Times New Roman"/>
                <w:sz w:val="18"/>
                <w:szCs w:val="18"/>
                <w:highlight w:val="none"/>
                <w:lang w:val="en-US" w:eastAsia="zh-CN"/>
              </w:rPr>
              <w:t>0</w:t>
            </w:r>
            <w:r>
              <w:rPr>
                <w:rFonts w:hint="eastAsia" w:ascii="Times New Roman" w:hAnsi="Times New Roman" w:eastAsia="宋体" w:cs="Times New Roman"/>
                <w:color w:val="auto"/>
                <w:sz w:val="18"/>
                <w:szCs w:val="18"/>
                <w:highlight w:val="none"/>
                <w:lang w:val="en-US" w:eastAsia="zh-CN"/>
              </w:rPr>
              <w:t>m</w:t>
            </w:r>
            <w:r>
              <w:rPr>
                <w:rFonts w:hint="eastAsia" w:ascii="Times New Roman" w:hAnsi="Times New Roman" w:eastAsia="宋体" w:cs="Times New Roman"/>
                <w:color w:val="auto"/>
                <w:sz w:val="18"/>
                <w:szCs w:val="18"/>
                <w:highlight w:val="none"/>
                <w:vertAlign w:val="superscript"/>
                <w:lang w:val="en-US" w:eastAsia="zh-CN"/>
              </w:rPr>
              <w:t>3</w:t>
            </w:r>
            <w:r>
              <w:rPr>
                <w:rFonts w:hint="eastAsia" w:ascii="Times New Roman" w:hAnsi="Times New Roman" w:eastAsia="宋体" w:cs="Times New Roman"/>
                <w:color w:val="auto"/>
                <w:sz w:val="18"/>
                <w:szCs w:val="18"/>
                <w:highlight w:val="none"/>
                <w:lang w:val="en-US" w:eastAsia="zh-CN"/>
              </w:rPr>
              <w:t>/h</w:t>
            </w:r>
            <w:r>
              <w:rPr>
                <w:rFonts w:hint="eastAsia" w:ascii="Times New Roman" w:hAnsi="Times New Roman" w:eastAsia="宋体" w:cs="Times New Roman"/>
                <w:sz w:val="18"/>
                <w:szCs w:val="18"/>
                <w:highlight w:val="none"/>
                <w:lang w:val="en-US" w:eastAsia="zh-CN"/>
              </w:rPr>
              <w:t>、5</w:t>
            </w:r>
            <w:r>
              <w:rPr>
                <w:rFonts w:hint="eastAsia" w:cs="Times New Roman"/>
                <w:sz w:val="18"/>
                <w:szCs w:val="18"/>
                <w:highlight w:val="none"/>
                <w:lang w:val="en-US" w:eastAsia="zh-CN"/>
              </w:rPr>
              <w:t>9</w:t>
            </w:r>
            <w:r>
              <w:rPr>
                <w:rFonts w:hint="eastAsia" w:ascii="Times New Roman" w:hAnsi="Times New Roman" w:eastAsia="宋体" w:cs="Times New Roman"/>
                <w:sz w:val="18"/>
                <w:szCs w:val="18"/>
                <w:highlight w:val="none"/>
                <w:lang w:val="en-US" w:eastAsia="zh-CN"/>
              </w:rPr>
              <w:t>8</w:t>
            </w:r>
            <w:r>
              <w:rPr>
                <w:rFonts w:hint="eastAsia" w:cs="Times New Roman"/>
                <w:sz w:val="18"/>
                <w:szCs w:val="18"/>
                <w:highlight w:val="none"/>
                <w:lang w:val="en-US" w:eastAsia="zh-CN"/>
              </w:rPr>
              <w:t>00</w:t>
            </w:r>
            <w:r>
              <w:rPr>
                <w:rFonts w:hint="eastAsia" w:ascii="Times New Roman" w:hAnsi="Times New Roman" w:eastAsia="宋体" w:cs="Times New Roman"/>
                <w:color w:val="auto"/>
                <w:sz w:val="18"/>
                <w:szCs w:val="18"/>
                <w:highlight w:val="none"/>
                <w:lang w:val="en-US" w:eastAsia="zh-CN"/>
              </w:rPr>
              <w:t>m</w:t>
            </w:r>
            <w:r>
              <w:rPr>
                <w:rFonts w:hint="eastAsia" w:ascii="Times New Roman" w:hAnsi="Times New Roman" w:eastAsia="宋体" w:cs="Times New Roman"/>
                <w:color w:val="auto"/>
                <w:sz w:val="18"/>
                <w:szCs w:val="18"/>
                <w:highlight w:val="none"/>
                <w:vertAlign w:val="superscript"/>
                <w:lang w:val="en-US" w:eastAsia="zh-CN"/>
              </w:rPr>
              <w:t>3</w:t>
            </w:r>
            <w:r>
              <w:rPr>
                <w:rFonts w:hint="eastAsia" w:ascii="Times New Roman" w:hAnsi="Times New Roman" w:eastAsia="宋体" w:cs="Times New Roman"/>
                <w:color w:val="auto"/>
                <w:sz w:val="18"/>
                <w:szCs w:val="18"/>
                <w:highlight w:val="none"/>
                <w:lang w:val="en-US" w:eastAsia="zh-CN"/>
              </w:rPr>
              <w:t>/h</w:t>
            </w:r>
            <w:r>
              <w:rPr>
                <w:rFonts w:hint="eastAsia" w:ascii="Times New Roman" w:hAnsi="Times New Roman" w:eastAsia="宋体" w:cs="Times New Roman"/>
                <w:sz w:val="18"/>
                <w:szCs w:val="18"/>
                <w:highlight w:val="none"/>
                <w:lang w:val="en-US" w:eastAsia="zh-CN"/>
              </w:rPr>
              <w:t>、</w:t>
            </w:r>
            <w:r>
              <w:rPr>
                <w:rFonts w:hint="eastAsia" w:cs="Times New Roman"/>
                <w:sz w:val="18"/>
                <w:szCs w:val="18"/>
                <w:highlight w:val="none"/>
                <w:lang w:val="en-US" w:eastAsia="zh-CN"/>
              </w:rPr>
              <w:t>89</w:t>
            </w:r>
            <w:r>
              <w:rPr>
                <w:rFonts w:hint="eastAsia" w:ascii="Times New Roman" w:hAnsi="Times New Roman" w:eastAsia="宋体" w:cs="Times New Roman"/>
                <w:sz w:val="18"/>
                <w:szCs w:val="18"/>
                <w:highlight w:val="none"/>
                <w:lang w:val="en-US" w:eastAsia="zh-CN"/>
              </w:rPr>
              <w:t>30</w:t>
            </w:r>
            <w:r>
              <w:rPr>
                <w:rFonts w:hint="eastAsia" w:cs="Times New Roman"/>
                <w:sz w:val="18"/>
                <w:szCs w:val="18"/>
                <w:highlight w:val="none"/>
                <w:lang w:val="en-US" w:eastAsia="zh-CN"/>
              </w:rPr>
              <w:t>0</w:t>
            </w:r>
            <w:r>
              <w:rPr>
                <w:rFonts w:hint="eastAsia" w:ascii="Times New Roman" w:hAnsi="Times New Roman" w:eastAsia="宋体" w:cs="Times New Roman"/>
                <w:color w:val="auto"/>
                <w:sz w:val="18"/>
                <w:szCs w:val="18"/>
                <w:highlight w:val="none"/>
                <w:lang w:val="en-US" w:eastAsia="zh-CN"/>
              </w:rPr>
              <w:t>m</w:t>
            </w:r>
            <w:r>
              <w:rPr>
                <w:rFonts w:hint="eastAsia" w:ascii="Times New Roman" w:hAnsi="Times New Roman" w:eastAsia="宋体" w:cs="Times New Roman"/>
                <w:color w:val="auto"/>
                <w:sz w:val="18"/>
                <w:szCs w:val="18"/>
                <w:highlight w:val="none"/>
                <w:vertAlign w:val="superscript"/>
                <w:lang w:val="en-US" w:eastAsia="zh-CN"/>
              </w:rPr>
              <w:t>3</w:t>
            </w:r>
            <w:r>
              <w:rPr>
                <w:rFonts w:hint="eastAsia" w:ascii="Times New Roman" w:hAnsi="Times New Roman" w:eastAsia="宋体" w:cs="Times New Roman"/>
                <w:color w:val="auto"/>
                <w:sz w:val="18"/>
                <w:szCs w:val="18"/>
                <w:highlight w:val="none"/>
                <w:lang w:val="en-US" w:eastAsia="zh-CN"/>
              </w:rPr>
              <w:t>/h</w:t>
            </w:r>
            <w:r>
              <w:rPr>
                <w:rFonts w:hint="eastAsia" w:ascii="Times New Roman" w:hAnsi="Times New Roman" w:eastAsia="宋体" w:cs="Times New Roman"/>
                <w:sz w:val="18"/>
                <w:szCs w:val="18"/>
                <w:highlight w:val="none"/>
                <w:lang w:val="en-US" w:eastAsia="zh-CN"/>
              </w:rPr>
              <w:t>、</w:t>
            </w:r>
            <w:r>
              <w:rPr>
                <w:rFonts w:hint="eastAsia" w:cs="Times New Roman"/>
                <w:sz w:val="18"/>
                <w:szCs w:val="18"/>
                <w:highlight w:val="none"/>
                <w:lang w:val="en-US" w:eastAsia="zh-CN"/>
              </w:rPr>
              <w:t>8</w:t>
            </w:r>
            <w:r>
              <w:rPr>
                <w:rFonts w:hint="eastAsia" w:ascii="Times New Roman" w:hAnsi="Times New Roman" w:eastAsia="宋体" w:cs="Times New Roman"/>
                <w:sz w:val="18"/>
                <w:szCs w:val="18"/>
                <w:highlight w:val="none"/>
                <w:lang w:val="en-US" w:eastAsia="zh-CN"/>
              </w:rPr>
              <w:t>0</w:t>
            </w:r>
            <w:r>
              <w:rPr>
                <w:rFonts w:hint="eastAsia" w:cs="Times New Roman"/>
                <w:sz w:val="18"/>
                <w:szCs w:val="18"/>
                <w:highlight w:val="none"/>
                <w:lang w:val="en-US" w:eastAsia="zh-CN"/>
              </w:rPr>
              <w:t>700</w:t>
            </w:r>
            <w:r>
              <w:rPr>
                <w:rFonts w:hint="eastAsia" w:ascii="Times New Roman" w:hAnsi="Times New Roman" w:eastAsia="宋体" w:cs="Times New Roman"/>
                <w:color w:val="auto"/>
                <w:sz w:val="18"/>
                <w:szCs w:val="18"/>
                <w:highlight w:val="none"/>
                <w:lang w:val="en-US" w:eastAsia="zh-CN"/>
              </w:rPr>
              <w:t>m</w:t>
            </w:r>
            <w:r>
              <w:rPr>
                <w:rFonts w:hint="eastAsia" w:ascii="Times New Roman" w:hAnsi="Times New Roman" w:eastAsia="宋体" w:cs="Times New Roman"/>
                <w:color w:val="auto"/>
                <w:sz w:val="18"/>
                <w:szCs w:val="18"/>
                <w:highlight w:val="none"/>
                <w:vertAlign w:val="superscript"/>
                <w:lang w:val="en-US" w:eastAsia="zh-CN"/>
              </w:rPr>
              <w:t>3</w:t>
            </w:r>
            <w:r>
              <w:rPr>
                <w:rFonts w:hint="eastAsia" w:ascii="Times New Roman" w:hAnsi="Times New Roman" w:eastAsia="宋体" w:cs="Times New Roman"/>
                <w:color w:val="auto"/>
                <w:sz w:val="18"/>
                <w:szCs w:val="18"/>
                <w:highlight w:val="none"/>
                <w:lang w:val="en-US" w:eastAsia="zh-CN"/>
              </w:rPr>
              <w:t>/h</w:t>
            </w:r>
            <w:r>
              <w:rPr>
                <w:rFonts w:hint="eastAsia" w:ascii="Times New Roman" w:hAnsi="Times New Roman" w:eastAsia="宋体" w:cs="Times New Roman"/>
                <w:sz w:val="18"/>
                <w:szCs w:val="18"/>
                <w:highlight w:val="none"/>
                <w:lang w:val="en-US" w:eastAsia="zh-CN"/>
              </w:rPr>
              <w:t>、</w:t>
            </w:r>
            <w:r>
              <w:rPr>
                <w:rFonts w:hint="eastAsia" w:cs="Times New Roman"/>
                <w:sz w:val="18"/>
                <w:szCs w:val="18"/>
                <w:highlight w:val="none"/>
                <w:lang w:val="en-US" w:eastAsia="zh-CN"/>
              </w:rPr>
              <w:t>882</w:t>
            </w:r>
            <w:r>
              <w:rPr>
                <w:rFonts w:hint="eastAsia" w:ascii="Times New Roman" w:hAnsi="Times New Roman" w:eastAsia="宋体" w:cs="Times New Roman"/>
                <w:sz w:val="18"/>
                <w:szCs w:val="18"/>
                <w:highlight w:val="none"/>
                <w:lang w:val="en-US" w:eastAsia="zh-CN"/>
              </w:rPr>
              <w:t>0</w:t>
            </w:r>
            <w:r>
              <w:rPr>
                <w:rFonts w:hint="eastAsia" w:cs="Times New Roman"/>
                <w:sz w:val="18"/>
                <w:szCs w:val="18"/>
                <w:highlight w:val="none"/>
                <w:lang w:val="en-US" w:eastAsia="zh-CN"/>
              </w:rPr>
              <w:t>0</w:t>
            </w:r>
            <w:r>
              <w:rPr>
                <w:rFonts w:hint="eastAsia" w:ascii="Times New Roman" w:hAnsi="Times New Roman" w:eastAsia="宋体" w:cs="Times New Roman"/>
                <w:color w:val="auto"/>
                <w:sz w:val="18"/>
                <w:szCs w:val="18"/>
                <w:highlight w:val="none"/>
                <w:lang w:val="en-US" w:eastAsia="zh-CN"/>
              </w:rPr>
              <w:t>m</w:t>
            </w:r>
            <w:r>
              <w:rPr>
                <w:rFonts w:hint="eastAsia" w:ascii="Times New Roman" w:hAnsi="Times New Roman" w:eastAsia="宋体" w:cs="Times New Roman"/>
                <w:color w:val="auto"/>
                <w:sz w:val="18"/>
                <w:szCs w:val="18"/>
                <w:highlight w:val="none"/>
                <w:vertAlign w:val="superscript"/>
                <w:lang w:val="en-US" w:eastAsia="zh-CN"/>
              </w:rPr>
              <w:t>3</w:t>
            </w:r>
            <w:r>
              <w:rPr>
                <w:rFonts w:hint="eastAsia" w:ascii="Times New Roman" w:hAnsi="Times New Roman" w:eastAsia="宋体" w:cs="Times New Roman"/>
                <w:color w:val="auto"/>
                <w:sz w:val="18"/>
                <w:szCs w:val="18"/>
                <w:highlight w:val="none"/>
                <w:lang w:val="en-US" w:eastAsia="zh-CN"/>
              </w:rPr>
              <w:t>/h</w:t>
            </w:r>
            <w:r>
              <w:rPr>
                <w:rFonts w:hint="eastAsia" w:ascii="Times New Roman" w:hAnsi="Times New Roman" w:eastAsia="宋体" w:cs="Times New Roman"/>
                <w:sz w:val="18"/>
                <w:szCs w:val="18"/>
                <w:highlight w:val="none"/>
                <w:lang w:val="en-US" w:eastAsia="zh-CN"/>
              </w:rPr>
              <w:t>、</w:t>
            </w:r>
            <w:r>
              <w:rPr>
                <w:rFonts w:hint="eastAsia" w:cs="Times New Roman"/>
                <w:sz w:val="18"/>
                <w:szCs w:val="18"/>
                <w:highlight w:val="none"/>
                <w:lang w:val="en-US" w:eastAsia="zh-CN"/>
              </w:rPr>
              <w:t>56850</w:t>
            </w:r>
            <w:r>
              <w:rPr>
                <w:rFonts w:hint="eastAsia" w:ascii="Times New Roman" w:hAnsi="Times New Roman" w:eastAsia="宋体" w:cs="Times New Roman"/>
                <w:color w:val="auto"/>
                <w:sz w:val="18"/>
                <w:szCs w:val="18"/>
                <w:highlight w:val="none"/>
                <w:lang w:val="en-US" w:eastAsia="zh-CN"/>
              </w:rPr>
              <w:t>m</w:t>
            </w:r>
            <w:r>
              <w:rPr>
                <w:rFonts w:hint="eastAsia" w:ascii="Times New Roman" w:hAnsi="Times New Roman" w:eastAsia="宋体" w:cs="Times New Roman"/>
                <w:color w:val="auto"/>
                <w:sz w:val="18"/>
                <w:szCs w:val="18"/>
                <w:highlight w:val="none"/>
                <w:vertAlign w:val="superscript"/>
                <w:lang w:val="en-US" w:eastAsia="zh-CN"/>
              </w:rPr>
              <w:t>3</w:t>
            </w:r>
            <w:r>
              <w:rPr>
                <w:rFonts w:hint="eastAsia" w:ascii="Times New Roman" w:hAnsi="Times New Roman" w:eastAsia="宋体" w:cs="Times New Roman"/>
                <w:color w:val="auto"/>
                <w:sz w:val="18"/>
                <w:szCs w:val="18"/>
                <w:highlight w:val="none"/>
                <w:lang w:val="en-US" w:eastAsia="zh-CN"/>
              </w:rPr>
              <w:t>/h</w:t>
            </w:r>
            <w:r>
              <w:rPr>
                <w:rFonts w:hint="eastAsia" w:ascii="Times New Roman" w:hAnsi="Times New Roman" w:eastAsia="宋体" w:cs="Times New Roman"/>
                <w:sz w:val="18"/>
                <w:szCs w:val="18"/>
                <w:highlight w:val="none"/>
                <w:lang w:val="en-US" w:eastAsia="zh-CN"/>
              </w:rPr>
              <w:t>、</w:t>
            </w:r>
            <w:r>
              <w:rPr>
                <w:rFonts w:hint="eastAsia" w:cs="Times New Roman"/>
                <w:sz w:val="18"/>
                <w:szCs w:val="18"/>
                <w:highlight w:val="none"/>
                <w:lang w:val="en-US" w:eastAsia="zh-CN"/>
              </w:rPr>
              <w:t>33800</w:t>
            </w:r>
            <w:r>
              <w:rPr>
                <w:rFonts w:hint="eastAsia" w:ascii="Times New Roman" w:hAnsi="Times New Roman" w:eastAsia="宋体" w:cs="Times New Roman"/>
                <w:color w:val="auto"/>
                <w:sz w:val="18"/>
                <w:szCs w:val="18"/>
                <w:highlight w:val="none"/>
                <w:lang w:val="en-US" w:eastAsia="zh-CN"/>
              </w:rPr>
              <w:t>m</w:t>
            </w:r>
            <w:r>
              <w:rPr>
                <w:rFonts w:hint="eastAsia" w:ascii="Times New Roman" w:hAnsi="Times New Roman" w:eastAsia="宋体" w:cs="Times New Roman"/>
                <w:color w:val="auto"/>
                <w:sz w:val="18"/>
                <w:szCs w:val="18"/>
                <w:highlight w:val="none"/>
                <w:vertAlign w:val="superscript"/>
                <w:lang w:val="en-US" w:eastAsia="zh-CN"/>
              </w:rPr>
              <w:t>3</w:t>
            </w:r>
            <w:r>
              <w:rPr>
                <w:rFonts w:hint="eastAsia" w:ascii="Times New Roman" w:hAnsi="Times New Roman" w:eastAsia="宋体" w:cs="Times New Roman"/>
                <w:color w:val="auto"/>
                <w:sz w:val="18"/>
                <w:szCs w:val="18"/>
                <w:highlight w:val="none"/>
                <w:lang w:val="en-US" w:eastAsia="zh-CN"/>
              </w:rPr>
              <w:t>/h</w:t>
            </w:r>
            <w:r>
              <w:rPr>
                <w:rFonts w:hint="eastAsia" w:ascii="Times New Roman" w:hAnsi="Times New Roman" w:eastAsia="宋体" w:cs="Times New Roman"/>
                <w:sz w:val="18"/>
                <w:szCs w:val="18"/>
                <w:highlight w:val="none"/>
                <w:lang w:val="en-US" w:eastAsia="zh-CN"/>
              </w:rPr>
              <w:t>、</w:t>
            </w:r>
            <w:r>
              <w:rPr>
                <w:rFonts w:hint="eastAsia" w:cs="Times New Roman"/>
                <w:sz w:val="18"/>
                <w:szCs w:val="18"/>
                <w:highlight w:val="none"/>
                <w:lang w:val="en-US" w:eastAsia="zh-CN"/>
              </w:rPr>
              <w:t>50800</w:t>
            </w:r>
            <w:r>
              <w:rPr>
                <w:rFonts w:hint="eastAsia" w:ascii="Times New Roman" w:hAnsi="Times New Roman" w:eastAsia="宋体" w:cs="Times New Roman"/>
                <w:color w:val="auto"/>
                <w:sz w:val="18"/>
                <w:szCs w:val="18"/>
                <w:highlight w:val="none"/>
                <w:lang w:val="en-US" w:eastAsia="zh-CN"/>
              </w:rPr>
              <w:t>m</w:t>
            </w:r>
            <w:r>
              <w:rPr>
                <w:rFonts w:hint="eastAsia" w:ascii="Times New Roman" w:hAnsi="Times New Roman" w:eastAsia="宋体" w:cs="Times New Roman"/>
                <w:color w:val="auto"/>
                <w:sz w:val="18"/>
                <w:szCs w:val="18"/>
                <w:highlight w:val="none"/>
                <w:vertAlign w:val="superscript"/>
                <w:lang w:val="en-US" w:eastAsia="zh-CN"/>
              </w:rPr>
              <w:t>3</w:t>
            </w:r>
            <w:r>
              <w:rPr>
                <w:rFonts w:hint="eastAsia" w:ascii="Times New Roman" w:hAnsi="Times New Roman" w:eastAsia="宋体" w:cs="Times New Roman"/>
                <w:color w:val="auto"/>
                <w:sz w:val="18"/>
                <w:szCs w:val="18"/>
                <w:highlight w:val="none"/>
                <w:lang w:val="en-US" w:eastAsia="zh-CN"/>
              </w:rPr>
              <w:t>/h</w:t>
            </w:r>
            <w:r>
              <w:rPr>
                <w:rFonts w:hint="eastAsia" w:ascii="Times New Roman" w:hAnsi="Times New Roman" w:eastAsia="宋体" w:cs="Times New Roman"/>
                <w:sz w:val="18"/>
                <w:szCs w:val="18"/>
                <w:highlight w:val="none"/>
                <w:lang w:val="en-US" w:eastAsia="zh-CN"/>
              </w:rPr>
              <w:t>、</w:t>
            </w:r>
            <w:r>
              <w:rPr>
                <w:rFonts w:hint="eastAsia" w:cs="Times New Roman"/>
                <w:sz w:val="18"/>
                <w:szCs w:val="18"/>
                <w:highlight w:val="none"/>
                <w:lang w:val="en-US" w:eastAsia="zh-CN"/>
              </w:rPr>
              <w:t>34350</w:t>
            </w:r>
            <w:r>
              <w:rPr>
                <w:rFonts w:hint="eastAsia" w:ascii="Times New Roman" w:hAnsi="Times New Roman" w:eastAsia="宋体" w:cs="Times New Roman"/>
                <w:color w:val="auto"/>
                <w:sz w:val="18"/>
                <w:szCs w:val="18"/>
                <w:highlight w:val="none"/>
                <w:lang w:val="en-US" w:eastAsia="zh-CN"/>
              </w:rPr>
              <w:t>m</w:t>
            </w:r>
            <w:r>
              <w:rPr>
                <w:rFonts w:hint="eastAsia" w:ascii="Times New Roman" w:hAnsi="Times New Roman" w:eastAsia="宋体" w:cs="Times New Roman"/>
                <w:color w:val="auto"/>
                <w:sz w:val="18"/>
                <w:szCs w:val="18"/>
                <w:highlight w:val="none"/>
                <w:vertAlign w:val="superscript"/>
                <w:lang w:val="en-US" w:eastAsia="zh-CN"/>
              </w:rPr>
              <w:t>3</w:t>
            </w:r>
            <w:r>
              <w:rPr>
                <w:rFonts w:hint="eastAsia" w:ascii="Times New Roman" w:hAnsi="Times New Roman" w:eastAsia="宋体" w:cs="Times New Roman"/>
                <w:color w:val="auto"/>
                <w:sz w:val="18"/>
                <w:szCs w:val="18"/>
                <w:highlight w:val="none"/>
                <w:lang w:val="en-US" w:eastAsia="zh-CN"/>
              </w:rPr>
              <w:t>/h</w:t>
            </w:r>
            <w:r>
              <w:rPr>
                <w:rFonts w:hint="eastAsia"/>
                <w:sz w:val="18"/>
                <w:szCs w:val="18"/>
                <w:highlight w:val="none"/>
              </w:rPr>
              <w:t>。</w:t>
            </w:r>
          </w:p>
        </w:tc>
        <w:tc>
          <w:tcPr>
            <w:tcW w:w="1860" w:type="dxa"/>
            <w:vAlign w:val="center"/>
          </w:tcPr>
          <w:p w14:paraId="07700D6A">
            <w:pPr>
              <w:keepNext w:val="0"/>
              <w:keepLines w:val="0"/>
              <w:suppressLineNumbers w:val="0"/>
              <w:adjustRightInd w:val="0"/>
              <w:snapToGrid w:val="0"/>
              <w:spacing w:before="0" w:beforeAutospacing="0" w:after="0" w:afterAutospacing="0" w:line="264" w:lineRule="auto"/>
              <w:ind w:left="0" w:right="0"/>
              <w:rPr>
                <w:rFonts w:hint="eastAsia"/>
                <w:bCs/>
                <w:sz w:val="18"/>
                <w:szCs w:val="18"/>
                <w:highlight w:val="none"/>
              </w:rPr>
            </w:pPr>
            <w:r>
              <w:rPr>
                <w:rFonts w:hint="eastAsia"/>
                <w:bCs/>
                <w:sz w:val="18"/>
                <w:szCs w:val="18"/>
                <w:highlight w:val="none"/>
              </w:rPr>
              <w:t>《制药工业大气污染物排放标准》（GB37823-2019）表2</w:t>
            </w:r>
          </w:p>
        </w:tc>
      </w:tr>
      <w:tr w14:paraId="6F2874DE">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28" w:type="dxa"/>
            <w:bottom w:w="0" w:type="dxa"/>
            <w:right w:w="28" w:type="dxa"/>
          </w:tblCellMar>
        </w:tblPrEx>
        <w:trPr>
          <w:trHeight w:val="510" w:hRule="atLeast"/>
          <w:jc w:val="center"/>
        </w:trPr>
        <w:tc>
          <w:tcPr>
            <w:tcW w:w="1029" w:type="dxa"/>
            <w:vMerge w:val="continue"/>
            <w:vAlign w:val="center"/>
          </w:tcPr>
          <w:p w14:paraId="6C5E8E57">
            <w:pPr>
              <w:keepNext w:val="0"/>
              <w:keepLines w:val="0"/>
              <w:suppressLineNumbers w:val="0"/>
              <w:adjustRightInd w:val="0"/>
              <w:snapToGrid w:val="0"/>
              <w:spacing w:before="0" w:beforeAutospacing="0" w:after="0" w:afterAutospacing="0" w:line="276" w:lineRule="auto"/>
              <w:ind w:left="0" w:right="0"/>
              <w:rPr>
                <w:rFonts w:hint="eastAsia"/>
                <w:sz w:val="18"/>
                <w:szCs w:val="18"/>
                <w:highlight w:val="none"/>
                <w:lang w:val="en-US" w:eastAsia="zh-CN"/>
              </w:rPr>
            </w:pPr>
          </w:p>
        </w:tc>
        <w:tc>
          <w:tcPr>
            <w:tcW w:w="1658" w:type="dxa"/>
            <w:gridSpan w:val="2"/>
            <w:vMerge w:val="continue"/>
            <w:vAlign w:val="center"/>
          </w:tcPr>
          <w:p w14:paraId="06B5A142">
            <w:pPr>
              <w:keepNext w:val="0"/>
              <w:keepLines w:val="0"/>
              <w:suppressLineNumbers w:val="0"/>
              <w:adjustRightInd w:val="0"/>
              <w:snapToGrid w:val="0"/>
              <w:spacing w:before="0" w:beforeAutospacing="0" w:after="0" w:afterAutospacing="0" w:line="276" w:lineRule="auto"/>
              <w:ind w:left="0" w:right="0"/>
              <w:rPr>
                <w:rFonts w:hint="eastAsia"/>
                <w:sz w:val="18"/>
                <w:szCs w:val="18"/>
                <w:highlight w:val="none"/>
                <w:lang w:val="en-US" w:eastAsia="zh-CN"/>
              </w:rPr>
            </w:pPr>
          </w:p>
        </w:tc>
        <w:tc>
          <w:tcPr>
            <w:tcW w:w="1020" w:type="dxa"/>
            <w:vAlign w:val="center"/>
          </w:tcPr>
          <w:p w14:paraId="407FC943">
            <w:pPr>
              <w:keepNext w:val="0"/>
              <w:keepLines w:val="0"/>
              <w:suppressLineNumbers w:val="0"/>
              <w:adjustRightInd w:val="0"/>
              <w:snapToGrid w:val="0"/>
              <w:spacing w:before="0" w:beforeAutospacing="0" w:after="0" w:afterAutospacing="0" w:line="276" w:lineRule="auto"/>
              <w:ind w:left="0" w:right="0"/>
              <w:rPr>
                <w:rFonts w:hint="eastAsia"/>
                <w:sz w:val="18"/>
                <w:szCs w:val="18"/>
                <w:highlight w:val="none"/>
                <w:lang w:val="en-US" w:eastAsia="zh-CN"/>
              </w:rPr>
            </w:pPr>
            <w:r>
              <w:rPr>
                <w:rFonts w:hint="eastAsia"/>
                <w:sz w:val="18"/>
                <w:szCs w:val="18"/>
                <w:highlight w:val="none"/>
                <w:lang w:val="en-US" w:eastAsia="zh-CN"/>
              </w:rPr>
              <w:t>硫酸雾</w:t>
            </w:r>
          </w:p>
        </w:tc>
        <w:tc>
          <w:tcPr>
            <w:tcW w:w="3493" w:type="dxa"/>
            <w:vMerge w:val="continue"/>
            <w:vAlign w:val="center"/>
          </w:tcPr>
          <w:p w14:paraId="41E14488">
            <w:pPr>
              <w:keepNext w:val="0"/>
              <w:keepLines w:val="0"/>
              <w:suppressLineNumbers w:val="0"/>
              <w:adjustRightInd w:val="0"/>
              <w:snapToGrid w:val="0"/>
              <w:spacing w:before="0" w:beforeAutospacing="0" w:after="0" w:afterAutospacing="0" w:line="276" w:lineRule="auto"/>
              <w:ind w:left="0" w:right="0"/>
              <w:rPr>
                <w:rFonts w:hint="eastAsia"/>
                <w:sz w:val="18"/>
                <w:szCs w:val="18"/>
                <w:highlight w:val="none"/>
                <w:lang w:val="en-US" w:eastAsia="zh-CN"/>
              </w:rPr>
            </w:pPr>
          </w:p>
        </w:tc>
        <w:tc>
          <w:tcPr>
            <w:tcW w:w="1860" w:type="dxa"/>
            <w:vAlign w:val="center"/>
          </w:tcPr>
          <w:p w14:paraId="315F2393">
            <w:pPr>
              <w:keepNext w:val="0"/>
              <w:keepLines w:val="0"/>
              <w:suppressLineNumbers w:val="0"/>
              <w:adjustRightInd w:val="0"/>
              <w:snapToGrid w:val="0"/>
              <w:spacing w:before="0" w:beforeAutospacing="0" w:after="0" w:afterAutospacing="0" w:line="276" w:lineRule="auto"/>
              <w:ind w:left="0" w:right="0"/>
              <w:rPr>
                <w:rFonts w:hint="eastAsia"/>
                <w:sz w:val="18"/>
                <w:szCs w:val="18"/>
                <w:highlight w:val="none"/>
                <w:lang w:val="en-US" w:eastAsia="zh-CN"/>
              </w:rPr>
            </w:pPr>
            <w:r>
              <w:rPr>
                <w:rFonts w:hint="eastAsia"/>
                <w:sz w:val="18"/>
                <w:szCs w:val="18"/>
                <w:highlight w:val="none"/>
                <w:lang w:val="en-US" w:eastAsia="zh-CN"/>
              </w:rPr>
              <w:t>《大气污染物综合排放标准》（GB16297-1996）中表2</w:t>
            </w:r>
          </w:p>
        </w:tc>
      </w:tr>
      <w:tr w14:paraId="1F673DFA">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28" w:type="dxa"/>
            <w:bottom w:w="0" w:type="dxa"/>
            <w:right w:w="28" w:type="dxa"/>
          </w:tblCellMar>
        </w:tblPrEx>
        <w:trPr>
          <w:trHeight w:val="0" w:hRule="atLeast"/>
          <w:jc w:val="center"/>
        </w:trPr>
        <w:tc>
          <w:tcPr>
            <w:tcW w:w="1029" w:type="dxa"/>
            <w:vMerge w:val="continue"/>
            <w:vAlign w:val="center"/>
          </w:tcPr>
          <w:p w14:paraId="59EB4C32">
            <w:pPr>
              <w:keepNext w:val="0"/>
              <w:keepLines w:val="0"/>
              <w:suppressLineNumbers w:val="0"/>
              <w:adjustRightInd w:val="0"/>
              <w:snapToGrid w:val="0"/>
              <w:spacing w:before="0" w:beforeAutospacing="0" w:after="0" w:afterAutospacing="0" w:line="264" w:lineRule="auto"/>
              <w:ind w:left="0" w:right="0"/>
              <w:jc w:val="center"/>
              <w:rPr>
                <w:rFonts w:hint="eastAsia" w:hAnsi="宋体"/>
                <w:sz w:val="18"/>
                <w:szCs w:val="18"/>
                <w:highlight w:val="none"/>
              </w:rPr>
            </w:pPr>
          </w:p>
        </w:tc>
        <w:tc>
          <w:tcPr>
            <w:tcW w:w="1658" w:type="dxa"/>
            <w:gridSpan w:val="2"/>
            <w:vAlign w:val="center"/>
          </w:tcPr>
          <w:p w14:paraId="2E1E019D">
            <w:pPr>
              <w:keepNext w:val="0"/>
              <w:keepLines w:val="0"/>
              <w:suppressLineNumbers w:val="0"/>
              <w:adjustRightInd w:val="0"/>
              <w:snapToGrid w:val="0"/>
              <w:spacing w:before="0" w:beforeAutospacing="0" w:after="0" w:afterAutospacing="0" w:line="276" w:lineRule="auto"/>
              <w:ind w:left="0" w:right="0"/>
              <w:rPr>
                <w:rFonts w:hint="default"/>
                <w:bCs/>
                <w:kern w:val="0"/>
                <w:sz w:val="18"/>
                <w:szCs w:val="18"/>
                <w:highlight w:val="none"/>
                <w:lang w:val="en-US" w:eastAsia="zh-CN"/>
              </w:rPr>
            </w:pPr>
            <w:r>
              <w:rPr>
                <w:rFonts w:hint="eastAsia"/>
                <w:bCs/>
                <w:kern w:val="0"/>
                <w:sz w:val="18"/>
                <w:szCs w:val="18"/>
                <w:highlight w:val="none"/>
                <w:lang w:val="en-US" w:eastAsia="zh-CN"/>
              </w:rPr>
              <w:t>油烟排气筒（DA020）</w:t>
            </w:r>
          </w:p>
        </w:tc>
        <w:tc>
          <w:tcPr>
            <w:tcW w:w="1020" w:type="dxa"/>
            <w:vAlign w:val="center"/>
          </w:tcPr>
          <w:p w14:paraId="5101A92A">
            <w:pPr>
              <w:keepNext w:val="0"/>
              <w:keepLines w:val="0"/>
              <w:suppressLineNumbers w:val="0"/>
              <w:adjustRightInd w:val="0"/>
              <w:snapToGrid w:val="0"/>
              <w:spacing w:before="0" w:beforeAutospacing="0" w:after="0" w:afterAutospacing="0" w:line="276" w:lineRule="auto"/>
              <w:ind w:left="0" w:right="0"/>
              <w:rPr>
                <w:rFonts w:hint="eastAsia"/>
                <w:sz w:val="18"/>
                <w:szCs w:val="18"/>
                <w:highlight w:val="none"/>
                <w:lang w:val="en-US" w:eastAsia="zh-CN"/>
              </w:rPr>
            </w:pPr>
            <w:r>
              <w:rPr>
                <w:rFonts w:hint="eastAsia" w:hAnsi="宋体"/>
                <w:sz w:val="18"/>
                <w:szCs w:val="18"/>
                <w:highlight w:val="none"/>
              </w:rPr>
              <w:t>油烟</w:t>
            </w:r>
          </w:p>
        </w:tc>
        <w:tc>
          <w:tcPr>
            <w:tcW w:w="3493" w:type="dxa"/>
            <w:vAlign w:val="center"/>
          </w:tcPr>
          <w:p w14:paraId="33931E32">
            <w:pPr>
              <w:keepNext w:val="0"/>
              <w:keepLines w:val="0"/>
              <w:suppressLineNumbers w:val="0"/>
              <w:adjustRightInd w:val="0"/>
              <w:snapToGrid w:val="0"/>
              <w:spacing w:before="0" w:beforeAutospacing="0" w:after="0" w:afterAutospacing="0" w:line="264" w:lineRule="auto"/>
              <w:ind w:left="0" w:right="0"/>
              <w:jc w:val="both"/>
              <w:rPr>
                <w:rFonts w:hint="eastAsia"/>
                <w:bCs/>
                <w:kern w:val="0"/>
                <w:sz w:val="18"/>
                <w:szCs w:val="18"/>
                <w:highlight w:val="none"/>
                <w:lang w:val="en-US" w:eastAsia="zh-CN"/>
              </w:rPr>
            </w:pPr>
            <w:r>
              <w:rPr>
                <w:rFonts w:hint="eastAsia" w:hAnsi="宋体"/>
                <w:sz w:val="18"/>
                <w:szCs w:val="18"/>
                <w:highlight w:val="none"/>
              </w:rPr>
              <w:t>收集后经油烟净化处理装置处理后通过</w:t>
            </w:r>
            <w:r>
              <w:rPr>
                <w:rFonts w:hint="eastAsia" w:hAnsi="宋体"/>
                <w:sz w:val="18"/>
                <w:szCs w:val="18"/>
                <w:highlight w:val="none"/>
                <w:lang w:val="en-US" w:eastAsia="zh-CN"/>
              </w:rPr>
              <w:t>2</w:t>
            </w:r>
            <w:r>
              <w:rPr>
                <w:rFonts w:hint="eastAsia" w:hAnsi="宋体"/>
                <w:sz w:val="18"/>
                <w:szCs w:val="18"/>
                <w:highlight w:val="none"/>
              </w:rPr>
              <w:t>5m高排气筒（</w:t>
            </w:r>
            <w:r>
              <w:rPr>
                <w:rFonts w:hint="eastAsia"/>
                <w:sz w:val="18"/>
                <w:szCs w:val="18"/>
                <w:highlight w:val="none"/>
              </w:rPr>
              <w:t>DA0</w:t>
            </w:r>
            <w:r>
              <w:rPr>
                <w:rFonts w:hint="eastAsia"/>
                <w:sz w:val="18"/>
                <w:szCs w:val="18"/>
                <w:highlight w:val="none"/>
                <w:lang w:val="en-US" w:eastAsia="zh-CN"/>
              </w:rPr>
              <w:t>20</w:t>
            </w:r>
            <w:r>
              <w:rPr>
                <w:rFonts w:hint="eastAsia" w:hAnsi="宋体"/>
                <w:sz w:val="18"/>
                <w:szCs w:val="18"/>
                <w:highlight w:val="none"/>
              </w:rPr>
              <w:t>）高空排放</w:t>
            </w:r>
          </w:p>
        </w:tc>
        <w:tc>
          <w:tcPr>
            <w:tcW w:w="1860" w:type="dxa"/>
            <w:vAlign w:val="center"/>
          </w:tcPr>
          <w:p w14:paraId="200D5304">
            <w:pPr>
              <w:keepNext w:val="0"/>
              <w:keepLines w:val="0"/>
              <w:suppressLineNumbers w:val="0"/>
              <w:adjustRightInd w:val="0"/>
              <w:snapToGrid w:val="0"/>
              <w:spacing w:before="0" w:beforeAutospacing="0" w:after="0" w:afterAutospacing="0" w:line="264" w:lineRule="auto"/>
              <w:ind w:left="0" w:right="0"/>
              <w:rPr>
                <w:rFonts w:hint="eastAsia"/>
                <w:bCs/>
                <w:sz w:val="18"/>
                <w:szCs w:val="18"/>
                <w:highlight w:val="none"/>
              </w:rPr>
            </w:pPr>
            <w:r>
              <w:rPr>
                <w:rFonts w:hint="eastAsia"/>
                <w:sz w:val="18"/>
                <w:szCs w:val="18"/>
                <w:highlight w:val="none"/>
              </w:rPr>
              <w:t>《饮食业油烟排放标准（试行）》（GB18483-2001）表2限值</w:t>
            </w:r>
          </w:p>
        </w:tc>
      </w:tr>
      <w:tr w14:paraId="5E2E222A">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28" w:type="dxa"/>
            <w:bottom w:w="0" w:type="dxa"/>
            <w:right w:w="28" w:type="dxa"/>
          </w:tblCellMar>
        </w:tblPrEx>
        <w:trPr>
          <w:trHeight w:val="129" w:hRule="atLeast"/>
          <w:jc w:val="center"/>
        </w:trPr>
        <w:tc>
          <w:tcPr>
            <w:tcW w:w="1029" w:type="dxa"/>
            <w:vMerge w:val="continue"/>
            <w:vAlign w:val="center"/>
          </w:tcPr>
          <w:p w14:paraId="7B0D1F56">
            <w:pPr>
              <w:keepNext w:val="0"/>
              <w:keepLines w:val="0"/>
              <w:suppressLineNumbers w:val="0"/>
              <w:adjustRightInd w:val="0"/>
              <w:snapToGrid w:val="0"/>
              <w:spacing w:before="0" w:beforeAutospacing="0" w:after="0" w:afterAutospacing="0" w:line="264" w:lineRule="auto"/>
              <w:ind w:left="0" w:right="0"/>
              <w:jc w:val="center"/>
              <w:rPr>
                <w:rFonts w:hint="default" w:hAnsi="宋体"/>
                <w:sz w:val="18"/>
                <w:szCs w:val="18"/>
                <w:highlight w:val="none"/>
              </w:rPr>
            </w:pPr>
          </w:p>
        </w:tc>
        <w:tc>
          <w:tcPr>
            <w:tcW w:w="1658" w:type="dxa"/>
            <w:gridSpan w:val="2"/>
            <w:vMerge w:val="restart"/>
            <w:vAlign w:val="center"/>
          </w:tcPr>
          <w:p w14:paraId="2B30EDE0">
            <w:pPr>
              <w:keepNext w:val="0"/>
              <w:keepLines w:val="0"/>
              <w:suppressLineNumbers w:val="0"/>
              <w:adjustRightInd w:val="0"/>
              <w:snapToGrid w:val="0"/>
              <w:spacing w:before="0" w:beforeAutospacing="0" w:after="0" w:afterAutospacing="0" w:line="276" w:lineRule="auto"/>
              <w:ind w:left="0" w:right="0"/>
              <w:jc w:val="center"/>
              <w:rPr>
                <w:rFonts w:hint="default"/>
                <w:sz w:val="18"/>
                <w:szCs w:val="18"/>
                <w:highlight w:val="none"/>
              </w:rPr>
            </w:pPr>
            <w:r>
              <w:rPr>
                <w:rFonts w:hint="eastAsia"/>
                <w:sz w:val="18"/>
                <w:szCs w:val="18"/>
                <w:highlight w:val="none"/>
              </w:rPr>
              <w:t>无组织厂界</w:t>
            </w:r>
          </w:p>
        </w:tc>
        <w:tc>
          <w:tcPr>
            <w:tcW w:w="1020" w:type="dxa"/>
            <w:vAlign w:val="center"/>
          </w:tcPr>
          <w:p w14:paraId="34AA81F6">
            <w:pPr>
              <w:keepNext w:val="0"/>
              <w:keepLines w:val="0"/>
              <w:suppressLineNumbers w:val="0"/>
              <w:adjustRightInd w:val="0"/>
              <w:snapToGrid w:val="0"/>
              <w:spacing w:before="0" w:beforeAutospacing="0" w:after="0" w:afterAutospacing="0" w:line="276" w:lineRule="auto"/>
              <w:ind w:left="0" w:right="0"/>
              <w:rPr>
                <w:rFonts w:hint="default"/>
                <w:sz w:val="18"/>
                <w:szCs w:val="18"/>
                <w:highlight w:val="none"/>
                <w:lang w:val="en-US" w:eastAsia="zh-CN"/>
              </w:rPr>
            </w:pPr>
            <w:r>
              <w:rPr>
                <w:rFonts w:hint="eastAsia"/>
                <w:sz w:val="18"/>
                <w:szCs w:val="18"/>
                <w:highlight w:val="none"/>
                <w:lang w:val="en-US" w:eastAsia="zh-CN"/>
              </w:rPr>
              <w:t>非甲烷总烃</w:t>
            </w:r>
            <w:r>
              <w:rPr>
                <w:rFonts w:hint="eastAsia"/>
                <w:sz w:val="18"/>
                <w:szCs w:val="18"/>
                <w:highlight w:val="none"/>
                <w:lang w:eastAsia="zh-CN"/>
              </w:rPr>
              <w:t>、</w:t>
            </w:r>
            <w:r>
              <w:rPr>
                <w:rFonts w:hint="eastAsia"/>
                <w:sz w:val="18"/>
                <w:szCs w:val="18"/>
                <w:highlight w:val="none"/>
                <w:lang w:val="en-US" w:eastAsia="zh-CN"/>
              </w:rPr>
              <w:t>颗粒物、甲醛、氯气、硫酸雾</w:t>
            </w:r>
          </w:p>
        </w:tc>
        <w:tc>
          <w:tcPr>
            <w:tcW w:w="3493" w:type="dxa"/>
            <w:vMerge w:val="restart"/>
            <w:vAlign w:val="center"/>
          </w:tcPr>
          <w:p w14:paraId="22A9F537">
            <w:pPr>
              <w:keepNext w:val="0"/>
              <w:keepLines w:val="0"/>
              <w:suppressLineNumbers w:val="0"/>
              <w:adjustRightInd w:val="0"/>
              <w:snapToGrid w:val="0"/>
              <w:spacing w:before="0" w:beforeAutospacing="0" w:after="0" w:afterAutospacing="0" w:line="276" w:lineRule="auto"/>
              <w:ind w:left="0" w:right="0"/>
              <w:rPr>
                <w:rFonts w:hint="default"/>
                <w:sz w:val="18"/>
                <w:szCs w:val="18"/>
                <w:highlight w:val="none"/>
              </w:rPr>
            </w:pPr>
            <w:r>
              <w:rPr>
                <w:rFonts w:hint="eastAsia"/>
                <w:sz w:val="18"/>
                <w:szCs w:val="18"/>
                <w:highlight w:val="none"/>
              </w:rPr>
              <w:t>提高收集效率</w:t>
            </w:r>
          </w:p>
        </w:tc>
        <w:tc>
          <w:tcPr>
            <w:tcW w:w="1860" w:type="dxa"/>
            <w:vAlign w:val="center"/>
          </w:tcPr>
          <w:p w14:paraId="21106C17">
            <w:pPr>
              <w:keepNext w:val="0"/>
              <w:keepLines w:val="0"/>
              <w:suppressLineNumbers w:val="0"/>
              <w:adjustRightInd w:val="0"/>
              <w:snapToGrid w:val="0"/>
              <w:spacing w:before="0" w:beforeAutospacing="0" w:after="0" w:afterAutospacing="0" w:line="264" w:lineRule="auto"/>
              <w:ind w:left="0" w:right="0"/>
              <w:rPr>
                <w:rFonts w:hint="default"/>
                <w:bCs/>
                <w:sz w:val="18"/>
                <w:szCs w:val="18"/>
                <w:highlight w:val="none"/>
              </w:rPr>
            </w:pPr>
            <w:r>
              <w:rPr>
                <w:rFonts w:hint="eastAsia"/>
                <w:bCs/>
                <w:sz w:val="18"/>
                <w:szCs w:val="18"/>
                <w:highlight w:val="none"/>
              </w:rPr>
              <w:t>《大气污染物综合排放标准》（GB16297-1996）中表2</w:t>
            </w:r>
          </w:p>
        </w:tc>
      </w:tr>
      <w:tr w14:paraId="43E8C61D">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28" w:type="dxa"/>
            <w:bottom w:w="0" w:type="dxa"/>
            <w:right w:w="28" w:type="dxa"/>
          </w:tblCellMar>
        </w:tblPrEx>
        <w:trPr>
          <w:trHeight w:val="129" w:hRule="atLeast"/>
          <w:jc w:val="center"/>
        </w:trPr>
        <w:tc>
          <w:tcPr>
            <w:tcW w:w="1029" w:type="dxa"/>
            <w:vMerge w:val="continue"/>
            <w:vAlign w:val="center"/>
          </w:tcPr>
          <w:p w14:paraId="1D5B664E">
            <w:pPr>
              <w:keepNext w:val="0"/>
              <w:keepLines w:val="0"/>
              <w:suppressLineNumbers w:val="0"/>
              <w:adjustRightInd w:val="0"/>
              <w:snapToGrid w:val="0"/>
              <w:spacing w:before="0" w:beforeAutospacing="0" w:after="0" w:afterAutospacing="0" w:line="276" w:lineRule="auto"/>
              <w:ind w:left="0" w:right="0"/>
              <w:rPr>
                <w:rFonts w:hint="default"/>
                <w:highlight w:val="none"/>
              </w:rPr>
            </w:pPr>
          </w:p>
        </w:tc>
        <w:tc>
          <w:tcPr>
            <w:tcW w:w="1658" w:type="dxa"/>
            <w:gridSpan w:val="2"/>
            <w:vMerge w:val="continue"/>
            <w:vAlign w:val="center"/>
          </w:tcPr>
          <w:p w14:paraId="6A8AC847">
            <w:pPr>
              <w:keepNext w:val="0"/>
              <w:keepLines w:val="0"/>
              <w:suppressLineNumbers w:val="0"/>
              <w:adjustRightInd w:val="0"/>
              <w:snapToGrid w:val="0"/>
              <w:spacing w:before="0" w:beforeAutospacing="0" w:after="0" w:afterAutospacing="0" w:line="276" w:lineRule="auto"/>
              <w:ind w:left="0" w:right="0"/>
              <w:rPr>
                <w:rFonts w:hint="default"/>
                <w:highlight w:val="none"/>
              </w:rPr>
            </w:pPr>
          </w:p>
        </w:tc>
        <w:tc>
          <w:tcPr>
            <w:tcW w:w="1020" w:type="dxa"/>
            <w:vAlign w:val="center"/>
          </w:tcPr>
          <w:p w14:paraId="5572064C">
            <w:pPr>
              <w:keepNext w:val="0"/>
              <w:keepLines w:val="0"/>
              <w:suppressLineNumbers w:val="0"/>
              <w:adjustRightInd w:val="0"/>
              <w:snapToGrid w:val="0"/>
              <w:spacing w:before="0" w:beforeAutospacing="0" w:after="0" w:afterAutospacing="0" w:line="276" w:lineRule="auto"/>
              <w:ind w:left="0" w:right="0"/>
              <w:rPr>
                <w:rFonts w:hint="eastAsia"/>
                <w:sz w:val="18"/>
                <w:szCs w:val="18"/>
                <w:highlight w:val="none"/>
                <w:lang w:val="en-US" w:eastAsia="zh-CN"/>
              </w:rPr>
            </w:pPr>
            <w:r>
              <w:rPr>
                <w:rFonts w:hint="eastAsia"/>
                <w:sz w:val="18"/>
                <w:szCs w:val="18"/>
                <w:highlight w:val="none"/>
                <w:lang w:val="en-US" w:eastAsia="zh-CN"/>
              </w:rPr>
              <w:t>氯化氢</w:t>
            </w:r>
          </w:p>
        </w:tc>
        <w:tc>
          <w:tcPr>
            <w:tcW w:w="3493" w:type="dxa"/>
            <w:vMerge w:val="continue"/>
            <w:vAlign w:val="center"/>
          </w:tcPr>
          <w:p w14:paraId="7033CE0B">
            <w:pPr>
              <w:keepNext w:val="0"/>
              <w:keepLines w:val="0"/>
              <w:suppressLineNumbers w:val="0"/>
              <w:adjustRightInd w:val="0"/>
              <w:snapToGrid w:val="0"/>
              <w:spacing w:before="0" w:beforeAutospacing="0" w:after="0" w:afterAutospacing="0" w:line="276" w:lineRule="auto"/>
              <w:ind w:left="0" w:right="0"/>
              <w:rPr>
                <w:rFonts w:hint="eastAsia"/>
                <w:sz w:val="18"/>
                <w:szCs w:val="18"/>
                <w:highlight w:val="none"/>
                <w:lang w:val="en-US" w:eastAsia="zh-CN"/>
              </w:rPr>
            </w:pPr>
          </w:p>
        </w:tc>
        <w:tc>
          <w:tcPr>
            <w:tcW w:w="1860" w:type="dxa"/>
            <w:vAlign w:val="center"/>
          </w:tcPr>
          <w:p w14:paraId="74C71A27">
            <w:pPr>
              <w:keepNext w:val="0"/>
              <w:keepLines w:val="0"/>
              <w:suppressLineNumbers w:val="0"/>
              <w:adjustRightInd w:val="0"/>
              <w:snapToGrid w:val="0"/>
              <w:spacing w:before="0" w:beforeAutospacing="0" w:after="0" w:afterAutospacing="0" w:line="276" w:lineRule="auto"/>
              <w:ind w:left="0" w:right="0"/>
              <w:rPr>
                <w:rFonts w:hint="eastAsia" w:eastAsia="宋体"/>
                <w:sz w:val="18"/>
                <w:szCs w:val="18"/>
                <w:highlight w:val="none"/>
                <w:lang w:val="en-US" w:eastAsia="zh-CN"/>
              </w:rPr>
            </w:pPr>
            <w:r>
              <w:rPr>
                <w:rFonts w:hint="eastAsia"/>
                <w:bCs/>
                <w:sz w:val="18"/>
                <w:szCs w:val="18"/>
                <w:highlight w:val="none"/>
              </w:rPr>
              <w:t>《制药工业大气污染物排放标准》（GB37823-2019）表</w:t>
            </w:r>
            <w:r>
              <w:rPr>
                <w:rFonts w:hint="eastAsia"/>
                <w:bCs/>
                <w:sz w:val="18"/>
                <w:szCs w:val="18"/>
                <w:highlight w:val="none"/>
                <w:lang w:val="en-US" w:eastAsia="zh-CN"/>
              </w:rPr>
              <w:t>4</w:t>
            </w:r>
          </w:p>
        </w:tc>
      </w:tr>
      <w:tr w14:paraId="58C0C08E">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28" w:type="dxa"/>
            <w:bottom w:w="0" w:type="dxa"/>
            <w:right w:w="28" w:type="dxa"/>
          </w:tblCellMar>
        </w:tblPrEx>
        <w:trPr>
          <w:trHeight w:val="0" w:hRule="atLeast"/>
          <w:jc w:val="center"/>
        </w:trPr>
        <w:tc>
          <w:tcPr>
            <w:tcW w:w="1029" w:type="dxa"/>
            <w:vMerge w:val="continue"/>
            <w:vAlign w:val="center"/>
          </w:tcPr>
          <w:p w14:paraId="103266B1">
            <w:pPr>
              <w:keepNext w:val="0"/>
              <w:keepLines w:val="0"/>
              <w:suppressLineNumbers w:val="0"/>
              <w:adjustRightInd w:val="0"/>
              <w:snapToGrid w:val="0"/>
              <w:spacing w:before="0" w:beforeAutospacing="0" w:after="0" w:afterAutospacing="0" w:line="264" w:lineRule="auto"/>
              <w:ind w:left="0" w:right="0"/>
              <w:jc w:val="center"/>
              <w:rPr>
                <w:rFonts w:hint="default" w:hAnsi="宋体"/>
                <w:sz w:val="18"/>
                <w:szCs w:val="18"/>
                <w:highlight w:val="none"/>
              </w:rPr>
            </w:pPr>
          </w:p>
        </w:tc>
        <w:tc>
          <w:tcPr>
            <w:tcW w:w="1658" w:type="dxa"/>
            <w:gridSpan w:val="2"/>
            <w:vMerge w:val="continue"/>
            <w:vAlign w:val="center"/>
          </w:tcPr>
          <w:p w14:paraId="51AB1FCD">
            <w:pPr>
              <w:keepNext w:val="0"/>
              <w:keepLines w:val="0"/>
              <w:suppressLineNumbers w:val="0"/>
              <w:adjustRightInd w:val="0"/>
              <w:snapToGrid w:val="0"/>
              <w:spacing w:before="0" w:beforeAutospacing="0" w:after="0" w:afterAutospacing="0" w:line="276" w:lineRule="auto"/>
              <w:ind w:left="0" w:right="0"/>
              <w:jc w:val="center"/>
              <w:rPr>
                <w:rFonts w:hint="default"/>
                <w:sz w:val="18"/>
                <w:szCs w:val="18"/>
                <w:highlight w:val="none"/>
              </w:rPr>
            </w:pPr>
          </w:p>
        </w:tc>
        <w:tc>
          <w:tcPr>
            <w:tcW w:w="1020" w:type="dxa"/>
            <w:vAlign w:val="center"/>
          </w:tcPr>
          <w:p w14:paraId="37763DFD">
            <w:pPr>
              <w:keepNext w:val="0"/>
              <w:keepLines w:val="0"/>
              <w:suppressLineNumbers w:val="0"/>
              <w:snapToGrid w:val="0"/>
              <w:spacing w:before="0" w:beforeAutospacing="0" w:after="0" w:afterAutospacing="0" w:line="276" w:lineRule="auto"/>
              <w:ind w:left="0" w:right="0"/>
              <w:jc w:val="center"/>
              <w:rPr>
                <w:rFonts w:hint="default"/>
                <w:sz w:val="18"/>
                <w:szCs w:val="18"/>
                <w:highlight w:val="none"/>
              </w:rPr>
            </w:pPr>
            <w:r>
              <w:rPr>
                <w:rFonts w:hint="eastAsia"/>
                <w:sz w:val="18"/>
                <w:szCs w:val="18"/>
                <w:highlight w:val="none"/>
              </w:rPr>
              <w:t>氨、硫化氢、臭气浓度</w:t>
            </w:r>
          </w:p>
        </w:tc>
        <w:tc>
          <w:tcPr>
            <w:tcW w:w="3493" w:type="dxa"/>
            <w:vAlign w:val="center"/>
          </w:tcPr>
          <w:p w14:paraId="5C64FE59">
            <w:pPr>
              <w:keepNext w:val="0"/>
              <w:keepLines w:val="0"/>
              <w:suppressLineNumbers w:val="0"/>
              <w:adjustRightInd w:val="0"/>
              <w:snapToGrid w:val="0"/>
              <w:spacing w:before="0" w:beforeAutospacing="0" w:after="0" w:afterAutospacing="0" w:line="276" w:lineRule="auto"/>
              <w:ind w:left="0" w:right="0"/>
              <w:rPr>
                <w:rFonts w:hint="default"/>
                <w:sz w:val="18"/>
                <w:szCs w:val="18"/>
                <w:highlight w:val="none"/>
              </w:rPr>
            </w:pPr>
            <w:r>
              <w:rPr>
                <w:rFonts w:hint="eastAsia"/>
                <w:sz w:val="18"/>
                <w:szCs w:val="18"/>
                <w:highlight w:val="none"/>
              </w:rPr>
              <w:t>提高收集效率</w:t>
            </w:r>
          </w:p>
        </w:tc>
        <w:tc>
          <w:tcPr>
            <w:tcW w:w="1860" w:type="dxa"/>
            <w:vAlign w:val="center"/>
          </w:tcPr>
          <w:p w14:paraId="79B40B6A">
            <w:pPr>
              <w:keepNext w:val="0"/>
              <w:keepLines w:val="0"/>
              <w:suppressLineNumbers w:val="0"/>
              <w:adjustRightInd w:val="0"/>
              <w:snapToGrid w:val="0"/>
              <w:spacing w:before="0" w:beforeAutospacing="0" w:after="0" w:afterAutospacing="0" w:line="264" w:lineRule="auto"/>
              <w:ind w:left="0" w:right="0"/>
              <w:rPr>
                <w:rFonts w:hint="default"/>
                <w:bCs/>
                <w:sz w:val="18"/>
                <w:szCs w:val="18"/>
                <w:highlight w:val="none"/>
              </w:rPr>
            </w:pPr>
            <w:r>
              <w:rPr>
                <w:rFonts w:hint="eastAsia"/>
                <w:bCs/>
                <w:sz w:val="18"/>
                <w:szCs w:val="18"/>
                <w:highlight w:val="none"/>
              </w:rPr>
              <w:t>《恶臭污染物排放标准》（GB14554-93）表</w:t>
            </w:r>
            <w:r>
              <w:rPr>
                <w:rFonts w:hint="eastAsia"/>
                <w:bCs/>
                <w:sz w:val="18"/>
                <w:szCs w:val="18"/>
                <w:highlight w:val="none"/>
                <w:lang w:val="en-US" w:eastAsia="zh-CN"/>
              </w:rPr>
              <w:t>1</w:t>
            </w:r>
          </w:p>
        </w:tc>
      </w:tr>
      <w:tr w14:paraId="2D409B9F">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28" w:type="dxa"/>
            <w:bottom w:w="0" w:type="dxa"/>
            <w:right w:w="28" w:type="dxa"/>
          </w:tblCellMar>
        </w:tblPrEx>
        <w:trPr>
          <w:trHeight w:val="0" w:hRule="atLeast"/>
          <w:jc w:val="center"/>
        </w:trPr>
        <w:tc>
          <w:tcPr>
            <w:tcW w:w="1029" w:type="dxa"/>
            <w:vMerge w:val="continue"/>
            <w:vAlign w:val="center"/>
          </w:tcPr>
          <w:p w14:paraId="681E35A2">
            <w:pPr>
              <w:keepNext w:val="0"/>
              <w:keepLines w:val="0"/>
              <w:suppressLineNumbers w:val="0"/>
              <w:adjustRightInd w:val="0"/>
              <w:snapToGrid w:val="0"/>
              <w:spacing w:before="0" w:beforeAutospacing="0" w:after="0" w:afterAutospacing="0" w:line="264" w:lineRule="auto"/>
              <w:ind w:left="0" w:right="0"/>
              <w:jc w:val="center"/>
              <w:rPr>
                <w:rFonts w:hint="default" w:hAnsi="宋体"/>
                <w:sz w:val="18"/>
                <w:szCs w:val="18"/>
                <w:highlight w:val="none"/>
              </w:rPr>
            </w:pPr>
          </w:p>
        </w:tc>
        <w:tc>
          <w:tcPr>
            <w:tcW w:w="1658" w:type="dxa"/>
            <w:gridSpan w:val="2"/>
            <w:vAlign w:val="center"/>
          </w:tcPr>
          <w:p w14:paraId="433E902D">
            <w:pPr>
              <w:keepNext w:val="0"/>
              <w:keepLines w:val="0"/>
              <w:suppressLineNumbers w:val="0"/>
              <w:adjustRightInd w:val="0"/>
              <w:snapToGrid w:val="0"/>
              <w:spacing w:before="0" w:beforeAutospacing="0" w:after="0" w:afterAutospacing="0" w:line="276" w:lineRule="auto"/>
              <w:ind w:left="0" w:right="0"/>
              <w:jc w:val="center"/>
              <w:rPr>
                <w:rFonts w:hint="default"/>
                <w:sz w:val="18"/>
                <w:szCs w:val="18"/>
                <w:highlight w:val="none"/>
              </w:rPr>
            </w:pPr>
            <w:r>
              <w:rPr>
                <w:rFonts w:hint="eastAsia"/>
                <w:sz w:val="18"/>
                <w:szCs w:val="18"/>
                <w:highlight w:val="none"/>
              </w:rPr>
              <w:t>无组织厂区内</w:t>
            </w:r>
          </w:p>
        </w:tc>
        <w:tc>
          <w:tcPr>
            <w:tcW w:w="1020" w:type="dxa"/>
            <w:vAlign w:val="center"/>
          </w:tcPr>
          <w:p w14:paraId="1A9FF180">
            <w:pPr>
              <w:keepNext w:val="0"/>
              <w:keepLines w:val="0"/>
              <w:suppressLineNumbers w:val="0"/>
              <w:snapToGrid w:val="0"/>
              <w:spacing w:before="0" w:beforeAutospacing="0" w:after="0" w:afterAutospacing="0" w:line="276" w:lineRule="auto"/>
              <w:ind w:left="0" w:right="0"/>
              <w:jc w:val="center"/>
              <w:rPr>
                <w:rFonts w:hint="default"/>
                <w:sz w:val="18"/>
                <w:szCs w:val="18"/>
                <w:highlight w:val="none"/>
              </w:rPr>
            </w:pPr>
            <w:r>
              <w:rPr>
                <w:rFonts w:hint="eastAsia"/>
                <w:sz w:val="18"/>
                <w:szCs w:val="18"/>
                <w:highlight w:val="none"/>
              </w:rPr>
              <w:t>非甲烷总烃</w:t>
            </w:r>
          </w:p>
        </w:tc>
        <w:tc>
          <w:tcPr>
            <w:tcW w:w="3493" w:type="dxa"/>
            <w:vAlign w:val="center"/>
          </w:tcPr>
          <w:p w14:paraId="387C6EAD">
            <w:pPr>
              <w:keepNext w:val="0"/>
              <w:keepLines w:val="0"/>
              <w:suppressLineNumbers w:val="0"/>
              <w:adjustRightInd w:val="0"/>
              <w:snapToGrid w:val="0"/>
              <w:spacing w:before="0" w:beforeAutospacing="0" w:after="0" w:afterAutospacing="0" w:line="276" w:lineRule="auto"/>
              <w:ind w:left="0" w:right="0"/>
              <w:rPr>
                <w:rFonts w:hint="default"/>
                <w:sz w:val="18"/>
                <w:szCs w:val="18"/>
                <w:highlight w:val="none"/>
              </w:rPr>
            </w:pPr>
            <w:r>
              <w:rPr>
                <w:rFonts w:hint="eastAsia"/>
                <w:sz w:val="18"/>
                <w:szCs w:val="18"/>
                <w:highlight w:val="none"/>
              </w:rPr>
              <w:t>提高收集效率</w:t>
            </w:r>
          </w:p>
        </w:tc>
        <w:tc>
          <w:tcPr>
            <w:tcW w:w="1860" w:type="dxa"/>
            <w:vAlign w:val="center"/>
          </w:tcPr>
          <w:p w14:paraId="3A16C253">
            <w:pPr>
              <w:keepNext w:val="0"/>
              <w:keepLines w:val="0"/>
              <w:suppressLineNumbers w:val="0"/>
              <w:adjustRightInd w:val="0"/>
              <w:snapToGrid w:val="0"/>
              <w:spacing w:before="0" w:beforeAutospacing="0" w:after="0" w:afterAutospacing="0" w:line="264" w:lineRule="auto"/>
              <w:ind w:left="0" w:right="0"/>
              <w:rPr>
                <w:rFonts w:hint="default"/>
                <w:bCs/>
                <w:sz w:val="18"/>
                <w:szCs w:val="18"/>
                <w:highlight w:val="none"/>
              </w:rPr>
            </w:pPr>
            <w:r>
              <w:rPr>
                <w:rFonts w:hint="eastAsia"/>
                <w:bCs/>
                <w:sz w:val="18"/>
                <w:szCs w:val="18"/>
                <w:highlight w:val="none"/>
              </w:rPr>
              <w:t>《挥发性有机物无组织排放控制标准》（GB37822-2019）中表A.1</w:t>
            </w:r>
          </w:p>
        </w:tc>
      </w:tr>
      <w:tr w14:paraId="3AA8CD45">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28" w:type="dxa"/>
            <w:bottom w:w="0" w:type="dxa"/>
            <w:right w:w="28" w:type="dxa"/>
          </w:tblCellMar>
        </w:tblPrEx>
        <w:trPr>
          <w:trHeight w:val="0" w:hRule="atLeast"/>
          <w:jc w:val="center"/>
        </w:trPr>
        <w:tc>
          <w:tcPr>
            <w:tcW w:w="1029" w:type="dxa"/>
            <w:vMerge w:val="restart"/>
            <w:vAlign w:val="center"/>
          </w:tcPr>
          <w:p w14:paraId="363BD3FF">
            <w:pPr>
              <w:keepNext w:val="0"/>
              <w:keepLines w:val="0"/>
              <w:suppressLineNumbers w:val="0"/>
              <w:adjustRightInd w:val="0"/>
              <w:snapToGrid w:val="0"/>
              <w:spacing w:before="0" w:beforeAutospacing="0" w:after="0" w:afterAutospacing="0" w:line="264" w:lineRule="auto"/>
              <w:ind w:left="0" w:right="0"/>
              <w:jc w:val="center"/>
              <w:rPr>
                <w:rFonts w:hint="default" w:hAnsi="宋体"/>
                <w:sz w:val="18"/>
                <w:szCs w:val="18"/>
                <w:highlight w:val="none"/>
              </w:rPr>
            </w:pPr>
            <w:r>
              <w:rPr>
                <w:rFonts w:hint="eastAsia" w:hAnsi="宋体"/>
                <w:sz w:val="18"/>
                <w:szCs w:val="18"/>
                <w:highlight w:val="none"/>
              </w:rPr>
              <w:t>地表水</w:t>
            </w:r>
          </w:p>
          <w:p w14:paraId="529D8E11">
            <w:pPr>
              <w:keepNext w:val="0"/>
              <w:keepLines w:val="0"/>
              <w:suppressLineNumbers w:val="0"/>
              <w:adjustRightInd w:val="0"/>
              <w:snapToGrid w:val="0"/>
              <w:spacing w:before="0" w:beforeAutospacing="0" w:after="0" w:afterAutospacing="0" w:line="264" w:lineRule="auto"/>
              <w:ind w:left="0" w:right="0"/>
              <w:jc w:val="center"/>
              <w:rPr>
                <w:rFonts w:hint="default"/>
                <w:sz w:val="18"/>
                <w:szCs w:val="18"/>
                <w:highlight w:val="none"/>
              </w:rPr>
            </w:pPr>
            <w:r>
              <w:rPr>
                <w:rFonts w:hint="eastAsia" w:hAnsi="宋体"/>
                <w:sz w:val="18"/>
                <w:szCs w:val="18"/>
                <w:highlight w:val="none"/>
              </w:rPr>
              <w:t>环境</w:t>
            </w:r>
          </w:p>
        </w:tc>
        <w:tc>
          <w:tcPr>
            <w:tcW w:w="1658" w:type="dxa"/>
            <w:gridSpan w:val="2"/>
            <w:vMerge w:val="restart"/>
            <w:vAlign w:val="center"/>
          </w:tcPr>
          <w:p w14:paraId="72AEC44A">
            <w:pPr>
              <w:keepNext w:val="0"/>
              <w:keepLines w:val="0"/>
              <w:suppressLineNumbers w:val="0"/>
              <w:adjustRightInd w:val="0"/>
              <w:snapToGrid w:val="0"/>
              <w:spacing w:before="0" w:beforeAutospacing="0" w:after="0" w:afterAutospacing="0" w:line="264" w:lineRule="auto"/>
              <w:ind w:left="0" w:right="0"/>
              <w:jc w:val="center"/>
              <w:rPr>
                <w:rFonts w:hint="default"/>
                <w:sz w:val="18"/>
                <w:szCs w:val="18"/>
                <w:highlight w:val="none"/>
              </w:rPr>
            </w:pPr>
            <w:r>
              <w:rPr>
                <w:rFonts w:hint="default"/>
                <w:sz w:val="18"/>
                <w:szCs w:val="18"/>
                <w:highlight w:val="none"/>
              </w:rPr>
              <w:t>DW001/</w:t>
            </w:r>
          </w:p>
          <w:p w14:paraId="1A03CE56">
            <w:pPr>
              <w:keepNext w:val="0"/>
              <w:keepLines w:val="0"/>
              <w:suppressLineNumbers w:val="0"/>
              <w:adjustRightInd w:val="0"/>
              <w:snapToGrid w:val="0"/>
              <w:spacing w:before="0" w:beforeAutospacing="0" w:after="0" w:afterAutospacing="0" w:line="264" w:lineRule="auto"/>
              <w:ind w:left="0" w:right="0"/>
              <w:jc w:val="center"/>
              <w:rPr>
                <w:rFonts w:hint="eastAsia"/>
                <w:sz w:val="18"/>
                <w:szCs w:val="18"/>
                <w:highlight w:val="none"/>
              </w:rPr>
            </w:pPr>
            <w:r>
              <w:rPr>
                <w:rFonts w:hint="eastAsia"/>
                <w:sz w:val="18"/>
                <w:szCs w:val="18"/>
                <w:highlight w:val="none"/>
                <w:lang w:val="en-US" w:eastAsia="zh-CN"/>
              </w:rPr>
              <w:t>生活污水</w:t>
            </w:r>
            <w:r>
              <w:rPr>
                <w:rFonts w:hint="eastAsia"/>
                <w:sz w:val="18"/>
                <w:szCs w:val="18"/>
                <w:highlight w:val="none"/>
              </w:rPr>
              <w:t>排放口</w:t>
            </w:r>
          </w:p>
        </w:tc>
        <w:tc>
          <w:tcPr>
            <w:tcW w:w="1020" w:type="dxa"/>
            <w:vAlign w:val="center"/>
          </w:tcPr>
          <w:p w14:paraId="32140484">
            <w:pPr>
              <w:keepNext w:val="0"/>
              <w:keepLines w:val="0"/>
              <w:widowControl/>
              <w:suppressLineNumbers w:val="0"/>
              <w:adjustRightInd w:val="0"/>
              <w:snapToGrid w:val="0"/>
              <w:spacing w:before="0" w:beforeAutospacing="0" w:after="0" w:afterAutospacing="0" w:line="264" w:lineRule="auto"/>
              <w:ind w:left="0" w:right="0"/>
              <w:jc w:val="center"/>
              <w:rPr>
                <w:rFonts w:hint="default" w:eastAsia="宋体"/>
                <w:snapToGrid w:val="0"/>
                <w:sz w:val="18"/>
                <w:szCs w:val="18"/>
                <w:highlight w:val="none"/>
                <w:lang w:val="en-US" w:eastAsia="zh-CN"/>
              </w:rPr>
            </w:pPr>
            <w:r>
              <w:rPr>
                <w:rFonts w:hint="eastAsia"/>
                <w:snapToGrid w:val="0"/>
                <w:sz w:val="18"/>
                <w:szCs w:val="18"/>
                <w:highlight w:val="none"/>
                <w:lang w:val="en-US" w:eastAsia="zh-CN"/>
              </w:rPr>
              <w:t>动植物油</w:t>
            </w:r>
          </w:p>
        </w:tc>
        <w:tc>
          <w:tcPr>
            <w:tcW w:w="3493" w:type="dxa"/>
            <w:vMerge w:val="restart"/>
            <w:vAlign w:val="center"/>
          </w:tcPr>
          <w:p w14:paraId="33DF5CDE">
            <w:pPr>
              <w:keepNext w:val="0"/>
              <w:keepLines w:val="0"/>
              <w:suppressLineNumbers w:val="0"/>
              <w:adjustRightInd w:val="0"/>
              <w:snapToGrid w:val="0"/>
              <w:spacing w:before="0" w:beforeAutospacing="0" w:after="0" w:afterAutospacing="0" w:line="264" w:lineRule="auto"/>
              <w:ind w:left="0" w:right="0"/>
              <w:rPr>
                <w:rFonts w:hint="eastAsia"/>
                <w:sz w:val="18"/>
                <w:szCs w:val="18"/>
                <w:highlight w:val="none"/>
              </w:rPr>
            </w:pPr>
            <w:r>
              <w:rPr>
                <w:rFonts w:hint="eastAsia"/>
                <w:sz w:val="18"/>
                <w:szCs w:val="18"/>
                <w:highlight w:val="none"/>
              </w:rPr>
              <w:t>生活污水经</w:t>
            </w:r>
            <w:r>
              <w:rPr>
                <w:rFonts w:hint="eastAsia"/>
                <w:sz w:val="18"/>
                <w:szCs w:val="18"/>
                <w:highlight w:val="none"/>
                <w:lang w:val="en-US" w:eastAsia="zh-CN"/>
              </w:rPr>
              <w:t>隔油池、</w:t>
            </w:r>
            <w:r>
              <w:rPr>
                <w:rFonts w:hint="eastAsia"/>
                <w:sz w:val="18"/>
                <w:szCs w:val="18"/>
                <w:highlight w:val="none"/>
              </w:rPr>
              <w:t>化粪池处理达标后</w:t>
            </w:r>
            <w:r>
              <w:rPr>
                <w:rFonts w:hint="eastAsia"/>
                <w:sz w:val="18"/>
                <w:szCs w:val="18"/>
                <w:highlight w:val="none"/>
                <w:lang w:val="en-US" w:eastAsia="zh-CN"/>
              </w:rPr>
              <w:t>纳管排放</w:t>
            </w:r>
            <w:r>
              <w:rPr>
                <w:rFonts w:hint="eastAsia"/>
                <w:sz w:val="18"/>
                <w:szCs w:val="18"/>
                <w:highlight w:val="none"/>
              </w:rPr>
              <w:t>，由</w:t>
            </w:r>
            <w:r>
              <w:rPr>
                <w:rFonts w:hint="eastAsia" w:ascii="Times New Roman" w:hAnsi="Times New Roman" w:eastAsia="宋体" w:cs="Times New Roman"/>
                <w:sz w:val="18"/>
                <w:szCs w:val="18"/>
                <w:highlight w:val="none"/>
              </w:rPr>
              <w:t>高铁新城再生水厂</w:t>
            </w:r>
            <w:r>
              <w:rPr>
                <w:rFonts w:hint="eastAsia"/>
                <w:sz w:val="18"/>
                <w:szCs w:val="18"/>
                <w:highlight w:val="none"/>
              </w:rPr>
              <w:t>集中处理后排放。</w:t>
            </w:r>
          </w:p>
        </w:tc>
        <w:tc>
          <w:tcPr>
            <w:tcW w:w="1860" w:type="dxa"/>
            <w:vAlign w:val="center"/>
          </w:tcPr>
          <w:p w14:paraId="260952BA">
            <w:pPr>
              <w:keepNext w:val="0"/>
              <w:keepLines w:val="0"/>
              <w:suppressLineNumbers w:val="0"/>
              <w:adjustRightInd w:val="0"/>
              <w:snapToGrid w:val="0"/>
              <w:spacing w:before="0" w:beforeAutospacing="0" w:after="0" w:afterAutospacing="0" w:line="264" w:lineRule="auto"/>
              <w:ind w:left="0" w:right="0"/>
              <w:rPr>
                <w:rFonts w:hint="default"/>
                <w:sz w:val="18"/>
                <w:szCs w:val="18"/>
                <w:highlight w:val="none"/>
              </w:rPr>
            </w:pPr>
            <w:r>
              <w:rPr>
                <w:rFonts w:hint="eastAsia"/>
                <w:bCs/>
                <w:sz w:val="18"/>
                <w:szCs w:val="18"/>
                <w:highlight w:val="none"/>
              </w:rPr>
              <w:t>《污水综合排放标准》（</w:t>
            </w:r>
            <w:r>
              <w:rPr>
                <w:rFonts w:hint="default"/>
                <w:bCs/>
                <w:sz w:val="18"/>
                <w:szCs w:val="18"/>
                <w:highlight w:val="none"/>
              </w:rPr>
              <w:t>GB8978-1996</w:t>
            </w:r>
            <w:r>
              <w:rPr>
                <w:rFonts w:hint="eastAsia"/>
                <w:bCs/>
                <w:sz w:val="18"/>
                <w:szCs w:val="18"/>
                <w:highlight w:val="none"/>
              </w:rPr>
              <w:t>）表</w:t>
            </w:r>
            <w:r>
              <w:rPr>
                <w:rFonts w:hint="default"/>
                <w:bCs/>
                <w:sz w:val="18"/>
                <w:szCs w:val="18"/>
                <w:highlight w:val="none"/>
              </w:rPr>
              <w:t>2</w:t>
            </w:r>
            <w:r>
              <w:rPr>
                <w:rFonts w:hint="eastAsia"/>
                <w:bCs/>
                <w:sz w:val="18"/>
                <w:szCs w:val="18"/>
                <w:highlight w:val="none"/>
              </w:rPr>
              <w:t>中的三级标准</w:t>
            </w:r>
          </w:p>
        </w:tc>
      </w:tr>
      <w:tr w14:paraId="34D363EB">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28" w:type="dxa"/>
            <w:bottom w:w="0" w:type="dxa"/>
            <w:right w:w="28" w:type="dxa"/>
          </w:tblCellMar>
        </w:tblPrEx>
        <w:trPr>
          <w:trHeight w:val="0" w:hRule="atLeast"/>
          <w:jc w:val="center"/>
        </w:trPr>
        <w:tc>
          <w:tcPr>
            <w:tcW w:w="1029" w:type="dxa"/>
            <w:vMerge w:val="continue"/>
            <w:vAlign w:val="center"/>
          </w:tcPr>
          <w:p w14:paraId="7E44AF4A">
            <w:pPr>
              <w:keepNext w:val="0"/>
              <w:keepLines w:val="0"/>
              <w:suppressLineNumbers w:val="0"/>
              <w:adjustRightInd w:val="0"/>
              <w:snapToGrid w:val="0"/>
              <w:spacing w:before="0" w:beforeAutospacing="0" w:after="0" w:afterAutospacing="0" w:line="264" w:lineRule="auto"/>
              <w:ind w:left="0" w:right="0"/>
              <w:jc w:val="center"/>
              <w:rPr>
                <w:rFonts w:hint="eastAsia" w:hAnsi="宋体"/>
                <w:sz w:val="18"/>
                <w:szCs w:val="18"/>
                <w:highlight w:val="none"/>
              </w:rPr>
            </w:pPr>
          </w:p>
        </w:tc>
        <w:tc>
          <w:tcPr>
            <w:tcW w:w="1658" w:type="dxa"/>
            <w:gridSpan w:val="2"/>
            <w:vMerge w:val="continue"/>
            <w:vAlign w:val="center"/>
          </w:tcPr>
          <w:p w14:paraId="3ECC4BA2">
            <w:pPr>
              <w:keepNext w:val="0"/>
              <w:keepLines w:val="0"/>
              <w:suppressLineNumbers w:val="0"/>
              <w:adjustRightInd w:val="0"/>
              <w:snapToGrid w:val="0"/>
              <w:spacing w:before="0" w:beforeAutospacing="0" w:after="0" w:afterAutospacing="0" w:line="264" w:lineRule="auto"/>
              <w:ind w:left="0" w:right="0"/>
              <w:jc w:val="center"/>
              <w:rPr>
                <w:rFonts w:hint="eastAsia"/>
                <w:sz w:val="18"/>
                <w:szCs w:val="18"/>
                <w:highlight w:val="none"/>
                <w:lang w:val="en-US" w:eastAsia="zh-CN"/>
              </w:rPr>
            </w:pPr>
          </w:p>
        </w:tc>
        <w:tc>
          <w:tcPr>
            <w:tcW w:w="1020" w:type="dxa"/>
            <w:vAlign w:val="center"/>
          </w:tcPr>
          <w:p w14:paraId="597CBB16">
            <w:pPr>
              <w:keepNext w:val="0"/>
              <w:keepLines w:val="0"/>
              <w:widowControl/>
              <w:suppressLineNumbers w:val="0"/>
              <w:adjustRightInd w:val="0"/>
              <w:snapToGrid w:val="0"/>
              <w:spacing w:before="0" w:beforeAutospacing="0" w:after="0" w:afterAutospacing="0" w:line="264" w:lineRule="auto"/>
              <w:ind w:left="0" w:right="0"/>
              <w:jc w:val="center"/>
              <w:rPr>
                <w:rFonts w:hint="eastAsia"/>
                <w:snapToGrid w:val="0"/>
                <w:sz w:val="18"/>
                <w:szCs w:val="18"/>
                <w:highlight w:val="none"/>
                <w:lang w:val="en-US" w:eastAsia="zh-CN"/>
              </w:rPr>
            </w:pPr>
            <w:r>
              <w:rPr>
                <w:rFonts w:hint="eastAsia"/>
                <w:snapToGrid w:val="0"/>
                <w:sz w:val="18"/>
                <w:szCs w:val="18"/>
                <w:highlight w:val="none"/>
                <w:lang w:val="en-US" w:eastAsia="zh-CN"/>
              </w:rPr>
              <w:t>pH、</w:t>
            </w:r>
            <w:r>
              <w:rPr>
                <w:rFonts w:hint="default"/>
                <w:snapToGrid w:val="0"/>
                <w:sz w:val="18"/>
                <w:szCs w:val="18"/>
                <w:highlight w:val="none"/>
              </w:rPr>
              <w:t>COD</w:t>
            </w:r>
            <w:r>
              <w:rPr>
                <w:rFonts w:hint="default"/>
                <w:snapToGrid w:val="0"/>
                <w:sz w:val="18"/>
                <w:szCs w:val="18"/>
                <w:highlight w:val="none"/>
                <w:vertAlign w:val="subscript"/>
              </w:rPr>
              <w:t>Cr</w:t>
            </w:r>
            <w:r>
              <w:rPr>
                <w:rFonts w:hint="eastAsia"/>
                <w:snapToGrid w:val="0"/>
                <w:sz w:val="18"/>
                <w:szCs w:val="18"/>
                <w:highlight w:val="none"/>
                <w:lang w:val="en-US" w:eastAsia="zh-CN"/>
              </w:rPr>
              <w:t>、</w:t>
            </w:r>
            <w:r>
              <w:rPr>
                <w:rFonts w:hint="default"/>
                <w:snapToGrid w:val="0"/>
                <w:sz w:val="18"/>
                <w:szCs w:val="18"/>
                <w:highlight w:val="none"/>
              </w:rPr>
              <w:t>NH</w:t>
            </w:r>
            <w:r>
              <w:rPr>
                <w:rFonts w:hint="default"/>
                <w:snapToGrid w:val="0"/>
                <w:sz w:val="18"/>
                <w:szCs w:val="18"/>
                <w:highlight w:val="none"/>
                <w:vertAlign w:val="subscript"/>
              </w:rPr>
              <w:t>3</w:t>
            </w:r>
            <w:r>
              <w:rPr>
                <w:rFonts w:hint="default"/>
                <w:snapToGrid w:val="0"/>
                <w:sz w:val="18"/>
                <w:szCs w:val="18"/>
                <w:highlight w:val="none"/>
              </w:rPr>
              <w:t>-N</w:t>
            </w:r>
          </w:p>
        </w:tc>
        <w:tc>
          <w:tcPr>
            <w:tcW w:w="3493" w:type="dxa"/>
            <w:vMerge w:val="continue"/>
            <w:vAlign w:val="center"/>
          </w:tcPr>
          <w:p w14:paraId="14D1B960">
            <w:pPr>
              <w:keepNext w:val="0"/>
              <w:keepLines w:val="0"/>
              <w:suppressLineNumbers w:val="0"/>
              <w:adjustRightInd w:val="0"/>
              <w:snapToGrid w:val="0"/>
              <w:spacing w:before="0" w:beforeAutospacing="0" w:after="0" w:afterAutospacing="0" w:line="264" w:lineRule="auto"/>
              <w:ind w:left="0" w:right="0"/>
              <w:rPr>
                <w:rFonts w:hint="eastAsia"/>
                <w:sz w:val="18"/>
                <w:szCs w:val="18"/>
                <w:highlight w:val="none"/>
              </w:rPr>
            </w:pPr>
          </w:p>
        </w:tc>
        <w:tc>
          <w:tcPr>
            <w:tcW w:w="1860" w:type="dxa"/>
            <w:vMerge w:val="restart"/>
            <w:vAlign w:val="center"/>
          </w:tcPr>
          <w:p w14:paraId="265CB8C0">
            <w:pPr>
              <w:keepNext w:val="0"/>
              <w:keepLines w:val="0"/>
              <w:suppressLineNumbers w:val="0"/>
              <w:adjustRightInd w:val="0"/>
              <w:snapToGrid w:val="0"/>
              <w:spacing w:before="0" w:beforeAutospacing="0" w:after="0" w:afterAutospacing="0" w:line="264" w:lineRule="auto"/>
              <w:ind w:left="0" w:right="0"/>
              <w:rPr>
                <w:rFonts w:hint="default"/>
                <w:sz w:val="18"/>
                <w:szCs w:val="18"/>
                <w:highlight w:val="none"/>
              </w:rPr>
            </w:pPr>
            <w:r>
              <w:rPr>
                <w:rFonts w:hint="eastAsia"/>
                <w:sz w:val="18"/>
                <w:szCs w:val="18"/>
                <w:highlight w:val="none"/>
              </w:rPr>
              <w:t>高铁新城再生水厂进水水质标准</w:t>
            </w:r>
          </w:p>
        </w:tc>
      </w:tr>
      <w:tr w14:paraId="274AAADA">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28" w:type="dxa"/>
            <w:bottom w:w="0" w:type="dxa"/>
            <w:right w:w="28" w:type="dxa"/>
          </w:tblCellMar>
        </w:tblPrEx>
        <w:trPr>
          <w:trHeight w:val="0" w:hRule="atLeast"/>
          <w:jc w:val="center"/>
        </w:trPr>
        <w:tc>
          <w:tcPr>
            <w:tcW w:w="1029" w:type="dxa"/>
            <w:vMerge w:val="continue"/>
            <w:vAlign w:val="center"/>
          </w:tcPr>
          <w:p w14:paraId="2692D91F">
            <w:pPr>
              <w:keepNext w:val="0"/>
              <w:keepLines w:val="0"/>
              <w:suppressLineNumbers w:val="0"/>
              <w:adjustRightInd w:val="0"/>
              <w:snapToGrid w:val="0"/>
              <w:spacing w:before="0" w:beforeAutospacing="0" w:after="0" w:afterAutospacing="0" w:line="264" w:lineRule="auto"/>
              <w:ind w:left="0" w:right="0"/>
              <w:jc w:val="center"/>
              <w:rPr>
                <w:rFonts w:hint="default"/>
                <w:sz w:val="18"/>
                <w:szCs w:val="18"/>
                <w:highlight w:val="none"/>
              </w:rPr>
            </w:pPr>
          </w:p>
        </w:tc>
        <w:tc>
          <w:tcPr>
            <w:tcW w:w="1658" w:type="dxa"/>
            <w:gridSpan w:val="2"/>
            <w:vMerge w:val="restart"/>
            <w:vAlign w:val="center"/>
          </w:tcPr>
          <w:p w14:paraId="6836BA6A">
            <w:pPr>
              <w:keepNext w:val="0"/>
              <w:keepLines w:val="0"/>
              <w:suppressLineNumbers w:val="0"/>
              <w:adjustRightInd w:val="0"/>
              <w:snapToGrid w:val="0"/>
              <w:spacing w:before="0" w:beforeAutospacing="0" w:after="0" w:afterAutospacing="0" w:line="264" w:lineRule="auto"/>
              <w:ind w:left="0" w:right="0"/>
              <w:jc w:val="center"/>
              <w:rPr>
                <w:rFonts w:hint="default"/>
                <w:sz w:val="18"/>
                <w:szCs w:val="18"/>
                <w:highlight w:val="none"/>
              </w:rPr>
            </w:pPr>
            <w:r>
              <w:rPr>
                <w:rFonts w:hint="default"/>
                <w:sz w:val="18"/>
                <w:szCs w:val="18"/>
                <w:highlight w:val="none"/>
              </w:rPr>
              <w:t>DW00</w:t>
            </w:r>
            <w:r>
              <w:rPr>
                <w:rFonts w:hint="eastAsia"/>
                <w:sz w:val="18"/>
                <w:szCs w:val="18"/>
                <w:highlight w:val="none"/>
                <w:lang w:val="en-US" w:eastAsia="zh-CN"/>
              </w:rPr>
              <w:t>2</w:t>
            </w:r>
            <w:r>
              <w:rPr>
                <w:rFonts w:hint="default"/>
                <w:sz w:val="18"/>
                <w:szCs w:val="18"/>
                <w:highlight w:val="none"/>
              </w:rPr>
              <w:t>/</w:t>
            </w:r>
          </w:p>
          <w:p w14:paraId="35DB050B">
            <w:pPr>
              <w:keepNext w:val="0"/>
              <w:keepLines w:val="0"/>
              <w:suppressLineNumbers w:val="0"/>
              <w:adjustRightInd w:val="0"/>
              <w:snapToGrid w:val="0"/>
              <w:spacing w:before="0" w:beforeAutospacing="0" w:after="0" w:afterAutospacing="0" w:line="264" w:lineRule="auto"/>
              <w:ind w:left="0" w:right="0"/>
              <w:jc w:val="center"/>
              <w:rPr>
                <w:rFonts w:hint="default"/>
                <w:sz w:val="18"/>
                <w:szCs w:val="18"/>
                <w:highlight w:val="none"/>
              </w:rPr>
            </w:pPr>
            <w:r>
              <w:rPr>
                <w:rFonts w:hint="eastAsia"/>
                <w:sz w:val="18"/>
                <w:szCs w:val="18"/>
                <w:highlight w:val="none"/>
              </w:rPr>
              <w:t>废水排放口</w:t>
            </w:r>
          </w:p>
        </w:tc>
        <w:tc>
          <w:tcPr>
            <w:tcW w:w="1020" w:type="dxa"/>
            <w:vAlign w:val="center"/>
          </w:tcPr>
          <w:p w14:paraId="0E5A984E">
            <w:pPr>
              <w:keepNext w:val="0"/>
              <w:keepLines w:val="0"/>
              <w:widowControl/>
              <w:suppressLineNumbers w:val="0"/>
              <w:adjustRightInd w:val="0"/>
              <w:snapToGrid w:val="0"/>
              <w:spacing w:before="0" w:beforeAutospacing="0" w:after="0" w:afterAutospacing="0" w:line="264" w:lineRule="auto"/>
              <w:ind w:left="0" w:right="0"/>
              <w:jc w:val="center"/>
              <w:rPr>
                <w:rFonts w:hint="default" w:eastAsia="宋体"/>
                <w:sz w:val="18"/>
                <w:szCs w:val="18"/>
                <w:highlight w:val="none"/>
                <w:lang w:val="en-US" w:eastAsia="zh-CN"/>
              </w:rPr>
            </w:pPr>
            <w:r>
              <w:rPr>
                <w:rFonts w:hint="eastAsia"/>
                <w:snapToGrid w:val="0"/>
                <w:sz w:val="18"/>
                <w:szCs w:val="18"/>
                <w:highlight w:val="none"/>
                <w:lang w:val="en-US" w:eastAsia="zh-CN"/>
              </w:rPr>
              <w:t>pH、</w:t>
            </w:r>
            <w:r>
              <w:rPr>
                <w:rFonts w:hint="default"/>
                <w:snapToGrid w:val="0"/>
                <w:sz w:val="18"/>
                <w:szCs w:val="18"/>
                <w:highlight w:val="none"/>
              </w:rPr>
              <w:t>COD</w:t>
            </w:r>
            <w:r>
              <w:rPr>
                <w:rFonts w:hint="default"/>
                <w:snapToGrid w:val="0"/>
                <w:sz w:val="18"/>
                <w:szCs w:val="18"/>
                <w:highlight w:val="none"/>
                <w:vertAlign w:val="subscript"/>
              </w:rPr>
              <w:t>Cr</w:t>
            </w:r>
            <w:r>
              <w:rPr>
                <w:rFonts w:hint="eastAsia"/>
                <w:snapToGrid w:val="0"/>
                <w:sz w:val="18"/>
                <w:szCs w:val="18"/>
                <w:highlight w:val="none"/>
              </w:rPr>
              <w:t>、</w:t>
            </w:r>
            <w:r>
              <w:rPr>
                <w:rFonts w:hint="eastAsia"/>
                <w:snapToGrid w:val="0"/>
                <w:sz w:val="18"/>
                <w:szCs w:val="18"/>
                <w:highlight w:val="none"/>
                <w:lang w:val="en-US" w:eastAsia="zh-CN"/>
              </w:rPr>
              <w:t>BOD</w:t>
            </w:r>
            <w:r>
              <w:rPr>
                <w:rFonts w:hint="eastAsia"/>
                <w:snapToGrid w:val="0"/>
                <w:sz w:val="18"/>
                <w:szCs w:val="18"/>
                <w:highlight w:val="none"/>
                <w:vertAlign w:val="subscript"/>
                <w:lang w:val="en-US" w:eastAsia="zh-CN"/>
              </w:rPr>
              <w:t>5</w:t>
            </w:r>
            <w:r>
              <w:rPr>
                <w:rFonts w:hint="eastAsia"/>
                <w:snapToGrid w:val="0"/>
                <w:sz w:val="18"/>
                <w:szCs w:val="18"/>
                <w:highlight w:val="none"/>
                <w:lang w:val="en-US" w:eastAsia="zh-CN"/>
              </w:rPr>
              <w:t>、</w:t>
            </w:r>
            <w:r>
              <w:rPr>
                <w:rFonts w:hint="default"/>
                <w:snapToGrid w:val="0"/>
                <w:sz w:val="18"/>
                <w:szCs w:val="18"/>
                <w:highlight w:val="none"/>
              </w:rPr>
              <w:t>NH</w:t>
            </w:r>
            <w:r>
              <w:rPr>
                <w:rFonts w:hint="default"/>
                <w:snapToGrid w:val="0"/>
                <w:sz w:val="18"/>
                <w:szCs w:val="18"/>
                <w:highlight w:val="none"/>
                <w:vertAlign w:val="subscript"/>
              </w:rPr>
              <w:t>3</w:t>
            </w:r>
            <w:r>
              <w:rPr>
                <w:rFonts w:hint="default"/>
                <w:snapToGrid w:val="0"/>
                <w:sz w:val="18"/>
                <w:szCs w:val="18"/>
                <w:highlight w:val="none"/>
              </w:rPr>
              <w:t>-N</w:t>
            </w:r>
            <w:r>
              <w:rPr>
                <w:rFonts w:hint="eastAsia"/>
                <w:snapToGrid w:val="0"/>
                <w:sz w:val="18"/>
                <w:szCs w:val="18"/>
                <w:highlight w:val="none"/>
                <w:lang w:eastAsia="zh-CN"/>
              </w:rPr>
              <w:t>、</w:t>
            </w:r>
            <w:r>
              <w:rPr>
                <w:rFonts w:hint="eastAsia"/>
                <w:snapToGrid w:val="0"/>
                <w:sz w:val="18"/>
                <w:szCs w:val="18"/>
                <w:highlight w:val="none"/>
              </w:rPr>
              <w:t>SS</w:t>
            </w:r>
            <w:r>
              <w:rPr>
                <w:rFonts w:hint="eastAsia"/>
                <w:snapToGrid w:val="0"/>
                <w:sz w:val="18"/>
                <w:szCs w:val="18"/>
                <w:highlight w:val="none"/>
                <w:lang w:eastAsia="zh-CN"/>
              </w:rPr>
              <w:t>、</w:t>
            </w:r>
            <w:r>
              <w:rPr>
                <w:rFonts w:hint="eastAsia"/>
                <w:snapToGrid w:val="0"/>
                <w:sz w:val="18"/>
                <w:szCs w:val="18"/>
                <w:highlight w:val="none"/>
                <w:lang w:val="en-US" w:eastAsia="zh-CN"/>
              </w:rPr>
              <w:t>TP、TN</w:t>
            </w:r>
          </w:p>
        </w:tc>
        <w:tc>
          <w:tcPr>
            <w:tcW w:w="3493" w:type="dxa"/>
            <w:vMerge w:val="restart"/>
            <w:vAlign w:val="center"/>
          </w:tcPr>
          <w:p w14:paraId="7B48E7FE">
            <w:pPr>
              <w:keepNext w:val="0"/>
              <w:keepLines w:val="0"/>
              <w:suppressLineNumbers w:val="0"/>
              <w:adjustRightInd w:val="0"/>
              <w:snapToGrid w:val="0"/>
              <w:spacing w:before="0" w:beforeAutospacing="0" w:after="0" w:afterAutospacing="0" w:line="264" w:lineRule="auto"/>
              <w:ind w:left="0" w:right="0"/>
              <w:rPr>
                <w:rFonts w:hint="default"/>
                <w:sz w:val="18"/>
                <w:szCs w:val="18"/>
                <w:highlight w:val="none"/>
              </w:rPr>
            </w:pPr>
            <w:r>
              <w:rPr>
                <w:rFonts w:hint="eastAsia"/>
                <w:sz w:val="18"/>
                <w:szCs w:val="18"/>
                <w:highlight w:val="none"/>
              </w:rPr>
              <w:t>饲养</w:t>
            </w:r>
            <w:r>
              <w:rPr>
                <w:rFonts w:hint="eastAsia"/>
                <w:sz w:val="18"/>
                <w:szCs w:val="18"/>
                <w:highlight w:val="none"/>
                <w:lang w:val="en-US" w:eastAsia="zh-CN"/>
              </w:rPr>
              <w:t>间</w:t>
            </w:r>
            <w:r>
              <w:rPr>
                <w:rFonts w:hint="eastAsia"/>
                <w:sz w:val="18"/>
                <w:szCs w:val="18"/>
                <w:highlight w:val="none"/>
              </w:rPr>
              <w:t>清洗废水、</w:t>
            </w:r>
            <w:r>
              <w:rPr>
                <w:rFonts w:hint="eastAsia"/>
                <w:sz w:val="18"/>
                <w:szCs w:val="18"/>
                <w:highlight w:val="none"/>
                <w:lang w:val="en-US" w:eastAsia="zh-CN"/>
              </w:rPr>
              <w:t>洗笼及动物洗烘废水、实验室设备</w:t>
            </w:r>
            <w:r>
              <w:rPr>
                <w:rFonts w:hint="eastAsia"/>
                <w:sz w:val="18"/>
                <w:szCs w:val="18"/>
                <w:highlight w:val="none"/>
              </w:rPr>
              <w:t>清洗废水、动物尿液</w:t>
            </w:r>
            <w:r>
              <w:rPr>
                <w:rFonts w:hint="eastAsia"/>
                <w:sz w:val="18"/>
                <w:szCs w:val="18"/>
                <w:highlight w:val="none"/>
                <w:lang w:eastAsia="zh-CN"/>
              </w:rPr>
              <w:t>、</w:t>
            </w:r>
            <w:r>
              <w:rPr>
                <w:rFonts w:hint="eastAsia"/>
                <w:sz w:val="18"/>
                <w:szCs w:val="18"/>
                <w:highlight w:val="none"/>
              </w:rPr>
              <w:t>洗衣废水、</w:t>
            </w:r>
            <w:r>
              <w:rPr>
                <w:rFonts w:hint="eastAsia"/>
                <w:sz w:val="18"/>
                <w:szCs w:val="18"/>
                <w:highlight w:val="none"/>
                <w:lang w:val="en-US" w:eastAsia="zh-CN"/>
              </w:rPr>
              <w:t>废气</w:t>
            </w:r>
            <w:r>
              <w:rPr>
                <w:rFonts w:hint="eastAsia"/>
                <w:sz w:val="18"/>
                <w:szCs w:val="18"/>
                <w:highlight w:val="none"/>
              </w:rPr>
              <w:t>喷淋废水、</w:t>
            </w:r>
            <w:r>
              <w:rPr>
                <w:rFonts w:hint="eastAsia"/>
                <w:sz w:val="18"/>
                <w:szCs w:val="18"/>
                <w:highlight w:val="none"/>
                <w:lang w:val="en-US" w:eastAsia="zh-CN"/>
              </w:rPr>
              <w:t>P2实验室</w:t>
            </w:r>
            <w:r>
              <w:rPr>
                <w:rFonts w:hint="eastAsia"/>
                <w:sz w:val="18"/>
                <w:szCs w:val="18"/>
                <w:highlight w:val="none"/>
              </w:rPr>
              <w:t>灭菌废水</w:t>
            </w:r>
            <w:r>
              <w:rPr>
                <w:rFonts w:hint="eastAsia"/>
                <w:sz w:val="18"/>
                <w:szCs w:val="18"/>
                <w:highlight w:val="none"/>
                <w:lang w:eastAsia="zh-CN"/>
              </w:rPr>
              <w:t>、</w:t>
            </w:r>
            <w:r>
              <w:rPr>
                <w:rFonts w:hint="eastAsia"/>
                <w:sz w:val="18"/>
                <w:szCs w:val="18"/>
                <w:highlight w:val="none"/>
                <w:lang w:val="en-US" w:eastAsia="zh-CN"/>
              </w:rPr>
              <w:t>实验室地面清洗废水等综合废水中含生物实验室废水需先经灭菌灭活处理后与其他废水一并</w:t>
            </w:r>
            <w:r>
              <w:rPr>
                <w:rFonts w:hint="eastAsia"/>
                <w:sz w:val="18"/>
                <w:szCs w:val="18"/>
                <w:highlight w:val="none"/>
              </w:rPr>
              <w:t>经污水处理设施生化处理后消毒，最终和</w:t>
            </w:r>
            <w:r>
              <w:rPr>
                <w:rFonts w:hint="eastAsia"/>
                <w:sz w:val="18"/>
                <w:szCs w:val="18"/>
                <w:highlight w:val="none"/>
                <w:lang w:val="en-US" w:eastAsia="zh-CN"/>
              </w:rPr>
              <w:t>纯水/软水制备浓水、反冲洗废水、一般实验室灭菌废水</w:t>
            </w:r>
            <w:r>
              <w:rPr>
                <w:rFonts w:hint="eastAsia"/>
                <w:sz w:val="18"/>
                <w:szCs w:val="18"/>
                <w:highlight w:val="none"/>
              </w:rPr>
              <w:t>一并纳入市政污水</w:t>
            </w:r>
            <w:r>
              <w:rPr>
                <w:rFonts w:hint="eastAsia"/>
                <w:sz w:val="18"/>
                <w:szCs w:val="18"/>
                <w:highlight w:val="none"/>
                <w:lang w:val="en-US" w:eastAsia="zh-CN"/>
              </w:rPr>
              <w:t>管网</w:t>
            </w:r>
            <w:r>
              <w:rPr>
                <w:rFonts w:hint="eastAsia"/>
                <w:sz w:val="18"/>
                <w:szCs w:val="18"/>
                <w:highlight w:val="none"/>
              </w:rPr>
              <w:t>，由</w:t>
            </w:r>
            <w:r>
              <w:rPr>
                <w:rFonts w:hint="eastAsia" w:ascii="Times New Roman" w:hAnsi="Times New Roman" w:eastAsia="宋体" w:cs="Times New Roman"/>
                <w:sz w:val="18"/>
                <w:szCs w:val="18"/>
                <w:highlight w:val="none"/>
              </w:rPr>
              <w:t>高铁新城再生水厂</w:t>
            </w:r>
            <w:r>
              <w:rPr>
                <w:rFonts w:hint="eastAsia"/>
                <w:sz w:val="18"/>
                <w:szCs w:val="18"/>
                <w:highlight w:val="none"/>
              </w:rPr>
              <w:t>集中处理后排放。</w:t>
            </w:r>
          </w:p>
        </w:tc>
        <w:tc>
          <w:tcPr>
            <w:tcW w:w="1860" w:type="dxa"/>
            <w:vMerge w:val="continue"/>
            <w:vAlign w:val="center"/>
          </w:tcPr>
          <w:p w14:paraId="4F8D5085">
            <w:pPr>
              <w:keepNext w:val="0"/>
              <w:keepLines w:val="0"/>
              <w:suppressLineNumbers w:val="0"/>
              <w:adjustRightInd w:val="0"/>
              <w:snapToGrid w:val="0"/>
              <w:spacing w:before="0" w:beforeAutospacing="0" w:after="0" w:afterAutospacing="0" w:line="264" w:lineRule="auto"/>
              <w:ind w:left="0" w:right="0"/>
              <w:rPr>
                <w:rFonts w:hint="default"/>
                <w:sz w:val="18"/>
                <w:szCs w:val="18"/>
                <w:highlight w:val="none"/>
              </w:rPr>
            </w:pPr>
          </w:p>
        </w:tc>
      </w:tr>
      <w:tr w14:paraId="1AFBE169">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28" w:type="dxa"/>
            <w:bottom w:w="0" w:type="dxa"/>
            <w:right w:w="28" w:type="dxa"/>
          </w:tblCellMar>
        </w:tblPrEx>
        <w:trPr>
          <w:trHeight w:val="0" w:hRule="atLeast"/>
          <w:jc w:val="center"/>
        </w:trPr>
        <w:tc>
          <w:tcPr>
            <w:tcW w:w="1029" w:type="dxa"/>
            <w:vMerge w:val="continue"/>
            <w:vAlign w:val="center"/>
          </w:tcPr>
          <w:p w14:paraId="46663064">
            <w:pPr>
              <w:keepNext w:val="0"/>
              <w:keepLines w:val="0"/>
              <w:suppressLineNumbers w:val="0"/>
              <w:adjustRightInd w:val="0"/>
              <w:snapToGrid w:val="0"/>
              <w:spacing w:before="0" w:beforeAutospacing="0" w:after="0" w:afterAutospacing="0" w:line="264" w:lineRule="auto"/>
              <w:ind w:left="0" w:right="0"/>
              <w:jc w:val="center"/>
              <w:rPr>
                <w:rFonts w:hint="default" w:hAnsi="宋体"/>
                <w:sz w:val="18"/>
                <w:szCs w:val="18"/>
                <w:highlight w:val="none"/>
              </w:rPr>
            </w:pPr>
          </w:p>
        </w:tc>
        <w:tc>
          <w:tcPr>
            <w:tcW w:w="1658" w:type="dxa"/>
            <w:gridSpan w:val="2"/>
            <w:vMerge w:val="continue"/>
            <w:vAlign w:val="center"/>
          </w:tcPr>
          <w:p w14:paraId="5F1EFFF2">
            <w:pPr>
              <w:keepNext w:val="0"/>
              <w:keepLines w:val="0"/>
              <w:suppressLineNumbers w:val="0"/>
              <w:adjustRightInd w:val="0"/>
              <w:snapToGrid w:val="0"/>
              <w:spacing w:before="0" w:beforeAutospacing="0" w:after="0" w:afterAutospacing="0" w:line="264" w:lineRule="auto"/>
              <w:ind w:left="0" w:right="0"/>
              <w:jc w:val="center"/>
              <w:rPr>
                <w:rFonts w:hint="default"/>
                <w:sz w:val="18"/>
                <w:szCs w:val="18"/>
                <w:highlight w:val="none"/>
              </w:rPr>
            </w:pPr>
          </w:p>
        </w:tc>
        <w:tc>
          <w:tcPr>
            <w:tcW w:w="1020" w:type="dxa"/>
            <w:vAlign w:val="center"/>
          </w:tcPr>
          <w:p w14:paraId="24EEC9EA">
            <w:pPr>
              <w:keepNext w:val="0"/>
              <w:keepLines w:val="0"/>
              <w:widowControl/>
              <w:suppressLineNumbers w:val="0"/>
              <w:adjustRightInd w:val="0"/>
              <w:snapToGrid w:val="0"/>
              <w:spacing w:before="0" w:beforeAutospacing="0" w:after="0" w:afterAutospacing="0" w:line="264" w:lineRule="auto"/>
              <w:ind w:left="0" w:right="0"/>
              <w:jc w:val="center"/>
              <w:rPr>
                <w:rFonts w:hint="default" w:eastAsia="宋体"/>
                <w:snapToGrid w:val="0"/>
                <w:sz w:val="18"/>
                <w:szCs w:val="18"/>
                <w:highlight w:val="none"/>
                <w:lang w:val="en-US" w:eastAsia="zh-CN"/>
              </w:rPr>
            </w:pPr>
            <w:r>
              <w:rPr>
                <w:rFonts w:hint="eastAsia"/>
                <w:snapToGrid w:val="0"/>
                <w:sz w:val="18"/>
                <w:szCs w:val="18"/>
                <w:highlight w:val="none"/>
              </w:rPr>
              <w:t>粪大肠菌群数</w:t>
            </w:r>
            <w:r>
              <w:rPr>
                <w:rFonts w:hint="eastAsia"/>
                <w:snapToGrid w:val="0"/>
                <w:sz w:val="18"/>
                <w:szCs w:val="18"/>
                <w:highlight w:val="none"/>
                <w:lang w:eastAsia="zh-CN"/>
              </w:rPr>
              <w:t>、</w:t>
            </w:r>
            <w:r>
              <w:rPr>
                <w:rFonts w:hint="eastAsia"/>
                <w:snapToGrid w:val="0"/>
                <w:sz w:val="18"/>
                <w:szCs w:val="18"/>
                <w:highlight w:val="none"/>
                <w:lang w:val="en-US" w:eastAsia="zh-CN"/>
              </w:rPr>
              <w:t>LAS</w:t>
            </w:r>
          </w:p>
        </w:tc>
        <w:tc>
          <w:tcPr>
            <w:tcW w:w="3493" w:type="dxa"/>
            <w:vMerge w:val="continue"/>
            <w:vAlign w:val="center"/>
          </w:tcPr>
          <w:p w14:paraId="7B2AE3DF">
            <w:pPr>
              <w:keepNext w:val="0"/>
              <w:keepLines w:val="0"/>
              <w:suppressLineNumbers w:val="0"/>
              <w:adjustRightInd w:val="0"/>
              <w:snapToGrid w:val="0"/>
              <w:spacing w:before="0" w:beforeAutospacing="0" w:after="0" w:afterAutospacing="0" w:line="264" w:lineRule="auto"/>
              <w:ind w:left="0" w:right="0"/>
              <w:rPr>
                <w:rFonts w:hint="default"/>
                <w:sz w:val="18"/>
                <w:szCs w:val="18"/>
                <w:highlight w:val="none"/>
              </w:rPr>
            </w:pPr>
          </w:p>
        </w:tc>
        <w:tc>
          <w:tcPr>
            <w:tcW w:w="1860" w:type="dxa"/>
            <w:vAlign w:val="center"/>
          </w:tcPr>
          <w:p w14:paraId="428BA4BD">
            <w:pPr>
              <w:keepNext w:val="0"/>
              <w:keepLines w:val="0"/>
              <w:suppressLineNumbers w:val="0"/>
              <w:adjustRightInd w:val="0"/>
              <w:snapToGrid w:val="0"/>
              <w:spacing w:before="0" w:beforeAutospacing="0" w:after="0" w:afterAutospacing="0" w:line="264" w:lineRule="auto"/>
              <w:ind w:left="0" w:right="0"/>
              <w:rPr>
                <w:rFonts w:hint="default"/>
                <w:bCs/>
                <w:sz w:val="18"/>
                <w:szCs w:val="18"/>
                <w:highlight w:val="none"/>
              </w:rPr>
            </w:pPr>
            <w:r>
              <w:rPr>
                <w:rFonts w:hint="eastAsia"/>
                <w:bCs/>
                <w:sz w:val="18"/>
                <w:szCs w:val="18"/>
                <w:highlight w:val="none"/>
              </w:rPr>
              <w:t>《污水综合排放标准》（</w:t>
            </w:r>
            <w:r>
              <w:rPr>
                <w:rFonts w:hint="default"/>
                <w:bCs/>
                <w:sz w:val="18"/>
                <w:szCs w:val="18"/>
                <w:highlight w:val="none"/>
              </w:rPr>
              <w:t>GB8978-1996</w:t>
            </w:r>
            <w:r>
              <w:rPr>
                <w:rFonts w:hint="eastAsia"/>
                <w:bCs/>
                <w:sz w:val="18"/>
                <w:szCs w:val="18"/>
                <w:highlight w:val="none"/>
              </w:rPr>
              <w:t>）表</w:t>
            </w:r>
            <w:r>
              <w:rPr>
                <w:rFonts w:hint="default"/>
                <w:bCs/>
                <w:sz w:val="18"/>
                <w:szCs w:val="18"/>
                <w:highlight w:val="none"/>
              </w:rPr>
              <w:t>2</w:t>
            </w:r>
            <w:r>
              <w:rPr>
                <w:rFonts w:hint="eastAsia"/>
                <w:bCs/>
                <w:sz w:val="18"/>
                <w:szCs w:val="18"/>
                <w:highlight w:val="none"/>
              </w:rPr>
              <w:t>中的三级标准</w:t>
            </w:r>
          </w:p>
        </w:tc>
      </w:tr>
      <w:tr w14:paraId="65A67EC8">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28" w:type="dxa"/>
            <w:bottom w:w="0" w:type="dxa"/>
            <w:right w:w="28" w:type="dxa"/>
          </w:tblCellMar>
        </w:tblPrEx>
        <w:trPr>
          <w:trHeight w:val="0" w:hRule="atLeast"/>
          <w:jc w:val="center"/>
        </w:trPr>
        <w:tc>
          <w:tcPr>
            <w:tcW w:w="1029" w:type="dxa"/>
            <w:vAlign w:val="center"/>
          </w:tcPr>
          <w:p w14:paraId="4C51FAD3">
            <w:pPr>
              <w:keepNext w:val="0"/>
              <w:keepLines w:val="0"/>
              <w:suppressLineNumbers w:val="0"/>
              <w:adjustRightInd w:val="0"/>
              <w:snapToGrid w:val="0"/>
              <w:spacing w:before="0" w:beforeAutospacing="0" w:after="0" w:afterAutospacing="0" w:line="264" w:lineRule="auto"/>
              <w:ind w:left="0" w:right="0"/>
              <w:jc w:val="center"/>
              <w:rPr>
                <w:rFonts w:hint="default"/>
                <w:sz w:val="18"/>
                <w:szCs w:val="18"/>
                <w:highlight w:val="none"/>
              </w:rPr>
            </w:pPr>
            <w:r>
              <w:rPr>
                <w:rFonts w:hint="eastAsia" w:hAnsi="宋体"/>
                <w:sz w:val="18"/>
                <w:szCs w:val="18"/>
                <w:highlight w:val="none"/>
              </w:rPr>
              <w:t>声环境</w:t>
            </w:r>
          </w:p>
        </w:tc>
        <w:tc>
          <w:tcPr>
            <w:tcW w:w="1658" w:type="dxa"/>
            <w:gridSpan w:val="2"/>
            <w:vAlign w:val="center"/>
          </w:tcPr>
          <w:p w14:paraId="1279299E">
            <w:pPr>
              <w:keepNext w:val="0"/>
              <w:keepLines w:val="0"/>
              <w:suppressLineNumbers w:val="0"/>
              <w:adjustRightInd w:val="0"/>
              <w:snapToGrid w:val="0"/>
              <w:spacing w:before="0" w:beforeAutospacing="0" w:after="0" w:afterAutospacing="0" w:line="264" w:lineRule="auto"/>
              <w:ind w:left="0" w:right="0"/>
              <w:jc w:val="center"/>
              <w:rPr>
                <w:rFonts w:hint="default"/>
                <w:sz w:val="18"/>
                <w:szCs w:val="18"/>
                <w:highlight w:val="none"/>
              </w:rPr>
            </w:pPr>
            <w:r>
              <w:rPr>
                <w:rFonts w:hint="eastAsia"/>
                <w:sz w:val="18"/>
                <w:szCs w:val="18"/>
                <w:highlight w:val="none"/>
              </w:rPr>
              <w:t>生产车间</w:t>
            </w:r>
          </w:p>
        </w:tc>
        <w:tc>
          <w:tcPr>
            <w:tcW w:w="1020" w:type="dxa"/>
            <w:vAlign w:val="center"/>
          </w:tcPr>
          <w:p w14:paraId="543BD701">
            <w:pPr>
              <w:keepNext w:val="0"/>
              <w:keepLines w:val="0"/>
              <w:suppressLineNumbers w:val="0"/>
              <w:adjustRightInd w:val="0"/>
              <w:snapToGrid w:val="0"/>
              <w:spacing w:before="0" w:beforeAutospacing="0" w:after="0" w:afterAutospacing="0" w:line="264" w:lineRule="auto"/>
              <w:ind w:left="0" w:right="0"/>
              <w:jc w:val="center"/>
              <w:rPr>
                <w:rFonts w:hint="default"/>
                <w:sz w:val="18"/>
                <w:szCs w:val="18"/>
                <w:highlight w:val="none"/>
              </w:rPr>
            </w:pPr>
            <w:r>
              <w:rPr>
                <w:rFonts w:hint="eastAsia"/>
                <w:sz w:val="18"/>
                <w:szCs w:val="18"/>
                <w:highlight w:val="none"/>
              </w:rPr>
              <w:t>设备运行</w:t>
            </w:r>
          </w:p>
          <w:p w14:paraId="116B5DA5">
            <w:pPr>
              <w:keepNext w:val="0"/>
              <w:keepLines w:val="0"/>
              <w:suppressLineNumbers w:val="0"/>
              <w:adjustRightInd w:val="0"/>
              <w:snapToGrid w:val="0"/>
              <w:spacing w:before="0" w:beforeAutospacing="0" w:after="0" w:afterAutospacing="0" w:line="264" w:lineRule="auto"/>
              <w:ind w:left="0" w:right="0"/>
              <w:jc w:val="center"/>
              <w:rPr>
                <w:rFonts w:hint="default"/>
                <w:sz w:val="18"/>
                <w:szCs w:val="18"/>
                <w:highlight w:val="none"/>
              </w:rPr>
            </w:pPr>
            <w:r>
              <w:rPr>
                <w:rFonts w:hint="eastAsia"/>
                <w:sz w:val="18"/>
                <w:szCs w:val="18"/>
                <w:highlight w:val="none"/>
              </w:rPr>
              <w:t>噪声</w:t>
            </w:r>
          </w:p>
        </w:tc>
        <w:tc>
          <w:tcPr>
            <w:tcW w:w="3493" w:type="dxa"/>
            <w:vAlign w:val="center"/>
          </w:tcPr>
          <w:p w14:paraId="4BCCFA66">
            <w:pPr>
              <w:keepNext w:val="0"/>
              <w:keepLines w:val="0"/>
              <w:suppressLineNumbers w:val="0"/>
              <w:adjustRightInd w:val="0"/>
              <w:snapToGrid w:val="0"/>
              <w:spacing w:before="0" w:beforeAutospacing="0" w:after="0" w:afterAutospacing="0" w:line="264" w:lineRule="auto"/>
              <w:ind w:left="0" w:right="0"/>
              <w:rPr>
                <w:rFonts w:hint="default"/>
                <w:sz w:val="18"/>
                <w:szCs w:val="18"/>
                <w:highlight w:val="none"/>
              </w:rPr>
            </w:pPr>
            <w:r>
              <w:rPr>
                <w:rFonts w:hint="eastAsia"/>
                <w:kern w:val="0"/>
                <w:sz w:val="18"/>
                <w:szCs w:val="18"/>
                <w:highlight w:val="none"/>
              </w:rPr>
              <w:t>加强日常管理和维修，加强润滑保养，减少转动部位的</w:t>
            </w:r>
            <w:r>
              <w:rPr>
                <w:rFonts w:hint="eastAsia"/>
                <w:kern w:val="0"/>
                <w:sz w:val="18"/>
                <w:szCs w:val="18"/>
                <w:highlight w:val="none"/>
                <w:lang w:val="en-US" w:eastAsia="zh-CN"/>
              </w:rPr>
              <w:t>摩擦</w:t>
            </w:r>
            <w:r>
              <w:rPr>
                <w:rFonts w:hint="eastAsia"/>
                <w:kern w:val="0"/>
                <w:sz w:val="18"/>
                <w:szCs w:val="18"/>
                <w:highlight w:val="none"/>
              </w:rPr>
              <w:t>，确保设备处于良好的运转状态</w:t>
            </w:r>
          </w:p>
        </w:tc>
        <w:tc>
          <w:tcPr>
            <w:tcW w:w="1860" w:type="dxa"/>
            <w:vAlign w:val="center"/>
          </w:tcPr>
          <w:p w14:paraId="3D4EBD5E">
            <w:pPr>
              <w:keepNext w:val="0"/>
              <w:keepLines w:val="0"/>
              <w:suppressLineNumbers w:val="0"/>
              <w:adjustRightInd w:val="0"/>
              <w:snapToGrid w:val="0"/>
              <w:spacing w:before="0" w:beforeAutospacing="0" w:after="0" w:afterAutospacing="0" w:line="264" w:lineRule="auto"/>
              <w:ind w:left="0" w:right="0"/>
              <w:rPr>
                <w:rFonts w:hint="default"/>
                <w:sz w:val="18"/>
                <w:szCs w:val="18"/>
                <w:highlight w:val="none"/>
              </w:rPr>
            </w:pPr>
            <w:r>
              <w:rPr>
                <w:rFonts w:hint="eastAsia"/>
                <w:sz w:val="18"/>
                <w:szCs w:val="18"/>
                <w:highlight w:val="none"/>
              </w:rPr>
              <w:t>《工业企业厂界环境噪声排放标准》（</w:t>
            </w:r>
            <w:r>
              <w:rPr>
                <w:rFonts w:hint="default"/>
                <w:sz w:val="18"/>
                <w:szCs w:val="18"/>
                <w:highlight w:val="none"/>
              </w:rPr>
              <w:t>GB12348-2008</w:t>
            </w:r>
            <w:r>
              <w:rPr>
                <w:rFonts w:hint="eastAsia"/>
                <w:sz w:val="18"/>
                <w:szCs w:val="18"/>
                <w:highlight w:val="none"/>
              </w:rPr>
              <w:t>）</w:t>
            </w:r>
            <w:r>
              <w:rPr>
                <w:rFonts w:hint="eastAsia"/>
                <w:sz w:val="18"/>
                <w:szCs w:val="18"/>
                <w:highlight w:val="none"/>
                <w:lang w:val="en-US" w:eastAsia="zh-CN"/>
              </w:rPr>
              <w:t>1</w:t>
            </w:r>
            <w:r>
              <w:rPr>
                <w:rFonts w:hint="eastAsia"/>
                <w:sz w:val="18"/>
                <w:szCs w:val="18"/>
                <w:highlight w:val="none"/>
              </w:rPr>
              <w:t>类</w:t>
            </w:r>
            <w:r>
              <w:rPr>
                <w:rFonts w:hint="eastAsia"/>
                <w:sz w:val="18"/>
                <w:szCs w:val="18"/>
                <w:highlight w:val="none"/>
                <w:lang w:eastAsia="zh-CN"/>
              </w:rPr>
              <w:t>、</w:t>
            </w:r>
            <w:r>
              <w:rPr>
                <w:rFonts w:hint="eastAsia"/>
                <w:sz w:val="18"/>
                <w:szCs w:val="18"/>
                <w:highlight w:val="none"/>
                <w:lang w:val="en-US" w:eastAsia="zh-CN"/>
              </w:rPr>
              <w:t>4类</w:t>
            </w:r>
            <w:r>
              <w:rPr>
                <w:rFonts w:hint="eastAsia"/>
                <w:sz w:val="18"/>
                <w:szCs w:val="18"/>
                <w:highlight w:val="none"/>
              </w:rPr>
              <w:t>标准</w:t>
            </w:r>
          </w:p>
        </w:tc>
      </w:tr>
      <w:tr w14:paraId="795E25C6">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28" w:type="dxa"/>
            <w:bottom w:w="0" w:type="dxa"/>
            <w:right w:w="28" w:type="dxa"/>
          </w:tblCellMar>
        </w:tblPrEx>
        <w:trPr>
          <w:trHeight w:val="0" w:hRule="atLeast"/>
          <w:jc w:val="center"/>
        </w:trPr>
        <w:tc>
          <w:tcPr>
            <w:tcW w:w="1029" w:type="dxa"/>
            <w:vAlign w:val="center"/>
          </w:tcPr>
          <w:p w14:paraId="79FE4B48">
            <w:pPr>
              <w:keepNext w:val="0"/>
              <w:keepLines w:val="0"/>
              <w:suppressLineNumbers w:val="0"/>
              <w:adjustRightInd w:val="0"/>
              <w:snapToGrid w:val="0"/>
              <w:spacing w:before="0" w:beforeAutospacing="0" w:after="0" w:afterAutospacing="0" w:line="264" w:lineRule="auto"/>
              <w:ind w:left="0" w:right="0"/>
              <w:jc w:val="center"/>
              <w:rPr>
                <w:rFonts w:hint="default" w:hAnsi="宋体"/>
                <w:sz w:val="18"/>
                <w:szCs w:val="18"/>
                <w:highlight w:val="none"/>
              </w:rPr>
            </w:pPr>
            <w:r>
              <w:rPr>
                <w:rFonts w:hint="eastAsia" w:hAnsi="宋体"/>
                <w:sz w:val="18"/>
                <w:szCs w:val="18"/>
                <w:highlight w:val="none"/>
              </w:rPr>
              <w:t>电磁辐射</w:t>
            </w:r>
          </w:p>
        </w:tc>
        <w:tc>
          <w:tcPr>
            <w:tcW w:w="8031" w:type="dxa"/>
            <w:gridSpan w:val="5"/>
            <w:vAlign w:val="center"/>
          </w:tcPr>
          <w:p w14:paraId="1CF733EA">
            <w:pPr>
              <w:keepNext w:val="0"/>
              <w:keepLines w:val="0"/>
              <w:suppressLineNumbers w:val="0"/>
              <w:adjustRightInd w:val="0"/>
              <w:snapToGrid w:val="0"/>
              <w:spacing w:before="0" w:beforeAutospacing="0" w:after="0" w:afterAutospacing="0" w:line="264" w:lineRule="auto"/>
              <w:ind w:left="0" w:right="0"/>
              <w:jc w:val="left"/>
              <w:rPr>
                <w:rFonts w:hint="default"/>
                <w:sz w:val="18"/>
                <w:szCs w:val="18"/>
                <w:highlight w:val="none"/>
              </w:rPr>
            </w:pPr>
            <w:r>
              <w:rPr>
                <w:rFonts w:hint="eastAsia" w:ascii="t" w:hAnsi="t"/>
                <w:sz w:val="18"/>
                <w:szCs w:val="18"/>
                <w:highlight w:val="none"/>
              </w:rPr>
              <w:t>本项目不涉及。</w:t>
            </w:r>
          </w:p>
        </w:tc>
      </w:tr>
      <w:tr w14:paraId="4A263039">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28" w:type="dxa"/>
            <w:bottom w:w="0" w:type="dxa"/>
            <w:right w:w="28" w:type="dxa"/>
          </w:tblCellMar>
        </w:tblPrEx>
        <w:trPr>
          <w:trHeight w:val="0" w:hRule="atLeast"/>
          <w:jc w:val="center"/>
        </w:trPr>
        <w:tc>
          <w:tcPr>
            <w:tcW w:w="1029" w:type="dxa"/>
            <w:vAlign w:val="center"/>
          </w:tcPr>
          <w:p w14:paraId="0F16A41F">
            <w:pPr>
              <w:keepNext w:val="0"/>
              <w:keepLines w:val="0"/>
              <w:suppressLineNumbers w:val="0"/>
              <w:adjustRightInd w:val="0"/>
              <w:snapToGrid w:val="0"/>
              <w:spacing w:before="0" w:beforeAutospacing="0" w:after="0" w:afterAutospacing="0" w:line="264" w:lineRule="auto"/>
              <w:ind w:left="0" w:right="0"/>
              <w:jc w:val="center"/>
              <w:rPr>
                <w:rFonts w:hint="default"/>
                <w:sz w:val="18"/>
                <w:szCs w:val="18"/>
                <w:highlight w:val="none"/>
              </w:rPr>
            </w:pPr>
            <w:r>
              <w:rPr>
                <w:rFonts w:hint="eastAsia" w:hAnsi="宋体"/>
                <w:sz w:val="18"/>
                <w:szCs w:val="18"/>
                <w:highlight w:val="none"/>
              </w:rPr>
              <w:t>固体废物</w:t>
            </w:r>
          </w:p>
        </w:tc>
        <w:tc>
          <w:tcPr>
            <w:tcW w:w="8031" w:type="dxa"/>
            <w:gridSpan w:val="5"/>
            <w:vAlign w:val="center"/>
          </w:tcPr>
          <w:p w14:paraId="11498357">
            <w:pPr>
              <w:keepNext w:val="0"/>
              <w:keepLines w:val="0"/>
              <w:suppressLineNumbers w:val="0"/>
              <w:adjustRightInd w:val="0"/>
              <w:snapToGrid w:val="0"/>
              <w:spacing w:before="0" w:beforeAutospacing="0" w:after="0" w:afterAutospacing="0" w:line="264" w:lineRule="auto"/>
              <w:ind w:left="0" w:right="0"/>
              <w:rPr>
                <w:rFonts w:hint="default"/>
                <w:sz w:val="18"/>
                <w:szCs w:val="18"/>
                <w:highlight w:val="none"/>
              </w:rPr>
            </w:pPr>
            <w:r>
              <w:rPr>
                <w:rFonts w:hint="eastAsia" w:ascii="t" w:hAnsi="t"/>
                <w:sz w:val="18"/>
                <w:szCs w:val="18"/>
                <w:highlight w:val="none"/>
              </w:rPr>
              <w:t>按要求</w:t>
            </w:r>
            <w:r>
              <w:rPr>
                <w:rFonts w:hint="eastAsia" w:ascii="t" w:hAnsi="t"/>
                <w:sz w:val="18"/>
                <w:szCs w:val="18"/>
                <w:highlight w:val="none"/>
                <w:lang w:val="zh-CN"/>
              </w:rPr>
              <w:t>设置专门的危废暂存库，感染性废物、损伤性废物、病理性废物、药物性废物、化学性废物、P2实验室废垫料、污泥、实验废液、废实验耗材、危险废包装材料、废弃样本、废培养基、生物柜废过滤器、废活性炭、</w:t>
            </w:r>
            <w:r>
              <w:rPr>
                <w:rFonts w:hint="eastAsia" w:ascii="t" w:hAnsi="t"/>
                <w:sz w:val="18"/>
                <w:szCs w:val="18"/>
                <w:highlight w:val="none"/>
                <w:lang w:val="en-US" w:eastAsia="zh-CN"/>
              </w:rPr>
              <w:t>废催化剂、</w:t>
            </w:r>
            <w:r>
              <w:rPr>
                <w:rFonts w:hint="eastAsia" w:ascii="t" w:hAnsi="t"/>
                <w:sz w:val="18"/>
                <w:szCs w:val="18"/>
                <w:highlight w:val="none"/>
                <w:lang w:val="zh-CN"/>
              </w:rPr>
              <w:t>废紫外光灯委托有资质单位进行处置，同时报当地环保管理部门备案，落实追踪制度，严防二次污染，杜绝随意交易；</w:t>
            </w:r>
            <w:r>
              <w:rPr>
                <w:rFonts w:hint="eastAsia"/>
                <w:sz w:val="18"/>
                <w:szCs w:val="18"/>
                <w:highlight w:val="none"/>
              </w:rPr>
              <w:t>一般废垫料</w:t>
            </w:r>
            <w:r>
              <w:rPr>
                <w:rFonts w:hint="eastAsia"/>
                <w:sz w:val="18"/>
                <w:szCs w:val="18"/>
                <w:highlight w:val="none"/>
                <w:lang w:eastAsia="zh-CN"/>
              </w:rPr>
              <w:t>、</w:t>
            </w:r>
            <w:r>
              <w:rPr>
                <w:rFonts w:hint="eastAsia"/>
                <w:sz w:val="18"/>
                <w:szCs w:val="18"/>
                <w:highlight w:val="none"/>
                <w:lang w:val="en-US" w:eastAsia="zh-CN"/>
              </w:rPr>
              <w:t>动物粪便暂存于一般固废仓库，</w:t>
            </w:r>
            <w:r>
              <w:rPr>
                <w:rFonts w:hint="eastAsia" w:ascii="t" w:hAnsi="t" w:eastAsia="宋体" w:cs="Times New Roman"/>
                <w:sz w:val="18"/>
                <w:szCs w:val="18"/>
                <w:highlight w:val="none"/>
                <w:lang w:val="zh-CN"/>
              </w:rPr>
              <w:t>定期委托一般固废处置单位回收；</w:t>
            </w:r>
            <w:r>
              <w:rPr>
                <w:rFonts w:hint="eastAsia"/>
                <w:sz w:val="18"/>
                <w:szCs w:val="18"/>
                <w:highlight w:val="none"/>
              </w:rPr>
              <w:t>废石英砂</w:t>
            </w:r>
            <w:r>
              <w:rPr>
                <w:rFonts w:hint="eastAsia"/>
                <w:sz w:val="18"/>
                <w:szCs w:val="18"/>
                <w:highlight w:val="none"/>
                <w:lang w:eastAsia="zh-CN"/>
              </w:rPr>
              <w:t>、</w:t>
            </w:r>
            <w:r>
              <w:rPr>
                <w:rFonts w:hint="eastAsia"/>
                <w:sz w:val="18"/>
                <w:szCs w:val="18"/>
                <w:highlight w:val="none"/>
              </w:rPr>
              <w:t>废活性炭</w:t>
            </w:r>
            <w:r>
              <w:rPr>
                <w:rFonts w:hint="eastAsia" w:ascii="t" w:hAnsi="t" w:eastAsia="宋体" w:cs="Times New Roman"/>
                <w:sz w:val="18"/>
                <w:szCs w:val="18"/>
                <w:highlight w:val="none"/>
                <w:lang w:val="zh-CN" w:eastAsia="zh-CN"/>
              </w:rPr>
              <w:t>、</w:t>
            </w:r>
            <w:r>
              <w:rPr>
                <w:rFonts w:hint="eastAsia" w:ascii="t" w:hAnsi="t" w:eastAsia="宋体" w:cs="Times New Roman"/>
                <w:sz w:val="18"/>
                <w:szCs w:val="18"/>
                <w:highlight w:val="none"/>
                <w:lang w:val="zh-CN"/>
              </w:rPr>
              <w:t>废树脂</w:t>
            </w:r>
            <w:r>
              <w:rPr>
                <w:rFonts w:hint="eastAsia" w:ascii="t" w:hAnsi="t" w:eastAsia="宋体" w:cs="Times New Roman"/>
                <w:sz w:val="18"/>
                <w:szCs w:val="18"/>
                <w:highlight w:val="none"/>
                <w:lang w:val="zh-CN" w:eastAsia="zh-CN"/>
              </w:rPr>
              <w:t>、</w:t>
            </w:r>
            <w:r>
              <w:rPr>
                <w:rFonts w:hint="eastAsia" w:ascii="t" w:hAnsi="t" w:eastAsia="宋体" w:cs="Times New Roman"/>
                <w:sz w:val="18"/>
                <w:szCs w:val="18"/>
                <w:highlight w:val="none"/>
                <w:lang w:val="zh-CN"/>
              </w:rPr>
              <w:t>废RO膜</w:t>
            </w:r>
            <w:r>
              <w:rPr>
                <w:rFonts w:hint="eastAsia" w:ascii="t" w:hAnsi="t" w:eastAsia="宋体" w:cs="Times New Roman"/>
                <w:sz w:val="18"/>
                <w:szCs w:val="18"/>
                <w:highlight w:val="none"/>
                <w:lang w:val="zh-CN" w:eastAsia="zh-CN"/>
              </w:rPr>
              <w:t>、</w:t>
            </w:r>
            <w:r>
              <w:rPr>
                <w:rFonts w:hint="eastAsia" w:ascii="t" w:hAnsi="t" w:eastAsia="宋体" w:cs="Times New Roman"/>
                <w:sz w:val="18"/>
                <w:szCs w:val="18"/>
                <w:highlight w:val="none"/>
                <w:lang w:val="zh-CN"/>
              </w:rPr>
              <w:t>净化空调系统废过滤材料由更换厂商直接回收处置利用</w:t>
            </w:r>
            <w:r>
              <w:rPr>
                <w:rFonts w:hint="eastAsia" w:ascii="t" w:hAnsi="t" w:eastAsia="宋体" w:cs="Times New Roman"/>
                <w:sz w:val="18"/>
                <w:szCs w:val="18"/>
                <w:highlight w:val="none"/>
                <w:lang w:val="zh-CN" w:eastAsia="zh-CN"/>
              </w:rPr>
              <w:t>；</w:t>
            </w:r>
            <w:r>
              <w:rPr>
                <w:rFonts w:hint="eastAsia" w:ascii="t" w:hAnsi="t" w:eastAsia="宋体" w:cs="Times New Roman"/>
                <w:sz w:val="18"/>
                <w:szCs w:val="18"/>
                <w:highlight w:val="none"/>
                <w:lang w:val="zh-CN"/>
              </w:rPr>
              <w:t>一般废包装材料收集后，暂存于各实验室垃圾收集点，定期委托一般固废处置单位回收，生活垃圾由环卫清运。</w:t>
            </w:r>
          </w:p>
        </w:tc>
      </w:tr>
      <w:tr w14:paraId="02F2E5B6">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28" w:type="dxa"/>
            <w:bottom w:w="0" w:type="dxa"/>
            <w:right w:w="28" w:type="dxa"/>
          </w:tblCellMar>
        </w:tblPrEx>
        <w:trPr>
          <w:trHeight w:val="0" w:hRule="atLeast"/>
          <w:jc w:val="center"/>
        </w:trPr>
        <w:tc>
          <w:tcPr>
            <w:tcW w:w="1029" w:type="dxa"/>
            <w:vAlign w:val="center"/>
          </w:tcPr>
          <w:p w14:paraId="6094931E">
            <w:pPr>
              <w:keepNext w:val="0"/>
              <w:keepLines w:val="0"/>
              <w:suppressLineNumbers w:val="0"/>
              <w:adjustRightInd w:val="0"/>
              <w:snapToGrid w:val="0"/>
              <w:spacing w:before="0" w:beforeAutospacing="0" w:after="0" w:afterAutospacing="0" w:line="264" w:lineRule="auto"/>
              <w:ind w:left="0" w:right="0"/>
              <w:jc w:val="center"/>
              <w:rPr>
                <w:rFonts w:hint="default" w:hAnsi="宋体"/>
                <w:sz w:val="18"/>
                <w:szCs w:val="18"/>
                <w:highlight w:val="none"/>
              </w:rPr>
            </w:pPr>
            <w:r>
              <w:rPr>
                <w:rFonts w:hint="eastAsia" w:hAnsi="宋体"/>
                <w:sz w:val="18"/>
                <w:szCs w:val="18"/>
                <w:highlight w:val="none"/>
              </w:rPr>
              <w:t>土壤及地下水污染防治措施</w:t>
            </w:r>
          </w:p>
        </w:tc>
        <w:tc>
          <w:tcPr>
            <w:tcW w:w="8031" w:type="dxa"/>
            <w:gridSpan w:val="5"/>
            <w:vAlign w:val="center"/>
          </w:tcPr>
          <w:p w14:paraId="20DD20F3">
            <w:pPr>
              <w:keepNext w:val="0"/>
              <w:keepLines w:val="0"/>
              <w:suppressLineNumbers w:val="0"/>
              <w:adjustRightInd w:val="0"/>
              <w:snapToGrid w:val="0"/>
              <w:spacing w:before="0" w:beforeAutospacing="0" w:after="0" w:afterAutospacing="0" w:line="264" w:lineRule="auto"/>
              <w:ind w:left="0" w:right="0"/>
              <w:rPr>
                <w:rFonts w:hint="default" w:ascii="t" w:hAnsi="t"/>
                <w:sz w:val="18"/>
                <w:szCs w:val="18"/>
                <w:highlight w:val="none"/>
              </w:rPr>
            </w:pPr>
            <w:r>
              <w:rPr>
                <w:rFonts w:hint="eastAsia" w:ascii="t" w:hAnsi="t"/>
                <w:sz w:val="18"/>
                <w:szCs w:val="18"/>
                <w:highlight w:val="none"/>
              </w:rPr>
              <w:t>企业厂区实施分区防控措施，同时加强日常运输管理；生产车间地面硬化，严禁“跑、冒、滴、漏”；固废分类收集，不得露天堆放。在此基础上，项目不会对地下水、土壤环境产生不利影响。</w:t>
            </w:r>
          </w:p>
        </w:tc>
      </w:tr>
      <w:tr w14:paraId="0AC34155">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28" w:type="dxa"/>
            <w:bottom w:w="0" w:type="dxa"/>
            <w:right w:w="28" w:type="dxa"/>
          </w:tblCellMar>
        </w:tblPrEx>
        <w:trPr>
          <w:trHeight w:val="0" w:hRule="atLeast"/>
          <w:jc w:val="center"/>
        </w:trPr>
        <w:tc>
          <w:tcPr>
            <w:tcW w:w="1029" w:type="dxa"/>
            <w:vAlign w:val="center"/>
          </w:tcPr>
          <w:p w14:paraId="10A9D30F">
            <w:pPr>
              <w:keepNext w:val="0"/>
              <w:keepLines w:val="0"/>
              <w:suppressLineNumbers w:val="0"/>
              <w:adjustRightInd w:val="0"/>
              <w:snapToGrid w:val="0"/>
              <w:spacing w:before="0" w:beforeAutospacing="0" w:after="0" w:afterAutospacing="0" w:line="264" w:lineRule="auto"/>
              <w:ind w:left="0" w:right="0"/>
              <w:jc w:val="center"/>
              <w:rPr>
                <w:rFonts w:hint="default" w:hAnsi="宋体"/>
                <w:sz w:val="18"/>
                <w:szCs w:val="18"/>
                <w:highlight w:val="none"/>
              </w:rPr>
            </w:pPr>
            <w:r>
              <w:rPr>
                <w:rFonts w:hint="eastAsia" w:hAnsi="宋体"/>
                <w:sz w:val="18"/>
                <w:szCs w:val="18"/>
                <w:highlight w:val="none"/>
              </w:rPr>
              <w:t>生态保护措施</w:t>
            </w:r>
          </w:p>
        </w:tc>
        <w:tc>
          <w:tcPr>
            <w:tcW w:w="8031" w:type="dxa"/>
            <w:gridSpan w:val="5"/>
            <w:vAlign w:val="center"/>
          </w:tcPr>
          <w:p w14:paraId="2B6097D5">
            <w:pPr>
              <w:keepNext w:val="0"/>
              <w:keepLines w:val="0"/>
              <w:suppressLineNumbers w:val="0"/>
              <w:adjustRightInd w:val="0"/>
              <w:snapToGrid w:val="0"/>
              <w:spacing w:before="0" w:beforeAutospacing="0" w:after="0" w:afterAutospacing="0" w:line="264" w:lineRule="auto"/>
              <w:ind w:left="0" w:right="0"/>
              <w:rPr>
                <w:rFonts w:hint="default" w:ascii="t" w:hAnsi="t"/>
                <w:sz w:val="18"/>
                <w:szCs w:val="18"/>
                <w:highlight w:val="none"/>
              </w:rPr>
            </w:pPr>
            <w:r>
              <w:rPr>
                <w:rFonts w:hint="eastAsia" w:ascii="t" w:hAnsi="t"/>
                <w:sz w:val="18"/>
                <w:szCs w:val="18"/>
                <w:highlight w:val="none"/>
              </w:rPr>
              <w:t>本项目位于衢州市高铁新城闽江大道以南、龙游路以西、常山港以北，不会对生态环境造成不利影响。</w:t>
            </w:r>
          </w:p>
        </w:tc>
      </w:tr>
      <w:tr w14:paraId="159C6562">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28" w:type="dxa"/>
            <w:bottom w:w="0" w:type="dxa"/>
            <w:right w:w="28" w:type="dxa"/>
          </w:tblCellMar>
        </w:tblPrEx>
        <w:trPr>
          <w:trHeight w:val="0" w:hRule="atLeast"/>
          <w:jc w:val="center"/>
        </w:trPr>
        <w:tc>
          <w:tcPr>
            <w:tcW w:w="1029" w:type="dxa"/>
            <w:vAlign w:val="center"/>
          </w:tcPr>
          <w:p w14:paraId="6D48E748">
            <w:pPr>
              <w:keepNext w:val="0"/>
              <w:keepLines w:val="0"/>
              <w:suppressLineNumbers w:val="0"/>
              <w:adjustRightInd w:val="0"/>
              <w:snapToGrid w:val="0"/>
              <w:spacing w:before="0" w:beforeAutospacing="0" w:after="0" w:afterAutospacing="0" w:line="264" w:lineRule="auto"/>
              <w:ind w:left="0" w:right="0"/>
              <w:jc w:val="center"/>
              <w:rPr>
                <w:rFonts w:hint="default"/>
                <w:snapToGrid w:val="0"/>
                <w:kern w:val="0"/>
                <w:sz w:val="18"/>
                <w:szCs w:val="18"/>
                <w:highlight w:val="none"/>
              </w:rPr>
            </w:pPr>
            <w:r>
              <w:rPr>
                <w:rFonts w:hint="eastAsia" w:hAnsi="宋体"/>
                <w:snapToGrid w:val="0"/>
                <w:kern w:val="0"/>
                <w:sz w:val="18"/>
                <w:szCs w:val="18"/>
                <w:highlight w:val="none"/>
              </w:rPr>
              <w:t>环境风险</w:t>
            </w:r>
          </w:p>
          <w:p w14:paraId="26BF0BCF">
            <w:pPr>
              <w:keepNext w:val="0"/>
              <w:keepLines w:val="0"/>
              <w:suppressLineNumbers w:val="0"/>
              <w:adjustRightInd w:val="0"/>
              <w:snapToGrid w:val="0"/>
              <w:spacing w:before="0" w:beforeAutospacing="0" w:after="0" w:afterAutospacing="0" w:line="264" w:lineRule="auto"/>
              <w:ind w:left="0" w:right="0"/>
              <w:jc w:val="center"/>
              <w:rPr>
                <w:rFonts w:hint="default"/>
                <w:snapToGrid w:val="0"/>
                <w:kern w:val="0"/>
                <w:sz w:val="18"/>
                <w:szCs w:val="18"/>
                <w:highlight w:val="none"/>
              </w:rPr>
            </w:pPr>
            <w:r>
              <w:rPr>
                <w:rFonts w:hint="eastAsia" w:hAnsi="宋体"/>
                <w:snapToGrid w:val="0"/>
                <w:kern w:val="0"/>
                <w:sz w:val="18"/>
                <w:szCs w:val="18"/>
                <w:highlight w:val="none"/>
              </w:rPr>
              <w:t>防范措施</w:t>
            </w:r>
          </w:p>
        </w:tc>
        <w:tc>
          <w:tcPr>
            <w:tcW w:w="8031" w:type="dxa"/>
            <w:gridSpan w:val="5"/>
            <w:vAlign w:val="center"/>
          </w:tcPr>
          <w:p w14:paraId="7D4679D5">
            <w:pPr>
              <w:keepNext w:val="0"/>
              <w:keepLines w:val="0"/>
              <w:suppressLineNumbers w:val="0"/>
              <w:adjustRightInd w:val="0"/>
              <w:snapToGrid w:val="0"/>
              <w:spacing w:before="0" w:beforeAutospacing="0" w:after="0" w:afterAutospacing="0"/>
              <w:ind w:left="0" w:right="0"/>
              <w:textAlignment w:val="baseline"/>
              <w:rPr>
                <w:rFonts w:hint="default" w:ascii="t" w:hAnsi="t"/>
                <w:sz w:val="18"/>
                <w:szCs w:val="18"/>
                <w:highlight w:val="none"/>
              </w:rPr>
            </w:pPr>
            <w:r>
              <w:rPr>
                <w:rFonts w:hint="default" w:ascii="t" w:hAnsi="t"/>
                <w:sz w:val="18"/>
                <w:szCs w:val="18"/>
                <w:highlight w:val="none"/>
              </w:rPr>
              <w:t>1</w:t>
            </w:r>
            <w:r>
              <w:rPr>
                <w:rFonts w:hint="eastAsia" w:ascii="t" w:hAnsi="t"/>
                <w:sz w:val="18"/>
                <w:szCs w:val="18"/>
                <w:highlight w:val="none"/>
              </w:rPr>
              <w:t>、加强危险废物的管理，加强风险源监控，在相关场所按要求设置标志标识，避免事故的发生或减少事故产生的危害。</w:t>
            </w:r>
          </w:p>
          <w:p w14:paraId="50AE740C">
            <w:pPr>
              <w:keepNext w:val="0"/>
              <w:keepLines w:val="0"/>
              <w:suppressLineNumbers w:val="0"/>
              <w:adjustRightInd w:val="0"/>
              <w:snapToGrid w:val="0"/>
              <w:spacing w:before="0" w:beforeAutospacing="0" w:after="0" w:afterAutospacing="0"/>
              <w:ind w:left="0" w:right="0"/>
              <w:textAlignment w:val="baseline"/>
              <w:rPr>
                <w:rFonts w:hint="default" w:ascii="t" w:hAnsi="t"/>
                <w:sz w:val="18"/>
                <w:szCs w:val="18"/>
                <w:highlight w:val="none"/>
              </w:rPr>
            </w:pPr>
            <w:r>
              <w:rPr>
                <w:rFonts w:hint="default" w:ascii="t" w:hAnsi="t"/>
                <w:sz w:val="18"/>
                <w:szCs w:val="18"/>
                <w:highlight w:val="none"/>
              </w:rPr>
              <w:t>2</w:t>
            </w:r>
            <w:r>
              <w:rPr>
                <w:rFonts w:hint="eastAsia" w:ascii="t" w:hAnsi="t"/>
                <w:sz w:val="18"/>
                <w:szCs w:val="18"/>
                <w:highlight w:val="none"/>
              </w:rPr>
              <w:t>、危险废物储存地点应设置事故废水收集和应急储存设施。</w:t>
            </w:r>
          </w:p>
          <w:p w14:paraId="5B825EBC">
            <w:pPr>
              <w:keepNext w:val="0"/>
              <w:keepLines w:val="0"/>
              <w:suppressLineNumbers w:val="0"/>
              <w:adjustRightInd w:val="0"/>
              <w:snapToGrid w:val="0"/>
              <w:spacing w:before="0" w:beforeAutospacing="0" w:after="0" w:afterAutospacing="0"/>
              <w:ind w:left="0" w:right="0"/>
              <w:textAlignment w:val="baseline"/>
              <w:rPr>
                <w:rFonts w:hint="default" w:ascii="t" w:hAnsi="t"/>
                <w:sz w:val="18"/>
                <w:szCs w:val="18"/>
                <w:highlight w:val="none"/>
              </w:rPr>
            </w:pPr>
            <w:r>
              <w:rPr>
                <w:rFonts w:hint="default" w:ascii="t" w:hAnsi="t"/>
                <w:sz w:val="18"/>
                <w:szCs w:val="18"/>
                <w:highlight w:val="none"/>
              </w:rPr>
              <w:t>3</w:t>
            </w:r>
            <w:r>
              <w:rPr>
                <w:rFonts w:hint="eastAsia" w:ascii="t" w:hAnsi="t"/>
                <w:sz w:val="18"/>
                <w:szCs w:val="18"/>
                <w:highlight w:val="none"/>
              </w:rPr>
              <w:t>、做好地下水分区防渗。</w:t>
            </w:r>
          </w:p>
          <w:p w14:paraId="3A70209C">
            <w:pPr>
              <w:keepNext w:val="0"/>
              <w:keepLines w:val="0"/>
              <w:suppressLineNumbers w:val="0"/>
              <w:adjustRightInd w:val="0"/>
              <w:snapToGrid w:val="0"/>
              <w:spacing w:before="0" w:beforeAutospacing="0" w:after="0" w:afterAutospacing="0" w:line="264" w:lineRule="auto"/>
              <w:ind w:left="0" w:right="0"/>
              <w:textAlignment w:val="baseline"/>
              <w:rPr>
                <w:rFonts w:hint="default"/>
                <w:sz w:val="18"/>
                <w:szCs w:val="18"/>
                <w:highlight w:val="none"/>
              </w:rPr>
            </w:pPr>
            <w:r>
              <w:rPr>
                <w:rFonts w:hint="default" w:ascii="t" w:hAnsi="t"/>
                <w:sz w:val="18"/>
                <w:szCs w:val="18"/>
                <w:highlight w:val="none"/>
              </w:rPr>
              <w:t>4</w:t>
            </w:r>
            <w:r>
              <w:rPr>
                <w:rFonts w:hint="eastAsia" w:ascii="t" w:hAnsi="t"/>
                <w:sz w:val="18"/>
                <w:szCs w:val="18"/>
                <w:highlight w:val="none"/>
              </w:rPr>
              <w:t>、完善环境风险管理。</w:t>
            </w:r>
          </w:p>
        </w:tc>
      </w:tr>
      <w:tr w14:paraId="7B435832">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28" w:type="dxa"/>
            <w:bottom w:w="0" w:type="dxa"/>
            <w:right w:w="28" w:type="dxa"/>
          </w:tblCellMar>
        </w:tblPrEx>
        <w:trPr>
          <w:trHeight w:val="0" w:hRule="atLeast"/>
          <w:jc w:val="center"/>
        </w:trPr>
        <w:tc>
          <w:tcPr>
            <w:tcW w:w="1029" w:type="dxa"/>
            <w:tcBorders>
              <w:bottom w:val="single" w:color="auto" w:sz="8" w:space="0"/>
            </w:tcBorders>
            <w:vAlign w:val="center"/>
          </w:tcPr>
          <w:p w14:paraId="2F182EC5">
            <w:pPr>
              <w:keepNext w:val="0"/>
              <w:keepLines w:val="0"/>
              <w:suppressLineNumbers w:val="0"/>
              <w:adjustRightInd w:val="0"/>
              <w:snapToGrid w:val="0"/>
              <w:spacing w:before="0" w:beforeAutospacing="0" w:after="0" w:afterAutospacing="0" w:line="264" w:lineRule="auto"/>
              <w:ind w:left="0" w:right="0"/>
              <w:jc w:val="center"/>
              <w:rPr>
                <w:rFonts w:hint="default"/>
                <w:snapToGrid w:val="0"/>
                <w:kern w:val="0"/>
                <w:sz w:val="18"/>
                <w:szCs w:val="18"/>
                <w:highlight w:val="none"/>
              </w:rPr>
            </w:pPr>
            <w:r>
              <w:rPr>
                <w:rFonts w:hint="eastAsia" w:hAnsi="宋体"/>
                <w:snapToGrid w:val="0"/>
                <w:kern w:val="0"/>
                <w:sz w:val="18"/>
                <w:szCs w:val="18"/>
                <w:highlight w:val="none"/>
              </w:rPr>
              <w:t>其他环境</w:t>
            </w:r>
          </w:p>
          <w:p w14:paraId="5409D886">
            <w:pPr>
              <w:keepNext w:val="0"/>
              <w:keepLines w:val="0"/>
              <w:suppressLineNumbers w:val="0"/>
              <w:adjustRightInd w:val="0"/>
              <w:snapToGrid w:val="0"/>
              <w:spacing w:before="0" w:beforeAutospacing="0" w:after="0" w:afterAutospacing="0" w:line="264" w:lineRule="auto"/>
              <w:ind w:left="0" w:right="0"/>
              <w:jc w:val="center"/>
              <w:rPr>
                <w:rFonts w:hint="default"/>
                <w:snapToGrid w:val="0"/>
                <w:kern w:val="0"/>
                <w:sz w:val="18"/>
                <w:szCs w:val="18"/>
                <w:highlight w:val="none"/>
              </w:rPr>
            </w:pPr>
            <w:r>
              <w:rPr>
                <w:rFonts w:hint="eastAsia" w:hAnsi="宋体"/>
                <w:snapToGrid w:val="0"/>
                <w:kern w:val="0"/>
                <w:sz w:val="18"/>
                <w:szCs w:val="18"/>
                <w:highlight w:val="none"/>
              </w:rPr>
              <w:t>管理要求</w:t>
            </w:r>
          </w:p>
        </w:tc>
        <w:tc>
          <w:tcPr>
            <w:tcW w:w="8031" w:type="dxa"/>
            <w:gridSpan w:val="5"/>
            <w:tcBorders>
              <w:bottom w:val="single" w:color="auto" w:sz="8" w:space="0"/>
            </w:tcBorders>
            <w:vAlign w:val="center"/>
          </w:tcPr>
          <w:p w14:paraId="3C899F54">
            <w:pPr>
              <w:keepNext w:val="0"/>
              <w:keepLines w:val="0"/>
              <w:suppressLineNumbers w:val="0"/>
              <w:adjustRightInd w:val="0"/>
              <w:snapToGrid w:val="0"/>
              <w:spacing w:before="0" w:beforeAutospacing="0" w:after="0" w:afterAutospacing="0" w:line="264" w:lineRule="auto"/>
              <w:ind w:left="0" w:right="0"/>
              <w:rPr>
                <w:rFonts w:hint="default"/>
                <w:sz w:val="18"/>
                <w:szCs w:val="18"/>
                <w:highlight w:val="none"/>
              </w:rPr>
            </w:pPr>
            <w:r>
              <w:rPr>
                <w:rFonts w:hint="eastAsia"/>
                <w:sz w:val="18"/>
                <w:szCs w:val="18"/>
                <w:highlight w:val="none"/>
              </w:rPr>
              <w:t>企业应制订和完善各项规章制度，制订环保管理制度和责任制，健全环保设备管理制度、安全操作规程和岗位责任制，设置各种设备运行</w:t>
            </w:r>
            <w:r>
              <w:rPr>
                <w:rFonts w:hint="eastAsia"/>
                <w:sz w:val="18"/>
                <w:szCs w:val="18"/>
                <w:highlight w:val="none"/>
                <w:lang w:val="en-US" w:eastAsia="zh-CN"/>
              </w:rPr>
              <w:t>台账</w:t>
            </w:r>
            <w:r>
              <w:rPr>
                <w:rFonts w:hint="eastAsia"/>
                <w:sz w:val="18"/>
                <w:szCs w:val="18"/>
                <w:highlight w:val="none"/>
              </w:rPr>
              <w:t>记录，规范工作程序，同时应制定相应的经济责任制，实行工效挂钩；建立日常档案，搞好环保统计，并及时处理可能出现的环境污染问题，做好固废处置记录</w:t>
            </w:r>
            <w:r>
              <w:rPr>
                <w:rFonts w:hint="eastAsia"/>
                <w:sz w:val="18"/>
                <w:szCs w:val="18"/>
                <w:highlight w:val="none"/>
                <w:lang w:val="en-US" w:eastAsia="zh-CN"/>
              </w:rPr>
              <w:t>台账</w:t>
            </w:r>
            <w:r>
              <w:rPr>
                <w:rFonts w:hint="eastAsia"/>
                <w:sz w:val="18"/>
                <w:szCs w:val="18"/>
                <w:highlight w:val="none"/>
              </w:rPr>
              <w:t>。</w:t>
            </w:r>
          </w:p>
        </w:tc>
      </w:tr>
    </w:tbl>
    <w:p w14:paraId="310B069D">
      <w:pPr>
        <w:pStyle w:val="27"/>
        <w:jc w:val="center"/>
        <w:outlineLvl w:val="0"/>
        <w:rPr>
          <w:rFonts w:ascii="Times New Roman" w:hAnsi="Times New Roman"/>
          <w:snapToGrid w:val="0"/>
          <w:highlight w:val="none"/>
        </w:rPr>
        <w:sectPr>
          <w:pgSz w:w="11906" w:h="16838"/>
          <w:pgMar w:top="1701" w:right="1531" w:bottom="1701" w:left="1531" w:header="851" w:footer="851" w:gutter="0"/>
          <w:pgBorders>
            <w:top w:val="none" w:sz="0" w:space="0"/>
            <w:left w:val="none" w:sz="0" w:space="0"/>
            <w:bottom w:val="none" w:sz="0" w:space="0"/>
            <w:right w:val="none" w:sz="0" w:space="0"/>
          </w:pgBorders>
          <w:pgNumType w:fmt="decimal"/>
          <w:cols w:space="720" w:num="1"/>
          <w:docGrid w:linePitch="312" w:charSpace="0"/>
        </w:sectPr>
      </w:pPr>
    </w:p>
    <w:p w14:paraId="5FC0DBEA">
      <w:pPr>
        <w:pStyle w:val="2"/>
        <w:keepLines/>
        <w:widowControl/>
        <w:overflowPunct/>
        <w:adjustRightInd w:val="0"/>
        <w:spacing w:before="240" w:beforeLines="100" w:after="240" w:afterLines="100" w:line="240" w:lineRule="auto"/>
        <w:ind w:left="0" w:firstLine="0"/>
        <w:jc w:val="center"/>
        <w:rPr>
          <w:rFonts w:eastAsia="宋体"/>
          <w:b w:val="0"/>
          <w:color w:val="auto"/>
          <w:highlight w:val="none"/>
          <w:lang w:val="zh-CN"/>
        </w:rPr>
      </w:pPr>
      <w:bookmarkStart w:id="27" w:name="_Toc14068"/>
      <w:bookmarkStart w:id="28" w:name="_Toc66538122"/>
      <w:r>
        <w:rPr>
          <w:rFonts w:hint="eastAsia" w:eastAsia="宋体"/>
          <w:b w:val="0"/>
          <w:color w:val="auto"/>
          <w:highlight w:val="none"/>
          <w:lang w:val="zh-CN"/>
        </w:rPr>
        <w:t>六、结论</w:t>
      </w:r>
      <w:bookmarkEnd w:id="27"/>
      <w:bookmarkEnd w:id="28"/>
    </w:p>
    <w:tbl>
      <w:tblPr>
        <w:tblStyle w:val="32"/>
        <w:tblW w:w="8865" w:type="dxa"/>
        <w:jc w:val="center"/>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
      <w:tblGrid>
        <w:gridCol w:w="8865"/>
      </w:tblGrid>
      <w:tr w14:paraId="2C3A4197">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12260" w:hRule="atLeast"/>
          <w:jc w:val="center"/>
        </w:trPr>
        <w:tc>
          <w:tcPr>
            <w:tcW w:w="8865" w:type="dxa"/>
            <w:tcBorders>
              <w:top w:val="single" w:color="auto" w:sz="8" w:space="0"/>
              <w:bottom w:val="single" w:color="auto" w:sz="8" w:space="0"/>
            </w:tcBorders>
          </w:tcPr>
          <w:p w14:paraId="61A1CB08">
            <w:pPr>
              <w:keepNext w:val="0"/>
              <w:keepLines w:val="0"/>
              <w:suppressLineNumbers w:val="0"/>
              <w:spacing w:before="0" w:beforeAutospacing="0" w:after="0" w:afterAutospacing="0" w:line="360" w:lineRule="auto"/>
              <w:ind w:left="0" w:right="0" w:firstLine="480" w:firstLineChars="200"/>
              <w:rPr>
                <w:rFonts w:hint="default"/>
                <w:highlight w:val="none"/>
              </w:rPr>
            </w:pPr>
            <w:r>
              <w:rPr>
                <w:rFonts w:hint="eastAsia"/>
                <w:highlight w:val="none"/>
              </w:rPr>
              <w:t>综上所述，衢州高铁新城智慧产业园七期-1项目位于衢州市高铁新城闽江大道以南、龙游路以西、常山港以北，项目符合《衢州市生态环境分区管控方案》（衢环发</w:t>
            </w:r>
            <w:r>
              <w:rPr>
                <w:rFonts w:hint="eastAsia"/>
                <w:highlight w:val="none"/>
                <w:lang w:eastAsia="zh-CN"/>
              </w:rPr>
              <w:t>〔2024〕52号</w:t>
            </w:r>
            <w:r>
              <w:rPr>
                <w:rFonts w:hint="eastAsia"/>
                <w:highlight w:val="none"/>
              </w:rPr>
              <w:t>），实施后污染物可做到达标排放，符合国家、省规定的主要污染物排放总量控制指标，符合建设项目所在地环境功能区确定的环境质量要求。建设单位在建设过程中须认真落实环评提出的各项环保措施，严格执行“三同时”要求。因此，从环境保护角度论证，项目的建设是可行的。</w:t>
            </w:r>
          </w:p>
        </w:tc>
      </w:tr>
    </w:tbl>
    <w:p w14:paraId="465B7EE8">
      <w:pPr>
        <w:pStyle w:val="59"/>
        <w:ind w:firstLine="0" w:firstLineChars="0"/>
        <w:rPr>
          <w:highlight w:val="none"/>
        </w:rPr>
      </w:pPr>
    </w:p>
    <w:p w14:paraId="6EDC9E2C">
      <w:pPr>
        <w:pStyle w:val="59"/>
        <w:rPr>
          <w:highlight w:val="none"/>
        </w:rPr>
        <w:sectPr>
          <w:pgSz w:w="11906" w:h="16838"/>
          <w:pgMar w:top="1701" w:right="1531" w:bottom="1701" w:left="1531" w:header="851" w:footer="851" w:gutter="0"/>
          <w:pgBorders>
            <w:top w:val="none" w:sz="0" w:space="0"/>
            <w:left w:val="none" w:sz="0" w:space="0"/>
            <w:bottom w:val="none" w:sz="0" w:space="0"/>
            <w:right w:val="none" w:sz="0" w:space="0"/>
          </w:pgBorders>
          <w:pgNumType w:fmt="decimal"/>
          <w:cols w:space="720" w:num="1"/>
          <w:docGrid w:linePitch="312" w:charSpace="0"/>
        </w:sectPr>
      </w:pPr>
    </w:p>
    <w:p w14:paraId="455DF840">
      <w:pPr>
        <w:pStyle w:val="59"/>
        <w:spacing w:line="360" w:lineRule="auto"/>
        <w:jc w:val="center"/>
        <w:rPr>
          <w:rFonts w:hint="eastAsia" w:ascii="Times New Roman" w:hAnsi="Times New Roman" w:eastAsia="宋体" w:cs="Times New Roman"/>
          <w:b w:val="0"/>
          <w:bCs/>
          <w:color w:val="auto"/>
          <w:kern w:val="44"/>
          <w:sz w:val="30"/>
          <w:szCs w:val="30"/>
          <w:highlight w:val="none"/>
          <w:lang w:val="zh-CN" w:eastAsia="zh-CN" w:bidi="ar-SA"/>
        </w:rPr>
      </w:pPr>
      <w:r>
        <w:rPr>
          <w:rFonts w:hint="eastAsia" w:ascii="Times New Roman" w:hAnsi="Times New Roman" w:eastAsia="宋体" w:cs="Times New Roman"/>
          <w:b w:val="0"/>
          <w:bCs/>
          <w:color w:val="auto"/>
          <w:kern w:val="44"/>
          <w:sz w:val="30"/>
          <w:szCs w:val="30"/>
          <w:highlight w:val="none"/>
          <w:lang w:val="zh-CN" w:eastAsia="zh-CN" w:bidi="ar-SA"/>
        </w:rPr>
        <w:t>七、大气环境专项评价</w:t>
      </w:r>
    </w:p>
    <w:tbl>
      <w:tblPr>
        <w:tblStyle w:val="33"/>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648"/>
        <w:gridCol w:w="8412"/>
      </w:tblGrid>
      <w:tr w14:paraId="1EA7EE5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48" w:type="dxa"/>
            <w:vAlign w:val="center"/>
          </w:tcPr>
          <w:p w14:paraId="6345A98C">
            <w:pPr>
              <w:keepNext w:val="0"/>
              <w:keepLines w:val="0"/>
              <w:suppressLineNumbers w:val="0"/>
              <w:spacing w:before="0" w:beforeAutospacing="0" w:after="0" w:afterAutospacing="0"/>
              <w:ind w:left="0" w:right="0"/>
              <w:jc w:val="center"/>
              <w:rPr>
                <w:rFonts w:hint="eastAsia"/>
                <w:highlight w:val="none"/>
              </w:rPr>
            </w:pPr>
            <w:r>
              <w:rPr>
                <w:rFonts w:hint="eastAsia"/>
                <w:highlight w:val="none"/>
              </w:rPr>
              <w:t>大气</w:t>
            </w:r>
          </w:p>
          <w:p w14:paraId="6CDA46DB">
            <w:pPr>
              <w:keepNext w:val="0"/>
              <w:keepLines w:val="0"/>
              <w:suppressLineNumbers w:val="0"/>
              <w:spacing w:before="0" w:beforeAutospacing="0" w:after="0" w:afterAutospacing="0"/>
              <w:ind w:left="0" w:right="0"/>
              <w:jc w:val="center"/>
              <w:rPr>
                <w:rFonts w:hint="eastAsia"/>
                <w:highlight w:val="none"/>
              </w:rPr>
            </w:pPr>
            <w:r>
              <w:rPr>
                <w:rFonts w:hint="eastAsia"/>
                <w:highlight w:val="none"/>
              </w:rPr>
              <w:t>环境</w:t>
            </w:r>
          </w:p>
          <w:p w14:paraId="334733B9">
            <w:pPr>
              <w:keepNext w:val="0"/>
              <w:keepLines w:val="0"/>
              <w:suppressLineNumbers w:val="0"/>
              <w:spacing w:before="0" w:beforeAutospacing="0" w:after="0" w:afterAutospacing="0"/>
              <w:ind w:left="0" w:right="0"/>
              <w:jc w:val="center"/>
              <w:rPr>
                <w:rFonts w:hint="eastAsia"/>
                <w:highlight w:val="none"/>
              </w:rPr>
            </w:pPr>
            <w:r>
              <w:rPr>
                <w:rFonts w:hint="eastAsia"/>
                <w:highlight w:val="none"/>
              </w:rPr>
              <w:t>专项</w:t>
            </w:r>
          </w:p>
          <w:p w14:paraId="3C283A48">
            <w:pPr>
              <w:keepNext w:val="0"/>
              <w:keepLines w:val="0"/>
              <w:suppressLineNumbers w:val="0"/>
              <w:spacing w:before="0" w:beforeAutospacing="0" w:after="0" w:afterAutospacing="0"/>
              <w:ind w:left="0" w:right="0"/>
              <w:jc w:val="center"/>
              <w:rPr>
                <w:rFonts w:hint="default"/>
                <w:color w:val="auto"/>
                <w:highlight w:val="none"/>
                <w:vertAlign w:val="baseline"/>
              </w:rPr>
            </w:pPr>
            <w:r>
              <w:rPr>
                <w:rFonts w:hint="eastAsia"/>
                <w:highlight w:val="none"/>
              </w:rPr>
              <w:t>评价</w:t>
            </w:r>
          </w:p>
        </w:tc>
        <w:tc>
          <w:tcPr>
            <w:tcW w:w="8412" w:type="dxa"/>
            <w:vAlign w:val="top"/>
          </w:tcPr>
          <w:p w14:paraId="76916F5F">
            <w:pPr>
              <w:pStyle w:val="42"/>
              <w:keepNext w:val="0"/>
              <w:keepLines w:val="0"/>
              <w:suppressLineNumbers w:val="0"/>
              <w:spacing w:before="0" w:beforeAutospacing="0" w:after="0" w:afterAutospacing="0"/>
              <w:ind w:left="0" w:right="0"/>
              <w:rPr>
                <w:rFonts w:hint="default" w:ascii="Times New Roman" w:hAnsi="Times New Roman" w:eastAsia="宋体" w:cs="Times New Roman"/>
                <w:b w:val="0"/>
                <w:bCs w:val="0"/>
                <w:strike w:val="0"/>
                <w:dstrike w:val="0"/>
                <w:color w:val="auto"/>
                <w:kern w:val="2"/>
                <w:sz w:val="24"/>
                <w:szCs w:val="24"/>
                <w:highlight w:val="none"/>
                <w:lang w:val="en-US" w:eastAsia="zh-CN" w:bidi="ar-SA"/>
              </w:rPr>
            </w:pPr>
            <w:r>
              <w:rPr>
                <w:rFonts w:hint="eastAsia" w:ascii="Times New Roman" w:hAnsi="Times New Roman" w:eastAsia="宋体" w:cs="Times New Roman"/>
                <w:b w:val="0"/>
                <w:bCs w:val="0"/>
                <w:strike w:val="0"/>
                <w:dstrike w:val="0"/>
                <w:color w:val="auto"/>
                <w:kern w:val="2"/>
                <w:sz w:val="24"/>
                <w:szCs w:val="24"/>
                <w:highlight w:val="none"/>
                <w:lang w:val="en-US" w:eastAsia="zh-CN" w:bidi="ar-SA"/>
              </w:rPr>
              <w:t>本项目涉及排放甲醛、氯气，且建设单位500m范围内存在环境空气保护目标，根据《建设项目环境影响报告表编制技术指南（污染影响型）（试行）》表1专项评价设置原则表，本项目需要设置大气专项评价。</w:t>
            </w:r>
          </w:p>
          <w:p w14:paraId="3C9AABC6">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60" w:lineRule="auto"/>
              <w:ind w:left="0" w:right="0" w:firstLine="482" w:firstLineChars="200"/>
              <w:jc w:val="both"/>
              <w:textAlignment w:val="auto"/>
              <w:rPr>
                <w:rFonts w:hint="default" w:ascii="Times New Roman" w:hAnsi="Times New Roman" w:eastAsia="宋体" w:cs="宋体"/>
                <w:b/>
                <w:bCs/>
                <w:color w:val="auto"/>
                <w:kern w:val="2"/>
                <w:sz w:val="24"/>
                <w:szCs w:val="24"/>
                <w:highlight w:val="none"/>
                <w:lang w:val="en-US" w:eastAsia="zh-CN" w:bidi="ar"/>
              </w:rPr>
            </w:pPr>
            <w:r>
              <w:rPr>
                <w:rFonts w:hint="eastAsia" w:ascii="Times New Roman" w:hAnsi="Times New Roman" w:eastAsia="宋体" w:cs="宋体"/>
                <w:b/>
                <w:bCs/>
                <w:color w:val="auto"/>
                <w:kern w:val="2"/>
                <w:sz w:val="24"/>
                <w:szCs w:val="24"/>
                <w:highlight w:val="none"/>
                <w:lang w:val="en-US" w:eastAsia="zh-CN" w:bidi="ar"/>
              </w:rPr>
              <w:t>1、评价工作等级判定</w:t>
            </w:r>
          </w:p>
          <w:p w14:paraId="038157F1">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60" w:lineRule="auto"/>
              <w:ind w:left="0" w:right="0" w:firstLine="480" w:firstLineChars="200"/>
              <w:textAlignment w:val="auto"/>
              <w:rPr>
                <w:rFonts w:hint="default" w:ascii="Times New Roman" w:hAnsi="Times New Roman" w:eastAsia="宋体" w:cs="Times New Roman"/>
                <w:b w:val="0"/>
                <w:bCs w:val="0"/>
                <w:strike w:val="0"/>
                <w:dstrike w:val="0"/>
                <w:color w:val="auto"/>
                <w:kern w:val="2"/>
                <w:sz w:val="24"/>
                <w:szCs w:val="24"/>
                <w:highlight w:val="none"/>
                <w:lang w:val="en-US" w:eastAsia="zh-CN" w:bidi="ar-SA"/>
              </w:rPr>
            </w:pPr>
            <w:r>
              <w:rPr>
                <w:rFonts w:hint="eastAsia" w:ascii="Times New Roman" w:hAnsi="Times New Roman" w:eastAsia="宋体" w:cs="Times New Roman"/>
                <w:b w:val="0"/>
                <w:bCs w:val="0"/>
                <w:strike w:val="0"/>
                <w:dstrike w:val="0"/>
                <w:color w:val="auto"/>
                <w:kern w:val="2"/>
                <w:sz w:val="24"/>
                <w:szCs w:val="24"/>
                <w:highlight w:val="none"/>
                <w:lang w:val="en-US" w:eastAsia="zh-CN" w:bidi="ar-SA"/>
              </w:rPr>
              <w:t>（1）评价因子和评价标准筛选</w:t>
            </w:r>
          </w:p>
          <w:p w14:paraId="2AEA0979">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60" w:lineRule="auto"/>
              <w:ind w:left="0" w:right="0" w:firstLine="480" w:firstLineChars="200"/>
              <w:textAlignment w:val="auto"/>
              <w:rPr>
                <w:rFonts w:hint="eastAsia" w:ascii="Times New Roman" w:hAnsi="Times New Roman" w:eastAsia="宋体" w:cs="Times New Roman"/>
                <w:b w:val="0"/>
                <w:bCs w:val="0"/>
                <w:strike w:val="0"/>
                <w:dstrike w:val="0"/>
                <w:color w:val="auto"/>
                <w:kern w:val="2"/>
                <w:sz w:val="24"/>
                <w:szCs w:val="24"/>
                <w:highlight w:val="none"/>
                <w:lang w:val="en-US" w:eastAsia="zh-CN" w:bidi="ar-SA"/>
              </w:rPr>
            </w:pPr>
            <w:r>
              <w:rPr>
                <w:rFonts w:hint="eastAsia" w:ascii="Times New Roman" w:hAnsi="Times New Roman" w:eastAsia="宋体" w:cs="Times New Roman"/>
                <w:b w:val="0"/>
                <w:bCs w:val="0"/>
                <w:strike w:val="0"/>
                <w:dstrike w:val="0"/>
                <w:color w:val="auto"/>
                <w:kern w:val="2"/>
                <w:sz w:val="24"/>
                <w:szCs w:val="24"/>
                <w:highlight w:val="none"/>
                <w:lang w:val="en-US" w:eastAsia="zh-CN" w:bidi="ar-SA"/>
              </w:rPr>
              <w:t>根据《环境影响评价技术导则大气环境》（HJ2.2-2018）中大气环境评价工作等级确定方法，污染物最大地面浓度占标率P</w:t>
            </w:r>
            <w:r>
              <w:rPr>
                <w:rFonts w:hint="eastAsia" w:ascii="Times New Roman" w:hAnsi="Times New Roman" w:eastAsia="宋体" w:cs="Times New Roman"/>
                <w:b w:val="0"/>
                <w:bCs w:val="0"/>
                <w:strike w:val="0"/>
                <w:dstrike w:val="0"/>
                <w:color w:val="auto"/>
                <w:kern w:val="2"/>
                <w:sz w:val="24"/>
                <w:szCs w:val="24"/>
                <w:highlight w:val="none"/>
                <w:vertAlign w:val="subscript"/>
                <w:lang w:val="en-US" w:eastAsia="zh-CN" w:bidi="ar-SA"/>
              </w:rPr>
              <w:t>i</w:t>
            </w:r>
            <w:r>
              <w:rPr>
                <w:rFonts w:hint="eastAsia" w:ascii="Times New Roman" w:hAnsi="Times New Roman" w:eastAsia="宋体" w:cs="Times New Roman"/>
                <w:b w:val="0"/>
                <w:bCs w:val="0"/>
                <w:strike w:val="0"/>
                <w:dstrike w:val="0"/>
                <w:color w:val="auto"/>
                <w:kern w:val="2"/>
                <w:sz w:val="24"/>
                <w:szCs w:val="24"/>
                <w:highlight w:val="none"/>
                <w:lang w:val="en-US" w:eastAsia="zh-CN" w:bidi="ar-SA"/>
              </w:rPr>
              <w:t>的计算公式如下：</w:t>
            </w:r>
          </w:p>
          <w:p w14:paraId="12D039F0">
            <w:pPr>
              <w:keepNext w:val="0"/>
              <w:keepLines w:val="0"/>
              <w:suppressLineNumbers w:val="0"/>
              <w:spacing w:before="0" w:beforeAutospacing="0" w:after="0" w:afterAutospacing="0"/>
              <w:ind w:left="0" w:right="0" w:firstLine="0" w:firstLineChars="0"/>
              <w:jc w:val="center"/>
              <w:rPr>
                <w:rFonts w:hint="default" w:ascii="Times New Roman" w:hAnsi="Times New Roman" w:eastAsia="宋体"/>
                <w:caps w:val="0"/>
                <w:smallCaps w:val="0"/>
                <w:snapToGrid/>
                <w:color w:val="auto"/>
                <w:kern w:val="0"/>
                <w:szCs w:val="20"/>
                <w:highlight w:val="none"/>
              </w:rPr>
            </w:pPr>
            <w:r>
              <w:rPr>
                <w:rFonts w:hint="default" w:ascii="Times New Roman" w:hAnsi="Times New Roman" w:eastAsia="宋体"/>
                <w:caps w:val="0"/>
                <w:smallCaps w:val="0"/>
                <w:snapToGrid/>
                <w:color w:val="auto"/>
                <w:kern w:val="0"/>
                <w:position w:val="-30"/>
                <w:szCs w:val="20"/>
                <w:highlight w:val="none"/>
              </w:rPr>
              <w:object>
                <v:shape id="_x0000_i1029" o:spt="75" type="#_x0000_t75" style="height:36.2pt;width:76.6pt;" o:ole="t" filled="f" o:preferrelative="t" stroked="f" coordsize="21600,21600">
                  <v:path/>
                  <v:fill on="f" focussize="0,0"/>
                  <v:stroke on="f"/>
                  <v:imagedata r:id="rId45" o:title=""/>
                  <o:lock v:ext="edit" aspectratio="t"/>
                  <w10:wrap type="none"/>
                  <w10:anchorlock/>
                </v:shape>
                <o:OLEObject Type="Embed" ProgID="Equation.3" ShapeID="_x0000_i1029" DrawAspect="Content" ObjectID="_1468075729" r:id="rId44">
                  <o:LockedField>false</o:LockedField>
                </o:OLEObject>
              </w:object>
            </w:r>
          </w:p>
          <w:p w14:paraId="6D0AF269">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60" w:lineRule="auto"/>
              <w:ind w:left="0" w:right="0" w:firstLine="480" w:firstLineChars="200"/>
              <w:textAlignment w:val="auto"/>
              <w:rPr>
                <w:rFonts w:hint="default" w:ascii="Times New Roman" w:hAnsi="Times New Roman" w:eastAsia="宋体" w:cs="Times New Roman"/>
                <w:b w:val="0"/>
                <w:bCs w:val="0"/>
                <w:strike w:val="0"/>
                <w:dstrike w:val="0"/>
                <w:color w:val="auto"/>
                <w:kern w:val="2"/>
                <w:sz w:val="24"/>
                <w:szCs w:val="24"/>
                <w:highlight w:val="none"/>
                <w:lang w:val="en-US" w:eastAsia="zh-CN" w:bidi="ar-SA"/>
              </w:rPr>
            </w:pPr>
            <w:r>
              <w:rPr>
                <w:rFonts w:hint="default" w:ascii="Times New Roman" w:hAnsi="Times New Roman" w:eastAsia="宋体" w:cs="Times New Roman"/>
                <w:b w:val="0"/>
                <w:bCs w:val="0"/>
                <w:strike w:val="0"/>
                <w:dstrike w:val="0"/>
                <w:color w:val="auto"/>
                <w:kern w:val="2"/>
                <w:sz w:val="24"/>
                <w:szCs w:val="24"/>
                <w:highlight w:val="none"/>
                <w:lang w:val="en-US" w:eastAsia="zh-CN" w:bidi="ar-SA"/>
              </w:rPr>
              <w:t>式中：P</w:t>
            </w:r>
            <w:r>
              <w:rPr>
                <w:rFonts w:hint="default" w:ascii="Times New Roman" w:hAnsi="Times New Roman" w:eastAsia="宋体" w:cs="Times New Roman"/>
                <w:b w:val="0"/>
                <w:bCs w:val="0"/>
                <w:strike w:val="0"/>
                <w:dstrike w:val="0"/>
                <w:color w:val="auto"/>
                <w:kern w:val="2"/>
                <w:sz w:val="24"/>
                <w:szCs w:val="24"/>
                <w:highlight w:val="none"/>
                <w:vertAlign w:val="subscript"/>
                <w:lang w:val="en-US" w:eastAsia="zh-CN" w:bidi="ar-SA"/>
              </w:rPr>
              <w:t>i</w:t>
            </w:r>
            <w:r>
              <w:rPr>
                <w:rFonts w:hint="default" w:ascii="Times New Roman" w:hAnsi="Times New Roman" w:eastAsia="宋体" w:cs="Times New Roman"/>
                <w:b w:val="0"/>
                <w:bCs w:val="0"/>
                <w:strike w:val="0"/>
                <w:dstrike w:val="0"/>
                <w:color w:val="auto"/>
                <w:kern w:val="2"/>
                <w:sz w:val="24"/>
                <w:szCs w:val="24"/>
                <w:highlight w:val="none"/>
                <w:lang w:val="en-US" w:eastAsia="zh-CN" w:bidi="ar-SA"/>
              </w:rPr>
              <w:t>——第i种污染物的最大地面浓度占标率，%；</w:t>
            </w:r>
          </w:p>
          <w:p w14:paraId="41E53009">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60" w:lineRule="auto"/>
              <w:ind w:left="0" w:right="0" w:firstLine="480" w:firstLineChars="200"/>
              <w:textAlignment w:val="auto"/>
              <w:rPr>
                <w:rFonts w:hint="default" w:ascii="Times New Roman" w:hAnsi="Times New Roman" w:eastAsia="宋体" w:cs="Times New Roman"/>
                <w:b w:val="0"/>
                <w:bCs w:val="0"/>
                <w:strike w:val="0"/>
                <w:dstrike w:val="0"/>
                <w:color w:val="auto"/>
                <w:kern w:val="2"/>
                <w:sz w:val="24"/>
                <w:szCs w:val="24"/>
                <w:highlight w:val="none"/>
                <w:lang w:val="en-US" w:eastAsia="zh-CN" w:bidi="ar-SA"/>
              </w:rPr>
            </w:pPr>
            <w:r>
              <w:rPr>
                <w:rFonts w:hint="default" w:ascii="Times New Roman" w:hAnsi="Times New Roman" w:eastAsia="宋体" w:cs="Times New Roman"/>
                <w:b w:val="0"/>
                <w:bCs w:val="0"/>
                <w:strike w:val="0"/>
                <w:dstrike w:val="0"/>
                <w:color w:val="auto"/>
                <w:kern w:val="2"/>
                <w:sz w:val="24"/>
                <w:szCs w:val="24"/>
                <w:highlight w:val="none"/>
                <w:lang w:val="en-US" w:eastAsia="zh-CN" w:bidi="ar-SA"/>
              </w:rPr>
              <w:t>C</w:t>
            </w:r>
            <w:r>
              <w:rPr>
                <w:rFonts w:hint="default" w:ascii="Times New Roman" w:hAnsi="Times New Roman" w:eastAsia="宋体" w:cs="Times New Roman"/>
                <w:b w:val="0"/>
                <w:bCs w:val="0"/>
                <w:strike w:val="0"/>
                <w:dstrike w:val="0"/>
                <w:color w:val="auto"/>
                <w:kern w:val="2"/>
                <w:sz w:val="24"/>
                <w:szCs w:val="24"/>
                <w:highlight w:val="none"/>
                <w:vertAlign w:val="subscript"/>
                <w:lang w:val="en-US" w:eastAsia="zh-CN" w:bidi="ar-SA"/>
              </w:rPr>
              <w:t>i</w:t>
            </w:r>
            <w:r>
              <w:rPr>
                <w:rFonts w:hint="default" w:ascii="Times New Roman" w:hAnsi="Times New Roman" w:eastAsia="宋体" w:cs="Times New Roman"/>
                <w:b w:val="0"/>
                <w:bCs w:val="0"/>
                <w:strike w:val="0"/>
                <w:dstrike w:val="0"/>
                <w:color w:val="auto"/>
                <w:kern w:val="2"/>
                <w:sz w:val="24"/>
                <w:szCs w:val="24"/>
                <w:highlight w:val="none"/>
                <w:lang w:val="en-US" w:eastAsia="zh-CN" w:bidi="ar-SA"/>
              </w:rPr>
              <w:t>——采用估算模式计算出的第i种污染物的最大地面浓度，mg/m</w:t>
            </w:r>
            <w:r>
              <w:rPr>
                <w:rFonts w:hint="default" w:ascii="Times New Roman" w:hAnsi="Times New Roman" w:eastAsia="宋体" w:cs="Times New Roman"/>
                <w:b w:val="0"/>
                <w:bCs w:val="0"/>
                <w:strike w:val="0"/>
                <w:dstrike w:val="0"/>
                <w:color w:val="auto"/>
                <w:kern w:val="2"/>
                <w:sz w:val="24"/>
                <w:szCs w:val="24"/>
                <w:highlight w:val="none"/>
                <w:vertAlign w:val="superscript"/>
                <w:lang w:val="en-US" w:eastAsia="zh-CN" w:bidi="ar-SA"/>
              </w:rPr>
              <w:t>3</w:t>
            </w:r>
            <w:r>
              <w:rPr>
                <w:rFonts w:hint="default" w:ascii="Times New Roman" w:hAnsi="Times New Roman" w:eastAsia="宋体" w:cs="Times New Roman"/>
                <w:b w:val="0"/>
                <w:bCs w:val="0"/>
                <w:strike w:val="0"/>
                <w:dstrike w:val="0"/>
                <w:color w:val="auto"/>
                <w:kern w:val="2"/>
                <w:sz w:val="24"/>
                <w:szCs w:val="24"/>
                <w:highlight w:val="none"/>
                <w:lang w:val="en-US" w:eastAsia="zh-CN" w:bidi="ar-SA"/>
              </w:rPr>
              <w:t>；</w:t>
            </w:r>
          </w:p>
          <w:p w14:paraId="00F03EF8">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60" w:lineRule="auto"/>
              <w:ind w:left="0" w:right="0" w:firstLine="480" w:firstLineChars="200"/>
              <w:textAlignment w:val="auto"/>
              <w:rPr>
                <w:rFonts w:hint="default" w:ascii="Times New Roman" w:hAnsi="Times New Roman" w:eastAsia="宋体" w:cs="Times New Roman"/>
                <w:b w:val="0"/>
                <w:bCs w:val="0"/>
                <w:strike w:val="0"/>
                <w:dstrike w:val="0"/>
                <w:color w:val="auto"/>
                <w:kern w:val="2"/>
                <w:sz w:val="24"/>
                <w:szCs w:val="24"/>
                <w:highlight w:val="none"/>
                <w:lang w:val="en-US" w:eastAsia="zh-CN" w:bidi="ar-SA"/>
              </w:rPr>
            </w:pPr>
            <w:r>
              <w:rPr>
                <w:rFonts w:hint="default" w:ascii="Times New Roman" w:hAnsi="Times New Roman" w:eastAsia="宋体" w:cs="Times New Roman"/>
                <w:b w:val="0"/>
                <w:bCs w:val="0"/>
                <w:strike w:val="0"/>
                <w:dstrike w:val="0"/>
                <w:color w:val="auto"/>
                <w:kern w:val="2"/>
                <w:sz w:val="24"/>
                <w:szCs w:val="24"/>
                <w:highlight w:val="none"/>
                <w:lang w:val="en-US" w:eastAsia="zh-CN" w:bidi="ar-SA"/>
              </w:rPr>
              <w:t>C</w:t>
            </w:r>
            <w:r>
              <w:rPr>
                <w:rFonts w:hint="default" w:ascii="Times New Roman" w:hAnsi="Times New Roman" w:eastAsia="宋体" w:cs="Times New Roman"/>
                <w:b w:val="0"/>
                <w:bCs w:val="0"/>
                <w:strike w:val="0"/>
                <w:dstrike w:val="0"/>
                <w:color w:val="auto"/>
                <w:kern w:val="2"/>
                <w:sz w:val="24"/>
                <w:szCs w:val="24"/>
                <w:highlight w:val="none"/>
                <w:vertAlign w:val="subscript"/>
                <w:lang w:val="en-US" w:eastAsia="zh-CN" w:bidi="ar-SA"/>
              </w:rPr>
              <w:t>oi</w:t>
            </w:r>
            <w:r>
              <w:rPr>
                <w:rFonts w:hint="default" w:ascii="Times New Roman" w:hAnsi="Times New Roman" w:eastAsia="宋体" w:cs="Times New Roman"/>
                <w:b w:val="0"/>
                <w:bCs w:val="0"/>
                <w:strike w:val="0"/>
                <w:dstrike w:val="0"/>
                <w:color w:val="auto"/>
                <w:kern w:val="2"/>
                <w:sz w:val="24"/>
                <w:szCs w:val="24"/>
                <w:highlight w:val="none"/>
                <w:lang w:val="en-US" w:eastAsia="zh-CN" w:bidi="ar-SA"/>
              </w:rPr>
              <w:t>——第i种污染物的环境空气质量标准，mg/m</w:t>
            </w:r>
            <w:r>
              <w:rPr>
                <w:rFonts w:hint="default" w:ascii="Times New Roman" w:hAnsi="Times New Roman" w:eastAsia="宋体" w:cs="Times New Roman"/>
                <w:b w:val="0"/>
                <w:bCs w:val="0"/>
                <w:strike w:val="0"/>
                <w:dstrike w:val="0"/>
                <w:color w:val="auto"/>
                <w:kern w:val="2"/>
                <w:sz w:val="24"/>
                <w:szCs w:val="24"/>
                <w:highlight w:val="none"/>
                <w:vertAlign w:val="superscript"/>
                <w:lang w:val="en-US" w:eastAsia="zh-CN" w:bidi="ar-SA"/>
              </w:rPr>
              <w:t>3</w:t>
            </w:r>
            <w:r>
              <w:rPr>
                <w:rFonts w:hint="default" w:ascii="Times New Roman" w:hAnsi="Times New Roman" w:eastAsia="宋体" w:cs="Times New Roman"/>
                <w:b w:val="0"/>
                <w:bCs w:val="0"/>
                <w:strike w:val="0"/>
                <w:dstrike w:val="0"/>
                <w:color w:val="auto"/>
                <w:kern w:val="2"/>
                <w:sz w:val="24"/>
                <w:szCs w:val="24"/>
                <w:highlight w:val="none"/>
                <w:lang w:val="en-US" w:eastAsia="zh-CN" w:bidi="ar-SA"/>
              </w:rPr>
              <w:t>。</w:t>
            </w:r>
          </w:p>
          <w:p w14:paraId="4D9C8D41">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60" w:lineRule="auto"/>
              <w:ind w:left="0" w:right="0" w:firstLine="480" w:firstLineChars="200"/>
              <w:textAlignment w:val="auto"/>
              <w:rPr>
                <w:rFonts w:hint="default" w:ascii="Times New Roman" w:hAnsi="Times New Roman" w:eastAsia="宋体" w:cs="Times New Roman"/>
                <w:b w:val="0"/>
                <w:bCs w:val="0"/>
                <w:strike w:val="0"/>
                <w:dstrike w:val="0"/>
                <w:color w:val="auto"/>
                <w:kern w:val="2"/>
                <w:sz w:val="24"/>
                <w:szCs w:val="24"/>
                <w:highlight w:val="none"/>
                <w:lang w:val="en-US" w:eastAsia="zh-CN" w:bidi="ar-SA"/>
              </w:rPr>
            </w:pPr>
            <w:r>
              <w:rPr>
                <w:rFonts w:hint="default" w:ascii="Times New Roman" w:hAnsi="Times New Roman" w:eastAsia="宋体" w:cs="Times New Roman"/>
                <w:b w:val="0"/>
                <w:bCs w:val="0"/>
                <w:strike w:val="0"/>
                <w:dstrike w:val="0"/>
                <w:color w:val="auto"/>
                <w:kern w:val="2"/>
                <w:sz w:val="24"/>
                <w:szCs w:val="24"/>
                <w:highlight w:val="none"/>
                <w:lang w:val="en-US" w:eastAsia="zh-CN" w:bidi="ar-SA"/>
              </w:rPr>
              <w:t>若污染物数i大于1，则最大地面浓度占标率P</w:t>
            </w:r>
            <w:r>
              <w:rPr>
                <w:rFonts w:hint="default" w:ascii="Times New Roman" w:hAnsi="Times New Roman" w:eastAsia="宋体" w:cs="Times New Roman"/>
                <w:b w:val="0"/>
                <w:bCs w:val="0"/>
                <w:strike w:val="0"/>
                <w:dstrike w:val="0"/>
                <w:color w:val="auto"/>
                <w:kern w:val="2"/>
                <w:sz w:val="24"/>
                <w:szCs w:val="24"/>
                <w:highlight w:val="none"/>
                <w:vertAlign w:val="subscript"/>
                <w:lang w:val="en-US" w:eastAsia="zh-CN" w:bidi="ar-SA"/>
              </w:rPr>
              <w:t>i</w:t>
            </w:r>
            <w:r>
              <w:rPr>
                <w:rFonts w:hint="default" w:ascii="Times New Roman" w:hAnsi="Times New Roman" w:eastAsia="宋体" w:cs="Times New Roman"/>
                <w:b w:val="0"/>
                <w:bCs w:val="0"/>
                <w:strike w:val="0"/>
                <w:dstrike w:val="0"/>
                <w:color w:val="auto"/>
                <w:kern w:val="2"/>
                <w:sz w:val="24"/>
                <w:szCs w:val="24"/>
                <w:highlight w:val="none"/>
                <w:lang w:val="en-US" w:eastAsia="zh-CN" w:bidi="ar-SA"/>
              </w:rPr>
              <w:t>取其最大者（P</w:t>
            </w:r>
            <w:r>
              <w:rPr>
                <w:rFonts w:hint="default" w:ascii="Times New Roman" w:hAnsi="Times New Roman" w:eastAsia="宋体" w:cs="Times New Roman"/>
                <w:b w:val="0"/>
                <w:bCs w:val="0"/>
                <w:strike w:val="0"/>
                <w:dstrike w:val="0"/>
                <w:color w:val="auto"/>
                <w:kern w:val="2"/>
                <w:sz w:val="24"/>
                <w:szCs w:val="24"/>
                <w:highlight w:val="none"/>
                <w:vertAlign w:val="subscript"/>
                <w:lang w:val="en-US" w:eastAsia="zh-CN" w:bidi="ar-SA"/>
              </w:rPr>
              <w:t>max</w:t>
            </w:r>
            <w:r>
              <w:rPr>
                <w:rFonts w:hint="default" w:ascii="Times New Roman" w:hAnsi="Times New Roman" w:eastAsia="宋体" w:cs="Times New Roman"/>
                <w:b w:val="0"/>
                <w:bCs w:val="0"/>
                <w:strike w:val="0"/>
                <w:dstrike w:val="0"/>
                <w:color w:val="auto"/>
                <w:kern w:val="2"/>
                <w:sz w:val="24"/>
                <w:szCs w:val="24"/>
                <w:highlight w:val="none"/>
                <w:lang w:val="en-US" w:eastAsia="zh-CN" w:bidi="ar-SA"/>
              </w:rPr>
              <w:t>）及其相对应的D</w:t>
            </w:r>
            <w:r>
              <w:rPr>
                <w:rFonts w:hint="default" w:ascii="Times New Roman" w:hAnsi="Times New Roman" w:eastAsia="宋体" w:cs="Times New Roman"/>
                <w:b w:val="0"/>
                <w:bCs w:val="0"/>
                <w:strike w:val="0"/>
                <w:dstrike w:val="0"/>
                <w:color w:val="auto"/>
                <w:kern w:val="2"/>
                <w:sz w:val="24"/>
                <w:szCs w:val="24"/>
                <w:highlight w:val="none"/>
                <w:vertAlign w:val="subscript"/>
                <w:lang w:val="en-US" w:eastAsia="zh-CN" w:bidi="ar-SA"/>
              </w:rPr>
              <w:t>10%</w:t>
            </w:r>
            <w:r>
              <w:rPr>
                <w:rFonts w:hint="default" w:ascii="Times New Roman" w:hAnsi="Times New Roman" w:eastAsia="宋体" w:cs="Times New Roman"/>
                <w:b w:val="0"/>
                <w:bCs w:val="0"/>
                <w:strike w:val="0"/>
                <w:dstrike w:val="0"/>
                <w:color w:val="auto"/>
                <w:kern w:val="2"/>
                <w:sz w:val="24"/>
                <w:szCs w:val="24"/>
                <w:highlight w:val="none"/>
                <w:lang w:val="en-US" w:eastAsia="zh-CN" w:bidi="ar-SA"/>
              </w:rPr>
              <w:t>，并以此数值对照下表</w:t>
            </w:r>
            <w:r>
              <w:rPr>
                <w:rFonts w:hint="eastAsia" w:ascii="Times New Roman" w:hAnsi="Times New Roman" w:eastAsia="宋体" w:cs="Times New Roman"/>
                <w:b w:val="0"/>
                <w:bCs w:val="0"/>
                <w:strike w:val="0"/>
                <w:dstrike w:val="0"/>
                <w:color w:val="auto"/>
                <w:kern w:val="2"/>
                <w:sz w:val="24"/>
                <w:szCs w:val="24"/>
                <w:highlight w:val="none"/>
                <w:lang w:val="en-US" w:eastAsia="zh-CN" w:bidi="ar-SA"/>
              </w:rPr>
              <w:t>7-1</w:t>
            </w:r>
            <w:r>
              <w:rPr>
                <w:rFonts w:hint="default" w:ascii="Times New Roman" w:hAnsi="Times New Roman" w:eastAsia="宋体" w:cs="Times New Roman"/>
                <w:b w:val="0"/>
                <w:bCs w:val="0"/>
                <w:strike w:val="0"/>
                <w:dstrike w:val="0"/>
                <w:color w:val="auto"/>
                <w:kern w:val="2"/>
                <w:sz w:val="24"/>
                <w:szCs w:val="24"/>
                <w:highlight w:val="none"/>
                <w:lang w:val="en-US" w:eastAsia="zh-CN" w:bidi="ar-SA"/>
              </w:rPr>
              <w:t>确定建设项目大气环境影响评价工作的等级</w:t>
            </w:r>
            <w:r>
              <w:rPr>
                <w:rFonts w:hint="eastAsia" w:ascii="Times New Roman" w:hAnsi="Times New Roman" w:eastAsia="宋体" w:cs="Times New Roman"/>
                <w:b w:val="0"/>
                <w:bCs w:val="0"/>
                <w:strike w:val="0"/>
                <w:dstrike w:val="0"/>
                <w:color w:val="auto"/>
                <w:kern w:val="2"/>
                <w:sz w:val="24"/>
                <w:szCs w:val="24"/>
                <w:highlight w:val="none"/>
                <w:lang w:val="en-US" w:eastAsia="zh-CN" w:bidi="ar-SA"/>
              </w:rPr>
              <w:t>，同一个项目有多个污染源（两个及以上）时，则按各污染源分别确定评价等级，并取评价等级最高者作为项目的评价等级</w:t>
            </w:r>
            <w:r>
              <w:rPr>
                <w:rFonts w:hint="default" w:ascii="Times New Roman" w:hAnsi="Times New Roman" w:eastAsia="宋体" w:cs="Times New Roman"/>
                <w:b w:val="0"/>
                <w:bCs w:val="0"/>
                <w:strike w:val="0"/>
                <w:dstrike w:val="0"/>
                <w:color w:val="auto"/>
                <w:kern w:val="2"/>
                <w:sz w:val="24"/>
                <w:szCs w:val="24"/>
                <w:highlight w:val="none"/>
                <w:lang w:val="en-US" w:eastAsia="zh-CN" w:bidi="ar-SA"/>
              </w:rPr>
              <w:t>。</w:t>
            </w:r>
          </w:p>
          <w:p w14:paraId="3296614F">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60" w:lineRule="auto"/>
              <w:ind w:left="0" w:right="0" w:firstLine="480" w:firstLineChars="200"/>
              <w:textAlignment w:val="auto"/>
              <w:rPr>
                <w:rFonts w:hint="default" w:ascii="Times New Roman" w:hAnsi="Times New Roman" w:eastAsia="宋体" w:cs="Times New Roman"/>
                <w:b w:val="0"/>
                <w:bCs w:val="0"/>
                <w:strike w:val="0"/>
                <w:dstrike w:val="0"/>
                <w:color w:val="auto"/>
                <w:kern w:val="2"/>
                <w:sz w:val="24"/>
                <w:szCs w:val="24"/>
                <w:highlight w:val="none"/>
                <w:lang w:val="en-US" w:eastAsia="zh-CN" w:bidi="ar-SA"/>
              </w:rPr>
            </w:pPr>
            <w:r>
              <w:rPr>
                <w:rFonts w:hint="eastAsia" w:ascii="Times New Roman" w:hAnsi="Times New Roman" w:eastAsia="宋体" w:cs="Times New Roman"/>
                <w:b w:val="0"/>
                <w:bCs w:val="0"/>
                <w:strike w:val="0"/>
                <w:dstrike w:val="0"/>
                <w:color w:val="auto"/>
                <w:kern w:val="2"/>
                <w:sz w:val="24"/>
                <w:szCs w:val="24"/>
                <w:highlight w:val="none"/>
                <w:lang w:val="en-US" w:eastAsia="zh-CN" w:bidi="ar-SA"/>
              </w:rPr>
              <w:t>大气环境影响评价工作等级划分判据如下所示：</w:t>
            </w:r>
          </w:p>
          <w:p w14:paraId="6025A9A8">
            <w:pPr>
              <w:keepNext w:val="0"/>
              <w:keepLines w:val="0"/>
              <w:suppressLineNumbers w:val="0"/>
              <w:adjustRightInd w:val="0"/>
              <w:snapToGrid w:val="0"/>
              <w:spacing w:before="0" w:beforeAutospacing="0" w:after="0" w:afterAutospacing="0" w:line="360" w:lineRule="auto"/>
              <w:ind w:left="0" w:right="0"/>
              <w:jc w:val="center"/>
              <w:rPr>
                <w:rFonts w:hint="default" w:ascii="Times New Roman" w:hAnsi="Times New Roman" w:eastAsia="宋体" w:cs="Times New Roman"/>
                <w:color w:val="auto"/>
                <w:sz w:val="24"/>
                <w:highlight w:val="none"/>
                <w:lang w:val="en-US" w:eastAsia="zh-CN"/>
              </w:rPr>
            </w:pPr>
            <w:r>
              <w:rPr>
                <w:rFonts w:hint="default" w:ascii="Times New Roman" w:hAnsi="Times New Roman" w:eastAsia="宋体" w:cs="Times New Roman"/>
                <w:b/>
                <w:color w:val="auto"/>
                <w:sz w:val="24"/>
                <w:highlight w:val="none"/>
              </w:rPr>
              <w:t>表</w:t>
            </w:r>
            <w:r>
              <w:rPr>
                <w:rFonts w:hint="eastAsia" w:ascii="Times New Roman" w:hAnsi="Times New Roman" w:eastAsia="宋体" w:cs="Times New Roman"/>
                <w:b/>
                <w:color w:val="auto"/>
                <w:sz w:val="24"/>
                <w:highlight w:val="none"/>
                <w:lang w:val="en-US" w:eastAsia="zh-CN"/>
              </w:rPr>
              <w:t>7-1</w:t>
            </w:r>
            <w:r>
              <w:rPr>
                <w:rFonts w:hint="default" w:ascii="Times New Roman" w:hAnsi="Times New Roman" w:eastAsia="宋体" w:cs="Times New Roman"/>
                <w:b/>
                <w:color w:val="auto"/>
                <w:sz w:val="24"/>
                <w:highlight w:val="none"/>
              </w:rPr>
              <w:t xml:space="preserve">  </w:t>
            </w:r>
            <w:r>
              <w:rPr>
                <w:rFonts w:hint="eastAsia" w:ascii="Times New Roman" w:hAnsi="Times New Roman" w:eastAsia="宋体" w:cs="Times New Roman"/>
                <w:b/>
                <w:color w:val="auto"/>
                <w:sz w:val="24"/>
                <w:highlight w:val="none"/>
                <w:lang w:val="en-US" w:eastAsia="zh-CN"/>
              </w:rPr>
              <w:t>大气环境影响评价等级判别表</w:t>
            </w:r>
          </w:p>
          <w:tbl>
            <w:tblPr>
              <w:tblStyle w:val="32"/>
              <w:tblW w:w="4999" w:type="pct"/>
              <w:jc w:val="cente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
            <w:tblGrid>
              <w:gridCol w:w="3582"/>
              <w:gridCol w:w="4602"/>
            </w:tblGrid>
            <w:tr w14:paraId="46F25DB8">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340" w:hRule="atLeast"/>
                <w:jc w:val="center"/>
              </w:trPr>
              <w:tc>
                <w:tcPr>
                  <w:tcW w:w="2188" w:type="pct"/>
                  <w:noWrap w:val="0"/>
                  <w:vAlign w:val="center"/>
                </w:tcPr>
                <w:p w14:paraId="536217A3">
                  <w:pPr>
                    <w:keepNext w:val="0"/>
                    <w:keepLines w:val="0"/>
                    <w:suppressLineNumbers w:val="0"/>
                    <w:bidi w:val="0"/>
                    <w:spacing w:before="0" w:beforeAutospacing="0" w:after="0" w:afterAutospacing="0"/>
                    <w:ind w:left="0" w:right="0"/>
                    <w:jc w:val="center"/>
                    <w:rPr>
                      <w:rFonts w:hint="default"/>
                      <w:color w:val="auto"/>
                      <w:highlight w:val="none"/>
                    </w:rPr>
                  </w:pPr>
                  <w:r>
                    <w:rPr>
                      <w:rFonts w:hint="eastAsia"/>
                      <w:color w:val="auto"/>
                      <w:highlight w:val="none"/>
                    </w:rPr>
                    <w:t>评价工作等级</w:t>
                  </w:r>
                </w:p>
              </w:tc>
              <w:tc>
                <w:tcPr>
                  <w:tcW w:w="2811" w:type="pct"/>
                  <w:noWrap w:val="0"/>
                  <w:vAlign w:val="center"/>
                </w:tcPr>
                <w:p w14:paraId="04EE49B7">
                  <w:pPr>
                    <w:keepNext w:val="0"/>
                    <w:keepLines w:val="0"/>
                    <w:suppressLineNumbers w:val="0"/>
                    <w:bidi w:val="0"/>
                    <w:spacing w:before="0" w:beforeAutospacing="0" w:after="0" w:afterAutospacing="0"/>
                    <w:ind w:left="0" w:right="0"/>
                    <w:jc w:val="center"/>
                    <w:rPr>
                      <w:rFonts w:hint="default"/>
                      <w:color w:val="auto"/>
                      <w:highlight w:val="none"/>
                    </w:rPr>
                  </w:pPr>
                  <w:r>
                    <w:rPr>
                      <w:rFonts w:hint="eastAsia"/>
                      <w:color w:val="auto"/>
                      <w:highlight w:val="none"/>
                    </w:rPr>
                    <w:t>评价工作分级判据</w:t>
                  </w:r>
                </w:p>
              </w:tc>
            </w:tr>
            <w:tr w14:paraId="76F0A997">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340" w:hRule="atLeast"/>
                <w:jc w:val="center"/>
              </w:trPr>
              <w:tc>
                <w:tcPr>
                  <w:tcW w:w="2188" w:type="pct"/>
                  <w:noWrap w:val="0"/>
                  <w:vAlign w:val="center"/>
                </w:tcPr>
                <w:p w14:paraId="151C04CD">
                  <w:pPr>
                    <w:keepNext w:val="0"/>
                    <w:keepLines w:val="0"/>
                    <w:suppressLineNumbers w:val="0"/>
                    <w:bidi w:val="0"/>
                    <w:spacing w:before="0" w:beforeAutospacing="0" w:after="0" w:afterAutospacing="0"/>
                    <w:ind w:left="0" w:right="0"/>
                    <w:jc w:val="center"/>
                    <w:rPr>
                      <w:rFonts w:hint="default"/>
                      <w:color w:val="auto"/>
                      <w:highlight w:val="none"/>
                    </w:rPr>
                  </w:pPr>
                  <w:r>
                    <w:rPr>
                      <w:rFonts w:hint="eastAsia"/>
                      <w:color w:val="auto"/>
                      <w:highlight w:val="none"/>
                    </w:rPr>
                    <w:t>一级</w:t>
                  </w:r>
                </w:p>
              </w:tc>
              <w:tc>
                <w:tcPr>
                  <w:tcW w:w="2811" w:type="pct"/>
                  <w:noWrap w:val="0"/>
                  <w:vAlign w:val="center"/>
                </w:tcPr>
                <w:p w14:paraId="632F9598">
                  <w:pPr>
                    <w:keepNext w:val="0"/>
                    <w:keepLines w:val="0"/>
                    <w:suppressLineNumbers w:val="0"/>
                    <w:bidi w:val="0"/>
                    <w:spacing w:before="0" w:beforeAutospacing="0" w:after="0" w:afterAutospacing="0"/>
                    <w:ind w:left="0" w:right="0"/>
                    <w:jc w:val="center"/>
                    <w:rPr>
                      <w:rFonts w:hint="default"/>
                      <w:color w:val="auto"/>
                      <w:highlight w:val="none"/>
                    </w:rPr>
                  </w:pPr>
                  <w:r>
                    <w:rPr>
                      <w:rFonts w:hint="default"/>
                      <w:color w:val="auto"/>
                      <w:highlight w:val="none"/>
                    </w:rPr>
                    <w:t>P</w:t>
                  </w:r>
                  <w:r>
                    <w:rPr>
                      <w:rFonts w:hint="default"/>
                      <w:color w:val="auto"/>
                      <w:highlight w:val="none"/>
                      <w:vertAlign w:val="subscript"/>
                    </w:rPr>
                    <w:t>max</w:t>
                  </w:r>
                  <w:r>
                    <w:rPr>
                      <w:rFonts w:hint="eastAsia"/>
                      <w:color w:val="auto"/>
                      <w:highlight w:val="none"/>
                    </w:rPr>
                    <w:t>≥</w:t>
                  </w:r>
                  <w:r>
                    <w:rPr>
                      <w:rFonts w:hint="eastAsia"/>
                      <w:color w:val="auto"/>
                      <w:highlight w:val="none"/>
                      <w:lang w:val="en-US" w:eastAsia="zh-CN"/>
                    </w:rPr>
                    <w:t>1</w:t>
                  </w:r>
                  <w:r>
                    <w:rPr>
                      <w:rFonts w:hint="default"/>
                      <w:color w:val="auto"/>
                      <w:highlight w:val="none"/>
                    </w:rPr>
                    <w:t>0%</w:t>
                  </w:r>
                </w:p>
              </w:tc>
            </w:tr>
            <w:tr w14:paraId="774FED4F">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340" w:hRule="atLeast"/>
                <w:jc w:val="center"/>
              </w:trPr>
              <w:tc>
                <w:tcPr>
                  <w:tcW w:w="2188" w:type="pct"/>
                  <w:noWrap w:val="0"/>
                  <w:vAlign w:val="center"/>
                </w:tcPr>
                <w:p w14:paraId="34AE54D4">
                  <w:pPr>
                    <w:keepNext w:val="0"/>
                    <w:keepLines w:val="0"/>
                    <w:suppressLineNumbers w:val="0"/>
                    <w:bidi w:val="0"/>
                    <w:spacing w:before="0" w:beforeAutospacing="0" w:after="0" w:afterAutospacing="0"/>
                    <w:ind w:left="0" w:right="0"/>
                    <w:jc w:val="center"/>
                    <w:rPr>
                      <w:rFonts w:hint="default"/>
                      <w:color w:val="auto"/>
                      <w:highlight w:val="none"/>
                    </w:rPr>
                  </w:pPr>
                  <w:r>
                    <w:rPr>
                      <w:rFonts w:hint="eastAsia"/>
                      <w:color w:val="auto"/>
                      <w:highlight w:val="none"/>
                    </w:rPr>
                    <w:t>二级</w:t>
                  </w:r>
                </w:p>
              </w:tc>
              <w:tc>
                <w:tcPr>
                  <w:tcW w:w="2811" w:type="pct"/>
                  <w:noWrap w:val="0"/>
                  <w:vAlign w:val="center"/>
                </w:tcPr>
                <w:p w14:paraId="58ADE9FF">
                  <w:pPr>
                    <w:keepNext w:val="0"/>
                    <w:keepLines w:val="0"/>
                    <w:suppressLineNumbers w:val="0"/>
                    <w:bidi w:val="0"/>
                    <w:spacing w:before="0" w:beforeAutospacing="0" w:after="0" w:afterAutospacing="0"/>
                    <w:ind w:left="0" w:right="0"/>
                    <w:jc w:val="center"/>
                    <w:rPr>
                      <w:rFonts w:hint="default"/>
                      <w:color w:val="auto"/>
                      <w:highlight w:val="none"/>
                    </w:rPr>
                  </w:pPr>
                  <w:r>
                    <w:rPr>
                      <w:rFonts w:hint="eastAsia"/>
                      <w:color w:val="auto"/>
                      <w:highlight w:val="none"/>
                      <w:lang w:val="en-US" w:eastAsia="zh-CN"/>
                    </w:rPr>
                    <w:t>1</w:t>
                  </w:r>
                  <w:r>
                    <w:rPr>
                      <w:rFonts w:hint="default"/>
                      <w:color w:val="auto"/>
                      <w:highlight w:val="none"/>
                    </w:rPr>
                    <w:t>%</w:t>
                  </w:r>
                  <w:r>
                    <w:rPr>
                      <w:rFonts w:hint="eastAsia"/>
                      <w:color w:val="auto"/>
                      <w:highlight w:val="none"/>
                      <w:lang w:eastAsia="zh-CN"/>
                    </w:rPr>
                    <w:t>≤</w:t>
                  </w:r>
                  <w:r>
                    <w:rPr>
                      <w:rFonts w:hint="default"/>
                      <w:color w:val="auto"/>
                      <w:highlight w:val="none"/>
                    </w:rPr>
                    <w:t>P</w:t>
                  </w:r>
                  <w:r>
                    <w:rPr>
                      <w:rFonts w:hint="default"/>
                      <w:color w:val="auto"/>
                      <w:highlight w:val="none"/>
                      <w:vertAlign w:val="subscript"/>
                    </w:rPr>
                    <w:t>max</w:t>
                  </w:r>
                  <w:r>
                    <w:rPr>
                      <w:rFonts w:hint="eastAsia"/>
                      <w:color w:val="auto"/>
                      <w:highlight w:val="none"/>
                      <w:lang w:eastAsia="zh-CN"/>
                    </w:rPr>
                    <w:t>＜</w:t>
                  </w:r>
                  <w:r>
                    <w:rPr>
                      <w:rFonts w:hint="eastAsia"/>
                      <w:color w:val="auto"/>
                      <w:highlight w:val="none"/>
                      <w:lang w:val="en-US" w:eastAsia="zh-CN"/>
                    </w:rPr>
                    <w:t>1</w:t>
                  </w:r>
                  <w:r>
                    <w:rPr>
                      <w:rFonts w:hint="default"/>
                      <w:color w:val="auto"/>
                      <w:highlight w:val="none"/>
                    </w:rPr>
                    <w:t>0%</w:t>
                  </w:r>
                </w:p>
              </w:tc>
            </w:tr>
            <w:tr w14:paraId="288F52AD">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340" w:hRule="atLeast"/>
                <w:jc w:val="center"/>
              </w:trPr>
              <w:tc>
                <w:tcPr>
                  <w:tcW w:w="2188" w:type="pct"/>
                  <w:noWrap w:val="0"/>
                  <w:vAlign w:val="center"/>
                </w:tcPr>
                <w:p w14:paraId="00231AB1">
                  <w:pPr>
                    <w:keepNext w:val="0"/>
                    <w:keepLines w:val="0"/>
                    <w:suppressLineNumbers w:val="0"/>
                    <w:bidi w:val="0"/>
                    <w:spacing w:before="0" w:beforeAutospacing="0" w:after="0" w:afterAutospacing="0"/>
                    <w:ind w:left="0" w:right="0"/>
                    <w:jc w:val="center"/>
                    <w:rPr>
                      <w:rFonts w:hint="default"/>
                      <w:color w:val="auto"/>
                      <w:highlight w:val="none"/>
                    </w:rPr>
                  </w:pPr>
                  <w:r>
                    <w:rPr>
                      <w:rFonts w:hint="eastAsia"/>
                      <w:color w:val="auto"/>
                      <w:highlight w:val="none"/>
                    </w:rPr>
                    <w:t>三级</w:t>
                  </w:r>
                </w:p>
              </w:tc>
              <w:tc>
                <w:tcPr>
                  <w:tcW w:w="2811" w:type="pct"/>
                  <w:noWrap w:val="0"/>
                  <w:vAlign w:val="center"/>
                </w:tcPr>
                <w:p w14:paraId="4ABCF77C">
                  <w:pPr>
                    <w:keepNext w:val="0"/>
                    <w:keepLines w:val="0"/>
                    <w:suppressLineNumbers w:val="0"/>
                    <w:bidi w:val="0"/>
                    <w:spacing w:before="0" w:beforeAutospacing="0" w:after="0" w:afterAutospacing="0"/>
                    <w:ind w:left="0" w:right="0"/>
                    <w:jc w:val="center"/>
                    <w:rPr>
                      <w:rFonts w:hint="default"/>
                      <w:color w:val="auto"/>
                      <w:highlight w:val="none"/>
                    </w:rPr>
                  </w:pPr>
                  <w:r>
                    <w:rPr>
                      <w:rFonts w:hint="default"/>
                      <w:color w:val="auto"/>
                      <w:highlight w:val="none"/>
                    </w:rPr>
                    <w:t>P</w:t>
                  </w:r>
                  <w:r>
                    <w:rPr>
                      <w:rFonts w:hint="default"/>
                      <w:color w:val="auto"/>
                      <w:highlight w:val="none"/>
                      <w:vertAlign w:val="subscript"/>
                    </w:rPr>
                    <w:t>max</w:t>
                  </w:r>
                  <w:r>
                    <w:rPr>
                      <w:rFonts w:hint="eastAsia"/>
                      <w:color w:val="auto"/>
                      <w:highlight w:val="none"/>
                      <w:lang w:eastAsia="zh-CN"/>
                    </w:rPr>
                    <w:t>＜</w:t>
                  </w:r>
                  <w:r>
                    <w:rPr>
                      <w:rFonts w:hint="eastAsia"/>
                      <w:color w:val="auto"/>
                      <w:highlight w:val="none"/>
                      <w:lang w:val="en-US" w:eastAsia="zh-CN"/>
                    </w:rPr>
                    <w:t>1</w:t>
                  </w:r>
                  <w:r>
                    <w:rPr>
                      <w:rFonts w:hint="default"/>
                      <w:color w:val="auto"/>
                      <w:highlight w:val="none"/>
                    </w:rPr>
                    <w:t>%</w:t>
                  </w:r>
                </w:p>
              </w:tc>
            </w:tr>
          </w:tbl>
          <w:p w14:paraId="3BF098B9">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60" w:lineRule="auto"/>
              <w:ind w:left="0" w:right="0" w:firstLine="480" w:firstLineChars="200"/>
              <w:textAlignment w:val="auto"/>
              <w:rPr>
                <w:rFonts w:hint="eastAsia" w:ascii="Times New Roman" w:hAnsi="Times New Roman" w:eastAsia="宋体" w:cs="Times New Roman"/>
                <w:b w:val="0"/>
                <w:bCs w:val="0"/>
                <w:strike w:val="0"/>
                <w:dstrike w:val="0"/>
                <w:color w:val="auto"/>
                <w:kern w:val="2"/>
                <w:sz w:val="24"/>
                <w:szCs w:val="24"/>
                <w:highlight w:val="none"/>
                <w:lang w:val="en-US" w:eastAsia="zh-CN" w:bidi="ar-SA"/>
              </w:rPr>
            </w:pPr>
            <w:r>
              <w:rPr>
                <w:rFonts w:hint="eastAsia" w:ascii="Times New Roman" w:hAnsi="Times New Roman" w:eastAsia="宋体" w:cs="Times New Roman"/>
                <w:b w:val="0"/>
                <w:bCs w:val="0"/>
                <w:strike w:val="0"/>
                <w:dstrike w:val="0"/>
                <w:color w:val="auto"/>
                <w:kern w:val="2"/>
                <w:sz w:val="24"/>
                <w:szCs w:val="24"/>
                <w:highlight w:val="none"/>
                <w:lang w:val="en-US" w:eastAsia="zh-CN" w:bidi="ar-SA"/>
              </w:rPr>
              <w:t>根据项目特点，除定性分析外，本环评选取氨、硫化氢、甲醛、氯、氯化氢、硫酸、非甲烷总烃作为评价因子。项目评价因子和评价标准详见表7-2。</w:t>
            </w:r>
          </w:p>
          <w:p w14:paraId="086048DF">
            <w:pPr>
              <w:keepNext w:val="0"/>
              <w:keepLines w:val="0"/>
              <w:suppressLineNumbers w:val="0"/>
              <w:adjustRightInd w:val="0"/>
              <w:snapToGrid w:val="0"/>
              <w:spacing w:before="0" w:beforeAutospacing="0" w:after="0" w:afterAutospacing="0" w:line="360" w:lineRule="auto"/>
              <w:ind w:left="0" w:right="0"/>
              <w:jc w:val="center"/>
              <w:rPr>
                <w:rFonts w:hint="eastAsia"/>
                <w:b/>
                <w:color w:val="auto"/>
                <w:kern w:val="0"/>
                <w:sz w:val="24"/>
                <w:highlight w:val="none"/>
              </w:rPr>
            </w:pPr>
            <w:r>
              <w:rPr>
                <w:rFonts w:hint="default" w:ascii="Times New Roman" w:hAnsi="Times New Roman" w:eastAsia="宋体" w:cs="Times New Roman"/>
                <w:b/>
                <w:color w:val="auto"/>
                <w:sz w:val="24"/>
                <w:highlight w:val="none"/>
              </w:rPr>
              <w:t>表</w:t>
            </w:r>
            <w:r>
              <w:rPr>
                <w:rFonts w:hint="eastAsia" w:ascii="Times New Roman" w:hAnsi="Times New Roman" w:eastAsia="宋体" w:cs="Times New Roman"/>
                <w:b/>
                <w:color w:val="auto"/>
                <w:sz w:val="24"/>
                <w:highlight w:val="none"/>
                <w:lang w:val="en-US" w:eastAsia="zh-CN"/>
              </w:rPr>
              <w:t>7-2  评价因子和评价标准表</w:t>
            </w:r>
          </w:p>
          <w:tbl>
            <w:tblPr>
              <w:tblStyle w:val="32"/>
              <w:tblW w:w="8205"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611"/>
              <w:gridCol w:w="1561"/>
              <w:gridCol w:w="1689"/>
              <w:gridCol w:w="3344"/>
            </w:tblGrid>
            <w:tr w14:paraId="30AD9A8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611" w:type="dxa"/>
                  <w:noWrap w:val="0"/>
                  <w:vAlign w:val="center"/>
                </w:tcPr>
                <w:p w14:paraId="7BA12957">
                  <w:pPr>
                    <w:keepNext w:val="0"/>
                    <w:keepLines w:val="0"/>
                    <w:widowControl/>
                    <w:suppressLineNumbers w:val="0"/>
                    <w:spacing w:before="0" w:beforeAutospacing="0" w:after="0" w:afterAutospacing="0"/>
                    <w:ind w:left="0" w:right="0"/>
                    <w:jc w:val="center"/>
                    <w:rPr>
                      <w:rFonts w:hint="eastAsia"/>
                      <w:sz w:val="21"/>
                      <w:szCs w:val="21"/>
                      <w:highlight w:val="none"/>
                    </w:rPr>
                  </w:pPr>
                  <w:r>
                    <w:rPr>
                      <w:rFonts w:hint="eastAsia" w:ascii="宋体" w:hAnsi="宋体" w:cs="宋体"/>
                      <w:color w:val="000000"/>
                      <w:kern w:val="0"/>
                      <w:sz w:val="21"/>
                      <w:szCs w:val="21"/>
                      <w:highlight w:val="none"/>
                      <w:lang w:bidi="ar"/>
                    </w:rPr>
                    <w:t>评价因子</w:t>
                  </w:r>
                </w:p>
              </w:tc>
              <w:tc>
                <w:tcPr>
                  <w:tcW w:w="1561" w:type="dxa"/>
                  <w:noWrap w:val="0"/>
                  <w:vAlign w:val="center"/>
                </w:tcPr>
                <w:p w14:paraId="7357C0A0">
                  <w:pPr>
                    <w:keepNext w:val="0"/>
                    <w:keepLines w:val="0"/>
                    <w:widowControl/>
                    <w:suppressLineNumbers w:val="0"/>
                    <w:spacing w:before="0" w:beforeAutospacing="0" w:after="0" w:afterAutospacing="0"/>
                    <w:ind w:left="0" w:right="0"/>
                    <w:jc w:val="center"/>
                    <w:rPr>
                      <w:rFonts w:hint="eastAsia"/>
                      <w:sz w:val="21"/>
                      <w:szCs w:val="21"/>
                      <w:highlight w:val="none"/>
                    </w:rPr>
                  </w:pPr>
                  <w:r>
                    <w:rPr>
                      <w:rFonts w:hint="eastAsia" w:ascii="宋体" w:hAnsi="宋体" w:cs="宋体"/>
                      <w:color w:val="000000"/>
                      <w:kern w:val="0"/>
                      <w:sz w:val="21"/>
                      <w:szCs w:val="21"/>
                      <w:highlight w:val="none"/>
                      <w:lang w:bidi="ar"/>
                    </w:rPr>
                    <w:t>平均时段</w:t>
                  </w:r>
                </w:p>
              </w:tc>
              <w:tc>
                <w:tcPr>
                  <w:tcW w:w="1689" w:type="dxa"/>
                  <w:noWrap w:val="0"/>
                  <w:vAlign w:val="center"/>
                </w:tcPr>
                <w:p w14:paraId="4B7E2F49">
                  <w:pPr>
                    <w:keepNext w:val="0"/>
                    <w:keepLines w:val="0"/>
                    <w:widowControl/>
                    <w:suppressLineNumbers w:val="0"/>
                    <w:spacing w:before="0" w:beforeAutospacing="0" w:after="0" w:afterAutospacing="0"/>
                    <w:ind w:left="0" w:right="0"/>
                    <w:jc w:val="center"/>
                    <w:rPr>
                      <w:rFonts w:hint="eastAsia"/>
                      <w:sz w:val="21"/>
                      <w:szCs w:val="21"/>
                      <w:highlight w:val="none"/>
                    </w:rPr>
                  </w:pPr>
                  <w:r>
                    <w:rPr>
                      <w:rFonts w:hint="eastAsia" w:ascii="宋体" w:hAnsi="宋体" w:cs="宋体"/>
                      <w:color w:val="000000"/>
                      <w:kern w:val="0"/>
                      <w:sz w:val="21"/>
                      <w:szCs w:val="21"/>
                      <w:highlight w:val="none"/>
                      <w:lang w:bidi="ar"/>
                    </w:rPr>
                    <w:t>标准值（</w:t>
                  </w:r>
                  <w:r>
                    <w:rPr>
                      <w:rFonts w:hint="default"/>
                      <w:color w:val="000000"/>
                      <w:kern w:val="0"/>
                      <w:sz w:val="21"/>
                      <w:szCs w:val="21"/>
                      <w:highlight w:val="none"/>
                      <w:lang w:bidi="ar"/>
                    </w:rPr>
                    <w:t>μg/m</w:t>
                  </w:r>
                  <w:r>
                    <w:rPr>
                      <w:rFonts w:hint="eastAsia"/>
                      <w:color w:val="000000"/>
                      <w:kern w:val="0"/>
                      <w:sz w:val="21"/>
                      <w:szCs w:val="21"/>
                      <w:highlight w:val="none"/>
                      <w:vertAlign w:val="superscript"/>
                      <w:lang w:bidi="ar"/>
                    </w:rPr>
                    <w:t>3</w:t>
                  </w:r>
                  <w:r>
                    <w:rPr>
                      <w:rFonts w:hint="eastAsia" w:ascii="宋体" w:hAnsi="宋体" w:cs="宋体"/>
                      <w:color w:val="000000"/>
                      <w:kern w:val="0"/>
                      <w:sz w:val="21"/>
                      <w:szCs w:val="21"/>
                      <w:highlight w:val="none"/>
                      <w:lang w:bidi="ar"/>
                    </w:rPr>
                    <w:t>）</w:t>
                  </w:r>
                </w:p>
              </w:tc>
              <w:tc>
                <w:tcPr>
                  <w:tcW w:w="3344" w:type="dxa"/>
                  <w:noWrap w:val="0"/>
                  <w:vAlign w:val="center"/>
                </w:tcPr>
                <w:p w14:paraId="130BD90B">
                  <w:pPr>
                    <w:keepNext w:val="0"/>
                    <w:keepLines w:val="0"/>
                    <w:widowControl/>
                    <w:suppressLineNumbers w:val="0"/>
                    <w:spacing w:before="0" w:beforeAutospacing="0" w:after="0" w:afterAutospacing="0"/>
                    <w:ind w:left="0" w:right="0"/>
                    <w:jc w:val="center"/>
                    <w:rPr>
                      <w:rFonts w:hint="eastAsia"/>
                      <w:sz w:val="21"/>
                      <w:szCs w:val="21"/>
                      <w:highlight w:val="none"/>
                    </w:rPr>
                  </w:pPr>
                  <w:r>
                    <w:rPr>
                      <w:rFonts w:hint="eastAsia" w:ascii="宋体" w:hAnsi="宋体" w:cs="宋体"/>
                      <w:color w:val="000000"/>
                      <w:kern w:val="0"/>
                      <w:sz w:val="21"/>
                      <w:szCs w:val="21"/>
                      <w:highlight w:val="none"/>
                      <w:lang w:bidi="ar"/>
                    </w:rPr>
                    <w:t>标准来源</w:t>
                  </w:r>
                </w:p>
              </w:tc>
            </w:tr>
            <w:tr w14:paraId="1D37791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611" w:type="dxa"/>
                  <w:noWrap w:val="0"/>
                  <w:vAlign w:val="center"/>
                </w:tcPr>
                <w:p w14:paraId="3B08C013">
                  <w:pPr>
                    <w:keepNext w:val="0"/>
                    <w:keepLines w:val="0"/>
                    <w:widowControl/>
                    <w:suppressLineNumbers w:val="0"/>
                    <w:spacing w:before="0" w:beforeAutospacing="0" w:after="0" w:afterAutospacing="0"/>
                    <w:ind w:left="0" w:right="0"/>
                    <w:jc w:val="center"/>
                    <w:rPr>
                      <w:rFonts w:hint="eastAsia"/>
                      <w:sz w:val="21"/>
                      <w:szCs w:val="21"/>
                      <w:highlight w:val="none"/>
                    </w:rPr>
                  </w:pPr>
                  <w:r>
                    <w:rPr>
                      <w:rFonts w:hint="eastAsia" w:ascii="宋体" w:hAnsi="宋体" w:cs="宋体"/>
                      <w:color w:val="000000"/>
                      <w:kern w:val="0"/>
                      <w:sz w:val="21"/>
                      <w:szCs w:val="21"/>
                      <w:highlight w:val="none"/>
                      <w:lang w:bidi="ar"/>
                    </w:rPr>
                    <w:t>氨</w:t>
                  </w:r>
                </w:p>
              </w:tc>
              <w:tc>
                <w:tcPr>
                  <w:tcW w:w="1561" w:type="dxa"/>
                  <w:noWrap w:val="0"/>
                  <w:vAlign w:val="center"/>
                </w:tcPr>
                <w:p w14:paraId="268CA69D">
                  <w:pPr>
                    <w:keepNext w:val="0"/>
                    <w:keepLines w:val="0"/>
                    <w:widowControl/>
                    <w:suppressLineNumbers w:val="0"/>
                    <w:spacing w:before="0" w:beforeAutospacing="0" w:after="0" w:afterAutospacing="0"/>
                    <w:ind w:left="0" w:right="0"/>
                    <w:jc w:val="center"/>
                    <w:rPr>
                      <w:rFonts w:hint="eastAsia"/>
                      <w:sz w:val="21"/>
                      <w:szCs w:val="21"/>
                      <w:highlight w:val="none"/>
                    </w:rPr>
                  </w:pPr>
                  <w:r>
                    <w:rPr>
                      <w:rFonts w:hint="default"/>
                      <w:color w:val="000000"/>
                      <w:kern w:val="0"/>
                      <w:sz w:val="21"/>
                      <w:szCs w:val="21"/>
                      <w:highlight w:val="none"/>
                      <w:lang w:bidi="ar"/>
                    </w:rPr>
                    <w:t>1</w:t>
                  </w:r>
                  <w:r>
                    <w:rPr>
                      <w:rFonts w:hint="eastAsia" w:ascii="宋体" w:hAnsi="宋体" w:cs="宋体"/>
                      <w:color w:val="000000"/>
                      <w:kern w:val="0"/>
                      <w:sz w:val="21"/>
                      <w:szCs w:val="21"/>
                      <w:highlight w:val="none"/>
                      <w:lang w:bidi="ar"/>
                    </w:rPr>
                    <w:t>小时平均</w:t>
                  </w:r>
                </w:p>
              </w:tc>
              <w:tc>
                <w:tcPr>
                  <w:tcW w:w="1689" w:type="dxa"/>
                  <w:noWrap w:val="0"/>
                  <w:vAlign w:val="center"/>
                </w:tcPr>
                <w:p w14:paraId="2B6A5EC0">
                  <w:pPr>
                    <w:keepNext w:val="0"/>
                    <w:keepLines w:val="0"/>
                    <w:suppressLineNumbers w:val="0"/>
                    <w:spacing w:before="0" w:beforeAutospacing="0" w:after="0" w:afterAutospacing="0"/>
                    <w:ind w:left="0" w:right="0"/>
                    <w:jc w:val="center"/>
                    <w:rPr>
                      <w:rFonts w:hint="default"/>
                      <w:sz w:val="21"/>
                      <w:szCs w:val="21"/>
                      <w:highlight w:val="none"/>
                    </w:rPr>
                  </w:pPr>
                  <w:r>
                    <w:rPr>
                      <w:rFonts w:hint="eastAsia"/>
                      <w:sz w:val="21"/>
                      <w:szCs w:val="21"/>
                      <w:highlight w:val="none"/>
                    </w:rPr>
                    <w:t>200</w:t>
                  </w:r>
                </w:p>
              </w:tc>
              <w:tc>
                <w:tcPr>
                  <w:tcW w:w="3344" w:type="dxa"/>
                  <w:vMerge w:val="restart"/>
                  <w:noWrap w:val="0"/>
                  <w:vAlign w:val="center"/>
                </w:tcPr>
                <w:p w14:paraId="54D68D8F">
                  <w:pPr>
                    <w:keepNext w:val="0"/>
                    <w:keepLines w:val="0"/>
                    <w:widowControl/>
                    <w:suppressLineNumbers w:val="0"/>
                    <w:spacing w:before="0" w:beforeAutospacing="0" w:after="0" w:afterAutospacing="0"/>
                    <w:ind w:left="0" w:right="0"/>
                    <w:jc w:val="center"/>
                    <w:rPr>
                      <w:rFonts w:hint="eastAsia"/>
                      <w:sz w:val="21"/>
                      <w:szCs w:val="21"/>
                      <w:highlight w:val="none"/>
                    </w:rPr>
                  </w:pPr>
                  <w:r>
                    <w:rPr>
                      <w:rFonts w:hint="eastAsia" w:ascii="宋体" w:hAnsi="宋体" w:cs="宋体"/>
                      <w:color w:val="000000"/>
                      <w:kern w:val="0"/>
                      <w:sz w:val="21"/>
                      <w:szCs w:val="21"/>
                      <w:highlight w:val="none"/>
                      <w:lang w:bidi="ar"/>
                    </w:rPr>
                    <w:t>《环境影响评价技术导则大气环境》（</w:t>
                  </w:r>
                  <w:r>
                    <w:rPr>
                      <w:rFonts w:hint="default"/>
                      <w:color w:val="000000"/>
                      <w:kern w:val="0"/>
                      <w:sz w:val="21"/>
                      <w:szCs w:val="21"/>
                      <w:highlight w:val="none"/>
                      <w:lang w:bidi="ar"/>
                    </w:rPr>
                    <w:t>HJ2.2</w:t>
                  </w:r>
                  <w:r>
                    <w:rPr>
                      <w:rFonts w:hint="eastAsia" w:ascii="宋体" w:hAnsi="宋体" w:cs="宋体"/>
                      <w:color w:val="000000"/>
                      <w:kern w:val="0"/>
                      <w:sz w:val="21"/>
                      <w:szCs w:val="21"/>
                      <w:highlight w:val="none"/>
                      <w:lang w:bidi="ar"/>
                    </w:rPr>
                    <w:t>－</w:t>
                  </w:r>
                  <w:r>
                    <w:rPr>
                      <w:rFonts w:hint="default"/>
                      <w:color w:val="000000"/>
                      <w:kern w:val="0"/>
                      <w:sz w:val="21"/>
                      <w:szCs w:val="21"/>
                      <w:highlight w:val="none"/>
                      <w:lang w:bidi="ar"/>
                    </w:rPr>
                    <w:t>2018</w:t>
                  </w:r>
                  <w:r>
                    <w:rPr>
                      <w:rFonts w:hint="eastAsia" w:ascii="宋体" w:hAnsi="宋体" w:cs="宋体"/>
                      <w:color w:val="000000"/>
                      <w:kern w:val="0"/>
                      <w:sz w:val="21"/>
                      <w:szCs w:val="21"/>
                      <w:highlight w:val="none"/>
                      <w:lang w:bidi="ar"/>
                    </w:rPr>
                    <w:t>）附录</w:t>
                  </w:r>
                  <w:r>
                    <w:rPr>
                      <w:rFonts w:hint="default"/>
                      <w:color w:val="000000"/>
                      <w:kern w:val="0"/>
                      <w:sz w:val="21"/>
                      <w:szCs w:val="21"/>
                      <w:highlight w:val="none"/>
                      <w:lang w:bidi="ar"/>
                    </w:rPr>
                    <w:t>D</w:t>
                  </w:r>
                </w:p>
              </w:tc>
            </w:tr>
            <w:tr w14:paraId="6561274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611" w:type="dxa"/>
                  <w:noWrap w:val="0"/>
                  <w:vAlign w:val="center"/>
                </w:tcPr>
                <w:p w14:paraId="2D13FDEA">
                  <w:pPr>
                    <w:keepNext w:val="0"/>
                    <w:keepLines w:val="0"/>
                    <w:widowControl/>
                    <w:suppressLineNumbers w:val="0"/>
                    <w:spacing w:before="0" w:beforeAutospacing="0" w:after="0" w:afterAutospacing="0"/>
                    <w:ind w:left="0" w:right="0"/>
                    <w:jc w:val="center"/>
                    <w:rPr>
                      <w:rFonts w:hint="eastAsia"/>
                      <w:sz w:val="21"/>
                      <w:szCs w:val="21"/>
                      <w:highlight w:val="none"/>
                    </w:rPr>
                  </w:pPr>
                  <w:r>
                    <w:rPr>
                      <w:rFonts w:hint="eastAsia" w:ascii="宋体" w:hAnsi="宋体" w:cs="宋体"/>
                      <w:color w:val="000000"/>
                      <w:kern w:val="0"/>
                      <w:sz w:val="21"/>
                      <w:szCs w:val="21"/>
                      <w:highlight w:val="none"/>
                      <w:lang w:bidi="ar"/>
                    </w:rPr>
                    <w:t>硫化氢</w:t>
                  </w:r>
                </w:p>
              </w:tc>
              <w:tc>
                <w:tcPr>
                  <w:tcW w:w="1561" w:type="dxa"/>
                  <w:noWrap w:val="0"/>
                  <w:vAlign w:val="center"/>
                </w:tcPr>
                <w:p w14:paraId="61292BA2">
                  <w:pPr>
                    <w:keepNext w:val="0"/>
                    <w:keepLines w:val="0"/>
                    <w:widowControl/>
                    <w:suppressLineNumbers w:val="0"/>
                    <w:spacing w:before="0" w:beforeAutospacing="0" w:after="0" w:afterAutospacing="0"/>
                    <w:ind w:left="0" w:right="0"/>
                    <w:jc w:val="center"/>
                    <w:rPr>
                      <w:rFonts w:hint="eastAsia"/>
                      <w:sz w:val="21"/>
                      <w:szCs w:val="21"/>
                      <w:highlight w:val="none"/>
                    </w:rPr>
                  </w:pPr>
                  <w:r>
                    <w:rPr>
                      <w:rFonts w:hint="default"/>
                      <w:color w:val="000000"/>
                      <w:kern w:val="0"/>
                      <w:sz w:val="21"/>
                      <w:szCs w:val="21"/>
                      <w:highlight w:val="none"/>
                      <w:lang w:bidi="ar"/>
                    </w:rPr>
                    <w:t>1</w:t>
                  </w:r>
                  <w:r>
                    <w:rPr>
                      <w:rFonts w:hint="eastAsia" w:ascii="宋体" w:hAnsi="宋体" w:cs="宋体"/>
                      <w:color w:val="000000"/>
                      <w:kern w:val="0"/>
                      <w:sz w:val="21"/>
                      <w:szCs w:val="21"/>
                      <w:highlight w:val="none"/>
                      <w:lang w:bidi="ar"/>
                    </w:rPr>
                    <w:t>小时平均</w:t>
                  </w:r>
                </w:p>
              </w:tc>
              <w:tc>
                <w:tcPr>
                  <w:tcW w:w="1689" w:type="dxa"/>
                  <w:noWrap w:val="0"/>
                  <w:vAlign w:val="center"/>
                </w:tcPr>
                <w:p w14:paraId="4A5B872C">
                  <w:pPr>
                    <w:keepNext w:val="0"/>
                    <w:keepLines w:val="0"/>
                    <w:suppressLineNumbers w:val="0"/>
                    <w:spacing w:before="0" w:beforeAutospacing="0" w:after="0" w:afterAutospacing="0"/>
                    <w:ind w:left="0" w:right="0"/>
                    <w:jc w:val="center"/>
                    <w:rPr>
                      <w:rFonts w:hint="default"/>
                      <w:sz w:val="21"/>
                      <w:szCs w:val="21"/>
                      <w:highlight w:val="none"/>
                    </w:rPr>
                  </w:pPr>
                  <w:r>
                    <w:rPr>
                      <w:rFonts w:hint="eastAsia"/>
                      <w:sz w:val="21"/>
                      <w:szCs w:val="21"/>
                      <w:highlight w:val="none"/>
                    </w:rPr>
                    <w:t>10</w:t>
                  </w:r>
                </w:p>
              </w:tc>
              <w:tc>
                <w:tcPr>
                  <w:tcW w:w="3344" w:type="dxa"/>
                  <w:vMerge w:val="continue"/>
                  <w:noWrap w:val="0"/>
                  <w:vAlign w:val="center"/>
                </w:tcPr>
                <w:p w14:paraId="0A969EC2">
                  <w:pPr>
                    <w:keepNext w:val="0"/>
                    <w:keepLines w:val="0"/>
                    <w:suppressLineNumbers w:val="0"/>
                    <w:spacing w:before="0" w:beforeAutospacing="0" w:after="0" w:afterAutospacing="0"/>
                    <w:ind w:left="0" w:right="0"/>
                    <w:jc w:val="center"/>
                    <w:rPr>
                      <w:rFonts w:hint="eastAsia"/>
                      <w:sz w:val="21"/>
                      <w:szCs w:val="21"/>
                      <w:highlight w:val="none"/>
                    </w:rPr>
                  </w:pPr>
                </w:p>
              </w:tc>
            </w:tr>
            <w:tr w14:paraId="5279733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611" w:type="dxa"/>
                  <w:noWrap w:val="0"/>
                  <w:vAlign w:val="center"/>
                </w:tcPr>
                <w:p w14:paraId="1E01CD34">
                  <w:pPr>
                    <w:keepNext w:val="0"/>
                    <w:keepLines w:val="0"/>
                    <w:widowControl/>
                    <w:suppressLineNumbers w:val="0"/>
                    <w:spacing w:before="0" w:beforeAutospacing="0" w:after="0" w:afterAutospacing="0"/>
                    <w:ind w:left="0" w:right="0"/>
                    <w:jc w:val="center"/>
                    <w:rPr>
                      <w:rFonts w:hint="eastAsia" w:ascii="宋体" w:hAnsi="宋体" w:eastAsia="宋体" w:cs="宋体"/>
                      <w:color w:val="000000"/>
                      <w:kern w:val="0"/>
                      <w:sz w:val="21"/>
                      <w:szCs w:val="21"/>
                      <w:highlight w:val="none"/>
                      <w:lang w:val="en-US" w:eastAsia="zh-CN" w:bidi="ar"/>
                    </w:rPr>
                  </w:pPr>
                  <w:r>
                    <w:rPr>
                      <w:rFonts w:hint="eastAsia" w:ascii="宋体" w:hAnsi="宋体" w:cs="宋体"/>
                      <w:color w:val="000000"/>
                      <w:kern w:val="0"/>
                      <w:sz w:val="21"/>
                      <w:szCs w:val="21"/>
                      <w:highlight w:val="none"/>
                      <w:lang w:val="en-US" w:eastAsia="zh-CN" w:bidi="ar"/>
                    </w:rPr>
                    <w:t>甲醛</w:t>
                  </w:r>
                </w:p>
              </w:tc>
              <w:tc>
                <w:tcPr>
                  <w:tcW w:w="1561" w:type="dxa"/>
                  <w:noWrap w:val="0"/>
                  <w:vAlign w:val="center"/>
                </w:tcPr>
                <w:p w14:paraId="6B2639C7">
                  <w:pPr>
                    <w:keepNext w:val="0"/>
                    <w:keepLines w:val="0"/>
                    <w:widowControl/>
                    <w:suppressLineNumbers w:val="0"/>
                    <w:spacing w:before="0" w:beforeAutospacing="0" w:after="0" w:afterAutospacing="0"/>
                    <w:ind w:left="0" w:right="0"/>
                    <w:jc w:val="center"/>
                    <w:rPr>
                      <w:rFonts w:hint="default"/>
                      <w:color w:val="000000"/>
                      <w:kern w:val="0"/>
                      <w:sz w:val="21"/>
                      <w:szCs w:val="21"/>
                      <w:highlight w:val="none"/>
                      <w:lang w:bidi="ar"/>
                    </w:rPr>
                  </w:pPr>
                  <w:r>
                    <w:rPr>
                      <w:rFonts w:hint="default"/>
                      <w:color w:val="000000"/>
                      <w:kern w:val="0"/>
                      <w:sz w:val="21"/>
                      <w:szCs w:val="21"/>
                      <w:highlight w:val="none"/>
                      <w:lang w:bidi="ar"/>
                    </w:rPr>
                    <w:t>1</w:t>
                  </w:r>
                  <w:r>
                    <w:rPr>
                      <w:rFonts w:hint="eastAsia" w:ascii="宋体" w:hAnsi="宋体" w:cs="宋体"/>
                      <w:color w:val="000000"/>
                      <w:kern w:val="0"/>
                      <w:sz w:val="21"/>
                      <w:szCs w:val="21"/>
                      <w:highlight w:val="none"/>
                      <w:lang w:bidi="ar"/>
                    </w:rPr>
                    <w:t>小时平均</w:t>
                  </w:r>
                </w:p>
              </w:tc>
              <w:tc>
                <w:tcPr>
                  <w:tcW w:w="1689" w:type="dxa"/>
                  <w:noWrap w:val="0"/>
                  <w:vAlign w:val="center"/>
                </w:tcPr>
                <w:p w14:paraId="29F823C0">
                  <w:pPr>
                    <w:keepNext w:val="0"/>
                    <w:keepLines w:val="0"/>
                    <w:suppressLineNumbers w:val="0"/>
                    <w:spacing w:before="0" w:beforeAutospacing="0" w:after="0" w:afterAutospacing="0"/>
                    <w:ind w:left="0" w:right="0"/>
                    <w:jc w:val="center"/>
                    <w:rPr>
                      <w:rFonts w:hint="default" w:eastAsia="宋体"/>
                      <w:sz w:val="21"/>
                      <w:szCs w:val="21"/>
                      <w:highlight w:val="none"/>
                      <w:lang w:val="en-US" w:eastAsia="zh-CN"/>
                    </w:rPr>
                  </w:pPr>
                  <w:r>
                    <w:rPr>
                      <w:rFonts w:hint="eastAsia"/>
                      <w:sz w:val="21"/>
                      <w:szCs w:val="21"/>
                      <w:highlight w:val="none"/>
                      <w:lang w:val="en-US" w:eastAsia="zh-CN"/>
                    </w:rPr>
                    <w:t>50</w:t>
                  </w:r>
                </w:p>
              </w:tc>
              <w:tc>
                <w:tcPr>
                  <w:tcW w:w="3344" w:type="dxa"/>
                  <w:vMerge w:val="continue"/>
                  <w:noWrap w:val="0"/>
                  <w:vAlign w:val="center"/>
                </w:tcPr>
                <w:p w14:paraId="69CEEFC8">
                  <w:pPr>
                    <w:keepNext w:val="0"/>
                    <w:keepLines w:val="0"/>
                    <w:suppressLineNumbers w:val="0"/>
                    <w:spacing w:before="0" w:beforeAutospacing="0" w:after="0" w:afterAutospacing="0"/>
                    <w:ind w:left="0" w:right="0"/>
                    <w:jc w:val="center"/>
                    <w:rPr>
                      <w:rFonts w:hint="eastAsia"/>
                      <w:sz w:val="21"/>
                      <w:szCs w:val="21"/>
                      <w:highlight w:val="none"/>
                    </w:rPr>
                  </w:pPr>
                </w:p>
              </w:tc>
            </w:tr>
            <w:tr w14:paraId="22B79D5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54" w:hRule="atLeast"/>
              </w:trPr>
              <w:tc>
                <w:tcPr>
                  <w:tcW w:w="1611" w:type="dxa"/>
                  <w:vMerge w:val="restart"/>
                  <w:noWrap w:val="0"/>
                  <w:vAlign w:val="center"/>
                </w:tcPr>
                <w:p w14:paraId="0A9F887D">
                  <w:pPr>
                    <w:keepNext w:val="0"/>
                    <w:keepLines w:val="0"/>
                    <w:widowControl/>
                    <w:suppressLineNumbers w:val="0"/>
                    <w:spacing w:before="0" w:beforeAutospacing="0" w:after="0" w:afterAutospacing="0"/>
                    <w:ind w:left="0" w:right="0"/>
                    <w:jc w:val="center"/>
                    <w:rPr>
                      <w:rFonts w:hint="default" w:ascii="宋体" w:hAnsi="宋体" w:cs="宋体"/>
                      <w:color w:val="000000"/>
                      <w:kern w:val="0"/>
                      <w:sz w:val="21"/>
                      <w:szCs w:val="21"/>
                      <w:highlight w:val="none"/>
                      <w:lang w:bidi="ar"/>
                    </w:rPr>
                  </w:pPr>
                  <w:r>
                    <w:rPr>
                      <w:rFonts w:hint="eastAsia" w:ascii="宋体" w:hAnsi="宋体" w:cs="宋体"/>
                      <w:color w:val="000000"/>
                      <w:kern w:val="0"/>
                      <w:sz w:val="21"/>
                      <w:szCs w:val="21"/>
                      <w:highlight w:val="none"/>
                      <w:lang w:bidi="ar"/>
                    </w:rPr>
                    <w:t>氯</w:t>
                  </w:r>
                </w:p>
              </w:tc>
              <w:tc>
                <w:tcPr>
                  <w:tcW w:w="1561" w:type="dxa"/>
                  <w:noWrap w:val="0"/>
                  <w:vAlign w:val="center"/>
                </w:tcPr>
                <w:p w14:paraId="2A6851DB">
                  <w:pPr>
                    <w:keepNext w:val="0"/>
                    <w:keepLines w:val="0"/>
                    <w:widowControl/>
                    <w:suppressLineNumbers w:val="0"/>
                    <w:spacing w:before="0" w:beforeAutospacing="0" w:after="0" w:afterAutospacing="0"/>
                    <w:ind w:left="0" w:right="0"/>
                    <w:jc w:val="center"/>
                    <w:rPr>
                      <w:rFonts w:hint="default"/>
                      <w:color w:val="000000"/>
                      <w:kern w:val="0"/>
                      <w:sz w:val="21"/>
                      <w:szCs w:val="21"/>
                      <w:highlight w:val="none"/>
                      <w:lang w:bidi="ar"/>
                    </w:rPr>
                  </w:pPr>
                  <w:r>
                    <w:rPr>
                      <w:rFonts w:hint="default"/>
                      <w:color w:val="000000"/>
                      <w:kern w:val="0"/>
                      <w:sz w:val="21"/>
                      <w:szCs w:val="21"/>
                      <w:highlight w:val="none"/>
                      <w:lang w:bidi="ar"/>
                    </w:rPr>
                    <w:t>1</w:t>
                  </w:r>
                  <w:r>
                    <w:rPr>
                      <w:rFonts w:hint="eastAsia" w:ascii="宋体" w:hAnsi="宋体" w:cs="宋体"/>
                      <w:color w:val="000000"/>
                      <w:kern w:val="0"/>
                      <w:sz w:val="21"/>
                      <w:szCs w:val="21"/>
                      <w:highlight w:val="none"/>
                      <w:lang w:bidi="ar"/>
                    </w:rPr>
                    <w:t>小时平均</w:t>
                  </w:r>
                </w:p>
              </w:tc>
              <w:tc>
                <w:tcPr>
                  <w:tcW w:w="1689" w:type="dxa"/>
                  <w:noWrap w:val="0"/>
                  <w:vAlign w:val="center"/>
                </w:tcPr>
                <w:p w14:paraId="5A8EADFF">
                  <w:pPr>
                    <w:keepNext w:val="0"/>
                    <w:keepLines w:val="0"/>
                    <w:suppressLineNumbers w:val="0"/>
                    <w:spacing w:before="0" w:beforeAutospacing="0" w:after="0" w:afterAutospacing="0"/>
                    <w:ind w:left="0" w:right="0"/>
                    <w:jc w:val="center"/>
                    <w:rPr>
                      <w:rFonts w:hint="default"/>
                      <w:sz w:val="21"/>
                      <w:szCs w:val="21"/>
                      <w:highlight w:val="none"/>
                    </w:rPr>
                  </w:pPr>
                  <w:r>
                    <w:rPr>
                      <w:rFonts w:hint="eastAsia"/>
                      <w:sz w:val="21"/>
                      <w:szCs w:val="21"/>
                      <w:highlight w:val="none"/>
                    </w:rPr>
                    <w:t>100</w:t>
                  </w:r>
                </w:p>
              </w:tc>
              <w:tc>
                <w:tcPr>
                  <w:tcW w:w="3344" w:type="dxa"/>
                  <w:vMerge w:val="continue"/>
                  <w:noWrap w:val="0"/>
                  <w:vAlign w:val="center"/>
                </w:tcPr>
                <w:p w14:paraId="40CAAE3B">
                  <w:pPr>
                    <w:keepNext w:val="0"/>
                    <w:keepLines w:val="0"/>
                    <w:suppressLineNumbers w:val="0"/>
                    <w:spacing w:before="0" w:beforeAutospacing="0" w:after="0" w:afterAutospacing="0"/>
                    <w:ind w:left="0" w:right="0"/>
                    <w:jc w:val="center"/>
                    <w:rPr>
                      <w:rFonts w:hint="eastAsia"/>
                      <w:sz w:val="21"/>
                      <w:szCs w:val="21"/>
                      <w:highlight w:val="none"/>
                    </w:rPr>
                  </w:pPr>
                </w:p>
              </w:tc>
            </w:tr>
            <w:tr w14:paraId="6FC1102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611" w:type="dxa"/>
                  <w:vMerge w:val="continue"/>
                  <w:noWrap w:val="0"/>
                  <w:vAlign w:val="center"/>
                </w:tcPr>
                <w:p w14:paraId="3AE8A026">
                  <w:pPr>
                    <w:keepNext w:val="0"/>
                    <w:keepLines w:val="0"/>
                    <w:widowControl/>
                    <w:suppressLineNumbers w:val="0"/>
                    <w:spacing w:before="0" w:beforeAutospacing="0" w:after="0" w:afterAutospacing="0"/>
                    <w:ind w:left="0" w:right="0"/>
                    <w:jc w:val="center"/>
                    <w:rPr>
                      <w:rFonts w:hint="eastAsia" w:ascii="宋体" w:hAnsi="宋体" w:cs="宋体"/>
                      <w:color w:val="000000"/>
                      <w:kern w:val="0"/>
                      <w:sz w:val="21"/>
                      <w:szCs w:val="21"/>
                      <w:highlight w:val="none"/>
                      <w:lang w:bidi="ar"/>
                    </w:rPr>
                  </w:pPr>
                </w:p>
              </w:tc>
              <w:tc>
                <w:tcPr>
                  <w:tcW w:w="1561" w:type="dxa"/>
                  <w:noWrap w:val="0"/>
                  <w:vAlign w:val="center"/>
                </w:tcPr>
                <w:p w14:paraId="1140FB7A">
                  <w:pPr>
                    <w:keepNext w:val="0"/>
                    <w:keepLines w:val="0"/>
                    <w:widowControl/>
                    <w:suppressLineNumbers w:val="0"/>
                    <w:spacing w:before="0" w:beforeAutospacing="0" w:after="0" w:afterAutospacing="0"/>
                    <w:ind w:left="0" w:right="0"/>
                    <w:jc w:val="center"/>
                    <w:rPr>
                      <w:rFonts w:hint="default"/>
                      <w:color w:val="000000"/>
                      <w:kern w:val="0"/>
                      <w:sz w:val="21"/>
                      <w:szCs w:val="21"/>
                      <w:highlight w:val="none"/>
                      <w:lang w:bidi="ar"/>
                    </w:rPr>
                  </w:pPr>
                  <w:r>
                    <w:rPr>
                      <w:rFonts w:hint="eastAsia"/>
                      <w:color w:val="000000"/>
                      <w:kern w:val="0"/>
                      <w:sz w:val="21"/>
                      <w:szCs w:val="21"/>
                      <w:highlight w:val="none"/>
                      <w:lang w:bidi="ar"/>
                    </w:rPr>
                    <w:t>日平均</w:t>
                  </w:r>
                </w:p>
              </w:tc>
              <w:tc>
                <w:tcPr>
                  <w:tcW w:w="1689" w:type="dxa"/>
                  <w:noWrap w:val="0"/>
                  <w:vAlign w:val="center"/>
                </w:tcPr>
                <w:p w14:paraId="6883EFDA">
                  <w:pPr>
                    <w:keepNext w:val="0"/>
                    <w:keepLines w:val="0"/>
                    <w:suppressLineNumbers w:val="0"/>
                    <w:spacing w:before="0" w:beforeAutospacing="0" w:after="0" w:afterAutospacing="0"/>
                    <w:ind w:left="0" w:right="0"/>
                    <w:jc w:val="center"/>
                    <w:rPr>
                      <w:rFonts w:hint="default"/>
                      <w:sz w:val="21"/>
                      <w:szCs w:val="21"/>
                      <w:highlight w:val="none"/>
                    </w:rPr>
                  </w:pPr>
                  <w:r>
                    <w:rPr>
                      <w:rFonts w:hint="eastAsia"/>
                      <w:sz w:val="21"/>
                      <w:szCs w:val="21"/>
                      <w:highlight w:val="none"/>
                    </w:rPr>
                    <w:t>30</w:t>
                  </w:r>
                </w:p>
              </w:tc>
              <w:tc>
                <w:tcPr>
                  <w:tcW w:w="3344" w:type="dxa"/>
                  <w:vMerge w:val="continue"/>
                  <w:noWrap w:val="0"/>
                  <w:vAlign w:val="center"/>
                </w:tcPr>
                <w:p w14:paraId="3714E0F9">
                  <w:pPr>
                    <w:keepNext w:val="0"/>
                    <w:keepLines w:val="0"/>
                    <w:suppressLineNumbers w:val="0"/>
                    <w:spacing w:before="0" w:beforeAutospacing="0" w:after="0" w:afterAutospacing="0"/>
                    <w:ind w:left="0" w:right="0"/>
                    <w:jc w:val="center"/>
                    <w:rPr>
                      <w:rFonts w:hint="eastAsia"/>
                      <w:sz w:val="21"/>
                      <w:szCs w:val="21"/>
                      <w:highlight w:val="none"/>
                    </w:rPr>
                  </w:pPr>
                </w:p>
              </w:tc>
            </w:tr>
            <w:tr w14:paraId="7720E73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611" w:type="dxa"/>
                  <w:noWrap w:val="0"/>
                  <w:vAlign w:val="center"/>
                </w:tcPr>
                <w:p w14:paraId="59A13C83">
                  <w:pPr>
                    <w:keepNext w:val="0"/>
                    <w:keepLines w:val="0"/>
                    <w:widowControl/>
                    <w:suppressLineNumbers w:val="0"/>
                    <w:spacing w:before="0" w:beforeAutospacing="0" w:after="0" w:afterAutospacing="0"/>
                    <w:ind w:left="0" w:right="0"/>
                    <w:jc w:val="center"/>
                    <w:rPr>
                      <w:rFonts w:hint="eastAsia" w:ascii="宋体" w:hAnsi="宋体" w:eastAsia="宋体" w:cs="宋体"/>
                      <w:color w:val="000000"/>
                      <w:kern w:val="0"/>
                      <w:sz w:val="21"/>
                      <w:szCs w:val="21"/>
                      <w:highlight w:val="none"/>
                      <w:lang w:val="en-US" w:eastAsia="zh-CN" w:bidi="ar"/>
                    </w:rPr>
                  </w:pPr>
                  <w:r>
                    <w:rPr>
                      <w:rFonts w:hint="eastAsia" w:ascii="宋体" w:hAnsi="宋体" w:cs="宋体"/>
                      <w:color w:val="000000"/>
                      <w:kern w:val="0"/>
                      <w:sz w:val="21"/>
                      <w:szCs w:val="21"/>
                      <w:highlight w:val="none"/>
                      <w:lang w:val="en-US" w:eastAsia="zh-CN" w:bidi="ar"/>
                    </w:rPr>
                    <w:t>氯化氢</w:t>
                  </w:r>
                </w:p>
              </w:tc>
              <w:tc>
                <w:tcPr>
                  <w:tcW w:w="1561" w:type="dxa"/>
                  <w:noWrap w:val="0"/>
                  <w:vAlign w:val="center"/>
                </w:tcPr>
                <w:p w14:paraId="294F46E2">
                  <w:pPr>
                    <w:keepNext w:val="0"/>
                    <w:keepLines w:val="0"/>
                    <w:widowControl/>
                    <w:suppressLineNumbers w:val="0"/>
                    <w:spacing w:before="0" w:beforeAutospacing="0" w:after="0" w:afterAutospacing="0"/>
                    <w:ind w:left="0" w:right="0"/>
                    <w:jc w:val="center"/>
                    <w:rPr>
                      <w:rFonts w:hint="eastAsia"/>
                      <w:color w:val="000000"/>
                      <w:kern w:val="0"/>
                      <w:sz w:val="21"/>
                      <w:szCs w:val="21"/>
                      <w:highlight w:val="none"/>
                      <w:lang w:bidi="ar"/>
                    </w:rPr>
                  </w:pPr>
                  <w:r>
                    <w:rPr>
                      <w:rFonts w:hint="default"/>
                      <w:color w:val="000000"/>
                      <w:kern w:val="0"/>
                      <w:sz w:val="21"/>
                      <w:szCs w:val="21"/>
                      <w:highlight w:val="none"/>
                      <w:lang w:bidi="ar"/>
                    </w:rPr>
                    <w:t>1</w:t>
                  </w:r>
                  <w:r>
                    <w:rPr>
                      <w:rFonts w:hint="eastAsia" w:ascii="宋体" w:hAnsi="宋体" w:cs="宋体"/>
                      <w:color w:val="000000"/>
                      <w:kern w:val="0"/>
                      <w:sz w:val="21"/>
                      <w:szCs w:val="21"/>
                      <w:highlight w:val="none"/>
                      <w:lang w:bidi="ar"/>
                    </w:rPr>
                    <w:t>小时平均</w:t>
                  </w:r>
                </w:p>
              </w:tc>
              <w:tc>
                <w:tcPr>
                  <w:tcW w:w="1689" w:type="dxa"/>
                  <w:noWrap w:val="0"/>
                  <w:vAlign w:val="center"/>
                </w:tcPr>
                <w:p w14:paraId="405D5954">
                  <w:pPr>
                    <w:keepNext w:val="0"/>
                    <w:keepLines w:val="0"/>
                    <w:suppressLineNumbers w:val="0"/>
                    <w:spacing w:before="0" w:beforeAutospacing="0" w:after="0" w:afterAutospacing="0"/>
                    <w:ind w:left="0" w:right="0"/>
                    <w:jc w:val="center"/>
                    <w:rPr>
                      <w:rFonts w:hint="default" w:eastAsia="宋体"/>
                      <w:sz w:val="21"/>
                      <w:szCs w:val="21"/>
                      <w:highlight w:val="none"/>
                      <w:lang w:val="en-US" w:eastAsia="zh-CN"/>
                    </w:rPr>
                  </w:pPr>
                  <w:r>
                    <w:rPr>
                      <w:rFonts w:hint="eastAsia"/>
                      <w:sz w:val="21"/>
                      <w:szCs w:val="21"/>
                      <w:highlight w:val="none"/>
                      <w:lang w:val="en-US" w:eastAsia="zh-CN"/>
                    </w:rPr>
                    <w:t>50</w:t>
                  </w:r>
                </w:p>
              </w:tc>
              <w:tc>
                <w:tcPr>
                  <w:tcW w:w="3344" w:type="dxa"/>
                  <w:vMerge w:val="continue"/>
                  <w:noWrap w:val="0"/>
                  <w:vAlign w:val="center"/>
                </w:tcPr>
                <w:p w14:paraId="53793F90">
                  <w:pPr>
                    <w:keepNext w:val="0"/>
                    <w:keepLines w:val="0"/>
                    <w:suppressLineNumbers w:val="0"/>
                    <w:spacing w:before="0" w:beforeAutospacing="0" w:after="0" w:afterAutospacing="0"/>
                    <w:ind w:left="0" w:right="0"/>
                    <w:jc w:val="center"/>
                    <w:rPr>
                      <w:rFonts w:hint="eastAsia"/>
                      <w:sz w:val="21"/>
                      <w:szCs w:val="21"/>
                      <w:highlight w:val="none"/>
                    </w:rPr>
                  </w:pPr>
                </w:p>
              </w:tc>
            </w:tr>
            <w:tr w14:paraId="5CE034D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611" w:type="dxa"/>
                  <w:noWrap w:val="0"/>
                  <w:vAlign w:val="center"/>
                </w:tcPr>
                <w:p w14:paraId="127C0471">
                  <w:pPr>
                    <w:keepNext w:val="0"/>
                    <w:keepLines w:val="0"/>
                    <w:widowControl/>
                    <w:suppressLineNumbers w:val="0"/>
                    <w:spacing w:before="0" w:beforeAutospacing="0" w:after="0" w:afterAutospacing="0"/>
                    <w:ind w:left="0" w:right="0"/>
                    <w:jc w:val="center"/>
                    <w:rPr>
                      <w:rFonts w:hint="eastAsia" w:ascii="宋体" w:hAnsi="宋体" w:eastAsia="宋体" w:cs="宋体"/>
                      <w:color w:val="000000"/>
                      <w:kern w:val="0"/>
                      <w:sz w:val="21"/>
                      <w:szCs w:val="21"/>
                      <w:highlight w:val="none"/>
                      <w:lang w:val="en-US" w:eastAsia="zh-CN" w:bidi="ar"/>
                    </w:rPr>
                  </w:pPr>
                  <w:r>
                    <w:rPr>
                      <w:rFonts w:hint="eastAsia" w:ascii="宋体" w:hAnsi="宋体" w:cs="宋体"/>
                      <w:color w:val="000000"/>
                      <w:kern w:val="0"/>
                      <w:sz w:val="21"/>
                      <w:szCs w:val="21"/>
                      <w:highlight w:val="none"/>
                      <w:lang w:val="en-US" w:eastAsia="zh-CN" w:bidi="ar"/>
                    </w:rPr>
                    <w:t>硫酸</w:t>
                  </w:r>
                </w:p>
              </w:tc>
              <w:tc>
                <w:tcPr>
                  <w:tcW w:w="1561" w:type="dxa"/>
                  <w:noWrap w:val="0"/>
                  <w:vAlign w:val="center"/>
                </w:tcPr>
                <w:p w14:paraId="77085E5D">
                  <w:pPr>
                    <w:keepNext w:val="0"/>
                    <w:keepLines w:val="0"/>
                    <w:widowControl/>
                    <w:suppressLineNumbers w:val="0"/>
                    <w:spacing w:before="0" w:beforeAutospacing="0" w:after="0" w:afterAutospacing="0"/>
                    <w:ind w:left="0" w:right="0"/>
                    <w:jc w:val="center"/>
                    <w:rPr>
                      <w:rFonts w:hint="eastAsia"/>
                      <w:color w:val="000000"/>
                      <w:kern w:val="0"/>
                      <w:sz w:val="21"/>
                      <w:szCs w:val="21"/>
                      <w:highlight w:val="none"/>
                      <w:lang w:bidi="ar"/>
                    </w:rPr>
                  </w:pPr>
                  <w:r>
                    <w:rPr>
                      <w:rFonts w:hint="default"/>
                      <w:color w:val="000000"/>
                      <w:kern w:val="0"/>
                      <w:sz w:val="21"/>
                      <w:szCs w:val="21"/>
                      <w:highlight w:val="none"/>
                      <w:lang w:bidi="ar"/>
                    </w:rPr>
                    <w:t>1</w:t>
                  </w:r>
                  <w:r>
                    <w:rPr>
                      <w:rFonts w:hint="eastAsia" w:ascii="宋体" w:hAnsi="宋体" w:cs="宋体"/>
                      <w:color w:val="000000"/>
                      <w:kern w:val="0"/>
                      <w:sz w:val="21"/>
                      <w:szCs w:val="21"/>
                      <w:highlight w:val="none"/>
                      <w:lang w:bidi="ar"/>
                    </w:rPr>
                    <w:t>小时平均</w:t>
                  </w:r>
                </w:p>
              </w:tc>
              <w:tc>
                <w:tcPr>
                  <w:tcW w:w="1689" w:type="dxa"/>
                  <w:noWrap w:val="0"/>
                  <w:vAlign w:val="center"/>
                </w:tcPr>
                <w:p w14:paraId="5B032B55">
                  <w:pPr>
                    <w:keepNext w:val="0"/>
                    <w:keepLines w:val="0"/>
                    <w:suppressLineNumbers w:val="0"/>
                    <w:spacing w:before="0" w:beforeAutospacing="0" w:after="0" w:afterAutospacing="0"/>
                    <w:ind w:left="0" w:right="0"/>
                    <w:jc w:val="center"/>
                    <w:rPr>
                      <w:rFonts w:hint="default" w:eastAsia="宋体"/>
                      <w:sz w:val="21"/>
                      <w:szCs w:val="21"/>
                      <w:highlight w:val="none"/>
                      <w:lang w:val="en-US" w:eastAsia="zh-CN"/>
                    </w:rPr>
                  </w:pPr>
                  <w:r>
                    <w:rPr>
                      <w:rFonts w:hint="eastAsia"/>
                      <w:sz w:val="21"/>
                      <w:szCs w:val="21"/>
                      <w:highlight w:val="none"/>
                      <w:lang w:val="en-US" w:eastAsia="zh-CN"/>
                    </w:rPr>
                    <w:t>300</w:t>
                  </w:r>
                </w:p>
              </w:tc>
              <w:tc>
                <w:tcPr>
                  <w:tcW w:w="3344" w:type="dxa"/>
                  <w:vMerge w:val="continue"/>
                  <w:noWrap w:val="0"/>
                  <w:vAlign w:val="center"/>
                </w:tcPr>
                <w:p w14:paraId="7424B6DD">
                  <w:pPr>
                    <w:keepNext w:val="0"/>
                    <w:keepLines w:val="0"/>
                    <w:suppressLineNumbers w:val="0"/>
                    <w:spacing w:before="0" w:beforeAutospacing="0" w:after="0" w:afterAutospacing="0"/>
                    <w:ind w:left="0" w:right="0"/>
                    <w:jc w:val="center"/>
                    <w:rPr>
                      <w:rFonts w:hint="eastAsia"/>
                      <w:sz w:val="21"/>
                      <w:szCs w:val="21"/>
                      <w:highlight w:val="none"/>
                    </w:rPr>
                  </w:pPr>
                </w:p>
              </w:tc>
            </w:tr>
            <w:tr w14:paraId="032A314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3" w:hRule="atLeast"/>
              </w:trPr>
              <w:tc>
                <w:tcPr>
                  <w:tcW w:w="1611" w:type="dxa"/>
                  <w:vMerge w:val="restart"/>
                  <w:noWrap w:val="0"/>
                  <w:vAlign w:val="center"/>
                </w:tcPr>
                <w:p w14:paraId="7D2327DC">
                  <w:pPr>
                    <w:keepNext w:val="0"/>
                    <w:keepLines w:val="0"/>
                    <w:widowControl/>
                    <w:suppressLineNumbers w:val="0"/>
                    <w:spacing w:before="0" w:beforeAutospacing="0" w:after="0" w:afterAutospacing="0"/>
                    <w:ind w:left="0" w:right="0"/>
                    <w:jc w:val="center"/>
                    <w:rPr>
                      <w:rFonts w:hint="eastAsia"/>
                      <w:color w:val="000000"/>
                      <w:kern w:val="0"/>
                      <w:sz w:val="21"/>
                      <w:szCs w:val="21"/>
                      <w:highlight w:val="none"/>
                      <w:lang w:val="en-US" w:eastAsia="zh-CN" w:bidi="ar"/>
                    </w:rPr>
                  </w:pPr>
                  <w:r>
                    <w:rPr>
                      <w:rFonts w:hint="eastAsia"/>
                      <w:color w:val="000000"/>
                      <w:kern w:val="0"/>
                      <w:sz w:val="21"/>
                      <w:szCs w:val="21"/>
                      <w:highlight w:val="none"/>
                      <w:lang w:val="en-US" w:eastAsia="zh-CN" w:bidi="ar"/>
                    </w:rPr>
                    <w:t>颗粒物（粒径小于等于</w:t>
                  </w:r>
                  <w:r>
                    <w:rPr>
                      <w:rFonts w:hint="default"/>
                      <w:color w:val="000000"/>
                      <w:kern w:val="0"/>
                      <w:sz w:val="21"/>
                      <w:szCs w:val="21"/>
                      <w:highlight w:val="none"/>
                      <w:lang w:val="en-US" w:eastAsia="zh-CN" w:bidi="ar"/>
                    </w:rPr>
                    <w:t>10</w:t>
                  </w:r>
                  <w:r>
                    <w:rPr>
                      <w:rFonts w:hint="eastAsia"/>
                      <w:color w:val="000000"/>
                      <w:kern w:val="0"/>
                      <w:sz w:val="21"/>
                      <w:szCs w:val="21"/>
                      <w:highlight w:val="none"/>
                      <w:lang w:val="en-US" w:eastAsia="zh-CN" w:bidi="ar"/>
                    </w:rPr>
                    <w:t>μ</w:t>
                  </w:r>
                  <w:r>
                    <w:rPr>
                      <w:rFonts w:hint="default"/>
                      <w:color w:val="000000"/>
                      <w:kern w:val="0"/>
                      <w:sz w:val="21"/>
                      <w:szCs w:val="21"/>
                      <w:highlight w:val="none"/>
                      <w:lang w:val="en-US" w:eastAsia="zh-CN" w:bidi="ar"/>
                    </w:rPr>
                    <w:t>m</w:t>
                  </w:r>
                  <w:r>
                    <w:rPr>
                      <w:rFonts w:hint="eastAsia"/>
                      <w:color w:val="000000"/>
                      <w:kern w:val="0"/>
                      <w:sz w:val="21"/>
                      <w:szCs w:val="21"/>
                      <w:highlight w:val="none"/>
                      <w:lang w:val="en-US" w:eastAsia="zh-CN" w:bidi="ar"/>
                    </w:rPr>
                    <w:t>）</w:t>
                  </w:r>
                </w:p>
              </w:tc>
              <w:tc>
                <w:tcPr>
                  <w:tcW w:w="1561" w:type="dxa"/>
                  <w:noWrap w:val="0"/>
                  <w:vAlign w:val="center"/>
                </w:tcPr>
                <w:p w14:paraId="33306726">
                  <w:pPr>
                    <w:keepNext w:val="0"/>
                    <w:keepLines w:val="0"/>
                    <w:widowControl/>
                    <w:suppressLineNumbers w:val="0"/>
                    <w:spacing w:before="0" w:beforeAutospacing="0" w:after="0" w:afterAutospacing="0"/>
                    <w:ind w:left="0" w:right="0"/>
                    <w:jc w:val="center"/>
                    <w:rPr>
                      <w:rFonts w:hint="default"/>
                      <w:color w:val="000000"/>
                      <w:kern w:val="0"/>
                      <w:sz w:val="21"/>
                      <w:szCs w:val="21"/>
                      <w:highlight w:val="none"/>
                      <w:lang w:val="en-US" w:eastAsia="zh-CN" w:bidi="ar"/>
                    </w:rPr>
                  </w:pPr>
                  <w:r>
                    <w:rPr>
                      <w:rFonts w:hint="eastAsia"/>
                      <w:color w:val="000000"/>
                      <w:kern w:val="0"/>
                      <w:sz w:val="21"/>
                      <w:szCs w:val="21"/>
                      <w:highlight w:val="none"/>
                      <w:lang w:bidi="ar"/>
                    </w:rPr>
                    <w:t>日平均</w:t>
                  </w:r>
                </w:p>
              </w:tc>
              <w:tc>
                <w:tcPr>
                  <w:tcW w:w="1689" w:type="dxa"/>
                  <w:noWrap w:val="0"/>
                  <w:vAlign w:val="center"/>
                </w:tcPr>
                <w:p w14:paraId="73AF4636">
                  <w:pPr>
                    <w:keepNext w:val="0"/>
                    <w:keepLines w:val="0"/>
                    <w:suppressLineNumbers w:val="0"/>
                    <w:spacing w:before="0" w:beforeAutospacing="0" w:after="0" w:afterAutospacing="0"/>
                    <w:ind w:left="0" w:right="0"/>
                    <w:jc w:val="center"/>
                    <w:rPr>
                      <w:rFonts w:hint="default"/>
                      <w:sz w:val="21"/>
                      <w:szCs w:val="21"/>
                      <w:highlight w:val="none"/>
                      <w:lang w:val="en-US" w:eastAsia="zh-CN"/>
                    </w:rPr>
                  </w:pPr>
                  <w:r>
                    <w:rPr>
                      <w:rFonts w:hint="eastAsia"/>
                      <w:sz w:val="21"/>
                      <w:szCs w:val="21"/>
                      <w:highlight w:val="none"/>
                      <w:lang w:val="en-US" w:eastAsia="zh-CN"/>
                    </w:rPr>
                    <w:t>150</w:t>
                  </w:r>
                </w:p>
              </w:tc>
              <w:tc>
                <w:tcPr>
                  <w:tcW w:w="3344" w:type="dxa"/>
                  <w:vMerge w:val="restart"/>
                  <w:noWrap w:val="0"/>
                  <w:vAlign w:val="center"/>
                </w:tcPr>
                <w:p w14:paraId="32A1859F">
                  <w:pPr>
                    <w:keepNext w:val="0"/>
                    <w:keepLines w:val="0"/>
                    <w:suppressLineNumbers w:val="0"/>
                    <w:spacing w:before="0" w:beforeAutospacing="0" w:after="0" w:afterAutospacing="0"/>
                    <w:ind w:left="0" w:right="0"/>
                    <w:jc w:val="center"/>
                    <w:rPr>
                      <w:rFonts w:hint="eastAsia" w:eastAsia="宋体"/>
                      <w:sz w:val="21"/>
                      <w:szCs w:val="21"/>
                      <w:highlight w:val="none"/>
                      <w:lang w:eastAsia="zh-CN"/>
                    </w:rPr>
                  </w:pPr>
                  <w:r>
                    <w:rPr>
                      <w:rFonts w:hint="eastAsia"/>
                      <w:sz w:val="21"/>
                      <w:szCs w:val="21"/>
                      <w:highlight w:val="none"/>
                      <w:lang w:eastAsia="zh-CN"/>
                    </w:rPr>
                    <w:t>《</w:t>
                  </w:r>
                  <w:r>
                    <w:rPr>
                      <w:rFonts w:hint="eastAsia"/>
                      <w:sz w:val="21"/>
                      <w:szCs w:val="21"/>
                      <w:highlight w:val="none"/>
                      <w:lang w:val="en-US" w:eastAsia="zh-CN"/>
                    </w:rPr>
                    <w:t>环境空气质量标准</w:t>
                  </w:r>
                  <w:r>
                    <w:rPr>
                      <w:rFonts w:hint="eastAsia"/>
                      <w:sz w:val="21"/>
                      <w:szCs w:val="21"/>
                      <w:highlight w:val="none"/>
                      <w:lang w:eastAsia="zh-CN"/>
                    </w:rPr>
                    <w:t>》（</w:t>
                  </w:r>
                  <w:r>
                    <w:rPr>
                      <w:rFonts w:hint="eastAsia"/>
                      <w:sz w:val="21"/>
                      <w:szCs w:val="21"/>
                      <w:highlight w:val="none"/>
                      <w:lang w:val="en-US" w:eastAsia="zh-CN"/>
                    </w:rPr>
                    <w:t>GB3095-2012</w:t>
                  </w:r>
                  <w:r>
                    <w:rPr>
                      <w:rFonts w:hint="eastAsia"/>
                      <w:sz w:val="21"/>
                      <w:szCs w:val="21"/>
                      <w:highlight w:val="none"/>
                      <w:lang w:eastAsia="zh-CN"/>
                    </w:rPr>
                    <w:t>）</w:t>
                  </w:r>
                </w:p>
              </w:tc>
            </w:tr>
            <w:tr w14:paraId="1C23DE0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3" w:hRule="atLeast"/>
              </w:trPr>
              <w:tc>
                <w:tcPr>
                  <w:tcW w:w="1611" w:type="dxa"/>
                  <w:vMerge w:val="continue"/>
                  <w:noWrap w:val="0"/>
                  <w:vAlign w:val="center"/>
                </w:tcPr>
                <w:p w14:paraId="28CD04C2">
                  <w:pPr>
                    <w:keepNext w:val="0"/>
                    <w:keepLines w:val="0"/>
                    <w:suppressLineNumbers w:val="0"/>
                    <w:spacing w:before="0" w:beforeAutospacing="0" w:after="0" w:afterAutospacing="0"/>
                    <w:ind w:left="0" w:right="0"/>
                    <w:jc w:val="center"/>
                    <w:rPr>
                      <w:rFonts w:hint="default"/>
                      <w:highlight w:val="none"/>
                    </w:rPr>
                  </w:pPr>
                </w:p>
              </w:tc>
              <w:tc>
                <w:tcPr>
                  <w:tcW w:w="1561" w:type="dxa"/>
                  <w:noWrap w:val="0"/>
                  <w:vAlign w:val="center"/>
                </w:tcPr>
                <w:p w14:paraId="03007F14">
                  <w:pPr>
                    <w:keepNext w:val="0"/>
                    <w:keepLines w:val="0"/>
                    <w:suppressLineNumbers w:val="0"/>
                    <w:spacing w:before="0" w:beforeAutospacing="0" w:after="0" w:afterAutospacing="0"/>
                    <w:ind w:left="0" w:right="0"/>
                    <w:jc w:val="center"/>
                    <w:rPr>
                      <w:rFonts w:hint="eastAsia" w:eastAsia="宋体"/>
                      <w:color w:val="000000"/>
                      <w:kern w:val="0"/>
                      <w:sz w:val="21"/>
                      <w:szCs w:val="21"/>
                      <w:highlight w:val="none"/>
                      <w:lang w:val="en-US" w:eastAsia="zh-CN" w:bidi="ar"/>
                    </w:rPr>
                  </w:pPr>
                  <w:r>
                    <w:rPr>
                      <w:rFonts w:hint="eastAsia"/>
                      <w:color w:val="000000"/>
                      <w:kern w:val="0"/>
                      <w:sz w:val="21"/>
                      <w:szCs w:val="21"/>
                      <w:highlight w:val="none"/>
                      <w:lang w:val="en-US" w:eastAsia="zh-CN" w:bidi="ar"/>
                    </w:rPr>
                    <w:t>年平均</w:t>
                  </w:r>
                </w:p>
              </w:tc>
              <w:tc>
                <w:tcPr>
                  <w:tcW w:w="1689" w:type="dxa"/>
                  <w:noWrap w:val="0"/>
                  <w:vAlign w:val="center"/>
                </w:tcPr>
                <w:p w14:paraId="0D54CC2B">
                  <w:pPr>
                    <w:keepNext w:val="0"/>
                    <w:keepLines w:val="0"/>
                    <w:suppressLineNumbers w:val="0"/>
                    <w:spacing w:before="0" w:beforeAutospacing="0" w:after="0" w:afterAutospacing="0"/>
                    <w:ind w:left="0" w:right="0"/>
                    <w:jc w:val="center"/>
                    <w:rPr>
                      <w:rFonts w:hint="default" w:eastAsia="宋体"/>
                      <w:color w:val="000000"/>
                      <w:kern w:val="0"/>
                      <w:sz w:val="21"/>
                      <w:szCs w:val="21"/>
                      <w:highlight w:val="none"/>
                      <w:lang w:val="en-US" w:eastAsia="zh-CN" w:bidi="ar"/>
                    </w:rPr>
                  </w:pPr>
                  <w:r>
                    <w:rPr>
                      <w:rFonts w:hint="eastAsia"/>
                      <w:color w:val="000000"/>
                      <w:kern w:val="0"/>
                      <w:sz w:val="21"/>
                      <w:szCs w:val="21"/>
                      <w:highlight w:val="none"/>
                      <w:lang w:val="en-US" w:eastAsia="zh-CN" w:bidi="ar"/>
                    </w:rPr>
                    <w:t>70</w:t>
                  </w:r>
                </w:p>
              </w:tc>
              <w:tc>
                <w:tcPr>
                  <w:tcW w:w="3344" w:type="dxa"/>
                  <w:vMerge w:val="continue"/>
                  <w:noWrap w:val="0"/>
                  <w:vAlign w:val="center"/>
                </w:tcPr>
                <w:p w14:paraId="236C9F64">
                  <w:pPr>
                    <w:keepNext w:val="0"/>
                    <w:keepLines w:val="0"/>
                    <w:suppressLineNumbers w:val="0"/>
                    <w:spacing w:before="0" w:beforeAutospacing="0" w:after="0" w:afterAutospacing="0"/>
                    <w:ind w:left="0" w:right="0"/>
                    <w:jc w:val="center"/>
                    <w:rPr>
                      <w:rFonts w:hint="eastAsia"/>
                      <w:color w:val="000000"/>
                      <w:kern w:val="0"/>
                      <w:sz w:val="21"/>
                      <w:szCs w:val="21"/>
                      <w:highlight w:val="none"/>
                      <w:lang w:bidi="ar"/>
                    </w:rPr>
                  </w:pPr>
                </w:p>
              </w:tc>
            </w:tr>
            <w:tr w14:paraId="038C22F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611" w:type="dxa"/>
                  <w:noWrap w:val="0"/>
                  <w:vAlign w:val="center"/>
                </w:tcPr>
                <w:p w14:paraId="41E058B7">
                  <w:pPr>
                    <w:keepNext w:val="0"/>
                    <w:keepLines w:val="0"/>
                    <w:widowControl/>
                    <w:suppressLineNumbers w:val="0"/>
                    <w:spacing w:before="0" w:beforeAutospacing="0" w:after="0" w:afterAutospacing="0"/>
                    <w:ind w:left="0" w:right="0"/>
                    <w:jc w:val="center"/>
                    <w:rPr>
                      <w:rFonts w:hint="eastAsia" w:ascii="宋体" w:hAnsi="宋体" w:eastAsia="宋体" w:cs="宋体"/>
                      <w:color w:val="000000"/>
                      <w:kern w:val="0"/>
                      <w:sz w:val="21"/>
                      <w:szCs w:val="21"/>
                      <w:highlight w:val="none"/>
                      <w:lang w:val="en-US" w:eastAsia="zh-CN" w:bidi="ar"/>
                    </w:rPr>
                  </w:pPr>
                  <w:r>
                    <w:rPr>
                      <w:rFonts w:hint="eastAsia" w:ascii="宋体" w:hAnsi="宋体" w:cs="宋体"/>
                      <w:color w:val="000000"/>
                      <w:kern w:val="0"/>
                      <w:sz w:val="21"/>
                      <w:szCs w:val="21"/>
                      <w:highlight w:val="none"/>
                      <w:lang w:val="en-US" w:eastAsia="zh-CN" w:bidi="ar"/>
                    </w:rPr>
                    <w:t>非甲烷总烃</w:t>
                  </w:r>
                </w:p>
              </w:tc>
              <w:tc>
                <w:tcPr>
                  <w:tcW w:w="1561" w:type="dxa"/>
                  <w:noWrap w:val="0"/>
                  <w:vAlign w:val="center"/>
                </w:tcPr>
                <w:p w14:paraId="2429ED8F">
                  <w:pPr>
                    <w:keepNext w:val="0"/>
                    <w:keepLines w:val="0"/>
                    <w:widowControl/>
                    <w:suppressLineNumbers w:val="0"/>
                    <w:spacing w:before="0" w:beforeAutospacing="0" w:after="0" w:afterAutospacing="0"/>
                    <w:ind w:left="0" w:right="0"/>
                    <w:jc w:val="center"/>
                    <w:rPr>
                      <w:rFonts w:hint="eastAsia"/>
                      <w:color w:val="000000"/>
                      <w:kern w:val="0"/>
                      <w:sz w:val="21"/>
                      <w:szCs w:val="21"/>
                      <w:highlight w:val="none"/>
                      <w:lang w:bidi="ar"/>
                    </w:rPr>
                  </w:pPr>
                  <w:r>
                    <w:rPr>
                      <w:rFonts w:hint="default"/>
                      <w:color w:val="000000"/>
                      <w:kern w:val="0"/>
                      <w:sz w:val="21"/>
                      <w:szCs w:val="21"/>
                      <w:highlight w:val="none"/>
                      <w:lang w:bidi="ar"/>
                    </w:rPr>
                    <w:t>1</w:t>
                  </w:r>
                  <w:r>
                    <w:rPr>
                      <w:rFonts w:hint="eastAsia" w:ascii="宋体" w:hAnsi="宋体" w:cs="宋体"/>
                      <w:color w:val="000000"/>
                      <w:kern w:val="0"/>
                      <w:sz w:val="21"/>
                      <w:szCs w:val="21"/>
                      <w:highlight w:val="none"/>
                      <w:lang w:bidi="ar"/>
                    </w:rPr>
                    <w:t>小时平均</w:t>
                  </w:r>
                </w:p>
              </w:tc>
              <w:tc>
                <w:tcPr>
                  <w:tcW w:w="1689" w:type="dxa"/>
                  <w:noWrap w:val="0"/>
                  <w:vAlign w:val="center"/>
                </w:tcPr>
                <w:p w14:paraId="6AE03746">
                  <w:pPr>
                    <w:keepNext w:val="0"/>
                    <w:keepLines w:val="0"/>
                    <w:suppressLineNumbers w:val="0"/>
                    <w:spacing w:before="0" w:beforeAutospacing="0" w:after="0" w:afterAutospacing="0"/>
                    <w:ind w:left="0" w:right="0"/>
                    <w:jc w:val="center"/>
                    <w:rPr>
                      <w:rFonts w:hint="default" w:eastAsia="宋体"/>
                      <w:sz w:val="21"/>
                      <w:szCs w:val="21"/>
                      <w:highlight w:val="none"/>
                      <w:lang w:val="en-US" w:eastAsia="zh-CN"/>
                    </w:rPr>
                  </w:pPr>
                  <w:r>
                    <w:rPr>
                      <w:rFonts w:hint="eastAsia"/>
                      <w:sz w:val="21"/>
                      <w:szCs w:val="21"/>
                      <w:highlight w:val="none"/>
                      <w:lang w:val="en-US" w:eastAsia="zh-CN"/>
                    </w:rPr>
                    <w:t>2000</w:t>
                  </w:r>
                </w:p>
              </w:tc>
              <w:tc>
                <w:tcPr>
                  <w:tcW w:w="3344" w:type="dxa"/>
                  <w:noWrap w:val="0"/>
                  <w:vAlign w:val="center"/>
                </w:tcPr>
                <w:p w14:paraId="1BF2A7C3">
                  <w:pPr>
                    <w:keepNext w:val="0"/>
                    <w:keepLines w:val="0"/>
                    <w:suppressLineNumbers w:val="0"/>
                    <w:spacing w:before="0" w:beforeAutospacing="0" w:after="0" w:afterAutospacing="0"/>
                    <w:ind w:left="0" w:right="0"/>
                    <w:jc w:val="center"/>
                    <w:rPr>
                      <w:rFonts w:hint="eastAsia"/>
                      <w:sz w:val="21"/>
                      <w:szCs w:val="21"/>
                      <w:highlight w:val="none"/>
                    </w:rPr>
                  </w:pPr>
                  <w:r>
                    <w:rPr>
                      <w:rFonts w:hint="eastAsia"/>
                      <w:sz w:val="21"/>
                      <w:szCs w:val="21"/>
                      <w:highlight w:val="none"/>
                    </w:rPr>
                    <w:t>《大气污染物综合排放标准详解》</w:t>
                  </w:r>
                </w:p>
              </w:tc>
            </w:tr>
          </w:tbl>
          <w:p w14:paraId="69C760A3">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60" w:lineRule="auto"/>
              <w:ind w:left="0" w:right="0" w:firstLine="480" w:firstLineChars="200"/>
              <w:textAlignment w:val="auto"/>
              <w:rPr>
                <w:rFonts w:hint="default" w:ascii="Times New Roman" w:hAnsi="Times New Roman" w:eastAsia="宋体" w:cs="Times New Roman"/>
                <w:b w:val="0"/>
                <w:bCs w:val="0"/>
                <w:strike w:val="0"/>
                <w:dstrike w:val="0"/>
                <w:color w:val="auto"/>
                <w:kern w:val="2"/>
                <w:sz w:val="24"/>
                <w:szCs w:val="24"/>
                <w:highlight w:val="none"/>
                <w:lang w:val="en-US" w:eastAsia="zh-CN" w:bidi="ar-SA"/>
              </w:rPr>
            </w:pPr>
            <w:r>
              <w:rPr>
                <w:rFonts w:hint="eastAsia" w:ascii="Times New Roman" w:hAnsi="Times New Roman" w:eastAsia="宋体" w:cs="Times New Roman"/>
                <w:b w:val="0"/>
                <w:bCs w:val="0"/>
                <w:strike w:val="0"/>
                <w:dstrike w:val="0"/>
                <w:color w:val="auto"/>
                <w:kern w:val="2"/>
                <w:sz w:val="24"/>
                <w:szCs w:val="24"/>
                <w:highlight w:val="none"/>
                <w:lang w:val="en-US" w:eastAsia="zh-CN" w:bidi="ar-SA"/>
              </w:rPr>
              <w:t>（2）估算模型</w:t>
            </w:r>
          </w:p>
          <w:p w14:paraId="1F5D9453">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60" w:lineRule="auto"/>
              <w:ind w:left="0" w:right="0" w:firstLine="480" w:firstLineChars="200"/>
              <w:textAlignment w:val="auto"/>
              <w:rPr>
                <w:rFonts w:hint="default" w:ascii="Times New Roman" w:hAnsi="Times New Roman" w:eastAsia="宋体" w:cs="Times New Roman"/>
                <w:b w:val="0"/>
                <w:bCs w:val="0"/>
                <w:strike w:val="0"/>
                <w:dstrike w:val="0"/>
                <w:color w:val="auto"/>
                <w:kern w:val="2"/>
                <w:sz w:val="24"/>
                <w:szCs w:val="24"/>
                <w:highlight w:val="none"/>
                <w:lang w:val="en-US" w:eastAsia="zh-CN" w:bidi="ar-SA"/>
              </w:rPr>
            </w:pPr>
            <w:r>
              <w:rPr>
                <w:rFonts w:hint="eastAsia" w:ascii="Times New Roman" w:hAnsi="Times New Roman" w:eastAsia="宋体" w:cs="Times New Roman"/>
                <w:b w:val="0"/>
                <w:bCs w:val="0"/>
                <w:strike w:val="0"/>
                <w:dstrike w:val="0"/>
                <w:color w:val="auto"/>
                <w:kern w:val="2"/>
                <w:sz w:val="24"/>
                <w:szCs w:val="24"/>
                <w:highlight w:val="none"/>
                <w:lang w:val="en-US" w:eastAsia="zh-CN" w:bidi="ar-SA"/>
              </w:rPr>
              <w:t>项目估算模型参数选取如下所示：</w:t>
            </w:r>
          </w:p>
          <w:p w14:paraId="61654650">
            <w:pPr>
              <w:keepNext w:val="0"/>
              <w:keepLines w:val="0"/>
              <w:suppressLineNumbers w:val="0"/>
              <w:adjustRightInd w:val="0"/>
              <w:snapToGrid w:val="0"/>
              <w:spacing w:before="0" w:beforeAutospacing="0" w:after="0" w:afterAutospacing="0" w:line="360" w:lineRule="auto"/>
              <w:ind w:left="0" w:right="0"/>
              <w:jc w:val="center"/>
              <w:rPr>
                <w:rFonts w:hint="default" w:ascii="Times New Roman" w:hAnsi="Times New Roman" w:eastAsia="宋体" w:cs="Times New Roman"/>
                <w:color w:val="0000FF"/>
                <w:sz w:val="24"/>
                <w:highlight w:val="none"/>
                <w:lang w:val="en-US" w:eastAsia="zh-CN"/>
              </w:rPr>
            </w:pPr>
            <w:r>
              <w:rPr>
                <w:rFonts w:hint="default" w:ascii="Times New Roman" w:hAnsi="Times New Roman" w:eastAsia="宋体" w:cs="Times New Roman"/>
                <w:b/>
                <w:color w:val="auto"/>
                <w:sz w:val="24"/>
                <w:highlight w:val="none"/>
              </w:rPr>
              <w:t>表</w:t>
            </w:r>
            <w:r>
              <w:rPr>
                <w:rFonts w:hint="eastAsia" w:ascii="Times New Roman" w:hAnsi="Times New Roman" w:eastAsia="宋体" w:cs="Times New Roman"/>
                <w:b/>
                <w:color w:val="auto"/>
                <w:sz w:val="24"/>
                <w:highlight w:val="none"/>
                <w:lang w:val="en-US" w:eastAsia="zh-CN"/>
              </w:rPr>
              <w:t>7-3  估算模型参数表</w:t>
            </w:r>
          </w:p>
          <w:tbl>
            <w:tblPr>
              <w:tblStyle w:val="32"/>
              <w:tblW w:w="8205"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420"/>
              <w:gridCol w:w="2667"/>
              <w:gridCol w:w="3118"/>
            </w:tblGrid>
            <w:tr w14:paraId="0178CE4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c>
                <w:tcPr>
                  <w:tcW w:w="5087" w:type="dxa"/>
                  <w:gridSpan w:val="2"/>
                  <w:noWrap w:val="0"/>
                  <w:vAlign w:val="center"/>
                </w:tcPr>
                <w:p w14:paraId="3AD1B995">
                  <w:pPr>
                    <w:keepNext w:val="0"/>
                    <w:keepLines w:val="0"/>
                    <w:widowControl/>
                    <w:suppressLineNumbers w:val="0"/>
                    <w:spacing w:before="0" w:beforeAutospacing="0" w:after="0" w:afterAutospacing="0" w:line="288" w:lineRule="auto"/>
                    <w:ind w:left="0" w:right="0"/>
                    <w:jc w:val="center"/>
                    <w:rPr>
                      <w:rFonts w:hint="eastAsia"/>
                      <w:sz w:val="21"/>
                      <w:szCs w:val="21"/>
                      <w:highlight w:val="none"/>
                    </w:rPr>
                  </w:pPr>
                  <w:r>
                    <w:rPr>
                      <w:rFonts w:hint="eastAsia" w:ascii="宋体" w:hAnsi="宋体" w:cs="宋体"/>
                      <w:color w:val="000000"/>
                      <w:kern w:val="0"/>
                      <w:sz w:val="21"/>
                      <w:szCs w:val="21"/>
                      <w:highlight w:val="none"/>
                      <w:lang w:bidi="ar"/>
                    </w:rPr>
                    <w:t>参数</w:t>
                  </w:r>
                </w:p>
              </w:tc>
              <w:tc>
                <w:tcPr>
                  <w:tcW w:w="3118" w:type="dxa"/>
                  <w:noWrap w:val="0"/>
                  <w:vAlign w:val="center"/>
                </w:tcPr>
                <w:p w14:paraId="5670931C">
                  <w:pPr>
                    <w:keepNext w:val="0"/>
                    <w:keepLines w:val="0"/>
                    <w:widowControl/>
                    <w:suppressLineNumbers w:val="0"/>
                    <w:spacing w:before="0" w:beforeAutospacing="0" w:after="0" w:afterAutospacing="0" w:line="288" w:lineRule="auto"/>
                    <w:ind w:left="0" w:right="0"/>
                    <w:jc w:val="center"/>
                    <w:rPr>
                      <w:rFonts w:hint="eastAsia"/>
                      <w:sz w:val="21"/>
                      <w:szCs w:val="21"/>
                      <w:highlight w:val="none"/>
                    </w:rPr>
                  </w:pPr>
                  <w:r>
                    <w:rPr>
                      <w:rFonts w:hint="eastAsia" w:ascii="宋体" w:hAnsi="宋体" w:cs="宋体"/>
                      <w:color w:val="000000"/>
                      <w:kern w:val="0"/>
                      <w:sz w:val="21"/>
                      <w:szCs w:val="21"/>
                      <w:highlight w:val="none"/>
                      <w:lang w:bidi="ar"/>
                    </w:rPr>
                    <w:t>取值</w:t>
                  </w:r>
                </w:p>
              </w:tc>
            </w:tr>
            <w:tr w14:paraId="693B3D9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420" w:type="dxa"/>
                  <w:vMerge w:val="restart"/>
                  <w:noWrap w:val="0"/>
                  <w:vAlign w:val="center"/>
                </w:tcPr>
                <w:p w14:paraId="5F9700E0">
                  <w:pPr>
                    <w:keepNext w:val="0"/>
                    <w:keepLines w:val="0"/>
                    <w:widowControl/>
                    <w:suppressLineNumbers w:val="0"/>
                    <w:spacing w:before="0" w:beforeAutospacing="0" w:after="0" w:afterAutospacing="0" w:line="288" w:lineRule="auto"/>
                    <w:ind w:left="0" w:right="0"/>
                    <w:jc w:val="center"/>
                    <w:rPr>
                      <w:rFonts w:hint="eastAsia"/>
                      <w:sz w:val="21"/>
                      <w:szCs w:val="21"/>
                      <w:highlight w:val="none"/>
                    </w:rPr>
                  </w:pPr>
                  <w:r>
                    <w:rPr>
                      <w:rFonts w:hint="eastAsia" w:ascii="宋体" w:hAnsi="宋体" w:cs="宋体"/>
                      <w:color w:val="000000"/>
                      <w:kern w:val="0"/>
                      <w:sz w:val="21"/>
                      <w:szCs w:val="21"/>
                      <w:highlight w:val="none"/>
                      <w:lang w:bidi="ar"/>
                    </w:rPr>
                    <w:t>城市农村</w:t>
                  </w:r>
                  <w:r>
                    <w:rPr>
                      <w:rFonts w:hint="default"/>
                      <w:color w:val="000000"/>
                      <w:kern w:val="0"/>
                      <w:sz w:val="21"/>
                      <w:szCs w:val="21"/>
                      <w:highlight w:val="none"/>
                      <w:lang w:bidi="ar"/>
                    </w:rPr>
                    <w:t>/</w:t>
                  </w:r>
                  <w:r>
                    <w:rPr>
                      <w:rFonts w:hint="eastAsia" w:ascii="宋体" w:hAnsi="宋体" w:cs="宋体"/>
                      <w:color w:val="000000"/>
                      <w:kern w:val="0"/>
                      <w:sz w:val="21"/>
                      <w:szCs w:val="21"/>
                      <w:highlight w:val="none"/>
                      <w:lang w:bidi="ar"/>
                    </w:rPr>
                    <w:t>选项</w:t>
                  </w:r>
                </w:p>
              </w:tc>
              <w:tc>
                <w:tcPr>
                  <w:tcW w:w="2667" w:type="dxa"/>
                  <w:noWrap w:val="0"/>
                  <w:vAlign w:val="center"/>
                </w:tcPr>
                <w:p w14:paraId="4CF4AF50">
                  <w:pPr>
                    <w:keepNext w:val="0"/>
                    <w:keepLines w:val="0"/>
                    <w:widowControl/>
                    <w:suppressLineNumbers w:val="0"/>
                    <w:spacing w:before="0" w:beforeAutospacing="0" w:after="0" w:afterAutospacing="0" w:line="288" w:lineRule="auto"/>
                    <w:ind w:left="0" w:right="0"/>
                    <w:jc w:val="center"/>
                    <w:rPr>
                      <w:rFonts w:hint="eastAsia"/>
                      <w:sz w:val="21"/>
                      <w:szCs w:val="21"/>
                      <w:highlight w:val="none"/>
                    </w:rPr>
                  </w:pPr>
                  <w:r>
                    <w:rPr>
                      <w:rFonts w:hint="eastAsia" w:ascii="宋体" w:hAnsi="宋体" w:cs="宋体"/>
                      <w:color w:val="000000"/>
                      <w:kern w:val="0"/>
                      <w:sz w:val="21"/>
                      <w:szCs w:val="21"/>
                      <w:highlight w:val="none"/>
                      <w:lang w:bidi="ar"/>
                    </w:rPr>
                    <w:t>城市</w:t>
                  </w:r>
                  <w:r>
                    <w:rPr>
                      <w:rFonts w:hint="default"/>
                      <w:color w:val="000000"/>
                      <w:kern w:val="0"/>
                      <w:sz w:val="21"/>
                      <w:szCs w:val="21"/>
                      <w:highlight w:val="none"/>
                      <w:lang w:bidi="ar"/>
                    </w:rPr>
                    <w:t>/</w:t>
                  </w:r>
                  <w:r>
                    <w:rPr>
                      <w:rFonts w:hint="eastAsia" w:ascii="宋体" w:hAnsi="宋体" w:cs="宋体"/>
                      <w:color w:val="000000"/>
                      <w:kern w:val="0"/>
                      <w:sz w:val="21"/>
                      <w:szCs w:val="21"/>
                      <w:highlight w:val="none"/>
                      <w:lang w:bidi="ar"/>
                    </w:rPr>
                    <w:t>农村</w:t>
                  </w:r>
                </w:p>
              </w:tc>
              <w:tc>
                <w:tcPr>
                  <w:tcW w:w="3118" w:type="dxa"/>
                  <w:noWrap w:val="0"/>
                  <w:vAlign w:val="center"/>
                </w:tcPr>
                <w:p w14:paraId="0AE0AD48">
                  <w:pPr>
                    <w:keepNext w:val="0"/>
                    <w:keepLines w:val="0"/>
                    <w:widowControl/>
                    <w:suppressLineNumbers w:val="0"/>
                    <w:spacing w:before="0" w:beforeAutospacing="0" w:after="0" w:afterAutospacing="0" w:line="288" w:lineRule="auto"/>
                    <w:ind w:left="0" w:right="0"/>
                    <w:jc w:val="center"/>
                    <w:rPr>
                      <w:rFonts w:hint="eastAsia"/>
                      <w:sz w:val="21"/>
                      <w:szCs w:val="21"/>
                      <w:highlight w:val="none"/>
                    </w:rPr>
                  </w:pPr>
                  <w:r>
                    <w:rPr>
                      <w:rFonts w:hint="eastAsia" w:ascii="宋体" w:hAnsi="宋体" w:cs="宋体"/>
                      <w:color w:val="000000"/>
                      <w:kern w:val="0"/>
                      <w:sz w:val="21"/>
                      <w:szCs w:val="21"/>
                      <w:highlight w:val="none"/>
                      <w:lang w:bidi="ar"/>
                    </w:rPr>
                    <w:t>城市</w:t>
                  </w:r>
                </w:p>
              </w:tc>
            </w:tr>
            <w:tr w14:paraId="47CDAD5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420" w:type="dxa"/>
                  <w:vMerge w:val="continue"/>
                  <w:noWrap w:val="0"/>
                  <w:vAlign w:val="center"/>
                </w:tcPr>
                <w:p w14:paraId="0DB959AE">
                  <w:pPr>
                    <w:keepNext w:val="0"/>
                    <w:keepLines w:val="0"/>
                    <w:suppressLineNumbers w:val="0"/>
                    <w:spacing w:before="0" w:beforeAutospacing="0" w:after="0" w:afterAutospacing="0" w:line="288" w:lineRule="auto"/>
                    <w:ind w:left="0" w:right="0"/>
                    <w:jc w:val="center"/>
                    <w:rPr>
                      <w:rFonts w:hint="eastAsia"/>
                      <w:sz w:val="21"/>
                      <w:szCs w:val="21"/>
                      <w:highlight w:val="none"/>
                    </w:rPr>
                  </w:pPr>
                </w:p>
              </w:tc>
              <w:tc>
                <w:tcPr>
                  <w:tcW w:w="2667" w:type="dxa"/>
                  <w:noWrap w:val="0"/>
                  <w:vAlign w:val="center"/>
                </w:tcPr>
                <w:p w14:paraId="6D77B99F">
                  <w:pPr>
                    <w:keepNext w:val="0"/>
                    <w:keepLines w:val="0"/>
                    <w:widowControl/>
                    <w:suppressLineNumbers w:val="0"/>
                    <w:spacing w:before="0" w:beforeAutospacing="0" w:after="0" w:afterAutospacing="0" w:line="288" w:lineRule="auto"/>
                    <w:ind w:left="0" w:right="0"/>
                    <w:jc w:val="center"/>
                    <w:rPr>
                      <w:rFonts w:hint="eastAsia"/>
                      <w:sz w:val="21"/>
                      <w:szCs w:val="21"/>
                      <w:highlight w:val="none"/>
                    </w:rPr>
                  </w:pPr>
                  <w:r>
                    <w:rPr>
                      <w:rFonts w:hint="eastAsia" w:ascii="宋体" w:hAnsi="宋体" w:cs="宋体"/>
                      <w:color w:val="000000"/>
                      <w:kern w:val="0"/>
                      <w:sz w:val="21"/>
                      <w:szCs w:val="21"/>
                      <w:highlight w:val="none"/>
                      <w:lang w:bidi="ar"/>
                    </w:rPr>
                    <w:t>人口数（城市人口数）</w:t>
                  </w:r>
                </w:p>
              </w:tc>
              <w:tc>
                <w:tcPr>
                  <w:tcW w:w="3118" w:type="dxa"/>
                  <w:noWrap w:val="0"/>
                  <w:vAlign w:val="center"/>
                </w:tcPr>
                <w:p w14:paraId="57193653">
                  <w:pPr>
                    <w:keepNext w:val="0"/>
                    <w:keepLines w:val="0"/>
                    <w:widowControl/>
                    <w:suppressLineNumbers w:val="0"/>
                    <w:spacing w:before="0" w:beforeAutospacing="0" w:after="0" w:afterAutospacing="0" w:line="288" w:lineRule="auto"/>
                    <w:ind w:left="0" w:right="0"/>
                    <w:jc w:val="center"/>
                    <w:rPr>
                      <w:rFonts w:hint="eastAsia"/>
                      <w:sz w:val="21"/>
                      <w:szCs w:val="21"/>
                      <w:highlight w:val="none"/>
                    </w:rPr>
                  </w:pPr>
                  <w:r>
                    <w:rPr>
                      <w:rFonts w:hint="eastAsia" w:ascii="Times New Roman" w:hAnsi="Times New Roman" w:eastAsia="宋体" w:cs="Times New Roman"/>
                      <w:color w:val="000000"/>
                      <w:kern w:val="0"/>
                      <w:sz w:val="21"/>
                      <w:szCs w:val="21"/>
                      <w:highlight w:val="none"/>
                      <w:lang w:val="en-US" w:eastAsia="zh-CN" w:bidi="ar"/>
                    </w:rPr>
                    <w:t>200</w:t>
                  </w:r>
                  <w:r>
                    <w:rPr>
                      <w:rFonts w:hint="eastAsia" w:ascii="宋体" w:hAnsi="宋体" w:cs="宋体"/>
                      <w:color w:val="000000"/>
                      <w:kern w:val="0"/>
                      <w:sz w:val="21"/>
                      <w:szCs w:val="21"/>
                      <w:highlight w:val="none"/>
                      <w:lang w:bidi="ar"/>
                    </w:rPr>
                    <w:t>万人</w:t>
                  </w:r>
                </w:p>
              </w:tc>
            </w:tr>
            <w:tr w14:paraId="3DF9D8A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087" w:type="dxa"/>
                  <w:gridSpan w:val="2"/>
                  <w:noWrap w:val="0"/>
                  <w:vAlign w:val="center"/>
                </w:tcPr>
                <w:p w14:paraId="43705AFD">
                  <w:pPr>
                    <w:keepNext w:val="0"/>
                    <w:keepLines w:val="0"/>
                    <w:widowControl/>
                    <w:suppressLineNumbers w:val="0"/>
                    <w:spacing w:before="0" w:beforeAutospacing="0" w:after="0" w:afterAutospacing="0" w:line="288" w:lineRule="auto"/>
                    <w:ind w:left="0" w:right="0"/>
                    <w:jc w:val="center"/>
                    <w:rPr>
                      <w:rFonts w:hint="eastAsia"/>
                      <w:sz w:val="21"/>
                      <w:szCs w:val="21"/>
                      <w:highlight w:val="none"/>
                    </w:rPr>
                  </w:pPr>
                  <w:r>
                    <w:rPr>
                      <w:rFonts w:hint="eastAsia" w:ascii="宋体" w:hAnsi="宋体" w:cs="宋体"/>
                      <w:color w:val="000000"/>
                      <w:kern w:val="0"/>
                      <w:sz w:val="21"/>
                      <w:szCs w:val="21"/>
                      <w:highlight w:val="none"/>
                      <w:lang w:bidi="ar"/>
                    </w:rPr>
                    <w:t>最高环境温度</w:t>
                  </w:r>
                </w:p>
              </w:tc>
              <w:tc>
                <w:tcPr>
                  <w:tcW w:w="3118" w:type="dxa"/>
                  <w:noWrap w:val="0"/>
                  <w:vAlign w:val="center"/>
                </w:tcPr>
                <w:p w14:paraId="22AFF8A9">
                  <w:pPr>
                    <w:keepNext w:val="0"/>
                    <w:keepLines w:val="0"/>
                    <w:widowControl/>
                    <w:suppressLineNumbers w:val="0"/>
                    <w:spacing w:before="0" w:beforeAutospacing="0" w:after="0" w:afterAutospacing="0" w:line="288" w:lineRule="auto"/>
                    <w:ind w:left="0" w:right="0"/>
                    <w:jc w:val="center"/>
                    <w:rPr>
                      <w:rFonts w:hint="eastAsia"/>
                      <w:sz w:val="21"/>
                      <w:szCs w:val="21"/>
                      <w:highlight w:val="none"/>
                    </w:rPr>
                  </w:pPr>
                  <w:r>
                    <w:rPr>
                      <w:rFonts w:hint="default"/>
                      <w:color w:val="000000"/>
                      <w:kern w:val="0"/>
                      <w:sz w:val="21"/>
                      <w:szCs w:val="21"/>
                      <w:highlight w:val="none"/>
                      <w:lang w:bidi="ar"/>
                    </w:rPr>
                    <w:t>3</w:t>
                  </w:r>
                  <w:r>
                    <w:rPr>
                      <w:rFonts w:hint="eastAsia"/>
                      <w:color w:val="000000"/>
                      <w:kern w:val="0"/>
                      <w:sz w:val="21"/>
                      <w:szCs w:val="21"/>
                      <w:highlight w:val="none"/>
                      <w:lang w:val="en-US" w:eastAsia="zh-CN" w:bidi="ar"/>
                    </w:rPr>
                    <w:t>7</w:t>
                  </w:r>
                  <w:r>
                    <w:rPr>
                      <w:rFonts w:hint="default"/>
                      <w:color w:val="000000"/>
                      <w:kern w:val="0"/>
                      <w:sz w:val="21"/>
                      <w:szCs w:val="21"/>
                      <w:highlight w:val="none"/>
                      <w:lang w:bidi="ar"/>
                    </w:rPr>
                    <w:t>.</w:t>
                  </w:r>
                  <w:r>
                    <w:rPr>
                      <w:rFonts w:hint="eastAsia"/>
                      <w:color w:val="000000"/>
                      <w:kern w:val="0"/>
                      <w:sz w:val="21"/>
                      <w:szCs w:val="21"/>
                      <w:highlight w:val="none"/>
                      <w:lang w:val="en-US" w:eastAsia="zh-CN" w:bidi="ar"/>
                    </w:rPr>
                    <w:t>7</w:t>
                  </w:r>
                  <w:r>
                    <w:rPr>
                      <w:rFonts w:hint="default"/>
                      <w:color w:val="000000"/>
                      <w:kern w:val="0"/>
                      <w:sz w:val="21"/>
                      <w:szCs w:val="21"/>
                      <w:highlight w:val="none"/>
                      <w:lang w:bidi="ar"/>
                    </w:rPr>
                    <w:t>°C</w:t>
                  </w:r>
                </w:p>
              </w:tc>
            </w:tr>
            <w:tr w14:paraId="6226CBB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087" w:type="dxa"/>
                  <w:gridSpan w:val="2"/>
                  <w:noWrap w:val="0"/>
                  <w:vAlign w:val="center"/>
                </w:tcPr>
                <w:p w14:paraId="4FDB029A">
                  <w:pPr>
                    <w:keepNext w:val="0"/>
                    <w:keepLines w:val="0"/>
                    <w:widowControl/>
                    <w:suppressLineNumbers w:val="0"/>
                    <w:spacing w:before="0" w:beforeAutospacing="0" w:after="0" w:afterAutospacing="0" w:line="288" w:lineRule="auto"/>
                    <w:ind w:left="0" w:right="0"/>
                    <w:jc w:val="center"/>
                    <w:rPr>
                      <w:rFonts w:hint="eastAsia"/>
                      <w:sz w:val="21"/>
                      <w:szCs w:val="21"/>
                      <w:highlight w:val="none"/>
                    </w:rPr>
                  </w:pPr>
                  <w:r>
                    <w:rPr>
                      <w:rFonts w:hint="eastAsia" w:ascii="宋体" w:hAnsi="宋体" w:cs="宋体"/>
                      <w:color w:val="000000"/>
                      <w:kern w:val="0"/>
                      <w:sz w:val="21"/>
                      <w:szCs w:val="21"/>
                      <w:highlight w:val="none"/>
                      <w:lang w:bidi="ar"/>
                    </w:rPr>
                    <w:t>最低环境温度</w:t>
                  </w:r>
                </w:p>
              </w:tc>
              <w:tc>
                <w:tcPr>
                  <w:tcW w:w="3118" w:type="dxa"/>
                  <w:noWrap w:val="0"/>
                  <w:vAlign w:val="center"/>
                </w:tcPr>
                <w:p w14:paraId="671E0181">
                  <w:pPr>
                    <w:keepNext w:val="0"/>
                    <w:keepLines w:val="0"/>
                    <w:widowControl/>
                    <w:suppressLineNumbers w:val="0"/>
                    <w:spacing w:before="0" w:beforeAutospacing="0" w:after="0" w:afterAutospacing="0" w:line="288" w:lineRule="auto"/>
                    <w:ind w:left="0" w:right="0"/>
                    <w:jc w:val="center"/>
                    <w:rPr>
                      <w:rFonts w:hint="eastAsia"/>
                      <w:sz w:val="21"/>
                      <w:szCs w:val="21"/>
                      <w:highlight w:val="none"/>
                    </w:rPr>
                  </w:pPr>
                  <w:r>
                    <w:rPr>
                      <w:rFonts w:hint="default"/>
                      <w:color w:val="000000"/>
                      <w:kern w:val="0"/>
                      <w:sz w:val="21"/>
                      <w:szCs w:val="21"/>
                      <w:highlight w:val="none"/>
                      <w:lang w:bidi="ar"/>
                    </w:rPr>
                    <w:t>-6.</w:t>
                  </w:r>
                  <w:r>
                    <w:rPr>
                      <w:rFonts w:hint="eastAsia"/>
                      <w:color w:val="000000"/>
                      <w:kern w:val="0"/>
                      <w:sz w:val="21"/>
                      <w:szCs w:val="21"/>
                      <w:highlight w:val="none"/>
                      <w:lang w:val="en-US" w:eastAsia="zh-CN" w:bidi="ar"/>
                    </w:rPr>
                    <w:t>5</w:t>
                  </w:r>
                  <w:r>
                    <w:rPr>
                      <w:rFonts w:hint="default"/>
                      <w:color w:val="000000"/>
                      <w:kern w:val="0"/>
                      <w:sz w:val="21"/>
                      <w:szCs w:val="21"/>
                      <w:highlight w:val="none"/>
                      <w:lang w:bidi="ar"/>
                    </w:rPr>
                    <w:t>°C</w:t>
                  </w:r>
                </w:p>
              </w:tc>
            </w:tr>
            <w:tr w14:paraId="094B288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087" w:type="dxa"/>
                  <w:gridSpan w:val="2"/>
                  <w:noWrap w:val="0"/>
                  <w:vAlign w:val="center"/>
                </w:tcPr>
                <w:p w14:paraId="5922D623">
                  <w:pPr>
                    <w:keepNext w:val="0"/>
                    <w:keepLines w:val="0"/>
                    <w:widowControl/>
                    <w:suppressLineNumbers w:val="0"/>
                    <w:spacing w:before="0" w:beforeAutospacing="0" w:after="0" w:afterAutospacing="0" w:line="288" w:lineRule="auto"/>
                    <w:ind w:left="0" w:right="0"/>
                    <w:jc w:val="center"/>
                    <w:rPr>
                      <w:rFonts w:hint="eastAsia"/>
                      <w:sz w:val="21"/>
                      <w:szCs w:val="21"/>
                      <w:highlight w:val="none"/>
                    </w:rPr>
                  </w:pPr>
                  <w:r>
                    <w:rPr>
                      <w:rFonts w:hint="eastAsia" w:ascii="宋体" w:hAnsi="宋体" w:cs="宋体"/>
                      <w:color w:val="000000"/>
                      <w:kern w:val="0"/>
                      <w:sz w:val="21"/>
                      <w:szCs w:val="21"/>
                      <w:highlight w:val="none"/>
                      <w:lang w:bidi="ar"/>
                    </w:rPr>
                    <w:t>土地利用类型</w:t>
                  </w:r>
                </w:p>
              </w:tc>
              <w:tc>
                <w:tcPr>
                  <w:tcW w:w="3118" w:type="dxa"/>
                  <w:noWrap w:val="0"/>
                  <w:vAlign w:val="center"/>
                </w:tcPr>
                <w:p w14:paraId="218E0773">
                  <w:pPr>
                    <w:keepNext w:val="0"/>
                    <w:keepLines w:val="0"/>
                    <w:widowControl/>
                    <w:suppressLineNumbers w:val="0"/>
                    <w:spacing w:before="0" w:beforeAutospacing="0" w:after="0" w:afterAutospacing="0" w:line="288" w:lineRule="auto"/>
                    <w:ind w:left="0" w:right="0"/>
                    <w:jc w:val="center"/>
                    <w:rPr>
                      <w:rFonts w:hint="eastAsia"/>
                      <w:sz w:val="21"/>
                      <w:szCs w:val="21"/>
                      <w:highlight w:val="none"/>
                    </w:rPr>
                  </w:pPr>
                  <w:r>
                    <w:rPr>
                      <w:rFonts w:hint="eastAsia" w:ascii="宋体" w:hAnsi="宋体" w:cs="宋体"/>
                      <w:color w:val="000000"/>
                      <w:kern w:val="0"/>
                      <w:sz w:val="21"/>
                      <w:szCs w:val="21"/>
                      <w:highlight w:val="none"/>
                      <w:lang w:bidi="ar"/>
                    </w:rPr>
                    <w:t>城市</w:t>
                  </w:r>
                </w:p>
              </w:tc>
            </w:tr>
            <w:tr w14:paraId="3097105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087" w:type="dxa"/>
                  <w:gridSpan w:val="2"/>
                  <w:noWrap w:val="0"/>
                  <w:vAlign w:val="center"/>
                </w:tcPr>
                <w:p w14:paraId="48D25A88">
                  <w:pPr>
                    <w:keepNext w:val="0"/>
                    <w:keepLines w:val="0"/>
                    <w:widowControl/>
                    <w:suppressLineNumbers w:val="0"/>
                    <w:spacing w:before="0" w:beforeAutospacing="0" w:after="0" w:afterAutospacing="0" w:line="288" w:lineRule="auto"/>
                    <w:ind w:left="0" w:right="0"/>
                    <w:jc w:val="center"/>
                    <w:rPr>
                      <w:rFonts w:hint="eastAsia"/>
                      <w:sz w:val="21"/>
                      <w:szCs w:val="21"/>
                      <w:highlight w:val="none"/>
                    </w:rPr>
                  </w:pPr>
                  <w:r>
                    <w:rPr>
                      <w:rFonts w:hint="eastAsia" w:ascii="宋体" w:hAnsi="宋体" w:cs="宋体"/>
                      <w:color w:val="000000"/>
                      <w:kern w:val="0"/>
                      <w:sz w:val="21"/>
                      <w:szCs w:val="21"/>
                      <w:highlight w:val="none"/>
                      <w:lang w:bidi="ar"/>
                    </w:rPr>
                    <w:t>区域湿度条件</w:t>
                  </w:r>
                </w:p>
              </w:tc>
              <w:tc>
                <w:tcPr>
                  <w:tcW w:w="3118" w:type="dxa"/>
                  <w:noWrap w:val="0"/>
                  <w:vAlign w:val="center"/>
                </w:tcPr>
                <w:p w14:paraId="58C7F1C8">
                  <w:pPr>
                    <w:keepNext w:val="0"/>
                    <w:keepLines w:val="0"/>
                    <w:widowControl/>
                    <w:suppressLineNumbers w:val="0"/>
                    <w:spacing w:before="0" w:beforeAutospacing="0" w:after="0" w:afterAutospacing="0" w:line="288" w:lineRule="auto"/>
                    <w:ind w:left="0" w:right="0"/>
                    <w:jc w:val="center"/>
                    <w:rPr>
                      <w:rFonts w:hint="eastAsia"/>
                      <w:sz w:val="21"/>
                      <w:szCs w:val="21"/>
                      <w:highlight w:val="none"/>
                    </w:rPr>
                  </w:pPr>
                  <w:r>
                    <w:rPr>
                      <w:rFonts w:hint="eastAsia" w:ascii="宋体" w:hAnsi="宋体" w:cs="宋体"/>
                      <w:color w:val="000000"/>
                      <w:kern w:val="0"/>
                      <w:sz w:val="21"/>
                      <w:szCs w:val="21"/>
                      <w:highlight w:val="none"/>
                      <w:lang w:bidi="ar"/>
                    </w:rPr>
                    <w:t>潮湿</w:t>
                  </w:r>
                </w:p>
              </w:tc>
            </w:tr>
            <w:tr w14:paraId="2764B31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420" w:type="dxa"/>
                  <w:vMerge w:val="restart"/>
                  <w:noWrap w:val="0"/>
                  <w:vAlign w:val="center"/>
                </w:tcPr>
                <w:p w14:paraId="4800FF3F">
                  <w:pPr>
                    <w:keepNext w:val="0"/>
                    <w:keepLines w:val="0"/>
                    <w:widowControl/>
                    <w:suppressLineNumbers w:val="0"/>
                    <w:spacing w:before="0" w:beforeAutospacing="0" w:after="0" w:afterAutospacing="0" w:line="288" w:lineRule="auto"/>
                    <w:ind w:left="0" w:right="0"/>
                    <w:jc w:val="center"/>
                    <w:rPr>
                      <w:rFonts w:hint="eastAsia"/>
                      <w:sz w:val="21"/>
                      <w:szCs w:val="21"/>
                      <w:highlight w:val="none"/>
                    </w:rPr>
                  </w:pPr>
                  <w:r>
                    <w:rPr>
                      <w:rFonts w:hint="eastAsia" w:ascii="宋体" w:hAnsi="宋体" w:cs="宋体"/>
                      <w:color w:val="000000"/>
                      <w:kern w:val="0"/>
                      <w:sz w:val="21"/>
                      <w:szCs w:val="21"/>
                      <w:highlight w:val="none"/>
                      <w:lang w:bidi="ar"/>
                    </w:rPr>
                    <w:t>是否考虑地形</w:t>
                  </w:r>
                </w:p>
              </w:tc>
              <w:tc>
                <w:tcPr>
                  <w:tcW w:w="2667" w:type="dxa"/>
                  <w:noWrap w:val="0"/>
                  <w:vAlign w:val="center"/>
                </w:tcPr>
                <w:p w14:paraId="2030612A">
                  <w:pPr>
                    <w:keepNext w:val="0"/>
                    <w:keepLines w:val="0"/>
                    <w:widowControl/>
                    <w:suppressLineNumbers w:val="0"/>
                    <w:spacing w:before="0" w:beforeAutospacing="0" w:after="0" w:afterAutospacing="0" w:line="288" w:lineRule="auto"/>
                    <w:ind w:left="0" w:right="0"/>
                    <w:jc w:val="center"/>
                    <w:rPr>
                      <w:rFonts w:hint="eastAsia"/>
                      <w:sz w:val="21"/>
                      <w:szCs w:val="21"/>
                      <w:highlight w:val="none"/>
                    </w:rPr>
                  </w:pPr>
                  <w:r>
                    <w:rPr>
                      <w:rFonts w:hint="eastAsia" w:ascii="宋体" w:hAnsi="宋体" w:cs="宋体"/>
                      <w:color w:val="000000"/>
                      <w:kern w:val="0"/>
                      <w:sz w:val="21"/>
                      <w:szCs w:val="21"/>
                      <w:highlight w:val="none"/>
                      <w:lang w:bidi="ar"/>
                    </w:rPr>
                    <w:t>考虑地形</w:t>
                  </w:r>
                </w:p>
              </w:tc>
              <w:tc>
                <w:tcPr>
                  <w:tcW w:w="3118" w:type="dxa"/>
                  <w:noWrap w:val="0"/>
                  <w:vAlign w:val="center"/>
                </w:tcPr>
                <w:p w14:paraId="4E14D318">
                  <w:pPr>
                    <w:keepNext w:val="0"/>
                    <w:keepLines w:val="0"/>
                    <w:widowControl/>
                    <w:suppressLineNumbers w:val="0"/>
                    <w:spacing w:before="0" w:beforeAutospacing="0" w:after="0" w:afterAutospacing="0" w:line="288" w:lineRule="auto"/>
                    <w:ind w:left="0" w:right="0"/>
                    <w:jc w:val="center"/>
                    <w:rPr>
                      <w:rFonts w:hint="default"/>
                      <w:sz w:val="21"/>
                      <w:szCs w:val="21"/>
                      <w:highlight w:val="none"/>
                    </w:rPr>
                  </w:pPr>
                  <w:r>
                    <w:rPr>
                      <w:rFonts w:hint="eastAsia" w:ascii="宋体" w:hAnsi="宋体" w:cs="宋体"/>
                      <w:color w:val="000000"/>
                      <w:kern w:val="0"/>
                      <w:sz w:val="21"/>
                      <w:szCs w:val="21"/>
                      <w:highlight w:val="none"/>
                      <w:lang w:bidi="ar"/>
                    </w:rPr>
                    <w:t>否</w:t>
                  </w:r>
                </w:p>
              </w:tc>
            </w:tr>
            <w:tr w14:paraId="5334693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420" w:type="dxa"/>
                  <w:vMerge w:val="continue"/>
                  <w:noWrap w:val="0"/>
                  <w:vAlign w:val="center"/>
                </w:tcPr>
                <w:p w14:paraId="55C5B76F">
                  <w:pPr>
                    <w:keepNext w:val="0"/>
                    <w:keepLines w:val="0"/>
                    <w:suppressLineNumbers w:val="0"/>
                    <w:spacing w:before="0" w:beforeAutospacing="0" w:after="0" w:afterAutospacing="0" w:line="288" w:lineRule="auto"/>
                    <w:ind w:left="0" w:right="0"/>
                    <w:jc w:val="center"/>
                    <w:rPr>
                      <w:rFonts w:hint="eastAsia"/>
                      <w:sz w:val="21"/>
                      <w:szCs w:val="21"/>
                      <w:highlight w:val="none"/>
                    </w:rPr>
                  </w:pPr>
                </w:p>
              </w:tc>
              <w:tc>
                <w:tcPr>
                  <w:tcW w:w="2667" w:type="dxa"/>
                  <w:noWrap w:val="0"/>
                  <w:vAlign w:val="center"/>
                </w:tcPr>
                <w:p w14:paraId="4D4D5AE4">
                  <w:pPr>
                    <w:keepNext w:val="0"/>
                    <w:keepLines w:val="0"/>
                    <w:widowControl/>
                    <w:suppressLineNumbers w:val="0"/>
                    <w:spacing w:before="0" w:beforeAutospacing="0" w:after="0" w:afterAutospacing="0" w:line="288" w:lineRule="auto"/>
                    <w:ind w:left="0" w:right="0"/>
                    <w:jc w:val="center"/>
                    <w:rPr>
                      <w:rFonts w:hint="eastAsia"/>
                      <w:sz w:val="21"/>
                      <w:szCs w:val="21"/>
                      <w:highlight w:val="none"/>
                    </w:rPr>
                  </w:pPr>
                  <w:r>
                    <w:rPr>
                      <w:rFonts w:hint="eastAsia" w:ascii="宋体" w:hAnsi="宋体" w:cs="宋体"/>
                      <w:color w:val="000000"/>
                      <w:kern w:val="0"/>
                      <w:sz w:val="21"/>
                      <w:szCs w:val="21"/>
                      <w:highlight w:val="none"/>
                      <w:lang w:bidi="ar"/>
                    </w:rPr>
                    <w:t>地形数据分辨率（</w:t>
                  </w:r>
                  <w:r>
                    <w:rPr>
                      <w:rFonts w:hint="default"/>
                      <w:color w:val="000000"/>
                      <w:kern w:val="0"/>
                      <w:sz w:val="21"/>
                      <w:szCs w:val="21"/>
                      <w:highlight w:val="none"/>
                      <w:lang w:bidi="ar"/>
                    </w:rPr>
                    <w:t>m</w:t>
                  </w:r>
                  <w:r>
                    <w:rPr>
                      <w:rFonts w:hint="eastAsia" w:ascii="宋体" w:hAnsi="宋体" w:cs="宋体"/>
                      <w:color w:val="000000"/>
                      <w:kern w:val="0"/>
                      <w:sz w:val="21"/>
                      <w:szCs w:val="21"/>
                      <w:highlight w:val="none"/>
                      <w:lang w:bidi="ar"/>
                    </w:rPr>
                    <w:t>）</w:t>
                  </w:r>
                </w:p>
              </w:tc>
              <w:tc>
                <w:tcPr>
                  <w:tcW w:w="3118" w:type="dxa"/>
                  <w:noWrap w:val="0"/>
                  <w:vAlign w:val="center"/>
                </w:tcPr>
                <w:p w14:paraId="7ADB4731">
                  <w:pPr>
                    <w:keepNext w:val="0"/>
                    <w:keepLines w:val="0"/>
                    <w:suppressLineNumbers w:val="0"/>
                    <w:spacing w:before="0" w:beforeAutospacing="0" w:after="0" w:afterAutospacing="0" w:line="288" w:lineRule="auto"/>
                    <w:ind w:left="0" w:right="0"/>
                    <w:jc w:val="center"/>
                    <w:rPr>
                      <w:rFonts w:hint="eastAsia"/>
                      <w:sz w:val="21"/>
                      <w:szCs w:val="21"/>
                      <w:highlight w:val="none"/>
                    </w:rPr>
                  </w:pPr>
                  <w:r>
                    <w:rPr>
                      <w:rFonts w:hint="eastAsia"/>
                      <w:sz w:val="21"/>
                      <w:szCs w:val="21"/>
                      <w:highlight w:val="none"/>
                    </w:rPr>
                    <w:t>/</w:t>
                  </w:r>
                </w:p>
              </w:tc>
            </w:tr>
            <w:tr w14:paraId="3A9D972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420" w:type="dxa"/>
                  <w:vMerge w:val="restart"/>
                  <w:noWrap w:val="0"/>
                  <w:vAlign w:val="center"/>
                </w:tcPr>
                <w:p w14:paraId="43FBAB9C">
                  <w:pPr>
                    <w:keepNext w:val="0"/>
                    <w:keepLines w:val="0"/>
                    <w:widowControl/>
                    <w:suppressLineNumbers w:val="0"/>
                    <w:spacing w:before="0" w:beforeAutospacing="0" w:after="0" w:afterAutospacing="0" w:line="288" w:lineRule="auto"/>
                    <w:ind w:left="0" w:right="0"/>
                    <w:jc w:val="center"/>
                    <w:rPr>
                      <w:rFonts w:hint="eastAsia"/>
                      <w:sz w:val="21"/>
                      <w:szCs w:val="21"/>
                      <w:highlight w:val="none"/>
                    </w:rPr>
                  </w:pPr>
                  <w:r>
                    <w:rPr>
                      <w:rFonts w:hint="eastAsia" w:ascii="宋体" w:hAnsi="宋体" w:cs="宋体"/>
                      <w:color w:val="000000"/>
                      <w:kern w:val="0"/>
                      <w:sz w:val="21"/>
                      <w:szCs w:val="21"/>
                      <w:highlight w:val="none"/>
                      <w:lang w:bidi="ar"/>
                    </w:rPr>
                    <w:t>是否考虑海岸线熏烟</w:t>
                  </w:r>
                </w:p>
              </w:tc>
              <w:tc>
                <w:tcPr>
                  <w:tcW w:w="2667" w:type="dxa"/>
                  <w:noWrap w:val="0"/>
                  <w:vAlign w:val="center"/>
                </w:tcPr>
                <w:p w14:paraId="0892ACC5">
                  <w:pPr>
                    <w:keepNext w:val="0"/>
                    <w:keepLines w:val="0"/>
                    <w:widowControl/>
                    <w:suppressLineNumbers w:val="0"/>
                    <w:spacing w:before="0" w:beforeAutospacing="0" w:after="0" w:afterAutospacing="0" w:line="288" w:lineRule="auto"/>
                    <w:ind w:left="0" w:right="0"/>
                    <w:jc w:val="center"/>
                    <w:rPr>
                      <w:rFonts w:hint="eastAsia"/>
                      <w:sz w:val="21"/>
                      <w:szCs w:val="21"/>
                      <w:highlight w:val="none"/>
                    </w:rPr>
                  </w:pPr>
                  <w:r>
                    <w:rPr>
                      <w:rFonts w:hint="eastAsia" w:ascii="宋体" w:hAnsi="宋体" w:cs="宋体"/>
                      <w:color w:val="000000"/>
                      <w:kern w:val="0"/>
                      <w:sz w:val="21"/>
                      <w:szCs w:val="21"/>
                      <w:highlight w:val="none"/>
                      <w:lang w:bidi="ar"/>
                    </w:rPr>
                    <w:t>考虑海岸线熏烟</w:t>
                  </w:r>
                </w:p>
              </w:tc>
              <w:tc>
                <w:tcPr>
                  <w:tcW w:w="3118" w:type="dxa"/>
                  <w:noWrap w:val="0"/>
                  <w:vAlign w:val="center"/>
                </w:tcPr>
                <w:p w14:paraId="0C49B17D">
                  <w:pPr>
                    <w:keepNext w:val="0"/>
                    <w:keepLines w:val="0"/>
                    <w:widowControl/>
                    <w:suppressLineNumbers w:val="0"/>
                    <w:spacing w:before="0" w:beforeAutospacing="0" w:after="0" w:afterAutospacing="0" w:line="288" w:lineRule="auto"/>
                    <w:ind w:left="0" w:right="0"/>
                    <w:jc w:val="center"/>
                    <w:rPr>
                      <w:rFonts w:hint="eastAsia"/>
                      <w:sz w:val="21"/>
                      <w:szCs w:val="21"/>
                      <w:highlight w:val="none"/>
                    </w:rPr>
                  </w:pPr>
                  <w:r>
                    <w:rPr>
                      <w:rFonts w:hint="eastAsia" w:ascii="宋体" w:hAnsi="宋体" w:cs="宋体"/>
                      <w:color w:val="000000"/>
                      <w:kern w:val="0"/>
                      <w:sz w:val="21"/>
                      <w:szCs w:val="21"/>
                      <w:highlight w:val="none"/>
                      <w:lang w:bidi="ar"/>
                    </w:rPr>
                    <w:t>否</w:t>
                  </w:r>
                </w:p>
              </w:tc>
            </w:tr>
            <w:tr w14:paraId="47B21AC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420" w:type="dxa"/>
                  <w:vMerge w:val="continue"/>
                  <w:noWrap w:val="0"/>
                  <w:vAlign w:val="center"/>
                </w:tcPr>
                <w:p w14:paraId="25282D4E">
                  <w:pPr>
                    <w:keepNext w:val="0"/>
                    <w:keepLines w:val="0"/>
                    <w:suppressLineNumbers w:val="0"/>
                    <w:spacing w:before="0" w:beforeAutospacing="0" w:after="0" w:afterAutospacing="0" w:line="288" w:lineRule="auto"/>
                    <w:ind w:left="0" w:right="0"/>
                    <w:jc w:val="center"/>
                    <w:rPr>
                      <w:rFonts w:hint="eastAsia"/>
                      <w:sz w:val="21"/>
                      <w:szCs w:val="21"/>
                      <w:highlight w:val="none"/>
                    </w:rPr>
                  </w:pPr>
                </w:p>
              </w:tc>
              <w:tc>
                <w:tcPr>
                  <w:tcW w:w="2667" w:type="dxa"/>
                  <w:noWrap w:val="0"/>
                  <w:vAlign w:val="center"/>
                </w:tcPr>
                <w:p w14:paraId="0D5B1902">
                  <w:pPr>
                    <w:keepNext w:val="0"/>
                    <w:keepLines w:val="0"/>
                    <w:widowControl/>
                    <w:suppressLineNumbers w:val="0"/>
                    <w:spacing w:before="0" w:beforeAutospacing="0" w:after="0" w:afterAutospacing="0" w:line="288" w:lineRule="auto"/>
                    <w:ind w:left="0" w:right="0"/>
                    <w:jc w:val="center"/>
                    <w:rPr>
                      <w:rFonts w:hint="eastAsia"/>
                      <w:sz w:val="21"/>
                      <w:szCs w:val="21"/>
                      <w:highlight w:val="none"/>
                    </w:rPr>
                  </w:pPr>
                  <w:r>
                    <w:rPr>
                      <w:rFonts w:hint="eastAsia" w:ascii="宋体" w:hAnsi="宋体" w:cs="宋体"/>
                      <w:color w:val="000000"/>
                      <w:kern w:val="0"/>
                      <w:sz w:val="21"/>
                      <w:szCs w:val="21"/>
                      <w:highlight w:val="none"/>
                      <w:lang w:bidi="ar"/>
                    </w:rPr>
                    <w:t>海岸线距离</w:t>
                  </w:r>
                  <w:r>
                    <w:rPr>
                      <w:rFonts w:hint="default"/>
                      <w:color w:val="000000"/>
                      <w:kern w:val="0"/>
                      <w:sz w:val="21"/>
                      <w:szCs w:val="21"/>
                      <w:highlight w:val="none"/>
                      <w:lang w:bidi="ar"/>
                    </w:rPr>
                    <w:t>/km</w:t>
                  </w:r>
                </w:p>
              </w:tc>
              <w:tc>
                <w:tcPr>
                  <w:tcW w:w="3118" w:type="dxa"/>
                  <w:noWrap w:val="0"/>
                  <w:vAlign w:val="center"/>
                </w:tcPr>
                <w:p w14:paraId="5635DAA3">
                  <w:pPr>
                    <w:keepNext w:val="0"/>
                    <w:keepLines w:val="0"/>
                    <w:suppressLineNumbers w:val="0"/>
                    <w:spacing w:before="0" w:beforeAutospacing="0" w:after="0" w:afterAutospacing="0" w:line="288" w:lineRule="auto"/>
                    <w:ind w:left="0" w:right="0"/>
                    <w:jc w:val="center"/>
                    <w:rPr>
                      <w:rFonts w:hint="eastAsia"/>
                      <w:sz w:val="21"/>
                      <w:szCs w:val="21"/>
                      <w:highlight w:val="none"/>
                    </w:rPr>
                  </w:pPr>
                  <w:r>
                    <w:rPr>
                      <w:rFonts w:hint="eastAsia"/>
                      <w:sz w:val="21"/>
                      <w:szCs w:val="21"/>
                      <w:highlight w:val="none"/>
                    </w:rPr>
                    <w:t>/</w:t>
                  </w:r>
                </w:p>
              </w:tc>
            </w:tr>
            <w:tr w14:paraId="03E5306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420" w:type="dxa"/>
                  <w:vMerge w:val="continue"/>
                  <w:noWrap w:val="0"/>
                  <w:vAlign w:val="center"/>
                </w:tcPr>
                <w:p w14:paraId="3DB34BAF">
                  <w:pPr>
                    <w:keepNext w:val="0"/>
                    <w:keepLines w:val="0"/>
                    <w:suppressLineNumbers w:val="0"/>
                    <w:spacing w:before="0" w:beforeAutospacing="0" w:after="0" w:afterAutospacing="0" w:line="288" w:lineRule="auto"/>
                    <w:ind w:left="0" w:right="0"/>
                    <w:jc w:val="center"/>
                    <w:rPr>
                      <w:rFonts w:hint="eastAsia"/>
                      <w:sz w:val="21"/>
                      <w:szCs w:val="21"/>
                      <w:highlight w:val="none"/>
                    </w:rPr>
                  </w:pPr>
                </w:p>
              </w:tc>
              <w:tc>
                <w:tcPr>
                  <w:tcW w:w="2667" w:type="dxa"/>
                  <w:noWrap w:val="0"/>
                  <w:vAlign w:val="center"/>
                </w:tcPr>
                <w:p w14:paraId="07744A65">
                  <w:pPr>
                    <w:keepNext w:val="0"/>
                    <w:keepLines w:val="0"/>
                    <w:widowControl/>
                    <w:suppressLineNumbers w:val="0"/>
                    <w:spacing w:before="0" w:beforeAutospacing="0" w:after="0" w:afterAutospacing="0" w:line="288" w:lineRule="auto"/>
                    <w:ind w:left="0" w:right="0"/>
                    <w:jc w:val="center"/>
                    <w:rPr>
                      <w:rFonts w:hint="eastAsia"/>
                      <w:sz w:val="21"/>
                      <w:szCs w:val="21"/>
                      <w:highlight w:val="none"/>
                    </w:rPr>
                  </w:pPr>
                  <w:r>
                    <w:rPr>
                      <w:rFonts w:hint="eastAsia" w:ascii="宋体" w:hAnsi="宋体" w:cs="宋体"/>
                      <w:color w:val="000000"/>
                      <w:kern w:val="0"/>
                      <w:sz w:val="21"/>
                      <w:szCs w:val="21"/>
                      <w:highlight w:val="none"/>
                      <w:lang w:bidi="ar"/>
                    </w:rPr>
                    <w:t>海岸线方向</w:t>
                  </w:r>
                  <w:r>
                    <w:rPr>
                      <w:rFonts w:hint="default"/>
                      <w:color w:val="000000"/>
                      <w:kern w:val="0"/>
                      <w:sz w:val="21"/>
                      <w:szCs w:val="21"/>
                      <w:highlight w:val="none"/>
                      <w:lang w:bidi="ar"/>
                    </w:rPr>
                    <w:t>/o</w:t>
                  </w:r>
                </w:p>
              </w:tc>
              <w:tc>
                <w:tcPr>
                  <w:tcW w:w="3118" w:type="dxa"/>
                  <w:noWrap w:val="0"/>
                  <w:vAlign w:val="center"/>
                </w:tcPr>
                <w:p w14:paraId="74218B5F">
                  <w:pPr>
                    <w:keepNext w:val="0"/>
                    <w:keepLines w:val="0"/>
                    <w:suppressLineNumbers w:val="0"/>
                    <w:spacing w:before="0" w:beforeAutospacing="0" w:after="0" w:afterAutospacing="0" w:line="288" w:lineRule="auto"/>
                    <w:ind w:left="0" w:right="0"/>
                    <w:jc w:val="center"/>
                    <w:rPr>
                      <w:rFonts w:hint="eastAsia"/>
                      <w:sz w:val="21"/>
                      <w:szCs w:val="21"/>
                      <w:highlight w:val="none"/>
                    </w:rPr>
                  </w:pPr>
                  <w:r>
                    <w:rPr>
                      <w:rFonts w:hint="eastAsia"/>
                      <w:sz w:val="21"/>
                      <w:szCs w:val="21"/>
                      <w:highlight w:val="none"/>
                    </w:rPr>
                    <w:t>/</w:t>
                  </w:r>
                </w:p>
              </w:tc>
            </w:tr>
          </w:tbl>
          <w:p w14:paraId="16006A36">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60" w:lineRule="auto"/>
              <w:ind w:left="0" w:right="0" w:firstLine="480" w:firstLineChars="200"/>
              <w:textAlignment w:val="auto"/>
              <w:rPr>
                <w:rFonts w:hint="eastAsia" w:ascii="Times New Roman" w:hAnsi="Times New Roman" w:eastAsia="宋体" w:cs="Times New Roman"/>
                <w:b w:val="0"/>
                <w:bCs w:val="0"/>
                <w:strike w:val="0"/>
                <w:dstrike w:val="0"/>
                <w:color w:val="auto"/>
                <w:kern w:val="2"/>
                <w:sz w:val="24"/>
                <w:szCs w:val="24"/>
                <w:highlight w:val="none"/>
                <w:lang w:val="en-US" w:eastAsia="zh-CN" w:bidi="ar-SA"/>
              </w:rPr>
            </w:pPr>
            <w:r>
              <w:rPr>
                <w:rFonts w:hint="eastAsia" w:ascii="Times New Roman" w:hAnsi="Times New Roman" w:eastAsia="宋体" w:cs="Times New Roman"/>
                <w:b w:val="0"/>
                <w:bCs w:val="0"/>
                <w:strike w:val="0"/>
                <w:dstrike w:val="0"/>
                <w:color w:val="auto"/>
                <w:kern w:val="2"/>
                <w:sz w:val="24"/>
                <w:szCs w:val="24"/>
                <w:highlight w:val="none"/>
                <w:lang w:val="en-US" w:eastAsia="zh-CN" w:bidi="ar-SA"/>
              </w:rPr>
              <w:t>（3）源强参数</w:t>
            </w:r>
          </w:p>
          <w:p w14:paraId="202BC48D">
            <w:pPr>
              <w:keepNext w:val="0"/>
              <w:keepLines w:val="0"/>
              <w:suppressLineNumbers w:val="0"/>
              <w:adjustRightInd w:val="0"/>
              <w:snapToGrid w:val="0"/>
              <w:spacing w:before="0" w:beforeAutospacing="0" w:after="0" w:afterAutospacing="0" w:line="360" w:lineRule="auto"/>
              <w:ind w:left="0" w:right="0" w:firstLine="480" w:firstLineChars="200"/>
              <w:jc w:val="left"/>
              <w:rPr>
                <w:rFonts w:hint="eastAsia"/>
                <w:b/>
                <w:color w:val="auto"/>
                <w:kern w:val="0"/>
                <w:sz w:val="24"/>
                <w:highlight w:val="none"/>
              </w:rPr>
            </w:pPr>
            <w:r>
              <w:rPr>
                <w:rFonts w:hint="eastAsia" w:ascii="Times New Roman" w:hAnsi="Times New Roman" w:eastAsia="宋体" w:cs="Times New Roman"/>
                <w:b w:val="0"/>
                <w:bCs w:val="0"/>
                <w:strike w:val="0"/>
                <w:dstrike w:val="0"/>
                <w:color w:val="auto"/>
                <w:kern w:val="2"/>
                <w:sz w:val="24"/>
                <w:szCs w:val="24"/>
                <w:highlight w:val="none"/>
                <w:lang w:val="en-US" w:eastAsia="zh-CN" w:bidi="ar-SA"/>
              </w:rPr>
              <w:t>项目点源、面源参数如下所示：</w:t>
            </w:r>
          </w:p>
          <w:p w14:paraId="35426B43">
            <w:pPr>
              <w:keepNext w:val="0"/>
              <w:keepLines w:val="0"/>
              <w:widowControl w:val="0"/>
              <w:suppressLineNumbers w:val="0"/>
              <w:spacing w:before="0" w:beforeAutospacing="0" w:after="0" w:afterAutospacing="0" w:line="360" w:lineRule="auto"/>
              <w:ind w:left="0" w:right="0" w:firstLine="482" w:firstLineChars="200"/>
              <w:jc w:val="center"/>
              <w:rPr>
                <w:rFonts w:hint="eastAsia" w:ascii="Times New Roman" w:hAnsi="Times New Roman" w:eastAsia="宋体" w:cs="Times New Roman"/>
                <w:b/>
                <w:bCs/>
                <w:kern w:val="2"/>
                <w:sz w:val="24"/>
                <w:szCs w:val="24"/>
                <w:highlight w:val="none"/>
              </w:rPr>
            </w:pPr>
            <w:r>
              <w:rPr>
                <w:rFonts w:hint="eastAsia" w:ascii="宋体" w:hAnsi="宋体" w:eastAsia="宋体" w:cs="宋体"/>
                <w:b/>
                <w:bCs/>
                <w:kern w:val="2"/>
                <w:sz w:val="24"/>
                <w:szCs w:val="24"/>
                <w:highlight w:val="none"/>
                <w:lang w:val="en-US" w:eastAsia="zh-CN" w:bidi="ar"/>
              </w:rPr>
              <w:t>表</w:t>
            </w:r>
            <w:r>
              <w:rPr>
                <w:rFonts w:hint="default" w:ascii="Times New Roman" w:hAnsi="Times New Roman" w:eastAsia="宋体" w:cs="Times New Roman"/>
                <w:b/>
                <w:bCs/>
                <w:kern w:val="2"/>
                <w:sz w:val="24"/>
                <w:szCs w:val="24"/>
                <w:highlight w:val="none"/>
                <w:lang w:val="en-US" w:eastAsia="zh-CN" w:bidi="ar"/>
              </w:rPr>
              <w:t>7-</w:t>
            </w:r>
            <w:r>
              <w:rPr>
                <w:rFonts w:hint="eastAsia" w:ascii="Times New Roman" w:hAnsi="Times New Roman" w:eastAsia="宋体" w:cs="Times New Roman"/>
                <w:b/>
                <w:bCs/>
                <w:kern w:val="2"/>
                <w:sz w:val="24"/>
                <w:szCs w:val="24"/>
                <w:highlight w:val="none"/>
                <w:lang w:val="en-US" w:eastAsia="zh-CN" w:bidi="ar"/>
              </w:rPr>
              <w:t xml:space="preserve">4 </w:t>
            </w:r>
            <w:r>
              <w:rPr>
                <w:rFonts w:hint="eastAsia" w:ascii="宋体" w:hAnsi="宋体" w:eastAsia="宋体" w:cs="宋体"/>
                <w:b/>
                <w:bCs/>
                <w:kern w:val="2"/>
                <w:sz w:val="24"/>
                <w:szCs w:val="24"/>
                <w:highlight w:val="none"/>
                <w:lang w:val="en-US" w:eastAsia="zh-CN" w:bidi="ar"/>
              </w:rPr>
              <w:t>点源参数调查清单</w:t>
            </w:r>
          </w:p>
          <w:tbl>
            <w:tblPr>
              <w:tblStyle w:val="32"/>
              <w:tblW w:w="8203" w:type="dxa"/>
              <w:tblInd w:w="8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Layout w:type="fixed"/>
              <w:tblCellMar>
                <w:top w:w="0" w:type="dxa"/>
                <w:left w:w="28" w:type="dxa"/>
                <w:bottom w:w="0" w:type="dxa"/>
                <w:right w:w="28" w:type="dxa"/>
              </w:tblCellMar>
            </w:tblPr>
            <w:tblGrid>
              <w:gridCol w:w="470"/>
              <w:gridCol w:w="723"/>
              <w:gridCol w:w="787"/>
              <w:gridCol w:w="788"/>
              <w:gridCol w:w="675"/>
              <w:gridCol w:w="637"/>
              <w:gridCol w:w="833"/>
              <w:gridCol w:w="622"/>
              <w:gridCol w:w="660"/>
              <w:gridCol w:w="683"/>
              <w:gridCol w:w="663"/>
              <w:gridCol w:w="662"/>
            </w:tblGrid>
            <w:tr w14:paraId="59F9268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28" w:type="dxa"/>
                  <w:bottom w:w="0" w:type="dxa"/>
                  <w:right w:w="28" w:type="dxa"/>
                </w:tblCellMar>
              </w:tblPrEx>
              <w:trPr>
                <w:trHeight w:val="345" w:hRule="atLeast"/>
              </w:trPr>
              <w:tc>
                <w:tcPr>
                  <w:tcW w:w="470" w:type="dxa"/>
                  <w:vMerge w:val="restart"/>
                  <w:tcBorders>
                    <w:top w:val="single" w:color="auto" w:sz="4" w:space="0"/>
                    <w:left w:val="single" w:color="auto" w:sz="4" w:space="0"/>
                    <w:bottom w:val="single" w:color="auto" w:sz="4" w:space="0"/>
                    <w:right w:val="single" w:color="auto" w:sz="4" w:space="0"/>
                  </w:tcBorders>
                  <w:shd w:val="clear" w:color="auto" w:fill="auto"/>
                  <w:vAlign w:val="center"/>
                </w:tcPr>
                <w:p w14:paraId="265F69F4">
                  <w:pPr>
                    <w:keepNext w:val="0"/>
                    <w:keepLines w:val="0"/>
                    <w:widowControl/>
                    <w:suppressLineNumbers w:val="0"/>
                    <w:spacing w:before="0" w:beforeAutospacing="0" w:after="0" w:afterAutospacing="0"/>
                    <w:ind w:left="0" w:right="0"/>
                    <w:jc w:val="center"/>
                    <w:rPr>
                      <w:rFonts w:hint="eastAsia" w:ascii="Times New Roman" w:hAnsi="Times New Roman" w:eastAsia="宋体" w:cs="Times New Roman"/>
                      <w:kern w:val="2"/>
                      <w:sz w:val="18"/>
                      <w:szCs w:val="18"/>
                      <w:highlight w:val="none"/>
                    </w:rPr>
                  </w:pPr>
                  <w:r>
                    <w:rPr>
                      <w:rFonts w:hint="eastAsia" w:ascii="宋体" w:hAnsi="宋体" w:eastAsia="宋体" w:cs="宋体"/>
                      <w:color w:val="000000"/>
                      <w:kern w:val="0"/>
                      <w:sz w:val="18"/>
                      <w:szCs w:val="18"/>
                      <w:highlight w:val="none"/>
                      <w:lang w:val="en-US" w:eastAsia="zh-CN" w:bidi="ar"/>
                    </w:rPr>
                    <w:t>名称</w:t>
                  </w:r>
                </w:p>
              </w:tc>
              <w:tc>
                <w:tcPr>
                  <w:tcW w:w="1510" w:type="dxa"/>
                  <w:gridSpan w:val="2"/>
                  <w:tcBorders>
                    <w:top w:val="single" w:color="auto" w:sz="4" w:space="0"/>
                    <w:left w:val="single" w:color="auto" w:sz="4" w:space="0"/>
                    <w:bottom w:val="single" w:color="auto" w:sz="4" w:space="0"/>
                    <w:right w:val="single" w:color="auto" w:sz="4" w:space="0"/>
                  </w:tcBorders>
                  <w:shd w:val="clear" w:color="auto" w:fill="auto"/>
                  <w:vAlign w:val="center"/>
                </w:tcPr>
                <w:p w14:paraId="43B3494D">
                  <w:pPr>
                    <w:keepNext w:val="0"/>
                    <w:keepLines w:val="0"/>
                    <w:widowControl/>
                    <w:suppressLineNumbers w:val="0"/>
                    <w:spacing w:before="0" w:beforeAutospacing="0" w:after="0" w:afterAutospacing="0"/>
                    <w:ind w:left="0" w:right="0"/>
                    <w:jc w:val="center"/>
                    <w:rPr>
                      <w:rFonts w:hint="eastAsia" w:ascii="宋体" w:hAnsi="宋体" w:eastAsia="宋体" w:cs="宋体"/>
                      <w:color w:val="000000"/>
                      <w:kern w:val="0"/>
                      <w:sz w:val="18"/>
                      <w:szCs w:val="18"/>
                      <w:highlight w:val="none"/>
                    </w:rPr>
                  </w:pPr>
                  <w:r>
                    <w:rPr>
                      <w:rFonts w:hint="eastAsia" w:ascii="宋体" w:hAnsi="宋体" w:eastAsia="宋体" w:cs="宋体"/>
                      <w:color w:val="000000"/>
                      <w:kern w:val="0"/>
                      <w:sz w:val="18"/>
                      <w:szCs w:val="18"/>
                      <w:highlight w:val="none"/>
                      <w:lang w:val="en-US" w:eastAsia="zh-CN" w:bidi="ar"/>
                    </w:rPr>
                    <w:t>排气筒底部中心坐标</w:t>
                  </w:r>
                </w:p>
              </w:tc>
              <w:tc>
                <w:tcPr>
                  <w:tcW w:w="788" w:type="dxa"/>
                  <w:vMerge w:val="restart"/>
                  <w:tcBorders>
                    <w:top w:val="single" w:color="auto" w:sz="4" w:space="0"/>
                    <w:left w:val="single" w:color="auto" w:sz="4" w:space="0"/>
                    <w:bottom w:val="single" w:color="auto" w:sz="4" w:space="0"/>
                    <w:right w:val="single" w:color="auto" w:sz="4" w:space="0"/>
                  </w:tcBorders>
                  <w:shd w:val="clear" w:color="auto" w:fill="auto"/>
                  <w:vAlign w:val="center"/>
                </w:tcPr>
                <w:p w14:paraId="160BE5FA">
                  <w:pPr>
                    <w:keepNext w:val="0"/>
                    <w:keepLines w:val="0"/>
                    <w:widowControl/>
                    <w:suppressLineNumbers w:val="0"/>
                    <w:spacing w:before="0" w:beforeAutospacing="0" w:after="0" w:afterAutospacing="0"/>
                    <w:ind w:left="0" w:right="0"/>
                    <w:jc w:val="center"/>
                    <w:rPr>
                      <w:rFonts w:hint="eastAsia" w:ascii="Times New Roman" w:hAnsi="Times New Roman" w:eastAsia="宋体" w:cs="Times New Roman"/>
                      <w:kern w:val="2"/>
                      <w:sz w:val="18"/>
                      <w:szCs w:val="18"/>
                      <w:highlight w:val="none"/>
                    </w:rPr>
                  </w:pPr>
                  <w:r>
                    <w:rPr>
                      <w:rFonts w:hint="eastAsia" w:ascii="宋体" w:hAnsi="宋体" w:eastAsia="宋体" w:cs="宋体"/>
                      <w:color w:val="000000"/>
                      <w:kern w:val="0"/>
                      <w:sz w:val="18"/>
                      <w:szCs w:val="18"/>
                      <w:highlight w:val="none"/>
                      <w:lang w:val="en-US" w:eastAsia="zh-CN" w:bidi="ar"/>
                    </w:rPr>
                    <w:t>排气筒底部海拔高度</w:t>
                  </w:r>
                  <w:r>
                    <w:rPr>
                      <w:rFonts w:hint="default" w:ascii="Times New Roman" w:hAnsi="Times New Roman" w:eastAsia="宋体" w:cs="Times New Roman"/>
                      <w:color w:val="000000"/>
                      <w:kern w:val="0"/>
                      <w:sz w:val="18"/>
                      <w:szCs w:val="18"/>
                      <w:highlight w:val="none"/>
                      <w:lang w:val="en-US" w:eastAsia="zh-CN" w:bidi="ar"/>
                    </w:rPr>
                    <w:t>/m</w:t>
                  </w:r>
                </w:p>
              </w:tc>
              <w:tc>
                <w:tcPr>
                  <w:tcW w:w="675" w:type="dxa"/>
                  <w:vMerge w:val="restart"/>
                  <w:tcBorders>
                    <w:top w:val="single" w:color="auto" w:sz="4" w:space="0"/>
                    <w:left w:val="single" w:color="auto" w:sz="4" w:space="0"/>
                    <w:bottom w:val="single" w:color="auto" w:sz="4" w:space="0"/>
                    <w:right w:val="single" w:color="auto" w:sz="4" w:space="0"/>
                  </w:tcBorders>
                  <w:shd w:val="clear" w:color="auto" w:fill="auto"/>
                  <w:vAlign w:val="center"/>
                </w:tcPr>
                <w:p w14:paraId="208D022A">
                  <w:pPr>
                    <w:keepNext w:val="0"/>
                    <w:keepLines w:val="0"/>
                    <w:widowControl/>
                    <w:suppressLineNumbers w:val="0"/>
                    <w:spacing w:before="0" w:beforeAutospacing="0" w:after="0" w:afterAutospacing="0"/>
                    <w:ind w:left="0" w:right="0"/>
                    <w:jc w:val="center"/>
                    <w:rPr>
                      <w:rFonts w:hint="eastAsia" w:ascii="Times New Roman" w:hAnsi="Times New Roman" w:eastAsia="宋体" w:cs="Times New Roman"/>
                      <w:kern w:val="2"/>
                      <w:sz w:val="18"/>
                      <w:szCs w:val="18"/>
                      <w:highlight w:val="none"/>
                    </w:rPr>
                  </w:pPr>
                  <w:r>
                    <w:rPr>
                      <w:rFonts w:hint="eastAsia" w:ascii="宋体" w:hAnsi="宋体" w:eastAsia="宋体" w:cs="宋体"/>
                      <w:color w:val="000000"/>
                      <w:kern w:val="0"/>
                      <w:sz w:val="18"/>
                      <w:szCs w:val="18"/>
                      <w:highlight w:val="none"/>
                      <w:lang w:val="en-US" w:eastAsia="zh-CN" w:bidi="ar"/>
                    </w:rPr>
                    <w:t>排气筒高度</w:t>
                  </w:r>
                  <w:r>
                    <w:rPr>
                      <w:rFonts w:hint="default" w:ascii="Times New Roman" w:hAnsi="Times New Roman" w:eastAsia="宋体" w:cs="Times New Roman"/>
                      <w:color w:val="000000"/>
                      <w:kern w:val="0"/>
                      <w:sz w:val="18"/>
                      <w:szCs w:val="18"/>
                      <w:highlight w:val="none"/>
                      <w:lang w:val="en-US" w:eastAsia="zh-CN" w:bidi="ar"/>
                    </w:rPr>
                    <w:t>/m</w:t>
                  </w:r>
                </w:p>
              </w:tc>
              <w:tc>
                <w:tcPr>
                  <w:tcW w:w="637" w:type="dxa"/>
                  <w:vMerge w:val="restart"/>
                  <w:tcBorders>
                    <w:top w:val="single" w:color="auto" w:sz="4" w:space="0"/>
                    <w:left w:val="single" w:color="auto" w:sz="4" w:space="0"/>
                    <w:bottom w:val="single" w:color="auto" w:sz="4" w:space="0"/>
                    <w:right w:val="single" w:color="auto" w:sz="4" w:space="0"/>
                  </w:tcBorders>
                  <w:shd w:val="clear" w:color="auto" w:fill="auto"/>
                  <w:vAlign w:val="center"/>
                </w:tcPr>
                <w:p w14:paraId="3810C290">
                  <w:pPr>
                    <w:keepNext w:val="0"/>
                    <w:keepLines w:val="0"/>
                    <w:widowControl/>
                    <w:suppressLineNumbers w:val="0"/>
                    <w:spacing w:before="0" w:beforeAutospacing="0" w:after="0" w:afterAutospacing="0"/>
                    <w:ind w:left="0" w:right="0"/>
                    <w:jc w:val="center"/>
                    <w:rPr>
                      <w:rFonts w:hint="eastAsia" w:ascii="Times New Roman" w:hAnsi="Times New Roman" w:eastAsia="宋体" w:cs="Times New Roman"/>
                      <w:kern w:val="2"/>
                      <w:sz w:val="18"/>
                      <w:szCs w:val="18"/>
                      <w:highlight w:val="none"/>
                    </w:rPr>
                  </w:pPr>
                  <w:r>
                    <w:rPr>
                      <w:rFonts w:hint="eastAsia" w:ascii="宋体" w:hAnsi="宋体" w:eastAsia="宋体" w:cs="宋体"/>
                      <w:color w:val="000000"/>
                      <w:kern w:val="0"/>
                      <w:sz w:val="18"/>
                      <w:szCs w:val="18"/>
                      <w:highlight w:val="none"/>
                      <w:lang w:val="en-US" w:eastAsia="zh-CN" w:bidi="ar"/>
                    </w:rPr>
                    <w:t>排气筒出口内径</w:t>
                  </w:r>
                  <w:r>
                    <w:rPr>
                      <w:rFonts w:hint="default" w:ascii="Times New Roman" w:hAnsi="Times New Roman" w:eastAsia="宋体" w:cs="Times New Roman"/>
                      <w:color w:val="000000"/>
                      <w:kern w:val="0"/>
                      <w:sz w:val="18"/>
                      <w:szCs w:val="18"/>
                      <w:highlight w:val="none"/>
                      <w:lang w:val="en-US" w:eastAsia="zh-CN" w:bidi="ar"/>
                    </w:rPr>
                    <w:t>/m</w:t>
                  </w:r>
                </w:p>
              </w:tc>
              <w:tc>
                <w:tcPr>
                  <w:tcW w:w="833" w:type="dxa"/>
                  <w:vMerge w:val="restart"/>
                  <w:tcBorders>
                    <w:top w:val="single" w:color="auto" w:sz="4" w:space="0"/>
                    <w:left w:val="single" w:color="auto" w:sz="4" w:space="0"/>
                    <w:bottom w:val="single" w:color="auto" w:sz="4" w:space="0"/>
                    <w:right w:val="single" w:color="auto" w:sz="4" w:space="0"/>
                  </w:tcBorders>
                  <w:shd w:val="clear" w:color="auto" w:fill="auto"/>
                  <w:vAlign w:val="center"/>
                </w:tcPr>
                <w:p w14:paraId="18CF266A">
                  <w:pPr>
                    <w:keepNext w:val="0"/>
                    <w:keepLines w:val="0"/>
                    <w:widowControl/>
                    <w:suppressLineNumbers w:val="0"/>
                    <w:spacing w:before="0" w:beforeAutospacing="0" w:after="0" w:afterAutospacing="0"/>
                    <w:ind w:left="0" w:right="0"/>
                    <w:jc w:val="center"/>
                    <w:rPr>
                      <w:rFonts w:hint="default" w:ascii="Times New Roman" w:hAnsi="Times New Roman" w:eastAsia="宋体" w:cs="Times New Roman"/>
                      <w:kern w:val="2"/>
                      <w:sz w:val="18"/>
                      <w:szCs w:val="18"/>
                      <w:highlight w:val="none"/>
                    </w:rPr>
                  </w:pPr>
                  <w:r>
                    <w:rPr>
                      <w:rFonts w:hint="eastAsia" w:ascii="宋体" w:hAnsi="宋体" w:eastAsia="宋体" w:cs="宋体"/>
                      <w:color w:val="000000"/>
                      <w:kern w:val="0"/>
                      <w:sz w:val="18"/>
                      <w:szCs w:val="18"/>
                      <w:highlight w:val="none"/>
                      <w:lang w:val="en-US" w:eastAsia="zh-CN" w:bidi="ar"/>
                    </w:rPr>
                    <w:t>烟气</w:t>
                  </w:r>
                </w:p>
                <w:p w14:paraId="2D342189">
                  <w:pPr>
                    <w:keepNext w:val="0"/>
                    <w:keepLines w:val="0"/>
                    <w:widowControl/>
                    <w:suppressLineNumbers w:val="0"/>
                    <w:spacing w:before="0" w:beforeAutospacing="0" w:after="0" w:afterAutospacing="0"/>
                    <w:ind w:left="0" w:right="0"/>
                    <w:jc w:val="center"/>
                    <w:rPr>
                      <w:rFonts w:hint="default" w:ascii="Times New Roman" w:hAnsi="Times New Roman" w:eastAsia="宋体" w:cs="Times New Roman"/>
                      <w:kern w:val="2"/>
                      <w:sz w:val="18"/>
                      <w:szCs w:val="18"/>
                      <w:highlight w:val="none"/>
                    </w:rPr>
                  </w:pPr>
                  <w:r>
                    <w:rPr>
                      <w:rFonts w:hint="eastAsia" w:ascii="宋体" w:hAnsi="宋体" w:eastAsia="宋体" w:cs="宋体"/>
                      <w:color w:val="000000"/>
                      <w:kern w:val="0"/>
                      <w:sz w:val="18"/>
                      <w:szCs w:val="18"/>
                      <w:highlight w:val="none"/>
                      <w:lang w:val="en-US" w:eastAsia="zh-CN" w:bidi="ar"/>
                    </w:rPr>
                    <w:t>流量</w:t>
                  </w:r>
                </w:p>
                <w:p w14:paraId="58352BA5">
                  <w:pPr>
                    <w:keepNext w:val="0"/>
                    <w:keepLines w:val="0"/>
                    <w:widowControl/>
                    <w:suppressLineNumbers w:val="0"/>
                    <w:spacing w:before="0" w:beforeAutospacing="0" w:after="0" w:afterAutospacing="0"/>
                    <w:ind w:left="0" w:right="0"/>
                    <w:jc w:val="center"/>
                    <w:rPr>
                      <w:rFonts w:hint="eastAsia" w:ascii="Times New Roman" w:hAnsi="Times New Roman" w:eastAsia="宋体" w:cs="Times New Roman"/>
                      <w:kern w:val="2"/>
                      <w:sz w:val="18"/>
                      <w:szCs w:val="18"/>
                      <w:highlight w:val="none"/>
                    </w:rPr>
                  </w:pPr>
                  <w:r>
                    <w:rPr>
                      <w:rFonts w:hint="default" w:ascii="Times New Roman" w:hAnsi="Times New Roman" w:eastAsia="宋体" w:cs="Times New Roman"/>
                      <w:color w:val="000000"/>
                      <w:kern w:val="0"/>
                      <w:sz w:val="18"/>
                      <w:szCs w:val="18"/>
                      <w:highlight w:val="none"/>
                      <w:lang w:val="en-US" w:eastAsia="zh-CN" w:bidi="ar"/>
                    </w:rPr>
                    <w:t>m</w:t>
                  </w:r>
                  <w:r>
                    <w:rPr>
                      <w:rFonts w:hint="default" w:ascii="Times New Roman" w:hAnsi="Times New Roman" w:eastAsia="宋体" w:cs="Times New Roman"/>
                      <w:color w:val="000000"/>
                      <w:kern w:val="0"/>
                      <w:sz w:val="18"/>
                      <w:szCs w:val="18"/>
                      <w:highlight w:val="none"/>
                      <w:vertAlign w:val="superscript"/>
                      <w:lang w:val="en-US" w:eastAsia="zh-CN" w:bidi="ar"/>
                    </w:rPr>
                    <w:t>3</w:t>
                  </w:r>
                  <w:r>
                    <w:rPr>
                      <w:rFonts w:hint="default" w:ascii="Times New Roman" w:hAnsi="Times New Roman" w:eastAsia="宋体" w:cs="Times New Roman"/>
                      <w:color w:val="000000"/>
                      <w:kern w:val="0"/>
                      <w:sz w:val="18"/>
                      <w:szCs w:val="18"/>
                      <w:highlight w:val="none"/>
                      <w:lang w:val="en-US" w:eastAsia="zh-CN" w:bidi="ar"/>
                    </w:rPr>
                    <w:t>/s</w:t>
                  </w:r>
                </w:p>
              </w:tc>
              <w:tc>
                <w:tcPr>
                  <w:tcW w:w="622" w:type="dxa"/>
                  <w:vMerge w:val="restart"/>
                  <w:tcBorders>
                    <w:top w:val="single" w:color="auto" w:sz="4" w:space="0"/>
                    <w:left w:val="single" w:color="auto" w:sz="4" w:space="0"/>
                    <w:bottom w:val="single" w:color="auto" w:sz="4" w:space="0"/>
                    <w:right w:val="single" w:color="auto" w:sz="4" w:space="0"/>
                  </w:tcBorders>
                  <w:shd w:val="clear" w:color="auto" w:fill="auto"/>
                  <w:vAlign w:val="center"/>
                </w:tcPr>
                <w:p w14:paraId="4CDE9962">
                  <w:pPr>
                    <w:keepNext w:val="0"/>
                    <w:keepLines w:val="0"/>
                    <w:widowControl/>
                    <w:suppressLineNumbers w:val="0"/>
                    <w:spacing w:before="0" w:beforeAutospacing="0" w:after="0" w:afterAutospacing="0"/>
                    <w:ind w:left="0" w:right="0"/>
                    <w:jc w:val="center"/>
                    <w:rPr>
                      <w:rFonts w:hint="default" w:ascii="Times New Roman" w:hAnsi="Times New Roman" w:eastAsia="宋体" w:cs="Times New Roman"/>
                      <w:kern w:val="2"/>
                      <w:sz w:val="18"/>
                      <w:szCs w:val="18"/>
                      <w:highlight w:val="none"/>
                    </w:rPr>
                  </w:pPr>
                  <w:r>
                    <w:rPr>
                      <w:rFonts w:hint="eastAsia" w:ascii="宋体" w:hAnsi="宋体" w:eastAsia="宋体" w:cs="宋体"/>
                      <w:color w:val="000000"/>
                      <w:kern w:val="0"/>
                      <w:sz w:val="18"/>
                      <w:szCs w:val="18"/>
                      <w:highlight w:val="none"/>
                      <w:lang w:val="en-US" w:eastAsia="zh-CN" w:bidi="ar"/>
                    </w:rPr>
                    <w:t>烟气</w:t>
                  </w:r>
                </w:p>
                <w:p w14:paraId="755D847B">
                  <w:pPr>
                    <w:keepNext w:val="0"/>
                    <w:keepLines w:val="0"/>
                    <w:widowControl/>
                    <w:suppressLineNumbers w:val="0"/>
                    <w:spacing w:before="0" w:beforeAutospacing="0" w:after="0" w:afterAutospacing="0"/>
                    <w:ind w:left="0" w:right="0"/>
                    <w:jc w:val="center"/>
                    <w:rPr>
                      <w:rFonts w:hint="default" w:ascii="Times New Roman" w:hAnsi="Times New Roman" w:eastAsia="宋体" w:cs="Times New Roman"/>
                      <w:kern w:val="2"/>
                      <w:sz w:val="18"/>
                      <w:szCs w:val="18"/>
                      <w:highlight w:val="none"/>
                    </w:rPr>
                  </w:pPr>
                  <w:r>
                    <w:rPr>
                      <w:rFonts w:hint="eastAsia" w:ascii="宋体" w:hAnsi="宋体" w:eastAsia="宋体" w:cs="宋体"/>
                      <w:color w:val="000000"/>
                      <w:kern w:val="0"/>
                      <w:sz w:val="18"/>
                      <w:szCs w:val="18"/>
                      <w:highlight w:val="none"/>
                      <w:lang w:val="en-US" w:eastAsia="zh-CN" w:bidi="ar"/>
                    </w:rPr>
                    <w:t>温度</w:t>
                  </w:r>
                </w:p>
                <w:p w14:paraId="1D5E62FB">
                  <w:pPr>
                    <w:keepNext w:val="0"/>
                    <w:keepLines w:val="0"/>
                    <w:widowControl/>
                    <w:suppressLineNumbers w:val="0"/>
                    <w:spacing w:before="0" w:beforeAutospacing="0" w:after="0" w:afterAutospacing="0"/>
                    <w:ind w:left="0" w:right="0"/>
                    <w:jc w:val="center"/>
                    <w:rPr>
                      <w:rFonts w:hint="eastAsia" w:ascii="Times New Roman" w:hAnsi="Times New Roman" w:eastAsia="宋体" w:cs="Times New Roman"/>
                      <w:kern w:val="2"/>
                      <w:sz w:val="18"/>
                      <w:szCs w:val="18"/>
                      <w:highlight w:val="none"/>
                    </w:rPr>
                  </w:pPr>
                  <w:r>
                    <w:rPr>
                      <w:rFonts w:hint="default" w:ascii="Times New Roman" w:hAnsi="Times New Roman" w:eastAsia="宋体" w:cs="Times New Roman"/>
                      <w:color w:val="000000"/>
                      <w:kern w:val="0"/>
                      <w:sz w:val="18"/>
                      <w:szCs w:val="18"/>
                      <w:highlight w:val="none"/>
                      <w:lang w:val="en-US" w:eastAsia="zh-CN" w:bidi="ar"/>
                    </w:rPr>
                    <w:t>/</w:t>
                  </w:r>
                  <w:r>
                    <w:rPr>
                      <w:rFonts w:hint="eastAsia" w:ascii="宋体" w:hAnsi="宋体" w:eastAsia="宋体" w:cs="宋体"/>
                      <w:color w:val="000000"/>
                      <w:kern w:val="0"/>
                      <w:sz w:val="18"/>
                      <w:szCs w:val="18"/>
                      <w:highlight w:val="none"/>
                      <w:lang w:val="en-US" w:eastAsia="zh-CN" w:bidi="ar"/>
                    </w:rPr>
                    <w:t>℃</w:t>
                  </w:r>
                </w:p>
              </w:tc>
              <w:tc>
                <w:tcPr>
                  <w:tcW w:w="660" w:type="dxa"/>
                  <w:vMerge w:val="restart"/>
                  <w:tcBorders>
                    <w:top w:val="single" w:color="auto" w:sz="4" w:space="0"/>
                    <w:left w:val="single" w:color="auto" w:sz="4" w:space="0"/>
                    <w:bottom w:val="single" w:color="auto" w:sz="4" w:space="0"/>
                    <w:right w:val="single" w:color="auto" w:sz="4" w:space="0"/>
                  </w:tcBorders>
                  <w:shd w:val="clear" w:color="auto" w:fill="auto"/>
                  <w:vAlign w:val="center"/>
                </w:tcPr>
                <w:p w14:paraId="2829A540">
                  <w:pPr>
                    <w:keepNext w:val="0"/>
                    <w:keepLines w:val="0"/>
                    <w:widowControl/>
                    <w:suppressLineNumbers w:val="0"/>
                    <w:spacing w:before="0" w:beforeAutospacing="0" w:after="0" w:afterAutospacing="0"/>
                    <w:ind w:left="0" w:right="0"/>
                    <w:jc w:val="center"/>
                    <w:rPr>
                      <w:rFonts w:hint="default" w:ascii="Times New Roman" w:hAnsi="Times New Roman" w:eastAsia="宋体" w:cs="Times New Roman"/>
                      <w:kern w:val="2"/>
                      <w:sz w:val="18"/>
                      <w:szCs w:val="18"/>
                      <w:highlight w:val="none"/>
                    </w:rPr>
                  </w:pPr>
                  <w:r>
                    <w:rPr>
                      <w:rFonts w:hint="eastAsia" w:ascii="宋体" w:hAnsi="宋体" w:eastAsia="宋体" w:cs="宋体"/>
                      <w:color w:val="000000"/>
                      <w:kern w:val="0"/>
                      <w:sz w:val="18"/>
                      <w:szCs w:val="18"/>
                      <w:highlight w:val="none"/>
                      <w:lang w:val="en-US" w:eastAsia="zh-CN" w:bidi="ar"/>
                    </w:rPr>
                    <w:t>年排放小时数</w:t>
                  </w:r>
                </w:p>
                <w:p w14:paraId="41D6E884">
                  <w:pPr>
                    <w:keepNext w:val="0"/>
                    <w:keepLines w:val="0"/>
                    <w:widowControl/>
                    <w:suppressLineNumbers w:val="0"/>
                    <w:spacing w:before="0" w:beforeAutospacing="0" w:after="0" w:afterAutospacing="0"/>
                    <w:ind w:left="0" w:right="0"/>
                    <w:jc w:val="center"/>
                    <w:rPr>
                      <w:rFonts w:hint="eastAsia" w:ascii="Times New Roman" w:hAnsi="Times New Roman" w:eastAsia="宋体" w:cs="Times New Roman"/>
                      <w:kern w:val="2"/>
                      <w:sz w:val="18"/>
                      <w:szCs w:val="18"/>
                      <w:highlight w:val="none"/>
                    </w:rPr>
                  </w:pPr>
                  <w:r>
                    <w:rPr>
                      <w:rFonts w:hint="default" w:ascii="Times New Roman" w:hAnsi="Times New Roman" w:eastAsia="宋体" w:cs="Times New Roman"/>
                      <w:color w:val="000000"/>
                      <w:kern w:val="0"/>
                      <w:sz w:val="18"/>
                      <w:szCs w:val="18"/>
                      <w:highlight w:val="none"/>
                      <w:lang w:val="en-US" w:eastAsia="zh-CN" w:bidi="ar"/>
                    </w:rPr>
                    <w:t>/h</w:t>
                  </w:r>
                </w:p>
              </w:tc>
              <w:tc>
                <w:tcPr>
                  <w:tcW w:w="683" w:type="dxa"/>
                  <w:vMerge w:val="restart"/>
                  <w:tcBorders>
                    <w:top w:val="single" w:color="auto" w:sz="4" w:space="0"/>
                    <w:left w:val="single" w:color="auto" w:sz="4" w:space="0"/>
                    <w:bottom w:val="single" w:color="auto" w:sz="4" w:space="0"/>
                    <w:right w:val="single" w:color="auto" w:sz="4" w:space="0"/>
                  </w:tcBorders>
                  <w:shd w:val="clear" w:color="auto" w:fill="auto"/>
                  <w:vAlign w:val="center"/>
                </w:tcPr>
                <w:p w14:paraId="7FA52A70">
                  <w:pPr>
                    <w:keepNext w:val="0"/>
                    <w:keepLines w:val="0"/>
                    <w:widowControl/>
                    <w:suppressLineNumbers w:val="0"/>
                    <w:spacing w:before="0" w:beforeAutospacing="0" w:after="0" w:afterAutospacing="0"/>
                    <w:ind w:left="0" w:right="0"/>
                    <w:jc w:val="center"/>
                    <w:rPr>
                      <w:rFonts w:hint="default" w:ascii="Times New Roman" w:hAnsi="Times New Roman" w:eastAsia="宋体" w:cs="Times New Roman"/>
                      <w:kern w:val="2"/>
                      <w:sz w:val="18"/>
                      <w:szCs w:val="18"/>
                      <w:highlight w:val="none"/>
                    </w:rPr>
                  </w:pPr>
                  <w:r>
                    <w:rPr>
                      <w:rFonts w:hint="eastAsia" w:ascii="宋体" w:hAnsi="宋体" w:eastAsia="宋体" w:cs="宋体"/>
                      <w:color w:val="000000"/>
                      <w:kern w:val="0"/>
                      <w:sz w:val="18"/>
                      <w:szCs w:val="18"/>
                      <w:highlight w:val="none"/>
                      <w:lang w:val="en-US" w:eastAsia="zh-CN" w:bidi="ar"/>
                    </w:rPr>
                    <w:t>排放</w:t>
                  </w:r>
                </w:p>
                <w:p w14:paraId="7D53A942">
                  <w:pPr>
                    <w:keepNext w:val="0"/>
                    <w:keepLines w:val="0"/>
                    <w:widowControl/>
                    <w:suppressLineNumbers w:val="0"/>
                    <w:spacing w:before="0" w:beforeAutospacing="0" w:after="0" w:afterAutospacing="0"/>
                    <w:ind w:left="0" w:right="0"/>
                    <w:jc w:val="center"/>
                    <w:rPr>
                      <w:rFonts w:hint="eastAsia" w:ascii="Times New Roman" w:hAnsi="Times New Roman" w:eastAsia="宋体" w:cs="Times New Roman"/>
                      <w:kern w:val="2"/>
                      <w:sz w:val="18"/>
                      <w:szCs w:val="18"/>
                      <w:highlight w:val="none"/>
                    </w:rPr>
                  </w:pPr>
                  <w:r>
                    <w:rPr>
                      <w:rFonts w:hint="eastAsia" w:ascii="宋体" w:hAnsi="宋体" w:eastAsia="宋体" w:cs="宋体"/>
                      <w:color w:val="000000"/>
                      <w:kern w:val="0"/>
                      <w:sz w:val="18"/>
                      <w:szCs w:val="18"/>
                      <w:highlight w:val="none"/>
                      <w:lang w:val="en-US" w:eastAsia="zh-CN" w:bidi="ar"/>
                    </w:rPr>
                    <w:t>工况</w:t>
                  </w:r>
                </w:p>
              </w:tc>
              <w:tc>
                <w:tcPr>
                  <w:tcW w:w="663" w:type="dxa"/>
                  <w:vMerge w:val="restart"/>
                  <w:tcBorders>
                    <w:top w:val="single" w:color="auto" w:sz="4" w:space="0"/>
                    <w:left w:val="single" w:color="auto" w:sz="4" w:space="0"/>
                    <w:bottom w:val="single" w:color="auto" w:sz="4" w:space="0"/>
                    <w:right w:val="single" w:color="auto" w:sz="4" w:space="0"/>
                  </w:tcBorders>
                  <w:shd w:val="clear" w:color="auto" w:fill="auto"/>
                  <w:vAlign w:val="center"/>
                </w:tcPr>
                <w:p w14:paraId="4CF97D6D">
                  <w:pPr>
                    <w:keepNext w:val="0"/>
                    <w:keepLines w:val="0"/>
                    <w:widowControl/>
                    <w:suppressLineNumbers w:val="0"/>
                    <w:spacing w:before="0" w:beforeAutospacing="0" w:after="0" w:afterAutospacing="0"/>
                    <w:ind w:left="0" w:right="0"/>
                    <w:jc w:val="center"/>
                    <w:rPr>
                      <w:rFonts w:hint="eastAsia" w:ascii="Times New Roman" w:hAnsi="Times New Roman" w:eastAsia="宋体" w:cs="Times New Roman"/>
                      <w:kern w:val="2"/>
                      <w:sz w:val="18"/>
                      <w:szCs w:val="18"/>
                      <w:highlight w:val="none"/>
                    </w:rPr>
                  </w:pPr>
                  <w:r>
                    <w:rPr>
                      <w:rFonts w:hint="eastAsia" w:ascii="宋体" w:hAnsi="宋体" w:eastAsia="宋体" w:cs="宋体"/>
                      <w:color w:val="000000"/>
                      <w:kern w:val="0"/>
                      <w:sz w:val="18"/>
                      <w:szCs w:val="18"/>
                      <w:highlight w:val="none"/>
                      <w:lang w:val="en-US" w:eastAsia="zh-CN" w:bidi="ar"/>
                    </w:rPr>
                    <w:t>污染物</w:t>
                  </w:r>
                </w:p>
              </w:tc>
              <w:tc>
                <w:tcPr>
                  <w:tcW w:w="662" w:type="dxa"/>
                  <w:vMerge w:val="restart"/>
                  <w:tcBorders>
                    <w:top w:val="single" w:color="auto" w:sz="4" w:space="0"/>
                    <w:left w:val="single" w:color="auto" w:sz="4" w:space="0"/>
                    <w:bottom w:val="single" w:color="auto" w:sz="4" w:space="0"/>
                    <w:right w:val="single" w:color="auto" w:sz="4" w:space="0"/>
                  </w:tcBorders>
                  <w:shd w:val="clear" w:color="auto" w:fill="auto"/>
                  <w:vAlign w:val="center"/>
                </w:tcPr>
                <w:p w14:paraId="653AE1C9">
                  <w:pPr>
                    <w:keepNext w:val="0"/>
                    <w:keepLines w:val="0"/>
                    <w:widowControl/>
                    <w:suppressLineNumbers w:val="0"/>
                    <w:spacing w:before="0" w:beforeAutospacing="0" w:after="0" w:afterAutospacing="0"/>
                    <w:ind w:left="0" w:right="0"/>
                    <w:jc w:val="center"/>
                    <w:rPr>
                      <w:rFonts w:hint="default" w:ascii="Times New Roman" w:hAnsi="Times New Roman" w:eastAsia="宋体" w:cs="Times New Roman"/>
                      <w:kern w:val="2"/>
                      <w:sz w:val="18"/>
                      <w:szCs w:val="18"/>
                      <w:highlight w:val="none"/>
                    </w:rPr>
                  </w:pPr>
                  <w:r>
                    <w:rPr>
                      <w:rFonts w:hint="eastAsia" w:ascii="宋体" w:hAnsi="宋体" w:eastAsia="宋体" w:cs="宋体"/>
                      <w:color w:val="000000"/>
                      <w:kern w:val="0"/>
                      <w:sz w:val="18"/>
                      <w:szCs w:val="18"/>
                      <w:highlight w:val="none"/>
                      <w:lang w:val="en-US" w:eastAsia="zh-CN" w:bidi="ar"/>
                    </w:rPr>
                    <w:t>排放速率</w:t>
                  </w:r>
                </w:p>
                <w:p w14:paraId="4670B9BB">
                  <w:pPr>
                    <w:keepNext w:val="0"/>
                    <w:keepLines w:val="0"/>
                    <w:widowControl/>
                    <w:suppressLineNumbers w:val="0"/>
                    <w:spacing w:before="0" w:beforeAutospacing="0" w:after="0" w:afterAutospacing="0"/>
                    <w:ind w:left="0" w:right="0"/>
                    <w:jc w:val="center"/>
                    <w:rPr>
                      <w:rFonts w:hint="eastAsia" w:ascii="Times New Roman" w:hAnsi="Times New Roman" w:eastAsia="宋体" w:cs="Times New Roman"/>
                      <w:kern w:val="2"/>
                      <w:sz w:val="18"/>
                      <w:szCs w:val="18"/>
                      <w:highlight w:val="none"/>
                    </w:rPr>
                  </w:pPr>
                  <w:r>
                    <w:rPr>
                      <w:rFonts w:hint="default" w:ascii="Times New Roman" w:hAnsi="Times New Roman" w:eastAsia="宋体" w:cs="Times New Roman"/>
                      <w:color w:val="000000"/>
                      <w:kern w:val="0"/>
                      <w:sz w:val="18"/>
                      <w:szCs w:val="18"/>
                      <w:highlight w:val="none"/>
                      <w:lang w:val="en-US" w:eastAsia="zh-CN" w:bidi="ar"/>
                    </w:rPr>
                    <w:t>kg/h</w:t>
                  </w:r>
                </w:p>
              </w:tc>
            </w:tr>
            <w:tr w14:paraId="3B9E29F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345" w:hRule="atLeast"/>
              </w:trPr>
              <w:tc>
                <w:tcPr>
                  <w:tcW w:w="470" w:type="dxa"/>
                  <w:vMerge w:val="continue"/>
                  <w:tcBorders>
                    <w:top w:val="single" w:color="auto" w:sz="4" w:space="0"/>
                    <w:left w:val="single" w:color="auto" w:sz="4" w:space="0"/>
                    <w:bottom w:val="single" w:color="auto" w:sz="4" w:space="0"/>
                    <w:right w:val="single" w:color="auto" w:sz="4" w:space="0"/>
                  </w:tcBorders>
                  <w:shd w:val="clear" w:color="auto" w:fill="auto"/>
                  <w:vAlign w:val="center"/>
                </w:tcPr>
                <w:p w14:paraId="6944FF1A">
                  <w:pPr>
                    <w:keepNext w:val="0"/>
                    <w:keepLines w:val="0"/>
                    <w:suppressLineNumbers w:val="0"/>
                    <w:spacing w:before="0" w:beforeAutospacing="0" w:after="0" w:afterAutospacing="0"/>
                    <w:ind w:left="0" w:right="0"/>
                    <w:rPr>
                      <w:rFonts w:hint="default" w:ascii="Times New Roman" w:hAnsi="Times New Roman" w:cs="Times New Roman"/>
                      <w:sz w:val="20"/>
                      <w:szCs w:val="20"/>
                      <w:highlight w:val="none"/>
                    </w:rPr>
                  </w:pPr>
                </w:p>
              </w:tc>
              <w:tc>
                <w:tcPr>
                  <w:tcW w:w="723" w:type="dxa"/>
                  <w:tcBorders>
                    <w:top w:val="single" w:color="auto" w:sz="4" w:space="0"/>
                    <w:left w:val="single" w:color="auto" w:sz="4" w:space="0"/>
                    <w:bottom w:val="single" w:color="auto" w:sz="4" w:space="0"/>
                    <w:right w:val="single" w:color="auto" w:sz="4" w:space="0"/>
                  </w:tcBorders>
                  <w:shd w:val="clear" w:color="auto" w:fill="auto"/>
                  <w:vAlign w:val="center"/>
                </w:tcPr>
                <w:p w14:paraId="532F1128">
                  <w:pPr>
                    <w:keepNext w:val="0"/>
                    <w:keepLines w:val="0"/>
                    <w:widowControl/>
                    <w:suppressLineNumbers w:val="0"/>
                    <w:spacing w:before="0" w:beforeAutospacing="0" w:after="0" w:afterAutospacing="0"/>
                    <w:ind w:left="0" w:right="0"/>
                    <w:jc w:val="center"/>
                    <w:rPr>
                      <w:rFonts w:hint="eastAsia" w:ascii="宋体" w:hAnsi="宋体" w:eastAsia="宋体" w:cs="宋体"/>
                      <w:color w:val="000000"/>
                      <w:kern w:val="0"/>
                      <w:sz w:val="18"/>
                      <w:szCs w:val="18"/>
                      <w:highlight w:val="none"/>
                    </w:rPr>
                  </w:pPr>
                  <w:r>
                    <w:rPr>
                      <w:rFonts w:hint="eastAsia" w:ascii="宋体" w:hAnsi="宋体" w:eastAsia="宋体" w:cs="宋体"/>
                      <w:color w:val="000000"/>
                      <w:kern w:val="0"/>
                      <w:sz w:val="18"/>
                      <w:szCs w:val="18"/>
                      <w:highlight w:val="none"/>
                      <w:lang w:val="en-US" w:eastAsia="zh-CN" w:bidi="ar"/>
                    </w:rPr>
                    <w:t>经度</w:t>
                  </w:r>
                </w:p>
              </w:tc>
              <w:tc>
                <w:tcPr>
                  <w:tcW w:w="787" w:type="dxa"/>
                  <w:tcBorders>
                    <w:top w:val="single" w:color="auto" w:sz="4" w:space="0"/>
                    <w:left w:val="single" w:color="auto" w:sz="4" w:space="0"/>
                    <w:bottom w:val="single" w:color="auto" w:sz="4" w:space="0"/>
                    <w:right w:val="single" w:color="auto" w:sz="4" w:space="0"/>
                  </w:tcBorders>
                  <w:shd w:val="clear" w:color="auto" w:fill="auto"/>
                  <w:vAlign w:val="center"/>
                </w:tcPr>
                <w:p w14:paraId="0D63D15F">
                  <w:pPr>
                    <w:keepNext w:val="0"/>
                    <w:keepLines w:val="0"/>
                    <w:widowControl/>
                    <w:suppressLineNumbers w:val="0"/>
                    <w:spacing w:before="0" w:beforeAutospacing="0" w:after="0" w:afterAutospacing="0"/>
                    <w:ind w:left="0" w:right="0"/>
                    <w:jc w:val="center"/>
                    <w:rPr>
                      <w:rFonts w:hint="eastAsia" w:ascii="宋体" w:hAnsi="宋体" w:eastAsia="宋体" w:cs="宋体"/>
                      <w:color w:val="000000"/>
                      <w:kern w:val="0"/>
                      <w:sz w:val="18"/>
                      <w:szCs w:val="18"/>
                      <w:highlight w:val="none"/>
                    </w:rPr>
                  </w:pPr>
                  <w:r>
                    <w:rPr>
                      <w:rFonts w:hint="eastAsia" w:ascii="宋体" w:hAnsi="宋体" w:eastAsia="宋体" w:cs="宋体"/>
                      <w:color w:val="000000"/>
                      <w:kern w:val="0"/>
                      <w:sz w:val="18"/>
                      <w:szCs w:val="18"/>
                      <w:highlight w:val="none"/>
                      <w:lang w:val="en-US" w:eastAsia="zh-CN" w:bidi="ar"/>
                    </w:rPr>
                    <w:t>纬度</w:t>
                  </w:r>
                </w:p>
              </w:tc>
              <w:tc>
                <w:tcPr>
                  <w:tcW w:w="788" w:type="dxa"/>
                  <w:vMerge w:val="continue"/>
                  <w:tcBorders>
                    <w:top w:val="single" w:color="auto" w:sz="4" w:space="0"/>
                    <w:left w:val="single" w:color="auto" w:sz="4" w:space="0"/>
                    <w:bottom w:val="single" w:color="auto" w:sz="4" w:space="0"/>
                    <w:right w:val="single" w:color="auto" w:sz="4" w:space="0"/>
                  </w:tcBorders>
                  <w:shd w:val="clear" w:color="auto" w:fill="auto"/>
                  <w:vAlign w:val="center"/>
                </w:tcPr>
                <w:p w14:paraId="24CC9256">
                  <w:pPr>
                    <w:keepNext w:val="0"/>
                    <w:keepLines w:val="0"/>
                    <w:suppressLineNumbers w:val="0"/>
                    <w:spacing w:before="0" w:beforeAutospacing="0" w:after="0" w:afterAutospacing="0"/>
                    <w:ind w:left="0" w:right="0"/>
                    <w:rPr>
                      <w:rFonts w:hint="default" w:ascii="Times New Roman" w:hAnsi="Times New Roman" w:cs="Times New Roman"/>
                      <w:sz w:val="20"/>
                      <w:szCs w:val="20"/>
                      <w:highlight w:val="none"/>
                    </w:rPr>
                  </w:pPr>
                </w:p>
              </w:tc>
              <w:tc>
                <w:tcPr>
                  <w:tcW w:w="675" w:type="dxa"/>
                  <w:vMerge w:val="continue"/>
                  <w:tcBorders>
                    <w:top w:val="single" w:color="auto" w:sz="4" w:space="0"/>
                    <w:left w:val="single" w:color="auto" w:sz="4" w:space="0"/>
                    <w:bottom w:val="single" w:color="auto" w:sz="4" w:space="0"/>
                    <w:right w:val="single" w:color="auto" w:sz="4" w:space="0"/>
                  </w:tcBorders>
                  <w:shd w:val="clear" w:color="auto" w:fill="auto"/>
                  <w:vAlign w:val="center"/>
                </w:tcPr>
                <w:p w14:paraId="2EE5C524">
                  <w:pPr>
                    <w:keepNext w:val="0"/>
                    <w:keepLines w:val="0"/>
                    <w:suppressLineNumbers w:val="0"/>
                    <w:spacing w:before="0" w:beforeAutospacing="0" w:after="0" w:afterAutospacing="0"/>
                    <w:ind w:left="0" w:right="0"/>
                    <w:rPr>
                      <w:rFonts w:hint="default" w:ascii="Times New Roman" w:hAnsi="Times New Roman" w:cs="Times New Roman"/>
                      <w:sz w:val="20"/>
                      <w:szCs w:val="20"/>
                      <w:highlight w:val="none"/>
                    </w:rPr>
                  </w:pPr>
                </w:p>
              </w:tc>
              <w:tc>
                <w:tcPr>
                  <w:tcW w:w="637" w:type="dxa"/>
                  <w:vMerge w:val="continue"/>
                  <w:tcBorders>
                    <w:top w:val="single" w:color="auto" w:sz="4" w:space="0"/>
                    <w:left w:val="single" w:color="auto" w:sz="4" w:space="0"/>
                    <w:bottom w:val="single" w:color="auto" w:sz="4" w:space="0"/>
                    <w:right w:val="single" w:color="auto" w:sz="4" w:space="0"/>
                  </w:tcBorders>
                  <w:shd w:val="clear" w:color="auto" w:fill="auto"/>
                  <w:vAlign w:val="center"/>
                </w:tcPr>
                <w:p w14:paraId="4FE2849E">
                  <w:pPr>
                    <w:keepNext w:val="0"/>
                    <w:keepLines w:val="0"/>
                    <w:suppressLineNumbers w:val="0"/>
                    <w:spacing w:before="0" w:beforeAutospacing="0" w:after="0" w:afterAutospacing="0"/>
                    <w:ind w:left="0" w:right="0"/>
                    <w:rPr>
                      <w:rFonts w:hint="default" w:ascii="Times New Roman" w:hAnsi="Times New Roman" w:cs="Times New Roman"/>
                      <w:sz w:val="20"/>
                      <w:szCs w:val="20"/>
                      <w:highlight w:val="none"/>
                    </w:rPr>
                  </w:pPr>
                </w:p>
              </w:tc>
              <w:tc>
                <w:tcPr>
                  <w:tcW w:w="833" w:type="dxa"/>
                  <w:vMerge w:val="continue"/>
                  <w:tcBorders>
                    <w:top w:val="single" w:color="auto" w:sz="4" w:space="0"/>
                    <w:left w:val="single" w:color="auto" w:sz="4" w:space="0"/>
                    <w:bottom w:val="single" w:color="auto" w:sz="4" w:space="0"/>
                    <w:right w:val="single" w:color="auto" w:sz="4" w:space="0"/>
                  </w:tcBorders>
                  <w:shd w:val="clear" w:color="auto" w:fill="auto"/>
                  <w:vAlign w:val="center"/>
                </w:tcPr>
                <w:p w14:paraId="36FE36D0">
                  <w:pPr>
                    <w:keepNext w:val="0"/>
                    <w:keepLines w:val="0"/>
                    <w:suppressLineNumbers w:val="0"/>
                    <w:spacing w:before="0" w:beforeAutospacing="0" w:after="0" w:afterAutospacing="0"/>
                    <w:ind w:left="0" w:right="0"/>
                    <w:rPr>
                      <w:rFonts w:hint="default" w:ascii="Times New Roman" w:hAnsi="Times New Roman" w:cs="Times New Roman"/>
                      <w:sz w:val="20"/>
                      <w:szCs w:val="20"/>
                      <w:highlight w:val="none"/>
                    </w:rPr>
                  </w:pPr>
                </w:p>
              </w:tc>
              <w:tc>
                <w:tcPr>
                  <w:tcW w:w="622" w:type="dxa"/>
                  <w:vMerge w:val="continue"/>
                  <w:tcBorders>
                    <w:top w:val="single" w:color="auto" w:sz="4" w:space="0"/>
                    <w:left w:val="single" w:color="auto" w:sz="4" w:space="0"/>
                    <w:bottom w:val="single" w:color="auto" w:sz="4" w:space="0"/>
                    <w:right w:val="single" w:color="auto" w:sz="4" w:space="0"/>
                  </w:tcBorders>
                  <w:shd w:val="clear" w:color="auto" w:fill="auto"/>
                  <w:vAlign w:val="center"/>
                </w:tcPr>
                <w:p w14:paraId="77B6303E">
                  <w:pPr>
                    <w:keepNext w:val="0"/>
                    <w:keepLines w:val="0"/>
                    <w:suppressLineNumbers w:val="0"/>
                    <w:spacing w:before="0" w:beforeAutospacing="0" w:after="0" w:afterAutospacing="0"/>
                    <w:ind w:left="0" w:right="0"/>
                    <w:rPr>
                      <w:rFonts w:hint="default" w:ascii="Times New Roman" w:hAnsi="Times New Roman" w:cs="Times New Roman"/>
                      <w:sz w:val="20"/>
                      <w:szCs w:val="20"/>
                      <w:highlight w:val="none"/>
                    </w:rPr>
                  </w:pPr>
                </w:p>
              </w:tc>
              <w:tc>
                <w:tcPr>
                  <w:tcW w:w="660" w:type="dxa"/>
                  <w:vMerge w:val="continue"/>
                  <w:tcBorders>
                    <w:top w:val="single" w:color="auto" w:sz="4" w:space="0"/>
                    <w:left w:val="single" w:color="auto" w:sz="4" w:space="0"/>
                    <w:bottom w:val="single" w:color="auto" w:sz="4" w:space="0"/>
                    <w:right w:val="single" w:color="auto" w:sz="4" w:space="0"/>
                  </w:tcBorders>
                  <w:shd w:val="clear" w:color="auto" w:fill="auto"/>
                  <w:vAlign w:val="center"/>
                </w:tcPr>
                <w:p w14:paraId="6EA58041">
                  <w:pPr>
                    <w:keepNext w:val="0"/>
                    <w:keepLines w:val="0"/>
                    <w:suppressLineNumbers w:val="0"/>
                    <w:spacing w:before="0" w:beforeAutospacing="0" w:after="0" w:afterAutospacing="0"/>
                    <w:ind w:left="0" w:right="0"/>
                    <w:rPr>
                      <w:rFonts w:hint="default" w:ascii="Times New Roman" w:hAnsi="Times New Roman" w:cs="Times New Roman"/>
                      <w:sz w:val="20"/>
                      <w:szCs w:val="20"/>
                      <w:highlight w:val="none"/>
                    </w:rPr>
                  </w:pPr>
                </w:p>
              </w:tc>
              <w:tc>
                <w:tcPr>
                  <w:tcW w:w="683" w:type="dxa"/>
                  <w:vMerge w:val="continue"/>
                  <w:tcBorders>
                    <w:top w:val="single" w:color="auto" w:sz="4" w:space="0"/>
                    <w:left w:val="single" w:color="auto" w:sz="4" w:space="0"/>
                    <w:bottom w:val="single" w:color="auto" w:sz="4" w:space="0"/>
                    <w:right w:val="single" w:color="auto" w:sz="4" w:space="0"/>
                  </w:tcBorders>
                  <w:shd w:val="clear" w:color="auto" w:fill="auto"/>
                  <w:vAlign w:val="center"/>
                </w:tcPr>
                <w:p w14:paraId="740ABAA4">
                  <w:pPr>
                    <w:keepNext w:val="0"/>
                    <w:keepLines w:val="0"/>
                    <w:suppressLineNumbers w:val="0"/>
                    <w:spacing w:before="0" w:beforeAutospacing="0" w:after="0" w:afterAutospacing="0"/>
                    <w:ind w:left="0" w:right="0"/>
                    <w:rPr>
                      <w:rFonts w:hint="default" w:ascii="Times New Roman" w:hAnsi="Times New Roman" w:cs="Times New Roman"/>
                      <w:sz w:val="20"/>
                      <w:szCs w:val="20"/>
                      <w:highlight w:val="none"/>
                    </w:rPr>
                  </w:pPr>
                </w:p>
              </w:tc>
              <w:tc>
                <w:tcPr>
                  <w:tcW w:w="663" w:type="dxa"/>
                  <w:vMerge w:val="continue"/>
                  <w:tcBorders>
                    <w:top w:val="single" w:color="auto" w:sz="4" w:space="0"/>
                    <w:left w:val="single" w:color="auto" w:sz="4" w:space="0"/>
                    <w:bottom w:val="single" w:color="auto" w:sz="4" w:space="0"/>
                    <w:right w:val="single" w:color="auto" w:sz="4" w:space="0"/>
                  </w:tcBorders>
                  <w:shd w:val="clear" w:color="auto" w:fill="auto"/>
                  <w:vAlign w:val="center"/>
                </w:tcPr>
                <w:p w14:paraId="15576B97">
                  <w:pPr>
                    <w:keepNext w:val="0"/>
                    <w:keepLines w:val="0"/>
                    <w:suppressLineNumbers w:val="0"/>
                    <w:spacing w:before="0" w:beforeAutospacing="0" w:after="0" w:afterAutospacing="0"/>
                    <w:ind w:left="0" w:right="0"/>
                    <w:rPr>
                      <w:rFonts w:hint="default" w:ascii="Times New Roman" w:hAnsi="Times New Roman" w:cs="Times New Roman"/>
                      <w:sz w:val="20"/>
                      <w:szCs w:val="20"/>
                      <w:highlight w:val="none"/>
                    </w:rPr>
                  </w:pPr>
                </w:p>
              </w:tc>
              <w:tc>
                <w:tcPr>
                  <w:tcW w:w="662" w:type="dxa"/>
                  <w:vMerge w:val="continue"/>
                  <w:tcBorders>
                    <w:top w:val="single" w:color="auto" w:sz="4" w:space="0"/>
                    <w:left w:val="single" w:color="auto" w:sz="4" w:space="0"/>
                    <w:bottom w:val="single" w:color="auto" w:sz="4" w:space="0"/>
                    <w:right w:val="single" w:color="auto" w:sz="4" w:space="0"/>
                  </w:tcBorders>
                  <w:shd w:val="clear" w:color="auto" w:fill="auto"/>
                  <w:vAlign w:val="center"/>
                </w:tcPr>
                <w:p w14:paraId="2741EA72">
                  <w:pPr>
                    <w:keepNext w:val="0"/>
                    <w:keepLines w:val="0"/>
                    <w:suppressLineNumbers w:val="0"/>
                    <w:spacing w:before="0" w:beforeAutospacing="0" w:after="0" w:afterAutospacing="0"/>
                    <w:ind w:left="0" w:right="0"/>
                    <w:rPr>
                      <w:rFonts w:hint="default" w:ascii="Times New Roman" w:hAnsi="Times New Roman" w:cs="Times New Roman"/>
                      <w:sz w:val="20"/>
                      <w:szCs w:val="20"/>
                      <w:highlight w:val="none"/>
                    </w:rPr>
                  </w:pPr>
                </w:p>
              </w:tc>
            </w:tr>
            <w:tr w14:paraId="7CA0C1F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233" w:hRule="atLeast"/>
              </w:trPr>
              <w:tc>
                <w:tcPr>
                  <w:tcW w:w="470" w:type="dxa"/>
                  <w:vMerge w:val="restart"/>
                  <w:tcBorders>
                    <w:top w:val="nil"/>
                    <w:left w:val="single" w:color="auto" w:sz="4" w:space="0"/>
                    <w:bottom w:val="single" w:color="auto" w:sz="4" w:space="0"/>
                    <w:right w:val="single" w:color="auto" w:sz="4" w:space="0"/>
                  </w:tcBorders>
                  <w:shd w:val="clear" w:color="auto" w:fill="auto"/>
                  <w:vAlign w:val="center"/>
                </w:tcPr>
                <w:p w14:paraId="111CBF5D">
                  <w:pPr>
                    <w:keepNext w:val="0"/>
                    <w:keepLines w:val="0"/>
                    <w:widowControl w:val="0"/>
                    <w:suppressLineNumbers w:val="0"/>
                    <w:spacing w:before="0" w:beforeAutospacing="0" w:after="0" w:afterAutospacing="0"/>
                    <w:ind w:left="0" w:right="0"/>
                    <w:jc w:val="center"/>
                    <w:rPr>
                      <w:rFonts w:hint="default" w:ascii="Times New Roman" w:hAnsi="Times New Roman" w:eastAsia="宋体" w:cs="Times New Roman"/>
                      <w:kern w:val="2"/>
                      <w:sz w:val="18"/>
                      <w:szCs w:val="18"/>
                      <w:highlight w:val="none"/>
                    </w:rPr>
                  </w:pPr>
                  <w:r>
                    <w:rPr>
                      <w:rFonts w:hint="eastAsia" w:ascii="宋体" w:hAnsi="宋体" w:eastAsia="宋体" w:cs="宋体"/>
                      <w:kern w:val="2"/>
                      <w:sz w:val="18"/>
                      <w:szCs w:val="18"/>
                      <w:highlight w:val="none"/>
                      <w:lang w:val="en-US" w:eastAsia="zh-CN" w:bidi="ar"/>
                    </w:rPr>
                    <w:t>等效排气筒</w:t>
                  </w:r>
                  <w:r>
                    <w:rPr>
                      <w:rFonts w:hint="default" w:ascii="Times New Roman" w:hAnsi="Times New Roman" w:eastAsia="宋体" w:cs="Times New Roman"/>
                      <w:kern w:val="2"/>
                      <w:sz w:val="18"/>
                      <w:szCs w:val="18"/>
                      <w:highlight w:val="none"/>
                      <w:lang w:val="en-US" w:eastAsia="zh-CN" w:bidi="ar"/>
                    </w:rPr>
                    <w:t>1</w:t>
                  </w:r>
                </w:p>
              </w:tc>
              <w:tc>
                <w:tcPr>
                  <w:tcW w:w="723" w:type="dxa"/>
                  <w:vMerge w:val="restart"/>
                  <w:tcBorders>
                    <w:top w:val="nil"/>
                    <w:left w:val="single" w:color="auto" w:sz="4" w:space="0"/>
                    <w:bottom w:val="single" w:color="auto" w:sz="4" w:space="0"/>
                    <w:right w:val="single" w:color="auto" w:sz="4" w:space="0"/>
                  </w:tcBorders>
                  <w:shd w:val="clear" w:color="auto" w:fill="auto"/>
                  <w:vAlign w:val="center"/>
                </w:tcPr>
                <w:p w14:paraId="7DC24A58">
                  <w:pPr>
                    <w:keepNext w:val="0"/>
                    <w:keepLines w:val="0"/>
                    <w:widowControl w:val="0"/>
                    <w:suppressLineNumbers w:val="0"/>
                    <w:spacing w:before="0" w:beforeAutospacing="0" w:after="0" w:afterAutospacing="0"/>
                    <w:ind w:left="0" w:right="0"/>
                    <w:jc w:val="center"/>
                    <w:rPr>
                      <w:rFonts w:hint="eastAsia" w:ascii="Times New Roman" w:hAnsi="Times New Roman" w:eastAsia="宋体" w:cs="Times New Roman"/>
                      <w:kern w:val="2"/>
                      <w:sz w:val="18"/>
                      <w:szCs w:val="18"/>
                      <w:highlight w:val="none"/>
                    </w:rPr>
                  </w:pPr>
                  <w:r>
                    <w:rPr>
                      <w:rFonts w:hint="default" w:ascii="Times New Roman" w:hAnsi="Times New Roman" w:eastAsia="宋体" w:cs="Times New Roman"/>
                      <w:kern w:val="2"/>
                      <w:sz w:val="18"/>
                      <w:szCs w:val="18"/>
                      <w:highlight w:val="none"/>
                      <w:lang w:val="en-US" w:eastAsia="zh-CN" w:bidi="ar"/>
                    </w:rPr>
                    <w:t>E118.830276154</w:t>
                  </w:r>
                  <w:r>
                    <w:rPr>
                      <w:rFonts w:hint="eastAsia" w:ascii="宋体" w:hAnsi="宋体" w:eastAsia="宋体" w:cs="宋体"/>
                      <w:kern w:val="2"/>
                      <w:sz w:val="18"/>
                      <w:szCs w:val="18"/>
                      <w:highlight w:val="none"/>
                      <w:lang w:val="en-US" w:eastAsia="zh-CN" w:bidi="ar"/>
                    </w:rPr>
                    <w:t>°</w:t>
                  </w:r>
                </w:p>
              </w:tc>
              <w:tc>
                <w:tcPr>
                  <w:tcW w:w="787" w:type="dxa"/>
                  <w:vMerge w:val="restart"/>
                  <w:tcBorders>
                    <w:top w:val="nil"/>
                    <w:left w:val="single" w:color="auto" w:sz="4" w:space="0"/>
                    <w:bottom w:val="single" w:color="auto" w:sz="4" w:space="0"/>
                    <w:right w:val="single" w:color="auto" w:sz="4" w:space="0"/>
                  </w:tcBorders>
                  <w:shd w:val="clear" w:color="auto" w:fill="auto"/>
                  <w:vAlign w:val="center"/>
                </w:tcPr>
                <w:p w14:paraId="18D79510">
                  <w:pPr>
                    <w:keepNext w:val="0"/>
                    <w:keepLines w:val="0"/>
                    <w:widowControl w:val="0"/>
                    <w:suppressLineNumbers w:val="0"/>
                    <w:spacing w:before="0" w:beforeAutospacing="0" w:after="0" w:afterAutospacing="0"/>
                    <w:ind w:left="0" w:right="0"/>
                    <w:jc w:val="center"/>
                    <w:rPr>
                      <w:rFonts w:hint="default" w:ascii="Times New Roman" w:hAnsi="Times New Roman" w:eastAsia="宋体" w:cs="Times New Roman"/>
                      <w:kern w:val="2"/>
                      <w:sz w:val="18"/>
                      <w:szCs w:val="18"/>
                      <w:highlight w:val="none"/>
                    </w:rPr>
                  </w:pPr>
                  <w:r>
                    <w:rPr>
                      <w:rFonts w:hint="default" w:ascii="Times New Roman" w:hAnsi="Times New Roman" w:eastAsia="宋体" w:cs="Times New Roman"/>
                      <w:kern w:val="2"/>
                      <w:sz w:val="18"/>
                      <w:szCs w:val="18"/>
                      <w:highlight w:val="none"/>
                      <w:lang w:val="en-US" w:eastAsia="zh-CN" w:bidi="ar"/>
                    </w:rPr>
                    <w:t>N28.952337325</w:t>
                  </w:r>
                  <w:r>
                    <w:rPr>
                      <w:rFonts w:hint="eastAsia" w:ascii="宋体" w:hAnsi="宋体" w:eastAsia="宋体" w:cs="宋体"/>
                      <w:kern w:val="2"/>
                      <w:sz w:val="18"/>
                      <w:szCs w:val="18"/>
                      <w:highlight w:val="none"/>
                      <w:lang w:val="en-US" w:eastAsia="zh-CN" w:bidi="ar"/>
                    </w:rPr>
                    <w:t>°</w:t>
                  </w:r>
                </w:p>
              </w:tc>
              <w:tc>
                <w:tcPr>
                  <w:tcW w:w="788" w:type="dxa"/>
                  <w:vMerge w:val="restart"/>
                  <w:tcBorders>
                    <w:top w:val="nil"/>
                    <w:left w:val="single" w:color="auto" w:sz="4" w:space="0"/>
                    <w:bottom w:val="single" w:color="auto" w:sz="4" w:space="0"/>
                    <w:right w:val="single" w:color="auto" w:sz="4" w:space="0"/>
                  </w:tcBorders>
                  <w:shd w:val="clear" w:color="auto" w:fill="auto"/>
                  <w:vAlign w:val="center"/>
                </w:tcPr>
                <w:p w14:paraId="3D73CDCA">
                  <w:pPr>
                    <w:keepNext w:val="0"/>
                    <w:keepLines w:val="0"/>
                    <w:widowControl w:val="0"/>
                    <w:suppressLineNumbers w:val="0"/>
                    <w:spacing w:before="0" w:beforeAutospacing="0" w:after="0" w:afterAutospacing="0"/>
                    <w:ind w:left="0" w:right="0"/>
                    <w:jc w:val="center"/>
                    <w:rPr>
                      <w:rFonts w:hint="eastAsia" w:ascii="Times New Roman" w:hAnsi="Times New Roman" w:eastAsia="宋体" w:cs="Times New Roman"/>
                      <w:kern w:val="2"/>
                      <w:sz w:val="18"/>
                      <w:szCs w:val="18"/>
                      <w:highlight w:val="none"/>
                    </w:rPr>
                  </w:pPr>
                  <w:r>
                    <w:rPr>
                      <w:rFonts w:hint="eastAsia" w:ascii="Times New Roman" w:hAnsi="Times New Roman" w:eastAsia="宋体" w:cs="Times New Roman"/>
                      <w:kern w:val="2"/>
                      <w:sz w:val="18"/>
                      <w:szCs w:val="18"/>
                      <w:highlight w:val="none"/>
                    </w:rPr>
                    <w:t>70.617</w:t>
                  </w:r>
                </w:p>
              </w:tc>
              <w:tc>
                <w:tcPr>
                  <w:tcW w:w="675" w:type="dxa"/>
                  <w:vMerge w:val="restart"/>
                  <w:tcBorders>
                    <w:top w:val="nil"/>
                    <w:left w:val="single" w:color="auto" w:sz="4" w:space="0"/>
                    <w:bottom w:val="single" w:color="auto" w:sz="4" w:space="0"/>
                    <w:right w:val="single" w:color="auto" w:sz="4" w:space="0"/>
                  </w:tcBorders>
                  <w:shd w:val="clear" w:color="auto" w:fill="auto"/>
                  <w:vAlign w:val="center"/>
                </w:tcPr>
                <w:p w14:paraId="5A0417B7">
                  <w:pPr>
                    <w:keepNext w:val="0"/>
                    <w:keepLines w:val="0"/>
                    <w:widowControl w:val="0"/>
                    <w:suppressLineNumbers w:val="0"/>
                    <w:spacing w:before="0" w:beforeAutospacing="0" w:after="0" w:afterAutospacing="0"/>
                    <w:ind w:left="0" w:right="0"/>
                    <w:jc w:val="center"/>
                    <w:rPr>
                      <w:rFonts w:hint="default" w:ascii="Times New Roman" w:hAnsi="Times New Roman" w:eastAsia="宋体" w:cs="Times New Roman"/>
                      <w:kern w:val="2"/>
                      <w:sz w:val="18"/>
                      <w:szCs w:val="18"/>
                      <w:highlight w:val="none"/>
                    </w:rPr>
                  </w:pPr>
                  <w:r>
                    <w:rPr>
                      <w:rFonts w:hint="default" w:ascii="Times New Roman" w:hAnsi="Times New Roman" w:eastAsia="宋体" w:cs="Times New Roman"/>
                      <w:kern w:val="2"/>
                      <w:sz w:val="18"/>
                      <w:szCs w:val="18"/>
                      <w:highlight w:val="none"/>
                      <w:lang w:val="en-US" w:eastAsia="zh-CN" w:bidi="ar"/>
                    </w:rPr>
                    <w:t>30</w:t>
                  </w:r>
                </w:p>
              </w:tc>
              <w:tc>
                <w:tcPr>
                  <w:tcW w:w="637" w:type="dxa"/>
                  <w:vMerge w:val="restart"/>
                  <w:tcBorders>
                    <w:top w:val="nil"/>
                    <w:left w:val="single" w:color="auto" w:sz="4" w:space="0"/>
                    <w:bottom w:val="single" w:color="auto" w:sz="4" w:space="0"/>
                    <w:right w:val="single" w:color="auto" w:sz="4" w:space="0"/>
                  </w:tcBorders>
                  <w:shd w:val="clear" w:color="auto" w:fill="auto"/>
                  <w:vAlign w:val="center"/>
                </w:tcPr>
                <w:p w14:paraId="19726092">
                  <w:pPr>
                    <w:keepNext w:val="0"/>
                    <w:keepLines w:val="0"/>
                    <w:widowControl w:val="0"/>
                    <w:suppressLineNumbers w:val="0"/>
                    <w:spacing w:before="0" w:beforeAutospacing="0" w:after="0" w:afterAutospacing="0"/>
                    <w:ind w:left="0" w:right="0"/>
                    <w:jc w:val="center"/>
                    <w:rPr>
                      <w:rFonts w:hint="eastAsia" w:ascii="Times New Roman" w:hAnsi="Times New Roman" w:eastAsia="宋体" w:cs="Times New Roman"/>
                      <w:kern w:val="2"/>
                      <w:sz w:val="18"/>
                      <w:szCs w:val="18"/>
                      <w:highlight w:val="none"/>
                    </w:rPr>
                  </w:pPr>
                  <w:r>
                    <w:rPr>
                      <w:rFonts w:hint="default" w:ascii="Times New Roman" w:hAnsi="Times New Roman" w:eastAsia="宋体" w:cs="Times New Roman"/>
                      <w:kern w:val="2"/>
                      <w:sz w:val="18"/>
                      <w:szCs w:val="18"/>
                      <w:highlight w:val="none"/>
                      <w:lang w:val="en-US" w:eastAsia="zh-CN" w:bidi="ar"/>
                    </w:rPr>
                    <w:t>0.7</w:t>
                  </w:r>
                </w:p>
              </w:tc>
              <w:tc>
                <w:tcPr>
                  <w:tcW w:w="833" w:type="dxa"/>
                  <w:vMerge w:val="restart"/>
                  <w:tcBorders>
                    <w:top w:val="nil"/>
                    <w:left w:val="single" w:color="auto" w:sz="4" w:space="0"/>
                    <w:bottom w:val="single" w:color="auto" w:sz="4" w:space="0"/>
                    <w:right w:val="single" w:color="auto" w:sz="4" w:space="0"/>
                  </w:tcBorders>
                  <w:shd w:val="clear" w:color="auto" w:fill="auto"/>
                  <w:vAlign w:val="center"/>
                </w:tcPr>
                <w:p w14:paraId="644785FA">
                  <w:pPr>
                    <w:keepNext w:val="0"/>
                    <w:keepLines w:val="0"/>
                    <w:widowControl w:val="0"/>
                    <w:suppressLineNumbers w:val="0"/>
                    <w:spacing w:before="0" w:beforeAutospacing="0" w:after="0" w:afterAutospacing="0"/>
                    <w:ind w:left="0" w:right="0"/>
                    <w:jc w:val="center"/>
                    <w:rPr>
                      <w:rFonts w:hint="default" w:ascii="Times New Roman" w:hAnsi="Times New Roman" w:eastAsia="宋体" w:cs="Times New Roman"/>
                      <w:kern w:val="2"/>
                      <w:sz w:val="18"/>
                      <w:szCs w:val="18"/>
                      <w:highlight w:val="none"/>
                    </w:rPr>
                  </w:pPr>
                  <w:r>
                    <w:rPr>
                      <w:rFonts w:hint="default" w:ascii="Times New Roman" w:hAnsi="Times New Roman" w:eastAsia="宋体" w:cs="Times New Roman"/>
                      <w:kern w:val="2"/>
                      <w:sz w:val="18"/>
                      <w:szCs w:val="18"/>
                      <w:highlight w:val="none"/>
                      <w:lang w:val="en-US" w:eastAsia="zh-CN" w:bidi="ar"/>
                    </w:rPr>
                    <w:t>3.85</w:t>
                  </w:r>
                </w:p>
              </w:tc>
              <w:tc>
                <w:tcPr>
                  <w:tcW w:w="622" w:type="dxa"/>
                  <w:vMerge w:val="restart"/>
                  <w:tcBorders>
                    <w:top w:val="nil"/>
                    <w:left w:val="single" w:color="auto" w:sz="4" w:space="0"/>
                    <w:bottom w:val="single" w:color="auto" w:sz="4" w:space="0"/>
                    <w:right w:val="single" w:color="auto" w:sz="4" w:space="0"/>
                  </w:tcBorders>
                  <w:shd w:val="clear" w:color="auto" w:fill="auto"/>
                  <w:vAlign w:val="center"/>
                </w:tcPr>
                <w:p w14:paraId="4BE96160">
                  <w:pPr>
                    <w:keepNext w:val="0"/>
                    <w:keepLines w:val="0"/>
                    <w:widowControl w:val="0"/>
                    <w:suppressLineNumbers w:val="0"/>
                    <w:spacing w:before="0" w:beforeAutospacing="0" w:after="0" w:afterAutospacing="0"/>
                    <w:ind w:left="0" w:right="0"/>
                    <w:jc w:val="center"/>
                    <w:rPr>
                      <w:rFonts w:hint="default" w:ascii="Times New Roman" w:hAnsi="Times New Roman" w:eastAsia="宋体" w:cs="Times New Roman"/>
                      <w:kern w:val="2"/>
                      <w:sz w:val="18"/>
                      <w:szCs w:val="18"/>
                      <w:highlight w:val="none"/>
                    </w:rPr>
                  </w:pPr>
                  <w:r>
                    <w:rPr>
                      <w:rFonts w:hint="default" w:ascii="Times New Roman" w:hAnsi="Times New Roman" w:eastAsia="宋体" w:cs="Times New Roman"/>
                      <w:kern w:val="2"/>
                      <w:sz w:val="18"/>
                      <w:szCs w:val="18"/>
                      <w:highlight w:val="none"/>
                      <w:lang w:val="en-US" w:eastAsia="zh-CN" w:bidi="ar"/>
                    </w:rPr>
                    <w:t>25</w:t>
                  </w:r>
                </w:p>
              </w:tc>
              <w:tc>
                <w:tcPr>
                  <w:tcW w:w="660" w:type="dxa"/>
                  <w:vMerge w:val="restart"/>
                  <w:tcBorders>
                    <w:top w:val="nil"/>
                    <w:left w:val="single" w:color="auto" w:sz="4" w:space="0"/>
                    <w:bottom w:val="single" w:color="auto" w:sz="4" w:space="0"/>
                    <w:right w:val="single" w:color="auto" w:sz="4" w:space="0"/>
                  </w:tcBorders>
                  <w:shd w:val="clear" w:color="auto" w:fill="auto"/>
                  <w:vAlign w:val="center"/>
                </w:tcPr>
                <w:p w14:paraId="01008AB7">
                  <w:pPr>
                    <w:keepNext w:val="0"/>
                    <w:keepLines w:val="0"/>
                    <w:widowControl w:val="0"/>
                    <w:suppressLineNumbers w:val="0"/>
                    <w:spacing w:before="0" w:beforeAutospacing="0" w:after="0" w:afterAutospacing="0"/>
                    <w:ind w:left="0" w:right="0"/>
                    <w:jc w:val="center"/>
                    <w:rPr>
                      <w:rFonts w:hint="default" w:ascii="Times New Roman" w:hAnsi="Times New Roman" w:eastAsia="宋体" w:cs="Times New Roman"/>
                      <w:kern w:val="2"/>
                      <w:sz w:val="18"/>
                      <w:szCs w:val="18"/>
                      <w:highlight w:val="none"/>
                    </w:rPr>
                  </w:pPr>
                  <w:r>
                    <w:rPr>
                      <w:rFonts w:hint="default" w:ascii="Times New Roman" w:hAnsi="Times New Roman" w:eastAsia="宋体" w:cs="Times New Roman"/>
                      <w:kern w:val="2"/>
                      <w:sz w:val="18"/>
                      <w:szCs w:val="18"/>
                      <w:highlight w:val="none"/>
                      <w:lang w:val="en-US" w:eastAsia="zh-CN" w:bidi="ar"/>
                    </w:rPr>
                    <w:t>8760</w:t>
                  </w:r>
                </w:p>
              </w:tc>
              <w:tc>
                <w:tcPr>
                  <w:tcW w:w="683" w:type="dxa"/>
                  <w:vMerge w:val="restart"/>
                  <w:tcBorders>
                    <w:top w:val="nil"/>
                    <w:left w:val="single" w:color="auto" w:sz="4" w:space="0"/>
                    <w:bottom w:val="single" w:color="auto" w:sz="4" w:space="0"/>
                    <w:right w:val="single" w:color="auto" w:sz="4" w:space="0"/>
                  </w:tcBorders>
                  <w:shd w:val="clear" w:color="auto" w:fill="auto"/>
                  <w:vAlign w:val="center"/>
                </w:tcPr>
                <w:p w14:paraId="178B5CB3">
                  <w:pPr>
                    <w:keepNext w:val="0"/>
                    <w:keepLines w:val="0"/>
                    <w:widowControl w:val="0"/>
                    <w:suppressLineNumbers w:val="0"/>
                    <w:spacing w:before="0" w:beforeAutospacing="0" w:after="0" w:afterAutospacing="0"/>
                    <w:ind w:left="0" w:right="0"/>
                    <w:jc w:val="center"/>
                    <w:rPr>
                      <w:rFonts w:hint="default" w:ascii="Times New Roman" w:hAnsi="Times New Roman" w:eastAsia="宋体" w:cs="Times New Roman"/>
                      <w:kern w:val="2"/>
                      <w:sz w:val="18"/>
                      <w:szCs w:val="18"/>
                      <w:highlight w:val="none"/>
                    </w:rPr>
                  </w:pPr>
                  <w:r>
                    <w:rPr>
                      <w:rFonts w:hint="eastAsia" w:ascii="宋体" w:hAnsi="宋体" w:eastAsia="宋体" w:cs="宋体"/>
                      <w:kern w:val="2"/>
                      <w:sz w:val="18"/>
                      <w:szCs w:val="18"/>
                      <w:highlight w:val="none"/>
                      <w:lang w:val="en-US" w:eastAsia="zh-CN" w:bidi="ar"/>
                    </w:rPr>
                    <w:t>正常工况</w:t>
                  </w:r>
                </w:p>
              </w:tc>
              <w:tc>
                <w:tcPr>
                  <w:tcW w:w="663" w:type="dxa"/>
                  <w:tcBorders>
                    <w:top w:val="single" w:color="auto" w:sz="4" w:space="0"/>
                    <w:left w:val="single" w:color="auto" w:sz="4" w:space="0"/>
                    <w:bottom w:val="single" w:color="auto" w:sz="4" w:space="0"/>
                    <w:right w:val="single" w:color="auto" w:sz="4" w:space="0"/>
                  </w:tcBorders>
                  <w:shd w:val="clear" w:color="auto" w:fill="auto"/>
                  <w:vAlign w:val="center"/>
                </w:tcPr>
                <w:p w14:paraId="2FE8E4B6">
                  <w:pPr>
                    <w:keepNext w:val="0"/>
                    <w:keepLines w:val="0"/>
                    <w:widowControl w:val="0"/>
                    <w:suppressLineNumbers w:val="0"/>
                    <w:spacing w:before="0" w:beforeAutospacing="0" w:after="0" w:afterAutospacing="0"/>
                    <w:ind w:left="0" w:right="0"/>
                    <w:jc w:val="center"/>
                    <w:rPr>
                      <w:rFonts w:hint="eastAsia" w:ascii="Times New Roman" w:hAnsi="Times New Roman" w:eastAsia="宋体" w:cs="Times New Roman"/>
                      <w:kern w:val="2"/>
                      <w:sz w:val="18"/>
                      <w:szCs w:val="18"/>
                      <w:highlight w:val="none"/>
                    </w:rPr>
                  </w:pPr>
                  <w:r>
                    <w:rPr>
                      <w:rFonts w:hint="eastAsia" w:ascii="宋体" w:hAnsi="宋体" w:eastAsia="宋体" w:cs="宋体"/>
                      <w:kern w:val="2"/>
                      <w:sz w:val="18"/>
                      <w:szCs w:val="18"/>
                      <w:highlight w:val="none"/>
                      <w:lang w:val="en-US" w:eastAsia="zh-CN" w:bidi="ar"/>
                    </w:rPr>
                    <w:t>氨</w:t>
                  </w:r>
                </w:p>
              </w:tc>
              <w:tc>
                <w:tcPr>
                  <w:tcW w:w="662" w:type="dxa"/>
                  <w:tcBorders>
                    <w:top w:val="single" w:color="auto" w:sz="4" w:space="0"/>
                    <w:left w:val="single" w:color="auto" w:sz="4" w:space="0"/>
                    <w:bottom w:val="single" w:color="auto" w:sz="4" w:space="0"/>
                    <w:right w:val="single" w:color="auto" w:sz="4" w:space="0"/>
                  </w:tcBorders>
                  <w:shd w:val="clear" w:color="auto" w:fill="auto"/>
                  <w:vAlign w:val="center"/>
                </w:tcPr>
                <w:p w14:paraId="108D401B">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kern w:val="2"/>
                      <w:sz w:val="18"/>
                      <w:szCs w:val="18"/>
                      <w:highlight w:val="none"/>
                    </w:rPr>
                  </w:pPr>
                  <w:r>
                    <w:rPr>
                      <w:rFonts w:hint="default" w:ascii="Times New Roman" w:hAnsi="Times New Roman" w:eastAsia="宋体" w:cs="Times New Roman"/>
                      <w:kern w:val="2"/>
                      <w:sz w:val="18"/>
                      <w:szCs w:val="18"/>
                      <w:highlight w:val="none"/>
                      <w:lang w:val="en-US" w:eastAsia="zh-CN" w:bidi="ar"/>
                    </w:rPr>
                    <w:t>0.004</w:t>
                  </w:r>
                </w:p>
              </w:tc>
            </w:tr>
            <w:tr w14:paraId="0E7D8A2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28" w:type="dxa"/>
                  <w:bottom w:w="0" w:type="dxa"/>
                  <w:right w:w="28" w:type="dxa"/>
                </w:tblCellMar>
              </w:tblPrEx>
              <w:trPr>
                <w:trHeight w:val="233" w:hRule="atLeast"/>
              </w:trPr>
              <w:tc>
                <w:tcPr>
                  <w:tcW w:w="470" w:type="dxa"/>
                  <w:vMerge w:val="continue"/>
                  <w:tcBorders>
                    <w:top w:val="nil"/>
                    <w:left w:val="single" w:color="auto" w:sz="4" w:space="0"/>
                    <w:bottom w:val="single" w:color="auto" w:sz="4" w:space="0"/>
                    <w:right w:val="single" w:color="auto" w:sz="4" w:space="0"/>
                  </w:tcBorders>
                  <w:shd w:val="clear" w:color="auto" w:fill="auto"/>
                  <w:vAlign w:val="center"/>
                </w:tcPr>
                <w:p w14:paraId="60441F1C">
                  <w:pPr>
                    <w:keepNext w:val="0"/>
                    <w:keepLines w:val="0"/>
                    <w:suppressLineNumbers w:val="0"/>
                    <w:spacing w:before="0" w:beforeAutospacing="0" w:after="0" w:afterAutospacing="0"/>
                    <w:ind w:left="0" w:right="0"/>
                    <w:rPr>
                      <w:rFonts w:hint="default" w:ascii="Times New Roman" w:hAnsi="Times New Roman" w:cs="Times New Roman"/>
                      <w:sz w:val="20"/>
                      <w:szCs w:val="20"/>
                      <w:highlight w:val="none"/>
                    </w:rPr>
                  </w:pPr>
                </w:p>
              </w:tc>
              <w:tc>
                <w:tcPr>
                  <w:tcW w:w="723" w:type="dxa"/>
                  <w:vMerge w:val="continue"/>
                  <w:tcBorders>
                    <w:top w:val="nil"/>
                    <w:left w:val="single" w:color="auto" w:sz="4" w:space="0"/>
                    <w:bottom w:val="single" w:color="auto" w:sz="4" w:space="0"/>
                    <w:right w:val="single" w:color="auto" w:sz="4" w:space="0"/>
                  </w:tcBorders>
                  <w:shd w:val="clear" w:color="auto" w:fill="auto"/>
                  <w:vAlign w:val="center"/>
                </w:tcPr>
                <w:p w14:paraId="294A03B2">
                  <w:pPr>
                    <w:keepNext w:val="0"/>
                    <w:keepLines w:val="0"/>
                    <w:suppressLineNumbers w:val="0"/>
                    <w:spacing w:before="0" w:beforeAutospacing="0" w:after="0" w:afterAutospacing="0"/>
                    <w:ind w:left="0" w:right="0"/>
                    <w:rPr>
                      <w:rFonts w:hint="default" w:ascii="Times New Roman" w:hAnsi="Times New Roman" w:cs="Times New Roman"/>
                      <w:sz w:val="20"/>
                      <w:szCs w:val="20"/>
                      <w:highlight w:val="none"/>
                    </w:rPr>
                  </w:pPr>
                </w:p>
              </w:tc>
              <w:tc>
                <w:tcPr>
                  <w:tcW w:w="787" w:type="dxa"/>
                  <w:vMerge w:val="continue"/>
                  <w:tcBorders>
                    <w:top w:val="nil"/>
                    <w:left w:val="single" w:color="auto" w:sz="4" w:space="0"/>
                    <w:bottom w:val="single" w:color="auto" w:sz="4" w:space="0"/>
                    <w:right w:val="single" w:color="auto" w:sz="4" w:space="0"/>
                  </w:tcBorders>
                  <w:shd w:val="clear" w:color="auto" w:fill="auto"/>
                  <w:vAlign w:val="center"/>
                </w:tcPr>
                <w:p w14:paraId="301AB963">
                  <w:pPr>
                    <w:keepNext w:val="0"/>
                    <w:keepLines w:val="0"/>
                    <w:suppressLineNumbers w:val="0"/>
                    <w:spacing w:before="0" w:beforeAutospacing="0" w:after="0" w:afterAutospacing="0"/>
                    <w:ind w:left="0" w:right="0"/>
                    <w:rPr>
                      <w:rFonts w:hint="default" w:ascii="Times New Roman" w:hAnsi="Times New Roman" w:cs="Times New Roman"/>
                      <w:sz w:val="20"/>
                      <w:szCs w:val="20"/>
                      <w:highlight w:val="none"/>
                    </w:rPr>
                  </w:pPr>
                </w:p>
              </w:tc>
              <w:tc>
                <w:tcPr>
                  <w:tcW w:w="788" w:type="dxa"/>
                  <w:vMerge w:val="continue"/>
                  <w:tcBorders>
                    <w:top w:val="nil"/>
                    <w:left w:val="single" w:color="auto" w:sz="4" w:space="0"/>
                    <w:bottom w:val="single" w:color="auto" w:sz="4" w:space="0"/>
                    <w:right w:val="single" w:color="auto" w:sz="4" w:space="0"/>
                  </w:tcBorders>
                  <w:shd w:val="clear" w:color="auto" w:fill="auto"/>
                  <w:vAlign w:val="center"/>
                </w:tcPr>
                <w:p w14:paraId="517FA506">
                  <w:pPr>
                    <w:keepNext w:val="0"/>
                    <w:keepLines w:val="0"/>
                    <w:suppressLineNumbers w:val="0"/>
                    <w:spacing w:before="0" w:beforeAutospacing="0" w:after="0" w:afterAutospacing="0"/>
                    <w:ind w:left="0" w:right="0"/>
                    <w:rPr>
                      <w:rFonts w:hint="default" w:ascii="Times New Roman" w:hAnsi="Times New Roman" w:cs="Times New Roman"/>
                      <w:sz w:val="20"/>
                      <w:szCs w:val="20"/>
                      <w:highlight w:val="none"/>
                    </w:rPr>
                  </w:pPr>
                </w:p>
              </w:tc>
              <w:tc>
                <w:tcPr>
                  <w:tcW w:w="675" w:type="dxa"/>
                  <w:vMerge w:val="continue"/>
                  <w:tcBorders>
                    <w:top w:val="nil"/>
                    <w:left w:val="single" w:color="auto" w:sz="4" w:space="0"/>
                    <w:bottom w:val="single" w:color="auto" w:sz="4" w:space="0"/>
                    <w:right w:val="single" w:color="auto" w:sz="4" w:space="0"/>
                  </w:tcBorders>
                  <w:shd w:val="clear" w:color="auto" w:fill="auto"/>
                  <w:vAlign w:val="center"/>
                </w:tcPr>
                <w:p w14:paraId="133EB235">
                  <w:pPr>
                    <w:keepNext w:val="0"/>
                    <w:keepLines w:val="0"/>
                    <w:suppressLineNumbers w:val="0"/>
                    <w:spacing w:before="0" w:beforeAutospacing="0" w:after="0" w:afterAutospacing="0"/>
                    <w:ind w:left="0" w:right="0"/>
                    <w:rPr>
                      <w:rFonts w:hint="default" w:ascii="Times New Roman" w:hAnsi="Times New Roman" w:cs="Times New Roman"/>
                      <w:sz w:val="20"/>
                      <w:szCs w:val="20"/>
                      <w:highlight w:val="none"/>
                    </w:rPr>
                  </w:pPr>
                </w:p>
              </w:tc>
              <w:tc>
                <w:tcPr>
                  <w:tcW w:w="637" w:type="dxa"/>
                  <w:vMerge w:val="continue"/>
                  <w:tcBorders>
                    <w:top w:val="nil"/>
                    <w:left w:val="single" w:color="auto" w:sz="4" w:space="0"/>
                    <w:bottom w:val="single" w:color="auto" w:sz="4" w:space="0"/>
                    <w:right w:val="single" w:color="auto" w:sz="4" w:space="0"/>
                  </w:tcBorders>
                  <w:shd w:val="clear" w:color="auto" w:fill="auto"/>
                  <w:vAlign w:val="center"/>
                </w:tcPr>
                <w:p w14:paraId="2DC87B86">
                  <w:pPr>
                    <w:keepNext w:val="0"/>
                    <w:keepLines w:val="0"/>
                    <w:suppressLineNumbers w:val="0"/>
                    <w:spacing w:before="0" w:beforeAutospacing="0" w:after="0" w:afterAutospacing="0"/>
                    <w:ind w:left="0" w:right="0"/>
                    <w:rPr>
                      <w:rFonts w:hint="default" w:ascii="Times New Roman" w:hAnsi="Times New Roman" w:cs="Times New Roman"/>
                      <w:sz w:val="20"/>
                      <w:szCs w:val="20"/>
                      <w:highlight w:val="none"/>
                    </w:rPr>
                  </w:pPr>
                </w:p>
              </w:tc>
              <w:tc>
                <w:tcPr>
                  <w:tcW w:w="833" w:type="dxa"/>
                  <w:vMerge w:val="continue"/>
                  <w:tcBorders>
                    <w:top w:val="nil"/>
                    <w:left w:val="single" w:color="auto" w:sz="4" w:space="0"/>
                    <w:bottom w:val="single" w:color="auto" w:sz="4" w:space="0"/>
                    <w:right w:val="single" w:color="auto" w:sz="4" w:space="0"/>
                  </w:tcBorders>
                  <w:shd w:val="clear" w:color="auto" w:fill="auto"/>
                  <w:vAlign w:val="center"/>
                </w:tcPr>
                <w:p w14:paraId="1D6B8238">
                  <w:pPr>
                    <w:keepNext w:val="0"/>
                    <w:keepLines w:val="0"/>
                    <w:suppressLineNumbers w:val="0"/>
                    <w:spacing w:before="0" w:beforeAutospacing="0" w:after="0" w:afterAutospacing="0"/>
                    <w:ind w:left="0" w:right="0"/>
                    <w:rPr>
                      <w:rFonts w:hint="default" w:ascii="Times New Roman" w:hAnsi="Times New Roman" w:cs="Times New Roman"/>
                      <w:sz w:val="20"/>
                      <w:szCs w:val="20"/>
                      <w:highlight w:val="none"/>
                    </w:rPr>
                  </w:pPr>
                </w:p>
              </w:tc>
              <w:tc>
                <w:tcPr>
                  <w:tcW w:w="622" w:type="dxa"/>
                  <w:vMerge w:val="continue"/>
                  <w:tcBorders>
                    <w:top w:val="nil"/>
                    <w:left w:val="single" w:color="auto" w:sz="4" w:space="0"/>
                    <w:bottom w:val="single" w:color="auto" w:sz="4" w:space="0"/>
                    <w:right w:val="single" w:color="auto" w:sz="4" w:space="0"/>
                  </w:tcBorders>
                  <w:shd w:val="clear" w:color="auto" w:fill="auto"/>
                  <w:vAlign w:val="center"/>
                </w:tcPr>
                <w:p w14:paraId="32ED7AED">
                  <w:pPr>
                    <w:keepNext w:val="0"/>
                    <w:keepLines w:val="0"/>
                    <w:suppressLineNumbers w:val="0"/>
                    <w:spacing w:before="0" w:beforeAutospacing="0" w:after="0" w:afterAutospacing="0"/>
                    <w:ind w:left="0" w:right="0"/>
                    <w:rPr>
                      <w:rFonts w:hint="default" w:ascii="Times New Roman" w:hAnsi="Times New Roman" w:cs="Times New Roman"/>
                      <w:sz w:val="20"/>
                      <w:szCs w:val="20"/>
                      <w:highlight w:val="none"/>
                    </w:rPr>
                  </w:pPr>
                </w:p>
              </w:tc>
              <w:tc>
                <w:tcPr>
                  <w:tcW w:w="660" w:type="dxa"/>
                  <w:vMerge w:val="continue"/>
                  <w:tcBorders>
                    <w:top w:val="nil"/>
                    <w:left w:val="single" w:color="auto" w:sz="4" w:space="0"/>
                    <w:bottom w:val="single" w:color="auto" w:sz="4" w:space="0"/>
                    <w:right w:val="single" w:color="auto" w:sz="4" w:space="0"/>
                  </w:tcBorders>
                  <w:shd w:val="clear" w:color="auto" w:fill="auto"/>
                  <w:vAlign w:val="center"/>
                </w:tcPr>
                <w:p w14:paraId="16E25FFF">
                  <w:pPr>
                    <w:keepNext w:val="0"/>
                    <w:keepLines w:val="0"/>
                    <w:suppressLineNumbers w:val="0"/>
                    <w:spacing w:before="0" w:beforeAutospacing="0" w:after="0" w:afterAutospacing="0"/>
                    <w:ind w:left="0" w:right="0"/>
                    <w:rPr>
                      <w:rFonts w:hint="default" w:ascii="Times New Roman" w:hAnsi="Times New Roman" w:cs="Times New Roman"/>
                      <w:sz w:val="20"/>
                      <w:szCs w:val="20"/>
                      <w:highlight w:val="none"/>
                    </w:rPr>
                  </w:pPr>
                </w:p>
              </w:tc>
              <w:tc>
                <w:tcPr>
                  <w:tcW w:w="683" w:type="dxa"/>
                  <w:vMerge w:val="continue"/>
                  <w:tcBorders>
                    <w:top w:val="nil"/>
                    <w:left w:val="single" w:color="auto" w:sz="4" w:space="0"/>
                    <w:bottom w:val="single" w:color="auto" w:sz="4" w:space="0"/>
                    <w:right w:val="single" w:color="auto" w:sz="4" w:space="0"/>
                  </w:tcBorders>
                  <w:shd w:val="clear" w:color="auto" w:fill="auto"/>
                  <w:vAlign w:val="center"/>
                </w:tcPr>
                <w:p w14:paraId="39CC6B2F">
                  <w:pPr>
                    <w:keepNext w:val="0"/>
                    <w:keepLines w:val="0"/>
                    <w:suppressLineNumbers w:val="0"/>
                    <w:spacing w:before="0" w:beforeAutospacing="0" w:after="0" w:afterAutospacing="0"/>
                    <w:ind w:left="0" w:right="0"/>
                    <w:rPr>
                      <w:rFonts w:hint="default" w:ascii="Times New Roman" w:hAnsi="Times New Roman" w:cs="Times New Roman"/>
                      <w:sz w:val="20"/>
                      <w:szCs w:val="20"/>
                      <w:highlight w:val="none"/>
                    </w:rPr>
                  </w:pPr>
                </w:p>
              </w:tc>
              <w:tc>
                <w:tcPr>
                  <w:tcW w:w="663" w:type="dxa"/>
                  <w:tcBorders>
                    <w:top w:val="single" w:color="auto" w:sz="4" w:space="0"/>
                    <w:left w:val="single" w:color="auto" w:sz="4" w:space="0"/>
                    <w:bottom w:val="single" w:color="auto" w:sz="4" w:space="0"/>
                    <w:right w:val="single" w:color="auto" w:sz="4" w:space="0"/>
                  </w:tcBorders>
                  <w:shd w:val="clear" w:color="auto" w:fill="auto"/>
                  <w:vAlign w:val="center"/>
                </w:tcPr>
                <w:p w14:paraId="235DBD6E">
                  <w:pPr>
                    <w:keepNext w:val="0"/>
                    <w:keepLines w:val="0"/>
                    <w:widowControl w:val="0"/>
                    <w:suppressLineNumbers w:val="0"/>
                    <w:spacing w:before="0" w:beforeAutospacing="0" w:after="0" w:afterAutospacing="0"/>
                    <w:ind w:left="0" w:right="0"/>
                    <w:jc w:val="center"/>
                    <w:rPr>
                      <w:rFonts w:hint="eastAsia" w:ascii="Times New Roman" w:hAnsi="Times New Roman" w:eastAsia="宋体" w:cs="Times New Roman"/>
                      <w:kern w:val="2"/>
                      <w:sz w:val="18"/>
                      <w:szCs w:val="18"/>
                      <w:highlight w:val="none"/>
                    </w:rPr>
                  </w:pPr>
                  <w:r>
                    <w:rPr>
                      <w:rFonts w:hint="eastAsia" w:ascii="宋体" w:hAnsi="宋体" w:eastAsia="宋体" w:cs="宋体"/>
                      <w:kern w:val="2"/>
                      <w:sz w:val="18"/>
                      <w:szCs w:val="18"/>
                      <w:highlight w:val="none"/>
                      <w:lang w:val="en-US" w:eastAsia="zh-CN" w:bidi="ar"/>
                    </w:rPr>
                    <w:t>硫化氢</w:t>
                  </w:r>
                </w:p>
              </w:tc>
              <w:tc>
                <w:tcPr>
                  <w:tcW w:w="662" w:type="dxa"/>
                  <w:tcBorders>
                    <w:top w:val="single" w:color="auto" w:sz="4" w:space="0"/>
                    <w:left w:val="single" w:color="auto" w:sz="4" w:space="0"/>
                    <w:bottom w:val="single" w:color="auto" w:sz="4" w:space="0"/>
                    <w:right w:val="single" w:color="auto" w:sz="4" w:space="0"/>
                  </w:tcBorders>
                  <w:shd w:val="clear" w:color="auto" w:fill="auto"/>
                  <w:vAlign w:val="center"/>
                </w:tcPr>
                <w:p w14:paraId="535D21D2">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kern w:val="2"/>
                      <w:sz w:val="18"/>
                      <w:szCs w:val="18"/>
                      <w:highlight w:val="none"/>
                      <w:lang w:val="en-US"/>
                    </w:rPr>
                  </w:pPr>
                  <w:r>
                    <w:rPr>
                      <w:rFonts w:hint="default" w:ascii="Times New Roman" w:hAnsi="Times New Roman" w:eastAsia="宋体" w:cs="Times New Roman"/>
                      <w:kern w:val="2"/>
                      <w:sz w:val="18"/>
                      <w:szCs w:val="18"/>
                      <w:highlight w:val="none"/>
                      <w:lang w:val="en-US" w:eastAsia="zh-CN" w:bidi="ar"/>
                    </w:rPr>
                    <w:t>0.00</w:t>
                  </w:r>
                  <w:r>
                    <w:rPr>
                      <w:rFonts w:hint="eastAsia" w:ascii="Times New Roman" w:hAnsi="Times New Roman" w:eastAsia="宋体" w:cs="Times New Roman"/>
                      <w:kern w:val="2"/>
                      <w:sz w:val="18"/>
                      <w:szCs w:val="18"/>
                      <w:highlight w:val="none"/>
                      <w:lang w:val="en-US" w:eastAsia="zh-CN" w:bidi="ar"/>
                    </w:rPr>
                    <w:t>3</w:t>
                  </w:r>
                </w:p>
              </w:tc>
            </w:tr>
            <w:tr w14:paraId="1A51DF2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233" w:hRule="atLeast"/>
              </w:trPr>
              <w:tc>
                <w:tcPr>
                  <w:tcW w:w="470" w:type="dxa"/>
                  <w:vMerge w:val="continue"/>
                  <w:tcBorders>
                    <w:top w:val="nil"/>
                    <w:left w:val="single" w:color="auto" w:sz="4" w:space="0"/>
                    <w:bottom w:val="single" w:color="auto" w:sz="4" w:space="0"/>
                    <w:right w:val="single" w:color="auto" w:sz="4" w:space="0"/>
                  </w:tcBorders>
                  <w:shd w:val="clear" w:color="auto" w:fill="auto"/>
                  <w:vAlign w:val="center"/>
                </w:tcPr>
                <w:p w14:paraId="3A8AAC95">
                  <w:pPr>
                    <w:keepNext w:val="0"/>
                    <w:keepLines w:val="0"/>
                    <w:suppressLineNumbers w:val="0"/>
                    <w:spacing w:before="0" w:beforeAutospacing="0" w:after="0" w:afterAutospacing="0"/>
                    <w:ind w:left="0" w:right="0"/>
                    <w:rPr>
                      <w:rFonts w:hint="default" w:ascii="Times New Roman" w:hAnsi="Times New Roman" w:cs="Times New Roman"/>
                      <w:sz w:val="20"/>
                      <w:szCs w:val="20"/>
                      <w:highlight w:val="none"/>
                    </w:rPr>
                  </w:pPr>
                </w:p>
              </w:tc>
              <w:tc>
                <w:tcPr>
                  <w:tcW w:w="723" w:type="dxa"/>
                  <w:vMerge w:val="continue"/>
                  <w:tcBorders>
                    <w:top w:val="nil"/>
                    <w:left w:val="single" w:color="auto" w:sz="4" w:space="0"/>
                    <w:bottom w:val="single" w:color="auto" w:sz="4" w:space="0"/>
                    <w:right w:val="single" w:color="auto" w:sz="4" w:space="0"/>
                  </w:tcBorders>
                  <w:shd w:val="clear" w:color="auto" w:fill="auto"/>
                  <w:vAlign w:val="center"/>
                </w:tcPr>
                <w:p w14:paraId="3BF96301">
                  <w:pPr>
                    <w:keepNext w:val="0"/>
                    <w:keepLines w:val="0"/>
                    <w:suppressLineNumbers w:val="0"/>
                    <w:spacing w:before="0" w:beforeAutospacing="0" w:after="0" w:afterAutospacing="0"/>
                    <w:ind w:left="0" w:right="0"/>
                    <w:rPr>
                      <w:rFonts w:hint="default" w:ascii="Times New Roman" w:hAnsi="Times New Roman" w:cs="Times New Roman"/>
                      <w:sz w:val="20"/>
                      <w:szCs w:val="20"/>
                      <w:highlight w:val="none"/>
                    </w:rPr>
                  </w:pPr>
                </w:p>
              </w:tc>
              <w:tc>
                <w:tcPr>
                  <w:tcW w:w="787" w:type="dxa"/>
                  <w:vMerge w:val="continue"/>
                  <w:tcBorders>
                    <w:top w:val="nil"/>
                    <w:left w:val="single" w:color="auto" w:sz="4" w:space="0"/>
                    <w:bottom w:val="single" w:color="auto" w:sz="4" w:space="0"/>
                    <w:right w:val="single" w:color="auto" w:sz="4" w:space="0"/>
                  </w:tcBorders>
                  <w:shd w:val="clear" w:color="auto" w:fill="auto"/>
                  <w:vAlign w:val="center"/>
                </w:tcPr>
                <w:p w14:paraId="68CA471F">
                  <w:pPr>
                    <w:keepNext w:val="0"/>
                    <w:keepLines w:val="0"/>
                    <w:suppressLineNumbers w:val="0"/>
                    <w:spacing w:before="0" w:beforeAutospacing="0" w:after="0" w:afterAutospacing="0"/>
                    <w:ind w:left="0" w:right="0"/>
                    <w:rPr>
                      <w:rFonts w:hint="default" w:ascii="Times New Roman" w:hAnsi="Times New Roman" w:cs="Times New Roman"/>
                      <w:sz w:val="20"/>
                      <w:szCs w:val="20"/>
                      <w:highlight w:val="none"/>
                    </w:rPr>
                  </w:pPr>
                </w:p>
              </w:tc>
              <w:tc>
                <w:tcPr>
                  <w:tcW w:w="788" w:type="dxa"/>
                  <w:vMerge w:val="continue"/>
                  <w:tcBorders>
                    <w:top w:val="nil"/>
                    <w:left w:val="single" w:color="auto" w:sz="4" w:space="0"/>
                    <w:bottom w:val="single" w:color="auto" w:sz="4" w:space="0"/>
                    <w:right w:val="single" w:color="auto" w:sz="4" w:space="0"/>
                  </w:tcBorders>
                  <w:shd w:val="clear" w:color="auto" w:fill="auto"/>
                  <w:vAlign w:val="center"/>
                </w:tcPr>
                <w:p w14:paraId="0AA3ACCD">
                  <w:pPr>
                    <w:keepNext w:val="0"/>
                    <w:keepLines w:val="0"/>
                    <w:suppressLineNumbers w:val="0"/>
                    <w:spacing w:before="0" w:beforeAutospacing="0" w:after="0" w:afterAutospacing="0"/>
                    <w:ind w:left="0" w:right="0"/>
                    <w:rPr>
                      <w:rFonts w:hint="default" w:ascii="Times New Roman" w:hAnsi="Times New Roman" w:cs="Times New Roman"/>
                      <w:sz w:val="20"/>
                      <w:szCs w:val="20"/>
                      <w:highlight w:val="none"/>
                    </w:rPr>
                  </w:pPr>
                </w:p>
              </w:tc>
              <w:tc>
                <w:tcPr>
                  <w:tcW w:w="675" w:type="dxa"/>
                  <w:vMerge w:val="continue"/>
                  <w:tcBorders>
                    <w:top w:val="nil"/>
                    <w:left w:val="single" w:color="auto" w:sz="4" w:space="0"/>
                    <w:bottom w:val="single" w:color="auto" w:sz="4" w:space="0"/>
                    <w:right w:val="single" w:color="auto" w:sz="4" w:space="0"/>
                  </w:tcBorders>
                  <w:shd w:val="clear" w:color="auto" w:fill="auto"/>
                  <w:vAlign w:val="center"/>
                </w:tcPr>
                <w:p w14:paraId="1419D1C6">
                  <w:pPr>
                    <w:keepNext w:val="0"/>
                    <w:keepLines w:val="0"/>
                    <w:suppressLineNumbers w:val="0"/>
                    <w:spacing w:before="0" w:beforeAutospacing="0" w:after="0" w:afterAutospacing="0"/>
                    <w:ind w:left="0" w:right="0"/>
                    <w:rPr>
                      <w:rFonts w:hint="default" w:ascii="Times New Roman" w:hAnsi="Times New Roman" w:cs="Times New Roman"/>
                      <w:sz w:val="20"/>
                      <w:szCs w:val="20"/>
                      <w:highlight w:val="none"/>
                    </w:rPr>
                  </w:pPr>
                </w:p>
              </w:tc>
              <w:tc>
                <w:tcPr>
                  <w:tcW w:w="637" w:type="dxa"/>
                  <w:vMerge w:val="continue"/>
                  <w:tcBorders>
                    <w:top w:val="nil"/>
                    <w:left w:val="single" w:color="auto" w:sz="4" w:space="0"/>
                    <w:bottom w:val="single" w:color="auto" w:sz="4" w:space="0"/>
                    <w:right w:val="single" w:color="auto" w:sz="4" w:space="0"/>
                  </w:tcBorders>
                  <w:shd w:val="clear" w:color="auto" w:fill="auto"/>
                  <w:vAlign w:val="center"/>
                </w:tcPr>
                <w:p w14:paraId="3029AA8F">
                  <w:pPr>
                    <w:keepNext w:val="0"/>
                    <w:keepLines w:val="0"/>
                    <w:suppressLineNumbers w:val="0"/>
                    <w:spacing w:before="0" w:beforeAutospacing="0" w:after="0" w:afterAutospacing="0"/>
                    <w:ind w:left="0" w:right="0"/>
                    <w:rPr>
                      <w:rFonts w:hint="default" w:ascii="Times New Roman" w:hAnsi="Times New Roman" w:cs="Times New Roman"/>
                      <w:sz w:val="20"/>
                      <w:szCs w:val="20"/>
                      <w:highlight w:val="none"/>
                    </w:rPr>
                  </w:pPr>
                </w:p>
              </w:tc>
              <w:tc>
                <w:tcPr>
                  <w:tcW w:w="833" w:type="dxa"/>
                  <w:vMerge w:val="continue"/>
                  <w:tcBorders>
                    <w:top w:val="nil"/>
                    <w:left w:val="single" w:color="auto" w:sz="4" w:space="0"/>
                    <w:bottom w:val="single" w:color="auto" w:sz="4" w:space="0"/>
                    <w:right w:val="single" w:color="auto" w:sz="4" w:space="0"/>
                  </w:tcBorders>
                  <w:shd w:val="clear" w:color="auto" w:fill="auto"/>
                  <w:vAlign w:val="center"/>
                </w:tcPr>
                <w:p w14:paraId="2E17B1C9">
                  <w:pPr>
                    <w:keepNext w:val="0"/>
                    <w:keepLines w:val="0"/>
                    <w:suppressLineNumbers w:val="0"/>
                    <w:spacing w:before="0" w:beforeAutospacing="0" w:after="0" w:afterAutospacing="0"/>
                    <w:ind w:left="0" w:right="0"/>
                    <w:rPr>
                      <w:rFonts w:hint="default" w:ascii="Times New Roman" w:hAnsi="Times New Roman" w:cs="Times New Roman"/>
                      <w:sz w:val="20"/>
                      <w:szCs w:val="20"/>
                      <w:highlight w:val="none"/>
                    </w:rPr>
                  </w:pPr>
                </w:p>
              </w:tc>
              <w:tc>
                <w:tcPr>
                  <w:tcW w:w="622" w:type="dxa"/>
                  <w:vMerge w:val="continue"/>
                  <w:tcBorders>
                    <w:top w:val="nil"/>
                    <w:left w:val="single" w:color="auto" w:sz="4" w:space="0"/>
                    <w:bottom w:val="single" w:color="auto" w:sz="4" w:space="0"/>
                    <w:right w:val="single" w:color="auto" w:sz="4" w:space="0"/>
                  </w:tcBorders>
                  <w:shd w:val="clear" w:color="auto" w:fill="auto"/>
                  <w:vAlign w:val="center"/>
                </w:tcPr>
                <w:p w14:paraId="0FB39DD1">
                  <w:pPr>
                    <w:keepNext w:val="0"/>
                    <w:keepLines w:val="0"/>
                    <w:suppressLineNumbers w:val="0"/>
                    <w:spacing w:before="0" w:beforeAutospacing="0" w:after="0" w:afterAutospacing="0"/>
                    <w:ind w:left="0" w:right="0"/>
                    <w:rPr>
                      <w:rFonts w:hint="default" w:ascii="Times New Roman" w:hAnsi="Times New Roman" w:cs="Times New Roman"/>
                      <w:sz w:val="20"/>
                      <w:szCs w:val="20"/>
                      <w:highlight w:val="none"/>
                    </w:rPr>
                  </w:pPr>
                </w:p>
              </w:tc>
              <w:tc>
                <w:tcPr>
                  <w:tcW w:w="660" w:type="dxa"/>
                  <w:vMerge w:val="continue"/>
                  <w:tcBorders>
                    <w:top w:val="nil"/>
                    <w:left w:val="single" w:color="auto" w:sz="4" w:space="0"/>
                    <w:bottom w:val="single" w:color="auto" w:sz="4" w:space="0"/>
                    <w:right w:val="single" w:color="auto" w:sz="4" w:space="0"/>
                  </w:tcBorders>
                  <w:shd w:val="clear" w:color="auto" w:fill="auto"/>
                  <w:vAlign w:val="center"/>
                </w:tcPr>
                <w:p w14:paraId="60F3AB1A">
                  <w:pPr>
                    <w:keepNext w:val="0"/>
                    <w:keepLines w:val="0"/>
                    <w:suppressLineNumbers w:val="0"/>
                    <w:spacing w:before="0" w:beforeAutospacing="0" w:after="0" w:afterAutospacing="0"/>
                    <w:ind w:left="0" w:right="0"/>
                    <w:rPr>
                      <w:rFonts w:hint="default" w:ascii="Times New Roman" w:hAnsi="Times New Roman" w:cs="Times New Roman"/>
                      <w:sz w:val="20"/>
                      <w:szCs w:val="20"/>
                      <w:highlight w:val="none"/>
                    </w:rPr>
                  </w:pPr>
                </w:p>
              </w:tc>
              <w:tc>
                <w:tcPr>
                  <w:tcW w:w="683" w:type="dxa"/>
                  <w:vMerge w:val="continue"/>
                  <w:tcBorders>
                    <w:top w:val="nil"/>
                    <w:left w:val="single" w:color="auto" w:sz="4" w:space="0"/>
                    <w:bottom w:val="single" w:color="auto" w:sz="4" w:space="0"/>
                    <w:right w:val="single" w:color="auto" w:sz="4" w:space="0"/>
                  </w:tcBorders>
                  <w:shd w:val="clear" w:color="auto" w:fill="auto"/>
                  <w:vAlign w:val="center"/>
                </w:tcPr>
                <w:p w14:paraId="2089C615">
                  <w:pPr>
                    <w:keepNext w:val="0"/>
                    <w:keepLines w:val="0"/>
                    <w:suppressLineNumbers w:val="0"/>
                    <w:spacing w:before="0" w:beforeAutospacing="0" w:after="0" w:afterAutospacing="0"/>
                    <w:ind w:left="0" w:right="0"/>
                    <w:rPr>
                      <w:rFonts w:hint="default" w:ascii="Times New Roman" w:hAnsi="Times New Roman" w:cs="Times New Roman"/>
                      <w:sz w:val="20"/>
                      <w:szCs w:val="20"/>
                      <w:highlight w:val="none"/>
                    </w:rPr>
                  </w:pPr>
                </w:p>
              </w:tc>
              <w:tc>
                <w:tcPr>
                  <w:tcW w:w="663" w:type="dxa"/>
                  <w:tcBorders>
                    <w:top w:val="single" w:color="auto" w:sz="4" w:space="0"/>
                    <w:left w:val="single" w:color="auto" w:sz="4" w:space="0"/>
                    <w:bottom w:val="single" w:color="auto" w:sz="4" w:space="0"/>
                    <w:right w:val="single" w:color="auto" w:sz="4" w:space="0"/>
                  </w:tcBorders>
                  <w:shd w:val="clear" w:color="auto" w:fill="auto"/>
                  <w:vAlign w:val="center"/>
                </w:tcPr>
                <w:p w14:paraId="4EA6D652">
                  <w:pPr>
                    <w:keepNext w:val="0"/>
                    <w:keepLines w:val="0"/>
                    <w:widowControl w:val="0"/>
                    <w:suppressLineNumbers w:val="0"/>
                    <w:spacing w:before="0" w:beforeAutospacing="0" w:after="0" w:afterAutospacing="0"/>
                    <w:ind w:left="0" w:right="0"/>
                    <w:jc w:val="center"/>
                    <w:rPr>
                      <w:rFonts w:hint="eastAsia" w:ascii="Times New Roman" w:hAnsi="Times New Roman" w:eastAsia="宋体" w:cs="Times New Roman"/>
                      <w:kern w:val="2"/>
                      <w:sz w:val="18"/>
                      <w:szCs w:val="18"/>
                      <w:highlight w:val="none"/>
                    </w:rPr>
                  </w:pPr>
                  <w:r>
                    <w:rPr>
                      <w:rFonts w:hint="eastAsia" w:ascii="宋体" w:hAnsi="宋体" w:eastAsia="宋体" w:cs="宋体"/>
                      <w:kern w:val="2"/>
                      <w:sz w:val="18"/>
                      <w:szCs w:val="18"/>
                      <w:highlight w:val="none"/>
                      <w:lang w:val="en-US" w:eastAsia="zh-CN" w:bidi="ar"/>
                    </w:rPr>
                    <w:t>非甲烷总烃</w:t>
                  </w:r>
                </w:p>
              </w:tc>
              <w:tc>
                <w:tcPr>
                  <w:tcW w:w="662" w:type="dxa"/>
                  <w:tcBorders>
                    <w:top w:val="single" w:color="auto" w:sz="4" w:space="0"/>
                    <w:left w:val="single" w:color="auto" w:sz="4" w:space="0"/>
                    <w:bottom w:val="single" w:color="auto" w:sz="4" w:space="0"/>
                    <w:right w:val="single" w:color="auto" w:sz="4" w:space="0"/>
                  </w:tcBorders>
                  <w:shd w:val="clear" w:color="auto" w:fill="auto"/>
                  <w:vAlign w:val="center"/>
                </w:tcPr>
                <w:p w14:paraId="40DFABE3">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kern w:val="2"/>
                      <w:sz w:val="18"/>
                      <w:szCs w:val="18"/>
                      <w:highlight w:val="none"/>
                    </w:rPr>
                  </w:pPr>
                  <w:r>
                    <w:rPr>
                      <w:rFonts w:hint="default" w:ascii="Times New Roman" w:hAnsi="Times New Roman" w:eastAsia="宋体" w:cs="Times New Roman"/>
                      <w:kern w:val="2"/>
                      <w:sz w:val="18"/>
                      <w:szCs w:val="18"/>
                      <w:highlight w:val="none"/>
                      <w:lang w:val="en-US" w:eastAsia="zh-CN" w:bidi="ar"/>
                    </w:rPr>
                    <w:t>0.111</w:t>
                  </w:r>
                </w:p>
              </w:tc>
            </w:tr>
            <w:tr w14:paraId="454D4B3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233" w:hRule="atLeast"/>
              </w:trPr>
              <w:tc>
                <w:tcPr>
                  <w:tcW w:w="470" w:type="dxa"/>
                  <w:vMerge w:val="continue"/>
                  <w:tcBorders>
                    <w:top w:val="nil"/>
                    <w:left w:val="single" w:color="auto" w:sz="4" w:space="0"/>
                    <w:bottom w:val="single" w:color="auto" w:sz="4" w:space="0"/>
                    <w:right w:val="single" w:color="auto" w:sz="4" w:space="0"/>
                  </w:tcBorders>
                  <w:shd w:val="clear" w:color="auto" w:fill="auto"/>
                  <w:vAlign w:val="center"/>
                </w:tcPr>
                <w:p w14:paraId="38270A5E">
                  <w:pPr>
                    <w:keepNext w:val="0"/>
                    <w:keepLines w:val="0"/>
                    <w:suppressLineNumbers w:val="0"/>
                    <w:spacing w:before="0" w:beforeAutospacing="0" w:after="0" w:afterAutospacing="0"/>
                    <w:ind w:left="0" w:right="0"/>
                    <w:rPr>
                      <w:rFonts w:hint="default" w:ascii="Times New Roman" w:hAnsi="Times New Roman" w:cs="Times New Roman"/>
                      <w:sz w:val="20"/>
                      <w:szCs w:val="20"/>
                      <w:highlight w:val="none"/>
                    </w:rPr>
                  </w:pPr>
                </w:p>
              </w:tc>
              <w:tc>
                <w:tcPr>
                  <w:tcW w:w="723" w:type="dxa"/>
                  <w:vMerge w:val="continue"/>
                  <w:tcBorders>
                    <w:top w:val="nil"/>
                    <w:left w:val="single" w:color="auto" w:sz="4" w:space="0"/>
                    <w:bottom w:val="single" w:color="auto" w:sz="4" w:space="0"/>
                    <w:right w:val="single" w:color="auto" w:sz="4" w:space="0"/>
                  </w:tcBorders>
                  <w:shd w:val="clear" w:color="auto" w:fill="auto"/>
                  <w:vAlign w:val="center"/>
                </w:tcPr>
                <w:p w14:paraId="23DD1966">
                  <w:pPr>
                    <w:keepNext w:val="0"/>
                    <w:keepLines w:val="0"/>
                    <w:suppressLineNumbers w:val="0"/>
                    <w:spacing w:before="0" w:beforeAutospacing="0" w:after="0" w:afterAutospacing="0"/>
                    <w:ind w:left="0" w:right="0"/>
                    <w:rPr>
                      <w:rFonts w:hint="default" w:ascii="Times New Roman" w:hAnsi="Times New Roman" w:cs="Times New Roman"/>
                      <w:sz w:val="20"/>
                      <w:szCs w:val="20"/>
                      <w:highlight w:val="none"/>
                    </w:rPr>
                  </w:pPr>
                </w:p>
              </w:tc>
              <w:tc>
                <w:tcPr>
                  <w:tcW w:w="787" w:type="dxa"/>
                  <w:vMerge w:val="continue"/>
                  <w:tcBorders>
                    <w:top w:val="nil"/>
                    <w:left w:val="single" w:color="auto" w:sz="4" w:space="0"/>
                    <w:bottom w:val="single" w:color="auto" w:sz="4" w:space="0"/>
                    <w:right w:val="single" w:color="auto" w:sz="4" w:space="0"/>
                  </w:tcBorders>
                  <w:shd w:val="clear" w:color="auto" w:fill="auto"/>
                  <w:vAlign w:val="center"/>
                </w:tcPr>
                <w:p w14:paraId="7E98540A">
                  <w:pPr>
                    <w:keepNext w:val="0"/>
                    <w:keepLines w:val="0"/>
                    <w:suppressLineNumbers w:val="0"/>
                    <w:spacing w:before="0" w:beforeAutospacing="0" w:after="0" w:afterAutospacing="0"/>
                    <w:ind w:left="0" w:right="0"/>
                    <w:rPr>
                      <w:rFonts w:hint="default" w:ascii="Times New Roman" w:hAnsi="Times New Roman" w:cs="Times New Roman"/>
                      <w:sz w:val="20"/>
                      <w:szCs w:val="20"/>
                      <w:highlight w:val="none"/>
                    </w:rPr>
                  </w:pPr>
                </w:p>
              </w:tc>
              <w:tc>
                <w:tcPr>
                  <w:tcW w:w="788" w:type="dxa"/>
                  <w:vMerge w:val="continue"/>
                  <w:tcBorders>
                    <w:top w:val="nil"/>
                    <w:left w:val="single" w:color="auto" w:sz="4" w:space="0"/>
                    <w:bottom w:val="single" w:color="auto" w:sz="4" w:space="0"/>
                    <w:right w:val="single" w:color="auto" w:sz="4" w:space="0"/>
                  </w:tcBorders>
                  <w:shd w:val="clear" w:color="auto" w:fill="auto"/>
                  <w:vAlign w:val="center"/>
                </w:tcPr>
                <w:p w14:paraId="3659A470">
                  <w:pPr>
                    <w:keepNext w:val="0"/>
                    <w:keepLines w:val="0"/>
                    <w:suppressLineNumbers w:val="0"/>
                    <w:spacing w:before="0" w:beforeAutospacing="0" w:after="0" w:afterAutospacing="0"/>
                    <w:ind w:left="0" w:right="0"/>
                    <w:rPr>
                      <w:rFonts w:hint="default" w:ascii="Times New Roman" w:hAnsi="Times New Roman" w:cs="Times New Roman"/>
                      <w:sz w:val="20"/>
                      <w:szCs w:val="20"/>
                      <w:highlight w:val="none"/>
                    </w:rPr>
                  </w:pPr>
                </w:p>
              </w:tc>
              <w:tc>
                <w:tcPr>
                  <w:tcW w:w="675" w:type="dxa"/>
                  <w:vMerge w:val="continue"/>
                  <w:tcBorders>
                    <w:top w:val="nil"/>
                    <w:left w:val="single" w:color="auto" w:sz="4" w:space="0"/>
                    <w:bottom w:val="single" w:color="auto" w:sz="4" w:space="0"/>
                    <w:right w:val="single" w:color="auto" w:sz="4" w:space="0"/>
                  </w:tcBorders>
                  <w:shd w:val="clear" w:color="auto" w:fill="auto"/>
                  <w:vAlign w:val="center"/>
                </w:tcPr>
                <w:p w14:paraId="3C1268A5">
                  <w:pPr>
                    <w:keepNext w:val="0"/>
                    <w:keepLines w:val="0"/>
                    <w:suppressLineNumbers w:val="0"/>
                    <w:spacing w:before="0" w:beforeAutospacing="0" w:after="0" w:afterAutospacing="0"/>
                    <w:ind w:left="0" w:right="0"/>
                    <w:rPr>
                      <w:rFonts w:hint="default" w:ascii="Times New Roman" w:hAnsi="Times New Roman" w:cs="Times New Roman"/>
                      <w:sz w:val="20"/>
                      <w:szCs w:val="20"/>
                      <w:highlight w:val="none"/>
                    </w:rPr>
                  </w:pPr>
                </w:p>
              </w:tc>
              <w:tc>
                <w:tcPr>
                  <w:tcW w:w="637" w:type="dxa"/>
                  <w:vMerge w:val="continue"/>
                  <w:tcBorders>
                    <w:top w:val="nil"/>
                    <w:left w:val="single" w:color="auto" w:sz="4" w:space="0"/>
                    <w:bottom w:val="single" w:color="auto" w:sz="4" w:space="0"/>
                    <w:right w:val="single" w:color="auto" w:sz="4" w:space="0"/>
                  </w:tcBorders>
                  <w:shd w:val="clear" w:color="auto" w:fill="auto"/>
                  <w:vAlign w:val="center"/>
                </w:tcPr>
                <w:p w14:paraId="22961E96">
                  <w:pPr>
                    <w:keepNext w:val="0"/>
                    <w:keepLines w:val="0"/>
                    <w:suppressLineNumbers w:val="0"/>
                    <w:spacing w:before="0" w:beforeAutospacing="0" w:after="0" w:afterAutospacing="0"/>
                    <w:ind w:left="0" w:right="0"/>
                    <w:rPr>
                      <w:rFonts w:hint="default" w:ascii="Times New Roman" w:hAnsi="Times New Roman" w:cs="Times New Roman"/>
                      <w:sz w:val="20"/>
                      <w:szCs w:val="20"/>
                      <w:highlight w:val="none"/>
                    </w:rPr>
                  </w:pPr>
                </w:p>
              </w:tc>
              <w:tc>
                <w:tcPr>
                  <w:tcW w:w="833" w:type="dxa"/>
                  <w:vMerge w:val="continue"/>
                  <w:tcBorders>
                    <w:top w:val="nil"/>
                    <w:left w:val="single" w:color="auto" w:sz="4" w:space="0"/>
                    <w:bottom w:val="single" w:color="auto" w:sz="4" w:space="0"/>
                    <w:right w:val="single" w:color="auto" w:sz="4" w:space="0"/>
                  </w:tcBorders>
                  <w:shd w:val="clear" w:color="auto" w:fill="auto"/>
                  <w:vAlign w:val="center"/>
                </w:tcPr>
                <w:p w14:paraId="2090D408">
                  <w:pPr>
                    <w:keepNext w:val="0"/>
                    <w:keepLines w:val="0"/>
                    <w:suppressLineNumbers w:val="0"/>
                    <w:spacing w:before="0" w:beforeAutospacing="0" w:after="0" w:afterAutospacing="0"/>
                    <w:ind w:left="0" w:right="0"/>
                    <w:rPr>
                      <w:rFonts w:hint="default" w:ascii="Times New Roman" w:hAnsi="Times New Roman" w:cs="Times New Roman"/>
                      <w:sz w:val="20"/>
                      <w:szCs w:val="20"/>
                      <w:highlight w:val="none"/>
                    </w:rPr>
                  </w:pPr>
                </w:p>
              </w:tc>
              <w:tc>
                <w:tcPr>
                  <w:tcW w:w="622" w:type="dxa"/>
                  <w:vMerge w:val="continue"/>
                  <w:tcBorders>
                    <w:top w:val="nil"/>
                    <w:left w:val="single" w:color="auto" w:sz="4" w:space="0"/>
                    <w:bottom w:val="single" w:color="auto" w:sz="4" w:space="0"/>
                    <w:right w:val="single" w:color="auto" w:sz="4" w:space="0"/>
                  </w:tcBorders>
                  <w:shd w:val="clear" w:color="auto" w:fill="auto"/>
                  <w:vAlign w:val="center"/>
                </w:tcPr>
                <w:p w14:paraId="20A451C6">
                  <w:pPr>
                    <w:keepNext w:val="0"/>
                    <w:keepLines w:val="0"/>
                    <w:suppressLineNumbers w:val="0"/>
                    <w:spacing w:before="0" w:beforeAutospacing="0" w:after="0" w:afterAutospacing="0"/>
                    <w:ind w:left="0" w:right="0"/>
                    <w:rPr>
                      <w:rFonts w:hint="default" w:ascii="Times New Roman" w:hAnsi="Times New Roman" w:cs="Times New Roman"/>
                      <w:sz w:val="20"/>
                      <w:szCs w:val="20"/>
                      <w:highlight w:val="none"/>
                    </w:rPr>
                  </w:pPr>
                </w:p>
              </w:tc>
              <w:tc>
                <w:tcPr>
                  <w:tcW w:w="660" w:type="dxa"/>
                  <w:vMerge w:val="continue"/>
                  <w:tcBorders>
                    <w:top w:val="nil"/>
                    <w:left w:val="single" w:color="auto" w:sz="4" w:space="0"/>
                    <w:bottom w:val="single" w:color="auto" w:sz="4" w:space="0"/>
                    <w:right w:val="single" w:color="auto" w:sz="4" w:space="0"/>
                  </w:tcBorders>
                  <w:shd w:val="clear" w:color="auto" w:fill="auto"/>
                  <w:vAlign w:val="center"/>
                </w:tcPr>
                <w:p w14:paraId="380C6E52">
                  <w:pPr>
                    <w:keepNext w:val="0"/>
                    <w:keepLines w:val="0"/>
                    <w:suppressLineNumbers w:val="0"/>
                    <w:spacing w:before="0" w:beforeAutospacing="0" w:after="0" w:afterAutospacing="0"/>
                    <w:ind w:left="0" w:right="0"/>
                    <w:rPr>
                      <w:rFonts w:hint="default" w:ascii="Times New Roman" w:hAnsi="Times New Roman" w:cs="Times New Roman"/>
                      <w:sz w:val="20"/>
                      <w:szCs w:val="20"/>
                      <w:highlight w:val="none"/>
                    </w:rPr>
                  </w:pPr>
                </w:p>
              </w:tc>
              <w:tc>
                <w:tcPr>
                  <w:tcW w:w="683" w:type="dxa"/>
                  <w:vMerge w:val="continue"/>
                  <w:tcBorders>
                    <w:top w:val="nil"/>
                    <w:left w:val="single" w:color="auto" w:sz="4" w:space="0"/>
                    <w:bottom w:val="single" w:color="auto" w:sz="4" w:space="0"/>
                    <w:right w:val="single" w:color="auto" w:sz="4" w:space="0"/>
                  </w:tcBorders>
                  <w:shd w:val="clear" w:color="auto" w:fill="auto"/>
                  <w:vAlign w:val="center"/>
                </w:tcPr>
                <w:p w14:paraId="1A2DF074">
                  <w:pPr>
                    <w:keepNext w:val="0"/>
                    <w:keepLines w:val="0"/>
                    <w:suppressLineNumbers w:val="0"/>
                    <w:spacing w:before="0" w:beforeAutospacing="0" w:after="0" w:afterAutospacing="0"/>
                    <w:ind w:left="0" w:right="0"/>
                    <w:rPr>
                      <w:rFonts w:hint="default" w:ascii="Times New Roman" w:hAnsi="Times New Roman" w:cs="Times New Roman"/>
                      <w:sz w:val="20"/>
                      <w:szCs w:val="20"/>
                      <w:highlight w:val="none"/>
                    </w:rPr>
                  </w:pPr>
                </w:p>
              </w:tc>
              <w:tc>
                <w:tcPr>
                  <w:tcW w:w="663" w:type="dxa"/>
                  <w:tcBorders>
                    <w:top w:val="single" w:color="auto" w:sz="4" w:space="0"/>
                    <w:left w:val="single" w:color="auto" w:sz="4" w:space="0"/>
                    <w:bottom w:val="single" w:color="auto" w:sz="4" w:space="0"/>
                    <w:right w:val="single" w:color="auto" w:sz="4" w:space="0"/>
                  </w:tcBorders>
                  <w:shd w:val="clear" w:color="auto" w:fill="auto"/>
                  <w:vAlign w:val="center"/>
                </w:tcPr>
                <w:p w14:paraId="19400641">
                  <w:pPr>
                    <w:keepNext w:val="0"/>
                    <w:keepLines w:val="0"/>
                    <w:widowControl w:val="0"/>
                    <w:suppressLineNumbers w:val="0"/>
                    <w:spacing w:before="0" w:beforeAutospacing="0" w:after="0" w:afterAutospacing="0"/>
                    <w:ind w:left="0" w:right="0"/>
                    <w:jc w:val="center"/>
                    <w:rPr>
                      <w:rFonts w:hint="eastAsia" w:ascii="Times New Roman" w:hAnsi="Times New Roman" w:eastAsia="宋体" w:cs="Times New Roman"/>
                      <w:kern w:val="2"/>
                      <w:sz w:val="18"/>
                      <w:szCs w:val="18"/>
                      <w:highlight w:val="none"/>
                    </w:rPr>
                  </w:pPr>
                  <w:r>
                    <w:rPr>
                      <w:rFonts w:hint="eastAsia" w:ascii="宋体" w:hAnsi="宋体" w:eastAsia="宋体" w:cs="宋体"/>
                      <w:kern w:val="2"/>
                      <w:sz w:val="18"/>
                      <w:szCs w:val="18"/>
                      <w:highlight w:val="none"/>
                      <w:lang w:val="en-US" w:eastAsia="zh-CN" w:bidi="ar"/>
                    </w:rPr>
                    <w:t>氯气</w:t>
                  </w:r>
                </w:p>
              </w:tc>
              <w:tc>
                <w:tcPr>
                  <w:tcW w:w="662" w:type="dxa"/>
                  <w:tcBorders>
                    <w:top w:val="single" w:color="auto" w:sz="4" w:space="0"/>
                    <w:left w:val="single" w:color="auto" w:sz="4" w:space="0"/>
                    <w:bottom w:val="single" w:color="auto" w:sz="4" w:space="0"/>
                    <w:right w:val="single" w:color="auto" w:sz="4" w:space="0"/>
                  </w:tcBorders>
                  <w:shd w:val="clear" w:color="auto" w:fill="auto"/>
                  <w:vAlign w:val="center"/>
                </w:tcPr>
                <w:p w14:paraId="534AEB5E">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color w:val="000000"/>
                      <w:kern w:val="0"/>
                      <w:sz w:val="18"/>
                      <w:szCs w:val="18"/>
                      <w:highlight w:val="none"/>
                      <w:lang w:val="en-US" w:eastAsia="zh-CN"/>
                    </w:rPr>
                  </w:pPr>
                  <w:r>
                    <w:rPr>
                      <w:rFonts w:hint="eastAsia" w:cs="Times New Roman"/>
                      <w:color w:val="000000"/>
                      <w:kern w:val="0"/>
                      <w:sz w:val="18"/>
                      <w:szCs w:val="18"/>
                      <w:highlight w:val="none"/>
                      <w:lang w:val="en-US" w:eastAsia="zh-CN"/>
                    </w:rPr>
                    <w:t>少量</w:t>
                  </w:r>
                </w:p>
              </w:tc>
            </w:tr>
            <w:tr w14:paraId="7386071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233" w:hRule="atLeast"/>
              </w:trPr>
              <w:tc>
                <w:tcPr>
                  <w:tcW w:w="470" w:type="dxa"/>
                  <w:vMerge w:val="continue"/>
                  <w:tcBorders>
                    <w:top w:val="nil"/>
                    <w:left w:val="single" w:color="auto" w:sz="4" w:space="0"/>
                    <w:bottom w:val="single" w:color="auto" w:sz="4" w:space="0"/>
                    <w:right w:val="single" w:color="auto" w:sz="4" w:space="0"/>
                  </w:tcBorders>
                  <w:shd w:val="clear" w:color="auto" w:fill="auto"/>
                  <w:vAlign w:val="center"/>
                </w:tcPr>
                <w:p w14:paraId="74583B8D">
                  <w:pPr>
                    <w:keepNext w:val="0"/>
                    <w:keepLines w:val="0"/>
                    <w:suppressLineNumbers w:val="0"/>
                    <w:spacing w:before="0" w:beforeAutospacing="0" w:after="0" w:afterAutospacing="0"/>
                    <w:ind w:left="0" w:right="0"/>
                    <w:rPr>
                      <w:rFonts w:hint="default" w:ascii="Times New Roman" w:hAnsi="Times New Roman" w:cs="Times New Roman"/>
                      <w:sz w:val="20"/>
                      <w:szCs w:val="20"/>
                      <w:highlight w:val="none"/>
                    </w:rPr>
                  </w:pPr>
                </w:p>
              </w:tc>
              <w:tc>
                <w:tcPr>
                  <w:tcW w:w="723" w:type="dxa"/>
                  <w:vMerge w:val="continue"/>
                  <w:tcBorders>
                    <w:top w:val="nil"/>
                    <w:left w:val="single" w:color="auto" w:sz="4" w:space="0"/>
                    <w:bottom w:val="single" w:color="auto" w:sz="4" w:space="0"/>
                    <w:right w:val="single" w:color="auto" w:sz="4" w:space="0"/>
                  </w:tcBorders>
                  <w:shd w:val="clear" w:color="auto" w:fill="auto"/>
                  <w:vAlign w:val="center"/>
                </w:tcPr>
                <w:p w14:paraId="6D5E255E">
                  <w:pPr>
                    <w:keepNext w:val="0"/>
                    <w:keepLines w:val="0"/>
                    <w:suppressLineNumbers w:val="0"/>
                    <w:spacing w:before="0" w:beforeAutospacing="0" w:after="0" w:afterAutospacing="0"/>
                    <w:ind w:left="0" w:right="0"/>
                    <w:rPr>
                      <w:rFonts w:hint="default" w:ascii="Times New Roman" w:hAnsi="Times New Roman" w:cs="Times New Roman"/>
                      <w:sz w:val="20"/>
                      <w:szCs w:val="20"/>
                      <w:highlight w:val="none"/>
                    </w:rPr>
                  </w:pPr>
                </w:p>
              </w:tc>
              <w:tc>
                <w:tcPr>
                  <w:tcW w:w="787" w:type="dxa"/>
                  <w:vMerge w:val="continue"/>
                  <w:tcBorders>
                    <w:top w:val="nil"/>
                    <w:left w:val="single" w:color="auto" w:sz="4" w:space="0"/>
                    <w:bottom w:val="single" w:color="auto" w:sz="4" w:space="0"/>
                    <w:right w:val="single" w:color="auto" w:sz="4" w:space="0"/>
                  </w:tcBorders>
                  <w:shd w:val="clear" w:color="auto" w:fill="auto"/>
                  <w:vAlign w:val="center"/>
                </w:tcPr>
                <w:p w14:paraId="2CD43811">
                  <w:pPr>
                    <w:keepNext w:val="0"/>
                    <w:keepLines w:val="0"/>
                    <w:suppressLineNumbers w:val="0"/>
                    <w:spacing w:before="0" w:beforeAutospacing="0" w:after="0" w:afterAutospacing="0"/>
                    <w:ind w:left="0" w:right="0"/>
                    <w:rPr>
                      <w:rFonts w:hint="default" w:ascii="Times New Roman" w:hAnsi="Times New Roman" w:cs="Times New Roman"/>
                      <w:sz w:val="20"/>
                      <w:szCs w:val="20"/>
                      <w:highlight w:val="none"/>
                    </w:rPr>
                  </w:pPr>
                </w:p>
              </w:tc>
              <w:tc>
                <w:tcPr>
                  <w:tcW w:w="788" w:type="dxa"/>
                  <w:vMerge w:val="continue"/>
                  <w:tcBorders>
                    <w:top w:val="nil"/>
                    <w:left w:val="single" w:color="auto" w:sz="4" w:space="0"/>
                    <w:bottom w:val="single" w:color="auto" w:sz="4" w:space="0"/>
                    <w:right w:val="single" w:color="auto" w:sz="4" w:space="0"/>
                  </w:tcBorders>
                  <w:shd w:val="clear" w:color="auto" w:fill="auto"/>
                  <w:vAlign w:val="center"/>
                </w:tcPr>
                <w:p w14:paraId="50454825">
                  <w:pPr>
                    <w:keepNext w:val="0"/>
                    <w:keepLines w:val="0"/>
                    <w:suppressLineNumbers w:val="0"/>
                    <w:spacing w:before="0" w:beforeAutospacing="0" w:after="0" w:afterAutospacing="0"/>
                    <w:ind w:left="0" w:right="0"/>
                    <w:rPr>
                      <w:rFonts w:hint="default" w:ascii="Times New Roman" w:hAnsi="Times New Roman" w:cs="Times New Roman"/>
                      <w:sz w:val="20"/>
                      <w:szCs w:val="20"/>
                      <w:highlight w:val="none"/>
                    </w:rPr>
                  </w:pPr>
                </w:p>
              </w:tc>
              <w:tc>
                <w:tcPr>
                  <w:tcW w:w="675" w:type="dxa"/>
                  <w:vMerge w:val="continue"/>
                  <w:tcBorders>
                    <w:top w:val="nil"/>
                    <w:left w:val="single" w:color="auto" w:sz="4" w:space="0"/>
                    <w:bottom w:val="single" w:color="auto" w:sz="4" w:space="0"/>
                    <w:right w:val="single" w:color="auto" w:sz="4" w:space="0"/>
                  </w:tcBorders>
                  <w:shd w:val="clear" w:color="auto" w:fill="auto"/>
                  <w:vAlign w:val="center"/>
                </w:tcPr>
                <w:p w14:paraId="678E0CB7">
                  <w:pPr>
                    <w:keepNext w:val="0"/>
                    <w:keepLines w:val="0"/>
                    <w:suppressLineNumbers w:val="0"/>
                    <w:spacing w:before="0" w:beforeAutospacing="0" w:after="0" w:afterAutospacing="0"/>
                    <w:ind w:left="0" w:right="0"/>
                    <w:rPr>
                      <w:rFonts w:hint="default" w:ascii="Times New Roman" w:hAnsi="Times New Roman" w:cs="Times New Roman"/>
                      <w:sz w:val="20"/>
                      <w:szCs w:val="20"/>
                      <w:highlight w:val="none"/>
                    </w:rPr>
                  </w:pPr>
                </w:p>
              </w:tc>
              <w:tc>
                <w:tcPr>
                  <w:tcW w:w="637" w:type="dxa"/>
                  <w:vMerge w:val="continue"/>
                  <w:tcBorders>
                    <w:top w:val="nil"/>
                    <w:left w:val="single" w:color="auto" w:sz="4" w:space="0"/>
                    <w:bottom w:val="single" w:color="auto" w:sz="4" w:space="0"/>
                    <w:right w:val="single" w:color="auto" w:sz="4" w:space="0"/>
                  </w:tcBorders>
                  <w:shd w:val="clear" w:color="auto" w:fill="auto"/>
                  <w:vAlign w:val="center"/>
                </w:tcPr>
                <w:p w14:paraId="5DFBC1BE">
                  <w:pPr>
                    <w:keepNext w:val="0"/>
                    <w:keepLines w:val="0"/>
                    <w:suppressLineNumbers w:val="0"/>
                    <w:spacing w:before="0" w:beforeAutospacing="0" w:after="0" w:afterAutospacing="0"/>
                    <w:ind w:left="0" w:right="0"/>
                    <w:rPr>
                      <w:rFonts w:hint="default" w:ascii="Times New Roman" w:hAnsi="Times New Roman" w:cs="Times New Roman"/>
                      <w:sz w:val="20"/>
                      <w:szCs w:val="20"/>
                      <w:highlight w:val="none"/>
                    </w:rPr>
                  </w:pPr>
                </w:p>
              </w:tc>
              <w:tc>
                <w:tcPr>
                  <w:tcW w:w="833" w:type="dxa"/>
                  <w:vMerge w:val="continue"/>
                  <w:tcBorders>
                    <w:top w:val="nil"/>
                    <w:left w:val="single" w:color="auto" w:sz="4" w:space="0"/>
                    <w:bottom w:val="single" w:color="auto" w:sz="4" w:space="0"/>
                    <w:right w:val="single" w:color="auto" w:sz="4" w:space="0"/>
                  </w:tcBorders>
                  <w:shd w:val="clear" w:color="auto" w:fill="auto"/>
                  <w:vAlign w:val="center"/>
                </w:tcPr>
                <w:p w14:paraId="656EC4B2">
                  <w:pPr>
                    <w:keepNext w:val="0"/>
                    <w:keepLines w:val="0"/>
                    <w:suppressLineNumbers w:val="0"/>
                    <w:spacing w:before="0" w:beforeAutospacing="0" w:after="0" w:afterAutospacing="0"/>
                    <w:ind w:left="0" w:right="0"/>
                    <w:rPr>
                      <w:rFonts w:hint="default" w:ascii="Times New Roman" w:hAnsi="Times New Roman" w:cs="Times New Roman"/>
                      <w:sz w:val="20"/>
                      <w:szCs w:val="20"/>
                      <w:highlight w:val="none"/>
                    </w:rPr>
                  </w:pPr>
                </w:p>
              </w:tc>
              <w:tc>
                <w:tcPr>
                  <w:tcW w:w="622" w:type="dxa"/>
                  <w:vMerge w:val="continue"/>
                  <w:tcBorders>
                    <w:top w:val="nil"/>
                    <w:left w:val="single" w:color="auto" w:sz="4" w:space="0"/>
                    <w:bottom w:val="single" w:color="auto" w:sz="4" w:space="0"/>
                    <w:right w:val="single" w:color="auto" w:sz="4" w:space="0"/>
                  </w:tcBorders>
                  <w:shd w:val="clear" w:color="auto" w:fill="auto"/>
                  <w:vAlign w:val="center"/>
                </w:tcPr>
                <w:p w14:paraId="2D06ADFB">
                  <w:pPr>
                    <w:keepNext w:val="0"/>
                    <w:keepLines w:val="0"/>
                    <w:suppressLineNumbers w:val="0"/>
                    <w:spacing w:before="0" w:beforeAutospacing="0" w:after="0" w:afterAutospacing="0"/>
                    <w:ind w:left="0" w:right="0"/>
                    <w:rPr>
                      <w:rFonts w:hint="default" w:ascii="Times New Roman" w:hAnsi="Times New Roman" w:cs="Times New Roman"/>
                      <w:sz w:val="20"/>
                      <w:szCs w:val="20"/>
                      <w:highlight w:val="none"/>
                    </w:rPr>
                  </w:pPr>
                </w:p>
              </w:tc>
              <w:tc>
                <w:tcPr>
                  <w:tcW w:w="660" w:type="dxa"/>
                  <w:vMerge w:val="continue"/>
                  <w:tcBorders>
                    <w:top w:val="nil"/>
                    <w:left w:val="single" w:color="auto" w:sz="4" w:space="0"/>
                    <w:bottom w:val="single" w:color="auto" w:sz="4" w:space="0"/>
                    <w:right w:val="single" w:color="auto" w:sz="4" w:space="0"/>
                  </w:tcBorders>
                  <w:shd w:val="clear" w:color="auto" w:fill="auto"/>
                  <w:vAlign w:val="center"/>
                </w:tcPr>
                <w:p w14:paraId="59FD785A">
                  <w:pPr>
                    <w:keepNext w:val="0"/>
                    <w:keepLines w:val="0"/>
                    <w:suppressLineNumbers w:val="0"/>
                    <w:spacing w:before="0" w:beforeAutospacing="0" w:after="0" w:afterAutospacing="0"/>
                    <w:ind w:left="0" w:right="0"/>
                    <w:rPr>
                      <w:rFonts w:hint="default" w:ascii="Times New Roman" w:hAnsi="Times New Roman" w:cs="Times New Roman"/>
                      <w:sz w:val="20"/>
                      <w:szCs w:val="20"/>
                      <w:highlight w:val="none"/>
                    </w:rPr>
                  </w:pPr>
                </w:p>
              </w:tc>
              <w:tc>
                <w:tcPr>
                  <w:tcW w:w="683" w:type="dxa"/>
                  <w:vMerge w:val="continue"/>
                  <w:tcBorders>
                    <w:top w:val="nil"/>
                    <w:left w:val="single" w:color="auto" w:sz="4" w:space="0"/>
                    <w:bottom w:val="single" w:color="auto" w:sz="4" w:space="0"/>
                    <w:right w:val="single" w:color="auto" w:sz="4" w:space="0"/>
                  </w:tcBorders>
                  <w:shd w:val="clear" w:color="auto" w:fill="auto"/>
                  <w:vAlign w:val="center"/>
                </w:tcPr>
                <w:p w14:paraId="43DFC067">
                  <w:pPr>
                    <w:keepNext w:val="0"/>
                    <w:keepLines w:val="0"/>
                    <w:suppressLineNumbers w:val="0"/>
                    <w:spacing w:before="0" w:beforeAutospacing="0" w:after="0" w:afterAutospacing="0"/>
                    <w:ind w:left="0" w:right="0"/>
                    <w:rPr>
                      <w:rFonts w:hint="default" w:ascii="Times New Roman" w:hAnsi="Times New Roman" w:cs="Times New Roman"/>
                      <w:sz w:val="20"/>
                      <w:szCs w:val="20"/>
                      <w:highlight w:val="none"/>
                    </w:rPr>
                  </w:pPr>
                </w:p>
              </w:tc>
              <w:tc>
                <w:tcPr>
                  <w:tcW w:w="663" w:type="dxa"/>
                  <w:tcBorders>
                    <w:top w:val="single" w:color="auto" w:sz="4" w:space="0"/>
                    <w:left w:val="single" w:color="auto" w:sz="4" w:space="0"/>
                    <w:bottom w:val="single" w:color="auto" w:sz="4" w:space="0"/>
                    <w:right w:val="single" w:color="auto" w:sz="4" w:space="0"/>
                  </w:tcBorders>
                  <w:shd w:val="clear" w:color="auto" w:fill="auto"/>
                  <w:vAlign w:val="center"/>
                </w:tcPr>
                <w:p w14:paraId="24AA53FB">
                  <w:pPr>
                    <w:keepNext w:val="0"/>
                    <w:keepLines w:val="0"/>
                    <w:widowControl w:val="0"/>
                    <w:suppressLineNumbers w:val="0"/>
                    <w:spacing w:before="0" w:beforeAutospacing="0" w:after="0" w:afterAutospacing="0"/>
                    <w:ind w:left="0" w:right="0"/>
                    <w:jc w:val="center"/>
                    <w:rPr>
                      <w:rFonts w:hint="default" w:ascii="宋体" w:hAnsi="宋体" w:eastAsia="宋体" w:cs="宋体"/>
                      <w:kern w:val="2"/>
                      <w:sz w:val="18"/>
                      <w:szCs w:val="18"/>
                      <w:highlight w:val="none"/>
                      <w:lang w:val="en-US" w:eastAsia="zh-CN" w:bidi="ar"/>
                    </w:rPr>
                  </w:pPr>
                  <w:r>
                    <w:rPr>
                      <w:rFonts w:hint="eastAsia" w:ascii="宋体" w:hAnsi="宋体" w:cs="宋体"/>
                      <w:kern w:val="2"/>
                      <w:sz w:val="18"/>
                      <w:szCs w:val="18"/>
                      <w:highlight w:val="none"/>
                      <w:lang w:val="en-US" w:eastAsia="zh-CN" w:bidi="ar"/>
                    </w:rPr>
                    <w:t>颗粒物</w:t>
                  </w:r>
                </w:p>
              </w:tc>
              <w:tc>
                <w:tcPr>
                  <w:tcW w:w="662" w:type="dxa"/>
                  <w:tcBorders>
                    <w:top w:val="single" w:color="auto" w:sz="4" w:space="0"/>
                    <w:left w:val="single" w:color="auto" w:sz="4" w:space="0"/>
                    <w:bottom w:val="single" w:color="auto" w:sz="4" w:space="0"/>
                    <w:right w:val="single" w:color="auto" w:sz="4" w:space="0"/>
                  </w:tcBorders>
                  <w:shd w:val="clear" w:color="auto" w:fill="auto"/>
                  <w:vAlign w:val="center"/>
                </w:tcPr>
                <w:p w14:paraId="3FAE0FC9">
                  <w:pPr>
                    <w:keepNext w:val="0"/>
                    <w:keepLines w:val="0"/>
                    <w:widowControl/>
                    <w:suppressLineNumbers w:val="0"/>
                    <w:spacing w:before="0" w:beforeAutospacing="0" w:after="0" w:afterAutospacing="0"/>
                    <w:ind w:left="0" w:right="0"/>
                    <w:jc w:val="center"/>
                    <w:textAlignment w:val="center"/>
                    <w:rPr>
                      <w:rFonts w:hint="eastAsia" w:cs="Times New Roman"/>
                      <w:color w:val="000000"/>
                      <w:kern w:val="0"/>
                      <w:sz w:val="18"/>
                      <w:szCs w:val="18"/>
                      <w:highlight w:val="none"/>
                      <w:lang w:val="en-US" w:eastAsia="zh-CN"/>
                    </w:rPr>
                  </w:pPr>
                  <w:r>
                    <w:rPr>
                      <w:rFonts w:hint="eastAsia" w:ascii="宋体" w:hAnsi="宋体" w:cs="宋体"/>
                      <w:kern w:val="2"/>
                      <w:sz w:val="18"/>
                      <w:szCs w:val="18"/>
                      <w:highlight w:val="none"/>
                      <w:lang w:val="en-US" w:eastAsia="zh-CN" w:bidi="ar"/>
                    </w:rPr>
                    <w:t>少量</w:t>
                  </w:r>
                </w:p>
              </w:tc>
            </w:tr>
            <w:tr w14:paraId="384598F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28" w:type="dxa"/>
                  <w:bottom w:w="0" w:type="dxa"/>
                  <w:right w:w="28" w:type="dxa"/>
                </w:tblCellMar>
              </w:tblPrEx>
              <w:trPr>
                <w:trHeight w:val="233" w:hRule="atLeast"/>
              </w:trPr>
              <w:tc>
                <w:tcPr>
                  <w:tcW w:w="470" w:type="dxa"/>
                  <w:vMerge w:val="continue"/>
                  <w:tcBorders>
                    <w:top w:val="nil"/>
                    <w:left w:val="single" w:color="auto" w:sz="4" w:space="0"/>
                    <w:bottom w:val="single" w:color="auto" w:sz="4" w:space="0"/>
                    <w:right w:val="single" w:color="auto" w:sz="4" w:space="0"/>
                  </w:tcBorders>
                  <w:shd w:val="clear" w:color="auto" w:fill="auto"/>
                  <w:vAlign w:val="center"/>
                </w:tcPr>
                <w:p w14:paraId="6A4DF17F">
                  <w:pPr>
                    <w:keepNext w:val="0"/>
                    <w:keepLines w:val="0"/>
                    <w:suppressLineNumbers w:val="0"/>
                    <w:spacing w:before="0" w:beforeAutospacing="0" w:after="0" w:afterAutospacing="0"/>
                    <w:ind w:left="0" w:right="0"/>
                    <w:rPr>
                      <w:rFonts w:hint="default" w:ascii="Times New Roman" w:hAnsi="Times New Roman" w:cs="Times New Roman"/>
                      <w:sz w:val="20"/>
                      <w:szCs w:val="20"/>
                      <w:highlight w:val="none"/>
                    </w:rPr>
                  </w:pPr>
                </w:p>
              </w:tc>
              <w:tc>
                <w:tcPr>
                  <w:tcW w:w="723" w:type="dxa"/>
                  <w:vMerge w:val="continue"/>
                  <w:tcBorders>
                    <w:top w:val="nil"/>
                    <w:left w:val="single" w:color="auto" w:sz="4" w:space="0"/>
                    <w:bottom w:val="single" w:color="auto" w:sz="4" w:space="0"/>
                    <w:right w:val="single" w:color="auto" w:sz="4" w:space="0"/>
                  </w:tcBorders>
                  <w:shd w:val="clear" w:color="auto" w:fill="auto"/>
                  <w:vAlign w:val="center"/>
                </w:tcPr>
                <w:p w14:paraId="7517B8C5">
                  <w:pPr>
                    <w:keepNext w:val="0"/>
                    <w:keepLines w:val="0"/>
                    <w:suppressLineNumbers w:val="0"/>
                    <w:spacing w:before="0" w:beforeAutospacing="0" w:after="0" w:afterAutospacing="0"/>
                    <w:ind w:left="0" w:right="0"/>
                    <w:rPr>
                      <w:rFonts w:hint="default" w:ascii="Times New Roman" w:hAnsi="Times New Roman" w:cs="Times New Roman"/>
                      <w:sz w:val="20"/>
                      <w:szCs w:val="20"/>
                      <w:highlight w:val="none"/>
                    </w:rPr>
                  </w:pPr>
                </w:p>
              </w:tc>
              <w:tc>
                <w:tcPr>
                  <w:tcW w:w="787" w:type="dxa"/>
                  <w:vMerge w:val="continue"/>
                  <w:tcBorders>
                    <w:top w:val="nil"/>
                    <w:left w:val="single" w:color="auto" w:sz="4" w:space="0"/>
                    <w:bottom w:val="single" w:color="auto" w:sz="4" w:space="0"/>
                    <w:right w:val="single" w:color="auto" w:sz="4" w:space="0"/>
                  </w:tcBorders>
                  <w:shd w:val="clear" w:color="auto" w:fill="auto"/>
                  <w:vAlign w:val="center"/>
                </w:tcPr>
                <w:p w14:paraId="3766CBB1">
                  <w:pPr>
                    <w:keepNext w:val="0"/>
                    <w:keepLines w:val="0"/>
                    <w:suppressLineNumbers w:val="0"/>
                    <w:spacing w:before="0" w:beforeAutospacing="0" w:after="0" w:afterAutospacing="0"/>
                    <w:ind w:left="0" w:right="0"/>
                    <w:rPr>
                      <w:rFonts w:hint="default" w:ascii="Times New Roman" w:hAnsi="Times New Roman" w:cs="Times New Roman"/>
                      <w:sz w:val="20"/>
                      <w:szCs w:val="20"/>
                      <w:highlight w:val="none"/>
                    </w:rPr>
                  </w:pPr>
                </w:p>
              </w:tc>
              <w:tc>
                <w:tcPr>
                  <w:tcW w:w="788" w:type="dxa"/>
                  <w:vMerge w:val="continue"/>
                  <w:tcBorders>
                    <w:top w:val="nil"/>
                    <w:left w:val="single" w:color="auto" w:sz="4" w:space="0"/>
                    <w:bottom w:val="single" w:color="auto" w:sz="4" w:space="0"/>
                    <w:right w:val="single" w:color="auto" w:sz="4" w:space="0"/>
                  </w:tcBorders>
                  <w:shd w:val="clear" w:color="auto" w:fill="auto"/>
                  <w:vAlign w:val="center"/>
                </w:tcPr>
                <w:p w14:paraId="0D2A00CF">
                  <w:pPr>
                    <w:keepNext w:val="0"/>
                    <w:keepLines w:val="0"/>
                    <w:suppressLineNumbers w:val="0"/>
                    <w:spacing w:before="0" w:beforeAutospacing="0" w:after="0" w:afterAutospacing="0"/>
                    <w:ind w:left="0" w:right="0"/>
                    <w:rPr>
                      <w:rFonts w:hint="default" w:ascii="Times New Roman" w:hAnsi="Times New Roman" w:cs="Times New Roman"/>
                      <w:sz w:val="20"/>
                      <w:szCs w:val="20"/>
                      <w:highlight w:val="none"/>
                    </w:rPr>
                  </w:pPr>
                </w:p>
              </w:tc>
              <w:tc>
                <w:tcPr>
                  <w:tcW w:w="675" w:type="dxa"/>
                  <w:vMerge w:val="continue"/>
                  <w:tcBorders>
                    <w:top w:val="nil"/>
                    <w:left w:val="single" w:color="auto" w:sz="4" w:space="0"/>
                    <w:bottom w:val="single" w:color="auto" w:sz="4" w:space="0"/>
                    <w:right w:val="single" w:color="auto" w:sz="4" w:space="0"/>
                  </w:tcBorders>
                  <w:shd w:val="clear" w:color="auto" w:fill="auto"/>
                  <w:vAlign w:val="center"/>
                </w:tcPr>
                <w:p w14:paraId="33379F01">
                  <w:pPr>
                    <w:keepNext w:val="0"/>
                    <w:keepLines w:val="0"/>
                    <w:suppressLineNumbers w:val="0"/>
                    <w:spacing w:before="0" w:beforeAutospacing="0" w:after="0" w:afterAutospacing="0"/>
                    <w:ind w:left="0" w:right="0"/>
                    <w:rPr>
                      <w:rFonts w:hint="default" w:ascii="Times New Roman" w:hAnsi="Times New Roman" w:cs="Times New Roman"/>
                      <w:sz w:val="20"/>
                      <w:szCs w:val="20"/>
                      <w:highlight w:val="none"/>
                    </w:rPr>
                  </w:pPr>
                </w:p>
              </w:tc>
              <w:tc>
                <w:tcPr>
                  <w:tcW w:w="637" w:type="dxa"/>
                  <w:vMerge w:val="continue"/>
                  <w:tcBorders>
                    <w:top w:val="nil"/>
                    <w:left w:val="single" w:color="auto" w:sz="4" w:space="0"/>
                    <w:bottom w:val="single" w:color="auto" w:sz="4" w:space="0"/>
                    <w:right w:val="single" w:color="auto" w:sz="4" w:space="0"/>
                  </w:tcBorders>
                  <w:shd w:val="clear" w:color="auto" w:fill="auto"/>
                  <w:vAlign w:val="center"/>
                </w:tcPr>
                <w:p w14:paraId="1B426C9D">
                  <w:pPr>
                    <w:keepNext w:val="0"/>
                    <w:keepLines w:val="0"/>
                    <w:suppressLineNumbers w:val="0"/>
                    <w:spacing w:before="0" w:beforeAutospacing="0" w:after="0" w:afterAutospacing="0"/>
                    <w:ind w:left="0" w:right="0"/>
                    <w:rPr>
                      <w:rFonts w:hint="default" w:ascii="Times New Roman" w:hAnsi="Times New Roman" w:cs="Times New Roman"/>
                      <w:sz w:val="20"/>
                      <w:szCs w:val="20"/>
                      <w:highlight w:val="none"/>
                    </w:rPr>
                  </w:pPr>
                </w:p>
              </w:tc>
              <w:tc>
                <w:tcPr>
                  <w:tcW w:w="833" w:type="dxa"/>
                  <w:vMerge w:val="continue"/>
                  <w:tcBorders>
                    <w:top w:val="nil"/>
                    <w:left w:val="single" w:color="auto" w:sz="4" w:space="0"/>
                    <w:bottom w:val="single" w:color="auto" w:sz="4" w:space="0"/>
                    <w:right w:val="single" w:color="auto" w:sz="4" w:space="0"/>
                  </w:tcBorders>
                  <w:shd w:val="clear" w:color="auto" w:fill="auto"/>
                  <w:vAlign w:val="center"/>
                </w:tcPr>
                <w:p w14:paraId="2A78A216">
                  <w:pPr>
                    <w:keepNext w:val="0"/>
                    <w:keepLines w:val="0"/>
                    <w:suppressLineNumbers w:val="0"/>
                    <w:spacing w:before="0" w:beforeAutospacing="0" w:after="0" w:afterAutospacing="0"/>
                    <w:ind w:left="0" w:right="0"/>
                    <w:rPr>
                      <w:rFonts w:hint="default" w:ascii="Times New Roman" w:hAnsi="Times New Roman" w:cs="Times New Roman"/>
                      <w:sz w:val="20"/>
                      <w:szCs w:val="20"/>
                      <w:highlight w:val="none"/>
                    </w:rPr>
                  </w:pPr>
                </w:p>
              </w:tc>
              <w:tc>
                <w:tcPr>
                  <w:tcW w:w="622" w:type="dxa"/>
                  <w:vMerge w:val="continue"/>
                  <w:tcBorders>
                    <w:top w:val="nil"/>
                    <w:left w:val="single" w:color="auto" w:sz="4" w:space="0"/>
                    <w:bottom w:val="single" w:color="auto" w:sz="4" w:space="0"/>
                    <w:right w:val="single" w:color="auto" w:sz="4" w:space="0"/>
                  </w:tcBorders>
                  <w:shd w:val="clear" w:color="auto" w:fill="auto"/>
                  <w:vAlign w:val="center"/>
                </w:tcPr>
                <w:p w14:paraId="6AADF2CE">
                  <w:pPr>
                    <w:keepNext w:val="0"/>
                    <w:keepLines w:val="0"/>
                    <w:suppressLineNumbers w:val="0"/>
                    <w:spacing w:before="0" w:beforeAutospacing="0" w:after="0" w:afterAutospacing="0"/>
                    <w:ind w:left="0" w:right="0"/>
                    <w:rPr>
                      <w:rFonts w:hint="default" w:ascii="Times New Roman" w:hAnsi="Times New Roman" w:cs="Times New Roman"/>
                      <w:sz w:val="20"/>
                      <w:szCs w:val="20"/>
                      <w:highlight w:val="none"/>
                    </w:rPr>
                  </w:pPr>
                </w:p>
              </w:tc>
              <w:tc>
                <w:tcPr>
                  <w:tcW w:w="660" w:type="dxa"/>
                  <w:vMerge w:val="continue"/>
                  <w:tcBorders>
                    <w:top w:val="nil"/>
                    <w:left w:val="single" w:color="auto" w:sz="4" w:space="0"/>
                    <w:bottom w:val="single" w:color="auto" w:sz="4" w:space="0"/>
                    <w:right w:val="single" w:color="auto" w:sz="4" w:space="0"/>
                  </w:tcBorders>
                  <w:shd w:val="clear" w:color="auto" w:fill="auto"/>
                  <w:vAlign w:val="center"/>
                </w:tcPr>
                <w:p w14:paraId="34916B42">
                  <w:pPr>
                    <w:keepNext w:val="0"/>
                    <w:keepLines w:val="0"/>
                    <w:suppressLineNumbers w:val="0"/>
                    <w:spacing w:before="0" w:beforeAutospacing="0" w:after="0" w:afterAutospacing="0"/>
                    <w:ind w:left="0" w:right="0"/>
                    <w:rPr>
                      <w:rFonts w:hint="default" w:ascii="Times New Roman" w:hAnsi="Times New Roman" w:cs="Times New Roman"/>
                      <w:sz w:val="20"/>
                      <w:szCs w:val="20"/>
                      <w:highlight w:val="none"/>
                    </w:rPr>
                  </w:pPr>
                </w:p>
              </w:tc>
              <w:tc>
                <w:tcPr>
                  <w:tcW w:w="683" w:type="dxa"/>
                  <w:vMerge w:val="continue"/>
                  <w:tcBorders>
                    <w:top w:val="nil"/>
                    <w:left w:val="single" w:color="auto" w:sz="4" w:space="0"/>
                    <w:bottom w:val="single" w:color="auto" w:sz="4" w:space="0"/>
                    <w:right w:val="single" w:color="auto" w:sz="4" w:space="0"/>
                  </w:tcBorders>
                  <w:shd w:val="clear" w:color="auto" w:fill="auto"/>
                  <w:vAlign w:val="center"/>
                </w:tcPr>
                <w:p w14:paraId="5C906F7E">
                  <w:pPr>
                    <w:keepNext w:val="0"/>
                    <w:keepLines w:val="0"/>
                    <w:suppressLineNumbers w:val="0"/>
                    <w:spacing w:before="0" w:beforeAutospacing="0" w:after="0" w:afterAutospacing="0"/>
                    <w:ind w:left="0" w:right="0"/>
                    <w:rPr>
                      <w:rFonts w:hint="default" w:ascii="Times New Roman" w:hAnsi="Times New Roman" w:cs="Times New Roman"/>
                      <w:sz w:val="20"/>
                      <w:szCs w:val="20"/>
                      <w:highlight w:val="none"/>
                    </w:rPr>
                  </w:pPr>
                </w:p>
              </w:tc>
              <w:tc>
                <w:tcPr>
                  <w:tcW w:w="663" w:type="dxa"/>
                  <w:tcBorders>
                    <w:top w:val="single" w:color="auto" w:sz="4" w:space="0"/>
                    <w:left w:val="single" w:color="auto" w:sz="4" w:space="0"/>
                    <w:bottom w:val="single" w:color="auto" w:sz="4" w:space="0"/>
                    <w:right w:val="single" w:color="auto" w:sz="4" w:space="0"/>
                  </w:tcBorders>
                  <w:shd w:val="clear" w:color="auto" w:fill="auto"/>
                  <w:vAlign w:val="center"/>
                </w:tcPr>
                <w:p w14:paraId="69100A93">
                  <w:pPr>
                    <w:keepNext w:val="0"/>
                    <w:keepLines w:val="0"/>
                    <w:widowControl w:val="0"/>
                    <w:suppressLineNumbers w:val="0"/>
                    <w:spacing w:before="0" w:beforeAutospacing="0" w:after="0" w:afterAutospacing="0"/>
                    <w:ind w:left="0" w:right="0"/>
                    <w:jc w:val="center"/>
                    <w:rPr>
                      <w:rFonts w:hint="eastAsia" w:ascii="Times New Roman" w:hAnsi="Times New Roman" w:eastAsia="宋体" w:cs="Times New Roman"/>
                      <w:kern w:val="2"/>
                      <w:sz w:val="18"/>
                      <w:szCs w:val="18"/>
                      <w:highlight w:val="none"/>
                    </w:rPr>
                  </w:pPr>
                  <w:r>
                    <w:rPr>
                      <w:rFonts w:hint="eastAsia" w:ascii="宋体" w:hAnsi="宋体" w:eastAsia="宋体" w:cs="宋体"/>
                      <w:kern w:val="2"/>
                      <w:sz w:val="18"/>
                      <w:szCs w:val="18"/>
                      <w:highlight w:val="none"/>
                      <w:lang w:val="en-US" w:eastAsia="zh-CN" w:bidi="ar"/>
                    </w:rPr>
                    <w:t>甲醛</w:t>
                  </w:r>
                </w:p>
              </w:tc>
              <w:tc>
                <w:tcPr>
                  <w:tcW w:w="662" w:type="dxa"/>
                  <w:tcBorders>
                    <w:top w:val="single" w:color="auto" w:sz="4" w:space="0"/>
                    <w:left w:val="single" w:color="auto" w:sz="4" w:space="0"/>
                    <w:bottom w:val="single" w:color="auto" w:sz="4" w:space="0"/>
                    <w:right w:val="single" w:color="auto" w:sz="4" w:space="0"/>
                  </w:tcBorders>
                  <w:shd w:val="clear" w:color="auto" w:fill="auto"/>
                  <w:vAlign w:val="center"/>
                </w:tcPr>
                <w:p w14:paraId="715722B6">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color w:val="000000"/>
                      <w:kern w:val="0"/>
                      <w:sz w:val="18"/>
                      <w:szCs w:val="18"/>
                      <w:highlight w:val="none"/>
                    </w:rPr>
                  </w:pPr>
                  <w:r>
                    <w:rPr>
                      <w:rFonts w:hint="default" w:ascii="Times New Roman" w:hAnsi="Times New Roman" w:eastAsia="宋体" w:cs="Times New Roman"/>
                      <w:color w:val="000000"/>
                      <w:kern w:val="0"/>
                      <w:sz w:val="18"/>
                      <w:szCs w:val="18"/>
                      <w:highlight w:val="none"/>
                      <w:lang w:val="en-US" w:eastAsia="zh-CN" w:bidi="ar"/>
                    </w:rPr>
                    <w:t>0.012</w:t>
                  </w:r>
                </w:p>
              </w:tc>
            </w:tr>
            <w:tr w14:paraId="06FE523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196" w:hRule="atLeast"/>
              </w:trPr>
              <w:tc>
                <w:tcPr>
                  <w:tcW w:w="470" w:type="dxa"/>
                  <w:tcBorders>
                    <w:top w:val="single" w:color="auto" w:sz="4" w:space="0"/>
                    <w:left w:val="single" w:color="auto" w:sz="4" w:space="0"/>
                    <w:bottom w:val="single" w:color="auto" w:sz="4" w:space="0"/>
                    <w:right w:val="single" w:color="auto" w:sz="4" w:space="0"/>
                  </w:tcBorders>
                  <w:shd w:val="clear" w:color="auto" w:fill="auto"/>
                  <w:vAlign w:val="center"/>
                </w:tcPr>
                <w:p w14:paraId="29EAF42D">
                  <w:pPr>
                    <w:keepNext w:val="0"/>
                    <w:keepLines w:val="0"/>
                    <w:widowControl w:val="0"/>
                    <w:suppressLineNumbers w:val="0"/>
                    <w:spacing w:before="0" w:beforeAutospacing="0" w:after="0" w:afterAutospacing="0"/>
                    <w:ind w:left="0" w:right="0"/>
                    <w:jc w:val="center"/>
                    <w:rPr>
                      <w:rFonts w:hint="default" w:ascii="Times New Roman" w:hAnsi="Times New Roman" w:eastAsia="宋体" w:cs="Times New Roman"/>
                      <w:kern w:val="2"/>
                      <w:sz w:val="18"/>
                      <w:szCs w:val="18"/>
                      <w:highlight w:val="none"/>
                    </w:rPr>
                  </w:pPr>
                  <w:r>
                    <w:rPr>
                      <w:rFonts w:hint="eastAsia" w:ascii="宋体" w:hAnsi="宋体" w:eastAsia="宋体" w:cs="宋体"/>
                      <w:kern w:val="2"/>
                      <w:sz w:val="18"/>
                      <w:szCs w:val="18"/>
                      <w:highlight w:val="none"/>
                      <w:lang w:val="en-US" w:eastAsia="zh-CN" w:bidi="ar"/>
                    </w:rPr>
                    <w:t>等效排气筒</w:t>
                  </w:r>
                  <w:r>
                    <w:rPr>
                      <w:rFonts w:hint="default" w:ascii="Times New Roman" w:hAnsi="Times New Roman" w:eastAsia="宋体" w:cs="Times New Roman"/>
                      <w:kern w:val="2"/>
                      <w:sz w:val="18"/>
                      <w:szCs w:val="18"/>
                      <w:highlight w:val="none"/>
                      <w:lang w:val="en-US" w:eastAsia="zh-CN" w:bidi="ar"/>
                    </w:rPr>
                    <w:t>2</w:t>
                  </w:r>
                </w:p>
              </w:tc>
              <w:tc>
                <w:tcPr>
                  <w:tcW w:w="723" w:type="dxa"/>
                  <w:tcBorders>
                    <w:top w:val="single" w:color="auto" w:sz="4" w:space="0"/>
                    <w:left w:val="single" w:color="auto" w:sz="4" w:space="0"/>
                    <w:bottom w:val="single" w:color="auto" w:sz="4" w:space="0"/>
                    <w:right w:val="single" w:color="auto" w:sz="4" w:space="0"/>
                  </w:tcBorders>
                  <w:shd w:val="clear" w:color="auto" w:fill="auto"/>
                  <w:vAlign w:val="center"/>
                </w:tcPr>
                <w:p w14:paraId="51D12E4F">
                  <w:pPr>
                    <w:keepNext w:val="0"/>
                    <w:keepLines w:val="0"/>
                    <w:widowControl w:val="0"/>
                    <w:suppressLineNumbers w:val="0"/>
                    <w:spacing w:before="0" w:beforeAutospacing="0" w:after="0" w:afterAutospacing="0"/>
                    <w:ind w:left="0" w:right="0"/>
                    <w:jc w:val="center"/>
                    <w:rPr>
                      <w:rFonts w:hint="default" w:ascii="Times New Roman" w:hAnsi="Times New Roman" w:eastAsia="宋体" w:cs="Times New Roman"/>
                      <w:kern w:val="2"/>
                      <w:sz w:val="18"/>
                      <w:szCs w:val="18"/>
                      <w:highlight w:val="none"/>
                    </w:rPr>
                  </w:pPr>
                  <w:r>
                    <w:rPr>
                      <w:rFonts w:hint="default" w:ascii="Times New Roman" w:hAnsi="Times New Roman" w:eastAsia="宋体" w:cs="Times New Roman"/>
                      <w:kern w:val="2"/>
                      <w:sz w:val="18"/>
                      <w:szCs w:val="18"/>
                      <w:highlight w:val="none"/>
                      <w:lang w:val="en-US" w:eastAsia="zh-CN" w:bidi="ar"/>
                    </w:rPr>
                    <w:t>E118.83069776</w:t>
                  </w:r>
                  <w:r>
                    <w:rPr>
                      <w:rFonts w:hint="eastAsia" w:ascii="宋体" w:hAnsi="宋体" w:eastAsia="宋体" w:cs="宋体"/>
                      <w:kern w:val="2"/>
                      <w:sz w:val="18"/>
                      <w:szCs w:val="18"/>
                      <w:highlight w:val="none"/>
                      <w:lang w:val="en-US" w:eastAsia="zh-CN" w:bidi="ar"/>
                    </w:rPr>
                    <w:t>°</w:t>
                  </w:r>
                </w:p>
              </w:tc>
              <w:tc>
                <w:tcPr>
                  <w:tcW w:w="787" w:type="dxa"/>
                  <w:tcBorders>
                    <w:top w:val="single" w:color="auto" w:sz="4" w:space="0"/>
                    <w:left w:val="single" w:color="auto" w:sz="4" w:space="0"/>
                    <w:bottom w:val="single" w:color="auto" w:sz="4" w:space="0"/>
                    <w:right w:val="single" w:color="auto" w:sz="4" w:space="0"/>
                  </w:tcBorders>
                  <w:shd w:val="clear" w:color="auto" w:fill="auto"/>
                  <w:vAlign w:val="center"/>
                </w:tcPr>
                <w:p w14:paraId="7D5C1B60">
                  <w:pPr>
                    <w:keepNext w:val="0"/>
                    <w:keepLines w:val="0"/>
                    <w:widowControl w:val="0"/>
                    <w:suppressLineNumbers w:val="0"/>
                    <w:spacing w:before="0" w:beforeAutospacing="0" w:after="0" w:afterAutospacing="0"/>
                    <w:ind w:left="0" w:right="0"/>
                    <w:jc w:val="center"/>
                    <w:rPr>
                      <w:rFonts w:hint="default" w:ascii="Times New Roman" w:hAnsi="Times New Roman" w:eastAsia="宋体" w:cs="Times New Roman"/>
                      <w:kern w:val="2"/>
                      <w:sz w:val="18"/>
                      <w:szCs w:val="18"/>
                      <w:highlight w:val="none"/>
                    </w:rPr>
                  </w:pPr>
                  <w:r>
                    <w:rPr>
                      <w:rFonts w:hint="default" w:ascii="Times New Roman" w:hAnsi="Times New Roman" w:eastAsia="宋体" w:cs="Times New Roman"/>
                      <w:kern w:val="2"/>
                      <w:sz w:val="18"/>
                      <w:szCs w:val="18"/>
                      <w:highlight w:val="none"/>
                      <w:lang w:val="en-US" w:eastAsia="zh-CN" w:bidi="ar"/>
                    </w:rPr>
                    <w:t>N28.951830224</w:t>
                  </w:r>
                  <w:r>
                    <w:rPr>
                      <w:rFonts w:hint="eastAsia" w:ascii="宋体" w:hAnsi="宋体" w:eastAsia="宋体" w:cs="宋体"/>
                      <w:kern w:val="2"/>
                      <w:sz w:val="18"/>
                      <w:szCs w:val="18"/>
                      <w:highlight w:val="none"/>
                      <w:lang w:val="en-US" w:eastAsia="zh-CN" w:bidi="ar"/>
                    </w:rPr>
                    <w:t>°</w:t>
                  </w:r>
                </w:p>
              </w:tc>
              <w:tc>
                <w:tcPr>
                  <w:tcW w:w="788" w:type="dxa"/>
                  <w:tcBorders>
                    <w:top w:val="single" w:color="auto" w:sz="4" w:space="0"/>
                    <w:left w:val="single" w:color="auto" w:sz="4" w:space="0"/>
                    <w:bottom w:val="single" w:color="auto" w:sz="4" w:space="0"/>
                    <w:right w:val="single" w:color="auto" w:sz="4" w:space="0"/>
                  </w:tcBorders>
                  <w:shd w:val="clear" w:color="auto" w:fill="auto"/>
                  <w:vAlign w:val="center"/>
                </w:tcPr>
                <w:p w14:paraId="1976FAA9">
                  <w:pPr>
                    <w:keepNext w:val="0"/>
                    <w:keepLines w:val="0"/>
                    <w:widowControl w:val="0"/>
                    <w:suppressLineNumbers w:val="0"/>
                    <w:spacing w:before="0" w:beforeAutospacing="0" w:after="0" w:afterAutospacing="0"/>
                    <w:ind w:left="0" w:right="0"/>
                    <w:jc w:val="center"/>
                    <w:rPr>
                      <w:rFonts w:hint="eastAsia" w:ascii="Times New Roman" w:hAnsi="Times New Roman" w:eastAsia="宋体" w:cs="Times New Roman"/>
                      <w:kern w:val="2"/>
                      <w:sz w:val="18"/>
                      <w:szCs w:val="18"/>
                      <w:highlight w:val="none"/>
                    </w:rPr>
                  </w:pPr>
                  <w:r>
                    <w:rPr>
                      <w:rFonts w:hint="default" w:ascii="Times New Roman" w:hAnsi="Times New Roman" w:eastAsia="宋体" w:cs="Times New Roman"/>
                      <w:kern w:val="2"/>
                      <w:sz w:val="18"/>
                      <w:szCs w:val="18"/>
                      <w:highlight w:val="none"/>
                      <w:lang w:val="en-US" w:eastAsia="zh-CN" w:bidi="ar"/>
                    </w:rPr>
                    <w:t>74.258</w:t>
                  </w:r>
                </w:p>
              </w:tc>
              <w:tc>
                <w:tcPr>
                  <w:tcW w:w="675" w:type="dxa"/>
                  <w:tcBorders>
                    <w:top w:val="single" w:color="auto" w:sz="4" w:space="0"/>
                    <w:left w:val="single" w:color="auto" w:sz="4" w:space="0"/>
                    <w:bottom w:val="single" w:color="auto" w:sz="4" w:space="0"/>
                    <w:right w:val="single" w:color="auto" w:sz="4" w:space="0"/>
                  </w:tcBorders>
                  <w:shd w:val="clear" w:color="auto" w:fill="auto"/>
                  <w:vAlign w:val="center"/>
                </w:tcPr>
                <w:p w14:paraId="1B9B1671">
                  <w:pPr>
                    <w:keepNext w:val="0"/>
                    <w:keepLines w:val="0"/>
                    <w:widowControl w:val="0"/>
                    <w:suppressLineNumbers w:val="0"/>
                    <w:spacing w:before="0" w:beforeAutospacing="0" w:after="0" w:afterAutospacing="0"/>
                    <w:ind w:left="0" w:right="0"/>
                    <w:jc w:val="center"/>
                    <w:rPr>
                      <w:rFonts w:hint="default" w:ascii="Times New Roman" w:hAnsi="Times New Roman" w:eastAsia="宋体" w:cs="Times New Roman"/>
                      <w:kern w:val="2"/>
                      <w:sz w:val="18"/>
                      <w:szCs w:val="18"/>
                      <w:highlight w:val="none"/>
                    </w:rPr>
                  </w:pPr>
                  <w:r>
                    <w:rPr>
                      <w:rFonts w:hint="default" w:ascii="Times New Roman" w:hAnsi="Times New Roman" w:eastAsia="宋体" w:cs="Times New Roman"/>
                      <w:kern w:val="2"/>
                      <w:sz w:val="18"/>
                      <w:szCs w:val="18"/>
                      <w:highlight w:val="none"/>
                      <w:lang w:val="en-US" w:eastAsia="zh-CN" w:bidi="ar"/>
                    </w:rPr>
                    <w:t>40</w:t>
                  </w:r>
                </w:p>
              </w:tc>
              <w:tc>
                <w:tcPr>
                  <w:tcW w:w="637" w:type="dxa"/>
                  <w:tcBorders>
                    <w:top w:val="single" w:color="auto" w:sz="4" w:space="0"/>
                    <w:left w:val="single" w:color="auto" w:sz="4" w:space="0"/>
                    <w:bottom w:val="single" w:color="auto" w:sz="4" w:space="0"/>
                    <w:right w:val="single" w:color="auto" w:sz="4" w:space="0"/>
                  </w:tcBorders>
                  <w:shd w:val="clear" w:color="auto" w:fill="auto"/>
                  <w:vAlign w:val="center"/>
                </w:tcPr>
                <w:p w14:paraId="48608F8A">
                  <w:pPr>
                    <w:keepNext w:val="0"/>
                    <w:keepLines w:val="0"/>
                    <w:widowControl w:val="0"/>
                    <w:suppressLineNumbers w:val="0"/>
                    <w:spacing w:before="0" w:beforeAutospacing="0" w:after="0" w:afterAutospacing="0"/>
                    <w:ind w:left="0" w:right="0"/>
                    <w:jc w:val="center"/>
                    <w:rPr>
                      <w:rFonts w:hint="default" w:ascii="Times New Roman" w:hAnsi="Times New Roman" w:eastAsia="宋体" w:cs="Times New Roman"/>
                      <w:kern w:val="2"/>
                      <w:sz w:val="18"/>
                      <w:szCs w:val="18"/>
                      <w:highlight w:val="none"/>
                    </w:rPr>
                  </w:pPr>
                  <w:r>
                    <w:rPr>
                      <w:rFonts w:hint="default" w:ascii="Times New Roman" w:hAnsi="Times New Roman" w:eastAsia="宋体" w:cs="Times New Roman"/>
                      <w:kern w:val="2"/>
                      <w:sz w:val="18"/>
                      <w:szCs w:val="18"/>
                      <w:highlight w:val="none"/>
                      <w:lang w:val="en-US" w:eastAsia="zh-CN" w:bidi="ar"/>
                    </w:rPr>
                    <w:t>1.4</w:t>
                  </w:r>
                </w:p>
              </w:tc>
              <w:tc>
                <w:tcPr>
                  <w:tcW w:w="833" w:type="dxa"/>
                  <w:tcBorders>
                    <w:top w:val="single" w:color="auto" w:sz="4" w:space="0"/>
                    <w:left w:val="single" w:color="auto" w:sz="4" w:space="0"/>
                    <w:bottom w:val="single" w:color="auto" w:sz="4" w:space="0"/>
                    <w:right w:val="single" w:color="auto" w:sz="4" w:space="0"/>
                  </w:tcBorders>
                  <w:shd w:val="clear" w:color="auto" w:fill="auto"/>
                  <w:vAlign w:val="center"/>
                </w:tcPr>
                <w:p w14:paraId="160C98D9">
                  <w:pPr>
                    <w:keepNext w:val="0"/>
                    <w:keepLines w:val="0"/>
                    <w:widowControl w:val="0"/>
                    <w:suppressLineNumbers w:val="0"/>
                    <w:spacing w:before="0" w:beforeAutospacing="0" w:after="0" w:afterAutospacing="0"/>
                    <w:ind w:left="0" w:right="0"/>
                    <w:jc w:val="center"/>
                    <w:rPr>
                      <w:rFonts w:hint="default" w:ascii="Times New Roman" w:hAnsi="Times New Roman" w:eastAsia="宋体" w:cs="Times New Roman"/>
                      <w:kern w:val="2"/>
                      <w:sz w:val="18"/>
                      <w:szCs w:val="18"/>
                      <w:highlight w:val="none"/>
                    </w:rPr>
                  </w:pPr>
                  <w:r>
                    <w:rPr>
                      <w:rFonts w:hint="default" w:ascii="Times New Roman" w:hAnsi="Times New Roman" w:eastAsia="宋体" w:cs="Times New Roman"/>
                      <w:kern w:val="2"/>
                      <w:sz w:val="18"/>
                      <w:szCs w:val="18"/>
                      <w:highlight w:val="none"/>
                      <w:lang w:val="en-US" w:eastAsia="zh-CN" w:bidi="ar"/>
                    </w:rPr>
                    <w:t>15.386</w:t>
                  </w:r>
                </w:p>
              </w:tc>
              <w:tc>
                <w:tcPr>
                  <w:tcW w:w="622" w:type="dxa"/>
                  <w:tcBorders>
                    <w:top w:val="single" w:color="auto" w:sz="4" w:space="0"/>
                    <w:left w:val="single" w:color="auto" w:sz="4" w:space="0"/>
                    <w:bottom w:val="single" w:color="auto" w:sz="4" w:space="0"/>
                    <w:right w:val="single" w:color="auto" w:sz="4" w:space="0"/>
                  </w:tcBorders>
                  <w:shd w:val="clear" w:color="auto" w:fill="auto"/>
                  <w:vAlign w:val="center"/>
                </w:tcPr>
                <w:p w14:paraId="6A82A7E4">
                  <w:pPr>
                    <w:keepNext w:val="0"/>
                    <w:keepLines w:val="0"/>
                    <w:widowControl w:val="0"/>
                    <w:suppressLineNumbers w:val="0"/>
                    <w:spacing w:before="0" w:beforeAutospacing="0" w:after="0" w:afterAutospacing="0"/>
                    <w:ind w:left="0" w:right="0"/>
                    <w:jc w:val="center"/>
                    <w:rPr>
                      <w:rFonts w:hint="default" w:ascii="Times New Roman" w:hAnsi="Times New Roman" w:eastAsia="宋体" w:cs="Times New Roman"/>
                      <w:kern w:val="2"/>
                      <w:sz w:val="18"/>
                      <w:szCs w:val="18"/>
                      <w:highlight w:val="none"/>
                    </w:rPr>
                  </w:pPr>
                  <w:r>
                    <w:rPr>
                      <w:rFonts w:hint="default" w:ascii="Times New Roman" w:hAnsi="Times New Roman" w:eastAsia="宋体" w:cs="Times New Roman"/>
                      <w:kern w:val="2"/>
                      <w:sz w:val="18"/>
                      <w:szCs w:val="18"/>
                      <w:highlight w:val="none"/>
                      <w:lang w:val="en-US" w:eastAsia="zh-CN" w:bidi="ar"/>
                    </w:rPr>
                    <w:t>25</w:t>
                  </w:r>
                </w:p>
              </w:tc>
              <w:tc>
                <w:tcPr>
                  <w:tcW w:w="660" w:type="dxa"/>
                  <w:tcBorders>
                    <w:top w:val="single" w:color="auto" w:sz="4" w:space="0"/>
                    <w:left w:val="single" w:color="auto" w:sz="4" w:space="0"/>
                    <w:bottom w:val="single" w:color="auto" w:sz="4" w:space="0"/>
                    <w:right w:val="single" w:color="auto" w:sz="4" w:space="0"/>
                  </w:tcBorders>
                  <w:shd w:val="clear" w:color="auto" w:fill="auto"/>
                  <w:vAlign w:val="center"/>
                </w:tcPr>
                <w:p w14:paraId="114C1447">
                  <w:pPr>
                    <w:keepNext w:val="0"/>
                    <w:keepLines w:val="0"/>
                    <w:widowControl w:val="0"/>
                    <w:suppressLineNumbers w:val="0"/>
                    <w:spacing w:before="0" w:beforeAutospacing="0" w:after="0" w:afterAutospacing="0"/>
                    <w:ind w:left="0" w:right="0"/>
                    <w:jc w:val="center"/>
                    <w:rPr>
                      <w:rFonts w:hint="default" w:ascii="Times New Roman" w:hAnsi="Times New Roman" w:eastAsia="宋体" w:cs="Times New Roman"/>
                      <w:kern w:val="2"/>
                      <w:sz w:val="18"/>
                      <w:szCs w:val="18"/>
                      <w:highlight w:val="none"/>
                    </w:rPr>
                  </w:pPr>
                  <w:r>
                    <w:rPr>
                      <w:rFonts w:hint="default" w:ascii="Times New Roman" w:hAnsi="Times New Roman" w:eastAsia="宋体" w:cs="Times New Roman"/>
                      <w:kern w:val="2"/>
                      <w:sz w:val="18"/>
                      <w:szCs w:val="18"/>
                      <w:highlight w:val="none"/>
                      <w:lang w:val="en-US" w:eastAsia="zh-CN" w:bidi="ar"/>
                    </w:rPr>
                    <w:t>2080</w:t>
                  </w:r>
                </w:p>
              </w:tc>
              <w:tc>
                <w:tcPr>
                  <w:tcW w:w="683" w:type="dxa"/>
                  <w:tcBorders>
                    <w:top w:val="single" w:color="auto" w:sz="4" w:space="0"/>
                    <w:left w:val="single" w:color="auto" w:sz="4" w:space="0"/>
                    <w:bottom w:val="single" w:color="auto" w:sz="4" w:space="0"/>
                    <w:right w:val="single" w:color="auto" w:sz="4" w:space="0"/>
                  </w:tcBorders>
                  <w:shd w:val="clear" w:color="auto" w:fill="auto"/>
                  <w:vAlign w:val="center"/>
                </w:tcPr>
                <w:p w14:paraId="16B1A0B4">
                  <w:pPr>
                    <w:keepNext w:val="0"/>
                    <w:keepLines w:val="0"/>
                    <w:widowControl w:val="0"/>
                    <w:suppressLineNumbers w:val="0"/>
                    <w:spacing w:before="0" w:beforeAutospacing="0" w:after="0" w:afterAutospacing="0"/>
                    <w:ind w:left="0" w:right="0"/>
                    <w:jc w:val="center"/>
                    <w:rPr>
                      <w:rFonts w:hint="default" w:ascii="Times New Roman" w:hAnsi="Times New Roman" w:eastAsia="宋体" w:cs="Times New Roman"/>
                      <w:kern w:val="2"/>
                      <w:sz w:val="18"/>
                      <w:szCs w:val="18"/>
                      <w:highlight w:val="none"/>
                    </w:rPr>
                  </w:pPr>
                  <w:r>
                    <w:rPr>
                      <w:rFonts w:hint="eastAsia" w:ascii="宋体" w:hAnsi="宋体" w:eastAsia="宋体" w:cs="宋体"/>
                      <w:kern w:val="2"/>
                      <w:sz w:val="18"/>
                      <w:szCs w:val="18"/>
                      <w:highlight w:val="none"/>
                      <w:lang w:val="en-US" w:eastAsia="zh-CN" w:bidi="ar"/>
                    </w:rPr>
                    <w:t>正常工况</w:t>
                  </w:r>
                </w:p>
              </w:tc>
              <w:tc>
                <w:tcPr>
                  <w:tcW w:w="663" w:type="dxa"/>
                  <w:tcBorders>
                    <w:top w:val="single" w:color="auto" w:sz="4" w:space="0"/>
                    <w:left w:val="single" w:color="auto" w:sz="4" w:space="0"/>
                    <w:bottom w:val="single" w:color="auto" w:sz="4" w:space="0"/>
                    <w:right w:val="single" w:color="auto" w:sz="4" w:space="0"/>
                  </w:tcBorders>
                  <w:shd w:val="clear" w:color="auto" w:fill="auto"/>
                  <w:vAlign w:val="center"/>
                </w:tcPr>
                <w:p w14:paraId="43C15FB9">
                  <w:pPr>
                    <w:keepNext w:val="0"/>
                    <w:keepLines w:val="0"/>
                    <w:widowControl w:val="0"/>
                    <w:suppressLineNumbers w:val="0"/>
                    <w:spacing w:before="0" w:beforeAutospacing="0" w:after="0" w:afterAutospacing="0"/>
                    <w:ind w:left="0" w:right="0"/>
                    <w:jc w:val="center"/>
                    <w:rPr>
                      <w:rFonts w:hint="eastAsia" w:ascii="Times New Roman" w:hAnsi="Times New Roman" w:eastAsia="宋体" w:cs="Times New Roman"/>
                      <w:b w:val="0"/>
                      <w:bCs w:val="0"/>
                      <w:kern w:val="2"/>
                      <w:sz w:val="18"/>
                      <w:szCs w:val="18"/>
                      <w:highlight w:val="none"/>
                    </w:rPr>
                  </w:pPr>
                  <w:r>
                    <w:rPr>
                      <w:rFonts w:hint="eastAsia" w:ascii="宋体" w:hAnsi="宋体" w:eastAsia="宋体" w:cs="宋体"/>
                      <w:b w:val="0"/>
                      <w:bCs w:val="0"/>
                      <w:kern w:val="2"/>
                      <w:sz w:val="18"/>
                      <w:szCs w:val="18"/>
                      <w:highlight w:val="none"/>
                      <w:lang w:val="en-US" w:eastAsia="zh-CN" w:bidi="ar"/>
                    </w:rPr>
                    <w:t>非甲烷总烃</w:t>
                  </w:r>
                </w:p>
              </w:tc>
              <w:tc>
                <w:tcPr>
                  <w:tcW w:w="662" w:type="dxa"/>
                  <w:tcBorders>
                    <w:top w:val="single" w:color="auto" w:sz="4" w:space="0"/>
                    <w:left w:val="single" w:color="auto" w:sz="4" w:space="0"/>
                    <w:bottom w:val="single" w:color="auto" w:sz="4" w:space="0"/>
                    <w:right w:val="single" w:color="auto" w:sz="4" w:space="0"/>
                  </w:tcBorders>
                  <w:shd w:val="clear" w:color="auto" w:fill="auto"/>
                  <w:vAlign w:val="center"/>
                </w:tcPr>
                <w:p w14:paraId="319FEC2C">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b w:val="0"/>
                      <w:bCs w:val="0"/>
                      <w:color w:val="000000"/>
                      <w:kern w:val="0"/>
                      <w:sz w:val="18"/>
                      <w:szCs w:val="18"/>
                      <w:highlight w:val="none"/>
                      <w:lang w:val="en-US"/>
                    </w:rPr>
                  </w:pPr>
                  <w:r>
                    <w:rPr>
                      <w:rFonts w:hint="default" w:ascii="Times New Roman" w:hAnsi="Times New Roman" w:eastAsia="宋体" w:cs="Times New Roman"/>
                      <w:b w:val="0"/>
                      <w:bCs w:val="0"/>
                      <w:kern w:val="2"/>
                      <w:sz w:val="18"/>
                      <w:szCs w:val="18"/>
                      <w:highlight w:val="none"/>
                      <w:lang w:val="en-US" w:eastAsia="zh-CN" w:bidi="ar"/>
                    </w:rPr>
                    <w:t>0.4</w:t>
                  </w:r>
                  <w:r>
                    <w:rPr>
                      <w:rFonts w:hint="eastAsia" w:cs="Times New Roman"/>
                      <w:b w:val="0"/>
                      <w:bCs w:val="0"/>
                      <w:kern w:val="2"/>
                      <w:sz w:val="18"/>
                      <w:szCs w:val="18"/>
                      <w:highlight w:val="none"/>
                      <w:lang w:val="en-US" w:eastAsia="zh-CN" w:bidi="ar"/>
                    </w:rPr>
                    <w:t>83</w:t>
                  </w:r>
                </w:p>
              </w:tc>
            </w:tr>
          </w:tbl>
          <w:p w14:paraId="7FD6D20D">
            <w:pPr>
              <w:keepNext w:val="0"/>
              <w:keepLines w:val="0"/>
              <w:widowControl w:val="0"/>
              <w:suppressLineNumbers w:val="0"/>
              <w:autoSpaceDE w:val="0"/>
              <w:autoSpaceDN/>
              <w:spacing w:before="0" w:beforeAutospacing="0" w:after="0" w:afterAutospacing="0" w:line="360" w:lineRule="auto"/>
              <w:ind w:left="0" w:right="0" w:firstLine="482" w:firstLineChars="200"/>
              <w:jc w:val="center"/>
              <w:rPr>
                <w:rFonts w:hint="eastAsia" w:ascii="Times New Roman" w:hAnsi="Times New Roman" w:eastAsia="宋体" w:cs="Times New Roman"/>
                <w:b/>
                <w:bCs/>
                <w:kern w:val="2"/>
                <w:sz w:val="24"/>
                <w:szCs w:val="24"/>
                <w:highlight w:val="none"/>
              </w:rPr>
            </w:pPr>
            <w:r>
              <w:rPr>
                <w:rFonts w:hint="eastAsia" w:ascii="宋体" w:hAnsi="宋体" w:eastAsia="宋体" w:cs="宋体"/>
                <w:b/>
                <w:bCs/>
                <w:kern w:val="2"/>
                <w:sz w:val="24"/>
                <w:szCs w:val="24"/>
                <w:highlight w:val="none"/>
                <w:lang w:val="en-US" w:eastAsia="zh-CN" w:bidi="ar"/>
              </w:rPr>
              <w:t>表</w:t>
            </w:r>
            <w:r>
              <w:rPr>
                <w:rFonts w:hint="default" w:ascii="Times New Roman" w:hAnsi="Times New Roman" w:eastAsia="宋体" w:cs="Times New Roman"/>
                <w:b/>
                <w:bCs/>
                <w:kern w:val="2"/>
                <w:sz w:val="24"/>
                <w:szCs w:val="24"/>
                <w:highlight w:val="none"/>
                <w:lang w:val="en-US" w:eastAsia="zh-CN" w:bidi="ar"/>
              </w:rPr>
              <w:t>7-</w:t>
            </w:r>
            <w:r>
              <w:rPr>
                <w:rFonts w:hint="eastAsia" w:ascii="Times New Roman" w:hAnsi="Times New Roman" w:eastAsia="宋体" w:cs="Times New Roman"/>
                <w:b/>
                <w:bCs/>
                <w:kern w:val="2"/>
                <w:sz w:val="24"/>
                <w:szCs w:val="24"/>
                <w:highlight w:val="none"/>
                <w:lang w:val="en-US" w:eastAsia="zh-CN" w:bidi="ar"/>
              </w:rPr>
              <w:t>5</w:t>
            </w:r>
            <w:r>
              <w:rPr>
                <w:rFonts w:hint="default" w:ascii="Times New Roman" w:hAnsi="Times New Roman" w:eastAsia="宋体" w:cs="Times New Roman"/>
                <w:b/>
                <w:bCs/>
                <w:kern w:val="2"/>
                <w:sz w:val="24"/>
                <w:szCs w:val="24"/>
                <w:highlight w:val="none"/>
                <w:lang w:val="en-US" w:eastAsia="zh-CN" w:bidi="ar"/>
              </w:rPr>
              <w:t xml:space="preserve"> </w:t>
            </w:r>
            <w:r>
              <w:rPr>
                <w:rFonts w:hint="eastAsia" w:ascii="宋体" w:hAnsi="宋体" w:eastAsia="宋体" w:cs="宋体"/>
                <w:b/>
                <w:bCs/>
                <w:kern w:val="2"/>
                <w:sz w:val="24"/>
                <w:szCs w:val="24"/>
                <w:highlight w:val="none"/>
                <w:lang w:val="en-US" w:eastAsia="zh-CN" w:bidi="ar"/>
              </w:rPr>
              <w:t>面源参数调查清单</w:t>
            </w:r>
          </w:p>
          <w:tbl>
            <w:tblPr>
              <w:tblStyle w:val="33"/>
              <w:tblW w:w="8205"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Layout w:type="fixed"/>
              <w:tblCellMar>
                <w:top w:w="0" w:type="dxa"/>
                <w:left w:w="108" w:type="dxa"/>
                <w:bottom w:w="0" w:type="dxa"/>
                <w:right w:w="108" w:type="dxa"/>
              </w:tblCellMar>
            </w:tblPr>
            <w:tblGrid>
              <w:gridCol w:w="419"/>
              <w:gridCol w:w="612"/>
              <w:gridCol w:w="780"/>
              <w:gridCol w:w="639"/>
              <w:gridCol w:w="630"/>
              <w:gridCol w:w="600"/>
              <w:gridCol w:w="593"/>
              <w:gridCol w:w="615"/>
              <w:gridCol w:w="637"/>
              <w:gridCol w:w="645"/>
              <w:gridCol w:w="585"/>
              <w:gridCol w:w="825"/>
              <w:gridCol w:w="625"/>
            </w:tblGrid>
            <w:tr w14:paraId="043C39E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349" w:hRule="atLeast"/>
              </w:trPr>
              <w:tc>
                <w:tcPr>
                  <w:tcW w:w="419" w:type="dxa"/>
                  <w:vMerge w:val="restart"/>
                  <w:tcBorders>
                    <w:top w:val="single" w:color="auto" w:sz="4" w:space="0"/>
                    <w:left w:val="single" w:color="auto" w:sz="4" w:space="0"/>
                    <w:bottom w:val="single" w:color="auto" w:sz="4" w:space="0"/>
                    <w:right w:val="single" w:color="auto" w:sz="4" w:space="0"/>
                  </w:tcBorders>
                  <w:shd w:val="clear" w:color="auto" w:fill="auto"/>
                  <w:vAlign w:val="center"/>
                </w:tcPr>
                <w:p w14:paraId="5C29D483">
                  <w:pPr>
                    <w:keepNext w:val="0"/>
                    <w:keepLines w:val="0"/>
                    <w:widowControl/>
                    <w:suppressLineNumbers w:val="0"/>
                    <w:spacing w:before="0" w:beforeAutospacing="0" w:after="0" w:afterAutospacing="0"/>
                    <w:ind w:left="0" w:right="0"/>
                    <w:jc w:val="center"/>
                    <w:rPr>
                      <w:rFonts w:hint="default" w:ascii="Times New Roman" w:hAnsi="Times New Roman" w:eastAsia="宋体" w:cs="Times New Roman"/>
                      <w:kern w:val="2"/>
                      <w:sz w:val="18"/>
                      <w:szCs w:val="18"/>
                      <w:highlight w:val="none"/>
                    </w:rPr>
                  </w:pPr>
                  <w:r>
                    <w:rPr>
                      <w:rFonts w:hint="eastAsia" w:ascii="宋体" w:hAnsi="宋体" w:eastAsia="宋体" w:cs="宋体"/>
                      <w:color w:val="000000"/>
                      <w:kern w:val="0"/>
                      <w:sz w:val="18"/>
                      <w:szCs w:val="18"/>
                      <w:highlight w:val="none"/>
                      <w:lang w:val="en-US" w:eastAsia="zh-CN" w:bidi="ar"/>
                    </w:rPr>
                    <w:t>编</w:t>
                  </w:r>
                </w:p>
                <w:p w14:paraId="4A064321">
                  <w:pPr>
                    <w:keepNext w:val="0"/>
                    <w:keepLines w:val="0"/>
                    <w:widowControl/>
                    <w:suppressLineNumbers w:val="0"/>
                    <w:spacing w:before="0" w:beforeAutospacing="0" w:after="0" w:afterAutospacing="0"/>
                    <w:ind w:left="0" w:right="0"/>
                    <w:jc w:val="center"/>
                    <w:rPr>
                      <w:rFonts w:hint="eastAsia" w:ascii="Times New Roman" w:hAnsi="Times New Roman" w:eastAsia="宋体" w:cs="Times New Roman"/>
                      <w:kern w:val="2"/>
                      <w:sz w:val="18"/>
                      <w:szCs w:val="18"/>
                      <w:highlight w:val="none"/>
                    </w:rPr>
                  </w:pPr>
                  <w:r>
                    <w:rPr>
                      <w:rFonts w:hint="eastAsia" w:ascii="宋体" w:hAnsi="宋体" w:eastAsia="宋体" w:cs="宋体"/>
                      <w:color w:val="000000"/>
                      <w:kern w:val="0"/>
                      <w:sz w:val="18"/>
                      <w:szCs w:val="18"/>
                      <w:highlight w:val="none"/>
                      <w:lang w:val="en-US" w:eastAsia="zh-CN" w:bidi="ar"/>
                    </w:rPr>
                    <w:t>号</w:t>
                  </w:r>
                </w:p>
              </w:tc>
              <w:tc>
                <w:tcPr>
                  <w:tcW w:w="612" w:type="dxa"/>
                  <w:vMerge w:val="restart"/>
                  <w:tcBorders>
                    <w:top w:val="single" w:color="auto" w:sz="4" w:space="0"/>
                    <w:left w:val="single" w:color="auto" w:sz="4" w:space="0"/>
                    <w:bottom w:val="single" w:color="auto" w:sz="4" w:space="0"/>
                    <w:right w:val="single" w:color="auto" w:sz="4" w:space="0"/>
                  </w:tcBorders>
                  <w:shd w:val="clear" w:color="auto" w:fill="auto"/>
                  <w:vAlign w:val="center"/>
                </w:tcPr>
                <w:p w14:paraId="0853B152">
                  <w:pPr>
                    <w:keepNext w:val="0"/>
                    <w:keepLines w:val="0"/>
                    <w:widowControl/>
                    <w:suppressLineNumbers w:val="0"/>
                    <w:spacing w:before="0" w:beforeAutospacing="0" w:after="0" w:afterAutospacing="0"/>
                    <w:ind w:left="0" w:right="0"/>
                    <w:jc w:val="center"/>
                    <w:rPr>
                      <w:rFonts w:hint="eastAsia" w:ascii="Times New Roman" w:hAnsi="Times New Roman" w:eastAsia="宋体" w:cs="Times New Roman"/>
                      <w:kern w:val="2"/>
                      <w:sz w:val="18"/>
                      <w:szCs w:val="18"/>
                      <w:highlight w:val="none"/>
                    </w:rPr>
                  </w:pPr>
                  <w:r>
                    <w:rPr>
                      <w:rFonts w:hint="eastAsia" w:ascii="宋体" w:hAnsi="宋体" w:eastAsia="宋体" w:cs="宋体"/>
                      <w:color w:val="000000"/>
                      <w:kern w:val="0"/>
                      <w:sz w:val="18"/>
                      <w:szCs w:val="18"/>
                      <w:highlight w:val="none"/>
                      <w:lang w:val="en-US" w:eastAsia="zh-CN" w:bidi="ar"/>
                    </w:rPr>
                    <w:t>名称</w:t>
                  </w:r>
                </w:p>
              </w:tc>
              <w:tc>
                <w:tcPr>
                  <w:tcW w:w="1419" w:type="dxa"/>
                  <w:gridSpan w:val="2"/>
                  <w:tcBorders>
                    <w:top w:val="single" w:color="auto" w:sz="4" w:space="0"/>
                    <w:left w:val="single" w:color="auto" w:sz="4" w:space="0"/>
                    <w:bottom w:val="single" w:color="auto" w:sz="4" w:space="0"/>
                    <w:right w:val="single" w:color="auto" w:sz="4" w:space="0"/>
                  </w:tcBorders>
                  <w:shd w:val="clear" w:color="auto" w:fill="auto"/>
                  <w:vAlign w:val="center"/>
                </w:tcPr>
                <w:p w14:paraId="032AAB50">
                  <w:pPr>
                    <w:keepNext w:val="0"/>
                    <w:keepLines w:val="0"/>
                    <w:widowControl/>
                    <w:suppressLineNumbers w:val="0"/>
                    <w:spacing w:before="0" w:beforeAutospacing="0" w:after="0" w:afterAutospacing="0"/>
                    <w:ind w:left="0" w:right="0"/>
                    <w:jc w:val="center"/>
                    <w:rPr>
                      <w:rFonts w:hint="eastAsia" w:ascii="Times New Roman" w:hAnsi="Times New Roman" w:eastAsia="宋体" w:cs="Times New Roman"/>
                      <w:kern w:val="2"/>
                      <w:sz w:val="18"/>
                      <w:szCs w:val="18"/>
                      <w:highlight w:val="none"/>
                    </w:rPr>
                  </w:pPr>
                  <w:r>
                    <w:rPr>
                      <w:rFonts w:hint="eastAsia" w:ascii="宋体" w:hAnsi="宋体" w:eastAsia="宋体" w:cs="宋体"/>
                      <w:color w:val="000000"/>
                      <w:kern w:val="0"/>
                      <w:sz w:val="18"/>
                      <w:szCs w:val="18"/>
                      <w:highlight w:val="none"/>
                      <w:lang w:val="en-US" w:eastAsia="zh-CN" w:bidi="ar"/>
                    </w:rPr>
                    <w:t>面源起点坐标</w:t>
                  </w:r>
                </w:p>
              </w:tc>
              <w:tc>
                <w:tcPr>
                  <w:tcW w:w="630" w:type="dxa"/>
                  <w:vMerge w:val="restart"/>
                  <w:tcBorders>
                    <w:top w:val="single" w:color="auto" w:sz="4" w:space="0"/>
                    <w:left w:val="single" w:color="auto" w:sz="4" w:space="0"/>
                    <w:bottom w:val="single" w:color="auto" w:sz="4" w:space="0"/>
                    <w:right w:val="single" w:color="auto" w:sz="4" w:space="0"/>
                  </w:tcBorders>
                  <w:shd w:val="clear" w:color="auto" w:fill="auto"/>
                  <w:vAlign w:val="center"/>
                </w:tcPr>
                <w:p w14:paraId="1DE603A4">
                  <w:pPr>
                    <w:keepNext w:val="0"/>
                    <w:keepLines w:val="0"/>
                    <w:widowControl/>
                    <w:suppressLineNumbers w:val="0"/>
                    <w:spacing w:before="0" w:beforeAutospacing="0" w:after="0" w:afterAutospacing="0"/>
                    <w:ind w:left="0" w:right="0"/>
                    <w:jc w:val="center"/>
                    <w:rPr>
                      <w:rFonts w:hint="eastAsia" w:ascii="Times New Roman" w:hAnsi="Times New Roman" w:eastAsia="宋体" w:cs="Times New Roman"/>
                      <w:kern w:val="2"/>
                      <w:sz w:val="18"/>
                      <w:szCs w:val="18"/>
                      <w:highlight w:val="none"/>
                    </w:rPr>
                  </w:pPr>
                  <w:r>
                    <w:rPr>
                      <w:rFonts w:hint="eastAsia" w:ascii="宋体" w:hAnsi="宋体" w:eastAsia="宋体" w:cs="宋体"/>
                      <w:color w:val="000000"/>
                      <w:kern w:val="0"/>
                      <w:sz w:val="18"/>
                      <w:szCs w:val="18"/>
                      <w:highlight w:val="none"/>
                      <w:lang w:val="en-US" w:eastAsia="zh-CN" w:bidi="ar"/>
                    </w:rPr>
                    <w:t>面源海拔高度</w:t>
                  </w:r>
                  <w:r>
                    <w:rPr>
                      <w:rFonts w:hint="default" w:ascii="Times New Roman" w:hAnsi="Times New Roman" w:eastAsia="宋体" w:cs="Times New Roman"/>
                      <w:color w:val="000000"/>
                      <w:kern w:val="0"/>
                      <w:sz w:val="18"/>
                      <w:szCs w:val="18"/>
                      <w:highlight w:val="none"/>
                      <w:lang w:val="en-US" w:eastAsia="zh-CN" w:bidi="ar"/>
                    </w:rPr>
                    <w:t>/m</w:t>
                  </w:r>
                </w:p>
              </w:tc>
              <w:tc>
                <w:tcPr>
                  <w:tcW w:w="600" w:type="dxa"/>
                  <w:vMerge w:val="restart"/>
                  <w:tcBorders>
                    <w:top w:val="single" w:color="auto" w:sz="4" w:space="0"/>
                    <w:left w:val="single" w:color="auto" w:sz="4" w:space="0"/>
                    <w:bottom w:val="single" w:color="auto" w:sz="4" w:space="0"/>
                    <w:right w:val="single" w:color="auto" w:sz="4" w:space="0"/>
                  </w:tcBorders>
                  <w:shd w:val="clear" w:color="auto" w:fill="auto"/>
                  <w:vAlign w:val="center"/>
                </w:tcPr>
                <w:p w14:paraId="66BC71D5">
                  <w:pPr>
                    <w:keepNext w:val="0"/>
                    <w:keepLines w:val="0"/>
                    <w:widowControl/>
                    <w:suppressLineNumbers w:val="0"/>
                    <w:spacing w:before="0" w:beforeAutospacing="0" w:after="0" w:afterAutospacing="0"/>
                    <w:ind w:left="0" w:right="0"/>
                    <w:jc w:val="center"/>
                    <w:rPr>
                      <w:rFonts w:hint="default" w:ascii="Times New Roman" w:hAnsi="Times New Roman" w:eastAsia="宋体" w:cs="Times New Roman"/>
                      <w:color w:val="000000"/>
                      <w:kern w:val="0"/>
                      <w:sz w:val="18"/>
                      <w:szCs w:val="18"/>
                      <w:highlight w:val="none"/>
                    </w:rPr>
                  </w:pPr>
                  <w:r>
                    <w:rPr>
                      <w:rFonts w:hint="eastAsia" w:ascii="宋体" w:hAnsi="宋体" w:eastAsia="宋体" w:cs="宋体"/>
                      <w:color w:val="000000"/>
                      <w:kern w:val="0"/>
                      <w:sz w:val="18"/>
                      <w:szCs w:val="18"/>
                      <w:highlight w:val="none"/>
                      <w:lang w:val="en-US" w:eastAsia="zh-CN" w:bidi="ar"/>
                    </w:rPr>
                    <w:t>面源</w:t>
                  </w:r>
                  <w:r>
                    <w:rPr>
                      <w:rFonts w:hint="default" w:ascii="Times New Roman" w:hAnsi="Times New Roman" w:eastAsia="宋体" w:cs="Times New Roman"/>
                      <w:color w:val="000000"/>
                      <w:kern w:val="0"/>
                      <w:sz w:val="18"/>
                      <w:szCs w:val="18"/>
                      <w:highlight w:val="none"/>
                      <w:lang w:val="en-US" w:eastAsia="zh-CN" w:bidi="ar"/>
                    </w:rPr>
                    <w:t xml:space="preserve"> </w:t>
                  </w:r>
                </w:p>
                <w:p w14:paraId="457EC15F">
                  <w:pPr>
                    <w:keepNext w:val="0"/>
                    <w:keepLines w:val="0"/>
                    <w:widowControl/>
                    <w:suppressLineNumbers w:val="0"/>
                    <w:spacing w:before="0" w:beforeAutospacing="0" w:after="0" w:afterAutospacing="0"/>
                    <w:ind w:left="0" w:right="0"/>
                    <w:jc w:val="center"/>
                    <w:rPr>
                      <w:rFonts w:hint="default" w:ascii="Times New Roman" w:hAnsi="Times New Roman" w:eastAsia="宋体" w:cs="Times New Roman"/>
                      <w:color w:val="000000"/>
                      <w:kern w:val="0"/>
                      <w:sz w:val="18"/>
                      <w:szCs w:val="18"/>
                      <w:highlight w:val="none"/>
                    </w:rPr>
                  </w:pPr>
                  <w:r>
                    <w:rPr>
                      <w:rFonts w:hint="eastAsia" w:ascii="宋体" w:hAnsi="宋体" w:eastAsia="宋体" w:cs="宋体"/>
                      <w:color w:val="000000"/>
                      <w:kern w:val="0"/>
                      <w:sz w:val="18"/>
                      <w:szCs w:val="18"/>
                      <w:highlight w:val="none"/>
                      <w:lang w:val="en-US" w:eastAsia="zh-CN" w:bidi="ar"/>
                    </w:rPr>
                    <w:t>长度</w:t>
                  </w:r>
                  <w:r>
                    <w:rPr>
                      <w:rFonts w:hint="default" w:ascii="Times New Roman" w:hAnsi="Times New Roman" w:eastAsia="宋体" w:cs="Times New Roman"/>
                      <w:color w:val="000000"/>
                      <w:kern w:val="0"/>
                      <w:sz w:val="18"/>
                      <w:szCs w:val="18"/>
                      <w:highlight w:val="none"/>
                      <w:lang w:val="en-US" w:eastAsia="zh-CN" w:bidi="ar"/>
                    </w:rPr>
                    <w:t xml:space="preserve"> </w:t>
                  </w:r>
                </w:p>
                <w:p w14:paraId="600EC6C4">
                  <w:pPr>
                    <w:keepNext w:val="0"/>
                    <w:keepLines w:val="0"/>
                    <w:widowControl/>
                    <w:suppressLineNumbers w:val="0"/>
                    <w:spacing w:before="0" w:beforeAutospacing="0" w:after="0" w:afterAutospacing="0"/>
                    <w:ind w:left="0" w:right="0"/>
                    <w:jc w:val="center"/>
                    <w:rPr>
                      <w:rFonts w:hint="default" w:ascii="Times New Roman" w:hAnsi="Times New Roman" w:eastAsia="宋体" w:cs="Times New Roman"/>
                      <w:color w:val="000000"/>
                      <w:kern w:val="0"/>
                      <w:sz w:val="18"/>
                      <w:szCs w:val="18"/>
                      <w:highlight w:val="none"/>
                    </w:rPr>
                  </w:pPr>
                  <w:r>
                    <w:rPr>
                      <w:rFonts w:hint="default" w:ascii="Times New Roman" w:hAnsi="Times New Roman" w:eastAsia="宋体" w:cs="Times New Roman"/>
                      <w:color w:val="000000"/>
                      <w:kern w:val="0"/>
                      <w:sz w:val="18"/>
                      <w:szCs w:val="18"/>
                      <w:highlight w:val="none"/>
                      <w:lang w:val="en-US" w:eastAsia="zh-CN" w:bidi="ar"/>
                    </w:rPr>
                    <w:t>/m</w:t>
                  </w:r>
                </w:p>
              </w:tc>
              <w:tc>
                <w:tcPr>
                  <w:tcW w:w="593" w:type="dxa"/>
                  <w:vMerge w:val="restart"/>
                  <w:tcBorders>
                    <w:top w:val="single" w:color="auto" w:sz="4" w:space="0"/>
                    <w:left w:val="single" w:color="auto" w:sz="4" w:space="0"/>
                    <w:bottom w:val="single" w:color="auto" w:sz="4" w:space="0"/>
                    <w:right w:val="single" w:color="auto" w:sz="4" w:space="0"/>
                  </w:tcBorders>
                  <w:shd w:val="clear" w:color="auto" w:fill="auto"/>
                  <w:vAlign w:val="center"/>
                </w:tcPr>
                <w:p w14:paraId="513052D6">
                  <w:pPr>
                    <w:keepNext w:val="0"/>
                    <w:keepLines w:val="0"/>
                    <w:widowControl/>
                    <w:suppressLineNumbers w:val="0"/>
                    <w:spacing w:before="0" w:beforeAutospacing="0" w:after="0" w:afterAutospacing="0"/>
                    <w:ind w:left="0" w:right="0"/>
                    <w:jc w:val="center"/>
                    <w:rPr>
                      <w:rFonts w:hint="default" w:ascii="Times New Roman" w:hAnsi="Times New Roman" w:eastAsia="宋体" w:cs="Times New Roman"/>
                      <w:color w:val="000000"/>
                      <w:kern w:val="0"/>
                      <w:sz w:val="18"/>
                      <w:szCs w:val="18"/>
                      <w:highlight w:val="none"/>
                    </w:rPr>
                  </w:pPr>
                  <w:r>
                    <w:rPr>
                      <w:rFonts w:hint="eastAsia" w:ascii="宋体" w:hAnsi="宋体" w:eastAsia="宋体" w:cs="宋体"/>
                      <w:color w:val="000000"/>
                      <w:kern w:val="0"/>
                      <w:sz w:val="18"/>
                      <w:szCs w:val="18"/>
                      <w:highlight w:val="none"/>
                      <w:lang w:val="en-US" w:eastAsia="zh-CN" w:bidi="ar"/>
                    </w:rPr>
                    <w:t>面源</w:t>
                  </w:r>
                  <w:r>
                    <w:rPr>
                      <w:rFonts w:hint="default" w:ascii="Times New Roman" w:hAnsi="Times New Roman" w:eastAsia="宋体" w:cs="Times New Roman"/>
                      <w:color w:val="000000"/>
                      <w:kern w:val="0"/>
                      <w:sz w:val="18"/>
                      <w:szCs w:val="18"/>
                      <w:highlight w:val="none"/>
                      <w:lang w:val="en-US" w:eastAsia="zh-CN" w:bidi="ar"/>
                    </w:rPr>
                    <w:t xml:space="preserve"> </w:t>
                  </w:r>
                </w:p>
                <w:p w14:paraId="0C4FAEA2">
                  <w:pPr>
                    <w:keepNext w:val="0"/>
                    <w:keepLines w:val="0"/>
                    <w:widowControl/>
                    <w:suppressLineNumbers w:val="0"/>
                    <w:spacing w:before="0" w:beforeAutospacing="0" w:after="0" w:afterAutospacing="0"/>
                    <w:ind w:left="0" w:right="0"/>
                    <w:jc w:val="center"/>
                    <w:rPr>
                      <w:rFonts w:hint="default" w:ascii="Times New Roman" w:hAnsi="Times New Roman" w:eastAsia="宋体" w:cs="Times New Roman"/>
                      <w:color w:val="000000"/>
                      <w:kern w:val="0"/>
                      <w:sz w:val="18"/>
                      <w:szCs w:val="18"/>
                      <w:highlight w:val="none"/>
                    </w:rPr>
                  </w:pPr>
                  <w:r>
                    <w:rPr>
                      <w:rFonts w:hint="eastAsia" w:ascii="宋体" w:hAnsi="宋体" w:eastAsia="宋体" w:cs="宋体"/>
                      <w:color w:val="000000"/>
                      <w:kern w:val="0"/>
                      <w:sz w:val="18"/>
                      <w:szCs w:val="18"/>
                      <w:highlight w:val="none"/>
                      <w:lang w:val="en-US" w:eastAsia="zh-CN" w:bidi="ar"/>
                    </w:rPr>
                    <w:t>宽度</w:t>
                  </w:r>
                  <w:r>
                    <w:rPr>
                      <w:rFonts w:hint="default" w:ascii="Times New Roman" w:hAnsi="Times New Roman" w:eastAsia="宋体" w:cs="Times New Roman"/>
                      <w:color w:val="000000"/>
                      <w:kern w:val="0"/>
                      <w:sz w:val="18"/>
                      <w:szCs w:val="18"/>
                      <w:highlight w:val="none"/>
                      <w:lang w:val="en-US" w:eastAsia="zh-CN" w:bidi="ar"/>
                    </w:rPr>
                    <w:t xml:space="preserve"> </w:t>
                  </w:r>
                </w:p>
                <w:p w14:paraId="5282FF88">
                  <w:pPr>
                    <w:keepNext w:val="0"/>
                    <w:keepLines w:val="0"/>
                    <w:widowControl/>
                    <w:suppressLineNumbers w:val="0"/>
                    <w:spacing w:before="0" w:beforeAutospacing="0" w:after="0" w:afterAutospacing="0"/>
                    <w:ind w:left="0" w:right="0"/>
                    <w:jc w:val="center"/>
                    <w:rPr>
                      <w:rFonts w:hint="default" w:ascii="Times New Roman" w:hAnsi="Times New Roman" w:eastAsia="宋体" w:cs="Times New Roman"/>
                      <w:color w:val="000000"/>
                      <w:kern w:val="0"/>
                      <w:sz w:val="18"/>
                      <w:szCs w:val="18"/>
                      <w:highlight w:val="none"/>
                    </w:rPr>
                  </w:pPr>
                  <w:r>
                    <w:rPr>
                      <w:rFonts w:hint="default" w:ascii="Times New Roman" w:hAnsi="Times New Roman" w:eastAsia="宋体" w:cs="Times New Roman"/>
                      <w:color w:val="000000"/>
                      <w:kern w:val="0"/>
                      <w:sz w:val="18"/>
                      <w:szCs w:val="18"/>
                      <w:highlight w:val="none"/>
                      <w:lang w:val="en-US" w:eastAsia="zh-CN" w:bidi="ar"/>
                    </w:rPr>
                    <w:t xml:space="preserve">/m </w:t>
                  </w:r>
                </w:p>
              </w:tc>
              <w:tc>
                <w:tcPr>
                  <w:tcW w:w="615" w:type="dxa"/>
                  <w:vMerge w:val="restart"/>
                  <w:tcBorders>
                    <w:top w:val="single" w:color="auto" w:sz="4" w:space="0"/>
                    <w:left w:val="single" w:color="auto" w:sz="4" w:space="0"/>
                    <w:bottom w:val="single" w:color="auto" w:sz="4" w:space="0"/>
                    <w:right w:val="single" w:color="auto" w:sz="4" w:space="0"/>
                  </w:tcBorders>
                  <w:shd w:val="clear" w:color="auto" w:fill="auto"/>
                  <w:vAlign w:val="center"/>
                </w:tcPr>
                <w:p w14:paraId="793D6E25">
                  <w:pPr>
                    <w:keepNext w:val="0"/>
                    <w:keepLines w:val="0"/>
                    <w:widowControl/>
                    <w:suppressLineNumbers w:val="0"/>
                    <w:spacing w:before="0" w:beforeAutospacing="0" w:after="0" w:afterAutospacing="0"/>
                    <w:ind w:left="0" w:right="0"/>
                    <w:jc w:val="center"/>
                    <w:rPr>
                      <w:rFonts w:hint="default" w:ascii="Times New Roman" w:hAnsi="Times New Roman" w:eastAsia="宋体" w:cs="Times New Roman"/>
                      <w:color w:val="000000"/>
                      <w:kern w:val="0"/>
                      <w:sz w:val="18"/>
                      <w:szCs w:val="18"/>
                      <w:highlight w:val="none"/>
                    </w:rPr>
                  </w:pPr>
                  <w:r>
                    <w:rPr>
                      <w:rFonts w:hint="eastAsia" w:ascii="宋体" w:hAnsi="宋体" w:eastAsia="宋体" w:cs="宋体"/>
                      <w:color w:val="000000"/>
                      <w:kern w:val="0"/>
                      <w:sz w:val="18"/>
                      <w:szCs w:val="18"/>
                      <w:highlight w:val="none"/>
                      <w:lang w:val="en-US" w:eastAsia="zh-CN" w:bidi="ar"/>
                    </w:rPr>
                    <w:t>与正</w:t>
                  </w:r>
                  <w:r>
                    <w:rPr>
                      <w:rFonts w:hint="default" w:ascii="Times New Roman" w:hAnsi="Times New Roman" w:eastAsia="宋体" w:cs="Times New Roman"/>
                      <w:color w:val="000000"/>
                      <w:kern w:val="0"/>
                      <w:sz w:val="18"/>
                      <w:szCs w:val="18"/>
                      <w:highlight w:val="none"/>
                      <w:lang w:val="en-US" w:eastAsia="zh-CN" w:bidi="ar"/>
                    </w:rPr>
                    <w:t xml:space="preserve"> </w:t>
                  </w:r>
                  <w:r>
                    <w:rPr>
                      <w:rFonts w:hint="eastAsia" w:ascii="宋体" w:hAnsi="宋体" w:eastAsia="宋体" w:cs="宋体"/>
                      <w:color w:val="000000"/>
                      <w:kern w:val="0"/>
                      <w:sz w:val="18"/>
                      <w:szCs w:val="18"/>
                      <w:highlight w:val="none"/>
                      <w:lang w:val="en-US" w:eastAsia="zh-CN" w:bidi="ar"/>
                    </w:rPr>
                    <w:t>北向</w:t>
                  </w:r>
                  <w:r>
                    <w:rPr>
                      <w:rFonts w:hint="default" w:ascii="Times New Roman" w:hAnsi="Times New Roman" w:eastAsia="宋体" w:cs="Times New Roman"/>
                      <w:color w:val="000000"/>
                      <w:kern w:val="0"/>
                      <w:sz w:val="18"/>
                      <w:szCs w:val="18"/>
                      <w:highlight w:val="none"/>
                      <w:lang w:val="en-US" w:eastAsia="zh-CN" w:bidi="ar"/>
                    </w:rPr>
                    <w:t xml:space="preserve"> </w:t>
                  </w:r>
                </w:p>
                <w:p w14:paraId="1C31D408">
                  <w:pPr>
                    <w:keepNext w:val="0"/>
                    <w:keepLines w:val="0"/>
                    <w:widowControl/>
                    <w:suppressLineNumbers w:val="0"/>
                    <w:spacing w:before="0" w:beforeAutospacing="0" w:after="0" w:afterAutospacing="0"/>
                    <w:ind w:left="0" w:right="0"/>
                    <w:jc w:val="center"/>
                    <w:rPr>
                      <w:rFonts w:hint="default" w:ascii="Times New Roman" w:hAnsi="Times New Roman" w:eastAsia="宋体" w:cs="Times New Roman"/>
                      <w:color w:val="000000"/>
                      <w:kern w:val="0"/>
                      <w:sz w:val="18"/>
                      <w:szCs w:val="18"/>
                      <w:highlight w:val="none"/>
                    </w:rPr>
                  </w:pPr>
                  <w:r>
                    <w:rPr>
                      <w:rFonts w:hint="eastAsia" w:ascii="宋体" w:hAnsi="宋体" w:eastAsia="宋体" w:cs="宋体"/>
                      <w:color w:val="000000"/>
                      <w:kern w:val="0"/>
                      <w:sz w:val="18"/>
                      <w:szCs w:val="18"/>
                      <w:highlight w:val="none"/>
                      <w:lang w:val="en-US" w:eastAsia="zh-CN" w:bidi="ar"/>
                    </w:rPr>
                    <w:t>夹角</w:t>
                  </w:r>
                  <w:r>
                    <w:rPr>
                      <w:rFonts w:hint="default" w:ascii="Times New Roman" w:hAnsi="Times New Roman" w:eastAsia="宋体" w:cs="Times New Roman"/>
                      <w:color w:val="000000"/>
                      <w:kern w:val="0"/>
                      <w:sz w:val="18"/>
                      <w:szCs w:val="18"/>
                      <w:highlight w:val="none"/>
                      <w:lang w:val="en-US" w:eastAsia="zh-CN" w:bidi="ar"/>
                    </w:rPr>
                    <w:t>/</w:t>
                  </w:r>
                  <w:r>
                    <w:rPr>
                      <w:rFonts w:hint="eastAsia" w:ascii="宋体" w:hAnsi="宋体" w:eastAsia="宋体" w:cs="宋体"/>
                      <w:color w:val="000000"/>
                      <w:kern w:val="0"/>
                      <w:sz w:val="18"/>
                      <w:szCs w:val="18"/>
                      <w:highlight w:val="none"/>
                      <w:lang w:val="en-US" w:eastAsia="zh-CN" w:bidi="ar"/>
                    </w:rPr>
                    <w:t>。</w:t>
                  </w:r>
                </w:p>
              </w:tc>
              <w:tc>
                <w:tcPr>
                  <w:tcW w:w="637" w:type="dxa"/>
                  <w:vMerge w:val="restart"/>
                  <w:tcBorders>
                    <w:top w:val="single" w:color="auto" w:sz="4" w:space="0"/>
                    <w:left w:val="single" w:color="auto" w:sz="4" w:space="0"/>
                    <w:bottom w:val="single" w:color="auto" w:sz="4" w:space="0"/>
                    <w:right w:val="single" w:color="auto" w:sz="4" w:space="0"/>
                  </w:tcBorders>
                  <w:shd w:val="clear" w:color="auto" w:fill="auto"/>
                  <w:vAlign w:val="center"/>
                </w:tcPr>
                <w:p w14:paraId="05A6E857">
                  <w:pPr>
                    <w:keepNext w:val="0"/>
                    <w:keepLines w:val="0"/>
                    <w:widowControl/>
                    <w:suppressLineNumbers w:val="0"/>
                    <w:spacing w:before="0" w:beforeAutospacing="0" w:after="0" w:afterAutospacing="0"/>
                    <w:ind w:left="0" w:right="0"/>
                    <w:jc w:val="center"/>
                    <w:rPr>
                      <w:rFonts w:hint="default" w:ascii="Times New Roman" w:hAnsi="Times New Roman" w:eastAsia="宋体" w:cs="Times New Roman"/>
                      <w:color w:val="000000"/>
                      <w:kern w:val="0"/>
                      <w:sz w:val="18"/>
                      <w:szCs w:val="18"/>
                      <w:highlight w:val="none"/>
                    </w:rPr>
                  </w:pPr>
                  <w:r>
                    <w:rPr>
                      <w:rFonts w:hint="eastAsia" w:ascii="宋体" w:hAnsi="宋体" w:eastAsia="宋体" w:cs="宋体"/>
                      <w:color w:val="000000"/>
                      <w:kern w:val="0"/>
                      <w:sz w:val="18"/>
                      <w:szCs w:val="18"/>
                      <w:highlight w:val="none"/>
                      <w:lang w:val="en-US" w:eastAsia="zh-CN" w:bidi="ar"/>
                    </w:rPr>
                    <w:t>面源</w:t>
                  </w:r>
                  <w:r>
                    <w:rPr>
                      <w:rFonts w:hint="default" w:ascii="Times New Roman" w:hAnsi="Times New Roman" w:eastAsia="宋体" w:cs="Times New Roman"/>
                      <w:color w:val="000000"/>
                      <w:kern w:val="0"/>
                      <w:sz w:val="18"/>
                      <w:szCs w:val="18"/>
                      <w:highlight w:val="none"/>
                      <w:lang w:val="en-US" w:eastAsia="zh-CN" w:bidi="ar"/>
                    </w:rPr>
                    <w:t xml:space="preserve"> </w:t>
                  </w:r>
                </w:p>
                <w:p w14:paraId="2EB55EA6">
                  <w:pPr>
                    <w:keepNext w:val="0"/>
                    <w:keepLines w:val="0"/>
                    <w:widowControl/>
                    <w:suppressLineNumbers w:val="0"/>
                    <w:spacing w:before="0" w:beforeAutospacing="0" w:after="0" w:afterAutospacing="0"/>
                    <w:ind w:left="0" w:right="0"/>
                    <w:jc w:val="center"/>
                    <w:rPr>
                      <w:rFonts w:hint="default" w:ascii="Times New Roman" w:hAnsi="Times New Roman" w:eastAsia="宋体" w:cs="Times New Roman"/>
                      <w:color w:val="000000"/>
                      <w:kern w:val="0"/>
                      <w:sz w:val="18"/>
                      <w:szCs w:val="18"/>
                      <w:highlight w:val="none"/>
                    </w:rPr>
                  </w:pPr>
                  <w:r>
                    <w:rPr>
                      <w:rFonts w:hint="eastAsia" w:ascii="宋体" w:hAnsi="宋体" w:eastAsia="宋体" w:cs="宋体"/>
                      <w:color w:val="000000"/>
                      <w:kern w:val="0"/>
                      <w:sz w:val="18"/>
                      <w:szCs w:val="18"/>
                      <w:highlight w:val="none"/>
                      <w:lang w:val="en-US" w:eastAsia="zh-CN" w:bidi="ar"/>
                    </w:rPr>
                    <w:t>有效</w:t>
                  </w:r>
                  <w:r>
                    <w:rPr>
                      <w:rFonts w:hint="default" w:ascii="Times New Roman" w:hAnsi="Times New Roman" w:eastAsia="宋体" w:cs="Times New Roman"/>
                      <w:color w:val="000000"/>
                      <w:kern w:val="0"/>
                      <w:sz w:val="18"/>
                      <w:szCs w:val="18"/>
                      <w:highlight w:val="none"/>
                      <w:lang w:val="en-US" w:eastAsia="zh-CN" w:bidi="ar"/>
                    </w:rPr>
                    <w:t xml:space="preserve"> </w:t>
                  </w:r>
                </w:p>
                <w:p w14:paraId="5BE7106E">
                  <w:pPr>
                    <w:keepNext w:val="0"/>
                    <w:keepLines w:val="0"/>
                    <w:widowControl/>
                    <w:suppressLineNumbers w:val="0"/>
                    <w:spacing w:before="0" w:beforeAutospacing="0" w:after="0" w:afterAutospacing="0"/>
                    <w:ind w:left="0" w:right="0"/>
                    <w:jc w:val="center"/>
                    <w:rPr>
                      <w:rFonts w:hint="default" w:ascii="Times New Roman" w:hAnsi="Times New Roman" w:eastAsia="宋体" w:cs="Times New Roman"/>
                      <w:color w:val="000000"/>
                      <w:kern w:val="0"/>
                      <w:sz w:val="18"/>
                      <w:szCs w:val="18"/>
                      <w:highlight w:val="none"/>
                    </w:rPr>
                  </w:pPr>
                  <w:r>
                    <w:rPr>
                      <w:rFonts w:hint="eastAsia" w:ascii="宋体" w:hAnsi="宋体" w:eastAsia="宋体" w:cs="宋体"/>
                      <w:color w:val="000000"/>
                      <w:kern w:val="0"/>
                      <w:sz w:val="18"/>
                      <w:szCs w:val="18"/>
                      <w:highlight w:val="none"/>
                      <w:lang w:val="en-US" w:eastAsia="zh-CN" w:bidi="ar"/>
                    </w:rPr>
                    <w:t>排放</w:t>
                  </w:r>
                  <w:r>
                    <w:rPr>
                      <w:rFonts w:hint="default" w:ascii="Times New Roman" w:hAnsi="Times New Roman" w:eastAsia="宋体" w:cs="Times New Roman"/>
                      <w:color w:val="000000"/>
                      <w:kern w:val="0"/>
                      <w:sz w:val="18"/>
                      <w:szCs w:val="18"/>
                      <w:highlight w:val="none"/>
                      <w:lang w:val="en-US" w:eastAsia="zh-CN" w:bidi="ar"/>
                    </w:rPr>
                    <w:t xml:space="preserve"> </w:t>
                  </w:r>
                </w:p>
                <w:p w14:paraId="048F286D">
                  <w:pPr>
                    <w:keepNext w:val="0"/>
                    <w:keepLines w:val="0"/>
                    <w:widowControl/>
                    <w:suppressLineNumbers w:val="0"/>
                    <w:spacing w:before="0" w:beforeAutospacing="0" w:after="0" w:afterAutospacing="0"/>
                    <w:ind w:left="0" w:right="0"/>
                    <w:jc w:val="center"/>
                    <w:rPr>
                      <w:rFonts w:hint="default" w:ascii="Times New Roman" w:hAnsi="Times New Roman" w:eastAsia="宋体" w:cs="Times New Roman"/>
                      <w:color w:val="000000"/>
                      <w:kern w:val="0"/>
                      <w:sz w:val="18"/>
                      <w:szCs w:val="18"/>
                      <w:highlight w:val="none"/>
                    </w:rPr>
                  </w:pPr>
                  <w:r>
                    <w:rPr>
                      <w:rFonts w:hint="eastAsia" w:ascii="宋体" w:hAnsi="宋体" w:eastAsia="宋体" w:cs="宋体"/>
                      <w:color w:val="000000"/>
                      <w:kern w:val="0"/>
                      <w:sz w:val="18"/>
                      <w:szCs w:val="18"/>
                      <w:highlight w:val="none"/>
                      <w:lang w:val="en-US" w:eastAsia="zh-CN" w:bidi="ar"/>
                    </w:rPr>
                    <w:t>高度</w:t>
                  </w:r>
                  <w:r>
                    <w:rPr>
                      <w:rFonts w:hint="default" w:ascii="Times New Roman" w:hAnsi="Times New Roman" w:eastAsia="宋体" w:cs="Times New Roman"/>
                      <w:color w:val="000000"/>
                      <w:kern w:val="0"/>
                      <w:sz w:val="18"/>
                      <w:szCs w:val="18"/>
                      <w:highlight w:val="none"/>
                      <w:lang w:val="en-US" w:eastAsia="zh-CN" w:bidi="ar"/>
                    </w:rPr>
                    <w:t xml:space="preserve"> </w:t>
                  </w:r>
                </w:p>
                <w:p w14:paraId="5FBBFA47">
                  <w:pPr>
                    <w:keepNext w:val="0"/>
                    <w:keepLines w:val="0"/>
                    <w:widowControl/>
                    <w:suppressLineNumbers w:val="0"/>
                    <w:spacing w:before="0" w:beforeAutospacing="0" w:after="0" w:afterAutospacing="0"/>
                    <w:ind w:left="0" w:right="0"/>
                    <w:jc w:val="center"/>
                    <w:rPr>
                      <w:rFonts w:hint="default" w:ascii="Times New Roman" w:hAnsi="Times New Roman" w:eastAsia="宋体" w:cs="Times New Roman"/>
                      <w:color w:val="000000"/>
                      <w:kern w:val="0"/>
                      <w:sz w:val="18"/>
                      <w:szCs w:val="18"/>
                      <w:highlight w:val="none"/>
                    </w:rPr>
                  </w:pPr>
                  <w:r>
                    <w:rPr>
                      <w:rFonts w:hint="default" w:ascii="Times New Roman" w:hAnsi="Times New Roman" w:eastAsia="宋体" w:cs="Times New Roman"/>
                      <w:color w:val="000000"/>
                      <w:kern w:val="0"/>
                      <w:sz w:val="18"/>
                      <w:szCs w:val="18"/>
                      <w:highlight w:val="none"/>
                      <w:lang w:val="en-US" w:eastAsia="zh-CN" w:bidi="ar"/>
                    </w:rPr>
                    <w:t>/m</w:t>
                  </w:r>
                </w:p>
              </w:tc>
              <w:tc>
                <w:tcPr>
                  <w:tcW w:w="645" w:type="dxa"/>
                  <w:vMerge w:val="restart"/>
                  <w:tcBorders>
                    <w:top w:val="single" w:color="auto" w:sz="4" w:space="0"/>
                    <w:left w:val="single" w:color="auto" w:sz="4" w:space="0"/>
                    <w:bottom w:val="single" w:color="auto" w:sz="4" w:space="0"/>
                    <w:right w:val="single" w:color="auto" w:sz="4" w:space="0"/>
                  </w:tcBorders>
                  <w:shd w:val="clear" w:color="auto" w:fill="auto"/>
                  <w:vAlign w:val="center"/>
                </w:tcPr>
                <w:p w14:paraId="06D96873">
                  <w:pPr>
                    <w:keepNext w:val="0"/>
                    <w:keepLines w:val="0"/>
                    <w:widowControl/>
                    <w:suppressLineNumbers w:val="0"/>
                    <w:spacing w:before="0" w:beforeAutospacing="0" w:after="0" w:afterAutospacing="0"/>
                    <w:ind w:left="0" w:right="0"/>
                    <w:jc w:val="center"/>
                    <w:rPr>
                      <w:rFonts w:hint="default" w:ascii="Times New Roman" w:hAnsi="Times New Roman" w:eastAsia="宋体" w:cs="Times New Roman"/>
                      <w:color w:val="000000"/>
                      <w:kern w:val="0"/>
                      <w:sz w:val="18"/>
                      <w:szCs w:val="18"/>
                      <w:highlight w:val="none"/>
                    </w:rPr>
                  </w:pPr>
                  <w:r>
                    <w:rPr>
                      <w:rFonts w:hint="eastAsia" w:ascii="宋体" w:hAnsi="宋体" w:eastAsia="宋体" w:cs="宋体"/>
                      <w:color w:val="000000"/>
                      <w:kern w:val="0"/>
                      <w:sz w:val="18"/>
                      <w:szCs w:val="18"/>
                      <w:highlight w:val="none"/>
                      <w:lang w:val="en-US" w:eastAsia="zh-CN" w:bidi="ar"/>
                    </w:rPr>
                    <w:t>年排</w:t>
                  </w:r>
                  <w:r>
                    <w:rPr>
                      <w:rFonts w:hint="default" w:ascii="Times New Roman" w:hAnsi="Times New Roman" w:eastAsia="宋体" w:cs="Times New Roman"/>
                      <w:color w:val="000000"/>
                      <w:kern w:val="0"/>
                      <w:sz w:val="18"/>
                      <w:szCs w:val="18"/>
                      <w:highlight w:val="none"/>
                      <w:lang w:val="en-US" w:eastAsia="zh-CN" w:bidi="ar"/>
                    </w:rPr>
                    <w:t xml:space="preserve"> </w:t>
                  </w:r>
                </w:p>
                <w:p w14:paraId="2618C7C9">
                  <w:pPr>
                    <w:keepNext w:val="0"/>
                    <w:keepLines w:val="0"/>
                    <w:widowControl/>
                    <w:suppressLineNumbers w:val="0"/>
                    <w:spacing w:before="0" w:beforeAutospacing="0" w:after="0" w:afterAutospacing="0"/>
                    <w:ind w:left="0" w:right="0"/>
                    <w:jc w:val="center"/>
                    <w:rPr>
                      <w:rFonts w:hint="default" w:ascii="Times New Roman" w:hAnsi="Times New Roman" w:eastAsia="宋体" w:cs="Times New Roman"/>
                      <w:color w:val="000000"/>
                      <w:kern w:val="0"/>
                      <w:sz w:val="18"/>
                      <w:szCs w:val="18"/>
                      <w:highlight w:val="none"/>
                    </w:rPr>
                  </w:pPr>
                  <w:r>
                    <w:rPr>
                      <w:rFonts w:hint="eastAsia" w:ascii="宋体" w:hAnsi="宋体" w:eastAsia="宋体" w:cs="宋体"/>
                      <w:color w:val="000000"/>
                      <w:kern w:val="0"/>
                      <w:sz w:val="18"/>
                      <w:szCs w:val="18"/>
                      <w:highlight w:val="none"/>
                      <w:lang w:val="en-US" w:eastAsia="zh-CN" w:bidi="ar"/>
                    </w:rPr>
                    <w:t>放小</w:t>
                  </w:r>
                  <w:r>
                    <w:rPr>
                      <w:rFonts w:hint="default" w:ascii="Times New Roman" w:hAnsi="Times New Roman" w:eastAsia="宋体" w:cs="Times New Roman"/>
                      <w:color w:val="000000"/>
                      <w:kern w:val="0"/>
                      <w:sz w:val="18"/>
                      <w:szCs w:val="18"/>
                      <w:highlight w:val="none"/>
                      <w:lang w:val="en-US" w:eastAsia="zh-CN" w:bidi="ar"/>
                    </w:rPr>
                    <w:t xml:space="preserve"> </w:t>
                  </w:r>
                </w:p>
                <w:p w14:paraId="0E67D687">
                  <w:pPr>
                    <w:keepNext w:val="0"/>
                    <w:keepLines w:val="0"/>
                    <w:widowControl/>
                    <w:suppressLineNumbers w:val="0"/>
                    <w:spacing w:before="0" w:beforeAutospacing="0" w:after="0" w:afterAutospacing="0"/>
                    <w:ind w:left="0" w:right="0"/>
                    <w:jc w:val="center"/>
                    <w:rPr>
                      <w:rFonts w:hint="default" w:ascii="Times New Roman" w:hAnsi="Times New Roman" w:eastAsia="宋体" w:cs="Times New Roman"/>
                      <w:color w:val="000000"/>
                      <w:kern w:val="0"/>
                      <w:sz w:val="18"/>
                      <w:szCs w:val="18"/>
                      <w:highlight w:val="none"/>
                    </w:rPr>
                  </w:pPr>
                  <w:r>
                    <w:rPr>
                      <w:rFonts w:hint="eastAsia" w:ascii="宋体" w:hAnsi="宋体" w:eastAsia="宋体" w:cs="宋体"/>
                      <w:color w:val="000000"/>
                      <w:kern w:val="0"/>
                      <w:sz w:val="18"/>
                      <w:szCs w:val="18"/>
                      <w:highlight w:val="none"/>
                      <w:lang w:val="en-US" w:eastAsia="zh-CN" w:bidi="ar"/>
                    </w:rPr>
                    <w:t>时数</w:t>
                  </w:r>
                  <w:r>
                    <w:rPr>
                      <w:rFonts w:hint="default" w:ascii="Times New Roman" w:hAnsi="Times New Roman" w:eastAsia="宋体" w:cs="Times New Roman"/>
                      <w:color w:val="000000"/>
                      <w:kern w:val="0"/>
                      <w:sz w:val="18"/>
                      <w:szCs w:val="18"/>
                      <w:highlight w:val="none"/>
                      <w:lang w:val="en-US" w:eastAsia="zh-CN" w:bidi="ar"/>
                    </w:rPr>
                    <w:t xml:space="preserve"> </w:t>
                  </w:r>
                </w:p>
                <w:p w14:paraId="340AEF4B">
                  <w:pPr>
                    <w:keepNext w:val="0"/>
                    <w:keepLines w:val="0"/>
                    <w:widowControl/>
                    <w:suppressLineNumbers w:val="0"/>
                    <w:spacing w:before="0" w:beforeAutospacing="0" w:after="0" w:afterAutospacing="0"/>
                    <w:ind w:left="0" w:right="0"/>
                    <w:jc w:val="center"/>
                    <w:rPr>
                      <w:rFonts w:hint="default" w:ascii="Times New Roman" w:hAnsi="Times New Roman" w:eastAsia="宋体" w:cs="Times New Roman"/>
                      <w:color w:val="000000"/>
                      <w:kern w:val="0"/>
                      <w:sz w:val="18"/>
                      <w:szCs w:val="18"/>
                      <w:highlight w:val="none"/>
                    </w:rPr>
                  </w:pPr>
                  <w:r>
                    <w:rPr>
                      <w:rFonts w:hint="default" w:ascii="Times New Roman" w:hAnsi="Times New Roman" w:eastAsia="宋体" w:cs="Times New Roman"/>
                      <w:color w:val="000000"/>
                      <w:kern w:val="0"/>
                      <w:sz w:val="18"/>
                      <w:szCs w:val="18"/>
                      <w:highlight w:val="none"/>
                      <w:lang w:val="en-US" w:eastAsia="zh-CN" w:bidi="ar"/>
                    </w:rPr>
                    <w:t xml:space="preserve">/h </w:t>
                  </w:r>
                </w:p>
              </w:tc>
              <w:tc>
                <w:tcPr>
                  <w:tcW w:w="585" w:type="dxa"/>
                  <w:vMerge w:val="restart"/>
                  <w:tcBorders>
                    <w:top w:val="single" w:color="auto" w:sz="4" w:space="0"/>
                    <w:left w:val="single" w:color="auto" w:sz="4" w:space="0"/>
                    <w:bottom w:val="single" w:color="auto" w:sz="4" w:space="0"/>
                    <w:right w:val="single" w:color="auto" w:sz="4" w:space="0"/>
                  </w:tcBorders>
                  <w:shd w:val="clear" w:color="auto" w:fill="auto"/>
                  <w:vAlign w:val="center"/>
                </w:tcPr>
                <w:p w14:paraId="734ABA94">
                  <w:pPr>
                    <w:keepNext w:val="0"/>
                    <w:keepLines w:val="0"/>
                    <w:widowControl/>
                    <w:suppressLineNumbers w:val="0"/>
                    <w:spacing w:before="0" w:beforeAutospacing="0" w:after="0" w:afterAutospacing="0"/>
                    <w:ind w:left="0" w:right="0"/>
                    <w:jc w:val="center"/>
                    <w:rPr>
                      <w:rFonts w:hint="default" w:ascii="Times New Roman" w:hAnsi="Times New Roman" w:eastAsia="宋体" w:cs="Times New Roman"/>
                      <w:color w:val="000000"/>
                      <w:kern w:val="0"/>
                      <w:sz w:val="18"/>
                      <w:szCs w:val="18"/>
                      <w:highlight w:val="none"/>
                    </w:rPr>
                  </w:pPr>
                  <w:r>
                    <w:rPr>
                      <w:rFonts w:hint="eastAsia" w:ascii="宋体" w:hAnsi="宋体" w:eastAsia="宋体" w:cs="宋体"/>
                      <w:color w:val="000000"/>
                      <w:kern w:val="0"/>
                      <w:sz w:val="18"/>
                      <w:szCs w:val="18"/>
                      <w:highlight w:val="none"/>
                      <w:lang w:val="en-US" w:eastAsia="zh-CN" w:bidi="ar"/>
                    </w:rPr>
                    <w:t>排放</w:t>
                  </w:r>
                </w:p>
                <w:p w14:paraId="65833483">
                  <w:pPr>
                    <w:keepNext w:val="0"/>
                    <w:keepLines w:val="0"/>
                    <w:widowControl/>
                    <w:suppressLineNumbers w:val="0"/>
                    <w:spacing w:before="0" w:beforeAutospacing="0" w:after="0" w:afterAutospacing="0"/>
                    <w:ind w:left="0" w:right="0"/>
                    <w:jc w:val="center"/>
                    <w:rPr>
                      <w:rFonts w:hint="default" w:ascii="Times New Roman" w:hAnsi="Times New Roman" w:eastAsia="宋体" w:cs="Times New Roman"/>
                      <w:color w:val="000000"/>
                      <w:kern w:val="0"/>
                      <w:sz w:val="18"/>
                      <w:szCs w:val="18"/>
                      <w:highlight w:val="none"/>
                    </w:rPr>
                  </w:pPr>
                  <w:r>
                    <w:rPr>
                      <w:rFonts w:hint="eastAsia" w:ascii="宋体" w:hAnsi="宋体" w:eastAsia="宋体" w:cs="宋体"/>
                      <w:color w:val="000000"/>
                      <w:kern w:val="0"/>
                      <w:sz w:val="18"/>
                      <w:szCs w:val="18"/>
                      <w:highlight w:val="none"/>
                      <w:lang w:val="en-US" w:eastAsia="zh-CN" w:bidi="ar"/>
                    </w:rPr>
                    <w:t>工况</w:t>
                  </w:r>
                </w:p>
              </w:tc>
              <w:tc>
                <w:tcPr>
                  <w:tcW w:w="825" w:type="dxa"/>
                  <w:vMerge w:val="restart"/>
                  <w:tcBorders>
                    <w:top w:val="single" w:color="auto" w:sz="4" w:space="0"/>
                    <w:left w:val="single" w:color="auto" w:sz="4" w:space="0"/>
                    <w:bottom w:val="single" w:color="auto" w:sz="4" w:space="0"/>
                    <w:right w:val="single" w:color="auto" w:sz="4" w:space="0"/>
                  </w:tcBorders>
                  <w:shd w:val="clear" w:color="auto" w:fill="auto"/>
                  <w:vAlign w:val="center"/>
                </w:tcPr>
                <w:p w14:paraId="5B8EFAC1">
                  <w:pPr>
                    <w:keepNext w:val="0"/>
                    <w:keepLines w:val="0"/>
                    <w:widowControl/>
                    <w:suppressLineNumbers w:val="0"/>
                    <w:spacing w:before="0" w:beforeAutospacing="0" w:after="0" w:afterAutospacing="0"/>
                    <w:ind w:left="0" w:right="0"/>
                    <w:jc w:val="center"/>
                    <w:rPr>
                      <w:rFonts w:hint="default" w:ascii="Times New Roman" w:hAnsi="Times New Roman" w:eastAsia="宋体" w:cs="Times New Roman"/>
                      <w:color w:val="000000"/>
                      <w:kern w:val="0"/>
                      <w:sz w:val="18"/>
                      <w:szCs w:val="18"/>
                      <w:highlight w:val="none"/>
                    </w:rPr>
                  </w:pPr>
                  <w:r>
                    <w:rPr>
                      <w:rFonts w:hint="eastAsia" w:ascii="宋体" w:hAnsi="宋体" w:eastAsia="宋体" w:cs="宋体"/>
                      <w:color w:val="000000"/>
                      <w:kern w:val="0"/>
                      <w:sz w:val="18"/>
                      <w:szCs w:val="18"/>
                      <w:highlight w:val="none"/>
                      <w:lang w:val="en-US" w:eastAsia="zh-CN" w:bidi="ar"/>
                    </w:rPr>
                    <w:t>污染</w:t>
                  </w:r>
                </w:p>
                <w:p w14:paraId="1CF0F71A">
                  <w:pPr>
                    <w:keepNext w:val="0"/>
                    <w:keepLines w:val="0"/>
                    <w:widowControl/>
                    <w:suppressLineNumbers w:val="0"/>
                    <w:spacing w:before="0" w:beforeAutospacing="0" w:after="0" w:afterAutospacing="0"/>
                    <w:ind w:left="0" w:right="0"/>
                    <w:jc w:val="center"/>
                    <w:rPr>
                      <w:rFonts w:hint="default" w:ascii="Times New Roman" w:hAnsi="Times New Roman" w:eastAsia="宋体" w:cs="Times New Roman"/>
                      <w:color w:val="000000"/>
                      <w:kern w:val="0"/>
                      <w:sz w:val="18"/>
                      <w:szCs w:val="18"/>
                      <w:highlight w:val="none"/>
                    </w:rPr>
                  </w:pPr>
                  <w:r>
                    <w:rPr>
                      <w:rFonts w:hint="eastAsia" w:ascii="宋体" w:hAnsi="宋体" w:eastAsia="宋体" w:cs="宋体"/>
                      <w:color w:val="000000"/>
                      <w:kern w:val="0"/>
                      <w:sz w:val="18"/>
                      <w:szCs w:val="18"/>
                      <w:highlight w:val="none"/>
                      <w:lang w:val="en-US" w:eastAsia="zh-CN" w:bidi="ar"/>
                    </w:rPr>
                    <w:t>物</w:t>
                  </w:r>
                </w:p>
              </w:tc>
              <w:tc>
                <w:tcPr>
                  <w:tcW w:w="625" w:type="dxa"/>
                  <w:vMerge w:val="restart"/>
                  <w:tcBorders>
                    <w:top w:val="single" w:color="auto" w:sz="4" w:space="0"/>
                    <w:left w:val="single" w:color="auto" w:sz="4" w:space="0"/>
                    <w:bottom w:val="single" w:color="auto" w:sz="4" w:space="0"/>
                    <w:right w:val="single" w:color="auto" w:sz="4" w:space="0"/>
                  </w:tcBorders>
                  <w:shd w:val="clear" w:color="auto" w:fill="auto"/>
                  <w:vAlign w:val="center"/>
                </w:tcPr>
                <w:p w14:paraId="5C1DFB96">
                  <w:pPr>
                    <w:keepNext w:val="0"/>
                    <w:keepLines w:val="0"/>
                    <w:widowControl/>
                    <w:suppressLineNumbers w:val="0"/>
                    <w:spacing w:before="0" w:beforeAutospacing="0" w:after="0" w:afterAutospacing="0"/>
                    <w:ind w:left="0" w:right="0"/>
                    <w:jc w:val="center"/>
                    <w:rPr>
                      <w:rFonts w:hint="default" w:ascii="Times New Roman" w:hAnsi="Times New Roman" w:eastAsia="宋体" w:cs="Times New Roman"/>
                      <w:color w:val="000000"/>
                      <w:kern w:val="0"/>
                      <w:sz w:val="18"/>
                      <w:szCs w:val="18"/>
                      <w:highlight w:val="none"/>
                    </w:rPr>
                  </w:pPr>
                  <w:r>
                    <w:rPr>
                      <w:rFonts w:hint="eastAsia" w:ascii="宋体" w:hAnsi="宋体" w:eastAsia="宋体" w:cs="宋体"/>
                      <w:color w:val="000000"/>
                      <w:kern w:val="0"/>
                      <w:sz w:val="18"/>
                      <w:szCs w:val="18"/>
                      <w:highlight w:val="none"/>
                      <w:lang w:val="en-US" w:eastAsia="zh-CN" w:bidi="ar"/>
                    </w:rPr>
                    <w:t>排放</w:t>
                  </w:r>
                </w:p>
                <w:p w14:paraId="5CEFCA37">
                  <w:pPr>
                    <w:keepNext w:val="0"/>
                    <w:keepLines w:val="0"/>
                    <w:widowControl/>
                    <w:suppressLineNumbers w:val="0"/>
                    <w:spacing w:before="0" w:beforeAutospacing="0" w:after="0" w:afterAutospacing="0"/>
                    <w:ind w:left="0" w:right="0"/>
                    <w:jc w:val="center"/>
                    <w:rPr>
                      <w:rFonts w:hint="default" w:ascii="Times New Roman" w:hAnsi="Times New Roman" w:eastAsia="宋体" w:cs="Times New Roman"/>
                      <w:color w:val="000000"/>
                      <w:kern w:val="0"/>
                      <w:sz w:val="18"/>
                      <w:szCs w:val="18"/>
                      <w:highlight w:val="none"/>
                    </w:rPr>
                  </w:pPr>
                  <w:r>
                    <w:rPr>
                      <w:rFonts w:hint="eastAsia" w:ascii="宋体" w:hAnsi="宋体" w:eastAsia="宋体" w:cs="宋体"/>
                      <w:color w:val="000000"/>
                      <w:kern w:val="0"/>
                      <w:sz w:val="18"/>
                      <w:szCs w:val="18"/>
                      <w:highlight w:val="none"/>
                      <w:lang w:val="en-US" w:eastAsia="zh-CN" w:bidi="ar"/>
                    </w:rPr>
                    <w:t>速率</w:t>
                  </w:r>
                </w:p>
                <w:p w14:paraId="07F3A5A4">
                  <w:pPr>
                    <w:keepNext w:val="0"/>
                    <w:keepLines w:val="0"/>
                    <w:widowControl/>
                    <w:suppressLineNumbers w:val="0"/>
                    <w:spacing w:before="0" w:beforeAutospacing="0" w:after="0" w:afterAutospacing="0"/>
                    <w:ind w:left="0" w:right="0"/>
                    <w:jc w:val="center"/>
                    <w:rPr>
                      <w:rFonts w:hint="default" w:ascii="Times New Roman" w:hAnsi="Times New Roman" w:eastAsia="宋体" w:cs="Times New Roman"/>
                      <w:color w:val="000000"/>
                      <w:kern w:val="0"/>
                      <w:sz w:val="18"/>
                      <w:szCs w:val="18"/>
                      <w:highlight w:val="none"/>
                    </w:rPr>
                  </w:pPr>
                  <w:r>
                    <w:rPr>
                      <w:rFonts w:hint="default" w:ascii="Times New Roman" w:hAnsi="Times New Roman" w:eastAsia="宋体" w:cs="Times New Roman"/>
                      <w:color w:val="000000"/>
                      <w:kern w:val="0"/>
                      <w:sz w:val="18"/>
                      <w:szCs w:val="18"/>
                      <w:highlight w:val="none"/>
                      <w:lang w:val="en-US" w:eastAsia="zh-CN" w:bidi="ar"/>
                    </w:rPr>
                    <w:t>kg/h</w:t>
                  </w:r>
                </w:p>
              </w:tc>
            </w:tr>
            <w:tr w14:paraId="182862C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349" w:hRule="atLeast"/>
              </w:trPr>
              <w:tc>
                <w:tcPr>
                  <w:tcW w:w="419" w:type="dxa"/>
                  <w:vMerge w:val="continue"/>
                  <w:tcBorders>
                    <w:top w:val="single" w:color="auto" w:sz="4" w:space="0"/>
                    <w:left w:val="single" w:color="auto" w:sz="4" w:space="0"/>
                    <w:bottom w:val="single" w:color="auto" w:sz="4" w:space="0"/>
                    <w:right w:val="single" w:color="auto" w:sz="4" w:space="0"/>
                  </w:tcBorders>
                  <w:shd w:val="clear" w:color="auto" w:fill="auto"/>
                  <w:vAlign w:val="center"/>
                </w:tcPr>
                <w:p w14:paraId="5A70E000">
                  <w:pPr>
                    <w:keepNext w:val="0"/>
                    <w:keepLines w:val="0"/>
                    <w:suppressLineNumbers w:val="0"/>
                    <w:spacing w:before="0" w:beforeAutospacing="0" w:after="0" w:afterAutospacing="0"/>
                    <w:ind w:left="0" w:right="0"/>
                    <w:rPr>
                      <w:rFonts w:hint="default" w:ascii="Times New Roman" w:hAnsi="Times New Roman" w:cs="Times New Roman"/>
                      <w:sz w:val="20"/>
                      <w:szCs w:val="20"/>
                      <w:highlight w:val="none"/>
                    </w:rPr>
                  </w:pPr>
                </w:p>
              </w:tc>
              <w:tc>
                <w:tcPr>
                  <w:tcW w:w="612" w:type="dxa"/>
                  <w:vMerge w:val="continue"/>
                  <w:tcBorders>
                    <w:top w:val="single" w:color="auto" w:sz="4" w:space="0"/>
                    <w:left w:val="single" w:color="auto" w:sz="4" w:space="0"/>
                    <w:bottom w:val="single" w:color="auto" w:sz="4" w:space="0"/>
                    <w:right w:val="single" w:color="auto" w:sz="4" w:space="0"/>
                  </w:tcBorders>
                  <w:shd w:val="clear" w:color="auto" w:fill="auto"/>
                  <w:vAlign w:val="center"/>
                </w:tcPr>
                <w:p w14:paraId="48EA9BC4">
                  <w:pPr>
                    <w:keepNext w:val="0"/>
                    <w:keepLines w:val="0"/>
                    <w:suppressLineNumbers w:val="0"/>
                    <w:spacing w:before="0" w:beforeAutospacing="0" w:after="0" w:afterAutospacing="0"/>
                    <w:ind w:left="0" w:right="0"/>
                    <w:rPr>
                      <w:rFonts w:hint="default" w:ascii="Times New Roman" w:hAnsi="Times New Roman" w:cs="Times New Roman"/>
                      <w:sz w:val="20"/>
                      <w:szCs w:val="20"/>
                      <w:highlight w:val="none"/>
                    </w:rPr>
                  </w:pPr>
                </w:p>
              </w:tc>
              <w:tc>
                <w:tcPr>
                  <w:tcW w:w="780" w:type="dxa"/>
                  <w:tcBorders>
                    <w:top w:val="single" w:color="auto" w:sz="4" w:space="0"/>
                    <w:left w:val="single" w:color="auto" w:sz="4" w:space="0"/>
                    <w:bottom w:val="single" w:color="auto" w:sz="4" w:space="0"/>
                    <w:right w:val="single" w:color="auto" w:sz="4" w:space="0"/>
                  </w:tcBorders>
                  <w:shd w:val="clear" w:color="auto" w:fill="auto"/>
                  <w:vAlign w:val="center"/>
                </w:tcPr>
                <w:p w14:paraId="3AD20153">
                  <w:pPr>
                    <w:keepNext w:val="0"/>
                    <w:keepLines w:val="0"/>
                    <w:widowControl/>
                    <w:suppressLineNumbers w:val="0"/>
                    <w:spacing w:before="0" w:beforeAutospacing="0" w:after="0" w:afterAutospacing="0"/>
                    <w:ind w:left="0" w:right="0"/>
                    <w:jc w:val="center"/>
                    <w:rPr>
                      <w:rFonts w:hint="eastAsia" w:ascii="Times New Roman" w:hAnsi="Times New Roman" w:eastAsia="宋体" w:cs="Times New Roman"/>
                      <w:kern w:val="2"/>
                      <w:sz w:val="18"/>
                      <w:szCs w:val="18"/>
                      <w:highlight w:val="none"/>
                    </w:rPr>
                  </w:pPr>
                  <w:r>
                    <w:rPr>
                      <w:rFonts w:hint="eastAsia" w:ascii="宋体" w:hAnsi="宋体" w:eastAsia="宋体" w:cs="宋体"/>
                      <w:color w:val="000000"/>
                      <w:kern w:val="0"/>
                      <w:sz w:val="18"/>
                      <w:szCs w:val="18"/>
                      <w:highlight w:val="none"/>
                      <w:lang w:val="en-US" w:eastAsia="zh-CN" w:bidi="ar"/>
                    </w:rPr>
                    <w:t>经度</w:t>
                  </w:r>
                </w:p>
              </w:tc>
              <w:tc>
                <w:tcPr>
                  <w:tcW w:w="639" w:type="dxa"/>
                  <w:tcBorders>
                    <w:top w:val="single" w:color="auto" w:sz="4" w:space="0"/>
                    <w:left w:val="single" w:color="auto" w:sz="4" w:space="0"/>
                    <w:bottom w:val="single" w:color="auto" w:sz="4" w:space="0"/>
                    <w:right w:val="single" w:color="auto" w:sz="4" w:space="0"/>
                  </w:tcBorders>
                  <w:shd w:val="clear" w:color="auto" w:fill="auto"/>
                  <w:vAlign w:val="center"/>
                </w:tcPr>
                <w:p w14:paraId="6F3C73AC">
                  <w:pPr>
                    <w:keepNext w:val="0"/>
                    <w:keepLines w:val="0"/>
                    <w:widowControl/>
                    <w:suppressLineNumbers w:val="0"/>
                    <w:spacing w:before="0" w:beforeAutospacing="0" w:after="0" w:afterAutospacing="0"/>
                    <w:ind w:left="0" w:right="0"/>
                    <w:jc w:val="center"/>
                    <w:rPr>
                      <w:rFonts w:hint="default" w:ascii="Times New Roman" w:hAnsi="Times New Roman" w:eastAsia="宋体" w:cs="Times New Roman"/>
                      <w:kern w:val="2"/>
                      <w:sz w:val="18"/>
                      <w:szCs w:val="18"/>
                      <w:highlight w:val="none"/>
                    </w:rPr>
                  </w:pPr>
                  <w:r>
                    <w:rPr>
                      <w:rFonts w:hint="eastAsia" w:ascii="宋体" w:hAnsi="宋体" w:eastAsia="宋体" w:cs="宋体"/>
                      <w:color w:val="000000"/>
                      <w:kern w:val="0"/>
                      <w:sz w:val="18"/>
                      <w:szCs w:val="18"/>
                      <w:highlight w:val="none"/>
                      <w:lang w:val="en-US" w:eastAsia="zh-CN" w:bidi="ar"/>
                    </w:rPr>
                    <w:t>纬度</w:t>
                  </w:r>
                </w:p>
              </w:tc>
              <w:tc>
                <w:tcPr>
                  <w:tcW w:w="630" w:type="dxa"/>
                  <w:vMerge w:val="continue"/>
                  <w:tcBorders>
                    <w:top w:val="single" w:color="auto" w:sz="4" w:space="0"/>
                    <w:left w:val="single" w:color="auto" w:sz="4" w:space="0"/>
                    <w:bottom w:val="single" w:color="auto" w:sz="4" w:space="0"/>
                    <w:right w:val="single" w:color="auto" w:sz="4" w:space="0"/>
                  </w:tcBorders>
                  <w:shd w:val="clear" w:color="auto" w:fill="auto"/>
                  <w:vAlign w:val="center"/>
                </w:tcPr>
                <w:p w14:paraId="5E442993">
                  <w:pPr>
                    <w:keepNext w:val="0"/>
                    <w:keepLines w:val="0"/>
                    <w:suppressLineNumbers w:val="0"/>
                    <w:spacing w:before="0" w:beforeAutospacing="0" w:after="0" w:afterAutospacing="0"/>
                    <w:ind w:left="0" w:right="0"/>
                    <w:rPr>
                      <w:rFonts w:hint="default" w:ascii="Times New Roman" w:hAnsi="Times New Roman" w:cs="Times New Roman"/>
                      <w:sz w:val="20"/>
                      <w:szCs w:val="20"/>
                      <w:highlight w:val="none"/>
                    </w:rPr>
                  </w:pPr>
                </w:p>
              </w:tc>
              <w:tc>
                <w:tcPr>
                  <w:tcW w:w="600" w:type="dxa"/>
                  <w:vMerge w:val="continue"/>
                  <w:tcBorders>
                    <w:top w:val="single" w:color="auto" w:sz="4" w:space="0"/>
                    <w:left w:val="single" w:color="auto" w:sz="4" w:space="0"/>
                    <w:bottom w:val="single" w:color="auto" w:sz="4" w:space="0"/>
                    <w:right w:val="single" w:color="auto" w:sz="4" w:space="0"/>
                  </w:tcBorders>
                  <w:shd w:val="clear" w:color="auto" w:fill="auto"/>
                  <w:vAlign w:val="center"/>
                </w:tcPr>
                <w:p w14:paraId="1BCC291E">
                  <w:pPr>
                    <w:keepNext w:val="0"/>
                    <w:keepLines w:val="0"/>
                    <w:suppressLineNumbers w:val="0"/>
                    <w:spacing w:before="0" w:beforeAutospacing="0" w:after="0" w:afterAutospacing="0"/>
                    <w:ind w:left="0" w:right="0"/>
                    <w:rPr>
                      <w:rFonts w:hint="default" w:ascii="Times New Roman" w:hAnsi="Times New Roman" w:cs="Times New Roman"/>
                      <w:sz w:val="20"/>
                      <w:szCs w:val="20"/>
                      <w:highlight w:val="none"/>
                    </w:rPr>
                  </w:pPr>
                </w:p>
              </w:tc>
              <w:tc>
                <w:tcPr>
                  <w:tcW w:w="593" w:type="dxa"/>
                  <w:vMerge w:val="continue"/>
                  <w:tcBorders>
                    <w:top w:val="single" w:color="auto" w:sz="4" w:space="0"/>
                    <w:left w:val="single" w:color="auto" w:sz="4" w:space="0"/>
                    <w:bottom w:val="single" w:color="auto" w:sz="4" w:space="0"/>
                    <w:right w:val="single" w:color="auto" w:sz="4" w:space="0"/>
                  </w:tcBorders>
                  <w:shd w:val="clear" w:color="auto" w:fill="auto"/>
                  <w:vAlign w:val="center"/>
                </w:tcPr>
                <w:p w14:paraId="1EE27B03">
                  <w:pPr>
                    <w:keepNext w:val="0"/>
                    <w:keepLines w:val="0"/>
                    <w:suppressLineNumbers w:val="0"/>
                    <w:spacing w:before="0" w:beforeAutospacing="0" w:after="0" w:afterAutospacing="0"/>
                    <w:ind w:left="0" w:right="0"/>
                    <w:rPr>
                      <w:rFonts w:hint="default" w:ascii="Times New Roman" w:hAnsi="Times New Roman" w:cs="Times New Roman"/>
                      <w:sz w:val="20"/>
                      <w:szCs w:val="20"/>
                      <w:highlight w:val="none"/>
                    </w:rPr>
                  </w:pPr>
                </w:p>
              </w:tc>
              <w:tc>
                <w:tcPr>
                  <w:tcW w:w="615" w:type="dxa"/>
                  <w:vMerge w:val="continue"/>
                  <w:tcBorders>
                    <w:top w:val="single" w:color="auto" w:sz="4" w:space="0"/>
                    <w:left w:val="single" w:color="auto" w:sz="4" w:space="0"/>
                    <w:bottom w:val="single" w:color="auto" w:sz="4" w:space="0"/>
                    <w:right w:val="single" w:color="auto" w:sz="4" w:space="0"/>
                  </w:tcBorders>
                  <w:shd w:val="clear" w:color="auto" w:fill="auto"/>
                  <w:vAlign w:val="center"/>
                </w:tcPr>
                <w:p w14:paraId="2E5775B4">
                  <w:pPr>
                    <w:keepNext w:val="0"/>
                    <w:keepLines w:val="0"/>
                    <w:suppressLineNumbers w:val="0"/>
                    <w:spacing w:before="0" w:beforeAutospacing="0" w:after="0" w:afterAutospacing="0"/>
                    <w:ind w:left="0" w:right="0"/>
                    <w:rPr>
                      <w:rFonts w:hint="default" w:ascii="Times New Roman" w:hAnsi="Times New Roman" w:cs="Times New Roman"/>
                      <w:sz w:val="20"/>
                      <w:szCs w:val="20"/>
                      <w:highlight w:val="none"/>
                    </w:rPr>
                  </w:pPr>
                </w:p>
              </w:tc>
              <w:tc>
                <w:tcPr>
                  <w:tcW w:w="637" w:type="dxa"/>
                  <w:vMerge w:val="continue"/>
                  <w:tcBorders>
                    <w:top w:val="single" w:color="auto" w:sz="4" w:space="0"/>
                    <w:left w:val="single" w:color="auto" w:sz="4" w:space="0"/>
                    <w:bottom w:val="single" w:color="auto" w:sz="4" w:space="0"/>
                    <w:right w:val="single" w:color="auto" w:sz="4" w:space="0"/>
                  </w:tcBorders>
                  <w:shd w:val="clear" w:color="auto" w:fill="auto"/>
                  <w:vAlign w:val="center"/>
                </w:tcPr>
                <w:p w14:paraId="570EDC58">
                  <w:pPr>
                    <w:keepNext w:val="0"/>
                    <w:keepLines w:val="0"/>
                    <w:suppressLineNumbers w:val="0"/>
                    <w:spacing w:before="0" w:beforeAutospacing="0" w:after="0" w:afterAutospacing="0"/>
                    <w:ind w:left="0" w:right="0"/>
                    <w:rPr>
                      <w:rFonts w:hint="default" w:ascii="Times New Roman" w:hAnsi="Times New Roman" w:cs="Times New Roman"/>
                      <w:sz w:val="20"/>
                      <w:szCs w:val="20"/>
                      <w:highlight w:val="none"/>
                    </w:rPr>
                  </w:pPr>
                </w:p>
              </w:tc>
              <w:tc>
                <w:tcPr>
                  <w:tcW w:w="645" w:type="dxa"/>
                  <w:vMerge w:val="continue"/>
                  <w:tcBorders>
                    <w:top w:val="single" w:color="auto" w:sz="4" w:space="0"/>
                    <w:left w:val="single" w:color="auto" w:sz="4" w:space="0"/>
                    <w:bottom w:val="single" w:color="auto" w:sz="4" w:space="0"/>
                    <w:right w:val="single" w:color="auto" w:sz="4" w:space="0"/>
                  </w:tcBorders>
                  <w:shd w:val="clear" w:color="auto" w:fill="auto"/>
                  <w:vAlign w:val="center"/>
                </w:tcPr>
                <w:p w14:paraId="23A66D3E">
                  <w:pPr>
                    <w:keepNext w:val="0"/>
                    <w:keepLines w:val="0"/>
                    <w:suppressLineNumbers w:val="0"/>
                    <w:spacing w:before="0" w:beforeAutospacing="0" w:after="0" w:afterAutospacing="0"/>
                    <w:ind w:left="0" w:right="0"/>
                    <w:rPr>
                      <w:rFonts w:hint="default" w:ascii="Times New Roman" w:hAnsi="Times New Roman" w:cs="Times New Roman"/>
                      <w:sz w:val="20"/>
                      <w:szCs w:val="20"/>
                      <w:highlight w:val="none"/>
                    </w:rPr>
                  </w:pPr>
                </w:p>
              </w:tc>
              <w:tc>
                <w:tcPr>
                  <w:tcW w:w="585" w:type="dxa"/>
                  <w:vMerge w:val="continue"/>
                  <w:tcBorders>
                    <w:top w:val="single" w:color="auto" w:sz="4" w:space="0"/>
                    <w:left w:val="single" w:color="auto" w:sz="4" w:space="0"/>
                    <w:bottom w:val="single" w:color="auto" w:sz="4" w:space="0"/>
                    <w:right w:val="single" w:color="auto" w:sz="4" w:space="0"/>
                  </w:tcBorders>
                  <w:shd w:val="clear" w:color="auto" w:fill="auto"/>
                  <w:vAlign w:val="center"/>
                </w:tcPr>
                <w:p w14:paraId="657A9447">
                  <w:pPr>
                    <w:keepNext w:val="0"/>
                    <w:keepLines w:val="0"/>
                    <w:suppressLineNumbers w:val="0"/>
                    <w:spacing w:before="0" w:beforeAutospacing="0" w:after="0" w:afterAutospacing="0"/>
                    <w:ind w:left="0" w:right="0"/>
                    <w:rPr>
                      <w:rFonts w:hint="default" w:ascii="Times New Roman" w:hAnsi="Times New Roman" w:cs="Times New Roman"/>
                      <w:sz w:val="20"/>
                      <w:szCs w:val="20"/>
                      <w:highlight w:val="none"/>
                    </w:rPr>
                  </w:pPr>
                </w:p>
              </w:tc>
              <w:tc>
                <w:tcPr>
                  <w:tcW w:w="825" w:type="dxa"/>
                  <w:vMerge w:val="continue"/>
                  <w:tcBorders>
                    <w:top w:val="single" w:color="auto" w:sz="4" w:space="0"/>
                    <w:left w:val="single" w:color="auto" w:sz="4" w:space="0"/>
                    <w:bottom w:val="single" w:color="auto" w:sz="4" w:space="0"/>
                    <w:right w:val="single" w:color="auto" w:sz="4" w:space="0"/>
                  </w:tcBorders>
                  <w:shd w:val="clear" w:color="auto" w:fill="auto"/>
                  <w:vAlign w:val="center"/>
                </w:tcPr>
                <w:p w14:paraId="75FFA5A3">
                  <w:pPr>
                    <w:keepNext w:val="0"/>
                    <w:keepLines w:val="0"/>
                    <w:suppressLineNumbers w:val="0"/>
                    <w:spacing w:before="0" w:beforeAutospacing="0" w:after="0" w:afterAutospacing="0"/>
                    <w:ind w:left="0" w:right="0"/>
                    <w:rPr>
                      <w:rFonts w:hint="default" w:ascii="Times New Roman" w:hAnsi="Times New Roman" w:cs="Times New Roman"/>
                      <w:sz w:val="20"/>
                      <w:szCs w:val="20"/>
                      <w:highlight w:val="none"/>
                    </w:rPr>
                  </w:pPr>
                </w:p>
              </w:tc>
              <w:tc>
                <w:tcPr>
                  <w:tcW w:w="625" w:type="dxa"/>
                  <w:vMerge w:val="continue"/>
                  <w:tcBorders>
                    <w:top w:val="single" w:color="auto" w:sz="4" w:space="0"/>
                    <w:left w:val="single" w:color="auto" w:sz="4" w:space="0"/>
                    <w:bottom w:val="single" w:color="auto" w:sz="4" w:space="0"/>
                    <w:right w:val="single" w:color="auto" w:sz="4" w:space="0"/>
                  </w:tcBorders>
                  <w:shd w:val="clear" w:color="auto" w:fill="auto"/>
                  <w:vAlign w:val="center"/>
                </w:tcPr>
                <w:p w14:paraId="4C00CB27">
                  <w:pPr>
                    <w:keepNext w:val="0"/>
                    <w:keepLines w:val="0"/>
                    <w:suppressLineNumbers w:val="0"/>
                    <w:spacing w:before="0" w:beforeAutospacing="0" w:after="0" w:afterAutospacing="0"/>
                    <w:ind w:left="0" w:right="0"/>
                    <w:rPr>
                      <w:rFonts w:hint="default" w:ascii="Times New Roman" w:hAnsi="Times New Roman" w:cs="Times New Roman"/>
                      <w:sz w:val="20"/>
                      <w:szCs w:val="20"/>
                      <w:highlight w:val="none"/>
                    </w:rPr>
                  </w:pPr>
                </w:p>
              </w:tc>
            </w:tr>
            <w:tr w14:paraId="6ADA6E6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201" w:hRule="atLeast"/>
              </w:trPr>
              <w:tc>
                <w:tcPr>
                  <w:tcW w:w="419" w:type="dxa"/>
                  <w:vMerge w:val="restart"/>
                  <w:tcBorders>
                    <w:top w:val="nil"/>
                    <w:left w:val="single" w:color="auto" w:sz="4" w:space="0"/>
                    <w:bottom w:val="single" w:color="auto" w:sz="4" w:space="0"/>
                    <w:right w:val="single" w:color="auto" w:sz="4" w:space="0"/>
                  </w:tcBorders>
                  <w:shd w:val="clear" w:color="auto" w:fill="auto"/>
                  <w:vAlign w:val="center"/>
                </w:tcPr>
                <w:p w14:paraId="7CC44D1B">
                  <w:pPr>
                    <w:keepNext w:val="0"/>
                    <w:keepLines w:val="0"/>
                    <w:widowControl w:val="0"/>
                    <w:suppressLineNumbers w:val="0"/>
                    <w:spacing w:before="0" w:beforeAutospacing="0" w:after="0" w:afterAutospacing="0"/>
                    <w:ind w:left="0" w:right="0"/>
                    <w:jc w:val="center"/>
                    <w:rPr>
                      <w:rFonts w:hint="eastAsia" w:ascii="Times New Roman" w:hAnsi="Times New Roman" w:eastAsia="宋体" w:cs="Times New Roman"/>
                      <w:kern w:val="2"/>
                      <w:sz w:val="18"/>
                      <w:szCs w:val="18"/>
                      <w:highlight w:val="none"/>
                    </w:rPr>
                  </w:pPr>
                  <w:r>
                    <w:rPr>
                      <w:rFonts w:hint="default" w:ascii="Times New Roman" w:hAnsi="Times New Roman" w:eastAsia="宋体" w:cs="Times New Roman"/>
                      <w:kern w:val="2"/>
                      <w:sz w:val="18"/>
                      <w:szCs w:val="18"/>
                      <w:highlight w:val="none"/>
                      <w:lang w:val="en-US" w:eastAsia="zh-CN" w:bidi="ar"/>
                    </w:rPr>
                    <w:t>1</w:t>
                  </w:r>
                </w:p>
              </w:tc>
              <w:tc>
                <w:tcPr>
                  <w:tcW w:w="612" w:type="dxa"/>
                  <w:vMerge w:val="restart"/>
                  <w:tcBorders>
                    <w:top w:val="nil"/>
                    <w:left w:val="single" w:color="auto" w:sz="4" w:space="0"/>
                    <w:bottom w:val="single" w:color="auto" w:sz="4" w:space="0"/>
                    <w:right w:val="single" w:color="auto" w:sz="4" w:space="0"/>
                  </w:tcBorders>
                  <w:shd w:val="clear" w:color="auto" w:fill="auto"/>
                  <w:vAlign w:val="center"/>
                </w:tcPr>
                <w:p w14:paraId="0081092D">
                  <w:pPr>
                    <w:keepNext w:val="0"/>
                    <w:keepLines w:val="0"/>
                    <w:widowControl w:val="0"/>
                    <w:suppressLineNumbers w:val="0"/>
                    <w:spacing w:before="0" w:beforeAutospacing="0" w:after="0" w:afterAutospacing="0"/>
                    <w:ind w:left="0" w:right="0"/>
                    <w:jc w:val="center"/>
                    <w:rPr>
                      <w:rFonts w:hint="default" w:ascii="Times New Roman" w:hAnsi="Times New Roman" w:eastAsia="宋体" w:cs="Times New Roman"/>
                      <w:kern w:val="2"/>
                      <w:sz w:val="18"/>
                      <w:szCs w:val="18"/>
                      <w:highlight w:val="none"/>
                    </w:rPr>
                  </w:pPr>
                  <w:r>
                    <w:rPr>
                      <w:rFonts w:hint="eastAsia" w:ascii="宋体" w:hAnsi="宋体" w:eastAsia="宋体" w:cs="宋体"/>
                      <w:kern w:val="2"/>
                      <w:sz w:val="18"/>
                      <w:szCs w:val="18"/>
                      <w:highlight w:val="none"/>
                      <w:lang w:val="en-US" w:eastAsia="zh-CN" w:bidi="ar"/>
                    </w:rPr>
                    <w:t>实验动物中心</w:t>
                  </w:r>
                </w:p>
              </w:tc>
              <w:tc>
                <w:tcPr>
                  <w:tcW w:w="780" w:type="dxa"/>
                  <w:vMerge w:val="restart"/>
                  <w:tcBorders>
                    <w:top w:val="nil"/>
                    <w:left w:val="single" w:color="auto" w:sz="4" w:space="0"/>
                    <w:bottom w:val="single" w:color="auto" w:sz="4" w:space="0"/>
                    <w:right w:val="single" w:color="auto" w:sz="4" w:space="0"/>
                  </w:tcBorders>
                  <w:shd w:val="clear" w:color="auto" w:fill="auto"/>
                  <w:vAlign w:val="center"/>
                </w:tcPr>
                <w:p w14:paraId="27CD5D9E">
                  <w:pPr>
                    <w:keepNext w:val="0"/>
                    <w:keepLines w:val="0"/>
                    <w:widowControl w:val="0"/>
                    <w:suppressLineNumbers w:val="0"/>
                    <w:spacing w:before="0" w:beforeAutospacing="0" w:after="0" w:afterAutospacing="0"/>
                    <w:ind w:left="0" w:right="0"/>
                    <w:jc w:val="center"/>
                    <w:rPr>
                      <w:rFonts w:hint="default" w:ascii="Times New Roman" w:hAnsi="Times New Roman" w:eastAsia="宋体" w:cs="Times New Roman"/>
                      <w:kern w:val="2"/>
                      <w:sz w:val="18"/>
                      <w:szCs w:val="18"/>
                      <w:highlight w:val="none"/>
                    </w:rPr>
                  </w:pPr>
                  <w:r>
                    <w:rPr>
                      <w:rFonts w:hint="default" w:ascii="Times New Roman" w:hAnsi="Times New Roman" w:eastAsia="宋体" w:cs="Times New Roman"/>
                      <w:kern w:val="2"/>
                      <w:sz w:val="18"/>
                      <w:szCs w:val="18"/>
                      <w:highlight w:val="none"/>
                      <w:lang w:val="en-US" w:eastAsia="zh-CN" w:bidi="ar"/>
                    </w:rPr>
                    <w:t>E118.829228</w:t>
                  </w:r>
                  <w:r>
                    <w:rPr>
                      <w:rFonts w:hint="eastAsia" w:ascii="宋体" w:hAnsi="宋体" w:eastAsia="宋体" w:cs="宋体"/>
                      <w:kern w:val="2"/>
                      <w:sz w:val="18"/>
                      <w:szCs w:val="18"/>
                      <w:highlight w:val="none"/>
                      <w:lang w:val="en-US" w:eastAsia="zh-CN" w:bidi="ar"/>
                    </w:rPr>
                    <w:t>°</w:t>
                  </w:r>
                </w:p>
              </w:tc>
              <w:tc>
                <w:tcPr>
                  <w:tcW w:w="639" w:type="dxa"/>
                  <w:vMerge w:val="restart"/>
                  <w:tcBorders>
                    <w:top w:val="nil"/>
                    <w:left w:val="single" w:color="auto" w:sz="4" w:space="0"/>
                    <w:bottom w:val="single" w:color="auto" w:sz="4" w:space="0"/>
                    <w:right w:val="single" w:color="auto" w:sz="4" w:space="0"/>
                  </w:tcBorders>
                  <w:shd w:val="clear" w:color="auto" w:fill="auto"/>
                  <w:vAlign w:val="center"/>
                </w:tcPr>
                <w:p w14:paraId="5D22A836">
                  <w:pPr>
                    <w:keepNext w:val="0"/>
                    <w:keepLines w:val="0"/>
                    <w:widowControl w:val="0"/>
                    <w:suppressLineNumbers w:val="0"/>
                    <w:spacing w:before="0" w:beforeAutospacing="0" w:after="0" w:afterAutospacing="0"/>
                    <w:ind w:left="0" w:right="0"/>
                    <w:jc w:val="center"/>
                    <w:rPr>
                      <w:rFonts w:hint="default" w:ascii="Times New Roman" w:hAnsi="Times New Roman" w:eastAsia="宋体" w:cs="Times New Roman"/>
                      <w:kern w:val="2"/>
                      <w:sz w:val="18"/>
                      <w:szCs w:val="18"/>
                      <w:highlight w:val="none"/>
                    </w:rPr>
                  </w:pPr>
                  <w:r>
                    <w:rPr>
                      <w:rFonts w:hint="default" w:ascii="Times New Roman" w:hAnsi="Times New Roman" w:eastAsia="宋体" w:cs="Times New Roman"/>
                      <w:kern w:val="2"/>
                      <w:sz w:val="18"/>
                      <w:szCs w:val="18"/>
                      <w:highlight w:val="none"/>
                      <w:lang w:val="en-US" w:eastAsia="zh-CN" w:bidi="ar"/>
                    </w:rPr>
                    <w:t>N28.952098</w:t>
                  </w:r>
                  <w:r>
                    <w:rPr>
                      <w:rFonts w:hint="eastAsia" w:ascii="宋体" w:hAnsi="宋体" w:eastAsia="宋体" w:cs="宋体"/>
                      <w:kern w:val="2"/>
                      <w:sz w:val="18"/>
                      <w:szCs w:val="18"/>
                      <w:highlight w:val="none"/>
                      <w:lang w:val="en-US" w:eastAsia="zh-CN" w:bidi="ar"/>
                    </w:rPr>
                    <w:t>°</w:t>
                  </w:r>
                </w:p>
              </w:tc>
              <w:tc>
                <w:tcPr>
                  <w:tcW w:w="630" w:type="dxa"/>
                  <w:vMerge w:val="restart"/>
                  <w:tcBorders>
                    <w:top w:val="nil"/>
                    <w:left w:val="single" w:color="auto" w:sz="4" w:space="0"/>
                    <w:bottom w:val="single" w:color="auto" w:sz="4" w:space="0"/>
                    <w:right w:val="single" w:color="auto" w:sz="4" w:space="0"/>
                  </w:tcBorders>
                  <w:shd w:val="clear" w:color="auto" w:fill="auto"/>
                  <w:vAlign w:val="center"/>
                </w:tcPr>
                <w:p w14:paraId="5306BC20">
                  <w:pPr>
                    <w:keepNext w:val="0"/>
                    <w:keepLines w:val="0"/>
                    <w:widowControl w:val="0"/>
                    <w:suppressLineNumbers w:val="0"/>
                    <w:spacing w:before="0" w:beforeAutospacing="0" w:after="0" w:afterAutospacing="0"/>
                    <w:ind w:left="0" w:right="0"/>
                    <w:jc w:val="center"/>
                    <w:rPr>
                      <w:rFonts w:hint="default" w:ascii="Times New Roman" w:hAnsi="Times New Roman" w:eastAsia="宋体" w:cs="Times New Roman"/>
                      <w:kern w:val="2"/>
                      <w:sz w:val="18"/>
                      <w:szCs w:val="18"/>
                      <w:highlight w:val="none"/>
                    </w:rPr>
                  </w:pPr>
                  <w:r>
                    <w:rPr>
                      <w:rFonts w:hint="default" w:ascii="Times New Roman" w:hAnsi="Times New Roman" w:eastAsia="宋体" w:cs="Times New Roman"/>
                      <w:kern w:val="2"/>
                      <w:sz w:val="18"/>
                      <w:szCs w:val="18"/>
                      <w:highlight w:val="none"/>
                      <w:lang w:val="en-US" w:eastAsia="zh-CN" w:bidi="ar"/>
                    </w:rPr>
                    <w:t>6.6</w:t>
                  </w:r>
                </w:p>
              </w:tc>
              <w:tc>
                <w:tcPr>
                  <w:tcW w:w="600" w:type="dxa"/>
                  <w:vMerge w:val="restart"/>
                  <w:tcBorders>
                    <w:top w:val="nil"/>
                    <w:left w:val="single" w:color="auto" w:sz="4" w:space="0"/>
                    <w:bottom w:val="single" w:color="auto" w:sz="4" w:space="0"/>
                    <w:right w:val="single" w:color="auto" w:sz="4" w:space="0"/>
                  </w:tcBorders>
                  <w:shd w:val="clear" w:color="auto" w:fill="auto"/>
                  <w:vAlign w:val="center"/>
                </w:tcPr>
                <w:p w14:paraId="0B305834">
                  <w:pPr>
                    <w:keepNext w:val="0"/>
                    <w:keepLines w:val="0"/>
                    <w:widowControl w:val="0"/>
                    <w:suppressLineNumbers w:val="0"/>
                    <w:spacing w:before="0" w:beforeAutospacing="0" w:after="0" w:afterAutospacing="0"/>
                    <w:ind w:left="0" w:right="0"/>
                    <w:jc w:val="center"/>
                    <w:rPr>
                      <w:rFonts w:hint="default" w:ascii="Times New Roman" w:hAnsi="Times New Roman" w:eastAsia="宋体" w:cs="Times New Roman"/>
                      <w:kern w:val="2"/>
                      <w:sz w:val="18"/>
                      <w:szCs w:val="18"/>
                      <w:highlight w:val="none"/>
                    </w:rPr>
                  </w:pPr>
                  <w:r>
                    <w:rPr>
                      <w:rFonts w:hint="default" w:ascii="Times New Roman" w:hAnsi="Times New Roman" w:eastAsia="宋体" w:cs="Times New Roman"/>
                      <w:kern w:val="2"/>
                      <w:sz w:val="18"/>
                      <w:szCs w:val="18"/>
                      <w:highlight w:val="none"/>
                      <w:lang w:val="en-US" w:eastAsia="zh-CN" w:bidi="ar"/>
                    </w:rPr>
                    <w:t>53</w:t>
                  </w:r>
                </w:p>
              </w:tc>
              <w:tc>
                <w:tcPr>
                  <w:tcW w:w="593" w:type="dxa"/>
                  <w:vMerge w:val="restart"/>
                  <w:tcBorders>
                    <w:top w:val="nil"/>
                    <w:left w:val="single" w:color="auto" w:sz="4" w:space="0"/>
                    <w:bottom w:val="single" w:color="auto" w:sz="4" w:space="0"/>
                    <w:right w:val="single" w:color="auto" w:sz="4" w:space="0"/>
                  </w:tcBorders>
                  <w:shd w:val="clear" w:color="auto" w:fill="auto"/>
                  <w:vAlign w:val="center"/>
                </w:tcPr>
                <w:p w14:paraId="48DD15AB">
                  <w:pPr>
                    <w:keepNext w:val="0"/>
                    <w:keepLines w:val="0"/>
                    <w:widowControl w:val="0"/>
                    <w:suppressLineNumbers w:val="0"/>
                    <w:spacing w:before="0" w:beforeAutospacing="0" w:after="0" w:afterAutospacing="0"/>
                    <w:ind w:left="0" w:right="0"/>
                    <w:jc w:val="center"/>
                    <w:rPr>
                      <w:rFonts w:hint="default" w:ascii="Times New Roman" w:hAnsi="Times New Roman" w:eastAsia="宋体" w:cs="Times New Roman"/>
                      <w:kern w:val="2"/>
                      <w:sz w:val="18"/>
                      <w:szCs w:val="18"/>
                      <w:highlight w:val="none"/>
                    </w:rPr>
                  </w:pPr>
                  <w:r>
                    <w:rPr>
                      <w:rFonts w:hint="default" w:ascii="Times New Roman" w:hAnsi="Times New Roman" w:eastAsia="宋体" w:cs="Times New Roman"/>
                      <w:kern w:val="2"/>
                      <w:sz w:val="18"/>
                      <w:szCs w:val="18"/>
                      <w:highlight w:val="none"/>
                      <w:lang w:val="en-US" w:eastAsia="zh-CN" w:bidi="ar"/>
                    </w:rPr>
                    <w:t>30</w:t>
                  </w:r>
                </w:p>
              </w:tc>
              <w:tc>
                <w:tcPr>
                  <w:tcW w:w="615" w:type="dxa"/>
                  <w:vMerge w:val="restart"/>
                  <w:tcBorders>
                    <w:top w:val="nil"/>
                    <w:left w:val="single" w:color="auto" w:sz="4" w:space="0"/>
                    <w:bottom w:val="single" w:color="auto" w:sz="4" w:space="0"/>
                    <w:right w:val="single" w:color="auto" w:sz="4" w:space="0"/>
                  </w:tcBorders>
                  <w:shd w:val="clear" w:color="auto" w:fill="auto"/>
                  <w:vAlign w:val="center"/>
                </w:tcPr>
                <w:p w14:paraId="38F58237">
                  <w:pPr>
                    <w:keepNext w:val="0"/>
                    <w:keepLines w:val="0"/>
                    <w:widowControl w:val="0"/>
                    <w:suppressLineNumbers w:val="0"/>
                    <w:spacing w:before="0" w:beforeAutospacing="0" w:after="0" w:afterAutospacing="0"/>
                    <w:ind w:left="0" w:right="0"/>
                    <w:jc w:val="center"/>
                    <w:rPr>
                      <w:rFonts w:hint="default" w:ascii="Times New Roman" w:hAnsi="Times New Roman" w:eastAsia="宋体" w:cs="Times New Roman"/>
                      <w:kern w:val="2"/>
                      <w:sz w:val="18"/>
                      <w:szCs w:val="18"/>
                      <w:highlight w:val="none"/>
                    </w:rPr>
                  </w:pPr>
                  <w:r>
                    <w:rPr>
                      <w:rFonts w:hint="default" w:ascii="Times New Roman" w:hAnsi="Times New Roman" w:eastAsia="宋体" w:cs="Times New Roman"/>
                      <w:kern w:val="2"/>
                      <w:sz w:val="18"/>
                      <w:szCs w:val="18"/>
                      <w:highlight w:val="none"/>
                      <w:lang w:val="en-US" w:eastAsia="zh-CN" w:bidi="ar"/>
                    </w:rPr>
                    <w:t>8</w:t>
                  </w:r>
                </w:p>
              </w:tc>
              <w:tc>
                <w:tcPr>
                  <w:tcW w:w="637" w:type="dxa"/>
                  <w:vMerge w:val="restart"/>
                  <w:tcBorders>
                    <w:top w:val="nil"/>
                    <w:left w:val="single" w:color="auto" w:sz="4" w:space="0"/>
                    <w:bottom w:val="single" w:color="auto" w:sz="4" w:space="0"/>
                    <w:right w:val="single" w:color="auto" w:sz="4" w:space="0"/>
                  </w:tcBorders>
                  <w:shd w:val="clear" w:color="auto" w:fill="auto"/>
                  <w:vAlign w:val="center"/>
                </w:tcPr>
                <w:p w14:paraId="149A1EEA">
                  <w:pPr>
                    <w:keepNext w:val="0"/>
                    <w:keepLines w:val="0"/>
                    <w:widowControl w:val="0"/>
                    <w:suppressLineNumbers w:val="0"/>
                    <w:spacing w:before="0" w:beforeAutospacing="0" w:after="0" w:afterAutospacing="0"/>
                    <w:ind w:left="0" w:right="0"/>
                    <w:jc w:val="center"/>
                    <w:rPr>
                      <w:rFonts w:hint="default" w:ascii="Times New Roman" w:hAnsi="Times New Roman" w:eastAsia="宋体" w:cs="Times New Roman"/>
                      <w:kern w:val="2"/>
                      <w:sz w:val="18"/>
                      <w:szCs w:val="18"/>
                      <w:highlight w:val="none"/>
                    </w:rPr>
                  </w:pPr>
                  <w:r>
                    <w:rPr>
                      <w:rFonts w:hint="default" w:ascii="Times New Roman" w:hAnsi="Times New Roman" w:eastAsia="宋体" w:cs="Times New Roman"/>
                      <w:kern w:val="2"/>
                      <w:sz w:val="18"/>
                      <w:szCs w:val="18"/>
                      <w:highlight w:val="none"/>
                      <w:lang w:val="en-US" w:eastAsia="zh-CN" w:bidi="ar"/>
                    </w:rPr>
                    <w:t>23</w:t>
                  </w:r>
                </w:p>
              </w:tc>
              <w:tc>
                <w:tcPr>
                  <w:tcW w:w="645" w:type="dxa"/>
                  <w:vMerge w:val="restart"/>
                  <w:tcBorders>
                    <w:top w:val="nil"/>
                    <w:left w:val="single" w:color="auto" w:sz="4" w:space="0"/>
                    <w:bottom w:val="single" w:color="auto" w:sz="4" w:space="0"/>
                    <w:right w:val="single" w:color="auto" w:sz="4" w:space="0"/>
                  </w:tcBorders>
                  <w:shd w:val="clear" w:color="auto" w:fill="auto"/>
                  <w:vAlign w:val="center"/>
                </w:tcPr>
                <w:p w14:paraId="00E54943">
                  <w:pPr>
                    <w:keepNext w:val="0"/>
                    <w:keepLines w:val="0"/>
                    <w:widowControl w:val="0"/>
                    <w:suppressLineNumbers w:val="0"/>
                    <w:spacing w:before="0" w:beforeAutospacing="0" w:after="0" w:afterAutospacing="0"/>
                    <w:ind w:left="0" w:right="0"/>
                    <w:jc w:val="center"/>
                    <w:rPr>
                      <w:rFonts w:hint="default" w:ascii="Times New Roman" w:hAnsi="Times New Roman" w:eastAsia="宋体" w:cs="Times New Roman"/>
                      <w:kern w:val="2"/>
                      <w:sz w:val="18"/>
                      <w:szCs w:val="18"/>
                      <w:highlight w:val="none"/>
                    </w:rPr>
                  </w:pPr>
                  <w:r>
                    <w:rPr>
                      <w:rFonts w:hint="default" w:ascii="Times New Roman" w:hAnsi="Times New Roman" w:eastAsia="宋体" w:cs="Times New Roman"/>
                      <w:kern w:val="2"/>
                      <w:sz w:val="18"/>
                      <w:szCs w:val="18"/>
                      <w:highlight w:val="none"/>
                      <w:lang w:val="en-US" w:eastAsia="zh-CN" w:bidi="ar"/>
                    </w:rPr>
                    <w:t>8760</w:t>
                  </w:r>
                </w:p>
              </w:tc>
              <w:tc>
                <w:tcPr>
                  <w:tcW w:w="585" w:type="dxa"/>
                  <w:vMerge w:val="restart"/>
                  <w:tcBorders>
                    <w:top w:val="nil"/>
                    <w:left w:val="single" w:color="auto" w:sz="4" w:space="0"/>
                    <w:bottom w:val="single" w:color="auto" w:sz="4" w:space="0"/>
                    <w:right w:val="single" w:color="auto" w:sz="4" w:space="0"/>
                  </w:tcBorders>
                  <w:shd w:val="clear" w:color="auto" w:fill="auto"/>
                  <w:vAlign w:val="center"/>
                </w:tcPr>
                <w:p w14:paraId="35B9D77A">
                  <w:pPr>
                    <w:keepNext w:val="0"/>
                    <w:keepLines w:val="0"/>
                    <w:widowControl w:val="0"/>
                    <w:suppressLineNumbers w:val="0"/>
                    <w:spacing w:before="0" w:beforeAutospacing="0" w:after="0" w:afterAutospacing="0"/>
                    <w:ind w:left="0" w:right="0"/>
                    <w:jc w:val="center"/>
                    <w:rPr>
                      <w:rFonts w:hint="eastAsia" w:ascii="Times New Roman" w:hAnsi="Times New Roman" w:eastAsia="宋体" w:cs="Times New Roman"/>
                      <w:kern w:val="2"/>
                      <w:sz w:val="18"/>
                      <w:szCs w:val="18"/>
                      <w:highlight w:val="none"/>
                    </w:rPr>
                  </w:pPr>
                  <w:r>
                    <w:rPr>
                      <w:rFonts w:hint="eastAsia" w:ascii="宋体" w:hAnsi="宋体" w:eastAsia="宋体" w:cs="宋体"/>
                      <w:kern w:val="2"/>
                      <w:sz w:val="18"/>
                      <w:szCs w:val="18"/>
                      <w:highlight w:val="none"/>
                      <w:lang w:val="en-US" w:eastAsia="zh-CN" w:bidi="ar"/>
                    </w:rPr>
                    <w:t>正常工况</w:t>
                  </w:r>
                </w:p>
              </w:tc>
              <w:tc>
                <w:tcPr>
                  <w:tcW w:w="825" w:type="dxa"/>
                  <w:tcBorders>
                    <w:top w:val="single" w:color="auto" w:sz="4" w:space="0"/>
                    <w:left w:val="single" w:color="auto" w:sz="4" w:space="0"/>
                    <w:bottom w:val="single" w:color="auto" w:sz="4" w:space="0"/>
                    <w:right w:val="single" w:color="auto" w:sz="4" w:space="0"/>
                  </w:tcBorders>
                  <w:shd w:val="clear" w:color="auto" w:fill="auto"/>
                  <w:vAlign w:val="center"/>
                </w:tcPr>
                <w:p w14:paraId="1FE199F2">
                  <w:pPr>
                    <w:keepNext w:val="0"/>
                    <w:keepLines w:val="0"/>
                    <w:widowControl w:val="0"/>
                    <w:suppressLineNumbers w:val="0"/>
                    <w:spacing w:before="0" w:beforeAutospacing="0" w:after="0" w:afterAutospacing="0"/>
                    <w:ind w:left="0" w:right="0"/>
                    <w:jc w:val="center"/>
                    <w:rPr>
                      <w:rFonts w:hint="eastAsia" w:ascii="Times New Roman" w:hAnsi="Times New Roman" w:eastAsia="宋体" w:cs="Times New Roman"/>
                      <w:kern w:val="2"/>
                      <w:sz w:val="18"/>
                      <w:szCs w:val="18"/>
                      <w:highlight w:val="none"/>
                    </w:rPr>
                  </w:pPr>
                  <w:r>
                    <w:rPr>
                      <w:rFonts w:hint="eastAsia" w:ascii="宋体" w:hAnsi="宋体" w:eastAsia="宋体" w:cs="宋体"/>
                      <w:kern w:val="2"/>
                      <w:sz w:val="18"/>
                      <w:szCs w:val="18"/>
                      <w:highlight w:val="none"/>
                      <w:lang w:val="en-US" w:eastAsia="zh-CN" w:bidi="ar"/>
                    </w:rPr>
                    <w:t>氨</w:t>
                  </w:r>
                </w:p>
              </w:tc>
              <w:tc>
                <w:tcPr>
                  <w:tcW w:w="625" w:type="dxa"/>
                  <w:tcBorders>
                    <w:top w:val="single" w:color="auto" w:sz="4" w:space="0"/>
                    <w:left w:val="single" w:color="auto" w:sz="4" w:space="0"/>
                    <w:bottom w:val="single" w:color="auto" w:sz="4" w:space="0"/>
                    <w:right w:val="single" w:color="auto" w:sz="4" w:space="0"/>
                  </w:tcBorders>
                  <w:shd w:val="clear" w:color="auto" w:fill="auto"/>
                  <w:vAlign w:val="center"/>
                </w:tcPr>
                <w:p w14:paraId="70E2663B">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kern w:val="2"/>
                      <w:sz w:val="18"/>
                      <w:szCs w:val="18"/>
                      <w:highlight w:val="none"/>
                      <w:lang w:val="en-US"/>
                    </w:rPr>
                  </w:pPr>
                  <w:r>
                    <w:rPr>
                      <w:rFonts w:hint="eastAsia" w:cs="Times New Roman"/>
                      <w:kern w:val="2"/>
                      <w:sz w:val="18"/>
                      <w:szCs w:val="18"/>
                      <w:highlight w:val="none"/>
                      <w:lang w:val="en-US" w:eastAsia="zh-CN" w:bidi="ar"/>
                    </w:rPr>
                    <w:t>0.004</w:t>
                  </w:r>
                </w:p>
              </w:tc>
            </w:tr>
            <w:tr w14:paraId="2471996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201" w:hRule="atLeast"/>
              </w:trPr>
              <w:tc>
                <w:tcPr>
                  <w:tcW w:w="419" w:type="dxa"/>
                  <w:vMerge w:val="continue"/>
                  <w:tcBorders>
                    <w:top w:val="nil"/>
                    <w:left w:val="single" w:color="auto" w:sz="4" w:space="0"/>
                    <w:bottom w:val="single" w:color="auto" w:sz="4" w:space="0"/>
                    <w:right w:val="single" w:color="auto" w:sz="4" w:space="0"/>
                  </w:tcBorders>
                  <w:shd w:val="clear" w:color="auto" w:fill="auto"/>
                  <w:vAlign w:val="center"/>
                </w:tcPr>
                <w:p w14:paraId="558CB082">
                  <w:pPr>
                    <w:keepNext w:val="0"/>
                    <w:keepLines w:val="0"/>
                    <w:suppressLineNumbers w:val="0"/>
                    <w:spacing w:before="0" w:beforeAutospacing="0" w:after="0" w:afterAutospacing="0"/>
                    <w:ind w:left="0" w:right="0"/>
                    <w:rPr>
                      <w:rFonts w:hint="default" w:ascii="Times New Roman" w:hAnsi="Times New Roman" w:cs="Times New Roman"/>
                      <w:sz w:val="20"/>
                      <w:szCs w:val="20"/>
                      <w:highlight w:val="none"/>
                    </w:rPr>
                  </w:pPr>
                </w:p>
              </w:tc>
              <w:tc>
                <w:tcPr>
                  <w:tcW w:w="612" w:type="dxa"/>
                  <w:vMerge w:val="continue"/>
                  <w:tcBorders>
                    <w:top w:val="nil"/>
                    <w:left w:val="single" w:color="auto" w:sz="4" w:space="0"/>
                    <w:bottom w:val="single" w:color="auto" w:sz="4" w:space="0"/>
                    <w:right w:val="single" w:color="auto" w:sz="4" w:space="0"/>
                  </w:tcBorders>
                  <w:shd w:val="clear" w:color="auto" w:fill="auto"/>
                  <w:vAlign w:val="center"/>
                </w:tcPr>
                <w:p w14:paraId="1EE1BE15">
                  <w:pPr>
                    <w:keepNext w:val="0"/>
                    <w:keepLines w:val="0"/>
                    <w:suppressLineNumbers w:val="0"/>
                    <w:spacing w:before="0" w:beforeAutospacing="0" w:after="0" w:afterAutospacing="0"/>
                    <w:ind w:left="0" w:right="0"/>
                    <w:rPr>
                      <w:rFonts w:hint="default" w:ascii="Times New Roman" w:hAnsi="Times New Roman" w:cs="Times New Roman"/>
                      <w:sz w:val="20"/>
                      <w:szCs w:val="20"/>
                      <w:highlight w:val="none"/>
                    </w:rPr>
                  </w:pPr>
                </w:p>
              </w:tc>
              <w:tc>
                <w:tcPr>
                  <w:tcW w:w="780" w:type="dxa"/>
                  <w:vMerge w:val="continue"/>
                  <w:tcBorders>
                    <w:top w:val="nil"/>
                    <w:left w:val="single" w:color="auto" w:sz="4" w:space="0"/>
                    <w:bottom w:val="single" w:color="auto" w:sz="4" w:space="0"/>
                    <w:right w:val="single" w:color="auto" w:sz="4" w:space="0"/>
                  </w:tcBorders>
                  <w:shd w:val="clear" w:color="auto" w:fill="auto"/>
                  <w:vAlign w:val="center"/>
                </w:tcPr>
                <w:p w14:paraId="532AD849">
                  <w:pPr>
                    <w:keepNext w:val="0"/>
                    <w:keepLines w:val="0"/>
                    <w:suppressLineNumbers w:val="0"/>
                    <w:spacing w:before="0" w:beforeAutospacing="0" w:after="0" w:afterAutospacing="0"/>
                    <w:ind w:left="0" w:right="0"/>
                    <w:rPr>
                      <w:rFonts w:hint="default" w:ascii="Times New Roman" w:hAnsi="Times New Roman" w:cs="Times New Roman"/>
                      <w:sz w:val="20"/>
                      <w:szCs w:val="20"/>
                      <w:highlight w:val="none"/>
                    </w:rPr>
                  </w:pPr>
                </w:p>
              </w:tc>
              <w:tc>
                <w:tcPr>
                  <w:tcW w:w="639" w:type="dxa"/>
                  <w:vMerge w:val="continue"/>
                  <w:tcBorders>
                    <w:top w:val="nil"/>
                    <w:left w:val="single" w:color="auto" w:sz="4" w:space="0"/>
                    <w:bottom w:val="single" w:color="auto" w:sz="4" w:space="0"/>
                    <w:right w:val="single" w:color="auto" w:sz="4" w:space="0"/>
                  </w:tcBorders>
                  <w:shd w:val="clear" w:color="auto" w:fill="auto"/>
                  <w:vAlign w:val="center"/>
                </w:tcPr>
                <w:p w14:paraId="046FB96A">
                  <w:pPr>
                    <w:keepNext w:val="0"/>
                    <w:keepLines w:val="0"/>
                    <w:suppressLineNumbers w:val="0"/>
                    <w:spacing w:before="0" w:beforeAutospacing="0" w:after="0" w:afterAutospacing="0"/>
                    <w:ind w:left="0" w:right="0"/>
                    <w:rPr>
                      <w:rFonts w:hint="default" w:ascii="Times New Roman" w:hAnsi="Times New Roman" w:cs="Times New Roman"/>
                      <w:sz w:val="20"/>
                      <w:szCs w:val="20"/>
                      <w:highlight w:val="none"/>
                    </w:rPr>
                  </w:pPr>
                </w:p>
              </w:tc>
              <w:tc>
                <w:tcPr>
                  <w:tcW w:w="630" w:type="dxa"/>
                  <w:vMerge w:val="continue"/>
                  <w:tcBorders>
                    <w:top w:val="nil"/>
                    <w:left w:val="single" w:color="auto" w:sz="4" w:space="0"/>
                    <w:bottom w:val="single" w:color="auto" w:sz="4" w:space="0"/>
                    <w:right w:val="single" w:color="auto" w:sz="4" w:space="0"/>
                  </w:tcBorders>
                  <w:shd w:val="clear" w:color="auto" w:fill="auto"/>
                  <w:vAlign w:val="center"/>
                </w:tcPr>
                <w:p w14:paraId="6BB6F07E">
                  <w:pPr>
                    <w:keepNext w:val="0"/>
                    <w:keepLines w:val="0"/>
                    <w:suppressLineNumbers w:val="0"/>
                    <w:spacing w:before="0" w:beforeAutospacing="0" w:after="0" w:afterAutospacing="0"/>
                    <w:ind w:left="0" w:right="0"/>
                    <w:rPr>
                      <w:rFonts w:hint="default" w:ascii="Times New Roman" w:hAnsi="Times New Roman" w:cs="Times New Roman"/>
                      <w:sz w:val="20"/>
                      <w:szCs w:val="20"/>
                      <w:highlight w:val="none"/>
                    </w:rPr>
                  </w:pPr>
                </w:p>
              </w:tc>
              <w:tc>
                <w:tcPr>
                  <w:tcW w:w="600" w:type="dxa"/>
                  <w:vMerge w:val="continue"/>
                  <w:tcBorders>
                    <w:top w:val="nil"/>
                    <w:left w:val="single" w:color="auto" w:sz="4" w:space="0"/>
                    <w:bottom w:val="single" w:color="auto" w:sz="4" w:space="0"/>
                    <w:right w:val="single" w:color="auto" w:sz="4" w:space="0"/>
                  </w:tcBorders>
                  <w:shd w:val="clear" w:color="auto" w:fill="auto"/>
                  <w:vAlign w:val="center"/>
                </w:tcPr>
                <w:p w14:paraId="5B04F1C9">
                  <w:pPr>
                    <w:keepNext w:val="0"/>
                    <w:keepLines w:val="0"/>
                    <w:suppressLineNumbers w:val="0"/>
                    <w:spacing w:before="0" w:beforeAutospacing="0" w:after="0" w:afterAutospacing="0"/>
                    <w:ind w:left="0" w:right="0"/>
                    <w:rPr>
                      <w:rFonts w:hint="default" w:ascii="Times New Roman" w:hAnsi="Times New Roman" w:cs="Times New Roman"/>
                      <w:sz w:val="20"/>
                      <w:szCs w:val="20"/>
                      <w:highlight w:val="none"/>
                    </w:rPr>
                  </w:pPr>
                </w:p>
              </w:tc>
              <w:tc>
                <w:tcPr>
                  <w:tcW w:w="593" w:type="dxa"/>
                  <w:vMerge w:val="continue"/>
                  <w:tcBorders>
                    <w:top w:val="nil"/>
                    <w:left w:val="single" w:color="auto" w:sz="4" w:space="0"/>
                    <w:bottom w:val="single" w:color="auto" w:sz="4" w:space="0"/>
                    <w:right w:val="single" w:color="auto" w:sz="4" w:space="0"/>
                  </w:tcBorders>
                  <w:shd w:val="clear" w:color="auto" w:fill="auto"/>
                  <w:vAlign w:val="center"/>
                </w:tcPr>
                <w:p w14:paraId="5521E1ED">
                  <w:pPr>
                    <w:keepNext w:val="0"/>
                    <w:keepLines w:val="0"/>
                    <w:suppressLineNumbers w:val="0"/>
                    <w:spacing w:before="0" w:beforeAutospacing="0" w:after="0" w:afterAutospacing="0"/>
                    <w:ind w:left="0" w:right="0"/>
                    <w:rPr>
                      <w:rFonts w:hint="default" w:ascii="Times New Roman" w:hAnsi="Times New Roman" w:cs="Times New Roman"/>
                      <w:sz w:val="20"/>
                      <w:szCs w:val="20"/>
                      <w:highlight w:val="none"/>
                    </w:rPr>
                  </w:pPr>
                </w:p>
              </w:tc>
              <w:tc>
                <w:tcPr>
                  <w:tcW w:w="615" w:type="dxa"/>
                  <w:vMerge w:val="continue"/>
                  <w:tcBorders>
                    <w:top w:val="nil"/>
                    <w:left w:val="single" w:color="auto" w:sz="4" w:space="0"/>
                    <w:bottom w:val="single" w:color="auto" w:sz="4" w:space="0"/>
                    <w:right w:val="single" w:color="auto" w:sz="4" w:space="0"/>
                  </w:tcBorders>
                  <w:shd w:val="clear" w:color="auto" w:fill="auto"/>
                  <w:vAlign w:val="center"/>
                </w:tcPr>
                <w:p w14:paraId="3CE099BF">
                  <w:pPr>
                    <w:keepNext w:val="0"/>
                    <w:keepLines w:val="0"/>
                    <w:suppressLineNumbers w:val="0"/>
                    <w:spacing w:before="0" w:beforeAutospacing="0" w:after="0" w:afterAutospacing="0"/>
                    <w:ind w:left="0" w:right="0"/>
                    <w:rPr>
                      <w:rFonts w:hint="default" w:ascii="Times New Roman" w:hAnsi="Times New Roman" w:cs="Times New Roman"/>
                      <w:sz w:val="20"/>
                      <w:szCs w:val="20"/>
                      <w:highlight w:val="none"/>
                    </w:rPr>
                  </w:pPr>
                </w:p>
              </w:tc>
              <w:tc>
                <w:tcPr>
                  <w:tcW w:w="637" w:type="dxa"/>
                  <w:vMerge w:val="continue"/>
                  <w:tcBorders>
                    <w:top w:val="nil"/>
                    <w:left w:val="single" w:color="auto" w:sz="4" w:space="0"/>
                    <w:bottom w:val="single" w:color="auto" w:sz="4" w:space="0"/>
                    <w:right w:val="single" w:color="auto" w:sz="4" w:space="0"/>
                  </w:tcBorders>
                  <w:shd w:val="clear" w:color="auto" w:fill="auto"/>
                  <w:vAlign w:val="center"/>
                </w:tcPr>
                <w:p w14:paraId="7E234161">
                  <w:pPr>
                    <w:keepNext w:val="0"/>
                    <w:keepLines w:val="0"/>
                    <w:suppressLineNumbers w:val="0"/>
                    <w:spacing w:before="0" w:beforeAutospacing="0" w:after="0" w:afterAutospacing="0"/>
                    <w:ind w:left="0" w:right="0"/>
                    <w:rPr>
                      <w:rFonts w:hint="default" w:ascii="Times New Roman" w:hAnsi="Times New Roman" w:cs="Times New Roman"/>
                      <w:sz w:val="20"/>
                      <w:szCs w:val="20"/>
                      <w:highlight w:val="none"/>
                    </w:rPr>
                  </w:pPr>
                </w:p>
              </w:tc>
              <w:tc>
                <w:tcPr>
                  <w:tcW w:w="645" w:type="dxa"/>
                  <w:vMerge w:val="continue"/>
                  <w:tcBorders>
                    <w:top w:val="nil"/>
                    <w:left w:val="single" w:color="auto" w:sz="4" w:space="0"/>
                    <w:bottom w:val="single" w:color="auto" w:sz="4" w:space="0"/>
                    <w:right w:val="single" w:color="auto" w:sz="4" w:space="0"/>
                  </w:tcBorders>
                  <w:shd w:val="clear" w:color="auto" w:fill="auto"/>
                  <w:vAlign w:val="center"/>
                </w:tcPr>
                <w:p w14:paraId="546DB3F8">
                  <w:pPr>
                    <w:keepNext w:val="0"/>
                    <w:keepLines w:val="0"/>
                    <w:suppressLineNumbers w:val="0"/>
                    <w:spacing w:before="0" w:beforeAutospacing="0" w:after="0" w:afterAutospacing="0"/>
                    <w:ind w:left="0" w:right="0"/>
                    <w:rPr>
                      <w:rFonts w:hint="default" w:ascii="Times New Roman" w:hAnsi="Times New Roman" w:cs="Times New Roman"/>
                      <w:sz w:val="20"/>
                      <w:szCs w:val="20"/>
                      <w:highlight w:val="none"/>
                    </w:rPr>
                  </w:pPr>
                </w:p>
              </w:tc>
              <w:tc>
                <w:tcPr>
                  <w:tcW w:w="585" w:type="dxa"/>
                  <w:vMerge w:val="continue"/>
                  <w:tcBorders>
                    <w:top w:val="nil"/>
                    <w:left w:val="single" w:color="auto" w:sz="4" w:space="0"/>
                    <w:bottom w:val="single" w:color="auto" w:sz="4" w:space="0"/>
                    <w:right w:val="single" w:color="auto" w:sz="4" w:space="0"/>
                  </w:tcBorders>
                  <w:shd w:val="clear" w:color="auto" w:fill="auto"/>
                  <w:vAlign w:val="center"/>
                </w:tcPr>
                <w:p w14:paraId="3E56D275">
                  <w:pPr>
                    <w:keepNext w:val="0"/>
                    <w:keepLines w:val="0"/>
                    <w:suppressLineNumbers w:val="0"/>
                    <w:spacing w:before="0" w:beforeAutospacing="0" w:after="0" w:afterAutospacing="0"/>
                    <w:ind w:left="0" w:right="0"/>
                    <w:rPr>
                      <w:rFonts w:hint="default" w:ascii="Times New Roman" w:hAnsi="Times New Roman" w:cs="Times New Roman"/>
                      <w:sz w:val="20"/>
                      <w:szCs w:val="20"/>
                      <w:highlight w:val="none"/>
                    </w:rPr>
                  </w:pPr>
                </w:p>
              </w:tc>
              <w:tc>
                <w:tcPr>
                  <w:tcW w:w="825" w:type="dxa"/>
                  <w:tcBorders>
                    <w:top w:val="single" w:color="auto" w:sz="4" w:space="0"/>
                    <w:left w:val="single" w:color="auto" w:sz="4" w:space="0"/>
                    <w:bottom w:val="single" w:color="auto" w:sz="4" w:space="0"/>
                    <w:right w:val="single" w:color="auto" w:sz="4" w:space="0"/>
                  </w:tcBorders>
                  <w:shd w:val="clear" w:color="auto" w:fill="auto"/>
                  <w:vAlign w:val="center"/>
                </w:tcPr>
                <w:p w14:paraId="64839815">
                  <w:pPr>
                    <w:keepNext w:val="0"/>
                    <w:keepLines w:val="0"/>
                    <w:widowControl w:val="0"/>
                    <w:suppressLineNumbers w:val="0"/>
                    <w:spacing w:before="0" w:beforeAutospacing="0" w:after="0" w:afterAutospacing="0"/>
                    <w:ind w:left="0" w:right="0"/>
                    <w:jc w:val="center"/>
                    <w:rPr>
                      <w:rFonts w:hint="eastAsia" w:ascii="Times New Roman" w:hAnsi="Times New Roman" w:eastAsia="宋体" w:cs="Times New Roman"/>
                      <w:kern w:val="2"/>
                      <w:sz w:val="18"/>
                      <w:szCs w:val="18"/>
                      <w:highlight w:val="none"/>
                    </w:rPr>
                  </w:pPr>
                  <w:r>
                    <w:rPr>
                      <w:rFonts w:hint="eastAsia" w:ascii="宋体" w:hAnsi="宋体" w:eastAsia="宋体" w:cs="宋体"/>
                      <w:kern w:val="2"/>
                      <w:sz w:val="18"/>
                      <w:szCs w:val="18"/>
                      <w:highlight w:val="none"/>
                      <w:lang w:val="en-US" w:eastAsia="zh-CN" w:bidi="ar"/>
                    </w:rPr>
                    <w:t>硫化氢</w:t>
                  </w:r>
                </w:p>
              </w:tc>
              <w:tc>
                <w:tcPr>
                  <w:tcW w:w="625" w:type="dxa"/>
                  <w:tcBorders>
                    <w:top w:val="single" w:color="auto" w:sz="4" w:space="0"/>
                    <w:left w:val="single" w:color="auto" w:sz="4" w:space="0"/>
                    <w:bottom w:val="single" w:color="auto" w:sz="4" w:space="0"/>
                    <w:right w:val="single" w:color="auto" w:sz="4" w:space="0"/>
                  </w:tcBorders>
                  <w:shd w:val="clear" w:color="auto" w:fill="auto"/>
                  <w:vAlign w:val="center"/>
                </w:tcPr>
                <w:p w14:paraId="419DE6F4">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kern w:val="2"/>
                      <w:sz w:val="18"/>
                      <w:szCs w:val="18"/>
                      <w:highlight w:val="none"/>
                      <w:lang w:val="en-US" w:eastAsia="zh-CN"/>
                    </w:rPr>
                  </w:pPr>
                  <w:r>
                    <w:rPr>
                      <w:rFonts w:hint="eastAsia" w:cs="Times New Roman"/>
                      <w:kern w:val="2"/>
                      <w:sz w:val="18"/>
                      <w:szCs w:val="18"/>
                      <w:highlight w:val="none"/>
                      <w:lang w:val="en-US" w:eastAsia="zh-CN"/>
                    </w:rPr>
                    <w:t>0.001</w:t>
                  </w:r>
                </w:p>
              </w:tc>
            </w:tr>
            <w:tr w14:paraId="31505BB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233" w:hRule="atLeast"/>
              </w:trPr>
              <w:tc>
                <w:tcPr>
                  <w:tcW w:w="419" w:type="dxa"/>
                  <w:vMerge w:val="continue"/>
                  <w:tcBorders>
                    <w:top w:val="nil"/>
                    <w:left w:val="single" w:color="auto" w:sz="4" w:space="0"/>
                    <w:bottom w:val="single" w:color="auto" w:sz="4" w:space="0"/>
                    <w:right w:val="single" w:color="auto" w:sz="4" w:space="0"/>
                  </w:tcBorders>
                  <w:shd w:val="clear" w:color="auto" w:fill="auto"/>
                  <w:vAlign w:val="center"/>
                </w:tcPr>
                <w:p w14:paraId="6CC2C762">
                  <w:pPr>
                    <w:keepNext w:val="0"/>
                    <w:keepLines w:val="0"/>
                    <w:suppressLineNumbers w:val="0"/>
                    <w:spacing w:before="0" w:beforeAutospacing="0" w:after="0" w:afterAutospacing="0"/>
                    <w:ind w:left="0" w:right="0"/>
                    <w:rPr>
                      <w:rFonts w:hint="default" w:ascii="Times New Roman" w:hAnsi="Times New Roman" w:cs="Times New Roman"/>
                      <w:sz w:val="20"/>
                      <w:szCs w:val="20"/>
                      <w:highlight w:val="none"/>
                    </w:rPr>
                  </w:pPr>
                </w:p>
              </w:tc>
              <w:tc>
                <w:tcPr>
                  <w:tcW w:w="612" w:type="dxa"/>
                  <w:vMerge w:val="continue"/>
                  <w:tcBorders>
                    <w:top w:val="nil"/>
                    <w:left w:val="single" w:color="auto" w:sz="4" w:space="0"/>
                    <w:bottom w:val="single" w:color="auto" w:sz="4" w:space="0"/>
                    <w:right w:val="single" w:color="auto" w:sz="4" w:space="0"/>
                  </w:tcBorders>
                  <w:shd w:val="clear" w:color="auto" w:fill="auto"/>
                  <w:vAlign w:val="center"/>
                </w:tcPr>
                <w:p w14:paraId="072658DA">
                  <w:pPr>
                    <w:keepNext w:val="0"/>
                    <w:keepLines w:val="0"/>
                    <w:suppressLineNumbers w:val="0"/>
                    <w:spacing w:before="0" w:beforeAutospacing="0" w:after="0" w:afterAutospacing="0"/>
                    <w:ind w:left="0" w:right="0"/>
                    <w:rPr>
                      <w:rFonts w:hint="default" w:ascii="Times New Roman" w:hAnsi="Times New Roman" w:cs="Times New Roman"/>
                      <w:sz w:val="20"/>
                      <w:szCs w:val="20"/>
                      <w:highlight w:val="none"/>
                    </w:rPr>
                  </w:pPr>
                </w:p>
              </w:tc>
              <w:tc>
                <w:tcPr>
                  <w:tcW w:w="780" w:type="dxa"/>
                  <w:vMerge w:val="continue"/>
                  <w:tcBorders>
                    <w:top w:val="nil"/>
                    <w:left w:val="single" w:color="auto" w:sz="4" w:space="0"/>
                    <w:bottom w:val="single" w:color="auto" w:sz="4" w:space="0"/>
                    <w:right w:val="single" w:color="auto" w:sz="4" w:space="0"/>
                  </w:tcBorders>
                  <w:shd w:val="clear" w:color="auto" w:fill="auto"/>
                  <w:vAlign w:val="center"/>
                </w:tcPr>
                <w:p w14:paraId="25348E2D">
                  <w:pPr>
                    <w:keepNext w:val="0"/>
                    <w:keepLines w:val="0"/>
                    <w:suppressLineNumbers w:val="0"/>
                    <w:spacing w:before="0" w:beforeAutospacing="0" w:after="0" w:afterAutospacing="0"/>
                    <w:ind w:left="0" w:right="0"/>
                    <w:rPr>
                      <w:rFonts w:hint="default" w:ascii="Times New Roman" w:hAnsi="Times New Roman" w:cs="Times New Roman"/>
                      <w:sz w:val="20"/>
                      <w:szCs w:val="20"/>
                      <w:highlight w:val="none"/>
                    </w:rPr>
                  </w:pPr>
                </w:p>
              </w:tc>
              <w:tc>
                <w:tcPr>
                  <w:tcW w:w="639" w:type="dxa"/>
                  <w:vMerge w:val="continue"/>
                  <w:tcBorders>
                    <w:top w:val="nil"/>
                    <w:left w:val="single" w:color="auto" w:sz="4" w:space="0"/>
                    <w:bottom w:val="single" w:color="auto" w:sz="4" w:space="0"/>
                    <w:right w:val="single" w:color="auto" w:sz="4" w:space="0"/>
                  </w:tcBorders>
                  <w:shd w:val="clear" w:color="auto" w:fill="auto"/>
                  <w:vAlign w:val="center"/>
                </w:tcPr>
                <w:p w14:paraId="72C987A5">
                  <w:pPr>
                    <w:keepNext w:val="0"/>
                    <w:keepLines w:val="0"/>
                    <w:suppressLineNumbers w:val="0"/>
                    <w:spacing w:before="0" w:beforeAutospacing="0" w:after="0" w:afterAutospacing="0"/>
                    <w:ind w:left="0" w:right="0"/>
                    <w:rPr>
                      <w:rFonts w:hint="default" w:ascii="Times New Roman" w:hAnsi="Times New Roman" w:cs="Times New Roman"/>
                      <w:sz w:val="20"/>
                      <w:szCs w:val="20"/>
                      <w:highlight w:val="none"/>
                    </w:rPr>
                  </w:pPr>
                </w:p>
              </w:tc>
              <w:tc>
                <w:tcPr>
                  <w:tcW w:w="630" w:type="dxa"/>
                  <w:vMerge w:val="continue"/>
                  <w:tcBorders>
                    <w:top w:val="nil"/>
                    <w:left w:val="single" w:color="auto" w:sz="4" w:space="0"/>
                    <w:bottom w:val="single" w:color="auto" w:sz="4" w:space="0"/>
                    <w:right w:val="single" w:color="auto" w:sz="4" w:space="0"/>
                  </w:tcBorders>
                  <w:shd w:val="clear" w:color="auto" w:fill="auto"/>
                  <w:vAlign w:val="center"/>
                </w:tcPr>
                <w:p w14:paraId="2C3AC017">
                  <w:pPr>
                    <w:keepNext w:val="0"/>
                    <w:keepLines w:val="0"/>
                    <w:suppressLineNumbers w:val="0"/>
                    <w:spacing w:before="0" w:beforeAutospacing="0" w:after="0" w:afterAutospacing="0"/>
                    <w:ind w:left="0" w:right="0"/>
                    <w:rPr>
                      <w:rFonts w:hint="default" w:ascii="Times New Roman" w:hAnsi="Times New Roman" w:cs="Times New Roman"/>
                      <w:sz w:val="20"/>
                      <w:szCs w:val="20"/>
                      <w:highlight w:val="none"/>
                    </w:rPr>
                  </w:pPr>
                </w:p>
              </w:tc>
              <w:tc>
                <w:tcPr>
                  <w:tcW w:w="600" w:type="dxa"/>
                  <w:vMerge w:val="continue"/>
                  <w:tcBorders>
                    <w:top w:val="nil"/>
                    <w:left w:val="single" w:color="auto" w:sz="4" w:space="0"/>
                    <w:bottom w:val="single" w:color="auto" w:sz="4" w:space="0"/>
                    <w:right w:val="single" w:color="auto" w:sz="4" w:space="0"/>
                  </w:tcBorders>
                  <w:shd w:val="clear" w:color="auto" w:fill="auto"/>
                  <w:vAlign w:val="center"/>
                </w:tcPr>
                <w:p w14:paraId="17C69028">
                  <w:pPr>
                    <w:keepNext w:val="0"/>
                    <w:keepLines w:val="0"/>
                    <w:suppressLineNumbers w:val="0"/>
                    <w:spacing w:before="0" w:beforeAutospacing="0" w:after="0" w:afterAutospacing="0"/>
                    <w:ind w:left="0" w:right="0"/>
                    <w:rPr>
                      <w:rFonts w:hint="default" w:ascii="Times New Roman" w:hAnsi="Times New Roman" w:cs="Times New Roman"/>
                      <w:sz w:val="20"/>
                      <w:szCs w:val="20"/>
                      <w:highlight w:val="none"/>
                    </w:rPr>
                  </w:pPr>
                </w:p>
              </w:tc>
              <w:tc>
                <w:tcPr>
                  <w:tcW w:w="593" w:type="dxa"/>
                  <w:vMerge w:val="continue"/>
                  <w:tcBorders>
                    <w:top w:val="nil"/>
                    <w:left w:val="single" w:color="auto" w:sz="4" w:space="0"/>
                    <w:bottom w:val="single" w:color="auto" w:sz="4" w:space="0"/>
                    <w:right w:val="single" w:color="auto" w:sz="4" w:space="0"/>
                  </w:tcBorders>
                  <w:shd w:val="clear" w:color="auto" w:fill="auto"/>
                  <w:vAlign w:val="center"/>
                </w:tcPr>
                <w:p w14:paraId="70F46E9B">
                  <w:pPr>
                    <w:keepNext w:val="0"/>
                    <w:keepLines w:val="0"/>
                    <w:suppressLineNumbers w:val="0"/>
                    <w:spacing w:before="0" w:beforeAutospacing="0" w:after="0" w:afterAutospacing="0"/>
                    <w:ind w:left="0" w:right="0"/>
                    <w:rPr>
                      <w:rFonts w:hint="default" w:ascii="Times New Roman" w:hAnsi="Times New Roman" w:cs="Times New Roman"/>
                      <w:sz w:val="20"/>
                      <w:szCs w:val="20"/>
                      <w:highlight w:val="none"/>
                    </w:rPr>
                  </w:pPr>
                </w:p>
              </w:tc>
              <w:tc>
                <w:tcPr>
                  <w:tcW w:w="615" w:type="dxa"/>
                  <w:vMerge w:val="continue"/>
                  <w:tcBorders>
                    <w:top w:val="nil"/>
                    <w:left w:val="single" w:color="auto" w:sz="4" w:space="0"/>
                    <w:bottom w:val="single" w:color="auto" w:sz="4" w:space="0"/>
                    <w:right w:val="single" w:color="auto" w:sz="4" w:space="0"/>
                  </w:tcBorders>
                  <w:shd w:val="clear" w:color="auto" w:fill="auto"/>
                  <w:vAlign w:val="center"/>
                </w:tcPr>
                <w:p w14:paraId="726E6C83">
                  <w:pPr>
                    <w:keepNext w:val="0"/>
                    <w:keepLines w:val="0"/>
                    <w:suppressLineNumbers w:val="0"/>
                    <w:spacing w:before="0" w:beforeAutospacing="0" w:after="0" w:afterAutospacing="0"/>
                    <w:ind w:left="0" w:right="0"/>
                    <w:rPr>
                      <w:rFonts w:hint="default" w:ascii="Times New Roman" w:hAnsi="Times New Roman" w:cs="Times New Roman"/>
                      <w:sz w:val="20"/>
                      <w:szCs w:val="20"/>
                      <w:highlight w:val="none"/>
                    </w:rPr>
                  </w:pPr>
                </w:p>
              </w:tc>
              <w:tc>
                <w:tcPr>
                  <w:tcW w:w="637" w:type="dxa"/>
                  <w:vMerge w:val="continue"/>
                  <w:tcBorders>
                    <w:top w:val="nil"/>
                    <w:left w:val="single" w:color="auto" w:sz="4" w:space="0"/>
                    <w:bottom w:val="single" w:color="auto" w:sz="4" w:space="0"/>
                    <w:right w:val="single" w:color="auto" w:sz="4" w:space="0"/>
                  </w:tcBorders>
                  <w:shd w:val="clear" w:color="auto" w:fill="auto"/>
                  <w:vAlign w:val="center"/>
                </w:tcPr>
                <w:p w14:paraId="23978352">
                  <w:pPr>
                    <w:keepNext w:val="0"/>
                    <w:keepLines w:val="0"/>
                    <w:suppressLineNumbers w:val="0"/>
                    <w:spacing w:before="0" w:beforeAutospacing="0" w:after="0" w:afterAutospacing="0"/>
                    <w:ind w:left="0" w:right="0"/>
                    <w:rPr>
                      <w:rFonts w:hint="default" w:ascii="Times New Roman" w:hAnsi="Times New Roman" w:cs="Times New Roman"/>
                      <w:sz w:val="20"/>
                      <w:szCs w:val="20"/>
                      <w:highlight w:val="none"/>
                    </w:rPr>
                  </w:pPr>
                </w:p>
              </w:tc>
              <w:tc>
                <w:tcPr>
                  <w:tcW w:w="645" w:type="dxa"/>
                  <w:vMerge w:val="continue"/>
                  <w:tcBorders>
                    <w:top w:val="nil"/>
                    <w:left w:val="single" w:color="auto" w:sz="4" w:space="0"/>
                    <w:bottom w:val="single" w:color="auto" w:sz="4" w:space="0"/>
                    <w:right w:val="single" w:color="auto" w:sz="4" w:space="0"/>
                  </w:tcBorders>
                  <w:shd w:val="clear" w:color="auto" w:fill="auto"/>
                  <w:vAlign w:val="center"/>
                </w:tcPr>
                <w:p w14:paraId="4ECD929B">
                  <w:pPr>
                    <w:keepNext w:val="0"/>
                    <w:keepLines w:val="0"/>
                    <w:suppressLineNumbers w:val="0"/>
                    <w:spacing w:before="0" w:beforeAutospacing="0" w:after="0" w:afterAutospacing="0"/>
                    <w:ind w:left="0" w:right="0"/>
                    <w:rPr>
                      <w:rFonts w:hint="default" w:ascii="Times New Roman" w:hAnsi="Times New Roman" w:cs="Times New Roman"/>
                      <w:sz w:val="20"/>
                      <w:szCs w:val="20"/>
                      <w:highlight w:val="none"/>
                    </w:rPr>
                  </w:pPr>
                </w:p>
              </w:tc>
              <w:tc>
                <w:tcPr>
                  <w:tcW w:w="585" w:type="dxa"/>
                  <w:vMerge w:val="continue"/>
                  <w:tcBorders>
                    <w:top w:val="nil"/>
                    <w:left w:val="single" w:color="auto" w:sz="4" w:space="0"/>
                    <w:bottom w:val="single" w:color="auto" w:sz="4" w:space="0"/>
                    <w:right w:val="single" w:color="auto" w:sz="4" w:space="0"/>
                  </w:tcBorders>
                  <w:shd w:val="clear" w:color="auto" w:fill="auto"/>
                  <w:vAlign w:val="center"/>
                </w:tcPr>
                <w:p w14:paraId="7A362295">
                  <w:pPr>
                    <w:keepNext w:val="0"/>
                    <w:keepLines w:val="0"/>
                    <w:suppressLineNumbers w:val="0"/>
                    <w:spacing w:before="0" w:beforeAutospacing="0" w:after="0" w:afterAutospacing="0"/>
                    <w:ind w:left="0" w:right="0"/>
                    <w:rPr>
                      <w:rFonts w:hint="default" w:ascii="Times New Roman" w:hAnsi="Times New Roman" w:cs="Times New Roman"/>
                      <w:sz w:val="20"/>
                      <w:szCs w:val="20"/>
                      <w:highlight w:val="none"/>
                    </w:rPr>
                  </w:pPr>
                </w:p>
              </w:tc>
              <w:tc>
                <w:tcPr>
                  <w:tcW w:w="825" w:type="dxa"/>
                  <w:tcBorders>
                    <w:top w:val="single" w:color="auto" w:sz="4" w:space="0"/>
                    <w:left w:val="single" w:color="auto" w:sz="4" w:space="0"/>
                    <w:bottom w:val="single" w:color="auto" w:sz="4" w:space="0"/>
                    <w:right w:val="single" w:color="auto" w:sz="4" w:space="0"/>
                  </w:tcBorders>
                  <w:shd w:val="clear" w:color="auto" w:fill="auto"/>
                  <w:vAlign w:val="center"/>
                </w:tcPr>
                <w:p w14:paraId="6DF2D089">
                  <w:pPr>
                    <w:keepNext w:val="0"/>
                    <w:keepLines w:val="0"/>
                    <w:widowControl w:val="0"/>
                    <w:suppressLineNumbers w:val="0"/>
                    <w:spacing w:before="0" w:beforeAutospacing="0" w:after="0" w:afterAutospacing="0"/>
                    <w:ind w:left="0" w:right="0"/>
                    <w:jc w:val="center"/>
                    <w:rPr>
                      <w:rFonts w:hint="eastAsia" w:ascii="Times New Roman" w:hAnsi="Times New Roman" w:eastAsia="宋体" w:cs="Times New Roman"/>
                      <w:kern w:val="2"/>
                      <w:sz w:val="18"/>
                      <w:szCs w:val="18"/>
                      <w:highlight w:val="none"/>
                    </w:rPr>
                  </w:pPr>
                  <w:r>
                    <w:rPr>
                      <w:rFonts w:hint="eastAsia" w:ascii="宋体" w:hAnsi="宋体" w:eastAsia="宋体" w:cs="宋体"/>
                      <w:kern w:val="2"/>
                      <w:sz w:val="18"/>
                      <w:szCs w:val="18"/>
                      <w:highlight w:val="none"/>
                      <w:lang w:val="en-US" w:eastAsia="zh-CN" w:bidi="ar"/>
                    </w:rPr>
                    <w:t>非甲烷总烃</w:t>
                  </w:r>
                </w:p>
              </w:tc>
              <w:tc>
                <w:tcPr>
                  <w:tcW w:w="625" w:type="dxa"/>
                  <w:tcBorders>
                    <w:top w:val="single" w:color="auto" w:sz="4" w:space="0"/>
                    <w:left w:val="single" w:color="auto" w:sz="4" w:space="0"/>
                    <w:bottom w:val="single" w:color="auto" w:sz="4" w:space="0"/>
                    <w:right w:val="single" w:color="auto" w:sz="4" w:space="0"/>
                  </w:tcBorders>
                  <w:shd w:val="clear" w:color="auto" w:fill="auto"/>
                  <w:vAlign w:val="center"/>
                </w:tcPr>
                <w:p w14:paraId="0D82B617">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kern w:val="2"/>
                      <w:sz w:val="18"/>
                      <w:szCs w:val="18"/>
                      <w:highlight w:val="none"/>
                    </w:rPr>
                  </w:pPr>
                  <w:r>
                    <w:rPr>
                      <w:rFonts w:hint="default" w:ascii="Times New Roman" w:hAnsi="Times New Roman" w:eastAsia="宋体" w:cs="Times New Roman"/>
                      <w:kern w:val="2"/>
                      <w:sz w:val="18"/>
                      <w:szCs w:val="18"/>
                      <w:highlight w:val="none"/>
                      <w:lang w:val="en-US" w:eastAsia="zh-CN" w:bidi="ar"/>
                    </w:rPr>
                    <w:t>0.013</w:t>
                  </w:r>
                </w:p>
              </w:tc>
            </w:tr>
            <w:tr w14:paraId="7097C66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116" w:hRule="atLeast"/>
              </w:trPr>
              <w:tc>
                <w:tcPr>
                  <w:tcW w:w="419" w:type="dxa"/>
                  <w:vMerge w:val="continue"/>
                  <w:tcBorders>
                    <w:top w:val="nil"/>
                    <w:left w:val="single" w:color="auto" w:sz="4" w:space="0"/>
                    <w:bottom w:val="single" w:color="auto" w:sz="4" w:space="0"/>
                    <w:right w:val="single" w:color="auto" w:sz="4" w:space="0"/>
                  </w:tcBorders>
                  <w:shd w:val="clear" w:color="auto" w:fill="auto"/>
                  <w:vAlign w:val="center"/>
                </w:tcPr>
                <w:p w14:paraId="2B65F3C9">
                  <w:pPr>
                    <w:keepNext w:val="0"/>
                    <w:keepLines w:val="0"/>
                    <w:suppressLineNumbers w:val="0"/>
                    <w:spacing w:before="0" w:beforeAutospacing="0" w:after="0" w:afterAutospacing="0"/>
                    <w:ind w:left="0" w:right="0"/>
                    <w:rPr>
                      <w:rFonts w:hint="default" w:ascii="Times New Roman" w:hAnsi="Times New Roman" w:cs="Times New Roman"/>
                      <w:sz w:val="20"/>
                      <w:szCs w:val="20"/>
                      <w:highlight w:val="none"/>
                    </w:rPr>
                  </w:pPr>
                </w:p>
              </w:tc>
              <w:tc>
                <w:tcPr>
                  <w:tcW w:w="612" w:type="dxa"/>
                  <w:vMerge w:val="continue"/>
                  <w:tcBorders>
                    <w:top w:val="nil"/>
                    <w:left w:val="single" w:color="auto" w:sz="4" w:space="0"/>
                    <w:bottom w:val="single" w:color="auto" w:sz="4" w:space="0"/>
                    <w:right w:val="single" w:color="auto" w:sz="4" w:space="0"/>
                  </w:tcBorders>
                  <w:shd w:val="clear" w:color="auto" w:fill="auto"/>
                  <w:vAlign w:val="center"/>
                </w:tcPr>
                <w:p w14:paraId="0AFD3B4C">
                  <w:pPr>
                    <w:keepNext w:val="0"/>
                    <w:keepLines w:val="0"/>
                    <w:suppressLineNumbers w:val="0"/>
                    <w:spacing w:before="0" w:beforeAutospacing="0" w:after="0" w:afterAutospacing="0"/>
                    <w:ind w:left="0" w:right="0"/>
                    <w:rPr>
                      <w:rFonts w:hint="default" w:ascii="Times New Roman" w:hAnsi="Times New Roman" w:cs="Times New Roman"/>
                      <w:sz w:val="20"/>
                      <w:szCs w:val="20"/>
                      <w:highlight w:val="none"/>
                    </w:rPr>
                  </w:pPr>
                </w:p>
              </w:tc>
              <w:tc>
                <w:tcPr>
                  <w:tcW w:w="780" w:type="dxa"/>
                  <w:vMerge w:val="continue"/>
                  <w:tcBorders>
                    <w:top w:val="nil"/>
                    <w:left w:val="single" w:color="auto" w:sz="4" w:space="0"/>
                    <w:bottom w:val="single" w:color="auto" w:sz="4" w:space="0"/>
                    <w:right w:val="single" w:color="auto" w:sz="4" w:space="0"/>
                  </w:tcBorders>
                  <w:shd w:val="clear" w:color="auto" w:fill="auto"/>
                  <w:vAlign w:val="center"/>
                </w:tcPr>
                <w:p w14:paraId="54BC6463">
                  <w:pPr>
                    <w:keepNext w:val="0"/>
                    <w:keepLines w:val="0"/>
                    <w:suppressLineNumbers w:val="0"/>
                    <w:spacing w:before="0" w:beforeAutospacing="0" w:after="0" w:afterAutospacing="0"/>
                    <w:ind w:left="0" w:right="0"/>
                    <w:rPr>
                      <w:rFonts w:hint="default" w:ascii="Times New Roman" w:hAnsi="Times New Roman" w:cs="Times New Roman"/>
                      <w:sz w:val="20"/>
                      <w:szCs w:val="20"/>
                      <w:highlight w:val="none"/>
                    </w:rPr>
                  </w:pPr>
                </w:p>
              </w:tc>
              <w:tc>
                <w:tcPr>
                  <w:tcW w:w="639" w:type="dxa"/>
                  <w:vMerge w:val="continue"/>
                  <w:tcBorders>
                    <w:top w:val="nil"/>
                    <w:left w:val="single" w:color="auto" w:sz="4" w:space="0"/>
                    <w:bottom w:val="single" w:color="auto" w:sz="4" w:space="0"/>
                    <w:right w:val="single" w:color="auto" w:sz="4" w:space="0"/>
                  </w:tcBorders>
                  <w:shd w:val="clear" w:color="auto" w:fill="auto"/>
                  <w:vAlign w:val="center"/>
                </w:tcPr>
                <w:p w14:paraId="401D8EED">
                  <w:pPr>
                    <w:keepNext w:val="0"/>
                    <w:keepLines w:val="0"/>
                    <w:suppressLineNumbers w:val="0"/>
                    <w:spacing w:before="0" w:beforeAutospacing="0" w:after="0" w:afterAutospacing="0"/>
                    <w:ind w:left="0" w:right="0"/>
                    <w:rPr>
                      <w:rFonts w:hint="default" w:ascii="Times New Roman" w:hAnsi="Times New Roman" w:cs="Times New Roman"/>
                      <w:sz w:val="20"/>
                      <w:szCs w:val="20"/>
                      <w:highlight w:val="none"/>
                    </w:rPr>
                  </w:pPr>
                </w:p>
              </w:tc>
              <w:tc>
                <w:tcPr>
                  <w:tcW w:w="630" w:type="dxa"/>
                  <w:vMerge w:val="continue"/>
                  <w:tcBorders>
                    <w:top w:val="nil"/>
                    <w:left w:val="single" w:color="auto" w:sz="4" w:space="0"/>
                    <w:bottom w:val="single" w:color="auto" w:sz="4" w:space="0"/>
                    <w:right w:val="single" w:color="auto" w:sz="4" w:space="0"/>
                  </w:tcBorders>
                  <w:shd w:val="clear" w:color="auto" w:fill="auto"/>
                  <w:vAlign w:val="center"/>
                </w:tcPr>
                <w:p w14:paraId="288BD2C5">
                  <w:pPr>
                    <w:keepNext w:val="0"/>
                    <w:keepLines w:val="0"/>
                    <w:suppressLineNumbers w:val="0"/>
                    <w:spacing w:before="0" w:beforeAutospacing="0" w:after="0" w:afterAutospacing="0"/>
                    <w:ind w:left="0" w:right="0"/>
                    <w:rPr>
                      <w:rFonts w:hint="default" w:ascii="Times New Roman" w:hAnsi="Times New Roman" w:cs="Times New Roman"/>
                      <w:sz w:val="20"/>
                      <w:szCs w:val="20"/>
                      <w:highlight w:val="none"/>
                    </w:rPr>
                  </w:pPr>
                </w:p>
              </w:tc>
              <w:tc>
                <w:tcPr>
                  <w:tcW w:w="600" w:type="dxa"/>
                  <w:vMerge w:val="continue"/>
                  <w:tcBorders>
                    <w:top w:val="nil"/>
                    <w:left w:val="single" w:color="auto" w:sz="4" w:space="0"/>
                    <w:bottom w:val="single" w:color="auto" w:sz="4" w:space="0"/>
                    <w:right w:val="single" w:color="auto" w:sz="4" w:space="0"/>
                  </w:tcBorders>
                  <w:shd w:val="clear" w:color="auto" w:fill="auto"/>
                  <w:vAlign w:val="center"/>
                </w:tcPr>
                <w:p w14:paraId="5AC06BEC">
                  <w:pPr>
                    <w:keepNext w:val="0"/>
                    <w:keepLines w:val="0"/>
                    <w:suppressLineNumbers w:val="0"/>
                    <w:spacing w:before="0" w:beforeAutospacing="0" w:after="0" w:afterAutospacing="0"/>
                    <w:ind w:left="0" w:right="0"/>
                    <w:rPr>
                      <w:rFonts w:hint="default" w:ascii="Times New Roman" w:hAnsi="Times New Roman" w:cs="Times New Roman"/>
                      <w:sz w:val="20"/>
                      <w:szCs w:val="20"/>
                      <w:highlight w:val="none"/>
                    </w:rPr>
                  </w:pPr>
                </w:p>
              </w:tc>
              <w:tc>
                <w:tcPr>
                  <w:tcW w:w="593" w:type="dxa"/>
                  <w:vMerge w:val="continue"/>
                  <w:tcBorders>
                    <w:top w:val="nil"/>
                    <w:left w:val="single" w:color="auto" w:sz="4" w:space="0"/>
                    <w:bottom w:val="single" w:color="auto" w:sz="4" w:space="0"/>
                    <w:right w:val="single" w:color="auto" w:sz="4" w:space="0"/>
                  </w:tcBorders>
                  <w:shd w:val="clear" w:color="auto" w:fill="auto"/>
                  <w:vAlign w:val="center"/>
                </w:tcPr>
                <w:p w14:paraId="23CD3838">
                  <w:pPr>
                    <w:keepNext w:val="0"/>
                    <w:keepLines w:val="0"/>
                    <w:suppressLineNumbers w:val="0"/>
                    <w:spacing w:before="0" w:beforeAutospacing="0" w:after="0" w:afterAutospacing="0"/>
                    <w:ind w:left="0" w:right="0"/>
                    <w:rPr>
                      <w:rFonts w:hint="default" w:ascii="Times New Roman" w:hAnsi="Times New Roman" w:cs="Times New Roman"/>
                      <w:sz w:val="20"/>
                      <w:szCs w:val="20"/>
                      <w:highlight w:val="none"/>
                    </w:rPr>
                  </w:pPr>
                </w:p>
              </w:tc>
              <w:tc>
                <w:tcPr>
                  <w:tcW w:w="615" w:type="dxa"/>
                  <w:vMerge w:val="continue"/>
                  <w:tcBorders>
                    <w:top w:val="nil"/>
                    <w:left w:val="single" w:color="auto" w:sz="4" w:space="0"/>
                    <w:bottom w:val="single" w:color="auto" w:sz="4" w:space="0"/>
                    <w:right w:val="single" w:color="auto" w:sz="4" w:space="0"/>
                  </w:tcBorders>
                  <w:shd w:val="clear" w:color="auto" w:fill="auto"/>
                  <w:vAlign w:val="center"/>
                </w:tcPr>
                <w:p w14:paraId="62DFA8DE">
                  <w:pPr>
                    <w:keepNext w:val="0"/>
                    <w:keepLines w:val="0"/>
                    <w:suppressLineNumbers w:val="0"/>
                    <w:spacing w:before="0" w:beforeAutospacing="0" w:after="0" w:afterAutospacing="0"/>
                    <w:ind w:left="0" w:right="0"/>
                    <w:rPr>
                      <w:rFonts w:hint="default" w:ascii="Times New Roman" w:hAnsi="Times New Roman" w:cs="Times New Roman"/>
                      <w:sz w:val="20"/>
                      <w:szCs w:val="20"/>
                      <w:highlight w:val="none"/>
                    </w:rPr>
                  </w:pPr>
                </w:p>
              </w:tc>
              <w:tc>
                <w:tcPr>
                  <w:tcW w:w="637" w:type="dxa"/>
                  <w:vMerge w:val="continue"/>
                  <w:tcBorders>
                    <w:top w:val="nil"/>
                    <w:left w:val="single" w:color="auto" w:sz="4" w:space="0"/>
                    <w:bottom w:val="single" w:color="auto" w:sz="4" w:space="0"/>
                    <w:right w:val="single" w:color="auto" w:sz="4" w:space="0"/>
                  </w:tcBorders>
                  <w:shd w:val="clear" w:color="auto" w:fill="auto"/>
                  <w:vAlign w:val="center"/>
                </w:tcPr>
                <w:p w14:paraId="0EC9AA05">
                  <w:pPr>
                    <w:keepNext w:val="0"/>
                    <w:keepLines w:val="0"/>
                    <w:suppressLineNumbers w:val="0"/>
                    <w:spacing w:before="0" w:beforeAutospacing="0" w:after="0" w:afterAutospacing="0"/>
                    <w:ind w:left="0" w:right="0"/>
                    <w:rPr>
                      <w:rFonts w:hint="default" w:ascii="Times New Roman" w:hAnsi="Times New Roman" w:cs="Times New Roman"/>
                      <w:sz w:val="20"/>
                      <w:szCs w:val="20"/>
                      <w:highlight w:val="none"/>
                    </w:rPr>
                  </w:pPr>
                </w:p>
              </w:tc>
              <w:tc>
                <w:tcPr>
                  <w:tcW w:w="645" w:type="dxa"/>
                  <w:vMerge w:val="continue"/>
                  <w:tcBorders>
                    <w:top w:val="nil"/>
                    <w:left w:val="single" w:color="auto" w:sz="4" w:space="0"/>
                    <w:bottom w:val="single" w:color="auto" w:sz="4" w:space="0"/>
                    <w:right w:val="single" w:color="auto" w:sz="4" w:space="0"/>
                  </w:tcBorders>
                  <w:shd w:val="clear" w:color="auto" w:fill="auto"/>
                  <w:vAlign w:val="center"/>
                </w:tcPr>
                <w:p w14:paraId="70F11DBC">
                  <w:pPr>
                    <w:keepNext w:val="0"/>
                    <w:keepLines w:val="0"/>
                    <w:suppressLineNumbers w:val="0"/>
                    <w:spacing w:before="0" w:beforeAutospacing="0" w:after="0" w:afterAutospacing="0"/>
                    <w:ind w:left="0" w:right="0"/>
                    <w:rPr>
                      <w:rFonts w:hint="default" w:ascii="Times New Roman" w:hAnsi="Times New Roman" w:cs="Times New Roman"/>
                      <w:sz w:val="20"/>
                      <w:szCs w:val="20"/>
                      <w:highlight w:val="none"/>
                    </w:rPr>
                  </w:pPr>
                </w:p>
              </w:tc>
              <w:tc>
                <w:tcPr>
                  <w:tcW w:w="585" w:type="dxa"/>
                  <w:vMerge w:val="continue"/>
                  <w:tcBorders>
                    <w:top w:val="nil"/>
                    <w:left w:val="single" w:color="auto" w:sz="4" w:space="0"/>
                    <w:bottom w:val="single" w:color="auto" w:sz="4" w:space="0"/>
                    <w:right w:val="single" w:color="auto" w:sz="4" w:space="0"/>
                  </w:tcBorders>
                  <w:shd w:val="clear" w:color="auto" w:fill="auto"/>
                  <w:vAlign w:val="center"/>
                </w:tcPr>
                <w:p w14:paraId="04E5260E">
                  <w:pPr>
                    <w:keepNext w:val="0"/>
                    <w:keepLines w:val="0"/>
                    <w:suppressLineNumbers w:val="0"/>
                    <w:spacing w:before="0" w:beforeAutospacing="0" w:after="0" w:afterAutospacing="0"/>
                    <w:ind w:left="0" w:right="0"/>
                    <w:rPr>
                      <w:rFonts w:hint="default" w:ascii="Times New Roman" w:hAnsi="Times New Roman" w:cs="Times New Roman"/>
                      <w:sz w:val="20"/>
                      <w:szCs w:val="20"/>
                      <w:highlight w:val="none"/>
                    </w:rPr>
                  </w:pPr>
                </w:p>
              </w:tc>
              <w:tc>
                <w:tcPr>
                  <w:tcW w:w="825" w:type="dxa"/>
                  <w:tcBorders>
                    <w:top w:val="single" w:color="auto" w:sz="4" w:space="0"/>
                    <w:left w:val="single" w:color="auto" w:sz="4" w:space="0"/>
                    <w:bottom w:val="single" w:color="auto" w:sz="4" w:space="0"/>
                    <w:right w:val="single" w:color="auto" w:sz="4" w:space="0"/>
                  </w:tcBorders>
                  <w:shd w:val="clear" w:color="auto" w:fill="auto"/>
                  <w:vAlign w:val="center"/>
                </w:tcPr>
                <w:p w14:paraId="58781E5F">
                  <w:pPr>
                    <w:keepNext w:val="0"/>
                    <w:keepLines w:val="0"/>
                    <w:widowControl w:val="0"/>
                    <w:suppressLineNumbers w:val="0"/>
                    <w:spacing w:before="0" w:beforeAutospacing="0" w:after="0" w:afterAutospacing="0"/>
                    <w:ind w:left="0" w:right="0"/>
                    <w:jc w:val="center"/>
                    <w:rPr>
                      <w:rFonts w:hint="eastAsia" w:ascii="Times New Roman" w:hAnsi="Times New Roman" w:eastAsia="宋体" w:cs="Times New Roman"/>
                      <w:kern w:val="2"/>
                      <w:sz w:val="18"/>
                      <w:szCs w:val="18"/>
                      <w:highlight w:val="none"/>
                    </w:rPr>
                  </w:pPr>
                  <w:r>
                    <w:rPr>
                      <w:rFonts w:hint="eastAsia" w:ascii="宋体" w:hAnsi="宋体" w:eastAsia="宋体" w:cs="宋体"/>
                      <w:kern w:val="2"/>
                      <w:sz w:val="18"/>
                      <w:szCs w:val="18"/>
                      <w:highlight w:val="none"/>
                      <w:lang w:val="en-US" w:eastAsia="zh-CN" w:bidi="ar"/>
                    </w:rPr>
                    <w:t>氯气</w:t>
                  </w:r>
                </w:p>
              </w:tc>
              <w:tc>
                <w:tcPr>
                  <w:tcW w:w="625" w:type="dxa"/>
                  <w:tcBorders>
                    <w:top w:val="single" w:color="auto" w:sz="4" w:space="0"/>
                    <w:left w:val="single" w:color="auto" w:sz="4" w:space="0"/>
                    <w:bottom w:val="single" w:color="auto" w:sz="4" w:space="0"/>
                    <w:right w:val="single" w:color="auto" w:sz="4" w:space="0"/>
                  </w:tcBorders>
                  <w:shd w:val="clear" w:color="auto" w:fill="auto"/>
                  <w:vAlign w:val="center"/>
                </w:tcPr>
                <w:p w14:paraId="31D3BA8D">
                  <w:pPr>
                    <w:keepNext w:val="0"/>
                    <w:keepLines w:val="0"/>
                    <w:widowControl/>
                    <w:suppressLineNumbers w:val="0"/>
                    <w:spacing w:before="0" w:beforeAutospacing="0" w:after="0" w:afterAutospacing="0"/>
                    <w:ind w:left="0" w:right="0"/>
                    <w:jc w:val="center"/>
                    <w:textAlignment w:val="center"/>
                    <w:rPr>
                      <w:rFonts w:hint="eastAsia" w:ascii="Times New Roman" w:hAnsi="Times New Roman" w:eastAsia="宋体" w:cs="Times New Roman"/>
                      <w:kern w:val="2"/>
                      <w:sz w:val="18"/>
                      <w:szCs w:val="18"/>
                      <w:highlight w:val="none"/>
                    </w:rPr>
                  </w:pPr>
                  <w:r>
                    <w:rPr>
                      <w:rFonts w:hint="eastAsia" w:cs="Times New Roman"/>
                      <w:color w:val="000000"/>
                      <w:kern w:val="0"/>
                      <w:sz w:val="18"/>
                      <w:szCs w:val="18"/>
                      <w:highlight w:val="none"/>
                      <w:lang w:val="en-US" w:eastAsia="zh-CN"/>
                    </w:rPr>
                    <w:t>少量</w:t>
                  </w:r>
                </w:p>
              </w:tc>
            </w:tr>
            <w:tr w14:paraId="0C7B409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116" w:hRule="atLeast"/>
              </w:trPr>
              <w:tc>
                <w:tcPr>
                  <w:tcW w:w="419" w:type="dxa"/>
                  <w:vMerge w:val="continue"/>
                  <w:tcBorders>
                    <w:top w:val="nil"/>
                    <w:left w:val="single" w:color="auto" w:sz="4" w:space="0"/>
                    <w:bottom w:val="single" w:color="auto" w:sz="4" w:space="0"/>
                    <w:right w:val="single" w:color="auto" w:sz="4" w:space="0"/>
                  </w:tcBorders>
                  <w:shd w:val="clear" w:color="auto" w:fill="auto"/>
                  <w:vAlign w:val="center"/>
                </w:tcPr>
                <w:p w14:paraId="137296A0">
                  <w:pPr>
                    <w:keepNext w:val="0"/>
                    <w:keepLines w:val="0"/>
                    <w:suppressLineNumbers w:val="0"/>
                    <w:spacing w:before="0" w:beforeAutospacing="0" w:after="0" w:afterAutospacing="0"/>
                    <w:ind w:left="0" w:right="0"/>
                    <w:rPr>
                      <w:rFonts w:hint="default" w:ascii="Times New Roman" w:hAnsi="Times New Roman" w:cs="Times New Roman"/>
                      <w:sz w:val="20"/>
                      <w:szCs w:val="20"/>
                      <w:highlight w:val="none"/>
                    </w:rPr>
                  </w:pPr>
                </w:p>
              </w:tc>
              <w:tc>
                <w:tcPr>
                  <w:tcW w:w="612" w:type="dxa"/>
                  <w:vMerge w:val="continue"/>
                  <w:tcBorders>
                    <w:top w:val="nil"/>
                    <w:left w:val="single" w:color="auto" w:sz="4" w:space="0"/>
                    <w:bottom w:val="single" w:color="auto" w:sz="4" w:space="0"/>
                    <w:right w:val="single" w:color="auto" w:sz="4" w:space="0"/>
                  </w:tcBorders>
                  <w:shd w:val="clear" w:color="auto" w:fill="auto"/>
                  <w:vAlign w:val="center"/>
                </w:tcPr>
                <w:p w14:paraId="5177F261">
                  <w:pPr>
                    <w:keepNext w:val="0"/>
                    <w:keepLines w:val="0"/>
                    <w:suppressLineNumbers w:val="0"/>
                    <w:spacing w:before="0" w:beforeAutospacing="0" w:after="0" w:afterAutospacing="0"/>
                    <w:ind w:left="0" w:right="0"/>
                    <w:rPr>
                      <w:rFonts w:hint="default" w:ascii="Times New Roman" w:hAnsi="Times New Roman" w:cs="Times New Roman"/>
                      <w:sz w:val="20"/>
                      <w:szCs w:val="20"/>
                      <w:highlight w:val="none"/>
                    </w:rPr>
                  </w:pPr>
                </w:p>
              </w:tc>
              <w:tc>
                <w:tcPr>
                  <w:tcW w:w="780" w:type="dxa"/>
                  <w:vMerge w:val="continue"/>
                  <w:tcBorders>
                    <w:top w:val="nil"/>
                    <w:left w:val="single" w:color="auto" w:sz="4" w:space="0"/>
                    <w:bottom w:val="single" w:color="auto" w:sz="4" w:space="0"/>
                    <w:right w:val="single" w:color="auto" w:sz="4" w:space="0"/>
                  </w:tcBorders>
                  <w:shd w:val="clear" w:color="auto" w:fill="auto"/>
                  <w:vAlign w:val="center"/>
                </w:tcPr>
                <w:p w14:paraId="2C33130A">
                  <w:pPr>
                    <w:keepNext w:val="0"/>
                    <w:keepLines w:val="0"/>
                    <w:suppressLineNumbers w:val="0"/>
                    <w:spacing w:before="0" w:beforeAutospacing="0" w:after="0" w:afterAutospacing="0"/>
                    <w:ind w:left="0" w:right="0"/>
                    <w:rPr>
                      <w:rFonts w:hint="default" w:ascii="Times New Roman" w:hAnsi="Times New Roman" w:cs="Times New Roman"/>
                      <w:sz w:val="20"/>
                      <w:szCs w:val="20"/>
                      <w:highlight w:val="none"/>
                    </w:rPr>
                  </w:pPr>
                </w:p>
              </w:tc>
              <w:tc>
                <w:tcPr>
                  <w:tcW w:w="639" w:type="dxa"/>
                  <w:vMerge w:val="continue"/>
                  <w:tcBorders>
                    <w:top w:val="nil"/>
                    <w:left w:val="single" w:color="auto" w:sz="4" w:space="0"/>
                    <w:bottom w:val="single" w:color="auto" w:sz="4" w:space="0"/>
                    <w:right w:val="single" w:color="auto" w:sz="4" w:space="0"/>
                  </w:tcBorders>
                  <w:shd w:val="clear" w:color="auto" w:fill="auto"/>
                  <w:vAlign w:val="center"/>
                </w:tcPr>
                <w:p w14:paraId="17411A0D">
                  <w:pPr>
                    <w:keepNext w:val="0"/>
                    <w:keepLines w:val="0"/>
                    <w:suppressLineNumbers w:val="0"/>
                    <w:spacing w:before="0" w:beforeAutospacing="0" w:after="0" w:afterAutospacing="0"/>
                    <w:ind w:left="0" w:right="0"/>
                    <w:rPr>
                      <w:rFonts w:hint="default" w:ascii="Times New Roman" w:hAnsi="Times New Roman" w:cs="Times New Roman"/>
                      <w:sz w:val="20"/>
                      <w:szCs w:val="20"/>
                      <w:highlight w:val="none"/>
                    </w:rPr>
                  </w:pPr>
                </w:p>
              </w:tc>
              <w:tc>
                <w:tcPr>
                  <w:tcW w:w="630" w:type="dxa"/>
                  <w:vMerge w:val="continue"/>
                  <w:tcBorders>
                    <w:top w:val="nil"/>
                    <w:left w:val="single" w:color="auto" w:sz="4" w:space="0"/>
                    <w:bottom w:val="single" w:color="auto" w:sz="4" w:space="0"/>
                    <w:right w:val="single" w:color="auto" w:sz="4" w:space="0"/>
                  </w:tcBorders>
                  <w:shd w:val="clear" w:color="auto" w:fill="auto"/>
                  <w:vAlign w:val="center"/>
                </w:tcPr>
                <w:p w14:paraId="1CC37C07">
                  <w:pPr>
                    <w:keepNext w:val="0"/>
                    <w:keepLines w:val="0"/>
                    <w:suppressLineNumbers w:val="0"/>
                    <w:spacing w:before="0" w:beforeAutospacing="0" w:after="0" w:afterAutospacing="0"/>
                    <w:ind w:left="0" w:right="0"/>
                    <w:rPr>
                      <w:rFonts w:hint="default" w:ascii="Times New Roman" w:hAnsi="Times New Roman" w:cs="Times New Roman"/>
                      <w:sz w:val="20"/>
                      <w:szCs w:val="20"/>
                      <w:highlight w:val="none"/>
                    </w:rPr>
                  </w:pPr>
                </w:p>
              </w:tc>
              <w:tc>
                <w:tcPr>
                  <w:tcW w:w="600" w:type="dxa"/>
                  <w:vMerge w:val="continue"/>
                  <w:tcBorders>
                    <w:top w:val="nil"/>
                    <w:left w:val="single" w:color="auto" w:sz="4" w:space="0"/>
                    <w:bottom w:val="single" w:color="auto" w:sz="4" w:space="0"/>
                    <w:right w:val="single" w:color="auto" w:sz="4" w:space="0"/>
                  </w:tcBorders>
                  <w:shd w:val="clear" w:color="auto" w:fill="auto"/>
                  <w:vAlign w:val="center"/>
                </w:tcPr>
                <w:p w14:paraId="6C16D292">
                  <w:pPr>
                    <w:keepNext w:val="0"/>
                    <w:keepLines w:val="0"/>
                    <w:suppressLineNumbers w:val="0"/>
                    <w:spacing w:before="0" w:beforeAutospacing="0" w:after="0" w:afterAutospacing="0"/>
                    <w:ind w:left="0" w:right="0"/>
                    <w:rPr>
                      <w:rFonts w:hint="default" w:ascii="Times New Roman" w:hAnsi="Times New Roman" w:cs="Times New Roman"/>
                      <w:sz w:val="20"/>
                      <w:szCs w:val="20"/>
                      <w:highlight w:val="none"/>
                    </w:rPr>
                  </w:pPr>
                </w:p>
              </w:tc>
              <w:tc>
                <w:tcPr>
                  <w:tcW w:w="593" w:type="dxa"/>
                  <w:vMerge w:val="continue"/>
                  <w:tcBorders>
                    <w:top w:val="nil"/>
                    <w:left w:val="single" w:color="auto" w:sz="4" w:space="0"/>
                    <w:bottom w:val="single" w:color="auto" w:sz="4" w:space="0"/>
                    <w:right w:val="single" w:color="auto" w:sz="4" w:space="0"/>
                  </w:tcBorders>
                  <w:shd w:val="clear" w:color="auto" w:fill="auto"/>
                  <w:vAlign w:val="center"/>
                </w:tcPr>
                <w:p w14:paraId="4A5654C5">
                  <w:pPr>
                    <w:keepNext w:val="0"/>
                    <w:keepLines w:val="0"/>
                    <w:suppressLineNumbers w:val="0"/>
                    <w:spacing w:before="0" w:beforeAutospacing="0" w:after="0" w:afterAutospacing="0"/>
                    <w:ind w:left="0" w:right="0"/>
                    <w:rPr>
                      <w:rFonts w:hint="default" w:ascii="Times New Roman" w:hAnsi="Times New Roman" w:cs="Times New Roman"/>
                      <w:sz w:val="20"/>
                      <w:szCs w:val="20"/>
                      <w:highlight w:val="none"/>
                    </w:rPr>
                  </w:pPr>
                </w:p>
              </w:tc>
              <w:tc>
                <w:tcPr>
                  <w:tcW w:w="615" w:type="dxa"/>
                  <w:vMerge w:val="continue"/>
                  <w:tcBorders>
                    <w:top w:val="nil"/>
                    <w:left w:val="single" w:color="auto" w:sz="4" w:space="0"/>
                    <w:bottom w:val="single" w:color="auto" w:sz="4" w:space="0"/>
                    <w:right w:val="single" w:color="auto" w:sz="4" w:space="0"/>
                  </w:tcBorders>
                  <w:shd w:val="clear" w:color="auto" w:fill="auto"/>
                  <w:vAlign w:val="center"/>
                </w:tcPr>
                <w:p w14:paraId="454CC040">
                  <w:pPr>
                    <w:keepNext w:val="0"/>
                    <w:keepLines w:val="0"/>
                    <w:suppressLineNumbers w:val="0"/>
                    <w:spacing w:before="0" w:beforeAutospacing="0" w:after="0" w:afterAutospacing="0"/>
                    <w:ind w:left="0" w:right="0"/>
                    <w:rPr>
                      <w:rFonts w:hint="default" w:ascii="Times New Roman" w:hAnsi="Times New Roman" w:cs="Times New Roman"/>
                      <w:sz w:val="20"/>
                      <w:szCs w:val="20"/>
                      <w:highlight w:val="none"/>
                    </w:rPr>
                  </w:pPr>
                </w:p>
              </w:tc>
              <w:tc>
                <w:tcPr>
                  <w:tcW w:w="637" w:type="dxa"/>
                  <w:vMerge w:val="continue"/>
                  <w:tcBorders>
                    <w:top w:val="nil"/>
                    <w:left w:val="single" w:color="auto" w:sz="4" w:space="0"/>
                    <w:bottom w:val="single" w:color="auto" w:sz="4" w:space="0"/>
                    <w:right w:val="single" w:color="auto" w:sz="4" w:space="0"/>
                  </w:tcBorders>
                  <w:shd w:val="clear" w:color="auto" w:fill="auto"/>
                  <w:vAlign w:val="center"/>
                </w:tcPr>
                <w:p w14:paraId="2D4B0738">
                  <w:pPr>
                    <w:keepNext w:val="0"/>
                    <w:keepLines w:val="0"/>
                    <w:suppressLineNumbers w:val="0"/>
                    <w:spacing w:before="0" w:beforeAutospacing="0" w:after="0" w:afterAutospacing="0"/>
                    <w:ind w:left="0" w:right="0"/>
                    <w:rPr>
                      <w:rFonts w:hint="default" w:ascii="Times New Roman" w:hAnsi="Times New Roman" w:cs="Times New Roman"/>
                      <w:sz w:val="20"/>
                      <w:szCs w:val="20"/>
                      <w:highlight w:val="none"/>
                    </w:rPr>
                  </w:pPr>
                </w:p>
              </w:tc>
              <w:tc>
                <w:tcPr>
                  <w:tcW w:w="645" w:type="dxa"/>
                  <w:vMerge w:val="continue"/>
                  <w:tcBorders>
                    <w:top w:val="nil"/>
                    <w:left w:val="single" w:color="auto" w:sz="4" w:space="0"/>
                    <w:bottom w:val="single" w:color="auto" w:sz="4" w:space="0"/>
                    <w:right w:val="single" w:color="auto" w:sz="4" w:space="0"/>
                  </w:tcBorders>
                  <w:shd w:val="clear" w:color="auto" w:fill="auto"/>
                  <w:vAlign w:val="center"/>
                </w:tcPr>
                <w:p w14:paraId="694AD108">
                  <w:pPr>
                    <w:keepNext w:val="0"/>
                    <w:keepLines w:val="0"/>
                    <w:suppressLineNumbers w:val="0"/>
                    <w:spacing w:before="0" w:beforeAutospacing="0" w:after="0" w:afterAutospacing="0"/>
                    <w:ind w:left="0" w:right="0"/>
                    <w:rPr>
                      <w:rFonts w:hint="default" w:ascii="Times New Roman" w:hAnsi="Times New Roman" w:cs="Times New Roman"/>
                      <w:sz w:val="20"/>
                      <w:szCs w:val="20"/>
                      <w:highlight w:val="none"/>
                    </w:rPr>
                  </w:pPr>
                </w:p>
              </w:tc>
              <w:tc>
                <w:tcPr>
                  <w:tcW w:w="585" w:type="dxa"/>
                  <w:vMerge w:val="continue"/>
                  <w:tcBorders>
                    <w:top w:val="nil"/>
                    <w:left w:val="single" w:color="auto" w:sz="4" w:space="0"/>
                    <w:bottom w:val="single" w:color="auto" w:sz="4" w:space="0"/>
                    <w:right w:val="single" w:color="auto" w:sz="4" w:space="0"/>
                  </w:tcBorders>
                  <w:shd w:val="clear" w:color="auto" w:fill="auto"/>
                  <w:vAlign w:val="center"/>
                </w:tcPr>
                <w:p w14:paraId="359707F5">
                  <w:pPr>
                    <w:keepNext w:val="0"/>
                    <w:keepLines w:val="0"/>
                    <w:suppressLineNumbers w:val="0"/>
                    <w:spacing w:before="0" w:beforeAutospacing="0" w:after="0" w:afterAutospacing="0"/>
                    <w:ind w:left="0" w:right="0"/>
                    <w:rPr>
                      <w:rFonts w:hint="default" w:ascii="Times New Roman" w:hAnsi="Times New Roman" w:cs="Times New Roman"/>
                      <w:sz w:val="20"/>
                      <w:szCs w:val="20"/>
                      <w:highlight w:val="none"/>
                    </w:rPr>
                  </w:pPr>
                </w:p>
              </w:tc>
              <w:tc>
                <w:tcPr>
                  <w:tcW w:w="825" w:type="dxa"/>
                  <w:tcBorders>
                    <w:top w:val="single" w:color="auto" w:sz="4" w:space="0"/>
                    <w:left w:val="single" w:color="auto" w:sz="4" w:space="0"/>
                    <w:bottom w:val="single" w:color="auto" w:sz="4" w:space="0"/>
                    <w:right w:val="single" w:color="auto" w:sz="4" w:space="0"/>
                  </w:tcBorders>
                  <w:shd w:val="clear" w:color="auto" w:fill="auto"/>
                  <w:vAlign w:val="center"/>
                </w:tcPr>
                <w:p w14:paraId="690C3F46">
                  <w:pPr>
                    <w:keepNext w:val="0"/>
                    <w:keepLines w:val="0"/>
                    <w:widowControl w:val="0"/>
                    <w:suppressLineNumbers w:val="0"/>
                    <w:spacing w:before="0" w:beforeAutospacing="0" w:after="0" w:afterAutospacing="0"/>
                    <w:ind w:left="0" w:leftChars="0" w:right="0" w:rightChars="0"/>
                    <w:jc w:val="center"/>
                    <w:rPr>
                      <w:rFonts w:hint="eastAsia" w:ascii="宋体" w:hAnsi="宋体" w:eastAsia="宋体" w:cs="宋体"/>
                      <w:kern w:val="2"/>
                      <w:sz w:val="18"/>
                      <w:szCs w:val="18"/>
                      <w:highlight w:val="none"/>
                      <w:lang w:val="en-US" w:eastAsia="zh-CN" w:bidi="ar"/>
                    </w:rPr>
                  </w:pPr>
                  <w:r>
                    <w:rPr>
                      <w:rFonts w:hint="eastAsia" w:ascii="宋体" w:hAnsi="宋体" w:cs="宋体"/>
                      <w:kern w:val="2"/>
                      <w:sz w:val="18"/>
                      <w:szCs w:val="18"/>
                      <w:highlight w:val="none"/>
                      <w:lang w:val="en-US" w:eastAsia="zh-CN" w:bidi="ar"/>
                    </w:rPr>
                    <w:t>颗粒物</w:t>
                  </w:r>
                </w:p>
              </w:tc>
              <w:tc>
                <w:tcPr>
                  <w:tcW w:w="625" w:type="dxa"/>
                  <w:tcBorders>
                    <w:top w:val="single" w:color="auto" w:sz="4" w:space="0"/>
                    <w:left w:val="single" w:color="auto" w:sz="4" w:space="0"/>
                    <w:bottom w:val="single" w:color="auto" w:sz="4" w:space="0"/>
                    <w:right w:val="single" w:color="auto" w:sz="4" w:space="0"/>
                  </w:tcBorders>
                  <w:shd w:val="clear" w:color="auto" w:fill="auto"/>
                  <w:vAlign w:val="center"/>
                </w:tcPr>
                <w:p w14:paraId="53F85F6B">
                  <w:pPr>
                    <w:keepNext w:val="0"/>
                    <w:keepLines w:val="0"/>
                    <w:widowControl/>
                    <w:suppressLineNumbers w:val="0"/>
                    <w:spacing w:before="0" w:beforeAutospacing="0" w:after="0" w:afterAutospacing="0"/>
                    <w:ind w:left="0" w:leftChars="0" w:right="0" w:rightChars="0"/>
                    <w:jc w:val="center"/>
                    <w:textAlignment w:val="center"/>
                    <w:rPr>
                      <w:rFonts w:hint="eastAsia" w:ascii="Times New Roman" w:hAnsi="Times New Roman" w:eastAsia="宋体" w:cs="Times New Roman"/>
                      <w:color w:val="000000"/>
                      <w:kern w:val="0"/>
                      <w:sz w:val="18"/>
                      <w:szCs w:val="18"/>
                      <w:highlight w:val="none"/>
                      <w:lang w:val="en-US" w:eastAsia="zh-CN" w:bidi="ar-SA"/>
                    </w:rPr>
                  </w:pPr>
                  <w:r>
                    <w:rPr>
                      <w:rFonts w:hint="eastAsia" w:ascii="宋体" w:hAnsi="宋体" w:cs="宋体"/>
                      <w:kern w:val="2"/>
                      <w:sz w:val="18"/>
                      <w:szCs w:val="18"/>
                      <w:highlight w:val="none"/>
                      <w:lang w:val="en-US" w:eastAsia="zh-CN" w:bidi="ar"/>
                    </w:rPr>
                    <w:t>少量</w:t>
                  </w:r>
                </w:p>
              </w:tc>
            </w:tr>
            <w:tr w14:paraId="577D66F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116" w:hRule="atLeast"/>
              </w:trPr>
              <w:tc>
                <w:tcPr>
                  <w:tcW w:w="419" w:type="dxa"/>
                  <w:vMerge w:val="continue"/>
                  <w:tcBorders>
                    <w:top w:val="nil"/>
                    <w:left w:val="single" w:color="auto" w:sz="4" w:space="0"/>
                    <w:bottom w:val="single" w:color="auto" w:sz="4" w:space="0"/>
                    <w:right w:val="single" w:color="auto" w:sz="4" w:space="0"/>
                  </w:tcBorders>
                  <w:shd w:val="clear" w:color="auto" w:fill="auto"/>
                  <w:vAlign w:val="center"/>
                </w:tcPr>
                <w:p w14:paraId="688D62F5">
                  <w:pPr>
                    <w:keepNext w:val="0"/>
                    <w:keepLines w:val="0"/>
                    <w:suppressLineNumbers w:val="0"/>
                    <w:spacing w:before="0" w:beforeAutospacing="0" w:after="0" w:afterAutospacing="0"/>
                    <w:ind w:left="0" w:right="0"/>
                    <w:rPr>
                      <w:rFonts w:hint="default" w:ascii="Times New Roman" w:hAnsi="Times New Roman" w:cs="Times New Roman"/>
                      <w:sz w:val="20"/>
                      <w:szCs w:val="20"/>
                      <w:highlight w:val="none"/>
                    </w:rPr>
                  </w:pPr>
                </w:p>
              </w:tc>
              <w:tc>
                <w:tcPr>
                  <w:tcW w:w="612" w:type="dxa"/>
                  <w:vMerge w:val="continue"/>
                  <w:tcBorders>
                    <w:top w:val="nil"/>
                    <w:left w:val="single" w:color="auto" w:sz="4" w:space="0"/>
                    <w:bottom w:val="single" w:color="auto" w:sz="4" w:space="0"/>
                    <w:right w:val="single" w:color="auto" w:sz="4" w:space="0"/>
                  </w:tcBorders>
                  <w:shd w:val="clear" w:color="auto" w:fill="auto"/>
                  <w:vAlign w:val="center"/>
                </w:tcPr>
                <w:p w14:paraId="06DE70B1">
                  <w:pPr>
                    <w:keepNext w:val="0"/>
                    <w:keepLines w:val="0"/>
                    <w:suppressLineNumbers w:val="0"/>
                    <w:spacing w:before="0" w:beforeAutospacing="0" w:after="0" w:afterAutospacing="0"/>
                    <w:ind w:left="0" w:right="0"/>
                    <w:rPr>
                      <w:rFonts w:hint="default" w:ascii="Times New Roman" w:hAnsi="Times New Roman" w:cs="Times New Roman"/>
                      <w:sz w:val="20"/>
                      <w:szCs w:val="20"/>
                      <w:highlight w:val="none"/>
                    </w:rPr>
                  </w:pPr>
                </w:p>
              </w:tc>
              <w:tc>
                <w:tcPr>
                  <w:tcW w:w="780" w:type="dxa"/>
                  <w:vMerge w:val="continue"/>
                  <w:tcBorders>
                    <w:top w:val="nil"/>
                    <w:left w:val="single" w:color="auto" w:sz="4" w:space="0"/>
                    <w:bottom w:val="single" w:color="auto" w:sz="4" w:space="0"/>
                    <w:right w:val="single" w:color="auto" w:sz="4" w:space="0"/>
                  </w:tcBorders>
                  <w:shd w:val="clear" w:color="auto" w:fill="auto"/>
                  <w:vAlign w:val="center"/>
                </w:tcPr>
                <w:p w14:paraId="0F832986">
                  <w:pPr>
                    <w:keepNext w:val="0"/>
                    <w:keepLines w:val="0"/>
                    <w:suppressLineNumbers w:val="0"/>
                    <w:spacing w:before="0" w:beforeAutospacing="0" w:after="0" w:afterAutospacing="0"/>
                    <w:ind w:left="0" w:right="0"/>
                    <w:rPr>
                      <w:rFonts w:hint="default" w:ascii="Times New Roman" w:hAnsi="Times New Roman" w:cs="Times New Roman"/>
                      <w:sz w:val="20"/>
                      <w:szCs w:val="20"/>
                      <w:highlight w:val="none"/>
                    </w:rPr>
                  </w:pPr>
                </w:p>
              </w:tc>
              <w:tc>
                <w:tcPr>
                  <w:tcW w:w="639" w:type="dxa"/>
                  <w:vMerge w:val="continue"/>
                  <w:tcBorders>
                    <w:top w:val="nil"/>
                    <w:left w:val="single" w:color="auto" w:sz="4" w:space="0"/>
                    <w:bottom w:val="single" w:color="auto" w:sz="4" w:space="0"/>
                    <w:right w:val="single" w:color="auto" w:sz="4" w:space="0"/>
                  </w:tcBorders>
                  <w:shd w:val="clear" w:color="auto" w:fill="auto"/>
                  <w:vAlign w:val="center"/>
                </w:tcPr>
                <w:p w14:paraId="5857FD44">
                  <w:pPr>
                    <w:keepNext w:val="0"/>
                    <w:keepLines w:val="0"/>
                    <w:suppressLineNumbers w:val="0"/>
                    <w:spacing w:before="0" w:beforeAutospacing="0" w:after="0" w:afterAutospacing="0"/>
                    <w:ind w:left="0" w:right="0"/>
                    <w:rPr>
                      <w:rFonts w:hint="default" w:ascii="Times New Roman" w:hAnsi="Times New Roman" w:cs="Times New Roman"/>
                      <w:sz w:val="20"/>
                      <w:szCs w:val="20"/>
                      <w:highlight w:val="none"/>
                    </w:rPr>
                  </w:pPr>
                </w:p>
              </w:tc>
              <w:tc>
                <w:tcPr>
                  <w:tcW w:w="630" w:type="dxa"/>
                  <w:vMerge w:val="continue"/>
                  <w:tcBorders>
                    <w:top w:val="nil"/>
                    <w:left w:val="single" w:color="auto" w:sz="4" w:space="0"/>
                    <w:bottom w:val="single" w:color="auto" w:sz="4" w:space="0"/>
                    <w:right w:val="single" w:color="auto" w:sz="4" w:space="0"/>
                  </w:tcBorders>
                  <w:shd w:val="clear" w:color="auto" w:fill="auto"/>
                  <w:vAlign w:val="center"/>
                </w:tcPr>
                <w:p w14:paraId="64D99DE4">
                  <w:pPr>
                    <w:keepNext w:val="0"/>
                    <w:keepLines w:val="0"/>
                    <w:suppressLineNumbers w:val="0"/>
                    <w:spacing w:before="0" w:beforeAutospacing="0" w:after="0" w:afterAutospacing="0"/>
                    <w:ind w:left="0" w:right="0"/>
                    <w:rPr>
                      <w:rFonts w:hint="default" w:ascii="Times New Roman" w:hAnsi="Times New Roman" w:cs="Times New Roman"/>
                      <w:sz w:val="20"/>
                      <w:szCs w:val="20"/>
                      <w:highlight w:val="none"/>
                    </w:rPr>
                  </w:pPr>
                </w:p>
              </w:tc>
              <w:tc>
                <w:tcPr>
                  <w:tcW w:w="600" w:type="dxa"/>
                  <w:vMerge w:val="continue"/>
                  <w:tcBorders>
                    <w:top w:val="nil"/>
                    <w:left w:val="single" w:color="auto" w:sz="4" w:space="0"/>
                    <w:bottom w:val="single" w:color="auto" w:sz="4" w:space="0"/>
                    <w:right w:val="single" w:color="auto" w:sz="4" w:space="0"/>
                  </w:tcBorders>
                  <w:shd w:val="clear" w:color="auto" w:fill="auto"/>
                  <w:vAlign w:val="center"/>
                </w:tcPr>
                <w:p w14:paraId="092C9F6E">
                  <w:pPr>
                    <w:keepNext w:val="0"/>
                    <w:keepLines w:val="0"/>
                    <w:suppressLineNumbers w:val="0"/>
                    <w:spacing w:before="0" w:beforeAutospacing="0" w:after="0" w:afterAutospacing="0"/>
                    <w:ind w:left="0" w:right="0"/>
                    <w:rPr>
                      <w:rFonts w:hint="default" w:ascii="Times New Roman" w:hAnsi="Times New Roman" w:cs="Times New Roman"/>
                      <w:sz w:val="20"/>
                      <w:szCs w:val="20"/>
                      <w:highlight w:val="none"/>
                    </w:rPr>
                  </w:pPr>
                </w:p>
              </w:tc>
              <w:tc>
                <w:tcPr>
                  <w:tcW w:w="593" w:type="dxa"/>
                  <w:vMerge w:val="continue"/>
                  <w:tcBorders>
                    <w:top w:val="nil"/>
                    <w:left w:val="single" w:color="auto" w:sz="4" w:space="0"/>
                    <w:bottom w:val="single" w:color="auto" w:sz="4" w:space="0"/>
                    <w:right w:val="single" w:color="auto" w:sz="4" w:space="0"/>
                  </w:tcBorders>
                  <w:shd w:val="clear" w:color="auto" w:fill="auto"/>
                  <w:vAlign w:val="center"/>
                </w:tcPr>
                <w:p w14:paraId="3E4F1F60">
                  <w:pPr>
                    <w:keepNext w:val="0"/>
                    <w:keepLines w:val="0"/>
                    <w:suppressLineNumbers w:val="0"/>
                    <w:spacing w:before="0" w:beforeAutospacing="0" w:after="0" w:afterAutospacing="0"/>
                    <w:ind w:left="0" w:right="0"/>
                    <w:rPr>
                      <w:rFonts w:hint="default" w:ascii="Times New Roman" w:hAnsi="Times New Roman" w:cs="Times New Roman"/>
                      <w:sz w:val="20"/>
                      <w:szCs w:val="20"/>
                      <w:highlight w:val="none"/>
                    </w:rPr>
                  </w:pPr>
                </w:p>
              </w:tc>
              <w:tc>
                <w:tcPr>
                  <w:tcW w:w="615" w:type="dxa"/>
                  <w:vMerge w:val="continue"/>
                  <w:tcBorders>
                    <w:top w:val="nil"/>
                    <w:left w:val="single" w:color="auto" w:sz="4" w:space="0"/>
                    <w:bottom w:val="single" w:color="auto" w:sz="4" w:space="0"/>
                    <w:right w:val="single" w:color="auto" w:sz="4" w:space="0"/>
                  </w:tcBorders>
                  <w:shd w:val="clear" w:color="auto" w:fill="auto"/>
                  <w:vAlign w:val="center"/>
                </w:tcPr>
                <w:p w14:paraId="3918969B">
                  <w:pPr>
                    <w:keepNext w:val="0"/>
                    <w:keepLines w:val="0"/>
                    <w:suppressLineNumbers w:val="0"/>
                    <w:spacing w:before="0" w:beforeAutospacing="0" w:after="0" w:afterAutospacing="0"/>
                    <w:ind w:left="0" w:right="0"/>
                    <w:rPr>
                      <w:rFonts w:hint="default" w:ascii="Times New Roman" w:hAnsi="Times New Roman" w:cs="Times New Roman"/>
                      <w:sz w:val="20"/>
                      <w:szCs w:val="20"/>
                      <w:highlight w:val="none"/>
                    </w:rPr>
                  </w:pPr>
                </w:p>
              </w:tc>
              <w:tc>
                <w:tcPr>
                  <w:tcW w:w="637" w:type="dxa"/>
                  <w:vMerge w:val="continue"/>
                  <w:tcBorders>
                    <w:top w:val="nil"/>
                    <w:left w:val="single" w:color="auto" w:sz="4" w:space="0"/>
                    <w:bottom w:val="single" w:color="auto" w:sz="4" w:space="0"/>
                    <w:right w:val="single" w:color="auto" w:sz="4" w:space="0"/>
                  </w:tcBorders>
                  <w:shd w:val="clear" w:color="auto" w:fill="auto"/>
                  <w:vAlign w:val="center"/>
                </w:tcPr>
                <w:p w14:paraId="17714F15">
                  <w:pPr>
                    <w:keepNext w:val="0"/>
                    <w:keepLines w:val="0"/>
                    <w:suppressLineNumbers w:val="0"/>
                    <w:spacing w:before="0" w:beforeAutospacing="0" w:after="0" w:afterAutospacing="0"/>
                    <w:ind w:left="0" w:right="0"/>
                    <w:rPr>
                      <w:rFonts w:hint="default" w:ascii="Times New Roman" w:hAnsi="Times New Roman" w:cs="Times New Roman"/>
                      <w:sz w:val="20"/>
                      <w:szCs w:val="20"/>
                      <w:highlight w:val="none"/>
                    </w:rPr>
                  </w:pPr>
                </w:p>
              </w:tc>
              <w:tc>
                <w:tcPr>
                  <w:tcW w:w="645" w:type="dxa"/>
                  <w:vMerge w:val="continue"/>
                  <w:tcBorders>
                    <w:top w:val="nil"/>
                    <w:left w:val="single" w:color="auto" w:sz="4" w:space="0"/>
                    <w:bottom w:val="single" w:color="auto" w:sz="4" w:space="0"/>
                    <w:right w:val="single" w:color="auto" w:sz="4" w:space="0"/>
                  </w:tcBorders>
                  <w:shd w:val="clear" w:color="auto" w:fill="auto"/>
                  <w:vAlign w:val="center"/>
                </w:tcPr>
                <w:p w14:paraId="4C6207ED">
                  <w:pPr>
                    <w:keepNext w:val="0"/>
                    <w:keepLines w:val="0"/>
                    <w:suppressLineNumbers w:val="0"/>
                    <w:spacing w:before="0" w:beforeAutospacing="0" w:after="0" w:afterAutospacing="0"/>
                    <w:ind w:left="0" w:right="0"/>
                    <w:rPr>
                      <w:rFonts w:hint="default" w:ascii="Times New Roman" w:hAnsi="Times New Roman" w:cs="Times New Roman"/>
                      <w:sz w:val="20"/>
                      <w:szCs w:val="20"/>
                      <w:highlight w:val="none"/>
                    </w:rPr>
                  </w:pPr>
                </w:p>
              </w:tc>
              <w:tc>
                <w:tcPr>
                  <w:tcW w:w="585" w:type="dxa"/>
                  <w:vMerge w:val="continue"/>
                  <w:tcBorders>
                    <w:top w:val="nil"/>
                    <w:left w:val="single" w:color="auto" w:sz="4" w:space="0"/>
                    <w:bottom w:val="single" w:color="auto" w:sz="4" w:space="0"/>
                    <w:right w:val="single" w:color="auto" w:sz="4" w:space="0"/>
                  </w:tcBorders>
                  <w:shd w:val="clear" w:color="auto" w:fill="auto"/>
                  <w:vAlign w:val="center"/>
                </w:tcPr>
                <w:p w14:paraId="70E9F9AE">
                  <w:pPr>
                    <w:keepNext w:val="0"/>
                    <w:keepLines w:val="0"/>
                    <w:suppressLineNumbers w:val="0"/>
                    <w:spacing w:before="0" w:beforeAutospacing="0" w:after="0" w:afterAutospacing="0"/>
                    <w:ind w:left="0" w:right="0"/>
                    <w:rPr>
                      <w:rFonts w:hint="default" w:ascii="Times New Roman" w:hAnsi="Times New Roman" w:cs="Times New Roman"/>
                      <w:sz w:val="20"/>
                      <w:szCs w:val="20"/>
                      <w:highlight w:val="none"/>
                    </w:rPr>
                  </w:pPr>
                </w:p>
              </w:tc>
              <w:tc>
                <w:tcPr>
                  <w:tcW w:w="825" w:type="dxa"/>
                  <w:tcBorders>
                    <w:top w:val="single" w:color="auto" w:sz="4" w:space="0"/>
                    <w:left w:val="single" w:color="auto" w:sz="4" w:space="0"/>
                    <w:bottom w:val="single" w:color="auto" w:sz="4" w:space="0"/>
                    <w:right w:val="single" w:color="auto" w:sz="4" w:space="0"/>
                  </w:tcBorders>
                  <w:shd w:val="clear" w:color="auto" w:fill="auto"/>
                  <w:vAlign w:val="center"/>
                </w:tcPr>
                <w:p w14:paraId="6DC29B32">
                  <w:pPr>
                    <w:keepNext w:val="0"/>
                    <w:keepLines w:val="0"/>
                    <w:widowControl w:val="0"/>
                    <w:suppressLineNumbers w:val="0"/>
                    <w:spacing w:before="0" w:beforeAutospacing="0" w:after="0" w:afterAutospacing="0"/>
                    <w:ind w:left="0" w:right="0"/>
                    <w:jc w:val="center"/>
                    <w:rPr>
                      <w:rFonts w:hint="eastAsia" w:ascii="Times New Roman" w:hAnsi="Times New Roman" w:eastAsia="宋体" w:cs="Times New Roman"/>
                      <w:kern w:val="2"/>
                      <w:sz w:val="18"/>
                      <w:szCs w:val="18"/>
                      <w:highlight w:val="none"/>
                    </w:rPr>
                  </w:pPr>
                  <w:r>
                    <w:rPr>
                      <w:rFonts w:hint="eastAsia" w:ascii="宋体" w:hAnsi="宋体" w:eastAsia="宋体" w:cs="宋体"/>
                      <w:kern w:val="2"/>
                      <w:sz w:val="18"/>
                      <w:szCs w:val="18"/>
                      <w:highlight w:val="none"/>
                      <w:lang w:val="en-US" w:eastAsia="zh-CN" w:bidi="ar"/>
                    </w:rPr>
                    <w:t>甲醛</w:t>
                  </w:r>
                </w:p>
              </w:tc>
              <w:tc>
                <w:tcPr>
                  <w:tcW w:w="625" w:type="dxa"/>
                  <w:tcBorders>
                    <w:top w:val="single" w:color="auto" w:sz="4" w:space="0"/>
                    <w:left w:val="single" w:color="auto" w:sz="4" w:space="0"/>
                    <w:bottom w:val="single" w:color="auto" w:sz="4" w:space="0"/>
                    <w:right w:val="single" w:color="auto" w:sz="4" w:space="0"/>
                  </w:tcBorders>
                  <w:shd w:val="clear" w:color="auto" w:fill="auto"/>
                  <w:vAlign w:val="center"/>
                </w:tcPr>
                <w:p w14:paraId="24ABC96C">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kern w:val="2"/>
                      <w:sz w:val="18"/>
                      <w:szCs w:val="18"/>
                      <w:highlight w:val="none"/>
                      <w:lang w:val="en-US" w:eastAsia="zh-CN"/>
                    </w:rPr>
                  </w:pPr>
                  <w:r>
                    <w:rPr>
                      <w:rFonts w:hint="eastAsia" w:cs="Times New Roman"/>
                      <w:kern w:val="2"/>
                      <w:sz w:val="18"/>
                      <w:szCs w:val="18"/>
                      <w:highlight w:val="none"/>
                      <w:lang w:val="en-US" w:eastAsia="zh-CN"/>
                    </w:rPr>
                    <w:t>~0</w:t>
                  </w:r>
                </w:p>
              </w:tc>
            </w:tr>
            <w:tr w14:paraId="02243EB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116" w:hRule="atLeast"/>
              </w:trPr>
              <w:tc>
                <w:tcPr>
                  <w:tcW w:w="419" w:type="dxa"/>
                  <w:tcBorders>
                    <w:top w:val="single" w:color="auto" w:sz="4" w:space="0"/>
                    <w:left w:val="single" w:color="auto" w:sz="4" w:space="0"/>
                    <w:bottom w:val="single" w:color="auto" w:sz="4" w:space="0"/>
                    <w:right w:val="single" w:color="auto" w:sz="4" w:space="0"/>
                  </w:tcBorders>
                  <w:shd w:val="clear" w:color="auto" w:fill="auto"/>
                  <w:vAlign w:val="center"/>
                </w:tcPr>
                <w:p w14:paraId="2A0E3BF0">
                  <w:pPr>
                    <w:keepNext w:val="0"/>
                    <w:keepLines w:val="0"/>
                    <w:widowControl/>
                    <w:suppressLineNumbers w:val="0"/>
                    <w:spacing w:before="0" w:beforeAutospacing="0" w:after="0" w:afterAutospacing="0"/>
                    <w:ind w:left="0" w:right="0"/>
                    <w:jc w:val="center"/>
                    <w:textAlignment w:val="center"/>
                    <w:rPr>
                      <w:rFonts w:hint="eastAsia" w:ascii="Times New Roman" w:hAnsi="Times New Roman" w:eastAsia="宋体" w:cs="Times New Roman"/>
                      <w:kern w:val="2"/>
                      <w:sz w:val="18"/>
                      <w:szCs w:val="18"/>
                      <w:highlight w:val="none"/>
                    </w:rPr>
                  </w:pPr>
                  <w:r>
                    <w:rPr>
                      <w:rFonts w:hint="default" w:ascii="Times New Roman" w:hAnsi="Times New Roman" w:eastAsia="宋体" w:cs="Times New Roman"/>
                      <w:kern w:val="2"/>
                      <w:sz w:val="18"/>
                      <w:szCs w:val="18"/>
                      <w:highlight w:val="none"/>
                      <w:lang w:val="en-US" w:eastAsia="zh-CN" w:bidi="ar"/>
                    </w:rPr>
                    <w:t>2</w:t>
                  </w:r>
                </w:p>
              </w:tc>
              <w:tc>
                <w:tcPr>
                  <w:tcW w:w="612" w:type="dxa"/>
                  <w:tcBorders>
                    <w:top w:val="single" w:color="auto" w:sz="4" w:space="0"/>
                    <w:left w:val="single" w:color="auto" w:sz="4" w:space="0"/>
                    <w:bottom w:val="single" w:color="auto" w:sz="4" w:space="0"/>
                    <w:right w:val="single" w:color="auto" w:sz="4" w:space="0"/>
                  </w:tcBorders>
                  <w:shd w:val="clear" w:color="auto" w:fill="auto"/>
                  <w:vAlign w:val="center"/>
                </w:tcPr>
                <w:p w14:paraId="22AC6068">
                  <w:pPr>
                    <w:keepNext w:val="0"/>
                    <w:keepLines w:val="0"/>
                    <w:widowControl/>
                    <w:suppressLineNumbers w:val="0"/>
                    <w:spacing w:before="0" w:beforeAutospacing="0" w:after="0" w:afterAutospacing="0"/>
                    <w:ind w:left="0" w:right="0"/>
                    <w:jc w:val="center"/>
                    <w:textAlignment w:val="center"/>
                    <w:rPr>
                      <w:rFonts w:hint="eastAsia" w:ascii="Times New Roman" w:hAnsi="Times New Roman" w:eastAsia="宋体" w:cs="Times New Roman"/>
                      <w:kern w:val="2"/>
                      <w:sz w:val="18"/>
                      <w:szCs w:val="18"/>
                      <w:highlight w:val="none"/>
                    </w:rPr>
                  </w:pPr>
                  <w:r>
                    <w:rPr>
                      <w:rFonts w:hint="eastAsia" w:ascii="宋体" w:hAnsi="宋体" w:eastAsia="宋体" w:cs="宋体"/>
                      <w:kern w:val="2"/>
                      <w:sz w:val="18"/>
                      <w:szCs w:val="18"/>
                      <w:highlight w:val="none"/>
                      <w:lang w:val="en-US" w:eastAsia="zh-CN" w:bidi="ar"/>
                    </w:rPr>
                    <w:t>科创综合楼</w:t>
                  </w:r>
                </w:p>
              </w:tc>
              <w:tc>
                <w:tcPr>
                  <w:tcW w:w="780" w:type="dxa"/>
                  <w:tcBorders>
                    <w:top w:val="single" w:color="auto" w:sz="4" w:space="0"/>
                    <w:left w:val="single" w:color="auto" w:sz="4" w:space="0"/>
                    <w:bottom w:val="single" w:color="auto" w:sz="4" w:space="0"/>
                    <w:right w:val="single" w:color="auto" w:sz="4" w:space="0"/>
                  </w:tcBorders>
                  <w:shd w:val="clear" w:color="auto" w:fill="auto"/>
                  <w:vAlign w:val="center"/>
                </w:tcPr>
                <w:p w14:paraId="5D639717">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kern w:val="2"/>
                      <w:sz w:val="18"/>
                      <w:szCs w:val="18"/>
                      <w:highlight w:val="none"/>
                    </w:rPr>
                  </w:pPr>
                  <w:r>
                    <w:rPr>
                      <w:rFonts w:hint="default" w:ascii="Times New Roman" w:hAnsi="Times New Roman" w:eastAsia="宋体" w:cs="Times New Roman"/>
                      <w:kern w:val="2"/>
                      <w:sz w:val="18"/>
                      <w:szCs w:val="18"/>
                      <w:highlight w:val="none"/>
                      <w:lang w:val="en-US" w:eastAsia="zh-CN" w:bidi="ar"/>
                    </w:rPr>
                    <w:t>E118.830451</w:t>
                  </w:r>
                  <w:r>
                    <w:rPr>
                      <w:rFonts w:hint="eastAsia" w:ascii="宋体" w:hAnsi="宋体" w:eastAsia="宋体" w:cs="宋体"/>
                      <w:kern w:val="2"/>
                      <w:sz w:val="18"/>
                      <w:szCs w:val="18"/>
                      <w:highlight w:val="none"/>
                      <w:lang w:val="en-US" w:eastAsia="zh-CN" w:bidi="ar"/>
                    </w:rPr>
                    <w:t>°</w:t>
                  </w:r>
                </w:p>
              </w:tc>
              <w:tc>
                <w:tcPr>
                  <w:tcW w:w="639" w:type="dxa"/>
                  <w:tcBorders>
                    <w:top w:val="single" w:color="auto" w:sz="4" w:space="0"/>
                    <w:left w:val="single" w:color="auto" w:sz="4" w:space="0"/>
                    <w:bottom w:val="single" w:color="auto" w:sz="4" w:space="0"/>
                    <w:right w:val="single" w:color="auto" w:sz="4" w:space="0"/>
                  </w:tcBorders>
                  <w:shd w:val="clear" w:color="auto" w:fill="auto"/>
                  <w:vAlign w:val="center"/>
                </w:tcPr>
                <w:p w14:paraId="5511F321">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kern w:val="2"/>
                      <w:sz w:val="18"/>
                      <w:szCs w:val="18"/>
                      <w:highlight w:val="none"/>
                    </w:rPr>
                  </w:pPr>
                  <w:r>
                    <w:rPr>
                      <w:rFonts w:hint="default" w:ascii="Times New Roman" w:hAnsi="Times New Roman" w:eastAsia="宋体" w:cs="Times New Roman"/>
                      <w:kern w:val="2"/>
                      <w:sz w:val="18"/>
                      <w:szCs w:val="18"/>
                      <w:highlight w:val="none"/>
                      <w:lang w:val="en-US" w:eastAsia="zh-CN" w:bidi="ar"/>
                    </w:rPr>
                    <w:t>N28.952227</w:t>
                  </w:r>
                  <w:r>
                    <w:rPr>
                      <w:rFonts w:hint="eastAsia" w:ascii="宋体" w:hAnsi="宋体" w:eastAsia="宋体" w:cs="宋体"/>
                      <w:kern w:val="2"/>
                      <w:sz w:val="18"/>
                      <w:szCs w:val="18"/>
                      <w:highlight w:val="none"/>
                      <w:lang w:val="en-US" w:eastAsia="zh-CN" w:bidi="ar"/>
                    </w:rPr>
                    <w:t>°</w:t>
                  </w:r>
                </w:p>
              </w:tc>
              <w:tc>
                <w:tcPr>
                  <w:tcW w:w="630" w:type="dxa"/>
                  <w:tcBorders>
                    <w:top w:val="single" w:color="auto" w:sz="4" w:space="0"/>
                    <w:left w:val="single" w:color="auto" w:sz="4" w:space="0"/>
                    <w:bottom w:val="single" w:color="auto" w:sz="4" w:space="0"/>
                    <w:right w:val="single" w:color="auto" w:sz="4" w:space="0"/>
                  </w:tcBorders>
                  <w:shd w:val="clear" w:color="auto" w:fill="auto"/>
                  <w:vAlign w:val="center"/>
                </w:tcPr>
                <w:p w14:paraId="2E7A2510">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kern w:val="2"/>
                      <w:sz w:val="18"/>
                      <w:szCs w:val="18"/>
                      <w:highlight w:val="none"/>
                    </w:rPr>
                  </w:pPr>
                  <w:r>
                    <w:rPr>
                      <w:rFonts w:hint="default" w:ascii="Times New Roman" w:hAnsi="Times New Roman" w:eastAsia="宋体" w:cs="Times New Roman"/>
                      <w:kern w:val="2"/>
                      <w:sz w:val="18"/>
                      <w:szCs w:val="18"/>
                      <w:highlight w:val="none"/>
                      <w:lang w:val="en-US" w:eastAsia="zh-CN" w:bidi="ar"/>
                    </w:rPr>
                    <w:t>6.6</w:t>
                  </w:r>
                </w:p>
              </w:tc>
              <w:tc>
                <w:tcPr>
                  <w:tcW w:w="600" w:type="dxa"/>
                  <w:tcBorders>
                    <w:top w:val="single" w:color="auto" w:sz="4" w:space="0"/>
                    <w:left w:val="single" w:color="auto" w:sz="4" w:space="0"/>
                    <w:bottom w:val="single" w:color="auto" w:sz="4" w:space="0"/>
                    <w:right w:val="single" w:color="auto" w:sz="4" w:space="0"/>
                  </w:tcBorders>
                  <w:shd w:val="clear" w:color="auto" w:fill="auto"/>
                  <w:vAlign w:val="center"/>
                </w:tcPr>
                <w:p w14:paraId="5B6CEE13">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kern w:val="2"/>
                      <w:sz w:val="18"/>
                      <w:szCs w:val="18"/>
                      <w:highlight w:val="none"/>
                    </w:rPr>
                  </w:pPr>
                  <w:r>
                    <w:rPr>
                      <w:rFonts w:hint="default" w:ascii="Times New Roman" w:hAnsi="Times New Roman" w:eastAsia="宋体" w:cs="Times New Roman"/>
                      <w:kern w:val="2"/>
                      <w:sz w:val="18"/>
                      <w:szCs w:val="18"/>
                      <w:highlight w:val="none"/>
                      <w:lang w:val="en-US" w:eastAsia="zh-CN" w:bidi="ar"/>
                    </w:rPr>
                    <w:t>100</w:t>
                  </w:r>
                </w:p>
              </w:tc>
              <w:tc>
                <w:tcPr>
                  <w:tcW w:w="593" w:type="dxa"/>
                  <w:tcBorders>
                    <w:top w:val="single" w:color="auto" w:sz="4" w:space="0"/>
                    <w:left w:val="single" w:color="auto" w:sz="4" w:space="0"/>
                    <w:bottom w:val="single" w:color="auto" w:sz="4" w:space="0"/>
                    <w:right w:val="single" w:color="auto" w:sz="4" w:space="0"/>
                  </w:tcBorders>
                  <w:shd w:val="clear" w:color="auto" w:fill="auto"/>
                  <w:vAlign w:val="center"/>
                </w:tcPr>
                <w:p w14:paraId="689D54E1">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kern w:val="2"/>
                      <w:sz w:val="18"/>
                      <w:szCs w:val="18"/>
                      <w:highlight w:val="none"/>
                    </w:rPr>
                  </w:pPr>
                  <w:r>
                    <w:rPr>
                      <w:rFonts w:hint="default" w:ascii="Times New Roman" w:hAnsi="Times New Roman" w:eastAsia="宋体" w:cs="Times New Roman"/>
                      <w:kern w:val="2"/>
                      <w:sz w:val="18"/>
                      <w:szCs w:val="18"/>
                      <w:highlight w:val="none"/>
                      <w:lang w:val="en-US" w:eastAsia="zh-CN" w:bidi="ar"/>
                    </w:rPr>
                    <w:t>80</w:t>
                  </w:r>
                </w:p>
              </w:tc>
              <w:tc>
                <w:tcPr>
                  <w:tcW w:w="615" w:type="dxa"/>
                  <w:tcBorders>
                    <w:top w:val="single" w:color="auto" w:sz="4" w:space="0"/>
                    <w:left w:val="single" w:color="auto" w:sz="4" w:space="0"/>
                    <w:bottom w:val="single" w:color="auto" w:sz="4" w:space="0"/>
                    <w:right w:val="single" w:color="auto" w:sz="4" w:space="0"/>
                  </w:tcBorders>
                  <w:shd w:val="clear" w:color="auto" w:fill="auto"/>
                  <w:vAlign w:val="center"/>
                </w:tcPr>
                <w:p w14:paraId="0ED381F1">
                  <w:pPr>
                    <w:keepNext w:val="0"/>
                    <w:keepLines w:val="0"/>
                    <w:widowControl/>
                    <w:suppressLineNumbers w:val="0"/>
                    <w:spacing w:before="0" w:beforeAutospacing="0" w:after="0" w:afterAutospacing="0"/>
                    <w:ind w:left="0" w:right="0"/>
                    <w:jc w:val="center"/>
                    <w:textAlignment w:val="center"/>
                    <w:rPr>
                      <w:rFonts w:hint="eastAsia" w:ascii="Times New Roman" w:hAnsi="Times New Roman" w:eastAsia="宋体" w:cs="Times New Roman"/>
                      <w:kern w:val="2"/>
                      <w:sz w:val="18"/>
                      <w:szCs w:val="18"/>
                      <w:highlight w:val="none"/>
                    </w:rPr>
                  </w:pPr>
                  <w:r>
                    <w:rPr>
                      <w:rFonts w:hint="default" w:ascii="Times New Roman" w:hAnsi="Times New Roman" w:eastAsia="宋体" w:cs="Times New Roman"/>
                      <w:kern w:val="2"/>
                      <w:sz w:val="18"/>
                      <w:szCs w:val="18"/>
                      <w:highlight w:val="none"/>
                      <w:lang w:val="en-US" w:eastAsia="zh-CN" w:bidi="ar"/>
                    </w:rPr>
                    <w:t>3</w:t>
                  </w:r>
                </w:p>
              </w:tc>
              <w:tc>
                <w:tcPr>
                  <w:tcW w:w="637" w:type="dxa"/>
                  <w:tcBorders>
                    <w:top w:val="single" w:color="auto" w:sz="4" w:space="0"/>
                    <w:left w:val="single" w:color="auto" w:sz="4" w:space="0"/>
                    <w:bottom w:val="single" w:color="auto" w:sz="4" w:space="0"/>
                    <w:right w:val="single" w:color="auto" w:sz="4" w:space="0"/>
                  </w:tcBorders>
                  <w:shd w:val="clear" w:color="auto" w:fill="auto"/>
                  <w:vAlign w:val="center"/>
                </w:tcPr>
                <w:p w14:paraId="0F0403A7">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kern w:val="2"/>
                      <w:sz w:val="18"/>
                      <w:szCs w:val="18"/>
                      <w:highlight w:val="none"/>
                    </w:rPr>
                  </w:pPr>
                  <w:r>
                    <w:rPr>
                      <w:rFonts w:hint="default" w:ascii="Times New Roman" w:hAnsi="Times New Roman" w:eastAsia="宋体" w:cs="Times New Roman"/>
                      <w:kern w:val="2"/>
                      <w:sz w:val="18"/>
                      <w:szCs w:val="18"/>
                      <w:highlight w:val="none"/>
                      <w:lang w:val="en-US" w:eastAsia="zh-CN" w:bidi="ar"/>
                    </w:rPr>
                    <w:t>36</w:t>
                  </w:r>
                </w:p>
              </w:tc>
              <w:tc>
                <w:tcPr>
                  <w:tcW w:w="645" w:type="dxa"/>
                  <w:tcBorders>
                    <w:top w:val="single" w:color="auto" w:sz="4" w:space="0"/>
                    <w:left w:val="single" w:color="auto" w:sz="4" w:space="0"/>
                    <w:bottom w:val="single" w:color="auto" w:sz="4" w:space="0"/>
                    <w:right w:val="single" w:color="auto" w:sz="4" w:space="0"/>
                  </w:tcBorders>
                  <w:shd w:val="clear" w:color="auto" w:fill="auto"/>
                  <w:vAlign w:val="center"/>
                </w:tcPr>
                <w:p w14:paraId="5A57152A">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kern w:val="2"/>
                      <w:sz w:val="18"/>
                      <w:szCs w:val="18"/>
                      <w:highlight w:val="none"/>
                    </w:rPr>
                  </w:pPr>
                  <w:r>
                    <w:rPr>
                      <w:rFonts w:hint="default" w:ascii="Times New Roman" w:hAnsi="Times New Roman" w:eastAsia="宋体" w:cs="Times New Roman"/>
                      <w:kern w:val="2"/>
                      <w:sz w:val="18"/>
                      <w:szCs w:val="18"/>
                      <w:highlight w:val="none"/>
                      <w:lang w:val="en-US" w:eastAsia="zh-CN" w:bidi="ar"/>
                    </w:rPr>
                    <w:t>2080</w:t>
                  </w:r>
                </w:p>
              </w:tc>
              <w:tc>
                <w:tcPr>
                  <w:tcW w:w="585" w:type="dxa"/>
                  <w:tcBorders>
                    <w:top w:val="single" w:color="auto" w:sz="4" w:space="0"/>
                    <w:left w:val="single" w:color="auto" w:sz="4" w:space="0"/>
                    <w:bottom w:val="single" w:color="auto" w:sz="4" w:space="0"/>
                    <w:right w:val="single" w:color="auto" w:sz="4" w:space="0"/>
                  </w:tcBorders>
                  <w:shd w:val="clear" w:color="auto" w:fill="auto"/>
                  <w:vAlign w:val="center"/>
                </w:tcPr>
                <w:p w14:paraId="2E635693">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kern w:val="2"/>
                      <w:sz w:val="18"/>
                      <w:szCs w:val="18"/>
                      <w:highlight w:val="none"/>
                    </w:rPr>
                  </w:pPr>
                  <w:r>
                    <w:rPr>
                      <w:rFonts w:hint="eastAsia" w:ascii="宋体" w:hAnsi="宋体" w:eastAsia="宋体" w:cs="宋体"/>
                      <w:kern w:val="2"/>
                      <w:sz w:val="18"/>
                      <w:szCs w:val="18"/>
                      <w:highlight w:val="none"/>
                      <w:lang w:val="en-US" w:eastAsia="zh-CN" w:bidi="ar"/>
                    </w:rPr>
                    <w:t>正常工况</w:t>
                  </w:r>
                </w:p>
              </w:tc>
              <w:tc>
                <w:tcPr>
                  <w:tcW w:w="825" w:type="dxa"/>
                  <w:tcBorders>
                    <w:top w:val="single" w:color="auto" w:sz="4" w:space="0"/>
                    <w:left w:val="single" w:color="auto" w:sz="4" w:space="0"/>
                    <w:bottom w:val="single" w:color="auto" w:sz="4" w:space="0"/>
                    <w:right w:val="single" w:color="auto" w:sz="4" w:space="0"/>
                  </w:tcBorders>
                  <w:shd w:val="clear" w:color="auto" w:fill="auto"/>
                  <w:vAlign w:val="center"/>
                </w:tcPr>
                <w:p w14:paraId="6AE2BC93">
                  <w:pPr>
                    <w:keepNext w:val="0"/>
                    <w:keepLines w:val="0"/>
                    <w:widowControl w:val="0"/>
                    <w:suppressLineNumbers w:val="0"/>
                    <w:spacing w:before="0" w:beforeAutospacing="0" w:after="0" w:afterAutospacing="0"/>
                    <w:ind w:left="0" w:right="0"/>
                    <w:jc w:val="center"/>
                    <w:rPr>
                      <w:rFonts w:hint="eastAsia" w:ascii="Times New Roman" w:hAnsi="Times New Roman" w:eastAsia="宋体" w:cs="Times New Roman"/>
                      <w:kern w:val="2"/>
                      <w:sz w:val="18"/>
                      <w:szCs w:val="18"/>
                      <w:highlight w:val="none"/>
                    </w:rPr>
                  </w:pPr>
                  <w:r>
                    <w:rPr>
                      <w:rFonts w:hint="eastAsia" w:ascii="宋体" w:hAnsi="宋体" w:eastAsia="宋体" w:cs="宋体"/>
                      <w:kern w:val="2"/>
                      <w:sz w:val="18"/>
                      <w:szCs w:val="18"/>
                      <w:highlight w:val="none"/>
                      <w:lang w:val="en-US" w:eastAsia="zh-CN" w:bidi="ar"/>
                    </w:rPr>
                    <w:t>非甲烷总烃</w:t>
                  </w:r>
                </w:p>
              </w:tc>
              <w:tc>
                <w:tcPr>
                  <w:tcW w:w="625" w:type="dxa"/>
                  <w:tcBorders>
                    <w:top w:val="single" w:color="auto" w:sz="4" w:space="0"/>
                    <w:left w:val="single" w:color="auto" w:sz="4" w:space="0"/>
                    <w:bottom w:val="single" w:color="auto" w:sz="4" w:space="0"/>
                    <w:right w:val="single" w:color="auto" w:sz="4" w:space="0"/>
                  </w:tcBorders>
                  <w:shd w:val="clear" w:color="auto" w:fill="auto"/>
                  <w:vAlign w:val="center"/>
                </w:tcPr>
                <w:p w14:paraId="4023DCA7">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kern w:val="2"/>
                      <w:sz w:val="18"/>
                      <w:szCs w:val="18"/>
                      <w:highlight w:val="none"/>
                      <w:lang w:val="en-US"/>
                    </w:rPr>
                  </w:pPr>
                  <w:r>
                    <w:rPr>
                      <w:rFonts w:hint="default" w:ascii="Times New Roman" w:hAnsi="Times New Roman" w:eastAsia="宋体" w:cs="Times New Roman"/>
                      <w:kern w:val="2"/>
                      <w:sz w:val="18"/>
                      <w:szCs w:val="18"/>
                      <w:highlight w:val="none"/>
                      <w:lang w:val="en-US" w:eastAsia="zh-CN" w:bidi="ar"/>
                    </w:rPr>
                    <w:t>0.0</w:t>
                  </w:r>
                  <w:r>
                    <w:rPr>
                      <w:rFonts w:hint="eastAsia" w:cs="Times New Roman"/>
                      <w:kern w:val="2"/>
                      <w:sz w:val="18"/>
                      <w:szCs w:val="18"/>
                      <w:highlight w:val="none"/>
                      <w:lang w:val="en-US" w:eastAsia="zh-CN" w:bidi="ar"/>
                    </w:rPr>
                    <w:t>53</w:t>
                  </w:r>
                </w:p>
              </w:tc>
            </w:tr>
          </w:tbl>
          <w:p w14:paraId="7287067B">
            <w:pPr>
              <w:keepNext w:val="0"/>
              <w:keepLines w:val="0"/>
              <w:pageBreakBefore w:val="0"/>
              <w:widowControl w:val="0"/>
              <w:numPr>
                <w:ilvl w:val="0"/>
                <w:numId w:val="0"/>
              </w:numPr>
              <w:suppressLineNumbers w:val="0"/>
              <w:kinsoku/>
              <w:wordWrap/>
              <w:overflowPunct/>
              <w:topLinePunct w:val="0"/>
              <w:autoSpaceDE/>
              <w:autoSpaceDN/>
              <w:bidi w:val="0"/>
              <w:adjustRightInd/>
              <w:snapToGrid/>
              <w:spacing w:before="0" w:beforeAutospacing="0" w:after="0" w:afterAutospacing="0" w:line="360" w:lineRule="auto"/>
              <w:ind w:left="0" w:right="0" w:firstLine="480" w:firstLineChars="200"/>
              <w:textAlignment w:val="auto"/>
              <w:rPr>
                <w:rFonts w:hint="eastAsia" w:ascii="Times New Roman" w:hAnsi="Times New Roman" w:eastAsia="宋体" w:cs="Times New Roman"/>
                <w:b w:val="0"/>
                <w:bCs w:val="0"/>
                <w:strike w:val="0"/>
                <w:dstrike w:val="0"/>
                <w:color w:val="auto"/>
                <w:kern w:val="2"/>
                <w:sz w:val="24"/>
                <w:szCs w:val="24"/>
                <w:highlight w:val="none"/>
                <w:lang w:val="en-US" w:eastAsia="zh-CN" w:bidi="ar-SA"/>
              </w:rPr>
            </w:pPr>
            <w:r>
              <w:rPr>
                <w:rFonts w:hint="eastAsia" w:ascii="Times New Roman" w:hAnsi="Times New Roman" w:eastAsia="宋体" w:cs="Times New Roman"/>
                <w:b w:val="0"/>
                <w:bCs w:val="0"/>
                <w:strike w:val="0"/>
                <w:dstrike w:val="0"/>
                <w:color w:val="auto"/>
                <w:kern w:val="2"/>
                <w:sz w:val="24"/>
                <w:szCs w:val="24"/>
                <w:highlight w:val="none"/>
                <w:lang w:val="en-US" w:eastAsia="zh-CN" w:bidi="ar-SA"/>
              </w:rPr>
              <w:t>（4）评价工作等级判定</w:t>
            </w:r>
          </w:p>
          <w:p w14:paraId="120B422B">
            <w:pPr>
              <w:keepNext w:val="0"/>
              <w:keepLines w:val="0"/>
              <w:pageBreakBefore w:val="0"/>
              <w:widowControl w:val="0"/>
              <w:numPr>
                <w:ilvl w:val="0"/>
                <w:numId w:val="0"/>
              </w:numPr>
              <w:suppressLineNumbers w:val="0"/>
              <w:kinsoku/>
              <w:wordWrap/>
              <w:overflowPunct/>
              <w:topLinePunct w:val="0"/>
              <w:autoSpaceDE/>
              <w:autoSpaceDN/>
              <w:bidi w:val="0"/>
              <w:adjustRightInd/>
              <w:snapToGrid/>
              <w:spacing w:before="0" w:beforeAutospacing="0" w:after="0" w:afterAutospacing="0" w:line="360" w:lineRule="auto"/>
              <w:ind w:left="0" w:right="0" w:firstLine="480" w:firstLineChars="200"/>
              <w:textAlignment w:val="auto"/>
              <w:rPr>
                <w:rFonts w:hint="eastAsia" w:ascii="Times New Roman" w:hAnsi="Times New Roman" w:eastAsia="宋体" w:cs="Times New Roman"/>
                <w:b w:val="0"/>
                <w:bCs w:val="0"/>
                <w:strike w:val="0"/>
                <w:dstrike w:val="0"/>
                <w:color w:val="auto"/>
                <w:kern w:val="2"/>
                <w:sz w:val="24"/>
                <w:szCs w:val="24"/>
                <w:highlight w:val="none"/>
                <w:lang w:val="en-US" w:eastAsia="zh-CN" w:bidi="ar-SA"/>
              </w:rPr>
            </w:pPr>
            <w:r>
              <w:rPr>
                <w:rFonts w:hint="eastAsia" w:ascii="Times New Roman" w:hAnsi="Times New Roman" w:eastAsia="宋体" w:cs="Times New Roman"/>
                <w:b w:val="0"/>
                <w:bCs w:val="0"/>
                <w:strike w:val="0"/>
                <w:dstrike w:val="0"/>
                <w:color w:val="auto"/>
                <w:kern w:val="2"/>
                <w:sz w:val="24"/>
                <w:szCs w:val="24"/>
                <w:highlight w:val="none"/>
                <w:lang w:val="en-US" w:eastAsia="zh-CN" w:bidi="ar-SA"/>
              </w:rPr>
              <w:t>根据《环境影响评价技术导则 大气环境》（HJ2.2-2018），本环评采用AERSCREEN模型进行筛选与评价。主要污染源估算模型计算结果如下：</w:t>
            </w:r>
          </w:p>
          <w:p w14:paraId="48052F00">
            <w:pPr>
              <w:keepNext w:val="0"/>
              <w:keepLines w:val="0"/>
              <w:pageBreakBefore w:val="0"/>
              <w:widowControl w:val="0"/>
              <w:numPr>
                <w:ilvl w:val="0"/>
                <w:numId w:val="0"/>
              </w:numPr>
              <w:suppressLineNumbers w:val="0"/>
              <w:kinsoku/>
              <w:wordWrap/>
              <w:overflowPunct/>
              <w:topLinePunct w:val="0"/>
              <w:autoSpaceDE/>
              <w:autoSpaceDN/>
              <w:bidi w:val="0"/>
              <w:adjustRightInd/>
              <w:snapToGrid/>
              <w:spacing w:before="0" w:beforeAutospacing="0" w:after="0" w:afterAutospacing="0" w:line="360" w:lineRule="auto"/>
              <w:ind w:left="0" w:right="0" w:firstLine="482" w:firstLineChars="200"/>
              <w:jc w:val="center"/>
              <w:textAlignment w:val="auto"/>
              <w:rPr>
                <w:rFonts w:hint="default" w:ascii="Times New Roman" w:hAnsi="Times New Roman" w:eastAsia="宋体" w:cs="Times New Roman"/>
                <w:b w:val="0"/>
                <w:bCs w:val="0"/>
                <w:strike w:val="0"/>
                <w:dstrike w:val="0"/>
                <w:color w:val="auto"/>
                <w:kern w:val="2"/>
                <w:sz w:val="24"/>
                <w:szCs w:val="24"/>
                <w:highlight w:val="none"/>
                <w:lang w:val="en-US" w:eastAsia="zh-CN" w:bidi="ar-SA"/>
              </w:rPr>
            </w:pPr>
            <w:r>
              <w:rPr>
                <w:rFonts w:hint="default" w:ascii="Times New Roman" w:hAnsi="Times New Roman" w:eastAsia="宋体" w:cs="Times New Roman"/>
                <w:b/>
                <w:strike w:val="0"/>
                <w:color w:val="auto"/>
                <w:sz w:val="24"/>
                <w:highlight w:val="none"/>
              </w:rPr>
              <w:t>表</w:t>
            </w:r>
            <w:r>
              <w:rPr>
                <w:rFonts w:hint="eastAsia" w:ascii="Times New Roman" w:hAnsi="Times New Roman" w:eastAsia="宋体" w:cs="Times New Roman"/>
                <w:b/>
                <w:strike w:val="0"/>
                <w:color w:val="auto"/>
                <w:sz w:val="24"/>
                <w:highlight w:val="none"/>
                <w:lang w:val="en-US" w:eastAsia="zh-CN"/>
              </w:rPr>
              <w:t>7-6  主要污染源估算模型计算结果表</w:t>
            </w:r>
          </w:p>
          <w:tbl>
            <w:tblPr>
              <w:tblStyle w:val="32"/>
              <w:tblW w:w="8205"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28" w:type="dxa"/>
                <w:bottom w:w="0" w:type="dxa"/>
                <w:right w:w="28" w:type="dxa"/>
              </w:tblCellMar>
            </w:tblPr>
            <w:tblGrid>
              <w:gridCol w:w="897"/>
              <w:gridCol w:w="1181"/>
              <w:gridCol w:w="795"/>
              <w:gridCol w:w="915"/>
              <w:gridCol w:w="1065"/>
              <w:gridCol w:w="1185"/>
              <w:gridCol w:w="690"/>
              <w:gridCol w:w="765"/>
              <w:gridCol w:w="712"/>
            </w:tblGrid>
            <w:tr w14:paraId="28E96DE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c>
                <w:tcPr>
                  <w:tcW w:w="897" w:type="dxa"/>
                  <w:noWrap w:val="0"/>
                  <w:vAlign w:val="center"/>
                </w:tcPr>
                <w:p w14:paraId="3D3B1BF2">
                  <w:pPr>
                    <w:keepNext w:val="0"/>
                    <w:keepLines w:val="0"/>
                    <w:widowControl/>
                    <w:suppressLineNumbers w:val="0"/>
                    <w:spacing w:before="0" w:beforeAutospacing="0" w:after="0" w:afterAutospacing="0" w:line="288" w:lineRule="auto"/>
                    <w:ind w:left="0" w:right="0"/>
                    <w:jc w:val="center"/>
                    <w:rPr>
                      <w:rFonts w:hint="eastAsia"/>
                      <w:sz w:val="21"/>
                      <w:szCs w:val="21"/>
                      <w:highlight w:val="none"/>
                    </w:rPr>
                  </w:pPr>
                  <w:r>
                    <w:rPr>
                      <w:rFonts w:hint="eastAsia" w:ascii="宋体" w:hAnsi="宋体" w:cs="宋体"/>
                      <w:color w:val="000000"/>
                      <w:kern w:val="0"/>
                      <w:sz w:val="21"/>
                      <w:szCs w:val="21"/>
                      <w:highlight w:val="none"/>
                      <w:lang w:bidi="ar"/>
                    </w:rPr>
                    <w:t>污染源</w:t>
                  </w:r>
                </w:p>
              </w:tc>
              <w:tc>
                <w:tcPr>
                  <w:tcW w:w="1181" w:type="dxa"/>
                  <w:noWrap w:val="0"/>
                  <w:vAlign w:val="center"/>
                </w:tcPr>
                <w:p w14:paraId="6CD33EA1">
                  <w:pPr>
                    <w:keepNext w:val="0"/>
                    <w:keepLines w:val="0"/>
                    <w:widowControl/>
                    <w:suppressLineNumbers w:val="0"/>
                    <w:spacing w:before="0" w:beforeAutospacing="0" w:after="0" w:afterAutospacing="0" w:line="288" w:lineRule="auto"/>
                    <w:ind w:left="0" w:right="0"/>
                    <w:jc w:val="center"/>
                    <w:rPr>
                      <w:rFonts w:hint="eastAsia"/>
                      <w:sz w:val="21"/>
                      <w:szCs w:val="21"/>
                      <w:highlight w:val="none"/>
                    </w:rPr>
                  </w:pPr>
                  <w:r>
                    <w:rPr>
                      <w:rFonts w:hint="eastAsia" w:ascii="宋体" w:hAnsi="宋体" w:cs="宋体"/>
                      <w:color w:val="000000"/>
                      <w:kern w:val="0"/>
                      <w:sz w:val="21"/>
                      <w:szCs w:val="21"/>
                      <w:highlight w:val="none"/>
                      <w:lang w:bidi="ar"/>
                    </w:rPr>
                    <w:t>污染因子</w:t>
                  </w:r>
                </w:p>
              </w:tc>
              <w:tc>
                <w:tcPr>
                  <w:tcW w:w="795" w:type="dxa"/>
                  <w:noWrap w:val="0"/>
                  <w:vAlign w:val="center"/>
                </w:tcPr>
                <w:p w14:paraId="1A19B89E">
                  <w:pPr>
                    <w:keepNext w:val="0"/>
                    <w:keepLines w:val="0"/>
                    <w:widowControl/>
                    <w:suppressLineNumbers w:val="0"/>
                    <w:spacing w:before="0" w:beforeAutospacing="0" w:after="0" w:afterAutospacing="0" w:line="288" w:lineRule="auto"/>
                    <w:ind w:left="0" w:right="0"/>
                    <w:jc w:val="center"/>
                    <w:rPr>
                      <w:rFonts w:hint="default"/>
                      <w:sz w:val="21"/>
                      <w:szCs w:val="21"/>
                      <w:highlight w:val="none"/>
                    </w:rPr>
                  </w:pPr>
                  <w:r>
                    <w:rPr>
                      <w:rFonts w:hint="eastAsia" w:ascii="宋体" w:hAnsi="宋体" w:cs="宋体"/>
                      <w:color w:val="000000"/>
                      <w:kern w:val="0"/>
                      <w:sz w:val="21"/>
                      <w:szCs w:val="21"/>
                      <w:highlight w:val="none"/>
                      <w:lang w:bidi="ar"/>
                    </w:rPr>
                    <w:t>源强</w:t>
                  </w:r>
                </w:p>
                <w:p w14:paraId="6A909201">
                  <w:pPr>
                    <w:keepNext w:val="0"/>
                    <w:keepLines w:val="0"/>
                    <w:widowControl/>
                    <w:suppressLineNumbers w:val="0"/>
                    <w:spacing w:before="0" w:beforeAutospacing="0" w:after="0" w:afterAutospacing="0" w:line="288" w:lineRule="auto"/>
                    <w:ind w:left="0" w:right="0"/>
                    <w:jc w:val="center"/>
                    <w:rPr>
                      <w:rFonts w:hint="eastAsia"/>
                      <w:sz w:val="21"/>
                      <w:szCs w:val="21"/>
                      <w:highlight w:val="none"/>
                    </w:rPr>
                  </w:pPr>
                  <w:r>
                    <w:rPr>
                      <w:rFonts w:hint="default"/>
                      <w:color w:val="000000"/>
                      <w:kern w:val="0"/>
                      <w:sz w:val="21"/>
                      <w:szCs w:val="21"/>
                      <w:highlight w:val="none"/>
                      <w:lang w:bidi="ar"/>
                    </w:rPr>
                    <w:t>(kg/h)</w:t>
                  </w:r>
                </w:p>
              </w:tc>
              <w:tc>
                <w:tcPr>
                  <w:tcW w:w="915" w:type="dxa"/>
                  <w:noWrap w:val="0"/>
                  <w:vAlign w:val="center"/>
                </w:tcPr>
                <w:p w14:paraId="28F4069C">
                  <w:pPr>
                    <w:keepNext w:val="0"/>
                    <w:keepLines w:val="0"/>
                    <w:widowControl/>
                    <w:suppressLineNumbers w:val="0"/>
                    <w:spacing w:before="0" w:beforeAutospacing="0" w:after="0" w:afterAutospacing="0" w:line="288" w:lineRule="auto"/>
                    <w:ind w:left="0" w:right="0"/>
                    <w:jc w:val="center"/>
                    <w:rPr>
                      <w:rFonts w:hint="eastAsia"/>
                      <w:sz w:val="21"/>
                      <w:szCs w:val="21"/>
                      <w:highlight w:val="none"/>
                    </w:rPr>
                  </w:pPr>
                  <w:r>
                    <w:rPr>
                      <w:rFonts w:hint="eastAsia" w:ascii="宋体" w:hAnsi="宋体" w:cs="宋体"/>
                      <w:color w:val="000000"/>
                      <w:kern w:val="0"/>
                      <w:sz w:val="21"/>
                      <w:szCs w:val="21"/>
                      <w:highlight w:val="none"/>
                      <w:lang w:bidi="ar"/>
                    </w:rPr>
                    <w:t>执行标准</w:t>
                  </w:r>
                  <w:r>
                    <w:rPr>
                      <w:rFonts w:hint="default"/>
                      <w:color w:val="000000"/>
                      <w:kern w:val="0"/>
                      <w:sz w:val="21"/>
                      <w:szCs w:val="21"/>
                      <w:highlight w:val="none"/>
                      <w:lang w:bidi="ar"/>
                    </w:rPr>
                    <w:t>(mg/m</w:t>
                  </w:r>
                  <w:r>
                    <w:rPr>
                      <w:rFonts w:hint="eastAsia"/>
                      <w:color w:val="000000"/>
                      <w:kern w:val="0"/>
                      <w:sz w:val="21"/>
                      <w:szCs w:val="21"/>
                      <w:highlight w:val="none"/>
                      <w:vertAlign w:val="superscript"/>
                      <w:lang w:bidi="ar"/>
                    </w:rPr>
                    <w:t>3</w:t>
                  </w:r>
                  <w:r>
                    <w:rPr>
                      <w:rFonts w:hint="default"/>
                      <w:color w:val="000000"/>
                      <w:kern w:val="0"/>
                      <w:sz w:val="21"/>
                      <w:szCs w:val="21"/>
                      <w:highlight w:val="none"/>
                      <w:lang w:bidi="ar"/>
                    </w:rPr>
                    <w:t>)</w:t>
                  </w:r>
                </w:p>
              </w:tc>
              <w:tc>
                <w:tcPr>
                  <w:tcW w:w="1065" w:type="dxa"/>
                  <w:noWrap w:val="0"/>
                  <w:vAlign w:val="center"/>
                </w:tcPr>
                <w:p w14:paraId="25424324">
                  <w:pPr>
                    <w:keepNext w:val="0"/>
                    <w:keepLines w:val="0"/>
                    <w:widowControl/>
                    <w:suppressLineNumbers w:val="0"/>
                    <w:spacing w:before="0" w:beforeAutospacing="0" w:after="0" w:afterAutospacing="0" w:line="288" w:lineRule="auto"/>
                    <w:ind w:left="0" w:right="0"/>
                    <w:jc w:val="center"/>
                    <w:rPr>
                      <w:rFonts w:hint="eastAsia"/>
                      <w:sz w:val="21"/>
                      <w:szCs w:val="21"/>
                      <w:highlight w:val="none"/>
                    </w:rPr>
                  </w:pPr>
                  <w:r>
                    <w:rPr>
                      <w:rFonts w:hint="eastAsia" w:ascii="宋体" w:hAnsi="宋体" w:cs="宋体"/>
                      <w:color w:val="000000"/>
                      <w:kern w:val="0"/>
                      <w:sz w:val="21"/>
                      <w:szCs w:val="21"/>
                      <w:highlight w:val="none"/>
                      <w:lang w:bidi="ar"/>
                    </w:rPr>
                    <w:t>最大落地点距离（</w:t>
                  </w:r>
                  <w:r>
                    <w:rPr>
                      <w:rFonts w:hint="default"/>
                      <w:color w:val="000000"/>
                      <w:kern w:val="0"/>
                      <w:sz w:val="21"/>
                      <w:szCs w:val="21"/>
                      <w:highlight w:val="none"/>
                      <w:lang w:bidi="ar"/>
                    </w:rPr>
                    <w:t>m</w:t>
                  </w:r>
                  <w:r>
                    <w:rPr>
                      <w:rFonts w:hint="eastAsia" w:ascii="宋体" w:hAnsi="宋体" w:cs="宋体"/>
                      <w:color w:val="000000"/>
                      <w:kern w:val="0"/>
                      <w:sz w:val="21"/>
                      <w:szCs w:val="21"/>
                      <w:highlight w:val="none"/>
                      <w:lang w:bidi="ar"/>
                    </w:rPr>
                    <w:t>）</w:t>
                  </w:r>
                </w:p>
              </w:tc>
              <w:tc>
                <w:tcPr>
                  <w:tcW w:w="1185" w:type="dxa"/>
                  <w:noWrap w:val="0"/>
                  <w:vAlign w:val="center"/>
                </w:tcPr>
                <w:p w14:paraId="41B486A3">
                  <w:pPr>
                    <w:keepNext w:val="0"/>
                    <w:keepLines w:val="0"/>
                    <w:widowControl/>
                    <w:suppressLineNumbers w:val="0"/>
                    <w:spacing w:before="0" w:beforeAutospacing="0" w:after="0" w:afterAutospacing="0" w:line="288" w:lineRule="auto"/>
                    <w:ind w:left="0" w:right="0"/>
                    <w:jc w:val="center"/>
                    <w:rPr>
                      <w:rFonts w:hint="eastAsia"/>
                      <w:sz w:val="21"/>
                      <w:szCs w:val="21"/>
                      <w:highlight w:val="none"/>
                    </w:rPr>
                  </w:pPr>
                  <w:r>
                    <w:rPr>
                      <w:rFonts w:hint="eastAsia" w:ascii="宋体" w:hAnsi="宋体" w:cs="宋体"/>
                      <w:color w:val="000000"/>
                      <w:kern w:val="0"/>
                      <w:sz w:val="21"/>
                      <w:szCs w:val="21"/>
                      <w:highlight w:val="none"/>
                      <w:lang w:bidi="ar"/>
                    </w:rPr>
                    <w:t>最大落地点浓度</w:t>
                  </w:r>
                  <w:r>
                    <w:rPr>
                      <w:rFonts w:hint="default"/>
                      <w:color w:val="000000"/>
                      <w:kern w:val="0"/>
                      <w:sz w:val="21"/>
                      <w:szCs w:val="21"/>
                      <w:highlight w:val="none"/>
                      <w:lang w:bidi="ar"/>
                    </w:rPr>
                    <w:t>(mg/m</w:t>
                  </w:r>
                  <w:r>
                    <w:rPr>
                      <w:rFonts w:hint="eastAsia"/>
                      <w:color w:val="000000"/>
                      <w:kern w:val="0"/>
                      <w:sz w:val="21"/>
                      <w:szCs w:val="21"/>
                      <w:highlight w:val="none"/>
                      <w:vertAlign w:val="superscript"/>
                      <w:lang w:bidi="ar"/>
                    </w:rPr>
                    <w:t>3</w:t>
                  </w:r>
                  <w:r>
                    <w:rPr>
                      <w:rFonts w:hint="default"/>
                      <w:color w:val="000000"/>
                      <w:kern w:val="0"/>
                      <w:sz w:val="21"/>
                      <w:szCs w:val="21"/>
                      <w:highlight w:val="none"/>
                      <w:lang w:bidi="ar"/>
                    </w:rPr>
                    <w:t>)</w:t>
                  </w:r>
                </w:p>
              </w:tc>
              <w:tc>
                <w:tcPr>
                  <w:tcW w:w="690" w:type="dxa"/>
                  <w:noWrap w:val="0"/>
                  <w:vAlign w:val="center"/>
                </w:tcPr>
                <w:p w14:paraId="56042154">
                  <w:pPr>
                    <w:keepNext w:val="0"/>
                    <w:keepLines w:val="0"/>
                    <w:widowControl/>
                    <w:suppressLineNumbers w:val="0"/>
                    <w:spacing w:before="0" w:beforeAutospacing="0" w:after="0" w:afterAutospacing="0" w:line="288" w:lineRule="auto"/>
                    <w:ind w:left="0" w:right="0"/>
                    <w:jc w:val="center"/>
                    <w:rPr>
                      <w:rFonts w:hint="default"/>
                      <w:sz w:val="21"/>
                      <w:szCs w:val="21"/>
                      <w:highlight w:val="none"/>
                    </w:rPr>
                  </w:pPr>
                  <w:r>
                    <w:rPr>
                      <w:rFonts w:hint="default"/>
                      <w:color w:val="000000"/>
                      <w:kern w:val="0"/>
                      <w:sz w:val="21"/>
                      <w:szCs w:val="21"/>
                      <w:highlight w:val="none"/>
                      <w:lang w:bidi="ar"/>
                    </w:rPr>
                    <w:t>Pmax</w:t>
                  </w:r>
                </w:p>
                <w:p w14:paraId="63ABBDA8">
                  <w:pPr>
                    <w:keepNext w:val="0"/>
                    <w:keepLines w:val="0"/>
                    <w:widowControl/>
                    <w:suppressLineNumbers w:val="0"/>
                    <w:spacing w:before="0" w:beforeAutospacing="0" w:after="0" w:afterAutospacing="0" w:line="288" w:lineRule="auto"/>
                    <w:ind w:left="0" w:right="0"/>
                    <w:jc w:val="center"/>
                    <w:rPr>
                      <w:rFonts w:hint="eastAsia"/>
                      <w:sz w:val="21"/>
                      <w:szCs w:val="21"/>
                      <w:highlight w:val="none"/>
                    </w:rPr>
                  </w:pPr>
                  <w:r>
                    <w:rPr>
                      <w:rFonts w:hint="default"/>
                      <w:color w:val="000000"/>
                      <w:kern w:val="0"/>
                      <w:sz w:val="21"/>
                      <w:szCs w:val="21"/>
                      <w:highlight w:val="none"/>
                      <w:lang w:bidi="ar"/>
                    </w:rPr>
                    <w:t>(%)</w:t>
                  </w:r>
                </w:p>
              </w:tc>
              <w:tc>
                <w:tcPr>
                  <w:tcW w:w="765" w:type="dxa"/>
                  <w:noWrap w:val="0"/>
                  <w:vAlign w:val="center"/>
                </w:tcPr>
                <w:p w14:paraId="5EEB017A">
                  <w:pPr>
                    <w:keepNext w:val="0"/>
                    <w:keepLines w:val="0"/>
                    <w:widowControl/>
                    <w:suppressLineNumbers w:val="0"/>
                    <w:spacing w:before="0" w:beforeAutospacing="0" w:after="0" w:afterAutospacing="0" w:line="288" w:lineRule="auto"/>
                    <w:ind w:left="0" w:right="0"/>
                    <w:jc w:val="center"/>
                    <w:rPr>
                      <w:rFonts w:hint="default"/>
                      <w:sz w:val="21"/>
                      <w:szCs w:val="21"/>
                      <w:highlight w:val="none"/>
                    </w:rPr>
                  </w:pPr>
                  <w:r>
                    <w:rPr>
                      <w:rFonts w:hint="default"/>
                      <w:color w:val="000000"/>
                      <w:kern w:val="0"/>
                      <w:sz w:val="21"/>
                      <w:szCs w:val="21"/>
                      <w:highlight w:val="none"/>
                      <w:lang w:bidi="ar"/>
                    </w:rPr>
                    <w:t>D10%</w:t>
                  </w:r>
                </w:p>
                <w:p w14:paraId="7D95974E">
                  <w:pPr>
                    <w:keepNext w:val="0"/>
                    <w:keepLines w:val="0"/>
                    <w:widowControl/>
                    <w:suppressLineNumbers w:val="0"/>
                    <w:spacing w:before="0" w:beforeAutospacing="0" w:after="0" w:afterAutospacing="0" w:line="288" w:lineRule="auto"/>
                    <w:ind w:left="0" w:right="0"/>
                    <w:jc w:val="center"/>
                    <w:rPr>
                      <w:rFonts w:hint="eastAsia"/>
                      <w:sz w:val="21"/>
                      <w:szCs w:val="21"/>
                      <w:highlight w:val="none"/>
                    </w:rPr>
                  </w:pPr>
                  <w:r>
                    <w:rPr>
                      <w:rFonts w:hint="default"/>
                      <w:color w:val="000000"/>
                      <w:kern w:val="0"/>
                      <w:sz w:val="21"/>
                      <w:szCs w:val="21"/>
                      <w:highlight w:val="none"/>
                      <w:lang w:bidi="ar"/>
                    </w:rPr>
                    <w:t>(m)</w:t>
                  </w:r>
                </w:p>
              </w:tc>
              <w:tc>
                <w:tcPr>
                  <w:tcW w:w="712" w:type="dxa"/>
                  <w:noWrap w:val="0"/>
                  <w:vAlign w:val="center"/>
                </w:tcPr>
                <w:p w14:paraId="476DEBB0">
                  <w:pPr>
                    <w:keepNext w:val="0"/>
                    <w:keepLines w:val="0"/>
                    <w:widowControl/>
                    <w:suppressLineNumbers w:val="0"/>
                    <w:spacing w:before="0" w:beforeAutospacing="0" w:after="0" w:afterAutospacing="0" w:line="288" w:lineRule="auto"/>
                    <w:ind w:left="0" w:right="0"/>
                    <w:jc w:val="center"/>
                    <w:rPr>
                      <w:rFonts w:hint="default"/>
                      <w:sz w:val="21"/>
                      <w:szCs w:val="21"/>
                      <w:highlight w:val="none"/>
                    </w:rPr>
                  </w:pPr>
                  <w:r>
                    <w:rPr>
                      <w:rFonts w:hint="eastAsia" w:ascii="宋体" w:hAnsi="宋体" w:cs="宋体"/>
                      <w:color w:val="000000"/>
                      <w:kern w:val="0"/>
                      <w:sz w:val="21"/>
                      <w:szCs w:val="21"/>
                      <w:highlight w:val="none"/>
                      <w:lang w:bidi="ar"/>
                    </w:rPr>
                    <w:t>评价</w:t>
                  </w:r>
                </w:p>
                <w:p w14:paraId="32DEFAD0">
                  <w:pPr>
                    <w:keepNext w:val="0"/>
                    <w:keepLines w:val="0"/>
                    <w:widowControl/>
                    <w:suppressLineNumbers w:val="0"/>
                    <w:spacing w:before="0" w:beforeAutospacing="0" w:after="0" w:afterAutospacing="0" w:line="288" w:lineRule="auto"/>
                    <w:ind w:left="0" w:right="0"/>
                    <w:jc w:val="center"/>
                    <w:rPr>
                      <w:rFonts w:hint="eastAsia"/>
                      <w:sz w:val="21"/>
                      <w:szCs w:val="21"/>
                      <w:highlight w:val="none"/>
                    </w:rPr>
                  </w:pPr>
                  <w:r>
                    <w:rPr>
                      <w:rFonts w:hint="eastAsia" w:ascii="宋体" w:hAnsi="宋体" w:cs="宋体"/>
                      <w:color w:val="000000"/>
                      <w:kern w:val="0"/>
                      <w:sz w:val="21"/>
                      <w:szCs w:val="21"/>
                      <w:highlight w:val="none"/>
                      <w:lang w:bidi="ar"/>
                    </w:rPr>
                    <w:t>等级</w:t>
                  </w:r>
                </w:p>
              </w:tc>
            </w:tr>
            <w:tr w14:paraId="3AB9F3A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c>
                <w:tcPr>
                  <w:tcW w:w="897" w:type="dxa"/>
                  <w:vMerge w:val="restart"/>
                  <w:noWrap w:val="0"/>
                  <w:vAlign w:val="center"/>
                </w:tcPr>
                <w:p w14:paraId="1FB2B61F">
                  <w:pPr>
                    <w:keepNext w:val="0"/>
                    <w:keepLines w:val="0"/>
                    <w:suppressLineNumbers w:val="0"/>
                    <w:spacing w:before="0" w:beforeAutospacing="0" w:after="0" w:afterAutospacing="0" w:line="288" w:lineRule="auto"/>
                    <w:ind w:left="0" w:right="0"/>
                    <w:jc w:val="center"/>
                    <w:rPr>
                      <w:rFonts w:hint="default"/>
                      <w:sz w:val="21"/>
                      <w:szCs w:val="21"/>
                      <w:highlight w:val="none"/>
                    </w:rPr>
                  </w:pPr>
                  <w:r>
                    <w:rPr>
                      <w:rFonts w:hint="eastAsia"/>
                      <w:sz w:val="21"/>
                      <w:szCs w:val="21"/>
                      <w:highlight w:val="none"/>
                    </w:rPr>
                    <w:t>等效排气筒1</w:t>
                  </w:r>
                </w:p>
              </w:tc>
              <w:tc>
                <w:tcPr>
                  <w:tcW w:w="1181" w:type="dxa"/>
                  <w:noWrap w:val="0"/>
                  <w:vAlign w:val="center"/>
                </w:tcPr>
                <w:p w14:paraId="41588C58">
                  <w:pPr>
                    <w:keepNext w:val="0"/>
                    <w:keepLines w:val="0"/>
                    <w:widowControl/>
                    <w:suppressLineNumbers w:val="0"/>
                    <w:spacing w:before="0" w:beforeAutospacing="0" w:after="0" w:afterAutospacing="0" w:line="288" w:lineRule="auto"/>
                    <w:ind w:left="0" w:right="0"/>
                    <w:jc w:val="center"/>
                    <w:rPr>
                      <w:rFonts w:hint="eastAsia"/>
                      <w:sz w:val="21"/>
                      <w:szCs w:val="21"/>
                      <w:highlight w:val="none"/>
                    </w:rPr>
                  </w:pPr>
                  <w:r>
                    <w:rPr>
                      <w:rFonts w:hint="eastAsia" w:ascii="宋体" w:hAnsi="宋体" w:cs="宋体"/>
                      <w:color w:val="000000"/>
                      <w:kern w:val="0"/>
                      <w:sz w:val="21"/>
                      <w:szCs w:val="21"/>
                      <w:highlight w:val="none"/>
                      <w:lang w:bidi="ar"/>
                    </w:rPr>
                    <w:t>氨</w:t>
                  </w:r>
                </w:p>
              </w:tc>
              <w:tc>
                <w:tcPr>
                  <w:tcW w:w="795" w:type="dxa"/>
                  <w:noWrap w:val="0"/>
                  <w:vAlign w:val="center"/>
                </w:tcPr>
                <w:p w14:paraId="5F0D3C7F">
                  <w:pPr>
                    <w:keepNext w:val="0"/>
                    <w:keepLines w:val="0"/>
                    <w:widowControl/>
                    <w:suppressLineNumbers w:val="0"/>
                    <w:spacing w:before="0" w:beforeAutospacing="0" w:after="0" w:afterAutospacing="0"/>
                    <w:ind w:left="0" w:right="0"/>
                    <w:jc w:val="center"/>
                    <w:textAlignment w:val="center"/>
                    <w:rPr>
                      <w:rFonts w:hint="default" w:eastAsia="宋体"/>
                      <w:sz w:val="21"/>
                      <w:szCs w:val="21"/>
                      <w:highlight w:val="none"/>
                      <w:lang w:val="en-US" w:eastAsia="zh-CN"/>
                    </w:rPr>
                  </w:pPr>
                  <w:r>
                    <w:rPr>
                      <w:rFonts w:hint="default"/>
                      <w:color w:val="000000"/>
                      <w:kern w:val="0"/>
                      <w:sz w:val="21"/>
                      <w:szCs w:val="21"/>
                      <w:highlight w:val="none"/>
                      <w:lang w:bidi="ar"/>
                    </w:rPr>
                    <w:t>0.0</w:t>
                  </w:r>
                  <w:r>
                    <w:rPr>
                      <w:rFonts w:hint="eastAsia"/>
                      <w:color w:val="000000"/>
                      <w:kern w:val="0"/>
                      <w:sz w:val="21"/>
                      <w:szCs w:val="21"/>
                      <w:highlight w:val="none"/>
                      <w:lang w:val="en-US" w:eastAsia="zh-CN" w:bidi="ar"/>
                    </w:rPr>
                    <w:t>04</w:t>
                  </w:r>
                </w:p>
              </w:tc>
              <w:tc>
                <w:tcPr>
                  <w:tcW w:w="915" w:type="dxa"/>
                  <w:noWrap w:val="0"/>
                  <w:vAlign w:val="center"/>
                </w:tcPr>
                <w:p w14:paraId="4C38144E">
                  <w:pPr>
                    <w:keepNext w:val="0"/>
                    <w:keepLines w:val="0"/>
                    <w:suppressLineNumbers w:val="0"/>
                    <w:spacing w:before="0" w:beforeAutospacing="0" w:after="0" w:afterAutospacing="0" w:line="288" w:lineRule="auto"/>
                    <w:ind w:left="0" w:right="0"/>
                    <w:jc w:val="center"/>
                    <w:rPr>
                      <w:rFonts w:hint="default"/>
                      <w:sz w:val="21"/>
                      <w:szCs w:val="21"/>
                      <w:highlight w:val="none"/>
                    </w:rPr>
                  </w:pPr>
                  <w:r>
                    <w:rPr>
                      <w:rFonts w:hint="eastAsia"/>
                      <w:sz w:val="21"/>
                      <w:szCs w:val="21"/>
                      <w:highlight w:val="none"/>
                    </w:rPr>
                    <w:t>0.2</w:t>
                  </w:r>
                </w:p>
              </w:tc>
              <w:tc>
                <w:tcPr>
                  <w:tcW w:w="1065" w:type="dxa"/>
                  <w:noWrap w:val="0"/>
                  <w:vAlign w:val="center"/>
                </w:tcPr>
                <w:p w14:paraId="3E2B40FB">
                  <w:pPr>
                    <w:keepNext w:val="0"/>
                    <w:keepLines w:val="0"/>
                    <w:suppressLineNumbers w:val="0"/>
                    <w:spacing w:before="0" w:beforeAutospacing="0" w:after="0" w:afterAutospacing="0" w:line="288" w:lineRule="auto"/>
                    <w:ind w:left="0" w:right="0"/>
                    <w:jc w:val="center"/>
                    <w:rPr>
                      <w:rFonts w:hint="eastAsia" w:eastAsia="宋体"/>
                      <w:sz w:val="21"/>
                      <w:szCs w:val="21"/>
                      <w:highlight w:val="none"/>
                      <w:lang w:val="en-US" w:eastAsia="zh-CN"/>
                    </w:rPr>
                  </w:pPr>
                  <w:r>
                    <w:rPr>
                      <w:rFonts w:hint="eastAsia"/>
                      <w:sz w:val="21"/>
                      <w:szCs w:val="21"/>
                      <w:highlight w:val="none"/>
                    </w:rPr>
                    <w:t>24</w:t>
                  </w:r>
                  <w:r>
                    <w:rPr>
                      <w:rFonts w:hint="eastAsia"/>
                      <w:sz w:val="21"/>
                      <w:szCs w:val="21"/>
                      <w:highlight w:val="none"/>
                      <w:lang w:val="en-US" w:eastAsia="zh-CN"/>
                    </w:rPr>
                    <w:t>6</w:t>
                  </w:r>
                </w:p>
              </w:tc>
              <w:tc>
                <w:tcPr>
                  <w:tcW w:w="1185" w:type="dxa"/>
                  <w:noWrap w:val="0"/>
                  <w:vAlign w:val="center"/>
                </w:tcPr>
                <w:p w14:paraId="176D2BAA">
                  <w:pPr>
                    <w:keepNext w:val="0"/>
                    <w:keepLines w:val="0"/>
                    <w:suppressLineNumbers w:val="0"/>
                    <w:spacing w:before="0" w:beforeAutospacing="0" w:after="0" w:afterAutospacing="0" w:line="288" w:lineRule="auto"/>
                    <w:ind w:left="0" w:right="0"/>
                    <w:jc w:val="center"/>
                    <w:rPr>
                      <w:rFonts w:hint="eastAsia" w:eastAsia="宋体"/>
                      <w:sz w:val="21"/>
                      <w:szCs w:val="21"/>
                      <w:highlight w:val="none"/>
                      <w:lang w:val="en-US" w:eastAsia="zh-CN"/>
                    </w:rPr>
                  </w:pPr>
                  <w:r>
                    <w:rPr>
                      <w:rFonts w:hint="eastAsia"/>
                      <w:sz w:val="21"/>
                      <w:szCs w:val="21"/>
                      <w:highlight w:val="none"/>
                    </w:rPr>
                    <w:t>1.</w:t>
                  </w:r>
                  <w:r>
                    <w:rPr>
                      <w:rFonts w:hint="eastAsia"/>
                      <w:sz w:val="21"/>
                      <w:szCs w:val="21"/>
                      <w:highlight w:val="none"/>
                      <w:lang w:val="en-US" w:eastAsia="zh-CN"/>
                    </w:rPr>
                    <w:t>51</w:t>
                  </w:r>
                  <w:r>
                    <w:rPr>
                      <w:rFonts w:hint="eastAsia"/>
                      <w:sz w:val="21"/>
                      <w:szCs w:val="21"/>
                      <w:highlight w:val="none"/>
                    </w:rPr>
                    <w:t>E-0</w:t>
                  </w:r>
                  <w:r>
                    <w:rPr>
                      <w:rFonts w:hint="eastAsia"/>
                      <w:sz w:val="21"/>
                      <w:szCs w:val="21"/>
                      <w:highlight w:val="none"/>
                      <w:lang w:val="en-US" w:eastAsia="zh-CN"/>
                    </w:rPr>
                    <w:t>4</w:t>
                  </w:r>
                </w:p>
              </w:tc>
              <w:tc>
                <w:tcPr>
                  <w:tcW w:w="690" w:type="dxa"/>
                  <w:noWrap w:val="0"/>
                  <w:vAlign w:val="center"/>
                </w:tcPr>
                <w:p w14:paraId="126FBC56">
                  <w:pPr>
                    <w:keepNext w:val="0"/>
                    <w:keepLines w:val="0"/>
                    <w:suppressLineNumbers w:val="0"/>
                    <w:spacing w:before="0" w:beforeAutospacing="0" w:after="0" w:afterAutospacing="0" w:line="288" w:lineRule="auto"/>
                    <w:ind w:left="0" w:right="0"/>
                    <w:jc w:val="center"/>
                    <w:rPr>
                      <w:rFonts w:hint="default" w:eastAsia="宋体"/>
                      <w:sz w:val="21"/>
                      <w:szCs w:val="21"/>
                      <w:highlight w:val="none"/>
                      <w:lang w:val="en-US" w:eastAsia="zh-CN"/>
                    </w:rPr>
                  </w:pPr>
                  <w:r>
                    <w:rPr>
                      <w:rFonts w:hint="eastAsia"/>
                      <w:sz w:val="21"/>
                      <w:szCs w:val="21"/>
                      <w:highlight w:val="none"/>
                    </w:rPr>
                    <w:t>0.</w:t>
                  </w:r>
                  <w:r>
                    <w:rPr>
                      <w:rFonts w:hint="eastAsia"/>
                      <w:sz w:val="21"/>
                      <w:szCs w:val="21"/>
                      <w:highlight w:val="none"/>
                      <w:lang w:val="en-US" w:eastAsia="zh-CN"/>
                    </w:rPr>
                    <w:t>08</w:t>
                  </w:r>
                </w:p>
              </w:tc>
              <w:tc>
                <w:tcPr>
                  <w:tcW w:w="765" w:type="dxa"/>
                  <w:noWrap w:val="0"/>
                  <w:vAlign w:val="center"/>
                </w:tcPr>
                <w:p w14:paraId="58C0F4EC">
                  <w:pPr>
                    <w:keepNext w:val="0"/>
                    <w:keepLines w:val="0"/>
                    <w:suppressLineNumbers w:val="0"/>
                    <w:spacing w:before="0" w:beforeAutospacing="0" w:after="0" w:afterAutospacing="0" w:line="288" w:lineRule="auto"/>
                    <w:ind w:left="0" w:right="0"/>
                    <w:jc w:val="center"/>
                    <w:rPr>
                      <w:rFonts w:hint="eastAsia"/>
                      <w:sz w:val="21"/>
                      <w:szCs w:val="21"/>
                      <w:highlight w:val="none"/>
                    </w:rPr>
                  </w:pPr>
                  <w:r>
                    <w:rPr>
                      <w:rFonts w:hint="eastAsia"/>
                      <w:sz w:val="21"/>
                      <w:szCs w:val="21"/>
                      <w:highlight w:val="none"/>
                    </w:rPr>
                    <w:t>/</w:t>
                  </w:r>
                </w:p>
              </w:tc>
              <w:tc>
                <w:tcPr>
                  <w:tcW w:w="712" w:type="dxa"/>
                  <w:noWrap w:val="0"/>
                  <w:vAlign w:val="center"/>
                </w:tcPr>
                <w:p w14:paraId="4CCECE84">
                  <w:pPr>
                    <w:keepNext w:val="0"/>
                    <w:keepLines w:val="0"/>
                    <w:suppressLineNumbers w:val="0"/>
                    <w:spacing w:before="0" w:beforeAutospacing="0" w:after="0" w:afterAutospacing="0" w:line="288" w:lineRule="auto"/>
                    <w:ind w:left="0" w:right="0"/>
                    <w:jc w:val="center"/>
                    <w:rPr>
                      <w:rFonts w:hint="eastAsia"/>
                      <w:sz w:val="21"/>
                      <w:szCs w:val="21"/>
                      <w:highlight w:val="none"/>
                    </w:rPr>
                  </w:pPr>
                  <w:r>
                    <w:rPr>
                      <w:rFonts w:hint="eastAsia"/>
                      <w:sz w:val="21"/>
                      <w:szCs w:val="21"/>
                      <w:highlight w:val="none"/>
                    </w:rPr>
                    <w:t>三级</w:t>
                  </w:r>
                </w:p>
              </w:tc>
            </w:tr>
            <w:tr w14:paraId="1463D6E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c>
                <w:tcPr>
                  <w:tcW w:w="897" w:type="dxa"/>
                  <w:vMerge w:val="continue"/>
                  <w:noWrap w:val="0"/>
                  <w:vAlign w:val="center"/>
                </w:tcPr>
                <w:p w14:paraId="623AD031">
                  <w:pPr>
                    <w:keepNext w:val="0"/>
                    <w:keepLines w:val="0"/>
                    <w:suppressLineNumbers w:val="0"/>
                    <w:spacing w:before="0" w:beforeAutospacing="0" w:after="0" w:afterAutospacing="0" w:line="288" w:lineRule="auto"/>
                    <w:ind w:left="0" w:right="0"/>
                    <w:jc w:val="center"/>
                    <w:rPr>
                      <w:rFonts w:hint="eastAsia"/>
                      <w:sz w:val="21"/>
                      <w:szCs w:val="21"/>
                      <w:highlight w:val="none"/>
                    </w:rPr>
                  </w:pPr>
                </w:p>
              </w:tc>
              <w:tc>
                <w:tcPr>
                  <w:tcW w:w="1181" w:type="dxa"/>
                  <w:noWrap w:val="0"/>
                  <w:vAlign w:val="center"/>
                </w:tcPr>
                <w:p w14:paraId="793EC984">
                  <w:pPr>
                    <w:keepNext w:val="0"/>
                    <w:keepLines w:val="0"/>
                    <w:widowControl/>
                    <w:suppressLineNumbers w:val="0"/>
                    <w:spacing w:before="0" w:beforeAutospacing="0" w:after="0" w:afterAutospacing="0" w:line="288" w:lineRule="auto"/>
                    <w:ind w:left="0" w:right="0"/>
                    <w:jc w:val="center"/>
                    <w:rPr>
                      <w:rFonts w:hint="eastAsia"/>
                      <w:sz w:val="21"/>
                      <w:szCs w:val="21"/>
                      <w:highlight w:val="none"/>
                    </w:rPr>
                  </w:pPr>
                  <w:r>
                    <w:rPr>
                      <w:rFonts w:hint="eastAsia" w:ascii="宋体" w:hAnsi="宋体" w:cs="宋体"/>
                      <w:color w:val="000000"/>
                      <w:kern w:val="0"/>
                      <w:sz w:val="21"/>
                      <w:szCs w:val="21"/>
                      <w:highlight w:val="none"/>
                      <w:lang w:bidi="ar"/>
                    </w:rPr>
                    <w:t>硫化氢</w:t>
                  </w:r>
                </w:p>
              </w:tc>
              <w:tc>
                <w:tcPr>
                  <w:tcW w:w="795" w:type="dxa"/>
                  <w:noWrap w:val="0"/>
                  <w:vAlign w:val="center"/>
                </w:tcPr>
                <w:p w14:paraId="0F6A8736">
                  <w:pPr>
                    <w:keepNext w:val="0"/>
                    <w:keepLines w:val="0"/>
                    <w:widowControl/>
                    <w:suppressLineNumbers w:val="0"/>
                    <w:spacing w:before="0" w:beforeAutospacing="0" w:after="0" w:afterAutospacing="0"/>
                    <w:ind w:left="0" w:right="0"/>
                    <w:jc w:val="center"/>
                    <w:textAlignment w:val="center"/>
                    <w:rPr>
                      <w:rFonts w:hint="eastAsia" w:eastAsia="宋体"/>
                      <w:sz w:val="21"/>
                      <w:szCs w:val="21"/>
                      <w:highlight w:val="none"/>
                      <w:lang w:val="en-US" w:eastAsia="zh-CN"/>
                    </w:rPr>
                  </w:pPr>
                  <w:r>
                    <w:rPr>
                      <w:rFonts w:hint="default"/>
                      <w:color w:val="000000"/>
                      <w:kern w:val="0"/>
                      <w:sz w:val="21"/>
                      <w:szCs w:val="21"/>
                      <w:highlight w:val="none"/>
                      <w:lang w:bidi="ar"/>
                    </w:rPr>
                    <w:t>0.00</w:t>
                  </w:r>
                  <w:r>
                    <w:rPr>
                      <w:rFonts w:hint="eastAsia"/>
                      <w:color w:val="000000"/>
                      <w:kern w:val="0"/>
                      <w:sz w:val="21"/>
                      <w:szCs w:val="21"/>
                      <w:highlight w:val="none"/>
                      <w:lang w:val="en-US" w:eastAsia="zh-CN" w:bidi="ar"/>
                    </w:rPr>
                    <w:t>3</w:t>
                  </w:r>
                </w:p>
              </w:tc>
              <w:tc>
                <w:tcPr>
                  <w:tcW w:w="915" w:type="dxa"/>
                  <w:noWrap w:val="0"/>
                  <w:vAlign w:val="center"/>
                </w:tcPr>
                <w:p w14:paraId="5D463A34">
                  <w:pPr>
                    <w:keepNext w:val="0"/>
                    <w:keepLines w:val="0"/>
                    <w:suppressLineNumbers w:val="0"/>
                    <w:spacing w:before="0" w:beforeAutospacing="0" w:after="0" w:afterAutospacing="0" w:line="288" w:lineRule="auto"/>
                    <w:ind w:left="0" w:right="0"/>
                    <w:jc w:val="center"/>
                    <w:rPr>
                      <w:rFonts w:hint="default"/>
                      <w:sz w:val="21"/>
                      <w:szCs w:val="21"/>
                      <w:highlight w:val="none"/>
                    </w:rPr>
                  </w:pPr>
                  <w:r>
                    <w:rPr>
                      <w:rFonts w:hint="eastAsia"/>
                      <w:sz w:val="21"/>
                      <w:szCs w:val="21"/>
                      <w:highlight w:val="none"/>
                    </w:rPr>
                    <w:t>0.01</w:t>
                  </w:r>
                </w:p>
              </w:tc>
              <w:tc>
                <w:tcPr>
                  <w:tcW w:w="1065" w:type="dxa"/>
                  <w:noWrap w:val="0"/>
                  <w:vAlign w:val="center"/>
                </w:tcPr>
                <w:p w14:paraId="4295C003">
                  <w:pPr>
                    <w:keepNext w:val="0"/>
                    <w:keepLines w:val="0"/>
                    <w:suppressLineNumbers w:val="0"/>
                    <w:spacing w:before="0" w:beforeAutospacing="0" w:after="0" w:afterAutospacing="0" w:line="288" w:lineRule="auto"/>
                    <w:ind w:left="0" w:right="0"/>
                    <w:jc w:val="center"/>
                    <w:rPr>
                      <w:rFonts w:hint="default"/>
                      <w:sz w:val="21"/>
                      <w:szCs w:val="21"/>
                      <w:highlight w:val="none"/>
                    </w:rPr>
                  </w:pPr>
                  <w:r>
                    <w:rPr>
                      <w:rFonts w:hint="eastAsia"/>
                      <w:sz w:val="21"/>
                      <w:szCs w:val="21"/>
                      <w:highlight w:val="none"/>
                    </w:rPr>
                    <w:t>24</w:t>
                  </w:r>
                  <w:r>
                    <w:rPr>
                      <w:rFonts w:hint="eastAsia"/>
                      <w:sz w:val="21"/>
                      <w:szCs w:val="21"/>
                      <w:highlight w:val="none"/>
                      <w:lang w:val="en-US" w:eastAsia="zh-CN"/>
                    </w:rPr>
                    <w:t>6</w:t>
                  </w:r>
                </w:p>
              </w:tc>
              <w:tc>
                <w:tcPr>
                  <w:tcW w:w="1185" w:type="dxa"/>
                  <w:noWrap w:val="0"/>
                  <w:vAlign w:val="center"/>
                </w:tcPr>
                <w:p w14:paraId="7146493E">
                  <w:pPr>
                    <w:keepNext w:val="0"/>
                    <w:keepLines w:val="0"/>
                    <w:suppressLineNumbers w:val="0"/>
                    <w:spacing w:before="0" w:beforeAutospacing="0" w:after="0" w:afterAutospacing="0" w:line="288" w:lineRule="auto"/>
                    <w:ind w:left="0" w:right="0"/>
                    <w:jc w:val="center"/>
                    <w:rPr>
                      <w:rFonts w:hint="eastAsia" w:eastAsia="宋体"/>
                      <w:sz w:val="21"/>
                      <w:szCs w:val="21"/>
                      <w:highlight w:val="none"/>
                      <w:lang w:val="en-US" w:eastAsia="zh-CN"/>
                    </w:rPr>
                  </w:pPr>
                  <w:r>
                    <w:rPr>
                      <w:rFonts w:hint="eastAsia"/>
                      <w:sz w:val="21"/>
                      <w:szCs w:val="21"/>
                      <w:highlight w:val="none"/>
                      <w:lang w:val="en-US" w:eastAsia="zh-CN"/>
                    </w:rPr>
                    <w:t>1</w:t>
                  </w:r>
                  <w:r>
                    <w:rPr>
                      <w:rFonts w:hint="eastAsia"/>
                      <w:sz w:val="21"/>
                      <w:szCs w:val="21"/>
                      <w:highlight w:val="none"/>
                    </w:rPr>
                    <w:t>.</w:t>
                  </w:r>
                  <w:r>
                    <w:rPr>
                      <w:rFonts w:hint="eastAsia"/>
                      <w:sz w:val="21"/>
                      <w:szCs w:val="21"/>
                      <w:highlight w:val="none"/>
                      <w:lang w:val="en-US" w:eastAsia="zh-CN"/>
                    </w:rPr>
                    <w:t>13</w:t>
                  </w:r>
                  <w:r>
                    <w:rPr>
                      <w:rFonts w:hint="eastAsia"/>
                      <w:sz w:val="21"/>
                      <w:szCs w:val="21"/>
                      <w:highlight w:val="none"/>
                    </w:rPr>
                    <w:t>E-0</w:t>
                  </w:r>
                  <w:r>
                    <w:rPr>
                      <w:rFonts w:hint="eastAsia"/>
                      <w:sz w:val="21"/>
                      <w:szCs w:val="21"/>
                      <w:highlight w:val="none"/>
                      <w:lang w:val="en-US" w:eastAsia="zh-CN"/>
                    </w:rPr>
                    <w:t>4</w:t>
                  </w:r>
                </w:p>
              </w:tc>
              <w:tc>
                <w:tcPr>
                  <w:tcW w:w="690" w:type="dxa"/>
                  <w:noWrap w:val="0"/>
                  <w:vAlign w:val="center"/>
                </w:tcPr>
                <w:p w14:paraId="6113783A">
                  <w:pPr>
                    <w:keepNext w:val="0"/>
                    <w:keepLines w:val="0"/>
                    <w:suppressLineNumbers w:val="0"/>
                    <w:spacing w:before="0" w:beforeAutospacing="0" w:after="0" w:afterAutospacing="0" w:line="288" w:lineRule="auto"/>
                    <w:ind w:left="0" w:right="0"/>
                    <w:jc w:val="center"/>
                    <w:rPr>
                      <w:rFonts w:hint="default" w:eastAsia="宋体"/>
                      <w:sz w:val="21"/>
                      <w:szCs w:val="21"/>
                      <w:highlight w:val="none"/>
                      <w:lang w:val="en-US" w:eastAsia="zh-CN"/>
                    </w:rPr>
                  </w:pPr>
                  <w:r>
                    <w:rPr>
                      <w:rFonts w:hint="eastAsia"/>
                      <w:sz w:val="21"/>
                      <w:szCs w:val="21"/>
                      <w:highlight w:val="none"/>
                      <w:lang w:val="en-US" w:eastAsia="zh-CN"/>
                    </w:rPr>
                    <w:t>1</w:t>
                  </w:r>
                  <w:r>
                    <w:rPr>
                      <w:rFonts w:hint="eastAsia"/>
                      <w:sz w:val="21"/>
                      <w:szCs w:val="21"/>
                      <w:highlight w:val="none"/>
                    </w:rPr>
                    <w:t>.</w:t>
                  </w:r>
                  <w:r>
                    <w:rPr>
                      <w:rFonts w:hint="eastAsia"/>
                      <w:sz w:val="21"/>
                      <w:szCs w:val="21"/>
                      <w:highlight w:val="none"/>
                      <w:lang w:val="en-US" w:eastAsia="zh-CN"/>
                    </w:rPr>
                    <w:t>13</w:t>
                  </w:r>
                </w:p>
              </w:tc>
              <w:tc>
                <w:tcPr>
                  <w:tcW w:w="765" w:type="dxa"/>
                  <w:noWrap w:val="0"/>
                  <w:vAlign w:val="center"/>
                </w:tcPr>
                <w:p w14:paraId="01A95B2F">
                  <w:pPr>
                    <w:keepNext w:val="0"/>
                    <w:keepLines w:val="0"/>
                    <w:suppressLineNumbers w:val="0"/>
                    <w:spacing w:before="0" w:beforeAutospacing="0" w:after="0" w:afterAutospacing="0" w:line="288" w:lineRule="auto"/>
                    <w:ind w:left="0" w:right="0"/>
                    <w:jc w:val="center"/>
                    <w:rPr>
                      <w:rFonts w:hint="default"/>
                      <w:sz w:val="21"/>
                      <w:szCs w:val="21"/>
                      <w:highlight w:val="none"/>
                    </w:rPr>
                  </w:pPr>
                  <w:r>
                    <w:rPr>
                      <w:rFonts w:hint="eastAsia"/>
                      <w:sz w:val="21"/>
                      <w:szCs w:val="21"/>
                      <w:highlight w:val="none"/>
                    </w:rPr>
                    <w:t>/</w:t>
                  </w:r>
                </w:p>
              </w:tc>
              <w:tc>
                <w:tcPr>
                  <w:tcW w:w="712" w:type="dxa"/>
                  <w:noWrap w:val="0"/>
                  <w:vAlign w:val="center"/>
                </w:tcPr>
                <w:p w14:paraId="6BEE6441">
                  <w:pPr>
                    <w:keepNext w:val="0"/>
                    <w:keepLines w:val="0"/>
                    <w:suppressLineNumbers w:val="0"/>
                    <w:spacing w:before="0" w:beforeAutospacing="0" w:after="0" w:afterAutospacing="0" w:line="288" w:lineRule="auto"/>
                    <w:ind w:left="0" w:right="0"/>
                    <w:jc w:val="center"/>
                    <w:rPr>
                      <w:rFonts w:hint="default"/>
                      <w:sz w:val="21"/>
                      <w:szCs w:val="21"/>
                      <w:highlight w:val="none"/>
                    </w:rPr>
                  </w:pPr>
                  <w:r>
                    <w:rPr>
                      <w:rFonts w:hint="eastAsia"/>
                      <w:sz w:val="21"/>
                      <w:szCs w:val="21"/>
                      <w:highlight w:val="none"/>
                      <w:lang w:val="en-US" w:eastAsia="zh-CN"/>
                    </w:rPr>
                    <w:t>二</w:t>
                  </w:r>
                  <w:r>
                    <w:rPr>
                      <w:rFonts w:hint="eastAsia"/>
                      <w:sz w:val="21"/>
                      <w:szCs w:val="21"/>
                      <w:highlight w:val="none"/>
                    </w:rPr>
                    <w:t>级</w:t>
                  </w:r>
                </w:p>
              </w:tc>
            </w:tr>
            <w:tr w14:paraId="7A50353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c>
                <w:tcPr>
                  <w:tcW w:w="897" w:type="dxa"/>
                  <w:vMerge w:val="continue"/>
                  <w:noWrap w:val="0"/>
                  <w:vAlign w:val="center"/>
                </w:tcPr>
                <w:p w14:paraId="6BBCF4FD">
                  <w:pPr>
                    <w:keepNext w:val="0"/>
                    <w:keepLines w:val="0"/>
                    <w:suppressLineNumbers w:val="0"/>
                    <w:spacing w:before="0" w:beforeAutospacing="0" w:after="0" w:afterAutospacing="0" w:line="288" w:lineRule="auto"/>
                    <w:ind w:left="0" w:right="0"/>
                    <w:jc w:val="center"/>
                    <w:rPr>
                      <w:rFonts w:hint="eastAsia"/>
                      <w:sz w:val="21"/>
                      <w:szCs w:val="21"/>
                      <w:highlight w:val="none"/>
                    </w:rPr>
                  </w:pPr>
                </w:p>
              </w:tc>
              <w:tc>
                <w:tcPr>
                  <w:tcW w:w="1181" w:type="dxa"/>
                  <w:shd w:val="clear" w:color="auto" w:fill="auto"/>
                  <w:noWrap w:val="0"/>
                  <w:vAlign w:val="center"/>
                </w:tcPr>
                <w:p w14:paraId="5AC50B12">
                  <w:pPr>
                    <w:keepNext w:val="0"/>
                    <w:keepLines w:val="0"/>
                    <w:widowControl/>
                    <w:suppressLineNumbers w:val="0"/>
                    <w:spacing w:before="0" w:beforeAutospacing="0" w:after="0" w:afterAutospacing="0" w:line="288" w:lineRule="auto"/>
                    <w:ind w:left="0" w:leftChars="0" w:right="0" w:rightChars="0"/>
                    <w:jc w:val="center"/>
                    <w:rPr>
                      <w:rFonts w:hint="eastAsia" w:ascii="宋体" w:hAnsi="宋体" w:eastAsia="宋体" w:cs="宋体"/>
                      <w:color w:val="000000"/>
                      <w:kern w:val="0"/>
                      <w:sz w:val="21"/>
                      <w:szCs w:val="21"/>
                      <w:highlight w:val="none"/>
                      <w:lang w:val="en-US" w:eastAsia="zh-CN" w:bidi="ar"/>
                    </w:rPr>
                  </w:pPr>
                  <w:r>
                    <w:rPr>
                      <w:rFonts w:hint="eastAsia" w:ascii="宋体" w:hAnsi="宋体" w:cs="宋体"/>
                      <w:color w:val="000000"/>
                      <w:kern w:val="0"/>
                      <w:sz w:val="21"/>
                      <w:szCs w:val="21"/>
                      <w:highlight w:val="none"/>
                      <w:lang w:bidi="ar"/>
                    </w:rPr>
                    <w:t>氯气</w:t>
                  </w:r>
                </w:p>
              </w:tc>
              <w:tc>
                <w:tcPr>
                  <w:tcW w:w="795" w:type="dxa"/>
                  <w:shd w:val="clear" w:color="auto" w:fill="auto"/>
                  <w:noWrap w:val="0"/>
                  <w:vAlign w:val="center"/>
                </w:tcPr>
                <w:p w14:paraId="037B4AD9">
                  <w:pPr>
                    <w:keepNext w:val="0"/>
                    <w:keepLines w:val="0"/>
                    <w:widowControl/>
                    <w:suppressLineNumbers w:val="0"/>
                    <w:spacing w:before="0" w:beforeAutospacing="0" w:after="0" w:afterAutospacing="0"/>
                    <w:ind w:left="0" w:leftChars="0" w:right="0" w:rightChars="0"/>
                    <w:jc w:val="center"/>
                    <w:textAlignment w:val="center"/>
                    <w:rPr>
                      <w:rFonts w:hint="eastAsia" w:ascii="Times New Roman" w:hAnsi="Times New Roman" w:eastAsia="宋体" w:cs="Times New Roman"/>
                      <w:color w:val="000000"/>
                      <w:kern w:val="0"/>
                      <w:sz w:val="21"/>
                      <w:szCs w:val="21"/>
                      <w:highlight w:val="none"/>
                      <w:lang w:val="en-US" w:eastAsia="zh-CN" w:bidi="ar"/>
                    </w:rPr>
                  </w:pPr>
                  <w:r>
                    <w:rPr>
                      <w:rFonts w:hint="eastAsia"/>
                      <w:color w:val="000000"/>
                      <w:kern w:val="0"/>
                      <w:sz w:val="21"/>
                      <w:szCs w:val="21"/>
                      <w:highlight w:val="none"/>
                      <w:lang w:val="en-US" w:eastAsia="zh-CN" w:bidi="ar"/>
                    </w:rPr>
                    <w:t>少量</w:t>
                  </w:r>
                </w:p>
              </w:tc>
              <w:tc>
                <w:tcPr>
                  <w:tcW w:w="915" w:type="dxa"/>
                  <w:shd w:val="clear" w:color="auto" w:fill="auto"/>
                  <w:noWrap w:val="0"/>
                  <w:vAlign w:val="center"/>
                </w:tcPr>
                <w:p w14:paraId="4AFCEB01">
                  <w:pPr>
                    <w:keepNext w:val="0"/>
                    <w:keepLines w:val="0"/>
                    <w:suppressLineNumbers w:val="0"/>
                    <w:spacing w:before="0" w:beforeAutospacing="0" w:after="0" w:afterAutospacing="0" w:line="288" w:lineRule="auto"/>
                    <w:ind w:left="0" w:leftChars="0" w:right="0" w:rightChars="0"/>
                    <w:jc w:val="center"/>
                    <w:rPr>
                      <w:rFonts w:hint="eastAsia" w:ascii="Times New Roman" w:hAnsi="Times New Roman" w:eastAsia="宋体" w:cs="Times New Roman"/>
                      <w:kern w:val="2"/>
                      <w:sz w:val="21"/>
                      <w:szCs w:val="21"/>
                      <w:highlight w:val="none"/>
                      <w:lang w:val="en-US" w:eastAsia="zh-CN" w:bidi="ar-SA"/>
                    </w:rPr>
                  </w:pPr>
                  <w:r>
                    <w:rPr>
                      <w:rFonts w:hint="eastAsia"/>
                      <w:sz w:val="21"/>
                      <w:szCs w:val="21"/>
                      <w:highlight w:val="none"/>
                    </w:rPr>
                    <w:t>0.1</w:t>
                  </w:r>
                </w:p>
              </w:tc>
              <w:tc>
                <w:tcPr>
                  <w:tcW w:w="1065" w:type="dxa"/>
                  <w:shd w:val="clear" w:color="auto" w:fill="auto"/>
                  <w:noWrap w:val="0"/>
                  <w:vAlign w:val="center"/>
                </w:tcPr>
                <w:p w14:paraId="106CF0B2">
                  <w:pPr>
                    <w:keepNext w:val="0"/>
                    <w:keepLines w:val="0"/>
                    <w:suppressLineNumbers w:val="0"/>
                    <w:spacing w:before="0" w:beforeAutospacing="0" w:after="0" w:afterAutospacing="0" w:line="288" w:lineRule="auto"/>
                    <w:ind w:left="0" w:leftChars="0" w:right="0" w:rightChars="0"/>
                    <w:jc w:val="center"/>
                    <w:rPr>
                      <w:rFonts w:hint="eastAsia" w:ascii="Times New Roman" w:hAnsi="Times New Roman" w:eastAsia="宋体" w:cs="Times New Roman"/>
                      <w:kern w:val="2"/>
                      <w:sz w:val="21"/>
                      <w:szCs w:val="21"/>
                      <w:highlight w:val="none"/>
                      <w:lang w:val="en-US" w:eastAsia="zh-CN" w:bidi="ar-SA"/>
                    </w:rPr>
                  </w:pPr>
                  <w:r>
                    <w:rPr>
                      <w:rFonts w:hint="eastAsia"/>
                      <w:sz w:val="21"/>
                      <w:szCs w:val="21"/>
                      <w:highlight w:val="none"/>
                    </w:rPr>
                    <w:t>/</w:t>
                  </w:r>
                </w:p>
              </w:tc>
              <w:tc>
                <w:tcPr>
                  <w:tcW w:w="1185" w:type="dxa"/>
                  <w:shd w:val="clear" w:color="auto" w:fill="auto"/>
                  <w:noWrap w:val="0"/>
                  <w:vAlign w:val="center"/>
                </w:tcPr>
                <w:p w14:paraId="39A227DC">
                  <w:pPr>
                    <w:keepNext w:val="0"/>
                    <w:keepLines w:val="0"/>
                    <w:suppressLineNumbers w:val="0"/>
                    <w:spacing w:before="0" w:beforeAutospacing="0" w:after="0" w:afterAutospacing="0" w:line="288" w:lineRule="auto"/>
                    <w:ind w:left="0" w:leftChars="0" w:right="0" w:rightChars="0"/>
                    <w:jc w:val="center"/>
                    <w:rPr>
                      <w:rFonts w:hint="eastAsia" w:ascii="Times New Roman" w:hAnsi="Times New Roman" w:eastAsia="宋体" w:cs="Times New Roman"/>
                      <w:kern w:val="2"/>
                      <w:sz w:val="21"/>
                      <w:szCs w:val="21"/>
                      <w:highlight w:val="none"/>
                      <w:lang w:val="en-US" w:eastAsia="zh-CN" w:bidi="ar-SA"/>
                    </w:rPr>
                  </w:pPr>
                  <w:r>
                    <w:rPr>
                      <w:rFonts w:hint="eastAsia"/>
                      <w:sz w:val="21"/>
                      <w:szCs w:val="21"/>
                      <w:highlight w:val="none"/>
                    </w:rPr>
                    <w:t>/</w:t>
                  </w:r>
                </w:p>
              </w:tc>
              <w:tc>
                <w:tcPr>
                  <w:tcW w:w="690" w:type="dxa"/>
                  <w:shd w:val="clear" w:color="auto" w:fill="auto"/>
                  <w:noWrap w:val="0"/>
                  <w:vAlign w:val="center"/>
                </w:tcPr>
                <w:p w14:paraId="1E72B1F4">
                  <w:pPr>
                    <w:keepNext w:val="0"/>
                    <w:keepLines w:val="0"/>
                    <w:suppressLineNumbers w:val="0"/>
                    <w:spacing w:before="0" w:beforeAutospacing="0" w:after="0" w:afterAutospacing="0" w:line="288" w:lineRule="auto"/>
                    <w:ind w:left="0" w:leftChars="0" w:right="0" w:rightChars="0"/>
                    <w:jc w:val="center"/>
                    <w:rPr>
                      <w:rFonts w:hint="eastAsia" w:ascii="Times New Roman" w:hAnsi="Times New Roman" w:eastAsia="宋体" w:cs="Times New Roman"/>
                      <w:kern w:val="2"/>
                      <w:sz w:val="21"/>
                      <w:szCs w:val="21"/>
                      <w:highlight w:val="none"/>
                      <w:lang w:val="en-US" w:eastAsia="zh-CN" w:bidi="ar-SA"/>
                    </w:rPr>
                  </w:pPr>
                  <w:r>
                    <w:rPr>
                      <w:rFonts w:hint="eastAsia"/>
                      <w:sz w:val="21"/>
                      <w:szCs w:val="21"/>
                      <w:highlight w:val="none"/>
                    </w:rPr>
                    <w:t>/</w:t>
                  </w:r>
                </w:p>
              </w:tc>
              <w:tc>
                <w:tcPr>
                  <w:tcW w:w="765" w:type="dxa"/>
                  <w:shd w:val="clear" w:color="auto" w:fill="auto"/>
                  <w:noWrap w:val="0"/>
                  <w:vAlign w:val="center"/>
                </w:tcPr>
                <w:p w14:paraId="02DBF2DA">
                  <w:pPr>
                    <w:keepNext w:val="0"/>
                    <w:keepLines w:val="0"/>
                    <w:suppressLineNumbers w:val="0"/>
                    <w:spacing w:before="0" w:beforeAutospacing="0" w:after="0" w:afterAutospacing="0" w:line="288" w:lineRule="auto"/>
                    <w:ind w:left="0" w:leftChars="0" w:right="0" w:rightChars="0"/>
                    <w:jc w:val="center"/>
                    <w:rPr>
                      <w:rFonts w:hint="eastAsia" w:ascii="Times New Roman" w:hAnsi="Times New Roman" w:eastAsia="宋体" w:cs="Times New Roman"/>
                      <w:kern w:val="2"/>
                      <w:sz w:val="21"/>
                      <w:szCs w:val="21"/>
                      <w:highlight w:val="none"/>
                      <w:lang w:val="en-US" w:eastAsia="zh-CN" w:bidi="ar-SA"/>
                    </w:rPr>
                  </w:pPr>
                  <w:r>
                    <w:rPr>
                      <w:rFonts w:hint="eastAsia"/>
                      <w:sz w:val="21"/>
                      <w:szCs w:val="21"/>
                      <w:highlight w:val="none"/>
                    </w:rPr>
                    <w:t>/</w:t>
                  </w:r>
                </w:p>
              </w:tc>
              <w:tc>
                <w:tcPr>
                  <w:tcW w:w="712" w:type="dxa"/>
                  <w:shd w:val="clear" w:color="auto" w:fill="auto"/>
                  <w:noWrap w:val="0"/>
                  <w:vAlign w:val="center"/>
                </w:tcPr>
                <w:p w14:paraId="4CC72A8F">
                  <w:pPr>
                    <w:keepNext w:val="0"/>
                    <w:keepLines w:val="0"/>
                    <w:suppressLineNumbers w:val="0"/>
                    <w:spacing w:before="0" w:beforeAutospacing="0" w:after="0" w:afterAutospacing="0" w:line="288" w:lineRule="auto"/>
                    <w:ind w:left="0" w:leftChars="0" w:right="0" w:rightChars="0"/>
                    <w:jc w:val="center"/>
                    <w:rPr>
                      <w:rFonts w:hint="eastAsia" w:ascii="Times New Roman" w:hAnsi="Times New Roman" w:eastAsia="宋体" w:cs="Times New Roman"/>
                      <w:kern w:val="2"/>
                      <w:sz w:val="21"/>
                      <w:szCs w:val="21"/>
                      <w:highlight w:val="none"/>
                      <w:lang w:val="en-US" w:eastAsia="zh-CN" w:bidi="ar-SA"/>
                    </w:rPr>
                  </w:pPr>
                  <w:r>
                    <w:rPr>
                      <w:rFonts w:hint="eastAsia"/>
                      <w:sz w:val="21"/>
                      <w:szCs w:val="21"/>
                      <w:highlight w:val="none"/>
                    </w:rPr>
                    <w:t>/</w:t>
                  </w:r>
                </w:p>
              </w:tc>
            </w:tr>
            <w:tr w14:paraId="0E1152F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c>
                <w:tcPr>
                  <w:tcW w:w="897" w:type="dxa"/>
                  <w:vMerge w:val="continue"/>
                  <w:noWrap w:val="0"/>
                  <w:vAlign w:val="center"/>
                </w:tcPr>
                <w:p w14:paraId="43DA4FFC">
                  <w:pPr>
                    <w:keepNext w:val="0"/>
                    <w:keepLines w:val="0"/>
                    <w:suppressLineNumbers w:val="0"/>
                    <w:spacing w:before="0" w:beforeAutospacing="0" w:after="0" w:afterAutospacing="0" w:line="288" w:lineRule="auto"/>
                    <w:ind w:left="0" w:right="0"/>
                    <w:jc w:val="center"/>
                    <w:rPr>
                      <w:rFonts w:hint="eastAsia"/>
                      <w:sz w:val="21"/>
                      <w:szCs w:val="21"/>
                      <w:highlight w:val="none"/>
                    </w:rPr>
                  </w:pPr>
                </w:p>
              </w:tc>
              <w:tc>
                <w:tcPr>
                  <w:tcW w:w="1181" w:type="dxa"/>
                  <w:shd w:val="clear" w:color="auto" w:fill="auto"/>
                  <w:noWrap w:val="0"/>
                  <w:vAlign w:val="center"/>
                </w:tcPr>
                <w:p w14:paraId="47A69E22">
                  <w:pPr>
                    <w:keepNext w:val="0"/>
                    <w:keepLines w:val="0"/>
                    <w:widowControl/>
                    <w:suppressLineNumbers w:val="0"/>
                    <w:spacing w:before="0" w:beforeAutospacing="0" w:after="0" w:afterAutospacing="0" w:line="288" w:lineRule="auto"/>
                    <w:ind w:left="0" w:leftChars="0" w:right="0" w:rightChars="0"/>
                    <w:jc w:val="center"/>
                    <w:rPr>
                      <w:rFonts w:hint="eastAsia" w:ascii="宋体" w:hAnsi="宋体" w:eastAsia="宋体" w:cs="宋体"/>
                      <w:color w:val="000000"/>
                      <w:kern w:val="0"/>
                      <w:sz w:val="21"/>
                      <w:szCs w:val="21"/>
                      <w:highlight w:val="none"/>
                      <w:lang w:val="en-US" w:eastAsia="zh-CN" w:bidi="ar"/>
                    </w:rPr>
                  </w:pPr>
                  <w:r>
                    <w:rPr>
                      <w:rFonts w:hint="eastAsia" w:ascii="宋体" w:hAnsi="宋体" w:cs="宋体"/>
                      <w:color w:val="000000"/>
                      <w:kern w:val="0"/>
                      <w:sz w:val="21"/>
                      <w:szCs w:val="21"/>
                      <w:highlight w:val="none"/>
                      <w:lang w:val="en-US" w:eastAsia="zh-CN" w:bidi="ar"/>
                    </w:rPr>
                    <w:t>颗粒物</w:t>
                  </w:r>
                </w:p>
              </w:tc>
              <w:tc>
                <w:tcPr>
                  <w:tcW w:w="795" w:type="dxa"/>
                  <w:shd w:val="clear" w:color="auto" w:fill="auto"/>
                  <w:noWrap w:val="0"/>
                  <w:vAlign w:val="center"/>
                </w:tcPr>
                <w:p w14:paraId="1FA149E6">
                  <w:pPr>
                    <w:keepNext w:val="0"/>
                    <w:keepLines w:val="0"/>
                    <w:widowControl/>
                    <w:suppressLineNumbers w:val="0"/>
                    <w:spacing w:before="0" w:beforeAutospacing="0" w:after="0" w:afterAutospacing="0"/>
                    <w:ind w:left="0" w:leftChars="0" w:right="0" w:rightChars="0"/>
                    <w:jc w:val="center"/>
                    <w:textAlignment w:val="center"/>
                    <w:rPr>
                      <w:rFonts w:hint="eastAsia"/>
                      <w:color w:val="000000"/>
                      <w:kern w:val="0"/>
                      <w:sz w:val="21"/>
                      <w:szCs w:val="21"/>
                      <w:highlight w:val="none"/>
                      <w:lang w:val="en-US" w:eastAsia="zh-CN" w:bidi="ar"/>
                    </w:rPr>
                  </w:pPr>
                  <w:r>
                    <w:rPr>
                      <w:rFonts w:hint="eastAsia"/>
                      <w:color w:val="000000"/>
                      <w:kern w:val="0"/>
                      <w:sz w:val="21"/>
                      <w:szCs w:val="21"/>
                      <w:highlight w:val="none"/>
                      <w:lang w:val="en-US" w:eastAsia="zh-CN" w:bidi="ar"/>
                    </w:rPr>
                    <w:t>少量</w:t>
                  </w:r>
                </w:p>
              </w:tc>
              <w:tc>
                <w:tcPr>
                  <w:tcW w:w="915" w:type="dxa"/>
                  <w:shd w:val="clear" w:color="auto" w:fill="auto"/>
                  <w:noWrap w:val="0"/>
                  <w:vAlign w:val="center"/>
                </w:tcPr>
                <w:p w14:paraId="743F6632">
                  <w:pPr>
                    <w:keepNext w:val="0"/>
                    <w:keepLines w:val="0"/>
                    <w:suppressLineNumbers w:val="0"/>
                    <w:spacing w:before="0" w:beforeAutospacing="0" w:after="0" w:afterAutospacing="0" w:line="288" w:lineRule="auto"/>
                    <w:ind w:left="0" w:leftChars="0" w:right="0" w:rightChars="0"/>
                    <w:jc w:val="center"/>
                    <w:rPr>
                      <w:rFonts w:hint="default" w:eastAsia="宋体"/>
                      <w:sz w:val="21"/>
                      <w:szCs w:val="21"/>
                      <w:highlight w:val="none"/>
                      <w:lang w:val="en-US" w:eastAsia="zh-CN"/>
                    </w:rPr>
                  </w:pPr>
                  <w:r>
                    <w:rPr>
                      <w:rFonts w:hint="eastAsia"/>
                      <w:sz w:val="21"/>
                      <w:szCs w:val="21"/>
                      <w:highlight w:val="none"/>
                      <w:lang w:val="en-US" w:eastAsia="zh-CN"/>
                    </w:rPr>
                    <w:t>0.15</w:t>
                  </w:r>
                </w:p>
              </w:tc>
              <w:tc>
                <w:tcPr>
                  <w:tcW w:w="1065" w:type="dxa"/>
                  <w:shd w:val="clear" w:color="auto" w:fill="auto"/>
                  <w:noWrap w:val="0"/>
                  <w:vAlign w:val="center"/>
                </w:tcPr>
                <w:p w14:paraId="67B6ECC8">
                  <w:pPr>
                    <w:keepNext w:val="0"/>
                    <w:keepLines w:val="0"/>
                    <w:suppressLineNumbers w:val="0"/>
                    <w:spacing w:before="0" w:beforeAutospacing="0" w:after="0" w:afterAutospacing="0" w:line="288" w:lineRule="auto"/>
                    <w:ind w:left="0" w:leftChars="0" w:right="0" w:rightChars="0"/>
                    <w:jc w:val="center"/>
                    <w:rPr>
                      <w:rFonts w:hint="eastAsia" w:ascii="Times New Roman" w:hAnsi="Times New Roman" w:eastAsia="宋体" w:cs="Times New Roman"/>
                      <w:kern w:val="2"/>
                      <w:sz w:val="21"/>
                      <w:szCs w:val="21"/>
                      <w:highlight w:val="none"/>
                      <w:lang w:val="en-US" w:eastAsia="zh-CN" w:bidi="ar-SA"/>
                    </w:rPr>
                  </w:pPr>
                  <w:r>
                    <w:rPr>
                      <w:rFonts w:hint="eastAsia"/>
                      <w:sz w:val="21"/>
                      <w:szCs w:val="21"/>
                      <w:highlight w:val="none"/>
                    </w:rPr>
                    <w:t>/</w:t>
                  </w:r>
                </w:p>
              </w:tc>
              <w:tc>
                <w:tcPr>
                  <w:tcW w:w="1185" w:type="dxa"/>
                  <w:shd w:val="clear" w:color="auto" w:fill="auto"/>
                  <w:noWrap w:val="0"/>
                  <w:vAlign w:val="center"/>
                </w:tcPr>
                <w:p w14:paraId="6A09D160">
                  <w:pPr>
                    <w:keepNext w:val="0"/>
                    <w:keepLines w:val="0"/>
                    <w:suppressLineNumbers w:val="0"/>
                    <w:spacing w:before="0" w:beforeAutospacing="0" w:after="0" w:afterAutospacing="0" w:line="288" w:lineRule="auto"/>
                    <w:ind w:left="0" w:leftChars="0" w:right="0" w:rightChars="0"/>
                    <w:jc w:val="center"/>
                    <w:rPr>
                      <w:rFonts w:hint="eastAsia" w:ascii="Times New Roman" w:hAnsi="Times New Roman" w:eastAsia="宋体" w:cs="Times New Roman"/>
                      <w:kern w:val="2"/>
                      <w:sz w:val="21"/>
                      <w:szCs w:val="21"/>
                      <w:highlight w:val="none"/>
                      <w:lang w:val="en-US" w:eastAsia="zh-CN" w:bidi="ar-SA"/>
                    </w:rPr>
                  </w:pPr>
                  <w:r>
                    <w:rPr>
                      <w:rFonts w:hint="eastAsia"/>
                      <w:sz w:val="21"/>
                      <w:szCs w:val="21"/>
                      <w:highlight w:val="none"/>
                    </w:rPr>
                    <w:t>/</w:t>
                  </w:r>
                </w:p>
              </w:tc>
              <w:tc>
                <w:tcPr>
                  <w:tcW w:w="690" w:type="dxa"/>
                  <w:shd w:val="clear" w:color="auto" w:fill="auto"/>
                  <w:noWrap w:val="0"/>
                  <w:vAlign w:val="center"/>
                </w:tcPr>
                <w:p w14:paraId="2DBE18F3">
                  <w:pPr>
                    <w:keepNext w:val="0"/>
                    <w:keepLines w:val="0"/>
                    <w:suppressLineNumbers w:val="0"/>
                    <w:spacing w:before="0" w:beforeAutospacing="0" w:after="0" w:afterAutospacing="0" w:line="288" w:lineRule="auto"/>
                    <w:ind w:left="0" w:leftChars="0" w:right="0" w:rightChars="0"/>
                    <w:jc w:val="center"/>
                    <w:rPr>
                      <w:rFonts w:hint="eastAsia" w:ascii="Times New Roman" w:hAnsi="Times New Roman" w:eastAsia="宋体" w:cs="Times New Roman"/>
                      <w:kern w:val="2"/>
                      <w:sz w:val="21"/>
                      <w:szCs w:val="21"/>
                      <w:highlight w:val="none"/>
                      <w:lang w:val="en-US" w:eastAsia="zh-CN" w:bidi="ar-SA"/>
                    </w:rPr>
                  </w:pPr>
                  <w:r>
                    <w:rPr>
                      <w:rFonts w:hint="eastAsia"/>
                      <w:sz w:val="21"/>
                      <w:szCs w:val="21"/>
                      <w:highlight w:val="none"/>
                    </w:rPr>
                    <w:t>/</w:t>
                  </w:r>
                </w:p>
              </w:tc>
              <w:tc>
                <w:tcPr>
                  <w:tcW w:w="765" w:type="dxa"/>
                  <w:shd w:val="clear" w:color="auto" w:fill="auto"/>
                  <w:noWrap w:val="0"/>
                  <w:vAlign w:val="center"/>
                </w:tcPr>
                <w:p w14:paraId="6FF2DDAA">
                  <w:pPr>
                    <w:keepNext w:val="0"/>
                    <w:keepLines w:val="0"/>
                    <w:suppressLineNumbers w:val="0"/>
                    <w:spacing w:before="0" w:beforeAutospacing="0" w:after="0" w:afterAutospacing="0" w:line="288" w:lineRule="auto"/>
                    <w:ind w:left="0" w:leftChars="0" w:right="0" w:rightChars="0"/>
                    <w:jc w:val="center"/>
                    <w:rPr>
                      <w:rFonts w:hint="eastAsia" w:ascii="Times New Roman" w:hAnsi="Times New Roman" w:eastAsia="宋体" w:cs="Times New Roman"/>
                      <w:kern w:val="2"/>
                      <w:sz w:val="21"/>
                      <w:szCs w:val="21"/>
                      <w:highlight w:val="none"/>
                      <w:lang w:val="en-US" w:eastAsia="zh-CN" w:bidi="ar-SA"/>
                    </w:rPr>
                  </w:pPr>
                  <w:r>
                    <w:rPr>
                      <w:rFonts w:hint="eastAsia"/>
                      <w:sz w:val="21"/>
                      <w:szCs w:val="21"/>
                      <w:highlight w:val="none"/>
                    </w:rPr>
                    <w:t>/</w:t>
                  </w:r>
                </w:p>
              </w:tc>
              <w:tc>
                <w:tcPr>
                  <w:tcW w:w="712" w:type="dxa"/>
                  <w:shd w:val="clear" w:color="auto" w:fill="auto"/>
                  <w:noWrap w:val="0"/>
                  <w:vAlign w:val="center"/>
                </w:tcPr>
                <w:p w14:paraId="024821BC">
                  <w:pPr>
                    <w:keepNext w:val="0"/>
                    <w:keepLines w:val="0"/>
                    <w:suppressLineNumbers w:val="0"/>
                    <w:spacing w:before="0" w:beforeAutospacing="0" w:after="0" w:afterAutospacing="0" w:line="288" w:lineRule="auto"/>
                    <w:ind w:left="0" w:leftChars="0" w:right="0" w:rightChars="0"/>
                    <w:jc w:val="center"/>
                    <w:rPr>
                      <w:rFonts w:hint="eastAsia" w:ascii="Times New Roman" w:hAnsi="Times New Roman" w:eastAsia="宋体" w:cs="Times New Roman"/>
                      <w:kern w:val="2"/>
                      <w:sz w:val="21"/>
                      <w:szCs w:val="21"/>
                      <w:highlight w:val="none"/>
                      <w:lang w:val="en-US" w:eastAsia="zh-CN" w:bidi="ar-SA"/>
                    </w:rPr>
                  </w:pPr>
                  <w:r>
                    <w:rPr>
                      <w:rFonts w:hint="eastAsia"/>
                      <w:sz w:val="21"/>
                      <w:szCs w:val="21"/>
                      <w:highlight w:val="none"/>
                    </w:rPr>
                    <w:t>/</w:t>
                  </w:r>
                </w:p>
              </w:tc>
            </w:tr>
            <w:tr w14:paraId="552132B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c>
                <w:tcPr>
                  <w:tcW w:w="897" w:type="dxa"/>
                  <w:vMerge w:val="continue"/>
                  <w:noWrap w:val="0"/>
                  <w:vAlign w:val="center"/>
                </w:tcPr>
                <w:p w14:paraId="1C6BFFA5">
                  <w:pPr>
                    <w:keepNext w:val="0"/>
                    <w:keepLines w:val="0"/>
                    <w:suppressLineNumbers w:val="0"/>
                    <w:spacing w:before="0" w:beforeAutospacing="0" w:after="0" w:afterAutospacing="0" w:line="288" w:lineRule="auto"/>
                    <w:ind w:left="0" w:right="0"/>
                    <w:jc w:val="center"/>
                    <w:rPr>
                      <w:rFonts w:hint="eastAsia"/>
                      <w:sz w:val="21"/>
                      <w:szCs w:val="21"/>
                      <w:highlight w:val="none"/>
                    </w:rPr>
                  </w:pPr>
                </w:p>
              </w:tc>
              <w:tc>
                <w:tcPr>
                  <w:tcW w:w="1181" w:type="dxa"/>
                  <w:noWrap w:val="0"/>
                  <w:vAlign w:val="center"/>
                </w:tcPr>
                <w:p w14:paraId="59DEE2B8">
                  <w:pPr>
                    <w:keepNext w:val="0"/>
                    <w:keepLines w:val="0"/>
                    <w:widowControl/>
                    <w:suppressLineNumbers w:val="0"/>
                    <w:spacing w:before="0" w:beforeAutospacing="0" w:after="0" w:afterAutospacing="0" w:line="288" w:lineRule="auto"/>
                    <w:ind w:left="0" w:right="0"/>
                    <w:jc w:val="center"/>
                    <w:rPr>
                      <w:rFonts w:hint="eastAsia" w:ascii="宋体" w:hAnsi="宋体" w:eastAsia="宋体" w:cs="宋体"/>
                      <w:color w:val="000000"/>
                      <w:kern w:val="0"/>
                      <w:sz w:val="21"/>
                      <w:szCs w:val="21"/>
                      <w:highlight w:val="none"/>
                      <w:lang w:val="en-US" w:eastAsia="zh-CN" w:bidi="ar"/>
                    </w:rPr>
                  </w:pPr>
                  <w:r>
                    <w:rPr>
                      <w:rFonts w:hint="eastAsia" w:ascii="宋体" w:hAnsi="宋体" w:cs="宋体"/>
                      <w:color w:val="000000"/>
                      <w:kern w:val="0"/>
                      <w:sz w:val="21"/>
                      <w:szCs w:val="21"/>
                      <w:highlight w:val="none"/>
                      <w:lang w:val="en-US" w:eastAsia="zh-CN" w:bidi="ar"/>
                    </w:rPr>
                    <w:t>甲醛</w:t>
                  </w:r>
                </w:p>
              </w:tc>
              <w:tc>
                <w:tcPr>
                  <w:tcW w:w="795" w:type="dxa"/>
                  <w:noWrap w:val="0"/>
                  <w:vAlign w:val="center"/>
                </w:tcPr>
                <w:p w14:paraId="200E4132">
                  <w:pPr>
                    <w:keepNext w:val="0"/>
                    <w:keepLines w:val="0"/>
                    <w:widowControl/>
                    <w:suppressLineNumbers w:val="0"/>
                    <w:spacing w:before="0" w:beforeAutospacing="0" w:after="0" w:afterAutospacing="0"/>
                    <w:ind w:left="0" w:right="0"/>
                    <w:jc w:val="center"/>
                    <w:textAlignment w:val="center"/>
                    <w:rPr>
                      <w:rFonts w:hint="default" w:eastAsia="宋体"/>
                      <w:color w:val="000000"/>
                      <w:kern w:val="0"/>
                      <w:sz w:val="21"/>
                      <w:szCs w:val="21"/>
                      <w:highlight w:val="none"/>
                      <w:lang w:val="en-US" w:eastAsia="zh-CN" w:bidi="ar"/>
                    </w:rPr>
                  </w:pPr>
                  <w:r>
                    <w:rPr>
                      <w:rFonts w:hint="eastAsia"/>
                      <w:color w:val="000000"/>
                      <w:kern w:val="0"/>
                      <w:sz w:val="21"/>
                      <w:szCs w:val="21"/>
                      <w:highlight w:val="none"/>
                      <w:lang w:val="en-US" w:eastAsia="zh-CN" w:bidi="ar"/>
                    </w:rPr>
                    <w:t>0.012</w:t>
                  </w:r>
                </w:p>
              </w:tc>
              <w:tc>
                <w:tcPr>
                  <w:tcW w:w="915" w:type="dxa"/>
                  <w:noWrap w:val="0"/>
                  <w:vAlign w:val="center"/>
                </w:tcPr>
                <w:p w14:paraId="16CA72AC">
                  <w:pPr>
                    <w:keepNext w:val="0"/>
                    <w:keepLines w:val="0"/>
                    <w:suppressLineNumbers w:val="0"/>
                    <w:spacing w:before="0" w:beforeAutospacing="0" w:after="0" w:afterAutospacing="0" w:line="288" w:lineRule="auto"/>
                    <w:ind w:left="0" w:right="0"/>
                    <w:jc w:val="center"/>
                    <w:rPr>
                      <w:rFonts w:hint="default" w:eastAsia="宋体"/>
                      <w:sz w:val="21"/>
                      <w:szCs w:val="21"/>
                      <w:highlight w:val="none"/>
                      <w:lang w:val="en-US" w:eastAsia="zh-CN"/>
                    </w:rPr>
                  </w:pPr>
                  <w:r>
                    <w:rPr>
                      <w:rFonts w:hint="eastAsia"/>
                      <w:sz w:val="21"/>
                      <w:szCs w:val="21"/>
                      <w:highlight w:val="none"/>
                      <w:lang w:val="en-US" w:eastAsia="zh-CN"/>
                    </w:rPr>
                    <w:t>0.05</w:t>
                  </w:r>
                </w:p>
              </w:tc>
              <w:tc>
                <w:tcPr>
                  <w:tcW w:w="1065" w:type="dxa"/>
                  <w:noWrap w:val="0"/>
                  <w:vAlign w:val="center"/>
                </w:tcPr>
                <w:p w14:paraId="7DDD9609">
                  <w:pPr>
                    <w:keepNext w:val="0"/>
                    <w:keepLines w:val="0"/>
                    <w:suppressLineNumbers w:val="0"/>
                    <w:spacing w:before="0" w:beforeAutospacing="0" w:after="0" w:afterAutospacing="0" w:line="288" w:lineRule="auto"/>
                    <w:ind w:left="0" w:right="0"/>
                    <w:jc w:val="center"/>
                    <w:rPr>
                      <w:rFonts w:hint="eastAsia"/>
                      <w:sz w:val="21"/>
                      <w:szCs w:val="21"/>
                      <w:highlight w:val="none"/>
                    </w:rPr>
                  </w:pPr>
                  <w:r>
                    <w:rPr>
                      <w:rFonts w:hint="eastAsia"/>
                      <w:sz w:val="21"/>
                      <w:szCs w:val="21"/>
                      <w:highlight w:val="none"/>
                    </w:rPr>
                    <w:t>24</w:t>
                  </w:r>
                  <w:r>
                    <w:rPr>
                      <w:rFonts w:hint="eastAsia"/>
                      <w:sz w:val="21"/>
                      <w:szCs w:val="21"/>
                      <w:highlight w:val="none"/>
                      <w:lang w:val="en-US" w:eastAsia="zh-CN"/>
                    </w:rPr>
                    <w:t>6</w:t>
                  </w:r>
                </w:p>
              </w:tc>
              <w:tc>
                <w:tcPr>
                  <w:tcW w:w="1185" w:type="dxa"/>
                  <w:noWrap w:val="0"/>
                  <w:vAlign w:val="center"/>
                </w:tcPr>
                <w:p w14:paraId="64D826C3">
                  <w:pPr>
                    <w:keepNext w:val="0"/>
                    <w:keepLines w:val="0"/>
                    <w:suppressLineNumbers w:val="0"/>
                    <w:spacing w:before="0" w:beforeAutospacing="0" w:after="0" w:afterAutospacing="0" w:line="288" w:lineRule="auto"/>
                    <w:ind w:left="0" w:right="0"/>
                    <w:jc w:val="center"/>
                    <w:rPr>
                      <w:rFonts w:hint="eastAsia" w:eastAsia="宋体"/>
                      <w:sz w:val="21"/>
                      <w:szCs w:val="21"/>
                      <w:highlight w:val="none"/>
                      <w:lang w:val="en-US" w:eastAsia="zh-CN"/>
                    </w:rPr>
                  </w:pPr>
                  <w:r>
                    <w:rPr>
                      <w:rFonts w:hint="eastAsia"/>
                      <w:sz w:val="21"/>
                      <w:szCs w:val="21"/>
                      <w:highlight w:val="none"/>
                    </w:rPr>
                    <w:t>4.</w:t>
                  </w:r>
                  <w:r>
                    <w:rPr>
                      <w:rFonts w:hint="eastAsia"/>
                      <w:sz w:val="21"/>
                      <w:szCs w:val="21"/>
                      <w:highlight w:val="none"/>
                      <w:lang w:val="en-US" w:eastAsia="zh-CN"/>
                    </w:rPr>
                    <w:t>52</w:t>
                  </w:r>
                  <w:r>
                    <w:rPr>
                      <w:rFonts w:hint="eastAsia"/>
                      <w:sz w:val="21"/>
                      <w:szCs w:val="21"/>
                      <w:highlight w:val="none"/>
                    </w:rPr>
                    <w:t>E-0</w:t>
                  </w:r>
                  <w:r>
                    <w:rPr>
                      <w:rFonts w:hint="eastAsia"/>
                      <w:sz w:val="21"/>
                      <w:szCs w:val="21"/>
                      <w:highlight w:val="none"/>
                      <w:lang w:val="en-US" w:eastAsia="zh-CN"/>
                    </w:rPr>
                    <w:t>4</w:t>
                  </w:r>
                </w:p>
              </w:tc>
              <w:tc>
                <w:tcPr>
                  <w:tcW w:w="690" w:type="dxa"/>
                  <w:noWrap w:val="0"/>
                  <w:vAlign w:val="center"/>
                </w:tcPr>
                <w:p w14:paraId="61411B16">
                  <w:pPr>
                    <w:keepNext w:val="0"/>
                    <w:keepLines w:val="0"/>
                    <w:suppressLineNumbers w:val="0"/>
                    <w:spacing w:before="0" w:beforeAutospacing="0" w:after="0" w:afterAutospacing="0" w:line="288" w:lineRule="auto"/>
                    <w:ind w:left="0" w:right="0"/>
                    <w:jc w:val="center"/>
                    <w:rPr>
                      <w:rFonts w:hint="default" w:eastAsia="宋体"/>
                      <w:sz w:val="21"/>
                      <w:szCs w:val="21"/>
                      <w:highlight w:val="none"/>
                      <w:lang w:val="en-US" w:eastAsia="zh-CN"/>
                    </w:rPr>
                  </w:pPr>
                  <w:r>
                    <w:rPr>
                      <w:rFonts w:hint="eastAsia"/>
                      <w:sz w:val="21"/>
                      <w:szCs w:val="21"/>
                      <w:highlight w:val="none"/>
                      <w:lang w:val="en-US" w:eastAsia="zh-CN"/>
                    </w:rPr>
                    <w:t>0.90</w:t>
                  </w:r>
                </w:p>
              </w:tc>
              <w:tc>
                <w:tcPr>
                  <w:tcW w:w="765" w:type="dxa"/>
                  <w:noWrap w:val="0"/>
                  <w:vAlign w:val="center"/>
                </w:tcPr>
                <w:p w14:paraId="522AA666">
                  <w:pPr>
                    <w:keepNext w:val="0"/>
                    <w:keepLines w:val="0"/>
                    <w:suppressLineNumbers w:val="0"/>
                    <w:spacing w:before="0" w:beforeAutospacing="0" w:after="0" w:afterAutospacing="0" w:line="288" w:lineRule="auto"/>
                    <w:ind w:left="0" w:right="0"/>
                    <w:jc w:val="center"/>
                    <w:rPr>
                      <w:rFonts w:hint="eastAsia"/>
                      <w:sz w:val="21"/>
                      <w:szCs w:val="21"/>
                      <w:highlight w:val="none"/>
                    </w:rPr>
                  </w:pPr>
                  <w:r>
                    <w:rPr>
                      <w:rFonts w:hint="eastAsia"/>
                      <w:sz w:val="21"/>
                      <w:szCs w:val="21"/>
                      <w:highlight w:val="none"/>
                    </w:rPr>
                    <w:t>/</w:t>
                  </w:r>
                </w:p>
              </w:tc>
              <w:tc>
                <w:tcPr>
                  <w:tcW w:w="712" w:type="dxa"/>
                  <w:noWrap w:val="0"/>
                  <w:vAlign w:val="center"/>
                </w:tcPr>
                <w:p w14:paraId="73228886">
                  <w:pPr>
                    <w:keepNext w:val="0"/>
                    <w:keepLines w:val="0"/>
                    <w:suppressLineNumbers w:val="0"/>
                    <w:spacing w:before="0" w:beforeAutospacing="0" w:after="0" w:afterAutospacing="0" w:line="288" w:lineRule="auto"/>
                    <w:ind w:left="0" w:right="0"/>
                    <w:jc w:val="center"/>
                    <w:rPr>
                      <w:rFonts w:hint="eastAsia"/>
                      <w:sz w:val="21"/>
                      <w:szCs w:val="21"/>
                      <w:highlight w:val="none"/>
                    </w:rPr>
                  </w:pPr>
                  <w:r>
                    <w:rPr>
                      <w:rFonts w:hint="eastAsia"/>
                      <w:sz w:val="21"/>
                      <w:szCs w:val="21"/>
                      <w:highlight w:val="none"/>
                    </w:rPr>
                    <w:t>三级</w:t>
                  </w:r>
                </w:p>
              </w:tc>
            </w:tr>
            <w:tr w14:paraId="59DB7D1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c>
                <w:tcPr>
                  <w:tcW w:w="897" w:type="dxa"/>
                  <w:vMerge w:val="continue"/>
                  <w:noWrap w:val="0"/>
                  <w:vAlign w:val="center"/>
                </w:tcPr>
                <w:p w14:paraId="1A687DA9">
                  <w:pPr>
                    <w:keepNext w:val="0"/>
                    <w:keepLines w:val="0"/>
                    <w:suppressLineNumbers w:val="0"/>
                    <w:spacing w:before="0" w:beforeAutospacing="0" w:after="0" w:afterAutospacing="0" w:line="288" w:lineRule="auto"/>
                    <w:ind w:left="0" w:right="0"/>
                    <w:jc w:val="center"/>
                    <w:rPr>
                      <w:rFonts w:hint="eastAsia"/>
                      <w:sz w:val="21"/>
                      <w:szCs w:val="21"/>
                      <w:highlight w:val="none"/>
                    </w:rPr>
                  </w:pPr>
                </w:p>
              </w:tc>
              <w:tc>
                <w:tcPr>
                  <w:tcW w:w="1181" w:type="dxa"/>
                  <w:noWrap w:val="0"/>
                  <w:vAlign w:val="center"/>
                </w:tcPr>
                <w:p w14:paraId="1B003FAA">
                  <w:pPr>
                    <w:keepNext w:val="0"/>
                    <w:keepLines w:val="0"/>
                    <w:widowControl/>
                    <w:suppressLineNumbers w:val="0"/>
                    <w:spacing w:before="0" w:beforeAutospacing="0" w:after="0" w:afterAutospacing="0" w:line="288" w:lineRule="auto"/>
                    <w:ind w:left="0" w:right="0"/>
                    <w:jc w:val="center"/>
                    <w:rPr>
                      <w:rFonts w:hint="default" w:ascii="宋体" w:hAnsi="宋体" w:cs="宋体"/>
                      <w:color w:val="000000"/>
                      <w:kern w:val="0"/>
                      <w:sz w:val="21"/>
                      <w:szCs w:val="21"/>
                      <w:highlight w:val="none"/>
                      <w:lang w:val="en-US" w:eastAsia="zh-CN" w:bidi="ar"/>
                    </w:rPr>
                  </w:pPr>
                  <w:r>
                    <w:rPr>
                      <w:rFonts w:hint="eastAsia" w:ascii="宋体" w:hAnsi="宋体" w:cs="宋体"/>
                      <w:color w:val="000000"/>
                      <w:kern w:val="0"/>
                      <w:sz w:val="21"/>
                      <w:szCs w:val="21"/>
                      <w:highlight w:val="none"/>
                      <w:lang w:val="en-US" w:eastAsia="zh-CN" w:bidi="ar"/>
                    </w:rPr>
                    <w:t>非甲烷总烃</w:t>
                  </w:r>
                </w:p>
              </w:tc>
              <w:tc>
                <w:tcPr>
                  <w:tcW w:w="795" w:type="dxa"/>
                  <w:noWrap w:val="0"/>
                  <w:vAlign w:val="center"/>
                </w:tcPr>
                <w:p w14:paraId="599CB3CB">
                  <w:pPr>
                    <w:keepNext w:val="0"/>
                    <w:keepLines w:val="0"/>
                    <w:widowControl/>
                    <w:suppressLineNumbers w:val="0"/>
                    <w:spacing w:before="0" w:beforeAutospacing="0" w:after="0" w:afterAutospacing="0"/>
                    <w:ind w:left="0" w:right="0"/>
                    <w:jc w:val="center"/>
                    <w:textAlignment w:val="center"/>
                    <w:rPr>
                      <w:rFonts w:hint="default"/>
                      <w:color w:val="000000"/>
                      <w:kern w:val="0"/>
                      <w:sz w:val="21"/>
                      <w:szCs w:val="21"/>
                      <w:highlight w:val="none"/>
                      <w:lang w:val="en-US" w:eastAsia="zh-CN" w:bidi="ar"/>
                    </w:rPr>
                  </w:pPr>
                  <w:r>
                    <w:rPr>
                      <w:rFonts w:hint="eastAsia"/>
                      <w:color w:val="000000"/>
                      <w:kern w:val="0"/>
                      <w:sz w:val="21"/>
                      <w:szCs w:val="21"/>
                      <w:highlight w:val="none"/>
                      <w:lang w:val="en-US" w:eastAsia="zh-CN" w:bidi="ar"/>
                    </w:rPr>
                    <w:t>0.111</w:t>
                  </w:r>
                </w:p>
              </w:tc>
              <w:tc>
                <w:tcPr>
                  <w:tcW w:w="915" w:type="dxa"/>
                  <w:noWrap w:val="0"/>
                  <w:vAlign w:val="center"/>
                </w:tcPr>
                <w:p w14:paraId="2B03CF05">
                  <w:pPr>
                    <w:keepNext w:val="0"/>
                    <w:keepLines w:val="0"/>
                    <w:suppressLineNumbers w:val="0"/>
                    <w:spacing w:before="0" w:beforeAutospacing="0" w:after="0" w:afterAutospacing="0" w:line="288" w:lineRule="auto"/>
                    <w:ind w:left="0" w:right="0"/>
                    <w:jc w:val="center"/>
                    <w:rPr>
                      <w:rFonts w:hint="default"/>
                      <w:sz w:val="21"/>
                      <w:szCs w:val="21"/>
                      <w:highlight w:val="none"/>
                      <w:lang w:val="en-US" w:eastAsia="zh-CN"/>
                    </w:rPr>
                  </w:pPr>
                  <w:r>
                    <w:rPr>
                      <w:rFonts w:hint="eastAsia"/>
                      <w:sz w:val="21"/>
                      <w:szCs w:val="21"/>
                      <w:highlight w:val="none"/>
                      <w:lang w:val="en-US" w:eastAsia="zh-CN"/>
                    </w:rPr>
                    <w:t>2</w:t>
                  </w:r>
                </w:p>
              </w:tc>
              <w:tc>
                <w:tcPr>
                  <w:tcW w:w="1065" w:type="dxa"/>
                  <w:noWrap w:val="0"/>
                  <w:vAlign w:val="center"/>
                </w:tcPr>
                <w:p w14:paraId="346C38F7">
                  <w:pPr>
                    <w:keepNext w:val="0"/>
                    <w:keepLines w:val="0"/>
                    <w:suppressLineNumbers w:val="0"/>
                    <w:spacing w:before="0" w:beforeAutospacing="0" w:after="0" w:afterAutospacing="0" w:line="288" w:lineRule="auto"/>
                    <w:ind w:left="0" w:right="0"/>
                    <w:jc w:val="center"/>
                    <w:rPr>
                      <w:rFonts w:hint="eastAsia"/>
                      <w:sz w:val="21"/>
                      <w:szCs w:val="21"/>
                      <w:highlight w:val="none"/>
                    </w:rPr>
                  </w:pPr>
                  <w:r>
                    <w:rPr>
                      <w:rFonts w:hint="eastAsia"/>
                      <w:sz w:val="21"/>
                      <w:szCs w:val="21"/>
                      <w:highlight w:val="none"/>
                    </w:rPr>
                    <w:t>24</w:t>
                  </w:r>
                  <w:r>
                    <w:rPr>
                      <w:rFonts w:hint="eastAsia"/>
                      <w:sz w:val="21"/>
                      <w:szCs w:val="21"/>
                      <w:highlight w:val="none"/>
                      <w:lang w:val="en-US" w:eastAsia="zh-CN"/>
                    </w:rPr>
                    <w:t>6</w:t>
                  </w:r>
                </w:p>
              </w:tc>
              <w:tc>
                <w:tcPr>
                  <w:tcW w:w="1185" w:type="dxa"/>
                  <w:noWrap w:val="0"/>
                  <w:vAlign w:val="center"/>
                </w:tcPr>
                <w:p w14:paraId="1B66933C">
                  <w:pPr>
                    <w:keepNext w:val="0"/>
                    <w:keepLines w:val="0"/>
                    <w:suppressLineNumbers w:val="0"/>
                    <w:spacing w:before="0" w:beforeAutospacing="0" w:after="0" w:afterAutospacing="0" w:line="288" w:lineRule="auto"/>
                    <w:ind w:left="0" w:right="0"/>
                    <w:jc w:val="center"/>
                    <w:rPr>
                      <w:rFonts w:hint="eastAsia" w:eastAsia="宋体"/>
                      <w:sz w:val="21"/>
                      <w:szCs w:val="21"/>
                      <w:highlight w:val="none"/>
                      <w:lang w:val="en-US" w:eastAsia="zh-CN"/>
                    </w:rPr>
                  </w:pPr>
                  <w:r>
                    <w:rPr>
                      <w:rFonts w:hint="eastAsia"/>
                      <w:sz w:val="21"/>
                      <w:szCs w:val="21"/>
                      <w:highlight w:val="none"/>
                    </w:rPr>
                    <w:t>4.</w:t>
                  </w:r>
                  <w:r>
                    <w:rPr>
                      <w:rFonts w:hint="eastAsia"/>
                      <w:sz w:val="21"/>
                      <w:szCs w:val="21"/>
                      <w:highlight w:val="none"/>
                      <w:lang w:val="en-US" w:eastAsia="zh-CN"/>
                    </w:rPr>
                    <w:t>18</w:t>
                  </w:r>
                  <w:r>
                    <w:rPr>
                      <w:rFonts w:hint="eastAsia"/>
                      <w:sz w:val="21"/>
                      <w:szCs w:val="21"/>
                      <w:highlight w:val="none"/>
                    </w:rPr>
                    <w:t>E-0</w:t>
                  </w:r>
                  <w:r>
                    <w:rPr>
                      <w:rFonts w:hint="eastAsia"/>
                      <w:sz w:val="21"/>
                      <w:szCs w:val="21"/>
                      <w:highlight w:val="none"/>
                      <w:lang w:val="en-US" w:eastAsia="zh-CN"/>
                    </w:rPr>
                    <w:t>3</w:t>
                  </w:r>
                </w:p>
              </w:tc>
              <w:tc>
                <w:tcPr>
                  <w:tcW w:w="690" w:type="dxa"/>
                  <w:noWrap w:val="0"/>
                  <w:vAlign w:val="center"/>
                </w:tcPr>
                <w:p w14:paraId="41F503CB">
                  <w:pPr>
                    <w:keepNext w:val="0"/>
                    <w:keepLines w:val="0"/>
                    <w:suppressLineNumbers w:val="0"/>
                    <w:spacing w:before="0" w:beforeAutospacing="0" w:after="0" w:afterAutospacing="0" w:line="288" w:lineRule="auto"/>
                    <w:ind w:left="0" w:right="0"/>
                    <w:jc w:val="center"/>
                    <w:rPr>
                      <w:rFonts w:hint="default"/>
                      <w:sz w:val="21"/>
                      <w:szCs w:val="21"/>
                      <w:highlight w:val="none"/>
                      <w:lang w:val="en-US" w:eastAsia="zh-CN"/>
                    </w:rPr>
                  </w:pPr>
                  <w:r>
                    <w:rPr>
                      <w:rFonts w:hint="eastAsia"/>
                      <w:sz w:val="21"/>
                      <w:szCs w:val="21"/>
                      <w:highlight w:val="none"/>
                      <w:lang w:val="en-US" w:eastAsia="zh-CN"/>
                    </w:rPr>
                    <w:t>0.21</w:t>
                  </w:r>
                </w:p>
              </w:tc>
              <w:tc>
                <w:tcPr>
                  <w:tcW w:w="765" w:type="dxa"/>
                  <w:shd w:val="clear" w:color="auto" w:fill="auto"/>
                  <w:noWrap w:val="0"/>
                  <w:vAlign w:val="center"/>
                </w:tcPr>
                <w:p w14:paraId="12079954">
                  <w:pPr>
                    <w:keepNext w:val="0"/>
                    <w:keepLines w:val="0"/>
                    <w:suppressLineNumbers w:val="0"/>
                    <w:spacing w:before="0" w:beforeAutospacing="0" w:after="0" w:afterAutospacing="0" w:line="288" w:lineRule="auto"/>
                    <w:ind w:left="0" w:right="0"/>
                    <w:jc w:val="center"/>
                    <w:rPr>
                      <w:rFonts w:hint="eastAsia" w:ascii="Times New Roman" w:hAnsi="Times New Roman" w:eastAsia="宋体" w:cs="Times New Roman"/>
                      <w:kern w:val="2"/>
                      <w:sz w:val="21"/>
                      <w:szCs w:val="21"/>
                      <w:highlight w:val="none"/>
                      <w:lang w:val="en-US" w:eastAsia="zh-CN" w:bidi="ar-SA"/>
                    </w:rPr>
                  </w:pPr>
                  <w:r>
                    <w:rPr>
                      <w:rFonts w:hint="eastAsia"/>
                      <w:sz w:val="21"/>
                      <w:szCs w:val="21"/>
                      <w:highlight w:val="none"/>
                    </w:rPr>
                    <w:t>/</w:t>
                  </w:r>
                </w:p>
              </w:tc>
              <w:tc>
                <w:tcPr>
                  <w:tcW w:w="712" w:type="dxa"/>
                  <w:shd w:val="clear" w:color="auto" w:fill="auto"/>
                  <w:noWrap w:val="0"/>
                  <w:vAlign w:val="center"/>
                </w:tcPr>
                <w:p w14:paraId="03121185">
                  <w:pPr>
                    <w:keepNext w:val="0"/>
                    <w:keepLines w:val="0"/>
                    <w:suppressLineNumbers w:val="0"/>
                    <w:spacing w:before="0" w:beforeAutospacing="0" w:after="0" w:afterAutospacing="0" w:line="288" w:lineRule="auto"/>
                    <w:ind w:left="0" w:right="0"/>
                    <w:jc w:val="center"/>
                    <w:rPr>
                      <w:rFonts w:hint="eastAsia" w:ascii="Times New Roman" w:hAnsi="Times New Roman" w:eastAsia="宋体" w:cs="Times New Roman"/>
                      <w:kern w:val="2"/>
                      <w:sz w:val="21"/>
                      <w:szCs w:val="21"/>
                      <w:highlight w:val="none"/>
                      <w:lang w:val="en-US" w:eastAsia="zh-CN" w:bidi="ar-SA"/>
                    </w:rPr>
                  </w:pPr>
                  <w:r>
                    <w:rPr>
                      <w:rFonts w:hint="eastAsia"/>
                      <w:sz w:val="21"/>
                      <w:szCs w:val="21"/>
                      <w:highlight w:val="none"/>
                    </w:rPr>
                    <w:t>三级</w:t>
                  </w:r>
                </w:p>
              </w:tc>
            </w:tr>
            <w:tr w14:paraId="67C3CF8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c>
                <w:tcPr>
                  <w:tcW w:w="897" w:type="dxa"/>
                  <w:noWrap w:val="0"/>
                  <w:vAlign w:val="center"/>
                </w:tcPr>
                <w:p w14:paraId="290C2857">
                  <w:pPr>
                    <w:keepNext w:val="0"/>
                    <w:keepLines w:val="0"/>
                    <w:suppressLineNumbers w:val="0"/>
                    <w:spacing w:before="0" w:beforeAutospacing="0" w:after="0" w:afterAutospacing="0" w:line="288" w:lineRule="auto"/>
                    <w:ind w:left="0" w:right="0"/>
                    <w:jc w:val="center"/>
                    <w:rPr>
                      <w:rFonts w:hint="eastAsia" w:eastAsia="宋体"/>
                      <w:sz w:val="21"/>
                      <w:szCs w:val="21"/>
                      <w:highlight w:val="none"/>
                      <w:lang w:val="en-US" w:eastAsia="zh-CN"/>
                    </w:rPr>
                  </w:pPr>
                  <w:r>
                    <w:rPr>
                      <w:rFonts w:hint="eastAsia"/>
                      <w:sz w:val="21"/>
                      <w:szCs w:val="21"/>
                      <w:highlight w:val="none"/>
                    </w:rPr>
                    <w:t>等效排气筒</w:t>
                  </w:r>
                  <w:r>
                    <w:rPr>
                      <w:rFonts w:hint="eastAsia"/>
                      <w:sz w:val="21"/>
                      <w:szCs w:val="21"/>
                      <w:highlight w:val="none"/>
                      <w:lang w:val="en-US" w:eastAsia="zh-CN"/>
                    </w:rPr>
                    <w:t>2</w:t>
                  </w:r>
                </w:p>
              </w:tc>
              <w:tc>
                <w:tcPr>
                  <w:tcW w:w="1181" w:type="dxa"/>
                  <w:noWrap w:val="0"/>
                  <w:vAlign w:val="center"/>
                </w:tcPr>
                <w:p w14:paraId="0056FBA0">
                  <w:pPr>
                    <w:keepNext w:val="0"/>
                    <w:keepLines w:val="0"/>
                    <w:widowControl/>
                    <w:suppressLineNumbers w:val="0"/>
                    <w:spacing w:before="0" w:beforeAutospacing="0" w:after="0" w:afterAutospacing="0" w:line="288" w:lineRule="auto"/>
                    <w:ind w:left="0" w:right="0"/>
                    <w:jc w:val="center"/>
                    <w:rPr>
                      <w:rFonts w:hint="eastAsia" w:ascii="宋体" w:hAnsi="宋体" w:cs="宋体"/>
                      <w:color w:val="000000"/>
                      <w:kern w:val="0"/>
                      <w:sz w:val="21"/>
                      <w:szCs w:val="21"/>
                      <w:highlight w:val="none"/>
                      <w:lang w:val="en-US" w:eastAsia="zh-CN" w:bidi="ar"/>
                    </w:rPr>
                  </w:pPr>
                  <w:r>
                    <w:rPr>
                      <w:rFonts w:hint="eastAsia" w:ascii="宋体" w:hAnsi="宋体" w:cs="宋体"/>
                      <w:color w:val="000000"/>
                      <w:kern w:val="0"/>
                      <w:sz w:val="21"/>
                      <w:szCs w:val="21"/>
                      <w:highlight w:val="none"/>
                      <w:lang w:val="en-US" w:eastAsia="zh-CN" w:bidi="ar"/>
                    </w:rPr>
                    <w:t>非甲烷总烃</w:t>
                  </w:r>
                </w:p>
              </w:tc>
              <w:tc>
                <w:tcPr>
                  <w:tcW w:w="795" w:type="dxa"/>
                  <w:shd w:val="clear" w:color="auto" w:fill="auto"/>
                  <w:noWrap w:val="0"/>
                  <w:vAlign w:val="center"/>
                </w:tcPr>
                <w:p w14:paraId="10341AC2">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color w:val="000000"/>
                      <w:kern w:val="0"/>
                      <w:sz w:val="21"/>
                      <w:szCs w:val="21"/>
                      <w:highlight w:val="none"/>
                      <w:lang w:val="en-US" w:eastAsia="zh-CN" w:bidi="ar"/>
                    </w:rPr>
                  </w:pPr>
                  <w:r>
                    <w:rPr>
                      <w:rFonts w:hint="eastAsia"/>
                      <w:color w:val="000000"/>
                      <w:kern w:val="0"/>
                      <w:sz w:val="21"/>
                      <w:szCs w:val="21"/>
                      <w:highlight w:val="none"/>
                      <w:lang w:val="en-US" w:eastAsia="zh-CN" w:bidi="ar"/>
                    </w:rPr>
                    <w:t>0.483</w:t>
                  </w:r>
                </w:p>
              </w:tc>
              <w:tc>
                <w:tcPr>
                  <w:tcW w:w="915" w:type="dxa"/>
                  <w:shd w:val="clear" w:color="auto" w:fill="auto"/>
                  <w:noWrap w:val="0"/>
                  <w:vAlign w:val="center"/>
                </w:tcPr>
                <w:p w14:paraId="45E503C2">
                  <w:pPr>
                    <w:keepNext w:val="0"/>
                    <w:keepLines w:val="0"/>
                    <w:suppressLineNumbers w:val="0"/>
                    <w:spacing w:before="0" w:beforeAutospacing="0" w:after="0" w:afterAutospacing="0" w:line="288" w:lineRule="auto"/>
                    <w:ind w:left="0" w:right="0"/>
                    <w:jc w:val="center"/>
                    <w:rPr>
                      <w:rFonts w:hint="eastAsia" w:ascii="Times New Roman" w:hAnsi="Times New Roman" w:eastAsia="宋体" w:cs="Times New Roman"/>
                      <w:kern w:val="2"/>
                      <w:sz w:val="21"/>
                      <w:szCs w:val="21"/>
                      <w:highlight w:val="none"/>
                      <w:lang w:val="en-US" w:eastAsia="zh-CN" w:bidi="ar-SA"/>
                    </w:rPr>
                  </w:pPr>
                  <w:r>
                    <w:rPr>
                      <w:rFonts w:hint="eastAsia"/>
                      <w:sz w:val="21"/>
                      <w:szCs w:val="21"/>
                      <w:highlight w:val="none"/>
                      <w:lang w:val="en-US" w:eastAsia="zh-CN"/>
                    </w:rPr>
                    <w:t>2</w:t>
                  </w:r>
                </w:p>
              </w:tc>
              <w:tc>
                <w:tcPr>
                  <w:tcW w:w="1065" w:type="dxa"/>
                  <w:shd w:val="clear" w:color="auto" w:fill="auto"/>
                  <w:noWrap w:val="0"/>
                  <w:vAlign w:val="center"/>
                </w:tcPr>
                <w:p w14:paraId="44F7BF60">
                  <w:pPr>
                    <w:keepNext w:val="0"/>
                    <w:keepLines w:val="0"/>
                    <w:suppressLineNumbers w:val="0"/>
                    <w:spacing w:before="0" w:beforeAutospacing="0" w:after="0" w:afterAutospacing="0" w:line="288" w:lineRule="auto"/>
                    <w:ind w:left="0" w:right="0"/>
                    <w:jc w:val="center"/>
                    <w:rPr>
                      <w:rFonts w:hint="default" w:ascii="Times New Roman" w:hAnsi="Times New Roman" w:eastAsia="宋体" w:cs="Times New Roman"/>
                      <w:kern w:val="2"/>
                      <w:sz w:val="21"/>
                      <w:szCs w:val="21"/>
                      <w:highlight w:val="none"/>
                      <w:lang w:val="en-US" w:eastAsia="zh-CN" w:bidi="ar-SA"/>
                    </w:rPr>
                  </w:pPr>
                  <w:r>
                    <w:rPr>
                      <w:rFonts w:hint="eastAsia"/>
                      <w:sz w:val="21"/>
                      <w:szCs w:val="21"/>
                      <w:highlight w:val="none"/>
                      <w:lang w:val="en-US" w:eastAsia="zh-CN"/>
                    </w:rPr>
                    <w:t>341</w:t>
                  </w:r>
                </w:p>
              </w:tc>
              <w:tc>
                <w:tcPr>
                  <w:tcW w:w="1185" w:type="dxa"/>
                  <w:shd w:val="clear" w:color="auto" w:fill="auto"/>
                  <w:noWrap w:val="0"/>
                  <w:vAlign w:val="center"/>
                </w:tcPr>
                <w:p w14:paraId="0ED367EE">
                  <w:pPr>
                    <w:keepNext w:val="0"/>
                    <w:keepLines w:val="0"/>
                    <w:suppressLineNumbers w:val="0"/>
                    <w:spacing w:before="0" w:beforeAutospacing="0" w:after="0" w:afterAutospacing="0" w:line="288" w:lineRule="auto"/>
                    <w:ind w:left="0" w:right="0"/>
                    <w:jc w:val="center"/>
                    <w:rPr>
                      <w:rFonts w:hint="eastAsia" w:ascii="Times New Roman" w:hAnsi="Times New Roman" w:eastAsia="宋体" w:cs="Times New Roman"/>
                      <w:kern w:val="2"/>
                      <w:sz w:val="21"/>
                      <w:szCs w:val="21"/>
                      <w:highlight w:val="none"/>
                      <w:lang w:val="en-US" w:eastAsia="zh-CN" w:bidi="ar-SA"/>
                    </w:rPr>
                  </w:pPr>
                  <w:r>
                    <w:rPr>
                      <w:rFonts w:hint="eastAsia"/>
                      <w:sz w:val="21"/>
                      <w:szCs w:val="21"/>
                      <w:highlight w:val="none"/>
                      <w:lang w:val="en-US" w:eastAsia="zh-CN"/>
                    </w:rPr>
                    <w:t>9</w:t>
                  </w:r>
                  <w:r>
                    <w:rPr>
                      <w:rFonts w:hint="eastAsia"/>
                      <w:sz w:val="21"/>
                      <w:szCs w:val="21"/>
                      <w:highlight w:val="none"/>
                    </w:rPr>
                    <w:t>.</w:t>
                  </w:r>
                  <w:r>
                    <w:rPr>
                      <w:rFonts w:hint="eastAsia"/>
                      <w:sz w:val="21"/>
                      <w:szCs w:val="21"/>
                      <w:highlight w:val="none"/>
                      <w:lang w:val="en-US" w:eastAsia="zh-CN"/>
                    </w:rPr>
                    <w:t>90</w:t>
                  </w:r>
                  <w:r>
                    <w:rPr>
                      <w:rFonts w:hint="eastAsia"/>
                      <w:sz w:val="21"/>
                      <w:szCs w:val="21"/>
                      <w:highlight w:val="none"/>
                    </w:rPr>
                    <w:t>E-0</w:t>
                  </w:r>
                  <w:r>
                    <w:rPr>
                      <w:rFonts w:hint="eastAsia"/>
                      <w:sz w:val="21"/>
                      <w:szCs w:val="21"/>
                      <w:highlight w:val="none"/>
                      <w:lang w:val="en-US" w:eastAsia="zh-CN"/>
                    </w:rPr>
                    <w:t>3</w:t>
                  </w:r>
                </w:p>
              </w:tc>
              <w:tc>
                <w:tcPr>
                  <w:tcW w:w="690" w:type="dxa"/>
                  <w:shd w:val="clear" w:color="auto" w:fill="auto"/>
                  <w:noWrap w:val="0"/>
                  <w:vAlign w:val="center"/>
                </w:tcPr>
                <w:p w14:paraId="660D3708">
                  <w:pPr>
                    <w:keepNext w:val="0"/>
                    <w:keepLines w:val="0"/>
                    <w:suppressLineNumbers w:val="0"/>
                    <w:spacing w:before="0" w:beforeAutospacing="0" w:after="0" w:afterAutospacing="0" w:line="288" w:lineRule="auto"/>
                    <w:ind w:left="0" w:right="0"/>
                    <w:jc w:val="center"/>
                    <w:rPr>
                      <w:rFonts w:hint="default" w:ascii="Times New Roman" w:hAnsi="Times New Roman" w:eastAsia="宋体" w:cs="Times New Roman"/>
                      <w:kern w:val="2"/>
                      <w:sz w:val="21"/>
                      <w:szCs w:val="21"/>
                      <w:highlight w:val="none"/>
                      <w:lang w:val="en-US" w:eastAsia="zh-CN" w:bidi="ar-SA"/>
                    </w:rPr>
                  </w:pPr>
                  <w:r>
                    <w:rPr>
                      <w:rFonts w:hint="eastAsia"/>
                      <w:sz w:val="21"/>
                      <w:szCs w:val="21"/>
                      <w:highlight w:val="none"/>
                      <w:lang w:val="en-US" w:eastAsia="zh-CN"/>
                    </w:rPr>
                    <w:t>0.50</w:t>
                  </w:r>
                </w:p>
              </w:tc>
              <w:tc>
                <w:tcPr>
                  <w:tcW w:w="765" w:type="dxa"/>
                  <w:shd w:val="clear" w:color="auto" w:fill="auto"/>
                  <w:noWrap w:val="0"/>
                  <w:vAlign w:val="center"/>
                </w:tcPr>
                <w:p w14:paraId="7721319E">
                  <w:pPr>
                    <w:keepNext w:val="0"/>
                    <w:keepLines w:val="0"/>
                    <w:suppressLineNumbers w:val="0"/>
                    <w:spacing w:before="0" w:beforeAutospacing="0" w:after="0" w:afterAutospacing="0" w:line="288" w:lineRule="auto"/>
                    <w:ind w:left="0" w:right="0"/>
                    <w:jc w:val="center"/>
                    <w:rPr>
                      <w:rFonts w:hint="eastAsia" w:ascii="Times New Roman" w:hAnsi="Times New Roman" w:eastAsia="宋体" w:cs="Times New Roman"/>
                      <w:kern w:val="2"/>
                      <w:sz w:val="21"/>
                      <w:szCs w:val="21"/>
                      <w:highlight w:val="none"/>
                      <w:lang w:val="en-US" w:eastAsia="zh-CN" w:bidi="ar-SA"/>
                    </w:rPr>
                  </w:pPr>
                  <w:r>
                    <w:rPr>
                      <w:rFonts w:hint="eastAsia"/>
                      <w:sz w:val="21"/>
                      <w:szCs w:val="21"/>
                      <w:highlight w:val="none"/>
                    </w:rPr>
                    <w:t>/</w:t>
                  </w:r>
                </w:p>
              </w:tc>
              <w:tc>
                <w:tcPr>
                  <w:tcW w:w="712" w:type="dxa"/>
                  <w:shd w:val="clear" w:color="auto" w:fill="auto"/>
                  <w:noWrap w:val="0"/>
                  <w:vAlign w:val="center"/>
                </w:tcPr>
                <w:p w14:paraId="541DBF15">
                  <w:pPr>
                    <w:keepNext w:val="0"/>
                    <w:keepLines w:val="0"/>
                    <w:suppressLineNumbers w:val="0"/>
                    <w:spacing w:before="0" w:beforeAutospacing="0" w:after="0" w:afterAutospacing="0" w:line="288" w:lineRule="auto"/>
                    <w:ind w:left="0" w:right="0"/>
                    <w:jc w:val="center"/>
                    <w:rPr>
                      <w:rFonts w:hint="eastAsia" w:ascii="Times New Roman" w:hAnsi="Times New Roman" w:eastAsia="宋体" w:cs="Times New Roman"/>
                      <w:kern w:val="2"/>
                      <w:sz w:val="21"/>
                      <w:szCs w:val="21"/>
                      <w:highlight w:val="none"/>
                      <w:lang w:val="en-US" w:eastAsia="zh-CN" w:bidi="ar-SA"/>
                    </w:rPr>
                  </w:pPr>
                  <w:r>
                    <w:rPr>
                      <w:rFonts w:hint="eastAsia"/>
                      <w:sz w:val="21"/>
                      <w:szCs w:val="21"/>
                      <w:highlight w:val="none"/>
                    </w:rPr>
                    <w:t>三级</w:t>
                  </w:r>
                </w:p>
              </w:tc>
            </w:tr>
            <w:tr w14:paraId="534941E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c>
                <w:tcPr>
                  <w:tcW w:w="897" w:type="dxa"/>
                  <w:vMerge w:val="restart"/>
                  <w:noWrap w:val="0"/>
                  <w:vAlign w:val="center"/>
                </w:tcPr>
                <w:p w14:paraId="4B21362A">
                  <w:pPr>
                    <w:keepNext w:val="0"/>
                    <w:keepLines w:val="0"/>
                    <w:suppressLineNumbers w:val="0"/>
                    <w:spacing w:before="0" w:beforeAutospacing="0" w:after="0" w:afterAutospacing="0" w:line="288" w:lineRule="auto"/>
                    <w:ind w:left="0" w:right="0"/>
                    <w:jc w:val="center"/>
                    <w:rPr>
                      <w:rFonts w:hint="eastAsia" w:eastAsia="宋体"/>
                      <w:sz w:val="21"/>
                      <w:szCs w:val="21"/>
                      <w:highlight w:val="none"/>
                      <w:lang w:val="en-US" w:eastAsia="zh-CN"/>
                    </w:rPr>
                  </w:pPr>
                  <w:r>
                    <w:rPr>
                      <w:rFonts w:hint="eastAsia"/>
                      <w:sz w:val="21"/>
                      <w:szCs w:val="21"/>
                      <w:highlight w:val="none"/>
                      <w:lang w:val="en-US" w:eastAsia="zh-CN"/>
                    </w:rPr>
                    <w:t>实验动物中心</w:t>
                  </w:r>
                </w:p>
              </w:tc>
              <w:tc>
                <w:tcPr>
                  <w:tcW w:w="1181" w:type="dxa"/>
                  <w:shd w:val="clear" w:color="auto" w:fill="auto"/>
                  <w:noWrap w:val="0"/>
                  <w:vAlign w:val="center"/>
                </w:tcPr>
                <w:p w14:paraId="4722891E">
                  <w:pPr>
                    <w:keepNext w:val="0"/>
                    <w:keepLines w:val="0"/>
                    <w:widowControl/>
                    <w:suppressLineNumbers w:val="0"/>
                    <w:spacing w:before="0" w:beforeAutospacing="0" w:after="0" w:afterAutospacing="0" w:line="288" w:lineRule="auto"/>
                    <w:ind w:left="0" w:right="0"/>
                    <w:jc w:val="center"/>
                    <w:rPr>
                      <w:rFonts w:hint="eastAsia" w:ascii="Times New Roman" w:hAnsi="Times New Roman" w:eastAsia="宋体" w:cs="Times New Roman"/>
                      <w:kern w:val="2"/>
                      <w:sz w:val="21"/>
                      <w:szCs w:val="21"/>
                      <w:highlight w:val="none"/>
                      <w:lang w:val="en-US" w:eastAsia="zh-CN" w:bidi="ar-SA"/>
                    </w:rPr>
                  </w:pPr>
                  <w:r>
                    <w:rPr>
                      <w:rFonts w:hint="eastAsia" w:ascii="宋体" w:hAnsi="宋体" w:cs="宋体"/>
                      <w:color w:val="000000"/>
                      <w:kern w:val="0"/>
                      <w:sz w:val="21"/>
                      <w:szCs w:val="21"/>
                      <w:highlight w:val="none"/>
                      <w:lang w:bidi="ar"/>
                    </w:rPr>
                    <w:t>氨</w:t>
                  </w:r>
                </w:p>
              </w:tc>
              <w:tc>
                <w:tcPr>
                  <w:tcW w:w="795" w:type="dxa"/>
                  <w:noWrap w:val="0"/>
                  <w:vAlign w:val="center"/>
                </w:tcPr>
                <w:p w14:paraId="1CB0D511">
                  <w:pPr>
                    <w:keepNext w:val="0"/>
                    <w:keepLines w:val="0"/>
                    <w:widowControl/>
                    <w:suppressLineNumbers w:val="0"/>
                    <w:spacing w:before="0" w:beforeAutospacing="0" w:after="0" w:afterAutospacing="0"/>
                    <w:ind w:left="0" w:right="0"/>
                    <w:jc w:val="center"/>
                    <w:textAlignment w:val="center"/>
                    <w:rPr>
                      <w:rFonts w:hint="default"/>
                      <w:color w:val="000000"/>
                      <w:kern w:val="0"/>
                      <w:sz w:val="21"/>
                      <w:szCs w:val="21"/>
                      <w:highlight w:val="none"/>
                      <w:lang w:val="en-US" w:eastAsia="zh-CN" w:bidi="ar"/>
                    </w:rPr>
                  </w:pPr>
                  <w:r>
                    <w:rPr>
                      <w:rFonts w:hint="eastAsia"/>
                      <w:color w:val="000000"/>
                      <w:kern w:val="0"/>
                      <w:sz w:val="21"/>
                      <w:szCs w:val="21"/>
                      <w:highlight w:val="none"/>
                      <w:lang w:val="en-US" w:eastAsia="zh-CN" w:bidi="ar"/>
                    </w:rPr>
                    <w:t>0.004</w:t>
                  </w:r>
                </w:p>
              </w:tc>
              <w:tc>
                <w:tcPr>
                  <w:tcW w:w="915" w:type="dxa"/>
                  <w:noWrap w:val="0"/>
                  <w:vAlign w:val="center"/>
                </w:tcPr>
                <w:p w14:paraId="0434A7CF">
                  <w:pPr>
                    <w:keepNext w:val="0"/>
                    <w:keepLines w:val="0"/>
                    <w:suppressLineNumbers w:val="0"/>
                    <w:spacing w:before="0" w:beforeAutospacing="0" w:after="0" w:afterAutospacing="0" w:line="288" w:lineRule="auto"/>
                    <w:ind w:left="0" w:right="0"/>
                    <w:jc w:val="center"/>
                    <w:rPr>
                      <w:rFonts w:hint="default"/>
                      <w:sz w:val="21"/>
                      <w:szCs w:val="21"/>
                      <w:highlight w:val="none"/>
                      <w:lang w:val="en-US" w:eastAsia="zh-CN"/>
                    </w:rPr>
                  </w:pPr>
                  <w:r>
                    <w:rPr>
                      <w:rFonts w:hint="eastAsia"/>
                      <w:sz w:val="21"/>
                      <w:szCs w:val="21"/>
                      <w:highlight w:val="none"/>
                      <w:lang w:val="en-US" w:eastAsia="zh-CN"/>
                    </w:rPr>
                    <w:t>0.2</w:t>
                  </w:r>
                </w:p>
              </w:tc>
              <w:tc>
                <w:tcPr>
                  <w:tcW w:w="1065" w:type="dxa"/>
                  <w:noWrap w:val="0"/>
                  <w:vAlign w:val="center"/>
                </w:tcPr>
                <w:p w14:paraId="4A39FB34">
                  <w:pPr>
                    <w:keepNext w:val="0"/>
                    <w:keepLines w:val="0"/>
                    <w:suppressLineNumbers w:val="0"/>
                    <w:spacing w:before="0" w:beforeAutospacing="0" w:after="0" w:afterAutospacing="0" w:line="288" w:lineRule="auto"/>
                    <w:ind w:left="0" w:right="0"/>
                    <w:jc w:val="center"/>
                    <w:rPr>
                      <w:rFonts w:hint="default" w:eastAsia="宋体"/>
                      <w:sz w:val="21"/>
                      <w:szCs w:val="21"/>
                      <w:highlight w:val="none"/>
                      <w:lang w:val="en-US" w:eastAsia="zh-CN"/>
                    </w:rPr>
                  </w:pPr>
                  <w:r>
                    <w:rPr>
                      <w:rFonts w:hint="eastAsia"/>
                      <w:sz w:val="21"/>
                      <w:szCs w:val="21"/>
                      <w:highlight w:val="none"/>
                      <w:lang w:val="en-US" w:eastAsia="zh-CN"/>
                    </w:rPr>
                    <w:t>53</w:t>
                  </w:r>
                </w:p>
              </w:tc>
              <w:tc>
                <w:tcPr>
                  <w:tcW w:w="1185" w:type="dxa"/>
                  <w:noWrap w:val="0"/>
                  <w:vAlign w:val="center"/>
                </w:tcPr>
                <w:p w14:paraId="29AC26CE">
                  <w:pPr>
                    <w:keepNext w:val="0"/>
                    <w:keepLines w:val="0"/>
                    <w:suppressLineNumbers w:val="0"/>
                    <w:spacing w:before="0" w:beforeAutospacing="0" w:after="0" w:afterAutospacing="0" w:line="288" w:lineRule="auto"/>
                    <w:ind w:left="0" w:right="0"/>
                    <w:jc w:val="center"/>
                    <w:rPr>
                      <w:rFonts w:hint="eastAsia" w:eastAsia="宋体"/>
                      <w:sz w:val="21"/>
                      <w:szCs w:val="21"/>
                      <w:highlight w:val="none"/>
                      <w:lang w:val="en-US" w:eastAsia="zh-CN"/>
                    </w:rPr>
                  </w:pPr>
                  <w:r>
                    <w:rPr>
                      <w:rFonts w:hint="eastAsia"/>
                      <w:sz w:val="21"/>
                      <w:szCs w:val="21"/>
                      <w:highlight w:val="none"/>
                      <w:lang w:val="en-US" w:eastAsia="zh-CN"/>
                    </w:rPr>
                    <w:t>1</w:t>
                  </w:r>
                  <w:r>
                    <w:rPr>
                      <w:rFonts w:hint="eastAsia"/>
                      <w:sz w:val="21"/>
                      <w:szCs w:val="21"/>
                      <w:highlight w:val="none"/>
                    </w:rPr>
                    <w:t>.</w:t>
                  </w:r>
                  <w:r>
                    <w:rPr>
                      <w:rFonts w:hint="eastAsia"/>
                      <w:sz w:val="21"/>
                      <w:szCs w:val="21"/>
                      <w:highlight w:val="none"/>
                      <w:lang w:val="en-US" w:eastAsia="zh-CN"/>
                    </w:rPr>
                    <w:t>67</w:t>
                  </w:r>
                  <w:r>
                    <w:rPr>
                      <w:rFonts w:hint="eastAsia"/>
                      <w:sz w:val="21"/>
                      <w:szCs w:val="21"/>
                      <w:highlight w:val="none"/>
                    </w:rPr>
                    <w:t>E-0</w:t>
                  </w:r>
                  <w:r>
                    <w:rPr>
                      <w:rFonts w:hint="eastAsia"/>
                      <w:sz w:val="21"/>
                      <w:szCs w:val="21"/>
                      <w:highlight w:val="none"/>
                      <w:lang w:val="en-US" w:eastAsia="zh-CN"/>
                    </w:rPr>
                    <w:t>3</w:t>
                  </w:r>
                </w:p>
              </w:tc>
              <w:tc>
                <w:tcPr>
                  <w:tcW w:w="690" w:type="dxa"/>
                  <w:noWrap w:val="0"/>
                  <w:vAlign w:val="center"/>
                </w:tcPr>
                <w:p w14:paraId="02CCB0CE">
                  <w:pPr>
                    <w:keepNext w:val="0"/>
                    <w:keepLines w:val="0"/>
                    <w:suppressLineNumbers w:val="0"/>
                    <w:spacing w:before="0" w:beforeAutospacing="0" w:after="0" w:afterAutospacing="0" w:line="288" w:lineRule="auto"/>
                    <w:ind w:left="0" w:right="0"/>
                    <w:jc w:val="center"/>
                    <w:rPr>
                      <w:rFonts w:hint="default"/>
                      <w:sz w:val="21"/>
                      <w:szCs w:val="21"/>
                      <w:highlight w:val="none"/>
                      <w:lang w:val="en-US" w:eastAsia="zh-CN"/>
                    </w:rPr>
                  </w:pPr>
                  <w:r>
                    <w:rPr>
                      <w:rFonts w:hint="eastAsia"/>
                      <w:sz w:val="21"/>
                      <w:szCs w:val="21"/>
                      <w:highlight w:val="none"/>
                      <w:lang w:val="en-US" w:eastAsia="zh-CN"/>
                    </w:rPr>
                    <w:t>0.84</w:t>
                  </w:r>
                </w:p>
              </w:tc>
              <w:tc>
                <w:tcPr>
                  <w:tcW w:w="765" w:type="dxa"/>
                  <w:shd w:val="clear" w:color="auto" w:fill="auto"/>
                  <w:noWrap w:val="0"/>
                  <w:vAlign w:val="center"/>
                </w:tcPr>
                <w:p w14:paraId="4CF16D14">
                  <w:pPr>
                    <w:keepNext w:val="0"/>
                    <w:keepLines w:val="0"/>
                    <w:suppressLineNumbers w:val="0"/>
                    <w:spacing w:before="0" w:beforeAutospacing="0" w:after="0" w:afterAutospacing="0" w:line="288" w:lineRule="auto"/>
                    <w:ind w:left="0" w:right="0"/>
                    <w:jc w:val="center"/>
                    <w:rPr>
                      <w:rFonts w:hint="eastAsia" w:ascii="Times New Roman" w:hAnsi="Times New Roman" w:eastAsia="宋体" w:cs="Times New Roman"/>
                      <w:kern w:val="2"/>
                      <w:sz w:val="21"/>
                      <w:szCs w:val="21"/>
                      <w:highlight w:val="none"/>
                      <w:lang w:val="en-US" w:eastAsia="zh-CN" w:bidi="ar-SA"/>
                    </w:rPr>
                  </w:pPr>
                  <w:r>
                    <w:rPr>
                      <w:rFonts w:hint="eastAsia"/>
                      <w:sz w:val="21"/>
                      <w:szCs w:val="21"/>
                      <w:highlight w:val="none"/>
                    </w:rPr>
                    <w:t>/</w:t>
                  </w:r>
                </w:p>
              </w:tc>
              <w:tc>
                <w:tcPr>
                  <w:tcW w:w="712" w:type="dxa"/>
                  <w:shd w:val="clear" w:color="auto" w:fill="auto"/>
                  <w:noWrap w:val="0"/>
                  <w:vAlign w:val="center"/>
                </w:tcPr>
                <w:p w14:paraId="4731A37A">
                  <w:pPr>
                    <w:keepNext w:val="0"/>
                    <w:keepLines w:val="0"/>
                    <w:suppressLineNumbers w:val="0"/>
                    <w:spacing w:before="0" w:beforeAutospacing="0" w:after="0" w:afterAutospacing="0" w:line="288" w:lineRule="auto"/>
                    <w:ind w:left="0" w:right="0"/>
                    <w:jc w:val="center"/>
                    <w:rPr>
                      <w:rFonts w:hint="eastAsia" w:ascii="Times New Roman" w:hAnsi="Times New Roman" w:eastAsia="宋体" w:cs="Times New Roman"/>
                      <w:kern w:val="2"/>
                      <w:sz w:val="21"/>
                      <w:szCs w:val="21"/>
                      <w:highlight w:val="none"/>
                      <w:lang w:val="en-US" w:eastAsia="zh-CN" w:bidi="ar-SA"/>
                    </w:rPr>
                  </w:pPr>
                  <w:r>
                    <w:rPr>
                      <w:rFonts w:hint="eastAsia"/>
                      <w:sz w:val="21"/>
                      <w:szCs w:val="21"/>
                      <w:highlight w:val="none"/>
                    </w:rPr>
                    <w:t>三级</w:t>
                  </w:r>
                </w:p>
              </w:tc>
            </w:tr>
            <w:tr w14:paraId="3A356E8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c>
                <w:tcPr>
                  <w:tcW w:w="897" w:type="dxa"/>
                  <w:vMerge w:val="continue"/>
                  <w:noWrap w:val="0"/>
                  <w:vAlign w:val="center"/>
                </w:tcPr>
                <w:p w14:paraId="07957244">
                  <w:pPr>
                    <w:keepNext w:val="0"/>
                    <w:keepLines w:val="0"/>
                    <w:suppressLineNumbers w:val="0"/>
                    <w:spacing w:before="0" w:beforeAutospacing="0" w:after="0" w:afterAutospacing="0" w:line="288" w:lineRule="auto"/>
                    <w:ind w:left="0" w:right="0"/>
                    <w:jc w:val="center"/>
                    <w:rPr>
                      <w:rFonts w:hint="eastAsia"/>
                      <w:sz w:val="21"/>
                      <w:szCs w:val="21"/>
                      <w:highlight w:val="none"/>
                    </w:rPr>
                  </w:pPr>
                </w:p>
              </w:tc>
              <w:tc>
                <w:tcPr>
                  <w:tcW w:w="1181" w:type="dxa"/>
                  <w:shd w:val="clear" w:color="auto" w:fill="auto"/>
                  <w:noWrap w:val="0"/>
                  <w:vAlign w:val="center"/>
                </w:tcPr>
                <w:p w14:paraId="7857EA8F">
                  <w:pPr>
                    <w:keepNext w:val="0"/>
                    <w:keepLines w:val="0"/>
                    <w:widowControl/>
                    <w:suppressLineNumbers w:val="0"/>
                    <w:spacing w:before="0" w:beforeAutospacing="0" w:after="0" w:afterAutospacing="0" w:line="288" w:lineRule="auto"/>
                    <w:ind w:left="0" w:right="0"/>
                    <w:jc w:val="center"/>
                    <w:rPr>
                      <w:rFonts w:hint="eastAsia" w:ascii="Times New Roman" w:hAnsi="Times New Roman" w:eastAsia="宋体" w:cs="Times New Roman"/>
                      <w:kern w:val="2"/>
                      <w:sz w:val="21"/>
                      <w:szCs w:val="21"/>
                      <w:highlight w:val="none"/>
                      <w:lang w:val="en-US" w:eastAsia="zh-CN" w:bidi="ar-SA"/>
                    </w:rPr>
                  </w:pPr>
                  <w:r>
                    <w:rPr>
                      <w:rFonts w:hint="eastAsia" w:ascii="宋体" w:hAnsi="宋体" w:cs="宋体"/>
                      <w:color w:val="000000"/>
                      <w:kern w:val="0"/>
                      <w:sz w:val="21"/>
                      <w:szCs w:val="21"/>
                      <w:highlight w:val="none"/>
                      <w:lang w:bidi="ar"/>
                    </w:rPr>
                    <w:t>硫化氢</w:t>
                  </w:r>
                </w:p>
              </w:tc>
              <w:tc>
                <w:tcPr>
                  <w:tcW w:w="795" w:type="dxa"/>
                  <w:noWrap w:val="0"/>
                  <w:vAlign w:val="center"/>
                </w:tcPr>
                <w:p w14:paraId="0C6C7D1C">
                  <w:pPr>
                    <w:keepNext w:val="0"/>
                    <w:keepLines w:val="0"/>
                    <w:widowControl/>
                    <w:suppressLineNumbers w:val="0"/>
                    <w:spacing w:before="0" w:beforeAutospacing="0" w:after="0" w:afterAutospacing="0"/>
                    <w:ind w:left="0" w:right="0"/>
                    <w:jc w:val="center"/>
                    <w:textAlignment w:val="center"/>
                    <w:rPr>
                      <w:rFonts w:hint="default"/>
                      <w:color w:val="000000"/>
                      <w:kern w:val="0"/>
                      <w:sz w:val="21"/>
                      <w:szCs w:val="21"/>
                      <w:highlight w:val="none"/>
                      <w:lang w:val="en-US" w:eastAsia="zh-CN" w:bidi="ar"/>
                    </w:rPr>
                  </w:pPr>
                  <w:r>
                    <w:rPr>
                      <w:rFonts w:hint="eastAsia"/>
                      <w:color w:val="000000"/>
                      <w:kern w:val="0"/>
                      <w:sz w:val="21"/>
                      <w:szCs w:val="21"/>
                      <w:highlight w:val="none"/>
                      <w:lang w:val="en-US" w:eastAsia="zh-CN" w:bidi="ar"/>
                    </w:rPr>
                    <w:t>0.001</w:t>
                  </w:r>
                </w:p>
              </w:tc>
              <w:tc>
                <w:tcPr>
                  <w:tcW w:w="915" w:type="dxa"/>
                  <w:noWrap w:val="0"/>
                  <w:vAlign w:val="center"/>
                </w:tcPr>
                <w:p w14:paraId="356779D6">
                  <w:pPr>
                    <w:keepNext w:val="0"/>
                    <w:keepLines w:val="0"/>
                    <w:suppressLineNumbers w:val="0"/>
                    <w:spacing w:before="0" w:beforeAutospacing="0" w:after="0" w:afterAutospacing="0" w:line="288" w:lineRule="auto"/>
                    <w:ind w:left="0" w:right="0"/>
                    <w:jc w:val="center"/>
                    <w:rPr>
                      <w:rFonts w:hint="eastAsia"/>
                      <w:sz w:val="21"/>
                      <w:szCs w:val="21"/>
                      <w:highlight w:val="none"/>
                      <w:lang w:val="en-US" w:eastAsia="zh-CN"/>
                    </w:rPr>
                  </w:pPr>
                  <w:r>
                    <w:rPr>
                      <w:rFonts w:hint="eastAsia"/>
                      <w:sz w:val="21"/>
                      <w:szCs w:val="21"/>
                      <w:highlight w:val="none"/>
                    </w:rPr>
                    <w:t>0.01</w:t>
                  </w:r>
                </w:p>
              </w:tc>
              <w:tc>
                <w:tcPr>
                  <w:tcW w:w="1065" w:type="dxa"/>
                  <w:noWrap w:val="0"/>
                  <w:vAlign w:val="center"/>
                </w:tcPr>
                <w:p w14:paraId="347B5515">
                  <w:pPr>
                    <w:keepNext w:val="0"/>
                    <w:keepLines w:val="0"/>
                    <w:suppressLineNumbers w:val="0"/>
                    <w:spacing w:before="0" w:beforeAutospacing="0" w:after="0" w:afterAutospacing="0" w:line="288" w:lineRule="auto"/>
                    <w:ind w:left="0" w:right="0"/>
                    <w:jc w:val="center"/>
                    <w:rPr>
                      <w:rFonts w:hint="default" w:eastAsia="宋体"/>
                      <w:sz w:val="21"/>
                      <w:szCs w:val="21"/>
                      <w:highlight w:val="none"/>
                      <w:lang w:val="en-US" w:eastAsia="zh-CN"/>
                    </w:rPr>
                  </w:pPr>
                  <w:r>
                    <w:rPr>
                      <w:rFonts w:hint="eastAsia"/>
                      <w:sz w:val="21"/>
                      <w:szCs w:val="21"/>
                      <w:highlight w:val="none"/>
                      <w:lang w:val="en-US" w:eastAsia="zh-CN"/>
                    </w:rPr>
                    <w:t>53</w:t>
                  </w:r>
                </w:p>
              </w:tc>
              <w:tc>
                <w:tcPr>
                  <w:tcW w:w="1185" w:type="dxa"/>
                  <w:noWrap w:val="0"/>
                  <w:vAlign w:val="center"/>
                </w:tcPr>
                <w:p w14:paraId="2A255264">
                  <w:pPr>
                    <w:keepNext w:val="0"/>
                    <w:keepLines w:val="0"/>
                    <w:suppressLineNumbers w:val="0"/>
                    <w:spacing w:before="0" w:beforeAutospacing="0" w:after="0" w:afterAutospacing="0" w:line="288" w:lineRule="auto"/>
                    <w:ind w:left="0" w:right="0"/>
                    <w:jc w:val="center"/>
                    <w:rPr>
                      <w:rFonts w:hint="eastAsia" w:eastAsia="宋体"/>
                      <w:sz w:val="21"/>
                      <w:szCs w:val="21"/>
                      <w:highlight w:val="none"/>
                      <w:lang w:val="en-US" w:eastAsia="zh-CN"/>
                    </w:rPr>
                  </w:pPr>
                  <w:r>
                    <w:rPr>
                      <w:rFonts w:hint="eastAsia"/>
                      <w:sz w:val="21"/>
                      <w:szCs w:val="21"/>
                      <w:highlight w:val="none"/>
                    </w:rPr>
                    <w:t>4.</w:t>
                  </w:r>
                  <w:r>
                    <w:rPr>
                      <w:rFonts w:hint="eastAsia"/>
                      <w:sz w:val="21"/>
                      <w:szCs w:val="21"/>
                      <w:highlight w:val="none"/>
                      <w:lang w:val="en-US" w:eastAsia="zh-CN"/>
                    </w:rPr>
                    <w:t>18</w:t>
                  </w:r>
                  <w:r>
                    <w:rPr>
                      <w:rFonts w:hint="eastAsia"/>
                      <w:sz w:val="21"/>
                      <w:szCs w:val="21"/>
                      <w:highlight w:val="none"/>
                    </w:rPr>
                    <w:t>E-0</w:t>
                  </w:r>
                  <w:r>
                    <w:rPr>
                      <w:rFonts w:hint="eastAsia"/>
                      <w:sz w:val="21"/>
                      <w:szCs w:val="21"/>
                      <w:highlight w:val="none"/>
                      <w:lang w:val="en-US" w:eastAsia="zh-CN"/>
                    </w:rPr>
                    <w:t>6</w:t>
                  </w:r>
                </w:p>
              </w:tc>
              <w:tc>
                <w:tcPr>
                  <w:tcW w:w="690" w:type="dxa"/>
                  <w:noWrap w:val="0"/>
                  <w:vAlign w:val="center"/>
                </w:tcPr>
                <w:p w14:paraId="7CC7F70E">
                  <w:pPr>
                    <w:keepNext w:val="0"/>
                    <w:keepLines w:val="0"/>
                    <w:suppressLineNumbers w:val="0"/>
                    <w:spacing w:before="0" w:beforeAutospacing="0" w:after="0" w:afterAutospacing="0" w:line="288" w:lineRule="auto"/>
                    <w:ind w:left="0" w:right="0"/>
                    <w:jc w:val="center"/>
                    <w:rPr>
                      <w:rFonts w:hint="default"/>
                      <w:sz w:val="21"/>
                      <w:szCs w:val="21"/>
                      <w:highlight w:val="none"/>
                      <w:lang w:val="en-US" w:eastAsia="zh-CN"/>
                    </w:rPr>
                  </w:pPr>
                  <w:r>
                    <w:rPr>
                      <w:rFonts w:hint="eastAsia"/>
                      <w:sz w:val="21"/>
                      <w:szCs w:val="21"/>
                      <w:highlight w:val="none"/>
                      <w:lang w:val="en-US" w:eastAsia="zh-CN"/>
                    </w:rPr>
                    <w:t>0.04</w:t>
                  </w:r>
                </w:p>
              </w:tc>
              <w:tc>
                <w:tcPr>
                  <w:tcW w:w="765" w:type="dxa"/>
                  <w:shd w:val="clear" w:color="auto" w:fill="auto"/>
                  <w:noWrap w:val="0"/>
                  <w:vAlign w:val="center"/>
                </w:tcPr>
                <w:p w14:paraId="15D07F9F">
                  <w:pPr>
                    <w:keepNext w:val="0"/>
                    <w:keepLines w:val="0"/>
                    <w:suppressLineNumbers w:val="0"/>
                    <w:spacing w:before="0" w:beforeAutospacing="0" w:after="0" w:afterAutospacing="0" w:line="288" w:lineRule="auto"/>
                    <w:ind w:left="0" w:right="0"/>
                    <w:jc w:val="center"/>
                    <w:rPr>
                      <w:rFonts w:hint="eastAsia"/>
                      <w:sz w:val="21"/>
                      <w:szCs w:val="21"/>
                      <w:highlight w:val="none"/>
                    </w:rPr>
                  </w:pPr>
                  <w:r>
                    <w:rPr>
                      <w:rFonts w:hint="eastAsia"/>
                      <w:sz w:val="21"/>
                      <w:szCs w:val="21"/>
                      <w:highlight w:val="none"/>
                    </w:rPr>
                    <w:t>/</w:t>
                  </w:r>
                </w:p>
              </w:tc>
              <w:tc>
                <w:tcPr>
                  <w:tcW w:w="712" w:type="dxa"/>
                  <w:shd w:val="clear" w:color="auto" w:fill="auto"/>
                  <w:noWrap w:val="0"/>
                  <w:vAlign w:val="center"/>
                </w:tcPr>
                <w:p w14:paraId="558D2B4E">
                  <w:pPr>
                    <w:keepNext w:val="0"/>
                    <w:keepLines w:val="0"/>
                    <w:suppressLineNumbers w:val="0"/>
                    <w:spacing w:before="0" w:beforeAutospacing="0" w:after="0" w:afterAutospacing="0" w:line="288" w:lineRule="auto"/>
                    <w:ind w:left="0" w:right="0"/>
                    <w:jc w:val="center"/>
                    <w:rPr>
                      <w:rFonts w:hint="eastAsia"/>
                      <w:sz w:val="21"/>
                      <w:szCs w:val="21"/>
                      <w:highlight w:val="none"/>
                    </w:rPr>
                  </w:pPr>
                  <w:r>
                    <w:rPr>
                      <w:rFonts w:hint="eastAsia"/>
                      <w:sz w:val="21"/>
                      <w:szCs w:val="21"/>
                      <w:highlight w:val="none"/>
                    </w:rPr>
                    <w:t>三级</w:t>
                  </w:r>
                </w:p>
              </w:tc>
            </w:tr>
            <w:tr w14:paraId="2C1AA49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c>
                <w:tcPr>
                  <w:tcW w:w="897" w:type="dxa"/>
                  <w:vMerge w:val="continue"/>
                  <w:noWrap w:val="0"/>
                  <w:vAlign w:val="center"/>
                </w:tcPr>
                <w:p w14:paraId="76FE8519">
                  <w:pPr>
                    <w:keepNext w:val="0"/>
                    <w:keepLines w:val="0"/>
                    <w:suppressLineNumbers w:val="0"/>
                    <w:spacing w:before="0" w:beforeAutospacing="0" w:after="0" w:afterAutospacing="0" w:line="288" w:lineRule="auto"/>
                    <w:ind w:left="0" w:right="0"/>
                    <w:jc w:val="center"/>
                    <w:rPr>
                      <w:rFonts w:hint="eastAsia"/>
                      <w:sz w:val="21"/>
                      <w:szCs w:val="21"/>
                      <w:highlight w:val="none"/>
                    </w:rPr>
                  </w:pPr>
                </w:p>
              </w:tc>
              <w:tc>
                <w:tcPr>
                  <w:tcW w:w="1181" w:type="dxa"/>
                  <w:shd w:val="clear" w:color="auto" w:fill="auto"/>
                  <w:noWrap w:val="0"/>
                  <w:vAlign w:val="center"/>
                </w:tcPr>
                <w:p w14:paraId="73819888">
                  <w:pPr>
                    <w:keepNext w:val="0"/>
                    <w:keepLines w:val="0"/>
                    <w:widowControl/>
                    <w:suppressLineNumbers w:val="0"/>
                    <w:spacing w:before="0" w:beforeAutospacing="0" w:after="0" w:afterAutospacing="0" w:line="288" w:lineRule="auto"/>
                    <w:ind w:left="0" w:right="0"/>
                    <w:jc w:val="center"/>
                    <w:rPr>
                      <w:rFonts w:hint="eastAsia" w:ascii="宋体" w:hAnsi="宋体" w:eastAsia="宋体" w:cs="宋体"/>
                      <w:color w:val="000000"/>
                      <w:kern w:val="0"/>
                      <w:sz w:val="21"/>
                      <w:szCs w:val="21"/>
                      <w:highlight w:val="none"/>
                      <w:lang w:val="en-US" w:eastAsia="zh-CN" w:bidi="ar"/>
                    </w:rPr>
                  </w:pPr>
                  <w:r>
                    <w:rPr>
                      <w:rFonts w:hint="eastAsia" w:ascii="宋体" w:hAnsi="宋体" w:cs="宋体"/>
                      <w:color w:val="000000"/>
                      <w:kern w:val="0"/>
                      <w:sz w:val="21"/>
                      <w:szCs w:val="21"/>
                      <w:highlight w:val="none"/>
                      <w:lang w:bidi="ar"/>
                    </w:rPr>
                    <w:t>氯气</w:t>
                  </w:r>
                </w:p>
              </w:tc>
              <w:tc>
                <w:tcPr>
                  <w:tcW w:w="795" w:type="dxa"/>
                  <w:noWrap w:val="0"/>
                  <w:vAlign w:val="center"/>
                </w:tcPr>
                <w:p w14:paraId="23958195">
                  <w:pPr>
                    <w:keepNext w:val="0"/>
                    <w:keepLines w:val="0"/>
                    <w:widowControl/>
                    <w:suppressLineNumbers w:val="0"/>
                    <w:spacing w:before="0" w:beforeAutospacing="0" w:after="0" w:afterAutospacing="0"/>
                    <w:ind w:left="0" w:right="0"/>
                    <w:jc w:val="center"/>
                    <w:textAlignment w:val="center"/>
                    <w:rPr>
                      <w:rFonts w:hint="default"/>
                      <w:color w:val="000000"/>
                      <w:kern w:val="0"/>
                      <w:sz w:val="21"/>
                      <w:szCs w:val="21"/>
                      <w:highlight w:val="none"/>
                      <w:lang w:val="en-US" w:eastAsia="zh-CN" w:bidi="ar"/>
                    </w:rPr>
                  </w:pPr>
                  <w:r>
                    <w:rPr>
                      <w:rFonts w:hint="eastAsia"/>
                      <w:color w:val="000000"/>
                      <w:kern w:val="0"/>
                      <w:sz w:val="21"/>
                      <w:szCs w:val="21"/>
                      <w:highlight w:val="none"/>
                      <w:lang w:val="en-US" w:eastAsia="zh-CN" w:bidi="ar"/>
                    </w:rPr>
                    <w:t>少量</w:t>
                  </w:r>
                </w:p>
              </w:tc>
              <w:tc>
                <w:tcPr>
                  <w:tcW w:w="915" w:type="dxa"/>
                  <w:noWrap w:val="0"/>
                  <w:vAlign w:val="center"/>
                </w:tcPr>
                <w:p w14:paraId="7BF96F0F">
                  <w:pPr>
                    <w:keepNext w:val="0"/>
                    <w:keepLines w:val="0"/>
                    <w:suppressLineNumbers w:val="0"/>
                    <w:spacing w:before="0" w:beforeAutospacing="0" w:after="0" w:afterAutospacing="0" w:line="288" w:lineRule="auto"/>
                    <w:ind w:left="0" w:right="0"/>
                    <w:jc w:val="center"/>
                    <w:rPr>
                      <w:rFonts w:hint="eastAsia"/>
                      <w:sz w:val="21"/>
                      <w:szCs w:val="21"/>
                      <w:highlight w:val="none"/>
                      <w:lang w:val="en-US" w:eastAsia="zh-CN"/>
                    </w:rPr>
                  </w:pPr>
                  <w:r>
                    <w:rPr>
                      <w:rFonts w:hint="eastAsia"/>
                      <w:sz w:val="21"/>
                      <w:szCs w:val="21"/>
                      <w:highlight w:val="none"/>
                    </w:rPr>
                    <w:t>0.1</w:t>
                  </w:r>
                </w:p>
              </w:tc>
              <w:tc>
                <w:tcPr>
                  <w:tcW w:w="1065" w:type="dxa"/>
                  <w:noWrap w:val="0"/>
                  <w:vAlign w:val="center"/>
                </w:tcPr>
                <w:p w14:paraId="6635AF70">
                  <w:pPr>
                    <w:keepNext w:val="0"/>
                    <w:keepLines w:val="0"/>
                    <w:suppressLineNumbers w:val="0"/>
                    <w:spacing w:before="0" w:beforeAutospacing="0" w:after="0" w:afterAutospacing="0" w:line="288" w:lineRule="auto"/>
                    <w:ind w:left="0" w:right="0"/>
                    <w:jc w:val="center"/>
                    <w:rPr>
                      <w:rFonts w:hint="eastAsia"/>
                      <w:sz w:val="21"/>
                      <w:szCs w:val="21"/>
                      <w:highlight w:val="none"/>
                    </w:rPr>
                  </w:pPr>
                  <w:r>
                    <w:rPr>
                      <w:rFonts w:hint="eastAsia"/>
                      <w:sz w:val="21"/>
                      <w:szCs w:val="21"/>
                      <w:highlight w:val="none"/>
                    </w:rPr>
                    <w:t>/</w:t>
                  </w:r>
                </w:p>
              </w:tc>
              <w:tc>
                <w:tcPr>
                  <w:tcW w:w="1185" w:type="dxa"/>
                  <w:noWrap w:val="0"/>
                  <w:vAlign w:val="center"/>
                </w:tcPr>
                <w:p w14:paraId="102799E9">
                  <w:pPr>
                    <w:keepNext w:val="0"/>
                    <w:keepLines w:val="0"/>
                    <w:suppressLineNumbers w:val="0"/>
                    <w:spacing w:before="0" w:beforeAutospacing="0" w:after="0" w:afterAutospacing="0" w:line="288" w:lineRule="auto"/>
                    <w:ind w:left="0" w:right="0"/>
                    <w:jc w:val="center"/>
                    <w:rPr>
                      <w:rFonts w:hint="eastAsia"/>
                      <w:sz w:val="21"/>
                      <w:szCs w:val="21"/>
                      <w:highlight w:val="none"/>
                    </w:rPr>
                  </w:pPr>
                  <w:r>
                    <w:rPr>
                      <w:rFonts w:hint="eastAsia"/>
                      <w:sz w:val="21"/>
                      <w:szCs w:val="21"/>
                      <w:highlight w:val="none"/>
                    </w:rPr>
                    <w:t>/</w:t>
                  </w:r>
                </w:p>
              </w:tc>
              <w:tc>
                <w:tcPr>
                  <w:tcW w:w="690" w:type="dxa"/>
                  <w:noWrap w:val="0"/>
                  <w:vAlign w:val="center"/>
                </w:tcPr>
                <w:p w14:paraId="42DA6DEB">
                  <w:pPr>
                    <w:keepNext w:val="0"/>
                    <w:keepLines w:val="0"/>
                    <w:suppressLineNumbers w:val="0"/>
                    <w:spacing w:before="0" w:beforeAutospacing="0" w:after="0" w:afterAutospacing="0" w:line="288" w:lineRule="auto"/>
                    <w:ind w:left="0" w:right="0"/>
                    <w:jc w:val="center"/>
                    <w:rPr>
                      <w:rFonts w:hint="eastAsia"/>
                      <w:sz w:val="21"/>
                      <w:szCs w:val="21"/>
                      <w:highlight w:val="none"/>
                      <w:lang w:val="en-US" w:eastAsia="zh-CN"/>
                    </w:rPr>
                  </w:pPr>
                  <w:r>
                    <w:rPr>
                      <w:rFonts w:hint="eastAsia"/>
                      <w:sz w:val="21"/>
                      <w:szCs w:val="21"/>
                      <w:highlight w:val="none"/>
                    </w:rPr>
                    <w:t>/</w:t>
                  </w:r>
                </w:p>
              </w:tc>
              <w:tc>
                <w:tcPr>
                  <w:tcW w:w="765" w:type="dxa"/>
                  <w:shd w:val="clear" w:color="auto" w:fill="auto"/>
                  <w:noWrap w:val="0"/>
                  <w:vAlign w:val="center"/>
                </w:tcPr>
                <w:p w14:paraId="665A3E42">
                  <w:pPr>
                    <w:keepNext w:val="0"/>
                    <w:keepLines w:val="0"/>
                    <w:suppressLineNumbers w:val="0"/>
                    <w:spacing w:before="0" w:beforeAutospacing="0" w:after="0" w:afterAutospacing="0" w:line="288" w:lineRule="auto"/>
                    <w:ind w:left="0" w:right="0"/>
                    <w:jc w:val="center"/>
                    <w:rPr>
                      <w:rFonts w:hint="eastAsia"/>
                      <w:sz w:val="21"/>
                      <w:szCs w:val="21"/>
                      <w:highlight w:val="none"/>
                    </w:rPr>
                  </w:pPr>
                  <w:r>
                    <w:rPr>
                      <w:rFonts w:hint="eastAsia"/>
                      <w:sz w:val="21"/>
                      <w:szCs w:val="21"/>
                      <w:highlight w:val="none"/>
                    </w:rPr>
                    <w:t>/</w:t>
                  </w:r>
                </w:p>
              </w:tc>
              <w:tc>
                <w:tcPr>
                  <w:tcW w:w="712" w:type="dxa"/>
                  <w:shd w:val="clear" w:color="auto" w:fill="auto"/>
                  <w:noWrap w:val="0"/>
                  <w:vAlign w:val="center"/>
                </w:tcPr>
                <w:p w14:paraId="1788330E">
                  <w:pPr>
                    <w:keepNext w:val="0"/>
                    <w:keepLines w:val="0"/>
                    <w:suppressLineNumbers w:val="0"/>
                    <w:spacing w:before="0" w:beforeAutospacing="0" w:after="0" w:afterAutospacing="0" w:line="288" w:lineRule="auto"/>
                    <w:ind w:left="0" w:right="0"/>
                    <w:jc w:val="center"/>
                    <w:rPr>
                      <w:rFonts w:hint="eastAsia"/>
                      <w:sz w:val="21"/>
                      <w:szCs w:val="21"/>
                      <w:highlight w:val="none"/>
                    </w:rPr>
                  </w:pPr>
                  <w:r>
                    <w:rPr>
                      <w:rFonts w:hint="eastAsia"/>
                      <w:sz w:val="21"/>
                      <w:szCs w:val="21"/>
                      <w:highlight w:val="none"/>
                    </w:rPr>
                    <w:t>/</w:t>
                  </w:r>
                </w:p>
              </w:tc>
            </w:tr>
            <w:tr w14:paraId="7D2F2D6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c>
                <w:tcPr>
                  <w:tcW w:w="897" w:type="dxa"/>
                  <w:vMerge w:val="continue"/>
                  <w:noWrap w:val="0"/>
                  <w:vAlign w:val="center"/>
                </w:tcPr>
                <w:p w14:paraId="2EEE49DE">
                  <w:pPr>
                    <w:keepNext w:val="0"/>
                    <w:keepLines w:val="0"/>
                    <w:suppressLineNumbers w:val="0"/>
                    <w:spacing w:before="0" w:beforeAutospacing="0" w:after="0" w:afterAutospacing="0" w:line="288" w:lineRule="auto"/>
                    <w:ind w:left="0" w:right="0"/>
                    <w:jc w:val="center"/>
                    <w:rPr>
                      <w:rFonts w:hint="eastAsia"/>
                      <w:sz w:val="21"/>
                      <w:szCs w:val="21"/>
                      <w:highlight w:val="none"/>
                    </w:rPr>
                  </w:pPr>
                </w:p>
              </w:tc>
              <w:tc>
                <w:tcPr>
                  <w:tcW w:w="1181" w:type="dxa"/>
                  <w:shd w:val="clear" w:color="auto" w:fill="auto"/>
                  <w:noWrap w:val="0"/>
                  <w:vAlign w:val="center"/>
                </w:tcPr>
                <w:p w14:paraId="2EC397D0">
                  <w:pPr>
                    <w:keepNext w:val="0"/>
                    <w:keepLines w:val="0"/>
                    <w:widowControl/>
                    <w:suppressLineNumbers w:val="0"/>
                    <w:spacing w:before="0" w:beforeAutospacing="0" w:after="0" w:afterAutospacing="0" w:line="288" w:lineRule="auto"/>
                    <w:ind w:left="0" w:leftChars="0" w:right="0" w:rightChars="0"/>
                    <w:jc w:val="center"/>
                    <w:rPr>
                      <w:rFonts w:hint="eastAsia" w:ascii="宋体" w:hAnsi="宋体" w:eastAsia="宋体" w:cs="宋体"/>
                      <w:color w:val="000000"/>
                      <w:kern w:val="0"/>
                      <w:sz w:val="21"/>
                      <w:szCs w:val="21"/>
                      <w:highlight w:val="none"/>
                      <w:lang w:val="en-US" w:eastAsia="zh-CN" w:bidi="ar"/>
                    </w:rPr>
                  </w:pPr>
                  <w:r>
                    <w:rPr>
                      <w:rFonts w:hint="eastAsia" w:ascii="宋体" w:hAnsi="宋体" w:cs="宋体"/>
                      <w:color w:val="000000"/>
                      <w:kern w:val="0"/>
                      <w:sz w:val="21"/>
                      <w:szCs w:val="21"/>
                      <w:highlight w:val="none"/>
                      <w:lang w:val="en-US" w:eastAsia="zh-CN" w:bidi="ar"/>
                    </w:rPr>
                    <w:t>颗粒物</w:t>
                  </w:r>
                </w:p>
              </w:tc>
              <w:tc>
                <w:tcPr>
                  <w:tcW w:w="795" w:type="dxa"/>
                  <w:shd w:val="clear" w:color="auto" w:fill="auto"/>
                  <w:noWrap w:val="0"/>
                  <w:vAlign w:val="center"/>
                </w:tcPr>
                <w:p w14:paraId="0C15A284">
                  <w:pPr>
                    <w:keepNext w:val="0"/>
                    <w:keepLines w:val="0"/>
                    <w:widowControl/>
                    <w:suppressLineNumbers w:val="0"/>
                    <w:spacing w:before="0" w:beforeAutospacing="0" w:after="0" w:afterAutospacing="0"/>
                    <w:ind w:left="0" w:leftChars="0" w:right="0" w:rightChars="0"/>
                    <w:jc w:val="center"/>
                    <w:textAlignment w:val="center"/>
                    <w:rPr>
                      <w:rFonts w:hint="eastAsia" w:ascii="Times New Roman" w:hAnsi="Times New Roman" w:eastAsia="宋体" w:cs="Times New Roman"/>
                      <w:color w:val="000000"/>
                      <w:kern w:val="0"/>
                      <w:sz w:val="21"/>
                      <w:szCs w:val="21"/>
                      <w:highlight w:val="none"/>
                      <w:lang w:val="en-US" w:eastAsia="zh-CN" w:bidi="ar"/>
                    </w:rPr>
                  </w:pPr>
                  <w:r>
                    <w:rPr>
                      <w:rFonts w:hint="eastAsia"/>
                      <w:color w:val="000000"/>
                      <w:kern w:val="0"/>
                      <w:sz w:val="21"/>
                      <w:szCs w:val="21"/>
                      <w:highlight w:val="none"/>
                      <w:lang w:val="en-US" w:eastAsia="zh-CN" w:bidi="ar"/>
                    </w:rPr>
                    <w:t>少量</w:t>
                  </w:r>
                </w:p>
              </w:tc>
              <w:tc>
                <w:tcPr>
                  <w:tcW w:w="915" w:type="dxa"/>
                  <w:shd w:val="clear" w:color="auto" w:fill="auto"/>
                  <w:noWrap w:val="0"/>
                  <w:vAlign w:val="center"/>
                </w:tcPr>
                <w:p w14:paraId="54029A73">
                  <w:pPr>
                    <w:keepNext w:val="0"/>
                    <w:keepLines w:val="0"/>
                    <w:suppressLineNumbers w:val="0"/>
                    <w:spacing w:before="0" w:beforeAutospacing="0" w:after="0" w:afterAutospacing="0" w:line="288" w:lineRule="auto"/>
                    <w:ind w:left="0" w:leftChars="0" w:right="0" w:rightChars="0"/>
                    <w:jc w:val="center"/>
                    <w:rPr>
                      <w:rFonts w:hint="eastAsia" w:ascii="Times New Roman" w:hAnsi="Times New Roman" w:eastAsia="宋体" w:cs="Times New Roman"/>
                      <w:kern w:val="2"/>
                      <w:sz w:val="21"/>
                      <w:szCs w:val="21"/>
                      <w:highlight w:val="none"/>
                      <w:lang w:val="en-US" w:eastAsia="zh-CN" w:bidi="ar-SA"/>
                    </w:rPr>
                  </w:pPr>
                  <w:r>
                    <w:rPr>
                      <w:rFonts w:hint="eastAsia"/>
                      <w:sz w:val="21"/>
                      <w:szCs w:val="21"/>
                      <w:highlight w:val="none"/>
                      <w:lang w:val="en-US" w:eastAsia="zh-CN"/>
                    </w:rPr>
                    <w:t>0.15</w:t>
                  </w:r>
                </w:p>
              </w:tc>
              <w:tc>
                <w:tcPr>
                  <w:tcW w:w="1065" w:type="dxa"/>
                  <w:shd w:val="clear" w:color="auto" w:fill="auto"/>
                  <w:noWrap w:val="0"/>
                  <w:vAlign w:val="center"/>
                </w:tcPr>
                <w:p w14:paraId="237670B4">
                  <w:pPr>
                    <w:keepNext w:val="0"/>
                    <w:keepLines w:val="0"/>
                    <w:suppressLineNumbers w:val="0"/>
                    <w:spacing w:before="0" w:beforeAutospacing="0" w:after="0" w:afterAutospacing="0" w:line="288" w:lineRule="auto"/>
                    <w:ind w:left="0" w:leftChars="0" w:right="0" w:rightChars="0"/>
                    <w:jc w:val="center"/>
                    <w:rPr>
                      <w:rFonts w:hint="eastAsia" w:ascii="Times New Roman" w:hAnsi="Times New Roman" w:eastAsia="宋体" w:cs="Times New Roman"/>
                      <w:kern w:val="2"/>
                      <w:sz w:val="21"/>
                      <w:szCs w:val="21"/>
                      <w:highlight w:val="none"/>
                      <w:lang w:val="en-US" w:eastAsia="zh-CN" w:bidi="ar-SA"/>
                    </w:rPr>
                  </w:pPr>
                  <w:r>
                    <w:rPr>
                      <w:rFonts w:hint="eastAsia"/>
                      <w:sz w:val="21"/>
                      <w:szCs w:val="21"/>
                      <w:highlight w:val="none"/>
                    </w:rPr>
                    <w:t>/</w:t>
                  </w:r>
                </w:p>
              </w:tc>
              <w:tc>
                <w:tcPr>
                  <w:tcW w:w="1185" w:type="dxa"/>
                  <w:shd w:val="clear" w:color="auto" w:fill="auto"/>
                  <w:noWrap w:val="0"/>
                  <w:vAlign w:val="center"/>
                </w:tcPr>
                <w:p w14:paraId="4F0600A0">
                  <w:pPr>
                    <w:keepNext w:val="0"/>
                    <w:keepLines w:val="0"/>
                    <w:suppressLineNumbers w:val="0"/>
                    <w:spacing w:before="0" w:beforeAutospacing="0" w:after="0" w:afterAutospacing="0" w:line="288" w:lineRule="auto"/>
                    <w:ind w:left="0" w:leftChars="0" w:right="0" w:rightChars="0"/>
                    <w:jc w:val="center"/>
                    <w:rPr>
                      <w:rFonts w:hint="eastAsia" w:ascii="Times New Roman" w:hAnsi="Times New Roman" w:eastAsia="宋体" w:cs="Times New Roman"/>
                      <w:kern w:val="2"/>
                      <w:sz w:val="21"/>
                      <w:szCs w:val="21"/>
                      <w:highlight w:val="none"/>
                      <w:lang w:val="en-US" w:eastAsia="zh-CN" w:bidi="ar-SA"/>
                    </w:rPr>
                  </w:pPr>
                  <w:r>
                    <w:rPr>
                      <w:rFonts w:hint="eastAsia"/>
                      <w:sz w:val="21"/>
                      <w:szCs w:val="21"/>
                      <w:highlight w:val="none"/>
                    </w:rPr>
                    <w:t>/</w:t>
                  </w:r>
                </w:p>
              </w:tc>
              <w:tc>
                <w:tcPr>
                  <w:tcW w:w="690" w:type="dxa"/>
                  <w:shd w:val="clear" w:color="auto" w:fill="auto"/>
                  <w:noWrap w:val="0"/>
                  <w:vAlign w:val="center"/>
                </w:tcPr>
                <w:p w14:paraId="2B3C80DA">
                  <w:pPr>
                    <w:keepNext w:val="0"/>
                    <w:keepLines w:val="0"/>
                    <w:suppressLineNumbers w:val="0"/>
                    <w:spacing w:before="0" w:beforeAutospacing="0" w:after="0" w:afterAutospacing="0" w:line="288" w:lineRule="auto"/>
                    <w:ind w:left="0" w:leftChars="0" w:right="0" w:rightChars="0"/>
                    <w:jc w:val="center"/>
                    <w:rPr>
                      <w:rFonts w:hint="eastAsia" w:ascii="Times New Roman" w:hAnsi="Times New Roman" w:eastAsia="宋体" w:cs="Times New Roman"/>
                      <w:kern w:val="2"/>
                      <w:sz w:val="21"/>
                      <w:szCs w:val="21"/>
                      <w:highlight w:val="none"/>
                      <w:lang w:val="en-US" w:eastAsia="zh-CN" w:bidi="ar-SA"/>
                    </w:rPr>
                  </w:pPr>
                  <w:r>
                    <w:rPr>
                      <w:rFonts w:hint="eastAsia"/>
                      <w:sz w:val="21"/>
                      <w:szCs w:val="21"/>
                      <w:highlight w:val="none"/>
                    </w:rPr>
                    <w:t>/</w:t>
                  </w:r>
                </w:p>
              </w:tc>
              <w:tc>
                <w:tcPr>
                  <w:tcW w:w="765" w:type="dxa"/>
                  <w:shd w:val="clear" w:color="auto" w:fill="auto"/>
                  <w:noWrap w:val="0"/>
                  <w:vAlign w:val="center"/>
                </w:tcPr>
                <w:p w14:paraId="3B138CC4">
                  <w:pPr>
                    <w:keepNext w:val="0"/>
                    <w:keepLines w:val="0"/>
                    <w:suppressLineNumbers w:val="0"/>
                    <w:spacing w:before="0" w:beforeAutospacing="0" w:after="0" w:afterAutospacing="0" w:line="288" w:lineRule="auto"/>
                    <w:ind w:left="0" w:leftChars="0" w:right="0" w:rightChars="0"/>
                    <w:jc w:val="center"/>
                    <w:rPr>
                      <w:rFonts w:hint="eastAsia" w:ascii="Times New Roman" w:hAnsi="Times New Roman" w:eastAsia="宋体" w:cs="Times New Roman"/>
                      <w:kern w:val="2"/>
                      <w:sz w:val="21"/>
                      <w:szCs w:val="21"/>
                      <w:highlight w:val="none"/>
                      <w:lang w:val="en-US" w:eastAsia="zh-CN" w:bidi="ar-SA"/>
                    </w:rPr>
                  </w:pPr>
                  <w:r>
                    <w:rPr>
                      <w:rFonts w:hint="eastAsia"/>
                      <w:sz w:val="21"/>
                      <w:szCs w:val="21"/>
                      <w:highlight w:val="none"/>
                    </w:rPr>
                    <w:t>/</w:t>
                  </w:r>
                </w:p>
              </w:tc>
              <w:tc>
                <w:tcPr>
                  <w:tcW w:w="712" w:type="dxa"/>
                  <w:shd w:val="clear" w:color="auto" w:fill="auto"/>
                  <w:noWrap w:val="0"/>
                  <w:vAlign w:val="center"/>
                </w:tcPr>
                <w:p w14:paraId="311F7AE9">
                  <w:pPr>
                    <w:keepNext w:val="0"/>
                    <w:keepLines w:val="0"/>
                    <w:suppressLineNumbers w:val="0"/>
                    <w:spacing w:before="0" w:beforeAutospacing="0" w:after="0" w:afterAutospacing="0" w:line="288" w:lineRule="auto"/>
                    <w:ind w:left="0" w:leftChars="0" w:right="0" w:rightChars="0"/>
                    <w:jc w:val="center"/>
                    <w:rPr>
                      <w:rFonts w:hint="eastAsia" w:ascii="Times New Roman" w:hAnsi="Times New Roman" w:eastAsia="宋体" w:cs="Times New Roman"/>
                      <w:kern w:val="2"/>
                      <w:sz w:val="21"/>
                      <w:szCs w:val="21"/>
                      <w:highlight w:val="none"/>
                      <w:lang w:val="en-US" w:eastAsia="zh-CN" w:bidi="ar-SA"/>
                    </w:rPr>
                  </w:pPr>
                  <w:r>
                    <w:rPr>
                      <w:rFonts w:hint="eastAsia"/>
                      <w:sz w:val="21"/>
                      <w:szCs w:val="21"/>
                      <w:highlight w:val="none"/>
                    </w:rPr>
                    <w:t>/</w:t>
                  </w:r>
                </w:p>
              </w:tc>
            </w:tr>
            <w:tr w14:paraId="671FB3B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c>
                <w:tcPr>
                  <w:tcW w:w="897" w:type="dxa"/>
                  <w:vMerge w:val="continue"/>
                  <w:noWrap w:val="0"/>
                  <w:vAlign w:val="center"/>
                </w:tcPr>
                <w:p w14:paraId="706F039C">
                  <w:pPr>
                    <w:keepNext w:val="0"/>
                    <w:keepLines w:val="0"/>
                    <w:suppressLineNumbers w:val="0"/>
                    <w:spacing w:before="0" w:beforeAutospacing="0" w:after="0" w:afterAutospacing="0" w:line="288" w:lineRule="auto"/>
                    <w:ind w:left="0" w:right="0"/>
                    <w:jc w:val="center"/>
                    <w:rPr>
                      <w:rFonts w:hint="eastAsia"/>
                      <w:sz w:val="21"/>
                      <w:szCs w:val="21"/>
                      <w:highlight w:val="none"/>
                    </w:rPr>
                  </w:pPr>
                </w:p>
              </w:tc>
              <w:tc>
                <w:tcPr>
                  <w:tcW w:w="1181" w:type="dxa"/>
                  <w:shd w:val="clear" w:color="auto" w:fill="auto"/>
                  <w:noWrap w:val="0"/>
                  <w:vAlign w:val="center"/>
                </w:tcPr>
                <w:p w14:paraId="493D6AF8">
                  <w:pPr>
                    <w:keepNext w:val="0"/>
                    <w:keepLines w:val="0"/>
                    <w:widowControl/>
                    <w:suppressLineNumbers w:val="0"/>
                    <w:spacing w:before="0" w:beforeAutospacing="0" w:after="0" w:afterAutospacing="0" w:line="288" w:lineRule="auto"/>
                    <w:ind w:left="0" w:right="0"/>
                    <w:jc w:val="center"/>
                    <w:rPr>
                      <w:rFonts w:hint="eastAsia" w:ascii="宋体" w:hAnsi="宋体" w:eastAsia="宋体" w:cs="宋体"/>
                      <w:color w:val="000000"/>
                      <w:kern w:val="0"/>
                      <w:sz w:val="21"/>
                      <w:szCs w:val="21"/>
                      <w:highlight w:val="none"/>
                      <w:lang w:val="en-US" w:eastAsia="zh-CN" w:bidi="ar"/>
                    </w:rPr>
                  </w:pPr>
                  <w:r>
                    <w:rPr>
                      <w:rFonts w:hint="eastAsia" w:ascii="宋体" w:hAnsi="宋体" w:cs="宋体"/>
                      <w:color w:val="000000"/>
                      <w:kern w:val="0"/>
                      <w:sz w:val="21"/>
                      <w:szCs w:val="21"/>
                      <w:highlight w:val="none"/>
                      <w:lang w:val="en-US" w:eastAsia="zh-CN" w:bidi="ar"/>
                    </w:rPr>
                    <w:t>甲醛</w:t>
                  </w:r>
                </w:p>
              </w:tc>
              <w:tc>
                <w:tcPr>
                  <w:tcW w:w="795" w:type="dxa"/>
                  <w:noWrap w:val="0"/>
                  <w:vAlign w:val="center"/>
                </w:tcPr>
                <w:p w14:paraId="3ED634A5">
                  <w:pPr>
                    <w:keepNext w:val="0"/>
                    <w:keepLines w:val="0"/>
                    <w:widowControl/>
                    <w:suppressLineNumbers w:val="0"/>
                    <w:spacing w:before="0" w:beforeAutospacing="0" w:after="0" w:afterAutospacing="0"/>
                    <w:ind w:left="0" w:right="0"/>
                    <w:jc w:val="center"/>
                    <w:textAlignment w:val="center"/>
                    <w:rPr>
                      <w:rFonts w:hint="default"/>
                      <w:color w:val="000000"/>
                      <w:kern w:val="0"/>
                      <w:sz w:val="21"/>
                      <w:szCs w:val="21"/>
                      <w:highlight w:val="none"/>
                      <w:lang w:val="en-US" w:eastAsia="zh-CN" w:bidi="ar"/>
                    </w:rPr>
                  </w:pPr>
                  <w:r>
                    <w:rPr>
                      <w:rFonts w:hint="eastAsia"/>
                      <w:color w:val="000000"/>
                      <w:kern w:val="0"/>
                      <w:sz w:val="21"/>
                      <w:szCs w:val="21"/>
                      <w:highlight w:val="none"/>
                      <w:lang w:val="en-US" w:eastAsia="zh-CN" w:bidi="ar"/>
                    </w:rPr>
                    <w:t>~0</w:t>
                  </w:r>
                </w:p>
              </w:tc>
              <w:tc>
                <w:tcPr>
                  <w:tcW w:w="915" w:type="dxa"/>
                  <w:noWrap w:val="0"/>
                  <w:vAlign w:val="center"/>
                </w:tcPr>
                <w:p w14:paraId="6DD50765">
                  <w:pPr>
                    <w:keepNext w:val="0"/>
                    <w:keepLines w:val="0"/>
                    <w:suppressLineNumbers w:val="0"/>
                    <w:spacing w:before="0" w:beforeAutospacing="0" w:after="0" w:afterAutospacing="0" w:line="288" w:lineRule="auto"/>
                    <w:ind w:left="0" w:right="0"/>
                    <w:jc w:val="center"/>
                    <w:rPr>
                      <w:rFonts w:hint="eastAsia"/>
                      <w:sz w:val="21"/>
                      <w:szCs w:val="21"/>
                      <w:highlight w:val="none"/>
                      <w:lang w:val="en-US" w:eastAsia="zh-CN"/>
                    </w:rPr>
                  </w:pPr>
                  <w:r>
                    <w:rPr>
                      <w:rFonts w:hint="eastAsia"/>
                      <w:sz w:val="21"/>
                      <w:szCs w:val="21"/>
                      <w:highlight w:val="none"/>
                      <w:lang w:val="en-US" w:eastAsia="zh-CN"/>
                    </w:rPr>
                    <w:t>0.05</w:t>
                  </w:r>
                </w:p>
              </w:tc>
              <w:tc>
                <w:tcPr>
                  <w:tcW w:w="1065" w:type="dxa"/>
                  <w:noWrap w:val="0"/>
                  <w:vAlign w:val="center"/>
                </w:tcPr>
                <w:p w14:paraId="72DBF0B1">
                  <w:pPr>
                    <w:keepNext w:val="0"/>
                    <w:keepLines w:val="0"/>
                    <w:suppressLineNumbers w:val="0"/>
                    <w:spacing w:before="0" w:beforeAutospacing="0" w:after="0" w:afterAutospacing="0" w:line="288" w:lineRule="auto"/>
                    <w:ind w:left="0" w:right="0"/>
                    <w:jc w:val="center"/>
                    <w:rPr>
                      <w:rFonts w:hint="default" w:eastAsia="宋体"/>
                      <w:sz w:val="21"/>
                      <w:szCs w:val="21"/>
                      <w:highlight w:val="none"/>
                      <w:lang w:val="en-US" w:eastAsia="zh-CN"/>
                    </w:rPr>
                  </w:pPr>
                  <w:r>
                    <w:rPr>
                      <w:rFonts w:hint="eastAsia"/>
                      <w:sz w:val="21"/>
                      <w:szCs w:val="21"/>
                      <w:highlight w:val="none"/>
                    </w:rPr>
                    <w:t>/</w:t>
                  </w:r>
                </w:p>
              </w:tc>
              <w:tc>
                <w:tcPr>
                  <w:tcW w:w="1185" w:type="dxa"/>
                  <w:noWrap w:val="0"/>
                  <w:vAlign w:val="center"/>
                </w:tcPr>
                <w:p w14:paraId="1CFBA929">
                  <w:pPr>
                    <w:keepNext w:val="0"/>
                    <w:keepLines w:val="0"/>
                    <w:suppressLineNumbers w:val="0"/>
                    <w:spacing w:before="0" w:beforeAutospacing="0" w:after="0" w:afterAutospacing="0" w:line="288" w:lineRule="auto"/>
                    <w:ind w:left="0" w:right="0"/>
                    <w:jc w:val="center"/>
                    <w:rPr>
                      <w:rFonts w:hint="eastAsia"/>
                      <w:sz w:val="21"/>
                      <w:szCs w:val="21"/>
                      <w:highlight w:val="none"/>
                    </w:rPr>
                  </w:pPr>
                  <w:r>
                    <w:rPr>
                      <w:rFonts w:hint="eastAsia"/>
                      <w:sz w:val="21"/>
                      <w:szCs w:val="21"/>
                      <w:highlight w:val="none"/>
                    </w:rPr>
                    <w:t>/</w:t>
                  </w:r>
                </w:p>
              </w:tc>
              <w:tc>
                <w:tcPr>
                  <w:tcW w:w="690" w:type="dxa"/>
                  <w:noWrap w:val="0"/>
                  <w:vAlign w:val="center"/>
                </w:tcPr>
                <w:p w14:paraId="7584DEC1">
                  <w:pPr>
                    <w:keepNext w:val="0"/>
                    <w:keepLines w:val="0"/>
                    <w:suppressLineNumbers w:val="0"/>
                    <w:spacing w:before="0" w:beforeAutospacing="0" w:after="0" w:afterAutospacing="0" w:line="288" w:lineRule="auto"/>
                    <w:ind w:left="0" w:right="0"/>
                    <w:jc w:val="center"/>
                    <w:rPr>
                      <w:rFonts w:hint="default" w:eastAsia="宋体"/>
                      <w:sz w:val="21"/>
                      <w:szCs w:val="21"/>
                      <w:highlight w:val="none"/>
                      <w:lang w:val="en-US" w:eastAsia="zh-CN"/>
                    </w:rPr>
                  </w:pPr>
                  <w:r>
                    <w:rPr>
                      <w:rFonts w:hint="eastAsia"/>
                      <w:sz w:val="21"/>
                      <w:szCs w:val="21"/>
                      <w:highlight w:val="none"/>
                    </w:rPr>
                    <w:t>/</w:t>
                  </w:r>
                </w:p>
              </w:tc>
              <w:tc>
                <w:tcPr>
                  <w:tcW w:w="765" w:type="dxa"/>
                  <w:shd w:val="clear" w:color="auto" w:fill="auto"/>
                  <w:noWrap w:val="0"/>
                  <w:vAlign w:val="center"/>
                </w:tcPr>
                <w:p w14:paraId="270470C6">
                  <w:pPr>
                    <w:keepNext w:val="0"/>
                    <w:keepLines w:val="0"/>
                    <w:suppressLineNumbers w:val="0"/>
                    <w:spacing w:before="0" w:beforeAutospacing="0" w:after="0" w:afterAutospacing="0" w:line="288" w:lineRule="auto"/>
                    <w:ind w:left="0" w:right="0"/>
                    <w:jc w:val="center"/>
                    <w:rPr>
                      <w:rFonts w:hint="eastAsia"/>
                      <w:sz w:val="21"/>
                      <w:szCs w:val="21"/>
                      <w:highlight w:val="none"/>
                    </w:rPr>
                  </w:pPr>
                  <w:r>
                    <w:rPr>
                      <w:rFonts w:hint="eastAsia"/>
                      <w:sz w:val="21"/>
                      <w:szCs w:val="21"/>
                      <w:highlight w:val="none"/>
                    </w:rPr>
                    <w:t>/</w:t>
                  </w:r>
                </w:p>
              </w:tc>
              <w:tc>
                <w:tcPr>
                  <w:tcW w:w="712" w:type="dxa"/>
                  <w:shd w:val="clear" w:color="auto" w:fill="auto"/>
                  <w:noWrap w:val="0"/>
                  <w:vAlign w:val="center"/>
                </w:tcPr>
                <w:p w14:paraId="016B58D4">
                  <w:pPr>
                    <w:keepNext w:val="0"/>
                    <w:keepLines w:val="0"/>
                    <w:suppressLineNumbers w:val="0"/>
                    <w:spacing w:before="0" w:beforeAutospacing="0" w:after="0" w:afterAutospacing="0" w:line="288" w:lineRule="auto"/>
                    <w:ind w:left="0" w:right="0"/>
                    <w:jc w:val="center"/>
                    <w:rPr>
                      <w:rFonts w:hint="eastAsia"/>
                      <w:sz w:val="21"/>
                      <w:szCs w:val="21"/>
                      <w:highlight w:val="none"/>
                    </w:rPr>
                  </w:pPr>
                  <w:r>
                    <w:rPr>
                      <w:rFonts w:hint="eastAsia"/>
                      <w:sz w:val="21"/>
                      <w:szCs w:val="21"/>
                      <w:highlight w:val="none"/>
                    </w:rPr>
                    <w:t>/</w:t>
                  </w:r>
                </w:p>
              </w:tc>
            </w:tr>
            <w:tr w14:paraId="1867A97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c>
                <w:tcPr>
                  <w:tcW w:w="897" w:type="dxa"/>
                  <w:vMerge w:val="continue"/>
                  <w:noWrap w:val="0"/>
                  <w:vAlign w:val="center"/>
                </w:tcPr>
                <w:p w14:paraId="093D7270">
                  <w:pPr>
                    <w:keepNext w:val="0"/>
                    <w:keepLines w:val="0"/>
                    <w:suppressLineNumbers w:val="0"/>
                    <w:spacing w:before="0" w:beforeAutospacing="0" w:after="0" w:afterAutospacing="0" w:line="288" w:lineRule="auto"/>
                    <w:ind w:left="0" w:right="0"/>
                    <w:jc w:val="center"/>
                    <w:rPr>
                      <w:rFonts w:hint="eastAsia"/>
                      <w:sz w:val="21"/>
                      <w:szCs w:val="21"/>
                      <w:highlight w:val="none"/>
                    </w:rPr>
                  </w:pPr>
                </w:p>
              </w:tc>
              <w:tc>
                <w:tcPr>
                  <w:tcW w:w="1181" w:type="dxa"/>
                  <w:shd w:val="clear" w:color="auto" w:fill="auto"/>
                  <w:noWrap w:val="0"/>
                  <w:vAlign w:val="center"/>
                </w:tcPr>
                <w:p w14:paraId="7DD15056">
                  <w:pPr>
                    <w:keepNext w:val="0"/>
                    <w:keepLines w:val="0"/>
                    <w:widowControl/>
                    <w:suppressLineNumbers w:val="0"/>
                    <w:spacing w:before="0" w:beforeAutospacing="0" w:after="0" w:afterAutospacing="0" w:line="288" w:lineRule="auto"/>
                    <w:ind w:left="0" w:right="0"/>
                    <w:jc w:val="center"/>
                    <w:rPr>
                      <w:rFonts w:hint="eastAsia" w:ascii="宋体" w:hAnsi="宋体" w:eastAsia="宋体" w:cs="宋体"/>
                      <w:color w:val="000000"/>
                      <w:kern w:val="0"/>
                      <w:sz w:val="21"/>
                      <w:szCs w:val="21"/>
                      <w:highlight w:val="none"/>
                      <w:lang w:val="en-US" w:eastAsia="zh-CN" w:bidi="ar"/>
                    </w:rPr>
                  </w:pPr>
                  <w:r>
                    <w:rPr>
                      <w:rFonts w:hint="eastAsia" w:ascii="宋体" w:hAnsi="宋体" w:cs="宋体"/>
                      <w:color w:val="000000"/>
                      <w:kern w:val="0"/>
                      <w:sz w:val="21"/>
                      <w:szCs w:val="21"/>
                      <w:highlight w:val="none"/>
                      <w:lang w:val="en-US" w:eastAsia="zh-CN" w:bidi="ar"/>
                    </w:rPr>
                    <w:t>非甲烷总烃</w:t>
                  </w:r>
                </w:p>
              </w:tc>
              <w:tc>
                <w:tcPr>
                  <w:tcW w:w="795" w:type="dxa"/>
                  <w:noWrap w:val="0"/>
                  <w:vAlign w:val="center"/>
                </w:tcPr>
                <w:p w14:paraId="4BB4391C">
                  <w:pPr>
                    <w:keepNext w:val="0"/>
                    <w:keepLines w:val="0"/>
                    <w:widowControl/>
                    <w:suppressLineNumbers w:val="0"/>
                    <w:spacing w:before="0" w:beforeAutospacing="0" w:after="0" w:afterAutospacing="0"/>
                    <w:ind w:left="0" w:right="0"/>
                    <w:jc w:val="center"/>
                    <w:textAlignment w:val="center"/>
                    <w:rPr>
                      <w:rFonts w:hint="default"/>
                      <w:color w:val="000000"/>
                      <w:kern w:val="0"/>
                      <w:sz w:val="21"/>
                      <w:szCs w:val="21"/>
                      <w:highlight w:val="none"/>
                      <w:lang w:val="en-US" w:eastAsia="zh-CN" w:bidi="ar"/>
                    </w:rPr>
                  </w:pPr>
                  <w:r>
                    <w:rPr>
                      <w:rFonts w:hint="eastAsia"/>
                      <w:color w:val="000000"/>
                      <w:kern w:val="0"/>
                      <w:sz w:val="21"/>
                      <w:szCs w:val="21"/>
                      <w:highlight w:val="none"/>
                      <w:lang w:val="en-US" w:eastAsia="zh-CN" w:bidi="ar"/>
                    </w:rPr>
                    <w:t>0.013</w:t>
                  </w:r>
                </w:p>
              </w:tc>
              <w:tc>
                <w:tcPr>
                  <w:tcW w:w="915" w:type="dxa"/>
                  <w:noWrap w:val="0"/>
                  <w:vAlign w:val="center"/>
                </w:tcPr>
                <w:p w14:paraId="7938AB0D">
                  <w:pPr>
                    <w:keepNext w:val="0"/>
                    <w:keepLines w:val="0"/>
                    <w:suppressLineNumbers w:val="0"/>
                    <w:spacing w:before="0" w:beforeAutospacing="0" w:after="0" w:afterAutospacing="0" w:line="288" w:lineRule="auto"/>
                    <w:ind w:left="0" w:right="0"/>
                    <w:jc w:val="center"/>
                    <w:rPr>
                      <w:rFonts w:hint="default"/>
                      <w:sz w:val="21"/>
                      <w:szCs w:val="21"/>
                      <w:highlight w:val="none"/>
                      <w:lang w:val="en-US" w:eastAsia="zh-CN"/>
                    </w:rPr>
                  </w:pPr>
                  <w:r>
                    <w:rPr>
                      <w:rFonts w:hint="eastAsia"/>
                      <w:sz w:val="21"/>
                      <w:szCs w:val="21"/>
                      <w:highlight w:val="none"/>
                      <w:lang w:val="en-US" w:eastAsia="zh-CN"/>
                    </w:rPr>
                    <w:t>2</w:t>
                  </w:r>
                </w:p>
              </w:tc>
              <w:tc>
                <w:tcPr>
                  <w:tcW w:w="1065" w:type="dxa"/>
                  <w:noWrap w:val="0"/>
                  <w:vAlign w:val="center"/>
                </w:tcPr>
                <w:p w14:paraId="737F4A8D">
                  <w:pPr>
                    <w:keepNext w:val="0"/>
                    <w:keepLines w:val="0"/>
                    <w:suppressLineNumbers w:val="0"/>
                    <w:spacing w:before="0" w:beforeAutospacing="0" w:after="0" w:afterAutospacing="0" w:line="288" w:lineRule="auto"/>
                    <w:ind w:left="0" w:right="0"/>
                    <w:jc w:val="center"/>
                    <w:rPr>
                      <w:rFonts w:hint="eastAsia"/>
                      <w:sz w:val="21"/>
                      <w:szCs w:val="21"/>
                      <w:highlight w:val="none"/>
                    </w:rPr>
                  </w:pPr>
                  <w:r>
                    <w:rPr>
                      <w:rFonts w:hint="eastAsia"/>
                      <w:sz w:val="21"/>
                      <w:szCs w:val="21"/>
                      <w:highlight w:val="none"/>
                      <w:lang w:val="en-US" w:eastAsia="zh-CN"/>
                    </w:rPr>
                    <w:t>53</w:t>
                  </w:r>
                </w:p>
              </w:tc>
              <w:tc>
                <w:tcPr>
                  <w:tcW w:w="1185" w:type="dxa"/>
                  <w:noWrap w:val="0"/>
                  <w:vAlign w:val="center"/>
                </w:tcPr>
                <w:p w14:paraId="11ED61D2">
                  <w:pPr>
                    <w:keepNext w:val="0"/>
                    <w:keepLines w:val="0"/>
                    <w:suppressLineNumbers w:val="0"/>
                    <w:spacing w:before="0" w:beforeAutospacing="0" w:after="0" w:afterAutospacing="0" w:line="288" w:lineRule="auto"/>
                    <w:ind w:left="0" w:right="0"/>
                    <w:jc w:val="center"/>
                    <w:rPr>
                      <w:rFonts w:hint="eastAsia"/>
                      <w:sz w:val="21"/>
                      <w:szCs w:val="21"/>
                      <w:highlight w:val="none"/>
                    </w:rPr>
                  </w:pPr>
                  <w:r>
                    <w:rPr>
                      <w:rFonts w:hint="eastAsia"/>
                      <w:sz w:val="21"/>
                      <w:szCs w:val="21"/>
                      <w:highlight w:val="none"/>
                      <w:lang w:val="en-US" w:eastAsia="zh-CN"/>
                    </w:rPr>
                    <w:t>5</w:t>
                  </w:r>
                  <w:r>
                    <w:rPr>
                      <w:rFonts w:hint="eastAsia"/>
                      <w:sz w:val="21"/>
                      <w:szCs w:val="21"/>
                      <w:highlight w:val="none"/>
                    </w:rPr>
                    <w:t>.</w:t>
                  </w:r>
                  <w:r>
                    <w:rPr>
                      <w:rFonts w:hint="eastAsia"/>
                      <w:sz w:val="21"/>
                      <w:szCs w:val="21"/>
                      <w:highlight w:val="none"/>
                      <w:lang w:val="en-US" w:eastAsia="zh-CN"/>
                    </w:rPr>
                    <w:t>44</w:t>
                  </w:r>
                  <w:r>
                    <w:rPr>
                      <w:rFonts w:hint="eastAsia"/>
                      <w:sz w:val="21"/>
                      <w:szCs w:val="21"/>
                      <w:highlight w:val="none"/>
                    </w:rPr>
                    <w:t>E-0</w:t>
                  </w:r>
                  <w:r>
                    <w:rPr>
                      <w:rFonts w:hint="eastAsia"/>
                      <w:sz w:val="21"/>
                      <w:szCs w:val="21"/>
                      <w:highlight w:val="none"/>
                      <w:lang w:val="en-US" w:eastAsia="zh-CN"/>
                    </w:rPr>
                    <w:t>3</w:t>
                  </w:r>
                </w:p>
              </w:tc>
              <w:tc>
                <w:tcPr>
                  <w:tcW w:w="690" w:type="dxa"/>
                  <w:noWrap w:val="0"/>
                  <w:vAlign w:val="center"/>
                </w:tcPr>
                <w:p w14:paraId="287338DD">
                  <w:pPr>
                    <w:keepNext w:val="0"/>
                    <w:keepLines w:val="0"/>
                    <w:suppressLineNumbers w:val="0"/>
                    <w:spacing w:before="0" w:beforeAutospacing="0" w:after="0" w:afterAutospacing="0" w:line="288" w:lineRule="auto"/>
                    <w:ind w:left="0" w:right="0"/>
                    <w:jc w:val="center"/>
                    <w:rPr>
                      <w:rFonts w:hint="default"/>
                      <w:sz w:val="21"/>
                      <w:szCs w:val="21"/>
                      <w:highlight w:val="none"/>
                      <w:lang w:val="en-US" w:eastAsia="zh-CN"/>
                    </w:rPr>
                  </w:pPr>
                  <w:r>
                    <w:rPr>
                      <w:rFonts w:hint="eastAsia"/>
                      <w:sz w:val="21"/>
                      <w:szCs w:val="21"/>
                      <w:highlight w:val="none"/>
                      <w:lang w:val="en-US" w:eastAsia="zh-CN"/>
                    </w:rPr>
                    <w:t>0.27</w:t>
                  </w:r>
                </w:p>
              </w:tc>
              <w:tc>
                <w:tcPr>
                  <w:tcW w:w="765" w:type="dxa"/>
                  <w:shd w:val="clear" w:color="auto" w:fill="auto"/>
                  <w:noWrap w:val="0"/>
                  <w:vAlign w:val="center"/>
                </w:tcPr>
                <w:p w14:paraId="24927B97">
                  <w:pPr>
                    <w:keepNext w:val="0"/>
                    <w:keepLines w:val="0"/>
                    <w:suppressLineNumbers w:val="0"/>
                    <w:spacing w:before="0" w:beforeAutospacing="0" w:after="0" w:afterAutospacing="0" w:line="288" w:lineRule="auto"/>
                    <w:ind w:left="0" w:right="0"/>
                    <w:jc w:val="center"/>
                    <w:rPr>
                      <w:rFonts w:hint="eastAsia"/>
                      <w:sz w:val="21"/>
                      <w:szCs w:val="21"/>
                      <w:highlight w:val="none"/>
                    </w:rPr>
                  </w:pPr>
                  <w:r>
                    <w:rPr>
                      <w:rFonts w:hint="eastAsia"/>
                      <w:sz w:val="21"/>
                      <w:szCs w:val="21"/>
                      <w:highlight w:val="none"/>
                    </w:rPr>
                    <w:t>/</w:t>
                  </w:r>
                </w:p>
              </w:tc>
              <w:tc>
                <w:tcPr>
                  <w:tcW w:w="712" w:type="dxa"/>
                  <w:shd w:val="clear" w:color="auto" w:fill="auto"/>
                  <w:noWrap w:val="0"/>
                  <w:vAlign w:val="center"/>
                </w:tcPr>
                <w:p w14:paraId="141A191C">
                  <w:pPr>
                    <w:keepNext w:val="0"/>
                    <w:keepLines w:val="0"/>
                    <w:suppressLineNumbers w:val="0"/>
                    <w:spacing w:before="0" w:beforeAutospacing="0" w:after="0" w:afterAutospacing="0" w:line="288" w:lineRule="auto"/>
                    <w:ind w:left="0" w:right="0"/>
                    <w:jc w:val="center"/>
                    <w:rPr>
                      <w:rFonts w:hint="eastAsia"/>
                      <w:sz w:val="21"/>
                      <w:szCs w:val="21"/>
                      <w:highlight w:val="none"/>
                    </w:rPr>
                  </w:pPr>
                  <w:r>
                    <w:rPr>
                      <w:rFonts w:hint="eastAsia"/>
                      <w:sz w:val="21"/>
                      <w:szCs w:val="21"/>
                      <w:highlight w:val="none"/>
                    </w:rPr>
                    <w:t>三级</w:t>
                  </w:r>
                </w:p>
              </w:tc>
            </w:tr>
            <w:tr w14:paraId="2B876B2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c>
                <w:tcPr>
                  <w:tcW w:w="897" w:type="dxa"/>
                  <w:noWrap w:val="0"/>
                  <w:vAlign w:val="center"/>
                </w:tcPr>
                <w:p w14:paraId="1DCB85B1">
                  <w:pPr>
                    <w:keepNext w:val="0"/>
                    <w:keepLines w:val="0"/>
                    <w:suppressLineNumbers w:val="0"/>
                    <w:spacing w:before="0" w:beforeAutospacing="0" w:after="0" w:afterAutospacing="0" w:line="288" w:lineRule="auto"/>
                    <w:ind w:left="0" w:right="0"/>
                    <w:jc w:val="center"/>
                    <w:rPr>
                      <w:rFonts w:hint="default" w:eastAsia="宋体"/>
                      <w:sz w:val="21"/>
                      <w:szCs w:val="21"/>
                      <w:highlight w:val="none"/>
                      <w:lang w:val="en-US" w:eastAsia="zh-CN"/>
                    </w:rPr>
                  </w:pPr>
                  <w:r>
                    <w:rPr>
                      <w:rFonts w:hint="eastAsia"/>
                      <w:sz w:val="21"/>
                      <w:szCs w:val="21"/>
                      <w:highlight w:val="none"/>
                      <w:lang w:val="en-US" w:eastAsia="zh-CN"/>
                    </w:rPr>
                    <w:t>科创综合楼</w:t>
                  </w:r>
                </w:p>
              </w:tc>
              <w:tc>
                <w:tcPr>
                  <w:tcW w:w="1181" w:type="dxa"/>
                  <w:shd w:val="clear" w:color="auto" w:fill="auto"/>
                  <w:noWrap w:val="0"/>
                  <w:vAlign w:val="center"/>
                </w:tcPr>
                <w:p w14:paraId="00A9E454">
                  <w:pPr>
                    <w:keepNext w:val="0"/>
                    <w:keepLines w:val="0"/>
                    <w:widowControl/>
                    <w:suppressLineNumbers w:val="0"/>
                    <w:spacing w:before="0" w:beforeAutospacing="0" w:after="0" w:afterAutospacing="0" w:line="288" w:lineRule="auto"/>
                    <w:ind w:left="0" w:right="0"/>
                    <w:jc w:val="center"/>
                    <w:rPr>
                      <w:rFonts w:hint="eastAsia" w:ascii="宋体" w:hAnsi="宋体" w:cs="宋体"/>
                      <w:color w:val="000000"/>
                      <w:kern w:val="0"/>
                      <w:sz w:val="21"/>
                      <w:szCs w:val="21"/>
                      <w:highlight w:val="none"/>
                      <w:lang w:val="en-US" w:eastAsia="zh-CN" w:bidi="ar"/>
                    </w:rPr>
                  </w:pPr>
                  <w:r>
                    <w:rPr>
                      <w:rFonts w:hint="eastAsia" w:ascii="宋体" w:hAnsi="宋体" w:cs="宋体"/>
                      <w:color w:val="000000"/>
                      <w:kern w:val="0"/>
                      <w:sz w:val="21"/>
                      <w:szCs w:val="21"/>
                      <w:highlight w:val="none"/>
                      <w:lang w:val="en-US" w:eastAsia="zh-CN" w:bidi="ar"/>
                    </w:rPr>
                    <w:t>非甲烷总烃</w:t>
                  </w:r>
                </w:p>
              </w:tc>
              <w:tc>
                <w:tcPr>
                  <w:tcW w:w="795" w:type="dxa"/>
                  <w:noWrap w:val="0"/>
                  <w:vAlign w:val="center"/>
                </w:tcPr>
                <w:p w14:paraId="6EC5C414">
                  <w:pPr>
                    <w:keepNext w:val="0"/>
                    <w:keepLines w:val="0"/>
                    <w:widowControl/>
                    <w:suppressLineNumbers w:val="0"/>
                    <w:spacing w:before="0" w:beforeAutospacing="0" w:after="0" w:afterAutospacing="0"/>
                    <w:ind w:left="0" w:right="0"/>
                    <w:jc w:val="center"/>
                    <w:textAlignment w:val="center"/>
                    <w:rPr>
                      <w:rFonts w:hint="default"/>
                      <w:color w:val="000000"/>
                      <w:kern w:val="0"/>
                      <w:sz w:val="21"/>
                      <w:szCs w:val="21"/>
                      <w:highlight w:val="none"/>
                      <w:lang w:val="en-US" w:eastAsia="zh-CN" w:bidi="ar"/>
                    </w:rPr>
                  </w:pPr>
                  <w:r>
                    <w:rPr>
                      <w:rFonts w:hint="eastAsia"/>
                      <w:color w:val="000000"/>
                      <w:kern w:val="0"/>
                      <w:sz w:val="21"/>
                      <w:szCs w:val="21"/>
                      <w:highlight w:val="none"/>
                      <w:lang w:val="en-US" w:eastAsia="zh-CN" w:bidi="ar"/>
                    </w:rPr>
                    <w:t>0.053</w:t>
                  </w:r>
                </w:p>
              </w:tc>
              <w:tc>
                <w:tcPr>
                  <w:tcW w:w="915" w:type="dxa"/>
                  <w:noWrap w:val="0"/>
                  <w:vAlign w:val="center"/>
                </w:tcPr>
                <w:p w14:paraId="617D0B34">
                  <w:pPr>
                    <w:keepNext w:val="0"/>
                    <w:keepLines w:val="0"/>
                    <w:suppressLineNumbers w:val="0"/>
                    <w:spacing w:before="0" w:beforeAutospacing="0" w:after="0" w:afterAutospacing="0" w:line="288" w:lineRule="auto"/>
                    <w:ind w:left="0" w:right="0"/>
                    <w:jc w:val="center"/>
                    <w:rPr>
                      <w:rFonts w:hint="eastAsia"/>
                      <w:sz w:val="21"/>
                      <w:szCs w:val="21"/>
                      <w:highlight w:val="none"/>
                      <w:lang w:val="en-US" w:eastAsia="zh-CN"/>
                    </w:rPr>
                  </w:pPr>
                  <w:r>
                    <w:rPr>
                      <w:rFonts w:hint="eastAsia"/>
                      <w:sz w:val="21"/>
                      <w:szCs w:val="21"/>
                      <w:highlight w:val="none"/>
                      <w:lang w:val="en-US" w:eastAsia="zh-CN"/>
                    </w:rPr>
                    <w:t>2</w:t>
                  </w:r>
                </w:p>
              </w:tc>
              <w:tc>
                <w:tcPr>
                  <w:tcW w:w="1065" w:type="dxa"/>
                  <w:noWrap w:val="0"/>
                  <w:vAlign w:val="center"/>
                </w:tcPr>
                <w:p w14:paraId="2041C9C6">
                  <w:pPr>
                    <w:keepNext w:val="0"/>
                    <w:keepLines w:val="0"/>
                    <w:suppressLineNumbers w:val="0"/>
                    <w:spacing w:before="0" w:beforeAutospacing="0" w:after="0" w:afterAutospacing="0" w:line="288" w:lineRule="auto"/>
                    <w:ind w:left="0" w:right="0"/>
                    <w:jc w:val="center"/>
                    <w:rPr>
                      <w:rFonts w:hint="default"/>
                      <w:sz w:val="21"/>
                      <w:szCs w:val="21"/>
                      <w:highlight w:val="none"/>
                      <w:lang w:val="en-US" w:eastAsia="zh-CN"/>
                    </w:rPr>
                  </w:pPr>
                  <w:r>
                    <w:rPr>
                      <w:rFonts w:hint="eastAsia"/>
                      <w:sz w:val="21"/>
                      <w:szCs w:val="21"/>
                      <w:highlight w:val="none"/>
                      <w:lang w:val="en-US" w:eastAsia="zh-CN"/>
                    </w:rPr>
                    <w:t>89</w:t>
                  </w:r>
                </w:p>
              </w:tc>
              <w:tc>
                <w:tcPr>
                  <w:tcW w:w="1185" w:type="dxa"/>
                  <w:noWrap w:val="0"/>
                  <w:vAlign w:val="center"/>
                </w:tcPr>
                <w:p w14:paraId="45188905">
                  <w:pPr>
                    <w:keepNext w:val="0"/>
                    <w:keepLines w:val="0"/>
                    <w:suppressLineNumbers w:val="0"/>
                    <w:spacing w:before="0" w:beforeAutospacing="0" w:after="0" w:afterAutospacing="0" w:line="288" w:lineRule="auto"/>
                    <w:ind w:left="0" w:right="0"/>
                    <w:jc w:val="center"/>
                    <w:rPr>
                      <w:rFonts w:hint="eastAsia" w:eastAsia="宋体"/>
                      <w:sz w:val="21"/>
                      <w:szCs w:val="21"/>
                      <w:highlight w:val="none"/>
                      <w:lang w:val="en-US" w:eastAsia="zh-CN"/>
                    </w:rPr>
                  </w:pPr>
                  <w:r>
                    <w:rPr>
                      <w:rFonts w:hint="eastAsia"/>
                      <w:sz w:val="21"/>
                      <w:szCs w:val="21"/>
                      <w:highlight w:val="none"/>
                      <w:lang w:val="en-US" w:eastAsia="zh-CN"/>
                    </w:rPr>
                    <w:t>1</w:t>
                  </w:r>
                  <w:r>
                    <w:rPr>
                      <w:rFonts w:hint="eastAsia"/>
                      <w:sz w:val="21"/>
                      <w:szCs w:val="21"/>
                      <w:highlight w:val="none"/>
                    </w:rPr>
                    <w:t>.</w:t>
                  </w:r>
                  <w:r>
                    <w:rPr>
                      <w:rFonts w:hint="eastAsia"/>
                      <w:sz w:val="21"/>
                      <w:szCs w:val="21"/>
                      <w:highlight w:val="none"/>
                      <w:lang w:val="en-US" w:eastAsia="zh-CN"/>
                    </w:rPr>
                    <w:t>29</w:t>
                  </w:r>
                  <w:r>
                    <w:rPr>
                      <w:rFonts w:hint="eastAsia"/>
                      <w:sz w:val="21"/>
                      <w:szCs w:val="21"/>
                      <w:highlight w:val="none"/>
                    </w:rPr>
                    <w:t>E-0</w:t>
                  </w:r>
                  <w:r>
                    <w:rPr>
                      <w:rFonts w:hint="eastAsia"/>
                      <w:sz w:val="21"/>
                      <w:szCs w:val="21"/>
                      <w:highlight w:val="none"/>
                      <w:lang w:val="en-US" w:eastAsia="zh-CN"/>
                    </w:rPr>
                    <w:t>2</w:t>
                  </w:r>
                </w:p>
              </w:tc>
              <w:tc>
                <w:tcPr>
                  <w:tcW w:w="690" w:type="dxa"/>
                  <w:noWrap w:val="0"/>
                  <w:vAlign w:val="center"/>
                </w:tcPr>
                <w:p w14:paraId="3498101D">
                  <w:pPr>
                    <w:keepNext w:val="0"/>
                    <w:keepLines w:val="0"/>
                    <w:suppressLineNumbers w:val="0"/>
                    <w:spacing w:before="0" w:beforeAutospacing="0" w:after="0" w:afterAutospacing="0" w:line="288" w:lineRule="auto"/>
                    <w:ind w:left="0" w:right="0"/>
                    <w:jc w:val="center"/>
                    <w:rPr>
                      <w:rFonts w:hint="default"/>
                      <w:sz w:val="21"/>
                      <w:szCs w:val="21"/>
                      <w:highlight w:val="none"/>
                      <w:lang w:val="en-US" w:eastAsia="zh-CN"/>
                    </w:rPr>
                  </w:pPr>
                  <w:r>
                    <w:rPr>
                      <w:rFonts w:hint="eastAsia"/>
                      <w:sz w:val="21"/>
                      <w:szCs w:val="21"/>
                      <w:highlight w:val="none"/>
                      <w:lang w:val="en-US" w:eastAsia="zh-CN"/>
                    </w:rPr>
                    <w:t>0.65</w:t>
                  </w:r>
                </w:p>
              </w:tc>
              <w:tc>
                <w:tcPr>
                  <w:tcW w:w="765" w:type="dxa"/>
                  <w:shd w:val="clear" w:color="auto" w:fill="auto"/>
                  <w:noWrap w:val="0"/>
                  <w:vAlign w:val="center"/>
                </w:tcPr>
                <w:p w14:paraId="1C105717">
                  <w:pPr>
                    <w:keepNext w:val="0"/>
                    <w:keepLines w:val="0"/>
                    <w:suppressLineNumbers w:val="0"/>
                    <w:spacing w:before="0" w:beforeAutospacing="0" w:after="0" w:afterAutospacing="0" w:line="288" w:lineRule="auto"/>
                    <w:ind w:left="0" w:right="0"/>
                    <w:jc w:val="center"/>
                    <w:rPr>
                      <w:rFonts w:hint="eastAsia" w:ascii="Times New Roman" w:hAnsi="Times New Roman" w:eastAsia="宋体" w:cs="Times New Roman"/>
                      <w:kern w:val="2"/>
                      <w:sz w:val="21"/>
                      <w:szCs w:val="21"/>
                      <w:highlight w:val="none"/>
                      <w:lang w:val="en-US" w:eastAsia="zh-CN" w:bidi="ar-SA"/>
                    </w:rPr>
                  </w:pPr>
                  <w:r>
                    <w:rPr>
                      <w:rFonts w:hint="eastAsia"/>
                      <w:sz w:val="21"/>
                      <w:szCs w:val="21"/>
                      <w:highlight w:val="none"/>
                    </w:rPr>
                    <w:t>/</w:t>
                  </w:r>
                </w:p>
              </w:tc>
              <w:tc>
                <w:tcPr>
                  <w:tcW w:w="712" w:type="dxa"/>
                  <w:shd w:val="clear" w:color="auto" w:fill="auto"/>
                  <w:noWrap w:val="0"/>
                  <w:vAlign w:val="center"/>
                </w:tcPr>
                <w:p w14:paraId="1926447B">
                  <w:pPr>
                    <w:keepNext w:val="0"/>
                    <w:keepLines w:val="0"/>
                    <w:suppressLineNumbers w:val="0"/>
                    <w:spacing w:before="0" w:beforeAutospacing="0" w:after="0" w:afterAutospacing="0" w:line="288" w:lineRule="auto"/>
                    <w:ind w:left="0" w:right="0"/>
                    <w:jc w:val="center"/>
                    <w:rPr>
                      <w:rFonts w:hint="eastAsia" w:ascii="Times New Roman" w:hAnsi="Times New Roman" w:eastAsia="宋体" w:cs="Times New Roman"/>
                      <w:kern w:val="2"/>
                      <w:sz w:val="21"/>
                      <w:szCs w:val="21"/>
                      <w:highlight w:val="none"/>
                      <w:lang w:val="en-US" w:eastAsia="zh-CN" w:bidi="ar-SA"/>
                    </w:rPr>
                  </w:pPr>
                  <w:r>
                    <w:rPr>
                      <w:rFonts w:hint="eastAsia"/>
                      <w:sz w:val="21"/>
                      <w:szCs w:val="21"/>
                      <w:highlight w:val="none"/>
                    </w:rPr>
                    <w:t>三级</w:t>
                  </w:r>
                </w:p>
              </w:tc>
            </w:tr>
          </w:tbl>
          <w:p w14:paraId="7B7AA3DC">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60" w:lineRule="auto"/>
              <w:ind w:left="0" w:right="0" w:firstLine="480" w:firstLineChars="200"/>
              <w:jc w:val="both"/>
              <w:textAlignment w:val="auto"/>
              <w:rPr>
                <w:rFonts w:hint="default" w:ascii="Times New Roman" w:hAnsi="Times New Roman" w:eastAsia="宋体" w:cs="Times New Roman"/>
                <w:strike w:val="0"/>
                <w:dstrike w:val="0"/>
                <w:color w:val="auto"/>
                <w:kern w:val="2"/>
                <w:sz w:val="24"/>
                <w:szCs w:val="24"/>
                <w:highlight w:val="none"/>
              </w:rPr>
            </w:pPr>
            <w:r>
              <w:rPr>
                <w:rFonts w:hint="eastAsia" w:ascii="Times New Roman" w:hAnsi="Times New Roman" w:eastAsia="宋体" w:cs="宋体"/>
                <w:strike w:val="0"/>
                <w:dstrike w:val="0"/>
                <w:color w:val="auto"/>
                <w:kern w:val="2"/>
                <w:sz w:val="24"/>
                <w:szCs w:val="24"/>
                <w:highlight w:val="none"/>
                <w:lang w:val="en-US" w:eastAsia="zh-CN" w:bidi="ar"/>
              </w:rPr>
              <w:t>由上表可知，估算模式已考虑了最不利的气象条件，估算结果表明，最大落地浓度均达标，最大占标率为</w:t>
            </w:r>
            <w:r>
              <w:rPr>
                <w:rFonts w:hint="eastAsia" w:cs="宋体"/>
                <w:strike w:val="0"/>
                <w:dstrike w:val="0"/>
                <w:color w:val="auto"/>
                <w:kern w:val="2"/>
                <w:sz w:val="24"/>
                <w:szCs w:val="24"/>
                <w:highlight w:val="none"/>
                <w:lang w:val="en-US" w:eastAsia="zh-CN" w:bidi="ar"/>
              </w:rPr>
              <w:t>1</w:t>
            </w:r>
            <w:r>
              <w:rPr>
                <w:rFonts w:hint="eastAsia" w:ascii="Times New Roman" w:hAnsi="Times New Roman" w:eastAsia="宋体" w:cs="Times New Roman"/>
                <w:strike w:val="0"/>
                <w:dstrike w:val="0"/>
                <w:color w:val="auto"/>
                <w:kern w:val="2"/>
                <w:sz w:val="24"/>
                <w:szCs w:val="24"/>
                <w:highlight w:val="none"/>
                <w:lang w:val="en-US" w:eastAsia="zh-CN" w:bidi="ar"/>
              </w:rPr>
              <w:t>.</w:t>
            </w:r>
            <w:r>
              <w:rPr>
                <w:rFonts w:hint="eastAsia" w:cs="Times New Roman"/>
                <w:strike w:val="0"/>
                <w:dstrike w:val="0"/>
                <w:color w:val="auto"/>
                <w:kern w:val="2"/>
                <w:sz w:val="24"/>
                <w:szCs w:val="24"/>
                <w:highlight w:val="none"/>
                <w:lang w:val="en-US" w:eastAsia="zh-CN" w:bidi="ar"/>
              </w:rPr>
              <w:t>1</w:t>
            </w:r>
            <w:r>
              <w:rPr>
                <w:rFonts w:hint="eastAsia" w:ascii="Times New Roman" w:hAnsi="Times New Roman" w:eastAsia="宋体" w:cs="Times New Roman"/>
                <w:strike w:val="0"/>
                <w:dstrike w:val="0"/>
                <w:color w:val="auto"/>
                <w:kern w:val="2"/>
                <w:sz w:val="24"/>
                <w:szCs w:val="24"/>
                <w:highlight w:val="none"/>
                <w:lang w:val="en-US" w:eastAsia="zh-CN" w:bidi="ar"/>
              </w:rPr>
              <w:t>3</w:t>
            </w:r>
            <w:r>
              <w:rPr>
                <w:rFonts w:hint="default" w:ascii="Times New Roman" w:hAnsi="Times New Roman" w:eastAsia="宋体" w:cs="Times New Roman"/>
                <w:strike w:val="0"/>
                <w:dstrike w:val="0"/>
                <w:color w:val="auto"/>
                <w:kern w:val="2"/>
                <w:sz w:val="24"/>
                <w:szCs w:val="24"/>
                <w:highlight w:val="none"/>
                <w:lang w:val="en-US" w:eastAsia="zh-CN" w:bidi="ar"/>
              </w:rPr>
              <w:t>%</w:t>
            </w:r>
            <w:r>
              <w:rPr>
                <w:rFonts w:hint="eastAsia" w:ascii="Times New Roman" w:hAnsi="Times New Roman" w:eastAsia="宋体" w:cs="宋体"/>
                <w:strike w:val="0"/>
                <w:dstrike w:val="0"/>
                <w:color w:val="auto"/>
                <w:kern w:val="2"/>
                <w:sz w:val="24"/>
                <w:szCs w:val="24"/>
                <w:highlight w:val="none"/>
                <w:lang w:val="en-US" w:eastAsia="zh-CN" w:bidi="ar"/>
              </w:rPr>
              <w:t>，大于</w:t>
            </w:r>
            <w:r>
              <w:rPr>
                <w:rFonts w:hint="default" w:ascii="Times New Roman" w:hAnsi="Times New Roman" w:eastAsia="宋体" w:cs="Times New Roman"/>
                <w:strike w:val="0"/>
                <w:dstrike w:val="0"/>
                <w:color w:val="auto"/>
                <w:kern w:val="2"/>
                <w:sz w:val="24"/>
                <w:szCs w:val="24"/>
                <w:highlight w:val="none"/>
                <w:lang w:val="en-US" w:eastAsia="zh-CN" w:bidi="ar"/>
              </w:rPr>
              <w:t>1%</w:t>
            </w:r>
            <w:r>
              <w:rPr>
                <w:rFonts w:hint="eastAsia" w:ascii="Times New Roman" w:hAnsi="Times New Roman" w:eastAsia="宋体" w:cs="宋体"/>
                <w:strike w:val="0"/>
                <w:dstrike w:val="0"/>
                <w:color w:val="auto"/>
                <w:kern w:val="2"/>
                <w:sz w:val="24"/>
                <w:szCs w:val="24"/>
                <w:highlight w:val="none"/>
                <w:lang w:val="en-US" w:eastAsia="zh-CN" w:bidi="ar"/>
              </w:rPr>
              <w:t>，小于</w:t>
            </w:r>
            <w:r>
              <w:rPr>
                <w:rFonts w:hint="default" w:ascii="Times New Roman" w:hAnsi="Times New Roman" w:eastAsia="宋体" w:cs="Times New Roman"/>
                <w:strike w:val="0"/>
                <w:dstrike w:val="0"/>
                <w:color w:val="auto"/>
                <w:kern w:val="2"/>
                <w:sz w:val="24"/>
                <w:szCs w:val="24"/>
                <w:highlight w:val="none"/>
                <w:lang w:val="en-US" w:eastAsia="zh-CN" w:bidi="ar"/>
              </w:rPr>
              <w:t>10%</w:t>
            </w:r>
            <w:r>
              <w:rPr>
                <w:rFonts w:hint="eastAsia" w:ascii="Times New Roman" w:hAnsi="Times New Roman" w:eastAsia="宋体" w:cs="宋体"/>
                <w:strike w:val="0"/>
                <w:dstrike w:val="0"/>
                <w:color w:val="auto"/>
                <w:kern w:val="2"/>
                <w:sz w:val="24"/>
                <w:szCs w:val="24"/>
                <w:highlight w:val="none"/>
                <w:lang w:val="en-US" w:eastAsia="zh-CN" w:bidi="ar"/>
              </w:rPr>
              <w:t>，确定大气评价等级为二级，不进行进一步预测和评价，需要对污染物排放量进行核算。</w:t>
            </w:r>
          </w:p>
          <w:p w14:paraId="5FCC4007">
            <w:pPr>
              <w:pStyle w:val="134"/>
              <w:keepNext w:val="0"/>
              <w:keepLines w:val="0"/>
              <w:pageBreakBefore w:val="0"/>
              <w:widowControl w:val="0"/>
              <w:suppressLineNumbers w:val="0"/>
              <w:kinsoku/>
              <w:wordWrap/>
              <w:overflowPunct/>
              <w:topLinePunct w:val="0"/>
              <w:autoSpaceDE/>
              <w:autoSpaceDN/>
              <w:bidi w:val="0"/>
              <w:adjustRightInd/>
              <w:snapToGrid/>
              <w:spacing w:beforeAutospacing="0" w:after="0" w:afterAutospacing="0" w:line="360" w:lineRule="auto"/>
              <w:ind w:left="0" w:right="0" w:firstLine="480" w:firstLineChars="200"/>
              <w:textAlignment w:val="auto"/>
              <w:rPr>
                <w:rFonts w:hint="default" w:ascii="Times New Roman" w:hAnsi="Times New Roman" w:eastAsia="宋体" w:cs="宋体"/>
                <w:b w:val="0"/>
                <w:strike w:val="0"/>
                <w:dstrike w:val="0"/>
                <w:color w:val="auto"/>
                <w:kern w:val="2"/>
                <w:sz w:val="24"/>
                <w:szCs w:val="24"/>
                <w:highlight w:val="none"/>
                <w:lang w:val="en-US" w:eastAsia="zh-CN" w:bidi="ar"/>
              </w:rPr>
            </w:pPr>
            <w:r>
              <w:rPr>
                <w:rFonts w:hint="eastAsia" w:ascii="Times New Roman" w:hAnsi="Times New Roman" w:eastAsia="宋体" w:cs="宋体"/>
                <w:b w:val="0"/>
                <w:strike w:val="0"/>
                <w:dstrike w:val="0"/>
                <w:color w:val="auto"/>
                <w:kern w:val="2"/>
                <w:sz w:val="24"/>
                <w:szCs w:val="24"/>
                <w:highlight w:val="none"/>
                <w:lang w:val="en-US" w:eastAsia="zh-CN" w:bidi="ar"/>
              </w:rPr>
              <w:t>（5）评价工作等级及评价范围判定</w:t>
            </w:r>
          </w:p>
          <w:p w14:paraId="1200A617">
            <w:pPr>
              <w:pStyle w:val="134"/>
              <w:keepNext w:val="0"/>
              <w:keepLines w:val="0"/>
              <w:pageBreakBefore w:val="0"/>
              <w:widowControl w:val="0"/>
              <w:suppressLineNumbers w:val="0"/>
              <w:kinsoku/>
              <w:wordWrap/>
              <w:overflowPunct/>
              <w:topLinePunct w:val="0"/>
              <w:autoSpaceDE/>
              <w:autoSpaceDN/>
              <w:bidi w:val="0"/>
              <w:adjustRightInd/>
              <w:snapToGrid/>
              <w:spacing w:beforeAutospacing="0" w:after="0" w:afterAutospacing="0" w:line="360" w:lineRule="auto"/>
              <w:ind w:left="0" w:right="0" w:firstLine="480" w:firstLineChars="200"/>
              <w:textAlignment w:val="auto"/>
              <w:rPr>
                <w:rFonts w:hint="eastAsia" w:ascii="Times New Roman" w:hAnsi="Times New Roman" w:eastAsia="宋体" w:cs="宋体"/>
                <w:b w:val="0"/>
                <w:strike w:val="0"/>
                <w:dstrike w:val="0"/>
                <w:color w:val="auto"/>
                <w:kern w:val="2"/>
                <w:sz w:val="24"/>
                <w:szCs w:val="24"/>
                <w:highlight w:val="none"/>
                <w:lang w:val="en-US" w:eastAsia="zh-CN" w:bidi="ar"/>
              </w:rPr>
            </w:pPr>
            <w:r>
              <w:rPr>
                <w:rFonts w:hint="eastAsia" w:ascii="Times New Roman" w:hAnsi="Times New Roman" w:eastAsia="宋体" w:cs="宋体"/>
                <w:b w:val="0"/>
                <w:strike w:val="0"/>
                <w:dstrike w:val="0"/>
                <w:color w:val="auto"/>
                <w:kern w:val="2"/>
                <w:sz w:val="24"/>
                <w:szCs w:val="24"/>
                <w:highlight w:val="none"/>
                <w:lang w:val="en-US" w:eastAsia="zh-CN" w:bidi="ar"/>
              </w:rPr>
              <w:t>根据《环境影响评价技术导则 大气环境》（HJ2.2-2018）评价范围的确定原则，本项目为二级评价项目，评价范围边长取5km。</w:t>
            </w:r>
          </w:p>
          <w:p w14:paraId="2F1942D0">
            <w:pPr>
              <w:pStyle w:val="134"/>
              <w:keepNext w:val="0"/>
              <w:keepLines w:val="0"/>
              <w:pageBreakBefore w:val="0"/>
              <w:widowControl w:val="0"/>
              <w:numPr>
                <w:ilvl w:val="0"/>
                <w:numId w:val="9"/>
              </w:numPr>
              <w:suppressLineNumbers w:val="0"/>
              <w:kinsoku/>
              <w:wordWrap/>
              <w:overflowPunct/>
              <w:topLinePunct w:val="0"/>
              <w:autoSpaceDE/>
              <w:autoSpaceDN/>
              <w:bidi w:val="0"/>
              <w:adjustRightInd/>
              <w:snapToGrid/>
              <w:spacing w:beforeAutospacing="0" w:after="0" w:afterAutospacing="0" w:line="360" w:lineRule="auto"/>
              <w:ind w:left="0" w:right="0" w:firstLine="480" w:firstLineChars="200"/>
              <w:textAlignment w:val="auto"/>
              <w:rPr>
                <w:rFonts w:hint="eastAsia" w:ascii="Times New Roman" w:hAnsi="Times New Roman" w:eastAsia="宋体" w:cs="宋体"/>
                <w:b w:val="0"/>
                <w:strike w:val="0"/>
                <w:dstrike w:val="0"/>
                <w:color w:val="auto"/>
                <w:kern w:val="2"/>
                <w:sz w:val="24"/>
                <w:szCs w:val="24"/>
                <w:highlight w:val="none"/>
                <w:lang w:val="en-US" w:eastAsia="zh-CN" w:bidi="ar"/>
              </w:rPr>
            </w:pPr>
            <w:r>
              <w:rPr>
                <w:rFonts w:hint="eastAsia" w:ascii="Times New Roman" w:hAnsi="Times New Roman" w:eastAsia="宋体" w:cs="宋体"/>
                <w:b w:val="0"/>
                <w:strike w:val="0"/>
                <w:dstrike w:val="0"/>
                <w:color w:val="auto"/>
                <w:kern w:val="2"/>
                <w:sz w:val="24"/>
                <w:szCs w:val="24"/>
                <w:highlight w:val="none"/>
                <w:lang w:val="en-US" w:eastAsia="zh-CN" w:bidi="ar"/>
              </w:rPr>
              <w:t>评价时段</w:t>
            </w:r>
          </w:p>
          <w:p w14:paraId="3E2E18B6">
            <w:pPr>
              <w:pStyle w:val="134"/>
              <w:keepNext w:val="0"/>
              <w:keepLines w:val="0"/>
              <w:pageBreakBefore w:val="0"/>
              <w:widowControl w:val="0"/>
              <w:numPr>
                <w:ilvl w:val="0"/>
                <w:numId w:val="0"/>
              </w:numPr>
              <w:suppressLineNumbers w:val="0"/>
              <w:kinsoku/>
              <w:wordWrap/>
              <w:overflowPunct/>
              <w:topLinePunct w:val="0"/>
              <w:autoSpaceDE/>
              <w:autoSpaceDN/>
              <w:bidi w:val="0"/>
              <w:adjustRightInd/>
              <w:snapToGrid/>
              <w:spacing w:beforeAutospacing="0" w:after="0" w:afterAutospacing="0" w:line="360" w:lineRule="auto"/>
              <w:ind w:left="0" w:right="0" w:firstLine="480" w:firstLineChars="200"/>
              <w:textAlignment w:val="auto"/>
              <w:rPr>
                <w:rFonts w:hint="default" w:ascii="Times New Roman" w:hAnsi="Times New Roman" w:eastAsia="宋体" w:cs="宋体"/>
                <w:b w:val="0"/>
                <w:strike w:val="0"/>
                <w:dstrike w:val="0"/>
                <w:color w:val="auto"/>
                <w:kern w:val="2"/>
                <w:sz w:val="24"/>
                <w:szCs w:val="24"/>
                <w:highlight w:val="none"/>
                <w:lang w:val="en-US" w:eastAsia="zh-CN" w:bidi="ar"/>
              </w:rPr>
            </w:pPr>
            <w:r>
              <w:rPr>
                <w:rFonts w:hint="eastAsia" w:ascii="Times New Roman" w:hAnsi="Times New Roman" w:eastAsia="宋体" w:cs="宋体"/>
                <w:b w:val="0"/>
                <w:strike w:val="0"/>
                <w:dstrike w:val="0"/>
                <w:color w:val="auto"/>
                <w:kern w:val="2"/>
                <w:sz w:val="24"/>
                <w:szCs w:val="24"/>
                <w:highlight w:val="none"/>
                <w:lang w:val="en-US" w:eastAsia="zh-CN" w:bidi="ar"/>
              </w:rPr>
              <w:t>项目大气环境影响评价时段为营运期。</w:t>
            </w:r>
          </w:p>
          <w:p w14:paraId="56EB7CEB">
            <w:pPr>
              <w:keepNext w:val="0"/>
              <w:keepLines w:val="0"/>
              <w:widowControl w:val="0"/>
              <w:suppressLineNumbers w:val="0"/>
              <w:spacing w:before="0" w:beforeAutospacing="0" w:after="0" w:afterAutospacing="0" w:line="360" w:lineRule="auto"/>
              <w:ind w:left="0" w:right="0" w:firstLine="482" w:firstLineChars="200"/>
              <w:jc w:val="both"/>
              <w:rPr>
                <w:rFonts w:hint="default" w:ascii="Times New Roman" w:hAnsi="Times New Roman" w:eastAsia="宋体" w:cs="宋体"/>
                <w:b/>
                <w:bCs/>
                <w:color w:val="auto"/>
                <w:kern w:val="2"/>
                <w:sz w:val="24"/>
                <w:szCs w:val="24"/>
                <w:highlight w:val="none"/>
                <w:lang w:val="en-US" w:eastAsia="zh-CN" w:bidi="ar"/>
              </w:rPr>
            </w:pPr>
            <w:r>
              <w:rPr>
                <w:rFonts w:hint="eastAsia" w:ascii="Times New Roman" w:hAnsi="Times New Roman" w:eastAsia="宋体" w:cs="宋体"/>
                <w:b/>
                <w:bCs/>
                <w:color w:val="auto"/>
                <w:kern w:val="2"/>
                <w:sz w:val="24"/>
                <w:szCs w:val="24"/>
                <w:highlight w:val="none"/>
                <w:lang w:val="en-US" w:eastAsia="zh-CN" w:bidi="ar"/>
              </w:rPr>
              <w:t>2、评价标准</w:t>
            </w:r>
          </w:p>
          <w:p w14:paraId="12631C90">
            <w:pPr>
              <w:pStyle w:val="134"/>
              <w:keepNext w:val="0"/>
              <w:keepLines w:val="0"/>
              <w:pageBreakBefore w:val="0"/>
              <w:widowControl w:val="0"/>
              <w:suppressLineNumbers w:val="0"/>
              <w:kinsoku/>
              <w:wordWrap/>
              <w:overflowPunct/>
              <w:topLinePunct w:val="0"/>
              <w:autoSpaceDE/>
              <w:autoSpaceDN/>
              <w:bidi w:val="0"/>
              <w:adjustRightInd/>
              <w:snapToGrid/>
              <w:spacing w:beforeAutospacing="0" w:after="0" w:afterAutospacing="0" w:line="360" w:lineRule="auto"/>
              <w:ind w:left="0" w:right="0" w:firstLine="480" w:firstLineChars="200"/>
              <w:textAlignment w:val="auto"/>
              <w:rPr>
                <w:rFonts w:hint="default" w:ascii="Times New Roman" w:hAnsi="Times New Roman" w:eastAsia="宋体" w:cs="宋体"/>
                <w:b w:val="0"/>
                <w:strike w:val="0"/>
                <w:dstrike w:val="0"/>
                <w:color w:val="auto"/>
                <w:kern w:val="2"/>
                <w:sz w:val="24"/>
                <w:szCs w:val="24"/>
                <w:highlight w:val="none"/>
                <w:lang w:val="en-US" w:eastAsia="zh-CN" w:bidi="ar"/>
              </w:rPr>
            </w:pPr>
            <w:r>
              <w:rPr>
                <w:rFonts w:hint="eastAsia" w:ascii="Times New Roman" w:hAnsi="Times New Roman" w:eastAsia="宋体" w:cs="宋体"/>
                <w:b w:val="0"/>
                <w:strike w:val="0"/>
                <w:dstrike w:val="0"/>
                <w:color w:val="auto"/>
                <w:kern w:val="2"/>
                <w:sz w:val="24"/>
                <w:szCs w:val="24"/>
                <w:highlight w:val="none"/>
                <w:lang w:val="en-US" w:eastAsia="zh-CN" w:bidi="ar"/>
              </w:rPr>
              <w:t>（1）环境质量标准</w:t>
            </w:r>
          </w:p>
          <w:p w14:paraId="6195AA17">
            <w:pPr>
              <w:pStyle w:val="134"/>
              <w:keepNext w:val="0"/>
              <w:keepLines w:val="0"/>
              <w:pageBreakBefore w:val="0"/>
              <w:widowControl w:val="0"/>
              <w:suppressLineNumbers w:val="0"/>
              <w:kinsoku/>
              <w:wordWrap/>
              <w:overflowPunct/>
              <w:topLinePunct w:val="0"/>
              <w:autoSpaceDE/>
              <w:autoSpaceDN/>
              <w:bidi w:val="0"/>
              <w:adjustRightInd/>
              <w:snapToGrid/>
              <w:spacing w:beforeAutospacing="0" w:after="0" w:afterAutospacing="0" w:line="360" w:lineRule="auto"/>
              <w:ind w:left="0" w:right="0" w:firstLine="480" w:firstLineChars="200"/>
              <w:textAlignment w:val="auto"/>
              <w:rPr>
                <w:rFonts w:hint="eastAsia" w:ascii="Times New Roman" w:hAnsi="Times New Roman" w:eastAsia="宋体" w:cs="宋体"/>
                <w:b w:val="0"/>
                <w:strike w:val="0"/>
                <w:dstrike w:val="0"/>
                <w:color w:val="auto"/>
                <w:kern w:val="2"/>
                <w:sz w:val="24"/>
                <w:szCs w:val="24"/>
                <w:highlight w:val="none"/>
                <w:lang w:val="en-US" w:eastAsia="zh-CN" w:bidi="ar"/>
              </w:rPr>
            </w:pPr>
            <w:bookmarkStart w:id="29" w:name="_Toc247448051"/>
            <w:bookmarkStart w:id="30" w:name="_Toc246436443"/>
            <w:bookmarkStart w:id="31" w:name="_Toc247338676"/>
            <w:r>
              <w:rPr>
                <w:rFonts w:hint="eastAsia" w:ascii="Times New Roman" w:hAnsi="Times New Roman" w:eastAsia="宋体" w:cs="宋体"/>
                <w:b w:val="0"/>
                <w:strike w:val="0"/>
                <w:dstrike w:val="0"/>
                <w:color w:val="auto"/>
                <w:kern w:val="2"/>
                <w:sz w:val="24"/>
                <w:szCs w:val="24"/>
                <w:highlight w:val="none"/>
                <w:lang w:val="en-US" w:eastAsia="zh-CN" w:bidi="ar"/>
              </w:rPr>
              <w:t>本项目所在区域属于二类环境空气质量功能区，区域大气常规污染因子（SO</w:t>
            </w:r>
            <w:r>
              <w:rPr>
                <w:rFonts w:hint="eastAsia" w:ascii="Times New Roman" w:hAnsi="Times New Roman" w:eastAsia="宋体" w:cs="宋体"/>
                <w:b w:val="0"/>
                <w:strike w:val="0"/>
                <w:dstrike w:val="0"/>
                <w:color w:val="auto"/>
                <w:kern w:val="2"/>
                <w:sz w:val="24"/>
                <w:szCs w:val="24"/>
                <w:highlight w:val="none"/>
                <w:vertAlign w:val="subscript"/>
                <w:lang w:val="en-US" w:eastAsia="zh-CN" w:bidi="ar"/>
              </w:rPr>
              <w:t>2</w:t>
            </w:r>
            <w:r>
              <w:rPr>
                <w:rFonts w:hint="eastAsia" w:ascii="Times New Roman" w:hAnsi="Times New Roman" w:eastAsia="宋体" w:cs="宋体"/>
                <w:b w:val="0"/>
                <w:strike w:val="0"/>
                <w:dstrike w:val="0"/>
                <w:color w:val="auto"/>
                <w:kern w:val="2"/>
                <w:sz w:val="24"/>
                <w:szCs w:val="24"/>
                <w:highlight w:val="none"/>
                <w:lang w:val="en-US" w:eastAsia="zh-CN" w:bidi="ar"/>
              </w:rPr>
              <w:t>、NO</w:t>
            </w:r>
            <w:r>
              <w:rPr>
                <w:rFonts w:hint="eastAsia" w:ascii="Times New Roman" w:hAnsi="Times New Roman" w:eastAsia="宋体" w:cs="宋体"/>
                <w:b w:val="0"/>
                <w:strike w:val="0"/>
                <w:dstrike w:val="0"/>
                <w:color w:val="auto"/>
                <w:kern w:val="2"/>
                <w:sz w:val="24"/>
                <w:szCs w:val="24"/>
                <w:highlight w:val="none"/>
                <w:vertAlign w:val="subscript"/>
                <w:lang w:val="en-US" w:eastAsia="zh-CN" w:bidi="ar"/>
              </w:rPr>
              <w:t>2</w:t>
            </w:r>
            <w:r>
              <w:rPr>
                <w:rFonts w:hint="eastAsia" w:ascii="Times New Roman" w:hAnsi="Times New Roman" w:eastAsia="宋体" w:cs="宋体"/>
                <w:b w:val="0"/>
                <w:strike w:val="0"/>
                <w:dstrike w:val="0"/>
                <w:color w:val="auto"/>
                <w:kern w:val="2"/>
                <w:sz w:val="24"/>
                <w:szCs w:val="24"/>
                <w:highlight w:val="none"/>
                <w:lang w:val="en-US" w:eastAsia="zh-CN" w:bidi="ar"/>
              </w:rPr>
              <w:t>、CO、PM</w:t>
            </w:r>
            <w:r>
              <w:rPr>
                <w:rFonts w:hint="eastAsia" w:ascii="Times New Roman" w:hAnsi="Times New Roman" w:eastAsia="宋体" w:cs="宋体"/>
                <w:b w:val="0"/>
                <w:strike w:val="0"/>
                <w:dstrike w:val="0"/>
                <w:color w:val="auto"/>
                <w:kern w:val="2"/>
                <w:sz w:val="24"/>
                <w:szCs w:val="24"/>
                <w:highlight w:val="none"/>
                <w:vertAlign w:val="subscript"/>
                <w:lang w:val="en-US" w:eastAsia="zh-CN" w:bidi="ar"/>
              </w:rPr>
              <w:t>10</w:t>
            </w:r>
            <w:r>
              <w:rPr>
                <w:rFonts w:hint="eastAsia" w:ascii="Times New Roman" w:hAnsi="Times New Roman" w:eastAsia="宋体" w:cs="宋体"/>
                <w:b w:val="0"/>
                <w:strike w:val="0"/>
                <w:dstrike w:val="0"/>
                <w:color w:val="auto"/>
                <w:kern w:val="2"/>
                <w:sz w:val="24"/>
                <w:szCs w:val="24"/>
                <w:highlight w:val="none"/>
                <w:lang w:val="en-US" w:eastAsia="zh-CN" w:bidi="ar"/>
              </w:rPr>
              <w:t>、PM</w:t>
            </w:r>
            <w:r>
              <w:rPr>
                <w:rFonts w:hint="eastAsia" w:ascii="Times New Roman" w:hAnsi="Times New Roman" w:eastAsia="宋体" w:cs="宋体"/>
                <w:b w:val="0"/>
                <w:strike w:val="0"/>
                <w:dstrike w:val="0"/>
                <w:color w:val="auto"/>
                <w:kern w:val="2"/>
                <w:sz w:val="24"/>
                <w:szCs w:val="24"/>
                <w:highlight w:val="none"/>
                <w:vertAlign w:val="subscript"/>
                <w:lang w:val="en-US" w:eastAsia="zh-CN" w:bidi="ar"/>
              </w:rPr>
              <w:t>2.5</w:t>
            </w:r>
            <w:r>
              <w:rPr>
                <w:rFonts w:hint="eastAsia" w:ascii="Times New Roman" w:hAnsi="Times New Roman" w:eastAsia="宋体" w:cs="宋体"/>
                <w:b w:val="0"/>
                <w:strike w:val="0"/>
                <w:dstrike w:val="0"/>
                <w:color w:val="auto"/>
                <w:kern w:val="2"/>
                <w:sz w:val="24"/>
                <w:szCs w:val="24"/>
                <w:highlight w:val="none"/>
                <w:lang w:val="en-US" w:eastAsia="zh-CN" w:bidi="ar"/>
              </w:rPr>
              <w:t>、臭氧）、特征污染因子（TSP）执行《环境空气质量标准》（GB3095-2012）及2018年修改单中二级标准，特征污染因子（氨、硫化氢、甲醛、氯、氯化氢、硫酸）引用《环境影响评价技术导则 大气环境》（</w:t>
            </w:r>
            <w:r>
              <w:rPr>
                <w:rFonts w:hint="default" w:ascii="Times New Roman" w:hAnsi="Times New Roman" w:eastAsia="宋体" w:cs="宋体"/>
                <w:b w:val="0"/>
                <w:strike w:val="0"/>
                <w:dstrike w:val="0"/>
                <w:color w:val="auto"/>
                <w:kern w:val="2"/>
                <w:sz w:val="24"/>
                <w:szCs w:val="24"/>
                <w:highlight w:val="none"/>
                <w:lang w:val="en-US" w:eastAsia="zh-CN" w:bidi="ar"/>
              </w:rPr>
              <w:t>HJ2.2-2018</w:t>
            </w:r>
            <w:r>
              <w:rPr>
                <w:rFonts w:hint="eastAsia" w:ascii="Times New Roman" w:hAnsi="Times New Roman" w:eastAsia="宋体" w:cs="宋体"/>
                <w:b w:val="0"/>
                <w:strike w:val="0"/>
                <w:dstrike w:val="0"/>
                <w:color w:val="auto"/>
                <w:kern w:val="2"/>
                <w:sz w:val="24"/>
                <w:szCs w:val="24"/>
                <w:highlight w:val="none"/>
                <w:lang w:val="en-US" w:eastAsia="zh-CN" w:bidi="ar"/>
              </w:rPr>
              <w:t>）附录</w:t>
            </w:r>
            <w:r>
              <w:rPr>
                <w:rFonts w:hint="default" w:ascii="Times New Roman" w:hAnsi="Times New Roman" w:eastAsia="宋体" w:cs="宋体"/>
                <w:b w:val="0"/>
                <w:strike w:val="0"/>
                <w:dstrike w:val="0"/>
                <w:color w:val="auto"/>
                <w:kern w:val="2"/>
                <w:sz w:val="24"/>
                <w:szCs w:val="24"/>
                <w:highlight w:val="none"/>
                <w:lang w:val="en-US" w:eastAsia="zh-CN" w:bidi="ar"/>
              </w:rPr>
              <w:t>D</w:t>
            </w:r>
            <w:r>
              <w:rPr>
                <w:rFonts w:hint="eastAsia" w:ascii="Times New Roman" w:hAnsi="Times New Roman" w:eastAsia="宋体" w:cs="宋体"/>
                <w:b w:val="0"/>
                <w:strike w:val="0"/>
                <w:dstrike w:val="0"/>
                <w:color w:val="auto"/>
                <w:kern w:val="2"/>
                <w:sz w:val="24"/>
                <w:szCs w:val="24"/>
                <w:highlight w:val="none"/>
                <w:lang w:val="en-US" w:eastAsia="zh-CN" w:bidi="ar"/>
              </w:rPr>
              <w:t>中的参考限值，特征污染因子（非甲烷总烃）引用《大气污染物综合排放标准详解》中的建议值，具体标准详见表7-7。</w:t>
            </w:r>
          </w:p>
          <w:p w14:paraId="3B156D78">
            <w:pPr>
              <w:keepNext w:val="0"/>
              <w:keepLines w:val="0"/>
              <w:suppressLineNumbers w:val="0"/>
              <w:adjustRightInd w:val="0"/>
              <w:snapToGrid w:val="0"/>
              <w:spacing w:before="0" w:beforeAutospacing="0" w:after="0" w:afterAutospacing="0" w:line="360" w:lineRule="auto"/>
              <w:ind w:left="0" w:right="0"/>
              <w:jc w:val="center"/>
              <w:rPr>
                <w:rFonts w:hint="default" w:ascii="Times New Roman" w:hAnsi="Times New Roman" w:eastAsia="宋体" w:cs="Times New Roman"/>
                <w:b/>
                <w:strike w:val="0"/>
                <w:color w:val="auto"/>
                <w:sz w:val="24"/>
                <w:highlight w:val="none"/>
                <w:lang w:val="en-US" w:eastAsia="zh-CN"/>
              </w:rPr>
            </w:pPr>
            <w:r>
              <w:rPr>
                <w:rFonts w:hint="default" w:ascii="Times New Roman" w:hAnsi="Times New Roman" w:eastAsia="宋体" w:cs="Times New Roman"/>
                <w:b/>
                <w:strike w:val="0"/>
                <w:color w:val="auto"/>
                <w:sz w:val="24"/>
                <w:highlight w:val="none"/>
              </w:rPr>
              <w:t>表</w:t>
            </w:r>
            <w:r>
              <w:rPr>
                <w:rFonts w:hint="eastAsia" w:ascii="Times New Roman" w:hAnsi="Times New Roman" w:eastAsia="宋体" w:cs="Times New Roman"/>
                <w:b/>
                <w:strike w:val="0"/>
                <w:color w:val="auto"/>
                <w:sz w:val="24"/>
                <w:highlight w:val="none"/>
                <w:lang w:val="en-US" w:eastAsia="zh-CN"/>
              </w:rPr>
              <w:t>7-7  环境空气质量标准</w:t>
            </w:r>
          </w:p>
          <w:tbl>
            <w:tblPr>
              <w:tblStyle w:val="32"/>
              <w:tblW w:w="4998"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
            <w:tblGrid>
              <w:gridCol w:w="306"/>
              <w:gridCol w:w="1100"/>
              <w:gridCol w:w="771"/>
              <w:gridCol w:w="2019"/>
              <w:gridCol w:w="1252"/>
              <w:gridCol w:w="2735"/>
            </w:tblGrid>
            <w:tr w14:paraId="7B83A9C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cantSplit/>
                <w:trHeight w:val="340" w:hRule="atLeast"/>
                <w:jc w:val="center"/>
              </w:trPr>
              <w:tc>
                <w:tcPr>
                  <w:tcW w:w="187" w:type="pct"/>
                  <w:noWrap w:val="0"/>
                  <w:vAlign w:val="center"/>
                </w:tcPr>
                <w:p w14:paraId="02A71A93">
                  <w:pPr>
                    <w:keepNext w:val="0"/>
                    <w:keepLines w:val="0"/>
                    <w:suppressLineNumbers w:val="0"/>
                    <w:spacing w:before="0" w:beforeAutospacing="0" w:after="0" w:afterAutospacing="0" w:line="240" w:lineRule="auto"/>
                    <w:ind w:left="0" w:right="0" w:firstLine="0" w:firstLineChars="0"/>
                    <w:jc w:val="center"/>
                    <w:rPr>
                      <w:rFonts w:hint="default" w:ascii="Times New Roman" w:hAnsi="Times New Roman" w:eastAsia="宋体"/>
                      <w:b w:val="0"/>
                      <w:bCs/>
                      <w:caps w:val="0"/>
                      <w:smallCaps w:val="0"/>
                      <w:snapToGrid/>
                      <w:color w:val="auto"/>
                      <w:sz w:val="21"/>
                      <w:szCs w:val="21"/>
                      <w:highlight w:val="none"/>
                    </w:rPr>
                  </w:pPr>
                  <w:r>
                    <w:rPr>
                      <w:rFonts w:hint="eastAsia" w:ascii="Times New Roman" w:hAnsi="Times New Roman" w:eastAsia="宋体"/>
                      <w:b w:val="0"/>
                      <w:bCs/>
                      <w:caps w:val="0"/>
                      <w:smallCaps w:val="0"/>
                      <w:snapToGrid/>
                      <w:color w:val="auto"/>
                      <w:sz w:val="21"/>
                      <w:szCs w:val="21"/>
                      <w:highlight w:val="none"/>
                    </w:rPr>
                    <w:t>序号</w:t>
                  </w:r>
                </w:p>
              </w:tc>
              <w:tc>
                <w:tcPr>
                  <w:tcW w:w="672" w:type="pct"/>
                  <w:noWrap w:val="0"/>
                  <w:vAlign w:val="center"/>
                </w:tcPr>
                <w:p w14:paraId="1CFF350A">
                  <w:pPr>
                    <w:keepNext w:val="0"/>
                    <w:keepLines w:val="0"/>
                    <w:suppressLineNumbers w:val="0"/>
                    <w:spacing w:before="0" w:beforeAutospacing="0" w:after="0" w:afterAutospacing="0" w:line="240" w:lineRule="auto"/>
                    <w:ind w:left="0" w:right="0" w:firstLine="0" w:firstLineChars="0"/>
                    <w:jc w:val="center"/>
                    <w:rPr>
                      <w:rFonts w:hint="default" w:ascii="Times New Roman" w:hAnsi="Times New Roman" w:eastAsia="宋体"/>
                      <w:b w:val="0"/>
                      <w:bCs/>
                      <w:caps w:val="0"/>
                      <w:smallCaps w:val="0"/>
                      <w:snapToGrid/>
                      <w:color w:val="auto"/>
                      <w:sz w:val="21"/>
                      <w:szCs w:val="21"/>
                      <w:highlight w:val="none"/>
                    </w:rPr>
                  </w:pPr>
                  <w:r>
                    <w:rPr>
                      <w:rFonts w:hint="default" w:ascii="Times New Roman" w:hAnsi="Times New Roman" w:eastAsia="宋体"/>
                      <w:b w:val="0"/>
                      <w:bCs/>
                      <w:caps w:val="0"/>
                      <w:smallCaps w:val="0"/>
                      <w:snapToGrid/>
                      <w:color w:val="auto"/>
                      <w:sz w:val="21"/>
                      <w:szCs w:val="21"/>
                      <w:highlight w:val="none"/>
                    </w:rPr>
                    <w:t>污染物名称</w:t>
                  </w:r>
                </w:p>
              </w:tc>
              <w:tc>
                <w:tcPr>
                  <w:tcW w:w="471" w:type="pct"/>
                  <w:noWrap w:val="0"/>
                  <w:vAlign w:val="center"/>
                </w:tcPr>
                <w:p w14:paraId="655F5BE4">
                  <w:pPr>
                    <w:keepNext w:val="0"/>
                    <w:keepLines w:val="0"/>
                    <w:suppressLineNumbers w:val="0"/>
                    <w:spacing w:before="0" w:beforeAutospacing="0" w:after="0" w:afterAutospacing="0" w:line="240" w:lineRule="auto"/>
                    <w:ind w:left="0" w:right="0" w:firstLine="0" w:firstLineChars="0"/>
                    <w:jc w:val="center"/>
                    <w:rPr>
                      <w:rFonts w:hint="eastAsia" w:ascii="Times New Roman" w:hAnsi="Times New Roman" w:eastAsia="宋体"/>
                      <w:b w:val="0"/>
                      <w:bCs/>
                      <w:caps w:val="0"/>
                      <w:smallCaps w:val="0"/>
                      <w:snapToGrid/>
                      <w:color w:val="auto"/>
                      <w:sz w:val="21"/>
                      <w:szCs w:val="21"/>
                      <w:highlight w:val="none"/>
                      <w:lang w:eastAsia="zh-CN"/>
                    </w:rPr>
                  </w:pPr>
                  <w:r>
                    <w:rPr>
                      <w:rFonts w:hint="eastAsia" w:ascii="Times New Roman" w:hAnsi="Times New Roman" w:eastAsia="宋体"/>
                      <w:b w:val="0"/>
                      <w:bCs/>
                      <w:caps w:val="0"/>
                      <w:smallCaps w:val="0"/>
                      <w:snapToGrid/>
                      <w:color w:val="auto"/>
                      <w:sz w:val="21"/>
                      <w:szCs w:val="21"/>
                      <w:highlight w:val="none"/>
                      <w:lang w:eastAsia="zh-CN"/>
                    </w:rPr>
                    <w:t>单位</w:t>
                  </w:r>
                </w:p>
              </w:tc>
              <w:tc>
                <w:tcPr>
                  <w:tcW w:w="1233" w:type="pct"/>
                  <w:noWrap w:val="0"/>
                  <w:vAlign w:val="center"/>
                </w:tcPr>
                <w:p w14:paraId="7BBEC7D2">
                  <w:pPr>
                    <w:keepNext w:val="0"/>
                    <w:keepLines w:val="0"/>
                    <w:suppressLineNumbers w:val="0"/>
                    <w:spacing w:before="0" w:beforeAutospacing="0" w:after="0" w:afterAutospacing="0" w:line="240" w:lineRule="auto"/>
                    <w:ind w:left="0" w:right="0" w:firstLine="0" w:firstLineChars="0"/>
                    <w:jc w:val="center"/>
                    <w:rPr>
                      <w:rFonts w:hint="default" w:ascii="Times New Roman" w:hAnsi="Times New Roman" w:eastAsia="宋体"/>
                      <w:b w:val="0"/>
                      <w:bCs/>
                      <w:caps w:val="0"/>
                      <w:smallCaps w:val="0"/>
                      <w:snapToGrid/>
                      <w:color w:val="auto"/>
                      <w:sz w:val="21"/>
                      <w:szCs w:val="21"/>
                      <w:highlight w:val="none"/>
                      <w:lang w:val="en-US" w:eastAsia="zh-CN"/>
                    </w:rPr>
                  </w:pPr>
                  <w:r>
                    <w:rPr>
                      <w:rFonts w:hint="eastAsia"/>
                      <w:b w:val="0"/>
                      <w:bCs/>
                      <w:caps w:val="0"/>
                      <w:smallCaps w:val="0"/>
                      <w:snapToGrid/>
                      <w:color w:val="auto"/>
                      <w:sz w:val="21"/>
                      <w:szCs w:val="21"/>
                      <w:highlight w:val="none"/>
                      <w:lang w:val="en-US" w:eastAsia="zh-CN"/>
                    </w:rPr>
                    <w:t>平均时间</w:t>
                  </w:r>
                </w:p>
              </w:tc>
              <w:tc>
                <w:tcPr>
                  <w:tcW w:w="765" w:type="pct"/>
                  <w:noWrap w:val="0"/>
                  <w:vAlign w:val="center"/>
                </w:tcPr>
                <w:p w14:paraId="67DECBA0">
                  <w:pPr>
                    <w:keepNext w:val="0"/>
                    <w:keepLines w:val="0"/>
                    <w:suppressLineNumbers w:val="0"/>
                    <w:spacing w:before="0" w:beforeAutospacing="0" w:after="0" w:afterAutospacing="0" w:line="240" w:lineRule="auto"/>
                    <w:ind w:left="0" w:right="0" w:firstLine="0" w:firstLineChars="0"/>
                    <w:jc w:val="center"/>
                    <w:rPr>
                      <w:rFonts w:hint="eastAsia" w:ascii="Times New Roman" w:hAnsi="Times New Roman" w:eastAsia="宋体"/>
                      <w:b w:val="0"/>
                      <w:bCs/>
                      <w:caps w:val="0"/>
                      <w:smallCaps w:val="0"/>
                      <w:snapToGrid/>
                      <w:color w:val="auto"/>
                      <w:sz w:val="21"/>
                      <w:szCs w:val="21"/>
                      <w:highlight w:val="none"/>
                      <w:lang w:eastAsia="zh-CN"/>
                    </w:rPr>
                  </w:pPr>
                  <w:r>
                    <w:rPr>
                      <w:rFonts w:hint="eastAsia"/>
                      <w:b w:val="0"/>
                      <w:bCs/>
                      <w:caps w:val="0"/>
                      <w:smallCaps w:val="0"/>
                      <w:snapToGrid/>
                      <w:color w:val="auto"/>
                      <w:sz w:val="21"/>
                      <w:szCs w:val="21"/>
                      <w:highlight w:val="none"/>
                      <w:lang w:eastAsia="zh-CN"/>
                    </w:rPr>
                    <w:t>二级浓度限值</w:t>
                  </w:r>
                </w:p>
              </w:tc>
              <w:tc>
                <w:tcPr>
                  <w:tcW w:w="1670" w:type="pct"/>
                  <w:noWrap w:val="0"/>
                  <w:vAlign w:val="center"/>
                </w:tcPr>
                <w:p w14:paraId="395C2586">
                  <w:pPr>
                    <w:keepNext w:val="0"/>
                    <w:keepLines w:val="0"/>
                    <w:suppressLineNumbers w:val="0"/>
                    <w:spacing w:before="0" w:beforeAutospacing="0" w:after="0" w:afterAutospacing="0" w:line="240" w:lineRule="auto"/>
                    <w:ind w:left="0" w:right="0" w:firstLine="0" w:firstLineChars="0"/>
                    <w:jc w:val="center"/>
                    <w:rPr>
                      <w:rFonts w:hint="eastAsia" w:ascii="Times New Roman" w:hAnsi="Times New Roman" w:eastAsia="宋体"/>
                      <w:b w:val="0"/>
                      <w:bCs/>
                      <w:caps w:val="0"/>
                      <w:smallCaps w:val="0"/>
                      <w:snapToGrid/>
                      <w:color w:val="auto"/>
                      <w:sz w:val="21"/>
                      <w:szCs w:val="21"/>
                      <w:highlight w:val="none"/>
                      <w:lang w:eastAsia="zh-CN"/>
                    </w:rPr>
                  </w:pPr>
                  <w:r>
                    <w:rPr>
                      <w:rFonts w:hint="eastAsia"/>
                      <w:b w:val="0"/>
                      <w:bCs/>
                      <w:caps w:val="0"/>
                      <w:smallCaps w:val="0"/>
                      <w:snapToGrid/>
                      <w:color w:val="auto"/>
                      <w:sz w:val="21"/>
                      <w:szCs w:val="21"/>
                      <w:highlight w:val="none"/>
                      <w:lang w:eastAsia="zh-CN"/>
                    </w:rPr>
                    <w:t>执行标准</w:t>
                  </w:r>
                </w:p>
              </w:tc>
            </w:tr>
            <w:tr w14:paraId="2B7FC99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cantSplit/>
                <w:trHeight w:val="340" w:hRule="atLeast"/>
                <w:jc w:val="center"/>
              </w:trPr>
              <w:tc>
                <w:tcPr>
                  <w:tcW w:w="187" w:type="pct"/>
                  <w:vMerge w:val="restart"/>
                  <w:noWrap w:val="0"/>
                  <w:vAlign w:val="center"/>
                </w:tcPr>
                <w:p w14:paraId="194F7C77">
                  <w:pPr>
                    <w:keepNext w:val="0"/>
                    <w:keepLines w:val="0"/>
                    <w:suppressLineNumbers w:val="0"/>
                    <w:spacing w:before="0" w:beforeAutospacing="0" w:after="0" w:afterAutospacing="0" w:line="240" w:lineRule="auto"/>
                    <w:ind w:left="0" w:right="0" w:firstLine="0" w:firstLineChars="0"/>
                    <w:jc w:val="center"/>
                    <w:rPr>
                      <w:rFonts w:hint="default" w:ascii="Times New Roman" w:hAnsi="Times New Roman" w:eastAsia="宋体"/>
                      <w:b w:val="0"/>
                      <w:bCs/>
                      <w:caps w:val="0"/>
                      <w:smallCaps w:val="0"/>
                      <w:snapToGrid/>
                      <w:color w:val="auto"/>
                      <w:sz w:val="21"/>
                      <w:szCs w:val="21"/>
                      <w:highlight w:val="none"/>
                    </w:rPr>
                  </w:pPr>
                  <w:r>
                    <w:rPr>
                      <w:rFonts w:hint="default" w:ascii="Times New Roman" w:hAnsi="Times New Roman" w:eastAsia="宋体"/>
                      <w:b w:val="0"/>
                      <w:bCs/>
                      <w:caps w:val="0"/>
                      <w:smallCaps w:val="0"/>
                      <w:snapToGrid/>
                      <w:color w:val="auto"/>
                      <w:sz w:val="21"/>
                      <w:szCs w:val="21"/>
                      <w:highlight w:val="none"/>
                    </w:rPr>
                    <w:t>1</w:t>
                  </w:r>
                </w:p>
              </w:tc>
              <w:tc>
                <w:tcPr>
                  <w:tcW w:w="672" w:type="pct"/>
                  <w:vMerge w:val="restart"/>
                  <w:noWrap w:val="0"/>
                  <w:vAlign w:val="center"/>
                </w:tcPr>
                <w:p w14:paraId="0978E4B2">
                  <w:pPr>
                    <w:keepNext w:val="0"/>
                    <w:keepLines w:val="0"/>
                    <w:suppressLineNumbers w:val="0"/>
                    <w:spacing w:before="0" w:beforeAutospacing="0" w:after="0" w:afterAutospacing="0" w:line="240" w:lineRule="auto"/>
                    <w:ind w:left="0" w:right="0" w:firstLine="0" w:firstLineChars="0"/>
                    <w:jc w:val="center"/>
                    <w:rPr>
                      <w:rFonts w:hint="default" w:ascii="Times New Roman" w:hAnsi="Times New Roman" w:eastAsia="宋体"/>
                      <w:b w:val="0"/>
                      <w:bCs/>
                      <w:caps w:val="0"/>
                      <w:smallCaps w:val="0"/>
                      <w:snapToGrid/>
                      <w:color w:val="auto"/>
                      <w:sz w:val="21"/>
                      <w:szCs w:val="21"/>
                      <w:highlight w:val="none"/>
                    </w:rPr>
                  </w:pPr>
                  <w:r>
                    <w:rPr>
                      <w:rFonts w:hint="default" w:ascii="Times New Roman" w:hAnsi="Times New Roman" w:eastAsia="宋体"/>
                      <w:b w:val="0"/>
                      <w:bCs/>
                      <w:caps w:val="0"/>
                      <w:smallCaps w:val="0"/>
                      <w:snapToGrid/>
                      <w:color w:val="auto"/>
                      <w:sz w:val="21"/>
                      <w:szCs w:val="21"/>
                      <w:highlight w:val="none"/>
                    </w:rPr>
                    <w:t>SO</w:t>
                  </w:r>
                  <w:r>
                    <w:rPr>
                      <w:rFonts w:hint="default" w:ascii="Times New Roman" w:hAnsi="Times New Roman" w:eastAsia="宋体"/>
                      <w:b w:val="0"/>
                      <w:bCs/>
                      <w:caps w:val="0"/>
                      <w:smallCaps w:val="0"/>
                      <w:snapToGrid/>
                      <w:color w:val="auto"/>
                      <w:sz w:val="21"/>
                      <w:szCs w:val="21"/>
                      <w:highlight w:val="none"/>
                      <w:vertAlign w:val="subscript"/>
                    </w:rPr>
                    <w:t>2</w:t>
                  </w:r>
                </w:p>
              </w:tc>
              <w:tc>
                <w:tcPr>
                  <w:tcW w:w="471" w:type="pct"/>
                  <w:vMerge w:val="restart"/>
                  <w:noWrap w:val="0"/>
                  <w:vAlign w:val="center"/>
                </w:tcPr>
                <w:p w14:paraId="41D39247">
                  <w:pPr>
                    <w:keepNext w:val="0"/>
                    <w:keepLines w:val="0"/>
                    <w:suppressLineNumbers w:val="0"/>
                    <w:spacing w:before="0" w:beforeAutospacing="0" w:after="0" w:afterAutospacing="0" w:line="240" w:lineRule="auto"/>
                    <w:ind w:left="0" w:right="0" w:firstLine="0" w:firstLineChars="0"/>
                    <w:jc w:val="center"/>
                    <w:rPr>
                      <w:rFonts w:hint="default" w:ascii="Times New Roman" w:hAnsi="Times New Roman" w:eastAsia="宋体"/>
                      <w:b w:val="0"/>
                      <w:bCs/>
                      <w:caps w:val="0"/>
                      <w:smallCaps w:val="0"/>
                      <w:snapToGrid/>
                      <w:color w:val="auto"/>
                      <w:sz w:val="21"/>
                      <w:szCs w:val="21"/>
                      <w:highlight w:val="none"/>
                    </w:rPr>
                  </w:pPr>
                  <w:r>
                    <w:rPr>
                      <w:rFonts w:hint="default" w:ascii="Times New Roman" w:hAnsi="Times New Roman" w:eastAsia="宋体"/>
                      <w:b w:val="0"/>
                      <w:bCs/>
                      <w:caps w:val="0"/>
                      <w:smallCaps w:val="0"/>
                      <w:snapToGrid/>
                      <w:color w:val="auto"/>
                      <w:sz w:val="21"/>
                      <w:szCs w:val="21"/>
                      <w:highlight w:val="none"/>
                    </w:rPr>
                    <w:t>μg/m</w:t>
                  </w:r>
                  <w:r>
                    <w:rPr>
                      <w:rFonts w:hint="default" w:ascii="Times New Roman" w:hAnsi="Times New Roman" w:eastAsia="宋体"/>
                      <w:b w:val="0"/>
                      <w:bCs/>
                      <w:caps w:val="0"/>
                      <w:smallCaps w:val="0"/>
                      <w:snapToGrid/>
                      <w:color w:val="auto"/>
                      <w:sz w:val="21"/>
                      <w:szCs w:val="21"/>
                      <w:highlight w:val="none"/>
                      <w:vertAlign w:val="superscript"/>
                    </w:rPr>
                    <w:t>3</w:t>
                  </w:r>
                </w:p>
              </w:tc>
              <w:tc>
                <w:tcPr>
                  <w:tcW w:w="1233" w:type="pct"/>
                  <w:noWrap w:val="0"/>
                  <w:vAlign w:val="center"/>
                </w:tcPr>
                <w:p w14:paraId="4FA431E3">
                  <w:pPr>
                    <w:keepNext w:val="0"/>
                    <w:keepLines w:val="0"/>
                    <w:suppressLineNumbers w:val="0"/>
                    <w:spacing w:before="0" w:beforeAutospacing="0" w:after="0" w:afterAutospacing="0" w:line="240" w:lineRule="auto"/>
                    <w:ind w:left="0" w:right="0" w:firstLine="0" w:firstLineChars="0"/>
                    <w:jc w:val="center"/>
                    <w:rPr>
                      <w:rFonts w:hint="eastAsia" w:ascii="Times New Roman" w:hAnsi="Times New Roman" w:eastAsia="宋体"/>
                      <w:b w:val="0"/>
                      <w:bCs/>
                      <w:caps w:val="0"/>
                      <w:smallCaps w:val="0"/>
                      <w:snapToGrid/>
                      <w:color w:val="auto"/>
                      <w:sz w:val="21"/>
                      <w:szCs w:val="21"/>
                      <w:highlight w:val="none"/>
                      <w:lang w:eastAsia="zh-CN"/>
                    </w:rPr>
                  </w:pPr>
                  <w:r>
                    <w:rPr>
                      <w:rFonts w:hint="eastAsia"/>
                      <w:b w:val="0"/>
                      <w:bCs/>
                      <w:caps w:val="0"/>
                      <w:smallCaps w:val="0"/>
                      <w:snapToGrid/>
                      <w:color w:val="auto"/>
                      <w:sz w:val="21"/>
                      <w:szCs w:val="21"/>
                      <w:highlight w:val="none"/>
                      <w:lang w:eastAsia="zh-CN"/>
                    </w:rPr>
                    <w:t>年平均</w:t>
                  </w:r>
                </w:p>
              </w:tc>
              <w:tc>
                <w:tcPr>
                  <w:tcW w:w="765" w:type="pct"/>
                  <w:noWrap w:val="0"/>
                  <w:vAlign w:val="center"/>
                </w:tcPr>
                <w:p w14:paraId="49B37E51">
                  <w:pPr>
                    <w:keepNext w:val="0"/>
                    <w:keepLines w:val="0"/>
                    <w:suppressLineNumbers w:val="0"/>
                    <w:spacing w:before="0" w:beforeAutospacing="0" w:after="0" w:afterAutospacing="0" w:line="240" w:lineRule="auto"/>
                    <w:ind w:left="0" w:right="0" w:firstLine="0" w:firstLineChars="0"/>
                    <w:jc w:val="center"/>
                    <w:rPr>
                      <w:rFonts w:hint="default" w:ascii="Times New Roman" w:hAnsi="Times New Roman" w:eastAsia="宋体"/>
                      <w:b w:val="0"/>
                      <w:bCs/>
                      <w:caps w:val="0"/>
                      <w:smallCaps w:val="0"/>
                      <w:snapToGrid/>
                      <w:color w:val="auto"/>
                      <w:sz w:val="21"/>
                      <w:szCs w:val="21"/>
                      <w:highlight w:val="none"/>
                      <w:lang w:val="en-US" w:eastAsia="zh-CN"/>
                    </w:rPr>
                  </w:pPr>
                  <w:r>
                    <w:rPr>
                      <w:rFonts w:hint="eastAsia"/>
                      <w:b w:val="0"/>
                      <w:bCs/>
                      <w:caps w:val="0"/>
                      <w:smallCaps w:val="0"/>
                      <w:snapToGrid/>
                      <w:color w:val="auto"/>
                      <w:sz w:val="21"/>
                      <w:szCs w:val="21"/>
                      <w:highlight w:val="none"/>
                      <w:lang w:val="en-US" w:eastAsia="zh-CN"/>
                    </w:rPr>
                    <w:t>60</w:t>
                  </w:r>
                </w:p>
              </w:tc>
              <w:tc>
                <w:tcPr>
                  <w:tcW w:w="1670" w:type="pct"/>
                  <w:vMerge w:val="restart"/>
                  <w:noWrap w:val="0"/>
                  <w:vAlign w:val="center"/>
                </w:tcPr>
                <w:p w14:paraId="6FCBACD2">
                  <w:pPr>
                    <w:keepNext w:val="0"/>
                    <w:keepLines w:val="0"/>
                    <w:suppressLineNumbers w:val="0"/>
                    <w:spacing w:before="0" w:beforeAutospacing="0" w:after="0" w:afterAutospacing="0" w:line="240" w:lineRule="auto"/>
                    <w:ind w:left="0" w:right="0" w:firstLine="0" w:firstLineChars="0"/>
                    <w:jc w:val="center"/>
                    <w:rPr>
                      <w:rFonts w:hint="default" w:ascii="Times New Roman" w:hAnsi="Times New Roman" w:eastAsia="宋体"/>
                      <w:b w:val="0"/>
                      <w:bCs/>
                      <w:caps w:val="0"/>
                      <w:smallCaps w:val="0"/>
                      <w:snapToGrid/>
                      <w:color w:val="auto"/>
                      <w:sz w:val="21"/>
                      <w:szCs w:val="21"/>
                      <w:highlight w:val="none"/>
                    </w:rPr>
                  </w:pPr>
                  <w:r>
                    <w:rPr>
                      <w:rFonts w:hint="default" w:ascii="Times New Roman" w:hAnsi="Times New Roman" w:eastAsia="宋体"/>
                      <w:b w:val="0"/>
                      <w:bCs/>
                      <w:caps w:val="0"/>
                      <w:smallCaps w:val="0"/>
                      <w:snapToGrid/>
                      <w:color w:val="auto"/>
                      <w:sz w:val="21"/>
                      <w:szCs w:val="21"/>
                      <w:highlight w:val="none"/>
                    </w:rPr>
                    <w:t>《环境空气质量标准》（GB3095-2012）</w:t>
                  </w:r>
                  <w:r>
                    <w:rPr>
                      <w:rFonts w:hint="eastAsia" w:ascii="Times New Roman" w:hAnsi="Times New Roman" w:eastAsia="宋体"/>
                      <w:b w:val="0"/>
                      <w:bCs/>
                      <w:caps w:val="0"/>
                      <w:smallCaps w:val="0"/>
                      <w:snapToGrid/>
                      <w:color w:val="auto"/>
                      <w:sz w:val="21"/>
                      <w:szCs w:val="21"/>
                      <w:highlight w:val="none"/>
                    </w:rPr>
                    <w:t>及2018年修改单</w:t>
                  </w:r>
                  <w:r>
                    <w:rPr>
                      <w:rFonts w:hint="default" w:ascii="Times New Roman" w:hAnsi="Times New Roman" w:eastAsia="宋体"/>
                      <w:b w:val="0"/>
                      <w:bCs/>
                      <w:caps w:val="0"/>
                      <w:smallCaps w:val="0"/>
                      <w:snapToGrid/>
                      <w:color w:val="auto"/>
                      <w:sz w:val="21"/>
                      <w:szCs w:val="21"/>
                      <w:highlight w:val="none"/>
                    </w:rPr>
                    <w:t>中二级标准</w:t>
                  </w:r>
                </w:p>
              </w:tc>
            </w:tr>
            <w:tr w14:paraId="21BC7EA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cantSplit/>
                <w:trHeight w:val="340" w:hRule="atLeast"/>
                <w:jc w:val="center"/>
              </w:trPr>
              <w:tc>
                <w:tcPr>
                  <w:tcW w:w="187" w:type="pct"/>
                  <w:vMerge w:val="continue"/>
                  <w:noWrap w:val="0"/>
                  <w:vAlign w:val="center"/>
                </w:tcPr>
                <w:p w14:paraId="431E8502">
                  <w:pPr>
                    <w:keepNext w:val="0"/>
                    <w:keepLines w:val="0"/>
                    <w:suppressLineNumbers w:val="0"/>
                    <w:spacing w:before="0" w:beforeAutospacing="0" w:after="0" w:afterAutospacing="0" w:line="240" w:lineRule="auto"/>
                    <w:ind w:left="0" w:right="0" w:firstLine="0" w:firstLineChars="0"/>
                    <w:jc w:val="center"/>
                    <w:rPr>
                      <w:rFonts w:hint="default"/>
                      <w:color w:val="auto"/>
                      <w:sz w:val="21"/>
                      <w:szCs w:val="21"/>
                      <w:highlight w:val="none"/>
                    </w:rPr>
                  </w:pPr>
                </w:p>
              </w:tc>
              <w:tc>
                <w:tcPr>
                  <w:tcW w:w="672" w:type="pct"/>
                  <w:vMerge w:val="continue"/>
                  <w:noWrap w:val="0"/>
                  <w:vAlign w:val="center"/>
                </w:tcPr>
                <w:p w14:paraId="5B7BFEA0">
                  <w:pPr>
                    <w:keepNext w:val="0"/>
                    <w:keepLines w:val="0"/>
                    <w:suppressLineNumbers w:val="0"/>
                    <w:spacing w:before="0" w:beforeAutospacing="0" w:after="0" w:afterAutospacing="0" w:line="240" w:lineRule="auto"/>
                    <w:ind w:left="0" w:right="0" w:firstLine="0" w:firstLineChars="0"/>
                    <w:jc w:val="center"/>
                    <w:rPr>
                      <w:rFonts w:hint="default"/>
                      <w:color w:val="auto"/>
                      <w:sz w:val="21"/>
                      <w:szCs w:val="21"/>
                      <w:highlight w:val="none"/>
                    </w:rPr>
                  </w:pPr>
                </w:p>
              </w:tc>
              <w:tc>
                <w:tcPr>
                  <w:tcW w:w="471" w:type="pct"/>
                  <w:vMerge w:val="continue"/>
                  <w:noWrap w:val="0"/>
                  <w:vAlign w:val="center"/>
                </w:tcPr>
                <w:p w14:paraId="5D207B45">
                  <w:pPr>
                    <w:keepNext w:val="0"/>
                    <w:keepLines w:val="0"/>
                    <w:suppressLineNumbers w:val="0"/>
                    <w:spacing w:before="0" w:beforeAutospacing="0" w:after="0" w:afterAutospacing="0" w:line="240" w:lineRule="auto"/>
                    <w:ind w:left="0" w:right="0" w:firstLine="0" w:firstLineChars="0"/>
                    <w:jc w:val="center"/>
                    <w:rPr>
                      <w:rFonts w:hint="default"/>
                      <w:color w:val="auto"/>
                      <w:sz w:val="21"/>
                      <w:szCs w:val="21"/>
                      <w:highlight w:val="none"/>
                    </w:rPr>
                  </w:pPr>
                </w:p>
              </w:tc>
              <w:tc>
                <w:tcPr>
                  <w:tcW w:w="1233" w:type="pct"/>
                  <w:noWrap w:val="0"/>
                  <w:vAlign w:val="center"/>
                </w:tcPr>
                <w:p w14:paraId="4DC18960">
                  <w:pPr>
                    <w:keepNext w:val="0"/>
                    <w:keepLines w:val="0"/>
                    <w:suppressLineNumbers w:val="0"/>
                    <w:spacing w:before="0" w:beforeAutospacing="0" w:after="0" w:afterAutospacing="0" w:line="240" w:lineRule="auto"/>
                    <w:ind w:left="0" w:right="0" w:firstLine="0" w:firstLineChars="0"/>
                    <w:jc w:val="center"/>
                    <w:rPr>
                      <w:rFonts w:hint="default" w:ascii="Times New Roman" w:hAnsi="Times New Roman" w:eastAsia="宋体"/>
                      <w:caps w:val="0"/>
                      <w:smallCaps w:val="0"/>
                      <w:snapToGrid/>
                      <w:color w:val="auto"/>
                      <w:sz w:val="21"/>
                      <w:szCs w:val="21"/>
                      <w:highlight w:val="none"/>
                      <w:lang w:val="en-US" w:eastAsia="zh-CN"/>
                    </w:rPr>
                  </w:pPr>
                  <w:r>
                    <w:rPr>
                      <w:rFonts w:hint="eastAsia"/>
                      <w:caps w:val="0"/>
                      <w:smallCaps w:val="0"/>
                      <w:snapToGrid/>
                      <w:color w:val="auto"/>
                      <w:sz w:val="21"/>
                      <w:szCs w:val="21"/>
                      <w:highlight w:val="none"/>
                      <w:lang w:val="en-US" w:eastAsia="zh-CN"/>
                    </w:rPr>
                    <w:t>24小时平均</w:t>
                  </w:r>
                </w:p>
              </w:tc>
              <w:tc>
                <w:tcPr>
                  <w:tcW w:w="765" w:type="pct"/>
                  <w:noWrap w:val="0"/>
                  <w:vAlign w:val="center"/>
                </w:tcPr>
                <w:p w14:paraId="25391AFC">
                  <w:pPr>
                    <w:keepNext w:val="0"/>
                    <w:keepLines w:val="0"/>
                    <w:suppressLineNumbers w:val="0"/>
                    <w:spacing w:before="0" w:beforeAutospacing="0" w:after="0" w:afterAutospacing="0" w:line="240" w:lineRule="auto"/>
                    <w:ind w:left="0" w:right="0" w:firstLine="0" w:firstLineChars="0"/>
                    <w:jc w:val="center"/>
                    <w:rPr>
                      <w:rFonts w:hint="default" w:ascii="Times New Roman" w:hAnsi="Times New Roman" w:eastAsia="宋体"/>
                      <w:caps w:val="0"/>
                      <w:smallCaps w:val="0"/>
                      <w:snapToGrid/>
                      <w:color w:val="auto"/>
                      <w:sz w:val="21"/>
                      <w:szCs w:val="21"/>
                      <w:highlight w:val="none"/>
                      <w:lang w:val="en-US" w:eastAsia="zh-CN"/>
                    </w:rPr>
                  </w:pPr>
                  <w:r>
                    <w:rPr>
                      <w:rFonts w:hint="eastAsia"/>
                      <w:caps w:val="0"/>
                      <w:smallCaps w:val="0"/>
                      <w:snapToGrid/>
                      <w:color w:val="auto"/>
                      <w:sz w:val="21"/>
                      <w:szCs w:val="21"/>
                      <w:highlight w:val="none"/>
                      <w:lang w:val="en-US" w:eastAsia="zh-CN"/>
                    </w:rPr>
                    <w:t>150</w:t>
                  </w:r>
                </w:p>
              </w:tc>
              <w:tc>
                <w:tcPr>
                  <w:tcW w:w="1670" w:type="pct"/>
                  <w:vMerge w:val="continue"/>
                  <w:noWrap w:val="0"/>
                  <w:vAlign w:val="center"/>
                </w:tcPr>
                <w:p w14:paraId="2ED27E38">
                  <w:pPr>
                    <w:keepNext w:val="0"/>
                    <w:keepLines w:val="0"/>
                    <w:suppressLineNumbers w:val="0"/>
                    <w:spacing w:before="0" w:beforeAutospacing="0" w:after="0" w:afterAutospacing="0" w:line="240" w:lineRule="auto"/>
                    <w:ind w:left="0" w:right="0" w:firstLine="0" w:firstLineChars="0"/>
                    <w:jc w:val="center"/>
                    <w:rPr>
                      <w:rFonts w:hint="default" w:ascii="Times New Roman" w:hAnsi="Times New Roman" w:eastAsia="宋体"/>
                      <w:caps w:val="0"/>
                      <w:smallCaps w:val="0"/>
                      <w:snapToGrid/>
                      <w:color w:val="auto"/>
                      <w:sz w:val="21"/>
                      <w:szCs w:val="21"/>
                      <w:highlight w:val="none"/>
                    </w:rPr>
                  </w:pPr>
                </w:p>
              </w:tc>
            </w:tr>
            <w:tr w14:paraId="11F09AF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cantSplit/>
                <w:trHeight w:val="340" w:hRule="atLeast"/>
                <w:jc w:val="center"/>
              </w:trPr>
              <w:tc>
                <w:tcPr>
                  <w:tcW w:w="187" w:type="pct"/>
                  <w:vMerge w:val="continue"/>
                  <w:noWrap w:val="0"/>
                  <w:vAlign w:val="center"/>
                </w:tcPr>
                <w:p w14:paraId="1B171DFF">
                  <w:pPr>
                    <w:keepNext w:val="0"/>
                    <w:keepLines w:val="0"/>
                    <w:suppressLineNumbers w:val="0"/>
                    <w:spacing w:before="0" w:beforeAutospacing="0" w:after="0" w:afterAutospacing="0" w:line="240" w:lineRule="auto"/>
                    <w:ind w:left="0" w:right="0" w:firstLine="0" w:firstLineChars="0"/>
                    <w:jc w:val="center"/>
                    <w:rPr>
                      <w:rFonts w:hint="default" w:ascii="Times New Roman" w:hAnsi="Times New Roman" w:eastAsia="宋体"/>
                      <w:caps w:val="0"/>
                      <w:smallCaps w:val="0"/>
                      <w:snapToGrid/>
                      <w:color w:val="auto"/>
                      <w:sz w:val="21"/>
                      <w:szCs w:val="21"/>
                      <w:highlight w:val="none"/>
                    </w:rPr>
                  </w:pPr>
                </w:p>
              </w:tc>
              <w:tc>
                <w:tcPr>
                  <w:tcW w:w="672" w:type="pct"/>
                  <w:vMerge w:val="continue"/>
                  <w:noWrap w:val="0"/>
                  <w:vAlign w:val="center"/>
                </w:tcPr>
                <w:p w14:paraId="6A0A8B52">
                  <w:pPr>
                    <w:keepNext w:val="0"/>
                    <w:keepLines w:val="0"/>
                    <w:suppressLineNumbers w:val="0"/>
                    <w:spacing w:before="0" w:beforeAutospacing="0" w:after="0" w:afterAutospacing="0" w:line="240" w:lineRule="auto"/>
                    <w:ind w:left="0" w:right="0" w:firstLine="0" w:firstLineChars="0"/>
                    <w:jc w:val="center"/>
                    <w:rPr>
                      <w:rFonts w:hint="default" w:ascii="Times New Roman" w:hAnsi="Times New Roman" w:eastAsia="宋体"/>
                      <w:caps w:val="0"/>
                      <w:smallCaps w:val="0"/>
                      <w:snapToGrid/>
                      <w:color w:val="auto"/>
                      <w:sz w:val="21"/>
                      <w:szCs w:val="21"/>
                      <w:highlight w:val="none"/>
                    </w:rPr>
                  </w:pPr>
                </w:p>
              </w:tc>
              <w:tc>
                <w:tcPr>
                  <w:tcW w:w="471" w:type="pct"/>
                  <w:vMerge w:val="continue"/>
                  <w:noWrap w:val="0"/>
                  <w:vAlign w:val="center"/>
                </w:tcPr>
                <w:p w14:paraId="772A1C2A">
                  <w:pPr>
                    <w:keepNext w:val="0"/>
                    <w:keepLines w:val="0"/>
                    <w:suppressLineNumbers w:val="0"/>
                    <w:spacing w:before="0" w:beforeAutospacing="0" w:after="0" w:afterAutospacing="0" w:line="240" w:lineRule="auto"/>
                    <w:ind w:left="0" w:right="0" w:firstLine="0" w:firstLineChars="0"/>
                    <w:jc w:val="center"/>
                    <w:rPr>
                      <w:rFonts w:hint="default" w:ascii="Times New Roman" w:hAnsi="Times New Roman" w:eastAsia="宋体"/>
                      <w:caps w:val="0"/>
                      <w:smallCaps w:val="0"/>
                      <w:snapToGrid/>
                      <w:color w:val="auto"/>
                      <w:sz w:val="21"/>
                      <w:szCs w:val="21"/>
                      <w:highlight w:val="none"/>
                    </w:rPr>
                  </w:pPr>
                </w:p>
              </w:tc>
              <w:tc>
                <w:tcPr>
                  <w:tcW w:w="1233" w:type="pct"/>
                  <w:noWrap w:val="0"/>
                  <w:vAlign w:val="center"/>
                </w:tcPr>
                <w:p w14:paraId="6CE8793D">
                  <w:pPr>
                    <w:keepNext w:val="0"/>
                    <w:keepLines w:val="0"/>
                    <w:suppressLineNumbers w:val="0"/>
                    <w:spacing w:before="0" w:beforeAutospacing="0" w:after="0" w:afterAutospacing="0" w:line="240" w:lineRule="auto"/>
                    <w:ind w:left="0" w:right="0" w:firstLine="0" w:firstLineChars="0"/>
                    <w:jc w:val="center"/>
                    <w:rPr>
                      <w:rFonts w:hint="default" w:ascii="Times New Roman" w:hAnsi="Times New Roman" w:eastAsia="宋体"/>
                      <w:caps w:val="0"/>
                      <w:smallCaps w:val="0"/>
                      <w:snapToGrid/>
                      <w:color w:val="auto"/>
                      <w:sz w:val="21"/>
                      <w:szCs w:val="21"/>
                      <w:highlight w:val="none"/>
                      <w:lang w:val="en-US" w:eastAsia="zh-CN"/>
                    </w:rPr>
                  </w:pPr>
                  <w:r>
                    <w:rPr>
                      <w:rFonts w:hint="eastAsia"/>
                      <w:caps w:val="0"/>
                      <w:smallCaps w:val="0"/>
                      <w:snapToGrid/>
                      <w:color w:val="auto"/>
                      <w:sz w:val="21"/>
                      <w:szCs w:val="21"/>
                      <w:highlight w:val="none"/>
                      <w:lang w:val="en-US" w:eastAsia="zh-CN"/>
                    </w:rPr>
                    <w:t>1小时平均</w:t>
                  </w:r>
                </w:p>
              </w:tc>
              <w:tc>
                <w:tcPr>
                  <w:tcW w:w="765" w:type="pct"/>
                  <w:noWrap w:val="0"/>
                  <w:vAlign w:val="center"/>
                </w:tcPr>
                <w:p w14:paraId="6CC80798">
                  <w:pPr>
                    <w:keepNext w:val="0"/>
                    <w:keepLines w:val="0"/>
                    <w:suppressLineNumbers w:val="0"/>
                    <w:spacing w:before="0" w:beforeAutospacing="0" w:after="0" w:afterAutospacing="0" w:line="240" w:lineRule="auto"/>
                    <w:ind w:left="0" w:right="0" w:firstLine="0" w:firstLineChars="0"/>
                    <w:jc w:val="center"/>
                    <w:rPr>
                      <w:rFonts w:hint="default" w:ascii="Times New Roman" w:hAnsi="Times New Roman" w:eastAsia="宋体"/>
                      <w:caps w:val="0"/>
                      <w:smallCaps w:val="0"/>
                      <w:snapToGrid/>
                      <w:color w:val="auto"/>
                      <w:sz w:val="21"/>
                      <w:szCs w:val="21"/>
                      <w:highlight w:val="none"/>
                      <w:lang w:val="en-US" w:eastAsia="zh-CN"/>
                    </w:rPr>
                  </w:pPr>
                  <w:r>
                    <w:rPr>
                      <w:rFonts w:hint="eastAsia"/>
                      <w:caps w:val="0"/>
                      <w:smallCaps w:val="0"/>
                      <w:snapToGrid/>
                      <w:color w:val="auto"/>
                      <w:sz w:val="21"/>
                      <w:szCs w:val="21"/>
                      <w:highlight w:val="none"/>
                      <w:lang w:val="en-US" w:eastAsia="zh-CN"/>
                    </w:rPr>
                    <w:t>500</w:t>
                  </w:r>
                </w:p>
              </w:tc>
              <w:tc>
                <w:tcPr>
                  <w:tcW w:w="1670" w:type="pct"/>
                  <w:vMerge w:val="continue"/>
                  <w:noWrap w:val="0"/>
                  <w:vAlign w:val="center"/>
                </w:tcPr>
                <w:p w14:paraId="4093EB85">
                  <w:pPr>
                    <w:keepNext w:val="0"/>
                    <w:keepLines w:val="0"/>
                    <w:suppressLineNumbers w:val="0"/>
                    <w:spacing w:before="0" w:beforeAutospacing="0" w:after="0" w:afterAutospacing="0" w:line="240" w:lineRule="auto"/>
                    <w:ind w:left="0" w:right="0" w:firstLine="0" w:firstLineChars="0"/>
                    <w:jc w:val="center"/>
                    <w:rPr>
                      <w:rFonts w:hint="default" w:ascii="Times New Roman" w:hAnsi="Times New Roman" w:eastAsia="宋体"/>
                      <w:caps w:val="0"/>
                      <w:smallCaps w:val="0"/>
                      <w:snapToGrid/>
                      <w:color w:val="auto"/>
                      <w:sz w:val="21"/>
                      <w:szCs w:val="21"/>
                      <w:highlight w:val="none"/>
                    </w:rPr>
                  </w:pPr>
                </w:p>
              </w:tc>
            </w:tr>
            <w:tr w14:paraId="14EBB83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cantSplit/>
                <w:trHeight w:val="340" w:hRule="atLeast"/>
                <w:jc w:val="center"/>
              </w:trPr>
              <w:tc>
                <w:tcPr>
                  <w:tcW w:w="187" w:type="pct"/>
                  <w:vMerge w:val="restart"/>
                  <w:noWrap w:val="0"/>
                  <w:vAlign w:val="center"/>
                </w:tcPr>
                <w:p w14:paraId="1532F1CE">
                  <w:pPr>
                    <w:keepNext w:val="0"/>
                    <w:keepLines w:val="0"/>
                    <w:suppressLineNumbers w:val="0"/>
                    <w:spacing w:before="0" w:beforeAutospacing="0" w:after="0" w:afterAutospacing="0" w:line="240" w:lineRule="auto"/>
                    <w:ind w:left="0" w:right="0" w:firstLine="0" w:firstLineChars="0"/>
                    <w:jc w:val="center"/>
                    <w:rPr>
                      <w:rFonts w:hint="default" w:ascii="Times New Roman" w:hAnsi="Times New Roman" w:eastAsia="宋体"/>
                      <w:caps w:val="0"/>
                      <w:smallCaps w:val="0"/>
                      <w:snapToGrid/>
                      <w:color w:val="auto"/>
                      <w:sz w:val="21"/>
                      <w:szCs w:val="21"/>
                      <w:highlight w:val="none"/>
                    </w:rPr>
                  </w:pPr>
                  <w:r>
                    <w:rPr>
                      <w:rFonts w:hint="default" w:ascii="Times New Roman" w:hAnsi="Times New Roman" w:eastAsia="宋体"/>
                      <w:caps w:val="0"/>
                      <w:smallCaps w:val="0"/>
                      <w:snapToGrid/>
                      <w:color w:val="auto"/>
                      <w:sz w:val="21"/>
                      <w:szCs w:val="21"/>
                      <w:highlight w:val="none"/>
                    </w:rPr>
                    <w:t>2</w:t>
                  </w:r>
                </w:p>
              </w:tc>
              <w:tc>
                <w:tcPr>
                  <w:tcW w:w="672" w:type="pct"/>
                  <w:vMerge w:val="restart"/>
                  <w:noWrap w:val="0"/>
                  <w:vAlign w:val="center"/>
                </w:tcPr>
                <w:p w14:paraId="326ACCBF">
                  <w:pPr>
                    <w:keepNext w:val="0"/>
                    <w:keepLines w:val="0"/>
                    <w:suppressLineNumbers w:val="0"/>
                    <w:spacing w:before="0" w:beforeAutospacing="0" w:after="0" w:afterAutospacing="0" w:line="240" w:lineRule="auto"/>
                    <w:ind w:left="0" w:right="0" w:firstLine="0" w:firstLineChars="0"/>
                    <w:jc w:val="center"/>
                    <w:rPr>
                      <w:rFonts w:hint="default" w:ascii="Times New Roman" w:hAnsi="Times New Roman" w:eastAsia="宋体"/>
                      <w:caps w:val="0"/>
                      <w:smallCaps w:val="0"/>
                      <w:snapToGrid/>
                      <w:color w:val="auto"/>
                      <w:sz w:val="21"/>
                      <w:szCs w:val="21"/>
                      <w:highlight w:val="none"/>
                    </w:rPr>
                  </w:pPr>
                  <w:r>
                    <w:rPr>
                      <w:rFonts w:hint="default" w:ascii="Times New Roman" w:hAnsi="Times New Roman" w:eastAsia="宋体"/>
                      <w:caps w:val="0"/>
                      <w:smallCaps w:val="0"/>
                      <w:snapToGrid/>
                      <w:color w:val="auto"/>
                      <w:sz w:val="21"/>
                      <w:szCs w:val="21"/>
                      <w:highlight w:val="none"/>
                    </w:rPr>
                    <w:t>NO</w:t>
                  </w:r>
                  <w:r>
                    <w:rPr>
                      <w:rFonts w:hint="default" w:ascii="Times New Roman" w:hAnsi="Times New Roman" w:eastAsia="宋体"/>
                      <w:caps w:val="0"/>
                      <w:smallCaps w:val="0"/>
                      <w:snapToGrid/>
                      <w:color w:val="auto"/>
                      <w:sz w:val="21"/>
                      <w:szCs w:val="21"/>
                      <w:highlight w:val="none"/>
                      <w:vertAlign w:val="subscript"/>
                    </w:rPr>
                    <w:t>2</w:t>
                  </w:r>
                </w:p>
              </w:tc>
              <w:tc>
                <w:tcPr>
                  <w:tcW w:w="471" w:type="pct"/>
                  <w:vMerge w:val="restart"/>
                  <w:noWrap w:val="0"/>
                  <w:vAlign w:val="center"/>
                </w:tcPr>
                <w:p w14:paraId="3BC2416A">
                  <w:pPr>
                    <w:keepNext w:val="0"/>
                    <w:keepLines w:val="0"/>
                    <w:suppressLineNumbers w:val="0"/>
                    <w:spacing w:before="0" w:beforeAutospacing="0" w:after="0" w:afterAutospacing="0" w:line="240" w:lineRule="auto"/>
                    <w:ind w:left="0" w:right="0" w:firstLine="0" w:firstLineChars="0"/>
                    <w:jc w:val="center"/>
                    <w:rPr>
                      <w:rFonts w:hint="default" w:ascii="Times New Roman" w:hAnsi="Times New Roman" w:eastAsia="宋体"/>
                      <w:caps w:val="0"/>
                      <w:smallCaps w:val="0"/>
                      <w:snapToGrid/>
                      <w:color w:val="auto"/>
                      <w:sz w:val="21"/>
                      <w:szCs w:val="21"/>
                      <w:highlight w:val="none"/>
                    </w:rPr>
                  </w:pPr>
                  <w:r>
                    <w:rPr>
                      <w:rFonts w:hint="default" w:ascii="Times New Roman" w:hAnsi="Times New Roman" w:eastAsia="宋体"/>
                      <w:caps w:val="0"/>
                      <w:smallCaps w:val="0"/>
                      <w:snapToGrid/>
                      <w:color w:val="auto"/>
                      <w:sz w:val="21"/>
                      <w:szCs w:val="21"/>
                      <w:highlight w:val="none"/>
                    </w:rPr>
                    <w:t>μg/m</w:t>
                  </w:r>
                  <w:r>
                    <w:rPr>
                      <w:rFonts w:hint="default" w:ascii="Times New Roman" w:hAnsi="Times New Roman" w:eastAsia="宋体"/>
                      <w:caps w:val="0"/>
                      <w:smallCaps w:val="0"/>
                      <w:snapToGrid/>
                      <w:color w:val="auto"/>
                      <w:sz w:val="21"/>
                      <w:szCs w:val="21"/>
                      <w:highlight w:val="none"/>
                      <w:vertAlign w:val="superscript"/>
                    </w:rPr>
                    <w:t>3</w:t>
                  </w:r>
                </w:p>
              </w:tc>
              <w:tc>
                <w:tcPr>
                  <w:tcW w:w="1233" w:type="pct"/>
                  <w:noWrap w:val="0"/>
                  <w:vAlign w:val="center"/>
                </w:tcPr>
                <w:p w14:paraId="6654068A">
                  <w:pPr>
                    <w:keepNext w:val="0"/>
                    <w:keepLines w:val="0"/>
                    <w:suppressLineNumbers w:val="0"/>
                    <w:spacing w:before="0" w:beforeAutospacing="0" w:after="0" w:afterAutospacing="0" w:line="240" w:lineRule="auto"/>
                    <w:ind w:left="0" w:right="0" w:firstLine="0" w:firstLineChars="0"/>
                    <w:jc w:val="center"/>
                    <w:rPr>
                      <w:rFonts w:hint="eastAsia" w:ascii="Times New Roman" w:hAnsi="Times New Roman" w:eastAsia="宋体" w:cs="Times New Roman"/>
                      <w:caps w:val="0"/>
                      <w:smallCaps w:val="0"/>
                      <w:snapToGrid/>
                      <w:color w:val="auto"/>
                      <w:kern w:val="2"/>
                      <w:sz w:val="21"/>
                      <w:szCs w:val="21"/>
                      <w:highlight w:val="none"/>
                      <w:lang w:val="en-US" w:eastAsia="zh-CN" w:bidi="ar-SA"/>
                    </w:rPr>
                  </w:pPr>
                  <w:r>
                    <w:rPr>
                      <w:rFonts w:hint="eastAsia"/>
                      <w:caps w:val="0"/>
                      <w:smallCaps w:val="0"/>
                      <w:snapToGrid/>
                      <w:color w:val="auto"/>
                      <w:sz w:val="21"/>
                      <w:szCs w:val="21"/>
                      <w:highlight w:val="none"/>
                      <w:lang w:eastAsia="zh-CN"/>
                    </w:rPr>
                    <w:t>年平均</w:t>
                  </w:r>
                </w:p>
              </w:tc>
              <w:tc>
                <w:tcPr>
                  <w:tcW w:w="765" w:type="pct"/>
                  <w:noWrap w:val="0"/>
                  <w:vAlign w:val="center"/>
                </w:tcPr>
                <w:p w14:paraId="74855E9E">
                  <w:pPr>
                    <w:keepNext w:val="0"/>
                    <w:keepLines w:val="0"/>
                    <w:suppressLineNumbers w:val="0"/>
                    <w:spacing w:before="0" w:beforeAutospacing="0" w:after="0" w:afterAutospacing="0" w:line="240" w:lineRule="auto"/>
                    <w:ind w:left="0" w:right="0" w:firstLine="0" w:firstLineChars="0"/>
                    <w:jc w:val="center"/>
                    <w:rPr>
                      <w:rFonts w:hint="default" w:ascii="Times New Roman" w:hAnsi="Times New Roman" w:eastAsia="宋体"/>
                      <w:caps w:val="0"/>
                      <w:smallCaps w:val="0"/>
                      <w:snapToGrid/>
                      <w:color w:val="auto"/>
                      <w:sz w:val="21"/>
                      <w:szCs w:val="21"/>
                      <w:highlight w:val="none"/>
                      <w:lang w:val="en-US" w:eastAsia="zh-CN"/>
                    </w:rPr>
                  </w:pPr>
                  <w:r>
                    <w:rPr>
                      <w:rFonts w:hint="eastAsia"/>
                      <w:caps w:val="0"/>
                      <w:smallCaps w:val="0"/>
                      <w:snapToGrid/>
                      <w:color w:val="auto"/>
                      <w:sz w:val="21"/>
                      <w:szCs w:val="21"/>
                      <w:highlight w:val="none"/>
                      <w:lang w:val="en-US" w:eastAsia="zh-CN"/>
                    </w:rPr>
                    <w:t>40</w:t>
                  </w:r>
                </w:p>
              </w:tc>
              <w:tc>
                <w:tcPr>
                  <w:tcW w:w="1670" w:type="pct"/>
                  <w:vMerge w:val="continue"/>
                  <w:noWrap w:val="0"/>
                  <w:vAlign w:val="center"/>
                </w:tcPr>
                <w:p w14:paraId="55C2BE9D">
                  <w:pPr>
                    <w:keepNext w:val="0"/>
                    <w:keepLines w:val="0"/>
                    <w:suppressLineNumbers w:val="0"/>
                    <w:spacing w:before="0" w:beforeAutospacing="0" w:after="0" w:afterAutospacing="0" w:line="240" w:lineRule="auto"/>
                    <w:ind w:left="0" w:right="0" w:firstLine="0" w:firstLineChars="0"/>
                    <w:jc w:val="center"/>
                    <w:rPr>
                      <w:rFonts w:hint="default" w:ascii="Times New Roman" w:hAnsi="Times New Roman" w:eastAsia="宋体"/>
                      <w:caps w:val="0"/>
                      <w:smallCaps w:val="0"/>
                      <w:snapToGrid/>
                      <w:color w:val="auto"/>
                      <w:sz w:val="21"/>
                      <w:szCs w:val="21"/>
                      <w:highlight w:val="none"/>
                    </w:rPr>
                  </w:pPr>
                </w:p>
              </w:tc>
            </w:tr>
            <w:tr w14:paraId="6DAA23E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cantSplit/>
                <w:trHeight w:val="340" w:hRule="atLeast"/>
                <w:jc w:val="center"/>
              </w:trPr>
              <w:tc>
                <w:tcPr>
                  <w:tcW w:w="187" w:type="pct"/>
                  <w:vMerge w:val="continue"/>
                  <w:noWrap w:val="0"/>
                  <w:vAlign w:val="center"/>
                </w:tcPr>
                <w:p w14:paraId="16529F67">
                  <w:pPr>
                    <w:keepNext w:val="0"/>
                    <w:keepLines w:val="0"/>
                    <w:suppressLineNumbers w:val="0"/>
                    <w:spacing w:before="0" w:beforeAutospacing="0" w:after="0" w:afterAutospacing="0" w:line="240" w:lineRule="auto"/>
                    <w:ind w:left="0" w:right="0" w:firstLine="0" w:firstLineChars="0"/>
                    <w:jc w:val="center"/>
                    <w:rPr>
                      <w:rFonts w:hint="default"/>
                      <w:color w:val="auto"/>
                      <w:sz w:val="21"/>
                      <w:szCs w:val="21"/>
                      <w:highlight w:val="none"/>
                    </w:rPr>
                  </w:pPr>
                </w:p>
              </w:tc>
              <w:tc>
                <w:tcPr>
                  <w:tcW w:w="672" w:type="pct"/>
                  <w:vMerge w:val="continue"/>
                  <w:noWrap w:val="0"/>
                  <w:vAlign w:val="center"/>
                </w:tcPr>
                <w:p w14:paraId="7CAF6FC2">
                  <w:pPr>
                    <w:keepNext w:val="0"/>
                    <w:keepLines w:val="0"/>
                    <w:suppressLineNumbers w:val="0"/>
                    <w:spacing w:before="0" w:beforeAutospacing="0" w:after="0" w:afterAutospacing="0" w:line="240" w:lineRule="auto"/>
                    <w:ind w:left="0" w:right="0" w:firstLine="0" w:firstLineChars="0"/>
                    <w:jc w:val="center"/>
                    <w:rPr>
                      <w:rFonts w:hint="default"/>
                      <w:color w:val="auto"/>
                      <w:sz w:val="21"/>
                      <w:szCs w:val="21"/>
                      <w:highlight w:val="none"/>
                    </w:rPr>
                  </w:pPr>
                </w:p>
              </w:tc>
              <w:tc>
                <w:tcPr>
                  <w:tcW w:w="471" w:type="pct"/>
                  <w:vMerge w:val="continue"/>
                  <w:noWrap w:val="0"/>
                  <w:vAlign w:val="center"/>
                </w:tcPr>
                <w:p w14:paraId="509B0605">
                  <w:pPr>
                    <w:keepNext w:val="0"/>
                    <w:keepLines w:val="0"/>
                    <w:suppressLineNumbers w:val="0"/>
                    <w:spacing w:before="0" w:beforeAutospacing="0" w:after="0" w:afterAutospacing="0" w:line="240" w:lineRule="auto"/>
                    <w:ind w:left="0" w:right="0" w:firstLine="0" w:firstLineChars="0"/>
                    <w:jc w:val="center"/>
                    <w:rPr>
                      <w:rFonts w:hint="default"/>
                      <w:color w:val="auto"/>
                      <w:sz w:val="21"/>
                      <w:szCs w:val="21"/>
                      <w:highlight w:val="none"/>
                    </w:rPr>
                  </w:pPr>
                </w:p>
              </w:tc>
              <w:tc>
                <w:tcPr>
                  <w:tcW w:w="1233" w:type="pct"/>
                  <w:noWrap w:val="0"/>
                  <w:vAlign w:val="center"/>
                </w:tcPr>
                <w:p w14:paraId="72FD36B9">
                  <w:pPr>
                    <w:keepNext w:val="0"/>
                    <w:keepLines w:val="0"/>
                    <w:suppressLineNumbers w:val="0"/>
                    <w:spacing w:before="0" w:beforeAutospacing="0" w:after="0" w:afterAutospacing="0" w:line="240" w:lineRule="auto"/>
                    <w:ind w:left="0" w:right="0" w:firstLine="0" w:firstLineChars="0"/>
                    <w:jc w:val="center"/>
                    <w:rPr>
                      <w:rFonts w:hint="default" w:ascii="Times New Roman" w:hAnsi="Times New Roman" w:eastAsia="宋体" w:cs="Times New Roman"/>
                      <w:caps w:val="0"/>
                      <w:smallCaps w:val="0"/>
                      <w:snapToGrid/>
                      <w:color w:val="auto"/>
                      <w:kern w:val="2"/>
                      <w:sz w:val="21"/>
                      <w:szCs w:val="21"/>
                      <w:highlight w:val="none"/>
                      <w:lang w:val="en-US" w:eastAsia="zh-CN" w:bidi="ar-SA"/>
                    </w:rPr>
                  </w:pPr>
                  <w:r>
                    <w:rPr>
                      <w:rFonts w:hint="eastAsia"/>
                      <w:caps w:val="0"/>
                      <w:smallCaps w:val="0"/>
                      <w:snapToGrid/>
                      <w:color w:val="auto"/>
                      <w:sz w:val="21"/>
                      <w:szCs w:val="21"/>
                      <w:highlight w:val="none"/>
                      <w:lang w:val="en-US" w:eastAsia="zh-CN"/>
                    </w:rPr>
                    <w:t>24小时平均</w:t>
                  </w:r>
                </w:p>
              </w:tc>
              <w:tc>
                <w:tcPr>
                  <w:tcW w:w="765" w:type="pct"/>
                  <w:noWrap w:val="0"/>
                  <w:vAlign w:val="center"/>
                </w:tcPr>
                <w:p w14:paraId="112F3360">
                  <w:pPr>
                    <w:keepNext w:val="0"/>
                    <w:keepLines w:val="0"/>
                    <w:suppressLineNumbers w:val="0"/>
                    <w:spacing w:before="0" w:beforeAutospacing="0" w:after="0" w:afterAutospacing="0" w:line="240" w:lineRule="auto"/>
                    <w:ind w:left="0" w:right="0" w:firstLine="0" w:firstLineChars="0"/>
                    <w:jc w:val="center"/>
                    <w:rPr>
                      <w:rFonts w:hint="default" w:ascii="Times New Roman" w:hAnsi="Times New Roman" w:eastAsia="宋体"/>
                      <w:caps w:val="0"/>
                      <w:smallCaps w:val="0"/>
                      <w:snapToGrid/>
                      <w:color w:val="auto"/>
                      <w:sz w:val="21"/>
                      <w:szCs w:val="21"/>
                      <w:highlight w:val="none"/>
                      <w:lang w:val="en-US" w:eastAsia="zh-CN"/>
                    </w:rPr>
                  </w:pPr>
                  <w:r>
                    <w:rPr>
                      <w:rFonts w:hint="eastAsia"/>
                      <w:caps w:val="0"/>
                      <w:smallCaps w:val="0"/>
                      <w:snapToGrid/>
                      <w:color w:val="auto"/>
                      <w:sz w:val="21"/>
                      <w:szCs w:val="21"/>
                      <w:highlight w:val="none"/>
                      <w:lang w:val="en-US" w:eastAsia="zh-CN"/>
                    </w:rPr>
                    <w:t>80</w:t>
                  </w:r>
                </w:p>
              </w:tc>
              <w:tc>
                <w:tcPr>
                  <w:tcW w:w="1670" w:type="pct"/>
                  <w:vMerge w:val="continue"/>
                  <w:noWrap w:val="0"/>
                  <w:vAlign w:val="center"/>
                </w:tcPr>
                <w:p w14:paraId="59CA20BB">
                  <w:pPr>
                    <w:keepNext w:val="0"/>
                    <w:keepLines w:val="0"/>
                    <w:suppressLineNumbers w:val="0"/>
                    <w:spacing w:before="0" w:beforeAutospacing="0" w:after="0" w:afterAutospacing="0" w:line="240" w:lineRule="auto"/>
                    <w:ind w:left="0" w:right="0" w:firstLine="0" w:firstLineChars="0"/>
                    <w:jc w:val="center"/>
                    <w:rPr>
                      <w:rFonts w:hint="default" w:ascii="Times New Roman" w:hAnsi="Times New Roman" w:eastAsia="宋体"/>
                      <w:caps w:val="0"/>
                      <w:smallCaps w:val="0"/>
                      <w:snapToGrid/>
                      <w:color w:val="auto"/>
                      <w:sz w:val="21"/>
                      <w:szCs w:val="21"/>
                      <w:highlight w:val="none"/>
                    </w:rPr>
                  </w:pPr>
                </w:p>
              </w:tc>
            </w:tr>
            <w:tr w14:paraId="226B330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cantSplit/>
                <w:trHeight w:val="340" w:hRule="atLeast"/>
                <w:jc w:val="center"/>
              </w:trPr>
              <w:tc>
                <w:tcPr>
                  <w:tcW w:w="187" w:type="pct"/>
                  <w:vMerge w:val="continue"/>
                  <w:noWrap w:val="0"/>
                  <w:vAlign w:val="center"/>
                </w:tcPr>
                <w:p w14:paraId="3B5D0E65">
                  <w:pPr>
                    <w:keepNext w:val="0"/>
                    <w:keepLines w:val="0"/>
                    <w:suppressLineNumbers w:val="0"/>
                    <w:spacing w:before="0" w:beforeAutospacing="0" w:after="0" w:afterAutospacing="0" w:line="240" w:lineRule="auto"/>
                    <w:ind w:left="0" w:right="0" w:firstLine="0" w:firstLineChars="0"/>
                    <w:jc w:val="center"/>
                    <w:rPr>
                      <w:rFonts w:hint="default" w:ascii="Times New Roman" w:hAnsi="Times New Roman" w:eastAsia="宋体"/>
                      <w:caps w:val="0"/>
                      <w:smallCaps w:val="0"/>
                      <w:snapToGrid/>
                      <w:color w:val="auto"/>
                      <w:sz w:val="21"/>
                      <w:szCs w:val="21"/>
                      <w:highlight w:val="none"/>
                    </w:rPr>
                  </w:pPr>
                </w:p>
              </w:tc>
              <w:tc>
                <w:tcPr>
                  <w:tcW w:w="672" w:type="pct"/>
                  <w:vMerge w:val="continue"/>
                  <w:noWrap w:val="0"/>
                  <w:vAlign w:val="center"/>
                </w:tcPr>
                <w:p w14:paraId="0EE0537B">
                  <w:pPr>
                    <w:keepNext w:val="0"/>
                    <w:keepLines w:val="0"/>
                    <w:suppressLineNumbers w:val="0"/>
                    <w:spacing w:before="0" w:beforeAutospacing="0" w:after="0" w:afterAutospacing="0" w:line="240" w:lineRule="auto"/>
                    <w:ind w:left="0" w:right="0" w:firstLine="0" w:firstLineChars="0"/>
                    <w:jc w:val="center"/>
                    <w:rPr>
                      <w:rFonts w:hint="default" w:ascii="Times New Roman" w:hAnsi="Times New Roman" w:eastAsia="宋体"/>
                      <w:caps w:val="0"/>
                      <w:smallCaps w:val="0"/>
                      <w:snapToGrid/>
                      <w:color w:val="auto"/>
                      <w:sz w:val="21"/>
                      <w:szCs w:val="21"/>
                      <w:highlight w:val="none"/>
                    </w:rPr>
                  </w:pPr>
                </w:p>
              </w:tc>
              <w:tc>
                <w:tcPr>
                  <w:tcW w:w="471" w:type="pct"/>
                  <w:vMerge w:val="continue"/>
                  <w:noWrap w:val="0"/>
                  <w:vAlign w:val="center"/>
                </w:tcPr>
                <w:p w14:paraId="6A951056">
                  <w:pPr>
                    <w:keepNext w:val="0"/>
                    <w:keepLines w:val="0"/>
                    <w:suppressLineNumbers w:val="0"/>
                    <w:spacing w:before="0" w:beforeAutospacing="0" w:after="0" w:afterAutospacing="0" w:line="240" w:lineRule="auto"/>
                    <w:ind w:left="0" w:right="0" w:firstLine="0" w:firstLineChars="0"/>
                    <w:jc w:val="center"/>
                    <w:rPr>
                      <w:rFonts w:hint="default" w:ascii="Times New Roman" w:hAnsi="Times New Roman" w:eastAsia="宋体"/>
                      <w:caps w:val="0"/>
                      <w:smallCaps w:val="0"/>
                      <w:snapToGrid/>
                      <w:color w:val="auto"/>
                      <w:sz w:val="21"/>
                      <w:szCs w:val="21"/>
                      <w:highlight w:val="none"/>
                    </w:rPr>
                  </w:pPr>
                </w:p>
              </w:tc>
              <w:tc>
                <w:tcPr>
                  <w:tcW w:w="1233" w:type="pct"/>
                  <w:noWrap w:val="0"/>
                  <w:vAlign w:val="center"/>
                </w:tcPr>
                <w:p w14:paraId="581A148C">
                  <w:pPr>
                    <w:keepNext w:val="0"/>
                    <w:keepLines w:val="0"/>
                    <w:suppressLineNumbers w:val="0"/>
                    <w:spacing w:before="0" w:beforeAutospacing="0" w:after="0" w:afterAutospacing="0" w:line="240" w:lineRule="auto"/>
                    <w:ind w:left="0" w:right="0" w:firstLine="0" w:firstLineChars="0"/>
                    <w:jc w:val="center"/>
                    <w:rPr>
                      <w:rFonts w:hint="default" w:ascii="Times New Roman" w:hAnsi="Times New Roman" w:eastAsia="宋体" w:cs="Times New Roman"/>
                      <w:caps w:val="0"/>
                      <w:smallCaps w:val="0"/>
                      <w:snapToGrid/>
                      <w:color w:val="auto"/>
                      <w:kern w:val="2"/>
                      <w:sz w:val="21"/>
                      <w:szCs w:val="21"/>
                      <w:highlight w:val="none"/>
                      <w:lang w:val="en-US" w:eastAsia="zh-CN" w:bidi="ar-SA"/>
                    </w:rPr>
                  </w:pPr>
                  <w:r>
                    <w:rPr>
                      <w:rFonts w:hint="eastAsia"/>
                      <w:caps w:val="0"/>
                      <w:smallCaps w:val="0"/>
                      <w:snapToGrid/>
                      <w:color w:val="auto"/>
                      <w:sz w:val="21"/>
                      <w:szCs w:val="21"/>
                      <w:highlight w:val="none"/>
                      <w:lang w:val="en-US" w:eastAsia="zh-CN"/>
                    </w:rPr>
                    <w:t>1小时平均</w:t>
                  </w:r>
                </w:p>
              </w:tc>
              <w:tc>
                <w:tcPr>
                  <w:tcW w:w="765" w:type="pct"/>
                  <w:noWrap w:val="0"/>
                  <w:vAlign w:val="center"/>
                </w:tcPr>
                <w:p w14:paraId="0DB82310">
                  <w:pPr>
                    <w:keepNext w:val="0"/>
                    <w:keepLines w:val="0"/>
                    <w:suppressLineNumbers w:val="0"/>
                    <w:spacing w:before="0" w:beforeAutospacing="0" w:after="0" w:afterAutospacing="0" w:line="240" w:lineRule="auto"/>
                    <w:ind w:left="0" w:right="0" w:firstLine="0" w:firstLineChars="0"/>
                    <w:jc w:val="center"/>
                    <w:rPr>
                      <w:rFonts w:hint="default" w:ascii="Times New Roman" w:hAnsi="Times New Roman" w:eastAsia="宋体"/>
                      <w:caps w:val="0"/>
                      <w:smallCaps w:val="0"/>
                      <w:snapToGrid/>
                      <w:color w:val="auto"/>
                      <w:sz w:val="21"/>
                      <w:szCs w:val="21"/>
                      <w:highlight w:val="none"/>
                      <w:lang w:val="en-US" w:eastAsia="zh-CN"/>
                    </w:rPr>
                  </w:pPr>
                  <w:r>
                    <w:rPr>
                      <w:rFonts w:hint="eastAsia"/>
                      <w:caps w:val="0"/>
                      <w:smallCaps w:val="0"/>
                      <w:snapToGrid/>
                      <w:color w:val="auto"/>
                      <w:sz w:val="21"/>
                      <w:szCs w:val="21"/>
                      <w:highlight w:val="none"/>
                      <w:lang w:val="en-US" w:eastAsia="zh-CN"/>
                    </w:rPr>
                    <w:t>200</w:t>
                  </w:r>
                </w:p>
              </w:tc>
              <w:tc>
                <w:tcPr>
                  <w:tcW w:w="1670" w:type="pct"/>
                  <w:vMerge w:val="continue"/>
                  <w:noWrap w:val="0"/>
                  <w:vAlign w:val="center"/>
                </w:tcPr>
                <w:p w14:paraId="0282A825">
                  <w:pPr>
                    <w:keepNext w:val="0"/>
                    <w:keepLines w:val="0"/>
                    <w:suppressLineNumbers w:val="0"/>
                    <w:spacing w:before="0" w:beforeAutospacing="0" w:after="0" w:afterAutospacing="0" w:line="240" w:lineRule="auto"/>
                    <w:ind w:left="0" w:right="0" w:firstLine="0" w:firstLineChars="0"/>
                    <w:jc w:val="center"/>
                    <w:rPr>
                      <w:rFonts w:hint="default" w:ascii="Times New Roman" w:hAnsi="Times New Roman" w:eastAsia="宋体"/>
                      <w:caps w:val="0"/>
                      <w:smallCaps w:val="0"/>
                      <w:snapToGrid/>
                      <w:color w:val="auto"/>
                      <w:sz w:val="21"/>
                      <w:szCs w:val="21"/>
                      <w:highlight w:val="none"/>
                    </w:rPr>
                  </w:pPr>
                </w:p>
              </w:tc>
            </w:tr>
            <w:tr w14:paraId="678B35E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cantSplit/>
                <w:trHeight w:val="340" w:hRule="atLeast"/>
                <w:jc w:val="center"/>
              </w:trPr>
              <w:tc>
                <w:tcPr>
                  <w:tcW w:w="187" w:type="pct"/>
                  <w:vMerge w:val="restart"/>
                  <w:noWrap w:val="0"/>
                  <w:vAlign w:val="center"/>
                </w:tcPr>
                <w:p w14:paraId="77C11CFD">
                  <w:pPr>
                    <w:keepNext w:val="0"/>
                    <w:keepLines w:val="0"/>
                    <w:suppressLineNumbers w:val="0"/>
                    <w:spacing w:before="0" w:beforeAutospacing="0" w:after="0" w:afterAutospacing="0" w:line="240" w:lineRule="auto"/>
                    <w:ind w:left="0" w:right="0" w:firstLine="0" w:firstLineChars="0"/>
                    <w:jc w:val="center"/>
                    <w:rPr>
                      <w:rFonts w:hint="default" w:ascii="Times New Roman" w:hAnsi="Times New Roman" w:eastAsia="宋体"/>
                      <w:caps w:val="0"/>
                      <w:smallCaps w:val="0"/>
                      <w:snapToGrid/>
                      <w:color w:val="auto"/>
                      <w:sz w:val="21"/>
                      <w:szCs w:val="21"/>
                      <w:highlight w:val="none"/>
                      <w:lang w:val="en-US" w:eastAsia="zh-CN"/>
                    </w:rPr>
                  </w:pPr>
                  <w:r>
                    <w:rPr>
                      <w:rFonts w:hint="eastAsia"/>
                      <w:caps w:val="0"/>
                      <w:smallCaps w:val="0"/>
                      <w:snapToGrid/>
                      <w:color w:val="auto"/>
                      <w:sz w:val="21"/>
                      <w:szCs w:val="21"/>
                      <w:highlight w:val="none"/>
                      <w:lang w:val="en-US" w:eastAsia="zh-CN"/>
                    </w:rPr>
                    <w:t>3</w:t>
                  </w:r>
                </w:p>
              </w:tc>
              <w:tc>
                <w:tcPr>
                  <w:tcW w:w="672" w:type="pct"/>
                  <w:vMerge w:val="restart"/>
                  <w:noWrap w:val="0"/>
                  <w:vAlign w:val="center"/>
                </w:tcPr>
                <w:p w14:paraId="09C1604A">
                  <w:pPr>
                    <w:keepNext w:val="0"/>
                    <w:keepLines w:val="0"/>
                    <w:suppressLineNumbers w:val="0"/>
                    <w:spacing w:before="0" w:beforeAutospacing="0" w:after="0" w:afterAutospacing="0" w:line="240" w:lineRule="auto"/>
                    <w:ind w:left="0" w:right="0" w:firstLine="0" w:firstLineChars="0"/>
                    <w:jc w:val="center"/>
                    <w:rPr>
                      <w:rFonts w:hint="default" w:ascii="Times New Roman" w:hAnsi="Times New Roman" w:eastAsia="宋体"/>
                      <w:caps w:val="0"/>
                      <w:smallCaps w:val="0"/>
                      <w:snapToGrid/>
                      <w:color w:val="auto"/>
                      <w:sz w:val="21"/>
                      <w:szCs w:val="21"/>
                      <w:highlight w:val="none"/>
                    </w:rPr>
                  </w:pPr>
                  <w:r>
                    <w:rPr>
                      <w:rFonts w:hint="default" w:ascii="Times New Roman" w:hAnsi="Times New Roman" w:eastAsia="宋体"/>
                      <w:caps w:val="0"/>
                      <w:smallCaps w:val="0"/>
                      <w:snapToGrid/>
                      <w:color w:val="auto"/>
                      <w:sz w:val="21"/>
                      <w:szCs w:val="21"/>
                      <w:highlight w:val="none"/>
                    </w:rPr>
                    <w:t>PM</w:t>
                  </w:r>
                  <w:r>
                    <w:rPr>
                      <w:rFonts w:hint="default" w:ascii="Times New Roman" w:hAnsi="Times New Roman" w:eastAsia="宋体"/>
                      <w:caps w:val="0"/>
                      <w:smallCaps w:val="0"/>
                      <w:snapToGrid/>
                      <w:color w:val="auto"/>
                      <w:sz w:val="21"/>
                      <w:szCs w:val="21"/>
                      <w:highlight w:val="none"/>
                      <w:vertAlign w:val="subscript"/>
                    </w:rPr>
                    <w:t>10</w:t>
                  </w:r>
                </w:p>
              </w:tc>
              <w:tc>
                <w:tcPr>
                  <w:tcW w:w="471" w:type="pct"/>
                  <w:vMerge w:val="restart"/>
                  <w:noWrap w:val="0"/>
                  <w:vAlign w:val="center"/>
                </w:tcPr>
                <w:p w14:paraId="6A1BFBB8">
                  <w:pPr>
                    <w:keepNext w:val="0"/>
                    <w:keepLines w:val="0"/>
                    <w:suppressLineNumbers w:val="0"/>
                    <w:spacing w:before="0" w:beforeAutospacing="0" w:after="0" w:afterAutospacing="0" w:line="240" w:lineRule="auto"/>
                    <w:ind w:left="0" w:right="0" w:firstLine="0" w:firstLineChars="0"/>
                    <w:jc w:val="center"/>
                    <w:rPr>
                      <w:rFonts w:hint="default" w:ascii="Times New Roman" w:hAnsi="Times New Roman" w:eastAsia="宋体"/>
                      <w:caps w:val="0"/>
                      <w:smallCaps w:val="0"/>
                      <w:snapToGrid/>
                      <w:color w:val="auto"/>
                      <w:sz w:val="21"/>
                      <w:szCs w:val="21"/>
                      <w:highlight w:val="none"/>
                    </w:rPr>
                  </w:pPr>
                  <w:r>
                    <w:rPr>
                      <w:rFonts w:hint="default" w:ascii="Times New Roman" w:hAnsi="Times New Roman" w:eastAsia="宋体"/>
                      <w:caps w:val="0"/>
                      <w:smallCaps w:val="0"/>
                      <w:snapToGrid/>
                      <w:color w:val="auto"/>
                      <w:sz w:val="21"/>
                      <w:szCs w:val="21"/>
                      <w:highlight w:val="none"/>
                    </w:rPr>
                    <w:t>μg/m</w:t>
                  </w:r>
                  <w:r>
                    <w:rPr>
                      <w:rFonts w:hint="default" w:ascii="Times New Roman" w:hAnsi="Times New Roman" w:eastAsia="宋体"/>
                      <w:caps w:val="0"/>
                      <w:smallCaps w:val="0"/>
                      <w:snapToGrid/>
                      <w:color w:val="auto"/>
                      <w:sz w:val="21"/>
                      <w:szCs w:val="21"/>
                      <w:highlight w:val="none"/>
                      <w:vertAlign w:val="superscript"/>
                    </w:rPr>
                    <w:t>3</w:t>
                  </w:r>
                </w:p>
              </w:tc>
              <w:tc>
                <w:tcPr>
                  <w:tcW w:w="1233" w:type="pct"/>
                  <w:noWrap w:val="0"/>
                  <w:vAlign w:val="center"/>
                </w:tcPr>
                <w:p w14:paraId="44BA5D59">
                  <w:pPr>
                    <w:keepNext w:val="0"/>
                    <w:keepLines w:val="0"/>
                    <w:suppressLineNumbers w:val="0"/>
                    <w:spacing w:before="0" w:beforeAutospacing="0" w:after="0" w:afterAutospacing="0" w:line="240" w:lineRule="auto"/>
                    <w:ind w:left="0" w:right="0" w:firstLine="0" w:firstLineChars="0"/>
                    <w:jc w:val="center"/>
                    <w:rPr>
                      <w:rFonts w:hint="eastAsia" w:ascii="Times New Roman" w:hAnsi="Times New Roman" w:eastAsia="宋体" w:cs="Times New Roman"/>
                      <w:caps w:val="0"/>
                      <w:smallCaps w:val="0"/>
                      <w:snapToGrid/>
                      <w:color w:val="auto"/>
                      <w:kern w:val="2"/>
                      <w:sz w:val="21"/>
                      <w:szCs w:val="21"/>
                      <w:highlight w:val="none"/>
                      <w:lang w:val="en-US" w:eastAsia="zh-CN" w:bidi="ar-SA"/>
                    </w:rPr>
                  </w:pPr>
                  <w:r>
                    <w:rPr>
                      <w:rFonts w:hint="eastAsia"/>
                      <w:caps w:val="0"/>
                      <w:smallCaps w:val="0"/>
                      <w:snapToGrid/>
                      <w:color w:val="auto"/>
                      <w:sz w:val="21"/>
                      <w:szCs w:val="21"/>
                      <w:highlight w:val="none"/>
                      <w:lang w:eastAsia="zh-CN"/>
                    </w:rPr>
                    <w:t>年平均</w:t>
                  </w:r>
                </w:p>
              </w:tc>
              <w:tc>
                <w:tcPr>
                  <w:tcW w:w="765" w:type="pct"/>
                  <w:noWrap w:val="0"/>
                  <w:vAlign w:val="center"/>
                </w:tcPr>
                <w:p w14:paraId="028A9DB6">
                  <w:pPr>
                    <w:keepNext w:val="0"/>
                    <w:keepLines w:val="0"/>
                    <w:suppressLineNumbers w:val="0"/>
                    <w:spacing w:before="0" w:beforeAutospacing="0" w:after="0" w:afterAutospacing="0" w:line="240" w:lineRule="auto"/>
                    <w:ind w:left="0" w:right="0" w:firstLine="0" w:firstLineChars="0"/>
                    <w:jc w:val="center"/>
                    <w:rPr>
                      <w:rFonts w:hint="default" w:ascii="Times New Roman" w:hAnsi="Times New Roman" w:eastAsia="宋体"/>
                      <w:caps w:val="0"/>
                      <w:smallCaps w:val="0"/>
                      <w:snapToGrid/>
                      <w:color w:val="auto"/>
                      <w:sz w:val="21"/>
                      <w:szCs w:val="21"/>
                      <w:highlight w:val="none"/>
                      <w:lang w:val="en-US" w:eastAsia="zh-CN"/>
                    </w:rPr>
                  </w:pPr>
                  <w:r>
                    <w:rPr>
                      <w:rFonts w:hint="eastAsia"/>
                      <w:caps w:val="0"/>
                      <w:smallCaps w:val="0"/>
                      <w:snapToGrid/>
                      <w:color w:val="auto"/>
                      <w:sz w:val="21"/>
                      <w:szCs w:val="21"/>
                      <w:highlight w:val="none"/>
                      <w:lang w:val="en-US" w:eastAsia="zh-CN"/>
                    </w:rPr>
                    <w:t>70</w:t>
                  </w:r>
                </w:p>
              </w:tc>
              <w:tc>
                <w:tcPr>
                  <w:tcW w:w="1670" w:type="pct"/>
                  <w:vMerge w:val="continue"/>
                  <w:noWrap w:val="0"/>
                  <w:vAlign w:val="center"/>
                </w:tcPr>
                <w:p w14:paraId="39A493E1">
                  <w:pPr>
                    <w:keepNext w:val="0"/>
                    <w:keepLines w:val="0"/>
                    <w:suppressLineNumbers w:val="0"/>
                    <w:spacing w:before="0" w:beforeAutospacing="0" w:after="0" w:afterAutospacing="0" w:line="240" w:lineRule="auto"/>
                    <w:ind w:left="0" w:right="0" w:firstLine="0" w:firstLineChars="0"/>
                    <w:jc w:val="center"/>
                    <w:rPr>
                      <w:rFonts w:hint="default" w:ascii="Times New Roman" w:hAnsi="Times New Roman" w:eastAsia="宋体"/>
                      <w:caps w:val="0"/>
                      <w:smallCaps w:val="0"/>
                      <w:snapToGrid/>
                      <w:color w:val="auto"/>
                      <w:sz w:val="21"/>
                      <w:szCs w:val="21"/>
                      <w:highlight w:val="none"/>
                    </w:rPr>
                  </w:pPr>
                </w:p>
              </w:tc>
            </w:tr>
            <w:tr w14:paraId="351F54C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cantSplit/>
                <w:trHeight w:val="340" w:hRule="atLeast"/>
                <w:jc w:val="center"/>
              </w:trPr>
              <w:tc>
                <w:tcPr>
                  <w:tcW w:w="187" w:type="pct"/>
                  <w:vMerge w:val="continue"/>
                  <w:noWrap w:val="0"/>
                  <w:vAlign w:val="center"/>
                </w:tcPr>
                <w:p w14:paraId="6342C944">
                  <w:pPr>
                    <w:keepNext w:val="0"/>
                    <w:keepLines w:val="0"/>
                    <w:suppressLineNumbers w:val="0"/>
                    <w:spacing w:before="0" w:beforeAutospacing="0" w:after="0" w:afterAutospacing="0" w:line="240" w:lineRule="auto"/>
                    <w:ind w:left="0" w:right="0" w:firstLine="0" w:firstLineChars="0"/>
                    <w:jc w:val="center"/>
                    <w:rPr>
                      <w:rFonts w:hint="default"/>
                      <w:color w:val="auto"/>
                      <w:sz w:val="21"/>
                      <w:szCs w:val="21"/>
                      <w:highlight w:val="none"/>
                    </w:rPr>
                  </w:pPr>
                </w:p>
              </w:tc>
              <w:tc>
                <w:tcPr>
                  <w:tcW w:w="672" w:type="pct"/>
                  <w:vMerge w:val="continue"/>
                  <w:noWrap w:val="0"/>
                  <w:vAlign w:val="center"/>
                </w:tcPr>
                <w:p w14:paraId="2DF47538">
                  <w:pPr>
                    <w:keepNext w:val="0"/>
                    <w:keepLines w:val="0"/>
                    <w:suppressLineNumbers w:val="0"/>
                    <w:spacing w:before="0" w:beforeAutospacing="0" w:after="0" w:afterAutospacing="0" w:line="240" w:lineRule="auto"/>
                    <w:ind w:left="0" w:right="0" w:firstLine="0" w:firstLineChars="0"/>
                    <w:jc w:val="center"/>
                    <w:rPr>
                      <w:rFonts w:hint="default"/>
                      <w:color w:val="auto"/>
                      <w:sz w:val="21"/>
                      <w:szCs w:val="21"/>
                      <w:highlight w:val="none"/>
                    </w:rPr>
                  </w:pPr>
                </w:p>
              </w:tc>
              <w:tc>
                <w:tcPr>
                  <w:tcW w:w="471" w:type="pct"/>
                  <w:vMerge w:val="continue"/>
                  <w:noWrap w:val="0"/>
                  <w:vAlign w:val="center"/>
                </w:tcPr>
                <w:p w14:paraId="085E1A25">
                  <w:pPr>
                    <w:keepNext w:val="0"/>
                    <w:keepLines w:val="0"/>
                    <w:suppressLineNumbers w:val="0"/>
                    <w:spacing w:before="0" w:beforeAutospacing="0" w:after="0" w:afterAutospacing="0" w:line="240" w:lineRule="auto"/>
                    <w:ind w:left="0" w:right="0" w:firstLine="0" w:firstLineChars="0"/>
                    <w:jc w:val="center"/>
                    <w:rPr>
                      <w:rFonts w:hint="default"/>
                      <w:color w:val="auto"/>
                      <w:sz w:val="21"/>
                      <w:szCs w:val="21"/>
                      <w:highlight w:val="none"/>
                    </w:rPr>
                  </w:pPr>
                </w:p>
              </w:tc>
              <w:tc>
                <w:tcPr>
                  <w:tcW w:w="1233" w:type="pct"/>
                  <w:noWrap w:val="0"/>
                  <w:vAlign w:val="center"/>
                </w:tcPr>
                <w:p w14:paraId="4C1238F7">
                  <w:pPr>
                    <w:keepNext w:val="0"/>
                    <w:keepLines w:val="0"/>
                    <w:suppressLineNumbers w:val="0"/>
                    <w:spacing w:before="0" w:beforeAutospacing="0" w:after="0" w:afterAutospacing="0" w:line="240" w:lineRule="auto"/>
                    <w:ind w:left="0" w:right="0" w:firstLine="0" w:firstLineChars="0"/>
                    <w:jc w:val="center"/>
                    <w:rPr>
                      <w:rFonts w:hint="default" w:ascii="Times New Roman" w:hAnsi="Times New Roman" w:eastAsia="宋体" w:cs="Times New Roman"/>
                      <w:caps w:val="0"/>
                      <w:smallCaps w:val="0"/>
                      <w:snapToGrid/>
                      <w:color w:val="auto"/>
                      <w:kern w:val="2"/>
                      <w:sz w:val="21"/>
                      <w:szCs w:val="21"/>
                      <w:highlight w:val="none"/>
                      <w:lang w:val="en-US" w:eastAsia="zh-CN" w:bidi="ar-SA"/>
                    </w:rPr>
                  </w:pPr>
                  <w:r>
                    <w:rPr>
                      <w:rFonts w:hint="eastAsia"/>
                      <w:caps w:val="0"/>
                      <w:smallCaps w:val="0"/>
                      <w:snapToGrid/>
                      <w:color w:val="auto"/>
                      <w:sz w:val="21"/>
                      <w:szCs w:val="21"/>
                      <w:highlight w:val="none"/>
                      <w:lang w:val="en-US" w:eastAsia="zh-CN"/>
                    </w:rPr>
                    <w:t>24小时平均</w:t>
                  </w:r>
                </w:p>
              </w:tc>
              <w:tc>
                <w:tcPr>
                  <w:tcW w:w="765" w:type="pct"/>
                  <w:noWrap w:val="0"/>
                  <w:vAlign w:val="center"/>
                </w:tcPr>
                <w:p w14:paraId="5C3A25A5">
                  <w:pPr>
                    <w:keepNext w:val="0"/>
                    <w:keepLines w:val="0"/>
                    <w:suppressLineNumbers w:val="0"/>
                    <w:spacing w:before="0" w:beforeAutospacing="0" w:after="0" w:afterAutospacing="0" w:line="240" w:lineRule="auto"/>
                    <w:ind w:left="0" w:right="0" w:firstLine="0" w:firstLineChars="0"/>
                    <w:jc w:val="center"/>
                    <w:rPr>
                      <w:rFonts w:hint="default" w:ascii="Times New Roman" w:hAnsi="Times New Roman" w:eastAsia="宋体"/>
                      <w:caps w:val="0"/>
                      <w:smallCaps w:val="0"/>
                      <w:snapToGrid/>
                      <w:color w:val="auto"/>
                      <w:sz w:val="21"/>
                      <w:szCs w:val="21"/>
                      <w:highlight w:val="none"/>
                      <w:lang w:val="en-US" w:eastAsia="zh-CN"/>
                    </w:rPr>
                  </w:pPr>
                  <w:r>
                    <w:rPr>
                      <w:rFonts w:hint="eastAsia"/>
                      <w:caps w:val="0"/>
                      <w:smallCaps w:val="0"/>
                      <w:snapToGrid/>
                      <w:color w:val="auto"/>
                      <w:sz w:val="21"/>
                      <w:szCs w:val="21"/>
                      <w:highlight w:val="none"/>
                      <w:lang w:val="en-US" w:eastAsia="zh-CN"/>
                    </w:rPr>
                    <w:t>150</w:t>
                  </w:r>
                </w:p>
              </w:tc>
              <w:tc>
                <w:tcPr>
                  <w:tcW w:w="1670" w:type="pct"/>
                  <w:vMerge w:val="continue"/>
                  <w:noWrap w:val="0"/>
                  <w:vAlign w:val="center"/>
                </w:tcPr>
                <w:p w14:paraId="3722B9D0">
                  <w:pPr>
                    <w:keepNext w:val="0"/>
                    <w:keepLines w:val="0"/>
                    <w:suppressLineNumbers w:val="0"/>
                    <w:spacing w:before="0" w:beforeAutospacing="0" w:after="0" w:afterAutospacing="0" w:line="240" w:lineRule="auto"/>
                    <w:ind w:left="0" w:right="0" w:firstLine="0" w:firstLineChars="0"/>
                    <w:jc w:val="center"/>
                    <w:rPr>
                      <w:rFonts w:hint="default" w:ascii="Times New Roman" w:hAnsi="Times New Roman" w:eastAsia="宋体"/>
                      <w:caps w:val="0"/>
                      <w:smallCaps w:val="0"/>
                      <w:snapToGrid/>
                      <w:color w:val="auto"/>
                      <w:sz w:val="21"/>
                      <w:szCs w:val="21"/>
                      <w:highlight w:val="none"/>
                    </w:rPr>
                  </w:pPr>
                </w:p>
              </w:tc>
            </w:tr>
            <w:tr w14:paraId="621F011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cantSplit/>
                <w:trHeight w:val="340" w:hRule="atLeast"/>
                <w:jc w:val="center"/>
              </w:trPr>
              <w:tc>
                <w:tcPr>
                  <w:tcW w:w="187" w:type="pct"/>
                  <w:vMerge w:val="restart"/>
                  <w:noWrap w:val="0"/>
                  <w:vAlign w:val="center"/>
                </w:tcPr>
                <w:p w14:paraId="6F13F9DD">
                  <w:pPr>
                    <w:keepNext w:val="0"/>
                    <w:keepLines w:val="0"/>
                    <w:suppressLineNumbers w:val="0"/>
                    <w:spacing w:before="0" w:beforeAutospacing="0" w:after="0" w:afterAutospacing="0" w:line="240" w:lineRule="auto"/>
                    <w:ind w:left="0" w:right="0" w:firstLine="0" w:firstLineChars="0"/>
                    <w:jc w:val="center"/>
                    <w:rPr>
                      <w:rFonts w:hint="default" w:ascii="Times New Roman" w:hAnsi="Times New Roman" w:eastAsia="宋体"/>
                      <w:caps w:val="0"/>
                      <w:smallCaps w:val="0"/>
                      <w:snapToGrid/>
                      <w:color w:val="auto"/>
                      <w:sz w:val="21"/>
                      <w:szCs w:val="21"/>
                      <w:highlight w:val="none"/>
                      <w:lang w:val="en-US" w:eastAsia="zh-CN"/>
                    </w:rPr>
                  </w:pPr>
                  <w:r>
                    <w:rPr>
                      <w:rFonts w:hint="eastAsia"/>
                      <w:caps w:val="0"/>
                      <w:smallCaps w:val="0"/>
                      <w:snapToGrid/>
                      <w:color w:val="auto"/>
                      <w:sz w:val="21"/>
                      <w:szCs w:val="21"/>
                      <w:highlight w:val="none"/>
                      <w:lang w:val="en-US" w:eastAsia="zh-CN"/>
                    </w:rPr>
                    <w:t>4</w:t>
                  </w:r>
                </w:p>
              </w:tc>
              <w:tc>
                <w:tcPr>
                  <w:tcW w:w="672" w:type="pct"/>
                  <w:vMerge w:val="restart"/>
                  <w:noWrap w:val="0"/>
                  <w:vAlign w:val="center"/>
                </w:tcPr>
                <w:p w14:paraId="0B1F1874">
                  <w:pPr>
                    <w:keepNext w:val="0"/>
                    <w:keepLines w:val="0"/>
                    <w:suppressLineNumbers w:val="0"/>
                    <w:spacing w:before="0" w:beforeAutospacing="0" w:after="0" w:afterAutospacing="0" w:line="240" w:lineRule="auto"/>
                    <w:ind w:left="0" w:right="0" w:firstLine="0" w:firstLineChars="0"/>
                    <w:jc w:val="center"/>
                    <w:rPr>
                      <w:rFonts w:hint="default" w:ascii="Times New Roman" w:hAnsi="Times New Roman" w:eastAsia="宋体"/>
                      <w:caps w:val="0"/>
                      <w:smallCaps w:val="0"/>
                      <w:snapToGrid/>
                      <w:color w:val="auto"/>
                      <w:sz w:val="21"/>
                      <w:szCs w:val="21"/>
                      <w:highlight w:val="none"/>
                    </w:rPr>
                  </w:pPr>
                  <w:r>
                    <w:rPr>
                      <w:rFonts w:hint="default" w:ascii="Times New Roman" w:hAnsi="Times New Roman" w:eastAsia="宋体"/>
                      <w:caps w:val="0"/>
                      <w:smallCaps w:val="0"/>
                      <w:snapToGrid/>
                      <w:color w:val="auto"/>
                      <w:sz w:val="21"/>
                      <w:szCs w:val="21"/>
                      <w:highlight w:val="none"/>
                    </w:rPr>
                    <w:t>PM</w:t>
                  </w:r>
                  <w:r>
                    <w:rPr>
                      <w:rFonts w:hint="default" w:ascii="Times New Roman" w:hAnsi="Times New Roman" w:eastAsia="宋体"/>
                      <w:caps w:val="0"/>
                      <w:smallCaps w:val="0"/>
                      <w:snapToGrid/>
                      <w:color w:val="auto"/>
                      <w:sz w:val="21"/>
                      <w:szCs w:val="21"/>
                      <w:highlight w:val="none"/>
                      <w:vertAlign w:val="subscript"/>
                    </w:rPr>
                    <w:t>2.5</w:t>
                  </w:r>
                </w:p>
              </w:tc>
              <w:tc>
                <w:tcPr>
                  <w:tcW w:w="471" w:type="pct"/>
                  <w:vMerge w:val="restart"/>
                  <w:noWrap w:val="0"/>
                  <w:vAlign w:val="center"/>
                </w:tcPr>
                <w:p w14:paraId="45562546">
                  <w:pPr>
                    <w:keepNext w:val="0"/>
                    <w:keepLines w:val="0"/>
                    <w:suppressLineNumbers w:val="0"/>
                    <w:spacing w:before="0" w:beforeAutospacing="0" w:after="0" w:afterAutospacing="0" w:line="240" w:lineRule="auto"/>
                    <w:ind w:left="0" w:right="0" w:firstLine="0" w:firstLineChars="0"/>
                    <w:jc w:val="center"/>
                    <w:rPr>
                      <w:rFonts w:hint="default" w:ascii="Times New Roman" w:hAnsi="Times New Roman" w:eastAsia="宋体"/>
                      <w:caps w:val="0"/>
                      <w:smallCaps w:val="0"/>
                      <w:snapToGrid/>
                      <w:color w:val="auto"/>
                      <w:sz w:val="21"/>
                      <w:szCs w:val="21"/>
                      <w:highlight w:val="none"/>
                    </w:rPr>
                  </w:pPr>
                  <w:r>
                    <w:rPr>
                      <w:rFonts w:hint="default" w:ascii="Times New Roman" w:hAnsi="Times New Roman" w:eastAsia="宋体"/>
                      <w:caps w:val="0"/>
                      <w:smallCaps w:val="0"/>
                      <w:snapToGrid/>
                      <w:color w:val="auto"/>
                      <w:sz w:val="21"/>
                      <w:szCs w:val="21"/>
                      <w:highlight w:val="none"/>
                    </w:rPr>
                    <w:t>μg/m</w:t>
                  </w:r>
                  <w:r>
                    <w:rPr>
                      <w:rFonts w:hint="default" w:ascii="Times New Roman" w:hAnsi="Times New Roman" w:eastAsia="宋体"/>
                      <w:caps w:val="0"/>
                      <w:smallCaps w:val="0"/>
                      <w:snapToGrid/>
                      <w:color w:val="auto"/>
                      <w:sz w:val="21"/>
                      <w:szCs w:val="21"/>
                      <w:highlight w:val="none"/>
                      <w:vertAlign w:val="superscript"/>
                    </w:rPr>
                    <w:t>3</w:t>
                  </w:r>
                </w:p>
              </w:tc>
              <w:tc>
                <w:tcPr>
                  <w:tcW w:w="1233" w:type="pct"/>
                  <w:noWrap w:val="0"/>
                  <w:vAlign w:val="center"/>
                </w:tcPr>
                <w:p w14:paraId="144E0366">
                  <w:pPr>
                    <w:keepNext w:val="0"/>
                    <w:keepLines w:val="0"/>
                    <w:suppressLineNumbers w:val="0"/>
                    <w:spacing w:before="0" w:beforeAutospacing="0" w:after="0" w:afterAutospacing="0" w:line="240" w:lineRule="auto"/>
                    <w:ind w:left="0" w:right="0" w:firstLine="0" w:firstLineChars="0"/>
                    <w:jc w:val="center"/>
                    <w:rPr>
                      <w:rFonts w:hint="eastAsia" w:ascii="Times New Roman" w:hAnsi="Times New Roman" w:eastAsia="宋体" w:cs="Times New Roman"/>
                      <w:caps w:val="0"/>
                      <w:smallCaps w:val="0"/>
                      <w:snapToGrid/>
                      <w:color w:val="auto"/>
                      <w:kern w:val="2"/>
                      <w:sz w:val="21"/>
                      <w:szCs w:val="21"/>
                      <w:highlight w:val="none"/>
                      <w:lang w:val="en-US" w:eastAsia="zh-CN" w:bidi="ar-SA"/>
                    </w:rPr>
                  </w:pPr>
                  <w:r>
                    <w:rPr>
                      <w:rFonts w:hint="eastAsia"/>
                      <w:caps w:val="0"/>
                      <w:smallCaps w:val="0"/>
                      <w:snapToGrid/>
                      <w:color w:val="auto"/>
                      <w:sz w:val="21"/>
                      <w:szCs w:val="21"/>
                      <w:highlight w:val="none"/>
                      <w:lang w:eastAsia="zh-CN"/>
                    </w:rPr>
                    <w:t>年平均</w:t>
                  </w:r>
                </w:p>
              </w:tc>
              <w:tc>
                <w:tcPr>
                  <w:tcW w:w="765" w:type="pct"/>
                  <w:noWrap w:val="0"/>
                  <w:vAlign w:val="center"/>
                </w:tcPr>
                <w:p w14:paraId="2677B874">
                  <w:pPr>
                    <w:keepNext w:val="0"/>
                    <w:keepLines w:val="0"/>
                    <w:suppressLineNumbers w:val="0"/>
                    <w:spacing w:before="0" w:beforeAutospacing="0" w:after="0" w:afterAutospacing="0" w:line="240" w:lineRule="auto"/>
                    <w:ind w:left="0" w:right="0" w:firstLine="0" w:firstLineChars="0"/>
                    <w:jc w:val="center"/>
                    <w:rPr>
                      <w:rFonts w:hint="default" w:ascii="Times New Roman" w:hAnsi="Times New Roman" w:eastAsia="宋体"/>
                      <w:caps w:val="0"/>
                      <w:smallCaps w:val="0"/>
                      <w:snapToGrid/>
                      <w:color w:val="auto"/>
                      <w:sz w:val="21"/>
                      <w:szCs w:val="21"/>
                      <w:highlight w:val="none"/>
                      <w:lang w:val="en-US" w:eastAsia="zh-CN"/>
                    </w:rPr>
                  </w:pPr>
                  <w:r>
                    <w:rPr>
                      <w:rFonts w:hint="eastAsia"/>
                      <w:caps w:val="0"/>
                      <w:smallCaps w:val="0"/>
                      <w:snapToGrid/>
                      <w:color w:val="auto"/>
                      <w:sz w:val="21"/>
                      <w:szCs w:val="21"/>
                      <w:highlight w:val="none"/>
                      <w:lang w:val="en-US" w:eastAsia="zh-CN"/>
                    </w:rPr>
                    <w:t>35</w:t>
                  </w:r>
                </w:p>
              </w:tc>
              <w:tc>
                <w:tcPr>
                  <w:tcW w:w="1670" w:type="pct"/>
                  <w:vMerge w:val="continue"/>
                  <w:noWrap w:val="0"/>
                  <w:vAlign w:val="center"/>
                </w:tcPr>
                <w:p w14:paraId="47D240E9">
                  <w:pPr>
                    <w:keepNext w:val="0"/>
                    <w:keepLines w:val="0"/>
                    <w:suppressLineNumbers w:val="0"/>
                    <w:spacing w:before="0" w:beforeAutospacing="0" w:after="0" w:afterAutospacing="0" w:line="240" w:lineRule="auto"/>
                    <w:ind w:left="0" w:right="0" w:firstLine="0" w:firstLineChars="0"/>
                    <w:jc w:val="center"/>
                    <w:rPr>
                      <w:rFonts w:hint="default" w:ascii="Times New Roman" w:hAnsi="Times New Roman" w:eastAsia="宋体"/>
                      <w:caps w:val="0"/>
                      <w:smallCaps w:val="0"/>
                      <w:snapToGrid/>
                      <w:color w:val="auto"/>
                      <w:sz w:val="21"/>
                      <w:szCs w:val="21"/>
                      <w:highlight w:val="none"/>
                    </w:rPr>
                  </w:pPr>
                </w:p>
              </w:tc>
            </w:tr>
            <w:tr w14:paraId="61A0263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cantSplit/>
                <w:trHeight w:val="340" w:hRule="atLeast"/>
                <w:jc w:val="center"/>
              </w:trPr>
              <w:tc>
                <w:tcPr>
                  <w:tcW w:w="187" w:type="pct"/>
                  <w:vMerge w:val="continue"/>
                  <w:noWrap w:val="0"/>
                  <w:vAlign w:val="center"/>
                </w:tcPr>
                <w:p w14:paraId="7B564441">
                  <w:pPr>
                    <w:keepNext w:val="0"/>
                    <w:keepLines w:val="0"/>
                    <w:suppressLineNumbers w:val="0"/>
                    <w:spacing w:before="0" w:beforeAutospacing="0" w:after="0" w:afterAutospacing="0" w:line="240" w:lineRule="auto"/>
                    <w:ind w:left="0" w:right="0" w:firstLine="0" w:firstLineChars="0"/>
                    <w:jc w:val="center"/>
                    <w:rPr>
                      <w:rFonts w:hint="default"/>
                      <w:color w:val="auto"/>
                      <w:sz w:val="21"/>
                      <w:szCs w:val="21"/>
                      <w:highlight w:val="none"/>
                    </w:rPr>
                  </w:pPr>
                </w:p>
              </w:tc>
              <w:tc>
                <w:tcPr>
                  <w:tcW w:w="672" w:type="pct"/>
                  <w:vMerge w:val="continue"/>
                  <w:noWrap w:val="0"/>
                  <w:vAlign w:val="center"/>
                </w:tcPr>
                <w:p w14:paraId="535082E3">
                  <w:pPr>
                    <w:keepNext w:val="0"/>
                    <w:keepLines w:val="0"/>
                    <w:suppressLineNumbers w:val="0"/>
                    <w:spacing w:before="0" w:beforeAutospacing="0" w:after="0" w:afterAutospacing="0" w:line="240" w:lineRule="auto"/>
                    <w:ind w:left="0" w:right="0" w:firstLine="0" w:firstLineChars="0"/>
                    <w:jc w:val="center"/>
                    <w:rPr>
                      <w:rFonts w:hint="default"/>
                      <w:color w:val="auto"/>
                      <w:sz w:val="21"/>
                      <w:szCs w:val="21"/>
                      <w:highlight w:val="none"/>
                    </w:rPr>
                  </w:pPr>
                </w:p>
              </w:tc>
              <w:tc>
                <w:tcPr>
                  <w:tcW w:w="471" w:type="pct"/>
                  <w:vMerge w:val="continue"/>
                  <w:noWrap w:val="0"/>
                  <w:vAlign w:val="center"/>
                </w:tcPr>
                <w:p w14:paraId="006CDF98">
                  <w:pPr>
                    <w:keepNext w:val="0"/>
                    <w:keepLines w:val="0"/>
                    <w:suppressLineNumbers w:val="0"/>
                    <w:spacing w:before="0" w:beforeAutospacing="0" w:after="0" w:afterAutospacing="0" w:line="240" w:lineRule="auto"/>
                    <w:ind w:left="0" w:right="0" w:firstLine="0" w:firstLineChars="0"/>
                    <w:jc w:val="center"/>
                    <w:rPr>
                      <w:rFonts w:hint="default"/>
                      <w:color w:val="auto"/>
                      <w:sz w:val="21"/>
                      <w:szCs w:val="21"/>
                      <w:highlight w:val="none"/>
                    </w:rPr>
                  </w:pPr>
                </w:p>
              </w:tc>
              <w:tc>
                <w:tcPr>
                  <w:tcW w:w="1233" w:type="pct"/>
                  <w:noWrap w:val="0"/>
                  <w:vAlign w:val="center"/>
                </w:tcPr>
                <w:p w14:paraId="523CB065">
                  <w:pPr>
                    <w:keepNext w:val="0"/>
                    <w:keepLines w:val="0"/>
                    <w:suppressLineNumbers w:val="0"/>
                    <w:spacing w:before="0" w:beforeAutospacing="0" w:after="0" w:afterAutospacing="0" w:line="240" w:lineRule="auto"/>
                    <w:ind w:left="0" w:right="0" w:firstLine="0" w:firstLineChars="0"/>
                    <w:jc w:val="center"/>
                    <w:rPr>
                      <w:rFonts w:hint="default" w:ascii="Times New Roman" w:hAnsi="Times New Roman" w:eastAsia="宋体" w:cs="Times New Roman"/>
                      <w:caps w:val="0"/>
                      <w:smallCaps w:val="0"/>
                      <w:snapToGrid/>
                      <w:color w:val="auto"/>
                      <w:kern w:val="2"/>
                      <w:sz w:val="21"/>
                      <w:szCs w:val="21"/>
                      <w:highlight w:val="none"/>
                      <w:lang w:val="en-US" w:eastAsia="zh-CN" w:bidi="ar-SA"/>
                    </w:rPr>
                  </w:pPr>
                  <w:r>
                    <w:rPr>
                      <w:rFonts w:hint="eastAsia"/>
                      <w:caps w:val="0"/>
                      <w:smallCaps w:val="0"/>
                      <w:snapToGrid/>
                      <w:color w:val="auto"/>
                      <w:sz w:val="21"/>
                      <w:szCs w:val="21"/>
                      <w:highlight w:val="none"/>
                      <w:lang w:val="en-US" w:eastAsia="zh-CN"/>
                    </w:rPr>
                    <w:t>24小时平均</w:t>
                  </w:r>
                </w:p>
              </w:tc>
              <w:tc>
                <w:tcPr>
                  <w:tcW w:w="765" w:type="pct"/>
                  <w:noWrap w:val="0"/>
                  <w:vAlign w:val="center"/>
                </w:tcPr>
                <w:p w14:paraId="09D12C18">
                  <w:pPr>
                    <w:keepNext w:val="0"/>
                    <w:keepLines w:val="0"/>
                    <w:suppressLineNumbers w:val="0"/>
                    <w:spacing w:before="0" w:beforeAutospacing="0" w:after="0" w:afterAutospacing="0" w:line="240" w:lineRule="auto"/>
                    <w:ind w:left="0" w:right="0" w:firstLine="0" w:firstLineChars="0"/>
                    <w:jc w:val="center"/>
                    <w:rPr>
                      <w:rFonts w:hint="default" w:ascii="Times New Roman" w:hAnsi="Times New Roman" w:eastAsia="宋体"/>
                      <w:caps w:val="0"/>
                      <w:smallCaps w:val="0"/>
                      <w:snapToGrid/>
                      <w:color w:val="auto"/>
                      <w:sz w:val="21"/>
                      <w:szCs w:val="21"/>
                      <w:highlight w:val="none"/>
                      <w:lang w:val="en-US" w:eastAsia="zh-CN"/>
                    </w:rPr>
                  </w:pPr>
                  <w:r>
                    <w:rPr>
                      <w:rFonts w:hint="eastAsia"/>
                      <w:caps w:val="0"/>
                      <w:smallCaps w:val="0"/>
                      <w:snapToGrid/>
                      <w:color w:val="auto"/>
                      <w:sz w:val="21"/>
                      <w:szCs w:val="21"/>
                      <w:highlight w:val="none"/>
                      <w:lang w:val="en-US" w:eastAsia="zh-CN"/>
                    </w:rPr>
                    <w:t>75</w:t>
                  </w:r>
                </w:p>
              </w:tc>
              <w:tc>
                <w:tcPr>
                  <w:tcW w:w="1670" w:type="pct"/>
                  <w:vMerge w:val="continue"/>
                  <w:noWrap w:val="0"/>
                  <w:vAlign w:val="center"/>
                </w:tcPr>
                <w:p w14:paraId="3E4BE259">
                  <w:pPr>
                    <w:keepNext w:val="0"/>
                    <w:keepLines w:val="0"/>
                    <w:suppressLineNumbers w:val="0"/>
                    <w:spacing w:before="0" w:beforeAutospacing="0" w:after="0" w:afterAutospacing="0" w:line="240" w:lineRule="auto"/>
                    <w:ind w:left="0" w:right="0" w:firstLine="0" w:firstLineChars="0"/>
                    <w:jc w:val="center"/>
                    <w:rPr>
                      <w:rFonts w:hint="default" w:ascii="Times New Roman" w:hAnsi="Times New Roman" w:eastAsia="宋体"/>
                      <w:caps w:val="0"/>
                      <w:smallCaps w:val="0"/>
                      <w:snapToGrid/>
                      <w:color w:val="auto"/>
                      <w:sz w:val="21"/>
                      <w:szCs w:val="21"/>
                      <w:highlight w:val="none"/>
                    </w:rPr>
                  </w:pPr>
                </w:p>
              </w:tc>
            </w:tr>
            <w:tr w14:paraId="714A32E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cantSplit/>
                <w:trHeight w:val="340" w:hRule="atLeast"/>
                <w:jc w:val="center"/>
              </w:trPr>
              <w:tc>
                <w:tcPr>
                  <w:tcW w:w="187" w:type="pct"/>
                  <w:vMerge w:val="restart"/>
                  <w:noWrap w:val="0"/>
                  <w:vAlign w:val="center"/>
                </w:tcPr>
                <w:p w14:paraId="741C5035">
                  <w:pPr>
                    <w:keepNext w:val="0"/>
                    <w:keepLines w:val="0"/>
                    <w:suppressLineNumbers w:val="0"/>
                    <w:spacing w:before="0" w:beforeAutospacing="0" w:after="0" w:afterAutospacing="0" w:line="240" w:lineRule="auto"/>
                    <w:ind w:left="0" w:right="0" w:firstLine="0" w:firstLineChars="0"/>
                    <w:jc w:val="center"/>
                    <w:rPr>
                      <w:rFonts w:hint="default" w:ascii="Times New Roman" w:hAnsi="Times New Roman" w:eastAsia="宋体"/>
                      <w:caps w:val="0"/>
                      <w:smallCaps w:val="0"/>
                      <w:snapToGrid/>
                      <w:color w:val="auto"/>
                      <w:sz w:val="21"/>
                      <w:szCs w:val="21"/>
                      <w:highlight w:val="none"/>
                      <w:lang w:val="en-US" w:eastAsia="zh-CN"/>
                    </w:rPr>
                  </w:pPr>
                  <w:r>
                    <w:rPr>
                      <w:rFonts w:hint="eastAsia"/>
                      <w:caps w:val="0"/>
                      <w:smallCaps w:val="0"/>
                      <w:snapToGrid/>
                      <w:color w:val="auto"/>
                      <w:sz w:val="21"/>
                      <w:szCs w:val="21"/>
                      <w:highlight w:val="none"/>
                      <w:lang w:val="en-US" w:eastAsia="zh-CN"/>
                    </w:rPr>
                    <w:t>5</w:t>
                  </w:r>
                </w:p>
              </w:tc>
              <w:tc>
                <w:tcPr>
                  <w:tcW w:w="672" w:type="pct"/>
                  <w:vMerge w:val="restart"/>
                  <w:noWrap w:val="0"/>
                  <w:vAlign w:val="center"/>
                </w:tcPr>
                <w:p w14:paraId="38EC719E">
                  <w:pPr>
                    <w:keepNext w:val="0"/>
                    <w:keepLines w:val="0"/>
                    <w:suppressLineNumbers w:val="0"/>
                    <w:spacing w:before="0" w:beforeAutospacing="0" w:after="0" w:afterAutospacing="0" w:line="240" w:lineRule="auto"/>
                    <w:ind w:left="0" w:right="0" w:firstLine="0" w:firstLineChars="0"/>
                    <w:jc w:val="center"/>
                    <w:rPr>
                      <w:rFonts w:hint="default" w:ascii="Times New Roman" w:hAnsi="Times New Roman" w:eastAsia="宋体"/>
                      <w:caps w:val="0"/>
                      <w:smallCaps w:val="0"/>
                      <w:snapToGrid/>
                      <w:color w:val="auto"/>
                      <w:sz w:val="21"/>
                      <w:szCs w:val="21"/>
                      <w:highlight w:val="none"/>
                      <w:lang w:val="en-US" w:eastAsia="zh-CN"/>
                    </w:rPr>
                  </w:pPr>
                  <w:r>
                    <w:rPr>
                      <w:rFonts w:hint="eastAsia"/>
                      <w:caps w:val="0"/>
                      <w:smallCaps w:val="0"/>
                      <w:snapToGrid/>
                      <w:color w:val="auto"/>
                      <w:sz w:val="21"/>
                      <w:szCs w:val="21"/>
                      <w:highlight w:val="none"/>
                      <w:lang w:val="en-US" w:eastAsia="zh-CN"/>
                    </w:rPr>
                    <w:t>O</w:t>
                  </w:r>
                  <w:r>
                    <w:rPr>
                      <w:rFonts w:hint="eastAsia"/>
                      <w:caps w:val="0"/>
                      <w:smallCaps w:val="0"/>
                      <w:snapToGrid/>
                      <w:color w:val="auto"/>
                      <w:sz w:val="21"/>
                      <w:szCs w:val="21"/>
                      <w:highlight w:val="none"/>
                      <w:vertAlign w:val="subscript"/>
                      <w:lang w:val="en-US" w:eastAsia="zh-CN"/>
                    </w:rPr>
                    <w:t>3</w:t>
                  </w:r>
                </w:p>
              </w:tc>
              <w:tc>
                <w:tcPr>
                  <w:tcW w:w="471" w:type="pct"/>
                  <w:vMerge w:val="restart"/>
                  <w:noWrap w:val="0"/>
                  <w:vAlign w:val="center"/>
                </w:tcPr>
                <w:p w14:paraId="06349481">
                  <w:pPr>
                    <w:keepNext w:val="0"/>
                    <w:keepLines w:val="0"/>
                    <w:suppressLineNumbers w:val="0"/>
                    <w:spacing w:before="0" w:beforeAutospacing="0" w:after="0" w:afterAutospacing="0" w:line="240" w:lineRule="auto"/>
                    <w:ind w:left="0" w:right="0" w:firstLine="0" w:firstLineChars="0"/>
                    <w:jc w:val="center"/>
                    <w:rPr>
                      <w:rFonts w:hint="default" w:ascii="Times New Roman" w:hAnsi="Times New Roman" w:eastAsia="宋体"/>
                      <w:caps w:val="0"/>
                      <w:smallCaps w:val="0"/>
                      <w:snapToGrid/>
                      <w:color w:val="auto"/>
                      <w:sz w:val="21"/>
                      <w:szCs w:val="21"/>
                      <w:highlight w:val="none"/>
                    </w:rPr>
                  </w:pPr>
                  <w:r>
                    <w:rPr>
                      <w:rFonts w:hint="default" w:ascii="Times New Roman" w:hAnsi="Times New Roman" w:eastAsia="宋体"/>
                      <w:caps w:val="0"/>
                      <w:smallCaps w:val="0"/>
                      <w:snapToGrid/>
                      <w:color w:val="auto"/>
                      <w:sz w:val="21"/>
                      <w:szCs w:val="21"/>
                      <w:highlight w:val="none"/>
                    </w:rPr>
                    <w:t>μg/m</w:t>
                  </w:r>
                  <w:r>
                    <w:rPr>
                      <w:rFonts w:hint="default" w:ascii="Times New Roman" w:hAnsi="Times New Roman" w:eastAsia="宋体"/>
                      <w:caps w:val="0"/>
                      <w:smallCaps w:val="0"/>
                      <w:snapToGrid/>
                      <w:color w:val="auto"/>
                      <w:sz w:val="21"/>
                      <w:szCs w:val="21"/>
                      <w:highlight w:val="none"/>
                      <w:vertAlign w:val="superscript"/>
                    </w:rPr>
                    <w:t>3</w:t>
                  </w:r>
                </w:p>
              </w:tc>
              <w:tc>
                <w:tcPr>
                  <w:tcW w:w="1233" w:type="pct"/>
                  <w:noWrap w:val="0"/>
                  <w:vAlign w:val="center"/>
                </w:tcPr>
                <w:p w14:paraId="6DD223DF">
                  <w:pPr>
                    <w:keepNext w:val="0"/>
                    <w:keepLines w:val="0"/>
                    <w:suppressLineNumbers w:val="0"/>
                    <w:spacing w:before="0" w:beforeAutospacing="0" w:after="0" w:afterAutospacing="0" w:line="240" w:lineRule="auto"/>
                    <w:ind w:left="0" w:right="0" w:firstLine="0" w:firstLineChars="0"/>
                    <w:jc w:val="center"/>
                    <w:rPr>
                      <w:rFonts w:hint="default" w:ascii="Times New Roman" w:hAnsi="Times New Roman" w:eastAsia="宋体"/>
                      <w:caps w:val="0"/>
                      <w:smallCaps w:val="0"/>
                      <w:snapToGrid/>
                      <w:color w:val="auto"/>
                      <w:sz w:val="21"/>
                      <w:szCs w:val="21"/>
                      <w:highlight w:val="none"/>
                      <w:lang w:val="en-US" w:eastAsia="zh-CN"/>
                    </w:rPr>
                  </w:pPr>
                  <w:r>
                    <w:rPr>
                      <w:rFonts w:hint="eastAsia"/>
                      <w:caps w:val="0"/>
                      <w:smallCaps w:val="0"/>
                      <w:snapToGrid/>
                      <w:color w:val="auto"/>
                      <w:sz w:val="21"/>
                      <w:szCs w:val="21"/>
                      <w:highlight w:val="none"/>
                      <w:lang w:eastAsia="zh-CN"/>
                    </w:rPr>
                    <w:t>日最大</w:t>
                  </w:r>
                  <w:r>
                    <w:rPr>
                      <w:rFonts w:hint="eastAsia"/>
                      <w:caps w:val="0"/>
                      <w:smallCaps w:val="0"/>
                      <w:snapToGrid/>
                      <w:color w:val="auto"/>
                      <w:sz w:val="21"/>
                      <w:szCs w:val="21"/>
                      <w:highlight w:val="none"/>
                      <w:lang w:val="en-US" w:eastAsia="zh-CN"/>
                    </w:rPr>
                    <w:t>8小时平均</w:t>
                  </w:r>
                </w:p>
              </w:tc>
              <w:tc>
                <w:tcPr>
                  <w:tcW w:w="765" w:type="pct"/>
                  <w:noWrap w:val="0"/>
                  <w:vAlign w:val="center"/>
                </w:tcPr>
                <w:p w14:paraId="6DFC1CA2">
                  <w:pPr>
                    <w:keepNext w:val="0"/>
                    <w:keepLines w:val="0"/>
                    <w:suppressLineNumbers w:val="0"/>
                    <w:spacing w:before="0" w:beforeAutospacing="0" w:after="0" w:afterAutospacing="0" w:line="240" w:lineRule="auto"/>
                    <w:ind w:left="0" w:right="0" w:firstLine="0" w:firstLineChars="0"/>
                    <w:jc w:val="center"/>
                    <w:rPr>
                      <w:rFonts w:hint="default" w:ascii="Times New Roman" w:hAnsi="Times New Roman" w:eastAsia="宋体"/>
                      <w:caps w:val="0"/>
                      <w:smallCaps w:val="0"/>
                      <w:snapToGrid/>
                      <w:color w:val="auto"/>
                      <w:sz w:val="21"/>
                      <w:szCs w:val="21"/>
                      <w:highlight w:val="none"/>
                      <w:lang w:val="en-US" w:eastAsia="zh-CN"/>
                    </w:rPr>
                  </w:pPr>
                  <w:r>
                    <w:rPr>
                      <w:rFonts w:hint="eastAsia"/>
                      <w:caps w:val="0"/>
                      <w:smallCaps w:val="0"/>
                      <w:snapToGrid/>
                      <w:color w:val="auto"/>
                      <w:sz w:val="21"/>
                      <w:szCs w:val="21"/>
                      <w:highlight w:val="none"/>
                      <w:lang w:val="en-US" w:eastAsia="zh-CN"/>
                    </w:rPr>
                    <w:t>160</w:t>
                  </w:r>
                </w:p>
              </w:tc>
              <w:tc>
                <w:tcPr>
                  <w:tcW w:w="1670" w:type="pct"/>
                  <w:vMerge w:val="continue"/>
                  <w:noWrap w:val="0"/>
                  <w:vAlign w:val="center"/>
                </w:tcPr>
                <w:p w14:paraId="44B518C0">
                  <w:pPr>
                    <w:keepNext w:val="0"/>
                    <w:keepLines w:val="0"/>
                    <w:suppressLineNumbers w:val="0"/>
                    <w:spacing w:before="0" w:beforeAutospacing="0" w:after="0" w:afterAutospacing="0" w:line="240" w:lineRule="auto"/>
                    <w:ind w:left="0" w:right="0" w:firstLine="0" w:firstLineChars="0"/>
                    <w:jc w:val="center"/>
                    <w:rPr>
                      <w:rFonts w:hint="default" w:ascii="Times New Roman" w:hAnsi="Times New Roman" w:eastAsia="宋体"/>
                      <w:caps w:val="0"/>
                      <w:smallCaps w:val="0"/>
                      <w:snapToGrid/>
                      <w:color w:val="auto"/>
                      <w:sz w:val="21"/>
                      <w:szCs w:val="21"/>
                      <w:highlight w:val="none"/>
                    </w:rPr>
                  </w:pPr>
                </w:p>
              </w:tc>
            </w:tr>
            <w:tr w14:paraId="798906D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cantSplit/>
                <w:trHeight w:val="340" w:hRule="atLeast"/>
                <w:jc w:val="center"/>
              </w:trPr>
              <w:tc>
                <w:tcPr>
                  <w:tcW w:w="187" w:type="pct"/>
                  <w:vMerge w:val="continue"/>
                  <w:noWrap w:val="0"/>
                  <w:vAlign w:val="center"/>
                </w:tcPr>
                <w:p w14:paraId="660127FE">
                  <w:pPr>
                    <w:keepNext w:val="0"/>
                    <w:keepLines w:val="0"/>
                    <w:suppressLineNumbers w:val="0"/>
                    <w:spacing w:before="0" w:beforeAutospacing="0" w:after="0" w:afterAutospacing="0" w:line="240" w:lineRule="auto"/>
                    <w:ind w:left="0" w:right="0" w:firstLine="0" w:firstLineChars="0"/>
                    <w:jc w:val="center"/>
                    <w:rPr>
                      <w:rFonts w:hint="default"/>
                      <w:color w:val="auto"/>
                      <w:sz w:val="21"/>
                      <w:szCs w:val="21"/>
                      <w:highlight w:val="none"/>
                    </w:rPr>
                  </w:pPr>
                </w:p>
              </w:tc>
              <w:tc>
                <w:tcPr>
                  <w:tcW w:w="672" w:type="pct"/>
                  <w:vMerge w:val="continue"/>
                  <w:noWrap w:val="0"/>
                  <w:vAlign w:val="center"/>
                </w:tcPr>
                <w:p w14:paraId="37BA33A2">
                  <w:pPr>
                    <w:keepNext w:val="0"/>
                    <w:keepLines w:val="0"/>
                    <w:suppressLineNumbers w:val="0"/>
                    <w:spacing w:before="0" w:beforeAutospacing="0" w:after="0" w:afterAutospacing="0" w:line="240" w:lineRule="auto"/>
                    <w:ind w:left="0" w:right="0" w:firstLine="0" w:firstLineChars="0"/>
                    <w:jc w:val="center"/>
                    <w:rPr>
                      <w:rFonts w:hint="default"/>
                      <w:color w:val="auto"/>
                      <w:sz w:val="21"/>
                      <w:szCs w:val="21"/>
                      <w:highlight w:val="none"/>
                    </w:rPr>
                  </w:pPr>
                </w:p>
              </w:tc>
              <w:tc>
                <w:tcPr>
                  <w:tcW w:w="471" w:type="pct"/>
                  <w:vMerge w:val="continue"/>
                  <w:noWrap w:val="0"/>
                  <w:vAlign w:val="center"/>
                </w:tcPr>
                <w:p w14:paraId="1D52D088">
                  <w:pPr>
                    <w:keepNext w:val="0"/>
                    <w:keepLines w:val="0"/>
                    <w:suppressLineNumbers w:val="0"/>
                    <w:spacing w:before="0" w:beforeAutospacing="0" w:after="0" w:afterAutospacing="0" w:line="240" w:lineRule="auto"/>
                    <w:ind w:left="0" w:right="0" w:firstLine="0" w:firstLineChars="0"/>
                    <w:jc w:val="center"/>
                    <w:rPr>
                      <w:rFonts w:hint="default"/>
                      <w:color w:val="auto"/>
                      <w:sz w:val="21"/>
                      <w:szCs w:val="21"/>
                      <w:highlight w:val="none"/>
                    </w:rPr>
                  </w:pPr>
                </w:p>
              </w:tc>
              <w:tc>
                <w:tcPr>
                  <w:tcW w:w="1233" w:type="pct"/>
                  <w:noWrap w:val="0"/>
                  <w:vAlign w:val="center"/>
                </w:tcPr>
                <w:p w14:paraId="494EC552">
                  <w:pPr>
                    <w:keepNext w:val="0"/>
                    <w:keepLines w:val="0"/>
                    <w:suppressLineNumbers w:val="0"/>
                    <w:spacing w:before="0" w:beforeAutospacing="0" w:after="0" w:afterAutospacing="0" w:line="240" w:lineRule="auto"/>
                    <w:ind w:left="0" w:right="0" w:firstLine="0" w:firstLineChars="0"/>
                    <w:jc w:val="center"/>
                    <w:rPr>
                      <w:rFonts w:hint="eastAsia" w:ascii="Times New Roman" w:hAnsi="Times New Roman" w:eastAsia="宋体"/>
                      <w:caps w:val="0"/>
                      <w:smallCaps w:val="0"/>
                      <w:snapToGrid/>
                      <w:color w:val="auto"/>
                      <w:sz w:val="21"/>
                      <w:szCs w:val="21"/>
                      <w:highlight w:val="none"/>
                      <w:lang w:val="en-US" w:eastAsia="zh-CN"/>
                    </w:rPr>
                  </w:pPr>
                  <w:r>
                    <w:rPr>
                      <w:rFonts w:hint="eastAsia"/>
                      <w:caps w:val="0"/>
                      <w:smallCaps w:val="0"/>
                      <w:snapToGrid/>
                      <w:color w:val="auto"/>
                      <w:sz w:val="21"/>
                      <w:szCs w:val="21"/>
                      <w:highlight w:val="none"/>
                      <w:lang w:val="en-US" w:eastAsia="zh-CN"/>
                    </w:rPr>
                    <w:t>1小时平均</w:t>
                  </w:r>
                </w:p>
              </w:tc>
              <w:tc>
                <w:tcPr>
                  <w:tcW w:w="765" w:type="pct"/>
                  <w:noWrap w:val="0"/>
                  <w:vAlign w:val="center"/>
                </w:tcPr>
                <w:p w14:paraId="07C5A3E5">
                  <w:pPr>
                    <w:keepNext w:val="0"/>
                    <w:keepLines w:val="0"/>
                    <w:suppressLineNumbers w:val="0"/>
                    <w:spacing w:before="0" w:beforeAutospacing="0" w:after="0" w:afterAutospacing="0" w:line="240" w:lineRule="auto"/>
                    <w:ind w:left="0" w:right="0" w:firstLine="0" w:firstLineChars="0"/>
                    <w:jc w:val="center"/>
                    <w:rPr>
                      <w:rFonts w:hint="default" w:ascii="Times New Roman" w:hAnsi="Times New Roman" w:eastAsia="宋体"/>
                      <w:caps w:val="0"/>
                      <w:smallCaps w:val="0"/>
                      <w:snapToGrid/>
                      <w:color w:val="auto"/>
                      <w:sz w:val="21"/>
                      <w:szCs w:val="21"/>
                      <w:highlight w:val="none"/>
                      <w:lang w:val="en-US" w:eastAsia="zh-CN"/>
                    </w:rPr>
                  </w:pPr>
                  <w:r>
                    <w:rPr>
                      <w:rFonts w:hint="eastAsia"/>
                      <w:caps w:val="0"/>
                      <w:smallCaps w:val="0"/>
                      <w:snapToGrid/>
                      <w:color w:val="auto"/>
                      <w:sz w:val="21"/>
                      <w:szCs w:val="21"/>
                      <w:highlight w:val="none"/>
                      <w:lang w:val="en-US" w:eastAsia="zh-CN"/>
                    </w:rPr>
                    <w:t>200</w:t>
                  </w:r>
                </w:p>
              </w:tc>
              <w:tc>
                <w:tcPr>
                  <w:tcW w:w="1670" w:type="pct"/>
                  <w:vMerge w:val="continue"/>
                  <w:noWrap w:val="0"/>
                  <w:vAlign w:val="center"/>
                </w:tcPr>
                <w:p w14:paraId="38D4E6C4">
                  <w:pPr>
                    <w:keepNext w:val="0"/>
                    <w:keepLines w:val="0"/>
                    <w:suppressLineNumbers w:val="0"/>
                    <w:spacing w:before="0" w:beforeAutospacing="0" w:after="0" w:afterAutospacing="0" w:line="240" w:lineRule="auto"/>
                    <w:ind w:left="0" w:right="0" w:firstLine="0" w:firstLineChars="0"/>
                    <w:jc w:val="center"/>
                    <w:rPr>
                      <w:rFonts w:hint="default" w:ascii="Times New Roman" w:hAnsi="Times New Roman" w:eastAsia="宋体"/>
                      <w:caps w:val="0"/>
                      <w:smallCaps w:val="0"/>
                      <w:snapToGrid/>
                      <w:color w:val="auto"/>
                      <w:sz w:val="21"/>
                      <w:szCs w:val="21"/>
                      <w:highlight w:val="none"/>
                    </w:rPr>
                  </w:pPr>
                </w:p>
              </w:tc>
            </w:tr>
            <w:tr w14:paraId="6FD7743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cantSplit/>
                <w:trHeight w:val="340" w:hRule="atLeast"/>
                <w:jc w:val="center"/>
              </w:trPr>
              <w:tc>
                <w:tcPr>
                  <w:tcW w:w="187" w:type="pct"/>
                  <w:vMerge w:val="restart"/>
                  <w:noWrap w:val="0"/>
                  <w:vAlign w:val="center"/>
                </w:tcPr>
                <w:p w14:paraId="643FEE5A">
                  <w:pPr>
                    <w:keepNext w:val="0"/>
                    <w:keepLines w:val="0"/>
                    <w:suppressLineNumbers w:val="0"/>
                    <w:spacing w:before="0" w:beforeAutospacing="0" w:after="0" w:afterAutospacing="0" w:line="240" w:lineRule="auto"/>
                    <w:ind w:left="0" w:right="0" w:firstLine="0" w:firstLineChars="0"/>
                    <w:jc w:val="center"/>
                    <w:rPr>
                      <w:rFonts w:hint="default" w:ascii="Times New Roman" w:hAnsi="Times New Roman" w:eastAsia="宋体" w:cs="Times New Roman"/>
                      <w:caps w:val="0"/>
                      <w:smallCaps w:val="0"/>
                      <w:snapToGrid/>
                      <w:color w:val="auto"/>
                      <w:kern w:val="2"/>
                      <w:sz w:val="21"/>
                      <w:szCs w:val="21"/>
                      <w:highlight w:val="none"/>
                      <w:lang w:val="en-US" w:eastAsia="zh-CN" w:bidi="ar-SA"/>
                    </w:rPr>
                  </w:pPr>
                  <w:r>
                    <w:rPr>
                      <w:rFonts w:hint="eastAsia" w:cs="Times New Roman"/>
                      <w:caps w:val="0"/>
                      <w:smallCaps w:val="0"/>
                      <w:snapToGrid/>
                      <w:color w:val="auto"/>
                      <w:kern w:val="2"/>
                      <w:sz w:val="21"/>
                      <w:szCs w:val="21"/>
                      <w:highlight w:val="none"/>
                      <w:lang w:val="en-US" w:eastAsia="zh-CN" w:bidi="ar-SA"/>
                    </w:rPr>
                    <w:t>6</w:t>
                  </w:r>
                </w:p>
              </w:tc>
              <w:tc>
                <w:tcPr>
                  <w:tcW w:w="672" w:type="pct"/>
                  <w:vMerge w:val="restart"/>
                  <w:noWrap w:val="0"/>
                  <w:vAlign w:val="center"/>
                </w:tcPr>
                <w:p w14:paraId="3945BF27">
                  <w:pPr>
                    <w:keepNext w:val="0"/>
                    <w:keepLines w:val="0"/>
                    <w:suppressLineNumbers w:val="0"/>
                    <w:spacing w:before="0" w:beforeAutospacing="0" w:after="0" w:afterAutospacing="0" w:line="240" w:lineRule="auto"/>
                    <w:ind w:left="0" w:right="0" w:firstLine="0" w:firstLineChars="0"/>
                    <w:jc w:val="center"/>
                    <w:rPr>
                      <w:rFonts w:hint="eastAsia" w:ascii="Times New Roman" w:hAnsi="Times New Roman" w:eastAsia="宋体" w:cs="Times New Roman"/>
                      <w:caps w:val="0"/>
                      <w:smallCaps w:val="0"/>
                      <w:snapToGrid/>
                      <w:color w:val="auto"/>
                      <w:kern w:val="2"/>
                      <w:sz w:val="21"/>
                      <w:szCs w:val="21"/>
                      <w:highlight w:val="none"/>
                      <w:lang w:val="en-US" w:eastAsia="zh-CN" w:bidi="ar-SA"/>
                    </w:rPr>
                  </w:pPr>
                  <w:r>
                    <w:rPr>
                      <w:rFonts w:hint="default" w:ascii="Times New Roman" w:hAnsi="Times New Roman" w:eastAsia="宋体"/>
                      <w:caps w:val="0"/>
                      <w:smallCaps w:val="0"/>
                      <w:snapToGrid/>
                      <w:color w:val="auto"/>
                      <w:sz w:val="21"/>
                      <w:szCs w:val="21"/>
                      <w:highlight w:val="none"/>
                    </w:rPr>
                    <w:t>CO</w:t>
                  </w:r>
                </w:p>
              </w:tc>
              <w:tc>
                <w:tcPr>
                  <w:tcW w:w="471" w:type="pct"/>
                  <w:vMerge w:val="restart"/>
                  <w:noWrap w:val="0"/>
                  <w:vAlign w:val="center"/>
                </w:tcPr>
                <w:p w14:paraId="2053B847">
                  <w:pPr>
                    <w:keepNext w:val="0"/>
                    <w:keepLines w:val="0"/>
                    <w:suppressLineNumbers w:val="0"/>
                    <w:spacing w:before="0" w:beforeAutospacing="0" w:after="0" w:afterAutospacing="0" w:line="240" w:lineRule="auto"/>
                    <w:ind w:left="0" w:right="0" w:firstLine="0" w:firstLineChars="0"/>
                    <w:jc w:val="center"/>
                    <w:rPr>
                      <w:rFonts w:hint="default" w:ascii="Times New Roman" w:hAnsi="Times New Roman" w:eastAsia="宋体" w:cs="Times New Roman"/>
                      <w:caps w:val="0"/>
                      <w:smallCaps w:val="0"/>
                      <w:snapToGrid/>
                      <w:color w:val="auto"/>
                      <w:kern w:val="2"/>
                      <w:sz w:val="21"/>
                      <w:szCs w:val="21"/>
                      <w:highlight w:val="none"/>
                      <w:lang w:val="en-US" w:eastAsia="zh-CN" w:bidi="ar-SA"/>
                    </w:rPr>
                  </w:pPr>
                  <w:r>
                    <w:rPr>
                      <w:rFonts w:hint="eastAsia" w:ascii="Times New Roman" w:hAnsi="Times New Roman" w:eastAsia="宋体"/>
                      <w:caps w:val="0"/>
                      <w:smallCaps w:val="0"/>
                      <w:snapToGrid/>
                      <w:color w:val="auto"/>
                      <w:sz w:val="21"/>
                      <w:szCs w:val="21"/>
                      <w:highlight w:val="none"/>
                    </w:rPr>
                    <w:t>mg</w:t>
                  </w:r>
                  <w:r>
                    <w:rPr>
                      <w:rFonts w:hint="default" w:ascii="Times New Roman" w:hAnsi="Times New Roman" w:eastAsia="宋体"/>
                      <w:caps w:val="0"/>
                      <w:smallCaps w:val="0"/>
                      <w:snapToGrid/>
                      <w:color w:val="auto"/>
                      <w:sz w:val="21"/>
                      <w:szCs w:val="21"/>
                      <w:highlight w:val="none"/>
                    </w:rPr>
                    <w:t>/m</w:t>
                  </w:r>
                  <w:r>
                    <w:rPr>
                      <w:rFonts w:hint="default" w:ascii="Times New Roman" w:hAnsi="Times New Roman" w:eastAsia="宋体"/>
                      <w:caps w:val="0"/>
                      <w:smallCaps w:val="0"/>
                      <w:snapToGrid/>
                      <w:color w:val="auto"/>
                      <w:sz w:val="21"/>
                      <w:szCs w:val="21"/>
                      <w:highlight w:val="none"/>
                      <w:vertAlign w:val="superscript"/>
                    </w:rPr>
                    <w:t>3</w:t>
                  </w:r>
                </w:p>
              </w:tc>
              <w:tc>
                <w:tcPr>
                  <w:tcW w:w="1233" w:type="pct"/>
                  <w:noWrap w:val="0"/>
                  <w:vAlign w:val="center"/>
                </w:tcPr>
                <w:p w14:paraId="56ECB026">
                  <w:pPr>
                    <w:keepNext w:val="0"/>
                    <w:keepLines w:val="0"/>
                    <w:suppressLineNumbers w:val="0"/>
                    <w:spacing w:before="0" w:beforeAutospacing="0" w:after="0" w:afterAutospacing="0" w:line="240" w:lineRule="auto"/>
                    <w:ind w:left="0" w:right="0" w:firstLine="0" w:firstLineChars="0"/>
                    <w:jc w:val="center"/>
                    <w:rPr>
                      <w:rFonts w:hint="default" w:ascii="Times New Roman" w:hAnsi="Times New Roman" w:eastAsia="宋体"/>
                      <w:caps w:val="0"/>
                      <w:smallCaps w:val="0"/>
                      <w:snapToGrid/>
                      <w:color w:val="auto"/>
                      <w:sz w:val="21"/>
                      <w:szCs w:val="21"/>
                      <w:highlight w:val="none"/>
                      <w:lang w:val="en-US" w:eastAsia="zh-CN"/>
                    </w:rPr>
                  </w:pPr>
                  <w:r>
                    <w:rPr>
                      <w:rFonts w:hint="eastAsia"/>
                      <w:caps w:val="0"/>
                      <w:smallCaps w:val="0"/>
                      <w:snapToGrid/>
                      <w:color w:val="auto"/>
                      <w:sz w:val="21"/>
                      <w:szCs w:val="21"/>
                      <w:highlight w:val="none"/>
                      <w:lang w:val="en-US" w:eastAsia="zh-CN"/>
                    </w:rPr>
                    <w:t>24小时平均</w:t>
                  </w:r>
                </w:p>
              </w:tc>
              <w:tc>
                <w:tcPr>
                  <w:tcW w:w="765" w:type="pct"/>
                  <w:noWrap w:val="0"/>
                  <w:vAlign w:val="center"/>
                </w:tcPr>
                <w:p w14:paraId="1A7E9F35">
                  <w:pPr>
                    <w:keepNext w:val="0"/>
                    <w:keepLines w:val="0"/>
                    <w:suppressLineNumbers w:val="0"/>
                    <w:spacing w:before="0" w:beforeAutospacing="0" w:after="0" w:afterAutospacing="0" w:line="240" w:lineRule="auto"/>
                    <w:ind w:left="0" w:right="0" w:firstLine="0" w:firstLineChars="0"/>
                    <w:jc w:val="center"/>
                    <w:rPr>
                      <w:rFonts w:hint="default" w:ascii="Times New Roman" w:hAnsi="Times New Roman" w:eastAsia="宋体"/>
                      <w:caps w:val="0"/>
                      <w:smallCaps w:val="0"/>
                      <w:snapToGrid/>
                      <w:color w:val="auto"/>
                      <w:sz w:val="21"/>
                      <w:szCs w:val="21"/>
                      <w:highlight w:val="none"/>
                    </w:rPr>
                  </w:pPr>
                  <w:r>
                    <w:rPr>
                      <w:rFonts w:hint="eastAsia"/>
                      <w:caps w:val="0"/>
                      <w:smallCaps w:val="0"/>
                      <w:snapToGrid/>
                      <w:color w:val="auto"/>
                      <w:sz w:val="21"/>
                      <w:szCs w:val="21"/>
                      <w:highlight w:val="none"/>
                      <w:lang w:val="en-US" w:eastAsia="zh-CN"/>
                    </w:rPr>
                    <w:t>4</w:t>
                  </w:r>
                </w:p>
              </w:tc>
              <w:tc>
                <w:tcPr>
                  <w:tcW w:w="1670" w:type="pct"/>
                  <w:vMerge w:val="continue"/>
                  <w:noWrap w:val="0"/>
                  <w:vAlign w:val="center"/>
                </w:tcPr>
                <w:p w14:paraId="61C8902D">
                  <w:pPr>
                    <w:keepNext w:val="0"/>
                    <w:keepLines w:val="0"/>
                    <w:suppressLineNumbers w:val="0"/>
                    <w:spacing w:before="0" w:beforeAutospacing="0" w:after="0" w:afterAutospacing="0" w:line="240" w:lineRule="auto"/>
                    <w:ind w:left="0" w:right="0" w:firstLine="0" w:firstLineChars="0"/>
                    <w:jc w:val="center"/>
                    <w:rPr>
                      <w:rFonts w:hint="default" w:ascii="Times New Roman" w:hAnsi="Times New Roman" w:eastAsia="宋体"/>
                      <w:caps w:val="0"/>
                      <w:smallCaps w:val="0"/>
                      <w:snapToGrid/>
                      <w:color w:val="auto"/>
                      <w:sz w:val="21"/>
                      <w:szCs w:val="21"/>
                      <w:highlight w:val="none"/>
                    </w:rPr>
                  </w:pPr>
                </w:p>
              </w:tc>
            </w:tr>
            <w:tr w14:paraId="1D71F5F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cantSplit/>
                <w:trHeight w:val="340" w:hRule="atLeast"/>
                <w:jc w:val="center"/>
              </w:trPr>
              <w:tc>
                <w:tcPr>
                  <w:tcW w:w="187" w:type="pct"/>
                  <w:vMerge w:val="continue"/>
                  <w:noWrap w:val="0"/>
                  <w:vAlign w:val="center"/>
                </w:tcPr>
                <w:p w14:paraId="1AB7F6E9">
                  <w:pPr>
                    <w:keepNext w:val="0"/>
                    <w:keepLines w:val="0"/>
                    <w:suppressLineNumbers w:val="0"/>
                    <w:spacing w:before="0" w:beforeAutospacing="0" w:after="0" w:afterAutospacing="0" w:line="240" w:lineRule="auto"/>
                    <w:ind w:left="0" w:right="0" w:firstLine="0" w:firstLineChars="0"/>
                    <w:jc w:val="center"/>
                    <w:rPr>
                      <w:rFonts w:hint="default" w:ascii="Times New Roman" w:hAnsi="Times New Roman" w:eastAsia="宋体"/>
                      <w:caps w:val="0"/>
                      <w:smallCaps w:val="0"/>
                      <w:snapToGrid/>
                      <w:color w:val="auto"/>
                      <w:sz w:val="21"/>
                      <w:szCs w:val="21"/>
                      <w:highlight w:val="none"/>
                    </w:rPr>
                  </w:pPr>
                </w:p>
              </w:tc>
              <w:tc>
                <w:tcPr>
                  <w:tcW w:w="672" w:type="pct"/>
                  <w:vMerge w:val="continue"/>
                  <w:noWrap w:val="0"/>
                  <w:vAlign w:val="center"/>
                </w:tcPr>
                <w:p w14:paraId="4556D44F">
                  <w:pPr>
                    <w:keepNext w:val="0"/>
                    <w:keepLines w:val="0"/>
                    <w:suppressLineNumbers w:val="0"/>
                    <w:spacing w:before="0" w:beforeAutospacing="0" w:after="0" w:afterAutospacing="0" w:line="240" w:lineRule="auto"/>
                    <w:ind w:left="0" w:right="0" w:firstLine="0" w:firstLineChars="0"/>
                    <w:jc w:val="center"/>
                    <w:rPr>
                      <w:rFonts w:hint="default" w:ascii="Times New Roman" w:hAnsi="Times New Roman" w:eastAsia="宋体"/>
                      <w:caps w:val="0"/>
                      <w:smallCaps w:val="0"/>
                      <w:snapToGrid/>
                      <w:color w:val="auto"/>
                      <w:sz w:val="21"/>
                      <w:szCs w:val="21"/>
                      <w:highlight w:val="none"/>
                    </w:rPr>
                  </w:pPr>
                </w:p>
              </w:tc>
              <w:tc>
                <w:tcPr>
                  <w:tcW w:w="471" w:type="pct"/>
                  <w:vMerge w:val="continue"/>
                  <w:noWrap w:val="0"/>
                  <w:vAlign w:val="center"/>
                </w:tcPr>
                <w:p w14:paraId="10B8E1E8">
                  <w:pPr>
                    <w:keepNext w:val="0"/>
                    <w:keepLines w:val="0"/>
                    <w:suppressLineNumbers w:val="0"/>
                    <w:spacing w:before="0" w:beforeAutospacing="0" w:after="0" w:afterAutospacing="0" w:line="240" w:lineRule="auto"/>
                    <w:ind w:left="0" w:right="0" w:firstLine="0" w:firstLineChars="0"/>
                    <w:jc w:val="center"/>
                    <w:rPr>
                      <w:rFonts w:hint="eastAsia" w:ascii="Times New Roman" w:hAnsi="Times New Roman" w:eastAsia="宋体"/>
                      <w:caps w:val="0"/>
                      <w:smallCaps w:val="0"/>
                      <w:snapToGrid/>
                      <w:color w:val="auto"/>
                      <w:sz w:val="21"/>
                      <w:szCs w:val="21"/>
                      <w:highlight w:val="none"/>
                    </w:rPr>
                  </w:pPr>
                </w:p>
              </w:tc>
              <w:tc>
                <w:tcPr>
                  <w:tcW w:w="1233" w:type="pct"/>
                  <w:noWrap w:val="0"/>
                  <w:vAlign w:val="center"/>
                </w:tcPr>
                <w:p w14:paraId="161AD4DD">
                  <w:pPr>
                    <w:keepNext w:val="0"/>
                    <w:keepLines w:val="0"/>
                    <w:suppressLineNumbers w:val="0"/>
                    <w:spacing w:before="0" w:beforeAutospacing="0" w:after="0" w:afterAutospacing="0" w:line="240" w:lineRule="auto"/>
                    <w:ind w:left="0" w:right="0" w:firstLine="0" w:firstLineChars="0"/>
                    <w:jc w:val="center"/>
                    <w:rPr>
                      <w:rFonts w:hint="default" w:ascii="Times New Roman" w:hAnsi="Times New Roman" w:eastAsia="宋体"/>
                      <w:caps w:val="0"/>
                      <w:smallCaps w:val="0"/>
                      <w:snapToGrid/>
                      <w:color w:val="auto"/>
                      <w:sz w:val="21"/>
                      <w:szCs w:val="21"/>
                      <w:highlight w:val="none"/>
                      <w:lang w:val="en-US" w:eastAsia="zh-CN"/>
                    </w:rPr>
                  </w:pPr>
                  <w:r>
                    <w:rPr>
                      <w:rFonts w:hint="eastAsia"/>
                      <w:caps w:val="0"/>
                      <w:smallCaps w:val="0"/>
                      <w:snapToGrid/>
                      <w:color w:val="auto"/>
                      <w:sz w:val="21"/>
                      <w:szCs w:val="21"/>
                      <w:highlight w:val="none"/>
                      <w:lang w:val="en-US" w:eastAsia="zh-CN"/>
                    </w:rPr>
                    <w:t>1小时平均</w:t>
                  </w:r>
                </w:p>
              </w:tc>
              <w:tc>
                <w:tcPr>
                  <w:tcW w:w="765" w:type="pct"/>
                  <w:noWrap w:val="0"/>
                  <w:vAlign w:val="center"/>
                </w:tcPr>
                <w:p w14:paraId="3ACA83A9">
                  <w:pPr>
                    <w:keepNext w:val="0"/>
                    <w:keepLines w:val="0"/>
                    <w:suppressLineNumbers w:val="0"/>
                    <w:spacing w:before="0" w:beforeAutospacing="0" w:after="0" w:afterAutospacing="0" w:line="240" w:lineRule="auto"/>
                    <w:ind w:left="0" w:right="0" w:firstLine="0" w:firstLineChars="0"/>
                    <w:jc w:val="center"/>
                    <w:rPr>
                      <w:rFonts w:hint="default" w:ascii="Times New Roman" w:hAnsi="Times New Roman" w:eastAsia="宋体"/>
                      <w:caps w:val="0"/>
                      <w:smallCaps w:val="0"/>
                      <w:snapToGrid/>
                      <w:color w:val="auto"/>
                      <w:sz w:val="21"/>
                      <w:szCs w:val="21"/>
                      <w:highlight w:val="none"/>
                      <w:lang w:val="en-US" w:eastAsia="zh-CN"/>
                    </w:rPr>
                  </w:pPr>
                  <w:r>
                    <w:rPr>
                      <w:rFonts w:hint="eastAsia"/>
                      <w:caps w:val="0"/>
                      <w:smallCaps w:val="0"/>
                      <w:snapToGrid/>
                      <w:color w:val="auto"/>
                      <w:sz w:val="21"/>
                      <w:szCs w:val="21"/>
                      <w:highlight w:val="none"/>
                      <w:lang w:val="en-US" w:eastAsia="zh-CN"/>
                    </w:rPr>
                    <w:t>10</w:t>
                  </w:r>
                </w:p>
              </w:tc>
              <w:tc>
                <w:tcPr>
                  <w:tcW w:w="1670" w:type="pct"/>
                  <w:vMerge w:val="continue"/>
                  <w:noWrap w:val="0"/>
                  <w:vAlign w:val="center"/>
                </w:tcPr>
                <w:p w14:paraId="3E60EC52">
                  <w:pPr>
                    <w:keepNext w:val="0"/>
                    <w:keepLines w:val="0"/>
                    <w:suppressLineNumbers w:val="0"/>
                    <w:spacing w:before="0" w:beforeAutospacing="0" w:after="0" w:afterAutospacing="0" w:line="240" w:lineRule="auto"/>
                    <w:ind w:left="0" w:right="0" w:firstLine="0" w:firstLineChars="0"/>
                    <w:jc w:val="center"/>
                    <w:rPr>
                      <w:rFonts w:hint="default" w:ascii="Times New Roman" w:hAnsi="Times New Roman" w:eastAsia="宋体"/>
                      <w:caps w:val="0"/>
                      <w:smallCaps w:val="0"/>
                      <w:snapToGrid/>
                      <w:color w:val="auto"/>
                      <w:sz w:val="21"/>
                      <w:szCs w:val="21"/>
                      <w:highlight w:val="none"/>
                    </w:rPr>
                  </w:pPr>
                </w:p>
              </w:tc>
            </w:tr>
            <w:tr w14:paraId="28387D8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cantSplit/>
                <w:trHeight w:val="340" w:hRule="atLeast"/>
                <w:jc w:val="center"/>
              </w:trPr>
              <w:tc>
                <w:tcPr>
                  <w:tcW w:w="187" w:type="pct"/>
                  <w:vMerge w:val="restart"/>
                  <w:noWrap w:val="0"/>
                  <w:vAlign w:val="center"/>
                </w:tcPr>
                <w:p w14:paraId="4AB9706B">
                  <w:pPr>
                    <w:keepNext w:val="0"/>
                    <w:keepLines w:val="0"/>
                    <w:suppressLineNumbers w:val="0"/>
                    <w:spacing w:before="0" w:beforeAutospacing="0" w:after="0" w:afterAutospacing="0" w:line="240" w:lineRule="auto"/>
                    <w:ind w:left="0" w:right="0" w:firstLine="0" w:firstLineChars="0"/>
                    <w:jc w:val="center"/>
                    <w:rPr>
                      <w:rFonts w:hint="default" w:ascii="Times New Roman" w:hAnsi="Times New Roman" w:eastAsia="宋体" w:cs="Times New Roman"/>
                      <w:caps w:val="0"/>
                      <w:smallCaps w:val="0"/>
                      <w:snapToGrid/>
                      <w:color w:val="auto"/>
                      <w:kern w:val="2"/>
                      <w:sz w:val="21"/>
                      <w:szCs w:val="21"/>
                      <w:highlight w:val="none"/>
                      <w:lang w:val="en-US" w:eastAsia="zh-CN" w:bidi="ar-SA"/>
                    </w:rPr>
                  </w:pPr>
                  <w:r>
                    <w:rPr>
                      <w:rFonts w:hint="eastAsia" w:ascii="Times New Roman" w:hAnsi="Times New Roman" w:eastAsia="宋体" w:cs="Times New Roman"/>
                      <w:caps w:val="0"/>
                      <w:smallCaps w:val="0"/>
                      <w:snapToGrid/>
                      <w:color w:val="auto"/>
                      <w:kern w:val="2"/>
                      <w:sz w:val="21"/>
                      <w:szCs w:val="21"/>
                      <w:highlight w:val="none"/>
                      <w:lang w:val="en-US" w:eastAsia="zh-CN" w:bidi="ar-SA"/>
                    </w:rPr>
                    <w:t>7</w:t>
                  </w:r>
                </w:p>
              </w:tc>
              <w:tc>
                <w:tcPr>
                  <w:tcW w:w="672" w:type="pct"/>
                  <w:vMerge w:val="restart"/>
                  <w:noWrap w:val="0"/>
                  <w:vAlign w:val="center"/>
                </w:tcPr>
                <w:p w14:paraId="52AE258F">
                  <w:pPr>
                    <w:keepNext w:val="0"/>
                    <w:keepLines w:val="0"/>
                    <w:suppressLineNumbers w:val="0"/>
                    <w:spacing w:before="0" w:beforeAutospacing="0" w:after="0" w:afterAutospacing="0" w:line="240" w:lineRule="auto"/>
                    <w:ind w:left="0" w:right="0" w:firstLine="0" w:firstLineChars="0"/>
                    <w:jc w:val="center"/>
                    <w:rPr>
                      <w:rFonts w:hint="default" w:ascii="Times New Roman" w:hAnsi="Times New Roman" w:eastAsia="宋体" w:cs="Times New Roman"/>
                      <w:caps w:val="0"/>
                      <w:smallCaps w:val="0"/>
                      <w:snapToGrid/>
                      <w:color w:val="auto"/>
                      <w:kern w:val="2"/>
                      <w:sz w:val="21"/>
                      <w:szCs w:val="21"/>
                      <w:highlight w:val="none"/>
                      <w:lang w:val="en-US" w:eastAsia="zh-CN" w:bidi="ar-SA"/>
                    </w:rPr>
                  </w:pPr>
                  <w:r>
                    <w:rPr>
                      <w:rFonts w:hint="default" w:ascii="Times New Roman" w:hAnsi="Times New Roman" w:eastAsia="宋体"/>
                      <w:caps w:val="0"/>
                      <w:smallCaps w:val="0"/>
                      <w:snapToGrid/>
                      <w:color w:val="auto"/>
                      <w:sz w:val="21"/>
                      <w:szCs w:val="21"/>
                      <w:highlight w:val="none"/>
                    </w:rPr>
                    <w:t>TSP</w:t>
                  </w:r>
                </w:p>
              </w:tc>
              <w:tc>
                <w:tcPr>
                  <w:tcW w:w="471" w:type="pct"/>
                  <w:vMerge w:val="restart"/>
                  <w:noWrap w:val="0"/>
                  <w:vAlign w:val="center"/>
                </w:tcPr>
                <w:p w14:paraId="6E541160">
                  <w:pPr>
                    <w:keepNext w:val="0"/>
                    <w:keepLines w:val="0"/>
                    <w:suppressLineNumbers w:val="0"/>
                    <w:spacing w:before="0" w:beforeAutospacing="0" w:after="0" w:afterAutospacing="0" w:line="240" w:lineRule="auto"/>
                    <w:ind w:left="0" w:right="0" w:firstLine="0" w:firstLineChars="0"/>
                    <w:jc w:val="center"/>
                    <w:rPr>
                      <w:rFonts w:hint="eastAsia" w:ascii="Times New Roman" w:hAnsi="Times New Roman" w:eastAsia="宋体" w:cs="Times New Roman"/>
                      <w:caps w:val="0"/>
                      <w:smallCaps w:val="0"/>
                      <w:snapToGrid/>
                      <w:color w:val="auto"/>
                      <w:kern w:val="2"/>
                      <w:sz w:val="21"/>
                      <w:szCs w:val="21"/>
                      <w:highlight w:val="none"/>
                      <w:lang w:val="en-US" w:eastAsia="zh-CN" w:bidi="ar-SA"/>
                    </w:rPr>
                  </w:pPr>
                  <w:r>
                    <w:rPr>
                      <w:rFonts w:hint="default" w:ascii="Times New Roman" w:hAnsi="Times New Roman" w:eastAsia="宋体"/>
                      <w:caps w:val="0"/>
                      <w:smallCaps w:val="0"/>
                      <w:snapToGrid/>
                      <w:color w:val="auto"/>
                      <w:sz w:val="21"/>
                      <w:szCs w:val="21"/>
                      <w:highlight w:val="none"/>
                    </w:rPr>
                    <w:t>μg/m</w:t>
                  </w:r>
                  <w:r>
                    <w:rPr>
                      <w:rFonts w:hint="default" w:ascii="Times New Roman" w:hAnsi="Times New Roman" w:eastAsia="宋体"/>
                      <w:caps w:val="0"/>
                      <w:smallCaps w:val="0"/>
                      <w:snapToGrid/>
                      <w:color w:val="auto"/>
                      <w:sz w:val="21"/>
                      <w:szCs w:val="21"/>
                      <w:highlight w:val="none"/>
                      <w:vertAlign w:val="superscript"/>
                    </w:rPr>
                    <w:t>3</w:t>
                  </w:r>
                </w:p>
              </w:tc>
              <w:tc>
                <w:tcPr>
                  <w:tcW w:w="1233" w:type="pct"/>
                  <w:noWrap w:val="0"/>
                  <w:vAlign w:val="center"/>
                </w:tcPr>
                <w:p w14:paraId="16D4E553">
                  <w:pPr>
                    <w:keepNext w:val="0"/>
                    <w:keepLines w:val="0"/>
                    <w:suppressLineNumbers w:val="0"/>
                    <w:spacing w:before="0" w:beforeAutospacing="0" w:after="0" w:afterAutospacing="0" w:line="240" w:lineRule="auto"/>
                    <w:ind w:left="0" w:right="0" w:firstLine="0" w:firstLineChars="0"/>
                    <w:jc w:val="center"/>
                    <w:rPr>
                      <w:rFonts w:hint="eastAsia" w:ascii="Times New Roman" w:hAnsi="Times New Roman" w:eastAsia="宋体" w:cs="Times New Roman"/>
                      <w:caps w:val="0"/>
                      <w:smallCaps w:val="0"/>
                      <w:snapToGrid/>
                      <w:color w:val="auto"/>
                      <w:kern w:val="2"/>
                      <w:sz w:val="21"/>
                      <w:szCs w:val="21"/>
                      <w:highlight w:val="none"/>
                      <w:lang w:val="en-US" w:eastAsia="zh-CN" w:bidi="ar-SA"/>
                    </w:rPr>
                  </w:pPr>
                  <w:r>
                    <w:rPr>
                      <w:rFonts w:hint="eastAsia"/>
                      <w:caps w:val="0"/>
                      <w:smallCaps w:val="0"/>
                      <w:snapToGrid/>
                      <w:color w:val="auto"/>
                      <w:sz w:val="21"/>
                      <w:szCs w:val="21"/>
                      <w:highlight w:val="none"/>
                      <w:lang w:eastAsia="zh-CN"/>
                    </w:rPr>
                    <w:t>年平均</w:t>
                  </w:r>
                </w:p>
              </w:tc>
              <w:tc>
                <w:tcPr>
                  <w:tcW w:w="765" w:type="pct"/>
                  <w:noWrap w:val="0"/>
                  <w:vAlign w:val="center"/>
                </w:tcPr>
                <w:p w14:paraId="0F0C7343">
                  <w:pPr>
                    <w:keepNext w:val="0"/>
                    <w:keepLines w:val="0"/>
                    <w:suppressLineNumbers w:val="0"/>
                    <w:spacing w:before="0" w:beforeAutospacing="0" w:after="0" w:afterAutospacing="0" w:line="240" w:lineRule="auto"/>
                    <w:ind w:left="0" w:right="0" w:firstLine="0" w:firstLineChars="0"/>
                    <w:jc w:val="center"/>
                    <w:rPr>
                      <w:rFonts w:hint="eastAsia" w:ascii="Times New Roman" w:hAnsi="Times New Roman" w:eastAsia="宋体" w:cs="Times New Roman"/>
                      <w:caps w:val="0"/>
                      <w:smallCaps w:val="0"/>
                      <w:snapToGrid/>
                      <w:color w:val="auto"/>
                      <w:kern w:val="2"/>
                      <w:sz w:val="21"/>
                      <w:szCs w:val="21"/>
                      <w:highlight w:val="none"/>
                      <w:lang w:val="en-US" w:eastAsia="zh-CN" w:bidi="ar-SA"/>
                    </w:rPr>
                  </w:pPr>
                  <w:r>
                    <w:rPr>
                      <w:rFonts w:hint="eastAsia"/>
                      <w:caps w:val="0"/>
                      <w:smallCaps w:val="0"/>
                      <w:snapToGrid/>
                      <w:color w:val="auto"/>
                      <w:sz w:val="21"/>
                      <w:szCs w:val="21"/>
                      <w:highlight w:val="none"/>
                      <w:lang w:val="en-US" w:eastAsia="zh-CN"/>
                    </w:rPr>
                    <w:t>200</w:t>
                  </w:r>
                </w:p>
              </w:tc>
              <w:tc>
                <w:tcPr>
                  <w:tcW w:w="1670" w:type="pct"/>
                  <w:vMerge w:val="continue"/>
                  <w:noWrap w:val="0"/>
                  <w:vAlign w:val="center"/>
                </w:tcPr>
                <w:p w14:paraId="5BC1493F">
                  <w:pPr>
                    <w:keepNext w:val="0"/>
                    <w:keepLines w:val="0"/>
                    <w:suppressLineNumbers w:val="0"/>
                    <w:spacing w:before="0" w:beforeAutospacing="0" w:after="0" w:afterAutospacing="0" w:line="240" w:lineRule="auto"/>
                    <w:ind w:left="0" w:right="0" w:firstLine="0" w:firstLineChars="0"/>
                    <w:jc w:val="center"/>
                    <w:rPr>
                      <w:rFonts w:hint="default" w:ascii="Times New Roman" w:hAnsi="Times New Roman" w:eastAsia="宋体"/>
                      <w:caps w:val="0"/>
                      <w:smallCaps w:val="0"/>
                      <w:snapToGrid/>
                      <w:color w:val="auto"/>
                      <w:sz w:val="21"/>
                      <w:szCs w:val="21"/>
                      <w:highlight w:val="none"/>
                    </w:rPr>
                  </w:pPr>
                </w:p>
              </w:tc>
            </w:tr>
            <w:tr w14:paraId="59FF19E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cantSplit/>
                <w:trHeight w:val="340" w:hRule="atLeast"/>
                <w:jc w:val="center"/>
              </w:trPr>
              <w:tc>
                <w:tcPr>
                  <w:tcW w:w="187" w:type="pct"/>
                  <w:vMerge w:val="continue"/>
                  <w:noWrap w:val="0"/>
                  <w:vAlign w:val="center"/>
                </w:tcPr>
                <w:p w14:paraId="3D16ECF3">
                  <w:pPr>
                    <w:keepNext w:val="0"/>
                    <w:keepLines w:val="0"/>
                    <w:suppressLineNumbers w:val="0"/>
                    <w:spacing w:before="0" w:beforeAutospacing="0" w:after="0" w:afterAutospacing="0" w:line="240" w:lineRule="auto"/>
                    <w:ind w:left="0" w:right="0" w:firstLine="0" w:firstLineChars="0"/>
                    <w:jc w:val="center"/>
                    <w:rPr>
                      <w:rFonts w:hint="eastAsia" w:ascii="Times New Roman" w:hAnsi="Times New Roman" w:eastAsia="宋体"/>
                      <w:caps w:val="0"/>
                      <w:smallCaps w:val="0"/>
                      <w:snapToGrid/>
                      <w:color w:val="auto"/>
                      <w:sz w:val="21"/>
                      <w:szCs w:val="21"/>
                      <w:highlight w:val="none"/>
                      <w:lang w:val="en-US" w:eastAsia="zh-CN"/>
                    </w:rPr>
                  </w:pPr>
                </w:p>
              </w:tc>
              <w:tc>
                <w:tcPr>
                  <w:tcW w:w="672" w:type="pct"/>
                  <w:vMerge w:val="continue"/>
                  <w:noWrap w:val="0"/>
                  <w:vAlign w:val="center"/>
                </w:tcPr>
                <w:p w14:paraId="631277BB">
                  <w:pPr>
                    <w:keepNext w:val="0"/>
                    <w:keepLines w:val="0"/>
                    <w:suppressLineNumbers w:val="0"/>
                    <w:spacing w:before="0" w:beforeAutospacing="0" w:after="0" w:afterAutospacing="0" w:line="240" w:lineRule="auto"/>
                    <w:ind w:left="0" w:right="0" w:firstLine="0" w:firstLineChars="0"/>
                    <w:jc w:val="center"/>
                    <w:rPr>
                      <w:rFonts w:hint="default" w:ascii="Times New Roman" w:hAnsi="Times New Roman" w:eastAsia="宋体"/>
                      <w:caps w:val="0"/>
                      <w:smallCaps w:val="0"/>
                      <w:snapToGrid/>
                      <w:color w:val="auto"/>
                      <w:sz w:val="21"/>
                      <w:szCs w:val="21"/>
                      <w:highlight w:val="none"/>
                    </w:rPr>
                  </w:pPr>
                </w:p>
              </w:tc>
              <w:tc>
                <w:tcPr>
                  <w:tcW w:w="471" w:type="pct"/>
                  <w:vMerge w:val="continue"/>
                  <w:noWrap w:val="0"/>
                  <w:vAlign w:val="center"/>
                </w:tcPr>
                <w:p w14:paraId="01B3A867">
                  <w:pPr>
                    <w:keepNext w:val="0"/>
                    <w:keepLines w:val="0"/>
                    <w:suppressLineNumbers w:val="0"/>
                    <w:spacing w:before="0" w:beforeAutospacing="0" w:after="0" w:afterAutospacing="0" w:line="240" w:lineRule="auto"/>
                    <w:ind w:left="0" w:right="0" w:firstLine="0" w:firstLineChars="0"/>
                    <w:jc w:val="center"/>
                    <w:rPr>
                      <w:rFonts w:hint="eastAsia" w:ascii="Times New Roman" w:hAnsi="Times New Roman" w:eastAsia="宋体"/>
                      <w:caps w:val="0"/>
                      <w:smallCaps w:val="0"/>
                      <w:snapToGrid/>
                      <w:color w:val="auto"/>
                      <w:sz w:val="21"/>
                      <w:szCs w:val="21"/>
                      <w:highlight w:val="none"/>
                    </w:rPr>
                  </w:pPr>
                </w:p>
              </w:tc>
              <w:tc>
                <w:tcPr>
                  <w:tcW w:w="1233" w:type="pct"/>
                  <w:noWrap w:val="0"/>
                  <w:vAlign w:val="center"/>
                </w:tcPr>
                <w:p w14:paraId="4A6950E1">
                  <w:pPr>
                    <w:keepNext w:val="0"/>
                    <w:keepLines w:val="0"/>
                    <w:suppressLineNumbers w:val="0"/>
                    <w:spacing w:before="0" w:beforeAutospacing="0" w:after="0" w:afterAutospacing="0" w:line="240" w:lineRule="auto"/>
                    <w:ind w:left="0" w:right="0" w:firstLine="0" w:firstLineChars="0"/>
                    <w:jc w:val="center"/>
                    <w:rPr>
                      <w:rFonts w:hint="eastAsia" w:ascii="Times New Roman" w:hAnsi="Times New Roman" w:eastAsia="宋体" w:cs="Times New Roman"/>
                      <w:caps w:val="0"/>
                      <w:smallCaps w:val="0"/>
                      <w:snapToGrid/>
                      <w:color w:val="auto"/>
                      <w:kern w:val="2"/>
                      <w:sz w:val="21"/>
                      <w:szCs w:val="21"/>
                      <w:highlight w:val="none"/>
                      <w:lang w:val="en-US" w:eastAsia="zh-CN" w:bidi="ar-SA"/>
                    </w:rPr>
                  </w:pPr>
                  <w:r>
                    <w:rPr>
                      <w:rFonts w:hint="eastAsia"/>
                      <w:caps w:val="0"/>
                      <w:smallCaps w:val="0"/>
                      <w:snapToGrid/>
                      <w:color w:val="auto"/>
                      <w:sz w:val="21"/>
                      <w:szCs w:val="21"/>
                      <w:highlight w:val="none"/>
                      <w:lang w:val="en-US" w:eastAsia="zh-CN"/>
                    </w:rPr>
                    <w:t>24小时平均</w:t>
                  </w:r>
                </w:p>
              </w:tc>
              <w:tc>
                <w:tcPr>
                  <w:tcW w:w="765" w:type="pct"/>
                  <w:noWrap w:val="0"/>
                  <w:vAlign w:val="center"/>
                </w:tcPr>
                <w:p w14:paraId="7F6C1BDA">
                  <w:pPr>
                    <w:keepNext w:val="0"/>
                    <w:keepLines w:val="0"/>
                    <w:suppressLineNumbers w:val="0"/>
                    <w:spacing w:before="0" w:beforeAutospacing="0" w:after="0" w:afterAutospacing="0" w:line="240" w:lineRule="auto"/>
                    <w:ind w:left="0" w:right="0" w:firstLine="0" w:firstLineChars="0"/>
                    <w:jc w:val="center"/>
                    <w:rPr>
                      <w:rFonts w:hint="eastAsia" w:ascii="Times New Roman" w:hAnsi="Times New Roman" w:eastAsia="宋体" w:cs="Times New Roman"/>
                      <w:caps w:val="0"/>
                      <w:smallCaps w:val="0"/>
                      <w:snapToGrid/>
                      <w:color w:val="auto"/>
                      <w:kern w:val="2"/>
                      <w:sz w:val="21"/>
                      <w:szCs w:val="21"/>
                      <w:highlight w:val="none"/>
                      <w:lang w:val="en-US" w:eastAsia="zh-CN" w:bidi="ar-SA"/>
                    </w:rPr>
                  </w:pPr>
                  <w:r>
                    <w:rPr>
                      <w:rFonts w:hint="eastAsia"/>
                      <w:caps w:val="0"/>
                      <w:smallCaps w:val="0"/>
                      <w:snapToGrid/>
                      <w:color w:val="auto"/>
                      <w:sz w:val="21"/>
                      <w:szCs w:val="21"/>
                      <w:highlight w:val="none"/>
                      <w:lang w:val="en-US" w:eastAsia="zh-CN"/>
                    </w:rPr>
                    <w:t>300</w:t>
                  </w:r>
                </w:p>
              </w:tc>
              <w:tc>
                <w:tcPr>
                  <w:tcW w:w="1670" w:type="pct"/>
                  <w:vMerge w:val="continue"/>
                  <w:noWrap w:val="0"/>
                  <w:vAlign w:val="center"/>
                </w:tcPr>
                <w:p w14:paraId="7010440C">
                  <w:pPr>
                    <w:keepNext w:val="0"/>
                    <w:keepLines w:val="0"/>
                    <w:suppressLineNumbers w:val="0"/>
                    <w:spacing w:before="0" w:beforeAutospacing="0" w:after="0" w:afterAutospacing="0" w:line="240" w:lineRule="auto"/>
                    <w:ind w:left="0" w:right="0" w:firstLine="0" w:firstLineChars="0"/>
                    <w:jc w:val="center"/>
                    <w:rPr>
                      <w:rFonts w:hint="default" w:ascii="Times New Roman" w:hAnsi="Times New Roman" w:eastAsia="宋体"/>
                      <w:caps w:val="0"/>
                      <w:smallCaps w:val="0"/>
                      <w:snapToGrid/>
                      <w:color w:val="auto"/>
                      <w:sz w:val="21"/>
                      <w:szCs w:val="21"/>
                      <w:highlight w:val="none"/>
                    </w:rPr>
                  </w:pPr>
                </w:p>
              </w:tc>
            </w:tr>
            <w:tr w14:paraId="4616215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cantSplit/>
                <w:trHeight w:val="340" w:hRule="atLeast"/>
                <w:jc w:val="center"/>
              </w:trPr>
              <w:tc>
                <w:tcPr>
                  <w:tcW w:w="187" w:type="pct"/>
                  <w:noWrap w:val="0"/>
                  <w:vAlign w:val="center"/>
                </w:tcPr>
                <w:p w14:paraId="01A202AA">
                  <w:pPr>
                    <w:keepNext w:val="0"/>
                    <w:keepLines w:val="0"/>
                    <w:suppressLineNumbers w:val="0"/>
                    <w:spacing w:before="0" w:beforeAutospacing="0" w:after="0" w:afterAutospacing="0" w:line="240" w:lineRule="auto"/>
                    <w:ind w:left="0" w:right="0" w:firstLine="0" w:firstLineChars="0"/>
                    <w:jc w:val="center"/>
                    <w:rPr>
                      <w:rFonts w:hint="default"/>
                      <w:caps w:val="0"/>
                      <w:smallCaps w:val="0"/>
                      <w:snapToGrid/>
                      <w:color w:val="auto"/>
                      <w:sz w:val="21"/>
                      <w:szCs w:val="21"/>
                      <w:highlight w:val="none"/>
                      <w:lang w:val="en-US" w:eastAsia="zh-CN"/>
                    </w:rPr>
                  </w:pPr>
                  <w:r>
                    <w:rPr>
                      <w:rFonts w:hint="eastAsia"/>
                      <w:caps w:val="0"/>
                      <w:smallCaps w:val="0"/>
                      <w:snapToGrid/>
                      <w:color w:val="auto"/>
                      <w:sz w:val="21"/>
                      <w:szCs w:val="21"/>
                      <w:highlight w:val="none"/>
                      <w:lang w:val="en-US" w:eastAsia="zh-CN"/>
                    </w:rPr>
                    <w:t>8</w:t>
                  </w:r>
                </w:p>
              </w:tc>
              <w:tc>
                <w:tcPr>
                  <w:tcW w:w="672" w:type="pct"/>
                  <w:noWrap w:val="0"/>
                  <w:vAlign w:val="center"/>
                </w:tcPr>
                <w:p w14:paraId="53D5147F">
                  <w:pPr>
                    <w:keepNext w:val="0"/>
                    <w:keepLines w:val="0"/>
                    <w:widowControl/>
                    <w:suppressLineNumbers w:val="0"/>
                    <w:spacing w:before="0" w:beforeAutospacing="0" w:after="0" w:afterAutospacing="0"/>
                    <w:ind w:left="0" w:leftChars="0" w:right="0" w:rightChars="0" w:firstLine="0" w:firstLineChars="0"/>
                    <w:jc w:val="center"/>
                    <w:rPr>
                      <w:rFonts w:hint="default"/>
                      <w:caps w:val="0"/>
                      <w:smallCaps w:val="0"/>
                      <w:snapToGrid/>
                      <w:color w:val="auto"/>
                      <w:sz w:val="21"/>
                      <w:szCs w:val="21"/>
                      <w:highlight w:val="none"/>
                      <w:lang w:val="en-US" w:eastAsia="zh-CN"/>
                    </w:rPr>
                  </w:pPr>
                  <w:r>
                    <w:rPr>
                      <w:rFonts w:hint="eastAsia"/>
                      <w:caps w:val="0"/>
                      <w:smallCaps w:val="0"/>
                      <w:snapToGrid/>
                      <w:color w:val="auto"/>
                      <w:sz w:val="21"/>
                      <w:szCs w:val="21"/>
                      <w:highlight w:val="none"/>
                      <w:lang w:val="en-US" w:eastAsia="zh-CN"/>
                    </w:rPr>
                    <w:t>氨</w:t>
                  </w:r>
                </w:p>
              </w:tc>
              <w:tc>
                <w:tcPr>
                  <w:tcW w:w="471" w:type="pct"/>
                  <w:noWrap w:val="0"/>
                  <w:vAlign w:val="center"/>
                </w:tcPr>
                <w:p w14:paraId="56CCF83E">
                  <w:pPr>
                    <w:keepNext w:val="0"/>
                    <w:keepLines w:val="0"/>
                    <w:widowControl/>
                    <w:suppressLineNumbers w:val="0"/>
                    <w:spacing w:before="0" w:beforeAutospacing="0" w:after="0" w:afterAutospacing="0"/>
                    <w:ind w:left="0" w:leftChars="0" w:right="0" w:rightChars="0" w:firstLine="0" w:firstLineChars="0"/>
                    <w:jc w:val="center"/>
                    <w:rPr>
                      <w:rFonts w:hint="eastAsia" w:ascii="Times New Roman" w:hAnsi="Times New Roman" w:eastAsia="宋体"/>
                      <w:caps w:val="0"/>
                      <w:smallCaps w:val="0"/>
                      <w:snapToGrid/>
                      <w:color w:val="auto"/>
                      <w:sz w:val="21"/>
                      <w:szCs w:val="21"/>
                      <w:highlight w:val="none"/>
                    </w:rPr>
                  </w:pPr>
                  <w:r>
                    <w:rPr>
                      <w:rFonts w:hint="default" w:ascii="Times New Roman" w:hAnsi="Times New Roman" w:eastAsia="宋体" w:cs="Times New Roman"/>
                      <w:color w:val="auto"/>
                      <w:kern w:val="2"/>
                      <w:sz w:val="21"/>
                      <w:szCs w:val="21"/>
                      <w:highlight w:val="none"/>
                    </w:rPr>
                    <w:t>μg/m</w:t>
                  </w:r>
                  <w:r>
                    <w:rPr>
                      <w:rFonts w:hint="default" w:ascii="Times New Roman" w:hAnsi="Times New Roman" w:eastAsia="宋体" w:cs="Times New Roman"/>
                      <w:color w:val="auto"/>
                      <w:kern w:val="2"/>
                      <w:sz w:val="21"/>
                      <w:szCs w:val="21"/>
                      <w:highlight w:val="none"/>
                      <w:vertAlign w:val="superscript"/>
                    </w:rPr>
                    <w:t>3</w:t>
                  </w:r>
                </w:p>
              </w:tc>
              <w:tc>
                <w:tcPr>
                  <w:tcW w:w="1233" w:type="pct"/>
                  <w:noWrap w:val="0"/>
                  <w:vAlign w:val="center"/>
                </w:tcPr>
                <w:p w14:paraId="7A7BA6E8">
                  <w:pPr>
                    <w:keepNext w:val="0"/>
                    <w:keepLines w:val="0"/>
                    <w:widowControl/>
                    <w:suppressLineNumbers w:val="0"/>
                    <w:spacing w:before="0" w:beforeAutospacing="0" w:after="0" w:afterAutospacing="0"/>
                    <w:ind w:left="0" w:leftChars="0" w:right="0" w:rightChars="0" w:firstLine="0" w:firstLineChars="0"/>
                    <w:jc w:val="center"/>
                    <w:rPr>
                      <w:rFonts w:hint="eastAsia" w:ascii="Times New Roman" w:hAnsi="Times New Roman" w:eastAsia="宋体"/>
                      <w:caps w:val="0"/>
                      <w:smallCaps w:val="0"/>
                      <w:snapToGrid/>
                      <w:color w:val="auto"/>
                      <w:kern w:val="2"/>
                      <w:sz w:val="21"/>
                      <w:szCs w:val="21"/>
                      <w:highlight w:val="none"/>
                      <w:lang w:val="en-US" w:eastAsia="zh-CN" w:bidi="ar-SA"/>
                    </w:rPr>
                  </w:pPr>
                  <w:r>
                    <w:rPr>
                      <w:rFonts w:hint="default" w:ascii="Times New Roman" w:hAnsi="Times New Roman" w:eastAsia="宋体" w:cs="Times New Roman"/>
                      <w:color w:val="auto"/>
                      <w:kern w:val="2"/>
                      <w:sz w:val="21"/>
                      <w:szCs w:val="21"/>
                      <w:highlight w:val="none"/>
                      <w:lang w:val="en-US" w:eastAsia="zh-CN"/>
                    </w:rPr>
                    <w:t>1</w:t>
                  </w:r>
                  <w:r>
                    <w:rPr>
                      <w:rFonts w:hint="eastAsia" w:ascii="Times New Roman" w:hAnsi="Times New Roman" w:eastAsia="宋体" w:cs="Times New Roman"/>
                      <w:color w:val="auto"/>
                      <w:kern w:val="2"/>
                      <w:sz w:val="21"/>
                      <w:szCs w:val="21"/>
                      <w:highlight w:val="none"/>
                      <w:lang w:val="en-US" w:eastAsia="zh-CN"/>
                    </w:rPr>
                    <w:t>小时平均</w:t>
                  </w:r>
                </w:p>
              </w:tc>
              <w:tc>
                <w:tcPr>
                  <w:tcW w:w="765" w:type="pct"/>
                  <w:noWrap w:val="0"/>
                  <w:vAlign w:val="center"/>
                </w:tcPr>
                <w:p w14:paraId="1C48474D">
                  <w:pPr>
                    <w:keepNext w:val="0"/>
                    <w:keepLines w:val="0"/>
                    <w:widowControl/>
                    <w:suppressLineNumbers w:val="0"/>
                    <w:spacing w:before="0" w:beforeAutospacing="0" w:after="0" w:afterAutospacing="0"/>
                    <w:ind w:left="0" w:leftChars="0" w:right="0" w:rightChars="0" w:firstLine="0" w:firstLineChars="0"/>
                    <w:jc w:val="center"/>
                    <w:rPr>
                      <w:rFonts w:hint="eastAsia"/>
                      <w:caps w:val="0"/>
                      <w:smallCaps w:val="0"/>
                      <w:snapToGrid/>
                      <w:color w:val="auto"/>
                      <w:kern w:val="2"/>
                      <w:sz w:val="21"/>
                      <w:szCs w:val="21"/>
                      <w:highlight w:val="none"/>
                      <w:lang w:val="en-US" w:eastAsia="zh-CN" w:bidi="ar-SA"/>
                    </w:rPr>
                  </w:pPr>
                  <w:r>
                    <w:rPr>
                      <w:rFonts w:hint="eastAsia" w:ascii="Times New Roman" w:hAnsi="Times New Roman" w:eastAsia="宋体" w:cs="Times New Roman"/>
                      <w:color w:val="auto"/>
                      <w:kern w:val="2"/>
                      <w:sz w:val="21"/>
                      <w:szCs w:val="21"/>
                      <w:highlight w:val="none"/>
                      <w:lang w:val="en-US" w:eastAsia="zh-CN"/>
                    </w:rPr>
                    <w:t>10</w:t>
                  </w:r>
                </w:p>
              </w:tc>
              <w:tc>
                <w:tcPr>
                  <w:tcW w:w="1670" w:type="pct"/>
                  <w:vMerge w:val="restart"/>
                  <w:noWrap w:val="0"/>
                  <w:vAlign w:val="center"/>
                </w:tcPr>
                <w:p w14:paraId="1A62B271">
                  <w:pPr>
                    <w:keepNext w:val="0"/>
                    <w:keepLines w:val="0"/>
                    <w:widowControl/>
                    <w:suppressLineNumbers w:val="0"/>
                    <w:spacing w:before="0" w:beforeAutospacing="0" w:after="0" w:afterAutospacing="0"/>
                    <w:ind w:left="0" w:leftChars="0" w:right="0" w:rightChars="0" w:firstLine="0" w:firstLineChars="0"/>
                    <w:jc w:val="center"/>
                    <w:rPr>
                      <w:rFonts w:hint="default" w:ascii="Times New Roman" w:hAnsi="Times New Roman" w:eastAsia="宋体" w:cs="Times New Roman"/>
                      <w:color w:val="auto"/>
                      <w:kern w:val="2"/>
                      <w:sz w:val="21"/>
                      <w:szCs w:val="21"/>
                      <w:highlight w:val="none"/>
                      <w:lang w:val="en-US" w:eastAsia="zh-CN" w:bidi="ar-SA"/>
                    </w:rPr>
                  </w:pPr>
                  <w:r>
                    <w:rPr>
                      <w:rFonts w:hint="eastAsia" w:ascii="Times New Roman" w:hAnsi="Times New Roman" w:eastAsia="宋体" w:cs="Times New Roman"/>
                      <w:color w:val="auto"/>
                      <w:kern w:val="2"/>
                      <w:sz w:val="21"/>
                      <w:szCs w:val="21"/>
                      <w:highlight w:val="none"/>
                      <w:lang w:val="en-US" w:eastAsia="zh-CN"/>
                    </w:rPr>
                    <w:t>《环境影响评价技术导则 大气环境》（</w:t>
                  </w:r>
                  <w:r>
                    <w:rPr>
                      <w:rFonts w:hint="default" w:ascii="Times New Roman" w:hAnsi="Times New Roman" w:eastAsia="宋体" w:cs="Times New Roman"/>
                      <w:color w:val="auto"/>
                      <w:kern w:val="2"/>
                      <w:sz w:val="21"/>
                      <w:szCs w:val="21"/>
                      <w:highlight w:val="none"/>
                      <w:lang w:val="en-US" w:eastAsia="zh-CN"/>
                    </w:rPr>
                    <w:t>HJ2.2-2018</w:t>
                  </w:r>
                  <w:r>
                    <w:rPr>
                      <w:rFonts w:hint="eastAsia" w:ascii="Times New Roman" w:hAnsi="Times New Roman" w:eastAsia="宋体" w:cs="Times New Roman"/>
                      <w:color w:val="auto"/>
                      <w:kern w:val="2"/>
                      <w:sz w:val="21"/>
                      <w:szCs w:val="21"/>
                      <w:highlight w:val="none"/>
                      <w:lang w:val="en-US" w:eastAsia="zh-CN"/>
                    </w:rPr>
                    <w:t>）附录</w:t>
                  </w:r>
                  <w:r>
                    <w:rPr>
                      <w:rFonts w:hint="default" w:ascii="Times New Roman" w:hAnsi="Times New Roman" w:eastAsia="宋体" w:cs="Times New Roman"/>
                      <w:color w:val="auto"/>
                      <w:kern w:val="2"/>
                      <w:sz w:val="21"/>
                      <w:szCs w:val="21"/>
                      <w:highlight w:val="none"/>
                      <w:lang w:val="en-US" w:eastAsia="zh-CN"/>
                    </w:rPr>
                    <w:t>D</w:t>
                  </w:r>
                </w:p>
              </w:tc>
            </w:tr>
            <w:tr w14:paraId="04299E2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cantSplit/>
                <w:trHeight w:val="340" w:hRule="atLeast"/>
                <w:jc w:val="center"/>
              </w:trPr>
              <w:tc>
                <w:tcPr>
                  <w:tcW w:w="187" w:type="pct"/>
                  <w:noWrap w:val="0"/>
                  <w:vAlign w:val="center"/>
                </w:tcPr>
                <w:p w14:paraId="117912E5">
                  <w:pPr>
                    <w:keepNext w:val="0"/>
                    <w:keepLines w:val="0"/>
                    <w:suppressLineNumbers w:val="0"/>
                    <w:spacing w:before="0" w:beforeAutospacing="0" w:after="0" w:afterAutospacing="0" w:line="240" w:lineRule="auto"/>
                    <w:ind w:left="0" w:right="0" w:firstLine="0" w:firstLineChars="0"/>
                    <w:jc w:val="center"/>
                    <w:rPr>
                      <w:rFonts w:hint="eastAsia"/>
                      <w:caps w:val="0"/>
                      <w:smallCaps w:val="0"/>
                      <w:snapToGrid/>
                      <w:color w:val="auto"/>
                      <w:sz w:val="21"/>
                      <w:szCs w:val="21"/>
                      <w:highlight w:val="none"/>
                      <w:lang w:val="en-US" w:eastAsia="zh-CN"/>
                    </w:rPr>
                  </w:pPr>
                  <w:r>
                    <w:rPr>
                      <w:rFonts w:hint="eastAsia"/>
                      <w:caps w:val="0"/>
                      <w:smallCaps w:val="0"/>
                      <w:snapToGrid/>
                      <w:color w:val="auto"/>
                      <w:sz w:val="21"/>
                      <w:szCs w:val="21"/>
                      <w:highlight w:val="none"/>
                      <w:lang w:val="en-US" w:eastAsia="zh-CN"/>
                    </w:rPr>
                    <w:t>9</w:t>
                  </w:r>
                </w:p>
              </w:tc>
              <w:tc>
                <w:tcPr>
                  <w:tcW w:w="672" w:type="pct"/>
                  <w:noWrap w:val="0"/>
                  <w:vAlign w:val="center"/>
                </w:tcPr>
                <w:p w14:paraId="29128486">
                  <w:pPr>
                    <w:keepNext w:val="0"/>
                    <w:keepLines w:val="0"/>
                    <w:widowControl/>
                    <w:suppressLineNumbers w:val="0"/>
                    <w:spacing w:before="0" w:beforeAutospacing="0" w:after="0" w:afterAutospacing="0"/>
                    <w:ind w:left="0" w:leftChars="0" w:right="0" w:rightChars="0" w:firstLine="0" w:firstLineChars="0"/>
                    <w:jc w:val="center"/>
                    <w:rPr>
                      <w:rFonts w:hint="default"/>
                      <w:caps w:val="0"/>
                      <w:smallCaps w:val="0"/>
                      <w:snapToGrid/>
                      <w:color w:val="auto"/>
                      <w:sz w:val="21"/>
                      <w:szCs w:val="21"/>
                      <w:highlight w:val="none"/>
                      <w:lang w:val="en-US" w:eastAsia="zh-CN"/>
                    </w:rPr>
                  </w:pPr>
                  <w:r>
                    <w:rPr>
                      <w:rFonts w:hint="eastAsia"/>
                      <w:caps w:val="0"/>
                      <w:smallCaps w:val="0"/>
                      <w:snapToGrid/>
                      <w:color w:val="auto"/>
                      <w:sz w:val="21"/>
                      <w:szCs w:val="21"/>
                      <w:highlight w:val="none"/>
                      <w:lang w:val="en-US" w:eastAsia="zh-CN"/>
                    </w:rPr>
                    <w:t>硫化氢</w:t>
                  </w:r>
                </w:p>
              </w:tc>
              <w:tc>
                <w:tcPr>
                  <w:tcW w:w="471" w:type="pct"/>
                  <w:noWrap w:val="0"/>
                  <w:vAlign w:val="center"/>
                </w:tcPr>
                <w:p w14:paraId="30702882">
                  <w:pPr>
                    <w:keepNext w:val="0"/>
                    <w:keepLines w:val="0"/>
                    <w:widowControl/>
                    <w:suppressLineNumbers w:val="0"/>
                    <w:spacing w:before="0" w:beforeAutospacing="0" w:after="0" w:afterAutospacing="0"/>
                    <w:ind w:left="0" w:leftChars="0" w:right="0" w:rightChars="0" w:firstLine="0" w:firstLineChars="0"/>
                    <w:jc w:val="center"/>
                    <w:rPr>
                      <w:rFonts w:hint="default" w:ascii="Times New Roman" w:hAnsi="Times New Roman" w:eastAsia="宋体" w:cs="Times New Roman"/>
                      <w:color w:val="auto"/>
                      <w:kern w:val="2"/>
                      <w:sz w:val="21"/>
                      <w:szCs w:val="21"/>
                      <w:highlight w:val="none"/>
                    </w:rPr>
                  </w:pPr>
                  <w:r>
                    <w:rPr>
                      <w:rFonts w:hint="default" w:ascii="Times New Roman" w:hAnsi="Times New Roman" w:eastAsia="宋体" w:cs="Times New Roman"/>
                      <w:color w:val="auto"/>
                      <w:kern w:val="2"/>
                      <w:sz w:val="21"/>
                      <w:szCs w:val="21"/>
                      <w:highlight w:val="none"/>
                    </w:rPr>
                    <w:t>μg/m</w:t>
                  </w:r>
                  <w:r>
                    <w:rPr>
                      <w:rFonts w:hint="default" w:ascii="Times New Roman" w:hAnsi="Times New Roman" w:eastAsia="宋体" w:cs="Times New Roman"/>
                      <w:color w:val="auto"/>
                      <w:kern w:val="2"/>
                      <w:sz w:val="21"/>
                      <w:szCs w:val="21"/>
                      <w:highlight w:val="none"/>
                      <w:vertAlign w:val="superscript"/>
                    </w:rPr>
                    <w:t>3</w:t>
                  </w:r>
                </w:p>
              </w:tc>
              <w:tc>
                <w:tcPr>
                  <w:tcW w:w="1233" w:type="pct"/>
                  <w:noWrap w:val="0"/>
                  <w:vAlign w:val="center"/>
                </w:tcPr>
                <w:p w14:paraId="222C9057">
                  <w:pPr>
                    <w:keepNext w:val="0"/>
                    <w:keepLines w:val="0"/>
                    <w:widowControl/>
                    <w:suppressLineNumbers w:val="0"/>
                    <w:spacing w:before="0" w:beforeAutospacing="0" w:after="0" w:afterAutospacing="0"/>
                    <w:ind w:left="0" w:leftChars="0" w:right="0" w:rightChars="0" w:firstLine="0" w:firstLineChars="0"/>
                    <w:jc w:val="center"/>
                    <w:rPr>
                      <w:rFonts w:hint="default" w:ascii="Times New Roman" w:hAnsi="Times New Roman" w:eastAsia="宋体" w:cs="Times New Roman"/>
                      <w:color w:val="auto"/>
                      <w:kern w:val="2"/>
                      <w:sz w:val="21"/>
                      <w:szCs w:val="21"/>
                      <w:highlight w:val="none"/>
                      <w:lang w:val="en-US" w:eastAsia="zh-CN"/>
                    </w:rPr>
                  </w:pPr>
                  <w:r>
                    <w:rPr>
                      <w:rFonts w:hint="default" w:ascii="Times New Roman" w:hAnsi="Times New Roman" w:eastAsia="宋体" w:cs="Times New Roman"/>
                      <w:color w:val="auto"/>
                      <w:kern w:val="2"/>
                      <w:sz w:val="21"/>
                      <w:szCs w:val="21"/>
                      <w:highlight w:val="none"/>
                      <w:lang w:val="en-US" w:eastAsia="zh-CN"/>
                    </w:rPr>
                    <w:t>1</w:t>
                  </w:r>
                  <w:r>
                    <w:rPr>
                      <w:rFonts w:hint="eastAsia" w:ascii="Times New Roman" w:hAnsi="Times New Roman" w:eastAsia="宋体" w:cs="Times New Roman"/>
                      <w:color w:val="auto"/>
                      <w:kern w:val="2"/>
                      <w:sz w:val="21"/>
                      <w:szCs w:val="21"/>
                      <w:highlight w:val="none"/>
                      <w:lang w:val="en-US" w:eastAsia="zh-CN"/>
                    </w:rPr>
                    <w:t>小时平均</w:t>
                  </w:r>
                </w:p>
              </w:tc>
              <w:tc>
                <w:tcPr>
                  <w:tcW w:w="765" w:type="pct"/>
                  <w:noWrap w:val="0"/>
                  <w:vAlign w:val="center"/>
                </w:tcPr>
                <w:p w14:paraId="4AD5F988">
                  <w:pPr>
                    <w:keepNext w:val="0"/>
                    <w:keepLines w:val="0"/>
                    <w:widowControl/>
                    <w:suppressLineNumbers w:val="0"/>
                    <w:spacing w:before="0" w:beforeAutospacing="0" w:after="0" w:afterAutospacing="0"/>
                    <w:ind w:left="0" w:leftChars="0" w:right="0" w:rightChars="0" w:firstLine="0" w:firstLineChars="0"/>
                    <w:jc w:val="center"/>
                    <w:rPr>
                      <w:rFonts w:hint="default" w:ascii="Times New Roman" w:hAnsi="Times New Roman" w:eastAsia="宋体" w:cs="Times New Roman"/>
                      <w:color w:val="auto"/>
                      <w:kern w:val="2"/>
                      <w:sz w:val="21"/>
                      <w:szCs w:val="21"/>
                      <w:highlight w:val="none"/>
                      <w:lang w:val="en-US" w:eastAsia="zh-CN"/>
                    </w:rPr>
                  </w:pPr>
                  <w:r>
                    <w:rPr>
                      <w:rFonts w:hint="eastAsia" w:ascii="Times New Roman" w:hAnsi="Times New Roman" w:eastAsia="宋体" w:cs="Times New Roman"/>
                      <w:color w:val="auto"/>
                      <w:kern w:val="2"/>
                      <w:sz w:val="21"/>
                      <w:szCs w:val="21"/>
                      <w:highlight w:val="none"/>
                      <w:lang w:val="en-US" w:eastAsia="zh-CN"/>
                    </w:rPr>
                    <w:t>200</w:t>
                  </w:r>
                </w:p>
              </w:tc>
              <w:tc>
                <w:tcPr>
                  <w:tcW w:w="1670" w:type="pct"/>
                  <w:vMerge w:val="continue"/>
                  <w:noWrap w:val="0"/>
                  <w:vAlign w:val="center"/>
                </w:tcPr>
                <w:p w14:paraId="5650BEB4">
                  <w:pPr>
                    <w:keepNext w:val="0"/>
                    <w:keepLines w:val="0"/>
                    <w:widowControl/>
                    <w:suppressLineNumbers w:val="0"/>
                    <w:spacing w:before="0" w:beforeAutospacing="0" w:after="0" w:afterAutospacing="0"/>
                    <w:ind w:left="0" w:leftChars="0" w:right="0" w:rightChars="0" w:firstLine="0" w:firstLineChars="0"/>
                    <w:jc w:val="center"/>
                    <w:rPr>
                      <w:rFonts w:hint="eastAsia" w:ascii="Times New Roman" w:hAnsi="Times New Roman" w:eastAsia="宋体" w:cs="Times New Roman"/>
                      <w:color w:val="auto"/>
                      <w:kern w:val="2"/>
                      <w:sz w:val="21"/>
                      <w:szCs w:val="21"/>
                      <w:highlight w:val="none"/>
                      <w:lang w:val="en-US" w:eastAsia="zh-CN"/>
                    </w:rPr>
                  </w:pPr>
                </w:p>
              </w:tc>
            </w:tr>
            <w:tr w14:paraId="73F0943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cantSplit/>
                <w:trHeight w:val="340" w:hRule="atLeast"/>
                <w:jc w:val="center"/>
              </w:trPr>
              <w:tc>
                <w:tcPr>
                  <w:tcW w:w="187" w:type="pct"/>
                  <w:noWrap w:val="0"/>
                  <w:vAlign w:val="center"/>
                </w:tcPr>
                <w:p w14:paraId="1147191C">
                  <w:pPr>
                    <w:keepNext w:val="0"/>
                    <w:keepLines w:val="0"/>
                    <w:suppressLineNumbers w:val="0"/>
                    <w:spacing w:before="0" w:beforeAutospacing="0" w:after="0" w:afterAutospacing="0" w:line="240" w:lineRule="auto"/>
                    <w:ind w:left="0" w:right="0" w:firstLine="0" w:firstLineChars="0"/>
                    <w:jc w:val="center"/>
                    <w:rPr>
                      <w:rFonts w:hint="default"/>
                      <w:caps w:val="0"/>
                      <w:smallCaps w:val="0"/>
                      <w:snapToGrid/>
                      <w:color w:val="auto"/>
                      <w:sz w:val="21"/>
                      <w:szCs w:val="21"/>
                      <w:highlight w:val="none"/>
                      <w:lang w:val="en-US" w:eastAsia="zh-CN"/>
                    </w:rPr>
                  </w:pPr>
                  <w:r>
                    <w:rPr>
                      <w:rFonts w:hint="eastAsia"/>
                      <w:caps w:val="0"/>
                      <w:smallCaps w:val="0"/>
                      <w:snapToGrid/>
                      <w:color w:val="auto"/>
                      <w:sz w:val="21"/>
                      <w:szCs w:val="21"/>
                      <w:highlight w:val="none"/>
                      <w:lang w:val="en-US" w:eastAsia="zh-CN"/>
                    </w:rPr>
                    <w:t>10</w:t>
                  </w:r>
                </w:p>
              </w:tc>
              <w:tc>
                <w:tcPr>
                  <w:tcW w:w="672" w:type="pct"/>
                  <w:noWrap w:val="0"/>
                  <w:vAlign w:val="center"/>
                </w:tcPr>
                <w:p w14:paraId="588C7881">
                  <w:pPr>
                    <w:pStyle w:val="135"/>
                    <w:keepNext w:val="0"/>
                    <w:keepLines w:val="0"/>
                    <w:suppressLineNumbers w:val="0"/>
                    <w:spacing w:before="0" w:beforeAutospacing="0" w:after="0" w:afterAutospacing="0"/>
                    <w:ind w:left="0" w:right="0"/>
                    <w:jc w:val="center"/>
                    <w:rPr>
                      <w:rFonts w:hint="eastAsia"/>
                      <w:caps w:val="0"/>
                      <w:smallCaps w:val="0"/>
                      <w:snapToGrid/>
                      <w:color w:val="auto"/>
                      <w:sz w:val="21"/>
                      <w:szCs w:val="21"/>
                      <w:highlight w:val="none"/>
                      <w:lang w:eastAsia="zh-CN"/>
                    </w:rPr>
                  </w:pPr>
                  <w:r>
                    <w:rPr>
                      <w:rFonts w:hint="eastAsia" w:ascii="Times New Roman" w:hAnsi="Times New Roman" w:eastAsia="宋体" w:cs="Times New Roman"/>
                      <w:color w:val="auto"/>
                      <w:sz w:val="21"/>
                      <w:szCs w:val="21"/>
                      <w:highlight w:val="none"/>
                      <w:lang w:val="en-US" w:eastAsia="zh-CN"/>
                    </w:rPr>
                    <w:t>甲醛</w:t>
                  </w:r>
                </w:p>
              </w:tc>
              <w:tc>
                <w:tcPr>
                  <w:tcW w:w="471" w:type="pct"/>
                  <w:noWrap w:val="0"/>
                  <w:vAlign w:val="center"/>
                </w:tcPr>
                <w:p w14:paraId="05A37A39">
                  <w:pPr>
                    <w:keepNext w:val="0"/>
                    <w:keepLines w:val="0"/>
                    <w:widowControl/>
                    <w:suppressLineNumbers w:val="0"/>
                    <w:spacing w:before="0" w:beforeAutospacing="0" w:after="0" w:afterAutospacing="0"/>
                    <w:ind w:left="0" w:right="0"/>
                    <w:jc w:val="center"/>
                    <w:rPr>
                      <w:rFonts w:hint="eastAsia" w:ascii="Times New Roman" w:hAnsi="Times New Roman" w:eastAsia="宋体"/>
                      <w:caps w:val="0"/>
                      <w:smallCaps w:val="0"/>
                      <w:snapToGrid/>
                      <w:color w:val="auto"/>
                      <w:sz w:val="21"/>
                      <w:szCs w:val="21"/>
                      <w:highlight w:val="none"/>
                    </w:rPr>
                  </w:pPr>
                  <w:r>
                    <w:rPr>
                      <w:rFonts w:hint="default" w:ascii="Times New Roman" w:hAnsi="Times New Roman" w:eastAsia="宋体" w:cs="Times New Roman"/>
                      <w:color w:val="auto"/>
                      <w:kern w:val="2"/>
                      <w:sz w:val="21"/>
                      <w:szCs w:val="21"/>
                      <w:highlight w:val="none"/>
                    </w:rPr>
                    <w:t>μg/m</w:t>
                  </w:r>
                  <w:r>
                    <w:rPr>
                      <w:rFonts w:hint="default" w:ascii="Times New Roman" w:hAnsi="Times New Roman" w:eastAsia="宋体" w:cs="Times New Roman"/>
                      <w:color w:val="auto"/>
                      <w:kern w:val="2"/>
                      <w:sz w:val="21"/>
                      <w:szCs w:val="21"/>
                      <w:highlight w:val="none"/>
                      <w:vertAlign w:val="superscript"/>
                    </w:rPr>
                    <w:t>3</w:t>
                  </w:r>
                </w:p>
              </w:tc>
              <w:tc>
                <w:tcPr>
                  <w:tcW w:w="1233" w:type="pct"/>
                  <w:noWrap w:val="0"/>
                  <w:vAlign w:val="center"/>
                </w:tcPr>
                <w:p w14:paraId="68A5BC26">
                  <w:pPr>
                    <w:keepNext w:val="0"/>
                    <w:keepLines w:val="0"/>
                    <w:widowControl/>
                    <w:suppressLineNumbers w:val="0"/>
                    <w:spacing w:before="0" w:beforeAutospacing="0" w:after="0" w:afterAutospacing="0"/>
                    <w:ind w:left="0" w:right="0"/>
                    <w:jc w:val="center"/>
                    <w:rPr>
                      <w:rFonts w:hint="eastAsia" w:ascii="Times New Roman" w:hAnsi="Times New Roman" w:eastAsia="宋体"/>
                      <w:caps w:val="0"/>
                      <w:smallCaps w:val="0"/>
                      <w:snapToGrid/>
                      <w:color w:val="auto"/>
                      <w:kern w:val="2"/>
                      <w:sz w:val="21"/>
                      <w:szCs w:val="21"/>
                      <w:highlight w:val="none"/>
                      <w:lang w:val="en-US" w:eastAsia="zh-CN" w:bidi="ar-SA"/>
                    </w:rPr>
                  </w:pPr>
                  <w:r>
                    <w:rPr>
                      <w:rFonts w:hint="default" w:ascii="Times New Roman" w:hAnsi="Times New Roman" w:eastAsia="宋体" w:cs="Times New Roman"/>
                      <w:color w:val="auto"/>
                      <w:kern w:val="2"/>
                      <w:sz w:val="21"/>
                      <w:szCs w:val="21"/>
                      <w:highlight w:val="none"/>
                    </w:rPr>
                    <w:t>1</w:t>
                  </w:r>
                  <w:r>
                    <w:rPr>
                      <w:rFonts w:hint="eastAsia" w:ascii="宋体" w:hAnsi="宋体" w:eastAsia="宋体" w:cs="宋体"/>
                      <w:color w:val="auto"/>
                      <w:kern w:val="2"/>
                      <w:sz w:val="21"/>
                      <w:szCs w:val="21"/>
                      <w:highlight w:val="none"/>
                    </w:rPr>
                    <w:t>小时平均</w:t>
                  </w:r>
                </w:p>
              </w:tc>
              <w:tc>
                <w:tcPr>
                  <w:tcW w:w="765" w:type="pct"/>
                  <w:noWrap w:val="0"/>
                  <w:vAlign w:val="center"/>
                </w:tcPr>
                <w:p w14:paraId="7D8F737D">
                  <w:pPr>
                    <w:keepNext w:val="0"/>
                    <w:keepLines w:val="0"/>
                    <w:widowControl/>
                    <w:suppressLineNumbers w:val="0"/>
                    <w:spacing w:before="0" w:beforeAutospacing="0" w:after="0" w:afterAutospacing="0"/>
                    <w:ind w:left="0" w:right="0"/>
                    <w:jc w:val="center"/>
                    <w:rPr>
                      <w:rFonts w:hint="eastAsia"/>
                      <w:caps w:val="0"/>
                      <w:smallCaps w:val="0"/>
                      <w:snapToGrid/>
                      <w:color w:val="auto"/>
                      <w:kern w:val="2"/>
                      <w:sz w:val="21"/>
                      <w:szCs w:val="21"/>
                      <w:highlight w:val="none"/>
                      <w:lang w:val="en-US" w:eastAsia="zh-CN" w:bidi="ar-SA"/>
                    </w:rPr>
                  </w:pPr>
                  <w:r>
                    <w:rPr>
                      <w:rFonts w:hint="eastAsia" w:cs="Times New Roman"/>
                      <w:color w:val="auto"/>
                      <w:kern w:val="2"/>
                      <w:sz w:val="21"/>
                      <w:szCs w:val="21"/>
                      <w:highlight w:val="none"/>
                      <w:lang w:val="en-US" w:eastAsia="zh-CN"/>
                    </w:rPr>
                    <w:t>50</w:t>
                  </w:r>
                </w:p>
              </w:tc>
              <w:tc>
                <w:tcPr>
                  <w:tcW w:w="1670" w:type="pct"/>
                  <w:vMerge w:val="continue"/>
                  <w:noWrap w:val="0"/>
                  <w:vAlign w:val="center"/>
                </w:tcPr>
                <w:p w14:paraId="1E51BB41">
                  <w:pPr>
                    <w:keepNext w:val="0"/>
                    <w:keepLines w:val="0"/>
                    <w:suppressLineNumbers w:val="0"/>
                    <w:spacing w:before="0" w:beforeAutospacing="0" w:after="0" w:afterAutospacing="0" w:line="240" w:lineRule="auto"/>
                    <w:ind w:left="0" w:right="0" w:firstLine="0" w:firstLineChars="0"/>
                    <w:jc w:val="center"/>
                    <w:rPr>
                      <w:rFonts w:hint="default"/>
                      <w:caps w:val="0"/>
                      <w:smallCaps w:val="0"/>
                      <w:snapToGrid/>
                      <w:color w:val="auto"/>
                      <w:sz w:val="21"/>
                      <w:szCs w:val="21"/>
                      <w:highlight w:val="none"/>
                      <w:lang w:val="en-US" w:eastAsia="zh-CN"/>
                    </w:rPr>
                  </w:pPr>
                </w:p>
              </w:tc>
            </w:tr>
            <w:tr w14:paraId="2B0E28A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cantSplit/>
                <w:trHeight w:val="340" w:hRule="atLeast"/>
                <w:jc w:val="center"/>
              </w:trPr>
              <w:tc>
                <w:tcPr>
                  <w:tcW w:w="187" w:type="pct"/>
                  <w:noWrap w:val="0"/>
                  <w:vAlign w:val="center"/>
                </w:tcPr>
                <w:p w14:paraId="2D30C501">
                  <w:pPr>
                    <w:keepNext w:val="0"/>
                    <w:keepLines w:val="0"/>
                    <w:suppressLineNumbers w:val="0"/>
                    <w:spacing w:before="0" w:beforeAutospacing="0" w:after="0" w:afterAutospacing="0" w:line="240" w:lineRule="auto"/>
                    <w:ind w:left="0" w:right="0" w:firstLine="0" w:firstLineChars="0"/>
                    <w:jc w:val="center"/>
                    <w:rPr>
                      <w:rFonts w:hint="eastAsia"/>
                      <w:caps w:val="0"/>
                      <w:smallCaps w:val="0"/>
                      <w:snapToGrid/>
                      <w:color w:val="auto"/>
                      <w:sz w:val="21"/>
                      <w:szCs w:val="21"/>
                      <w:highlight w:val="none"/>
                      <w:lang w:val="en-US" w:eastAsia="zh-CN"/>
                    </w:rPr>
                  </w:pPr>
                  <w:r>
                    <w:rPr>
                      <w:rFonts w:hint="eastAsia"/>
                      <w:caps w:val="0"/>
                      <w:smallCaps w:val="0"/>
                      <w:snapToGrid/>
                      <w:color w:val="auto"/>
                      <w:sz w:val="21"/>
                      <w:szCs w:val="21"/>
                      <w:highlight w:val="none"/>
                      <w:lang w:val="en-US" w:eastAsia="zh-CN"/>
                    </w:rPr>
                    <w:t>11</w:t>
                  </w:r>
                </w:p>
              </w:tc>
              <w:tc>
                <w:tcPr>
                  <w:tcW w:w="672" w:type="pct"/>
                  <w:noWrap w:val="0"/>
                  <w:vAlign w:val="center"/>
                </w:tcPr>
                <w:p w14:paraId="6E7F8372">
                  <w:pPr>
                    <w:pStyle w:val="135"/>
                    <w:keepNext w:val="0"/>
                    <w:keepLines w:val="0"/>
                    <w:suppressLineNumbers w:val="0"/>
                    <w:spacing w:before="0" w:beforeAutospacing="0" w:after="0" w:afterAutospacing="0"/>
                    <w:ind w:left="0" w:right="0"/>
                    <w:jc w:val="center"/>
                    <w:rPr>
                      <w:rFonts w:hint="default" w:ascii="Times New Roman" w:hAnsi="Times New Roman" w:eastAsia="宋体" w:cs="Times New Roman"/>
                      <w:color w:val="auto"/>
                      <w:sz w:val="21"/>
                      <w:szCs w:val="21"/>
                      <w:highlight w:val="none"/>
                      <w:lang w:val="en-US" w:eastAsia="zh-CN"/>
                    </w:rPr>
                  </w:pPr>
                  <w:r>
                    <w:rPr>
                      <w:rFonts w:hint="eastAsia" w:ascii="Times New Roman" w:hAnsi="Times New Roman" w:eastAsia="宋体" w:cs="Times New Roman"/>
                      <w:color w:val="auto"/>
                      <w:sz w:val="21"/>
                      <w:szCs w:val="21"/>
                      <w:highlight w:val="none"/>
                      <w:lang w:val="en-US" w:eastAsia="zh-CN"/>
                    </w:rPr>
                    <w:t>氯</w:t>
                  </w:r>
                </w:p>
              </w:tc>
              <w:tc>
                <w:tcPr>
                  <w:tcW w:w="471" w:type="pct"/>
                  <w:noWrap w:val="0"/>
                  <w:vAlign w:val="center"/>
                </w:tcPr>
                <w:p w14:paraId="2AF7E41F">
                  <w:pPr>
                    <w:keepNext w:val="0"/>
                    <w:keepLines w:val="0"/>
                    <w:widowControl/>
                    <w:suppressLineNumbers w:val="0"/>
                    <w:spacing w:before="0" w:beforeAutospacing="0" w:after="0" w:afterAutospacing="0"/>
                    <w:ind w:left="0" w:right="0"/>
                    <w:jc w:val="center"/>
                    <w:rPr>
                      <w:rFonts w:hint="default" w:ascii="Times New Roman" w:hAnsi="Times New Roman" w:eastAsia="宋体" w:cs="Times New Roman"/>
                      <w:color w:val="auto"/>
                      <w:kern w:val="2"/>
                      <w:sz w:val="21"/>
                      <w:szCs w:val="21"/>
                      <w:highlight w:val="none"/>
                    </w:rPr>
                  </w:pPr>
                  <w:r>
                    <w:rPr>
                      <w:rFonts w:hint="default" w:ascii="Times New Roman" w:hAnsi="Times New Roman" w:eastAsia="宋体" w:cs="Times New Roman"/>
                      <w:color w:val="auto"/>
                      <w:kern w:val="2"/>
                      <w:sz w:val="21"/>
                      <w:szCs w:val="21"/>
                      <w:highlight w:val="none"/>
                    </w:rPr>
                    <w:t>μg/m</w:t>
                  </w:r>
                  <w:r>
                    <w:rPr>
                      <w:rFonts w:hint="default" w:ascii="Times New Roman" w:hAnsi="Times New Roman" w:eastAsia="宋体" w:cs="Times New Roman"/>
                      <w:color w:val="auto"/>
                      <w:kern w:val="2"/>
                      <w:sz w:val="21"/>
                      <w:szCs w:val="21"/>
                      <w:highlight w:val="none"/>
                      <w:vertAlign w:val="superscript"/>
                    </w:rPr>
                    <w:t>3</w:t>
                  </w:r>
                </w:p>
              </w:tc>
              <w:tc>
                <w:tcPr>
                  <w:tcW w:w="1233" w:type="pct"/>
                  <w:noWrap w:val="0"/>
                  <w:vAlign w:val="center"/>
                </w:tcPr>
                <w:p w14:paraId="36AE3174">
                  <w:pPr>
                    <w:keepNext w:val="0"/>
                    <w:keepLines w:val="0"/>
                    <w:widowControl/>
                    <w:suppressLineNumbers w:val="0"/>
                    <w:spacing w:before="0" w:beforeAutospacing="0" w:after="0" w:afterAutospacing="0"/>
                    <w:ind w:left="0" w:right="0"/>
                    <w:jc w:val="center"/>
                    <w:rPr>
                      <w:rFonts w:hint="default" w:ascii="Times New Roman" w:hAnsi="Times New Roman" w:eastAsia="宋体" w:cs="Times New Roman"/>
                      <w:color w:val="auto"/>
                      <w:kern w:val="2"/>
                      <w:sz w:val="21"/>
                      <w:szCs w:val="21"/>
                      <w:highlight w:val="none"/>
                    </w:rPr>
                  </w:pPr>
                  <w:r>
                    <w:rPr>
                      <w:rFonts w:hint="default" w:ascii="Times New Roman" w:hAnsi="Times New Roman" w:eastAsia="宋体" w:cs="Times New Roman"/>
                      <w:color w:val="auto"/>
                      <w:kern w:val="2"/>
                      <w:sz w:val="21"/>
                      <w:szCs w:val="21"/>
                      <w:highlight w:val="none"/>
                    </w:rPr>
                    <w:t>1</w:t>
                  </w:r>
                  <w:r>
                    <w:rPr>
                      <w:rFonts w:hint="eastAsia" w:ascii="宋体" w:hAnsi="宋体" w:eastAsia="宋体" w:cs="宋体"/>
                      <w:color w:val="auto"/>
                      <w:kern w:val="2"/>
                      <w:sz w:val="21"/>
                      <w:szCs w:val="21"/>
                      <w:highlight w:val="none"/>
                    </w:rPr>
                    <w:t>小时平均</w:t>
                  </w:r>
                </w:p>
              </w:tc>
              <w:tc>
                <w:tcPr>
                  <w:tcW w:w="765" w:type="pct"/>
                  <w:noWrap w:val="0"/>
                  <w:vAlign w:val="center"/>
                </w:tcPr>
                <w:p w14:paraId="36546B4E">
                  <w:pPr>
                    <w:keepNext w:val="0"/>
                    <w:keepLines w:val="0"/>
                    <w:widowControl/>
                    <w:suppressLineNumbers w:val="0"/>
                    <w:spacing w:before="0" w:beforeAutospacing="0" w:after="0" w:afterAutospacing="0"/>
                    <w:ind w:left="0" w:right="0"/>
                    <w:jc w:val="center"/>
                    <w:rPr>
                      <w:rFonts w:hint="default" w:cs="Times New Roman"/>
                      <w:color w:val="auto"/>
                      <w:kern w:val="2"/>
                      <w:sz w:val="21"/>
                      <w:szCs w:val="21"/>
                      <w:highlight w:val="none"/>
                      <w:lang w:val="en-US" w:eastAsia="zh-CN"/>
                    </w:rPr>
                  </w:pPr>
                  <w:r>
                    <w:rPr>
                      <w:rFonts w:hint="eastAsia" w:cs="Times New Roman"/>
                      <w:color w:val="auto"/>
                      <w:kern w:val="2"/>
                      <w:sz w:val="21"/>
                      <w:szCs w:val="21"/>
                      <w:highlight w:val="none"/>
                      <w:lang w:val="en-US" w:eastAsia="zh-CN"/>
                    </w:rPr>
                    <w:t>100</w:t>
                  </w:r>
                </w:p>
              </w:tc>
              <w:tc>
                <w:tcPr>
                  <w:tcW w:w="1670" w:type="pct"/>
                  <w:vMerge w:val="continue"/>
                  <w:noWrap w:val="0"/>
                  <w:vAlign w:val="center"/>
                </w:tcPr>
                <w:p w14:paraId="1CE3574C">
                  <w:pPr>
                    <w:keepNext w:val="0"/>
                    <w:keepLines w:val="0"/>
                    <w:suppressLineNumbers w:val="0"/>
                    <w:spacing w:before="0" w:beforeAutospacing="0" w:after="0" w:afterAutospacing="0" w:line="240" w:lineRule="auto"/>
                    <w:ind w:left="0" w:right="0" w:firstLine="0" w:firstLineChars="0"/>
                    <w:jc w:val="center"/>
                    <w:rPr>
                      <w:rFonts w:hint="default"/>
                      <w:caps w:val="0"/>
                      <w:smallCaps w:val="0"/>
                      <w:snapToGrid/>
                      <w:color w:val="auto"/>
                      <w:sz w:val="21"/>
                      <w:szCs w:val="21"/>
                      <w:highlight w:val="none"/>
                      <w:lang w:val="en-US" w:eastAsia="zh-CN"/>
                    </w:rPr>
                  </w:pPr>
                </w:p>
              </w:tc>
            </w:tr>
            <w:tr w14:paraId="1A56626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cantSplit/>
                <w:trHeight w:val="340" w:hRule="atLeast"/>
                <w:jc w:val="center"/>
              </w:trPr>
              <w:tc>
                <w:tcPr>
                  <w:tcW w:w="187" w:type="pct"/>
                  <w:shd w:val="clear" w:color="auto" w:fill="auto"/>
                  <w:noWrap w:val="0"/>
                  <w:vAlign w:val="center"/>
                </w:tcPr>
                <w:p w14:paraId="01141721">
                  <w:pPr>
                    <w:keepNext w:val="0"/>
                    <w:keepLines w:val="0"/>
                    <w:suppressLineNumbers w:val="0"/>
                    <w:spacing w:before="0" w:beforeAutospacing="0" w:after="0" w:afterAutospacing="0" w:line="240" w:lineRule="auto"/>
                    <w:ind w:left="0" w:right="0" w:firstLine="0" w:firstLineChars="0"/>
                    <w:jc w:val="center"/>
                    <w:rPr>
                      <w:rFonts w:hint="default" w:ascii="Times New Roman" w:hAnsi="Times New Roman" w:eastAsia="宋体" w:cs="Times New Roman"/>
                      <w:caps w:val="0"/>
                      <w:smallCaps w:val="0"/>
                      <w:snapToGrid/>
                      <w:color w:val="auto"/>
                      <w:kern w:val="2"/>
                      <w:sz w:val="21"/>
                      <w:szCs w:val="21"/>
                      <w:highlight w:val="none"/>
                      <w:lang w:val="en-US" w:eastAsia="zh-CN" w:bidi="ar-SA"/>
                    </w:rPr>
                  </w:pPr>
                  <w:r>
                    <w:rPr>
                      <w:rFonts w:hint="eastAsia"/>
                      <w:caps w:val="0"/>
                      <w:smallCaps w:val="0"/>
                      <w:snapToGrid/>
                      <w:color w:val="auto"/>
                      <w:sz w:val="21"/>
                      <w:szCs w:val="21"/>
                      <w:highlight w:val="none"/>
                      <w:lang w:val="en-US" w:eastAsia="zh-CN"/>
                    </w:rPr>
                    <w:t>12</w:t>
                  </w:r>
                </w:p>
              </w:tc>
              <w:tc>
                <w:tcPr>
                  <w:tcW w:w="672" w:type="pct"/>
                  <w:noWrap w:val="0"/>
                  <w:vAlign w:val="center"/>
                </w:tcPr>
                <w:p w14:paraId="3542A87C">
                  <w:pPr>
                    <w:pStyle w:val="135"/>
                    <w:keepNext w:val="0"/>
                    <w:keepLines w:val="0"/>
                    <w:suppressLineNumbers w:val="0"/>
                    <w:spacing w:before="0" w:beforeAutospacing="0" w:after="0" w:afterAutospacing="0"/>
                    <w:ind w:left="0" w:right="0"/>
                    <w:jc w:val="center"/>
                    <w:rPr>
                      <w:rFonts w:hint="eastAsia"/>
                      <w:caps w:val="0"/>
                      <w:smallCaps w:val="0"/>
                      <w:snapToGrid/>
                      <w:color w:val="auto"/>
                      <w:sz w:val="21"/>
                      <w:szCs w:val="21"/>
                      <w:highlight w:val="none"/>
                      <w:lang w:eastAsia="zh-CN"/>
                    </w:rPr>
                  </w:pPr>
                  <w:r>
                    <w:rPr>
                      <w:rFonts w:hint="eastAsia" w:ascii="Times New Roman" w:hAnsi="Times New Roman" w:eastAsia="宋体" w:cs="Times New Roman"/>
                      <w:color w:val="auto"/>
                      <w:sz w:val="21"/>
                      <w:szCs w:val="21"/>
                      <w:highlight w:val="none"/>
                      <w:lang w:val="en-US" w:eastAsia="zh-CN"/>
                    </w:rPr>
                    <w:t>氯化氢</w:t>
                  </w:r>
                </w:p>
              </w:tc>
              <w:tc>
                <w:tcPr>
                  <w:tcW w:w="471" w:type="pct"/>
                  <w:noWrap w:val="0"/>
                  <w:vAlign w:val="center"/>
                </w:tcPr>
                <w:p w14:paraId="5DB7FFAF">
                  <w:pPr>
                    <w:keepNext w:val="0"/>
                    <w:keepLines w:val="0"/>
                    <w:widowControl/>
                    <w:suppressLineNumbers w:val="0"/>
                    <w:spacing w:before="0" w:beforeAutospacing="0" w:after="0" w:afterAutospacing="0"/>
                    <w:ind w:left="0" w:leftChars="0" w:right="0" w:rightChars="0" w:firstLine="0" w:firstLineChars="0"/>
                    <w:jc w:val="center"/>
                    <w:rPr>
                      <w:rFonts w:hint="eastAsia" w:ascii="Times New Roman" w:hAnsi="Times New Roman" w:eastAsia="宋体"/>
                      <w:caps w:val="0"/>
                      <w:smallCaps w:val="0"/>
                      <w:snapToGrid/>
                      <w:color w:val="auto"/>
                      <w:sz w:val="21"/>
                      <w:szCs w:val="21"/>
                      <w:highlight w:val="none"/>
                    </w:rPr>
                  </w:pPr>
                  <w:r>
                    <w:rPr>
                      <w:rFonts w:hint="default" w:ascii="Times New Roman" w:hAnsi="Times New Roman" w:eastAsia="宋体" w:cs="Times New Roman"/>
                      <w:color w:val="auto"/>
                      <w:kern w:val="2"/>
                      <w:sz w:val="21"/>
                      <w:szCs w:val="21"/>
                      <w:highlight w:val="none"/>
                    </w:rPr>
                    <w:t>μg/m</w:t>
                  </w:r>
                  <w:r>
                    <w:rPr>
                      <w:rFonts w:hint="default" w:ascii="Times New Roman" w:hAnsi="Times New Roman" w:eastAsia="宋体" w:cs="Times New Roman"/>
                      <w:color w:val="auto"/>
                      <w:kern w:val="2"/>
                      <w:sz w:val="21"/>
                      <w:szCs w:val="21"/>
                      <w:highlight w:val="none"/>
                      <w:vertAlign w:val="superscript"/>
                    </w:rPr>
                    <w:t>3</w:t>
                  </w:r>
                </w:p>
              </w:tc>
              <w:tc>
                <w:tcPr>
                  <w:tcW w:w="1233" w:type="pct"/>
                  <w:noWrap w:val="0"/>
                  <w:vAlign w:val="center"/>
                </w:tcPr>
                <w:p w14:paraId="6338706D">
                  <w:pPr>
                    <w:keepNext w:val="0"/>
                    <w:keepLines w:val="0"/>
                    <w:widowControl/>
                    <w:suppressLineNumbers w:val="0"/>
                    <w:spacing w:before="0" w:beforeAutospacing="0" w:after="0" w:afterAutospacing="0"/>
                    <w:ind w:left="0" w:leftChars="0" w:right="0" w:rightChars="0" w:firstLine="0" w:firstLineChars="0"/>
                    <w:jc w:val="center"/>
                    <w:rPr>
                      <w:rFonts w:hint="eastAsia" w:ascii="Times New Roman" w:hAnsi="Times New Roman" w:eastAsia="宋体"/>
                      <w:caps w:val="0"/>
                      <w:smallCaps w:val="0"/>
                      <w:snapToGrid/>
                      <w:color w:val="auto"/>
                      <w:kern w:val="2"/>
                      <w:sz w:val="21"/>
                      <w:szCs w:val="21"/>
                      <w:highlight w:val="none"/>
                      <w:lang w:val="en-US" w:eastAsia="zh-CN" w:bidi="ar-SA"/>
                    </w:rPr>
                  </w:pPr>
                  <w:r>
                    <w:rPr>
                      <w:rFonts w:hint="default" w:ascii="Times New Roman" w:hAnsi="Times New Roman" w:eastAsia="宋体" w:cs="Times New Roman"/>
                      <w:color w:val="auto"/>
                      <w:kern w:val="2"/>
                      <w:sz w:val="21"/>
                      <w:szCs w:val="21"/>
                      <w:highlight w:val="none"/>
                    </w:rPr>
                    <w:t>1</w:t>
                  </w:r>
                  <w:r>
                    <w:rPr>
                      <w:rFonts w:hint="eastAsia" w:ascii="宋体" w:hAnsi="宋体" w:eastAsia="宋体" w:cs="宋体"/>
                      <w:color w:val="auto"/>
                      <w:kern w:val="2"/>
                      <w:sz w:val="21"/>
                      <w:szCs w:val="21"/>
                      <w:highlight w:val="none"/>
                    </w:rPr>
                    <w:t>小时平均</w:t>
                  </w:r>
                </w:p>
              </w:tc>
              <w:tc>
                <w:tcPr>
                  <w:tcW w:w="765" w:type="pct"/>
                  <w:noWrap w:val="0"/>
                  <w:vAlign w:val="center"/>
                </w:tcPr>
                <w:p w14:paraId="6E793C4C">
                  <w:pPr>
                    <w:keepNext w:val="0"/>
                    <w:keepLines w:val="0"/>
                    <w:widowControl/>
                    <w:suppressLineNumbers w:val="0"/>
                    <w:spacing w:before="0" w:beforeAutospacing="0" w:after="0" w:afterAutospacing="0"/>
                    <w:ind w:left="0" w:right="0"/>
                    <w:jc w:val="center"/>
                    <w:rPr>
                      <w:rFonts w:hint="eastAsia"/>
                      <w:caps w:val="0"/>
                      <w:smallCaps w:val="0"/>
                      <w:snapToGrid/>
                      <w:color w:val="auto"/>
                      <w:kern w:val="2"/>
                      <w:sz w:val="21"/>
                      <w:szCs w:val="21"/>
                      <w:highlight w:val="none"/>
                      <w:lang w:val="en-US" w:eastAsia="zh-CN" w:bidi="ar-SA"/>
                    </w:rPr>
                  </w:pPr>
                  <w:r>
                    <w:rPr>
                      <w:rFonts w:hint="eastAsia" w:ascii="Times New Roman" w:hAnsi="Times New Roman" w:eastAsia="宋体" w:cs="Times New Roman"/>
                      <w:color w:val="auto"/>
                      <w:kern w:val="2"/>
                      <w:sz w:val="21"/>
                      <w:szCs w:val="21"/>
                      <w:highlight w:val="none"/>
                      <w:lang w:val="en-US" w:eastAsia="zh-CN"/>
                    </w:rPr>
                    <w:t>50</w:t>
                  </w:r>
                </w:p>
              </w:tc>
              <w:tc>
                <w:tcPr>
                  <w:tcW w:w="1670" w:type="pct"/>
                  <w:vMerge w:val="continue"/>
                  <w:noWrap w:val="0"/>
                  <w:vAlign w:val="center"/>
                </w:tcPr>
                <w:p w14:paraId="14D6C069">
                  <w:pPr>
                    <w:keepNext w:val="0"/>
                    <w:keepLines w:val="0"/>
                    <w:suppressLineNumbers w:val="0"/>
                    <w:spacing w:before="0" w:beforeAutospacing="0" w:after="0" w:afterAutospacing="0" w:line="240" w:lineRule="auto"/>
                    <w:ind w:left="0" w:right="0" w:firstLine="0" w:firstLineChars="0"/>
                    <w:jc w:val="center"/>
                    <w:rPr>
                      <w:rFonts w:hint="default"/>
                      <w:caps w:val="0"/>
                      <w:smallCaps w:val="0"/>
                      <w:snapToGrid/>
                      <w:color w:val="auto"/>
                      <w:sz w:val="21"/>
                      <w:szCs w:val="21"/>
                      <w:highlight w:val="none"/>
                      <w:lang w:val="en-US" w:eastAsia="zh-CN"/>
                    </w:rPr>
                  </w:pPr>
                </w:p>
              </w:tc>
            </w:tr>
            <w:tr w14:paraId="09F7030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cantSplit/>
                <w:trHeight w:val="340" w:hRule="atLeast"/>
                <w:jc w:val="center"/>
              </w:trPr>
              <w:tc>
                <w:tcPr>
                  <w:tcW w:w="187" w:type="pct"/>
                  <w:shd w:val="clear" w:color="auto" w:fill="auto"/>
                  <w:noWrap w:val="0"/>
                  <w:vAlign w:val="center"/>
                </w:tcPr>
                <w:p w14:paraId="5B2C4C50">
                  <w:pPr>
                    <w:keepNext w:val="0"/>
                    <w:keepLines w:val="0"/>
                    <w:suppressLineNumbers w:val="0"/>
                    <w:spacing w:before="0" w:beforeAutospacing="0" w:after="0" w:afterAutospacing="0" w:line="240" w:lineRule="auto"/>
                    <w:ind w:left="0" w:right="0" w:firstLine="0" w:firstLineChars="0"/>
                    <w:jc w:val="center"/>
                    <w:rPr>
                      <w:rFonts w:hint="eastAsia" w:ascii="Times New Roman" w:hAnsi="Times New Roman" w:eastAsia="宋体" w:cs="Times New Roman"/>
                      <w:caps w:val="0"/>
                      <w:smallCaps w:val="0"/>
                      <w:snapToGrid/>
                      <w:color w:val="auto"/>
                      <w:kern w:val="2"/>
                      <w:sz w:val="21"/>
                      <w:szCs w:val="21"/>
                      <w:highlight w:val="none"/>
                      <w:lang w:val="en-US" w:eastAsia="zh-CN" w:bidi="ar-SA"/>
                    </w:rPr>
                  </w:pPr>
                  <w:r>
                    <w:rPr>
                      <w:rFonts w:hint="eastAsia"/>
                      <w:caps w:val="0"/>
                      <w:smallCaps w:val="0"/>
                      <w:snapToGrid/>
                      <w:color w:val="auto"/>
                      <w:sz w:val="21"/>
                      <w:szCs w:val="21"/>
                      <w:highlight w:val="none"/>
                      <w:lang w:val="en-US" w:eastAsia="zh-CN"/>
                    </w:rPr>
                    <w:t>13</w:t>
                  </w:r>
                </w:p>
              </w:tc>
              <w:tc>
                <w:tcPr>
                  <w:tcW w:w="672" w:type="pct"/>
                  <w:noWrap w:val="0"/>
                  <w:vAlign w:val="center"/>
                </w:tcPr>
                <w:p w14:paraId="0BFA1176">
                  <w:pPr>
                    <w:pStyle w:val="135"/>
                    <w:keepNext w:val="0"/>
                    <w:keepLines w:val="0"/>
                    <w:suppressLineNumbers w:val="0"/>
                    <w:spacing w:before="0" w:beforeAutospacing="0" w:after="0" w:afterAutospacing="0"/>
                    <w:ind w:left="0" w:right="0"/>
                    <w:jc w:val="center"/>
                    <w:rPr>
                      <w:rFonts w:hint="default" w:ascii="Times New Roman" w:hAnsi="Times New Roman" w:eastAsia="宋体" w:cs="Times New Roman"/>
                      <w:color w:val="auto"/>
                      <w:sz w:val="21"/>
                      <w:szCs w:val="21"/>
                      <w:highlight w:val="none"/>
                      <w:lang w:val="en-US" w:eastAsia="zh-CN"/>
                    </w:rPr>
                  </w:pPr>
                  <w:r>
                    <w:rPr>
                      <w:rFonts w:hint="eastAsia" w:ascii="Times New Roman" w:hAnsi="Times New Roman" w:eastAsia="宋体" w:cs="Times New Roman"/>
                      <w:color w:val="auto"/>
                      <w:sz w:val="21"/>
                      <w:szCs w:val="21"/>
                      <w:highlight w:val="none"/>
                      <w:lang w:val="en-US" w:eastAsia="zh-CN"/>
                    </w:rPr>
                    <w:t>硫酸</w:t>
                  </w:r>
                </w:p>
              </w:tc>
              <w:tc>
                <w:tcPr>
                  <w:tcW w:w="471" w:type="pct"/>
                  <w:noWrap w:val="0"/>
                  <w:vAlign w:val="center"/>
                </w:tcPr>
                <w:p w14:paraId="2AEB7B7A">
                  <w:pPr>
                    <w:keepNext w:val="0"/>
                    <w:keepLines w:val="0"/>
                    <w:widowControl/>
                    <w:suppressLineNumbers w:val="0"/>
                    <w:spacing w:before="0" w:beforeAutospacing="0" w:after="0" w:afterAutospacing="0"/>
                    <w:ind w:left="0" w:leftChars="0" w:right="0" w:rightChars="0" w:firstLine="0" w:firstLineChars="0"/>
                    <w:jc w:val="center"/>
                    <w:rPr>
                      <w:rFonts w:hint="default" w:ascii="Times New Roman" w:hAnsi="Times New Roman" w:eastAsia="宋体" w:cs="Times New Roman"/>
                      <w:color w:val="auto"/>
                      <w:kern w:val="2"/>
                      <w:sz w:val="21"/>
                      <w:szCs w:val="21"/>
                      <w:highlight w:val="none"/>
                    </w:rPr>
                  </w:pPr>
                  <w:r>
                    <w:rPr>
                      <w:rFonts w:hint="default" w:ascii="Times New Roman" w:hAnsi="Times New Roman" w:eastAsia="宋体" w:cs="Times New Roman"/>
                      <w:color w:val="auto"/>
                      <w:kern w:val="2"/>
                      <w:sz w:val="21"/>
                      <w:szCs w:val="21"/>
                      <w:highlight w:val="none"/>
                    </w:rPr>
                    <w:t>μg/m</w:t>
                  </w:r>
                  <w:r>
                    <w:rPr>
                      <w:rFonts w:hint="default" w:ascii="Times New Roman" w:hAnsi="Times New Roman" w:eastAsia="宋体" w:cs="Times New Roman"/>
                      <w:color w:val="auto"/>
                      <w:kern w:val="2"/>
                      <w:sz w:val="21"/>
                      <w:szCs w:val="21"/>
                      <w:highlight w:val="none"/>
                      <w:vertAlign w:val="superscript"/>
                    </w:rPr>
                    <w:t>3</w:t>
                  </w:r>
                </w:p>
              </w:tc>
              <w:tc>
                <w:tcPr>
                  <w:tcW w:w="1233" w:type="pct"/>
                  <w:noWrap w:val="0"/>
                  <w:vAlign w:val="center"/>
                </w:tcPr>
                <w:p w14:paraId="04FB5113">
                  <w:pPr>
                    <w:keepNext w:val="0"/>
                    <w:keepLines w:val="0"/>
                    <w:widowControl/>
                    <w:suppressLineNumbers w:val="0"/>
                    <w:spacing w:before="0" w:beforeAutospacing="0" w:after="0" w:afterAutospacing="0"/>
                    <w:ind w:left="0" w:leftChars="0" w:right="0" w:rightChars="0" w:firstLine="0" w:firstLineChars="0"/>
                    <w:jc w:val="center"/>
                    <w:rPr>
                      <w:rFonts w:hint="default" w:ascii="Times New Roman" w:hAnsi="Times New Roman" w:eastAsia="宋体" w:cs="Times New Roman"/>
                      <w:color w:val="auto"/>
                      <w:kern w:val="2"/>
                      <w:sz w:val="21"/>
                      <w:szCs w:val="21"/>
                      <w:highlight w:val="none"/>
                    </w:rPr>
                  </w:pPr>
                  <w:r>
                    <w:rPr>
                      <w:rFonts w:hint="default" w:ascii="Times New Roman" w:hAnsi="Times New Roman" w:eastAsia="宋体" w:cs="Times New Roman"/>
                      <w:color w:val="auto"/>
                      <w:kern w:val="2"/>
                      <w:sz w:val="21"/>
                      <w:szCs w:val="21"/>
                      <w:highlight w:val="none"/>
                    </w:rPr>
                    <w:t>1</w:t>
                  </w:r>
                  <w:r>
                    <w:rPr>
                      <w:rFonts w:hint="eastAsia" w:ascii="宋体" w:hAnsi="宋体" w:eastAsia="宋体" w:cs="宋体"/>
                      <w:color w:val="auto"/>
                      <w:kern w:val="2"/>
                      <w:sz w:val="21"/>
                      <w:szCs w:val="21"/>
                      <w:highlight w:val="none"/>
                    </w:rPr>
                    <w:t>小时平均</w:t>
                  </w:r>
                </w:p>
              </w:tc>
              <w:tc>
                <w:tcPr>
                  <w:tcW w:w="765" w:type="pct"/>
                  <w:noWrap w:val="0"/>
                  <w:vAlign w:val="center"/>
                </w:tcPr>
                <w:p w14:paraId="502EAF7C">
                  <w:pPr>
                    <w:keepNext w:val="0"/>
                    <w:keepLines w:val="0"/>
                    <w:widowControl/>
                    <w:suppressLineNumbers w:val="0"/>
                    <w:spacing w:before="0" w:beforeAutospacing="0" w:after="0" w:afterAutospacing="0"/>
                    <w:ind w:left="0" w:right="0"/>
                    <w:jc w:val="center"/>
                    <w:rPr>
                      <w:rFonts w:hint="eastAsia" w:ascii="Times New Roman" w:hAnsi="Times New Roman" w:eastAsia="宋体" w:cs="Times New Roman"/>
                      <w:color w:val="auto"/>
                      <w:kern w:val="2"/>
                      <w:sz w:val="21"/>
                      <w:szCs w:val="21"/>
                      <w:highlight w:val="none"/>
                      <w:lang w:val="en-US" w:eastAsia="zh-CN"/>
                    </w:rPr>
                  </w:pPr>
                  <w:r>
                    <w:rPr>
                      <w:rFonts w:hint="eastAsia" w:cs="Times New Roman"/>
                      <w:color w:val="auto"/>
                      <w:kern w:val="2"/>
                      <w:sz w:val="21"/>
                      <w:szCs w:val="21"/>
                      <w:highlight w:val="none"/>
                      <w:lang w:val="en-US" w:eastAsia="zh-CN"/>
                    </w:rPr>
                    <w:t>300</w:t>
                  </w:r>
                </w:p>
              </w:tc>
              <w:tc>
                <w:tcPr>
                  <w:tcW w:w="1670" w:type="pct"/>
                  <w:vMerge w:val="continue"/>
                  <w:noWrap w:val="0"/>
                  <w:vAlign w:val="center"/>
                </w:tcPr>
                <w:p w14:paraId="1389435D">
                  <w:pPr>
                    <w:keepNext w:val="0"/>
                    <w:keepLines w:val="0"/>
                    <w:suppressLineNumbers w:val="0"/>
                    <w:spacing w:before="0" w:beforeAutospacing="0" w:after="0" w:afterAutospacing="0" w:line="240" w:lineRule="auto"/>
                    <w:ind w:left="0" w:right="0" w:firstLine="0" w:firstLineChars="0"/>
                    <w:jc w:val="center"/>
                    <w:rPr>
                      <w:rFonts w:hint="default"/>
                      <w:caps w:val="0"/>
                      <w:smallCaps w:val="0"/>
                      <w:snapToGrid/>
                      <w:color w:val="auto"/>
                      <w:sz w:val="21"/>
                      <w:szCs w:val="21"/>
                      <w:highlight w:val="none"/>
                      <w:lang w:val="en-US" w:eastAsia="zh-CN"/>
                    </w:rPr>
                  </w:pPr>
                </w:p>
              </w:tc>
            </w:tr>
            <w:tr w14:paraId="27A9C52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cantSplit/>
                <w:trHeight w:val="340" w:hRule="atLeast"/>
                <w:jc w:val="center"/>
              </w:trPr>
              <w:tc>
                <w:tcPr>
                  <w:tcW w:w="187" w:type="pct"/>
                  <w:noWrap w:val="0"/>
                  <w:vAlign w:val="center"/>
                </w:tcPr>
                <w:p w14:paraId="0A5DED35">
                  <w:pPr>
                    <w:keepNext w:val="0"/>
                    <w:keepLines w:val="0"/>
                    <w:suppressLineNumbers w:val="0"/>
                    <w:spacing w:before="0" w:beforeAutospacing="0" w:after="0" w:afterAutospacing="0" w:line="240" w:lineRule="auto"/>
                    <w:ind w:left="0" w:right="0" w:firstLine="0" w:firstLineChars="0"/>
                    <w:jc w:val="center"/>
                    <w:rPr>
                      <w:rFonts w:hint="default"/>
                      <w:caps w:val="0"/>
                      <w:smallCaps w:val="0"/>
                      <w:snapToGrid/>
                      <w:color w:val="auto"/>
                      <w:sz w:val="21"/>
                      <w:szCs w:val="21"/>
                      <w:highlight w:val="none"/>
                      <w:lang w:val="en-US" w:eastAsia="zh-CN"/>
                    </w:rPr>
                  </w:pPr>
                  <w:r>
                    <w:rPr>
                      <w:rFonts w:hint="eastAsia"/>
                      <w:caps w:val="0"/>
                      <w:smallCaps w:val="0"/>
                      <w:snapToGrid/>
                      <w:color w:val="auto"/>
                      <w:sz w:val="21"/>
                      <w:szCs w:val="21"/>
                      <w:highlight w:val="none"/>
                      <w:lang w:val="en-US" w:eastAsia="zh-CN"/>
                    </w:rPr>
                    <w:t>14</w:t>
                  </w:r>
                </w:p>
              </w:tc>
              <w:tc>
                <w:tcPr>
                  <w:tcW w:w="672" w:type="pct"/>
                  <w:noWrap w:val="0"/>
                  <w:vAlign w:val="center"/>
                </w:tcPr>
                <w:p w14:paraId="231C800C">
                  <w:pPr>
                    <w:pStyle w:val="135"/>
                    <w:keepNext w:val="0"/>
                    <w:keepLines w:val="0"/>
                    <w:suppressLineNumbers w:val="0"/>
                    <w:spacing w:before="0" w:beforeAutospacing="0" w:after="0" w:afterAutospacing="0"/>
                    <w:ind w:left="0" w:right="0"/>
                    <w:jc w:val="center"/>
                    <w:rPr>
                      <w:rFonts w:hint="eastAsia"/>
                      <w:caps w:val="0"/>
                      <w:smallCaps w:val="0"/>
                      <w:snapToGrid/>
                      <w:color w:val="auto"/>
                      <w:sz w:val="21"/>
                      <w:szCs w:val="21"/>
                      <w:highlight w:val="none"/>
                      <w:lang w:eastAsia="zh-CN"/>
                    </w:rPr>
                  </w:pPr>
                  <w:r>
                    <w:rPr>
                      <w:rFonts w:hint="eastAsia" w:ascii="Times New Roman" w:hAnsi="Times New Roman" w:eastAsia="宋体" w:cs="Times New Roman"/>
                      <w:color w:val="auto"/>
                      <w:sz w:val="21"/>
                      <w:szCs w:val="21"/>
                      <w:highlight w:val="none"/>
                      <w:lang w:val="en-US" w:eastAsia="zh-CN"/>
                    </w:rPr>
                    <w:t>非甲烷总烃</w:t>
                  </w:r>
                </w:p>
              </w:tc>
              <w:tc>
                <w:tcPr>
                  <w:tcW w:w="471" w:type="pct"/>
                  <w:noWrap w:val="0"/>
                  <w:vAlign w:val="center"/>
                </w:tcPr>
                <w:p w14:paraId="623C9162">
                  <w:pPr>
                    <w:keepNext w:val="0"/>
                    <w:keepLines w:val="0"/>
                    <w:widowControl/>
                    <w:suppressLineNumbers w:val="0"/>
                    <w:spacing w:before="0" w:beforeAutospacing="0" w:after="0" w:afterAutospacing="0"/>
                    <w:ind w:left="0" w:right="0"/>
                    <w:jc w:val="center"/>
                    <w:rPr>
                      <w:rFonts w:hint="eastAsia" w:ascii="Times New Roman" w:hAnsi="Times New Roman" w:eastAsia="宋体"/>
                      <w:caps w:val="0"/>
                      <w:smallCaps w:val="0"/>
                      <w:snapToGrid/>
                      <w:color w:val="auto"/>
                      <w:sz w:val="21"/>
                      <w:szCs w:val="21"/>
                      <w:highlight w:val="none"/>
                    </w:rPr>
                  </w:pPr>
                  <w:r>
                    <w:rPr>
                      <w:rFonts w:hint="default" w:ascii="Times New Roman" w:hAnsi="Times New Roman" w:eastAsia="宋体" w:cs="Times New Roman"/>
                      <w:color w:val="auto"/>
                      <w:kern w:val="2"/>
                      <w:sz w:val="21"/>
                      <w:szCs w:val="21"/>
                      <w:highlight w:val="none"/>
                    </w:rPr>
                    <w:t>μg/m</w:t>
                  </w:r>
                  <w:r>
                    <w:rPr>
                      <w:rFonts w:hint="default" w:ascii="Times New Roman" w:hAnsi="Times New Roman" w:eastAsia="宋体" w:cs="Times New Roman"/>
                      <w:color w:val="auto"/>
                      <w:kern w:val="2"/>
                      <w:sz w:val="21"/>
                      <w:szCs w:val="21"/>
                      <w:highlight w:val="none"/>
                      <w:vertAlign w:val="superscript"/>
                    </w:rPr>
                    <w:t>3</w:t>
                  </w:r>
                </w:p>
              </w:tc>
              <w:tc>
                <w:tcPr>
                  <w:tcW w:w="1233" w:type="pct"/>
                  <w:noWrap w:val="0"/>
                  <w:vAlign w:val="center"/>
                </w:tcPr>
                <w:p w14:paraId="53FDD9DA">
                  <w:pPr>
                    <w:keepNext w:val="0"/>
                    <w:keepLines w:val="0"/>
                    <w:suppressLineNumbers w:val="0"/>
                    <w:spacing w:before="0" w:beforeAutospacing="0" w:after="0" w:afterAutospacing="0" w:line="240" w:lineRule="auto"/>
                    <w:ind w:left="0" w:right="0" w:firstLine="0" w:firstLineChars="0"/>
                    <w:jc w:val="center"/>
                    <w:rPr>
                      <w:rFonts w:hint="eastAsia" w:ascii="Times New Roman" w:hAnsi="Times New Roman" w:eastAsia="宋体"/>
                      <w:caps w:val="0"/>
                      <w:smallCaps w:val="0"/>
                      <w:snapToGrid/>
                      <w:color w:val="auto"/>
                      <w:kern w:val="2"/>
                      <w:sz w:val="21"/>
                      <w:szCs w:val="21"/>
                      <w:highlight w:val="none"/>
                      <w:lang w:val="en-US" w:eastAsia="zh-CN" w:bidi="ar-SA"/>
                    </w:rPr>
                  </w:pPr>
                  <w:r>
                    <w:rPr>
                      <w:rFonts w:hint="eastAsia"/>
                      <w:caps w:val="0"/>
                      <w:smallCaps w:val="0"/>
                      <w:snapToGrid/>
                      <w:color w:val="auto"/>
                      <w:sz w:val="21"/>
                      <w:szCs w:val="21"/>
                      <w:highlight w:val="none"/>
                      <w:lang w:eastAsia="zh-CN"/>
                    </w:rPr>
                    <w:t>一次值</w:t>
                  </w:r>
                </w:p>
              </w:tc>
              <w:tc>
                <w:tcPr>
                  <w:tcW w:w="765" w:type="pct"/>
                  <w:noWrap w:val="0"/>
                  <w:vAlign w:val="center"/>
                </w:tcPr>
                <w:p w14:paraId="139E86BF">
                  <w:pPr>
                    <w:keepNext w:val="0"/>
                    <w:keepLines w:val="0"/>
                    <w:widowControl/>
                    <w:suppressLineNumbers w:val="0"/>
                    <w:spacing w:before="0" w:beforeAutospacing="0" w:after="0" w:afterAutospacing="0"/>
                    <w:ind w:left="0" w:right="0"/>
                    <w:jc w:val="center"/>
                    <w:rPr>
                      <w:rFonts w:hint="eastAsia"/>
                      <w:caps w:val="0"/>
                      <w:smallCaps w:val="0"/>
                      <w:snapToGrid/>
                      <w:color w:val="auto"/>
                      <w:kern w:val="2"/>
                      <w:sz w:val="21"/>
                      <w:szCs w:val="21"/>
                      <w:highlight w:val="none"/>
                      <w:lang w:val="en-US" w:eastAsia="zh-CN" w:bidi="ar-SA"/>
                    </w:rPr>
                  </w:pPr>
                  <w:r>
                    <w:rPr>
                      <w:rFonts w:hint="eastAsia" w:ascii="Times New Roman" w:hAnsi="Times New Roman" w:eastAsia="宋体" w:cs="Times New Roman"/>
                      <w:color w:val="auto"/>
                      <w:kern w:val="2"/>
                      <w:sz w:val="21"/>
                      <w:szCs w:val="21"/>
                      <w:highlight w:val="none"/>
                      <w:lang w:val="en-US" w:eastAsia="zh-CN"/>
                    </w:rPr>
                    <w:t>2000</w:t>
                  </w:r>
                </w:p>
              </w:tc>
              <w:tc>
                <w:tcPr>
                  <w:tcW w:w="1670" w:type="pct"/>
                  <w:noWrap w:val="0"/>
                  <w:vAlign w:val="center"/>
                </w:tcPr>
                <w:p w14:paraId="200DEA5A">
                  <w:pPr>
                    <w:keepNext w:val="0"/>
                    <w:keepLines w:val="0"/>
                    <w:widowControl/>
                    <w:suppressLineNumbers w:val="0"/>
                    <w:spacing w:before="0" w:beforeAutospacing="0" w:after="0" w:afterAutospacing="0"/>
                    <w:ind w:left="0" w:right="0"/>
                    <w:jc w:val="center"/>
                    <w:rPr>
                      <w:rFonts w:hint="default" w:ascii="Times New Roman" w:hAnsi="Times New Roman" w:eastAsia="宋体" w:cs="Times New Roman"/>
                      <w:color w:val="auto"/>
                      <w:kern w:val="2"/>
                      <w:sz w:val="21"/>
                      <w:szCs w:val="21"/>
                      <w:highlight w:val="none"/>
                      <w:lang w:val="en-US" w:eastAsia="zh-CN" w:bidi="ar-SA"/>
                    </w:rPr>
                  </w:pPr>
                  <w:r>
                    <w:rPr>
                      <w:rFonts w:hint="eastAsia" w:cs="Times New Roman"/>
                      <w:color w:val="auto"/>
                      <w:kern w:val="2"/>
                      <w:sz w:val="21"/>
                      <w:szCs w:val="21"/>
                      <w:highlight w:val="none"/>
                      <w:lang w:val="en-US" w:eastAsia="zh-CN"/>
                    </w:rPr>
                    <w:t>原</w:t>
                  </w:r>
                  <w:r>
                    <w:rPr>
                      <w:rFonts w:hint="eastAsia" w:ascii="Times New Roman" w:hAnsi="Times New Roman" w:eastAsia="宋体" w:cs="Times New Roman"/>
                      <w:color w:val="auto"/>
                      <w:kern w:val="2"/>
                      <w:sz w:val="21"/>
                      <w:szCs w:val="21"/>
                      <w:highlight w:val="none"/>
                      <w:lang w:val="en-US" w:eastAsia="zh-CN"/>
                    </w:rPr>
                    <w:t>环保部科技标准司《大气污染物综合排放标准详解》</w:t>
                  </w:r>
                </w:p>
              </w:tc>
            </w:tr>
            <w:bookmarkEnd w:id="29"/>
            <w:bookmarkEnd w:id="30"/>
            <w:bookmarkEnd w:id="31"/>
          </w:tbl>
          <w:p w14:paraId="6793CE2C">
            <w:pPr>
              <w:pStyle w:val="134"/>
              <w:keepNext w:val="0"/>
              <w:keepLines w:val="0"/>
              <w:pageBreakBefore w:val="0"/>
              <w:widowControl w:val="0"/>
              <w:suppressLineNumbers w:val="0"/>
              <w:kinsoku/>
              <w:wordWrap/>
              <w:overflowPunct/>
              <w:topLinePunct w:val="0"/>
              <w:autoSpaceDE/>
              <w:autoSpaceDN/>
              <w:bidi w:val="0"/>
              <w:adjustRightInd/>
              <w:snapToGrid/>
              <w:spacing w:beforeAutospacing="0" w:after="0" w:afterAutospacing="0" w:line="360" w:lineRule="auto"/>
              <w:ind w:left="0" w:right="0" w:firstLine="480" w:firstLineChars="200"/>
              <w:textAlignment w:val="auto"/>
              <w:rPr>
                <w:rFonts w:hint="default" w:ascii="Times New Roman" w:hAnsi="Times New Roman" w:eastAsia="宋体" w:cs="宋体"/>
                <w:b w:val="0"/>
                <w:strike w:val="0"/>
                <w:dstrike w:val="0"/>
                <w:color w:val="auto"/>
                <w:kern w:val="2"/>
                <w:sz w:val="24"/>
                <w:szCs w:val="24"/>
                <w:highlight w:val="none"/>
                <w:lang w:val="en-US" w:eastAsia="zh-CN" w:bidi="ar"/>
              </w:rPr>
            </w:pPr>
            <w:r>
              <w:rPr>
                <w:rFonts w:hint="eastAsia" w:ascii="Times New Roman" w:hAnsi="Times New Roman" w:eastAsia="宋体" w:cs="宋体"/>
                <w:b w:val="0"/>
                <w:strike w:val="0"/>
                <w:dstrike w:val="0"/>
                <w:color w:val="auto"/>
                <w:kern w:val="2"/>
                <w:sz w:val="24"/>
                <w:szCs w:val="24"/>
                <w:highlight w:val="none"/>
                <w:lang w:val="en-US" w:eastAsia="zh-CN" w:bidi="ar"/>
              </w:rPr>
              <w:t>（2）污染物排放标准</w:t>
            </w:r>
          </w:p>
          <w:p w14:paraId="4CBC7C09">
            <w:pPr>
              <w:keepNext w:val="0"/>
              <w:keepLines w:val="0"/>
              <w:suppressLineNumbers w:val="0"/>
              <w:adjustRightInd w:val="0"/>
              <w:snapToGrid w:val="0"/>
              <w:spacing w:before="0" w:beforeAutospacing="0" w:after="0" w:afterAutospacing="0" w:line="360" w:lineRule="auto"/>
              <w:ind w:left="0" w:right="0" w:firstLine="480" w:firstLineChars="200"/>
              <w:jc w:val="left"/>
              <w:rPr>
                <w:rFonts w:hint="eastAsia"/>
                <w:b/>
                <w:kern w:val="0"/>
                <w:sz w:val="24"/>
                <w:highlight w:val="none"/>
              </w:rPr>
            </w:pPr>
            <w:r>
              <w:rPr>
                <w:rFonts w:hint="eastAsia" w:ascii="Times New Roman" w:hAnsi="Times New Roman" w:cs="Times New Roman"/>
                <w:b w:val="0"/>
                <w:bCs w:val="0"/>
                <w:color w:val="000000"/>
                <w:sz w:val="24"/>
                <w:szCs w:val="24"/>
                <w:highlight w:val="none"/>
                <w:lang w:val="en-US" w:eastAsia="zh-CN"/>
              </w:rPr>
              <w:t>本专题污染物排放标准详见</w:t>
            </w:r>
            <w:r>
              <w:rPr>
                <w:rFonts w:hint="default" w:ascii="Times New Roman" w:hAnsi="Times New Roman" w:cs="Times New Roman"/>
                <w:b w:val="0"/>
                <w:bCs w:val="0"/>
                <w:color w:val="000000"/>
                <w:sz w:val="24"/>
                <w:szCs w:val="24"/>
                <w:highlight w:val="none"/>
              </w:rPr>
              <w:t>正文</w:t>
            </w:r>
            <w:r>
              <w:rPr>
                <w:rFonts w:hint="eastAsia" w:ascii="Times New Roman" w:hAnsi="Times New Roman" w:cs="Times New Roman"/>
                <w:b w:val="0"/>
                <w:bCs w:val="0"/>
                <w:color w:val="000000"/>
                <w:sz w:val="24"/>
                <w:szCs w:val="24"/>
                <w:highlight w:val="none"/>
                <w:lang w:eastAsia="zh-CN"/>
              </w:rPr>
              <w:t>“</w:t>
            </w:r>
            <w:r>
              <w:rPr>
                <w:rFonts w:hint="default" w:ascii="Times New Roman" w:hAnsi="Times New Roman" w:cs="Times New Roman"/>
                <w:b w:val="0"/>
                <w:bCs w:val="0"/>
                <w:color w:val="000000"/>
                <w:sz w:val="24"/>
                <w:szCs w:val="24"/>
                <w:highlight w:val="none"/>
              </w:rPr>
              <w:t>第三章</w:t>
            </w:r>
            <w:r>
              <w:rPr>
                <w:rFonts w:hint="eastAsia" w:ascii="Times New Roman" w:hAnsi="Times New Roman" w:cs="Times New Roman"/>
                <w:b w:val="0"/>
                <w:bCs w:val="0"/>
                <w:color w:val="000000"/>
                <w:sz w:val="24"/>
                <w:szCs w:val="24"/>
                <w:highlight w:val="none"/>
                <w:lang w:eastAsia="zh-CN"/>
              </w:rPr>
              <w:t>”</w:t>
            </w:r>
            <w:r>
              <w:rPr>
                <w:rFonts w:hint="default" w:ascii="Times New Roman" w:hAnsi="Times New Roman" w:cs="Times New Roman"/>
                <w:b w:val="0"/>
                <w:bCs w:val="0"/>
                <w:color w:val="000000"/>
                <w:sz w:val="24"/>
                <w:szCs w:val="24"/>
                <w:highlight w:val="none"/>
              </w:rPr>
              <w:t>内容</w:t>
            </w:r>
            <w:r>
              <w:rPr>
                <w:rFonts w:hint="eastAsia" w:ascii="Times New Roman" w:hAnsi="Times New Roman" w:cs="Times New Roman"/>
                <w:b w:val="0"/>
                <w:bCs w:val="0"/>
                <w:color w:val="000000"/>
                <w:sz w:val="24"/>
                <w:szCs w:val="24"/>
                <w:highlight w:val="none"/>
                <w:lang w:eastAsia="zh-CN"/>
              </w:rPr>
              <w:t>，</w:t>
            </w:r>
            <w:r>
              <w:rPr>
                <w:rFonts w:hint="eastAsia" w:ascii="Times New Roman" w:hAnsi="Times New Roman" w:cs="Times New Roman"/>
                <w:b w:val="0"/>
                <w:bCs w:val="0"/>
                <w:color w:val="000000"/>
                <w:sz w:val="24"/>
                <w:szCs w:val="24"/>
                <w:highlight w:val="none"/>
                <w:lang w:val="en-US" w:eastAsia="zh-CN"/>
              </w:rPr>
              <w:t>此处不作赘述。</w:t>
            </w:r>
          </w:p>
          <w:p w14:paraId="3BD5957B">
            <w:pPr>
              <w:pStyle w:val="134"/>
              <w:keepNext w:val="0"/>
              <w:keepLines w:val="0"/>
              <w:pageBreakBefore w:val="0"/>
              <w:widowControl w:val="0"/>
              <w:numPr>
                <w:ilvl w:val="0"/>
                <w:numId w:val="0"/>
              </w:numPr>
              <w:suppressLineNumbers w:val="0"/>
              <w:kinsoku/>
              <w:wordWrap/>
              <w:overflowPunct/>
              <w:topLinePunct w:val="0"/>
              <w:autoSpaceDE/>
              <w:autoSpaceDN/>
              <w:bidi w:val="0"/>
              <w:adjustRightInd/>
              <w:snapToGrid/>
              <w:spacing w:beforeAutospacing="0" w:after="0" w:afterAutospacing="0" w:line="360" w:lineRule="auto"/>
              <w:ind w:left="0" w:right="0" w:firstLine="482" w:firstLineChars="200"/>
              <w:textAlignment w:val="auto"/>
              <w:rPr>
                <w:rFonts w:hint="eastAsia" w:ascii="Times New Roman" w:hAnsi="Times New Roman" w:eastAsia="宋体" w:cs="宋体"/>
                <w:b/>
                <w:bCs/>
                <w:strike w:val="0"/>
                <w:dstrike w:val="0"/>
                <w:color w:val="auto"/>
                <w:kern w:val="2"/>
                <w:sz w:val="24"/>
                <w:szCs w:val="24"/>
                <w:highlight w:val="none"/>
                <w:lang w:val="en-US" w:eastAsia="zh-CN" w:bidi="ar"/>
              </w:rPr>
            </w:pPr>
            <w:r>
              <w:rPr>
                <w:rFonts w:hint="eastAsia" w:ascii="Times New Roman" w:hAnsi="Times New Roman" w:eastAsia="宋体" w:cs="宋体"/>
                <w:b/>
                <w:bCs/>
                <w:strike w:val="0"/>
                <w:dstrike w:val="0"/>
                <w:color w:val="auto"/>
                <w:kern w:val="2"/>
                <w:sz w:val="24"/>
                <w:szCs w:val="24"/>
                <w:highlight w:val="none"/>
                <w:lang w:val="en-US" w:eastAsia="zh-CN" w:bidi="ar"/>
              </w:rPr>
              <w:t>3、环境空气保护目标</w:t>
            </w:r>
          </w:p>
          <w:p w14:paraId="0BFFE67F">
            <w:pPr>
              <w:pStyle w:val="134"/>
              <w:keepNext w:val="0"/>
              <w:keepLines w:val="0"/>
              <w:pageBreakBefore w:val="0"/>
              <w:widowControl w:val="0"/>
              <w:numPr>
                <w:ilvl w:val="0"/>
                <w:numId w:val="0"/>
              </w:numPr>
              <w:suppressLineNumbers w:val="0"/>
              <w:kinsoku/>
              <w:wordWrap/>
              <w:overflowPunct/>
              <w:topLinePunct w:val="0"/>
              <w:autoSpaceDE/>
              <w:autoSpaceDN/>
              <w:bidi w:val="0"/>
              <w:adjustRightInd/>
              <w:snapToGrid/>
              <w:spacing w:beforeAutospacing="0" w:after="0" w:afterAutospacing="0" w:line="360" w:lineRule="auto"/>
              <w:ind w:left="0" w:right="0" w:firstLine="480" w:firstLineChars="200"/>
              <w:textAlignment w:val="auto"/>
              <w:rPr>
                <w:rFonts w:hint="default" w:ascii="Times New Roman" w:hAnsi="Times New Roman" w:eastAsia="宋体" w:cs="宋体"/>
                <w:b w:val="0"/>
                <w:strike w:val="0"/>
                <w:dstrike w:val="0"/>
                <w:color w:val="auto"/>
                <w:kern w:val="2"/>
                <w:sz w:val="24"/>
                <w:szCs w:val="24"/>
                <w:highlight w:val="none"/>
                <w:lang w:val="en-US" w:eastAsia="zh-CN" w:bidi="ar"/>
              </w:rPr>
            </w:pPr>
            <w:r>
              <w:rPr>
                <w:rFonts w:hint="eastAsia" w:ascii="Times New Roman" w:hAnsi="Times New Roman" w:eastAsia="宋体" w:cs="宋体"/>
                <w:b w:val="0"/>
                <w:strike w:val="0"/>
                <w:dstrike w:val="0"/>
                <w:color w:val="auto"/>
                <w:kern w:val="2"/>
                <w:sz w:val="24"/>
                <w:szCs w:val="24"/>
                <w:highlight w:val="none"/>
                <w:lang w:val="en-US" w:eastAsia="zh-CN" w:bidi="ar"/>
              </w:rPr>
              <w:t>项目厂界外大气环境影响评价边长5km范围内大气环境保护目标</w:t>
            </w:r>
            <w:r>
              <w:rPr>
                <w:rFonts w:hint="eastAsia" w:cs="宋体"/>
                <w:b w:val="0"/>
                <w:strike w:val="0"/>
                <w:dstrike w:val="0"/>
                <w:color w:val="auto"/>
                <w:kern w:val="2"/>
                <w:sz w:val="24"/>
                <w:szCs w:val="24"/>
                <w:highlight w:val="none"/>
                <w:lang w:val="en-US" w:eastAsia="zh-CN" w:bidi="ar"/>
              </w:rPr>
              <w:t>见</w:t>
            </w:r>
            <w:r>
              <w:rPr>
                <w:rFonts w:hint="eastAsia" w:ascii="Times New Roman" w:hAnsi="Times New Roman" w:eastAsia="宋体" w:cs="宋体"/>
                <w:b w:val="0"/>
                <w:strike w:val="0"/>
                <w:dstrike w:val="0"/>
                <w:color w:val="auto"/>
                <w:kern w:val="2"/>
                <w:sz w:val="24"/>
                <w:szCs w:val="24"/>
                <w:highlight w:val="none"/>
                <w:lang w:val="en-US" w:eastAsia="zh-CN" w:bidi="ar"/>
              </w:rPr>
              <w:t>下</w:t>
            </w:r>
            <w:r>
              <w:rPr>
                <w:rFonts w:hint="eastAsia" w:cs="宋体"/>
                <w:b w:val="0"/>
                <w:strike w:val="0"/>
                <w:dstrike w:val="0"/>
                <w:color w:val="auto"/>
                <w:kern w:val="2"/>
                <w:sz w:val="24"/>
                <w:szCs w:val="24"/>
                <w:highlight w:val="none"/>
                <w:lang w:val="en-US" w:eastAsia="zh-CN" w:bidi="ar"/>
              </w:rPr>
              <w:t>表7-8。</w:t>
            </w:r>
          </w:p>
          <w:p w14:paraId="7C74ABE9">
            <w:pPr>
              <w:pStyle w:val="8"/>
              <w:keepNext w:val="0"/>
              <w:keepLines w:val="0"/>
              <w:pageBreakBefore w:val="0"/>
              <w:widowControl/>
              <w:suppressLineNumbers w:val="0"/>
              <w:kinsoku/>
              <w:wordWrap/>
              <w:overflowPunct/>
              <w:topLinePunct w:val="0"/>
              <w:autoSpaceDE/>
              <w:autoSpaceDN/>
              <w:bidi w:val="0"/>
              <w:adjustRightInd w:val="0"/>
              <w:snapToGrid/>
              <w:spacing w:before="0" w:beforeAutospacing="0" w:after="0" w:afterLines="0" w:afterAutospacing="0" w:line="360" w:lineRule="auto"/>
              <w:ind w:left="0" w:right="0" w:firstLine="0" w:firstLineChars="0"/>
              <w:jc w:val="center"/>
              <w:textAlignment w:val="baseline"/>
              <w:rPr>
                <w:rFonts w:hint="default" w:ascii="Times New Roman" w:hAnsi="Times New Roman" w:eastAsia="宋体" w:cs="Times New Roman"/>
                <w:b/>
                <w:strike w:val="0"/>
                <w:dstrike w:val="0"/>
                <w:snapToGrid w:val="0"/>
                <w:color w:val="auto"/>
                <w:kern w:val="0"/>
                <w:sz w:val="24"/>
                <w:szCs w:val="24"/>
                <w:highlight w:val="none"/>
                <w:lang w:val="en-US" w:eastAsia="zh-CN" w:bidi="ar-SA"/>
              </w:rPr>
            </w:pPr>
            <w:r>
              <w:rPr>
                <w:rFonts w:hint="eastAsia" w:ascii="Times New Roman" w:hAnsi="Times New Roman" w:eastAsia="宋体" w:cs="Times New Roman"/>
                <w:b/>
                <w:strike w:val="0"/>
                <w:dstrike w:val="0"/>
                <w:snapToGrid w:val="0"/>
                <w:color w:val="auto"/>
                <w:kern w:val="0"/>
                <w:sz w:val="24"/>
                <w:szCs w:val="24"/>
                <w:highlight w:val="none"/>
                <w:lang w:val="en-US" w:eastAsia="zh-CN" w:bidi="ar-SA"/>
              </w:rPr>
              <w:t>表7-8  项目周边主要环境保护目标一览表</w:t>
            </w:r>
          </w:p>
          <w:tbl>
            <w:tblPr>
              <w:tblStyle w:val="32"/>
              <w:tblW w:w="4998"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599"/>
              <w:gridCol w:w="1755"/>
              <w:gridCol w:w="863"/>
              <w:gridCol w:w="924"/>
              <w:gridCol w:w="777"/>
              <w:gridCol w:w="803"/>
              <w:gridCol w:w="817"/>
              <w:gridCol w:w="742"/>
              <w:gridCol w:w="903"/>
            </w:tblGrid>
            <w:tr w14:paraId="3A14A76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40" w:hRule="atLeast"/>
                <w:jc w:val="center"/>
              </w:trPr>
              <w:tc>
                <w:tcPr>
                  <w:tcW w:w="366" w:type="pct"/>
                  <w:vMerge w:val="restart"/>
                  <w:tcBorders>
                    <w:top w:val="single" w:color="auto" w:sz="4" w:space="0"/>
                    <w:left w:val="single" w:color="auto" w:sz="4" w:space="0"/>
                    <w:right w:val="single" w:color="auto" w:sz="4" w:space="0"/>
                  </w:tcBorders>
                  <w:noWrap w:val="0"/>
                  <w:vAlign w:val="center"/>
                </w:tcPr>
                <w:p w14:paraId="710C4EF0">
                  <w:pPr>
                    <w:keepNext w:val="0"/>
                    <w:keepLines w:val="0"/>
                    <w:widowControl/>
                    <w:suppressLineNumbers w:val="0"/>
                    <w:adjustRightInd w:val="0"/>
                    <w:snapToGrid w:val="0"/>
                    <w:spacing w:before="0" w:beforeAutospacing="0" w:after="0" w:afterAutospacing="0" w:line="276" w:lineRule="auto"/>
                    <w:ind w:left="0" w:right="0"/>
                    <w:jc w:val="center"/>
                    <w:rPr>
                      <w:rFonts w:hint="default" w:ascii="Times New Roman" w:hAnsi="Times New Roman" w:eastAsia="宋体" w:cs="Times New Roman"/>
                      <w:strike w:val="0"/>
                      <w:dstrike w:val="0"/>
                      <w:color w:val="auto"/>
                      <w:sz w:val="18"/>
                      <w:szCs w:val="18"/>
                      <w:highlight w:val="none"/>
                      <w:lang w:val="en-US" w:eastAsia="zh-CN"/>
                    </w:rPr>
                  </w:pPr>
                  <w:r>
                    <w:rPr>
                      <w:rFonts w:hint="eastAsia" w:ascii="Times New Roman" w:hAnsi="Times New Roman" w:eastAsia="宋体" w:cs="Times New Roman"/>
                      <w:strike w:val="0"/>
                      <w:dstrike w:val="0"/>
                      <w:color w:val="auto"/>
                      <w:sz w:val="18"/>
                      <w:szCs w:val="18"/>
                      <w:highlight w:val="none"/>
                      <w:lang w:val="en-US" w:eastAsia="zh-CN"/>
                    </w:rPr>
                    <w:t>图中序号</w:t>
                  </w:r>
                </w:p>
              </w:tc>
              <w:tc>
                <w:tcPr>
                  <w:tcW w:w="1071" w:type="pct"/>
                  <w:vMerge w:val="restart"/>
                  <w:tcBorders>
                    <w:top w:val="single" w:color="auto" w:sz="4" w:space="0"/>
                    <w:left w:val="single" w:color="auto" w:sz="4" w:space="0"/>
                    <w:right w:val="single" w:color="auto" w:sz="4" w:space="0"/>
                  </w:tcBorders>
                  <w:noWrap w:val="0"/>
                  <w:vAlign w:val="center"/>
                </w:tcPr>
                <w:p w14:paraId="67CC0532">
                  <w:pPr>
                    <w:keepNext w:val="0"/>
                    <w:keepLines w:val="0"/>
                    <w:widowControl/>
                    <w:suppressLineNumbers w:val="0"/>
                    <w:adjustRightInd w:val="0"/>
                    <w:snapToGrid w:val="0"/>
                    <w:spacing w:before="0" w:beforeAutospacing="0" w:after="0" w:afterAutospacing="0" w:line="276" w:lineRule="auto"/>
                    <w:ind w:left="0" w:right="0"/>
                    <w:jc w:val="center"/>
                    <w:rPr>
                      <w:rFonts w:hint="eastAsia" w:ascii="Times New Roman" w:hAnsi="Times New Roman" w:eastAsia="宋体" w:cs="Times New Roman"/>
                      <w:strike w:val="0"/>
                      <w:dstrike w:val="0"/>
                      <w:color w:val="auto"/>
                      <w:sz w:val="18"/>
                      <w:szCs w:val="18"/>
                      <w:highlight w:val="none"/>
                      <w:lang w:eastAsia="zh-CN"/>
                    </w:rPr>
                  </w:pPr>
                  <w:r>
                    <w:rPr>
                      <w:rFonts w:hint="eastAsia" w:ascii="Times New Roman" w:hAnsi="Times New Roman" w:eastAsia="宋体" w:cs="Times New Roman"/>
                      <w:strike w:val="0"/>
                      <w:dstrike w:val="0"/>
                      <w:color w:val="auto"/>
                      <w:sz w:val="18"/>
                      <w:szCs w:val="18"/>
                      <w:highlight w:val="none"/>
                      <w:lang w:val="en-US" w:eastAsia="zh-CN"/>
                    </w:rPr>
                    <w:t>名称</w:t>
                  </w:r>
                </w:p>
              </w:tc>
              <w:tc>
                <w:tcPr>
                  <w:tcW w:w="1091" w:type="pct"/>
                  <w:gridSpan w:val="2"/>
                  <w:tcBorders>
                    <w:top w:val="single" w:color="auto" w:sz="4" w:space="0"/>
                    <w:left w:val="single" w:color="auto" w:sz="4" w:space="0"/>
                    <w:bottom w:val="single" w:color="auto" w:sz="4" w:space="0"/>
                    <w:right w:val="single" w:color="auto" w:sz="4" w:space="0"/>
                  </w:tcBorders>
                  <w:noWrap w:val="0"/>
                  <w:vAlign w:val="center"/>
                </w:tcPr>
                <w:p w14:paraId="09FF1C62">
                  <w:pPr>
                    <w:keepNext w:val="0"/>
                    <w:keepLines w:val="0"/>
                    <w:widowControl/>
                    <w:suppressLineNumbers w:val="0"/>
                    <w:adjustRightInd w:val="0"/>
                    <w:snapToGrid w:val="0"/>
                    <w:spacing w:before="0" w:beforeAutospacing="0" w:after="0" w:afterAutospacing="0" w:line="276" w:lineRule="auto"/>
                    <w:ind w:left="0" w:right="0"/>
                    <w:jc w:val="center"/>
                    <w:rPr>
                      <w:rFonts w:hint="default" w:ascii="Times New Roman" w:hAnsi="Times New Roman" w:eastAsia="宋体" w:cs="Times New Roman"/>
                      <w:strike w:val="0"/>
                      <w:dstrike w:val="0"/>
                      <w:color w:val="auto"/>
                      <w:sz w:val="18"/>
                      <w:szCs w:val="18"/>
                      <w:highlight w:val="none"/>
                      <w:lang w:val="en-US" w:eastAsia="zh-CN"/>
                    </w:rPr>
                  </w:pPr>
                  <w:r>
                    <w:rPr>
                      <w:rFonts w:hint="eastAsia" w:ascii="Times New Roman" w:hAnsi="Times New Roman" w:eastAsia="宋体" w:cs="Times New Roman"/>
                      <w:strike w:val="0"/>
                      <w:dstrike w:val="0"/>
                      <w:color w:val="auto"/>
                      <w:sz w:val="18"/>
                      <w:szCs w:val="18"/>
                      <w:highlight w:val="none"/>
                      <w:lang w:val="en-US" w:eastAsia="zh-CN"/>
                    </w:rPr>
                    <w:t>坐标</w:t>
                  </w:r>
                </w:p>
              </w:tc>
              <w:tc>
                <w:tcPr>
                  <w:tcW w:w="474" w:type="pct"/>
                  <w:vMerge w:val="restart"/>
                  <w:tcBorders>
                    <w:top w:val="single" w:color="auto" w:sz="4" w:space="0"/>
                    <w:left w:val="single" w:color="auto" w:sz="4" w:space="0"/>
                    <w:right w:val="single" w:color="auto" w:sz="4" w:space="0"/>
                  </w:tcBorders>
                  <w:noWrap w:val="0"/>
                  <w:vAlign w:val="center"/>
                </w:tcPr>
                <w:p w14:paraId="74252F41">
                  <w:pPr>
                    <w:keepNext w:val="0"/>
                    <w:keepLines w:val="0"/>
                    <w:widowControl/>
                    <w:suppressLineNumbers w:val="0"/>
                    <w:adjustRightInd w:val="0"/>
                    <w:snapToGrid w:val="0"/>
                    <w:spacing w:before="0" w:beforeAutospacing="0" w:after="0" w:afterAutospacing="0" w:line="276" w:lineRule="auto"/>
                    <w:ind w:left="0" w:right="0"/>
                    <w:jc w:val="center"/>
                    <w:rPr>
                      <w:rFonts w:hint="eastAsia" w:ascii="Times New Roman" w:hAnsi="Times New Roman" w:eastAsia="宋体" w:cs="Times New Roman"/>
                      <w:strike w:val="0"/>
                      <w:dstrike w:val="0"/>
                      <w:color w:val="auto"/>
                      <w:sz w:val="18"/>
                      <w:szCs w:val="18"/>
                      <w:highlight w:val="none"/>
                      <w:lang w:val="en-US" w:eastAsia="zh-CN"/>
                    </w:rPr>
                  </w:pPr>
                  <w:r>
                    <w:rPr>
                      <w:rFonts w:hint="eastAsia" w:ascii="Times New Roman" w:hAnsi="Times New Roman" w:eastAsia="宋体" w:cs="Times New Roman"/>
                      <w:strike w:val="0"/>
                      <w:dstrike w:val="0"/>
                      <w:color w:val="auto"/>
                      <w:sz w:val="18"/>
                      <w:szCs w:val="18"/>
                      <w:highlight w:val="none"/>
                      <w:lang w:val="en-US" w:eastAsia="zh-CN"/>
                    </w:rPr>
                    <w:t>保护对象</w:t>
                  </w:r>
                </w:p>
              </w:tc>
              <w:tc>
                <w:tcPr>
                  <w:tcW w:w="490" w:type="pct"/>
                  <w:vMerge w:val="restart"/>
                  <w:tcBorders>
                    <w:top w:val="single" w:color="auto" w:sz="4" w:space="0"/>
                    <w:left w:val="single" w:color="auto" w:sz="4" w:space="0"/>
                    <w:right w:val="single" w:color="auto" w:sz="4" w:space="0"/>
                  </w:tcBorders>
                  <w:noWrap w:val="0"/>
                  <w:vAlign w:val="center"/>
                </w:tcPr>
                <w:p w14:paraId="5D43FC63">
                  <w:pPr>
                    <w:keepNext w:val="0"/>
                    <w:keepLines w:val="0"/>
                    <w:widowControl/>
                    <w:suppressLineNumbers w:val="0"/>
                    <w:adjustRightInd w:val="0"/>
                    <w:snapToGrid w:val="0"/>
                    <w:spacing w:before="0" w:beforeAutospacing="0" w:after="0" w:afterAutospacing="0" w:line="276" w:lineRule="auto"/>
                    <w:ind w:left="0" w:right="0"/>
                    <w:jc w:val="center"/>
                    <w:rPr>
                      <w:rFonts w:hint="default" w:ascii="Times New Roman" w:hAnsi="Times New Roman" w:eastAsia="宋体" w:cs="Times New Roman"/>
                      <w:strike w:val="0"/>
                      <w:dstrike w:val="0"/>
                      <w:color w:val="auto"/>
                      <w:sz w:val="18"/>
                      <w:szCs w:val="18"/>
                      <w:highlight w:val="none"/>
                      <w:lang w:val="en-US" w:eastAsia="zh-CN"/>
                    </w:rPr>
                  </w:pPr>
                  <w:r>
                    <w:rPr>
                      <w:rFonts w:hint="eastAsia" w:ascii="Times New Roman" w:hAnsi="Times New Roman" w:eastAsia="宋体" w:cs="Times New Roman"/>
                      <w:strike w:val="0"/>
                      <w:dstrike w:val="0"/>
                      <w:color w:val="auto"/>
                      <w:sz w:val="18"/>
                      <w:szCs w:val="18"/>
                      <w:highlight w:val="none"/>
                      <w:lang w:val="en-US" w:eastAsia="zh-CN"/>
                    </w:rPr>
                    <w:t>保护内容</w:t>
                  </w:r>
                </w:p>
              </w:tc>
              <w:tc>
                <w:tcPr>
                  <w:tcW w:w="499" w:type="pct"/>
                  <w:vMerge w:val="restart"/>
                  <w:tcBorders>
                    <w:top w:val="single" w:color="auto" w:sz="4" w:space="0"/>
                    <w:left w:val="single" w:color="auto" w:sz="4" w:space="0"/>
                    <w:right w:val="single" w:color="auto" w:sz="4" w:space="0"/>
                  </w:tcBorders>
                  <w:noWrap w:val="0"/>
                  <w:vAlign w:val="center"/>
                </w:tcPr>
                <w:p w14:paraId="4E944BBB">
                  <w:pPr>
                    <w:keepNext w:val="0"/>
                    <w:keepLines w:val="0"/>
                    <w:widowControl/>
                    <w:suppressLineNumbers w:val="0"/>
                    <w:adjustRightInd w:val="0"/>
                    <w:snapToGrid w:val="0"/>
                    <w:spacing w:before="0" w:beforeAutospacing="0" w:after="0" w:afterAutospacing="0" w:line="276" w:lineRule="auto"/>
                    <w:ind w:left="0" w:right="0"/>
                    <w:jc w:val="center"/>
                    <w:rPr>
                      <w:rFonts w:hint="default" w:ascii="Times New Roman" w:hAnsi="Times New Roman" w:eastAsia="宋体" w:cs="Times New Roman"/>
                      <w:strike w:val="0"/>
                      <w:dstrike w:val="0"/>
                      <w:color w:val="auto"/>
                      <w:sz w:val="18"/>
                      <w:szCs w:val="18"/>
                      <w:highlight w:val="none"/>
                      <w:lang w:val="en-US" w:eastAsia="zh-CN"/>
                    </w:rPr>
                  </w:pPr>
                  <w:r>
                    <w:rPr>
                      <w:rFonts w:hint="eastAsia" w:ascii="Times New Roman" w:hAnsi="Times New Roman" w:eastAsia="宋体" w:cs="Times New Roman"/>
                      <w:strike w:val="0"/>
                      <w:dstrike w:val="0"/>
                      <w:color w:val="auto"/>
                      <w:sz w:val="18"/>
                      <w:szCs w:val="18"/>
                      <w:highlight w:val="none"/>
                      <w:lang w:val="en-US" w:eastAsia="zh-CN"/>
                    </w:rPr>
                    <w:t>环境功能区</w:t>
                  </w:r>
                </w:p>
              </w:tc>
              <w:tc>
                <w:tcPr>
                  <w:tcW w:w="453" w:type="pct"/>
                  <w:vMerge w:val="restart"/>
                  <w:tcBorders>
                    <w:top w:val="single" w:color="auto" w:sz="4" w:space="0"/>
                    <w:left w:val="single" w:color="auto" w:sz="4" w:space="0"/>
                    <w:right w:val="single" w:color="auto" w:sz="4" w:space="0"/>
                  </w:tcBorders>
                  <w:noWrap w:val="0"/>
                  <w:vAlign w:val="center"/>
                </w:tcPr>
                <w:p w14:paraId="7C742FD5">
                  <w:pPr>
                    <w:keepNext w:val="0"/>
                    <w:keepLines w:val="0"/>
                    <w:widowControl/>
                    <w:suppressLineNumbers w:val="0"/>
                    <w:adjustRightInd w:val="0"/>
                    <w:snapToGrid w:val="0"/>
                    <w:spacing w:before="0" w:beforeAutospacing="0" w:after="0" w:afterAutospacing="0" w:line="276" w:lineRule="auto"/>
                    <w:ind w:left="0" w:right="0"/>
                    <w:jc w:val="center"/>
                    <w:rPr>
                      <w:rFonts w:hint="default" w:ascii="Times New Roman" w:hAnsi="Times New Roman" w:eastAsia="宋体" w:cs="Times New Roman"/>
                      <w:strike w:val="0"/>
                      <w:dstrike w:val="0"/>
                      <w:color w:val="auto"/>
                      <w:sz w:val="18"/>
                      <w:szCs w:val="18"/>
                      <w:highlight w:val="none"/>
                    </w:rPr>
                  </w:pPr>
                  <w:r>
                    <w:rPr>
                      <w:rFonts w:hint="eastAsia" w:ascii="Times New Roman" w:hAnsi="Times New Roman" w:eastAsia="宋体" w:cs="Times New Roman"/>
                      <w:strike w:val="0"/>
                      <w:dstrike w:val="0"/>
                      <w:color w:val="auto"/>
                      <w:sz w:val="18"/>
                      <w:szCs w:val="18"/>
                      <w:highlight w:val="none"/>
                    </w:rPr>
                    <w:t>相对厂址方位</w:t>
                  </w:r>
                </w:p>
              </w:tc>
              <w:tc>
                <w:tcPr>
                  <w:tcW w:w="551" w:type="pct"/>
                  <w:vMerge w:val="restart"/>
                  <w:tcBorders>
                    <w:top w:val="single" w:color="auto" w:sz="4" w:space="0"/>
                    <w:left w:val="single" w:color="auto" w:sz="4" w:space="0"/>
                    <w:right w:val="single" w:color="auto" w:sz="4" w:space="0"/>
                  </w:tcBorders>
                  <w:noWrap w:val="0"/>
                  <w:vAlign w:val="center"/>
                </w:tcPr>
                <w:p w14:paraId="2AD0F802">
                  <w:pPr>
                    <w:keepNext w:val="0"/>
                    <w:keepLines w:val="0"/>
                    <w:widowControl/>
                    <w:suppressLineNumbers w:val="0"/>
                    <w:adjustRightInd w:val="0"/>
                    <w:snapToGrid w:val="0"/>
                    <w:spacing w:before="0" w:beforeAutospacing="0" w:after="0" w:afterAutospacing="0" w:line="276" w:lineRule="auto"/>
                    <w:ind w:left="0" w:right="0"/>
                    <w:jc w:val="center"/>
                    <w:rPr>
                      <w:rFonts w:hint="default" w:ascii="Times New Roman" w:hAnsi="Times New Roman" w:eastAsia="宋体" w:cs="Times New Roman"/>
                      <w:strike w:val="0"/>
                      <w:dstrike w:val="0"/>
                      <w:color w:val="auto"/>
                      <w:sz w:val="18"/>
                      <w:szCs w:val="18"/>
                      <w:highlight w:val="none"/>
                    </w:rPr>
                  </w:pPr>
                  <w:r>
                    <w:rPr>
                      <w:rFonts w:hint="eastAsia" w:ascii="Times New Roman" w:hAnsi="Times New Roman" w:eastAsia="宋体" w:cs="Times New Roman"/>
                      <w:strike w:val="0"/>
                      <w:dstrike w:val="0"/>
                      <w:color w:val="auto"/>
                      <w:sz w:val="18"/>
                      <w:szCs w:val="18"/>
                      <w:highlight w:val="none"/>
                    </w:rPr>
                    <w:t>相对厂界最近距离/m</w:t>
                  </w:r>
                </w:p>
              </w:tc>
            </w:tr>
            <w:tr w14:paraId="6E068EF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40" w:hRule="atLeast"/>
                <w:jc w:val="center"/>
              </w:trPr>
              <w:tc>
                <w:tcPr>
                  <w:tcW w:w="366" w:type="pct"/>
                  <w:vMerge w:val="continue"/>
                  <w:tcBorders>
                    <w:left w:val="single" w:color="auto" w:sz="4" w:space="0"/>
                    <w:bottom w:val="single" w:color="auto" w:sz="4" w:space="0"/>
                    <w:right w:val="single" w:color="auto" w:sz="4" w:space="0"/>
                  </w:tcBorders>
                  <w:noWrap w:val="0"/>
                  <w:vAlign w:val="center"/>
                </w:tcPr>
                <w:p w14:paraId="53907685">
                  <w:pPr>
                    <w:keepNext w:val="0"/>
                    <w:keepLines w:val="0"/>
                    <w:widowControl/>
                    <w:suppressLineNumbers w:val="0"/>
                    <w:adjustRightInd w:val="0"/>
                    <w:snapToGrid w:val="0"/>
                    <w:spacing w:before="0" w:beforeAutospacing="0" w:after="0" w:afterAutospacing="0" w:line="276" w:lineRule="auto"/>
                    <w:ind w:left="0" w:right="0"/>
                    <w:jc w:val="center"/>
                    <w:rPr>
                      <w:rFonts w:hint="default" w:ascii="Times New Roman" w:hAnsi="Times New Roman" w:eastAsia="宋体" w:cs="Times New Roman"/>
                      <w:strike w:val="0"/>
                      <w:dstrike w:val="0"/>
                      <w:color w:val="auto"/>
                      <w:sz w:val="18"/>
                      <w:szCs w:val="18"/>
                      <w:highlight w:val="none"/>
                    </w:rPr>
                  </w:pPr>
                </w:p>
              </w:tc>
              <w:tc>
                <w:tcPr>
                  <w:tcW w:w="1071" w:type="pct"/>
                  <w:vMerge w:val="continue"/>
                  <w:tcBorders>
                    <w:left w:val="single" w:color="auto" w:sz="4" w:space="0"/>
                    <w:bottom w:val="single" w:color="auto" w:sz="4" w:space="0"/>
                    <w:right w:val="single" w:color="auto" w:sz="4" w:space="0"/>
                  </w:tcBorders>
                  <w:noWrap w:val="0"/>
                  <w:vAlign w:val="center"/>
                </w:tcPr>
                <w:p w14:paraId="1B9FDBE0">
                  <w:pPr>
                    <w:keepNext w:val="0"/>
                    <w:keepLines w:val="0"/>
                    <w:widowControl/>
                    <w:suppressLineNumbers w:val="0"/>
                    <w:adjustRightInd w:val="0"/>
                    <w:snapToGrid w:val="0"/>
                    <w:spacing w:before="0" w:beforeAutospacing="0" w:after="0" w:afterAutospacing="0" w:line="276" w:lineRule="auto"/>
                    <w:ind w:left="0" w:right="0"/>
                    <w:jc w:val="center"/>
                    <w:rPr>
                      <w:rFonts w:hint="default" w:ascii="Times New Roman" w:hAnsi="Times New Roman" w:eastAsia="宋体" w:cs="Times New Roman"/>
                      <w:strike w:val="0"/>
                      <w:dstrike w:val="0"/>
                      <w:color w:val="auto"/>
                      <w:sz w:val="18"/>
                      <w:szCs w:val="18"/>
                      <w:highlight w:val="none"/>
                    </w:rPr>
                  </w:pPr>
                </w:p>
              </w:tc>
              <w:tc>
                <w:tcPr>
                  <w:tcW w:w="527" w:type="pct"/>
                  <w:tcBorders>
                    <w:top w:val="single" w:color="auto" w:sz="4" w:space="0"/>
                    <w:left w:val="single" w:color="auto" w:sz="4" w:space="0"/>
                    <w:bottom w:val="single" w:color="auto" w:sz="4" w:space="0"/>
                    <w:right w:val="single" w:color="auto" w:sz="4" w:space="0"/>
                  </w:tcBorders>
                  <w:noWrap w:val="0"/>
                  <w:vAlign w:val="center"/>
                </w:tcPr>
                <w:p w14:paraId="0A646DAA">
                  <w:pPr>
                    <w:keepNext w:val="0"/>
                    <w:keepLines w:val="0"/>
                    <w:widowControl/>
                    <w:suppressLineNumbers w:val="0"/>
                    <w:adjustRightInd w:val="0"/>
                    <w:snapToGrid w:val="0"/>
                    <w:spacing w:before="0" w:beforeAutospacing="0" w:after="0" w:afterAutospacing="0" w:line="276" w:lineRule="auto"/>
                    <w:ind w:left="0" w:right="0"/>
                    <w:jc w:val="center"/>
                    <w:rPr>
                      <w:rFonts w:hint="default" w:ascii="Times New Roman" w:hAnsi="Times New Roman" w:eastAsia="宋体" w:cs="Times New Roman"/>
                      <w:strike w:val="0"/>
                      <w:dstrike w:val="0"/>
                      <w:color w:val="auto"/>
                      <w:sz w:val="18"/>
                      <w:szCs w:val="18"/>
                      <w:highlight w:val="none"/>
                      <w:lang w:val="en-US" w:eastAsia="zh-CN"/>
                    </w:rPr>
                  </w:pPr>
                  <w:r>
                    <w:rPr>
                      <w:rFonts w:hint="eastAsia" w:ascii="Times New Roman" w:hAnsi="Times New Roman" w:eastAsia="宋体" w:cs="Times New Roman"/>
                      <w:strike w:val="0"/>
                      <w:dstrike w:val="0"/>
                      <w:color w:val="auto"/>
                      <w:sz w:val="18"/>
                      <w:szCs w:val="18"/>
                      <w:highlight w:val="none"/>
                      <w:lang w:val="en-US" w:eastAsia="zh-CN"/>
                    </w:rPr>
                    <w:t>东经（</w:t>
                  </w:r>
                  <w:r>
                    <w:rPr>
                      <w:rFonts w:hint="default" w:eastAsia="Times New Roman"/>
                      <w:color w:val="auto"/>
                      <w:sz w:val="18"/>
                      <w:szCs w:val="18"/>
                      <w:highlight w:val="none"/>
                    </w:rPr>
                    <w:t>°</w:t>
                  </w:r>
                  <w:r>
                    <w:rPr>
                      <w:rFonts w:hint="eastAsia" w:ascii="Times New Roman" w:hAnsi="Times New Roman" w:eastAsia="宋体" w:cs="Times New Roman"/>
                      <w:strike w:val="0"/>
                      <w:dstrike w:val="0"/>
                      <w:color w:val="auto"/>
                      <w:sz w:val="18"/>
                      <w:szCs w:val="18"/>
                      <w:highlight w:val="none"/>
                      <w:lang w:val="en-US" w:eastAsia="zh-CN"/>
                    </w:rPr>
                    <w:t>）</w:t>
                  </w:r>
                </w:p>
              </w:tc>
              <w:tc>
                <w:tcPr>
                  <w:tcW w:w="564" w:type="pct"/>
                  <w:tcBorders>
                    <w:left w:val="single" w:color="auto" w:sz="4" w:space="0"/>
                    <w:bottom w:val="single" w:color="auto" w:sz="4" w:space="0"/>
                    <w:right w:val="single" w:color="auto" w:sz="4" w:space="0"/>
                  </w:tcBorders>
                  <w:noWrap w:val="0"/>
                  <w:vAlign w:val="center"/>
                </w:tcPr>
                <w:p w14:paraId="38E65F8B">
                  <w:pPr>
                    <w:keepNext w:val="0"/>
                    <w:keepLines w:val="0"/>
                    <w:widowControl/>
                    <w:suppressLineNumbers w:val="0"/>
                    <w:adjustRightInd w:val="0"/>
                    <w:snapToGrid w:val="0"/>
                    <w:spacing w:before="0" w:beforeAutospacing="0" w:after="0" w:afterAutospacing="0" w:line="276" w:lineRule="auto"/>
                    <w:ind w:left="0" w:right="0"/>
                    <w:jc w:val="center"/>
                    <w:rPr>
                      <w:rFonts w:hint="default" w:ascii="Times New Roman" w:hAnsi="Times New Roman" w:eastAsia="宋体" w:cs="Times New Roman"/>
                      <w:strike w:val="0"/>
                      <w:dstrike w:val="0"/>
                      <w:color w:val="auto"/>
                      <w:sz w:val="18"/>
                      <w:szCs w:val="18"/>
                      <w:highlight w:val="none"/>
                      <w:lang w:val="en-US" w:eastAsia="zh-CN"/>
                    </w:rPr>
                  </w:pPr>
                  <w:r>
                    <w:rPr>
                      <w:rFonts w:hint="eastAsia" w:ascii="Times New Roman" w:hAnsi="Times New Roman" w:eastAsia="宋体" w:cs="Times New Roman"/>
                      <w:strike w:val="0"/>
                      <w:dstrike w:val="0"/>
                      <w:color w:val="auto"/>
                      <w:sz w:val="18"/>
                      <w:szCs w:val="18"/>
                      <w:highlight w:val="none"/>
                      <w:lang w:val="en-US" w:eastAsia="zh-CN"/>
                    </w:rPr>
                    <w:t>北纬（</w:t>
                  </w:r>
                  <w:r>
                    <w:rPr>
                      <w:rFonts w:hint="default" w:eastAsia="Times New Roman"/>
                      <w:color w:val="auto"/>
                      <w:sz w:val="18"/>
                      <w:szCs w:val="18"/>
                      <w:highlight w:val="none"/>
                    </w:rPr>
                    <w:t>°</w:t>
                  </w:r>
                  <w:r>
                    <w:rPr>
                      <w:rFonts w:hint="eastAsia" w:ascii="Times New Roman" w:hAnsi="Times New Roman" w:eastAsia="宋体" w:cs="Times New Roman"/>
                      <w:strike w:val="0"/>
                      <w:dstrike w:val="0"/>
                      <w:color w:val="auto"/>
                      <w:sz w:val="18"/>
                      <w:szCs w:val="18"/>
                      <w:highlight w:val="none"/>
                      <w:lang w:val="en-US" w:eastAsia="zh-CN"/>
                    </w:rPr>
                    <w:t>）</w:t>
                  </w:r>
                </w:p>
              </w:tc>
              <w:tc>
                <w:tcPr>
                  <w:tcW w:w="474" w:type="pct"/>
                  <w:vMerge w:val="continue"/>
                  <w:tcBorders>
                    <w:left w:val="single" w:color="auto" w:sz="4" w:space="0"/>
                    <w:bottom w:val="single" w:color="auto" w:sz="4" w:space="0"/>
                    <w:right w:val="single" w:color="auto" w:sz="4" w:space="0"/>
                  </w:tcBorders>
                  <w:noWrap w:val="0"/>
                  <w:vAlign w:val="center"/>
                </w:tcPr>
                <w:p w14:paraId="4EEFF4BE">
                  <w:pPr>
                    <w:keepNext w:val="0"/>
                    <w:keepLines w:val="0"/>
                    <w:widowControl/>
                    <w:suppressLineNumbers w:val="0"/>
                    <w:adjustRightInd w:val="0"/>
                    <w:snapToGrid w:val="0"/>
                    <w:spacing w:before="0" w:beforeAutospacing="0" w:after="0" w:afterAutospacing="0" w:line="276" w:lineRule="auto"/>
                    <w:ind w:left="0" w:right="0"/>
                    <w:jc w:val="center"/>
                    <w:rPr>
                      <w:rFonts w:hint="eastAsia" w:ascii="Times New Roman" w:hAnsi="Times New Roman" w:eastAsia="宋体" w:cs="Times New Roman"/>
                      <w:strike w:val="0"/>
                      <w:dstrike w:val="0"/>
                      <w:color w:val="auto"/>
                      <w:sz w:val="18"/>
                      <w:szCs w:val="18"/>
                      <w:highlight w:val="none"/>
                      <w:lang w:val="en-US" w:eastAsia="zh-CN"/>
                    </w:rPr>
                  </w:pPr>
                </w:p>
              </w:tc>
              <w:tc>
                <w:tcPr>
                  <w:tcW w:w="490" w:type="pct"/>
                  <w:vMerge w:val="continue"/>
                  <w:tcBorders>
                    <w:left w:val="single" w:color="auto" w:sz="4" w:space="0"/>
                    <w:bottom w:val="single" w:color="auto" w:sz="4" w:space="0"/>
                    <w:right w:val="single" w:color="auto" w:sz="4" w:space="0"/>
                  </w:tcBorders>
                  <w:noWrap w:val="0"/>
                  <w:vAlign w:val="center"/>
                </w:tcPr>
                <w:p w14:paraId="25D91181">
                  <w:pPr>
                    <w:keepNext w:val="0"/>
                    <w:keepLines w:val="0"/>
                    <w:widowControl/>
                    <w:suppressLineNumbers w:val="0"/>
                    <w:adjustRightInd w:val="0"/>
                    <w:snapToGrid w:val="0"/>
                    <w:spacing w:before="0" w:beforeAutospacing="0" w:after="0" w:afterAutospacing="0" w:line="276" w:lineRule="auto"/>
                    <w:ind w:left="0" w:right="0"/>
                    <w:jc w:val="center"/>
                    <w:rPr>
                      <w:rFonts w:hint="eastAsia" w:ascii="Times New Roman" w:hAnsi="Times New Roman" w:eastAsia="宋体" w:cs="Times New Roman"/>
                      <w:strike w:val="0"/>
                      <w:dstrike w:val="0"/>
                      <w:color w:val="auto"/>
                      <w:sz w:val="18"/>
                      <w:szCs w:val="18"/>
                      <w:highlight w:val="none"/>
                      <w:lang w:val="en-US" w:eastAsia="zh-CN"/>
                    </w:rPr>
                  </w:pPr>
                </w:p>
              </w:tc>
              <w:tc>
                <w:tcPr>
                  <w:tcW w:w="499" w:type="pct"/>
                  <w:vMerge w:val="continue"/>
                  <w:tcBorders>
                    <w:left w:val="single" w:color="auto" w:sz="4" w:space="0"/>
                    <w:bottom w:val="single" w:color="auto" w:sz="4" w:space="0"/>
                    <w:right w:val="single" w:color="auto" w:sz="4" w:space="0"/>
                  </w:tcBorders>
                  <w:noWrap w:val="0"/>
                  <w:vAlign w:val="center"/>
                </w:tcPr>
                <w:p w14:paraId="72560938">
                  <w:pPr>
                    <w:keepNext w:val="0"/>
                    <w:keepLines w:val="0"/>
                    <w:widowControl/>
                    <w:suppressLineNumbers w:val="0"/>
                    <w:adjustRightInd w:val="0"/>
                    <w:snapToGrid w:val="0"/>
                    <w:spacing w:before="0" w:beforeAutospacing="0" w:after="0" w:afterAutospacing="0" w:line="276" w:lineRule="auto"/>
                    <w:ind w:left="0" w:right="0"/>
                    <w:jc w:val="center"/>
                    <w:rPr>
                      <w:rFonts w:hint="eastAsia" w:ascii="Times New Roman" w:hAnsi="Times New Roman" w:eastAsia="宋体" w:cs="Times New Roman"/>
                      <w:strike w:val="0"/>
                      <w:dstrike w:val="0"/>
                      <w:color w:val="auto"/>
                      <w:sz w:val="18"/>
                      <w:szCs w:val="18"/>
                      <w:highlight w:val="none"/>
                      <w:lang w:val="en-US" w:eastAsia="zh-CN"/>
                    </w:rPr>
                  </w:pPr>
                </w:p>
              </w:tc>
              <w:tc>
                <w:tcPr>
                  <w:tcW w:w="453" w:type="pct"/>
                  <w:vMerge w:val="continue"/>
                  <w:tcBorders>
                    <w:left w:val="single" w:color="auto" w:sz="4" w:space="0"/>
                    <w:bottom w:val="single" w:color="auto" w:sz="4" w:space="0"/>
                    <w:right w:val="single" w:color="auto" w:sz="4" w:space="0"/>
                  </w:tcBorders>
                  <w:noWrap w:val="0"/>
                  <w:vAlign w:val="center"/>
                </w:tcPr>
                <w:p w14:paraId="56CAD40F">
                  <w:pPr>
                    <w:keepNext w:val="0"/>
                    <w:keepLines w:val="0"/>
                    <w:widowControl/>
                    <w:suppressLineNumbers w:val="0"/>
                    <w:adjustRightInd w:val="0"/>
                    <w:snapToGrid w:val="0"/>
                    <w:spacing w:before="0" w:beforeAutospacing="0" w:after="0" w:afterAutospacing="0" w:line="276" w:lineRule="auto"/>
                    <w:ind w:left="0" w:right="0"/>
                    <w:jc w:val="center"/>
                    <w:rPr>
                      <w:rFonts w:hint="eastAsia" w:ascii="Times New Roman" w:hAnsi="Times New Roman" w:eastAsia="宋体" w:cs="Times New Roman"/>
                      <w:strike w:val="0"/>
                      <w:dstrike w:val="0"/>
                      <w:color w:val="auto"/>
                      <w:sz w:val="18"/>
                      <w:szCs w:val="18"/>
                      <w:highlight w:val="none"/>
                      <w:lang w:val="en-US" w:eastAsia="zh-CN"/>
                    </w:rPr>
                  </w:pPr>
                </w:p>
              </w:tc>
              <w:tc>
                <w:tcPr>
                  <w:tcW w:w="551" w:type="pct"/>
                  <w:vMerge w:val="continue"/>
                  <w:tcBorders>
                    <w:left w:val="single" w:color="auto" w:sz="4" w:space="0"/>
                    <w:bottom w:val="single" w:color="auto" w:sz="4" w:space="0"/>
                    <w:right w:val="single" w:color="auto" w:sz="4" w:space="0"/>
                  </w:tcBorders>
                  <w:noWrap w:val="0"/>
                  <w:vAlign w:val="center"/>
                </w:tcPr>
                <w:p w14:paraId="6C8318BD">
                  <w:pPr>
                    <w:keepNext w:val="0"/>
                    <w:keepLines w:val="0"/>
                    <w:widowControl/>
                    <w:suppressLineNumbers w:val="0"/>
                    <w:adjustRightInd w:val="0"/>
                    <w:snapToGrid w:val="0"/>
                    <w:spacing w:before="0" w:beforeAutospacing="0" w:after="0" w:afterAutospacing="0" w:line="276" w:lineRule="auto"/>
                    <w:ind w:left="0" w:right="0"/>
                    <w:jc w:val="center"/>
                    <w:rPr>
                      <w:rFonts w:hint="eastAsia" w:ascii="Times New Roman" w:hAnsi="Times New Roman" w:eastAsia="宋体" w:cs="Times New Roman"/>
                      <w:strike w:val="0"/>
                      <w:dstrike w:val="0"/>
                      <w:color w:val="auto"/>
                      <w:sz w:val="18"/>
                      <w:szCs w:val="18"/>
                      <w:highlight w:val="none"/>
                      <w:lang w:val="en-US" w:eastAsia="zh-CN"/>
                    </w:rPr>
                  </w:pPr>
                </w:p>
              </w:tc>
            </w:tr>
            <w:tr w14:paraId="51251BD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40" w:hRule="atLeast"/>
                <w:jc w:val="center"/>
              </w:trPr>
              <w:tc>
                <w:tcPr>
                  <w:tcW w:w="366" w:type="pct"/>
                  <w:tcBorders>
                    <w:top w:val="single" w:color="auto" w:sz="4" w:space="0"/>
                    <w:left w:val="single" w:color="auto" w:sz="4" w:space="0"/>
                    <w:right w:val="single" w:color="auto" w:sz="4" w:space="0"/>
                  </w:tcBorders>
                  <w:noWrap w:val="0"/>
                  <w:vAlign w:val="center"/>
                </w:tcPr>
                <w:p w14:paraId="688A400B">
                  <w:pPr>
                    <w:keepNext w:val="0"/>
                    <w:keepLines w:val="0"/>
                    <w:widowControl/>
                    <w:suppressLineNumbers w:val="0"/>
                    <w:adjustRightInd w:val="0"/>
                    <w:snapToGrid w:val="0"/>
                    <w:spacing w:before="0" w:beforeAutospacing="0" w:after="0" w:afterAutospacing="0" w:line="276" w:lineRule="auto"/>
                    <w:ind w:left="0" w:right="0"/>
                    <w:jc w:val="center"/>
                    <w:rPr>
                      <w:rFonts w:hint="default" w:ascii="Times New Roman" w:hAnsi="Times New Roman" w:eastAsia="宋体" w:cs="Times New Roman"/>
                      <w:strike w:val="0"/>
                      <w:dstrike w:val="0"/>
                      <w:color w:val="auto"/>
                      <w:sz w:val="18"/>
                      <w:szCs w:val="18"/>
                      <w:highlight w:val="none"/>
                      <w:lang w:val="en-US" w:eastAsia="zh-CN"/>
                    </w:rPr>
                  </w:pPr>
                  <w:r>
                    <w:rPr>
                      <w:rFonts w:hint="eastAsia" w:ascii="Times New Roman" w:hAnsi="Times New Roman" w:eastAsia="宋体" w:cs="Times New Roman"/>
                      <w:strike w:val="0"/>
                      <w:dstrike w:val="0"/>
                      <w:color w:val="auto"/>
                      <w:sz w:val="18"/>
                      <w:szCs w:val="18"/>
                      <w:highlight w:val="none"/>
                      <w:lang w:val="en-US" w:eastAsia="zh-CN"/>
                    </w:rPr>
                    <w:t>1</w:t>
                  </w:r>
                </w:p>
              </w:tc>
              <w:tc>
                <w:tcPr>
                  <w:tcW w:w="1071" w:type="pct"/>
                  <w:tcBorders>
                    <w:top w:val="single" w:color="auto" w:sz="4" w:space="0"/>
                    <w:left w:val="single" w:color="auto" w:sz="4" w:space="0"/>
                    <w:right w:val="single" w:color="auto" w:sz="4" w:space="0"/>
                  </w:tcBorders>
                  <w:shd w:val="clear" w:color="auto" w:fill="auto"/>
                  <w:noWrap w:val="0"/>
                  <w:vAlign w:val="center"/>
                </w:tcPr>
                <w:p w14:paraId="7034CDC0">
                  <w:pPr>
                    <w:pStyle w:val="85"/>
                    <w:keepNext w:val="0"/>
                    <w:keepLines w:val="0"/>
                    <w:suppressLineNumbers w:val="0"/>
                    <w:adjustRightInd w:val="0"/>
                    <w:snapToGrid w:val="0"/>
                    <w:spacing w:before="0" w:beforeAutospacing="0" w:after="0" w:afterAutospacing="0"/>
                    <w:ind w:left="0" w:right="0" w:firstLine="0" w:firstLineChars="0"/>
                    <w:jc w:val="center"/>
                    <w:rPr>
                      <w:rFonts w:hint="default" w:ascii="Times New Roman" w:hAnsi="Times New Roman" w:eastAsia="宋体" w:cs="Times New Roman"/>
                      <w:color w:val="auto"/>
                      <w:kern w:val="0"/>
                      <w:sz w:val="18"/>
                      <w:szCs w:val="18"/>
                      <w:highlight w:val="none"/>
                      <w:lang w:val="en-US" w:eastAsia="zh-CN" w:bidi="ar-SA"/>
                    </w:rPr>
                  </w:pPr>
                  <w:r>
                    <w:rPr>
                      <w:rFonts w:hint="eastAsia" w:eastAsia="宋体" w:cs="Times New Roman"/>
                      <w:color w:val="auto"/>
                      <w:kern w:val="0"/>
                      <w:sz w:val="18"/>
                      <w:szCs w:val="18"/>
                      <w:highlight w:val="none"/>
                      <w:lang w:val="en-US" w:eastAsia="zh-CN"/>
                    </w:rPr>
                    <w:t>西侧规划高等院校</w:t>
                  </w:r>
                </w:p>
              </w:tc>
              <w:tc>
                <w:tcPr>
                  <w:tcW w:w="527" w:type="pct"/>
                  <w:tcBorders>
                    <w:top w:val="single" w:color="auto" w:sz="4" w:space="0"/>
                    <w:left w:val="single" w:color="auto" w:sz="4" w:space="0"/>
                    <w:bottom w:val="single" w:color="auto" w:sz="4" w:space="0"/>
                    <w:right w:val="single" w:color="auto" w:sz="4" w:space="0"/>
                  </w:tcBorders>
                  <w:shd w:val="clear" w:color="auto" w:fill="auto"/>
                  <w:noWrap w:val="0"/>
                  <w:vAlign w:val="center"/>
                </w:tcPr>
                <w:p w14:paraId="04710BB1">
                  <w:pPr>
                    <w:pStyle w:val="85"/>
                    <w:keepNext w:val="0"/>
                    <w:keepLines w:val="0"/>
                    <w:suppressLineNumbers w:val="0"/>
                    <w:adjustRightInd w:val="0"/>
                    <w:snapToGrid w:val="0"/>
                    <w:spacing w:before="0" w:beforeAutospacing="0" w:after="0" w:afterAutospacing="0"/>
                    <w:ind w:left="0" w:right="0" w:firstLine="0" w:firstLineChars="0"/>
                    <w:jc w:val="center"/>
                    <w:rPr>
                      <w:rFonts w:hint="default" w:ascii="Times New Roman" w:hAnsi="Times New Roman" w:eastAsia="宋体" w:cs="Times New Roman"/>
                      <w:color w:val="auto"/>
                      <w:kern w:val="0"/>
                      <w:sz w:val="18"/>
                      <w:szCs w:val="18"/>
                      <w:highlight w:val="none"/>
                      <w:lang w:val="en-US" w:eastAsia="zh-CN" w:bidi="ar-SA"/>
                    </w:rPr>
                  </w:pPr>
                  <w:r>
                    <w:rPr>
                      <w:rFonts w:hint="eastAsia" w:eastAsia="宋体" w:cs="Times New Roman"/>
                      <w:color w:val="auto"/>
                      <w:kern w:val="0"/>
                      <w:sz w:val="18"/>
                      <w:szCs w:val="18"/>
                      <w:highlight w:val="none"/>
                      <w:lang w:val="en-US" w:eastAsia="zh-CN"/>
                    </w:rPr>
                    <w:t>118.828733</w:t>
                  </w:r>
                </w:p>
              </w:tc>
              <w:tc>
                <w:tcPr>
                  <w:tcW w:w="564" w:type="pct"/>
                  <w:tcBorders>
                    <w:top w:val="single" w:color="auto" w:sz="4" w:space="0"/>
                    <w:left w:val="single" w:color="auto" w:sz="4" w:space="0"/>
                    <w:bottom w:val="single" w:color="auto" w:sz="4" w:space="0"/>
                    <w:right w:val="single" w:color="auto" w:sz="4" w:space="0"/>
                  </w:tcBorders>
                  <w:shd w:val="clear" w:color="auto" w:fill="auto"/>
                  <w:noWrap w:val="0"/>
                  <w:vAlign w:val="center"/>
                </w:tcPr>
                <w:p w14:paraId="13EBF8A9">
                  <w:pPr>
                    <w:pStyle w:val="85"/>
                    <w:keepNext w:val="0"/>
                    <w:keepLines w:val="0"/>
                    <w:suppressLineNumbers w:val="0"/>
                    <w:adjustRightInd w:val="0"/>
                    <w:snapToGrid w:val="0"/>
                    <w:spacing w:before="0" w:beforeAutospacing="0" w:after="0" w:afterAutospacing="0"/>
                    <w:ind w:left="0" w:right="0" w:firstLine="0" w:firstLineChars="0"/>
                    <w:jc w:val="center"/>
                    <w:rPr>
                      <w:rFonts w:hint="default" w:ascii="Times New Roman" w:hAnsi="Times New Roman" w:eastAsia="宋体" w:cs="Times New Roman"/>
                      <w:color w:val="auto"/>
                      <w:kern w:val="0"/>
                      <w:sz w:val="18"/>
                      <w:szCs w:val="18"/>
                      <w:highlight w:val="none"/>
                      <w:lang w:val="en-US" w:eastAsia="zh-CN" w:bidi="ar-SA"/>
                    </w:rPr>
                  </w:pPr>
                  <w:r>
                    <w:rPr>
                      <w:rFonts w:hint="eastAsia" w:eastAsia="宋体" w:cs="Times New Roman"/>
                      <w:color w:val="auto"/>
                      <w:kern w:val="0"/>
                      <w:sz w:val="18"/>
                      <w:szCs w:val="18"/>
                      <w:highlight w:val="none"/>
                      <w:lang w:val="en-US" w:eastAsia="zh-CN"/>
                    </w:rPr>
                    <w:t>28.952069</w:t>
                  </w:r>
                </w:p>
              </w:tc>
              <w:tc>
                <w:tcPr>
                  <w:tcW w:w="474" w:type="pct"/>
                  <w:tcBorders>
                    <w:top w:val="single" w:color="auto" w:sz="4" w:space="0"/>
                    <w:left w:val="single" w:color="auto" w:sz="4" w:space="0"/>
                    <w:bottom w:val="single" w:color="auto" w:sz="4" w:space="0"/>
                    <w:right w:val="single" w:color="auto" w:sz="4" w:space="0"/>
                  </w:tcBorders>
                  <w:noWrap w:val="0"/>
                  <w:vAlign w:val="center"/>
                </w:tcPr>
                <w:p w14:paraId="21393A3E">
                  <w:pPr>
                    <w:keepNext w:val="0"/>
                    <w:keepLines w:val="0"/>
                    <w:widowControl/>
                    <w:suppressLineNumbers w:val="0"/>
                    <w:adjustRightInd w:val="0"/>
                    <w:snapToGrid w:val="0"/>
                    <w:spacing w:before="0" w:beforeAutospacing="0" w:after="0" w:afterAutospacing="0" w:line="276" w:lineRule="auto"/>
                    <w:ind w:left="0" w:right="0"/>
                    <w:jc w:val="center"/>
                    <w:rPr>
                      <w:rFonts w:hint="eastAsia" w:ascii="Times New Roman" w:hAnsi="Times New Roman" w:eastAsia="宋体" w:cs="Times New Roman"/>
                      <w:strike w:val="0"/>
                      <w:dstrike w:val="0"/>
                      <w:color w:val="auto"/>
                      <w:sz w:val="18"/>
                      <w:szCs w:val="18"/>
                      <w:highlight w:val="none"/>
                      <w:lang w:val="en-US" w:eastAsia="zh-CN"/>
                    </w:rPr>
                  </w:pPr>
                  <w:r>
                    <w:rPr>
                      <w:rFonts w:hint="eastAsia" w:ascii="Times New Roman" w:hAnsi="Times New Roman" w:eastAsia="宋体" w:cs="Times New Roman"/>
                      <w:strike w:val="0"/>
                      <w:dstrike w:val="0"/>
                      <w:color w:val="auto"/>
                      <w:sz w:val="18"/>
                      <w:szCs w:val="18"/>
                      <w:highlight w:val="none"/>
                      <w:lang w:val="en-US" w:eastAsia="zh-CN"/>
                    </w:rPr>
                    <w:t>学校</w:t>
                  </w:r>
                </w:p>
              </w:tc>
              <w:tc>
                <w:tcPr>
                  <w:tcW w:w="490" w:type="pct"/>
                  <w:tcBorders>
                    <w:top w:val="single" w:color="auto" w:sz="4" w:space="0"/>
                    <w:left w:val="single" w:color="auto" w:sz="4" w:space="0"/>
                    <w:bottom w:val="single" w:color="auto" w:sz="4" w:space="0"/>
                    <w:right w:val="single" w:color="auto" w:sz="4" w:space="0"/>
                  </w:tcBorders>
                  <w:noWrap w:val="0"/>
                  <w:vAlign w:val="center"/>
                </w:tcPr>
                <w:p w14:paraId="14F34E23">
                  <w:pPr>
                    <w:keepNext w:val="0"/>
                    <w:keepLines w:val="0"/>
                    <w:widowControl/>
                    <w:suppressLineNumbers w:val="0"/>
                    <w:adjustRightInd w:val="0"/>
                    <w:snapToGrid w:val="0"/>
                    <w:spacing w:before="0" w:beforeAutospacing="0" w:after="0" w:afterAutospacing="0" w:line="276" w:lineRule="auto"/>
                    <w:ind w:left="0" w:right="0"/>
                    <w:jc w:val="center"/>
                    <w:rPr>
                      <w:rFonts w:hint="default" w:ascii="Times New Roman" w:hAnsi="Times New Roman" w:eastAsia="宋体" w:cs="Times New Roman"/>
                      <w:strike w:val="0"/>
                      <w:dstrike w:val="0"/>
                      <w:color w:val="auto"/>
                      <w:sz w:val="18"/>
                      <w:szCs w:val="18"/>
                      <w:highlight w:val="none"/>
                      <w:lang w:val="en-US" w:eastAsia="zh-CN"/>
                    </w:rPr>
                  </w:pPr>
                  <w:r>
                    <w:rPr>
                      <w:rFonts w:hint="eastAsia" w:ascii="Times New Roman" w:hAnsi="Times New Roman" w:eastAsia="宋体" w:cs="Times New Roman"/>
                      <w:strike w:val="0"/>
                      <w:dstrike w:val="0"/>
                      <w:color w:val="auto"/>
                      <w:sz w:val="18"/>
                      <w:szCs w:val="18"/>
                      <w:highlight w:val="none"/>
                      <w:lang w:val="en-US" w:eastAsia="zh-CN"/>
                    </w:rPr>
                    <w:t>师生</w:t>
                  </w:r>
                </w:p>
              </w:tc>
              <w:tc>
                <w:tcPr>
                  <w:tcW w:w="499" w:type="pct"/>
                  <w:tcBorders>
                    <w:top w:val="single" w:color="auto" w:sz="4" w:space="0"/>
                    <w:left w:val="single" w:color="auto" w:sz="4" w:space="0"/>
                    <w:bottom w:val="single" w:color="auto" w:sz="4" w:space="0"/>
                    <w:right w:val="single" w:color="auto" w:sz="4" w:space="0"/>
                  </w:tcBorders>
                  <w:noWrap w:val="0"/>
                  <w:vAlign w:val="center"/>
                </w:tcPr>
                <w:p w14:paraId="5C2EADC7">
                  <w:pPr>
                    <w:keepNext w:val="0"/>
                    <w:keepLines w:val="0"/>
                    <w:widowControl/>
                    <w:suppressLineNumbers w:val="0"/>
                    <w:adjustRightInd w:val="0"/>
                    <w:snapToGrid w:val="0"/>
                    <w:spacing w:before="0" w:beforeAutospacing="0" w:after="0" w:afterAutospacing="0" w:line="276" w:lineRule="auto"/>
                    <w:ind w:left="0" w:right="0"/>
                    <w:jc w:val="center"/>
                    <w:rPr>
                      <w:rFonts w:hint="default" w:ascii="Times New Roman" w:hAnsi="Times New Roman" w:eastAsia="宋体" w:cs="Times New Roman"/>
                      <w:strike w:val="0"/>
                      <w:dstrike w:val="0"/>
                      <w:color w:val="auto"/>
                      <w:sz w:val="18"/>
                      <w:szCs w:val="18"/>
                      <w:highlight w:val="none"/>
                      <w:lang w:val="en-US" w:eastAsia="zh-CN"/>
                    </w:rPr>
                  </w:pPr>
                  <w:r>
                    <w:rPr>
                      <w:rFonts w:hint="eastAsia" w:ascii="Times New Roman" w:hAnsi="Times New Roman" w:eastAsia="宋体" w:cs="Times New Roman"/>
                      <w:strike w:val="0"/>
                      <w:dstrike w:val="0"/>
                      <w:color w:val="auto"/>
                      <w:sz w:val="18"/>
                      <w:szCs w:val="18"/>
                      <w:highlight w:val="none"/>
                      <w:lang w:val="en-US" w:eastAsia="zh-CN"/>
                    </w:rPr>
                    <w:t>二类</w:t>
                  </w:r>
                </w:p>
              </w:tc>
              <w:tc>
                <w:tcPr>
                  <w:tcW w:w="453" w:type="pct"/>
                  <w:tcBorders>
                    <w:top w:val="single" w:color="auto" w:sz="4" w:space="0"/>
                    <w:left w:val="single" w:color="auto" w:sz="4" w:space="0"/>
                    <w:bottom w:val="single" w:color="auto" w:sz="4" w:space="0"/>
                    <w:right w:val="single" w:color="auto" w:sz="4" w:space="0"/>
                  </w:tcBorders>
                  <w:shd w:val="clear" w:color="auto" w:fill="auto"/>
                  <w:noWrap w:val="0"/>
                  <w:vAlign w:val="center"/>
                </w:tcPr>
                <w:p w14:paraId="227D7F2C">
                  <w:pPr>
                    <w:pStyle w:val="85"/>
                    <w:keepNext w:val="0"/>
                    <w:keepLines w:val="0"/>
                    <w:suppressLineNumbers w:val="0"/>
                    <w:adjustRightInd w:val="0"/>
                    <w:snapToGrid w:val="0"/>
                    <w:spacing w:before="0" w:beforeAutospacing="0" w:after="0" w:afterAutospacing="0"/>
                    <w:ind w:left="0" w:right="0" w:firstLine="0" w:firstLineChars="0"/>
                    <w:jc w:val="center"/>
                    <w:rPr>
                      <w:rFonts w:hint="default" w:ascii="Times New Roman" w:hAnsi="Times New Roman" w:eastAsia="宋体" w:cs="Times New Roman"/>
                      <w:kern w:val="2"/>
                      <w:sz w:val="18"/>
                      <w:szCs w:val="18"/>
                      <w:highlight w:val="none"/>
                      <w:lang w:val="en-US" w:eastAsia="zh-CN" w:bidi="ar-SA"/>
                    </w:rPr>
                  </w:pPr>
                  <w:r>
                    <w:rPr>
                      <w:rFonts w:hint="eastAsia" w:eastAsia="宋体"/>
                      <w:sz w:val="18"/>
                      <w:szCs w:val="18"/>
                      <w:highlight w:val="none"/>
                      <w:lang w:val="en-US" w:eastAsia="zh-CN"/>
                    </w:rPr>
                    <w:t>西</w:t>
                  </w:r>
                </w:p>
              </w:tc>
              <w:tc>
                <w:tcPr>
                  <w:tcW w:w="551" w:type="pct"/>
                  <w:tcBorders>
                    <w:top w:val="single" w:color="auto" w:sz="4" w:space="0"/>
                    <w:left w:val="single" w:color="auto" w:sz="4" w:space="0"/>
                    <w:bottom w:val="single" w:color="auto" w:sz="4" w:space="0"/>
                    <w:right w:val="single" w:color="auto" w:sz="4" w:space="0"/>
                  </w:tcBorders>
                  <w:shd w:val="clear" w:color="auto" w:fill="auto"/>
                  <w:noWrap w:val="0"/>
                  <w:vAlign w:val="center"/>
                </w:tcPr>
                <w:p w14:paraId="572FEF48">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kern w:val="2"/>
                      <w:sz w:val="18"/>
                      <w:szCs w:val="18"/>
                      <w:highlight w:val="none"/>
                      <w:lang w:val="en-US" w:eastAsia="zh-CN" w:bidi="ar-SA"/>
                    </w:rPr>
                  </w:pPr>
                  <w:r>
                    <w:rPr>
                      <w:rFonts w:hint="eastAsia"/>
                      <w:sz w:val="18"/>
                      <w:szCs w:val="18"/>
                      <w:highlight w:val="none"/>
                      <w:lang w:val="en-US" w:eastAsia="zh-CN"/>
                    </w:rPr>
                    <w:t>5</w:t>
                  </w:r>
                </w:p>
              </w:tc>
            </w:tr>
            <w:tr w14:paraId="036C4D8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40" w:hRule="atLeast"/>
                <w:jc w:val="center"/>
              </w:trPr>
              <w:tc>
                <w:tcPr>
                  <w:tcW w:w="366" w:type="pct"/>
                  <w:tcBorders>
                    <w:left w:val="single" w:color="auto" w:sz="4" w:space="0"/>
                    <w:right w:val="single" w:color="auto" w:sz="4" w:space="0"/>
                  </w:tcBorders>
                  <w:noWrap w:val="0"/>
                  <w:vAlign w:val="center"/>
                </w:tcPr>
                <w:p w14:paraId="1CD0B00D">
                  <w:pPr>
                    <w:keepNext w:val="0"/>
                    <w:keepLines w:val="0"/>
                    <w:widowControl/>
                    <w:suppressLineNumbers w:val="0"/>
                    <w:adjustRightInd w:val="0"/>
                    <w:snapToGrid w:val="0"/>
                    <w:spacing w:before="0" w:beforeAutospacing="0" w:after="0" w:afterAutospacing="0" w:line="276" w:lineRule="auto"/>
                    <w:ind w:left="0" w:right="0"/>
                    <w:jc w:val="center"/>
                    <w:rPr>
                      <w:rFonts w:hint="default" w:ascii="Times New Roman" w:hAnsi="Times New Roman" w:eastAsia="宋体" w:cs="Times New Roman"/>
                      <w:strike w:val="0"/>
                      <w:dstrike w:val="0"/>
                      <w:color w:val="auto"/>
                      <w:sz w:val="18"/>
                      <w:szCs w:val="18"/>
                      <w:highlight w:val="none"/>
                      <w:lang w:val="en-US" w:eastAsia="zh-CN"/>
                    </w:rPr>
                  </w:pPr>
                  <w:r>
                    <w:rPr>
                      <w:rFonts w:hint="eastAsia" w:ascii="Times New Roman" w:hAnsi="Times New Roman" w:eastAsia="宋体" w:cs="Times New Roman"/>
                      <w:strike w:val="0"/>
                      <w:dstrike w:val="0"/>
                      <w:color w:val="auto"/>
                      <w:sz w:val="18"/>
                      <w:szCs w:val="18"/>
                      <w:highlight w:val="none"/>
                      <w:lang w:val="en-US" w:eastAsia="zh-CN"/>
                    </w:rPr>
                    <w:t>2</w:t>
                  </w:r>
                </w:p>
              </w:tc>
              <w:tc>
                <w:tcPr>
                  <w:tcW w:w="1071" w:type="pct"/>
                  <w:tcBorders>
                    <w:top w:val="single" w:color="auto" w:sz="4" w:space="0"/>
                    <w:left w:val="single" w:color="auto" w:sz="4" w:space="0"/>
                    <w:bottom w:val="single" w:color="auto" w:sz="4" w:space="0"/>
                    <w:right w:val="single" w:color="auto" w:sz="4" w:space="0"/>
                  </w:tcBorders>
                  <w:shd w:val="clear" w:color="auto" w:fill="auto"/>
                  <w:noWrap w:val="0"/>
                  <w:vAlign w:val="center"/>
                </w:tcPr>
                <w:p w14:paraId="3E0C65E2">
                  <w:pPr>
                    <w:pStyle w:val="85"/>
                    <w:keepNext w:val="0"/>
                    <w:keepLines w:val="0"/>
                    <w:suppressLineNumbers w:val="0"/>
                    <w:adjustRightInd w:val="0"/>
                    <w:snapToGrid w:val="0"/>
                    <w:spacing w:before="0" w:beforeAutospacing="0" w:after="0" w:afterAutospacing="0"/>
                    <w:ind w:left="0" w:right="0" w:firstLine="0" w:firstLineChars="0"/>
                    <w:jc w:val="center"/>
                    <w:rPr>
                      <w:rFonts w:hint="default" w:ascii="Times New Roman" w:hAnsi="Times New Roman" w:eastAsia="宋体" w:cs="Times New Roman"/>
                      <w:color w:val="auto"/>
                      <w:kern w:val="2"/>
                      <w:sz w:val="18"/>
                      <w:szCs w:val="18"/>
                      <w:highlight w:val="none"/>
                      <w:lang w:val="en-US" w:eastAsia="zh-CN" w:bidi="ar-SA"/>
                    </w:rPr>
                  </w:pPr>
                  <w:r>
                    <w:rPr>
                      <w:rFonts w:hint="eastAsia" w:eastAsia="宋体"/>
                      <w:color w:val="auto"/>
                      <w:sz w:val="18"/>
                      <w:szCs w:val="18"/>
                      <w:highlight w:val="none"/>
                    </w:rPr>
                    <w:t>电子科技大学长三角研究院</w:t>
                  </w:r>
                </w:p>
              </w:tc>
              <w:tc>
                <w:tcPr>
                  <w:tcW w:w="527" w:type="pct"/>
                  <w:tcBorders>
                    <w:top w:val="single" w:color="auto" w:sz="4" w:space="0"/>
                    <w:left w:val="single" w:color="auto" w:sz="4" w:space="0"/>
                    <w:bottom w:val="single" w:color="auto" w:sz="4" w:space="0"/>
                    <w:right w:val="single" w:color="auto" w:sz="4" w:space="0"/>
                  </w:tcBorders>
                  <w:shd w:val="clear" w:color="auto" w:fill="auto"/>
                  <w:noWrap w:val="0"/>
                  <w:vAlign w:val="center"/>
                </w:tcPr>
                <w:p w14:paraId="3006ABE6">
                  <w:pPr>
                    <w:pStyle w:val="85"/>
                    <w:keepNext w:val="0"/>
                    <w:keepLines w:val="0"/>
                    <w:suppressLineNumbers w:val="0"/>
                    <w:adjustRightInd w:val="0"/>
                    <w:snapToGrid w:val="0"/>
                    <w:spacing w:before="0" w:beforeAutospacing="0" w:after="0" w:afterAutospacing="0"/>
                    <w:ind w:left="0" w:right="0" w:firstLine="0" w:firstLineChars="0"/>
                    <w:jc w:val="center"/>
                    <w:rPr>
                      <w:rFonts w:hint="default" w:ascii="Times New Roman" w:hAnsi="Times New Roman" w:eastAsia="宋体" w:cs="Times New Roman"/>
                      <w:color w:val="auto"/>
                      <w:kern w:val="2"/>
                      <w:sz w:val="18"/>
                      <w:szCs w:val="18"/>
                      <w:highlight w:val="none"/>
                      <w:lang w:val="en-US" w:eastAsia="zh-CN" w:bidi="ar-SA"/>
                    </w:rPr>
                  </w:pPr>
                  <w:r>
                    <w:rPr>
                      <w:rFonts w:hint="eastAsia" w:eastAsia="宋体"/>
                      <w:color w:val="auto"/>
                      <w:sz w:val="18"/>
                      <w:szCs w:val="18"/>
                      <w:highlight w:val="none"/>
                    </w:rPr>
                    <w:t>118.83555</w:t>
                  </w:r>
                  <w:r>
                    <w:rPr>
                      <w:rFonts w:hint="eastAsia" w:eastAsia="宋体"/>
                      <w:color w:val="auto"/>
                      <w:sz w:val="18"/>
                      <w:szCs w:val="18"/>
                      <w:highlight w:val="none"/>
                      <w:lang w:val="en-US" w:eastAsia="zh-CN"/>
                    </w:rPr>
                    <w:t>3</w:t>
                  </w:r>
                </w:p>
              </w:tc>
              <w:tc>
                <w:tcPr>
                  <w:tcW w:w="564" w:type="pct"/>
                  <w:tcBorders>
                    <w:top w:val="single" w:color="auto" w:sz="4" w:space="0"/>
                    <w:left w:val="single" w:color="auto" w:sz="4" w:space="0"/>
                    <w:bottom w:val="single" w:color="auto" w:sz="4" w:space="0"/>
                    <w:right w:val="single" w:color="auto" w:sz="4" w:space="0"/>
                  </w:tcBorders>
                  <w:shd w:val="clear" w:color="auto" w:fill="auto"/>
                  <w:noWrap w:val="0"/>
                  <w:vAlign w:val="center"/>
                </w:tcPr>
                <w:p w14:paraId="2209560C">
                  <w:pPr>
                    <w:pStyle w:val="85"/>
                    <w:keepNext w:val="0"/>
                    <w:keepLines w:val="0"/>
                    <w:suppressLineNumbers w:val="0"/>
                    <w:adjustRightInd w:val="0"/>
                    <w:snapToGrid w:val="0"/>
                    <w:spacing w:before="0" w:beforeAutospacing="0" w:after="0" w:afterAutospacing="0"/>
                    <w:ind w:left="0" w:right="0" w:firstLine="0" w:firstLineChars="0"/>
                    <w:jc w:val="center"/>
                    <w:rPr>
                      <w:rFonts w:hint="default" w:ascii="Times New Roman" w:hAnsi="Times New Roman" w:eastAsia="宋体" w:cs="Times New Roman"/>
                      <w:color w:val="auto"/>
                      <w:kern w:val="2"/>
                      <w:sz w:val="18"/>
                      <w:szCs w:val="18"/>
                      <w:highlight w:val="none"/>
                      <w:lang w:val="en-US" w:eastAsia="zh-CN" w:bidi="ar-SA"/>
                    </w:rPr>
                  </w:pPr>
                  <w:r>
                    <w:rPr>
                      <w:rFonts w:hint="eastAsia" w:eastAsia="宋体"/>
                      <w:color w:val="auto"/>
                      <w:sz w:val="18"/>
                      <w:szCs w:val="18"/>
                      <w:highlight w:val="none"/>
                    </w:rPr>
                    <w:t>28.950355</w:t>
                  </w:r>
                </w:p>
              </w:tc>
              <w:tc>
                <w:tcPr>
                  <w:tcW w:w="474" w:type="pct"/>
                  <w:tcBorders>
                    <w:top w:val="single" w:color="auto" w:sz="4" w:space="0"/>
                    <w:left w:val="single" w:color="auto" w:sz="4" w:space="0"/>
                    <w:bottom w:val="single" w:color="auto" w:sz="4" w:space="0"/>
                    <w:right w:val="single" w:color="auto" w:sz="4" w:space="0"/>
                  </w:tcBorders>
                  <w:noWrap w:val="0"/>
                  <w:vAlign w:val="center"/>
                </w:tcPr>
                <w:p w14:paraId="2A7370DA">
                  <w:pPr>
                    <w:keepNext w:val="0"/>
                    <w:keepLines w:val="0"/>
                    <w:widowControl/>
                    <w:suppressLineNumbers w:val="0"/>
                    <w:adjustRightInd w:val="0"/>
                    <w:snapToGrid w:val="0"/>
                    <w:spacing w:before="0" w:beforeAutospacing="0" w:after="0" w:afterAutospacing="0" w:line="276" w:lineRule="auto"/>
                    <w:ind w:left="0" w:right="0"/>
                    <w:jc w:val="center"/>
                    <w:rPr>
                      <w:rFonts w:hint="default" w:ascii="Times New Roman" w:hAnsi="Times New Roman" w:eastAsia="宋体" w:cs="Times New Roman"/>
                      <w:strike w:val="0"/>
                      <w:dstrike w:val="0"/>
                      <w:color w:val="auto"/>
                      <w:sz w:val="18"/>
                      <w:szCs w:val="18"/>
                      <w:highlight w:val="none"/>
                      <w:lang w:val="en-US" w:eastAsia="zh-CN"/>
                    </w:rPr>
                  </w:pPr>
                  <w:r>
                    <w:rPr>
                      <w:rFonts w:hint="eastAsia" w:ascii="Times New Roman" w:hAnsi="Times New Roman" w:eastAsia="宋体" w:cs="Times New Roman"/>
                      <w:strike w:val="0"/>
                      <w:dstrike w:val="0"/>
                      <w:color w:val="auto"/>
                      <w:sz w:val="18"/>
                      <w:szCs w:val="18"/>
                      <w:highlight w:val="none"/>
                      <w:lang w:val="en-US" w:eastAsia="zh-CN"/>
                    </w:rPr>
                    <w:t>研究院</w:t>
                  </w:r>
                </w:p>
              </w:tc>
              <w:tc>
                <w:tcPr>
                  <w:tcW w:w="490" w:type="pct"/>
                  <w:tcBorders>
                    <w:top w:val="single" w:color="auto" w:sz="4" w:space="0"/>
                    <w:left w:val="single" w:color="auto" w:sz="4" w:space="0"/>
                    <w:bottom w:val="single" w:color="auto" w:sz="4" w:space="0"/>
                    <w:right w:val="single" w:color="auto" w:sz="4" w:space="0"/>
                  </w:tcBorders>
                  <w:noWrap w:val="0"/>
                  <w:vAlign w:val="center"/>
                </w:tcPr>
                <w:p w14:paraId="63BAD6CC">
                  <w:pPr>
                    <w:keepNext w:val="0"/>
                    <w:keepLines w:val="0"/>
                    <w:widowControl/>
                    <w:suppressLineNumbers w:val="0"/>
                    <w:adjustRightInd w:val="0"/>
                    <w:snapToGrid w:val="0"/>
                    <w:spacing w:before="0" w:beforeAutospacing="0" w:after="0" w:afterAutospacing="0" w:line="276" w:lineRule="auto"/>
                    <w:ind w:left="0" w:right="0"/>
                    <w:jc w:val="center"/>
                    <w:rPr>
                      <w:rFonts w:hint="default" w:ascii="Times New Roman" w:hAnsi="Times New Roman" w:eastAsia="宋体" w:cs="Times New Roman"/>
                      <w:strike w:val="0"/>
                      <w:dstrike w:val="0"/>
                      <w:color w:val="auto"/>
                      <w:sz w:val="18"/>
                      <w:szCs w:val="18"/>
                      <w:highlight w:val="none"/>
                      <w:lang w:val="en-US" w:eastAsia="zh-CN"/>
                    </w:rPr>
                  </w:pPr>
                  <w:r>
                    <w:rPr>
                      <w:rFonts w:hint="eastAsia" w:ascii="Times New Roman" w:hAnsi="Times New Roman" w:eastAsia="宋体" w:cs="Times New Roman"/>
                      <w:strike w:val="0"/>
                      <w:dstrike w:val="0"/>
                      <w:color w:val="auto"/>
                      <w:sz w:val="18"/>
                      <w:szCs w:val="18"/>
                      <w:highlight w:val="none"/>
                      <w:lang w:val="en-US" w:eastAsia="zh-CN"/>
                    </w:rPr>
                    <w:t>科研人员</w:t>
                  </w:r>
                </w:p>
              </w:tc>
              <w:tc>
                <w:tcPr>
                  <w:tcW w:w="499" w:type="pct"/>
                  <w:tcBorders>
                    <w:top w:val="single" w:color="auto" w:sz="4" w:space="0"/>
                    <w:left w:val="single" w:color="auto" w:sz="4" w:space="0"/>
                    <w:bottom w:val="single" w:color="auto" w:sz="4" w:space="0"/>
                    <w:right w:val="single" w:color="auto" w:sz="4" w:space="0"/>
                  </w:tcBorders>
                  <w:noWrap w:val="0"/>
                  <w:vAlign w:val="center"/>
                </w:tcPr>
                <w:p w14:paraId="27A7400D">
                  <w:pPr>
                    <w:keepNext w:val="0"/>
                    <w:keepLines w:val="0"/>
                    <w:widowControl/>
                    <w:suppressLineNumbers w:val="0"/>
                    <w:adjustRightInd w:val="0"/>
                    <w:snapToGrid w:val="0"/>
                    <w:spacing w:before="0" w:beforeAutospacing="0" w:after="0" w:afterAutospacing="0" w:line="276" w:lineRule="auto"/>
                    <w:ind w:left="0" w:right="0"/>
                    <w:jc w:val="center"/>
                    <w:rPr>
                      <w:rFonts w:hint="eastAsia" w:ascii="Times New Roman" w:hAnsi="Times New Roman" w:eastAsia="宋体" w:cs="Times New Roman"/>
                      <w:strike w:val="0"/>
                      <w:dstrike w:val="0"/>
                      <w:color w:val="auto"/>
                      <w:sz w:val="18"/>
                      <w:szCs w:val="18"/>
                      <w:highlight w:val="none"/>
                      <w:lang w:val="en-US" w:eastAsia="zh-CN"/>
                    </w:rPr>
                  </w:pPr>
                  <w:r>
                    <w:rPr>
                      <w:rFonts w:hint="eastAsia" w:ascii="Times New Roman" w:hAnsi="Times New Roman" w:eastAsia="宋体" w:cs="Times New Roman"/>
                      <w:strike w:val="0"/>
                      <w:dstrike w:val="0"/>
                      <w:color w:val="auto"/>
                      <w:sz w:val="18"/>
                      <w:szCs w:val="18"/>
                      <w:highlight w:val="none"/>
                      <w:lang w:val="en-US" w:eastAsia="zh-CN"/>
                    </w:rPr>
                    <w:t>二类</w:t>
                  </w:r>
                </w:p>
              </w:tc>
              <w:tc>
                <w:tcPr>
                  <w:tcW w:w="453" w:type="pct"/>
                  <w:tcBorders>
                    <w:top w:val="single" w:color="auto" w:sz="4" w:space="0"/>
                    <w:left w:val="single" w:color="auto" w:sz="4" w:space="0"/>
                    <w:bottom w:val="single" w:color="auto" w:sz="4" w:space="0"/>
                    <w:right w:val="single" w:color="auto" w:sz="4" w:space="0"/>
                  </w:tcBorders>
                  <w:shd w:val="clear" w:color="auto" w:fill="auto"/>
                  <w:noWrap w:val="0"/>
                  <w:vAlign w:val="center"/>
                </w:tcPr>
                <w:p w14:paraId="3FFD52AB">
                  <w:pPr>
                    <w:pStyle w:val="85"/>
                    <w:keepNext w:val="0"/>
                    <w:keepLines w:val="0"/>
                    <w:suppressLineNumbers w:val="0"/>
                    <w:adjustRightInd w:val="0"/>
                    <w:snapToGrid w:val="0"/>
                    <w:spacing w:before="0" w:beforeAutospacing="0" w:after="0" w:afterAutospacing="0"/>
                    <w:ind w:left="0" w:right="0" w:firstLine="0" w:firstLineChars="0"/>
                    <w:jc w:val="center"/>
                    <w:rPr>
                      <w:rFonts w:hint="default" w:ascii="Times New Roman" w:hAnsi="Times New Roman" w:eastAsia="宋体" w:cs="Times New Roman"/>
                      <w:kern w:val="2"/>
                      <w:sz w:val="18"/>
                      <w:szCs w:val="18"/>
                      <w:highlight w:val="none"/>
                      <w:lang w:val="en-US" w:eastAsia="zh-CN" w:bidi="ar-SA"/>
                    </w:rPr>
                  </w:pPr>
                  <w:r>
                    <w:rPr>
                      <w:rFonts w:hint="eastAsia" w:eastAsia="宋体"/>
                      <w:sz w:val="18"/>
                      <w:szCs w:val="18"/>
                      <w:highlight w:val="none"/>
                      <w:lang w:val="en-US" w:eastAsia="zh-CN"/>
                    </w:rPr>
                    <w:t>东南</w:t>
                  </w:r>
                </w:p>
              </w:tc>
              <w:tc>
                <w:tcPr>
                  <w:tcW w:w="551" w:type="pct"/>
                  <w:tcBorders>
                    <w:top w:val="single" w:color="auto" w:sz="4" w:space="0"/>
                    <w:left w:val="single" w:color="auto" w:sz="4" w:space="0"/>
                    <w:bottom w:val="single" w:color="auto" w:sz="4" w:space="0"/>
                    <w:right w:val="single" w:color="auto" w:sz="4" w:space="0"/>
                  </w:tcBorders>
                  <w:shd w:val="clear" w:color="auto" w:fill="auto"/>
                  <w:noWrap w:val="0"/>
                  <w:vAlign w:val="center"/>
                </w:tcPr>
                <w:p w14:paraId="0391E724">
                  <w:pPr>
                    <w:pStyle w:val="85"/>
                    <w:keepNext w:val="0"/>
                    <w:keepLines w:val="0"/>
                    <w:suppressLineNumbers w:val="0"/>
                    <w:adjustRightInd w:val="0"/>
                    <w:snapToGrid w:val="0"/>
                    <w:spacing w:before="0" w:beforeAutospacing="0" w:after="0" w:afterAutospacing="0"/>
                    <w:ind w:left="0" w:right="0" w:firstLine="0" w:firstLineChars="0"/>
                    <w:jc w:val="center"/>
                    <w:rPr>
                      <w:rFonts w:hint="default" w:ascii="Times New Roman" w:hAnsi="Times New Roman" w:eastAsia="宋体" w:cs="Times New Roman"/>
                      <w:kern w:val="2"/>
                      <w:sz w:val="18"/>
                      <w:szCs w:val="18"/>
                      <w:highlight w:val="none"/>
                      <w:lang w:val="en-US" w:eastAsia="zh-CN" w:bidi="ar-SA"/>
                    </w:rPr>
                  </w:pPr>
                  <w:r>
                    <w:rPr>
                      <w:rFonts w:hint="eastAsia" w:eastAsia="宋体"/>
                      <w:sz w:val="18"/>
                      <w:szCs w:val="18"/>
                      <w:highlight w:val="none"/>
                      <w:lang w:val="en-US" w:eastAsia="zh-CN"/>
                    </w:rPr>
                    <w:t>27</w:t>
                  </w:r>
                </w:p>
              </w:tc>
            </w:tr>
            <w:tr w14:paraId="628ED11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40" w:hRule="atLeast"/>
                <w:jc w:val="center"/>
              </w:trPr>
              <w:tc>
                <w:tcPr>
                  <w:tcW w:w="366" w:type="pct"/>
                  <w:tcBorders>
                    <w:left w:val="single" w:color="auto" w:sz="4" w:space="0"/>
                    <w:right w:val="single" w:color="auto" w:sz="4" w:space="0"/>
                  </w:tcBorders>
                  <w:noWrap w:val="0"/>
                  <w:vAlign w:val="center"/>
                </w:tcPr>
                <w:p w14:paraId="3CBED606">
                  <w:pPr>
                    <w:keepNext w:val="0"/>
                    <w:keepLines w:val="0"/>
                    <w:widowControl/>
                    <w:suppressLineNumbers w:val="0"/>
                    <w:adjustRightInd w:val="0"/>
                    <w:snapToGrid w:val="0"/>
                    <w:spacing w:before="0" w:beforeAutospacing="0" w:after="0" w:afterAutospacing="0" w:line="276" w:lineRule="auto"/>
                    <w:ind w:left="0" w:right="0"/>
                    <w:jc w:val="center"/>
                    <w:rPr>
                      <w:rFonts w:hint="eastAsia" w:ascii="Times New Roman" w:hAnsi="Times New Roman" w:eastAsia="宋体" w:cs="Times New Roman"/>
                      <w:strike w:val="0"/>
                      <w:dstrike w:val="0"/>
                      <w:color w:val="auto"/>
                      <w:sz w:val="18"/>
                      <w:szCs w:val="18"/>
                      <w:highlight w:val="none"/>
                      <w:lang w:val="en-US" w:eastAsia="zh-CN"/>
                    </w:rPr>
                  </w:pPr>
                  <w:r>
                    <w:rPr>
                      <w:rFonts w:hint="eastAsia" w:ascii="Times New Roman" w:hAnsi="Times New Roman" w:eastAsia="宋体" w:cs="Times New Roman"/>
                      <w:strike w:val="0"/>
                      <w:dstrike w:val="0"/>
                      <w:color w:val="auto"/>
                      <w:sz w:val="18"/>
                      <w:szCs w:val="18"/>
                      <w:highlight w:val="none"/>
                      <w:lang w:val="en-US" w:eastAsia="zh-CN"/>
                    </w:rPr>
                    <w:t>3</w:t>
                  </w:r>
                </w:p>
              </w:tc>
              <w:tc>
                <w:tcPr>
                  <w:tcW w:w="1071" w:type="pct"/>
                  <w:tcBorders>
                    <w:top w:val="single" w:color="auto" w:sz="4" w:space="0"/>
                    <w:left w:val="single" w:color="auto" w:sz="4" w:space="0"/>
                    <w:bottom w:val="single" w:color="auto" w:sz="4" w:space="0"/>
                    <w:right w:val="single" w:color="auto" w:sz="4" w:space="0"/>
                  </w:tcBorders>
                  <w:shd w:val="clear" w:color="auto" w:fill="auto"/>
                  <w:noWrap w:val="0"/>
                  <w:vAlign w:val="center"/>
                </w:tcPr>
                <w:p w14:paraId="1F27D0DF">
                  <w:pPr>
                    <w:pStyle w:val="85"/>
                    <w:keepNext w:val="0"/>
                    <w:keepLines w:val="0"/>
                    <w:suppressLineNumbers w:val="0"/>
                    <w:adjustRightInd w:val="0"/>
                    <w:snapToGrid w:val="0"/>
                    <w:spacing w:before="0" w:beforeAutospacing="0" w:after="0" w:afterAutospacing="0"/>
                    <w:ind w:left="0" w:right="0" w:firstLine="0" w:firstLineChars="0"/>
                    <w:jc w:val="center"/>
                    <w:rPr>
                      <w:rFonts w:hint="default" w:ascii="Times New Roman" w:hAnsi="Times New Roman" w:eastAsia="宋体" w:cs="Times New Roman"/>
                      <w:color w:val="auto"/>
                      <w:kern w:val="0"/>
                      <w:sz w:val="18"/>
                      <w:szCs w:val="18"/>
                      <w:highlight w:val="none"/>
                      <w:lang w:val="en-US" w:eastAsia="zh-CN" w:bidi="ar-SA"/>
                    </w:rPr>
                  </w:pPr>
                  <w:r>
                    <w:rPr>
                      <w:rFonts w:hint="eastAsia" w:eastAsia="宋体" w:cs="Times New Roman"/>
                      <w:color w:val="auto"/>
                      <w:kern w:val="0"/>
                      <w:sz w:val="18"/>
                      <w:szCs w:val="18"/>
                      <w:highlight w:val="none"/>
                      <w:lang w:val="en-US" w:eastAsia="zh-CN"/>
                    </w:rPr>
                    <w:t>东侧规划高等院校</w:t>
                  </w:r>
                </w:p>
              </w:tc>
              <w:tc>
                <w:tcPr>
                  <w:tcW w:w="527" w:type="pct"/>
                  <w:tcBorders>
                    <w:top w:val="single" w:color="auto" w:sz="4" w:space="0"/>
                    <w:left w:val="single" w:color="auto" w:sz="4" w:space="0"/>
                    <w:bottom w:val="single" w:color="auto" w:sz="4" w:space="0"/>
                    <w:right w:val="single" w:color="auto" w:sz="4" w:space="0"/>
                  </w:tcBorders>
                  <w:shd w:val="clear" w:color="auto" w:fill="auto"/>
                  <w:noWrap w:val="0"/>
                  <w:vAlign w:val="center"/>
                </w:tcPr>
                <w:p w14:paraId="22AB9BBF">
                  <w:pPr>
                    <w:pStyle w:val="85"/>
                    <w:keepNext w:val="0"/>
                    <w:keepLines w:val="0"/>
                    <w:suppressLineNumbers w:val="0"/>
                    <w:adjustRightInd w:val="0"/>
                    <w:snapToGrid w:val="0"/>
                    <w:spacing w:before="0" w:beforeAutospacing="0" w:after="0" w:afterAutospacing="0"/>
                    <w:ind w:left="0" w:right="0" w:firstLine="0" w:firstLineChars="0"/>
                    <w:jc w:val="center"/>
                    <w:rPr>
                      <w:rFonts w:hint="default" w:ascii="Times New Roman" w:hAnsi="Times New Roman" w:eastAsia="宋体" w:cs="Times New Roman"/>
                      <w:color w:val="auto"/>
                      <w:kern w:val="0"/>
                      <w:sz w:val="18"/>
                      <w:szCs w:val="18"/>
                      <w:highlight w:val="none"/>
                      <w:lang w:val="en-US" w:eastAsia="zh-CN" w:bidi="ar-SA"/>
                    </w:rPr>
                  </w:pPr>
                  <w:r>
                    <w:rPr>
                      <w:rFonts w:hint="eastAsia" w:eastAsia="宋体" w:cs="Times New Roman"/>
                      <w:color w:val="auto"/>
                      <w:kern w:val="0"/>
                      <w:sz w:val="18"/>
                      <w:szCs w:val="18"/>
                      <w:highlight w:val="none"/>
                      <w:lang w:val="en-US" w:eastAsia="zh-CN"/>
                    </w:rPr>
                    <w:t>118.833652</w:t>
                  </w:r>
                </w:p>
              </w:tc>
              <w:tc>
                <w:tcPr>
                  <w:tcW w:w="564" w:type="pct"/>
                  <w:tcBorders>
                    <w:top w:val="single" w:color="auto" w:sz="4" w:space="0"/>
                    <w:left w:val="single" w:color="auto" w:sz="4" w:space="0"/>
                    <w:bottom w:val="single" w:color="auto" w:sz="4" w:space="0"/>
                    <w:right w:val="single" w:color="auto" w:sz="4" w:space="0"/>
                  </w:tcBorders>
                  <w:shd w:val="clear" w:color="auto" w:fill="auto"/>
                  <w:noWrap w:val="0"/>
                  <w:vAlign w:val="center"/>
                </w:tcPr>
                <w:p w14:paraId="14E5C6B6">
                  <w:pPr>
                    <w:pStyle w:val="85"/>
                    <w:keepNext w:val="0"/>
                    <w:keepLines w:val="0"/>
                    <w:suppressLineNumbers w:val="0"/>
                    <w:adjustRightInd w:val="0"/>
                    <w:snapToGrid w:val="0"/>
                    <w:spacing w:before="0" w:beforeAutospacing="0" w:after="0" w:afterAutospacing="0"/>
                    <w:ind w:left="0" w:right="0" w:firstLine="0" w:firstLineChars="0"/>
                    <w:jc w:val="center"/>
                    <w:rPr>
                      <w:rFonts w:hint="default" w:ascii="Times New Roman" w:hAnsi="Times New Roman" w:eastAsia="宋体" w:cs="Times New Roman"/>
                      <w:color w:val="auto"/>
                      <w:kern w:val="0"/>
                      <w:sz w:val="18"/>
                      <w:szCs w:val="18"/>
                      <w:highlight w:val="none"/>
                      <w:lang w:val="en-US" w:eastAsia="zh-CN" w:bidi="ar-SA"/>
                    </w:rPr>
                  </w:pPr>
                  <w:r>
                    <w:rPr>
                      <w:rFonts w:hint="eastAsia" w:eastAsia="宋体" w:cs="Times New Roman"/>
                      <w:color w:val="auto"/>
                      <w:kern w:val="0"/>
                      <w:sz w:val="18"/>
                      <w:szCs w:val="18"/>
                      <w:highlight w:val="none"/>
                      <w:lang w:val="en-US" w:eastAsia="zh-CN"/>
                    </w:rPr>
                    <w:t>28.952643</w:t>
                  </w:r>
                </w:p>
              </w:tc>
              <w:tc>
                <w:tcPr>
                  <w:tcW w:w="474" w:type="pct"/>
                  <w:tcBorders>
                    <w:top w:val="single" w:color="auto" w:sz="4" w:space="0"/>
                    <w:left w:val="single" w:color="auto" w:sz="4" w:space="0"/>
                    <w:bottom w:val="single" w:color="auto" w:sz="4" w:space="0"/>
                    <w:right w:val="single" w:color="auto" w:sz="4" w:space="0"/>
                  </w:tcBorders>
                  <w:noWrap w:val="0"/>
                  <w:vAlign w:val="center"/>
                </w:tcPr>
                <w:p w14:paraId="04458802">
                  <w:pPr>
                    <w:keepNext w:val="0"/>
                    <w:keepLines w:val="0"/>
                    <w:widowControl/>
                    <w:suppressLineNumbers w:val="0"/>
                    <w:adjustRightInd w:val="0"/>
                    <w:snapToGrid w:val="0"/>
                    <w:spacing w:before="0" w:beforeAutospacing="0" w:after="0" w:afterAutospacing="0" w:line="276" w:lineRule="auto"/>
                    <w:ind w:left="0" w:right="0"/>
                    <w:jc w:val="center"/>
                    <w:rPr>
                      <w:rFonts w:hint="default" w:ascii="Times New Roman" w:hAnsi="Times New Roman" w:eastAsia="宋体" w:cs="Times New Roman"/>
                      <w:strike w:val="0"/>
                      <w:dstrike w:val="0"/>
                      <w:color w:val="auto"/>
                      <w:sz w:val="18"/>
                      <w:szCs w:val="18"/>
                      <w:highlight w:val="none"/>
                      <w:lang w:val="en-US" w:eastAsia="zh-CN"/>
                    </w:rPr>
                  </w:pPr>
                  <w:r>
                    <w:rPr>
                      <w:rFonts w:hint="eastAsia" w:ascii="Times New Roman" w:hAnsi="Times New Roman" w:eastAsia="宋体" w:cs="Times New Roman"/>
                      <w:strike w:val="0"/>
                      <w:dstrike w:val="0"/>
                      <w:color w:val="auto"/>
                      <w:sz w:val="18"/>
                      <w:szCs w:val="18"/>
                      <w:highlight w:val="none"/>
                      <w:lang w:val="en-US" w:eastAsia="zh-CN"/>
                    </w:rPr>
                    <w:t>学校</w:t>
                  </w:r>
                </w:p>
              </w:tc>
              <w:tc>
                <w:tcPr>
                  <w:tcW w:w="490" w:type="pct"/>
                  <w:tcBorders>
                    <w:top w:val="single" w:color="auto" w:sz="4" w:space="0"/>
                    <w:left w:val="single" w:color="auto" w:sz="4" w:space="0"/>
                    <w:bottom w:val="single" w:color="auto" w:sz="4" w:space="0"/>
                    <w:right w:val="single" w:color="auto" w:sz="4" w:space="0"/>
                  </w:tcBorders>
                  <w:noWrap w:val="0"/>
                  <w:vAlign w:val="center"/>
                </w:tcPr>
                <w:p w14:paraId="493D7E57">
                  <w:pPr>
                    <w:keepNext w:val="0"/>
                    <w:keepLines w:val="0"/>
                    <w:widowControl/>
                    <w:suppressLineNumbers w:val="0"/>
                    <w:adjustRightInd w:val="0"/>
                    <w:snapToGrid w:val="0"/>
                    <w:spacing w:before="0" w:beforeAutospacing="0" w:after="0" w:afterAutospacing="0" w:line="276" w:lineRule="auto"/>
                    <w:ind w:left="0" w:right="0"/>
                    <w:jc w:val="center"/>
                    <w:rPr>
                      <w:rFonts w:hint="default" w:ascii="Times New Roman" w:hAnsi="Times New Roman" w:eastAsia="宋体" w:cs="Times New Roman"/>
                      <w:strike w:val="0"/>
                      <w:dstrike w:val="0"/>
                      <w:color w:val="auto"/>
                      <w:sz w:val="18"/>
                      <w:szCs w:val="18"/>
                      <w:highlight w:val="none"/>
                      <w:lang w:val="en-US" w:eastAsia="zh-CN"/>
                    </w:rPr>
                  </w:pPr>
                  <w:r>
                    <w:rPr>
                      <w:rFonts w:hint="eastAsia" w:ascii="Times New Roman" w:hAnsi="Times New Roman" w:eastAsia="宋体" w:cs="Times New Roman"/>
                      <w:strike w:val="0"/>
                      <w:dstrike w:val="0"/>
                      <w:color w:val="auto"/>
                      <w:sz w:val="18"/>
                      <w:szCs w:val="18"/>
                      <w:highlight w:val="none"/>
                      <w:lang w:val="en-US" w:eastAsia="zh-CN"/>
                    </w:rPr>
                    <w:t>师生</w:t>
                  </w:r>
                </w:p>
              </w:tc>
              <w:tc>
                <w:tcPr>
                  <w:tcW w:w="499" w:type="pct"/>
                  <w:tcBorders>
                    <w:top w:val="single" w:color="auto" w:sz="4" w:space="0"/>
                    <w:left w:val="single" w:color="auto" w:sz="4" w:space="0"/>
                    <w:bottom w:val="single" w:color="auto" w:sz="4" w:space="0"/>
                    <w:right w:val="single" w:color="auto" w:sz="4" w:space="0"/>
                  </w:tcBorders>
                  <w:noWrap w:val="0"/>
                  <w:vAlign w:val="center"/>
                </w:tcPr>
                <w:p w14:paraId="1B750862">
                  <w:pPr>
                    <w:keepNext w:val="0"/>
                    <w:keepLines w:val="0"/>
                    <w:widowControl/>
                    <w:suppressLineNumbers w:val="0"/>
                    <w:adjustRightInd w:val="0"/>
                    <w:snapToGrid w:val="0"/>
                    <w:spacing w:before="0" w:beforeAutospacing="0" w:after="0" w:afterAutospacing="0" w:line="276" w:lineRule="auto"/>
                    <w:ind w:left="0" w:right="0"/>
                    <w:jc w:val="center"/>
                    <w:rPr>
                      <w:rFonts w:hint="default" w:ascii="Times New Roman" w:hAnsi="Times New Roman" w:eastAsia="宋体" w:cs="Times New Roman"/>
                      <w:strike w:val="0"/>
                      <w:dstrike w:val="0"/>
                      <w:color w:val="auto"/>
                      <w:sz w:val="18"/>
                      <w:szCs w:val="18"/>
                      <w:highlight w:val="none"/>
                      <w:lang w:val="en-US" w:eastAsia="zh-CN"/>
                    </w:rPr>
                  </w:pPr>
                  <w:r>
                    <w:rPr>
                      <w:rFonts w:hint="eastAsia" w:ascii="Times New Roman" w:hAnsi="Times New Roman" w:eastAsia="宋体" w:cs="Times New Roman"/>
                      <w:strike w:val="0"/>
                      <w:dstrike w:val="0"/>
                      <w:color w:val="auto"/>
                      <w:sz w:val="18"/>
                      <w:szCs w:val="18"/>
                      <w:highlight w:val="none"/>
                      <w:lang w:val="en-US" w:eastAsia="zh-CN"/>
                    </w:rPr>
                    <w:t>二类</w:t>
                  </w:r>
                </w:p>
              </w:tc>
              <w:tc>
                <w:tcPr>
                  <w:tcW w:w="453" w:type="pct"/>
                  <w:tcBorders>
                    <w:top w:val="single" w:color="auto" w:sz="4" w:space="0"/>
                    <w:left w:val="single" w:color="auto" w:sz="4" w:space="0"/>
                    <w:bottom w:val="single" w:color="auto" w:sz="4" w:space="0"/>
                    <w:right w:val="single" w:color="auto" w:sz="4" w:space="0"/>
                  </w:tcBorders>
                  <w:shd w:val="clear" w:color="auto" w:fill="auto"/>
                  <w:noWrap w:val="0"/>
                  <w:vAlign w:val="center"/>
                </w:tcPr>
                <w:p w14:paraId="23C976E7">
                  <w:pPr>
                    <w:pStyle w:val="85"/>
                    <w:keepNext w:val="0"/>
                    <w:keepLines w:val="0"/>
                    <w:suppressLineNumbers w:val="0"/>
                    <w:adjustRightInd w:val="0"/>
                    <w:snapToGrid w:val="0"/>
                    <w:spacing w:before="0" w:beforeAutospacing="0" w:after="0" w:afterAutospacing="0"/>
                    <w:ind w:left="0" w:right="0" w:firstLine="0" w:firstLineChars="0"/>
                    <w:jc w:val="center"/>
                    <w:rPr>
                      <w:rFonts w:hint="default" w:ascii="Times New Roman" w:hAnsi="Times New Roman" w:eastAsia="宋体" w:cs="Times New Roman"/>
                      <w:kern w:val="2"/>
                      <w:sz w:val="18"/>
                      <w:szCs w:val="18"/>
                      <w:highlight w:val="none"/>
                      <w:lang w:val="en-US" w:eastAsia="zh-CN" w:bidi="ar-SA"/>
                    </w:rPr>
                  </w:pPr>
                  <w:r>
                    <w:rPr>
                      <w:rFonts w:hint="eastAsia" w:eastAsia="宋体"/>
                      <w:sz w:val="18"/>
                      <w:szCs w:val="18"/>
                      <w:highlight w:val="none"/>
                      <w:lang w:val="en-US" w:eastAsia="zh-CN"/>
                    </w:rPr>
                    <w:t>东</w:t>
                  </w:r>
                </w:p>
              </w:tc>
              <w:tc>
                <w:tcPr>
                  <w:tcW w:w="551" w:type="pct"/>
                  <w:tcBorders>
                    <w:top w:val="single" w:color="auto" w:sz="4" w:space="0"/>
                    <w:left w:val="single" w:color="auto" w:sz="4" w:space="0"/>
                    <w:bottom w:val="single" w:color="auto" w:sz="4" w:space="0"/>
                    <w:right w:val="single" w:color="auto" w:sz="4" w:space="0"/>
                  </w:tcBorders>
                  <w:shd w:val="clear" w:color="auto" w:fill="auto"/>
                  <w:noWrap w:val="0"/>
                  <w:vAlign w:val="center"/>
                </w:tcPr>
                <w:p w14:paraId="3BFD2017">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kern w:val="2"/>
                      <w:sz w:val="18"/>
                      <w:szCs w:val="18"/>
                      <w:highlight w:val="none"/>
                      <w:lang w:val="en-US" w:eastAsia="zh-CN" w:bidi="ar-SA"/>
                    </w:rPr>
                  </w:pPr>
                  <w:r>
                    <w:rPr>
                      <w:rFonts w:hint="eastAsia"/>
                      <w:sz w:val="18"/>
                      <w:szCs w:val="18"/>
                      <w:highlight w:val="none"/>
                      <w:lang w:val="en-US" w:eastAsia="zh-CN"/>
                    </w:rPr>
                    <w:t>28</w:t>
                  </w:r>
                </w:p>
              </w:tc>
            </w:tr>
            <w:tr w14:paraId="0A9B5A6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40" w:hRule="atLeast"/>
                <w:jc w:val="center"/>
              </w:trPr>
              <w:tc>
                <w:tcPr>
                  <w:tcW w:w="366" w:type="pct"/>
                  <w:tcBorders>
                    <w:left w:val="single" w:color="auto" w:sz="4" w:space="0"/>
                    <w:right w:val="single" w:color="auto" w:sz="4" w:space="0"/>
                  </w:tcBorders>
                  <w:noWrap w:val="0"/>
                  <w:vAlign w:val="center"/>
                </w:tcPr>
                <w:p w14:paraId="37174F36">
                  <w:pPr>
                    <w:keepNext w:val="0"/>
                    <w:keepLines w:val="0"/>
                    <w:widowControl/>
                    <w:suppressLineNumbers w:val="0"/>
                    <w:adjustRightInd w:val="0"/>
                    <w:snapToGrid w:val="0"/>
                    <w:spacing w:before="0" w:beforeAutospacing="0" w:after="0" w:afterAutospacing="0" w:line="276" w:lineRule="auto"/>
                    <w:ind w:left="0" w:right="0"/>
                    <w:jc w:val="center"/>
                    <w:rPr>
                      <w:rFonts w:hint="eastAsia" w:ascii="Times New Roman" w:hAnsi="Times New Roman" w:eastAsia="宋体" w:cs="Times New Roman"/>
                      <w:strike w:val="0"/>
                      <w:dstrike w:val="0"/>
                      <w:color w:val="auto"/>
                      <w:sz w:val="18"/>
                      <w:szCs w:val="18"/>
                      <w:highlight w:val="none"/>
                      <w:lang w:val="en-US" w:eastAsia="zh-CN"/>
                    </w:rPr>
                  </w:pPr>
                  <w:r>
                    <w:rPr>
                      <w:rFonts w:hint="eastAsia" w:ascii="Times New Roman" w:hAnsi="Times New Roman" w:eastAsia="宋体" w:cs="Times New Roman"/>
                      <w:strike w:val="0"/>
                      <w:dstrike w:val="0"/>
                      <w:color w:val="auto"/>
                      <w:sz w:val="18"/>
                      <w:szCs w:val="18"/>
                      <w:highlight w:val="none"/>
                      <w:lang w:val="en-US" w:eastAsia="zh-CN"/>
                    </w:rPr>
                    <w:t>4</w:t>
                  </w:r>
                </w:p>
              </w:tc>
              <w:tc>
                <w:tcPr>
                  <w:tcW w:w="1071" w:type="pct"/>
                  <w:tcBorders>
                    <w:top w:val="single" w:color="auto" w:sz="4" w:space="0"/>
                    <w:left w:val="single" w:color="auto" w:sz="4" w:space="0"/>
                    <w:bottom w:val="single" w:color="auto" w:sz="4" w:space="0"/>
                    <w:right w:val="single" w:color="auto" w:sz="4" w:space="0"/>
                  </w:tcBorders>
                  <w:shd w:val="clear" w:color="auto" w:fill="auto"/>
                  <w:noWrap w:val="0"/>
                  <w:vAlign w:val="center"/>
                </w:tcPr>
                <w:p w14:paraId="1D3939C0">
                  <w:pPr>
                    <w:pStyle w:val="85"/>
                    <w:keepNext w:val="0"/>
                    <w:keepLines w:val="0"/>
                    <w:suppressLineNumbers w:val="0"/>
                    <w:adjustRightInd w:val="0"/>
                    <w:snapToGrid w:val="0"/>
                    <w:spacing w:before="0" w:beforeAutospacing="0" w:after="0" w:afterAutospacing="0"/>
                    <w:ind w:left="0" w:right="0" w:firstLine="0" w:firstLineChars="0"/>
                    <w:jc w:val="center"/>
                    <w:rPr>
                      <w:rFonts w:hint="default" w:ascii="Times New Roman" w:hAnsi="Times New Roman" w:eastAsia="宋体" w:cs="Times New Roman"/>
                      <w:color w:val="auto"/>
                      <w:kern w:val="2"/>
                      <w:sz w:val="18"/>
                      <w:szCs w:val="18"/>
                      <w:highlight w:val="none"/>
                      <w:lang w:val="en-US" w:eastAsia="zh-CN" w:bidi="ar-SA"/>
                    </w:rPr>
                  </w:pPr>
                  <w:r>
                    <w:rPr>
                      <w:rFonts w:hint="eastAsia" w:ascii="Times New Roman" w:hAnsi="Times New Roman" w:eastAsia="宋体" w:cs="Times New Roman"/>
                      <w:color w:val="auto"/>
                      <w:kern w:val="0"/>
                      <w:sz w:val="18"/>
                      <w:szCs w:val="18"/>
                      <w:highlight w:val="none"/>
                      <w:lang w:val="en-US" w:eastAsia="zh-CN"/>
                    </w:rPr>
                    <w:t>四省边际中心医院（闽江大道院区）</w:t>
                  </w:r>
                </w:p>
              </w:tc>
              <w:tc>
                <w:tcPr>
                  <w:tcW w:w="527" w:type="pct"/>
                  <w:tcBorders>
                    <w:top w:val="single" w:color="auto" w:sz="4" w:space="0"/>
                    <w:left w:val="single" w:color="auto" w:sz="4" w:space="0"/>
                    <w:bottom w:val="single" w:color="auto" w:sz="4" w:space="0"/>
                    <w:right w:val="single" w:color="auto" w:sz="4" w:space="0"/>
                  </w:tcBorders>
                  <w:shd w:val="clear" w:color="auto" w:fill="auto"/>
                  <w:noWrap w:val="0"/>
                  <w:vAlign w:val="center"/>
                </w:tcPr>
                <w:p w14:paraId="0578BA94">
                  <w:pPr>
                    <w:pStyle w:val="85"/>
                    <w:keepNext w:val="0"/>
                    <w:keepLines w:val="0"/>
                    <w:suppressLineNumbers w:val="0"/>
                    <w:adjustRightInd w:val="0"/>
                    <w:snapToGrid w:val="0"/>
                    <w:spacing w:before="0" w:beforeAutospacing="0" w:after="0" w:afterAutospacing="0"/>
                    <w:ind w:left="0" w:right="0" w:firstLine="0" w:firstLineChars="0"/>
                    <w:jc w:val="center"/>
                    <w:rPr>
                      <w:rFonts w:hint="default" w:ascii="Times New Roman" w:hAnsi="Times New Roman" w:eastAsia="宋体" w:cs="Times New Roman"/>
                      <w:color w:val="auto"/>
                      <w:kern w:val="0"/>
                      <w:sz w:val="18"/>
                      <w:szCs w:val="18"/>
                      <w:highlight w:val="none"/>
                      <w:lang w:val="en-US" w:eastAsia="zh-CN" w:bidi="ar-SA"/>
                    </w:rPr>
                  </w:pPr>
                  <w:r>
                    <w:rPr>
                      <w:rFonts w:hint="eastAsia" w:ascii="Times New Roman" w:hAnsi="Times New Roman" w:eastAsia="宋体" w:cs="Times New Roman"/>
                      <w:color w:val="auto"/>
                      <w:kern w:val="0"/>
                      <w:sz w:val="18"/>
                      <w:szCs w:val="18"/>
                      <w:highlight w:val="none"/>
                      <w:lang w:val="en-US" w:eastAsia="zh-CN"/>
                    </w:rPr>
                    <w:t>118.830177</w:t>
                  </w:r>
                </w:p>
              </w:tc>
              <w:tc>
                <w:tcPr>
                  <w:tcW w:w="564" w:type="pct"/>
                  <w:tcBorders>
                    <w:top w:val="single" w:color="auto" w:sz="4" w:space="0"/>
                    <w:left w:val="single" w:color="auto" w:sz="4" w:space="0"/>
                    <w:bottom w:val="single" w:color="auto" w:sz="4" w:space="0"/>
                    <w:right w:val="single" w:color="auto" w:sz="4" w:space="0"/>
                  </w:tcBorders>
                  <w:shd w:val="clear" w:color="auto" w:fill="auto"/>
                  <w:noWrap w:val="0"/>
                  <w:vAlign w:val="center"/>
                </w:tcPr>
                <w:p w14:paraId="6316DD40">
                  <w:pPr>
                    <w:pStyle w:val="85"/>
                    <w:keepNext w:val="0"/>
                    <w:keepLines w:val="0"/>
                    <w:suppressLineNumbers w:val="0"/>
                    <w:adjustRightInd w:val="0"/>
                    <w:snapToGrid w:val="0"/>
                    <w:spacing w:before="0" w:beforeAutospacing="0" w:after="0" w:afterAutospacing="0"/>
                    <w:ind w:left="0" w:right="0" w:firstLine="0" w:firstLineChars="0"/>
                    <w:jc w:val="center"/>
                    <w:rPr>
                      <w:rFonts w:hint="default" w:ascii="Times New Roman" w:hAnsi="Times New Roman" w:eastAsia="宋体" w:cs="Times New Roman"/>
                      <w:color w:val="auto"/>
                      <w:kern w:val="0"/>
                      <w:sz w:val="18"/>
                      <w:szCs w:val="18"/>
                      <w:highlight w:val="none"/>
                      <w:lang w:val="en-US" w:eastAsia="zh-CN" w:bidi="ar-SA"/>
                    </w:rPr>
                  </w:pPr>
                  <w:r>
                    <w:rPr>
                      <w:rFonts w:hint="eastAsia" w:ascii="Times New Roman" w:hAnsi="Times New Roman" w:eastAsia="宋体" w:cs="Times New Roman"/>
                      <w:color w:val="auto"/>
                      <w:kern w:val="0"/>
                      <w:sz w:val="18"/>
                      <w:szCs w:val="18"/>
                      <w:highlight w:val="none"/>
                      <w:lang w:val="en-US" w:eastAsia="zh-CN"/>
                    </w:rPr>
                    <w:t>28.954346</w:t>
                  </w:r>
                </w:p>
              </w:tc>
              <w:tc>
                <w:tcPr>
                  <w:tcW w:w="474" w:type="pct"/>
                  <w:tcBorders>
                    <w:top w:val="single" w:color="auto" w:sz="4" w:space="0"/>
                    <w:left w:val="single" w:color="auto" w:sz="4" w:space="0"/>
                    <w:bottom w:val="single" w:color="auto" w:sz="4" w:space="0"/>
                    <w:right w:val="single" w:color="auto" w:sz="4" w:space="0"/>
                  </w:tcBorders>
                  <w:noWrap w:val="0"/>
                  <w:vAlign w:val="center"/>
                </w:tcPr>
                <w:p w14:paraId="33A62E41">
                  <w:pPr>
                    <w:keepNext w:val="0"/>
                    <w:keepLines w:val="0"/>
                    <w:widowControl/>
                    <w:suppressLineNumbers w:val="0"/>
                    <w:adjustRightInd w:val="0"/>
                    <w:snapToGrid w:val="0"/>
                    <w:spacing w:before="0" w:beforeAutospacing="0" w:after="0" w:afterAutospacing="0" w:line="276" w:lineRule="auto"/>
                    <w:ind w:left="0" w:right="0"/>
                    <w:jc w:val="center"/>
                    <w:rPr>
                      <w:rFonts w:hint="default" w:ascii="Times New Roman" w:hAnsi="Times New Roman" w:eastAsia="宋体" w:cs="Times New Roman"/>
                      <w:strike w:val="0"/>
                      <w:dstrike w:val="0"/>
                      <w:color w:val="auto"/>
                      <w:sz w:val="18"/>
                      <w:szCs w:val="18"/>
                      <w:highlight w:val="none"/>
                      <w:lang w:val="en-US" w:eastAsia="zh-CN"/>
                    </w:rPr>
                  </w:pPr>
                  <w:r>
                    <w:rPr>
                      <w:rFonts w:hint="eastAsia" w:ascii="Times New Roman" w:hAnsi="Times New Roman" w:eastAsia="宋体" w:cs="Times New Roman"/>
                      <w:strike w:val="0"/>
                      <w:dstrike w:val="0"/>
                      <w:color w:val="auto"/>
                      <w:sz w:val="18"/>
                      <w:szCs w:val="18"/>
                      <w:highlight w:val="none"/>
                      <w:lang w:val="en-US" w:eastAsia="zh-CN"/>
                    </w:rPr>
                    <w:t>医院</w:t>
                  </w:r>
                </w:p>
              </w:tc>
              <w:tc>
                <w:tcPr>
                  <w:tcW w:w="490" w:type="pct"/>
                  <w:tcBorders>
                    <w:top w:val="single" w:color="auto" w:sz="4" w:space="0"/>
                    <w:left w:val="single" w:color="auto" w:sz="4" w:space="0"/>
                    <w:bottom w:val="single" w:color="auto" w:sz="4" w:space="0"/>
                    <w:right w:val="single" w:color="auto" w:sz="4" w:space="0"/>
                  </w:tcBorders>
                  <w:noWrap w:val="0"/>
                  <w:vAlign w:val="center"/>
                </w:tcPr>
                <w:p w14:paraId="59BE4CE1">
                  <w:pPr>
                    <w:keepNext w:val="0"/>
                    <w:keepLines w:val="0"/>
                    <w:widowControl/>
                    <w:suppressLineNumbers w:val="0"/>
                    <w:adjustRightInd w:val="0"/>
                    <w:snapToGrid w:val="0"/>
                    <w:spacing w:before="0" w:beforeAutospacing="0" w:after="0" w:afterAutospacing="0" w:line="276" w:lineRule="auto"/>
                    <w:ind w:left="0" w:right="0"/>
                    <w:jc w:val="center"/>
                    <w:rPr>
                      <w:rFonts w:hint="default" w:ascii="Times New Roman" w:hAnsi="Times New Roman" w:eastAsia="宋体" w:cs="Times New Roman"/>
                      <w:strike w:val="0"/>
                      <w:dstrike w:val="0"/>
                      <w:color w:val="auto"/>
                      <w:sz w:val="18"/>
                      <w:szCs w:val="18"/>
                      <w:highlight w:val="none"/>
                      <w:lang w:val="en-US" w:eastAsia="zh-CN"/>
                    </w:rPr>
                  </w:pPr>
                  <w:r>
                    <w:rPr>
                      <w:rFonts w:hint="eastAsia" w:ascii="Times New Roman" w:hAnsi="Times New Roman" w:eastAsia="宋体" w:cs="Times New Roman"/>
                      <w:strike w:val="0"/>
                      <w:dstrike w:val="0"/>
                      <w:color w:val="auto"/>
                      <w:sz w:val="18"/>
                      <w:szCs w:val="18"/>
                      <w:highlight w:val="none"/>
                      <w:lang w:val="en-US" w:eastAsia="zh-CN"/>
                    </w:rPr>
                    <w:t>医护、病人</w:t>
                  </w:r>
                </w:p>
              </w:tc>
              <w:tc>
                <w:tcPr>
                  <w:tcW w:w="499" w:type="pct"/>
                  <w:tcBorders>
                    <w:top w:val="single" w:color="auto" w:sz="4" w:space="0"/>
                    <w:left w:val="single" w:color="auto" w:sz="4" w:space="0"/>
                    <w:bottom w:val="single" w:color="auto" w:sz="4" w:space="0"/>
                    <w:right w:val="single" w:color="auto" w:sz="4" w:space="0"/>
                  </w:tcBorders>
                  <w:noWrap w:val="0"/>
                  <w:vAlign w:val="center"/>
                </w:tcPr>
                <w:p w14:paraId="53EA7D46">
                  <w:pPr>
                    <w:keepNext w:val="0"/>
                    <w:keepLines w:val="0"/>
                    <w:widowControl/>
                    <w:suppressLineNumbers w:val="0"/>
                    <w:adjustRightInd w:val="0"/>
                    <w:snapToGrid w:val="0"/>
                    <w:spacing w:before="0" w:beforeAutospacing="0" w:after="0" w:afterAutospacing="0" w:line="276" w:lineRule="auto"/>
                    <w:ind w:left="0" w:right="0"/>
                    <w:jc w:val="center"/>
                    <w:rPr>
                      <w:rFonts w:hint="eastAsia" w:ascii="Times New Roman" w:hAnsi="Times New Roman" w:eastAsia="宋体" w:cs="Times New Roman"/>
                      <w:strike w:val="0"/>
                      <w:dstrike w:val="0"/>
                      <w:color w:val="auto"/>
                      <w:kern w:val="2"/>
                      <w:sz w:val="18"/>
                      <w:szCs w:val="18"/>
                      <w:highlight w:val="none"/>
                      <w:lang w:val="en-US" w:eastAsia="zh-CN" w:bidi="ar-SA"/>
                    </w:rPr>
                  </w:pPr>
                  <w:r>
                    <w:rPr>
                      <w:rFonts w:hint="eastAsia" w:ascii="Times New Roman" w:hAnsi="Times New Roman" w:eastAsia="宋体" w:cs="Times New Roman"/>
                      <w:strike w:val="0"/>
                      <w:dstrike w:val="0"/>
                      <w:color w:val="auto"/>
                      <w:sz w:val="18"/>
                      <w:szCs w:val="18"/>
                      <w:highlight w:val="none"/>
                      <w:lang w:val="en-US" w:eastAsia="zh-CN"/>
                    </w:rPr>
                    <w:t>二类</w:t>
                  </w:r>
                </w:p>
              </w:tc>
              <w:tc>
                <w:tcPr>
                  <w:tcW w:w="453" w:type="pct"/>
                  <w:tcBorders>
                    <w:top w:val="single" w:color="auto" w:sz="4" w:space="0"/>
                    <w:left w:val="single" w:color="auto" w:sz="4" w:space="0"/>
                    <w:bottom w:val="single" w:color="auto" w:sz="4" w:space="0"/>
                    <w:right w:val="single" w:color="auto" w:sz="4" w:space="0"/>
                  </w:tcBorders>
                  <w:shd w:val="clear" w:color="auto" w:fill="auto"/>
                  <w:noWrap w:val="0"/>
                  <w:vAlign w:val="center"/>
                </w:tcPr>
                <w:p w14:paraId="0CC3EC0D">
                  <w:pPr>
                    <w:pStyle w:val="85"/>
                    <w:keepNext w:val="0"/>
                    <w:keepLines w:val="0"/>
                    <w:suppressLineNumbers w:val="0"/>
                    <w:adjustRightInd w:val="0"/>
                    <w:snapToGrid w:val="0"/>
                    <w:spacing w:before="0" w:beforeAutospacing="0" w:after="0" w:afterAutospacing="0"/>
                    <w:ind w:left="0" w:right="0" w:firstLine="0" w:firstLineChars="0"/>
                    <w:jc w:val="center"/>
                    <w:rPr>
                      <w:rFonts w:hint="eastAsia" w:ascii="Times New Roman" w:hAnsi="Times New Roman" w:eastAsia="宋体" w:cs="Times New Roman"/>
                      <w:kern w:val="2"/>
                      <w:sz w:val="18"/>
                      <w:szCs w:val="18"/>
                      <w:highlight w:val="none"/>
                      <w:lang w:val="en-US" w:eastAsia="zh-CN" w:bidi="ar-SA"/>
                    </w:rPr>
                  </w:pPr>
                  <w:r>
                    <w:rPr>
                      <w:rFonts w:hint="eastAsia" w:eastAsia="宋体"/>
                      <w:sz w:val="18"/>
                      <w:szCs w:val="18"/>
                      <w:highlight w:val="none"/>
                      <w:lang w:val="en-US" w:eastAsia="zh-CN"/>
                    </w:rPr>
                    <w:t>北</w:t>
                  </w:r>
                </w:p>
              </w:tc>
              <w:tc>
                <w:tcPr>
                  <w:tcW w:w="551" w:type="pct"/>
                  <w:tcBorders>
                    <w:top w:val="single" w:color="auto" w:sz="4" w:space="0"/>
                    <w:left w:val="single" w:color="auto" w:sz="4" w:space="0"/>
                    <w:bottom w:val="single" w:color="auto" w:sz="4" w:space="0"/>
                    <w:right w:val="single" w:color="auto" w:sz="4" w:space="0"/>
                  </w:tcBorders>
                  <w:shd w:val="clear" w:color="auto" w:fill="auto"/>
                  <w:noWrap w:val="0"/>
                  <w:vAlign w:val="center"/>
                </w:tcPr>
                <w:p w14:paraId="4D7E35D6">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kern w:val="2"/>
                      <w:sz w:val="18"/>
                      <w:szCs w:val="18"/>
                      <w:highlight w:val="none"/>
                      <w:lang w:val="en-US" w:eastAsia="zh-CN" w:bidi="ar-SA"/>
                    </w:rPr>
                  </w:pPr>
                  <w:r>
                    <w:rPr>
                      <w:rFonts w:hint="eastAsia"/>
                      <w:sz w:val="18"/>
                      <w:szCs w:val="18"/>
                      <w:highlight w:val="none"/>
                      <w:lang w:val="en-US" w:eastAsia="zh-CN"/>
                    </w:rPr>
                    <w:t>41</w:t>
                  </w:r>
                </w:p>
              </w:tc>
            </w:tr>
            <w:tr w14:paraId="0189E01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40" w:hRule="atLeast"/>
                <w:jc w:val="center"/>
              </w:trPr>
              <w:tc>
                <w:tcPr>
                  <w:tcW w:w="366" w:type="pct"/>
                  <w:tcBorders>
                    <w:left w:val="single" w:color="auto" w:sz="4" w:space="0"/>
                    <w:right w:val="single" w:color="auto" w:sz="4" w:space="0"/>
                  </w:tcBorders>
                  <w:noWrap w:val="0"/>
                  <w:vAlign w:val="center"/>
                </w:tcPr>
                <w:p w14:paraId="511DB137">
                  <w:pPr>
                    <w:keepNext w:val="0"/>
                    <w:keepLines w:val="0"/>
                    <w:widowControl/>
                    <w:suppressLineNumbers w:val="0"/>
                    <w:adjustRightInd w:val="0"/>
                    <w:snapToGrid w:val="0"/>
                    <w:spacing w:before="0" w:beforeAutospacing="0" w:after="0" w:afterAutospacing="0" w:line="276" w:lineRule="auto"/>
                    <w:ind w:left="0" w:right="0"/>
                    <w:jc w:val="center"/>
                    <w:rPr>
                      <w:rFonts w:hint="default" w:ascii="Times New Roman" w:hAnsi="Times New Roman" w:eastAsia="宋体" w:cs="Times New Roman"/>
                      <w:strike w:val="0"/>
                      <w:dstrike w:val="0"/>
                      <w:color w:val="auto"/>
                      <w:kern w:val="2"/>
                      <w:sz w:val="18"/>
                      <w:szCs w:val="18"/>
                      <w:highlight w:val="none"/>
                      <w:lang w:val="en-US" w:eastAsia="zh-CN" w:bidi="ar-SA"/>
                    </w:rPr>
                  </w:pPr>
                  <w:r>
                    <w:rPr>
                      <w:rFonts w:hint="eastAsia" w:ascii="Times New Roman" w:hAnsi="Times New Roman" w:eastAsia="宋体" w:cs="Times New Roman"/>
                      <w:strike w:val="0"/>
                      <w:dstrike w:val="0"/>
                      <w:color w:val="auto"/>
                      <w:kern w:val="2"/>
                      <w:sz w:val="18"/>
                      <w:szCs w:val="18"/>
                      <w:highlight w:val="none"/>
                      <w:lang w:val="en-US" w:eastAsia="zh-CN" w:bidi="ar-SA"/>
                    </w:rPr>
                    <w:t>5</w:t>
                  </w:r>
                </w:p>
              </w:tc>
              <w:tc>
                <w:tcPr>
                  <w:tcW w:w="1071" w:type="pct"/>
                  <w:tcBorders>
                    <w:top w:val="single" w:color="auto" w:sz="4" w:space="0"/>
                    <w:left w:val="single" w:color="auto" w:sz="4" w:space="0"/>
                    <w:bottom w:val="single" w:color="auto" w:sz="4" w:space="0"/>
                    <w:right w:val="single" w:color="auto" w:sz="4" w:space="0"/>
                  </w:tcBorders>
                  <w:shd w:val="clear" w:color="auto" w:fill="auto"/>
                  <w:noWrap w:val="0"/>
                  <w:vAlign w:val="center"/>
                </w:tcPr>
                <w:p w14:paraId="0EAD2BA5">
                  <w:pPr>
                    <w:pStyle w:val="85"/>
                    <w:keepNext w:val="0"/>
                    <w:keepLines w:val="0"/>
                    <w:suppressLineNumbers w:val="0"/>
                    <w:adjustRightInd w:val="0"/>
                    <w:snapToGrid w:val="0"/>
                    <w:spacing w:before="0" w:beforeAutospacing="0" w:after="0" w:afterAutospacing="0"/>
                    <w:ind w:left="0" w:right="0" w:firstLine="0" w:firstLineChars="0"/>
                    <w:jc w:val="center"/>
                    <w:rPr>
                      <w:rFonts w:hint="eastAsia" w:ascii="Times New Roman" w:hAnsi="Times New Roman" w:eastAsia="宋体" w:cs="Times New Roman"/>
                      <w:color w:val="auto"/>
                      <w:kern w:val="2"/>
                      <w:sz w:val="18"/>
                      <w:szCs w:val="18"/>
                      <w:highlight w:val="none"/>
                      <w:lang w:val="en-US" w:eastAsia="zh-CN" w:bidi="ar-SA"/>
                    </w:rPr>
                  </w:pPr>
                  <w:r>
                    <w:rPr>
                      <w:rFonts w:hint="eastAsia" w:eastAsia="宋体"/>
                      <w:color w:val="auto"/>
                      <w:sz w:val="18"/>
                      <w:szCs w:val="18"/>
                      <w:highlight w:val="none"/>
                    </w:rPr>
                    <w:t>柯城区新华幼儿园</w:t>
                  </w:r>
                </w:p>
              </w:tc>
              <w:tc>
                <w:tcPr>
                  <w:tcW w:w="527" w:type="pct"/>
                  <w:tcBorders>
                    <w:top w:val="single" w:color="auto" w:sz="4" w:space="0"/>
                    <w:left w:val="single" w:color="auto" w:sz="4" w:space="0"/>
                    <w:bottom w:val="single" w:color="auto" w:sz="4" w:space="0"/>
                    <w:right w:val="single" w:color="auto" w:sz="4" w:space="0"/>
                  </w:tcBorders>
                  <w:shd w:val="clear" w:color="auto" w:fill="auto"/>
                  <w:noWrap w:val="0"/>
                  <w:vAlign w:val="center"/>
                </w:tcPr>
                <w:p w14:paraId="45F6D0FE">
                  <w:pPr>
                    <w:pStyle w:val="85"/>
                    <w:keepNext w:val="0"/>
                    <w:keepLines w:val="0"/>
                    <w:suppressLineNumbers w:val="0"/>
                    <w:adjustRightInd w:val="0"/>
                    <w:snapToGrid w:val="0"/>
                    <w:spacing w:before="0" w:beforeAutospacing="0" w:after="0" w:afterAutospacing="0"/>
                    <w:ind w:left="0" w:right="0" w:firstLine="0" w:firstLineChars="0"/>
                    <w:jc w:val="center"/>
                    <w:rPr>
                      <w:rFonts w:hint="default" w:ascii="Times New Roman" w:hAnsi="Times New Roman" w:eastAsia="宋体" w:cs="Times New Roman"/>
                      <w:color w:val="auto"/>
                      <w:kern w:val="2"/>
                      <w:sz w:val="18"/>
                      <w:szCs w:val="18"/>
                      <w:highlight w:val="none"/>
                      <w:lang w:val="en-US" w:eastAsia="zh-CN" w:bidi="ar-SA"/>
                    </w:rPr>
                  </w:pPr>
                  <w:r>
                    <w:rPr>
                      <w:rFonts w:hint="eastAsia" w:eastAsia="宋体"/>
                      <w:color w:val="auto"/>
                      <w:sz w:val="18"/>
                      <w:szCs w:val="18"/>
                      <w:highlight w:val="none"/>
                    </w:rPr>
                    <w:t>118.83474</w:t>
                  </w:r>
                  <w:r>
                    <w:rPr>
                      <w:rFonts w:hint="eastAsia" w:eastAsia="宋体"/>
                      <w:color w:val="auto"/>
                      <w:sz w:val="18"/>
                      <w:szCs w:val="18"/>
                      <w:highlight w:val="none"/>
                      <w:lang w:val="en-US" w:eastAsia="zh-CN"/>
                    </w:rPr>
                    <w:t>8</w:t>
                  </w:r>
                </w:p>
              </w:tc>
              <w:tc>
                <w:tcPr>
                  <w:tcW w:w="564" w:type="pct"/>
                  <w:tcBorders>
                    <w:top w:val="single" w:color="auto" w:sz="4" w:space="0"/>
                    <w:left w:val="single" w:color="auto" w:sz="4" w:space="0"/>
                    <w:bottom w:val="single" w:color="auto" w:sz="4" w:space="0"/>
                    <w:right w:val="single" w:color="auto" w:sz="4" w:space="0"/>
                  </w:tcBorders>
                  <w:shd w:val="clear" w:color="auto" w:fill="auto"/>
                  <w:noWrap w:val="0"/>
                  <w:vAlign w:val="center"/>
                </w:tcPr>
                <w:p w14:paraId="7ACCB31D">
                  <w:pPr>
                    <w:pStyle w:val="85"/>
                    <w:keepNext w:val="0"/>
                    <w:keepLines w:val="0"/>
                    <w:suppressLineNumbers w:val="0"/>
                    <w:adjustRightInd w:val="0"/>
                    <w:snapToGrid w:val="0"/>
                    <w:spacing w:before="0" w:beforeAutospacing="0" w:after="0" w:afterAutospacing="0"/>
                    <w:ind w:left="0" w:right="0" w:firstLine="0" w:firstLineChars="0"/>
                    <w:jc w:val="center"/>
                    <w:rPr>
                      <w:rFonts w:hint="default" w:ascii="Times New Roman" w:hAnsi="Times New Roman" w:eastAsia="宋体" w:cs="Times New Roman"/>
                      <w:color w:val="auto"/>
                      <w:kern w:val="2"/>
                      <w:sz w:val="18"/>
                      <w:szCs w:val="18"/>
                      <w:highlight w:val="none"/>
                      <w:lang w:val="en-US" w:eastAsia="zh-CN" w:bidi="ar-SA"/>
                    </w:rPr>
                  </w:pPr>
                  <w:r>
                    <w:rPr>
                      <w:rFonts w:hint="eastAsia" w:eastAsia="宋体"/>
                      <w:color w:val="auto"/>
                      <w:sz w:val="18"/>
                      <w:szCs w:val="18"/>
                      <w:highlight w:val="none"/>
                    </w:rPr>
                    <w:t>28.952023</w:t>
                  </w:r>
                </w:p>
              </w:tc>
              <w:tc>
                <w:tcPr>
                  <w:tcW w:w="474" w:type="pct"/>
                  <w:tcBorders>
                    <w:top w:val="single" w:color="auto" w:sz="4" w:space="0"/>
                    <w:left w:val="single" w:color="auto" w:sz="4" w:space="0"/>
                    <w:bottom w:val="single" w:color="auto" w:sz="4" w:space="0"/>
                    <w:right w:val="single" w:color="auto" w:sz="4" w:space="0"/>
                  </w:tcBorders>
                  <w:noWrap w:val="0"/>
                  <w:vAlign w:val="center"/>
                </w:tcPr>
                <w:p w14:paraId="78C98EDF">
                  <w:pPr>
                    <w:keepNext w:val="0"/>
                    <w:keepLines w:val="0"/>
                    <w:widowControl/>
                    <w:suppressLineNumbers w:val="0"/>
                    <w:adjustRightInd w:val="0"/>
                    <w:snapToGrid w:val="0"/>
                    <w:spacing w:before="0" w:beforeAutospacing="0" w:after="0" w:afterAutospacing="0" w:line="276" w:lineRule="auto"/>
                    <w:ind w:left="0" w:right="0"/>
                    <w:jc w:val="center"/>
                    <w:rPr>
                      <w:rFonts w:hint="eastAsia" w:ascii="Times New Roman" w:hAnsi="Times New Roman" w:eastAsia="宋体" w:cs="Times New Roman"/>
                      <w:strike w:val="0"/>
                      <w:dstrike w:val="0"/>
                      <w:color w:val="auto"/>
                      <w:kern w:val="2"/>
                      <w:sz w:val="18"/>
                      <w:szCs w:val="18"/>
                      <w:highlight w:val="none"/>
                      <w:lang w:val="en-US" w:eastAsia="zh-CN" w:bidi="ar-SA"/>
                    </w:rPr>
                  </w:pPr>
                  <w:r>
                    <w:rPr>
                      <w:rFonts w:hint="eastAsia" w:ascii="Times New Roman" w:hAnsi="Times New Roman" w:eastAsia="宋体" w:cs="Times New Roman"/>
                      <w:strike w:val="0"/>
                      <w:dstrike w:val="0"/>
                      <w:color w:val="auto"/>
                      <w:sz w:val="18"/>
                      <w:szCs w:val="18"/>
                      <w:highlight w:val="none"/>
                      <w:lang w:val="en-US" w:eastAsia="zh-CN"/>
                    </w:rPr>
                    <w:t>学校</w:t>
                  </w:r>
                </w:p>
              </w:tc>
              <w:tc>
                <w:tcPr>
                  <w:tcW w:w="490" w:type="pct"/>
                  <w:tcBorders>
                    <w:top w:val="single" w:color="auto" w:sz="4" w:space="0"/>
                    <w:left w:val="single" w:color="auto" w:sz="4" w:space="0"/>
                    <w:bottom w:val="single" w:color="auto" w:sz="4" w:space="0"/>
                    <w:right w:val="single" w:color="auto" w:sz="4" w:space="0"/>
                  </w:tcBorders>
                  <w:noWrap w:val="0"/>
                  <w:vAlign w:val="center"/>
                </w:tcPr>
                <w:p w14:paraId="3BE30698">
                  <w:pPr>
                    <w:keepNext w:val="0"/>
                    <w:keepLines w:val="0"/>
                    <w:widowControl/>
                    <w:suppressLineNumbers w:val="0"/>
                    <w:adjustRightInd w:val="0"/>
                    <w:snapToGrid w:val="0"/>
                    <w:spacing w:before="0" w:beforeAutospacing="0" w:after="0" w:afterAutospacing="0" w:line="276" w:lineRule="auto"/>
                    <w:ind w:left="0" w:right="0"/>
                    <w:jc w:val="center"/>
                    <w:rPr>
                      <w:rFonts w:hint="eastAsia" w:ascii="Times New Roman" w:hAnsi="Times New Roman" w:eastAsia="宋体" w:cs="Times New Roman"/>
                      <w:strike w:val="0"/>
                      <w:dstrike w:val="0"/>
                      <w:color w:val="auto"/>
                      <w:kern w:val="2"/>
                      <w:sz w:val="18"/>
                      <w:szCs w:val="18"/>
                      <w:highlight w:val="none"/>
                      <w:lang w:val="en-US" w:eastAsia="zh-CN" w:bidi="ar-SA"/>
                    </w:rPr>
                  </w:pPr>
                  <w:r>
                    <w:rPr>
                      <w:rFonts w:hint="eastAsia" w:ascii="Times New Roman" w:hAnsi="Times New Roman" w:eastAsia="宋体" w:cs="Times New Roman"/>
                      <w:strike w:val="0"/>
                      <w:dstrike w:val="0"/>
                      <w:color w:val="auto"/>
                      <w:sz w:val="18"/>
                      <w:szCs w:val="18"/>
                      <w:highlight w:val="none"/>
                      <w:lang w:val="en-US" w:eastAsia="zh-CN"/>
                    </w:rPr>
                    <w:t>师生</w:t>
                  </w:r>
                </w:p>
              </w:tc>
              <w:tc>
                <w:tcPr>
                  <w:tcW w:w="499" w:type="pct"/>
                  <w:tcBorders>
                    <w:top w:val="single" w:color="auto" w:sz="4" w:space="0"/>
                    <w:left w:val="single" w:color="auto" w:sz="4" w:space="0"/>
                    <w:bottom w:val="single" w:color="auto" w:sz="4" w:space="0"/>
                    <w:right w:val="single" w:color="auto" w:sz="4" w:space="0"/>
                  </w:tcBorders>
                  <w:noWrap w:val="0"/>
                  <w:vAlign w:val="center"/>
                </w:tcPr>
                <w:p w14:paraId="2509AB51">
                  <w:pPr>
                    <w:keepNext w:val="0"/>
                    <w:keepLines w:val="0"/>
                    <w:widowControl/>
                    <w:suppressLineNumbers w:val="0"/>
                    <w:adjustRightInd w:val="0"/>
                    <w:snapToGrid w:val="0"/>
                    <w:spacing w:before="0" w:beforeAutospacing="0" w:after="0" w:afterAutospacing="0" w:line="276" w:lineRule="auto"/>
                    <w:ind w:left="0" w:right="0"/>
                    <w:jc w:val="center"/>
                    <w:rPr>
                      <w:rFonts w:hint="eastAsia" w:ascii="Times New Roman" w:hAnsi="Times New Roman" w:eastAsia="宋体" w:cs="Times New Roman"/>
                      <w:strike w:val="0"/>
                      <w:dstrike w:val="0"/>
                      <w:color w:val="auto"/>
                      <w:kern w:val="2"/>
                      <w:sz w:val="18"/>
                      <w:szCs w:val="18"/>
                      <w:highlight w:val="none"/>
                      <w:lang w:val="en-US" w:eastAsia="zh-CN" w:bidi="ar-SA"/>
                    </w:rPr>
                  </w:pPr>
                  <w:r>
                    <w:rPr>
                      <w:rFonts w:hint="eastAsia" w:ascii="Times New Roman" w:hAnsi="Times New Roman" w:eastAsia="宋体" w:cs="Times New Roman"/>
                      <w:strike w:val="0"/>
                      <w:dstrike w:val="0"/>
                      <w:color w:val="auto"/>
                      <w:sz w:val="18"/>
                      <w:szCs w:val="18"/>
                      <w:highlight w:val="none"/>
                      <w:lang w:val="en-US" w:eastAsia="zh-CN"/>
                    </w:rPr>
                    <w:t>二类</w:t>
                  </w:r>
                </w:p>
              </w:tc>
              <w:tc>
                <w:tcPr>
                  <w:tcW w:w="453" w:type="pct"/>
                  <w:tcBorders>
                    <w:top w:val="single" w:color="auto" w:sz="4" w:space="0"/>
                    <w:left w:val="single" w:color="auto" w:sz="4" w:space="0"/>
                    <w:bottom w:val="single" w:color="auto" w:sz="4" w:space="0"/>
                    <w:right w:val="single" w:color="auto" w:sz="4" w:space="0"/>
                  </w:tcBorders>
                  <w:shd w:val="clear" w:color="auto" w:fill="auto"/>
                  <w:noWrap w:val="0"/>
                  <w:vAlign w:val="center"/>
                </w:tcPr>
                <w:p w14:paraId="0AE1B0C2">
                  <w:pPr>
                    <w:pStyle w:val="85"/>
                    <w:keepNext w:val="0"/>
                    <w:keepLines w:val="0"/>
                    <w:suppressLineNumbers w:val="0"/>
                    <w:adjustRightInd w:val="0"/>
                    <w:snapToGrid w:val="0"/>
                    <w:spacing w:before="0" w:beforeAutospacing="0" w:after="0" w:afterAutospacing="0"/>
                    <w:ind w:left="0" w:right="0" w:firstLine="0" w:firstLineChars="0"/>
                    <w:jc w:val="center"/>
                    <w:rPr>
                      <w:rFonts w:hint="eastAsia" w:ascii="Times New Roman" w:hAnsi="Times New Roman" w:eastAsia="宋体" w:cs="Times New Roman"/>
                      <w:kern w:val="2"/>
                      <w:sz w:val="18"/>
                      <w:szCs w:val="18"/>
                      <w:highlight w:val="none"/>
                      <w:lang w:val="en-US" w:eastAsia="zh-CN" w:bidi="ar-SA"/>
                    </w:rPr>
                  </w:pPr>
                  <w:r>
                    <w:rPr>
                      <w:rFonts w:hint="eastAsia" w:eastAsia="宋体"/>
                      <w:sz w:val="18"/>
                      <w:szCs w:val="18"/>
                      <w:highlight w:val="none"/>
                      <w:lang w:val="en-US" w:eastAsia="zh-CN"/>
                    </w:rPr>
                    <w:t>东</w:t>
                  </w:r>
                </w:p>
              </w:tc>
              <w:tc>
                <w:tcPr>
                  <w:tcW w:w="551" w:type="pct"/>
                  <w:tcBorders>
                    <w:top w:val="single" w:color="auto" w:sz="4" w:space="0"/>
                    <w:left w:val="single" w:color="auto" w:sz="4" w:space="0"/>
                    <w:bottom w:val="single" w:color="auto" w:sz="4" w:space="0"/>
                    <w:right w:val="single" w:color="auto" w:sz="4" w:space="0"/>
                  </w:tcBorders>
                  <w:shd w:val="clear" w:color="auto" w:fill="auto"/>
                  <w:noWrap w:val="0"/>
                  <w:vAlign w:val="center"/>
                </w:tcPr>
                <w:p w14:paraId="0FD4364E">
                  <w:pPr>
                    <w:keepNext w:val="0"/>
                    <w:keepLines w:val="0"/>
                    <w:suppressLineNumbers w:val="0"/>
                    <w:adjustRightInd w:val="0"/>
                    <w:snapToGrid w:val="0"/>
                    <w:spacing w:before="0" w:beforeAutospacing="0" w:after="0" w:afterAutospacing="0"/>
                    <w:ind w:left="0" w:right="0"/>
                    <w:jc w:val="center"/>
                    <w:rPr>
                      <w:rFonts w:hint="eastAsia" w:ascii="Times New Roman" w:hAnsi="Times New Roman" w:eastAsia="宋体" w:cs="Times New Roman"/>
                      <w:kern w:val="2"/>
                      <w:sz w:val="18"/>
                      <w:szCs w:val="18"/>
                      <w:highlight w:val="none"/>
                      <w:lang w:val="en-US" w:eastAsia="zh-CN" w:bidi="ar-SA"/>
                    </w:rPr>
                  </w:pPr>
                  <w:r>
                    <w:rPr>
                      <w:rFonts w:hint="eastAsia"/>
                      <w:sz w:val="18"/>
                      <w:szCs w:val="18"/>
                      <w:highlight w:val="none"/>
                      <w:lang w:val="en-US" w:eastAsia="zh-CN"/>
                    </w:rPr>
                    <w:t>94</w:t>
                  </w:r>
                </w:p>
              </w:tc>
            </w:tr>
            <w:tr w14:paraId="63E74C4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40" w:hRule="atLeast"/>
                <w:jc w:val="center"/>
              </w:trPr>
              <w:tc>
                <w:tcPr>
                  <w:tcW w:w="366" w:type="pct"/>
                  <w:tcBorders>
                    <w:left w:val="single" w:color="auto" w:sz="4" w:space="0"/>
                    <w:right w:val="single" w:color="auto" w:sz="4" w:space="0"/>
                  </w:tcBorders>
                  <w:noWrap w:val="0"/>
                  <w:vAlign w:val="center"/>
                </w:tcPr>
                <w:p w14:paraId="7F483C03">
                  <w:pPr>
                    <w:keepNext w:val="0"/>
                    <w:keepLines w:val="0"/>
                    <w:widowControl/>
                    <w:suppressLineNumbers w:val="0"/>
                    <w:adjustRightInd w:val="0"/>
                    <w:snapToGrid w:val="0"/>
                    <w:spacing w:before="0" w:beforeAutospacing="0" w:after="0" w:afterAutospacing="0" w:line="276" w:lineRule="auto"/>
                    <w:ind w:left="0" w:right="0"/>
                    <w:jc w:val="center"/>
                    <w:rPr>
                      <w:rFonts w:hint="default" w:ascii="Times New Roman" w:hAnsi="Times New Roman" w:eastAsia="宋体" w:cs="Times New Roman"/>
                      <w:strike w:val="0"/>
                      <w:dstrike w:val="0"/>
                      <w:color w:val="auto"/>
                      <w:kern w:val="2"/>
                      <w:sz w:val="18"/>
                      <w:szCs w:val="18"/>
                      <w:highlight w:val="none"/>
                      <w:lang w:val="en-US" w:eastAsia="zh-CN" w:bidi="ar-SA"/>
                    </w:rPr>
                  </w:pPr>
                  <w:r>
                    <w:rPr>
                      <w:rFonts w:hint="eastAsia" w:ascii="Times New Roman" w:hAnsi="Times New Roman" w:eastAsia="宋体" w:cs="Times New Roman"/>
                      <w:strike w:val="0"/>
                      <w:dstrike w:val="0"/>
                      <w:color w:val="auto"/>
                      <w:kern w:val="2"/>
                      <w:sz w:val="18"/>
                      <w:szCs w:val="18"/>
                      <w:highlight w:val="none"/>
                      <w:lang w:val="en-US" w:eastAsia="zh-CN" w:bidi="ar-SA"/>
                    </w:rPr>
                    <w:t>6</w:t>
                  </w:r>
                </w:p>
              </w:tc>
              <w:tc>
                <w:tcPr>
                  <w:tcW w:w="1071" w:type="pct"/>
                  <w:tcBorders>
                    <w:top w:val="single" w:color="auto" w:sz="4" w:space="0"/>
                    <w:left w:val="single" w:color="auto" w:sz="4" w:space="0"/>
                    <w:bottom w:val="single" w:color="auto" w:sz="4" w:space="0"/>
                    <w:right w:val="single" w:color="auto" w:sz="4" w:space="0"/>
                  </w:tcBorders>
                  <w:shd w:val="clear" w:color="auto" w:fill="auto"/>
                  <w:noWrap w:val="0"/>
                  <w:vAlign w:val="center"/>
                </w:tcPr>
                <w:p w14:paraId="07FD9284">
                  <w:pPr>
                    <w:pStyle w:val="85"/>
                    <w:keepNext w:val="0"/>
                    <w:keepLines w:val="0"/>
                    <w:suppressLineNumbers w:val="0"/>
                    <w:adjustRightInd w:val="0"/>
                    <w:snapToGrid w:val="0"/>
                    <w:spacing w:before="0" w:beforeAutospacing="0" w:after="0" w:afterAutospacing="0"/>
                    <w:ind w:left="0" w:right="0" w:firstLine="0" w:firstLineChars="0"/>
                    <w:jc w:val="center"/>
                    <w:rPr>
                      <w:rFonts w:hint="eastAsia" w:ascii="Times New Roman" w:hAnsi="Times New Roman" w:eastAsia="宋体" w:cs="Times New Roman"/>
                      <w:color w:val="auto"/>
                      <w:kern w:val="2"/>
                      <w:sz w:val="18"/>
                      <w:szCs w:val="18"/>
                      <w:highlight w:val="none"/>
                      <w:lang w:val="en-US" w:eastAsia="zh-CN" w:bidi="ar-SA"/>
                    </w:rPr>
                  </w:pPr>
                  <w:r>
                    <w:rPr>
                      <w:rFonts w:hint="eastAsia" w:eastAsia="宋体"/>
                      <w:color w:val="auto"/>
                      <w:sz w:val="18"/>
                      <w:szCs w:val="18"/>
                      <w:highlight w:val="none"/>
                    </w:rPr>
                    <w:t>鹿鸣山村</w:t>
                  </w:r>
                </w:p>
              </w:tc>
              <w:tc>
                <w:tcPr>
                  <w:tcW w:w="527" w:type="pct"/>
                  <w:tcBorders>
                    <w:top w:val="single" w:color="auto" w:sz="4" w:space="0"/>
                    <w:left w:val="single" w:color="auto" w:sz="4" w:space="0"/>
                    <w:bottom w:val="single" w:color="auto" w:sz="4" w:space="0"/>
                    <w:right w:val="single" w:color="auto" w:sz="4" w:space="0"/>
                  </w:tcBorders>
                  <w:shd w:val="clear" w:color="auto" w:fill="auto"/>
                  <w:noWrap w:val="0"/>
                  <w:vAlign w:val="center"/>
                </w:tcPr>
                <w:p w14:paraId="2EF8D118">
                  <w:pPr>
                    <w:pStyle w:val="85"/>
                    <w:keepNext w:val="0"/>
                    <w:keepLines w:val="0"/>
                    <w:suppressLineNumbers w:val="0"/>
                    <w:adjustRightInd w:val="0"/>
                    <w:snapToGrid w:val="0"/>
                    <w:spacing w:before="0" w:beforeAutospacing="0" w:after="0" w:afterAutospacing="0"/>
                    <w:ind w:left="0" w:right="0" w:firstLine="0" w:firstLineChars="0"/>
                    <w:jc w:val="center"/>
                    <w:rPr>
                      <w:rFonts w:hint="default" w:ascii="Times New Roman" w:hAnsi="Times New Roman" w:eastAsia="宋体" w:cs="Times New Roman"/>
                      <w:color w:val="auto"/>
                      <w:kern w:val="2"/>
                      <w:sz w:val="18"/>
                      <w:szCs w:val="18"/>
                      <w:highlight w:val="none"/>
                      <w:lang w:val="en-US" w:eastAsia="zh-CN" w:bidi="ar-SA"/>
                    </w:rPr>
                  </w:pPr>
                  <w:r>
                    <w:rPr>
                      <w:rFonts w:hint="eastAsia" w:eastAsia="宋体"/>
                      <w:color w:val="auto"/>
                      <w:sz w:val="18"/>
                      <w:szCs w:val="18"/>
                      <w:highlight w:val="none"/>
                    </w:rPr>
                    <w:t>118.8346</w:t>
                  </w:r>
                  <w:r>
                    <w:rPr>
                      <w:rFonts w:hint="eastAsia" w:eastAsia="宋体"/>
                      <w:color w:val="auto"/>
                      <w:sz w:val="18"/>
                      <w:szCs w:val="18"/>
                      <w:highlight w:val="none"/>
                      <w:lang w:val="en-US" w:eastAsia="zh-CN"/>
                    </w:rPr>
                    <w:t>30</w:t>
                  </w:r>
                </w:p>
              </w:tc>
              <w:tc>
                <w:tcPr>
                  <w:tcW w:w="564" w:type="pct"/>
                  <w:tcBorders>
                    <w:top w:val="single" w:color="auto" w:sz="4" w:space="0"/>
                    <w:left w:val="single" w:color="auto" w:sz="4" w:space="0"/>
                    <w:bottom w:val="single" w:color="auto" w:sz="4" w:space="0"/>
                    <w:right w:val="single" w:color="auto" w:sz="4" w:space="0"/>
                  </w:tcBorders>
                  <w:shd w:val="clear" w:color="auto" w:fill="auto"/>
                  <w:noWrap w:val="0"/>
                  <w:vAlign w:val="center"/>
                </w:tcPr>
                <w:p w14:paraId="6FF0E93E">
                  <w:pPr>
                    <w:pStyle w:val="85"/>
                    <w:keepNext w:val="0"/>
                    <w:keepLines w:val="0"/>
                    <w:suppressLineNumbers w:val="0"/>
                    <w:adjustRightInd w:val="0"/>
                    <w:snapToGrid w:val="0"/>
                    <w:spacing w:before="0" w:beforeAutospacing="0" w:after="0" w:afterAutospacing="0"/>
                    <w:ind w:left="0" w:right="0" w:firstLine="0" w:firstLineChars="0"/>
                    <w:jc w:val="center"/>
                    <w:rPr>
                      <w:rFonts w:hint="default" w:ascii="Times New Roman" w:hAnsi="Times New Roman" w:eastAsia="宋体" w:cs="Times New Roman"/>
                      <w:color w:val="auto"/>
                      <w:kern w:val="2"/>
                      <w:sz w:val="18"/>
                      <w:szCs w:val="18"/>
                      <w:highlight w:val="none"/>
                      <w:lang w:val="en-US" w:eastAsia="zh-CN" w:bidi="ar-SA"/>
                    </w:rPr>
                  </w:pPr>
                  <w:r>
                    <w:rPr>
                      <w:rFonts w:hint="eastAsia" w:eastAsia="宋体"/>
                      <w:color w:val="auto"/>
                      <w:sz w:val="18"/>
                      <w:szCs w:val="18"/>
                      <w:highlight w:val="none"/>
                    </w:rPr>
                    <w:t>28.95633</w:t>
                  </w:r>
                  <w:r>
                    <w:rPr>
                      <w:rFonts w:hint="eastAsia" w:eastAsia="宋体"/>
                      <w:color w:val="auto"/>
                      <w:sz w:val="18"/>
                      <w:szCs w:val="18"/>
                      <w:highlight w:val="none"/>
                      <w:lang w:val="en-US" w:eastAsia="zh-CN"/>
                    </w:rPr>
                    <w:t>1</w:t>
                  </w:r>
                </w:p>
              </w:tc>
              <w:tc>
                <w:tcPr>
                  <w:tcW w:w="474" w:type="pct"/>
                  <w:tcBorders>
                    <w:top w:val="single" w:color="auto" w:sz="4" w:space="0"/>
                    <w:left w:val="single" w:color="auto" w:sz="4" w:space="0"/>
                    <w:bottom w:val="single" w:color="auto" w:sz="4" w:space="0"/>
                    <w:right w:val="single" w:color="auto" w:sz="4" w:space="0"/>
                  </w:tcBorders>
                  <w:noWrap w:val="0"/>
                  <w:vAlign w:val="center"/>
                </w:tcPr>
                <w:p w14:paraId="5EC9EC0B">
                  <w:pPr>
                    <w:keepNext w:val="0"/>
                    <w:keepLines w:val="0"/>
                    <w:widowControl/>
                    <w:suppressLineNumbers w:val="0"/>
                    <w:adjustRightInd w:val="0"/>
                    <w:snapToGrid w:val="0"/>
                    <w:spacing w:before="0" w:beforeAutospacing="0" w:after="0" w:afterAutospacing="0" w:line="276" w:lineRule="auto"/>
                    <w:ind w:left="0" w:right="0"/>
                    <w:jc w:val="center"/>
                    <w:rPr>
                      <w:rFonts w:hint="eastAsia" w:ascii="Times New Roman" w:hAnsi="Times New Roman" w:eastAsia="宋体" w:cs="Times New Roman"/>
                      <w:strike w:val="0"/>
                      <w:dstrike w:val="0"/>
                      <w:color w:val="auto"/>
                      <w:kern w:val="2"/>
                      <w:sz w:val="18"/>
                      <w:szCs w:val="18"/>
                      <w:highlight w:val="none"/>
                      <w:lang w:val="en-US" w:eastAsia="zh-CN" w:bidi="ar-SA"/>
                    </w:rPr>
                  </w:pPr>
                  <w:r>
                    <w:rPr>
                      <w:rFonts w:hint="eastAsia" w:ascii="Times New Roman" w:hAnsi="Times New Roman" w:eastAsia="宋体" w:cs="Times New Roman"/>
                      <w:strike w:val="0"/>
                      <w:dstrike w:val="0"/>
                      <w:color w:val="auto"/>
                      <w:sz w:val="18"/>
                      <w:szCs w:val="18"/>
                      <w:highlight w:val="none"/>
                      <w:lang w:val="en-US" w:eastAsia="zh-CN"/>
                    </w:rPr>
                    <w:t>居住区</w:t>
                  </w:r>
                </w:p>
              </w:tc>
              <w:tc>
                <w:tcPr>
                  <w:tcW w:w="490" w:type="pct"/>
                  <w:tcBorders>
                    <w:top w:val="single" w:color="auto" w:sz="4" w:space="0"/>
                    <w:left w:val="single" w:color="auto" w:sz="4" w:space="0"/>
                    <w:bottom w:val="single" w:color="auto" w:sz="4" w:space="0"/>
                    <w:right w:val="single" w:color="auto" w:sz="4" w:space="0"/>
                  </w:tcBorders>
                  <w:noWrap w:val="0"/>
                  <w:vAlign w:val="center"/>
                </w:tcPr>
                <w:p w14:paraId="6EF8165B">
                  <w:pPr>
                    <w:keepNext w:val="0"/>
                    <w:keepLines w:val="0"/>
                    <w:widowControl/>
                    <w:suppressLineNumbers w:val="0"/>
                    <w:adjustRightInd w:val="0"/>
                    <w:snapToGrid w:val="0"/>
                    <w:spacing w:before="0" w:beforeAutospacing="0" w:after="0" w:afterAutospacing="0" w:line="276" w:lineRule="auto"/>
                    <w:ind w:left="0" w:right="0"/>
                    <w:jc w:val="center"/>
                    <w:rPr>
                      <w:rFonts w:hint="eastAsia" w:ascii="Times New Roman" w:hAnsi="Times New Roman" w:eastAsia="宋体" w:cs="Times New Roman"/>
                      <w:strike w:val="0"/>
                      <w:dstrike w:val="0"/>
                      <w:color w:val="auto"/>
                      <w:kern w:val="2"/>
                      <w:sz w:val="18"/>
                      <w:szCs w:val="18"/>
                      <w:highlight w:val="none"/>
                      <w:lang w:val="en-US" w:eastAsia="zh-CN" w:bidi="ar-SA"/>
                    </w:rPr>
                  </w:pPr>
                  <w:r>
                    <w:rPr>
                      <w:rFonts w:hint="eastAsia" w:ascii="Times New Roman" w:hAnsi="Times New Roman" w:eastAsia="宋体" w:cs="Times New Roman"/>
                      <w:strike w:val="0"/>
                      <w:dstrike w:val="0"/>
                      <w:color w:val="auto"/>
                      <w:sz w:val="18"/>
                      <w:szCs w:val="18"/>
                      <w:highlight w:val="none"/>
                      <w:lang w:val="en-US" w:eastAsia="zh-CN"/>
                    </w:rPr>
                    <w:t>居民</w:t>
                  </w:r>
                </w:p>
              </w:tc>
              <w:tc>
                <w:tcPr>
                  <w:tcW w:w="499" w:type="pct"/>
                  <w:tcBorders>
                    <w:top w:val="single" w:color="auto" w:sz="4" w:space="0"/>
                    <w:left w:val="single" w:color="auto" w:sz="4" w:space="0"/>
                    <w:bottom w:val="single" w:color="auto" w:sz="4" w:space="0"/>
                    <w:right w:val="single" w:color="auto" w:sz="4" w:space="0"/>
                  </w:tcBorders>
                  <w:noWrap w:val="0"/>
                  <w:vAlign w:val="center"/>
                </w:tcPr>
                <w:p w14:paraId="3FEFCB77">
                  <w:pPr>
                    <w:keepNext w:val="0"/>
                    <w:keepLines w:val="0"/>
                    <w:widowControl/>
                    <w:suppressLineNumbers w:val="0"/>
                    <w:adjustRightInd w:val="0"/>
                    <w:snapToGrid w:val="0"/>
                    <w:spacing w:before="0" w:beforeAutospacing="0" w:after="0" w:afterAutospacing="0" w:line="276" w:lineRule="auto"/>
                    <w:ind w:left="0" w:right="0"/>
                    <w:jc w:val="center"/>
                    <w:rPr>
                      <w:rFonts w:hint="eastAsia" w:ascii="Times New Roman" w:hAnsi="Times New Roman" w:eastAsia="宋体" w:cs="Times New Roman"/>
                      <w:strike w:val="0"/>
                      <w:dstrike w:val="0"/>
                      <w:color w:val="auto"/>
                      <w:kern w:val="2"/>
                      <w:sz w:val="18"/>
                      <w:szCs w:val="18"/>
                      <w:highlight w:val="none"/>
                      <w:lang w:val="en-US" w:eastAsia="zh-CN" w:bidi="ar-SA"/>
                    </w:rPr>
                  </w:pPr>
                  <w:r>
                    <w:rPr>
                      <w:rFonts w:hint="eastAsia" w:ascii="Times New Roman" w:hAnsi="Times New Roman" w:eastAsia="宋体" w:cs="Times New Roman"/>
                      <w:strike w:val="0"/>
                      <w:dstrike w:val="0"/>
                      <w:color w:val="auto"/>
                      <w:sz w:val="18"/>
                      <w:szCs w:val="18"/>
                      <w:highlight w:val="none"/>
                      <w:lang w:val="en-US" w:eastAsia="zh-CN"/>
                    </w:rPr>
                    <w:t>二类</w:t>
                  </w:r>
                </w:p>
              </w:tc>
              <w:tc>
                <w:tcPr>
                  <w:tcW w:w="453" w:type="pct"/>
                  <w:tcBorders>
                    <w:top w:val="single" w:color="auto" w:sz="4" w:space="0"/>
                    <w:left w:val="single" w:color="auto" w:sz="4" w:space="0"/>
                    <w:bottom w:val="single" w:color="auto" w:sz="4" w:space="0"/>
                    <w:right w:val="single" w:color="auto" w:sz="4" w:space="0"/>
                  </w:tcBorders>
                  <w:shd w:val="clear" w:color="auto" w:fill="auto"/>
                  <w:noWrap w:val="0"/>
                  <w:vAlign w:val="center"/>
                </w:tcPr>
                <w:p w14:paraId="07BBDECD">
                  <w:pPr>
                    <w:pStyle w:val="85"/>
                    <w:keepNext w:val="0"/>
                    <w:keepLines w:val="0"/>
                    <w:suppressLineNumbers w:val="0"/>
                    <w:adjustRightInd w:val="0"/>
                    <w:snapToGrid w:val="0"/>
                    <w:spacing w:before="0" w:beforeAutospacing="0" w:after="0" w:afterAutospacing="0"/>
                    <w:ind w:left="0" w:right="0" w:firstLine="0" w:firstLineChars="0"/>
                    <w:jc w:val="center"/>
                    <w:rPr>
                      <w:rFonts w:hint="eastAsia" w:ascii="Times New Roman" w:hAnsi="Times New Roman" w:eastAsia="宋体" w:cs="Times New Roman"/>
                      <w:kern w:val="2"/>
                      <w:sz w:val="18"/>
                      <w:szCs w:val="18"/>
                      <w:highlight w:val="none"/>
                      <w:lang w:val="en-US" w:eastAsia="zh-CN" w:bidi="ar-SA"/>
                    </w:rPr>
                  </w:pPr>
                  <w:r>
                    <w:rPr>
                      <w:rFonts w:hint="eastAsia" w:eastAsia="宋体"/>
                      <w:sz w:val="18"/>
                      <w:szCs w:val="18"/>
                      <w:highlight w:val="none"/>
                      <w:lang w:val="en-US" w:eastAsia="zh-CN"/>
                    </w:rPr>
                    <w:t>东北</w:t>
                  </w:r>
                </w:p>
              </w:tc>
              <w:tc>
                <w:tcPr>
                  <w:tcW w:w="551" w:type="pct"/>
                  <w:tcBorders>
                    <w:top w:val="single" w:color="auto" w:sz="4" w:space="0"/>
                    <w:left w:val="single" w:color="auto" w:sz="4" w:space="0"/>
                    <w:bottom w:val="single" w:color="auto" w:sz="4" w:space="0"/>
                    <w:right w:val="single" w:color="auto" w:sz="4" w:space="0"/>
                  </w:tcBorders>
                  <w:shd w:val="clear" w:color="auto" w:fill="auto"/>
                  <w:noWrap w:val="0"/>
                  <w:vAlign w:val="center"/>
                </w:tcPr>
                <w:p w14:paraId="076C1CE5">
                  <w:pPr>
                    <w:pStyle w:val="85"/>
                    <w:keepNext w:val="0"/>
                    <w:keepLines w:val="0"/>
                    <w:suppressLineNumbers w:val="0"/>
                    <w:adjustRightInd w:val="0"/>
                    <w:snapToGrid w:val="0"/>
                    <w:spacing w:before="0" w:beforeAutospacing="0" w:after="0" w:afterAutospacing="0"/>
                    <w:ind w:left="0" w:right="0" w:firstLine="0" w:firstLineChars="0"/>
                    <w:jc w:val="center"/>
                    <w:rPr>
                      <w:rFonts w:hint="eastAsia" w:ascii="Times New Roman" w:hAnsi="Times New Roman" w:eastAsia="宋体" w:cs="Times New Roman"/>
                      <w:kern w:val="2"/>
                      <w:sz w:val="18"/>
                      <w:szCs w:val="18"/>
                      <w:highlight w:val="none"/>
                      <w:lang w:val="en-US" w:eastAsia="zh-CN" w:bidi="ar-SA"/>
                    </w:rPr>
                  </w:pPr>
                  <w:r>
                    <w:rPr>
                      <w:rFonts w:hint="eastAsia" w:eastAsia="宋体"/>
                      <w:sz w:val="18"/>
                      <w:szCs w:val="18"/>
                      <w:highlight w:val="none"/>
                      <w:lang w:val="en-US" w:eastAsia="zh-CN"/>
                    </w:rPr>
                    <w:t>111</w:t>
                  </w:r>
                </w:p>
              </w:tc>
            </w:tr>
            <w:tr w14:paraId="5E7152E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40" w:hRule="atLeast"/>
                <w:jc w:val="center"/>
              </w:trPr>
              <w:tc>
                <w:tcPr>
                  <w:tcW w:w="366" w:type="pct"/>
                  <w:tcBorders>
                    <w:left w:val="single" w:color="auto" w:sz="4" w:space="0"/>
                    <w:right w:val="single" w:color="auto" w:sz="4" w:space="0"/>
                  </w:tcBorders>
                  <w:noWrap w:val="0"/>
                  <w:vAlign w:val="center"/>
                </w:tcPr>
                <w:p w14:paraId="0F5399A5">
                  <w:pPr>
                    <w:keepNext w:val="0"/>
                    <w:keepLines w:val="0"/>
                    <w:widowControl/>
                    <w:suppressLineNumbers w:val="0"/>
                    <w:adjustRightInd w:val="0"/>
                    <w:snapToGrid w:val="0"/>
                    <w:spacing w:before="0" w:beforeAutospacing="0" w:after="0" w:afterAutospacing="0" w:line="276" w:lineRule="auto"/>
                    <w:ind w:left="0" w:right="0"/>
                    <w:jc w:val="center"/>
                    <w:rPr>
                      <w:rFonts w:hint="default" w:ascii="Times New Roman" w:hAnsi="Times New Roman" w:eastAsia="宋体" w:cs="Times New Roman"/>
                      <w:strike w:val="0"/>
                      <w:dstrike w:val="0"/>
                      <w:color w:val="auto"/>
                      <w:kern w:val="2"/>
                      <w:sz w:val="18"/>
                      <w:szCs w:val="18"/>
                      <w:highlight w:val="none"/>
                      <w:lang w:val="en-US" w:eastAsia="zh-CN" w:bidi="ar-SA"/>
                    </w:rPr>
                  </w:pPr>
                  <w:r>
                    <w:rPr>
                      <w:rFonts w:hint="eastAsia" w:ascii="Times New Roman" w:hAnsi="Times New Roman" w:eastAsia="宋体" w:cs="Times New Roman"/>
                      <w:strike w:val="0"/>
                      <w:dstrike w:val="0"/>
                      <w:color w:val="auto"/>
                      <w:kern w:val="2"/>
                      <w:sz w:val="18"/>
                      <w:szCs w:val="18"/>
                      <w:highlight w:val="none"/>
                      <w:lang w:val="en-US" w:eastAsia="zh-CN" w:bidi="ar-SA"/>
                    </w:rPr>
                    <w:t>7</w:t>
                  </w:r>
                </w:p>
              </w:tc>
              <w:tc>
                <w:tcPr>
                  <w:tcW w:w="1071" w:type="pct"/>
                  <w:tcBorders>
                    <w:top w:val="single" w:color="auto" w:sz="4" w:space="0"/>
                    <w:left w:val="single" w:color="auto" w:sz="4" w:space="0"/>
                    <w:bottom w:val="single" w:color="auto" w:sz="4" w:space="0"/>
                    <w:right w:val="single" w:color="auto" w:sz="4" w:space="0"/>
                  </w:tcBorders>
                  <w:shd w:val="clear" w:color="auto" w:fill="auto"/>
                  <w:noWrap w:val="0"/>
                  <w:vAlign w:val="center"/>
                </w:tcPr>
                <w:p w14:paraId="72E1540D">
                  <w:pPr>
                    <w:pStyle w:val="85"/>
                    <w:keepNext w:val="0"/>
                    <w:keepLines w:val="0"/>
                    <w:suppressLineNumbers w:val="0"/>
                    <w:adjustRightInd w:val="0"/>
                    <w:snapToGrid w:val="0"/>
                    <w:spacing w:before="0" w:beforeAutospacing="0" w:after="0" w:afterAutospacing="0"/>
                    <w:ind w:left="0" w:right="0" w:firstLine="0" w:firstLineChars="0"/>
                    <w:jc w:val="center"/>
                    <w:rPr>
                      <w:rFonts w:hint="eastAsia" w:ascii="Times New Roman" w:hAnsi="Times New Roman" w:eastAsia="宋体" w:cs="Times New Roman"/>
                      <w:color w:val="auto"/>
                      <w:kern w:val="2"/>
                      <w:sz w:val="18"/>
                      <w:szCs w:val="18"/>
                      <w:highlight w:val="none"/>
                      <w:lang w:val="en-US" w:eastAsia="zh-CN" w:bidi="ar-SA"/>
                    </w:rPr>
                  </w:pPr>
                  <w:r>
                    <w:rPr>
                      <w:rFonts w:hint="eastAsia" w:eastAsia="宋体"/>
                      <w:color w:val="auto"/>
                      <w:sz w:val="18"/>
                      <w:szCs w:val="18"/>
                      <w:highlight w:val="none"/>
                    </w:rPr>
                    <w:t>北京十一衢州实验学校</w:t>
                  </w:r>
                </w:p>
              </w:tc>
              <w:tc>
                <w:tcPr>
                  <w:tcW w:w="527" w:type="pct"/>
                  <w:tcBorders>
                    <w:top w:val="single" w:color="auto" w:sz="4" w:space="0"/>
                    <w:left w:val="single" w:color="auto" w:sz="4" w:space="0"/>
                    <w:bottom w:val="single" w:color="auto" w:sz="4" w:space="0"/>
                    <w:right w:val="single" w:color="auto" w:sz="4" w:space="0"/>
                  </w:tcBorders>
                  <w:shd w:val="clear" w:color="auto" w:fill="auto"/>
                  <w:noWrap w:val="0"/>
                  <w:vAlign w:val="center"/>
                </w:tcPr>
                <w:p w14:paraId="2D9F9924">
                  <w:pPr>
                    <w:pStyle w:val="85"/>
                    <w:keepNext w:val="0"/>
                    <w:keepLines w:val="0"/>
                    <w:suppressLineNumbers w:val="0"/>
                    <w:adjustRightInd w:val="0"/>
                    <w:snapToGrid w:val="0"/>
                    <w:spacing w:before="0" w:beforeAutospacing="0" w:after="0" w:afterAutospacing="0"/>
                    <w:ind w:left="0" w:right="0" w:firstLine="0" w:firstLineChars="0"/>
                    <w:jc w:val="center"/>
                    <w:rPr>
                      <w:rFonts w:hint="default" w:ascii="Times New Roman" w:hAnsi="Times New Roman" w:eastAsia="宋体" w:cs="Times New Roman"/>
                      <w:color w:val="auto"/>
                      <w:kern w:val="2"/>
                      <w:sz w:val="18"/>
                      <w:szCs w:val="18"/>
                      <w:highlight w:val="none"/>
                      <w:lang w:val="en-US" w:eastAsia="zh-CN" w:bidi="ar-SA"/>
                    </w:rPr>
                  </w:pPr>
                  <w:r>
                    <w:rPr>
                      <w:rFonts w:hint="eastAsia" w:eastAsia="宋体"/>
                      <w:color w:val="auto"/>
                      <w:sz w:val="18"/>
                      <w:szCs w:val="18"/>
                      <w:highlight w:val="none"/>
                    </w:rPr>
                    <w:t>118.83704</w:t>
                  </w:r>
                  <w:r>
                    <w:rPr>
                      <w:rFonts w:hint="eastAsia" w:eastAsia="宋体"/>
                      <w:color w:val="auto"/>
                      <w:sz w:val="18"/>
                      <w:szCs w:val="18"/>
                      <w:highlight w:val="none"/>
                      <w:lang w:val="en-US" w:eastAsia="zh-CN"/>
                    </w:rPr>
                    <w:t>4</w:t>
                  </w:r>
                </w:p>
              </w:tc>
              <w:tc>
                <w:tcPr>
                  <w:tcW w:w="564" w:type="pct"/>
                  <w:tcBorders>
                    <w:top w:val="single" w:color="auto" w:sz="4" w:space="0"/>
                    <w:left w:val="single" w:color="auto" w:sz="4" w:space="0"/>
                    <w:bottom w:val="single" w:color="auto" w:sz="4" w:space="0"/>
                    <w:right w:val="single" w:color="auto" w:sz="4" w:space="0"/>
                  </w:tcBorders>
                  <w:shd w:val="clear" w:color="auto" w:fill="auto"/>
                  <w:noWrap w:val="0"/>
                  <w:vAlign w:val="center"/>
                </w:tcPr>
                <w:p w14:paraId="1B8FD3EB">
                  <w:pPr>
                    <w:pStyle w:val="85"/>
                    <w:keepNext w:val="0"/>
                    <w:keepLines w:val="0"/>
                    <w:suppressLineNumbers w:val="0"/>
                    <w:adjustRightInd w:val="0"/>
                    <w:snapToGrid w:val="0"/>
                    <w:spacing w:before="0" w:beforeAutospacing="0" w:after="0" w:afterAutospacing="0"/>
                    <w:ind w:left="0" w:right="0" w:firstLine="0" w:firstLineChars="0"/>
                    <w:jc w:val="center"/>
                    <w:rPr>
                      <w:rFonts w:hint="eastAsia" w:ascii="Times New Roman" w:hAnsi="Times New Roman" w:eastAsia="宋体" w:cs="Times New Roman"/>
                      <w:color w:val="auto"/>
                      <w:kern w:val="2"/>
                      <w:sz w:val="18"/>
                      <w:szCs w:val="18"/>
                      <w:highlight w:val="none"/>
                      <w:lang w:val="en-US" w:eastAsia="zh-CN" w:bidi="ar-SA"/>
                    </w:rPr>
                  </w:pPr>
                  <w:r>
                    <w:rPr>
                      <w:rFonts w:hint="eastAsia" w:eastAsia="宋体"/>
                      <w:color w:val="auto"/>
                      <w:sz w:val="18"/>
                      <w:szCs w:val="18"/>
                      <w:highlight w:val="none"/>
                    </w:rPr>
                    <w:t>28.953187</w:t>
                  </w:r>
                </w:p>
              </w:tc>
              <w:tc>
                <w:tcPr>
                  <w:tcW w:w="474" w:type="pct"/>
                  <w:tcBorders>
                    <w:top w:val="single" w:color="auto" w:sz="4" w:space="0"/>
                    <w:left w:val="single" w:color="auto" w:sz="4" w:space="0"/>
                    <w:bottom w:val="single" w:color="auto" w:sz="4" w:space="0"/>
                    <w:right w:val="single" w:color="auto" w:sz="4" w:space="0"/>
                  </w:tcBorders>
                  <w:noWrap w:val="0"/>
                  <w:vAlign w:val="center"/>
                </w:tcPr>
                <w:p w14:paraId="3CE51D9E">
                  <w:pPr>
                    <w:keepNext w:val="0"/>
                    <w:keepLines w:val="0"/>
                    <w:widowControl/>
                    <w:suppressLineNumbers w:val="0"/>
                    <w:adjustRightInd w:val="0"/>
                    <w:snapToGrid w:val="0"/>
                    <w:spacing w:before="0" w:beforeAutospacing="0" w:after="0" w:afterAutospacing="0" w:line="276" w:lineRule="auto"/>
                    <w:ind w:left="0" w:right="0"/>
                    <w:jc w:val="center"/>
                    <w:rPr>
                      <w:rFonts w:hint="eastAsia" w:ascii="Times New Roman" w:hAnsi="Times New Roman" w:eastAsia="宋体" w:cs="Times New Roman"/>
                      <w:strike w:val="0"/>
                      <w:dstrike w:val="0"/>
                      <w:color w:val="auto"/>
                      <w:kern w:val="2"/>
                      <w:sz w:val="18"/>
                      <w:szCs w:val="18"/>
                      <w:highlight w:val="none"/>
                      <w:lang w:val="en-US" w:eastAsia="zh-CN" w:bidi="ar-SA"/>
                    </w:rPr>
                  </w:pPr>
                  <w:r>
                    <w:rPr>
                      <w:rFonts w:hint="eastAsia" w:ascii="Times New Roman" w:hAnsi="Times New Roman" w:eastAsia="宋体" w:cs="Times New Roman"/>
                      <w:strike w:val="0"/>
                      <w:dstrike w:val="0"/>
                      <w:color w:val="auto"/>
                      <w:sz w:val="18"/>
                      <w:szCs w:val="18"/>
                      <w:highlight w:val="none"/>
                      <w:lang w:val="en-US" w:eastAsia="zh-CN"/>
                    </w:rPr>
                    <w:t>学校</w:t>
                  </w:r>
                </w:p>
              </w:tc>
              <w:tc>
                <w:tcPr>
                  <w:tcW w:w="490" w:type="pct"/>
                  <w:tcBorders>
                    <w:top w:val="single" w:color="auto" w:sz="4" w:space="0"/>
                    <w:left w:val="single" w:color="auto" w:sz="4" w:space="0"/>
                    <w:bottom w:val="single" w:color="auto" w:sz="4" w:space="0"/>
                    <w:right w:val="single" w:color="auto" w:sz="4" w:space="0"/>
                  </w:tcBorders>
                  <w:noWrap w:val="0"/>
                  <w:vAlign w:val="center"/>
                </w:tcPr>
                <w:p w14:paraId="462C5019">
                  <w:pPr>
                    <w:keepNext w:val="0"/>
                    <w:keepLines w:val="0"/>
                    <w:widowControl/>
                    <w:suppressLineNumbers w:val="0"/>
                    <w:adjustRightInd w:val="0"/>
                    <w:snapToGrid w:val="0"/>
                    <w:spacing w:before="0" w:beforeAutospacing="0" w:after="0" w:afterAutospacing="0" w:line="276" w:lineRule="auto"/>
                    <w:ind w:left="0" w:right="0"/>
                    <w:jc w:val="center"/>
                    <w:rPr>
                      <w:rFonts w:hint="eastAsia" w:ascii="Times New Roman" w:hAnsi="Times New Roman" w:eastAsia="宋体" w:cs="Times New Roman"/>
                      <w:strike w:val="0"/>
                      <w:dstrike w:val="0"/>
                      <w:color w:val="auto"/>
                      <w:kern w:val="2"/>
                      <w:sz w:val="18"/>
                      <w:szCs w:val="18"/>
                      <w:highlight w:val="none"/>
                      <w:lang w:val="en-US" w:eastAsia="zh-CN" w:bidi="ar-SA"/>
                    </w:rPr>
                  </w:pPr>
                  <w:r>
                    <w:rPr>
                      <w:rFonts w:hint="eastAsia" w:ascii="Times New Roman" w:hAnsi="Times New Roman" w:eastAsia="宋体" w:cs="Times New Roman"/>
                      <w:strike w:val="0"/>
                      <w:dstrike w:val="0"/>
                      <w:color w:val="auto"/>
                      <w:sz w:val="18"/>
                      <w:szCs w:val="18"/>
                      <w:highlight w:val="none"/>
                      <w:lang w:val="en-US" w:eastAsia="zh-CN"/>
                    </w:rPr>
                    <w:t>师生</w:t>
                  </w:r>
                </w:p>
              </w:tc>
              <w:tc>
                <w:tcPr>
                  <w:tcW w:w="499" w:type="pct"/>
                  <w:tcBorders>
                    <w:top w:val="single" w:color="auto" w:sz="4" w:space="0"/>
                    <w:left w:val="single" w:color="auto" w:sz="4" w:space="0"/>
                    <w:bottom w:val="single" w:color="auto" w:sz="4" w:space="0"/>
                    <w:right w:val="single" w:color="auto" w:sz="4" w:space="0"/>
                  </w:tcBorders>
                  <w:noWrap w:val="0"/>
                  <w:vAlign w:val="center"/>
                </w:tcPr>
                <w:p w14:paraId="1FC3AEBC">
                  <w:pPr>
                    <w:keepNext w:val="0"/>
                    <w:keepLines w:val="0"/>
                    <w:widowControl/>
                    <w:suppressLineNumbers w:val="0"/>
                    <w:adjustRightInd w:val="0"/>
                    <w:snapToGrid w:val="0"/>
                    <w:spacing w:before="0" w:beforeAutospacing="0" w:after="0" w:afterAutospacing="0" w:line="276" w:lineRule="auto"/>
                    <w:ind w:left="0" w:right="0"/>
                    <w:jc w:val="center"/>
                    <w:rPr>
                      <w:rFonts w:hint="eastAsia" w:ascii="Times New Roman" w:hAnsi="Times New Roman" w:eastAsia="宋体" w:cs="Times New Roman"/>
                      <w:strike w:val="0"/>
                      <w:dstrike w:val="0"/>
                      <w:color w:val="auto"/>
                      <w:kern w:val="2"/>
                      <w:sz w:val="18"/>
                      <w:szCs w:val="18"/>
                      <w:highlight w:val="none"/>
                      <w:lang w:val="en-US" w:eastAsia="zh-CN" w:bidi="ar-SA"/>
                    </w:rPr>
                  </w:pPr>
                  <w:r>
                    <w:rPr>
                      <w:rFonts w:hint="eastAsia" w:ascii="Times New Roman" w:hAnsi="Times New Roman" w:eastAsia="宋体" w:cs="Times New Roman"/>
                      <w:strike w:val="0"/>
                      <w:dstrike w:val="0"/>
                      <w:color w:val="auto"/>
                      <w:sz w:val="18"/>
                      <w:szCs w:val="18"/>
                      <w:highlight w:val="none"/>
                      <w:lang w:val="en-US" w:eastAsia="zh-CN"/>
                    </w:rPr>
                    <w:t>二类</w:t>
                  </w:r>
                </w:p>
              </w:tc>
              <w:tc>
                <w:tcPr>
                  <w:tcW w:w="453" w:type="pct"/>
                  <w:tcBorders>
                    <w:top w:val="single" w:color="auto" w:sz="4" w:space="0"/>
                    <w:left w:val="single" w:color="auto" w:sz="4" w:space="0"/>
                    <w:bottom w:val="single" w:color="auto" w:sz="4" w:space="0"/>
                    <w:right w:val="single" w:color="auto" w:sz="4" w:space="0"/>
                  </w:tcBorders>
                  <w:shd w:val="clear" w:color="auto" w:fill="auto"/>
                  <w:noWrap w:val="0"/>
                  <w:vAlign w:val="center"/>
                </w:tcPr>
                <w:p w14:paraId="7968BAC3">
                  <w:pPr>
                    <w:pStyle w:val="85"/>
                    <w:keepNext w:val="0"/>
                    <w:keepLines w:val="0"/>
                    <w:suppressLineNumbers w:val="0"/>
                    <w:adjustRightInd w:val="0"/>
                    <w:snapToGrid w:val="0"/>
                    <w:spacing w:before="0" w:beforeAutospacing="0" w:after="0" w:afterAutospacing="0"/>
                    <w:ind w:left="0" w:right="0" w:firstLine="0" w:firstLineChars="0"/>
                    <w:jc w:val="center"/>
                    <w:rPr>
                      <w:rFonts w:hint="eastAsia" w:ascii="Times New Roman" w:hAnsi="Times New Roman" w:eastAsia="宋体" w:cs="Times New Roman"/>
                      <w:kern w:val="2"/>
                      <w:sz w:val="18"/>
                      <w:szCs w:val="18"/>
                      <w:highlight w:val="none"/>
                      <w:lang w:val="en-US" w:eastAsia="zh-CN" w:bidi="ar-SA"/>
                    </w:rPr>
                  </w:pPr>
                  <w:r>
                    <w:rPr>
                      <w:rFonts w:hint="eastAsia" w:eastAsia="宋体"/>
                      <w:sz w:val="18"/>
                      <w:szCs w:val="18"/>
                      <w:highlight w:val="none"/>
                      <w:lang w:val="en-US" w:eastAsia="zh-CN"/>
                    </w:rPr>
                    <w:t>东</w:t>
                  </w:r>
                </w:p>
              </w:tc>
              <w:tc>
                <w:tcPr>
                  <w:tcW w:w="551" w:type="pct"/>
                  <w:tcBorders>
                    <w:top w:val="single" w:color="auto" w:sz="4" w:space="0"/>
                    <w:left w:val="single" w:color="auto" w:sz="4" w:space="0"/>
                    <w:bottom w:val="single" w:color="auto" w:sz="4" w:space="0"/>
                    <w:right w:val="single" w:color="auto" w:sz="4" w:space="0"/>
                  </w:tcBorders>
                  <w:shd w:val="clear" w:color="auto" w:fill="auto"/>
                  <w:noWrap w:val="0"/>
                  <w:vAlign w:val="center"/>
                </w:tcPr>
                <w:p w14:paraId="6D4E9EE8">
                  <w:pPr>
                    <w:pStyle w:val="85"/>
                    <w:keepNext w:val="0"/>
                    <w:keepLines w:val="0"/>
                    <w:suppressLineNumbers w:val="0"/>
                    <w:adjustRightInd w:val="0"/>
                    <w:snapToGrid w:val="0"/>
                    <w:spacing w:before="0" w:beforeAutospacing="0" w:after="0" w:afterAutospacing="0"/>
                    <w:ind w:left="0" w:right="0" w:firstLine="0" w:firstLineChars="0"/>
                    <w:jc w:val="center"/>
                    <w:rPr>
                      <w:rFonts w:hint="eastAsia" w:ascii="Times New Roman" w:hAnsi="Times New Roman" w:eastAsia="宋体" w:cs="Times New Roman"/>
                      <w:kern w:val="2"/>
                      <w:sz w:val="18"/>
                      <w:szCs w:val="18"/>
                      <w:highlight w:val="none"/>
                      <w:lang w:val="en-US" w:eastAsia="zh-CN" w:bidi="ar-SA"/>
                    </w:rPr>
                  </w:pPr>
                  <w:r>
                    <w:rPr>
                      <w:rFonts w:hint="eastAsia" w:eastAsia="宋体"/>
                      <w:sz w:val="18"/>
                      <w:szCs w:val="18"/>
                      <w:highlight w:val="none"/>
                      <w:lang w:val="en-US" w:eastAsia="zh-CN"/>
                    </w:rPr>
                    <w:t>192</w:t>
                  </w:r>
                </w:p>
              </w:tc>
            </w:tr>
            <w:tr w14:paraId="6653A7D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40" w:hRule="atLeast"/>
                <w:jc w:val="center"/>
              </w:trPr>
              <w:tc>
                <w:tcPr>
                  <w:tcW w:w="366" w:type="pct"/>
                  <w:tcBorders>
                    <w:left w:val="single" w:color="auto" w:sz="4" w:space="0"/>
                    <w:right w:val="single" w:color="auto" w:sz="4" w:space="0"/>
                  </w:tcBorders>
                  <w:noWrap w:val="0"/>
                  <w:vAlign w:val="center"/>
                </w:tcPr>
                <w:p w14:paraId="534932A4">
                  <w:pPr>
                    <w:keepNext w:val="0"/>
                    <w:keepLines w:val="0"/>
                    <w:widowControl/>
                    <w:suppressLineNumbers w:val="0"/>
                    <w:adjustRightInd w:val="0"/>
                    <w:snapToGrid w:val="0"/>
                    <w:spacing w:before="0" w:beforeAutospacing="0" w:after="0" w:afterAutospacing="0" w:line="276" w:lineRule="auto"/>
                    <w:ind w:left="0" w:right="0"/>
                    <w:jc w:val="center"/>
                    <w:rPr>
                      <w:rFonts w:hint="default" w:ascii="Times New Roman" w:hAnsi="Times New Roman" w:eastAsia="宋体" w:cs="Times New Roman"/>
                      <w:strike w:val="0"/>
                      <w:dstrike w:val="0"/>
                      <w:color w:val="auto"/>
                      <w:kern w:val="2"/>
                      <w:sz w:val="18"/>
                      <w:szCs w:val="18"/>
                      <w:highlight w:val="none"/>
                      <w:lang w:val="en-US" w:eastAsia="zh-CN" w:bidi="ar-SA"/>
                    </w:rPr>
                  </w:pPr>
                  <w:r>
                    <w:rPr>
                      <w:rFonts w:hint="eastAsia" w:ascii="Times New Roman" w:hAnsi="Times New Roman" w:eastAsia="宋体" w:cs="Times New Roman"/>
                      <w:strike w:val="0"/>
                      <w:dstrike w:val="0"/>
                      <w:color w:val="auto"/>
                      <w:kern w:val="2"/>
                      <w:sz w:val="18"/>
                      <w:szCs w:val="18"/>
                      <w:highlight w:val="none"/>
                      <w:lang w:val="en-US" w:eastAsia="zh-CN" w:bidi="ar-SA"/>
                    </w:rPr>
                    <w:t>8</w:t>
                  </w:r>
                </w:p>
              </w:tc>
              <w:tc>
                <w:tcPr>
                  <w:tcW w:w="1071" w:type="pct"/>
                  <w:tcBorders>
                    <w:top w:val="single" w:color="auto" w:sz="4" w:space="0"/>
                    <w:left w:val="single" w:color="auto" w:sz="4" w:space="0"/>
                    <w:bottom w:val="single" w:color="auto" w:sz="4" w:space="0"/>
                    <w:right w:val="single" w:color="auto" w:sz="4" w:space="0"/>
                  </w:tcBorders>
                  <w:shd w:val="clear" w:color="auto" w:fill="auto"/>
                  <w:noWrap w:val="0"/>
                  <w:vAlign w:val="center"/>
                </w:tcPr>
                <w:p w14:paraId="4175ADC3">
                  <w:pPr>
                    <w:pStyle w:val="85"/>
                    <w:keepNext w:val="0"/>
                    <w:keepLines w:val="0"/>
                    <w:suppressLineNumbers w:val="0"/>
                    <w:adjustRightInd w:val="0"/>
                    <w:snapToGrid w:val="0"/>
                    <w:spacing w:before="0" w:beforeAutospacing="0" w:after="0" w:afterAutospacing="0"/>
                    <w:ind w:left="0" w:right="0" w:firstLine="0" w:firstLineChars="0"/>
                    <w:jc w:val="center"/>
                    <w:rPr>
                      <w:rFonts w:hint="eastAsia" w:ascii="Times New Roman" w:hAnsi="Times New Roman" w:eastAsia="宋体" w:cs="Times New Roman"/>
                      <w:color w:val="auto"/>
                      <w:kern w:val="2"/>
                      <w:sz w:val="18"/>
                      <w:szCs w:val="18"/>
                      <w:highlight w:val="none"/>
                      <w:lang w:val="en-US" w:eastAsia="zh-CN" w:bidi="ar-SA"/>
                    </w:rPr>
                  </w:pPr>
                  <w:r>
                    <w:rPr>
                      <w:rFonts w:hint="eastAsia" w:eastAsia="宋体"/>
                      <w:color w:val="auto"/>
                      <w:sz w:val="18"/>
                      <w:szCs w:val="18"/>
                      <w:highlight w:val="none"/>
                    </w:rPr>
                    <w:t>瑞文府</w:t>
                  </w:r>
                </w:p>
              </w:tc>
              <w:tc>
                <w:tcPr>
                  <w:tcW w:w="527" w:type="pct"/>
                  <w:tcBorders>
                    <w:top w:val="single" w:color="auto" w:sz="4" w:space="0"/>
                    <w:left w:val="single" w:color="auto" w:sz="4" w:space="0"/>
                    <w:bottom w:val="single" w:color="auto" w:sz="4" w:space="0"/>
                    <w:right w:val="single" w:color="auto" w:sz="4" w:space="0"/>
                  </w:tcBorders>
                  <w:shd w:val="clear" w:color="auto" w:fill="auto"/>
                  <w:noWrap w:val="0"/>
                  <w:vAlign w:val="center"/>
                </w:tcPr>
                <w:p w14:paraId="4C8F5DE0">
                  <w:pPr>
                    <w:pStyle w:val="85"/>
                    <w:keepNext w:val="0"/>
                    <w:keepLines w:val="0"/>
                    <w:suppressLineNumbers w:val="0"/>
                    <w:adjustRightInd w:val="0"/>
                    <w:snapToGrid w:val="0"/>
                    <w:spacing w:before="0" w:beforeAutospacing="0" w:after="0" w:afterAutospacing="0"/>
                    <w:ind w:left="0" w:right="0" w:firstLine="0" w:firstLineChars="0"/>
                    <w:jc w:val="center"/>
                    <w:rPr>
                      <w:rFonts w:hint="default" w:ascii="Times New Roman" w:hAnsi="Times New Roman" w:eastAsia="宋体" w:cs="Times New Roman"/>
                      <w:color w:val="auto"/>
                      <w:kern w:val="2"/>
                      <w:sz w:val="18"/>
                      <w:szCs w:val="18"/>
                      <w:highlight w:val="none"/>
                      <w:lang w:val="en-US" w:eastAsia="zh-CN" w:bidi="ar-SA"/>
                    </w:rPr>
                  </w:pPr>
                  <w:r>
                    <w:rPr>
                      <w:rFonts w:hint="eastAsia" w:eastAsia="宋体"/>
                      <w:color w:val="auto"/>
                      <w:sz w:val="18"/>
                      <w:szCs w:val="18"/>
                      <w:highlight w:val="none"/>
                    </w:rPr>
                    <w:t>118.83738</w:t>
                  </w:r>
                  <w:r>
                    <w:rPr>
                      <w:rFonts w:hint="eastAsia" w:eastAsia="宋体"/>
                      <w:color w:val="auto"/>
                      <w:sz w:val="18"/>
                      <w:szCs w:val="18"/>
                      <w:highlight w:val="none"/>
                      <w:lang w:val="en-US" w:eastAsia="zh-CN"/>
                    </w:rPr>
                    <w:t>2</w:t>
                  </w:r>
                </w:p>
              </w:tc>
              <w:tc>
                <w:tcPr>
                  <w:tcW w:w="564" w:type="pct"/>
                  <w:tcBorders>
                    <w:top w:val="single" w:color="auto" w:sz="4" w:space="0"/>
                    <w:left w:val="single" w:color="auto" w:sz="4" w:space="0"/>
                    <w:bottom w:val="single" w:color="auto" w:sz="4" w:space="0"/>
                    <w:right w:val="single" w:color="auto" w:sz="4" w:space="0"/>
                  </w:tcBorders>
                  <w:shd w:val="clear" w:color="auto" w:fill="auto"/>
                  <w:noWrap w:val="0"/>
                  <w:vAlign w:val="center"/>
                </w:tcPr>
                <w:p w14:paraId="3D36236D">
                  <w:pPr>
                    <w:pStyle w:val="85"/>
                    <w:keepNext w:val="0"/>
                    <w:keepLines w:val="0"/>
                    <w:suppressLineNumbers w:val="0"/>
                    <w:adjustRightInd w:val="0"/>
                    <w:snapToGrid w:val="0"/>
                    <w:spacing w:before="0" w:beforeAutospacing="0" w:after="0" w:afterAutospacing="0"/>
                    <w:ind w:left="0" w:right="0" w:firstLine="0" w:firstLineChars="0"/>
                    <w:jc w:val="center"/>
                    <w:rPr>
                      <w:rFonts w:hint="default" w:ascii="Times New Roman" w:hAnsi="Times New Roman" w:eastAsia="宋体" w:cs="Times New Roman"/>
                      <w:color w:val="auto"/>
                      <w:kern w:val="2"/>
                      <w:sz w:val="18"/>
                      <w:szCs w:val="18"/>
                      <w:highlight w:val="none"/>
                      <w:lang w:val="en-US" w:eastAsia="zh-CN" w:bidi="ar-SA"/>
                    </w:rPr>
                  </w:pPr>
                  <w:r>
                    <w:rPr>
                      <w:rFonts w:hint="eastAsia" w:eastAsia="宋体"/>
                      <w:color w:val="auto"/>
                      <w:sz w:val="18"/>
                      <w:szCs w:val="18"/>
                      <w:highlight w:val="none"/>
                    </w:rPr>
                    <w:t>28.95145</w:t>
                  </w:r>
                  <w:r>
                    <w:rPr>
                      <w:rFonts w:hint="eastAsia" w:eastAsia="宋体"/>
                      <w:color w:val="auto"/>
                      <w:sz w:val="18"/>
                      <w:szCs w:val="18"/>
                      <w:highlight w:val="none"/>
                      <w:lang w:val="en-US" w:eastAsia="zh-CN"/>
                    </w:rPr>
                    <w:t>5</w:t>
                  </w:r>
                </w:p>
              </w:tc>
              <w:tc>
                <w:tcPr>
                  <w:tcW w:w="474" w:type="pct"/>
                  <w:tcBorders>
                    <w:top w:val="single" w:color="auto" w:sz="4" w:space="0"/>
                    <w:left w:val="single" w:color="auto" w:sz="4" w:space="0"/>
                    <w:bottom w:val="single" w:color="auto" w:sz="4" w:space="0"/>
                    <w:right w:val="single" w:color="auto" w:sz="4" w:space="0"/>
                  </w:tcBorders>
                  <w:noWrap w:val="0"/>
                  <w:vAlign w:val="center"/>
                </w:tcPr>
                <w:p w14:paraId="0BAC7A4A">
                  <w:pPr>
                    <w:keepNext w:val="0"/>
                    <w:keepLines w:val="0"/>
                    <w:widowControl/>
                    <w:suppressLineNumbers w:val="0"/>
                    <w:adjustRightInd w:val="0"/>
                    <w:snapToGrid w:val="0"/>
                    <w:spacing w:before="0" w:beforeAutospacing="0" w:after="0" w:afterAutospacing="0" w:line="276" w:lineRule="auto"/>
                    <w:ind w:left="0" w:right="0"/>
                    <w:jc w:val="center"/>
                    <w:rPr>
                      <w:rFonts w:hint="eastAsia" w:ascii="Times New Roman" w:hAnsi="Times New Roman" w:eastAsia="宋体" w:cs="Times New Roman"/>
                      <w:strike w:val="0"/>
                      <w:dstrike w:val="0"/>
                      <w:color w:val="auto"/>
                      <w:kern w:val="2"/>
                      <w:sz w:val="18"/>
                      <w:szCs w:val="18"/>
                      <w:highlight w:val="none"/>
                      <w:lang w:val="en-US" w:eastAsia="zh-CN" w:bidi="ar-SA"/>
                    </w:rPr>
                  </w:pPr>
                  <w:r>
                    <w:rPr>
                      <w:rFonts w:hint="eastAsia" w:ascii="Times New Roman" w:hAnsi="Times New Roman" w:eastAsia="宋体" w:cs="Times New Roman"/>
                      <w:strike w:val="0"/>
                      <w:dstrike w:val="0"/>
                      <w:color w:val="auto"/>
                      <w:sz w:val="18"/>
                      <w:szCs w:val="18"/>
                      <w:highlight w:val="none"/>
                      <w:lang w:val="en-US" w:eastAsia="zh-CN"/>
                    </w:rPr>
                    <w:t>居住区</w:t>
                  </w:r>
                </w:p>
              </w:tc>
              <w:tc>
                <w:tcPr>
                  <w:tcW w:w="490" w:type="pct"/>
                  <w:tcBorders>
                    <w:top w:val="single" w:color="auto" w:sz="4" w:space="0"/>
                    <w:left w:val="single" w:color="auto" w:sz="4" w:space="0"/>
                    <w:bottom w:val="single" w:color="auto" w:sz="4" w:space="0"/>
                    <w:right w:val="single" w:color="auto" w:sz="4" w:space="0"/>
                  </w:tcBorders>
                  <w:noWrap w:val="0"/>
                  <w:vAlign w:val="center"/>
                </w:tcPr>
                <w:p w14:paraId="1B715E1B">
                  <w:pPr>
                    <w:keepNext w:val="0"/>
                    <w:keepLines w:val="0"/>
                    <w:widowControl/>
                    <w:suppressLineNumbers w:val="0"/>
                    <w:adjustRightInd w:val="0"/>
                    <w:snapToGrid w:val="0"/>
                    <w:spacing w:before="0" w:beforeAutospacing="0" w:after="0" w:afterAutospacing="0" w:line="276" w:lineRule="auto"/>
                    <w:ind w:left="0" w:right="0"/>
                    <w:jc w:val="center"/>
                    <w:rPr>
                      <w:rFonts w:hint="eastAsia" w:ascii="Times New Roman" w:hAnsi="Times New Roman" w:eastAsia="宋体" w:cs="Times New Roman"/>
                      <w:strike w:val="0"/>
                      <w:dstrike w:val="0"/>
                      <w:color w:val="auto"/>
                      <w:kern w:val="2"/>
                      <w:sz w:val="18"/>
                      <w:szCs w:val="18"/>
                      <w:highlight w:val="none"/>
                      <w:lang w:val="en-US" w:eastAsia="zh-CN" w:bidi="ar-SA"/>
                    </w:rPr>
                  </w:pPr>
                  <w:r>
                    <w:rPr>
                      <w:rFonts w:hint="eastAsia" w:ascii="Times New Roman" w:hAnsi="Times New Roman" w:eastAsia="宋体" w:cs="Times New Roman"/>
                      <w:strike w:val="0"/>
                      <w:dstrike w:val="0"/>
                      <w:color w:val="auto"/>
                      <w:sz w:val="18"/>
                      <w:szCs w:val="18"/>
                      <w:highlight w:val="none"/>
                      <w:lang w:val="en-US" w:eastAsia="zh-CN"/>
                    </w:rPr>
                    <w:t>居民</w:t>
                  </w:r>
                </w:p>
              </w:tc>
              <w:tc>
                <w:tcPr>
                  <w:tcW w:w="499" w:type="pct"/>
                  <w:tcBorders>
                    <w:top w:val="single" w:color="auto" w:sz="4" w:space="0"/>
                    <w:left w:val="single" w:color="auto" w:sz="4" w:space="0"/>
                    <w:bottom w:val="single" w:color="auto" w:sz="4" w:space="0"/>
                    <w:right w:val="single" w:color="auto" w:sz="4" w:space="0"/>
                  </w:tcBorders>
                  <w:noWrap w:val="0"/>
                  <w:vAlign w:val="center"/>
                </w:tcPr>
                <w:p w14:paraId="6C5C29C2">
                  <w:pPr>
                    <w:keepNext w:val="0"/>
                    <w:keepLines w:val="0"/>
                    <w:widowControl/>
                    <w:suppressLineNumbers w:val="0"/>
                    <w:adjustRightInd w:val="0"/>
                    <w:snapToGrid w:val="0"/>
                    <w:spacing w:before="0" w:beforeAutospacing="0" w:after="0" w:afterAutospacing="0" w:line="276" w:lineRule="auto"/>
                    <w:ind w:left="0" w:right="0"/>
                    <w:jc w:val="center"/>
                    <w:rPr>
                      <w:rFonts w:hint="eastAsia" w:ascii="Times New Roman" w:hAnsi="Times New Roman" w:eastAsia="宋体" w:cs="Times New Roman"/>
                      <w:strike w:val="0"/>
                      <w:dstrike w:val="0"/>
                      <w:color w:val="auto"/>
                      <w:kern w:val="2"/>
                      <w:sz w:val="18"/>
                      <w:szCs w:val="18"/>
                      <w:highlight w:val="none"/>
                      <w:lang w:val="en-US" w:eastAsia="zh-CN" w:bidi="ar-SA"/>
                    </w:rPr>
                  </w:pPr>
                  <w:r>
                    <w:rPr>
                      <w:rFonts w:hint="eastAsia" w:ascii="Times New Roman" w:hAnsi="Times New Roman" w:eastAsia="宋体" w:cs="Times New Roman"/>
                      <w:strike w:val="0"/>
                      <w:dstrike w:val="0"/>
                      <w:color w:val="auto"/>
                      <w:sz w:val="18"/>
                      <w:szCs w:val="18"/>
                      <w:highlight w:val="none"/>
                      <w:lang w:val="en-US" w:eastAsia="zh-CN"/>
                    </w:rPr>
                    <w:t>二类</w:t>
                  </w:r>
                </w:p>
              </w:tc>
              <w:tc>
                <w:tcPr>
                  <w:tcW w:w="453" w:type="pct"/>
                  <w:tcBorders>
                    <w:top w:val="single" w:color="auto" w:sz="4" w:space="0"/>
                    <w:left w:val="single" w:color="auto" w:sz="4" w:space="0"/>
                    <w:bottom w:val="single" w:color="auto" w:sz="4" w:space="0"/>
                    <w:right w:val="single" w:color="auto" w:sz="4" w:space="0"/>
                  </w:tcBorders>
                  <w:shd w:val="clear" w:color="auto" w:fill="auto"/>
                  <w:noWrap w:val="0"/>
                  <w:vAlign w:val="center"/>
                </w:tcPr>
                <w:p w14:paraId="2D89FB8A">
                  <w:pPr>
                    <w:pStyle w:val="85"/>
                    <w:keepNext w:val="0"/>
                    <w:keepLines w:val="0"/>
                    <w:suppressLineNumbers w:val="0"/>
                    <w:adjustRightInd w:val="0"/>
                    <w:snapToGrid w:val="0"/>
                    <w:spacing w:before="0" w:beforeAutospacing="0" w:after="0" w:afterAutospacing="0"/>
                    <w:ind w:left="0" w:right="0" w:firstLine="0" w:firstLineChars="0"/>
                    <w:jc w:val="center"/>
                    <w:rPr>
                      <w:rFonts w:hint="eastAsia" w:ascii="Times New Roman" w:hAnsi="Times New Roman" w:eastAsia="宋体" w:cs="Times New Roman"/>
                      <w:kern w:val="2"/>
                      <w:sz w:val="18"/>
                      <w:szCs w:val="18"/>
                      <w:highlight w:val="none"/>
                      <w:lang w:val="en-US" w:eastAsia="zh-CN" w:bidi="ar-SA"/>
                    </w:rPr>
                  </w:pPr>
                  <w:r>
                    <w:rPr>
                      <w:rFonts w:hint="eastAsia" w:eastAsia="宋体"/>
                      <w:sz w:val="18"/>
                      <w:szCs w:val="18"/>
                      <w:highlight w:val="none"/>
                      <w:lang w:val="en-US" w:eastAsia="zh-CN"/>
                    </w:rPr>
                    <w:t>东</w:t>
                  </w:r>
                </w:p>
              </w:tc>
              <w:tc>
                <w:tcPr>
                  <w:tcW w:w="551" w:type="pct"/>
                  <w:tcBorders>
                    <w:top w:val="single" w:color="auto" w:sz="4" w:space="0"/>
                    <w:left w:val="single" w:color="auto" w:sz="4" w:space="0"/>
                    <w:bottom w:val="single" w:color="auto" w:sz="4" w:space="0"/>
                    <w:right w:val="single" w:color="auto" w:sz="4" w:space="0"/>
                  </w:tcBorders>
                  <w:shd w:val="clear" w:color="auto" w:fill="auto"/>
                  <w:noWrap w:val="0"/>
                  <w:vAlign w:val="center"/>
                </w:tcPr>
                <w:p w14:paraId="4B33ED1D">
                  <w:pPr>
                    <w:pStyle w:val="85"/>
                    <w:keepNext w:val="0"/>
                    <w:keepLines w:val="0"/>
                    <w:suppressLineNumbers w:val="0"/>
                    <w:adjustRightInd w:val="0"/>
                    <w:snapToGrid w:val="0"/>
                    <w:spacing w:before="0" w:beforeAutospacing="0" w:after="0" w:afterAutospacing="0"/>
                    <w:ind w:left="0" w:right="0" w:firstLine="0" w:firstLineChars="0"/>
                    <w:jc w:val="center"/>
                    <w:rPr>
                      <w:rFonts w:hint="eastAsia" w:ascii="Times New Roman" w:hAnsi="Times New Roman" w:eastAsia="宋体" w:cs="Times New Roman"/>
                      <w:kern w:val="2"/>
                      <w:sz w:val="18"/>
                      <w:szCs w:val="18"/>
                      <w:highlight w:val="none"/>
                      <w:lang w:val="en-US" w:eastAsia="zh-CN" w:bidi="ar-SA"/>
                    </w:rPr>
                  </w:pPr>
                  <w:r>
                    <w:rPr>
                      <w:rFonts w:hint="eastAsia" w:eastAsia="宋体"/>
                      <w:sz w:val="18"/>
                      <w:szCs w:val="18"/>
                      <w:highlight w:val="none"/>
                      <w:lang w:val="en-US" w:eastAsia="zh-CN"/>
                    </w:rPr>
                    <w:t>210</w:t>
                  </w:r>
                </w:p>
              </w:tc>
            </w:tr>
            <w:tr w14:paraId="365AEDA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40" w:hRule="atLeast"/>
                <w:jc w:val="center"/>
              </w:trPr>
              <w:tc>
                <w:tcPr>
                  <w:tcW w:w="366" w:type="pct"/>
                  <w:tcBorders>
                    <w:left w:val="single" w:color="auto" w:sz="4" w:space="0"/>
                    <w:right w:val="single" w:color="auto" w:sz="4" w:space="0"/>
                  </w:tcBorders>
                  <w:noWrap w:val="0"/>
                  <w:vAlign w:val="center"/>
                </w:tcPr>
                <w:p w14:paraId="434F4764">
                  <w:pPr>
                    <w:keepNext w:val="0"/>
                    <w:keepLines w:val="0"/>
                    <w:widowControl/>
                    <w:suppressLineNumbers w:val="0"/>
                    <w:adjustRightInd w:val="0"/>
                    <w:snapToGrid w:val="0"/>
                    <w:spacing w:before="0" w:beforeAutospacing="0" w:after="0" w:afterAutospacing="0" w:line="276" w:lineRule="auto"/>
                    <w:ind w:left="0" w:right="0"/>
                    <w:jc w:val="center"/>
                    <w:rPr>
                      <w:rFonts w:hint="default" w:ascii="Times New Roman" w:hAnsi="Times New Roman" w:eastAsia="宋体" w:cs="Times New Roman"/>
                      <w:strike w:val="0"/>
                      <w:dstrike w:val="0"/>
                      <w:color w:val="auto"/>
                      <w:kern w:val="2"/>
                      <w:sz w:val="18"/>
                      <w:szCs w:val="18"/>
                      <w:highlight w:val="none"/>
                      <w:lang w:val="en-US" w:eastAsia="zh-CN" w:bidi="ar-SA"/>
                    </w:rPr>
                  </w:pPr>
                  <w:r>
                    <w:rPr>
                      <w:rFonts w:hint="eastAsia" w:ascii="Times New Roman" w:hAnsi="Times New Roman" w:eastAsia="宋体" w:cs="Times New Roman"/>
                      <w:strike w:val="0"/>
                      <w:dstrike w:val="0"/>
                      <w:color w:val="auto"/>
                      <w:kern w:val="2"/>
                      <w:sz w:val="18"/>
                      <w:szCs w:val="18"/>
                      <w:highlight w:val="none"/>
                      <w:lang w:val="en-US" w:eastAsia="zh-CN" w:bidi="ar-SA"/>
                    </w:rPr>
                    <w:t>9</w:t>
                  </w:r>
                </w:p>
              </w:tc>
              <w:tc>
                <w:tcPr>
                  <w:tcW w:w="1071" w:type="pct"/>
                  <w:tcBorders>
                    <w:top w:val="single" w:color="auto" w:sz="4" w:space="0"/>
                    <w:left w:val="single" w:color="auto" w:sz="4" w:space="0"/>
                    <w:bottom w:val="single" w:color="auto" w:sz="4" w:space="0"/>
                    <w:right w:val="single" w:color="auto" w:sz="4" w:space="0"/>
                  </w:tcBorders>
                  <w:shd w:val="clear" w:color="auto" w:fill="auto"/>
                  <w:noWrap w:val="0"/>
                  <w:vAlign w:val="center"/>
                </w:tcPr>
                <w:p w14:paraId="0500DACA">
                  <w:pPr>
                    <w:pStyle w:val="85"/>
                    <w:keepNext w:val="0"/>
                    <w:keepLines w:val="0"/>
                    <w:suppressLineNumbers w:val="0"/>
                    <w:adjustRightInd w:val="0"/>
                    <w:snapToGrid w:val="0"/>
                    <w:spacing w:before="0" w:beforeAutospacing="0" w:after="0" w:afterAutospacing="0"/>
                    <w:ind w:left="0" w:right="0" w:firstLine="0" w:firstLineChars="0"/>
                    <w:jc w:val="center"/>
                    <w:rPr>
                      <w:rFonts w:hint="eastAsia" w:ascii="Times New Roman" w:hAnsi="Times New Roman" w:eastAsia="宋体" w:cs="Times New Roman"/>
                      <w:color w:val="auto"/>
                      <w:kern w:val="2"/>
                      <w:sz w:val="18"/>
                      <w:szCs w:val="18"/>
                      <w:highlight w:val="none"/>
                      <w:lang w:val="en-US" w:eastAsia="zh-CN" w:bidi="ar-SA"/>
                    </w:rPr>
                  </w:pPr>
                  <w:r>
                    <w:rPr>
                      <w:rFonts w:hint="eastAsia" w:eastAsia="宋体"/>
                      <w:color w:val="auto"/>
                      <w:sz w:val="18"/>
                      <w:szCs w:val="18"/>
                      <w:highlight w:val="none"/>
                    </w:rPr>
                    <w:t>衢州市公共卫生服务中心</w:t>
                  </w:r>
                </w:p>
              </w:tc>
              <w:tc>
                <w:tcPr>
                  <w:tcW w:w="527" w:type="pct"/>
                  <w:tcBorders>
                    <w:top w:val="single" w:color="auto" w:sz="4" w:space="0"/>
                    <w:left w:val="single" w:color="auto" w:sz="4" w:space="0"/>
                    <w:bottom w:val="single" w:color="auto" w:sz="4" w:space="0"/>
                    <w:right w:val="single" w:color="auto" w:sz="4" w:space="0"/>
                  </w:tcBorders>
                  <w:shd w:val="clear" w:color="auto" w:fill="auto"/>
                  <w:noWrap w:val="0"/>
                  <w:vAlign w:val="center"/>
                </w:tcPr>
                <w:p w14:paraId="307F188C">
                  <w:pPr>
                    <w:pStyle w:val="85"/>
                    <w:keepNext w:val="0"/>
                    <w:keepLines w:val="0"/>
                    <w:suppressLineNumbers w:val="0"/>
                    <w:adjustRightInd w:val="0"/>
                    <w:snapToGrid w:val="0"/>
                    <w:spacing w:before="0" w:beforeAutospacing="0" w:after="0" w:afterAutospacing="0"/>
                    <w:ind w:left="0" w:right="0" w:firstLine="0" w:firstLineChars="0"/>
                    <w:jc w:val="center"/>
                    <w:rPr>
                      <w:rFonts w:hint="default" w:ascii="Times New Roman" w:hAnsi="Times New Roman" w:eastAsia="宋体" w:cs="Times New Roman"/>
                      <w:color w:val="auto"/>
                      <w:kern w:val="0"/>
                      <w:sz w:val="18"/>
                      <w:szCs w:val="18"/>
                      <w:highlight w:val="none"/>
                      <w:lang w:val="en-US" w:eastAsia="zh-CN" w:bidi="ar-SA"/>
                    </w:rPr>
                  </w:pPr>
                  <w:r>
                    <w:rPr>
                      <w:rFonts w:hint="eastAsia" w:eastAsia="宋体" w:cs="Times New Roman"/>
                      <w:color w:val="auto"/>
                      <w:kern w:val="0"/>
                      <w:sz w:val="18"/>
                      <w:szCs w:val="18"/>
                      <w:highlight w:val="none"/>
                      <w:lang w:val="en-US" w:eastAsia="zh-CN"/>
                    </w:rPr>
                    <w:t>118.826694</w:t>
                  </w:r>
                </w:p>
              </w:tc>
              <w:tc>
                <w:tcPr>
                  <w:tcW w:w="564" w:type="pct"/>
                  <w:tcBorders>
                    <w:top w:val="single" w:color="auto" w:sz="4" w:space="0"/>
                    <w:left w:val="single" w:color="auto" w:sz="4" w:space="0"/>
                    <w:bottom w:val="single" w:color="auto" w:sz="4" w:space="0"/>
                    <w:right w:val="single" w:color="auto" w:sz="4" w:space="0"/>
                  </w:tcBorders>
                  <w:shd w:val="clear" w:color="auto" w:fill="auto"/>
                  <w:noWrap w:val="0"/>
                  <w:vAlign w:val="center"/>
                </w:tcPr>
                <w:p w14:paraId="43133B63">
                  <w:pPr>
                    <w:pStyle w:val="85"/>
                    <w:keepNext w:val="0"/>
                    <w:keepLines w:val="0"/>
                    <w:suppressLineNumbers w:val="0"/>
                    <w:adjustRightInd w:val="0"/>
                    <w:snapToGrid w:val="0"/>
                    <w:spacing w:before="0" w:beforeAutospacing="0" w:after="0" w:afterAutospacing="0"/>
                    <w:ind w:left="0" w:right="0" w:firstLine="0" w:firstLineChars="0"/>
                    <w:jc w:val="center"/>
                    <w:rPr>
                      <w:rFonts w:hint="default" w:ascii="Times New Roman" w:hAnsi="Times New Roman" w:eastAsia="宋体" w:cs="Times New Roman"/>
                      <w:color w:val="auto"/>
                      <w:kern w:val="0"/>
                      <w:sz w:val="18"/>
                      <w:szCs w:val="18"/>
                      <w:highlight w:val="none"/>
                      <w:lang w:val="en-US" w:eastAsia="zh-CN" w:bidi="ar-SA"/>
                    </w:rPr>
                  </w:pPr>
                  <w:r>
                    <w:rPr>
                      <w:rFonts w:hint="eastAsia" w:eastAsia="宋体" w:cs="Times New Roman"/>
                      <w:color w:val="auto"/>
                      <w:kern w:val="0"/>
                      <w:sz w:val="18"/>
                      <w:szCs w:val="18"/>
                      <w:highlight w:val="none"/>
                      <w:lang w:val="en-US" w:eastAsia="zh-CN"/>
                    </w:rPr>
                    <w:t>28.953297</w:t>
                  </w:r>
                </w:p>
              </w:tc>
              <w:tc>
                <w:tcPr>
                  <w:tcW w:w="474" w:type="pct"/>
                  <w:tcBorders>
                    <w:top w:val="single" w:color="auto" w:sz="4" w:space="0"/>
                    <w:left w:val="single" w:color="auto" w:sz="4" w:space="0"/>
                    <w:bottom w:val="single" w:color="auto" w:sz="4" w:space="0"/>
                    <w:right w:val="single" w:color="auto" w:sz="4" w:space="0"/>
                  </w:tcBorders>
                  <w:noWrap w:val="0"/>
                  <w:vAlign w:val="center"/>
                </w:tcPr>
                <w:p w14:paraId="3E45D8B5">
                  <w:pPr>
                    <w:keepNext w:val="0"/>
                    <w:keepLines w:val="0"/>
                    <w:widowControl/>
                    <w:suppressLineNumbers w:val="0"/>
                    <w:adjustRightInd w:val="0"/>
                    <w:snapToGrid w:val="0"/>
                    <w:spacing w:before="0" w:beforeAutospacing="0" w:after="0" w:afterAutospacing="0" w:line="276" w:lineRule="auto"/>
                    <w:ind w:left="0" w:right="0"/>
                    <w:jc w:val="center"/>
                    <w:rPr>
                      <w:rFonts w:hint="eastAsia" w:ascii="Times New Roman" w:hAnsi="Times New Roman" w:eastAsia="宋体" w:cs="Times New Roman"/>
                      <w:strike w:val="0"/>
                      <w:dstrike w:val="0"/>
                      <w:color w:val="auto"/>
                      <w:kern w:val="2"/>
                      <w:sz w:val="18"/>
                      <w:szCs w:val="18"/>
                      <w:highlight w:val="none"/>
                      <w:lang w:val="en-US" w:eastAsia="zh-CN" w:bidi="ar-SA"/>
                    </w:rPr>
                  </w:pPr>
                  <w:r>
                    <w:rPr>
                      <w:rFonts w:hint="eastAsia" w:ascii="Times New Roman" w:hAnsi="Times New Roman" w:eastAsia="宋体" w:cs="Times New Roman"/>
                      <w:strike w:val="0"/>
                      <w:dstrike w:val="0"/>
                      <w:color w:val="auto"/>
                      <w:sz w:val="18"/>
                      <w:szCs w:val="18"/>
                      <w:highlight w:val="none"/>
                      <w:lang w:val="en-US" w:eastAsia="zh-CN"/>
                    </w:rPr>
                    <w:t>医院</w:t>
                  </w:r>
                </w:p>
              </w:tc>
              <w:tc>
                <w:tcPr>
                  <w:tcW w:w="490" w:type="pct"/>
                  <w:tcBorders>
                    <w:top w:val="single" w:color="auto" w:sz="4" w:space="0"/>
                    <w:left w:val="single" w:color="auto" w:sz="4" w:space="0"/>
                    <w:bottom w:val="single" w:color="auto" w:sz="4" w:space="0"/>
                    <w:right w:val="single" w:color="auto" w:sz="4" w:space="0"/>
                  </w:tcBorders>
                  <w:noWrap w:val="0"/>
                  <w:vAlign w:val="center"/>
                </w:tcPr>
                <w:p w14:paraId="5E10BDA7">
                  <w:pPr>
                    <w:keepNext w:val="0"/>
                    <w:keepLines w:val="0"/>
                    <w:widowControl/>
                    <w:suppressLineNumbers w:val="0"/>
                    <w:adjustRightInd w:val="0"/>
                    <w:snapToGrid w:val="0"/>
                    <w:spacing w:before="0" w:beforeAutospacing="0" w:after="0" w:afterAutospacing="0" w:line="276" w:lineRule="auto"/>
                    <w:ind w:left="0" w:right="0"/>
                    <w:jc w:val="center"/>
                    <w:rPr>
                      <w:rFonts w:hint="eastAsia" w:ascii="Times New Roman" w:hAnsi="Times New Roman" w:eastAsia="宋体" w:cs="Times New Roman"/>
                      <w:strike w:val="0"/>
                      <w:dstrike w:val="0"/>
                      <w:color w:val="auto"/>
                      <w:kern w:val="2"/>
                      <w:sz w:val="18"/>
                      <w:szCs w:val="18"/>
                      <w:highlight w:val="none"/>
                      <w:lang w:val="en-US" w:eastAsia="zh-CN" w:bidi="ar-SA"/>
                    </w:rPr>
                  </w:pPr>
                  <w:r>
                    <w:rPr>
                      <w:rFonts w:hint="eastAsia" w:ascii="Times New Roman" w:hAnsi="Times New Roman" w:eastAsia="宋体" w:cs="Times New Roman"/>
                      <w:strike w:val="0"/>
                      <w:dstrike w:val="0"/>
                      <w:color w:val="auto"/>
                      <w:sz w:val="18"/>
                      <w:szCs w:val="18"/>
                      <w:highlight w:val="none"/>
                      <w:lang w:val="en-US" w:eastAsia="zh-CN"/>
                    </w:rPr>
                    <w:t>医护、病人</w:t>
                  </w:r>
                </w:p>
              </w:tc>
              <w:tc>
                <w:tcPr>
                  <w:tcW w:w="499" w:type="pct"/>
                  <w:tcBorders>
                    <w:top w:val="single" w:color="auto" w:sz="4" w:space="0"/>
                    <w:left w:val="single" w:color="auto" w:sz="4" w:space="0"/>
                    <w:bottom w:val="single" w:color="auto" w:sz="4" w:space="0"/>
                    <w:right w:val="single" w:color="auto" w:sz="4" w:space="0"/>
                  </w:tcBorders>
                  <w:noWrap w:val="0"/>
                  <w:vAlign w:val="center"/>
                </w:tcPr>
                <w:p w14:paraId="75BCA04A">
                  <w:pPr>
                    <w:keepNext w:val="0"/>
                    <w:keepLines w:val="0"/>
                    <w:widowControl/>
                    <w:suppressLineNumbers w:val="0"/>
                    <w:adjustRightInd w:val="0"/>
                    <w:snapToGrid w:val="0"/>
                    <w:spacing w:before="0" w:beforeAutospacing="0" w:after="0" w:afterAutospacing="0" w:line="276" w:lineRule="auto"/>
                    <w:ind w:left="0" w:right="0"/>
                    <w:jc w:val="center"/>
                    <w:rPr>
                      <w:rFonts w:hint="eastAsia" w:ascii="Times New Roman" w:hAnsi="Times New Roman" w:eastAsia="宋体" w:cs="Times New Roman"/>
                      <w:strike w:val="0"/>
                      <w:dstrike w:val="0"/>
                      <w:color w:val="auto"/>
                      <w:kern w:val="2"/>
                      <w:sz w:val="18"/>
                      <w:szCs w:val="18"/>
                      <w:highlight w:val="none"/>
                      <w:lang w:val="en-US" w:eastAsia="zh-CN" w:bidi="ar-SA"/>
                    </w:rPr>
                  </w:pPr>
                  <w:r>
                    <w:rPr>
                      <w:rFonts w:hint="eastAsia" w:ascii="Times New Roman" w:hAnsi="Times New Roman" w:eastAsia="宋体" w:cs="Times New Roman"/>
                      <w:strike w:val="0"/>
                      <w:dstrike w:val="0"/>
                      <w:color w:val="auto"/>
                      <w:sz w:val="18"/>
                      <w:szCs w:val="18"/>
                      <w:highlight w:val="none"/>
                      <w:lang w:val="en-US" w:eastAsia="zh-CN"/>
                    </w:rPr>
                    <w:t>二类</w:t>
                  </w:r>
                </w:p>
              </w:tc>
              <w:tc>
                <w:tcPr>
                  <w:tcW w:w="453" w:type="pct"/>
                  <w:tcBorders>
                    <w:top w:val="single" w:color="auto" w:sz="4" w:space="0"/>
                    <w:left w:val="single" w:color="auto" w:sz="4" w:space="0"/>
                    <w:bottom w:val="single" w:color="auto" w:sz="4" w:space="0"/>
                    <w:right w:val="single" w:color="auto" w:sz="4" w:space="0"/>
                  </w:tcBorders>
                  <w:shd w:val="clear" w:color="auto" w:fill="auto"/>
                  <w:noWrap w:val="0"/>
                  <w:vAlign w:val="center"/>
                </w:tcPr>
                <w:p w14:paraId="748A158C">
                  <w:pPr>
                    <w:pStyle w:val="85"/>
                    <w:keepNext w:val="0"/>
                    <w:keepLines w:val="0"/>
                    <w:suppressLineNumbers w:val="0"/>
                    <w:adjustRightInd w:val="0"/>
                    <w:snapToGrid w:val="0"/>
                    <w:spacing w:before="0" w:beforeAutospacing="0" w:after="0" w:afterAutospacing="0"/>
                    <w:ind w:left="0" w:right="0" w:firstLine="0" w:firstLineChars="0"/>
                    <w:jc w:val="center"/>
                    <w:rPr>
                      <w:rFonts w:hint="eastAsia" w:ascii="Times New Roman" w:hAnsi="Times New Roman" w:eastAsia="宋体" w:cs="Times New Roman"/>
                      <w:kern w:val="2"/>
                      <w:sz w:val="18"/>
                      <w:szCs w:val="18"/>
                      <w:highlight w:val="none"/>
                      <w:lang w:val="en-US" w:eastAsia="zh-CN" w:bidi="ar-SA"/>
                    </w:rPr>
                  </w:pPr>
                  <w:r>
                    <w:rPr>
                      <w:rFonts w:hint="eastAsia" w:eastAsia="宋体"/>
                      <w:sz w:val="18"/>
                      <w:szCs w:val="18"/>
                      <w:highlight w:val="none"/>
                      <w:lang w:val="en-US" w:eastAsia="zh-CN"/>
                    </w:rPr>
                    <w:t>西北</w:t>
                  </w:r>
                </w:p>
              </w:tc>
              <w:tc>
                <w:tcPr>
                  <w:tcW w:w="551" w:type="pct"/>
                  <w:tcBorders>
                    <w:top w:val="single" w:color="auto" w:sz="4" w:space="0"/>
                    <w:left w:val="single" w:color="auto" w:sz="4" w:space="0"/>
                    <w:bottom w:val="single" w:color="auto" w:sz="4" w:space="0"/>
                    <w:right w:val="single" w:color="auto" w:sz="4" w:space="0"/>
                  </w:tcBorders>
                  <w:shd w:val="clear" w:color="auto" w:fill="auto"/>
                  <w:noWrap w:val="0"/>
                  <w:vAlign w:val="center"/>
                </w:tcPr>
                <w:p w14:paraId="19A67D0D">
                  <w:pPr>
                    <w:pStyle w:val="85"/>
                    <w:keepNext w:val="0"/>
                    <w:keepLines w:val="0"/>
                    <w:suppressLineNumbers w:val="0"/>
                    <w:adjustRightInd w:val="0"/>
                    <w:snapToGrid w:val="0"/>
                    <w:spacing w:before="0" w:beforeAutospacing="0" w:after="0" w:afterAutospacing="0"/>
                    <w:ind w:left="0" w:right="0" w:firstLine="0" w:firstLineChars="0"/>
                    <w:jc w:val="center"/>
                    <w:rPr>
                      <w:rFonts w:hint="eastAsia" w:ascii="Times New Roman" w:hAnsi="Times New Roman" w:eastAsia="宋体" w:cs="Times New Roman"/>
                      <w:kern w:val="2"/>
                      <w:sz w:val="18"/>
                      <w:szCs w:val="18"/>
                      <w:highlight w:val="none"/>
                      <w:lang w:val="en-US" w:eastAsia="zh-CN" w:bidi="ar-SA"/>
                    </w:rPr>
                  </w:pPr>
                  <w:r>
                    <w:rPr>
                      <w:rFonts w:hint="eastAsia" w:eastAsia="宋体"/>
                      <w:sz w:val="18"/>
                      <w:szCs w:val="18"/>
                      <w:highlight w:val="none"/>
                      <w:lang w:val="en-US" w:eastAsia="zh-CN"/>
                    </w:rPr>
                    <w:t>291</w:t>
                  </w:r>
                </w:p>
              </w:tc>
            </w:tr>
            <w:tr w14:paraId="5790522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40" w:hRule="atLeast"/>
                <w:jc w:val="center"/>
              </w:trPr>
              <w:tc>
                <w:tcPr>
                  <w:tcW w:w="366" w:type="pct"/>
                  <w:tcBorders>
                    <w:left w:val="single" w:color="auto" w:sz="4" w:space="0"/>
                    <w:right w:val="single" w:color="auto" w:sz="4" w:space="0"/>
                  </w:tcBorders>
                  <w:noWrap w:val="0"/>
                  <w:vAlign w:val="center"/>
                </w:tcPr>
                <w:p w14:paraId="10A0AF89">
                  <w:pPr>
                    <w:keepNext w:val="0"/>
                    <w:keepLines w:val="0"/>
                    <w:widowControl/>
                    <w:suppressLineNumbers w:val="0"/>
                    <w:adjustRightInd w:val="0"/>
                    <w:snapToGrid w:val="0"/>
                    <w:spacing w:before="0" w:beforeAutospacing="0" w:after="0" w:afterAutospacing="0" w:line="276" w:lineRule="auto"/>
                    <w:ind w:left="0" w:right="0"/>
                    <w:jc w:val="center"/>
                    <w:rPr>
                      <w:rFonts w:hint="default" w:ascii="Times New Roman" w:hAnsi="Times New Roman" w:eastAsia="宋体" w:cs="Times New Roman"/>
                      <w:strike w:val="0"/>
                      <w:dstrike w:val="0"/>
                      <w:color w:val="auto"/>
                      <w:kern w:val="2"/>
                      <w:sz w:val="18"/>
                      <w:szCs w:val="18"/>
                      <w:highlight w:val="none"/>
                      <w:lang w:val="en-US" w:eastAsia="zh-CN" w:bidi="ar-SA"/>
                    </w:rPr>
                  </w:pPr>
                  <w:r>
                    <w:rPr>
                      <w:rFonts w:hint="eastAsia" w:ascii="Times New Roman" w:hAnsi="Times New Roman" w:eastAsia="宋体" w:cs="Times New Roman"/>
                      <w:strike w:val="0"/>
                      <w:dstrike w:val="0"/>
                      <w:color w:val="auto"/>
                      <w:kern w:val="2"/>
                      <w:sz w:val="18"/>
                      <w:szCs w:val="18"/>
                      <w:highlight w:val="none"/>
                      <w:lang w:val="en-US" w:eastAsia="zh-CN" w:bidi="ar-SA"/>
                    </w:rPr>
                    <w:t>10</w:t>
                  </w:r>
                </w:p>
              </w:tc>
              <w:tc>
                <w:tcPr>
                  <w:tcW w:w="1071" w:type="pct"/>
                  <w:tcBorders>
                    <w:top w:val="single" w:color="auto" w:sz="4" w:space="0"/>
                    <w:left w:val="single" w:color="auto" w:sz="4" w:space="0"/>
                    <w:bottom w:val="single" w:color="auto" w:sz="4" w:space="0"/>
                    <w:right w:val="single" w:color="auto" w:sz="4" w:space="0"/>
                  </w:tcBorders>
                  <w:shd w:val="clear" w:color="auto" w:fill="auto"/>
                  <w:noWrap w:val="0"/>
                  <w:vAlign w:val="center"/>
                </w:tcPr>
                <w:p w14:paraId="3E114786">
                  <w:pPr>
                    <w:pStyle w:val="85"/>
                    <w:keepNext w:val="0"/>
                    <w:keepLines w:val="0"/>
                    <w:suppressLineNumbers w:val="0"/>
                    <w:adjustRightInd w:val="0"/>
                    <w:snapToGrid w:val="0"/>
                    <w:spacing w:before="0" w:beforeAutospacing="0" w:after="0" w:afterAutospacing="0"/>
                    <w:ind w:left="0" w:right="0" w:firstLine="0" w:firstLineChars="0"/>
                    <w:jc w:val="center"/>
                    <w:rPr>
                      <w:rFonts w:hint="eastAsia" w:ascii="Times New Roman" w:hAnsi="Times New Roman" w:eastAsia="宋体" w:cs="Times New Roman"/>
                      <w:color w:val="auto"/>
                      <w:kern w:val="2"/>
                      <w:sz w:val="18"/>
                      <w:szCs w:val="18"/>
                      <w:highlight w:val="none"/>
                      <w:lang w:val="en-US" w:eastAsia="zh-CN" w:bidi="ar-SA"/>
                    </w:rPr>
                  </w:pPr>
                  <w:r>
                    <w:rPr>
                      <w:rFonts w:hint="eastAsia" w:eastAsia="宋体"/>
                      <w:color w:val="auto"/>
                      <w:sz w:val="18"/>
                      <w:szCs w:val="18"/>
                      <w:highlight w:val="none"/>
                      <w:lang w:val="en-US" w:eastAsia="zh-CN"/>
                    </w:rPr>
                    <w:t>规划医院</w:t>
                  </w:r>
                </w:p>
              </w:tc>
              <w:tc>
                <w:tcPr>
                  <w:tcW w:w="527" w:type="pct"/>
                  <w:tcBorders>
                    <w:top w:val="single" w:color="auto" w:sz="4" w:space="0"/>
                    <w:left w:val="single" w:color="auto" w:sz="4" w:space="0"/>
                    <w:bottom w:val="single" w:color="auto" w:sz="4" w:space="0"/>
                    <w:right w:val="single" w:color="auto" w:sz="4" w:space="0"/>
                  </w:tcBorders>
                  <w:shd w:val="clear" w:color="auto" w:fill="auto"/>
                  <w:noWrap w:val="0"/>
                  <w:vAlign w:val="center"/>
                </w:tcPr>
                <w:p w14:paraId="05896606">
                  <w:pPr>
                    <w:pStyle w:val="85"/>
                    <w:keepNext w:val="0"/>
                    <w:keepLines w:val="0"/>
                    <w:suppressLineNumbers w:val="0"/>
                    <w:adjustRightInd w:val="0"/>
                    <w:snapToGrid w:val="0"/>
                    <w:spacing w:before="0" w:beforeAutospacing="0" w:after="0" w:afterAutospacing="0"/>
                    <w:ind w:left="0" w:right="0" w:firstLine="0" w:firstLineChars="0"/>
                    <w:jc w:val="center"/>
                    <w:rPr>
                      <w:rFonts w:hint="default" w:ascii="Times New Roman" w:hAnsi="Times New Roman" w:eastAsia="宋体" w:cs="Times New Roman"/>
                      <w:color w:val="auto"/>
                      <w:kern w:val="0"/>
                      <w:sz w:val="18"/>
                      <w:szCs w:val="18"/>
                      <w:highlight w:val="none"/>
                      <w:lang w:val="en-US" w:eastAsia="zh-CN" w:bidi="ar-SA"/>
                    </w:rPr>
                  </w:pPr>
                  <w:r>
                    <w:rPr>
                      <w:rFonts w:hint="eastAsia" w:eastAsia="宋体" w:cs="Times New Roman"/>
                      <w:color w:val="auto"/>
                      <w:kern w:val="0"/>
                      <w:sz w:val="18"/>
                      <w:szCs w:val="18"/>
                      <w:highlight w:val="none"/>
                      <w:lang w:val="en-US" w:eastAsia="zh-CN"/>
                    </w:rPr>
                    <w:t>118.828835</w:t>
                  </w:r>
                </w:p>
              </w:tc>
              <w:tc>
                <w:tcPr>
                  <w:tcW w:w="564" w:type="pct"/>
                  <w:tcBorders>
                    <w:top w:val="single" w:color="auto" w:sz="4" w:space="0"/>
                    <w:left w:val="single" w:color="auto" w:sz="4" w:space="0"/>
                    <w:bottom w:val="single" w:color="auto" w:sz="4" w:space="0"/>
                    <w:right w:val="single" w:color="auto" w:sz="4" w:space="0"/>
                  </w:tcBorders>
                  <w:shd w:val="clear" w:color="auto" w:fill="auto"/>
                  <w:noWrap w:val="0"/>
                  <w:vAlign w:val="center"/>
                </w:tcPr>
                <w:p w14:paraId="6B76CB22">
                  <w:pPr>
                    <w:pStyle w:val="85"/>
                    <w:keepNext w:val="0"/>
                    <w:keepLines w:val="0"/>
                    <w:suppressLineNumbers w:val="0"/>
                    <w:adjustRightInd w:val="0"/>
                    <w:snapToGrid w:val="0"/>
                    <w:spacing w:before="0" w:beforeAutospacing="0" w:after="0" w:afterAutospacing="0"/>
                    <w:ind w:left="0" w:right="0" w:firstLine="0" w:firstLineChars="0"/>
                    <w:jc w:val="center"/>
                    <w:rPr>
                      <w:rFonts w:hint="default" w:ascii="Times New Roman" w:hAnsi="Times New Roman" w:eastAsia="宋体" w:cs="Times New Roman"/>
                      <w:color w:val="auto"/>
                      <w:kern w:val="0"/>
                      <w:sz w:val="18"/>
                      <w:szCs w:val="18"/>
                      <w:highlight w:val="none"/>
                      <w:lang w:val="en-US" w:eastAsia="zh-CN" w:bidi="ar-SA"/>
                    </w:rPr>
                  </w:pPr>
                  <w:r>
                    <w:rPr>
                      <w:rFonts w:hint="eastAsia" w:eastAsia="宋体" w:cs="Times New Roman"/>
                      <w:color w:val="auto"/>
                      <w:kern w:val="0"/>
                      <w:sz w:val="18"/>
                      <w:szCs w:val="18"/>
                      <w:highlight w:val="none"/>
                      <w:lang w:val="en-US" w:eastAsia="zh-CN"/>
                    </w:rPr>
                    <w:t>28.956500</w:t>
                  </w:r>
                </w:p>
              </w:tc>
              <w:tc>
                <w:tcPr>
                  <w:tcW w:w="474" w:type="pct"/>
                  <w:tcBorders>
                    <w:top w:val="single" w:color="auto" w:sz="4" w:space="0"/>
                    <w:left w:val="single" w:color="auto" w:sz="4" w:space="0"/>
                    <w:bottom w:val="single" w:color="auto" w:sz="4" w:space="0"/>
                    <w:right w:val="single" w:color="auto" w:sz="4" w:space="0"/>
                  </w:tcBorders>
                  <w:noWrap w:val="0"/>
                  <w:vAlign w:val="center"/>
                </w:tcPr>
                <w:p w14:paraId="39347052">
                  <w:pPr>
                    <w:keepNext w:val="0"/>
                    <w:keepLines w:val="0"/>
                    <w:widowControl/>
                    <w:suppressLineNumbers w:val="0"/>
                    <w:adjustRightInd w:val="0"/>
                    <w:snapToGrid w:val="0"/>
                    <w:spacing w:before="0" w:beforeAutospacing="0" w:after="0" w:afterAutospacing="0" w:line="276" w:lineRule="auto"/>
                    <w:ind w:left="0" w:right="0"/>
                    <w:jc w:val="center"/>
                    <w:rPr>
                      <w:rFonts w:hint="eastAsia" w:ascii="Times New Roman" w:hAnsi="Times New Roman" w:eastAsia="宋体" w:cs="Times New Roman"/>
                      <w:strike w:val="0"/>
                      <w:dstrike w:val="0"/>
                      <w:color w:val="auto"/>
                      <w:kern w:val="2"/>
                      <w:sz w:val="18"/>
                      <w:szCs w:val="18"/>
                      <w:highlight w:val="none"/>
                      <w:lang w:val="en-US" w:eastAsia="zh-CN" w:bidi="ar-SA"/>
                    </w:rPr>
                  </w:pPr>
                  <w:r>
                    <w:rPr>
                      <w:rFonts w:hint="eastAsia" w:ascii="Times New Roman" w:hAnsi="Times New Roman" w:eastAsia="宋体" w:cs="Times New Roman"/>
                      <w:strike w:val="0"/>
                      <w:dstrike w:val="0"/>
                      <w:color w:val="auto"/>
                      <w:sz w:val="18"/>
                      <w:szCs w:val="18"/>
                      <w:highlight w:val="none"/>
                      <w:lang w:val="en-US" w:eastAsia="zh-CN"/>
                    </w:rPr>
                    <w:t>医院</w:t>
                  </w:r>
                </w:p>
              </w:tc>
              <w:tc>
                <w:tcPr>
                  <w:tcW w:w="490" w:type="pct"/>
                  <w:tcBorders>
                    <w:top w:val="single" w:color="auto" w:sz="4" w:space="0"/>
                    <w:left w:val="single" w:color="auto" w:sz="4" w:space="0"/>
                    <w:bottom w:val="single" w:color="auto" w:sz="4" w:space="0"/>
                    <w:right w:val="single" w:color="auto" w:sz="4" w:space="0"/>
                  </w:tcBorders>
                  <w:noWrap w:val="0"/>
                  <w:vAlign w:val="center"/>
                </w:tcPr>
                <w:p w14:paraId="3C7113AD">
                  <w:pPr>
                    <w:keepNext w:val="0"/>
                    <w:keepLines w:val="0"/>
                    <w:widowControl/>
                    <w:suppressLineNumbers w:val="0"/>
                    <w:adjustRightInd w:val="0"/>
                    <w:snapToGrid w:val="0"/>
                    <w:spacing w:before="0" w:beforeAutospacing="0" w:after="0" w:afterAutospacing="0" w:line="276" w:lineRule="auto"/>
                    <w:ind w:left="0" w:right="0"/>
                    <w:jc w:val="center"/>
                    <w:rPr>
                      <w:rFonts w:hint="eastAsia" w:ascii="Times New Roman" w:hAnsi="Times New Roman" w:eastAsia="宋体" w:cs="Times New Roman"/>
                      <w:strike w:val="0"/>
                      <w:dstrike w:val="0"/>
                      <w:color w:val="auto"/>
                      <w:kern w:val="2"/>
                      <w:sz w:val="18"/>
                      <w:szCs w:val="18"/>
                      <w:highlight w:val="none"/>
                      <w:lang w:val="en-US" w:eastAsia="zh-CN" w:bidi="ar-SA"/>
                    </w:rPr>
                  </w:pPr>
                  <w:r>
                    <w:rPr>
                      <w:rFonts w:hint="eastAsia" w:ascii="Times New Roman" w:hAnsi="Times New Roman" w:eastAsia="宋体" w:cs="Times New Roman"/>
                      <w:strike w:val="0"/>
                      <w:dstrike w:val="0"/>
                      <w:color w:val="auto"/>
                      <w:sz w:val="18"/>
                      <w:szCs w:val="18"/>
                      <w:highlight w:val="none"/>
                      <w:lang w:val="en-US" w:eastAsia="zh-CN"/>
                    </w:rPr>
                    <w:t>医护、病人</w:t>
                  </w:r>
                </w:p>
              </w:tc>
              <w:tc>
                <w:tcPr>
                  <w:tcW w:w="499" w:type="pct"/>
                  <w:tcBorders>
                    <w:top w:val="single" w:color="auto" w:sz="4" w:space="0"/>
                    <w:left w:val="single" w:color="auto" w:sz="4" w:space="0"/>
                    <w:bottom w:val="single" w:color="auto" w:sz="4" w:space="0"/>
                    <w:right w:val="single" w:color="auto" w:sz="4" w:space="0"/>
                  </w:tcBorders>
                  <w:noWrap w:val="0"/>
                  <w:vAlign w:val="center"/>
                </w:tcPr>
                <w:p w14:paraId="4E6A741D">
                  <w:pPr>
                    <w:keepNext w:val="0"/>
                    <w:keepLines w:val="0"/>
                    <w:widowControl/>
                    <w:suppressLineNumbers w:val="0"/>
                    <w:adjustRightInd w:val="0"/>
                    <w:snapToGrid w:val="0"/>
                    <w:spacing w:before="0" w:beforeAutospacing="0" w:after="0" w:afterAutospacing="0" w:line="276" w:lineRule="auto"/>
                    <w:ind w:left="0" w:right="0"/>
                    <w:jc w:val="center"/>
                    <w:rPr>
                      <w:rFonts w:hint="eastAsia" w:ascii="Times New Roman" w:hAnsi="Times New Roman" w:eastAsia="宋体" w:cs="Times New Roman"/>
                      <w:strike w:val="0"/>
                      <w:dstrike w:val="0"/>
                      <w:color w:val="auto"/>
                      <w:kern w:val="2"/>
                      <w:sz w:val="18"/>
                      <w:szCs w:val="18"/>
                      <w:highlight w:val="none"/>
                      <w:lang w:val="en-US" w:eastAsia="zh-CN" w:bidi="ar-SA"/>
                    </w:rPr>
                  </w:pPr>
                  <w:r>
                    <w:rPr>
                      <w:rFonts w:hint="eastAsia" w:ascii="Times New Roman" w:hAnsi="Times New Roman" w:eastAsia="宋体" w:cs="Times New Roman"/>
                      <w:strike w:val="0"/>
                      <w:dstrike w:val="0"/>
                      <w:color w:val="auto"/>
                      <w:sz w:val="18"/>
                      <w:szCs w:val="18"/>
                      <w:highlight w:val="none"/>
                      <w:lang w:val="en-US" w:eastAsia="zh-CN"/>
                    </w:rPr>
                    <w:t>二类</w:t>
                  </w:r>
                </w:p>
              </w:tc>
              <w:tc>
                <w:tcPr>
                  <w:tcW w:w="453" w:type="pct"/>
                  <w:tcBorders>
                    <w:top w:val="single" w:color="auto" w:sz="4" w:space="0"/>
                    <w:left w:val="single" w:color="auto" w:sz="4" w:space="0"/>
                    <w:bottom w:val="single" w:color="auto" w:sz="4" w:space="0"/>
                    <w:right w:val="single" w:color="auto" w:sz="4" w:space="0"/>
                  </w:tcBorders>
                  <w:shd w:val="clear" w:color="auto" w:fill="auto"/>
                  <w:noWrap w:val="0"/>
                  <w:vAlign w:val="center"/>
                </w:tcPr>
                <w:p w14:paraId="51B2A06D">
                  <w:pPr>
                    <w:pStyle w:val="85"/>
                    <w:keepNext w:val="0"/>
                    <w:keepLines w:val="0"/>
                    <w:suppressLineNumbers w:val="0"/>
                    <w:adjustRightInd w:val="0"/>
                    <w:snapToGrid w:val="0"/>
                    <w:spacing w:before="0" w:beforeAutospacing="0" w:after="0" w:afterAutospacing="0"/>
                    <w:ind w:left="0" w:right="0" w:firstLine="0" w:firstLineChars="0"/>
                    <w:jc w:val="center"/>
                    <w:rPr>
                      <w:rFonts w:hint="eastAsia" w:ascii="Times New Roman" w:hAnsi="Times New Roman" w:eastAsia="宋体" w:cs="Times New Roman"/>
                      <w:kern w:val="2"/>
                      <w:sz w:val="18"/>
                      <w:szCs w:val="18"/>
                      <w:highlight w:val="none"/>
                      <w:lang w:val="en-US" w:eastAsia="zh-CN" w:bidi="ar-SA"/>
                    </w:rPr>
                  </w:pPr>
                  <w:r>
                    <w:rPr>
                      <w:rFonts w:hint="eastAsia" w:eastAsia="宋体"/>
                      <w:sz w:val="18"/>
                      <w:szCs w:val="18"/>
                      <w:highlight w:val="none"/>
                      <w:lang w:val="en-US" w:eastAsia="zh-CN"/>
                    </w:rPr>
                    <w:t>北</w:t>
                  </w:r>
                </w:p>
              </w:tc>
              <w:tc>
                <w:tcPr>
                  <w:tcW w:w="551" w:type="pct"/>
                  <w:tcBorders>
                    <w:top w:val="single" w:color="auto" w:sz="4" w:space="0"/>
                    <w:left w:val="single" w:color="auto" w:sz="4" w:space="0"/>
                    <w:bottom w:val="single" w:color="auto" w:sz="4" w:space="0"/>
                    <w:right w:val="single" w:color="auto" w:sz="4" w:space="0"/>
                  </w:tcBorders>
                  <w:shd w:val="clear" w:color="auto" w:fill="auto"/>
                  <w:noWrap w:val="0"/>
                  <w:vAlign w:val="center"/>
                </w:tcPr>
                <w:p w14:paraId="2A4F17D3">
                  <w:pPr>
                    <w:pStyle w:val="85"/>
                    <w:keepNext w:val="0"/>
                    <w:keepLines w:val="0"/>
                    <w:suppressLineNumbers w:val="0"/>
                    <w:adjustRightInd w:val="0"/>
                    <w:snapToGrid w:val="0"/>
                    <w:spacing w:before="0" w:beforeAutospacing="0" w:after="0" w:afterAutospacing="0"/>
                    <w:ind w:left="0" w:right="0" w:firstLine="0" w:firstLineChars="0"/>
                    <w:jc w:val="center"/>
                    <w:rPr>
                      <w:rFonts w:hint="eastAsia" w:ascii="Times New Roman" w:hAnsi="Times New Roman" w:eastAsia="宋体" w:cs="Times New Roman"/>
                      <w:kern w:val="2"/>
                      <w:sz w:val="18"/>
                      <w:szCs w:val="18"/>
                      <w:highlight w:val="none"/>
                      <w:lang w:val="en-US" w:eastAsia="zh-CN" w:bidi="ar-SA"/>
                    </w:rPr>
                  </w:pPr>
                  <w:r>
                    <w:rPr>
                      <w:rFonts w:hint="eastAsia" w:eastAsia="宋体"/>
                      <w:sz w:val="18"/>
                      <w:szCs w:val="18"/>
                      <w:highlight w:val="none"/>
                      <w:lang w:val="en-US" w:eastAsia="zh-CN"/>
                    </w:rPr>
                    <w:t>434</w:t>
                  </w:r>
                </w:p>
              </w:tc>
            </w:tr>
            <w:tr w14:paraId="3B1D65E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40" w:hRule="atLeast"/>
                <w:jc w:val="center"/>
              </w:trPr>
              <w:tc>
                <w:tcPr>
                  <w:tcW w:w="366" w:type="pct"/>
                  <w:tcBorders>
                    <w:left w:val="single" w:color="auto" w:sz="4" w:space="0"/>
                    <w:right w:val="single" w:color="auto" w:sz="4" w:space="0"/>
                  </w:tcBorders>
                  <w:noWrap w:val="0"/>
                  <w:vAlign w:val="center"/>
                </w:tcPr>
                <w:p w14:paraId="2BDA3642">
                  <w:pPr>
                    <w:keepNext w:val="0"/>
                    <w:keepLines w:val="0"/>
                    <w:widowControl/>
                    <w:suppressLineNumbers w:val="0"/>
                    <w:adjustRightInd w:val="0"/>
                    <w:snapToGrid w:val="0"/>
                    <w:spacing w:before="0" w:beforeAutospacing="0" w:after="0" w:afterAutospacing="0" w:line="276" w:lineRule="auto"/>
                    <w:ind w:left="0" w:right="0"/>
                    <w:jc w:val="center"/>
                    <w:rPr>
                      <w:rFonts w:hint="default" w:ascii="Times New Roman" w:hAnsi="Times New Roman" w:eastAsia="宋体" w:cs="Times New Roman"/>
                      <w:strike w:val="0"/>
                      <w:dstrike w:val="0"/>
                      <w:color w:val="auto"/>
                      <w:kern w:val="2"/>
                      <w:sz w:val="18"/>
                      <w:szCs w:val="18"/>
                      <w:highlight w:val="none"/>
                      <w:lang w:val="en-US" w:eastAsia="zh-CN" w:bidi="ar-SA"/>
                    </w:rPr>
                  </w:pPr>
                  <w:r>
                    <w:rPr>
                      <w:rFonts w:hint="eastAsia" w:ascii="Times New Roman" w:hAnsi="Times New Roman" w:eastAsia="宋体" w:cs="Times New Roman"/>
                      <w:strike w:val="0"/>
                      <w:dstrike w:val="0"/>
                      <w:color w:val="auto"/>
                      <w:kern w:val="2"/>
                      <w:sz w:val="18"/>
                      <w:szCs w:val="18"/>
                      <w:highlight w:val="none"/>
                      <w:lang w:val="en-US" w:eastAsia="zh-CN" w:bidi="ar-SA"/>
                    </w:rPr>
                    <w:t>11</w:t>
                  </w:r>
                </w:p>
              </w:tc>
              <w:tc>
                <w:tcPr>
                  <w:tcW w:w="1071" w:type="pct"/>
                  <w:tcBorders>
                    <w:top w:val="single" w:color="auto" w:sz="4" w:space="0"/>
                    <w:left w:val="single" w:color="auto" w:sz="4" w:space="0"/>
                    <w:bottom w:val="single" w:color="auto" w:sz="4" w:space="0"/>
                    <w:right w:val="single" w:color="auto" w:sz="4" w:space="0"/>
                  </w:tcBorders>
                  <w:shd w:val="clear" w:color="auto" w:fill="auto"/>
                  <w:noWrap w:val="0"/>
                  <w:vAlign w:val="center"/>
                </w:tcPr>
                <w:p w14:paraId="391E4F0B">
                  <w:pPr>
                    <w:pStyle w:val="85"/>
                    <w:keepNext w:val="0"/>
                    <w:keepLines w:val="0"/>
                    <w:suppressLineNumbers w:val="0"/>
                    <w:adjustRightInd w:val="0"/>
                    <w:snapToGrid w:val="0"/>
                    <w:spacing w:before="0" w:beforeAutospacing="0" w:after="0" w:afterAutospacing="0"/>
                    <w:ind w:left="0" w:right="0" w:firstLine="0" w:firstLineChars="0"/>
                    <w:jc w:val="center"/>
                    <w:rPr>
                      <w:rFonts w:hint="eastAsia" w:ascii="Times New Roman" w:hAnsi="Times New Roman" w:eastAsia="宋体" w:cs="Times New Roman"/>
                      <w:color w:val="auto"/>
                      <w:kern w:val="2"/>
                      <w:sz w:val="18"/>
                      <w:szCs w:val="18"/>
                      <w:highlight w:val="none"/>
                      <w:lang w:val="en-US" w:eastAsia="zh-CN" w:bidi="ar-SA"/>
                    </w:rPr>
                  </w:pPr>
                  <w:r>
                    <w:rPr>
                      <w:rFonts w:hint="eastAsia" w:eastAsia="宋体"/>
                      <w:color w:val="auto"/>
                      <w:sz w:val="18"/>
                      <w:szCs w:val="18"/>
                      <w:highlight w:val="none"/>
                    </w:rPr>
                    <w:t>钱家山村</w:t>
                  </w:r>
                </w:p>
              </w:tc>
              <w:tc>
                <w:tcPr>
                  <w:tcW w:w="527" w:type="pct"/>
                  <w:tcBorders>
                    <w:top w:val="single" w:color="auto" w:sz="4" w:space="0"/>
                    <w:left w:val="single" w:color="auto" w:sz="4" w:space="0"/>
                    <w:bottom w:val="single" w:color="auto" w:sz="4" w:space="0"/>
                    <w:right w:val="single" w:color="auto" w:sz="4" w:space="0"/>
                  </w:tcBorders>
                  <w:shd w:val="clear" w:color="auto" w:fill="auto"/>
                  <w:noWrap w:val="0"/>
                  <w:vAlign w:val="center"/>
                </w:tcPr>
                <w:p w14:paraId="38C8A7AC">
                  <w:pPr>
                    <w:pStyle w:val="85"/>
                    <w:keepNext w:val="0"/>
                    <w:keepLines w:val="0"/>
                    <w:suppressLineNumbers w:val="0"/>
                    <w:adjustRightInd w:val="0"/>
                    <w:snapToGrid w:val="0"/>
                    <w:spacing w:before="0" w:beforeAutospacing="0" w:after="0" w:afterAutospacing="0"/>
                    <w:ind w:left="0" w:right="0" w:firstLine="0" w:firstLineChars="0"/>
                    <w:jc w:val="center"/>
                    <w:rPr>
                      <w:rFonts w:hint="default" w:ascii="Times New Roman" w:hAnsi="Times New Roman" w:eastAsia="宋体" w:cs="Times New Roman"/>
                      <w:color w:val="auto"/>
                      <w:kern w:val="2"/>
                      <w:sz w:val="18"/>
                      <w:szCs w:val="18"/>
                      <w:highlight w:val="none"/>
                      <w:lang w:val="en-US" w:eastAsia="zh-CN" w:bidi="ar-SA"/>
                    </w:rPr>
                  </w:pPr>
                  <w:r>
                    <w:rPr>
                      <w:rFonts w:hint="eastAsia" w:eastAsia="宋体"/>
                      <w:color w:val="auto"/>
                      <w:sz w:val="18"/>
                      <w:szCs w:val="18"/>
                      <w:highlight w:val="none"/>
                    </w:rPr>
                    <w:t>118.835091</w:t>
                  </w:r>
                </w:p>
              </w:tc>
              <w:tc>
                <w:tcPr>
                  <w:tcW w:w="564" w:type="pct"/>
                  <w:tcBorders>
                    <w:top w:val="single" w:color="auto" w:sz="4" w:space="0"/>
                    <w:left w:val="single" w:color="auto" w:sz="4" w:space="0"/>
                    <w:bottom w:val="single" w:color="auto" w:sz="4" w:space="0"/>
                    <w:right w:val="single" w:color="auto" w:sz="4" w:space="0"/>
                  </w:tcBorders>
                  <w:shd w:val="clear" w:color="auto" w:fill="auto"/>
                  <w:noWrap w:val="0"/>
                  <w:vAlign w:val="center"/>
                </w:tcPr>
                <w:p w14:paraId="73415686">
                  <w:pPr>
                    <w:pStyle w:val="85"/>
                    <w:keepNext w:val="0"/>
                    <w:keepLines w:val="0"/>
                    <w:suppressLineNumbers w:val="0"/>
                    <w:adjustRightInd w:val="0"/>
                    <w:snapToGrid w:val="0"/>
                    <w:spacing w:before="0" w:beforeAutospacing="0" w:after="0" w:afterAutospacing="0"/>
                    <w:ind w:left="0" w:right="0" w:firstLine="0" w:firstLineChars="0"/>
                    <w:jc w:val="center"/>
                    <w:rPr>
                      <w:rFonts w:hint="default" w:ascii="Times New Roman" w:hAnsi="Times New Roman" w:eastAsia="宋体" w:cs="Times New Roman"/>
                      <w:color w:val="auto"/>
                      <w:kern w:val="2"/>
                      <w:sz w:val="18"/>
                      <w:szCs w:val="18"/>
                      <w:highlight w:val="none"/>
                      <w:lang w:val="en-US" w:eastAsia="zh-CN" w:bidi="ar-SA"/>
                    </w:rPr>
                  </w:pPr>
                  <w:r>
                    <w:rPr>
                      <w:rFonts w:hint="eastAsia" w:eastAsia="宋体"/>
                      <w:color w:val="auto"/>
                      <w:sz w:val="18"/>
                      <w:szCs w:val="18"/>
                      <w:highlight w:val="none"/>
                    </w:rPr>
                    <w:t>28.959099</w:t>
                  </w:r>
                </w:p>
              </w:tc>
              <w:tc>
                <w:tcPr>
                  <w:tcW w:w="474" w:type="pct"/>
                  <w:tcBorders>
                    <w:top w:val="single" w:color="auto" w:sz="4" w:space="0"/>
                    <w:left w:val="single" w:color="auto" w:sz="4" w:space="0"/>
                    <w:bottom w:val="single" w:color="auto" w:sz="4" w:space="0"/>
                    <w:right w:val="single" w:color="auto" w:sz="4" w:space="0"/>
                  </w:tcBorders>
                  <w:noWrap w:val="0"/>
                  <w:vAlign w:val="center"/>
                </w:tcPr>
                <w:p w14:paraId="09E92AED">
                  <w:pPr>
                    <w:keepNext w:val="0"/>
                    <w:keepLines w:val="0"/>
                    <w:widowControl/>
                    <w:suppressLineNumbers w:val="0"/>
                    <w:adjustRightInd w:val="0"/>
                    <w:snapToGrid w:val="0"/>
                    <w:spacing w:before="0" w:beforeAutospacing="0" w:after="0" w:afterAutospacing="0" w:line="276" w:lineRule="auto"/>
                    <w:ind w:left="0" w:right="0"/>
                    <w:jc w:val="center"/>
                    <w:rPr>
                      <w:rFonts w:hint="eastAsia" w:ascii="Times New Roman" w:hAnsi="Times New Roman" w:eastAsia="宋体" w:cs="Times New Roman"/>
                      <w:strike w:val="0"/>
                      <w:dstrike w:val="0"/>
                      <w:color w:val="auto"/>
                      <w:kern w:val="2"/>
                      <w:sz w:val="18"/>
                      <w:szCs w:val="18"/>
                      <w:highlight w:val="none"/>
                      <w:lang w:val="en-US" w:eastAsia="zh-CN" w:bidi="ar-SA"/>
                    </w:rPr>
                  </w:pPr>
                  <w:r>
                    <w:rPr>
                      <w:rFonts w:hint="eastAsia" w:ascii="Times New Roman" w:hAnsi="Times New Roman" w:eastAsia="宋体" w:cs="Times New Roman"/>
                      <w:strike w:val="0"/>
                      <w:dstrike w:val="0"/>
                      <w:color w:val="auto"/>
                      <w:sz w:val="18"/>
                      <w:szCs w:val="18"/>
                      <w:highlight w:val="none"/>
                      <w:lang w:val="en-US" w:eastAsia="zh-CN"/>
                    </w:rPr>
                    <w:t>居住区</w:t>
                  </w:r>
                </w:p>
              </w:tc>
              <w:tc>
                <w:tcPr>
                  <w:tcW w:w="490" w:type="pct"/>
                  <w:tcBorders>
                    <w:top w:val="single" w:color="auto" w:sz="4" w:space="0"/>
                    <w:left w:val="single" w:color="auto" w:sz="4" w:space="0"/>
                    <w:bottom w:val="single" w:color="auto" w:sz="4" w:space="0"/>
                    <w:right w:val="single" w:color="auto" w:sz="4" w:space="0"/>
                  </w:tcBorders>
                  <w:noWrap w:val="0"/>
                  <w:vAlign w:val="center"/>
                </w:tcPr>
                <w:p w14:paraId="44AFDECA">
                  <w:pPr>
                    <w:keepNext w:val="0"/>
                    <w:keepLines w:val="0"/>
                    <w:widowControl/>
                    <w:suppressLineNumbers w:val="0"/>
                    <w:adjustRightInd w:val="0"/>
                    <w:snapToGrid w:val="0"/>
                    <w:spacing w:before="0" w:beforeAutospacing="0" w:after="0" w:afterAutospacing="0" w:line="276" w:lineRule="auto"/>
                    <w:ind w:left="0" w:right="0"/>
                    <w:jc w:val="center"/>
                    <w:rPr>
                      <w:rFonts w:hint="eastAsia" w:ascii="Times New Roman" w:hAnsi="Times New Roman" w:eastAsia="宋体" w:cs="Times New Roman"/>
                      <w:strike w:val="0"/>
                      <w:dstrike w:val="0"/>
                      <w:color w:val="auto"/>
                      <w:kern w:val="2"/>
                      <w:sz w:val="18"/>
                      <w:szCs w:val="18"/>
                      <w:highlight w:val="none"/>
                      <w:lang w:val="en-US" w:eastAsia="zh-CN" w:bidi="ar-SA"/>
                    </w:rPr>
                  </w:pPr>
                  <w:r>
                    <w:rPr>
                      <w:rFonts w:hint="eastAsia" w:ascii="Times New Roman" w:hAnsi="Times New Roman" w:eastAsia="宋体" w:cs="Times New Roman"/>
                      <w:strike w:val="0"/>
                      <w:dstrike w:val="0"/>
                      <w:color w:val="auto"/>
                      <w:sz w:val="18"/>
                      <w:szCs w:val="18"/>
                      <w:highlight w:val="none"/>
                      <w:lang w:val="en-US" w:eastAsia="zh-CN"/>
                    </w:rPr>
                    <w:t>居民</w:t>
                  </w:r>
                </w:p>
              </w:tc>
              <w:tc>
                <w:tcPr>
                  <w:tcW w:w="499" w:type="pct"/>
                  <w:tcBorders>
                    <w:top w:val="single" w:color="auto" w:sz="4" w:space="0"/>
                    <w:left w:val="single" w:color="auto" w:sz="4" w:space="0"/>
                    <w:bottom w:val="single" w:color="auto" w:sz="4" w:space="0"/>
                    <w:right w:val="single" w:color="auto" w:sz="4" w:space="0"/>
                  </w:tcBorders>
                  <w:noWrap w:val="0"/>
                  <w:vAlign w:val="center"/>
                </w:tcPr>
                <w:p w14:paraId="0AE9488C">
                  <w:pPr>
                    <w:keepNext w:val="0"/>
                    <w:keepLines w:val="0"/>
                    <w:widowControl/>
                    <w:suppressLineNumbers w:val="0"/>
                    <w:adjustRightInd w:val="0"/>
                    <w:snapToGrid w:val="0"/>
                    <w:spacing w:before="0" w:beforeAutospacing="0" w:after="0" w:afterAutospacing="0" w:line="276" w:lineRule="auto"/>
                    <w:ind w:left="0" w:right="0"/>
                    <w:jc w:val="center"/>
                    <w:rPr>
                      <w:rFonts w:hint="eastAsia" w:ascii="Times New Roman" w:hAnsi="Times New Roman" w:eastAsia="宋体" w:cs="Times New Roman"/>
                      <w:strike w:val="0"/>
                      <w:dstrike w:val="0"/>
                      <w:color w:val="auto"/>
                      <w:kern w:val="2"/>
                      <w:sz w:val="18"/>
                      <w:szCs w:val="18"/>
                      <w:highlight w:val="none"/>
                      <w:lang w:val="en-US" w:eastAsia="zh-CN" w:bidi="ar-SA"/>
                    </w:rPr>
                  </w:pPr>
                  <w:r>
                    <w:rPr>
                      <w:rFonts w:hint="eastAsia" w:ascii="Times New Roman" w:hAnsi="Times New Roman" w:eastAsia="宋体" w:cs="Times New Roman"/>
                      <w:strike w:val="0"/>
                      <w:dstrike w:val="0"/>
                      <w:color w:val="auto"/>
                      <w:sz w:val="18"/>
                      <w:szCs w:val="18"/>
                      <w:highlight w:val="none"/>
                      <w:lang w:val="en-US" w:eastAsia="zh-CN"/>
                    </w:rPr>
                    <w:t>二类</w:t>
                  </w:r>
                </w:p>
              </w:tc>
              <w:tc>
                <w:tcPr>
                  <w:tcW w:w="453" w:type="pct"/>
                  <w:tcBorders>
                    <w:top w:val="single" w:color="auto" w:sz="4" w:space="0"/>
                    <w:left w:val="single" w:color="auto" w:sz="4" w:space="0"/>
                    <w:bottom w:val="single" w:color="auto" w:sz="4" w:space="0"/>
                    <w:right w:val="single" w:color="auto" w:sz="4" w:space="0"/>
                  </w:tcBorders>
                  <w:shd w:val="clear" w:color="auto" w:fill="auto"/>
                  <w:noWrap w:val="0"/>
                  <w:vAlign w:val="center"/>
                </w:tcPr>
                <w:p w14:paraId="52316B2D">
                  <w:pPr>
                    <w:keepNext w:val="0"/>
                    <w:keepLines w:val="0"/>
                    <w:suppressLineNumbers w:val="0"/>
                    <w:adjustRightInd w:val="0"/>
                    <w:snapToGrid w:val="0"/>
                    <w:spacing w:before="0" w:beforeAutospacing="0" w:after="0" w:afterAutospacing="0"/>
                    <w:ind w:left="0" w:right="0" w:firstLine="0" w:firstLineChars="0"/>
                    <w:jc w:val="center"/>
                    <w:rPr>
                      <w:rFonts w:hint="eastAsia" w:ascii="Times New Roman" w:hAnsi="Times New Roman" w:eastAsia="宋体" w:cs="Times New Roman"/>
                      <w:kern w:val="2"/>
                      <w:sz w:val="18"/>
                      <w:szCs w:val="18"/>
                      <w:highlight w:val="none"/>
                      <w:lang w:val="en-US" w:eastAsia="zh-CN" w:bidi="ar-SA"/>
                    </w:rPr>
                  </w:pPr>
                  <w:r>
                    <w:rPr>
                      <w:rFonts w:hint="eastAsia" w:eastAsia="宋体"/>
                      <w:sz w:val="18"/>
                      <w:szCs w:val="18"/>
                      <w:highlight w:val="none"/>
                      <w:lang w:val="en-US" w:eastAsia="zh-CN"/>
                    </w:rPr>
                    <w:t>东北</w:t>
                  </w:r>
                </w:p>
              </w:tc>
              <w:tc>
                <w:tcPr>
                  <w:tcW w:w="551" w:type="pct"/>
                  <w:tcBorders>
                    <w:top w:val="single" w:color="auto" w:sz="4" w:space="0"/>
                    <w:left w:val="single" w:color="auto" w:sz="4" w:space="0"/>
                    <w:bottom w:val="single" w:color="auto" w:sz="4" w:space="0"/>
                    <w:right w:val="single" w:color="auto" w:sz="4" w:space="0"/>
                  </w:tcBorders>
                  <w:shd w:val="clear" w:color="auto" w:fill="auto"/>
                  <w:noWrap w:val="0"/>
                  <w:vAlign w:val="center"/>
                </w:tcPr>
                <w:p w14:paraId="5B3549FA">
                  <w:pPr>
                    <w:pStyle w:val="85"/>
                    <w:keepNext w:val="0"/>
                    <w:keepLines w:val="0"/>
                    <w:suppressLineNumbers w:val="0"/>
                    <w:adjustRightInd w:val="0"/>
                    <w:snapToGrid w:val="0"/>
                    <w:spacing w:before="0" w:beforeAutospacing="0" w:after="0" w:afterAutospacing="0"/>
                    <w:ind w:left="0" w:right="0" w:firstLine="0" w:firstLineChars="0"/>
                    <w:jc w:val="center"/>
                    <w:rPr>
                      <w:rFonts w:hint="eastAsia" w:ascii="Times New Roman" w:hAnsi="Times New Roman" w:eastAsia="宋体" w:cs="Times New Roman"/>
                      <w:kern w:val="2"/>
                      <w:sz w:val="18"/>
                      <w:szCs w:val="18"/>
                      <w:highlight w:val="none"/>
                      <w:lang w:val="en-US" w:eastAsia="zh-CN" w:bidi="ar-SA"/>
                    </w:rPr>
                  </w:pPr>
                  <w:r>
                    <w:rPr>
                      <w:rFonts w:hint="eastAsia" w:eastAsia="宋体"/>
                      <w:sz w:val="18"/>
                      <w:szCs w:val="18"/>
                      <w:highlight w:val="none"/>
                      <w:lang w:val="en-US" w:eastAsia="zh-CN"/>
                    </w:rPr>
                    <w:t>447</w:t>
                  </w:r>
                </w:p>
              </w:tc>
            </w:tr>
            <w:tr w14:paraId="6B19F06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40" w:hRule="atLeast"/>
                <w:jc w:val="center"/>
              </w:trPr>
              <w:tc>
                <w:tcPr>
                  <w:tcW w:w="366" w:type="pct"/>
                  <w:tcBorders>
                    <w:left w:val="single" w:color="auto" w:sz="4" w:space="0"/>
                    <w:right w:val="single" w:color="auto" w:sz="4" w:space="0"/>
                  </w:tcBorders>
                  <w:noWrap w:val="0"/>
                  <w:vAlign w:val="center"/>
                </w:tcPr>
                <w:p w14:paraId="13C24F3B">
                  <w:pPr>
                    <w:keepNext w:val="0"/>
                    <w:keepLines w:val="0"/>
                    <w:widowControl/>
                    <w:suppressLineNumbers w:val="0"/>
                    <w:adjustRightInd w:val="0"/>
                    <w:snapToGrid w:val="0"/>
                    <w:spacing w:before="0" w:beforeAutospacing="0" w:after="0" w:afterAutospacing="0" w:line="276" w:lineRule="auto"/>
                    <w:ind w:left="0" w:right="0"/>
                    <w:jc w:val="center"/>
                    <w:rPr>
                      <w:rFonts w:hint="default" w:ascii="Times New Roman" w:hAnsi="Times New Roman" w:eastAsia="宋体" w:cs="Times New Roman"/>
                      <w:strike w:val="0"/>
                      <w:dstrike w:val="0"/>
                      <w:color w:val="auto"/>
                      <w:kern w:val="2"/>
                      <w:sz w:val="18"/>
                      <w:szCs w:val="18"/>
                      <w:highlight w:val="none"/>
                      <w:lang w:val="en-US" w:eastAsia="zh-CN" w:bidi="ar-SA"/>
                    </w:rPr>
                  </w:pPr>
                  <w:r>
                    <w:rPr>
                      <w:rFonts w:hint="eastAsia" w:ascii="Times New Roman" w:hAnsi="Times New Roman" w:eastAsia="宋体" w:cs="Times New Roman"/>
                      <w:strike w:val="0"/>
                      <w:dstrike w:val="0"/>
                      <w:color w:val="auto"/>
                      <w:kern w:val="2"/>
                      <w:sz w:val="18"/>
                      <w:szCs w:val="18"/>
                      <w:highlight w:val="none"/>
                      <w:lang w:val="en-US" w:eastAsia="zh-CN" w:bidi="ar-SA"/>
                    </w:rPr>
                    <w:t>12</w:t>
                  </w:r>
                </w:p>
              </w:tc>
              <w:tc>
                <w:tcPr>
                  <w:tcW w:w="1071" w:type="pct"/>
                  <w:tcBorders>
                    <w:top w:val="single" w:color="auto" w:sz="4" w:space="0"/>
                    <w:left w:val="single" w:color="auto" w:sz="4" w:space="0"/>
                    <w:bottom w:val="single" w:color="auto" w:sz="4" w:space="0"/>
                    <w:right w:val="single" w:color="auto" w:sz="4" w:space="0"/>
                  </w:tcBorders>
                  <w:shd w:val="clear" w:color="auto" w:fill="auto"/>
                  <w:noWrap w:val="0"/>
                  <w:vAlign w:val="center"/>
                </w:tcPr>
                <w:p w14:paraId="1E211162">
                  <w:pPr>
                    <w:pStyle w:val="85"/>
                    <w:keepNext w:val="0"/>
                    <w:keepLines w:val="0"/>
                    <w:suppressLineNumbers w:val="0"/>
                    <w:adjustRightInd w:val="0"/>
                    <w:snapToGrid w:val="0"/>
                    <w:spacing w:before="0" w:beforeAutospacing="0" w:after="0" w:afterAutospacing="0"/>
                    <w:ind w:left="0" w:right="0" w:firstLine="0" w:firstLineChars="0"/>
                    <w:jc w:val="center"/>
                    <w:rPr>
                      <w:rFonts w:hint="eastAsia" w:ascii="Times New Roman" w:hAnsi="Times New Roman" w:eastAsia="宋体" w:cs="Times New Roman"/>
                      <w:color w:val="auto"/>
                      <w:kern w:val="2"/>
                      <w:sz w:val="18"/>
                      <w:szCs w:val="18"/>
                      <w:highlight w:val="none"/>
                      <w:lang w:val="en-US" w:eastAsia="zh-CN" w:bidi="ar-SA"/>
                    </w:rPr>
                  </w:pPr>
                  <w:r>
                    <w:rPr>
                      <w:rFonts w:hint="eastAsia" w:eastAsia="宋体"/>
                      <w:color w:val="auto"/>
                      <w:sz w:val="18"/>
                      <w:szCs w:val="18"/>
                      <w:highlight w:val="none"/>
                    </w:rPr>
                    <w:t>聚龙嘉苑</w:t>
                  </w:r>
                </w:p>
              </w:tc>
              <w:tc>
                <w:tcPr>
                  <w:tcW w:w="527" w:type="pct"/>
                  <w:tcBorders>
                    <w:top w:val="single" w:color="auto" w:sz="4" w:space="0"/>
                    <w:left w:val="single" w:color="auto" w:sz="4" w:space="0"/>
                    <w:bottom w:val="single" w:color="auto" w:sz="4" w:space="0"/>
                    <w:right w:val="single" w:color="auto" w:sz="4" w:space="0"/>
                  </w:tcBorders>
                  <w:shd w:val="clear" w:color="auto" w:fill="auto"/>
                  <w:noWrap w:val="0"/>
                  <w:vAlign w:val="center"/>
                </w:tcPr>
                <w:p w14:paraId="69E63CC6">
                  <w:pPr>
                    <w:pStyle w:val="85"/>
                    <w:keepNext w:val="0"/>
                    <w:keepLines w:val="0"/>
                    <w:suppressLineNumbers w:val="0"/>
                    <w:adjustRightInd w:val="0"/>
                    <w:snapToGrid w:val="0"/>
                    <w:spacing w:before="0" w:beforeAutospacing="0" w:after="0" w:afterAutospacing="0"/>
                    <w:ind w:left="0" w:right="0" w:firstLine="0" w:firstLineChars="0"/>
                    <w:jc w:val="center"/>
                    <w:rPr>
                      <w:rFonts w:hint="default" w:ascii="Times New Roman" w:hAnsi="Times New Roman" w:eastAsia="宋体" w:cs="Times New Roman"/>
                      <w:color w:val="auto"/>
                      <w:kern w:val="2"/>
                      <w:sz w:val="18"/>
                      <w:szCs w:val="18"/>
                      <w:highlight w:val="none"/>
                      <w:lang w:val="en-US" w:eastAsia="zh-CN" w:bidi="ar-SA"/>
                    </w:rPr>
                  </w:pPr>
                  <w:r>
                    <w:rPr>
                      <w:rFonts w:hint="eastAsia" w:eastAsia="宋体"/>
                      <w:color w:val="auto"/>
                      <w:sz w:val="18"/>
                      <w:szCs w:val="18"/>
                      <w:highlight w:val="none"/>
                    </w:rPr>
                    <w:t>118.832044</w:t>
                  </w:r>
                </w:p>
              </w:tc>
              <w:tc>
                <w:tcPr>
                  <w:tcW w:w="564" w:type="pct"/>
                  <w:tcBorders>
                    <w:top w:val="single" w:color="auto" w:sz="4" w:space="0"/>
                    <w:left w:val="single" w:color="auto" w:sz="4" w:space="0"/>
                    <w:bottom w:val="single" w:color="auto" w:sz="4" w:space="0"/>
                    <w:right w:val="single" w:color="auto" w:sz="4" w:space="0"/>
                  </w:tcBorders>
                  <w:shd w:val="clear" w:color="auto" w:fill="auto"/>
                  <w:noWrap w:val="0"/>
                  <w:vAlign w:val="center"/>
                </w:tcPr>
                <w:p w14:paraId="4ADBB945">
                  <w:pPr>
                    <w:pStyle w:val="85"/>
                    <w:keepNext w:val="0"/>
                    <w:keepLines w:val="0"/>
                    <w:suppressLineNumbers w:val="0"/>
                    <w:adjustRightInd w:val="0"/>
                    <w:snapToGrid w:val="0"/>
                    <w:spacing w:before="0" w:beforeAutospacing="0" w:after="0" w:afterAutospacing="0"/>
                    <w:ind w:left="0" w:right="0" w:firstLine="0" w:firstLineChars="0"/>
                    <w:jc w:val="center"/>
                    <w:rPr>
                      <w:rFonts w:hint="default" w:ascii="Times New Roman" w:hAnsi="Times New Roman" w:eastAsia="宋体" w:cs="Times New Roman"/>
                      <w:color w:val="auto"/>
                      <w:kern w:val="2"/>
                      <w:sz w:val="18"/>
                      <w:szCs w:val="18"/>
                      <w:highlight w:val="none"/>
                      <w:lang w:val="en-US" w:eastAsia="zh-CN" w:bidi="ar-SA"/>
                    </w:rPr>
                  </w:pPr>
                  <w:r>
                    <w:rPr>
                      <w:rFonts w:hint="eastAsia" w:eastAsia="宋体"/>
                      <w:color w:val="auto"/>
                      <w:sz w:val="18"/>
                      <w:szCs w:val="18"/>
                      <w:highlight w:val="none"/>
                    </w:rPr>
                    <w:t>28.957747</w:t>
                  </w:r>
                </w:p>
              </w:tc>
              <w:tc>
                <w:tcPr>
                  <w:tcW w:w="474" w:type="pct"/>
                  <w:tcBorders>
                    <w:top w:val="single" w:color="auto" w:sz="4" w:space="0"/>
                    <w:left w:val="single" w:color="auto" w:sz="4" w:space="0"/>
                    <w:bottom w:val="single" w:color="auto" w:sz="4" w:space="0"/>
                    <w:right w:val="single" w:color="auto" w:sz="4" w:space="0"/>
                  </w:tcBorders>
                  <w:noWrap w:val="0"/>
                  <w:vAlign w:val="center"/>
                </w:tcPr>
                <w:p w14:paraId="2C5B7372">
                  <w:pPr>
                    <w:keepNext w:val="0"/>
                    <w:keepLines w:val="0"/>
                    <w:widowControl/>
                    <w:suppressLineNumbers w:val="0"/>
                    <w:adjustRightInd w:val="0"/>
                    <w:snapToGrid w:val="0"/>
                    <w:spacing w:before="0" w:beforeAutospacing="0" w:after="0" w:afterAutospacing="0" w:line="276" w:lineRule="auto"/>
                    <w:ind w:left="0" w:right="0"/>
                    <w:jc w:val="center"/>
                    <w:rPr>
                      <w:rFonts w:hint="eastAsia" w:ascii="Times New Roman" w:hAnsi="Times New Roman" w:eastAsia="宋体" w:cs="Times New Roman"/>
                      <w:strike w:val="0"/>
                      <w:dstrike w:val="0"/>
                      <w:color w:val="auto"/>
                      <w:kern w:val="2"/>
                      <w:sz w:val="18"/>
                      <w:szCs w:val="18"/>
                      <w:highlight w:val="none"/>
                      <w:lang w:val="en-US" w:eastAsia="zh-CN" w:bidi="ar-SA"/>
                    </w:rPr>
                  </w:pPr>
                  <w:r>
                    <w:rPr>
                      <w:rFonts w:hint="eastAsia" w:ascii="Times New Roman" w:hAnsi="Times New Roman" w:eastAsia="宋体" w:cs="Times New Roman"/>
                      <w:strike w:val="0"/>
                      <w:dstrike w:val="0"/>
                      <w:color w:val="auto"/>
                      <w:sz w:val="18"/>
                      <w:szCs w:val="18"/>
                      <w:highlight w:val="none"/>
                      <w:lang w:val="en-US" w:eastAsia="zh-CN"/>
                    </w:rPr>
                    <w:t>居住区</w:t>
                  </w:r>
                </w:p>
              </w:tc>
              <w:tc>
                <w:tcPr>
                  <w:tcW w:w="490" w:type="pct"/>
                  <w:tcBorders>
                    <w:top w:val="single" w:color="auto" w:sz="4" w:space="0"/>
                    <w:left w:val="single" w:color="auto" w:sz="4" w:space="0"/>
                    <w:bottom w:val="single" w:color="auto" w:sz="4" w:space="0"/>
                    <w:right w:val="single" w:color="auto" w:sz="4" w:space="0"/>
                  </w:tcBorders>
                  <w:noWrap w:val="0"/>
                  <w:vAlign w:val="center"/>
                </w:tcPr>
                <w:p w14:paraId="09DC2373">
                  <w:pPr>
                    <w:keepNext w:val="0"/>
                    <w:keepLines w:val="0"/>
                    <w:widowControl/>
                    <w:suppressLineNumbers w:val="0"/>
                    <w:adjustRightInd w:val="0"/>
                    <w:snapToGrid w:val="0"/>
                    <w:spacing w:before="0" w:beforeAutospacing="0" w:after="0" w:afterAutospacing="0" w:line="276" w:lineRule="auto"/>
                    <w:ind w:left="0" w:right="0"/>
                    <w:jc w:val="center"/>
                    <w:rPr>
                      <w:rFonts w:hint="eastAsia" w:ascii="Times New Roman" w:hAnsi="Times New Roman" w:eastAsia="宋体" w:cs="Times New Roman"/>
                      <w:strike w:val="0"/>
                      <w:dstrike w:val="0"/>
                      <w:color w:val="auto"/>
                      <w:kern w:val="2"/>
                      <w:sz w:val="18"/>
                      <w:szCs w:val="18"/>
                      <w:highlight w:val="none"/>
                      <w:lang w:val="en-US" w:eastAsia="zh-CN" w:bidi="ar-SA"/>
                    </w:rPr>
                  </w:pPr>
                  <w:r>
                    <w:rPr>
                      <w:rFonts w:hint="eastAsia" w:ascii="Times New Roman" w:hAnsi="Times New Roman" w:eastAsia="宋体" w:cs="Times New Roman"/>
                      <w:strike w:val="0"/>
                      <w:dstrike w:val="0"/>
                      <w:color w:val="auto"/>
                      <w:sz w:val="18"/>
                      <w:szCs w:val="18"/>
                      <w:highlight w:val="none"/>
                      <w:lang w:val="en-US" w:eastAsia="zh-CN"/>
                    </w:rPr>
                    <w:t>居民</w:t>
                  </w:r>
                </w:p>
              </w:tc>
              <w:tc>
                <w:tcPr>
                  <w:tcW w:w="499" w:type="pct"/>
                  <w:tcBorders>
                    <w:top w:val="single" w:color="auto" w:sz="4" w:space="0"/>
                    <w:left w:val="single" w:color="auto" w:sz="4" w:space="0"/>
                    <w:bottom w:val="single" w:color="auto" w:sz="4" w:space="0"/>
                    <w:right w:val="single" w:color="auto" w:sz="4" w:space="0"/>
                  </w:tcBorders>
                  <w:noWrap w:val="0"/>
                  <w:vAlign w:val="center"/>
                </w:tcPr>
                <w:p w14:paraId="0F190F67">
                  <w:pPr>
                    <w:keepNext w:val="0"/>
                    <w:keepLines w:val="0"/>
                    <w:widowControl/>
                    <w:suppressLineNumbers w:val="0"/>
                    <w:adjustRightInd w:val="0"/>
                    <w:snapToGrid w:val="0"/>
                    <w:spacing w:before="0" w:beforeAutospacing="0" w:after="0" w:afterAutospacing="0" w:line="276" w:lineRule="auto"/>
                    <w:ind w:left="0" w:right="0"/>
                    <w:jc w:val="center"/>
                    <w:rPr>
                      <w:rFonts w:hint="eastAsia" w:ascii="Times New Roman" w:hAnsi="Times New Roman" w:eastAsia="宋体" w:cs="Times New Roman"/>
                      <w:strike w:val="0"/>
                      <w:dstrike w:val="0"/>
                      <w:color w:val="auto"/>
                      <w:kern w:val="2"/>
                      <w:sz w:val="18"/>
                      <w:szCs w:val="18"/>
                      <w:highlight w:val="none"/>
                      <w:lang w:val="en-US" w:eastAsia="zh-CN" w:bidi="ar-SA"/>
                    </w:rPr>
                  </w:pPr>
                  <w:r>
                    <w:rPr>
                      <w:rFonts w:hint="eastAsia" w:ascii="Times New Roman" w:hAnsi="Times New Roman" w:eastAsia="宋体" w:cs="Times New Roman"/>
                      <w:strike w:val="0"/>
                      <w:dstrike w:val="0"/>
                      <w:color w:val="auto"/>
                      <w:sz w:val="18"/>
                      <w:szCs w:val="18"/>
                      <w:highlight w:val="none"/>
                      <w:lang w:val="en-US" w:eastAsia="zh-CN"/>
                    </w:rPr>
                    <w:t>二类</w:t>
                  </w:r>
                </w:p>
              </w:tc>
              <w:tc>
                <w:tcPr>
                  <w:tcW w:w="453" w:type="pct"/>
                  <w:tcBorders>
                    <w:top w:val="single" w:color="auto" w:sz="4" w:space="0"/>
                    <w:left w:val="single" w:color="auto" w:sz="4" w:space="0"/>
                    <w:bottom w:val="single" w:color="auto" w:sz="4" w:space="0"/>
                    <w:right w:val="single" w:color="auto" w:sz="4" w:space="0"/>
                  </w:tcBorders>
                  <w:shd w:val="clear" w:color="auto" w:fill="auto"/>
                  <w:noWrap w:val="0"/>
                  <w:vAlign w:val="center"/>
                </w:tcPr>
                <w:p w14:paraId="719EA373">
                  <w:pPr>
                    <w:keepNext w:val="0"/>
                    <w:keepLines w:val="0"/>
                    <w:suppressLineNumbers w:val="0"/>
                    <w:adjustRightInd w:val="0"/>
                    <w:snapToGrid w:val="0"/>
                    <w:spacing w:before="0" w:beforeAutospacing="0" w:after="0" w:afterAutospacing="0"/>
                    <w:ind w:left="0" w:right="0" w:firstLine="0" w:firstLineChars="0"/>
                    <w:jc w:val="center"/>
                    <w:rPr>
                      <w:rFonts w:hint="eastAsia" w:ascii="Times New Roman" w:hAnsi="Times New Roman" w:eastAsia="宋体" w:cs="Times New Roman"/>
                      <w:kern w:val="2"/>
                      <w:sz w:val="18"/>
                      <w:szCs w:val="18"/>
                      <w:highlight w:val="none"/>
                      <w:lang w:val="en-US" w:eastAsia="zh-CN" w:bidi="ar-SA"/>
                    </w:rPr>
                  </w:pPr>
                  <w:r>
                    <w:rPr>
                      <w:rFonts w:hint="eastAsia" w:eastAsia="宋体"/>
                      <w:sz w:val="18"/>
                      <w:szCs w:val="18"/>
                      <w:highlight w:val="none"/>
                      <w:lang w:val="en-US" w:eastAsia="zh-CN"/>
                    </w:rPr>
                    <w:t>东北</w:t>
                  </w:r>
                </w:p>
              </w:tc>
              <w:tc>
                <w:tcPr>
                  <w:tcW w:w="551" w:type="pct"/>
                  <w:tcBorders>
                    <w:top w:val="single" w:color="auto" w:sz="4" w:space="0"/>
                    <w:left w:val="single" w:color="auto" w:sz="4" w:space="0"/>
                    <w:bottom w:val="single" w:color="auto" w:sz="4" w:space="0"/>
                    <w:right w:val="single" w:color="auto" w:sz="4" w:space="0"/>
                  </w:tcBorders>
                  <w:shd w:val="clear" w:color="auto" w:fill="auto"/>
                  <w:noWrap w:val="0"/>
                  <w:vAlign w:val="center"/>
                </w:tcPr>
                <w:p w14:paraId="2F737457">
                  <w:pPr>
                    <w:pStyle w:val="85"/>
                    <w:keepNext w:val="0"/>
                    <w:keepLines w:val="0"/>
                    <w:suppressLineNumbers w:val="0"/>
                    <w:adjustRightInd w:val="0"/>
                    <w:snapToGrid w:val="0"/>
                    <w:spacing w:before="0" w:beforeAutospacing="0" w:after="0" w:afterAutospacing="0"/>
                    <w:ind w:left="0" w:right="0" w:firstLine="0" w:firstLineChars="0"/>
                    <w:jc w:val="center"/>
                    <w:rPr>
                      <w:rFonts w:hint="eastAsia" w:ascii="Times New Roman" w:hAnsi="Times New Roman" w:eastAsia="宋体" w:cs="Times New Roman"/>
                      <w:kern w:val="2"/>
                      <w:sz w:val="18"/>
                      <w:szCs w:val="18"/>
                      <w:highlight w:val="none"/>
                      <w:lang w:val="en-US" w:eastAsia="zh-CN" w:bidi="ar-SA"/>
                    </w:rPr>
                  </w:pPr>
                  <w:r>
                    <w:rPr>
                      <w:rFonts w:hint="eastAsia" w:eastAsia="宋体"/>
                      <w:sz w:val="18"/>
                      <w:szCs w:val="18"/>
                      <w:highlight w:val="none"/>
                      <w:lang w:val="en-US" w:eastAsia="zh-CN"/>
                    </w:rPr>
                    <w:t>468</w:t>
                  </w:r>
                </w:p>
              </w:tc>
            </w:tr>
            <w:tr w14:paraId="7FDDB4D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40" w:hRule="atLeast"/>
                <w:jc w:val="center"/>
              </w:trPr>
              <w:tc>
                <w:tcPr>
                  <w:tcW w:w="366" w:type="pct"/>
                  <w:tcBorders>
                    <w:left w:val="single" w:color="auto" w:sz="4" w:space="0"/>
                    <w:right w:val="single" w:color="auto" w:sz="4" w:space="0"/>
                  </w:tcBorders>
                  <w:noWrap w:val="0"/>
                  <w:vAlign w:val="center"/>
                </w:tcPr>
                <w:p w14:paraId="759ADC98">
                  <w:pPr>
                    <w:keepNext w:val="0"/>
                    <w:keepLines w:val="0"/>
                    <w:widowControl/>
                    <w:suppressLineNumbers w:val="0"/>
                    <w:adjustRightInd w:val="0"/>
                    <w:snapToGrid w:val="0"/>
                    <w:spacing w:before="0" w:beforeAutospacing="0" w:after="0" w:afterAutospacing="0" w:line="276" w:lineRule="auto"/>
                    <w:ind w:left="0" w:right="0"/>
                    <w:jc w:val="center"/>
                    <w:rPr>
                      <w:rFonts w:hint="default" w:ascii="Times New Roman" w:hAnsi="Times New Roman" w:eastAsia="宋体" w:cs="Times New Roman"/>
                      <w:strike w:val="0"/>
                      <w:dstrike w:val="0"/>
                      <w:color w:val="auto"/>
                      <w:sz w:val="18"/>
                      <w:szCs w:val="18"/>
                      <w:highlight w:val="none"/>
                      <w:lang w:val="en-US" w:eastAsia="zh-CN"/>
                    </w:rPr>
                  </w:pPr>
                  <w:r>
                    <w:rPr>
                      <w:rFonts w:hint="eastAsia" w:ascii="Times New Roman" w:hAnsi="Times New Roman" w:eastAsia="宋体" w:cs="Times New Roman"/>
                      <w:strike w:val="0"/>
                      <w:dstrike w:val="0"/>
                      <w:color w:val="auto"/>
                      <w:sz w:val="18"/>
                      <w:szCs w:val="18"/>
                      <w:highlight w:val="none"/>
                      <w:lang w:val="en-US" w:eastAsia="zh-CN"/>
                    </w:rPr>
                    <w:t>13</w:t>
                  </w:r>
                </w:p>
              </w:tc>
              <w:tc>
                <w:tcPr>
                  <w:tcW w:w="1071" w:type="pct"/>
                  <w:tcBorders>
                    <w:top w:val="single" w:color="auto" w:sz="4" w:space="0"/>
                    <w:left w:val="single" w:color="auto" w:sz="4" w:space="0"/>
                    <w:bottom w:val="single" w:color="auto" w:sz="4" w:space="0"/>
                    <w:right w:val="single" w:color="auto" w:sz="4" w:space="0"/>
                  </w:tcBorders>
                  <w:shd w:val="clear" w:color="auto" w:fill="auto"/>
                  <w:noWrap w:val="0"/>
                  <w:vAlign w:val="center"/>
                </w:tcPr>
                <w:p w14:paraId="10721170">
                  <w:pPr>
                    <w:pStyle w:val="85"/>
                    <w:keepNext w:val="0"/>
                    <w:keepLines w:val="0"/>
                    <w:suppressLineNumbers w:val="0"/>
                    <w:adjustRightInd w:val="0"/>
                    <w:snapToGrid w:val="0"/>
                    <w:spacing w:before="0" w:beforeAutospacing="0" w:after="0" w:afterAutospacing="0"/>
                    <w:ind w:left="0" w:right="0" w:firstLine="0" w:firstLineChars="0"/>
                    <w:jc w:val="center"/>
                    <w:rPr>
                      <w:rFonts w:hint="eastAsia" w:ascii="Times New Roman" w:hAnsi="Times New Roman" w:eastAsia="宋体" w:cs="Times New Roman"/>
                      <w:color w:val="auto"/>
                      <w:kern w:val="2"/>
                      <w:sz w:val="18"/>
                      <w:szCs w:val="18"/>
                      <w:highlight w:val="none"/>
                      <w:lang w:val="en-US" w:eastAsia="zh-CN" w:bidi="ar-SA"/>
                    </w:rPr>
                  </w:pPr>
                  <w:r>
                    <w:rPr>
                      <w:rFonts w:hint="eastAsia" w:eastAsia="宋体"/>
                      <w:color w:val="auto"/>
                      <w:sz w:val="18"/>
                      <w:szCs w:val="18"/>
                      <w:highlight w:val="none"/>
                    </w:rPr>
                    <w:t>阳光城檀境</w:t>
                  </w:r>
                </w:p>
              </w:tc>
              <w:tc>
                <w:tcPr>
                  <w:tcW w:w="527" w:type="pct"/>
                  <w:tcBorders>
                    <w:top w:val="single" w:color="auto" w:sz="4" w:space="0"/>
                    <w:left w:val="single" w:color="auto" w:sz="4" w:space="0"/>
                    <w:bottom w:val="single" w:color="auto" w:sz="4" w:space="0"/>
                    <w:right w:val="single" w:color="auto" w:sz="4" w:space="0"/>
                  </w:tcBorders>
                  <w:shd w:val="clear" w:color="auto" w:fill="auto"/>
                  <w:noWrap w:val="0"/>
                  <w:vAlign w:val="center"/>
                </w:tcPr>
                <w:p w14:paraId="57EC6DAC">
                  <w:pPr>
                    <w:pStyle w:val="85"/>
                    <w:keepNext w:val="0"/>
                    <w:keepLines w:val="0"/>
                    <w:suppressLineNumbers w:val="0"/>
                    <w:adjustRightInd w:val="0"/>
                    <w:snapToGrid w:val="0"/>
                    <w:spacing w:before="0" w:beforeAutospacing="0" w:after="0" w:afterAutospacing="0"/>
                    <w:ind w:left="0" w:right="0" w:firstLine="0" w:firstLineChars="0"/>
                    <w:jc w:val="center"/>
                    <w:rPr>
                      <w:rFonts w:hint="default" w:ascii="Times New Roman" w:hAnsi="Times New Roman" w:eastAsia="宋体" w:cs="Times New Roman"/>
                      <w:color w:val="auto"/>
                      <w:kern w:val="2"/>
                      <w:sz w:val="18"/>
                      <w:szCs w:val="18"/>
                      <w:highlight w:val="none"/>
                      <w:lang w:val="en-US" w:eastAsia="zh-CN" w:bidi="ar-SA"/>
                    </w:rPr>
                  </w:pPr>
                  <w:r>
                    <w:rPr>
                      <w:rFonts w:hint="eastAsia" w:eastAsia="宋体"/>
                      <w:color w:val="auto"/>
                      <w:sz w:val="18"/>
                      <w:szCs w:val="18"/>
                      <w:highlight w:val="none"/>
                    </w:rPr>
                    <w:t>118.825746</w:t>
                  </w:r>
                </w:p>
              </w:tc>
              <w:tc>
                <w:tcPr>
                  <w:tcW w:w="564" w:type="pct"/>
                  <w:tcBorders>
                    <w:top w:val="single" w:color="auto" w:sz="4" w:space="0"/>
                    <w:left w:val="single" w:color="auto" w:sz="4" w:space="0"/>
                    <w:bottom w:val="single" w:color="auto" w:sz="4" w:space="0"/>
                    <w:right w:val="single" w:color="auto" w:sz="4" w:space="0"/>
                  </w:tcBorders>
                  <w:shd w:val="clear" w:color="auto" w:fill="auto"/>
                  <w:noWrap w:val="0"/>
                  <w:vAlign w:val="center"/>
                </w:tcPr>
                <w:p w14:paraId="6AA6A7A7">
                  <w:pPr>
                    <w:pStyle w:val="85"/>
                    <w:keepNext w:val="0"/>
                    <w:keepLines w:val="0"/>
                    <w:suppressLineNumbers w:val="0"/>
                    <w:adjustRightInd w:val="0"/>
                    <w:snapToGrid w:val="0"/>
                    <w:spacing w:before="0" w:beforeAutospacing="0" w:after="0" w:afterAutospacing="0"/>
                    <w:ind w:left="0" w:right="0" w:firstLine="0" w:firstLineChars="0"/>
                    <w:jc w:val="center"/>
                    <w:rPr>
                      <w:rFonts w:hint="default" w:ascii="Times New Roman" w:hAnsi="Times New Roman" w:eastAsia="宋体" w:cs="Times New Roman"/>
                      <w:color w:val="auto"/>
                      <w:kern w:val="2"/>
                      <w:sz w:val="18"/>
                      <w:szCs w:val="18"/>
                      <w:highlight w:val="none"/>
                      <w:lang w:val="en-US" w:eastAsia="zh-CN" w:bidi="ar-SA"/>
                    </w:rPr>
                  </w:pPr>
                  <w:r>
                    <w:rPr>
                      <w:rFonts w:hint="eastAsia" w:eastAsia="宋体"/>
                      <w:color w:val="auto"/>
                      <w:sz w:val="18"/>
                      <w:szCs w:val="18"/>
                      <w:highlight w:val="none"/>
                    </w:rPr>
                    <w:t>28.95488</w:t>
                  </w:r>
                  <w:r>
                    <w:rPr>
                      <w:rFonts w:hint="eastAsia" w:eastAsia="宋体"/>
                      <w:color w:val="auto"/>
                      <w:sz w:val="18"/>
                      <w:szCs w:val="18"/>
                      <w:highlight w:val="none"/>
                      <w:lang w:val="en-US" w:eastAsia="zh-CN"/>
                    </w:rPr>
                    <w:t>3</w:t>
                  </w:r>
                </w:p>
              </w:tc>
              <w:tc>
                <w:tcPr>
                  <w:tcW w:w="474" w:type="pct"/>
                  <w:tcBorders>
                    <w:top w:val="single" w:color="auto" w:sz="4" w:space="0"/>
                    <w:left w:val="single" w:color="auto" w:sz="4" w:space="0"/>
                    <w:bottom w:val="single" w:color="auto" w:sz="4" w:space="0"/>
                    <w:right w:val="single" w:color="auto" w:sz="4" w:space="0"/>
                  </w:tcBorders>
                  <w:noWrap w:val="0"/>
                  <w:vAlign w:val="center"/>
                </w:tcPr>
                <w:p w14:paraId="0E3C7F68">
                  <w:pPr>
                    <w:keepNext w:val="0"/>
                    <w:keepLines w:val="0"/>
                    <w:widowControl/>
                    <w:suppressLineNumbers w:val="0"/>
                    <w:adjustRightInd w:val="0"/>
                    <w:snapToGrid w:val="0"/>
                    <w:spacing w:before="0" w:beforeAutospacing="0" w:after="0" w:afterAutospacing="0" w:line="276" w:lineRule="auto"/>
                    <w:ind w:left="0" w:right="0"/>
                    <w:jc w:val="center"/>
                    <w:rPr>
                      <w:rFonts w:hint="eastAsia" w:ascii="Times New Roman" w:hAnsi="Times New Roman" w:eastAsia="宋体" w:cs="Times New Roman"/>
                      <w:strike w:val="0"/>
                      <w:dstrike w:val="0"/>
                      <w:color w:val="auto"/>
                      <w:kern w:val="2"/>
                      <w:sz w:val="18"/>
                      <w:szCs w:val="18"/>
                      <w:highlight w:val="none"/>
                      <w:lang w:val="en-US" w:eastAsia="zh-CN" w:bidi="ar-SA"/>
                    </w:rPr>
                  </w:pPr>
                  <w:r>
                    <w:rPr>
                      <w:rFonts w:hint="eastAsia" w:ascii="Times New Roman" w:hAnsi="Times New Roman" w:eastAsia="宋体" w:cs="Times New Roman"/>
                      <w:strike w:val="0"/>
                      <w:dstrike w:val="0"/>
                      <w:color w:val="auto"/>
                      <w:sz w:val="18"/>
                      <w:szCs w:val="18"/>
                      <w:highlight w:val="none"/>
                      <w:lang w:val="en-US" w:eastAsia="zh-CN"/>
                    </w:rPr>
                    <w:t>居住区</w:t>
                  </w:r>
                </w:p>
              </w:tc>
              <w:tc>
                <w:tcPr>
                  <w:tcW w:w="490" w:type="pct"/>
                  <w:tcBorders>
                    <w:top w:val="single" w:color="auto" w:sz="4" w:space="0"/>
                    <w:left w:val="single" w:color="auto" w:sz="4" w:space="0"/>
                    <w:bottom w:val="single" w:color="auto" w:sz="4" w:space="0"/>
                    <w:right w:val="single" w:color="auto" w:sz="4" w:space="0"/>
                  </w:tcBorders>
                  <w:noWrap w:val="0"/>
                  <w:vAlign w:val="center"/>
                </w:tcPr>
                <w:p w14:paraId="66DE2625">
                  <w:pPr>
                    <w:keepNext w:val="0"/>
                    <w:keepLines w:val="0"/>
                    <w:widowControl/>
                    <w:suppressLineNumbers w:val="0"/>
                    <w:adjustRightInd w:val="0"/>
                    <w:snapToGrid w:val="0"/>
                    <w:spacing w:before="0" w:beforeAutospacing="0" w:after="0" w:afterAutospacing="0" w:line="276" w:lineRule="auto"/>
                    <w:ind w:left="0" w:right="0"/>
                    <w:jc w:val="center"/>
                    <w:rPr>
                      <w:rFonts w:hint="eastAsia" w:ascii="Times New Roman" w:hAnsi="Times New Roman" w:eastAsia="宋体" w:cs="Times New Roman"/>
                      <w:strike w:val="0"/>
                      <w:dstrike w:val="0"/>
                      <w:color w:val="auto"/>
                      <w:kern w:val="2"/>
                      <w:sz w:val="18"/>
                      <w:szCs w:val="18"/>
                      <w:highlight w:val="none"/>
                      <w:lang w:val="en-US" w:eastAsia="zh-CN" w:bidi="ar-SA"/>
                    </w:rPr>
                  </w:pPr>
                  <w:r>
                    <w:rPr>
                      <w:rFonts w:hint="eastAsia" w:ascii="Times New Roman" w:hAnsi="Times New Roman" w:eastAsia="宋体" w:cs="Times New Roman"/>
                      <w:strike w:val="0"/>
                      <w:dstrike w:val="0"/>
                      <w:color w:val="auto"/>
                      <w:sz w:val="18"/>
                      <w:szCs w:val="18"/>
                      <w:highlight w:val="none"/>
                      <w:lang w:val="en-US" w:eastAsia="zh-CN"/>
                    </w:rPr>
                    <w:t>居民</w:t>
                  </w:r>
                </w:p>
              </w:tc>
              <w:tc>
                <w:tcPr>
                  <w:tcW w:w="499" w:type="pct"/>
                  <w:tcBorders>
                    <w:top w:val="single" w:color="auto" w:sz="4" w:space="0"/>
                    <w:left w:val="single" w:color="auto" w:sz="4" w:space="0"/>
                    <w:bottom w:val="single" w:color="auto" w:sz="4" w:space="0"/>
                    <w:right w:val="single" w:color="auto" w:sz="4" w:space="0"/>
                  </w:tcBorders>
                  <w:noWrap w:val="0"/>
                  <w:vAlign w:val="center"/>
                </w:tcPr>
                <w:p w14:paraId="041D4DA2">
                  <w:pPr>
                    <w:keepNext w:val="0"/>
                    <w:keepLines w:val="0"/>
                    <w:widowControl/>
                    <w:suppressLineNumbers w:val="0"/>
                    <w:adjustRightInd w:val="0"/>
                    <w:snapToGrid w:val="0"/>
                    <w:spacing w:before="0" w:beforeAutospacing="0" w:after="0" w:afterAutospacing="0" w:line="276" w:lineRule="auto"/>
                    <w:ind w:left="0" w:right="0"/>
                    <w:jc w:val="center"/>
                    <w:rPr>
                      <w:rFonts w:hint="eastAsia" w:ascii="Times New Roman" w:hAnsi="Times New Roman" w:eastAsia="宋体" w:cs="Times New Roman"/>
                      <w:strike w:val="0"/>
                      <w:dstrike w:val="0"/>
                      <w:color w:val="auto"/>
                      <w:kern w:val="2"/>
                      <w:sz w:val="18"/>
                      <w:szCs w:val="18"/>
                      <w:highlight w:val="none"/>
                      <w:lang w:val="en-US" w:eastAsia="zh-CN" w:bidi="ar-SA"/>
                    </w:rPr>
                  </w:pPr>
                  <w:r>
                    <w:rPr>
                      <w:rFonts w:hint="eastAsia" w:ascii="Times New Roman" w:hAnsi="Times New Roman" w:eastAsia="宋体" w:cs="Times New Roman"/>
                      <w:strike w:val="0"/>
                      <w:dstrike w:val="0"/>
                      <w:color w:val="auto"/>
                      <w:sz w:val="18"/>
                      <w:szCs w:val="18"/>
                      <w:highlight w:val="none"/>
                      <w:lang w:val="en-US" w:eastAsia="zh-CN"/>
                    </w:rPr>
                    <w:t>二类</w:t>
                  </w:r>
                </w:p>
              </w:tc>
              <w:tc>
                <w:tcPr>
                  <w:tcW w:w="453" w:type="pct"/>
                  <w:tcBorders>
                    <w:top w:val="single" w:color="auto" w:sz="4" w:space="0"/>
                    <w:left w:val="single" w:color="auto" w:sz="4" w:space="0"/>
                    <w:bottom w:val="single" w:color="auto" w:sz="4" w:space="0"/>
                    <w:right w:val="single" w:color="auto" w:sz="4" w:space="0"/>
                  </w:tcBorders>
                  <w:shd w:val="clear" w:color="auto" w:fill="auto"/>
                  <w:noWrap w:val="0"/>
                  <w:vAlign w:val="center"/>
                </w:tcPr>
                <w:p w14:paraId="221D168B">
                  <w:pPr>
                    <w:pStyle w:val="85"/>
                    <w:keepNext w:val="0"/>
                    <w:keepLines w:val="0"/>
                    <w:suppressLineNumbers w:val="0"/>
                    <w:adjustRightInd w:val="0"/>
                    <w:snapToGrid w:val="0"/>
                    <w:spacing w:before="0" w:beforeAutospacing="0" w:after="0" w:afterAutospacing="0"/>
                    <w:ind w:left="0" w:right="0" w:firstLine="0" w:firstLineChars="0"/>
                    <w:jc w:val="center"/>
                    <w:rPr>
                      <w:rFonts w:hint="eastAsia" w:ascii="Times New Roman" w:hAnsi="Times New Roman" w:eastAsia="宋体" w:cs="Times New Roman"/>
                      <w:kern w:val="2"/>
                      <w:sz w:val="18"/>
                      <w:szCs w:val="18"/>
                      <w:highlight w:val="none"/>
                      <w:lang w:val="en-US" w:eastAsia="zh-CN" w:bidi="ar-SA"/>
                    </w:rPr>
                  </w:pPr>
                  <w:r>
                    <w:rPr>
                      <w:rFonts w:hint="eastAsia" w:eastAsia="宋体"/>
                      <w:sz w:val="18"/>
                      <w:szCs w:val="18"/>
                      <w:highlight w:val="none"/>
                      <w:lang w:val="en-US" w:eastAsia="zh-CN"/>
                    </w:rPr>
                    <w:t>西北</w:t>
                  </w:r>
                </w:p>
              </w:tc>
              <w:tc>
                <w:tcPr>
                  <w:tcW w:w="551" w:type="pct"/>
                  <w:tcBorders>
                    <w:top w:val="single" w:color="auto" w:sz="4" w:space="0"/>
                    <w:left w:val="single" w:color="auto" w:sz="4" w:space="0"/>
                    <w:bottom w:val="single" w:color="auto" w:sz="4" w:space="0"/>
                    <w:right w:val="single" w:color="auto" w:sz="4" w:space="0"/>
                  </w:tcBorders>
                  <w:shd w:val="clear" w:color="auto" w:fill="auto"/>
                  <w:noWrap w:val="0"/>
                  <w:vAlign w:val="center"/>
                </w:tcPr>
                <w:p w14:paraId="6E019E87">
                  <w:pPr>
                    <w:pStyle w:val="85"/>
                    <w:keepNext w:val="0"/>
                    <w:keepLines w:val="0"/>
                    <w:suppressLineNumbers w:val="0"/>
                    <w:adjustRightInd w:val="0"/>
                    <w:snapToGrid w:val="0"/>
                    <w:spacing w:before="0" w:beforeAutospacing="0" w:after="0" w:afterAutospacing="0"/>
                    <w:ind w:left="0" w:right="0" w:firstLine="0" w:firstLineChars="0"/>
                    <w:jc w:val="center"/>
                    <w:rPr>
                      <w:rFonts w:hint="eastAsia" w:ascii="Times New Roman" w:hAnsi="Times New Roman" w:eastAsia="宋体" w:cs="Times New Roman"/>
                      <w:kern w:val="2"/>
                      <w:sz w:val="18"/>
                      <w:szCs w:val="18"/>
                      <w:highlight w:val="none"/>
                      <w:lang w:val="en-US" w:eastAsia="zh-CN" w:bidi="ar-SA"/>
                    </w:rPr>
                  </w:pPr>
                  <w:r>
                    <w:rPr>
                      <w:rFonts w:hint="eastAsia" w:eastAsia="宋体"/>
                      <w:sz w:val="18"/>
                      <w:szCs w:val="18"/>
                      <w:highlight w:val="none"/>
                      <w:lang w:val="en-US" w:eastAsia="zh-CN"/>
                    </w:rPr>
                    <w:t>498</w:t>
                  </w:r>
                </w:p>
              </w:tc>
            </w:tr>
            <w:tr w14:paraId="72FFBE7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cantSplit/>
                <w:trHeight w:val="340" w:hRule="atLeast"/>
                <w:jc w:val="center"/>
              </w:trPr>
              <w:tc>
                <w:tcPr>
                  <w:tcW w:w="366" w:type="pct"/>
                  <w:tcBorders>
                    <w:left w:val="single" w:color="auto" w:sz="4" w:space="0"/>
                    <w:right w:val="single" w:color="auto" w:sz="4" w:space="0"/>
                  </w:tcBorders>
                  <w:noWrap w:val="0"/>
                  <w:vAlign w:val="center"/>
                </w:tcPr>
                <w:p w14:paraId="565C6502">
                  <w:pPr>
                    <w:keepNext w:val="0"/>
                    <w:keepLines w:val="0"/>
                    <w:widowControl/>
                    <w:suppressLineNumbers w:val="0"/>
                    <w:adjustRightInd w:val="0"/>
                    <w:snapToGrid w:val="0"/>
                    <w:spacing w:before="0" w:beforeAutospacing="0" w:after="0" w:afterAutospacing="0" w:line="276" w:lineRule="auto"/>
                    <w:ind w:left="0" w:right="0"/>
                    <w:jc w:val="center"/>
                    <w:rPr>
                      <w:rFonts w:hint="default" w:ascii="Times New Roman" w:hAnsi="Times New Roman" w:eastAsia="宋体" w:cs="Times New Roman"/>
                      <w:strike w:val="0"/>
                      <w:dstrike w:val="0"/>
                      <w:color w:val="auto"/>
                      <w:sz w:val="18"/>
                      <w:szCs w:val="18"/>
                      <w:highlight w:val="none"/>
                      <w:lang w:val="en-US" w:eastAsia="zh-CN"/>
                    </w:rPr>
                  </w:pPr>
                  <w:r>
                    <w:rPr>
                      <w:rFonts w:hint="eastAsia" w:ascii="Times New Roman" w:hAnsi="Times New Roman" w:eastAsia="宋体" w:cs="Times New Roman"/>
                      <w:strike w:val="0"/>
                      <w:dstrike w:val="0"/>
                      <w:color w:val="auto"/>
                      <w:sz w:val="18"/>
                      <w:szCs w:val="18"/>
                      <w:highlight w:val="none"/>
                      <w:lang w:val="en-US" w:eastAsia="zh-CN"/>
                    </w:rPr>
                    <w:t>14</w:t>
                  </w:r>
                </w:p>
              </w:tc>
              <w:tc>
                <w:tcPr>
                  <w:tcW w:w="1071" w:type="pct"/>
                  <w:tcBorders>
                    <w:top w:val="single" w:color="auto" w:sz="4" w:space="0"/>
                    <w:left w:val="single" w:color="auto" w:sz="4" w:space="0"/>
                    <w:bottom w:val="single" w:color="auto" w:sz="4" w:space="0"/>
                    <w:right w:val="single" w:color="auto" w:sz="4" w:space="0"/>
                  </w:tcBorders>
                  <w:noWrap w:val="0"/>
                  <w:vAlign w:val="center"/>
                </w:tcPr>
                <w:p w14:paraId="7DB30BEA">
                  <w:pPr>
                    <w:keepNext w:val="0"/>
                    <w:keepLines w:val="0"/>
                    <w:widowControl/>
                    <w:suppressLineNumbers w:val="0"/>
                    <w:adjustRightInd w:val="0"/>
                    <w:snapToGrid w:val="0"/>
                    <w:spacing w:before="0" w:beforeAutospacing="0" w:after="0" w:afterAutospacing="0" w:line="276" w:lineRule="auto"/>
                    <w:ind w:left="0" w:right="0"/>
                    <w:jc w:val="center"/>
                    <w:rPr>
                      <w:rFonts w:hint="eastAsia" w:ascii="Times New Roman" w:hAnsi="Times New Roman" w:eastAsia="宋体" w:cs="Times New Roman"/>
                      <w:strike w:val="0"/>
                      <w:dstrike w:val="0"/>
                      <w:color w:val="auto"/>
                      <w:kern w:val="2"/>
                      <w:sz w:val="18"/>
                      <w:szCs w:val="18"/>
                      <w:highlight w:val="none"/>
                      <w:lang w:val="en-US" w:eastAsia="zh-CN" w:bidi="ar-SA"/>
                    </w:rPr>
                  </w:pPr>
                  <w:r>
                    <w:rPr>
                      <w:rFonts w:hint="eastAsia" w:ascii="Times New Roman" w:hAnsi="Times New Roman" w:eastAsia="宋体" w:cs="Times New Roman"/>
                      <w:strike w:val="0"/>
                      <w:dstrike w:val="0"/>
                      <w:color w:val="auto"/>
                      <w:kern w:val="2"/>
                      <w:sz w:val="18"/>
                      <w:szCs w:val="18"/>
                      <w:highlight w:val="none"/>
                      <w:lang w:val="en-US" w:eastAsia="zh-CN" w:bidi="ar-SA"/>
                    </w:rPr>
                    <w:t>新湖社区</w:t>
                  </w:r>
                </w:p>
              </w:tc>
              <w:tc>
                <w:tcPr>
                  <w:tcW w:w="527" w:type="pct"/>
                  <w:tcBorders>
                    <w:top w:val="single" w:color="auto" w:sz="4" w:space="0"/>
                    <w:left w:val="single" w:color="auto" w:sz="4" w:space="0"/>
                    <w:bottom w:val="single" w:color="auto" w:sz="4" w:space="0"/>
                    <w:right w:val="single" w:color="auto" w:sz="4" w:space="0"/>
                  </w:tcBorders>
                  <w:noWrap w:val="0"/>
                  <w:vAlign w:val="center"/>
                </w:tcPr>
                <w:p w14:paraId="7622C0B7">
                  <w:pPr>
                    <w:keepNext w:val="0"/>
                    <w:keepLines w:val="0"/>
                    <w:widowControl/>
                    <w:suppressLineNumbers w:val="0"/>
                    <w:adjustRightInd w:val="0"/>
                    <w:snapToGrid w:val="0"/>
                    <w:spacing w:before="0" w:beforeAutospacing="0" w:after="0" w:afterAutospacing="0" w:line="276" w:lineRule="auto"/>
                    <w:ind w:left="0" w:right="0"/>
                    <w:jc w:val="center"/>
                    <w:rPr>
                      <w:rFonts w:hint="default" w:ascii="Times New Roman" w:hAnsi="Times New Roman" w:eastAsia="宋体" w:cs="Times New Roman"/>
                      <w:strike w:val="0"/>
                      <w:dstrike w:val="0"/>
                      <w:color w:val="auto"/>
                      <w:kern w:val="2"/>
                      <w:sz w:val="18"/>
                      <w:szCs w:val="18"/>
                      <w:highlight w:val="none"/>
                      <w:lang w:val="en-US" w:eastAsia="zh-CN" w:bidi="ar-SA"/>
                    </w:rPr>
                  </w:pPr>
                  <w:r>
                    <w:rPr>
                      <w:rFonts w:hint="default" w:ascii="Times New Roman" w:hAnsi="Times New Roman" w:eastAsia="宋体" w:cs="Times New Roman"/>
                      <w:strike w:val="0"/>
                      <w:dstrike w:val="0"/>
                      <w:color w:val="auto"/>
                      <w:kern w:val="2"/>
                      <w:sz w:val="18"/>
                      <w:szCs w:val="18"/>
                      <w:highlight w:val="none"/>
                      <w:lang w:val="en-US" w:eastAsia="zh-CN" w:bidi="ar-SA"/>
                    </w:rPr>
                    <w:t>118.840945</w:t>
                  </w:r>
                </w:p>
              </w:tc>
              <w:tc>
                <w:tcPr>
                  <w:tcW w:w="564" w:type="pct"/>
                  <w:tcBorders>
                    <w:top w:val="single" w:color="auto" w:sz="4" w:space="0"/>
                    <w:left w:val="single" w:color="auto" w:sz="4" w:space="0"/>
                    <w:bottom w:val="single" w:color="auto" w:sz="4" w:space="0"/>
                    <w:right w:val="single" w:color="auto" w:sz="4" w:space="0"/>
                  </w:tcBorders>
                  <w:noWrap w:val="0"/>
                  <w:vAlign w:val="center"/>
                </w:tcPr>
                <w:p w14:paraId="755D47D4">
                  <w:pPr>
                    <w:keepNext w:val="0"/>
                    <w:keepLines w:val="0"/>
                    <w:widowControl/>
                    <w:suppressLineNumbers w:val="0"/>
                    <w:adjustRightInd w:val="0"/>
                    <w:snapToGrid w:val="0"/>
                    <w:spacing w:before="0" w:beforeAutospacing="0" w:after="0" w:afterAutospacing="0" w:line="276" w:lineRule="auto"/>
                    <w:ind w:left="0" w:right="0"/>
                    <w:jc w:val="center"/>
                    <w:rPr>
                      <w:rFonts w:hint="default" w:ascii="Times New Roman" w:hAnsi="Times New Roman" w:eastAsia="宋体" w:cs="Times New Roman"/>
                      <w:strike w:val="0"/>
                      <w:dstrike w:val="0"/>
                      <w:color w:val="auto"/>
                      <w:kern w:val="2"/>
                      <w:sz w:val="18"/>
                      <w:szCs w:val="18"/>
                      <w:highlight w:val="none"/>
                      <w:lang w:val="en-US" w:eastAsia="zh-CN" w:bidi="ar-SA"/>
                    </w:rPr>
                  </w:pPr>
                  <w:r>
                    <w:rPr>
                      <w:rFonts w:hint="default" w:ascii="Times New Roman" w:hAnsi="Times New Roman" w:eastAsia="宋体" w:cs="Times New Roman"/>
                      <w:strike w:val="0"/>
                      <w:dstrike w:val="0"/>
                      <w:color w:val="auto"/>
                      <w:kern w:val="2"/>
                      <w:sz w:val="18"/>
                      <w:szCs w:val="18"/>
                      <w:highlight w:val="none"/>
                      <w:lang w:val="en-US" w:eastAsia="zh-CN" w:bidi="ar-SA"/>
                    </w:rPr>
                    <w:t>28.960327</w:t>
                  </w:r>
                </w:p>
              </w:tc>
              <w:tc>
                <w:tcPr>
                  <w:tcW w:w="474" w:type="pct"/>
                  <w:tcBorders>
                    <w:top w:val="single" w:color="auto" w:sz="4" w:space="0"/>
                    <w:left w:val="single" w:color="auto" w:sz="4" w:space="0"/>
                    <w:bottom w:val="single" w:color="auto" w:sz="4" w:space="0"/>
                    <w:right w:val="single" w:color="auto" w:sz="4" w:space="0"/>
                  </w:tcBorders>
                  <w:shd w:val="clear" w:color="auto" w:fill="auto"/>
                  <w:noWrap w:val="0"/>
                  <w:vAlign w:val="center"/>
                </w:tcPr>
                <w:p w14:paraId="5C960698">
                  <w:pPr>
                    <w:keepNext w:val="0"/>
                    <w:keepLines w:val="0"/>
                    <w:widowControl/>
                    <w:suppressLineNumbers w:val="0"/>
                    <w:adjustRightInd w:val="0"/>
                    <w:snapToGrid w:val="0"/>
                    <w:spacing w:before="0" w:beforeAutospacing="0" w:after="0" w:afterAutospacing="0" w:line="276" w:lineRule="auto"/>
                    <w:ind w:left="0" w:right="0"/>
                    <w:jc w:val="center"/>
                    <w:rPr>
                      <w:rFonts w:hint="eastAsia" w:ascii="Times New Roman" w:hAnsi="Times New Roman" w:eastAsia="宋体" w:cs="Times New Roman"/>
                      <w:strike w:val="0"/>
                      <w:dstrike w:val="0"/>
                      <w:color w:val="auto"/>
                      <w:kern w:val="2"/>
                      <w:sz w:val="18"/>
                      <w:szCs w:val="18"/>
                      <w:highlight w:val="none"/>
                      <w:lang w:val="en-US" w:eastAsia="zh-CN" w:bidi="ar-SA"/>
                    </w:rPr>
                  </w:pPr>
                  <w:r>
                    <w:rPr>
                      <w:rFonts w:hint="eastAsia" w:ascii="Times New Roman" w:hAnsi="Times New Roman" w:eastAsia="宋体" w:cs="Times New Roman"/>
                      <w:strike w:val="0"/>
                      <w:dstrike w:val="0"/>
                      <w:color w:val="auto"/>
                      <w:sz w:val="18"/>
                      <w:szCs w:val="18"/>
                      <w:highlight w:val="none"/>
                      <w:lang w:val="en-US" w:eastAsia="zh-CN"/>
                    </w:rPr>
                    <w:t>居住区</w:t>
                  </w:r>
                </w:p>
              </w:tc>
              <w:tc>
                <w:tcPr>
                  <w:tcW w:w="490" w:type="pct"/>
                  <w:tcBorders>
                    <w:top w:val="single" w:color="auto" w:sz="4" w:space="0"/>
                    <w:left w:val="single" w:color="auto" w:sz="4" w:space="0"/>
                    <w:bottom w:val="single" w:color="auto" w:sz="4" w:space="0"/>
                    <w:right w:val="single" w:color="auto" w:sz="4" w:space="0"/>
                  </w:tcBorders>
                  <w:shd w:val="clear" w:color="auto" w:fill="auto"/>
                  <w:noWrap w:val="0"/>
                  <w:vAlign w:val="center"/>
                </w:tcPr>
                <w:p w14:paraId="5D0FA65F">
                  <w:pPr>
                    <w:keepNext w:val="0"/>
                    <w:keepLines w:val="0"/>
                    <w:widowControl/>
                    <w:suppressLineNumbers w:val="0"/>
                    <w:adjustRightInd w:val="0"/>
                    <w:snapToGrid w:val="0"/>
                    <w:spacing w:before="0" w:beforeAutospacing="0" w:after="0" w:afterAutospacing="0" w:line="276" w:lineRule="auto"/>
                    <w:ind w:left="0" w:right="0"/>
                    <w:jc w:val="center"/>
                    <w:rPr>
                      <w:rFonts w:hint="eastAsia" w:ascii="Times New Roman" w:hAnsi="Times New Roman" w:eastAsia="宋体" w:cs="Times New Roman"/>
                      <w:strike w:val="0"/>
                      <w:dstrike w:val="0"/>
                      <w:color w:val="auto"/>
                      <w:kern w:val="2"/>
                      <w:sz w:val="18"/>
                      <w:szCs w:val="18"/>
                      <w:highlight w:val="none"/>
                      <w:lang w:val="en-US" w:eastAsia="zh-CN" w:bidi="ar-SA"/>
                    </w:rPr>
                  </w:pPr>
                  <w:r>
                    <w:rPr>
                      <w:rFonts w:hint="eastAsia" w:ascii="Times New Roman" w:hAnsi="Times New Roman" w:eastAsia="宋体" w:cs="Times New Roman"/>
                      <w:strike w:val="0"/>
                      <w:dstrike w:val="0"/>
                      <w:color w:val="auto"/>
                      <w:sz w:val="18"/>
                      <w:szCs w:val="18"/>
                      <w:highlight w:val="none"/>
                      <w:lang w:val="en-US" w:eastAsia="zh-CN"/>
                    </w:rPr>
                    <w:t>居民</w:t>
                  </w:r>
                </w:p>
              </w:tc>
              <w:tc>
                <w:tcPr>
                  <w:tcW w:w="499" w:type="pct"/>
                  <w:tcBorders>
                    <w:top w:val="single" w:color="auto" w:sz="4" w:space="0"/>
                    <w:left w:val="single" w:color="auto" w:sz="4" w:space="0"/>
                    <w:bottom w:val="single" w:color="auto" w:sz="4" w:space="0"/>
                    <w:right w:val="single" w:color="auto" w:sz="4" w:space="0"/>
                  </w:tcBorders>
                  <w:shd w:val="clear" w:color="auto" w:fill="auto"/>
                  <w:noWrap w:val="0"/>
                  <w:vAlign w:val="center"/>
                </w:tcPr>
                <w:p w14:paraId="1D1DEEE2">
                  <w:pPr>
                    <w:keepNext w:val="0"/>
                    <w:keepLines w:val="0"/>
                    <w:widowControl/>
                    <w:suppressLineNumbers w:val="0"/>
                    <w:adjustRightInd w:val="0"/>
                    <w:snapToGrid w:val="0"/>
                    <w:spacing w:before="0" w:beforeAutospacing="0" w:after="0" w:afterAutospacing="0" w:line="276" w:lineRule="auto"/>
                    <w:ind w:left="0" w:right="0"/>
                    <w:jc w:val="center"/>
                    <w:rPr>
                      <w:rFonts w:hint="eastAsia" w:ascii="Times New Roman" w:hAnsi="Times New Roman" w:eastAsia="宋体" w:cs="Times New Roman"/>
                      <w:strike w:val="0"/>
                      <w:dstrike w:val="0"/>
                      <w:color w:val="auto"/>
                      <w:kern w:val="2"/>
                      <w:sz w:val="18"/>
                      <w:szCs w:val="18"/>
                      <w:highlight w:val="none"/>
                      <w:lang w:val="en-US" w:eastAsia="zh-CN" w:bidi="ar-SA"/>
                    </w:rPr>
                  </w:pPr>
                  <w:r>
                    <w:rPr>
                      <w:rFonts w:hint="eastAsia" w:ascii="Times New Roman" w:hAnsi="Times New Roman" w:eastAsia="宋体" w:cs="Times New Roman"/>
                      <w:strike w:val="0"/>
                      <w:dstrike w:val="0"/>
                      <w:color w:val="auto"/>
                      <w:sz w:val="18"/>
                      <w:szCs w:val="18"/>
                      <w:highlight w:val="none"/>
                      <w:lang w:val="en-US" w:eastAsia="zh-CN"/>
                    </w:rPr>
                    <w:t>二类</w:t>
                  </w:r>
                </w:p>
              </w:tc>
              <w:tc>
                <w:tcPr>
                  <w:tcW w:w="453" w:type="pct"/>
                  <w:tcBorders>
                    <w:top w:val="single" w:color="auto" w:sz="4" w:space="0"/>
                    <w:left w:val="single" w:color="auto" w:sz="4" w:space="0"/>
                    <w:bottom w:val="single" w:color="auto" w:sz="4" w:space="0"/>
                    <w:right w:val="single" w:color="auto" w:sz="4" w:space="0"/>
                  </w:tcBorders>
                  <w:noWrap w:val="0"/>
                  <w:vAlign w:val="center"/>
                </w:tcPr>
                <w:p w14:paraId="3CD68CBD">
                  <w:pPr>
                    <w:keepNext w:val="0"/>
                    <w:keepLines w:val="0"/>
                    <w:widowControl/>
                    <w:suppressLineNumbers w:val="0"/>
                    <w:adjustRightInd w:val="0"/>
                    <w:snapToGrid w:val="0"/>
                    <w:spacing w:before="0" w:beforeAutospacing="0" w:after="0" w:afterAutospacing="0" w:line="276" w:lineRule="auto"/>
                    <w:ind w:left="0" w:right="0"/>
                    <w:jc w:val="center"/>
                    <w:rPr>
                      <w:rFonts w:hint="default" w:ascii="Times New Roman" w:hAnsi="Times New Roman" w:eastAsia="宋体" w:cs="Times New Roman"/>
                      <w:strike w:val="0"/>
                      <w:dstrike w:val="0"/>
                      <w:color w:val="auto"/>
                      <w:kern w:val="2"/>
                      <w:sz w:val="18"/>
                      <w:szCs w:val="18"/>
                      <w:highlight w:val="none"/>
                      <w:lang w:val="en-US" w:eastAsia="zh-CN" w:bidi="ar-SA"/>
                    </w:rPr>
                  </w:pPr>
                  <w:r>
                    <w:rPr>
                      <w:rFonts w:hint="eastAsia" w:ascii="Times New Roman" w:hAnsi="Times New Roman" w:eastAsia="宋体" w:cs="Times New Roman"/>
                      <w:strike w:val="0"/>
                      <w:dstrike w:val="0"/>
                      <w:color w:val="auto"/>
                      <w:kern w:val="2"/>
                      <w:sz w:val="18"/>
                      <w:szCs w:val="18"/>
                      <w:highlight w:val="none"/>
                      <w:lang w:val="en-US" w:eastAsia="zh-CN" w:bidi="ar-SA"/>
                    </w:rPr>
                    <w:t>东北</w:t>
                  </w:r>
                </w:p>
              </w:tc>
              <w:tc>
                <w:tcPr>
                  <w:tcW w:w="551" w:type="pct"/>
                  <w:tcBorders>
                    <w:top w:val="single" w:color="auto" w:sz="4" w:space="0"/>
                    <w:left w:val="single" w:color="auto" w:sz="4" w:space="0"/>
                    <w:bottom w:val="single" w:color="auto" w:sz="4" w:space="0"/>
                    <w:right w:val="single" w:color="auto" w:sz="4" w:space="0"/>
                  </w:tcBorders>
                  <w:noWrap w:val="0"/>
                  <w:vAlign w:val="center"/>
                </w:tcPr>
                <w:p w14:paraId="39D68714">
                  <w:pPr>
                    <w:keepNext w:val="0"/>
                    <w:keepLines w:val="0"/>
                    <w:widowControl/>
                    <w:suppressLineNumbers w:val="0"/>
                    <w:adjustRightInd w:val="0"/>
                    <w:snapToGrid w:val="0"/>
                    <w:spacing w:before="0" w:beforeAutospacing="0" w:after="0" w:afterAutospacing="0" w:line="276" w:lineRule="auto"/>
                    <w:ind w:left="0" w:right="0"/>
                    <w:jc w:val="center"/>
                    <w:rPr>
                      <w:rFonts w:hint="default" w:ascii="Times New Roman" w:hAnsi="Times New Roman" w:eastAsia="宋体" w:cs="Times New Roman"/>
                      <w:strike w:val="0"/>
                      <w:dstrike w:val="0"/>
                      <w:color w:val="auto"/>
                      <w:kern w:val="2"/>
                      <w:sz w:val="18"/>
                      <w:szCs w:val="18"/>
                      <w:highlight w:val="none"/>
                      <w:lang w:val="en-US" w:eastAsia="zh-CN" w:bidi="ar-SA"/>
                    </w:rPr>
                  </w:pPr>
                  <w:r>
                    <w:rPr>
                      <w:rFonts w:hint="eastAsia" w:ascii="Times New Roman" w:hAnsi="Times New Roman" w:eastAsia="宋体" w:cs="Times New Roman"/>
                      <w:strike w:val="0"/>
                      <w:dstrike w:val="0"/>
                      <w:color w:val="auto"/>
                      <w:kern w:val="2"/>
                      <w:sz w:val="18"/>
                      <w:szCs w:val="18"/>
                      <w:highlight w:val="none"/>
                      <w:lang w:val="en-US" w:eastAsia="zh-CN" w:bidi="ar-SA"/>
                    </w:rPr>
                    <w:t>1150</w:t>
                  </w:r>
                </w:p>
              </w:tc>
            </w:tr>
            <w:tr w14:paraId="35E94B6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40" w:hRule="atLeast"/>
                <w:jc w:val="center"/>
              </w:trPr>
              <w:tc>
                <w:tcPr>
                  <w:tcW w:w="366" w:type="pct"/>
                  <w:tcBorders>
                    <w:left w:val="single" w:color="auto" w:sz="4" w:space="0"/>
                    <w:right w:val="single" w:color="auto" w:sz="4" w:space="0"/>
                  </w:tcBorders>
                  <w:noWrap w:val="0"/>
                  <w:vAlign w:val="center"/>
                </w:tcPr>
                <w:p w14:paraId="41F734C0">
                  <w:pPr>
                    <w:keepNext w:val="0"/>
                    <w:keepLines w:val="0"/>
                    <w:widowControl/>
                    <w:suppressLineNumbers w:val="0"/>
                    <w:adjustRightInd w:val="0"/>
                    <w:snapToGrid w:val="0"/>
                    <w:spacing w:before="0" w:beforeAutospacing="0" w:after="0" w:afterAutospacing="0" w:line="276" w:lineRule="auto"/>
                    <w:ind w:left="0" w:right="0"/>
                    <w:jc w:val="center"/>
                    <w:rPr>
                      <w:rFonts w:hint="default" w:ascii="Times New Roman" w:hAnsi="Times New Roman" w:eastAsia="宋体" w:cs="Times New Roman"/>
                      <w:strike w:val="0"/>
                      <w:dstrike w:val="0"/>
                      <w:color w:val="auto"/>
                      <w:sz w:val="18"/>
                      <w:szCs w:val="18"/>
                      <w:highlight w:val="none"/>
                      <w:lang w:val="en-US" w:eastAsia="zh-CN"/>
                    </w:rPr>
                  </w:pPr>
                  <w:r>
                    <w:rPr>
                      <w:rFonts w:hint="eastAsia" w:ascii="Times New Roman" w:hAnsi="Times New Roman" w:eastAsia="宋体" w:cs="Times New Roman"/>
                      <w:strike w:val="0"/>
                      <w:dstrike w:val="0"/>
                      <w:color w:val="auto"/>
                      <w:sz w:val="18"/>
                      <w:szCs w:val="18"/>
                      <w:highlight w:val="none"/>
                      <w:lang w:val="en-US" w:eastAsia="zh-CN"/>
                    </w:rPr>
                    <w:t>15</w:t>
                  </w:r>
                </w:p>
              </w:tc>
              <w:tc>
                <w:tcPr>
                  <w:tcW w:w="1071" w:type="pct"/>
                  <w:tcBorders>
                    <w:top w:val="single" w:color="auto" w:sz="4" w:space="0"/>
                    <w:left w:val="single" w:color="auto" w:sz="4" w:space="0"/>
                    <w:bottom w:val="single" w:color="auto" w:sz="4" w:space="0"/>
                    <w:right w:val="single" w:color="auto" w:sz="4" w:space="0"/>
                  </w:tcBorders>
                  <w:noWrap w:val="0"/>
                  <w:vAlign w:val="center"/>
                </w:tcPr>
                <w:p w14:paraId="24E0B8B9">
                  <w:pPr>
                    <w:keepNext w:val="0"/>
                    <w:keepLines w:val="0"/>
                    <w:widowControl/>
                    <w:suppressLineNumbers w:val="0"/>
                    <w:adjustRightInd w:val="0"/>
                    <w:snapToGrid w:val="0"/>
                    <w:spacing w:before="0" w:beforeAutospacing="0" w:after="0" w:afterAutospacing="0" w:line="276" w:lineRule="auto"/>
                    <w:ind w:left="0" w:right="0"/>
                    <w:jc w:val="center"/>
                    <w:rPr>
                      <w:rFonts w:hint="eastAsia" w:ascii="Times New Roman" w:hAnsi="Times New Roman" w:eastAsia="宋体" w:cs="Times New Roman"/>
                      <w:strike w:val="0"/>
                      <w:dstrike w:val="0"/>
                      <w:color w:val="auto"/>
                      <w:kern w:val="2"/>
                      <w:sz w:val="18"/>
                      <w:szCs w:val="18"/>
                      <w:highlight w:val="none"/>
                      <w:lang w:val="en-US" w:eastAsia="zh-CN" w:bidi="ar-SA"/>
                    </w:rPr>
                  </w:pPr>
                  <w:r>
                    <w:rPr>
                      <w:rFonts w:hint="eastAsia" w:ascii="Times New Roman" w:hAnsi="Times New Roman" w:eastAsia="宋体" w:cs="Times New Roman"/>
                      <w:strike w:val="0"/>
                      <w:dstrike w:val="0"/>
                      <w:color w:val="auto"/>
                      <w:kern w:val="2"/>
                      <w:sz w:val="18"/>
                      <w:szCs w:val="18"/>
                      <w:highlight w:val="none"/>
                      <w:lang w:val="en-US" w:eastAsia="zh-CN" w:bidi="ar-SA"/>
                    </w:rPr>
                    <w:t>智兴社区</w:t>
                  </w:r>
                </w:p>
              </w:tc>
              <w:tc>
                <w:tcPr>
                  <w:tcW w:w="527" w:type="pct"/>
                  <w:tcBorders>
                    <w:top w:val="single" w:color="auto" w:sz="4" w:space="0"/>
                    <w:left w:val="single" w:color="auto" w:sz="4" w:space="0"/>
                    <w:bottom w:val="single" w:color="auto" w:sz="4" w:space="0"/>
                    <w:right w:val="single" w:color="auto" w:sz="4" w:space="0"/>
                  </w:tcBorders>
                  <w:noWrap w:val="0"/>
                  <w:vAlign w:val="center"/>
                </w:tcPr>
                <w:p w14:paraId="6EB0516E">
                  <w:pPr>
                    <w:keepNext w:val="0"/>
                    <w:keepLines w:val="0"/>
                    <w:widowControl/>
                    <w:suppressLineNumbers w:val="0"/>
                    <w:adjustRightInd w:val="0"/>
                    <w:snapToGrid w:val="0"/>
                    <w:spacing w:before="0" w:beforeAutospacing="0" w:after="0" w:afterAutospacing="0" w:line="276" w:lineRule="auto"/>
                    <w:ind w:left="0" w:right="0"/>
                    <w:jc w:val="center"/>
                    <w:rPr>
                      <w:rFonts w:hint="default" w:ascii="Times New Roman" w:hAnsi="Times New Roman" w:eastAsia="宋体" w:cs="Times New Roman"/>
                      <w:strike w:val="0"/>
                      <w:dstrike w:val="0"/>
                      <w:color w:val="auto"/>
                      <w:kern w:val="2"/>
                      <w:sz w:val="18"/>
                      <w:szCs w:val="18"/>
                      <w:highlight w:val="none"/>
                      <w:lang w:val="en-US" w:eastAsia="zh-CN" w:bidi="ar-SA"/>
                    </w:rPr>
                  </w:pPr>
                  <w:r>
                    <w:rPr>
                      <w:rFonts w:hint="default" w:ascii="Times New Roman" w:hAnsi="Times New Roman" w:eastAsia="宋体" w:cs="Times New Roman"/>
                      <w:strike w:val="0"/>
                      <w:dstrike w:val="0"/>
                      <w:color w:val="auto"/>
                      <w:kern w:val="2"/>
                      <w:sz w:val="18"/>
                      <w:szCs w:val="18"/>
                      <w:highlight w:val="none"/>
                      <w:lang w:val="en-US" w:eastAsia="zh-CN" w:bidi="ar-SA"/>
                    </w:rPr>
                    <w:t>118.835028</w:t>
                  </w:r>
                </w:p>
              </w:tc>
              <w:tc>
                <w:tcPr>
                  <w:tcW w:w="564" w:type="pct"/>
                  <w:tcBorders>
                    <w:top w:val="single" w:color="auto" w:sz="4" w:space="0"/>
                    <w:left w:val="single" w:color="auto" w:sz="4" w:space="0"/>
                    <w:bottom w:val="single" w:color="auto" w:sz="4" w:space="0"/>
                    <w:right w:val="single" w:color="auto" w:sz="4" w:space="0"/>
                  </w:tcBorders>
                  <w:noWrap w:val="0"/>
                  <w:vAlign w:val="center"/>
                </w:tcPr>
                <w:p w14:paraId="3DDC4B8E">
                  <w:pPr>
                    <w:keepNext w:val="0"/>
                    <w:keepLines w:val="0"/>
                    <w:widowControl/>
                    <w:suppressLineNumbers w:val="0"/>
                    <w:adjustRightInd w:val="0"/>
                    <w:snapToGrid w:val="0"/>
                    <w:spacing w:before="0" w:beforeAutospacing="0" w:after="0" w:afterAutospacing="0" w:line="276" w:lineRule="auto"/>
                    <w:ind w:left="0" w:right="0"/>
                    <w:jc w:val="center"/>
                    <w:rPr>
                      <w:rFonts w:hint="default" w:ascii="Times New Roman" w:hAnsi="Times New Roman" w:eastAsia="宋体" w:cs="Times New Roman"/>
                      <w:strike w:val="0"/>
                      <w:dstrike w:val="0"/>
                      <w:color w:val="auto"/>
                      <w:kern w:val="2"/>
                      <w:sz w:val="18"/>
                      <w:szCs w:val="18"/>
                      <w:highlight w:val="none"/>
                      <w:lang w:val="en-US" w:eastAsia="zh-CN" w:bidi="ar-SA"/>
                    </w:rPr>
                  </w:pPr>
                  <w:r>
                    <w:rPr>
                      <w:rFonts w:hint="default" w:ascii="Times New Roman" w:hAnsi="Times New Roman" w:eastAsia="宋体" w:cs="Times New Roman"/>
                      <w:strike w:val="0"/>
                      <w:dstrike w:val="0"/>
                      <w:color w:val="auto"/>
                      <w:kern w:val="2"/>
                      <w:sz w:val="18"/>
                      <w:szCs w:val="18"/>
                      <w:highlight w:val="none"/>
                      <w:lang w:val="en-US" w:eastAsia="zh-CN" w:bidi="ar-SA"/>
                    </w:rPr>
                    <w:t>28.95772</w:t>
                  </w:r>
                  <w:r>
                    <w:rPr>
                      <w:rFonts w:hint="eastAsia" w:ascii="Times New Roman" w:hAnsi="Times New Roman" w:eastAsia="宋体" w:cs="Times New Roman"/>
                      <w:strike w:val="0"/>
                      <w:dstrike w:val="0"/>
                      <w:color w:val="auto"/>
                      <w:kern w:val="2"/>
                      <w:sz w:val="18"/>
                      <w:szCs w:val="18"/>
                      <w:highlight w:val="none"/>
                      <w:lang w:val="en-US" w:eastAsia="zh-CN" w:bidi="ar-SA"/>
                    </w:rPr>
                    <w:t>6</w:t>
                  </w:r>
                </w:p>
              </w:tc>
              <w:tc>
                <w:tcPr>
                  <w:tcW w:w="474" w:type="pct"/>
                  <w:tcBorders>
                    <w:top w:val="single" w:color="auto" w:sz="4" w:space="0"/>
                    <w:left w:val="single" w:color="auto" w:sz="4" w:space="0"/>
                    <w:bottom w:val="single" w:color="auto" w:sz="4" w:space="0"/>
                    <w:right w:val="single" w:color="auto" w:sz="4" w:space="0"/>
                  </w:tcBorders>
                  <w:shd w:val="clear" w:color="auto" w:fill="auto"/>
                  <w:noWrap w:val="0"/>
                  <w:vAlign w:val="center"/>
                </w:tcPr>
                <w:p w14:paraId="6AD62546">
                  <w:pPr>
                    <w:keepNext w:val="0"/>
                    <w:keepLines w:val="0"/>
                    <w:widowControl/>
                    <w:suppressLineNumbers w:val="0"/>
                    <w:adjustRightInd w:val="0"/>
                    <w:snapToGrid w:val="0"/>
                    <w:spacing w:before="0" w:beforeAutospacing="0" w:after="0" w:afterAutospacing="0" w:line="276" w:lineRule="auto"/>
                    <w:ind w:left="0" w:right="0"/>
                    <w:jc w:val="center"/>
                    <w:rPr>
                      <w:rFonts w:hint="eastAsia" w:ascii="Times New Roman" w:hAnsi="Times New Roman" w:eastAsia="宋体" w:cs="Times New Roman"/>
                      <w:strike w:val="0"/>
                      <w:dstrike w:val="0"/>
                      <w:color w:val="auto"/>
                      <w:kern w:val="2"/>
                      <w:sz w:val="18"/>
                      <w:szCs w:val="18"/>
                      <w:highlight w:val="none"/>
                      <w:lang w:val="en-US" w:eastAsia="zh-CN" w:bidi="ar-SA"/>
                    </w:rPr>
                  </w:pPr>
                  <w:r>
                    <w:rPr>
                      <w:rFonts w:hint="eastAsia" w:ascii="Times New Roman" w:hAnsi="Times New Roman" w:eastAsia="宋体" w:cs="Times New Roman"/>
                      <w:strike w:val="0"/>
                      <w:dstrike w:val="0"/>
                      <w:color w:val="auto"/>
                      <w:sz w:val="18"/>
                      <w:szCs w:val="18"/>
                      <w:highlight w:val="none"/>
                      <w:lang w:val="en-US" w:eastAsia="zh-CN"/>
                    </w:rPr>
                    <w:t>居住区</w:t>
                  </w:r>
                </w:p>
              </w:tc>
              <w:tc>
                <w:tcPr>
                  <w:tcW w:w="490" w:type="pct"/>
                  <w:tcBorders>
                    <w:top w:val="single" w:color="auto" w:sz="4" w:space="0"/>
                    <w:left w:val="single" w:color="auto" w:sz="4" w:space="0"/>
                    <w:bottom w:val="single" w:color="auto" w:sz="4" w:space="0"/>
                    <w:right w:val="single" w:color="auto" w:sz="4" w:space="0"/>
                  </w:tcBorders>
                  <w:shd w:val="clear" w:color="auto" w:fill="auto"/>
                  <w:noWrap w:val="0"/>
                  <w:vAlign w:val="center"/>
                </w:tcPr>
                <w:p w14:paraId="23A347D7">
                  <w:pPr>
                    <w:keepNext w:val="0"/>
                    <w:keepLines w:val="0"/>
                    <w:widowControl/>
                    <w:suppressLineNumbers w:val="0"/>
                    <w:adjustRightInd w:val="0"/>
                    <w:snapToGrid w:val="0"/>
                    <w:spacing w:before="0" w:beforeAutospacing="0" w:after="0" w:afterAutospacing="0" w:line="276" w:lineRule="auto"/>
                    <w:ind w:left="0" w:right="0"/>
                    <w:jc w:val="center"/>
                    <w:rPr>
                      <w:rFonts w:hint="eastAsia" w:ascii="Times New Roman" w:hAnsi="Times New Roman" w:eastAsia="宋体" w:cs="Times New Roman"/>
                      <w:strike w:val="0"/>
                      <w:dstrike w:val="0"/>
                      <w:color w:val="auto"/>
                      <w:kern w:val="2"/>
                      <w:sz w:val="18"/>
                      <w:szCs w:val="18"/>
                      <w:highlight w:val="none"/>
                      <w:lang w:val="en-US" w:eastAsia="zh-CN" w:bidi="ar-SA"/>
                    </w:rPr>
                  </w:pPr>
                  <w:r>
                    <w:rPr>
                      <w:rFonts w:hint="eastAsia" w:ascii="Times New Roman" w:hAnsi="Times New Roman" w:eastAsia="宋体" w:cs="Times New Roman"/>
                      <w:strike w:val="0"/>
                      <w:dstrike w:val="0"/>
                      <w:color w:val="auto"/>
                      <w:sz w:val="18"/>
                      <w:szCs w:val="18"/>
                      <w:highlight w:val="none"/>
                      <w:lang w:val="en-US" w:eastAsia="zh-CN"/>
                    </w:rPr>
                    <w:t>居民</w:t>
                  </w:r>
                </w:p>
              </w:tc>
              <w:tc>
                <w:tcPr>
                  <w:tcW w:w="499" w:type="pct"/>
                  <w:tcBorders>
                    <w:top w:val="single" w:color="auto" w:sz="4" w:space="0"/>
                    <w:left w:val="single" w:color="auto" w:sz="4" w:space="0"/>
                    <w:bottom w:val="single" w:color="auto" w:sz="4" w:space="0"/>
                    <w:right w:val="single" w:color="auto" w:sz="4" w:space="0"/>
                  </w:tcBorders>
                  <w:shd w:val="clear" w:color="auto" w:fill="auto"/>
                  <w:noWrap w:val="0"/>
                  <w:vAlign w:val="center"/>
                </w:tcPr>
                <w:p w14:paraId="3E5BEF7C">
                  <w:pPr>
                    <w:keepNext w:val="0"/>
                    <w:keepLines w:val="0"/>
                    <w:widowControl/>
                    <w:suppressLineNumbers w:val="0"/>
                    <w:adjustRightInd w:val="0"/>
                    <w:snapToGrid w:val="0"/>
                    <w:spacing w:before="0" w:beforeAutospacing="0" w:after="0" w:afterAutospacing="0" w:line="276" w:lineRule="auto"/>
                    <w:ind w:left="0" w:right="0"/>
                    <w:jc w:val="center"/>
                    <w:rPr>
                      <w:rFonts w:hint="eastAsia" w:ascii="Times New Roman" w:hAnsi="Times New Roman" w:eastAsia="宋体" w:cs="Times New Roman"/>
                      <w:strike w:val="0"/>
                      <w:dstrike w:val="0"/>
                      <w:color w:val="auto"/>
                      <w:kern w:val="2"/>
                      <w:sz w:val="18"/>
                      <w:szCs w:val="18"/>
                      <w:highlight w:val="none"/>
                      <w:lang w:val="en-US" w:eastAsia="zh-CN" w:bidi="ar-SA"/>
                    </w:rPr>
                  </w:pPr>
                  <w:r>
                    <w:rPr>
                      <w:rFonts w:hint="eastAsia" w:ascii="Times New Roman" w:hAnsi="Times New Roman" w:eastAsia="宋体" w:cs="Times New Roman"/>
                      <w:strike w:val="0"/>
                      <w:dstrike w:val="0"/>
                      <w:color w:val="auto"/>
                      <w:sz w:val="18"/>
                      <w:szCs w:val="18"/>
                      <w:highlight w:val="none"/>
                      <w:lang w:val="en-US" w:eastAsia="zh-CN"/>
                    </w:rPr>
                    <w:t>二类</w:t>
                  </w:r>
                </w:p>
              </w:tc>
              <w:tc>
                <w:tcPr>
                  <w:tcW w:w="453" w:type="pct"/>
                  <w:tcBorders>
                    <w:top w:val="single" w:color="auto" w:sz="4" w:space="0"/>
                    <w:left w:val="single" w:color="auto" w:sz="4" w:space="0"/>
                    <w:bottom w:val="single" w:color="auto" w:sz="4" w:space="0"/>
                    <w:right w:val="single" w:color="auto" w:sz="4" w:space="0"/>
                  </w:tcBorders>
                  <w:shd w:val="clear" w:color="auto" w:fill="auto"/>
                  <w:noWrap w:val="0"/>
                  <w:vAlign w:val="center"/>
                </w:tcPr>
                <w:p w14:paraId="2BD7248B">
                  <w:pPr>
                    <w:keepNext w:val="0"/>
                    <w:keepLines w:val="0"/>
                    <w:widowControl/>
                    <w:suppressLineNumbers w:val="0"/>
                    <w:adjustRightInd w:val="0"/>
                    <w:snapToGrid w:val="0"/>
                    <w:spacing w:before="0" w:beforeAutospacing="0" w:after="0" w:afterAutospacing="0" w:line="276" w:lineRule="auto"/>
                    <w:ind w:left="0" w:right="0"/>
                    <w:jc w:val="center"/>
                    <w:rPr>
                      <w:rFonts w:hint="eastAsia" w:ascii="Times New Roman" w:hAnsi="Times New Roman" w:eastAsia="宋体" w:cs="Times New Roman"/>
                      <w:strike w:val="0"/>
                      <w:dstrike w:val="0"/>
                      <w:color w:val="auto"/>
                      <w:kern w:val="2"/>
                      <w:sz w:val="18"/>
                      <w:szCs w:val="18"/>
                      <w:highlight w:val="none"/>
                      <w:lang w:val="en-US" w:eastAsia="zh-CN" w:bidi="ar-SA"/>
                    </w:rPr>
                  </w:pPr>
                  <w:r>
                    <w:rPr>
                      <w:rFonts w:hint="eastAsia" w:ascii="Times New Roman" w:hAnsi="Times New Roman" w:eastAsia="宋体" w:cs="Times New Roman"/>
                      <w:strike w:val="0"/>
                      <w:dstrike w:val="0"/>
                      <w:color w:val="auto"/>
                      <w:kern w:val="2"/>
                      <w:sz w:val="18"/>
                      <w:szCs w:val="18"/>
                      <w:highlight w:val="none"/>
                      <w:lang w:val="en-US" w:eastAsia="zh-CN" w:bidi="ar-SA"/>
                    </w:rPr>
                    <w:t>东北</w:t>
                  </w:r>
                </w:p>
              </w:tc>
              <w:tc>
                <w:tcPr>
                  <w:tcW w:w="551" w:type="pct"/>
                  <w:tcBorders>
                    <w:top w:val="single" w:color="auto" w:sz="4" w:space="0"/>
                    <w:left w:val="single" w:color="auto" w:sz="4" w:space="0"/>
                    <w:bottom w:val="single" w:color="auto" w:sz="4" w:space="0"/>
                    <w:right w:val="single" w:color="auto" w:sz="4" w:space="0"/>
                  </w:tcBorders>
                  <w:noWrap w:val="0"/>
                  <w:vAlign w:val="center"/>
                </w:tcPr>
                <w:p w14:paraId="22072954">
                  <w:pPr>
                    <w:keepNext w:val="0"/>
                    <w:keepLines w:val="0"/>
                    <w:widowControl/>
                    <w:suppressLineNumbers w:val="0"/>
                    <w:adjustRightInd w:val="0"/>
                    <w:snapToGrid w:val="0"/>
                    <w:spacing w:before="0" w:beforeAutospacing="0" w:after="0" w:afterAutospacing="0" w:line="276" w:lineRule="auto"/>
                    <w:ind w:left="0" w:right="0"/>
                    <w:jc w:val="center"/>
                    <w:rPr>
                      <w:rFonts w:hint="default" w:ascii="Times New Roman" w:hAnsi="Times New Roman" w:eastAsia="宋体" w:cs="Times New Roman"/>
                      <w:strike w:val="0"/>
                      <w:dstrike w:val="0"/>
                      <w:color w:val="auto"/>
                      <w:kern w:val="2"/>
                      <w:sz w:val="18"/>
                      <w:szCs w:val="18"/>
                      <w:highlight w:val="none"/>
                      <w:lang w:val="en-US" w:eastAsia="zh-CN" w:bidi="ar-SA"/>
                    </w:rPr>
                  </w:pPr>
                  <w:r>
                    <w:rPr>
                      <w:rFonts w:hint="eastAsia" w:ascii="Times New Roman" w:hAnsi="Times New Roman" w:eastAsia="宋体" w:cs="Times New Roman"/>
                      <w:strike w:val="0"/>
                      <w:dstrike w:val="0"/>
                      <w:color w:val="auto"/>
                      <w:kern w:val="2"/>
                      <w:sz w:val="18"/>
                      <w:szCs w:val="18"/>
                      <w:highlight w:val="none"/>
                      <w:lang w:val="en-US" w:eastAsia="zh-CN" w:bidi="ar-SA"/>
                    </w:rPr>
                    <w:t>558</w:t>
                  </w:r>
                </w:p>
              </w:tc>
            </w:tr>
            <w:tr w14:paraId="60223C3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40" w:hRule="atLeast"/>
                <w:jc w:val="center"/>
              </w:trPr>
              <w:tc>
                <w:tcPr>
                  <w:tcW w:w="366" w:type="pct"/>
                  <w:tcBorders>
                    <w:left w:val="single" w:color="auto" w:sz="4" w:space="0"/>
                    <w:right w:val="single" w:color="auto" w:sz="4" w:space="0"/>
                  </w:tcBorders>
                  <w:noWrap w:val="0"/>
                  <w:vAlign w:val="center"/>
                </w:tcPr>
                <w:p w14:paraId="7F9A3C4C">
                  <w:pPr>
                    <w:keepNext w:val="0"/>
                    <w:keepLines w:val="0"/>
                    <w:widowControl/>
                    <w:suppressLineNumbers w:val="0"/>
                    <w:adjustRightInd w:val="0"/>
                    <w:snapToGrid w:val="0"/>
                    <w:spacing w:before="0" w:beforeAutospacing="0" w:after="0" w:afterAutospacing="0" w:line="276" w:lineRule="auto"/>
                    <w:ind w:left="0" w:right="0"/>
                    <w:jc w:val="center"/>
                    <w:rPr>
                      <w:rFonts w:hint="default" w:ascii="Times New Roman" w:hAnsi="Times New Roman" w:eastAsia="宋体" w:cs="Times New Roman"/>
                      <w:strike w:val="0"/>
                      <w:dstrike w:val="0"/>
                      <w:color w:val="auto"/>
                      <w:sz w:val="18"/>
                      <w:szCs w:val="18"/>
                      <w:highlight w:val="none"/>
                      <w:lang w:val="en-US" w:eastAsia="zh-CN"/>
                    </w:rPr>
                  </w:pPr>
                  <w:r>
                    <w:rPr>
                      <w:rFonts w:hint="eastAsia" w:ascii="Times New Roman" w:hAnsi="Times New Roman" w:eastAsia="宋体" w:cs="Times New Roman"/>
                      <w:strike w:val="0"/>
                      <w:dstrike w:val="0"/>
                      <w:color w:val="auto"/>
                      <w:sz w:val="18"/>
                      <w:szCs w:val="18"/>
                      <w:highlight w:val="none"/>
                      <w:lang w:val="en-US" w:eastAsia="zh-CN"/>
                    </w:rPr>
                    <w:t>16</w:t>
                  </w:r>
                </w:p>
              </w:tc>
              <w:tc>
                <w:tcPr>
                  <w:tcW w:w="1071" w:type="pct"/>
                  <w:tcBorders>
                    <w:top w:val="single" w:color="auto" w:sz="4" w:space="0"/>
                    <w:left w:val="single" w:color="auto" w:sz="4" w:space="0"/>
                    <w:bottom w:val="single" w:color="auto" w:sz="4" w:space="0"/>
                    <w:right w:val="single" w:color="auto" w:sz="4" w:space="0"/>
                  </w:tcBorders>
                  <w:shd w:val="clear" w:color="auto" w:fill="auto"/>
                  <w:noWrap w:val="0"/>
                  <w:vAlign w:val="center"/>
                </w:tcPr>
                <w:p w14:paraId="4C518F8F">
                  <w:pPr>
                    <w:keepNext w:val="0"/>
                    <w:keepLines w:val="0"/>
                    <w:widowControl/>
                    <w:suppressLineNumbers w:val="0"/>
                    <w:adjustRightInd w:val="0"/>
                    <w:snapToGrid w:val="0"/>
                    <w:spacing w:before="0" w:beforeAutospacing="0" w:after="0" w:afterAutospacing="0" w:line="276" w:lineRule="auto"/>
                    <w:ind w:left="0" w:right="0"/>
                    <w:jc w:val="center"/>
                    <w:rPr>
                      <w:rFonts w:hint="eastAsia" w:ascii="Times New Roman" w:hAnsi="Times New Roman" w:eastAsia="宋体" w:cs="Times New Roman"/>
                      <w:strike w:val="0"/>
                      <w:dstrike w:val="0"/>
                      <w:color w:val="auto"/>
                      <w:kern w:val="2"/>
                      <w:sz w:val="18"/>
                      <w:szCs w:val="18"/>
                      <w:highlight w:val="none"/>
                      <w:lang w:val="en-US" w:eastAsia="zh-CN" w:bidi="ar-SA"/>
                    </w:rPr>
                  </w:pPr>
                  <w:r>
                    <w:rPr>
                      <w:rFonts w:hint="eastAsia" w:ascii="Times New Roman" w:hAnsi="Times New Roman" w:eastAsia="宋体" w:cs="Times New Roman"/>
                      <w:strike w:val="0"/>
                      <w:dstrike w:val="0"/>
                      <w:color w:val="auto"/>
                      <w:kern w:val="2"/>
                      <w:sz w:val="18"/>
                      <w:szCs w:val="18"/>
                      <w:highlight w:val="none"/>
                      <w:lang w:val="en-US" w:eastAsia="zh-CN" w:bidi="ar-SA"/>
                    </w:rPr>
                    <w:t>双岭社区</w:t>
                  </w:r>
                </w:p>
              </w:tc>
              <w:tc>
                <w:tcPr>
                  <w:tcW w:w="527" w:type="pct"/>
                  <w:tcBorders>
                    <w:top w:val="single" w:color="auto" w:sz="4" w:space="0"/>
                    <w:left w:val="single" w:color="auto" w:sz="4" w:space="0"/>
                    <w:bottom w:val="single" w:color="auto" w:sz="4" w:space="0"/>
                    <w:right w:val="single" w:color="auto" w:sz="4" w:space="0"/>
                  </w:tcBorders>
                  <w:shd w:val="clear" w:color="auto" w:fill="auto"/>
                  <w:noWrap w:val="0"/>
                  <w:vAlign w:val="center"/>
                </w:tcPr>
                <w:p w14:paraId="5AF9CD46">
                  <w:pPr>
                    <w:keepNext w:val="0"/>
                    <w:keepLines w:val="0"/>
                    <w:widowControl/>
                    <w:suppressLineNumbers w:val="0"/>
                    <w:adjustRightInd w:val="0"/>
                    <w:snapToGrid w:val="0"/>
                    <w:spacing w:before="0" w:beforeAutospacing="0" w:after="0" w:afterAutospacing="0" w:line="276" w:lineRule="auto"/>
                    <w:ind w:left="0" w:right="0"/>
                    <w:jc w:val="center"/>
                    <w:rPr>
                      <w:rFonts w:hint="default" w:ascii="Times New Roman" w:hAnsi="Times New Roman" w:eastAsia="宋体" w:cs="Times New Roman"/>
                      <w:strike w:val="0"/>
                      <w:dstrike w:val="0"/>
                      <w:color w:val="auto"/>
                      <w:kern w:val="2"/>
                      <w:sz w:val="18"/>
                      <w:szCs w:val="18"/>
                      <w:highlight w:val="none"/>
                      <w:lang w:val="en-US" w:eastAsia="zh-CN" w:bidi="ar-SA"/>
                    </w:rPr>
                  </w:pPr>
                  <w:r>
                    <w:rPr>
                      <w:rFonts w:hint="default" w:ascii="Times New Roman" w:hAnsi="Times New Roman" w:eastAsia="宋体" w:cs="Times New Roman"/>
                      <w:strike w:val="0"/>
                      <w:dstrike w:val="0"/>
                      <w:color w:val="auto"/>
                      <w:kern w:val="2"/>
                      <w:sz w:val="18"/>
                      <w:szCs w:val="18"/>
                      <w:highlight w:val="none"/>
                      <w:lang w:val="en-US" w:eastAsia="zh-CN" w:bidi="ar-SA"/>
                    </w:rPr>
                    <w:t>118.837044</w:t>
                  </w:r>
                </w:p>
              </w:tc>
              <w:tc>
                <w:tcPr>
                  <w:tcW w:w="564" w:type="pct"/>
                  <w:tcBorders>
                    <w:top w:val="single" w:color="auto" w:sz="4" w:space="0"/>
                    <w:left w:val="single" w:color="auto" w:sz="4" w:space="0"/>
                    <w:bottom w:val="single" w:color="auto" w:sz="4" w:space="0"/>
                    <w:right w:val="single" w:color="auto" w:sz="4" w:space="0"/>
                  </w:tcBorders>
                  <w:shd w:val="clear" w:color="auto" w:fill="auto"/>
                  <w:noWrap w:val="0"/>
                  <w:vAlign w:val="center"/>
                </w:tcPr>
                <w:p w14:paraId="7C246701">
                  <w:pPr>
                    <w:keepNext w:val="0"/>
                    <w:keepLines w:val="0"/>
                    <w:widowControl/>
                    <w:suppressLineNumbers w:val="0"/>
                    <w:adjustRightInd w:val="0"/>
                    <w:snapToGrid w:val="0"/>
                    <w:spacing w:before="0" w:beforeAutospacing="0" w:after="0" w:afterAutospacing="0" w:line="276" w:lineRule="auto"/>
                    <w:ind w:left="0" w:right="0"/>
                    <w:jc w:val="center"/>
                    <w:rPr>
                      <w:rFonts w:hint="default" w:ascii="Times New Roman" w:hAnsi="Times New Roman" w:eastAsia="宋体" w:cs="Times New Roman"/>
                      <w:strike w:val="0"/>
                      <w:dstrike w:val="0"/>
                      <w:color w:val="auto"/>
                      <w:kern w:val="2"/>
                      <w:sz w:val="18"/>
                      <w:szCs w:val="18"/>
                      <w:highlight w:val="none"/>
                      <w:lang w:val="en-US" w:eastAsia="zh-CN" w:bidi="ar-SA"/>
                    </w:rPr>
                  </w:pPr>
                  <w:r>
                    <w:rPr>
                      <w:rFonts w:hint="default" w:ascii="Times New Roman" w:hAnsi="Times New Roman" w:eastAsia="宋体" w:cs="Times New Roman"/>
                      <w:strike w:val="0"/>
                      <w:dstrike w:val="0"/>
                      <w:color w:val="auto"/>
                      <w:kern w:val="2"/>
                      <w:sz w:val="18"/>
                      <w:szCs w:val="18"/>
                      <w:highlight w:val="none"/>
                      <w:lang w:val="en-US" w:eastAsia="zh-CN" w:bidi="ar-SA"/>
                    </w:rPr>
                    <w:t>28.96663</w:t>
                  </w:r>
                  <w:r>
                    <w:rPr>
                      <w:rFonts w:hint="eastAsia" w:ascii="Times New Roman" w:hAnsi="Times New Roman" w:eastAsia="宋体" w:cs="Times New Roman"/>
                      <w:strike w:val="0"/>
                      <w:dstrike w:val="0"/>
                      <w:color w:val="auto"/>
                      <w:kern w:val="2"/>
                      <w:sz w:val="18"/>
                      <w:szCs w:val="18"/>
                      <w:highlight w:val="none"/>
                      <w:lang w:val="en-US" w:eastAsia="zh-CN" w:bidi="ar-SA"/>
                    </w:rPr>
                    <w:t>8</w:t>
                  </w:r>
                </w:p>
              </w:tc>
              <w:tc>
                <w:tcPr>
                  <w:tcW w:w="474" w:type="pct"/>
                  <w:tcBorders>
                    <w:top w:val="single" w:color="auto" w:sz="4" w:space="0"/>
                    <w:left w:val="single" w:color="auto" w:sz="4" w:space="0"/>
                    <w:bottom w:val="single" w:color="auto" w:sz="4" w:space="0"/>
                    <w:right w:val="single" w:color="auto" w:sz="4" w:space="0"/>
                  </w:tcBorders>
                  <w:shd w:val="clear" w:color="auto" w:fill="auto"/>
                  <w:noWrap w:val="0"/>
                  <w:vAlign w:val="center"/>
                </w:tcPr>
                <w:p w14:paraId="775B8BC8">
                  <w:pPr>
                    <w:keepNext w:val="0"/>
                    <w:keepLines w:val="0"/>
                    <w:widowControl/>
                    <w:suppressLineNumbers w:val="0"/>
                    <w:adjustRightInd w:val="0"/>
                    <w:snapToGrid w:val="0"/>
                    <w:spacing w:before="0" w:beforeAutospacing="0" w:after="0" w:afterAutospacing="0" w:line="276" w:lineRule="auto"/>
                    <w:ind w:left="0" w:right="0"/>
                    <w:jc w:val="center"/>
                    <w:rPr>
                      <w:rFonts w:hint="eastAsia" w:ascii="Times New Roman" w:hAnsi="Times New Roman" w:eastAsia="宋体" w:cs="Times New Roman"/>
                      <w:strike w:val="0"/>
                      <w:dstrike w:val="0"/>
                      <w:color w:val="auto"/>
                      <w:kern w:val="2"/>
                      <w:sz w:val="18"/>
                      <w:szCs w:val="18"/>
                      <w:highlight w:val="none"/>
                      <w:lang w:val="en-US" w:eastAsia="zh-CN" w:bidi="ar-SA"/>
                    </w:rPr>
                  </w:pPr>
                  <w:r>
                    <w:rPr>
                      <w:rFonts w:hint="eastAsia" w:ascii="Times New Roman" w:hAnsi="Times New Roman" w:eastAsia="宋体" w:cs="Times New Roman"/>
                      <w:strike w:val="0"/>
                      <w:dstrike w:val="0"/>
                      <w:color w:val="auto"/>
                      <w:sz w:val="18"/>
                      <w:szCs w:val="18"/>
                      <w:highlight w:val="none"/>
                      <w:lang w:val="en-US" w:eastAsia="zh-CN"/>
                    </w:rPr>
                    <w:t>居住区</w:t>
                  </w:r>
                </w:p>
              </w:tc>
              <w:tc>
                <w:tcPr>
                  <w:tcW w:w="490" w:type="pct"/>
                  <w:tcBorders>
                    <w:top w:val="single" w:color="auto" w:sz="4" w:space="0"/>
                    <w:left w:val="single" w:color="auto" w:sz="4" w:space="0"/>
                    <w:bottom w:val="single" w:color="auto" w:sz="4" w:space="0"/>
                    <w:right w:val="single" w:color="auto" w:sz="4" w:space="0"/>
                  </w:tcBorders>
                  <w:shd w:val="clear" w:color="auto" w:fill="auto"/>
                  <w:noWrap w:val="0"/>
                  <w:vAlign w:val="center"/>
                </w:tcPr>
                <w:p w14:paraId="39490B48">
                  <w:pPr>
                    <w:keepNext w:val="0"/>
                    <w:keepLines w:val="0"/>
                    <w:widowControl/>
                    <w:suppressLineNumbers w:val="0"/>
                    <w:adjustRightInd w:val="0"/>
                    <w:snapToGrid w:val="0"/>
                    <w:spacing w:before="0" w:beforeAutospacing="0" w:after="0" w:afterAutospacing="0" w:line="276" w:lineRule="auto"/>
                    <w:ind w:left="0" w:right="0"/>
                    <w:jc w:val="center"/>
                    <w:rPr>
                      <w:rFonts w:hint="eastAsia" w:ascii="Times New Roman" w:hAnsi="Times New Roman" w:eastAsia="宋体" w:cs="Times New Roman"/>
                      <w:strike w:val="0"/>
                      <w:dstrike w:val="0"/>
                      <w:color w:val="auto"/>
                      <w:kern w:val="2"/>
                      <w:sz w:val="18"/>
                      <w:szCs w:val="18"/>
                      <w:highlight w:val="none"/>
                      <w:lang w:val="en-US" w:eastAsia="zh-CN" w:bidi="ar-SA"/>
                    </w:rPr>
                  </w:pPr>
                  <w:r>
                    <w:rPr>
                      <w:rFonts w:hint="eastAsia" w:ascii="Times New Roman" w:hAnsi="Times New Roman" w:eastAsia="宋体" w:cs="Times New Roman"/>
                      <w:strike w:val="0"/>
                      <w:dstrike w:val="0"/>
                      <w:color w:val="auto"/>
                      <w:sz w:val="18"/>
                      <w:szCs w:val="18"/>
                      <w:highlight w:val="none"/>
                      <w:lang w:val="en-US" w:eastAsia="zh-CN"/>
                    </w:rPr>
                    <w:t>居民</w:t>
                  </w:r>
                </w:p>
              </w:tc>
              <w:tc>
                <w:tcPr>
                  <w:tcW w:w="499" w:type="pct"/>
                  <w:tcBorders>
                    <w:top w:val="single" w:color="auto" w:sz="4" w:space="0"/>
                    <w:left w:val="single" w:color="auto" w:sz="4" w:space="0"/>
                    <w:bottom w:val="single" w:color="auto" w:sz="4" w:space="0"/>
                    <w:right w:val="single" w:color="auto" w:sz="4" w:space="0"/>
                  </w:tcBorders>
                  <w:shd w:val="clear" w:color="auto" w:fill="auto"/>
                  <w:noWrap w:val="0"/>
                  <w:vAlign w:val="center"/>
                </w:tcPr>
                <w:p w14:paraId="1BA682C6">
                  <w:pPr>
                    <w:keepNext w:val="0"/>
                    <w:keepLines w:val="0"/>
                    <w:widowControl/>
                    <w:suppressLineNumbers w:val="0"/>
                    <w:adjustRightInd w:val="0"/>
                    <w:snapToGrid w:val="0"/>
                    <w:spacing w:before="0" w:beforeAutospacing="0" w:after="0" w:afterAutospacing="0" w:line="276" w:lineRule="auto"/>
                    <w:ind w:left="0" w:right="0"/>
                    <w:jc w:val="center"/>
                    <w:rPr>
                      <w:rFonts w:hint="eastAsia" w:ascii="Times New Roman" w:hAnsi="Times New Roman" w:eastAsia="宋体" w:cs="Times New Roman"/>
                      <w:strike w:val="0"/>
                      <w:dstrike w:val="0"/>
                      <w:color w:val="auto"/>
                      <w:kern w:val="2"/>
                      <w:sz w:val="18"/>
                      <w:szCs w:val="18"/>
                      <w:highlight w:val="none"/>
                      <w:lang w:val="en-US" w:eastAsia="zh-CN" w:bidi="ar-SA"/>
                    </w:rPr>
                  </w:pPr>
                  <w:r>
                    <w:rPr>
                      <w:rFonts w:hint="eastAsia" w:ascii="Times New Roman" w:hAnsi="Times New Roman" w:eastAsia="宋体" w:cs="Times New Roman"/>
                      <w:strike w:val="0"/>
                      <w:dstrike w:val="0"/>
                      <w:color w:val="auto"/>
                      <w:sz w:val="18"/>
                      <w:szCs w:val="18"/>
                      <w:highlight w:val="none"/>
                      <w:lang w:val="en-US" w:eastAsia="zh-CN"/>
                    </w:rPr>
                    <w:t>二类</w:t>
                  </w:r>
                </w:p>
              </w:tc>
              <w:tc>
                <w:tcPr>
                  <w:tcW w:w="453" w:type="pct"/>
                  <w:tcBorders>
                    <w:top w:val="single" w:color="auto" w:sz="4" w:space="0"/>
                    <w:left w:val="single" w:color="auto" w:sz="4" w:space="0"/>
                    <w:bottom w:val="single" w:color="auto" w:sz="4" w:space="0"/>
                    <w:right w:val="single" w:color="auto" w:sz="4" w:space="0"/>
                  </w:tcBorders>
                  <w:shd w:val="clear" w:color="auto" w:fill="auto"/>
                  <w:noWrap w:val="0"/>
                  <w:vAlign w:val="center"/>
                </w:tcPr>
                <w:p w14:paraId="123C1E8A">
                  <w:pPr>
                    <w:keepNext w:val="0"/>
                    <w:keepLines w:val="0"/>
                    <w:widowControl/>
                    <w:suppressLineNumbers w:val="0"/>
                    <w:adjustRightInd w:val="0"/>
                    <w:snapToGrid w:val="0"/>
                    <w:spacing w:before="0" w:beforeAutospacing="0" w:after="0" w:afterAutospacing="0" w:line="276" w:lineRule="auto"/>
                    <w:ind w:left="0" w:right="0"/>
                    <w:jc w:val="center"/>
                    <w:rPr>
                      <w:rFonts w:hint="default" w:ascii="Times New Roman" w:hAnsi="Times New Roman" w:eastAsia="宋体" w:cs="Times New Roman"/>
                      <w:strike w:val="0"/>
                      <w:dstrike w:val="0"/>
                      <w:color w:val="auto"/>
                      <w:kern w:val="2"/>
                      <w:sz w:val="18"/>
                      <w:szCs w:val="18"/>
                      <w:highlight w:val="none"/>
                      <w:lang w:val="en-US" w:eastAsia="zh-CN" w:bidi="ar-SA"/>
                    </w:rPr>
                  </w:pPr>
                  <w:r>
                    <w:rPr>
                      <w:rFonts w:hint="eastAsia" w:ascii="Times New Roman" w:hAnsi="Times New Roman" w:eastAsia="宋体" w:cs="Times New Roman"/>
                      <w:strike w:val="0"/>
                      <w:dstrike w:val="0"/>
                      <w:color w:val="auto"/>
                      <w:kern w:val="2"/>
                      <w:sz w:val="18"/>
                      <w:szCs w:val="18"/>
                      <w:highlight w:val="none"/>
                      <w:lang w:val="en-US" w:eastAsia="zh-CN" w:bidi="ar-SA"/>
                    </w:rPr>
                    <w:t>东北</w:t>
                  </w:r>
                </w:p>
              </w:tc>
              <w:tc>
                <w:tcPr>
                  <w:tcW w:w="551" w:type="pct"/>
                  <w:tcBorders>
                    <w:top w:val="single" w:color="auto" w:sz="4" w:space="0"/>
                    <w:left w:val="single" w:color="auto" w:sz="4" w:space="0"/>
                    <w:bottom w:val="single" w:color="auto" w:sz="4" w:space="0"/>
                    <w:right w:val="single" w:color="auto" w:sz="4" w:space="0"/>
                  </w:tcBorders>
                  <w:shd w:val="clear" w:color="auto" w:fill="auto"/>
                  <w:noWrap w:val="0"/>
                  <w:vAlign w:val="center"/>
                </w:tcPr>
                <w:p w14:paraId="2ED32B4D">
                  <w:pPr>
                    <w:keepNext w:val="0"/>
                    <w:keepLines w:val="0"/>
                    <w:widowControl/>
                    <w:suppressLineNumbers w:val="0"/>
                    <w:adjustRightInd w:val="0"/>
                    <w:snapToGrid w:val="0"/>
                    <w:spacing w:before="0" w:beforeAutospacing="0" w:after="0" w:afterAutospacing="0" w:line="276" w:lineRule="auto"/>
                    <w:ind w:left="0" w:right="0"/>
                    <w:jc w:val="center"/>
                    <w:rPr>
                      <w:rFonts w:hint="default" w:ascii="Times New Roman" w:hAnsi="Times New Roman" w:eastAsia="宋体" w:cs="Times New Roman"/>
                      <w:strike w:val="0"/>
                      <w:dstrike w:val="0"/>
                      <w:color w:val="auto"/>
                      <w:kern w:val="2"/>
                      <w:sz w:val="18"/>
                      <w:szCs w:val="18"/>
                      <w:highlight w:val="none"/>
                      <w:lang w:val="en-US" w:eastAsia="zh-CN" w:bidi="ar-SA"/>
                    </w:rPr>
                  </w:pPr>
                  <w:r>
                    <w:rPr>
                      <w:rFonts w:hint="eastAsia" w:ascii="Times New Roman" w:hAnsi="Times New Roman" w:eastAsia="宋体" w:cs="Times New Roman"/>
                      <w:strike w:val="0"/>
                      <w:dstrike w:val="0"/>
                      <w:color w:val="auto"/>
                      <w:kern w:val="2"/>
                      <w:sz w:val="18"/>
                      <w:szCs w:val="18"/>
                      <w:highlight w:val="none"/>
                      <w:lang w:val="en-US" w:eastAsia="zh-CN" w:bidi="ar-SA"/>
                    </w:rPr>
                    <w:t>1410</w:t>
                  </w:r>
                </w:p>
              </w:tc>
            </w:tr>
            <w:tr w14:paraId="4063E91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40" w:hRule="atLeast"/>
                <w:jc w:val="center"/>
              </w:trPr>
              <w:tc>
                <w:tcPr>
                  <w:tcW w:w="366" w:type="pct"/>
                  <w:tcBorders>
                    <w:left w:val="single" w:color="auto" w:sz="4" w:space="0"/>
                    <w:right w:val="single" w:color="auto" w:sz="4" w:space="0"/>
                  </w:tcBorders>
                  <w:noWrap w:val="0"/>
                  <w:vAlign w:val="center"/>
                </w:tcPr>
                <w:p w14:paraId="344E1CBD">
                  <w:pPr>
                    <w:keepNext w:val="0"/>
                    <w:keepLines w:val="0"/>
                    <w:widowControl/>
                    <w:suppressLineNumbers w:val="0"/>
                    <w:adjustRightInd w:val="0"/>
                    <w:snapToGrid w:val="0"/>
                    <w:spacing w:before="0" w:beforeAutospacing="0" w:after="0" w:afterAutospacing="0" w:line="276" w:lineRule="auto"/>
                    <w:ind w:left="0" w:right="0"/>
                    <w:jc w:val="center"/>
                    <w:rPr>
                      <w:rFonts w:hint="default" w:ascii="Times New Roman" w:hAnsi="Times New Roman" w:eastAsia="宋体" w:cs="Times New Roman"/>
                      <w:strike w:val="0"/>
                      <w:dstrike w:val="0"/>
                      <w:color w:val="auto"/>
                      <w:sz w:val="18"/>
                      <w:szCs w:val="18"/>
                      <w:highlight w:val="none"/>
                      <w:lang w:val="en-US" w:eastAsia="zh-CN"/>
                    </w:rPr>
                  </w:pPr>
                  <w:r>
                    <w:rPr>
                      <w:rFonts w:hint="eastAsia" w:ascii="Times New Roman" w:hAnsi="Times New Roman" w:eastAsia="宋体" w:cs="Times New Roman"/>
                      <w:strike w:val="0"/>
                      <w:dstrike w:val="0"/>
                      <w:color w:val="auto"/>
                      <w:sz w:val="18"/>
                      <w:szCs w:val="18"/>
                      <w:highlight w:val="none"/>
                      <w:lang w:val="en-US" w:eastAsia="zh-CN"/>
                    </w:rPr>
                    <w:t>17</w:t>
                  </w:r>
                </w:p>
              </w:tc>
              <w:tc>
                <w:tcPr>
                  <w:tcW w:w="1071" w:type="pct"/>
                  <w:tcBorders>
                    <w:top w:val="single" w:color="auto" w:sz="4" w:space="0"/>
                    <w:left w:val="single" w:color="auto" w:sz="4" w:space="0"/>
                    <w:bottom w:val="single" w:color="auto" w:sz="4" w:space="0"/>
                    <w:right w:val="single" w:color="auto" w:sz="4" w:space="0"/>
                  </w:tcBorders>
                  <w:shd w:val="clear" w:color="auto" w:fill="auto"/>
                  <w:noWrap w:val="0"/>
                  <w:vAlign w:val="center"/>
                </w:tcPr>
                <w:p w14:paraId="242C3613">
                  <w:pPr>
                    <w:keepNext w:val="0"/>
                    <w:keepLines w:val="0"/>
                    <w:widowControl/>
                    <w:suppressLineNumbers w:val="0"/>
                    <w:adjustRightInd w:val="0"/>
                    <w:snapToGrid w:val="0"/>
                    <w:spacing w:before="0" w:beforeAutospacing="0" w:after="0" w:afterAutospacing="0" w:line="276" w:lineRule="auto"/>
                    <w:ind w:left="0" w:right="0"/>
                    <w:jc w:val="center"/>
                    <w:rPr>
                      <w:rFonts w:hint="eastAsia" w:ascii="Times New Roman" w:hAnsi="Times New Roman" w:eastAsia="宋体" w:cs="Times New Roman"/>
                      <w:strike w:val="0"/>
                      <w:dstrike w:val="0"/>
                      <w:color w:val="auto"/>
                      <w:kern w:val="2"/>
                      <w:sz w:val="18"/>
                      <w:szCs w:val="18"/>
                      <w:highlight w:val="none"/>
                      <w:lang w:val="en-US" w:eastAsia="zh-CN" w:bidi="ar-SA"/>
                    </w:rPr>
                  </w:pPr>
                  <w:r>
                    <w:rPr>
                      <w:rFonts w:hint="default" w:ascii="Times New Roman" w:hAnsi="Times New Roman" w:eastAsia="宋体" w:cs="Times New Roman"/>
                      <w:strike w:val="0"/>
                      <w:dstrike w:val="0"/>
                      <w:color w:val="auto"/>
                      <w:sz w:val="18"/>
                      <w:szCs w:val="18"/>
                      <w:highlight w:val="none"/>
                      <w:lang w:val="en-US" w:eastAsia="zh-CN"/>
                    </w:rPr>
                    <w:t>衢州市外国语学校</w:t>
                  </w:r>
                </w:p>
              </w:tc>
              <w:tc>
                <w:tcPr>
                  <w:tcW w:w="527" w:type="pct"/>
                  <w:tcBorders>
                    <w:top w:val="single" w:color="auto" w:sz="4" w:space="0"/>
                    <w:left w:val="single" w:color="auto" w:sz="4" w:space="0"/>
                    <w:bottom w:val="single" w:color="auto" w:sz="4" w:space="0"/>
                    <w:right w:val="single" w:color="auto" w:sz="4" w:space="0"/>
                  </w:tcBorders>
                  <w:shd w:val="clear" w:color="auto" w:fill="auto"/>
                  <w:noWrap w:val="0"/>
                  <w:vAlign w:val="center"/>
                </w:tcPr>
                <w:p w14:paraId="625AF8A1">
                  <w:pPr>
                    <w:keepNext w:val="0"/>
                    <w:keepLines w:val="0"/>
                    <w:widowControl/>
                    <w:suppressLineNumbers w:val="0"/>
                    <w:adjustRightInd w:val="0"/>
                    <w:snapToGrid w:val="0"/>
                    <w:spacing w:before="0" w:beforeAutospacing="0" w:after="0" w:afterAutospacing="0" w:line="276" w:lineRule="auto"/>
                    <w:ind w:left="0" w:right="0"/>
                    <w:jc w:val="center"/>
                    <w:rPr>
                      <w:rFonts w:hint="default" w:ascii="Times New Roman" w:hAnsi="Times New Roman" w:eastAsia="宋体" w:cs="Times New Roman"/>
                      <w:strike w:val="0"/>
                      <w:dstrike w:val="0"/>
                      <w:color w:val="auto"/>
                      <w:kern w:val="2"/>
                      <w:sz w:val="18"/>
                      <w:szCs w:val="18"/>
                      <w:highlight w:val="none"/>
                      <w:lang w:val="en-US" w:eastAsia="zh-CN" w:bidi="ar-SA"/>
                    </w:rPr>
                  </w:pPr>
                  <w:r>
                    <w:rPr>
                      <w:rFonts w:hint="default" w:ascii="Times New Roman" w:hAnsi="Times New Roman" w:eastAsia="宋体" w:cs="Times New Roman"/>
                      <w:strike w:val="0"/>
                      <w:dstrike w:val="0"/>
                      <w:color w:val="auto"/>
                      <w:sz w:val="18"/>
                      <w:szCs w:val="18"/>
                      <w:highlight w:val="none"/>
                    </w:rPr>
                    <w:t>118.840049</w:t>
                  </w:r>
                </w:p>
              </w:tc>
              <w:tc>
                <w:tcPr>
                  <w:tcW w:w="564" w:type="pct"/>
                  <w:tcBorders>
                    <w:top w:val="single" w:color="auto" w:sz="4" w:space="0"/>
                    <w:left w:val="single" w:color="auto" w:sz="4" w:space="0"/>
                    <w:bottom w:val="single" w:color="auto" w:sz="4" w:space="0"/>
                    <w:right w:val="single" w:color="auto" w:sz="4" w:space="0"/>
                  </w:tcBorders>
                  <w:shd w:val="clear" w:color="auto" w:fill="auto"/>
                  <w:noWrap w:val="0"/>
                  <w:vAlign w:val="center"/>
                </w:tcPr>
                <w:p w14:paraId="1F0B8B31">
                  <w:pPr>
                    <w:keepNext w:val="0"/>
                    <w:keepLines w:val="0"/>
                    <w:widowControl/>
                    <w:suppressLineNumbers w:val="0"/>
                    <w:adjustRightInd w:val="0"/>
                    <w:snapToGrid w:val="0"/>
                    <w:spacing w:before="0" w:beforeAutospacing="0" w:after="0" w:afterAutospacing="0" w:line="276" w:lineRule="auto"/>
                    <w:ind w:left="0" w:right="0"/>
                    <w:jc w:val="center"/>
                    <w:rPr>
                      <w:rFonts w:hint="eastAsia" w:ascii="Times New Roman" w:hAnsi="Times New Roman" w:eastAsia="宋体" w:cs="Times New Roman"/>
                      <w:strike w:val="0"/>
                      <w:dstrike w:val="0"/>
                      <w:color w:val="auto"/>
                      <w:kern w:val="2"/>
                      <w:sz w:val="18"/>
                      <w:szCs w:val="18"/>
                      <w:highlight w:val="none"/>
                      <w:lang w:val="en-US" w:eastAsia="zh-CN" w:bidi="ar-SA"/>
                    </w:rPr>
                  </w:pPr>
                  <w:r>
                    <w:rPr>
                      <w:rFonts w:hint="default" w:ascii="Times New Roman" w:hAnsi="Times New Roman" w:eastAsia="宋体" w:cs="Times New Roman"/>
                      <w:strike w:val="0"/>
                      <w:dstrike w:val="0"/>
                      <w:color w:val="auto"/>
                      <w:sz w:val="18"/>
                      <w:szCs w:val="18"/>
                      <w:highlight w:val="none"/>
                    </w:rPr>
                    <w:t>28.95949</w:t>
                  </w:r>
                  <w:r>
                    <w:rPr>
                      <w:rFonts w:hint="eastAsia" w:ascii="Times New Roman" w:hAnsi="Times New Roman" w:eastAsia="宋体" w:cs="Times New Roman"/>
                      <w:strike w:val="0"/>
                      <w:dstrike w:val="0"/>
                      <w:color w:val="auto"/>
                      <w:sz w:val="18"/>
                      <w:szCs w:val="18"/>
                      <w:highlight w:val="none"/>
                      <w:lang w:val="en-US" w:eastAsia="zh-CN"/>
                    </w:rPr>
                    <w:t>6</w:t>
                  </w:r>
                </w:p>
              </w:tc>
              <w:tc>
                <w:tcPr>
                  <w:tcW w:w="474" w:type="pct"/>
                  <w:tcBorders>
                    <w:top w:val="single" w:color="auto" w:sz="4" w:space="0"/>
                    <w:left w:val="single" w:color="auto" w:sz="4" w:space="0"/>
                    <w:bottom w:val="single" w:color="auto" w:sz="4" w:space="0"/>
                    <w:right w:val="single" w:color="auto" w:sz="4" w:space="0"/>
                  </w:tcBorders>
                  <w:shd w:val="clear" w:color="auto" w:fill="auto"/>
                  <w:noWrap w:val="0"/>
                  <w:vAlign w:val="center"/>
                </w:tcPr>
                <w:p w14:paraId="18B166F8">
                  <w:pPr>
                    <w:keepNext w:val="0"/>
                    <w:keepLines w:val="0"/>
                    <w:widowControl/>
                    <w:suppressLineNumbers w:val="0"/>
                    <w:adjustRightInd w:val="0"/>
                    <w:snapToGrid w:val="0"/>
                    <w:spacing w:before="0" w:beforeAutospacing="0" w:after="0" w:afterAutospacing="0" w:line="276" w:lineRule="auto"/>
                    <w:ind w:left="0" w:right="0"/>
                    <w:jc w:val="center"/>
                    <w:rPr>
                      <w:rFonts w:hint="eastAsia" w:ascii="Times New Roman" w:hAnsi="Times New Roman" w:eastAsia="宋体" w:cs="Times New Roman"/>
                      <w:strike w:val="0"/>
                      <w:dstrike w:val="0"/>
                      <w:color w:val="auto"/>
                      <w:kern w:val="2"/>
                      <w:sz w:val="18"/>
                      <w:szCs w:val="18"/>
                      <w:highlight w:val="none"/>
                      <w:lang w:val="en-US" w:eastAsia="zh-CN" w:bidi="ar-SA"/>
                    </w:rPr>
                  </w:pPr>
                  <w:r>
                    <w:rPr>
                      <w:rFonts w:hint="eastAsia" w:ascii="Times New Roman" w:hAnsi="Times New Roman" w:eastAsia="宋体" w:cs="Times New Roman"/>
                      <w:strike w:val="0"/>
                      <w:dstrike w:val="0"/>
                      <w:color w:val="auto"/>
                      <w:sz w:val="18"/>
                      <w:szCs w:val="18"/>
                      <w:highlight w:val="none"/>
                      <w:lang w:val="en-US" w:eastAsia="zh-CN"/>
                    </w:rPr>
                    <w:t>居住区</w:t>
                  </w:r>
                </w:p>
              </w:tc>
              <w:tc>
                <w:tcPr>
                  <w:tcW w:w="490" w:type="pct"/>
                  <w:tcBorders>
                    <w:top w:val="single" w:color="auto" w:sz="4" w:space="0"/>
                    <w:left w:val="single" w:color="auto" w:sz="4" w:space="0"/>
                    <w:bottom w:val="single" w:color="auto" w:sz="4" w:space="0"/>
                    <w:right w:val="single" w:color="auto" w:sz="4" w:space="0"/>
                  </w:tcBorders>
                  <w:shd w:val="clear" w:color="auto" w:fill="auto"/>
                  <w:noWrap w:val="0"/>
                  <w:vAlign w:val="center"/>
                </w:tcPr>
                <w:p w14:paraId="5537FADF">
                  <w:pPr>
                    <w:keepNext w:val="0"/>
                    <w:keepLines w:val="0"/>
                    <w:widowControl/>
                    <w:suppressLineNumbers w:val="0"/>
                    <w:adjustRightInd w:val="0"/>
                    <w:snapToGrid w:val="0"/>
                    <w:spacing w:before="0" w:beforeAutospacing="0" w:after="0" w:afterAutospacing="0" w:line="276" w:lineRule="auto"/>
                    <w:ind w:left="0" w:right="0"/>
                    <w:jc w:val="center"/>
                    <w:rPr>
                      <w:rFonts w:hint="eastAsia" w:ascii="Times New Roman" w:hAnsi="Times New Roman" w:eastAsia="宋体" w:cs="Times New Roman"/>
                      <w:strike w:val="0"/>
                      <w:dstrike w:val="0"/>
                      <w:color w:val="auto"/>
                      <w:kern w:val="2"/>
                      <w:sz w:val="18"/>
                      <w:szCs w:val="18"/>
                      <w:highlight w:val="none"/>
                      <w:lang w:val="en-US" w:eastAsia="zh-CN" w:bidi="ar-SA"/>
                    </w:rPr>
                  </w:pPr>
                  <w:r>
                    <w:rPr>
                      <w:rFonts w:hint="eastAsia" w:ascii="Times New Roman" w:hAnsi="Times New Roman" w:eastAsia="宋体" w:cs="Times New Roman"/>
                      <w:strike w:val="0"/>
                      <w:dstrike w:val="0"/>
                      <w:color w:val="auto"/>
                      <w:sz w:val="18"/>
                      <w:szCs w:val="18"/>
                      <w:highlight w:val="none"/>
                      <w:lang w:val="en-US" w:eastAsia="zh-CN"/>
                    </w:rPr>
                    <w:t>居民</w:t>
                  </w:r>
                </w:p>
              </w:tc>
              <w:tc>
                <w:tcPr>
                  <w:tcW w:w="499" w:type="pct"/>
                  <w:tcBorders>
                    <w:top w:val="single" w:color="auto" w:sz="4" w:space="0"/>
                    <w:left w:val="single" w:color="auto" w:sz="4" w:space="0"/>
                    <w:bottom w:val="single" w:color="auto" w:sz="4" w:space="0"/>
                    <w:right w:val="single" w:color="auto" w:sz="4" w:space="0"/>
                  </w:tcBorders>
                  <w:shd w:val="clear" w:color="auto" w:fill="auto"/>
                  <w:noWrap w:val="0"/>
                  <w:vAlign w:val="center"/>
                </w:tcPr>
                <w:p w14:paraId="700300D6">
                  <w:pPr>
                    <w:keepNext w:val="0"/>
                    <w:keepLines w:val="0"/>
                    <w:widowControl/>
                    <w:suppressLineNumbers w:val="0"/>
                    <w:adjustRightInd w:val="0"/>
                    <w:snapToGrid w:val="0"/>
                    <w:spacing w:before="0" w:beforeAutospacing="0" w:after="0" w:afterAutospacing="0" w:line="276" w:lineRule="auto"/>
                    <w:ind w:left="0" w:right="0"/>
                    <w:jc w:val="center"/>
                    <w:rPr>
                      <w:rFonts w:hint="eastAsia" w:ascii="Times New Roman" w:hAnsi="Times New Roman" w:eastAsia="宋体" w:cs="Times New Roman"/>
                      <w:strike w:val="0"/>
                      <w:dstrike w:val="0"/>
                      <w:color w:val="auto"/>
                      <w:kern w:val="2"/>
                      <w:sz w:val="18"/>
                      <w:szCs w:val="18"/>
                      <w:highlight w:val="none"/>
                      <w:lang w:val="en-US" w:eastAsia="zh-CN" w:bidi="ar-SA"/>
                    </w:rPr>
                  </w:pPr>
                  <w:r>
                    <w:rPr>
                      <w:rFonts w:hint="eastAsia" w:ascii="Times New Roman" w:hAnsi="Times New Roman" w:eastAsia="宋体" w:cs="Times New Roman"/>
                      <w:strike w:val="0"/>
                      <w:dstrike w:val="0"/>
                      <w:color w:val="auto"/>
                      <w:sz w:val="18"/>
                      <w:szCs w:val="18"/>
                      <w:highlight w:val="none"/>
                      <w:lang w:val="en-US" w:eastAsia="zh-CN"/>
                    </w:rPr>
                    <w:t>二类</w:t>
                  </w:r>
                </w:p>
              </w:tc>
              <w:tc>
                <w:tcPr>
                  <w:tcW w:w="453" w:type="pct"/>
                  <w:tcBorders>
                    <w:top w:val="single" w:color="auto" w:sz="4" w:space="0"/>
                    <w:left w:val="single" w:color="auto" w:sz="4" w:space="0"/>
                    <w:bottom w:val="single" w:color="auto" w:sz="4" w:space="0"/>
                    <w:right w:val="single" w:color="auto" w:sz="4" w:space="0"/>
                  </w:tcBorders>
                  <w:shd w:val="clear" w:color="auto" w:fill="auto"/>
                  <w:noWrap w:val="0"/>
                  <w:vAlign w:val="center"/>
                </w:tcPr>
                <w:p w14:paraId="50382C64">
                  <w:pPr>
                    <w:keepNext w:val="0"/>
                    <w:keepLines w:val="0"/>
                    <w:widowControl/>
                    <w:suppressLineNumbers w:val="0"/>
                    <w:adjustRightInd w:val="0"/>
                    <w:snapToGrid w:val="0"/>
                    <w:spacing w:before="0" w:beforeAutospacing="0" w:after="0" w:afterAutospacing="0" w:line="276" w:lineRule="auto"/>
                    <w:ind w:left="0" w:right="0"/>
                    <w:jc w:val="center"/>
                    <w:rPr>
                      <w:rFonts w:hint="default" w:ascii="Times New Roman" w:hAnsi="Times New Roman" w:eastAsia="宋体" w:cs="Times New Roman"/>
                      <w:strike w:val="0"/>
                      <w:dstrike w:val="0"/>
                      <w:color w:val="auto"/>
                      <w:kern w:val="2"/>
                      <w:sz w:val="18"/>
                      <w:szCs w:val="18"/>
                      <w:highlight w:val="none"/>
                      <w:lang w:val="en-US" w:eastAsia="zh-CN" w:bidi="ar-SA"/>
                    </w:rPr>
                  </w:pPr>
                  <w:r>
                    <w:rPr>
                      <w:rFonts w:hint="eastAsia" w:ascii="Times New Roman" w:hAnsi="Times New Roman" w:eastAsia="宋体" w:cs="Times New Roman"/>
                      <w:strike w:val="0"/>
                      <w:dstrike w:val="0"/>
                      <w:color w:val="auto"/>
                      <w:kern w:val="2"/>
                      <w:sz w:val="18"/>
                      <w:szCs w:val="18"/>
                      <w:highlight w:val="none"/>
                      <w:lang w:val="en-US" w:eastAsia="zh-CN" w:bidi="ar-SA"/>
                    </w:rPr>
                    <w:t>东北</w:t>
                  </w:r>
                </w:p>
              </w:tc>
              <w:tc>
                <w:tcPr>
                  <w:tcW w:w="551" w:type="pct"/>
                  <w:tcBorders>
                    <w:top w:val="single" w:color="auto" w:sz="4" w:space="0"/>
                    <w:left w:val="single" w:color="auto" w:sz="4" w:space="0"/>
                    <w:bottom w:val="single" w:color="auto" w:sz="4" w:space="0"/>
                    <w:right w:val="single" w:color="auto" w:sz="4" w:space="0"/>
                  </w:tcBorders>
                  <w:shd w:val="clear" w:color="auto" w:fill="auto"/>
                  <w:noWrap w:val="0"/>
                  <w:vAlign w:val="center"/>
                </w:tcPr>
                <w:p w14:paraId="4BEF346C">
                  <w:pPr>
                    <w:keepNext w:val="0"/>
                    <w:keepLines w:val="0"/>
                    <w:widowControl/>
                    <w:suppressLineNumbers w:val="0"/>
                    <w:adjustRightInd w:val="0"/>
                    <w:snapToGrid w:val="0"/>
                    <w:spacing w:before="0" w:beforeAutospacing="0" w:after="0" w:afterAutospacing="0" w:line="276" w:lineRule="auto"/>
                    <w:ind w:left="0" w:right="0"/>
                    <w:jc w:val="center"/>
                    <w:rPr>
                      <w:rFonts w:hint="default" w:ascii="Times New Roman" w:hAnsi="Times New Roman" w:eastAsia="宋体" w:cs="Times New Roman"/>
                      <w:strike w:val="0"/>
                      <w:dstrike w:val="0"/>
                      <w:color w:val="auto"/>
                      <w:kern w:val="2"/>
                      <w:sz w:val="18"/>
                      <w:szCs w:val="18"/>
                      <w:highlight w:val="none"/>
                      <w:lang w:val="en-US" w:eastAsia="zh-CN" w:bidi="ar-SA"/>
                    </w:rPr>
                  </w:pPr>
                  <w:r>
                    <w:rPr>
                      <w:rFonts w:hint="eastAsia" w:ascii="Times New Roman" w:hAnsi="Times New Roman" w:eastAsia="宋体" w:cs="Times New Roman"/>
                      <w:strike w:val="0"/>
                      <w:dstrike w:val="0"/>
                      <w:color w:val="auto"/>
                      <w:sz w:val="18"/>
                      <w:szCs w:val="18"/>
                      <w:highlight w:val="none"/>
                      <w:lang w:val="en-US" w:eastAsia="zh-CN"/>
                    </w:rPr>
                    <w:t>770</w:t>
                  </w:r>
                </w:p>
              </w:tc>
            </w:tr>
            <w:tr w14:paraId="49802CF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40" w:hRule="atLeast"/>
                <w:jc w:val="center"/>
              </w:trPr>
              <w:tc>
                <w:tcPr>
                  <w:tcW w:w="366" w:type="pct"/>
                  <w:tcBorders>
                    <w:left w:val="single" w:color="auto" w:sz="4" w:space="0"/>
                    <w:right w:val="single" w:color="auto" w:sz="4" w:space="0"/>
                  </w:tcBorders>
                  <w:noWrap w:val="0"/>
                  <w:vAlign w:val="center"/>
                </w:tcPr>
                <w:p w14:paraId="60E27D8B">
                  <w:pPr>
                    <w:keepNext w:val="0"/>
                    <w:keepLines w:val="0"/>
                    <w:widowControl/>
                    <w:suppressLineNumbers w:val="0"/>
                    <w:adjustRightInd w:val="0"/>
                    <w:snapToGrid w:val="0"/>
                    <w:spacing w:before="0" w:beforeAutospacing="0" w:after="0" w:afterAutospacing="0" w:line="276" w:lineRule="auto"/>
                    <w:ind w:left="0" w:right="0"/>
                    <w:jc w:val="center"/>
                    <w:rPr>
                      <w:rFonts w:hint="default" w:ascii="Times New Roman" w:hAnsi="Times New Roman" w:eastAsia="宋体" w:cs="Times New Roman"/>
                      <w:strike w:val="0"/>
                      <w:dstrike w:val="0"/>
                      <w:color w:val="auto"/>
                      <w:sz w:val="18"/>
                      <w:szCs w:val="18"/>
                      <w:highlight w:val="none"/>
                      <w:lang w:val="en-US" w:eastAsia="zh-CN"/>
                    </w:rPr>
                  </w:pPr>
                  <w:r>
                    <w:rPr>
                      <w:rFonts w:hint="eastAsia" w:ascii="Times New Roman" w:hAnsi="Times New Roman" w:eastAsia="宋体" w:cs="Times New Roman"/>
                      <w:strike w:val="0"/>
                      <w:dstrike w:val="0"/>
                      <w:color w:val="auto"/>
                      <w:sz w:val="18"/>
                      <w:szCs w:val="18"/>
                      <w:highlight w:val="none"/>
                      <w:lang w:val="en-US" w:eastAsia="zh-CN"/>
                    </w:rPr>
                    <w:t>18</w:t>
                  </w:r>
                </w:p>
              </w:tc>
              <w:tc>
                <w:tcPr>
                  <w:tcW w:w="1071" w:type="pct"/>
                  <w:tcBorders>
                    <w:top w:val="single" w:color="auto" w:sz="4" w:space="0"/>
                    <w:left w:val="single" w:color="auto" w:sz="4" w:space="0"/>
                    <w:bottom w:val="single" w:color="auto" w:sz="4" w:space="0"/>
                    <w:right w:val="single" w:color="auto" w:sz="4" w:space="0"/>
                  </w:tcBorders>
                  <w:shd w:val="clear" w:color="auto" w:fill="auto"/>
                  <w:noWrap w:val="0"/>
                  <w:vAlign w:val="center"/>
                </w:tcPr>
                <w:p w14:paraId="13DE08A8">
                  <w:pPr>
                    <w:keepNext w:val="0"/>
                    <w:keepLines w:val="0"/>
                    <w:widowControl/>
                    <w:suppressLineNumbers w:val="0"/>
                    <w:adjustRightInd w:val="0"/>
                    <w:snapToGrid w:val="0"/>
                    <w:spacing w:before="0" w:beforeAutospacing="0" w:after="0" w:afterAutospacing="0" w:line="276" w:lineRule="auto"/>
                    <w:ind w:left="0" w:right="0"/>
                    <w:jc w:val="center"/>
                    <w:rPr>
                      <w:rFonts w:hint="eastAsia" w:ascii="Times New Roman" w:hAnsi="Times New Roman" w:eastAsia="宋体" w:cs="Times New Roman"/>
                      <w:strike w:val="0"/>
                      <w:dstrike w:val="0"/>
                      <w:color w:val="auto"/>
                      <w:kern w:val="2"/>
                      <w:sz w:val="18"/>
                      <w:szCs w:val="18"/>
                      <w:highlight w:val="none"/>
                      <w:lang w:val="en-US" w:eastAsia="zh-CN" w:bidi="ar-SA"/>
                    </w:rPr>
                  </w:pPr>
                  <w:r>
                    <w:rPr>
                      <w:rFonts w:hint="eastAsia" w:ascii="Times New Roman" w:hAnsi="Times New Roman" w:eastAsia="宋体" w:cs="Times New Roman"/>
                      <w:strike w:val="0"/>
                      <w:dstrike w:val="0"/>
                      <w:color w:val="auto"/>
                      <w:sz w:val="18"/>
                      <w:szCs w:val="18"/>
                      <w:highlight w:val="none"/>
                      <w:lang w:val="en-US" w:eastAsia="zh-CN"/>
                    </w:rPr>
                    <w:t>景城社区</w:t>
                  </w:r>
                </w:p>
              </w:tc>
              <w:tc>
                <w:tcPr>
                  <w:tcW w:w="527" w:type="pct"/>
                  <w:tcBorders>
                    <w:top w:val="single" w:color="auto" w:sz="4" w:space="0"/>
                    <w:left w:val="single" w:color="auto" w:sz="4" w:space="0"/>
                    <w:bottom w:val="single" w:color="auto" w:sz="4" w:space="0"/>
                    <w:right w:val="single" w:color="auto" w:sz="4" w:space="0"/>
                  </w:tcBorders>
                  <w:shd w:val="clear" w:color="auto" w:fill="auto"/>
                  <w:noWrap w:val="0"/>
                  <w:vAlign w:val="center"/>
                </w:tcPr>
                <w:p w14:paraId="027B1585">
                  <w:pPr>
                    <w:keepNext w:val="0"/>
                    <w:keepLines w:val="0"/>
                    <w:widowControl/>
                    <w:suppressLineNumbers w:val="0"/>
                    <w:adjustRightInd w:val="0"/>
                    <w:snapToGrid w:val="0"/>
                    <w:spacing w:before="0" w:beforeAutospacing="0" w:after="0" w:afterAutospacing="0" w:line="276" w:lineRule="auto"/>
                    <w:ind w:left="0" w:right="0"/>
                    <w:jc w:val="center"/>
                    <w:rPr>
                      <w:rFonts w:hint="default" w:ascii="Times New Roman" w:hAnsi="Times New Roman" w:eastAsia="宋体" w:cs="Times New Roman"/>
                      <w:strike w:val="0"/>
                      <w:dstrike w:val="0"/>
                      <w:color w:val="auto"/>
                      <w:kern w:val="2"/>
                      <w:sz w:val="18"/>
                      <w:szCs w:val="18"/>
                      <w:highlight w:val="none"/>
                      <w:lang w:val="en-US" w:eastAsia="zh-CN" w:bidi="ar-SA"/>
                    </w:rPr>
                  </w:pPr>
                  <w:r>
                    <w:rPr>
                      <w:rFonts w:hint="default" w:ascii="Times New Roman" w:hAnsi="Times New Roman" w:eastAsia="宋体" w:cs="Times New Roman"/>
                      <w:strike w:val="0"/>
                      <w:dstrike w:val="0"/>
                      <w:color w:val="auto"/>
                      <w:sz w:val="18"/>
                      <w:szCs w:val="18"/>
                      <w:highlight w:val="none"/>
                    </w:rPr>
                    <w:t>118.843873</w:t>
                  </w:r>
                </w:p>
              </w:tc>
              <w:tc>
                <w:tcPr>
                  <w:tcW w:w="564" w:type="pct"/>
                  <w:tcBorders>
                    <w:top w:val="single" w:color="auto" w:sz="4" w:space="0"/>
                    <w:left w:val="single" w:color="auto" w:sz="4" w:space="0"/>
                    <w:bottom w:val="single" w:color="auto" w:sz="4" w:space="0"/>
                    <w:right w:val="single" w:color="auto" w:sz="4" w:space="0"/>
                  </w:tcBorders>
                  <w:shd w:val="clear" w:color="auto" w:fill="auto"/>
                  <w:noWrap w:val="0"/>
                  <w:vAlign w:val="center"/>
                </w:tcPr>
                <w:p w14:paraId="1E122548">
                  <w:pPr>
                    <w:keepNext w:val="0"/>
                    <w:keepLines w:val="0"/>
                    <w:widowControl/>
                    <w:suppressLineNumbers w:val="0"/>
                    <w:adjustRightInd w:val="0"/>
                    <w:snapToGrid w:val="0"/>
                    <w:spacing w:before="0" w:beforeAutospacing="0" w:after="0" w:afterAutospacing="0" w:line="276" w:lineRule="auto"/>
                    <w:ind w:left="0" w:right="0"/>
                    <w:jc w:val="center"/>
                    <w:rPr>
                      <w:rFonts w:hint="default" w:ascii="Times New Roman" w:hAnsi="Times New Roman" w:eastAsia="宋体" w:cs="Times New Roman"/>
                      <w:strike w:val="0"/>
                      <w:dstrike w:val="0"/>
                      <w:color w:val="auto"/>
                      <w:kern w:val="2"/>
                      <w:sz w:val="18"/>
                      <w:szCs w:val="18"/>
                      <w:highlight w:val="none"/>
                      <w:lang w:val="en-US" w:eastAsia="zh-CN" w:bidi="ar-SA"/>
                    </w:rPr>
                  </w:pPr>
                  <w:r>
                    <w:rPr>
                      <w:rFonts w:hint="default" w:ascii="Times New Roman" w:hAnsi="Times New Roman" w:eastAsia="宋体" w:cs="Times New Roman"/>
                      <w:strike w:val="0"/>
                      <w:dstrike w:val="0"/>
                      <w:color w:val="auto"/>
                      <w:sz w:val="18"/>
                      <w:szCs w:val="18"/>
                      <w:highlight w:val="none"/>
                    </w:rPr>
                    <w:t>28.9608</w:t>
                  </w:r>
                  <w:r>
                    <w:rPr>
                      <w:rFonts w:hint="eastAsia" w:ascii="Times New Roman" w:hAnsi="Times New Roman" w:eastAsia="宋体" w:cs="Times New Roman"/>
                      <w:strike w:val="0"/>
                      <w:dstrike w:val="0"/>
                      <w:color w:val="auto"/>
                      <w:sz w:val="18"/>
                      <w:szCs w:val="18"/>
                      <w:highlight w:val="none"/>
                      <w:lang w:val="en-US" w:eastAsia="zh-CN"/>
                    </w:rPr>
                    <w:t>50</w:t>
                  </w:r>
                </w:p>
              </w:tc>
              <w:tc>
                <w:tcPr>
                  <w:tcW w:w="474" w:type="pct"/>
                  <w:tcBorders>
                    <w:top w:val="single" w:color="auto" w:sz="4" w:space="0"/>
                    <w:left w:val="single" w:color="auto" w:sz="4" w:space="0"/>
                    <w:bottom w:val="single" w:color="auto" w:sz="4" w:space="0"/>
                    <w:right w:val="single" w:color="auto" w:sz="4" w:space="0"/>
                  </w:tcBorders>
                  <w:shd w:val="clear" w:color="auto" w:fill="auto"/>
                  <w:noWrap w:val="0"/>
                  <w:vAlign w:val="center"/>
                </w:tcPr>
                <w:p w14:paraId="1ED8BB2F">
                  <w:pPr>
                    <w:keepNext w:val="0"/>
                    <w:keepLines w:val="0"/>
                    <w:widowControl/>
                    <w:suppressLineNumbers w:val="0"/>
                    <w:adjustRightInd w:val="0"/>
                    <w:snapToGrid w:val="0"/>
                    <w:spacing w:before="0" w:beforeAutospacing="0" w:after="0" w:afterAutospacing="0" w:line="276" w:lineRule="auto"/>
                    <w:ind w:left="0" w:right="0"/>
                    <w:jc w:val="center"/>
                    <w:rPr>
                      <w:rFonts w:hint="eastAsia" w:ascii="Times New Roman" w:hAnsi="Times New Roman" w:eastAsia="宋体" w:cs="Times New Roman"/>
                      <w:strike w:val="0"/>
                      <w:dstrike w:val="0"/>
                      <w:color w:val="auto"/>
                      <w:kern w:val="2"/>
                      <w:sz w:val="18"/>
                      <w:szCs w:val="18"/>
                      <w:highlight w:val="none"/>
                      <w:lang w:val="en-US" w:eastAsia="zh-CN" w:bidi="ar-SA"/>
                    </w:rPr>
                  </w:pPr>
                  <w:r>
                    <w:rPr>
                      <w:rFonts w:hint="eastAsia" w:ascii="Times New Roman" w:hAnsi="Times New Roman" w:eastAsia="宋体" w:cs="Times New Roman"/>
                      <w:strike w:val="0"/>
                      <w:dstrike w:val="0"/>
                      <w:color w:val="auto"/>
                      <w:sz w:val="18"/>
                      <w:szCs w:val="18"/>
                      <w:highlight w:val="none"/>
                      <w:lang w:val="en-US" w:eastAsia="zh-CN"/>
                    </w:rPr>
                    <w:t>居住区</w:t>
                  </w:r>
                </w:p>
              </w:tc>
              <w:tc>
                <w:tcPr>
                  <w:tcW w:w="490" w:type="pct"/>
                  <w:tcBorders>
                    <w:top w:val="single" w:color="auto" w:sz="4" w:space="0"/>
                    <w:left w:val="single" w:color="auto" w:sz="4" w:space="0"/>
                    <w:bottom w:val="single" w:color="auto" w:sz="4" w:space="0"/>
                    <w:right w:val="single" w:color="auto" w:sz="4" w:space="0"/>
                  </w:tcBorders>
                  <w:shd w:val="clear" w:color="auto" w:fill="auto"/>
                  <w:noWrap w:val="0"/>
                  <w:vAlign w:val="center"/>
                </w:tcPr>
                <w:p w14:paraId="375BDCE7">
                  <w:pPr>
                    <w:keepNext w:val="0"/>
                    <w:keepLines w:val="0"/>
                    <w:widowControl/>
                    <w:suppressLineNumbers w:val="0"/>
                    <w:adjustRightInd w:val="0"/>
                    <w:snapToGrid w:val="0"/>
                    <w:spacing w:before="0" w:beforeAutospacing="0" w:after="0" w:afterAutospacing="0" w:line="276" w:lineRule="auto"/>
                    <w:ind w:left="0" w:right="0"/>
                    <w:jc w:val="center"/>
                    <w:rPr>
                      <w:rFonts w:hint="eastAsia" w:ascii="Times New Roman" w:hAnsi="Times New Roman" w:eastAsia="宋体" w:cs="Times New Roman"/>
                      <w:strike w:val="0"/>
                      <w:dstrike w:val="0"/>
                      <w:color w:val="auto"/>
                      <w:kern w:val="2"/>
                      <w:sz w:val="18"/>
                      <w:szCs w:val="18"/>
                      <w:highlight w:val="none"/>
                      <w:lang w:val="en-US" w:eastAsia="zh-CN" w:bidi="ar-SA"/>
                    </w:rPr>
                  </w:pPr>
                  <w:r>
                    <w:rPr>
                      <w:rFonts w:hint="eastAsia" w:ascii="Times New Roman" w:hAnsi="Times New Roman" w:eastAsia="宋体" w:cs="Times New Roman"/>
                      <w:strike w:val="0"/>
                      <w:dstrike w:val="0"/>
                      <w:color w:val="auto"/>
                      <w:sz w:val="18"/>
                      <w:szCs w:val="18"/>
                      <w:highlight w:val="none"/>
                      <w:lang w:val="en-US" w:eastAsia="zh-CN"/>
                    </w:rPr>
                    <w:t>居民</w:t>
                  </w:r>
                </w:p>
              </w:tc>
              <w:tc>
                <w:tcPr>
                  <w:tcW w:w="499" w:type="pct"/>
                  <w:tcBorders>
                    <w:top w:val="single" w:color="auto" w:sz="4" w:space="0"/>
                    <w:left w:val="single" w:color="auto" w:sz="4" w:space="0"/>
                    <w:bottom w:val="single" w:color="auto" w:sz="4" w:space="0"/>
                    <w:right w:val="single" w:color="auto" w:sz="4" w:space="0"/>
                  </w:tcBorders>
                  <w:shd w:val="clear" w:color="auto" w:fill="auto"/>
                  <w:noWrap w:val="0"/>
                  <w:vAlign w:val="center"/>
                </w:tcPr>
                <w:p w14:paraId="2F4E2B77">
                  <w:pPr>
                    <w:keepNext w:val="0"/>
                    <w:keepLines w:val="0"/>
                    <w:widowControl/>
                    <w:suppressLineNumbers w:val="0"/>
                    <w:adjustRightInd w:val="0"/>
                    <w:snapToGrid w:val="0"/>
                    <w:spacing w:before="0" w:beforeAutospacing="0" w:after="0" w:afterAutospacing="0" w:line="276" w:lineRule="auto"/>
                    <w:ind w:left="0" w:right="0"/>
                    <w:jc w:val="center"/>
                    <w:rPr>
                      <w:rFonts w:hint="eastAsia" w:ascii="Times New Roman" w:hAnsi="Times New Roman" w:eastAsia="宋体" w:cs="Times New Roman"/>
                      <w:strike w:val="0"/>
                      <w:dstrike w:val="0"/>
                      <w:color w:val="auto"/>
                      <w:kern w:val="2"/>
                      <w:sz w:val="18"/>
                      <w:szCs w:val="18"/>
                      <w:highlight w:val="none"/>
                      <w:lang w:val="en-US" w:eastAsia="zh-CN" w:bidi="ar-SA"/>
                    </w:rPr>
                  </w:pPr>
                  <w:r>
                    <w:rPr>
                      <w:rFonts w:hint="eastAsia" w:ascii="Times New Roman" w:hAnsi="Times New Roman" w:eastAsia="宋体" w:cs="Times New Roman"/>
                      <w:strike w:val="0"/>
                      <w:dstrike w:val="0"/>
                      <w:color w:val="auto"/>
                      <w:sz w:val="18"/>
                      <w:szCs w:val="18"/>
                      <w:highlight w:val="none"/>
                      <w:lang w:val="en-US" w:eastAsia="zh-CN"/>
                    </w:rPr>
                    <w:t>二类</w:t>
                  </w:r>
                </w:p>
              </w:tc>
              <w:tc>
                <w:tcPr>
                  <w:tcW w:w="453" w:type="pct"/>
                  <w:tcBorders>
                    <w:top w:val="single" w:color="auto" w:sz="4" w:space="0"/>
                    <w:left w:val="single" w:color="auto" w:sz="4" w:space="0"/>
                    <w:bottom w:val="single" w:color="auto" w:sz="4" w:space="0"/>
                    <w:right w:val="single" w:color="auto" w:sz="4" w:space="0"/>
                  </w:tcBorders>
                  <w:shd w:val="clear" w:color="auto" w:fill="auto"/>
                  <w:noWrap w:val="0"/>
                  <w:vAlign w:val="center"/>
                </w:tcPr>
                <w:p w14:paraId="120C1066">
                  <w:pPr>
                    <w:keepNext w:val="0"/>
                    <w:keepLines w:val="0"/>
                    <w:widowControl/>
                    <w:suppressLineNumbers w:val="0"/>
                    <w:adjustRightInd w:val="0"/>
                    <w:snapToGrid w:val="0"/>
                    <w:spacing w:before="0" w:beforeAutospacing="0" w:after="0" w:afterAutospacing="0" w:line="276" w:lineRule="auto"/>
                    <w:ind w:left="0" w:right="0"/>
                    <w:jc w:val="center"/>
                    <w:rPr>
                      <w:rFonts w:hint="default" w:ascii="Times New Roman" w:hAnsi="Times New Roman" w:eastAsia="宋体" w:cs="Times New Roman"/>
                      <w:strike w:val="0"/>
                      <w:dstrike w:val="0"/>
                      <w:color w:val="auto"/>
                      <w:kern w:val="2"/>
                      <w:sz w:val="18"/>
                      <w:szCs w:val="18"/>
                      <w:highlight w:val="none"/>
                      <w:lang w:val="en-US" w:eastAsia="zh-CN" w:bidi="ar-SA"/>
                    </w:rPr>
                  </w:pPr>
                  <w:r>
                    <w:rPr>
                      <w:rFonts w:hint="eastAsia" w:ascii="Times New Roman" w:hAnsi="Times New Roman" w:eastAsia="宋体" w:cs="Times New Roman"/>
                      <w:strike w:val="0"/>
                      <w:dstrike w:val="0"/>
                      <w:color w:val="auto"/>
                      <w:kern w:val="2"/>
                      <w:sz w:val="18"/>
                      <w:szCs w:val="18"/>
                      <w:highlight w:val="none"/>
                      <w:lang w:val="en-US" w:eastAsia="zh-CN" w:bidi="ar-SA"/>
                    </w:rPr>
                    <w:t>东北</w:t>
                  </w:r>
                </w:p>
              </w:tc>
              <w:tc>
                <w:tcPr>
                  <w:tcW w:w="551" w:type="pct"/>
                  <w:tcBorders>
                    <w:top w:val="single" w:color="auto" w:sz="4" w:space="0"/>
                    <w:left w:val="single" w:color="auto" w:sz="4" w:space="0"/>
                    <w:bottom w:val="single" w:color="auto" w:sz="4" w:space="0"/>
                    <w:right w:val="single" w:color="auto" w:sz="4" w:space="0"/>
                  </w:tcBorders>
                  <w:shd w:val="clear" w:color="auto" w:fill="auto"/>
                  <w:noWrap w:val="0"/>
                  <w:vAlign w:val="center"/>
                </w:tcPr>
                <w:p w14:paraId="3C280758">
                  <w:pPr>
                    <w:keepNext w:val="0"/>
                    <w:keepLines w:val="0"/>
                    <w:widowControl/>
                    <w:suppressLineNumbers w:val="0"/>
                    <w:adjustRightInd w:val="0"/>
                    <w:snapToGrid w:val="0"/>
                    <w:spacing w:before="0" w:beforeAutospacing="0" w:after="0" w:afterAutospacing="0" w:line="276" w:lineRule="auto"/>
                    <w:ind w:left="0" w:right="0"/>
                    <w:jc w:val="center"/>
                    <w:rPr>
                      <w:rFonts w:hint="default" w:ascii="Times New Roman" w:hAnsi="Times New Roman" w:eastAsia="宋体" w:cs="Times New Roman"/>
                      <w:strike w:val="0"/>
                      <w:dstrike w:val="0"/>
                      <w:color w:val="auto"/>
                      <w:kern w:val="2"/>
                      <w:sz w:val="18"/>
                      <w:szCs w:val="18"/>
                      <w:highlight w:val="none"/>
                      <w:lang w:val="en-US" w:eastAsia="zh-CN" w:bidi="ar-SA"/>
                    </w:rPr>
                  </w:pPr>
                  <w:r>
                    <w:rPr>
                      <w:rFonts w:hint="eastAsia" w:ascii="Times New Roman" w:hAnsi="Times New Roman" w:eastAsia="宋体" w:cs="Times New Roman"/>
                      <w:strike w:val="0"/>
                      <w:dstrike w:val="0"/>
                      <w:color w:val="auto"/>
                      <w:sz w:val="18"/>
                      <w:szCs w:val="18"/>
                      <w:highlight w:val="none"/>
                      <w:lang w:val="en-US" w:eastAsia="zh-CN"/>
                    </w:rPr>
                    <w:t>1420</w:t>
                  </w:r>
                </w:p>
              </w:tc>
            </w:tr>
            <w:tr w14:paraId="4CF42EA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40" w:hRule="atLeast"/>
                <w:jc w:val="center"/>
              </w:trPr>
              <w:tc>
                <w:tcPr>
                  <w:tcW w:w="366" w:type="pct"/>
                  <w:tcBorders>
                    <w:left w:val="single" w:color="auto" w:sz="4" w:space="0"/>
                    <w:right w:val="single" w:color="auto" w:sz="4" w:space="0"/>
                  </w:tcBorders>
                  <w:noWrap w:val="0"/>
                  <w:vAlign w:val="center"/>
                </w:tcPr>
                <w:p w14:paraId="2595BB67">
                  <w:pPr>
                    <w:keepNext w:val="0"/>
                    <w:keepLines w:val="0"/>
                    <w:widowControl/>
                    <w:suppressLineNumbers w:val="0"/>
                    <w:adjustRightInd w:val="0"/>
                    <w:snapToGrid w:val="0"/>
                    <w:spacing w:before="0" w:beforeAutospacing="0" w:after="0" w:afterAutospacing="0" w:line="276" w:lineRule="auto"/>
                    <w:ind w:left="0" w:right="0"/>
                    <w:jc w:val="center"/>
                    <w:rPr>
                      <w:rFonts w:hint="default" w:ascii="Times New Roman" w:hAnsi="Times New Roman" w:eastAsia="宋体" w:cs="Times New Roman"/>
                      <w:strike w:val="0"/>
                      <w:dstrike w:val="0"/>
                      <w:color w:val="auto"/>
                      <w:sz w:val="18"/>
                      <w:szCs w:val="18"/>
                      <w:highlight w:val="none"/>
                      <w:lang w:val="en-US" w:eastAsia="zh-CN"/>
                    </w:rPr>
                  </w:pPr>
                  <w:r>
                    <w:rPr>
                      <w:rFonts w:hint="eastAsia" w:ascii="Times New Roman" w:hAnsi="Times New Roman" w:eastAsia="宋体" w:cs="Times New Roman"/>
                      <w:strike w:val="0"/>
                      <w:dstrike w:val="0"/>
                      <w:color w:val="auto"/>
                      <w:sz w:val="18"/>
                      <w:szCs w:val="18"/>
                      <w:highlight w:val="none"/>
                      <w:lang w:val="en-US" w:eastAsia="zh-CN"/>
                    </w:rPr>
                    <w:t>19</w:t>
                  </w:r>
                </w:p>
              </w:tc>
              <w:tc>
                <w:tcPr>
                  <w:tcW w:w="1071" w:type="pct"/>
                  <w:tcBorders>
                    <w:top w:val="single" w:color="auto" w:sz="4" w:space="0"/>
                    <w:left w:val="single" w:color="auto" w:sz="4" w:space="0"/>
                    <w:bottom w:val="single" w:color="auto" w:sz="4" w:space="0"/>
                    <w:right w:val="single" w:color="auto" w:sz="4" w:space="0"/>
                  </w:tcBorders>
                  <w:shd w:val="clear" w:color="auto" w:fill="auto"/>
                  <w:noWrap w:val="0"/>
                  <w:vAlign w:val="center"/>
                </w:tcPr>
                <w:p w14:paraId="381FA414">
                  <w:pPr>
                    <w:keepNext w:val="0"/>
                    <w:keepLines w:val="0"/>
                    <w:widowControl/>
                    <w:suppressLineNumbers w:val="0"/>
                    <w:adjustRightInd w:val="0"/>
                    <w:snapToGrid w:val="0"/>
                    <w:spacing w:before="0" w:beforeAutospacing="0" w:after="0" w:afterAutospacing="0" w:line="276" w:lineRule="auto"/>
                    <w:ind w:left="0" w:right="0"/>
                    <w:jc w:val="center"/>
                    <w:rPr>
                      <w:rFonts w:hint="default" w:ascii="Times New Roman" w:hAnsi="Times New Roman" w:eastAsia="宋体" w:cs="Times New Roman"/>
                      <w:strike w:val="0"/>
                      <w:dstrike w:val="0"/>
                      <w:color w:val="auto"/>
                      <w:kern w:val="2"/>
                      <w:sz w:val="18"/>
                      <w:szCs w:val="18"/>
                      <w:highlight w:val="none"/>
                      <w:lang w:val="en-US" w:eastAsia="zh-CN" w:bidi="ar-SA"/>
                    </w:rPr>
                  </w:pPr>
                  <w:r>
                    <w:rPr>
                      <w:rFonts w:hint="default" w:ascii="Times New Roman" w:hAnsi="Times New Roman" w:eastAsia="宋体" w:cs="Times New Roman"/>
                      <w:strike w:val="0"/>
                      <w:dstrike w:val="0"/>
                      <w:color w:val="auto"/>
                      <w:sz w:val="18"/>
                      <w:szCs w:val="18"/>
                      <w:highlight w:val="none"/>
                      <w:lang w:val="en-US" w:eastAsia="zh-CN"/>
                    </w:rPr>
                    <w:t>御景湾社区</w:t>
                  </w:r>
                </w:p>
              </w:tc>
              <w:tc>
                <w:tcPr>
                  <w:tcW w:w="527" w:type="pct"/>
                  <w:tcBorders>
                    <w:top w:val="single" w:color="auto" w:sz="4" w:space="0"/>
                    <w:left w:val="single" w:color="auto" w:sz="4" w:space="0"/>
                    <w:bottom w:val="single" w:color="auto" w:sz="4" w:space="0"/>
                    <w:right w:val="single" w:color="auto" w:sz="4" w:space="0"/>
                  </w:tcBorders>
                  <w:shd w:val="clear" w:color="auto" w:fill="auto"/>
                  <w:noWrap w:val="0"/>
                  <w:vAlign w:val="center"/>
                </w:tcPr>
                <w:p w14:paraId="61FD3C01">
                  <w:pPr>
                    <w:keepNext w:val="0"/>
                    <w:keepLines w:val="0"/>
                    <w:widowControl/>
                    <w:suppressLineNumbers w:val="0"/>
                    <w:adjustRightInd w:val="0"/>
                    <w:snapToGrid w:val="0"/>
                    <w:spacing w:before="0" w:beforeAutospacing="0" w:after="0" w:afterAutospacing="0" w:line="276" w:lineRule="auto"/>
                    <w:ind w:left="0" w:right="0"/>
                    <w:jc w:val="center"/>
                    <w:rPr>
                      <w:rFonts w:hint="default" w:ascii="Times New Roman" w:hAnsi="Times New Roman" w:eastAsia="宋体" w:cs="Times New Roman"/>
                      <w:strike w:val="0"/>
                      <w:dstrike w:val="0"/>
                      <w:color w:val="auto"/>
                      <w:kern w:val="2"/>
                      <w:sz w:val="18"/>
                      <w:szCs w:val="18"/>
                      <w:highlight w:val="none"/>
                      <w:lang w:val="en-US" w:eastAsia="zh-CN" w:bidi="ar-SA"/>
                    </w:rPr>
                  </w:pPr>
                  <w:r>
                    <w:rPr>
                      <w:rFonts w:hint="default" w:ascii="Times New Roman" w:hAnsi="Times New Roman" w:eastAsia="宋体" w:cs="Times New Roman"/>
                      <w:strike w:val="0"/>
                      <w:dstrike w:val="0"/>
                      <w:color w:val="auto"/>
                      <w:sz w:val="18"/>
                      <w:szCs w:val="18"/>
                      <w:highlight w:val="none"/>
                    </w:rPr>
                    <w:t>118.844479</w:t>
                  </w:r>
                </w:p>
              </w:tc>
              <w:tc>
                <w:tcPr>
                  <w:tcW w:w="564" w:type="pct"/>
                  <w:tcBorders>
                    <w:top w:val="single" w:color="auto" w:sz="4" w:space="0"/>
                    <w:left w:val="single" w:color="auto" w:sz="4" w:space="0"/>
                    <w:bottom w:val="single" w:color="auto" w:sz="4" w:space="0"/>
                    <w:right w:val="single" w:color="auto" w:sz="4" w:space="0"/>
                  </w:tcBorders>
                  <w:shd w:val="clear" w:color="auto" w:fill="auto"/>
                  <w:noWrap w:val="0"/>
                  <w:vAlign w:val="center"/>
                </w:tcPr>
                <w:p w14:paraId="472CAE3A">
                  <w:pPr>
                    <w:keepNext w:val="0"/>
                    <w:keepLines w:val="0"/>
                    <w:widowControl/>
                    <w:suppressLineNumbers w:val="0"/>
                    <w:adjustRightInd w:val="0"/>
                    <w:snapToGrid w:val="0"/>
                    <w:spacing w:before="0" w:beforeAutospacing="0" w:after="0" w:afterAutospacing="0" w:line="276" w:lineRule="auto"/>
                    <w:ind w:left="0" w:right="0"/>
                    <w:jc w:val="center"/>
                    <w:rPr>
                      <w:rFonts w:hint="default" w:ascii="Times New Roman" w:hAnsi="Times New Roman" w:eastAsia="宋体" w:cs="Times New Roman"/>
                      <w:strike w:val="0"/>
                      <w:dstrike w:val="0"/>
                      <w:color w:val="auto"/>
                      <w:kern w:val="2"/>
                      <w:sz w:val="18"/>
                      <w:szCs w:val="18"/>
                      <w:highlight w:val="none"/>
                      <w:lang w:val="en-US" w:eastAsia="zh-CN" w:bidi="ar-SA"/>
                    </w:rPr>
                  </w:pPr>
                  <w:r>
                    <w:rPr>
                      <w:rFonts w:hint="default" w:ascii="Times New Roman" w:hAnsi="Times New Roman" w:eastAsia="宋体" w:cs="Times New Roman"/>
                      <w:strike w:val="0"/>
                      <w:dstrike w:val="0"/>
                      <w:color w:val="auto"/>
                      <w:sz w:val="18"/>
                      <w:szCs w:val="18"/>
                      <w:highlight w:val="none"/>
                    </w:rPr>
                    <w:t>28.954981</w:t>
                  </w:r>
                </w:p>
              </w:tc>
              <w:tc>
                <w:tcPr>
                  <w:tcW w:w="474" w:type="pct"/>
                  <w:tcBorders>
                    <w:top w:val="single" w:color="auto" w:sz="4" w:space="0"/>
                    <w:left w:val="single" w:color="auto" w:sz="4" w:space="0"/>
                    <w:bottom w:val="single" w:color="auto" w:sz="4" w:space="0"/>
                    <w:right w:val="single" w:color="auto" w:sz="4" w:space="0"/>
                  </w:tcBorders>
                  <w:shd w:val="clear" w:color="auto" w:fill="auto"/>
                  <w:noWrap w:val="0"/>
                  <w:vAlign w:val="center"/>
                </w:tcPr>
                <w:p w14:paraId="3D53F5D2">
                  <w:pPr>
                    <w:keepNext w:val="0"/>
                    <w:keepLines w:val="0"/>
                    <w:widowControl/>
                    <w:suppressLineNumbers w:val="0"/>
                    <w:adjustRightInd w:val="0"/>
                    <w:snapToGrid w:val="0"/>
                    <w:spacing w:before="0" w:beforeAutospacing="0" w:after="0" w:afterAutospacing="0" w:line="276" w:lineRule="auto"/>
                    <w:ind w:left="0" w:right="0"/>
                    <w:jc w:val="center"/>
                    <w:rPr>
                      <w:rFonts w:hint="eastAsia" w:ascii="Times New Roman" w:hAnsi="Times New Roman" w:eastAsia="宋体" w:cs="Times New Roman"/>
                      <w:strike w:val="0"/>
                      <w:dstrike w:val="0"/>
                      <w:color w:val="auto"/>
                      <w:kern w:val="2"/>
                      <w:sz w:val="18"/>
                      <w:szCs w:val="18"/>
                      <w:highlight w:val="none"/>
                      <w:lang w:val="en-US" w:eastAsia="zh-CN" w:bidi="ar-SA"/>
                    </w:rPr>
                  </w:pPr>
                  <w:r>
                    <w:rPr>
                      <w:rFonts w:hint="eastAsia" w:ascii="Times New Roman" w:hAnsi="Times New Roman" w:eastAsia="宋体" w:cs="Times New Roman"/>
                      <w:strike w:val="0"/>
                      <w:dstrike w:val="0"/>
                      <w:color w:val="auto"/>
                      <w:sz w:val="18"/>
                      <w:szCs w:val="18"/>
                      <w:highlight w:val="none"/>
                      <w:lang w:val="en-US" w:eastAsia="zh-CN"/>
                    </w:rPr>
                    <w:t>居住区</w:t>
                  </w:r>
                </w:p>
              </w:tc>
              <w:tc>
                <w:tcPr>
                  <w:tcW w:w="490" w:type="pct"/>
                  <w:tcBorders>
                    <w:top w:val="single" w:color="auto" w:sz="4" w:space="0"/>
                    <w:left w:val="single" w:color="auto" w:sz="4" w:space="0"/>
                    <w:bottom w:val="single" w:color="auto" w:sz="4" w:space="0"/>
                    <w:right w:val="single" w:color="auto" w:sz="4" w:space="0"/>
                  </w:tcBorders>
                  <w:shd w:val="clear" w:color="auto" w:fill="auto"/>
                  <w:noWrap w:val="0"/>
                  <w:vAlign w:val="center"/>
                </w:tcPr>
                <w:p w14:paraId="745F43FC">
                  <w:pPr>
                    <w:keepNext w:val="0"/>
                    <w:keepLines w:val="0"/>
                    <w:widowControl/>
                    <w:suppressLineNumbers w:val="0"/>
                    <w:adjustRightInd w:val="0"/>
                    <w:snapToGrid w:val="0"/>
                    <w:spacing w:before="0" w:beforeAutospacing="0" w:after="0" w:afterAutospacing="0" w:line="276" w:lineRule="auto"/>
                    <w:ind w:left="0" w:right="0"/>
                    <w:jc w:val="center"/>
                    <w:rPr>
                      <w:rFonts w:hint="eastAsia" w:ascii="Times New Roman" w:hAnsi="Times New Roman" w:eastAsia="宋体" w:cs="Times New Roman"/>
                      <w:strike w:val="0"/>
                      <w:dstrike w:val="0"/>
                      <w:color w:val="auto"/>
                      <w:kern w:val="2"/>
                      <w:sz w:val="18"/>
                      <w:szCs w:val="18"/>
                      <w:highlight w:val="none"/>
                      <w:lang w:val="en-US" w:eastAsia="zh-CN" w:bidi="ar-SA"/>
                    </w:rPr>
                  </w:pPr>
                  <w:r>
                    <w:rPr>
                      <w:rFonts w:hint="eastAsia" w:ascii="Times New Roman" w:hAnsi="Times New Roman" w:eastAsia="宋体" w:cs="Times New Roman"/>
                      <w:strike w:val="0"/>
                      <w:dstrike w:val="0"/>
                      <w:color w:val="auto"/>
                      <w:sz w:val="18"/>
                      <w:szCs w:val="18"/>
                      <w:highlight w:val="none"/>
                      <w:lang w:val="en-US" w:eastAsia="zh-CN"/>
                    </w:rPr>
                    <w:t>居民</w:t>
                  </w:r>
                </w:p>
              </w:tc>
              <w:tc>
                <w:tcPr>
                  <w:tcW w:w="499" w:type="pct"/>
                  <w:tcBorders>
                    <w:top w:val="single" w:color="auto" w:sz="4" w:space="0"/>
                    <w:left w:val="single" w:color="auto" w:sz="4" w:space="0"/>
                    <w:bottom w:val="single" w:color="auto" w:sz="4" w:space="0"/>
                    <w:right w:val="single" w:color="auto" w:sz="4" w:space="0"/>
                  </w:tcBorders>
                  <w:shd w:val="clear" w:color="auto" w:fill="auto"/>
                  <w:noWrap w:val="0"/>
                  <w:vAlign w:val="center"/>
                </w:tcPr>
                <w:p w14:paraId="32C2CAEA">
                  <w:pPr>
                    <w:keepNext w:val="0"/>
                    <w:keepLines w:val="0"/>
                    <w:widowControl/>
                    <w:suppressLineNumbers w:val="0"/>
                    <w:adjustRightInd w:val="0"/>
                    <w:snapToGrid w:val="0"/>
                    <w:spacing w:before="0" w:beforeAutospacing="0" w:after="0" w:afterAutospacing="0" w:line="276" w:lineRule="auto"/>
                    <w:ind w:left="0" w:right="0"/>
                    <w:jc w:val="center"/>
                    <w:rPr>
                      <w:rFonts w:hint="eastAsia" w:ascii="Times New Roman" w:hAnsi="Times New Roman" w:eastAsia="宋体" w:cs="Times New Roman"/>
                      <w:strike w:val="0"/>
                      <w:dstrike w:val="0"/>
                      <w:color w:val="auto"/>
                      <w:kern w:val="2"/>
                      <w:sz w:val="18"/>
                      <w:szCs w:val="18"/>
                      <w:highlight w:val="none"/>
                      <w:lang w:val="en-US" w:eastAsia="zh-CN" w:bidi="ar-SA"/>
                    </w:rPr>
                  </w:pPr>
                  <w:r>
                    <w:rPr>
                      <w:rFonts w:hint="eastAsia" w:ascii="Times New Roman" w:hAnsi="Times New Roman" w:eastAsia="宋体" w:cs="Times New Roman"/>
                      <w:strike w:val="0"/>
                      <w:dstrike w:val="0"/>
                      <w:color w:val="auto"/>
                      <w:sz w:val="18"/>
                      <w:szCs w:val="18"/>
                      <w:highlight w:val="none"/>
                      <w:lang w:val="en-US" w:eastAsia="zh-CN"/>
                    </w:rPr>
                    <w:t>二类</w:t>
                  </w:r>
                </w:p>
              </w:tc>
              <w:tc>
                <w:tcPr>
                  <w:tcW w:w="453" w:type="pct"/>
                  <w:tcBorders>
                    <w:top w:val="single" w:color="auto" w:sz="4" w:space="0"/>
                    <w:left w:val="single" w:color="auto" w:sz="4" w:space="0"/>
                    <w:bottom w:val="single" w:color="auto" w:sz="4" w:space="0"/>
                    <w:right w:val="single" w:color="auto" w:sz="4" w:space="0"/>
                  </w:tcBorders>
                  <w:shd w:val="clear" w:color="auto" w:fill="auto"/>
                  <w:noWrap w:val="0"/>
                  <w:vAlign w:val="center"/>
                </w:tcPr>
                <w:p w14:paraId="0887EDDC">
                  <w:pPr>
                    <w:keepNext w:val="0"/>
                    <w:keepLines w:val="0"/>
                    <w:widowControl/>
                    <w:suppressLineNumbers w:val="0"/>
                    <w:adjustRightInd w:val="0"/>
                    <w:snapToGrid w:val="0"/>
                    <w:spacing w:before="0" w:beforeAutospacing="0" w:after="0" w:afterAutospacing="0" w:line="276" w:lineRule="auto"/>
                    <w:ind w:left="0" w:right="0"/>
                    <w:jc w:val="center"/>
                    <w:rPr>
                      <w:rFonts w:hint="default" w:ascii="Times New Roman" w:hAnsi="Times New Roman" w:eastAsia="宋体" w:cs="Times New Roman"/>
                      <w:strike w:val="0"/>
                      <w:dstrike w:val="0"/>
                      <w:color w:val="auto"/>
                      <w:kern w:val="2"/>
                      <w:sz w:val="18"/>
                      <w:szCs w:val="18"/>
                      <w:highlight w:val="none"/>
                      <w:lang w:val="en-US" w:eastAsia="zh-CN" w:bidi="ar-SA"/>
                    </w:rPr>
                  </w:pPr>
                  <w:r>
                    <w:rPr>
                      <w:rFonts w:hint="eastAsia" w:ascii="Times New Roman" w:hAnsi="Times New Roman" w:eastAsia="宋体" w:cs="Times New Roman"/>
                      <w:strike w:val="0"/>
                      <w:dstrike w:val="0"/>
                      <w:color w:val="auto"/>
                      <w:kern w:val="2"/>
                      <w:sz w:val="18"/>
                      <w:szCs w:val="18"/>
                      <w:highlight w:val="none"/>
                      <w:lang w:val="en-US" w:eastAsia="zh-CN" w:bidi="ar-SA"/>
                    </w:rPr>
                    <w:t>东</w:t>
                  </w:r>
                </w:p>
              </w:tc>
              <w:tc>
                <w:tcPr>
                  <w:tcW w:w="551" w:type="pct"/>
                  <w:tcBorders>
                    <w:top w:val="single" w:color="auto" w:sz="4" w:space="0"/>
                    <w:left w:val="single" w:color="auto" w:sz="4" w:space="0"/>
                    <w:bottom w:val="single" w:color="auto" w:sz="4" w:space="0"/>
                    <w:right w:val="single" w:color="auto" w:sz="4" w:space="0"/>
                  </w:tcBorders>
                  <w:shd w:val="clear" w:color="auto" w:fill="auto"/>
                  <w:noWrap w:val="0"/>
                  <w:vAlign w:val="center"/>
                </w:tcPr>
                <w:p w14:paraId="6237DF70">
                  <w:pPr>
                    <w:keepNext w:val="0"/>
                    <w:keepLines w:val="0"/>
                    <w:widowControl/>
                    <w:suppressLineNumbers w:val="0"/>
                    <w:adjustRightInd w:val="0"/>
                    <w:snapToGrid w:val="0"/>
                    <w:spacing w:before="0" w:beforeAutospacing="0" w:after="0" w:afterAutospacing="0" w:line="276" w:lineRule="auto"/>
                    <w:ind w:left="0" w:right="0"/>
                    <w:jc w:val="center"/>
                    <w:rPr>
                      <w:rFonts w:hint="default" w:ascii="Times New Roman" w:hAnsi="Times New Roman" w:eastAsia="宋体" w:cs="Times New Roman"/>
                      <w:strike w:val="0"/>
                      <w:dstrike w:val="0"/>
                      <w:color w:val="auto"/>
                      <w:kern w:val="2"/>
                      <w:sz w:val="18"/>
                      <w:szCs w:val="18"/>
                      <w:highlight w:val="none"/>
                      <w:lang w:val="en-US" w:eastAsia="zh-CN" w:bidi="ar-SA"/>
                    </w:rPr>
                  </w:pPr>
                  <w:r>
                    <w:rPr>
                      <w:rFonts w:hint="eastAsia" w:ascii="Times New Roman" w:hAnsi="Times New Roman" w:eastAsia="宋体" w:cs="Times New Roman"/>
                      <w:strike w:val="0"/>
                      <w:dstrike w:val="0"/>
                      <w:color w:val="auto"/>
                      <w:sz w:val="18"/>
                      <w:szCs w:val="18"/>
                      <w:highlight w:val="none"/>
                      <w:lang w:val="en-US" w:eastAsia="zh-CN"/>
                    </w:rPr>
                    <w:t>1150</w:t>
                  </w:r>
                </w:p>
              </w:tc>
            </w:tr>
            <w:tr w14:paraId="71EC167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40" w:hRule="atLeast"/>
                <w:jc w:val="center"/>
              </w:trPr>
              <w:tc>
                <w:tcPr>
                  <w:tcW w:w="366" w:type="pct"/>
                  <w:tcBorders>
                    <w:left w:val="single" w:color="auto" w:sz="4" w:space="0"/>
                    <w:right w:val="single" w:color="auto" w:sz="4" w:space="0"/>
                  </w:tcBorders>
                  <w:noWrap w:val="0"/>
                  <w:vAlign w:val="center"/>
                </w:tcPr>
                <w:p w14:paraId="4D6F94D9">
                  <w:pPr>
                    <w:keepNext w:val="0"/>
                    <w:keepLines w:val="0"/>
                    <w:widowControl/>
                    <w:suppressLineNumbers w:val="0"/>
                    <w:adjustRightInd w:val="0"/>
                    <w:snapToGrid w:val="0"/>
                    <w:spacing w:before="0" w:beforeAutospacing="0" w:after="0" w:afterAutospacing="0" w:line="276" w:lineRule="auto"/>
                    <w:ind w:left="0" w:right="0"/>
                    <w:jc w:val="center"/>
                    <w:rPr>
                      <w:rFonts w:hint="default" w:ascii="Times New Roman" w:hAnsi="Times New Roman" w:eastAsia="宋体" w:cs="Times New Roman"/>
                      <w:strike w:val="0"/>
                      <w:dstrike w:val="0"/>
                      <w:color w:val="auto"/>
                      <w:sz w:val="18"/>
                      <w:szCs w:val="18"/>
                      <w:highlight w:val="none"/>
                      <w:lang w:val="en-US" w:eastAsia="zh-CN"/>
                    </w:rPr>
                  </w:pPr>
                  <w:r>
                    <w:rPr>
                      <w:rFonts w:hint="eastAsia" w:ascii="Times New Roman" w:hAnsi="Times New Roman" w:eastAsia="宋体" w:cs="Times New Roman"/>
                      <w:strike w:val="0"/>
                      <w:dstrike w:val="0"/>
                      <w:color w:val="auto"/>
                      <w:sz w:val="18"/>
                      <w:szCs w:val="18"/>
                      <w:highlight w:val="none"/>
                      <w:lang w:val="en-US" w:eastAsia="zh-CN"/>
                    </w:rPr>
                    <w:t>20</w:t>
                  </w:r>
                </w:p>
              </w:tc>
              <w:tc>
                <w:tcPr>
                  <w:tcW w:w="1071" w:type="pct"/>
                  <w:tcBorders>
                    <w:top w:val="single" w:color="auto" w:sz="4" w:space="0"/>
                    <w:left w:val="single" w:color="auto" w:sz="4" w:space="0"/>
                    <w:bottom w:val="single" w:color="auto" w:sz="4" w:space="0"/>
                    <w:right w:val="single" w:color="auto" w:sz="4" w:space="0"/>
                  </w:tcBorders>
                  <w:shd w:val="clear" w:color="auto" w:fill="auto"/>
                  <w:noWrap w:val="0"/>
                  <w:vAlign w:val="center"/>
                </w:tcPr>
                <w:p w14:paraId="1DB541C8">
                  <w:pPr>
                    <w:keepNext w:val="0"/>
                    <w:keepLines w:val="0"/>
                    <w:widowControl/>
                    <w:suppressLineNumbers w:val="0"/>
                    <w:adjustRightInd w:val="0"/>
                    <w:snapToGrid w:val="0"/>
                    <w:spacing w:before="0" w:beforeAutospacing="0" w:after="0" w:afterAutospacing="0" w:line="276" w:lineRule="auto"/>
                    <w:ind w:left="0" w:right="0"/>
                    <w:jc w:val="center"/>
                    <w:rPr>
                      <w:rFonts w:hint="default" w:ascii="Times New Roman" w:hAnsi="Times New Roman" w:eastAsia="宋体" w:cs="Times New Roman"/>
                      <w:strike w:val="0"/>
                      <w:dstrike w:val="0"/>
                      <w:color w:val="auto"/>
                      <w:kern w:val="2"/>
                      <w:sz w:val="18"/>
                      <w:szCs w:val="18"/>
                      <w:highlight w:val="none"/>
                      <w:lang w:val="en-US" w:eastAsia="zh-CN" w:bidi="ar-SA"/>
                    </w:rPr>
                  </w:pPr>
                  <w:r>
                    <w:rPr>
                      <w:rFonts w:hint="default" w:ascii="Times New Roman" w:hAnsi="Times New Roman" w:eastAsia="宋体" w:cs="Times New Roman"/>
                      <w:strike w:val="0"/>
                      <w:dstrike w:val="0"/>
                      <w:color w:val="auto"/>
                      <w:sz w:val="18"/>
                      <w:szCs w:val="18"/>
                      <w:highlight w:val="none"/>
                      <w:lang w:val="en-US" w:eastAsia="zh-CN"/>
                    </w:rPr>
                    <w:t>衢州市消防救援支队</w:t>
                  </w:r>
                </w:p>
              </w:tc>
              <w:tc>
                <w:tcPr>
                  <w:tcW w:w="527" w:type="pct"/>
                  <w:tcBorders>
                    <w:top w:val="single" w:color="auto" w:sz="4" w:space="0"/>
                    <w:left w:val="single" w:color="auto" w:sz="4" w:space="0"/>
                    <w:bottom w:val="single" w:color="auto" w:sz="4" w:space="0"/>
                    <w:right w:val="single" w:color="auto" w:sz="4" w:space="0"/>
                  </w:tcBorders>
                  <w:shd w:val="clear" w:color="auto" w:fill="auto"/>
                  <w:noWrap w:val="0"/>
                  <w:vAlign w:val="center"/>
                </w:tcPr>
                <w:p w14:paraId="3875BC22">
                  <w:pPr>
                    <w:keepNext w:val="0"/>
                    <w:keepLines w:val="0"/>
                    <w:widowControl/>
                    <w:suppressLineNumbers w:val="0"/>
                    <w:adjustRightInd w:val="0"/>
                    <w:snapToGrid w:val="0"/>
                    <w:spacing w:before="0" w:beforeAutospacing="0" w:after="0" w:afterAutospacing="0" w:line="276" w:lineRule="auto"/>
                    <w:ind w:left="0" w:right="0"/>
                    <w:jc w:val="center"/>
                    <w:rPr>
                      <w:rFonts w:hint="default" w:ascii="Times New Roman" w:hAnsi="Times New Roman" w:eastAsia="宋体" w:cs="Times New Roman"/>
                      <w:strike w:val="0"/>
                      <w:dstrike w:val="0"/>
                      <w:color w:val="auto"/>
                      <w:kern w:val="2"/>
                      <w:sz w:val="18"/>
                      <w:szCs w:val="18"/>
                      <w:highlight w:val="none"/>
                      <w:lang w:val="en-US" w:eastAsia="zh-CN" w:bidi="ar-SA"/>
                    </w:rPr>
                  </w:pPr>
                  <w:r>
                    <w:rPr>
                      <w:rFonts w:hint="default" w:ascii="Times New Roman" w:hAnsi="Times New Roman" w:eastAsia="宋体" w:cs="Times New Roman"/>
                      <w:strike w:val="0"/>
                      <w:dstrike w:val="0"/>
                      <w:color w:val="auto"/>
                      <w:sz w:val="18"/>
                      <w:szCs w:val="18"/>
                      <w:highlight w:val="none"/>
                    </w:rPr>
                    <w:t>118.836243</w:t>
                  </w:r>
                </w:p>
              </w:tc>
              <w:tc>
                <w:tcPr>
                  <w:tcW w:w="564" w:type="pct"/>
                  <w:tcBorders>
                    <w:top w:val="single" w:color="auto" w:sz="4" w:space="0"/>
                    <w:left w:val="single" w:color="auto" w:sz="4" w:space="0"/>
                    <w:bottom w:val="single" w:color="auto" w:sz="4" w:space="0"/>
                    <w:right w:val="single" w:color="auto" w:sz="4" w:space="0"/>
                  </w:tcBorders>
                  <w:shd w:val="clear" w:color="auto" w:fill="auto"/>
                  <w:noWrap w:val="0"/>
                  <w:vAlign w:val="center"/>
                </w:tcPr>
                <w:p w14:paraId="5C063A8E">
                  <w:pPr>
                    <w:keepNext w:val="0"/>
                    <w:keepLines w:val="0"/>
                    <w:widowControl/>
                    <w:suppressLineNumbers w:val="0"/>
                    <w:adjustRightInd w:val="0"/>
                    <w:snapToGrid w:val="0"/>
                    <w:spacing w:before="0" w:beforeAutospacing="0" w:after="0" w:afterAutospacing="0" w:line="276" w:lineRule="auto"/>
                    <w:ind w:left="0" w:right="0"/>
                    <w:jc w:val="center"/>
                    <w:rPr>
                      <w:rFonts w:hint="eastAsia" w:ascii="Times New Roman" w:hAnsi="Times New Roman" w:eastAsia="宋体" w:cs="Times New Roman"/>
                      <w:strike w:val="0"/>
                      <w:dstrike w:val="0"/>
                      <w:color w:val="auto"/>
                      <w:kern w:val="2"/>
                      <w:sz w:val="18"/>
                      <w:szCs w:val="18"/>
                      <w:highlight w:val="none"/>
                      <w:lang w:val="en-US" w:eastAsia="zh-CN" w:bidi="ar-SA"/>
                    </w:rPr>
                  </w:pPr>
                  <w:r>
                    <w:rPr>
                      <w:rFonts w:hint="default" w:ascii="Times New Roman" w:hAnsi="Times New Roman" w:eastAsia="宋体" w:cs="Times New Roman"/>
                      <w:strike w:val="0"/>
                      <w:dstrike w:val="0"/>
                      <w:color w:val="auto"/>
                      <w:sz w:val="18"/>
                      <w:szCs w:val="18"/>
                      <w:highlight w:val="none"/>
                    </w:rPr>
                    <w:t>28.96248</w:t>
                  </w:r>
                  <w:r>
                    <w:rPr>
                      <w:rFonts w:hint="eastAsia" w:ascii="Times New Roman" w:hAnsi="Times New Roman" w:eastAsia="宋体" w:cs="Times New Roman"/>
                      <w:strike w:val="0"/>
                      <w:dstrike w:val="0"/>
                      <w:color w:val="auto"/>
                      <w:sz w:val="18"/>
                      <w:szCs w:val="18"/>
                      <w:highlight w:val="none"/>
                      <w:lang w:val="en-US" w:eastAsia="zh-CN"/>
                    </w:rPr>
                    <w:t>4</w:t>
                  </w:r>
                </w:p>
              </w:tc>
              <w:tc>
                <w:tcPr>
                  <w:tcW w:w="474" w:type="pct"/>
                  <w:tcBorders>
                    <w:top w:val="single" w:color="auto" w:sz="4" w:space="0"/>
                    <w:left w:val="single" w:color="auto" w:sz="4" w:space="0"/>
                    <w:bottom w:val="single" w:color="auto" w:sz="4" w:space="0"/>
                    <w:right w:val="single" w:color="auto" w:sz="4" w:space="0"/>
                  </w:tcBorders>
                  <w:shd w:val="clear" w:color="auto" w:fill="auto"/>
                  <w:noWrap w:val="0"/>
                  <w:vAlign w:val="center"/>
                </w:tcPr>
                <w:p w14:paraId="1041A64B">
                  <w:pPr>
                    <w:keepNext w:val="0"/>
                    <w:keepLines w:val="0"/>
                    <w:widowControl/>
                    <w:suppressLineNumbers w:val="0"/>
                    <w:adjustRightInd w:val="0"/>
                    <w:snapToGrid w:val="0"/>
                    <w:spacing w:before="0" w:beforeAutospacing="0" w:after="0" w:afterAutospacing="0" w:line="276" w:lineRule="auto"/>
                    <w:ind w:left="0" w:right="0"/>
                    <w:jc w:val="center"/>
                    <w:rPr>
                      <w:rFonts w:hint="default" w:ascii="Times New Roman" w:hAnsi="Times New Roman" w:eastAsia="宋体" w:cs="Times New Roman"/>
                      <w:strike w:val="0"/>
                      <w:dstrike w:val="0"/>
                      <w:color w:val="auto"/>
                      <w:kern w:val="2"/>
                      <w:sz w:val="18"/>
                      <w:szCs w:val="18"/>
                      <w:highlight w:val="none"/>
                      <w:lang w:val="en-US" w:eastAsia="zh-CN" w:bidi="ar-SA"/>
                    </w:rPr>
                  </w:pPr>
                  <w:r>
                    <w:rPr>
                      <w:rFonts w:hint="eastAsia" w:ascii="Times New Roman" w:hAnsi="Times New Roman" w:eastAsia="宋体" w:cs="Times New Roman"/>
                      <w:strike w:val="0"/>
                      <w:dstrike w:val="0"/>
                      <w:color w:val="auto"/>
                      <w:kern w:val="2"/>
                      <w:sz w:val="18"/>
                      <w:szCs w:val="18"/>
                      <w:highlight w:val="none"/>
                      <w:lang w:val="en-US" w:eastAsia="zh-CN" w:bidi="ar-SA"/>
                    </w:rPr>
                    <w:t>行政办公</w:t>
                  </w:r>
                </w:p>
              </w:tc>
              <w:tc>
                <w:tcPr>
                  <w:tcW w:w="490" w:type="pct"/>
                  <w:tcBorders>
                    <w:top w:val="single" w:color="auto" w:sz="4" w:space="0"/>
                    <w:left w:val="single" w:color="auto" w:sz="4" w:space="0"/>
                    <w:bottom w:val="single" w:color="auto" w:sz="4" w:space="0"/>
                    <w:right w:val="single" w:color="auto" w:sz="4" w:space="0"/>
                  </w:tcBorders>
                  <w:shd w:val="clear" w:color="auto" w:fill="auto"/>
                  <w:noWrap w:val="0"/>
                  <w:vAlign w:val="center"/>
                </w:tcPr>
                <w:p w14:paraId="416A2EFF">
                  <w:pPr>
                    <w:keepNext w:val="0"/>
                    <w:keepLines w:val="0"/>
                    <w:widowControl/>
                    <w:suppressLineNumbers w:val="0"/>
                    <w:adjustRightInd w:val="0"/>
                    <w:snapToGrid w:val="0"/>
                    <w:spacing w:before="0" w:beforeAutospacing="0" w:after="0" w:afterAutospacing="0" w:line="276" w:lineRule="auto"/>
                    <w:ind w:left="0" w:right="0"/>
                    <w:jc w:val="center"/>
                    <w:rPr>
                      <w:rFonts w:hint="default" w:ascii="Times New Roman" w:hAnsi="Times New Roman" w:eastAsia="宋体" w:cs="Times New Roman"/>
                      <w:strike w:val="0"/>
                      <w:dstrike w:val="0"/>
                      <w:color w:val="auto"/>
                      <w:kern w:val="2"/>
                      <w:sz w:val="18"/>
                      <w:szCs w:val="18"/>
                      <w:highlight w:val="none"/>
                      <w:lang w:val="en-US" w:eastAsia="zh-CN" w:bidi="ar-SA"/>
                    </w:rPr>
                  </w:pPr>
                  <w:r>
                    <w:rPr>
                      <w:rFonts w:hint="eastAsia" w:ascii="Times New Roman" w:hAnsi="Times New Roman" w:eastAsia="宋体" w:cs="Times New Roman"/>
                      <w:strike w:val="0"/>
                      <w:dstrike w:val="0"/>
                      <w:color w:val="auto"/>
                      <w:kern w:val="2"/>
                      <w:sz w:val="18"/>
                      <w:szCs w:val="18"/>
                      <w:highlight w:val="none"/>
                      <w:lang w:val="en-US" w:eastAsia="zh-CN" w:bidi="ar-SA"/>
                    </w:rPr>
                    <w:t>工作人员</w:t>
                  </w:r>
                </w:p>
              </w:tc>
              <w:tc>
                <w:tcPr>
                  <w:tcW w:w="499" w:type="pct"/>
                  <w:tcBorders>
                    <w:top w:val="single" w:color="auto" w:sz="4" w:space="0"/>
                    <w:left w:val="single" w:color="auto" w:sz="4" w:space="0"/>
                    <w:bottom w:val="single" w:color="auto" w:sz="4" w:space="0"/>
                    <w:right w:val="single" w:color="auto" w:sz="4" w:space="0"/>
                  </w:tcBorders>
                  <w:shd w:val="clear" w:color="auto" w:fill="auto"/>
                  <w:noWrap w:val="0"/>
                  <w:vAlign w:val="center"/>
                </w:tcPr>
                <w:p w14:paraId="38DA8ED0">
                  <w:pPr>
                    <w:keepNext w:val="0"/>
                    <w:keepLines w:val="0"/>
                    <w:widowControl/>
                    <w:suppressLineNumbers w:val="0"/>
                    <w:adjustRightInd w:val="0"/>
                    <w:snapToGrid w:val="0"/>
                    <w:spacing w:before="0" w:beforeAutospacing="0" w:after="0" w:afterAutospacing="0" w:line="276" w:lineRule="auto"/>
                    <w:ind w:left="0" w:right="0"/>
                    <w:jc w:val="center"/>
                    <w:rPr>
                      <w:rFonts w:hint="eastAsia" w:ascii="Times New Roman" w:hAnsi="Times New Roman" w:eastAsia="宋体" w:cs="Times New Roman"/>
                      <w:strike w:val="0"/>
                      <w:dstrike w:val="0"/>
                      <w:color w:val="auto"/>
                      <w:kern w:val="2"/>
                      <w:sz w:val="18"/>
                      <w:szCs w:val="18"/>
                      <w:highlight w:val="none"/>
                      <w:lang w:val="en-US" w:eastAsia="zh-CN" w:bidi="ar-SA"/>
                    </w:rPr>
                  </w:pPr>
                  <w:r>
                    <w:rPr>
                      <w:rFonts w:hint="eastAsia" w:ascii="Times New Roman" w:hAnsi="Times New Roman" w:eastAsia="宋体" w:cs="Times New Roman"/>
                      <w:strike w:val="0"/>
                      <w:dstrike w:val="0"/>
                      <w:color w:val="auto"/>
                      <w:sz w:val="18"/>
                      <w:szCs w:val="18"/>
                      <w:highlight w:val="none"/>
                      <w:lang w:val="en-US" w:eastAsia="zh-CN"/>
                    </w:rPr>
                    <w:t>二类</w:t>
                  </w:r>
                </w:p>
              </w:tc>
              <w:tc>
                <w:tcPr>
                  <w:tcW w:w="453" w:type="pct"/>
                  <w:tcBorders>
                    <w:top w:val="single" w:color="auto" w:sz="4" w:space="0"/>
                    <w:left w:val="single" w:color="auto" w:sz="4" w:space="0"/>
                    <w:bottom w:val="single" w:color="auto" w:sz="4" w:space="0"/>
                    <w:right w:val="single" w:color="auto" w:sz="4" w:space="0"/>
                  </w:tcBorders>
                  <w:shd w:val="clear" w:color="auto" w:fill="auto"/>
                  <w:noWrap w:val="0"/>
                  <w:vAlign w:val="center"/>
                </w:tcPr>
                <w:p w14:paraId="16988D97">
                  <w:pPr>
                    <w:keepNext w:val="0"/>
                    <w:keepLines w:val="0"/>
                    <w:widowControl/>
                    <w:suppressLineNumbers w:val="0"/>
                    <w:adjustRightInd w:val="0"/>
                    <w:snapToGrid w:val="0"/>
                    <w:spacing w:before="0" w:beforeAutospacing="0" w:after="0" w:afterAutospacing="0" w:line="276" w:lineRule="auto"/>
                    <w:ind w:left="0" w:right="0"/>
                    <w:jc w:val="center"/>
                    <w:rPr>
                      <w:rFonts w:hint="default" w:ascii="Times New Roman" w:hAnsi="Times New Roman" w:eastAsia="宋体" w:cs="Times New Roman"/>
                      <w:strike w:val="0"/>
                      <w:dstrike w:val="0"/>
                      <w:color w:val="auto"/>
                      <w:kern w:val="2"/>
                      <w:sz w:val="18"/>
                      <w:szCs w:val="18"/>
                      <w:highlight w:val="none"/>
                      <w:lang w:val="en-US" w:eastAsia="zh-CN" w:bidi="ar-SA"/>
                    </w:rPr>
                  </w:pPr>
                  <w:r>
                    <w:rPr>
                      <w:rFonts w:hint="eastAsia" w:ascii="Times New Roman" w:hAnsi="Times New Roman" w:eastAsia="宋体" w:cs="Times New Roman"/>
                      <w:strike w:val="0"/>
                      <w:dstrike w:val="0"/>
                      <w:color w:val="auto"/>
                      <w:kern w:val="2"/>
                      <w:sz w:val="18"/>
                      <w:szCs w:val="18"/>
                      <w:highlight w:val="none"/>
                      <w:lang w:val="en-US" w:eastAsia="zh-CN" w:bidi="ar-SA"/>
                    </w:rPr>
                    <w:t>东北</w:t>
                  </w:r>
                </w:p>
              </w:tc>
              <w:tc>
                <w:tcPr>
                  <w:tcW w:w="551" w:type="pct"/>
                  <w:tcBorders>
                    <w:top w:val="single" w:color="auto" w:sz="4" w:space="0"/>
                    <w:left w:val="single" w:color="auto" w:sz="4" w:space="0"/>
                    <w:bottom w:val="single" w:color="auto" w:sz="4" w:space="0"/>
                    <w:right w:val="single" w:color="auto" w:sz="4" w:space="0"/>
                  </w:tcBorders>
                  <w:shd w:val="clear" w:color="auto" w:fill="auto"/>
                  <w:noWrap w:val="0"/>
                  <w:vAlign w:val="center"/>
                </w:tcPr>
                <w:p w14:paraId="7205303B">
                  <w:pPr>
                    <w:keepNext w:val="0"/>
                    <w:keepLines w:val="0"/>
                    <w:widowControl/>
                    <w:suppressLineNumbers w:val="0"/>
                    <w:adjustRightInd w:val="0"/>
                    <w:snapToGrid w:val="0"/>
                    <w:spacing w:before="0" w:beforeAutospacing="0" w:after="0" w:afterAutospacing="0" w:line="276" w:lineRule="auto"/>
                    <w:ind w:left="0" w:right="0"/>
                    <w:jc w:val="center"/>
                    <w:rPr>
                      <w:rFonts w:hint="default" w:ascii="Times New Roman" w:hAnsi="Times New Roman" w:eastAsia="宋体" w:cs="Times New Roman"/>
                      <w:strike w:val="0"/>
                      <w:dstrike w:val="0"/>
                      <w:color w:val="auto"/>
                      <w:kern w:val="2"/>
                      <w:sz w:val="18"/>
                      <w:szCs w:val="18"/>
                      <w:highlight w:val="none"/>
                      <w:lang w:val="en-US" w:eastAsia="zh-CN" w:bidi="ar-SA"/>
                    </w:rPr>
                  </w:pPr>
                  <w:r>
                    <w:rPr>
                      <w:rFonts w:hint="eastAsia" w:ascii="Times New Roman" w:hAnsi="Times New Roman" w:eastAsia="宋体" w:cs="Times New Roman"/>
                      <w:strike w:val="0"/>
                      <w:dstrike w:val="0"/>
                      <w:color w:val="auto"/>
                      <w:sz w:val="18"/>
                      <w:szCs w:val="18"/>
                      <w:highlight w:val="none"/>
                      <w:lang w:val="en-US" w:eastAsia="zh-CN"/>
                    </w:rPr>
                    <w:t>1040</w:t>
                  </w:r>
                </w:p>
              </w:tc>
            </w:tr>
            <w:tr w14:paraId="54DDC0C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40" w:hRule="atLeast"/>
                <w:jc w:val="center"/>
              </w:trPr>
              <w:tc>
                <w:tcPr>
                  <w:tcW w:w="366" w:type="pct"/>
                  <w:tcBorders>
                    <w:left w:val="single" w:color="auto" w:sz="4" w:space="0"/>
                    <w:right w:val="single" w:color="auto" w:sz="4" w:space="0"/>
                  </w:tcBorders>
                  <w:noWrap w:val="0"/>
                  <w:vAlign w:val="center"/>
                </w:tcPr>
                <w:p w14:paraId="5AA52C6E">
                  <w:pPr>
                    <w:keepNext w:val="0"/>
                    <w:keepLines w:val="0"/>
                    <w:widowControl/>
                    <w:suppressLineNumbers w:val="0"/>
                    <w:adjustRightInd w:val="0"/>
                    <w:snapToGrid w:val="0"/>
                    <w:spacing w:before="0" w:beforeAutospacing="0" w:after="0" w:afterAutospacing="0" w:line="276" w:lineRule="auto"/>
                    <w:ind w:left="0" w:right="0"/>
                    <w:jc w:val="center"/>
                    <w:rPr>
                      <w:rFonts w:hint="default" w:ascii="Times New Roman" w:hAnsi="Times New Roman" w:eastAsia="宋体" w:cs="Times New Roman"/>
                      <w:strike w:val="0"/>
                      <w:dstrike w:val="0"/>
                      <w:color w:val="auto"/>
                      <w:sz w:val="18"/>
                      <w:szCs w:val="18"/>
                      <w:highlight w:val="none"/>
                      <w:lang w:val="en-US" w:eastAsia="zh-CN"/>
                    </w:rPr>
                  </w:pPr>
                  <w:r>
                    <w:rPr>
                      <w:rFonts w:hint="eastAsia" w:ascii="Times New Roman" w:hAnsi="Times New Roman" w:eastAsia="宋体" w:cs="Times New Roman"/>
                      <w:strike w:val="0"/>
                      <w:dstrike w:val="0"/>
                      <w:color w:val="auto"/>
                      <w:sz w:val="18"/>
                      <w:szCs w:val="18"/>
                      <w:highlight w:val="none"/>
                      <w:lang w:val="en-US" w:eastAsia="zh-CN"/>
                    </w:rPr>
                    <w:t>21</w:t>
                  </w:r>
                </w:p>
              </w:tc>
              <w:tc>
                <w:tcPr>
                  <w:tcW w:w="1071" w:type="pct"/>
                  <w:tcBorders>
                    <w:top w:val="single" w:color="auto" w:sz="4" w:space="0"/>
                    <w:left w:val="single" w:color="auto" w:sz="4" w:space="0"/>
                    <w:bottom w:val="single" w:color="auto" w:sz="4" w:space="0"/>
                    <w:right w:val="single" w:color="auto" w:sz="4" w:space="0"/>
                  </w:tcBorders>
                  <w:shd w:val="clear" w:color="auto" w:fill="auto"/>
                  <w:noWrap w:val="0"/>
                  <w:vAlign w:val="center"/>
                </w:tcPr>
                <w:p w14:paraId="246848A1">
                  <w:pPr>
                    <w:keepNext w:val="0"/>
                    <w:keepLines w:val="0"/>
                    <w:widowControl/>
                    <w:suppressLineNumbers w:val="0"/>
                    <w:adjustRightInd w:val="0"/>
                    <w:snapToGrid w:val="0"/>
                    <w:spacing w:before="0" w:beforeAutospacing="0" w:after="0" w:afterAutospacing="0" w:line="276" w:lineRule="auto"/>
                    <w:ind w:left="0" w:right="0"/>
                    <w:jc w:val="center"/>
                    <w:rPr>
                      <w:rFonts w:hint="default" w:ascii="Times New Roman" w:hAnsi="Times New Roman" w:eastAsia="宋体" w:cs="Times New Roman"/>
                      <w:strike w:val="0"/>
                      <w:dstrike w:val="0"/>
                      <w:color w:val="auto"/>
                      <w:kern w:val="2"/>
                      <w:sz w:val="18"/>
                      <w:szCs w:val="18"/>
                      <w:highlight w:val="none"/>
                      <w:lang w:val="en-US" w:eastAsia="zh-CN" w:bidi="ar-SA"/>
                    </w:rPr>
                  </w:pPr>
                  <w:r>
                    <w:rPr>
                      <w:rFonts w:hint="default" w:ascii="Times New Roman" w:hAnsi="Times New Roman" w:eastAsia="宋体" w:cs="Times New Roman"/>
                      <w:strike w:val="0"/>
                      <w:dstrike w:val="0"/>
                      <w:color w:val="auto"/>
                      <w:sz w:val="18"/>
                      <w:szCs w:val="18"/>
                      <w:highlight w:val="none"/>
                      <w:lang w:val="en-US" w:eastAsia="zh-CN"/>
                    </w:rPr>
                    <w:t>普同塔</w:t>
                  </w:r>
                </w:p>
              </w:tc>
              <w:tc>
                <w:tcPr>
                  <w:tcW w:w="527" w:type="pct"/>
                  <w:tcBorders>
                    <w:top w:val="single" w:color="auto" w:sz="4" w:space="0"/>
                    <w:left w:val="single" w:color="auto" w:sz="4" w:space="0"/>
                    <w:bottom w:val="single" w:color="auto" w:sz="4" w:space="0"/>
                    <w:right w:val="single" w:color="auto" w:sz="4" w:space="0"/>
                  </w:tcBorders>
                  <w:shd w:val="clear" w:color="auto" w:fill="auto"/>
                  <w:noWrap w:val="0"/>
                  <w:vAlign w:val="center"/>
                </w:tcPr>
                <w:p w14:paraId="5974CCB4">
                  <w:pPr>
                    <w:keepNext w:val="0"/>
                    <w:keepLines w:val="0"/>
                    <w:widowControl/>
                    <w:suppressLineNumbers w:val="0"/>
                    <w:adjustRightInd w:val="0"/>
                    <w:snapToGrid w:val="0"/>
                    <w:spacing w:before="0" w:beforeAutospacing="0" w:after="0" w:afterAutospacing="0" w:line="276" w:lineRule="auto"/>
                    <w:ind w:left="0" w:right="0"/>
                    <w:jc w:val="center"/>
                    <w:rPr>
                      <w:rFonts w:hint="eastAsia" w:ascii="Times New Roman" w:hAnsi="Times New Roman" w:eastAsia="宋体" w:cs="Times New Roman"/>
                      <w:strike w:val="0"/>
                      <w:dstrike w:val="0"/>
                      <w:color w:val="auto"/>
                      <w:kern w:val="2"/>
                      <w:sz w:val="18"/>
                      <w:szCs w:val="18"/>
                      <w:highlight w:val="none"/>
                      <w:lang w:val="en-US" w:eastAsia="zh-CN" w:bidi="ar-SA"/>
                    </w:rPr>
                  </w:pPr>
                  <w:r>
                    <w:rPr>
                      <w:rFonts w:hint="default" w:ascii="Times New Roman" w:hAnsi="Times New Roman" w:eastAsia="宋体" w:cs="Times New Roman"/>
                      <w:strike w:val="0"/>
                      <w:dstrike w:val="0"/>
                      <w:color w:val="auto"/>
                      <w:sz w:val="18"/>
                      <w:szCs w:val="18"/>
                      <w:highlight w:val="none"/>
                    </w:rPr>
                    <w:t>118.84741</w:t>
                  </w:r>
                  <w:r>
                    <w:rPr>
                      <w:rFonts w:hint="eastAsia" w:ascii="Times New Roman" w:hAnsi="Times New Roman" w:eastAsia="宋体" w:cs="Times New Roman"/>
                      <w:strike w:val="0"/>
                      <w:dstrike w:val="0"/>
                      <w:color w:val="auto"/>
                      <w:sz w:val="18"/>
                      <w:szCs w:val="18"/>
                      <w:highlight w:val="none"/>
                      <w:lang w:val="en-US" w:eastAsia="zh-CN"/>
                    </w:rPr>
                    <w:t>3</w:t>
                  </w:r>
                </w:p>
              </w:tc>
              <w:tc>
                <w:tcPr>
                  <w:tcW w:w="564" w:type="pct"/>
                  <w:tcBorders>
                    <w:top w:val="single" w:color="auto" w:sz="4" w:space="0"/>
                    <w:left w:val="single" w:color="auto" w:sz="4" w:space="0"/>
                    <w:bottom w:val="single" w:color="auto" w:sz="4" w:space="0"/>
                    <w:right w:val="single" w:color="auto" w:sz="4" w:space="0"/>
                  </w:tcBorders>
                  <w:shd w:val="clear" w:color="auto" w:fill="auto"/>
                  <w:noWrap w:val="0"/>
                  <w:vAlign w:val="center"/>
                </w:tcPr>
                <w:p w14:paraId="37FF5B9C">
                  <w:pPr>
                    <w:keepNext w:val="0"/>
                    <w:keepLines w:val="0"/>
                    <w:widowControl/>
                    <w:suppressLineNumbers w:val="0"/>
                    <w:adjustRightInd w:val="0"/>
                    <w:snapToGrid w:val="0"/>
                    <w:spacing w:before="0" w:beforeAutospacing="0" w:after="0" w:afterAutospacing="0" w:line="276" w:lineRule="auto"/>
                    <w:ind w:left="0" w:right="0"/>
                    <w:jc w:val="center"/>
                    <w:rPr>
                      <w:rFonts w:hint="eastAsia" w:ascii="Times New Roman" w:hAnsi="Times New Roman" w:eastAsia="宋体" w:cs="Times New Roman"/>
                      <w:strike w:val="0"/>
                      <w:dstrike w:val="0"/>
                      <w:color w:val="auto"/>
                      <w:kern w:val="2"/>
                      <w:sz w:val="18"/>
                      <w:szCs w:val="18"/>
                      <w:highlight w:val="none"/>
                      <w:lang w:val="en-US" w:eastAsia="zh-CN" w:bidi="ar-SA"/>
                    </w:rPr>
                  </w:pPr>
                  <w:r>
                    <w:rPr>
                      <w:rFonts w:hint="default" w:ascii="Times New Roman" w:hAnsi="Times New Roman" w:eastAsia="宋体" w:cs="Times New Roman"/>
                      <w:strike w:val="0"/>
                      <w:dstrike w:val="0"/>
                      <w:color w:val="auto"/>
                      <w:sz w:val="18"/>
                      <w:szCs w:val="18"/>
                      <w:highlight w:val="none"/>
                    </w:rPr>
                    <w:t>28.96662</w:t>
                  </w:r>
                  <w:r>
                    <w:rPr>
                      <w:rFonts w:hint="eastAsia" w:ascii="Times New Roman" w:hAnsi="Times New Roman" w:eastAsia="宋体" w:cs="Times New Roman"/>
                      <w:strike w:val="0"/>
                      <w:dstrike w:val="0"/>
                      <w:color w:val="auto"/>
                      <w:sz w:val="18"/>
                      <w:szCs w:val="18"/>
                      <w:highlight w:val="none"/>
                      <w:lang w:val="en-US" w:eastAsia="zh-CN"/>
                    </w:rPr>
                    <w:t>3</w:t>
                  </w:r>
                </w:p>
              </w:tc>
              <w:tc>
                <w:tcPr>
                  <w:tcW w:w="474" w:type="pct"/>
                  <w:tcBorders>
                    <w:top w:val="single" w:color="auto" w:sz="4" w:space="0"/>
                    <w:left w:val="single" w:color="auto" w:sz="4" w:space="0"/>
                    <w:bottom w:val="single" w:color="auto" w:sz="4" w:space="0"/>
                    <w:right w:val="single" w:color="auto" w:sz="4" w:space="0"/>
                  </w:tcBorders>
                  <w:shd w:val="clear" w:color="auto" w:fill="auto"/>
                  <w:noWrap w:val="0"/>
                  <w:vAlign w:val="center"/>
                </w:tcPr>
                <w:p w14:paraId="74E45BA7">
                  <w:pPr>
                    <w:keepNext w:val="0"/>
                    <w:keepLines w:val="0"/>
                    <w:widowControl/>
                    <w:suppressLineNumbers w:val="0"/>
                    <w:adjustRightInd w:val="0"/>
                    <w:snapToGrid w:val="0"/>
                    <w:spacing w:before="0" w:beforeAutospacing="0" w:after="0" w:afterAutospacing="0" w:line="276" w:lineRule="auto"/>
                    <w:ind w:left="0" w:right="0"/>
                    <w:jc w:val="center"/>
                    <w:rPr>
                      <w:rFonts w:hint="eastAsia" w:ascii="Times New Roman" w:hAnsi="Times New Roman" w:eastAsia="宋体" w:cs="Times New Roman"/>
                      <w:strike w:val="0"/>
                      <w:dstrike w:val="0"/>
                      <w:color w:val="auto"/>
                      <w:kern w:val="2"/>
                      <w:sz w:val="18"/>
                      <w:szCs w:val="18"/>
                      <w:highlight w:val="none"/>
                      <w:lang w:val="en-US" w:eastAsia="zh-CN" w:bidi="ar-SA"/>
                    </w:rPr>
                  </w:pPr>
                  <w:r>
                    <w:rPr>
                      <w:rFonts w:hint="eastAsia" w:ascii="Times New Roman" w:hAnsi="Times New Roman" w:eastAsia="宋体" w:cs="Times New Roman"/>
                      <w:strike w:val="0"/>
                      <w:dstrike w:val="0"/>
                      <w:color w:val="auto"/>
                      <w:sz w:val="18"/>
                      <w:szCs w:val="18"/>
                      <w:highlight w:val="none"/>
                      <w:lang w:val="en-US" w:eastAsia="zh-CN"/>
                    </w:rPr>
                    <w:t>居住区</w:t>
                  </w:r>
                </w:p>
              </w:tc>
              <w:tc>
                <w:tcPr>
                  <w:tcW w:w="490" w:type="pct"/>
                  <w:tcBorders>
                    <w:top w:val="single" w:color="auto" w:sz="4" w:space="0"/>
                    <w:left w:val="single" w:color="auto" w:sz="4" w:space="0"/>
                    <w:bottom w:val="single" w:color="auto" w:sz="4" w:space="0"/>
                    <w:right w:val="single" w:color="auto" w:sz="4" w:space="0"/>
                  </w:tcBorders>
                  <w:shd w:val="clear" w:color="auto" w:fill="auto"/>
                  <w:noWrap w:val="0"/>
                  <w:vAlign w:val="center"/>
                </w:tcPr>
                <w:p w14:paraId="75C9B138">
                  <w:pPr>
                    <w:keepNext w:val="0"/>
                    <w:keepLines w:val="0"/>
                    <w:widowControl/>
                    <w:suppressLineNumbers w:val="0"/>
                    <w:adjustRightInd w:val="0"/>
                    <w:snapToGrid w:val="0"/>
                    <w:spacing w:before="0" w:beforeAutospacing="0" w:after="0" w:afterAutospacing="0" w:line="276" w:lineRule="auto"/>
                    <w:ind w:left="0" w:right="0"/>
                    <w:jc w:val="center"/>
                    <w:rPr>
                      <w:rFonts w:hint="eastAsia" w:ascii="Times New Roman" w:hAnsi="Times New Roman" w:eastAsia="宋体" w:cs="Times New Roman"/>
                      <w:strike w:val="0"/>
                      <w:dstrike w:val="0"/>
                      <w:color w:val="auto"/>
                      <w:kern w:val="2"/>
                      <w:sz w:val="18"/>
                      <w:szCs w:val="18"/>
                      <w:highlight w:val="none"/>
                      <w:lang w:val="en-US" w:eastAsia="zh-CN" w:bidi="ar-SA"/>
                    </w:rPr>
                  </w:pPr>
                  <w:r>
                    <w:rPr>
                      <w:rFonts w:hint="eastAsia" w:ascii="Times New Roman" w:hAnsi="Times New Roman" w:eastAsia="宋体" w:cs="Times New Roman"/>
                      <w:strike w:val="0"/>
                      <w:dstrike w:val="0"/>
                      <w:color w:val="auto"/>
                      <w:sz w:val="18"/>
                      <w:szCs w:val="18"/>
                      <w:highlight w:val="none"/>
                      <w:lang w:val="en-US" w:eastAsia="zh-CN"/>
                    </w:rPr>
                    <w:t>居民</w:t>
                  </w:r>
                </w:p>
              </w:tc>
              <w:tc>
                <w:tcPr>
                  <w:tcW w:w="499" w:type="pct"/>
                  <w:tcBorders>
                    <w:top w:val="single" w:color="auto" w:sz="4" w:space="0"/>
                    <w:left w:val="single" w:color="auto" w:sz="4" w:space="0"/>
                    <w:bottom w:val="single" w:color="auto" w:sz="4" w:space="0"/>
                    <w:right w:val="single" w:color="auto" w:sz="4" w:space="0"/>
                  </w:tcBorders>
                  <w:shd w:val="clear" w:color="auto" w:fill="auto"/>
                  <w:noWrap w:val="0"/>
                  <w:vAlign w:val="center"/>
                </w:tcPr>
                <w:p w14:paraId="24690271">
                  <w:pPr>
                    <w:keepNext w:val="0"/>
                    <w:keepLines w:val="0"/>
                    <w:widowControl/>
                    <w:suppressLineNumbers w:val="0"/>
                    <w:adjustRightInd w:val="0"/>
                    <w:snapToGrid w:val="0"/>
                    <w:spacing w:before="0" w:beforeAutospacing="0" w:after="0" w:afterAutospacing="0" w:line="276" w:lineRule="auto"/>
                    <w:ind w:left="0" w:right="0"/>
                    <w:jc w:val="center"/>
                    <w:rPr>
                      <w:rFonts w:hint="eastAsia" w:ascii="Times New Roman" w:hAnsi="Times New Roman" w:eastAsia="宋体" w:cs="Times New Roman"/>
                      <w:strike w:val="0"/>
                      <w:dstrike w:val="0"/>
                      <w:color w:val="auto"/>
                      <w:kern w:val="2"/>
                      <w:sz w:val="18"/>
                      <w:szCs w:val="18"/>
                      <w:highlight w:val="none"/>
                      <w:lang w:val="en-US" w:eastAsia="zh-CN" w:bidi="ar-SA"/>
                    </w:rPr>
                  </w:pPr>
                  <w:r>
                    <w:rPr>
                      <w:rFonts w:hint="eastAsia" w:ascii="Times New Roman" w:hAnsi="Times New Roman" w:eastAsia="宋体" w:cs="Times New Roman"/>
                      <w:strike w:val="0"/>
                      <w:dstrike w:val="0"/>
                      <w:color w:val="auto"/>
                      <w:sz w:val="18"/>
                      <w:szCs w:val="18"/>
                      <w:highlight w:val="none"/>
                      <w:lang w:val="en-US" w:eastAsia="zh-CN"/>
                    </w:rPr>
                    <w:t>二类</w:t>
                  </w:r>
                </w:p>
              </w:tc>
              <w:tc>
                <w:tcPr>
                  <w:tcW w:w="453" w:type="pct"/>
                  <w:tcBorders>
                    <w:top w:val="single" w:color="auto" w:sz="4" w:space="0"/>
                    <w:left w:val="single" w:color="auto" w:sz="4" w:space="0"/>
                    <w:bottom w:val="single" w:color="auto" w:sz="4" w:space="0"/>
                    <w:right w:val="single" w:color="auto" w:sz="4" w:space="0"/>
                  </w:tcBorders>
                  <w:shd w:val="clear" w:color="auto" w:fill="auto"/>
                  <w:noWrap w:val="0"/>
                  <w:vAlign w:val="center"/>
                </w:tcPr>
                <w:p w14:paraId="1E8C1768">
                  <w:pPr>
                    <w:keepNext w:val="0"/>
                    <w:keepLines w:val="0"/>
                    <w:widowControl/>
                    <w:suppressLineNumbers w:val="0"/>
                    <w:adjustRightInd w:val="0"/>
                    <w:snapToGrid w:val="0"/>
                    <w:spacing w:before="0" w:beforeAutospacing="0" w:after="0" w:afterAutospacing="0" w:line="276" w:lineRule="auto"/>
                    <w:ind w:left="0" w:right="0"/>
                    <w:jc w:val="center"/>
                    <w:rPr>
                      <w:rFonts w:hint="default" w:ascii="Times New Roman" w:hAnsi="Times New Roman" w:eastAsia="宋体" w:cs="Times New Roman"/>
                      <w:strike w:val="0"/>
                      <w:dstrike w:val="0"/>
                      <w:color w:val="auto"/>
                      <w:kern w:val="2"/>
                      <w:sz w:val="18"/>
                      <w:szCs w:val="18"/>
                      <w:highlight w:val="none"/>
                      <w:lang w:val="en-US" w:eastAsia="zh-CN" w:bidi="ar-SA"/>
                    </w:rPr>
                  </w:pPr>
                  <w:r>
                    <w:rPr>
                      <w:rFonts w:hint="eastAsia" w:ascii="Times New Roman" w:hAnsi="Times New Roman" w:eastAsia="宋体" w:cs="Times New Roman"/>
                      <w:strike w:val="0"/>
                      <w:dstrike w:val="0"/>
                      <w:color w:val="auto"/>
                      <w:kern w:val="2"/>
                      <w:sz w:val="18"/>
                      <w:szCs w:val="18"/>
                      <w:highlight w:val="none"/>
                      <w:lang w:val="en-US" w:eastAsia="zh-CN" w:bidi="ar-SA"/>
                    </w:rPr>
                    <w:t>东北</w:t>
                  </w:r>
                </w:p>
              </w:tc>
              <w:tc>
                <w:tcPr>
                  <w:tcW w:w="551" w:type="pct"/>
                  <w:tcBorders>
                    <w:top w:val="single" w:color="auto" w:sz="4" w:space="0"/>
                    <w:left w:val="single" w:color="auto" w:sz="4" w:space="0"/>
                    <w:bottom w:val="single" w:color="auto" w:sz="4" w:space="0"/>
                    <w:right w:val="single" w:color="auto" w:sz="4" w:space="0"/>
                  </w:tcBorders>
                  <w:shd w:val="clear" w:color="auto" w:fill="auto"/>
                  <w:noWrap w:val="0"/>
                  <w:vAlign w:val="center"/>
                </w:tcPr>
                <w:p w14:paraId="560BD119">
                  <w:pPr>
                    <w:keepNext w:val="0"/>
                    <w:keepLines w:val="0"/>
                    <w:widowControl/>
                    <w:suppressLineNumbers w:val="0"/>
                    <w:adjustRightInd w:val="0"/>
                    <w:snapToGrid w:val="0"/>
                    <w:spacing w:before="0" w:beforeAutospacing="0" w:after="0" w:afterAutospacing="0" w:line="276" w:lineRule="auto"/>
                    <w:ind w:left="0" w:right="0"/>
                    <w:jc w:val="center"/>
                    <w:rPr>
                      <w:rFonts w:hint="default" w:ascii="Times New Roman" w:hAnsi="Times New Roman" w:eastAsia="宋体" w:cs="Times New Roman"/>
                      <w:strike w:val="0"/>
                      <w:dstrike w:val="0"/>
                      <w:color w:val="auto"/>
                      <w:kern w:val="2"/>
                      <w:sz w:val="18"/>
                      <w:szCs w:val="18"/>
                      <w:highlight w:val="none"/>
                      <w:lang w:val="en-US" w:eastAsia="zh-CN" w:bidi="ar-SA"/>
                    </w:rPr>
                  </w:pPr>
                  <w:r>
                    <w:rPr>
                      <w:rFonts w:hint="eastAsia" w:ascii="Times New Roman" w:hAnsi="Times New Roman" w:eastAsia="宋体" w:cs="Times New Roman"/>
                      <w:strike w:val="0"/>
                      <w:dstrike w:val="0"/>
                      <w:color w:val="auto"/>
                      <w:sz w:val="18"/>
                      <w:szCs w:val="18"/>
                      <w:highlight w:val="none"/>
                      <w:lang w:val="en-US" w:eastAsia="zh-CN"/>
                    </w:rPr>
                    <w:t>1900</w:t>
                  </w:r>
                </w:p>
              </w:tc>
            </w:tr>
            <w:tr w14:paraId="217BD25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40" w:hRule="atLeast"/>
                <w:jc w:val="center"/>
              </w:trPr>
              <w:tc>
                <w:tcPr>
                  <w:tcW w:w="366" w:type="pct"/>
                  <w:tcBorders>
                    <w:left w:val="single" w:color="auto" w:sz="4" w:space="0"/>
                    <w:right w:val="single" w:color="auto" w:sz="4" w:space="0"/>
                  </w:tcBorders>
                  <w:noWrap w:val="0"/>
                  <w:vAlign w:val="center"/>
                </w:tcPr>
                <w:p w14:paraId="48017F92">
                  <w:pPr>
                    <w:keepNext w:val="0"/>
                    <w:keepLines w:val="0"/>
                    <w:widowControl/>
                    <w:suppressLineNumbers w:val="0"/>
                    <w:adjustRightInd w:val="0"/>
                    <w:snapToGrid w:val="0"/>
                    <w:spacing w:before="0" w:beforeAutospacing="0" w:after="0" w:afterAutospacing="0" w:line="276" w:lineRule="auto"/>
                    <w:ind w:left="0" w:right="0"/>
                    <w:jc w:val="center"/>
                    <w:rPr>
                      <w:rFonts w:hint="default" w:ascii="Times New Roman" w:hAnsi="Times New Roman" w:eastAsia="宋体" w:cs="Times New Roman"/>
                      <w:strike w:val="0"/>
                      <w:dstrike w:val="0"/>
                      <w:color w:val="auto"/>
                      <w:sz w:val="18"/>
                      <w:szCs w:val="18"/>
                      <w:highlight w:val="none"/>
                      <w:lang w:val="en-US" w:eastAsia="zh-CN"/>
                    </w:rPr>
                  </w:pPr>
                  <w:r>
                    <w:rPr>
                      <w:rFonts w:hint="eastAsia" w:ascii="Times New Roman" w:hAnsi="Times New Roman" w:eastAsia="宋体" w:cs="Times New Roman"/>
                      <w:strike w:val="0"/>
                      <w:dstrike w:val="0"/>
                      <w:color w:val="auto"/>
                      <w:sz w:val="18"/>
                      <w:szCs w:val="18"/>
                      <w:highlight w:val="none"/>
                      <w:lang w:val="en-US" w:eastAsia="zh-CN"/>
                    </w:rPr>
                    <w:t>22</w:t>
                  </w:r>
                </w:p>
              </w:tc>
              <w:tc>
                <w:tcPr>
                  <w:tcW w:w="1071" w:type="pct"/>
                  <w:tcBorders>
                    <w:top w:val="single" w:color="auto" w:sz="4" w:space="0"/>
                    <w:left w:val="single" w:color="auto" w:sz="4" w:space="0"/>
                    <w:bottom w:val="single" w:color="auto" w:sz="4" w:space="0"/>
                    <w:right w:val="single" w:color="auto" w:sz="4" w:space="0"/>
                  </w:tcBorders>
                  <w:shd w:val="clear" w:color="auto" w:fill="auto"/>
                  <w:noWrap w:val="0"/>
                  <w:vAlign w:val="center"/>
                </w:tcPr>
                <w:p w14:paraId="43B4E943">
                  <w:pPr>
                    <w:keepNext w:val="0"/>
                    <w:keepLines w:val="0"/>
                    <w:widowControl/>
                    <w:suppressLineNumbers w:val="0"/>
                    <w:adjustRightInd w:val="0"/>
                    <w:snapToGrid w:val="0"/>
                    <w:spacing w:before="0" w:beforeAutospacing="0" w:after="0" w:afterAutospacing="0" w:line="276" w:lineRule="auto"/>
                    <w:ind w:left="0" w:right="0"/>
                    <w:jc w:val="center"/>
                    <w:rPr>
                      <w:rFonts w:hint="default" w:ascii="Times New Roman" w:hAnsi="Times New Roman" w:eastAsia="宋体" w:cs="Times New Roman"/>
                      <w:strike w:val="0"/>
                      <w:dstrike w:val="0"/>
                      <w:color w:val="auto"/>
                      <w:kern w:val="2"/>
                      <w:sz w:val="18"/>
                      <w:szCs w:val="18"/>
                      <w:highlight w:val="none"/>
                      <w:lang w:val="en-US" w:eastAsia="zh-CN" w:bidi="ar-SA"/>
                    </w:rPr>
                  </w:pPr>
                  <w:r>
                    <w:rPr>
                      <w:rFonts w:hint="default" w:ascii="Times New Roman" w:hAnsi="Times New Roman" w:eastAsia="宋体" w:cs="Times New Roman"/>
                      <w:strike w:val="0"/>
                      <w:dstrike w:val="0"/>
                      <w:color w:val="auto"/>
                      <w:sz w:val="18"/>
                      <w:szCs w:val="18"/>
                      <w:highlight w:val="none"/>
                      <w:lang w:val="en-US" w:eastAsia="zh-CN"/>
                    </w:rPr>
                    <w:t>阳光社区</w:t>
                  </w:r>
                </w:p>
              </w:tc>
              <w:tc>
                <w:tcPr>
                  <w:tcW w:w="527" w:type="pct"/>
                  <w:tcBorders>
                    <w:top w:val="single" w:color="auto" w:sz="4" w:space="0"/>
                    <w:left w:val="single" w:color="auto" w:sz="4" w:space="0"/>
                    <w:bottom w:val="single" w:color="auto" w:sz="4" w:space="0"/>
                    <w:right w:val="single" w:color="auto" w:sz="4" w:space="0"/>
                  </w:tcBorders>
                  <w:shd w:val="clear" w:color="auto" w:fill="auto"/>
                  <w:noWrap w:val="0"/>
                  <w:vAlign w:val="center"/>
                </w:tcPr>
                <w:p w14:paraId="0ED2280E">
                  <w:pPr>
                    <w:keepNext w:val="0"/>
                    <w:keepLines w:val="0"/>
                    <w:widowControl/>
                    <w:suppressLineNumbers w:val="0"/>
                    <w:adjustRightInd w:val="0"/>
                    <w:snapToGrid w:val="0"/>
                    <w:spacing w:before="0" w:beforeAutospacing="0" w:after="0" w:afterAutospacing="0" w:line="276" w:lineRule="auto"/>
                    <w:ind w:left="0" w:right="0"/>
                    <w:jc w:val="center"/>
                    <w:rPr>
                      <w:rFonts w:hint="default" w:ascii="Times New Roman" w:hAnsi="Times New Roman" w:eastAsia="宋体" w:cs="Times New Roman"/>
                      <w:strike w:val="0"/>
                      <w:dstrike w:val="0"/>
                      <w:color w:val="auto"/>
                      <w:kern w:val="2"/>
                      <w:sz w:val="18"/>
                      <w:szCs w:val="18"/>
                      <w:highlight w:val="none"/>
                      <w:lang w:val="en-US" w:eastAsia="zh-CN" w:bidi="ar-SA"/>
                    </w:rPr>
                  </w:pPr>
                  <w:r>
                    <w:rPr>
                      <w:rFonts w:hint="default" w:ascii="Times New Roman" w:hAnsi="Times New Roman" w:eastAsia="宋体" w:cs="Times New Roman"/>
                      <w:strike w:val="0"/>
                      <w:dstrike w:val="0"/>
                      <w:color w:val="auto"/>
                      <w:sz w:val="18"/>
                      <w:szCs w:val="18"/>
                      <w:highlight w:val="none"/>
                    </w:rPr>
                    <w:t>118.838943</w:t>
                  </w:r>
                </w:p>
              </w:tc>
              <w:tc>
                <w:tcPr>
                  <w:tcW w:w="564" w:type="pct"/>
                  <w:tcBorders>
                    <w:top w:val="single" w:color="auto" w:sz="4" w:space="0"/>
                    <w:left w:val="single" w:color="auto" w:sz="4" w:space="0"/>
                    <w:bottom w:val="single" w:color="auto" w:sz="4" w:space="0"/>
                    <w:right w:val="single" w:color="auto" w:sz="4" w:space="0"/>
                  </w:tcBorders>
                  <w:shd w:val="clear" w:color="auto" w:fill="auto"/>
                  <w:noWrap w:val="0"/>
                  <w:vAlign w:val="center"/>
                </w:tcPr>
                <w:p w14:paraId="542094FF">
                  <w:pPr>
                    <w:keepNext w:val="0"/>
                    <w:keepLines w:val="0"/>
                    <w:widowControl/>
                    <w:suppressLineNumbers w:val="0"/>
                    <w:adjustRightInd w:val="0"/>
                    <w:snapToGrid w:val="0"/>
                    <w:spacing w:before="0" w:beforeAutospacing="0" w:after="0" w:afterAutospacing="0" w:line="276" w:lineRule="auto"/>
                    <w:ind w:left="0" w:right="0"/>
                    <w:jc w:val="center"/>
                    <w:rPr>
                      <w:rFonts w:hint="eastAsia" w:ascii="Times New Roman" w:hAnsi="Times New Roman" w:eastAsia="宋体" w:cs="Times New Roman"/>
                      <w:strike w:val="0"/>
                      <w:dstrike w:val="0"/>
                      <w:color w:val="auto"/>
                      <w:kern w:val="2"/>
                      <w:sz w:val="18"/>
                      <w:szCs w:val="18"/>
                      <w:highlight w:val="none"/>
                      <w:lang w:val="en-US" w:eastAsia="zh-CN" w:bidi="ar-SA"/>
                    </w:rPr>
                  </w:pPr>
                  <w:r>
                    <w:rPr>
                      <w:rFonts w:hint="default" w:ascii="Times New Roman" w:hAnsi="Times New Roman" w:eastAsia="宋体" w:cs="Times New Roman"/>
                      <w:strike w:val="0"/>
                      <w:dstrike w:val="0"/>
                      <w:color w:val="auto"/>
                      <w:sz w:val="18"/>
                      <w:szCs w:val="18"/>
                      <w:highlight w:val="none"/>
                    </w:rPr>
                    <w:t>28.97382</w:t>
                  </w:r>
                  <w:r>
                    <w:rPr>
                      <w:rFonts w:hint="eastAsia" w:ascii="Times New Roman" w:hAnsi="Times New Roman" w:eastAsia="宋体" w:cs="Times New Roman"/>
                      <w:strike w:val="0"/>
                      <w:dstrike w:val="0"/>
                      <w:color w:val="auto"/>
                      <w:sz w:val="18"/>
                      <w:szCs w:val="18"/>
                      <w:highlight w:val="none"/>
                      <w:lang w:val="en-US" w:eastAsia="zh-CN"/>
                    </w:rPr>
                    <w:t>1</w:t>
                  </w:r>
                </w:p>
              </w:tc>
              <w:tc>
                <w:tcPr>
                  <w:tcW w:w="474" w:type="pct"/>
                  <w:tcBorders>
                    <w:top w:val="single" w:color="auto" w:sz="4" w:space="0"/>
                    <w:left w:val="single" w:color="auto" w:sz="4" w:space="0"/>
                    <w:bottom w:val="single" w:color="auto" w:sz="4" w:space="0"/>
                    <w:right w:val="single" w:color="auto" w:sz="4" w:space="0"/>
                  </w:tcBorders>
                  <w:shd w:val="clear" w:color="auto" w:fill="auto"/>
                  <w:noWrap w:val="0"/>
                  <w:vAlign w:val="center"/>
                </w:tcPr>
                <w:p w14:paraId="7BD652BF">
                  <w:pPr>
                    <w:keepNext w:val="0"/>
                    <w:keepLines w:val="0"/>
                    <w:widowControl/>
                    <w:suppressLineNumbers w:val="0"/>
                    <w:adjustRightInd w:val="0"/>
                    <w:snapToGrid w:val="0"/>
                    <w:spacing w:before="0" w:beforeAutospacing="0" w:after="0" w:afterAutospacing="0" w:line="276" w:lineRule="auto"/>
                    <w:ind w:left="0" w:right="0"/>
                    <w:jc w:val="center"/>
                    <w:rPr>
                      <w:rFonts w:hint="eastAsia" w:ascii="Times New Roman" w:hAnsi="Times New Roman" w:eastAsia="宋体" w:cs="Times New Roman"/>
                      <w:strike w:val="0"/>
                      <w:dstrike w:val="0"/>
                      <w:color w:val="auto"/>
                      <w:kern w:val="2"/>
                      <w:sz w:val="18"/>
                      <w:szCs w:val="18"/>
                      <w:highlight w:val="none"/>
                      <w:lang w:val="en-US" w:eastAsia="zh-CN" w:bidi="ar-SA"/>
                    </w:rPr>
                  </w:pPr>
                  <w:r>
                    <w:rPr>
                      <w:rFonts w:hint="eastAsia" w:ascii="Times New Roman" w:hAnsi="Times New Roman" w:eastAsia="宋体" w:cs="Times New Roman"/>
                      <w:strike w:val="0"/>
                      <w:dstrike w:val="0"/>
                      <w:color w:val="auto"/>
                      <w:sz w:val="18"/>
                      <w:szCs w:val="18"/>
                      <w:highlight w:val="none"/>
                      <w:lang w:val="en-US" w:eastAsia="zh-CN"/>
                    </w:rPr>
                    <w:t>居住区</w:t>
                  </w:r>
                </w:p>
              </w:tc>
              <w:tc>
                <w:tcPr>
                  <w:tcW w:w="490" w:type="pct"/>
                  <w:tcBorders>
                    <w:top w:val="single" w:color="auto" w:sz="4" w:space="0"/>
                    <w:left w:val="single" w:color="auto" w:sz="4" w:space="0"/>
                    <w:bottom w:val="single" w:color="auto" w:sz="4" w:space="0"/>
                    <w:right w:val="single" w:color="auto" w:sz="4" w:space="0"/>
                  </w:tcBorders>
                  <w:shd w:val="clear" w:color="auto" w:fill="auto"/>
                  <w:noWrap w:val="0"/>
                  <w:vAlign w:val="center"/>
                </w:tcPr>
                <w:p w14:paraId="70EE8224">
                  <w:pPr>
                    <w:keepNext w:val="0"/>
                    <w:keepLines w:val="0"/>
                    <w:widowControl/>
                    <w:suppressLineNumbers w:val="0"/>
                    <w:adjustRightInd w:val="0"/>
                    <w:snapToGrid w:val="0"/>
                    <w:spacing w:before="0" w:beforeAutospacing="0" w:after="0" w:afterAutospacing="0" w:line="276" w:lineRule="auto"/>
                    <w:ind w:left="0" w:right="0"/>
                    <w:jc w:val="center"/>
                    <w:rPr>
                      <w:rFonts w:hint="eastAsia" w:ascii="Times New Roman" w:hAnsi="Times New Roman" w:eastAsia="宋体" w:cs="Times New Roman"/>
                      <w:strike w:val="0"/>
                      <w:dstrike w:val="0"/>
                      <w:color w:val="auto"/>
                      <w:kern w:val="2"/>
                      <w:sz w:val="18"/>
                      <w:szCs w:val="18"/>
                      <w:highlight w:val="none"/>
                      <w:lang w:val="en-US" w:eastAsia="zh-CN" w:bidi="ar-SA"/>
                    </w:rPr>
                  </w:pPr>
                  <w:r>
                    <w:rPr>
                      <w:rFonts w:hint="eastAsia" w:ascii="Times New Roman" w:hAnsi="Times New Roman" w:eastAsia="宋体" w:cs="Times New Roman"/>
                      <w:strike w:val="0"/>
                      <w:dstrike w:val="0"/>
                      <w:color w:val="auto"/>
                      <w:sz w:val="18"/>
                      <w:szCs w:val="18"/>
                      <w:highlight w:val="none"/>
                      <w:lang w:val="en-US" w:eastAsia="zh-CN"/>
                    </w:rPr>
                    <w:t>居民</w:t>
                  </w:r>
                </w:p>
              </w:tc>
              <w:tc>
                <w:tcPr>
                  <w:tcW w:w="499" w:type="pct"/>
                  <w:tcBorders>
                    <w:top w:val="single" w:color="auto" w:sz="4" w:space="0"/>
                    <w:left w:val="single" w:color="auto" w:sz="4" w:space="0"/>
                    <w:bottom w:val="single" w:color="auto" w:sz="4" w:space="0"/>
                    <w:right w:val="single" w:color="auto" w:sz="4" w:space="0"/>
                  </w:tcBorders>
                  <w:shd w:val="clear" w:color="auto" w:fill="auto"/>
                  <w:noWrap w:val="0"/>
                  <w:vAlign w:val="center"/>
                </w:tcPr>
                <w:p w14:paraId="256ACB0B">
                  <w:pPr>
                    <w:keepNext w:val="0"/>
                    <w:keepLines w:val="0"/>
                    <w:widowControl/>
                    <w:suppressLineNumbers w:val="0"/>
                    <w:adjustRightInd w:val="0"/>
                    <w:snapToGrid w:val="0"/>
                    <w:spacing w:before="0" w:beforeAutospacing="0" w:after="0" w:afterAutospacing="0" w:line="276" w:lineRule="auto"/>
                    <w:ind w:left="0" w:right="0"/>
                    <w:jc w:val="center"/>
                    <w:rPr>
                      <w:rFonts w:hint="eastAsia" w:ascii="Times New Roman" w:hAnsi="Times New Roman" w:eastAsia="宋体" w:cs="Times New Roman"/>
                      <w:strike w:val="0"/>
                      <w:dstrike w:val="0"/>
                      <w:color w:val="auto"/>
                      <w:kern w:val="2"/>
                      <w:sz w:val="18"/>
                      <w:szCs w:val="18"/>
                      <w:highlight w:val="none"/>
                      <w:lang w:val="en-US" w:eastAsia="zh-CN" w:bidi="ar-SA"/>
                    </w:rPr>
                  </w:pPr>
                  <w:r>
                    <w:rPr>
                      <w:rFonts w:hint="eastAsia" w:ascii="Times New Roman" w:hAnsi="Times New Roman" w:eastAsia="宋体" w:cs="Times New Roman"/>
                      <w:strike w:val="0"/>
                      <w:dstrike w:val="0"/>
                      <w:color w:val="auto"/>
                      <w:sz w:val="18"/>
                      <w:szCs w:val="18"/>
                      <w:highlight w:val="none"/>
                      <w:lang w:val="en-US" w:eastAsia="zh-CN"/>
                    </w:rPr>
                    <w:t>二类</w:t>
                  </w:r>
                </w:p>
              </w:tc>
              <w:tc>
                <w:tcPr>
                  <w:tcW w:w="453" w:type="pct"/>
                  <w:tcBorders>
                    <w:top w:val="single" w:color="auto" w:sz="4" w:space="0"/>
                    <w:left w:val="single" w:color="auto" w:sz="4" w:space="0"/>
                    <w:bottom w:val="single" w:color="auto" w:sz="4" w:space="0"/>
                    <w:right w:val="single" w:color="auto" w:sz="4" w:space="0"/>
                  </w:tcBorders>
                  <w:shd w:val="clear" w:color="auto" w:fill="auto"/>
                  <w:noWrap w:val="0"/>
                  <w:vAlign w:val="center"/>
                </w:tcPr>
                <w:p w14:paraId="41FD1574">
                  <w:pPr>
                    <w:keepNext w:val="0"/>
                    <w:keepLines w:val="0"/>
                    <w:widowControl/>
                    <w:suppressLineNumbers w:val="0"/>
                    <w:adjustRightInd w:val="0"/>
                    <w:snapToGrid w:val="0"/>
                    <w:spacing w:before="0" w:beforeAutospacing="0" w:after="0" w:afterAutospacing="0" w:line="276" w:lineRule="auto"/>
                    <w:ind w:left="0" w:right="0"/>
                    <w:jc w:val="center"/>
                    <w:rPr>
                      <w:rFonts w:hint="default" w:ascii="Times New Roman" w:hAnsi="Times New Roman" w:eastAsia="宋体" w:cs="Times New Roman"/>
                      <w:strike w:val="0"/>
                      <w:dstrike w:val="0"/>
                      <w:color w:val="auto"/>
                      <w:kern w:val="2"/>
                      <w:sz w:val="18"/>
                      <w:szCs w:val="18"/>
                      <w:highlight w:val="none"/>
                      <w:lang w:val="en-US" w:eastAsia="zh-CN" w:bidi="ar-SA"/>
                    </w:rPr>
                  </w:pPr>
                  <w:r>
                    <w:rPr>
                      <w:rFonts w:hint="eastAsia" w:ascii="Times New Roman" w:hAnsi="Times New Roman" w:eastAsia="宋体" w:cs="Times New Roman"/>
                      <w:strike w:val="0"/>
                      <w:dstrike w:val="0"/>
                      <w:color w:val="auto"/>
                      <w:kern w:val="2"/>
                      <w:sz w:val="18"/>
                      <w:szCs w:val="18"/>
                      <w:highlight w:val="none"/>
                      <w:lang w:val="en-US" w:eastAsia="zh-CN" w:bidi="ar-SA"/>
                    </w:rPr>
                    <w:t>东北</w:t>
                  </w:r>
                </w:p>
              </w:tc>
              <w:tc>
                <w:tcPr>
                  <w:tcW w:w="551" w:type="pct"/>
                  <w:tcBorders>
                    <w:top w:val="single" w:color="auto" w:sz="4" w:space="0"/>
                    <w:left w:val="single" w:color="auto" w:sz="4" w:space="0"/>
                    <w:bottom w:val="single" w:color="auto" w:sz="4" w:space="0"/>
                    <w:right w:val="single" w:color="auto" w:sz="4" w:space="0"/>
                  </w:tcBorders>
                  <w:shd w:val="clear" w:color="auto" w:fill="auto"/>
                  <w:noWrap w:val="0"/>
                  <w:vAlign w:val="center"/>
                </w:tcPr>
                <w:p w14:paraId="53B83C2A">
                  <w:pPr>
                    <w:keepNext w:val="0"/>
                    <w:keepLines w:val="0"/>
                    <w:widowControl/>
                    <w:suppressLineNumbers w:val="0"/>
                    <w:adjustRightInd w:val="0"/>
                    <w:snapToGrid w:val="0"/>
                    <w:spacing w:before="0" w:beforeAutospacing="0" w:after="0" w:afterAutospacing="0" w:line="276" w:lineRule="auto"/>
                    <w:ind w:left="0" w:right="0"/>
                    <w:jc w:val="center"/>
                    <w:rPr>
                      <w:rFonts w:hint="default" w:ascii="Times New Roman" w:hAnsi="Times New Roman" w:eastAsia="宋体" w:cs="Times New Roman"/>
                      <w:strike w:val="0"/>
                      <w:dstrike w:val="0"/>
                      <w:color w:val="auto"/>
                      <w:kern w:val="2"/>
                      <w:sz w:val="18"/>
                      <w:szCs w:val="18"/>
                      <w:highlight w:val="none"/>
                      <w:lang w:val="en-US" w:eastAsia="zh-CN" w:bidi="ar-SA"/>
                    </w:rPr>
                  </w:pPr>
                  <w:r>
                    <w:rPr>
                      <w:rFonts w:hint="eastAsia" w:ascii="Times New Roman" w:hAnsi="Times New Roman" w:eastAsia="宋体" w:cs="Times New Roman"/>
                      <w:strike w:val="0"/>
                      <w:dstrike w:val="0"/>
                      <w:color w:val="auto"/>
                      <w:sz w:val="18"/>
                      <w:szCs w:val="18"/>
                      <w:highlight w:val="none"/>
                      <w:lang w:val="en-US" w:eastAsia="zh-CN"/>
                    </w:rPr>
                    <w:t>2390</w:t>
                  </w:r>
                </w:p>
              </w:tc>
            </w:tr>
            <w:tr w14:paraId="1C3680A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40" w:hRule="atLeast"/>
                <w:jc w:val="center"/>
              </w:trPr>
              <w:tc>
                <w:tcPr>
                  <w:tcW w:w="366" w:type="pct"/>
                  <w:tcBorders>
                    <w:left w:val="single" w:color="auto" w:sz="4" w:space="0"/>
                    <w:right w:val="single" w:color="auto" w:sz="4" w:space="0"/>
                  </w:tcBorders>
                  <w:noWrap w:val="0"/>
                  <w:vAlign w:val="center"/>
                </w:tcPr>
                <w:p w14:paraId="09A28B08">
                  <w:pPr>
                    <w:keepNext w:val="0"/>
                    <w:keepLines w:val="0"/>
                    <w:widowControl/>
                    <w:suppressLineNumbers w:val="0"/>
                    <w:adjustRightInd w:val="0"/>
                    <w:snapToGrid w:val="0"/>
                    <w:spacing w:before="0" w:beforeAutospacing="0" w:after="0" w:afterAutospacing="0" w:line="276" w:lineRule="auto"/>
                    <w:ind w:left="0" w:right="0"/>
                    <w:jc w:val="center"/>
                    <w:rPr>
                      <w:rFonts w:hint="default" w:ascii="Times New Roman" w:hAnsi="Times New Roman" w:eastAsia="宋体" w:cs="Times New Roman"/>
                      <w:strike w:val="0"/>
                      <w:dstrike w:val="0"/>
                      <w:color w:val="auto"/>
                      <w:sz w:val="18"/>
                      <w:szCs w:val="18"/>
                      <w:highlight w:val="none"/>
                      <w:lang w:val="en-US" w:eastAsia="zh-CN"/>
                    </w:rPr>
                  </w:pPr>
                  <w:r>
                    <w:rPr>
                      <w:rFonts w:hint="eastAsia" w:ascii="Times New Roman" w:hAnsi="Times New Roman" w:eastAsia="宋体" w:cs="Times New Roman"/>
                      <w:strike w:val="0"/>
                      <w:dstrike w:val="0"/>
                      <w:color w:val="auto"/>
                      <w:sz w:val="18"/>
                      <w:szCs w:val="18"/>
                      <w:highlight w:val="none"/>
                      <w:lang w:val="en-US" w:eastAsia="zh-CN"/>
                    </w:rPr>
                    <w:t>23</w:t>
                  </w:r>
                </w:p>
              </w:tc>
              <w:tc>
                <w:tcPr>
                  <w:tcW w:w="1071" w:type="pct"/>
                  <w:tcBorders>
                    <w:top w:val="single" w:color="auto" w:sz="4" w:space="0"/>
                    <w:left w:val="single" w:color="auto" w:sz="4" w:space="0"/>
                    <w:bottom w:val="single" w:color="auto" w:sz="4" w:space="0"/>
                    <w:right w:val="single" w:color="auto" w:sz="4" w:space="0"/>
                  </w:tcBorders>
                  <w:shd w:val="clear" w:color="auto" w:fill="auto"/>
                  <w:noWrap w:val="0"/>
                  <w:vAlign w:val="center"/>
                </w:tcPr>
                <w:p w14:paraId="1BF29D80">
                  <w:pPr>
                    <w:keepNext w:val="0"/>
                    <w:keepLines w:val="0"/>
                    <w:widowControl/>
                    <w:suppressLineNumbers w:val="0"/>
                    <w:adjustRightInd w:val="0"/>
                    <w:snapToGrid w:val="0"/>
                    <w:spacing w:before="0" w:beforeAutospacing="0" w:after="0" w:afterAutospacing="0" w:line="276" w:lineRule="auto"/>
                    <w:ind w:left="0" w:right="0"/>
                    <w:jc w:val="center"/>
                    <w:rPr>
                      <w:rFonts w:hint="default" w:ascii="Times New Roman" w:hAnsi="Times New Roman" w:eastAsia="宋体" w:cs="Times New Roman"/>
                      <w:strike w:val="0"/>
                      <w:dstrike w:val="0"/>
                      <w:color w:val="auto"/>
                      <w:kern w:val="2"/>
                      <w:sz w:val="18"/>
                      <w:szCs w:val="18"/>
                      <w:highlight w:val="none"/>
                      <w:lang w:val="en-US" w:eastAsia="zh-CN" w:bidi="ar-SA"/>
                    </w:rPr>
                  </w:pPr>
                  <w:r>
                    <w:rPr>
                      <w:rFonts w:hint="eastAsia" w:ascii="Times New Roman" w:hAnsi="Times New Roman" w:eastAsia="宋体" w:cs="Times New Roman"/>
                      <w:strike w:val="0"/>
                      <w:dstrike w:val="0"/>
                      <w:color w:val="auto"/>
                      <w:sz w:val="18"/>
                      <w:szCs w:val="18"/>
                      <w:highlight w:val="none"/>
                      <w:lang w:val="en-US" w:eastAsia="zh-CN"/>
                    </w:rPr>
                    <w:t>玉龙社区</w:t>
                  </w:r>
                </w:p>
              </w:tc>
              <w:tc>
                <w:tcPr>
                  <w:tcW w:w="527" w:type="pct"/>
                  <w:tcBorders>
                    <w:top w:val="single" w:color="auto" w:sz="4" w:space="0"/>
                    <w:left w:val="single" w:color="auto" w:sz="4" w:space="0"/>
                    <w:bottom w:val="single" w:color="auto" w:sz="4" w:space="0"/>
                    <w:right w:val="single" w:color="auto" w:sz="4" w:space="0"/>
                  </w:tcBorders>
                  <w:shd w:val="clear" w:color="auto" w:fill="auto"/>
                  <w:noWrap w:val="0"/>
                  <w:vAlign w:val="center"/>
                </w:tcPr>
                <w:p w14:paraId="72378A39">
                  <w:pPr>
                    <w:keepNext w:val="0"/>
                    <w:keepLines w:val="0"/>
                    <w:widowControl/>
                    <w:suppressLineNumbers w:val="0"/>
                    <w:adjustRightInd w:val="0"/>
                    <w:snapToGrid w:val="0"/>
                    <w:spacing w:before="0" w:beforeAutospacing="0" w:after="0" w:afterAutospacing="0" w:line="276" w:lineRule="auto"/>
                    <w:ind w:left="0" w:right="0"/>
                    <w:jc w:val="center"/>
                    <w:rPr>
                      <w:rFonts w:hint="default" w:ascii="Times New Roman" w:hAnsi="Times New Roman" w:eastAsia="宋体" w:cs="Times New Roman"/>
                      <w:strike w:val="0"/>
                      <w:dstrike w:val="0"/>
                      <w:color w:val="auto"/>
                      <w:kern w:val="2"/>
                      <w:sz w:val="18"/>
                      <w:szCs w:val="18"/>
                      <w:highlight w:val="none"/>
                      <w:lang w:val="en-US" w:eastAsia="zh-CN" w:bidi="ar-SA"/>
                    </w:rPr>
                  </w:pPr>
                  <w:r>
                    <w:rPr>
                      <w:rFonts w:hint="default" w:ascii="Times New Roman" w:hAnsi="Times New Roman" w:eastAsia="宋体" w:cs="Times New Roman"/>
                      <w:strike w:val="0"/>
                      <w:dstrike w:val="0"/>
                      <w:color w:val="auto"/>
                      <w:sz w:val="18"/>
                      <w:szCs w:val="18"/>
                      <w:highlight w:val="none"/>
                    </w:rPr>
                    <w:t>118.847671</w:t>
                  </w:r>
                </w:p>
              </w:tc>
              <w:tc>
                <w:tcPr>
                  <w:tcW w:w="564" w:type="pct"/>
                  <w:tcBorders>
                    <w:top w:val="single" w:color="auto" w:sz="4" w:space="0"/>
                    <w:left w:val="single" w:color="auto" w:sz="4" w:space="0"/>
                    <w:bottom w:val="single" w:color="auto" w:sz="4" w:space="0"/>
                    <w:right w:val="single" w:color="auto" w:sz="4" w:space="0"/>
                  </w:tcBorders>
                  <w:shd w:val="clear" w:color="auto" w:fill="auto"/>
                  <w:noWrap w:val="0"/>
                  <w:vAlign w:val="center"/>
                </w:tcPr>
                <w:p w14:paraId="29982A53">
                  <w:pPr>
                    <w:keepNext w:val="0"/>
                    <w:keepLines w:val="0"/>
                    <w:widowControl/>
                    <w:suppressLineNumbers w:val="0"/>
                    <w:adjustRightInd w:val="0"/>
                    <w:snapToGrid w:val="0"/>
                    <w:spacing w:before="0" w:beforeAutospacing="0" w:after="0" w:afterAutospacing="0" w:line="276" w:lineRule="auto"/>
                    <w:ind w:left="0" w:right="0"/>
                    <w:jc w:val="center"/>
                    <w:rPr>
                      <w:rFonts w:hint="default" w:ascii="Times New Roman" w:hAnsi="Times New Roman" w:eastAsia="宋体" w:cs="Times New Roman"/>
                      <w:strike w:val="0"/>
                      <w:dstrike w:val="0"/>
                      <w:color w:val="auto"/>
                      <w:kern w:val="2"/>
                      <w:sz w:val="18"/>
                      <w:szCs w:val="18"/>
                      <w:highlight w:val="none"/>
                      <w:lang w:val="en-US" w:eastAsia="zh-CN" w:bidi="ar-SA"/>
                    </w:rPr>
                  </w:pPr>
                  <w:r>
                    <w:rPr>
                      <w:rFonts w:hint="default" w:ascii="Times New Roman" w:hAnsi="Times New Roman" w:eastAsia="宋体" w:cs="Times New Roman"/>
                      <w:strike w:val="0"/>
                      <w:dstrike w:val="0"/>
                      <w:color w:val="auto"/>
                      <w:sz w:val="18"/>
                      <w:szCs w:val="18"/>
                      <w:highlight w:val="none"/>
                    </w:rPr>
                    <w:t>28.972512</w:t>
                  </w:r>
                </w:p>
              </w:tc>
              <w:tc>
                <w:tcPr>
                  <w:tcW w:w="474" w:type="pct"/>
                  <w:tcBorders>
                    <w:top w:val="single" w:color="auto" w:sz="4" w:space="0"/>
                    <w:left w:val="single" w:color="auto" w:sz="4" w:space="0"/>
                    <w:bottom w:val="single" w:color="auto" w:sz="4" w:space="0"/>
                    <w:right w:val="single" w:color="auto" w:sz="4" w:space="0"/>
                  </w:tcBorders>
                  <w:shd w:val="clear" w:color="auto" w:fill="auto"/>
                  <w:noWrap w:val="0"/>
                  <w:vAlign w:val="center"/>
                </w:tcPr>
                <w:p w14:paraId="7479ECFF">
                  <w:pPr>
                    <w:keepNext w:val="0"/>
                    <w:keepLines w:val="0"/>
                    <w:widowControl/>
                    <w:suppressLineNumbers w:val="0"/>
                    <w:adjustRightInd w:val="0"/>
                    <w:snapToGrid w:val="0"/>
                    <w:spacing w:before="0" w:beforeAutospacing="0" w:after="0" w:afterAutospacing="0" w:line="276" w:lineRule="auto"/>
                    <w:ind w:left="0" w:right="0"/>
                    <w:jc w:val="center"/>
                    <w:rPr>
                      <w:rFonts w:hint="eastAsia" w:ascii="Times New Roman" w:hAnsi="Times New Roman" w:eastAsia="宋体" w:cs="Times New Roman"/>
                      <w:strike w:val="0"/>
                      <w:dstrike w:val="0"/>
                      <w:color w:val="auto"/>
                      <w:kern w:val="2"/>
                      <w:sz w:val="18"/>
                      <w:szCs w:val="18"/>
                      <w:highlight w:val="none"/>
                      <w:lang w:val="en-US" w:eastAsia="zh-CN" w:bidi="ar-SA"/>
                    </w:rPr>
                  </w:pPr>
                  <w:r>
                    <w:rPr>
                      <w:rFonts w:hint="eastAsia" w:ascii="Times New Roman" w:hAnsi="Times New Roman" w:eastAsia="宋体" w:cs="Times New Roman"/>
                      <w:strike w:val="0"/>
                      <w:dstrike w:val="0"/>
                      <w:color w:val="auto"/>
                      <w:sz w:val="18"/>
                      <w:szCs w:val="18"/>
                      <w:highlight w:val="none"/>
                      <w:lang w:val="en-US" w:eastAsia="zh-CN"/>
                    </w:rPr>
                    <w:t>居住区</w:t>
                  </w:r>
                </w:p>
              </w:tc>
              <w:tc>
                <w:tcPr>
                  <w:tcW w:w="490" w:type="pct"/>
                  <w:tcBorders>
                    <w:top w:val="single" w:color="auto" w:sz="4" w:space="0"/>
                    <w:left w:val="single" w:color="auto" w:sz="4" w:space="0"/>
                    <w:bottom w:val="single" w:color="auto" w:sz="4" w:space="0"/>
                    <w:right w:val="single" w:color="auto" w:sz="4" w:space="0"/>
                  </w:tcBorders>
                  <w:shd w:val="clear" w:color="auto" w:fill="auto"/>
                  <w:noWrap w:val="0"/>
                  <w:vAlign w:val="center"/>
                </w:tcPr>
                <w:p w14:paraId="7C4595FD">
                  <w:pPr>
                    <w:keepNext w:val="0"/>
                    <w:keepLines w:val="0"/>
                    <w:widowControl/>
                    <w:suppressLineNumbers w:val="0"/>
                    <w:adjustRightInd w:val="0"/>
                    <w:snapToGrid w:val="0"/>
                    <w:spacing w:before="0" w:beforeAutospacing="0" w:after="0" w:afterAutospacing="0" w:line="276" w:lineRule="auto"/>
                    <w:ind w:left="0" w:right="0"/>
                    <w:jc w:val="center"/>
                    <w:rPr>
                      <w:rFonts w:hint="eastAsia" w:ascii="Times New Roman" w:hAnsi="Times New Roman" w:eastAsia="宋体" w:cs="Times New Roman"/>
                      <w:strike w:val="0"/>
                      <w:dstrike w:val="0"/>
                      <w:color w:val="auto"/>
                      <w:kern w:val="2"/>
                      <w:sz w:val="18"/>
                      <w:szCs w:val="18"/>
                      <w:highlight w:val="none"/>
                      <w:lang w:val="en-US" w:eastAsia="zh-CN" w:bidi="ar-SA"/>
                    </w:rPr>
                  </w:pPr>
                  <w:r>
                    <w:rPr>
                      <w:rFonts w:hint="eastAsia" w:ascii="Times New Roman" w:hAnsi="Times New Roman" w:eastAsia="宋体" w:cs="Times New Roman"/>
                      <w:strike w:val="0"/>
                      <w:dstrike w:val="0"/>
                      <w:color w:val="auto"/>
                      <w:sz w:val="18"/>
                      <w:szCs w:val="18"/>
                      <w:highlight w:val="none"/>
                      <w:lang w:val="en-US" w:eastAsia="zh-CN"/>
                    </w:rPr>
                    <w:t>居民</w:t>
                  </w:r>
                </w:p>
              </w:tc>
              <w:tc>
                <w:tcPr>
                  <w:tcW w:w="499" w:type="pct"/>
                  <w:tcBorders>
                    <w:top w:val="single" w:color="auto" w:sz="4" w:space="0"/>
                    <w:left w:val="single" w:color="auto" w:sz="4" w:space="0"/>
                    <w:bottom w:val="single" w:color="auto" w:sz="4" w:space="0"/>
                    <w:right w:val="single" w:color="auto" w:sz="4" w:space="0"/>
                  </w:tcBorders>
                  <w:shd w:val="clear" w:color="auto" w:fill="auto"/>
                  <w:noWrap w:val="0"/>
                  <w:vAlign w:val="center"/>
                </w:tcPr>
                <w:p w14:paraId="4B844555">
                  <w:pPr>
                    <w:keepNext w:val="0"/>
                    <w:keepLines w:val="0"/>
                    <w:widowControl/>
                    <w:suppressLineNumbers w:val="0"/>
                    <w:adjustRightInd w:val="0"/>
                    <w:snapToGrid w:val="0"/>
                    <w:spacing w:before="0" w:beforeAutospacing="0" w:after="0" w:afterAutospacing="0" w:line="276" w:lineRule="auto"/>
                    <w:ind w:left="0" w:right="0"/>
                    <w:jc w:val="center"/>
                    <w:rPr>
                      <w:rFonts w:hint="eastAsia" w:ascii="Times New Roman" w:hAnsi="Times New Roman" w:eastAsia="宋体" w:cs="Times New Roman"/>
                      <w:strike w:val="0"/>
                      <w:dstrike w:val="0"/>
                      <w:color w:val="auto"/>
                      <w:kern w:val="2"/>
                      <w:sz w:val="18"/>
                      <w:szCs w:val="18"/>
                      <w:highlight w:val="none"/>
                      <w:lang w:val="en-US" w:eastAsia="zh-CN" w:bidi="ar-SA"/>
                    </w:rPr>
                  </w:pPr>
                  <w:r>
                    <w:rPr>
                      <w:rFonts w:hint="eastAsia" w:ascii="Times New Roman" w:hAnsi="Times New Roman" w:eastAsia="宋体" w:cs="Times New Roman"/>
                      <w:strike w:val="0"/>
                      <w:dstrike w:val="0"/>
                      <w:color w:val="auto"/>
                      <w:sz w:val="18"/>
                      <w:szCs w:val="18"/>
                      <w:highlight w:val="none"/>
                      <w:lang w:val="en-US" w:eastAsia="zh-CN"/>
                    </w:rPr>
                    <w:t>二类</w:t>
                  </w:r>
                </w:p>
              </w:tc>
              <w:tc>
                <w:tcPr>
                  <w:tcW w:w="453" w:type="pct"/>
                  <w:tcBorders>
                    <w:top w:val="single" w:color="auto" w:sz="4" w:space="0"/>
                    <w:left w:val="single" w:color="auto" w:sz="4" w:space="0"/>
                    <w:bottom w:val="single" w:color="auto" w:sz="4" w:space="0"/>
                    <w:right w:val="single" w:color="auto" w:sz="4" w:space="0"/>
                  </w:tcBorders>
                  <w:shd w:val="clear" w:color="auto" w:fill="auto"/>
                  <w:noWrap w:val="0"/>
                  <w:vAlign w:val="center"/>
                </w:tcPr>
                <w:p w14:paraId="1B777306">
                  <w:pPr>
                    <w:keepNext w:val="0"/>
                    <w:keepLines w:val="0"/>
                    <w:widowControl/>
                    <w:suppressLineNumbers w:val="0"/>
                    <w:adjustRightInd w:val="0"/>
                    <w:snapToGrid w:val="0"/>
                    <w:spacing w:before="0" w:beforeAutospacing="0" w:after="0" w:afterAutospacing="0" w:line="276" w:lineRule="auto"/>
                    <w:ind w:left="0" w:right="0"/>
                    <w:jc w:val="center"/>
                    <w:rPr>
                      <w:rFonts w:hint="default" w:ascii="Times New Roman" w:hAnsi="Times New Roman" w:eastAsia="宋体" w:cs="Times New Roman"/>
                      <w:strike w:val="0"/>
                      <w:dstrike w:val="0"/>
                      <w:color w:val="auto"/>
                      <w:kern w:val="2"/>
                      <w:sz w:val="18"/>
                      <w:szCs w:val="18"/>
                      <w:highlight w:val="none"/>
                      <w:lang w:val="en-US" w:eastAsia="zh-CN" w:bidi="ar-SA"/>
                    </w:rPr>
                  </w:pPr>
                  <w:r>
                    <w:rPr>
                      <w:rFonts w:hint="eastAsia" w:ascii="Times New Roman" w:hAnsi="Times New Roman" w:eastAsia="宋体" w:cs="Times New Roman"/>
                      <w:strike w:val="0"/>
                      <w:dstrike w:val="0"/>
                      <w:color w:val="auto"/>
                      <w:kern w:val="2"/>
                      <w:sz w:val="18"/>
                      <w:szCs w:val="18"/>
                      <w:highlight w:val="none"/>
                      <w:lang w:val="en-US" w:eastAsia="zh-CN" w:bidi="ar-SA"/>
                    </w:rPr>
                    <w:t>东北</w:t>
                  </w:r>
                </w:p>
              </w:tc>
              <w:tc>
                <w:tcPr>
                  <w:tcW w:w="551" w:type="pct"/>
                  <w:tcBorders>
                    <w:top w:val="single" w:color="auto" w:sz="4" w:space="0"/>
                    <w:left w:val="single" w:color="auto" w:sz="4" w:space="0"/>
                    <w:bottom w:val="single" w:color="auto" w:sz="4" w:space="0"/>
                    <w:right w:val="single" w:color="auto" w:sz="4" w:space="0"/>
                  </w:tcBorders>
                  <w:shd w:val="clear" w:color="auto" w:fill="auto"/>
                  <w:noWrap w:val="0"/>
                  <w:vAlign w:val="center"/>
                </w:tcPr>
                <w:p w14:paraId="164A2429">
                  <w:pPr>
                    <w:keepNext w:val="0"/>
                    <w:keepLines w:val="0"/>
                    <w:widowControl/>
                    <w:suppressLineNumbers w:val="0"/>
                    <w:adjustRightInd w:val="0"/>
                    <w:snapToGrid w:val="0"/>
                    <w:spacing w:before="0" w:beforeAutospacing="0" w:after="0" w:afterAutospacing="0" w:line="276" w:lineRule="auto"/>
                    <w:ind w:left="0" w:right="0"/>
                    <w:jc w:val="center"/>
                    <w:rPr>
                      <w:rFonts w:hint="default" w:ascii="Times New Roman" w:hAnsi="Times New Roman" w:eastAsia="宋体" w:cs="Times New Roman"/>
                      <w:strike w:val="0"/>
                      <w:dstrike w:val="0"/>
                      <w:color w:val="auto"/>
                      <w:kern w:val="2"/>
                      <w:sz w:val="18"/>
                      <w:szCs w:val="18"/>
                      <w:highlight w:val="none"/>
                      <w:lang w:val="en-US" w:eastAsia="zh-CN" w:bidi="ar-SA"/>
                    </w:rPr>
                  </w:pPr>
                  <w:r>
                    <w:rPr>
                      <w:rFonts w:hint="eastAsia" w:ascii="Times New Roman" w:hAnsi="Times New Roman" w:eastAsia="宋体" w:cs="Times New Roman"/>
                      <w:strike w:val="0"/>
                      <w:dstrike w:val="0"/>
                      <w:color w:val="auto"/>
                      <w:sz w:val="18"/>
                      <w:szCs w:val="18"/>
                      <w:highlight w:val="none"/>
                      <w:lang w:val="en-US" w:eastAsia="zh-CN"/>
                    </w:rPr>
                    <w:t>2630</w:t>
                  </w:r>
                </w:p>
              </w:tc>
            </w:tr>
            <w:tr w14:paraId="7438BD4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40" w:hRule="atLeast"/>
                <w:jc w:val="center"/>
              </w:trPr>
              <w:tc>
                <w:tcPr>
                  <w:tcW w:w="366" w:type="pct"/>
                  <w:tcBorders>
                    <w:left w:val="single" w:color="auto" w:sz="4" w:space="0"/>
                    <w:right w:val="single" w:color="auto" w:sz="4" w:space="0"/>
                  </w:tcBorders>
                  <w:noWrap w:val="0"/>
                  <w:vAlign w:val="center"/>
                </w:tcPr>
                <w:p w14:paraId="496516F7">
                  <w:pPr>
                    <w:keepNext w:val="0"/>
                    <w:keepLines w:val="0"/>
                    <w:widowControl/>
                    <w:suppressLineNumbers w:val="0"/>
                    <w:adjustRightInd w:val="0"/>
                    <w:snapToGrid w:val="0"/>
                    <w:spacing w:before="0" w:beforeAutospacing="0" w:after="0" w:afterAutospacing="0" w:line="276" w:lineRule="auto"/>
                    <w:ind w:left="0" w:right="0"/>
                    <w:jc w:val="center"/>
                    <w:rPr>
                      <w:rFonts w:hint="default" w:ascii="Times New Roman" w:hAnsi="Times New Roman" w:eastAsia="宋体" w:cs="Times New Roman"/>
                      <w:strike w:val="0"/>
                      <w:dstrike w:val="0"/>
                      <w:color w:val="auto"/>
                      <w:sz w:val="18"/>
                      <w:szCs w:val="18"/>
                      <w:highlight w:val="none"/>
                      <w:lang w:val="en-US" w:eastAsia="zh-CN"/>
                    </w:rPr>
                  </w:pPr>
                  <w:r>
                    <w:rPr>
                      <w:rFonts w:hint="eastAsia" w:ascii="Times New Roman" w:hAnsi="Times New Roman" w:eastAsia="宋体" w:cs="Times New Roman"/>
                      <w:strike w:val="0"/>
                      <w:dstrike w:val="0"/>
                      <w:color w:val="auto"/>
                      <w:sz w:val="18"/>
                      <w:szCs w:val="18"/>
                      <w:highlight w:val="none"/>
                      <w:lang w:val="en-US" w:eastAsia="zh-CN"/>
                    </w:rPr>
                    <w:t>24</w:t>
                  </w:r>
                </w:p>
              </w:tc>
              <w:tc>
                <w:tcPr>
                  <w:tcW w:w="1071" w:type="pct"/>
                  <w:tcBorders>
                    <w:top w:val="single" w:color="auto" w:sz="4" w:space="0"/>
                    <w:left w:val="single" w:color="auto" w:sz="4" w:space="0"/>
                    <w:bottom w:val="single" w:color="auto" w:sz="4" w:space="0"/>
                    <w:right w:val="single" w:color="auto" w:sz="4" w:space="0"/>
                  </w:tcBorders>
                  <w:shd w:val="clear" w:color="auto" w:fill="auto"/>
                  <w:noWrap w:val="0"/>
                  <w:vAlign w:val="center"/>
                </w:tcPr>
                <w:p w14:paraId="0774EBB9">
                  <w:pPr>
                    <w:keepNext w:val="0"/>
                    <w:keepLines w:val="0"/>
                    <w:widowControl/>
                    <w:suppressLineNumbers w:val="0"/>
                    <w:adjustRightInd w:val="0"/>
                    <w:snapToGrid w:val="0"/>
                    <w:spacing w:before="0" w:beforeAutospacing="0" w:after="0" w:afterAutospacing="0" w:line="276" w:lineRule="auto"/>
                    <w:ind w:left="0" w:right="0"/>
                    <w:jc w:val="center"/>
                    <w:rPr>
                      <w:rFonts w:hint="default" w:ascii="Times New Roman" w:hAnsi="Times New Roman" w:eastAsia="宋体" w:cs="Times New Roman"/>
                      <w:strike w:val="0"/>
                      <w:dstrike w:val="0"/>
                      <w:color w:val="auto"/>
                      <w:kern w:val="2"/>
                      <w:sz w:val="18"/>
                      <w:szCs w:val="18"/>
                      <w:highlight w:val="none"/>
                      <w:lang w:val="en-US" w:eastAsia="zh-CN" w:bidi="ar-SA"/>
                    </w:rPr>
                  </w:pPr>
                  <w:r>
                    <w:rPr>
                      <w:rFonts w:hint="eastAsia" w:ascii="Times New Roman" w:hAnsi="Times New Roman" w:eastAsia="宋体" w:cs="Times New Roman"/>
                      <w:strike w:val="0"/>
                      <w:dstrike w:val="0"/>
                      <w:color w:val="auto"/>
                      <w:sz w:val="18"/>
                      <w:szCs w:val="18"/>
                      <w:highlight w:val="none"/>
                      <w:lang w:val="en-US" w:eastAsia="zh-CN"/>
                    </w:rPr>
                    <w:t>三江社区</w:t>
                  </w:r>
                </w:p>
              </w:tc>
              <w:tc>
                <w:tcPr>
                  <w:tcW w:w="527" w:type="pct"/>
                  <w:tcBorders>
                    <w:top w:val="single" w:color="auto" w:sz="4" w:space="0"/>
                    <w:left w:val="single" w:color="auto" w:sz="4" w:space="0"/>
                    <w:bottom w:val="single" w:color="auto" w:sz="4" w:space="0"/>
                    <w:right w:val="single" w:color="auto" w:sz="4" w:space="0"/>
                  </w:tcBorders>
                  <w:shd w:val="clear" w:color="auto" w:fill="auto"/>
                  <w:noWrap w:val="0"/>
                  <w:vAlign w:val="center"/>
                </w:tcPr>
                <w:p w14:paraId="25484A4C">
                  <w:pPr>
                    <w:keepNext w:val="0"/>
                    <w:keepLines w:val="0"/>
                    <w:widowControl/>
                    <w:suppressLineNumbers w:val="0"/>
                    <w:adjustRightInd w:val="0"/>
                    <w:snapToGrid w:val="0"/>
                    <w:spacing w:before="0" w:beforeAutospacing="0" w:after="0" w:afterAutospacing="0" w:line="276" w:lineRule="auto"/>
                    <w:ind w:left="0" w:right="0"/>
                    <w:jc w:val="center"/>
                    <w:rPr>
                      <w:rFonts w:hint="default" w:ascii="Times New Roman" w:hAnsi="Times New Roman" w:eastAsia="宋体" w:cs="Times New Roman"/>
                      <w:strike w:val="0"/>
                      <w:dstrike w:val="0"/>
                      <w:color w:val="auto"/>
                      <w:kern w:val="2"/>
                      <w:sz w:val="18"/>
                      <w:szCs w:val="18"/>
                      <w:highlight w:val="none"/>
                      <w:lang w:val="en-US" w:eastAsia="zh-CN" w:bidi="ar-SA"/>
                    </w:rPr>
                  </w:pPr>
                  <w:r>
                    <w:rPr>
                      <w:rFonts w:hint="default" w:ascii="Times New Roman" w:hAnsi="Times New Roman" w:eastAsia="宋体" w:cs="Times New Roman"/>
                      <w:strike w:val="0"/>
                      <w:dstrike w:val="0"/>
                      <w:color w:val="auto"/>
                      <w:sz w:val="18"/>
                      <w:szCs w:val="18"/>
                      <w:highlight w:val="none"/>
                    </w:rPr>
                    <w:t>118.813564</w:t>
                  </w:r>
                </w:p>
              </w:tc>
              <w:tc>
                <w:tcPr>
                  <w:tcW w:w="564" w:type="pct"/>
                  <w:tcBorders>
                    <w:top w:val="single" w:color="auto" w:sz="4" w:space="0"/>
                    <w:left w:val="single" w:color="auto" w:sz="4" w:space="0"/>
                    <w:bottom w:val="single" w:color="auto" w:sz="4" w:space="0"/>
                    <w:right w:val="single" w:color="auto" w:sz="4" w:space="0"/>
                  </w:tcBorders>
                  <w:shd w:val="clear" w:color="auto" w:fill="auto"/>
                  <w:noWrap w:val="0"/>
                  <w:vAlign w:val="center"/>
                </w:tcPr>
                <w:p w14:paraId="5021E15C">
                  <w:pPr>
                    <w:keepNext w:val="0"/>
                    <w:keepLines w:val="0"/>
                    <w:widowControl/>
                    <w:suppressLineNumbers w:val="0"/>
                    <w:adjustRightInd w:val="0"/>
                    <w:snapToGrid w:val="0"/>
                    <w:spacing w:before="0" w:beforeAutospacing="0" w:after="0" w:afterAutospacing="0" w:line="276" w:lineRule="auto"/>
                    <w:ind w:left="0" w:right="0"/>
                    <w:jc w:val="center"/>
                    <w:rPr>
                      <w:rFonts w:hint="default" w:ascii="Times New Roman" w:hAnsi="Times New Roman" w:eastAsia="宋体" w:cs="Times New Roman"/>
                      <w:strike w:val="0"/>
                      <w:dstrike w:val="0"/>
                      <w:color w:val="auto"/>
                      <w:kern w:val="2"/>
                      <w:sz w:val="18"/>
                      <w:szCs w:val="18"/>
                      <w:highlight w:val="none"/>
                      <w:lang w:val="en-US" w:eastAsia="zh-CN" w:bidi="ar-SA"/>
                    </w:rPr>
                  </w:pPr>
                  <w:r>
                    <w:rPr>
                      <w:rFonts w:hint="default" w:ascii="Times New Roman" w:hAnsi="Times New Roman" w:eastAsia="宋体" w:cs="Times New Roman"/>
                      <w:strike w:val="0"/>
                      <w:dstrike w:val="0"/>
                      <w:color w:val="auto"/>
                      <w:sz w:val="18"/>
                      <w:szCs w:val="18"/>
                      <w:highlight w:val="none"/>
                    </w:rPr>
                    <w:t>28.9692</w:t>
                  </w:r>
                  <w:r>
                    <w:rPr>
                      <w:rFonts w:hint="eastAsia" w:ascii="Times New Roman" w:hAnsi="Times New Roman" w:eastAsia="宋体" w:cs="Times New Roman"/>
                      <w:strike w:val="0"/>
                      <w:dstrike w:val="0"/>
                      <w:color w:val="auto"/>
                      <w:sz w:val="18"/>
                      <w:szCs w:val="18"/>
                      <w:highlight w:val="none"/>
                      <w:lang w:val="en-US" w:eastAsia="zh-CN"/>
                    </w:rPr>
                    <w:t>40</w:t>
                  </w:r>
                </w:p>
              </w:tc>
              <w:tc>
                <w:tcPr>
                  <w:tcW w:w="474" w:type="pct"/>
                  <w:tcBorders>
                    <w:top w:val="single" w:color="auto" w:sz="4" w:space="0"/>
                    <w:left w:val="single" w:color="auto" w:sz="4" w:space="0"/>
                    <w:bottom w:val="single" w:color="auto" w:sz="4" w:space="0"/>
                    <w:right w:val="single" w:color="auto" w:sz="4" w:space="0"/>
                  </w:tcBorders>
                  <w:shd w:val="clear" w:color="auto" w:fill="auto"/>
                  <w:noWrap w:val="0"/>
                  <w:vAlign w:val="center"/>
                </w:tcPr>
                <w:p w14:paraId="6FCE00C4">
                  <w:pPr>
                    <w:keepNext w:val="0"/>
                    <w:keepLines w:val="0"/>
                    <w:widowControl/>
                    <w:suppressLineNumbers w:val="0"/>
                    <w:adjustRightInd w:val="0"/>
                    <w:snapToGrid w:val="0"/>
                    <w:spacing w:before="0" w:beforeAutospacing="0" w:after="0" w:afterAutospacing="0" w:line="276" w:lineRule="auto"/>
                    <w:ind w:left="0" w:right="0"/>
                    <w:jc w:val="center"/>
                    <w:rPr>
                      <w:rFonts w:hint="eastAsia" w:ascii="Times New Roman" w:hAnsi="Times New Roman" w:eastAsia="宋体" w:cs="Times New Roman"/>
                      <w:strike w:val="0"/>
                      <w:dstrike w:val="0"/>
                      <w:color w:val="auto"/>
                      <w:kern w:val="2"/>
                      <w:sz w:val="18"/>
                      <w:szCs w:val="18"/>
                      <w:highlight w:val="none"/>
                      <w:lang w:val="en-US" w:eastAsia="zh-CN" w:bidi="ar-SA"/>
                    </w:rPr>
                  </w:pPr>
                  <w:r>
                    <w:rPr>
                      <w:rFonts w:hint="eastAsia" w:ascii="Times New Roman" w:hAnsi="Times New Roman" w:eastAsia="宋体" w:cs="Times New Roman"/>
                      <w:strike w:val="0"/>
                      <w:dstrike w:val="0"/>
                      <w:color w:val="auto"/>
                      <w:sz w:val="18"/>
                      <w:szCs w:val="18"/>
                      <w:highlight w:val="none"/>
                      <w:lang w:val="en-US" w:eastAsia="zh-CN"/>
                    </w:rPr>
                    <w:t>居住区</w:t>
                  </w:r>
                </w:p>
              </w:tc>
              <w:tc>
                <w:tcPr>
                  <w:tcW w:w="490" w:type="pct"/>
                  <w:tcBorders>
                    <w:top w:val="single" w:color="auto" w:sz="4" w:space="0"/>
                    <w:left w:val="single" w:color="auto" w:sz="4" w:space="0"/>
                    <w:bottom w:val="single" w:color="auto" w:sz="4" w:space="0"/>
                    <w:right w:val="single" w:color="auto" w:sz="4" w:space="0"/>
                  </w:tcBorders>
                  <w:shd w:val="clear" w:color="auto" w:fill="auto"/>
                  <w:noWrap w:val="0"/>
                  <w:vAlign w:val="center"/>
                </w:tcPr>
                <w:p w14:paraId="1ED39CD4">
                  <w:pPr>
                    <w:keepNext w:val="0"/>
                    <w:keepLines w:val="0"/>
                    <w:widowControl/>
                    <w:suppressLineNumbers w:val="0"/>
                    <w:adjustRightInd w:val="0"/>
                    <w:snapToGrid w:val="0"/>
                    <w:spacing w:before="0" w:beforeAutospacing="0" w:after="0" w:afterAutospacing="0" w:line="276" w:lineRule="auto"/>
                    <w:ind w:left="0" w:right="0"/>
                    <w:jc w:val="center"/>
                    <w:rPr>
                      <w:rFonts w:hint="eastAsia" w:ascii="Times New Roman" w:hAnsi="Times New Roman" w:eastAsia="宋体" w:cs="Times New Roman"/>
                      <w:strike w:val="0"/>
                      <w:dstrike w:val="0"/>
                      <w:color w:val="auto"/>
                      <w:kern w:val="2"/>
                      <w:sz w:val="18"/>
                      <w:szCs w:val="18"/>
                      <w:highlight w:val="none"/>
                      <w:lang w:val="en-US" w:eastAsia="zh-CN" w:bidi="ar-SA"/>
                    </w:rPr>
                  </w:pPr>
                  <w:r>
                    <w:rPr>
                      <w:rFonts w:hint="eastAsia" w:ascii="Times New Roman" w:hAnsi="Times New Roman" w:eastAsia="宋体" w:cs="Times New Roman"/>
                      <w:strike w:val="0"/>
                      <w:dstrike w:val="0"/>
                      <w:color w:val="auto"/>
                      <w:sz w:val="18"/>
                      <w:szCs w:val="18"/>
                      <w:highlight w:val="none"/>
                      <w:lang w:val="en-US" w:eastAsia="zh-CN"/>
                    </w:rPr>
                    <w:t>居民</w:t>
                  </w:r>
                </w:p>
              </w:tc>
              <w:tc>
                <w:tcPr>
                  <w:tcW w:w="499" w:type="pct"/>
                  <w:tcBorders>
                    <w:top w:val="single" w:color="auto" w:sz="4" w:space="0"/>
                    <w:left w:val="single" w:color="auto" w:sz="4" w:space="0"/>
                    <w:bottom w:val="single" w:color="auto" w:sz="4" w:space="0"/>
                    <w:right w:val="single" w:color="auto" w:sz="4" w:space="0"/>
                  </w:tcBorders>
                  <w:shd w:val="clear" w:color="auto" w:fill="auto"/>
                  <w:noWrap w:val="0"/>
                  <w:vAlign w:val="center"/>
                </w:tcPr>
                <w:p w14:paraId="1A983245">
                  <w:pPr>
                    <w:keepNext w:val="0"/>
                    <w:keepLines w:val="0"/>
                    <w:widowControl/>
                    <w:suppressLineNumbers w:val="0"/>
                    <w:adjustRightInd w:val="0"/>
                    <w:snapToGrid w:val="0"/>
                    <w:spacing w:before="0" w:beforeAutospacing="0" w:after="0" w:afterAutospacing="0" w:line="276" w:lineRule="auto"/>
                    <w:ind w:left="0" w:right="0"/>
                    <w:jc w:val="center"/>
                    <w:rPr>
                      <w:rFonts w:hint="eastAsia" w:ascii="Times New Roman" w:hAnsi="Times New Roman" w:eastAsia="宋体" w:cs="Times New Roman"/>
                      <w:strike w:val="0"/>
                      <w:dstrike w:val="0"/>
                      <w:color w:val="auto"/>
                      <w:kern w:val="2"/>
                      <w:sz w:val="18"/>
                      <w:szCs w:val="18"/>
                      <w:highlight w:val="none"/>
                      <w:lang w:val="en-US" w:eastAsia="zh-CN" w:bidi="ar-SA"/>
                    </w:rPr>
                  </w:pPr>
                  <w:r>
                    <w:rPr>
                      <w:rFonts w:hint="eastAsia" w:ascii="Times New Roman" w:hAnsi="Times New Roman" w:eastAsia="宋体" w:cs="Times New Roman"/>
                      <w:strike w:val="0"/>
                      <w:dstrike w:val="0"/>
                      <w:color w:val="auto"/>
                      <w:sz w:val="18"/>
                      <w:szCs w:val="18"/>
                      <w:highlight w:val="none"/>
                      <w:lang w:val="en-US" w:eastAsia="zh-CN"/>
                    </w:rPr>
                    <w:t>二类</w:t>
                  </w:r>
                </w:p>
              </w:tc>
              <w:tc>
                <w:tcPr>
                  <w:tcW w:w="453" w:type="pct"/>
                  <w:tcBorders>
                    <w:top w:val="single" w:color="auto" w:sz="4" w:space="0"/>
                    <w:left w:val="single" w:color="auto" w:sz="4" w:space="0"/>
                    <w:bottom w:val="single" w:color="auto" w:sz="4" w:space="0"/>
                    <w:right w:val="single" w:color="auto" w:sz="4" w:space="0"/>
                  </w:tcBorders>
                  <w:shd w:val="clear" w:color="auto" w:fill="auto"/>
                  <w:noWrap w:val="0"/>
                  <w:vAlign w:val="center"/>
                </w:tcPr>
                <w:p w14:paraId="64CF3A49">
                  <w:pPr>
                    <w:keepNext w:val="0"/>
                    <w:keepLines w:val="0"/>
                    <w:widowControl/>
                    <w:suppressLineNumbers w:val="0"/>
                    <w:adjustRightInd w:val="0"/>
                    <w:snapToGrid w:val="0"/>
                    <w:spacing w:before="0" w:beforeAutospacing="0" w:after="0" w:afterAutospacing="0" w:line="276" w:lineRule="auto"/>
                    <w:ind w:left="0" w:right="0"/>
                    <w:jc w:val="center"/>
                    <w:rPr>
                      <w:rFonts w:hint="default" w:ascii="Times New Roman" w:hAnsi="Times New Roman" w:eastAsia="宋体" w:cs="Times New Roman"/>
                      <w:strike w:val="0"/>
                      <w:dstrike w:val="0"/>
                      <w:color w:val="auto"/>
                      <w:kern w:val="2"/>
                      <w:sz w:val="18"/>
                      <w:szCs w:val="18"/>
                      <w:highlight w:val="none"/>
                      <w:lang w:val="en-US" w:eastAsia="zh-CN" w:bidi="ar-SA"/>
                    </w:rPr>
                  </w:pPr>
                  <w:r>
                    <w:rPr>
                      <w:rFonts w:hint="eastAsia" w:ascii="Times New Roman" w:hAnsi="Times New Roman" w:eastAsia="宋体" w:cs="Times New Roman"/>
                      <w:strike w:val="0"/>
                      <w:dstrike w:val="0"/>
                      <w:color w:val="auto"/>
                      <w:sz w:val="18"/>
                      <w:szCs w:val="18"/>
                      <w:highlight w:val="none"/>
                      <w:lang w:val="en-US" w:eastAsia="zh-CN"/>
                    </w:rPr>
                    <w:t>西北</w:t>
                  </w:r>
                </w:p>
              </w:tc>
              <w:tc>
                <w:tcPr>
                  <w:tcW w:w="551" w:type="pct"/>
                  <w:tcBorders>
                    <w:top w:val="single" w:color="auto" w:sz="4" w:space="0"/>
                    <w:left w:val="single" w:color="auto" w:sz="4" w:space="0"/>
                    <w:bottom w:val="single" w:color="auto" w:sz="4" w:space="0"/>
                    <w:right w:val="single" w:color="auto" w:sz="4" w:space="0"/>
                  </w:tcBorders>
                  <w:shd w:val="clear" w:color="auto" w:fill="auto"/>
                  <w:noWrap w:val="0"/>
                  <w:vAlign w:val="center"/>
                </w:tcPr>
                <w:p w14:paraId="32713346">
                  <w:pPr>
                    <w:keepNext w:val="0"/>
                    <w:keepLines w:val="0"/>
                    <w:widowControl/>
                    <w:suppressLineNumbers w:val="0"/>
                    <w:adjustRightInd w:val="0"/>
                    <w:snapToGrid w:val="0"/>
                    <w:spacing w:before="0" w:beforeAutospacing="0" w:after="0" w:afterAutospacing="0" w:line="276" w:lineRule="auto"/>
                    <w:ind w:left="0" w:right="0"/>
                    <w:jc w:val="center"/>
                    <w:rPr>
                      <w:rFonts w:hint="default" w:ascii="Times New Roman" w:hAnsi="Times New Roman" w:eastAsia="宋体" w:cs="Times New Roman"/>
                      <w:strike w:val="0"/>
                      <w:dstrike w:val="0"/>
                      <w:color w:val="auto"/>
                      <w:kern w:val="2"/>
                      <w:sz w:val="18"/>
                      <w:szCs w:val="18"/>
                      <w:highlight w:val="none"/>
                      <w:lang w:val="en-US" w:eastAsia="zh-CN" w:bidi="ar-SA"/>
                    </w:rPr>
                  </w:pPr>
                  <w:r>
                    <w:rPr>
                      <w:rFonts w:hint="eastAsia" w:ascii="Times New Roman" w:hAnsi="Times New Roman" w:eastAsia="宋体" w:cs="Times New Roman"/>
                      <w:strike w:val="0"/>
                      <w:dstrike w:val="0"/>
                      <w:color w:val="auto"/>
                      <w:sz w:val="18"/>
                      <w:szCs w:val="18"/>
                      <w:highlight w:val="none"/>
                      <w:lang w:val="en-US" w:eastAsia="zh-CN"/>
                    </w:rPr>
                    <w:t>2440</w:t>
                  </w:r>
                </w:p>
              </w:tc>
            </w:tr>
            <w:tr w14:paraId="76046A9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40" w:hRule="atLeast"/>
                <w:jc w:val="center"/>
              </w:trPr>
              <w:tc>
                <w:tcPr>
                  <w:tcW w:w="366" w:type="pct"/>
                  <w:tcBorders>
                    <w:left w:val="single" w:color="auto" w:sz="4" w:space="0"/>
                    <w:right w:val="single" w:color="auto" w:sz="4" w:space="0"/>
                  </w:tcBorders>
                  <w:noWrap w:val="0"/>
                  <w:vAlign w:val="center"/>
                </w:tcPr>
                <w:p w14:paraId="0C58A97F">
                  <w:pPr>
                    <w:keepNext w:val="0"/>
                    <w:keepLines w:val="0"/>
                    <w:widowControl/>
                    <w:suppressLineNumbers w:val="0"/>
                    <w:adjustRightInd w:val="0"/>
                    <w:snapToGrid w:val="0"/>
                    <w:spacing w:before="0" w:beforeAutospacing="0" w:after="0" w:afterAutospacing="0" w:line="276" w:lineRule="auto"/>
                    <w:ind w:left="0" w:right="0"/>
                    <w:jc w:val="center"/>
                    <w:rPr>
                      <w:rFonts w:hint="default" w:ascii="Times New Roman" w:hAnsi="Times New Roman" w:eastAsia="宋体" w:cs="Times New Roman"/>
                      <w:strike w:val="0"/>
                      <w:dstrike w:val="0"/>
                      <w:color w:val="auto"/>
                      <w:sz w:val="18"/>
                      <w:szCs w:val="18"/>
                      <w:highlight w:val="none"/>
                      <w:lang w:val="en-US" w:eastAsia="zh-CN"/>
                    </w:rPr>
                  </w:pPr>
                  <w:r>
                    <w:rPr>
                      <w:rFonts w:hint="eastAsia" w:ascii="Times New Roman" w:hAnsi="Times New Roman" w:eastAsia="宋体" w:cs="Times New Roman"/>
                      <w:strike w:val="0"/>
                      <w:dstrike w:val="0"/>
                      <w:color w:val="auto"/>
                      <w:sz w:val="18"/>
                      <w:szCs w:val="18"/>
                      <w:highlight w:val="none"/>
                      <w:lang w:val="en-US" w:eastAsia="zh-CN"/>
                    </w:rPr>
                    <w:t>25</w:t>
                  </w:r>
                </w:p>
              </w:tc>
              <w:tc>
                <w:tcPr>
                  <w:tcW w:w="1071" w:type="pct"/>
                  <w:tcBorders>
                    <w:top w:val="single" w:color="auto" w:sz="4" w:space="0"/>
                    <w:left w:val="single" w:color="auto" w:sz="4" w:space="0"/>
                    <w:bottom w:val="single" w:color="auto" w:sz="4" w:space="0"/>
                    <w:right w:val="single" w:color="auto" w:sz="4" w:space="0"/>
                  </w:tcBorders>
                  <w:shd w:val="clear" w:color="auto" w:fill="auto"/>
                  <w:noWrap w:val="0"/>
                  <w:vAlign w:val="center"/>
                </w:tcPr>
                <w:p w14:paraId="3338FA12">
                  <w:pPr>
                    <w:keepNext w:val="0"/>
                    <w:keepLines w:val="0"/>
                    <w:widowControl/>
                    <w:suppressLineNumbers w:val="0"/>
                    <w:adjustRightInd w:val="0"/>
                    <w:snapToGrid w:val="0"/>
                    <w:spacing w:before="0" w:beforeAutospacing="0" w:after="0" w:afterAutospacing="0" w:line="276" w:lineRule="auto"/>
                    <w:ind w:left="0" w:right="0"/>
                    <w:jc w:val="center"/>
                    <w:rPr>
                      <w:rFonts w:hint="default" w:ascii="Times New Roman" w:hAnsi="Times New Roman" w:eastAsia="宋体" w:cs="Times New Roman"/>
                      <w:strike w:val="0"/>
                      <w:dstrike w:val="0"/>
                      <w:color w:val="auto"/>
                      <w:kern w:val="2"/>
                      <w:sz w:val="18"/>
                      <w:szCs w:val="18"/>
                      <w:highlight w:val="none"/>
                      <w:lang w:val="en-US" w:eastAsia="zh-CN" w:bidi="ar-SA"/>
                    </w:rPr>
                  </w:pPr>
                  <w:r>
                    <w:rPr>
                      <w:rFonts w:hint="default" w:ascii="Times New Roman" w:hAnsi="Times New Roman" w:eastAsia="宋体" w:cs="Times New Roman"/>
                      <w:strike w:val="0"/>
                      <w:dstrike w:val="0"/>
                      <w:color w:val="auto"/>
                      <w:sz w:val="18"/>
                      <w:szCs w:val="18"/>
                      <w:highlight w:val="none"/>
                      <w:lang w:val="en-US" w:eastAsia="zh-CN"/>
                    </w:rPr>
                    <w:t>衢州市技师学院</w:t>
                  </w:r>
                </w:p>
              </w:tc>
              <w:tc>
                <w:tcPr>
                  <w:tcW w:w="527" w:type="pct"/>
                  <w:tcBorders>
                    <w:top w:val="single" w:color="auto" w:sz="4" w:space="0"/>
                    <w:left w:val="single" w:color="auto" w:sz="4" w:space="0"/>
                    <w:bottom w:val="single" w:color="auto" w:sz="4" w:space="0"/>
                    <w:right w:val="single" w:color="auto" w:sz="4" w:space="0"/>
                  </w:tcBorders>
                  <w:shd w:val="clear" w:color="auto" w:fill="auto"/>
                  <w:noWrap w:val="0"/>
                  <w:vAlign w:val="center"/>
                </w:tcPr>
                <w:p w14:paraId="49A2F30D">
                  <w:pPr>
                    <w:keepNext w:val="0"/>
                    <w:keepLines w:val="0"/>
                    <w:widowControl/>
                    <w:suppressLineNumbers w:val="0"/>
                    <w:adjustRightInd w:val="0"/>
                    <w:snapToGrid w:val="0"/>
                    <w:spacing w:before="0" w:beforeAutospacing="0" w:after="0" w:afterAutospacing="0" w:line="276" w:lineRule="auto"/>
                    <w:ind w:left="0" w:right="0"/>
                    <w:jc w:val="center"/>
                    <w:rPr>
                      <w:rFonts w:hint="default" w:ascii="Times New Roman" w:hAnsi="Times New Roman" w:eastAsia="宋体" w:cs="Times New Roman"/>
                      <w:strike w:val="0"/>
                      <w:dstrike w:val="0"/>
                      <w:color w:val="auto"/>
                      <w:kern w:val="2"/>
                      <w:sz w:val="18"/>
                      <w:szCs w:val="18"/>
                      <w:highlight w:val="none"/>
                      <w:lang w:val="en-US" w:eastAsia="zh-CN" w:bidi="ar-SA"/>
                    </w:rPr>
                  </w:pPr>
                  <w:r>
                    <w:rPr>
                      <w:rFonts w:hint="default" w:ascii="Times New Roman" w:hAnsi="Times New Roman" w:eastAsia="宋体" w:cs="Times New Roman"/>
                      <w:strike w:val="0"/>
                      <w:dstrike w:val="0"/>
                      <w:color w:val="auto"/>
                      <w:sz w:val="18"/>
                      <w:szCs w:val="18"/>
                      <w:highlight w:val="none"/>
                    </w:rPr>
                    <w:t>118.830010652</w:t>
                  </w:r>
                </w:p>
              </w:tc>
              <w:tc>
                <w:tcPr>
                  <w:tcW w:w="564" w:type="pct"/>
                  <w:tcBorders>
                    <w:top w:val="single" w:color="auto" w:sz="4" w:space="0"/>
                    <w:left w:val="single" w:color="auto" w:sz="4" w:space="0"/>
                    <w:bottom w:val="single" w:color="auto" w:sz="4" w:space="0"/>
                    <w:right w:val="single" w:color="auto" w:sz="4" w:space="0"/>
                  </w:tcBorders>
                  <w:shd w:val="clear" w:color="auto" w:fill="auto"/>
                  <w:noWrap w:val="0"/>
                  <w:vAlign w:val="center"/>
                </w:tcPr>
                <w:p w14:paraId="4154956A">
                  <w:pPr>
                    <w:keepNext w:val="0"/>
                    <w:keepLines w:val="0"/>
                    <w:widowControl/>
                    <w:suppressLineNumbers w:val="0"/>
                    <w:adjustRightInd w:val="0"/>
                    <w:snapToGrid w:val="0"/>
                    <w:spacing w:before="0" w:beforeAutospacing="0" w:after="0" w:afterAutospacing="0" w:line="276" w:lineRule="auto"/>
                    <w:ind w:left="0" w:right="0"/>
                    <w:jc w:val="center"/>
                    <w:rPr>
                      <w:rFonts w:hint="default" w:ascii="Times New Roman" w:hAnsi="Times New Roman" w:eastAsia="宋体" w:cs="Times New Roman"/>
                      <w:strike w:val="0"/>
                      <w:dstrike w:val="0"/>
                      <w:color w:val="auto"/>
                      <w:kern w:val="2"/>
                      <w:sz w:val="18"/>
                      <w:szCs w:val="18"/>
                      <w:highlight w:val="none"/>
                      <w:lang w:val="en-US" w:eastAsia="zh-CN" w:bidi="ar-SA"/>
                    </w:rPr>
                  </w:pPr>
                  <w:r>
                    <w:rPr>
                      <w:rFonts w:hint="default" w:ascii="Times New Roman" w:hAnsi="Times New Roman" w:eastAsia="宋体" w:cs="Times New Roman"/>
                      <w:strike w:val="0"/>
                      <w:dstrike w:val="0"/>
                      <w:color w:val="auto"/>
                      <w:sz w:val="18"/>
                      <w:szCs w:val="18"/>
                      <w:highlight w:val="none"/>
                    </w:rPr>
                    <w:t>28.966252798</w:t>
                  </w:r>
                </w:p>
              </w:tc>
              <w:tc>
                <w:tcPr>
                  <w:tcW w:w="474" w:type="pct"/>
                  <w:tcBorders>
                    <w:top w:val="single" w:color="auto" w:sz="4" w:space="0"/>
                    <w:left w:val="single" w:color="auto" w:sz="4" w:space="0"/>
                    <w:bottom w:val="single" w:color="auto" w:sz="4" w:space="0"/>
                    <w:right w:val="single" w:color="auto" w:sz="4" w:space="0"/>
                  </w:tcBorders>
                  <w:shd w:val="clear" w:color="auto" w:fill="auto"/>
                  <w:noWrap w:val="0"/>
                  <w:vAlign w:val="center"/>
                </w:tcPr>
                <w:p w14:paraId="1644819D">
                  <w:pPr>
                    <w:keepNext w:val="0"/>
                    <w:keepLines w:val="0"/>
                    <w:widowControl/>
                    <w:suppressLineNumbers w:val="0"/>
                    <w:adjustRightInd w:val="0"/>
                    <w:snapToGrid w:val="0"/>
                    <w:spacing w:before="0" w:beforeAutospacing="0" w:after="0" w:afterAutospacing="0" w:line="276" w:lineRule="auto"/>
                    <w:ind w:left="0" w:right="0"/>
                    <w:jc w:val="center"/>
                    <w:rPr>
                      <w:rFonts w:hint="eastAsia" w:ascii="Times New Roman" w:hAnsi="Times New Roman" w:eastAsia="宋体" w:cs="Times New Roman"/>
                      <w:strike w:val="0"/>
                      <w:dstrike w:val="0"/>
                      <w:color w:val="auto"/>
                      <w:kern w:val="2"/>
                      <w:sz w:val="18"/>
                      <w:szCs w:val="18"/>
                      <w:highlight w:val="none"/>
                      <w:lang w:val="en-US" w:eastAsia="zh-CN" w:bidi="ar-SA"/>
                    </w:rPr>
                  </w:pPr>
                  <w:r>
                    <w:rPr>
                      <w:rFonts w:hint="eastAsia" w:ascii="Times New Roman" w:hAnsi="Times New Roman" w:eastAsia="宋体" w:cs="Times New Roman"/>
                      <w:strike w:val="0"/>
                      <w:dstrike w:val="0"/>
                      <w:color w:val="auto"/>
                      <w:sz w:val="18"/>
                      <w:szCs w:val="18"/>
                      <w:highlight w:val="none"/>
                      <w:lang w:val="en-US" w:eastAsia="zh-CN"/>
                    </w:rPr>
                    <w:t>学校</w:t>
                  </w:r>
                </w:p>
              </w:tc>
              <w:tc>
                <w:tcPr>
                  <w:tcW w:w="490" w:type="pct"/>
                  <w:tcBorders>
                    <w:top w:val="single" w:color="auto" w:sz="4" w:space="0"/>
                    <w:left w:val="single" w:color="auto" w:sz="4" w:space="0"/>
                    <w:bottom w:val="single" w:color="auto" w:sz="4" w:space="0"/>
                    <w:right w:val="single" w:color="auto" w:sz="4" w:space="0"/>
                  </w:tcBorders>
                  <w:shd w:val="clear" w:color="auto" w:fill="auto"/>
                  <w:noWrap w:val="0"/>
                  <w:vAlign w:val="center"/>
                </w:tcPr>
                <w:p w14:paraId="7DF09967">
                  <w:pPr>
                    <w:keepNext w:val="0"/>
                    <w:keepLines w:val="0"/>
                    <w:widowControl/>
                    <w:suppressLineNumbers w:val="0"/>
                    <w:adjustRightInd w:val="0"/>
                    <w:snapToGrid w:val="0"/>
                    <w:spacing w:before="0" w:beforeAutospacing="0" w:after="0" w:afterAutospacing="0" w:line="276" w:lineRule="auto"/>
                    <w:ind w:left="0" w:right="0"/>
                    <w:jc w:val="center"/>
                    <w:rPr>
                      <w:rFonts w:hint="eastAsia" w:ascii="Times New Roman" w:hAnsi="Times New Roman" w:eastAsia="宋体" w:cs="Times New Roman"/>
                      <w:strike w:val="0"/>
                      <w:dstrike w:val="0"/>
                      <w:color w:val="auto"/>
                      <w:kern w:val="2"/>
                      <w:sz w:val="18"/>
                      <w:szCs w:val="18"/>
                      <w:highlight w:val="none"/>
                      <w:lang w:val="en-US" w:eastAsia="zh-CN" w:bidi="ar-SA"/>
                    </w:rPr>
                  </w:pPr>
                  <w:r>
                    <w:rPr>
                      <w:rFonts w:hint="eastAsia" w:ascii="Times New Roman" w:hAnsi="Times New Roman" w:eastAsia="宋体" w:cs="Times New Roman"/>
                      <w:strike w:val="0"/>
                      <w:dstrike w:val="0"/>
                      <w:color w:val="auto"/>
                      <w:sz w:val="18"/>
                      <w:szCs w:val="18"/>
                      <w:highlight w:val="none"/>
                      <w:lang w:val="en-US" w:eastAsia="zh-CN"/>
                    </w:rPr>
                    <w:t>师生</w:t>
                  </w:r>
                </w:p>
              </w:tc>
              <w:tc>
                <w:tcPr>
                  <w:tcW w:w="499" w:type="pct"/>
                  <w:tcBorders>
                    <w:top w:val="single" w:color="auto" w:sz="4" w:space="0"/>
                    <w:left w:val="single" w:color="auto" w:sz="4" w:space="0"/>
                    <w:bottom w:val="single" w:color="auto" w:sz="4" w:space="0"/>
                    <w:right w:val="single" w:color="auto" w:sz="4" w:space="0"/>
                  </w:tcBorders>
                  <w:shd w:val="clear" w:color="auto" w:fill="auto"/>
                  <w:noWrap w:val="0"/>
                  <w:vAlign w:val="center"/>
                </w:tcPr>
                <w:p w14:paraId="65B6692E">
                  <w:pPr>
                    <w:keepNext w:val="0"/>
                    <w:keepLines w:val="0"/>
                    <w:widowControl/>
                    <w:suppressLineNumbers w:val="0"/>
                    <w:adjustRightInd w:val="0"/>
                    <w:snapToGrid w:val="0"/>
                    <w:spacing w:before="0" w:beforeAutospacing="0" w:after="0" w:afterAutospacing="0" w:line="276" w:lineRule="auto"/>
                    <w:ind w:left="0" w:right="0"/>
                    <w:jc w:val="center"/>
                    <w:rPr>
                      <w:rFonts w:hint="eastAsia" w:ascii="Times New Roman" w:hAnsi="Times New Roman" w:eastAsia="宋体" w:cs="Times New Roman"/>
                      <w:strike w:val="0"/>
                      <w:dstrike w:val="0"/>
                      <w:color w:val="auto"/>
                      <w:kern w:val="2"/>
                      <w:sz w:val="18"/>
                      <w:szCs w:val="18"/>
                      <w:highlight w:val="none"/>
                      <w:lang w:val="en-US" w:eastAsia="zh-CN" w:bidi="ar-SA"/>
                    </w:rPr>
                  </w:pPr>
                  <w:r>
                    <w:rPr>
                      <w:rFonts w:hint="eastAsia" w:ascii="Times New Roman" w:hAnsi="Times New Roman" w:eastAsia="宋体" w:cs="Times New Roman"/>
                      <w:strike w:val="0"/>
                      <w:dstrike w:val="0"/>
                      <w:color w:val="auto"/>
                      <w:sz w:val="18"/>
                      <w:szCs w:val="18"/>
                      <w:highlight w:val="none"/>
                      <w:lang w:val="en-US" w:eastAsia="zh-CN"/>
                    </w:rPr>
                    <w:t>二类</w:t>
                  </w:r>
                </w:p>
              </w:tc>
              <w:tc>
                <w:tcPr>
                  <w:tcW w:w="453" w:type="pct"/>
                  <w:tcBorders>
                    <w:top w:val="single" w:color="auto" w:sz="4" w:space="0"/>
                    <w:left w:val="single" w:color="auto" w:sz="4" w:space="0"/>
                    <w:bottom w:val="single" w:color="auto" w:sz="4" w:space="0"/>
                    <w:right w:val="single" w:color="auto" w:sz="4" w:space="0"/>
                  </w:tcBorders>
                  <w:shd w:val="clear" w:color="auto" w:fill="auto"/>
                  <w:noWrap w:val="0"/>
                  <w:vAlign w:val="center"/>
                </w:tcPr>
                <w:p w14:paraId="17DDA5F6">
                  <w:pPr>
                    <w:keepNext w:val="0"/>
                    <w:keepLines w:val="0"/>
                    <w:widowControl/>
                    <w:suppressLineNumbers w:val="0"/>
                    <w:adjustRightInd w:val="0"/>
                    <w:snapToGrid w:val="0"/>
                    <w:spacing w:before="0" w:beforeAutospacing="0" w:after="0" w:afterAutospacing="0" w:line="276" w:lineRule="auto"/>
                    <w:ind w:left="0" w:right="0"/>
                    <w:jc w:val="center"/>
                    <w:rPr>
                      <w:rFonts w:hint="eastAsia" w:ascii="Times New Roman" w:hAnsi="Times New Roman" w:eastAsia="宋体" w:cs="Times New Roman"/>
                      <w:strike w:val="0"/>
                      <w:dstrike w:val="0"/>
                      <w:color w:val="auto"/>
                      <w:kern w:val="2"/>
                      <w:sz w:val="18"/>
                      <w:szCs w:val="18"/>
                      <w:highlight w:val="none"/>
                      <w:lang w:val="en-US" w:eastAsia="zh-CN" w:bidi="ar-SA"/>
                    </w:rPr>
                  </w:pPr>
                  <w:r>
                    <w:rPr>
                      <w:rFonts w:hint="eastAsia" w:ascii="Times New Roman" w:hAnsi="Times New Roman" w:eastAsia="宋体" w:cs="Times New Roman"/>
                      <w:strike w:val="0"/>
                      <w:dstrike w:val="0"/>
                      <w:color w:val="auto"/>
                      <w:kern w:val="2"/>
                      <w:sz w:val="18"/>
                      <w:szCs w:val="18"/>
                      <w:highlight w:val="none"/>
                      <w:lang w:val="en-US" w:eastAsia="zh-CN" w:bidi="ar-SA"/>
                    </w:rPr>
                    <w:t>东北</w:t>
                  </w:r>
                </w:p>
              </w:tc>
              <w:tc>
                <w:tcPr>
                  <w:tcW w:w="551" w:type="pct"/>
                  <w:tcBorders>
                    <w:top w:val="single" w:color="auto" w:sz="4" w:space="0"/>
                    <w:left w:val="single" w:color="auto" w:sz="4" w:space="0"/>
                    <w:bottom w:val="single" w:color="auto" w:sz="4" w:space="0"/>
                    <w:right w:val="single" w:color="auto" w:sz="4" w:space="0"/>
                  </w:tcBorders>
                  <w:shd w:val="clear" w:color="auto" w:fill="auto"/>
                  <w:noWrap w:val="0"/>
                  <w:vAlign w:val="center"/>
                </w:tcPr>
                <w:p w14:paraId="4AF1D6BC">
                  <w:pPr>
                    <w:keepNext w:val="0"/>
                    <w:keepLines w:val="0"/>
                    <w:widowControl/>
                    <w:suppressLineNumbers w:val="0"/>
                    <w:adjustRightInd w:val="0"/>
                    <w:snapToGrid w:val="0"/>
                    <w:spacing w:before="0" w:beforeAutospacing="0" w:after="0" w:afterAutospacing="0" w:line="276" w:lineRule="auto"/>
                    <w:ind w:left="0" w:right="0"/>
                    <w:jc w:val="center"/>
                    <w:rPr>
                      <w:rFonts w:hint="default" w:ascii="Times New Roman" w:hAnsi="Times New Roman" w:eastAsia="宋体" w:cs="Times New Roman"/>
                      <w:strike w:val="0"/>
                      <w:dstrike w:val="0"/>
                      <w:color w:val="auto"/>
                      <w:kern w:val="2"/>
                      <w:sz w:val="18"/>
                      <w:szCs w:val="18"/>
                      <w:highlight w:val="none"/>
                      <w:lang w:val="en-US" w:eastAsia="zh-CN" w:bidi="ar-SA"/>
                    </w:rPr>
                  </w:pPr>
                  <w:r>
                    <w:rPr>
                      <w:rFonts w:hint="eastAsia" w:ascii="Times New Roman" w:hAnsi="Times New Roman" w:eastAsia="宋体" w:cs="Times New Roman"/>
                      <w:strike w:val="0"/>
                      <w:dstrike w:val="0"/>
                      <w:color w:val="auto"/>
                      <w:sz w:val="18"/>
                      <w:szCs w:val="18"/>
                      <w:highlight w:val="none"/>
                      <w:lang w:val="en-US" w:eastAsia="zh-CN"/>
                    </w:rPr>
                    <w:t>1370</w:t>
                  </w:r>
                </w:p>
              </w:tc>
            </w:tr>
            <w:tr w14:paraId="3478B85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40" w:hRule="atLeast"/>
                <w:jc w:val="center"/>
              </w:trPr>
              <w:tc>
                <w:tcPr>
                  <w:tcW w:w="366" w:type="pct"/>
                  <w:tcBorders>
                    <w:left w:val="single" w:color="auto" w:sz="4" w:space="0"/>
                    <w:right w:val="single" w:color="auto" w:sz="4" w:space="0"/>
                  </w:tcBorders>
                  <w:noWrap w:val="0"/>
                  <w:vAlign w:val="center"/>
                </w:tcPr>
                <w:p w14:paraId="0A755549">
                  <w:pPr>
                    <w:keepNext w:val="0"/>
                    <w:keepLines w:val="0"/>
                    <w:widowControl/>
                    <w:suppressLineNumbers w:val="0"/>
                    <w:adjustRightInd w:val="0"/>
                    <w:snapToGrid w:val="0"/>
                    <w:spacing w:before="0" w:beforeAutospacing="0" w:after="0" w:afterAutospacing="0" w:line="276" w:lineRule="auto"/>
                    <w:ind w:left="0" w:right="0"/>
                    <w:jc w:val="center"/>
                    <w:rPr>
                      <w:rFonts w:hint="default" w:ascii="Times New Roman" w:hAnsi="Times New Roman" w:eastAsia="宋体" w:cs="Times New Roman"/>
                      <w:strike w:val="0"/>
                      <w:dstrike w:val="0"/>
                      <w:color w:val="auto"/>
                      <w:sz w:val="18"/>
                      <w:szCs w:val="18"/>
                      <w:highlight w:val="none"/>
                      <w:lang w:val="en-US" w:eastAsia="zh-CN"/>
                    </w:rPr>
                  </w:pPr>
                  <w:r>
                    <w:rPr>
                      <w:rFonts w:hint="eastAsia" w:ascii="Times New Roman" w:hAnsi="Times New Roman" w:eastAsia="宋体" w:cs="Times New Roman"/>
                      <w:strike w:val="0"/>
                      <w:dstrike w:val="0"/>
                      <w:color w:val="auto"/>
                      <w:sz w:val="18"/>
                      <w:szCs w:val="18"/>
                      <w:highlight w:val="none"/>
                      <w:lang w:val="en-US" w:eastAsia="zh-CN"/>
                    </w:rPr>
                    <w:t>26</w:t>
                  </w:r>
                </w:p>
              </w:tc>
              <w:tc>
                <w:tcPr>
                  <w:tcW w:w="1071" w:type="pct"/>
                  <w:tcBorders>
                    <w:top w:val="single" w:color="auto" w:sz="4" w:space="0"/>
                    <w:left w:val="single" w:color="auto" w:sz="4" w:space="0"/>
                    <w:bottom w:val="single" w:color="auto" w:sz="4" w:space="0"/>
                    <w:right w:val="single" w:color="auto" w:sz="4" w:space="0"/>
                  </w:tcBorders>
                  <w:shd w:val="clear" w:color="auto" w:fill="auto"/>
                  <w:noWrap w:val="0"/>
                  <w:vAlign w:val="center"/>
                </w:tcPr>
                <w:p w14:paraId="1AAE69BC">
                  <w:pPr>
                    <w:keepNext w:val="0"/>
                    <w:keepLines w:val="0"/>
                    <w:widowControl/>
                    <w:suppressLineNumbers w:val="0"/>
                    <w:adjustRightInd w:val="0"/>
                    <w:snapToGrid w:val="0"/>
                    <w:spacing w:before="0" w:beforeAutospacing="0" w:after="0" w:afterAutospacing="0" w:line="276" w:lineRule="auto"/>
                    <w:ind w:left="0" w:right="0"/>
                    <w:jc w:val="center"/>
                    <w:rPr>
                      <w:rFonts w:hint="default" w:ascii="Times New Roman" w:hAnsi="Times New Roman" w:eastAsia="宋体" w:cs="Times New Roman"/>
                      <w:strike w:val="0"/>
                      <w:dstrike w:val="0"/>
                      <w:color w:val="auto"/>
                      <w:kern w:val="2"/>
                      <w:sz w:val="18"/>
                      <w:szCs w:val="18"/>
                      <w:highlight w:val="none"/>
                      <w:lang w:val="en-US" w:eastAsia="zh-CN" w:bidi="ar-SA"/>
                    </w:rPr>
                  </w:pPr>
                  <w:r>
                    <w:rPr>
                      <w:rFonts w:hint="eastAsia" w:ascii="Times New Roman" w:hAnsi="Times New Roman" w:eastAsia="宋体" w:cs="Times New Roman"/>
                      <w:strike w:val="0"/>
                      <w:dstrike w:val="0"/>
                      <w:color w:val="auto"/>
                      <w:sz w:val="18"/>
                      <w:szCs w:val="18"/>
                      <w:highlight w:val="none"/>
                      <w:lang w:val="en-US" w:eastAsia="zh-CN"/>
                    </w:rPr>
                    <w:t>柯安社区</w:t>
                  </w:r>
                </w:p>
              </w:tc>
              <w:tc>
                <w:tcPr>
                  <w:tcW w:w="527" w:type="pct"/>
                  <w:tcBorders>
                    <w:top w:val="single" w:color="auto" w:sz="4" w:space="0"/>
                    <w:left w:val="single" w:color="auto" w:sz="4" w:space="0"/>
                    <w:bottom w:val="single" w:color="auto" w:sz="4" w:space="0"/>
                    <w:right w:val="single" w:color="auto" w:sz="4" w:space="0"/>
                  </w:tcBorders>
                  <w:shd w:val="clear" w:color="auto" w:fill="auto"/>
                  <w:noWrap w:val="0"/>
                  <w:vAlign w:val="center"/>
                </w:tcPr>
                <w:p w14:paraId="437B1865">
                  <w:pPr>
                    <w:keepNext w:val="0"/>
                    <w:keepLines w:val="0"/>
                    <w:widowControl/>
                    <w:suppressLineNumbers w:val="0"/>
                    <w:adjustRightInd w:val="0"/>
                    <w:snapToGrid w:val="0"/>
                    <w:spacing w:before="0" w:beforeAutospacing="0" w:after="0" w:afterAutospacing="0" w:line="276" w:lineRule="auto"/>
                    <w:ind w:left="0" w:right="0"/>
                    <w:jc w:val="center"/>
                    <w:rPr>
                      <w:rFonts w:hint="default" w:ascii="Times New Roman" w:hAnsi="Times New Roman" w:eastAsia="宋体" w:cs="Times New Roman"/>
                      <w:strike w:val="0"/>
                      <w:dstrike w:val="0"/>
                      <w:color w:val="auto"/>
                      <w:kern w:val="2"/>
                      <w:sz w:val="18"/>
                      <w:szCs w:val="18"/>
                      <w:highlight w:val="none"/>
                      <w:lang w:val="en-US" w:eastAsia="zh-CN" w:bidi="ar-SA"/>
                    </w:rPr>
                  </w:pPr>
                  <w:r>
                    <w:rPr>
                      <w:rFonts w:hint="default" w:ascii="Times New Roman" w:hAnsi="Times New Roman" w:eastAsia="宋体" w:cs="Times New Roman"/>
                      <w:strike w:val="0"/>
                      <w:dstrike w:val="0"/>
                      <w:color w:val="auto"/>
                      <w:sz w:val="18"/>
                      <w:szCs w:val="18"/>
                      <w:highlight w:val="none"/>
                    </w:rPr>
                    <w:t>118.813564</w:t>
                  </w:r>
                </w:p>
              </w:tc>
              <w:tc>
                <w:tcPr>
                  <w:tcW w:w="564" w:type="pct"/>
                  <w:tcBorders>
                    <w:top w:val="single" w:color="auto" w:sz="4" w:space="0"/>
                    <w:left w:val="single" w:color="auto" w:sz="4" w:space="0"/>
                    <w:bottom w:val="single" w:color="auto" w:sz="4" w:space="0"/>
                    <w:right w:val="single" w:color="auto" w:sz="4" w:space="0"/>
                  </w:tcBorders>
                  <w:shd w:val="clear" w:color="auto" w:fill="auto"/>
                  <w:noWrap w:val="0"/>
                  <w:vAlign w:val="center"/>
                </w:tcPr>
                <w:p w14:paraId="2F8D6108">
                  <w:pPr>
                    <w:keepNext w:val="0"/>
                    <w:keepLines w:val="0"/>
                    <w:widowControl/>
                    <w:suppressLineNumbers w:val="0"/>
                    <w:adjustRightInd w:val="0"/>
                    <w:snapToGrid w:val="0"/>
                    <w:spacing w:before="0" w:beforeAutospacing="0" w:after="0" w:afterAutospacing="0" w:line="276" w:lineRule="auto"/>
                    <w:ind w:left="0" w:right="0"/>
                    <w:jc w:val="center"/>
                    <w:rPr>
                      <w:rFonts w:hint="default" w:ascii="Times New Roman" w:hAnsi="Times New Roman" w:eastAsia="宋体" w:cs="Times New Roman"/>
                      <w:strike w:val="0"/>
                      <w:dstrike w:val="0"/>
                      <w:color w:val="auto"/>
                      <w:kern w:val="2"/>
                      <w:sz w:val="18"/>
                      <w:szCs w:val="18"/>
                      <w:highlight w:val="none"/>
                      <w:lang w:val="en-US" w:eastAsia="zh-CN" w:bidi="ar-SA"/>
                    </w:rPr>
                  </w:pPr>
                  <w:r>
                    <w:rPr>
                      <w:rFonts w:hint="default" w:ascii="Times New Roman" w:hAnsi="Times New Roman" w:eastAsia="宋体" w:cs="Times New Roman"/>
                      <w:strike w:val="0"/>
                      <w:dstrike w:val="0"/>
                      <w:color w:val="auto"/>
                      <w:sz w:val="18"/>
                      <w:szCs w:val="18"/>
                      <w:highlight w:val="none"/>
                    </w:rPr>
                    <w:t>28.968966</w:t>
                  </w:r>
                </w:p>
              </w:tc>
              <w:tc>
                <w:tcPr>
                  <w:tcW w:w="474" w:type="pct"/>
                  <w:tcBorders>
                    <w:top w:val="single" w:color="auto" w:sz="4" w:space="0"/>
                    <w:left w:val="single" w:color="auto" w:sz="4" w:space="0"/>
                    <w:bottom w:val="single" w:color="auto" w:sz="4" w:space="0"/>
                    <w:right w:val="single" w:color="auto" w:sz="4" w:space="0"/>
                  </w:tcBorders>
                  <w:shd w:val="clear" w:color="auto" w:fill="auto"/>
                  <w:noWrap w:val="0"/>
                  <w:vAlign w:val="center"/>
                </w:tcPr>
                <w:p w14:paraId="4C476331">
                  <w:pPr>
                    <w:keepNext w:val="0"/>
                    <w:keepLines w:val="0"/>
                    <w:widowControl/>
                    <w:suppressLineNumbers w:val="0"/>
                    <w:adjustRightInd w:val="0"/>
                    <w:snapToGrid w:val="0"/>
                    <w:spacing w:before="0" w:beforeAutospacing="0" w:after="0" w:afterAutospacing="0" w:line="276" w:lineRule="auto"/>
                    <w:ind w:left="0" w:right="0"/>
                    <w:jc w:val="center"/>
                    <w:rPr>
                      <w:rFonts w:hint="eastAsia" w:ascii="Times New Roman" w:hAnsi="Times New Roman" w:eastAsia="宋体" w:cs="Times New Roman"/>
                      <w:strike w:val="0"/>
                      <w:dstrike w:val="0"/>
                      <w:color w:val="auto"/>
                      <w:kern w:val="2"/>
                      <w:sz w:val="18"/>
                      <w:szCs w:val="18"/>
                      <w:highlight w:val="none"/>
                      <w:lang w:val="en-US" w:eastAsia="zh-CN" w:bidi="ar-SA"/>
                    </w:rPr>
                  </w:pPr>
                  <w:r>
                    <w:rPr>
                      <w:rFonts w:hint="eastAsia" w:ascii="Times New Roman" w:hAnsi="Times New Roman" w:eastAsia="宋体" w:cs="Times New Roman"/>
                      <w:strike w:val="0"/>
                      <w:dstrike w:val="0"/>
                      <w:color w:val="auto"/>
                      <w:sz w:val="18"/>
                      <w:szCs w:val="18"/>
                      <w:highlight w:val="none"/>
                      <w:lang w:val="en-US" w:eastAsia="zh-CN"/>
                    </w:rPr>
                    <w:t>居住区</w:t>
                  </w:r>
                </w:p>
              </w:tc>
              <w:tc>
                <w:tcPr>
                  <w:tcW w:w="490" w:type="pct"/>
                  <w:tcBorders>
                    <w:top w:val="single" w:color="auto" w:sz="4" w:space="0"/>
                    <w:left w:val="single" w:color="auto" w:sz="4" w:space="0"/>
                    <w:bottom w:val="single" w:color="auto" w:sz="4" w:space="0"/>
                    <w:right w:val="single" w:color="auto" w:sz="4" w:space="0"/>
                  </w:tcBorders>
                  <w:shd w:val="clear" w:color="auto" w:fill="auto"/>
                  <w:noWrap w:val="0"/>
                  <w:vAlign w:val="center"/>
                </w:tcPr>
                <w:p w14:paraId="0E93572B">
                  <w:pPr>
                    <w:keepNext w:val="0"/>
                    <w:keepLines w:val="0"/>
                    <w:widowControl/>
                    <w:suppressLineNumbers w:val="0"/>
                    <w:adjustRightInd w:val="0"/>
                    <w:snapToGrid w:val="0"/>
                    <w:spacing w:before="0" w:beforeAutospacing="0" w:after="0" w:afterAutospacing="0" w:line="276" w:lineRule="auto"/>
                    <w:ind w:left="0" w:right="0"/>
                    <w:jc w:val="center"/>
                    <w:rPr>
                      <w:rFonts w:hint="eastAsia" w:ascii="Times New Roman" w:hAnsi="Times New Roman" w:eastAsia="宋体" w:cs="Times New Roman"/>
                      <w:strike w:val="0"/>
                      <w:dstrike w:val="0"/>
                      <w:color w:val="auto"/>
                      <w:kern w:val="2"/>
                      <w:sz w:val="18"/>
                      <w:szCs w:val="18"/>
                      <w:highlight w:val="none"/>
                      <w:lang w:val="en-US" w:eastAsia="zh-CN" w:bidi="ar-SA"/>
                    </w:rPr>
                  </w:pPr>
                  <w:r>
                    <w:rPr>
                      <w:rFonts w:hint="eastAsia" w:ascii="Times New Roman" w:hAnsi="Times New Roman" w:eastAsia="宋体" w:cs="Times New Roman"/>
                      <w:strike w:val="0"/>
                      <w:dstrike w:val="0"/>
                      <w:color w:val="auto"/>
                      <w:sz w:val="18"/>
                      <w:szCs w:val="18"/>
                      <w:highlight w:val="none"/>
                      <w:lang w:val="en-US" w:eastAsia="zh-CN"/>
                    </w:rPr>
                    <w:t>居民</w:t>
                  </w:r>
                </w:p>
              </w:tc>
              <w:tc>
                <w:tcPr>
                  <w:tcW w:w="499" w:type="pct"/>
                  <w:tcBorders>
                    <w:top w:val="single" w:color="auto" w:sz="4" w:space="0"/>
                    <w:left w:val="single" w:color="auto" w:sz="4" w:space="0"/>
                    <w:bottom w:val="single" w:color="auto" w:sz="4" w:space="0"/>
                    <w:right w:val="single" w:color="auto" w:sz="4" w:space="0"/>
                  </w:tcBorders>
                  <w:shd w:val="clear" w:color="auto" w:fill="auto"/>
                  <w:noWrap w:val="0"/>
                  <w:vAlign w:val="center"/>
                </w:tcPr>
                <w:p w14:paraId="1C75C56D">
                  <w:pPr>
                    <w:keepNext w:val="0"/>
                    <w:keepLines w:val="0"/>
                    <w:widowControl/>
                    <w:suppressLineNumbers w:val="0"/>
                    <w:adjustRightInd w:val="0"/>
                    <w:snapToGrid w:val="0"/>
                    <w:spacing w:before="0" w:beforeAutospacing="0" w:after="0" w:afterAutospacing="0" w:line="276" w:lineRule="auto"/>
                    <w:ind w:left="0" w:right="0"/>
                    <w:jc w:val="center"/>
                    <w:rPr>
                      <w:rFonts w:hint="eastAsia" w:ascii="Times New Roman" w:hAnsi="Times New Roman" w:eastAsia="宋体" w:cs="Times New Roman"/>
                      <w:strike w:val="0"/>
                      <w:dstrike w:val="0"/>
                      <w:color w:val="auto"/>
                      <w:kern w:val="2"/>
                      <w:sz w:val="18"/>
                      <w:szCs w:val="18"/>
                      <w:highlight w:val="none"/>
                      <w:lang w:val="en-US" w:eastAsia="zh-CN" w:bidi="ar-SA"/>
                    </w:rPr>
                  </w:pPr>
                  <w:r>
                    <w:rPr>
                      <w:rFonts w:hint="eastAsia" w:ascii="Times New Roman" w:hAnsi="Times New Roman" w:eastAsia="宋体" w:cs="Times New Roman"/>
                      <w:strike w:val="0"/>
                      <w:dstrike w:val="0"/>
                      <w:color w:val="auto"/>
                      <w:sz w:val="18"/>
                      <w:szCs w:val="18"/>
                      <w:highlight w:val="none"/>
                      <w:lang w:val="en-US" w:eastAsia="zh-CN"/>
                    </w:rPr>
                    <w:t>二类</w:t>
                  </w:r>
                </w:p>
              </w:tc>
              <w:tc>
                <w:tcPr>
                  <w:tcW w:w="453" w:type="pct"/>
                  <w:tcBorders>
                    <w:top w:val="single" w:color="auto" w:sz="4" w:space="0"/>
                    <w:left w:val="single" w:color="auto" w:sz="4" w:space="0"/>
                    <w:bottom w:val="single" w:color="auto" w:sz="4" w:space="0"/>
                    <w:right w:val="single" w:color="auto" w:sz="4" w:space="0"/>
                  </w:tcBorders>
                  <w:shd w:val="clear" w:color="auto" w:fill="auto"/>
                  <w:noWrap w:val="0"/>
                  <w:vAlign w:val="center"/>
                </w:tcPr>
                <w:p w14:paraId="324560CF">
                  <w:pPr>
                    <w:keepNext w:val="0"/>
                    <w:keepLines w:val="0"/>
                    <w:widowControl/>
                    <w:suppressLineNumbers w:val="0"/>
                    <w:adjustRightInd w:val="0"/>
                    <w:snapToGrid w:val="0"/>
                    <w:spacing w:before="0" w:beforeAutospacing="0" w:after="0" w:afterAutospacing="0" w:line="276" w:lineRule="auto"/>
                    <w:ind w:left="0" w:right="0"/>
                    <w:jc w:val="center"/>
                    <w:rPr>
                      <w:rFonts w:hint="default" w:ascii="Times New Roman" w:hAnsi="Times New Roman" w:eastAsia="宋体" w:cs="Times New Roman"/>
                      <w:strike w:val="0"/>
                      <w:dstrike w:val="0"/>
                      <w:color w:val="auto"/>
                      <w:kern w:val="2"/>
                      <w:sz w:val="18"/>
                      <w:szCs w:val="18"/>
                      <w:highlight w:val="none"/>
                      <w:lang w:val="en-US" w:eastAsia="zh-CN" w:bidi="ar-SA"/>
                    </w:rPr>
                  </w:pPr>
                  <w:r>
                    <w:rPr>
                      <w:rFonts w:hint="eastAsia" w:ascii="Times New Roman" w:hAnsi="Times New Roman" w:eastAsia="宋体" w:cs="Times New Roman"/>
                      <w:strike w:val="0"/>
                      <w:dstrike w:val="0"/>
                      <w:color w:val="auto"/>
                      <w:sz w:val="18"/>
                      <w:szCs w:val="18"/>
                      <w:highlight w:val="none"/>
                      <w:lang w:val="en-US" w:eastAsia="zh-CN"/>
                    </w:rPr>
                    <w:t>西北</w:t>
                  </w:r>
                </w:p>
              </w:tc>
              <w:tc>
                <w:tcPr>
                  <w:tcW w:w="551" w:type="pct"/>
                  <w:tcBorders>
                    <w:top w:val="single" w:color="auto" w:sz="4" w:space="0"/>
                    <w:left w:val="single" w:color="auto" w:sz="4" w:space="0"/>
                    <w:bottom w:val="single" w:color="auto" w:sz="4" w:space="0"/>
                    <w:right w:val="single" w:color="auto" w:sz="4" w:space="0"/>
                  </w:tcBorders>
                  <w:shd w:val="clear" w:color="auto" w:fill="auto"/>
                  <w:noWrap w:val="0"/>
                  <w:vAlign w:val="center"/>
                </w:tcPr>
                <w:p w14:paraId="544A730E">
                  <w:pPr>
                    <w:keepNext w:val="0"/>
                    <w:keepLines w:val="0"/>
                    <w:widowControl/>
                    <w:suppressLineNumbers w:val="0"/>
                    <w:adjustRightInd w:val="0"/>
                    <w:snapToGrid w:val="0"/>
                    <w:spacing w:before="0" w:beforeAutospacing="0" w:after="0" w:afterAutospacing="0" w:line="276" w:lineRule="auto"/>
                    <w:ind w:left="0" w:right="0"/>
                    <w:jc w:val="center"/>
                    <w:rPr>
                      <w:rFonts w:hint="default" w:ascii="Times New Roman" w:hAnsi="Times New Roman" w:eastAsia="宋体" w:cs="Times New Roman"/>
                      <w:strike w:val="0"/>
                      <w:dstrike w:val="0"/>
                      <w:color w:val="auto"/>
                      <w:kern w:val="2"/>
                      <w:sz w:val="18"/>
                      <w:szCs w:val="18"/>
                      <w:highlight w:val="none"/>
                      <w:lang w:val="en-US" w:eastAsia="zh-CN" w:bidi="ar-SA"/>
                    </w:rPr>
                  </w:pPr>
                  <w:r>
                    <w:rPr>
                      <w:rFonts w:hint="eastAsia" w:ascii="Times New Roman" w:hAnsi="Times New Roman" w:eastAsia="宋体" w:cs="Times New Roman"/>
                      <w:strike w:val="0"/>
                      <w:dstrike w:val="0"/>
                      <w:color w:val="auto"/>
                      <w:sz w:val="18"/>
                      <w:szCs w:val="18"/>
                      <w:highlight w:val="none"/>
                      <w:lang w:val="en-US" w:eastAsia="zh-CN"/>
                    </w:rPr>
                    <w:t>2450</w:t>
                  </w:r>
                </w:p>
              </w:tc>
            </w:tr>
            <w:tr w14:paraId="0C7AF4D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40" w:hRule="atLeast"/>
                <w:jc w:val="center"/>
              </w:trPr>
              <w:tc>
                <w:tcPr>
                  <w:tcW w:w="366" w:type="pct"/>
                  <w:tcBorders>
                    <w:left w:val="single" w:color="auto" w:sz="4" w:space="0"/>
                    <w:right w:val="single" w:color="auto" w:sz="4" w:space="0"/>
                  </w:tcBorders>
                  <w:noWrap w:val="0"/>
                  <w:vAlign w:val="center"/>
                </w:tcPr>
                <w:p w14:paraId="047ADD2E">
                  <w:pPr>
                    <w:keepNext w:val="0"/>
                    <w:keepLines w:val="0"/>
                    <w:widowControl/>
                    <w:suppressLineNumbers w:val="0"/>
                    <w:adjustRightInd w:val="0"/>
                    <w:snapToGrid w:val="0"/>
                    <w:spacing w:before="0" w:beforeAutospacing="0" w:after="0" w:afterAutospacing="0" w:line="276" w:lineRule="auto"/>
                    <w:ind w:left="0" w:right="0"/>
                    <w:jc w:val="center"/>
                    <w:rPr>
                      <w:rFonts w:hint="default" w:ascii="Times New Roman" w:hAnsi="Times New Roman" w:eastAsia="宋体" w:cs="Times New Roman"/>
                      <w:strike w:val="0"/>
                      <w:dstrike w:val="0"/>
                      <w:color w:val="auto"/>
                      <w:sz w:val="18"/>
                      <w:szCs w:val="18"/>
                      <w:highlight w:val="none"/>
                      <w:lang w:val="en-US" w:eastAsia="zh-CN"/>
                    </w:rPr>
                  </w:pPr>
                  <w:r>
                    <w:rPr>
                      <w:rFonts w:hint="eastAsia" w:ascii="Times New Roman" w:hAnsi="Times New Roman" w:eastAsia="宋体" w:cs="Times New Roman"/>
                      <w:strike w:val="0"/>
                      <w:dstrike w:val="0"/>
                      <w:color w:val="auto"/>
                      <w:sz w:val="18"/>
                      <w:szCs w:val="18"/>
                      <w:highlight w:val="none"/>
                      <w:lang w:val="en-US" w:eastAsia="zh-CN"/>
                    </w:rPr>
                    <w:t>27</w:t>
                  </w:r>
                </w:p>
              </w:tc>
              <w:tc>
                <w:tcPr>
                  <w:tcW w:w="1071" w:type="pct"/>
                  <w:tcBorders>
                    <w:top w:val="single" w:color="auto" w:sz="4" w:space="0"/>
                    <w:left w:val="single" w:color="auto" w:sz="4" w:space="0"/>
                    <w:bottom w:val="single" w:color="auto" w:sz="4" w:space="0"/>
                    <w:right w:val="single" w:color="auto" w:sz="4" w:space="0"/>
                  </w:tcBorders>
                  <w:shd w:val="clear" w:color="auto" w:fill="auto"/>
                  <w:noWrap w:val="0"/>
                  <w:vAlign w:val="center"/>
                </w:tcPr>
                <w:p w14:paraId="79BD1204">
                  <w:pPr>
                    <w:keepNext w:val="0"/>
                    <w:keepLines w:val="0"/>
                    <w:widowControl/>
                    <w:suppressLineNumbers w:val="0"/>
                    <w:adjustRightInd w:val="0"/>
                    <w:snapToGrid w:val="0"/>
                    <w:spacing w:before="0" w:beforeAutospacing="0" w:after="0" w:afterAutospacing="0" w:line="276" w:lineRule="auto"/>
                    <w:ind w:left="0" w:right="0"/>
                    <w:jc w:val="center"/>
                    <w:rPr>
                      <w:rFonts w:hint="default" w:ascii="Times New Roman" w:hAnsi="Times New Roman" w:eastAsia="宋体" w:cs="Times New Roman"/>
                      <w:strike w:val="0"/>
                      <w:dstrike w:val="0"/>
                      <w:color w:val="auto"/>
                      <w:kern w:val="2"/>
                      <w:sz w:val="18"/>
                      <w:szCs w:val="18"/>
                      <w:highlight w:val="none"/>
                      <w:lang w:val="en-US" w:eastAsia="zh-CN" w:bidi="ar-SA"/>
                    </w:rPr>
                  </w:pPr>
                  <w:r>
                    <w:rPr>
                      <w:rFonts w:hint="default" w:ascii="Times New Roman" w:hAnsi="Times New Roman" w:eastAsia="宋体" w:cs="Times New Roman"/>
                      <w:strike w:val="0"/>
                      <w:dstrike w:val="0"/>
                      <w:color w:val="auto"/>
                      <w:sz w:val="18"/>
                      <w:szCs w:val="18"/>
                      <w:highlight w:val="none"/>
                      <w:lang w:val="en-US" w:eastAsia="zh-CN"/>
                    </w:rPr>
                    <w:t>衢州市第四实验学校</w:t>
                  </w:r>
                </w:p>
              </w:tc>
              <w:tc>
                <w:tcPr>
                  <w:tcW w:w="527" w:type="pct"/>
                  <w:tcBorders>
                    <w:top w:val="single" w:color="auto" w:sz="4" w:space="0"/>
                    <w:left w:val="single" w:color="auto" w:sz="4" w:space="0"/>
                    <w:bottom w:val="single" w:color="auto" w:sz="4" w:space="0"/>
                    <w:right w:val="single" w:color="auto" w:sz="4" w:space="0"/>
                  </w:tcBorders>
                  <w:shd w:val="clear" w:color="auto" w:fill="auto"/>
                  <w:noWrap w:val="0"/>
                  <w:vAlign w:val="center"/>
                </w:tcPr>
                <w:p w14:paraId="3A84EC6D">
                  <w:pPr>
                    <w:keepNext w:val="0"/>
                    <w:keepLines w:val="0"/>
                    <w:widowControl/>
                    <w:suppressLineNumbers w:val="0"/>
                    <w:adjustRightInd w:val="0"/>
                    <w:snapToGrid w:val="0"/>
                    <w:spacing w:before="0" w:beforeAutospacing="0" w:after="0" w:afterAutospacing="0" w:line="276" w:lineRule="auto"/>
                    <w:ind w:left="0" w:right="0"/>
                    <w:jc w:val="center"/>
                    <w:rPr>
                      <w:rFonts w:hint="default" w:ascii="Times New Roman" w:hAnsi="Times New Roman" w:eastAsia="宋体" w:cs="Times New Roman"/>
                      <w:strike w:val="0"/>
                      <w:dstrike w:val="0"/>
                      <w:color w:val="auto"/>
                      <w:kern w:val="2"/>
                      <w:sz w:val="18"/>
                      <w:szCs w:val="18"/>
                      <w:highlight w:val="none"/>
                      <w:lang w:val="en-US" w:eastAsia="zh-CN" w:bidi="ar-SA"/>
                    </w:rPr>
                  </w:pPr>
                  <w:r>
                    <w:rPr>
                      <w:rFonts w:hint="default" w:ascii="Times New Roman" w:hAnsi="Times New Roman" w:eastAsia="宋体" w:cs="Times New Roman"/>
                      <w:strike w:val="0"/>
                      <w:dstrike w:val="0"/>
                      <w:color w:val="auto"/>
                      <w:sz w:val="18"/>
                      <w:szCs w:val="18"/>
                      <w:highlight w:val="none"/>
                    </w:rPr>
                    <w:t>118.8329</w:t>
                  </w:r>
                  <w:r>
                    <w:rPr>
                      <w:rFonts w:hint="eastAsia" w:ascii="Times New Roman" w:hAnsi="Times New Roman" w:eastAsia="宋体" w:cs="Times New Roman"/>
                      <w:strike w:val="0"/>
                      <w:dstrike w:val="0"/>
                      <w:color w:val="auto"/>
                      <w:sz w:val="18"/>
                      <w:szCs w:val="18"/>
                      <w:highlight w:val="none"/>
                      <w:lang w:val="en-US" w:eastAsia="zh-CN"/>
                    </w:rPr>
                    <w:t>40</w:t>
                  </w:r>
                </w:p>
              </w:tc>
              <w:tc>
                <w:tcPr>
                  <w:tcW w:w="564" w:type="pct"/>
                  <w:tcBorders>
                    <w:top w:val="single" w:color="auto" w:sz="4" w:space="0"/>
                    <w:left w:val="single" w:color="auto" w:sz="4" w:space="0"/>
                    <w:bottom w:val="single" w:color="auto" w:sz="4" w:space="0"/>
                    <w:right w:val="single" w:color="auto" w:sz="4" w:space="0"/>
                  </w:tcBorders>
                  <w:shd w:val="clear" w:color="auto" w:fill="auto"/>
                  <w:noWrap w:val="0"/>
                  <w:vAlign w:val="center"/>
                </w:tcPr>
                <w:p w14:paraId="36D1FA0D">
                  <w:pPr>
                    <w:keepNext w:val="0"/>
                    <w:keepLines w:val="0"/>
                    <w:widowControl/>
                    <w:suppressLineNumbers w:val="0"/>
                    <w:adjustRightInd w:val="0"/>
                    <w:snapToGrid w:val="0"/>
                    <w:spacing w:before="0" w:beforeAutospacing="0" w:after="0" w:afterAutospacing="0" w:line="276" w:lineRule="auto"/>
                    <w:ind w:left="0" w:right="0"/>
                    <w:jc w:val="center"/>
                    <w:rPr>
                      <w:rFonts w:hint="default" w:ascii="Times New Roman" w:hAnsi="Times New Roman" w:eastAsia="宋体" w:cs="Times New Roman"/>
                      <w:strike w:val="0"/>
                      <w:dstrike w:val="0"/>
                      <w:color w:val="auto"/>
                      <w:kern w:val="2"/>
                      <w:sz w:val="18"/>
                      <w:szCs w:val="18"/>
                      <w:highlight w:val="none"/>
                      <w:lang w:val="en-US" w:eastAsia="zh-CN" w:bidi="ar-SA"/>
                    </w:rPr>
                  </w:pPr>
                  <w:r>
                    <w:rPr>
                      <w:rFonts w:hint="default" w:ascii="Times New Roman" w:hAnsi="Times New Roman" w:eastAsia="宋体" w:cs="Times New Roman"/>
                      <w:strike w:val="0"/>
                      <w:dstrike w:val="0"/>
                      <w:color w:val="auto"/>
                      <w:sz w:val="18"/>
                      <w:szCs w:val="18"/>
                      <w:highlight w:val="none"/>
                    </w:rPr>
                    <w:t>28.970909</w:t>
                  </w:r>
                </w:p>
              </w:tc>
              <w:tc>
                <w:tcPr>
                  <w:tcW w:w="474" w:type="pct"/>
                  <w:tcBorders>
                    <w:top w:val="single" w:color="auto" w:sz="4" w:space="0"/>
                    <w:left w:val="single" w:color="auto" w:sz="4" w:space="0"/>
                    <w:bottom w:val="single" w:color="auto" w:sz="4" w:space="0"/>
                    <w:right w:val="single" w:color="auto" w:sz="4" w:space="0"/>
                  </w:tcBorders>
                  <w:shd w:val="clear" w:color="auto" w:fill="auto"/>
                  <w:noWrap w:val="0"/>
                  <w:vAlign w:val="center"/>
                </w:tcPr>
                <w:p w14:paraId="5E4E50E4">
                  <w:pPr>
                    <w:keepNext w:val="0"/>
                    <w:keepLines w:val="0"/>
                    <w:widowControl/>
                    <w:suppressLineNumbers w:val="0"/>
                    <w:adjustRightInd w:val="0"/>
                    <w:snapToGrid w:val="0"/>
                    <w:spacing w:before="0" w:beforeAutospacing="0" w:after="0" w:afterAutospacing="0" w:line="276" w:lineRule="auto"/>
                    <w:ind w:left="0" w:right="0"/>
                    <w:jc w:val="center"/>
                    <w:rPr>
                      <w:rFonts w:hint="eastAsia" w:ascii="Times New Roman" w:hAnsi="Times New Roman" w:eastAsia="宋体" w:cs="Times New Roman"/>
                      <w:strike w:val="0"/>
                      <w:dstrike w:val="0"/>
                      <w:color w:val="auto"/>
                      <w:kern w:val="2"/>
                      <w:sz w:val="18"/>
                      <w:szCs w:val="18"/>
                      <w:highlight w:val="none"/>
                      <w:lang w:val="en-US" w:eastAsia="zh-CN" w:bidi="ar-SA"/>
                    </w:rPr>
                  </w:pPr>
                  <w:r>
                    <w:rPr>
                      <w:rFonts w:hint="eastAsia" w:ascii="Times New Roman" w:hAnsi="Times New Roman" w:eastAsia="宋体" w:cs="Times New Roman"/>
                      <w:strike w:val="0"/>
                      <w:dstrike w:val="0"/>
                      <w:color w:val="auto"/>
                      <w:sz w:val="18"/>
                      <w:szCs w:val="18"/>
                      <w:highlight w:val="none"/>
                      <w:lang w:val="en-US" w:eastAsia="zh-CN"/>
                    </w:rPr>
                    <w:t>学校</w:t>
                  </w:r>
                </w:p>
              </w:tc>
              <w:tc>
                <w:tcPr>
                  <w:tcW w:w="490" w:type="pct"/>
                  <w:tcBorders>
                    <w:top w:val="single" w:color="auto" w:sz="4" w:space="0"/>
                    <w:left w:val="single" w:color="auto" w:sz="4" w:space="0"/>
                    <w:bottom w:val="single" w:color="auto" w:sz="4" w:space="0"/>
                    <w:right w:val="single" w:color="auto" w:sz="4" w:space="0"/>
                  </w:tcBorders>
                  <w:shd w:val="clear" w:color="auto" w:fill="auto"/>
                  <w:noWrap w:val="0"/>
                  <w:vAlign w:val="center"/>
                </w:tcPr>
                <w:p w14:paraId="1FA5DE2F">
                  <w:pPr>
                    <w:keepNext w:val="0"/>
                    <w:keepLines w:val="0"/>
                    <w:widowControl/>
                    <w:suppressLineNumbers w:val="0"/>
                    <w:adjustRightInd w:val="0"/>
                    <w:snapToGrid w:val="0"/>
                    <w:spacing w:before="0" w:beforeAutospacing="0" w:after="0" w:afterAutospacing="0" w:line="276" w:lineRule="auto"/>
                    <w:ind w:left="0" w:right="0"/>
                    <w:jc w:val="center"/>
                    <w:rPr>
                      <w:rFonts w:hint="eastAsia" w:ascii="Times New Roman" w:hAnsi="Times New Roman" w:eastAsia="宋体" w:cs="Times New Roman"/>
                      <w:strike w:val="0"/>
                      <w:dstrike w:val="0"/>
                      <w:color w:val="auto"/>
                      <w:kern w:val="2"/>
                      <w:sz w:val="18"/>
                      <w:szCs w:val="18"/>
                      <w:highlight w:val="none"/>
                      <w:lang w:val="en-US" w:eastAsia="zh-CN" w:bidi="ar-SA"/>
                    </w:rPr>
                  </w:pPr>
                  <w:r>
                    <w:rPr>
                      <w:rFonts w:hint="eastAsia" w:ascii="Times New Roman" w:hAnsi="Times New Roman" w:eastAsia="宋体" w:cs="Times New Roman"/>
                      <w:strike w:val="0"/>
                      <w:dstrike w:val="0"/>
                      <w:color w:val="auto"/>
                      <w:sz w:val="18"/>
                      <w:szCs w:val="18"/>
                      <w:highlight w:val="none"/>
                      <w:lang w:val="en-US" w:eastAsia="zh-CN"/>
                    </w:rPr>
                    <w:t>师生</w:t>
                  </w:r>
                </w:p>
              </w:tc>
              <w:tc>
                <w:tcPr>
                  <w:tcW w:w="499" w:type="pct"/>
                  <w:tcBorders>
                    <w:top w:val="single" w:color="auto" w:sz="4" w:space="0"/>
                    <w:left w:val="single" w:color="auto" w:sz="4" w:space="0"/>
                    <w:bottom w:val="single" w:color="auto" w:sz="4" w:space="0"/>
                    <w:right w:val="single" w:color="auto" w:sz="4" w:space="0"/>
                  </w:tcBorders>
                  <w:shd w:val="clear" w:color="auto" w:fill="auto"/>
                  <w:noWrap w:val="0"/>
                  <w:vAlign w:val="center"/>
                </w:tcPr>
                <w:p w14:paraId="5D2BB6FE">
                  <w:pPr>
                    <w:keepNext w:val="0"/>
                    <w:keepLines w:val="0"/>
                    <w:widowControl/>
                    <w:suppressLineNumbers w:val="0"/>
                    <w:adjustRightInd w:val="0"/>
                    <w:snapToGrid w:val="0"/>
                    <w:spacing w:before="0" w:beforeAutospacing="0" w:after="0" w:afterAutospacing="0" w:line="276" w:lineRule="auto"/>
                    <w:ind w:left="0" w:right="0"/>
                    <w:jc w:val="center"/>
                    <w:rPr>
                      <w:rFonts w:hint="eastAsia" w:ascii="Times New Roman" w:hAnsi="Times New Roman" w:eastAsia="宋体" w:cs="Times New Roman"/>
                      <w:strike w:val="0"/>
                      <w:dstrike w:val="0"/>
                      <w:color w:val="auto"/>
                      <w:kern w:val="2"/>
                      <w:sz w:val="18"/>
                      <w:szCs w:val="18"/>
                      <w:highlight w:val="none"/>
                      <w:lang w:val="en-US" w:eastAsia="zh-CN" w:bidi="ar-SA"/>
                    </w:rPr>
                  </w:pPr>
                  <w:r>
                    <w:rPr>
                      <w:rFonts w:hint="eastAsia" w:ascii="Times New Roman" w:hAnsi="Times New Roman" w:eastAsia="宋体" w:cs="Times New Roman"/>
                      <w:strike w:val="0"/>
                      <w:dstrike w:val="0"/>
                      <w:color w:val="auto"/>
                      <w:sz w:val="18"/>
                      <w:szCs w:val="18"/>
                      <w:highlight w:val="none"/>
                      <w:lang w:val="en-US" w:eastAsia="zh-CN"/>
                    </w:rPr>
                    <w:t>二类</w:t>
                  </w:r>
                </w:p>
              </w:tc>
              <w:tc>
                <w:tcPr>
                  <w:tcW w:w="453" w:type="pct"/>
                  <w:tcBorders>
                    <w:top w:val="single" w:color="auto" w:sz="4" w:space="0"/>
                    <w:left w:val="single" w:color="auto" w:sz="4" w:space="0"/>
                    <w:bottom w:val="single" w:color="auto" w:sz="4" w:space="0"/>
                    <w:right w:val="single" w:color="auto" w:sz="4" w:space="0"/>
                  </w:tcBorders>
                  <w:shd w:val="clear" w:color="auto" w:fill="auto"/>
                  <w:noWrap w:val="0"/>
                  <w:vAlign w:val="center"/>
                </w:tcPr>
                <w:p w14:paraId="7BB58645">
                  <w:pPr>
                    <w:keepNext w:val="0"/>
                    <w:keepLines w:val="0"/>
                    <w:widowControl/>
                    <w:suppressLineNumbers w:val="0"/>
                    <w:adjustRightInd w:val="0"/>
                    <w:snapToGrid w:val="0"/>
                    <w:spacing w:before="0" w:beforeAutospacing="0" w:after="0" w:afterAutospacing="0" w:line="276" w:lineRule="auto"/>
                    <w:ind w:left="0" w:right="0"/>
                    <w:jc w:val="center"/>
                    <w:rPr>
                      <w:rFonts w:hint="default" w:ascii="Times New Roman" w:hAnsi="Times New Roman" w:eastAsia="宋体" w:cs="Times New Roman"/>
                      <w:strike w:val="0"/>
                      <w:dstrike w:val="0"/>
                      <w:color w:val="auto"/>
                      <w:kern w:val="2"/>
                      <w:sz w:val="18"/>
                      <w:szCs w:val="18"/>
                      <w:highlight w:val="none"/>
                      <w:lang w:val="en-US" w:eastAsia="zh-CN" w:bidi="ar-SA"/>
                    </w:rPr>
                  </w:pPr>
                  <w:r>
                    <w:rPr>
                      <w:rFonts w:hint="eastAsia" w:ascii="Times New Roman" w:hAnsi="Times New Roman" w:eastAsia="宋体" w:cs="Times New Roman"/>
                      <w:strike w:val="0"/>
                      <w:dstrike w:val="0"/>
                      <w:color w:val="auto"/>
                      <w:kern w:val="2"/>
                      <w:sz w:val="18"/>
                      <w:szCs w:val="18"/>
                      <w:highlight w:val="none"/>
                      <w:lang w:val="en-US" w:eastAsia="zh-CN" w:bidi="ar-SA"/>
                    </w:rPr>
                    <w:t>东北</w:t>
                  </w:r>
                </w:p>
              </w:tc>
              <w:tc>
                <w:tcPr>
                  <w:tcW w:w="551" w:type="pct"/>
                  <w:tcBorders>
                    <w:top w:val="single" w:color="auto" w:sz="4" w:space="0"/>
                    <w:left w:val="single" w:color="auto" w:sz="4" w:space="0"/>
                    <w:bottom w:val="single" w:color="auto" w:sz="4" w:space="0"/>
                    <w:right w:val="single" w:color="auto" w:sz="4" w:space="0"/>
                  </w:tcBorders>
                  <w:shd w:val="clear" w:color="auto" w:fill="auto"/>
                  <w:noWrap w:val="0"/>
                  <w:vAlign w:val="center"/>
                </w:tcPr>
                <w:p w14:paraId="66DFBFE8">
                  <w:pPr>
                    <w:keepNext w:val="0"/>
                    <w:keepLines w:val="0"/>
                    <w:widowControl/>
                    <w:suppressLineNumbers w:val="0"/>
                    <w:adjustRightInd w:val="0"/>
                    <w:snapToGrid w:val="0"/>
                    <w:spacing w:before="0" w:beforeAutospacing="0" w:after="0" w:afterAutospacing="0" w:line="276" w:lineRule="auto"/>
                    <w:ind w:left="0" w:right="0"/>
                    <w:jc w:val="center"/>
                    <w:rPr>
                      <w:rFonts w:hint="default" w:ascii="Times New Roman" w:hAnsi="Times New Roman" w:eastAsia="宋体" w:cs="Times New Roman"/>
                      <w:strike w:val="0"/>
                      <w:dstrike w:val="0"/>
                      <w:color w:val="auto"/>
                      <w:kern w:val="2"/>
                      <w:sz w:val="18"/>
                      <w:szCs w:val="18"/>
                      <w:highlight w:val="none"/>
                      <w:lang w:val="en-US" w:eastAsia="zh-CN" w:bidi="ar-SA"/>
                    </w:rPr>
                  </w:pPr>
                  <w:r>
                    <w:rPr>
                      <w:rFonts w:hint="eastAsia" w:ascii="Times New Roman" w:hAnsi="Times New Roman" w:eastAsia="宋体" w:cs="Times New Roman"/>
                      <w:strike w:val="0"/>
                      <w:dstrike w:val="0"/>
                      <w:color w:val="auto"/>
                      <w:sz w:val="18"/>
                      <w:szCs w:val="18"/>
                      <w:highlight w:val="none"/>
                      <w:lang w:val="en-US" w:eastAsia="zh-CN"/>
                    </w:rPr>
                    <w:t>1850</w:t>
                  </w:r>
                </w:p>
              </w:tc>
            </w:tr>
            <w:tr w14:paraId="7DEC514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40" w:hRule="atLeast"/>
                <w:jc w:val="center"/>
              </w:trPr>
              <w:tc>
                <w:tcPr>
                  <w:tcW w:w="366" w:type="pct"/>
                  <w:tcBorders>
                    <w:left w:val="single" w:color="auto" w:sz="4" w:space="0"/>
                    <w:right w:val="single" w:color="auto" w:sz="4" w:space="0"/>
                  </w:tcBorders>
                  <w:noWrap w:val="0"/>
                  <w:vAlign w:val="center"/>
                </w:tcPr>
                <w:p w14:paraId="0264772C">
                  <w:pPr>
                    <w:keepNext w:val="0"/>
                    <w:keepLines w:val="0"/>
                    <w:widowControl/>
                    <w:suppressLineNumbers w:val="0"/>
                    <w:adjustRightInd w:val="0"/>
                    <w:snapToGrid w:val="0"/>
                    <w:spacing w:before="0" w:beforeAutospacing="0" w:after="0" w:afterAutospacing="0" w:line="276" w:lineRule="auto"/>
                    <w:ind w:left="0" w:right="0"/>
                    <w:jc w:val="center"/>
                    <w:rPr>
                      <w:rFonts w:hint="default" w:ascii="Times New Roman" w:hAnsi="Times New Roman" w:eastAsia="宋体" w:cs="Times New Roman"/>
                      <w:strike w:val="0"/>
                      <w:dstrike w:val="0"/>
                      <w:color w:val="auto"/>
                      <w:sz w:val="18"/>
                      <w:szCs w:val="18"/>
                      <w:highlight w:val="none"/>
                      <w:lang w:val="en-US" w:eastAsia="zh-CN"/>
                    </w:rPr>
                  </w:pPr>
                  <w:r>
                    <w:rPr>
                      <w:rFonts w:hint="eastAsia" w:ascii="Times New Roman" w:hAnsi="Times New Roman" w:eastAsia="宋体" w:cs="Times New Roman"/>
                      <w:strike w:val="0"/>
                      <w:dstrike w:val="0"/>
                      <w:color w:val="auto"/>
                      <w:sz w:val="18"/>
                      <w:szCs w:val="18"/>
                      <w:highlight w:val="none"/>
                      <w:lang w:val="en-US" w:eastAsia="zh-CN"/>
                    </w:rPr>
                    <w:t>28</w:t>
                  </w:r>
                </w:p>
              </w:tc>
              <w:tc>
                <w:tcPr>
                  <w:tcW w:w="1071" w:type="pct"/>
                  <w:tcBorders>
                    <w:top w:val="single" w:color="auto" w:sz="4" w:space="0"/>
                    <w:left w:val="single" w:color="auto" w:sz="4" w:space="0"/>
                    <w:bottom w:val="single" w:color="auto" w:sz="4" w:space="0"/>
                    <w:right w:val="single" w:color="auto" w:sz="4" w:space="0"/>
                  </w:tcBorders>
                  <w:shd w:val="clear" w:color="auto" w:fill="auto"/>
                  <w:noWrap w:val="0"/>
                  <w:vAlign w:val="center"/>
                </w:tcPr>
                <w:p w14:paraId="235AE54D">
                  <w:pPr>
                    <w:keepNext w:val="0"/>
                    <w:keepLines w:val="0"/>
                    <w:widowControl/>
                    <w:suppressLineNumbers w:val="0"/>
                    <w:adjustRightInd w:val="0"/>
                    <w:snapToGrid w:val="0"/>
                    <w:spacing w:before="0" w:beforeAutospacing="0" w:after="0" w:afterAutospacing="0" w:line="276" w:lineRule="auto"/>
                    <w:ind w:left="0" w:right="0"/>
                    <w:jc w:val="center"/>
                    <w:rPr>
                      <w:rFonts w:hint="default" w:ascii="Times New Roman" w:hAnsi="Times New Roman" w:eastAsia="宋体" w:cs="Times New Roman"/>
                      <w:strike w:val="0"/>
                      <w:dstrike w:val="0"/>
                      <w:color w:val="auto"/>
                      <w:kern w:val="2"/>
                      <w:sz w:val="18"/>
                      <w:szCs w:val="18"/>
                      <w:highlight w:val="none"/>
                      <w:lang w:val="en-US" w:eastAsia="zh-CN" w:bidi="ar-SA"/>
                    </w:rPr>
                  </w:pPr>
                  <w:r>
                    <w:rPr>
                      <w:rFonts w:hint="default" w:ascii="Times New Roman" w:hAnsi="Times New Roman" w:eastAsia="宋体" w:cs="Times New Roman"/>
                      <w:strike w:val="0"/>
                      <w:dstrike w:val="0"/>
                      <w:color w:val="auto"/>
                      <w:sz w:val="18"/>
                      <w:szCs w:val="18"/>
                      <w:highlight w:val="none"/>
                      <w:lang w:val="en-US" w:eastAsia="zh-CN"/>
                    </w:rPr>
                    <w:t>衢州高铁新城外国语学校</w:t>
                  </w:r>
                </w:p>
              </w:tc>
              <w:tc>
                <w:tcPr>
                  <w:tcW w:w="527" w:type="pct"/>
                  <w:tcBorders>
                    <w:top w:val="single" w:color="auto" w:sz="4" w:space="0"/>
                    <w:left w:val="single" w:color="auto" w:sz="4" w:space="0"/>
                    <w:bottom w:val="single" w:color="auto" w:sz="4" w:space="0"/>
                    <w:right w:val="single" w:color="auto" w:sz="4" w:space="0"/>
                  </w:tcBorders>
                  <w:shd w:val="clear" w:color="auto" w:fill="auto"/>
                  <w:noWrap w:val="0"/>
                  <w:vAlign w:val="center"/>
                </w:tcPr>
                <w:p w14:paraId="0244DFC5">
                  <w:pPr>
                    <w:keepNext w:val="0"/>
                    <w:keepLines w:val="0"/>
                    <w:widowControl/>
                    <w:suppressLineNumbers w:val="0"/>
                    <w:adjustRightInd w:val="0"/>
                    <w:snapToGrid w:val="0"/>
                    <w:spacing w:before="0" w:beforeAutospacing="0" w:after="0" w:afterAutospacing="0" w:line="276" w:lineRule="auto"/>
                    <w:ind w:left="0" w:right="0"/>
                    <w:jc w:val="center"/>
                    <w:rPr>
                      <w:rFonts w:hint="default" w:ascii="Times New Roman" w:hAnsi="Times New Roman" w:eastAsia="宋体" w:cs="Times New Roman"/>
                      <w:strike w:val="0"/>
                      <w:dstrike w:val="0"/>
                      <w:color w:val="auto"/>
                      <w:kern w:val="2"/>
                      <w:sz w:val="18"/>
                      <w:szCs w:val="18"/>
                      <w:highlight w:val="none"/>
                      <w:lang w:val="en-US" w:eastAsia="zh-CN" w:bidi="ar-SA"/>
                    </w:rPr>
                  </w:pPr>
                  <w:r>
                    <w:rPr>
                      <w:rFonts w:hint="default" w:ascii="Times New Roman" w:hAnsi="Times New Roman" w:eastAsia="宋体" w:cs="Times New Roman"/>
                      <w:strike w:val="0"/>
                      <w:dstrike w:val="0"/>
                      <w:color w:val="auto"/>
                      <w:sz w:val="18"/>
                      <w:szCs w:val="18"/>
                      <w:highlight w:val="none"/>
                    </w:rPr>
                    <w:t>118.827618</w:t>
                  </w:r>
                </w:p>
              </w:tc>
              <w:tc>
                <w:tcPr>
                  <w:tcW w:w="564" w:type="pct"/>
                  <w:tcBorders>
                    <w:top w:val="single" w:color="auto" w:sz="4" w:space="0"/>
                    <w:left w:val="single" w:color="auto" w:sz="4" w:space="0"/>
                    <w:bottom w:val="single" w:color="auto" w:sz="4" w:space="0"/>
                    <w:right w:val="single" w:color="auto" w:sz="4" w:space="0"/>
                  </w:tcBorders>
                  <w:shd w:val="clear" w:color="auto" w:fill="auto"/>
                  <w:noWrap w:val="0"/>
                  <w:vAlign w:val="center"/>
                </w:tcPr>
                <w:p w14:paraId="19E85A45">
                  <w:pPr>
                    <w:keepNext w:val="0"/>
                    <w:keepLines w:val="0"/>
                    <w:widowControl/>
                    <w:suppressLineNumbers w:val="0"/>
                    <w:adjustRightInd w:val="0"/>
                    <w:snapToGrid w:val="0"/>
                    <w:spacing w:before="0" w:beforeAutospacing="0" w:after="0" w:afterAutospacing="0" w:line="276" w:lineRule="auto"/>
                    <w:ind w:left="0" w:right="0"/>
                    <w:jc w:val="center"/>
                    <w:rPr>
                      <w:rFonts w:hint="default" w:ascii="Times New Roman" w:hAnsi="Times New Roman" w:eastAsia="宋体" w:cs="Times New Roman"/>
                      <w:strike w:val="0"/>
                      <w:dstrike w:val="0"/>
                      <w:color w:val="auto"/>
                      <w:kern w:val="2"/>
                      <w:sz w:val="18"/>
                      <w:szCs w:val="18"/>
                      <w:highlight w:val="none"/>
                      <w:lang w:val="en-US" w:eastAsia="zh-CN" w:bidi="ar-SA"/>
                    </w:rPr>
                  </w:pPr>
                  <w:r>
                    <w:rPr>
                      <w:rFonts w:hint="default" w:ascii="Times New Roman" w:hAnsi="Times New Roman" w:eastAsia="宋体" w:cs="Times New Roman"/>
                      <w:strike w:val="0"/>
                      <w:dstrike w:val="0"/>
                      <w:color w:val="auto"/>
                      <w:sz w:val="18"/>
                      <w:szCs w:val="18"/>
                      <w:highlight w:val="none"/>
                    </w:rPr>
                    <w:t>28.968956</w:t>
                  </w:r>
                </w:p>
              </w:tc>
              <w:tc>
                <w:tcPr>
                  <w:tcW w:w="474" w:type="pct"/>
                  <w:tcBorders>
                    <w:top w:val="single" w:color="auto" w:sz="4" w:space="0"/>
                    <w:left w:val="single" w:color="auto" w:sz="4" w:space="0"/>
                    <w:bottom w:val="single" w:color="auto" w:sz="4" w:space="0"/>
                    <w:right w:val="single" w:color="auto" w:sz="4" w:space="0"/>
                  </w:tcBorders>
                  <w:shd w:val="clear" w:color="auto" w:fill="auto"/>
                  <w:noWrap w:val="0"/>
                  <w:vAlign w:val="center"/>
                </w:tcPr>
                <w:p w14:paraId="7008C31E">
                  <w:pPr>
                    <w:keepNext w:val="0"/>
                    <w:keepLines w:val="0"/>
                    <w:widowControl/>
                    <w:suppressLineNumbers w:val="0"/>
                    <w:adjustRightInd w:val="0"/>
                    <w:snapToGrid w:val="0"/>
                    <w:spacing w:before="0" w:beforeAutospacing="0" w:after="0" w:afterAutospacing="0" w:line="276" w:lineRule="auto"/>
                    <w:ind w:left="0" w:right="0"/>
                    <w:jc w:val="center"/>
                    <w:rPr>
                      <w:rFonts w:hint="eastAsia" w:ascii="Times New Roman" w:hAnsi="Times New Roman" w:eastAsia="宋体" w:cs="Times New Roman"/>
                      <w:strike w:val="0"/>
                      <w:dstrike w:val="0"/>
                      <w:color w:val="auto"/>
                      <w:kern w:val="2"/>
                      <w:sz w:val="18"/>
                      <w:szCs w:val="18"/>
                      <w:highlight w:val="none"/>
                      <w:lang w:val="en-US" w:eastAsia="zh-CN" w:bidi="ar-SA"/>
                    </w:rPr>
                  </w:pPr>
                  <w:r>
                    <w:rPr>
                      <w:rFonts w:hint="eastAsia" w:ascii="Times New Roman" w:hAnsi="Times New Roman" w:eastAsia="宋体" w:cs="Times New Roman"/>
                      <w:strike w:val="0"/>
                      <w:dstrike w:val="0"/>
                      <w:color w:val="auto"/>
                      <w:sz w:val="18"/>
                      <w:szCs w:val="18"/>
                      <w:highlight w:val="none"/>
                      <w:lang w:val="en-US" w:eastAsia="zh-CN"/>
                    </w:rPr>
                    <w:t>学校</w:t>
                  </w:r>
                </w:p>
              </w:tc>
              <w:tc>
                <w:tcPr>
                  <w:tcW w:w="490" w:type="pct"/>
                  <w:tcBorders>
                    <w:top w:val="single" w:color="auto" w:sz="4" w:space="0"/>
                    <w:left w:val="single" w:color="auto" w:sz="4" w:space="0"/>
                    <w:bottom w:val="single" w:color="auto" w:sz="4" w:space="0"/>
                    <w:right w:val="single" w:color="auto" w:sz="4" w:space="0"/>
                  </w:tcBorders>
                  <w:shd w:val="clear" w:color="auto" w:fill="auto"/>
                  <w:noWrap w:val="0"/>
                  <w:vAlign w:val="center"/>
                </w:tcPr>
                <w:p w14:paraId="62BADD06">
                  <w:pPr>
                    <w:keepNext w:val="0"/>
                    <w:keepLines w:val="0"/>
                    <w:widowControl/>
                    <w:suppressLineNumbers w:val="0"/>
                    <w:adjustRightInd w:val="0"/>
                    <w:snapToGrid w:val="0"/>
                    <w:spacing w:before="0" w:beforeAutospacing="0" w:after="0" w:afterAutospacing="0" w:line="276" w:lineRule="auto"/>
                    <w:ind w:left="0" w:right="0"/>
                    <w:jc w:val="center"/>
                    <w:rPr>
                      <w:rFonts w:hint="eastAsia" w:ascii="Times New Roman" w:hAnsi="Times New Roman" w:eastAsia="宋体" w:cs="Times New Roman"/>
                      <w:strike w:val="0"/>
                      <w:dstrike w:val="0"/>
                      <w:color w:val="auto"/>
                      <w:kern w:val="2"/>
                      <w:sz w:val="18"/>
                      <w:szCs w:val="18"/>
                      <w:highlight w:val="none"/>
                      <w:lang w:val="en-US" w:eastAsia="zh-CN" w:bidi="ar-SA"/>
                    </w:rPr>
                  </w:pPr>
                  <w:r>
                    <w:rPr>
                      <w:rFonts w:hint="eastAsia" w:ascii="Times New Roman" w:hAnsi="Times New Roman" w:eastAsia="宋体" w:cs="Times New Roman"/>
                      <w:strike w:val="0"/>
                      <w:dstrike w:val="0"/>
                      <w:color w:val="auto"/>
                      <w:sz w:val="18"/>
                      <w:szCs w:val="18"/>
                      <w:highlight w:val="none"/>
                      <w:lang w:val="en-US" w:eastAsia="zh-CN"/>
                    </w:rPr>
                    <w:t>师生</w:t>
                  </w:r>
                </w:p>
              </w:tc>
              <w:tc>
                <w:tcPr>
                  <w:tcW w:w="499" w:type="pct"/>
                  <w:tcBorders>
                    <w:top w:val="single" w:color="auto" w:sz="4" w:space="0"/>
                    <w:left w:val="single" w:color="auto" w:sz="4" w:space="0"/>
                    <w:bottom w:val="single" w:color="auto" w:sz="4" w:space="0"/>
                    <w:right w:val="single" w:color="auto" w:sz="4" w:space="0"/>
                  </w:tcBorders>
                  <w:shd w:val="clear" w:color="auto" w:fill="auto"/>
                  <w:noWrap w:val="0"/>
                  <w:vAlign w:val="center"/>
                </w:tcPr>
                <w:p w14:paraId="08542C58">
                  <w:pPr>
                    <w:keepNext w:val="0"/>
                    <w:keepLines w:val="0"/>
                    <w:widowControl/>
                    <w:suppressLineNumbers w:val="0"/>
                    <w:adjustRightInd w:val="0"/>
                    <w:snapToGrid w:val="0"/>
                    <w:spacing w:before="0" w:beforeAutospacing="0" w:after="0" w:afterAutospacing="0" w:line="276" w:lineRule="auto"/>
                    <w:ind w:left="0" w:right="0"/>
                    <w:jc w:val="center"/>
                    <w:rPr>
                      <w:rFonts w:hint="eastAsia" w:ascii="Times New Roman" w:hAnsi="Times New Roman" w:eastAsia="宋体" w:cs="Times New Roman"/>
                      <w:strike w:val="0"/>
                      <w:dstrike w:val="0"/>
                      <w:color w:val="auto"/>
                      <w:kern w:val="2"/>
                      <w:sz w:val="18"/>
                      <w:szCs w:val="18"/>
                      <w:highlight w:val="none"/>
                      <w:lang w:val="en-US" w:eastAsia="zh-CN" w:bidi="ar-SA"/>
                    </w:rPr>
                  </w:pPr>
                  <w:r>
                    <w:rPr>
                      <w:rFonts w:hint="eastAsia" w:ascii="Times New Roman" w:hAnsi="Times New Roman" w:eastAsia="宋体" w:cs="Times New Roman"/>
                      <w:strike w:val="0"/>
                      <w:dstrike w:val="0"/>
                      <w:color w:val="auto"/>
                      <w:sz w:val="18"/>
                      <w:szCs w:val="18"/>
                      <w:highlight w:val="none"/>
                      <w:lang w:val="en-US" w:eastAsia="zh-CN"/>
                    </w:rPr>
                    <w:t>二类</w:t>
                  </w:r>
                </w:p>
              </w:tc>
              <w:tc>
                <w:tcPr>
                  <w:tcW w:w="453" w:type="pct"/>
                  <w:tcBorders>
                    <w:top w:val="single" w:color="auto" w:sz="4" w:space="0"/>
                    <w:left w:val="single" w:color="auto" w:sz="4" w:space="0"/>
                    <w:bottom w:val="single" w:color="auto" w:sz="4" w:space="0"/>
                    <w:right w:val="single" w:color="auto" w:sz="4" w:space="0"/>
                  </w:tcBorders>
                  <w:shd w:val="clear" w:color="auto" w:fill="auto"/>
                  <w:noWrap w:val="0"/>
                  <w:vAlign w:val="center"/>
                </w:tcPr>
                <w:p w14:paraId="036E3F52">
                  <w:pPr>
                    <w:keepNext w:val="0"/>
                    <w:keepLines w:val="0"/>
                    <w:widowControl/>
                    <w:suppressLineNumbers w:val="0"/>
                    <w:adjustRightInd w:val="0"/>
                    <w:snapToGrid w:val="0"/>
                    <w:spacing w:before="0" w:beforeAutospacing="0" w:after="0" w:afterAutospacing="0" w:line="276" w:lineRule="auto"/>
                    <w:ind w:left="0" w:right="0"/>
                    <w:jc w:val="center"/>
                    <w:rPr>
                      <w:rFonts w:hint="default" w:ascii="Times New Roman" w:hAnsi="Times New Roman" w:eastAsia="宋体" w:cs="Times New Roman"/>
                      <w:strike w:val="0"/>
                      <w:dstrike w:val="0"/>
                      <w:color w:val="auto"/>
                      <w:kern w:val="2"/>
                      <w:sz w:val="18"/>
                      <w:szCs w:val="18"/>
                      <w:highlight w:val="none"/>
                      <w:lang w:val="en-US" w:eastAsia="zh-CN" w:bidi="ar-SA"/>
                    </w:rPr>
                  </w:pPr>
                  <w:r>
                    <w:rPr>
                      <w:rFonts w:hint="eastAsia" w:ascii="Times New Roman" w:hAnsi="Times New Roman" w:eastAsia="宋体" w:cs="Times New Roman"/>
                      <w:strike w:val="0"/>
                      <w:dstrike w:val="0"/>
                      <w:color w:val="auto"/>
                      <w:sz w:val="18"/>
                      <w:szCs w:val="18"/>
                      <w:highlight w:val="none"/>
                      <w:lang w:val="en-US" w:eastAsia="zh-CN"/>
                    </w:rPr>
                    <w:t>北</w:t>
                  </w:r>
                </w:p>
              </w:tc>
              <w:tc>
                <w:tcPr>
                  <w:tcW w:w="551" w:type="pct"/>
                  <w:tcBorders>
                    <w:top w:val="single" w:color="auto" w:sz="4" w:space="0"/>
                    <w:left w:val="single" w:color="auto" w:sz="4" w:space="0"/>
                    <w:bottom w:val="single" w:color="auto" w:sz="4" w:space="0"/>
                    <w:right w:val="single" w:color="auto" w:sz="4" w:space="0"/>
                  </w:tcBorders>
                  <w:shd w:val="clear" w:color="auto" w:fill="auto"/>
                  <w:noWrap w:val="0"/>
                  <w:vAlign w:val="center"/>
                </w:tcPr>
                <w:p w14:paraId="0E0C99B1">
                  <w:pPr>
                    <w:keepNext w:val="0"/>
                    <w:keepLines w:val="0"/>
                    <w:widowControl/>
                    <w:suppressLineNumbers w:val="0"/>
                    <w:adjustRightInd w:val="0"/>
                    <w:snapToGrid w:val="0"/>
                    <w:spacing w:before="0" w:beforeAutospacing="0" w:after="0" w:afterAutospacing="0" w:line="276" w:lineRule="auto"/>
                    <w:ind w:left="0" w:right="0"/>
                    <w:jc w:val="center"/>
                    <w:rPr>
                      <w:rFonts w:hint="default" w:ascii="Times New Roman" w:hAnsi="Times New Roman" w:eastAsia="宋体" w:cs="Times New Roman"/>
                      <w:strike w:val="0"/>
                      <w:dstrike w:val="0"/>
                      <w:color w:val="auto"/>
                      <w:kern w:val="2"/>
                      <w:sz w:val="18"/>
                      <w:szCs w:val="18"/>
                      <w:highlight w:val="none"/>
                      <w:lang w:val="en-US" w:eastAsia="zh-CN" w:bidi="ar-SA"/>
                    </w:rPr>
                  </w:pPr>
                  <w:r>
                    <w:rPr>
                      <w:rFonts w:hint="eastAsia" w:ascii="Times New Roman" w:hAnsi="Times New Roman" w:eastAsia="宋体" w:cs="Times New Roman"/>
                      <w:strike w:val="0"/>
                      <w:dstrike w:val="0"/>
                      <w:color w:val="auto"/>
                      <w:sz w:val="18"/>
                      <w:szCs w:val="18"/>
                      <w:highlight w:val="none"/>
                      <w:lang w:val="en-US" w:eastAsia="zh-CN"/>
                    </w:rPr>
                    <w:t>1720</w:t>
                  </w:r>
                </w:p>
              </w:tc>
            </w:tr>
            <w:tr w14:paraId="1FA8EFB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40" w:hRule="atLeast"/>
                <w:jc w:val="center"/>
              </w:trPr>
              <w:tc>
                <w:tcPr>
                  <w:tcW w:w="366" w:type="pct"/>
                  <w:tcBorders>
                    <w:left w:val="single" w:color="auto" w:sz="4" w:space="0"/>
                    <w:right w:val="single" w:color="auto" w:sz="4" w:space="0"/>
                  </w:tcBorders>
                  <w:noWrap w:val="0"/>
                  <w:vAlign w:val="center"/>
                </w:tcPr>
                <w:p w14:paraId="46C8883D">
                  <w:pPr>
                    <w:keepNext w:val="0"/>
                    <w:keepLines w:val="0"/>
                    <w:widowControl/>
                    <w:suppressLineNumbers w:val="0"/>
                    <w:adjustRightInd w:val="0"/>
                    <w:snapToGrid w:val="0"/>
                    <w:spacing w:before="0" w:beforeAutospacing="0" w:after="0" w:afterAutospacing="0" w:line="276" w:lineRule="auto"/>
                    <w:ind w:left="0" w:right="0"/>
                    <w:jc w:val="center"/>
                    <w:rPr>
                      <w:rFonts w:hint="default" w:ascii="Times New Roman" w:hAnsi="Times New Roman" w:eastAsia="宋体" w:cs="Times New Roman"/>
                      <w:strike w:val="0"/>
                      <w:dstrike w:val="0"/>
                      <w:color w:val="auto"/>
                      <w:sz w:val="18"/>
                      <w:szCs w:val="18"/>
                      <w:highlight w:val="none"/>
                      <w:lang w:val="en-US" w:eastAsia="zh-CN"/>
                    </w:rPr>
                  </w:pPr>
                  <w:r>
                    <w:rPr>
                      <w:rFonts w:hint="eastAsia" w:ascii="Times New Roman" w:hAnsi="Times New Roman" w:eastAsia="宋体" w:cs="Times New Roman"/>
                      <w:strike w:val="0"/>
                      <w:dstrike w:val="0"/>
                      <w:color w:val="auto"/>
                      <w:sz w:val="18"/>
                      <w:szCs w:val="18"/>
                      <w:highlight w:val="none"/>
                      <w:lang w:val="en-US" w:eastAsia="zh-CN"/>
                    </w:rPr>
                    <w:t>29</w:t>
                  </w:r>
                </w:p>
              </w:tc>
              <w:tc>
                <w:tcPr>
                  <w:tcW w:w="1071" w:type="pct"/>
                  <w:tcBorders>
                    <w:top w:val="single" w:color="auto" w:sz="4" w:space="0"/>
                    <w:left w:val="single" w:color="auto" w:sz="4" w:space="0"/>
                    <w:bottom w:val="single" w:color="auto" w:sz="4" w:space="0"/>
                    <w:right w:val="single" w:color="auto" w:sz="4" w:space="0"/>
                  </w:tcBorders>
                  <w:shd w:val="clear" w:color="auto" w:fill="auto"/>
                  <w:noWrap w:val="0"/>
                  <w:vAlign w:val="center"/>
                </w:tcPr>
                <w:p w14:paraId="1E55045A">
                  <w:pPr>
                    <w:keepNext w:val="0"/>
                    <w:keepLines w:val="0"/>
                    <w:widowControl/>
                    <w:suppressLineNumbers w:val="0"/>
                    <w:adjustRightInd w:val="0"/>
                    <w:snapToGrid w:val="0"/>
                    <w:spacing w:before="0" w:beforeAutospacing="0" w:after="0" w:afterAutospacing="0" w:line="276" w:lineRule="auto"/>
                    <w:ind w:left="0" w:right="0"/>
                    <w:jc w:val="center"/>
                    <w:rPr>
                      <w:rFonts w:hint="default" w:ascii="Times New Roman" w:hAnsi="Times New Roman" w:eastAsia="宋体" w:cs="Times New Roman"/>
                      <w:strike w:val="0"/>
                      <w:dstrike w:val="0"/>
                      <w:color w:val="auto"/>
                      <w:kern w:val="2"/>
                      <w:sz w:val="18"/>
                      <w:szCs w:val="18"/>
                      <w:highlight w:val="none"/>
                      <w:lang w:val="en-US" w:eastAsia="zh-CN" w:bidi="ar-SA"/>
                    </w:rPr>
                  </w:pPr>
                  <w:r>
                    <w:rPr>
                      <w:rFonts w:hint="default" w:ascii="Times New Roman" w:hAnsi="Times New Roman" w:eastAsia="宋体" w:cs="Times New Roman"/>
                      <w:strike w:val="0"/>
                      <w:dstrike w:val="0"/>
                      <w:color w:val="auto"/>
                      <w:sz w:val="18"/>
                      <w:szCs w:val="18"/>
                      <w:highlight w:val="none"/>
                      <w:lang w:val="en-US" w:eastAsia="zh-CN"/>
                    </w:rPr>
                    <w:t>绿城城投·礼贤未来社区</w:t>
                  </w:r>
                </w:p>
              </w:tc>
              <w:tc>
                <w:tcPr>
                  <w:tcW w:w="527" w:type="pct"/>
                  <w:tcBorders>
                    <w:top w:val="single" w:color="auto" w:sz="4" w:space="0"/>
                    <w:left w:val="single" w:color="auto" w:sz="4" w:space="0"/>
                    <w:bottom w:val="single" w:color="auto" w:sz="4" w:space="0"/>
                    <w:right w:val="single" w:color="auto" w:sz="4" w:space="0"/>
                  </w:tcBorders>
                  <w:shd w:val="clear" w:color="auto" w:fill="auto"/>
                  <w:noWrap w:val="0"/>
                  <w:vAlign w:val="center"/>
                </w:tcPr>
                <w:p w14:paraId="5C8D99FD">
                  <w:pPr>
                    <w:keepNext w:val="0"/>
                    <w:keepLines w:val="0"/>
                    <w:widowControl/>
                    <w:suppressLineNumbers w:val="0"/>
                    <w:adjustRightInd w:val="0"/>
                    <w:snapToGrid w:val="0"/>
                    <w:spacing w:before="0" w:beforeAutospacing="0" w:after="0" w:afterAutospacing="0" w:line="276" w:lineRule="auto"/>
                    <w:ind w:left="0" w:right="0"/>
                    <w:jc w:val="center"/>
                    <w:rPr>
                      <w:rFonts w:hint="default" w:ascii="Times New Roman" w:hAnsi="Times New Roman" w:eastAsia="宋体" w:cs="Times New Roman"/>
                      <w:strike w:val="0"/>
                      <w:dstrike w:val="0"/>
                      <w:color w:val="auto"/>
                      <w:kern w:val="2"/>
                      <w:sz w:val="18"/>
                      <w:szCs w:val="18"/>
                      <w:highlight w:val="none"/>
                      <w:lang w:val="en-US" w:eastAsia="zh-CN" w:bidi="ar-SA"/>
                    </w:rPr>
                  </w:pPr>
                  <w:r>
                    <w:rPr>
                      <w:rFonts w:hint="default" w:ascii="Times New Roman" w:hAnsi="Times New Roman" w:eastAsia="宋体" w:cs="Times New Roman"/>
                      <w:strike w:val="0"/>
                      <w:dstrike w:val="0"/>
                      <w:color w:val="auto"/>
                      <w:sz w:val="18"/>
                      <w:szCs w:val="18"/>
                      <w:highlight w:val="none"/>
                    </w:rPr>
                    <w:t>118.856189</w:t>
                  </w:r>
                </w:p>
              </w:tc>
              <w:tc>
                <w:tcPr>
                  <w:tcW w:w="564" w:type="pct"/>
                  <w:tcBorders>
                    <w:top w:val="single" w:color="auto" w:sz="4" w:space="0"/>
                    <w:left w:val="single" w:color="auto" w:sz="4" w:space="0"/>
                    <w:bottom w:val="single" w:color="auto" w:sz="4" w:space="0"/>
                    <w:right w:val="single" w:color="auto" w:sz="4" w:space="0"/>
                  </w:tcBorders>
                  <w:shd w:val="clear" w:color="auto" w:fill="auto"/>
                  <w:noWrap w:val="0"/>
                  <w:vAlign w:val="center"/>
                </w:tcPr>
                <w:p w14:paraId="5B095918">
                  <w:pPr>
                    <w:keepNext w:val="0"/>
                    <w:keepLines w:val="0"/>
                    <w:widowControl/>
                    <w:suppressLineNumbers w:val="0"/>
                    <w:adjustRightInd w:val="0"/>
                    <w:snapToGrid w:val="0"/>
                    <w:spacing w:before="0" w:beforeAutospacing="0" w:after="0" w:afterAutospacing="0" w:line="276" w:lineRule="auto"/>
                    <w:ind w:left="0" w:right="0"/>
                    <w:jc w:val="center"/>
                    <w:rPr>
                      <w:rFonts w:hint="eastAsia" w:ascii="Times New Roman" w:hAnsi="Times New Roman" w:eastAsia="宋体" w:cs="Times New Roman"/>
                      <w:strike w:val="0"/>
                      <w:dstrike w:val="0"/>
                      <w:color w:val="auto"/>
                      <w:kern w:val="2"/>
                      <w:sz w:val="18"/>
                      <w:szCs w:val="18"/>
                      <w:highlight w:val="none"/>
                      <w:lang w:val="en-US" w:eastAsia="zh-CN" w:bidi="ar-SA"/>
                    </w:rPr>
                  </w:pPr>
                  <w:r>
                    <w:rPr>
                      <w:rFonts w:hint="default" w:ascii="Times New Roman" w:hAnsi="Times New Roman" w:eastAsia="宋体" w:cs="Times New Roman"/>
                      <w:strike w:val="0"/>
                      <w:dstrike w:val="0"/>
                      <w:color w:val="auto"/>
                      <w:sz w:val="18"/>
                      <w:szCs w:val="18"/>
                      <w:highlight w:val="none"/>
                    </w:rPr>
                    <w:t>28.94624</w:t>
                  </w:r>
                  <w:r>
                    <w:rPr>
                      <w:rFonts w:hint="eastAsia" w:ascii="Times New Roman" w:hAnsi="Times New Roman" w:eastAsia="宋体" w:cs="Times New Roman"/>
                      <w:strike w:val="0"/>
                      <w:dstrike w:val="0"/>
                      <w:color w:val="auto"/>
                      <w:sz w:val="18"/>
                      <w:szCs w:val="18"/>
                      <w:highlight w:val="none"/>
                      <w:lang w:val="en-US" w:eastAsia="zh-CN"/>
                    </w:rPr>
                    <w:t>4</w:t>
                  </w:r>
                </w:p>
              </w:tc>
              <w:tc>
                <w:tcPr>
                  <w:tcW w:w="474" w:type="pct"/>
                  <w:tcBorders>
                    <w:top w:val="single" w:color="auto" w:sz="4" w:space="0"/>
                    <w:left w:val="single" w:color="auto" w:sz="4" w:space="0"/>
                    <w:bottom w:val="single" w:color="auto" w:sz="4" w:space="0"/>
                    <w:right w:val="single" w:color="auto" w:sz="4" w:space="0"/>
                  </w:tcBorders>
                  <w:shd w:val="clear" w:color="auto" w:fill="auto"/>
                  <w:noWrap w:val="0"/>
                  <w:vAlign w:val="center"/>
                </w:tcPr>
                <w:p w14:paraId="11F950FA">
                  <w:pPr>
                    <w:keepNext w:val="0"/>
                    <w:keepLines w:val="0"/>
                    <w:widowControl/>
                    <w:suppressLineNumbers w:val="0"/>
                    <w:adjustRightInd w:val="0"/>
                    <w:snapToGrid w:val="0"/>
                    <w:spacing w:before="0" w:beforeAutospacing="0" w:after="0" w:afterAutospacing="0" w:line="276" w:lineRule="auto"/>
                    <w:ind w:left="0" w:right="0"/>
                    <w:jc w:val="center"/>
                    <w:rPr>
                      <w:rFonts w:hint="eastAsia" w:ascii="Times New Roman" w:hAnsi="Times New Roman" w:eastAsia="宋体" w:cs="Times New Roman"/>
                      <w:strike w:val="0"/>
                      <w:dstrike w:val="0"/>
                      <w:color w:val="auto"/>
                      <w:kern w:val="2"/>
                      <w:sz w:val="18"/>
                      <w:szCs w:val="18"/>
                      <w:highlight w:val="none"/>
                      <w:lang w:val="en-US" w:eastAsia="zh-CN" w:bidi="ar-SA"/>
                    </w:rPr>
                  </w:pPr>
                  <w:r>
                    <w:rPr>
                      <w:rFonts w:hint="eastAsia" w:ascii="Times New Roman" w:hAnsi="Times New Roman" w:eastAsia="宋体" w:cs="Times New Roman"/>
                      <w:strike w:val="0"/>
                      <w:dstrike w:val="0"/>
                      <w:color w:val="auto"/>
                      <w:sz w:val="18"/>
                      <w:szCs w:val="18"/>
                      <w:highlight w:val="none"/>
                      <w:lang w:val="en-US" w:eastAsia="zh-CN"/>
                    </w:rPr>
                    <w:t>居住区</w:t>
                  </w:r>
                </w:p>
              </w:tc>
              <w:tc>
                <w:tcPr>
                  <w:tcW w:w="490" w:type="pct"/>
                  <w:tcBorders>
                    <w:top w:val="single" w:color="auto" w:sz="4" w:space="0"/>
                    <w:left w:val="single" w:color="auto" w:sz="4" w:space="0"/>
                    <w:bottom w:val="single" w:color="auto" w:sz="4" w:space="0"/>
                    <w:right w:val="single" w:color="auto" w:sz="4" w:space="0"/>
                  </w:tcBorders>
                  <w:shd w:val="clear" w:color="auto" w:fill="auto"/>
                  <w:noWrap w:val="0"/>
                  <w:vAlign w:val="center"/>
                </w:tcPr>
                <w:p w14:paraId="60F36DD5">
                  <w:pPr>
                    <w:keepNext w:val="0"/>
                    <w:keepLines w:val="0"/>
                    <w:widowControl/>
                    <w:suppressLineNumbers w:val="0"/>
                    <w:adjustRightInd w:val="0"/>
                    <w:snapToGrid w:val="0"/>
                    <w:spacing w:before="0" w:beforeAutospacing="0" w:after="0" w:afterAutospacing="0" w:line="276" w:lineRule="auto"/>
                    <w:ind w:left="0" w:right="0"/>
                    <w:jc w:val="center"/>
                    <w:rPr>
                      <w:rFonts w:hint="eastAsia" w:ascii="Times New Roman" w:hAnsi="Times New Roman" w:eastAsia="宋体" w:cs="Times New Roman"/>
                      <w:strike w:val="0"/>
                      <w:dstrike w:val="0"/>
                      <w:color w:val="auto"/>
                      <w:kern w:val="2"/>
                      <w:sz w:val="18"/>
                      <w:szCs w:val="18"/>
                      <w:highlight w:val="none"/>
                      <w:lang w:val="en-US" w:eastAsia="zh-CN" w:bidi="ar-SA"/>
                    </w:rPr>
                  </w:pPr>
                  <w:r>
                    <w:rPr>
                      <w:rFonts w:hint="eastAsia" w:ascii="Times New Roman" w:hAnsi="Times New Roman" w:eastAsia="宋体" w:cs="Times New Roman"/>
                      <w:strike w:val="0"/>
                      <w:dstrike w:val="0"/>
                      <w:color w:val="auto"/>
                      <w:sz w:val="18"/>
                      <w:szCs w:val="18"/>
                      <w:highlight w:val="none"/>
                      <w:lang w:val="en-US" w:eastAsia="zh-CN"/>
                    </w:rPr>
                    <w:t>居民</w:t>
                  </w:r>
                </w:p>
              </w:tc>
              <w:tc>
                <w:tcPr>
                  <w:tcW w:w="499" w:type="pct"/>
                  <w:tcBorders>
                    <w:top w:val="single" w:color="auto" w:sz="4" w:space="0"/>
                    <w:left w:val="single" w:color="auto" w:sz="4" w:space="0"/>
                    <w:bottom w:val="single" w:color="auto" w:sz="4" w:space="0"/>
                    <w:right w:val="single" w:color="auto" w:sz="4" w:space="0"/>
                  </w:tcBorders>
                  <w:shd w:val="clear" w:color="auto" w:fill="auto"/>
                  <w:noWrap w:val="0"/>
                  <w:vAlign w:val="center"/>
                </w:tcPr>
                <w:p w14:paraId="512F4A2A">
                  <w:pPr>
                    <w:keepNext w:val="0"/>
                    <w:keepLines w:val="0"/>
                    <w:widowControl/>
                    <w:suppressLineNumbers w:val="0"/>
                    <w:adjustRightInd w:val="0"/>
                    <w:snapToGrid w:val="0"/>
                    <w:spacing w:before="0" w:beforeAutospacing="0" w:after="0" w:afterAutospacing="0" w:line="276" w:lineRule="auto"/>
                    <w:ind w:left="0" w:right="0"/>
                    <w:jc w:val="center"/>
                    <w:rPr>
                      <w:rFonts w:hint="eastAsia" w:ascii="Times New Roman" w:hAnsi="Times New Roman" w:eastAsia="宋体" w:cs="Times New Roman"/>
                      <w:strike w:val="0"/>
                      <w:dstrike w:val="0"/>
                      <w:color w:val="auto"/>
                      <w:kern w:val="2"/>
                      <w:sz w:val="18"/>
                      <w:szCs w:val="18"/>
                      <w:highlight w:val="none"/>
                      <w:lang w:val="en-US" w:eastAsia="zh-CN" w:bidi="ar-SA"/>
                    </w:rPr>
                  </w:pPr>
                  <w:r>
                    <w:rPr>
                      <w:rFonts w:hint="eastAsia" w:ascii="Times New Roman" w:hAnsi="Times New Roman" w:eastAsia="宋体" w:cs="Times New Roman"/>
                      <w:strike w:val="0"/>
                      <w:dstrike w:val="0"/>
                      <w:color w:val="auto"/>
                      <w:sz w:val="18"/>
                      <w:szCs w:val="18"/>
                      <w:highlight w:val="none"/>
                      <w:lang w:val="en-US" w:eastAsia="zh-CN"/>
                    </w:rPr>
                    <w:t>二类</w:t>
                  </w:r>
                </w:p>
              </w:tc>
              <w:tc>
                <w:tcPr>
                  <w:tcW w:w="453" w:type="pct"/>
                  <w:tcBorders>
                    <w:top w:val="single" w:color="auto" w:sz="4" w:space="0"/>
                    <w:left w:val="single" w:color="auto" w:sz="4" w:space="0"/>
                    <w:bottom w:val="single" w:color="auto" w:sz="4" w:space="0"/>
                    <w:right w:val="single" w:color="auto" w:sz="4" w:space="0"/>
                  </w:tcBorders>
                  <w:shd w:val="clear" w:color="auto" w:fill="auto"/>
                  <w:noWrap w:val="0"/>
                  <w:vAlign w:val="center"/>
                </w:tcPr>
                <w:p w14:paraId="5391D2D5">
                  <w:pPr>
                    <w:keepNext w:val="0"/>
                    <w:keepLines w:val="0"/>
                    <w:widowControl/>
                    <w:suppressLineNumbers w:val="0"/>
                    <w:adjustRightInd w:val="0"/>
                    <w:snapToGrid w:val="0"/>
                    <w:spacing w:before="0" w:beforeAutospacing="0" w:after="0" w:afterAutospacing="0" w:line="276" w:lineRule="auto"/>
                    <w:ind w:left="0" w:right="0"/>
                    <w:jc w:val="center"/>
                    <w:rPr>
                      <w:rFonts w:hint="default" w:ascii="Times New Roman" w:hAnsi="Times New Roman" w:eastAsia="宋体" w:cs="Times New Roman"/>
                      <w:strike w:val="0"/>
                      <w:dstrike w:val="0"/>
                      <w:color w:val="auto"/>
                      <w:kern w:val="2"/>
                      <w:sz w:val="18"/>
                      <w:szCs w:val="18"/>
                      <w:highlight w:val="none"/>
                      <w:lang w:val="en-US" w:eastAsia="zh-CN" w:bidi="ar-SA"/>
                    </w:rPr>
                  </w:pPr>
                  <w:r>
                    <w:rPr>
                      <w:rFonts w:hint="eastAsia" w:ascii="Times New Roman" w:hAnsi="Times New Roman" w:eastAsia="宋体" w:cs="Times New Roman"/>
                      <w:strike w:val="0"/>
                      <w:dstrike w:val="0"/>
                      <w:color w:val="auto"/>
                      <w:sz w:val="18"/>
                      <w:szCs w:val="18"/>
                      <w:highlight w:val="none"/>
                      <w:lang w:val="en-US" w:eastAsia="zh-CN"/>
                    </w:rPr>
                    <w:t>东南</w:t>
                  </w:r>
                </w:p>
              </w:tc>
              <w:tc>
                <w:tcPr>
                  <w:tcW w:w="551" w:type="pct"/>
                  <w:tcBorders>
                    <w:top w:val="single" w:color="auto" w:sz="4" w:space="0"/>
                    <w:left w:val="single" w:color="auto" w:sz="4" w:space="0"/>
                    <w:bottom w:val="single" w:color="auto" w:sz="4" w:space="0"/>
                    <w:right w:val="single" w:color="auto" w:sz="4" w:space="0"/>
                  </w:tcBorders>
                  <w:shd w:val="clear" w:color="auto" w:fill="auto"/>
                  <w:noWrap w:val="0"/>
                  <w:vAlign w:val="center"/>
                </w:tcPr>
                <w:p w14:paraId="33001C11">
                  <w:pPr>
                    <w:keepNext w:val="0"/>
                    <w:keepLines w:val="0"/>
                    <w:widowControl/>
                    <w:suppressLineNumbers w:val="0"/>
                    <w:adjustRightInd w:val="0"/>
                    <w:snapToGrid w:val="0"/>
                    <w:spacing w:before="0" w:beforeAutospacing="0" w:after="0" w:afterAutospacing="0" w:line="276" w:lineRule="auto"/>
                    <w:ind w:left="0" w:right="0"/>
                    <w:jc w:val="center"/>
                    <w:rPr>
                      <w:rFonts w:hint="default" w:ascii="Times New Roman" w:hAnsi="Times New Roman" w:eastAsia="宋体" w:cs="Times New Roman"/>
                      <w:strike w:val="0"/>
                      <w:dstrike w:val="0"/>
                      <w:color w:val="auto"/>
                      <w:kern w:val="2"/>
                      <w:sz w:val="18"/>
                      <w:szCs w:val="18"/>
                      <w:highlight w:val="none"/>
                      <w:lang w:val="en-US" w:eastAsia="zh-CN" w:bidi="ar-SA"/>
                    </w:rPr>
                  </w:pPr>
                  <w:r>
                    <w:rPr>
                      <w:rFonts w:hint="eastAsia" w:ascii="Times New Roman" w:hAnsi="Times New Roman" w:eastAsia="宋体" w:cs="Times New Roman"/>
                      <w:strike w:val="0"/>
                      <w:dstrike w:val="0"/>
                      <w:color w:val="auto"/>
                      <w:sz w:val="18"/>
                      <w:szCs w:val="18"/>
                      <w:highlight w:val="none"/>
                      <w:lang w:val="en-US" w:eastAsia="zh-CN"/>
                    </w:rPr>
                    <w:t>2200</w:t>
                  </w:r>
                </w:p>
              </w:tc>
            </w:tr>
            <w:tr w14:paraId="4528041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40" w:hRule="atLeast"/>
                <w:jc w:val="center"/>
              </w:trPr>
              <w:tc>
                <w:tcPr>
                  <w:tcW w:w="366" w:type="pct"/>
                  <w:tcBorders>
                    <w:left w:val="single" w:color="auto" w:sz="4" w:space="0"/>
                    <w:right w:val="single" w:color="auto" w:sz="4" w:space="0"/>
                  </w:tcBorders>
                  <w:noWrap w:val="0"/>
                  <w:vAlign w:val="center"/>
                </w:tcPr>
                <w:p w14:paraId="19F7A76A">
                  <w:pPr>
                    <w:keepNext w:val="0"/>
                    <w:keepLines w:val="0"/>
                    <w:widowControl/>
                    <w:suppressLineNumbers w:val="0"/>
                    <w:adjustRightInd w:val="0"/>
                    <w:snapToGrid w:val="0"/>
                    <w:spacing w:before="0" w:beforeAutospacing="0" w:after="0" w:afterAutospacing="0" w:line="276" w:lineRule="auto"/>
                    <w:ind w:left="0" w:right="0"/>
                    <w:jc w:val="center"/>
                    <w:rPr>
                      <w:rFonts w:hint="default" w:ascii="Times New Roman" w:hAnsi="Times New Roman" w:eastAsia="宋体" w:cs="Times New Roman"/>
                      <w:strike w:val="0"/>
                      <w:dstrike w:val="0"/>
                      <w:color w:val="auto"/>
                      <w:sz w:val="18"/>
                      <w:szCs w:val="18"/>
                      <w:highlight w:val="none"/>
                      <w:lang w:val="en-US" w:eastAsia="zh-CN"/>
                    </w:rPr>
                  </w:pPr>
                  <w:r>
                    <w:rPr>
                      <w:rFonts w:hint="eastAsia" w:ascii="Times New Roman" w:hAnsi="Times New Roman" w:eastAsia="宋体" w:cs="Times New Roman"/>
                      <w:strike w:val="0"/>
                      <w:dstrike w:val="0"/>
                      <w:color w:val="auto"/>
                      <w:sz w:val="18"/>
                      <w:szCs w:val="18"/>
                      <w:highlight w:val="none"/>
                      <w:lang w:val="en-US" w:eastAsia="zh-CN"/>
                    </w:rPr>
                    <w:t>30</w:t>
                  </w:r>
                </w:p>
              </w:tc>
              <w:tc>
                <w:tcPr>
                  <w:tcW w:w="1071" w:type="pct"/>
                  <w:tcBorders>
                    <w:top w:val="single" w:color="auto" w:sz="4" w:space="0"/>
                    <w:left w:val="single" w:color="auto" w:sz="4" w:space="0"/>
                    <w:bottom w:val="single" w:color="auto" w:sz="4" w:space="0"/>
                    <w:right w:val="single" w:color="auto" w:sz="4" w:space="0"/>
                  </w:tcBorders>
                  <w:shd w:val="clear" w:color="auto" w:fill="auto"/>
                  <w:noWrap w:val="0"/>
                  <w:vAlign w:val="center"/>
                </w:tcPr>
                <w:p w14:paraId="6547ED3D">
                  <w:pPr>
                    <w:keepNext w:val="0"/>
                    <w:keepLines w:val="0"/>
                    <w:widowControl/>
                    <w:suppressLineNumbers w:val="0"/>
                    <w:adjustRightInd w:val="0"/>
                    <w:snapToGrid w:val="0"/>
                    <w:spacing w:before="0" w:beforeAutospacing="0" w:after="0" w:afterAutospacing="0" w:line="276" w:lineRule="auto"/>
                    <w:ind w:left="0" w:right="0"/>
                    <w:jc w:val="center"/>
                    <w:rPr>
                      <w:rFonts w:hint="default" w:ascii="Times New Roman" w:hAnsi="Times New Roman" w:eastAsia="宋体" w:cs="Times New Roman"/>
                      <w:strike w:val="0"/>
                      <w:dstrike w:val="0"/>
                      <w:color w:val="auto"/>
                      <w:kern w:val="2"/>
                      <w:sz w:val="18"/>
                      <w:szCs w:val="18"/>
                      <w:highlight w:val="none"/>
                      <w:lang w:val="en-US" w:eastAsia="zh-CN" w:bidi="ar-SA"/>
                    </w:rPr>
                  </w:pPr>
                  <w:r>
                    <w:rPr>
                      <w:rFonts w:hint="default" w:ascii="Times New Roman" w:hAnsi="Times New Roman" w:eastAsia="宋体" w:cs="Times New Roman"/>
                      <w:strike w:val="0"/>
                      <w:dstrike w:val="0"/>
                      <w:color w:val="auto"/>
                      <w:sz w:val="18"/>
                      <w:szCs w:val="18"/>
                      <w:highlight w:val="none"/>
                      <w:lang w:val="en-US" w:eastAsia="zh-CN"/>
                    </w:rPr>
                    <w:t>郑云村</w:t>
                  </w:r>
                </w:p>
              </w:tc>
              <w:tc>
                <w:tcPr>
                  <w:tcW w:w="527" w:type="pct"/>
                  <w:tcBorders>
                    <w:top w:val="single" w:color="auto" w:sz="4" w:space="0"/>
                    <w:left w:val="single" w:color="auto" w:sz="4" w:space="0"/>
                    <w:bottom w:val="single" w:color="auto" w:sz="4" w:space="0"/>
                    <w:right w:val="single" w:color="auto" w:sz="4" w:space="0"/>
                  </w:tcBorders>
                  <w:shd w:val="clear" w:color="auto" w:fill="auto"/>
                  <w:noWrap w:val="0"/>
                  <w:vAlign w:val="center"/>
                </w:tcPr>
                <w:p w14:paraId="25425E19">
                  <w:pPr>
                    <w:keepNext w:val="0"/>
                    <w:keepLines w:val="0"/>
                    <w:widowControl/>
                    <w:suppressLineNumbers w:val="0"/>
                    <w:adjustRightInd w:val="0"/>
                    <w:snapToGrid w:val="0"/>
                    <w:spacing w:before="0" w:beforeAutospacing="0" w:after="0" w:afterAutospacing="0" w:line="276" w:lineRule="auto"/>
                    <w:ind w:left="0" w:right="0"/>
                    <w:jc w:val="center"/>
                    <w:rPr>
                      <w:rFonts w:hint="eastAsia" w:ascii="Times New Roman" w:hAnsi="Times New Roman" w:eastAsia="宋体" w:cs="Times New Roman"/>
                      <w:strike w:val="0"/>
                      <w:dstrike w:val="0"/>
                      <w:color w:val="auto"/>
                      <w:kern w:val="2"/>
                      <w:sz w:val="18"/>
                      <w:szCs w:val="18"/>
                      <w:highlight w:val="none"/>
                      <w:lang w:val="en-US" w:eastAsia="zh-CN" w:bidi="ar-SA"/>
                    </w:rPr>
                  </w:pPr>
                  <w:r>
                    <w:rPr>
                      <w:rFonts w:hint="default" w:ascii="Times New Roman" w:hAnsi="Times New Roman" w:eastAsia="宋体" w:cs="Times New Roman"/>
                      <w:strike w:val="0"/>
                      <w:dstrike w:val="0"/>
                      <w:color w:val="auto"/>
                      <w:sz w:val="18"/>
                      <w:szCs w:val="18"/>
                      <w:highlight w:val="none"/>
                    </w:rPr>
                    <w:t>118.80897</w:t>
                  </w:r>
                  <w:r>
                    <w:rPr>
                      <w:rFonts w:hint="eastAsia" w:ascii="Times New Roman" w:hAnsi="Times New Roman" w:eastAsia="宋体" w:cs="Times New Roman"/>
                      <w:strike w:val="0"/>
                      <w:dstrike w:val="0"/>
                      <w:color w:val="auto"/>
                      <w:sz w:val="18"/>
                      <w:szCs w:val="18"/>
                      <w:highlight w:val="none"/>
                      <w:lang w:val="en-US" w:eastAsia="zh-CN"/>
                    </w:rPr>
                    <w:t>2</w:t>
                  </w:r>
                </w:p>
              </w:tc>
              <w:tc>
                <w:tcPr>
                  <w:tcW w:w="564" w:type="pct"/>
                  <w:tcBorders>
                    <w:top w:val="single" w:color="auto" w:sz="4" w:space="0"/>
                    <w:left w:val="single" w:color="auto" w:sz="4" w:space="0"/>
                    <w:bottom w:val="single" w:color="auto" w:sz="4" w:space="0"/>
                    <w:right w:val="single" w:color="auto" w:sz="4" w:space="0"/>
                  </w:tcBorders>
                  <w:shd w:val="clear" w:color="auto" w:fill="auto"/>
                  <w:noWrap w:val="0"/>
                  <w:vAlign w:val="center"/>
                </w:tcPr>
                <w:p w14:paraId="362A8C37">
                  <w:pPr>
                    <w:keepNext w:val="0"/>
                    <w:keepLines w:val="0"/>
                    <w:widowControl/>
                    <w:suppressLineNumbers w:val="0"/>
                    <w:adjustRightInd w:val="0"/>
                    <w:snapToGrid w:val="0"/>
                    <w:spacing w:before="0" w:beforeAutospacing="0" w:after="0" w:afterAutospacing="0" w:line="276" w:lineRule="auto"/>
                    <w:ind w:left="0" w:right="0"/>
                    <w:jc w:val="center"/>
                    <w:rPr>
                      <w:rFonts w:hint="default" w:ascii="Times New Roman" w:hAnsi="Times New Roman" w:eastAsia="宋体" w:cs="Times New Roman"/>
                      <w:strike w:val="0"/>
                      <w:dstrike w:val="0"/>
                      <w:color w:val="auto"/>
                      <w:kern w:val="2"/>
                      <w:sz w:val="18"/>
                      <w:szCs w:val="18"/>
                      <w:highlight w:val="none"/>
                      <w:lang w:val="en-US" w:eastAsia="zh-CN" w:bidi="ar-SA"/>
                    </w:rPr>
                  </w:pPr>
                  <w:r>
                    <w:rPr>
                      <w:rFonts w:hint="default" w:ascii="Times New Roman" w:hAnsi="Times New Roman" w:eastAsia="宋体" w:cs="Times New Roman"/>
                      <w:strike w:val="0"/>
                      <w:dstrike w:val="0"/>
                      <w:color w:val="auto"/>
                      <w:sz w:val="18"/>
                      <w:szCs w:val="18"/>
                      <w:highlight w:val="none"/>
                    </w:rPr>
                    <w:t>28.966359</w:t>
                  </w:r>
                </w:p>
              </w:tc>
              <w:tc>
                <w:tcPr>
                  <w:tcW w:w="474" w:type="pct"/>
                  <w:tcBorders>
                    <w:top w:val="single" w:color="auto" w:sz="4" w:space="0"/>
                    <w:left w:val="single" w:color="auto" w:sz="4" w:space="0"/>
                    <w:bottom w:val="single" w:color="auto" w:sz="4" w:space="0"/>
                    <w:right w:val="single" w:color="auto" w:sz="4" w:space="0"/>
                  </w:tcBorders>
                  <w:shd w:val="clear" w:color="auto" w:fill="auto"/>
                  <w:noWrap w:val="0"/>
                  <w:vAlign w:val="center"/>
                </w:tcPr>
                <w:p w14:paraId="2F7D3CF0">
                  <w:pPr>
                    <w:keepNext w:val="0"/>
                    <w:keepLines w:val="0"/>
                    <w:widowControl/>
                    <w:suppressLineNumbers w:val="0"/>
                    <w:adjustRightInd w:val="0"/>
                    <w:snapToGrid w:val="0"/>
                    <w:spacing w:before="0" w:beforeAutospacing="0" w:after="0" w:afterAutospacing="0" w:line="276" w:lineRule="auto"/>
                    <w:ind w:left="0" w:right="0"/>
                    <w:jc w:val="center"/>
                    <w:rPr>
                      <w:rFonts w:hint="eastAsia" w:ascii="Times New Roman" w:hAnsi="Times New Roman" w:eastAsia="宋体" w:cs="Times New Roman"/>
                      <w:strike w:val="0"/>
                      <w:dstrike w:val="0"/>
                      <w:color w:val="auto"/>
                      <w:kern w:val="2"/>
                      <w:sz w:val="18"/>
                      <w:szCs w:val="18"/>
                      <w:highlight w:val="none"/>
                      <w:lang w:val="en-US" w:eastAsia="zh-CN" w:bidi="ar-SA"/>
                    </w:rPr>
                  </w:pPr>
                  <w:r>
                    <w:rPr>
                      <w:rFonts w:hint="eastAsia" w:ascii="Times New Roman" w:hAnsi="Times New Roman" w:eastAsia="宋体" w:cs="Times New Roman"/>
                      <w:strike w:val="0"/>
                      <w:dstrike w:val="0"/>
                      <w:color w:val="auto"/>
                      <w:sz w:val="18"/>
                      <w:szCs w:val="18"/>
                      <w:highlight w:val="none"/>
                      <w:lang w:val="en-US" w:eastAsia="zh-CN"/>
                    </w:rPr>
                    <w:t>居住区</w:t>
                  </w:r>
                </w:p>
              </w:tc>
              <w:tc>
                <w:tcPr>
                  <w:tcW w:w="490" w:type="pct"/>
                  <w:tcBorders>
                    <w:top w:val="single" w:color="auto" w:sz="4" w:space="0"/>
                    <w:left w:val="single" w:color="auto" w:sz="4" w:space="0"/>
                    <w:bottom w:val="single" w:color="auto" w:sz="4" w:space="0"/>
                    <w:right w:val="single" w:color="auto" w:sz="4" w:space="0"/>
                  </w:tcBorders>
                  <w:shd w:val="clear" w:color="auto" w:fill="auto"/>
                  <w:noWrap w:val="0"/>
                  <w:vAlign w:val="center"/>
                </w:tcPr>
                <w:p w14:paraId="089688EA">
                  <w:pPr>
                    <w:keepNext w:val="0"/>
                    <w:keepLines w:val="0"/>
                    <w:widowControl/>
                    <w:suppressLineNumbers w:val="0"/>
                    <w:adjustRightInd w:val="0"/>
                    <w:snapToGrid w:val="0"/>
                    <w:spacing w:before="0" w:beforeAutospacing="0" w:after="0" w:afterAutospacing="0" w:line="276" w:lineRule="auto"/>
                    <w:ind w:left="0" w:right="0"/>
                    <w:jc w:val="center"/>
                    <w:rPr>
                      <w:rFonts w:hint="eastAsia" w:ascii="Times New Roman" w:hAnsi="Times New Roman" w:eastAsia="宋体" w:cs="Times New Roman"/>
                      <w:strike w:val="0"/>
                      <w:dstrike w:val="0"/>
                      <w:color w:val="auto"/>
                      <w:kern w:val="2"/>
                      <w:sz w:val="18"/>
                      <w:szCs w:val="18"/>
                      <w:highlight w:val="none"/>
                      <w:lang w:val="en-US" w:eastAsia="zh-CN" w:bidi="ar-SA"/>
                    </w:rPr>
                  </w:pPr>
                  <w:r>
                    <w:rPr>
                      <w:rFonts w:hint="eastAsia" w:ascii="Times New Roman" w:hAnsi="Times New Roman" w:eastAsia="宋体" w:cs="Times New Roman"/>
                      <w:strike w:val="0"/>
                      <w:dstrike w:val="0"/>
                      <w:color w:val="auto"/>
                      <w:sz w:val="18"/>
                      <w:szCs w:val="18"/>
                      <w:highlight w:val="none"/>
                      <w:lang w:val="en-US" w:eastAsia="zh-CN"/>
                    </w:rPr>
                    <w:t>居民</w:t>
                  </w:r>
                </w:p>
              </w:tc>
              <w:tc>
                <w:tcPr>
                  <w:tcW w:w="499" w:type="pct"/>
                  <w:tcBorders>
                    <w:top w:val="single" w:color="auto" w:sz="4" w:space="0"/>
                    <w:left w:val="single" w:color="auto" w:sz="4" w:space="0"/>
                    <w:bottom w:val="single" w:color="auto" w:sz="4" w:space="0"/>
                    <w:right w:val="single" w:color="auto" w:sz="4" w:space="0"/>
                  </w:tcBorders>
                  <w:shd w:val="clear" w:color="auto" w:fill="auto"/>
                  <w:noWrap w:val="0"/>
                  <w:vAlign w:val="center"/>
                </w:tcPr>
                <w:p w14:paraId="6BBB214C">
                  <w:pPr>
                    <w:keepNext w:val="0"/>
                    <w:keepLines w:val="0"/>
                    <w:widowControl/>
                    <w:suppressLineNumbers w:val="0"/>
                    <w:adjustRightInd w:val="0"/>
                    <w:snapToGrid w:val="0"/>
                    <w:spacing w:before="0" w:beforeAutospacing="0" w:after="0" w:afterAutospacing="0" w:line="276" w:lineRule="auto"/>
                    <w:ind w:left="0" w:right="0"/>
                    <w:jc w:val="center"/>
                    <w:rPr>
                      <w:rFonts w:hint="eastAsia" w:ascii="Times New Roman" w:hAnsi="Times New Roman" w:eastAsia="宋体" w:cs="Times New Roman"/>
                      <w:strike w:val="0"/>
                      <w:dstrike w:val="0"/>
                      <w:color w:val="auto"/>
                      <w:kern w:val="2"/>
                      <w:sz w:val="18"/>
                      <w:szCs w:val="18"/>
                      <w:highlight w:val="none"/>
                      <w:lang w:val="en-US" w:eastAsia="zh-CN" w:bidi="ar-SA"/>
                    </w:rPr>
                  </w:pPr>
                  <w:r>
                    <w:rPr>
                      <w:rFonts w:hint="eastAsia" w:ascii="Times New Roman" w:hAnsi="Times New Roman" w:eastAsia="宋体" w:cs="Times New Roman"/>
                      <w:strike w:val="0"/>
                      <w:dstrike w:val="0"/>
                      <w:color w:val="auto"/>
                      <w:sz w:val="18"/>
                      <w:szCs w:val="18"/>
                      <w:highlight w:val="none"/>
                      <w:lang w:val="en-US" w:eastAsia="zh-CN"/>
                    </w:rPr>
                    <w:t>二类</w:t>
                  </w:r>
                </w:p>
              </w:tc>
              <w:tc>
                <w:tcPr>
                  <w:tcW w:w="453" w:type="pct"/>
                  <w:tcBorders>
                    <w:top w:val="single" w:color="auto" w:sz="4" w:space="0"/>
                    <w:left w:val="single" w:color="auto" w:sz="4" w:space="0"/>
                    <w:bottom w:val="single" w:color="auto" w:sz="4" w:space="0"/>
                    <w:right w:val="single" w:color="auto" w:sz="4" w:space="0"/>
                  </w:tcBorders>
                  <w:shd w:val="clear" w:color="auto" w:fill="auto"/>
                  <w:noWrap w:val="0"/>
                  <w:vAlign w:val="center"/>
                </w:tcPr>
                <w:p w14:paraId="2B6B8744">
                  <w:pPr>
                    <w:keepNext w:val="0"/>
                    <w:keepLines w:val="0"/>
                    <w:widowControl/>
                    <w:suppressLineNumbers w:val="0"/>
                    <w:adjustRightInd w:val="0"/>
                    <w:snapToGrid w:val="0"/>
                    <w:spacing w:before="0" w:beforeAutospacing="0" w:after="0" w:afterAutospacing="0" w:line="276" w:lineRule="auto"/>
                    <w:ind w:left="0" w:right="0"/>
                    <w:jc w:val="center"/>
                    <w:rPr>
                      <w:rFonts w:hint="default" w:ascii="Times New Roman" w:hAnsi="Times New Roman" w:eastAsia="宋体" w:cs="Times New Roman"/>
                      <w:strike w:val="0"/>
                      <w:dstrike w:val="0"/>
                      <w:color w:val="auto"/>
                      <w:kern w:val="2"/>
                      <w:sz w:val="18"/>
                      <w:szCs w:val="18"/>
                      <w:highlight w:val="none"/>
                      <w:lang w:val="en-US" w:eastAsia="zh-CN" w:bidi="ar-SA"/>
                    </w:rPr>
                  </w:pPr>
                  <w:r>
                    <w:rPr>
                      <w:rFonts w:hint="eastAsia" w:ascii="Times New Roman" w:hAnsi="Times New Roman" w:eastAsia="宋体" w:cs="Times New Roman"/>
                      <w:strike w:val="0"/>
                      <w:dstrike w:val="0"/>
                      <w:color w:val="auto"/>
                      <w:sz w:val="18"/>
                      <w:szCs w:val="18"/>
                      <w:highlight w:val="none"/>
                      <w:lang w:val="en-US" w:eastAsia="zh-CN"/>
                    </w:rPr>
                    <w:t>西北</w:t>
                  </w:r>
                </w:p>
              </w:tc>
              <w:tc>
                <w:tcPr>
                  <w:tcW w:w="551" w:type="pct"/>
                  <w:tcBorders>
                    <w:top w:val="single" w:color="auto" w:sz="4" w:space="0"/>
                    <w:left w:val="single" w:color="auto" w:sz="4" w:space="0"/>
                    <w:bottom w:val="single" w:color="auto" w:sz="4" w:space="0"/>
                    <w:right w:val="single" w:color="auto" w:sz="4" w:space="0"/>
                  </w:tcBorders>
                  <w:shd w:val="clear" w:color="auto" w:fill="auto"/>
                  <w:noWrap w:val="0"/>
                  <w:vAlign w:val="center"/>
                </w:tcPr>
                <w:p w14:paraId="1E63F9B6">
                  <w:pPr>
                    <w:keepNext w:val="0"/>
                    <w:keepLines w:val="0"/>
                    <w:widowControl/>
                    <w:suppressLineNumbers w:val="0"/>
                    <w:adjustRightInd w:val="0"/>
                    <w:snapToGrid w:val="0"/>
                    <w:spacing w:before="0" w:beforeAutospacing="0" w:after="0" w:afterAutospacing="0" w:line="276" w:lineRule="auto"/>
                    <w:ind w:left="0" w:right="0"/>
                    <w:jc w:val="center"/>
                    <w:rPr>
                      <w:rFonts w:hint="default" w:ascii="Times New Roman" w:hAnsi="Times New Roman" w:eastAsia="宋体" w:cs="Times New Roman"/>
                      <w:strike w:val="0"/>
                      <w:dstrike w:val="0"/>
                      <w:color w:val="auto"/>
                      <w:kern w:val="2"/>
                      <w:sz w:val="18"/>
                      <w:szCs w:val="18"/>
                      <w:highlight w:val="none"/>
                      <w:lang w:val="en-US" w:eastAsia="zh-CN" w:bidi="ar-SA"/>
                    </w:rPr>
                  </w:pPr>
                  <w:r>
                    <w:rPr>
                      <w:rFonts w:hint="eastAsia" w:ascii="Times New Roman" w:hAnsi="Times New Roman" w:eastAsia="宋体" w:cs="Times New Roman"/>
                      <w:strike w:val="0"/>
                      <w:dstrike w:val="0"/>
                      <w:color w:val="auto"/>
                      <w:sz w:val="18"/>
                      <w:szCs w:val="18"/>
                      <w:highlight w:val="none"/>
                      <w:lang w:val="en-US" w:eastAsia="zh-CN"/>
                    </w:rPr>
                    <w:t>2610</w:t>
                  </w:r>
                </w:p>
              </w:tc>
            </w:tr>
            <w:tr w14:paraId="7B8571C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40" w:hRule="atLeast"/>
                <w:jc w:val="center"/>
              </w:trPr>
              <w:tc>
                <w:tcPr>
                  <w:tcW w:w="366" w:type="pct"/>
                  <w:tcBorders>
                    <w:left w:val="single" w:color="auto" w:sz="4" w:space="0"/>
                    <w:right w:val="single" w:color="auto" w:sz="4" w:space="0"/>
                  </w:tcBorders>
                  <w:noWrap w:val="0"/>
                  <w:vAlign w:val="center"/>
                </w:tcPr>
                <w:p w14:paraId="2BFD54FF">
                  <w:pPr>
                    <w:keepNext w:val="0"/>
                    <w:keepLines w:val="0"/>
                    <w:widowControl/>
                    <w:suppressLineNumbers w:val="0"/>
                    <w:adjustRightInd w:val="0"/>
                    <w:snapToGrid w:val="0"/>
                    <w:spacing w:before="0" w:beforeAutospacing="0" w:after="0" w:afterAutospacing="0" w:line="276" w:lineRule="auto"/>
                    <w:ind w:left="0" w:right="0"/>
                    <w:jc w:val="center"/>
                    <w:rPr>
                      <w:rFonts w:hint="default" w:ascii="Times New Roman" w:hAnsi="Times New Roman" w:eastAsia="宋体" w:cs="Times New Roman"/>
                      <w:strike w:val="0"/>
                      <w:dstrike w:val="0"/>
                      <w:color w:val="auto"/>
                      <w:sz w:val="18"/>
                      <w:szCs w:val="18"/>
                      <w:highlight w:val="none"/>
                      <w:lang w:val="en-US" w:eastAsia="zh-CN"/>
                    </w:rPr>
                  </w:pPr>
                  <w:r>
                    <w:rPr>
                      <w:rFonts w:hint="eastAsia" w:ascii="Times New Roman" w:hAnsi="Times New Roman" w:eastAsia="宋体" w:cs="Times New Roman"/>
                      <w:strike w:val="0"/>
                      <w:dstrike w:val="0"/>
                      <w:color w:val="auto"/>
                      <w:sz w:val="18"/>
                      <w:szCs w:val="18"/>
                      <w:highlight w:val="none"/>
                      <w:lang w:val="en-US" w:eastAsia="zh-CN"/>
                    </w:rPr>
                    <w:t>31</w:t>
                  </w:r>
                </w:p>
              </w:tc>
              <w:tc>
                <w:tcPr>
                  <w:tcW w:w="1071" w:type="pct"/>
                  <w:tcBorders>
                    <w:top w:val="single" w:color="auto" w:sz="4" w:space="0"/>
                    <w:left w:val="single" w:color="auto" w:sz="4" w:space="0"/>
                    <w:bottom w:val="single" w:color="auto" w:sz="4" w:space="0"/>
                    <w:right w:val="single" w:color="auto" w:sz="4" w:space="0"/>
                  </w:tcBorders>
                  <w:shd w:val="clear" w:color="auto" w:fill="auto"/>
                  <w:noWrap w:val="0"/>
                  <w:vAlign w:val="center"/>
                </w:tcPr>
                <w:p w14:paraId="058F9910">
                  <w:pPr>
                    <w:keepNext w:val="0"/>
                    <w:keepLines w:val="0"/>
                    <w:widowControl/>
                    <w:suppressLineNumbers w:val="0"/>
                    <w:adjustRightInd w:val="0"/>
                    <w:snapToGrid w:val="0"/>
                    <w:spacing w:before="0" w:beforeAutospacing="0" w:after="0" w:afterAutospacing="0" w:line="276" w:lineRule="auto"/>
                    <w:ind w:left="0" w:right="0"/>
                    <w:jc w:val="center"/>
                    <w:rPr>
                      <w:rFonts w:hint="default" w:ascii="Times New Roman" w:hAnsi="Times New Roman" w:eastAsia="宋体" w:cs="Times New Roman"/>
                      <w:strike w:val="0"/>
                      <w:dstrike w:val="0"/>
                      <w:color w:val="auto"/>
                      <w:kern w:val="2"/>
                      <w:sz w:val="18"/>
                      <w:szCs w:val="18"/>
                      <w:highlight w:val="none"/>
                      <w:lang w:val="en-US" w:eastAsia="zh-CN" w:bidi="ar-SA"/>
                    </w:rPr>
                  </w:pPr>
                  <w:r>
                    <w:rPr>
                      <w:rFonts w:hint="default" w:ascii="Times New Roman" w:hAnsi="Times New Roman" w:eastAsia="宋体" w:cs="Times New Roman"/>
                      <w:strike w:val="0"/>
                      <w:dstrike w:val="0"/>
                      <w:color w:val="auto"/>
                      <w:sz w:val="18"/>
                      <w:szCs w:val="18"/>
                      <w:highlight w:val="none"/>
                      <w:lang w:val="en-US" w:eastAsia="zh-CN"/>
                    </w:rPr>
                    <w:t>姜家山村</w:t>
                  </w:r>
                </w:p>
              </w:tc>
              <w:tc>
                <w:tcPr>
                  <w:tcW w:w="527" w:type="pct"/>
                  <w:tcBorders>
                    <w:top w:val="single" w:color="auto" w:sz="4" w:space="0"/>
                    <w:left w:val="single" w:color="auto" w:sz="4" w:space="0"/>
                    <w:bottom w:val="single" w:color="auto" w:sz="4" w:space="0"/>
                    <w:right w:val="single" w:color="auto" w:sz="4" w:space="0"/>
                  </w:tcBorders>
                  <w:shd w:val="clear" w:color="auto" w:fill="auto"/>
                  <w:noWrap w:val="0"/>
                  <w:vAlign w:val="center"/>
                </w:tcPr>
                <w:p w14:paraId="7FBBC0AE">
                  <w:pPr>
                    <w:keepNext w:val="0"/>
                    <w:keepLines w:val="0"/>
                    <w:widowControl/>
                    <w:suppressLineNumbers w:val="0"/>
                    <w:adjustRightInd w:val="0"/>
                    <w:snapToGrid w:val="0"/>
                    <w:spacing w:before="0" w:beforeAutospacing="0" w:after="0" w:afterAutospacing="0" w:line="276" w:lineRule="auto"/>
                    <w:ind w:left="0" w:right="0"/>
                    <w:jc w:val="center"/>
                    <w:rPr>
                      <w:rFonts w:hint="default" w:ascii="Times New Roman" w:hAnsi="Times New Roman" w:eastAsia="宋体" w:cs="Times New Roman"/>
                      <w:strike w:val="0"/>
                      <w:dstrike w:val="0"/>
                      <w:color w:val="auto"/>
                      <w:kern w:val="2"/>
                      <w:sz w:val="18"/>
                      <w:szCs w:val="18"/>
                      <w:highlight w:val="none"/>
                      <w:lang w:val="en-US" w:eastAsia="zh-CN" w:bidi="ar-SA"/>
                    </w:rPr>
                  </w:pPr>
                  <w:r>
                    <w:rPr>
                      <w:rFonts w:hint="default" w:ascii="Times New Roman" w:hAnsi="Times New Roman" w:eastAsia="宋体" w:cs="Times New Roman"/>
                      <w:strike w:val="0"/>
                      <w:dstrike w:val="0"/>
                      <w:color w:val="auto"/>
                      <w:sz w:val="18"/>
                      <w:szCs w:val="18"/>
                      <w:highlight w:val="none"/>
                    </w:rPr>
                    <w:t>118.821203</w:t>
                  </w:r>
                </w:p>
              </w:tc>
              <w:tc>
                <w:tcPr>
                  <w:tcW w:w="564" w:type="pct"/>
                  <w:tcBorders>
                    <w:top w:val="single" w:color="auto" w:sz="4" w:space="0"/>
                    <w:left w:val="single" w:color="auto" w:sz="4" w:space="0"/>
                    <w:bottom w:val="single" w:color="auto" w:sz="4" w:space="0"/>
                    <w:right w:val="single" w:color="auto" w:sz="4" w:space="0"/>
                  </w:tcBorders>
                  <w:shd w:val="clear" w:color="auto" w:fill="auto"/>
                  <w:noWrap w:val="0"/>
                  <w:vAlign w:val="center"/>
                </w:tcPr>
                <w:p w14:paraId="4F47743B">
                  <w:pPr>
                    <w:keepNext w:val="0"/>
                    <w:keepLines w:val="0"/>
                    <w:widowControl/>
                    <w:suppressLineNumbers w:val="0"/>
                    <w:adjustRightInd w:val="0"/>
                    <w:snapToGrid w:val="0"/>
                    <w:spacing w:before="0" w:beforeAutospacing="0" w:after="0" w:afterAutospacing="0" w:line="276" w:lineRule="auto"/>
                    <w:ind w:left="0" w:right="0"/>
                    <w:jc w:val="center"/>
                    <w:rPr>
                      <w:rFonts w:hint="eastAsia" w:ascii="Times New Roman" w:hAnsi="Times New Roman" w:eastAsia="宋体" w:cs="Times New Roman"/>
                      <w:strike w:val="0"/>
                      <w:dstrike w:val="0"/>
                      <w:color w:val="auto"/>
                      <w:kern w:val="2"/>
                      <w:sz w:val="18"/>
                      <w:szCs w:val="18"/>
                      <w:highlight w:val="none"/>
                      <w:lang w:val="en-US" w:eastAsia="zh-CN" w:bidi="ar-SA"/>
                    </w:rPr>
                  </w:pPr>
                  <w:r>
                    <w:rPr>
                      <w:rFonts w:hint="default" w:ascii="Times New Roman" w:hAnsi="Times New Roman" w:eastAsia="宋体" w:cs="Times New Roman"/>
                      <w:strike w:val="0"/>
                      <w:dstrike w:val="0"/>
                      <w:color w:val="auto"/>
                      <w:sz w:val="18"/>
                      <w:szCs w:val="18"/>
                      <w:highlight w:val="none"/>
                    </w:rPr>
                    <w:t>28.97306</w:t>
                  </w:r>
                  <w:r>
                    <w:rPr>
                      <w:rFonts w:hint="eastAsia" w:ascii="Times New Roman" w:hAnsi="Times New Roman" w:eastAsia="宋体" w:cs="Times New Roman"/>
                      <w:strike w:val="0"/>
                      <w:dstrike w:val="0"/>
                      <w:color w:val="auto"/>
                      <w:sz w:val="18"/>
                      <w:szCs w:val="18"/>
                      <w:highlight w:val="none"/>
                      <w:lang w:val="en-US" w:eastAsia="zh-CN"/>
                    </w:rPr>
                    <w:t>5</w:t>
                  </w:r>
                </w:p>
              </w:tc>
              <w:tc>
                <w:tcPr>
                  <w:tcW w:w="474" w:type="pct"/>
                  <w:tcBorders>
                    <w:top w:val="single" w:color="auto" w:sz="4" w:space="0"/>
                    <w:left w:val="single" w:color="auto" w:sz="4" w:space="0"/>
                    <w:bottom w:val="single" w:color="auto" w:sz="4" w:space="0"/>
                    <w:right w:val="single" w:color="auto" w:sz="4" w:space="0"/>
                  </w:tcBorders>
                  <w:shd w:val="clear" w:color="auto" w:fill="auto"/>
                  <w:noWrap w:val="0"/>
                  <w:vAlign w:val="center"/>
                </w:tcPr>
                <w:p w14:paraId="6614EAF0">
                  <w:pPr>
                    <w:keepNext w:val="0"/>
                    <w:keepLines w:val="0"/>
                    <w:widowControl/>
                    <w:suppressLineNumbers w:val="0"/>
                    <w:adjustRightInd w:val="0"/>
                    <w:snapToGrid w:val="0"/>
                    <w:spacing w:before="0" w:beforeAutospacing="0" w:after="0" w:afterAutospacing="0" w:line="276" w:lineRule="auto"/>
                    <w:ind w:left="0" w:right="0"/>
                    <w:jc w:val="center"/>
                    <w:rPr>
                      <w:rFonts w:hint="eastAsia" w:ascii="Times New Roman" w:hAnsi="Times New Roman" w:eastAsia="宋体" w:cs="Times New Roman"/>
                      <w:strike w:val="0"/>
                      <w:dstrike w:val="0"/>
                      <w:color w:val="auto"/>
                      <w:kern w:val="2"/>
                      <w:sz w:val="18"/>
                      <w:szCs w:val="18"/>
                      <w:highlight w:val="none"/>
                      <w:lang w:val="en-US" w:eastAsia="zh-CN" w:bidi="ar-SA"/>
                    </w:rPr>
                  </w:pPr>
                  <w:r>
                    <w:rPr>
                      <w:rFonts w:hint="eastAsia" w:ascii="Times New Roman" w:hAnsi="Times New Roman" w:eastAsia="宋体" w:cs="Times New Roman"/>
                      <w:strike w:val="0"/>
                      <w:dstrike w:val="0"/>
                      <w:color w:val="auto"/>
                      <w:sz w:val="18"/>
                      <w:szCs w:val="18"/>
                      <w:highlight w:val="none"/>
                      <w:lang w:val="en-US" w:eastAsia="zh-CN"/>
                    </w:rPr>
                    <w:t>居住区</w:t>
                  </w:r>
                </w:p>
              </w:tc>
              <w:tc>
                <w:tcPr>
                  <w:tcW w:w="490" w:type="pct"/>
                  <w:tcBorders>
                    <w:top w:val="single" w:color="auto" w:sz="4" w:space="0"/>
                    <w:left w:val="single" w:color="auto" w:sz="4" w:space="0"/>
                    <w:bottom w:val="single" w:color="auto" w:sz="4" w:space="0"/>
                    <w:right w:val="single" w:color="auto" w:sz="4" w:space="0"/>
                  </w:tcBorders>
                  <w:shd w:val="clear" w:color="auto" w:fill="auto"/>
                  <w:noWrap w:val="0"/>
                  <w:vAlign w:val="center"/>
                </w:tcPr>
                <w:p w14:paraId="64609469">
                  <w:pPr>
                    <w:keepNext w:val="0"/>
                    <w:keepLines w:val="0"/>
                    <w:widowControl/>
                    <w:suppressLineNumbers w:val="0"/>
                    <w:adjustRightInd w:val="0"/>
                    <w:snapToGrid w:val="0"/>
                    <w:spacing w:before="0" w:beforeAutospacing="0" w:after="0" w:afterAutospacing="0" w:line="276" w:lineRule="auto"/>
                    <w:ind w:left="0" w:right="0"/>
                    <w:jc w:val="center"/>
                    <w:rPr>
                      <w:rFonts w:hint="eastAsia" w:ascii="Times New Roman" w:hAnsi="Times New Roman" w:eastAsia="宋体" w:cs="Times New Roman"/>
                      <w:strike w:val="0"/>
                      <w:dstrike w:val="0"/>
                      <w:color w:val="auto"/>
                      <w:kern w:val="2"/>
                      <w:sz w:val="18"/>
                      <w:szCs w:val="18"/>
                      <w:highlight w:val="none"/>
                      <w:lang w:val="en-US" w:eastAsia="zh-CN" w:bidi="ar-SA"/>
                    </w:rPr>
                  </w:pPr>
                  <w:r>
                    <w:rPr>
                      <w:rFonts w:hint="eastAsia" w:ascii="Times New Roman" w:hAnsi="Times New Roman" w:eastAsia="宋体" w:cs="Times New Roman"/>
                      <w:strike w:val="0"/>
                      <w:dstrike w:val="0"/>
                      <w:color w:val="auto"/>
                      <w:sz w:val="18"/>
                      <w:szCs w:val="18"/>
                      <w:highlight w:val="none"/>
                      <w:lang w:val="en-US" w:eastAsia="zh-CN"/>
                    </w:rPr>
                    <w:t>居民</w:t>
                  </w:r>
                </w:p>
              </w:tc>
              <w:tc>
                <w:tcPr>
                  <w:tcW w:w="499" w:type="pct"/>
                  <w:tcBorders>
                    <w:top w:val="single" w:color="auto" w:sz="4" w:space="0"/>
                    <w:left w:val="single" w:color="auto" w:sz="4" w:space="0"/>
                    <w:bottom w:val="single" w:color="auto" w:sz="4" w:space="0"/>
                    <w:right w:val="single" w:color="auto" w:sz="4" w:space="0"/>
                  </w:tcBorders>
                  <w:shd w:val="clear" w:color="auto" w:fill="auto"/>
                  <w:noWrap w:val="0"/>
                  <w:vAlign w:val="center"/>
                </w:tcPr>
                <w:p w14:paraId="117C92CA">
                  <w:pPr>
                    <w:keepNext w:val="0"/>
                    <w:keepLines w:val="0"/>
                    <w:widowControl/>
                    <w:suppressLineNumbers w:val="0"/>
                    <w:adjustRightInd w:val="0"/>
                    <w:snapToGrid w:val="0"/>
                    <w:spacing w:before="0" w:beforeAutospacing="0" w:after="0" w:afterAutospacing="0" w:line="276" w:lineRule="auto"/>
                    <w:ind w:left="0" w:right="0"/>
                    <w:jc w:val="center"/>
                    <w:rPr>
                      <w:rFonts w:hint="eastAsia" w:ascii="Times New Roman" w:hAnsi="Times New Roman" w:eastAsia="宋体" w:cs="Times New Roman"/>
                      <w:strike w:val="0"/>
                      <w:dstrike w:val="0"/>
                      <w:color w:val="auto"/>
                      <w:kern w:val="2"/>
                      <w:sz w:val="18"/>
                      <w:szCs w:val="18"/>
                      <w:highlight w:val="none"/>
                      <w:lang w:val="en-US" w:eastAsia="zh-CN" w:bidi="ar-SA"/>
                    </w:rPr>
                  </w:pPr>
                  <w:r>
                    <w:rPr>
                      <w:rFonts w:hint="eastAsia" w:ascii="Times New Roman" w:hAnsi="Times New Roman" w:eastAsia="宋体" w:cs="Times New Roman"/>
                      <w:strike w:val="0"/>
                      <w:dstrike w:val="0"/>
                      <w:color w:val="auto"/>
                      <w:sz w:val="18"/>
                      <w:szCs w:val="18"/>
                      <w:highlight w:val="none"/>
                      <w:lang w:val="en-US" w:eastAsia="zh-CN"/>
                    </w:rPr>
                    <w:t>二类</w:t>
                  </w:r>
                </w:p>
              </w:tc>
              <w:tc>
                <w:tcPr>
                  <w:tcW w:w="453" w:type="pct"/>
                  <w:tcBorders>
                    <w:top w:val="single" w:color="auto" w:sz="4" w:space="0"/>
                    <w:left w:val="single" w:color="auto" w:sz="4" w:space="0"/>
                    <w:bottom w:val="single" w:color="auto" w:sz="4" w:space="0"/>
                    <w:right w:val="single" w:color="auto" w:sz="4" w:space="0"/>
                  </w:tcBorders>
                  <w:shd w:val="clear" w:color="auto" w:fill="auto"/>
                  <w:noWrap w:val="0"/>
                  <w:vAlign w:val="center"/>
                </w:tcPr>
                <w:p w14:paraId="1219001A">
                  <w:pPr>
                    <w:keepNext w:val="0"/>
                    <w:keepLines w:val="0"/>
                    <w:widowControl/>
                    <w:suppressLineNumbers w:val="0"/>
                    <w:adjustRightInd w:val="0"/>
                    <w:snapToGrid w:val="0"/>
                    <w:spacing w:before="0" w:beforeAutospacing="0" w:after="0" w:afterAutospacing="0" w:line="276" w:lineRule="auto"/>
                    <w:ind w:left="0" w:right="0"/>
                    <w:jc w:val="center"/>
                    <w:rPr>
                      <w:rFonts w:hint="default" w:ascii="Times New Roman" w:hAnsi="Times New Roman" w:eastAsia="宋体" w:cs="Times New Roman"/>
                      <w:strike w:val="0"/>
                      <w:dstrike w:val="0"/>
                      <w:color w:val="auto"/>
                      <w:kern w:val="2"/>
                      <w:sz w:val="18"/>
                      <w:szCs w:val="18"/>
                      <w:highlight w:val="none"/>
                      <w:lang w:val="en-US" w:eastAsia="zh-CN" w:bidi="ar-SA"/>
                    </w:rPr>
                  </w:pPr>
                  <w:r>
                    <w:rPr>
                      <w:rFonts w:hint="eastAsia" w:ascii="Times New Roman" w:hAnsi="Times New Roman" w:eastAsia="宋体" w:cs="Times New Roman"/>
                      <w:strike w:val="0"/>
                      <w:dstrike w:val="0"/>
                      <w:color w:val="auto"/>
                      <w:sz w:val="18"/>
                      <w:szCs w:val="18"/>
                      <w:highlight w:val="none"/>
                      <w:lang w:val="en-US" w:eastAsia="zh-CN"/>
                    </w:rPr>
                    <w:t>西北</w:t>
                  </w:r>
                </w:p>
              </w:tc>
              <w:tc>
                <w:tcPr>
                  <w:tcW w:w="551" w:type="pct"/>
                  <w:tcBorders>
                    <w:top w:val="single" w:color="auto" w:sz="4" w:space="0"/>
                    <w:left w:val="single" w:color="auto" w:sz="4" w:space="0"/>
                    <w:bottom w:val="single" w:color="auto" w:sz="4" w:space="0"/>
                    <w:right w:val="single" w:color="auto" w:sz="4" w:space="0"/>
                  </w:tcBorders>
                  <w:shd w:val="clear" w:color="auto" w:fill="auto"/>
                  <w:noWrap w:val="0"/>
                  <w:vAlign w:val="center"/>
                </w:tcPr>
                <w:p w14:paraId="090C1EF3">
                  <w:pPr>
                    <w:keepNext w:val="0"/>
                    <w:keepLines w:val="0"/>
                    <w:widowControl/>
                    <w:suppressLineNumbers w:val="0"/>
                    <w:adjustRightInd w:val="0"/>
                    <w:snapToGrid w:val="0"/>
                    <w:spacing w:before="0" w:beforeAutospacing="0" w:after="0" w:afterAutospacing="0" w:line="276" w:lineRule="auto"/>
                    <w:ind w:left="0" w:right="0"/>
                    <w:jc w:val="center"/>
                    <w:rPr>
                      <w:rFonts w:hint="default" w:ascii="Times New Roman" w:hAnsi="Times New Roman" w:eastAsia="宋体" w:cs="Times New Roman"/>
                      <w:strike w:val="0"/>
                      <w:dstrike w:val="0"/>
                      <w:color w:val="auto"/>
                      <w:kern w:val="2"/>
                      <w:sz w:val="18"/>
                      <w:szCs w:val="18"/>
                      <w:highlight w:val="none"/>
                      <w:lang w:val="en-US" w:eastAsia="zh-CN" w:bidi="ar-SA"/>
                    </w:rPr>
                  </w:pPr>
                  <w:r>
                    <w:rPr>
                      <w:rFonts w:hint="eastAsia" w:ascii="Times New Roman" w:hAnsi="Times New Roman" w:eastAsia="宋体" w:cs="Times New Roman"/>
                      <w:strike w:val="0"/>
                      <w:dstrike w:val="0"/>
                      <w:color w:val="auto"/>
                      <w:sz w:val="18"/>
                      <w:szCs w:val="18"/>
                      <w:highlight w:val="none"/>
                      <w:lang w:val="en-US" w:eastAsia="zh-CN"/>
                    </w:rPr>
                    <w:t>2300</w:t>
                  </w:r>
                </w:p>
              </w:tc>
            </w:tr>
            <w:tr w14:paraId="6BD8901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40" w:hRule="atLeast"/>
                <w:jc w:val="center"/>
              </w:trPr>
              <w:tc>
                <w:tcPr>
                  <w:tcW w:w="366" w:type="pct"/>
                  <w:tcBorders>
                    <w:left w:val="single" w:color="auto" w:sz="4" w:space="0"/>
                    <w:right w:val="single" w:color="auto" w:sz="4" w:space="0"/>
                  </w:tcBorders>
                  <w:noWrap w:val="0"/>
                  <w:vAlign w:val="center"/>
                </w:tcPr>
                <w:p w14:paraId="6D1917EE">
                  <w:pPr>
                    <w:keepNext w:val="0"/>
                    <w:keepLines w:val="0"/>
                    <w:widowControl/>
                    <w:suppressLineNumbers w:val="0"/>
                    <w:adjustRightInd w:val="0"/>
                    <w:snapToGrid w:val="0"/>
                    <w:spacing w:before="0" w:beforeAutospacing="0" w:after="0" w:afterAutospacing="0" w:line="276" w:lineRule="auto"/>
                    <w:ind w:left="0" w:right="0"/>
                    <w:jc w:val="center"/>
                    <w:rPr>
                      <w:rFonts w:hint="default" w:ascii="Times New Roman" w:hAnsi="Times New Roman" w:eastAsia="宋体" w:cs="Times New Roman"/>
                      <w:strike w:val="0"/>
                      <w:dstrike w:val="0"/>
                      <w:color w:val="auto"/>
                      <w:sz w:val="18"/>
                      <w:szCs w:val="18"/>
                      <w:highlight w:val="none"/>
                      <w:lang w:val="en-US" w:eastAsia="zh-CN"/>
                    </w:rPr>
                  </w:pPr>
                  <w:r>
                    <w:rPr>
                      <w:rFonts w:hint="eastAsia" w:ascii="Times New Roman" w:hAnsi="Times New Roman" w:eastAsia="宋体" w:cs="Times New Roman"/>
                      <w:strike w:val="0"/>
                      <w:dstrike w:val="0"/>
                      <w:color w:val="auto"/>
                      <w:sz w:val="18"/>
                      <w:szCs w:val="18"/>
                      <w:highlight w:val="none"/>
                      <w:lang w:val="en-US" w:eastAsia="zh-CN"/>
                    </w:rPr>
                    <w:t>32</w:t>
                  </w:r>
                </w:p>
              </w:tc>
              <w:tc>
                <w:tcPr>
                  <w:tcW w:w="1071" w:type="pct"/>
                  <w:tcBorders>
                    <w:top w:val="single" w:color="auto" w:sz="4" w:space="0"/>
                    <w:left w:val="single" w:color="auto" w:sz="4" w:space="0"/>
                    <w:bottom w:val="single" w:color="auto" w:sz="4" w:space="0"/>
                    <w:right w:val="single" w:color="auto" w:sz="4" w:space="0"/>
                  </w:tcBorders>
                  <w:shd w:val="clear" w:color="auto" w:fill="auto"/>
                  <w:noWrap w:val="0"/>
                  <w:vAlign w:val="center"/>
                </w:tcPr>
                <w:p w14:paraId="17C8B982">
                  <w:pPr>
                    <w:keepNext w:val="0"/>
                    <w:keepLines w:val="0"/>
                    <w:widowControl/>
                    <w:suppressLineNumbers w:val="0"/>
                    <w:adjustRightInd w:val="0"/>
                    <w:snapToGrid w:val="0"/>
                    <w:spacing w:before="0" w:beforeAutospacing="0" w:after="0" w:afterAutospacing="0" w:line="276" w:lineRule="auto"/>
                    <w:ind w:left="0" w:right="0"/>
                    <w:jc w:val="center"/>
                    <w:rPr>
                      <w:rFonts w:hint="default" w:ascii="Times New Roman" w:hAnsi="Times New Roman" w:eastAsia="宋体" w:cs="Times New Roman"/>
                      <w:strike w:val="0"/>
                      <w:dstrike w:val="0"/>
                      <w:color w:val="auto"/>
                      <w:kern w:val="2"/>
                      <w:sz w:val="18"/>
                      <w:szCs w:val="18"/>
                      <w:highlight w:val="none"/>
                      <w:lang w:val="en-US" w:eastAsia="zh-CN" w:bidi="ar-SA"/>
                    </w:rPr>
                  </w:pPr>
                  <w:r>
                    <w:rPr>
                      <w:rFonts w:hint="default" w:ascii="Times New Roman" w:hAnsi="Times New Roman" w:eastAsia="宋体" w:cs="Times New Roman"/>
                      <w:strike w:val="0"/>
                      <w:dstrike w:val="0"/>
                      <w:color w:val="auto"/>
                      <w:sz w:val="18"/>
                      <w:szCs w:val="18"/>
                      <w:highlight w:val="none"/>
                      <w:lang w:val="en-US" w:eastAsia="zh-CN"/>
                    </w:rPr>
                    <w:t>柯城区人民医院</w:t>
                  </w:r>
                </w:p>
              </w:tc>
              <w:tc>
                <w:tcPr>
                  <w:tcW w:w="527" w:type="pct"/>
                  <w:tcBorders>
                    <w:top w:val="single" w:color="auto" w:sz="4" w:space="0"/>
                    <w:left w:val="single" w:color="auto" w:sz="4" w:space="0"/>
                    <w:bottom w:val="single" w:color="auto" w:sz="4" w:space="0"/>
                    <w:right w:val="single" w:color="auto" w:sz="4" w:space="0"/>
                  </w:tcBorders>
                  <w:shd w:val="clear" w:color="auto" w:fill="auto"/>
                  <w:noWrap w:val="0"/>
                  <w:vAlign w:val="center"/>
                </w:tcPr>
                <w:p w14:paraId="1108AFFF">
                  <w:pPr>
                    <w:keepNext w:val="0"/>
                    <w:keepLines w:val="0"/>
                    <w:widowControl/>
                    <w:suppressLineNumbers w:val="0"/>
                    <w:adjustRightInd w:val="0"/>
                    <w:snapToGrid w:val="0"/>
                    <w:spacing w:before="0" w:beforeAutospacing="0" w:after="0" w:afterAutospacing="0" w:line="276" w:lineRule="auto"/>
                    <w:ind w:left="0" w:right="0"/>
                    <w:jc w:val="center"/>
                    <w:rPr>
                      <w:rFonts w:hint="default" w:ascii="Times New Roman" w:hAnsi="Times New Roman" w:eastAsia="宋体" w:cs="Times New Roman"/>
                      <w:strike w:val="0"/>
                      <w:dstrike w:val="0"/>
                      <w:color w:val="auto"/>
                      <w:kern w:val="2"/>
                      <w:sz w:val="18"/>
                      <w:szCs w:val="18"/>
                      <w:highlight w:val="none"/>
                      <w:lang w:val="en-US" w:eastAsia="zh-CN" w:bidi="ar-SA"/>
                    </w:rPr>
                  </w:pPr>
                  <w:r>
                    <w:rPr>
                      <w:rFonts w:hint="default" w:ascii="Times New Roman" w:hAnsi="Times New Roman" w:eastAsia="宋体" w:cs="Times New Roman"/>
                      <w:strike w:val="0"/>
                      <w:dstrike w:val="0"/>
                      <w:color w:val="auto"/>
                      <w:sz w:val="18"/>
                      <w:szCs w:val="18"/>
                      <w:highlight w:val="none"/>
                    </w:rPr>
                    <w:t>118.854011</w:t>
                  </w:r>
                </w:p>
              </w:tc>
              <w:tc>
                <w:tcPr>
                  <w:tcW w:w="564" w:type="pct"/>
                  <w:tcBorders>
                    <w:top w:val="single" w:color="auto" w:sz="4" w:space="0"/>
                    <w:left w:val="single" w:color="auto" w:sz="4" w:space="0"/>
                    <w:bottom w:val="single" w:color="auto" w:sz="4" w:space="0"/>
                    <w:right w:val="single" w:color="auto" w:sz="4" w:space="0"/>
                  </w:tcBorders>
                  <w:shd w:val="clear" w:color="auto" w:fill="auto"/>
                  <w:noWrap w:val="0"/>
                  <w:vAlign w:val="center"/>
                </w:tcPr>
                <w:p w14:paraId="438BBB40">
                  <w:pPr>
                    <w:keepNext w:val="0"/>
                    <w:keepLines w:val="0"/>
                    <w:widowControl/>
                    <w:suppressLineNumbers w:val="0"/>
                    <w:adjustRightInd w:val="0"/>
                    <w:snapToGrid w:val="0"/>
                    <w:spacing w:before="0" w:beforeAutospacing="0" w:after="0" w:afterAutospacing="0" w:line="276" w:lineRule="auto"/>
                    <w:ind w:left="0" w:right="0"/>
                    <w:jc w:val="center"/>
                    <w:rPr>
                      <w:rFonts w:hint="eastAsia" w:ascii="Times New Roman" w:hAnsi="Times New Roman" w:eastAsia="宋体" w:cs="Times New Roman"/>
                      <w:strike w:val="0"/>
                      <w:dstrike w:val="0"/>
                      <w:color w:val="auto"/>
                      <w:kern w:val="2"/>
                      <w:sz w:val="18"/>
                      <w:szCs w:val="18"/>
                      <w:highlight w:val="none"/>
                      <w:lang w:val="en-US" w:eastAsia="zh-CN" w:bidi="ar-SA"/>
                    </w:rPr>
                  </w:pPr>
                  <w:r>
                    <w:rPr>
                      <w:rFonts w:hint="default" w:ascii="Times New Roman" w:hAnsi="Times New Roman" w:eastAsia="宋体" w:cs="Times New Roman"/>
                      <w:strike w:val="0"/>
                      <w:dstrike w:val="0"/>
                      <w:color w:val="auto"/>
                      <w:sz w:val="18"/>
                      <w:szCs w:val="18"/>
                      <w:highlight w:val="none"/>
                    </w:rPr>
                    <w:t>28.94193</w:t>
                  </w:r>
                  <w:r>
                    <w:rPr>
                      <w:rFonts w:hint="eastAsia" w:ascii="Times New Roman" w:hAnsi="Times New Roman" w:eastAsia="宋体" w:cs="Times New Roman"/>
                      <w:strike w:val="0"/>
                      <w:dstrike w:val="0"/>
                      <w:color w:val="auto"/>
                      <w:sz w:val="18"/>
                      <w:szCs w:val="18"/>
                      <w:highlight w:val="none"/>
                      <w:lang w:val="en-US" w:eastAsia="zh-CN"/>
                    </w:rPr>
                    <w:t>1</w:t>
                  </w:r>
                </w:p>
              </w:tc>
              <w:tc>
                <w:tcPr>
                  <w:tcW w:w="474" w:type="pct"/>
                  <w:tcBorders>
                    <w:top w:val="single" w:color="auto" w:sz="4" w:space="0"/>
                    <w:left w:val="single" w:color="auto" w:sz="4" w:space="0"/>
                    <w:bottom w:val="single" w:color="auto" w:sz="4" w:space="0"/>
                    <w:right w:val="single" w:color="auto" w:sz="4" w:space="0"/>
                  </w:tcBorders>
                  <w:shd w:val="clear" w:color="auto" w:fill="auto"/>
                  <w:noWrap w:val="0"/>
                  <w:vAlign w:val="center"/>
                </w:tcPr>
                <w:p w14:paraId="7A4AB217">
                  <w:pPr>
                    <w:keepNext w:val="0"/>
                    <w:keepLines w:val="0"/>
                    <w:widowControl/>
                    <w:suppressLineNumbers w:val="0"/>
                    <w:adjustRightInd w:val="0"/>
                    <w:snapToGrid w:val="0"/>
                    <w:spacing w:before="0" w:beforeAutospacing="0" w:after="0" w:afterAutospacing="0" w:line="276" w:lineRule="auto"/>
                    <w:ind w:left="0" w:right="0"/>
                    <w:jc w:val="center"/>
                    <w:rPr>
                      <w:rFonts w:hint="eastAsia" w:ascii="Times New Roman" w:hAnsi="Times New Roman" w:eastAsia="宋体" w:cs="Times New Roman"/>
                      <w:strike w:val="0"/>
                      <w:dstrike w:val="0"/>
                      <w:color w:val="auto"/>
                      <w:kern w:val="2"/>
                      <w:sz w:val="18"/>
                      <w:szCs w:val="18"/>
                      <w:highlight w:val="none"/>
                      <w:lang w:val="en-US" w:eastAsia="zh-CN" w:bidi="ar-SA"/>
                    </w:rPr>
                  </w:pPr>
                  <w:r>
                    <w:rPr>
                      <w:rFonts w:hint="eastAsia" w:ascii="Times New Roman" w:hAnsi="Times New Roman" w:eastAsia="宋体" w:cs="Times New Roman"/>
                      <w:strike w:val="0"/>
                      <w:dstrike w:val="0"/>
                      <w:color w:val="auto"/>
                      <w:sz w:val="18"/>
                      <w:szCs w:val="18"/>
                      <w:highlight w:val="none"/>
                      <w:lang w:val="en-US" w:eastAsia="zh-CN"/>
                    </w:rPr>
                    <w:t>医院</w:t>
                  </w:r>
                </w:p>
              </w:tc>
              <w:tc>
                <w:tcPr>
                  <w:tcW w:w="490" w:type="pct"/>
                  <w:tcBorders>
                    <w:top w:val="single" w:color="auto" w:sz="4" w:space="0"/>
                    <w:left w:val="single" w:color="auto" w:sz="4" w:space="0"/>
                    <w:bottom w:val="single" w:color="auto" w:sz="4" w:space="0"/>
                    <w:right w:val="single" w:color="auto" w:sz="4" w:space="0"/>
                  </w:tcBorders>
                  <w:shd w:val="clear" w:color="auto" w:fill="auto"/>
                  <w:noWrap w:val="0"/>
                  <w:vAlign w:val="center"/>
                </w:tcPr>
                <w:p w14:paraId="47C7D5A9">
                  <w:pPr>
                    <w:keepNext w:val="0"/>
                    <w:keepLines w:val="0"/>
                    <w:widowControl/>
                    <w:suppressLineNumbers w:val="0"/>
                    <w:adjustRightInd w:val="0"/>
                    <w:snapToGrid w:val="0"/>
                    <w:spacing w:before="0" w:beforeAutospacing="0" w:after="0" w:afterAutospacing="0" w:line="276" w:lineRule="auto"/>
                    <w:ind w:left="0" w:right="0"/>
                    <w:jc w:val="center"/>
                    <w:rPr>
                      <w:rFonts w:hint="eastAsia" w:ascii="Times New Roman" w:hAnsi="Times New Roman" w:eastAsia="宋体" w:cs="Times New Roman"/>
                      <w:strike w:val="0"/>
                      <w:dstrike w:val="0"/>
                      <w:color w:val="auto"/>
                      <w:kern w:val="2"/>
                      <w:sz w:val="18"/>
                      <w:szCs w:val="18"/>
                      <w:highlight w:val="none"/>
                      <w:lang w:val="en-US" w:eastAsia="zh-CN" w:bidi="ar-SA"/>
                    </w:rPr>
                  </w:pPr>
                  <w:r>
                    <w:rPr>
                      <w:rFonts w:hint="eastAsia" w:ascii="Times New Roman" w:hAnsi="Times New Roman" w:eastAsia="宋体" w:cs="Times New Roman"/>
                      <w:strike w:val="0"/>
                      <w:dstrike w:val="0"/>
                      <w:color w:val="auto"/>
                      <w:sz w:val="18"/>
                      <w:szCs w:val="18"/>
                      <w:highlight w:val="none"/>
                      <w:lang w:val="en-US" w:eastAsia="zh-CN"/>
                    </w:rPr>
                    <w:t>医护、病人</w:t>
                  </w:r>
                </w:p>
              </w:tc>
              <w:tc>
                <w:tcPr>
                  <w:tcW w:w="499" w:type="pct"/>
                  <w:tcBorders>
                    <w:top w:val="single" w:color="auto" w:sz="4" w:space="0"/>
                    <w:left w:val="single" w:color="auto" w:sz="4" w:space="0"/>
                    <w:bottom w:val="single" w:color="auto" w:sz="4" w:space="0"/>
                    <w:right w:val="single" w:color="auto" w:sz="4" w:space="0"/>
                  </w:tcBorders>
                  <w:shd w:val="clear" w:color="auto" w:fill="auto"/>
                  <w:noWrap w:val="0"/>
                  <w:vAlign w:val="center"/>
                </w:tcPr>
                <w:p w14:paraId="48998F70">
                  <w:pPr>
                    <w:keepNext w:val="0"/>
                    <w:keepLines w:val="0"/>
                    <w:widowControl/>
                    <w:suppressLineNumbers w:val="0"/>
                    <w:adjustRightInd w:val="0"/>
                    <w:snapToGrid w:val="0"/>
                    <w:spacing w:before="0" w:beforeAutospacing="0" w:after="0" w:afterAutospacing="0" w:line="276" w:lineRule="auto"/>
                    <w:ind w:left="0" w:right="0"/>
                    <w:jc w:val="center"/>
                    <w:rPr>
                      <w:rFonts w:hint="eastAsia" w:ascii="Times New Roman" w:hAnsi="Times New Roman" w:eastAsia="宋体" w:cs="Times New Roman"/>
                      <w:strike w:val="0"/>
                      <w:dstrike w:val="0"/>
                      <w:color w:val="auto"/>
                      <w:kern w:val="2"/>
                      <w:sz w:val="18"/>
                      <w:szCs w:val="18"/>
                      <w:highlight w:val="none"/>
                      <w:lang w:val="en-US" w:eastAsia="zh-CN" w:bidi="ar-SA"/>
                    </w:rPr>
                  </w:pPr>
                  <w:r>
                    <w:rPr>
                      <w:rFonts w:hint="eastAsia" w:ascii="Times New Roman" w:hAnsi="Times New Roman" w:eastAsia="宋体" w:cs="Times New Roman"/>
                      <w:strike w:val="0"/>
                      <w:dstrike w:val="0"/>
                      <w:color w:val="auto"/>
                      <w:sz w:val="18"/>
                      <w:szCs w:val="18"/>
                      <w:highlight w:val="none"/>
                      <w:lang w:val="en-US" w:eastAsia="zh-CN"/>
                    </w:rPr>
                    <w:t>二类</w:t>
                  </w:r>
                </w:p>
              </w:tc>
              <w:tc>
                <w:tcPr>
                  <w:tcW w:w="453" w:type="pct"/>
                  <w:tcBorders>
                    <w:top w:val="single" w:color="auto" w:sz="4" w:space="0"/>
                    <w:left w:val="single" w:color="auto" w:sz="4" w:space="0"/>
                    <w:bottom w:val="single" w:color="auto" w:sz="4" w:space="0"/>
                    <w:right w:val="single" w:color="auto" w:sz="4" w:space="0"/>
                  </w:tcBorders>
                  <w:shd w:val="clear" w:color="auto" w:fill="auto"/>
                  <w:noWrap w:val="0"/>
                  <w:vAlign w:val="center"/>
                </w:tcPr>
                <w:p w14:paraId="3B77B29E">
                  <w:pPr>
                    <w:keepNext w:val="0"/>
                    <w:keepLines w:val="0"/>
                    <w:widowControl/>
                    <w:suppressLineNumbers w:val="0"/>
                    <w:adjustRightInd w:val="0"/>
                    <w:snapToGrid w:val="0"/>
                    <w:spacing w:before="0" w:beforeAutospacing="0" w:after="0" w:afterAutospacing="0" w:line="276" w:lineRule="auto"/>
                    <w:ind w:left="0" w:right="0"/>
                    <w:jc w:val="center"/>
                    <w:rPr>
                      <w:rFonts w:hint="default" w:ascii="Times New Roman" w:hAnsi="Times New Roman" w:eastAsia="宋体" w:cs="Times New Roman"/>
                      <w:strike w:val="0"/>
                      <w:dstrike w:val="0"/>
                      <w:color w:val="auto"/>
                      <w:kern w:val="2"/>
                      <w:sz w:val="18"/>
                      <w:szCs w:val="18"/>
                      <w:highlight w:val="none"/>
                      <w:lang w:val="en-US" w:eastAsia="zh-CN" w:bidi="ar-SA"/>
                    </w:rPr>
                  </w:pPr>
                  <w:r>
                    <w:rPr>
                      <w:rFonts w:hint="eastAsia" w:ascii="Times New Roman" w:hAnsi="Times New Roman" w:eastAsia="宋体" w:cs="Times New Roman"/>
                      <w:strike w:val="0"/>
                      <w:dstrike w:val="0"/>
                      <w:color w:val="auto"/>
                      <w:sz w:val="18"/>
                      <w:szCs w:val="18"/>
                      <w:highlight w:val="none"/>
                      <w:lang w:val="en-US" w:eastAsia="zh-CN"/>
                    </w:rPr>
                    <w:t>东南</w:t>
                  </w:r>
                </w:p>
              </w:tc>
              <w:tc>
                <w:tcPr>
                  <w:tcW w:w="551" w:type="pct"/>
                  <w:tcBorders>
                    <w:top w:val="single" w:color="auto" w:sz="4" w:space="0"/>
                    <w:left w:val="single" w:color="auto" w:sz="4" w:space="0"/>
                    <w:bottom w:val="single" w:color="auto" w:sz="4" w:space="0"/>
                    <w:right w:val="single" w:color="auto" w:sz="4" w:space="0"/>
                  </w:tcBorders>
                  <w:shd w:val="clear" w:color="auto" w:fill="auto"/>
                  <w:noWrap w:val="0"/>
                  <w:vAlign w:val="center"/>
                </w:tcPr>
                <w:p w14:paraId="03078BBA">
                  <w:pPr>
                    <w:keepNext w:val="0"/>
                    <w:keepLines w:val="0"/>
                    <w:widowControl/>
                    <w:suppressLineNumbers w:val="0"/>
                    <w:adjustRightInd w:val="0"/>
                    <w:snapToGrid w:val="0"/>
                    <w:spacing w:before="0" w:beforeAutospacing="0" w:after="0" w:afterAutospacing="0" w:line="276" w:lineRule="auto"/>
                    <w:ind w:left="0" w:right="0"/>
                    <w:jc w:val="center"/>
                    <w:rPr>
                      <w:rFonts w:hint="default" w:ascii="Times New Roman" w:hAnsi="Times New Roman" w:eastAsia="宋体" w:cs="Times New Roman"/>
                      <w:strike w:val="0"/>
                      <w:dstrike w:val="0"/>
                      <w:color w:val="auto"/>
                      <w:kern w:val="2"/>
                      <w:sz w:val="18"/>
                      <w:szCs w:val="18"/>
                      <w:highlight w:val="none"/>
                      <w:lang w:val="en-US" w:eastAsia="zh-CN" w:bidi="ar-SA"/>
                    </w:rPr>
                  </w:pPr>
                  <w:r>
                    <w:rPr>
                      <w:rFonts w:hint="eastAsia" w:ascii="Times New Roman" w:hAnsi="Times New Roman" w:eastAsia="宋体" w:cs="Times New Roman"/>
                      <w:strike w:val="0"/>
                      <w:dstrike w:val="0"/>
                      <w:color w:val="auto"/>
                      <w:sz w:val="18"/>
                      <w:szCs w:val="18"/>
                      <w:highlight w:val="none"/>
                      <w:lang w:val="en-US" w:eastAsia="zh-CN"/>
                    </w:rPr>
                    <w:t>2190</w:t>
                  </w:r>
                </w:p>
              </w:tc>
            </w:tr>
            <w:tr w14:paraId="4492DF1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40" w:hRule="atLeast"/>
                <w:jc w:val="center"/>
              </w:trPr>
              <w:tc>
                <w:tcPr>
                  <w:tcW w:w="366" w:type="pct"/>
                  <w:tcBorders>
                    <w:left w:val="single" w:color="auto" w:sz="4" w:space="0"/>
                    <w:right w:val="single" w:color="auto" w:sz="4" w:space="0"/>
                  </w:tcBorders>
                  <w:noWrap w:val="0"/>
                  <w:vAlign w:val="center"/>
                </w:tcPr>
                <w:p w14:paraId="3AC7E400">
                  <w:pPr>
                    <w:keepNext w:val="0"/>
                    <w:keepLines w:val="0"/>
                    <w:widowControl/>
                    <w:suppressLineNumbers w:val="0"/>
                    <w:adjustRightInd w:val="0"/>
                    <w:snapToGrid w:val="0"/>
                    <w:spacing w:before="0" w:beforeAutospacing="0" w:after="0" w:afterAutospacing="0" w:line="276" w:lineRule="auto"/>
                    <w:ind w:left="0" w:right="0"/>
                    <w:jc w:val="center"/>
                    <w:rPr>
                      <w:rFonts w:hint="default" w:ascii="Times New Roman" w:hAnsi="Times New Roman" w:eastAsia="宋体" w:cs="Times New Roman"/>
                      <w:strike w:val="0"/>
                      <w:dstrike w:val="0"/>
                      <w:color w:val="auto"/>
                      <w:sz w:val="18"/>
                      <w:szCs w:val="18"/>
                      <w:highlight w:val="none"/>
                      <w:lang w:val="en-US" w:eastAsia="zh-CN"/>
                    </w:rPr>
                  </w:pPr>
                  <w:r>
                    <w:rPr>
                      <w:rFonts w:hint="eastAsia" w:ascii="Times New Roman" w:hAnsi="Times New Roman" w:eastAsia="宋体" w:cs="Times New Roman"/>
                      <w:strike w:val="0"/>
                      <w:dstrike w:val="0"/>
                      <w:color w:val="auto"/>
                      <w:sz w:val="18"/>
                      <w:szCs w:val="18"/>
                      <w:highlight w:val="none"/>
                      <w:lang w:val="en-US" w:eastAsia="zh-CN"/>
                    </w:rPr>
                    <w:t>33</w:t>
                  </w:r>
                </w:p>
              </w:tc>
              <w:tc>
                <w:tcPr>
                  <w:tcW w:w="1071" w:type="pct"/>
                  <w:tcBorders>
                    <w:top w:val="single" w:color="auto" w:sz="4" w:space="0"/>
                    <w:left w:val="single" w:color="auto" w:sz="4" w:space="0"/>
                    <w:bottom w:val="single" w:color="auto" w:sz="4" w:space="0"/>
                    <w:right w:val="single" w:color="auto" w:sz="4" w:space="0"/>
                  </w:tcBorders>
                  <w:shd w:val="clear" w:color="auto" w:fill="auto"/>
                  <w:noWrap w:val="0"/>
                  <w:vAlign w:val="center"/>
                </w:tcPr>
                <w:p w14:paraId="55107F39">
                  <w:pPr>
                    <w:keepNext w:val="0"/>
                    <w:keepLines w:val="0"/>
                    <w:widowControl/>
                    <w:suppressLineNumbers w:val="0"/>
                    <w:adjustRightInd w:val="0"/>
                    <w:snapToGrid w:val="0"/>
                    <w:spacing w:before="0" w:beforeAutospacing="0" w:after="0" w:afterAutospacing="0" w:line="276" w:lineRule="auto"/>
                    <w:ind w:left="0" w:right="0"/>
                    <w:jc w:val="center"/>
                    <w:rPr>
                      <w:rFonts w:hint="default" w:ascii="Times New Roman" w:hAnsi="Times New Roman" w:eastAsia="宋体" w:cs="Times New Roman"/>
                      <w:strike w:val="0"/>
                      <w:dstrike w:val="0"/>
                      <w:color w:val="auto"/>
                      <w:kern w:val="2"/>
                      <w:sz w:val="18"/>
                      <w:szCs w:val="18"/>
                      <w:highlight w:val="none"/>
                      <w:lang w:val="en-US" w:eastAsia="zh-CN" w:bidi="ar-SA"/>
                    </w:rPr>
                  </w:pPr>
                  <w:r>
                    <w:rPr>
                      <w:rFonts w:hint="default" w:ascii="Times New Roman" w:hAnsi="Times New Roman" w:eastAsia="宋体" w:cs="Times New Roman"/>
                      <w:strike w:val="0"/>
                      <w:dstrike w:val="0"/>
                      <w:color w:val="auto"/>
                      <w:sz w:val="18"/>
                      <w:szCs w:val="18"/>
                      <w:highlight w:val="none"/>
                      <w:lang w:val="en-US" w:eastAsia="zh-CN"/>
                    </w:rPr>
                    <w:t>衢州市自然资源和规划局柯城分局</w:t>
                  </w:r>
                </w:p>
              </w:tc>
              <w:tc>
                <w:tcPr>
                  <w:tcW w:w="527" w:type="pct"/>
                  <w:tcBorders>
                    <w:top w:val="single" w:color="auto" w:sz="4" w:space="0"/>
                    <w:left w:val="single" w:color="auto" w:sz="4" w:space="0"/>
                    <w:bottom w:val="single" w:color="auto" w:sz="4" w:space="0"/>
                    <w:right w:val="single" w:color="auto" w:sz="4" w:space="0"/>
                  </w:tcBorders>
                  <w:shd w:val="clear" w:color="auto" w:fill="auto"/>
                  <w:noWrap w:val="0"/>
                  <w:vAlign w:val="center"/>
                </w:tcPr>
                <w:p w14:paraId="2C0D5C17">
                  <w:pPr>
                    <w:keepNext w:val="0"/>
                    <w:keepLines w:val="0"/>
                    <w:widowControl/>
                    <w:suppressLineNumbers w:val="0"/>
                    <w:adjustRightInd w:val="0"/>
                    <w:snapToGrid w:val="0"/>
                    <w:spacing w:before="0" w:beforeAutospacing="0" w:after="0" w:afterAutospacing="0" w:line="276" w:lineRule="auto"/>
                    <w:ind w:left="0" w:right="0"/>
                    <w:jc w:val="center"/>
                    <w:rPr>
                      <w:rFonts w:hint="eastAsia" w:ascii="Times New Roman" w:hAnsi="Times New Roman" w:eastAsia="宋体" w:cs="Times New Roman"/>
                      <w:strike w:val="0"/>
                      <w:dstrike w:val="0"/>
                      <w:color w:val="auto"/>
                      <w:kern w:val="2"/>
                      <w:sz w:val="18"/>
                      <w:szCs w:val="18"/>
                      <w:highlight w:val="none"/>
                      <w:lang w:val="en-US" w:eastAsia="zh-CN" w:bidi="ar-SA"/>
                    </w:rPr>
                  </w:pPr>
                  <w:r>
                    <w:rPr>
                      <w:rFonts w:hint="default" w:ascii="Times New Roman" w:hAnsi="Times New Roman" w:eastAsia="宋体" w:cs="Times New Roman"/>
                      <w:strike w:val="0"/>
                      <w:dstrike w:val="0"/>
                      <w:color w:val="auto"/>
                      <w:sz w:val="18"/>
                      <w:szCs w:val="18"/>
                      <w:highlight w:val="none"/>
                    </w:rPr>
                    <w:t>118.85454</w:t>
                  </w:r>
                  <w:r>
                    <w:rPr>
                      <w:rFonts w:hint="eastAsia" w:ascii="Times New Roman" w:hAnsi="Times New Roman" w:eastAsia="宋体" w:cs="Times New Roman"/>
                      <w:strike w:val="0"/>
                      <w:dstrike w:val="0"/>
                      <w:color w:val="auto"/>
                      <w:sz w:val="18"/>
                      <w:szCs w:val="18"/>
                      <w:highlight w:val="none"/>
                      <w:lang w:val="en-US" w:eastAsia="zh-CN"/>
                    </w:rPr>
                    <w:t>8</w:t>
                  </w:r>
                </w:p>
              </w:tc>
              <w:tc>
                <w:tcPr>
                  <w:tcW w:w="564" w:type="pct"/>
                  <w:tcBorders>
                    <w:top w:val="single" w:color="auto" w:sz="4" w:space="0"/>
                    <w:left w:val="single" w:color="auto" w:sz="4" w:space="0"/>
                    <w:bottom w:val="single" w:color="auto" w:sz="4" w:space="0"/>
                    <w:right w:val="single" w:color="auto" w:sz="4" w:space="0"/>
                  </w:tcBorders>
                  <w:shd w:val="clear" w:color="auto" w:fill="auto"/>
                  <w:noWrap w:val="0"/>
                  <w:vAlign w:val="center"/>
                </w:tcPr>
                <w:p w14:paraId="32AFF225">
                  <w:pPr>
                    <w:keepNext w:val="0"/>
                    <w:keepLines w:val="0"/>
                    <w:widowControl/>
                    <w:suppressLineNumbers w:val="0"/>
                    <w:adjustRightInd w:val="0"/>
                    <w:snapToGrid w:val="0"/>
                    <w:spacing w:before="0" w:beforeAutospacing="0" w:after="0" w:afterAutospacing="0" w:line="276" w:lineRule="auto"/>
                    <w:ind w:left="0" w:right="0"/>
                    <w:jc w:val="center"/>
                    <w:rPr>
                      <w:rFonts w:hint="eastAsia" w:ascii="Times New Roman" w:hAnsi="Times New Roman" w:eastAsia="宋体" w:cs="Times New Roman"/>
                      <w:strike w:val="0"/>
                      <w:dstrike w:val="0"/>
                      <w:color w:val="auto"/>
                      <w:kern w:val="2"/>
                      <w:sz w:val="18"/>
                      <w:szCs w:val="18"/>
                      <w:highlight w:val="none"/>
                      <w:lang w:val="en-US" w:eastAsia="zh-CN" w:bidi="ar-SA"/>
                    </w:rPr>
                  </w:pPr>
                  <w:r>
                    <w:rPr>
                      <w:rFonts w:hint="default" w:ascii="Times New Roman" w:hAnsi="Times New Roman" w:eastAsia="宋体" w:cs="Times New Roman"/>
                      <w:strike w:val="0"/>
                      <w:dstrike w:val="0"/>
                      <w:color w:val="auto"/>
                      <w:sz w:val="18"/>
                      <w:szCs w:val="18"/>
                      <w:highlight w:val="none"/>
                    </w:rPr>
                    <w:t>28.94049</w:t>
                  </w:r>
                  <w:r>
                    <w:rPr>
                      <w:rFonts w:hint="eastAsia" w:ascii="Times New Roman" w:hAnsi="Times New Roman" w:eastAsia="宋体" w:cs="Times New Roman"/>
                      <w:strike w:val="0"/>
                      <w:dstrike w:val="0"/>
                      <w:color w:val="auto"/>
                      <w:sz w:val="18"/>
                      <w:szCs w:val="18"/>
                      <w:highlight w:val="none"/>
                      <w:lang w:val="en-US" w:eastAsia="zh-CN"/>
                    </w:rPr>
                    <w:t>3</w:t>
                  </w:r>
                </w:p>
              </w:tc>
              <w:tc>
                <w:tcPr>
                  <w:tcW w:w="474" w:type="pct"/>
                  <w:tcBorders>
                    <w:top w:val="single" w:color="auto" w:sz="4" w:space="0"/>
                    <w:left w:val="single" w:color="auto" w:sz="4" w:space="0"/>
                    <w:bottom w:val="single" w:color="auto" w:sz="4" w:space="0"/>
                    <w:right w:val="single" w:color="auto" w:sz="4" w:space="0"/>
                  </w:tcBorders>
                  <w:shd w:val="clear" w:color="auto" w:fill="auto"/>
                  <w:noWrap w:val="0"/>
                  <w:vAlign w:val="center"/>
                </w:tcPr>
                <w:p w14:paraId="3AB56028">
                  <w:pPr>
                    <w:keepNext w:val="0"/>
                    <w:keepLines w:val="0"/>
                    <w:widowControl/>
                    <w:suppressLineNumbers w:val="0"/>
                    <w:adjustRightInd w:val="0"/>
                    <w:snapToGrid w:val="0"/>
                    <w:spacing w:before="0" w:beforeAutospacing="0" w:after="0" w:afterAutospacing="0" w:line="276" w:lineRule="auto"/>
                    <w:ind w:left="0" w:right="0"/>
                    <w:jc w:val="center"/>
                    <w:rPr>
                      <w:rFonts w:hint="eastAsia" w:ascii="Times New Roman" w:hAnsi="Times New Roman" w:eastAsia="宋体" w:cs="Times New Roman"/>
                      <w:strike w:val="0"/>
                      <w:dstrike w:val="0"/>
                      <w:color w:val="auto"/>
                      <w:kern w:val="2"/>
                      <w:sz w:val="18"/>
                      <w:szCs w:val="18"/>
                      <w:highlight w:val="none"/>
                      <w:lang w:val="en-US" w:eastAsia="zh-CN" w:bidi="ar-SA"/>
                    </w:rPr>
                  </w:pPr>
                  <w:r>
                    <w:rPr>
                      <w:rFonts w:hint="eastAsia" w:ascii="Times New Roman" w:hAnsi="Times New Roman" w:eastAsia="宋体" w:cs="Times New Roman"/>
                      <w:strike w:val="0"/>
                      <w:dstrike w:val="0"/>
                      <w:color w:val="auto"/>
                      <w:kern w:val="2"/>
                      <w:sz w:val="18"/>
                      <w:szCs w:val="18"/>
                      <w:highlight w:val="none"/>
                      <w:lang w:val="en-US" w:eastAsia="zh-CN" w:bidi="ar-SA"/>
                    </w:rPr>
                    <w:t>行政办公</w:t>
                  </w:r>
                </w:p>
              </w:tc>
              <w:tc>
                <w:tcPr>
                  <w:tcW w:w="490" w:type="pct"/>
                  <w:tcBorders>
                    <w:top w:val="single" w:color="auto" w:sz="4" w:space="0"/>
                    <w:left w:val="single" w:color="auto" w:sz="4" w:space="0"/>
                    <w:bottom w:val="single" w:color="auto" w:sz="4" w:space="0"/>
                    <w:right w:val="single" w:color="auto" w:sz="4" w:space="0"/>
                  </w:tcBorders>
                  <w:shd w:val="clear" w:color="auto" w:fill="auto"/>
                  <w:noWrap w:val="0"/>
                  <w:vAlign w:val="center"/>
                </w:tcPr>
                <w:p w14:paraId="623D778D">
                  <w:pPr>
                    <w:keepNext w:val="0"/>
                    <w:keepLines w:val="0"/>
                    <w:widowControl/>
                    <w:suppressLineNumbers w:val="0"/>
                    <w:adjustRightInd w:val="0"/>
                    <w:snapToGrid w:val="0"/>
                    <w:spacing w:before="0" w:beforeAutospacing="0" w:after="0" w:afterAutospacing="0" w:line="276" w:lineRule="auto"/>
                    <w:ind w:left="0" w:right="0"/>
                    <w:jc w:val="center"/>
                    <w:rPr>
                      <w:rFonts w:hint="eastAsia" w:ascii="Times New Roman" w:hAnsi="Times New Roman" w:eastAsia="宋体" w:cs="Times New Roman"/>
                      <w:strike w:val="0"/>
                      <w:dstrike w:val="0"/>
                      <w:color w:val="auto"/>
                      <w:kern w:val="2"/>
                      <w:sz w:val="18"/>
                      <w:szCs w:val="18"/>
                      <w:highlight w:val="none"/>
                      <w:lang w:val="en-US" w:eastAsia="zh-CN" w:bidi="ar-SA"/>
                    </w:rPr>
                  </w:pPr>
                  <w:r>
                    <w:rPr>
                      <w:rFonts w:hint="eastAsia" w:ascii="Times New Roman" w:hAnsi="Times New Roman" w:eastAsia="宋体" w:cs="Times New Roman"/>
                      <w:strike w:val="0"/>
                      <w:dstrike w:val="0"/>
                      <w:color w:val="auto"/>
                      <w:kern w:val="2"/>
                      <w:sz w:val="18"/>
                      <w:szCs w:val="18"/>
                      <w:highlight w:val="none"/>
                      <w:lang w:val="en-US" w:eastAsia="zh-CN" w:bidi="ar-SA"/>
                    </w:rPr>
                    <w:t>工作人员</w:t>
                  </w:r>
                </w:p>
              </w:tc>
              <w:tc>
                <w:tcPr>
                  <w:tcW w:w="499" w:type="pct"/>
                  <w:tcBorders>
                    <w:top w:val="single" w:color="auto" w:sz="4" w:space="0"/>
                    <w:left w:val="single" w:color="auto" w:sz="4" w:space="0"/>
                    <w:bottom w:val="single" w:color="auto" w:sz="4" w:space="0"/>
                    <w:right w:val="single" w:color="auto" w:sz="4" w:space="0"/>
                  </w:tcBorders>
                  <w:shd w:val="clear" w:color="auto" w:fill="auto"/>
                  <w:noWrap w:val="0"/>
                  <w:vAlign w:val="center"/>
                </w:tcPr>
                <w:p w14:paraId="4704E67A">
                  <w:pPr>
                    <w:keepNext w:val="0"/>
                    <w:keepLines w:val="0"/>
                    <w:widowControl/>
                    <w:suppressLineNumbers w:val="0"/>
                    <w:adjustRightInd w:val="0"/>
                    <w:snapToGrid w:val="0"/>
                    <w:spacing w:before="0" w:beforeAutospacing="0" w:after="0" w:afterAutospacing="0" w:line="276" w:lineRule="auto"/>
                    <w:ind w:left="0" w:right="0"/>
                    <w:jc w:val="center"/>
                    <w:rPr>
                      <w:rFonts w:hint="eastAsia" w:ascii="Times New Roman" w:hAnsi="Times New Roman" w:eastAsia="宋体" w:cs="Times New Roman"/>
                      <w:strike w:val="0"/>
                      <w:dstrike w:val="0"/>
                      <w:color w:val="auto"/>
                      <w:kern w:val="2"/>
                      <w:sz w:val="18"/>
                      <w:szCs w:val="18"/>
                      <w:highlight w:val="none"/>
                      <w:lang w:val="en-US" w:eastAsia="zh-CN" w:bidi="ar-SA"/>
                    </w:rPr>
                  </w:pPr>
                  <w:r>
                    <w:rPr>
                      <w:rFonts w:hint="eastAsia" w:ascii="Times New Roman" w:hAnsi="Times New Roman" w:eastAsia="宋体" w:cs="Times New Roman"/>
                      <w:strike w:val="0"/>
                      <w:dstrike w:val="0"/>
                      <w:color w:val="auto"/>
                      <w:sz w:val="18"/>
                      <w:szCs w:val="18"/>
                      <w:highlight w:val="none"/>
                      <w:lang w:val="en-US" w:eastAsia="zh-CN"/>
                    </w:rPr>
                    <w:t>二类</w:t>
                  </w:r>
                </w:p>
              </w:tc>
              <w:tc>
                <w:tcPr>
                  <w:tcW w:w="453" w:type="pct"/>
                  <w:tcBorders>
                    <w:top w:val="single" w:color="auto" w:sz="4" w:space="0"/>
                    <w:left w:val="single" w:color="auto" w:sz="4" w:space="0"/>
                    <w:bottom w:val="single" w:color="auto" w:sz="4" w:space="0"/>
                    <w:right w:val="single" w:color="auto" w:sz="4" w:space="0"/>
                  </w:tcBorders>
                  <w:shd w:val="clear" w:color="auto" w:fill="auto"/>
                  <w:noWrap w:val="0"/>
                  <w:vAlign w:val="center"/>
                </w:tcPr>
                <w:p w14:paraId="18F3B92E">
                  <w:pPr>
                    <w:keepNext w:val="0"/>
                    <w:keepLines w:val="0"/>
                    <w:widowControl/>
                    <w:suppressLineNumbers w:val="0"/>
                    <w:adjustRightInd w:val="0"/>
                    <w:snapToGrid w:val="0"/>
                    <w:spacing w:before="0" w:beforeAutospacing="0" w:after="0" w:afterAutospacing="0" w:line="276" w:lineRule="auto"/>
                    <w:ind w:left="0" w:right="0"/>
                    <w:jc w:val="center"/>
                    <w:rPr>
                      <w:rFonts w:hint="default" w:ascii="Times New Roman" w:hAnsi="Times New Roman" w:eastAsia="宋体" w:cs="Times New Roman"/>
                      <w:strike w:val="0"/>
                      <w:dstrike w:val="0"/>
                      <w:color w:val="auto"/>
                      <w:kern w:val="2"/>
                      <w:sz w:val="18"/>
                      <w:szCs w:val="18"/>
                      <w:highlight w:val="none"/>
                      <w:lang w:val="en-US" w:eastAsia="zh-CN" w:bidi="ar-SA"/>
                    </w:rPr>
                  </w:pPr>
                  <w:r>
                    <w:rPr>
                      <w:rFonts w:hint="eastAsia" w:ascii="Times New Roman" w:hAnsi="Times New Roman" w:eastAsia="宋体" w:cs="Times New Roman"/>
                      <w:strike w:val="0"/>
                      <w:dstrike w:val="0"/>
                      <w:color w:val="auto"/>
                      <w:sz w:val="18"/>
                      <w:szCs w:val="18"/>
                      <w:highlight w:val="none"/>
                      <w:lang w:val="en-US" w:eastAsia="zh-CN"/>
                    </w:rPr>
                    <w:t>东南</w:t>
                  </w:r>
                </w:p>
              </w:tc>
              <w:tc>
                <w:tcPr>
                  <w:tcW w:w="551" w:type="pct"/>
                  <w:tcBorders>
                    <w:top w:val="single" w:color="auto" w:sz="4" w:space="0"/>
                    <w:left w:val="single" w:color="auto" w:sz="4" w:space="0"/>
                    <w:bottom w:val="single" w:color="auto" w:sz="4" w:space="0"/>
                    <w:right w:val="single" w:color="auto" w:sz="4" w:space="0"/>
                  </w:tcBorders>
                  <w:shd w:val="clear" w:color="auto" w:fill="auto"/>
                  <w:noWrap w:val="0"/>
                  <w:vAlign w:val="center"/>
                </w:tcPr>
                <w:p w14:paraId="6AD07ABF">
                  <w:pPr>
                    <w:keepNext w:val="0"/>
                    <w:keepLines w:val="0"/>
                    <w:widowControl/>
                    <w:suppressLineNumbers w:val="0"/>
                    <w:adjustRightInd w:val="0"/>
                    <w:snapToGrid w:val="0"/>
                    <w:spacing w:before="0" w:beforeAutospacing="0" w:after="0" w:afterAutospacing="0" w:line="276" w:lineRule="auto"/>
                    <w:ind w:left="0" w:right="0"/>
                    <w:jc w:val="center"/>
                    <w:rPr>
                      <w:rFonts w:hint="default" w:ascii="Times New Roman" w:hAnsi="Times New Roman" w:eastAsia="宋体" w:cs="Times New Roman"/>
                      <w:strike w:val="0"/>
                      <w:dstrike w:val="0"/>
                      <w:color w:val="auto"/>
                      <w:kern w:val="2"/>
                      <w:sz w:val="18"/>
                      <w:szCs w:val="18"/>
                      <w:highlight w:val="none"/>
                      <w:lang w:val="en-US" w:eastAsia="zh-CN" w:bidi="ar-SA"/>
                    </w:rPr>
                  </w:pPr>
                  <w:r>
                    <w:rPr>
                      <w:rFonts w:hint="eastAsia" w:ascii="Times New Roman" w:hAnsi="Times New Roman" w:eastAsia="宋体" w:cs="Times New Roman"/>
                      <w:strike w:val="0"/>
                      <w:dstrike w:val="0"/>
                      <w:color w:val="auto"/>
                      <w:sz w:val="18"/>
                      <w:szCs w:val="18"/>
                      <w:highlight w:val="none"/>
                      <w:lang w:val="en-US" w:eastAsia="zh-CN"/>
                    </w:rPr>
                    <w:t>2350</w:t>
                  </w:r>
                </w:p>
              </w:tc>
            </w:tr>
            <w:tr w14:paraId="23C310E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40" w:hRule="atLeast"/>
                <w:jc w:val="center"/>
              </w:trPr>
              <w:tc>
                <w:tcPr>
                  <w:tcW w:w="366" w:type="pct"/>
                  <w:tcBorders>
                    <w:left w:val="single" w:color="auto" w:sz="4" w:space="0"/>
                    <w:right w:val="single" w:color="auto" w:sz="4" w:space="0"/>
                  </w:tcBorders>
                  <w:noWrap w:val="0"/>
                  <w:vAlign w:val="center"/>
                </w:tcPr>
                <w:p w14:paraId="0F7528EC">
                  <w:pPr>
                    <w:keepNext w:val="0"/>
                    <w:keepLines w:val="0"/>
                    <w:widowControl/>
                    <w:suppressLineNumbers w:val="0"/>
                    <w:adjustRightInd w:val="0"/>
                    <w:snapToGrid w:val="0"/>
                    <w:spacing w:before="0" w:beforeAutospacing="0" w:after="0" w:afterAutospacing="0" w:line="276" w:lineRule="auto"/>
                    <w:ind w:left="0" w:right="0"/>
                    <w:jc w:val="center"/>
                    <w:rPr>
                      <w:rFonts w:hint="default" w:ascii="Times New Roman" w:hAnsi="Times New Roman" w:eastAsia="宋体" w:cs="Times New Roman"/>
                      <w:strike w:val="0"/>
                      <w:dstrike w:val="0"/>
                      <w:color w:val="auto"/>
                      <w:sz w:val="18"/>
                      <w:szCs w:val="18"/>
                      <w:highlight w:val="none"/>
                      <w:lang w:val="en-US" w:eastAsia="zh-CN"/>
                    </w:rPr>
                  </w:pPr>
                  <w:r>
                    <w:rPr>
                      <w:rFonts w:hint="eastAsia" w:ascii="Times New Roman" w:hAnsi="Times New Roman" w:eastAsia="宋体" w:cs="Times New Roman"/>
                      <w:strike w:val="0"/>
                      <w:dstrike w:val="0"/>
                      <w:color w:val="auto"/>
                      <w:sz w:val="18"/>
                      <w:szCs w:val="18"/>
                      <w:highlight w:val="none"/>
                      <w:lang w:val="en-US" w:eastAsia="zh-CN"/>
                    </w:rPr>
                    <w:t>34</w:t>
                  </w:r>
                </w:p>
              </w:tc>
              <w:tc>
                <w:tcPr>
                  <w:tcW w:w="1071" w:type="pct"/>
                  <w:tcBorders>
                    <w:top w:val="single" w:color="auto" w:sz="4" w:space="0"/>
                    <w:left w:val="single" w:color="auto" w:sz="4" w:space="0"/>
                    <w:bottom w:val="single" w:color="auto" w:sz="4" w:space="0"/>
                    <w:right w:val="single" w:color="auto" w:sz="4" w:space="0"/>
                  </w:tcBorders>
                  <w:shd w:val="clear" w:color="auto" w:fill="auto"/>
                  <w:noWrap w:val="0"/>
                  <w:vAlign w:val="center"/>
                </w:tcPr>
                <w:p w14:paraId="1B02812A">
                  <w:pPr>
                    <w:keepNext w:val="0"/>
                    <w:keepLines w:val="0"/>
                    <w:widowControl/>
                    <w:suppressLineNumbers w:val="0"/>
                    <w:adjustRightInd w:val="0"/>
                    <w:snapToGrid w:val="0"/>
                    <w:spacing w:before="0" w:beforeAutospacing="0" w:after="0" w:afterAutospacing="0" w:line="276" w:lineRule="auto"/>
                    <w:ind w:left="0" w:right="0"/>
                    <w:jc w:val="center"/>
                    <w:rPr>
                      <w:rFonts w:hint="default" w:ascii="Times New Roman" w:hAnsi="Times New Roman" w:eastAsia="宋体" w:cs="Times New Roman"/>
                      <w:strike w:val="0"/>
                      <w:dstrike w:val="0"/>
                      <w:color w:val="auto"/>
                      <w:kern w:val="2"/>
                      <w:sz w:val="18"/>
                      <w:szCs w:val="18"/>
                      <w:highlight w:val="none"/>
                      <w:lang w:val="en-US" w:eastAsia="zh-CN" w:bidi="ar-SA"/>
                    </w:rPr>
                  </w:pPr>
                  <w:r>
                    <w:rPr>
                      <w:rFonts w:hint="default" w:ascii="Times New Roman" w:hAnsi="Times New Roman" w:eastAsia="宋体" w:cs="Times New Roman"/>
                      <w:strike w:val="0"/>
                      <w:dstrike w:val="0"/>
                      <w:color w:val="auto"/>
                      <w:sz w:val="18"/>
                      <w:szCs w:val="18"/>
                      <w:highlight w:val="none"/>
                      <w:lang w:val="en-US" w:eastAsia="zh-CN"/>
                    </w:rPr>
                    <w:t>衢州市生态环境局柯城分局</w:t>
                  </w:r>
                </w:p>
              </w:tc>
              <w:tc>
                <w:tcPr>
                  <w:tcW w:w="527" w:type="pct"/>
                  <w:tcBorders>
                    <w:top w:val="single" w:color="auto" w:sz="4" w:space="0"/>
                    <w:left w:val="single" w:color="auto" w:sz="4" w:space="0"/>
                    <w:bottom w:val="single" w:color="auto" w:sz="4" w:space="0"/>
                    <w:right w:val="single" w:color="auto" w:sz="4" w:space="0"/>
                  </w:tcBorders>
                  <w:shd w:val="clear" w:color="auto" w:fill="auto"/>
                  <w:noWrap w:val="0"/>
                  <w:vAlign w:val="center"/>
                </w:tcPr>
                <w:p w14:paraId="25F02FC7">
                  <w:pPr>
                    <w:keepNext w:val="0"/>
                    <w:keepLines w:val="0"/>
                    <w:widowControl/>
                    <w:suppressLineNumbers w:val="0"/>
                    <w:adjustRightInd w:val="0"/>
                    <w:snapToGrid w:val="0"/>
                    <w:spacing w:before="0" w:beforeAutospacing="0" w:after="0" w:afterAutospacing="0" w:line="276" w:lineRule="auto"/>
                    <w:ind w:left="0" w:right="0"/>
                    <w:jc w:val="center"/>
                    <w:rPr>
                      <w:rFonts w:hint="default" w:ascii="Times New Roman" w:hAnsi="Times New Roman" w:eastAsia="宋体" w:cs="Times New Roman"/>
                      <w:strike w:val="0"/>
                      <w:dstrike w:val="0"/>
                      <w:color w:val="auto"/>
                      <w:kern w:val="2"/>
                      <w:sz w:val="18"/>
                      <w:szCs w:val="18"/>
                      <w:highlight w:val="none"/>
                      <w:lang w:val="en-US" w:eastAsia="zh-CN" w:bidi="ar-SA"/>
                    </w:rPr>
                  </w:pPr>
                  <w:r>
                    <w:rPr>
                      <w:rFonts w:hint="default" w:ascii="Times New Roman" w:hAnsi="Times New Roman" w:eastAsia="宋体" w:cs="Times New Roman"/>
                      <w:strike w:val="0"/>
                      <w:dstrike w:val="0"/>
                      <w:color w:val="auto"/>
                      <w:sz w:val="18"/>
                      <w:szCs w:val="18"/>
                      <w:highlight w:val="none"/>
                    </w:rPr>
                    <w:t>118.855014</w:t>
                  </w:r>
                </w:p>
              </w:tc>
              <w:tc>
                <w:tcPr>
                  <w:tcW w:w="564" w:type="pct"/>
                  <w:tcBorders>
                    <w:top w:val="single" w:color="auto" w:sz="4" w:space="0"/>
                    <w:left w:val="single" w:color="auto" w:sz="4" w:space="0"/>
                    <w:bottom w:val="single" w:color="auto" w:sz="4" w:space="0"/>
                    <w:right w:val="single" w:color="auto" w:sz="4" w:space="0"/>
                  </w:tcBorders>
                  <w:shd w:val="clear" w:color="auto" w:fill="auto"/>
                  <w:noWrap w:val="0"/>
                  <w:vAlign w:val="center"/>
                </w:tcPr>
                <w:p w14:paraId="0A4C50A8">
                  <w:pPr>
                    <w:keepNext w:val="0"/>
                    <w:keepLines w:val="0"/>
                    <w:widowControl/>
                    <w:suppressLineNumbers w:val="0"/>
                    <w:adjustRightInd w:val="0"/>
                    <w:snapToGrid w:val="0"/>
                    <w:spacing w:before="0" w:beforeAutospacing="0" w:after="0" w:afterAutospacing="0" w:line="276" w:lineRule="auto"/>
                    <w:ind w:left="0" w:right="0"/>
                    <w:jc w:val="center"/>
                    <w:rPr>
                      <w:rFonts w:hint="default" w:ascii="Times New Roman" w:hAnsi="Times New Roman" w:eastAsia="宋体" w:cs="Times New Roman"/>
                      <w:strike w:val="0"/>
                      <w:dstrike w:val="0"/>
                      <w:color w:val="auto"/>
                      <w:kern w:val="2"/>
                      <w:sz w:val="18"/>
                      <w:szCs w:val="18"/>
                      <w:highlight w:val="none"/>
                      <w:lang w:val="en-US" w:eastAsia="zh-CN" w:bidi="ar-SA"/>
                    </w:rPr>
                  </w:pPr>
                  <w:r>
                    <w:rPr>
                      <w:rFonts w:hint="default" w:ascii="Times New Roman" w:hAnsi="Times New Roman" w:eastAsia="宋体" w:cs="Times New Roman"/>
                      <w:strike w:val="0"/>
                      <w:dstrike w:val="0"/>
                      <w:color w:val="auto"/>
                      <w:sz w:val="18"/>
                      <w:szCs w:val="18"/>
                      <w:highlight w:val="none"/>
                    </w:rPr>
                    <w:t>28.940286</w:t>
                  </w:r>
                </w:p>
              </w:tc>
              <w:tc>
                <w:tcPr>
                  <w:tcW w:w="474" w:type="pct"/>
                  <w:tcBorders>
                    <w:top w:val="single" w:color="auto" w:sz="4" w:space="0"/>
                    <w:left w:val="single" w:color="auto" w:sz="4" w:space="0"/>
                    <w:bottom w:val="single" w:color="auto" w:sz="4" w:space="0"/>
                    <w:right w:val="single" w:color="auto" w:sz="4" w:space="0"/>
                  </w:tcBorders>
                  <w:shd w:val="clear" w:color="auto" w:fill="auto"/>
                  <w:noWrap w:val="0"/>
                  <w:vAlign w:val="center"/>
                </w:tcPr>
                <w:p w14:paraId="483A843A">
                  <w:pPr>
                    <w:keepNext w:val="0"/>
                    <w:keepLines w:val="0"/>
                    <w:widowControl/>
                    <w:suppressLineNumbers w:val="0"/>
                    <w:adjustRightInd w:val="0"/>
                    <w:snapToGrid w:val="0"/>
                    <w:spacing w:before="0" w:beforeAutospacing="0" w:after="0" w:afterAutospacing="0" w:line="276" w:lineRule="auto"/>
                    <w:ind w:left="0" w:right="0"/>
                    <w:jc w:val="center"/>
                    <w:rPr>
                      <w:rFonts w:hint="eastAsia" w:ascii="Times New Roman" w:hAnsi="Times New Roman" w:eastAsia="宋体" w:cs="Times New Roman"/>
                      <w:strike w:val="0"/>
                      <w:dstrike w:val="0"/>
                      <w:color w:val="auto"/>
                      <w:kern w:val="2"/>
                      <w:sz w:val="18"/>
                      <w:szCs w:val="18"/>
                      <w:highlight w:val="none"/>
                      <w:lang w:val="en-US" w:eastAsia="zh-CN" w:bidi="ar-SA"/>
                    </w:rPr>
                  </w:pPr>
                  <w:r>
                    <w:rPr>
                      <w:rFonts w:hint="eastAsia" w:ascii="Times New Roman" w:hAnsi="Times New Roman" w:eastAsia="宋体" w:cs="Times New Roman"/>
                      <w:strike w:val="0"/>
                      <w:dstrike w:val="0"/>
                      <w:color w:val="auto"/>
                      <w:kern w:val="2"/>
                      <w:sz w:val="18"/>
                      <w:szCs w:val="18"/>
                      <w:highlight w:val="none"/>
                      <w:lang w:val="en-US" w:eastAsia="zh-CN" w:bidi="ar-SA"/>
                    </w:rPr>
                    <w:t>行政办公</w:t>
                  </w:r>
                </w:p>
              </w:tc>
              <w:tc>
                <w:tcPr>
                  <w:tcW w:w="490" w:type="pct"/>
                  <w:tcBorders>
                    <w:top w:val="single" w:color="auto" w:sz="4" w:space="0"/>
                    <w:left w:val="single" w:color="auto" w:sz="4" w:space="0"/>
                    <w:bottom w:val="single" w:color="auto" w:sz="4" w:space="0"/>
                    <w:right w:val="single" w:color="auto" w:sz="4" w:space="0"/>
                  </w:tcBorders>
                  <w:shd w:val="clear" w:color="auto" w:fill="auto"/>
                  <w:noWrap w:val="0"/>
                  <w:vAlign w:val="center"/>
                </w:tcPr>
                <w:p w14:paraId="5B9D389E">
                  <w:pPr>
                    <w:keepNext w:val="0"/>
                    <w:keepLines w:val="0"/>
                    <w:widowControl/>
                    <w:suppressLineNumbers w:val="0"/>
                    <w:adjustRightInd w:val="0"/>
                    <w:snapToGrid w:val="0"/>
                    <w:spacing w:before="0" w:beforeAutospacing="0" w:after="0" w:afterAutospacing="0" w:line="276" w:lineRule="auto"/>
                    <w:ind w:left="0" w:right="0"/>
                    <w:jc w:val="center"/>
                    <w:rPr>
                      <w:rFonts w:hint="eastAsia" w:ascii="Times New Roman" w:hAnsi="Times New Roman" w:eastAsia="宋体" w:cs="Times New Roman"/>
                      <w:strike w:val="0"/>
                      <w:dstrike w:val="0"/>
                      <w:color w:val="auto"/>
                      <w:kern w:val="2"/>
                      <w:sz w:val="18"/>
                      <w:szCs w:val="18"/>
                      <w:highlight w:val="none"/>
                      <w:lang w:val="en-US" w:eastAsia="zh-CN" w:bidi="ar-SA"/>
                    </w:rPr>
                  </w:pPr>
                  <w:r>
                    <w:rPr>
                      <w:rFonts w:hint="eastAsia" w:ascii="Times New Roman" w:hAnsi="Times New Roman" w:eastAsia="宋体" w:cs="Times New Roman"/>
                      <w:strike w:val="0"/>
                      <w:dstrike w:val="0"/>
                      <w:color w:val="auto"/>
                      <w:kern w:val="2"/>
                      <w:sz w:val="18"/>
                      <w:szCs w:val="18"/>
                      <w:highlight w:val="none"/>
                      <w:lang w:val="en-US" w:eastAsia="zh-CN" w:bidi="ar-SA"/>
                    </w:rPr>
                    <w:t>工作人员</w:t>
                  </w:r>
                </w:p>
              </w:tc>
              <w:tc>
                <w:tcPr>
                  <w:tcW w:w="499" w:type="pct"/>
                  <w:tcBorders>
                    <w:top w:val="single" w:color="auto" w:sz="4" w:space="0"/>
                    <w:left w:val="single" w:color="auto" w:sz="4" w:space="0"/>
                    <w:bottom w:val="single" w:color="auto" w:sz="4" w:space="0"/>
                    <w:right w:val="single" w:color="auto" w:sz="4" w:space="0"/>
                  </w:tcBorders>
                  <w:shd w:val="clear" w:color="auto" w:fill="auto"/>
                  <w:noWrap w:val="0"/>
                  <w:vAlign w:val="center"/>
                </w:tcPr>
                <w:p w14:paraId="32786AEA">
                  <w:pPr>
                    <w:keepNext w:val="0"/>
                    <w:keepLines w:val="0"/>
                    <w:widowControl/>
                    <w:suppressLineNumbers w:val="0"/>
                    <w:adjustRightInd w:val="0"/>
                    <w:snapToGrid w:val="0"/>
                    <w:spacing w:before="0" w:beforeAutospacing="0" w:after="0" w:afterAutospacing="0" w:line="276" w:lineRule="auto"/>
                    <w:ind w:left="0" w:right="0"/>
                    <w:jc w:val="center"/>
                    <w:rPr>
                      <w:rFonts w:hint="eastAsia" w:ascii="Times New Roman" w:hAnsi="Times New Roman" w:eastAsia="宋体" w:cs="Times New Roman"/>
                      <w:strike w:val="0"/>
                      <w:dstrike w:val="0"/>
                      <w:color w:val="auto"/>
                      <w:kern w:val="2"/>
                      <w:sz w:val="18"/>
                      <w:szCs w:val="18"/>
                      <w:highlight w:val="none"/>
                      <w:lang w:val="en-US" w:eastAsia="zh-CN" w:bidi="ar-SA"/>
                    </w:rPr>
                  </w:pPr>
                  <w:r>
                    <w:rPr>
                      <w:rFonts w:hint="eastAsia" w:ascii="Times New Roman" w:hAnsi="Times New Roman" w:eastAsia="宋体" w:cs="Times New Roman"/>
                      <w:strike w:val="0"/>
                      <w:dstrike w:val="0"/>
                      <w:color w:val="auto"/>
                      <w:sz w:val="18"/>
                      <w:szCs w:val="18"/>
                      <w:highlight w:val="none"/>
                      <w:lang w:val="en-US" w:eastAsia="zh-CN"/>
                    </w:rPr>
                    <w:t>二类</w:t>
                  </w:r>
                </w:p>
              </w:tc>
              <w:tc>
                <w:tcPr>
                  <w:tcW w:w="453" w:type="pct"/>
                  <w:tcBorders>
                    <w:top w:val="single" w:color="auto" w:sz="4" w:space="0"/>
                    <w:left w:val="single" w:color="auto" w:sz="4" w:space="0"/>
                    <w:bottom w:val="single" w:color="auto" w:sz="4" w:space="0"/>
                    <w:right w:val="single" w:color="auto" w:sz="4" w:space="0"/>
                  </w:tcBorders>
                  <w:shd w:val="clear" w:color="auto" w:fill="auto"/>
                  <w:noWrap w:val="0"/>
                  <w:vAlign w:val="center"/>
                </w:tcPr>
                <w:p w14:paraId="05829033">
                  <w:pPr>
                    <w:keepNext w:val="0"/>
                    <w:keepLines w:val="0"/>
                    <w:widowControl/>
                    <w:suppressLineNumbers w:val="0"/>
                    <w:adjustRightInd w:val="0"/>
                    <w:snapToGrid w:val="0"/>
                    <w:spacing w:before="0" w:beforeAutospacing="0" w:after="0" w:afterAutospacing="0" w:line="276" w:lineRule="auto"/>
                    <w:ind w:left="0" w:right="0"/>
                    <w:jc w:val="center"/>
                    <w:rPr>
                      <w:rFonts w:hint="default" w:ascii="Times New Roman" w:hAnsi="Times New Roman" w:eastAsia="宋体" w:cs="Times New Roman"/>
                      <w:strike w:val="0"/>
                      <w:dstrike w:val="0"/>
                      <w:color w:val="auto"/>
                      <w:kern w:val="2"/>
                      <w:sz w:val="18"/>
                      <w:szCs w:val="18"/>
                      <w:highlight w:val="none"/>
                      <w:lang w:val="en-US" w:eastAsia="zh-CN" w:bidi="ar-SA"/>
                    </w:rPr>
                  </w:pPr>
                  <w:r>
                    <w:rPr>
                      <w:rFonts w:hint="eastAsia" w:ascii="Times New Roman" w:hAnsi="Times New Roman" w:eastAsia="宋体" w:cs="Times New Roman"/>
                      <w:strike w:val="0"/>
                      <w:dstrike w:val="0"/>
                      <w:color w:val="auto"/>
                      <w:sz w:val="18"/>
                      <w:szCs w:val="18"/>
                      <w:highlight w:val="none"/>
                      <w:lang w:val="en-US" w:eastAsia="zh-CN"/>
                    </w:rPr>
                    <w:t>东南</w:t>
                  </w:r>
                </w:p>
              </w:tc>
              <w:tc>
                <w:tcPr>
                  <w:tcW w:w="551" w:type="pct"/>
                  <w:tcBorders>
                    <w:top w:val="single" w:color="auto" w:sz="4" w:space="0"/>
                    <w:left w:val="single" w:color="auto" w:sz="4" w:space="0"/>
                    <w:bottom w:val="single" w:color="auto" w:sz="4" w:space="0"/>
                    <w:right w:val="single" w:color="auto" w:sz="4" w:space="0"/>
                  </w:tcBorders>
                  <w:shd w:val="clear" w:color="auto" w:fill="auto"/>
                  <w:noWrap w:val="0"/>
                  <w:vAlign w:val="center"/>
                </w:tcPr>
                <w:p w14:paraId="1D9E5BC1">
                  <w:pPr>
                    <w:keepNext w:val="0"/>
                    <w:keepLines w:val="0"/>
                    <w:widowControl/>
                    <w:suppressLineNumbers w:val="0"/>
                    <w:adjustRightInd w:val="0"/>
                    <w:snapToGrid w:val="0"/>
                    <w:spacing w:before="0" w:beforeAutospacing="0" w:after="0" w:afterAutospacing="0" w:line="276" w:lineRule="auto"/>
                    <w:ind w:left="0" w:right="0"/>
                    <w:jc w:val="center"/>
                    <w:rPr>
                      <w:rFonts w:hint="default" w:ascii="Times New Roman" w:hAnsi="Times New Roman" w:eastAsia="宋体" w:cs="Times New Roman"/>
                      <w:strike w:val="0"/>
                      <w:dstrike w:val="0"/>
                      <w:color w:val="auto"/>
                      <w:kern w:val="2"/>
                      <w:sz w:val="18"/>
                      <w:szCs w:val="18"/>
                      <w:highlight w:val="none"/>
                      <w:lang w:val="en-US" w:eastAsia="zh-CN" w:bidi="ar-SA"/>
                    </w:rPr>
                  </w:pPr>
                  <w:r>
                    <w:rPr>
                      <w:rFonts w:hint="eastAsia" w:ascii="Times New Roman" w:hAnsi="Times New Roman" w:eastAsia="宋体" w:cs="Times New Roman"/>
                      <w:strike w:val="0"/>
                      <w:dstrike w:val="0"/>
                      <w:color w:val="auto"/>
                      <w:sz w:val="18"/>
                      <w:szCs w:val="18"/>
                      <w:highlight w:val="none"/>
                      <w:lang w:val="en-US" w:eastAsia="zh-CN"/>
                    </w:rPr>
                    <w:t>2430</w:t>
                  </w:r>
                </w:p>
              </w:tc>
            </w:tr>
            <w:tr w14:paraId="56B968A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40" w:hRule="atLeast"/>
                <w:jc w:val="center"/>
              </w:trPr>
              <w:tc>
                <w:tcPr>
                  <w:tcW w:w="366" w:type="pct"/>
                  <w:tcBorders>
                    <w:left w:val="single" w:color="auto" w:sz="4" w:space="0"/>
                    <w:right w:val="single" w:color="auto" w:sz="4" w:space="0"/>
                  </w:tcBorders>
                  <w:noWrap w:val="0"/>
                  <w:vAlign w:val="center"/>
                </w:tcPr>
                <w:p w14:paraId="1A8542F4">
                  <w:pPr>
                    <w:keepNext w:val="0"/>
                    <w:keepLines w:val="0"/>
                    <w:widowControl/>
                    <w:suppressLineNumbers w:val="0"/>
                    <w:adjustRightInd w:val="0"/>
                    <w:snapToGrid w:val="0"/>
                    <w:spacing w:before="0" w:beforeAutospacing="0" w:after="0" w:afterAutospacing="0" w:line="276" w:lineRule="auto"/>
                    <w:ind w:left="0" w:right="0"/>
                    <w:jc w:val="center"/>
                    <w:rPr>
                      <w:rFonts w:hint="default" w:ascii="Times New Roman" w:hAnsi="Times New Roman" w:eastAsia="宋体" w:cs="Times New Roman"/>
                      <w:strike w:val="0"/>
                      <w:dstrike w:val="0"/>
                      <w:color w:val="auto"/>
                      <w:sz w:val="18"/>
                      <w:szCs w:val="18"/>
                      <w:highlight w:val="none"/>
                      <w:lang w:val="en-US" w:eastAsia="zh-CN"/>
                    </w:rPr>
                  </w:pPr>
                  <w:r>
                    <w:rPr>
                      <w:rFonts w:hint="eastAsia" w:ascii="Times New Roman" w:hAnsi="Times New Roman" w:eastAsia="宋体" w:cs="Times New Roman"/>
                      <w:strike w:val="0"/>
                      <w:dstrike w:val="0"/>
                      <w:color w:val="auto"/>
                      <w:sz w:val="18"/>
                      <w:szCs w:val="18"/>
                      <w:highlight w:val="none"/>
                      <w:lang w:val="en-US" w:eastAsia="zh-CN"/>
                    </w:rPr>
                    <w:t>35</w:t>
                  </w:r>
                </w:p>
              </w:tc>
              <w:tc>
                <w:tcPr>
                  <w:tcW w:w="1071" w:type="pct"/>
                  <w:tcBorders>
                    <w:top w:val="single" w:color="auto" w:sz="4" w:space="0"/>
                    <w:left w:val="single" w:color="auto" w:sz="4" w:space="0"/>
                    <w:bottom w:val="single" w:color="auto" w:sz="4" w:space="0"/>
                    <w:right w:val="single" w:color="auto" w:sz="4" w:space="0"/>
                  </w:tcBorders>
                  <w:shd w:val="clear" w:color="auto" w:fill="auto"/>
                  <w:noWrap w:val="0"/>
                  <w:vAlign w:val="center"/>
                </w:tcPr>
                <w:p w14:paraId="02D29830">
                  <w:pPr>
                    <w:keepNext w:val="0"/>
                    <w:keepLines w:val="0"/>
                    <w:widowControl/>
                    <w:suppressLineNumbers w:val="0"/>
                    <w:adjustRightInd w:val="0"/>
                    <w:snapToGrid w:val="0"/>
                    <w:spacing w:before="0" w:beforeAutospacing="0" w:after="0" w:afterAutospacing="0" w:line="276" w:lineRule="auto"/>
                    <w:ind w:left="0" w:right="0"/>
                    <w:jc w:val="center"/>
                    <w:rPr>
                      <w:rFonts w:hint="default" w:ascii="Times New Roman" w:hAnsi="Times New Roman" w:eastAsia="宋体" w:cs="Times New Roman"/>
                      <w:strike w:val="0"/>
                      <w:dstrike w:val="0"/>
                      <w:color w:val="auto"/>
                      <w:kern w:val="2"/>
                      <w:sz w:val="18"/>
                      <w:szCs w:val="18"/>
                      <w:highlight w:val="none"/>
                      <w:lang w:val="en-US" w:eastAsia="zh-CN" w:bidi="ar-SA"/>
                    </w:rPr>
                  </w:pPr>
                  <w:r>
                    <w:rPr>
                      <w:rFonts w:hint="default" w:ascii="Times New Roman" w:hAnsi="Times New Roman" w:eastAsia="宋体" w:cs="Times New Roman"/>
                      <w:strike w:val="0"/>
                      <w:dstrike w:val="0"/>
                      <w:color w:val="auto"/>
                      <w:sz w:val="18"/>
                      <w:szCs w:val="18"/>
                      <w:highlight w:val="none"/>
                      <w:lang w:val="en-US" w:eastAsia="zh-CN"/>
                    </w:rPr>
                    <w:t>黄头街村新村</w:t>
                  </w:r>
                </w:p>
              </w:tc>
              <w:tc>
                <w:tcPr>
                  <w:tcW w:w="527" w:type="pct"/>
                  <w:tcBorders>
                    <w:top w:val="single" w:color="auto" w:sz="4" w:space="0"/>
                    <w:left w:val="single" w:color="auto" w:sz="4" w:space="0"/>
                    <w:bottom w:val="single" w:color="auto" w:sz="4" w:space="0"/>
                    <w:right w:val="single" w:color="auto" w:sz="4" w:space="0"/>
                  </w:tcBorders>
                  <w:shd w:val="clear" w:color="auto" w:fill="auto"/>
                  <w:noWrap w:val="0"/>
                  <w:vAlign w:val="center"/>
                </w:tcPr>
                <w:p w14:paraId="4E65F5DA">
                  <w:pPr>
                    <w:keepNext w:val="0"/>
                    <w:keepLines w:val="0"/>
                    <w:widowControl/>
                    <w:suppressLineNumbers w:val="0"/>
                    <w:adjustRightInd w:val="0"/>
                    <w:snapToGrid w:val="0"/>
                    <w:spacing w:before="0" w:beforeAutospacing="0" w:after="0" w:afterAutospacing="0" w:line="276" w:lineRule="auto"/>
                    <w:ind w:left="0" w:right="0"/>
                    <w:jc w:val="center"/>
                    <w:rPr>
                      <w:rFonts w:hint="eastAsia" w:ascii="Times New Roman" w:hAnsi="Times New Roman" w:eastAsia="宋体" w:cs="Times New Roman"/>
                      <w:strike w:val="0"/>
                      <w:dstrike w:val="0"/>
                      <w:color w:val="auto"/>
                      <w:kern w:val="2"/>
                      <w:sz w:val="18"/>
                      <w:szCs w:val="18"/>
                      <w:highlight w:val="none"/>
                      <w:lang w:val="en-US" w:eastAsia="zh-CN" w:bidi="ar-SA"/>
                    </w:rPr>
                  </w:pPr>
                  <w:r>
                    <w:rPr>
                      <w:rFonts w:hint="default" w:ascii="Times New Roman" w:hAnsi="Times New Roman" w:eastAsia="宋体" w:cs="Times New Roman"/>
                      <w:strike w:val="0"/>
                      <w:dstrike w:val="0"/>
                      <w:color w:val="auto"/>
                      <w:sz w:val="18"/>
                      <w:szCs w:val="18"/>
                      <w:highlight w:val="none"/>
                    </w:rPr>
                    <w:t>118.85593</w:t>
                  </w:r>
                  <w:r>
                    <w:rPr>
                      <w:rFonts w:hint="eastAsia" w:ascii="Times New Roman" w:hAnsi="Times New Roman" w:eastAsia="宋体" w:cs="Times New Roman"/>
                      <w:strike w:val="0"/>
                      <w:dstrike w:val="0"/>
                      <w:color w:val="auto"/>
                      <w:sz w:val="18"/>
                      <w:szCs w:val="18"/>
                      <w:highlight w:val="none"/>
                      <w:lang w:val="en-US" w:eastAsia="zh-CN"/>
                    </w:rPr>
                    <w:t>7</w:t>
                  </w:r>
                </w:p>
              </w:tc>
              <w:tc>
                <w:tcPr>
                  <w:tcW w:w="564" w:type="pct"/>
                  <w:tcBorders>
                    <w:top w:val="single" w:color="auto" w:sz="4" w:space="0"/>
                    <w:left w:val="single" w:color="auto" w:sz="4" w:space="0"/>
                    <w:bottom w:val="single" w:color="auto" w:sz="4" w:space="0"/>
                    <w:right w:val="single" w:color="auto" w:sz="4" w:space="0"/>
                  </w:tcBorders>
                  <w:shd w:val="clear" w:color="auto" w:fill="auto"/>
                  <w:noWrap w:val="0"/>
                  <w:vAlign w:val="center"/>
                </w:tcPr>
                <w:p w14:paraId="503381F2">
                  <w:pPr>
                    <w:keepNext w:val="0"/>
                    <w:keepLines w:val="0"/>
                    <w:widowControl/>
                    <w:suppressLineNumbers w:val="0"/>
                    <w:adjustRightInd w:val="0"/>
                    <w:snapToGrid w:val="0"/>
                    <w:spacing w:before="0" w:beforeAutospacing="0" w:after="0" w:afterAutospacing="0" w:line="276" w:lineRule="auto"/>
                    <w:ind w:left="0" w:right="0"/>
                    <w:jc w:val="center"/>
                    <w:rPr>
                      <w:rFonts w:hint="eastAsia" w:ascii="Times New Roman" w:hAnsi="Times New Roman" w:eastAsia="宋体" w:cs="Times New Roman"/>
                      <w:strike w:val="0"/>
                      <w:dstrike w:val="0"/>
                      <w:color w:val="auto"/>
                      <w:kern w:val="2"/>
                      <w:sz w:val="18"/>
                      <w:szCs w:val="18"/>
                      <w:highlight w:val="none"/>
                      <w:lang w:val="en-US" w:eastAsia="zh-CN" w:bidi="ar-SA"/>
                    </w:rPr>
                  </w:pPr>
                  <w:r>
                    <w:rPr>
                      <w:rFonts w:hint="default" w:ascii="Times New Roman" w:hAnsi="Times New Roman" w:eastAsia="宋体" w:cs="Times New Roman"/>
                      <w:strike w:val="0"/>
                      <w:dstrike w:val="0"/>
                      <w:color w:val="auto"/>
                      <w:sz w:val="18"/>
                      <w:szCs w:val="18"/>
                      <w:highlight w:val="none"/>
                    </w:rPr>
                    <w:t>28.94065</w:t>
                  </w:r>
                  <w:r>
                    <w:rPr>
                      <w:rFonts w:hint="eastAsia" w:ascii="Times New Roman" w:hAnsi="Times New Roman" w:eastAsia="宋体" w:cs="Times New Roman"/>
                      <w:strike w:val="0"/>
                      <w:dstrike w:val="0"/>
                      <w:color w:val="auto"/>
                      <w:sz w:val="18"/>
                      <w:szCs w:val="18"/>
                      <w:highlight w:val="none"/>
                      <w:lang w:val="en-US" w:eastAsia="zh-CN"/>
                    </w:rPr>
                    <w:t>1</w:t>
                  </w:r>
                </w:p>
              </w:tc>
              <w:tc>
                <w:tcPr>
                  <w:tcW w:w="474" w:type="pct"/>
                  <w:tcBorders>
                    <w:top w:val="single" w:color="auto" w:sz="4" w:space="0"/>
                    <w:left w:val="single" w:color="auto" w:sz="4" w:space="0"/>
                    <w:bottom w:val="single" w:color="auto" w:sz="4" w:space="0"/>
                    <w:right w:val="single" w:color="auto" w:sz="4" w:space="0"/>
                  </w:tcBorders>
                  <w:shd w:val="clear" w:color="auto" w:fill="auto"/>
                  <w:noWrap w:val="0"/>
                  <w:vAlign w:val="center"/>
                </w:tcPr>
                <w:p w14:paraId="0AFFCB4B">
                  <w:pPr>
                    <w:keepNext w:val="0"/>
                    <w:keepLines w:val="0"/>
                    <w:widowControl/>
                    <w:suppressLineNumbers w:val="0"/>
                    <w:adjustRightInd w:val="0"/>
                    <w:snapToGrid w:val="0"/>
                    <w:spacing w:before="0" w:beforeAutospacing="0" w:after="0" w:afterAutospacing="0" w:line="276" w:lineRule="auto"/>
                    <w:ind w:left="0" w:right="0"/>
                    <w:jc w:val="center"/>
                    <w:rPr>
                      <w:rFonts w:hint="eastAsia" w:ascii="Times New Roman" w:hAnsi="Times New Roman" w:eastAsia="宋体" w:cs="Times New Roman"/>
                      <w:strike w:val="0"/>
                      <w:dstrike w:val="0"/>
                      <w:color w:val="auto"/>
                      <w:kern w:val="2"/>
                      <w:sz w:val="18"/>
                      <w:szCs w:val="18"/>
                      <w:highlight w:val="none"/>
                      <w:lang w:val="en-US" w:eastAsia="zh-CN" w:bidi="ar-SA"/>
                    </w:rPr>
                  </w:pPr>
                  <w:r>
                    <w:rPr>
                      <w:rFonts w:hint="eastAsia" w:ascii="Times New Roman" w:hAnsi="Times New Roman" w:eastAsia="宋体" w:cs="Times New Roman"/>
                      <w:strike w:val="0"/>
                      <w:dstrike w:val="0"/>
                      <w:color w:val="auto"/>
                      <w:sz w:val="18"/>
                      <w:szCs w:val="18"/>
                      <w:highlight w:val="none"/>
                      <w:lang w:val="en-US" w:eastAsia="zh-CN"/>
                    </w:rPr>
                    <w:t>居住区</w:t>
                  </w:r>
                </w:p>
              </w:tc>
              <w:tc>
                <w:tcPr>
                  <w:tcW w:w="490" w:type="pct"/>
                  <w:tcBorders>
                    <w:top w:val="single" w:color="auto" w:sz="4" w:space="0"/>
                    <w:left w:val="single" w:color="auto" w:sz="4" w:space="0"/>
                    <w:bottom w:val="single" w:color="auto" w:sz="4" w:space="0"/>
                    <w:right w:val="single" w:color="auto" w:sz="4" w:space="0"/>
                  </w:tcBorders>
                  <w:shd w:val="clear" w:color="auto" w:fill="auto"/>
                  <w:noWrap w:val="0"/>
                  <w:vAlign w:val="center"/>
                </w:tcPr>
                <w:p w14:paraId="421FF481">
                  <w:pPr>
                    <w:keepNext w:val="0"/>
                    <w:keepLines w:val="0"/>
                    <w:widowControl/>
                    <w:suppressLineNumbers w:val="0"/>
                    <w:adjustRightInd w:val="0"/>
                    <w:snapToGrid w:val="0"/>
                    <w:spacing w:before="0" w:beforeAutospacing="0" w:after="0" w:afterAutospacing="0" w:line="276" w:lineRule="auto"/>
                    <w:ind w:left="0" w:right="0"/>
                    <w:jc w:val="center"/>
                    <w:rPr>
                      <w:rFonts w:hint="eastAsia" w:ascii="Times New Roman" w:hAnsi="Times New Roman" w:eastAsia="宋体" w:cs="Times New Roman"/>
                      <w:strike w:val="0"/>
                      <w:dstrike w:val="0"/>
                      <w:color w:val="auto"/>
                      <w:kern w:val="2"/>
                      <w:sz w:val="18"/>
                      <w:szCs w:val="18"/>
                      <w:highlight w:val="none"/>
                      <w:lang w:val="en-US" w:eastAsia="zh-CN" w:bidi="ar-SA"/>
                    </w:rPr>
                  </w:pPr>
                  <w:r>
                    <w:rPr>
                      <w:rFonts w:hint="eastAsia" w:ascii="Times New Roman" w:hAnsi="Times New Roman" w:eastAsia="宋体" w:cs="Times New Roman"/>
                      <w:strike w:val="0"/>
                      <w:dstrike w:val="0"/>
                      <w:color w:val="auto"/>
                      <w:sz w:val="18"/>
                      <w:szCs w:val="18"/>
                      <w:highlight w:val="none"/>
                      <w:lang w:val="en-US" w:eastAsia="zh-CN"/>
                    </w:rPr>
                    <w:t>居民</w:t>
                  </w:r>
                </w:p>
              </w:tc>
              <w:tc>
                <w:tcPr>
                  <w:tcW w:w="499" w:type="pct"/>
                  <w:tcBorders>
                    <w:top w:val="single" w:color="auto" w:sz="4" w:space="0"/>
                    <w:left w:val="single" w:color="auto" w:sz="4" w:space="0"/>
                    <w:bottom w:val="single" w:color="auto" w:sz="4" w:space="0"/>
                    <w:right w:val="single" w:color="auto" w:sz="4" w:space="0"/>
                  </w:tcBorders>
                  <w:shd w:val="clear" w:color="auto" w:fill="auto"/>
                  <w:noWrap w:val="0"/>
                  <w:vAlign w:val="center"/>
                </w:tcPr>
                <w:p w14:paraId="157B99FB">
                  <w:pPr>
                    <w:keepNext w:val="0"/>
                    <w:keepLines w:val="0"/>
                    <w:widowControl/>
                    <w:suppressLineNumbers w:val="0"/>
                    <w:adjustRightInd w:val="0"/>
                    <w:snapToGrid w:val="0"/>
                    <w:spacing w:before="0" w:beforeAutospacing="0" w:after="0" w:afterAutospacing="0" w:line="276" w:lineRule="auto"/>
                    <w:ind w:left="0" w:right="0"/>
                    <w:jc w:val="center"/>
                    <w:rPr>
                      <w:rFonts w:hint="eastAsia" w:ascii="Times New Roman" w:hAnsi="Times New Roman" w:eastAsia="宋体" w:cs="Times New Roman"/>
                      <w:strike w:val="0"/>
                      <w:dstrike w:val="0"/>
                      <w:color w:val="auto"/>
                      <w:kern w:val="2"/>
                      <w:sz w:val="18"/>
                      <w:szCs w:val="18"/>
                      <w:highlight w:val="none"/>
                      <w:lang w:val="en-US" w:eastAsia="zh-CN" w:bidi="ar-SA"/>
                    </w:rPr>
                  </w:pPr>
                  <w:r>
                    <w:rPr>
                      <w:rFonts w:hint="eastAsia" w:ascii="Times New Roman" w:hAnsi="Times New Roman" w:eastAsia="宋体" w:cs="Times New Roman"/>
                      <w:strike w:val="0"/>
                      <w:dstrike w:val="0"/>
                      <w:color w:val="auto"/>
                      <w:sz w:val="18"/>
                      <w:szCs w:val="18"/>
                      <w:highlight w:val="none"/>
                      <w:lang w:val="en-US" w:eastAsia="zh-CN"/>
                    </w:rPr>
                    <w:t>二类</w:t>
                  </w:r>
                </w:p>
              </w:tc>
              <w:tc>
                <w:tcPr>
                  <w:tcW w:w="453" w:type="pct"/>
                  <w:tcBorders>
                    <w:top w:val="single" w:color="auto" w:sz="4" w:space="0"/>
                    <w:left w:val="single" w:color="auto" w:sz="4" w:space="0"/>
                    <w:bottom w:val="single" w:color="auto" w:sz="4" w:space="0"/>
                    <w:right w:val="single" w:color="auto" w:sz="4" w:space="0"/>
                  </w:tcBorders>
                  <w:shd w:val="clear" w:color="auto" w:fill="auto"/>
                  <w:noWrap w:val="0"/>
                  <w:vAlign w:val="center"/>
                </w:tcPr>
                <w:p w14:paraId="2D7FB2C0">
                  <w:pPr>
                    <w:keepNext w:val="0"/>
                    <w:keepLines w:val="0"/>
                    <w:widowControl/>
                    <w:suppressLineNumbers w:val="0"/>
                    <w:adjustRightInd w:val="0"/>
                    <w:snapToGrid w:val="0"/>
                    <w:spacing w:before="0" w:beforeAutospacing="0" w:after="0" w:afterAutospacing="0" w:line="276" w:lineRule="auto"/>
                    <w:ind w:left="0" w:right="0"/>
                    <w:jc w:val="center"/>
                    <w:rPr>
                      <w:rFonts w:hint="default" w:ascii="Times New Roman" w:hAnsi="Times New Roman" w:eastAsia="宋体" w:cs="Times New Roman"/>
                      <w:strike w:val="0"/>
                      <w:dstrike w:val="0"/>
                      <w:color w:val="auto"/>
                      <w:kern w:val="2"/>
                      <w:sz w:val="18"/>
                      <w:szCs w:val="18"/>
                      <w:highlight w:val="none"/>
                      <w:lang w:val="en-US" w:eastAsia="zh-CN" w:bidi="ar-SA"/>
                    </w:rPr>
                  </w:pPr>
                  <w:r>
                    <w:rPr>
                      <w:rFonts w:hint="eastAsia" w:ascii="Times New Roman" w:hAnsi="Times New Roman" w:eastAsia="宋体" w:cs="Times New Roman"/>
                      <w:strike w:val="0"/>
                      <w:dstrike w:val="0"/>
                      <w:color w:val="auto"/>
                      <w:sz w:val="18"/>
                      <w:szCs w:val="18"/>
                      <w:highlight w:val="none"/>
                      <w:lang w:val="en-US" w:eastAsia="zh-CN"/>
                    </w:rPr>
                    <w:t>东南</w:t>
                  </w:r>
                </w:p>
              </w:tc>
              <w:tc>
                <w:tcPr>
                  <w:tcW w:w="551" w:type="pct"/>
                  <w:tcBorders>
                    <w:top w:val="single" w:color="auto" w:sz="4" w:space="0"/>
                    <w:left w:val="single" w:color="auto" w:sz="4" w:space="0"/>
                    <w:bottom w:val="single" w:color="auto" w:sz="4" w:space="0"/>
                    <w:right w:val="single" w:color="auto" w:sz="4" w:space="0"/>
                  </w:tcBorders>
                  <w:shd w:val="clear" w:color="auto" w:fill="auto"/>
                  <w:noWrap w:val="0"/>
                  <w:vAlign w:val="center"/>
                </w:tcPr>
                <w:p w14:paraId="5F7A3FD7">
                  <w:pPr>
                    <w:keepNext w:val="0"/>
                    <w:keepLines w:val="0"/>
                    <w:widowControl/>
                    <w:suppressLineNumbers w:val="0"/>
                    <w:adjustRightInd w:val="0"/>
                    <w:snapToGrid w:val="0"/>
                    <w:spacing w:before="0" w:beforeAutospacing="0" w:after="0" w:afterAutospacing="0" w:line="276" w:lineRule="auto"/>
                    <w:ind w:left="0" w:right="0"/>
                    <w:jc w:val="center"/>
                    <w:rPr>
                      <w:rFonts w:hint="default" w:ascii="Times New Roman" w:hAnsi="Times New Roman" w:eastAsia="宋体" w:cs="Times New Roman"/>
                      <w:strike w:val="0"/>
                      <w:dstrike w:val="0"/>
                      <w:color w:val="auto"/>
                      <w:kern w:val="2"/>
                      <w:sz w:val="18"/>
                      <w:szCs w:val="18"/>
                      <w:highlight w:val="none"/>
                      <w:lang w:val="en-US" w:eastAsia="zh-CN" w:bidi="ar-SA"/>
                    </w:rPr>
                  </w:pPr>
                  <w:r>
                    <w:rPr>
                      <w:rFonts w:hint="eastAsia" w:ascii="Times New Roman" w:hAnsi="Times New Roman" w:eastAsia="宋体" w:cs="Times New Roman"/>
                      <w:strike w:val="0"/>
                      <w:dstrike w:val="0"/>
                      <w:color w:val="auto"/>
                      <w:sz w:val="18"/>
                      <w:szCs w:val="18"/>
                      <w:highlight w:val="none"/>
                      <w:lang w:val="en-US" w:eastAsia="zh-CN"/>
                    </w:rPr>
                    <w:t>2510</w:t>
                  </w:r>
                </w:p>
              </w:tc>
            </w:tr>
            <w:tr w14:paraId="46C9031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40" w:hRule="atLeast"/>
                <w:jc w:val="center"/>
              </w:trPr>
              <w:tc>
                <w:tcPr>
                  <w:tcW w:w="366" w:type="pct"/>
                  <w:tcBorders>
                    <w:left w:val="single" w:color="auto" w:sz="4" w:space="0"/>
                    <w:right w:val="single" w:color="auto" w:sz="4" w:space="0"/>
                  </w:tcBorders>
                  <w:noWrap w:val="0"/>
                  <w:vAlign w:val="center"/>
                </w:tcPr>
                <w:p w14:paraId="7FD5FE8C">
                  <w:pPr>
                    <w:keepNext w:val="0"/>
                    <w:keepLines w:val="0"/>
                    <w:widowControl/>
                    <w:suppressLineNumbers w:val="0"/>
                    <w:adjustRightInd w:val="0"/>
                    <w:snapToGrid w:val="0"/>
                    <w:spacing w:before="0" w:beforeAutospacing="0" w:after="0" w:afterAutospacing="0" w:line="276" w:lineRule="auto"/>
                    <w:ind w:left="0" w:right="0"/>
                    <w:jc w:val="center"/>
                    <w:rPr>
                      <w:rFonts w:hint="default" w:ascii="Times New Roman" w:hAnsi="Times New Roman" w:eastAsia="宋体" w:cs="Times New Roman"/>
                      <w:strike w:val="0"/>
                      <w:dstrike w:val="0"/>
                      <w:color w:val="auto"/>
                      <w:sz w:val="18"/>
                      <w:szCs w:val="18"/>
                      <w:highlight w:val="none"/>
                      <w:lang w:val="en-US" w:eastAsia="zh-CN"/>
                    </w:rPr>
                  </w:pPr>
                  <w:r>
                    <w:rPr>
                      <w:rFonts w:hint="eastAsia" w:ascii="Times New Roman" w:hAnsi="Times New Roman" w:eastAsia="宋体" w:cs="Times New Roman"/>
                      <w:strike w:val="0"/>
                      <w:dstrike w:val="0"/>
                      <w:color w:val="auto"/>
                      <w:sz w:val="18"/>
                      <w:szCs w:val="18"/>
                      <w:highlight w:val="none"/>
                      <w:lang w:val="en-US" w:eastAsia="zh-CN"/>
                    </w:rPr>
                    <w:t>36</w:t>
                  </w:r>
                </w:p>
              </w:tc>
              <w:tc>
                <w:tcPr>
                  <w:tcW w:w="1071" w:type="pct"/>
                  <w:tcBorders>
                    <w:top w:val="single" w:color="auto" w:sz="4" w:space="0"/>
                    <w:left w:val="single" w:color="auto" w:sz="4" w:space="0"/>
                    <w:bottom w:val="single" w:color="auto" w:sz="4" w:space="0"/>
                    <w:right w:val="single" w:color="auto" w:sz="4" w:space="0"/>
                  </w:tcBorders>
                  <w:shd w:val="clear" w:color="auto" w:fill="auto"/>
                  <w:noWrap w:val="0"/>
                  <w:vAlign w:val="center"/>
                </w:tcPr>
                <w:p w14:paraId="1C129567">
                  <w:pPr>
                    <w:keepNext w:val="0"/>
                    <w:keepLines w:val="0"/>
                    <w:widowControl/>
                    <w:suppressLineNumbers w:val="0"/>
                    <w:adjustRightInd w:val="0"/>
                    <w:snapToGrid w:val="0"/>
                    <w:spacing w:before="0" w:beforeAutospacing="0" w:after="0" w:afterAutospacing="0" w:line="276" w:lineRule="auto"/>
                    <w:ind w:left="0" w:right="0"/>
                    <w:jc w:val="center"/>
                    <w:rPr>
                      <w:rFonts w:hint="default" w:ascii="Times New Roman" w:hAnsi="Times New Roman" w:eastAsia="宋体" w:cs="Times New Roman"/>
                      <w:strike w:val="0"/>
                      <w:dstrike w:val="0"/>
                      <w:color w:val="auto"/>
                      <w:kern w:val="2"/>
                      <w:sz w:val="18"/>
                      <w:szCs w:val="18"/>
                      <w:highlight w:val="none"/>
                      <w:lang w:val="en-US" w:eastAsia="zh-CN" w:bidi="ar-SA"/>
                    </w:rPr>
                  </w:pPr>
                  <w:r>
                    <w:rPr>
                      <w:rFonts w:hint="default" w:ascii="Times New Roman" w:hAnsi="Times New Roman" w:eastAsia="宋体" w:cs="Times New Roman"/>
                      <w:strike w:val="0"/>
                      <w:dstrike w:val="0"/>
                      <w:color w:val="auto"/>
                      <w:sz w:val="18"/>
                      <w:szCs w:val="18"/>
                      <w:highlight w:val="none"/>
                      <w:lang w:val="en-US" w:eastAsia="zh-CN"/>
                    </w:rPr>
                    <w:t>双港街道办事处</w:t>
                  </w:r>
                </w:p>
              </w:tc>
              <w:tc>
                <w:tcPr>
                  <w:tcW w:w="527" w:type="pct"/>
                  <w:tcBorders>
                    <w:top w:val="single" w:color="auto" w:sz="4" w:space="0"/>
                    <w:left w:val="single" w:color="auto" w:sz="4" w:space="0"/>
                    <w:bottom w:val="single" w:color="auto" w:sz="4" w:space="0"/>
                    <w:right w:val="single" w:color="auto" w:sz="4" w:space="0"/>
                  </w:tcBorders>
                  <w:shd w:val="clear" w:color="auto" w:fill="auto"/>
                  <w:noWrap w:val="0"/>
                  <w:vAlign w:val="center"/>
                </w:tcPr>
                <w:p w14:paraId="7A402DE0">
                  <w:pPr>
                    <w:keepNext w:val="0"/>
                    <w:keepLines w:val="0"/>
                    <w:widowControl/>
                    <w:suppressLineNumbers w:val="0"/>
                    <w:adjustRightInd w:val="0"/>
                    <w:snapToGrid w:val="0"/>
                    <w:spacing w:before="0" w:beforeAutospacing="0" w:after="0" w:afterAutospacing="0" w:line="276" w:lineRule="auto"/>
                    <w:ind w:left="0" w:right="0"/>
                    <w:jc w:val="center"/>
                    <w:rPr>
                      <w:rFonts w:hint="eastAsia" w:ascii="Times New Roman" w:hAnsi="Times New Roman" w:eastAsia="宋体" w:cs="Times New Roman"/>
                      <w:strike w:val="0"/>
                      <w:dstrike w:val="0"/>
                      <w:color w:val="auto"/>
                      <w:kern w:val="2"/>
                      <w:sz w:val="18"/>
                      <w:szCs w:val="18"/>
                      <w:highlight w:val="none"/>
                      <w:lang w:val="en-US" w:eastAsia="zh-CN" w:bidi="ar-SA"/>
                    </w:rPr>
                  </w:pPr>
                  <w:r>
                    <w:rPr>
                      <w:rFonts w:hint="default" w:ascii="Times New Roman" w:hAnsi="Times New Roman" w:eastAsia="宋体" w:cs="Times New Roman"/>
                      <w:strike w:val="0"/>
                      <w:dstrike w:val="0"/>
                      <w:color w:val="auto"/>
                      <w:sz w:val="18"/>
                      <w:szCs w:val="18"/>
                      <w:highlight w:val="none"/>
                    </w:rPr>
                    <w:t>118.85561</w:t>
                  </w:r>
                  <w:r>
                    <w:rPr>
                      <w:rFonts w:hint="eastAsia" w:ascii="Times New Roman" w:hAnsi="Times New Roman" w:eastAsia="宋体" w:cs="Times New Roman"/>
                      <w:strike w:val="0"/>
                      <w:dstrike w:val="0"/>
                      <w:color w:val="auto"/>
                      <w:sz w:val="18"/>
                      <w:szCs w:val="18"/>
                      <w:highlight w:val="none"/>
                      <w:lang w:val="en-US" w:eastAsia="zh-CN"/>
                    </w:rPr>
                    <w:t>5</w:t>
                  </w:r>
                </w:p>
              </w:tc>
              <w:tc>
                <w:tcPr>
                  <w:tcW w:w="564" w:type="pct"/>
                  <w:tcBorders>
                    <w:top w:val="single" w:color="auto" w:sz="4" w:space="0"/>
                    <w:left w:val="single" w:color="auto" w:sz="4" w:space="0"/>
                    <w:bottom w:val="single" w:color="auto" w:sz="4" w:space="0"/>
                    <w:right w:val="single" w:color="auto" w:sz="4" w:space="0"/>
                  </w:tcBorders>
                  <w:shd w:val="clear" w:color="auto" w:fill="auto"/>
                  <w:noWrap w:val="0"/>
                  <w:vAlign w:val="center"/>
                </w:tcPr>
                <w:p w14:paraId="6809064C">
                  <w:pPr>
                    <w:keepNext w:val="0"/>
                    <w:keepLines w:val="0"/>
                    <w:widowControl/>
                    <w:suppressLineNumbers w:val="0"/>
                    <w:adjustRightInd w:val="0"/>
                    <w:snapToGrid w:val="0"/>
                    <w:spacing w:before="0" w:beforeAutospacing="0" w:after="0" w:afterAutospacing="0" w:line="276" w:lineRule="auto"/>
                    <w:ind w:left="0" w:right="0"/>
                    <w:jc w:val="center"/>
                    <w:rPr>
                      <w:rFonts w:hint="eastAsia" w:ascii="Times New Roman" w:hAnsi="Times New Roman" w:eastAsia="宋体" w:cs="Times New Roman"/>
                      <w:strike w:val="0"/>
                      <w:dstrike w:val="0"/>
                      <w:color w:val="auto"/>
                      <w:kern w:val="2"/>
                      <w:sz w:val="18"/>
                      <w:szCs w:val="18"/>
                      <w:highlight w:val="none"/>
                      <w:lang w:val="en-US" w:eastAsia="zh-CN" w:bidi="ar-SA"/>
                    </w:rPr>
                  </w:pPr>
                  <w:r>
                    <w:rPr>
                      <w:rFonts w:hint="default" w:ascii="Times New Roman" w:hAnsi="Times New Roman" w:eastAsia="宋体" w:cs="Times New Roman"/>
                      <w:strike w:val="0"/>
                      <w:dstrike w:val="0"/>
                      <w:color w:val="auto"/>
                      <w:sz w:val="18"/>
                      <w:szCs w:val="18"/>
                      <w:highlight w:val="none"/>
                    </w:rPr>
                    <w:t>28.94185</w:t>
                  </w:r>
                  <w:r>
                    <w:rPr>
                      <w:rFonts w:hint="eastAsia" w:ascii="Times New Roman" w:hAnsi="Times New Roman" w:eastAsia="宋体" w:cs="Times New Roman"/>
                      <w:strike w:val="0"/>
                      <w:dstrike w:val="0"/>
                      <w:color w:val="auto"/>
                      <w:sz w:val="18"/>
                      <w:szCs w:val="18"/>
                      <w:highlight w:val="none"/>
                      <w:lang w:val="en-US" w:eastAsia="zh-CN"/>
                    </w:rPr>
                    <w:t>3</w:t>
                  </w:r>
                </w:p>
              </w:tc>
              <w:tc>
                <w:tcPr>
                  <w:tcW w:w="474" w:type="pct"/>
                  <w:tcBorders>
                    <w:top w:val="single" w:color="auto" w:sz="4" w:space="0"/>
                    <w:left w:val="single" w:color="auto" w:sz="4" w:space="0"/>
                    <w:bottom w:val="single" w:color="auto" w:sz="4" w:space="0"/>
                    <w:right w:val="single" w:color="auto" w:sz="4" w:space="0"/>
                  </w:tcBorders>
                  <w:shd w:val="clear" w:color="auto" w:fill="auto"/>
                  <w:noWrap w:val="0"/>
                  <w:vAlign w:val="center"/>
                </w:tcPr>
                <w:p w14:paraId="3A77F2F8">
                  <w:pPr>
                    <w:keepNext w:val="0"/>
                    <w:keepLines w:val="0"/>
                    <w:widowControl/>
                    <w:suppressLineNumbers w:val="0"/>
                    <w:adjustRightInd w:val="0"/>
                    <w:snapToGrid w:val="0"/>
                    <w:spacing w:before="0" w:beforeAutospacing="0" w:after="0" w:afterAutospacing="0" w:line="276" w:lineRule="auto"/>
                    <w:ind w:left="0" w:right="0"/>
                    <w:jc w:val="center"/>
                    <w:rPr>
                      <w:rFonts w:hint="eastAsia" w:ascii="Times New Roman" w:hAnsi="Times New Roman" w:eastAsia="宋体" w:cs="Times New Roman"/>
                      <w:strike w:val="0"/>
                      <w:dstrike w:val="0"/>
                      <w:color w:val="auto"/>
                      <w:kern w:val="2"/>
                      <w:sz w:val="18"/>
                      <w:szCs w:val="18"/>
                      <w:highlight w:val="none"/>
                      <w:lang w:val="en-US" w:eastAsia="zh-CN" w:bidi="ar-SA"/>
                    </w:rPr>
                  </w:pPr>
                  <w:r>
                    <w:rPr>
                      <w:rFonts w:hint="eastAsia" w:ascii="Times New Roman" w:hAnsi="Times New Roman" w:eastAsia="宋体" w:cs="Times New Roman"/>
                      <w:strike w:val="0"/>
                      <w:dstrike w:val="0"/>
                      <w:color w:val="auto"/>
                      <w:kern w:val="2"/>
                      <w:sz w:val="18"/>
                      <w:szCs w:val="18"/>
                      <w:highlight w:val="none"/>
                      <w:lang w:val="en-US" w:eastAsia="zh-CN" w:bidi="ar-SA"/>
                    </w:rPr>
                    <w:t>行政办公</w:t>
                  </w:r>
                </w:p>
              </w:tc>
              <w:tc>
                <w:tcPr>
                  <w:tcW w:w="490" w:type="pct"/>
                  <w:tcBorders>
                    <w:top w:val="single" w:color="auto" w:sz="4" w:space="0"/>
                    <w:left w:val="single" w:color="auto" w:sz="4" w:space="0"/>
                    <w:bottom w:val="single" w:color="auto" w:sz="4" w:space="0"/>
                    <w:right w:val="single" w:color="auto" w:sz="4" w:space="0"/>
                  </w:tcBorders>
                  <w:shd w:val="clear" w:color="auto" w:fill="auto"/>
                  <w:noWrap w:val="0"/>
                  <w:vAlign w:val="center"/>
                </w:tcPr>
                <w:p w14:paraId="155F89D9">
                  <w:pPr>
                    <w:keepNext w:val="0"/>
                    <w:keepLines w:val="0"/>
                    <w:widowControl/>
                    <w:suppressLineNumbers w:val="0"/>
                    <w:adjustRightInd w:val="0"/>
                    <w:snapToGrid w:val="0"/>
                    <w:spacing w:before="0" w:beforeAutospacing="0" w:after="0" w:afterAutospacing="0" w:line="276" w:lineRule="auto"/>
                    <w:ind w:left="0" w:right="0"/>
                    <w:jc w:val="center"/>
                    <w:rPr>
                      <w:rFonts w:hint="eastAsia" w:ascii="Times New Roman" w:hAnsi="Times New Roman" w:eastAsia="宋体" w:cs="Times New Roman"/>
                      <w:strike w:val="0"/>
                      <w:dstrike w:val="0"/>
                      <w:color w:val="auto"/>
                      <w:kern w:val="2"/>
                      <w:sz w:val="18"/>
                      <w:szCs w:val="18"/>
                      <w:highlight w:val="none"/>
                      <w:lang w:val="en-US" w:eastAsia="zh-CN" w:bidi="ar-SA"/>
                    </w:rPr>
                  </w:pPr>
                  <w:r>
                    <w:rPr>
                      <w:rFonts w:hint="eastAsia" w:ascii="Times New Roman" w:hAnsi="Times New Roman" w:eastAsia="宋体" w:cs="Times New Roman"/>
                      <w:strike w:val="0"/>
                      <w:dstrike w:val="0"/>
                      <w:color w:val="auto"/>
                      <w:kern w:val="2"/>
                      <w:sz w:val="18"/>
                      <w:szCs w:val="18"/>
                      <w:highlight w:val="none"/>
                      <w:lang w:val="en-US" w:eastAsia="zh-CN" w:bidi="ar-SA"/>
                    </w:rPr>
                    <w:t>工作人员</w:t>
                  </w:r>
                </w:p>
              </w:tc>
              <w:tc>
                <w:tcPr>
                  <w:tcW w:w="499" w:type="pct"/>
                  <w:tcBorders>
                    <w:top w:val="single" w:color="auto" w:sz="4" w:space="0"/>
                    <w:left w:val="single" w:color="auto" w:sz="4" w:space="0"/>
                    <w:bottom w:val="single" w:color="auto" w:sz="4" w:space="0"/>
                    <w:right w:val="single" w:color="auto" w:sz="4" w:space="0"/>
                  </w:tcBorders>
                  <w:shd w:val="clear" w:color="auto" w:fill="auto"/>
                  <w:noWrap w:val="0"/>
                  <w:vAlign w:val="center"/>
                </w:tcPr>
                <w:p w14:paraId="0393B2B4">
                  <w:pPr>
                    <w:keepNext w:val="0"/>
                    <w:keepLines w:val="0"/>
                    <w:widowControl/>
                    <w:suppressLineNumbers w:val="0"/>
                    <w:adjustRightInd w:val="0"/>
                    <w:snapToGrid w:val="0"/>
                    <w:spacing w:before="0" w:beforeAutospacing="0" w:after="0" w:afterAutospacing="0" w:line="276" w:lineRule="auto"/>
                    <w:ind w:left="0" w:right="0"/>
                    <w:jc w:val="center"/>
                    <w:rPr>
                      <w:rFonts w:hint="eastAsia" w:ascii="Times New Roman" w:hAnsi="Times New Roman" w:eastAsia="宋体" w:cs="Times New Roman"/>
                      <w:strike w:val="0"/>
                      <w:dstrike w:val="0"/>
                      <w:color w:val="auto"/>
                      <w:kern w:val="2"/>
                      <w:sz w:val="18"/>
                      <w:szCs w:val="18"/>
                      <w:highlight w:val="none"/>
                      <w:lang w:val="en-US" w:eastAsia="zh-CN" w:bidi="ar-SA"/>
                    </w:rPr>
                  </w:pPr>
                  <w:r>
                    <w:rPr>
                      <w:rFonts w:hint="eastAsia" w:ascii="Times New Roman" w:hAnsi="Times New Roman" w:eastAsia="宋体" w:cs="Times New Roman"/>
                      <w:strike w:val="0"/>
                      <w:dstrike w:val="0"/>
                      <w:color w:val="auto"/>
                      <w:sz w:val="18"/>
                      <w:szCs w:val="18"/>
                      <w:highlight w:val="none"/>
                      <w:lang w:val="en-US" w:eastAsia="zh-CN"/>
                    </w:rPr>
                    <w:t>二类</w:t>
                  </w:r>
                </w:p>
              </w:tc>
              <w:tc>
                <w:tcPr>
                  <w:tcW w:w="453" w:type="pct"/>
                  <w:tcBorders>
                    <w:top w:val="single" w:color="auto" w:sz="4" w:space="0"/>
                    <w:left w:val="single" w:color="auto" w:sz="4" w:space="0"/>
                    <w:bottom w:val="single" w:color="auto" w:sz="4" w:space="0"/>
                    <w:right w:val="single" w:color="auto" w:sz="4" w:space="0"/>
                  </w:tcBorders>
                  <w:shd w:val="clear" w:color="auto" w:fill="auto"/>
                  <w:noWrap w:val="0"/>
                  <w:vAlign w:val="center"/>
                </w:tcPr>
                <w:p w14:paraId="4A3956C3">
                  <w:pPr>
                    <w:keepNext w:val="0"/>
                    <w:keepLines w:val="0"/>
                    <w:widowControl/>
                    <w:suppressLineNumbers w:val="0"/>
                    <w:adjustRightInd w:val="0"/>
                    <w:snapToGrid w:val="0"/>
                    <w:spacing w:before="0" w:beforeAutospacing="0" w:after="0" w:afterAutospacing="0" w:line="276" w:lineRule="auto"/>
                    <w:ind w:left="0" w:right="0"/>
                    <w:jc w:val="center"/>
                    <w:rPr>
                      <w:rFonts w:hint="default" w:ascii="Times New Roman" w:hAnsi="Times New Roman" w:eastAsia="宋体" w:cs="Times New Roman"/>
                      <w:strike w:val="0"/>
                      <w:dstrike w:val="0"/>
                      <w:color w:val="auto"/>
                      <w:kern w:val="2"/>
                      <w:sz w:val="18"/>
                      <w:szCs w:val="18"/>
                      <w:highlight w:val="none"/>
                      <w:lang w:val="en-US" w:eastAsia="zh-CN" w:bidi="ar-SA"/>
                    </w:rPr>
                  </w:pPr>
                  <w:r>
                    <w:rPr>
                      <w:rFonts w:hint="eastAsia" w:ascii="Times New Roman" w:hAnsi="Times New Roman" w:eastAsia="宋体" w:cs="Times New Roman"/>
                      <w:strike w:val="0"/>
                      <w:dstrike w:val="0"/>
                      <w:color w:val="auto"/>
                      <w:sz w:val="18"/>
                      <w:szCs w:val="18"/>
                      <w:highlight w:val="none"/>
                      <w:lang w:val="en-US" w:eastAsia="zh-CN"/>
                    </w:rPr>
                    <w:t>东南</w:t>
                  </w:r>
                </w:p>
              </w:tc>
              <w:tc>
                <w:tcPr>
                  <w:tcW w:w="551" w:type="pct"/>
                  <w:tcBorders>
                    <w:top w:val="single" w:color="auto" w:sz="4" w:space="0"/>
                    <w:left w:val="single" w:color="auto" w:sz="4" w:space="0"/>
                    <w:bottom w:val="single" w:color="auto" w:sz="4" w:space="0"/>
                    <w:right w:val="single" w:color="auto" w:sz="4" w:space="0"/>
                  </w:tcBorders>
                  <w:shd w:val="clear" w:color="auto" w:fill="auto"/>
                  <w:noWrap w:val="0"/>
                  <w:vAlign w:val="center"/>
                </w:tcPr>
                <w:p w14:paraId="3E072899">
                  <w:pPr>
                    <w:keepNext w:val="0"/>
                    <w:keepLines w:val="0"/>
                    <w:widowControl/>
                    <w:suppressLineNumbers w:val="0"/>
                    <w:adjustRightInd w:val="0"/>
                    <w:snapToGrid w:val="0"/>
                    <w:spacing w:before="0" w:beforeAutospacing="0" w:after="0" w:afterAutospacing="0" w:line="276" w:lineRule="auto"/>
                    <w:ind w:left="0" w:right="0"/>
                    <w:jc w:val="center"/>
                    <w:rPr>
                      <w:rFonts w:hint="default" w:ascii="Times New Roman" w:hAnsi="Times New Roman" w:eastAsia="宋体" w:cs="Times New Roman"/>
                      <w:strike w:val="0"/>
                      <w:dstrike w:val="0"/>
                      <w:color w:val="auto"/>
                      <w:kern w:val="2"/>
                      <w:sz w:val="18"/>
                      <w:szCs w:val="18"/>
                      <w:highlight w:val="none"/>
                      <w:lang w:val="en-US" w:eastAsia="zh-CN" w:bidi="ar-SA"/>
                    </w:rPr>
                  </w:pPr>
                  <w:r>
                    <w:rPr>
                      <w:rFonts w:hint="eastAsia" w:ascii="Times New Roman" w:hAnsi="Times New Roman" w:eastAsia="宋体" w:cs="Times New Roman"/>
                      <w:strike w:val="0"/>
                      <w:dstrike w:val="0"/>
                      <w:color w:val="auto"/>
                      <w:sz w:val="18"/>
                      <w:szCs w:val="18"/>
                      <w:highlight w:val="none"/>
                      <w:lang w:val="en-US" w:eastAsia="zh-CN"/>
                    </w:rPr>
                    <w:t>2270</w:t>
                  </w:r>
                </w:p>
              </w:tc>
            </w:tr>
            <w:tr w14:paraId="5E44B69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40" w:hRule="atLeast"/>
                <w:jc w:val="center"/>
              </w:trPr>
              <w:tc>
                <w:tcPr>
                  <w:tcW w:w="366" w:type="pct"/>
                  <w:tcBorders>
                    <w:left w:val="single" w:color="auto" w:sz="4" w:space="0"/>
                    <w:right w:val="single" w:color="auto" w:sz="4" w:space="0"/>
                  </w:tcBorders>
                  <w:noWrap w:val="0"/>
                  <w:vAlign w:val="center"/>
                </w:tcPr>
                <w:p w14:paraId="55C2029A">
                  <w:pPr>
                    <w:keepNext w:val="0"/>
                    <w:keepLines w:val="0"/>
                    <w:widowControl/>
                    <w:suppressLineNumbers w:val="0"/>
                    <w:adjustRightInd w:val="0"/>
                    <w:snapToGrid w:val="0"/>
                    <w:spacing w:before="0" w:beforeAutospacing="0" w:after="0" w:afterAutospacing="0" w:line="276" w:lineRule="auto"/>
                    <w:ind w:left="0" w:right="0"/>
                    <w:jc w:val="center"/>
                    <w:rPr>
                      <w:rFonts w:hint="default" w:ascii="Times New Roman" w:hAnsi="Times New Roman" w:eastAsia="宋体" w:cs="Times New Roman"/>
                      <w:strike w:val="0"/>
                      <w:dstrike w:val="0"/>
                      <w:color w:val="auto"/>
                      <w:sz w:val="18"/>
                      <w:szCs w:val="18"/>
                      <w:highlight w:val="none"/>
                      <w:lang w:val="en-US" w:eastAsia="zh-CN"/>
                    </w:rPr>
                  </w:pPr>
                  <w:r>
                    <w:rPr>
                      <w:rFonts w:hint="eastAsia" w:ascii="Times New Roman" w:hAnsi="Times New Roman" w:eastAsia="宋体" w:cs="Times New Roman"/>
                      <w:strike w:val="0"/>
                      <w:dstrike w:val="0"/>
                      <w:color w:val="auto"/>
                      <w:sz w:val="18"/>
                      <w:szCs w:val="18"/>
                      <w:highlight w:val="none"/>
                      <w:lang w:val="en-US" w:eastAsia="zh-CN"/>
                    </w:rPr>
                    <w:t>37</w:t>
                  </w:r>
                </w:p>
              </w:tc>
              <w:tc>
                <w:tcPr>
                  <w:tcW w:w="1071" w:type="pct"/>
                  <w:tcBorders>
                    <w:top w:val="single" w:color="auto" w:sz="4" w:space="0"/>
                    <w:left w:val="single" w:color="auto" w:sz="4" w:space="0"/>
                    <w:bottom w:val="single" w:color="auto" w:sz="4" w:space="0"/>
                    <w:right w:val="single" w:color="auto" w:sz="4" w:space="0"/>
                  </w:tcBorders>
                  <w:shd w:val="clear" w:color="auto" w:fill="auto"/>
                  <w:noWrap w:val="0"/>
                  <w:vAlign w:val="center"/>
                </w:tcPr>
                <w:p w14:paraId="4B13F661">
                  <w:pPr>
                    <w:keepNext w:val="0"/>
                    <w:keepLines w:val="0"/>
                    <w:widowControl/>
                    <w:suppressLineNumbers w:val="0"/>
                    <w:adjustRightInd w:val="0"/>
                    <w:snapToGrid w:val="0"/>
                    <w:spacing w:before="0" w:beforeAutospacing="0" w:after="0" w:afterAutospacing="0" w:line="276" w:lineRule="auto"/>
                    <w:ind w:left="0" w:right="0"/>
                    <w:jc w:val="center"/>
                    <w:rPr>
                      <w:rFonts w:hint="default" w:ascii="Times New Roman" w:hAnsi="Times New Roman" w:eastAsia="宋体" w:cs="Times New Roman"/>
                      <w:strike w:val="0"/>
                      <w:dstrike w:val="0"/>
                      <w:color w:val="auto"/>
                      <w:kern w:val="2"/>
                      <w:sz w:val="18"/>
                      <w:szCs w:val="18"/>
                      <w:highlight w:val="none"/>
                      <w:lang w:val="en-US" w:eastAsia="zh-CN" w:bidi="ar-SA"/>
                    </w:rPr>
                  </w:pPr>
                  <w:r>
                    <w:rPr>
                      <w:rFonts w:hint="default" w:ascii="Times New Roman" w:hAnsi="Times New Roman" w:eastAsia="宋体" w:cs="Times New Roman"/>
                      <w:strike w:val="0"/>
                      <w:dstrike w:val="0"/>
                      <w:color w:val="auto"/>
                      <w:sz w:val="18"/>
                      <w:szCs w:val="18"/>
                      <w:highlight w:val="none"/>
                      <w:lang w:val="en-US" w:eastAsia="zh-CN"/>
                    </w:rPr>
                    <w:t>姜家山乡人民政府</w:t>
                  </w:r>
                </w:p>
              </w:tc>
              <w:tc>
                <w:tcPr>
                  <w:tcW w:w="527" w:type="pct"/>
                  <w:tcBorders>
                    <w:top w:val="single" w:color="auto" w:sz="4" w:space="0"/>
                    <w:left w:val="single" w:color="auto" w:sz="4" w:space="0"/>
                    <w:bottom w:val="single" w:color="auto" w:sz="4" w:space="0"/>
                    <w:right w:val="single" w:color="auto" w:sz="4" w:space="0"/>
                  </w:tcBorders>
                  <w:shd w:val="clear" w:color="auto" w:fill="auto"/>
                  <w:noWrap w:val="0"/>
                  <w:vAlign w:val="center"/>
                </w:tcPr>
                <w:p w14:paraId="1BC7281C">
                  <w:pPr>
                    <w:keepNext w:val="0"/>
                    <w:keepLines w:val="0"/>
                    <w:widowControl/>
                    <w:suppressLineNumbers w:val="0"/>
                    <w:adjustRightInd w:val="0"/>
                    <w:snapToGrid w:val="0"/>
                    <w:spacing w:before="0" w:beforeAutospacing="0" w:after="0" w:afterAutospacing="0" w:line="276" w:lineRule="auto"/>
                    <w:ind w:left="0" w:right="0"/>
                    <w:jc w:val="center"/>
                    <w:rPr>
                      <w:rFonts w:hint="eastAsia" w:ascii="Times New Roman" w:hAnsi="Times New Roman" w:eastAsia="宋体" w:cs="Times New Roman"/>
                      <w:strike w:val="0"/>
                      <w:dstrike w:val="0"/>
                      <w:color w:val="auto"/>
                      <w:kern w:val="2"/>
                      <w:sz w:val="18"/>
                      <w:szCs w:val="18"/>
                      <w:highlight w:val="none"/>
                      <w:lang w:val="en-US" w:eastAsia="zh-CN" w:bidi="ar-SA"/>
                    </w:rPr>
                  </w:pPr>
                  <w:r>
                    <w:rPr>
                      <w:rFonts w:hint="default" w:ascii="Times New Roman" w:hAnsi="Times New Roman" w:eastAsia="宋体" w:cs="Times New Roman"/>
                      <w:strike w:val="0"/>
                      <w:dstrike w:val="0"/>
                      <w:color w:val="auto"/>
                      <w:sz w:val="18"/>
                      <w:szCs w:val="18"/>
                      <w:highlight w:val="none"/>
                    </w:rPr>
                    <w:t>118.82001</w:t>
                  </w:r>
                  <w:r>
                    <w:rPr>
                      <w:rFonts w:hint="eastAsia" w:ascii="Times New Roman" w:hAnsi="Times New Roman" w:eastAsia="宋体" w:cs="Times New Roman"/>
                      <w:strike w:val="0"/>
                      <w:dstrike w:val="0"/>
                      <w:color w:val="auto"/>
                      <w:sz w:val="18"/>
                      <w:szCs w:val="18"/>
                      <w:highlight w:val="none"/>
                      <w:lang w:val="en-US" w:eastAsia="zh-CN"/>
                    </w:rPr>
                    <w:t>8</w:t>
                  </w:r>
                </w:p>
              </w:tc>
              <w:tc>
                <w:tcPr>
                  <w:tcW w:w="564" w:type="pct"/>
                  <w:tcBorders>
                    <w:top w:val="single" w:color="auto" w:sz="4" w:space="0"/>
                    <w:left w:val="single" w:color="auto" w:sz="4" w:space="0"/>
                    <w:bottom w:val="single" w:color="auto" w:sz="4" w:space="0"/>
                    <w:right w:val="single" w:color="auto" w:sz="4" w:space="0"/>
                  </w:tcBorders>
                  <w:shd w:val="clear" w:color="auto" w:fill="auto"/>
                  <w:noWrap w:val="0"/>
                  <w:vAlign w:val="center"/>
                </w:tcPr>
                <w:p w14:paraId="36138360">
                  <w:pPr>
                    <w:keepNext w:val="0"/>
                    <w:keepLines w:val="0"/>
                    <w:widowControl/>
                    <w:suppressLineNumbers w:val="0"/>
                    <w:adjustRightInd w:val="0"/>
                    <w:snapToGrid w:val="0"/>
                    <w:spacing w:before="0" w:beforeAutospacing="0" w:after="0" w:afterAutospacing="0" w:line="276" w:lineRule="auto"/>
                    <w:ind w:left="0" w:right="0"/>
                    <w:jc w:val="center"/>
                    <w:rPr>
                      <w:rFonts w:hint="default" w:ascii="Times New Roman" w:hAnsi="Times New Roman" w:eastAsia="宋体" w:cs="Times New Roman"/>
                      <w:strike w:val="0"/>
                      <w:dstrike w:val="0"/>
                      <w:color w:val="auto"/>
                      <w:kern w:val="2"/>
                      <w:sz w:val="18"/>
                      <w:szCs w:val="18"/>
                      <w:highlight w:val="none"/>
                      <w:lang w:val="en-US" w:eastAsia="zh-CN" w:bidi="ar-SA"/>
                    </w:rPr>
                  </w:pPr>
                  <w:r>
                    <w:rPr>
                      <w:rFonts w:hint="default" w:ascii="Times New Roman" w:hAnsi="Times New Roman" w:eastAsia="宋体" w:cs="Times New Roman"/>
                      <w:strike w:val="0"/>
                      <w:dstrike w:val="0"/>
                      <w:color w:val="auto"/>
                      <w:sz w:val="18"/>
                      <w:szCs w:val="18"/>
                      <w:highlight w:val="none"/>
                    </w:rPr>
                    <w:t>28.9730</w:t>
                  </w:r>
                  <w:r>
                    <w:rPr>
                      <w:rFonts w:hint="eastAsia" w:ascii="Times New Roman" w:hAnsi="Times New Roman" w:eastAsia="宋体" w:cs="Times New Roman"/>
                      <w:strike w:val="0"/>
                      <w:dstrike w:val="0"/>
                      <w:color w:val="auto"/>
                      <w:sz w:val="18"/>
                      <w:szCs w:val="18"/>
                      <w:highlight w:val="none"/>
                      <w:lang w:val="en-US" w:eastAsia="zh-CN"/>
                    </w:rPr>
                    <w:t>70</w:t>
                  </w:r>
                </w:p>
              </w:tc>
              <w:tc>
                <w:tcPr>
                  <w:tcW w:w="474" w:type="pct"/>
                  <w:tcBorders>
                    <w:top w:val="single" w:color="auto" w:sz="4" w:space="0"/>
                    <w:left w:val="single" w:color="auto" w:sz="4" w:space="0"/>
                    <w:bottom w:val="single" w:color="auto" w:sz="4" w:space="0"/>
                    <w:right w:val="single" w:color="auto" w:sz="4" w:space="0"/>
                  </w:tcBorders>
                  <w:shd w:val="clear" w:color="auto" w:fill="auto"/>
                  <w:noWrap w:val="0"/>
                  <w:vAlign w:val="center"/>
                </w:tcPr>
                <w:p w14:paraId="1E38C098">
                  <w:pPr>
                    <w:keepNext w:val="0"/>
                    <w:keepLines w:val="0"/>
                    <w:widowControl/>
                    <w:suppressLineNumbers w:val="0"/>
                    <w:adjustRightInd w:val="0"/>
                    <w:snapToGrid w:val="0"/>
                    <w:spacing w:before="0" w:beforeAutospacing="0" w:after="0" w:afterAutospacing="0" w:line="276" w:lineRule="auto"/>
                    <w:ind w:left="0" w:right="0"/>
                    <w:jc w:val="center"/>
                    <w:rPr>
                      <w:rFonts w:hint="eastAsia" w:ascii="Times New Roman" w:hAnsi="Times New Roman" w:eastAsia="宋体" w:cs="Times New Roman"/>
                      <w:strike w:val="0"/>
                      <w:dstrike w:val="0"/>
                      <w:color w:val="auto"/>
                      <w:kern w:val="2"/>
                      <w:sz w:val="18"/>
                      <w:szCs w:val="18"/>
                      <w:highlight w:val="none"/>
                      <w:lang w:val="en-US" w:eastAsia="zh-CN" w:bidi="ar-SA"/>
                    </w:rPr>
                  </w:pPr>
                  <w:r>
                    <w:rPr>
                      <w:rFonts w:hint="eastAsia" w:ascii="Times New Roman" w:hAnsi="Times New Roman" w:eastAsia="宋体" w:cs="Times New Roman"/>
                      <w:strike w:val="0"/>
                      <w:dstrike w:val="0"/>
                      <w:color w:val="auto"/>
                      <w:kern w:val="2"/>
                      <w:sz w:val="18"/>
                      <w:szCs w:val="18"/>
                      <w:highlight w:val="none"/>
                      <w:lang w:val="en-US" w:eastAsia="zh-CN" w:bidi="ar-SA"/>
                    </w:rPr>
                    <w:t>行政办公</w:t>
                  </w:r>
                </w:p>
              </w:tc>
              <w:tc>
                <w:tcPr>
                  <w:tcW w:w="490" w:type="pct"/>
                  <w:tcBorders>
                    <w:top w:val="single" w:color="auto" w:sz="4" w:space="0"/>
                    <w:left w:val="single" w:color="auto" w:sz="4" w:space="0"/>
                    <w:bottom w:val="single" w:color="auto" w:sz="4" w:space="0"/>
                    <w:right w:val="single" w:color="auto" w:sz="4" w:space="0"/>
                  </w:tcBorders>
                  <w:shd w:val="clear" w:color="auto" w:fill="auto"/>
                  <w:noWrap w:val="0"/>
                  <w:vAlign w:val="center"/>
                </w:tcPr>
                <w:p w14:paraId="28DB95B3">
                  <w:pPr>
                    <w:keepNext w:val="0"/>
                    <w:keepLines w:val="0"/>
                    <w:widowControl/>
                    <w:suppressLineNumbers w:val="0"/>
                    <w:adjustRightInd w:val="0"/>
                    <w:snapToGrid w:val="0"/>
                    <w:spacing w:before="0" w:beforeAutospacing="0" w:after="0" w:afterAutospacing="0" w:line="276" w:lineRule="auto"/>
                    <w:ind w:left="0" w:right="0"/>
                    <w:jc w:val="center"/>
                    <w:rPr>
                      <w:rFonts w:hint="eastAsia" w:ascii="Times New Roman" w:hAnsi="Times New Roman" w:eastAsia="宋体" w:cs="Times New Roman"/>
                      <w:strike w:val="0"/>
                      <w:dstrike w:val="0"/>
                      <w:color w:val="auto"/>
                      <w:kern w:val="2"/>
                      <w:sz w:val="18"/>
                      <w:szCs w:val="18"/>
                      <w:highlight w:val="none"/>
                      <w:lang w:val="en-US" w:eastAsia="zh-CN" w:bidi="ar-SA"/>
                    </w:rPr>
                  </w:pPr>
                  <w:r>
                    <w:rPr>
                      <w:rFonts w:hint="eastAsia" w:ascii="Times New Roman" w:hAnsi="Times New Roman" w:eastAsia="宋体" w:cs="Times New Roman"/>
                      <w:strike w:val="0"/>
                      <w:dstrike w:val="0"/>
                      <w:color w:val="auto"/>
                      <w:kern w:val="2"/>
                      <w:sz w:val="18"/>
                      <w:szCs w:val="18"/>
                      <w:highlight w:val="none"/>
                      <w:lang w:val="en-US" w:eastAsia="zh-CN" w:bidi="ar-SA"/>
                    </w:rPr>
                    <w:t>工作人员</w:t>
                  </w:r>
                </w:p>
              </w:tc>
              <w:tc>
                <w:tcPr>
                  <w:tcW w:w="499" w:type="pct"/>
                  <w:tcBorders>
                    <w:top w:val="single" w:color="auto" w:sz="4" w:space="0"/>
                    <w:left w:val="single" w:color="auto" w:sz="4" w:space="0"/>
                    <w:bottom w:val="single" w:color="auto" w:sz="4" w:space="0"/>
                    <w:right w:val="single" w:color="auto" w:sz="4" w:space="0"/>
                  </w:tcBorders>
                  <w:shd w:val="clear" w:color="auto" w:fill="auto"/>
                  <w:noWrap w:val="0"/>
                  <w:vAlign w:val="center"/>
                </w:tcPr>
                <w:p w14:paraId="1AD881F9">
                  <w:pPr>
                    <w:keepNext w:val="0"/>
                    <w:keepLines w:val="0"/>
                    <w:widowControl/>
                    <w:suppressLineNumbers w:val="0"/>
                    <w:adjustRightInd w:val="0"/>
                    <w:snapToGrid w:val="0"/>
                    <w:spacing w:before="0" w:beforeAutospacing="0" w:after="0" w:afterAutospacing="0" w:line="276" w:lineRule="auto"/>
                    <w:ind w:left="0" w:right="0"/>
                    <w:jc w:val="center"/>
                    <w:rPr>
                      <w:rFonts w:hint="eastAsia" w:ascii="Times New Roman" w:hAnsi="Times New Roman" w:eastAsia="宋体" w:cs="Times New Roman"/>
                      <w:strike w:val="0"/>
                      <w:dstrike w:val="0"/>
                      <w:color w:val="auto"/>
                      <w:kern w:val="2"/>
                      <w:sz w:val="18"/>
                      <w:szCs w:val="18"/>
                      <w:highlight w:val="none"/>
                      <w:lang w:val="en-US" w:eastAsia="zh-CN" w:bidi="ar-SA"/>
                    </w:rPr>
                  </w:pPr>
                  <w:r>
                    <w:rPr>
                      <w:rFonts w:hint="eastAsia" w:ascii="Times New Roman" w:hAnsi="Times New Roman" w:eastAsia="宋体" w:cs="Times New Roman"/>
                      <w:strike w:val="0"/>
                      <w:dstrike w:val="0"/>
                      <w:color w:val="auto"/>
                      <w:sz w:val="18"/>
                      <w:szCs w:val="18"/>
                      <w:highlight w:val="none"/>
                      <w:lang w:val="en-US" w:eastAsia="zh-CN"/>
                    </w:rPr>
                    <w:t>二类</w:t>
                  </w:r>
                </w:p>
              </w:tc>
              <w:tc>
                <w:tcPr>
                  <w:tcW w:w="453" w:type="pct"/>
                  <w:tcBorders>
                    <w:top w:val="single" w:color="auto" w:sz="4" w:space="0"/>
                    <w:left w:val="single" w:color="auto" w:sz="4" w:space="0"/>
                    <w:bottom w:val="single" w:color="auto" w:sz="4" w:space="0"/>
                    <w:right w:val="single" w:color="auto" w:sz="4" w:space="0"/>
                  </w:tcBorders>
                  <w:shd w:val="clear" w:color="auto" w:fill="auto"/>
                  <w:noWrap w:val="0"/>
                  <w:vAlign w:val="center"/>
                </w:tcPr>
                <w:p w14:paraId="10397BC7">
                  <w:pPr>
                    <w:keepNext w:val="0"/>
                    <w:keepLines w:val="0"/>
                    <w:widowControl/>
                    <w:suppressLineNumbers w:val="0"/>
                    <w:adjustRightInd w:val="0"/>
                    <w:snapToGrid w:val="0"/>
                    <w:spacing w:before="0" w:beforeAutospacing="0" w:after="0" w:afterAutospacing="0" w:line="276" w:lineRule="auto"/>
                    <w:ind w:left="0" w:right="0"/>
                    <w:jc w:val="center"/>
                    <w:rPr>
                      <w:rFonts w:hint="default" w:ascii="Times New Roman" w:hAnsi="Times New Roman" w:eastAsia="宋体" w:cs="Times New Roman"/>
                      <w:strike w:val="0"/>
                      <w:dstrike w:val="0"/>
                      <w:color w:val="auto"/>
                      <w:kern w:val="2"/>
                      <w:sz w:val="18"/>
                      <w:szCs w:val="18"/>
                      <w:highlight w:val="none"/>
                      <w:lang w:val="en-US" w:eastAsia="zh-CN" w:bidi="ar-SA"/>
                    </w:rPr>
                  </w:pPr>
                  <w:r>
                    <w:rPr>
                      <w:rFonts w:hint="eastAsia" w:ascii="Times New Roman" w:hAnsi="Times New Roman" w:eastAsia="宋体" w:cs="Times New Roman"/>
                      <w:strike w:val="0"/>
                      <w:dstrike w:val="0"/>
                      <w:color w:val="auto"/>
                      <w:kern w:val="2"/>
                      <w:sz w:val="18"/>
                      <w:szCs w:val="18"/>
                      <w:highlight w:val="none"/>
                      <w:lang w:val="en-US" w:eastAsia="zh-CN" w:bidi="ar-SA"/>
                    </w:rPr>
                    <w:t>西北</w:t>
                  </w:r>
                </w:p>
              </w:tc>
              <w:tc>
                <w:tcPr>
                  <w:tcW w:w="551" w:type="pct"/>
                  <w:tcBorders>
                    <w:top w:val="single" w:color="auto" w:sz="4" w:space="0"/>
                    <w:left w:val="single" w:color="auto" w:sz="4" w:space="0"/>
                    <w:bottom w:val="single" w:color="auto" w:sz="4" w:space="0"/>
                    <w:right w:val="single" w:color="auto" w:sz="4" w:space="0"/>
                  </w:tcBorders>
                  <w:shd w:val="clear" w:color="auto" w:fill="auto"/>
                  <w:noWrap w:val="0"/>
                  <w:vAlign w:val="center"/>
                </w:tcPr>
                <w:p w14:paraId="595FB187">
                  <w:pPr>
                    <w:keepNext w:val="0"/>
                    <w:keepLines w:val="0"/>
                    <w:widowControl/>
                    <w:suppressLineNumbers w:val="0"/>
                    <w:adjustRightInd w:val="0"/>
                    <w:snapToGrid w:val="0"/>
                    <w:spacing w:before="0" w:beforeAutospacing="0" w:after="0" w:afterAutospacing="0" w:line="276" w:lineRule="auto"/>
                    <w:ind w:left="0" w:right="0"/>
                    <w:jc w:val="center"/>
                    <w:rPr>
                      <w:rFonts w:hint="default" w:ascii="Times New Roman" w:hAnsi="Times New Roman" w:eastAsia="宋体" w:cs="Times New Roman"/>
                      <w:strike w:val="0"/>
                      <w:dstrike w:val="0"/>
                      <w:color w:val="auto"/>
                      <w:kern w:val="2"/>
                      <w:sz w:val="18"/>
                      <w:szCs w:val="18"/>
                      <w:highlight w:val="none"/>
                      <w:lang w:val="en-US" w:eastAsia="zh-CN" w:bidi="ar-SA"/>
                    </w:rPr>
                  </w:pPr>
                  <w:r>
                    <w:rPr>
                      <w:rFonts w:hint="eastAsia" w:ascii="Times New Roman" w:hAnsi="Times New Roman" w:eastAsia="宋体" w:cs="Times New Roman"/>
                      <w:strike w:val="0"/>
                      <w:dstrike w:val="0"/>
                      <w:color w:val="auto"/>
                      <w:kern w:val="2"/>
                      <w:sz w:val="18"/>
                      <w:szCs w:val="18"/>
                      <w:highlight w:val="none"/>
                      <w:lang w:val="en-US" w:eastAsia="zh-CN" w:bidi="ar-SA"/>
                    </w:rPr>
                    <w:t>2480</w:t>
                  </w:r>
                </w:p>
              </w:tc>
            </w:tr>
            <w:tr w14:paraId="112DF65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40" w:hRule="atLeast"/>
                <w:jc w:val="center"/>
              </w:trPr>
              <w:tc>
                <w:tcPr>
                  <w:tcW w:w="366" w:type="pct"/>
                  <w:tcBorders>
                    <w:left w:val="single" w:color="auto" w:sz="4" w:space="0"/>
                    <w:right w:val="single" w:color="auto" w:sz="4" w:space="0"/>
                  </w:tcBorders>
                  <w:noWrap w:val="0"/>
                  <w:vAlign w:val="center"/>
                </w:tcPr>
                <w:p w14:paraId="429890D4">
                  <w:pPr>
                    <w:keepNext w:val="0"/>
                    <w:keepLines w:val="0"/>
                    <w:widowControl/>
                    <w:suppressLineNumbers w:val="0"/>
                    <w:adjustRightInd w:val="0"/>
                    <w:snapToGrid w:val="0"/>
                    <w:spacing w:before="0" w:beforeAutospacing="0" w:after="0" w:afterAutospacing="0" w:line="276" w:lineRule="auto"/>
                    <w:ind w:left="0" w:right="0"/>
                    <w:jc w:val="center"/>
                    <w:rPr>
                      <w:rFonts w:hint="default" w:ascii="Times New Roman" w:hAnsi="Times New Roman" w:eastAsia="宋体" w:cs="Times New Roman"/>
                      <w:strike w:val="0"/>
                      <w:dstrike w:val="0"/>
                      <w:color w:val="auto"/>
                      <w:sz w:val="18"/>
                      <w:szCs w:val="18"/>
                      <w:highlight w:val="none"/>
                      <w:lang w:val="en-US" w:eastAsia="zh-CN"/>
                    </w:rPr>
                  </w:pPr>
                  <w:r>
                    <w:rPr>
                      <w:rFonts w:hint="eastAsia" w:ascii="Times New Roman" w:hAnsi="Times New Roman" w:eastAsia="宋体" w:cs="Times New Roman"/>
                      <w:strike w:val="0"/>
                      <w:dstrike w:val="0"/>
                      <w:color w:val="auto"/>
                      <w:sz w:val="18"/>
                      <w:szCs w:val="18"/>
                      <w:highlight w:val="none"/>
                      <w:lang w:val="en-US" w:eastAsia="zh-CN"/>
                    </w:rPr>
                    <w:t>38</w:t>
                  </w:r>
                </w:p>
              </w:tc>
              <w:tc>
                <w:tcPr>
                  <w:tcW w:w="1071" w:type="pct"/>
                  <w:tcBorders>
                    <w:top w:val="single" w:color="auto" w:sz="4" w:space="0"/>
                    <w:left w:val="single" w:color="auto" w:sz="4" w:space="0"/>
                    <w:bottom w:val="single" w:color="auto" w:sz="4" w:space="0"/>
                    <w:right w:val="single" w:color="auto" w:sz="4" w:space="0"/>
                  </w:tcBorders>
                  <w:shd w:val="clear" w:color="auto" w:fill="auto"/>
                  <w:noWrap w:val="0"/>
                  <w:vAlign w:val="center"/>
                </w:tcPr>
                <w:p w14:paraId="720BCA1B">
                  <w:pPr>
                    <w:keepNext w:val="0"/>
                    <w:keepLines w:val="0"/>
                    <w:widowControl/>
                    <w:suppressLineNumbers w:val="0"/>
                    <w:adjustRightInd w:val="0"/>
                    <w:snapToGrid w:val="0"/>
                    <w:spacing w:before="0" w:beforeAutospacing="0" w:after="0" w:afterAutospacing="0" w:line="276" w:lineRule="auto"/>
                    <w:ind w:left="0" w:right="0"/>
                    <w:jc w:val="center"/>
                    <w:rPr>
                      <w:rFonts w:hint="default" w:ascii="Times New Roman" w:hAnsi="Times New Roman" w:eastAsia="宋体" w:cs="Times New Roman"/>
                      <w:strike w:val="0"/>
                      <w:dstrike w:val="0"/>
                      <w:color w:val="auto"/>
                      <w:kern w:val="2"/>
                      <w:sz w:val="18"/>
                      <w:szCs w:val="18"/>
                      <w:highlight w:val="none"/>
                      <w:lang w:val="en-US" w:eastAsia="zh-CN" w:bidi="ar-SA"/>
                    </w:rPr>
                  </w:pPr>
                  <w:r>
                    <w:rPr>
                      <w:rFonts w:hint="default" w:ascii="Times New Roman" w:hAnsi="Times New Roman" w:eastAsia="宋体" w:cs="Times New Roman"/>
                      <w:strike w:val="0"/>
                      <w:dstrike w:val="0"/>
                      <w:color w:val="auto"/>
                      <w:sz w:val="18"/>
                      <w:szCs w:val="18"/>
                      <w:highlight w:val="none"/>
                      <w:lang w:val="en-US" w:eastAsia="zh-CN"/>
                    </w:rPr>
                    <w:t>衢州市柯城区礼贤幼儿园</w:t>
                  </w:r>
                </w:p>
              </w:tc>
              <w:tc>
                <w:tcPr>
                  <w:tcW w:w="527" w:type="pct"/>
                  <w:tcBorders>
                    <w:top w:val="single" w:color="auto" w:sz="4" w:space="0"/>
                    <w:left w:val="single" w:color="auto" w:sz="4" w:space="0"/>
                    <w:bottom w:val="single" w:color="auto" w:sz="4" w:space="0"/>
                    <w:right w:val="single" w:color="auto" w:sz="4" w:space="0"/>
                  </w:tcBorders>
                  <w:shd w:val="clear" w:color="auto" w:fill="auto"/>
                  <w:noWrap w:val="0"/>
                  <w:vAlign w:val="center"/>
                </w:tcPr>
                <w:p w14:paraId="6E2F03CD">
                  <w:pPr>
                    <w:keepNext w:val="0"/>
                    <w:keepLines w:val="0"/>
                    <w:widowControl/>
                    <w:suppressLineNumbers w:val="0"/>
                    <w:adjustRightInd w:val="0"/>
                    <w:snapToGrid w:val="0"/>
                    <w:spacing w:before="0" w:beforeAutospacing="0" w:after="0" w:afterAutospacing="0" w:line="276" w:lineRule="auto"/>
                    <w:ind w:left="0" w:right="0"/>
                    <w:jc w:val="center"/>
                    <w:rPr>
                      <w:rFonts w:hint="default" w:ascii="Times New Roman" w:hAnsi="Times New Roman" w:eastAsia="宋体" w:cs="Times New Roman"/>
                      <w:strike w:val="0"/>
                      <w:dstrike w:val="0"/>
                      <w:color w:val="auto"/>
                      <w:kern w:val="2"/>
                      <w:sz w:val="18"/>
                      <w:szCs w:val="18"/>
                      <w:highlight w:val="none"/>
                      <w:lang w:val="en-US" w:eastAsia="zh-CN" w:bidi="ar-SA"/>
                    </w:rPr>
                  </w:pPr>
                  <w:r>
                    <w:rPr>
                      <w:rFonts w:hint="default" w:ascii="Times New Roman" w:hAnsi="Times New Roman" w:eastAsia="宋体" w:cs="Times New Roman"/>
                      <w:strike w:val="0"/>
                      <w:dstrike w:val="0"/>
                      <w:color w:val="auto"/>
                      <w:sz w:val="18"/>
                      <w:szCs w:val="18"/>
                      <w:highlight w:val="none"/>
                    </w:rPr>
                    <w:t>118.857305</w:t>
                  </w:r>
                </w:p>
              </w:tc>
              <w:tc>
                <w:tcPr>
                  <w:tcW w:w="564" w:type="pct"/>
                  <w:tcBorders>
                    <w:top w:val="single" w:color="auto" w:sz="4" w:space="0"/>
                    <w:left w:val="single" w:color="auto" w:sz="4" w:space="0"/>
                    <w:bottom w:val="single" w:color="auto" w:sz="4" w:space="0"/>
                    <w:right w:val="single" w:color="auto" w:sz="4" w:space="0"/>
                  </w:tcBorders>
                  <w:shd w:val="clear" w:color="auto" w:fill="auto"/>
                  <w:noWrap w:val="0"/>
                  <w:vAlign w:val="center"/>
                </w:tcPr>
                <w:p w14:paraId="58065393">
                  <w:pPr>
                    <w:keepNext w:val="0"/>
                    <w:keepLines w:val="0"/>
                    <w:widowControl/>
                    <w:suppressLineNumbers w:val="0"/>
                    <w:adjustRightInd w:val="0"/>
                    <w:snapToGrid w:val="0"/>
                    <w:spacing w:before="0" w:beforeAutospacing="0" w:after="0" w:afterAutospacing="0" w:line="276" w:lineRule="auto"/>
                    <w:ind w:left="0" w:right="0"/>
                    <w:jc w:val="center"/>
                    <w:rPr>
                      <w:rFonts w:hint="default" w:ascii="Times New Roman" w:hAnsi="Times New Roman" w:eastAsia="宋体" w:cs="Times New Roman"/>
                      <w:strike w:val="0"/>
                      <w:dstrike w:val="0"/>
                      <w:color w:val="auto"/>
                      <w:kern w:val="2"/>
                      <w:sz w:val="18"/>
                      <w:szCs w:val="18"/>
                      <w:highlight w:val="none"/>
                      <w:lang w:val="en-US" w:eastAsia="zh-CN" w:bidi="ar-SA"/>
                    </w:rPr>
                  </w:pPr>
                  <w:r>
                    <w:rPr>
                      <w:rFonts w:hint="default" w:ascii="Times New Roman" w:hAnsi="Times New Roman" w:eastAsia="宋体" w:cs="Times New Roman"/>
                      <w:strike w:val="0"/>
                      <w:dstrike w:val="0"/>
                      <w:color w:val="auto"/>
                      <w:sz w:val="18"/>
                      <w:szCs w:val="18"/>
                      <w:highlight w:val="none"/>
                    </w:rPr>
                    <w:t>28.939933</w:t>
                  </w:r>
                </w:p>
              </w:tc>
              <w:tc>
                <w:tcPr>
                  <w:tcW w:w="474" w:type="pct"/>
                  <w:tcBorders>
                    <w:top w:val="single" w:color="auto" w:sz="4" w:space="0"/>
                    <w:left w:val="single" w:color="auto" w:sz="4" w:space="0"/>
                    <w:bottom w:val="single" w:color="auto" w:sz="4" w:space="0"/>
                    <w:right w:val="single" w:color="auto" w:sz="4" w:space="0"/>
                  </w:tcBorders>
                  <w:shd w:val="clear" w:color="auto" w:fill="auto"/>
                  <w:noWrap w:val="0"/>
                  <w:vAlign w:val="center"/>
                </w:tcPr>
                <w:p w14:paraId="39540516">
                  <w:pPr>
                    <w:keepNext w:val="0"/>
                    <w:keepLines w:val="0"/>
                    <w:widowControl/>
                    <w:suppressLineNumbers w:val="0"/>
                    <w:adjustRightInd w:val="0"/>
                    <w:snapToGrid w:val="0"/>
                    <w:spacing w:before="0" w:beforeAutospacing="0" w:after="0" w:afterAutospacing="0" w:line="276" w:lineRule="auto"/>
                    <w:ind w:left="0" w:right="0"/>
                    <w:jc w:val="center"/>
                    <w:rPr>
                      <w:rFonts w:hint="eastAsia" w:ascii="Times New Roman" w:hAnsi="Times New Roman" w:eastAsia="宋体" w:cs="Times New Roman"/>
                      <w:strike w:val="0"/>
                      <w:dstrike w:val="0"/>
                      <w:color w:val="auto"/>
                      <w:kern w:val="2"/>
                      <w:sz w:val="18"/>
                      <w:szCs w:val="18"/>
                      <w:highlight w:val="none"/>
                      <w:lang w:val="en-US" w:eastAsia="zh-CN" w:bidi="ar-SA"/>
                    </w:rPr>
                  </w:pPr>
                  <w:r>
                    <w:rPr>
                      <w:rFonts w:hint="eastAsia" w:ascii="Times New Roman" w:hAnsi="Times New Roman" w:eastAsia="宋体" w:cs="Times New Roman"/>
                      <w:strike w:val="0"/>
                      <w:dstrike w:val="0"/>
                      <w:color w:val="auto"/>
                      <w:sz w:val="18"/>
                      <w:szCs w:val="18"/>
                      <w:highlight w:val="none"/>
                      <w:lang w:val="en-US" w:eastAsia="zh-CN"/>
                    </w:rPr>
                    <w:t>学校</w:t>
                  </w:r>
                </w:p>
              </w:tc>
              <w:tc>
                <w:tcPr>
                  <w:tcW w:w="490" w:type="pct"/>
                  <w:tcBorders>
                    <w:top w:val="single" w:color="auto" w:sz="4" w:space="0"/>
                    <w:left w:val="single" w:color="auto" w:sz="4" w:space="0"/>
                    <w:bottom w:val="single" w:color="auto" w:sz="4" w:space="0"/>
                    <w:right w:val="single" w:color="auto" w:sz="4" w:space="0"/>
                  </w:tcBorders>
                  <w:shd w:val="clear" w:color="auto" w:fill="auto"/>
                  <w:noWrap w:val="0"/>
                  <w:vAlign w:val="center"/>
                </w:tcPr>
                <w:p w14:paraId="0832E787">
                  <w:pPr>
                    <w:keepNext w:val="0"/>
                    <w:keepLines w:val="0"/>
                    <w:widowControl/>
                    <w:suppressLineNumbers w:val="0"/>
                    <w:adjustRightInd w:val="0"/>
                    <w:snapToGrid w:val="0"/>
                    <w:spacing w:before="0" w:beforeAutospacing="0" w:after="0" w:afterAutospacing="0" w:line="276" w:lineRule="auto"/>
                    <w:ind w:left="0" w:right="0"/>
                    <w:jc w:val="center"/>
                    <w:rPr>
                      <w:rFonts w:hint="eastAsia" w:ascii="Times New Roman" w:hAnsi="Times New Roman" w:eastAsia="宋体" w:cs="Times New Roman"/>
                      <w:strike w:val="0"/>
                      <w:dstrike w:val="0"/>
                      <w:color w:val="auto"/>
                      <w:kern w:val="2"/>
                      <w:sz w:val="18"/>
                      <w:szCs w:val="18"/>
                      <w:highlight w:val="none"/>
                      <w:lang w:val="en-US" w:eastAsia="zh-CN" w:bidi="ar-SA"/>
                    </w:rPr>
                  </w:pPr>
                  <w:r>
                    <w:rPr>
                      <w:rFonts w:hint="eastAsia" w:ascii="Times New Roman" w:hAnsi="Times New Roman" w:eastAsia="宋体" w:cs="Times New Roman"/>
                      <w:strike w:val="0"/>
                      <w:dstrike w:val="0"/>
                      <w:color w:val="auto"/>
                      <w:sz w:val="18"/>
                      <w:szCs w:val="18"/>
                      <w:highlight w:val="none"/>
                      <w:lang w:val="en-US" w:eastAsia="zh-CN"/>
                    </w:rPr>
                    <w:t>师生</w:t>
                  </w:r>
                </w:p>
              </w:tc>
              <w:tc>
                <w:tcPr>
                  <w:tcW w:w="499" w:type="pct"/>
                  <w:tcBorders>
                    <w:top w:val="single" w:color="auto" w:sz="4" w:space="0"/>
                    <w:left w:val="single" w:color="auto" w:sz="4" w:space="0"/>
                    <w:bottom w:val="single" w:color="auto" w:sz="4" w:space="0"/>
                    <w:right w:val="single" w:color="auto" w:sz="4" w:space="0"/>
                  </w:tcBorders>
                  <w:shd w:val="clear" w:color="auto" w:fill="auto"/>
                  <w:noWrap w:val="0"/>
                  <w:vAlign w:val="center"/>
                </w:tcPr>
                <w:p w14:paraId="7331D669">
                  <w:pPr>
                    <w:keepNext w:val="0"/>
                    <w:keepLines w:val="0"/>
                    <w:widowControl/>
                    <w:suppressLineNumbers w:val="0"/>
                    <w:adjustRightInd w:val="0"/>
                    <w:snapToGrid w:val="0"/>
                    <w:spacing w:before="0" w:beforeAutospacing="0" w:after="0" w:afterAutospacing="0" w:line="276" w:lineRule="auto"/>
                    <w:ind w:left="0" w:right="0"/>
                    <w:jc w:val="center"/>
                    <w:rPr>
                      <w:rFonts w:hint="eastAsia" w:ascii="Times New Roman" w:hAnsi="Times New Roman" w:eastAsia="宋体" w:cs="Times New Roman"/>
                      <w:strike w:val="0"/>
                      <w:dstrike w:val="0"/>
                      <w:color w:val="auto"/>
                      <w:kern w:val="2"/>
                      <w:sz w:val="18"/>
                      <w:szCs w:val="18"/>
                      <w:highlight w:val="none"/>
                      <w:lang w:val="en-US" w:eastAsia="zh-CN" w:bidi="ar-SA"/>
                    </w:rPr>
                  </w:pPr>
                  <w:r>
                    <w:rPr>
                      <w:rFonts w:hint="eastAsia" w:ascii="Times New Roman" w:hAnsi="Times New Roman" w:eastAsia="宋体" w:cs="Times New Roman"/>
                      <w:strike w:val="0"/>
                      <w:dstrike w:val="0"/>
                      <w:color w:val="auto"/>
                      <w:sz w:val="18"/>
                      <w:szCs w:val="18"/>
                      <w:highlight w:val="none"/>
                      <w:lang w:val="en-US" w:eastAsia="zh-CN"/>
                    </w:rPr>
                    <w:t>二类</w:t>
                  </w:r>
                </w:p>
              </w:tc>
              <w:tc>
                <w:tcPr>
                  <w:tcW w:w="453" w:type="pct"/>
                  <w:tcBorders>
                    <w:top w:val="single" w:color="auto" w:sz="4" w:space="0"/>
                    <w:left w:val="single" w:color="auto" w:sz="4" w:space="0"/>
                    <w:bottom w:val="single" w:color="auto" w:sz="4" w:space="0"/>
                    <w:right w:val="single" w:color="auto" w:sz="4" w:space="0"/>
                  </w:tcBorders>
                  <w:shd w:val="clear" w:color="auto" w:fill="auto"/>
                  <w:noWrap w:val="0"/>
                  <w:vAlign w:val="center"/>
                </w:tcPr>
                <w:p w14:paraId="08E96397">
                  <w:pPr>
                    <w:keepNext w:val="0"/>
                    <w:keepLines w:val="0"/>
                    <w:widowControl/>
                    <w:suppressLineNumbers w:val="0"/>
                    <w:adjustRightInd w:val="0"/>
                    <w:snapToGrid w:val="0"/>
                    <w:spacing w:before="0" w:beforeAutospacing="0" w:after="0" w:afterAutospacing="0" w:line="276" w:lineRule="auto"/>
                    <w:ind w:left="0" w:right="0"/>
                    <w:jc w:val="center"/>
                    <w:rPr>
                      <w:rFonts w:hint="default" w:ascii="Times New Roman" w:hAnsi="Times New Roman" w:eastAsia="宋体" w:cs="Times New Roman"/>
                      <w:strike w:val="0"/>
                      <w:dstrike w:val="0"/>
                      <w:color w:val="auto"/>
                      <w:kern w:val="2"/>
                      <w:sz w:val="18"/>
                      <w:szCs w:val="18"/>
                      <w:highlight w:val="none"/>
                      <w:lang w:val="en-US" w:eastAsia="zh-CN" w:bidi="ar-SA"/>
                    </w:rPr>
                  </w:pPr>
                  <w:r>
                    <w:rPr>
                      <w:rFonts w:hint="eastAsia" w:ascii="Times New Roman" w:hAnsi="Times New Roman" w:eastAsia="宋体" w:cs="Times New Roman"/>
                      <w:strike w:val="0"/>
                      <w:dstrike w:val="0"/>
                      <w:color w:val="auto"/>
                      <w:sz w:val="18"/>
                      <w:szCs w:val="18"/>
                      <w:highlight w:val="none"/>
                      <w:lang w:val="en-US" w:eastAsia="zh-CN"/>
                    </w:rPr>
                    <w:t>东南</w:t>
                  </w:r>
                </w:p>
              </w:tc>
              <w:tc>
                <w:tcPr>
                  <w:tcW w:w="551" w:type="pct"/>
                  <w:tcBorders>
                    <w:top w:val="single" w:color="auto" w:sz="4" w:space="0"/>
                    <w:left w:val="single" w:color="auto" w:sz="4" w:space="0"/>
                    <w:bottom w:val="single" w:color="auto" w:sz="4" w:space="0"/>
                    <w:right w:val="single" w:color="auto" w:sz="4" w:space="0"/>
                  </w:tcBorders>
                  <w:shd w:val="clear" w:color="auto" w:fill="auto"/>
                  <w:noWrap w:val="0"/>
                  <w:vAlign w:val="center"/>
                </w:tcPr>
                <w:p w14:paraId="67E451BC">
                  <w:pPr>
                    <w:keepNext w:val="0"/>
                    <w:keepLines w:val="0"/>
                    <w:widowControl/>
                    <w:suppressLineNumbers w:val="0"/>
                    <w:adjustRightInd w:val="0"/>
                    <w:snapToGrid w:val="0"/>
                    <w:spacing w:before="0" w:beforeAutospacing="0" w:after="0" w:afterAutospacing="0" w:line="276" w:lineRule="auto"/>
                    <w:ind w:left="0" w:right="0"/>
                    <w:jc w:val="center"/>
                    <w:rPr>
                      <w:rFonts w:hint="default" w:ascii="Times New Roman" w:hAnsi="Times New Roman" w:eastAsia="宋体" w:cs="Times New Roman"/>
                      <w:strike w:val="0"/>
                      <w:dstrike w:val="0"/>
                      <w:color w:val="auto"/>
                      <w:kern w:val="2"/>
                      <w:sz w:val="18"/>
                      <w:szCs w:val="18"/>
                      <w:highlight w:val="none"/>
                      <w:lang w:val="en-US" w:eastAsia="zh-CN" w:bidi="ar-SA"/>
                    </w:rPr>
                  </w:pPr>
                  <w:r>
                    <w:rPr>
                      <w:rFonts w:hint="eastAsia" w:ascii="Times New Roman" w:hAnsi="Times New Roman" w:eastAsia="宋体" w:cs="Times New Roman"/>
                      <w:strike w:val="0"/>
                      <w:dstrike w:val="0"/>
                      <w:color w:val="auto"/>
                      <w:sz w:val="18"/>
                      <w:szCs w:val="18"/>
                      <w:highlight w:val="none"/>
                      <w:lang w:val="en-US" w:eastAsia="zh-CN"/>
                    </w:rPr>
                    <w:t>2570</w:t>
                  </w:r>
                </w:p>
              </w:tc>
            </w:tr>
            <w:tr w14:paraId="1A9C5C6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40" w:hRule="atLeast"/>
                <w:jc w:val="center"/>
              </w:trPr>
              <w:tc>
                <w:tcPr>
                  <w:tcW w:w="366" w:type="pct"/>
                  <w:tcBorders>
                    <w:left w:val="single" w:color="auto" w:sz="4" w:space="0"/>
                    <w:right w:val="single" w:color="auto" w:sz="4" w:space="0"/>
                  </w:tcBorders>
                  <w:noWrap w:val="0"/>
                  <w:vAlign w:val="center"/>
                </w:tcPr>
                <w:p w14:paraId="40DF5B8A">
                  <w:pPr>
                    <w:keepNext w:val="0"/>
                    <w:keepLines w:val="0"/>
                    <w:widowControl/>
                    <w:suppressLineNumbers w:val="0"/>
                    <w:adjustRightInd w:val="0"/>
                    <w:snapToGrid w:val="0"/>
                    <w:spacing w:before="0" w:beforeAutospacing="0" w:after="0" w:afterAutospacing="0" w:line="276" w:lineRule="auto"/>
                    <w:ind w:left="0" w:right="0"/>
                    <w:jc w:val="center"/>
                    <w:rPr>
                      <w:rFonts w:hint="default" w:ascii="Times New Roman" w:hAnsi="Times New Roman" w:eastAsia="宋体" w:cs="Times New Roman"/>
                      <w:strike w:val="0"/>
                      <w:dstrike w:val="0"/>
                      <w:color w:val="auto"/>
                      <w:sz w:val="18"/>
                      <w:szCs w:val="18"/>
                      <w:highlight w:val="none"/>
                      <w:lang w:val="en-US" w:eastAsia="zh-CN"/>
                    </w:rPr>
                  </w:pPr>
                  <w:r>
                    <w:rPr>
                      <w:rFonts w:hint="eastAsia" w:ascii="Times New Roman" w:hAnsi="Times New Roman" w:eastAsia="宋体" w:cs="Times New Roman"/>
                      <w:strike w:val="0"/>
                      <w:dstrike w:val="0"/>
                      <w:color w:val="auto"/>
                      <w:sz w:val="18"/>
                      <w:szCs w:val="18"/>
                      <w:highlight w:val="none"/>
                      <w:lang w:val="en-US" w:eastAsia="zh-CN"/>
                    </w:rPr>
                    <w:t>39</w:t>
                  </w:r>
                </w:p>
              </w:tc>
              <w:tc>
                <w:tcPr>
                  <w:tcW w:w="1071" w:type="pct"/>
                  <w:tcBorders>
                    <w:top w:val="single" w:color="auto" w:sz="4" w:space="0"/>
                    <w:left w:val="single" w:color="auto" w:sz="4" w:space="0"/>
                    <w:bottom w:val="single" w:color="auto" w:sz="4" w:space="0"/>
                    <w:right w:val="single" w:color="auto" w:sz="4" w:space="0"/>
                  </w:tcBorders>
                  <w:shd w:val="clear" w:color="auto" w:fill="auto"/>
                  <w:noWrap w:val="0"/>
                  <w:vAlign w:val="center"/>
                </w:tcPr>
                <w:p w14:paraId="4CED30D1">
                  <w:pPr>
                    <w:keepNext w:val="0"/>
                    <w:keepLines w:val="0"/>
                    <w:widowControl/>
                    <w:suppressLineNumbers w:val="0"/>
                    <w:adjustRightInd w:val="0"/>
                    <w:snapToGrid w:val="0"/>
                    <w:spacing w:before="0" w:beforeAutospacing="0" w:after="0" w:afterAutospacing="0" w:line="276" w:lineRule="auto"/>
                    <w:ind w:left="0" w:right="0"/>
                    <w:jc w:val="center"/>
                    <w:rPr>
                      <w:rFonts w:hint="default" w:ascii="Times New Roman" w:hAnsi="Times New Roman" w:eastAsia="宋体" w:cs="Times New Roman"/>
                      <w:strike w:val="0"/>
                      <w:dstrike w:val="0"/>
                      <w:color w:val="auto"/>
                      <w:kern w:val="2"/>
                      <w:sz w:val="18"/>
                      <w:szCs w:val="18"/>
                      <w:highlight w:val="none"/>
                      <w:lang w:val="en-US" w:eastAsia="zh-CN" w:bidi="ar-SA"/>
                    </w:rPr>
                  </w:pPr>
                  <w:r>
                    <w:rPr>
                      <w:rFonts w:hint="default" w:ascii="Times New Roman" w:hAnsi="Times New Roman" w:eastAsia="宋体" w:cs="Times New Roman"/>
                      <w:strike w:val="0"/>
                      <w:dstrike w:val="0"/>
                      <w:color w:val="auto"/>
                      <w:sz w:val="18"/>
                      <w:szCs w:val="18"/>
                      <w:highlight w:val="none"/>
                      <w:lang w:val="en-US" w:eastAsia="zh-CN"/>
                    </w:rPr>
                    <w:t>姜家山乡中心幼儿园</w:t>
                  </w:r>
                </w:p>
              </w:tc>
              <w:tc>
                <w:tcPr>
                  <w:tcW w:w="527" w:type="pct"/>
                  <w:tcBorders>
                    <w:top w:val="single" w:color="auto" w:sz="4" w:space="0"/>
                    <w:left w:val="single" w:color="auto" w:sz="4" w:space="0"/>
                    <w:bottom w:val="single" w:color="auto" w:sz="4" w:space="0"/>
                    <w:right w:val="single" w:color="auto" w:sz="4" w:space="0"/>
                  </w:tcBorders>
                  <w:shd w:val="clear" w:color="auto" w:fill="auto"/>
                  <w:noWrap w:val="0"/>
                  <w:vAlign w:val="center"/>
                </w:tcPr>
                <w:p w14:paraId="43DA866D">
                  <w:pPr>
                    <w:keepNext w:val="0"/>
                    <w:keepLines w:val="0"/>
                    <w:widowControl/>
                    <w:suppressLineNumbers w:val="0"/>
                    <w:adjustRightInd w:val="0"/>
                    <w:snapToGrid w:val="0"/>
                    <w:spacing w:before="0" w:beforeAutospacing="0" w:after="0" w:afterAutospacing="0" w:line="276" w:lineRule="auto"/>
                    <w:ind w:left="0" w:right="0"/>
                    <w:jc w:val="center"/>
                    <w:rPr>
                      <w:rFonts w:hint="default" w:ascii="Times New Roman" w:hAnsi="Times New Roman" w:eastAsia="宋体" w:cs="Times New Roman"/>
                      <w:strike w:val="0"/>
                      <w:dstrike w:val="0"/>
                      <w:color w:val="auto"/>
                      <w:kern w:val="2"/>
                      <w:sz w:val="18"/>
                      <w:szCs w:val="18"/>
                      <w:highlight w:val="none"/>
                      <w:lang w:val="en-US" w:eastAsia="zh-CN" w:bidi="ar-SA"/>
                    </w:rPr>
                  </w:pPr>
                  <w:r>
                    <w:rPr>
                      <w:rFonts w:hint="default" w:ascii="Times New Roman" w:hAnsi="Times New Roman" w:eastAsia="宋体" w:cs="Times New Roman"/>
                      <w:strike w:val="0"/>
                      <w:dstrike w:val="0"/>
                      <w:color w:val="auto"/>
                      <w:sz w:val="18"/>
                      <w:szCs w:val="18"/>
                      <w:highlight w:val="none"/>
                    </w:rPr>
                    <w:t>118.818907</w:t>
                  </w:r>
                </w:p>
              </w:tc>
              <w:tc>
                <w:tcPr>
                  <w:tcW w:w="564" w:type="pct"/>
                  <w:tcBorders>
                    <w:top w:val="single" w:color="auto" w:sz="4" w:space="0"/>
                    <w:left w:val="single" w:color="auto" w:sz="4" w:space="0"/>
                    <w:bottom w:val="single" w:color="auto" w:sz="4" w:space="0"/>
                    <w:right w:val="single" w:color="auto" w:sz="4" w:space="0"/>
                  </w:tcBorders>
                  <w:shd w:val="clear" w:color="auto" w:fill="auto"/>
                  <w:noWrap w:val="0"/>
                  <w:vAlign w:val="center"/>
                </w:tcPr>
                <w:p w14:paraId="59279A36">
                  <w:pPr>
                    <w:keepNext w:val="0"/>
                    <w:keepLines w:val="0"/>
                    <w:widowControl/>
                    <w:suppressLineNumbers w:val="0"/>
                    <w:adjustRightInd w:val="0"/>
                    <w:snapToGrid w:val="0"/>
                    <w:spacing w:before="0" w:beforeAutospacing="0" w:after="0" w:afterAutospacing="0" w:line="276" w:lineRule="auto"/>
                    <w:ind w:left="0" w:right="0"/>
                    <w:jc w:val="center"/>
                    <w:rPr>
                      <w:rFonts w:hint="eastAsia" w:ascii="Times New Roman" w:hAnsi="Times New Roman" w:eastAsia="宋体" w:cs="Times New Roman"/>
                      <w:strike w:val="0"/>
                      <w:dstrike w:val="0"/>
                      <w:color w:val="auto"/>
                      <w:kern w:val="2"/>
                      <w:sz w:val="18"/>
                      <w:szCs w:val="18"/>
                      <w:highlight w:val="none"/>
                      <w:lang w:val="en-US" w:eastAsia="zh-CN" w:bidi="ar-SA"/>
                    </w:rPr>
                  </w:pPr>
                  <w:r>
                    <w:rPr>
                      <w:rFonts w:hint="default" w:ascii="Times New Roman" w:hAnsi="Times New Roman" w:eastAsia="宋体" w:cs="Times New Roman"/>
                      <w:strike w:val="0"/>
                      <w:dstrike w:val="0"/>
                      <w:color w:val="auto"/>
                      <w:sz w:val="18"/>
                      <w:szCs w:val="18"/>
                      <w:highlight w:val="none"/>
                    </w:rPr>
                    <w:t>28.97325</w:t>
                  </w:r>
                  <w:r>
                    <w:rPr>
                      <w:rFonts w:hint="eastAsia" w:ascii="Times New Roman" w:hAnsi="Times New Roman" w:eastAsia="宋体" w:cs="Times New Roman"/>
                      <w:strike w:val="0"/>
                      <w:dstrike w:val="0"/>
                      <w:color w:val="auto"/>
                      <w:sz w:val="18"/>
                      <w:szCs w:val="18"/>
                      <w:highlight w:val="none"/>
                      <w:lang w:val="en-US" w:eastAsia="zh-CN"/>
                    </w:rPr>
                    <w:t>8</w:t>
                  </w:r>
                </w:p>
              </w:tc>
              <w:tc>
                <w:tcPr>
                  <w:tcW w:w="474" w:type="pct"/>
                  <w:tcBorders>
                    <w:top w:val="single" w:color="auto" w:sz="4" w:space="0"/>
                    <w:left w:val="single" w:color="auto" w:sz="4" w:space="0"/>
                    <w:bottom w:val="single" w:color="auto" w:sz="4" w:space="0"/>
                    <w:right w:val="single" w:color="auto" w:sz="4" w:space="0"/>
                  </w:tcBorders>
                  <w:shd w:val="clear" w:color="auto" w:fill="auto"/>
                  <w:noWrap w:val="0"/>
                  <w:vAlign w:val="center"/>
                </w:tcPr>
                <w:p w14:paraId="0C6DC3DA">
                  <w:pPr>
                    <w:keepNext w:val="0"/>
                    <w:keepLines w:val="0"/>
                    <w:widowControl/>
                    <w:suppressLineNumbers w:val="0"/>
                    <w:adjustRightInd w:val="0"/>
                    <w:snapToGrid w:val="0"/>
                    <w:spacing w:before="0" w:beforeAutospacing="0" w:after="0" w:afterAutospacing="0" w:line="276" w:lineRule="auto"/>
                    <w:ind w:left="0" w:right="0"/>
                    <w:jc w:val="center"/>
                    <w:rPr>
                      <w:rFonts w:hint="eastAsia" w:ascii="Times New Roman" w:hAnsi="Times New Roman" w:eastAsia="宋体" w:cs="Times New Roman"/>
                      <w:strike w:val="0"/>
                      <w:dstrike w:val="0"/>
                      <w:color w:val="auto"/>
                      <w:kern w:val="2"/>
                      <w:sz w:val="18"/>
                      <w:szCs w:val="18"/>
                      <w:highlight w:val="none"/>
                      <w:lang w:val="en-US" w:eastAsia="zh-CN" w:bidi="ar-SA"/>
                    </w:rPr>
                  </w:pPr>
                  <w:r>
                    <w:rPr>
                      <w:rFonts w:hint="eastAsia" w:ascii="Times New Roman" w:hAnsi="Times New Roman" w:eastAsia="宋体" w:cs="Times New Roman"/>
                      <w:strike w:val="0"/>
                      <w:dstrike w:val="0"/>
                      <w:color w:val="auto"/>
                      <w:sz w:val="18"/>
                      <w:szCs w:val="18"/>
                      <w:highlight w:val="none"/>
                      <w:lang w:val="en-US" w:eastAsia="zh-CN"/>
                    </w:rPr>
                    <w:t>学校</w:t>
                  </w:r>
                </w:p>
              </w:tc>
              <w:tc>
                <w:tcPr>
                  <w:tcW w:w="490" w:type="pct"/>
                  <w:tcBorders>
                    <w:top w:val="single" w:color="auto" w:sz="4" w:space="0"/>
                    <w:left w:val="single" w:color="auto" w:sz="4" w:space="0"/>
                    <w:bottom w:val="single" w:color="auto" w:sz="4" w:space="0"/>
                    <w:right w:val="single" w:color="auto" w:sz="4" w:space="0"/>
                  </w:tcBorders>
                  <w:shd w:val="clear" w:color="auto" w:fill="auto"/>
                  <w:noWrap w:val="0"/>
                  <w:vAlign w:val="center"/>
                </w:tcPr>
                <w:p w14:paraId="31F88A17">
                  <w:pPr>
                    <w:keepNext w:val="0"/>
                    <w:keepLines w:val="0"/>
                    <w:widowControl/>
                    <w:suppressLineNumbers w:val="0"/>
                    <w:adjustRightInd w:val="0"/>
                    <w:snapToGrid w:val="0"/>
                    <w:spacing w:before="0" w:beforeAutospacing="0" w:after="0" w:afterAutospacing="0" w:line="276" w:lineRule="auto"/>
                    <w:ind w:left="0" w:right="0"/>
                    <w:jc w:val="center"/>
                    <w:rPr>
                      <w:rFonts w:hint="eastAsia" w:ascii="Times New Roman" w:hAnsi="Times New Roman" w:eastAsia="宋体" w:cs="Times New Roman"/>
                      <w:strike w:val="0"/>
                      <w:dstrike w:val="0"/>
                      <w:color w:val="auto"/>
                      <w:kern w:val="2"/>
                      <w:sz w:val="18"/>
                      <w:szCs w:val="18"/>
                      <w:highlight w:val="none"/>
                      <w:lang w:val="en-US" w:eastAsia="zh-CN" w:bidi="ar-SA"/>
                    </w:rPr>
                  </w:pPr>
                  <w:r>
                    <w:rPr>
                      <w:rFonts w:hint="eastAsia" w:ascii="Times New Roman" w:hAnsi="Times New Roman" w:eastAsia="宋体" w:cs="Times New Roman"/>
                      <w:strike w:val="0"/>
                      <w:dstrike w:val="0"/>
                      <w:color w:val="auto"/>
                      <w:sz w:val="18"/>
                      <w:szCs w:val="18"/>
                      <w:highlight w:val="none"/>
                      <w:lang w:val="en-US" w:eastAsia="zh-CN"/>
                    </w:rPr>
                    <w:t>师生</w:t>
                  </w:r>
                </w:p>
              </w:tc>
              <w:tc>
                <w:tcPr>
                  <w:tcW w:w="499" w:type="pct"/>
                  <w:tcBorders>
                    <w:top w:val="single" w:color="auto" w:sz="4" w:space="0"/>
                    <w:left w:val="single" w:color="auto" w:sz="4" w:space="0"/>
                    <w:bottom w:val="single" w:color="auto" w:sz="4" w:space="0"/>
                    <w:right w:val="single" w:color="auto" w:sz="4" w:space="0"/>
                  </w:tcBorders>
                  <w:shd w:val="clear" w:color="auto" w:fill="auto"/>
                  <w:noWrap w:val="0"/>
                  <w:vAlign w:val="center"/>
                </w:tcPr>
                <w:p w14:paraId="777AAD2A">
                  <w:pPr>
                    <w:keepNext w:val="0"/>
                    <w:keepLines w:val="0"/>
                    <w:widowControl/>
                    <w:suppressLineNumbers w:val="0"/>
                    <w:adjustRightInd w:val="0"/>
                    <w:snapToGrid w:val="0"/>
                    <w:spacing w:before="0" w:beforeAutospacing="0" w:after="0" w:afterAutospacing="0" w:line="276" w:lineRule="auto"/>
                    <w:ind w:left="0" w:right="0"/>
                    <w:jc w:val="center"/>
                    <w:rPr>
                      <w:rFonts w:hint="eastAsia" w:ascii="Times New Roman" w:hAnsi="Times New Roman" w:eastAsia="宋体" w:cs="Times New Roman"/>
                      <w:strike w:val="0"/>
                      <w:dstrike w:val="0"/>
                      <w:color w:val="auto"/>
                      <w:kern w:val="2"/>
                      <w:sz w:val="18"/>
                      <w:szCs w:val="18"/>
                      <w:highlight w:val="none"/>
                      <w:lang w:val="en-US" w:eastAsia="zh-CN" w:bidi="ar-SA"/>
                    </w:rPr>
                  </w:pPr>
                  <w:r>
                    <w:rPr>
                      <w:rFonts w:hint="eastAsia" w:ascii="Times New Roman" w:hAnsi="Times New Roman" w:eastAsia="宋体" w:cs="Times New Roman"/>
                      <w:strike w:val="0"/>
                      <w:dstrike w:val="0"/>
                      <w:color w:val="auto"/>
                      <w:sz w:val="18"/>
                      <w:szCs w:val="18"/>
                      <w:highlight w:val="none"/>
                      <w:lang w:val="en-US" w:eastAsia="zh-CN"/>
                    </w:rPr>
                    <w:t>二类</w:t>
                  </w:r>
                </w:p>
              </w:tc>
              <w:tc>
                <w:tcPr>
                  <w:tcW w:w="453" w:type="pct"/>
                  <w:tcBorders>
                    <w:top w:val="single" w:color="auto" w:sz="4" w:space="0"/>
                    <w:left w:val="single" w:color="auto" w:sz="4" w:space="0"/>
                    <w:bottom w:val="single" w:color="auto" w:sz="4" w:space="0"/>
                    <w:right w:val="single" w:color="auto" w:sz="4" w:space="0"/>
                  </w:tcBorders>
                  <w:shd w:val="clear" w:color="auto" w:fill="auto"/>
                  <w:noWrap w:val="0"/>
                  <w:vAlign w:val="center"/>
                </w:tcPr>
                <w:p w14:paraId="72F1D54D">
                  <w:pPr>
                    <w:keepNext w:val="0"/>
                    <w:keepLines w:val="0"/>
                    <w:widowControl/>
                    <w:suppressLineNumbers w:val="0"/>
                    <w:adjustRightInd w:val="0"/>
                    <w:snapToGrid w:val="0"/>
                    <w:spacing w:before="0" w:beforeAutospacing="0" w:after="0" w:afterAutospacing="0" w:line="276" w:lineRule="auto"/>
                    <w:ind w:left="0" w:right="0"/>
                    <w:jc w:val="center"/>
                    <w:rPr>
                      <w:rFonts w:hint="default" w:ascii="Times New Roman" w:hAnsi="Times New Roman" w:eastAsia="宋体" w:cs="Times New Roman"/>
                      <w:strike w:val="0"/>
                      <w:dstrike w:val="0"/>
                      <w:color w:val="auto"/>
                      <w:kern w:val="2"/>
                      <w:sz w:val="18"/>
                      <w:szCs w:val="18"/>
                      <w:highlight w:val="none"/>
                      <w:lang w:val="en-US" w:eastAsia="zh-CN" w:bidi="ar-SA"/>
                    </w:rPr>
                  </w:pPr>
                  <w:r>
                    <w:rPr>
                      <w:rFonts w:hint="eastAsia" w:ascii="Times New Roman" w:hAnsi="Times New Roman" w:eastAsia="宋体" w:cs="Times New Roman"/>
                      <w:strike w:val="0"/>
                      <w:dstrike w:val="0"/>
                      <w:color w:val="auto"/>
                      <w:kern w:val="2"/>
                      <w:sz w:val="18"/>
                      <w:szCs w:val="18"/>
                      <w:highlight w:val="none"/>
                      <w:lang w:val="en-US" w:eastAsia="zh-CN" w:bidi="ar-SA"/>
                    </w:rPr>
                    <w:t>西北</w:t>
                  </w:r>
                </w:p>
              </w:tc>
              <w:tc>
                <w:tcPr>
                  <w:tcW w:w="551" w:type="pct"/>
                  <w:tcBorders>
                    <w:top w:val="single" w:color="auto" w:sz="4" w:space="0"/>
                    <w:left w:val="single" w:color="auto" w:sz="4" w:space="0"/>
                    <w:bottom w:val="single" w:color="auto" w:sz="4" w:space="0"/>
                    <w:right w:val="single" w:color="auto" w:sz="4" w:space="0"/>
                  </w:tcBorders>
                  <w:shd w:val="clear" w:color="auto" w:fill="auto"/>
                  <w:noWrap w:val="0"/>
                  <w:vAlign w:val="center"/>
                </w:tcPr>
                <w:p w14:paraId="537E70F9">
                  <w:pPr>
                    <w:keepNext w:val="0"/>
                    <w:keepLines w:val="0"/>
                    <w:widowControl/>
                    <w:suppressLineNumbers w:val="0"/>
                    <w:adjustRightInd w:val="0"/>
                    <w:snapToGrid w:val="0"/>
                    <w:spacing w:before="0" w:beforeAutospacing="0" w:after="0" w:afterAutospacing="0" w:line="276" w:lineRule="auto"/>
                    <w:ind w:left="0" w:right="0"/>
                    <w:jc w:val="center"/>
                    <w:rPr>
                      <w:rFonts w:hint="default" w:ascii="Times New Roman" w:hAnsi="Times New Roman" w:eastAsia="宋体" w:cs="Times New Roman"/>
                      <w:strike w:val="0"/>
                      <w:dstrike w:val="0"/>
                      <w:color w:val="auto"/>
                      <w:kern w:val="2"/>
                      <w:sz w:val="18"/>
                      <w:szCs w:val="18"/>
                      <w:highlight w:val="none"/>
                      <w:lang w:val="en-US" w:eastAsia="zh-CN" w:bidi="ar-SA"/>
                    </w:rPr>
                  </w:pPr>
                  <w:r>
                    <w:rPr>
                      <w:rFonts w:hint="eastAsia" w:ascii="Times New Roman" w:hAnsi="Times New Roman" w:eastAsia="宋体" w:cs="Times New Roman"/>
                      <w:strike w:val="0"/>
                      <w:dstrike w:val="0"/>
                      <w:color w:val="auto"/>
                      <w:kern w:val="2"/>
                      <w:sz w:val="18"/>
                      <w:szCs w:val="18"/>
                      <w:highlight w:val="none"/>
                      <w:lang w:val="en-US" w:eastAsia="zh-CN" w:bidi="ar-SA"/>
                    </w:rPr>
                    <w:t>2600</w:t>
                  </w:r>
                </w:p>
              </w:tc>
            </w:tr>
            <w:tr w14:paraId="1817ABF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40" w:hRule="atLeast"/>
                <w:jc w:val="center"/>
              </w:trPr>
              <w:tc>
                <w:tcPr>
                  <w:tcW w:w="366" w:type="pct"/>
                  <w:tcBorders>
                    <w:left w:val="single" w:color="auto" w:sz="4" w:space="0"/>
                    <w:right w:val="single" w:color="auto" w:sz="4" w:space="0"/>
                  </w:tcBorders>
                  <w:noWrap w:val="0"/>
                  <w:vAlign w:val="center"/>
                </w:tcPr>
                <w:p w14:paraId="66DD29BA">
                  <w:pPr>
                    <w:keepNext w:val="0"/>
                    <w:keepLines w:val="0"/>
                    <w:widowControl/>
                    <w:suppressLineNumbers w:val="0"/>
                    <w:adjustRightInd w:val="0"/>
                    <w:snapToGrid w:val="0"/>
                    <w:spacing w:before="0" w:beforeAutospacing="0" w:after="0" w:afterAutospacing="0" w:line="276" w:lineRule="auto"/>
                    <w:ind w:left="0" w:right="0"/>
                    <w:jc w:val="center"/>
                    <w:rPr>
                      <w:rFonts w:hint="default" w:ascii="Times New Roman" w:hAnsi="Times New Roman" w:eastAsia="宋体" w:cs="Times New Roman"/>
                      <w:strike w:val="0"/>
                      <w:dstrike w:val="0"/>
                      <w:color w:val="auto"/>
                      <w:sz w:val="18"/>
                      <w:szCs w:val="18"/>
                      <w:highlight w:val="none"/>
                      <w:lang w:val="en-US" w:eastAsia="zh-CN"/>
                    </w:rPr>
                  </w:pPr>
                  <w:r>
                    <w:rPr>
                      <w:rFonts w:hint="eastAsia" w:ascii="Times New Roman" w:hAnsi="Times New Roman" w:eastAsia="宋体" w:cs="Times New Roman"/>
                      <w:strike w:val="0"/>
                      <w:dstrike w:val="0"/>
                      <w:color w:val="auto"/>
                      <w:sz w:val="18"/>
                      <w:szCs w:val="18"/>
                      <w:highlight w:val="none"/>
                      <w:lang w:val="en-US" w:eastAsia="zh-CN"/>
                    </w:rPr>
                    <w:t>40</w:t>
                  </w:r>
                </w:p>
              </w:tc>
              <w:tc>
                <w:tcPr>
                  <w:tcW w:w="1071" w:type="pct"/>
                  <w:tcBorders>
                    <w:top w:val="single" w:color="auto" w:sz="4" w:space="0"/>
                    <w:left w:val="single" w:color="auto" w:sz="4" w:space="0"/>
                    <w:bottom w:val="single" w:color="auto" w:sz="4" w:space="0"/>
                    <w:right w:val="single" w:color="auto" w:sz="4" w:space="0"/>
                  </w:tcBorders>
                  <w:shd w:val="clear" w:color="auto" w:fill="auto"/>
                  <w:noWrap w:val="0"/>
                  <w:vAlign w:val="center"/>
                </w:tcPr>
                <w:p w14:paraId="55EF0CA3">
                  <w:pPr>
                    <w:keepNext w:val="0"/>
                    <w:keepLines w:val="0"/>
                    <w:widowControl/>
                    <w:suppressLineNumbers w:val="0"/>
                    <w:adjustRightInd w:val="0"/>
                    <w:snapToGrid w:val="0"/>
                    <w:spacing w:before="0" w:beforeAutospacing="0" w:after="0" w:afterAutospacing="0" w:line="276" w:lineRule="auto"/>
                    <w:ind w:left="0" w:right="0"/>
                    <w:jc w:val="center"/>
                    <w:rPr>
                      <w:rFonts w:hint="default" w:ascii="Times New Roman" w:hAnsi="Times New Roman" w:eastAsia="宋体" w:cs="Times New Roman"/>
                      <w:strike w:val="0"/>
                      <w:dstrike w:val="0"/>
                      <w:color w:val="auto"/>
                      <w:kern w:val="2"/>
                      <w:sz w:val="18"/>
                      <w:szCs w:val="18"/>
                      <w:highlight w:val="none"/>
                      <w:lang w:val="en-US" w:eastAsia="zh-CN" w:bidi="ar-SA"/>
                    </w:rPr>
                  </w:pPr>
                  <w:r>
                    <w:rPr>
                      <w:rFonts w:hint="default" w:ascii="Times New Roman" w:hAnsi="Times New Roman" w:eastAsia="宋体" w:cs="Times New Roman"/>
                      <w:strike w:val="0"/>
                      <w:dstrike w:val="0"/>
                      <w:color w:val="auto"/>
                      <w:sz w:val="18"/>
                      <w:szCs w:val="18"/>
                      <w:highlight w:val="none"/>
                      <w:lang w:val="en-US" w:eastAsia="zh-CN"/>
                    </w:rPr>
                    <w:t>姜家山</w:t>
                  </w:r>
                  <w:r>
                    <w:rPr>
                      <w:rFonts w:hint="eastAsia" w:ascii="Times New Roman" w:hAnsi="Times New Roman" w:eastAsia="宋体" w:cs="Times New Roman"/>
                      <w:strike w:val="0"/>
                      <w:dstrike w:val="0"/>
                      <w:color w:val="auto"/>
                      <w:sz w:val="18"/>
                      <w:szCs w:val="18"/>
                      <w:highlight w:val="none"/>
                      <w:lang w:val="en-US" w:eastAsia="zh-CN"/>
                    </w:rPr>
                    <w:t>小学</w:t>
                  </w:r>
                </w:p>
              </w:tc>
              <w:tc>
                <w:tcPr>
                  <w:tcW w:w="527" w:type="pct"/>
                  <w:tcBorders>
                    <w:top w:val="single" w:color="auto" w:sz="4" w:space="0"/>
                    <w:left w:val="single" w:color="auto" w:sz="4" w:space="0"/>
                    <w:bottom w:val="single" w:color="auto" w:sz="4" w:space="0"/>
                    <w:right w:val="single" w:color="auto" w:sz="4" w:space="0"/>
                  </w:tcBorders>
                  <w:shd w:val="clear" w:color="auto" w:fill="auto"/>
                  <w:noWrap w:val="0"/>
                  <w:vAlign w:val="center"/>
                </w:tcPr>
                <w:p w14:paraId="6DA0D176">
                  <w:pPr>
                    <w:keepNext w:val="0"/>
                    <w:keepLines w:val="0"/>
                    <w:widowControl/>
                    <w:suppressLineNumbers w:val="0"/>
                    <w:adjustRightInd w:val="0"/>
                    <w:snapToGrid w:val="0"/>
                    <w:spacing w:before="0" w:beforeAutospacing="0" w:after="0" w:afterAutospacing="0" w:line="276" w:lineRule="auto"/>
                    <w:ind w:left="0" w:right="0"/>
                    <w:jc w:val="center"/>
                    <w:rPr>
                      <w:rFonts w:hint="default" w:ascii="Times New Roman" w:hAnsi="Times New Roman" w:eastAsia="宋体" w:cs="Times New Roman"/>
                      <w:strike w:val="0"/>
                      <w:dstrike w:val="0"/>
                      <w:color w:val="auto"/>
                      <w:kern w:val="2"/>
                      <w:sz w:val="18"/>
                      <w:szCs w:val="18"/>
                      <w:highlight w:val="none"/>
                      <w:lang w:val="en-US" w:eastAsia="zh-CN" w:bidi="ar-SA"/>
                    </w:rPr>
                  </w:pPr>
                  <w:r>
                    <w:rPr>
                      <w:rFonts w:hint="default" w:ascii="Times New Roman" w:hAnsi="Times New Roman" w:eastAsia="宋体" w:cs="Times New Roman"/>
                      <w:strike w:val="0"/>
                      <w:dstrike w:val="0"/>
                      <w:color w:val="auto"/>
                      <w:sz w:val="18"/>
                      <w:szCs w:val="18"/>
                      <w:highlight w:val="none"/>
                    </w:rPr>
                    <w:t>118.818719</w:t>
                  </w:r>
                </w:p>
              </w:tc>
              <w:tc>
                <w:tcPr>
                  <w:tcW w:w="564" w:type="pct"/>
                  <w:tcBorders>
                    <w:top w:val="single" w:color="auto" w:sz="4" w:space="0"/>
                    <w:left w:val="single" w:color="auto" w:sz="4" w:space="0"/>
                    <w:bottom w:val="single" w:color="auto" w:sz="4" w:space="0"/>
                    <w:right w:val="single" w:color="auto" w:sz="4" w:space="0"/>
                  </w:tcBorders>
                  <w:shd w:val="clear" w:color="auto" w:fill="auto"/>
                  <w:noWrap w:val="0"/>
                  <w:vAlign w:val="center"/>
                </w:tcPr>
                <w:p w14:paraId="4593BB59">
                  <w:pPr>
                    <w:keepNext w:val="0"/>
                    <w:keepLines w:val="0"/>
                    <w:widowControl/>
                    <w:suppressLineNumbers w:val="0"/>
                    <w:adjustRightInd w:val="0"/>
                    <w:snapToGrid w:val="0"/>
                    <w:spacing w:before="0" w:beforeAutospacing="0" w:after="0" w:afterAutospacing="0" w:line="276" w:lineRule="auto"/>
                    <w:ind w:left="0" w:right="0"/>
                    <w:jc w:val="center"/>
                    <w:rPr>
                      <w:rFonts w:hint="default" w:ascii="Times New Roman" w:hAnsi="Times New Roman" w:eastAsia="宋体" w:cs="Times New Roman"/>
                      <w:strike w:val="0"/>
                      <w:dstrike w:val="0"/>
                      <w:color w:val="auto"/>
                      <w:kern w:val="2"/>
                      <w:sz w:val="18"/>
                      <w:szCs w:val="18"/>
                      <w:highlight w:val="none"/>
                      <w:lang w:val="en-US" w:eastAsia="zh-CN" w:bidi="ar-SA"/>
                    </w:rPr>
                  </w:pPr>
                  <w:r>
                    <w:rPr>
                      <w:rFonts w:hint="default" w:ascii="Times New Roman" w:hAnsi="Times New Roman" w:eastAsia="宋体" w:cs="Times New Roman"/>
                      <w:strike w:val="0"/>
                      <w:dstrike w:val="0"/>
                      <w:color w:val="auto"/>
                      <w:sz w:val="18"/>
                      <w:szCs w:val="18"/>
                      <w:highlight w:val="none"/>
                    </w:rPr>
                    <w:t>28.975430</w:t>
                  </w:r>
                </w:p>
              </w:tc>
              <w:tc>
                <w:tcPr>
                  <w:tcW w:w="474" w:type="pct"/>
                  <w:tcBorders>
                    <w:top w:val="single" w:color="auto" w:sz="4" w:space="0"/>
                    <w:left w:val="single" w:color="auto" w:sz="4" w:space="0"/>
                    <w:bottom w:val="single" w:color="auto" w:sz="4" w:space="0"/>
                    <w:right w:val="single" w:color="auto" w:sz="4" w:space="0"/>
                  </w:tcBorders>
                  <w:shd w:val="clear" w:color="auto" w:fill="auto"/>
                  <w:noWrap w:val="0"/>
                  <w:vAlign w:val="center"/>
                </w:tcPr>
                <w:p w14:paraId="40220AE0">
                  <w:pPr>
                    <w:keepNext w:val="0"/>
                    <w:keepLines w:val="0"/>
                    <w:widowControl/>
                    <w:suppressLineNumbers w:val="0"/>
                    <w:adjustRightInd w:val="0"/>
                    <w:snapToGrid w:val="0"/>
                    <w:spacing w:before="0" w:beforeAutospacing="0" w:after="0" w:afterAutospacing="0" w:line="276" w:lineRule="auto"/>
                    <w:ind w:left="0" w:right="0"/>
                    <w:jc w:val="center"/>
                    <w:rPr>
                      <w:rFonts w:hint="eastAsia" w:ascii="Times New Roman" w:hAnsi="Times New Roman" w:eastAsia="宋体" w:cs="Times New Roman"/>
                      <w:strike w:val="0"/>
                      <w:dstrike w:val="0"/>
                      <w:color w:val="auto"/>
                      <w:kern w:val="2"/>
                      <w:sz w:val="18"/>
                      <w:szCs w:val="18"/>
                      <w:highlight w:val="none"/>
                      <w:lang w:val="en-US" w:eastAsia="zh-CN" w:bidi="ar-SA"/>
                    </w:rPr>
                  </w:pPr>
                  <w:r>
                    <w:rPr>
                      <w:rFonts w:hint="eastAsia" w:ascii="Times New Roman" w:hAnsi="Times New Roman" w:eastAsia="宋体" w:cs="Times New Roman"/>
                      <w:strike w:val="0"/>
                      <w:dstrike w:val="0"/>
                      <w:color w:val="auto"/>
                      <w:sz w:val="18"/>
                      <w:szCs w:val="18"/>
                      <w:highlight w:val="none"/>
                      <w:lang w:val="en-US" w:eastAsia="zh-CN"/>
                    </w:rPr>
                    <w:t>学校</w:t>
                  </w:r>
                </w:p>
              </w:tc>
              <w:tc>
                <w:tcPr>
                  <w:tcW w:w="490" w:type="pct"/>
                  <w:tcBorders>
                    <w:top w:val="single" w:color="auto" w:sz="4" w:space="0"/>
                    <w:left w:val="single" w:color="auto" w:sz="4" w:space="0"/>
                    <w:bottom w:val="single" w:color="auto" w:sz="4" w:space="0"/>
                    <w:right w:val="single" w:color="auto" w:sz="4" w:space="0"/>
                  </w:tcBorders>
                  <w:shd w:val="clear" w:color="auto" w:fill="auto"/>
                  <w:noWrap w:val="0"/>
                  <w:vAlign w:val="center"/>
                </w:tcPr>
                <w:p w14:paraId="49829ECC">
                  <w:pPr>
                    <w:keepNext w:val="0"/>
                    <w:keepLines w:val="0"/>
                    <w:widowControl/>
                    <w:suppressLineNumbers w:val="0"/>
                    <w:adjustRightInd w:val="0"/>
                    <w:snapToGrid w:val="0"/>
                    <w:spacing w:before="0" w:beforeAutospacing="0" w:after="0" w:afterAutospacing="0" w:line="276" w:lineRule="auto"/>
                    <w:ind w:left="0" w:right="0"/>
                    <w:jc w:val="center"/>
                    <w:rPr>
                      <w:rFonts w:hint="eastAsia" w:ascii="Times New Roman" w:hAnsi="Times New Roman" w:eastAsia="宋体" w:cs="Times New Roman"/>
                      <w:strike w:val="0"/>
                      <w:dstrike w:val="0"/>
                      <w:color w:val="auto"/>
                      <w:kern w:val="2"/>
                      <w:sz w:val="18"/>
                      <w:szCs w:val="18"/>
                      <w:highlight w:val="none"/>
                      <w:lang w:val="en-US" w:eastAsia="zh-CN" w:bidi="ar-SA"/>
                    </w:rPr>
                  </w:pPr>
                  <w:r>
                    <w:rPr>
                      <w:rFonts w:hint="eastAsia" w:ascii="Times New Roman" w:hAnsi="Times New Roman" w:eastAsia="宋体" w:cs="Times New Roman"/>
                      <w:strike w:val="0"/>
                      <w:dstrike w:val="0"/>
                      <w:color w:val="auto"/>
                      <w:sz w:val="18"/>
                      <w:szCs w:val="18"/>
                      <w:highlight w:val="none"/>
                      <w:lang w:val="en-US" w:eastAsia="zh-CN"/>
                    </w:rPr>
                    <w:t>师生</w:t>
                  </w:r>
                </w:p>
              </w:tc>
              <w:tc>
                <w:tcPr>
                  <w:tcW w:w="499" w:type="pct"/>
                  <w:tcBorders>
                    <w:top w:val="single" w:color="auto" w:sz="4" w:space="0"/>
                    <w:left w:val="single" w:color="auto" w:sz="4" w:space="0"/>
                    <w:bottom w:val="single" w:color="auto" w:sz="4" w:space="0"/>
                    <w:right w:val="single" w:color="auto" w:sz="4" w:space="0"/>
                  </w:tcBorders>
                  <w:shd w:val="clear" w:color="auto" w:fill="auto"/>
                  <w:noWrap w:val="0"/>
                  <w:vAlign w:val="center"/>
                </w:tcPr>
                <w:p w14:paraId="7300D1BF">
                  <w:pPr>
                    <w:keepNext w:val="0"/>
                    <w:keepLines w:val="0"/>
                    <w:widowControl/>
                    <w:suppressLineNumbers w:val="0"/>
                    <w:adjustRightInd w:val="0"/>
                    <w:snapToGrid w:val="0"/>
                    <w:spacing w:before="0" w:beforeAutospacing="0" w:after="0" w:afterAutospacing="0" w:line="276" w:lineRule="auto"/>
                    <w:ind w:left="0" w:right="0"/>
                    <w:jc w:val="center"/>
                    <w:rPr>
                      <w:rFonts w:hint="eastAsia" w:ascii="Times New Roman" w:hAnsi="Times New Roman" w:eastAsia="宋体" w:cs="Times New Roman"/>
                      <w:strike w:val="0"/>
                      <w:dstrike w:val="0"/>
                      <w:color w:val="auto"/>
                      <w:kern w:val="2"/>
                      <w:sz w:val="18"/>
                      <w:szCs w:val="18"/>
                      <w:highlight w:val="none"/>
                      <w:lang w:val="en-US" w:eastAsia="zh-CN" w:bidi="ar-SA"/>
                    </w:rPr>
                  </w:pPr>
                  <w:r>
                    <w:rPr>
                      <w:rFonts w:hint="eastAsia" w:ascii="Times New Roman" w:hAnsi="Times New Roman" w:eastAsia="宋体" w:cs="Times New Roman"/>
                      <w:strike w:val="0"/>
                      <w:dstrike w:val="0"/>
                      <w:color w:val="auto"/>
                      <w:sz w:val="18"/>
                      <w:szCs w:val="18"/>
                      <w:highlight w:val="none"/>
                      <w:lang w:val="en-US" w:eastAsia="zh-CN"/>
                    </w:rPr>
                    <w:t>二类</w:t>
                  </w:r>
                </w:p>
              </w:tc>
              <w:tc>
                <w:tcPr>
                  <w:tcW w:w="453" w:type="pct"/>
                  <w:tcBorders>
                    <w:top w:val="single" w:color="auto" w:sz="4" w:space="0"/>
                    <w:left w:val="single" w:color="auto" w:sz="4" w:space="0"/>
                    <w:bottom w:val="single" w:color="auto" w:sz="4" w:space="0"/>
                    <w:right w:val="single" w:color="auto" w:sz="4" w:space="0"/>
                  </w:tcBorders>
                  <w:shd w:val="clear" w:color="auto" w:fill="auto"/>
                  <w:noWrap w:val="0"/>
                  <w:vAlign w:val="center"/>
                </w:tcPr>
                <w:p w14:paraId="1D1D74BF">
                  <w:pPr>
                    <w:keepNext w:val="0"/>
                    <w:keepLines w:val="0"/>
                    <w:widowControl/>
                    <w:suppressLineNumbers w:val="0"/>
                    <w:adjustRightInd w:val="0"/>
                    <w:snapToGrid w:val="0"/>
                    <w:spacing w:before="0" w:beforeAutospacing="0" w:after="0" w:afterAutospacing="0" w:line="276" w:lineRule="auto"/>
                    <w:ind w:left="0" w:right="0"/>
                    <w:jc w:val="center"/>
                    <w:rPr>
                      <w:rFonts w:hint="default" w:ascii="Times New Roman" w:hAnsi="Times New Roman" w:eastAsia="宋体" w:cs="Times New Roman"/>
                      <w:strike w:val="0"/>
                      <w:dstrike w:val="0"/>
                      <w:color w:val="auto"/>
                      <w:kern w:val="2"/>
                      <w:sz w:val="18"/>
                      <w:szCs w:val="18"/>
                      <w:highlight w:val="none"/>
                      <w:lang w:val="en-US" w:eastAsia="zh-CN" w:bidi="ar-SA"/>
                    </w:rPr>
                  </w:pPr>
                  <w:r>
                    <w:rPr>
                      <w:rFonts w:hint="eastAsia" w:ascii="Times New Roman" w:hAnsi="Times New Roman" w:eastAsia="宋体" w:cs="Times New Roman"/>
                      <w:strike w:val="0"/>
                      <w:dstrike w:val="0"/>
                      <w:color w:val="auto"/>
                      <w:kern w:val="2"/>
                      <w:sz w:val="18"/>
                      <w:szCs w:val="18"/>
                      <w:highlight w:val="none"/>
                      <w:lang w:val="en-US" w:eastAsia="zh-CN" w:bidi="ar-SA"/>
                    </w:rPr>
                    <w:t>西北</w:t>
                  </w:r>
                </w:p>
              </w:tc>
              <w:tc>
                <w:tcPr>
                  <w:tcW w:w="551" w:type="pct"/>
                  <w:tcBorders>
                    <w:top w:val="single" w:color="auto" w:sz="4" w:space="0"/>
                    <w:left w:val="single" w:color="auto" w:sz="4" w:space="0"/>
                    <w:bottom w:val="single" w:color="auto" w:sz="4" w:space="0"/>
                    <w:right w:val="single" w:color="auto" w:sz="4" w:space="0"/>
                  </w:tcBorders>
                  <w:shd w:val="clear" w:color="auto" w:fill="auto"/>
                  <w:noWrap w:val="0"/>
                  <w:vAlign w:val="center"/>
                </w:tcPr>
                <w:p w14:paraId="4D8115AF">
                  <w:pPr>
                    <w:keepNext w:val="0"/>
                    <w:keepLines w:val="0"/>
                    <w:widowControl/>
                    <w:suppressLineNumbers w:val="0"/>
                    <w:adjustRightInd w:val="0"/>
                    <w:snapToGrid w:val="0"/>
                    <w:spacing w:before="0" w:beforeAutospacing="0" w:after="0" w:afterAutospacing="0" w:line="276" w:lineRule="auto"/>
                    <w:ind w:left="0" w:right="0"/>
                    <w:jc w:val="center"/>
                    <w:rPr>
                      <w:rFonts w:hint="default" w:ascii="Times New Roman" w:hAnsi="Times New Roman" w:eastAsia="宋体" w:cs="Times New Roman"/>
                      <w:strike w:val="0"/>
                      <w:dstrike w:val="0"/>
                      <w:color w:val="auto"/>
                      <w:kern w:val="2"/>
                      <w:sz w:val="18"/>
                      <w:szCs w:val="18"/>
                      <w:highlight w:val="none"/>
                      <w:lang w:val="en-US" w:eastAsia="zh-CN" w:bidi="ar-SA"/>
                    </w:rPr>
                  </w:pPr>
                  <w:r>
                    <w:rPr>
                      <w:rFonts w:hint="eastAsia" w:ascii="Times New Roman" w:hAnsi="Times New Roman" w:eastAsia="宋体" w:cs="Times New Roman"/>
                      <w:strike w:val="0"/>
                      <w:dstrike w:val="0"/>
                      <w:color w:val="auto"/>
                      <w:kern w:val="2"/>
                      <w:sz w:val="18"/>
                      <w:szCs w:val="18"/>
                      <w:highlight w:val="none"/>
                      <w:lang w:val="en-US" w:eastAsia="zh-CN" w:bidi="ar-SA"/>
                    </w:rPr>
                    <w:t>2760</w:t>
                  </w:r>
                </w:p>
              </w:tc>
            </w:tr>
            <w:tr w14:paraId="5E9447F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40" w:hRule="atLeast"/>
                <w:jc w:val="center"/>
              </w:trPr>
              <w:tc>
                <w:tcPr>
                  <w:tcW w:w="366" w:type="pct"/>
                  <w:tcBorders>
                    <w:left w:val="single" w:color="auto" w:sz="4" w:space="0"/>
                    <w:right w:val="single" w:color="auto" w:sz="4" w:space="0"/>
                  </w:tcBorders>
                  <w:noWrap w:val="0"/>
                  <w:vAlign w:val="center"/>
                </w:tcPr>
                <w:p w14:paraId="1A3C6CA2">
                  <w:pPr>
                    <w:keepNext w:val="0"/>
                    <w:keepLines w:val="0"/>
                    <w:widowControl/>
                    <w:suppressLineNumbers w:val="0"/>
                    <w:adjustRightInd w:val="0"/>
                    <w:snapToGrid w:val="0"/>
                    <w:spacing w:before="0" w:beforeAutospacing="0" w:after="0" w:afterAutospacing="0" w:line="276" w:lineRule="auto"/>
                    <w:ind w:left="0" w:right="0"/>
                    <w:jc w:val="center"/>
                    <w:rPr>
                      <w:rFonts w:hint="default" w:ascii="Times New Roman" w:hAnsi="Times New Roman" w:eastAsia="宋体" w:cs="Times New Roman"/>
                      <w:strike w:val="0"/>
                      <w:dstrike w:val="0"/>
                      <w:color w:val="auto"/>
                      <w:sz w:val="18"/>
                      <w:szCs w:val="18"/>
                      <w:highlight w:val="none"/>
                      <w:lang w:val="en-US" w:eastAsia="zh-CN"/>
                    </w:rPr>
                  </w:pPr>
                  <w:r>
                    <w:rPr>
                      <w:rFonts w:hint="eastAsia" w:ascii="Times New Roman" w:hAnsi="Times New Roman" w:eastAsia="宋体" w:cs="Times New Roman"/>
                      <w:strike w:val="0"/>
                      <w:dstrike w:val="0"/>
                      <w:color w:val="auto"/>
                      <w:sz w:val="18"/>
                      <w:szCs w:val="18"/>
                      <w:highlight w:val="none"/>
                      <w:lang w:val="en-US" w:eastAsia="zh-CN"/>
                    </w:rPr>
                    <w:t>41</w:t>
                  </w:r>
                </w:p>
              </w:tc>
              <w:tc>
                <w:tcPr>
                  <w:tcW w:w="1071" w:type="pct"/>
                  <w:tcBorders>
                    <w:top w:val="single" w:color="auto" w:sz="4" w:space="0"/>
                    <w:left w:val="single" w:color="auto" w:sz="4" w:space="0"/>
                    <w:bottom w:val="single" w:color="auto" w:sz="4" w:space="0"/>
                    <w:right w:val="single" w:color="auto" w:sz="4" w:space="0"/>
                  </w:tcBorders>
                  <w:shd w:val="clear" w:color="auto" w:fill="auto"/>
                  <w:noWrap w:val="0"/>
                  <w:vAlign w:val="center"/>
                </w:tcPr>
                <w:p w14:paraId="7D84BDAA">
                  <w:pPr>
                    <w:keepNext w:val="0"/>
                    <w:keepLines w:val="0"/>
                    <w:widowControl/>
                    <w:suppressLineNumbers w:val="0"/>
                    <w:adjustRightInd w:val="0"/>
                    <w:snapToGrid w:val="0"/>
                    <w:spacing w:before="0" w:beforeAutospacing="0" w:after="0" w:afterAutospacing="0" w:line="276" w:lineRule="auto"/>
                    <w:ind w:left="0" w:right="0"/>
                    <w:jc w:val="center"/>
                    <w:rPr>
                      <w:rFonts w:hint="default" w:ascii="Times New Roman" w:hAnsi="Times New Roman" w:eastAsia="宋体" w:cs="Times New Roman"/>
                      <w:strike w:val="0"/>
                      <w:dstrike w:val="0"/>
                      <w:color w:val="auto"/>
                      <w:kern w:val="2"/>
                      <w:sz w:val="18"/>
                      <w:szCs w:val="18"/>
                      <w:highlight w:val="none"/>
                      <w:lang w:val="en-US" w:eastAsia="zh-CN" w:bidi="ar-SA"/>
                    </w:rPr>
                  </w:pPr>
                  <w:r>
                    <w:rPr>
                      <w:rFonts w:hint="default" w:ascii="Times New Roman" w:hAnsi="Times New Roman" w:eastAsia="宋体" w:cs="Times New Roman"/>
                      <w:strike w:val="0"/>
                      <w:dstrike w:val="0"/>
                      <w:color w:val="auto"/>
                      <w:sz w:val="18"/>
                      <w:szCs w:val="18"/>
                      <w:highlight w:val="none"/>
                      <w:lang w:val="en-US" w:eastAsia="zh-CN"/>
                    </w:rPr>
                    <w:t>姜家山乡卫生院</w:t>
                  </w:r>
                </w:p>
              </w:tc>
              <w:tc>
                <w:tcPr>
                  <w:tcW w:w="527" w:type="pct"/>
                  <w:tcBorders>
                    <w:top w:val="single" w:color="auto" w:sz="4" w:space="0"/>
                    <w:left w:val="single" w:color="auto" w:sz="4" w:space="0"/>
                    <w:bottom w:val="single" w:color="auto" w:sz="4" w:space="0"/>
                    <w:right w:val="single" w:color="auto" w:sz="4" w:space="0"/>
                  </w:tcBorders>
                  <w:shd w:val="clear" w:color="auto" w:fill="auto"/>
                  <w:noWrap w:val="0"/>
                  <w:vAlign w:val="center"/>
                </w:tcPr>
                <w:p w14:paraId="37CCD5CA">
                  <w:pPr>
                    <w:keepNext w:val="0"/>
                    <w:keepLines w:val="0"/>
                    <w:widowControl/>
                    <w:suppressLineNumbers w:val="0"/>
                    <w:adjustRightInd w:val="0"/>
                    <w:snapToGrid w:val="0"/>
                    <w:spacing w:before="0" w:beforeAutospacing="0" w:after="0" w:afterAutospacing="0" w:line="276" w:lineRule="auto"/>
                    <w:ind w:left="0" w:right="0"/>
                    <w:jc w:val="center"/>
                    <w:rPr>
                      <w:rFonts w:hint="eastAsia" w:ascii="Times New Roman" w:hAnsi="Times New Roman" w:eastAsia="宋体" w:cs="Times New Roman"/>
                      <w:strike w:val="0"/>
                      <w:dstrike w:val="0"/>
                      <w:color w:val="auto"/>
                      <w:kern w:val="2"/>
                      <w:sz w:val="18"/>
                      <w:szCs w:val="18"/>
                      <w:highlight w:val="none"/>
                      <w:lang w:val="en-US" w:eastAsia="zh-CN" w:bidi="ar-SA"/>
                    </w:rPr>
                  </w:pPr>
                  <w:r>
                    <w:rPr>
                      <w:rFonts w:hint="default" w:ascii="Times New Roman" w:hAnsi="Times New Roman" w:eastAsia="宋体" w:cs="Times New Roman"/>
                      <w:strike w:val="0"/>
                      <w:dstrike w:val="0"/>
                      <w:color w:val="auto"/>
                      <w:sz w:val="18"/>
                      <w:szCs w:val="18"/>
                      <w:highlight w:val="none"/>
                    </w:rPr>
                    <w:t>118.82087</w:t>
                  </w:r>
                  <w:r>
                    <w:rPr>
                      <w:rFonts w:hint="eastAsia" w:ascii="Times New Roman" w:hAnsi="Times New Roman" w:eastAsia="宋体" w:cs="Times New Roman"/>
                      <w:strike w:val="0"/>
                      <w:dstrike w:val="0"/>
                      <w:color w:val="auto"/>
                      <w:sz w:val="18"/>
                      <w:szCs w:val="18"/>
                      <w:highlight w:val="none"/>
                      <w:lang w:val="en-US" w:eastAsia="zh-CN"/>
                    </w:rPr>
                    <w:t>6</w:t>
                  </w:r>
                </w:p>
              </w:tc>
              <w:tc>
                <w:tcPr>
                  <w:tcW w:w="564" w:type="pct"/>
                  <w:tcBorders>
                    <w:top w:val="single" w:color="auto" w:sz="4" w:space="0"/>
                    <w:left w:val="single" w:color="auto" w:sz="4" w:space="0"/>
                    <w:bottom w:val="single" w:color="auto" w:sz="4" w:space="0"/>
                    <w:right w:val="single" w:color="auto" w:sz="4" w:space="0"/>
                  </w:tcBorders>
                  <w:shd w:val="clear" w:color="auto" w:fill="auto"/>
                  <w:noWrap w:val="0"/>
                  <w:vAlign w:val="center"/>
                </w:tcPr>
                <w:p w14:paraId="7B827361">
                  <w:pPr>
                    <w:keepNext w:val="0"/>
                    <w:keepLines w:val="0"/>
                    <w:widowControl/>
                    <w:suppressLineNumbers w:val="0"/>
                    <w:adjustRightInd w:val="0"/>
                    <w:snapToGrid w:val="0"/>
                    <w:spacing w:before="0" w:beforeAutospacing="0" w:after="0" w:afterAutospacing="0" w:line="276" w:lineRule="auto"/>
                    <w:ind w:left="0" w:right="0"/>
                    <w:jc w:val="center"/>
                    <w:rPr>
                      <w:rFonts w:hint="eastAsia" w:ascii="Times New Roman" w:hAnsi="Times New Roman" w:eastAsia="宋体" w:cs="Times New Roman"/>
                      <w:strike w:val="0"/>
                      <w:dstrike w:val="0"/>
                      <w:color w:val="auto"/>
                      <w:kern w:val="2"/>
                      <w:sz w:val="18"/>
                      <w:szCs w:val="18"/>
                      <w:highlight w:val="none"/>
                      <w:lang w:val="en-US" w:eastAsia="zh-CN" w:bidi="ar-SA"/>
                    </w:rPr>
                  </w:pPr>
                  <w:r>
                    <w:rPr>
                      <w:rFonts w:hint="default" w:ascii="Times New Roman" w:hAnsi="Times New Roman" w:eastAsia="宋体" w:cs="Times New Roman"/>
                      <w:strike w:val="0"/>
                      <w:dstrike w:val="0"/>
                      <w:color w:val="auto"/>
                      <w:sz w:val="18"/>
                      <w:szCs w:val="18"/>
                      <w:highlight w:val="none"/>
                    </w:rPr>
                    <w:t>28.97262</w:t>
                  </w:r>
                  <w:r>
                    <w:rPr>
                      <w:rFonts w:hint="eastAsia" w:ascii="Times New Roman" w:hAnsi="Times New Roman" w:eastAsia="宋体" w:cs="Times New Roman"/>
                      <w:strike w:val="0"/>
                      <w:dstrike w:val="0"/>
                      <w:color w:val="auto"/>
                      <w:sz w:val="18"/>
                      <w:szCs w:val="18"/>
                      <w:highlight w:val="none"/>
                      <w:lang w:val="en-US" w:eastAsia="zh-CN"/>
                    </w:rPr>
                    <w:t>5</w:t>
                  </w:r>
                </w:p>
              </w:tc>
              <w:tc>
                <w:tcPr>
                  <w:tcW w:w="474" w:type="pct"/>
                  <w:tcBorders>
                    <w:top w:val="single" w:color="auto" w:sz="4" w:space="0"/>
                    <w:left w:val="single" w:color="auto" w:sz="4" w:space="0"/>
                    <w:bottom w:val="single" w:color="auto" w:sz="4" w:space="0"/>
                    <w:right w:val="single" w:color="auto" w:sz="4" w:space="0"/>
                  </w:tcBorders>
                  <w:shd w:val="clear" w:color="auto" w:fill="auto"/>
                  <w:noWrap w:val="0"/>
                  <w:vAlign w:val="center"/>
                </w:tcPr>
                <w:p w14:paraId="09113ED5">
                  <w:pPr>
                    <w:keepNext w:val="0"/>
                    <w:keepLines w:val="0"/>
                    <w:widowControl/>
                    <w:suppressLineNumbers w:val="0"/>
                    <w:adjustRightInd w:val="0"/>
                    <w:snapToGrid w:val="0"/>
                    <w:spacing w:before="0" w:beforeAutospacing="0" w:after="0" w:afterAutospacing="0" w:line="276" w:lineRule="auto"/>
                    <w:ind w:left="0" w:right="0"/>
                    <w:jc w:val="center"/>
                    <w:rPr>
                      <w:rFonts w:hint="eastAsia" w:ascii="Times New Roman" w:hAnsi="Times New Roman" w:eastAsia="宋体" w:cs="Times New Roman"/>
                      <w:strike w:val="0"/>
                      <w:dstrike w:val="0"/>
                      <w:color w:val="auto"/>
                      <w:kern w:val="2"/>
                      <w:sz w:val="18"/>
                      <w:szCs w:val="18"/>
                      <w:highlight w:val="none"/>
                      <w:lang w:val="en-US" w:eastAsia="zh-CN" w:bidi="ar-SA"/>
                    </w:rPr>
                  </w:pPr>
                  <w:r>
                    <w:rPr>
                      <w:rFonts w:hint="eastAsia" w:ascii="Times New Roman" w:hAnsi="Times New Roman" w:eastAsia="宋体" w:cs="Times New Roman"/>
                      <w:strike w:val="0"/>
                      <w:dstrike w:val="0"/>
                      <w:color w:val="auto"/>
                      <w:sz w:val="18"/>
                      <w:szCs w:val="18"/>
                      <w:highlight w:val="none"/>
                      <w:lang w:val="en-US" w:eastAsia="zh-CN"/>
                    </w:rPr>
                    <w:t>医院</w:t>
                  </w:r>
                </w:p>
              </w:tc>
              <w:tc>
                <w:tcPr>
                  <w:tcW w:w="490" w:type="pct"/>
                  <w:tcBorders>
                    <w:top w:val="single" w:color="auto" w:sz="4" w:space="0"/>
                    <w:left w:val="single" w:color="auto" w:sz="4" w:space="0"/>
                    <w:bottom w:val="single" w:color="auto" w:sz="4" w:space="0"/>
                    <w:right w:val="single" w:color="auto" w:sz="4" w:space="0"/>
                  </w:tcBorders>
                  <w:shd w:val="clear" w:color="auto" w:fill="auto"/>
                  <w:noWrap w:val="0"/>
                  <w:vAlign w:val="center"/>
                </w:tcPr>
                <w:p w14:paraId="68633C9F">
                  <w:pPr>
                    <w:keepNext w:val="0"/>
                    <w:keepLines w:val="0"/>
                    <w:widowControl/>
                    <w:suppressLineNumbers w:val="0"/>
                    <w:adjustRightInd w:val="0"/>
                    <w:snapToGrid w:val="0"/>
                    <w:spacing w:before="0" w:beforeAutospacing="0" w:after="0" w:afterAutospacing="0" w:line="276" w:lineRule="auto"/>
                    <w:ind w:left="0" w:right="0"/>
                    <w:jc w:val="center"/>
                    <w:rPr>
                      <w:rFonts w:hint="eastAsia" w:ascii="Times New Roman" w:hAnsi="Times New Roman" w:eastAsia="宋体" w:cs="Times New Roman"/>
                      <w:strike w:val="0"/>
                      <w:dstrike w:val="0"/>
                      <w:color w:val="auto"/>
                      <w:kern w:val="2"/>
                      <w:sz w:val="18"/>
                      <w:szCs w:val="18"/>
                      <w:highlight w:val="none"/>
                      <w:lang w:val="en-US" w:eastAsia="zh-CN" w:bidi="ar-SA"/>
                    </w:rPr>
                  </w:pPr>
                  <w:r>
                    <w:rPr>
                      <w:rFonts w:hint="eastAsia" w:ascii="Times New Roman" w:hAnsi="Times New Roman" w:eastAsia="宋体" w:cs="Times New Roman"/>
                      <w:strike w:val="0"/>
                      <w:dstrike w:val="0"/>
                      <w:color w:val="auto"/>
                      <w:sz w:val="18"/>
                      <w:szCs w:val="18"/>
                      <w:highlight w:val="none"/>
                      <w:lang w:val="en-US" w:eastAsia="zh-CN"/>
                    </w:rPr>
                    <w:t>医护、病人</w:t>
                  </w:r>
                </w:p>
              </w:tc>
              <w:tc>
                <w:tcPr>
                  <w:tcW w:w="499" w:type="pct"/>
                  <w:tcBorders>
                    <w:top w:val="single" w:color="auto" w:sz="4" w:space="0"/>
                    <w:left w:val="single" w:color="auto" w:sz="4" w:space="0"/>
                    <w:bottom w:val="single" w:color="auto" w:sz="4" w:space="0"/>
                    <w:right w:val="single" w:color="auto" w:sz="4" w:space="0"/>
                  </w:tcBorders>
                  <w:shd w:val="clear" w:color="auto" w:fill="auto"/>
                  <w:noWrap w:val="0"/>
                  <w:vAlign w:val="center"/>
                </w:tcPr>
                <w:p w14:paraId="64857D27">
                  <w:pPr>
                    <w:keepNext w:val="0"/>
                    <w:keepLines w:val="0"/>
                    <w:widowControl/>
                    <w:suppressLineNumbers w:val="0"/>
                    <w:adjustRightInd w:val="0"/>
                    <w:snapToGrid w:val="0"/>
                    <w:spacing w:before="0" w:beforeAutospacing="0" w:after="0" w:afterAutospacing="0" w:line="276" w:lineRule="auto"/>
                    <w:ind w:left="0" w:right="0"/>
                    <w:jc w:val="center"/>
                    <w:rPr>
                      <w:rFonts w:hint="eastAsia" w:ascii="Times New Roman" w:hAnsi="Times New Roman" w:eastAsia="宋体" w:cs="Times New Roman"/>
                      <w:strike w:val="0"/>
                      <w:dstrike w:val="0"/>
                      <w:color w:val="auto"/>
                      <w:kern w:val="2"/>
                      <w:sz w:val="18"/>
                      <w:szCs w:val="18"/>
                      <w:highlight w:val="none"/>
                      <w:lang w:val="en-US" w:eastAsia="zh-CN" w:bidi="ar-SA"/>
                    </w:rPr>
                  </w:pPr>
                  <w:r>
                    <w:rPr>
                      <w:rFonts w:hint="eastAsia" w:ascii="Times New Roman" w:hAnsi="Times New Roman" w:eastAsia="宋体" w:cs="Times New Roman"/>
                      <w:strike w:val="0"/>
                      <w:dstrike w:val="0"/>
                      <w:color w:val="auto"/>
                      <w:sz w:val="18"/>
                      <w:szCs w:val="18"/>
                      <w:highlight w:val="none"/>
                      <w:lang w:val="en-US" w:eastAsia="zh-CN"/>
                    </w:rPr>
                    <w:t>二类</w:t>
                  </w:r>
                </w:p>
              </w:tc>
              <w:tc>
                <w:tcPr>
                  <w:tcW w:w="453" w:type="pct"/>
                  <w:tcBorders>
                    <w:top w:val="single" w:color="auto" w:sz="4" w:space="0"/>
                    <w:left w:val="single" w:color="auto" w:sz="4" w:space="0"/>
                    <w:bottom w:val="single" w:color="auto" w:sz="4" w:space="0"/>
                    <w:right w:val="single" w:color="auto" w:sz="4" w:space="0"/>
                  </w:tcBorders>
                  <w:shd w:val="clear" w:color="auto" w:fill="auto"/>
                  <w:noWrap w:val="0"/>
                  <w:vAlign w:val="center"/>
                </w:tcPr>
                <w:p w14:paraId="3E94294D">
                  <w:pPr>
                    <w:keepNext w:val="0"/>
                    <w:keepLines w:val="0"/>
                    <w:widowControl/>
                    <w:suppressLineNumbers w:val="0"/>
                    <w:adjustRightInd w:val="0"/>
                    <w:snapToGrid w:val="0"/>
                    <w:spacing w:before="0" w:beforeAutospacing="0" w:after="0" w:afterAutospacing="0" w:line="276" w:lineRule="auto"/>
                    <w:ind w:left="0" w:right="0"/>
                    <w:jc w:val="center"/>
                    <w:rPr>
                      <w:rFonts w:hint="default" w:ascii="Times New Roman" w:hAnsi="Times New Roman" w:eastAsia="宋体" w:cs="Times New Roman"/>
                      <w:strike w:val="0"/>
                      <w:dstrike w:val="0"/>
                      <w:color w:val="auto"/>
                      <w:kern w:val="2"/>
                      <w:sz w:val="18"/>
                      <w:szCs w:val="18"/>
                      <w:highlight w:val="none"/>
                      <w:lang w:val="en-US" w:eastAsia="zh-CN" w:bidi="ar-SA"/>
                    </w:rPr>
                  </w:pPr>
                  <w:r>
                    <w:rPr>
                      <w:rFonts w:hint="eastAsia" w:ascii="Times New Roman" w:hAnsi="Times New Roman" w:eastAsia="宋体" w:cs="Times New Roman"/>
                      <w:strike w:val="0"/>
                      <w:dstrike w:val="0"/>
                      <w:color w:val="auto"/>
                      <w:kern w:val="2"/>
                      <w:sz w:val="18"/>
                      <w:szCs w:val="18"/>
                      <w:highlight w:val="none"/>
                      <w:lang w:val="en-US" w:eastAsia="zh-CN" w:bidi="ar-SA"/>
                    </w:rPr>
                    <w:t>西北</w:t>
                  </w:r>
                </w:p>
              </w:tc>
              <w:tc>
                <w:tcPr>
                  <w:tcW w:w="551" w:type="pct"/>
                  <w:tcBorders>
                    <w:top w:val="single" w:color="auto" w:sz="4" w:space="0"/>
                    <w:left w:val="single" w:color="auto" w:sz="4" w:space="0"/>
                    <w:bottom w:val="single" w:color="auto" w:sz="4" w:space="0"/>
                    <w:right w:val="single" w:color="auto" w:sz="4" w:space="0"/>
                  </w:tcBorders>
                  <w:shd w:val="clear" w:color="auto" w:fill="auto"/>
                  <w:noWrap w:val="0"/>
                  <w:vAlign w:val="center"/>
                </w:tcPr>
                <w:p w14:paraId="68B4F7C5">
                  <w:pPr>
                    <w:keepNext w:val="0"/>
                    <w:keepLines w:val="0"/>
                    <w:widowControl/>
                    <w:suppressLineNumbers w:val="0"/>
                    <w:adjustRightInd w:val="0"/>
                    <w:snapToGrid w:val="0"/>
                    <w:spacing w:before="0" w:beforeAutospacing="0" w:after="0" w:afterAutospacing="0" w:line="276" w:lineRule="auto"/>
                    <w:ind w:left="0" w:right="0"/>
                    <w:jc w:val="center"/>
                    <w:rPr>
                      <w:rFonts w:hint="default" w:ascii="Times New Roman" w:hAnsi="Times New Roman" w:eastAsia="宋体" w:cs="Times New Roman"/>
                      <w:strike w:val="0"/>
                      <w:dstrike w:val="0"/>
                      <w:color w:val="auto"/>
                      <w:kern w:val="2"/>
                      <w:sz w:val="18"/>
                      <w:szCs w:val="18"/>
                      <w:highlight w:val="none"/>
                      <w:lang w:val="en-US" w:eastAsia="zh-CN" w:bidi="ar-SA"/>
                    </w:rPr>
                  </w:pPr>
                  <w:r>
                    <w:rPr>
                      <w:rFonts w:hint="eastAsia" w:ascii="Times New Roman" w:hAnsi="Times New Roman" w:eastAsia="宋体" w:cs="Times New Roman"/>
                      <w:strike w:val="0"/>
                      <w:dstrike w:val="0"/>
                      <w:color w:val="auto"/>
                      <w:kern w:val="2"/>
                      <w:sz w:val="18"/>
                      <w:szCs w:val="18"/>
                      <w:highlight w:val="none"/>
                      <w:lang w:val="en-US" w:eastAsia="zh-CN" w:bidi="ar-SA"/>
                    </w:rPr>
                    <w:t>2410</w:t>
                  </w:r>
                </w:p>
              </w:tc>
            </w:tr>
            <w:tr w14:paraId="78B2F28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40" w:hRule="atLeast"/>
                <w:jc w:val="center"/>
              </w:trPr>
              <w:tc>
                <w:tcPr>
                  <w:tcW w:w="366" w:type="pct"/>
                  <w:tcBorders>
                    <w:left w:val="single" w:color="auto" w:sz="4" w:space="0"/>
                    <w:right w:val="single" w:color="auto" w:sz="4" w:space="0"/>
                  </w:tcBorders>
                  <w:noWrap w:val="0"/>
                  <w:vAlign w:val="center"/>
                </w:tcPr>
                <w:p w14:paraId="60A3D937">
                  <w:pPr>
                    <w:keepNext w:val="0"/>
                    <w:keepLines w:val="0"/>
                    <w:widowControl/>
                    <w:suppressLineNumbers w:val="0"/>
                    <w:adjustRightInd w:val="0"/>
                    <w:snapToGrid w:val="0"/>
                    <w:spacing w:before="0" w:beforeAutospacing="0" w:after="0" w:afterAutospacing="0" w:line="276" w:lineRule="auto"/>
                    <w:ind w:left="0" w:right="0"/>
                    <w:jc w:val="center"/>
                    <w:rPr>
                      <w:rFonts w:hint="default" w:ascii="Times New Roman" w:hAnsi="Times New Roman" w:eastAsia="宋体" w:cs="Times New Roman"/>
                      <w:strike w:val="0"/>
                      <w:dstrike w:val="0"/>
                      <w:color w:val="auto"/>
                      <w:sz w:val="18"/>
                      <w:szCs w:val="18"/>
                      <w:highlight w:val="none"/>
                      <w:lang w:val="en-US" w:eastAsia="zh-CN"/>
                    </w:rPr>
                  </w:pPr>
                  <w:r>
                    <w:rPr>
                      <w:rFonts w:hint="eastAsia" w:ascii="Times New Roman" w:hAnsi="Times New Roman" w:eastAsia="宋体" w:cs="Times New Roman"/>
                      <w:strike w:val="0"/>
                      <w:dstrike w:val="0"/>
                      <w:color w:val="auto"/>
                      <w:sz w:val="18"/>
                      <w:szCs w:val="18"/>
                      <w:highlight w:val="none"/>
                      <w:lang w:val="en-US" w:eastAsia="zh-CN"/>
                    </w:rPr>
                    <w:t>42</w:t>
                  </w:r>
                </w:p>
              </w:tc>
              <w:tc>
                <w:tcPr>
                  <w:tcW w:w="1071" w:type="pct"/>
                  <w:tcBorders>
                    <w:top w:val="single" w:color="auto" w:sz="4" w:space="0"/>
                    <w:left w:val="single" w:color="auto" w:sz="4" w:space="0"/>
                    <w:bottom w:val="single" w:color="auto" w:sz="4" w:space="0"/>
                    <w:right w:val="single" w:color="auto" w:sz="4" w:space="0"/>
                  </w:tcBorders>
                  <w:shd w:val="clear" w:color="auto" w:fill="auto"/>
                  <w:noWrap w:val="0"/>
                  <w:vAlign w:val="center"/>
                </w:tcPr>
                <w:p w14:paraId="49B5A20E">
                  <w:pPr>
                    <w:keepNext w:val="0"/>
                    <w:keepLines w:val="0"/>
                    <w:widowControl/>
                    <w:suppressLineNumbers w:val="0"/>
                    <w:adjustRightInd w:val="0"/>
                    <w:snapToGrid w:val="0"/>
                    <w:spacing w:before="0" w:beforeAutospacing="0" w:after="0" w:afterAutospacing="0" w:line="276" w:lineRule="auto"/>
                    <w:ind w:left="0" w:right="0"/>
                    <w:jc w:val="center"/>
                    <w:rPr>
                      <w:rFonts w:hint="default" w:ascii="Times New Roman" w:hAnsi="Times New Roman" w:eastAsia="宋体" w:cs="Times New Roman"/>
                      <w:strike w:val="0"/>
                      <w:dstrike w:val="0"/>
                      <w:color w:val="auto"/>
                      <w:kern w:val="2"/>
                      <w:sz w:val="18"/>
                      <w:szCs w:val="18"/>
                      <w:highlight w:val="none"/>
                      <w:lang w:val="en-US" w:eastAsia="zh-CN" w:bidi="ar-SA"/>
                    </w:rPr>
                  </w:pPr>
                  <w:r>
                    <w:rPr>
                      <w:rFonts w:hint="eastAsia" w:ascii="Times New Roman" w:hAnsi="Times New Roman" w:eastAsia="宋体" w:cs="Times New Roman"/>
                      <w:strike w:val="0"/>
                      <w:dstrike w:val="0"/>
                      <w:color w:val="auto"/>
                      <w:sz w:val="18"/>
                      <w:szCs w:val="18"/>
                      <w:highlight w:val="none"/>
                      <w:lang w:val="en-US" w:eastAsia="zh-CN"/>
                    </w:rPr>
                    <w:t>富</w:t>
                  </w:r>
                  <w:r>
                    <w:rPr>
                      <w:rFonts w:hint="default" w:ascii="Times New Roman" w:hAnsi="Times New Roman" w:eastAsia="宋体" w:cs="Times New Roman"/>
                      <w:strike w:val="0"/>
                      <w:dstrike w:val="0"/>
                      <w:color w:val="auto"/>
                      <w:sz w:val="18"/>
                      <w:szCs w:val="18"/>
                      <w:highlight w:val="none"/>
                      <w:lang w:val="en-US" w:eastAsia="zh-CN"/>
                    </w:rPr>
                    <w:t>周塘村</w:t>
                  </w:r>
                </w:p>
              </w:tc>
              <w:tc>
                <w:tcPr>
                  <w:tcW w:w="527" w:type="pct"/>
                  <w:tcBorders>
                    <w:top w:val="single" w:color="auto" w:sz="4" w:space="0"/>
                    <w:left w:val="single" w:color="auto" w:sz="4" w:space="0"/>
                    <w:bottom w:val="single" w:color="auto" w:sz="4" w:space="0"/>
                    <w:right w:val="single" w:color="auto" w:sz="4" w:space="0"/>
                  </w:tcBorders>
                  <w:shd w:val="clear" w:color="auto" w:fill="auto"/>
                  <w:noWrap w:val="0"/>
                  <w:vAlign w:val="center"/>
                </w:tcPr>
                <w:p w14:paraId="06BB35B3">
                  <w:pPr>
                    <w:keepNext w:val="0"/>
                    <w:keepLines w:val="0"/>
                    <w:widowControl/>
                    <w:suppressLineNumbers w:val="0"/>
                    <w:adjustRightInd w:val="0"/>
                    <w:snapToGrid w:val="0"/>
                    <w:spacing w:before="0" w:beforeAutospacing="0" w:after="0" w:afterAutospacing="0" w:line="276" w:lineRule="auto"/>
                    <w:ind w:left="0" w:right="0"/>
                    <w:jc w:val="center"/>
                    <w:rPr>
                      <w:rFonts w:hint="eastAsia" w:ascii="Times New Roman" w:hAnsi="Times New Roman" w:eastAsia="宋体" w:cs="Times New Roman"/>
                      <w:strike w:val="0"/>
                      <w:dstrike w:val="0"/>
                      <w:color w:val="auto"/>
                      <w:kern w:val="2"/>
                      <w:sz w:val="18"/>
                      <w:szCs w:val="18"/>
                      <w:highlight w:val="none"/>
                      <w:lang w:val="en-US" w:eastAsia="zh-CN" w:bidi="ar-SA"/>
                    </w:rPr>
                  </w:pPr>
                  <w:r>
                    <w:rPr>
                      <w:rFonts w:hint="default" w:ascii="Times New Roman" w:hAnsi="Times New Roman" w:eastAsia="宋体" w:cs="Times New Roman"/>
                      <w:strike w:val="0"/>
                      <w:dstrike w:val="0"/>
                      <w:color w:val="auto"/>
                      <w:sz w:val="18"/>
                      <w:szCs w:val="18"/>
                      <w:highlight w:val="none"/>
                    </w:rPr>
                    <w:t>118.80913</w:t>
                  </w:r>
                  <w:r>
                    <w:rPr>
                      <w:rFonts w:hint="eastAsia" w:ascii="Times New Roman" w:hAnsi="Times New Roman" w:eastAsia="宋体" w:cs="Times New Roman"/>
                      <w:strike w:val="0"/>
                      <w:dstrike w:val="0"/>
                      <w:color w:val="auto"/>
                      <w:sz w:val="18"/>
                      <w:szCs w:val="18"/>
                      <w:highlight w:val="none"/>
                      <w:lang w:val="en-US" w:eastAsia="zh-CN"/>
                    </w:rPr>
                    <w:t>9</w:t>
                  </w:r>
                </w:p>
              </w:tc>
              <w:tc>
                <w:tcPr>
                  <w:tcW w:w="564" w:type="pct"/>
                  <w:tcBorders>
                    <w:top w:val="single" w:color="auto" w:sz="4" w:space="0"/>
                    <w:left w:val="single" w:color="auto" w:sz="4" w:space="0"/>
                    <w:bottom w:val="single" w:color="auto" w:sz="4" w:space="0"/>
                    <w:right w:val="single" w:color="auto" w:sz="4" w:space="0"/>
                  </w:tcBorders>
                  <w:shd w:val="clear" w:color="auto" w:fill="auto"/>
                  <w:noWrap w:val="0"/>
                  <w:vAlign w:val="center"/>
                </w:tcPr>
                <w:p w14:paraId="3D002A8B">
                  <w:pPr>
                    <w:keepNext w:val="0"/>
                    <w:keepLines w:val="0"/>
                    <w:widowControl/>
                    <w:suppressLineNumbers w:val="0"/>
                    <w:adjustRightInd w:val="0"/>
                    <w:snapToGrid w:val="0"/>
                    <w:spacing w:before="0" w:beforeAutospacing="0" w:after="0" w:afterAutospacing="0" w:line="276" w:lineRule="auto"/>
                    <w:ind w:left="0" w:right="0"/>
                    <w:jc w:val="center"/>
                    <w:rPr>
                      <w:rFonts w:hint="eastAsia" w:ascii="Times New Roman" w:hAnsi="Times New Roman" w:eastAsia="宋体" w:cs="Times New Roman"/>
                      <w:strike w:val="0"/>
                      <w:dstrike w:val="0"/>
                      <w:color w:val="auto"/>
                      <w:kern w:val="2"/>
                      <w:sz w:val="18"/>
                      <w:szCs w:val="18"/>
                      <w:highlight w:val="none"/>
                      <w:lang w:val="en-US" w:eastAsia="zh-CN" w:bidi="ar-SA"/>
                    </w:rPr>
                  </w:pPr>
                  <w:r>
                    <w:rPr>
                      <w:rFonts w:hint="default" w:ascii="Times New Roman" w:hAnsi="Times New Roman" w:eastAsia="宋体" w:cs="Times New Roman"/>
                      <w:strike w:val="0"/>
                      <w:dstrike w:val="0"/>
                      <w:color w:val="auto"/>
                      <w:sz w:val="18"/>
                      <w:szCs w:val="18"/>
                      <w:highlight w:val="none"/>
                    </w:rPr>
                    <w:t>28.97382</w:t>
                  </w:r>
                  <w:r>
                    <w:rPr>
                      <w:rFonts w:hint="eastAsia" w:ascii="Times New Roman" w:hAnsi="Times New Roman" w:eastAsia="宋体" w:cs="Times New Roman"/>
                      <w:strike w:val="0"/>
                      <w:dstrike w:val="0"/>
                      <w:color w:val="auto"/>
                      <w:sz w:val="18"/>
                      <w:szCs w:val="18"/>
                      <w:highlight w:val="none"/>
                      <w:lang w:val="en-US" w:eastAsia="zh-CN"/>
                    </w:rPr>
                    <w:t>1</w:t>
                  </w:r>
                </w:p>
              </w:tc>
              <w:tc>
                <w:tcPr>
                  <w:tcW w:w="474" w:type="pct"/>
                  <w:tcBorders>
                    <w:top w:val="single" w:color="auto" w:sz="4" w:space="0"/>
                    <w:left w:val="single" w:color="auto" w:sz="4" w:space="0"/>
                    <w:bottom w:val="single" w:color="auto" w:sz="4" w:space="0"/>
                    <w:right w:val="single" w:color="auto" w:sz="4" w:space="0"/>
                  </w:tcBorders>
                  <w:shd w:val="clear" w:color="auto" w:fill="auto"/>
                  <w:noWrap w:val="0"/>
                  <w:vAlign w:val="center"/>
                </w:tcPr>
                <w:p w14:paraId="701B2A38">
                  <w:pPr>
                    <w:keepNext w:val="0"/>
                    <w:keepLines w:val="0"/>
                    <w:widowControl/>
                    <w:suppressLineNumbers w:val="0"/>
                    <w:adjustRightInd w:val="0"/>
                    <w:snapToGrid w:val="0"/>
                    <w:spacing w:before="0" w:beforeAutospacing="0" w:after="0" w:afterAutospacing="0" w:line="276" w:lineRule="auto"/>
                    <w:ind w:left="0" w:right="0"/>
                    <w:jc w:val="center"/>
                    <w:rPr>
                      <w:rFonts w:hint="eastAsia" w:ascii="Times New Roman" w:hAnsi="Times New Roman" w:eastAsia="宋体" w:cs="Times New Roman"/>
                      <w:strike w:val="0"/>
                      <w:dstrike w:val="0"/>
                      <w:color w:val="auto"/>
                      <w:kern w:val="2"/>
                      <w:sz w:val="18"/>
                      <w:szCs w:val="18"/>
                      <w:highlight w:val="none"/>
                      <w:lang w:val="en-US" w:eastAsia="zh-CN" w:bidi="ar-SA"/>
                    </w:rPr>
                  </w:pPr>
                  <w:r>
                    <w:rPr>
                      <w:rFonts w:hint="eastAsia" w:ascii="Times New Roman" w:hAnsi="Times New Roman" w:eastAsia="宋体" w:cs="Times New Roman"/>
                      <w:strike w:val="0"/>
                      <w:dstrike w:val="0"/>
                      <w:color w:val="auto"/>
                      <w:sz w:val="18"/>
                      <w:szCs w:val="18"/>
                      <w:highlight w:val="none"/>
                      <w:lang w:val="en-US" w:eastAsia="zh-CN"/>
                    </w:rPr>
                    <w:t>居住区</w:t>
                  </w:r>
                </w:p>
              </w:tc>
              <w:tc>
                <w:tcPr>
                  <w:tcW w:w="490" w:type="pct"/>
                  <w:tcBorders>
                    <w:top w:val="single" w:color="auto" w:sz="4" w:space="0"/>
                    <w:left w:val="single" w:color="auto" w:sz="4" w:space="0"/>
                    <w:bottom w:val="single" w:color="auto" w:sz="4" w:space="0"/>
                    <w:right w:val="single" w:color="auto" w:sz="4" w:space="0"/>
                  </w:tcBorders>
                  <w:shd w:val="clear" w:color="auto" w:fill="auto"/>
                  <w:noWrap w:val="0"/>
                  <w:vAlign w:val="center"/>
                </w:tcPr>
                <w:p w14:paraId="7EF014FA">
                  <w:pPr>
                    <w:keepNext w:val="0"/>
                    <w:keepLines w:val="0"/>
                    <w:widowControl/>
                    <w:suppressLineNumbers w:val="0"/>
                    <w:adjustRightInd w:val="0"/>
                    <w:snapToGrid w:val="0"/>
                    <w:spacing w:before="0" w:beforeAutospacing="0" w:after="0" w:afterAutospacing="0" w:line="276" w:lineRule="auto"/>
                    <w:ind w:left="0" w:right="0"/>
                    <w:jc w:val="center"/>
                    <w:rPr>
                      <w:rFonts w:hint="eastAsia" w:ascii="Times New Roman" w:hAnsi="Times New Roman" w:eastAsia="宋体" w:cs="Times New Roman"/>
                      <w:strike w:val="0"/>
                      <w:dstrike w:val="0"/>
                      <w:color w:val="auto"/>
                      <w:kern w:val="2"/>
                      <w:sz w:val="18"/>
                      <w:szCs w:val="18"/>
                      <w:highlight w:val="none"/>
                      <w:lang w:val="en-US" w:eastAsia="zh-CN" w:bidi="ar-SA"/>
                    </w:rPr>
                  </w:pPr>
                  <w:r>
                    <w:rPr>
                      <w:rFonts w:hint="eastAsia" w:ascii="Times New Roman" w:hAnsi="Times New Roman" w:eastAsia="宋体" w:cs="Times New Roman"/>
                      <w:strike w:val="0"/>
                      <w:dstrike w:val="0"/>
                      <w:color w:val="auto"/>
                      <w:sz w:val="18"/>
                      <w:szCs w:val="18"/>
                      <w:highlight w:val="none"/>
                      <w:lang w:val="en-US" w:eastAsia="zh-CN"/>
                    </w:rPr>
                    <w:t>居民</w:t>
                  </w:r>
                </w:p>
              </w:tc>
              <w:tc>
                <w:tcPr>
                  <w:tcW w:w="499" w:type="pct"/>
                  <w:tcBorders>
                    <w:top w:val="single" w:color="auto" w:sz="4" w:space="0"/>
                    <w:left w:val="single" w:color="auto" w:sz="4" w:space="0"/>
                    <w:bottom w:val="single" w:color="auto" w:sz="4" w:space="0"/>
                    <w:right w:val="single" w:color="auto" w:sz="4" w:space="0"/>
                  </w:tcBorders>
                  <w:shd w:val="clear" w:color="auto" w:fill="auto"/>
                  <w:noWrap w:val="0"/>
                  <w:vAlign w:val="center"/>
                </w:tcPr>
                <w:p w14:paraId="60219C44">
                  <w:pPr>
                    <w:keepNext w:val="0"/>
                    <w:keepLines w:val="0"/>
                    <w:widowControl/>
                    <w:suppressLineNumbers w:val="0"/>
                    <w:adjustRightInd w:val="0"/>
                    <w:snapToGrid w:val="0"/>
                    <w:spacing w:before="0" w:beforeAutospacing="0" w:after="0" w:afterAutospacing="0" w:line="276" w:lineRule="auto"/>
                    <w:ind w:left="0" w:right="0"/>
                    <w:jc w:val="center"/>
                    <w:rPr>
                      <w:rFonts w:hint="eastAsia" w:ascii="Times New Roman" w:hAnsi="Times New Roman" w:eastAsia="宋体" w:cs="Times New Roman"/>
                      <w:strike w:val="0"/>
                      <w:dstrike w:val="0"/>
                      <w:color w:val="auto"/>
                      <w:kern w:val="2"/>
                      <w:sz w:val="18"/>
                      <w:szCs w:val="18"/>
                      <w:highlight w:val="none"/>
                      <w:lang w:val="en-US" w:eastAsia="zh-CN" w:bidi="ar-SA"/>
                    </w:rPr>
                  </w:pPr>
                  <w:r>
                    <w:rPr>
                      <w:rFonts w:hint="eastAsia" w:ascii="Times New Roman" w:hAnsi="Times New Roman" w:eastAsia="宋体" w:cs="Times New Roman"/>
                      <w:strike w:val="0"/>
                      <w:dstrike w:val="0"/>
                      <w:color w:val="auto"/>
                      <w:sz w:val="18"/>
                      <w:szCs w:val="18"/>
                      <w:highlight w:val="none"/>
                      <w:lang w:val="en-US" w:eastAsia="zh-CN"/>
                    </w:rPr>
                    <w:t>二类</w:t>
                  </w:r>
                </w:p>
              </w:tc>
              <w:tc>
                <w:tcPr>
                  <w:tcW w:w="453" w:type="pct"/>
                  <w:tcBorders>
                    <w:top w:val="single" w:color="auto" w:sz="4" w:space="0"/>
                    <w:left w:val="single" w:color="auto" w:sz="4" w:space="0"/>
                    <w:bottom w:val="single" w:color="auto" w:sz="4" w:space="0"/>
                    <w:right w:val="single" w:color="auto" w:sz="4" w:space="0"/>
                  </w:tcBorders>
                  <w:shd w:val="clear" w:color="auto" w:fill="auto"/>
                  <w:noWrap w:val="0"/>
                  <w:vAlign w:val="center"/>
                </w:tcPr>
                <w:p w14:paraId="1C93749C">
                  <w:pPr>
                    <w:keepNext w:val="0"/>
                    <w:keepLines w:val="0"/>
                    <w:widowControl/>
                    <w:suppressLineNumbers w:val="0"/>
                    <w:adjustRightInd w:val="0"/>
                    <w:snapToGrid w:val="0"/>
                    <w:spacing w:before="0" w:beforeAutospacing="0" w:after="0" w:afterAutospacing="0" w:line="276" w:lineRule="auto"/>
                    <w:ind w:left="0" w:right="0"/>
                    <w:jc w:val="center"/>
                    <w:rPr>
                      <w:rFonts w:hint="default" w:ascii="Times New Roman" w:hAnsi="Times New Roman" w:eastAsia="宋体" w:cs="Times New Roman"/>
                      <w:strike w:val="0"/>
                      <w:dstrike w:val="0"/>
                      <w:color w:val="auto"/>
                      <w:kern w:val="2"/>
                      <w:sz w:val="18"/>
                      <w:szCs w:val="18"/>
                      <w:highlight w:val="none"/>
                      <w:lang w:val="en-US" w:eastAsia="zh-CN" w:bidi="ar-SA"/>
                    </w:rPr>
                  </w:pPr>
                  <w:r>
                    <w:rPr>
                      <w:rFonts w:hint="eastAsia" w:ascii="Times New Roman" w:hAnsi="Times New Roman" w:eastAsia="宋体" w:cs="Times New Roman"/>
                      <w:strike w:val="0"/>
                      <w:dstrike w:val="0"/>
                      <w:color w:val="auto"/>
                      <w:kern w:val="2"/>
                      <w:sz w:val="18"/>
                      <w:szCs w:val="18"/>
                      <w:highlight w:val="none"/>
                      <w:lang w:val="en-US" w:eastAsia="zh-CN" w:bidi="ar-SA"/>
                    </w:rPr>
                    <w:t>西北</w:t>
                  </w:r>
                </w:p>
              </w:tc>
              <w:tc>
                <w:tcPr>
                  <w:tcW w:w="551" w:type="pct"/>
                  <w:tcBorders>
                    <w:top w:val="single" w:color="auto" w:sz="4" w:space="0"/>
                    <w:left w:val="single" w:color="auto" w:sz="4" w:space="0"/>
                    <w:bottom w:val="single" w:color="auto" w:sz="4" w:space="0"/>
                    <w:right w:val="single" w:color="auto" w:sz="4" w:space="0"/>
                  </w:tcBorders>
                  <w:shd w:val="clear" w:color="auto" w:fill="auto"/>
                  <w:noWrap w:val="0"/>
                  <w:vAlign w:val="center"/>
                </w:tcPr>
                <w:p w14:paraId="4FC2381B">
                  <w:pPr>
                    <w:keepNext w:val="0"/>
                    <w:keepLines w:val="0"/>
                    <w:widowControl/>
                    <w:suppressLineNumbers w:val="0"/>
                    <w:adjustRightInd w:val="0"/>
                    <w:snapToGrid w:val="0"/>
                    <w:spacing w:before="0" w:beforeAutospacing="0" w:after="0" w:afterAutospacing="0" w:line="276" w:lineRule="auto"/>
                    <w:ind w:left="0" w:right="0"/>
                    <w:jc w:val="center"/>
                    <w:rPr>
                      <w:rFonts w:hint="default" w:ascii="Times New Roman" w:hAnsi="Times New Roman" w:eastAsia="宋体" w:cs="Times New Roman"/>
                      <w:strike w:val="0"/>
                      <w:dstrike w:val="0"/>
                      <w:color w:val="auto"/>
                      <w:kern w:val="2"/>
                      <w:sz w:val="18"/>
                      <w:szCs w:val="18"/>
                      <w:highlight w:val="none"/>
                      <w:lang w:val="en-US" w:eastAsia="zh-CN" w:bidi="ar-SA"/>
                    </w:rPr>
                  </w:pPr>
                  <w:r>
                    <w:rPr>
                      <w:rFonts w:hint="eastAsia" w:ascii="Times New Roman" w:hAnsi="Times New Roman" w:eastAsia="宋体" w:cs="Times New Roman"/>
                      <w:strike w:val="0"/>
                      <w:dstrike w:val="0"/>
                      <w:color w:val="auto"/>
                      <w:kern w:val="2"/>
                      <w:sz w:val="18"/>
                      <w:szCs w:val="18"/>
                      <w:highlight w:val="none"/>
                      <w:lang w:val="en-US" w:eastAsia="zh-CN" w:bidi="ar-SA"/>
                    </w:rPr>
                    <w:t>3140</w:t>
                  </w:r>
                </w:p>
              </w:tc>
            </w:tr>
            <w:tr w14:paraId="56FAECE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40" w:hRule="atLeast"/>
                <w:jc w:val="center"/>
              </w:trPr>
              <w:tc>
                <w:tcPr>
                  <w:tcW w:w="366" w:type="pct"/>
                  <w:tcBorders>
                    <w:left w:val="single" w:color="auto" w:sz="4" w:space="0"/>
                    <w:right w:val="single" w:color="auto" w:sz="4" w:space="0"/>
                  </w:tcBorders>
                  <w:noWrap w:val="0"/>
                  <w:vAlign w:val="center"/>
                </w:tcPr>
                <w:p w14:paraId="03182AB6">
                  <w:pPr>
                    <w:keepNext w:val="0"/>
                    <w:keepLines w:val="0"/>
                    <w:widowControl/>
                    <w:suppressLineNumbers w:val="0"/>
                    <w:adjustRightInd w:val="0"/>
                    <w:snapToGrid w:val="0"/>
                    <w:spacing w:before="0" w:beforeAutospacing="0" w:after="0" w:afterAutospacing="0" w:line="276" w:lineRule="auto"/>
                    <w:ind w:left="0" w:right="0"/>
                    <w:jc w:val="center"/>
                    <w:rPr>
                      <w:rFonts w:hint="default" w:ascii="Times New Roman" w:hAnsi="Times New Roman" w:eastAsia="宋体" w:cs="Times New Roman"/>
                      <w:strike w:val="0"/>
                      <w:dstrike w:val="0"/>
                      <w:color w:val="auto"/>
                      <w:sz w:val="18"/>
                      <w:szCs w:val="18"/>
                      <w:highlight w:val="none"/>
                      <w:lang w:val="en-US" w:eastAsia="zh-CN"/>
                    </w:rPr>
                  </w:pPr>
                  <w:r>
                    <w:rPr>
                      <w:rFonts w:hint="eastAsia" w:ascii="Times New Roman" w:hAnsi="Times New Roman" w:eastAsia="宋体" w:cs="Times New Roman"/>
                      <w:strike w:val="0"/>
                      <w:dstrike w:val="0"/>
                      <w:color w:val="auto"/>
                      <w:sz w:val="18"/>
                      <w:szCs w:val="18"/>
                      <w:highlight w:val="none"/>
                      <w:lang w:val="en-US" w:eastAsia="zh-CN"/>
                    </w:rPr>
                    <w:t>43</w:t>
                  </w:r>
                </w:p>
              </w:tc>
              <w:tc>
                <w:tcPr>
                  <w:tcW w:w="1071" w:type="pct"/>
                  <w:tcBorders>
                    <w:top w:val="single" w:color="auto" w:sz="4" w:space="0"/>
                    <w:left w:val="single" w:color="auto" w:sz="4" w:space="0"/>
                    <w:bottom w:val="single" w:color="auto" w:sz="4" w:space="0"/>
                    <w:right w:val="single" w:color="auto" w:sz="4" w:space="0"/>
                  </w:tcBorders>
                  <w:shd w:val="clear" w:color="auto" w:fill="auto"/>
                  <w:noWrap w:val="0"/>
                  <w:vAlign w:val="center"/>
                </w:tcPr>
                <w:p w14:paraId="0D9150F8">
                  <w:pPr>
                    <w:keepNext w:val="0"/>
                    <w:keepLines w:val="0"/>
                    <w:widowControl/>
                    <w:suppressLineNumbers w:val="0"/>
                    <w:adjustRightInd w:val="0"/>
                    <w:snapToGrid w:val="0"/>
                    <w:spacing w:before="0" w:beforeAutospacing="0" w:after="0" w:afterAutospacing="0" w:line="276" w:lineRule="auto"/>
                    <w:ind w:left="0" w:right="0"/>
                    <w:jc w:val="center"/>
                    <w:rPr>
                      <w:rFonts w:hint="default" w:ascii="Times New Roman" w:hAnsi="Times New Roman" w:eastAsia="宋体" w:cs="Times New Roman"/>
                      <w:strike w:val="0"/>
                      <w:dstrike w:val="0"/>
                      <w:color w:val="auto"/>
                      <w:kern w:val="2"/>
                      <w:sz w:val="18"/>
                      <w:szCs w:val="18"/>
                      <w:highlight w:val="none"/>
                      <w:lang w:val="en-US" w:eastAsia="zh-CN" w:bidi="ar-SA"/>
                    </w:rPr>
                  </w:pPr>
                  <w:r>
                    <w:rPr>
                      <w:rFonts w:hint="eastAsia" w:ascii="Times New Roman" w:hAnsi="Times New Roman" w:eastAsia="宋体" w:cs="Times New Roman"/>
                      <w:strike w:val="0"/>
                      <w:dstrike w:val="0"/>
                      <w:color w:val="auto"/>
                      <w:sz w:val="18"/>
                      <w:szCs w:val="18"/>
                      <w:highlight w:val="none"/>
                      <w:lang w:val="en-US" w:eastAsia="zh-CN"/>
                    </w:rPr>
                    <w:t>柴陈村</w:t>
                  </w:r>
                </w:p>
              </w:tc>
              <w:tc>
                <w:tcPr>
                  <w:tcW w:w="527" w:type="pct"/>
                  <w:tcBorders>
                    <w:top w:val="single" w:color="auto" w:sz="4" w:space="0"/>
                    <w:left w:val="single" w:color="auto" w:sz="4" w:space="0"/>
                    <w:bottom w:val="single" w:color="auto" w:sz="4" w:space="0"/>
                    <w:right w:val="single" w:color="auto" w:sz="4" w:space="0"/>
                  </w:tcBorders>
                  <w:shd w:val="clear" w:color="auto" w:fill="auto"/>
                  <w:noWrap w:val="0"/>
                  <w:vAlign w:val="center"/>
                </w:tcPr>
                <w:p w14:paraId="47FC2307">
                  <w:pPr>
                    <w:keepNext w:val="0"/>
                    <w:keepLines w:val="0"/>
                    <w:widowControl/>
                    <w:suppressLineNumbers w:val="0"/>
                    <w:adjustRightInd w:val="0"/>
                    <w:snapToGrid w:val="0"/>
                    <w:spacing w:before="0" w:beforeAutospacing="0" w:after="0" w:afterAutospacing="0" w:line="276" w:lineRule="auto"/>
                    <w:ind w:left="0" w:right="0"/>
                    <w:jc w:val="center"/>
                    <w:rPr>
                      <w:rFonts w:hint="default" w:ascii="Times New Roman" w:hAnsi="Times New Roman" w:eastAsia="宋体" w:cs="Times New Roman"/>
                      <w:strike w:val="0"/>
                      <w:dstrike w:val="0"/>
                      <w:color w:val="auto"/>
                      <w:kern w:val="2"/>
                      <w:sz w:val="18"/>
                      <w:szCs w:val="18"/>
                      <w:highlight w:val="none"/>
                      <w:lang w:val="en-US" w:eastAsia="zh-CN" w:bidi="ar-SA"/>
                    </w:rPr>
                  </w:pPr>
                  <w:r>
                    <w:rPr>
                      <w:rFonts w:hint="default" w:ascii="Times New Roman" w:hAnsi="Times New Roman" w:eastAsia="宋体" w:cs="Times New Roman"/>
                      <w:strike w:val="0"/>
                      <w:dstrike w:val="0"/>
                      <w:color w:val="auto"/>
                      <w:sz w:val="18"/>
                      <w:szCs w:val="18"/>
                      <w:highlight w:val="none"/>
                    </w:rPr>
                    <w:t>118.8091</w:t>
                  </w:r>
                  <w:r>
                    <w:rPr>
                      <w:rFonts w:hint="eastAsia" w:ascii="Times New Roman" w:hAnsi="Times New Roman" w:eastAsia="宋体" w:cs="Times New Roman"/>
                      <w:strike w:val="0"/>
                      <w:dstrike w:val="0"/>
                      <w:color w:val="auto"/>
                      <w:sz w:val="18"/>
                      <w:szCs w:val="18"/>
                      <w:highlight w:val="none"/>
                      <w:lang w:val="en-US" w:eastAsia="zh-CN"/>
                    </w:rPr>
                    <w:t>60</w:t>
                  </w:r>
                </w:p>
              </w:tc>
              <w:tc>
                <w:tcPr>
                  <w:tcW w:w="564" w:type="pct"/>
                  <w:tcBorders>
                    <w:top w:val="single" w:color="auto" w:sz="4" w:space="0"/>
                    <w:left w:val="single" w:color="auto" w:sz="4" w:space="0"/>
                    <w:bottom w:val="single" w:color="auto" w:sz="4" w:space="0"/>
                    <w:right w:val="single" w:color="auto" w:sz="4" w:space="0"/>
                  </w:tcBorders>
                  <w:shd w:val="clear" w:color="auto" w:fill="auto"/>
                  <w:noWrap w:val="0"/>
                  <w:vAlign w:val="center"/>
                </w:tcPr>
                <w:p w14:paraId="7330E4BC">
                  <w:pPr>
                    <w:keepNext w:val="0"/>
                    <w:keepLines w:val="0"/>
                    <w:widowControl/>
                    <w:suppressLineNumbers w:val="0"/>
                    <w:adjustRightInd w:val="0"/>
                    <w:snapToGrid w:val="0"/>
                    <w:spacing w:before="0" w:beforeAutospacing="0" w:after="0" w:afterAutospacing="0" w:line="276" w:lineRule="auto"/>
                    <w:ind w:left="0" w:right="0"/>
                    <w:jc w:val="center"/>
                    <w:rPr>
                      <w:rFonts w:hint="default" w:ascii="Times New Roman" w:hAnsi="Times New Roman" w:eastAsia="宋体" w:cs="Times New Roman"/>
                      <w:strike w:val="0"/>
                      <w:dstrike w:val="0"/>
                      <w:color w:val="auto"/>
                      <w:kern w:val="2"/>
                      <w:sz w:val="18"/>
                      <w:szCs w:val="18"/>
                      <w:highlight w:val="none"/>
                      <w:lang w:val="en-US" w:eastAsia="zh-CN" w:bidi="ar-SA"/>
                    </w:rPr>
                  </w:pPr>
                  <w:r>
                    <w:rPr>
                      <w:rFonts w:hint="default" w:ascii="Times New Roman" w:hAnsi="Times New Roman" w:eastAsia="宋体" w:cs="Times New Roman"/>
                      <w:strike w:val="0"/>
                      <w:dstrike w:val="0"/>
                      <w:color w:val="auto"/>
                      <w:sz w:val="18"/>
                      <w:szCs w:val="18"/>
                      <w:highlight w:val="none"/>
                    </w:rPr>
                    <w:t>28.974829</w:t>
                  </w:r>
                </w:p>
              </w:tc>
              <w:tc>
                <w:tcPr>
                  <w:tcW w:w="474" w:type="pct"/>
                  <w:tcBorders>
                    <w:top w:val="single" w:color="auto" w:sz="4" w:space="0"/>
                    <w:left w:val="single" w:color="auto" w:sz="4" w:space="0"/>
                    <w:bottom w:val="single" w:color="auto" w:sz="4" w:space="0"/>
                    <w:right w:val="single" w:color="auto" w:sz="4" w:space="0"/>
                  </w:tcBorders>
                  <w:shd w:val="clear" w:color="auto" w:fill="auto"/>
                  <w:noWrap w:val="0"/>
                  <w:vAlign w:val="center"/>
                </w:tcPr>
                <w:p w14:paraId="4E55D16E">
                  <w:pPr>
                    <w:keepNext w:val="0"/>
                    <w:keepLines w:val="0"/>
                    <w:widowControl/>
                    <w:suppressLineNumbers w:val="0"/>
                    <w:adjustRightInd w:val="0"/>
                    <w:snapToGrid w:val="0"/>
                    <w:spacing w:before="0" w:beforeAutospacing="0" w:after="0" w:afterAutospacing="0" w:line="276" w:lineRule="auto"/>
                    <w:ind w:left="0" w:right="0"/>
                    <w:jc w:val="center"/>
                    <w:rPr>
                      <w:rFonts w:hint="eastAsia" w:ascii="Times New Roman" w:hAnsi="Times New Roman" w:eastAsia="宋体" w:cs="Times New Roman"/>
                      <w:strike w:val="0"/>
                      <w:dstrike w:val="0"/>
                      <w:color w:val="auto"/>
                      <w:kern w:val="2"/>
                      <w:sz w:val="18"/>
                      <w:szCs w:val="18"/>
                      <w:highlight w:val="none"/>
                      <w:lang w:val="en-US" w:eastAsia="zh-CN" w:bidi="ar-SA"/>
                    </w:rPr>
                  </w:pPr>
                  <w:r>
                    <w:rPr>
                      <w:rFonts w:hint="eastAsia" w:ascii="Times New Roman" w:hAnsi="Times New Roman" w:eastAsia="宋体" w:cs="Times New Roman"/>
                      <w:strike w:val="0"/>
                      <w:dstrike w:val="0"/>
                      <w:color w:val="auto"/>
                      <w:sz w:val="18"/>
                      <w:szCs w:val="18"/>
                      <w:highlight w:val="none"/>
                      <w:lang w:val="en-US" w:eastAsia="zh-CN"/>
                    </w:rPr>
                    <w:t>居住区</w:t>
                  </w:r>
                </w:p>
              </w:tc>
              <w:tc>
                <w:tcPr>
                  <w:tcW w:w="490" w:type="pct"/>
                  <w:tcBorders>
                    <w:top w:val="single" w:color="auto" w:sz="4" w:space="0"/>
                    <w:left w:val="single" w:color="auto" w:sz="4" w:space="0"/>
                    <w:bottom w:val="single" w:color="auto" w:sz="4" w:space="0"/>
                    <w:right w:val="single" w:color="auto" w:sz="4" w:space="0"/>
                  </w:tcBorders>
                  <w:shd w:val="clear" w:color="auto" w:fill="auto"/>
                  <w:noWrap w:val="0"/>
                  <w:vAlign w:val="center"/>
                </w:tcPr>
                <w:p w14:paraId="424352D7">
                  <w:pPr>
                    <w:keepNext w:val="0"/>
                    <w:keepLines w:val="0"/>
                    <w:widowControl/>
                    <w:suppressLineNumbers w:val="0"/>
                    <w:adjustRightInd w:val="0"/>
                    <w:snapToGrid w:val="0"/>
                    <w:spacing w:before="0" w:beforeAutospacing="0" w:after="0" w:afterAutospacing="0" w:line="276" w:lineRule="auto"/>
                    <w:ind w:left="0" w:right="0"/>
                    <w:jc w:val="center"/>
                    <w:rPr>
                      <w:rFonts w:hint="eastAsia" w:ascii="Times New Roman" w:hAnsi="Times New Roman" w:eastAsia="宋体" w:cs="Times New Roman"/>
                      <w:strike w:val="0"/>
                      <w:dstrike w:val="0"/>
                      <w:color w:val="auto"/>
                      <w:kern w:val="2"/>
                      <w:sz w:val="18"/>
                      <w:szCs w:val="18"/>
                      <w:highlight w:val="none"/>
                      <w:lang w:val="en-US" w:eastAsia="zh-CN" w:bidi="ar-SA"/>
                    </w:rPr>
                  </w:pPr>
                  <w:r>
                    <w:rPr>
                      <w:rFonts w:hint="eastAsia" w:ascii="Times New Roman" w:hAnsi="Times New Roman" w:eastAsia="宋体" w:cs="Times New Roman"/>
                      <w:strike w:val="0"/>
                      <w:dstrike w:val="0"/>
                      <w:color w:val="auto"/>
                      <w:sz w:val="18"/>
                      <w:szCs w:val="18"/>
                      <w:highlight w:val="none"/>
                      <w:lang w:val="en-US" w:eastAsia="zh-CN"/>
                    </w:rPr>
                    <w:t>居民</w:t>
                  </w:r>
                </w:p>
              </w:tc>
              <w:tc>
                <w:tcPr>
                  <w:tcW w:w="499" w:type="pct"/>
                  <w:tcBorders>
                    <w:top w:val="single" w:color="auto" w:sz="4" w:space="0"/>
                    <w:left w:val="single" w:color="auto" w:sz="4" w:space="0"/>
                    <w:bottom w:val="single" w:color="auto" w:sz="4" w:space="0"/>
                    <w:right w:val="single" w:color="auto" w:sz="4" w:space="0"/>
                  </w:tcBorders>
                  <w:shd w:val="clear" w:color="auto" w:fill="auto"/>
                  <w:noWrap w:val="0"/>
                  <w:vAlign w:val="center"/>
                </w:tcPr>
                <w:p w14:paraId="10D9B08B">
                  <w:pPr>
                    <w:keepNext w:val="0"/>
                    <w:keepLines w:val="0"/>
                    <w:widowControl/>
                    <w:suppressLineNumbers w:val="0"/>
                    <w:adjustRightInd w:val="0"/>
                    <w:snapToGrid w:val="0"/>
                    <w:spacing w:before="0" w:beforeAutospacing="0" w:after="0" w:afterAutospacing="0" w:line="276" w:lineRule="auto"/>
                    <w:ind w:left="0" w:right="0"/>
                    <w:jc w:val="center"/>
                    <w:rPr>
                      <w:rFonts w:hint="eastAsia" w:ascii="Times New Roman" w:hAnsi="Times New Roman" w:eastAsia="宋体" w:cs="Times New Roman"/>
                      <w:strike w:val="0"/>
                      <w:dstrike w:val="0"/>
                      <w:color w:val="auto"/>
                      <w:kern w:val="2"/>
                      <w:sz w:val="18"/>
                      <w:szCs w:val="18"/>
                      <w:highlight w:val="none"/>
                      <w:lang w:val="en-US" w:eastAsia="zh-CN" w:bidi="ar-SA"/>
                    </w:rPr>
                  </w:pPr>
                  <w:r>
                    <w:rPr>
                      <w:rFonts w:hint="eastAsia" w:ascii="Times New Roman" w:hAnsi="Times New Roman" w:eastAsia="宋体" w:cs="Times New Roman"/>
                      <w:strike w:val="0"/>
                      <w:dstrike w:val="0"/>
                      <w:color w:val="auto"/>
                      <w:sz w:val="18"/>
                      <w:szCs w:val="18"/>
                      <w:highlight w:val="none"/>
                      <w:lang w:val="en-US" w:eastAsia="zh-CN"/>
                    </w:rPr>
                    <w:t>二类</w:t>
                  </w:r>
                </w:p>
              </w:tc>
              <w:tc>
                <w:tcPr>
                  <w:tcW w:w="453" w:type="pct"/>
                  <w:tcBorders>
                    <w:top w:val="single" w:color="auto" w:sz="4" w:space="0"/>
                    <w:left w:val="single" w:color="auto" w:sz="4" w:space="0"/>
                    <w:bottom w:val="single" w:color="auto" w:sz="4" w:space="0"/>
                    <w:right w:val="single" w:color="auto" w:sz="4" w:space="0"/>
                  </w:tcBorders>
                  <w:shd w:val="clear" w:color="auto" w:fill="auto"/>
                  <w:noWrap w:val="0"/>
                  <w:vAlign w:val="center"/>
                </w:tcPr>
                <w:p w14:paraId="70430826">
                  <w:pPr>
                    <w:keepNext w:val="0"/>
                    <w:keepLines w:val="0"/>
                    <w:widowControl/>
                    <w:suppressLineNumbers w:val="0"/>
                    <w:adjustRightInd w:val="0"/>
                    <w:snapToGrid w:val="0"/>
                    <w:spacing w:before="0" w:beforeAutospacing="0" w:after="0" w:afterAutospacing="0" w:line="276" w:lineRule="auto"/>
                    <w:ind w:left="0" w:right="0"/>
                    <w:jc w:val="center"/>
                    <w:rPr>
                      <w:rFonts w:hint="default" w:ascii="Times New Roman" w:hAnsi="Times New Roman" w:eastAsia="宋体" w:cs="Times New Roman"/>
                      <w:strike w:val="0"/>
                      <w:dstrike w:val="0"/>
                      <w:color w:val="auto"/>
                      <w:kern w:val="2"/>
                      <w:sz w:val="18"/>
                      <w:szCs w:val="18"/>
                      <w:highlight w:val="none"/>
                      <w:lang w:val="en-US" w:eastAsia="zh-CN" w:bidi="ar-SA"/>
                    </w:rPr>
                  </w:pPr>
                  <w:r>
                    <w:rPr>
                      <w:rFonts w:hint="eastAsia" w:ascii="Times New Roman" w:hAnsi="Times New Roman" w:eastAsia="宋体" w:cs="Times New Roman"/>
                      <w:strike w:val="0"/>
                      <w:dstrike w:val="0"/>
                      <w:color w:val="auto"/>
                      <w:kern w:val="2"/>
                      <w:sz w:val="18"/>
                      <w:szCs w:val="18"/>
                      <w:highlight w:val="none"/>
                      <w:lang w:val="en-US" w:eastAsia="zh-CN" w:bidi="ar-SA"/>
                    </w:rPr>
                    <w:t>西北</w:t>
                  </w:r>
                </w:p>
              </w:tc>
              <w:tc>
                <w:tcPr>
                  <w:tcW w:w="551" w:type="pct"/>
                  <w:tcBorders>
                    <w:top w:val="single" w:color="auto" w:sz="4" w:space="0"/>
                    <w:left w:val="single" w:color="auto" w:sz="4" w:space="0"/>
                    <w:bottom w:val="single" w:color="auto" w:sz="4" w:space="0"/>
                    <w:right w:val="single" w:color="auto" w:sz="4" w:space="0"/>
                  </w:tcBorders>
                  <w:shd w:val="clear" w:color="auto" w:fill="auto"/>
                  <w:noWrap w:val="0"/>
                  <w:vAlign w:val="center"/>
                </w:tcPr>
                <w:p w14:paraId="09B657CB">
                  <w:pPr>
                    <w:keepNext w:val="0"/>
                    <w:keepLines w:val="0"/>
                    <w:widowControl/>
                    <w:suppressLineNumbers w:val="0"/>
                    <w:adjustRightInd w:val="0"/>
                    <w:snapToGrid w:val="0"/>
                    <w:spacing w:before="0" w:beforeAutospacing="0" w:after="0" w:afterAutospacing="0" w:line="276" w:lineRule="auto"/>
                    <w:ind w:left="0" w:right="0"/>
                    <w:jc w:val="center"/>
                    <w:rPr>
                      <w:rFonts w:hint="default" w:ascii="Times New Roman" w:hAnsi="Times New Roman" w:eastAsia="宋体" w:cs="Times New Roman"/>
                      <w:strike w:val="0"/>
                      <w:dstrike w:val="0"/>
                      <w:color w:val="auto"/>
                      <w:kern w:val="2"/>
                      <w:sz w:val="18"/>
                      <w:szCs w:val="18"/>
                      <w:highlight w:val="none"/>
                      <w:lang w:val="en-US" w:eastAsia="zh-CN" w:bidi="ar-SA"/>
                    </w:rPr>
                  </w:pPr>
                  <w:r>
                    <w:rPr>
                      <w:rFonts w:hint="eastAsia" w:ascii="Times New Roman" w:hAnsi="Times New Roman" w:eastAsia="宋体" w:cs="Times New Roman"/>
                      <w:strike w:val="0"/>
                      <w:dstrike w:val="0"/>
                      <w:color w:val="auto"/>
                      <w:kern w:val="2"/>
                      <w:sz w:val="18"/>
                      <w:szCs w:val="18"/>
                      <w:highlight w:val="none"/>
                      <w:lang w:val="en-US" w:eastAsia="zh-CN" w:bidi="ar-SA"/>
                    </w:rPr>
                    <w:t>3200</w:t>
                  </w:r>
                </w:p>
              </w:tc>
            </w:tr>
            <w:tr w14:paraId="4D6078B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40" w:hRule="atLeast"/>
                <w:jc w:val="center"/>
              </w:trPr>
              <w:tc>
                <w:tcPr>
                  <w:tcW w:w="366" w:type="pct"/>
                  <w:tcBorders>
                    <w:left w:val="single" w:color="auto" w:sz="4" w:space="0"/>
                    <w:right w:val="single" w:color="auto" w:sz="4" w:space="0"/>
                  </w:tcBorders>
                  <w:noWrap w:val="0"/>
                  <w:vAlign w:val="center"/>
                </w:tcPr>
                <w:p w14:paraId="5EFD9BA3">
                  <w:pPr>
                    <w:keepNext w:val="0"/>
                    <w:keepLines w:val="0"/>
                    <w:widowControl/>
                    <w:suppressLineNumbers w:val="0"/>
                    <w:adjustRightInd w:val="0"/>
                    <w:snapToGrid w:val="0"/>
                    <w:spacing w:before="0" w:beforeAutospacing="0" w:after="0" w:afterAutospacing="0" w:line="276" w:lineRule="auto"/>
                    <w:ind w:left="0" w:right="0"/>
                    <w:jc w:val="center"/>
                    <w:rPr>
                      <w:rFonts w:hint="default" w:ascii="Times New Roman" w:hAnsi="Times New Roman" w:eastAsia="宋体" w:cs="Times New Roman"/>
                      <w:strike w:val="0"/>
                      <w:dstrike w:val="0"/>
                      <w:color w:val="auto"/>
                      <w:sz w:val="18"/>
                      <w:szCs w:val="18"/>
                      <w:highlight w:val="none"/>
                      <w:lang w:val="en-US" w:eastAsia="zh-CN"/>
                    </w:rPr>
                  </w:pPr>
                  <w:r>
                    <w:rPr>
                      <w:rFonts w:hint="eastAsia" w:ascii="Times New Roman" w:hAnsi="Times New Roman" w:eastAsia="宋体" w:cs="Times New Roman"/>
                      <w:strike w:val="0"/>
                      <w:dstrike w:val="0"/>
                      <w:color w:val="auto"/>
                      <w:sz w:val="18"/>
                      <w:szCs w:val="18"/>
                      <w:highlight w:val="none"/>
                      <w:lang w:val="en-US" w:eastAsia="zh-CN"/>
                    </w:rPr>
                    <w:t>44</w:t>
                  </w:r>
                </w:p>
              </w:tc>
              <w:tc>
                <w:tcPr>
                  <w:tcW w:w="1071" w:type="pct"/>
                  <w:tcBorders>
                    <w:top w:val="single" w:color="auto" w:sz="4" w:space="0"/>
                    <w:left w:val="single" w:color="auto" w:sz="4" w:space="0"/>
                    <w:bottom w:val="single" w:color="auto" w:sz="4" w:space="0"/>
                    <w:right w:val="single" w:color="auto" w:sz="4" w:space="0"/>
                  </w:tcBorders>
                  <w:shd w:val="clear" w:color="auto" w:fill="auto"/>
                  <w:noWrap w:val="0"/>
                  <w:vAlign w:val="center"/>
                </w:tcPr>
                <w:p w14:paraId="475F30E7">
                  <w:pPr>
                    <w:keepNext w:val="0"/>
                    <w:keepLines w:val="0"/>
                    <w:widowControl/>
                    <w:suppressLineNumbers w:val="0"/>
                    <w:adjustRightInd w:val="0"/>
                    <w:snapToGrid w:val="0"/>
                    <w:spacing w:before="0" w:beforeAutospacing="0" w:after="0" w:afterAutospacing="0" w:line="276" w:lineRule="auto"/>
                    <w:ind w:left="0" w:right="0"/>
                    <w:jc w:val="center"/>
                    <w:rPr>
                      <w:rFonts w:hint="default" w:ascii="Times New Roman" w:hAnsi="Times New Roman" w:eastAsia="宋体" w:cs="Times New Roman"/>
                      <w:strike w:val="0"/>
                      <w:dstrike w:val="0"/>
                      <w:color w:val="auto"/>
                      <w:kern w:val="2"/>
                      <w:sz w:val="18"/>
                      <w:szCs w:val="18"/>
                      <w:highlight w:val="none"/>
                      <w:lang w:val="en-US" w:eastAsia="zh-CN" w:bidi="ar-SA"/>
                    </w:rPr>
                  </w:pPr>
                  <w:r>
                    <w:rPr>
                      <w:rFonts w:hint="default" w:ascii="Times New Roman" w:hAnsi="Times New Roman" w:eastAsia="宋体" w:cs="Times New Roman"/>
                      <w:strike w:val="0"/>
                      <w:dstrike w:val="0"/>
                      <w:color w:val="auto"/>
                      <w:sz w:val="18"/>
                      <w:szCs w:val="18"/>
                      <w:highlight w:val="none"/>
                      <w:lang w:val="en-US" w:eastAsia="zh-CN"/>
                    </w:rPr>
                    <w:t>西池塘头村</w:t>
                  </w:r>
                </w:p>
              </w:tc>
              <w:tc>
                <w:tcPr>
                  <w:tcW w:w="527" w:type="pct"/>
                  <w:tcBorders>
                    <w:top w:val="single" w:color="auto" w:sz="4" w:space="0"/>
                    <w:left w:val="single" w:color="auto" w:sz="4" w:space="0"/>
                    <w:bottom w:val="single" w:color="auto" w:sz="4" w:space="0"/>
                    <w:right w:val="single" w:color="auto" w:sz="4" w:space="0"/>
                  </w:tcBorders>
                  <w:shd w:val="clear" w:color="auto" w:fill="auto"/>
                  <w:noWrap w:val="0"/>
                  <w:vAlign w:val="center"/>
                </w:tcPr>
                <w:p w14:paraId="4353CE00">
                  <w:pPr>
                    <w:keepNext w:val="0"/>
                    <w:keepLines w:val="0"/>
                    <w:widowControl/>
                    <w:suppressLineNumbers w:val="0"/>
                    <w:adjustRightInd w:val="0"/>
                    <w:snapToGrid w:val="0"/>
                    <w:spacing w:before="0" w:beforeAutospacing="0" w:after="0" w:afterAutospacing="0" w:line="276" w:lineRule="auto"/>
                    <w:ind w:left="0" w:right="0"/>
                    <w:jc w:val="center"/>
                    <w:rPr>
                      <w:rFonts w:hint="default" w:ascii="Times New Roman" w:hAnsi="Times New Roman" w:eastAsia="宋体" w:cs="Times New Roman"/>
                      <w:strike w:val="0"/>
                      <w:dstrike w:val="0"/>
                      <w:color w:val="auto"/>
                      <w:kern w:val="2"/>
                      <w:sz w:val="18"/>
                      <w:szCs w:val="18"/>
                      <w:highlight w:val="none"/>
                      <w:lang w:val="en-US" w:eastAsia="zh-CN" w:bidi="ar-SA"/>
                    </w:rPr>
                  </w:pPr>
                  <w:r>
                    <w:rPr>
                      <w:rFonts w:hint="default" w:ascii="Times New Roman" w:hAnsi="Times New Roman" w:eastAsia="宋体" w:cs="Times New Roman"/>
                      <w:strike w:val="0"/>
                      <w:dstrike w:val="0"/>
                      <w:color w:val="auto"/>
                      <w:sz w:val="18"/>
                      <w:szCs w:val="18"/>
                      <w:highlight w:val="none"/>
                    </w:rPr>
                    <w:t>118.803141</w:t>
                  </w:r>
                </w:p>
              </w:tc>
              <w:tc>
                <w:tcPr>
                  <w:tcW w:w="564" w:type="pct"/>
                  <w:tcBorders>
                    <w:top w:val="single" w:color="auto" w:sz="4" w:space="0"/>
                    <w:left w:val="single" w:color="auto" w:sz="4" w:space="0"/>
                    <w:bottom w:val="single" w:color="auto" w:sz="4" w:space="0"/>
                    <w:right w:val="single" w:color="auto" w:sz="4" w:space="0"/>
                  </w:tcBorders>
                  <w:shd w:val="clear" w:color="auto" w:fill="auto"/>
                  <w:noWrap w:val="0"/>
                  <w:vAlign w:val="center"/>
                </w:tcPr>
                <w:p w14:paraId="3EE6D6A9">
                  <w:pPr>
                    <w:keepNext w:val="0"/>
                    <w:keepLines w:val="0"/>
                    <w:widowControl/>
                    <w:suppressLineNumbers w:val="0"/>
                    <w:adjustRightInd w:val="0"/>
                    <w:snapToGrid w:val="0"/>
                    <w:spacing w:before="0" w:beforeAutospacing="0" w:after="0" w:afterAutospacing="0" w:line="276" w:lineRule="auto"/>
                    <w:ind w:left="0" w:right="0"/>
                    <w:jc w:val="center"/>
                    <w:rPr>
                      <w:rFonts w:hint="default" w:ascii="Times New Roman" w:hAnsi="Times New Roman" w:eastAsia="宋体" w:cs="Times New Roman"/>
                      <w:strike w:val="0"/>
                      <w:dstrike w:val="0"/>
                      <w:color w:val="auto"/>
                      <w:kern w:val="2"/>
                      <w:sz w:val="18"/>
                      <w:szCs w:val="18"/>
                      <w:highlight w:val="none"/>
                      <w:lang w:val="en-US" w:eastAsia="zh-CN" w:bidi="ar-SA"/>
                    </w:rPr>
                  </w:pPr>
                  <w:r>
                    <w:rPr>
                      <w:rFonts w:hint="default" w:ascii="Times New Roman" w:hAnsi="Times New Roman" w:eastAsia="宋体" w:cs="Times New Roman"/>
                      <w:strike w:val="0"/>
                      <w:dstrike w:val="0"/>
                      <w:color w:val="auto"/>
                      <w:sz w:val="18"/>
                      <w:szCs w:val="18"/>
                      <w:highlight w:val="none"/>
                    </w:rPr>
                    <w:t>28.974</w:t>
                  </w:r>
                  <w:r>
                    <w:rPr>
                      <w:rFonts w:hint="eastAsia" w:ascii="Times New Roman" w:hAnsi="Times New Roman" w:eastAsia="宋体" w:cs="Times New Roman"/>
                      <w:strike w:val="0"/>
                      <w:dstrike w:val="0"/>
                      <w:color w:val="auto"/>
                      <w:sz w:val="18"/>
                      <w:szCs w:val="18"/>
                      <w:highlight w:val="none"/>
                      <w:lang w:val="en-US" w:eastAsia="zh-CN"/>
                    </w:rPr>
                    <w:t>100</w:t>
                  </w:r>
                </w:p>
              </w:tc>
              <w:tc>
                <w:tcPr>
                  <w:tcW w:w="474" w:type="pct"/>
                  <w:tcBorders>
                    <w:top w:val="single" w:color="auto" w:sz="4" w:space="0"/>
                    <w:left w:val="single" w:color="auto" w:sz="4" w:space="0"/>
                    <w:bottom w:val="single" w:color="auto" w:sz="4" w:space="0"/>
                    <w:right w:val="single" w:color="auto" w:sz="4" w:space="0"/>
                  </w:tcBorders>
                  <w:shd w:val="clear" w:color="auto" w:fill="auto"/>
                  <w:noWrap w:val="0"/>
                  <w:vAlign w:val="center"/>
                </w:tcPr>
                <w:p w14:paraId="1065DBD8">
                  <w:pPr>
                    <w:keepNext w:val="0"/>
                    <w:keepLines w:val="0"/>
                    <w:widowControl/>
                    <w:suppressLineNumbers w:val="0"/>
                    <w:adjustRightInd w:val="0"/>
                    <w:snapToGrid w:val="0"/>
                    <w:spacing w:before="0" w:beforeAutospacing="0" w:after="0" w:afterAutospacing="0" w:line="276" w:lineRule="auto"/>
                    <w:ind w:left="0" w:right="0"/>
                    <w:jc w:val="center"/>
                    <w:rPr>
                      <w:rFonts w:hint="eastAsia" w:ascii="Times New Roman" w:hAnsi="Times New Roman" w:eastAsia="宋体" w:cs="Times New Roman"/>
                      <w:strike w:val="0"/>
                      <w:dstrike w:val="0"/>
                      <w:color w:val="auto"/>
                      <w:kern w:val="2"/>
                      <w:sz w:val="18"/>
                      <w:szCs w:val="18"/>
                      <w:highlight w:val="none"/>
                      <w:lang w:val="en-US" w:eastAsia="zh-CN" w:bidi="ar-SA"/>
                    </w:rPr>
                  </w:pPr>
                  <w:r>
                    <w:rPr>
                      <w:rFonts w:hint="eastAsia" w:ascii="Times New Roman" w:hAnsi="Times New Roman" w:eastAsia="宋体" w:cs="Times New Roman"/>
                      <w:strike w:val="0"/>
                      <w:dstrike w:val="0"/>
                      <w:color w:val="auto"/>
                      <w:sz w:val="18"/>
                      <w:szCs w:val="18"/>
                      <w:highlight w:val="none"/>
                      <w:lang w:val="en-US" w:eastAsia="zh-CN"/>
                    </w:rPr>
                    <w:t>居住区</w:t>
                  </w:r>
                </w:p>
              </w:tc>
              <w:tc>
                <w:tcPr>
                  <w:tcW w:w="490" w:type="pct"/>
                  <w:tcBorders>
                    <w:top w:val="single" w:color="auto" w:sz="4" w:space="0"/>
                    <w:left w:val="single" w:color="auto" w:sz="4" w:space="0"/>
                    <w:bottom w:val="single" w:color="auto" w:sz="4" w:space="0"/>
                    <w:right w:val="single" w:color="auto" w:sz="4" w:space="0"/>
                  </w:tcBorders>
                  <w:shd w:val="clear" w:color="auto" w:fill="auto"/>
                  <w:noWrap w:val="0"/>
                  <w:vAlign w:val="center"/>
                </w:tcPr>
                <w:p w14:paraId="1CF48DBA">
                  <w:pPr>
                    <w:keepNext w:val="0"/>
                    <w:keepLines w:val="0"/>
                    <w:widowControl/>
                    <w:suppressLineNumbers w:val="0"/>
                    <w:adjustRightInd w:val="0"/>
                    <w:snapToGrid w:val="0"/>
                    <w:spacing w:before="0" w:beforeAutospacing="0" w:after="0" w:afterAutospacing="0" w:line="276" w:lineRule="auto"/>
                    <w:ind w:left="0" w:right="0"/>
                    <w:jc w:val="center"/>
                    <w:rPr>
                      <w:rFonts w:hint="eastAsia" w:ascii="Times New Roman" w:hAnsi="Times New Roman" w:eastAsia="宋体" w:cs="Times New Roman"/>
                      <w:strike w:val="0"/>
                      <w:dstrike w:val="0"/>
                      <w:color w:val="auto"/>
                      <w:kern w:val="2"/>
                      <w:sz w:val="18"/>
                      <w:szCs w:val="18"/>
                      <w:highlight w:val="none"/>
                      <w:lang w:val="en-US" w:eastAsia="zh-CN" w:bidi="ar-SA"/>
                    </w:rPr>
                  </w:pPr>
                  <w:r>
                    <w:rPr>
                      <w:rFonts w:hint="eastAsia" w:ascii="Times New Roman" w:hAnsi="Times New Roman" w:eastAsia="宋体" w:cs="Times New Roman"/>
                      <w:strike w:val="0"/>
                      <w:dstrike w:val="0"/>
                      <w:color w:val="auto"/>
                      <w:sz w:val="18"/>
                      <w:szCs w:val="18"/>
                      <w:highlight w:val="none"/>
                      <w:lang w:val="en-US" w:eastAsia="zh-CN"/>
                    </w:rPr>
                    <w:t>居民</w:t>
                  </w:r>
                </w:p>
              </w:tc>
              <w:tc>
                <w:tcPr>
                  <w:tcW w:w="499" w:type="pct"/>
                  <w:tcBorders>
                    <w:top w:val="single" w:color="auto" w:sz="4" w:space="0"/>
                    <w:left w:val="single" w:color="auto" w:sz="4" w:space="0"/>
                    <w:bottom w:val="single" w:color="auto" w:sz="4" w:space="0"/>
                    <w:right w:val="single" w:color="auto" w:sz="4" w:space="0"/>
                  </w:tcBorders>
                  <w:shd w:val="clear" w:color="auto" w:fill="auto"/>
                  <w:noWrap w:val="0"/>
                  <w:vAlign w:val="center"/>
                </w:tcPr>
                <w:p w14:paraId="7731DA21">
                  <w:pPr>
                    <w:keepNext w:val="0"/>
                    <w:keepLines w:val="0"/>
                    <w:widowControl/>
                    <w:suppressLineNumbers w:val="0"/>
                    <w:adjustRightInd w:val="0"/>
                    <w:snapToGrid w:val="0"/>
                    <w:spacing w:before="0" w:beforeAutospacing="0" w:after="0" w:afterAutospacing="0" w:line="276" w:lineRule="auto"/>
                    <w:ind w:left="0" w:right="0"/>
                    <w:jc w:val="center"/>
                    <w:rPr>
                      <w:rFonts w:hint="eastAsia" w:ascii="Times New Roman" w:hAnsi="Times New Roman" w:eastAsia="宋体" w:cs="Times New Roman"/>
                      <w:strike w:val="0"/>
                      <w:dstrike w:val="0"/>
                      <w:color w:val="auto"/>
                      <w:kern w:val="2"/>
                      <w:sz w:val="18"/>
                      <w:szCs w:val="18"/>
                      <w:highlight w:val="none"/>
                      <w:lang w:val="en-US" w:eastAsia="zh-CN" w:bidi="ar-SA"/>
                    </w:rPr>
                  </w:pPr>
                  <w:r>
                    <w:rPr>
                      <w:rFonts w:hint="eastAsia" w:ascii="Times New Roman" w:hAnsi="Times New Roman" w:eastAsia="宋体" w:cs="Times New Roman"/>
                      <w:strike w:val="0"/>
                      <w:dstrike w:val="0"/>
                      <w:color w:val="auto"/>
                      <w:sz w:val="18"/>
                      <w:szCs w:val="18"/>
                      <w:highlight w:val="none"/>
                      <w:lang w:val="en-US" w:eastAsia="zh-CN"/>
                    </w:rPr>
                    <w:t>二类</w:t>
                  </w:r>
                </w:p>
              </w:tc>
              <w:tc>
                <w:tcPr>
                  <w:tcW w:w="453" w:type="pct"/>
                  <w:tcBorders>
                    <w:top w:val="single" w:color="auto" w:sz="4" w:space="0"/>
                    <w:left w:val="single" w:color="auto" w:sz="4" w:space="0"/>
                    <w:bottom w:val="single" w:color="auto" w:sz="4" w:space="0"/>
                    <w:right w:val="single" w:color="auto" w:sz="4" w:space="0"/>
                  </w:tcBorders>
                  <w:shd w:val="clear" w:color="auto" w:fill="auto"/>
                  <w:noWrap w:val="0"/>
                  <w:vAlign w:val="center"/>
                </w:tcPr>
                <w:p w14:paraId="2A9B3C35">
                  <w:pPr>
                    <w:keepNext w:val="0"/>
                    <w:keepLines w:val="0"/>
                    <w:widowControl/>
                    <w:suppressLineNumbers w:val="0"/>
                    <w:adjustRightInd w:val="0"/>
                    <w:snapToGrid w:val="0"/>
                    <w:spacing w:before="0" w:beforeAutospacing="0" w:after="0" w:afterAutospacing="0" w:line="276" w:lineRule="auto"/>
                    <w:ind w:left="0" w:right="0"/>
                    <w:jc w:val="center"/>
                    <w:rPr>
                      <w:rFonts w:hint="default" w:ascii="Times New Roman" w:hAnsi="Times New Roman" w:eastAsia="宋体" w:cs="Times New Roman"/>
                      <w:strike w:val="0"/>
                      <w:dstrike w:val="0"/>
                      <w:color w:val="auto"/>
                      <w:kern w:val="2"/>
                      <w:sz w:val="18"/>
                      <w:szCs w:val="18"/>
                      <w:highlight w:val="none"/>
                      <w:lang w:val="en-US" w:eastAsia="zh-CN" w:bidi="ar-SA"/>
                    </w:rPr>
                  </w:pPr>
                  <w:r>
                    <w:rPr>
                      <w:rFonts w:hint="eastAsia" w:ascii="Times New Roman" w:hAnsi="Times New Roman" w:eastAsia="宋体" w:cs="Times New Roman"/>
                      <w:strike w:val="0"/>
                      <w:dstrike w:val="0"/>
                      <w:color w:val="auto"/>
                      <w:kern w:val="2"/>
                      <w:sz w:val="18"/>
                      <w:szCs w:val="18"/>
                      <w:highlight w:val="none"/>
                      <w:lang w:val="en-US" w:eastAsia="zh-CN" w:bidi="ar-SA"/>
                    </w:rPr>
                    <w:t>西北</w:t>
                  </w:r>
                </w:p>
              </w:tc>
              <w:tc>
                <w:tcPr>
                  <w:tcW w:w="551" w:type="pct"/>
                  <w:tcBorders>
                    <w:top w:val="single" w:color="auto" w:sz="4" w:space="0"/>
                    <w:left w:val="single" w:color="auto" w:sz="4" w:space="0"/>
                    <w:bottom w:val="single" w:color="auto" w:sz="4" w:space="0"/>
                    <w:right w:val="single" w:color="auto" w:sz="4" w:space="0"/>
                  </w:tcBorders>
                  <w:shd w:val="clear" w:color="auto" w:fill="auto"/>
                  <w:noWrap w:val="0"/>
                  <w:vAlign w:val="center"/>
                </w:tcPr>
                <w:p w14:paraId="32762E6F">
                  <w:pPr>
                    <w:keepNext w:val="0"/>
                    <w:keepLines w:val="0"/>
                    <w:widowControl/>
                    <w:suppressLineNumbers w:val="0"/>
                    <w:adjustRightInd w:val="0"/>
                    <w:snapToGrid w:val="0"/>
                    <w:spacing w:before="0" w:beforeAutospacing="0" w:after="0" w:afterAutospacing="0" w:line="276" w:lineRule="auto"/>
                    <w:ind w:left="0" w:right="0"/>
                    <w:jc w:val="center"/>
                    <w:rPr>
                      <w:rFonts w:hint="default" w:ascii="Times New Roman" w:hAnsi="Times New Roman" w:eastAsia="宋体" w:cs="Times New Roman"/>
                      <w:strike w:val="0"/>
                      <w:dstrike w:val="0"/>
                      <w:color w:val="auto"/>
                      <w:kern w:val="2"/>
                      <w:sz w:val="18"/>
                      <w:szCs w:val="18"/>
                      <w:highlight w:val="none"/>
                      <w:lang w:val="en-US" w:eastAsia="zh-CN" w:bidi="ar-SA"/>
                    </w:rPr>
                  </w:pPr>
                  <w:r>
                    <w:rPr>
                      <w:rFonts w:hint="eastAsia" w:ascii="Times New Roman" w:hAnsi="Times New Roman" w:eastAsia="宋体" w:cs="Times New Roman"/>
                      <w:strike w:val="0"/>
                      <w:dstrike w:val="0"/>
                      <w:color w:val="auto"/>
                      <w:kern w:val="2"/>
                      <w:sz w:val="18"/>
                      <w:szCs w:val="18"/>
                      <w:highlight w:val="none"/>
                      <w:lang w:val="en-US" w:eastAsia="zh-CN" w:bidi="ar-SA"/>
                    </w:rPr>
                    <w:t>3600</w:t>
                  </w:r>
                </w:p>
              </w:tc>
            </w:tr>
            <w:tr w14:paraId="0EDE424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40" w:hRule="atLeast"/>
                <w:jc w:val="center"/>
              </w:trPr>
              <w:tc>
                <w:tcPr>
                  <w:tcW w:w="366" w:type="pct"/>
                  <w:tcBorders>
                    <w:left w:val="single" w:color="auto" w:sz="4" w:space="0"/>
                    <w:right w:val="single" w:color="auto" w:sz="4" w:space="0"/>
                  </w:tcBorders>
                  <w:noWrap w:val="0"/>
                  <w:vAlign w:val="center"/>
                </w:tcPr>
                <w:p w14:paraId="42583B8E">
                  <w:pPr>
                    <w:keepNext w:val="0"/>
                    <w:keepLines w:val="0"/>
                    <w:widowControl/>
                    <w:suppressLineNumbers w:val="0"/>
                    <w:adjustRightInd w:val="0"/>
                    <w:snapToGrid w:val="0"/>
                    <w:spacing w:before="0" w:beforeAutospacing="0" w:after="0" w:afterAutospacing="0" w:line="276" w:lineRule="auto"/>
                    <w:ind w:left="0" w:right="0"/>
                    <w:jc w:val="center"/>
                    <w:rPr>
                      <w:rFonts w:hint="default" w:ascii="Times New Roman" w:hAnsi="Times New Roman" w:eastAsia="宋体" w:cs="Times New Roman"/>
                      <w:strike w:val="0"/>
                      <w:dstrike w:val="0"/>
                      <w:color w:val="auto"/>
                      <w:sz w:val="18"/>
                      <w:szCs w:val="18"/>
                      <w:highlight w:val="none"/>
                      <w:lang w:val="en-US" w:eastAsia="zh-CN"/>
                    </w:rPr>
                  </w:pPr>
                  <w:r>
                    <w:rPr>
                      <w:rFonts w:hint="eastAsia" w:ascii="Times New Roman" w:hAnsi="Times New Roman" w:eastAsia="宋体" w:cs="Times New Roman"/>
                      <w:strike w:val="0"/>
                      <w:dstrike w:val="0"/>
                      <w:color w:val="auto"/>
                      <w:sz w:val="18"/>
                      <w:szCs w:val="18"/>
                      <w:highlight w:val="none"/>
                      <w:lang w:val="en-US" w:eastAsia="zh-CN"/>
                    </w:rPr>
                    <w:t>45</w:t>
                  </w:r>
                </w:p>
              </w:tc>
              <w:tc>
                <w:tcPr>
                  <w:tcW w:w="1071" w:type="pct"/>
                  <w:tcBorders>
                    <w:top w:val="single" w:color="auto" w:sz="4" w:space="0"/>
                    <w:left w:val="single" w:color="auto" w:sz="4" w:space="0"/>
                    <w:bottom w:val="single" w:color="auto" w:sz="4" w:space="0"/>
                    <w:right w:val="single" w:color="auto" w:sz="4" w:space="0"/>
                  </w:tcBorders>
                  <w:shd w:val="clear" w:color="auto" w:fill="auto"/>
                  <w:noWrap w:val="0"/>
                  <w:vAlign w:val="center"/>
                </w:tcPr>
                <w:p w14:paraId="22CE8787">
                  <w:pPr>
                    <w:keepNext w:val="0"/>
                    <w:keepLines w:val="0"/>
                    <w:widowControl/>
                    <w:suppressLineNumbers w:val="0"/>
                    <w:adjustRightInd w:val="0"/>
                    <w:snapToGrid w:val="0"/>
                    <w:spacing w:before="0" w:beforeAutospacing="0" w:after="0" w:afterAutospacing="0" w:line="276" w:lineRule="auto"/>
                    <w:ind w:left="0" w:right="0"/>
                    <w:jc w:val="center"/>
                    <w:rPr>
                      <w:rFonts w:hint="default" w:ascii="Times New Roman" w:hAnsi="Times New Roman" w:eastAsia="宋体" w:cs="Times New Roman"/>
                      <w:strike w:val="0"/>
                      <w:dstrike w:val="0"/>
                      <w:color w:val="auto"/>
                      <w:kern w:val="2"/>
                      <w:sz w:val="18"/>
                      <w:szCs w:val="18"/>
                      <w:highlight w:val="none"/>
                      <w:lang w:val="en-US" w:eastAsia="zh-CN" w:bidi="ar-SA"/>
                    </w:rPr>
                  </w:pPr>
                  <w:r>
                    <w:rPr>
                      <w:rFonts w:hint="default" w:ascii="Times New Roman" w:hAnsi="Times New Roman" w:eastAsia="宋体" w:cs="Times New Roman"/>
                      <w:strike w:val="0"/>
                      <w:dstrike w:val="0"/>
                      <w:color w:val="auto"/>
                      <w:sz w:val="18"/>
                      <w:szCs w:val="18"/>
                      <w:highlight w:val="none"/>
                      <w:lang w:val="en-US" w:eastAsia="zh-CN"/>
                    </w:rPr>
                    <w:t>双塘岭村</w:t>
                  </w:r>
                </w:p>
              </w:tc>
              <w:tc>
                <w:tcPr>
                  <w:tcW w:w="527" w:type="pct"/>
                  <w:tcBorders>
                    <w:top w:val="single" w:color="auto" w:sz="4" w:space="0"/>
                    <w:left w:val="single" w:color="auto" w:sz="4" w:space="0"/>
                    <w:bottom w:val="single" w:color="auto" w:sz="4" w:space="0"/>
                    <w:right w:val="single" w:color="auto" w:sz="4" w:space="0"/>
                  </w:tcBorders>
                  <w:shd w:val="clear" w:color="auto" w:fill="auto"/>
                  <w:noWrap w:val="0"/>
                  <w:vAlign w:val="center"/>
                </w:tcPr>
                <w:p w14:paraId="7526A761">
                  <w:pPr>
                    <w:keepNext w:val="0"/>
                    <w:keepLines w:val="0"/>
                    <w:widowControl/>
                    <w:suppressLineNumbers w:val="0"/>
                    <w:adjustRightInd w:val="0"/>
                    <w:snapToGrid w:val="0"/>
                    <w:spacing w:before="0" w:beforeAutospacing="0" w:after="0" w:afterAutospacing="0" w:line="276" w:lineRule="auto"/>
                    <w:ind w:left="0" w:right="0"/>
                    <w:jc w:val="center"/>
                    <w:rPr>
                      <w:rFonts w:hint="default" w:ascii="Times New Roman" w:hAnsi="Times New Roman" w:eastAsia="宋体" w:cs="Times New Roman"/>
                      <w:strike w:val="0"/>
                      <w:dstrike w:val="0"/>
                      <w:color w:val="auto"/>
                      <w:kern w:val="2"/>
                      <w:sz w:val="18"/>
                      <w:szCs w:val="18"/>
                      <w:highlight w:val="none"/>
                      <w:lang w:val="en-US" w:eastAsia="zh-CN" w:bidi="ar-SA"/>
                    </w:rPr>
                  </w:pPr>
                  <w:r>
                    <w:rPr>
                      <w:rFonts w:hint="default" w:ascii="Times New Roman" w:hAnsi="Times New Roman" w:eastAsia="宋体" w:cs="Times New Roman"/>
                      <w:strike w:val="0"/>
                      <w:dstrike w:val="0"/>
                      <w:color w:val="auto"/>
                      <w:sz w:val="18"/>
                      <w:szCs w:val="18"/>
                      <w:highlight w:val="none"/>
                    </w:rPr>
                    <w:t>118.828375</w:t>
                  </w:r>
                </w:p>
              </w:tc>
              <w:tc>
                <w:tcPr>
                  <w:tcW w:w="564" w:type="pct"/>
                  <w:tcBorders>
                    <w:top w:val="single" w:color="auto" w:sz="4" w:space="0"/>
                    <w:left w:val="single" w:color="auto" w:sz="4" w:space="0"/>
                    <w:bottom w:val="single" w:color="auto" w:sz="4" w:space="0"/>
                    <w:right w:val="single" w:color="auto" w:sz="4" w:space="0"/>
                  </w:tcBorders>
                  <w:shd w:val="clear" w:color="auto" w:fill="auto"/>
                  <w:noWrap w:val="0"/>
                  <w:vAlign w:val="center"/>
                </w:tcPr>
                <w:p w14:paraId="56466492">
                  <w:pPr>
                    <w:keepNext w:val="0"/>
                    <w:keepLines w:val="0"/>
                    <w:widowControl/>
                    <w:suppressLineNumbers w:val="0"/>
                    <w:adjustRightInd w:val="0"/>
                    <w:snapToGrid w:val="0"/>
                    <w:spacing w:before="0" w:beforeAutospacing="0" w:after="0" w:afterAutospacing="0" w:line="276" w:lineRule="auto"/>
                    <w:ind w:left="0" w:right="0"/>
                    <w:jc w:val="center"/>
                    <w:rPr>
                      <w:rFonts w:hint="eastAsia" w:ascii="Times New Roman" w:hAnsi="Times New Roman" w:eastAsia="宋体" w:cs="Times New Roman"/>
                      <w:strike w:val="0"/>
                      <w:dstrike w:val="0"/>
                      <w:color w:val="auto"/>
                      <w:kern w:val="2"/>
                      <w:sz w:val="18"/>
                      <w:szCs w:val="18"/>
                      <w:highlight w:val="none"/>
                      <w:lang w:val="en-US" w:eastAsia="zh-CN" w:bidi="ar-SA"/>
                    </w:rPr>
                  </w:pPr>
                  <w:r>
                    <w:rPr>
                      <w:rFonts w:hint="default" w:ascii="Times New Roman" w:hAnsi="Times New Roman" w:eastAsia="宋体" w:cs="Times New Roman"/>
                      <w:strike w:val="0"/>
                      <w:dstrike w:val="0"/>
                      <w:color w:val="auto"/>
                      <w:sz w:val="18"/>
                      <w:szCs w:val="18"/>
                      <w:highlight w:val="none"/>
                    </w:rPr>
                    <w:t>28.97165</w:t>
                  </w:r>
                  <w:r>
                    <w:rPr>
                      <w:rFonts w:hint="eastAsia" w:ascii="Times New Roman" w:hAnsi="Times New Roman" w:eastAsia="宋体" w:cs="Times New Roman"/>
                      <w:strike w:val="0"/>
                      <w:dstrike w:val="0"/>
                      <w:color w:val="auto"/>
                      <w:sz w:val="18"/>
                      <w:szCs w:val="18"/>
                      <w:highlight w:val="none"/>
                      <w:lang w:val="en-US" w:eastAsia="zh-CN"/>
                    </w:rPr>
                    <w:t>4</w:t>
                  </w:r>
                </w:p>
              </w:tc>
              <w:tc>
                <w:tcPr>
                  <w:tcW w:w="474" w:type="pct"/>
                  <w:tcBorders>
                    <w:top w:val="single" w:color="auto" w:sz="4" w:space="0"/>
                    <w:left w:val="single" w:color="auto" w:sz="4" w:space="0"/>
                    <w:bottom w:val="single" w:color="auto" w:sz="4" w:space="0"/>
                    <w:right w:val="single" w:color="auto" w:sz="4" w:space="0"/>
                  </w:tcBorders>
                  <w:shd w:val="clear" w:color="auto" w:fill="auto"/>
                  <w:noWrap w:val="0"/>
                  <w:vAlign w:val="center"/>
                </w:tcPr>
                <w:p w14:paraId="0A38F273">
                  <w:pPr>
                    <w:keepNext w:val="0"/>
                    <w:keepLines w:val="0"/>
                    <w:widowControl/>
                    <w:suppressLineNumbers w:val="0"/>
                    <w:adjustRightInd w:val="0"/>
                    <w:snapToGrid w:val="0"/>
                    <w:spacing w:before="0" w:beforeAutospacing="0" w:after="0" w:afterAutospacing="0" w:line="276" w:lineRule="auto"/>
                    <w:ind w:left="0" w:right="0"/>
                    <w:jc w:val="center"/>
                    <w:rPr>
                      <w:rFonts w:hint="eastAsia" w:ascii="Times New Roman" w:hAnsi="Times New Roman" w:eastAsia="宋体" w:cs="Times New Roman"/>
                      <w:strike w:val="0"/>
                      <w:dstrike w:val="0"/>
                      <w:color w:val="auto"/>
                      <w:kern w:val="2"/>
                      <w:sz w:val="18"/>
                      <w:szCs w:val="18"/>
                      <w:highlight w:val="none"/>
                      <w:lang w:val="en-US" w:eastAsia="zh-CN" w:bidi="ar-SA"/>
                    </w:rPr>
                  </w:pPr>
                  <w:r>
                    <w:rPr>
                      <w:rFonts w:hint="eastAsia" w:ascii="Times New Roman" w:hAnsi="Times New Roman" w:eastAsia="宋体" w:cs="Times New Roman"/>
                      <w:strike w:val="0"/>
                      <w:dstrike w:val="0"/>
                      <w:color w:val="auto"/>
                      <w:sz w:val="18"/>
                      <w:szCs w:val="18"/>
                      <w:highlight w:val="none"/>
                      <w:lang w:val="en-US" w:eastAsia="zh-CN"/>
                    </w:rPr>
                    <w:t>居住区</w:t>
                  </w:r>
                </w:p>
              </w:tc>
              <w:tc>
                <w:tcPr>
                  <w:tcW w:w="490" w:type="pct"/>
                  <w:tcBorders>
                    <w:top w:val="single" w:color="auto" w:sz="4" w:space="0"/>
                    <w:left w:val="single" w:color="auto" w:sz="4" w:space="0"/>
                    <w:bottom w:val="single" w:color="auto" w:sz="4" w:space="0"/>
                    <w:right w:val="single" w:color="auto" w:sz="4" w:space="0"/>
                  </w:tcBorders>
                  <w:shd w:val="clear" w:color="auto" w:fill="auto"/>
                  <w:noWrap w:val="0"/>
                  <w:vAlign w:val="center"/>
                </w:tcPr>
                <w:p w14:paraId="1DE1C056">
                  <w:pPr>
                    <w:keepNext w:val="0"/>
                    <w:keepLines w:val="0"/>
                    <w:widowControl/>
                    <w:suppressLineNumbers w:val="0"/>
                    <w:adjustRightInd w:val="0"/>
                    <w:snapToGrid w:val="0"/>
                    <w:spacing w:before="0" w:beforeAutospacing="0" w:after="0" w:afterAutospacing="0" w:line="276" w:lineRule="auto"/>
                    <w:ind w:left="0" w:right="0"/>
                    <w:jc w:val="center"/>
                    <w:rPr>
                      <w:rFonts w:hint="eastAsia" w:ascii="Times New Roman" w:hAnsi="Times New Roman" w:eastAsia="宋体" w:cs="Times New Roman"/>
                      <w:strike w:val="0"/>
                      <w:dstrike w:val="0"/>
                      <w:color w:val="auto"/>
                      <w:kern w:val="2"/>
                      <w:sz w:val="18"/>
                      <w:szCs w:val="18"/>
                      <w:highlight w:val="none"/>
                      <w:lang w:val="en-US" w:eastAsia="zh-CN" w:bidi="ar-SA"/>
                    </w:rPr>
                  </w:pPr>
                  <w:r>
                    <w:rPr>
                      <w:rFonts w:hint="eastAsia" w:ascii="Times New Roman" w:hAnsi="Times New Roman" w:eastAsia="宋体" w:cs="Times New Roman"/>
                      <w:strike w:val="0"/>
                      <w:dstrike w:val="0"/>
                      <w:color w:val="auto"/>
                      <w:sz w:val="18"/>
                      <w:szCs w:val="18"/>
                      <w:highlight w:val="none"/>
                      <w:lang w:val="en-US" w:eastAsia="zh-CN"/>
                    </w:rPr>
                    <w:t>居民</w:t>
                  </w:r>
                </w:p>
              </w:tc>
              <w:tc>
                <w:tcPr>
                  <w:tcW w:w="499" w:type="pct"/>
                  <w:tcBorders>
                    <w:top w:val="single" w:color="auto" w:sz="4" w:space="0"/>
                    <w:left w:val="single" w:color="auto" w:sz="4" w:space="0"/>
                    <w:bottom w:val="single" w:color="auto" w:sz="4" w:space="0"/>
                    <w:right w:val="single" w:color="auto" w:sz="4" w:space="0"/>
                  </w:tcBorders>
                  <w:shd w:val="clear" w:color="auto" w:fill="auto"/>
                  <w:noWrap w:val="0"/>
                  <w:vAlign w:val="center"/>
                </w:tcPr>
                <w:p w14:paraId="75633622">
                  <w:pPr>
                    <w:keepNext w:val="0"/>
                    <w:keepLines w:val="0"/>
                    <w:widowControl/>
                    <w:suppressLineNumbers w:val="0"/>
                    <w:adjustRightInd w:val="0"/>
                    <w:snapToGrid w:val="0"/>
                    <w:spacing w:before="0" w:beforeAutospacing="0" w:after="0" w:afterAutospacing="0" w:line="276" w:lineRule="auto"/>
                    <w:ind w:left="0" w:right="0"/>
                    <w:jc w:val="center"/>
                    <w:rPr>
                      <w:rFonts w:hint="eastAsia" w:ascii="Times New Roman" w:hAnsi="Times New Roman" w:eastAsia="宋体" w:cs="Times New Roman"/>
                      <w:strike w:val="0"/>
                      <w:dstrike w:val="0"/>
                      <w:color w:val="auto"/>
                      <w:kern w:val="2"/>
                      <w:sz w:val="18"/>
                      <w:szCs w:val="18"/>
                      <w:highlight w:val="none"/>
                      <w:lang w:val="en-US" w:eastAsia="zh-CN" w:bidi="ar-SA"/>
                    </w:rPr>
                  </w:pPr>
                  <w:r>
                    <w:rPr>
                      <w:rFonts w:hint="eastAsia" w:ascii="Times New Roman" w:hAnsi="Times New Roman" w:eastAsia="宋体" w:cs="Times New Roman"/>
                      <w:strike w:val="0"/>
                      <w:dstrike w:val="0"/>
                      <w:color w:val="auto"/>
                      <w:sz w:val="18"/>
                      <w:szCs w:val="18"/>
                      <w:highlight w:val="none"/>
                      <w:lang w:val="en-US" w:eastAsia="zh-CN"/>
                    </w:rPr>
                    <w:t>二类</w:t>
                  </w:r>
                </w:p>
              </w:tc>
              <w:tc>
                <w:tcPr>
                  <w:tcW w:w="453" w:type="pct"/>
                  <w:tcBorders>
                    <w:top w:val="single" w:color="auto" w:sz="4" w:space="0"/>
                    <w:left w:val="single" w:color="auto" w:sz="4" w:space="0"/>
                    <w:bottom w:val="single" w:color="auto" w:sz="4" w:space="0"/>
                    <w:right w:val="single" w:color="auto" w:sz="4" w:space="0"/>
                  </w:tcBorders>
                  <w:shd w:val="clear" w:color="auto" w:fill="auto"/>
                  <w:noWrap w:val="0"/>
                  <w:vAlign w:val="center"/>
                </w:tcPr>
                <w:p w14:paraId="6EE29C35">
                  <w:pPr>
                    <w:keepNext w:val="0"/>
                    <w:keepLines w:val="0"/>
                    <w:widowControl/>
                    <w:suppressLineNumbers w:val="0"/>
                    <w:adjustRightInd w:val="0"/>
                    <w:snapToGrid w:val="0"/>
                    <w:spacing w:before="0" w:beforeAutospacing="0" w:after="0" w:afterAutospacing="0" w:line="276" w:lineRule="auto"/>
                    <w:ind w:left="0" w:right="0"/>
                    <w:jc w:val="center"/>
                    <w:rPr>
                      <w:rFonts w:hint="default" w:ascii="Times New Roman" w:hAnsi="Times New Roman" w:eastAsia="宋体" w:cs="Times New Roman"/>
                      <w:strike w:val="0"/>
                      <w:dstrike w:val="0"/>
                      <w:color w:val="auto"/>
                      <w:kern w:val="2"/>
                      <w:sz w:val="18"/>
                      <w:szCs w:val="18"/>
                      <w:highlight w:val="none"/>
                      <w:lang w:val="en-US" w:eastAsia="zh-CN" w:bidi="ar-SA"/>
                    </w:rPr>
                  </w:pPr>
                  <w:r>
                    <w:rPr>
                      <w:rFonts w:hint="eastAsia" w:ascii="Times New Roman" w:hAnsi="Times New Roman" w:eastAsia="宋体" w:cs="Times New Roman"/>
                      <w:strike w:val="0"/>
                      <w:dstrike w:val="0"/>
                      <w:color w:val="auto"/>
                      <w:sz w:val="18"/>
                      <w:szCs w:val="18"/>
                      <w:highlight w:val="none"/>
                      <w:lang w:val="en-US" w:eastAsia="zh-CN"/>
                    </w:rPr>
                    <w:t>北</w:t>
                  </w:r>
                </w:p>
              </w:tc>
              <w:tc>
                <w:tcPr>
                  <w:tcW w:w="551" w:type="pct"/>
                  <w:tcBorders>
                    <w:top w:val="single" w:color="auto" w:sz="4" w:space="0"/>
                    <w:left w:val="single" w:color="auto" w:sz="4" w:space="0"/>
                    <w:bottom w:val="single" w:color="auto" w:sz="4" w:space="0"/>
                    <w:right w:val="single" w:color="auto" w:sz="4" w:space="0"/>
                  </w:tcBorders>
                  <w:shd w:val="clear" w:color="auto" w:fill="auto"/>
                  <w:noWrap w:val="0"/>
                  <w:vAlign w:val="center"/>
                </w:tcPr>
                <w:p w14:paraId="3DA6CF3F">
                  <w:pPr>
                    <w:keepNext w:val="0"/>
                    <w:keepLines w:val="0"/>
                    <w:widowControl/>
                    <w:suppressLineNumbers w:val="0"/>
                    <w:adjustRightInd w:val="0"/>
                    <w:snapToGrid w:val="0"/>
                    <w:spacing w:before="0" w:beforeAutospacing="0" w:after="0" w:afterAutospacing="0" w:line="276" w:lineRule="auto"/>
                    <w:ind w:left="0" w:right="0"/>
                    <w:jc w:val="center"/>
                    <w:rPr>
                      <w:rFonts w:hint="default" w:ascii="Times New Roman" w:hAnsi="Times New Roman" w:eastAsia="宋体" w:cs="Times New Roman"/>
                      <w:strike w:val="0"/>
                      <w:dstrike w:val="0"/>
                      <w:color w:val="auto"/>
                      <w:kern w:val="2"/>
                      <w:sz w:val="18"/>
                      <w:szCs w:val="18"/>
                      <w:highlight w:val="none"/>
                      <w:lang w:val="en-US" w:eastAsia="zh-CN" w:bidi="ar-SA"/>
                    </w:rPr>
                  </w:pPr>
                  <w:r>
                    <w:rPr>
                      <w:rFonts w:hint="eastAsia" w:ascii="Times New Roman" w:hAnsi="Times New Roman" w:eastAsia="宋体" w:cs="Times New Roman"/>
                      <w:strike w:val="0"/>
                      <w:dstrike w:val="0"/>
                      <w:color w:val="auto"/>
                      <w:sz w:val="18"/>
                      <w:szCs w:val="18"/>
                      <w:highlight w:val="none"/>
                      <w:lang w:val="en-US" w:eastAsia="zh-CN"/>
                    </w:rPr>
                    <w:t>2140</w:t>
                  </w:r>
                </w:p>
              </w:tc>
            </w:tr>
            <w:tr w14:paraId="3A24C25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40" w:hRule="atLeast"/>
                <w:jc w:val="center"/>
              </w:trPr>
              <w:tc>
                <w:tcPr>
                  <w:tcW w:w="366" w:type="pct"/>
                  <w:tcBorders>
                    <w:left w:val="single" w:color="auto" w:sz="4" w:space="0"/>
                    <w:right w:val="single" w:color="auto" w:sz="4" w:space="0"/>
                  </w:tcBorders>
                  <w:noWrap w:val="0"/>
                  <w:vAlign w:val="center"/>
                </w:tcPr>
                <w:p w14:paraId="5E37AB07">
                  <w:pPr>
                    <w:keepNext w:val="0"/>
                    <w:keepLines w:val="0"/>
                    <w:widowControl/>
                    <w:suppressLineNumbers w:val="0"/>
                    <w:adjustRightInd w:val="0"/>
                    <w:snapToGrid w:val="0"/>
                    <w:spacing w:before="0" w:beforeAutospacing="0" w:after="0" w:afterAutospacing="0" w:line="276" w:lineRule="auto"/>
                    <w:ind w:left="0" w:right="0"/>
                    <w:jc w:val="center"/>
                    <w:rPr>
                      <w:rFonts w:hint="default" w:ascii="Times New Roman" w:hAnsi="Times New Roman" w:eastAsia="宋体" w:cs="Times New Roman"/>
                      <w:strike w:val="0"/>
                      <w:dstrike w:val="0"/>
                      <w:color w:val="auto"/>
                      <w:sz w:val="18"/>
                      <w:szCs w:val="18"/>
                      <w:highlight w:val="none"/>
                      <w:lang w:val="en-US" w:eastAsia="zh-CN"/>
                    </w:rPr>
                  </w:pPr>
                  <w:r>
                    <w:rPr>
                      <w:rFonts w:hint="eastAsia" w:ascii="Times New Roman" w:hAnsi="Times New Roman" w:eastAsia="宋体" w:cs="Times New Roman"/>
                      <w:strike w:val="0"/>
                      <w:dstrike w:val="0"/>
                      <w:color w:val="auto"/>
                      <w:sz w:val="18"/>
                      <w:szCs w:val="18"/>
                      <w:highlight w:val="none"/>
                      <w:lang w:val="en-US" w:eastAsia="zh-CN"/>
                    </w:rPr>
                    <w:t>46</w:t>
                  </w:r>
                </w:p>
              </w:tc>
              <w:tc>
                <w:tcPr>
                  <w:tcW w:w="1071" w:type="pct"/>
                  <w:tcBorders>
                    <w:top w:val="single" w:color="auto" w:sz="4" w:space="0"/>
                    <w:left w:val="single" w:color="auto" w:sz="4" w:space="0"/>
                    <w:bottom w:val="single" w:color="auto" w:sz="4" w:space="0"/>
                    <w:right w:val="single" w:color="auto" w:sz="4" w:space="0"/>
                  </w:tcBorders>
                  <w:shd w:val="clear" w:color="auto" w:fill="auto"/>
                  <w:noWrap w:val="0"/>
                  <w:vAlign w:val="center"/>
                </w:tcPr>
                <w:p w14:paraId="45FC9D68">
                  <w:pPr>
                    <w:keepNext w:val="0"/>
                    <w:keepLines w:val="0"/>
                    <w:widowControl/>
                    <w:suppressLineNumbers w:val="0"/>
                    <w:adjustRightInd w:val="0"/>
                    <w:snapToGrid w:val="0"/>
                    <w:spacing w:before="0" w:beforeAutospacing="0" w:after="0" w:afterAutospacing="0" w:line="276" w:lineRule="auto"/>
                    <w:ind w:left="0" w:right="0"/>
                    <w:jc w:val="center"/>
                    <w:rPr>
                      <w:rFonts w:hint="default" w:ascii="Times New Roman" w:hAnsi="Times New Roman" w:eastAsia="宋体" w:cs="Times New Roman"/>
                      <w:strike w:val="0"/>
                      <w:dstrike w:val="0"/>
                      <w:color w:val="auto"/>
                      <w:kern w:val="2"/>
                      <w:sz w:val="18"/>
                      <w:szCs w:val="18"/>
                      <w:highlight w:val="none"/>
                      <w:lang w:val="en-US" w:eastAsia="zh-CN" w:bidi="ar-SA"/>
                    </w:rPr>
                  </w:pPr>
                  <w:r>
                    <w:rPr>
                      <w:rFonts w:hint="default" w:ascii="Times New Roman" w:hAnsi="Times New Roman" w:eastAsia="宋体" w:cs="Times New Roman"/>
                      <w:strike w:val="0"/>
                      <w:dstrike w:val="0"/>
                      <w:color w:val="auto"/>
                      <w:sz w:val="18"/>
                      <w:szCs w:val="18"/>
                      <w:highlight w:val="none"/>
                      <w:lang w:val="en-US" w:eastAsia="zh-CN"/>
                    </w:rPr>
                    <w:t>鹿鸣未来社区</w:t>
                  </w:r>
                </w:p>
              </w:tc>
              <w:tc>
                <w:tcPr>
                  <w:tcW w:w="527" w:type="pct"/>
                  <w:tcBorders>
                    <w:top w:val="single" w:color="auto" w:sz="4" w:space="0"/>
                    <w:left w:val="single" w:color="auto" w:sz="4" w:space="0"/>
                    <w:bottom w:val="single" w:color="auto" w:sz="4" w:space="0"/>
                    <w:right w:val="single" w:color="auto" w:sz="4" w:space="0"/>
                  </w:tcBorders>
                  <w:shd w:val="clear" w:color="auto" w:fill="auto"/>
                  <w:noWrap w:val="0"/>
                  <w:vAlign w:val="center"/>
                </w:tcPr>
                <w:p w14:paraId="6B3A76CF">
                  <w:pPr>
                    <w:keepNext w:val="0"/>
                    <w:keepLines w:val="0"/>
                    <w:widowControl/>
                    <w:suppressLineNumbers w:val="0"/>
                    <w:adjustRightInd w:val="0"/>
                    <w:snapToGrid w:val="0"/>
                    <w:spacing w:before="0" w:beforeAutospacing="0" w:after="0" w:afterAutospacing="0" w:line="276" w:lineRule="auto"/>
                    <w:ind w:left="0" w:right="0"/>
                    <w:jc w:val="center"/>
                    <w:rPr>
                      <w:rFonts w:hint="default" w:ascii="Times New Roman" w:hAnsi="Times New Roman" w:eastAsia="宋体" w:cs="Times New Roman"/>
                      <w:strike w:val="0"/>
                      <w:dstrike w:val="0"/>
                      <w:color w:val="auto"/>
                      <w:kern w:val="2"/>
                      <w:sz w:val="18"/>
                      <w:szCs w:val="18"/>
                      <w:highlight w:val="none"/>
                      <w:lang w:val="en-US" w:eastAsia="zh-CN" w:bidi="ar-SA"/>
                    </w:rPr>
                  </w:pPr>
                  <w:r>
                    <w:rPr>
                      <w:rFonts w:hint="default" w:ascii="Times New Roman" w:hAnsi="Times New Roman" w:eastAsia="宋体" w:cs="Times New Roman"/>
                      <w:strike w:val="0"/>
                      <w:dstrike w:val="0"/>
                      <w:color w:val="auto"/>
                      <w:sz w:val="18"/>
                      <w:szCs w:val="18"/>
                      <w:highlight w:val="none"/>
                    </w:rPr>
                    <w:t>118.813345</w:t>
                  </w:r>
                </w:p>
              </w:tc>
              <w:tc>
                <w:tcPr>
                  <w:tcW w:w="564" w:type="pct"/>
                  <w:tcBorders>
                    <w:top w:val="single" w:color="auto" w:sz="4" w:space="0"/>
                    <w:left w:val="single" w:color="auto" w:sz="4" w:space="0"/>
                    <w:bottom w:val="single" w:color="auto" w:sz="4" w:space="0"/>
                    <w:right w:val="single" w:color="auto" w:sz="4" w:space="0"/>
                  </w:tcBorders>
                  <w:shd w:val="clear" w:color="auto" w:fill="auto"/>
                  <w:noWrap w:val="0"/>
                  <w:vAlign w:val="center"/>
                </w:tcPr>
                <w:p w14:paraId="76BC472A">
                  <w:pPr>
                    <w:keepNext w:val="0"/>
                    <w:keepLines w:val="0"/>
                    <w:widowControl/>
                    <w:suppressLineNumbers w:val="0"/>
                    <w:adjustRightInd w:val="0"/>
                    <w:snapToGrid w:val="0"/>
                    <w:spacing w:before="0" w:beforeAutospacing="0" w:after="0" w:afterAutospacing="0" w:line="276" w:lineRule="auto"/>
                    <w:ind w:left="0" w:right="0"/>
                    <w:jc w:val="center"/>
                    <w:rPr>
                      <w:rFonts w:hint="default" w:ascii="Times New Roman" w:hAnsi="Times New Roman" w:eastAsia="宋体" w:cs="Times New Roman"/>
                      <w:strike w:val="0"/>
                      <w:dstrike w:val="0"/>
                      <w:color w:val="auto"/>
                      <w:kern w:val="2"/>
                      <w:sz w:val="18"/>
                      <w:szCs w:val="18"/>
                      <w:highlight w:val="none"/>
                      <w:lang w:val="en-US" w:eastAsia="zh-CN" w:bidi="ar-SA"/>
                    </w:rPr>
                  </w:pPr>
                  <w:r>
                    <w:rPr>
                      <w:rFonts w:hint="default" w:ascii="Times New Roman" w:hAnsi="Times New Roman" w:eastAsia="宋体" w:cs="Times New Roman"/>
                      <w:strike w:val="0"/>
                      <w:dstrike w:val="0"/>
                      <w:color w:val="auto"/>
                      <w:sz w:val="18"/>
                      <w:szCs w:val="18"/>
                      <w:highlight w:val="none"/>
                    </w:rPr>
                    <w:t>28.9627</w:t>
                  </w:r>
                  <w:r>
                    <w:rPr>
                      <w:rFonts w:hint="eastAsia" w:ascii="Times New Roman" w:hAnsi="Times New Roman" w:eastAsia="宋体" w:cs="Times New Roman"/>
                      <w:strike w:val="0"/>
                      <w:dstrike w:val="0"/>
                      <w:color w:val="auto"/>
                      <w:sz w:val="18"/>
                      <w:szCs w:val="18"/>
                      <w:highlight w:val="none"/>
                      <w:lang w:val="en-US" w:eastAsia="zh-CN"/>
                    </w:rPr>
                    <w:t>90</w:t>
                  </w:r>
                </w:p>
              </w:tc>
              <w:tc>
                <w:tcPr>
                  <w:tcW w:w="474" w:type="pct"/>
                  <w:tcBorders>
                    <w:top w:val="single" w:color="auto" w:sz="4" w:space="0"/>
                    <w:left w:val="single" w:color="auto" w:sz="4" w:space="0"/>
                    <w:bottom w:val="single" w:color="auto" w:sz="4" w:space="0"/>
                    <w:right w:val="single" w:color="auto" w:sz="4" w:space="0"/>
                  </w:tcBorders>
                  <w:shd w:val="clear" w:color="auto" w:fill="auto"/>
                  <w:noWrap w:val="0"/>
                  <w:vAlign w:val="center"/>
                </w:tcPr>
                <w:p w14:paraId="24603951">
                  <w:pPr>
                    <w:keepNext w:val="0"/>
                    <w:keepLines w:val="0"/>
                    <w:widowControl/>
                    <w:suppressLineNumbers w:val="0"/>
                    <w:adjustRightInd w:val="0"/>
                    <w:snapToGrid w:val="0"/>
                    <w:spacing w:before="0" w:beforeAutospacing="0" w:after="0" w:afterAutospacing="0" w:line="276" w:lineRule="auto"/>
                    <w:ind w:left="0" w:right="0"/>
                    <w:jc w:val="center"/>
                    <w:rPr>
                      <w:rFonts w:hint="eastAsia" w:ascii="Times New Roman" w:hAnsi="Times New Roman" w:eastAsia="宋体" w:cs="Times New Roman"/>
                      <w:strike w:val="0"/>
                      <w:dstrike w:val="0"/>
                      <w:color w:val="auto"/>
                      <w:kern w:val="2"/>
                      <w:sz w:val="18"/>
                      <w:szCs w:val="18"/>
                      <w:highlight w:val="none"/>
                      <w:lang w:val="en-US" w:eastAsia="zh-CN" w:bidi="ar-SA"/>
                    </w:rPr>
                  </w:pPr>
                  <w:r>
                    <w:rPr>
                      <w:rFonts w:hint="eastAsia" w:ascii="Times New Roman" w:hAnsi="Times New Roman" w:eastAsia="宋体" w:cs="Times New Roman"/>
                      <w:strike w:val="0"/>
                      <w:dstrike w:val="0"/>
                      <w:color w:val="auto"/>
                      <w:sz w:val="18"/>
                      <w:szCs w:val="18"/>
                      <w:highlight w:val="none"/>
                      <w:lang w:val="en-US" w:eastAsia="zh-CN"/>
                    </w:rPr>
                    <w:t>居住区</w:t>
                  </w:r>
                </w:p>
              </w:tc>
              <w:tc>
                <w:tcPr>
                  <w:tcW w:w="490" w:type="pct"/>
                  <w:tcBorders>
                    <w:top w:val="single" w:color="auto" w:sz="4" w:space="0"/>
                    <w:left w:val="single" w:color="auto" w:sz="4" w:space="0"/>
                    <w:bottom w:val="single" w:color="auto" w:sz="4" w:space="0"/>
                    <w:right w:val="single" w:color="auto" w:sz="4" w:space="0"/>
                  </w:tcBorders>
                  <w:shd w:val="clear" w:color="auto" w:fill="auto"/>
                  <w:noWrap w:val="0"/>
                  <w:vAlign w:val="center"/>
                </w:tcPr>
                <w:p w14:paraId="2DF049FA">
                  <w:pPr>
                    <w:keepNext w:val="0"/>
                    <w:keepLines w:val="0"/>
                    <w:widowControl/>
                    <w:suppressLineNumbers w:val="0"/>
                    <w:adjustRightInd w:val="0"/>
                    <w:snapToGrid w:val="0"/>
                    <w:spacing w:before="0" w:beforeAutospacing="0" w:after="0" w:afterAutospacing="0" w:line="276" w:lineRule="auto"/>
                    <w:ind w:left="0" w:right="0"/>
                    <w:jc w:val="center"/>
                    <w:rPr>
                      <w:rFonts w:hint="eastAsia" w:ascii="Times New Roman" w:hAnsi="Times New Roman" w:eastAsia="宋体" w:cs="Times New Roman"/>
                      <w:strike w:val="0"/>
                      <w:dstrike w:val="0"/>
                      <w:color w:val="auto"/>
                      <w:kern w:val="2"/>
                      <w:sz w:val="18"/>
                      <w:szCs w:val="18"/>
                      <w:highlight w:val="none"/>
                      <w:lang w:val="en-US" w:eastAsia="zh-CN" w:bidi="ar-SA"/>
                    </w:rPr>
                  </w:pPr>
                  <w:r>
                    <w:rPr>
                      <w:rFonts w:hint="eastAsia" w:ascii="Times New Roman" w:hAnsi="Times New Roman" w:eastAsia="宋体" w:cs="Times New Roman"/>
                      <w:strike w:val="0"/>
                      <w:dstrike w:val="0"/>
                      <w:color w:val="auto"/>
                      <w:sz w:val="18"/>
                      <w:szCs w:val="18"/>
                      <w:highlight w:val="none"/>
                      <w:lang w:val="en-US" w:eastAsia="zh-CN"/>
                    </w:rPr>
                    <w:t>居民</w:t>
                  </w:r>
                </w:p>
              </w:tc>
              <w:tc>
                <w:tcPr>
                  <w:tcW w:w="499" w:type="pct"/>
                  <w:tcBorders>
                    <w:top w:val="single" w:color="auto" w:sz="4" w:space="0"/>
                    <w:left w:val="single" w:color="auto" w:sz="4" w:space="0"/>
                    <w:bottom w:val="single" w:color="auto" w:sz="4" w:space="0"/>
                    <w:right w:val="single" w:color="auto" w:sz="4" w:space="0"/>
                  </w:tcBorders>
                  <w:shd w:val="clear" w:color="auto" w:fill="auto"/>
                  <w:noWrap w:val="0"/>
                  <w:vAlign w:val="center"/>
                </w:tcPr>
                <w:p w14:paraId="71F1D446">
                  <w:pPr>
                    <w:keepNext w:val="0"/>
                    <w:keepLines w:val="0"/>
                    <w:widowControl/>
                    <w:suppressLineNumbers w:val="0"/>
                    <w:adjustRightInd w:val="0"/>
                    <w:snapToGrid w:val="0"/>
                    <w:spacing w:before="0" w:beforeAutospacing="0" w:after="0" w:afterAutospacing="0" w:line="276" w:lineRule="auto"/>
                    <w:ind w:left="0" w:right="0"/>
                    <w:jc w:val="center"/>
                    <w:rPr>
                      <w:rFonts w:hint="eastAsia" w:ascii="Times New Roman" w:hAnsi="Times New Roman" w:eastAsia="宋体" w:cs="Times New Roman"/>
                      <w:strike w:val="0"/>
                      <w:dstrike w:val="0"/>
                      <w:color w:val="auto"/>
                      <w:kern w:val="2"/>
                      <w:sz w:val="18"/>
                      <w:szCs w:val="18"/>
                      <w:highlight w:val="none"/>
                      <w:lang w:val="en-US" w:eastAsia="zh-CN" w:bidi="ar-SA"/>
                    </w:rPr>
                  </w:pPr>
                  <w:r>
                    <w:rPr>
                      <w:rFonts w:hint="eastAsia" w:ascii="Times New Roman" w:hAnsi="Times New Roman" w:eastAsia="宋体" w:cs="Times New Roman"/>
                      <w:strike w:val="0"/>
                      <w:dstrike w:val="0"/>
                      <w:color w:val="auto"/>
                      <w:sz w:val="18"/>
                      <w:szCs w:val="18"/>
                      <w:highlight w:val="none"/>
                      <w:lang w:val="en-US" w:eastAsia="zh-CN"/>
                    </w:rPr>
                    <w:t>二类</w:t>
                  </w:r>
                </w:p>
              </w:tc>
              <w:tc>
                <w:tcPr>
                  <w:tcW w:w="453" w:type="pct"/>
                  <w:tcBorders>
                    <w:top w:val="single" w:color="auto" w:sz="4" w:space="0"/>
                    <w:left w:val="single" w:color="auto" w:sz="4" w:space="0"/>
                    <w:bottom w:val="single" w:color="auto" w:sz="4" w:space="0"/>
                    <w:right w:val="single" w:color="auto" w:sz="4" w:space="0"/>
                  </w:tcBorders>
                  <w:shd w:val="clear" w:color="auto" w:fill="auto"/>
                  <w:noWrap w:val="0"/>
                  <w:vAlign w:val="center"/>
                </w:tcPr>
                <w:p w14:paraId="29DB4A5C">
                  <w:pPr>
                    <w:keepNext w:val="0"/>
                    <w:keepLines w:val="0"/>
                    <w:widowControl/>
                    <w:suppressLineNumbers w:val="0"/>
                    <w:adjustRightInd w:val="0"/>
                    <w:snapToGrid w:val="0"/>
                    <w:spacing w:before="0" w:beforeAutospacing="0" w:after="0" w:afterAutospacing="0" w:line="276" w:lineRule="auto"/>
                    <w:ind w:left="0" w:right="0"/>
                    <w:jc w:val="center"/>
                    <w:rPr>
                      <w:rFonts w:hint="default" w:ascii="Times New Roman" w:hAnsi="Times New Roman" w:eastAsia="宋体" w:cs="Times New Roman"/>
                      <w:strike w:val="0"/>
                      <w:dstrike w:val="0"/>
                      <w:color w:val="auto"/>
                      <w:kern w:val="2"/>
                      <w:sz w:val="18"/>
                      <w:szCs w:val="18"/>
                      <w:highlight w:val="none"/>
                      <w:lang w:val="en-US" w:eastAsia="zh-CN" w:bidi="ar-SA"/>
                    </w:rPr>
                  </w:pPr>
                  <w:r>
                    <w:rPr>
                      <w:rFonts w:hint="eastAsia" w:ascii="Times New Roman" w:hAnsi="Times New Roman" w:eastAsia="宋体" w:cs="Times New Roman"/>
                      <w:strike w:val="0"/>
                      <w:dstrike w:val="0"/>
                      <w:color w:val="auto"/>
                      <w:kern w:val="2"/>
                      <w:sz w:val="18"/>
                      <w:szCs w:val="18"/>
                      <w:highlight w:val="none"/>
                      <w:lang w:val="en-US" w:eastAsia="zh-CN" w:bidi="ar-SA"/>
                    </w:rPr>
                    <w:t>西北</w:t>
                  </w:r>
                </w:p>
              </w:tc>
              <w:tc>
                <w:tcPr>
                  <w:tcW w:w="551" w:type="pct"/>
                  <w:tcBorders>
                    <w:top w:val="single" w:color="auto" w:sz="4" w:space="0"/>
                    <w:left w:val="single" w:color="auto" w:sz="4" w:space="0"/>
                    <w:bottom w:val="single" w:color="auto" w:sz="4" w:space="0"/>
                    <w:right w:val="single" w:color="auto" w:sz="4" w:space="0"/>
                  </w:tcBorders>
                  <w:shd w:val="clear" w:color="auto" w:fill="auto"/>
                  <w:noWrap w:val="0"/>
                  <w:vAlign w:val="center"/>
                </w:tcPr>
                <w:p w14:paraId="3C6414D9">
                  <w:pPr>
                    <w:keepNext w:val="0"/>
                    <w:keepLines w:val="0"/>
                    <w:widowControl/>
                    <w:suppressLineNumbers w:val="0"/>
                    <w:adjustRightInd w:val="0"/>
                    <w:snapToGrid w:val="0"/>
                    <w:spacing w:before="0" w:beforeAutospacing="0" w:after="0" w:afterAutospacing="0" w:line="276" w:lineRule="auto"/>
                    <w:ind w:left="0" w:right="0"/>
                    <w:jc w:val="center"/>
                    <w:rPr>
                      <w:rFonts w:hint="default" w:ascii="Times New Roman" w:hAnsi="Times New Roman" w:eastAsia="宋体" w:cs="Times New Roman"/>
                      <w:strike w:val="0"/>
                      <w:dstrike w:val="0"/>
                      <w:color w:val="auto"/>
                      <w:kern w:val="2"/>
                      <w:sz w:val="18"/>
                      <w:szCs w:val="18"/>
                      <w:highlight w:val="none"/>
                      <w:lang w:val="en-US" w:eastAsia="zh-CN" w:bidi="ar-SA"/>
                    </w:rPr>
                  </w:pPr>
                  <w:r>
                    <w:rPr>
                      <w:rFonts w:hint="eastAsia" w:ascii="Times New Roman" w:hAnsi="Times New Roman" w:eastAsia="宋体" w:cs="Times New Roman"/>
                      <w:strike w:val="0"/>
                      <w:dstrike w:val="0"/>
                      <w:color w:val="auto"/>
                      <w:kern w:val="2"/>
                      <w:sz w:val="18"/>
                      <w:szCs w:val="18"/>
                      <w:highlight w:val="none"/>
                      <w:lang w:val="en-US" w:eastAsia="zh-CN" w:bidi="ar-SA"/>
                    </w:rPr>
                    <w:t>1630</w:t>
                  </w:r>
                </w:p>
              </w:tc>
            </w:tr>
            <w:tr w14:paraId="1A04550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40" w:hRule="atLeast"/>
                <w:jc w:val="center"/>
              </w:trPr>
              <w:tc>
                <w:tcPr>
                  <w:tcW w:w="366" w:type="pct"/>
                  <w:tcBorders>
                    <w:left w:val="single" w:color="auto" w:sz="4" w:space="0"/>
                    <w:right w:val="single" w:color="auto" w:sz="4" w:space="0"/>
                  </w:tcBorders>
                  <w:noWrap w:val="0"/>
                  <w:vAlign w:val="center"/>
                </w:tcPr>
                <w:p w14:paraId="5943D41D">
                  <w:pPr>
                    <w:keepNext w:val="0"/>
                    <w:keepLines w:val="0"/>
                    <w:widowControl/>
                    <w:suppressLineNumbers w:val="0"/>
                    <w:adjustRightInd w:val="0"/>
                    <w:snapToGrid w:val="0"/>
                    <w:spacing w:before="0" w:beforeAutospacing="0" w:after="0" w:afterAutospacing="0" w:line="276" w:lineRule="auto"/>
                    <w:ind w:left="0" w:right="0"/>
                    <w:jc w:val="center"/>
                    <w:rPr>
                      <w:rFonts w:hint="default" w:ascii="Times New Roman" w:hAnsi="Times New Roman" w:eastAsia="宋体" w:cs="Times New Roman"/>
                      <w:strike w:val="0"/>
                      <w:dstrike w:val="0"/>
                      <w:color w:val="auto"/>
                      <w:sz w:val="18"/>
                      <w:szCs w:val="18"/>
                      <w:highlight w:val="none"/>
                      <w:lang w:val="en-US" w:eastAsia="zh-CN"/>
                    </w:rPr>
                  </w:pPr>
                  <w:r>
                    <w:rPr>
                      <w:rFonts w:hint="eastAsia" w:ascii="Times New Roman" w:hAnsi="Times New Roman" w:eastAsia="宋体" w:cs="Times New Roman"/>
                      <w:strike w:val="0"/>
                      <w:dstrike w:val="0"/>
                      <w:color w:val="auto"/>
                      <w:sz w:val="18"/>
                      <w:szCs w:val="18"/>
                      <w:highlight w:val="none"/>
                      <w:lang w:val="en-US" w:eastAsia="zh-CN"/>
                    </w:rPr>
                    <w:t>47</w:t>
                  </w:r>
                </w:p>
              </w:tc>
              <w:tc>
                <w:tcPr>
                  <w:tcW w:w="1071" w:type="pct"/>
                  <w:tcBorders>
                    <w:top w:val="single" w:color="auto" w:sz="4" w:space="0"/>
                    <w:left w:val="single" w:color="auto" w:sz="4" w:space="0"/>
                    <w:bottom w:val="single" w:color="auto" w:sz="4" w:space="0"/>
                    <w:right w:val="single" w:color="auto" w:sz="4" w:space="0"/>
                  </w:tcBorders>
                  <w:shd w:val="clear" w:color="auto" w:fill="auto"/>
                  <w:noWrap w:val="0"/>
                  <w:vAlign w:val="center"/>
                </w:tcPr>
                <w:p w14:paraId="6805BE7B">
                  <w:pPr>
                    <w:keepNext w:val="0"/>
                    <w:keepLines w:val="0"/>
                    <w:widowControl/>
                    <w:suppressLineNumbers w:val="0"/>
                    <w:adjustRightInd w:val="0"/>
                    <w:snapToGrid w:val="0"/>
                    <w:spacing w:before="0" w:beforeAutospacing="0" w:after="0" w:afterAutospacing="0" w:line="276" w:lineRule="auto"/>
                    <w:ind w:left="0" w:right="0"/>
                    <w:jc w:val="center"/>
                    <w:rPr>
                      <w:rFonts w:hint="default" w:ascii="Times New Roman" w:hAnsi="Times New Roman" w:eastAsia="宋体" w:cs="Times New Roman"/>
                      <w:strike w:val="0"/>
                      <w:dstrike w:val="0"/>
                      <w:color w:val="auto"/>
                      <w:kern w:val="2"/>
                      <w:sz w:val="18"/>
                      <w:szCs w:val="18"/>
                      <w:highlight w:val="none"/>
                      <w:lang w:val="en-US" w:eastAsia="zh-CN" w:bidi="ar-SA"/>
                    </w:rPr>
                  </w:pPr>
                  <w:r>
                    <w:rPr>
                      <w:rFonts w:hint="default" w:ascii="Times New Roman" w:hAnsi="Times New Roman" w:eastAsia="宋体" w:cs="Times New Roman"/>
                      <w:strike w:val="0"/>
                      <w:dstrike w:val="0"/>
                      <w:color w:val="auto"/>
                      <w:sz w:val="18"/>
                      <w:szCs w:val="18"/>
                      <w:highlight w:val="none"/>
                      <w:lang w:val="en-US" w:eastAsia="zh-CN"/>
                    </w:rPr>
                    <w:t>浙江大学衢州研究院常山港院区</w:t>
                  </w:r>
                </w:p>
              </w:tc>
              <w:tc>
                <w:tcPr>
                  <w:tcW w:w="527" w:type="pct"/>
                  <w:tcBorders>
                    <w:top w:val="single" w:color="auto" w:sz="4" w:space="0"/>
                    <w:left w:val="single" w:color="auto" w:sz="4" w:space="0"/>
                    <w:bottom w:val="single" w:color="auto" w:sz="4" w:space="0"/>
                    <w:right w:val="single" w:color="auto" w:sz="4" w:space="0"/>
                  </w:tcBorders>
                  <w:shd w:val="clear" w:color="auto" w:fill="auto"/>
                  <w:noWrap w:val="0"/>
                  <w:vAlign w:val="center"/>
                </w:tcPr>
                <w:p w14:paraId="455748AF">
                  <w:pPr>
                    <w:keepNext w:val="0"/>
                    <w:keepLines w:val="0"/>
                    <w:widowControl/>
                    <w:suppressLineNumbers w:val="0"/>
                    <w:adjustRightInd w:val="0"/>
                    <w:snapToGrid w:val="0"/>
                    <w:spacing w:before="0" w:beforeAutospacing="0" w:after="0" w:afterAutospacing="0" w:line="276" w:lineRule="auto"/>
                    <w:ind w:left="0" w:right="0"/>
                    <w:jc w:val="center"/>
                    <w:rPr>
                      <w:rFonts w:hint="eastAsia" w:ascii="Times New Roman" w:hAnsi="Times New Roman" w:eastAsia="宋体" w:cs="Times New Roman"/>
                      <w:strike w:val="0"/>
                      <w:dstrike w:val="0"/>
                      <w:color w:val="auto"/>
                      <w:kern w:val="2"/>
                      <w:sz w:val="18"/>
                      <w:szCs w:val="18"/>
                      <w:highlight w:val="none"/>
                      <w:lang w:val="en-US" w:eastAsia="zh-CN" w:bidi="ar-SA"/>
                    </w:rPr>
                  </w:pPr>
                  <w:r>
                    <w:rPr>
                      <w:rFonts w:hint="default" w:ascii="Times New Roman" w:hAnsi="Times New Roman" w:eastAsia="宋体" w:cs="Times New Roman"/>
                      <w:strike w:val="0"/>
                      <w:dstrike w:val="0"/>
                      <w:color w:val="auto"/>
                      <w:sz w:val="18"/>
                      <w:szCs w:val="18"/>
                      <w:highlight w:val="none"/>
                    </w:rPr>
                    <w:t>118.82071</w:t>
                  </w:r>
                  <w:r>
                    <w:rPr>
                      <w:rFonts w:hint="eastAsia" w:ascii="Times New Roman" w:hAnsi="Times New Roman" w:eastAsia="宋体" w:cs="Times New Roman"/>
                      <w:strike w:val="0"/>
                      <w:dstrike w:val="0"/>
                      <w:color w:val="auto"/>
                      <w:sz w:val="18"/>
                      <w:szCs w:val="18"/>
                      <w:highlight w:val="none"/>
                      <w:lang w:val="en-US" w:eastAsia="zh-CN"/>
                    </w:rPr>
                    <w:t>6</w:t>
                  </w:r>
                </w:p>
              </w:tc>
              <w:tc>
                <w:tcPr>
                  <w:tcW w:w="564" w:type="pct"/>
                  <w:tcBorders>
                    <w:top w:val="single" w:color="auto" w:sz="4" w:space="0"/>
                    <w:left w:val="single" w:color="auto" w:sz="4" w:space="0"/>
                    <w:bottom w:val="single" w:color="auto" w:sz="4" w:space="0"/>
                    <w:right w:val="single" w:color="auto" w:sz="4" w:space="0"/>
                  </w:tcBorders>
                  <w:shd w:val="clear" w:color="auto" w:fill="auto"/>
                  <w:noWrap w:val="0"/>
                  <w:vAlign w:val="center"/>
                </w:tcPr>
                <w:p w14:paraId="3118491C">
                  <w:pPr>
                    <w:keepNext w:val="0"/>
                    <w:keepLines w:val="0"/>
                    <w:widowControl/>
                    <w:suppressLineNumbers w:val="0"/>
                    <w:adjustRightInd w:val="0"/>
                    <w:snapToGrid w:val="0"/>
                    <w:spacing w:before="0" w:beforeAutospacing="0" w:after="0" w:afterAutospacing="0" w:line="276" w:lineRule="auto"/>
                    <w:ind w:left="0" w:right="0"/>
                    <w:jc w:val="center"/>
                    <w:rPr>
                      <w:rFonts w:hint="default" w:ascii="Times New Roman" w:hAnsi="Times New Roman" w:eastAsia="宋体" w:cs="Times New Roman"/>
                      <w:strike w:val="0"/>
                      <w:dstrike w:val="0"/>
                      <w:color w:val="auto"/>
                      <w:kern w:val="2"/>
                      <w:sz w:val="18"/>
                      <w:szCs w:val="18"/>
                      <w:highlight w:val="none"/>
                      <w:lang w:val="en-US" w:eastAsia="zh-CN" w:bidi="ar-SA"/>
                    </w:rPr>
                  </w:pPr>
                  <w:r>
                    <w:rPr>
                      <w:rFonts w:hint="default" w:ascii="Times New Roman" w:hAnsi="Times New Roman" w:eastAsia="宋体" w:cs="Times New Roman"/>
                      <w:strike w:val="0"/>
                      <w:dstrike w:val="0"/>
                      <w:color w:val="auto"/>
                      <w:sz w:val="18"/>
                      <w:szCs w:val="18"/>
                      <w:highlight w:val="none"/>
                    </w:rPr>
                    <w:t>28.9460</w:t>
                  </w:r>
                  <w:r>
                    <w:rPr>
                      <w:rFonts w:hint="eastAsia" w:ascii="Times New Roman" w:hAnsi="Times New Roman" w:eastAsia="宋体" w:cs="Times New Roman"/>
                      <w:strike w:val="0"/>
                      <w:dstrike w:val="0"/>
                      <w:color w:val="auto"/>
                      <w:sz w:val="18"/>
                      <w:szCs w:val="18"/>
                      <w:highlight w:val="none"/>
                      <w:lang w:val="en-US" w:eastAsia="zh-CN"/>
                    </w:rPr>
                    <w:t>10</w:t>
                  </w:r>
                </w:p>
              </w:tc>
              <w:tc>
                <w:tcPr>
                  <w:tcW w:w="474" w:type="pct"/>
                  <w:tcBorders>
                    <w:top w:val="single" w:color="auto" w:sz="4" w:space="0"/>
                    <w:left w:val="single" w:color="auto" w:sz="4" w:space="0"/>
                    <w:bottom w:val="single" w:color="auto" w:sz="4" w:space="0"/>
                    <w:right w:val="single" w:color="auto" w:sz="4" w:space="0"/>
                  </w:tcBorders>
                  <w:shd w:val="clear" w:color="auto" w:fill="auto"/>
                  <w:noWrap w:val="0"/>
                  <w:vAlign w:val="center"/>
                </w:tcPr>
                <w:p w14:paraId="5A473B07">
                  <w:pPr>
                    <w:keepNext w:val="0"/>
                    <w:keepLines w:val="0"/>
                    <w:widowControl/>
                    <w:suppressLineNumbers w:val="0"/>
                    <w:adjustRightInd w:val="0"/>
                    <w:snapToGrid w:val="0"/>
                    <w:spacing w:before="0" w:beforeAutospacing="0" w:after="0" w:afterAutospacing="0" w:line="276" w:lineRule="auto"/>
                    <w:ind w:left="0" w:right="0"/>
                    <w:jc w:val="center"/>
                    <w:rPr>
                      <w:rFonts w:hint="eastAsia" w:ascii="Times New Roman" w:hAnsi="Times New Roman" w:eastAsia="宋体" w:cs="Times New Roman"/>
                      <w:strike w:val="0"/>
                      <w:dstrike w:val="0"/>
                      <w:color w:val="auto"/>
                      <w:kern w:val="2"/>
                      <w:sz w:val="18"/>
                      <w:szCs w:val="18"/>
                      <w:highlight w:val="none"/>
                      <w:lang w:val="en-US" w:eastAsia="zh-CN" w:bidi="ar-SA"/>
                    </w:rPr>
                  </w:pPr>
                  <w:r>
                    <w:rPr>
                      <w:rFonts w:hint="eastAsia" w:ascii="Times New Roman" w:hAnsi="Times New Roman" w:eastAsia="宋体" w:cs="Times New Roman"/>
                      <w:strike w:val="0"/>
                      <w:dstrike w:val="0"/>
                      <w:color w:val="auto"/>
                      <w:sz w:val="18"/>
                      <w:szCs w:val="18"/>
                      <w:highlight w:val="none"/>
                      <w:lang w:val="en-US" w:eastAsia="zh-CN"/>
                    </w:rPr>
                    <w:t>研究院</w:t>
                  </w:r>
                </w:p>
              </w:tc>
              <w:tc>
                <w:tcPr>
                  <w:tcW w:w="490" w:type="pct"/>
                  <w:tcBorders>
                    <w:top w:val="single" w:color="auto" w:sz="4" w:space="0"/>
                    <w:left w:val="single" w:color="auto" w:sz="4" w:space="0"/>
                    <w:bottom w:val="single" w:color="auto" w:sz="4" w:space="0"/>
                    <w:right w:val="single" w:color="auto" w:sz="4" w:space="0"/>
                  </w:tcBorders>
                  <w:shd w:val="clear" w:color="auto" w:fill="auto"/>
                  <w:noWrap w:val="0"/>
                  <w:vAlign w:val="center"/>
                </w:tcPr>
                <w:p w14:paraId="1E7DF614">
                  <w:pPr>
                    <w:keepNext w:val="0"/>
                    <w:keepLines w:val="0"/>
                    <w:widowControl/>
                    <w:suppressLineNumbers w:val="0"/>
                    <w:adjustRightInd w:val="0"/>
                    <w:snapToGrid w:val="0"/>
                    <w:spacing w:before="0" w:beforeAutospacing="0" w:after="0" w:afterAutospacing="0" w:line="276" w:lineRule="auto"/>
                    <w:ind w:left="0" w:right="0"/>
                    <w:jc w:val="center"/>
                    <w:rPr>
                      <w:rFonts w:hint="eastAsia" w:ascii="Times New Roman" w:hAnsi="Times New Roman" w:eastAsia="宋体" w:cs="Times New Roman"/>
                      <w:strike w:val="0"/>
                      <w:dstrike w:val="0"/>
                      <w:color w:val="auto"/>
                      <w:kern w:val="2"/>
                      <w:sz w:val="18"/>
                      <w:szCs w:val="18"/>
                      <w:highlight w:val="none"/>
                      <w:lang w:val="en-US" w:eastAsia="zh-CN" w:bidi="ar-SA"/>
                    </w:rPr>
                  </w:pPr>
                  <w:r>
                    <w:rPr>
                      <w:rFonts w:hint="eastAsia" w:ascii="Times New Roman" w:hAnsi="Times New Roman" w:eastAsia="宋体" w:cs="Times New Roman"/>
                      <w:strike w:val="0"/>
                      <w:dstrike w:val="0"/>
                      <w:color w:val="auto"/>
                      <w:sz w:val="18"/>
                      <w:szCs w:val="18"/>
                      <w:highlight w:val="none"/>
                      <w:lang w:val="en-US" w:eastAsia="zh-CN"/>
                    </w:rPr>
                    <w:t>科研人员</w:t>
                  </w:r>
                </w:p>
              </w:tc>
              <w:tc>
                <w:tcPr>
                  <w:tcW w:w="499" w:type="pct"/>
                  <w:tcBorders>
                    <w:top w:val="single" w:color="auto" w:sz="4" w:space="0"/>
                    <w:left w:val="single" w:color="auto" w:sz="4" w:space="0"/>
                    <w:bottom w:val="single" w:color="auto" w:sz="4" w:space="0"/>
                    <w:right w:val="single" w:color="auto" w:sz="4" w:space="0"/>
                  </w:tcBorders>
                  <w:shd w:val="clear" w:color="auto" w:fill="auto"/>
                  <w:noWrap w:val="0"/>
                  <w:vAlign w:val="center"/>
                </w:tcPr>
                <w:p w14:paraId="77317456">
                  <w:pPr>
                    <w:keepNext w:val="0"/>
                    <w:keepLines w:val="0"/>
                    <w:widowControl/>
                    <w:suppressLineNumbers w:val="0"/>
                    <w:adjustRightInd w:val="0"/>
                    <w:snapToGrid w:val="0"/>
                    <w:spacing w:before="0" w:beforeAutospacing="0" w:after="0" w:afterAutospacing="0" w:line="276" w:lineRule="auto"/>
                    <w:ind w:left="0" w:right="0"/>
                    <w:jc w:val="center"/>
                    <w:rPr>
                      <w:rFonts w:hint="eastAsia" w:ascii="Times New Roman" w:hAnsi="Times New Roman" w:eastAsia="宋体" w:cs="Times New Roman"/>
                      <w:strike w:val="0"/>
                      <w:dstrike w:val="0"/>
                      <w:color w:val="auto"/>
                      <w:kern w:val="2"/>
                      <w:sz w:val="18"/>
                      <w:szCs w:val="18"/>
                      <w:highlight w:val="none"/>
                      <w:lang w:val="en-US" w:eastAsia="zh-CN" w:bidi="ar-SA"/>
                    </w:rPr>
                  </w:pPr>
                  <w:r>
                    <w:rPr>
                      <w:rFonts w:hint="eastAsia" w:ascii="Times New Roman" w:hAnsi="Times New Roman" w:eastAsia="宋体" w:cs="Times New Roman"/>
                      <w:strike w:val="0"/>
                      <w:dstrike w:val="0"/>
                      <w:color w:val="auto"/>
                      <w:sz w:val="18"/>
                      <w:szCs w:val="18"/>
                      <w:highlight w:val="none"/>
                      <w:lang w:val="en-US" w:eastAsia="zh-CN"/>
                    </w:rPr>
                    <w:t>二类</w:t>
                  </w:r>
                </w:p>
              </w:tc>
              <w:tc>
                <w:tcPr>
                  <w:tcW w:w="453" w:type="pct"/>
                  <w:tcBorders>
                    <w:top w:val="single" w:color="auto" w:sz="4" w:space="0"/>
                    <w:left w:val="single" w:color="auto" w:sz="4" w:space="0"/>
                    <w:bottom w:val="single" w:color="auto" w:sz="4" w:space="0"/>
                    <w:right w:val="single" w:color="auto" w:sz="4" w:space="0"/>
                  </w:tcBorders>
                  <w:shd w:val="clear" w:color="auto" w:fill="auto"/>
                  <w:noWrap w:val="0"/>
                  <w:vAlign w:val="center"/>
                </w:tcPr>
                <w:p w14:paraId="11ED0C57">
                  <w:pPr>
                    <w:keepNext w:val="0"/>
                    <w:keepLines w:val="0"/>
                    <w:widowControl/>
                    <w:suppressLineNumbers w:val="0"/>
                    <w:adjustRightInd w:val="0"/>
                    <w:snapToGrid w:val="0"/>
                    <w:spacing w:before="0" w:beforeAutospacing="0" w:after="0" w:afterAutospacing="0" w:line="276" w:lineRule="auto"/>
                    <w:ind w:left="0" w:right="0"/>
                    <w:jc w:val="center"/>
                    <w:rPr>
                      <w:rFonts w:hint="default" w:ascii="Times New Roman" w:hAnsi="Times New Roman" w:eastAsia="宋体" w:cs="Times New Roman"/>
                      <w:strike w:val="0"/>
                      <w:dstrike w:val="0"/>
                      <w:color w:val="auto"/>
                      <w:kern w:val="2"/>
                      <w:sz w:val="18"/>
                      <w:szCs w:val="18"/>
                      <w:highlight w:val="none"/>
                      <w:lang w:val="en-US" w:eastAsia="zh-CN" w:bidi="ar-SA"/>
                    </w:rPr>
                  </w:pPr>
                  <w:r>
                    <w:rPr>
                      <w:rFonts w:hint="eastAsia" w:ascii="Times New Roman" w:hAnsi="Times New Roman" w:eastAsia="宋体" w:cs="Times New Roman"/>
                      <w:strike w:val="0"/>
                      <w:dstrike w:val="0"/>
                      <w:color w:val="auto"/>
                      <w:sz w:val="18"/>
                      <w:szCs w:val="18"/>
                      <w:highlight w:val="none"/>
                      <w:lang w:val="en-US" w:eastAsia="zh-CN"/>
                    </w:rPr>
                    <w:t>西南</w:t>
                  </w:r>
                </w:p>
              </w:tc>
              <w:tc>
                <w:tcPr>
                  <w:tcW w:w="551" w:type="pct"/>
                  <w:tcBorders>
                    <w:top w:val="single" w:color="auto" w:sz="4" w:space="0"/>
                    <w:left w:val="single" w:color="auto" w:sz="4" w:space="0"/>
                    <w:bottom w:val="single" w:color="auto" w:sz="4" w:space="0"/>
                    <w:right w:val="single" w:color="auto" w:sz="4" w:space="0"/>
                  </w:tcBorders>
                  <w:shd w:val="clear" w:color="auto" w:fill="auto"/>
                  <w:noWrap w:val="0"/>
                  <w:vAlign w:val="center"/>
                </w:tcPr>
                <w:p w14:paraId="2ECAAD9D">
                  <w:pPr>
                    <w:keepNext w:val="0"/>
                    <w:keepLines w:val="0"/>
                    <w:widowControl/>
                    <w:suppressLineNumbers w:val="0"/>
                    <w:adjustRightInd w:val="0"/>
                    <w:snapToGrid w:val="0"/>
                    <w:spacing w:before="0" w:beforeAutospacing="0" w:after="0" w:afterAutospacing="0" w:line="276" w:lineRule="auto"/>
                    <w:ind w:left="0" w:right="0"/>
                    <w:jc w:val="center"/>
                    <w:rPr>
                      <w:rFonts w:hint="default" w:ascii="Times New Roman" w:hAnsi="Times New Roman" w:eastAsia="宋体" w:cs="Times New Roman"/>
                      <w:strike w:val="0"/>
                      <w:dstrike w:val="0"/>
                      <w:color w:val="auto"/>
                      <w:kern w:val="2"/>
                      <w:sz w:val="18"/>
                      <w:szCs w:val="18"/>
                      <w:highlight w:val="none"/>
                      <w:lang w:val="en-US" w:eastAsia="zh-CN" w:bidi="ar-SA"/>
                    </w:rPr>
                  </w:pPr>
                  <w:r>
                    <w:rPr>
                      <w:rFonts w:hint="eastAsia" w:ascii="Times New Roman" w:hAnsi="Times New Roman" w:eastAsia="宋体" w:cs="Times New Roman"/>
                      <w:strike w:val="0"/>
                      <w:dstrike w:val="0"/>
                      <w:color w:val="auto"/>
                      <w:sz w:val="18"/>
                      <w:szCs w:val="18"/>
                      <w:highlight w:val="none"/>
                      <w:lang w:val="en-US" w:eastAsia="zh-CN"/>
                    </w:rPr>
                    <w:t>874</w:t>
                  </w:r>
                </w:p>
              </w:tc>
            </w:tr>
            <w:tr w14:paraId="01C8CDC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40" w:hRule="atLeast"/>
                <w:jc w:val="center"/>
              </w:trPr>
              <w:tc>
                <w:tcPr>
                  <w:tcW w:w="366" w:type="pct"/>
                  <w:tcBorders>
                    <w:left w:val="single" w:color="auto" w:sz="4" w:space="0"/>
                    <w:right w:val="single" w:color="auto" w:sz="4" w:space="0"/>
                  </w:tcBorders>
                  <w:noWrap w:val="0"/>
                  <w:vAlign w:val="center"/>
                </w:tcPr>
                <w:p w14:paraId="6ED3CB4A">
                  <w:pPr>
                    <w:keepNext w:val="0"/>
                    <w:keepLines w:val="0"/>
                    <w:widowControl/>
                    <w:suppressLineNumbers w:val="0"/>
                    <w:adjustRightInd w:val="0"/>
                    <w:snapToGrid w:val="0"/>
                    <w:spacing w:before="0" w:beforeAutospacing="0" w:after="0" w:afterAutospacing="0" w:line="276" w:lineRule="auto"/>
                    <w:ind w:left="0" w:right="0"/>
                    <w:jc w:val="center"/>
                    <w:rPr>
                      <w:rFonts w:hint="default" w:ascii="Times New Roman" w:hAnsi="Times New Roman" w:eastAsia="宋体" w:cs="Times New Roman"/>
                      <w:strike w:val="0"/>
                      <w:dstrike w:val="0"/>
                      <w:color w:val="auto"/>
                      <w:sz w:val="18"/>
                      <w:szCs w:val="18"/>
                      <w:highlight w:val="none"/>
                      <w:lang w:val="en-US" w:eastAsia="zh-CN"/>
                    </w:rPr>
                  </w:pPr>
                  <w:r>
                    <w:rPr>
                      <w:rFonts w:hint="eastAsia" w:ascii="Times New Roman" w:hAnsi="Times New Roman" w:eastAsia="宋体" w:cs="Times New Roman"/>
                      <w:strike w:val="0"/>
                      <w:dstrike w:val="0"/>
                      <w:color w:val="auto"/>
                      <w:sz w:val="18"/>
                      <w:szCs w:val="18"/>
                      <w:highlight w:val="none"/>
                      <w:lang w:val="en-US" w:eastAsia="zh-CN"/>
                    </w:rPr>
                    <w:t>48</w:t>
                  </w:r>
                </w:p>
              </w:tc>
              <w:tc>
                <w:tcPr>
                  <w:tcW w:w="1071" w:type="pct"/>
                  <w:tcBorders>
                    <w:top w:val="single" w:color="auto" w:sz="4" w:space="0"/>
                    <w:left w:val="single" w:color="auto" w:sz="4" w:space="0"/>
                    <w:bottom w:val="single" w:color="auto" w:sz="4" w:space="0"/>
                    <w:right w:val="single" w:color="auto" w:sz="4" w:space="0"/>
                  </w:tcBorders>
                  <w:shd w:val="clear" w:color="auto" w:fill="auto"/>
                  <w:noWrap w:val="0"/>
                  <w:vAlign w:val="center"/>
                </w:tcPr>
                <w:p w14:paraId="657C9F6D">
                  <w:pPr>
                    <w:keepNext w:val="0"/>
                    <w:keepLines w:val="0"/>
                    <w:widowControl/>
                    <w:suppressLineNumbers w:val="0"/>
                    <w:adjustRightInd w:val="0"/>
                    <w:snapToGrid w:val="0"/>
                    <w:spacing w:before="0" w:beforeAutospacing="0" w:after="0" w:afterAutospacing="0" w:line="276" w:lineRule="auto"/>
                    <w:ind w:left="0" w:right="0"/>
                    <w:jc w:val="center"/>
                    <w:rPr>
                      <w:rFonts w:hint="default" w:ascii="Times New Roman" w:hAnsi="Times New Roman" w:eastAsia="宋体" w:cs="Times New Roman"/>
                      <w:strike w:val="0"/>
                      <w:dstrike w:val="0"/>
                      <w:color w:val="auto"/>
                      <w:kern w:val="2"/>
                      <w:sz w:val="18"/>
                      <w:szCs w:val="18"/>
                      <w:highlight w:val="none"/>
                      <w:lang w:val="en-US" w:eastAsia="zh-CN" w:bidi="ar-SA"/>
                    </w:rPr>
                  </w:pPr>
                  <w:r>
                    <w:rPr>
                      <w:rFonts w:hint="default" w:ascii="Times New Roman" w:hAnsi="Times New Roman" w:eastAsia="宋体" w:cs="Times New Roman"/>
                      <w:strike w:val="0"/>
                      <w:dstrike w:val="0"/>
                      <w:color w:val="auto"/>
                      <w:sz w:val="18"/>
                      <w:szCs w:val="18"/>
                      <w:highlight w:val="none"/>
                      <w:lang w:val="en-US" w:eastAsia="zh-CN"/>
                    </w:rPr>
                    <w:t>中共衢州市委党校</w:t>
                  </w:r>
                </w:p>
              </w:tc>
              <w:tc>
                <w:tcPr>
                  <w:tcW w:w="527" w:type="pct"/>
                  <w:tcBorders>
                    <w:top w:val="single" w:color="auto" w:sz="4" w:space="0"/>
                    <w:left w:val="single" w:color="auto" w:sz="4" w:space="0"/>
                    <w:bottom w:val="single" w:color="auto" w:sz="4" w:space="0"/>
                    <w:right w:val="single" w:color="auto" w:sz="4" w:space="0"/>
                  </w:tcBorders>
                  <w:shd w:val="clear" w:color="auto" w:fill="auto"/>
                  <w:noWrap w:val="0"/>
                  <w:vAlign w:val="center"/>
                </w:tcPr>
                <w:p w14:paraId="0A925A7C">
                  <w:pPr>
                    <w:keepNext w:val="0"/>
                    <w:keepLines w:val="0"/>
                    <w:widowControl/>
                    <w:suppressLineNumbers w:val="0"/>
                    <w:adjustRightInd w:val="0"/>
                    <w:snapToGrid w:val="0"/>
                    <w:spacing w:before="0" w:beforeAutospacing="0" w:after="0" w:afterAutospacing="0" w:line="276" w:lineRule="auto"/>
                    <w:ind w:left="0" w:right="0"/>
                    <w:jc w:val="center"/>
                    <w:rPr>
                      <w:rFonts w:hint="default" w:ascii="Times New Roman" w:hAnsi="Times New Roman" w:eastAsia="宋体" w:cs="Times New Roman"/>
                      <w:strike w:val="0"/>
                      <w:dstrike w:val="0"/>
                      <w:color w:val="auto"/>
                      <w:kern w:val="2"/>
                      <w:sz w:val="18"/>
                      <w:szCs w:val="18"/>
                      <w:highlight w:val="none"/>
                      <w:lang w:val="en-US" w:eastAsia="zh-CN" w:bidi="ar-SA"/>
                    </w:rPr>
                  </w:pPr>
                  <w:r>
                    <w:rPr>
                      <w:rFonts w:hint="default" w:ascii="Times New Roman" w:hAnsi="Times New Roman" w:eastAsia="宋体" w:cs="Times New Roman"/>
                      <w:strike w:val="0"/>
                      <w:dstrike w:val="0"/>
                      <w:color w:val="auto"/>
                      <w:sz w:val="18"/>
                      <w:szCs w:val="18"/>
                      <w:highlight w:val="none"/>
                    </w:rPr>
                    <w:t>118.8179</w:t>
                  </w:r>
                  <w:r>
                    <w:rPr>
                      <w:rFonts w:hint="eastAsia" w:ascii="Times New Roman" w:hAnsi="Times New Roman" w:eastAsia="宋体" w:cs="Times New Roman"/>
                      <w:strike w:val="0"/>
                      <w:dstrike w:val="0"/>
                      <w:color w:val="auto"/>
                      <w:sz w:val="18"/>
                      <w:szCs w:val="18"/>
                      <w:highlight w:val="none"/>
                      <w:lang w:val="en-US" w:eastAsia="zh-CN"/>
                    </w:rPr>
                    <w:t>80</w:t>
                  </w:r>
                </w:p>
              </w:tc>
              <w:tc>
                <w:tcPr>
                  <w:tcW w:w="564" w:type="pct"/>
                  <w:tcBorders>
                    <w:top w:val="single" w:color="auto" w:sz="4" w:space="0"/>
                    <w:left w:val="single" w:color="auto" w:sz="4" w:space="0"/>
                    <w:bottom w:val="single" w:color="auto" w:sz="4" w:space="0"/>
                    <w:right w:val="single" w:color="auto" w:sz="4" w:space="0"/>
                  </w:tcBorders>
                  <w:shd w:val="clear" w:color="auto" w:fill="auto"/>
                  <w:noWrap w:val="0"/>
                  <w:vAlign w:val="center"/>
                </w:tcPr>
                <w:p w14:paraId="429F390E">
                  <w:pPr>
                    <w:keepNext w:val="0"/>
                    <w:keepLines w:val="0"/>
                    <w:widowControl/>
                    <w:suppressLineNumbers w:val="0"/>
                    <w:adjustRightInd w:val="0"/>
                    <w:snapToGrid w:val="0"/>
                    <w:spacing w:before="0" w:beforeAutospacing="0" w:after="0" w:afterAutospacing="0" w:line="276" w:lineRule="auto"/>
                    <w:ind w:left="0" w:right="0"/>
                    <w:jc w:val="center"/>
                    <w:rPr>
                      <w:rFonts w:hint="eastAsia" w:ascii="Times New Roman" w:hAnsi="Times New Roman" w:eastAsia="宋体" w:cs="Times New Roman"/>
                      <w:strike w:val="0"/>
                      <w:dstrike w:val="0"/>
                      <w:color w:val="auto"/>
                      <w:kern w:val="2"/>
                      <w:sz w:val="18"/>
                      <w:szCs w:val="18"/>
                      <w:highlight w:val="none"/>
                      <w:lang w:val="en-US" w:eastAsia="zh-CN" w:bidi="ar-SA"/>
                    </w:rPr>
                  </w:pPr>
                  <w:r>
                    <w:rPr>
                      <w:rFonts w:hint="default" w:ascii="Times New Roman" w:hAnsi="Times New Roman" w:eastAsia="宋体" w:cs="Times New Roman"/>
                      <w:strike w:val="0"/>
                      <w:dstrike w:val="0"/>
                      <w:color w:val="auto"/>
                      <w:sz w:val="18"/>
                      <w:szCs w:val="18"/>
                      <w:highlight w:val="none"/>
                    </w:rPr>
                    <w:t>28.94680</w:t>
                  </w:r>
                  <w:r>
                    <w:rPr>
                      <w:rFonts w:hint="eastAsia" w:ascii="Times New Roman" w:hAnsi="Times New Roman" w:eastAsia="宋体" w:cs="Times New Roman"/>
                      <w:strike w:val="0"/>
                      <w:dstrike w:val="0"/>
                      <w:color w:val="auto"/>
                      <w:sz w:val="18"/>
                      <w:szCs w:val="18"/>
                      <w:highlight w:val="none"/>
                      <w:lang w:val="en-US" w:eastAsia="zh-CN"/>
                    </w:rPr>
                    <w:t>4</w:t>
                  </w:r>
                </w:p>
              </w:tc>
              <w:tc>
                <w:tcPr>
                  <w:tcW w:w="474" w:type="pct"/>
                  <w:tcBorders>
                    <w:top w:val="single" w:color="auto" w:sz="4" w:space="0"/>
                    <w:left w:val="single" w:color="auto" w:sz="4" w:space="0"/>
                    <w:bottom w:val="single" w:color="auto" w:sz="4" w:space="0"/>
                    <w:right w:val="single" w:color="auto" w:sz="4" w:space="0"/>
                  </w:tcBorders>
                  <w:shd w:val="clear" w:color="auto" w:fill="auto"/>
                  <w:noWrap w:val="0"/>
                  <w:vAlign w:val="center"/>
                </w:tcPr>
                <w:p w14:paraId="41540405">
                  <w:pPr>
                    <w:keepNext w:val="0"/>
                    <w:keepLines w:val="0"/>
                    <w:widowControl/>
                    <w:suppressLineNumbers w:val="0"/>
                    <w:adjustRightInd w:val="0"/>
                    <w:snapToGrid w:val="0"/>
                    <w:spacing w:before="0" w:beforeAutospacing="0" w:after="0" w:afterAutospacing="0" w:line="276" w:lineRule="auto"/>
                    <w:ind w:left="0" w:right="0"/>
                    <w:jc w:val="center"/>
                    <w:rPr>
                      <w:rFonts w:hint="eastAsia" w:ascii="Times New Roman" w:hAnsi="Times New Roman" w:eastAsia="宋体" w:cs="Times New Roman"/>
                      <w:strike w:val="0"/>
                      <w:dstrike w:val="0"/>
                      <w:color w:val="auto"/>
                      <w:kern w:val="2"/>
                      <w:sz w:val="18"/>
                      <w:szCs w:val="18"/>
                      <w:highlight w:val="none"/>
                      <w:lang w:val="en-US" w:eastAsia="zh-CN" w:bidi="ar-SA"/>
                    </w:rPr>
                  </w:pPr>
                  <w:r>
                    <w:rPr>
                      <w:rFonts w:hint="eastAsia" w:ascii="Times New Roman" w:hAnsi="Times New Roman" w:eastAsia="宋体" w:cs="Times New Roman"/>
                      <w:strike w:val="0"/>
                      <w:dstrike w:val="0"/>
                      <w:color w:val="auto"/>
                      <w:kern w:val="2"/>
                      <w:sz w:val="18"/>
                      <w:szCs w:val="18"/>
                      <w:highlight w:val="none"/>
                      <w:lang w:val="en-US" w:eastAsia="zh-CN" w:bidi="ar-SA"/>
                    </w:rPr>
                    <w:t>行政办公</w:t>
                  </w:r>
                </w:p>
              </w:tc>
              <w:tc>
                <w:tcPr>
                  <w:tcW w:w="490" w:type="pct"/>
                  <w:tcBorders>
                    <w:top w:val="single" w:color="auto" w:sz="4" w:space="0"/>
                    <w:left w:val="single" w:color="auto" w:sz="4" w:space="0"/>
                    <w:bottom w:val="single" w:color="auto" w:sz="4" w:space="0"/>
                    <w:right w:val="single" w:color="auto" w:sz="4" w:space="0"/>
                  </w:tcBorders>
                  <w:shd w:val="clear" w:color="auto" w:fill="auto"/>
                  <w:noWrap w:val="0"/>
                  <w:vAlign w:val="center"/>
                </w:tcPr>
                <w:p w14:paraId="5B27D10B">
                  <w:pPr>
                    <w:keepNext w:val="0"/>
                    <w:keepLines w:val="0"/>
                    <w:widowControl/>
                    <w:suppressLineNumbers w:val="0"/>
                    <w:adjustRightInd w:val="0"/>
                    <w:snapToGrid w:val="0"/>
                    <w:spacing w:before="0" w:beforeAutospacing="0" w:after="0" w:afterAutospacing="0" w:line="276" w:lineRule="auto"/>
                    <w:ind w:left="0" w:right="0"/>
                    <w:jc w:val="center"/>
                    <w:rPr>
                      <w:rFonts w:hint="eastAsia" w:ascii="Times New Roman" w:hAnsi="Times New Roman" w:eastAsia="宋体" w:cs="Times New Roman"/>
                      <w:strike w:val="0"/>
                      <w:dstrike w:val="0"/>
                      <w:color w:val="auto"/>
                      <w:kern w:val="2"/>
                      <w:sz w:val="18"/>
                      <w:szCs w:val="18"/>
                      <w:highlight w:val="none"/>
                      <w:lang w:val="en-US" w:eastAsia="zh-CN" w:bidi="ar-SA"/>
                    </w:rPr>
                  </w:pPr>
                  <w:r>
                    <w:rPr>
                      <w:rFonts w:hint="eastAsia" w:ascii="Times New Roman" w:hAnsi="Times New Roman" w:eastAsia="宋体" w:cs="Times New Roman"/>
                      <w:strike w:val="0"/>
                      <w:dstrike w:val="0"/>
                      <w:color w:val="auto"/>
                      <w:kern w:val="2"/>
                      <w:sz w:val="18"/>
                      <w:szCs w:val="18"/>
                      <w:highlight w:val="none"/>
                      <w:lang w:val="en-US" w:eastAsia="zh-CN" w:bidi="ar-SA"/>
                    </w:rPr>
                    <w:t>工作人员</w:t>
                  </w:r>
                </w:p>
              </w:tc>
              <w:tc>
                <w:tcPr>
                  <w:tcW w:w="499" w:type="pct"/>
                  <w:tcBorders>
                    <w:top w:val="single" w:color="auto" w:sz="4" w:space="0"/>
                    <w:left w:val="single" w:color="auto" w:sz="4" w:space="0"/>
                    <w:bottom w:val="single" w:color="auto" w:sz="4" w:space="0"/>
                    <w:right w:val="single" w:color="auto" w:sz="4" w:space="0"/>
                  </w:tcBorders>
                  <w:shd w:val="clear" w:color="auto" w:fill="auto"/>
                  <w:noWrap w:val="0"/>
                  <w:vAlign w:val="center"/>
                </w:tcPr>
                <w:p w14:paraId="7B590594">
                  <w:pPr>
                    <w:keepNext w:val="0"/>
                    <w:keepLines w:val="0"/>
                    <w:widowControl/>
                    <w:suppressLineNumbers w:val="0"/>
                    <w:adjustRightInd w:val="0"/>
                    <w:snapToGrid w:val="0"/>
                    <w:spacing w:before="0" w:beforeAutospacing="0" w:after="0" w:afterAutospacing="0" w:line="276" w:lineRule="auto"/>
                    <w:ind w:left="0" w:right="0"/>
                    <w:jc w:val="center"/>
                    <w:rPr>
                      <w:rFonts w:hint="eastAsia" w:ascii="Times New Roman" w:hAnsi="Times New Roman" w:eastAsia="宋体" w:cs="Times New Roman"/>
                      <w:strike w:val="0"/>
                      <w:dstrike w:val="0"/>
                      <w:color w:val="auto"/>
                      <w:kern w:val="2"/>
                      <w:sz w:val="18"/>
                      <w:szCs w:val="18"/>
                      <w:highlight w:val="none"/>
                      <w:lang w:val="en-US" w:eastAsia="zh-CN" w:bidi="ar-SA"/>
                    </w:rPr>
                  </w:pPr>
                  <w:r>
                    <w:rPr>
                      <w:rFonts w:hint="eastAsia" w:ascii="Times New Roman" w:hAnsi="Times New Roman" w:eastAsia="宋体" w:cs="Times New Roman"/>
                      <w:strike w:val="0"/>
                      <w:dstrike w:val="0"/>
                      <w:color w:val="auto"/>
                      <w:sz w:val="18"/>
                      <w:szCs w:val="18"/>
                      <w:highlight w:val="none"/>
                      <w:lang w:val="en-US" w:eastAsia="zh-CN"/>
                    </w:rPr>
                    <w:t>二类</w:t>
                  </w:r>
                </w:p>
              </w:tc>
              <w:tc>
                <w:tcPr>
                  <w:tcW w:w="453" w:type="pct"/>
                  <w:tcBorders>
                    <w:top w:val="single" w:color="auto" w:sz="4" w:space="0"/>
                    <w:left w:val="single" w:color="auto" w:sz="4" w:space="0"/>
                    <w:bottom w:val="single" w:color="auto" w:sz="4" w:space="0"/>
                    <w:right w:val="single" w:color="auto" w:sz="4" w:space="0"/>
                  </w:tcBorders>
                  <w:shd w:val="clear" w:color="auto" w:fill="auto"/>
                  <w:noWrap w:val="0"/>
                  <w:vAlign w:val="center"/>
                </w:tcPr>
                <w:p w14:paraId="75AFB02E">
                  <w:pPr>
                    <w:keepNext w:val="0"/>
                    <w:keepLines w:val="0"/>
                    <w:widowControl/>
                    <w:suppressLineNumbers w:val="0"/>
                    <w:adjustRightInd w:val="0"/>
                    <w:snapToGrid w:val="0"/>
                    <w:spacing w:before="0" w:beforeAutospacing="0" w:after="0" w:afterAutospacing="0" w:line="276" w:lineRule="auto"/>
                    <w:ind w:left="0" w:right="0"/>
                    <w:jc w:val="center"/>
                    <w:rPr>
                      <w:rFonts w:hint="default" w:ascii="Times New Roman" w:hAnsi="Times New Roman" w:eastAsia="宋体" w:cs="Times New Roman"/>
                      <w:strike w:val="0"/>
                      <w:dstrike w:val="0"/>
                      <w:color w:val="auto"/>
                      <w:kern w:val="2"/>
                      <w:sz w:val="18"/>
                      <w:szCs w:val="18"/>
                      <w:highlight w:val="none"/>
                      <w:lang w:val="en-US" w:eastAsia="zh-CN" w:bidi="ar-SA"/>
                    </w:rPr>
                  </w:pPr>
                  <w:r>
                    <w:rPr>
                      <w:rFonts w:hint="eastAsia" w:ascii="Times New Roman" w:hAnsi="Times New Roman" w:eastAsia="宋体" w:cs="Times New Roman"/>
                      <w:strike w:val="0"/>
                      <w:dstrike w:val="0"/>
                      <w:color w:val="auto"/>
                      <w:kern w:val="2"/>
                      <w:sz w:val="18"/>
                      <w:szCs w:val="18"/>
                      <w:highlight w:val="none"/>
                      <w:lang w:val="en-US" w:eastAsia="zh-CN" w:bidi="ar-SA"/>
                    </w:rPr>
                    <w:t>西南</w:t>
                  </w:r>
                </w:p>
              </w:tc>
              <w:tc>
                <w:tcPr>
                  <w:tcW w:w="551" w:type="pct"/>
                  <w:tcBorders>
                    <w:top w:val="single" w:color="auto" w:sz="4" w:space="0"/>
                    <w:left w:val="single" w:color="auto" w:sz="4" w:space="0"/>
                    <w:bottom w:val="single" w:color="auto" w:sz="4" w:space="0"/>
                    <w:right w:val="single" w:color="auto" w:sz="4" w:space="0"/>
                  </w:tcBorders>
                  <w:shd w:val="clear" w:color="auto" w:fill="auto"/>
                  <w:noWrap w:val="0"/>
                  <w:vAlign w:val="center"/>
                </w:tcPr>
                <w:p w14:paraId="59668C13">
                  <w:pPr>
                    <w:keepNext w:val="0"/>
                    <w:keepLines w:val="0"/>
                    <w:widowControl/>
                    <w:suppressLineNumbers w:val="0"/>
                    <w:adjustRightInd w:val="0"/>
                    <w:snapToGrid w:val="0"/>
                    <w:spacing w:before="0" w:beforeAutospacing="0" w:after="0" w:afterAutospacing="0" w:line="276" w:lineRule="auto"/>
                    <w:ind w:left="0" w:right="0"/>
                    <w:jc w:val="center"/>
                    <w:rPr>
                      <w:rFonts w:hint="default" w:ascii="Times New Roman" w:hAnsi="Times New Roman" w:eastAsia="宋体" w:cs="Times New Roman"/>
                      <w:strike w:val="0"/>
                      <w:dstrike w:val="0"/>
                      <w:color w:val="auto"/>
                      <w:kern w:val="2"/>
                      <w:sz w:val="18"/>
                      <w:szCs w:val="18"/>
                      <w:highlight w:val="none"/>
                      <w:lang w:val="en-US" w:eastAsia="zh-CN" w:bidi="ar-SA"/>
                    </w:rPr>
                  </w:pPr>
                  <w:r>
                    <w:rPr>
                      <w:rFonts w:hint="eastAsia" w:ascii="Times New Roman" w:hAnsi="Times New Roman" w:eastAsia="宋体" w:cs="Times New Roman"/>
                      <w:strike w:val="0"/>
                      <w:dstrike w:val="0"/>
                      <w:color w:val="auto"/>
                      <w:kern w:val="2"/>
                      <w:sz w:val="18"/>
                      <w:szCs w:val="18"/>
                      <w:highlight w:val="none"/>
                      <w:lang w:val="en-US" w:eastAsia="zh-CN" w:bidi="ar-SA"/>
                    </w:rPr>
                    <w:t>1110</w:t>
                  </w:r>
                </w:p>
              </w:tc>
            </w:tr>
            <w:tr w14:paraId="6D91BA9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40" w:hRule="atLeast"/>
                <w:jc w:val="center"/>
              </w:trPr>
              <w:tc>
                <w:tcPr>
                  <w:tcW w:w="366" w:type="pct"/>
                  <w:tcBorders>
                    <w:left w:val="single" w:color="auto" w:sz="4" w:space="0"/>
                    <w:right w:val="single" w:color="auto" w:sz="4" w:space="0"/>
                  </w:tcBorders>
                  <w:noWrap w:val="0"/>
                  <w:vAlign w:val="center"/>
                </w:tcPr>
                <w:p w14:paraId="69B8DA58">
                  <w:pPr>
                    <w:keepNext w:val="0"/>
                    <w:keepLines w:val="0"/>
                    <w:widowControl/>
                    <w:suppressLineNumbers w:val="0"/>
                    <w:adjustRightInd w:val="0"/>
                    <w:snapToGrid w:val="0"/>
                    <w:spacing w:before="0" w:beforeAutospacing="0" w:after="0" w:afterAutospacing="0" w:line="276" w:lineRule="auto"/>
                    <w:ind w:left="0" w:right="0"/>
                    <w:jc w:val="center"/>
                    <w:rPr>
                      <w:rFonts w:hint="default" w:ascii="Times New Roman" w:hAnsi="Times New Roman" w:eastAsia="宋体" w:cs="Times New Roman"/>
                      <w:strike w:val="0"/>
                      <w:dstrike w:val="0"/>
                      <w:color w:val="auto"/>
                      <w:sz w:val="18"/>
                      <w:szCs w:val="18"/>
                      <w:highlight w:val="none"/>
                      <w:lang w:val="en-US" w:eastAsia="zh-CN"/>
                    </w:rPr>
                  </w:pPr>
                  <w:r>
                    <w:rPr>
                      <w:rFonts w:hint="eastAsia" w:ascii="Times New Roman" w:hAnsi="Times New Roman" w:eastAsia="宋体" w:cs="Times New Roman"/>
                      <w:strike w:val="0"/>
                      <w:dstrike w:val="0"/>
                      <w:color w:val="auto"/>
                      <w:sz w:val="18"/>
                      <w:szCs w:val="18"/>
                      <w:highlight w:val="none"/>
                      <w:lang w:val="en-US" w:eastAsia="zh-CN"/>
                    </w:rPr>
                    <w:t>49</w:t>
                  </w:r>
                </w:p>
              </w:tc>
              <w:tc>
                <w:tcPr>
                  <w:tcW w:w="1071" w:type="pct"/>
                  <w:tcBorders>
                    <w:top w:val="single" w:color="auto" w:sz="4" w:space="0"/>
                    <w:left w:val="single" w:color="auto" w:sz="4" w:space="0"/>
                    <w:bottom w:val="single" w:color="auto" w:sz="4" w:space="0"/>
                    <w:right w:val="single" w:color="auto" w:sz="4" w:space="0"/>
                  </w:tcBorders>
                  <w:shd w:val="clear" w:color="auto" w:fill="auto"/>
                  <w:noWrap w:val="0"/>
                  <w:vAlign w:val="center"/>
                </w:tcPr>
                <w:p w14:paraId="16B23239">
                  <w:pPr>
                    <w:keepNext w:val="0"/>
                    <w:keepLines w:val="0"/>
                    <w:widowControl/>
                    <w:suppressLineNumbers w:val="0"/>
                    <w:adjustRightInd w:val="0"/>
                    <w:snapToGrid w:val="0"/>
                    <w:spacing w:before="0" w:beforeAutospacing="0" w:after="0" w:afterAutospacing="0" w:line="276" w:lineRule="auto"/>
                    <w:ind w:left="0" w:right="0"/>
                    <w:jc w:val="center"/>
                    <w:rPr>
                      <w:rFonts w:hint="default" w:ascii="Times New Roman" w:hAnsi="Times New Roman" w:eastAsia="宋体" w:cs="Times New Roman"/>
                      <w:strike w:val="0"/>
                      <w:dstrike w:val="0"/>
                      <w:color w:val="auto"/>
                      <w:kern w:val="2"/>
                      <w:sz w:val="18"/>
                      <w:szCs w:val="18"/>
                      <w:highlight w:val="none"/>
                      <w:lang w:val="en-US" w:eastAsia="zh-CN" w:bidi="ar-SA"/>
                    </w:rPr>
                  </w:pPr>
                  <w:r>
                    <w:rPr>
                      <w:rFonts w:hint="default" w:ascii="Times New Roman" w:hAnsi="Times New Roman" w:eastAsia="宋体" w:cs="Times New Roman"/>
                      <w:strike w:val="0"/>
                      <w:dstrike w:val="0"/>
                      <w:color w:val="auto"/>
                      <w:sz w:val="18"/>
                      <w:szCs w:val="18"/>
                      <w:highlight w:val="none"/>
                      <w:lang w:val="en-US" w:eastAsia="zh-CN"/>
                    </w:rPr>
                    <w:t>衢州开放大学</w:t>
                  </w:r>
                </w:p>
              </w:tc>
              <w:tc>
                <w:tcPr>
                  <w:tcW w:w="527" w:type="pct"/>
                  <w:tcBorders>
                    <w:top w:val="single" w:color="auto" w:sz="4" w:space="0"/>
                    <w:left w:val="single" w:color="auto" w:sz="4" w:space="0"/>
                    <w:bottom w:val="single" w:color="auto" w:sz="4" w:space="0"/>
                    <w:right w:val="single" w:color="auto" w:sz="4" w:space="0"/>
                  </w:tcBorders>
                  <w:shd w:val="clear" w:color="auto" w:fill="auto"/>
                  <w:noWrap w:val="0"/>
                  <w:vAlign w:val="center"/>
                </w:tcPr>
                <w:p w14:paraId="1FBF6B93">
                  <w:pPr>
                    <w:keepNext w:val="0"/>
                    <w:keepLines w:val="0"/>
                    <w:widowControl/>
                    <w:suppressLineNumbers w:val="0"/>
                    <w:adjustRightInd w:val="0"/>
                    <w:snapToGrid w:val="0"/>
                    <w:spacing w:before="0" w:beforeAutospacing="0" w:after="0" w:afterAutospacing="0" w:line="276" w:lineRule="auto"/>
                    <w:ind w:left="0" w:right="0"/>
                    <w:jc w:val="center"/>
                    <w:rPr>
                      <w:rFonts w:hint="default" w:ascii="Times New Roman" w:hAnsi="Times New Roman" w:eastAsia="宋体" w:cs="Times New Roman"/>
                      <w:strike w:val="0"/>
                      <w:dstrike w:val="0"/>
                      <w:color w:val="auto"/>
                      <w:kern w:val="2"/>
                      <w:sz w:val="18"/>
                      <w:szCs w:val="18"/>
                      <w:highlight w:val="none"/>
                      <w:lang w:val="en-US" w:eastAsia="zh-CN" w:bidi="ar-SA"/>
                    </w:rPr>
                  </w:pPr>
                  <w:r>
                    <w:rPr>
                      <w:rFonts w:hint="default" w:ascii="Times New Roman" w:hAnsi="Times New Roman" w:eastAsia="宋体" w:cs="Times New Roman"/>
                      <w:strike w:val="0"/>
                      <w:dstrike w:val="0"/>
                      <w:color w:val="auto"/>
                      <w:sz w:val="18"/>
                      <w:szCs w:val="18"/>
                      <w:highlight w:val="none"/>
                    </w:rPr>
                    <w:t>118.8176</w:t>
                  </w:r>
                  <w:r>
                    <w:rPr>
                      <w:rFonts w:hint="eastAsia" w:ascii="Times New Roman" w:hAnsi="Times New Roman" w:eastAsia="宋体" w:cs="Times New Roman"/>
                      <w:strike w:val="0"/>
                      <w:dstrike w:val="0"/>
                      <w:color w:val="auto"/>
                      <w:sz w:val="18"/>
                      <w:szCs w:val="18"/>
                      <w:highlight w:val="none"/>
                      <w:lang w:val="en-US" w:eastAsia="zh-CN"/>
                    </w:rPr>
                    <w:t>80</w:t>
                  </w:r>
                </w:p>
              </w:tc>
              <w:tc>
                <w:tcPr>
                  <w:tcW w:w="564" w:type="pct"/>
                  <w:tcBorders>
                    <w:top w:val="single" w:color="auto" w:sz="4" w:space="0"/>
                    <w:left w:val="single" w:color="auto" w:sz="4" w:space="0"/>
                    <w:bottom w:val="single" w:color="auto" w:sz="4" w:space="0"/>
                    <w:right w:val="single" w:color="auto" w:sz="4" w:space="0"/>
                  </w:tcBorders>
                  <w:shd w:val="clear" w:color="auto" w:fill="auto"/>
                  <w:noWrap w:val="0"/>
                  <w:vAlign w:val="center"/>
                </w:tcPr>
                <w:p w14:paraId="32C87736">
                  <w:pPr>
                    <w:keepNext w:val="0"/>
                    <w:keepLines w:val="0"/>
                    <w:widowControl/>
                    <w:suppressLineNumbers w:val="0"/>
                    <w:adjustRightInd w:val="0"/>
                    <w:snapToGrid w:val="0"/>
                    <w:spacing w:before="0" w:beforeAutospacing="0" w:after="0" w:afterAutospacing="0" w:line="276" w:lineRule="auto"/>
                    <w:ind w:left="0" w:right="0"/>
                    <w:jc w:val="center"/>
                    <w:rPr>
                      <w:rFonts w:hint="eastAsia" w:ascii="Times New Roman" w:hAnsi="Times New Roman" w:eastAsia="宋体" w:cs="Times New Roman"/>
                      <w:strike w:val="0"/>
                      <w:dstrike w:val="0"/>
                      <w:color w:val="auto"/>
                      <w:kern w:val="2"/>
                      <w:sz w:val="18"/>
                      <w:szCs w:val="18"/>
                      <w:highlight w:val="none"/>
                      <w:lang w:val="en-US" w:eastAsia="zh-CN" w:bidi="ar-SA"/>
                    </w:rPr>
                  </w:pPr>
                  <w:r>
                    <w:rPr>
                      <w:rFonts w:hint="default" w:ascii="Times New Roman" w:hAnsi="Times New Roman" w:eastAsia="宋体" w:cs="Times New Roman"/>
                      <w:strike w:val="0"/>
                      <w:dstrike w:val="0"/>
                      <w:color w:val="auto"/>
                      <w:sz w:val="18"/>
                      <w:szCs w:val="18"/>
                      <w:highlight w:val="none"/>
                    </w:rPr>
                    <w:t>28.94418</w:t>
                  </w:r>
                  <w:r>
                    <w:rPr>
                      <w:rFonts w:hint="eastAsia" w:ascii="Times New Roman" w:hAnsi="Times New Roman" w:eastAsia="宋体" w:cs="Times New Roman"/>
                      <w:strike w:val="0"/>
                      <w:dstrike w:val="0"/>
                      <w:color w:val="auto"/>
                      <w:sz w:val="18"/>
                      <w:szCs w:val="18"/>
                      <w:highlight w:val="none"/>
                      <w:lang w:val="en-US" w:eastAsia="zh-CN"/>
                    </w:rPr>
                    <w:t>6</w:t>
                  </w:r>
                </w:p>
              </w:tc>
              <w:tc>
                <w:tcPr>
                  <w:tcW w:w="474" w:type="pct"/>
                  <w:tcBorders>
                    <w:top w:val="single" w:color="auto" w:sz="4" w:space="0"/>
                    <w:left w:val="single" w:color="auto" w:sz="4" w:space="0"/>
                    <w:bottom w:val="single" w:color="auto" w:sz="4" w:space="0"/>
                    <w:right w:val="single" w:color="auto" w:sz="4" w:space="0"/>
                  </w:tcBorders>
                  <w:shd w:val="clear" w:color="auto" w:fill="auto"/>
                  <w:noWrap w:val="0"/>
                  <w:vAlign w:val="center"/>
                </w:tcPr>
                <w:p w14:paraId="3CE4108E">
                  <w:pPr>
                    <w:keepNext w:val="0"/>
                    <w:keepLines w:val="0"/>
                    <w:widowControl/>
                    <w:suppressLineNumbers w:val="0"/>
                    <w:adjustRightInd w:val="0"/>
                    <w:snapToGrid w:val="0"/>
                    <w:spacing w:before="0" w:beforeAutospacing="0" w:after="0" w:afterAutospacing="0" w:line="276" w:lineRule="auto"/>
                    <w:ind w:left="0" w:right="0"/>
                    <w:jc w:val="center"/>
                    <w:rPr>
                      <w:rFonts w:hint="eastAsia" w:ascii="Times New Roman" w:hAnsi="Times New Roman" w:eastAsia="宋体" w:cs="Times New Roman"/>
                      <w:strike w:val="0"/>
                      <w:dstrike w:val="0"/>
                      <w:color w:val="auto"/>
                      <w:kern w:val="2"/>
                      <w:sz w:val="18"/>
                      <w:szCs w:val="18"/>
                      <w:highlight w:val="none"/>
                      <w:lang w:val="en-US" w:eastAsia="zh-CN" w:bidi="ar-SA"/>
                    </w:rPr>
                  </w:pPr>
                  <w:r>
                    <w:rPr>
                      <w:rFonts w:hint="eastAsia" w:ascii="Times New Roman" w:hAnsi="Times New Roman" w:eastAsia="宋体" w:cs="Times New Roman"/>
                      <w:strike w:val="0"/>
                      <w:dstrike w:val="0"/>
                      <w:color w:val="auto"/>
                      <w:sz w:val="18"/>
                      <w:szCs w:val="18"/>
                      <w:highlight w:val="none"/>
                      <w:lang w:val="en-US" w:eastAsia="zh-CN"/>
                    </w:rPr>
                    <w:t>学校</w:t>
                  </w:r>
                </w:p>
              </w:tc>
              <w:tc>
                <w:tcPr>
                  <w:tcW w:w="490" w:type="pct"/>
                  <w:tcBorders>
                    <w:top w:val="single" w:color="auto" w:sz="4" w:space="0"/>
                    <w:left w:val="single" w:color="auto" w:sz="4" w:space="0"/>
                    <w:bottom w:val="single" w:color="auto" w:sz="4" w:space="0"/>
                    <w:right w:val="single" w:color="auto" w:sz="4" w:space="0"/>
                  </w:tcBorders>
                  <w:shd w:val="clear" w:color="auto" w:fill="auto"/>
                  <w:noWrap w:val="0"/>
                  <w:vAlign w:val="center"/>
                </w:tcPr>
                <w:p w14:paraId="06B3B409">
                  <w:pPr>
                    <w:keepNext w:val="0"/>
                    <w:keepLines w:val="0"/>
                    <w:widowControl/>
                    <w:suppressLineNumbers w:val="0"/>
                    <w:adjustRightInd w:val="0"/>
                    <w:snapToGrid w:val="0"/>
                    <w:spacing w:before="0" w:beforeAutospacing="0" w:after="0" w:afterAutospacing="0" w:line="276" w:lineRule="auto"/>
                    <w:ind w:left="0" w:right="0"/>
                    <w:jc w:val="center"/>
                    <w:rPr>
                      <w:rFonts w:hint="eastAsia" w:ascii="Times New Roman" w:hAnsi="Times New Roman" w:eastAsia="宋体" w:cs="Times New Roman"/>
                      <w:strike w:val="0"/>
                      <w:dstrike w:val="0"/>
                      <w:color w:val="auto"/>
                      <w:kern w:val="2"/>
                      <w:sz w:val="18"/>
                      <w:szCs w:val="18"/>
                      <w:highlight w:val="none"/>
                      <w:lang w:val="en-US" w:eastAsia="zh-CN" w:bidi="ar-SA"/>
                    </w:rPr>
                  </w:pPr>
                  <w:r>
                    <w:rPr>
                      <w:rFonts w:hint="eastAsia" w:ascii="Times New Roman" w:hAnsi="Times New Roman" w:eastAsia="宋体" w:cs="Times New Roman"/>
                      <w:strike w:val="0"/>
                      <w:dstrike w:val="0"/>
                      <w:color w:val="auto"/>
                      <w:sz w:val="18"/>
                      <w:szCs w:val="18"/>
                      <w:highlight w:val="none"/>
                      <w:lang w:val="en-US" w:eastAsia="zh-CN"/>
                    </w:rPr>
                    <w:t>师生</w:t>
                  </w:r>
                </w:p>
              </w:tc>
              <w:tc>
                <w:tcPr>
                  <w:tcW w:w="499" w:type="pct"/>
                  <w:tcBorders>
                    <w:top w:val="single" w:color="auto" w:sz="4" w:space="0"/>
                    <w:left w:val="single" w:color="auto" w:sz="4" w:space="0"/>
                    <w:bottom w:val="single" w:color="auto" w:sz="4" w:space="0"/>
                    <w:right w:val="single" w:color="auto" w:sz="4" w:space="0"/>
                  </w:tcBorders>
                  <w:shd w:val="clear" w:color="auto" w:fill="auto"/>
                  <w:noWrap w:val="0"/>
                  <w:vAlign w:val="center"/>
                </w:tcPr>
                <w:p w14:paraId="6ACF7EEE">
                  <w:pPr>
                    <w:keepNext w:val="0"/>
                    <w:keepLines w:val="0"/>
                    <w:widowControl/>
                    <w:suppressLineNumbers w:val="0"/>
                    <w:adjustRightInd w:val="0"/>
                    <w:snapToGrid w:val="0"/>
                    <w:spacing w:before="0" w:beforeAutospacing="0" w:after="0" w:afterAutospacing="0" w:line="276" w:lineRule="auto"/>
                    <w:ind w:left="0" w:right="0"/>
                    <w:jc w:val="center"/>
                    <w:rPr>
                      <w:rFonts w:hint="eastAsia" w:ascii="Times New Roman" w:hAnsi="Times New Roman" w:eastAsia="宋体" w:cs="Times New Roman"/>
                      <w:strike w:val="0"/>
                      <w:dstrike w:val="0"/>
                      <w:color w:val="auto"/>
                      <w:kern w:val="2"/>
                      <w:sz w:val="18"/>
                      <w:szCs w:val="18"/>
                      <w:highlight w:val="none"/>
                      <w:lang w:val="en-US" w:eastAsia="zh-CN" w:bidi="ar-SA"/>
                    </w:rPr>
                  </w:pPr>
                  <w:r>
                    <w:rPr>
                      <w:rFonts w:hint="eastAsia" w:ascii="Times New Roman" w:hAnsi="Times New Roman" w:eastAsia="宋体" w:cs="Times New Roman"/>
                      <w:strike w:val="0"/>
                      <w:dstrike w:val="0"/>
                      <w:color w:val="auto"/>
                      <w:sz w:val="18"/>
                      <w:szCs w:val="18"/>
                      <w:highlight w:val="none"/>
                      <w:lang w:val="en-US" w:eastAsia="zh-CN"/>
                    </w:rPr>
                    <w:t>二类</w:t>
                  </w:r>
                </w:p>
              </w:tc>
              <w:tc>
                <w:tcPr>
                  <w:tcW w:w="453" w:type="pct"/>
                  <w:tcBorders>
                    <w:top w:val="single" w:color="auto" w:sz="4" w:space="0"/>
                    <w:left w:val="single" w:color="auto" w:sz="4" w:space="0"/>
                    <w:bottom w:val="single" w:color="auto" w:sz="4" w:space="0"/>
                    <w:right w:val="single" w:color="auto" w:sz="4" w:space="0"/>
                  </w:tcBorders>
                  <w:shd w:val="clear" w:color="auto" w:fill="auto"/>
                  <w:noWrap w:val="0"/>
                  <w:vAlign w:val="center"/>
                </w:tcPr>
                <w:p w14:paraId="0C580C8D">
                  <w:pPr>
                    <w:keepNext w:val="0"/>
                    <w:keepLines w:val="0"/>
                    <w:widowControl/>
                    <w:suppressLineNumbers w:val="0"/>
                    <w:adjustRightInd w:val="0"/>
                    <w:snapToGrid w:val="0"/>
                    <w:spacing w:before="0" w:beforeAutospacing="0" w:after="0" w:afterAutospacing="0" w:line="276" w:lineRule="auto"/>
                    <w:ind w:left="0" w:right="0"/>
                    <w:jc w:val="center"/>
                    <w:rPr>
                      <w:rFonts w:hint="default" w:ascii="Times New Roman" w:hAnsi="Times New Roman" w:eastAsia="宋体" w:cs="Times New Roman"/>
                      <w:strike w:val="0"/>
                      <w:dstrike w:val="0"/>
                      <w:color w:val="auto"/>
                      <w:kern w:val="2"/>
                      <w:sz w:val="18"/>
                      <w:szCs w:val="18"/>
                      <w:highlight w:val="none"/>
                      <w:lang w:val="en-US" w:eastAsia="zh-CN" w:bidi="ar-SA"/>
                    </w:rPr>
                  </w:pPr>
                  <w:r>
                    <w:rPr>
                      <w:rFonts w:hint="eastAsia" w:ascii="Times New Roman" w:hAnsi="Times New Roman" w:eastAsia="宋体" w:cs="Times New Roman"/>
                      <w:strike w:val="0"/>
                      <w:dstrike w:val="0"/>
                      <w:color w:val="auto"/>
                      <w:kern w:val="2"/>
                      <w:sz w:val="18"/>
                      <w:szCs w:val="18"/>
                      <w:highlight w:val="none"/>
                      <w:lang w:val="en-US" w:eastAsia="zh-CN" w:bidi="ar-SA"/>
                    </w:rPr>
                    <w:t>西南</w:t>
                  </w:r>
                </w:p>
              </w:tc>
              <w:tc>
                <w:tcPr>
                  <w:tcW w:w="551" w:type="pct"/>
                  <w:tcBorders>
                    <w:top w:val="single" w:color="auto" w:sz="4" w:space="0"/>
                    <w:left w:val="single" w:color="auto" w:sz="4" w:space="0"/>
                    <w:bottom w:val="single" w:color="auto" w:sz="4" w:space="0"/>
                    <w:right w:val="single" w:color="auto" w:sz="4" w:space="0"/>
                  </w:tcBorders>
                  <w:shd w:val="clear" w:color="auto" w:fill="auto"/>
                  <w:noWrap w:val="0"/>
                  <w:vAlign w:val="center"/>
                </w:tcPr>
                <w:p w14:paraId="2EAAB0F6">
                  <w:pPr>
                    <w:keepNext w:val="0"/>
                    <w:keepLines w:val="0"/>
                    <w:widowControl/>
                    <w:suppressLineNumbers w:val="0"/>
                    <w:adjustRightInd w:val="0"/>
                    <w:snapToGrid w:val="0"/>
                    <w:spacing w:before="0" w:beforeAutospacing="0" w:after="0" w:afterAutospacing="0" w:line="276" w:lineRule="auto"/>
                    <w:ind w:left="0" w:right="0"/>
                    <w:jc w:val="center"/>
                    <w:rPr>
                      <w:rFonts w:hint="default" w:ascii="Times New Roman" w:hAnsi="Times New Roman" w:eastAsia="宋体" w:cs="Times New Roman"/>
                      <w:strike w:val="0"/>
                      <w:dstrike w:val="0"/>
                      <w:color w:val="auto"/>
                      <w:kern w:val="2"/>
                      <w:sz w:val="18"/>
                      <w:szCs w:val="18"/>
                      <w:highlight w:val="none"/>
                      <w:lang w:val="en-US" w:eastAsia="zh-CN" w:bidi="ar-SA"/>
                    </w:rPr>
                  </w:pPr>
                  <w:r>
                    <w:rPr>
                      <w:rFonts w:hint="eastAsia" w:ascii="Times New Roman" w:hAnsi="Times New Roman" w:eastAsia="宋体" w:cs="Times New Roman"/>
                      <w:strike w:val="0"/>
                      <w:dstrike w:val="0"/>
                      <w:color w:val="auto"/>
                      <w:kern w:val="2"/>
                      <w:sz w:val="18"/>
                      <w:szCs w:val="18"/>
                      <w:highlight w:val="none"/>
                      <w:lang w:val="en-US" w:eastAsia="zh-CN" w:bidi="ar-SA"/>
                    </w:rPr>
                    <w:t>1300</w:t>
                  </w:r>
                </w:p>
              </w:tc>
            </w:tr>
            <w:tr w14:paraId="33C5E15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40" w:hRule="atLeast"/>
                <w:jc w:val="center"/>
              </w:trPr>
              <w:tc>
                <w:tcPr>
                  <w:tcW w:w="366" w:type="pct"/>
                  <w:tcBorders>
                    <w:left w:val="single" w:color="auto" w:sz="4" w:space="0"/>
                    <w:right w:val="single" w:color="auto" w:sz="4" w:space="0"/>
                  </w:tcBorders>
                  <w:noWrap w:val="0"/>
                  <w:vAlign w:val="center"/>
                </w:tcPr>
                <w:p w14:paraId="1C85AE78">
                  <w:pPr>
                    <w:keepNext w:val="0"/>
                    <w:keepLines w:val="0"/>
                    <w:widowControl/>
                    <w:suppressLineNumbers w:val="0"/>
                    <w:adjustRightInd w:val="0"/>
                    <w:snapToGrid w:val="0"/>
                    <w:spacing w:before="0" w:beforeAutospacing="0" w:after="0" w:afterAutospacing="0" w:line="276" w:lineRule="auto"/>
                    <w:ind w:left="0" w:right="0"/>
                    <w:jc w:val="center"/>
                    <w:rPr>
                      <w:rFonts w:hint="default" w:ascii="Times New Roman" w:hAnsi="Times New Roman" w:eastAsia="宋体" w:cs="Times New Roman"/>
                      <w:strike w:val="0"/>
                      <w:dstrike w:val="0"/>
                      <w:color w:val="auto"/>
                      <w:sz w:val="18"/>
                      <w:szCs w:val="18"/>
                      <w:highlight w:val="none"/>
                      <w:lang w:val="en-US" w:eastAsia="zh-CN"/>
                    </w:rPr>
                  </w:pPr>
                  <w:r>
                    <w:rPr>
                      <w:rFonts w:hint="eastAsia" w:ascii="Times New Roman" w:hAnsi="Times New Roman" w:eastAsia="宋体" w:cs="Times New Roman"/>
                      <w:strike w:val="0"/>
                      <w:dstrike w:val="0"/>
                      <w:color w:val="auto"/>
                      <w:sz w:val="18"/>
                      <w:szCs w:val="18"/>
                      <w:highlight w:val="none"/>
                      <w:lang w:val="en-US" w:eastAsia="zh-CN"/>
                    </w:rPr>
                    <w:t>50</w:t>
                  </w:r>
                </w:p>
              </w:tc>
              <w:tc>
                <w:tcPr>
                  <w:tcW w:w="1071" w:type="pct"/>
                  <w:tcBorders>
                    <w:top w:val="single" w:color="auto" w:sz="4" w:space="0"/>
                    <w:left w:val="single" w:color="auto" w:sz="4" w:space="0"/>
                    <w:bottom w:val="single" w:color="auto" w:sz="4" w:space="0"/>
                    <w:right w:val="single" w:color="auto" w:sz="4" w:space="0"/>
                  </w:tcBorders>
                  <w:shd w:val="clear" w:color="auto" w:fill="auto"/>
                  <w:noWrap w:val="0"/>
                  <w:vAlign w:val="center"/>
                </w:tcPr>
                <w:p w14:paraId="51E86B90">
                  <w:pPr>
                    <w:keepNext w:val="0"/>
                    <w:keepLines w:val="0"/>
                    <w:widowControl/>
                    <w:suppressLineNumbers w:val="0"/>
                    <w:adjustRightInd w:val="0"/>
                    <w:snapToGrid w:val="0"/>
                    <w:spacing w:before="0" w:beforeAutospacing="0" w:after="0" w:afterAutospacing="0" w:line="276" w:lineRule="auto"/>
                    <w:ind w:left="0" w:right="0"/>
                    <w:jc w:val="center"/>
                    <w:rPr>
                      <w:rFonts w:hint="default" w:ascii="Times New Roman" w:hAnsi="Times New Roman" w:eastAsia="宋体" w:cs="Times New Roman"/>
                      <w:strike w:val="0"/>
                      <w:dstrike w:val="0"/>
                      <w:color w:val="auto"/>
                      <w:kern w:val="2"/>
                      <w:sz w:val="18"/>
                      <w:szCs w:val="18"/>
                      <w:highlight w:val="none"/>
                      <w:lang w:val="en-US" w:eastAsia="zh-CN" w:bidi="ar-SA"/>
                    </w:rPr>
                  </w:pPr>
                  <w:r>
                    <w:rPr>
                      <w:rFonts w:hint="default" w:ascii="Times New Roman" w:hAnsi="Times New Roman" w:eastAsia="宋体" w:cs="Times New Roman"/>
                      <w:strike w:val="0"/>
                      <w:dstrike w:val="0"/>
                      <w:color w:val="auto"/>
                      <w:sz w:val="18"/>
                      <w:szCs w:val="18"/>
                      <w:highlight w:val="none"/>
                      <w:lang w:val="en-US" w:eastAsia="zh-CN"/>
                    </w:rPr>
                    <w:t>中央美术学院附属衢州中学</w:t>
                  </w:r>
                </w:p>
              </w:tc>
              <w:tc>
                <w:tcPr>
                  <w:tcW w:w="527" w:type="pct"/>
                  <w:tcBorders>
                    <w:top w:val="single" w:color="auto" w:sz="4" w:space="0"/>
                    <w:left w:val="single" w:color="auto" w:sz="4" w:space="0"/>
                    <w:bottom w:val="single" w:color="auto" w:sz="4" w:space="0"/>
                    <w:right w:val="single" w:color="auto" w:sz="4" w:space="0"/>
                  </w:tcBorders>
                  <w:shd w:val="clear" w:color="auto" w:fill="auto"/>
                  <w:noWrap w:val="0"/>
                  <w:vAlign w:val="center"/>
                </w:tcPr>
                <w:p w14:paraId="676F9478">
                  <w:pPr>
                    <w:keepNext w:val="0"/>
                    <w:keepLines w:val="0"/>
                    <w:widowControl/>
                    <w:suppressLineNumbers w:val="0"/>
                    <w:adjustRightInd w:val="0"/>
                    <w:snapToGrid w:val="0"/>
                    <w:spacing w:before="0" w:beforeAutospacing="0" w:after="0" w:afterAutospacing="0" w:line="276" w:lineRule="auto"/>
                    <w:ind w:left="0" w:right="0"/>
                    <w:jc w:val="center"/>
                    <w:rPr>
                      <w:rFonts w:hint="default" w:ascii="Times New Roman" w:hAnsi="Times New Roman" w:eastAsia="宋体" w:cs="Times New Roman"/>
                      <w:strike w:val="0"/>
                      <w:dstrike w:val="0"/>
                      <w:color w:val="auto"/>
                      <w:kern w:val="2"/>
                      <w:sz w:val="18"/>
                      <w:szCs w:val="18"/>
                      <w:highlight w:val="none"/>
                      <w:lang w:val="en-US" w:eastAsia="zh-CN" w:bidi="ar-SA"/>
                    </w:rPr>
                  </w:pPr>
                  <w:r>
                    <w:rPr>
                      <w:rFonts w:hint="default" w:ascii="Times New Roman" w:hAnsi="Times New Roman" w:eastAsia="宋体" w:cs="Times New Roman"/>
                      <w:strike w:val="0"/>
                      <w:dstrike w:val="0"/>
                      <w:color w:val="auto"/>
                      <w:sz w:val="18"/>
                      <w:szCs w:val="18"/>
                      <w:highlight w:val="none"/>
                    </w:rPr>
                    <w:t>118.815748</w:t>
                  </w:r>
                </w:p>
              </w:tc>
              <w:tc>
                <w:tcPr>
                  <w:tcW w:w="564" w:type="pct"/>
                  <w:tcBorders>
                    <w:top w:val="single" w:color="auto" w:sz="4" w:space="0"/>
                    <w:left w:val="single" w:color="auto" w:sz="4" w:space="0"/>
                    <w:bottom w:val="single" w:color="auto" w:sz="4" w:space="0"/>
                    <w:right w:val="single" w:color="auto" w:sz="4" w:space="0"/>
                  </w:tcBorders>
                  <w:shd w:val="clear" w:color="auto" w:fill="auto"/>
                  <w:noWrap w:val="0"/>
                  <w:vAlign w:val="center"/>
                </w:tcPr>
                <w:p w14:paraId="319ECBD4">
                  <w:pPr>
                    <w:keepNext w:val="0"/>
                    <w:keepLines w:val="0"/>
                    <w:widowControl/>
                    <w:suppressLineNumbers w:val="0"/>
                    <w:adjustRightInd w:val="0"/>
                    <w:snapToGrid w:val="0"/>
                    <w:spacing w:before="0" w:beforeAutospacing="0" w:after="0" w:afterAutospacing="0" w:line="276" w:lineRule="auto"/>
                    <w:ind w:left="0" w:right="0"/>
                    <w:jc w:val="center"/>
                    <w:rPr>
                      <w:rFonts w:hint="eastAsia" w:ascii="Times New Roman" w:hAnsi="Times New Roman" w:eastAsia="宋体" w:cs="Times New Roman"/>
                      <w:strike w:val="0"/>
                      <w:dstrike w:val="0"/>
                      <w:color w:val="auto"/>
                      <w:kern w:val="2"/>
                      <w:sz w:val="18"/>
                      <w:szCs w:val="18"/>
                      <w:highlight w:val="none"/>
                      <w:lang w:val="en-US" w:eastAsia="zh-CN" w:bidi="ar-SA"/>
                    </w:rPr>
                  </w:pPr>
                  <w:r>
                    <w:rPr>
                      <w:rFonts w:hint="default" w:ascii="Times New Roman" w:hAnsi="Times New Roman" w:eastAsia="宋体" w:cs="Times New Roman"/>
                      <w:strike w:val="0"/>
                      <w:dstrike w:val="0"/>
                      <w:color w:val="auto"/>
                      <w:sz w:val="18"/>
                      <w:szCs w:val="18"/>
                      <w:highlight w:val="none"/>
                    </w:rPr>
                    <w:t>28.94676</w:t>
                  </w:r>
                  <w:r>
                    <w:rPr>
                      <w:rFonts w:hint="eastAsia" w:ascii="Times New Roman" w:hAnsi="Times New Roman" w:eastAsia="宋体" w:cs="Times New Roman"/>
                      <w:strike w:val="0"/>
                      <w:dstrike w:val="0"/>
                      <w:color w:val="auto"/>
                      <w:sz w:val="18"/>
                      <w:szCs w:val="18"/>
                      <w:highlight w:val="none"/>
                      <w:lang w:val="en-US" w:eastAsia="zh-CN"/>
                    </w:rPr>
                    <w:t>1</w:t>
                  </w:r>
                </w:p>
              </w:tc>
              <w:tc>
                <w:tcPr>
                  <w:tcW w:w="474" w:type="pct"/>
                  <w:tcBorders>
                    <w:top w:val="single" w:color="auto" w:sz="4" w:space="0"/>
                    <w:left w:val="single" w:color="auto" w:sz="4" w:space="0"/>
                    <w:bottom w:val="single" w:color="auto" w:sz="4" w:space="0"/>
                    <w:right w:val="single" w:color="auto" w:sz="4" w:space="0"/>
                  </w:tcBorders>
                  <w:shd w:val="clear" w:color="auto" w:fill="auto"/>
                  <w:noWrap w:val="0"/>
                  <w:vAlign w:val="center"/>
                </w:tcPr>
                <w:p w14:paraId="0EC16DCB">
                  <w:pPr>
                    <w:keepNext w:val="0"/>
                    <w:keepLines w:val="0"/>
                    <w:widowControl/>
                    <w:suppressLineNumbers w:val="0"/>
                    <w:adjustRightInd w:val="0"/>
                    <w:snapToGrid w:val="0"/>
                    <w:spacing w:before="0" w:beforeAutospacing="0" w:after="0" w:afterAutospacing="0" w:line="276" w:lineRule="auto"/>
                    <w:ind w:left="0" w:right="0"/>
                    <w:jc w:val="center"/>
                    <w:rPr>
                      <w:rFonts w:hint="eastAsia" w:ascii="Times New Roman" w:hAnsi="Times New Roman" w:eastAsia="宋体" w:cs="Times New Roman"/>
                      <w:strike w:val="0"/>
                      <w:dstrike w:val="0"/>
                      <w:color w:val="auto"/>
                      <w:kern w:val="2"/>
                      <w:sz w:val="18"/>
                      <w:szCs w:val="18"/>
                      <w:highlight w:val="none"/>
                      <w:lang w:val="en-US" w:eastAsia="zh-CN" w:bidi="ar-SA"/>
                    </w:rPr>
                  </w:pPr>
                  <w:r>
                    <w:rPr>
                      <w:rFonts w:hint="eastAsia" w:ascii="Times New Roman" w:hAnsi="Times New Roman" w:eastAsia="宋体" w:cs="Times New Roman"/>
                      <w:strike w:val="0"/>
                      <w:dstrike w:val="0"/>
                      <w:color w:val="auto"/>
                      <w:sz w:val="18"/>
                      <w:szCs w:val="18"/>
                      <w:highlight w:val="none"/>
                      <w:lang w:val="en-US" w:eastAsia="zh-CN"/>
                    </w:rPr>
                    <w:t>学校</w:t>
                  </w:r>
                </w:p>
              </w:tc>
              <w:tc>
                <w:tcPr>
                  <w:tcW w:w="490" w:type="pct"/>
                  <w:tcBorders>
                    <w:top w:val="single" w:color="auto" w:sz="4" w:space="0"/>
                    <w:left w:val="single" w:color="auto" w:sz="4" w:space="0"/>
                    <w:bottom w:val="single" w:color="auto" w:sz="4" w:space="0"/>
                    <w:right w:val="single" w:color="auto" w:sz="4" w:space="0"/>
                  </w:tcBorders>
                  <w:shd w:val="clear" w:color="auto" w:fill="auto"/>
                  <w:noWrap w:val="0"/>
                  <w:vAlign w:val="center"/>
                </w:tcPr>
                <w:p w14:paraId="0C822B95">
                  <w:pPr>
                    <w:keepNext w:val="0"/>
                    <w:keepLines w:val="0"/>
                    <w:widowControl/>
                    <w:suppressLineNumbers w:val="0"/>
                    <w:adjustRightInd w:val="0"/>
                    <w:snapToGrid w:val="0"/>
                    <w:spacing w:before="0" w:beforeAutospacing="0" w:after="0" w:afterAutospacing="0" w:line="276" w:lineRule="auto"/>
                    <w:ind w:left="0" w:right="0"/>
                    <w:jc w:val="center"/>
                    <w:rPr>
                      <w:rFonts w:hint="eastAsia" w:ascii="Times New Roman" w:hAnsi="Times New Roman" w:eastAsia="宋体" w:cs="Times New Roman"/>
                      <w:strike w:val="0"/>
                      <w:dstrike w:val="0"/>
                      <w:color w:val="auto"/>
                      <w:kern w:val="2"/>
                      <w:sz w:val="18"/>
                      <w:szCs w:val="18"/>
                      <w:highlight w:val="none"/>
                      <w:lang w:val="en-US" w:eastAsia="zh-CN" w:bidi="ar-SA"/>
                    </w:rPr>
                  </w:pPr>
                  <w:r>
                    <w:rPr>
                      <w:rFonts w:hint="eastAsia" w:ascii="Times New Roman" w:hAnsi="Times New Roman" w:eastAsia="宋体" w:cs="Times New Roman"/>
                      <w:strike w:val="0"/>
                      <w:dstrike w:val="0"/>
                      <w:color w:val="auto"/>
                      <w:sz w:val="18"/>
                      <w:szCs w:val="18"/>
                      <w:highlight w:val="none"/>
                      <w:lang w:val="en-US" w:eastAsia="zh-CN"/>
                    </w:rPr>
                    <w:t>师生</w:t>
                  </w:r>
                </w:p>
              </w:tc>
              <w:tc>
                <w:tcPr>
                  <w:tcW w:w="499" w:type="pct"/>
                  <w:tcBorders>
                    <w:top w:val="single" w:color="auto" w:sz="4" w:space="0"/>
                    <w:left w:val="single" w:color="auto" w:sz="4" w:space="0"/>
                    <w:bottom w:val="single" w:color="auto" w:sz="4" w:space="0"/>
                    <w:right w:val="single" w:color="auto" w:sz="4" w:space="0"/>
                  </w:tcBorders>
                  <w:shd w:val="clear" w:color="auto" w:fill="auto"/>
                  <w:noWrap w:val="0"/>
                  <w:vAlign w:val="center"/>
                </w:tcPr>
                <w:p w14:paraId="5454665E">
                  <w:pPr>
                    <w:keepNext w:val="0"/>
                    <w:keepLines w:val="0"/>
                    <w:widowControl/>
                    <w:suppressLineNumbers w:val="0"/>
                    <w:adjustRightInd w:val="0"/>
                    <w:snapToGrid w:val="0"/>
                    <w:spacing w:before="0" w:beforeAutospacing="0" w:after="0" w:afterAutospacing="0" w:line="276" w:lineRule="auto"/>
                    <w:ind w:left="0" w:right="0"/>
                    <w:jc w:val="center"/>
                    <w:rPr>
                      <w:rFonts w:hint="eastAsia" w:ascii="Times New Roman" w:hAnsi="Times New Roman" w:eastAsia="宋体" w:cs="Times New Roman"/>
                      <w:strike w:val="0"/>
                      <w:dstrike w:val="0"/>
                      <w:color w:val="auto"/>
                      <w:kern w:val="2"/>
                      <w:sz w:val="18"/>
                      <w:szCs w:val="18"/>
                      <w:highlight w:val="none"/>
                      <w:lang w:val="en-US" w:eastAsia="zh-CN" w:bidi="ar-SA"/>
                    </w:rPr>
                  </w:pPr>
                  <w:r>
                    <w:rPr>
                      <w:rFonts w:hint="eastAsia" w:ascii="Times New Roman" w:hAnsi="Times New Roman" w:eastAsia="宋体" w:cs="Times New Roman"/>
                      <w:strike w:val="0"/>
                      <w:dstrike w:val="0"/>
                      <w:color w:val="auto"/>
                      <w:sz w:val="18"/>
                      <w:szCs w:val="18"/>
                      <w:highlight w:val="none"/>
                      <w:lang w:val="en-US" w:eastAsia="zh-CN"/>
                    </w:rPr>
                    <w:t>二类</w:t>
                  </w:r>
                </w:p>
              </w:tc>
              <w:tc>
                <w:tcPr>
                  <w:tcW w:w="453" w:type="pct"/>
                  <w:tcBorders>
                    <w:top w:val="single" w:color="auto" w:sz="4" w:space="0"/>
                    <w:left w:val="single" w:color="auto" w:sz="4" w:space="0"/>
                    <w:bottom w:val="single" w:color="auto" w:sz="4" w:space="0"/>
                    <w:right w:val="single" w:color="auto" w:sz="4" w:space="0"/>
                  </w:tcBorders>
                  <w:shd w:val="clear" w:color="auto" w:fill="auto"/>
                  <w:noWrap w:val="0"/>
                  <w:vAlign w:val="center"/>
                </w:tcPr>
                <w:p w14:paraId="0027EE5D">
                  <w:pPr>
                    <w:keepNext w:val="0"/>
                    <w:keepLines w:val="0"/>
                    <w:widowControl/>
                    <w:suppressLineNumbers w:val="0"/>
                    <w:adjustRightInd w:val="0"/>
                    <w:snapToGrid w:val="0"/>
                    <w:spacing w:before="0" w:beforeAutospacing="0" w:after="0" w:afterAutospacing="0" w:line="276" w:lineRule="auto"/>
                    <w:ind w:left="0" w:right="0"/>
                    <w:jc w:val="center"/>
                    <w:rPr>
                      <w:rFonts w:hint="default" w:ascii="Times New Roman" w:hAnsi="Times New Roman" w:eastAsia="宋体" w:cs="Times New Roman"/>
                      <w:strike w:val="0"/>
                      <w:dstrike w:val="0"/>
                      <w:color w:val="auto"/>
                      <w:kern w:val="2"/>
                      <w:sz w:val="18"/>
                      <w:szCs w:val="18"/>
                      <w:highlight w:val="none"/>
                      <w:lang w:val="en-US" w:eastAsia="zh-CN" w:bidi="ar-SA"/>
                    </w:rPr>
                  </w:pPr>
                  <w:r>
                    <w:rPr>
                      <w:rFonts w:hint="eastAsia" w:ascii="Times New Roman" w:hAnsi="Times New Roman" w:eastAsia="宋体" w:cs="Times New Roman"/>
                      <w:strike w:val="0"/>
                      <w:dstrike w:val="0"/>
                      <w:color w:val="auto"/>
                      <w:kern w:val="2"/>
                      <w:sz w:val="18"/>
                      <w:szCs w:val="18"/>
                      <w:highlight w:val="none"/>
                      <w:lang w:val="en-US" w:eastAsia="zh-CN" w:bidi="ar-SA"/>
                    </w:rPr>
                    <w:t>西南</w:t>
                  </w:r>
                </w:p>
              </w:tc>
              <w:tc>
                <w:tcPr>
                  <w:tcW w:w="551" w:type="pct"/>
                  <w:tcBorders>
                    <w:top w:val="single" w:color="auto" w:sz="4" w:space="0"/>
                    <w:left w:val="single" w:color="auto" w:sz="4" w:space="0"/>
                    <w:bottom w:val="single" w:color="auto" w:sz="4" w:space="0"/>
                    <w:right w:val="single" w:color="auto" w:sz="4" w:space="0"/>
                  </w:tcBorders>
                  <w:shd w:val="clear" w:color="auto" w:fill="auto"/>
                  <w:noWrap w:val="0"/>
                  <w:vAlign w:val="center"/>
                </w:tcPr>
                <w:p w14:paraId="085C5467">
                  <w:pPr>
                    <w:keepNext w:val="0"/>
                    <w:keepLines w:val="0"/>
                    <w:widowControl/>
                    <w:suppressLineNumbers w:val="0"/>
                    <w:adjustRightInd w:val="0"/>
                    <w:snapToGrid w:val="0"/>
                    <w:spacing w:before="0" w:beforeAutospacing="0" w:after="0" w:afterAutospacing="0" w:line="276" w:lineRule="auto"/>
                    <w:ind w:left="0" w:right="0"/>
                    <w:jc w:val="center"/>
                    <w:rPr>
                      <w:rFonts w:hint="default" w:ascii="Times New Roman" w:hAnsi="Times New Roman" w:eastAsia="宋体" w:cs="Times New Roman"/>
                      <w:strike w:val="0"/>
                      <w:dstrike w:val="0"/>
                      <w:color w:val="auto"/>
                      <w:kern w:val="2"/>
                      <w:sz w:val="18"/>
                      <w:szCs w:val="18"/>
                      <w:highlight w:val="none"/>
                      <w:lang w:val="en-US" w:eastAsia="zh-CN" w:bidi="ar-SA"/>
                    </w:rPr>
                  </w:pPr>
                  <w:r>
                    <w:rPr>
                      <w:rFonts w:hint="eastAsia" w:ascii="Times New Roman" w:hAnsi="Times New Roman" w:eastAsia="宋体" w:cs="Times New Roman"/>
                      <w:strike w:val="0"/>
                      <w:dstrike w:val="0"/>
                      <w:color w:val="auto"/>
                      <w:kern w:val="2"/>
                      <w:sz w:val="18"/>
                      <w:szCs w:val="18"/>
                      <w:highlight w:val="none"/>
                      <w:lang w:val="en-US" w:eastAsia="zh-CN" w:bidi="ar-SA"/>
                    </w:rPr>
                    <w:t>1400</w:t>
                  </w:r>
                </w:p>
              </w:tc>
            </w:tr>
            <w:tr w14:paraId="295714D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40" w:hRule="atLeast"/>
                <w:jc w:val="center"/>
              </w:trPr>
              <w:tc>
                <w:tcPr>
                  <w:tcW w:w="366" w:type="pct"/>
                  <w:tcBorders>
                    <w:left w:val="single" w:color="auto" w:sz="4" w:space="0"/>
                    <w:right w:val="single" w:color="auto" w:sz="4" w:space="0"/>
                  </w:tcBorders>
                  <w:noWrap w:val="0"/>
                  <w:vAlign w:val="center"/>
                </w:tcPr>
                <w:p w14:paraId="6611C600">
                  <w:pPr>
                    <w:keepNext w:val="0"/>
                    <w:keepLines w:val="0"/>
                    <w:widowControl/>
                    <w:suppressLineNumbers w:val="0"/>
                    <w:adjustRightInd w:val="0"/>
                    <w:snapToGrid w:val="0"/>
                    <w:spacing w:before="0" w:beforeAutospacing="0" w:after="0" w:afterAutospacing="0" w:line="276" w:lineRule="auto"/>
                    <w:ind w:left="0" w:right="0"/>
                    <w:jc w:val="center"/>
                    <w:rPr>
                      <w:rFonts w:hint="default" w:ascii="Times New Roman" w:hAnsi="Times New Roman" w:eastAsia="宋体" w:cs="Times New Roman"/>
                      <w:strike w:val="0"/>
                      <w:dstrike w:val="0"/>
                      <w:color w:val="auto"/>
                      <w:sz w:val="18"/>
                      <w:szCs w:val="18"/>
                      <w:highlight w:val="none"/>
                      <w:lang w:val="en-US" w:eastAsia="zh-CN"/>
                    </w:rPr>
                  </w:pPr>
                  <w:r>
                    <w:rPr>
                      <w:rFonts w:hint="eastAsia" w:ascii="Times New Roman" w:hAnsi="Times New Roman" w:eastAsia="宋体" w:cs="Times New Roman"/>
                      <w:strike w:val="0"/>
                      <w:dstrike w:val="0"/>
                      <w:color w:val="auto"/>
                      <w:sz w:val="18"/>
                      <w:szCs w:val="18"/>
                      <w:highlight w:val="none"/>
                      <w:lang w:val="en-US" w:eastAsia="zh-CN"/>
                    </w:rPr>
                    <w:t>51</w:t>
                  </w:r>
                </w:p>
              </w:tc>
              <w:tc>
                <w:tcPr>
                  <w:tcW w:w="1071" w:type="pct"/>
                  <w:tcBorders>
                    <w:top w:val="single" w:color="auto" w:sz="4" w:space="0"/>
                    <w:left w:val="single" w:color="auto" w:sz="4" w:space="0"/>
                    <w:bottom w:val="single" w:color="auto" w:sz="4" w:space="0"/>
                    <w:right w:val="single" w:color="auto" w:sz="4" w:space="0"/>
                  </w:tcBorders>
                  <w:shd w:val="clear" w:color="auto" w:fill="auto"/>
                  <w:noWrap w:val="0"/>
                  <w:vAlign w:val="center"/>
                </w:tcPr>
                <w:p w14:paraId="58451F07">
                  <w:pPr>
                    <w:keepNext w:val="0"/>
                    <w:keepLines w:val="0"/>
                    <w:widowControl/>
                    <w:suppressLineNumbers w:val="0"/>
                    <w:adjustRightInd w:val="0"/>
                    <w:snapToGrid w:val="0"/>
                    <w:spacing w:before="0" w:beforeAutospacing="0" w:after="0" w:afterAutospacing="0" w:line="276" w:lineRule="auto"/>
                    <w:ind w:left="0" w:right="0"/>
                    <w:jc w:val="center"/>
                    <w:rPr>
                      <w:rFonts w:hint="default" w:ascii="Times New Roman" w:hAnsi="Times New Roman" w:eastAsia="宋体" w:cs="Times New Roman"/>
                      <w:strike w:val="0"/>
                      <w:dstrike w:val="0"/>
                      <w:color w:val="auto"/>
                      <w:kern w:val="2"/>
                      <w:sz w:val="18"/>
                      <w:szCs w:val="18"/>
                      <w:highlight w:val="none"/>
                      <w:lang w:val="en-US" w:eastAsia="zh-CN" w:bidi="ar-SA"/>
                    </w:rPr>
                  </w:pPr>
                  <w:r>
                    <w:rPr>
                      <w:rFonts w:hint="default" w:ascii="Times New Roman" w:hAnsi="Times New Roman" w:eastAsia="宋体" w:cs="Times New Roman"/>
                      <w:strike w:val="0"/>
                      <w:dstrike w:val="0"/>
                      <w:color w:val="auto"/>
                      <w:sz w:val="18"/>
                      <w:szCs w:val="18"/>
                      <w:highlight w:val="none"/>
                      <w:lang w:val="en-US" w:eastAsia="zh-CN"/>
                    </w:rPr>
                    <w:t>浙江省衢州高级中学</w:t>
                  </w:r>
                </w:p>
              </w:tc>
              <w:tc>
                <w:tcPr>
                  <w:tcW w:w="527" w:type="pct"/>
                  <w:tcBorders>
                    <w:top w:val="single" w:color="auto" w:sz="4" w:space="0"/>
                    <w:left w:val="single" w:color="auto" w:sz="4" w:space="0"/>
                    <w:bottom w:val="single" w:color="auto" w:sz="4" w:space="0"/>
                    <w:right w:val="single" w:color="auto" w:sz="4" w:space="0"/>
                  </w:tcBorders>
                  <w:shd w:val="clear" w:color="auto" w:fill="auto"/>
                  <w:noWrap w:val="0"/>
                  <w:vAlign w:val="center"/>
                </w:tcPr>
                <w:p w14:paraId="05167C74">
                  <w:pPr>
                    <w:keepNext w:val="0"/>
                    <w:keepLines w:val="0"/>
                    <w:widowControl/>
                    <w:suppressLineNumbers w:val="0"/>
                    <w:adjustRightInd w:val="0"/>
                    <w:snapToGrid w:val="0"/>
                    <w:spacing w:before="0" w:beforeAutospacing="0" w:after="0" w:afterAutospacing="0" w:line="276" w:lineRule="auto"/>
                    <w:ind w:left="0" w:right="0"/>
                    <w:jc w:val="center"/>
                    <w:rPr>
                      <w:rFonts w:hint="eastAsia" w:ascii="Times New Roman" w:hAnsi="Times New Roman" w:eastAsia="宋体" w:cs="Times New Roman"/>
                      <w:strike w:val="0"/>
                      <w:dstrike w:val="0"/>
                      <w:color w:val="auto"/>
                      <w:kern w:val="2"/>
                      <w:sz w:val="18"/>
                      <w:szCs w:val="18"/>
                      <w:highlight w:val="none"/>
                      <w:lang w:val="en-US" w:eastAsia="zh-CN" w:bidi="ar-SA"/>
                    </w:rPr>
                  </w:pPr>
                  <w:r>
                    <w:rPr>
                      <w:rFonts w:hint="default" w:ascii="Times New Roman" w:hAnsi="Times New Roman" w:eastAsia="宋体" w:cs="Times New Roman"/>
                      <w:strike w:val="0"/>
                      <w:dstrike w:val="0"/>
                      <w:color w:val="auto"/>
                      <w:sz w:val="18"/>
                      <w:szCs w:val="18"/>
                      <w:highlight w:val="none"/>
                    </w:rPr>
                    <w:t>118.81435</w:t>
                  </w:r>
                  <w:r>
                    <w:rPr>
                      <w:rFonts w:hint="eastAsia" w:ascii="Times New Roman" w:hAnsi="Times New Roman" w:eastAsia="宋体" w:cs="Times New Roman"/>
                      <w:strike w:val="0"/>
                      <w:dstrike w:val="0"/>
                      <w:color w:val="auto"/>
                      <w:sz w:val="18"/>
                      <w:szCs w:val="18"/>
                      <w:highlight w:val="none"/>
                      <w:lang w:val="en-US" w:eastAsia="zh-CN"/>
                    </w:rPr>
                    <w:t>4</w:t>
                  </w:r>
                </w:p>
              </w:tc>
              <w:tc>
                <w:tcPr>
                  <w:tcW w:w="564" w:type="pct"/>
                  <w:tcBorders>
                    <w:top w:val="single" w:color="auto" w:sz="4" w:space="0"/>
                    <w:left w:val="single" w:color="auto" w:sz="4" w:space="0"/>
                    <w:bottom w:val="single" w:color="auto" w:sz="4" w:space="0"/>
                    <w:right w:val="single" w:color="auto" w:sz="4" w:space="0"/>
                  </w:tcBorders>
                  <w:shd w:val="clear" w:color="auto" w:fill="auto"/>
                  <w:noWrap w:val="0"/>
                  <w:vAlign w:val="center"/>
                </w:tcPr>
                <w:p w14:paraId="1D1B549A">
                  <w:pPr>
                    <w:keepNext w:val="0"/>
                    <w:keepLines w:val="0"/>
                    <w:widowControl/>
                    <w:suppressLineNumbers w:val="0"/>
                    <w:adjustRightInd w:val="0"/>
                    <w:snapToGrid w:val="0"/>
                    <w:spacing w:before="0" w:beforeAutospacing="0" w:after="0" w:afterAutospacing="0" w:line="276" w:lineRule="auto"/>
                    <w:ind w:left="0" w:right="0"/>
                    <w:jc w:val="center"/>
                    <w:rPr>
                      <w:rFonts w:hint="eastAsia" w:ascii="Times New Roman" w:hAnsi="Times New Roman" w:eastAsia="宋体" w:cs="Times New Roman"/>
                      <w:strike w:val="0"/>
                      <w:dstrike w:val="0"/>
                      <w:color w:val="auto"/>
                      <w:kern w:val="2"/>
                      <w:sz w:val="18"/>
                      <w:szCs w:val="18"/>
                      <w:highlight w:val="none"/>
                      <w:lang w:val="en-US" w:eastAsia="zh-CN" w:bidi="ar-SA"/>
                    </w:rPr>
                  </w:pPr>
                  <w:r>
                    <w:rPr>
                      <w:rFonts w:hint="default" w:ascii="Times New Roman" w:hAnsi="Times New Roman" w:eastAsia="宋体" w:cs="Times New Roman"/>
                      <w:strike w:val="0"/>
                      <w:dstrike w:val="0"/>
                      <w:color w:val="auto"/>
                      <w:sz w:val="18"/>
                      <w:szCs w:val="18"/>
                      <w:highlight w:val="none"/>
                    </w:rPr>
                    <w:t>28.94446</w:t>
                  </w:r>
                  <w:r>
                    <w:rPr>
                      <w:rFonts w:hint="eastAsia" w:ascii="Times New Roman" w:hAnsi="Times New Roman" w:eastAsia="宋体" w:cs="Times New Roman"/>
                      <w:strike w:val="0"/>
                      <w:dstrike w:val="0"/>
                      <w:color w:val="auto"/>
                      <w:sz w:val="18"/>
                      <w:szCs w:val="18"/>
                      <w:highlight w:val="none"/>
                      <w:lang w:val="en-US" w:eastAsia="zh-CN"/>
                    </w:rPr>
                    <w:t>5</w:t>
                  </w:r>
                </w:p>
              </w:tc>
              <w:tc>
                <w:tcPr>
                  <w:tcW w:w="474" w:type="pct"/>
                  <w:tcBorders>
                    <w:top w:val="single" w:color="auto" w:sz="4" w:space="0"/>
                    <w:left w:val="single" w:color="auto" w:sz="4" w:space="0"/>
                    <w:bottom w:val="single" w:color="auto" w:sz="4" w:space="0"/>
                    <w:right w:val="single" w:color="auto" w:sz="4" w:space="0"/>
                  </w:tcBorders>
                  <w:shd w:val="clear" w:color="auto" w:fill="auto"/>
                  <w:noWrap w:val="0"/>
                  <w:vAlign w:val="center"/>
                </w:tcPr>
                <w:p w14:paraId="0B098959">
                  <w:pPr>
                    <w:keepNext w:val="0"/>
                    <w:keepLines w:val="0"/>
                    <w:widowControl/>
                    <w:suppressLineNumbers w:val="0"/>
                    <w:adjustRightInd w:val="0"/>
                    <w:snapToGrid w:val="0"/>
                    <w:spacing w:before="0" w:beforeAutospacing="0" w:after="0" w:afterAutospacing="0" w:line="276" w:lineRule="auto"/>
                    <w:ind w:left="0" w:right="0"/>
                    <w:jc w:val="center"/>
                    <w:rPr>
                      <w:rFonts w:hint="eastAsia" w:ascii="Times New Roman" w:hAnsi="Times New Roman" w:eastAsia="宋体" w:cs="Times New Roman"/>
                      <w:strike w:val="0"/>
                      <w:dstrike w:val="0"/>
                      <w:color w:val="auto"/>
                      <w:kern w:val="2"/>
                      <w:sz w:val="18"/>
                      <w:szCs w:val="18"/>
                      <w:highlight w:val="none"/>
                      <w:lang w:val="en-US" w:eastAsia="zh-CN" w:bidi="ar-SA"/>
                    </w:rPr>
                  </w:pPr>
                  <w:r>
                    <w:rPr>
                      <w:rFonts w:hint="eastAsia" w:ascii="Times New Roman" w:hAnsi="Times New Roman" w:eastAsia="宋体" w:cs="Times New Roman"/>
                      <w:strike w:val="0"/>
                      <w:dstrike w:val="0"/>
                      <w:color w:val="auto"/>
                      <w:sz w:val="18"/>
                      <w:szCs w:val="18"/>
                      <w:highlight w:val="none"/>
                      <w:lang w:val="en-US" w:eastAsia="zh-CN"/>
                    </w:rPr>
                    <w:t>学校</w:t>
                  </w:r>
                </w:p>
              </w:tc>
              <w:tc>
                <w:tcPr>
                  <w:tcW w:w="490" w:type="pct"/>
                  <w:tcBorders>
                    <w:top w:val="single" w:color="auto" w:sz="4" w:space="0"/>
                    <w:left w:val="single" w:color="auto" w:sz="4" w:space="0"/>
                    <w:bottom w:val="single" w:color="auto" w:sz="4" w:space="0"/>
                    <w:right w:val="single" w:color="auto" w:sz="4" w:space="0"/>
                  </w:tcBorders>
                  <w:shd w:val="clear" w:color="auto" w:fill="auto"/>
                  <w:noWrap w:val="0"/>
                  <w:vAlign w:val="center"/>
                </w:tcPr>
                <w:p w14:paraId="6CB86AD5">
                  <w:pPr>
                    <w:keepNext w:val="0"/>
                    <w:keepLines w:val="0"/>
                    <w:widowControl/>
                    <w:suppressLineNumbers w:val="0"/>
                    <w:adjustRightInd w:val="0"/>
                    <w:snapToGrid w:val="0"/>
                    <w:spacing w:before="0" w:beforeAutospacing="0" w:after="0" w:afterAutospacing="0" w:line="276" w:lineRule="auto"/>
                    <w:ind w:left="0" w:right="0"/>
                    <w:jc w:val="center"/>
                    <w:rPr>
                      <w:rFonts w:hint="eastAsia" w:ascii="Times New Roman" w:hAnsi="Times New Roman" w:eastAsia="宋体" w:cs="Times New Roman"/>
                      <w:strike w:val="0"/>
                      <w:dstrike w:val="0"/>
                      <w:color w:val="auto"/>
                      <w:kern w:val="2"/>
                      <w:sz w:val="18"/>
                      <w:szCs w:val="18"/>
                      <w:highlight w:val="none"/>
                      <w:lang w:val="en-US" w:eastAsia="zh-CN" w:bidi="ar-SA"/>
                    </w:rPr>
                  </w:pPr>
                  <w:r>
                    <w:rPr>
                      <w:rFonts w:hint="eastAsia" w:ascii="Times New Roman" w:hAnsi="Times New Roman" w:eastAsia="宋体" w:cs="Times New Roman"/>
                      <w:strike w:val="0"/>
                      <w:dstrike w:val="0"/>
                      <w:color w:val="auto"/>
                      <w:sz w:val="18"/>
                      <w:szCs w:val="18"/>
                      <w:highlight w:val="none"/>
                      <w:lang w:val="en-US" w:eastAsia="zh-CN"/>
                    </w:rPr>
                    <w:t>师生</w:t>
                  </w:r>
                </w:p>
              </w:tc>
              <w:tc>
                <w:tcPr>
                  <w:tcW w:w="499" w:type="pct"/>
                  <w:tcBorders>
                    <w:top w:val="single" w:color="auto" w:sz="4" w:space="0"/>
                    <w:left w:val="single" w:color="auto" w:sz="4" w:space="0"/>
                    <w:bottom w:val="single" w:color="auto" w:sz="4" w:space="0"/>
                    <w:right w:val="single" w:color="auto" w:sz="4" w:space="0"/>
                  </w:tcBorders>
                  <w:shd w:val="clear" w:color="auto" w:fill="auto"/>
                  <w:noWrap w:val="0"/>
                  <w:vAlign w:val="center"/>
                </w:tcPr>
                <w:p w14:paraId="6E9664FA">
                  <w:pPr>
                    <w:keepNext w:val="0"/>
                    <w:keepLines w:val="0"/>
                    <w:widowControl/>
                    <w:suppressLineNumbers w:val="0"/>
                    <w:adjustRightInd w:val="0"/>
                    <w:snapToGrid w:val="0"/>
                    <w:spacing w:before="0" w:beforeAutospacing="0" w:after="0" w:afterAutospacing="0" w:line="276" w:lineRule="auto"/>
                    <w:ind w:left="0" w:right="0"/>
                    <w:jc w:val="center"/>
                    <w:rPr>
                      <w:rFonts w:hint="eastAsia" w:ascii="Times New Roman" w:hAnsi="Times New Roman" w:eastAsia="宋体" w:cs="Times New Roman"/>
                      <w:strike w:val="0"/>
                      <w:dstrike w:val="0"/>
                      <w:color w:val="auto"/>
                      <w:kern w:val="2"/>
                      <w:sz w:val="18"/>
                      <w:szCs w:val="18"/>
                      <w:highlight w:val="none"/>
                      <w:lang w:val="en-US" w:eastAsia="zh-CN" w:bidi="ar-SA"/>
                    </w:rPr>
                  </w:pPr>
                  <w:r>
                    <w:rPr>
                      <w:rFonts w:hint="eastAsia" w:ascii="Times New Roman" w:hAnsi="Times New Roman" w:eastAsia="宋体" w:cs="Times New Roman"/>
                      <w:strike w:val="0"/>
                      <w:dstrike w:val="0"/>
                      <w:color w:val="auto"/>
                      <w:sz w:val="18"/>
                      <w:szCs w:val="18"/>
                      <w:highlight w:val="none"/>
                      <w:lang w:val="en-US" w:eastAsia="zh-CN"/>
                    </w:rPr>
                    <w:t>二类</w:t>
                  </w:r>
                </w:p>
              </w:tc>
              <w:tc>
                <w:tcPr>
                  <w:tcW w:w="453" w:type="pct"/>
                  <w:tcBorders>
                    <w:top w:val="single" w:color="auto" w:sz="4" w:space="0"/>
                    <w:left w:val="single" w:color="auto" w:sz="4" w:space="0"/>
                    <w:bottom w:val="single" w:color="auto" w:sz="4" w:space="0"/>
                    <w:right w:val="single" w:color="auto" w:sz="4" w:space="0"/>
                  </w:tcBorders>
                  <w:shd w:val="clear" w:color="auto" w:fill="auto"/>
                  <w:noWrap w:val="0"/>
                  <w:vAlign w:val="center"/>
                </w:tcPr>
                <w:p w14:paraId="6C21780E">
                  <w:pPr>
                    <w:keepNext w:val="0"/>
                    <w:keepLines w:val="0"/>
                    <w:widowControl/>
                    <w:suppressLineNumbers w:val="0"/>
                    <w:adjustRightInd w:val="0"/>
                    <w:snapToGrid w:val="0"/>
                    <w:spacing w:before="0" w:beforeAutospacing="0" w:after="0" w:afterAutospacing="0" w:line="276" w:lineRule="auto"/>
                    <w:ind w:left="0" w:right="0"/>
                    <w:jc w:val="center"/>
                    <w:rPr>
                      <w:rFonts w:hint="default" w:ascii="Times New Roman" w:hAnsi="Times New Roman" w:eastAsia="宋体" w:cs="Times New Roman"/>
                      <w:strike w:val="0"/>
                      <w:dstrike w:val="0"/>
                      <w:color w:val="auto"/>
                      <w:kern w:val="2"/>
                      <w:sz w:val="18"/>
                      <w:szCs w:val="18"/>
                      <w:highlight w:val="none"/>
                      <w:lang w:val="en-US" w:eastAsia="zh-CN" w:bidi="ar-SA"/>
                    </w:rPr>
                  </w:pPr>
                  <w:r>
                    <w:rPr>
                      <w:rFonts w:hint="eastAsia" w:ascii="Times New Roman" w:hAnsi="Times New Roman" w:eastAsia="宋体" w:cs="Times New Roman"/>
                      <w:strike w:val="0"/>
                      <w:dstrike w:val="0"/>
                      <w:color w:val="auto"/>
                      <w:kern w:val="2"/>
                      <w:sz w:val="18"/>
                      <w:szCs w:val="18"/>
                      <w:highlight w:val="none"/>
                      <w:lang w:val="en-US" w:eastAsia="zh-CN" w:bidi="ar-SA"/>
                    </w:rPr>
                    <w:t>西南</w:t>
                  </w:r>
                </w:p>
              </w:tc>
              <w:tc>
                <w:tcPr>
                  <w:tcW w:w="551" w:type="pct"/>
                  <w:tcBorders>
                    <w:top w:val="single" w:color="auto" w:sz="4" w:space="0"/>
                    <w:left w:val="single" w:color="auto" w:sz="4" w:space="0"/>
                    <w:bottom w:val="single" w:color="auto" w:sz="4" w:space="0"/>
                    <w:right w:val="single" w:color="auto" w:sz="4" w:space="0"/>
                  </w:tcBorders>
                  <w:shd w:val="clear" w:color="auto" w:fill="auto"/>
                  <w:noWrap w:val="0"/>
                  <w:vAlign w:val="center"/>
                </w:tcPr>
                <w:p w14:paraId="66D84901">
                  <w:pPr>
                    <w:keepNext w:val="0"/>
                    <w:keepLines w:val="0"/>
                    <w:widowControl/>
                    <w:suppressLineNumbers w:val="0"/>
                    <w:adjustRightInd w:val="0"/>
                    <w:snapToGrid w:val="0"/>
                    <w:spacing w:before="0" w:beforeAutospacing="0" w:after="0" w:afterAutospacing="0" w:line="276" w:lineRule="auto"/>
                    <w:ind w:left="0" w:right="0"/>
                    <w:jc w:val="center"/>
                    <w:rPr>
                      <w:rFonts w:hint="default" w:ascii="Times New Roman" w:hAnsi="Times New Roman" w:eastAsia="宋体" w:cs="Times New Roman"/>
                      <w:strike w:val="0"/>
                      <w:dstrike w:val="0"/>
                      <w:color w:val="auto"/>
                      <w:kern w:val="2"/>
                      <w:sz w:val="18"/>
                      <w:szCs w:val="18"/>
                      <w:highlight w:val="none"/>
                      <w:lang w:val="en-US" w:eastAsia="zh-CN" w:bidi="ar-SA"/>
                    </w:rPr>
                  </w:pPr>
                  <w:r>
                    <w:rPr>
                      <w:rFonts w:hint="eastAsia" w:ascii="Times New Roman" w:hAnsi="Times New Roman" w:eastAsia="宋体" w:cs="Times New Roman"/>
                      <w:strike w:val="0"/>
                      <w:dstrike w:val="0"/>
                      <w:color w:val="auto"/>
                      <w:kern w:val="2"/>
                      <w:sz w:val="18"/>
                      <w:szCs w:val="18"/>
                      <w:highlight w:val="none"/>
                      <w:lang w:val="en-US" w:eastAsia="zh-CN" w:bidi="ar-SA"/>
                    </w:rPr>
                    <w:t>1500</w:t>
                  </w:r>
                </w:p>
              </w:tc>
            </w:tr>
            <w:tr w14:paraId="0DE659D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40" w:hRule="atLeast"/>
                <w:jc w:val="center"/>
              </w:trPr>
              <w:tc>
                <w:tcPr>
                  <w:tcW w:w="366" w:type="pct"/>
                  <w:tcBorders>
                    <w:left w:val="single" w:color="auto" w:sz="4" w:space="0"/>
                    <w:right w:val="single" w:color="auto" w:sz="4" w:space="0"/>
                  </w:tcBorders>
                  <w:noWrap w:val="0"/>
                  <w:vAlign w:val="center"/>
                </w:tcPr>
                <w:p w14:paraId="24F94F45">
                  <w:pPr>
                    <w:keepNext w:val="0"/>
                    <w:keepLines w:val="0"/>
                    <w:widowControl/>
                    <w:suppressLineNumbers w:val="0"/>
                    <w:adjustRightInd w:val="0"/>
                    <w:snapToGrid w:val="0"/>
                    <w:spacing w:before="0" w:beforeAutospacing="0" w:after="0" w:afterAutospacing="0" w:line="276" w:lineRule="auto"/>
                    <w:ind w:left="0" w:right="0"/>
                    <w:jc w:val="center"/>
                    <w:rPr>
                      <w:rFonts w:hint="default" w:ascii="Times New Roman" w:hAnsi="Times New Roman" w:eastAsia="宋体" w:cs="Times New Roman"/>
                      <w:strike w:val="0"/>
                      <w:dstrike w:val="0"/>
                      <w:color w:val="auto"/>
                      <w:sz w:val="18"/>
                      <w:szCs w:val="18"/>
                      <w:highlight w:val="none"/>
                      <w:lang w:val="en-US" w:eastAsia="zh-CN"/>
                    </w:rPr>
                  </w:pPr>
                  <w:r>
                    <w:rPr>
                      <w:rFonts w:hint="eastAsia" w:ascii="Times New Roman" w:hAnsi="Times New Roman" w:eastAsia="宋体" w:cs="Times New Roman"/>
                      <w:strike w:val="0"/>
                      <w:dstrike w:val="0"/>
                      <w:color w:val="auto"/>
                      <w:sz w:val="18"/>
                      <w:szCs w:val="18"/>
                      <w:highlight w:val="none"/>
                      <w:lang w:val="en-US" w:eastAsia="zh-CN"/>
                    </w:rPr>
                    <w:t>52</w:t>
                  </w:r>
                </w:p>
              </w:tc>
              <w:tc>
                <w:tcPr>
                  <w:tcW w:w="1071" w:type="pct"/>
                  <w:tcBorders>
                    <w:top w:val="single" w:color="auto" w:sz="4" w:space="0"/>
                    <w:left w:val="single" w:color="auto" w:sz="4" w:space="0"/>
                    <w:bottom w:val="single" w:color="auto" w:sz="4" w:space="0"/>
                    <w:right w:val="single" w:color="auto" w:sz="4" w:space="0"/>
                  </w:tcBorders>
                  <w:shd w:val="clear" w:color="auto" w:fill="auto"/>
                  <w:noWrap w:val="0"/>
                  <w:vAlign w:val="center"/>
                </w:tcPr>
                <w:p w14:paraId="4E1749AE">
                  <w:pPr>
                    <w:keepNext w:val="0"/>
                    <w:keepLines w:val="0"/>
                    <w:widowControl/>
                    <w:suppressLineNumbers w:val="0"/>
                    <w:adjustRightInd w:val="0"/>
                    <w:snapToGrid w:val="0"/>
                    <w:spacing w:before="0" w:beforeAutospacing="0" w:after="0" w:afterAutospacing="0" w:line="276" w:lineRule="auto"/>
                    <w:ind w:left="0" w:right="0"/>
                    <w:jc w:val="center"/>
                    <w:rPr>
                      <w:rFonts w:hint="default" w:ascii="Times New Roman" w:hAnsi="Times New Roman" w:eastAsia="宋体" w:cs="Times New Roman"/>
                      <w:strike w:val="0"/>
                      <w:dstrike w:val="0"/>
                      <w:color w:val="auto"/>
                      <w:kern w:val="2"/>
                      <w:sz w:val="18"/>
                      <w:szCs w:val="18"/>
                      <w:highlight w:val="none"/>
                      <w:lang w:val="en-US" w:eastAsia="zh-CN" w:bidi="ar-SA"/>
                    </w:rPr>
                  </w:pPr>
                  <w:r>
                    <w:rPr>
                      <w:rFonts w:hint="default" w:ascii="Times New Roman" w:hAnsi="Times New Roman" w:eastAsia="宋体" w:cs="Times New Roman"/>
                      <w:strike w:val="0"/>
                      <w:dstrike w:val="0"/>
                      <w:color w:val="auto"/>
                      <w:sz w:val="18"/>
                      <w:szCs w:val="18"/>
                      <w:highlight w:val="none"/>
                      <w:lang w:val="en-US" w:eastAsia="zh-CN"/>
                    </w:rPr>
                    <w:t>前昏村</w:t>
                  </w:r>
                </w:p>
              </w:tc>
              <w:tc>
                <w:tcPr>
                  <w:tcW w:w="527" w:type="pct"/>
                  <w:tcBorders>
                    <w:top w:val="single" w:color="auto" w:sz="4" w:space="0"/>
                    <w:left w:val="single" w:color="auto" w:sz="4" w:space="0"/>
                    <w:bottom w:val="single" w:color="auto" w:sz="4" w:space="0"/>
                    <w:right w:val="single" w:color="auto" w:sz="4" w:space="0"/>
                  </w:tcBorders>
                  <w:shd w:val="clear" w:color="auto" w:fill="auto"/>
                  <w:noWrap w:val="0"/>
                  <w:vAlign w:val="center"/>
                </w:tcPr>
                <w:p w14:paraId="47017813">
                  <w:pPr>
                    <w:keepNext w:val="0"/>
                    <w:keepLines w:val="0"/>
                    <w:widowControl/>
                    <w:suppressLineNumbers w:val="0"/>
                    <w:adjustRightInd w:val="0"/>
                    <w:snapToGrid w:val="0"/>
                    <w:spacing w:before="0" w:beforeAutospacing="0" w:after="0" w:afterAutospacing="0" w:line="276" w:lineRule="auto"/>
                    <w:ind w:left="0" w:right="0"/>
                    <w:jc w:val="center"/>
                    <w:rPr>
                      <w:rFonts w:hint="eastAsia" w:ascii="Times New Roman" w:hAnsi="Times New Roman" w:eastAsia="宋体" w:cs="Times New Roman"/>
                      <w:strike w:val="0"/>
                      <w:dstrike w:val="0"/>
                      <w:color w:val="auto"/>
                      <w:kern w:val="2"/>
                      <w:sz w:val="18"/>
                      <w:szCs w:val="18"/>
                      <w:highlight w:val="none"/>
                      <w:lang w:val="en-US" w:eastAsia="zh-CN" w:bidi="ar-SA"/>
                    </w:rPr>
                  </w:pPr>
                  <w:r>
                    <w:rPr>
                      <w:rFonts w:hint="default" w:ascii="Times New Roman" w:hAnsi="Times New Roman" w:eastAsia="宋体" w:cs="Times New Roman"/>
                      <w:strike w:val="0"/>
                      <w:dstrike w:val="0"/>
                      <w:color w:val="auto"/>
                      <w:sz w:val="18"/>
                      <w:szCs w:val="18"/>
                      <w:highlight w:val="none"/>
                    </w:rPr>
                    <w:t>118.81324</w:t>
                  </w:r>
                  <w:r>
                    <w:rPr>
                      <w:rFonts w:hint="eastAsia" w:ascii="Times New Roman" w:hAnsi="Times New Roman" w:eastAsia="宋体" w:cs="Times New Roman"/>
                      <w:strike w:val="0"/>
                      <w:dstrike w:val="0"/>
                      <w:color w:val="auto"/>
                      <w:sz w:val="18"/>
                      <w:szCs w:val="18"/>
                      <w:highlight w:val="none"/>
                      <w:lang w:val="en-US" w:eastAsia="zh-CN"/>
                    </w:rPr>
                    <w:t>3</w:t>
                  </w:r>
                </w:p>
              </w:tc>
              <w:tc>
                <w:tcPr>
                  <w:tcW w:w="564" w:type="pct"/>
                  <w:tcBorders>
                    <w:top w:val="single" w:color="auto" w:sz="4" w:space="0"/>
                    <w:left w:val="single" w:color="auto" w:sz="4" w:space="0"/>
                    <w:bottom w:val="single" w:color="auto" w:sz="4" w:space="0"/>
                    <w:right w:val="single" w:color="auto" w:sz="4" w:space="0"/>
                  </w:tcBorders>
                  <w:shd w:val="clear" w:color="auto" w:fill="auto"/>
                  <w:noWrap w:val="0"/>
                  <w:vAlign w:val="center"/>
                </w:tcPr>
                <w:p w14:paraId="59957895">
                  <w:pPr>
                    <w:keepNext w:val="0"/>
                    <w:keepLines w:val="0"/>
                    <w:widowControl/>
                    <w:suppressLineNumbers w:val="0"/>
                    <w:adjustRightInd w:val="0"/>
                    <w:snapToGrid w:val="0"/>
                    <w:spacing w:before="0" w:beforeAutospacing="0" w:after="0" w:afterAutospacing="0" w:line="276" w:lineRule="auto"/>
                    <w:ind w:left="0" w:right="0"/>
                    <w:jc w:val="center"/>
                    <w:rPr>
                      <w:rFonts w:hint="default" w:ascii="Times New Roman" w:hAnsi="Times New Roman" w:eastAsia="宋体" w:cs="Times New Roman"/>
                      <w:strike w:val="0"/>
                      <w:dstrike w:val="0"/>
                      <w:color w:val="auto"/>
                      <w:kern w:val="2"/>
                      <w:sz w:val="18"/>
                      <w:szCs w:val="18"/>
                      <w:highlight w:val="none"/>
                      <w:lang w:val="en-US" w:eastAsia="zh-CN" w:bidi="ar-SA"/>
                    </w:rPr>
                  </w:pPr>
                  <w:r>
                    <w:rPr>
                      <w:rFonts w:hint="default" w:ascii="Times New Roman" w:hAnsi="Times New Roman" w:eastAsia="宋体" w:cs="Times New Roman"/>
                      <w:strike w:val="0"/>
                      <w:dstrike w:val="0"/>
                      <w:color w:val="auto"/>
                      <w:sz w:val="18"/>
                      <w:szCs w:val="18"/>
                      <w:highlight w:val="none"/>
                    </w:rPr>
                    <w:t>28.940698</w:t>
                  </w:r>
                </w:p>
              </w:tc>
              <w:tc>
                <w:tcPr>
                  <w:tcW w:w="474" w:type="pct"/>
                  <w:tcBorders>
                    <w:top w:val="single" w:color="auto" w:sz="4" w:space="0"/>
                    <w:left w:val="single" w:color="auto" w:sz="4" w:space="0"/>
                    <w:bottom w:val="single" w:color="auto" w:sz="4" w:space="0"/>
                    <w:right w:val="single" w:color="auto" w:sz="4" w:space="0"/>
                  </w:tcBorders>
                  <w:shd w:val="clear" w:color="auto" w:fill="auto"/>
                  <w:noWrap w:val="0"/>
                  <w:vAlign w:val="center"/>
                </w:tcPr>
                <w:p w14:paraId="5EC3A98E">
                  <w:pPr>
                    <w:keepNext w:val="0"/>
                    <w:keepLines w:val="0"/>
                    <w:widowControl/>
                    <w:suppressLineNumbers w:val="0"/>
                    <w:adjustRightInd w:val="0"/>
                    <w:snapToGrid w:val="0"/>
                    <w:spacing w:before="0" w:beforeAutospacing="0" w:after="0" w:afterAutospacing="0" w:line="276" w:lineRule="auto"/>
                    <w:ind w:left="0" w:right="0"/>
                    <w:jc w:val="center"/>
                    <w:rPr>
                      <w:rFonts w:hint="eastAsia" w:ascii="Times New Roman" w:hAnsi="Times New Roman" w:eastAsia="宋体" w:cs="Times New Roman"/>
                      <w:strike w:val="0"/>
                      <w:dstrike w:val="0"/>
                      <w:color w:val="auto"/>
                      <w:kern w:val="2"/>
                      <w:sz w:val="18"/>
                      <w:szCs w:val="18"/>
                      <w:highlight w:val="none"/>
                      <w:lang w:val="en-US" w:eastAsia="zh-CN" w:bidi="ar-SA"/>
                    </w:rPr>
                  </w:pPr>
                  <w:r>
                    <w:rPr>
                      <w:rFonts w:hint="eastAsia" w:ascii="Times New Roman" w:hAnsi="Times New Roman" w:eastAsia="宋体" w:cs="Times New Roman"/>
                      <w:strike w:val="0"/>
                      <w:dstrike w:val="0"/>
                      <w:color w:val="auto"/>
                      <w:sz w:val="18"/>
                      <w:szCs w:val="18"/>
                      <w:highlight w:val="none"/>
                      <w:lang w:val="en-US" w:eastAsia="zh-CN"/>
                    </w:rPr>
                    <w:t>居住区</w:t>
                  </w:r>
                </w:p>
              </w:tc>
              <w:tc>
                <w:tcPr>
                  <w:tcW w:w="490" w:type="pct"/>
                  <w:tcBorders>
                    <w:top w:val="single" w:color="auto" w:sz="4" w:space="0"/>
                    <w:left w:val="single" w:color="auto" w:sz="4" w:space="0"/>
                    <w:bottom w:val="single" w:color="auto" w:sz="4" w:space="0"/>
                    <w:right w:val="single" w:color="auto" w:sz="4" w:space="0"/>
                  </w:tcBorders>
                  <w:shd w:val="clear" w:color="auto" w:fill="auto"/>
                  <w:noWrap w:val="0"/>
                  <w:vAlign w:val="center"/>
                </w:tcPr>
                <w:p w14:paraId="0A5B808E">
                  <w:pPr>
                    <w:keepNext w:val="0"/>
                    <w:keepLines w:val="0"/>
                    <w:widowControl/>
                    <w:suppressLineNumbers w:val="0"/>
                    <w:adjustRightInd w:val="0"/>
                    <w:snapToGrid w:val="0"/>
                    <w:spacing w:before="0" w:beforeAutospacing="0" w:after="0" w:afterAutospacing="0" w:line="276" w:lineRule="auto"/>
                    <w:ind w:left="0" w:right="0"/>
                    <w:jc w:val="center"/>
                    <w:rPr>
                      <w:rFonts w:hint="eastAsia" w:ascii="Times New Roman" w:hAnsi="Times New Roman" w:eastAsia="宋体" w:cs="Times New Roman"/>
                      <w:strike w:val="0"/>
                      <w:dstrike w:val="0"/>
                      <w:color w:val="auto"/>
                      <w:kern w:val="2"/>
                      <w:sz w:val="18"/>
                      <w:szCs w:val="18"/>
                      <w:highlight w:val="none"/>
                      <w:lang w:val="en-US" w:eastAsia="zh-CN" w:bidi="ar-SA"/>
                    </w:rPr>
                  </w:pPr>
                  <w:r>
                    <w:rPr>
                      <w:rFonts w:hint="eastAsia" w:ascii="Times New Roman" w:hAnsi="Times New Roman" w:eastAsia="宋体" w:cs="Times New Roman"/>
                      <w:strike w:val="0"/>
                      <w:dstrike w:val="0"/>
                      <w:color w:val="auto"/>
                      <w:sz w:val="18"/>
                      <w:szCs w:val="18"/>
                      <w:highlight w:val="none"/>
                      <w:lang w:val="en-US" w:eastAsia="zh-CN"/>
                    </w:rPr>
                    <w:t>居民</w:t>
                  </w:r>
                </w:p>
              </w:tc>
              <w:tc>
                <w:tcPr>
                  <w:tcW w:w="499" w:type="pct"/>
                  <w:tcBorders>
                    <w:top w:val="single" w:color="auto" w:sz="4" w:space="0"/>
                    <w:left w:val="single" w:color="auto" w:sz="4" w:space="0"/>
                    <w:bottom w:val="single" w:color="auto" w:sz="4" w:space="0"/>
                    <w:right w:val="single" w:color="auto" w:sz="4" w:space="0"/>
                  </w:tcBorders>
                  <w:shd w:val="clear" w:color="auto" w:fill="auto"/>
                  <w:noWrap w:val="0"/>
                  <w:vAlign w:val="center"/>
                </w:tcPr>
                <w:p w14:paraId="6BD4261E">
                  <w:pPr>
                    <w:keepNext w:val="0"/>
                    <w:keepLines w:val="0"/>
                    <w:widowControl/>
                    <w:suppressLineNumbers w:val="0"/>
                    <w:adjustRightInd w:val="0"/>
                    <w:snapToGrid w:val="0"/>
                    <w:spacing w:before="0" w:beforeAutospacing="0" w:after="0" w:afterAutospacing="0" w:line="276" w:lineRule="auto"/>
                    <w:ind w:left="0" w:right="0"/>
                    <w:jc w:val="center"/>
                    <w:rPr>
                      <w:rFonts w:hint="eastAsia" w:ascii="Times New Roman" w:hAnsi="Times New Roman" w:eastAsia="宋体" w:cs="Times New Roman"/>
                      <w:strike w:val="0"/>
                      <w:dstrike w:val="0"/>
                      <w:color w:val="auto"/>
                      <w:kern w:val="2"/>
                      <w:sz w:val="18"/>
                      <w:szCs w:val="18"/>
                      <w:highlight w:val="none"/>
                      <w:lang w:val="en-US" w:eastAsia="zh-CN" w:bidi="ar-SA"/>
                    </w:rPr>
                  </w:pPr>
                  <w:r>
                    <w:rPr>
                      <w:rFonts w:hint="eastAsia" w:ascii="Times New Roman" w:hAnsi="Times New Roman" w:eastAsia="宋体" w:cs="Times New Roman"/>
                      <w:strike w:val="0"/>
                      <w:dstrike w:val="0"/>
                      <w:color w:val="auto"/>
                      <w:sz w:val="18"/>
                      <w:szCs w:val="18"/>
                      <w:highlight w:val="none"/>
                      <w:lang w:val="en-US" w:eastAsia="zh-CN"/>
                    </w:rPr>
                    <w:t>二类</w:t>
                  </w:r>
                </w:p>
              </w:tc>
              <w:tc>
                <w:tcPr>
                  <w:tcW w:w="453" w:type="pct"/>
                  <w:tcBorders>
                    <w:top w:val="single" w:color="auto" w:sz="4" w:space="0"/>
                    <w:left w:val="single" w:color="auto" w:sz="4" w:space="0"/>
                    <w:bottom w:val="single" w:color="auto" w:sz="4" w:space="0"/>
                    <w:right w:val="single" w:color="auto" w:sz="4" w:space="0"/>
                  </w:tcBorders>
                  <w:shd w:val="clear" w:color="auto" w:fill="auto"/>
                  <w:noWrap w:val="0"/>
                  <w:vAlign w:val="center"/>
                </w:tcPr>
                <w:p w14:paraId="3D3B26B5">
                  <w:pPr>
                    <w:keepNext w:val="0"/>
                    <w:keepLines w:val="0"/>
                    <w:widowControl/>
                    <w:suppressLineNumbers w:val="0"/>
                    <w:adjustRightInd w:val="0"/>
                    <w:snapToGrid w:val="0"/>
                    <w:spacing w:before="0" w:beforeAutospacing="0" w:after="0" w:afterAutospacing="0" w:line="276" w:lineRule="auto"/>
                    <w:ind w:left="0" w:right="0"/>
                    <w:jc w:val="center"/>
                    <w:rPr>
                      <w:rFonts w:hint="default" w:ascii="Times New Roman" w:hAnsi="Times New Roman" w:eastAsia="宋体" w:cs="Times New Roman"/>
                      <w:strike w:val="0"/>
                      <w:dstrike w:val="0"/>
                      <w:color w:val="auto"/>
                      <w:kern w:val="2"/>
                      <w:sz w:val="18"/>
                      <w:szCs w:val="18"/>
                      <w:highlight w:val="none"/>
                      <w:lang w:val="en-US" w:eastAsia="zh-CN" w:bidi="ar-SA"/>
                    </w:rPr>
                  </w:pPr>
                  <w:r>
                    <w:rPr>
                      <w:rFonts w:hint="eastAsia" w:ascii="Times New Roman" w:hAnsi="Times New Roman" w:eastAsia="宋体" w:cs="Times New Roman"/>
                      <w:strike w:val="0"/>
                      <w:dstrike w:val="0"/>
                      <w:color w:val="auto"/>
                      <w:kern w:val="2"/>
                      <w:sz w:val="18"/>
                      <w:szCs w:val="18"/>
                      <w:highlight w:val="none"/>
                      <w:lang w:val="en-US" w:eastAsia="zh-CN" w:bidi="ar-SA"/>
                    </w:rPr>
                    <w:t>西南</w:t>
                  </w:r>
                </w:p>
              </w:tc>
              <w:tc>
                <w:tcPr>
                  <w:tcW w:w="551" w:type="pct"/>
                  <w:tcBorders>
                    <w:top w:val="single" w:color="auto" w:sz="4" w:space="0"/>
                    <w:left w:val="single" w:color="auto" w:sz="4" w:space="0"/>
                    <w:bottom w:val="single" w:color="auto" w:sz="4" w:space="0"/>
                    <w:right w:val="single" w:color="auto" w:sz="4" w:space="0"/>
                  </w:tcBorders>
                  <w:shd w:val="clear" w:color="auto" w:fill="auto"/>
                  <w:noWrap w:val="0"/>
                  <w:vAlign w:val="center"/>
                </w:tcPr>
                <w:p w14:paraId="21C2AC3B">
                  <w:pPr>
                    <w:keepNext w:val="0"/>
                    <w:keepLines w:val="0"/>
                    <w:widowControl/>
                    <w:suppressLineNumbers w:val="0"/>
                    <w:adjustRightInd w:val="0"/>
                    <w:snapToGrid w:val="0"/>
                    <w:spacing w:before="0" w:beforeAutospacing="0" w:after="0" w:afterAutospacing="0" w:line="276" w:lineRule="auto"/>
                    <w:ind w:left="0" w:right="0"/>
                    <w:jc w:val="center"/>
                    <w:rPr>
                      <w:rFonts w:hint="default" w:ascii="Times New Roman" w:hAnsi="Times New Roman" w:eastAsia="宋体" w:cs="Times New Roman"/>
                      <w:strike w:val="0"/>
                      <w:dstrike w:val="0"/>
                      <w:color w:val="auto"/>
                      <w:kern w:val="2"/>
                      <w:sz w:val="18"/>
                      <w:szCs w:val="18"/>
                      <w:highlight w:val="none"/>
                      <w:lang w:val="en-US" w:eastAsia="zh-CN" w:bidi="ar-SA"/>
                    </w:rPr>
                  </w:pPr>
                  <w:r>
                    <w:rPr>
                      <w:rFonts w:hint="eastAsia" w:ascii="Times New Roman" w:hAnsi="Times New Roman" w:eastAsia="宋体" w:cs="Times New Roman"/>
                      <w:strike w:val="0"/>
                      <w:dstrike w:val="0"/>
                      <w:color w:val="auto"/>
                      <w:kern w:val="2"/>
                      <w:sz w:val="18"/>
                      <w:szCs w:val="18"/>
                      <w:highlight w:val="none"/>
                      <w:lang w:val="en-US" w:eastAsia="zh-CN" w:bidi="ar-SA"/>
                    </w:rPr>
                    <w:t>1980</w:t>
                  </w:r>
                </w:p>
              </w:tc>
            </w:tr>
            <w:tr w14:paraId="0C10F44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40" w:hRule="atLeast"/>
                <w:jc w:val="center"/>
              </w:trPr>
              <w:tc>
                <w:tcPr>
                  <w:tcW w:w="366" w:type="pct"/>
                  <w:tcBorders>
                    <w:left w:val="single" w:color="auto" w:sz="4" w:space="0"/>
                    <w:right w:val="single" w:color="auto" w:sz="4" w:space="0"/>
                  </w:tcBorders>
                  <w:noWrap w:val="0"/>
                  <w:vAlign w:val="center"/>
                </w:tcPr>
                <w:p w14:paraId="0F2CEC8A">
                  <w:pPr>
                    <w:keepNext w:val="0"/>
                    <w:keepLines w:val="0"/>
                    <w:widowControl/>
                    <w:suppressLineNumbers w:val="0"/>
                    <w:adjustRightInd w:val="0"/>
                    <w:snapToGrid w:val="0"/>
                    <w:spacing w:before="0" w:beforeAutospacing="0" w:after="0" w:afterAutospacing="0" w:line="276" w:lineRule="auto"/>
                    <w:ind w:left="0" w:right="0"/>
                    <w:jc w:val="center"/>
                    <w:rPr>
                      <w:rFonts w:hint="default" w:ascii="Times New Roman" w:hAnsi="Times New Roman" w:eastAsia="宋体" w:cs="Times New Roman"/>
                      <w:strike w:val="0"/>
                      <w:dstrike w:val="0"/>
                      <w:color w:val="auto"/>
                      <w:sz w:val="18"/>
                      <w:szCs w:val="18"/>
                      <w:highlight w:val="none"/>
                      <w:lang w:val="en-US" w:eastAsia="zh-CN"/>
                    </w:rPr>
                  </w:pPr>
                  <w:r>
                    <w:rPr>
                      <w:rFonts w:hint="eastAsia" w:ascii="Times New Roman" w:hAnsi="Times New Roman" w:eastAsia="宋体" w:cs="Times New Roman"/>
                      <w:strike w:val="0"/>
                      <w:dstrike w:val="0"/>
                      <w:color w:val="auto"/>
                      <w:sz w:val="18"/>
                      <w:szCs w:val="18"/>
                      <w:highlight w:val="none"/>
                      <w:lang w:val="en-US" w:eastAsia="zh-CN"/>
                    </w:rPr>
                    <w:t>53</w:t>
                  </w:r>
                </w:p>
              </w:tc>
              <w:tc>
                <w:tcPr>
                  <w:tcW w:w="1071" w:type="pct"/>
                  <w:tcBorders>
                    <w:top w:val="single" w:color="auto" w:sz="4" w:space="0"/>
                    <w:left w:val="single" w:color="auto" w:sz="4" w:space="0"/>
                    <w:bottom w:val="single" w:color="auto" w:sz="4" w:space="0"/>
                    <w:right w:val="single" w:color="auto" w:sz="4" w:space="0"/>
                  </w:tcBorders>
                  <w:shd w:val="clear" w:color="auto" w:fill="auto"/>
                  <w:noWrap w:val="0"/>
                  <w:vAlign w:val="center"/>
                </w:tcPr>
                <w:p w14:paraId="328F00F2">
                  <w:pPr>
                    <w:keepNext w:val="0"/>
                    <w:keepLines w:val="0"/>
                    <w:widowControl/>
                    <w:suppressLineNumbers w:val="0"/>
                    <w:adjustRightInd w:val="0"/>
                    <w:snapToGrid w:val="0"/>
                    <w:spacing w:before="0" w:beforeAutospacing="0" w:after="0" w:afterAutospacing="0" w:line="276" w:lineRule="auto"/>
                    <w:ind w:left="0" w:right="0"/>
                    <w:jc w:val="center"/>
                    <w:rPr>
                      <w:rFonts w:hint="default" w:ascii="Times New Roman" w:hAnsi="Times New Roman" w:eastAsia="宋体" w:cs="Times New Roman"/>
                      <w:strike w:val="0"/>
                      <w:dstrike w:val="0"/>
                      <w:color w:val="auto"/>
                      <w:kern w:val="2"/>
                      <w:sz w:val="18"/>
                      <w:szCs w:val="18"/>
                      <w:highlight w:val="none"/>
                      <w:lang w:val="en-US" w:eastAsia="zh-CN" w:bidi="ar-SA"/>
                    </w:rPr>
                  </w:pPr>
                  <w:r>
                    <w:rPr>
                      <w:rFonts w:hint="default" w:ascii="Times New Roman" w:hAnsi="Times New Roman" w:eastAsia="宋体" w:cs="Times New Roman"/>
                      <w:strike w:val="0"/>
                      <w:dstrike w:val="0"/>
                      <w:color w:val="auto"/>
                      <w:sz w:val="18"/>
                      <w:szCs w:val="18"/>
                      <w:highlight w:val="none"/>
                      <w:lang w:val="en-US" w:eastAsia="zh-CN"/>
                    </w:rPr>
                    <w:t>前徐村</w:t>
                  </w:r>
                </w:p>
              </w:tc>
              <w:tc>
                <w:tcPr>
                  <w:tcW w:w="527" w:type="pct"/>
                  <w:tcBorders>
                    <w:top w:val="single" w:color="auto" w:sz="4" w:space="0"/>
                    <w:left w:val="single" w:color="auto" w:sz="4" w:space="0"/>
                    <w:bottom w:val="single" w:color="auto" w:sz="4" w:space="0"/>
                    <w:right w:val="single" w:color="auto" w:sz="4" w:space="0"/>
                  </w:tcBorders>
                  <w:shd w:val="clear" w:color="auto" w:fill="auto"/>
                  <w:noWrap w:val="0"/>
                  <w:vAlign w:val="center"/>
                </w:tcPr>
                <w:p w14:paraId="0C53D775">
                  <w:pPr>
                    <w:keepNext w:val="0"/>
                    <w:keepLines w:val="0"/>
                    <w:widowControl/>
                    <w:suppressLineNumbers w:val="0"/>
                    <w:adjustRightInd w:val="0"/>
                    <w:snapToGrid w:val="0"/>
                    <w:spacing w:before="0" w:beforeAutospacing="0" w:after="0" w:afterAutospacing="0" w:line="276" w:lineRule="auto"/>
                    <w:ind w:left="0" w:right="0"/>
                    <w:jc w:val="center"/>
                    <w:rPr>
                      <w:rFonts w:hint="default" w:ascii="Times New Roman" w:hAnsi="Times New Roman" w:eastAsia="宋体" w:cs="Times New Roman"/>
                      <w:strike w:val="0"/>
                      <w:dstrike w:val="0"/>
                      <w:color w:val="auto"/>
                      <w:kern w:val="2"/>
                      <w:sz w:val="18"/>
                      <w:szCs w:val="18"/>
                      <w:highlight w:val="none"/>
                      <w:lang w:val="en-US" w:eastAsia="zh-CN" w:bidi="ar-SA"/>
                    </w:rPr>
                  </w:pPr>
                  <w:r>
                    <w:rPr>
                      <w:rFonts w:hint="default" w:ascii="Times New Roman" w:hAnsi="Times New Roman" w:eastAsia="宋体" w:cs="Times New Roman"/>
                      <w:strike w:val="0"/>
                      <w:dstrike w:val="0"/>
                      <w:color w:val="auto"/>
                      <w:sz w:val="18"/>
                      <w:szCs w:val="18"/>
                      <w:highlight w:val="none"/>
                    </w:rPr>
                    <w:t>118.810882</w:t>
                  </w:r>
                </w:p>
              </w:tc>
              <w:tc>
                <w:tcPr>
                  <w:tcW w:w="564" w:type="pct"/>
                  <w:tcBorders>
                    <w:top w:val="single" w:color="auto" w:sz="4" w:space="0"/>
                    <w:left w:val="single" w:color="auto" w:sz="4" w:space="0"/>
                    <w:bottom w:val="single" w:color="auto" w:sz="4" w:space="0"/>
                    <w:right w:val="single" w:color="auto" w:sz="4" w:space="0"/>
                  </w:tcBorders>
                  <w:shd w:val="clear" w:color="auto" w:fill="auto"/>
                  <w:noWrap w:val="0"/>
                  <w:vAlign w:val="center"/>
                </w:tcPr>
                <w:p w14:paraId="4D41BBC2">
                  <w:pPr>
                    <w:keepNext w:val="0"/>
                    <w:keepLines w:val="0"/>
                    <w:widowControl/>
                    <w:suppressLineNumbers w:val="0"/>
                    <w:adjustRightInd w:val="0"/>
                    <w:snapToGrid w:val="0"/>
                    <w:spacing w:before="0" w:beforeAutospacing="0" w:after="0" w:afterAutospacing="0" w:line="276" w:lineRule="auto"/>
                    <w:ind w:left="0" w:right="0"/>
                    <w:jc w:val="center"/>
                    <w:rPr>
                      <w:rFonts w:hint="eastAsia" w:ascii="Times New Roman" w:hAnsi="Times New Roman" w:eastAsia="宋体" w:cs="Times New Roman"/>
                      <w:strike w:val="0"/>
                      <w:dstrike w:val="0"/>
                      <w:color w:val="auto"/>
                      <w:kern w:val="2"/>
                      <w:sz w:val="18"/>
                      <w:szCs w:val="18"/>
                      <w:highlight w:val="none"/>
                      <w:lang w:val="en-US" w:eastAsia="zh-CN" w:bidi="ar-SA"/>
                    </w:rPr>
                  </w:pPr>
                  <w:r>
                    <w:rPr>
                      <w:rFonts w:hint="default" w:ascii="Times New Roman" w:hAnsi="Times New Roman" w:eastAsia="宋体" w:cs="Times New Roman"/>
                      <w:strike w:val="0"/>
                      <w:dstrike w:val="0"/>
                      <w:color w:val="auto"/>
                      <w:sz w:val="18"/>
                      <w:szCs w:val="18"/>
                      <w:highlight w:val="none"/>
                    </w:rPr>
                    <w:t>28.94447</w:t>
                  </w:r>
                  <w:r>
                    <w:rPr>
                      <w:rFonts w:hint="eastAsia" w:ascii="Times New Roman" w:hAnsi="Times New Roman" w:eastAsia="宋体" w:cs="Times New Roman"/>
                      <w:strike w:val="0"/>
                      <w:dstrike w:val="0"/>
                      <w:color w:val="auto"/>
                      <w:sz w:val="18"/>
                      <w:szCs w:val="18"/>
                      <w:highlight w:val="none"/>
                      <w:lang w:val="en-US" w:eastAsia="zh-CN"/>
                    </w:rPr>
                    <w:t>5</w:t>
                  </w:r>
                </w:p>
              </w:tc>
              <w:tc>
                <w:tcPr>
                  <w:tcW w:w="474" w:type="pct"/>
                  <w:tcBorders>
                    <w:top w:val="single" w:color="auto" w:sz="4" w:space="0"/>
                    <w:left w:val="single" w:color="auto" w:sz="4" w:space="0"/>
                    <w:bottom w:val="single" w:color="auto" w:sz="4" w:space="0"/>
                    <w:right w:val="single" w:color="auto" w:sz="4" w:space="0"/>
                  </w:tcBorders>
                  <w:shd w:val="clear" w:color="auto" w:fill="auto"/>
                  <w:noWrap w:val="0"/>
                  <w:vAlign w:val="center"/>
                </w:tcPr>
                <w:p w14:paraId="48678A5D">
                  <w:pPr>
                    <w:keepNext w:val="0"/>
                    <w:keepLines w:val="0"/>
                    <w:widowControl/>
                    <w:suppressLineNumbers w:val="0"/>
                    <w:adjustRightInd w:val="0"/>
                    <w:snapToGrid w:val="0"/>
                    <w:spacing w:before="0" w:beforeAutospacing="0" w:after="0" w:afterAutospacing="0" w:line="276" w:lineRule="auto"/>
                    <w:ind w:left="0" w:right="0"/>
                    <w:jc w:val="center"/>
                    <w:rPr>
                      <w:rFonts w:hint="eastAsia" w:ascii="Times New Roman" w:hAnsi="Times New Roman" w:eastAsia="宋体" w:cs="Times New Roman"/>
                      <w:strike w:val="0"/>
                      <w:dstrike w:val="0"/>
                      <w:color w:val="auto"/>
                      <w:kern w:val="2"/>
                      <w:sz w:val="18"/>
                      <w:szCs w:val="18"/>
                      <w:highlight w:val="none"/>
                      <w:lang w:val="en-US" w:eastAsia="zh-CN" w:bidi="ar-SA"/>
                    </w:rPr>
                  </w:pPr>
                  <w:r>
                    <w:rPr>
                      <w:rFonts w:hint="eastAsia" w:ascii="Times New Roman" w:hAnsi="Times New Roman" w:eastAsia="宋体" w:cs="Times New Roman"/>
                      <w:strike w:val="0"/>
                      <w:dstrike w:val="0"/>
                      <w:color w:val="auto"/>
                      <w:sz w:val="18"/>
                      <w:szCs w:val="18"/>
                      <w:highlight w:val="none"/>
                      <w:lang w:val="en-US" w:eastAsia="zh-CN"/>
                    </w:rPr>
                    <w:t>居住区</w:t>
                  </w:r>
                </w:p>
              </w:tc>
              <w:tc>
                <w:tcPr>
                  <w:tcW w:w="490" w:type="pct"/>
                  <w:tcBorders>
                    <w:top w:val="single" w:color="auto" w:sz="4" w:space="0"/>
                    <w:left w:val="single" w:color="auto" w:sz="4" w:space="0"/>
                    <w:bottom w:val="single" w:color="auto" w:sz="4" w:space="0"/>
                    <w:right w:val="single" w:color="auto" w:sz="4" w:space="0"/>
                  </w:tcBorders>
                  <w:shd w:val="clear" w:color="auto" w:fill="auto"/>
                  <w:noWrap w:val="0"/>
                  <w:vAlign w:val="center"/>
                </w:tcPr>
                <w:p w14:paraId="4B93EE0F">
                  <w:pPr>
                    <w:keepNext w:val="0"/>
                    <w:keepLines w:val="0"/>
                    <w:widowControl/>
                    <w:suppressLineNumbers w:val="0"/>
                    <w:adjustRightInd w:val="0"/>
                    <w:snapToGrid w:val="0"/>
                    <w:spacing w:before="0" w:beforeAutospacing="0" w:after="0" w:afterAutospacing="0" w:line="276" w:lineRule="auto"/>
                    <w:ind w:left="0" w:right="0"/>
                    <w:jc w:val="center"/>
                    <w:rPr>
                      <w:rFonts w:hint="eastAsia" w:ascii="Times New Roman" w:hAnsi="Times New Roman" w:eastAsia="宋体" w:cs="Times New Roman"/>
                      <w:strike w:val="0"/>
                      <w:dstrike w:val="0"/>
                      <w:color w:val="auto"/>
                      <w:kern w:val="2"/>
                      <w:sz w:val="18"/>
                      <w:szCs w:val="18"/>
                      <w:highlight w:val="none"/>
                      <w:lang w:val="en-US" w:eastAsia="zh-CN" w:bidi="ar-SA"/>
                    </w:rPr>
                  </w:pPr>
                  <w:r>
                    <w:rPr>
                      <w:rFonts w:hint="eastAsia" w:ascii="Times New Roman" w:hAnsi="Times New Roman" w:eastAsia="宋体" w:cs="Times New Roman"/>
                      <w:strike w:val="0"/>
                      <w:dstrike w:val="0"/>
                      <w:color w:val="auto"/>
                      <w:sz w:val="18"/>
                      <w:szCs w:val="18"/>
                      <w:highlight w:val="none"/>
                      <w:lang w:val="en-US" w:eastAsia="zh-CN"/>
                    </w:rPr>
                    <w:t>居民</w:t>
                  </w:r>
                </w:p>
              </w:tc>
              <w:tc>
                <w:tcPr>
                  <w:tcW w:w="499" w:type="pct"/>
                  <w:tcBorders>
                    <w:top w:val="single" w:color="auto" w:sz="4" w:space="0"/>
                    <w:left w:val="single" w:color="auto" w:sz="4" w:space="0"/>
                    <w:bottom w:val="single" w:color="auto" w:sz="4" w:space="0"/>
                    <w:right w:val="single" w:color="auto" w:sz="4" w:space="0"/>
                  </w:tcBorders>
                  <w:shd w:val="clear" w:color="auto" w:fill="auto"/>
                  <w:noWrap w:val="0"/>
                  <w:vAlign w:val="center"/>
                </w:tcPr>
                <w:p w14:paraId="73D6F219">
                  <w:pPr>
                    <w:keepNext w:val="0"/>
                    <w:keepLines w:val="0"/>
                    <w:widowControl/>
                    <w:suppressLineNumbers w:val="0"/>
                    <w:adjustRightInd w:val="0"/>
                    <w:snapToGrid w:val="0"/>
                    <w:spacing w:before="0" w:beforeAutospacing="0" w:after="0" w:afterAutospacing="0" w:line="276" w:lineRule="auto"/>
                    <w:ind w:left="0" w:right="0"/>
                    <w:jc w:val="center"/>
                    <w:rPr>
                      <w:rFonts w:hint="eastAsia" w:ascii="Times New Roman" w:hAnsi="Times New Roman" w:eastAsia="宋体" w:cs="Times New Roman"/>
                      <w:strike w:val="0"/>
                      <w:dstrike w:val="0"/>
                      <w:color w:val="auto"/>
                      <w:kern w:val="2"/>
                      <w:sz w:val="18"/>
                      <w:szCs w:val="18"/>
                      <w:highlight w:val="none"/>
                      <w:lang w:val="en-US" w:eastAsia="zh-CN" w:bidi="ar-SA"/>
                    </w:rPr>
                  </w:pPr>
                  <w:r>
                    <w:rPr>
                      <w:rFonts w:hint="eastAsia" w:ascii="Times New Roman" w:hAnsi="Times New Roman" w:eastAsia="宋体" w:cs="Times New Roman"/>
                      <w:strike w:val="0"/>
                      <w:dstrike w:val="0"/>
                      <w:color w:val="auto"/>
                      <w:sz w:val="18"/>
                      <w:szCs w:val="18"/>
                      <w:highlight w:val="none"/>
                      <w:lang w:val="en-US" w:eastAsia="zh-CN"/>
                    </w:rPr>
                    <w:t>二类</w:t>
                  </w:r>
                </w:p>
              </w:tc>
              <w:tc>
                <w:tcPr>
                  <w:tcW w:w="453" w:type="pct"/>
                  <w:tcBorders>
                    <w:top w:val="single" w:color="auto" w:sz="4" w:space="0"/>
                    <w:left w:val="single" w:color="auto" w:sz="4" w:space="0"/>
                    <w:bottom w:val="single" w:color="auto" w:sz="4" w:space="0"/>
                    <w:right w:val="single" w:color="auto" w:sz="4" w:space="0"/>
                  </w:tcBorders>
                  <w:shd w:val="clear" w:color="auto" w:fill="auto"/>
                  <w:noWrap w:val="0"/>
                  <w:vAlign w:val="center"/>
                </w:tcPr>
                <w:p w14:paraId="0F8A40F1">
                  <w:pPr>
                    <w:keepNext w:val="0"/>
                    <w:keepLines w:val="0"/>
                    <w:widowControl/>
                    <w:suppressLineNumbers w:val="0"/>
                    <w:adjustRightInd w:val="0"/>
                    <w:snapToGrid w:val="0"/>
                    <w:spacing w:before="0" w:beforeAutospacing="0" w:after="0" w:afterAutospacing="0" w:line="276" w:lineRule="auto"/>
                    <w:ind w:left="0" w:right="0"/>
                    <w:jc w:val="center"/>
                    <w:rPr>
                      <w:rFonts w:hint="default" w:ascii="Times New Roman" w:hAnsi="Times New Roman" w:eastAsia="宋体" w:cs="Times New Roman"/>
                      <w:strike w:val="0"/>
                      <w:dstrike w:val="0"/>
                      <w:color w:val="auto"/>
                      <w:kern w:val="2"/>
                      <w:sz w:val="18"/>
                      <w:szCs w:val="18"/>
                      <w:highlight w:val="none"/>
                      <w:lang w:val="en-US" w:eastAsia="zh-CN" w:bidi="ar-SA"/>
                    </w:rPr>
                  </w:pPr>
                  <w:r>
                    <w:rPr>
                      <w:rFonts w:hint="eastAsia" w:ascii="Times New Roman" w:hAnsi="Times New Roman" w:eastAsia="宋体" w:cs="Times New Roman"/>
                      <w:strike w:val="0"/>
                      <w:dstrike w:val="0"/>
                      <w:color w:val="auto"/>
                      <w:kern w:val="2"/>
                      <w:sz w:val="18"/>
                      <w:szCs w:val="18"/>
                      <w:highlight w:val="none"/>
                      <w:lang w:val="en-US" w:eastAsia="zh-CN" w:bidi="ar-SA"/>
                    </w:rPr>
                    <w:t>西南</w:t>
                  </w:r>
                </w:p>
              </w:tc>
              <w:tc>
                <w:tcPr>
                  <w:tcW w:w="551" w:type="pct"/>
                  <w:tcBorders>
                    <w:top w:val="single" w:color="auto" w:sz="4" w:space="0"/>
                    <w:left w:val="single" w:color="auto" w:sz="4" w:space="0"/>
                    <w:bottom w:val="single" w:color="auto" w:sz="4" w:space="0"/>
                    <w:right w:val="single" w:color="auto" w:sz="4" w:space="0"/>
                  </w:tcBorders>
                  <w:shd w:val="clear" w:color="auto" w:fill="auto"/>
                  <w:noWrap w:val="0"/>
                  <w:vAlign w:val="center"/>
                </w:tcPr>
                <w:p w14:paraId="45CA67E9">
                  <w:pPr>
                    <w:keepNext w:val="0"/>
                    <w:keepLines w:val="0"/>
                    <w:widowControl/>
                    <w:suppressLineNumbers w:val="0"/>
                    <w:adjustRightInd w:val="0"/>
                    <w:snapToGrid w:val="0"/>
                    <w:spacing w:before="0" w:beforeAutospacing="0" w:after="0" w:afterAutospacing="0" w:line="276" w:lineRule="auto"/>
                    <w:ind w:left="0" w:right="0"/>
                    <w:jc w:val="center"/>
                    <w:rPr>
                      <w:rFonts w:hint="default" w:ascii="Times New Roman" w:hAnsi="Times New Roman" w:eastAsia="宋体" w:cs="Times New Roman"/>
                      <w:strike w:val="0"/>
                      <w:dstrike w:val="0"/>
                      <w:color w:val="auto"/>
                      <w:kern w:val="2"/>
                      <w:sz w:val="18"/>
                      <w:szCs w:val="18"/>
                      <w:highlight w:val="none"/>
                      <w:lang w:val="en-US" w:eastAsia="zh-CN" w:bidi="ar-SA"/>
                    </w:rPr>
                  </w:pPr>
                  <w:r>
                    <w:rPr>
                      <w:rFonts w:hint="eastAsia" w:ascii="Times New Roman" w:hAnsi="Times New Roman" w:eastAsia="宋体" w:cs="Times New Roman"/>
                      <w:strike w:val="0"/>
                      <w:dstrike w:val="0"/>
                      <w:color w:val="auto"/>
                      <w:kern w:val="2"/>
                      <w:sz w:val="18"/>
                      <w:szCs w:val="18"/>
                      <w:highlight w:val="none"/>
                      <w:lang w:val="en-US" w:eastAsia="zh-CN" w:bidi="ar-SA"/>
                    </w:rPr>
                    <w:t>2100</w:t>
                  </w:r>
                </w:p>
              </w:tc>
            </w:tr>
            <w:tr w14:paraId="0BB4A51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40" w:hRule="atLeast"/>
                <w:jc w:val="center"/>
              </w:trPr>
              <w:tc>
                <w:tcPr>
                  <w:tcW w:w="366" w:type="pct"/>
                  <w:tcBorders>
                    <w:left w:val="single" w:color="auto" w:sz="4" w:space="0"/>
                    <w:right w:val="single" w:color="auto" w:sz="4" w:space="0"/>
                  </w:tcBorders>
                  <w:noWrap w:val="0"/>
                  <w:vAlign w:val="center"/>
                </w:tcPr>
                <w:p w14:paraId="614D2189">
                  <w:pPr>
                    <w:keepNext w:val="0"/>
                    <w:keepLines w:val="0"/>
                    <w:widowControl/>
                    <w:suppressLineNumbers w:val="0"/>
                    <w:adjustRightInd w:val="0"/>
                    <w:snapToGrid w:val="0"/>
                    <w:spacing w:before="0" w:beforeAutospacing="0" w:after="0" w:afterAutospacing="0" w:line="276" w:lineRule="auto"/>
                    <w:ind w:left="0" w:right="0"/>
                    <w:jc w:val="center"/>
                    <w:rPr>
                      <w:rFonts w:hint="default" w:ascii="Times New Roman" w:hAnsi="Times New Roman" w:eastAsia="宋体" w:cs="Times New Roman"/>
                      <w:strike w:val="0"/>
                      <w:dstrike w:val="0"/>
                      <w:color w:val="auto"/>
                      <w:sz w:val="18"/>
                      <w:szCs w:val="18"/>
                      <w:highlight w:val="none"/>
                      <w:lang w:val="en-US" w:eastAsia="zh-CN"/>
                    </w:rPr>
                  </w:pPr>
                  <w:r>
                    <w:rPr>
                      <w:rFonts w:hint="eastAsia" w:ascii="Times New Roman" w:hAnsi="Times New Roman" w:eastAsia="宋体" w:cs="Times New Roman"/>
                      <w:strike w:val="0"/>
                      <w:dstrike w:val="0"/>
                      <w:color w:val="auto"/>
                      <w:sz w:val="18"/>
                      <w:szCs w:val="18"/>
                      <w:highlight w:val="none"/>
                      <w:lang w:val="en-US" w:eastAsia="zh-CN"/>
                    </w:rPr>
                    <w:t>54</w:t>
                  </w:r>
                </w:p>
              </w:tc>
              <w:tc>
                <w:tcPr>
                  <w:tcW w:w="1071" w:type="pct"/>
                  <w:tcBorders>
                    <w:top w:val="single" w:color="auto" w:sz="4" w:space="0"/>
                    <w:left w:val="single" w:color="auto" w:sz="4" w:space="0"/>
                    <w:bottom w:val="single" w:color="auto" w:sz="4" w:space="0"/>
                    <w:right w:val="single" w:color="auto" w:sz="4" w:space="0"/>
                  </w:tcBorders>
                  <w:shd w:val="clear" w:color="auto" w:fill="auto"/>
                  <w:noWrap w:val="0"/>
                  <w:vAlign w:val="center"/>
                </w:tcPr>
                <w:p w14:paraId="4961BBBB">
                  <w:pPr>
                    <w:keepNext w:val="0"/>
                    <w:keepLines w:val="0"/>
                    <w:widowControl/>
                    <w:suppressLineNumbers w:val="0"/>
                    <w:adjustRightInd w:val="0"/>
                    <w:snapToGrid w:val="0"/>
                    <w:spacing w:before="0" w:beforeAutospacing="0" w:after="0" w:afterAutospacing="0" w:line="276" w:lineRule="auto"/>
                    <w:ind w:left="0" w:right="0"/>
                    <w:jc w:val="center"/>
                    <w:rPr>
                      <w:rFonts w:hint="default" w:ascii="Times New Roman" w:hAnsi="Times New Roman" w:eastAsia="宋体" w:cs="Times New Roman"/>
                      <w:strike w:val="0"/>
                      <w:dstrike w:val="0"/>
                      <w:color w:val="auto"/>
                      <w:kern w:val="2"/>
                      <w:sz w:val="18"/>
                      <w:szCs w:val="18"/>
                      <w:highlight w:val="none"/>
                      <w:lang w:val="en-US" w:eastAsia="zh-CN" w:bidi="ar-SA"/>
                    </w:rPr>
                  </w:pPr>
                  <w:r>
                    <w:rPr>
                      <w:rFonts w:hint="default" w:ascii="Times New Roman" w:hAnsi="Times New Roman" w:eastAsia="宋体" w:cs="Times New Roman"/>
                      <w:strike w:val="0"/>
                      <w:dstrike w:val="0"/>
                      <w:color w:val="auto"/>
                      <w:sz w:val="18"/>
                      <w:szCs w:val="18"/>
                      <w:highlight w:val="none"/>
                      <w:lang w:val="en-US" w:eastAsia="zh-CN"/>
                    </w:rPr>
                    <w:t>大塘头村</w:t>
                  </w:r>
                </w:p>
              </w:tc>
              <w:tc>
                <w:tcPr>
                  <w:tcW w:w="527" w:type="pct"/>
                  <w:tcBorders>
                    <w:top w:val="single" w:color="auto" w:sz="4" w:space="0"/>
                    <w:left w:val="single" w:color="auto" w:sz="4" w:space="0"/>
                    <w:bottom w:val="single" w:color="auto" w:sz="4" w:space="0"/>
                    <w:right w:val="single" w:color="auto" w:sz="4" w:space="0"/>
                  </w:tcBorders>
                  <w:shd w:val="clear" w:color="auto" w:fill="auto"/>
                  <w:noWrap w:val="0"/>
                  <w:vAlign w:val="center"/>
                </w:tcPr>
                <w:p w14:paraId="08F681C2">
                  <w:pPr>
                    <w:keepNext w:val="0"/>
                    <w:keepLines w:val="0"/>
                    <w:widowControl/>
                    <w:suppressLineNumbers w:val="0"/>
                    <w:adjustRightInd w:val="0"/>
                    <w:snapToGrid w:val="0"/>
                    <w:spacing w:before="0" w:beforeAutospacing="0" w:after="0" w:afterAutospacing="0" w:line="276" w:lineRule="auto"/>
                    <w:ind w:left="0" w:right="0"/>
                    <w:jc w:val="center"/>
                    <w:rPr>
                      <w:rFonts w:hint="eastAsia" w:ascii="Times New Roman" w:hAnsi="Times New Roman" w:eastAsia="宋体" w:cs="Times New Roman"/>
                      <w:strike w:val="0"/>
                      <w:dstrike w:val="0"/>
                      <w:color w:val="auto"/>
                      <w:kern w:val="2"/>
                      <w:sz w:val="18"/>
                      <w:szCs w:val="18"/>
                      <w:highlight w:val="none"/>
                      <w:lang w:val="en-US" w:eastAsia="zh-CN" w:bidi="ar-SA"/>
                    </w:rPr>
                  </w:pPr>
                  <w:r>
                    <w:rPr>
                      <w:rFonts w:hint="default" w:ascii="Times New Roman" w:hAnsi="Times New Roman" w:eastAsia="宋体" w:cs="Times New Roman"/>
                      <w:strike w:val="0"/>
                      <w:dstrike w:val="0"/>
                      <w:color w:val="auto"/>
                      <w:sz w:val="18"/>
                      <w:szCs w:val="18"/>
                      <w:highlight w:val="none"/>
                    </w:rPr>
                    <w:t>118.80624</w:t>
                  </w:r>
                  <w:r>
                    <w:rPr>
                      <w:rFonts w:hint="eastAsia" w:ascii="Times New Roman" w:hAnsi="Times New Roman" w:eastAsia="宋体" w:cs="Times New Roman"/>
                      <w:strike w:val="0"/>
                      <w:dstrike w:val="0"/>
                      <w:color w:val="auto"/>
                      <w:sz w:val="18"/>
                      <w:szCs w:val="18"/>
                      <w:highlight w:val="none"/>
                      <w:lang w:val="en-US" w:eastAsia="zh-CN"/>
                    </w:rPr>
                    <w:t>8</w:t>
                  </w:r>
                </w:p>
              </w:tc>
              <w:tc>
                <w:tcPr>
                  <w:tcW w:w="564" w:type="pct"/>
                  <w:tcBorders>
                    <w:top w:val="single" w:color="auto" w:sz="4" w:space="0"/>
                    <w:left w:val="single" w:color="auto" w:sz="4" w:space="0"/>
                    <w:bottom w:val="single" w:color="auto" w:sz="4" w:space="0"/>
                    <w:right w:val="single" w:color="auto" w:sz="4" w:space="0"/>
                  </w:tcBorders>
                  <w:shd w:val="clear" w:color="auto" w:fill="auto"/>
                  <w:noWrap w:val="0"/>
                  <w:vAlign w:val="center"/>
                </w:tcPr>
                <w:p w14:paraId="11893B23">
                  <w:pPr>
                    <w:keepNext w:val="0"/>
                    <w:keepLines w:val="0"/>
                    <w:widowControl/>
                    <w:suppressLineNumbers w:val="0"/>
                    <w:adjustRightInd w:val="0"/>
                    <w:snapToGrid w:val="0"/>
                    <w:spacing w:before="0" w:beforeAutospacing="0" w:after="0" w:afterAutospacing="0" w:line="276" w:lineRule="auto"/>
                    <w:ind w:left="0" w:right="0"/>
                    <w:jc w:val="center"/>
                    <w:rPr>
                      <w:rFonts w:hint="default" w:ascii="Times New Roman" w:hAnsi="Times New Roman" w:eastAsia="宋体" w:cs="Times New Roman"/>
                      <w:strike w:val="0"/>
                      <w:dstrike w:val="0"/>
                      <w:color w:val="auto"/>
                      <w:kern w:val="2"/>
                      <w:sz w:val="18"/>
                      <w:szCs w:val="18"/>
                      <w:highlight w:val="none"/>
                      <w:lang w:val="en-US" w:eastAsia="zh-CN" w:bidi="ar-SA"/>
                    </w:rPr>
                  </w:pPr>
                  <w:r>
                    <w:rPr>
                      <w:rFonts w:hint="default" w:ascii="Times New Roman" w:hAnsi="Times New Roman" w:eastAsia="宋体" w:cs="Times New Roman"/>
                      <w:strike w:val="0"/>
                      <w:dstrike w:val="0"/>
                      <w:color w:val="auto"/>
                      <w:sz w:val="18"/>
                      <w:szCs w:val="18"/>
                      <w:highlight w:val="none"/>
                    </w:rPr>
                    <w:t>28.9492</w:t>
                  </w:r>
                  <w:r>
                    <w:rPr>
                      <w:rFonts w:hint="eastAsia" w:ascii="Times New Roman" w:hAnsi="Times New Roman" w:eastAsia="宋体" w:cs="Times New Roman"/>
                      <w:strike w:val="0"/>
                      <w:dstrike w:val="0"/>
                      <w:color w:val="auto"/>
                      <w:sz w:val="18"/>
                      <w:szCs w:val="18"/>
                      <w:highlight w:val="none"/>
                      <w:lang w:val="en-US" w:eastAsia="zh-CN"/>
                    </w:rPr>
                    <w:t>60</w:t>
                  </w:r>
                </w:p>
              </w:tc>
              <w:tc>
                <w:tcPr>
                  <w:tcW w:w="474" w:type="pct"/>
                  <w:tcBorders>
                    <w:top w:val="single" w:color="auto" w:sz="4" w:space="0"/>
                    <w:left w:val="single" w:color="auto" w:sz="4" w:space="0"/>
                    <w:bottom w:val="single" w:color="auto" w:sz="4" w:space="0"/>
                    <w:right w:val="single" w:color="auto" w:sz="4" w:space="0"/>
                  </w:tcBorders>
                  <w:shd w:val="clear" w:color="auto" w:fill="auto"/>
                  <w:noWrap w:val="0"/>
                  <w:vAlign w:val="center"/>
                </w:tcPr>
                <w:p w14:paraId="27C07CFA">
                  <w:pPr>
                    <w:keepNext w:val="0"/>
                    <w:keepLines w:val="0"/>
                    <w:widowControl/>
                    <w:suppressLineNumbers w:val="0"/>
                    <w:adjustRightInd w:val="0"/>
                    <w:snapToGrid w:val="0"/>
                    <w:spacing w:before="0" w:beforeAutospacing="0" w:after="0" w:afterAutospacing="0" w:line="276" w:lineRule="auto"/>
                    <w:ind w:left="0" w:right="0"/>
                    <w:jc w:val="center"/>
                    <w:rPr>
                      <w:rFonts w:hint="eastAsia" w:ascii="Times New Roman" w:hAnsi="Times New Roman" w:eastAsia="宋体" w:cs="Times New Roman"/>
                      <w:strike w:val="0"/>
                      <w:dstrike w:val="0"/>
                      <w:color w:val="auto"/>
                      <w:kern w:val="2"/>
                      <w:sz w:val="18"/>
                      <w:szCs w:val="18"/>
                      <w:highlight w:val="none"/>
                      <w:lang w:val="en-US" w:eastAsia="zh-CN" w:bidi="ar-SA"/>
                    </w:rPr>
                  </w:pPr>
                  <w:r>
                    <w:rPr>
                      <w:rFonts w:hint="eastAsia" w:ascii="Times New Roman" w:hAnsi="Times New Roman" w:eastAsia="宋体" w:cs="Times New Roman"/>
                      <w:strike w:val="0"/>
                      <w:dstrike w:val="0"/>
                      <w:color w:val="auto"/>
                      <w:sz w:val="18"/>
                      <w:szCs w:val="18"/>
                      <w:highlight w:val="none"/>
                      <w:lang w:val="en-US" w:eastAsia="zh-CN"/>
                    </w:rPr>
                    <w:t>居住区</w:t>
                  </w:r>
                </w:p>
              </w:tc>
              <w:tc>
                <w:tcPr>
                  <w:tcW w:w="490" w:type="pct"/>
                  <w:tcBorders>
                    <w:top w:val="single" w:color="auto" w:sz="4" w:space="0"/>
                    <w:left w:val="single" w:color="auto" w:sz="4" w:space="0"/>
                    <w:bottom w:val="single" w:color="auto" w:sz="4" w:space="0"/>
                    <w:right w:val="single" w:color="auto" w:sz="4" w:space="0"/>
                  </w:tcBorders>
                  <w:shd w:val="clear" w:color="auto" w:fill="auto"/>
                  <w:noWrap w:val="0"/>
                  <w:vAlign w:val="center"/>
                </w:tcPr>
                <w:p w14:paraId="539A47BD">
                  <w:pPr>
                    <w:keepNext w:val="0"/>
                    <w:keepLines w:val="0"/>
                    <w:widowControl/>
                    <w:suppressLineNumbers w:val="0"/>
                    <w:adjustRightInd w:val="0"/>
                    <w:snapToGrid w:val="0"/>
                    <w:spacing w:before="0" w:beforeAutospacing="0" w:after="0" w:afterAutospacing="0" w:line="276" w:lineRule="auto"/>
                    <w:ind w:left="0" w:right="0"/>
                    <w:jc w:val="center"/>
                    <w:rPr>
                      <w:rFonts w:hint="eastAsia" w:ascii="Times New Roman" w:hAnsi="Times New Roman" w:eastAsia="宋体" w:cs="Times New Roman"/>
                      <w:strike w:val="0"/>
                      <w:dstrike w:val="0"/>
                      <w:color w:val="auto"/>
                      <w:kern w:val="2"/>
                      <w:sz w:val="18"/>
                      <w:szCs w:val="18"/>
                      <w:highlight w:val="none"/>
                      <w:lang w:val="en-US" w:eastAsia="zh-CN" w:bidi="ar-SA"/>
                    </w:rPr>
                  </w:pPr>
                  <w:r>
                    <w:rPr>
                      <w:rFonts w:hint="eastAsia" w:ascii="Times New Roman" w:hAnsi="Times New Roman" w:eastAsia="宋体" w:cs="Times New Roman"/>
                      <w:strike w:val="0"/>
                      <w:dstrike w:val="0"/>
                      <w:color w:val="auto"/>
                      <w:sz w:val="18"/>
                      <w:szCs w:val="18"/>
                      <w:highlight w:val="none"/>
                      <w:lang w:val="en-US" w:eastAsia="zh-CN"/>
                    </w:rPr>
                    <w:t>居民</w:t>
                  </w:r>
                </w:p>
              </w:tc>
              <w:tc>
                <w:tcPr>
                  <w:tcW w:w="499" w:type="pct"/>
                  <w:tcBorders>
                    <w:top w:val="single" w:color="auto" w:sz="4" w:space="0"/>
                    <w:left w:val="single" w:color="auto" w:sz="4" w:space="0"/>
                    <w:bottom w:val="single" w:color="auto" w:sz="4" w:space="0"/>
                    <w:right w:val="single" w:color="auto" w:sz="4" w:space="0"/>
                  </w:tcBorders>
                  <w:shd w:val="clear" w:color="auto" w:fill="auto"/>
                  <w:noWrap w:val="0"/>
                  <w:vAlign w:val="center"/>
                </w:tcPr>
                <w:p w14:paraId="16222F3B">
                  <w:pPr>
                    <w:keepNext w:val="0"/>
                    <w:keepLines w:val="0"/>
                    <w:widowControl/>
                    <w:suppressLineNumbers w:val="0"/>
                    <w:adjustRightInd w:val="0"/>
                    <w:snapToGrid w:val="0"/>
                    <w:spacing w:before="0" w:beforeAutospacing="0" w:after="0" w:afterAutospacing="0" w:line="276" w:lineRule="auto"/>
                    <w:ind w:left="0" w:right="0"/>
                    <w:jc w:val="center"/>
                    <w:rPr>
                      <w:rFonts w:hint="eastAsia" w:ascii="Times New Roman" w:hAnsi="Times New Roman" w:eastAsia="宋体" w:cs="Times New Roman"/>
                      <w:strike w:val="0"/>
                      <w:dstrike w:val="0"/>
                      <w:color w:val="auto"/>
                      <w:kern w:val="2"/>
                      <w:sz w:val="18"/>
                      <w:szCs w:val="18"/>
                      <w:highlight w:val="none"/>
                      <w:lang w:val="en-US" w:eastAsia="zh-CN" w:bidi="ar-SA"/>
                    </w:rPr>
                  </w:pPr>
                  <w:r>
                    <w:rPr>
                      <w:rFonts w:hint="eastAsia" w:ascii="Times New Roman" w:hAnsi="Times New Roman" w:eastAsia="宋体" w:cs="Times New Roman"/>
                      <w:strike w:val="0"/>
                      <w:dstrike w:val="0"/>
                      <w:color w:val="auto"/>
                      <w:sz w:val="18"/>
                      <w:szCs w:val="18"/>
                      <w:highlight w:val="none"/>
                      <w:lang w:val="en-US" w:eastAsia="zh-CN"/>
                    </w:rPr>
                    <w:t>二类</w:t>
                  </w:r>
                </w:p>
              </w:tc>
              <w:tc>
                <w:tcPr>
                  <w:tcW w:w="453" w:type="pct"/>
                  <w:tcBorders>
                    <w:top w:val="single" w:color="auto" w:sz="4" w:space="0"/>
                    <w:left w:val="single" w:color="auto" w:sz="4" w:space="0"/>
                    <w:bottom w:val="single" w:color="auto" w:sz="4" w:space="0"/>
                    <w:right w:val="single" w:color="auto" w:sz="4" w:space="0"/>
                  </w:tcBorders>
                  <w:shd w:val="clear" w:color="auto" w:fill="auto"/>
                  <w:noWrap w:val="0"/>
                  <w:vAlign w:val="center"/>
                </w:tcPr>
                <w:p w14:paraId="663D4330">
                  <w:pPr>
                    <w:keepNext w:val="0"/>
                    <w:keepLines w:val="0"/>
                    <w:widowControl/>
                    <w:suppressLineNumbers w:val="0"/>
                    <w:adjustRightInd w:val="0"/>
                    <w:snapToGrid w:val="0"/>
                    <w:spacing w:before="0" w:beforeAutospacing="0" w:after="0" w:afterAutospacing="0" w:line="276" w:lineRule="auto"/>
                    <w:ind w:left="0" w:right="0"/>
                    <w:jc w:val="center"/>
                    <w:rPr>
                      <w:rFonts w:hint="default" w:ascii="Times New Roman" w:hAnsi="Times New Roman" w:eastAsia="宋体" w:cs="Times New Roman"/>
                      <w:strike w:val="0"/>
                      <w:dstrike w:val="0"/>
                      <w:color w:val="auto"/>
                      <w:kern w:val="2"/>
                      <w:sz w:val="18"/>
                      <w:szCs w:val="18"/>
                      <w:highlight w:val="none"/>
                      <w:lang w:val="en-US" w:eastAsia="zh-CN" w:bidi="ar-SA"/>
                    </w:rPr>
                  </w:pPr>
                  <w:r>
                    <w:rPr>
                      <w:rFonts w:hint="eastAsia" w:ascii="Times New Roman" w:hAnsi="Times New Roman" w:eastAsia="宋体" w:cs="Times New Roman"/>
                      <w:strike w:val="0"/>
                      <w:dstrike w:val="0"/>
                      <w:color w:val="auto"/>
                      <w:kern w:val="2"/>
                      <w:sz w:val="18"/>
                      <w:szCs w:val="18"/>
                      <w:highlight w:val="none"/>
                      <w:lang w:val="en-US" w:eastAsia="zh-CN" w:bidi="ar-SA"/>
                    </w:rPr>
                    <w:t>西</w:t>
                  </w:r>
                </w:p>
              </w:tc>
              <w:tc>
                <w:tcPr>
                  <w:tcW w:w="551" w:type="pct"/>
                  <w:tcBorders>
                    <w:top w:val="single" w:color="auto" w:sz="4" w:space="0"/>
                    <w:left w:val="single" w:color="auto" w:sz="4" w:space="0"/>
                    <w:bottom w:val="single" w:color="auto" w:sz="4" w:space="0"/>
                    <w:right w:val="single" w:color="auto" w:sz="4" w:space="0"/>
                  </w:tcBorders>
                  <w:shd w:val="clear" w:color="auto" w:fill="auto"/>
                  <w:noWrap w:val="0"/>
                  <w:vAlign w:val="center"/>
                </w:tcPr>
                <w:p w14:paraId="27B652B9">
                  <w:pPr>
                    <w:keepNext w:val="0"/>
                    <w:keepLines w:val="0"/>
                    <w:widowControl/>
                    <w:suppressLineNumbers w:val="0"/>
                    <w:adjustRightInd w:val="0"/>
                    <w:snapToGrid w:val="0"/>
                    <w:spacing w:before="0" w:beforeAutospacing="0" w:after="0" w:afterAutospacing="0" w:line="276" w:lineRule="auto"/>
                    <w:ind w:left="0" w:right="0"/>
                    <w:jc w:val="center"/>
                    <w:rPr>
                      <w:rFonts w:hint="default" w:ascii="Times New Roman" w:hAnsi="Times New Roman" w:eastAsia="宋体" w:cs="Times New Roman"/>
                      <w:strike w:val="0"/>
                      <w:dstrike w:val="0"/>
                      <w:color w:val="auto"/>
                      <w:kern w:val="2"/>
                      <w:sz w:val="18"/>
                      <w:szCs w:val="18"/>
                      <w:highlight w:val="none"/>
                      <w:lang w:val="en-US" w:eastAsia="zh-CN" w:bidi="ar-SA"/>
                    </w:rPr>
                  </w:pPr>
                  <w:r>
                    <w:rPr>
                      <w:rFonts w:hint="eastAsia" w:ascii="Times New Roman" w:hAnsi="Times New Roman" w:eastAsia="宋体" w:cs="Times New Roman"/>
                      <w:strike w:val="0"/>
                      <w:dstrike w:val="0"/>
                      <w:color w:val="auto"/>
                      <w:sz w:val="18"/>
                      <w:szCs w:val="18"/>
                      <w:highlight w:val="none"/>
                      <w:lang w:val="en-US" w:eastAsia="zh-CN"/>
                    </w:rPr>
                    <w:t>2540</w:t>
                  </w:r>
                </w:p>
              </w:tc>
            </w:tr>
            <w:tr w14:paraId="299256D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40" w:hRule="atLeast"/>
                <w:jc w:val="center"/>
              </w:trPr>
              <w:tc>
                <w:tcPr>
                  <w:tcW w:w="366" w:type="pct"/>
                  <w:tcBorders>
                    <w:left w:val="single" w:color="auto" w:sz="4" w:space="0"/>
                    <w:right w:val="single" w:color="auto" w:sz="4" w:space="0"/>
                  </w:tcBorders>
                  <w:noWrap w:val="0"/>
                  <w:vAlign w:val="center"/>
                </w:tcPr>
                <w:p w14:paraId="3357FFA9">
                  <w:pPr>
                    <w:keepNext w:val="0"/>
                    <w:keepLines w:val="0"/>
                    <w:widowControl/>
                    <w:suppressLineNumbers w:val="0"/>
                    <w:adjustRightInd w:val="0"/>
                    <w:snapToGrid w:val="0"/>
                    <w:spacing w:before="0" w:beforeAutospacing="0" w:after="0" w:afterAutospacing="0" w:line="276" w:lineRule="auto"/>
                    <w:ind w:left="0" w:right="0"/>
                    <w:jc w:val="center"/>
                    <w:rPr>
                      <w:rFonts w:hint="default" w:ascii="Times New Roman" w:hAnsi="Times New Roman" w:eastAsia="宋体" w:cs="Times New Roman"/>
                      <w:strike w:val="0"/>
                      <w:dstrike w:val="0"/>
                      <w:color w:val="auto"/>
                      <w:sz w:val="18"/>
                      <w:szCs w:val="18"/>
                      <w:highlight w:val="none"/>
                      <w:lang w:val="en-US" w:eastAsia="zh-CN"/>
                    </w:rPr>
                  </w:pPr>
                  <w:r>
                    <w:rPr>
                      <w:rFonts w:hint="eastAsia" w:ascii="Times New Roman" w:hAnsi="Times New Roman" w:eastAsia="宋体" w:cs="Times New Roman"/>
                      <w:strike w:val="0"/>
                      <w:dstrike w:val="0"/>
                      <w:color w:val="auto"/>
                      <w:sz w:val="18"/>
                      <w:szCs w:val="18"/>
                      <w:highlight w:val="none"/>
                      <w:lang w:val="en-US" w:eastAsia="zh-CN"/>
                    </w:rPr>
                    <w:t>55</w:t>
                  </w:r>
                </w:p>
              </w:tc>
              <w:tc>
                <w:tcPr>
                  <w:tcW w:w="1071" w:type="pct"/>
                  <w:tcBorders>
                    <w:top w:val="single" w:color="auto" w:sz="4" w:space="0"/>
                    <w:left w:val="single" w:color="auto" w:sz="4" w:space="0"/>
                    <w:bottom w:val="single" w:color="auto" w:sz="4" w:space="0"/>
                    <w:right w:val="single" w:color="auto" w:sz="4" w:space="0"/>
                  </w:tcBorders>
                  <w:shd w:val="clear" w:color="auto" w:fill="auto"/>
                  <w:noWrap w:val="0"/>
                  <w:vAlign w:val="center"/>
                </w:tcPr>
                <w:p w14:paraId="307D3C1E">
                  <w:pPr>
                    <w:keepNext w:val="0"/>
                    <w:keepLines w:val="0"/>
                    <w:widowControl/>
                    <w:suppressLineNumbers w:val="0"/>
                    <w:adjustRightInd w:val="0"/>
                    <w:snapToGrid w:val="0"/>
                    <w:spacing w:before="0" w:beforeAutospacing="0" w:after="0" w:afterAutospacing="0" w:line="276" w:lineRule="auto"/>
                    <w:ind w:left="0" w:right="0"/>
                    <w:jc w:val="center"/>
                    <w:rPr>
                      <w:rFonts w:hint="default" w:ascii="Times New Roman" w:hAnsi="Times New Roman" w:eastAsia="宋体" w:cs="Times New Roman"/>
                      <w:strike w:val="0"/>
                      <w:dstrike w:val="0"/>
                      <w:color w:val="auto"/>
                      <w:kern w:val="2"/>
                      <w:sz w:val="18"/>
                      <w:szCs w:val="18"/>
                      <w:highlight w:val="none"/>
                      <w:lang w:val="en-US" w:eastAsia="zh-CN" w:bidi="ar-SA"/>
                    </w:rPr>
                  </w:pPr>
                  <w:r>
                    <w:rPr>
                      <w:rFonts w:hint="default" w:ascii="Times New Roman" w:hAnsi="Times New Roman" w:eastAsia="宋体" w:cs="Times New Roman"/>
                      <w:strike w:val="0"/>
                      <w:dstrike w:val="0"/>
                      <w:color w:val="auto"/>
                      <w:sz w:val="18"/>
                      <w:szCs w:val="18"/>
                      <w:highlight w:val="none"/>
                      <w:lang w:val="en-US" w:eastAsia="zh-CN"/>
                    </w:rPr>
                    <w:t>下淤头村</w:t>
                  </w:r>
                </w:p>
              </w:tc>
              <w:tc>
                <w:tcPr>
                  <w:tcW w:w="527" w:type="pct"/>
                  <w:tcBorders>
                    <w:top w:val="single" w:color="auto" w:sz="4" w:space="0"/>
                    <w:left w:val="single" w:color="auto" w:sz="4" w:space="0"/>
                    <w:bottom w:val="single" w:color="auto" w:sz="4" w:space="0"/>
                    <w:right w:val="single" w:color="auto" w:sz="4" w:space="0"/>
                  </w:tcBorders>
                  <w:shd w:val="clear" w:color="auto" w:fill="auto"/>
                  <w:noWrap w:val="0"/>
                  <w:vAlign w:val="center"/>
                </w:tcPr>
                <w:p w14:paraId="6098CB98">
                  <w:pPr>
                    <w:keepNext w:val="0"/>
                    <w:keepLines w:val="0"/>
                    <w:widowControl/>
                    <w:suppressLineNumbers w:val="0"/>
                    <w:adjustRightInd w:val="0"/>
                    <w:snapToGrid w:val="0"/>
                    <w:spacing w:before="0" w:beforeAutospacing="0" w:after="0" w:afterAutospacing="0" w:line="276" w:lineRule="auto"/>
                    <w:ind w:left="0" w:right="0"/>
                    <w:jc w:val="center"/>
                    <w:rPr>
                      <w:rFonts w:hint="default" w:ascii="Times New Roman" w:hAnsi="Times New Roman" w:eastAsia="宋体" w:cs="Times New Roman"/>
                      <w:strike w:val="0"/>
                      <w:dstrike w:val="0"/>
                      <w:color w:val="auto"/>
                      <w:kern w:val="2"/>
                      <w:sz w:val="18"/>
                      <w:szCs w:val="18"/>
                      <w:highlight w:val="none"/>
                      <w:lang w:val="en-US" w:eastAsia="zh-CN" w:bidi="ar-SA"/>
                    </w:rPr>
                  </w:pPr>
                  <w:r>
                    <w:rPr>
                      <w:rFonts w:hint="default" w:ascii="Times New Roman" w:hAnsi="Times New Roman" w:eastAsia="宋体" w:cs="Times New Roman"/>
                      <w:strike w:val="0"/>
                      <w:dstrike w:val="0"/>
                      <w:color w:val="auto"/>
                      <w:sz w:val="18"/>
                      <w:szCs w:val="18"/>
                      <w:highlight w:val="none"/>
                    </w:rPr>
                    <w:t>118.816890</w:t>
                  </w:r>
                </w:p>
              </w:tc>
              <w:tc>
                <w:tcPr>
                  <w:tcW w:w="564" w:type="pct"/>
                  <w:tcBorders>
                    <w:top w:val="single" w:color="auto" w:sz="4" w:space="0"/>
                    <w:left w:val="single" w:color="auto" w:sz="4" w:space="0"/>
                    <w:bottom w:val="single" w:color="auto" w:sz="4" w:space="0"/>
                    <w:right w:val="single" w:color="auto" w:sz="4" w:space="0"/>
                  </w:tcBorders>
                  <w:shd w:val="clear" w:color="auto" w:fill="auto"/>
                  <w:noWrap w:val="0"/>
                  <w:vAlign w:val="center"/>
                </w:tcPr>
                <w:p w14:paraId="3764CA50">
                  <w:pPr>
                    <w:keepNext w:val="0"/>
                    <w:keepLines w:val="0"/>
                    <w:widowControl/>
                    <w:suppressLineNumbers w:val="0"/>
                    <w:adjustRightInd w:val="0"/>
                    <w:snapToGrid w:val="0"/>
                    <w:spacing w:before="0" w:beforeAutospacing="0" w:after="0" w:afterAutospacing="0" w:line="276" w:lineRule="auto"/>
                    <w:ind w:left="0" w:right="0"/>
                    <w:jc w:val="center"/>
                    <w:rPr>
                      <w:rFonts w:hint="default" w:ascii="Times New Roman" w:hAnsi="Times New Roman" w:eastAsia="宋体" w:cs="Times New Roman"/>
                      <w:strike w:val="0"/>
                      <w:dstrike w:val="0"/>
                      <w:color w:val="auto"/>
                      <w:kern w:val="2"/>
                      <w:sz w:val="18"/>
                      <w:szCs w:val="18"/>
                      <w:highlight w:val="none"/>
                      <w:lang w:val="en-US" w:eastAsia="zh-CN" w:bidi="ar-SA"/>
                    </w:rPr>
                  </w:pPr>
                  <w:r>
                    <w:rPr>
                      <w:rFonts w:hint="default" w:ascii="Times New Roman" w:hAnsi="Times New Roman" w:eastAsia="宋体" w:cs="Times New Roman"/>
                      <w:strike w:val="0"/>
                      <w:dstrike w:val="0"/>
                      <w:color w:val="auto"/>
                      <w:sz w:val="18"/>
                      <w:szCs w:val="18"/>
                      <w:highlight w:val="none"/>
                    </w:rPr>
                    <w:t>28.936428</w:t>
                  </w:r>
                </w:p>
              </w:tc>
              <w:tc>
                <w:tcPr>
                  <w:tcW w:w="474" w:type="pct"/>
                  <w:tcBorders>
                    <w:top w:val="single" w:color="auto" w:sz="4" w:space="0"/>
                    <w:left w:val="single" w:color="auto" w:sz="4" w:space="0"/>
                    <w:bottom w:val="single" w:color="auto" w:sz="4" w:space="0"/>
                    <w:right w:val="single" w:color="auto" w:sz="4" w:space="0"/>
                  </w:tcBorders>
                  <w:shd w:val="clear" w:color="auto" w:fill="auto"/>
                  <w:noWrap w:val="0"/>
                  <w:vAlign w:val="center"/>
                </w:tcPr>
                <w:p w14:paraId="4B9DD9B6">
                  <w:pPr>
                    <w:keepNext w:val="0"/>
                    <w:keepLines w:val="0"/>
                    <w:widowControl/>
                    <w:suppressLineNumbers w:val="0"/>
                    <w:adjustRightInd w:val="0"/>
                    <w:snapToGrid w:val="0"/>
                    <w:spacing w:before="0" w:beforeAutospacing="0" w:after="0" w:afterAutospacing="0" w:line="276" w:lineRule="auto"/>
                    <w:ind w:left="0" w:right="0"/>
                    <w:jc w:val="center"/>
                    <w:rPr>
                      <w:rFonts w:hint="eastAsia" w:ascii="Times New Roman" w:hAnsi="Times New Roman" w:eastAsia="宋体" w:cs="Times New Roman"/>
                      <w:strike w:val="0"/>
                      <w:dstrike w:val="0"/>
                      <w:color w:val="auto"/>
                      <w:kern w:val="2"/>
                      <w:sz w:val="18"/>
                      <w:szCs w:val="18"/>
                      <w:highlight w:val="none"/>
                      <w:lang w:val="en-US" w:eastAsia="zh-CN" w:bidi="ar-SA"/>
                    </w:rPr>
                  </w:pPr>
                  <w:r>
                    <w:rPr>
                      <w:rFonts w:hint="eastAsia" w:ascii="Times New Roman" w:hAnsi="Times New Roman" w:eastAsia="宋体" w:cs="Times New Roman"/>
                      <w:strike w:val="0"/>
                      <w:dstrike w:val="0"/>
                      <w:color w:val="auto"/>
                      <w:sz w:val="18"/>
                      <w:szCs w:val="18"/>
                      <w:highlight w:val="none"/>
                      <w:lang w:val="en-US" w:eastAsia="zh-CN"/>
                    </w:rPr>
                    <w:t>居住区</w:t>
                  </w:r>
                </w:p>
              </w:tc>
              <w:tc>
                <w:tcPr>
                  <w:tcW w:w="490" w:type="pct"/>
                  <w:tcBorders>
                    <w:top w:val="single" w:color="auto" w:sz="4" w:space="0"/>
                    <w:left w:val="single" w:color="auto" w:sz="4" w:space="0"/>
                    <w:bottom w:val="single" w:color="auto" w:sz="4" w:space="0"/>
                    <w:right w:val="single" w:color="auto" w:sz="4" w:space="0"/>
                  </w:tcBorders>
                  <w:shd w:val="clear" w:color="auto" w:fill="auto"/>
                  <w:noWrap w:val="0"/>
                  <w:vAlign w:val="center"/>
                </w:tcPr>
                <w:p w14:paraId="5B88E6F1">
                  <w:pPr>
                    <w:keepNext w:val="0"/>
                    <w:keepLines w:val="0"/>
                    <w:widowControl/>
                    <w:suppressLineNumbers w:val="0"/>
                    <w:adjustRightInd w:val="0"/>
                    <w:snapToGrid w:val="0"/>
                    <w:spacing w:before="0" w:beforeAutospacing="0" w:after="0" w:afterAutospacing="0" w:line="276" w:lineRule="auto"/>
                    <w:ind w:left="0" w:right="0"/>
                    <w:jc w:val="center"/>
                    <w:rPr>
                      <w:rFonts w:hint="eastAsia" w:ascii="Times New Roman" w:hAnsi="Times New Roman" w:eastAsia="宋体" w:cs="Times New Roman"/>
                      <w:strike w:val="0"/>
                      <w:dstrike w:val="0"/>
                      <w:color w:val="auto"/>
                      <w:kern w:val="2"/>
                      <w:sz w:val="18"/>
                      <w:szCs w:val="18"/>
                      <w:highlight w:val="none"/>
                      <w:lang w:val="en-US" w:eastAsia="zh-CN" w:bidi="ar-SA"/>
                    </w:rPr>
                  </w:pPr>
                  <w:r>
                    <w:rPr>
                      <w:rFonts w:hint="eastAsia" w:ascii="Times New Roman" w:hAnsi="Times New Roman" w:eastAsia="宋体" w:cs="Times New Roman"/>
                      <w:strike w:val="0"/>
                      <w:dstrike w:val="0"/>
                      <w:color w:val="auto"/>
                      <w:sz w:val="18"/>
                      <w:szCs w:val="18"/>
                      <w:highlight w:val="none"/>
                      <w:lang w:val="en-US" w:eastAsia="zh-CN"/>
                    </w:rPr>
                    <w:t>居民</w:t>
                  </w:r>
                </w:p>
              </w:tc>
              <w:tc>
                <w:tcPr>
                  <w:tcW w:w="499" w:type="pct"/>
                  <w:tcBorders>
                    <w:top w:val="single" w:color="auto" w:sz="4" w:space="0"/>
                    <w:left w:val="single" w:color="auto" w:sz="4" w:space="0"/>
                    <w:bottom w:val="single" w:color="auto" w:sz="4" w:space="0"/>
                    <w:right w:val="single" w:color="auto" w:sz="4" w:space="0"/>
                  </w:tcBorders>
                  <w:shd w:val="clear" w:color="auto" w:fill="auto"/>
                  <w:noWrap w:val="0"/>
                  <w:vAlign w:val="center"/>
                </w:tcPr>
                <w:p w14:paraId="4B6515CA">
                  <w:pPr>
                    <w:keepNext w:val="0"/>
                    <w:keepLines w:val="0"/>
                    <w:widowControl/>
                    <w:suppressLineNumbers w:val="0"/>
                    <w:adjustRightInd w:val="0"/>
                    <w:snapToGrid w:val="0"/>
                    <w:spacing w:before="0" w:beforeAutospacing="0" w:after="0" w:afterAutospacing="0" w:line="276" w:lineRule="auto"/>
                    <w:ind w:left="0" w:right="0"/>
                    <w:jc w:val="center"/>
                    <w:rPr>
                      <w:rFonts w:hint="eastAsia" w:ascii="Times New Roman" w:hAnsi="Times New Roman" w:eastAsia="宋体" w:cs="Times New Roman"/>
                      <w:strike w:val="0"/>
                      <w:dstrike w:val="0"/>
                      <w:color w:val="auto"/>
                      <w:kern w:val="2"/>
                      <w:sz w:val="18"/>
                      <w:szCs w:val="18"/>
                      <w:highlight w:val="none"/>
                      <w:lang w:val="en-US" w:eastAsia="zh-CN" w:bidi="ar-SA"/>
                    </w:rPr>
                  </w:pPr>
                  <w:r>
                    <w:rPr>
                      <w:rFonts w:hint="eastAsia" w:ascii="Times New Roman" w:hAnsi="Times New Roman" w:eastAsia="宋体" w:cs="Times New Roman"/>
                      <w:strike w:val="0"/>
                      <w:dstrike w:val="0"/>
                      <w:color w:val="auto"/>
                      <w:sz w:val="18"/>
                      <w:szCs w:val="18"/>
                      <w:highlight w:val="none"/>
                      <w:lang w:val="en-US" w:eastAsia="zh-CN"/>
                    </w:rPr>
                    <w:t>二类</w:t>
                  </w:r>
                </w:p>
              </w:tc>
              <w:tc>
                <w:tcPr>
                  <w:tcW w:w="453" w:type="pct"/>
                  <w:tcBorders>
                    <w:top w:val="single" w:color="auto" w:sz="4" w:space="0"/>
                    <w:left w:val="single" w:color="auto" w:sz="4" w:space="0"/>
                    <w:bottom w:val="single" w:color="auto" w:sz="4" w:space="0"/>
                    <w:right w:val="single" w:color="auto" w:sz="4" w:space="0"/>
                  </w:tcBorders>
                  <w:shd w:val="clear" w:color="auto" w:fill="auto"/>
                  <w:noWrap w:val="0"/>
                  <w:vAlign w:val="center"/>
                </w:tcPr>
                <w:p w14:paraId="0AF0EE56">
                  <w:pPr>
                    <w:keepNext w:val="0"/>
                    <w:keepLines w:val="0"/>
                    <w:widowControl/>
                    <w:suppressLineNumbers w:val="0"/>
                    <w:adjustRightInd w:val="0"/>
                    <w:snapToGrid w:val="0"/>
                    <w:spacing w:before="0" w:beforeAutospacing="0" w:after="0" w:afterAutospacing="0" w:line="276" w:lineRule="auto"/>
                    <w:ind w:left="0" w:right="0"/>
                    <w:jc w:val="center"/>
                    <w:rPr>
                      <w:rFonts w:hint="default" w:ascii="Times New Roman" w:hAnsi="Times New Roman" w:eastAsia="宋体" w:cs="Times New Roman"/>
                      <w:strike w:val="0"/>
                      <w:dstrike w:val="0"/>
                      <w:color w:val="auto"/>
                      <w:kern w:val="2"/>
                      <w:sz w:val="18"/>
                      <w:szCs w:val="18"/>
                      <w:highlight w:val="none"/>
                      <w:lang w:val="en-US" w:eastAsia="zh-CN" w:bidi="ar-SA"/>
                    </w:rPr>
                  </w:pPr>
                  <w:r>
                    <w:rPr>
                      <w:rFonts w:hint="eastAsia" w:ascii="Times New Roman" w:hAnsi="Times New Roman" w:eastAsia="宋体" w:cs="Times New Roman"/>
                      <w:strike w:val="0"/>
                      <w:dstrike w:val="0"/>
                      <w:color w:val="auto"/>
                      <w:kern w:val="2"/>
                      <w:sz w:val="18"/>
                      <w:szCs w:val="18"/>
                      <w:highlight w:val="none"/>
                      <w:lang w:val="en-US" w:eastAsia="zh-CN" w:bidi="ar-SA"/>
                    </w:rPr>
                    <w:t>西南</w:t>
                  </w:r>
                </w:p>
              </w:tc>
              <w:tc>
                <w:tcPr>
                  <w:tcW w:w="551" w:type="pct"/>
                  <w:tcBorders>
                    <w:top w:val="single" w:color="auto" w:sz="4" w:space="0"/>
                    <w:left w:val="single" w:color="auto" w:sz="4" w:space="0"/>
                    <w:bottom w:val="single" w:color="auto" w:sz="4" w:space="0"/>
                    <w:right w:val="single" w:color="auto" w:sz="4" w:space="0"/>
                  </w:tcBorders>
                  <w:shd w:val="clear" w:color="auto" w:fill="auto"/>
                  <w:noWrap w:val="0"/>
                  <w:vAlign w:val="center"/>
                </w:tcPr>
                <w:p w14:paraId="3DFECF1C">
                  <w:pPr>
                    <w:keepNext w:val="0"/>
                    <w:keepLines w:val="0"/>
                    <w:widowControl/>
                    <w:suppressLineNumbers w:val="0"/>
                    <w:adjustRightInd w:val="0"/>
                    <w:snapToGrid w:val="0"/>
                    <w:spacing w:before="0" w:beforeAutospacing="0" w:after="0" w:afterAutospacing="0" w:line="276" w:lineRule="auto"/>
                    <w:ind w:left="0" w:right="0"/>
                    <w:jc w:val="center"/>
                    <w:rPr>
                      <w:rFonts w:hint="default" w:ascii="Times New Roman" w:hAnsi="Times New Roman" w:eastAsia="宋体" w:cs="Times New Roman"/>
                      <w:strike w:val="0"/>
                      <w:dstrike w:val="0"/>
                      <w:color w:val="auto"/>
                      <w:kern w:val="2"/>
                      <w:sz w:val="18"/>
                      <w:szCs w:val="18"/>
                      <w:highlight w:val="none"/>
                      <w:lang w:val="en-US" w:eastAsia="zh-CN" w:bidi="ar-SA"/>
                    </w:rPr>
                  </w:pPr>
                  <w:r>
                    <w:rPr>
                      <w:rFonts w:hint="eastAsia" w:ascii="Times New Roman" w:hAnsi="Times New Roman" w:eastAsia="宋体" w:cs="Times New Roman"/>
                      <w:strike w:val="0"/>
                      <w:dstrike w:val="0"/>
                      <w:color w:val="auto"/>
                      <w:kern w:val="2"/>
                      <w:sz w:val="18"/>
                      <w:szCs w:val="18"/>
                      <w:highlight w:val="none"/>
                      <w:lang w:val="en-US" w:eastAsia="zh-CN" w:bidi="ar-SA"/>
                    </w:rPr>
                    <w:t>2040</w:t>
                  </w:r>
                </w:p>
              </w:tc>
            </w:tr>
            <w:tr w14:paraId="7A93E20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40" w:hRule="atLeast"/>
                <w:jc w:val="center"/>
              </w:trPr>
              <w:tc>
                <w:tcPr>
                  <w:tcW w:w="366" w:type="pct"/>
                  <w:tcBorders>
                    <w:left w:val="single" w:color="auto" w:sz="4" w:space="0"/>
                    <w:right w:val="single" w:color="auto" w:sz="4" w:space="0"/>
                  </w:tcBorders>
                  <w:noWrap w:val="0"/>
                  <w:vAlign w:val="center"/>
                </w:tcPr>
                <w:p w14:paraId="1D3DAAEB">
                  <w:pPr>
                    <w:keepNext w:val="0"/>
                    <w:keepLines w:val="0"/>
                    <w:widowControl/>
                    <w:suppressLineNumbers w:val="0"/>
                    <w:adjustRightInd w:val="0"/>
                    <w:snapToGrid w:val="0"/>
                    <w:spacing w:before="0" w:beforeAutospacing="0" w:after="0" w:afterAutospacing="0" w:line="276" w:lineRule="auto"/>
                    <w:ind w:left="0" w:right="0"/>
                    <w:jc w:val="center"/>
                    <w:rPr>
                      <w:rFonts w:hint="default" w:ascii="Times New Roman" w:hAnsi="Times New Roman" w:eastAsia="宋体" w:cs="Times New Roman"/>
                      <w:strike w:val="0"/>
                      <w:dstrike w:val="0"/>
                      <w:color w:val="auto"/>
                      <w:sz w:val="18"/>
                      <w:szCs w:val="18"/>
                      <w:highlight w:val="none"/>
                      <w:lang w:val="en-US" w:eastAsia="zh-CN"/>
                    </w:rPr>
                  </w:pPr>
                  <w:r>
                    <w:rPr>
                      <w:rFonts w:hint="eastAsia" w:ascii="Times New Roman" w:hAnsi="Times New Roman" w:eastAsia="宋体" w:cs="Times New Roman"/>
                      <w:strike w:val="0"/>
                      <w:dstrike w:val="0"/>
                      <w:color w:val="auto"/>
                      <w:sz w:val="18"/>
                      <w:szCs w:val="18"/>
                      <w:highlight w:val="none"/>
                      <w:lang w:val="en-US" w:eastAsia="zh-CN"/>
                    </w:rPr>
                    <w:t>56</w:t>
                  </w:r>
                </w:p>
              </w:tc>
              <w:tc>
                <w:tcPr>
                  <w:tcW w:w="1071" w:type="pct"/>
                  <w:tcBorders>
                    <w:top w:val="single" w:color="auto" w:sz="4" w:space="0"/>
                    <w:left w:val="single" w:color="auto" w:sz="4" w:space="0"/>
                    <w:bottom w:val="single" w:color="auto" w:sz="4" w:space="0"/>
                    <w:right w:val="single" w:color="auto" w:sz="4" w:space="0"/>
                  </w:tcBorders>
                  <w:shd w:val="clear" w:color="auto" w:fill="auto"/>
                  <w:noWrap w:val="0"/>
                  <w:vAlign w:val="center"/>
                </w:tcPr>
                <w:p w14:paraId="3DBE9892">
                  <w:pPr>
                    <w:keepNext w:val="0"/>
                    <w:keepLines w:val="0"/>
                    <w:widowControl/>
                    <w:suppressLineNumbers w:val="0"/>
                    <w:adjustRightInd w:val="0"/>
                    <w:snapToGrid w:val="0"/>
                    <w:spacing w:before="0" w:beforeAutospacing="0" w:after="0" w:afterAutospacing="0" w:line="276" w:lineRule="auto"/>
                    <w:ind w:left="0" w:right="0"/>
                    <w:jc w:val="center"/>
                    <w:rPr>
                      <w:rFonts w:hint="default" w:ascii="Times New Roman" w:hAnsi="Times New Roman" w:eastAsia="宋体" w:cs="Times New Roman"/>
                      <w:strike w:val="0"/>
                      <w:dstrike w:val="0"/>
                      <w:color w:val="auto"/>
                      <w:kern w:val="2"/>
                      <w:sz w:val="18"/>
                      <w:szCs w:val="18"/>
                      <w:highlight w:val="none"/>
                      <w:lang w:val="en-US" w:eastAsia="zh-CN" w:bidi="ar-SA"/>
                    </w:rPr>
                  </w:pPr>
                  <w:r>
                    <w:rPr>
                      <w:rFonts w:hint="default" w:ascii="Times New Roman" w:hAnsi="Times New Roman" w:eastAsia="宋体" w:cs="Times New Roman"/>
                      <w:strike w:val="0"/>
                      <w:dstrike w:val="0"/>
                      <w:color w:val="auto"/>
                      <w:sz w:val="18"/>
                      <w:szCs w:val="18"/>
                      <w:highlight w:val="none"/>
                      <w:lang w:val="en-US" w:eastAsia="zh-CN"/>
                    </w:rPr>
                    <w:t>百家坊社区</w:t>
                  </w:r>
                </w:p>
              </w:tc>
              <w:tc>
                <w:tcPr>
                  <w:tcW w:w="527" w:type="pct"/>
                  <w:tcBorders>
                    <w:top w:val="single" w:color="auto" w:sz="4" w:space="0"/>
                    <w:left w:val="single" w:color="auto" w:sz="4" w:space="0"/>
                    <w:bottom w:val="single" w:color="auto" w:sz="4" w:space="0"/>
                    <w:right w:val="single" w:color="auto" w:sz="4" w:space="0"/>
                  </w:tcBorders>
                  <w:shd w:val="clear" w:color="auto" w:fill="auto"/>
                  <w:noWrap w:val="0"/>
                  <w:vAlign w:val="center"/>
                </w:tcPr>
                <w:p w14:paraId="20992721">
                  <w:pPr>
                    <w:keepNext w:val="0"/>
                    <w:keepLines w:val="0"/>
                    <w:widowControl/>
                    <w:suppressLineNumbers w:val="0"/>
                    <w:adjustRightInd w:val="0"/>
                    <w:snapToGrid w:val="0"/>
                    <w:spacing w:before="0" w:beforeAutospacing="0" w:after="0" w:afterAutospacing="0" w:line="276" w:lineRule="auto"/>
                    <w:ind w:left="0" w:right="0"/>
                    <w:jc w:val="center"/>
                    <w:rPr>
                      <w:rFonts w:hint="eastAsia" w:ascii="Times New Roman" w:hAnsi="Times New Roman" w:eastAsia="宋体" w:cs="Times New Roman"/>
                      <w:strike w:val="0"/>
                      <w:dstrike w:val="0"/>
                      <w:color w:val="auto"/>
                      <w:kern w:val="2"/>
                      <w:sz w:val="18"/>
                      <w:szCs w:val="18"/>
                      <w:highlight w:val="none"/>
                      <w:lang w:val="en-US" w:eastAsia="zh-CN" w:bidi="ar-SA"/>
                    </w:rPr>
                  </w:pPr>
                  <w:r>
                    <w:rPr>
                      <w:rFonts w:hint="default" w:ascii="Times New Roman" w:hAnsi="Times New Roman" w:eastAsia="宋体" w:cs="Times New Roman"/>
                      <w:strike w:val="0"/>
                      <w:dstrike w:val="0"/>
                      <w:color w:val="auto"/>
                      <w:sz w:val="18"/>
                      <w:szCs w:val="18"/>
                      <w:highlight w:val="none"/>
                    </w:rPr>
                    <w:t>118.84781</w:t>
                  </w:r>
                  <w:r>
                    <w:rPr>
                      <w:rFonts w:hint="eastAsia" w:ascii="Times New Roman" w:hAnsi="Times New Roman" w:eastAsia="宋体" w:cs="Times New Roman"/>
                      <w:strike w:val="0"/>
                      <w:dstrike w:val="0"/>
                      <w:color w:val="auto"/>
                      <w:sz w:val="18"/>
                      <w:szCs w:val="18"/>
                      <w:highlight w:val="none"/>
                      <w:lang w:val="en-US" w:eastAsia="zh-CN"/>
                    </w:rPr>
                    <w:t>5</w:t>
                  </w:r>
                </w:p>
              </w:tc>
              <w:tc>
                <w:tcPr>
                  <w:tcW w:w="564" w:type="pct"/>
                  <w:tcBorders>
                    <w:top w:val="single" w:color="auto" w:sz="4" w:space="0"/>
                    <w:left w:val="single" w:color="auto" w:sz="4" w:space="0"/>
                    <w:bottom w:val="single" w:color="auto" w:sz="4" w:space="0"/>
                    <w:right w:val="single" w:color="auto" w:sz="4" w:space="0"/>
                  </w:tcBorders>
                  <w:shd w:val="clear" w:color="auto" w:fill="auto"/>
                  <w:noWrap w:val="0"/>
                  <w:vAlign w:val="center"/>
                </w:tcPr>
                <w:p w14:paraId="6B685DFC">
                  <w:pPr>
                    <w:keepNext w:val="0"/>
                    <w:keepLines w:val="0"/>
                    <w:widowControl/>
                    <w:suppressLineNumbers w:val="0"/>
                    <w:adjustRightInd w:val="0"/>
                    <w:snapToGrid w:val="0"/>
                    <w:spacing w:before="0" w:beforeAutospacing="0" w:after="0" w:afterAutospacing="0" w:line="276" w:lineRule="auto"/>
                    <w:ind w:left="0" w:right="0"/>
                    <w:jc w:val="center"/>
                    <w:rPr>
                      <w:rFonts w:hint="default" w:ascii="Times New Roman" w:hAnsi="Times New Roman" w:eastAsia="宋体" w:cs="Times New Roman"/>
                      <w:strike w:val="0"/>
                      <w:dstrike w:val="0"/>
                      <w:color w:val="auto"/>
                      <w:kern w:val="2"/>
                      <w:sz w:val="18"/>
                      <w:szCs w:val="18"/>
                      <w:highlight w:val="none"/>
                      <w:lang w:val="en-US" w:eastAsia="zh-CN" w:bidi="ar-SA"/>
                    </w:rPr>
                  </w:pPr>
                  <w:r>
                    <w:rPr>
                      <w:rFonts w:hint="default" w:ascii="Times New Roman" w:hAnsi="Times New Roman" w:eastAsia="宋体" w:cs="Times New Roman"/>
                      <w:strike w:val="0"/>
                      <w:dstrike w:val="0"/>
                      <w:color w:val="auto"/>
                      <w:sz w:val="18"/>
                      <w:szCs w:val="18"/>
                      <w:highlight w:val="none"/>
                    </w:rPr>
                    <w:t>28.942913</w:t>
                  </w:r>
                </w:p>
              </w:tc>
              <w:tc>
                <w:tcPr>
                  <w:tcW w:w="474" w:type="pct"/>
                  <w:tcBorders>
                    <w:top w:val="single" w:color="auto" w:sz="4" w:space="0"/>
                    <w:left w:val="single" w:color="auto" w:sz="4" w:space="0"/>
                    <w:bottom w:val="single" w:color="auto" w:sz="4" w:space="0"/>
                    <w:right w:val="single" w:color="auto" w:sz="4" w:space="0"/>
                  </w:tcBorders>
                  <w:shd w:val="clear" w:color="auto" w:fill="auto"/>
                  <w:noWrap w:val="0"/>
                  <w:vAlign w:val="center"/>
                </w:tcPr>
                <w:p w14:paraId="09288B11">
                  <w:pPr>
                    <w:keepNext w:val="0"/>
                    <w:keepLines w:val="0"/>
                    <w:widowControl/>
                    <w:suppressLineNumbers w:val="0"/>
                    <w:adjustRightInd w:val="0"/>
                    <w:snapToGrid w:val="0"/>
                    <w:spacing w:before="0" w:beforeAutospacing="0" w:after="0" w:afterAutospacing="0" w:line="276" w:lineRule="auto"/>
                    <w:ind w:left="0" w:right="0"/>
                    <w:jc w:val="center"/>
                    <w:rPr>
                      <w:rFonts w:hint="eastAsia" w:ascii="Times New Roman" w:hAnsi="Times New Roman" w:eastAsia="宋体" w:cs="Times New Roman"/>
                      <w:strike w:val="0"/>
                      <w:dstrike w:val="0"/>
                      <w:color w:val="auto"/>
                      <w:kern w:val="2"/>
                      <w:sz w:val="18"/>
                      <w:szCs w:val="18"/>
                      <w:highlight w:val="none"/>
                      <w:lang w:val="en-US" w:eastAsia="zh-CN" w:bidi="ar-SA"/>
                    </w:rPr>
                  </w:pPr>
                  <w:r>
                    <w:rPr>
                      <w:rFonts w:hint="eastAsia" w:ascii="Times New Roman" w:hAnsi="Times New Roman" w:eastAsia="宋体" w:cs="Times New Roman"/>
                      <w:strike w:val="0"/>
                      <w:dstrike w:val="0"/>
                      <w:color w:val="auto"/>
                      <w:sz w:val="18"/>
                      <w:szCs w:val="18"/>
                      <w:highlight w:val="none"/>
                      <w:lang w:val="en-US" w:eastAsia="zh-CN"/>
                    </w:rPr>
                    <w:t>居住区</w:t>
                  </w:r>
                </w:p>
              </w:tc>
              <w:tc>
                <w:tcPr>
                  <w:tcW w:w="490" w:type="pct"/>
                  <w:tcBorders>
                    <w:top w:val="single" w:color="auto" w:sz="4" w:space="0"/>
                    <w:left w:val="single" w:color="auto" w:sz="4" w:space="0"/>
                    <w:bottom w:val="single" w:color="auto" w:sz="4" w:space="0"/>
                    <w:right w:val="single" w:color="auto" w:sz="4" w:space="0"/>
                  </w:tcBorders>
                  <w:shd w:val="clear" w:color="auto" w:fill="auto"/>
                  <w:noWrap w:val="0"/>
                  <w:vAlign w:val="center"/>
                </w:tcPr>
                <w:p w14:paraId="1857BB0A">
                  <w:pPr>
                    <w:keepNext w:val="0"/>
                    <w:keepLines w:val="0"/>
                    <w:widowControl/>
                    <w:suppressLineNumbers w:val="0"/>
                    <w:adjustRightInd w:val="0"/>
                    <w:snapToGrid w:val="0"/>
                    <w:spacing w:before="0" w:beforeAutospacing="0" w:after="0" w:afterAutospacing="0" w:line="276" w:lineRule="auto"/>
                    <w:ind w:left="0" w:right="0"/>
                    <w:jc w:val="center"/>
                    <w:rPr>
                      <w:rFonts w:hint="eastAsia" w:ascii="Times New Roman" w:hAnsi="Times New Roman" w:eastAsia="宋体" w:cs="Times New Roman"/>
                      <w:strike w:val="0"/>
                      <w:dstrike w:val="0"/>
                      <w:color w:val="auto"/>
                      <w:kern w:val="2"/>
                      <w:sz w:val="18"/>
                      <w:szCs w:val="18"/>
                      <w:highlight w:val="none"/>
                      <w:lang w:val="en-US" w:eastAsia="zh-CN" w:bidi="ar-SA"/>
                    </w:rPr>
                  </w:pPr>
                  <w:r>
                    <w:rPr>
                      <w:rFonts w:hint="eastAsia" w:ascii="Times New Roman" w:hAnsi="Times New Roman" w:eastAsia="宋体" w:cs="Times New Roman"/>
                      <w:strike w:val="0"/>
                      <w:dstrike w:val="0"/>
                      <w:color w:val="auto"/>
                      <w:sz w:val="18"/>
                      <w:szCs w:val="18"/>
                      <w:highlight w:val="none"/>
                      <w:lang w:val="en-US" w:eastAsia="zh-CN"/>
                    </w:rPr>
                    <w:t>居民</w:t>
                  </w:r>
                </w:p>
              </w:tc>
              <w:tc>
                <w:tcPr>
                  <w:tcW w:w="499" w:type="pct"/>
                  <w:tcBorders>
                    <w:top w:val="single" w:color="auto" w:sz="4" w:space="0"/>
                    <w:left w:val="single" w:color="auto" w:sz="4" w:space="0"/>
                    <w:bottom w:val="single" w:color="auto" w:sz="4" w:space="0"/>
                    <w:right w:val="single" w:color="auto" w:sz="4" w:space="0"/>
                  </w:tcBorders>
                  <w:shd w:val="clear" w:color="auto" w:fill="auto"/>
                  <w:noWrap w:val="0"/>
                  <w:vAlign w:val="center"/>
                </w:tcPr>
                <w:p w14:paraId="1DD87468">
                  <w:pPr>
                    <w:keepNext w:val="0"/>
                    <w:keepLines w:val="0"/>
                    <w:widowControl/>
                    <w:suppressLineNumbers w:val="0"/>
                    <w:adjustRightInd w:val="0"/>
                    <w:snapToGrid w:val="0"/>
                    <w:spacing w:before="0" w:beforeAutospacing="0" w:after="0" w:afterAutospacing="0" w:line="276" w:lineRule="auto"/>
                    <w:ind w:left="0" w:right="0"/>
                    <w:jc w:val="center"/>
                    <w:rPr>
                      <w:rFonts w:hint="eastAsia" w:ascii="Times New Roman" w:hAnsi="Times New Roman" w:eastAsia="宋体" w:cs="Times New Roman"/>
                      <w:strike w:val="0"/>
                      <w:dstrike w:val="0"/>
                      <w:color w:val="auto"/>
                      <w:kern w:val="2"/>
                      <w:sz w:val="18"/>
                      <w:szCs w:val="18"/>
                      <w:highlight w:val="none"/>
                      <w:lang w:val="en-US" w:eastAsia="zh-CN" w:bidi="ar-SA"/>
                    </w:rPr>
                  </w:pPr>
                  <w:r>
                    <w:rPr>
                      <w:rFonts w:hint="eastAsia" w:ascii="Times New Roman" w:hAnsi="Times New Roman" w:eastAsia="宋体" w:cs="Times New Roman"/>
                      <w:strike w:val="0"/>
                      <w:dstrike w:val="0"/>
                      <w:color w:val="auto"/>
                      <w:sz w:val="18"/>
                      <w:szCs w:val="18"/>
                      <w:highlight w:val="none"/>
                      <w:lang w:val="en-US" w:eastAsia="zh-CN"/>
                    </w:rPr>
                    <w:t>二类</w:t>
                  </w:r>
                </w:p>
              </w:tc>
              <w:tc>
                <w:tcPr>
                  <w:tcW w:w="453" w:type="pct"/>
                  <w:tcBorders>
                    <w:top w:val="single" w:color="auto" w:sz="4" w:space="0"/>
                    <w:left w:val="single" w:color="auto" w:sz="4" w:space="0"/>
                    <w:bottom w:val="single" w:color="auto" w:sz="4" w:space="0"/>
                    <w:right w:val="single" w:color="auto" w:sz="4" w:space="0"/>
                  </w:tcBorders>
                  <w:shd w:val="clear" w:color="auto" w:fill="auto"/>
                  <w:noWrap w:val="0"/>
                  <w:vAlign w:val="center"/>
                </w:tcPr>
                <w:p w14:paraId="741D73B2">
                  <w:pPr>
                    <w:keepNext w:val="0"/>
                    <w:keepLines w:val="0"/>
                    <w:widowControl/>
                    <w:suppressLineNumbers w:val="0"/>
                    <w:adjustRightInd w:val="0"/>
                    <w:snapToGrid w:val="0"/>
                    <w:spacing w:before="0" w:beforeAutospacing="0" w:after="0" w:afterAutospacing="0" w:line="276" w:lineRule="auto"/>
                    <w:ind w:left="0" w:right="0"/>
                    <w:jc w:val="center"/>
                    <w:rPr>
                      <w:rFonts w:hint="default" w:ascii="Times New Roman" w:hAnsi="Times New Roman" w:eastAsia="宋体" w:cs="Times New Roman"/>
                      <w:strike w:val="0"/>
                      <w:dstrike w:val="0"/>
                      <w:color w:val="auto"/>
                      <w:kern w:val="2"/>
                      <w:sz w:val="18"/>
                      <w:szCs w:val="18"/>
                      <w:highlight w:val="none"/>
                      <w:lang w:val="en-US" w:eastAsia="zh-CN" w:bidi="ar-SA"/>
                    </w:rPr>
                  </w:pPr>
                  <w:r>
                    <w:rPr>
                      <w:rFonts w:hint="eastAsia" w:ascii="Times New Roman" w:hAnsi="Times New Roman" w:eastAsia="宋体" w:cs="Times New Roman"/>
                      <w:strike w:val="0"/>
                      <w:dstrike w:val="0"/>
                      <w:color w:val="auto"/>
                      <w:sz w:val="18"/>
                      <w:szCs w:val="18"/>
                      <w:highlight w:val="none"/>
                      <w:lang w:val="en-US" w:eastAsia="zh-CN"/>
                    </w:rPr>
                    <w:t>东南</w:t>
                  </w:r>
                </w:p>
              </w:tc>
              <w:tc>
                <w:tcPr>
                  <w:tcW w:w="551" w:type="pct"/>
                  <w:tcBorders>
                    <w:top w:val="single" w:color="auto" w:sz="4" w:space="0"/>
                    <w:left w:val="single" w:color="auto" w:sz="4" w:space="0"/>
                    <w:bottom w:val="single" w:color="auto" w:sz="4" w:space="0"/>
                    <w:right w:val="single" w:color="auto" w:sz="4" w:space="0"/>
                  </w:tcBorders>
                  <w:shd w:val="clear" w:color="auto" w:fill="auto"/>
                  <w:noWrap w:val="0"/>
                  <w:vAlign w:val="center"/>
                </w:tcPr>
                <w:p w14:paraId="5501BE15">
                  <w:pPr>
                    <w:keepNext w:val="0"/>
                    <w:keepLines w:val="0"/>
                    <w:widowControl/>
                    <w:suppressLineNumbers w:val="0"/>
                    <w:adjustRightInd w:val="0"/>
                    <w:snapToGrid w:val="0"/>
                    <w:spacing w:before="0" w:beforeAutospacing="0" w:after="0" w:afterAutospacing="0" w:line="276" w:lineRule="auto"/>
                    <w:ind w:left="0" w:right="0"/>
                    <w:jc w:val="center"/>
                    <w:rPr>
                      <w:rFonts w:hint="default" w:ascii="Times New Roman" w:hAnsi="Times New Roman" w:eastAsia="宋体" w:cs="Times New Roman"/>
                      <w:strike w:val="0"/>
                      <w:dstrike w:val="0"/>
                      <w:color w:val="auto"/>
                      <w:kern w:val="2"/>
                      <w:sz w:val="18"/>
                      <w:szCs w:val="18"/>
                      <w:highlight w:val="none"/>
                      <w:lang w:val="en-US" w:eastAsia="zh-CN" w:bidi="ar-SA"/>
                    </w:rPr>
                  </w:pPr>
                  <w:r>
                    <w:rPr>
                      <w:rFonts w:hint="eastAsia" w:ascii="Times New Roman" w:hAnsi="Times New Roman" w:eastAsia="宋体" w:cs="Times New Roman"/>
                      <w:strike w:val="0"/>
                      <w:dstrike w:val="0"/>
                      <w:color w:val="auto"/>
                      <w:sz w:val="18"/>
                      <w:szCs w:val="18"/>
                      <w:highlight w:val="none"/>
                      <w:lang w:val="en-US" w:eastAsia="zh-CN"/>
                    </w:rPr>
                    <w:t>1690</w:t>
                  </w:r>
                </w:p>
              </w:tc>
            </w:tr>
            <w:tr w14:paraId="5FDDFB0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40" w:hRule="atLeast"/>
                <w:jc w:val="center"/>
              </w:trPr>
              <w:tc>
                <w:tcPr>
                  <w:tcW w:w="366" w:type="pct"/>
                  <w:tcBorders>
                    <w:left w:val="single" w:color="auto" w:sz="4" w:space="0"/>
                    <w:right w:val="single" w:color="auto" w:sz="4" w:space="0"/>
                  </w:tcBorders>
                  <w:noWrap w:val="0"/>
                  <w:vAlign w:val="center"/>
                </w:tcPr>
                <w:p w14:paraId="2F00BB74">
                  <w:pPr>
                    <w:keepNext w:val="0"/>
                    <w:keepLines w:val="0"/>
                    <w:widowControl/>
                    <w:suppressLineNumbers w:val="0"/>
                    <w:adjustRightInd w:val="0"/>
                    <w:snapToGrid w:val="0"/>
                    <w:spacing w:before="0" w:beforeAutospacing="0" w:after="0" w:afterAutospacing="0" w:line="276" w:lineRule="auto"/>
                    <w:ind w:left="0" w:right="0"/>
                    <w:jc w:val="center"/>
                    <w:rPr>
                      <w:rFonts w:hint="default" w:ascii="Times New Roman" w:hAnsi="Times New Roman" w:eastAsia="宋体" w:cs="Times New Roman"/>
                      <w:strike w:val="0"/>
                      <w:dstrike w:val="0"/>
                      <w:color w:val="auto"/>
                      <w:sz w:val="18"/>
                      <w:szCs w:val="18"/>
                      <w:highlight w:val="none"/>
                      <w:lang w:val="en-US" w:eastAsia="zh-CN"/>
                    </w:rPr>
                  </w:pPr>
                  <w:r>
                    <w:rPr>
                      <w:rFonts w:hint="eastAsia" w:ascii="Times New Roman" w:hAnsi="Times New Roman" w:eastAsia="宋体" w:cs="Times New Roman"/>
                      <w:strike w:val="0"/>
                      <w:dstrike w:val="0"/>
                      <w:color w:val="auto"/>
                      <w:sz w:val="18"/>
                      <w:szCs w:val="18"/>
                      <w:highlight w:val="none"/>
                      <w:lang w:val="en-US" w:eastAsia="zh-CN"/>
                    </w:rPr>
                    <w:t>57</w:t>
                  </w:r>
                </w:p>
              </w:tc>
              <w:tc>
                <w:tcPr>
                  <w:tcW w:w="1071" w:type="pct"/>
                  <w:tcBorders>
                    <w:top w:val="single" w:color="auto" w:sz="4" w:space="0"/>
                    <w:left w:val="single" w:color="auto" w:sz="4" w:space="0"/>
                    <w:bottom w:val="single" w:color="auto" w:sz="4" w:space="0"/>
                    <w:right w:val="single" w:color="auto" w:sz="4" w:space="0"/>
                  </w:tcBorders>
                  <w:noWrap w:val="0"/>
                  <w:vAlign w:val="center"/>
                </w:tcPr>
                <w:p w14:paraId="39E70C31">
                  <w:pPr>
                    <w:keepNext w:val="0"/>
                    <w:keepLines w:val="0"/>
                    <w:widowControl/>
                    <w:suppressLineNumbers w:val="0"/>
                    <w:adjustRightInd w:val="0"/>
                    <w:snapToGrid w:val="0"/>
                    <w:spacing w:before="0" w:beforeAutospacing="0" w:after="0" w:afterAutospacing="0" w:line="276" w:lineRule="auto"/>
                    <w:ind w:left="0" w:right="0"/>
                    <w:jc w:val="center"/>
                    <w:rPr>
                      <w:rFonts w:hint="default" w:ascii="Times New Roman" w:hAnsi="Times New Roman" w:eastAsia="宋体" w:cs="Times New Roman"/>
                      <w:strike w:val="0"/>
                      <w:dstrike w:val="0"/>
                      <w:color w:val="auto"/>
                      <w:sz w:val="18"/>
                      <w:szCs w:val="18"/>
                      <w:highlight w:val="none"/>
                      <w:lang w:val="en-US" w:eastAsia="zh-CN"/>
                    </w:rPr>
                  </w:pPr>
                  <w:r>
                    <w:rPr>
                      <w:rFonts w:hint="default" w:ascii="Times New Roman" w:hAnsi="Times New Roman" w:eastAsia="宋体" w:cs="Times New Roman"/>
                      <w:strike w:val="0"/>
                      <w:dstrike w:val="0"/>
                      <w:color w:val="auto"/>
                      <w:sz w:val="18"/>
                      <w:szCs w:val="18"/>
                      <w:highlight w:val="none"/>
                      <w:lang w:val="en-US" w:eastAsia="zh-CN"/>
                    </w:rPr>
                    <w:t>叶家村</w:t>
                  </w:r>
                </w:p>
              </w:tc>
              <w:tc>
                <w:tcPr>
                  <w:tcW w:w="527" w:type="pct"/>
                  <w:tcBorders>
                    <w:top w:val="single" w:color="auto" w:sz="4" w:space="0"/>
                    <w:left w:val="single" w:color="auto" w:sz="4" w:space="0"/>
                    <w:bottom w:val="single" w:color="auto" w:sz="4" w:space="0"/>
                    <w:right w:val="single" w:color="auto" w:sz="4" w:space="0"/>
                  </w:tcBorders>
                  <w:noWrap w:val="0"/>
                  <w:vAlign w:val="center"/>
                </w:tcPr>
                <w:p w14:paraId="4D2905F9">
                  <w:pPr>
                    <w:keepNext w:val="0"/>
                    <w:keepLines w:val="0"/>
                    <w:widowControl/>
                    <w:suppressLineNumbers w:val="0"/>
                    <w:adjustRightInd w:val="0"/>
                    <w:snapToGrid w:val="0"/>
                    <w:spacing w:before="0" w:beforeAutospacing="0" w:after="0" w:afterAutospacing="0" w:line="276" w:lineRule="auto"/>
                    <w:ind w:left="0" w:right="0"/>
                    <w:jc w:val="center"/>
                    <w:rPr>
                      <w:rFonts w:hint="default" w:ascii="Times New Roman" w:hAnsi="Times New Roman" w:eastAsia="宋体" w:cs="Times New Roman"/>
                      <w:strike w:val="0"/>
                      <w:dstrike w:val="0"/>
                      <w:color w:val="auto"/>
                      <w:sz w:val="18"/>
                      <w:szCs w:val="18"/>
                      <w:highlight w:val="none"/>
                    </w:rPr>
                  </w:pPr>
                  <w:r>
                    <w:rPr>
                      <w:rFonts w:hint="default" w:ascii="Times New Roman" w:hAnsi="Times New Roman" w:eastAsia="宋体" w:cs="Times New Roman"/>
                      <w:strike w:val="0"/>
                      <w:dstrike w:val="0"/>
                      <w:color w:val="auto"/>
                      <w:sz w:val="18"/>
                      <w:szCs w:val="18"/>
                      <w:highlight w:val="none"/>
                    </w:rPr>
                    <w:t>118.823381</w:t>
                  </w:r>
                </w:p>
              </w:tc>
              <w:tc>
                <w:tcPr>
                  <w:tcW w:w="564" w:type="pct"/>
                  <w:tcBorders>
                    <w:top w:val="single" w:color="auto" w:sz="4" w:space="0"/>
                    <w:left w:val="single" w:color="auto" w:sz="4" w:space="0"/>
                    <w:bottom w:val="single" w:color="auto" w:sz="4" w:space="0"/>
                    <w:right w:val="single" w:color="auto" w:sz="4" w:space="0"/>
                  </w:tcBorders>
                  <w:noWrap w:val="0"/>
                  <w:vAlign w:val="center"/>
                </w:tcPr>
                <w:p w14:paraId="0712A261">
                  <w:pPr>
                    <w:keepNext w:val="0"/>
                    <w:keepLines w:val="0"/>
                    <w:widowControl/>
                    <w:suppressLineNumbers w:val="0"/>
                    <w:adjustRightInd w:val="0"/>
                    <w:snapToGrid w:val="0"/>
                    <w:spacing w:before="0" w:beforeAutospacing="0" w:after="0" w:afterAutospacing="0" w:line="276" w:lineRule="auto"/>
                    <w:ind w:left="0" w:right="0"/>
                    <w:jc w:val="center"/>
                    <w:rPr>
                      <w:rFonts w:hint="default" w:ascii="Times New Roman" w:hAnsi="Times New Roman" w:eastAsia="宋体" w:cs="Times New Roman"/>
                      <w:strike w:val="0"/>
                      <w:dstrike w:val="0"/>
                      <w:color w:val="auto"/>
                      <w:sz w:val="18"/>
                      <w:szCs w:val="18"/>
                      <w:highlight w:val="none"/>
                    </w:rPr>
                  </w:pPr>
                  <w:r>
                    <w:rPr>
                      <w:rFonts w:hint="default" w:ascii="Times New Roman" w:hAnsi="Times New Roman" w:eastAsia="宋体" w:cs="Times New Roman"/>
                      <w:strike w:val="0"/>
                      <w:dstrike w:val="0"/>
                      <w:color w:val="auto"/>
                      <w:sz w:val="18"/>
                      <w:szCs w:val="18"/>
                      <w:highlight w:val="none"/>
                    </w:rPr>
                    <w:t>28.937675</w:t>
                  </w:r>
                </w:p>
              </w:tc>
              <w:tc>
                <w:tcPr>
                  <w:tcW w:w="474" w:type="pct"/>
                  <w:tcBorders>
                    <w:top w:val="single" w:color="auto" w:sz="4" w:space="0"/>
                    <w:left w:val="single" w:color="auto" w:sz="4" w:space="0"/>
                    <w:bottom w:val="single" w:color="auto" w:sz="4" w:space="0"/>
                    <w:right w:val="single" w:color="auto" w:sz="4" w:space="0"/>
                  </w:tcBorders>
                  <w:noWrap w:val="0"/>
                  <w:vAlign w:val="center"/>
                </w:tcPr>
                <w:p w14:paraId="2CFBEF32">
                  <w:pPr>
                    <w:keepNext w:val="0"/>
                    <w:keepLines w:val="0"/>
                    <w:widowControl/>
                    <w:suppressLineNumbers w:val="0"/>
                    <w:adjustRightInd w:val="0"/>
                    <w:snapToGrid w:val="0"/>
                    <w:spacing w:before="0" w:beforeAutospacing="0" w:after="0" w:afterAutospacing="0" w:line="276" w:lineRule="auto"/>
                    <w:ind w:left="0" w:right="0"/>
                    <w:jc w:val="center"/>
                    <w:rPr>
                      <w:rFonts w:hint="eastAsia" w:ascii="Times New Roman" w:hAnsi="Times New Roman" w:eastAsia="宋体" w:cs="Times New Roman"/>
                      <w:strike w:val="0"/>
                      <w:dstrike w:val="0"/>
                      <w:color w:val="auto"/>
                      <w:kern w:val="2"/>
                      <w:sz w:val="18"/>
                      <w:szCs w:val="18"/>
                      <w:highlight w:val="none"/>
                      <w:lang w:val="en-US" w:eastAsia="zh-CN" w:bidi="ar-SA"/>
                    </w:rPr>
                  </w:pPr>
                  <w:r>
                    <w:rPr>
                      <w:rFonts w:hint="eastAsia" w:ascii="Times New Roman" w:hAnsi="Times New Roman" w:eastAsia="宋体" w:cs="Times New Roman"/>
                      <w:strike w:val="0"/>
                      <w:dstrike w:val="0"/>
                      <w:color w:val="auto"/>
                      <w:sz w:val="18"/>
                      <w:szCs w:val="18"/>
                      <w:highlight w:val="none"/>
                      <w:lang w:val="en-US" w:eastAsia="zh-CN"/>
                    </w:rPr>
                    <w:t>居住区</w:t>
                  </w:r>
                </w:p>
              </w:tc>
              <w:tc>
                <w:tcPr>
                  <w:tcW w:w="490" w:type="pct"/>
                  <w:tcBorders>
                    <w:top w:val="single" w:color="auto" w:sz="4" w:space="0"/>
                    <w:left w:val="single" w:color="auto" w:sz="4" w:space="0"/>
                    <w:bottom w:val="single" w:color="auto" w:sz="4" w:space="0"/>
                    <w:right w:val="single" w:color="auto" w:sz="4" w:space="0"/>
                  </w:tcBorders>
                  <w:noWrap w:val="0"/>
                  <w:vAlign w:val="center"/>
                </w:tcPr>
                <w:p w14:paraId="1C907981">
                  <w:pPr>
                    <w:keepNext w:val="0"/>
                    <w:keepLines w:val="0"/>
                    <w:widowControl/>
                    <w:suppressLineNumbers w:val="0"/>
                    <w:adjustRightInd w:val="0"/>
                    <w:snapToGrid w:val="0"/>
                    <w:spacing w:before="0" w:beforeAutospacing="0" w:after="0" w:afterAutospacing="0" w:line="276" w:lineRule="auto"/>
                    <w:ind w:left="0" w:right="0"/>
                    <w:jc w:val="center"/>
                    <w:rPr>
                      <w:rFonts w:hint="eastAsia" w:ascii="Times New Roman" w:hAnsi="Times New Roman" w:eastAsia="宋体" w:cs="Times New Roman"/>
                      <w:strike w:val="0"/>
                      <w:dstrike w:val="0"/>
                      <w:color w:val="auto"/>
                      <w:kern w:val="2"/>
                      <w:sz w:val="18"/>
                      <w:szCs w:val="18"/>
                      <w:highlight w:val="none"/>
                      <w:lang w:val="en-US" w:eastAsia="zh-CN" w:bidi="ar-SA"/>
                    </w:rPr>
                  </w:pPr>
                  <w:r>
                    <w:rPr>
                      <w:rFonts w:hint="eastAsia" w:ascii="Times New Roman" w:hAnsi="Times New Roman" w:eastAsia="宋体" w:cs="Times New Roman"/>
                      <w:strike w:val="0"/>
                      <w:dstrike w:val="0"/>
                      <w:color w:val="auto"/>
                      <w:sz w:val="18"/>
                      <w:szCs w:val="18"/>
                      <w:highlight w:val="none"/>
                      <w:lang w:val="en-US" w:eastAsia="zh-CN"/>
                    </w:rPr>
                    <w:t>居民</w:t>
                  </w:r>
                </w:p>
              </w:tc>
              <w:tc>
                <w:tcPr>
                  <w:tcW w:w="499" w:type="pct"/>
                  <w:tcBorders>
                    <w:top w:val="single" w:color="auto" w:sz="4" w:space="0"/>
                    <w:left w:val="single" w:color="auto" w:sz="4" w:space="0"/>
                    <w:bottom w:val="single" w:color="auto" w:sz="4" w:space="0"/>
                    <w:right w:val="single" w:color="auto" w:sz="4" w:space="0"/>
                  </w:tcBorders>
                  <w:noWrap w:val="0"/>
                  <w:vAlign w:val="center"/>
                </w:tcPr>
                <w:p w14:paraId="56438F32">
                  <w:pPr>
                    <w:keepNext w:val="0"/>
                    <w:keepLines w:val="0"/>
                    <w:widowControl/>
                    <w:suppressLineNumbers w:val="0"/>
                    <w:adjustRightInd w:val="0"/>
                    <w:snapToGrid w:val="0"/>
                    <w:spacing w:before="0" w:beforeAutospacing="0" w:after="0" w:afterAutospacing="0" w:line="276" w:lineRule="auto"/>
                    <w:ind w:left="0" w:right="0"/>
                    <w:jc w:val="center"/>
                    <w:rPr>
                      <w:rFonts w:hint="eastAsia" w:ascii="Times New Roman" w:hAnsi="Times New Roman" w:eastAsia="宋体" w:cs="Times New Roman"/>
                      <w:strike w:val="0"/>
                      <w:dstrike w:val="0"/>
                      <w:color w:val="auto"/>
                      <w:kern w:val="2"/>
                      <w:sz w:val="18"/>
                      <w:szCs w:val="18"/>
                      <w:highlight w:val="none"/>
                      <w:lang w:val="en-US" w:eastAsia="zh-CN" w:bidi="ar-SA"/>
                    </w:rPr>
                  </w:pPr>
                  <w:r>
                    <w:rPr>
                      <w:rFonts w:hint="eastAsia" w:ascii="Times New Roman" w:hAnsi="Times New Roman" w:eastAsia="宋体" w:cs="Times New Roman"/>
                      <w:strike w:val="0"/>
                      <w:dstrike w:val="0"/>
                      <w:color w:val="auto"/>
                      <w:sz w:val="18"/>
                      <w:szCs w:val="18"/>
                      <w:highlight w:val="none"/>
                      <w:lang w:val="en-US" w:eastAsia="zh-CN"/>
                    </w:rPr>
                    <w:t>二类</w:t>
                  </w:r>
                </w:p>
              </w:tc>
              <w:tc>
                <w:tcPr>
                  <w:tcW w:w="453" w:type="pct"/>
                  <w:tcBorders>
                    <w:top w:val="single" w:color="auto" w:sz="4" w:space="0"/>
                    <w:left w:val="single" w:color="auto" w:sz="4" w:space="0"/>
                    <w:bottom w:val="single" w:color="auto" w:sz="4" w:space="0"/>
                    <w:right w:val="single" w:color="auto" w:sz="4" w:space="0"/>
                  </w:tcBorders>
                  <w:shd w:val="clear" w:color="auto" w:fill="auto"/>
                  <w:noWrap w:val="0"/>
                  <w:vAlign w:val="center"/>
                </w:tcPr>
                <w:p w14:paraId="24DC8849">
                  <w:pPr>
                    <w:keepNext w:val="0"/>
                    <w:keepLines w:val="0"/>
                    <w:widowControl/>
                    <w:suppressLineNumbers w:val="0"/>
                    <w:adjustRightInd w:val="0"/>
                    <w:snapToGrid w:val="0"/>
                    <w:spacing w:before="0" w:beforeAutospacing="0" w:after="0" w:afterAutospacing="0" w:line="276" w:lineRule="auto"/>
                    <w:ind w:left="0" w:right="0"/>
                    <w:jc w:val="center"/>
                    <w:rPr>
                      <w:rFonts w:hint="default" w:ascii="Times New Roman" w:hAnsi="Times New Roman" w:eastAsia="宋体" w:cs="Times New Roman"/>
                      <w:strike w:val="0"/>
                      <w:dstrike w:val="0"/>
                      <w:color w:val="auto"/>
                      <w:kern w:val="2"/>
                      <w:sz w:val="18"/>
                      <w:szCs w:val="18"/>
                      <w:highlight w:val="none"/>
                      <w:lang w:val="en-US" w:eastAsia="zh-CN" w:bidi="ar-SA"/>
                    </w:rPr>
                  </w:pPr>
                  <w:r>
                    <w:rPr>
                      <w:rFonts w:hint="eastAsia" w:ascii="Times New Roman" w:hAnsi="Times New Roman" w:eastAsia="宋体" w:cs="Times New Roman"/>
                      <w:strike w:val="0"/>
                      <w:dstrike w:val="0"/>
                      <w:color w:val="auto"/>
                      <w:kern w:val="2"/>
                      <w:sz w:val="18"/>
                      <w:szCs w:val="18"/>
                      <w:highlight w:val="none"/>
                      <w:lang w:val="en-US" w:eastAsia="zh-CN" w:bidi="ar-SA"/>
                    </w:rPr>
                    <w:t>西南</w:t>
                  </w:r>
                </w:p>
              </w:tc>
              <w:tc>
                <w:tcPr>
                  <w:tcW w:w="551" w:type="pct"/>
                  <w:tcBorders>
                    <w:top w:val="single" w:color="auto" w:sz="4" w:space="0"/>
                    <w:left w:val="single" w:color="auto" w:sz="4" w:space="0"/>
                    <w:bottom w:val="single" w:color="auto" w:sz="4" w:space="0"/>
                    <w:right w:val="single" w:color="auto" w:sz="4" w:space="0"/>
                  </w:tcBorders>
                  <w:shd w:val="clear" w:color="auto" w:fill="auto"/>
                  <w:noWrap w:val="0"/>
                  <w:vAlign w:val="center"/>
                </w:tcPr>
                <w:p w14:paraId="1FB330E5">
                  <w:pPr>
                    <w:keepNext w:val="0"/>
                    <w:keepLines w:val="0"/>
                    <w:widowControl/>
                    <w:suppressLineNumbers w:val="0"/>
                    <w:adjustRightInd w:val="0"/>
                    <w:snapToGrid w:val="0"/>
                    <w:spacing w:before="0" w:beforeAutospacing="0" w:after="0" w:afterAutospacing="0" w:line="276" w:lineRule="auto"/>
                    <w:ind w:left="0" w:right="0"/>
                    <w:jc w:val="center"/>
                    <w:rPr>
                      <w:rFonts w:hint="default" w:ascii="Times New Roman" w:hAnsi="Times New Roman" w:eastAsia="宋体" w:cs="Times New Roman"/>
                      <w:strike w:val="0"/>
                      <w:dstrike w:val="0"/>
                      <w:color w:val="auto"/>
                      <w:kern w:val="2"/>
                      <w:sz w:val="18"/>
                      <w:szCs w:val="18"/>
                      <w:highlight w:val="none"/>
                      <w:lang w:val="en-US" w:eastAsia="zh-CN" w:bidi="ar-SA"/>
                    </w:rPr>
                  </w:pPr>
                  <w:r>
                    <w:rPr>
                      <w:rFonts w:hint="eastAsia" w:ascii="Times New Roman" w:hAnsi="Times New Roman" w:eastAsia="宋体" w:cs="Times New Roman"/>
                      <w:strike w:val="0"/>
                      <w:dstrike w:val="0"/>
                      <w:color w:val="auto"/>
                      <w:kern w:val="2"/>
                      <w:sz w:val="18"/>
                      <w:szCs w:val="18"/>
                      <w:highlight w:val="none"/>
                      <w:lang w:val="en-US" w:eastAsia="zh-CN" w:bidi="ar-SA"/>
                    </w:rPr>
                    <w:t>1600</w:t>
                  </w:r>
                </w:p>
              </w:tc>
            </w:tr>
            <w:tr w14:paraId="30D6CEB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40" w:hRule="atLeast"/>
                <w:jc w:val="center"/>
              </w:trPr>
              <w:tc>
                <w:tcPr>
                  <w:tcW w:w="366" w:type="pct"/>
                  <w:tcBorders>
                    <w:left w:val="single" w:color="auto" w:sz="4" w:space="0"/>
                    <w:right w:val="single" w:color="auto" w:sz="4" w:space="0"/>
                  </w:tcBorders>
                  <w:noWrap w:val="0"/>
                  <w:vAlign w:val="center"/>
                </w:tcPr>
                <w:p w14:paraId="1E9942CF">
                  <w:pPr>
                    <w:keepNext w:val="0"/>
                    <w:keepLines w:val="0"/>
                    <w:widowControl/>
                    <w:suppressLineNumbers w:val="0"/>
                    <w:adjustRightInd w:val="0"/>
                    <w:snapToGrid w:val="0"/>
                    <w:spacing w:before="0" w:beforeAutospacing="0" w:after="0" w:afterAutospacing="0" w:line="276" w:lineRule="auto"/>
                    <w:ind w:left="0" w:right="0"/>
                    <w:jc w:val="center"/>
                    <w:rPr>
                      <w:rFonts w:hint="default" w:ascii="Times New Roman" w:hAnsi="Times New Roman" w:eastAsia="宋体" w:cs="Times New Roman"/>
                      <w:strike w:val="0"/>
                      <w:dstrike w:val="0"/>
                      <w:color w:val="auto"/>
                      <w:sz w:val="18"/>
                      <w:szCs w:val="18"/>
                      <w:highlight w:val="none"/>
                      <w:lang w:val="en-US" w:eastAsia="zh-CN"/>
                    </w:rPr>
                  </w:pPr>
                  <w:r>
                    <w:rPr>
                      <w:rFonts w:hint="eastAsia" w:ascii="Times New Roman" w:hAnsi="Times New Roman" w:eastAsia="宋体" w:cs="Times New Roman"/>
                      <w:strike w:val="0"/>
                      <w:dstrike w:val="0"/>
                      <w:color w:val="auto"/>
                      <w:sz w:val="18"/>
                      <w:szCs w:val="18"/>
                      <w:highlight w:val="none"/>
                      <w:lang w:val="en-US" w:eastAsia="zh-CN"/>
                    </w:rPr>
                    <w:t>58</w:t>
                  </w:r>
                </w:p>
              </w:tc>
              <w:tc>
                <w:tcPr>
                  <w:tcW w:w="1071" w:type="pct"/>
                  <w:tcBorders>
                    <w:top w:val="single" w:color="auto" w:sz="4" w:space="0"/>
                    <w:left w:val="single" w:color="auto" w:sz="4" w:space="0"/>
                    <w:bottom w:val="single" w:color="auto" w:sz="4" w:space="0"/>
                    <w:right w:val="single" w:color="auto" w:sz="4" w:space="0"/>
                  </w:tcBorders>
                  <w:noWrap w:val="0"/>
                  <w:vAlign w:val="center"/>
                </w:tcPr>
                <w:p w14:paraId="217710B0">
                  <w:pPr>
                    <w:keepNext w:val="0"/>
                    <w:keepLines w:val="0"/>
                    <w:widowControl/>
                    <w:suppressLineNumbers w:val="0"/>
                    <w:adjustRightInd w:val="0"/>
                    <w:snapToGrid w:val="0"/>
                    <w:spacing w:before="0" w:beforeAutospacing="0" w:after="0" w:afterAutospacing="0" w:line="276" w:lineRule="auto"/>
                    <w:ind w:left="0" w:right="0"/>
                    <w:jc w:val="center"/>
                    <w:rPr>
                      <w:rFonts w:hint="default" w:ascii="Times New Roman" w:hAnsi="Times New Roman" w:eastAsia="宋体" w:cs="Times New Roman"/>
                      <w:strike w:val="0"/>
                      <w:dstrike w:val="0"/>
                      <w:color w:val="auto"/>
                      <w:sz w:val="18"/>
                      <w:szCs w:val="18"/>
                      <w:highlight w:val="none"/>
                      <w:lang w:val="en-US" w:eastAsia="zh-CN"/>
                    </w:rPr>
                  </w:pPr>
                  <w:r>
                    <w:rPr>
                      <w:rFonts w:hint="default" w:ascii="Times New Roman" w:hAnsi="Times New Roman" w:eastAsia="宋体" w:cs="Times New Roman"/>
                      <w:strike w:val="0"/>
                      <w:dstrike w:val="0"/>
                      <w:color w:val="auto"/>
                      <w:sz w:val="18"/>
                      <w:szCs w:val="18"/>
                      <w:highlight w:val="none"/>
                      <w:lang w:val="en-US" w:eastAsia="zh-CN"/>
                    </w:rPr>
                    <w:t>汪村</w:t>
                  </w:r>
                </w:p>
              </w:tc>
              <w:tc>
                <w:tcPr>
                  <w:tcW w:w="527" w:type="pct"/>
                  <w:tcBorders>
                    <w:top w:val="single" w:color="auto" w:sz="4" w:space="0"/>
                    <w:left w:val="single" w:color="auto" w:sz="4" w:space="0"/>
                    <w:bottom w:val="single" w:color="auto" w:sz="4" w:space="0"/>
                    <w:right w:val="single" w:color="auto" w:sz="4" w:space="0"/>
                  </w:tcBorders>
                  <w:noWrap w:val="0"/>
                  <w:vAlign w:val="center"/>
                </w:tcPr>
                <w:p w14:paraId="600105E2">
                  <w:pPr>
                    <w:keepNext w:val="0"/>
                    <w:keepLines w:val="0"/>
                    <w:widowControl/>
                    <w:suppressLineNumbers w:val="0"/>
                    <w:adjustRightInd w:val="0"/>
                    <w:snapToGrid w:val="0"/>
                    <w:spacing w:before="0" w:beforeAutospacing="0" w:after="0" w:afterAutospacing="0" w:line="276" w:lineRule="auto"/>
                    <w:ind w:left="0" w:right="0"/>
                    <w:jc w:val="center"/>
                    <w:rPr>
                      <w:rFonts w:hint="default" w:ascii="Times New Roman" w:hAnsi="Times New Roman" w:eastAsia="宋体" w:cs="Times New Roman"/>
                      <w:strike w:val="0"/>
                      <w:dstrike w:val="0"/>
                      <w:color w:val="auto"/>
                      <w:sz w:val="18"/>
                      <w:szCs w:val="18"/>
                      <w:highlight w:val="none"/>
                    </w:rPr>
                  </w:pPr>
                  <w:r>
                    <w:rPr>
                      <w:rFonts w:hint="default" w:ascii="Times New Roman" w:hAnsi="Times New Roman" w:eastAsia="宋体" w:cs="Times New Roman"/>
                      <w:strike w:val="0"/>
                      <w:dstrike w:val="0"/>
                      <w:color w:val="auto"/>
                      <w:sz w:val="18"/>
                      <w:szCs w:val="18"/>
                      <w:highlight w:val="none"/>
                    </w:rPr>
                    <w:t>118.821428</w:t>
                  </w:r>
                </w:p>
              </w:tc>
              <w:tc>
                <w:tcPr>
                  <w:tcW w:w="564" w:type="pct"/>
                  <w:tcBorders>
                    <w:top w:val="single" w:color="auto" w:sz="4" w:space="0"/>
                    <w:left w:val="single" w:color="auto" w:sz="4" w:space="0"/>
                    <w:bottom w:val="single" w:color="auto" w:sz="4" w:space="0"/>
                    <w:right w:val="single" w:color="auto" w:sz="4" w:space="0"/>
                  </w:tcBorders>
                  <w:noWrap w:val="0"/>
                  <w:vAlign w:val="center"/>
                </w:tcPr>
                <w:p w14:paraId="574153E0">
                  <w:pPr>
                    <w:keepNext w:val="0"/>
                    <w:keepLines w:val="0"/>
                    <w:widowControl/>
                    <w:suppressLineNumbers w:val="0"/>
                    <w:adjustRightInd w:val="0"/>
                    <w:snapToGrid w:val="0"/>
                    <w:spacing w:before="0" w:beforeAutospacing="0" w:after="0" w:afterAutospacing="0" w:line="276" w:lineRule="auto"/>
                    <w:ind w:left="0" w:right="0"/>
                    <w:jc w:val="center"/>
                    <w:rPr>
                      <w:rFonts w:hint="default" w:ascii="Times New Roman" w:hAnsi="Times New Roman" w:eastAsia="宋体" w:cs="Times New Roman"/>
                      <w:strike w:val="0"/>
                      <w:dstrike w:val="0"/>
                      <w:color w:val="auto"/>
                      <w:sz w:val="18"/>
                      <w:szCs w:val="18"/>
                      <w:highlight w:val="none"/>
                    </w:rPr>
                  </w:pPr>
                  <w:r>
                    <w:rPr>
                      <w:rFonts w:hint="default" w:ascii="Times New Roman" w:hAnsi="Times New Roman" w:eastAsia="宋体" w:cs="Times New Roman"/>
                      <w:strike w:val="0"/>
                      <w:dstrike w:val="0"/>
                      <w:color w:val="auto"/>
                      <w:sz w:val="18"/>
                      <w:szCs w:val="18"/>
                      <w:highlight w:val="none"/>
                    </w:rPr>
                    <w:t>28.933727</w:t>
                  </w:r>
                </w:p>
              </w:tc>
              <w:tc>
                <w:tcPr>
                  <w:tcW w:w="474" w:type="pct"/>
                  <w:tcBorders>
                    <w:top w:val="single" w:color="auto" w:sz="4" w:space="0"/>
                    <w:left w:val="single" w:color="auto" w:sz="4" w:space="0"/>
                    <w:bottom w:val="single" w:color="auto" w:sz="4" w:space="0"/>
                    <w:right w:val="single" w:color="auto" w:sz="4" w:space="0"/>
                  </w:tcBorders>
                  <w:noWrap w:val="0"/>
                  <w:vAlign w:val="center"/>
                </w:tcPr>
                <w:p w14:paraId="5D6BDF8A">
                  <w:pPr>
                    <w:keepNext w:val="0"/>
                    <w:keepLines w:val="0"/>
                    <w:widowControl/>
                    <w:suppressLineNumbers w:val="0"/>
                    <w:adjustRightInd w:val="0"/>
                    <w:snapToGrid w:val="0"/>
                    <w:spacing w:before="0" w:beforeAutospacing="0" w:after="0" w:afterAutospacing="0" w:line="276" w:lineRule="auto"/>
                    <w:ind w:left="0" w:right="0"/>
                    <w:jc w:val="center"/>
                    <w:rPr>
                      <w:rFonts w:hint="eastAsia" w:ascii="Times New Roman" w:hAnsi="Times New Roman" w:eastAsia="宋体" w:cs="Times New Roman"/>
                      <w:strike w:val="0"/>
                      <w:dstrike w:val="0"/>
                      <w:color w:val="auto"/>
                      <w:kern w:val="2"/>
                      <w:sz w:val="18"/>
                      <w:szCs w:val="18"/>
                      <w:highlight w:val="none"/>
                      <w:lang w:val="en-US" w:eastAsia="zh-CN" w:bidi="ar-SA"/>
                    </w:rPr>
                  </w:pPr>
                  <w:r>
                    <w:rPr>
                      <w:rFonts w:hint="eastAsia" w:ascii="Times New Roman" w:hAnsi="Times New Roman" w:eastAsia="宋体" w:cs="Times New Roman"/>
                      <w:strike w:val="0"/>
                      <w:dstrike w:val="0"/>
                      <w:color w:val="auto"/>
                      <w:sz w:val="18"/>
                      <w:szCs w:val="18"/>
                      <w:highlight w:val="none"/>
                      <w:lang w:val="en-US" w:eastAsia="zh-CN"/>
                    </w:rPr>
                    <w:t>居住区</w:t>
                  </w:r>
                </w:p>
              </w:tc>
              <w:tc>
                <w:tcPr>
                  <w:tcW w:w="490" w:type="pct"/>
                  <w:tcBorders>
                    <w:top w:val="single" w:color="auto" w:sz="4" w:space="0"/>
                    <w:left w:val="single" w:color="auto" w:sz="4" w:space="0"/>
                    <w:bottom w:val="single" w:color="auto" w:sz="4" w:space="0"/>
                    <w:right w:val="single" w:color="auto" w:sz="4" w:space="0"/>
                  </w:tcBorders>
                  <w:noWrap w:val="0"/>
                  <w:vAlign w:val="center"/>
                </w:tcPr>
                <w:p w14:paraId="127C257F">
                  <w:pPr>
                    <w:keepNext w:val="0"/>
                    <w:keepLines w:val="0"/>
                    <w:widowControl/>
                    <w:suppressLineNumbers w:val="0"/>
                    <w:adjustRightInd w:val="0"/>
                    <w:snapToGrid w:val="0"/>
                    <w:spacing w:before="0" w:beforeAutospacing="0" w:after="0" w:afterAutospacing="0" w:line="276" w:lineRule="auto"/>
                    <w:ind w:left="0" w:right="0"/>
                    <w:jc w:val="center"/>
                    <w:rPr>
                      <w:rFonts w:hint="eastAsia" w:ascii="Times New Roman" w:hAnsi="Times New Roman" w:eastAsia="宋体" w:cs="Times New Roman"/>
                      <w:strike w:val="0"/>
                      <w:dstrike w:val="0"/>
                      <w:color w:val="auto"/>
                      <w:kern w:val="2"/>
                      <w:sz w:val="18"/>
                      <w:szCs w:val="18"/>
                      <w:highlight w:val="none"/>
                      <w:lang w:val="en-US" w:eastAsia="zh-CN" w:bidi="ar-SA"/>
                    </w:rPr>
                  </w:pPr>
                  <w:r>
                    <w:rPr>
                      <w:rFonts w:hint="eastAsia" w:ascii="Times New Roman" w:hAnsi="Times New Roman" w:eastAsia="宋体" w:cs="Times New Roman"/>
                      <w:strike w:val="0"/>
                      <w:dstrike w:val="0"/>
                      <w:color w:val="auto"/>
                      <w:sz w:val="18"/>
                      <w:szCs w:val="18"/>
                      <w:highlight w:val="none"/>
                      <w:lang w:val="en-US" w:eastAsia="zh-CN"/>
                    </w:rPr>
                    <w:t>居民</w:t>
                  </w:r>
                </w:p>
              </w:tc>
              <w:tc>
                <w:tcPr>
                  <w:tcW w:w="499" w:type="pct"/>
                  <w:tcBorders>
                    <w:top w:val="single" w:color="auto" w:sz="4" w:space="0"/>
                    <w:left w:val="single" w:color="auto" w:sz="4" w:space="0"/>
                    <w:bottom w:val="single" w:color="auto" w:sz="4" w:space="0"/>
                    <w:right w:val="single" w:color="auto" w:sz="4" w:space="0"/>
                  </w:tcBorders>
                  <w:noWrap w:val="0"/>
                  <w:vAlign w:val="center"/>
                </w:tcPr>
                <w:p w14:paraId="1CD6BA37">
                  <w:pPr>
                    <w:keepNext w:val="0"/>
                    <w:keepLines w:val="0"/>
                    <w:widowControl/>
                    <w:suppressLineNumbers w:val="0"/>
                    <w:adjustRightInd w:val="0"/>
                    <w:snapToGrid w:val="0"/>
                    <w:spacing w:before="0" w:beforeAutospacing="0" w:after="0" w:afterAutospacing="0" w:line="276" w:lineRule="auto"/>
                    <w:ind w:left="0" w:right="0"/>
                    <w:jc w:val="center"/>
                    <w:rPr>
                      <w:rFonts w:hint="eastAsia" w:ascii="Times New Roman" w:hAnsi="Times New Roman" w:eastAsia="宋体" w:cs="Times New Roman"/>
                      <w:strike w:val="0"/>
                      <w:dstrike w:val="0"/>
                      <w:color w:val="auto"/>
                      <w:kern w:val="2"/>
                      <w:sz w:val="18"/>
                      <w:szCs w:val="18"/>
                      <w:highlight w:val="none"/>
                      <w:lang w:val="en-US" w:eastAsia="zh-CN" w:bidi="ar-SA"/>
                    </w:rPr>
                  </w:pPr>
                  <w:r>
                    <w:rPr>
                      <w:rFonts w:hint="eastAsia" w:ascii="Times New Roman" w:hAnsi="Times New Roman" w:eastAsia="宋体" w:cs="Times New Roman"/>
                      <w:strike w:val="0"/>
                      <w:dstrike w:val="0"/>
                      <w:color w:val="auto"/>
                      <w:sz w:val="18"/>
                      <w:szCs w:val="18"/>
                      <w:highlight w:val="none"/>
                      <w:lang w:val="en-US" w:eastAsia="zh-CN"/>
                    </w:rPr>
                    <w:t>二类</w:t>
                  </w:r>
                </w:p>
              </w:tc>
              <w:tc>
                <w:tcPr>
                  <w:tcW w:w="453" w:type="pct"/>
                  <w:tcBorders>
                    <w:top w:val="single" w:color="auto" w:sz="4" w:space="0"/>
                    <w:left w:val="single" w:color="auto" w:sz="4" w:space="0"/>
                    <w:bottom w:val="single" w:color="auto" w:sz="4" w:space="0"/>
                    <w:right w:val="single" w:color="auto" w:sz="4" w:space="0"/>
                  </w:tcBorders>
                  <w:noWrap w:val="0"/>
                  <w:vAlign w:val="center"/>
                </w:tcPr>
                <w:p w14:paraId="4E3098EB">
                  <w:pPr>
                    <w:keepNext w:val="0"/>
                    <w:keepLines w:val="0"/>
                    <w:widowControl/>
                    <w:suppressLineNumbers w:val="0"/>
                    <w:adjustRightInd w:val="0"/>
                    <w:snapToGrid w:val="0"/>
                    <w:spacing w:before="0" w:beforeAutospacing="0" w:after="0" w:afterAutospacing="0" w:line="276" w:lineRule="auto"/>
                    <w:ind w:left="0" w:right="0"/>
                    <w:jc w:val="center"/>
                    <w:rPr>
                      <w:rFonts w:hint="default" w:ascii="Times New Roman" w:hAnsi="Times New Roman" w:eastAsia="宋体" w:cs="Times New Roman"/>
                      <w:strike w:val="0"/>
                      <w:dstrike w:val="0"/>
                      <w:color w:val="auto"/>
                      <w:sz w:val="18"/>
                      <w:szCs w:val="18"/>
                      <w:highlight w:val="none"/>
                      <w:lang w:val="en-US" w:eastAsia="zh-CN"/>
                    </w:rPr>
                  </w:pPr>
                  <w:r>
                    <w:rPr>
                      <w:rFonts w:hint="eastAsia" w:ascii="Times New Roman" w:hAnsi="Times New Roman" w:eastAsia="宋体" w:cs="Times New Roman"/>
                      <w:strike w:val="0"/>
                      <w:dstrike w:val="0"/>
                      <w:color w:val="auto"/>
                      <w:kern w:val="2"/>
                      <w:sz w:val="18"/>
                      <w:szCs w:val="18"/>
                      <w:highlight w:val="none"/>
                      <w:lang w:val="en-US" w:eastAsia="zh-CN" w:bidi="ar-SA"/>
                    </w:rPr>
                    <w:t>西南</w:t>
                  </w:r>
                </w:p>
              </w:tc>
              <w:tc>
                <w:tcPr>
                  <w:tcW w:w="551" w:type="pct"/>
                  <w:tcBorders>
                    <w:top w:val="single" w:color="auto" w:sz="4" w:space="0"/>
                    <w:left w:val="single" w:color="auto" w:sz="4" w:space="0"/>
                    <w:bottom w:val="single" w:color="auto" w:sz="4" w:space="0"/>
                    <w:right w:val="single" w:color="auto" w:sz="4" w:space="0"/>
                  </w:tcBorders>
                  <w:noWrap w:val="0"/>
                  <w:vAlign w:val="center"/>
                </w:tcPr>
                <w:p w14:paraId="7989BFF5">
                  <w:pPr>
                    <w:keepNext w:val="0"/>
                    <w:keepLines w:val="0"/>
                    <w:widowControl/>
                    <w:suppressLineNumbers w:val="0"/>
                    <w:adjustRightInd w:val="0"/>
                    <w:snapToGrid w:val="0"/>
                    <w:spacing w:before="0" w:beforeAutospacing="0" w:after="0" w:afterAutospacing="0" w:line="276" w:lineRule="auto"/>
                    <w:ind w:left="0" w:right="0"/>
                    <w:jc w:val="center"/>
                    <w:rPr>
                      <w:rFonts w:hint="default" w:ascii="Times New Roman" w:hAnsi="Times New Roman" w:eastAsia="宋体" w:cs="Times New Roman"/>
                      <w:strike w:val="0"/>
                      <w:dstrike w:val="0"/>
                      <w:color w:val="auto"/>
                      <w:sz w:val="18"/>
                      <w:szCs w:val="18"/>
                      <w:highlight w:val="none"/>
                      <w:lang w:val="en-US" w:eastAsia="zh-CN"/>
                    </w:rPr>
                  </w:pPr>
                  <w:r>
                    <w:rPr>
                      <w:rFonts w:hint="eastAsia" w:ascii="Times New Roman" w:hAnsi="Times New Roman" w:eastAsia="宋体" w:cs="Times New Roman"/>
                      <w:strike w:val="0"/>
                      <w:dstrike w:val="0"/>
                      <w:color w:val="auto"/>
                      <w:kern w:val="2"/>
                      <w:sz w:val="18"/>
                      <w:szCs w:val="18"/>
                      <w:highlight w:val="none"/>
                      <w:lang w:val="en-US" w:eastAsia="zh-CN" w:bidi="ar-SA"/>
                    </w:rPr>
                    <w:t>2230</w:t>
                  </w:r>
                </w:p>
              </w:tc>
            </w:tr>
            <w:tr w14:paraId="71DCF35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40" w:hRule="atLeast"/>
                <w:jc w:val="center"/>
              </w:trPr>
              <w:tc>
                <w:tcPr>
                  <w:tcW w:w="366" w:type="pct"/>
                  <w:tcBorders>
                    <w:left w:val="single" w:color="auto" w:sz="4" w:space="0"/>
                    <w:right w:val="single" w:color="auto" w:sz="4" w:space="0"/>
                  </w:tcBorders>
                  <w:noWrap w:val="0"/>
                  <w:vAlign w:val="center"/>
                </w:tcPr>
                <w:p w14:paraId="18730C36">
                  <w:pPr>
                    <w:keepNext w:val="0"/>
                    <w:keepLines w:val="0"/>
                    <w:widowControl/>
                    <w:suppressLineNumbers w:val="0"/>
                    <w:adjustRightInd w:val="0"/>
                    <w:snapToGrid w:val="0"/>
                    <w:spacing w:before="0" w:beforeAutospacing="0" w:after="0" w:afterAutospacing="0" w:line="276" w:lineRule="auto"/>
                    <w:ind w:left="0" w:right="0"/>
                    <w:jc w:val="center"/>
                    <w:rPr>
                      <w:rFonts w:hint="default" w:ascii="Times New Roman" w:hAnsi="Times New Roman" w:eastAsia="宋体" w:cs="Times New Roman"/>
                      <w:strike w:val="0"/>
                      <w:dstrike w:val="0"/>
                      <w:color w:val="auto"/>
                      <w:sz w:val="18"/>
                      <w:szCs w:val="18"/>
                      <w:highlight w:val="none"/>
                      <w:lang w:val="en-US" w:eastAsia="zh-CN"/>
                    </w:rPr>
                  </w:pPr>
                  <w:r>
                    <w:rPr>
                      <w:rFonts w:hint="eastAsia" w:ascii="Times New Roman" w:hAnsi="Times New Roman" w:eastAsia="宋体" w:cs="Times New Roman"/>
                      <w:strike w:val="0"/>
                      <w:dstrike w:val="0"/>
                      <w:color w:val="auto"/>
                      <w:sz w:val="18"/>
                      <w:szCs w:val="18"/>
                      <w:highlight w:val="none"/>
                      <w:lang w:val="en-US" w:eastAsia="zh-CN"/>
                    </w:rPr>
                    <w:t>59</w:t>
                  </w:r>
                </w:p>
              </w:tc>
              <w:tc>
                <w:tcPr>
                  <w:tcW w:w="1071" w:type="pct"/>
                  <w:tcBorders>
                    <w:top w:val="single" w:color="auto" w:sz="4" w:space="0"/>
                    <w:left w:val="single" w:color="auto" w:sz="4" w:space="0"/>
                    <w:bottom w:val="single" w:color="auto" w:sz="4" w:space="0"/>
                    <w:right w:val="single" w:color="auto" w:sz="4" w:space="0"/>
                  </w:tcBorders>
                  <w:noWrap w:val="0"/>
                  <w:vAlign w:val="center"/>
                </w:tcPr>
                <w:p w14:paraId="099502AA">
                  <w:pPr>
                    <w:keepNext w:val="0"/>
                    <w:keepLines w:val="0"/>
                    <w:widowControl/>
                    <w:suppressLineNumbers w:val="0"/>
                    <w:adjustRightInd w:val="0"/>
                    <w:snapToGrid w:val="0"/>
                    <w:spacing w:before="0" w:beforeAutospacing="0" w:after="0" w:afterAutospacing="0" w:line="276" w:lineRule="auto"/>
                    <w:ind w:left="0" w:right="0"/>
                    <w:jc w:val="center"/>
                    <w:rPr>
                      <w:rFonts w:hint="default" w:ascii="Times New Roman" w:hAnsi="Times New Roman" w:eastAsia="宋体" w:cs="Times New Roman"/>
                      <w:strike w:val="0"/>
                      <w:dstrike w:val="0"/>
                      <w:color w:val="auto"/>
                      <w:sz w:val="18"/>
                      <w:szCs w:val="18"/>
                      <w:highlight w:val="none"/>
                      <w:lang w:val="en-US" w:eastAsia="zh-CN"/>
                    </w:rPr>
                  </w:pPr>
                  <w:r>
                    <w:rPr>
                      <w:rFonts w:hint="default" w:ascii="Times New Roman" w:hAnsi="Times New Roman" w:eastAsia="宋体" w:cs="Times New Roman"/>
                      <w:strike w:val="0"/>
                      <w:dstrike w:val="0"/>
                      <w:color w:val="auto"/>
                      <w:sz w:val="18"/>
                      <w:szCs w:val="18"/>
                      <w:highlight w:val="none"/>
                      <w:lang w:val="en-US" w:eastAsia="zh-CN"/>
                    </w:rPr>
                    <w:t>埂上村</w:t>
                  </w:r>
                </w:p>
              </w:tc>
              <w:tc>
                <w:tcPr>
                  <w:tcW w:w="527" w:type="pct"/>
                  <w:tcBorders>
                    <w:top w:val="single" w:color="auto" w:sz="4" w:space="0"/>
                    <w:left w:val="single" w:color="auto" w:sz="4" w:space="0"/>
                    <w:bottom w:val="single" w:color="auto" w:sz="4" w:space="0"/>
                    <w:right w:val="single" w:color="auto" w:sz="4" w:space="0"/>
                  </w:tcBorders>
                  <w:noWrap w:val="0"/>
                  <w:vAlign w:val="center"/>
                </w:tcPr>
                <w:p w14:paraId="7D1115B8">
                  <w:pPr>
                    <w:keepNext w:val="0"/>
                    <w:keepLines w:val="0"/>
                    <w:widowControl/>
                    <w:suppressLineNumbers w:val="0"/>
                    <w:adjustRightInd w:val="0"/>
                    <w:snapToGrid w:val="0"/>
                    <w:spacing w:before="0" w:beforeAutospacing="0" w:after="0" w:afterAutospacing="0" w:line="276" w:lineRule="auto"/>
                    <w:ind w:left="0" w:right="0"/>
                    <w:jc w:val="center"/>
                    <w:rPr>
                      <w:rFonts w:hint="eastAsia" w:ascii="Times New Roman" w:hAnsi="Times New Roman" w:eastAsia="宋体" w:cs="Times New Roman"/>
                      <w:strike w:val="0"/>
                      <w:dstrike w:val="0"/>
                      <w:color w:val="auto"/>
                      <w:sz w:val="18"/>
                      <w:szCs w:val="18"/>
                      <w:highlight w:val="none"/>
                      <w:lang w:val="en-US" w:eastAsia="zh-CN"/>
                    </w:rPr>
                  </w:pPr>
                  <w:r>
                    <w:rPr>
                      <w:rFonts w:hint="default" w:ascii="Times New Roman" w:hAnsi="Times New Roman" w:eastAsia="宋体" w:cs="Times New Roman"/>
                      <w:strike w:val="0"/>
                      <w:dstrike w:val="0"/>
                      <w:color w:val="auto"/>
                      <w:sz w:val="18"/>
                      <w:szCs w:val="18"/>
                      <w:highlight w:val="none"/>
                    </w:rPr>
                    <w:t>118.82449</w:t>
                  </w:r>
                  <w:r>
                    <w:rPr>
                      <w:rFonts w:hint="eastAsia" w:ascii="Times New Roman" w:hAnsi="Times New Roman" w:eastAsia="宋体" w:cs="Times New Roman"/>
                      <w:strike w:val="0"/>
                      <w:dstrike w:val="0"/>
                      <w:color w:val="auto"/>
                      <w:sz w:val="18"/>
                      <w:szCs w:val="18"/>
                      <w:highlight w:val="none"/>
                      <w:lang w:val="en-US" w:eastAsia="zh-CN"/>
                    </w:rPr>
                    <w:t>7</w:t>
                  </w:r>
                </w:p>
              </w:tc>
              <w:tc>
                <w:tcPr>
                  <w:tcW w:w="564" w:type="pct"/>
                  <w:tcBorders>
                    <w:top w:val="single" w:color="auto" w:sz="4" w:space="0"/>
                    <w:left w:val="single" w:color="auto" w:sz="4" w:space="0"/>
                    <w:bottom w:val="single" w:color="auto" w:sz="4" w:space="0"/>
                    <w:right w:val="single" w:color="auto" w:sz="4" w:space="0"/>
                  </w:tcBorders>
                  <w:noWrap w:val="0"/>
                  <w:vAlign w:val="center"/>
                </w:tcPr>
                <w:p w14:paraId="4E35AE58">
                  <w:pPr>
                    <w:keepNext w:val="0"/>
                    <w:keepLines w:val="0"/>
                    <w:widowControl/>
                    <w:suppressLineNumbers w:val="0"/>
                    <w:adjustRightInd w:val="0"/>
                    <w:snapToGrid w:val="0"/>
                    <w:spacing w:before="0" w:beforeAutospacing="0" w:after="0" w:afterAutospacing="0" w:line="276" w:lineRule="auto"/>
                    <w:ind w:left="0" w:right="0"/>
                    <w:jc w:val="center"/>
                    <w:rPr>
                      <w:rFonts w:hint="eastAsia" w:ascii="Times New Roman" w:hAnsi="Times New Roman" w:eastAsia="宋体" w:cs="Times New Roman"/>
                      <w:strike w:val="0"/>
                      <w:dstrike w:val="0"/>
                      <w:color w:val="auto"/>
                      <w:sz w:val="18"/>
                      <w:szCs w:val="18"/>
                      <w:highlight w:val="none"/>
                      <w:lang w:val="en-US" w:eastAsia="zh-CN"/>
                    </w:rPr>
                  </w:pPr>
                  <w:r>
                    <w:rPr>
                      <w:rFonts w:hint="default" w:ascii="Times New Roman" w:hAnsi="Times New Roman" w:eastAsia="宋体" w:cs="Times New Roman"/>
                      <w:strike w:val="0"/>
                      <w:dstrike w:val="0"/>
                      <w:color w:val="auto"/>
                      <w:sz w:val="18"/>
                      <w:szCs w:val="18"/>
                      <w:highlight w:val="none"/>
                    </w:rPr>
                    <w:t>28.93430</w:t>
                  </w:r>
                  <w:r>
                    <w:rPr>
                      <w:rFonts w:hint="eastAsia" w:ascii="Times New Roman" w:hAnsi="Times New Roman" w:eastAsia="宋体" w:cs="Times New Roman"/>
                      <w:strike w:val="0"/>
                      <w:dstrike w:val="0"/>
                      <w:color w:val="auto"/>
                      <w:sz w:val="18"/>
                      <w:szCs w:val="18"/>
                      <w:highlight w:val="none"/>
                      <w:lang w:val="en-US" w:eastAsia="zh-CN"/>
                    </w:rPr>
                    <w:t>7</w:t>
                  </w:r>
                </w:p>
              </w:tc>
              <w:tc>
                <w:tcPr>
                  <w:tcW w:w="474" w:type="pct"/>
                  <w:tcBorders>
                    <w:top w:val="single" w:color="auto" w:sz="4" w:space="0"/>
                    <w:left w:val="single" w:color="auto" w:sz="4" w:space="0"/>
                    <w:bottom w:val="single" w:color="auto" w:sz="4" w:space="0"/>
                    <w:right w:val="single" w:color="auto" w:sz="4" w:space="0"/>
                  </w:tcBorders>
                  <w:noWrap w:val="0"/>
                  <w:vAlign w:val="center"/>
                </w:tcPr>
                <w:p w14:paraId="5EEDDB7B">
                  <w:pPr>
                    <w:keepNext w:val="0"/>
                    <w:keepLines w:val="0"/>
                    <w:widowControl/>
                    <w:suppressLineNumbers w:val="0"/>
                    <w:adjustRightInd w:val="0"/>
                    <w:snapToGrid w:val="0"/>
                    <w:spacing w:before="0" w:beforeAutospacing="0" w:after="0" w:afterAutospacing="0" w:line="276" w:lineRule="auto"/>
                    <w:ind w:left="0" w:right="0"/>
                    <w:jc w:val="center"/>
                    <w:rPr>
                      <w:rFonts w:hint="eastAsia" w:ascii="Times New Roman" w:hAnsi="Times New Roman" w:eastAsia="宋体" w:cs="Times New Roman"/>
                      <w:strike w:val="0"/>
                      <w:dstrike w:val="0"/>
                      <w:color w:val="auto"/>
                      <w:kern w:val="2"/>
                      <w:sz w:val="18"/>
                      <w:szCs w:val="18"/>
                      <w:highlight w:val="none"/>
                      <w:lang w:val="en-US" w:eastAsia="zh-CN" w:bidi="ar-SA"/>
                    </w:rPr>
                  </w:pPr>
                  <w:r>
                    <w:rPr>
                      <w:rFonts w:hint="eastAsia" w:ascii="Times New Roman" w:hAnsi="Times New Roman" w:eastAsia="宋体" w:cs="Times New Roman"/>
                      <w:strike w:val="0"/>
                      <w:dstrike w:val="0"/>
                      <w:color w:val="auto"/>
                      <w:sz w:val="18"/>
                      <w:szCs w:val="18"/>
                      <w:highlight w:val="none"/>
                      <w:lang w:val="en-US" w:eastAsia="zh-CN"/>
                    </w:rPr>
                    <w:t>居住区</w:t>
                  </w:r>
                </w:p>
              </w:tc>
              <w:tc>
                <w:tcPr>
                  <w:tcW w:w="490" w:type="pct"/>
                  <w:tcBorders>
                    <w:top w:val="single" w:color="auto" w:sz="4" w:space="0"/>
                    <w:left w:val="single" w:color="auto" w:sz="4" w:space="0"/>
                    <w:bottom w:val="single" w:color="auto" w:sz="4" w:space="0"/>
                    <w:right w:val="single" w:color="auto" w:sz="4" w:space="0"/>
                  </w:tcBorders>
                  <w:noWrap w:val="0"/>
                  <w:vAlign w:val="center"/>
                </w:tcPr>
                <w:p w14:paraId="06E135F0">
                  <w:pPr>
                    <w:keepNext w:val="0"/>
                    <w:keepLines w:val="0"/>
                    <w:widowControl/>
                    <w:suppressLineNumbers w:val="0"/>
                    <w:adjustRightInd w:val="0"/>
                    <w:snapToGrid w:val="0"/>
                    <w:spacing w:before="0" w:beforeAutospacing="0" w:after="0" w:afterAutospacing="0" w:line="276" w:lineRule="auto"/>
                    <w:ind w:left="0" w:right="0"/>
                    <w:jc w:val="center"/>
                    <w:rPr>
                      <w:rFonts w:hint="eastAsia" w:ascii="Times New Roman" w:hAnsi="Times New Roman" w:eastAsia="宋体" w:cs="Times New Roman"/>
                      <w:strike w:val="0"/>
                      <w:dstrike w:val="0"/>
                      <w:color w:val="auto"/>
                      <w:kern w:val="2"/>
                      <w:sz w:val="18"/>
                      <w:szCs w:val="18"/>
                      <w:highlight w:val="none"/>
                      <w:lang w:val="en-US" w:eastAsia="zh-CN" w:bidi="ar-SA"/>
                    </w:rPr>
                  </w:pPr>
                  <w:r>
                    <w:rPr>
                      <w:rFonts w:hint="eastAsia" w:ascii="Times New Roman" w:hAnsi="Times New Roman" w:eastAsia="宋体" w:cs="Times New Roman"/>
                      <w:strike w:val="0"/>
                      <w:dstrike w:val="0"/>
                      <w:color w:val="auto"/>
                      <w:sz w:val="18"/>
                      <w:szCs w:val="18"/>
                      <w:highlight w:val="none"/>
                      <w:lang w:val="en-US" w:eastAsia="zh-CN"/>
                    </w:rPr>
                    <w:t>居民</w:t>
                  </w:r>
                </w:p>
              </w:tc>
              <w:tc>
                <w:tcPr>
                  <w:tcW w:w="499" w:type="pct"/>
                  <w:tcBorders>
                    <w:top w:val="single" w:color="auto" w:sz="4" w:space="0"/>
                    <w:left w:val="single" w:color="auto" w:sz="4" w:space="0"/>
                    <w:bottom w:val="single" w:color="auto" w:sz="4" w:space="0"/>
                    <w:right w:val="single" w:color="auto" w:sz="4" w:space="0"/>
                  </w:tcBorders>
                  <w:noWrap w:val="0"/>
                  <w:vAlign w:val="center"/>
                </w:tcPr>
                <w:p w14:paraId="5A9BF073">
                  <w:pPr>
                    <w:keepNext w:val="0"/>
                    <w:keepLines w:val="0"/>
                    <w:widowControl/>
                    <w:suppressLineNumbers w:val="0"/>
                    <w:adjustRightInd w:val="0"/>
                    <w:snapToGrid w:val="0"/>
                    <w:spacing w:before="0" w:beforeAutospacing="0" w:after="0" w:afterAutospacing="0" w:line="276" w:lineRule="auto"/>
                    <w:ind w:left="0" w:right="0"/>
                    <w:jc w:val="center"/>
                    <w:rPr>
                      <w:rFonts w:hint="eastAsia" w:ascii="Times New Roman" w:hAnsi="Times New Roman" w:eastAsia="宋体" w:cs="Times New Roman"/>
                      <w:strike w:val="0"/>
                      <w:dstrike w:val="0"/>
                      <w:color w:val="auto"/>
                      <w:kern w:val="2"/>
                      <w:sz w:val="18"/>
                      <w:szCs w:val="18"/>
                      <w:highlight w:val="none"/>
                      <w:lang w:val="en-US" w:eastAsia="zh-CN" w:bidi="ar-SA"/>
                    </w:rPr>
                  </w:pPr>
                  <w:r>
                    <w:rPr>
                      <w:rFonts w:hint="eastAsia" w:ascii="Times New Roman" w:hAnsi="Times New Roman" w:eastAsia="宋体" w:cs="Times New Roman"/>
                      <w:strike w:val="0"/>
                      <w:dstrike w:val="0"/>
                      <w:color w:val="auto"/>
                      <w:sz w:val="18"/>
                      <w:szCs w:val="18"/>
                      <w:highlight w:val="none"/>
                      <w:lang w:val="en-US" w:eastAsia="zh-CN"/>
                    </w:rPr>
                    <w:t>二类</w:t>
                  </w:r>
                </w:p>
              </w:tc>
              <w:tc>
                <w:tcPr>
                  <w:tcW w:w="453" w:type="pct"/>
                  <w:tcBorders>
                    <w:top w:val="single" w:color="auto" w:sz="4" w:space="0"/>
                    <w:left w:val="single" w:color="auto" w:sz="4" w:space="0"/>
                    <w:bottom w:val="single" w:color="auto" w:sz="4" w:space="0"/>
                    <w:right w:val="single" w:color="auto" w:sz="4" w:space="0"/>
                  </w:tcBorders>
                  <w:shd w:val="clear" w:color="auto" w:fill="auto"/>
                  <w:noWrap w:val="0"/>
                  <w:vAlign w:val="center"/>
                </w:tcPr>
                <w:p w14:paraId="7152653B">
                  <w:pPr>
                    <w:keepNext w:val="0"/>
                    <w:keepLines w:val="0"/>
                    <w:widowControl/>
                    <w:suppressLineNumbers w:val="0"/>
                    <w:adjustRightInd w:val="0"/>
                    <w:snapToGrid w:val="0"/>
                    <w:spacing w:before="0" w:beforeAutospacing="0" w:after="0" w:afterAutospacing="0" w:line="276" w:lineRule="auto"/>
                    <w:ind w:left="0" w:right="0"/>
                    <w:jc w:val="center"/>
                    <w:rPr>
                      <w:rFonts w:hint="default" w:ascii="Times New Roman" w:hAnsi="Times New Roman" w:eastAsia="宋体" w:cs="Times New Roman"/>
                      <w:strike w:val="0"/>
                      <w:dstrike w:val="0"/>
                      <w:color w:val="auto"/>
                      <w:kern w:val="2"/>
                      <w:sz w:val="18"/>
                      <w:szCs w:val="18"/>
                      <w:highlight w:val="none"/>
                      <w:lang w:val="en-US" w:eastAsia="zh-CN" w:bidi="ar-SA"/>
                    </w:rPr>
                  </w:pPr>
                  <w:r>
                    <w:rPr>
                      <w:rFonts w:hint="eastAsia" w:ascii="Times New Roman" w:hAnsi="Times New Roman" w:eastAsia="宋体" w:cs="Times New Roman"/>
                      <w:strike w:val="0"/>
                      <w:dstrike w:val="0"/>
                      <w:color w:val="auto"/>
                      <w:kern w:val="2"/>
                      <w:sz w:val="18"/>
                      <w:szCs w:val="18"/>
                      <w:highlight w:val="none"/>
                      <w:lang w:val="en-US" w:eastAsia="zh-CN" w:bidi="ar-SA"/>
                    </w:rPr>
                    <w:t>西南</w:t>
                  </w:r>
                </w:p>
              </w:tc>
              <w:tc>
                <w:tcPr>
                  <w:tcW w:w="551" w:type="pct"/>
                  <w:tcBorders>
                    <w:top w:val="single" w:color="auto" w:sz="4" w:space="0"/>
                    <w:left w:val="single" w:color="auto" w:sz="4" w:space="0"/>
                    <w:bottom w:val="single" w:color="auto" w:sz="4" w:space="0"/>
                    <w:right w:val="single" w:color="auto" w:sz="4" w:space="0"/>
                  </w:tcBorders>
                  <w:shd w:val="clear" w:color="auto" w:fill="auto"/>
                  <w:noWrap w:val="0"/>
                  <w:vAlign w:val="center"/>
                </w:tcPr>
                <w:p w14:paraId="7089BA74">
                  <w:pPr>
                    <w:keepNext w:val="0"/>
                    <w:keepLines w:val="0"/>
                    <w:widowControl/>
                    <w:suppressLineNumbers w:val="0"/>
                    <w:adjustRightInd w:val="0"/>
                    <w:snapToGrid w:val="0"/>
                    <w:spacing w:before="0" w:beforeAutospacing="0" w:after="0" w:afterAutospacing="0" w:line="276" w:lineRule="auto"/>
                    <w:ind w:left="0" w:right="0"/>
                    <w:jc w:val="center"/>
                    <w:rPr>
                      <w:rFonts w:hint="default" w:ascii="Times New Roman" w:hAnsi="Times New Roman" w:eastAsia="宋体" w:cs="Times New Roman"/>
                      <w:strike w:val="0"/>
                      <w:dstrike w:val="0"/>
                      <w:color w:val="auto"/>
                      <w:kern w:val="2"/>
                      <w:sz w:val="18"/>
                      <w:szCs w:val="18"/>
                      <w:highlight w:val="none"/>
                      <w:lang w:val="en-US" w:eastAsia="zh-CN" w:bidi="ar-SA"/>
                    </w:rPr>
                  </w:pPr>
                  <w:r>
                    <w:rPr>
                      <w:rFonts w:hint="eastAsia" w:ascii="Times New Roman" w:hAnsi="Times New Roman" w:eastAsia="宋体" w:cs="Times New Roman"/>
                      <w:strike w:val="0"/>
                      <w:dstrike w:val="0"/>
                      <w:color w:val="auto"/>
                      <w:kern w:val="2"/>
                      <w:sz w:val="18"/>
                      <w:szCs w:val="18"/>
                      <w:highlight w:val="none"/>
                      <w:lang w:val="en-US" w:eastAsia="zh-CN" w:bidi="ar-SA"/>
                    </w:rPr>
                    <w:t>1970</w:t>
                  </w:r>
                </w:p>
              </w:tc>
            </w:tr>
            <w:tr w14:paraId="28E5BC7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40" w:hRule="atLeast"/>
                <w:jc w:val="center"/>
              </w:trPr>
              <w:tc>
                <w:tcPr>
                  <w:tcW w:w="366" w:type="pct"/>
                  <w:tcBorders>
                    <w:left w:val="single" w:color="auto" w:sz="4" w:space="0"/>
                    <w:right w:val="single" w:color="auto" w:sz="4" w:space="0"/>
                  </w:tcBorders>
                  <w:noWrap w:val="0"/>
                  <w:vAlign w:val="center"/>
                </w:tcPr>
                <w:p w14:paraId="01BA141A">
                  <w:pPr>
                    <w:keepNext w:val="0"/>
                    <w:keepLines w:val="0"/>
                    <w:widowControl/>
                    <w:suppressLineNumbers w:val="0"/>
                    <w:adjustRightInd w:val="0"/>
                    <w:snapToGrid w:val="0"/>
                    <w:spacing w:before="0" w:beforeAutospacing="0" w:after="0" w:afterAutospacing="0" w:line="276" w:lineRule="auto"/>
                    <w:ind w:left="0" w:right="0"/>
                    <w:jc w:val="center"/>
                    <w:rPr>
                      <w:rFonts w:hint="default" w:ascii="Times New Roman" w:hAnsi="Times New Roman" w:eastAsia="宋体" w:cs="Times New Roman"/>
                      <w:strike w:val="0"/>
                      <w:dstrike w:val="0"/>
                      <w:color w:val="auto"/>
                      <w:sz w:val="18"/>
                      <w:szCs w:val="18"/>
                      <w:highlight w:val="none"/>
                      <w:lang w:val="en-US" w:eastAsia="zh-CN"/>
                    </w:rPr>
                  </w:pPr>
                  <w:r>
                    <w:rPr>
                      <w:rFonts w:hint="eastAsia" w:ascii="Times New Roman" w:hAnsi="Times New Roman" w:eastAsia="宋体" w:cs="Times New Roman"/>
                      <w:strike w:val="0"/>
                      <w:dstrike w:val="0"/>
                      <w:color w:val="auto"/>
                      <w:sz w:val="18"/>
                      <w:szCs w:val="18"/>
                      <w:highlight w:val="none"/>
                      <w:lang w:val="en-US" w:eastAsia="zh-CN"/>
                    </w:rPr>
                    <w:t>60</w:t>
                  </w:r>
                </w:p>
              </w:tc>
              <w:tc>
                <w:tcPr>
                  <w:tcW w:w="1071" w:type="pct"/>
                  <w:tcBorders>
                    <w:top w:val="single" w:color="auto" w:sz="4" w:space="0"/>
                    <w:left w:val="single" w:color="auto" w:sz="4" w:space="0"/>
                    <w:bottom w:val="single" w:color="auto" w:sz="4" w:space="0"/>
                    <w:right w:val="single" w:color="auto" w:sz="4" w:space="0"/>
                  </w:tcBorders>
                  <w:noWrap w:val="0"/>
                  <w:vAlign w:val="center"/>
                </w:tcPr>
                <w:p w14:paraId="06342C41">
                  <w:pPr>
                    <w:keepNext w:val="0"/>
                    <w:keepLines w:val="0"/>
                    <w:widowControl/>
                    <w:suppressLineNumbers w:val="0"/>
                    <w:adjustRightInd w:val="0"/>
                    <w:snapToGrid w:val="0"/>
                    <w:spacing w:before="0" w:beforeAutospacing="0" w:after="0" w:afterAutospacing="0" w:line="276" w:lineRule="auto"/>
                    <w:ind w:left="0" w:right="0"/>
                    <w:jc w:val="center"/>
                    <w:rPr>
                      <w:rFonts w:hint="default" w:ascii="Times New Roman" w:hAnsi="Times New Roman" w:eastAsia="宋体" w:cs="Times New Roman"/>
                      <w:strike w:val="0"/>
                      <w:dstrike w:val="0"/>
                      <w:color w:val="auto"/>
                      <w:sz w:val="18"/>
                      <w:szCs w:val="18"/>
                      <w:highlight w:val="none"/>
                      <w:lang w:val="en-US" w:eastAsia="zh-CN"/>
                    </w:rPr>
                  </w:pPr>
                  <w:r>
                    <w:rPr>
                      <w:rFonts w:hint="default" w:ascii="Times New Roman" w:hAnsi="Times New Roman" w:eastAsia="宋体" w:cs="Times New Roman"/>
                      <w:strike w:val="0"/>
                      <w:dstrike w:val="0"/>
                      <w:color w:val="auto"/>
                      <w:sz w:val="18"/>
                      <w:szCs w:val="18"/>
                      <w:highlight w:val="none"/>
                      <w:lang w:val="en-US" w:eastAsia="zh-CN"/>
                    </w:rPr>
                    <w:t>梅家村</w:t>
                  </w:r>
                </w:p>
              </w:tc>
              <w:tc>
                <w:tcPr>
                  <w:tcW w:w="527" w:type="pct"/>
                  <w:tcBorders>
                    <w:top w:val="single" w:color="auto" w:sz="4" w:space="0"/>
                    <w:left w:val="single" w:color="auto" w:sz="4" w:space="0"/>
                    <w:bottom w:val="single" w:color="auto" w:sz="4" w:space="0"/>
                    <w:right w:val="single" w:color="auto" w:sz="4" w:space="0"/>
                  </w:tcBorders>
                  <w:noWrap w:val="0"/>
                  <w:vAlign w:val="center"/>
                </w:tcPr>
                <w:p w14:paraId="3922E91F">
                  <w:pPr>
                    <w:keepNext w:val="0"/>
                    <w:keepLines w:val="0"/>
                    <w:widowControl/>
                    <w:suppressLineNumbers w:val="0"/>
                    <w:adjustRightInd w:val="0"/>
                    <w:snapToGrid w:val="0"/>
                    <w:spacing w:before="0" w:beforeAutospacing="0" w:after="0" w:afterAutospacing="0" w:line="276" w:lineRule="auto"/>
                    <w:ind w:left="0" w:right="0"/>
                    <w:jc w:val="center"/>
                    <w:rPr>
                      <w:rFonts w:hint="eastAsia" w:ascii="Times New Roman" w:hAnsi="Times New Roman" w:eastAsia="宋体" w:cs="Times New Roman"/>
                      <w:strike w:val="0"/>
                      <w:dstrike w:val="0"/>
                      <w:color w:val="auto"/>
                      <w:sz w:val="18"/>
                      <w:szCs w:val="18"/>
                      <w:highlight w:val="none"/>
                      <w:lang w:val="en-US" w:eastAsia="zh-CN"/>
                    </w:rPr>
                  </w:pPr>
                  <w:r>
                    <w:rPr>
                      <w:rFonts w:hint="default" w:ascii="Times New Roman" w:hAnsi="Times New Roman" w:eastAsia="宋体" w:cs="Times New Roman"/>
                      <w:strike w:val="0"/>
                      <w:dstrike w:val="0"/>
                      <w:color w:val="auto"/>
                      <w:sz w:val="18"/>
                      <w:szCs w:val="18"/>
                      <w:highlight w:val="none"/>
                    </w:rPr>
                    <w:t>118.83422</w:t>
                  </w:r>
                  <w:r>
                    <w:rPr>
                      <w:rFonts w:hint="eastAsia" w:ascii="Times New Roman" w:hAnsi="Times New Roman" w:eastAsia="宋体" w:cs="Times New Roman"/>
                      <w:strike w:val="0"/>
                      <w:dstrike w:val="0"/>
                      <w:color w:val="auto"/>
                      <w:sz w:val="18"/>
                      <w:szCs w:val="18"/>
                      <w:highlight w:val="none"/>
                      <w:lang w:val="en-US" w:eastAsia="zh-CN"/>
                    </w:rPr>
                    <w:t>8</w:t>
                  </w:r>
                </w:p>
              </w:tc>
              <w:tc>
                <w:tcPr>
                  <w:tcW w:w="564" w:type="pct"/>
                  <w:tcBorders>
                    <w:top w:val="single" w:color="auto" w:sz="4" w:space="0"/>
                    <w:left w:val="single" w:color="auto" w:sz="4" w:space="0"/>
                    <w:bottom w:val="single" w:color="auto" w:sz="4" w:space="0"/>
                    <w:right w:val="single" w:color="auto" w:sz="4" w:space="0"/>
                  </w:tcBorders>
                  <w:noWrap w:val="0"/>
                  <w:vAlign w:val="center"/>
                </w:tcPr>
                <w:p w14:paraId="56A027DE">
                  <w:pPr>
                    <w:keepNext w:val="0"/>
                    <w:keepLines w:val="0"/>
                    <w:widowControl/>
                    <w:suppressLineNumbers w:val="0"/>
                    <w:adjustRightInd w:val="0"/>
                    <w:snapToGrid w:val="0"/>
                    <w:spacing w:before="0" w:beforeAutospacing="0" w:after="0" w:afterAutospacing="0" w:line="276" w:lineRule="auto"/>
                    <w:ind w:left="0" w:right="0"/>
                    <w:jc w:val="center"/>
                    <w:rPr>
                      <w:rFonts w:hint="default" w:ascii="Times New Roman" w:hAnsi="Times New Roman" w:eastAsia="宋体" w:cs="Times New Roman"/>
                      <w:strike w:val="0"/>
                      <w:dstrike w:val="0"/>
                      <w:color w:val="auto"/>
                      <w:sz w:val="18"/>
                      <w:szCs w:val="18"/>
                      <w:highlight w:val="none"/>
                    </w:rPr>
                  </w:pPr>
                  <w:r>
                    <w:rPr>
                      <w:rFonts w:hint="default" w:ascii="Times New Roman" w:hAnsi="Times New Roman" w:eastAsia="宋体" w:cs="Times New Roman"/>
                      <w:strike w:val="0"/>
                      <w:dstrike w:val="0"/>
                      <w:color w:val="auto"/>
                      <w:sz w:val="18"/>
                      <w:szCs w:val="18"/>
                      <w:highlight w:val="none"/>
                    </w:rPr>
                    <w:t>28.936688</w:t>
                  </w:r>
                </w:p>
              </w:tc>
              <w:tc>
                <w:tcPr>
                  <w:tcW w:w="474" w:type="pct"/>
                  <w:tcBorders>
                    <w:top w:val="single" w:color="auto" w:sz="4" w:space="0"/>
                    <w:left w:val="single" w:color="auto" w:sz="4" w:space="0"/>
                    <w:bottom w:val="single" w:color="auto" w:sz="4" w:space="0"/>
                    <w:right w:val="single" w:color="auto" w:sz="4" w:space="0"/>
                  </w:tcBorders>
                  <w:noWrap w:val="0"/>
                  <w:vAlign w:val="center"/>
                </w:tcPr>
                <w:p w14:paraId="442ECA2E">
                  <w:pPr>
                    <w:keepNext w:val="0"/>
                    <w:keepLines w:val="0"/>
                    <w:widowControl/>
                    <w:suppressLineNumbers w:val="0"/>
                    <w:adjustRightInd w:val="0"/>
                    <w:snapToGrid w:val="0"/>
                    <w:spacing w:before="0" w:beforeAutospacing="0" w:after="0" w:afterAutospacing="0" w:line="276" w:lineRule="auto"/>
                    <w:ind w:left="0" w:right="0"/>
                    <w:jc w:val="center"/>
                    <w:rPr>
                      <w:rFonts w:hint="eastAsia" w:ascii="Times New Roman" w:hAnsi="Times New Roman" w:eastAsia="宋体" w:cs="Times New Roman"/>
                      <w:strike w:val="0"/>
                      <w:dstrike w:val="0"/>
                      <w:color w:val="auto"/>
                      <w:kern w:val="2"/>
                      <w:sz w:val="18"/>
                      <w:szCs w:val="18"/>
                      <w:highlight w:val="none"/>
                      <w:lang w:val="en-US" w:eastAsia="zh-CN" w:bidi="ar-SA"/>
                    </w:rPr>
                  </w:pPr>
                  <w:r>
                    <w:rPr>
                      <w:rFonts w:hint="eastAsia" w:ascii="Times New Roman" w:hAnsi="Times New Roman" w:eastAsia="宋体" w:cs="Times New Roman"/>
                      <w:strike w:val="0"/>
                      <w:dstrike w:val="0"/>
                      <w:color w:val="auto"/>
                      <w:sz w:val="18"/>
                      <w:szCs w:val="18"/>
                      <w:highlight w:val="none"/>
                      <w:lang w:val="en-US" w:eastAsia="zh-CN"/>
                    </w:rPr>
                    <w:t>居住区</w:t>
                  </w:r>
                </w:p>
              </w:tc>
              <w:tc>
                <w:tcPr>
                  <w:tcW w:w="490" w:type="pct"/>
                  <w:tcBorders>
                    <w:top w:val="single" w:color="auto" w:sz="4" w:space="0"/>
                    <w:left w:val="single" w:color="auto" w:sz="4" w:space="0"/>
                    <w:bottom w:val="single" w:color="auto" w:sz="4" w:space="0"/>
                    <w:right w:val="single" w:color="auto" w:sz="4" w:space="0"/>
                  </w:tcBorders>
                  <w:noWrap w:val="0"/>
                  <w:vAlign w:val="center"/>
                </w:tcPr>
                <w:p w14:paraId="2088C6AB">
                  <w:pPr>
                    <w:keepNext w:val="0"/>
                    <w:keepLines w:val="0"/>
                    <w:widowControl/>
                    <w:suppressLineNumbers w:val="0"/>
                    <w:adjustRightInd w:val="0"/>
                    <w:snapToGrid w:val="0"/>
                    <w:spacing w:before="0" w:beforeAutospacing="0" w:after="0" w:afterAutospacing="0" w:line="276" w:lineRule="auto"/>
                    <w:ind w:left="0" w:right="0"/>
                    <w:jc w:val="center"/>
                    <w:rPr>
                      <w:rFonts w:hint="eastAsia" w:ascii="Times New Roman" w:hAnsi="Times New Roman" w:eastAsia="宋体" w:cs="Times New Roman"/>
                      <w:strike w:val="0"/>
                      <w:dstrike w:val="0"/>
                      <w:color w:val="auto"/>
                      <w:kern w:val="2"/>
                      <w:sz w:val="18"/>
                      <w:szCs w:val="18"/>
                      <w:highlight w:val="none"/>
                      <w:lang w:val="en-US" w:eastAsia="zh-CN" w:bidi="ar-SA"/>
                    </w:rPr>
                  </w:pPr>
                  <w:r>
                    <w:rPr>
                      <w:rFonts w:hint="eastAsia" w:ascii="Times New Roman" w:hAnsi="Times New Roman" w:eastAsia="宋体" w:cs="Times New Roman"/>
                      <w:strike w:val="0"/>
                      <w:dstrike w:val="0"/>
                      <w:color w:val="auto"/>
                      <w:sz w:val="18"/>
                      <w:szCs w:val="18"/>
                      <w:highlight w:val="none"/>
                      <w:lang w:val="en-US" w:eastAsia="zh-CN"/>
                    </w:rPr>
                    <w:t>居民</w:t>
                  </w:r>
                </w:p>
              </w:tc>
              <w:tc>
                <w:tcPr>
                  <w:tcW w:w="499" w:type="pct"/>
                  <w:tcBorders>
                    <w:top w:val="single" w:color="auto" w:sz="4" w:space="0"/>
                    <w:left w:val="single" w:color="auto" w:sz="4" w:space="0"/>
                    <w:bottom w:val="single" w:color="auto" w:sz="4" w:space="0"/>
                    <w:right w:val="single" w:color="auto" w:sz="4" w:space="0"/>
                  </w:tcBorders>
                  <w:noWrap w:val="0"/>
                  <w:vAlign w:val="center"/>
                </w:tcPr>
                <w:p w14:paraId="3D1B5F6F">
                  <w:pPr>
                    <w:keepNext w:val="0"/>
                    <w:keepLines w:val="0"/>
                    <w:widowControl/>
                    <w:suppressLineNumbers w:val="0"/>
                    <w:adjustRightInd w:val="0"/>
                    <w:snapToGrid w:val="0"/>
                    <w:spacing w:before="0" w:beforeAutospacing="0" w:after="0" w:afterAutospacing="0" w:line="276" w:lineRule="auto"/>
                    <w:ind w:left="0" w:right="0"/>
                    <w:jc w:val="center"/>
                    <w:rPr>
                      <w:rFonts w:hint="eastAsia" w:ascii="Times New Roman" w:hAnsi="Times New Roman" w:eastAsia="宋体" w:cs="Times New Roman"/>
                      <w:strike w:val="0"/>
                      <w:dstrike w:val="0"/>
                      <w:color w:val="auto"/>
                      <w:kern w:val="2"/>
                      <w:sz w:val="18"/>
                      <w:szCs w:val="18"/>
                      <w:highlight w:val="none"/>
                      <w:lang w:val="en-US" w:eastAsia="zh-CN" w:bidi="ar-SA"/>
                    </w:rPr>
                  </w:pPr>
                  <w:r>
                    <w:rPr>
                      <w:rFonts w:hint="eastAsia" w:ascii="Times New Roman" w:hAnsi="Times New Roman" w:eastAsia="宋体" w:cs="Times New Roman"/>
                      <w:strike w:val="0"/>
                      <w:dstrike w:val="0"/>
                      <w:color w:val="auto"/>
                      <w:sz w:val="18"/>
                      <w:szCs w:val="18"/>
                      <w:highlight w:val="none"/>
                      <w:lang w:val="en-US" w:eastAsia="zh-CN"/>
                    </w:rPr>
                    <w:t>二类</w:t>
                  </w:r>
                </w:p>
              </w:tc>
              <w:tc>
                <w:tcPr>
                  <w:tcW w:w="453" w:type="pct"/>
                  <w:tcBorders>
                    <w:top w:val="single" w:color="auto" w:sz="4" w:space="0"/>
                    <w:left w:val="single" w:color="auto" w:sz="4" w:space="0"/>
                    <w:bottom w:val="single" w:color="auto" w:sz="4" w:space="0"/>
                    <w:right w:val="single" w:color="auto" w:sz="4" w:space="0"/>
                  </w:tcBorders>
                  <w:noWrap w:val="0"/>
                  <w:vAlign w:val="center"/>
                </w:tcPr>
                <w:p w14:paraId="64C798EB">
                  <w:pPr>
                    <w:keepNext w:val="0"/>
                    <w:keepLines w:val="0"/>
                    <w:widowControl/>
                    <w:suppressLineNumbers w:val="0"/>
                    <w:adjustRightInd w:val="0"/>
                    <w:snapToGrid w:val="0"/>
                    <w:spacing w:before="0" w:beforeAutospacing="0" w:after="0" w:afterAutospacing="0" w:line="276" w:lineRule="auto"/>
                    <w:ind w:left="0" w:right="0"/>
                    <w:jc w:val="center"/>
                    <w:rPr>
                      <w:rFonts w:hint="default" w:ascii="Times New Roman" w:hAnsi="Times New Roman" w:eastAsia="宋体" w:cs="Times New Roman"/>
                      <w:strike w:val="0"/>
                      <w:dstrike w:val="0"/>
                      <w:color w:val="auto"/>
                      <w:sz w:val="18"/>
                      <w:szCs w:val="18"/>
                      <w:highlight w:val="none"/>
                      <w:lang w:val="en-US" w:eastAsia="zh-CN"/>
                    </w:rPr>
                  </w:pPr>
                  <w:r>
                    <w:rPr>
                      <w:rFonts w:hint="eastAsia" w:ascii="Times New Roman" w:hAnsi="Times New Roman" w:eastAsia="宋体" w:cs="Times New Roman"/>
                      <w:strike w:val="0"/>
                      <w:dstrike w:val="0"/>
                      <w:color w:val="auto"/>
                      <w:sz w:val="18"/>
                      <w:szCs w:val="18"/>
                      <w:highlight w:val="none"/>
                      <w:lang w:val="en-US" w:eastAsia="zh-CN"/>
                    </w:rPr>
                    <w:t>南</w:t>
                  </w:r>
                </w:p>
              </w:tc>
              <w:tc>
                <w:tcPr>
                  <w:tcW w:w="551" w:type="pct"/>
                  <w:tcBorders>
                    <w:top w:val="single" w:color="auto" w:sz="4" w:space="0"/>
                    <w:left w:val="single" w:color="auto" w:sz="4" w:space="0"/>
                    <w:bottom w:val="single" w:color="auto" w:sz="4" w:space="0"/>
                    <w:right w:val="single" w:color="auto" w:sz="4" w:space="0"/>
                  </w:tcBorders>
                  <w:noWrap w:val="0"/>
                  <w:vAlign w:val="center"/>
                </w:tcPr>
                <w:p w14:paraId="01031342">
                  <w:pPr>
                    <w:keepNext w:val="0"/>
                    <w:keepLines w:val="0"/>
                    <w:widowControl/>
                    <w:suppressLineNumbers w:val="0"/>
                    <w:adjustRightInd w:val="0"/>
                    <w:snapToGrid w:val="0"/>
                    <w:spacing w:before="0" w:beforeAutospacing="0" w:after="0" w:afterAutospacing="0" w:line="276" w:lineRule="auto"/>
                    <w:ind w:left="0" w:right="0"/>
                    <w:jc w:val="center"/>
                    <w:rPr>
                      <w:rFonts w:hint="default" w:ascii="Times New Roman" w:hAnsi="Times New Roman" w:eastAsia="宋体" w:cs="Times New Roman"/>
                      <w:strike w:val="0"/>
                      <w:dstrike w:val="0"/>
                      <w:color w:val="auto"/>
                      <w:sz w:val="18"/>
                      <w:szCs w:val="18"/>
                      <w:highlight w:val="none"/>
                      <w:lang w:val="en-US" w:eastAsia="zh-CN"/>
                    </w:rPr>
                  </w:pPr>
                  <w:r>
                    <w:rPr>
                      <w:rFonts w:hint="eastAsia" w:ascii="Times New Roman" w:hAnsi="Times New Roman" w:eastAsia="宋体" w:cs="Times New Roman"/>
                      <w:strike w:val="0"/>
                      <w:dstrike w:val="0"/>
                      <w:color w:val="auto"/>
                      <w:sz w:val="18"/>
                      <w:szCs w:val="18"/>
                      <w:highlight w:val="none"/>
                      <w:lang w:val="en-US" w:eastAsia="zh-CN"/>
                    </w:rPr>
                    <w:t>1500</w:t>
                  </w:r>
                </w:p>
              </w:tc>
            </w:tr>
            <w:tr w14:paraId="63EA02A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40" w:hRule="atLeast"/>
                <w:jc w:val="center"/>
              </w:trPr>
              <w:tc>
                <w:tcPr>
                  <w:tcW w:w="366" w:type="pct"/>
                  <w:tcBorders>
                    <w:left w:val="single" w:color="auto" w:sz="4" w:space="0"/>
                    <w:right w:val="single" w:color="auto" w:sz="4" w:space="0"/>
                  </w:tcBorders>
                  <w:noWrap w:val="0"/>
                  <w:vAlign w:val="center"/>
                </w:tcPr>
                <w:p w14:paraId="222B176A">
                  <w:pPr>
                    <w:keepNext w:val="0"/>
                    <w:keepLines w:val="0"/>
                    <w:widowControl/>
                    <w:suppressLineNumbers w:val="0"/>
                    <w:adjustRightInd w:val="0"/>
                    <w:snapToGrid w:val="0"/>
                    <w:spacing w:before="0" w:beforeAutospacing="0" w:after="0" w:afterAutospacing="0" w:line="276" w:lineRule="auto"/>
                    <w:ind w:left="0" w:right="0"/>
                    <w:jc w:val="center"/>
                    <w:rPr>
                      <w:rFonts w:hint="default" w:ascii="Times New Roman" w:hAnsi="Times New Roman" w:eastAsia="宋体" w:cs="Times New Roman"/>
                      <w:strike w:val="0"/>
                      <w:dstrike w:val="0"/>
                      <w:color w:val="auto"/>
                      <w:sz w:val="18"/>
                      <w:szCs w:val="18"/>
                      <w:highlight w:val="none"/>
                      <w:lang w:val="en-US" w:eastAsia="zh-CN"/>
                    </w:rPr>
                  </w:pPr>
                  <w:r>
                    <w:rPr>
                      <w:rFonts w:hint="eastAsia" w:ascii="Times New Roman" w:hAnsi="Times New Roman" w:eastAsia="宋体" w:cs="Times New Roman"/>
                      <w:strike w:val="0"/>
                      <w:dstrike w:val="0"/>
                      <w:color w:val="auto"/>
                      <w:sz w:val="18"/>
                      <w:szCs w:val="18"/>
                      <w:highlight w:val="none"/>
                      <w:lang w:val="en-US" w:eastAsia="zh-CN"/>
                    </w:rPr>
                    <w:t>61</w:t>
                  </w:r>
                </w:p>
              </w:tc>
              <w:tc>
                <w:tcPr>
                  <w:tcW w:w="1071" w:type="pct"/>
                  <w:tcBorders>
                    <w:top w:val="single" w:color="auto" w:sz="4" w:space="0"/>
                    <w:left w:val="single" w:color="auto" w:sz="4" w:space="0"/>
                    <w:bottom w:val="single" w:color="auto" w:sz="4" w:space="0"/>
                    <w:right w:val="single" w:color="auto" w:sz="4" w:space="0"/>
                  </w:tcBorders>
                  <w:noWrap w:val="0"/>
                  <w:vAlign w:val="center"/>
                </w:tcPr>
                <w:p w14:paraId="56992312">
                  <w:pPr>
                    <w:keepNext w:val="0"/>
                    <w:keepLines w:val="0"/>
                    <w:widowControl/>
                    <w:suppressLineNumbers w:val="0"/>
                    <w:adjustRightInd w:val="0"/>
                    <w:snapToGrid w:val="0"/>
                    <w:spacing w:before="0" w:beforeAutospacing="0" w:after="0" w:afterAutospacing="0" w:line="276" w:lineRule="auto"/>
                    <w:ind w:left="0" w:right="0"/>
                    <w:jc w:val="center"/>
                    <w:rPr>
                      <w:rFonts w:hint="default" w:ascii="Times New Roman" w:hAnsi="Times New Roman" w:eastAsia="宋体" w:cs="Times New Roman"/>
                      <w:strike w:val="0"/>
                      <w:dstrike w:val="0"/>
                      <w:color w:val="auto"/>
                      <w:sz w:val="18"/>
                      <w:szCs w:val="18"/>
                      <w:highlight w:val="none"/>
                      <w:lang w:val="en-US" w:eastAsia="zh-CN"/>
                    </w:rPr>
                  </w:pPr>
                  <w:r>
                    <w:rPr>
                      <w:rFonts w:hint="default" w:ascii="Times New Roman" w:hAnsi="Times New Roman" w:eastAsia="宋体" w:cs="Times New Roman"/>
                      <w:strike w:val="0"/>
                      <w:dstrike w:val="0"/>
                      <w:color w:val="auto"/>
                      <w:sz w:val="18"/>
                      <w:szCs w:val="18"/>
                      <w:highlight w:val="none"/>
                      <w:lang w:val="en-US" w:eastAsia="zh-CN"/>
                    </w:rPr>
                    <w:t>百家塘村</w:t>
                  </w:r>
                </w:p>
              </w:tc>
              <w:tc>
                <w:tcPr>
                  <w:tcW w:w="527" w:type="pct"/>
                  <w:tcBorders>
                    <w:top w:val="single" w:color="auto" w:sz="4" w:space="0"/>
                    <w:left w:val="single" w:color="auto" w:sz="4" w:space="0"/>
                    <w:bottom w:val="single" w:color="auto" w:sz="4" w:space="0"/>
                    <w:right w:val="single" w:color="auto" w:sz="4" w:space="0"/>
                  </w:tcBorders>
                  <w:noWrap w:val="0"/>
                  <w:vAlign w:val="center"/>
                </w:tcPr>
                <w:p w14:paraId="1F09A8A5">
                  <w:pPr>
                    <w:keepNext w:val="0"/>
                    <w:keepLines w:val="0"/>
                    <w:widowControl/>
                    <w:suppressLineNumbers w:val="0"/>
                    <w:adjustRightInd w:val="0"/>
                    <w:snapToGrid w:val="0"/>
                    <w:spacing w:before="0" w:beforeAutospacing="0" w:after="0" w:afterAutospacing="0" w:line="276" w:lineRule="auto"/>
                    <w:ind w:left="0" w:right="0"/>
                    <w:jc w:val="center"/>
                    <w:rPr>
                      <w:rFonts w:hint="eastAsia" w:ascii="Times New Roman" w:hAnsi="Times New Roman" w:eastAsia="宋体" w:cs="Times New Roman"/>
                      <w:strike w:val="0"/>
                      <w:dstrike w:val="0"/>
                      <w:color w:val="auto"/>
                      <w:sz w:val="18"/>
                      <w:szCs w:val="18"/>
                      <w:highlight w:val="none"/>
                      <w:lang w:val="en-US" w:eastAsia="zh-CN"/>
                    </w:rPr>
                  </w:pPr>
                  <w:r>
                    <w:rPr>
                      <w:rFonts w:hint="default" w:ascii="Times New Roman" w:hAnsi="Times New Roman" w:eastAsia="宋体" w:cs="Times New Roman"/>
                      <w:strike w:val="0"/>
                      <w:dstrike w:val="0"/>
                      <w:color w:val="auto"/>
                      <w:sz w:val="18"/>
                      <w:szCs w:val="18"/>
                      <w:highlight w:val="none"/>
                    </w:rPr>
                    <w:t>118.84229</w:t>
                  </w:r>
                  <w:r>
                    <w:rPr>
                      <w:rFonts w:hint="eastAsia" w:ascii="Times New Roman" w:hAnsi="Times New Roman" w:eastAsia="宋体" w:cs="Times New Roman"/>
                      <w:strike w:val="0"/>
                      <w:dstrike w:val="0"/>
                      <w:color w:val="auto"/>
                      <w:sz w:val="18"/>
                      <w:szCs w:val="18"/>
                      <w:highlight w:val="none"/>
                      <w:lang w:val="en-US" w:eastAsia="zh-CN"/>
                    </w:rPr>
                    <w:t>6</w:t>
                  </w:r>
                </w:p>
              </w:tc>
              <w:tc>
                <w:tcPr>
                  <w:tcW w:w="564" w:type="pct"/>
                  <w:tcBorders>
                    <w:top w:val="single" w:color="auto" w:sz="4" w:space="0"/>
                    <w:left w:val="single" w:color="auto" w:sz="4" w:space="0"/>
                    <w:bottom w:val="single" w:color="auto" w:sz="4" w:space="0"/>
                    <w:right w:val="single" w:color="auto" w:sz="4" w:space="0"/>
                  </w:tcBorders>
                  <w:noWrap w:val="0"/>
                  <w:vAlign w:val="center"/>
                </w:tcPr>
                <w:p w14:paraId="7F373CA0">
                  <w:pPr>
                    <w:keepNext w:val="0"/>
                    <w:keepLines w:val="0"/>
                    <w:widowControl/>
                    <w:suppressLineNumbers w:val="0"/>
                    <w:adjustRightInd w:val="0"/>
                    <w:snapToGrid w:val="0"/>
                    <w:spacing w:before="0" w:beforeAutospacing="0" w:after="0" w:afterAutospacing="0" w:line="276" w:lineRule="auto"/>
                    <w:ind w:left="0" w:right="0"/>
                    <w:jc w:val="center"/>
                    <w:rPr>
                      <w:rFonts w:hint="default" w:ascii="Times New Roman" w:hAnsi="Times New Roman" w:eastAsia="宋体" w:cs="Times New Roman"/>
                      <w:strike w:val="0"/>
                      <w:dstrike w:val="0"/>
                      <w:color w:val="auto"/>
                      <w:sz w:val="18"/>
                      <w:szCs w:val="18"/>
                      <w:highlight w:val="none"/>
                    </w:rPr>
                  </w:pPr>
                  <w:r>
                    <w:rPr>
                      <w:rFonts w:hint="default" w:ascii="Times New Roman" w:hAnsi="Times New Roman" w:eastAsia="宋体" w:cs="Times New Roman"/>
                      <w:strike w:val="0"/>
                      <w:dstrike w:val="0"/>
                      <w:color w:val="auto"/>
                      <w:sz w:val="18"/>
                      <w:szCs w:val="18"/>
                      <w:highlight w:val="none"/>
                    </w:rPr>
                    <w:t>28.939263</w:t>
                  </w:r>
                </w:p>
              </w:tc>
              <w:tc>
                <w:tcPr>
                  <w:tcW w:w="474" w:type="pct"/>
                  <w:tcBorders>
                    <w:top w:val="single" w:color="auto" w:sz="4" w:space="0"/>
                    <w:left w:val="single" w:color="auto" w:sz="4" w:space="0"/>
                    <w:bottom w:val="single" w:color="auto" w:sz="4" w:space="0"/>
                    <w:right w:val="single" w:color="auto" w:sz="4" w:space="0"/>
                  </w:tcBorders>
                  <w:noWrap w:val="0"/>
                  <w:vAlign w:val="center"/>
                </w:tcPr>
                <w:p w14:paraId="0B69AE17">
                  <w:pPr>
                    <w:keepNext w:val="0"/>
                    <w:keepLines w:val="0"/>
                    <w:widowControl/>
                    <w:suppressLineNumbers w:val="0"/>
                    <w:adjustRightInd w:val="0"/>
                    <w:snapToGrid w:val="0"/>
                    <w:spacing w:before="0" w:beforeAutospacing="0" w:after="0" w:afterAutospacing="0" w:line="276" w:lineRule="auto"/>
                    <w:ind w:left="0" w:right="0"/>
                    <w:jc w:val="center"/>
                    <w:rPr>
                      <w:rFonts w:hint="eastAsia" w:ascii="Times New Roman" w:hAnsi="Times New Roman" w:eastAsia="宋体" w:cs="Times New Roman"/>
                      <w:strike w:val="0"/>
                      <w:dstrike w:val="0"/>
                      <w:color w:val="auto"/>
                      <w:kern w:val="2"/>
                      <w:sz w:val="18"/>
                      <w:szCs w:val="18"/>
                      <w:highlight w:val="none"/>
                      <w:lang w:val="en-US" w:eastAsia="zh-CN" w:bidi="ar-SA"/>
                    </w:rPr>
                  </w:pPr>
                  <w:r>
                    <w:rPr>
                      <w:rFonts w:hint="eastAsia" w:ascii="Times New Roman" w:hAnsi="Times New Roman" w:eastAsia="宋体" w:cs="Times New Roman"/>
                      <w:strike w:val="0"/>
                      <w:dstrike w:val="0"/>
                      <w:color w:val="auto"/>
                      <w:sz w:val="18"/>
                      <w:szCs w:val="18"/>
                      <w:highlight w:val="none"/>
                      <w:lang w:val="en-US" w:eastAsia="zh-CN"/>
                    </w:rPr>
                    <w:t>居住区</w:t>
                  </w:r>
                </w:p>
              </w:tc>
              <w:tc>
                <w:tcPr>
                  <w:tcW w:w="490" w:type="pct"/>
                  <w:tcBorders>
                    <w:top w:val="single" w:color="auto" w:sz="4" w:space="0"/>
                    <w:left w:val="single" w:color="auto" w:sz="4" w:space="0"/>
                    <w:bottom w:val="single" w:color="auto" w:sz="4" w:space="0"/>
                    <w:right w:val="single" w:color="auto" w:sz="4" w:space="0"/>
                  </w:tcBorders>
                  <w:noWrap w:val="0"/>
                  <w:vAlign w:val="center"/>
                </w:tcPr>
                <w:p w14:paraId="1A365906">
                  <w:pPr>
                    <w:keepNext w:val="0"/>
                    <w:keepLines w:val="0"/>
                    <w:widowControl/>
                    <w:suppressLineNumbers w:val="0"/>
                    <w:adjustRightInd w:val="0"/>
                    <w:snapToGrid w:val="0"/>
                    <w:spacing w:before="0" w:beforeAutospacing="0" w:after="0" w:afterAutospacing="0" w:line="276" w:lineRule="auto"/>
                    <w:ind w:left="0" w:right="0"/>
                    <w:jc w:val="center"/>
                    <w:rPr>
                      <w:rFonts w:hint="eastAsia" w:ascii="Times New Roman" w:hAnsi="Times New Roman" w:eastAsia="宋体" w:cs="Times New Roman"/>
                      <w:strike w:val="0"/>
                      <w:dstrike w:val="0"/>
                      <w:color w:val="auto"/>
                      <w:kern w:val="2"/>
                      <w:sz w:val="18"/>
                      <w:szCs w:val="18"/>
                      <w:highlight w:val="none"/>
                      <w:lang w:val="en-US" w:eastAsia="zh-CN" w:bidi="ar-SA"/>
                    </w:rPr>
                  </w:pPr>
                  <w:r>
                    <w:rPr>
                      <w:rFonts w:hint="eastAsia" w:ascii="Times New Roman" w:hAnsi="Times New Roman" w:eastAsia="宋体" w:cs="Times New Roman"/>
                      <w:strike w:val="0"/>
                      <w:dstrike w:val="0"/>
                      <w:color w:val="auto"/>
                      <w:sz w:val="18"/>
                      <w:szCs w:val="18"/>
                      <w:highlight w:val="none"/>
                      <w:lang w:val="en-US" w:eastAsia="zh-CN"/>
                    </w:rPr>
                    <w:t>居民</w:t>
                  </w:r>
                </w:p>
              </w:tc>
              <w:tc>
                <w:tcPr>
                  <w:tcW w:w="499" w:type="pct"/>
                  <w:tcBorders>
                    <w:top w:val="single" w:color="auto" w:sz="4" w:space="0"/>
                    <w:left w:val="single" w:color="auto" w:sz="4" w:space="0"/>
                    <w:bottom w:val="single" w:color="auto" w:sz="4" w:space="0"/>
                    <w:right w:val="single" w:color="auto" w:sz="4" w:space="0"/>
                  </w:tcBorders>
                  <w:noWrap w:val="0"/>
                  <w:vAlign w:val="center"/>
                </w:tcPr>
                <w:p w14:paraId="2E3D5AA1">
                  <w:pPr>
                    <w:keepNext w:val="0"/>
                    <w:keepLines w:val="0"/>
                    <w:widowControl/>
                    <w:suppressLineNumbers w:val="0"/>
                    <w:adjustRightInd w:val="0"/>
                    <w:snapToGrid w:val="0"/>
                    <w:spacing w:before="0" w:beforeAutospacing="0" w:after="0" w:afterAutospacing="0" w:line="276" w:lineRule="auto"/>
                    <w:ind w:left="0" w:right="0"/>
                    <w:jc w:val="center"/>
                    <w:rPr>
                      <w:rFonts w:hint="eastAsia" w:ascii="Times New Roman" w:hAnsi="Times New Roman" w:eastAsia="宋体" w:cs="Times New Roman"/>
                      <w:strike w:val="0"/>
                      <w:dstrike w:val="0"/>
                      <w:color w:val="auto"/>
                      <w:kern w:val="2"/>
                      <w:sz w:val="18"/>
                      <w:szCs w:val="18"/>
                      <w:highlight w:val="none"/>
                      <w:lang w:val="en-US" w:eastAsia="zh-CN" w:bidi="ar-SA"/>
                    </w:rPr>
                  </w:pPr>
                  <w:r>
                    <w:rPr>
                      <w:rFonts w:hint="eastAsia" w:ascii="Times New Roman" w:hAnsi="Times New Roman" w:eastAsia="宋体" w:cs="Times New Roman"/>
                      <w:strike w:val="0"/>
                      <w:dstrike w:val="0"/>
                      <w:color w:val="auto"/>
                      <w:sz w:val="18"/>
                      <w:szCs w:val="18"/>
                      <w:highlight w:val="none"/>
                      <w:lang w:val="en-US" w:eastAsia="zh-CN"/>
                    </w:rPr>
                    <w:t>二类</w:t>
                  </w:r>
                </w:p>
              </w:tc>
              <w:tc>
                <w:tcPr>
                  <w:tcW w:w="453" w:type="pct"/>
                  <w:tcBorders>
                    <w:top w:val="single" w:color="auto" w:sz="4" w:space="0"/>
                    <w:left w:val="single" w:color="auto" w:sz="4" w:space="0"/>
                    <w:bottom w:val="single" w:color="auto" w:sz="4" w:space="0"/>
                    <w:right w:val="single" w:color="auto" w:sz="4" w:space="0"/>
                  </w:tcBorders>
                  <w:shd w:val="clear" w:color="auto" w:fill="auto"/>
                  <w:noWrap w:val="0"/>
                  <w:vAlign w:val="center"/>
                </w:tcPr>
                <w:p w14:paraId="156F5968">
                  <w:pPr>
                    <w:keepNext w:val="0"/>
                    <w:keepLines w:val="0"/>
                    <w:widowControl/>
                    <w:suppressLineNumbers w:val="0"/>
                    <w:adjustRightInd w:val="0"/>
                    <w:snapToGrid w:val="0"/>
                    <w:spacing w:before="0" w:beforeAutospacing="0" w:after="0" w:afterAutospacing="0" w:line="276" w:lineRule="auto"/>
                    <w:ind w:left="0" w:right="0"/>
                    <w:jc w:val="center"/>
                    <w:rPr>
                      <w:rFonts w:hint="default" w:ascii="Times New Roman" w:hAnsi="Times New Roman" w:eastAsia="宋体" w:cs="Times New Roman"/>
                      <w:strike w:val="0"/>
                      <w:dstrike w:val="0"/>
                      <w:color w:val="auto"/>
                      <w:kern w:val="2"/>
                      <w:sz w:val="18"/>
                      <w:szCs w:val="18"/>
                      <w:highlight w:val="none"/>
                      <w:lang w:val="en-US" w:eastAsia="zh-CN" w:bidi="ar-SA"/>
                    </w:rPr>
                  </w:pPr>
                  <w:r>
                    <w:rPr>
                      <w:rFonts w:hint="eastAsia" w:ascii="Times New Roman" w:hAnsi="Times New Roman" w:eastAsia="宋体" w:cs="Times New Roman"/>
                      <w:strike w:val="0"/>
                      <w:dstrike w:val="0"/>
                      <w:color w:val="auto"/>
                      <w:kern w:val="2"/>
                      <w:sz w:val="18"/>
                      <w:szCs w:val="18"/>
                      <w:highlight w:val="none"/>
                      <w:lang w:val="en-US" w:eastAsia="zh-CN" w:bidi="ar-SA"/>
                    </w:rPr>
                    <w:t>东南</w:t>
                  </w:r>
                </w:p>
              </w:tc>
              <w:tc>
                <w:tcPr>
                  <w:tcW w:w="551" w:type="pct"/>
                  <w:tcBorders>
                    <w:top w:val="single" w:color="auto" w:sz="4" w:space="0"/>
                    <w:left w:val="single" w:color="auto" w:sz="4" w:space="0"/>
                    <w:bottom w:val="single" w:color="auto" w:sz="4" w:space="0"/>
                    <w:right w:val="single" w:color="auto" w:sz="4" w:space="0"/>
                  </w:tcBorders>
                  <w:shd w:val="clear" w:color="auto" w:fill="auto"/>
                  <w:noWrap w:val="0"/>
                  <w:vAlign w:val="center"/>
                </w:tcPr>
                <w:p w14:paraId="3B51DF5F">
                  <w:pPr>
                    <w:keepNext w:val="0"/>
                    <w:keepLines w:val="0"/>
                    <w:widowControl/>
                    <w:suppressLineNumbers w:val="0"/>
                    <w:adjustRightInd w:val="0"/>
                    <w:snapToGrid w:val="0"/>
                    <w:spacing w:before="0" w:beforeAutospacing="0" w:after="0" w:afterAutospacing="0" w:line="276" w:lineRule="auto"/>
                    <w:ind w:left="0" w:right="0"/>
                    <w:jc w:val="center"/>
                    <w:rPr>
                      <w:rFonts w:hint="default" w:ascii="Times New Roman" w:hAnsi="Times New Roman" w:eastAsia="宋体" w:cs="Times New Roman"/>
                      <w:strike w:val="0"/>
                      <w:dstrike w:val="0"/>
                      <w:color w:val="auto"/>
                      <w:kern w:val="2"/>
                      <w:sz w:val="18"/>
                      <w:szCs w:val="18"/>
                      <w:highlight w:val="none"/>
                      <w:lang w:val="en-US" w:eastAsia="zh-CN" w:bidi="ar-SA"/>
                    </w:rPr>
                  </w:pPr>
                  <w:r>
                    <w:rPr>
                      <w:rFonts w:hint="eastAsia" w:ascii="Times New Roman" w:hAnsi="Times New Roman" w:eastAsia="宋体" w:cs="Times New Roman"/>
                      <w:strike w:val="0"/>
                      <w:dstrike w:val="0"/>
                      <w:color w:val="auto"/>
                      <w:kern w:val="2"/>
                      <w:sz w:val="18"/>
                      <w:szCs w:val="18"/>
                      <w:highlight w:val="none"/>
                      <w:lang w:val="en-US" w:eastAsia="zh-CN" w:bidi="ar-SA"/>
                    </w:rPr>
                    <w:t>1780</w:t>
                  </w:r>
                </w:p>
              </w:tc>
            </w:tr>
            <w:tr w14:paraId="066B80E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40" w:hRule="atLeast"/>
                <w:jc w:val="center"/>
              </w:trPr>
              <w:tc>
                <w:tcPr>
                  <w:tcW w:w="366" w:type="pct"/>
                  <w:tcBorders>
                    <w:left w:val="single" w:color="auto" w:sz="4" w:space="0"/>
                    <w:right w:val="single" w:color="auto" w:sz="4" w:space="0"/>
                  </w:tcBorders>
                  <w:noWrap w:val="0"/>
                  <w:vAlign w:val="center"/>
                </w:tcPr>
                <w:p w14:paraId="3EB6A728">
                  <w:pPr>
                    <w:keepNext w:val="0"/>
                    <w:keepLines w:val="0"/>
                    <w:widowControl/>
                    <w:suppressLineNumbers w:val="0"/>
                    <w:adjustRightInd w:val="0"/>
                    <w:snapToGrid w:val="0"/>
                    <w:spacing w:before="0" w:beforeAutospacing="0" w:after="0" w:afterAutospacing="0" w:line="276" w:lineRule="auto"/>
                    <w:ind w:left="0" w:right="0"/>
                    <w:jc w:val="center"/>
                    <w:rPr>
                      <w:rFonts w:hint="default" w:ascii="Times New Roman" w:hAnsi="Times New Roman" w:eastAsia="宋体" w:cs="Times New Roman"/>
                      <w:strike w:val="0"/>
                      <w:dstrike w:val="0"/>
                      <w:color w:val="auto"/>
                      <w:sz w:val="18"/>
                      <w:szCs w:val="18"/>
                      <w:highlight w:val="none"/>
                      <w:lang w:val="en-US" w:eastAsia="zh-CN"/>
                    </w:rPr>
                  </w:pPr>
                  <w:r>
                    <w:rPr>
                      <w:rFonts w:hint="eastAsia" w:ascii="Times New Roman" w:hAnsi="Times New Roman" w:eastAsia="宋体" w:cs="Times New Roman"/>
                      <w:strike w:val="0"/>
                      <w:dstrike w:val="0"/>
                      <w:color w:val="auto"/>
                      <w:sz w:val="18"/>
                      <w:szCs w:val="18"/>
                      <w:highlight w:val="none"/>
                      <w:lang w:val="en-US" w:eastAsia="zh-CN"/>
                    </w:rPr>
                    <w:t>62</w:t>
                  </w:r>
                </w:p>
              </w:tc>
              <w:tc>
                <w:tcPr>
                  <w:tcW w:w="1071" w:type="pct"/>
                  <w:tcBorders>
                    <w:top w:val="single" w:color="auto" w:sz="4" w:space="0"/>
                    <w:left w:val="single" w:color="auto" w:sz="4" w:space="0"/>
                    <w:bottom w:val="single" w:color="auto" w:sz="4" w:space="0"/>
                    <w:right w:val="single" w:color="auto" w:sz="4" w:space="0"/>
                  </w:tcBorders>
                  <w:noWrap w:val="0"/>
                  <w:vAlign w:val="center"/>
                </w:tcPr>
                <w:p w14:paraId="1CE18F83">
                  <w:pPr>
                    <w:keepNext w:val="0"/>
                    <w:keepLines w:val="0"/>
                    <w:widowControl/>
                    <w:suppressLineNumbers w:val="0"/>
                    <w:adjustRightInd w:val="0"/>
                    <w:snapToGrid w:val="0"/>
                    <w:spacing w:before="0" w:beforeAutospacing="0" w:after="0" w:afterAutospacing="0" w:line="276" w:lineRule="auto"/>
                    <w:ind w:left="0" w:right="0"/>
                    <w:jc w:val="center"/>
                    <w:rPr>
                      <w:rFonts w:hint="default" w:ascii="Times New Roman" w:hAnsi="Times New Roman" w:eastAsia="宋体" w:cs="Times New Roman"/>
                      <w:strike w:val="0"/>
                      <w:dstrike w:val="0"/>
                      <w:color w:val="auto"/>
                      <w:sz w:val="18"/>
                      <w:szCs w:val="18"/>
                      <w:highlight w:val="none"/>
                      <w:lang w:val="en-US" w:eastAsia="zh-CN"/>
                    </w:rPr>
                  </w:pPr>
                  <w:r>
                    <w:rPr>
                      <w:rFonts w:hint="default" w:ascii="Times New Roman" w:hAnsi="Times New Roman" w:eastAsia="宋体" w:cs="Times New Roman"/>
                      <w:strike w:val="0"/>
                      <w:dstrike w:val="0"/>
                      <w:color w:val="auto"/>
                      <w:sz w:val="18"/>
                      <w:szCs w:val="18"/>
                      <w:highlight w:val="none"/>
                      <w:lang w:val="en-US" w:eastAsia="zh-CN"/>
                    </w:rPr>
                    <w:t>丰家村</w:t>
                  </w:r>
                </w:p>
              </w:tc>
              <w:tc>
                <w:tcPr>
                  <w:tcW w:w="527" w:type="pct"/>
                  <w:tcBorders>
                    <w:top w:val="single" w:color="auto" w:sz="4" w:space="0"/>
                    <w:left w:val="single" w:color="auto" w:sz="4" w:space="0"/>
                    <w:bottom w:val="single" w:color="auto" w:sz="4" w:space="0"/>
                    <w:right w:val="single" w:color="auto" w:sz="4" w:space="0"/>
                  </w:tcBorders>
                  <w:noWrap w:val="0"/>
                  <w:vAlign w:val="center"/>
                </w:tcPr>
                <w:p w14:paraId="7CC76786">
                  <w:pPr>
                    <w:keepNext w:val="0"/>
                    <w:keepLines w:val="0"/>
                    <w:widowControl/>
                    <w:suppressLineNumbers w:val="0"/>
                    <w:adjustRightInd w:val="0"/>
                    <w:snapToGrid w:val="0"/>
                    <w:spacing w:before="0" w:beforeAutospacing="0" w:after="0" w:afterAutospacing="0" w:line="276" w:lineRule="auto"/>
                    <w:ind w:left="0" w:right="0"/>
                    <w:jc w:val="center"/>
                    <w:rPr>
                      <w:rFonts w:hint="default" w:ascii="Times New Roman" w:hAnsi="Times New Roman" w:eastAsia="宋体" w:cs="Times New Roman"/>
                      <w:strike w:val="0"/>
                      <w:dstrike w:val="0"/>
                      <w:color w:val="auto"/>
                      <w:sz w:val="18"/>
                      <w:szCs w:val="18"/>
                      <w:highlight w:val="none"/>
                    </w:rPr>
                  </w:pPr>
                  <w:r>
                    <w:rPr>
                      <w:rFonts w:hint="default" w:ascii="Times New Roman" w:hAnsi="Times New Roman" w:eastAsia="宋体" w:cs="Times New Roman"/>
                      <w:strike w:val="0"/>
                      <w:dstrike w:val="0"/>
                      <w:color w:val="auto"/>
                      <w:sz w:val="18"/>
                      <w:szCs w:val="18"/>
                      <w:highlight w:val="none"/>
                    </w:rPr>
                    <w:t>118.840665</w:t>
                  </w:r>
                </w:p>
              </w:tc>
              <w:tc>
                <w:tcPr>
                  <w:tcW w:w="564" w:type="pct"/>
                  <w:tcBorders>
                    <w:top w:val="single" w:color="auto" w:sz="4" w:space="0"/>
                    <w:left w:val="single" w:color="auto" w:sz="4" w:space="0"/>
                    <w:bottom w:val="single" w:color="auto" w:sz="4" w:space="0"/>
                    <w:right w:val="single" w:color="auto" w:sz="4" w:space="0"/>
                  </w:tcBorders>
                  <w:noWrap w:val="0"/>
                  <w:vAlign w:val="center"/>
                </w:tcPr>
                <w:p w14:paraId="1FCF1CA4">
                  <w:pPr>
                    <w:keepNext w:val="0"/>
                    <w:keepLines w:val="0"/>
                    <w:widowControl/>
                    <w:suppressLineNumbers w:val="0"/>
                    <w:adjustRightInd w:val="0"/>
                    <w:snapToGrid w:val="0"/>
                    <w:spacing w:before="0" w:beforeAutospacing="0" w:after="0" w:afterAutospacing="0" w:line="276" w:lineRule="auto"/>
                    <w:ind w:left="0" w:right="0"/>
                    <w:jc w:val="center"/>
                    <w:rPr>
                      <w:rFonts w:hint="eastAsia" w:ascii="Times New Roman" w:hAnsi="Times New Roman" w:eastAsia="宋体" w:cs="Times New Roman"/>
                      <w:strike w:val="0"/>
                      <w:dstrike w:val="0"/>
                      <w:color w:val="auto"/>
                      <w:sz w:val="18"/>
                      <w:szCs w:val="18"/>
                      <w:highlight w:val="none"/>
                      <w:lang w:val="en-US" w:eastAsia="zh-CN"/>
                    </w:rPr>
                  </w:pPr>
                  <w:r>
                    <w:rPr>
                      <w:rFonts w:hint="default" w:ascii="Times New Roman" w:hAnsi="Times New Roman" w:eastAsia="宋体" w:cs="Times New Roman"/>
                      <w:strike w:val="0"/>
                      <w:dstrike w:val="0"/>
                      <w:color w:val="auto"/>
                      <w:sz w:val="18"/>
                      <w:szCs w:val="18"/>
                      <w:highlight w:val="none"/>
                    </w:rPr>
                    <w:t>28.93248</w:t>
                  </w:r>
                  <w:r>
                    <w:rPr>
                      <w:rFonts w:hint="eastAsia" w:ascii="Times New Roman" w:hAnsi="Times New Roman" w:eastAsia="宋体" w:cs="Times New Roman"/>
                      <w:strike w:val="0"/>
                      <w:dstrike w:val="0"/>
                      <w:color w:val="auto"/>
                      <w:sz w:val="18"/>
                      <w:szCs w:val="18"/>
                      <w:highlight w:val="none"/>
                      <w:lang w:val="en-US" w:eastAsia="zh-CN"/>
                    </w:rPr>
                    <w:t>3</w:t>
                  </w:r>
                </w:p>
              </w:tc>
              <w:tc>
                <w:tcPr>
                  <w:tcW w:w="474" w:type="pct"/>
                  <w:tcBorders>
                    <w:top w:val="single" w:color="auto" w:sz="4" w:space="0"/>
                    <w:left w:val="single" w:color="auto" w:sz="4" w:space="0"/>
                    <w:bottom w:val="single" w:color="auto" w:sz="4" w:space="0"/>
                    <w:right w:val="single" w:color="auto" w:sz="4" w:space="0"/>
                  </w:tcBorders>
                  <w:noWrap w:val="0"/>
                  <w:vAlign w:val="center"/>
                </w:tcPr>
                <w:p w14:paraId="7D257788">
                  <w:pPr>
                    <w:keepNext w:val="0"/>
                    <w:keepLines w:val="0"/>
                    <w:widowControl/>
                    <w:suppressLineNumbers w:val="0"/>
                    <w:adjustRightInd w:val="0"/>
                    <w:snapToGrid w:val="0"/>
                    <w:spacing w:before="0" w:beforeAutospacing="0" w:after="0" w:afterAutospacing="0" w:line="276" w:lineRule="auto"/>
                    <w:ind w:left="0" w:right="0"/>
                    <w:jc w:val="center"/>
                    <w:rPr>
                      <w:rFonts w:hint="eastAsia" w:ascii="Times New Roman" w:hAnsi="Times New Roman" w:eastAsia="宋体" w:cs="Times New Roman"/>
                      <w:strike w:val="0"/>
                      <w:dstrike w:val="0"/>
                      <w:color w:val="auto"/>
                      <w:kern w:val="2"/>
                      <w:sz w:val="18"/>
                      <w:szCs w:val="18"/>
                      <w:highlight w:val="none"/>
                      <w:lang w:val="en-US" w:eastAsia="zh-CN" w:bidi="ar-SA"/>
                    </w:rPr>
                  </w:pPr>
                  <w:r>
                    <w:rPr>
                      <w:rFonts w:hint="eastAsia" w:ascii="Times New Roman" w:hAnsi="Times New Roman" w:eastAsia="宋体" w:cs="Times New Roman"/>
                      <w:strike w:val="0"/>
                      <w:dstrike w:val="0"/>
                      <w:color w:val="auto"/>
                      <w:sz w:val="18"/>
                      <w:szCs w:val="18"/>
                      <w:highlight w:val="none"/>
                      <w:lang w:val="en-US" w:eastAsia="zh-CN"/>
                    </w:rPr>
                    <w:t>居住区</w:t>
                  </w:r>
                </w:p>
              </w:tc>
              <w:tc>
                <w:tcPr>
                  <w:tcW w:w="490" w:type="pct"/>
                  <w:tcBorders>
                    <w:top w:val="single" w:color="auto" w:sz="4" w:space="0"/>
                    <w:left w:val="single" w:color="auto" w:sz="4" w:space="0"/>
                    <w:bottom w:val="single" w:color="auto" w:sz="4" w:space="0"/>
                    <w:right w:val="single" w:color="auto" w:sz="4" w:space="0"/>
                  </w:tcBorders>
                  <w:noWrap w:val="0"/>
                  <w:vAlign w:val="center"/>
                </w:tcPr>
                <w:p w14:paraId="4D8E2D0E">
                  <w:pPr>
                    <w:keepNext w:val="0"/>
                    <w:keepLines w:val="0"/>
                    <w:widowControl/>
                    <w:suppressLineNumbers w:val="0"/>
                    <w:adjustRightInd w:val="0"/>
                    <w:snapToGrid w:val="0"/>
                    <w:spacing w:before="0" w:beforeAutospacing="0" w:after="0" w:afterAutospacing="0" w:line="276" w:lineRule="auto"/>
                    <w:ind w:left="0" w:right="0"/>
                    <w:jc w:val="center"/>
                    <w:rPr>
                      <w:rFonts w:hint="eastAsia" w:ascii="Times New Roman" w:hAnsi="Times New Roman" w:eastAsia="宋体" w:cs="Times New Roman"/>
                      <w:strike w:val="0"/>
                      <w:dstrike w:val="0"/>
                      <w:color w:val="auto"/>
                      <w:kern w:val="2"/>
                      <w:sz w:val="18"/>
                      <w:szCs w:val="18"/>
                      <w:highlight w:val="none"/>
                      <w:lang w:val="en-US" w:eastAsia="zh-CN" w:bidi="ar-SA"/>
                    </w:rPr>
                  </w:pPr>
                  <w:r>
                    <w:rPr>
                      <w:rFonts w:hint="eastAsia" w:ascii="Times New Roman" w:hAnsi="Times New Roman" w:eastAsia="宋体" w:cs="Times New Roman"/>
                      <w:strike w:val="0"/>
                      <w:dstrike w:val="0"/>
                      <w:color w:val="auto"/>
                      <w:sz w:val="18"/>
                      <w:szCs w:val="18"/>
                      <w:highlight w:val="none"/>
                      <w:lang w:val="en-US" w:eastAsia="zh-CN"/>
                    </w:rPr>
                    <w:t>居民</w:t>
                  </w:r>
                </w:p>
              </w:tc>
              <w:tc>
                <w:tcPr>
                  <w:tcW w:w="499" w:type="pct"/>
                  <w:tcBorders>
                    <w:top w:val="single" w:color="auto" w:sz="4" w:space="0"/>
                    <w:left w:val="single" w:color="auto" w:sz="4" w:space="0"/>
                    <w:bottom w:val="single" w:color="auto" w:sz="4" w:space="0"/>
                    <w:right w:val="single" w:color="auto" w:sz="4" w:space="0"/>
                  </w:tcBorders>
                  <w:noWrap w:val="0"/>
                  <w:vAlign w:val="center"/>
                </w:tcPr>
                <w:p w14:paraId="173CFB41">
                  <w:pPr>
                    <w:keepNext w:val="0"/>
                    <w:keepLines w:val="0"/>
                    <w:widowControl/>
                    <w:suppressLineNumbers w:val="0"/>
                    <w:adjustRightInd w:val="0"/>
                    <w:snapToGrid w:val="0"/>
                    <w:spacing w:before="0" w:beforeAutospacing="0" w:after="0" w:afterAutospacing="0" w:line="276" w:lineRule="auto"/>
                    <w:ind w:left="0" w:right="0"/>
                    <w:jc w:val="center"/>
                    <w:rPr>
                      <w:rFonts w:hint="eastAsia" w:ascii="Times New Roman" w:hAnsi="Times New Roman" w:eastAsia="宋体" w:cs="Times New Roman"/>
                      <w:strike w:val="0"/>
                      <w:dstrike w:val="0"/>
                      <w:color w:val="auto"/>
                      <w:kern w:val="2"/>
                      <w:sz w:val="18"/>
                      <w:szCs w:val="18"/>
                      <w:highlight w:val="none"/>
                      <w:lang w:val="en-US" w:eastAsia="zh-CN" w:bidi="ar-SA"/>
                    </w:rPr>
                  </w:pPr>
                  <w:r>
                    <w:rPr>
                      <w:rFonts w:hint="eastAsia" w:ascii="Times New Roman" w:hAnsi="Times New Roman" w:eastAsia="宋体" w:cs="Times New Roman"/>
                      <w:strike w:val="0"/>
                      <w:dstrike w:val="0"/>
                      <w:color w:val="auto"/>
                      <w:sz w:val="18"/>
                      <w:szCs w:val="18"/>
                      <w:highlight w:val="none"/>
                      <w:lang w:val="en-US" w:eastAsia="zh-CN"/>
                    </w:rPr>
                    <w:t>二类</w:t>
                  </w:r>
                </w:p>
              </w:tc>
              <w:tc>
                <w:tcPr>
                  <w:tcW w:w="453" w:type="pct"/>
                  <w:tcBorders>
                    <w:top w:val="single" w:color="auto" w:sz="4" w:space="0"/>
                    <w:left w:val="single" w:color="auto" w:sz="4" w:space="0"/>
                    <w:bottom w:val="single" w:color="auto" w:sz="4" w:space="0"/>
                    <w:right w:val="single" w:color="auto" w:sz="4" w:space="0"/>
                  </w:tcBorders>
                  <w:shd w:val="clear" w:color="auto" w:fill="auto"/>
                  <w:noWrap w:val="0"/>
                  <w:vAlign w:val="center"/>
                </w:tcPr>
                <w:p w14:paraId="03310832">
                  <w:pPr>
                    <w:keepNext w:val="0"/>
                    <w:keepLines w:val="0"/>
                    <w:widowControl/>
                    <w:suppressLineNumbers w:val="0"/>
                    <w:adjustRightInd w:val="0"/>
                    <w:snapToGrid w:val="0"/>
                    <w:spacing w:before="0" w:beforeAutospacing="0" w:after="0" w:afterAutospacing="0" w:line="276" w:lineRule="auto"/>
                    <w:ind w:left="0" w:right="0"/>
                    <w:jc w:val="center"/>
                    <w:rPr>
                      <w:rFonts w:hint="default" w:ascii="Times New Roman" w:hAnsi="Times New Roman" w:eastAsia="宋体" w:cs="Times New Roman"/>
                      <w:strike w:val="0"/>
                      <w:dstrike w:val="0"/>
                      <w:color w:val="auto"/>
                      <w:kern w:val="2"/>
                      <w:sz w:val="18"/>
                      <w:szCs w:val="18"/>
                      <w:highlight w:val="none"/>
                      <w:lang w:val="en-US" w:eastAsia="zh-CN" w:bidi="ar-SA"/>
                    </w:rPr>
                  </w:pPr>
                  <w:r>
                    <w:rPr>
                      <w:rFonts w:hint="eastAsia" w:ascii="Times New Roman" w:hAnsi="Times New Roman" w:eastAsia="宋体" w:cs="Times New Roman"/>
                      <w:strike w:val="0"/>
                      <w:dstrike w:val="0"/>
                      <w:color w:val="auto"/>
                      <w:kern w:val="2"/>
                      <w:sz w:val="18"/>
                      <w:szCs w:val="18"/>
                      <w:highlight w:val="none"/>
                      <w:lang w:val="en-US" w:eastAsia="zh-CN" w:bidi="ar-SA"/>
                    </w:rPr>
                    <w:t>东南</w:t>
                  </w:r>
                </w:p>
              </w:tc>
              <w:tc>
                <w:tcPr>
                  <w:tcW w:w="551" w:type="pct"/>
                  <w:tcBorders>
                    <w:top w:val="single" w:color="auto" w:sz="4" w:space="0"/>
                    <w:left w:val="single" w:color="auto" w:sz="4" w:space="0"/>
                    <w:bottom w:val="single" w:color="auto" w:sz="4" w:space="0"/>
                    <w:right w:val="single" w:color="auto" w:sz="4" w:space="0"/>
                  </w:tcBorders>
                  <w:shd w:val="clear" w:color="auto" w:fill="auto"/>
                  <w:noWrap w:val="0"/>
                  <w:vAlign w:val="center"/>
                </w:tcPr>
                <w:p w14:paraId="21095B97">
                  <w:pPr>
                    <w:keepNext w:val="0"/>
                    <w:keepLines w:val="0"/>
                    <w:widowControl/>
                    <w:suppressLineNumbers w:val="0"/>
                    <w:adjustRightInd w:val="0"/>
                    <w:snapToGrid w:val="0"/>
                    <w:spacing w:before="0" w:beforeAutospacing="0" w:after="0" w:afterAutospacing="0" w:line="276" w:lineRule="auto"/>
                    <w:ind w:left="0" w:right="0"/>
                    <w:jc w:val="center"/>
                    <w:rPr>
                      <w:rFonts w:hint="default" w:ascii="Times New Roman" w:hAnsi="Times New Roman" w:eastAsia="宋体" w:cs="Times New Roman"/>
                      <w:strike w:val="0"/>
                      <w:dstrike w:val="0"/>
                      <w:color w:val="auto"/>
                      <w:kern w:val="2"/>
                      <w:sz w:val="18"/>
                      <w:szCs w:val="18"/>
                      <w:highlight w:val="none"/>
                      <w:lang w:val="en-US" w:eastAsia="zh-CN" w:bidi="ar-SA"/>
                    </w:rPr>
                  </w:pPr>
                  <w:r>
                    <w:rPr>
                      <w:rFonts w:hint="eastAsia" w:ascii="Times New Roman" w:hAnsi="Times New Roman" w:eastAsia="宋体" w:cs="Times New Roman"/>
                      <w:strike w:val="0"/>
                      <w:dstrike w:val="0"/>
                      <w:color w:val="auto"/>
                      <w:kern w:val="2"/>
                      <w:sz w:val="18"/>
                      <w:szCs w:val="18"/>
                      <w:highlight w:val="none"/>
                      <w:lang w:val="en-US" w:eastAsia="zh-CN" w:bidi="ar-SA"/>
                    </w:rPr>
                    <w:t>2070</w:t>
                  </w:r>
                </w:p>
              </w:tc>
            </w:tr>
            <w:tr w14:paraId="5984811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40" w:hRule="atLeast"/>
                <w:jc w:val="center"/>
              </w:trPr>
              <w:tc>
                <w:tcPr>
                  <w:tcW w:w="366" w:type="pct"/>
                  <w:tcBorders>
                    <w:left w:val="single" w:color="auto" w:sz="4" w:space="0"/>
                    <w:right w:val="single" w:color="auto" w:sz="4" w:space="0"/>
                  </w:tcBorders>
                  <w:noWrap w:val="0"/>
                  <w:vAlign w:val="center"/>
                </w:tcPr>
                <w:p w14:paraId="68632EF2">
                  <w:pPr>
                    <w:keepNext w:val="0"/>
                    <w:keepLines w:val="0"/>
                    <w:widowControl/>
                    <w:suppressLineNumbers w:val="0"/>
                    <w:adjustRightInd w:val="0"/>
                    <w:snapToGrid w:val="0"/>
                    <w:spacing w:before="0" w:beforeAutospacing="0" w:after="0" w:afterAutospacing="0" w:line="276" w:lineRule="auto"/>
                    <w:ind w:left="0" w:right="0"/>
                    <w:jc w:val="center"/>
                    <w:rPr>
                      <w:rFonts w:hint="default" w:ascii="Times New Roman" w:hAnsi="Times New Roman" w:eastAsia="宋体" w:cs="Times New Roman"/>
                      <w:strike w:val="0"/>
                      <w:dstrike w:val="0"/>
                      <w:color w:val="auto"/>
                      <w:sz w:val="18"/>
                      <w:szCs w:val="18"/>
                      <w:highlight w:val="none"/>
                      <w:lang w:val="en-US" w:eastAsia="zh-CN"/>
                    </w:rPr>
                  </w:pPr>
                  <w:r>
                    <w:rPr>
                      <w:rFonts w:hint="eastAsia" w:ascii="Times New Roman" w:hAnsi="Times New Roman" w:eastAsia="宋体" w:cs="Times New Roman"/>
                      <w:strike w:val="0"/>
                      <w:dstrike w:val="0"/>
                      <w:color w:val="auto"/>
                      <w:sz w:val="18"/>
                      <w:szCs w:val="18"/>
                      <w:highlight w:val="none"/>
                      <w:lang w:val="en-US" w:eastAsia="zh-CN"/>
                    </w:rPr>
                    <w:t>63</w:t>
                  </w:r>
                </w:p>
              </w:tc>
              <w:tc>
                <w:tcPr>
                  <w:tcW w:w="1071" w:type="pct"/>
                  <w:tcBorders>
                    <w:top w:val="single" w:color="auto" w:sz="4" w:space="0"/>
                    <w:left w:val="single" w:color="auto" w:sz="4" w:space="0"/>
                    <w:bottom w:val="single" w:color="auto" w:sz="4" w:space="0"/>
                    <w:right w:val="single" w:color="auto" w:sz="4" w:space="0"/>
                  </w:tcBorders>
                  <w:noWrap w:val="0"/>
                  <w:vAlign w:val="center"/>
                </w:tcPr>
                <w:p w14:paraId="7BF1534F">
                  <w:pPr>
                    <w:keepNext w:val="0"/>
                    <w:keepLines w:val="0"/>
                    <w:widowControl/>
                    <w:suppressLineNumbers w:val="0"/>
                    <w:adjustRightInd w:val="0"/>
                    <w:snapToGrid w:val="0"/>
                    <w:spacing w:before="0" w:beforeAutospacing="0" w:after="0" w:afterAutospacing="0" w:line="276" w:lineRule="auto"/>
                    <w:ind w:left="0" w:right="0"/>
                    <w:jc w:val="center"/>
                    <w:rPr>
                      <w:rFonts w:hint="default" w:ascii="Times New Roman" w:hAnsi="Times New Roman" w:eastAsia="宋体" w:cs="Times New Roman"/>
                      <w:strike w:val="0"/>
                      <w:dstrike w:val="0"/>
                      <w:color w:val="auto"/>
                      <w:sz w:val="18"/>
                      <w:szCs w:val="18"/>
                      <w:highlight w:val="none"/>
                      <w:lang w:val="en-US" w:eastAsia="zh-CN"/>
                    </w:rPr>
                  </w:pPr>
                  <w:r>
                    <w:rPr>
                      <w:rFonts w:hint="eastAsia" w:ascii="Times New Roman" w:hAnsi="Times New Roman" w:eastAsia="宋体" w:cs="Times New Roman"/>
                      <w:strike w:val="0"/>
                      <w:dstrike w:val="0"/>
                      <w:color w:val="auto"/>
                      <w:sz w:val="18"/>
                      <w:szCs w:val="18"/>
                      <w:highlight w:val="none"/>
                      <w:lang w:val="en-US" w:eastAsia="zh-CN"/>
                    </w:rPr>
                    <w:t>双港街道办事处</w:t>
                  </w:r>
                </w:p>
              </w:tc>
              <w:tc>
                <w:tcPr>
                  <w:tcW w:w="527" w:type="pct"/>
                  <w:tcBorders>
                    <w:top w:val="single" w:color="auto" w:sz="4" w:space="0"/>
                    <w:left w:val="single" w:color="auto" w:sz="4" w:space="0"/>
                    <w:bottom w:val="single" w:color="auto" w:sz="4" w:space="0"/>
                    <w:right w:val="single" w:color="auto" w:sz="4" w:space="0"/>
                  </w:tcBorders>
                  <w:noWrap w:val="0"/>
                  <w:vAlign w:val="center"/>
                </w:tcPr>
                <w:p w14:paraId="55323E7F">
                  <w:pPr>
                    <w:keepNext w:val="0"/>
                    <w:keepLines w:val="0"/>
                    <w:widowControl/>
                    <w:suppressLineNumbers w:val="0"/>
                    <w:adjustRightInd w:val="0"/>
                    <w:snapToGrid w:val="0"/>
                    <w:spacing w:before="0" w:beforeAutospacing="0" w:after="0" w:afterAutospacing="0" w:line="276" w:lineRule="auto"/>
                    <w:ind w:left="0" w:right="0"/>
                    <w:jc w:val="center"/>
                    <w:rPr>
                      <w:rFonts w:hint="default" w:ascii="Times New Roman" w:hAnsi="Times New Roman" w:eastAsia="宋体" w:cs="Times New Roman"/>
                      <w:strike w:val="0"/>
                      <w:dstrike w:val="0"/>
                      <w:color w:val="auto"/>
                      <w:sz w:val="18"/>
                      <w:szCs w:val="18"/>
                      <w:highlight w:val="none"/>
                    </w:rPr>
                  </w:pPr>
                  <w:r>
                    <w:rPr>
                      <w:rFonts w:hint="default" w:ascii="Times New Roman" w:hAnsi="Times New Roman" w:eastAsia="宋体" w:cs="Times New Roman"/>
                      <w:strike w:val="0"/>
                      <w:dstrike w:val="0"/>
                      <w:color w:val="auto"/>
                      <w:sz w:val="18"/>
                      <w:szCs w:val="18"/>
                      <w:highlight w:val="none"/>
                    </w:rPr>
                    <w:t>118.854730</w:t>
                  </w:r>
                </w:p>
              </w:tc>
              <w:tc>
                <w:tcPr>
                  <w:tcW w:w="564" w:type="pct"/>
                  <w:tcBorders>
                    <w:top w:val="single" w:color="auto" w:sz="4" w:space="0"/>
                    <w:left w:val="single" w:color="auto" w:sz="4" w:space="0"/>
                    <w:bottom w:val="single" w:color="auto" w:sz="4" w:space="0"/>
                    <w:right w:val="single" w:color="auto" w:sz="4" w:space="0"/>
                  </w:tcBorders>
                  <w:noWrap w:val="0"/>
                  <w:vAlign w:val="center"/>
                </w:tcPr>
                <w:p w14:paraId="7014CCBA">
                  <w:pPr>
                    <w:keepNext w:val="0"/>
                    <w:keepLines w:val="0"/>
                    <w:widowControl/>
                    <w:suppressLineNumbers w:val="0"/>
                    <w:adjustRightInd w:val="0"/>
                    <w:snapToGrid w:val="0"/>
                    <w:spacing w:before="0" w:beforeAutospacing="0" w:after="0" w:afterAutospacing="0" w:line="276" w:lineRule="auto"/>
                    <w:ind w:left="0" w:right="0"/>
                    <w:jc w:val="center"/>
                    <w:rPr>
                      <w:rFonts w:hint="default" w:ascii="Times New Roman" w:hAnsi="Times New Roman" w:eastAsia="宋体" w:cs="Times New Roman"/>
                      <w:strike w:val="0"/>
                      <w:dstrike w:val="0"/>
                      <w:color w:val="auto"/>
                      <w:sz w:val="18"/>
                      <w:szCs w:val="18"/>
                      <w:highlight w:val="none"/>
                      <w:lang w:val="en-US" w:eastAsia="zh-CN"/>
                    </w:rPr>
                  </w:pPr>
                  <w:r>
                    <w:rPr>
                      <w:rFonts w:hint="default" w:ascii="Times New Roman" w:hAnsi="Times New Roman" w:eastAsia="宋体" w:cs="Times New Roman"/>
                      <w:strike w:val="0"/>
                      <w:dstrike w:val="0"/>
                      <w:color w:val="auto"/>
                      <w:sz w:val="18"/>
                      <w:szCs w:val="18"/>
                      <w:highlight w:val="none"/>
                    </w:rPr>
                    <w:t>28.9424</w:t>
                  </w:r>
                  <w:r>
                    <w:rPr>
                      <w:rFonts w:hint="eastAsia" w:ascii="Times New Roman" w:hAnsi="Times New Roman" w:eastAsia="宋体" w:cs="Times New Roman"/>
                      <w:strike w:val="0"/>
                      <w:dstrike w:val="0"/>
                      <w:color w:val="auto"/>
                      <w:sz w:val="18"/>
                      <w:szCs w:val="18"/>
                      <w:highlight w:val="none"/>
                      <w:lang w:val="en-US" w:eastAsia="zh-CN"/>
                    </w:rPr>
                    <w:t>60</w:t>
                  </w:r>
                </w:p>
              </w:tc>
              <w:tc>
                <w:tcPr>
                  <w:tcW w:w="474" w:type="pct"/>
                  <w:tcBorders>
                    <w:top w:val="single" w:color="auto" w:sz="4" w:space="0"/>
                    <w:left w:val="single" w:color="auto" w:sz="4" w:space="0"/>
                    <w:bottom w:val="single" w:color="auto" w:sz="4" w:space="0"/>
                    <w:right w:val="single" w:color="auto" w:sz="4" w:space="0"/>
                  </w:tcBorders>
                  <w:shd w:val="clear" w:color="auto" w:fill="auto"/>
                  <w:noWrap w:val="0"/>
                  <w:vAlign w:val="center"/>
                </w:tcPr>
                <w:p w14:paraId="483A97EF">
                  <w:pPr>
                    <w:keepNext w:val="0"/>
                    <w:keepLines w:val="0"/>
                    <w:widowControl/>
                    <w:suppressLineNumbers w:val="0"/>
                    <w:adjustRightInd w:val="0"/>
                    <w:snapToGrid w:val="0"/>
                    <w:spacing w:before="0" w:beforeAutospacing="0" w:after="0" w:afterAutospacing="0" w:line="276" w:lineRule="auto"/>
                    <w:ind w:left="0" w:right="0"/>
                    <w:jc w:val="center"/>
                    <w:rPr>
                      <w:rFonts w:hint="eastAsia" w:ascii="Times New Roman" w:hAnsi="Times New Roman" w:eastAsia="宋体" w:cs="Times New Roman"/>
                      <w:strike w:val="0"/>
                      <w:dstrike w:val="0"/>
                      <w:color w:val="auto"/>
                      <w:kern w:val="2"/>
                      <w:sz w:val="18"/>
                      <w:szCs w:val="18"/>
                      <w:highlight w:val="none"/>
                      <w:lang w:val="en-US" w:eastAsia="zh-CN" w:bidi="ar-SA"/>
                    </w:rPr>
                  </w:pPr>
                  <w:r>
                    <w:rPr>
                      <w:rFonts w:hint="eastAsia" w:ascii="Times New Roman" w:hAnsi="Times New Roman" w:eastAsia="宋体" w:cs="Times New Roman"/>
                      <w:strike w:val="0"/>
                      <w:dstrike w:val="0"/>
                      <w:color w:val="auto"/>
                      <w:kern w:val="2"/>
                      <w:sz w:val="18"/>
                      <w:szCs w:val="18"/>
                      <w:highlight w:val="none"/>
                      <w:lang w:val="en-US" w:eastAsia="zh-CN" w:bidi="ar-SA"/>
                    </w:rPr>
                    <w:t>行政办公</w:t>
                  </w:r>
                </w:p>
              </w:tc>
              <w:tc>
                <w:tcPr>
                  <w:tcW w:w="490" w:type="pct"/>
                  <w:tcBorders>
                    <w:top w:val="single" w:color="auto" w:sz="4" w:space="0"/>
                    <w:left w:val="single" w:color="auto" w:sz="4" w:space="0"/>
                    <w:bottom w:val="single" w:color="auto" w:sz="4" w:space="0"/>
                    <w:right w:val="single" w:color="auto" w:sz="4" w:space="0"/>
                  </w:tcBorders>
                  <w:shd w:val="clear" w:color="auto" w:fill="auto"/>
                  <w:noWrap w:val="0"/>
                  <w:vAlign w:val="center"/>
                </w:tcPr>
                <w:p w14:paraId="650D7AF8">
                  <w:pPr>
                    <w:keepNext w:val="0"/>
                    <w:keepLines w:val="0"/>
                    <w:widowControl/>
                    <w:suppressLineNumbers w:val="0"/>
                    <w:adjustRightInd w:val="0"/>
                    <w:snapToGrid w:val="0"/>
                    <w:spacing w:before="0" w:beforeAutospacing="0" w:after="0" w:afterAutospacing="0" w:line="276" w:lineRule="auto"/>
                    <w:ind w:left="0" w:right="0"/>
                    <w:jc w:val="center"/>
                    <w:rPr>
                      <w:rFonts w:hint="eastAsia" w:ascii="Times New Roman" w:hAnsi="Times New Roman" w:eastAsia="宋体" w:cs="Times New Roman"/>
                      <w:strike w:val="0"/>
                      <w:dstrike w:val="0"/>
                      <w:color w:val="auto"/>
                      <w:kern w:val="2"/>
                      <w:sz w:val="18"/>
                      <w:szCs w:val="18"/>
                      <w:highlight w:val="none"/>
                      <w:lang w:val="en-US" w:eastAsia="zh-CN" w:bidi="ar-SA"/>
                    </w:rPr>
                  </w:pPr>
                  <w:r>
                    <w:rPr>
                      <w:rFonts w:hint="eastAsia" w:ascii="Times New Roman" w:hAnsi="Times New Roman" w:eastAsia="宋体" w:cs="Times New Roman"/>
                      <w:strike w:val="0"/>
                      <w:dstrike w:val="0"/>
                      <w:color w:val="auto"/>
                      <w:kern w:val="2"/>
                      <w:sz w:val="18"/>
                      <w:szCs w:val="18"/>
                      <w:highlight w:val="none"/>
                      <w:lang w:val="en-US" w:eastAsia="zh-CN" w:bidi="ar-SA"/>
                    </w:rPr>
                    <w:t>工作人员</w:t>
                  </w:r>
                </w:p>
              </w:tc>
              <w:tc>
                <w:tcPr>
                  <w:tcW w:w="499" w:type="pct"/>
                  <w:tcBorders>
                    <w:top w:val="single" w:color="auto" w:sz="4" w:space="0"/>
                    <w:left w:val="single" w:color="auto" w:sz="4" w:space="0"/>
                    <w:bottom w:val="single" w:color="auto" w:sz="4" w:space="0"/>
                    <w:right w:val="single" w:color="auto" w:sz="4" w:space="0"/>
                  </w:tcBorders>
                  <w:shd w:val="clear" w:color="auto" w:fill="auto"/>
                  <w:noWrap w:val="0"/>
                  <w:vAlign w:val="center"/>
                </w:tcPr>
                <w:p w14:paraId="41E511E7">
                  <w:pPr>
                    <w:keepNext w:val="0"/>
                    <w:keepLines w:val="0"/>
                    <w:widowControl/>
                    <w:suppressLineNumbers w:val="0"/>
                    <w:adjustRightInd w:val="0"/>
                    <w:snapToGrid w:val="0"/>
                    <w:spacing w:before="0" w:beforeAutospacing="0" w:after="0" w:afterAutospacing="0" w:line="276" w:lineRule="auto"/>
                    <w:ind w:left="0" w:right="0"/>
                    <w:jc w:val="center"/>
                    <w:rPr>
                      <w:rFonts w:hint="eastAsia" w:ascii="Times New Roman" w:hAnsi="Times New Roman" w:eastAsia="宋体" w:cs="Times New Roman"/>
                      <w:strike w:val="0"/>
                      <w:dstrike w:val="0"/>
                      <w:color w:val="auto"/>
                      <w:kern w:val="2"/>
                      <w:sz w:val="18"/>
                      <w:szCs w:val="18"/>
                      <w:highlight w:val="none"/>
                      <w:lang w:val="en-US" w:eastAsia="zh-CN" w:bidi="ar-SA"/>
                    </w:rPr>
                  </w:pPr>
                  <w:r>
                    <w:rPr>
                      <w:rFonts w:hint="eastAsia" w:ascii="Times New Roman" w:hAnsi="Times New Roman" w:eastAsia="宋体" w:cs="Times New Roman"/>
                      <w:strike w:val="0"/>
                      <w:dstrike w:val="0"/>
                      <w:color w:val="auto"/>
                      <w:sz w:val="18"/>
                      <w:szCs w:val="18"/>
                      <w:highlight w:val="none"/>
                      <w:lang w:val="en-US" w:eastAsia="zh-CN"/>
                    </w:rPr>
                    <w:t>二类</w:t>
                  </w:r>
                </w:p>
              </w:tc>
              <w:tc>
                <w:tcPr>
                  <w:tcW w:w="453" w:type="pct"/>
                  <w:tcBorders>
                    <w:top w:val="single" w:color="auto" w:sz="4" w:space="0"/>
                    <w:left w:val="single" w:color="auto" w:sz="4" w:space="0"/>
                    <w:bottom w:val="single" w:color="auto" w:sz="4" w:space="0"/>
                    <w:right w:val="single" w:color="auto" w:sz="4" w:space="0"/>
                  </w:tcBorders>
                  <w:shd w:val="clear" w:color="auto" w:fill="auto"/>
                  <w:noWrap w:val="0"/>
                  <w:vAlign w:val="center"/>
                </w:tcPr>
                <w:p w14:paraId="7476292C">
                  <w:pPr>
                    <w:keepNext w:val="0"/>
                    <w:keepLines w:val="0"/>
                    <w:widowControl/>
                    <w:suppressLineNumbers w:val="0"/>
                    <w:adjustRightInd w:val="0"/>
                    <w:snapToGrid w:val="0"/>
                    <w:spacing w:before="0" w:beforeAutospacing="0" w:after="0" w:afterAutospacing="0" w:line="276" w:lineRule="auto"/>
                    <w:ind w:left="0" w:right="0"/>
                    <w:jc w:val="center"/>
                    <w:rPr>
                      <w:rFonts w:hint="default" w:ascii="Times New Roman" w:hAnsi="Times New Roman" w:eastAsia="宋体" w:cs="Times New Roman"/>
                      <w:strike w:val="0"/>
                      <w:dstrike w:val="0"/>
                      <w:color w:val="auto"/>
                      <w:kern w:val="2"/>
                      <w:sz w:val="18"/>
                      <w:szCs w:val="18"/>
                      <w:highlight w:val="none"/>
                      <w:lang w:val="en-US" w:eastAsia="zh-CN" w:bidi="ar-SA"/>
                    </w:rPr>
                  </w:pPr>
                  <w:r>
                    <w:rPr>
                      <w:rFonts w:hint="eastAsia" w:ascii="Times New Roman" w:hAnsi="Times New Roman" w:eastAsia="宋体" w:cs="Times New Roman"/>
                      <w:strike w:val="0"/>
                      <w:dstrike w:val="0"/>
                      <w:color w:val="auto"/>
                      <w:sz w:val="18"/>
                      <w:szCs w:val="18"/>
                      <w:highlight w:val="none"/>
                      <w:lang w:val="en-US" w:eastAsia="zh-CN"/>
                    </w:rPr>
                    <w:t>东南</w:t>
                  </w:r>
                </w:p>
              </w:tc>
              <w:tc>
                <w:tcPr>
                  <w:tcW w:w="551" w:type="pct"/>
                  <w:tcBorders>
                    <w:top w:val="single" w:color="auto" w:sz="4" w:space="0"/>
                    <w:left w:val="single" w:color="auto" w:sz="4" w:space="0"/>
                    <w:bottom w:val="single" w:color="auto" w:sz="4" w:space="0"/>
                    <w:right w:val="single" w:color="auto" w:sz="4" w:space="0"/>
                  </w:tcBorders>
                  <w:shd w:val="clear" w:color="auto" w:fill="auto"/>
                  <w:noWrap w:val="0"/>
                  <w:vAlign w:val="center"/>
                </w:tcPr>
                <w:p w14:paraId="4D9C4CB6">
                  <w:pPr>
                    <w:keepNext w:val="0"/>
                    <w:keepLines w:val="0"/>
                    <w:widowControl/>
                    <w:suppressLineNumbers w:val="0"/>
                    <w:adjustRightInd w:val="0"/>
                    <w:snapToGrid w:val="0"/>
                    <w:spacing w:before="0" w:beforeAutospacing="0" w:after="0" w:afterAutospacing="0" w:line="276" w:lineRule="auto"/>
                    <w:ind w:left="0" w:right="0"/>
                    <w:jc w:val="center"/>
                    <w:rPr>
                      <w:rFonts w:hint="default" w:ascii="Times New Roman" w:hAnsi="Times New Roman" w:eastAsia="宋体" w:cs="Times New Roman"/>
                      <w:strike w:val="0"/>
                      <w:dstrike w:val="0"/>
                      <w:color w:val="auto"/>
                      <w:kern w:val="2"/>
                      <w:sz w:val="18"/>
                      <w:szCs w:val="18"/>
                      <w:highlight w:val="none"/>
                      <w:lang w:val="en-US" w:eastAsia="zh-CN" w:bidi="ar-SA"/>
                    </w:rPr>
                  </w:pPr>
                  <w:r>
                    <w:rPr>
                      <w:rFonts w:hint="eastAsia" w:ascii="Times New Roman" w:hAnsi="Times New Roman" w:eastAsia="宋体" w:cs="Times New Roman"/>
                      <w:strike w:val="0"/>
                      <w:dstrike w:val="0"/>
                      <w:color w:val="auto"/>
                      <w:sz w:val="18"/>
                      <w:szCs w:val="18"/>
                      <w:highlight w:val="none"/>
                      <w:lang w:val="en-US" w:eastAsia="zh-CN"/>
                    </w:rPr>
                    <w:t>2320</w:t>
                  </w:r>
                </w:p>
              </w:tc>
            </w:tr>
            <w:tr w14:paraId="5AC1D93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40" w:hRule="atLeast"/>
                <w:jc w:val="center"/>
              </w:trPr>
              <w:tc>
                <w:tcPr>
                  <w:tcW w:w="366" w:type="pct"/>
                  <w:tcBorders>
                    <w:left w:val="single" w:color="auto" w:sz="4" w:space="0"/>
                    <w:right w:val="single" w:color="auto" w:sz="4" w:space="0"/>
                  </w:tcBorders>
                  <w:noWrap w:val="0"/>
                  <w:vAlign w:val="center"/>
                </w:tcPr>
                <w:p w14:paraId="4D15E7A7">
                  <w:pPr>
                    <w:keepNext w:val="0"/>
                    <w:keepLines w:val="0"/>
                    <w:widowControl/>
                    <w:suppressLineNumbers w:val="0"/>
                    <w:adjustRightInd w:val="0"/>
                    <w:snapToGrid w:val="0"/>
                    <w:spacing w:before="0" w:beforeAutospacing="0" w:after="0" w:afterAutospacing="0" w:line="276" w:lineRule="auto"/>
                    <w:ind w:left="0" w:right="0"/>
                    <w:jc w:val="center"/>
                    <w:rPr>
                      <w:rFonts w:hint="default" w:ascii="Times New Roman" w:hAnsi="Times New Roman" w:eastAsia="宋体" w:cs="Times New Roman"/>
                      <w:strike w:val="0"/>
                      <w:dstrike w:val="0"/>
                      <w:color w:val="auto"/>
                      <w:sz w:val="18"/>
                      <w:szCs w:val="18"/>
                      <w:highlight w:val="none"/>
                      <w:lang w:val="en-US" w:eastAsia="zh-CN"/>
                    </w:rPr>
                  </w:pPr>
                  <w:r>
                    <w:rPr>
                      <w:rFonts w:hint="eastAsia" w:ascii="Times New Roman" w:hAnsi="Times New Roman" w:eastAsia="宋体" w:cs="Times New Roman"/>
                      <w:strike w:val="0"/>
                      <w:dstrike w:val="0"/>
                      <w:color w:val="auto"/>
                      <w:sz w:val="18"/>
                      <w:szCs w:val="18"/>
                      <w:highlight w:val="none"/>
                      <w:lang w:val="en-US" w:eastAsia="zh-CN"/>
                    </w:rPr>
                    <w:t>64</w:t>
                  </w:r>
                </w:p>
              </w:tc>
              <w:tc>
                <w:tcPr>
                  <w:tcW w:w="1071" w:type="pct"/>
                  <w:tcBorders>
                    <w:top w:val="single" w:color="auto" w:sz="4" w:space="0"/>
                    <w:left w:val="single" w:color="auto" w:sz="4" w:space="0"/>
                    <w:bottom w:val="single" w:color="auto" w:sz="4" w:space="0"/>
                    <w:right w:val="single" w:color="auto" w:sz="4" w:space="0"/>
                  </w:tcBorders>
                  <w:noWrap w:val="0"/>
                  <w:vAlign w:val="center"/>
                </w:tcPr>
                <w:p w14:paraId="68580A05">
                  <w:pPr>
                    <w:keepNext w:val="0"/>
                    <w:keepLines w:val="0"/>
                    <w:widowControl/>
                    <w:suppressLineNumbers w:val="0"/>
                    <w:adjustRightInd w:val="0"/>
                    <w:snapToGrid w:val="0"/>
                    <w:spacing w:before="0" w:beforeAutospacing="0" w:after="0" w:afterAutospacing="0" w:line="276" w:lineRule="auto"/>
                    <w:ind w:left="0" w:right="0"/>
                    <w:jc w:val="center"/>
                    <w:rPr>
                      <w:rFonts w:hint="eastAsia" w:ascii="Times New Roman" w:hAnsi="Times New Roman" w:eastAsia="宋体" w:cs="Times New Roman"/>
                      <w:strike w:val="0"/>
                      <w:dstrike w:val="0"/>
                      <w:color w:val="auto"/>
                      <w:sz w:val="18"/>
                      <w:szCs w:val="18"/>
                      <w:highlight w:val="none"/>
                      <w:lang w:val="en-US" w:eastAsia="zh-CN"/>
                    </w:rPr>
                  </w:pPr>
                  <w:r>
                    <w:rPr>
                      <w:rFonts w:hint="eastAsia" w:ascii="Times New Roman" w:hAnsi="Times New Roman" w:eastAsia="宋体" w:cs="Times New Roman"/>
                      <w:strike w:val="0"/>
                      <w:dstrike w:val="0"/>
                      <w:color w:val="auto"/>
                      <w:sz w:val="18"/>
                      <w:szCs w:val="18"/>
                      <w:highlight w:val="none"/>
                      <w:lang w:val="en-US" w:eastAsia="zh-CN"/>
                    </w:rPr>
                    <w:t>双港社区</w:t>
                  </w:r>
                </w:p>
              </w:tc>
              <w:tc>
                <w:tcPr>
                  <w:tcW w:w="527" w:type="pct"/>
                  <w:tcBorders>
                    <w:top w:val="single" w:color="auto" w:sz="4" w:space="0"/>
                    <w:left w:val="single" w:color="auto" w:sz="4" w:space="0"/>
                    <w:bottom w:val="single" w:color="auto" w:sz="4" w:space="0"/>
                    <w:right w:val="single" w:color="auto" w:sz="4" w:space="0"/>
                  </w:tcBorders>
                  <w:noWrap w:val="0"/>
                  <w:vAlign w:val="center"/>
                </w:tcPr>
                <w:p w14:paraId="4C166B75">
                  <w:pPr>
                    <w:keepNext w:val="0"/>
                    <w:keepLines w:val="0"/>
                    <w:widowControl/>
                    <w:suppressLineNumbers w:val="0"/>
                    <w:adjustRightInd w:val="0"/>
                    <w:snapToGrid w:val="0"/>
                    <w:spacing w:before="0" w:beforeAutospacing="0" w:after="0" w:afterAutospacing="0" w:line="276" w:lineRule="auto"/>
                    <w:ind w:left="0" w:right="0"/>
                    <w:jc w:val="center"/>
                    <w:rPr>
                      <w:rFonts w:hint="default" w:ascii="Times New Roman" w:hAnsi="Times New Roman" w:eastAsia="宋体" w:cs="Times New Roman"/>
                      <w:strike w:val="0"/>
                      <w:dstrike w:val="0"/>
                      <w:color w:val="auto"/>
                      <w:sz w:val="18"/>
                      <w:szCs w:val="18"/>
                      <w:highlight w:val="none"/>
                    </w:rPr>
                  </w:pPr>
                  <w:r>
                    <w:rPr>
                      <w:rFonts w:hint="default" w:ascii="Times New Roman" w:hAnsi="Times New Roman" w:eastAsia="宋体" w:cs="Times New Roman"/>
                      <w:strike w:val="0"/>
                      <w:dstrike w:val="0"/>
                      <w:color w:val="auto"/>
                      <w:sz w:val="18"/>
                      <w:szCs w:val="18"/>
                      <w:highlight w:val="none"/>
                    </w:rPr>
                    <w:t>118.858260</w:t>
                  </w:r>
                </w:p>
              </w:tc>
              <w:tc>
                <w:tcPr>
                  <w:tcW w:w="564" w:type="pct"/>
                  <w:tcBorders>
                    <w:top w:val="single" w:color="auto" w:sz="4" w:space="0"/>
                    <w:left w:val="single" w:color="auto" w:sz="4" w:space="0"/>
                    <w:bottom w:val="single" w:color="auto" w:sz="4" w:space="0"/>
                    <w:right w:val="single" w:color="auto" w:sz="4" w:space="0"/>
                  </w:tcBorders>
                  <w:noWrap w:val="0"/>
                  <w:vAlign w:val="center"/>
                </w:tcPr>
                <w:p w14:paraId="3AA0C091">
                  <w:pPr>
                    <w:keepNext w:val="0"/>
                    <w:keepLines w:val="0"/>
                    <w:widowControl/>
                    <w:suppressLineNumbers w:val="0"/>
                    <w:adjustRightInd w:val="0"/>
                    <w:snapToGrid w:val="0"/>
                    <w:spacing w:before="0" w:beforeAutospacing="0" w:after="0" w:afterAutospacing="0" w:line="276" w:lineRule="auto"/>
                    <w:ind w:left="0" w:right="0"/>
                    <w:jc w:val="center"/>
                    <w:rPr>
                      <w:rFonts w:hint="eastAsia" w:ascii="Times New Roman" w:hAnsi="Times New Roman" w:eastAsia="宋体" w:cs="Times New Roman"/>
                      <w:strike w:val="0"/>
                      <w:dstrike w:val="0"/>
                      <w:color w:val="auto"/>
                      <w:sz w:val="18"/>
                      <w:szCs w:val="18"/>
                      <w:highlight w:val="none"/>
                      <w:lang w:val="en-US" w:eastAsia="zh-CN"/>
                    </w:rPr>
                  </w:pPr>
                  <w:r>
                    <w:rPr>
                      <w:rFonts w:hint="default" w:ascii="Times New Roman" w:hAnsi="Times New Roman" w:eastAsia="宋体" w:cs="Times New Roman"/>
                      <w:strike w:val="0"/>
                      <w:dstrike w:val="0"/>
                      <w:color w:val="auto"/>
                      <w:sz w:val="18"/>
                      <w:szCs w:val="18"/>
                      <w:highlight w:val="none"/>
                    </w:rPr>
                    <w:t>28.93658</w:t>
                  </w:r>
                  <w:r>
                    <w:rPr>
                      <w:rFonts w:hint="eastAsia" w:ascii="Times New Roman" w:hAnsi="Times New Roman" w:eastAsia="宋体" w:cs="Times New Roman"/>
                      <w:strike w:val="0"/>
                      <w:dstrike w:val="0"/>
                      <w:color w:val="auto"/>
                      <w:sz w:val="18"/>
                      <w:szCs w:val="18"/>
                      <w:highlight w:val="none"/>
                      <w:lang w:val="en-US" w:eastAsia="zh-CN"/>
                    </w:rPr>
                    <w:t>6</w:t>
                  </w:r>
                </w:p>
              </w:tc>
              <w:tc>
                <w:tcPr>
                  <w:tcW w:w="474" w:type="pct"/>
                  <w:tcBorders>
                    <w:top w:val="single" w:color="auto" w:sz="4" w:space="0"/>
                    <w:left w:val="single" w:color="auto" w:sz="4" w:space="0"/>
                    <w:bottom w:val="single" w:color="auto" w:sz="4" w:space="0"/>
                    <w:right w:val="single" w:color="auto" w:sz="4" w:space="0"/>
                  </w:tcBorders>
                  <w:noWrap w:val="0"/>
                  <w:vAlign w:val="center"/>
                </w:tcPr>
                <w:p w14:paraId="51568F2B">
                  <w:pPr>
                    <w:keepNext w:val="0"/>
                    <w:keepLines w:val="0"/>
                    <w:widowControl/>
                    <w:suppressLineNumbers w:val="0"/>
                    <w:adjustRightInd w:val="0"/>
                    <w:snapToGrid w:val="0"/>
                    <w:spacing w:before="0" w:beforeAutospacing="0" w:after="0" w:afterAutospacing="0" w:line="276" w:lineRule="auto"/>
                    <w:ind w:left="0" w:right="0"/>
                    <w:jc w:val="center"/>
                    <w:rPr>
                      <w:rFonts w:hint="eastAsia" w:ascii="Times New Roman" w:hAnsi="Times New Roman" w:eastAsia="宋体" w:cs="Times New Roman"/>
                      <w:strike w:val="0"/>
                      <w:dstrike w:val="0"/>
                      <w:color w:val="auto"/>
                      <w:kern w:val="2"/>
                      <w:sz w:val="18"/>
                      <w:szCs w:val="18"/>
                      <w:highlight w:val="none"/>
                      <w:lang w:val="en-US" w:eastAsia="zh-CN" w:bidi="ar-SA"/>
                    </w:rPr>
                  </w:pPr>
                  <w:r>
                    <w:rPr>
                      <w:rFonts w:hint="eastAsia" w:ascii="Times New Roman" w:hAnsi="Times New Roman" w:eastAsia="宋体" w:cs="Times New Roman"/>
                      <w:strike w:val="0"/>
                      <w:dstrike w:val="0"/>
                      <w:color w:val="auto"/>
                      <w:sz w:val="18"/>
                      <w:szCs w:val="18"/>
                      <w:highlight w:val="none"/>
                      <w:lang w:val="en-US" w:eastAsia="zh-CN"/>
                    </w:rPr>
                    <w:t>居住区</w:t>
                  </w:r>
                </w:p>
              </w:tc>
              <w:tc>
                <w:tcPr>
                  <w:tcW w:w="490" w:type="pct"/>
                  <w:tcBorders>
                    <w:top w:val="single" w:color="auto" w:sz="4" w:space="0"/>
                    <w:left w:val="single" w:color="auto" w:sz="4" w:space="0"/>
                    <w:bottom w:val="single" w:color="auto" w:sz="4" w:space="0"/>
                    <w:right w:val="single" w:color="auto" w:sz="4" w:space="0"/>
                  </w:tcBorders>
                  <w:noWrap w:val="0"/>
                  <w:vAlign w:val="center"/>
                </w:tcPr>
                <w:p w14:paraId="0C1EF273">
                  <w:pPr>
                    <w:keepNext w:val="0"/>
                    <w:keepLines w:val="0"/>
                    <w:widowControl/>
                    <w:suppressLineNumbers w:val="0"/>
                    <w:adjustRightInd w:val="0"/>
                    <w:snapToGrid w:val="0"/>
                    <w:spacing w:before="0" w:beforeAutospacing="0" w:after="0" w:afterAutospacing="0" w:line="276" w:lineRule="auto"/>
                    <w:ind w:left="0" w:right="0"/>
                    <w:jc w:val="center"/>
                    <w:rPr>
                      <w:rFonts w:hint="eastAsia" w:ascii="Times New Roman" w:hAnsi="Times New Roman" w:eastAsia="宋体" w:cs="Times New Roman"/>
                      <w:strike w:val="0"/>
                      <w:dstrike w:val="0"/>
                      <w:color w:val="auto"/>
                      <w:kern w:val="2"/>
                      <w:sz w:val="18"/>
                      <w:szCs w:val="18"/>
                      <w:highlight w:val="none"/>
                      <w:lang w:val="en-US" w:eastAsia="zh-CN" w:bidi="ar-SA"/>
                    </w:rPr>
                  </w:pPr>
                  <w:r>
                    <w:rPr>
                      <w:rFonts w:hint="eastAsia" w:ascii="Times New Roman" w:hAnsi="Times New Roman" w:eastAsia="宋体" w:cs="Times New Roman"/>
                      <w:strike w:val="0"/>
                      <w:dstrike w:val="0"/>
                      <w:color w:val="auto"/>
                      <w:sz w:val="18"/>
                      <w:szCs w:val="18"/>
                      <w:highlight w:val="none"/>
                      <w:lang w:val="en-US" w:eastAsia="zh-CN"/>
                    </w:rPr>
                    <w:t>居民</w:t>
                  </w:r>
                </w:p>
              </w:tc>
              <w:tc>
                <w:tcPr>
                  <w:tcW w:w="499" w:type="pct"/>
                  <w:tcBorders>
                    <w:top w:val="single" w:color="auto" w:sz="4" w:space="0"/>
                    <w:left w:val="single" w:color="auto" w:sz="4" w:space="0"/>
                    <w:bottom w:val="single" w:color="auto" w:sz="4" w:space="0"/>
                    <w:right w:val="single" w:color="auto" w:sz="4" w:space="0"/>
                  </w:tcBorders>
                  <w:noWrap w:val="0"/>
                  <w:vAlign w:val="center"/>
                </w:tcPr>
                <w:p w14:paraId="519C2A2F">
                  <w:pPr>
                    <w:keepNext w:val="0"/>
                    <w:keepLines w:val="0"/>
                    <w:widowControl/>
                    <w:suppressLineNumbers w:val="0"/>
                    <w:adjustRightInd w:val="0"/>
                    <w:snapToGrid w:val="0"/>
                    <w:spacing w:before="0" w:beforeAutospacing="0" w:after="0" w:afterAutospacing="0" w:line="276" w:lineRule="auto"/>
                    <w:ind w:left="0" w:right="0"/>
                    <w:jc w:val="center"/>
                    <w:rPr>
                      <w:rFonts w:hint="eastAsia" w:ascii="Times New Roman" w:hAnsi="Times New Roman" w:eastAsia="宋体" w:cs="Times New Roman"/>
                      <w:strike w:val="0"/>
                      <w:dstrike w:val="0"/>
                      <w:color w:val="auto"/>
                      <w:kern w:val="2"/>
                      <w:sz w:val="18"/>
                      <w:szCs w:val="18"/>
                      <w:highlight w:val="none"/>
                      <w:lang w:val="en-US" w:eastAsia="zh-CN" w:bidi="ar-SA"/>
                    </w:rPr>
                  </w:pPr>
                  <w:r>
                    <w:rPr>
                      <w:rFonts w:hint="eastAsia" w:ascii="Times New Roman" w:hAnsi="Times New Roman" w:eastAsia="宋体" w:cs="Times New Roman"/>
                      <w:strike w:val="0"/>
                      <w:dstrike w:val="0"/>
                      <w:color w:val="auto"/>
                      <w:sz w:val="18"/>
                      <w:szCs w:val="18"/>
                      <w:highlight w:val="none"/>
                      <w:lang w:val="en-US" w:eastAsia="zh-CN"/>
                    </w:rPr>
                    <w:t>二类</w:t>
                  </w:r>
                </w:p>
              </w:tc>
              <w:tc>
                <w:tcPr>
                  <w:tcW w:w="453" w:type="pct"/>
                  <w:tcBorders>
                    <w:top w:val="single" w:color="auto" w:sz="4" w:space="0"/>
                    <w:left w:val="single" w:color="auto" w:sz="4" w:space="0"/>
                    <w:bottom w:val="single" w:color="auto" w:sz="4" w:space="0"/>
                    <w:right w:val="single" w:color="auto" w:sz="4" w:space="0"/>
                  </w:tcBorders>
                  <w:shd w:val="clear" w:color="auto" w:fill="auto"/>
                  <w:noWrap w:val="0"/>
                  <w:vAlign w:val="center"/>
                </w:tcPr>
                <w:p w14:paraId="284E35BA">
                  <w:pPr>
                    <w:keepNext w:val="0"/>
                    <w:keepLines w:val="0"/>
                    <w:widowControl/>
                    <w:suppressLineNumbers w:val="0"/>
                    <w:adjustRightInd w:val="0"/>
                    <w:snapToGrid w:val="0"/>
                    <w:spacing w:before="0" w:beforeAutospacing="0" w:after="0" w:afterAutospacing="0" w:line="276" w:lineRule="auto"/>
                    <w:ind w:left="0" w:right="0"/>
                    <w:jc w:val="center"/>
                    <w:rPr>
                      <w:rFonts w:hint="eastAsia" w:ascii="Times New Roman" w:hAnsi="Times New Roman" w:eastAsia="宋体" w:cs="Times New Roman"/>
                      <w:strike w:val="0"/>
                      <w:dstrike w:val="0"/>
                      <w:color w:val="auto"/>
                      <w:kern w:val="2"/>
                      <w:sz w:val="18"/>
                      <w:szCs w:val="18"/>
                      <w:highlight w:val="none"/>
                      <w:lang w:val="en-US" w:eastAsia="zh-CN" w:bidi="ar-SA"/>
                    </w:rPr>
                  </w:pPr>
                  <w:r>
                    <w:rPr>
                      <w:rFonts w:hint="eastAsia" w:ascii="Times New Roman" w:hAnsi="Times New Roman" w:eastAsia="宋体" w:cs="Times New Roman"/>
                      <w:strike w:val="0"/>
                      <w:dstrike w:val="0"/>
                      <w:color w:val="auto"/>
                      <w:sz w:val="18"/>
                      <w:szCs w:val="18"/>
                      <w:highlight w:val="none"/>
                      <w:lang w:val="en-US" w:eastAsia="zh-CN"/>
                    </w:rPr>
                    <w:t>东南</w:t>
                  </w:r>
                </w:p>
              </w:tc>
              <w:tc>
                <w:tcPr>
                  <w:tcW w:w="551" w:type="pct"/>
                  <w:tcBorders>
                    <w:top w:val="single" w:color="auto" w:sz="4" w:space="0"/>
                    <w:left w:val="single" w:color="auto" w:sz="4" w:space="0"/>
                    <w:bottom w:val="single" w:color="auto" w:sz="4" w:space="0"/>
                    <w:right w:val="single" w:color="auto" w:sz="4" w:space="0"/>
                  </w:tcBorders>
                  <w:shd w:val="clear" w:color="auto" w:fill="auto"/>
                  <w:noWrap w:val="0"/>
                  <w:vAlign w:val="center"/>
                </w:tcPr>
                <w:p w14:paraId="7F261391">
                  <w:pPr>
                    <w:keepNext w:val="0"/>
                    <w:keepLines w:val="0"/>
                    <w:widowControl/>
                    <w:suppressLineNumbers w:val="0"/>
                    <w:adjustRightInd w:val="0"/>
                    <w:snapToGrid w:val="0"/>
                    <w:spacing w:before="0" w:beforeAutospacing="0" w:after="0" w:afterAutospacing="0" w:line="276" w:lineRule="auto"/>
                    <w:ind w:left="0" w:right="0"/>
                    <w:jc w:val="center"/>
                    <w:rPr>
                      <w:rFonts w:hint="eastAsia" w:ascii="Times New Roman" w:hAnsi="Times New Roman" w:eastAsia="宋体" w:cs="Times New Roman"/>
                      <w:strike w:val="0"/>
                      <w:dstrike w:val="0"/>
                      <w:color w:val="auto"/>
                      <w:kern w:val="2"/>
                      <w:sz w:val="18"/>
                      <w:szCs w:val="18"/>
                      <w:highlight w:val="none"/>
                      <w:lang w:val="en-US" w:eastAsia="zh-CN" w:bidi="ar-SA"/>
                    </w:rPr>
                  </w:pPr>
                  <w:r>
                    <w:rPr>
                      <w:rFonts w:hint="eastAsia" w:ascii="Times New Roman" w:hAnsi="Times New Roman" w:eastAsia="宋体" w:cs="Times New Roman"/>
                      <w:strike w:val="0"/>
                      <w:dstrike w:val="0"/>
                      <w:color w:val="auto"/>
                      <w:sz w:val="18"/>
                      <w:szCs w:val="18"/>
                      <w:highlight w:val="none"/>
                      <w:lang w:val="en-US" w:eastAsia="zh-CN"/>
                    </w:rPr>
                    <w:t>2940</w:t>
                  </w:r>
                </w:p>
              </w:tc>
            </w:tr>
            <w:tr w14:paraId="0FD4EE6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40" w:hRule="atLeast"/>
                <w:jc w:val="center"/>
              </w:trPr>
              <w:tc>
                <w:tcPr>
                  <w:tcW w:w="366" w:type="pct"/>
                  <w:tcBorders>
                    <w:left w:val="single" w:color="auto" w:sz="4" w:space="0"/>
                    <w:right w:val="single" w:color="auto" w:sz="4" w:space="0"/>
                  </w:tcBorders>
                  <w:noWrap w:val="0"/>
                  <w:vAlign w:val="center"/>
                </w:tcPr>
                <w:p w14:paraId="3767F406">
                  <w:pPr>
                    <w:keepNext w:val="0"/>
                    <w:keepLines w:val="0"/>
                    <w:widowControl/>
                    <w:suppressLineNumbers w:val="0"/>
                    <w:adjustRightInd w:val="0"/>
                    <w:snapToGrid w:val="0"/>
                    <w:spacing w:before="0" w:beforeAutospacing="0" w:after="0" w:afterAutospacing="0" w:line="276" w:lineRule="auto"/>
                    <w:ind w:left="0" w:right="0"/>
                    <w:jc w:val="center"/>
                    <w:rPr>
                      <w:rFonts w:hint="default" w:ascii="Times New Roman" w:hAnsi="Times New Roman" w:eastAsia="宋体" w:cs="Times New Roman"/>
                      <w:strike w:val="0"/>
                      <w:dstrike w:val="0"/>
                      <w:color w:val="auto"/>
                      <w:sz w:val="18"/>
                      <w:szCs w:val="18"/>
                      <w:highlight w:val="none"/>
                      <w:lang w:val="en-US" w:eastAsia="zh-CN"/>
                    </w:rPr>
                  </w:pPr>
                  <w:r>
                    <w:rPr>
                      <w:rFonts w:hint="eastAsia" w:ascii="Times New Roman" w:hAnsi="Times New Roman" w:eastAsia="宋体" w:cs="Times New Roman"/>
                      <w:strike w:val="0"/>
                      <w:dstrike w:val="0"/>
                      <w:color w:val="auto"/>
                      <w:sz w:val="18"/>
                      <w:szCs w:val="18"/>
                      <w:highlight w:val="none"/>
                      <w:lang w:val="en-US" w:eastAsia="zh-CN"/>
                    </w:rPr>
                    <w:t>65</w:t>
                  </w:r>
                </w:p>
              </w:tc>
              <w:tc>
                <w:tcPr>
                  <w:tcW w:w="1071" w:type="pct"/>
                  <w:tcBorders>
                    <w:top w:val="single" w:color="auto" w:sz="4" w:space="0"/>
                    <w:left w:val="single" w:color="auto" w:sz="4" w:space="0"/>
                    <w:bottom w:val="single" w:color="auto" w:sz="4" w:space="0"/>
                    <w:right w:val="single" w:color="auto" w:sz="4" w:space="0"/>
                  </w:tcBorders>
                  <w:noWrap w:val="0"/>
                  <w:vAlign w:val="center"/>
                </w:tcPr>
                <w:p w14:paraId="7E41F9E0">
                  <w:pPr>
                    <w:keepNext w:val="0"/>
                    <w:keepLines w:val="0"/>
                    <w:widowControl/>
                    <w:suppressLineNumbers w:val="0"/>
                    <w:adjustRightInd w:val="0"/>
                    <w:snapToGrid w:val="0"/>
                    <w:spacing w:before="0" w:beforeAutospacing="0" w:after="0" w:afterAutospacing="0" w:line="276" w:lineRule="auto"/>
                    <w:ind w:left="0" w:right="0"/>
                    <w:jc w:val="center"/>
                    <w:rPr>
                      <w:rFonts w:hint="eastAsia" w:ascii="Times New Roman" w:hAnsi="Times New Roman" w:eastAsia="宋体" w:cs="Times New Roman"/>
                      <w:strike w:val="0"/>
                      <w:dstrike w:val="0"/>
                      <w:color w:val="auto"/>
                      <w:sz w:val="18"/>
                      <w:szCs w:val="18"/>
                      <w:highlight w:val="none"/>
                      <w:lang w:val="en-US" w:eastAsia="zh-CN"/>
                    </w:rPr>
                  </w:pPr>
                  <w:r>
                    <w:rPr>
                      <w:rFonts w:hint="eastAsia" w:ascii="Times New Roman" w:hAnsi="Times New Roman" w:eastAsia="宋体" w:cs="Times New Roman"/>
                      <w:strike w:val="0"/>
                      <w:dstrike w:val="0"/>
                      <w:color w:val="auto"/>
                      <w:sz w:val="18"/>
                      <w:szCs w:val="18"/>
                      <w:highlight w:val="none"/>
                      <w:lang w:val="en-US" w:eastAsia="zh-CN"/>
                    </w:rPr>
                    <w:t>落马桥村</w:t>
                  </w:r>
                </w:p>
              </w:tc>
              <w:tc>
                <w:tcPr>
                  <w:tcW w:w="527" w:type="pct"/>
                  <w:tcBorders>
                    <w:top w:val="single" w:color="auto" w:sz="4" w:space="0"/>
                    <w:left w:val="single" w:color="auto" w:sz="4" w:space="0"/>
                    <w:bottom w:val="single" w:color="auto" w:sz="4" w:space="0"/>
                    <w:right w:val="single" w:color="auto" w:sz="4" w:space="0"/>
                  </w:tcBorders>
                  <w:noWrap w:val="0"/>
                  <w:vAlign w:val="center"/>
                </w:tcPr>
                <w:p w14:paraId="7F34F681">
                  <w:pPr>
                    <w:keepNext w:val="0"/>
                    <w:keepLines w:val="0"/>
                    <w:widowControl/>
                    <w:suppressLineNumbers w:val="0"/>
                    <w:adjustRightInd w:val="0"/>
                    <w:snapToGrid w:val="0"/>
                    <w:spacing w:before="0" w:beforeAutospacing="0" w:after="0" w:afterAutospacing="0" w:line="276" w:lineRule="auto"/>
                    <w:ind w:left="0" w:right="0"/>
                    <w:jc w:val="center"/>
                    <w:rPr>
                      <w:rFonts w:hint="default" w:ascii="Times New Roman" w:hAnsi="Times New Roman" w:eastAsia="宋体" w:cs="Times New Roman"/>
                      <w:strike w:val="0"/>
                      <w:dstrike w:val="0"/>
                      <w:color w:val="auto"/>
                      <w:sz w:val="18"/>
                      <w:szCs w:val="18"/>
                      <w:highlight w:val="none"/>
                    </w:rPr>
                  </w:pPr>
                  <w:r>
                    <w:rPr>
                      <w:rFonts w:hint="default" w:ascii="Times New Roman" w:hAnsi="Times New Roman" w:eastAsia="宋体" w:cs="Times New Roman"/>
                      <w:strike w:val="0"/>
                      <w:dstrike w:val="0"/>
                      <w:color w:val="auto"/>
                      <w:sz w:val="18"/>
                      <w:szCs w:val="18"/>
                      <w:highlight w:val="none"/>
                    </w:rPr>
                    <w:t>118.853220</w:t>
                  </w:r>
                </w:p>
              </w:tc>
              <w:tc>
                <w:tcPr>
                  <w:tcW w:w="564" w:type="pct"/>
                  <w:tcBorders>
                    <w:top w:val="single" w:color="auto" w:sz="4" w:space="0"/>
                    <w:left w:val="single" w:color="auto" w:sz="4" w:space="0"/>
                    <w:bottom w:val="single" w:color="auto" w:sz="4" w:space="0"/>
                    <w:right w:val="single" w:color="auto" w:sz="4" w:space="0"/>
                  </w:tcBorders>
                  <w:noWrap w:val="0"/>
                  <w:vAlign w:val="center"/>
                </w:tcPr>
                <w:p w14:paraId="19564F04">
                  <w:pPr>
                    <w:keepNext w:val="0"/>
                    <w:keepLines w:val="0"/>
                    <w:widowControl/>
                    <w:suppressLineNumbers w:val="0"/>
                    <w:adjustRightInd w:val="0"/>
                    <w:snapToGrid w:val="0"/>
                    <w:spacing w:before="0" w:beforeAutospacing="0" w:after="0" w:afterAutospacing="0" w:line="276" w:lineRule="auto"/>
                    <w:ind w:left="0" w:right="0"/>
                    <w:jc w:val="center"/>
                    <w:rPr>
                      <w:rFonts w:hint="default" w:ascii="Times New Roman" w:hAnsi="Times New Roman" w:eastAsia="宋体" w:cs="Times New Roman"/>
                      <w:strike w:val="0"/>
                      <w:dstrike w:val="0"/>
                      <w:color w:val="auto"/>
                      <w:sz w:val="18"/>
                      <w:szCs w:val="18"/>
                      <w:highlight w:val="none"/>
                    </w:rPr>
                  </w:pPr>
                  <w:r>
                    <w:rPr>
                      <w:rFonts w:hint="default" w:ascii="Times New Roman" w:hAnsi="Times New Roman" w:eastAsia="宋体" w:cs="Times New Roman"/>
                      <w:strike w:val="0"/>
                      <w:dstrike w:val="0"/>
                      <w:color w:val="auto"/>
                      <w:sz w:val="18"/>
                      <w:szCs w:val="18"/>
                      <w:highlight w:val="none"/>
                    </w:rPr>
                    <w:t>28.935166</w:t>
                  </w:r>
                </w:p>
              </w:tc>
              <w:tc>
                <w:tcPr>
                  <w:tcW w:w="474" w:type="pct"/>
                  <w:tcBorders>
                    <w:top w:val="single" w:color="auto" w:sz="4" w:space="0"/>
                    <w:left w:val="single" w:color="auto" w:sz="4" w:space="0"/>
                    <w:bottom w:val="single" w:color="auto" w:sz="4" w:space="0"/>
                    <w:right w:val="single" w:color="auto" w:sz="4" w:space="0"/>
                  </w:tcBorders>
                  <w:noWrap w:val="0"/>
                  <w:vAlign w:val="center"/>
                </w:tcPr>
                <w:p w14:paraId="53D9519C">
                  <w:pPr>
                    <w:keepNext w:val="0"/>
                    <w:keepLines w:val="0"/>
                    <w:widowControl/>
                    <w:suppressLineNumbers w:val="0"/>
                    <w:adjustRightInd w:val="0"/>
                    <w:snapToGrid w:val="0"/>
                    <w:spacing w:before="0" w:beforeAutospacing="0" w:after="0" w:afterAutospacing="0" w:line="276" w:lineRule="auto"/>
                    <w:ind w:left="0" w:right="0"/>
                    <w:jc w:val="center"/>
                    <w:rPr>
                      <w:rFonts w:hint="eastAsia" w:ascii="Times New Roman" w:hAnsi="Times New Roman" w:eastAsia="宋体" w:cs="Times New Roman"/>
                      <w:strike w:val="0"/>
                      <w:dstrike w:val="0"/>
                      <w:color w:val="auto"/>
                      <w:kern w:val="2"/>
                      <w:sz w:val="18"/>
                      <w:szCs w:val="18"/>
                      <w:highlight w:val="none"/>
                      <w:lang w:val="en-US" w:eastAsia="zh-CN" w:bidi="ar-SA"/>
                    </w:rPr>
                  </w:pPr>
                  <w:r>
                    <w:rPr>
                      <w:rFonts w:hint="eastAsia" w:ascii="Times New Roman" w:hAnsi="Times New Roman" w:eastAsia="宋体" w:cs="Times New Roman"/>
                      <w:strike w:val="0"/>
                      <w:dstrike w:val="0"/>
                      <w:color w:val="auto"/>
                      <w:sz w:val="18"/>
                      <w:szCs w:val="18"/>
                      <w:highlight w:val="none"/>
                      <w:lang w:val="en-US" w:eastAsia="zh-CN"/>
                    </w:rPr>
                    <w:t>居住区</w:t>
                  </w:r>
                </w:p>
              </w:tc>
              <w:tc>
                <w:tcPr>
                  <w:tcW w:w="490" w:type="pct"/>
                  <w:tcBorders>
                    <w:top w:val="single" w:color="auto" w:sz="4" w:space="0"/>
                    <w:left w:val="single" w:color="auto" w:sz="4" w:space="0"/>
                    <w:bottom w:val="single" w:color="auto" w:sz="4" w:space="0"/>
                    <w:right w:val="single" w:color="auto" w:sz="4" w:space="0"/>
                  </w:tcBorders>
                  <w:noWrap w:val="0"/>
                  <w:vAlign w:val="center"/>
                </w:tcPr>
                <w:p w14:paraId="6E00BF70">
                  <w:pPr>
                    <w:keepNext w:val="0"/>
                    <w:keepLines w:val="0"/>
                    <w:widowControl/>
                    <w:suppressLineNumbers w:val="0"/>
                    <w:adjustRightInd w:val="0"/>
                    <w:snapToGrid w:val="0"/>
                    <w:spacing w:before="0" w:beforeAutospacing="0" w:after="0" w:afterAutospacing="0" w:line="276" w:lineRule="auto"/>
                    <w:ind w:left="0" w:right="0"/>
                    <w:jc w:val="center"/>
                    <w:rPr>
                      <w:rFonts w:hint="eastAsia" w:ascii="Times New Roman" w:hAnsi="Times New Roman" w:eastAsia="宋体" w:cs="Times New Roman"/>
                      <w:strike w:val="0"/>
                      <w:dstrike w:val="0"/>
                      <w:color w:val="auto"/>
                      <w:kern w:val="2"/>
                      <w:sz w:val="18"/>
                      <w:szCs w:val="18"/>
                      <w:highlight w:val="none"/>
                      <w:lang w:val="en-US" w:eastAsia="zh-CN" w:bidi="ar-SA"/>
                    </w:rPr>
                  </w:pPr>
                  <w:r>
                    <w:rPr>
                      <w:rFonts w:hint="eastAsia" w:ascii="Times New Roman" w:hAnsi="Times New Roman" w:eastAsia="宋体" w:cs="Times New Roman"/>
                      <w:strike w:val="0"/>
                      <w:dstrike w:val="0"/>
                      <w:color w:val="auto"/>
                      <w:sz w:val="18"/>
                      <w:szCs w:val="18"/>
                      <w:highlight w:val="none"/>
                      <w:lang w:val="en-US" w:eastAsia="zh-CN"/>
                    </w:rPr>
                    <w:t>居民</w:t>
                  </w:r>
                </w:p>
              </w:tc>
              <w:tc>
                <w:tcPr>
                  <w:tcW w:w="499" w:type="pct"/>
                  <w:tcBorders>
                    <w:top w:val="single" w:color="auto" w:sz="4" w:space="0"/>
                    <w:left w:val="single" w:color="auto" w:sz="4" w:space="0"/>
                    <w:bottom w:val="single" w:color="auto" w:sz="4" w:space="0"/>
                    <w:right w:val="single" w:color="auto" w:sz="4" w:space="0"/>
                  </w:tcBorders>
                  <w:noWrap w:val="0"/>
                  <w:vAlign w:val="center"/>
                </w:tcPr>
                <w:p w14:paraId="7AFCE2FD">
                  <w:pPr>
                    <w:keepNext w:val="0"/>
                    <w:keepLines w:val="0"/>
                    <w:widowControl/>
                    <w:suppressLineNumbers w:val="0"/>
                    <w:adjustRightInd w:val="0"/>
                    <w:snapToGrid w:val="0"/>
                    <w:spacing w:before="0" w:beforeAutospacing="0" w:after="0" w:afterAutospacing="0" w:line="276" w:lineRule="auto"/>
                    <w:ind w:left="0" w:right="0"/>
                    <w:jc w:val="center"/>
                    <w:rPr>
                      <w:rFonts w:hint="eastAsia" w:ascii="Times New Roman" w:hAnsi="Times New Roman" w:eastAsia="宋体" w:cs="Times New Roman"/>
                      <w:strike w:val="0"/>
                      <w:dstrike w:val="0"/>
                      <w:color w:val="auto"/>
                      <w:kern w:val="2"/>
                      <w:sz w:val="18"/>
                      <w:szCs w:val="18"/>
                      <w:highlight w:val="none"/>
                      <w:lang w:val="en-US" w:eastAsia="zh-CN" w:bidi="ar-SA"/>
                    </w:rPr>
                  </w:pPr>
                  <w:r>
                    <w:rPr>
                      <w:rFonts w:hint="eastAsia" w:ascii="Times New Roman" w:hAnsi="Times New Roman" w:eastAsia="宋体" w:cs="Times New Roman"/>
                      <w:strike w:val="0"/>
                      <w:dstrike w:val="0"/>
                      <w:color w:val="auto"/>
                      <w:sz w:val="18"/>
                      <w:szCs w:val="18"/>
                      <w:highlight w:val="none"/>
                      <w:lang w:val="en-US" w:eastAsia="zh-CN"/>
                    </w:rPr>
                    <w:t>二类</w:t>
                  </w:r>
                </w:p>
              </w:tc>
              <w:tc>
                <w:tcPr>
                  <w:tcW w:w="453" w:type="pct"/>
                  <w:tcBorders>
                    <w:top w:val="single" w:color="auto" w:sz="4" w:space="0"/>
                    <w:left w:val="single" w:color="auto" w:sz="4" w:space="0"/>
                    <w:bottom w:val="single" w:color="auto" w:sz="4" w:space="0"/>
                    <w:right w:val="single" w:color="auto" w:sz="4" w:space="0"/>
                  </w:tcBorders>
                  <w:shd w:val="clear" w:color="auto" w:fill="auto"/>
                  <w:noWrap w:val="0"/>
                  <w:vAlign w:val="center"/>
                </w:tcPr>
                <w:p w14:paraId="1D64AFFB">
                  <w:pPr>
                    <w:keepNext w:val="0"/>
                    <w:keepLines w:val="0"/>
                    <w:widowControl/>
                    <w:suppressLineNumbers w:val="0"/>
                    <w:adjustRightInd w:val="0"/>
                    <w:snapToGrid w:val="0"/>
                    <w:spacing w:before="0" w:beforeAutospacing="0" w:after="0" w:afterAutospacing="0" w:line="276" w:lineRule="auto"/>
                    <w:ind w:left="0" w:right="0"/>
                    <w:jc w:val="center"/>
                    <w:rPr>
                      <w:rFonts w:hint="default" w:ascii="Times New Roman" w:hAnsi="Times New Roman" w:eastAsia="宋体" w:cs="Times New Roman"/>
                      <w:strike w:val="0"/>
                      <w:dstrike w:val="0"/>
                      <w:color w:val="auto"/>
                      <w:sz w:val="18"/>
                      <w:szCs w:val="18"/>
                      <w:highlight w:val="none"/>
                      <w:lang w:val="en-US" w:eastAsia="zh-CN"/>
                    </w:rPr>
                  </w:pPr>
                  <w:r>
                    <w:rPr>
                      <w:rFonts w:hint="eastAsia" w:ascii="Times New Roman" w:hAnsi="Times New Roman" w:eastAsia="宋体" w:cs="Times New Roman"/>
                      <w:strike w:val="0"/>
                      <w:dstrike w:val="0"/>
                      <w:color w:val="auto"/>
                      <w:sz w:val="18"/>
                      <w:szCs w:val="18"/>
                      <w:highlight w:val="none"/>
                      <w:lang w:val="en-US" w:eastAsia="zh-CN"/>
                    </w:rPr>
                    <w:t>东南</w:t>
                  </w:r>
                </w:p>
              </w:tc>
              <w:tc>
                <w:tcPr>
                  <w:tcW w:w="551" w:type="pct"/>
                  <w:tcBorders>
                    <w:top w:val="single" w:color="auto" w:sz="4" w:space="0"/>
                    <w:left w:val="single" w:color="auto" w:sz="4" w:space="0"/>
                    <w:bottom w:val="single" w:color="auto" w:sz="4" w:space="0"/>
                    <w:right w:val="single" w:color="auto" w:sz="4" w:space="0"/>
                  </w:tcBorders>
                  <w:shd w:val="clear" w:color="auto" w:fill="auto"/>
                  <w:noWrap w:val="0"/>
                  <w:vAlign w:val="center"/>
                </w:tcPr>
                <w:p w14:paraId="1A4914A3">
                  <w:pPr>
                    <w:keepNext w:val="0"/>
                    <w:keepLines w:val="0"/>
                    <w:widowControl/>
                    <w:suppressLineNumbers w:val="0"/>
                    <w:adjustRightInd w:val="0"/>
                    <w:snapToGrid w:val="0"/>
                    <w:spacing w:before="0" w:beforeAutospacing="0" w:after="0" w:afterAutospacing="0" w:line="276" w:lineRule="auto"/>
                    <w:ind w:left="0" w:right="0"/>
                    <w:jc w:val="center"/>
                    <w:rPr>
                      <w:rFonts w:hint="default" w:ascii="Times New Roman" w:hAnsi="Times New Roman" w:eastAsia="宋体" w:cs="Times New Roman"/>
                      <w:strike w:val="0"/>
                      <w:dstrike w:val="0"/>
                      <w:color w:val="auto"/>
                      <w:sz w:val="18"/>
                      <w:szCs w:val="18"/>
                      <w:highlight w:val="none"/>
                      <w:lang w:val="en-US" w:eastAsia="zh-CN"/>
                    </w:rPr>
                  </w:pPr>
                  <w:r>
                    <w:rPr>
                      <w:rFonts w:hint="eastAsia" w:ascii="Times New Roman" w:hAnsi="Times New Roman" w:eastAsia="宋体" w:cs="Times New Roman"/>
                      <w:strike w:val="0"/>
                      <w:dstrike w:val="0"/>
                      <w:color w:val="auto"/>
                      <w:sz w:val="18"/>
                      <w:szCs w:val="18"/>
                      <w:highlight w:val="none"/>
                      <w:lang w:val="en-US" w:eastAsia="zh-CN"/>
                    </w:rPr>
                    <w:t>2700</w:t>
                  </w:r>
                </w:p>
              </w:tc>
            </w:tr>
          </w:tbl>
          <w:p w14:paraId="40135E90">
            <w:pPr>
              <w:pStyle w:val="134"/>
              <w:keepNext w:val="0"/>
              <w:keepLines w:val="0"/>
              <w:pageBreakBefore w:val="0"/>
              <w:widowControl w:val="0"/>
              <w:numPr>
                <w:ilvl w:val="0"/>
                <w:numId w:val="0"/>
              </w:numPr>
              <w:suppressLineNumbers w:val="0"/>
              <w:kinsoku/>
              <w:wordWrap/>
              <w:overflowPunct/>
              <w:topLinePunct w:val="0"/>
              <w:autoSpaceDE/>
              <w:autoSpaceDN/>
              <w:bidi w:val="0"/>
              <w:adjustRightInd/>
              <w:snapToGrid/>
              <w:spacing w:beforeAutospacing="0" w:after="0" w:afterAutospacing="0" w:line="360" w:lineRule="auto"/>
              <w:ind w:left="0" w:right="0"/>
              <w:textAlignment w:val="auto"/>
              <w:rPr>
                <w:rFonts w:hint="eastAsia" w:ascii="Times New Roman" w:hAnsi="Times New Roman" w:eastAsia="宋体" w:cs="宋体"/>
                <w:b/>
                <w:bCs/>
                <w:strike w:val="0"/>
                <w:dstrike w:val="0"/>
                <w:color w:val="auto"/>
                <w:kern w:val="2"/>
                <w:sz w:val="24"/>
                <w:szCs w:val="24"/>
                <w:highlight w:val="none"/>
                <w:lang w:val="en-US" w:eastAsia="zh-CN" w:bidi="ar"/>
              </w:rPr>
            </w:pPr>
            <w:r>
              <w:rPr>
                <w:rFonts w:hint="eastAsia" w:ascii="Times New Roman" w:hAnsi="Times New Roman" w:eastAsia="宋体" w:cs="宋体"/>
                <w:b/>
                <w:bCs/>
                <w:strike w:val="0"/>
                <w:dstrike w:val="0"/>
                <w:color w:val="auto"/>
                <w:kern w:val="2"/>
                <w:sz w:val="24"/>
                <w:szCs w:val="24"/>
                <w:highlight w:val="none"/>
                <w:lang w:val="en-US" w:eastAsia="zh-CN" w:bidi="ar"/>
              </w:rPr>
              <w:drawing>
                <wp:inline distT="0" distB="0" distL="114300" distR="114300">
                  <wp:extent cx="5198110" cy="4392930"/>
                  <wp:effectExtent l="0" t="0" r="2540" b="7620"/>
                  <wp:docPr id="11" name="图片 11" descr="b043c284108be72a4add6f28c12c14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 name="图片 11" descr="b043c284108be72a4add6f28c12c144"/>
                          <pic:cNvPicPr>
                            <a:picLocks noChangeAspect="1"/>
                          </pic:cNvPicPr>
                        </pic:nvPicPr>
                        <pic:blipFill>
                          <a:blip r:embed="rId46"/>
                          <a:stretch>
                            <a:fillRect/>
                          </a:stretch>
                        </pic:blipFill>
                        <pic:spPr>
                          <a:xfrm>
                            <a:off x="0" y="0"/>
                            <a:ext cx="5198110" cy="4392930"/>
                          </a:xfrm>
                          <a:prstGeom prst="rect">
                            <a:avLst/>
                          </a:prstGeom>
                        </pic:spPr>
                      </pic:pic>
                    </a:graphicData>
                  </a:graphic>
                </wp:inline>
              </w:drawing>
            </w:r>
          </w:p>
          <w:p w14:paraId="2A51AFEE">
            <w:pPr>
              <w:pStyle w:val="134"/>
              <w:keepNext w:val="0"/>
              <w:keepLines w:val="0"/>
              <w:pageBreakBefore w:val="0"/>
              <w:widowControl w:val="0"/>
              <w:numPr>
                <w:ilvl w:val="0"/>
                <w:numId w:val="0"/>
              </w:numPr>
              <w:suppressLineNumbers w:val="0"/>
              <w:kinsoku/>
              <w:wordWrap/>
              <w:overflowPunct/>
              <w:topLinePunct w:val="0"/>
              <w:autoSpaceDE/>
              <w:autoSpaceDN/>
              <w:bidi w:val="0"/>
              <w:adjustRightInd/>
              <w:snapToGrid/>
              <w:spacing w:beforeAutospacing="0" w:after="0" w:afterAutospacing="0" w:line="360" w:lineRule="auto"/>
              <w:ind w:left="0" w:right="0" w:firstLine="482" w:firstLineChars="200"/>
              <w:jc w:val="center"/>
              <w:textAlignment w:val="auto"/>
              <w:rPr>
                <w:rFonts w:hint="eastAsia" w:ascii="Times New Roman" w:hAnsi="Times New Roman" w:eastAsia="宋体" w:cs="宋体"/>
                <w:b/>
                <w:bCs/>
                <w:strike w:val="0"/>
                <w:dstrike w:val="0"/>
                <w:color w:val="auto"/>
                <w:kern w:val="2"/>
                <w:sz w:val="24"/>
                <w:szCs w:val="24"/>
                <w:highlight w:val="none"/>
                <w:lang w:val="en-US" w:eastAsia="zh-CN" w:bidi="ar"/>
              </w:rPr>
            </w:pPr>
            <w:r>
              <w:rPr>
                <w:rFonts w:hint="eastAsia" w:ascii="Times New Roman" w:hAnsi="Times New Roman" w:eastAsia="宋体" w:cs="Times New Roman"/>
                <w:b/>
                <w:strike w:val="0"/>
                <w:dstrike w:val="0"/>
                <w:snapToGrid w:val="0"/>
                <w:color w:val="auto"/>
                <w:kern w:val="0"/>
                <w:sz w:val="24"/>
                <w:szCs w:val="24"/>
                <w:highlight w:val="none"/>
                <w:lang w:val="en-US" w:eastAsia="zh-CN" w:bidi="ar-SA"/>
              </w:rPr>
              <w:t>图7-1 项目周边主要环境保护目标分布图—2.5km范围</w:t>
            </w:r>
          </w:p>
          <w:p w14:paraId="6443407F">
            <w:pPr>
              <w:pStyle w:val="134"/>
              <w:keepNext w:val="0"/>
              <w:keepLines w:val="0"/>
              <w:pageBreakBefore w:val="0"/>
              <w:widowControl w:val="0"/>
              <w:numPr>
                <w:ilvl w:val="0"/>
                <w:numId w:val="0"/>
              </w:numPr>
              <w:suppressLineNumbers w:val="0"/>
              <w:kinsoku/>
              <w:wordWrap/>
              <w:overflowPunct/>
              <w:topLinePunct w:val="0"/>
              <w:autoSpaceDE/>
              <w:autoSpaceDN/>
              <w:bidi w:val="0"/>
              <w:adjustRightInd/>
              <w:snapToGrid/>
              <w:spacing w:beforeAutospacing="0" w:after="0" w:afterAutospacing="0" w:line="360" w:lineRule="auto"/>
              <w:ind w:left="0" w:right="0" w:firstLine="482" w:firstLineChars="200"/>
              <w:textAlignment w:val="auto"/>
              <w:rPr>
                <w:rFonts w:hint="default" w:ascii="Times New Roman" w:hAnsi="Times New Roman" w:eastAsia="宋体" w:cs="宋体"/>
                <w:b/>
                <w:bCs/>
                <w:strike w:val="0"/>
                <w:dstrike w:val="0"/>
                <w:color w:val="auto"/>
                <w:kern w:val="2"/>
                <w:sz w:val="24"/>
                <w:szCs w:val="24"/>
                <w:highlight w:val="none"/>
                <w:lang w:val="en-US" w:eastAsia="zh-CN" w:bidi="ar"/>
              </w:rPr>
            </w:pPr>
            <w:r>
              <w:rPr>
                <w:rFonts w:hint="eastAsia" w:ascii="Times New Roman" w:hAnsi="Times New Roman" w:eastAsia="宋体" w:cs="宋体"/>
                <w:b/>
                <w:bCs/>
                <w:strike w:val="0"/>
                <w:dstrike w:val="0"/>
                <w:color w:val="auto"/>
                <w:kern w:val="2"/>
                <w:sz w:val="24"/>
                <w:szCs w:val="24"/>
                <w:highlight w:val="none"/>
                <w:lang w:val="en-US" w:eastAsia="zh-CN" w:bidi="ar"/>
              </w:rPr>
              <w:t>4、环境质量现状调查</w:t>
            </w:r>
          </w:p>
          <w:p w14:paraId="08E45BB7">
            <w:pPr>
              <w:keepNext w:val="0"/>
              <w:keepLines w:val="0"/>
              <w:numPr>
                <w:ilvl w:val="0"/>
                <w:numId w:val="0"/>
              </w:numPr>
              <w:suppressLineNumbers w:val="0"/>
              <w:adjustRightInd w:val="0"/>
              <w:snapToGrid w:val="0"/>
              <w:spacing w:before="0" w:beforeAutospacing="0" w:after="0" w:afterAutospacing="0" w:line="360" w:lineRule="auto"/>
              <w:ind w:left="0" w:right="0" w:firstLine="480" w:firstLineChars="200"/>
              <w:rPr>
                <w:rFonts w:hint="default" w:eastAsia="宋体"/>
                <w:color w:val="auto"/>
                <w:sz w:val="24"/>
                <w:szCs w:val="22"/>
                <w:highlight w:val="none"/>
                <w:lang w:val="en-US" w:eastAsia="zh-CN"/>
              </w:rPr>
            </w:pPr>
            <w:r>
              <w:rPr>
                <w:rFonts w:hint="eastAsia"/>
                <w:color w:val="auto"/>
                <w:sz w:val="24"/>
                <w:szCs w:val="22"/>
                <w:highlight w:val="none"/>
                <w:lang w:val="en-US" w:eastAsia="zh-CN"/>
              </w:rPr>
              <w:t>（1）基本污染物</w:t>
            </w:r>
          </w:p>
          <w:p w14:paraId="33DD8F66">
            <w:pPr>
              <w:keepNext w:val="0"/>
              <w:keepLines w:val="0"/>
              <w:suppressLineNumbers w:val="0"/>
              <w:adjustRightInd w:val="0"/>
              <w:snapToGrid w:val="0"/>
              <w:spacing w:before="0" w:beforeAutospacing="0" w:after="0" w:afterAutospacing="0" w:line="360" w:lineRule="auto"/>
              <w:ind w:left="0" w:right="0" w:firstLine="480" w:firstLineChars="200"/>
              <w:jc w:val="left"/>
              <w:rPr>
                <w:rFonts w:hint="eastAsia"/>
                <w:b/>
                <w:color w:val="auto"/>
                <w:kern w:val="0"/>
                <w:sz w:val="24"/>
                <w:highlight w:val="none"/>
              </w:rPr>
            </w:pPr>
            <w:r>
              <w:rPr>
                <w:rFonts w:hint="eastAsia" w:ascii="Times New Roman" w:hAnsi="Times New Roman" w:cs="Times New Roman"/>
                <w:b w:val="0"/>
                <w:bCs w:val="0"/>
                <w:color w:val="auto"/>
                <w:sz w:val="24"/>
                <w:szCs w:val="24"/>
                <w:highlight w:val="none"/>
                <w:lang w:val="en-US" w:eastAsia="zh-CN"/>
              </w:rPr>
              <w:t>本专题</w:t>
            </w:r>
            <w:r>
              <w:rPr>
                <w:rFonts w:hint="eastAsia" w:ascii="Times New Roman" w:hAnsi="Times New Roman" w:eastAsia="宋体" w:cs="宋体"/>
                <w:b w:val="0"/>
                <w:bCs w:val="0"/>
                <w:strike w:val="0"/>
                <w:dstrike w:val="0"/>
                <w:color w:val="auto"/>
                <w:kern w:val="2"/>
                <w:sz w:val="24"/>
                <w:szCs w:val="24"/>
                <w:highlight w:val="none"/>
                <w:lang w:val="en-US" w:eastAsia="zh-CN" w:bidi="ar"/>
              </w:rPr>
              <w:t>环境质量现状调查</w:t>
            </w:r>
            <w:r>
              <w:rPr>
                <w:rFonts w:hint="eastAsia" w:ascii="Times New Roman" w:hAnsi="Times New Roman" w:cs="Times New Roman"/>
                <w:b w:val="0"/>
                <w:bCs w:val="0"/>
                <w:color w:val="auto"/>
                <w:sz w:val="24"/>
                <w:szCs w:val="24"/>
                <w:highlight w:val="none"/>
                <w:lang w:val="en-US" w:eastAsia="zh-CN"/>
              </w:rPr>
              <w:t>详见</w:t>
            </w:r>
            <w:r>
              <w:rPr>
                <w:rFonts w:hint="default" w:ascii="Times New Roman" w:hAnsi="Times New Roman" w:cs="Times New Roman"/>
                <w:b w:val="0"/>
                <w:bCs w:val="0"/>
                <w:color w:val="auto"/>
                <w:sz w:val="24"/>
                <w:szCs w:val="24"/>
                <w:highlight w:val="none"/>
              </w:rPr>
              <w:t>正文</w:t>
            </w:r>
            <w:r>
              <w:rPr>
                <w:rFonts w:hint="eastAsia" w:ascii="Times New Roman" w:hAnsi="Times New Roman" w:cs="Times New Roman"/>
                <w:b w:val="0"/>
                <w:bCs w:val="0"/>
                <w:color w:val="auto"/>
                <w:sz w:val="24"/>
                <w:szCs w:val="24"/>
                <w:highlight w:val="none"/>
                <w:lang w:eastAsia="zh-CN"/>
              </w:rPr>
              <w:t>“</w:t>
            </w:r>
            <w:r>
              <w:rPr>
                <w:rFonts w:hint="default" w:ascii="Times New Roman" w:hAnsi="Times New Roman" w:cs="Times New Roman"/>
                <w:b w:val="0"/>
                <w:bCs w:val="0"/>
                <w:color w:val="auto"/>
                <w:sz w:val="24"/>
                <w:szCs w:val="24"/>
                <w:highlight w:val="none"/>
              </w:rPr>
              <w:t>第三章</w:t>
            </w:r>
            <w:r>
              <w:rPr>
                <w:rFonts w:hint="eastAsia" w:ascii="Times New Roman" w:hAnsi="Times New Roman" w:cs="Times New Roman"/>
                <w:b w:val="0"/>
                <w:bCs w:val="0"/>
                <w:color w:val="auto"/>
                <w:sz w:val="24"/>
                <w:szCs w:val="24"/>
                <w:highlight w:val="none"/>
                <w:lang w:eastAsia="zh-CN"/>
              </w:rPr>
              <w:t>”</w:t>
            </w:r>
            <w:r>
              <w:rPr>
                <w:rFonts w:hint="default" w:ascii="Times New Roman" w:hAnsi="Times New Roman" w:cs="Times New Roman"/>
                <w:b w:val="0"/>
                <w:bCs w:val="0"/>
                <w:color w:val="auto"/>
                <w:sz w:val="24"/>
                <w:szCs w:val="24"/>
                <w:highlight w:val="none"/>
              </w:rPr>
              <w:t>内容</w:t>
            </w:r>
            <w:r>
              <w:rPr>
                <w:rFonts w:hint="eastAsia" w:ascii="Times New Roman" w:hAnsi="Times New Roman" w:cs="Times New Roman"/>
                <w:b w:val="0"/>
                <w:bCs w:val="0"/>
                <w:color w:val="auto"/>
                <w:sz w:val="24"/>
                <w:szCs w:val="24"/>
                <w:highlight w:val="none"/>
                <w:lang w:eastAsia="zh-CN"/>
              </w:rPr>
              <w:t>，</w:t>
            </w:r>
            <w:r>
              <w:rPr>
                <w:rFonts w:hint="eastAsia" w:ascii="Times New Roman" w:hAnsi="Times New Roman" w:cs="Times New Roman"/>
                <w:b w:val="0"/>
                <w:bCs w:val="0"/>
                <w:color w:val="auto"/>
                <w:sz w:val="24"/>
                <w:szCs w:val="24"/>
                <w:highlight w:val="none"/>
                <w:lang w:val="en-US" w:eastAsia="zh-CN"/>
              </w:rPr>
              <w:t>此处不作赘述。</w:t>
            </w:r>
          </w:p>
          <w:p w14:paraId="4894B234">
            <w:pPr>
              <w:pStyle w:val="134"/>
              <w:keepNext w:val="0"/>
              <w:keepLines w:val="0"/>
              <w:pageBreakBefore w:val="0"/>
              <w:widowControl w:val="0"/>
              <w:numPr>
                <w:ilvl w:val="0"/>
                <w:numId w:val="10"/>
              </w:numPr>
              <w:suppressLineNumbers w:val="0"/>
              <w:kinsoku/>
              <w:wordWrap/>
              <w:overflowPunct/>
              <w:topLinePunct w:val="0"/>
              <w:autoSpaceDE/>
              <w:autoSpaceDN/>
              <w:bidi w:val="0"/>
              <w:adjustRightInd/>
              <w:snapToGrid/>
              <w:spacing w:beforeAutospacing="0" w:after="0" w:afterAutospacing="0" w:line="360" w:lineRule="auto"/>
              <w:ind w:left="0" w:right="0" w:firstLine="480" w:firstLineChars="200"/>
              <w:textAlignment w:val="auto"/>
              <w:rPr>
                <w:rFonts w:hint="default" w:ascii="Times New Roman" w:hAnsi="Times New Roman" w:eastAsia="宋体" w:cs="宋体"/>
                <w:b w:val="0"/>
                <w:strike w:val="0"/>
                <w:dstrike w:val="0"/>
                <w:color w:val="auto"/>
                <w:kern w:val="2"/>
                <w:sz w:val="24"/>
                <w:szCs w:val="24"/>
                <w:highlight w:val="none"/>
                <w:lang w:val="en-US" w:eastAsia="zh-CN" w:bidi="ar"/>
              </w:rPr>
            </w:pPr>
            <w:r>
              <w:rPr>
                <w:rFonts w:hint="eastAsia" w:ascii="Times New Roman" w:hAnsi="Times New Roman" w:eastAsia="宋体" w:cs="宋体"/>
                <w:b w:val="0"/>
                <w:strike w:val="0"/>
                <w:dstrike w:val="0"/>
                <w:color w:val="auto"/>
                <w:kern w:val="2"/>
                <w:sz w:val="24"/>
                <w:szCs w:val="24"/>
                <w:highlight w:val="none"/>
                <w:lang w:val="en-US" w:eastAsia="zh-CN" w:bidi="ar"/>
              </w:rPr>
              <w:t>其他污染物</w:t>
            </w:r>
          </w:p>
          <w:p w14:paraId="14BA41F3">
            <w:pPr>
              <w:pStyle w:val="134"/>
              <w:keepNext w:val="0"/>
              <w:keepLines w:val="0"/>
              <w:pageBreakBefore w:val="0"/>
              <w:widowControl w:val="0"/>
              <w:suppressLineNumbers w:val="0"/>
              <w:kinsoku/>
              <w:wordWrap/>
              <w:overflowPunct/>
              <w:topLinePunct w:val="0"/>
              <w:autoSpaceDE/>
              <w:autoSpaceDN/>
              <w:bidi w:val="0"/>
              <w:adjustRightInd/>
              <w:snapToGrid/>
              <w:spacing w:beforeAutospacing="0" w:after="0" w:afterAutospacing="0" w:line="360" w:lineRule="auto"/>
              <w:ind w:left="0" w:right="0" w:firstLine="480" w:firstLineChars="200"/>
              <w:textAlignment w:val="auto"/>
              <w:rPr>
                <w:rFonts w:hint="default" w:ascii="Times New Roman" w:hAnsi="Times New Roman" w:eastAsia="宋体" w:cs="宋体"/>
                <w:b w:val="0"/>
                <w:strike w:val="0"/>
                <w:dstrike w:val="0"/>
                <w:color w:val="auto"/>
                <w:kern w:val="2"/>
                <w:sz w:val="24"/>
                <w:szCs w:val="24"/>
                <w:highlight w:val="none"/>
                <w:lang w:val="en-US" w:eastAsia="zh-CN" w:bidi="ar"/>
              </w:rPr>
            </w:pPr>
            <w:r>
              <w:rPr>
                <w:rFonts w:hint="eastAsia" w:ascii="Times New Roman" w:hAnsi="Times New Roman" w:eastAsia="宋体" w:cs="宋体"/>
                <w:b w:val="0"/>
                <w:strike w:val="0"/>
                <w:dstrike w:val="0"/>
                <w:color w:val="auto"/>
                <w:kern w:val="2"/>
                <w:sz w:val="24"/>
                <w:szCs w:val="24"/>
                <w:highlight w:val="none"/>
                <w:lang w:val="en-US" w:eastAsia="zh-CN" w:bidi="ar"/>
              </w:rPr>
              <w:t>为了解其他污染物空气环境质量状况，本环评引用</w:t>
            </w:r>
            <w:r>
              <w:rPr>
                <w:rFonts w:hint="eastAsia" w:ascii="Times New Roman" w:hAnsi="Times New Roman" w:eastAsia="宋体" w:cs="宋体"/>
                <w:b w:val="0"/>
                <w:strike w:val="0"/>
                <w:dstrike w:val="0"/>
                <w:color w:val="FF0000"/>
                <w:kern w:val="2"/>
                <w:sz w:val="24"/>
                <w:szCs w:val="24"/>
                <w:highlight w:val="none"/>
                <w:lang w:val="en-US" w:eastAsia="zh-CN" w:bidi="ar"/>
              </w:rPr>
              <w:t>**公司</w:t>
            </w:r>
            <w:r>
              <w:rPr>
                <w:rFonts w:hint="eastAsia" w:ascii="Times New Roman" w:hAnsi="Times New Roman" w:eastAsia="宋体" w:cs="宋体"/>
                <w:b w:val="0"/>
                <w:strike w:val="0"/>
                <w:dstrike w:val="0"/>
                <w:color w:val="auto"/>
                <w:kern w:val="2"/>
                <w:sz w:val="24"/>
                <w:szCs w:val="24"/>
                <w:highlight w:val="none"/>
                <w:lang w:val="en-US" w:eastAsia="zh-CN" w:bidi="ar"/>
              </w:rPr>
              <w:t>对硫化氢的补充监测数据，监测信息及结果评价说明如下，本环评涉及的其他污染物为硫化氢：</w:t>
            </w:r>
          </w:p>
          <w:p w14:paraId="77EF9A51">
            <w:pPr>
              <w:pStyle w:val="134"/>
              <w:keepNext w:val="0"/>
              <w:keepLines w:val="0"/>
              <w:pageBreakBefore w:val="0"/>
              <w:widowControl w:val="0"/>
              <w:suppressLineNumbers w:val="0"/>
              <w:kinsoku/>
              <w:wordWrap/>
              <w:overflowPunct/>
              <w:topLinePunct w:val="0"/>
              <w:autoSpaceDE/>
              <w:autoSpaceDN/>
              <w:bidi w:val="0"/>
              <w:adjustRightInd/>
              <w:snapToGrid/>
              <w:spacing w:beforeAutospacing="0" w:after="0" w:afterAutospacing="0" w:line="360" w:lineRule="auto"/>
              <w:ind w:left="0" w:right="0" w:firstLine="480" w:firstLineChars="200"/>
              <w:textAlignment w:val="auto"/>
              <w:rPr>
                <w:rFonts w:hint="eastAsia" w:ascii="Times New Roman" w:hAnsi="Times New Roman" w:eastAsia="宋体" w:cs="宋体"/>
                <w:b w:val="0"/>
                <w:strike w:val="0"/>
                <w:dstrike w:val="0"/>
                <w:color w:val="auto"/>
                <w:kern w:val="2"/>
                <w:sz w:val="24"/>
                <w:szCs w:val="24"/>
                <w:highlight w:val="none"/>
                <w:lang w:val="en-US" w:eastAsia="zh-CN" w:bidi="ar"/>
              </w:rPr>
            </w:pPr>
            <w:r>
              <w:rPr>
                <w:rFonts w:hint="eastAsia" w:ascii="Times New Roman" w:hAnsi="Times New Roman" w:eastAsia="宋体" w:cs="宋体"/>
                <w:b w:val="0"/>
                <w:strike w:val="0"/>
                <w:dstrike w:val="0"/>
                <w:color w:val="auto"/>
                <w:kern w:val="2"/>
                <w:sz w:val="24"/>
                <w:szCs w:val="24"/>
                <w:highlight w:val="none"/>
                <w:lang w:val="en-US" w:eastAsia="zh-CN" w:bidi="ar"/>
              </w:rPr>
              <w:t>监测点位：1个，具体位置见图7-3。</w:t>
            </w:r>
          </w:p>
          <w:p w14:paraId="5FE4B12D">
            <w:pPr>
              <w:pStyle w:val="134"/>
              <w:keepNext w:val="0"/>
              <w:keepLines w:val="0"/>
              <w:pageBreakBefore w:val="0"/>
              <w:widowControl w:val="0"/>
              <w:suppressLineNumbers w:val="0"/>
              <w:kinsoku/>
              <w:wordWrap/>
              <w:overflowPunct/>
              <w:topLinePunct w:val="0"/>
              <w:autoSpaceDE/>
              <w:autoSpaceDN/>
              <w:bidi w:val="0"/>
              <w:adjustRightInd/>
              <w:snapToGrid/>
              <w:spacing w:beforeAutospacing="0" w:after="0" w:afterAutospacing="0" w:line="360" w:lineRule="auto"/>
              <w:ind w:left="0" w:right="0" w:firstLine="480" w:firstLineChars="200"/>
              <w:textAlignment w:val="auto"/>
              <w:rPr>
                <w:rFonts w:hint="eastAsia" w:ascii="Times New Roman" w:hAnsi="Times New Roman" w:eastAsia="宋体" w:cs="宋体"/>
                <w:b w:val="0"/>
                <w:strike w:val="0"/>
                <w:dstrike w:val="0"/>
                <w:color w:val="0000FF"/>
                <w:kern w:val="2"/>
                <w:sz w:val="24"/>
                <w:szCs w:val="24"/>
                <w:highlight w:val="none"/>
                <w:lang w:val="en-US" w:eastAsia="zh-CN" w:bidi="ar"/>
              </w:rPr>
            </w:pPr>
            <w:r>
              <w:rPr>
                <w:rFonts w:hint="eastAsia" w:ascii="Times New Roman" w:hAnsi="Times New Roman" w:eastAsia="宋体" w:cs="宋体"/>
                <w:b w:val="0"/>
                <w:strike w:val="0"/>
                <w:dstrike w:val="0"/>
                <w:color w:val="0000FF"/>
                <w:kern w:val="2"/>
                <w:sz w:val="24"/>
                <w:szCs w:val="24"/>
                <w:highlight w:val="none"/>
                <w:lang w:val="en-US" w:eastAsia="zh-CN" w:bidi="ar"/>
              </w:rPr>
              <w:t>监测时间及频次：2025.1.1~2025.1.8，</w:t>
            </w:r>
            <w:r>
              <w:rPr>
                <w:rFonts w:hint="eastAsia" w:ascii="Times New Roman" w:hAnsi="Times New Roman" w:eastAsia="宋体" w:cs="宋体"/>
                <w:b w:val="0"/>
                <w:strike w:val="0"/>
                <w:dstrike w:val="0"/>
                <w:color w:val="auto"/>
                <w:kern w:val="2"/>
                <w:sz w:val="24"/>
                <w:szCs w:val="24"/>
                <w:highlight w:val="none"/>
                <w:lang w:val="en-US" w:eastAsia="zh-CN" w:bidi="ar"/>
              </w:rPr>
              <w:t>连续监测7天，每天1次连续24小时采样或每天监测4次。</w:t>
            </w:r>
          </w:p>
          <w:p w14:paraId="275EE85A">
            <w:pPr>
              <w:pStyle w:val="134"/>
              <w:keepNext w:val="0"/>
              <w:keepLines w:val="0"/>
              <w:pageBreakBefore w:val="0"/>
              <w:widowControl w:val="0"/>
              <w:suppressLineNumbers w:val="0"/>
              <w:kinsoku/>
              <w:wordWrap/>
              <w:overflowPunct/>
              <w:topLinePunct w:val="0"/>
              <w:autoSpaceDE/>
              <w:autoSpaceDN/>
              <w:bidi w:val="0"/>
              <w:adjustRightInd/>
              <w:snapToGrid/>
              <w:spacing w:beforeAutospacing="0" w:after="0" w:afterAutospacing="0" w:line="360" w:lineRule="auto"/>
              <w:ind w:left="0" w:right="0" w:firstLine="480" w:firstLineChars="200"/>
              <w:textAlignment w:val="auto"/>
              <w:rPr>
                <w:rFonts w:hint="eastAsia" w:ascii="Times New Roman" w:hAnsi="Times New Roman" w:eastAsia="宋体" w:cs="宋体"/>
                <w:b w:val="0"/>
                <w:strike w:val="0"/>
                <w:dstrike w:val="0"/>
                <w:color w:val="auto"/>
                <w:kern w:val="2"/>
                <w:sz w:val="24"/>
                <w:szCs w:val="24"/>
                <w:highlight w:val="none"/>
                <w:lang w:val="en-US" w:eastAsia="zh-CN" w:bidi="ar"/>
              </w:rPr>
            </w:pPr>
            <w:r>
              <w:rPr>
                <w:rFonts w:hint="eastAsia" w:ascii="Times New Roman" w:hAnsi="Times New Roman" w:eastAsia="宋体" w:cs="宋体"/>
                <w:b w:val="0"/>
                <w:strike w:val="0"/>
                <w:dstrike w:val="0"/>
                <w:color w:val="auto"/>
                <w:kern w:val="2"/>
                <w:sz w:val="24"/>
                <w:szCs w:val="24"/>
                <w:highlight w:val="none"/>
                <w:lang w:val="en-US" w:eastAsia="zh-CN" w:bidi="ar"/>
              </w:rPr>
              <w:t>监测评价因子：硫化氢。</w:t>
            </w:r>
          </w:p>
          <w:p w14:paraId="3F4BBAC9">
            <w:pPr>
              <w:pStyle w:val="134"/>
              <w:keepNext w:val="0"/>
              <w:keepLines w:val="0"/>
              <w:pageBreakBefore w:val="0"/>
              <w:widowControl w:val="0"/>
              <w:suppressLineNumbers w:val="0"/>
              <w:kinsoku/>
              <w:wordWrap/>
              <w:overflowPunct/>
              <w:topLinePunct w:val="0"/>
              <w:autoSpaceDE/>
              <w:autoSpaceDN/>
              <w:bidi w:val="0"/>
              <w:adjustRightInd/>
              <w:snapToGrid/>
              <w:spacing w:beforeAutospacing="0" w:after="0" w:afterAutospacing="0" w:line="360" w:lineRule="auto"/>
              <w:ind w:left="0" w:right="0" w:firstLine="480" w:firstLineChars="200"/>
              <w:textAlignment w:val="auto"/>
              <w:rPr>
                <w:rFonts w:hint="eastAsia" w:ascii="Times New Roman" w:hAnsi="Times New Roman" w:eastAsia="宋体" w:cs="宋体"/>
                <w:b w:val="0"/>
                <w:strike w:val="0"/>
                <w:dstrike w:val="0"/>
                <w:color w:val="auto"/>
                <w:kern w:val="2"/>
                <w:sz w:val="24"/>
                <w:szCs w:val="24"/>
                <w:highlight w:val="none"/>
                <w:lang w:val="en-US" w:eastAsia="zh-CN" w:bidi="ar"/>
              </w:rPr>
            </w:pPr>
            <w:r>
              <w:rPr>
                <w:rFonts w:hint="eastAsia" w:ascii="Times New Roman" w:hAnsi="Times New Roman" w:eastAsia="宋体" w:cs="宋体"/>
                <w:b w:val="0"/>
                <w:strike w:val="0"/>
                <w:dstrike w:val="0"/>
                <w:color w:val="auto"/>
                <w:kern w:val="2"/>
                <w:sz w:val="24"/>
                <w:szCs w:val="24"/>
                <w:highlight w:val="none"/>
                <w:lang w:val="en-US" w:eastAsia="zh-CN" w:bidi="ar"/>
              </w:rPr>
              <w:t>评价标准：硫化氢执行《环境影响评价技术导则 大气环境》（</w:t>
            </w:r>
            <w:r>
              <w:rPr>
                <w:rFonts w:hint="default" w:ascii="Times New Roman" w:hAnsi="Times New Roman" w:eastAsia="宋体" w:cs="宋体"/>
                <w:b w:val="0"/>
                <w:strike w:val="0"/>
                <w:dstrike w:val="0"/>
                <w:color w:val="auto"/>
                <w:kern w:val="2"/>
                <w:sz w:val="24"/>
                <w:szCs w:val="24"/>
                <w:highlight w:val="none"/>
                <w:lang w:val="en-US" w:eastAsia="zh-CN" w:bidi="ar"/>
              </w:rPr>
              <w:t>HJ2.2-2018</w:t>
            </w:r>
            <w:r>
              <w:rPr>
                <w:rFonts w:hint="eastAsia" w:ascii="Times New Roman" w:hAnsi="Times New Roman" w:eastAsia="宋体" w:cs="宋体"/>
                <w:b w:val="0"/>
                <w:strike w:val="0"/>
                <w:dstrike w:val="0"/>
                <w:color w:val="auto"/>
                <w:kern w:val="2"/>
                <w:sz w:val="24"/>
                <w:szCs w:val="24"/>
                <w:highlight w:val="none"/>
                <w:lang w:val="en-US" w:eastAsia="zh-CN" w:bidi="ar"/>
              </w:rPr>
              <w:t>）附录</w:t>
            </w:r>
            <w:r>
              <w:rPr>
                <w:rFonts w:hint="default" w:ascii="Times New Roman" w:hAnsi="Times New Roman" w:eastAsia="宋体" w:cs="宋体"/>
                <w:b w:val="0"/>
                <w:strike w:val="0"/>
                <w:dstrike w:val="0"/>
                <w:color w:val="auto"/>
                <w:kern w:val="2"/>
                <w:sz w:val="24"/>
                <w:szCs w:val="24"/>
                <w:highlight w:val="none"/>
                <w:lang w:val="en-US" w:eastAsia="zh-CN" w:bidi="ar"/>
              </w:rPr>
              <w:t>D</w:t>
            </w:r>
            <w:r>
              <w:rPr>
                <w:rFonts w:hint="eastAsia" w:ascii="Times New Roman" w:hAnsi="Times New Roman" w:eastAsia="宋体" w:cs="宋体"/>
                <w:b w:val="0"/>
                <w:strike w:val="0"/>
                <w:dstrike w:val="0"/>
                <w:color w:val="auto"/>
                <w:kern w:val="2"/>
                <w:sz w:val="24"/>
                <w:szCs w:val="24"/>
                <w:highlight w:val="none"/>
                <w:lang w:val="en-US" w:eastAsia="zh-CN" w:bidi="ar"/>
              </w:rPr>
              <w:t>的对应标准。</w:t>
            </w:r>
          </w:p>
          <w:p w14:paraId="2463B35B">
            <w:pPr>
              <w:pStyle w:val="86"/>
              <w:keepNext w:val="0"/>
              <w:keepLines w:val="0"/>
              <w:suppressLineNumbers w:val="0"/>
              <w:adjustRightInd w:val="0"/>
              <w:snapToGrid w:val="0"/>
              <w:spacing w:before="0" w:beforeAutospacing="0" w:after="0" w:afterAutospacing="0" w:line="360" w:lineRule="auto"/>
              <w:ind w:left="0" w:right="0"/>
              <w:jc w:val="center"/>
              <w:rPr>
                <w:rFonts w:hint="default" w:ascii="Times New Roman" w:hAnsi="Times New Roman" w:eastAsia="宋体"/>
                <w:b/>
                <w:color w:val="0000FF"/>
                <w:kern w:val="2"/>
                <w:highlight w:val="none"/>
                <w:lang w:val="en-US" w:eastAsia="zh-CN"/>
              </w:rPr>
            </w:pPr>
            <w:r>
              <w:rPr>
                <w:rFonts w:hint="default" w:ascii="Times New Roman" w:hAnsi="Times New Roman" w:eastAsia="宋体"/>
                <w:b/>
                <w:color w:val="0000FF"/>
                <w:kern w:val="2"/>
                <w:highlight w:val="none"/>
              </w:rPr>
              <w:t>表</w:t>
            </w:r>
            <w:r>
              <w:rPr>
                <w:rFonts w:hint="eastAsia" w:ascii="Times New Roman" w:hAnsi="Times New Roman" w:eastAsia="宋体"/>
                <w:b/>
                <w:color w:val="0000FF"/>
                <w:kern w:val="2"/>
                <w:highlight w:val="none"/>
                <w:lang w:val="en-US" w:eastAsia="zh-CN"/>
              </w:rPr>
              <w:t>7-16</w:t>
            </w:r>
            <w:r>
              <w:rPr>
                <w:rFonts w:hint="default" w:ascii="Times New Roman" w:hAnsi="Times New Roman" w:eastAsia="宋体"/>
                <w:b/>
                <w:color w:val="0000FF"/>
                <w:kern w:val="2"/>
                <w:highlight w:val="none"/>
              </w:rPr>
              <w:t xml:space="preserve">  </w:t>
            </w:r>
            <w:r>
              <w:rPr>
                <w:rFonts w:hint="eastAsia" w:ascii="Times New Roman" w:hAnsi="Times New Roman" w:eastAsia="宋体"/>
                <w:b/>
                <w:color w:val="0000FF"/>
                <w:kern w:val="2"/>
                <w:highlight w:val="none"/>
                <w:lang w:val="en-US" w:eastAsia="zh-CN"/>
              </w:rPr>
              <w:t>其他污染物达标情况</w:t>
            </w:r>
          </w:p>
          <w:tbl>
            <w:tblPr>
              <w:tblStyle w:val="32"/>
              <w:tblW w:w="4997" w:type="pct"/>
              <w:jc w:val="center"/>
              <w:tblLayout w:type="fixed"/>
              <w:tblCellMar>
                <w:top w:w="0" w:type="dxa"/>
                <w:left w:w="28" w:type="dxa"/>
                <w:bottom w:w="0" w:type="dxa"/>
                <w:right w:w="28" w:type="dxa"/>
              </w:tblCellMar>
            </w:tblPr>
            <w:tblGrid>
              <w:gridCol w:w="663"/>
              <w:gridCol w:w="508"/>
              <w:gridCol w:w="664"/>
              <w:gridCol w:w="1394"/>
              <w:gridCol w:w="1707"/>
              <w:gridCol w:w="1578"/>
              <w:gridCol w:w="951"/>
              <w:gridCol w:w="664"/>
              <w:gridCol w:w="62"/>
            </w:tblGrid>
            <w:tr w14:paraId="5D7709CE">
              <w:tblPrEx>
                <w:tblCellMar>
                  <w:top w:w="0" w:type="dxa"/>
                  <w:left w:w="28" w:type="dxa"/>
                  <w:bottom w:w="0" w:type="dxa"/>
                  <w:right w:w="28" w:type="dxa"/>
                </w:tblCellMar>
              </w:tblPrEx>
              <w:trPr>
                <w:trHeight w:val="340" w:hRule="atLeast"/>
                <w:jc w:val="center"/>
              </w:trPr>
              <w:tc>
                <w:tcPr>
                  <w:tcW w:w="406" w:type="pct"/>
                  <w:tcBorders>
                    <w:top w:val="single" w:color="auto" w:sz="4" w:space="0"/>
                    <w:left w:val="single" w:color="auto" w:sz="4" w:space="0"/>
                    <w:bottom w:val="single" w:color="auto" w:sz="4" w:space="0"/>
                    <w:right w:val="single" w:color="auto" w:sz="4" w:space="0"/>
                  </w:tcBorders>
                  <w:noWrap w:val="0"/>
                  <w:tcMar>
                    <w:left w:w="28" w:type="dxa"/>
                    <w:right w:w="28" w:type="dxa"/>
                  </w:tcMar>
                  <w:vAlign w:val="center"/>
                </w:tcPr>
                <w:p w14:paraId="02685544">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300" w:lineRule="auto"/>
                    <w:ind w:left="0" w:right="0"/>
                    <w:jc w:val="center"/>
                    <w:rPr>
                      <w:rFonts w:hint="eastAsia" w:eastAsia="宋体"/>
                      <w:color w:val="0000FF"/>
                      <w:sz w:val="21"/>
                      <w:szCs w:val="21"/>
                      <w:highlight w:val="none"/>
                      <w:lang w:val="en-US" w:eastAsia="zh-CN"/>
                    </w:rPr>
                  </w:pPr>
                  <w:r>
                    <w:rPr>
                      <w:rFonts w:hint="eastAsia"/>
                      <w:color w:val="0000FF"/>
                      <w:sz w:val="21"/>
                      <w:szCs w:val="21"/>
                      <w:highlight w:val="none"/>
                      <w:lang w:val="en-US" w:eastAsia="zh-CN"/>
                    </w:rPr>
                    <w:t>监测点位</w:t>
                  </w:r>
                </w:p>
              </w:tc>
              <w:tc>
                <w:tcPr>
                  <w:tcW w:w="311" w:type="pct"/>
                  <w:tcBorders>
                    <w:top w:val="single" w:color="auto" w:sz="4" w:space="0"/>
                    <w:left w:val="nil"/>
                    <w:bottom w:val="single" w:color="auto" w:sz="4" w:space="0"/>
                    <w:right w:val="single" w:color="auto" w:sz="4" w:space="0"/>
                  </w:tcBorders>
                  <w:noWrap w:val="0"/>
                  <w:tcMar>
                    <w:left w:w="28" w:type="dxa"/>
                    <w:right w:w="28" w:type="dxa"/>
                  </w:tcMar>
                  <w:vAlign w:val="center"/>
                </w:tcPr>
                <w:p w14:paraId="742EB2E8">
                  <w:pPr>
                    <w:keepNext w:val="0"/>
                    <w:keepLines w:val="0"/>
                    <w:pageBreakBefore w:val="0"/>
                    <w:suppressLineNumbers w:val="0"/>
                    <w:kinsoku/>
                    <w:wordWrap/>
                    <w:overflowPunct/>
                    <w:topLinePunct w:val="0"/>
                    <w:autoSpaceDE/>
                    <w:autoSpaceDN/>
                    <w:bidi w:val="0"/>
                    <w:adjustRightInd w:val="0"/>
                    <w:snapToGrid w:val="0"/>
                    <w:spacing w:before="0" w:beforeAutospacing="0" w:after="0" w:afterAutospacing="0" w:line="300" w:lineRule="auto"/>
                    <w:ind w:left="0" w:right="0"/>
                    <w:jc w:val="center"/>
                    <w:textAlignment w:val="baseline"/>
                    <w:rPr>
                      <w:rFonts w:hint="eastAsia" w:eastAsia="宋体"/>
                      <w:color w:val="0000FF"/>
                      <w:sz w:val="21"/>
                      <w:szCs w:val="21"/>
                      <w:highlight w:val="none"/>
                      <w:lang w:val="en-US" w:eastAsia="zh-CN"/>
                    </w:rPr>
                  </w:pPr>
                  <w:r>
                    <w:rPr>
                      <w:rFonts w:hint="eastAsia"/>
                      <w:color w:val="0000FF"/>
                      <w:sz w:val="21"/>
                      <w:szCs w:val="21"/>
                      <w:highlight w:val="none"/>
                      <w:lang w:val="en-US" w:eastAsia="zh-CN"/>
                    </w:rPr>
                    <w:t>污染物</w:t>
                  </w:r>
                </w:p>
              </w:tc>
              <w:tc>
                <w:tcPr>
                  <w:tcW w:w="406" w:type="pct"/>
                  <w:tcBorders>
                    <w:top w:val="single" w:color="auto" w:sz="4" w:space="0"/>
                    <w:left w:val="single" w:color="auto" w:sz="4" w:space="0"/>
                    <w:bottom w:val="single" w:color="auto" w:sz="4" w:space="0"/>
                    <w:right w:val="single" w:color="auto" w:sz="4" w:space="0"/>
                  </w:tcBorders>
                  <w:noWrap w:val="0"/>
                  <w:tcMar>
                    <w:left w:w="28" w:type="dxa"/>
                    <w:right w:w="28" w:type="dxa"/>
                  </w:tcMar>
                  <w:vAlign w:val="center"/>
                </w:tcPr>
                <w:p w14:paraId="3D229274">
                  <w:pPr>
                    <w:keepNext w:val="0"/>
                    <w:keepLines w:val="0"/>
                    <w:pageBreakBefore w:val="0"/>
                    <w:suppressLineNumbers w:val="0"/>
                    <w:kinsoku/>
                    <w:wordWrap/>
                    <w:overflowPunct/>
                    <w:topLinePunct w:val="0"/>
                    <w:autoSpaceDE/>
                    <w:autoSpaceDN/>
                    <w:bidi w:val="0"/>
                    <w:adjustRightInd w:val="0"/>
                    <w:snapToGrid w:val="0"/>
                    <w:spacing w:before="0" w:beforeAutospacing="0" w:after="0" w:afterAutospacing="0" w:line="300" w:lineRule="auto"/>
                    <w:ind w:left="0" w:right="0"/>
                    <w:jc w:val="center"/>
                    <w:textAlignment w:val="baseline"/>
                    <w:rPr>
                      <w:rFonts w:hint="eastAsia" w:eastAsia="宋体"/>
                      <w:color w:val="0000FF"/>
                      <w:sz w:val="21"/>
                      <w:szCs w:val="21"/>
                      <w:highlight w:val="none"/>
                      <w:lang w:val="en-US" w:eastAsia="zh-CN"/>
                    </w:rPr>
                  </w:pPr>
                  <w:r>
                    <w:rPr>
                      <w:rFonts w:hint="eastAsia"/>
                      <w:color w:val="0000FF"/>
                      <w:sz w:val="21"/>
                      <w:szCs w:val="21"/>
                      <w:highlight w:val="none"/>
                      <w:lang w:val="en-US" w:eastAsia="zh-CN"/>
                    </w:rPr>
                    <w:t>平均时间</w:t>
                  </w:r>
                </w:p>
              </w:tc>
              <w:tc>
                <w:tcPr>
                  <w:tcW w:w="851" w:type="pct"/>
                  <w:tcBorders>
                    <w:top w:val="single" w:color="auto" w:sz="4" w:space="0"/>
                    <w:left w:val="nil"/>
                    <w:bottom w:val="single" w:color="auto" w:sz="4" w:space="0"/>
                    <w:right w:val="single" w:color="auto" w:sz="4" w:space="0"/>
                  </w:tcBorders>
                  <w:noWrap w:val="0"/>
                  <w:tcMar>
                    <w:left w:w="28" w:type="dxa"/>
                    <w:right w:w="28" w:type="dxa"/>
                  </w:tcMar>
                  <w:vAlign w:val="center"/>
                </w:tcPr>
                <w:p w14:paraId="051A1F27">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300" w:lineRule="auto"/>
                    <w:ind w:left="0" w:right="0"/>
                    <w:jc w:val="center"/>
                    <w:rPr>
                      <w:rFonts w:hint="default" w:eastAsia="宋体"/>
                      <w:color w:val="0000FF"/>
                      <w:sz w:val="21"/>
                      <w:szCs w:val="21"/>
                      <w:highlight w:val="none"/>
                      <w:lang w:val="en-US" w:eastAsia="zh-CN"/>
                    </w:rPr>
                  </w:pPr>
                  <w:r>
                    <w:rPr>
                      <w:rFonts w:hint="eastAsia"/>
                      <w:color w:val="0000FF"/>
                      <w:sz w:val="21"/>
                      <w:szCs w:val="21"/>
                      <w:highlight w:val="none"/>
                      <w:lang w:val="en-US" w:eastAsia="zh-CN"/>
                    </w:rPr>
                    <w:t>评价标准（mg/m</w:t>
                  </w:r>
                  <w:r>
                    <w:rPr>
                      <w:rFonts w:hint="eastAsia"/>
                      <w:color w:val="0000FF"/>
                      <w:sz w:val="21"/>
                      <w:szCs w:val="21"/>
                      <w:highlight w:val="none"/>
                      <w:vertAlign w:val="superscript"/>
                      <w:lang w:val="en-US" w:eastAsia="zh-CN"/>
                    </w:rPr>
                    <w:t>3</w:t>
                  </w:r>
                  <w:r>
                    <w:rPr>
                      <w:rFonts w:hint="eastAsia"/>
                      <w:color w:val="0000FF"/>
                      <w:sz w:val="21"/>
                      <w:szCs w:val="21"/>
                      <w:highlight w:val="none"/>
                      <w:lang w:val="en-US" w:eastAsia="zh-CN"/>
                    </w:rPr>
                    <w:t>）</w:t>
                  </w:r>
                </w:p>
              </w:tc>
              <w:tc>
                <w:tcPr>
                  <w:tcW w:w="1042" w:type="pct"/>
                  <w:tcBorders>
                    <w:top w:val="single" w:color="auto" w:sz="4" w:space="0"/>
                    <w:left w:val="nil"/>
                    <w:bottom w:val="single" w:color="auto" w:sz="4" w:space="0"/>
                    <w:right w:val="single" w:color="auto" w:sz="4" w:space="0"/>
                  </w:tcBorders>
                  <w:noWrap w:val="0"/>
                  <w:tcMar>
                    <w:left w:w="28" w:type="dxa"/>
                    <w:right w:w="28" w:type="dxa"/>
                  </w:tcMar>
                  <w:vAlign w:val="center"/>
                </w:tcPr>
                <w:p w14:paraId="3FB2675D">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300" w:lineRule="auto"/>
                    <w:ind w:left="0" w:right="0"/>
                    <w:jc w:val="center"/>
                    <w:rPr>
                      <w:rFonts w:hint="default" w:eastAsia="宋体"/>
                      <w:color w:val="0000FF"/>
                      <w:sz w:val="21"/>
                      <w:szCs w:val="21"/>
                      <w:highlight w:val="none"/>
                      <w:lang w:val="en-US" w:eastAsia="zh-CN"/>
                    </w:rPr>
                  </w:pPr>
                  <w:r>
                    <w:rPr>
                      <w:rFonts w:hint="eastAsia"/>
                      <w:color w:val="0000FF"/>
                      <w:sz w:val="21"/>
                      <w:szCs w:val="21"/>
                      <w:highlight w:val="none"/>
                      <w:lang w:val="en-US" w:eastAsia="zh-CN"/>
                    </w:rPr>
                    <w:t>监测浓度范围（mg/m</w:t>
                  </w:r>
                  <w:r>
                    <w:rPr>
                      <w:rFonts w:hint="eastAsia"/>
                      <w:color w:val="0000FF"/>
                      <w:sz w:val="21"/>
                      <w:szCs w:val="21"/>
                      <w:highlight w:val="none"/>
                      <w:vertAlign w:val="superscript"/>
                      <w:lang w:val="en-US" w:eastAsia="zh-CN"/>
                    </w:rPr>
                    <w:t>3</w:t>
                  </w:r>
                  <w:r>
                    <w:rPr>
                      <w:rFonts w:hint="eastAsia"/>
                      <w:color w:val="0000FF"/>
                      <w:sz w:val="21"/>
                      <w:szCs w:val="21"/>
                      <w:highlight w:val="none"/>
                      <w:lang w:val="en-US" w:eastAsia="zh-CN"/>
                    </w:rPr>
                    <w:t>）</w:t>
                  </w:r>
                </w:p>
              </w:tc>
              <w:tc>
                <w:tcPr>
                  <w:tcW w:w="963" w:type="pct"/>
                  <w:tcBorders>
                    <w:top w:val="single" w:color="auto" w:sz="4" w:space="0"/>
                    <w:left w:val="single" w:color="auto" w:sz="4" w:space="0"/>
                    <w:bottom w:val="single" w:color="auto" w:sz="4" w:space="0"/>
                    <w:right w:val="single" w:color="auto" w:sz="4" w:space="0"/>
                  </w:tcBorders>
                  <w:noWrap w:val="0"/>
                  <w:tcMar>
                    <w:left w:w="28" w:type="dxa"/>
                    <w:right w:w="28" w:type="dxa"/>
                  </w:tcMar>
                  <w:vAlign w:val="center"/>
                </w:tcPr>
                <w:p w14:paraId="691B8D22">
                  <w:pPr>
                    <w:keepNext w:val="0"/>
                    <w:keepLines w:val="0"/>
                    <w:pageBreakBefore w:val="0"/>
                    <w:suppressLineNumbers w:val="0"/>
                    <w:kinsoku/>
                    <w:wordWrap/>
                    <w:overflowPunct/>
                    <w:topLinePunct w:val="0"/>
                    <w:autoSpaceDE/>
                    <w:autoSpaceDN/>
                    <w:bidi w:val="0"/>
                    <w:adjustRightInd w:val="0"/>
                    <w:snapToGrid w:val="0"/>
                    <w:spacing w:before="0" w:beforeAutospacing="0" w:after="0" w:afterAutospacing="0" w:line="300" w:lineRule="auto"/>
                    <w:ind w:left="0" w:right="0"/>
                    <w:jc w:val="center"/>
                    <w:textAlignment w:val="baseline"/>
                    <w:rPr>
                      <w:rFonts w:hint="default" w:eastAsia="宋体"/>
                      <w:color w:val="0000FF"/>
                      <w:sz w:val="21"/>
                      <w:szCs w:val="21"/>
                      <w:highlight w:val="none"/>
                      <w:lang w:val="en-US" w:eastAsia="zh-CN"/>
                    </w:rPr>
                  </w:pPr>
                  <w:r>
                    <w:rPr>
                      <w:rFonts w:hint="eastAsia"/>
                      <w:color w:val="0000FF"/>
                      <w:sz w:val="21"/>
                      <w:szCs w:val="21"/>
                      <w:highlight w:val="none"/>
                      <w:lang w:val="en-US" w:eastAsia="zh-CN"/>
                    </w:rPr>
                    <w:t>最大浓度占标率（%）</w:t>
                  </w:r>
                </w:p>
              </w:tc>
              <w:tc>
                <w:tcPr>
                  <w:tcW w:w="581" w:type="pct"/>
                  <w:tcBorders>
                    <w:top w:val="single" w:color="auto" w:sz="4" w:space="0"/>
                    <w:left w:val="single" w:color="auto" w:sz="4" w:space="0"/>
                    <w:bottom w:val="single" w:color="auto" w:sz="4" w:space="0"/>
                    <w:right w:val="single" w:color="auto" w:sz="4" w:space="0"/>
                  </w:tcBorders>
                  <w:noWrap w:val="0"/>
                  <w:tcMar>
                    <w:left w:w="28" w:type="dxa"/>
                    <w:right w:w="28" w:type="dxa"/>
                  </w:tcMar>
                  <w:vAlign w:val="center"/>
                </w:tcPr>
                <w:p w14:paraId="24F728EC">
                  <w:pPr>
                    <w:keepNext w:val="0"/>
                    <w:keepLines w:val="0"/>
                    <w:pageBreakBefore w:val="0"/>
                    <w:suppressLineNumbers w:val="0"/>
                    <w:kinsoku/>
                    <w:wordWrap/>
                    <w:overflowPunct/>
                    <w:topLinePunct w:val="0"/>
                    <w:autoSpaceDE/>
                    <w:autoSpaceDN/>
                    <w:bidi w:val="0"/>
                    <w:adjustRightInd w:val="0"/>
                    <w:snapToGrid w:val="0"/>
                    <w:spacing w:before="0" w:beforeAutospacing="0" w:after="0" w:afterAutospacing="0" w:line="300" w:lineRule="auto"/>
                    <w:ind w:left="0" w:right="0"/>
                    <w:jc w:val="center"/>
                    <w:textAlignment w:val="baseline"/>
                    <w:rPr>
                      <w:rFonts w:hint="default" w:eastAsia="宋体"/>
                      <w:color w:val="0000FF"/>
                      <w:sz w:val="21"/>
                      <w:szCs w:val="21"/>
                      <w:highlight w:val="none"/>
                      <w:lang w:val="en-US" w:eastAsia="zh-CN"/>
                    </w:rPr>
                  </w:pPr>
                  <w:r>
                    <w:rPr>
                      <w:rFonts w:hint="eastAsia"/>
                      <w:color w:val="0000FF"/>
                      <w:sz w:val="21"/>
                      <w:szCs w:val="21"/>
                      <w:highlight w:val="none"/>
                      <w:lang w:val="en-US" w:eastAsia="zh-CN"/>
                    </w:rPr>
                    <w:t>超标率（%）</w:t>
                  </w:r>
                </w:p>
              </w:tc>
              <w:tc>
                <w:tcPr>
                  <w:tcW w:w="406" w:type="pct"/>
                  <w:tcBorders>
                    <w:top w:val="single" w:color="auto" w:sz="4" w:space="0"/>
                    <w:left w:val="single" w:color="auto" w:sz="4" w:space="0"/>
                    <w:bottom w:val="single" w:color="auto" w:sz="4" w:space="0"/>
                    <w:right w:val="single" w:color="auto" w:sz="4" w:space="0"/>
                  </w:tcBorders>
                  <w:noWrap w:val="0"/>
                  <w:tcMar>
                    <w:left w:w="28" w:type="dxa"/>
                    <w:right w:w="28" w:type="dxa"/>
                  </w:tcMar>
                  <w:vAlign w:val="center"/>
                </w:tcPr>
                <w:p w14:paraId="3D2CE4CC">
                  <w:pPr>
                    <w:keepNext w:val="0"/>
                    <w:keepLines w:val="0"/>
                    <w:pageBreakBefore w:val="0"/>
                    <w:suppressLineNumbers w:val="0"/>
                    <w:kinsoku/>
                    <w:wordWrap/>
                    <w:overflowPunct/>
                    <w:topLinePunct w:val="0"/>
                    <w:autoSpaceDE/>
                    <w:autoSpaceDN/>
                    <w:bidi w:val="0"/>
                    <w:adjustRightInd w:val="0"/>
                    <w:snapToGrid w:val="0"/>
                    <w:spacing w:before="0" w:beforeAutospacing="0" w:after="0" w:afterAutospacing="0" w:line="300" w:lineRule="auto"/>
                    <w:ind w:left="0" w:right="0"/>
                    <w:jc w:val="center"/>
                    <w:textAlignment w:val="baseline"/>
                    <w:rPr>
                      <w:rFonts w:hint="eastAsia" w:eastAsia="宋体"/>
                      <w:color w:val="0000FF"/>
                      <w:sz w:val="21"/>
                      <w:szCs w:val="21"/>
                      <w:highlight w:val="none"/>
                      <w:lang w:val="en-US" w:eastAsia="zh-CN"/>
                    </w:rPr>
                  </w:pPr>
                  <w:r>
                    <w:rPr>
                      <w:rFonts w:hint="eastAsia"/>
                      <w:color w:val="0000FF"/>
                      <w:sz w:val="21"/>
                      <w:szCs w:val="21"/>
                      <w:highlight w:val="none"/>
                      <w:lang w:val="en-US" w:eastAsia="zh-CN"/>
                    </w:rPr>
                    <w:t>达标情况</w:t>
                  </w:r>
                </w:p>
              </w:tc>
              <w:tc>
                <w:tcPr>
                  <w:tcW w:w="27" w:type="pct"/>
                  <w:tcBorders>
                    <w:top w:val="single" w:color="auto" w:sz="4" w:space="0"/>
                    <w:left w:val="single" w:color="auto" w:sz="4" w:space="0"/>
                    <w:bottom w:val="single" w:color="auto" w:sz="4" w:space="0"/>
                    <w:right w:val="single" w:color="auto" w:sz="4" w:space="0"/>
                  </w:tcBorders>
                  <w:noWrap w:val="0"/>
                  <w:tcMar>
                    <w:left w:w="28" w:type="dxa"/>
                    <w:right w:w="28" w:type="dxa"/>
                  </w:tcMar>
                  <w:vAlign w:val="center"/>
                </w:tcPr>
                <w:p w14:paraId="076997DA">
                  <w:pPr>
                    <w:keepNext w:val="0"/>
                    <w:keepLines w:val="0"/>
                    <w:pageBreakBefore w:val="0"/>
                    <w:suppressLineNumbers w:val="0"/>
                    <w:kinsoku/>
                    <w:wordWrap/>
                    <w:overflowPunct/>
                    <w:topLinePunct w:val="0"/>
                    <w:autoSpaceDE/>
                    <w:autoSpaceDN/>
                    <w:bidi w:val="0"/>
                    <w:adjustRightInd w:val="0"/>
                    <w:snapToGrid w:val="0"/>
                    <w:spacing w:before="0" w:beforeAutospacing="0" w:after="0" w:afterAutospacing="0" w:line="300" w:lineRule="auto"/>
                    <w:ind w:left="0" w:right="0"/>
                    <w:jc w:val="center"/>
                    <w:textAlignment w:val="baseline"/>
                    <w:rPr>
                      <w:rFonts w:hint="default"/>
                      <w:color w:val="0000FF"/>
                      <w:sz w:val="21"/>
                      <w:szCs w:val="21"/>
                      <w:highlight w:val="none"/>
                    </w:rPr>
                  </w:pPr>
                </w:p>
              </w:tc>
            </w:tr>
            <w:tr w14:paraId="55465018">
              <w:tblPrEx>
                <w:tblCellMar>
                  <w:top w:w="0" w:type="dxa"/>
                  <w:left w:w="28" w:type="dxa"/>
                  <w:bottom w:w="0" w:type="dxa"/>
                  <w:right w:w="28" w:type="dxa"/>
                </w:tblCellMar>
              </w:tblPrEx>
              <w:trPr>
                <w:trHeight w:val="340" w:hRule="atLeast"/>
                <w:jc w:val="center"/>
              </w:trPr>
              <w:tc>
                <w:tcPr>
                  <w:tcW w:w="406" w:type="pct"/>
                  <w:vMerge w:val="restart"/>
                  <w:tcBorders>
                    <w:top w:val="single" w:color="auto" w:sz="4" w:space="0"/>
                    <w:left w:val="single" w:color="auto" w:sz="4" w:space="0"/>
                    <w:right w:val="single" w:color="auto" w:sz="4" w:space="0"/>
                  </w:tcBorders>
                  <w:noWrap w:val="0"/>
                  <w:tcMar>
                    <w:left w:w="28" w:type="dxa"/>
                    <w:right w:w="28" w:type="dxa"/>
                  </w:tcMar>
                  <w:vAlign w:val="center"/>
                </w:tcPr>
                <w:p w14:paraId="634241AA">
                  <w:pPr>
                    <w:keepNext w:val="0"/>
                    <w:keepLines w:val="0"/>
                    <w:pageBreakBefore w:val="0"/>
                    <w:suppressLineNumbers w:val="0"/>
                    <w:kinsoku/>
                    <w:wordWrap/>
                    <w:overflowPunct/>
                    <w:topLinePunct w:val="0"/>
                    <w:autoSpaceDE/>
                    <w:autoSpaceDN/>
                    <w:bidi w:val="0"/>
                    <w:adjustRightInd w:val="0"/>
                    <w:snapToGrid w:val="0"/>
                    <w:spacing w:before="0" w:beforeAutospacing="0" w:after="0" w:afterAutospacing="0" w:line="300" w:lineRule="auto"/>
                    <w:ind w:left="0" w:right="0"/>
                    <w:jc w:val="center"/>
                    <w:textAlignment w:val="baseline"/>
                    <w:rPr>
                      <w:rFonts w:hint="default"/>
                      <w:color w:val="0000FF"/>
                      <w:sz w:val="21"/>
                      <w:szCs w:val="21"/>
                      <w:highlight w:val="none"/>
                    </w:rPr>
                  </w:pPr>
                </w:p>
              </w:tc>
              <w:tc>
                <w:tcPr>
                  <w:tcW w:w="311" w:type="pct"/>
                  <w:tcBorders>
                    <w:top w:val="single" w:color="auto" w:sz="4" w:space="0"/>
                    <w:left w:val="nil"/>
                    <w:bottom w:val="single" w:color="auto" w:sz="4" w:space="0"/>
                    <w:right w:val="single" w:color="auto" w:sz="4" w:space="0"/>
                  </w:tcBorders>
                  <w:noWrap w:val="0"/>
                  <w:tcMar>
                    <w:left w:w="28" w:type="dxa"/>
                    <w:right w:w="28" w:type="dxa"/>
                  </w:tcMar>
                  <w:vAlign w:val="center"/>
                </w:tcPr>
                <w:p w14:paraId="24D419AA">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300" w:lineRule="auto"/>
                    <w:ind w:left="0" w:right="0"/>
                    <w:jc w:val="center"/>
                    <w:rPr>
                      <w:rFonts w:hint="default"/>
                      <w:color w:val="0000FF"/>
                      <w:sz w:val="21"/>
                      <w:szCs w:val="21"/>
                      <w:highlight w:val="none"/>
                    </w:rPr>
                  </w:pPr>
                </w:p>
              </w:tc>
              <w:tc>
                <w:tcPr>
                  <w:tcW w:w="406" w:type="pct"/>
                  <w:tcBorders>
                    <w:top w:val="single" w:color="auto" w:sz="4" w:space="0"/>
                    <w:left w:val="single" w:color="auto" w:sz="4" w:space="0"/>
                    <w:bottom w:val="single" w:color="auto" w:sz="4" w:space="0"/>
                    <w:right w:val="single" w:color="auto" w:sz="4" w:space="0"/>
                  </w:tcBorders>
                  <w:noWrap w:val="0"/>
                  <w:tcMar>
                    <w:left w:w="28" w:type="dxa"/>
                    <w:right w:w="28" w:type="dxa"/>
                  </w:tcMar>
                  <w:vAlign w:val="center"/>
                </w:tcPr>
                <w:p w14:paraId="58C90848">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300" w:lineRule="auto"/>
                    <w:ind w:left="0" w:right="0"/>
                    <w:jc w:val="center"/>
                    <w:rPr>
                      <w:rFonts w:hint="default"/>
                      <w:color w:val="0000FF"/>
                      <w:sz w:val="21"/>
                      <w:szCs w:val="21"/>
                      <w:highlight w:val="none"/>
                    </w:rPr>
                  </w:pPr>
                </w:p>
              </w:tc>
              <w:tc>
                <w:tcPr>
                  <w:tcW w:w="851" w:type="pct"/>
                  <w:tcBorders>
                    <w:top w:val="single" w:color="auto" w:sz="4" w:space="0"/>
                    <w:left w:val="nil"/>
                    <w:bottom w:val="single" w:color="auto" w:sz="4" w:space="0"/>
                    <w:right w:val="single" w:color="auto" w:sz="4" w:space="0"/>
                  </w:tcBorders>
                  <w:noWrap w:val="0"/>
                  <w:tcMar>
                    <w:left w:w="28" w:type="dxa"/>
                    <w:right w:w="28" w:type="dxa"/>
                  </w:tcMar>
                  <w:vAlign w:val="center"/>
                </w:tcPr>
                <w:p w14:paraId="7AEBABAF">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300" w:lineRule="auto"/>
                    <w:ind w:left="0" w:right="0"/>
                    <w:jc w:val="center"/>
                    <w:rPr>
                      <w:rFonts w:hint="default"/>
                      <w:color w:val="0000FF"/>
                      <w:sz w:val="21"/>
                      <w:szCs w:val="21"/>
                      <w:highlight w:val="none"/>
                    </w:rPr>
                  </w:pPr>
                </w:p>
              </w:tc>
              <w:tc>
                <w:tcPr>
                  <w:tcW w:w="1042" w:type="pct"/>
                  <w:tcBorders>
                    <w:top w:val="single" w:color="auto" w:sz="4" w:space="0"/>
                    <w:left w:val="nil"/>
                    <w:bottom w:val="single" w:color="auto" w:sz="4" w:space="0"/>
                    <w:right w:val="single" w:color="auto" w:sz="4" w:space="0"/>
                  </w:tcBorders>
                  <w:noWrap w:val="0"/>
                  <w:tcMar>
                    <w:left w:w="28" w:type="dxa"/>
                    <w:right w:w="28" w:type="dxa"/>
                  </w:tcMar>
                  <w:vAlign w:val="center"/>
                </w:tcPr>
                <w:p w14:paraId="5F233CEA">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300" w:lineRule="auto"/>
                    <w:ind w:left="0" w:right="0"/>
                    <w:jc w:val="center"/>
                    <w:rPr>
                      <w:rFonts w:hint="default" w:eastAsia="宋体"/>
                      <w:color w:val="0000FF"/>
                      <w:sz w:val="21"/>
                      <w:szCs w:val="21"/>
                      <w:highlight w:val="none"/>
                      <w:lang w:val="en-US" w:eastAsia="zh-CN"/>
                    </w:rPr>
                  </w:pPr>
                </w:p>
              </w:tc>
              <w:tc>
                <w:tcPr>
                  <w:tcW w:w="963" w:type="pct"/>
                  <w:tcBorders>
                    <w:top w:val="single" w:color="auto" w:sz="4" w:space="0"/>
                    <w:left w:val="single" w:color="auto" w:sz="4" w:space="0"/>
                    <w:bottom w:val="single" w:color="auto" w:sz="4" w:space="0"/>
                    <w:right w:val="single" w:color="auto" w:sz="4" w:space="0"/>
                  </w:tcBorders>
                  <w:noWrap w:val="0"/>
                  <w:tcMar>
                    <w:left w:w="28" w:type="dxa"/>
                    <w:right w:w="28" w:type="dxa"/>
                  </w:tcMar>
                  <w:vAlign w:val="center"/>
                </w:tcPr>
                <w:p w14:paraId="3228D30B">
                  <w:pPr>
                    <w:keepNext w:val="0"/>
                    <w:keepLines w:val="0"/>
                    <w:pageBreakBefore w:val="0"/>
                    <w:suppressLineNumbers w:val="0"/>
                    <w:kinsoku/>
                    <w:wordWrap/>
                    <w:overflowPunct/>
                    <w:topLinePunct w:val="0"/>
                    <w:autoSpaceDE/>
                    <w:autoSpaceDN/>
                    <w:bidi w:val="0"/>
                    <w:adjustRightInd w:val="0"/>
                    <w:snapToGrid w:val="0"/>
                    <w:spacing w:before="0" w:beforeAutospacing="0" w:after="0" w:afterAutospacing="0" w:line="300" w:lineRule="auto"/>
                    <w:ind w:left="0" w:right="0"/>
                    <w:jc w:val="center"/>
                    <w:textAlignment w:val="baseline"/>
                    <w:rPr>
                      <w:rFonts w:hint="default"/>
                      <w:color w:val="0000FF"/>
                      <w:sz w:val="21"/>
                      <w:szCs w:val="21"/>
                      <w:highlight w:val="none"/>
                    </w:rPr>
                  </w:pPr>
                </w:p>
              </w:tc>
              <w:tc>
                <w:tcPr>
                  <w:tcW w:w="581" w:type="pct"/>
                  <w:tcBorders>
                    <w:top w:val="single" w:color="auto" w:sz="4" w:space="0"/>
                    <w:left w:val="single" w:color="auto" w:sz="4" w:space="0"/>
                    <w:bottom w:val="single" w:color="auto" w:sz="4" w:space="0"/>
                    <w:right w:val="single" w:color="auto" w:sz="4" w:space="0"/>
                  </w:tcBorders>
                  <w:noWrap w:val="0"/>
                  <w:tcMar>
                    <w:left w:w="28" w:type="dxa"/>
                    <w:right w:w="28" w:type="dxa"/>
                  </w:tcMar>
                  <w:vAlign w:val="center"/>
                </w:tcPr>
                <w:p w14:paraId="5338C0FB">
                  <w:pPr>
                    <w:keepNext w:val="0"/>
                    <w:keepLines w:val="0"/>
                    <w:pageBreakBefore w:val="0"/>
                    <w:suppressLineNumbers w:val="0"/>
                    <w:kinsoku/>
                    <w:wordWrap/>
                    <w:overflowPunct/>
                    <w:topLinePunct w:val="0"/>
                    <w:autoSpaceDE/>
                    <w:autoSpaceDN/>
                    <w:bidi w:val="0"/>
                    <w:adjustRightInd w:val="0"/>
                    <w:snapToGrid w:val="0"/>
                    <w:spacing w:before="0" w:beforeAutospacing="0" w:after="0" w:afterAutospacing="0" w:line="300" w:lineRule="auto"/>
                    <w:ind w:left="0" w:right="0"/>
                    <w:jc w:val="center"/>
                    <w:textAlignment w:val="baseline"/>
                    <w:rPr>
                      <w:rFonts w:hint="default"/>
                      <w:color w:val="0000FF"/>
                      <w:sz w:val="21"/>
                      <w:szCs w:val="21"/>
                      <w:highlight w:val="none"/>
                    </w:rPr>
                  </w:pPr>
                </w:p>
              </w:tc>
              <w:tc>
                <w:tcPr>
                  <w:tcW w:w="406" w:type="pct"/>
                  <w:tcBorders>
                    <w:top w:val="single" w:color="auto" w:sz="4" w:space="0"/>
                    <w:left w:val="single" w:color="auto" w:sz="4" w:space="0"/>
                    <w:bottom w:val="single" w:color="auto" w:sz="4" w:space="0"/>
                    <w:right w:val="single" w:color="auto" w:sz="4" w:space="0"/>
                  </w:tcBorders>
                  <w:noWrap w:val="0"/>
                  <w:tcMar>
                    <w:left w:w="28" w:type="dxa"/>
                    <w:right w:w="28" w:type="dxa"/>
                  </w:tcMar>
                  <w:vAlign w:val="center"/>
                </w:tcPr>
                <w:p w14:paraId="2A8372D1">
                  <w:pPr>
                    <w:keepNext w:val="0"/>
                    <w:keepLines w:val="0"/>
                    <w:pageBreakBefore w:val="0"/>
                    <w:suppressLineNumbers w:val="0"/>
                    <w:kinsoku/>
                    <w:wordWrap/>
                    <w:overflowPunct/>
                    <w:topLinePunct w:val="0"/>
                    <w:autoSpaceDE/>
                    <w:autoSpaceDN/>
                    <w:bidi w:val="0"/>
                    <w:adjustRightInd w:val="0"/>
                    <w:snapToGrid w:val="0"/>
                    <w:spacing w:before="0" w:beforeAutospacing="0" w:after="0" w:afterAutospacing="0" w:line="300" w:lineRule="auto"/>
                    <w:ind w:left="0" w:right="0"/>
                    <w:jc w:val="center"/>
                    <w:textAlignment w:val="baseline"/>
                    <w:rPr>
                      <w:rFonts w:hint="default"/>
                      <w:color w:val="0000FF"/>
                      <w:sz w:val="21"/>
                      <w:szCs w:val="21"/>
                      <w:highlight w:val="none"/>
                    </w:rPr>
                  </w:pPr>
                </w:p>
              </w:tc>
              <w:tc>
                <w:tcPr>
                  <w:tcW w:w="27" w:type="pct"/>
                  <w:tcBorders>
                    <w:top w:val="single" w:color="auto" w:sz="4" w:space="0"/>
                    <w:left w:val="single" w:color="auto" w:sz="4" w:space="0"/>
                    <w:bottom w:val="single" w:color="auto" w:sz="4" w:space="0"/>
                    <w:right w:val="single" w:color="auto" w:sz="4" w:space="0"/>
                  </w:tcBorders>
                  <w:noWrap w:val="0"/>
                  <w:tcMar>
                    <w:left w:w="28" w:type="dxa"/>
                    <w:right w:w="28" w:type="dxa"/>
                  </w:tcMar>
                  <w:vAlign w:val="center"/>
                </w:tcPr>
                <w:p w14:paraId="5D4C0FEE">
                  <w:pPr>
                    <w:keepNext w:val="0"/>
                    <w:keepLines w:val="0"/>
                    <w:pageBreakBefore w:val="0"/>
                    <w:suppressLineNumbers w:val="0"/>
                    <w:kinsoku/>
                    <w:wordWrap/>
                    <w:overflowPunct/>
                    <w:topLinePunct w:val="0"/>
                    <w:autoSpaceDE/>
                    <w:autoSpaceDN/>
                    <w:bidi w:val="0"/>
                    <w:adjustRightInd w:val="0"/>
                    <w:snapToGrid w:val="0"/>
                    <w:spacing w:before="0" w:beforeAutospacing="0" w:after="0" w:afterAutospacing="0" w:line="300" w:lineRule="auto"/>
                    <w:ind w:left="0" w:right="0"/>
                    <w:jc w:val="center"/>
                    <w:textAlignment w:val="baseline"/>
                    <w:rPr>
                      <w:rFonts w:hint="default"/>
                      <w:color w:val="0000FF"/>
                      <w:sz w:val="21"/>
                      <w:szCs w:val="21"/>
                      <w:highlight w:val="none"/>
                    </w:rPr>
                  </w:pPr>
                </w:p>
              </w:tc>
            </w:tr>
            <w:tr w14:paraId="24C88182">
              <w:tblPrEx>
                <w:tblCellMar>
                  <w:top w:w="0" w:type="dxa"/>
                  <w:left w:w="28" w:type="dxa"/>
                  <w:bottom w:w="0" w:type="dxa"/>
                  <w:right w:w="28" w:type="dxa"/>
                </w:tblCellMar>
              </w:tblPrEx>
              <w:trPr>
                <w:trHeight w:val="340" w:hRule="atLeast"/>
                <w:jc w:val="center"/>
              </w:trPr>
              <w:tc>
                <w:tcPr>
                  <w:tcW w:w="406" w:type="pct"/>
                  <w:vMerge w:val="continue"/>
                  <w:tcBorders>
                    <w:left w:val="single" w:color="auto" w:sz="4" w:space="0"/>
                    <w:bottom w:val="single" w:color="auto" w:sz="4" w:space="0"/>
                    <w:right w:val="single" w:color="auto" w:sz="4" w:space="0"/>
                  </w:tcBorders>
                  <w:noWrap w:val="0"/>
                  <w:tcMar>
                    <w:left w:w="28" w:type="dxa"/>
                    <w:right w:w="28" w:type="dxa"/>
                  </w:tcMar>
                  <w:vAlign w:val="center"/>
                </w:tcPr>
                <w:p w14:paraId="37B9A82C">
                  <w:pPr>
                    <w:keepNext w:val="0"/>
                    <w:keepLines w:val="0"/>
                    <w:pageBreakBefore w:val="0"/>
                    <w:suppressLineNumbers w:val="0"/>
                    <w:kinsoku/>
                    <w:wordWrap/>
                    <w:overflowPunct/>
                    <w:topLinePunct w:val="0"/>
                    <w:autoSpaceDE/>
                    <w:autoSpaceDN/>
                    <w:bidi w:val="0"/>
                    <w:adjustRightInd w:val="0"/>
                    <w:snapToGrid w:val="0"/>
                    <w:spacing w:before="0" w:beforeAutospacing="0" w:after="0" w:afterAutospacing="0" w:line="300" w:lineRule="auto"/>
                    <w:ind w:left="0" w:right="0"/>
                    <w:jc w:val="center"/>
                    <w:textAlignment w:val="baseline"/>
                    <w:rPr>
                      <w:rFonts w:hint="default"/>
                      <w:color w:val="0000FF"/>
                      <w:sz w:val="21"/>
                      <w:szCs w:val="21"/>
                      <w:highlight w:val="none"/>
                    </w:rPr>
                  </w:pPr>
                </w:p>
              </w:tc>
              <w:tc>
                <w:tcPr>
                  <w:tcW w:w="311" w:type="pct"/>
                  <w:tcBorders>
                    <w:top w:val="single" w:color="auto" w:sz="4" w:space="0"/>
                    <w:left w:val="nil"/>
                    <w:bottom w:val="single" w:color="auto" w:sz="4" w:space="0"/>
                    <w:right w:val="single" w:color="auto" w:sz="4" w:space="0"/>
                  </w:tcBorders>
                  <w:noWrap w:val="0"/>
                  <w:tcMar>
                    <w:left w:w="28" w:type="dxa"/>
                    <w:right w:w="28" w:type="dxa"/>
                  </w:tcMar>
                  <w:vAlign w:val="center"/>
                </w:tcPr>
                <w:p w14:paraId="58DB1F9A">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300" w:lineRule="auto"/>
                    <w:ind w:left="0" w:right="0"/>
                    <w:jc w:val="center"/>
                    <w:rPr>
                      <w:rFonts w:hint="default"/>
                      <w:color w:val="0000FF"/>
                      <w:sz w:val="21"/>
                      <w:szCs w:val="21"/>
                      <w:highlight w:val="none"/>
                    </w:rPr>
                  </w:pPr>
                </w:p>
              </w:tc>
              <w:tc>
                <w:tcPr>
                  <w:tcW w:w="406" w:type="pct"/>
                  <w:tcBorders>
                    <w:top w:val="single" w:color="auto" w:sz="4" w:space="0"/>
                    <w:left w:val="single" w:color="auto" w:sz="4" w:space="0"/>
                    <w:bottom w:val="single" w:color="auto" w:sz="4" w:space="0"/>
                    <w:right w:val="single" w:color="auto" w:sz="4" w:space="0"/>
                  </w:tcBorders>
                  <w:noWrap w:val="0"/>
                  <w:tcMar>
                    <w:left w:w="28" w:type="dxa"/>
                    <w:right w:w="28" w:type="dxa"/>
                  </w:tcMar>
                  <w:vAlign w:val="center"/>
                </w:tcPr>
                <w:p w14:paraId="57238125">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300" w:lineRule="auto"/>
                    <w:ind w:left="0" w:right="0"/>
                    <w:jc w:val="center"/>
                    <w:rPr>
                      <w:rFonts w:hint="eastAsia" w:eastAsia="宋体"/>
                      <w:color w:val="0000FF"/>
                      <w:sz w:val="21"/>
                      <w:szCs w:val="21"/>
                      <w:highlight w:val="none"/>
                      <w:lang w:val="en-US" w:eastAsia="zh-CN"/>
                    </w:rPr>
                  </w:pPr>
                </w:p>
              </w:tc>
              <w:tc>
                <w:tcPr>
                  <w:tcW w:w="851" w:type="pct"/>
                  <w:tcBorders>
                    <w:top w:val="single" w:color="auto" w:sz="4" w:space="0"/>
                    <w:left w:val="nil"/>
                    <w:bottom w:val="single" w:color="auto" w:sz="4" w:space="0"/>
                    <w:right w:val="single" w:color="auto" w:sz="4" w:space="0"/>
                  </w:tcBorders>
                  <w:noWrap w:val="0"/>
                  <w:tcMar>
                    <w:left w:w="28" w:type="dxa"/>
                    <w:right w:w="28" w:type="dxa"/>
                  </w:tcMar>
                  <w:vAlign w:val="center"/>
                </w:tcPr>
                <w:p w14:paraId="1ACD34E0">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300" w:lineRule="auto"/>
                    <w:ind w:left="0" w:right="0"/>
                    <w:jc w:val="center"/>
                    <w:rPr>
                      <w:rFonts w:hint="default"/>
                      <w:color w:val="0000FF"/>
                      <w:sz w:val="21"/>
                      <w:szCs w:val="21"/>
                      <w:highlight w:val="none"/>
                    </w:rPr>
                  </w:pPr>
                </w:p>
              </w:tc>
              <w:tc>
                <w:tcPr>
                  <w:tcW w:w="1042" w:type="pct"/>
                  <w:tcBorders>
                    <w:top w:val="single" w:color="auto" w:sz="4" w:space="0"/>
                    <w:left w:val="nil"/>
                    <w:bottom w:val="single" w:color="auto" w:sz="4" w:space="0"/>
                    <w:right w:val="single" w:color="auto" w:sz="4" w:space="0"/>
                  </w:tcBorders>
                  <w:noWrap w:val="0"/>
                  <w:tcMar>
                    <w:left w:w="28" w:type="dxa"/>
                    <w:right w:w="28" w:type="dxa"/>
                  </w:tcMar>
                  <w:vAlign w:val="center"/>
                </w:tcPr>
                <w:p w14:paraId="4E209ACF">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300" w:lineRule="auto"/>
                    <w:ind w:left="0" w:right="0"/>
                    <w:jc w:val="center"/>
                    <w:rPr>
                      <w:rFonts w:hint="default" w:eastAsia="宋体"/>
                      <w:color w:val="0000FF"/>
                      <w:sz w:val="21"/>
                      <w:szCs w:val="21"/>
                      <w:highlight w:val="none"/>
                      <w:lang w:val="en-US" w:eastAsia="zh-CN"/>
                    </w:rPr>
                  </w:pPr>
                </w:p>
              </w:tc>
              <w:tc>
                <w:tcPr>
                  <w:tcW w:w="963" w:type="pct"/>
                  <w:tcBorders>
                    <w:top w:val="single" w:color="auto" w:sz="4" w:space="0"/>
                    <w:left w:val="single" w:color="auto" w:sz="4" w:space="0"/>
                    <w:bottom w:val="single" w:color="auto" w:sz="4" w:space="0"/>
                    <w:right w:val="single" w:color="auto" w:sz="4" w:space="0"/>
                  </w:tcBorders>
                  <w:noWrap w:val="0"/>
                  <w:tcMar>
                    <w:left w:w="28" w:type="dxa"/>
                    <w:right w:w="28" w:type="dxa"/>
                  </w:tcMar>
                  <w:vAlign w:val="center"/>
                </w:tcPr>
                <w:p w14:paraId="69FC9410">
                  <w:pPr>
                    <w:keepNext w:val="0"/>
                    <w:keepLines w:val="0"/>
                    <w:pageBreakBefore w:val="0"/>
                    <w:suppressLineNumbers w:val="0"/>
                    <w:kinsoku/>
                    <w:wordWrap/>
                    <w:overflowPunct/>
                    <w:topLinePunct w:val="0"/>
                    <w:autoSpaceDE/>
                    <w:autoSpaceDN/>
                    <w:bidi w:val="0"/>
                    <w:adjustRightInd w:val="0"/>
                    <w:snapToGrid w:val="0"/>
                    <w:spacing w:before="0" w:beforeAutospacing="0" w:after="0" w:afterAutospacing="0" w:line="300" w:lineRule="auto"/>
                    <w:ind w:left="0" w:right="0"/>
                    <w:jc w:val="center"/>
                    <w:textAlignment w:val="baseline"/>
                    <w:rPr>
                      <w:rFonts w:hint="default"/>
                      <w:color w:val="0000FF"/>
                      <w:sz w:val="21"/>
                      <w:szCs w:val="21"/>
                      <w:highlight w:val="none"/>
                    </w:rPr>
                  </w:pPr>
                </w:p>
              </w:tc>
              <w:tc>
                <w:tcPr>
                  <w:tcW w:w="581" w:type="pct"/>
                  <w:tcBorders>
                    <w:top w:val="single" w:color="auto" w:sz="4" w:space="0"/>
                    <w:left w:val="single" w:color="auto" w:sz="4" w:space="0"/>
                    <w:bottom w:val="single" w:color="auto" w:sz="4" w:space="0"/>
                    <w:right w:val="single" w:color="auto" w:sz="4" w:space="0"/>
                  </w:tcBorders>
                  <w:noWrap w:val="0"/>
                  <w:tcMar>
                    <w:left w:w="28" w:type="dxa"/>
                    <w:right w:w="28" w:type="dxa"/>
                  </w:tcMar>
                  <w:vAlign w:val="center"/>
                </w:tcPr>
                <w:p w14:paraId="0E910AEA">
                  <w:pPr>
                    <w:keepNext w:val="0"/>
                    <w:keepLines w:val="0"/>
                    <w:pageBreakBefore w:val="0"/>
                    <w:suppressLineNumbers w:val="0"/>
                    <w:kinsoku/>
                    <w:wordWrap/>
                    <w:overflowPunct/>
                    <w:topLinePunct w:val="0"/>
                    <w:autoSpaceDE/>
                    <w:autoSpaceDN/>
                    <w:bidi w:val="0"/>
                    <w:adjustRightInd w:val="0"/>
                    <w:snapToGrid w:val="0"/>
                    <w:spacing w:before="0" w:beforeAutospacing="0" w:after="0" w:afterAutospacing="0" w:line="300" w:lineRule="auto"/>
                    <w:ind w:left="0" w:right="0"/>
                    <w:jc w:val="center"/>
                    <w:textAlignment w:val="baseline"/>
                    <w:rPr>
                      <w:rFonts w:hint="default"/>
                      <w:color w:val="0000FF"/>
                      <w:sz w:val="21"/>
                      <w:szCs w:val="21"/>
                      <w:highlight w:val="none"/>
                    </w:rPr>
                  </w:pPr>
                </w:p>
              </w:tc>
              <w:tc>
                <w:tcPr>
                  <w:tcW w:w="406" w:type="pct"/>
                  <w:tcBorders>
                    <w:top w:val="single" w:color="auto" w:sz="4" w:space="0"/>
                    <w:left w:val="single" w:color="auto" w:sz="4" w:space="0"/>
                    <w:bottom w:val="single" w:color="auto" w:sz="4" w:space="0"/>
                    <w:right w:val="single" w:color="auto" w:sz="4" w:space="0"/>
                  </w:tcBorders>
                  <w:noWrap w:val="0"/>
                  <w:tcMar>
                    <w:left w:w="28" w:type="dxa"/>
                    <w:right w:w="28" w:type="dxa"/>
                  </w:tcMar>
                  <w:vAlign w:val="center"/>
                </w:tcPr>
                <w:p w14:paraId="274C1B9F">
                  <w:pPr>
                    <w:keepNext w:val="0"/>
                    <w:keepLines w:val="0"/>
                    <w:pageBreakBefore w:val="0"/>
                    <w:suppressLineNumbers w:val="0"/>
                    <w:kinsoku/>
                    <w:wordWrap/>
                    <w:overflowPunct/>
                    <w:topLinePunct w:val="0"/>
                    <w:autoSpaceDE/>
                    <w:autoSpaceDN/>
                    <w:bidi w:val="0"/>
                    <w:adjustRightInd w:val="0"/>
                    <w:snapToGrid w:val="0"/>
                    <w:spacing w:before="0" w:beforeAutospacing="0" w:after="0" w:afterAutospacing="0" w:line="300" w:lineRule="auto"/>
                    <w:ind w:left="0" w:right="0"/>
                    <w:jc w:val="center"/>
                    <w:textAlignment w:val="baseline"/>
                    <w:rPr>
                      <w:rFonts w:hint="default"/>
                      <w:color w:val="0000FF"/>
                      <w:sz w:val="21"/>
                      <w:szCs w:val="21"/>
                      <w:highlight w:val="none"/>
                    </w:rPr>
                  </w:pPr>
                </w:p>
              </w:tc>
              <w:tc>
                <w:tcPr>
                  <w:tcW w:w="27" w:type="pct"/>
                  <w:tcBorders>
                    <w:top w:val="single" w:color="auto" w:sz="4" w:space="0"/>
                    <w:left w:val="single" w:color="auto" w:sz="4" w:space="0"/>
                    <w:bottom w:val="single" w:color="auto" w:sz="4" w:space="0"/>
                    <w:right w:val="single" w:color="auto" w:sz="4" w:space="0"/>
                  </w:tcBorders>
                  <w:noWrap w:val="0"/>
                  <w:tcMar>
                    <w:left w:w="28" w:type="dxa"/>
                    <w:right w:w="28" w:type="dxa"/>
                  </w:tcMar>
                  <w:vAlign w:val="center"/>
                </w:tcPr>
                <w:p w14:paraId="61ADAC28">
                  <w:pPr>
                    <w:keepNext w:val="0"/>
                    <w:keepLines w:val="0"/>
                    <w:pageBreakBefore w:val="0"/>
                    <w:suppressLineNumbers w:val="0"/>
                    <w:kinsoku/>
                    <w:wordWrap/>
                    <w:overflowPunct/>
                    <w:topLinePunct w:val="0"/>
                    <w:autoSpaceDE/>
                    <w:autoSpaceDN/>
                    <w:bidi w:val="0"/>
                    <w:adjustRightInd w:val="0"/>
                    <w:snapToGrid w:val="0"/>
                    <w:spacing w:before="0" w:beforeAutospacing="0" w:after="0" w:afterAutospacing="0" w:line="300" w:lineRule="auto"/>
                    <w:ind w:left="0" w:right="0"/>
                    <w:jc w:val="center"/>
                    <w:textAlignment w:val="baseline"/>
                    <w:rPr>
                      <w:rFonts w:hint="default"/>
                      <w:color w:val="0000FF"/>
                      <w:sz w:val="21"/>
                      <w:szCs w:val="21"/>
                      <w:highlight w:val="none"/>
                    </w:rPr>
                  </w:pPr>
                </w:p>
              </w:tc>
            </w:tr>
          </w:tbl>
          <w:p w14:paraId="0563F9AD">
            <w:pPr>
              <w:pStyle w:val="134"/>
              <w:keepNext w:val="0"/>
              <w:keepLines w:val="0"/>
              <w:pageBreakBefore w:val="0"/>
              <w:widowControl w:val="0"/>
              <w:suppressLineNumbers w:val="0"/>
              <w:kinsoku/>
              <w:wordWrap/>
              <w:overflowPunct/>
              <w:topLinePunct w:val="0"/>
              <w:autoSpaceDE/>
              <w:autoSpaceDN/>
              <w:bidi w:val="0"/>
              <w:adjustRightInd/>
              <w:snapToGrid/>
              <w:spacing w:beforeAutospacing="0" w:after="0" w:afterAutospacing="0" w:line="360" w:lineRule="auto"/>
              <w:ind w:left="0" w:right="0" w:firstLine="480" w:firstLineChars="200"/>
              <w:textAlignment w:val="auto"/>
              <w:rPr>
                <w:rFonts w:hint="eastAsia" w:ascii="Times New Roman" w:hAnsi="Times New Roman" w:eastAsia="宋体" w:cs="宋体"/>
                <w:b w:val="0"/>
                <w:strike w:val="0"/>
                <w:dstrike w:val="0"/>
                <w:color w:val="auto"/>
                <w:kern w:val="2"/>
                <w:sz w:val="24"/>
                <w:szCs w:val="24"/>
                <w:highlight w:val="none"/>
                <w:lang w:val="en-US" w:eastAsia="zh-CN" w:bidi="ar"/>
              </w:rPr>
            </w:pPr>
            <w:r>
              <w:rPr>
                <w:rFonts w:hint="eastAsia" w:ascii="Times New Roman" w:hAnsi="Times New Roman" w:eastAsia="宋体" w:cs="宋体"/>
                <w:b w:val="0"/>
                <w:strike w:val="0"/>
                <w:dstrike w:val="0"/>
                <w:color w:val="auto"/>
                <w:kern w:val="2"/>
                <w:sz w:val="24"/>
                <w:szCs w:val="24"/>
                <w:highlight w:val="none"/>
                <w:lang w:val="en-US" w:eastAsia="zh-CN" w:bidi="ar"/>
              </w:rPr>
              <w:t>由上表可知，硫化氢满足《环境影响评价技术导则 大气环境》（</w:t>
            </w:r>
            <w:r>
              <w:rPr>
                <w:rFonts w:hint="default" w:ascii="Times New Roman" w:hAnsi="Times New Roman" w:eastAsia="宋体" w:cs="宋体"/>
                <w:b w:val="0"/>
                <w:strike w:val="0"/>
                <w:dstrike w:val="0"/>
                <w:color w:val="auto"/>
                <w:kern w:val="2"/>
                <w:sz w:val="24"/>
                <w:szCs w:val="24"/>
                <w:highlight w:val="none"/>
                <w:lang w:val="en-US" w:eastAsia="zh-CN" w:bidi="ar"/>
              </w:rPr>
              <w:t>HJ2.2-2018</w:t>
            </w:r>
            <w:r>
              <w:rPr>
                <w:rFonts w:hint="eastAsia" w:ascii="Times New Roman" w:hAnsi="Times New Roman" w:eastAsia="宋体" w:cs="宋体"/>
                <w:b w:val="0"/>
                <w:strike w:val="0"/>
                <w:dstrike w:val="0"/>
                <w:color w:val="auto"/>
                <w:kern w:val="2"/>
                <w:sz w:val="24"/>
                <w:szCs w:val="24"/>
                <w:highlight w:val="none"/>
                <w:lang w:val="en-US" w:eastAsia="zh-CN" w:bidi="ar"/>
              </w:rPr>
              <w:t>）附录</w:t>
            </w:r>
            <w:r>
              <w:rPr>
                <w:rFonts w:hint="default" w:ascii="Times New Roman" w:hAnsi="Times New Roman" w:eastAsia="宋体" w:cs="宋体"/>
                <w:b w:val="0"/>
                <w:strike w:val="0"/>
                <w:dstrike w:val="0"/>
                <w:color w:val="auto"/>
                <w:kern w:val="2"/>
                <w:sz w:val="24"/>
                <w:szCs w:val="24"/>
                <w:highlight w:val="none"/>
                <w:lang w:val="en-US" w:eastAsia="zh-CN" w:bidi="ar"/>
              </w:rPr>
              <w:t>D</w:t>
            </w:r>
            <w:r>
              <w:rPr>
                <w:rFonts w:hint="eastAsia" w:ascii="Times New Roman" w:hAnsi="Times New Roman" w:eastAsia="宋体" w:cs="宋体"/>
                <w:b w:val="0"/>
                <w:strike w:val="0"/>
                <w:dstrike w:val="0"/>
                <w:color w:val="auto"/>
                <w:kern w:val="2"/>
                <w:sz w:val="24"/>
                <w:szCs w:val="24"/>
                <w:highlight w:val="none"/>
                <w:lang w:val="en-US" w:eastAsia="zh-CN" w:bidi="ar"/>
              </w:rPr>
              <w:t>的对应标准。</w:t>
            </w:r>
          </w:p>
          <w:p w14:paraId="7EE44AAE">
            <w:pPr>
              <w:pStyle w:val="134"/>
              <w:keepNext w:val="0"/>
              <w:keepLines w:val="0"/>
              <w:pageBreakBefore w:val="0"/>
              <w:widowControl w:val="0"/>
              <w:suppressLineNumbers w:val="0"/>
              <w:kinsoku/>
              <w:wordWrap/>
              <w:overflowPunct/>
              <w:topLinePunct w:val="0"/>
              <w:autoSpaceDE/>
              <w:autoSpaceDN/>
              <w:bidi w:val="0"/>
              <w:adjustRightInd/>
              <w:snapToGrid/>
              <w:spacing w:beforeAutospacing="0" w:after="0" w:afterAutospacing="0" w:line="360" w:lineRule="auto"/>
              <w:ind w:left="0" w:right="0" w:firstLine="422" w:firstLineChars="200"/>
              <w:textAlignment w:val="auto"/>
              <w:rPr>
                <w:rFonts w:hint="default" w:ascii="Times New Roman" w:hAnsi="Times New Roman" w:eastAsia="宋体" w:cs="宋体"/>
                <w:b w:val="0"/>
                <w:strike w:val="0"/>
                <w:dstrike w:val="0"/>
                <w:color w:val="0000FF"/>
                <w:kern w:val="2"/>
                <w:sz w:val="24"/>
                <w:szCs w:val="24"/>
                <w:highlight w:val="none"/>
                <w:lang w:val="en-US" w:eastAsia="zh-CN" w:bidi="ar"/>
              </w:rPr>
            </w:pPr>
            <w:r>
              <w:rPr>
                <w:rFonts w:hint="eastAsia" w:ascii="Times New Roman" w:hAnsi="Times New Roman" w:eastAsia="仿宋_GB2312" w:cstheme="minorBidi"/>
                <w:kern w:val="2"/>
                <w:sz w:val="21"/>
                <w:szCs w:val="24"/>
                <w:highlight w:val="none"/>
                <w:lang w:val="en-US" w:eastAsia="zh-CN" w:bidi="ar-SA"/>
              </w:rPr>
              <w:drawing>
                <wp:inline distT="0" distB="0" distL="114300" distR="114300">
                  <wp:extent cx="5270500" cy="4614545"/>
                  <wp:effectExtent l="0" t="0" r="6350" b="5080"/>
                  <wp:docPr id="8" name="图片 8" descr="衢州复旦研究院-模型_0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图片 8" descr="衢州复旦研究院-模型_00"/>
                          <pic:cNvPicPr>
                            <a:picLocks noChangeAspect="1"/>
                          </pic:cNvPicPr>
                        </pic:nvPicPr>
                        <pic:blipFill>
                          <a:blip r:embed="rId47"/>
                          <a:stretch>
                            <a:fillRect/>
                          </a:stretch>
                        </pic:blipFill>
                        <pic:spPr>
                          <a:xfrm>
                            <a:off x="0" y="0"/>
                            <a:ext cx="5270500" cy="4614545"/>
                          </a:xfrm>
                          <a:prstGeom prst="rect">
                            <a:avLst/>
                          </a:prstGeom>
                        </pic:spPr>
                      </pic:pic>
                    </a:graphicData>
                  </a:graphic>
                </wp:inline>
              </w:drawing>
            </w:r>
          </w:p>
          <w:p w14:paraId="6F824A91">
            <w:pPr>
              <w:pStyle w:val="8"/>
              <w:keepNext w:val="0"/>
              <w:keepLines w:val="0"/>
              <w:pageBreakBefore w:val="0"/>
              <w:widowControl/>
              <w:suppressLineNumbers w:val="0"/>
              <w:kinsoku/>
              <w:wordWrap/>
              <w:overflowPunct/>
              <w:topLinePunct w:val="0"/>
              <w:autoSpaceDE/>
              <w:autoSpaceDN/>
              <w:bidi w:val="0"/>
              <w:adjustRightInd w:val="0"/>
              <w:snapToGrid/>
              <w:spacing w:before="0" w:beforeAutospacing="0" w:after="0" w:afterLines="0" w:afterAutospacing="0" w:line="360" w:lineRule="auto"/>
              <w:ind w:left="0" w:right="0" w:firstLine="0" w:firstLineChars="0"/>
              <w:jc w:val="center"/>
              <w:textAlignment w:val="baseline"/>
              <w:rPr>
                <w:rFonts w:hint="default" w:ascii="Times New Roman" w:hAnsi="Times New Roman" w:eastAsia="宋体" w:cs="Times New Roman"/>
                <w:b/>
                <w:strike w:val="0"/>
                <w:dstrike w:val="0"/>
                <w:snapToGrid w:val="0"/>
                <w:color w:val="auto"/>
                <w:kern w:val="0"/>
                <w:sz w:val="24"/>
                <w:szCs w:val="24"/>
                <w:highlight w:val="none"/>
                <w:lang w:val="en-US" w:eastAsia="zh-CN" w:bidi="ar-SA"/>
              </w:rPr>
            </w:pPr>
            <w:r>
              <w:rPr>
                <w:rFonts w:hint="eastAsia" w:ascii="Times New Roman" w:hAnsi="Times New Roman" w:eastAsia="宋体" w:cs="Times New Roman"/>
                <w:b/>
                <w:strike w:val="0"/>
                <w:dstrike w:val="0"/>
                <w:snapToGrid w:val="0"/>
                <w:color w:val="auto"/>
                <w:kern w:val="0"/>
                <w:sz w:val="24"/>
                <w:szCs w:val="24"/>
                <w:highlight w:val="none"/>
                <w:lang w:val="en-US" w:eastAsia="zh-CN" w:bidi="ar-SA"/>
              </w:rPr>
              <w:t>图7-2  大气监测点位图</w:t>
            </w:r>
          </w:p>
          <w:p w14:paraId="4892018A">
            <w:pPr>
              <w:pStyle w:val="134"/>
              <w:keepNext w:val="0"/>
              <w:keepLines w:val="0"/>
              <w:pageBreakBefore w:val="0"/>
              <w:widowControl w:val="0"/>
              <w:numPr>
                <w:ilvl w:val="0"/>
                <w:numId w:val="10"/>
              </w:numPr>
              <w:suppressLineNumbers w:val="0"/>
              <w:kinsoku/>
              <w:wordWrap/>
              <w:overflowPunct/>
              <w:topLinePunct w:val="0"/>
              <w:autoSpaceDE/>
              <w:autoSpaceDN/>
              <w:bidi w:val="0"/>
              <w:adjustRightInd/>
              <w:snapToGrid/>
              <w:spacing w:beforeAutospacing="0" w:after="0" w:afterAutospacing="0" w:line="360" w:lineRule="auto"/>
              <w:ind w:left="0" w:leftChars="0" w:right="0" w:firstLine="480" w:firstLineChars="200"/>
              <w:textAlignment w:val="auto"/>
              <w:rPr>
                <w:rFonts w:hint="eastAsia" w:ascii="Times New Roman" w:hAnsi="Times New Roman" w:eastAsia="宋体" w:cs="宋体"/>
                <w:b w:val="0"/>
                <w:strike w:val="0"/>
                <w:dstrike w:val="0"/>
                <w:color w:val="auto"/>
                <w:kern w:val="2"/>
                <w:sz w:val="24"/>
                <w:szCs w:val="24"/>
                <w:highlight w:val="none"/>
                <w:lang w:val="en-US" w:eastAsia="zh-CN" w:bidi="ar"/>
              </w:rPr>
            </w:pPr>
            <w:r>
              <w:rPr>
                <w:rFonts w:hint="eastAsia" w:ascii="Times New Roman" w:hAnsi="Times New Roman" w:eastAsia="宋体" w:cs="宋体"/>
                <w:b w:val="0"/>
                <w:strike w:val="0"/>
                <w:dstrike w:val="0"/>
                <w:color w:val="auto"/>
                <w:kern w:val="2"/>
                <w:sz w:val="24"/>
                <w:szCs w:val="24"/>
                <w:highlight w:val="none"/>
                <w:lang w:val="en-US" w:eastAsia="zh-CN" w:bidi="ar"/>
              </w:rPr>
              <w:t>气象</w:t>
            </w:r>
          </w:p>
          <w:p w14:paraId="2A78C05E">
            <w:pPr>
              <w:keepNext w:val="0"/>
              <w:keepLines w:val="0"/>
              <w:suppressLineNumbers w:val="0"/>
              <w:adjustRightInd w:val="0"/>
              <w:snapToGrid w:val="0"/>
              <w:spacing w:before="0" w:beforeAutospacing="0" w:after="0" w:afterAutospacing="0" w:line="360" w:lineRule="auto"/>
              <w:ind w:left="0" w:right="0" w:firstLine="480" w:firstLineChars="200"/>
              <w:jc w:val="both"/>
              <w:rPr>
                <w:rFonts w:hint="default" w:ascii="Times New Roman" w:hAnsi="Times New Roman" w:cs="Times New Roman"/>
                <w:color w:val="000000"/>
                <w:highlight w:val="none"/>
              </w:rPr>
            </w:pPr>
            <w:r>
              <w:rPr>
                <w:rFonts w:hint="default" w:ascii="Times New Roman" w:hAnsi="Times New Roman" w:cs="Times New Roman"/>
                <w:color w:val="000000"/>
                <w:highlight w:val="none"/>
              </w:rPr>
              <w:t>衢州地区属亚热带季风气候，冬夏季风交替明显，四季分明，日照时间较长，雨量充沛，气候温暖湿润。但该地区冬季易出现寒潮大风，夏季易出现高温干旱。据多年气象资料统计的主要气候特征见表</w:t>
            </w:r>
            <w:r>
              <w:rPr>
                <w:rFonts w:hint="eastAsia" w:cs="Times New Roman"/>
                <w:color w:val="000000"/>
                <w:highlight w:val="none"/>
                <w:lang w:val="en-US" w:eastAsia="zh-CN"/>
              </w:rPr>
              <w:t>7</w:t>
            </w:r>
            <w:r>
              <w:rPr>
                <w:rFonts w:hint="default" w:ascii="Times New Roman" w:hAnsi="Times New Roman" w:cs="Times New Roman"/>
                <w:color w:val="000000"/>
                <w:highlight w:val="none"/>
              </w:rPr>
              <w:t>-</w:t>
            </w:r>
            <w:r>
              <w:rPr>
                <w:rFonts w:hint="eastAsia" w:cs="Times New Roman"/>
                <w:color w:val="000000"/>
                <w:highlight w:val="none"/>
                <w:lang w:val="en-US" w:eastAsia="zh-CN"/>
              </w:rPr>
              <w:t>9</w:t>
            </w:r>
            <w:r>
              <w:rPr>
                <w:rFonts w:hint="default" w:ascii="Times New Roman" w:hAnsi="Times New Roman" w:cs="Times New Roman"/>
                <w:color w:val="000000"/>
                <w:highlight w:val="none"/>
              </w:rPr>
              <w:t>。</w:t>
            </w:r>
          </w:p>
          <w:p w14:paraId="2504CDBE">
            <w:pPr>
              <w:pStyle w:val="12"/>
              <w:keepNext w:val="0"/>
              <w:keepLines w:val="0"/>
              <w:suppressLineNumbers w:val="0"/>
              <w:adjustRightInd w:val="0"/>
              <w:snapToGrid w:val="0"/>
              <w:spacing w:before="0" w:beforeAutospacing="0" w:afterAutospacing="0" w:line="240" w:lineRule="auto"/>
              <w:ind w:right="0" w:firstLine="0"/>
              <w:jc w:val="center"/>
              <w:rPr>
                <w:rFonts w:hint="default" w:ascii="Times New Roman" w:hAnsi="Times New Roman" w:cs="Times New Roman"/>
                <w:b/>
                <w:bCs w:val="0"/>
                <w:color w:val="000000"/>
                <w:highlight w:val="none"/>
                <w:lang w:val="ca-ES" w:eastAsia="ca-ES"/>
              </w:rPr>
            </w:pPr>
            <w:r>
              <w:rPr>
                <w:rFonts w:hint="default" w:ascii="Times New Roman" w:hAnsi="Times New Roman" w:cs="Times New Roman"/>
                <w:b/>
                <w:bCs w:val="0"/>
                <w:color w:val="000000"/>
                <w:highlight w:val="none"/>
                <w:lang w:val="ca-ES" w:eastAsia="ca-ES"/>
              </w:rPr>
              <w:t>表</w:t>
            </w:r>
            <w:r>
              <w:rPr>
                <w:rFonts w:hint="eastAsia" w:cs="Times New Roman"/>
                <w:b/>
                <w:bCs w:val="0"/>
                <w:color w:val="000000"/>
                <w:highlight w:val="none"/>
                <w:lang w:val="en-US" w:eastAsia="zh-CN"/>
              </w:rPr>
              <w:t>7</w:t>
            </w:r>
            <w:r>
              <w:rPr>
                <w:rFonts w:hint="default" w:ascii="Times New Roman" w:hAnsi="Times New Roman" w:cs="Times New Roman"/>
                <w:b/>
                <w:bCs w:val="0"/>
                <w:color w:val="000000"/>
                <w:highlight w:val="none"/>
                <w:lang w:val="ca-ES"/>
              </w:rPr>
              <w:t>-</w:t>
            </w:r>
            <w:r>
              <w:rPr>
                <w:rFonts w:hint="eastAsia" w:cs="Times New Roman"/>
                <w:b/>
                <w:bCs w:val="0"/>
                <w:color w:val="000000"/>
                <w:highlight w:val="none"/>
                <w:lang w:val="en-US" w:eastAsia="zh-CN"/>
              </w:rPr>
              <w:t>9</w:t>
            </w:r>
            <w:r>
              <w:rPr>
                <w:rFonts w:hint="default" w:ascii="Times New Roman" w:hAnsi="Times New Roman" w:cs="Times New Roman"/>
                <w:b/>
                <w:bCs w:val="0"/>
                <w:color w:val="000000"/>
                <w:highlight w:val="none"/>
                <w:lang w:val="ca-ES"/>
              </w:rPr>
              <w:t xml:space="preserve">  </w:t>
            </w:r>
            <w:r>
              <w:rPr>
                <w:rFonts w:hint="default" w:ascii="Times New Roman" w:hAnsi="Times New Roman" w:cs="Times New Roman"/>
                <w:b/>
                <w:bCs w:val="0"/>
                <w:color w:val="000000"/>
                <w:highlight w:val="none"/>
                <w:lang w:val="ca-ES" w:eastAsia="ca-ES"/>
              </w:rPr>
              <w:t>衢州地区主要气候特征</w:t>
            </w:r>
          </w:p>
          <w:tbl>
            <w:tblPr>
              <w:tblStyle w:val="136"/>
              <w:tblW w:w="5000" w:type="pct"/>
              <w:jc w:val="cente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2576"/>
              <w:gridCol w:w="1870"/>
              <w:gridCol w:w="3740"/>
            </w:tblGrid>
            <w:tr w14:paraId="4683B640">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40" w:hRule="atLeast"/>
                <w:jc w:val="center"/>
              </w:trPr>
              <w:tc>
                <w:tcPr>
                  <w:tcW w:w="2859" w:type="dxa"/>
                  <w:noWrap w:val="0"/>
                  <w:vAlign w:val="center"/>
                </w:tcPr>
                <w:p w14:paraId="47358FA1">
                  <w:pPr>
                    <w:widowControl/>
                    <w:autoSpaceDE w:val="0"/>
                    <w:autoSpaceDN w:val="0"/>
                    <w:adjustRightInd w:val="0"/>
                    <w:snapToGrid w:val="0"/>
                    <w:jc w:val="center"/>
                    <w:rPr>
                      <w:rFonts w:ascii="Times New Roman" w:hAnsi="Times New Roman" w:cs="Times New Roman"/>
                      <w:color w:val="000000"/>
                      <w:sz w:val="21"/>
                      <w:szCs w:val="21"/>
                      <w:highlight w:val="none"/>
                      <w:lang w:val="ca-ES" w:eastAsia="ca-ES" w:bidi="ca-ES"/>
                    </w:rPr>
                  </w:pPr>
                  <w:r>
                    <w:rPr>
                      <w:rFonts w:ascii="Times New Roman" w:hAnsi="Times New Roman" w:cs="Times New Roman"/>
                      <w:color w:val="000000"/>
                      <w:sz w:val="21"/>
                      <w:szCs w:val="21"/>
                      <w:highlight w:val="none"/>
                      <w:lang w:val="ca-ES" w:eastAsia="ca-ES" w:bidi="ca-ES"/>
                    </w:rPr>
                    <w:t>指标</w:t>
                  </w:r>
                </w:p>
              </w:tc>
              <w:tc>
                <w:tcPr>
                  <w:tcW w:w="2075" w:type="dxa"/>
                  <w:noWrap w:val="0"/>
                  <w:vAlign w:val="center"/>
                </w:tcPr>
                <w:p w14:paraId="65721D76">
                  <w:pPr>
                    <w:widowControl/>
                    <w:autoSpaceDE w:val="0"/>
                    <w:autoSpaceDN w:val="0"/>
                    <w:adjustRightInd w:val="0"/>
                    <w:snapToGrid w:val="0"/>
                    <w:jc w:val="center"/>
                    <w:rPr>
                      <w:rFonts w:ascii="Times New Roman" w:hAnsi="Times New Roman" w:cs="Times New Roman"/>
                      <w:color w:val="000000"/>
                      <w:sz w:val="21"/>
                      <w:szCs w:val="21"/>
                      <w:highlight w:val="none"/>
                      <w:lang w:val="ca-ES" w:eastAsia="ca-ES" w:bidi="ca-ES"/>
                    </w:rPr>
                  </w:pPr>
                  <w:r>
                    <w:rPr>
                      <w:rFonts w:ascii="Times New Roman" w:hAnsi="Times New Roman" w:cs="Times New Roman"/>
                      <w:color w:val="000000"/>
                      <w:sz w:val="21"/>
                      <w:szCs w:val="21"/>
                      <w:highlight w:val="none"/>
                      <w:lang w:val="ca-ES" w:eastAsia="ca-ES" w:bidi="ca-ES"/>
                    </w:rPr>
                    <w:t>多年平均值</w:t>
                  </w:r>
                </w:p>
              </w:tc>
              <w:tc>
                <w:tcPr>
                  <w:tcW w:w="4150" w:type="dxa"/>
                  <w:noWrap w:val="0"/>
                  <w:vAlign w:val="center"/>
                </w:tcPr>
                <w:p w14:paraId="1B34EF6E">
                  <w:pPr>
                    <w:widowControl/>
                    <w:autoSpaceDE w:val="0"/>
                    <w:autoSpaceDN w:val="0"/>
                    <w:adjustRightInd w:val="0"/>
                    <w:snapToGrid w:val="0"/>
                    <w:jc w:val="center"/>
                    <w:rPr>
                      <w:rFonts w:ascii="Times New Roman" w:hAnsi="Times New Roman" w:cs="Times New Roman"/>
                      <w:color w:val="000000"/>
                      <w:sz w:val="21"/>
                      <w:szCs w:val="21"/>
                      <w:highlight w:val="none"/>
                      <w:lang w:val="ca-ES" w:eastAsia="ca-ES" w:bidi="ca-ES"/>
                    </w:rPr>
                  </w:pPr>
                  <w:r>
                    <w:rPr>
                      <w:rFonts w:ascii="Times New Roman" w:hAnsi="Times New Roman" w:cs="Times New Roman"/>
                      <w:color w:val="000000"/>
                      <w:sz w:val="21"/>
                      <w:szCs w:val="21"/>
                      <w:highlight w:val="none"/>
                      <w:lang w:val="ca-ES" w:eastAsia="ca-ES" w:bidi="ca-ES"/>
                    </w:rPr>
                    <w:t>特征</w:t>
                  </w:r>
                </w:p>
              </w:tc>
            </w:tr>
            <w:tr w14:paraId="2EE1352E">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40" w:hRule="atLeast"/>
                <w:jc w:val="center"/>
              </w:trPr>
              <w:tc>
                <w:tcPr>
                  <w:tcW w:w="2859" w:type="dxa"/>
                  <w:noWrap w:val="0"/>
                  <w:vAlign w:val="center"/>
                </w:tcPr>
                <w:p w14:paraId="3D6483CF">
                  <w:pPr>
                    <w:widowControl/>
                    <w:autoSpaceDE w:val="0"/>
                    <w:autoSpaceDN w:val="0"/>
                    <w:adjustRightInd w:val="0"/>
                    <w:snapToGrid w:val="0"/>
                    <w:jc w:val="center"/>
                    <w:rPr>
                      <w:rFonts w:ascii="Times New Roman" w:hAnsi="Times New Roman" w:cs="Times New Roman"/>
                      <w:color w:val="000000"/>
                      <w:sz w:val="21"/>
                      <w:szCs w:val="21"/>
                      <w:highlight w:val="none"/>
                      <w:lang w:val="ca-ES" w:eastAsia="ca-ES" w:bidi="ca-ES"/>
                    </w:rPr>
                  </w:pPr>
                  <w:r>
                    <w:rPr>
                      <w:rFonts w:ascii="Times New Roman" w:hAnsi="Times New Roman" w:cs="Times New Roman"/>
                      <w:color w:val="000000"/>
                      <w:sz w:val="21"/>
                      <w:szCs w:val="21"/>
                      <w:highlight w:val="none"/>
                      <w:lang w:val="ca-ES" w:eastAsia="ca-ES" w:bidi="ca-ES"/>
                    </w:rPr>
                    <w:t>年平均气温</w:t>
                  </w:r>
                </w:p>
              </w:tc>
              <w:tc>
                <w:tcPr>
                  <w:tcW w:w="2075" w:type="dxa"/>
                  <w:noWrap w:val="0"/>
                  <w:vAlign w:val="center"/>
                </w:tcPr>
                <w:p w14:paraId="1E65BA8D">
                  <w:pPr>
                    <w:widowControl/>
                    <w:autoSpaceDE w:val="0"/>
                    <w:autoSpaceDN w:val="0"/>
                    <w:adjustRightInd w:val="0"/>
                    <w:snapToGrid w:val="0"/>
                    <w:jc w:val="center"/>
                    <w:rPr>
                      <w:rFonts w:ascii="Times New Roman" w:hAnsi="Times New Roman" w:cs="Times New Roman"/>
                      <w:color w:val="000000"/>
                      <w:sz w:val="21"/>
                      <w:szCs w:val="21"/>
                      <w:highlight w:val="none"/>
                      <w:lang w:val="ca-ES" w:eastAsia="ca-ES" w:bidi="ca-ES"/>
                    </w:rPr>
                  </w:pPr>
                  <w:r>
                    <w:rPr>
                      <w:rFonts w:ascii="Times New Roman" w:hAnsi="Times New Roman" w:cs="Times New Roman"/>
                      <w:color w:val="000000"/>
                      <w:sz w:val="21"/>
                      <w:szCs w:val="21"/>
                      <w:highlight w:val="none"/>
                      <w:lang w:val="ca-ES" w:eastAsia="ca-ES" w:bidi="ca-ES"/>
                    </w:rPr>
                    <w:t>17.2</w:t>
                  </w:r>
                  <w:r>
                    <w:rPr>
                      <w:rFonts w:hint="eastAsia" w:ascii="宋体" w:hAnsi="宋体" w:eastAsia="宋体"/>
                      <w:color w:val="000000"/>
                      <w:sz w:val="21"/>
                      <w:szCs w:val="21"/>
                      <w:highlight w:val="none"/>
                      <w:lang w:val="ca-ES" w:eastAsia="ca-ES" w:bidi="ca-ES"/>
                    </w:rPr>
                    <w:t>℃</w:t>
                  </w:r>
                </w:p>
              </w:tc>
              <w:tc>
                <w:tcPr>
                  <w:tcW w:w="4150" w:type="dxa"/>
                  <w:noWrap w:val="0"/>
                  <w:vAlign w:val="center"/>
                </w:tcPr>
                <w:p w14:paraId="3C242A69">
                  <w:pPr>
                    <w:widowControl/>
                    <w:autoSpaceDE w:val="0"/>
                    <w:autoSpaceDN w:val="0"/>
                    <w:adjustRightInd w:val="0"/>
                    <w:snapToGrid w:val="0"/>
                    <w:jc w:val="center"/>
                    <w:rPr>
                      <w:rFonts w:ascii="Times New Roman" w:hAnsi="Times New Roman" w:cs="Times New Roman"/>
                      <w:color w:val="000000"/>
                      <w:sz w:val="21"/>
                      <w:szCs w:val="21"/>
                      <w:highlight w:val="none"/>
                      <w:lang w:val="ca-ES" w:eastAsia="ca-ES" w:bidi="ca-ES"/>
                    </w:rPr>
                  </w:pPr>
                  <w:r>
                    <w:rPr>
                      <w:rFonts w:ascii="Times New Roman" w:hAnsi="Times New Roman" w:cs="Times New Roman"/>
                      <w:color w:val="000000"/>
                      <w:sz w:val="21"/>
                      <w:szCs w:val="21"/>
                      <w:highlight w:val="none"/>
                      <w:lang w:val="ca-ES" w:eastAsia="ca-ES" w:bidi="ca-ES"/>
                    </w:rPr>
                    <w:t>7月最热，1月最冷</w:t>
                  </w:r>
                </w:p>
              </w:tc>
            </w:tr>
            <w:tr w14:paraId="224BAC4E">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40" w:hRule="atLeast"/>
                <w:jc w:val="center"/>
              </w:trPr>
              <w:tc>
                <w:tcPr>
                  <w:tcW w:w="2859" w:type="dxa"/>
                  <w:noWrap w:val="0"/>
                  <w:vAlign w:val="center"/>
                </w:tcPr>
                <w:p w14:paraId="270E437E">
                  <w:pPr>
                    <w:widowControl/>
                    <w:autoSpaceDE w:val="0"/>
                    <w:autoSpaceDN w:val="0"/>
                    <w:adjustRightInd w:val="0"/>
                    <w:snapToGrid w:val="0"/>
                    <w:jc w:val="center"/>
                    <w:rPr>
                      <w:rFonts w:ascii="Times New Roman" w:hAnsi="Times New Roman" w:cs="Times New Roman"/>
                      <w:color w:val="000000"/>
                      <w:sz w:val="21"/>
                      <w:szCs w:val="21"/>
                      <w:highlight w:val="none"/>
                      <w:lang w:val="ca-ES" w:eastAsia="ca-ES" w:bidi="ca-ES"/>
                    </w:rPr>
                  </w:pPr>
                  <w:r>
                    <w:rPr>
                      <w:rFonts w:ascii="Times New Roman" w:hAnsi="Times New Roman" w:cs="Times New Roman"/>
                      <w:color w:val="000000"/>
                      <w:sz w:val="21"/>
                      <w:szCs w:val="21"/>
                      <w:highlight w:val="none"/>
                      <w:lang w:val="ca-ES" w:eastAsia="ca-ES" w:bidi="ca-ES"/>
                    </w:rPr>
                    <w:t>降水</w:t>
                  </w:r>
                </w:p>
              </w:tc>
              <w:tc>
                <w:tcPr>
                  <w:tcW w:w="2075" w:type="dxa"/>
                  <w:noWrap w:val="0"/>
                  <w:vAlign w:val="center"/>
                </w:tcPr>
                <w:p w14:paraId="2864FB5C">
                  <w:pPr>
                    <w:widowControl/>
                    <w:autoSpaceDE w:val="0"/>
                    <w:autoSpaceDN w:val="0"/>
                    <w:adjustRightInd w:val="0"/>
                    <w:snapToGrid w:val="0"/>
                    <w:jc w:val="center"/>
                    <w:rPr>
                      <w:rFonts w:ascii="Times New Roman" w:hAnsi="Times New Roman" w:cs="Times New Roman"/>
                      <w:color w:val="000000"/>
                      <w:sz w:val="21"/>
                      <w:szCs w:val="21"/>
                      <w:highlight w:val="none"/>
                      <w:lang w:val="ca-ES" w:eastAsia="ca-ES" w:bidi="ca-ES"/>
                    </w:rPr>
                  </w:pPr>
                  <w:r>
                    <w:rPr>
                      <w:rFonts w:ascii="Times New Roman" w:hAnsi="Times New Roman" w:cs="Times New Roman"/>
                      <w:color w:val="000000"/>
                      <w:sz w:val="21"/>
                      <w:szCs w:val="21"/>
                      <w:highlight w:val="none"/>
                      <w:lang w:val="ca-ES" w:eastAsia="ca-ES" w:bidi="ca-ES"/>
                    </w:rPr>
                    <w:t>1602.7mm/a</w:t>
                  </w:r>
                </w:p>
              </w:tc>
              <w:tc>
                <w:tcPr>
                  <w:tcW w:w="4150" w:type="dxa"/>
                  <w:noWrap w:val="0"/>
                  <w:vAlign w:val="center"/>
                </w:tcPr>
                <w:p w14:paraId="4EF75E61">
                  <w:pPr>
                    <w:widowControl/>
                    <w:autoSpaceDE w:val="0"/>
                    <w:autoSpaceDN w:val="0"/>
                    <w:adjustRightInd w:val="0"/>
                    <w:snapToGrid w:val="0"/>
                    <w:jc w:val="center"/>
                    <w:rPr>
                      <w:rFonts w:ascii="Times New Roman" w:hAnsi="Times New Roman" w:cs="Times New Roman"/>
                      <w:color w:val="000000"/>
                      <w:sz w:val="21"/>
                      <w:szCs w:val="21"/>
                      <w:highlight w:val="none"/>
                      <w:lang w:val="ca-ES" w:eastAsia="ca-ES" w:bidi="ca-ES"/>
                    </w:rPr>
                  </w:pPr>
                  <w:r>
                    <w:rPr>
                      <w:rFonts w:ascii="Times New Roman" w:hAnsi="Times New Roman" w:cs="Times New Roman"/>
                      <w:color w:val="000000"/>
                      <w:sz w:val="21"/>
                      <w:szCs w:val="21"/>
                      <w:highlight w:val="none"/>
                      <w:lang w:val="ca-ES" w:eastAsia="ca-ES" w:bidi="ca-ES"/>
                    </w:rPr>
                    <w:t>全年降水量主要集中在3~6月</w:t>
                  </w:r>
                </w:p>
              </w:tc>
            </w:tr>
            <w:tr w14:paraId="32EEA009">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40" w:hRule="atLeast"/>
                <w:jc w:val="center"/>
              </w:trPr>
              <w:tc>
                <w:tcPr>
                  <w:tcW w:w="2859" w:type="dxa"/>
                  <w:noWrap w:val="0"/>
                  <w:vAlign w:val="center"/>
                </w:tcPr>
                <w:p w14:paraId="74178271">
                  <w:pPr>
                    <w:widowControl/>
                    <w:autoSpaceDE w:val="0"/>
                    <w:autoSpaceDN w:val="0"/>
                    <w:adjustRightInd w:val="0"/>
                    <w:snapToGrid w:val="0"/>
                    <w:jc w:val="center"/>
                    <w:rPr>
                      <w:rFonts w:ascii="Times New Roman" w:hAnsi="Times New Roman" w:cs="Times New Roman"/>
                      <w:color w:val="000000"/>
                      <w:sz w:val="21"/>
                      <w:szCs w:val="21"/>
                      <w:highlight w:val="none"/>
                      <w:lang w:val="ca-ES" w:eastAsia="ca-ES" w:bidi="ca-ES"/>
                    </w:rPr>
                  </w:pPr>
                  <w:r>
                    <w:rPr>
                      <w:rFonts w:ascii="Times New Roman" w:hAnsi="Times New Roman" w:cs="Times New Roman"/>
                      <w:color w:val="000000"/>
                      <w:sz w:val="21"/>
                      <w:szCs w:val="21"/>
                      <w:highlight w:val="none"/>
                      <w:lang w:val="ca-ES" w:eastAsia="ca-ES" w:bidi="ca-ES"/>
                    </w:rPr>
                    <w:t>年平均相对湿度</w:t>
                  </w:r>
                </w:p>
              </w:tc>
              <w:tc>
                <w:tcPr>
                  <w:tcW w:w="2075" w:type="dxa"/>
                  <w:noWrap w:val="0"/>
                  <w:vAlign w:val="center"/>
                </w:tcPr>
                <w:p w14:paraId="0F7EE16A">
                  <w:pPr>
                    <w:widowControl/>
                    <w:autoSpaceDE w:val="0"/>
                    <w:autoSpaceDN w:val="0"/>
                    <w:adjustRightInd w:val="0"/>
                    <w:snapToGrid w:val="0"/>
                    <w:jc w:val="center"/>
                    <w:rPr>
                      <w:rFonts w:ascii="Times New Roman" w:hAnsi="Times New Roman" w:cs="Times New Roman"/>
                      <w:color w:val="000000"/>
                      <w:sz w:val="21"/>
                      <w:szCs w:val="21"/>
                      <w:highlight w:val="none"/>
                      <w:lang w:val="ca-ES" w:eastAsia="ca-ES" w:bidi="ca-ES"/>
                    </w:rPr>
                  </w:pPr>
                  <w:r>
                    <w:rPr>
                      <w:rFonts w:ascii="Times New Roman" w:hAnsi="Times New Roman" w:cs="Times New Roman"/>
                      <w:color w:val="000000"/>
                      <w:sz w:val="21"/>
                      <w:szCs w:val="21"/>
                      <w:highlight w:val="none"/>
                      <w:lang w:val="ca-ES" w:eastAsia="ca-ES" w:bidi="ca-ES"/>
                    </w:rPr>
                    <w:t>82%</w:t>
                  </w:r>
                </w:p>
              </w:tc>
              <w:tc>
                <w:tcPr>
                  <w:tcW w:w="4150" w:type="dxa"/>
                  <w:noWrap w:val="0"/>
                  <w:vAlign w:val="center"/>
                </w:tcPr>
                <w:p w14:paraId="65587461">
                  <w:pPr>
                    <w:widowControl/>
                    <w:autoSpaceDE w:val="0"/>
                    <w:autoSpaceDN w:val="0"/>
                    <w:adjustRightInd w:val="0"/>
                    <w:snapToGrid w:val="0"/>
                    <w:jc w:val="center"/>
                    <w:rPr>
                      <w:rFonts w:ascii="Times New Roman" w:hAnsi="Times New Roman" w:cs="Times New Roman"/>
                      <w:color w:val="000000"/>
                      <w:sz w:val="21"/>
                      <w:szCs w:val="21"/>
                      <w:highlight w:val="none"/>
                      <w:lang w:val="ca-ES" w:eastAsia="ca-ES" w:bidi="ca-ES"/>
                    </w:rPr>
                  </w:pPr>
                  <w:r>
                    <w:rPr>
                      <w:rFonts w:ascii="Times New Roman" w:hAnsi="Times New Roman" w:cs="Times New Roman"/>
                      <w:color w:val="000000"/>
                      <w:sz w:val="21"/>
                      <w:szCs w:val="21"/>
                      <w:highlight w:val="none"/>
                      <w:lang w:val="ca-ES" w:eastAsia="ca-ES" w:bidi="ca-ES"/>
                    </w:rPr>
                    <w:t>3月最大，8月和12月最小</w:t>
                  </w:r>
                </w:p>
              </w:tc>
            </w:tr>
            <w:tr w14:paraId="2A61B47B">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40" w:hRule="atLeast"/>
                <w:jc w:val="center"/>
              </w:trPr>
              <w:tc>
                <w:tcPr>
                  <w:tcW w:w="2859" w:type="dxa"/>
                  <w:noWrap w:val="0"/>
                  <w:vAlign w:val="center"/>
                </w:tcPr>
                <w:p w14:paraId="49273451">
                  <w:pPr>
                    <w:widowControl/>
                    <w:autoSpaceDE w:val="0"/>
                    <w:autoSpaceDN w:val="0"/>
                    <w:adjustRightInd w:val="0"/>
                    <w:snapToGrid w:val="0"/>
                    <w:jc w:val="center"/>
                    <w:rPr>
                      <w:rFonts w:ascii="Times New Roman" w:hAnsi="Times New Roman" w:cs="Times New Roman"/>
                      <w:color w:val="000000"/>
                      <w:sz w:val="21"/>
                      <w:szCs w:val="21"/>
                      <w:highlight w:val="none"/>
                      <w:lang w:val="ca-ES" w:eastAsia="ca-ES" w:bidi="ca-ES"/>
                    </w:rPr>
                  </w:pPr>
                  <w:r>
                    <w:rPr>
                      <w:rFonts w:ascii="Times New Roman" w:hAnsi="Times New Roman" w:cs="Times New Roman"/>
                      <w:color w:val="000000"/>
                      <w:sz w:val="21"/>
                      <w:szCs w:val="21"/>
                      <w:highlight w:val="none"/>
                      <w:lang w:val="ca-ES" w:eastAsia="ca-ES" w:bidi="ca-ES"/>
                    </w:rPr>
                    <w:t>蒸发量</w:t>
                  </w:r>
                </w:p>
              </w:tc>
              <w:tc>
                <w:tcPr>
                  <w:tcW w:w="2075" w:type="dxa"/>
                  <w:noWrap w:val="0"/>
                  <w:vAlign w:val="center"/>
                </w:tcPr>
                <w:p w14:paraId="3E8D63EA">
                  <w:pPr>
                    <w:widowControl/>
                    <w:autoSpaceDE w:val="0"/>
                    <w:autoSpaceDN w:val="0"/>
                    <w:adjustRightInd w:val="0"/>
                    <w:snapToGrid w:val="0"/>
                    <w:jc w:val="center"/>
                    <w:rPr>
                      <w:rFonts w:ascii="Times New Roman" w:hAnsi="Times New Roman" w:cs="Times New Roman"/>
                      <w:color w:val="000000"/>
                      <w:sz w:val="21"/>
                      <w:szCs w:val="21"/>
                      <w:highlight w:val="none"/>
                      <w:lang w:val="ca-ES" w:eastAsia="ca-ES" w:bidi="ca-ES"/>
                    </w:rPr>
                  </w:pPr>
                  <w:r>
                    <w:rPr>
                      <w:rFonts w:ascii="Times New Roman" w:hAnsi="Times New Roman" w:cs="Times New Roman"/>
                      <w:color w:val="000000"/>
                      <w:sz w:val="21"/>
                      <w:szCs w:val="21"/>
                      <w:highlight w:val="none"/>
                      <w:lang w:val="ca-ES" w:eastAsia="ca-ES" w:bidi="ca-ES"/>
                    </w:rPr>
                    <w:t>1405.1mm/a</w:t>
                  </w:r>
                </w:p>
              </w:tc>
              <w:tc>
                <w:tcPr>
                  <w:tcW w:w="4150" w:type="dxa"/>
                  <w:noWrap w:val="0"/>
                  <w:vAlign w:val="center"/>
                </w:tcPr>
                <w:p w14:paraId="7F23E567">
                  <w:pPr>
                    <w:widowControl/>
                    <w:autoSpaceDE w:val="0"/>
                    <w:autoSpaceDN w:val="0"/>
                    <w:adjustRightInd w:val="0"/>
                    <w:snapToGrid w:val="0"/>
                    <w:jc w:val="center"/>
                    <w:rPr>
                      <w:rFonts w:ascii="Times New Roman" w:hAnsi="Times New Roman" w:cs="Times New Roman"/>
                      <w:color w:val="000000"/>
                      <w:sz w:val="21"/>
                      <w:szCs w:val="21"/>
                      <w:highlight w:val="none"/>
                      <w:lang w:val="ca-ES" w:eastAsia="ca-ES" w:bidi="ca-ES"/>
                    </w:rPr>
                  </w:pPr>
                  <w:r>
                    <w:rPr>
                      <w:rFonts w:ascii="Times New Roman" w:hAnsi="Times New Roman" w:cs="Times New Roman"/>
                      <w:color w:val="000000"/>
                      <w:sz w:val="21"/>
                      <w:szCs w:val="21"/>
                      <w:highlight w:val="none"/>
                      <w:lang w:val="ca-ES" w:eastAsia="ca-ES" w:bidi="ca-ES"/>
                    </w:rPr>
                    <w:t>7月最大，1月最小</w:t>
                  </w:r>
                </w:p>
              </w:tc>
            </w:tr>
            <w:tr w14:paraId="6C3B11BD">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40" w:hRule="atLeast"/>
                <w:jc w:val="center"/>
              </w:trPr>
              <w:tc>
                <w:tcPr>
                  <w:tcW w:w="2859" w:type="dxa"/>
                  <w:noWrap w:val="0"/>
                  <w:vAlign w:val="center"/>
                </w:tcPr>
                <w:p w14:paraId="2F4CCEE0">
                  <w:pPr>
                    <w:widowControl/>
                    <w:autoSpaceDE w:val="0"/>
                    <w:autoSpaceDN w:val="0"/>
                    <w:adjustRightInd w:val="0"/>
                    <w:snapToGrid w:val="0"/>
                    <w:jc w:val="center"/>
                    <w:rPr>
                      <w:rFonts w:ascii="Times New Roman" w:hAnsi="Times New Roman" w:cs="Times New Roman"/>
                      <w:color w:val="000000"/>
                      <w:sz w:val="21"/>
                      <w:szCs w:val="21"/>
                      <w:highlight w:val="none"/>
                      <w:lang w:val="ca-ES" w:eastAsia="ca-ES" w:bidi="ca-ES"/>
                    </w:rPr>
                  </w:pPr>
                  <w:r>
                    <w:rPr>
                      <w:rFonts w:ascii="Times New Roman" w:hAnsi="Times New Roman" w:cs="Times New Roman"/>
                      <w:color w:val="000000"/>
                      <w:sz w:val="21"/>
                      <w:szCs w:val="21"/>
                      <w:highlight w:val="none"/>
                      <w:lang w:val="ca-ES" w:eastAsia="ca-ES" w:bidi="ca-ES"/>
                    </w:rPr>
                    <w:t>日照百分率</w:t>
                  </w:r>
                </w:p>
              </w:tc>
              <w:tc>
                <w:tcPr>
                  <w:tcW w:w="2075" w:type="dxa"/>
                  <w:noWrap w:val="0"/>
                  <w:vAlign w:val="center"/>
                </w:tcPr>
                <w:p w14:paraId="74AC0F95">
                  <w:pPr>
                    <w:widowControl/>
                    <w:autoSpaceDE w:val="0"/>
                    <w:autoSpaceDN w:val="0"/>
                    <w:adjustRightInd w:val="0"/>
                    <w:snapToGrid w:val="0"/>
                    <w:jc w:val="center"/>
                    <w:rPr>
                      <w:rFonts w:ascii="Times New Roman" w:hAnsi="Times New Roman" w:cs="Times New Roman"/>
                      <w:color w:val="000000"/>
                      <w:sz w:val="21"/>
                      <w:szCs w:val="21"/>
                      <w:highlight w:val="none"/>
                      <w:lang w:val="ca-ES" w:eastAsia="ca-ES" w:bidi="ca-ES"/>
                    </w:rPr>
                  </w:pPr>
                  <w:r>
                    <w:rPr>
                      <w:rFonts w:ascii="Times New Roman" w:hAnsi="Times New Roman" w:cs="Times New Roman"/>
                      <w:color w:val="000000"/>
                      <w:sz w:val="21"/>
                      <w:szCs w:val="21"/>
                      <w:highlight w:val="none"/>
                      <w:lang w:val="ca-ES" w:eastAsia="ca-ES" w:bidi="ca-ES"/>
                    </w:rPr>
                    <w:t>39%</w:t>
                  </w:r>
                </w:p>
              </w:tc>
              <w:tc>
                <w:tcPr>
                  <w:tcW w:w="4150" w:type="dxa"/>
                  <w:noWrap w:val="0"/>
                  <w:vAlign w:val="center"/>
                </w:tcPr>
                <w:p w14:paraId="0E9B6A12">
                  <w:pPr>
                    <w:widowControl/>
                    <w:autoSpaceDE w:val="0"/>
                    <w:autoSpaceDN w:val="0"/>
                    <w:adjustRightInd w:val="0"/>
                    <w:snapToGrid w:val="0"/>
                    <w:jc w:val="center"/>
                    <w:rPr>
                      <w:rFonts w:ascii="Times New Roman" w:hAnsi="Times New Roman" w:cs="Times New Roman"/>
                      <w:color w:val="000000"/>
                      <w:sz w:val="21"/>
                      <w:szCs w:val="21"/>
                      <w:highlight w:val="none"/>
                      <w:lang w:val="ca-ES" w:eastAsia="ca-ES" w:bidi="ca-ES"/>
                    </w:rPr>
                  </w:pPr>
                  <w:r>
                    <w:rPr>
                      <w:rFonts w:ascii="Times New Roman" w:hAnsi="Times New Roman" w:cs="Times New Roman"/>
                      <w:color w:val="000000"/>
                      <w:sz w:val="21"/>
                      <w:szCs w:val="21"/>
                      <w:highlight w:val="none"/>
                      <w:lang w:val="ca-ES" w:eastAsia="ca-ES" w:bidi="ca-ES"/>
                    </w:rPr>
                    <w:t>7、8月最高，2、3月相对较小</w:t>
                  </w:r>
                </w:p>
              </w:tc>
            </w:tr>
            <w:tr w14:paraId="6F20CC8C">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40" w:hRule="atLeast"/>
                <w:jc w:val="center"/>
              </w:trPr>
              <w:tc>
                <w:tcPr>
                  <w:tcW w:w="2859" w:type="dxa"/>
                  <w:noWrap w:val="0"/>
                  <w:vAlign w:val="center"/>
                </w:tcPr>
                <w:p w14:paraId="67FA0788">
                  <w:pPr>
                    <w:widowControl/>
                    <w:autoSpaceDE w:val="0"/>
                    <w:autoSpaceDN w:val="0"/>
                    <w:adjustRightInd w:val="0"/>
                    <w:snapToGrid w:val="0"/>
                    <w:jc w:val="center"/>
                    <w:rPr>
                      <w:rFonts w:ascii="Times New Roman" w:hAnsi="Times New Roman" w:cs="Times New Roman"/>
                      <w:color w:val="000000"/>
                      <w:sz w:val="21"/>
                      <w:szCs w:val="21"/>
                      <w:highlight w:val="none"/>
                      <w:lang w:val="ca-ES" w:eastAsia="ca-ES" w:bidi="ca-ES"/>
                    </w:rPr>
                  </w:pPr>
                  <w:r>
                    <w:rPr>
                      <w:rFonts w:ascii="Times New Roman" w:hAnsi="Times New Roman" w:cs="Times New Roman"/>
                      <w:color w:val="000000"/>
                      <w:sz w:val="21"/>
                      <w:szCs w:val="21"/>
                      <w:highlight w:val="none"/>
                      <w:lang w:val="ca-ES" w:eastAsia="ca-ES" w:bidi="ca-ES"/>
                    </w:rPr>
                    <w:t>雾日</w:t>
                  </w:r>
                </w:p>
              </w:tc>
              <w:tc>
                <w:tcPr>
                  <w:tcW w:w="2075" w:type="dxa"/>
                  <w:noWrap w:val="0"/>
                  <w:vAlign w:val="center"/>
                </w:tcPr>
                <w:p w14:paraId="43ED590C">
                  <w:pPr>
                    <w:widowControl/>
                    <w:autoSpaceDE w:val="0"/>
                    <w:autoSpaceDN w:val="0"/>
                    <w:adjustRightInd w:val="0"/>
                    <w:snapToGrid w:val="0"/>
                    <w:jc w:val="center"/>
                    <w:rPr>
                      <w:rFonts w:ascii="Times New Roman" w:hAnsi="Times New Roman" w:cs="Times New Roman"/>
                      <w:color w:val="000000"/>
                      <w:sz w:val="21"/>
                      <w:szCs w:val="21"/>
                      <w:highlight w:val="none"/>
                      <w:lang w:val="ca-ES" w:eastAsia="ca-ES" w:bidi="ca-ES"/>
                    </w:rPr>
                  </w:pPr>
                  <w:r>
                    <w:rPr>
                      <w:rFonts w:ascii="Times New Roman" w:hAnsi="Times New Roman" w:cs="Times New Roman"/>
                      <w:color w:val="000000"/>
                      <w:sz w:val="21"/>
                      <w:szCs w:val="21"/>
                      <w:highlight w:val="none"/>
                      <w:lang w:val="ca-ES" w:eastAsia="ca-ES" w:bidi="ca-ES"/>
                    </w:rPr>
                    <w:t>18.1d/a</w:t>
                  </w:r>
                </w:p>
              </w:tc>
              <w:tc>
                <w:tcPr>
                  <w:tcW w:w="4150" w:type="dxa"/>
                  <w:noWrap w:val="0"/>
                  <w:vAlign w:val="center"/>
                </w:tcPr>
                <w:p w14:paraId="63C99FA2">
                  <w:pPr>
                    <w:widowControl/>
                    <w:autoSpaceDE w:val="0"/>
                    <w:autoSpaceDN w:val="0"/>
                    <w:adjustRightInd w:val="0"/>
                    <w:snapToGrid w:val="0"/>
                    <w:jc w:val="center"/>
                    <w:rPr>
                      <w:rFonts w:ascii="Times New Roman" w:hAnsi="Times New Roman" w:cs="Times New Roman"/>
                      <w:color w:val="000000"/>
                      <w:sz w:val="21"/>
                      <w:szCs w:val="21"/>
                      <w:highlight w:val="none"/>
                      <w:lang w:val="ca-ES" w:eastAsia="ca-ES" w:bidi="ca-ES"/>
                    </w:rPr>
                  </w:pPr>
                  <w:r>
                    <w:rPr>
                      <w:rFonts w:ascii="Times New Roman" w:hAnsi="Times New Roman" w:cs="Times New Roman"/>
                      <w:color w:val="000000"/>
                      <w:sz w:val="21"/>
                      <w:szCs w:val="21"/>
                      <w:highlight w:val="none"/>
                      <w:lang w:val="ca-ES" w:eastAsia="ca-ES" w:bidi="ca-ES"/>
                    </w:rPr>
                    <w:t>1和12月最多，6月最少</w:t>
                  </w:r>
                </w:p>
              </w:tc>
            </w:tr>
            <w:tr w14:paraId="3F14FC3D">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40" w:hRule="atLeast"/>
                <w:jc w:val="center"/>
              </w:trPr>
              <w:tc>
                <w:tcPr>
                  <w:tcW w:w="2859" w:type="dxa"/>
                  <w:noWrap w:val="0"/>
                  <w:vAlign w:val="center"/>
                </w:tcPr>
                <w:p w14:paraId="5FC2735B">
                  <w:pPr>
                    <w:widowControl/>
                    <w:autoSpaceDE w:val="0"/>
                    <w:autoSpaceDN w:val="0"/>
                    <w:adjustRightInd w:val="0"/>
                    <w:snapToGrid w:val="0"/>
                    <w:jc w:val="center"/>
                    <w:rPr>
                      <w:rFonts w:ascii="Times New Roman" w:hAnsi="Times New Roman" w:cs="Times New Roman"/>
                      <w:color w:val="000000"/>
                      <w:sz w:val="21"/>
                      <w:szCs w:val="21"/>
                      <w:highlight w:val="none"/>
                      <w:lang w:val="ca-ES" w:eastAsia="ca-ES" w:bidi="ca-ES"/>
                    </w:rPr>
                  </w:pPr>
                  <w:r>
                    <w:rPr>
                      <w:rFonts w:ascii="Times New Roman" w:hAnsi="Times New Roman" w:cs="Times New Roman"/>
                      <w:color w:val="000000"/>
                      <w:sz w:val="21"/>
                      <w:szCs w:val="21"/>
                      <w:highlight w:val="none"/>
                      <w:lang w:val="ca-ES" w:eastAsia="ca-ES" w:bidi="ca-ES"/>
                    </w:rPr>
                    <w:t>指标</w:t>
                  </w:r>
                </w:p>
              </w:tc>
              <w:tc>
                <w:tcPr>
                  <w:tcW w:w="2075" w:type="dxa"/>
                  <w:noWrap w:val="0"/>
                  <w:vAlign w:val="center"/>
                </w:tcPr>
                <w:p w14:paraId="16235202">
                  <w:pPr>
                    <w:widowControl/>
                    <w:autoSpaceDE w:val="0"/>
                    <w:autoSpaceDN w:val="0"/>
                    <w:adjustRightInd w:val="0"/>
                    <w:snapToGrid w:val="0"/>
                    <w:jc w:val="center"/>
                    <w:rPr>
                      <w:rFonts w:ascii="Times New Roman" w:hAnsi="Times New Roman" w:cs="Times New Roman"/>
                      <w:color w:val="000000"/>
                      <w:sz w:val="21"/>
                      <w:szCs w:val="21"/>
                      <w:highlight w:val="none"/>
                      <w:lang w:val="ca-ES" w:eastAsia="ca-ES" w:bidi="ca-ES"/>
                    </w:rPr>
                  </w:pPr>
                  <w:r>
                    <w:rPr>
                      <w:rFonts w:ascii="Times New Roman" w:hAnsi="Times New Roman" w:cs="Times New Roman"/>
                      <w:color w:val="000000"/>
                      <w:sz w:val="21"/>
                      <w:szCs w:val="21"/>
                      <w:highlight w:val="none"/>
                      <w:lang w:val="ca-ES" w:eastAsia="ca-ES" w:bidi="ca-ES"/>
                    </w:rPr>
                    <w:t>多年平均值</w:t>
                  </w:r>
                </w:p>
              </w:tc>
              <w:tc>
                <w:tcPr>
                  <w:tcW w:w="4150" w:type="dxa"/>
                  <w:noWrap w:val="0"/>
                  <w:vAlign w:val="center"/>
                </w:tcPr>
                <w:p w14:paraId="38995233">
                  <w:pPr>
                    <w:widowControl/>
                    <w:autoSpaceDE w:val="0"/>
                    <w:autoSpaceDN w:val="0"/>
                    <w:adjustRightInd w:val="0"/>
                    <w:snapToGrid w:val="0"/>
                    <w:jc w:val="center"/>
                    <w:rPr>
                      <w:rFonts w:ascii="Times New Roman" w:hAnsi="Times New Roman" w:cs="Times New Roman"/>
                      <w:color w:val="000000"/>
                      <w:sz w:val="21"/>
                      <w:szCs w:val="21"/>
                      <w:highlight w:val="none"/>
                      <w:lang w:val="ca-ES" w:eastAsia="ca-ES" w:bidi="ca-ES"/>
                    </w:rPr>
                  </w:pPr>
                  <w:r>
                    <w:rPr>
                      <w:rFonts w:ascii="Times New Roman" w:hAnsi="Times New Roman" w:cs="Times New Roman"/>
                      <w:color w:val="000000"/>
                      <w:sz w:val="21"/>
                      <w:szCs w:val="21"/>
                      <w:highlight w:val="none"/>
                      <w:lang w:val="ca-ES" w:eastAsia="ca-ES" w:bidi="ca-ES"/>
                    </w:rPr>
                    <w:t>特征</w:t>
                  </w:r>
                </w:p>
              </w:tc>
            </w:tr>
            <w:tr w14:paraId="391D9EA2">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40" w:hRule="atLeast"/>
                <w:jc w:val="center"/>
              </w:trPr>
              <w:tc>
                <w:tcPr>
                  <w:tcW w:w="2859" w:type="dxa"/>
                  <w:noWrap w:val="0"/>
                  <w:vAlign w:val="center"/>
                </w:tcPr>
                <w:p w14:paraId="603BBD42">
                  <w:pPr>
                    <w:widowControl/>
                    <w:autoSpaceDE w:val="0"/>
                    <w:autoSpaceDN w:val="0"/>
                    <w:adjustRightInd w:val="0"/>
                    <w:snapToGrid w:val="0"/>
                    <w:jc w:val="center"/>
                    <w:rPr>
                      <w:rFonts w:ascii="Times New Roman" w:hAnsi="Times New Roman" w:cs="Times New Roman"/>
                      <w:color w:val="000000"/>
                      <w:sz w:val="21"/>
                      <w:szCs w:val="21"/>
                      <w:highlight w:val="none"/>
                      <w:lang w:val="ca-ES" w:eastAsia="ca-ES" w:bidi="ca-ES"/>
                    </w:rPr>
                  </w:pPr>
                  <w:r>
                    <w:rPr>
                      <w:rFonts w:ascii="Times New Roman" w:hAnsi="Times New Roman" w:cs="Times New Roman"/>
                      <w:color w:val="000000"/>
                      <w:sz w:val="21"/>
                      <w:szCs w:val="21"/>
                      <w:highlight w:val="none"/>
                      <w:lang w:val="ca-ES" w:eastAsia="ca-ES" w:bidi="ca-ES"/>
                    </w:rPr>
                    <w:t>年平均风速</w:t>
                  </w:r>
                </w:p>
              </w:tc>
              <w:tc>
                <w:tcPr>
                  <w:tcW w:w="2075" w:type="dxa"/>
                  <w:noWrap w:val="0"/>
                  <w:vAlign w:val="center"/>
                </w:tcPr>
                <w:p w14:paraId="1F91C89A">
                  <w:pPr>
                    <w:widowControl/>
                    <w:autoSpaceDE w:val="0"/>
                    <w:autoSpaceDN w:val="0"/>
                    <w:adjustRightInd w:val="0"/>
                    <w:snapToGrid w:val="0"/>
                    <w:jc w:val="center"/>
                    <w:rPr>
                      <w:rFonts w:ascii="Times New Roman" w:hAnsi="Times New Roman" w:cs="Times New Roman"/>
                      <w:color w:val="000000"/>
                      <w:sz w:val="21"/>
                      <w:szCs w:val="21"/>
                      <w:highlight w:val="none"/>
                      <w:lang w:val="ca-ES" w:eastAsia="ca-ES" w:bidi="ca-ES"/>
                    </w:rPr>
                  </w:pPr>
                  <w:r>
                    <w:rPr>
                      <w:rFonts w:ascii="Times New Roman" w:hAnsi="Times New Roman" w:cs="Times New Roman"/>
                      <w:color w:val="000000"/>
                      <w:sz w:val="21"/>
                      <w:szCs w:val="21"/>
                      <w:highlight w:val="none"/>
                      <w:lang w:val="ca-ES" w:eastAsia="ca-ES" w:bidi="ca-ES"/>
                    </w:rPr>
                    <w:t>2.13m/s</w:t>
                  </w:r>
                </w:p>
              </w:tc>
              <w:tc>
                <w:tcPr>
                  <w:tcW w:w="4150" w:type="dxa"/>
                  <w:noWrap w:val="0"/>
                  <w:vAlign w:val="center"/>
                </w:tcPr>
                <w:p w14:paraId="40E3D7F5">
                  <w:pPr>
                    <w:widowControl/>
                    <w:autoSpaceDE w:val="0"/>
                    <w:autoSpaceDN w:val="0"/>
                    <w:adjustRightInd w:val="0"/>
                    <w:snapToGrid w:val="0"/>
                    <w:jc w:val="center"/>
                    <w:rPr>
                      <w:rFonts w:ascii="Times New Roman" w:hAnsi="Times New Roman" w:cs="Times New Roman"/>
                      <w:color w:val="000000"/>
                      <w:sz w:val="21"/>
                      <w:szCs w:val="21"/>
                      <w:highlight w:val="none"/>
                      <w:lang w:eastAsia="en-US" w:bidi="ca-ES"/>
                    </w:rPr>
                  </w:pPr>
                  <w:r>
                    <w:rPr>
                      <w:rFonts w:ascii="Times New Roman" w:hAnsi="Times New Roman" w:cs="Times New Roman"/>
                      <w:color w:val="000000"/>
                      <w:sz w:val="21"/>
                      <w:szCs w:val="21"/>
                      <w:highlight w:val="none"/>
                      <w:lang w:eastAsia="en-US" w:bidi="ca-ES"/>
                    </w:rPr>
                    <w:t>/</w:t>
                  </w:r>
                </w:p>
              </w:tc>
            </w:tr>
            <w:tr w14:paraId="56F1732A">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40" w:hRule="atLeast"/>
                <w:jc w:val="center"/>
              </w:trPr>
              <w:tc>
                <w:tcPr>
                  <w:tcW w:w="2859" w:type="dxa"/>
                  <w:noWrap w:val="0"/>
                  <w:vAlign w:val="center"/>
                </w:tcPr>
                <w:p w14:paraId="2762C292">
                  <w:pPr>
                    <w:widowControl/>
                    <w:autoSpaceDE w:val="0"/>
                    <w:autoSpaceDN w:val="0"/>
                    <w:adjustRightInd w:val="0"/>
                    <w:snapToGrid w:val="0"/>
                    <w:jc w:val="center"/>
                    <w:rPr>
                      <w:rFonts w:ascii="Times New Roman" w:hAnsi="Times New Roman" w:cs="Times New Roman"/>
                      <w:color w:val="000000"/>
                      <w:sz w:val="21"/>
                      <w:szCs w:val="21"/>
                      <w:highlight w:val="none"/>
                      <w:lang w:val="ca-ES" w:eastAsia="ca-ES" w:bidi="ca-ES"/>
                    </w:rPr>
                  </w:pPr>
                  <w:r>
                    <w:rPr>
                      <w:rFonts w:ascii="Times New Roman" w:hAnsi="Times New Roman" w:cs="Times New Roman"/>
                      <w:color w:val="000000"/>
                      <w:sz w:val="21"/>
                      <w:szCs w:val="21"/>
                      <w:highlight w:val="none"/>
                      <w:lang w:val="ca-ES" w:eastAsia="ca-ES" w:bidi="ca-ES"/>
                    </w:rPr>
                    <w:t>主导风向</w:t>
                  </w:r>
                </w:p>
              </w:tc>
              <w:tc>
                <w:tcPr>
                  <w:tcW w:w="2075" w:type="dxa"/>
                  <w:noWrap w:val="0"/>
                  <w:vAlign w:val="center"/>
                </w:tcPr>
                <w:p w14:paraId="375A04E1">
                  <w:pPr>
                    <w:widowControl/>
                    <w:autoSpaceDE w:val="0"/>
                    <w:autoSpaceDN w:val="0"/>
                    <w:adjustRightInd w:val="0"/>
                    <w:snapToGrid w:val="0"/>
                    <w:jc w:val="center"/>
                    <w:rPr>
                      <w:rFonts w:ascii="Times New Roman" w:hAnsi="Times New Roman" w:cs="Times New Roman"/>
                      <w:color w:val="000000"/>
                      <w:sz w:val="21"/>
                      <w:szCs w:val="21"/>
                      <w:highlight w:val="none"/>
                      <w:lang w:val="ca-ES" w:eastAsia="ca-ES" w:bidi="ca-ES"/>
                    </w:rPr>
                  </w:pPr>
                  <w:r>
                    <w:rPr>
                      <w:rFonts w:ascii="Times New Roman" w:hAnsi="Times New Roman" w:cs="Times New Roman"/>
                      <w:color w:val="000000"/>
                      <w:sz w:val="21"/>
                      <w:szCs w:val="21"/>
                      <w:highlight w:val="none"/>
                      <w:lang w:val="ca-ES" w:eastAsia="ca-ES" w:bidi="ca-ES"/>
                    </w:rPr>
                    <w:t>E</w:t>
                  </w:r>
                </w:p>
              </w:tc>
              <w:tc>
                <w:tcPr>
                  <w:tcW w:w="4150" w:type="dxa"/>
                  <w:noWrap w:val="0"/>
                  <w:vAlign w:val="center"/>
                </w:tcPr>
                <w:p w14:paraId="426B8A43">
                  <w:pPr>
                    <w:widowControl/>
                    <w:autoSpaceDE w:val="0"/>
                    <w:autoSpaceDN w:val="0"/>
                    <w:adjustRightInd w:val="0"/>
                    <w:snapToGrid w:val="0"/>
                    <w:jc w:val="center"/>
                    <w:rPr>
                      <w:rFonts w:ascii="Times New Roman" w:hAnsi="Times New Roman" w:cs="Times New Roman"/>
                      <w:color w:val="000000"/>
                      <w:sz w:val="21"/>
                      <w:szCs w:val="21"/>
                      <w:highlight w:val="none"/>
                      <w:lang w:val="ca-ES" w:eastAsia="ca-ES" w:bidi="ca-ES"/>
                    </w:rPr>
                  </w:pPr>
                  <w:r>
                    <w:rPr>
                      <w:rFonts w:ascii="Times New Roman" w:hAnsi="Times New Roman" w:cs="Times New Roman"/>
                      <w:color w:val="000000"/>
                      <w:sz w:val="21"/>
                      <w:szCs w:val="21"/>
                      <w:highlight w:val="none"/>
                      <w:lang w:val="ca-ES" w:eastAsia="ca-ES" w:bidi="ca-ES"/>
                    </w:rPr>
                    <w:t>1、4和10月为主</w:t>
                  </w:r>
                </w:p>
              </w:tc>
            </w:tr>
            <w:tr w14:paraId="5B724057">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40" w:hRule="atLeast"/>
                <w:jc w:val="center"/>
              </w:trPr>
              <w:tc>
                <w:tcPr>
                  <w:tcW w:w="2859" w:type="dxa"/>
                  <w:noWrap w:val="0"/>
                  <w:vAlign w:val="center"/>
                </w:tcPr>
                <w:p w14:paraId="1C9A07EB">
                  <w:pPr>
                    <w:widowControl/>
                    <w:autoSpaceDE w:val="0"/>
                    <w:autoSpaceDN w:val="0"/>
                    <w:adjustRightInd w:val="0"/>
                    <w:snapToGrid w:val="0"/>
                    <w:jc w:val="center"/>
                    <w:rPr>
                      <w:rFonts w:ascii="Times New Roman" w:hAnsi="Times New Roman" w:cs="Times New Roman"/>
                      <w:color w:val="000000"/>
                      <w:sz w:val="21"/>
                      <w:szCs w:val="21"/>
                      <w:highlight w:val="none"/>
                      <w:lang w:val="ca-ES" w:eastAsia="ca-ES" w:bidi="ca-ES"/>
                    </w:rPr>
                  </w:pPr>
                  <w:r>
                    <w:rPr>
                      <w:rFonts w:ascii="Times New Roman" w:hAnsi="Times New Roman" w:cs="Times New Roman"/>
                      <w:color w:val="000000"/>
                      <w:sz w:val="21"/>
                      <w:szCs w:val="21"/>
                      <w:highlight w:val="none"/>
                      <w:lang w:val="ca-ES" w:eastAsia="ca-ES" w:bidi="ca-ES"/>
                    </w:rPr>
                    <w:t>次主导风向</w:t>
                  </w:r>
                </w:p>
              </w:tc>
              <w:tc>
                <w:tcPr>
                  <w:tcW w:w="2075" w:type="dxa"/>
                  <w:noWrap w:val="0"/>
                  <w:vAlign w:val="center"/>
                </w:tcPr>
                <w:p w14:paraId="30596913">
                  <w:pPr>
                    <w:widowControl/>
                    <w:autoSpaceDE w:val="0"/>
                    <w:autoSpaceDN w:val="0"/>
                    <w:adjustRightInd w:val="0"/>
                    <w:snapToGrid w:val="0"/>
                    <w:jc w:val="center"/>
                    <w:rPr>
                      <w:rFonts w:ascii="Times New Roman" w:hAnsi="Times New Roman" w:cs="Times New Roman"/>
                      <w:color w:val="000000"/>
                      <w:sz w:val="21"/>
                      <w:szCs w:val="21"/>
                      <w:highlight w:val="none"/>
                      <w:lang w:val="ca-ES" w:eastAsia="ca-ES" w:bidi="ca-ES"/>
                    </w:rPr>
                  </w:pPr>
                  <w:r>
                    <w:rPr>
                      <w:rFonts w:ascii="Times New Roman" w:hAnsi="Times New Roman" w:cs="Times New Roman"/>
                      <w:color w:val="000000"/>
                      <w:sz w:val="21"/>
                      <w:szCs w:val="21"/>
                      <w:highlight w:val="none"/>
                      <w:lang w:val="ca-ES" w:eastAsia="ca-ES" w:bidi="ca-ES"/>
                    </w:rPr>
                    <w:t>ENE</w:t>
                  </w:r>
                </w:p>
              </w:tc>
              <w:tc>
                <w:tcPr>
                  <w:tcW w:w="4150" w:type="dxa"/>
                  <w:noWrap w:val="0"/>
                  <w:vAlign w:val="center"/>
                </w:tcPr>
                <w:p w14:paraId="3742D680">
                  <w:pPr>
                    <w:widowControl/>
                    <w:autoSpaceDE w:val="0"/>
                    <w:autoSpaceDN w:val="0"/>
                    <w:adjustRightInd w:val="0"/>
                    <w:snapToGrid w:val="0"/>
                    <w:jc w:val="center"/>
                    <w:rPr>
                      <w:rFonts w:ascii="Times New Roman" w:hAnsi="Times New Roman" w:cs="Times New Roman"/>
                      <w:color w:val="000000"/>
                      <w:sz w:val="21"/>
                      <w:szCs w:val="21"/>
                      <w:highlight w:val="none"/>
                      <w:lang w:val="ca-ES" w:eastAsia="ca-ES" w:bidi="ca-ES"/>
                    </w:rPr>
                  </w:pPr>
                  <w:r>
                    <w:rPr>
                      <w:rFonts w:ascii="Times New Roman" w:hAnsi="Times New Roman" w:cs="Times New Roman"/>
                      <w:color w:val="000000"/>
                      <w:sz w:val="21"/>
                      <w:szCs w:val="21"/>
                      <w:highlight w:val="none"/>
                      <w:lang w:val="ca-ES" w:eastAsia="ca-ES" w:bidi="ca-ES"/>
                    </w:rPr>
                    <w:t>7月为主</w:t>
                  </w:r>
                </w:p>
              </w:tc>
            </w:tr>
          </w:tbl>
          <w:p w14:paraId="0588264A">
            <w:pPr>
              <w:keepNext w:val="0"/>
              <w:keepLines w:val="0"/>
              <w:suppressLineNumbers w:val="0"/>
              <w:adjustRightInd w:val="0"/>
              <w:snapToGrid w:val="0"/>
              <w:spacing w:before="0" w:beforeAutospacing="0" w:after="0" w:afterAutospacing="0" w:line="360" w:lineRule="auto"/>
              <w:ind w:left="0" w:right="0" w:firstLine="480" w:firstLineChars="200"/>
              <w:jc w:val="both"/>
              <w:rPr>
                <w:rFonts w:hint="default" w:ascii="Times New Roman" w:hAnsi="Times New Roman" w:cs="Times New Roman"/>
                <w:color w:val="000000"/>
                <w:highlight w:val="none"/>
              </w:rPr>
            </w:pPr>
            <w:r>
              <w:rPr>
                <w:rFonts w:hint="default" w:ascii="Times New Roman" w:hAnsi="Times New Roman" w:cs="Times New Roman"/>
                <w:color w:val="000000"/>
                <w:highlight w:val="none"/>
              </w:rPr>
              <w:t>由当地气象特征可知，本项目排放的</w:t>
            </w:r>
            <w:r>
              <w:rPr>
                <w:rFonts w:hint="eastAsia" w:cs="Times New Roman"/>
                <w:color w:val="000000"/>
                <w:highlight w:val="none"/>
                <w:lang w:eastAsia="zh-CN"/>
              </w:rPr>
              <w:t>空气污染物</w:t>
            </w:r>
            <w:r>
              <w:rPr>
                <w:rFonts w:hint="default" w:ascii="Times New Roman" w:hAnsi="Times New Roman" w:cs="Times New Roman"/>
                <w:color w:val="000000"/>
                <w:highlight w:val="none"/>
              </w:rPr>
              <w:t>影响的地区主要在其主导风ENE的下风向，而夏季则在WSW风向的下风向，其</w:t>
            </w:r>
            <w:r>
              <w:rPr>
                <w:rFonts w:hint="eastAsia" w:cs="Times New Roman"/>
                <w:color w:val="000000"/>
                <w:highlight w:val="none"/>
                <w:lang w:val="en-US" w:eastAsia="zh-CN"/>
              </w:rPr>
              <w:t>他</w:t>
            </w:r>
            <w:r>
              <w:rPr>
                <w:rFonts w:hint="default" w:ascii="Times New Roman" w:hAnsi="Times New Roman" w:cs="Times New Roman"/>
                <w:color w:val="000000"/>
                <w:highlight w:val="none"/>
              </w:rPr>
              <w:t>区域相对影响较小。</w:t>
            </w:r>
          </w:p>
          <w:p w14:paraId="1218536B">
            <w:pPr>
              <w:keepNext w:val="0"/>
              <w:keepLines w:val="0"/>
              <w:suppressLineNumbers w:val="0"/>
              <w:adjustRightInd w:val="0"/>
              <w:snapToGrid w:val="0"/>
              <w:spacing w:before="0" w:beforeAutospacing="0" w:after="0" w:afterAutospacing="0" w:line="360" w:lineRule="auto"/>
              <w:ind w:left="0" w:right="0" w:firstLine="480" w:firstLineChars="200"/>
              <w:jc w:val="both"/>
              <w:rPr>
                <w:rFonts w:hint="default" w:ascii="Times New Roman" w:hAnsi="Times New Roman" w:cs="Times New Roman"/>
                <w:color w:val="000000"/>
                <w:highlight w:val="none"/>
              </w:rPr>
            </w:pPr>
            <w:r>
              <w:rPr>
                <w:rFonts w:hint="default" w:ascii="Times New Roman" w:hAnsi="Times New Roman" w:cs="Times New Roman"/>
                <w:color w:val="000000"/>
                <w:highlight w:val="none"/>
              </w:rPr>
              <w:t>衢州市属亚热带季风气候区，有四季分明、冬夏长春秋短、光温充足、降水丰沛季节分配不均的地带性特征。根据统计资料，其主要气象特征如下：</w:t>
            </w:r>
          </w:p>
          <w:p w14:paraId="770B19A8">
            <w:pPr>
              <w:keepNext w:val="0"/>
              <w:keepLines w:val="0"/>
              <w:suppressLineNumbers w:val="0"/>
              <w:adjustRightInd w:val="0"/>
              <w:snapToGrid w:val="0"/>
              <w:spacing w:before="0" w:beforeAutospacing="0" w:after="0" w:afterAutospacing="0" w:line="360" w:lineRule="auto"/>
              <w:ind w:left="0" w:right="0" w:firstLine="480" w:firstLineChars="200"/>
              <w:jc w:val="both"/>
              <w:rPr>
                <w:rFonts w:hint="default" w:ascii="Times New Roman" w:hAnsi="Times New Roman" w:cs="Times New Roman"/>
                <w:color w:val="000000"/>
                <w:highlight w:val="none"/>
              </w:rPr>
            </w:pPr>
            <w:r>
              <w:rPr>
                <w:rFonts w:hint="default" w:ascii="Times New Roman" w:hAnsi="Times New Roman" w:cs="Times New Roman"/>
                <w:color w:val="000000"/>
                <w:highlight w:val="none"/>
              </w:rPr>
              <w:t>气温：历年平均气温为17.4</w:t>
            </w:r>
            <w:r>
              <w:rPr>
                <w:rFonts w:hint="eastAsia" w:ascii="宋体" w:hAnsi="宋体" w:eastAsia="宋体"/>
                <w:color w:val="000000"/>
                <w:highlight w:val="none"/>
              </w:rPr>
              <w:t>℃</w:t>
            </w:r>
            <w:r>
              <w:rPr>
                <w:rFonts w:hint="default" w:ascii="Times New Roman" w:hAnsi="Times New Roman" w:cs="Times New Roman"/>
                <w:color w:val="000000"/>
                <w:highlight w:val="none"/>
              </w:rPr>
              <w:t>，最热月是7月，历年平均气温达28.9</w:t>
            </w:r>
            <w:r>
              <w:rPr>
                <w:rFonts w:hint="eastAsia" w:ascii="宋体" w:hAnsi="宋体" w:eastAsia="宋体"/>
                <w:color w:val="000000"/>
                <w:highlight w:val="none"/>
              </w:rPr>
              <w:t>℃</w:t>
            </w:r>
            <w:r>
              <w:rPr>
                <w:rFonts w:hint="default" w:ascii="Times New Roman" w:hAnsi="Times New Roman" w:cs="Times New Roman"/>
                <w:color w:val="000000"/>
                <w:highlight w:val="none"/>
              </w:rPr>
              <w:t>，最冷月是1月，历年平均气温5.3</w:t>
            </w:r>
            <w:r>
              <w:rPr>
                <w:rFonts w:hint="eastAsia" w:ascii="宋体" w:hAnsi="宋体" w:eastAsia="宋体"/>
                <w:color w:val="000000"/>
                <w:highlight w:val="none"/>
              </w:rPr>
              <w:t>℃</w:t>
            </w:r>
            <w:r>
              <w:rPr>
                <w:rFonts w:hint="default" w:ascii="Times New Roman" w:hAnsi="Times New Roman" w:cs="Times New Roman"/>
                <w:color w:val="000000"/>
                <w:highlight w:val="none"/>
              </w:rPr>
              <w:t>。历年极端最高气温40.5</w:t>
            </w:r>
            <w:r>
              <w:rPr>
                <w:rFonts w:hint="eastAsia" w:ascii="宋体" w:hAnsi="宋体" w:eastAsia="宋体"/>
                <w:color w:val="000000"/>
                <w:highlight w:val="none"/>
              </w:rPr>
              <w:t>℃</w:t>
            </w:r>
            <w:r>
              <w:rPr>
                <w:rFonts w:hint="default" w:ascii="Times New Roman" w:hAnsi="Times New Roman" w:cs="Times New Roman"/>
                <w:color w:val="000000"/>
                <w:highlight w:val="none"/>
              </w:rPr>
              <w:t>，极端最低气温零下10.4</w:t>
            </w:r>
            <w:r>
              <w:rPr>
                <w:rFonts w:hint="eastAsia" w:ascii="宋体" w:hAnsi="宋体" w:eastAsia="宋体"/>
                <w:color w:val="000000"/>
                <w:highlight w:val="none"/>
              </w:rPr>
              <w:t>℃</w:t>
            </w:r>
            <w:r>
              <w:rPr>
                <w:rFonts w:hint="default" w:ascii="Times New Roman" w:hAnsi="Times New Roman" w:cs="Times New Roman"/>
                <w:color w:val="000000"/>
                <w:highlight w:val="none"/>
              </w:rPr>
              <w:t>。</w:t>
            </w:r>
          </w:p>
          <w:p w14:paraId="17F9CBAF">
            <w:pPr>
              <w:keepNext w:val="0"/>
              <w:keepLines w:val="0"/>
              <w:suppressLineNumbers w:val="0"/>
              <w:adjustRightInd w:val="0"/>
              <w:snapToGrid w:val="0"/>
              <w:spacing w:before="0" w:beforeAutospacing="0" w:after="0" w:afterAutospacing="0" w:line="360" w:lineRule="auto"/>
              <w:ind w:left="0" w:right="0" w:firstLine="480" w:firstLineChars="200"/>
              <w:jc w:val="both"/>
              <w:rPr>
                <w:rFonts w:hint="default" w:ascii="Times New Roman" w:hAnsi="Times New Roman" w:cs="Times New Roman"/>
                <w:color w:val="000000"/>
                <w:highlight w:val="none"/>
              </w:rPr>
            </w:pPr>
            <w:r>
              <w:rPr>
                <w:rFonts w:hint="default" w:ascii="Times New Roman" w:hAnsi="Times New Roman" w:cs="Times New Roman"/>
                <w:color w:val="000000"/>
                <w:highlight w:val="none"/>
              </w:rPr>
              <w:t>降水量：年平均降水量1691.6mm，最多年为2464.5mm，最少年为1104.2mm。月平均降水量最多的是6月（302.3mm），最少的是12月（51.5mm）。月极端最多650.0mm，月极端最少0.0mm。</w:t>
            </w:r>
          </w:p>
          <w:p w14:paraId="7D55695C">
            <w:pPr>
              <w:keepNext w:val="0"/>
              <w:keepLines w:val="0"/>
              <w:suppressLineNumbers w:val="0"/>
              <w:adjustRightInd w:val="0"/>
              <w:snapToGrid w:val="0"/>
              <w:spacing w:before="0" w:beforeAutospacing="0" w:after="0" w:afterAutospacing="0" w:line="360" w:lineRule="auto"/>
              <w:ind w:left="0" w:right="0" w:firstLine="480" w:firstLineChars="200"/>
              <w:jc w:val="both"/>
              <w:rPr>
                <w:rFonts w:hint="default" w:ascii="Times New Roman" w:hAnsi="Times New Roman" w:cs="Times New Roman"/>
                <w:color w:val="000000"/>
                <w:highlight w:val="none"/>
              </w:rPr>
            </w:pPr>
            <w:r>
              <w:rPr>
                <w:rFonts w:hint="default" w:ascii="Times New Roman" w:hAnsi="Times New Roman" w:cs="Times New Roman"/>
                <w:color w:val="000000"/>
                <w:highlight w:val="none"/>
              </w:rPr>
              <w:t>风向风速：全年主导风向东北偏东风，占19.82%，次主导风向为东北风，占19.07%。年平均风速2.31m/s，年静风频率为4.68%，冬季最大。</w:t>
            </w:r>
          </w:p>
          <w:p w14:paraId="257D2C1F">
            <w:pPr>
              <w:keepNext w:val="0"/>
              <w:keepLines w:val="0"/>
              <w:suppressLineNumbers w:val="0"/>
              <w:adjustRightInd w:val="0"/>
              <w:snapToGrid w:val="0"/>
              <w:spacing w:before="0" w:beforeAutospacing="0" w:after="0" w:afterAutospacing="0" w:line="360" w:lineRule="auto"/>
              <w:ind w:left="0" w:right="0" w:firstLine="480" w:firstLineChars="200"/>
              <w:jc w:val="both"/>
              <w:rPr>
                <w:rFonts w:hint="default" w:ascii="Times New Roman" w:hAnsi="Times New Roman" w:cs="Times New Roman"/>
                <w:color w:val="000000"/>
                <w:highlight w:val="none"/>
              </w:rPr>
            </w:pPr>
            <w:r>
              <w:rPr>
                <w:rFonts w:hint="default" w:ascii="Times New Roman" w:hAnsi="Times New Roman" w:cs="Times New Roman"/>
                <w:color w:val="000000"/>
                <w:highlight w:val="none"/>
              </w:rPr>
              <w:t>相对湿度：年平均相对湿度79%，最大月（3、6月）平均相对湿度为82%，最小月（8月）平均相对湿度为76%。</w:t>
            </w:r>
          </w:p>
          <w:p w14:paraId="554DCB9D">
            <w:pPr>
              <w:keepNext w:val="0"/>
              <w:keepLines w:val="0"/>
              <w:suppressLineNumbers w:val="0"/>
              <w:adjustRightInd w:val="0"/>
              <w:snapToGrid w:val="0"/>
              <w:spacing w:before="0" w:beforeAutospacing="0" w:after="0" w:afterAutospacing="0" w:line="360" w:lineRule="auto"/>
              <w:ind w:left="0" w:right="0" w:firstLine="480" w:firstLineChars="200"/>
              <w:jc w:val="both"/>
              <w:rPr>
                <w:rFonts w:hint="default" w:ascii="Times New Roman" w:hAnsi="Times New Roman" w:cs="Times New Roman"/>
                <w:color w:val="000000"/>
                <w:highlight w:val="none"/>
              </w:rPr>
            </w:pPr>
            <w:r>
              <w:rPr>
                <w:rFonts w:hint="default" w:ascii="Times New Roman" w:hAnsi="Times New Roman" w:cs="Times New Roman"/>
                <w:color w:val="000000"/>
                <w:highlight w:val="none"/>
              </w:rPr>
              <w:t>蒸发量：年平均蒸发量1405.1mm，最大月（7月）平均蒸发量222.7mm，最小月（1月）平均蒸发量为45.8mm。</w:t>
            </w:r>
          </w:p>
          <w:p w14:paraId="658A2908">
            <w:pPr>
              <w:keepNext w:val="0"/>
              <w:keepLines w:val="0"/>
              <w:suppressLineNumbers w:val="0"/>
              <w:adjustRightInd w:val="0"/>
              <w:snapToGrid w:val="0"/>
              <w:spacing w:before="0" w:beforeAutospacing="0" w:after="0" w:afterAutospacing="0" w:line="360" w:lineRule="auto"/>
              <w:ind w:left="0" w:right="0" w:firstLine="480" w:firstLineChars="200"/>
              <w:jc w:val="left"/>
              <w:rPr>
                <w:rFonts w:hint="eastAsia"/>
                <w:b/>
                <w:color w:val="auto"/>
                <w:kern w:val="0"/>
                <w:sz w:val="24"/>
                <w:highlight w:val="none"/>
              </w:rPr>
            </w:pPr>
            <w:r>
              <w:rPr>
                <w:rFonts w:hint="default" w:ascii="Times New Roman" w:hAnsi="Times New Roman" w:cs="Times New Roman"/>
                <w:color w:val="000000"/>
                <w:highlight w:val="none"/>
              </w:rPr>
              <w:t>日照：年平均日照时数1713.2h，最长月（7月）平均日照时数为239h，最短月（2月）平均日照时数为68.9h</w:t>
            </w:r>
            <w:r>
              <w:rPr>
                <w:rFonts w:hint="eastAsia" w:ascii="Times New Roman" w:hAnsi="Times New Roman" w:eastAsia="宋体" w:cs="宋体"/>
                <w:color w:val="auto"/>
                <w:kern w:val="2"/>
                <w:sz w:val="24"/>
                <w:szCs w:val="24"/>
                <w:highlight w:val="none"/>
                <w:lang w:val="en-US" w:eastAsia="zh-CN" w:bidi="ar"/>
              </w:rPr>
              <w:t>。</w:t>
            </w:r>
          </w:p>
          <w:p w14:paraId="7697EFEE">
            <w:pPr>
              <w:keepNext w:val="0"/>
              <w:keepLines w:val="0"/>
              <w:suppressLineNumbers w:val="0"/>
              <w:adjustRightInd w:val="0"/>
              <w:snapToGrid w:val="0"/>
              <w:spacing w:before="0" w:beforeAutospacing="0" w:after="0" w:afterAutospacing="0" w:line="360" w:lineRule="auto"/>
              <w:ind w:left="0" w:right="0" w:firstLine="482" w:firstLineChars="200"/>
              <w:jc w:val="left"/>
              <w:rPr>
                <w:rFonts w:hint="eastAsia"/>
                <w:b/>
                <w:kern w:val="0"/>
                <w:sz w:val="24"/>
                <w:highlight w:val="none"/>
              </w:rPr>
            </w:pPr>
            <w:r>
              <w:rPr>
                <w:rFonts w:hint="eastAsia"/>
                <w:b/>
                <w:kern w:val="0"/>
                <w:sz w:val="24"/>
                <w:highlight w:val="none"/>
                <w:lang w:val="en-US" w:eastAsia="zh-CN"/>
              </w:rPr>
              <w:t>5</w:t>
            </w:r>
            <w:r>
              <w:rPr>
                <w:rFonts w:hint="eastAsia"/>
                <w:b/>
                <w:kern w:val="0"/>
                <w:sz w:val="24"/>
                <w:highlight w:val="none"/>
              </w:rPr>
              <w:t>、废气污染源强分析</w:t>
            </w:r>
          </w:p>
          <w:p w14:paraId="674AF7F4">
            <w:pPr>
              <w:keepNext w:val="0"/>
              <w:keepLines w:val="0"/>
              <w:suppressLineNumbers w:val="0"/>
              <w:spacing w:before="0" w:beforeAutospacing="0" w:after="0" w:afterAutospacing="0" w:line="360" w:lineRule="auto"/>
              <w:ind w:left="0" w:right="0" w:firstLine="482" w:firstLineChars="200"/>
              <w:jc w:val="left"/>
              <w:rPr>
                <w:rFonts w:hint="eastAsia"/>
                <w:b/>
                <w:bCs/>
                <w:sz w:val="24"/>
                <w:highlight w:val="none"/>
              </w:rPr>
            </w:pPr>
            <w:r>
              <w:rPr>
                <w:rFonts w:hint="eastAsia"/>
                <w:b/>
                <w:bCs/>
                <w:sz w:val="24"/>
                <w:highlight w:val="none"/>
              </w:rPr>
              <w:t>（1）废气污染物排放源汇总</w:t>
            </w:r>
          </w:p>
          <w:p w14:paraId="3197F6BB">
            <w:pPr>
              <w:keepNext w:val="0"/>
              <w:keepLines w:val="0"/>
              <w:widowControl/>
              <w:suppressLineNumbers w:val="0"/>
              <w:adjustRightInd w:val="0"/>
              <w:snapToGrid w:val="0"/>
              <w:spacing w:before="0" w:beforeAutospacing="0" w:after="0" w:afterAutospacing="0" w:line="360" w:lineRule="auto"/>
              <w:ind w:left="0" w:right="0"/>
              <w:jc w:val="center"/>
              <w:rPr>
                <w:rFonts w:hint="default"/>
                <w:b/>
                <w:snapToGrid w:val="0"/>
                <w:highlight w:val="none"/>
              </w:rPr>
            </w:pPr>
            <w:r>
              <w:rPr>
                <w:rFonts w:hint="eastAsia"/>
                <w:b/>
                <w:snapToGrid w:val="0"/>
                <w:highlight w:val="none"/>
              </w:rPr>
              <w:t>表</w:t>
            </w:r>
            <w:r>
              <w:rPr>
                <w:rFonts w:hint="eastAsia"/>
                <w:b/>
                <w:snapToGrid w:val="0"/>
                <w:highlight w:val="none"/>
                <w:lang w:val="en-US" w:eastAsia="zh-CN"/>
              </w:rPr>
              <w:t>7</w:t>
            </w:r>
            <w:r>
              <w:rPr>
                <w:rFonts w:hint="default"/>
                <w:b/>
                <w:snapToGrid w:val="0"/>
                <w:highlight w:val="none"/>
              </w:rPr>
              <w:t>-</w:t>
            </w:r>
            <w:r>
              <w:rPr>
                <w:rFonts w:hint="eastAsia"/>
                <w:b/>
                <w:snapToGrid w:val="0"/>
                <w:highlight w:val="none"/>
                <w:lang w:val="en-US" w:eastAsia="zh-CN"/>
              </w:rPr>
              <w:t>10</w:t>
            </w:r>
            <w:r>
              <w:rPr>
                <w:rFonts w:hint="default"/>
                <w:b/>
                <w:snapToGrid w:val="0"/>
                <w:highlight w:val="none"/>
              </w:rPr>
              <w:t xml:space="preserve">  </w:t>
            </w:r>
            <w:r>
              <w:rPr>
                <w:rFonts w:hint="eastAsia"/>
                <w:b/>
                <w:snapToGrid w:val="0"/>
                <w:highlight w:val="none"/>
              </w:rPr>
              <w:t>废气污染源源强核算结果及相关参数一览表</w:t>
            </w:r>
          </w:p>
          <w:tbl>
            <w:tblPr>
              <w:tblStyle w:val="32"/>
              <w:tblW w:w="4998"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
            <w:tblGrid>
              <w:gridCol w:w="443"/>
              <w:gridCol w:w="544"/>
              <w:gridCol w:w="662"/>
              <w:gridCol w:w="971"/>
              <w:gridCol w:w="585"/>
              <w:gridCol w:w="585"/>
              <w:gridCol w:w="663"/>
              <w:gridCol w:w="627"/>
              <w:gridCol w:w="393"/>
              <w:gridCol w:w="519"/>
              <w:gridCol w:w="622"/>
              <w:gridCol w:w="594"/>
              <w:gridCol w:w="557"/>
              <w:gridCol w:w="418"/>
            </w:tblGrid>
            <w:tr w14:paraId="082D3E2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blHeader/>
                <w:jc w:val="center"/>
              </w:trPr>
              <w:tc>
                <w:tcPr>
                  <w:tcW w:w="271" w:type="pct"/>
                  <w:vMerge w:val="restart"/>
                  <w:tcBorders>
                    <w:top w:val="single" w:color="auto" w:sz="4" w:space="0"/>
                    <w:left w:val="single" w:color="auto" w:sz="4" w:space="0"/>
                    <w:bottom w:val="single" w:color="auto" w:sz="4" w:space="0"/>
                    <w:right w:val="single" w:color="auto" w:sz="4" w:space="0"/>
                  </w:tcBorders>
                  <w:vAlign w:val="center"/>
                </w:tcPr>
                <w:p w14:paraId="655C8F76">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64" w:lineRule="auto"/>
                    <w:ind w:left="0" w:right="0"/>
                    <w:jc w:val="center"/>
                    <w:textAlignment w:val="auto"/>
                    <w:outlineLvl w:val="2"/>
                    <w:rPr>
                      <w:rFonts w:hint="default"/>
                      <w:bCs/>
                      <w:snapToGrid w:val="0"/>
                      <w:sz w:val="18"/>
                      <w:szCs w:val="18"/>
                      <w:highlight w:val="none"/>
                    </w:rPr>
                  </w:pPr>
                  <w:r>
                    <w:rPr>
                      <w:rFonts w:hint="default"/>
                      <w:bCs/>
                      <w:snapToGrid w:val="0"/>
                      <w:sz w:val="18"/>
                      <w:szCs w:val="18"/>
                      <w:highlight w:val="none"/>
                    </w:rPr>
                    <w:t>排放口编号</w:t>
                  </w:r>
                </w:p>
              </w:tc>
              <w:tc>
                <w:tcPr>
                  <w:tcW w:w="331" w:type="pct"/>
                  <w:vMerge w:val="restart"/>
                  <w:tcBorders>
                    <w:top w:val="single" w:color="auto" w:sz="4" w:space="0"/>
                    <w:left w:val="single" w:color="auto" w:sz="4" w:space="0"/>
                    <w:bottom w:val="single" w:color="auto" w:sz="4" w:space="0"/>
                    <w:right w:val="single" w:color="auto" w:sz="4" w:space="0"/>
                  </w:tcBorders>
                  <w:vAlign w:val="center"/>
                </w:tcPr>
                <w:p w14:paraId="41D57035">
                  <w:pPr>
                    <w:keepNext w:val="0"/>
                    <w:keepLines w:val="0"/>
                    <w:pageBreakBefore w:val="0"/>
                    <w:suppressLineNumbers w:val="0"/>
                    <w:kinsoku/>
                    <w:wordWrap/>
                    <w:overflowPunct/>
                    <w:topLinePunct w:val="0"/>
                    <w:autoSpaceDE/>
                    <w:autoSpaceDN/>
                    <w:bidi w:val="0"/>
                    <w:adjustRightInd w:val="0"/>
                    <w:snapToGrid w:val="0"/>
                    <w:spacing w:before="0" w:beforeAutospacing="0" w:after="0" w:afterAutospacing="0" w:line="264" w:lineRule="auto"/>
                    <w:ind w:left="0" w:right="0"/>
                    <w:jc w:val="center"/>
                    <w:textAlignment w:val="auto"/>
                    <w:outlineLvl w:val="2"/>
                    <w:rPr>
                      <w:rFonts w:hint="default"/>
                      <w:bCs/>
                      <w:snapToGrid w:val="0"/>
                      <w:sz w:val="18"/>
                      <w:szCs w:val="18"/>
                      <w:highlight w:val="none"/>
                    </w:rPr>
                  </w:pPr>
                  <w:r>
                    <w:rPr>
                      <w:rFonts w:hint="default"/>
                      <w:bCs/>
                      <w:snapToGrid w:val="0"/>
                      <w:sz w:val="18"/>
                      <w:szCs w:val="18"/>
                      <w:highlight w:val="none"/>
                    </w:rPr>
                    <w:t>排放口</w:t>
                  </w:r>
                </w:p>
                <w:p w14:paraId="46139937">
                  <w:pPr>
                    <w:keepNext w:val="0"/>
                    <w:keepLines w:val="0"/>
                    <w:pageBreakBefore w:val="0"/>
                    <w:suppressLineNumbers w:val="0"/>
                    <w:kinsoku/>
                    <w:wordWrap/>
                    <w:overflowPunct/>
                    <w:topLinePunct w:val="0"/>
                    <w:autoSpaceDE/>
                    <w:autoSpaceDN/>
                    <w:bidi w:val="0"/>
                    <w:adjustRightInd w:val="0"/>
                    <w:snapToGrid w:val="0"/>
                    <w:spacing w:before="0" w:beforeAutospacing="0" w:after="0" w:afterAutospacing="0" w:line="264" w:lineRule="auto"/>
                    <w:ind w:left="0" w:right="0"/>
                    <w:jc w:val="center"/>
                    <w:textAlignment w:val="auto"/>
                    <w:outlineLvl w:val="2"/>
                    <w:rPr>
                      <w:rFonts w:hint="default"/>
                      <w:bCs/>
                      <w:snapToGrid w:val="0"/>
                      <w:sz w:val="18"/>
                      <w:szCs w:val="18"/>
                      <w:highlight w:val="none"/>
                    </w:rPr>
                  </w:pPr>
                  <w:r>
                    <w:rPr>
                      <w:rFonts w:hint="default"/>
                      <w:bCs/>
                      <w:snapToGrid w:val="0"/>
                      <w:sz w:val="18"/>
                      <w:szCs w:val="18"/>
                      <w:highlight w:val="none"/>
                    </w:rPr>
                    <w:t>名称</w:t>
                  </w:r>
                </w:p>
              </w:tc>
              <w:tc>
                <w:tcPr>
                  <w:tcW w:w="404" w:type="pct"/>
                  <w:vMerge w:val="restart"/>
                  <w:tcBorders>
                    <w:top w:val="single" w:color="auto" w:sz="4" w:space="0"/>
                    <w:left w:val="single" w:color="auto" w:sz="4" w:space="0"/>
                    <w:bottom w:val="single" w:color="auto" w:sz="4" w:space="0"/>
                    <w:right w:val="single" w:color="auto" w:sz="4" w:space="0"/>
                  </w:tcBorders>
                  <w:vAlign w:val="center"/>
                </w:tcPr>
                <w:p w14:paraId="6CB7A494">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64" w:lineRule="auto"/>
                    <w:ind w:left="0" w:right="0"/>
                    <w:jc w:val="center"/>
                    <w:textAlignment w:val="auto"/>
                    <w:outlineLvl w:val="2"/>
                    <w:rPr>
                      <w:rFonts w:hint="default"/>
                      <w:bCs/>
                      <w:snapToGrid w:val="0"/>
                      <w:sz w:val="18"/>
                      <w:szCs w:val="18"/>
                      <w:highlight w:val="none"/>
                    </w:rPr>
                  </w:pPr>
                  <w:r>
                    <w:rPr>
                      <w:rFonts w:hint="default"/>
                      <w:bCs/>
                      <w:snapToGrid w:val="0"/>
                      <w:sz w:val="18"/>
                      <w:szCs w:val="18"/>
                      <w:highlight w:val="none"/>
                    </w:rPr>
                    <w:t>产污环节名称</w:t>
                  </w:r>
                </w:p>
              </w:tc>
              <w:tc>
                <w:tcPr>
                  <w:tcW w:w="593" w:type="pct"/>
                  <w:vMerge w:val="restart"/>
                  <w:tcBorders>
                    <w:top w:val="single" w:color="auto" w:sz="4" w:space="0"/>
                    <w:left w:val="single" w:color="auto" w:sz="4" w:space="0"/>
                    <w:bottom w:val="single" w:color="auto" w:sz="4" w:space="0"/>
                    <w:right w:val="single" w:color="auto" w:sz="4" w:space="0"/>
                  </w:tcBorders>
                  <w:vAlign w:val="center"/>
                </w:tcPr>
                <w:p w14:paraId="6DFDDD37">
                  <w:pPr>
                    <w:keepNext w:val="0"/>
                    <w:keepLines w:val="0"/>
                    <w:pageBreakBefore w:val="0"/>
                    <w:suppressLineNumbers w:val="0"/>
                    <w:kinsoku/>
                    <w:wordWrap/>
                    <w:overflowPunct/>
                    <w:topLinePunct w:val="0"/>
                    <w:autoSpaceDE/>
                    <w:autoSpaceDN/>
                    <w:bidi w:val="0"/>
                    <w:adjustRightInd w:val="0"/>
                    <w:snapToGrid w:val="0"/>
                    <w:spacing w:before="0" w:beforeAutospacing="0" w:after="0" w:afterAutospacing="0" w:line="264" w:lineRule="auto"/>
                    <w:ind w:left="0" w:right="0"/>
                    <w:jc w:val="center"/>
                    <w:textAlignment w:val="auto"/>
                    <w:outlineLvl w:val="2"/>
                    <w:rPr>
                      <w:rFonts w:hint="default"/>
                      <w:bCs/>
                      <w:snapToGrid w:val="0"/>
                      <w:sz w:val="18"/>
                      <w:szCs w:val="18"/>
                      <w:highlight w:val="none"/>
                    </w:rPr>
                  </w:pPr>
                  <w:r>
                    <w:rPr>
                      <w:rFonts w:hint="default"/>
                      <w:bCs/>
                      <w:snapToGrid w:val="0"/>
                      <w:sz w:val="18"/>
                      <w:szCs w:val="18"/>
                      <w:highlight w:val="none"/>
                    </w:rPr>
                    <w:t>污染物</w:t>
                  </w:r>
                </w:p>
              </w:tc>
              <w:tc>
                <w:tcPr>
                  <w:tcW w:w="1119" w:type="pct"/>
                  <w:gridSpan w:val="3"/>
                  <w:tcBorders>
                    <w:top w:val="single" w:color="auto" w:sz="4" w:space="0"/>
                    <w:left w:val="single" w:color="auto" w:sz="4" w:space="0"/>
                    <w:bottom w:val="single" w:color="auto" w:sz="4" w:space="0"/>
                    <w:right w:val="single" w:color="auto" w:sz="4" w:space="0"/>
                  </w:tcBorders>
                  <w:vAlign w:val="center"/>
                </w:tcPr>
                <w:p w14:paraId="78761735">
                  <w:pPr>
                    <w:keepNext w:val="0"/>
                    <w:keepLines w:val="0"/>
                    <w:pageBreakBefore w:val="0"/>
                    <w:suppressLineNumbers w:val="0"/>
                    <w:kinsoku/>
                    <w:wordWrap/>
                    <w:overflowPunct/>
                    <w:topLinePunct w:val="0"/>
                    <w:autoSpaceDE/>
                    <w:autoSpaceDN/>
                    <w:bidi w:val="0"/>
                    <w:adjustRightInd w:val="0"/>
                    <w:snapToGrid w:val="0"/>
                    <w:spacing w:before="0" w:beforeAutospacing="0" w:after="0" w:afterAutospacing="0" w:line="264" w:lineRule="auto"/>
                    <w:ind w:left="0" w:right="0"/>
                    <w:jc w:val="center"/>
                    <w:textAlignment w:val="auto"/>
                    <w:outlineLvl w:val="2"/>
                    <w:rPr>
                      <w:rFonts w:hint="default"/>
                      <w:bCs/>
                      <w:snapToGrid w:val="0"/>
                      <w:sz w:val="18"/>
                      <w:szCs w:val="18"/>
                      <w:highlight w:val="none"/>
                    </w:rPr>
                  </w:pPr>
                  <w:r>
                    <w:rPr>
                      <w:rFonts w:hint="default"/>
                      <w:bCs/>
                      <w:snapToGrid w:val="0"/>
                      <w:sz w:val="18"/>
                      <w:szCs w:val="18"/>
                      <w:highlight w:val="none"/>
                    </w:rPr>
                    <w:t>污染物产生</w:t>
                  </w:r>
                </w:p>
              </w:tc>
              <w:tc>
                <w:tcPr>
                  <w:tcW w:w="940" w:type="pct"/>
                  <w:gridSpan w:val="3"/>
                  <w:tcBorders>
                    <w:top w:val="single" w:color="auto" w:sz="4" w:space="0"/>
                    <w:left w:val="single" w:color="auto" w:sz="4" w:space="0"/>
                    <w:bottom w:val="single" w:color="auto" w:sz="4" w:space="0"/>
                    <w:right w:val="single" w:color="auto" w:sz="4" w:space="0"/>
                  </w:tcBorders>
                  <w:vAlign w:val="center"/>
                </w:tcPr>
                <w:p w14:paraId="720CEC4C">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64" w:lineRule="auto"/>
                    <w:ind w:left="0" w:right="0"/>
                    <w:jc w:val="center"/>
                    <w:textAlignment w:val="auto"/>
                    <w:outlineLvl w:val="2"/>
                    <w:rPr>
                      <w:rFonts w:hint="default"/>
                      <w:bCs/>
                      <w:snapToGrid w:val="0"/>
                      <w:sz w:val="18"/>
                      <w:szCs w:val="18"/>
                      <w:highlight w:val="none"/>
                    </w:rPr>
                  </w:pPr>
                  <w:r>
                    <w:rPr>
                      <w:rFonts w:hint="default"/>
                      <w:bCs/>
                      <w:snapToGrid w:val="0"/>
                      <w:sz w:val="18"/>
                      <w:szCs w:val="18"/>
                      <w:highlight w:val="none"/>
                    </w:rPr>
                    <w:t>治理措施</w:t>
                  </w:r>
                </w:p>
              </w:tc>
              <w:tc>
                <w:tcPr>
                  <w:tcW w:w="1083" w:type="pct"/>
                  <w:gridSpan w:val="3"/>
                  <w:tcBorders>
                    <w:top w:val="single" w:color="auto" w:sz="4" w:space="0"/>
                    <w:left w:val="single" w:color="auto" w:sz="4" w:space="0"/>
                    <w:bottom w:val="single" w:color="auto" w:sz="4" w:space="0"/>
                    <w:right w:val="single" w:color="auto" w:sz="4" w:space="0"/>
                  </w:tcBorders>
                  <w:vAlign w:val="center"/>
                </w:tcPr>
                <w:p w14:paraId="3034543F">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64" w:lineRule="auto"/>
                    <w:ind w:left="0" w:right="0"/>
                    <w:jc w:val="center"/>
                    <w:textAlignment w:val="auto"/>
                    <w:outlineLvl w:val="2"/>
                    <w:rPr>
                      <w:rFonts w:hint="default"/>
                      <w:bCs/>
                      <w:snapToGrid w:val="0"/>
                      <w:sz w:val="18"/>
                      <w:szCs w:val="18"/>
                      <w:highlight w:val="none"/>
                    </w:rPr>
                  </w:pPr>
                  <w:r>
                    <w:rPr>
                      <w:rFonts w:hint="default"/>
                      <w:bCs/>
                      <w:snapToGrid w:val="0"/>
                      <w:sz w:val="18"/>
                      <w:szCs w:val="18"/>
                      <w:highlight w:val="none"/>
                    </w:rPr>
                    <w:t>污染物排放</w:t>
                  </w:r>
                </w:p>
              </w:tc>
              <w:tc>
                <w:tcPr>
                  <w:tcW w:w="255" w:type="pct"/>
                  <w:vMerge w:val="restart"/>
                  <w:tcBorders>
                    <w:top w:val="single" w:color="auto" w:sz="4" w:space="0"/>
                    <w:left w:val="single" w:color="auto" w:sz="4" w:space="0"/>
                    <w:bottom w:val="single" w:color="auto" w:sz="4" w:space="0"/>
                    <w:right w:val="single" w:color="auto" w:sz="4" w:space="0"/>
                  </w:tcBorders>
                  <w:vAlign w:val="center"/>
                </w:tcPr>
                <w:p w14:paraId="19186781">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64" w:lineRule="auto"/>
                    <w:ind w:left="0" w:right="0"/>
                    <w:jc w:val="center"/>
                    <w:textAlignment w:val="auto"/>
                    <w:outlineLvl w:val="2"/>
                    <w:rPr>
                      <w:rFonts w:hint="default"/>
                      <w:bCs/>
                      <w:snapToGrid w:val="0"/>
                      <w:sz w:val="18"/>
                      <w:szCs w:val="18"/>
                      <w:highlight w:val="none"/>
                    </w:rPr>
                  </w:pPr>
                  <w:r>
                    <w:rPr>
                      <w:rFonts w:hint="default"/>
                      <w:bCs/>
                      <w:snapToGrid w:val="0"/>
                      <w:sz w:val="18"/>
                      <w:szCs w:val="18"/>
                      <w:highlight w:val="none"/>
                    </w:rPr>
                    <w:t>排放时间h</w:t>
                  </w:r>
                </w:p>
              </w:tc>
            </w:tr>
            <w:tr w14:paraId="0B68936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blHeader/>
                <w:jc w:val="center"/>
              </w:trPr>
              <w:tc>
                <w:tcPr>
                  <w:tcW w:w="271" w:type="pct"/>
                  <w:vMerge w:val="continue"/>
                  <w:tcBorders>
                    <w:top w:val="single" w:color="auto" w:sz="4" w:space="0"/>
                    <w:left w:val="single" w:color="auto" w:sz="4" w:space="0"/>
                    <w:bottom w:val="single" w:color="auto" w:sz="4" w:space="0"/>
                    <w:right w:val="single" w:color="auto" w:sz="4" w:space="0"/>
                  </w:tcBorders>
                  <w:vAlign w:val="center"/>
                </w:tcPr>
                <w:p w14:paraId="79CF557A">
                  <w:pPr>
                    <w:keepNext w:val="0"/>
                    <w:keepLines w:val="0"/>
                    <w:pageBreakBefore w:val="0"/>
                    <w:suppressLineNumbers w:val="0"/>
                    <w:kinsoku/>
                    <w:wordWrap/>
                    <w:overflowPunct/>
                    <w:topLinePunct w:val="0"/>
                    <w:autoSpaceDE/>
                    <w:autoSpaceDN/>
                    <w:bidi w:val="0"/>
                    <w:adjustRightInd w:val="0"/>
                    <w:snapToGrid w:val="0"/>
                    <w:spacing w:before="0" w:beforeAutospacing="0" w:after="0" w:afterAutospacing="0" w:line="264" w:lineRule="auto"/>
                    <w:ind w:left="0" w:right="0"/>
                    <w:jc w:val="center"/>
                    <w:textAlignment w:val="auto"/>
                    <w:outlineLvl w:val="2"/>
                    <w:rPr>
                      <w:rFonts w:hint="default"/>
                      <w:bCs/>
                      <w:snapToGrid w:val="0"/>
                      <w:sz w:val="18"/>
                      <w:szCs w:val="18"/>
                      <w:highlight w:val="none"/>
                    </w:rPr>
                  </w:pPr>
                </w:p>
              </w:tc>
              <w:tc>
                <w:tcPr>
                  <w:tcW w:w="331" w:type="pct"/>
                  <w:vMerge w:val="continue"/>
                  <w:tcBorders>
                    <w:top w:val="single" w:color="auto" w:sz="4" w:space="0"/>
                    <w:left w:val="single" w:color="auto" w:sz="4" w:space="0"/>
                    <w:bottom w:val="single" w:color="auto" w:sz="4" w:space="0"/>
                    <w:right w:val="single" w:color="auto" w:sz="4" w:space="0"/>
                  </w:tcBorders>
                  <w:vAlign w:val="center"/>
                </w:tcPr>
                <w:p w14:paraId="5314C15B">
                  <w:pPr>
                    <w:keepNext w:val="0"/>
                    <w:keepLines w:val="0"/>
                    <w:pageBreakBefore w:val="0"/>
                    <w:suppressLineNumbers w:val="0"/>
                    <w:kinsoku/>
                    <w:wordWrap/>
                    <w:overflowPunct/>
                    <w:topLinePunct w:val="0"/>
                    <w:autoSpaceDE/>
                    <w:autoSpaceDN/>
                    <w:bidi w:val="0"/>
                    <w:adjustRightInd w:val="0"/>
                    <w:snapToGrid w:val="0"/>
                    <w:spacing w:before="0" w:beforeAutospacing="0" w:after="0" w:afterAutospacing="0" w:line="264" w:lineRule="auto"/>
                    <w:ind w:left="0" w:right="0"/>
                    <w:jc w:val="center"/>
                    <w:textAlignment w:val="auto"/>
                    <w:outlineLvl w:val="2"/>
                    <w:rPr>
                      <w:rFonts w:hint="default"/>
                      <w:bCs/>
                      <w:snapToGrid w:val="0"/>
                      <w:sz w:val="18"/>
                      <w:szCs w:val="18"/>
                      <w:highlight w:val="none"/>
                    </w:rPr>
                  </w:pPr>
                </w:p>
              </w:tc>
              <w:tc>
                <w:tcPr>
                  <w:tcW w:w="404" w:type="pct"/>
                  <w:vMerge w:val="continue"/>
                  <w:tcBorders>
                    <w:top w:val="single" w:color="auto" w:sz="4" w:space="0"/>
                    <w:left w:val="single" w:color="auto" w:sz="4" w:space="0"/>
                    <w:bottom w:val="single" w:color="auto" w:sz="4" w:space="0"/>
                    <w:right w:val="single" w:color="auto" w:sz="4" w:space="0"/>
                  </w:tcBorders>
                  <w:vAlign w:val="center"/>
                </w:tcPr>
                <w:p w14:paraId="2E48B47B">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64" w:lineRule="auto"/>
                    <w:ind w:left="0" w:right="0"/>
                    <w:jc w:val="center"/>
                    <w:textAlignment w:val="auto"/>
                    <w:outlineLvl w:val="2"/>
                    <w:rPr>
                      <w:rFonts w:hint="default"/>
                      <w:bCs/>
                      <w:snapToGrid w:val="0"/>
                      <w:sz w:val="18"/>
                      <w:szCs w:val="18"/>
                      <w:highlight w:val="none"/>
                    </w:rPr>
                  </w:pPr>
                </w:p>
              </w:tc>
              <w:tc>
                <w:tcPr>
                  <w:tcW w:w="593" w:type="pct"/>
                  <w:vMerge w:val="continue"/>
                  <w:tcBorders>
                    <w:top w:val="single" w:color="auto" w:sz="4" w:space="0"/>
                    <w:left w:val="single" w:color="auto" w:sz="4" w:space="0"/>
                    <w:bottom w:val="single" w:color="auto" w:sz="4" w:space="0"/>
                    <w:right w:val="single" w:color="auto" w:sz="4" w:space="0"/>
                  </w:tcBorders>
                  <w:vAlign w:val="center"/>
                </w:tcPr>
                <w:p w14:paraId="3D371C5F">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64" w:lineRule="auto"/>
                    <w:ind w:left="0" w:right="0"/>
                    <w:jc w:val="center"/>
                    <w:textAlignment w:val="auto"/>
                    <w:outlineLvl w:val="2"/>
                    <w:rPr>
                      <w:rFonts w:hint="default"/>
                      <w:bCs/>
                      <w:snapToGrid w:val="0"/>
                      <w:sz w:val="18"/>
                      <w:szCs w:val="18"/>
                      <w:highlight w:val="none"/>
                    </w:rPr>
                  </w:pPr>
                </w:p>
              </w:tc>
              <w:tc>
                <w:tcPr>
                  <w:tcW w:w="357" w:type="pct"/>
                  <w:tcBorders>
                    <w:top w:val="single" w:color="auto" w:sz="4" w:space="0"/>
                    <w:left w:val="single" w:color="auto" w:sz="4" w:space="0"/>
                    <w:bottom w:val="single" w:color="auto" w:sz="4" w:space="0"/>
                    <w:right w:val="single" w:color="auto" w:sz="4" w:space="0"/>
                  </w:tcBorders>
                  <w:vAlign w:val="center"/>
                </w:tcPr>
                <w:p w14:paraId="649A651B">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64" w:lineRule="auto"/>
                    <w:ind w:left="0" w:right="0"/>
                    <w:jc w:val="center"/>
                    <w:textAlignment w:val="auto"/>
                    <w:outlineLvl w:val="2"/>
                    <w:rPr>
                      <w:rFonts w:hint="default"/>
                      <w:bCs/>
                      <w:snapToGrid w:val="0"/>
                      <w:sz w:val="18"/>
                      <w:szCs w:val="18"/>
                      <w:highlight w:val="none"/>
                    </w:rPr>
                  </w:pPr>
                  <w:r>
                    <w:rPr>
                      <w:rFonts w:hint="default"/>
                      <w:bCs/>
                      <w:snapToGrid w:val="0"/>
                      <w:sz w:val="18"/>
                      <w:szCs w:val="18"/>
                      <w:highlight w:val="none"/>
                    </w:rPr>
                    <w:t>产生量t/a</w:t>
                  </w:r>
                </w:p>
              </w:tc>
              <w:tc>
                <w:tcPr>
                  <w:tcW w:w="357" w:type="pct"/>
                  <w:tcBorders>
                    <w:top w:val="single" w:color="auto" w:sz="4" w:space="0"/>
                    <w:left w:val="single" w:color="auto" w:sz="4" w:space="0"/>
                    <w:bottom w:val="single" w:color="auto" w:sz="4" w:space="0"/>
                    <w:right w:val="single" w:color="auto" w:sz="4" w:space="0"/>
                  </w:tcBorders>
                  <w:vAlign w:val="center"/>
                </w:tcPr>
                <w:p w14:paraId="54E076FC">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64" w:lineRule="auto"/>
                    <w:ind w:left="0" w:right="0"/>
                    <w:jc w:val="center"/>
                    <w:textAlignment w:val="auto"/>
                    <w:outlineLvl w:val="2"/>
                    <w:rPr>
                      <w:rFonts w:hint="default"/>
                      <w:bCs/>
                      <w:snapToGrid w:val="0"/>
                      <w:sz w:val="18"/>
                      <w:szCs w:val="18"/>
                      <w:highlight w:val="none"/>
                    </w:rPr>
                  </w:pPr>
                  <w:r>
                    <w:rPr>
                      <w:rFonts w:hint="default"/>
                      <w:bCs/>
                      <w:snapToGrid w:val="0"/>
                      <w:sz w:val="18"/>
                      <w:szCs w:val="18"/>
                      <w:highlight w:val="none"/>
                    </w:rPr>
                    <w:t>产生速率kg/h</w:t>
                  </w:r>
                </w:p>
              </w:tc>
              <w:tc>
                <w:tcPr>
                  <w:tcW w:w="404" w:type="pct"/>
                  <w:tcBorders>
                    <w:top w:val="single" w:color="auto" w:sz="4" w:space="0"/>
                    <w:left w:val="single" w:color="auto" w:sz="4" w:space="0"/>
                    <w:bottom w:val="single" w:color="auto" w:sz="4" w:space="0"/>
                    <w:right w:val="single" w:color="auto" w:sz="4" w:space="0"/>
                  </w:tcBorders>
                  <w:vAlign w:val="center"/>
                </w:tcPr>
                <w:p w14:paraId="383E0AC5">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64" w:lineRule="auto"/>
                    <w:ind w:left="0" w:right="0"/>
                    <w:jc w:val="center"/>
                    <w:textAlignment w:val="auto"/>
                    <w:outlineLvl w:val="2"/>
                    <w:rPr>
                      <w:rFonts w:hint="default"/>
                      <w:bCs/>
                      <w:snapToGrid w:val="0"/>
                      <w:sz w:val="18"/>
                      <w:szCs w:val="18"/>
                      <w:highlight w:val="none"/>
                    </w:rPr>
                  </w:pPr>
                  <w:r>
                    <w:rPr>
                      <w:rFonts w:hint="default"/>
                      <w:bCs/>
                      <w:snapToGrid w:val="0"/>
                      <w:sz w:val="18"/>
                      <w:szCs w:val="18"/>
                      <w:highlight w:val="none"/>
                    </w:rPr>
                    <w:t>产生浓度mg/m</w:t>
                  </w:r>
                  <w:r>
                    <w:rPr>
                      <w:rFonts w:hint="default"/>
                      <w:bCs/>
                      <w:snapToGrid w:val="0"/>
                      <w:sz w:val="18"/>
                      <w:szCs w:val="18"/>
                      <w:highlight w:val="none"/>
                      <w:vertAlign w:val="superscript"/>
                    </w:rPr>
                    <w:t>3</w:t>
                  </w:r>
                </w:p>
              </w:tc>
              <w:tc>
                <w:tcPr>
                  <w:tcW w:w="383" w:type="pct"/>
                  <w:tcBorders>
                    <w:top w:val="single" w:color="auto" w:sz="4" w:space="0"/>
                    <w:left w:val="single" w:color="auto" w:sz="4" w:space="0"/>
                    <w:bottom w:val="single" w:color="auto" w:sz="4" w:space="0"/>
                    <w:right w:val="single" w:color="auto" w:sz="4" w:space="0"/>
                  </w:tcBorders>
                  <w:vAlign w:val="center"/>
                </w:tcPr>
                <w:p w14:paraId="4BC3B6F8">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64" w:lineRule="auto"/>
                    <w:ind w:left="0" w:right="0"/>
                    <w:jc w:val="center"/>
                    <w:textAlignment w:val="auto"/>
                    <w:outlineLvl w:val="2"/>
                    <w:rPr>
                      <w:rFonts w:hint="default"/>
                      <w:bCs/>
                      <w:snapToGrid w:val="0"/>
                      <w:sz w:val="18"/>
                      <w:szCs w:val="18"/>
                      <w:highlight w:val="none"/>
                    </w:rPr>
                  </w:pPr>
                  <w:r>
                    <w:rPr>
                      <w:rFonts w:hint="default"/>
                      <w:bCs/>
                      <w:snapToGrid w:val="0"/>
                      <w:sz w:val="18"/>
                      <w:szCs w:val="18"/>
                      <w:highlight w:val="none"/>
                    </w:rPr>
                    <w:t>工艺</w:t>
                  </w:r>
                </w:p>
              </w:tc>
              <w:tc>
                <w:tcPr>
                  <w:tcW w:w="240" w:type="pct"/>
                  <w:tcBorders>
                    <w:top w:val="single" w:color="auto" w:sz="4" w:space="0"/>
                    <w:left w:val="single" w:color="auto" w:sz="4" w:space="0"/>
                    <w:bottom w:val="single" w:color="auto" w:sz="4" w:space="0"/>
                    <w:right w:val="single" w:color="auto" w:sz="4" w:space="0"/>
                  </w:tcBorders>
                  <w:vAlign w:val="center"/>
                </w:tcPr>
                <w:p w14:paraId="4FD4BB5F">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64" w:lineRule="auto"/>
                    <w:ind w:left="0" w:right="0"/>
                    <w:jc w:val="center"/>
                    <w:textAlignment w:val="auto"/>
                    <w:outlineLvl w:val="2"/>
                    <w:rPr>
                      <w:rFonts w:hint="default"/>
                      <w:bCs/>
                      <w:snapToGrid w:val="0"/>
                      <w:sz w:val="18"/>
                      <w:szCs w:val="18"/>
                      <w:highlight w:val="none"/>
                    </w:rPr>
                  </w:pPr>
                  <w:r>
                    <w:rPr>
                      <w:rFonts w:hint="default"/>
                      <w:bCs/>
                      <w:snapToGrid w:val="0"/>
                      <w:sz w:val="18"/>
                      <w:szCs w:val="18"/>
                      <w:highlight w:val="none"/>
                    </w:rPr>
                    <w:t>效率%</w:t>
                  </w:r>
                </w:p>
              </w:tc>
              <w:tc>
                <w:tcPr>
                  <w:tcW w:w="317" w:type="pct"/>
                  <w:tcBorders>
                    <w:top w:val="single" w:color="auto" w:sz="4" w:space="0"/>
                    <w:left w:val="single" w:color="auto" w:sz="4" w:space="0"/>
                    <w:bottom w:val="single" w:color="auto" w:sz="4" w:space="0"/>
                    <w:right w:val="single" w:color="auto" w:sz="4" w:space="0"/>
                  </w:tcBorders>
                  <w:vAlign w:val="center"/>
                </w:tcPr>
                <w:p w14:paraId="75D88BD5">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64" w:lineRule="auto"/>
                    <w:ind w:left="0" w:right="0"/>
                    <w:jc w:val="center"/>
                    <w:textAlignment w:val="auto"/>
                    <w:rPr>
                      <w:rFonts w:hint="default"/>
                      <w:bCs/>
                      <w:snapToGrid w:val="0"/>
                      <w:sz w:val="18"/>
                      <w:szCs w:val="18"/>
                      <w:highlight w:val="none"/>
                    </w:rPr>
                  </w:pPr>
                  <w:r>
                    <w:rPr>
                      <w:rFonts w:hint="default"/>
                      <w:bCs/>
                      <w:snapToGrid w:val="0"/>
                      <w:sz w:val="18"/>
                      <w:szCs w:val="18"/>
                      <w:highlight w:val="none"/>
                    </w:rPr>
                    <w:t>处理能力m</w:t>
                  </w:r>
                  <w:r>
                    <w:rPr>
                      <w:rFonts w:hint="default"/>
                      <w:bCs/>
                      <w:snapToGrid w:val="0"/>
                      <w:sz w:val="18"/>
                      <w:szCs w:val="18"/>
                      <w:highlight w:val="none"/>
                      <w:vertAlign w:val="superscript"/>
                    </w:rPr>
                    <w:t>3</w:t>
                  </w:r>
                  <w:r>
                    <w:rPr>
                      <w:rFonts w:hint="default"/>
                      <w:bCs/>
                      <w:snapToGrid w:val="0"/>
                      <w:sz w:val="18"/>
                      <w:szCs w:val="18"/>
                      <w:highlight w:val="none"/>
                    </w:rPr>
                    <w:t>/h</w:t>
                  </w:r>
                </w:p>
              </w:tc>
              <w:tc>
                <w:tcPr>
                  <w:tcW w:w="380" w:type="pct"/>
                  <w:tcBorders>
                    <w:top w:val="single" w:color="auto" w:sz="4" w:space="0"/>
                    <w:left w:val="single" w:color="auto" w:sz="4" w:space="0"/>
                    <w:bottom w:val="single" w:color="auto" w:sz="4" w:space="0"/>
                    <w:right w:val="single" w:color="auto" w:sz="4" w:space="0"/>
                  </w:tcBorders>
                  <w:vAlign w:val="center"/>
                </w:tcPr>
                <w:p w14:paraId="1E9EFB56">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64" w:lineRule="auto"/>
                    <w:ind w:left="0" w:right="0"/>
                    <w:jc w:val="center"/>
                    <w:textAlignment w:val="auto"/>
                    <w:outlineLvl w:val="2"/>
                    <w:rPr>
                      <w:rFonts w:hint="default"/>
                      <w:bCs/>
                      <w:snapToGrid w:val="0"/>
                      <w:sz w:val="18"/>
                      <w:szCs w:val="18"/>
                      <w:highlight w:val="none"/>
                    </w:rPr>
                  </w:pPr>
                  <w:r>
                    <w:rPr>
                      <w:rFonts w:hint="default"/>
                      <w:bCs/>
                      <w:snapToGrid w:val="0"/>
                      <w:sz w:val="18"/>
                      <w:szCs w:val="18"/>
                      <w:highlight w:val="none"/>
                    </w:rPr>
                    <w:t>排放量t/a</w:t>
                  </w:r>
                </w:p>
              </w:tc>
              <w:tc>
                <w:tcPr>
                  <w:tcW w:w="362" w:type="pct"/>
                  <w:tcBorders>
                    <w:top w:val="single" w:color="auto" w:sz="4" w:space="0"/>
                    <w:left w:val="single" w:color="auto" w:sz="4" w:space="0"/>
                    <w:bottom w:val="single" w:color="auto" w:sz="4" w:space="0"/>
                    <w:right w:val="single" w:color="auto" w:sz="4" w:space="0"/>
                  </w:tcBorders>
                  <w:vAlign w:val="center"/>
                </w:tcPr>
                <w:p w14:paraId="650BFBE8">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64" w:lineRule="auto"/>
                    <w:ind w:left="0" w:right="0"/>
                    <w:jc w:val="center"/>
                    <w:textAlignment w:val="auto"/>
                    <w:outlineLvl w:val="2"/>
                    <w:rPr>
                      <w:rFonts w:hint="default"/>
                      <w:bCs/>
                      <w:snapToGrid w:val="0"/>
                      <w:sz w:val="18"/>
                      <w:szCs w:val="18"/>
                      <w:highlight w:val="none"/>
                    </w:rPr>
                  </w:pPr>
                  <w:r>
                    <w:rPr>
                      <w:rFonts w:hint="default"/>
                      <w:bCs/>
                      <w:snapToGrid w:val="0"/>
                      <w:sz w:val="18"/>
                      <w:szCs w:val="18"/>
                      <w:highlight w:val="none"/>
                    </w:rPr>
                    <w:t>排放速率kg/h</w:t>
                  </w:r>
                </w:p>
              </w:tc>
              <w:tc>
                <w:tcPr>
                  <w:tcW w:w="340" w:type="pct"/>
                  <w:tcBorders>
                    <w:top w:val="single" w:color="auto" w:sz="4" w:space="0"/>
                    <w:left w:val="single" w:color="auto" w:sz="4" w:space="0"/>
                    <w:bottom w:val="single" w:color="auto" w:sz="4" w:space="0"/>
                    <w:right w:val="single" w:color="auto" w:sz="4" w:space="0"/>
                  </w:tcBorders>
                  <w:vAlign w:val="center"/>
                </w:tcPr>
                <w:p w14:paraId="2AF54A2A">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64" w:lineRule="auto"/>
                    <w:ind w:left="0" w:right="0"/>
                    <w:jc w:val="center"/>
                    <w:textAlignment w:val="auto"/>
                    <w:outlineLvl w:val="2"/>
                    <w:rPr>
                      <w:rFonts w:hint="default"/>
                      <w:bCs/>
                      <w:snapToGrid w:val="0"/>
                      <w:sz w:val="18"/>
                      <w:szCs w:val="18"/>
                      <w:highlight w:val="none"/>
                    </w:rPr>
                  </w:pPr>
                  <w:r>
                    <w:rPr>
                      <w:rFonts w:hint="default"/>
                      <w:bCs/>
                      <w:snapToGrid w:val="0"/>
                      <w:sz w:val="18"/>
                      <w:szCs w:val="18"/>
                      <w:highlight w:val="none"/>
                    </w:rPr>
                    <w:t>排放浓度mg/m</w:t>
                  </w:r>
                  <w:r>
                    <w:rPr>
                      <w:rFonts w:hint="default"/>
                      <w:bCs/>
                      <w:snapToGrid w:val="0"/>
                      <w:sz w:val="18"/>
                      <w:szCs w:val="18"/>
                      <w:highlight w:val="none"/>
                      <w:vertAlign w:val="superscript"/>
                    </w:rPr>
                    <w:t>3</w:t>
                  </w:r>
                </w:p>
              </w:tc>
              <w:tc>
                <w:tcPr>
                  <w:tcW w:w="255" w:type="pct"/>
                  <w:vMerge w:val="continue"/>
                  <w:tcBorders>
                    <w:top w:val="single" w:color="auto" w:sz="4" w:space="0"/>
                    <w:left w:val="single" w:color="auto" w:sz="4" w:space="0"/>
                    <w:bottom w:val="single" w:color="auto" w:sz="4" w:space="0"/>
                    <w:right w:val="single" w:color="auto" w:sz="4" w:space="0"/>
                  </w:tcBorders>
                  <w:vAlign w:val="center"/>
                </w:tcPr>
                <w:p w14:paraId="2C386386">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64" w:lineRule="auto"/>
                    <w:ind w:left="0" w:right="0"/>
                    <w:jc w:val="center"/>
                    <w:textAlignment w:val="auto"/>
                    <w:outlineLvl w:val="2"/>
                    <w:rPr>
                      <w:rFonts w:hint="default"/>
                      <w:bCs/>
                      <w:snapToGrid w:val="0"/>
                      <w:sz w:val="18"/>
                      <w:szCs w:val="18"/>
                      <w:highlight w:val="none"/>
                    </w:rPr>
                  </w:pPr>
                </w:p>
              </w:tc>
            </w:tr>
            <w:tr w14:paraId="7351286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90" w:hRule="atLeast"/>
                <w:jc w:val="center"/>
              </w:trPr>
              <w:tc>
                <w:tcPr>
                  <w:tcW w:w="271" w:type="pct"/>
                  <w:vMerge w:val="restart"/>
                  <w:tcBorders>
                    <w:top w:val="single" w:color="auto" w:sz="4" w:space="0"/>
                    <w:left w:val="single" w:color="auto" w:sz="4" w:space="0"/>
                    <w:right w:val="single" w:color="auto" w:sz="4" w:space="0"/>
                  </w:tcBorders>
                  <w:vAlign w:val="center"/>
                </w:tcPr>
                <w:p w14:paraId="29508B87">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64" w:lineRule="auto"/>
                    <w:ind w:left="0" w:right="0"/>
                    <w:jc w:val="center"/>
                    <w:textAlignment w:val="auto"/>
                    <w:rPr>
                      <w:rFonts w:hint="default"/>
                      <w:bCs/>
                      <w:kern w:val="0"/>
                      <w:sz w:val="18"/>
                      <w:szCs w:val="18"/>
                      <w:highlight w:val="none"/>
                    </w:rPr>
                  </w:pPr>
                  <w:r>
                    <w:rPr>
                      <w:rFonts w:hint="default"/>
                      <w:bCs/>
                      <w:kern w:val="0"/>
                      <w:sz w:val="18"/>
                      <w:szCs w:val="18"/>
                      <w:highlight w:val="none"/>
                    </w:rPr>
                    <w:t>DA001</w:t>
                  </w:r>
                </w:p>
              </w:tc>
              <w:tc>
                <w:tcPr>
                  <w:tcW w:w="331" w:type="pct"/>
                  <w:vMerge w:val="restart"/>
                  <w:tcBorders>
                    <w:top w:val="single" w:color="auto" w:sz="4" w:space="0"/>
                    <w:left w:val="single" w:color="auto" w:sz="4" w:space="0"/>
                    <w:right w:val="single" w:color="auto" w:sz="4" w:space="0"/>
                  </w:tcBorders>
                  <w:vAlign w:val="center"/>
                </w:tcPr>
                <w:p w14:paraId="40E7C999">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64" w:lineRule="auto"/>
                    <w:ind w:left="0" w:right="0"/>
                    <w:jc w:val="center"/>
                    <w:textAlignment w:val="auto"/>
                    <w:rPr>
                      <w:rFonts w:hint="default" w:eastAsia="宋体"/>
                      <w:bCs/>
                      <w:kern w:val="0"/>
                      <w:sz w:val="18"/>
                      <w:szCs w:val="18"/>
                      <w:highlight w:val="none"/>
                      <w:lang w:val="en-US" w:eastAsia="zh-CN"/>
                    </w:rPr>
                  </w:pPr>
                  <w:r>
                    <w:rPr>
                      <w:rFonts w:hint="eastAsia"/>
                      <w:bCs/>
                      <w:kern w:val="0"/>
                      <w:sz w:val="18"/>
                      <w:szCs w:val="18"/>
                      <w:highlight w:val="none"/>
                      <w:lang w:val="en-US" w:eastAsia="zh-CN"/>
                    </w:rPr>
                    <w:t>1#排气筒</w:t>
                  </w:r>
                </w:p>
              </w:tc>
              <w:tc>
                <w:tcPr>
                  <w:tcW w:w="404" w:type="pct"/>
                  <w:vMerge w:val="restart"/>
                  <w:tcBorders>
                    <w:top w:val="single" w:color="auto" w:sz="4" w:space="0"/>
                    <w:left w:val="single" w:color="auto" w:sz="4" w:space="0"/>
                    <w:right w:val="single" w:color="auto" w:sz="4" w:space="0"/>
                  </w:tcBorders>
                  <w:vAlign w:val="center"/>
                </w:tcPr>
                <w:p w14:paraId="3F3E5D34">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64" w:lineRule="auto"/>
                    <w:ind w:left="0" w:right="0"/>
                    <w:jc w:val="center"/>
                    <w:textAlignment w:val="auto"/>
                    <w:rPr>
                      <w:rFonts w:hint="default" w:eastAsia="宋体"/>
                      <w:bCs/>
                      <w:kern w:val="0"/>
                      <w:sz w:val="18"/>
                      <w:szCs w:val="18"/>
                      <w:highlight w:val="none"/>
                      <w:lang w:val="en-US" w:eastAsia="zh-CN"/>
                    </w:rPr>
                  </w:pPr>
                  <w:r>
                    <w:rPr>
                      <w:rFonts w:hint="default"/>
                      <w:bCs/>
                      <w:kern w:val="0"/>
                      <w:sz w:val="18"/>
                      <w:szCs w:val="18"/>
                      <w:highlight w:val="none"/>
                    </w:rPr>
                    <w:t>饲养废气</w:t>
                  </w:r>
                  <w:r>
                    <w:rPr>
                      <w:rFonts w:hint="eastAsia"/>
                      <w:bCs/>
                      <w:kern w:val="0"/>
                      <w:sz w:val="18"/>
                      <w:szCs w:val="18"/>
                      <w:highlight w:val="none"/>
                      <w:lang w:eastAsia="zh-CN"/>
                    </w:rPr>
                    <w:t>、</w:t>
                  </w:r>
                  <w:r>
                    <w:rPr>
                      <w:rFonts w:hint="eastAsia"/>
                      <w:bCs/>
                      <w:kern w:val="0"/>
                      <w:sz w:val="18"/>
                      <w:szCs w:val="18"/>
                      <w:highlight w:val="none"/>
                      <w:lang w:val="en-US" w:eastAsia="zh-CN"/>
                    </w:rPr>
                    <w:t>污水处理站废气</w:t>
                  </w:r>
                </w:p>
              </w:tc>
              <w:tc>
                <w:tcPr>
                  <w:tcW w:w="593" w:type="pct"/>
                  <w:tcBorders>
                    <w:top w:val="single" w:color="auto" w:sz="4" w:space="0"/>
                    <w:left w:val="single" w:color="auto" w:sz="4" w:space="0"/>
                    <w:right w:val="single" w:color="auto" w:sz="4" w:space="0"/>
                  </w:tcBorders>
                  <w:vAlign w:val="center"/>
                </w:tcPr>
                <w:p w14:paraId="16A23088">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64" w:lineRule="auto"/>
                    <w:ind w:left="0" w:right="0"/>
                    <w:jc w:val="center"/>
                    <w:textAlignment w:val="auto"/>
                    <w:rPr>
                      <w:rFonts w:hint="default"/>
                      <w:bCs/>
                      <w:kern w:val="0"/>
                      <w:sz w:val="18"/>
                      <w:szCs w:val="18"/>
                      <w:highlight w:val="none"/>
                    </w:rPr>
                  </w:pPr>
                  <w:r>
                    <w:rPr>
                      <w:rFonts w:hint="default"/>
                      <w:bCs/>
                      <w:kern w:val="0"/>
                      <w:sz w:val="18"/>
                      <w:szCs w:val="18"/>
                      <w:highlight w:val="none"/>
                    </w:rPr>
                    <w:t>氨</w:t>
                  </w:r>
                </w:p>
              </w:tc>
              <w:tc>
                <w:tcPr>
                  <w:tcW w:w="357" w:type="pct"/>
                  <w:tcBorders>
                    <w:top w:val="single" w:color="auto" w:sz="4" w:space="0"/>
                    <w:left w:val="single" w:color="auto" w:sz="4" w:space="0"/>
                    <w:right w:val="single" w:color="auto" w:sz="4" w:space="0"/>
                  </w:tcBorders>
                  <w:vAlign w:val="center"/>
                </w:tcPr>
                <w:p w14:paraId="7FA98B9B">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64" w:lineRule="auto"/>
                    <w:ind w:left="0" w:right="0"/>
                    <w:jc w:val="center"/>
                    <w:textAlignment w:val="auto"/>
                    <w:rPr>
                      <w:rFonts w:hint="default" w:ascii="Times New Roman" w:hAnsi="Times New Roman" w:eastAsia="宋体" w:cs="Times New Roman"/>
                      <w:bCs/>
                      <w:kern w:val="0"/>
                      <w:sz w:val="18"/>
                      <w:szCs w:val="18"/>
                      <w:highlight w:val="none"/>
                      <w:lang w:val="en-US" w:eastAsia="zh-CN"/>
                    </w:rPr>
                  </w:pPr>
                  <w:r>
                    <w:rPr>
                      <w:rFonts w:hint="eastAsia" w:ascii="Times New Roman" w:hAnsi="Times New Roman" w:eastAsia="宋体" w:cs="Times New Roman"/>
                      <w:bCs/>
                      <w:kern w:val="0"/>
                      <w:sz w:val="18"/>
                      <w:szCs w:val="18"/>
                      <w:highlight w:val="none"/>
                      <w:lang w:val="en-US" w:eastAsia="zh-CN"/>
                    </w:rPr>
                    <w:t xml:space="preserve">0.345 </w:t>
                  </w:r>
                </w:p>
              </w:tc>
              <w:tc>
                <w:tcPr>
                  <w:tcW w:w="357" w:type="pct"/>
                  <w:tcBorders>
                    <w:top w:val="single" w:color="auto" w:sz="4" w:space="0"/>
                    <w:left w:val="single" w:color="auto" w:sz="4" w:space="0"/>
                    <w:right w:val="single" w:color="auto" w:sz="4" w:space="0"/>
                  </w:tcBorders>
                  <w:vAlign w:val="center"/>
                </w:tcPr>
                <w:p w14:paraId="3A36AA56">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64" w:lineRule="auto"/>
                    <w:ind w:left="0" w:right="0"/>
                    <w:jc w:val="center"/>
                    <w:textAlignment w:val="auto"/>
                    <w:rPr>
                      <w:rFonts w:hint="default" w:ascii="Times New Roman" w:hAnsi="Times New Roman" w:eastAsia="宋体" w:cs="Times New Roman"/>
                      <w:bCs/>
                      <w:kern w:val="0"/>
                      <w:sz w:val="18"/>
                      <w:szCs w:val="18"/>
                      <w:highlight w:val="none"/>
                      <w:lang w:val="en-US" w:eastAsia="zh-CN"/>
                    </w:rPr>
                  </w:pPr>
                  <w:r>
                    <w:rPr>
                      <w:rFonts w:hint="eastAsia" w:ascii="Times New Roman" w:hAnsi="Times New Roman" w:eastAsia="宋体" w:cs="Times New Roman"/>
                      <w:bCs/>
                      <w:kern w:val="0"/>
                      <w:sz w:val="18"/>
                      <w:szCs w:val="18"/>
                      <w:highlight w:val="none"/>
                      <w:lang w:val="en-US" w:eastAsia="zh-CN"/>
                    </w:rPr>
                    <w:t xml:space="preserve">0.039 </w:t>
                  </w:r>
                </w:p>
              </w:tc>
              <w:tc>
                <w:tcPr>
                  <w:tcW w:w="404" w:type="pct"/>
                  <w:tcBorders>
                    <w:top w:val="single" w:color="auto" w:sz="4" w:space="0"/>
                    <w:left w:val="single" w:color="auto" w:sz="4" w:space="0"/>
                    <w:right w:val="single" w:color="auto" w:sz="4" w:space="0"/>
                  </w:tcBorders>
                  <w:shd w:val="clear" w:color="auto" w:fill="auto"/>
                  <w:vAlign w:val="center"/>
                </w:tcPr>
                <w:p w14:paraId="111D72EF">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64" w:lineRule="auto"/>
                    <w:ind w:left="0" w:leftChars="0" w:right="0" w:rightChars="0"/>
                    <w:jc w:val="center"/>
                    <w:textAlignment w:val="auto"/>
                    <w:rPr>
                      <w:rFonts w:hint="default" w:ascii="Times New Roman" w:hAnsi="Times New Roman" w:eastAsia="宋体" w:cs="Times New Roman"/>
                      <w:bCs/>
                      <w:kern w:val="0"/>
                      <w:sz w:val="18"/>
                      <w:szCs w:val="18"/>
                      <w:highlight w:val="none"/>
                      <w:lang w:val="en-US" w:eastAsia="zh-CN" w:bidi="ar-SA"/>
                    </w:rPr>
                  </w:pPr>
                  <w:r>
                    <w:rPr>
                      <w:rFonts w:hint="eastAsia" w:ascii="Times New Roman" w:hAnsi="Times New Roman" w:eastAsia="宋体" w:cs="Times New Roman"/>
                      <w:bCs/>
                      <w:kern w:val="0"/>
                      <w:sz w:val="18"/>
                      <w:szCs w:val="18"/>
                      <w:highlight w:val="none"/>
                      <w:lang w:val="en-US" w:eastAsia="zh-CN"/>
                    </w:rPr>
                    <w:t xml:space="preserve">1.83 </w:t>
                  </w:r>
                </w:p>
              </w:tc>
              <w:tc>
                <w:tcPr>
                  <w:tcW w:w="383" w:type="pct"/>
                  <w:vMerge w:val="restart"/>
                  <w:tcBorders>
                    <w:top w:val="single" w:color="auto" w:sz="4" w:space="0"/>
                    <w:left w:val="single" w:color="auto" w:sz="4" w:space="0"/>
                    <w:right w:val="single" w:color="auto" w:sz="4" w:space="0"/>
                  </w:tcBorders>
                  <w:vAlign w:val="center"/>
                </w:tcPr>
                <w:p w14:paraId="56195ABC">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64" w:lineRule="auto"/>
                    <w:ind w:left="0" w:right="0"/>
                    <w:jc w:val="center"/>
                    <w:textAlignment w:val="auto"/>
                    <w:rPr>
                      <w:rFonts w:hint="default"/>
                      <w:bCs/>
                      <w:kern w:val="0"/>
                      <w:sz w:val="18"/>
                      <w:szCs w:val="18"/>
                      <w:highlight w:val="none"/>
                      <w:lang w:val="en-US" w:eastAsia="zh-CN"/>
                    </w:rPr>
                  </w:pPr>
                  <w:r>
                    <w:rPr>
                      <w:rFonts w:hint="eastAsia"/>
                      <w:bCs/>
                      <w:kern w:val="0"/>
                      <w:sz w:val="18"/>
                      <w:szCs w:val="18"/>
                      <w:highlight w:val="none"/>
                      <w:lang w:val="en-US" w:eastAsia="zh-CN"/>
                    </w:rPr>
                    <w:t>溶液空调自带喷淋除臭装置</w:t>
                  </w:r>
                </w:p>
              </w:tc>
              <w:tc>
                <w:tcPr>
                  <w:tcW w:w="240" w:type="pct"/>
                  <w:tcBorders>
                    <w:top w:val="single" w:color="auto" w:sz="4" w:space="0"/>
                    <w:left w:val="single" w:color="auto" w:sz="4" w:space="0"/>
                    <w:right w:val="single" w:color="auto" w:sz="4" w:space="0"/>
                  </w:tcBorders>
                  <w:vAlign w:val="center"/>
                </w:tcPr>
                <w:p w14:paraId="5FA8780A">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64" w:lineRule="auto"/>
                    <w:ind w:left="0" w:right="0"/>
                    <w:jc w:val="center"/>
                    <w:textAlignment w:val="auto"/>
                    <w:rPr>
                      <w:rFonts w:hint="default"/>
                      <w:bCs/>
                      <w:kern w:val="0"/>
                      <w:sz w:val="18"/>
                      <w:szCs w:val="18"/>
                      <w:highlight w:val="none"/>
                      <w:lang w:val="en-US" w:eastAsia="zh-CN"/>
                    </w:rPr>
                  </w:pPr>
                  <w:r>
                    <w:rPr>
                      <w:rFonts w:hint="eastAsia"/>
                      <w:bCs/>
                      <w:kern w:val="0"/>
                      <w:sz w:val="18"/>
                      <w:szCs w:val="18"/>
                      <w:highlight w:val="none"/>
                      <w:lang w:val="en-US" w:eastAsia="zh-CN"/>
                    </w:rPr>
                    <w:t>90</w:t>
                  </w:r>
                </w:p>
              </w:tc>
              <w:tc>
                <w:tcPr>
                  <w:tcW w:w="317" w:type="pct"/>
                  <w:vMerge w:val="restart"/>
                  <w:tcBorders>
                    <w:top w:val="single" w:color="auto" w:sz="4" w:space="0"/>
                    <w:left w:val="single" w:color="auto" w:sz="4" w:space="0"/>
                    <w:right w:val="single" w:color="auto" w:sz="4" w:space="0"/>
                  </w:tcBorders>
                  <w:vAlign w:val="center"/>
                </w:tcPr>
                <w:p w14:paraId="3A1EDAEE">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64" w:lineRule="auto"/>
                    <w:ind w:left="0" w:right="0"/>
                    <w:jc w:val="center"/>
                    <w:textAlignment w:val="auto"/>
                    <w:rPr>
                      <w:rFonts w:hint="default"/>
                      <w:bCs/>
                      <w:kern w:val="0"/>
                      <w:sz w:val="18"/>
                      <w:szCs w:val="18"/>
                      <w:highlight w:val="none"/>
                      <w:lang w:val="en-US" w:eastAsia="zh-CN"/>
                    </w:rPr>
                  </w:pPr>
                  <w:r>
                    <w:rPr>
                      <w:rFonts w:hint="eastAsia"/>
                      <w:bCs/>
                      <w:kern w:val="0"/>
                      <w:sz w:val="18"/>
                      <w:szCs w:val="18"/>
                      <w:highlight w:val="none"/>
                      <w:lang w:val="en-US" w:eastAsia="zh-CN"/>
                    </w:rPr>
                    <w:t>21283</w:t>
                  </w:r>
                </w:p>
              </w:tc>
              <w:tc>
                <w:tcPr>
                  <w:tcW w:w="380" w:type="pct"/>
                  <w:tcBorders>
                    <w:top w:val="single" w:color="auto" w:sz="4" w:space="0"/>
                    <w:left w:val="single" w:color="auto" w:sz="4" w:space="0"/>
                    <w:right w:val="single" w:color="auto" w:sz="4" w:space="0"/>
                  </w:tcBorders>
                  <w:vAlign w:val="center"/>
                </w:tcPr>
                <w:p w14:paraId="44927464">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64" w:lineRule="auto"/>
                    <w:ind w:left="0" w:right="0"/>
                    <w:jc w:val="center"/>
                    <w:textAlignment w:val="auto"/>
                    <w:rPr>
                      <w:rFonts w:hint="default" w:ascii="Times New Roman" w:hAnsi="Times New Roman" w:eastAsia="宋体" w:cs="Times New Roman"/>
                      <w:bCs/>
                      <w:kern w:val="0"/>
                      <w:sz w:val="18"/>
                      <w:szCs w:val="18"/>
                      <w:highlight w:val="none"/>
                      <w:lang w:val="en-US" w:eastAsia="zh-CN"/>
                    </w:rPr>
                  </w:pPr>
                  <w:r>
                    <w:rPr>
                      <w:rFonts w:hint="eastAsia" w:ascii="Times New Roman" w:hAnsi="Times New Roman" w:eastAsia="宋体" w:cs="Times New Roman"/>
                      <w:bCs/>
                      <w:kern w:val="0"/>
                      <w:sz w:val="18"/>
                      <w:szCs w:val="18"/>
                      <w:highlight w:val="none"/>
                      <w:lang w:val="en-US" w:eastAsia="zh-CN"/>
                    </w:rPr>
                    <w:t xml:space="preserve">0.035 </w:t>
                  </w:r>
                </w:p>
              </w:tc>
              <w:tc>
                <w:tcPr>
                  <w:tcW w:w="362" w:type="pct"/>
                  <w:tcBorders>
                    <w:top w:val="single" w:color="auto" w:sz="4" w:space="0"/>
                    <w:left w:val="single" w:color="auto" w:sz="4" w:space="0"/>
                    <w:right w:val="single" w:color="auto" w:sz="4" w:space="0"/>
                  </w:tcBorders>
                  <w:vAlign w:val="center"/>
                </w:tcPr>
                <w:p w14:paraId="1A17927E">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64" w:lineRule="auto"/>
                    <w:ind w:left="0" w:right="0"/>
                    <w:jc w:val="center"/>
                    <w:textAlignment w:val="auto"/>
                    <w:rPr>
                      <w:rFonts w:hint="default" w:ascii="Times New Roman" w:hAnsi="Times New Roman" w:eastAsia="宋体" w:cs="Times New Roman"/>
                      <w:bCs/>
                      <w:kern w:val="0"/>
                      <w:sz w:val="18"/>
                      <w:szCs w:val="18"/>
                      <w:highlight w:val="none"/>
                      <w:lang w:val="en-US" w:eastAsia="zh-CN"/>
                    </w:rPr>
                  </w:pPr>
                  <w:r>
                    <w:rPr>
                      <w:rFonts w:hint="eastAsia" w:ascii="Times New Roman" w:hAnsi="Times New Roman" w:eastAsia="宋体" w:cs="Times New Roman"/>
                      <w:bCs/>
                      <w:kern w:val="0"/>
                      <w:sz w:val="18"/>
                      <w:szCs w:val="18"/>
                      <w:highlight w:val="none"/>
                      <w:lang w:val="en-US" w:eastAsia="zh-CN"/>
                    </w:rPr>
                    <w:t xml:space="preserve">0.004 </w:t>
                  </w:r>
                </w:p>
              </w:tc>
              <w:tc>
                <w:tcPr>
                  <w:tcW w:w="340" w:type="pct"/>
                  <w:tcBorders>
                    <w:top w:val="single" w:color="auto" w:sz="4" w:space="0"/>
                    <w:left w:val="single" w:color="auto" w:sz="4" w:space="0"/>
                    <w:right w:val="single" w:color="auto" w:sz="4" w:space="0"/>
                  </w:tcBorders>
                  <w:shd w:val="clear" w:color="auto" w:fill="auto"/>
                  <w:vAlign w:val="center"/>
                </w:tcPr>
                <w:p w14:paraId="24EA30DD">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64" w:lineRule="auto"/>
                    <w:ind w:left="0" w:leftChars="0" w:right="0" w:rightChars="0"/>
                    <w:jc w:val="center"/>
                    <w:textAlignment w:val="auto"/>
                    <w:rPr>
                      <w:rFonts w:hint="default" w:ascii="Times New Roman" w:hAnsi="Times New Roman" w:eastAsia="宋体" w:cs="Times New Roman"/>
                      <w:bCs/>
                      <w:kern w:val="0"/>
                      <w:sz w:val="18"/>
                      <w:szCs w:val="18"/>
                      <w:highlight w:val="none"/>
                      <w:lang w:val="en-US" w:eastAsia="zh-CN" w:bidi="ar-SA"/>
                    </w:rPr>
                  </w:pPr>
                  <w:r>
                    <w:rPr>
                      <w:rFonts w:hint="eastAsia" w:ascii="Times New Roman" w:hAnsi="Times New Roman" w:eastAsia="宋体" w:cs="Times New Roman"/>
                      <w:bCs/>
                      <w:kern w:val="0"/>
                      <w:sz w:val="18"/>
                      <w:szCs w:val="18"/>
                      <w:highlight w:val="none"/>
                      <w:lang w:val="en-US" w:eastAsia="zh-CN"/>
                    </w:rPr>
                    <w:t>0.</w:t>
                  </w:r>
                  <w:r>
                    <w:rPr>
                      <w:rFonts w:hint="eastAsia" w:ascii="Times New Roman" w:hAnsi="Times New Roman" w:cs="Times New Roman"/>
                      <w:bCs/>
                      <w:kern w:val="0"/>
                      <w:sz w:val="18"/>
                      <w:szCs w:val="18"/>
                      <w:highlight w:val="none"/>
                      <w:lang w:val="en-US" w:eastAsia="zh-CN"/>
                    </w:rPr>
                    <w:t>19</w:t>
                  </w:r>
                  <w:r>
                    <w:rPr>
                      <w:rFonts w:hint="eastAsia" w:ascii="Times New Roman" w:hAnsi="Times New Roman" w:eastAsia="宋体" w:cs="Times New Roman"/>
                      <w:bCs/>
                      <w:kern w:val="0"/>
                      <w:sz w:val="18"/>
                      <w:szCs w:val="18"/>
                      <w:highlight w:val="none"/>
                      <w:lang w:val="en-US" w:eastAsia="zh-CN"/>
                    </w:rPr>
                    <w:t xml:space="preserve"> </w:t>
                  </w:r>
                </w:p>
              </w:tc>
              <w:tc>
                <w:tcPr>
                  <w:tcW w:w="255" w:type="pct"/>
                  <w:vMerge w:val="restart"/>
                  <w:tcBorders>
                    <w:top w:val="single" w:color="auto" w:sz="4" w:space="0"/>
                    <w:left w:val="single" w:color="auto" w:sz="4" w:space="0"/>
                    <w:right w:val="single" w:color="auto" w:sz="4" w:space="0"/>
                  </w:tcBorders>
                  <w:vAlign w:val="center"/>
                </w:tcPr>
                <w:p w14:paraId="4182D17A">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64" w:lineRule="auto"/>
                    <w:ind w:left="0" w:right="0"/>
                    <w:jc w:val="center"/>
                    <w:textAlignment w:val="auto"/>
                    <w:rPr>
                      <w:rFonts w:hint="default"/>
                      <w:bCs/>
                      <w:kern w:val="0"/>
                      <w:sz w:val="18"/>
                      <w:szCs w:val="18"/>
                      <w:highlight w:val="none"/>
                    </w:rPr>
                  </w:pPr>
                  <w:r>
                    <w:rPr>
                      <w:rFonts w:hint="default"/>
                      <w:bCs/>
                      <w:kern w:val="0"/>
                      <w:sz w:val="18"/>
                      <w:szCs w:val="18"/>
                      <w:highlight w:val="none"/>
                    </w:rPr>
                    <w:t>8760</w:t>
                  </w:r>
                </w:p>
              </w:tc>
            </w:tr>
            <w:tr w14:paraId="7380338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90" w:hRule="atLeast"/>
                <w:jc w:val="center"/>
              </w:trPr>
              <w:tc>
                <w:tcPr>
                  <w:tcW w:w="271" w:type="pct"/>
                  <w:vMerge w:val="continue"/>
                  <w:tcBorders>
                    <w:left w:val="single" w:color="auto" w:sz="4" w:space="0"/>
                    <w:right w:val="single" w:color="auto" w:sz="4" w:space="0"/>
                  </w:tcBorders>
                  <w:vAlign w:val="center"/>
                </w:tcPr>
                <w:p w14:paraId="69C19D03">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64" w:lineRule="auto"/>
                    <w:ind w:left="0" w:right="0"/>
                    <w:jc w:val="center"/>
                    <w:textAlignment w:val="auto"/>
                    <w:rPr>
                      <w:rFonts w:hint="default"/>
                      <w:bCs/>
                      <w:kern w:val="0"/>
                      <w:sz w:val="18"/>
                      <w:szCs w:val="18"/>
                      <w:highlight w:val="none"/>
                    </w:rPr>
                  </w:pPr>
                </w:p>
              </w:tc>
              <w:tc>
                <w:tcPr>
                  <w:tcW w:w="331" w:type="pct"/>
                  <w:vMerge w:val="continue"/>
                  <w:tcBorders>
                    <w:left w:val="single" w:color="auto" w:sz="4" w:space="0"/>
                    <w:right w:val="single" w:color="auto" w:sz="4" w:space="0"/>
                  </w:tcBorders>
                  <w:vAlign w:val="center"/>
                </w:tcPr>
                <w:p w14:paraId="2E46EFF2">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64" w:lineRule="auto"/>
                    <w:ind w:left="0" w:right="0"/>
                    <w:jc w:val="center"/>
                    <w:textAlignment w:val="auto"/>
                    <w:rPr>
                      <w:rFonts w:hint="default"/>
                      <w:bCs/>
                      <w:kern w:val="0"/>
                      <w:sz w:val="18"/>
                      <w:szCs w:val="18"/>
                      <w:highlight w:val="none"/>
                    </w:rPr>
                  </w:pPr>
                </w:p>
              </w:tc>
              <w:tc>
                <w:tcPr>
                  <w:tcW w:w="404" w:type="pct"/>
                  <w:vMerge w:val="continue"/>
                  <w:tcBorders>
                    <w:left w:val="single" w:color="auto" w:sz="4" w:space="0"/>
                    <w:right w:val="single" w:color="auto" w:sz="4" w:space="0"/>
                  </w:tcBorders>
                  <w:vAlign w:val="center"/>
                </w:tcPr>
                <w:p w14:paraId="52999579">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64" w:lineRule="auto"/>
                    <w:ind w:left="0" w:right="0"/>
                    <w:jc w:val="center"/>
                    <w:textAlignment w:val="auto"/>
                    <w:rPr>
                      <w:rFonts w:hint="default"/>
                      <w:bCs/>
                      <w:kern w:val="0"/>
                      <w:sz w:val="18"/>
                      <w:szCs w:val="18"/>
                      <w:highlight w:val="none"/>
                    </w:rPr>
                  </w:pPr>
                </w:p>
              </w:tc>
              <w:tc>
                <w:tcPr>
                  <w:tcW w:w="593" w:type="pct"/>
                  <w:tcBorders>
                    <w:left w:val="single" w:color="auto" w:sz="4" w:space="0"/>
                    <w:bottom w:val="single" w:color="auto" w:sz="4" w:space="0"/>
                    <w:right w:val="single" w:color="auto" w:sz="4" w:space="0"/>
                  </w:tcBorders>
                  <w:vAlign w:val="center"/>
                </w:tcPr>
                <w:p w14:paraId="24C5E1D3">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64" w:lineRule="auto"/>
                    <w:ind w:left="0" w:right="0"/>
                    <w:jc w:val="center"/>
                    <w:textAlignment w:val="auto"/>
                    <w:rPr>
                      <w:rFonts w:hint="default"/>
                      <w:bCs/>
                      <w:kern w:val="0"/>
                      <w:sz w:val="18"/>
                      <w:szCs w:val="18"/>
                      <w:highlight w:val="none"/>
                    </w:rPr>
                  </w:pPr>
                  <w:r>
                    <w:rPr>
                      <w:rFonts w:hint="default"/>
                      <w:bCs/>
                      <w:kern w:val="0"/>
                      <w:sz w:val="18"/>
                      <w:szCs w:val="18"/>
                      <w:highlight w:val="none"/>
                    </w:rPr>
                    <w:t>硫化氢</w:t>
                  </w:r>
                </w:p>
              </w:tc>
              <w:tc>
                <w:tcPr>
                  <w:tcW w:w="357" w:type="pct"/>
                  <w:tcBorders>
                    <w:top w:val="single" w:color="auto" w:sz="4" w:space="0"/>
                    <w:left w:val="single" w:color="auto" w:sz="4" w:space="0"/>
                    <w:bottom w:val="single" w:color="auto" w:sz="4" w:space="0"/>
                    <w:right w:val="single" w:color="auto" w:sz="4" w:space="0"/>
                  </w:tcBorders>
                  <w:vAlign w:val="center"/>
                </w:tcPr>
                <w:p w14:paraId="0474BC5A">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64" w:lineRule="auto"/>
                    <w:ind w:left="0" w:right="0"/>
                    <w:jc w:val="center"/>
                    <w:textAlignment w:val="auto"/>
                    <w:rPr>
                      <w:rFonts w:hint="default" w:ascii="Times New Roman" w:hAnsi="Times New Roman" w:eastAsia="宋体" w:cs="Times New Roman"/>
                      <w:bCs/>
                      <w:kern w:val="0"/>
                      <w:sz w:val="18"/>
                      <w:szCs w:val="18"/>
                      <w:highlight w:val="none"/>
                      <w:lang w:val="en-US" w:eastAsia="zh-CN"/>
                    </w:rPr>
                  </w:pPr>
                  <w:r>
                    <w:rPr>
                      <w:rFonts w:hint="eastAsia" w:ascii="Times New Roman" w:hAnsi="Times New Roman" w:eastAsia="宋体" w:cs="Times New Roman"/>
                      <w:bCs/>
                      <w:kern w:val="0"/>
                      <w:sz w:val="18"/>
                      <w:szCs w:val="18"/>
                      <w:highlight w:val="none"/>
                      <w:lang w:val="en-US" w:eastAsia="zh-CN"/>
                    </w:rPr>
                    <w:t xml:space="preserve">0.052 </w:t>
                  </w:r>
                </w:p>
              </w:tc>
              <w:tc>
                <w:tcPr>
                  <w:tcW w:w="357" w:type="pct"/>
                  <w:tcBorders>
                    <w:top w:val="single" w:color="auto" w:sz="4" w:space="0"/>
                    <w:left w:val="single" w:color="auto" w:sz="4" w:space="0"/>
                    <w:bottom w:val="single" w:color="auto" w:sz="4" w:space="0"/>
                    <w:right w:val="single" w:color="auto" w:sz="4" w:space="0"/>
                  </w:tcBorders>
                  <w:vAlign w:val="center"/>
                </w:tcPr>
                <w:p w14:paraId="5854DB5E">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64" w:lineRule="auto"/>
                    <w:ind w:left="0" w:right="0"/>
                    <w:jc w:val="center"/>
                    <w:textAlignment w:val="auto"/>
                    <w:rPr>
                      <w:rFonts w:hint="default" w:ascii="Times New Roman" w:hAnsi="Times New Roman" w:eastAsia="宋体" w:cs="Times New Roman"/>
                      <w:bCs/>
                      <w:kern w:val="0"/>
                      <w:sz w:val="18"/>
                      <w:szCs w:val="18"/>
                      <w:highlight w:val="none"/>
                      <w:lang w:val="en-US" w:eastAsia="zh-CN"/>
                    </w:rPr>
                  </w:pPr>
                  <w:r>
                    <w:rPr>
                      <w:rFonts w:hint="eastAsia" w:ascii="Times New Roman" w:hAnsi="Times New Roman" w:eastAsia="宋体" w:cs="Times New Roman"/>
                      <w:bCs/>
                      <w:kern w:val="0"/>
                      <w:sz w:val="18"/>
                      <w:szCs w:val="18"/>
                      <w:highlight w:val="none"/>
                      <w:lang w:val="en-US" w:eastAsia="zh-CN"/>
                    </w:rPr>
                    <w:t xml:space="preserve">0.006 </w:t>
                  </w:r>
                </w:p>
              </w:tc>
              <w:tc>
                <w:tcPr>
                  <w:tcW w:w="404" w:type="pct"/>
                  <w:tcBorders>
                    <w:top w:val="single" w:color="auto" w:sz="4" w:space="0"/>
                    <w:left w:val="single" w:color="auto" w:sz="4" w:space="0"/>
                    <w:right w:val="single" w:color="auto" w:sz="4" w:space="0"/>
                  </w:tcBorders>
                  <w:shd w:val="clear" w:color="auto" w:fill="auto"/>
                  <w:vAlign w:val="center"/>
                </w:tcPr>
                <w:p w14:paraId="06C4B05F">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64" w:lineRule="auto"/>
                    <w:ind w:left="0" w:leftChars="0" w:right="0" w:rightChars="0"/>
                    <w:jc w:val="center"/>
                    <w:textAlignment w:val="auto"/>
                    <w:rPr>
                      <w:rFonts w:hint="default" w:ascii="Times New Roman" w:hAnsi="Times New Roman" w:eastAsia="宋体" w:cs="Times New Roman"/>
                      <w:bCs/>
                      <w:kern w:val="0"/>
                      <w:sz w:val="18"/>
                      <w:szCs w:val="18"/>
                      <w:highlight w:val="none"/>
                      <w:lang w:val="en-US" w:eastAsia="zh-CN" w:bidi="ar-SA"/>
                    </w:rPr>
                  </w:pPr>
                  <w:r>
                    <w:rPr>
                      <w:rFonts w:hint="eastAsia" w:ascii="Times New Roman" w:hAnsi="Times New Roman" w:eastAsia="宋体" w:cs="Times New Roman"/>
                      <w:bCs/>
                      <w:kern w:val="0"/>
                      <w:sz w:val="18"/>
                      <w:szCs w:val="18"/>
                      <w:highlight w:val="none"/>
                      <w:lang w:val="en-US" w:eastAsia="zh-CN"/>
                    </w:rPr>
                    <w:t>0.2</w:t>
                  </w:r>
                  <w:r>
                    <w:rPr>
                      <w:rFonts w:hint="eastAsia" w:ascii="Times New Roman" w:hAnsi="Times New Roman" w:cs="Times New Roman"/>
                      <w:bCs/>
                      <w:kern w:val="0"/>
                      <w:sz w:val="18"/>
                      <w:szCs w:val="18"/>
                      <w:highlight w:val="none"/>
                      <w:lang w:val="en-US" w:eastAsia="zh-CN"/>
                    </w:rPr>
                    <w:t>8</w:t>
                  </w:r>
                  <w:r>
                    <w:rPr>
                      <w:rFonts w:hint="eastAsia" w:ascii="Times New Roman" w:hAnsi="Times New Roman" w:eastAsia="宋体" w:cs="Times New Roman"/>
                      <w:bCs/>
                      <w:kern w:val="0"/>
                      <w:sz w:val="18"/>
                      <w:szCs w:val="18"/>
                      <w:highlight w:val="none"/>
                      <w:lang w:val="en-US" w:eastAsia="zh-CN"/>
                    </w:rPr>
                    <w:t xml:space="preserve"> </w:t>
                  </w:r>
                </w:p>
              </w:tc>
              <w:tc>
                <w:tcPr>
                  <w:tcW w:w="383" w:type="pct"/>
                  <w:vMerge w:val="continue"/>
                  <w:tcBorders>
                    <w:left w:val="single" w:color="auto" w:sz="4" w:space="0"/>
                    <w:right w:val="single" w:color="auto" w:sz="4" w:space="0"/>
                  </w:tcBorders>
                  <w:vAlign w:val="center"/>
                </w:tcPr>
                <w:p w14:paraId="63C864BA">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64" w:lineRule="auto"/>
                    <w:ind w:left="0" w:right="0"/>
                    <w:jc w:val="center"/>
                    <w:textAlignment w:val="auto"/>
                    <w:rPr>
                      <w:rFonts w:hint="eastAsia"/>
                      <w:bCs/>
                      <w:kern w:val="0"/>
                      <w:sz w:val="18"/>
                      <w:szCs w:val="18"/>
                      <w:highlight w:val="none"/>
                      <w:lang w:val="en-US" w:eastAsia="zh-CN"/>
                    </w:rPr>
                  </w:pPr>
                </w:p>
              </w:tc>
              <w:tc>
                <w:tcPr>
                  <w:tcW w:w="240" w:type="pct"/>
                  <w:tcBorders>
                    <w:left w:val="single" w:color="auto" w:sz="4" w:space="0"/>
                    <w:right w:val="single" w:color="auto" w:sz="4" w:space="0"/>
                  </w:tcBorders>
                  <w:vAlign w:val="center"/>
                </w:tcPr>
                <w:p w14:paraId="59A20263">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64" w:lineRule="auto"/>
                    <w:ind w:left="0" w:right="0"/>
                    <w:jc w:val="center"/>
                    <w:textAlignment w:val="auto"/>
                    <w:rPr>
                      <w:rFonts w:hint="default"/>
                      <w:bCs/>
                      <w:kern w:val="0"/>
                      <w:sz w:val="18"/>
                      <w:szCs w:val="18"/>
                      <w:highlight w:val="none"/>
                      <w:lang w:val="en-US" w:eastAsia="zh-CN"/>
                    </w:rPr>
                  </w:pPr>
                  <w:r>
                    <w:rPr>
                      <w:rFonts w:hint="eastAsia"/>
                      <w:bCs/>
                      <w:kern w:val="0"/>
                      <w:sz w:val="18"/>
                      <w:szCs w:val="18"/>
                      <w:highlight w:val="none"/>
                      <w:lang w:val="en-US" w:eastAsia="zh-CN"/>
                    </w:rPr>
                    <w:t>50</w:t>
                  </w:r>
                </w:p>
              </w:tc>
              <w:tc>
                <w:tcPr>
                  <w:tcW w:w="317" w:type="pct"/>
                  <w:vMerge w:val="continue"/>
                  <w:tcBorders>
                    <w:left w:val="single" w:color="auto" w:sz="4" w:space="0"/>
                    <w:right w:val="single" w:color="auto" w:sz="4" w:space="0"/>
                  </w:tcBorders>
                  <w:vAlign w:val="center"/>
                </w:tcPr>
                <w:p w14:paraId="2E80BABE">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64" w:lineRule="auto"/>
                    <w:ind w:left="0" w:right="0"/>
                    <w:jc w:val="center"/>
                    <w:textAlignment w:val="auto"/>
                    <w:rPr>
                      <w:rFonts w:hint="eastAsia"/>
                      <w:bCs/>
                      <w:kern w:val="0"/>
                      <w:sz w:val="18"/>
                      <w:szCs w:val="18"/>
                      <w:highlight w:val="none"/>
                      <w:lang w:val="en-US" w:eastAsia="zh-CN"/>
                    </w:rPr>
                  </w:pPr>
                </w:p>
              </w:tc>
              <w:tc>
                <w:tcPr>
                  <w:tcW w:w="380" w:type="pct"/>
                  <w:tcBorders>
                    <w:top w:val="single" w:color="auto" w:sz="4" w:space="0"/>
                    <w:left w:val="single" w:color="auto" w:sz="4" w:space="0"/>
                    <w:bottom w:val="single" w:color="auto" w:sz="4" w:space="0"/>
                    <w:right w:val="single" w:color="auto" w:sz="4" w:space="0"/>
                  </w:tcBorders>
                  <w:vAlign w:val="center"/>
                </w:tcPr>
                <w:p w14:paraId="0BE6FA90">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64" w:lineRule="auto"/>
                    <w:ind w:left="0" w:right="0"/>
                    <w:jc w:val="center"/>
                    <w:textAlignment w:val="auto"/>
                    <w:rPr>
                      <w:rFonts w:hint="default" w:ascii="Times New Roman" w:hAnsi="Times New Roman" w:eastAsia="宋体" w:cs="Times New Roman"/>
                      <w:bCs/>
                      <w:kern w:val="0"/>
                      <w:sz w:val="18"/>
                      <w:szCs w:val="18"/>
                      <w:highlight w:val="none"/>
                      <w:lang w:val="en-US" w:eastAsia="zh-CN"/>
                    </w:rPr>
                  </w:pPr>
                  <w:r>
                    <w:rPr>
                      <w:rFonts w:hint="eastAsia" w:ascii="Times New Roman" w:hAnsi="Times New Roman" w:eastAsia="宋体" w:cs="Times New Roman"/>
                      <w:bCs/>
                      <w:kern w:val="0"/>
                      <w:sz w:val="18"/>
                      <w:szCs w:val="18"/>
                      <w:highlight w:val="none"/>
                      <w:lang w:val="en-US" w:eastAsia="zh-CN"/>
                    </w:rPr>
                    <w:t xml:space="preserve">0.026 </w:t>
                  </w:r>
                </w:p>
              </w:tc>
              <w:tc>
                <w:tcPr>
                  <w:tcW w:w="362" w:type="pct"/>
                  <w:tcBorders>
                    <w:top w:val="single" w:color="auto" w:sz="4" w:space="0"/>
                    <w:left w:val="single" w:color="auto" w:sz="4" w:space="0"/>
                    <w:bottom w:val="single" w:color="auto" w:sz="4" w:space="0"/>
                    <w:right w:val="single" w:color="auto" w:sz="4" w:space="0"/>
                  </w:tcBorders>
                  <w:vAlign w:val="center"/>
                </w:tcPr>
                <w:p w14:paraId="1A5F64E6">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64" w:lineRule="auto"/>
                    <w:ind w:left="0" w:right="0"/>
                    <w:jc w:val="center"/>
                    <w:textAlignment w:val="auto"/>
                    <w:rPr>
                      <w:rFonts w:hint="default" w:ascii="Times New Roman" w:hAnsi="Times New Roman" w:eastAsia="宋体" w:cs="Times New Roman"/>
                      <w:bCs/>
                      <w:kern w:val="0"/>
                      <w:sz w:val="18"/>
                      <w:szCs w:val="18"/>
                      <w:highlight w:val="none"/>
                      <w:lang w:val="en-US" w:eastAsia="zh-CN"/>
                    </w:rPr>
                  </w:pPr>
                  <w:r>
                    <w:rPr>
                      <w:rFonts w:hint="eastAsia" w:ascii="Times New Roman" w:hAnsi="Times New Roman" w:eastAsia="宋体" w:cs="Times New Roman"/>
                      <w:bCs/>
                      <w:kern w:val="0"/>
                      <w:sz w:val="18"/>
                      <w:szCs w:val="18"/>
                      <w:highlight w:val="none"/>
                      <w:lang w:val="en-US" w:eastAsia="zh-CN"/>
                    </w:rPr>
                    <w:t xml:space="preserve">0.003 </w:t>
                  </w:r>
                </w:p>
              </w:tc>
              <w:tc>
                <w:tcPr>
                  <w:tcW w:w="340" w:type="pct"/>
                  <w:tcBorders>
                    <w:top w:val="single" w:color="auto" w:sz="4" w:space="0"/>
                    <w:left w:val="single" w:color="auto" w:sz="4" w:space="0"/>
                    <w:right w:val="single" w:color="auto" w:sz="4" w:space="0"/>
                  </w:tcBorders>
                  <w:shd w:val="clear" w:color="auto" w:fill="auto"/>
                  <w:vAlign w:val="center"/>
                </w:tcPr>
                <w:p w14:paraId="56E6DD13">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64" w:lineRule="auto"/>
                    <w:ind w:left="0" w:leftChars="0" w:right="0" w:rightChars="0"/>
                    <w:jc w:val="center"/>
                    <w:textAlignment w:val="auto"/>
                    <w:rPr>
                      <w:rFonts w:hint="default" w:ascii="Times New Roman" w:hAnsi="Times New Roman" w:eastAsia="宋体" w:cs="Times New Roman"/>
                      <w:bCs/>
                      <w:kern w:val="0"/>
                      <w:sz w:val="18"/>
                      <w:szCs w:val="18"/>
                      <w:highlight w:val="none"/>
                      <w:lang w:val="en-US" w:eastAsia="zh-CN" w:bidi="ar-SA"/>
                    </w:rPr>
                  </w:pPr>
                  <w:r>
                    <w:rPr>
                      <w:rFonts w:hint="eastAsia" w:ascii="Times New Roman" w:hAnsi="Times New Roman" w:eastAsia="宋体" w:cs="Times New Roman"/>
                      <w:bCs/>
                      <w:kern w:val="0"/>
                      <w:sz w:val="18"/>
                      <w:szCs w:val="18"/>
                      <w:highlight w:val="none"/>
                      <w:lang w:val="en-US" w:eastAsia="zh-CN"/>
                    </w:rPr>
                    <w:t>0.1</w:t>
                  </w:r>
                  <w:r>
                    <w:rPr>
                      <w:rFonts w:hint="eastAsia" w:ascii="Times New Roman" w:hAnsi="Times New Roman" w:cs="Times New Roman"/>
                      <w:bCs/>
                      <w:kern w:val="0"/>
                      <w:sz w:val="18"/>
                      <w:szCs w:val="18"/>
                      <w:highlight w:val="none"/>
                      <w:lang w:val="en-US" w:eastAsia="zh-CN"/>
                    </w:rPr>
                    <w:t>4</w:t>
                  </w:r>
                  <w:r>
                    <w:rPr>
                      <w:rFonts w:hint="eastAsia" w:ascii="Times New Roman" w:hAnsi="Times New Roman" w:eastAsia="宋体" w:cs="Times New Roman"/>
                      <w:bCs/>
                      <w:kern w:val="0"/>
                      <w:sz w:val="18"/>
                      <w:szCs w:val="18"/>
                      <w:highlight w:val="none"/>
                      <w:lang w:val="en-US" w:eastAsia="zh-CN"/>
                    </w:rPr>
                    <w:t xml:space="preserve"> </w:t>
                  </w:r>
                </w:p>
              </w:tc>
              <w:tc>
                <w:tcPr>
                  <w:tcW w:w="255" w:type="pct"/>
                  <w:vMerge w:val="continue"/>
                  <w:tcBorders>
                    <w:left w:val="single" w:color="auto" w:sz="4" w:space="0"/>
                    <w:right w:val="single" w:color="auto" w:sz="4" w:space="0"/>
                  </w:tcBorders>
                  <w:vAlign w:val="center"/>
                </w:tcPr>
                <w:p w14:paraId="3290EB87">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64" w:lineRule="auto"/>
                    <w:ind w:left="0" w:right="0"/>
                    <w:jc w:val="center"/>
                    <w:textAlignment w:val="auto"/>
                    <w:rPr>
                      <w:rFonts w:hint="default"/>
                      <w:bCs/>
                      <w:kern w:val="0"/>
                      <w:sz w:val="18"/>
                      <w:szCs w:val="18"/>
                      <w:highlight w:val="none"/>
                    </w:rPr>
                  </w:pPr>
                </w:p>
              </w:tc>
            </w:tr>
            <w:tr w14:paraId="7C1FA13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189" w:hRule="atLeast"/>
                <w:jc w:val="center"/>
              </w:trPr>
              <w:tc>
                <w:tcPr>
                  <w:tcW w:w="271" w:type="pct"/>
                  <w:vMerge w:val="continue"/>
                  <w:tcBorders>
                    <w:left w:val="single" w:color="auto" w:sz="4" w:space="0"/>
                    <w:right w:val="single" w:color="auto" w:sz="4" w:space="0"/>
                  </w:tcBorders>
                  <w:vAlign w:val="center"/>
                </w:tcPr>
                <w:p w14:paraId="72192849">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64" w:lineRule="auto"/>
                    <w:ind w:left="0" w:right="0"/>
                    <w:jc w:val="center"/>
                    <w:textAlignment w:val="auto"/>
                    <w:rPr>
                      <w:rFonts w:hint="default"/>
                      <w:bCs/>
                      <w:kern w:val="0"/>
                      <w:sz w:val="18"/>
                      <w:szCs w:val="18"/>
                      <w:highlight w:val="none"/>
                    </w:rPr>
                  </w:pPr>
                </w:p>
              </w:tc>
              <w:tc>
                <w:tcPr>
                  <w:tcW w:w="331" w:type="pct"/>
                  <w:vMerge w:val="continue"/>
                  <w:tcBorders>
                    <w:left w:val="single" w:color="auto" w:sz="4" w:space="0"/>
                    <w:right w:val="single" w:color="auto" w:sz="4" w:space="0"/>
                  </w:tcBorders>
                  <w:vAlign w:val="center"/>
                </w:tcPr>
                <w:p w14:paraId="16C16E78">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64" w:lineRule="auto"/>
                    <w:ind w:left="0" w:right="0"/>
                    <w:jc w:val="center"/>
                    <w:textAlignment w:val="auto"/>
                    <w:rPr>
                      <w:rFonts w:hint="default"/>
                      <w:bCs/>
                      <w:kern w:val="0"/>
                      <w:sz w:val="18"/>
                      <w:szCs w:val="18"/>
                      <w:highlight w:val="none"/>
                    </w:rPr>
                  </w:pPr>
                </w:p>
              </w:tc>
              <w:tc>
                <w:tcPr>
                  <w:tcW w:w="404" w:type="pct"/>
                  <w:vMerge w:val="continue"/>
                  <w:tcBorders>
                    <w:left w:val="single" w:color="auto" w:sz="4" w:space="0"/>
                    <w:right w:val="single" w:color="auto" w:sz="4" w:space="0"/>
                  </w:tcBorders>
                  <w:vAlign w:val="center"/>
                </w:tcPr>
                <w:p w14:paraId="78D679CB">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64" w:lineRule="auto"/>
                    <w:ind w:left="0" w:right="0"/>
                    <w:jc w:val="center"/>
                    <w:textAlignment w:val="auto"/>
                    <w:rPr>
                      <w:rFonts w:hint="default"/>
                      <w:bCs/>
                      <w:kern w:val="0"/>
                      <w:sz w:val="18"/>
                      <w:szCs w:val="18"/>
                      <w:highlight w:val="none"/>
                    </w:rPr>
                  </w:pPr>
                </w:p>
              </w:tc>
              <w:tc>
                <w:tcPr>
                  <w:tcW w:w="593" w:type="pct"/>
                  <w:tcBorders>
                    <w:left w:val="single" w:color="auto" w:sz="4" w:space="0"/>
                    <w:bottom w:val="single" w:color="auto" w:sz="4" w:space="0"/>
                    <w:right w:val="single" w:color="auto" w:sz="4" w:space="0"/>
                  </w:tcBorders>
                  <w:vAlign w:val="center"/>
                </w:tcPr>
                <w:p w14:paraId="098768AD">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64" w:lineRule="auto"/>
                    <w:ind w:left="0" w:right="0"/>
                    <w:jc w:val="center"/>
                    <w:textAlignment w:val="auto"/>
                    <w:rPr>
                      <w:rFonts w:hint="default"/>
                      <w:bCs/>
                      <w:kern w:val="0"/>
                      <w:sz w:val="18"/>
                      <w:szCs w:val="18"/>
                      <w:highlight w:val="none"/>
                    </w:rPr>
                  </w:pPr>
                  <w:r>
                    <w:rPr>
                      <w:rFonts w:hint="default"/>
                      <w:bCs/>
                      <w:kern w:val="0"/>
                      <w:sz w:val="18"/>
                      <w:szCs w:val="18"/>
                      <w:highlight w:val="none"/>
                    </w:rPr>
                    <w:t>臭气浓度</w:t>
                  </w:r>
                </w:p>
              </w:tc>
              <w:tc>
                <w:tcPr>
                  <w:tcW w:w="1119" w:type="pct"/>
                  <w:gridSpan w:val="3"/>
                  <w:tcBorders>
                    <w:top w:val="single" w:color="auto" w:sz="4" w:space="0"/>
                    <w:left w:val="single" w:color="auto" w:sz="4" w:space="0"/>
                    <w:bottom w:val="single" w:color="auto" w:sz="4" w:space="0"/>
                    <w:right w:val="single" w:color="auto" w:sz="4" w:space="0"/>
                  </w:tcBorders>
                  <w:vAlign w:val="center"/>
                </w:tcPr>
                <w:p w14:paraId="653777C4">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64" w:lineRule="auto"/>
                    <w:ind w:left="0" w:right="0"/>
                    <w:jc w:val="center"/>
                    <w:textAlignment w:val="auto"/>
                    <w:rPr>
                      <w:rFonts w:hint="default" w:eastAsia="宋体"/>
                      <w:bCs/>
                      <w:color w:val="auto"/>
                      <w:kern w:val="0"/>
                      <w:sz w:val="18"/>
                      <w:szCs w:val="18"/>
                      <w:highlight w:val="none"/>
                      <w:lang w:val="en-US" w:eastAsia="zh-CN"/>
                    </w:rPr>
                  </w:pPr>
                  <w:r>
                    <w:rPr>
                      <w:rFonts w:hint="eastAsia"/>
                      <w:bCs/>
                      <w:color w:val="auto"/>
                      <w:kern w:val="0"/>
                      <w:sz w:val="18"/>
                      <w:szCs w:val="18"/>
                      <w:highlight w:val="none"/>
                      <w:lang w:val="en-US" w:eastAsia="zh-CN"/>
                    </w:rPr>
                    <w:t>1318</w:t>
                  </w:r>
                  <w:r>
                    <w:rPr>
                      <w:rFonts w:hint="eastAsia"/>
                      <w:bCs/>
                      <w:kern w:val="0"/>
                      <w:sz w:val="18"/>
                      <w:szCs w:val="18"/>
                      <w:highlight w:val="none"/>
                      <w:lang w:val="en-US" w:eastAsia="zh-CN"/>
                    </w:rPr>
                    <w:t>（无量纲）</w:t>
                  </w:r>
                </w:p>
              </w:tc>
              <w:tc>
                <w:tcPr>
                  <w:tcW w:w="383" w:type="pct"/>
                  <w:vMerge w:val="continue"/>
                  <w:tcBorders>
                    <w:left w:val="single" w:color="auto" w:sz="4" w:space="0"/>
                    <w:right w:val="single" w:color="auto" w:sz="4" w:space="0"/>
                  </w:tcBorders>
                  <w:vAlign w:val="center"/>
                </w:tcPr>
                <w:p w14:paraId="1AA94AEF">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64" w:lineRule="auto"/>
                    <w:ind w:left="0" w:right="0"/>
                    <w:jc w:val="center"/>
                    <w:textAlignment w:val="auto"/>
                    <w:rPr>
                      <w:rFonts w:hint="default"/>
                      <w:snapToGrid w:val="0"/>
                      <w:color w:val="auto"/>
                      <w:sz w:val="18"/>
                      <w:szCs w:val="18"/>
                      <w:highlight w:val="none"/>
                    </w:rPr>
                  </w:pPr>
                </w:p>
              </w:tc>
              <w:tc>
                <w:tcPr>
                  <w:tcW w:w="240" w:type="pct"/>
                  <w:tcBorders>
                    <w:left w:val="single" w:color="auto" w:sz="4" w:space="0"/>
                    <w:right w:val="single" w:color="auto" w:sz="4" w:space="0"/>
                  </w:tcBorders>
                  <w:vAlign w:val="center"/>
                </w:tcPr>
                <w:p w14:paraId="54AAAEC9">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64" w:lineRule="auto"/>
                    <w:ind w:left="0" w:right="0"/>
                    <w:jc w:val="center"/>
                    <w:textAlignment w:val="auto"/>
                    <w:rPr>
                      <w:rFonts w:hint="default" w:eastAsia="宋体"/>
                      <w:bCs/>
                      <w:color w:val="auto"/>
                      <w:kern w:val="0"/>
                      <w:sz w:val="18"/>
                      <w:szCs w:val="18"/>
                      <w:highlight w:val="none"/>
                      <w:lang w:val="en-US" w:eastAsia="zh-CN"/>
                    </w:rPr>
                  </w:pPr>
                  <w:r>
                    <w:rPr>
                      <w:rFonts w:hint="eastAsia"/>
                      <w:bCs/>
                      <w:color w:val="auto"/>
                      <w:kern w:val="0"/>
                      <w:sz w:val="18"/>
                      <w:szCs w:val="18"/>
                      <w:highlight w:val="none"/>
                      <w:lang w:val="en-US" w:eastAsia="zh-CN"/>
                    </w:rPr>
                    <w:t>58.3</w:t>
                  </w:r>
                </w:p>
              </w:tc>
              <w:tc>
                <w:tcPr>
                  <w:tcW w:w="317" w:type="pct"/>
                  <w:vMerge w:val="continue"/>
                  <w:tcBorders>
                    <w:left w:val="single" w:color="auto" w:sz="4" w:space="0"/>
                    <w:right w:val="single" w:color="auto" w:sz="4" w:space="0"/>
                  </w:tcBorders>
                  <w:vAlign w:val="center"/>
                </w:tcPr>
                <w:p w14:paraId="312E3F1B">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64" w:lineRule="auto"/>
                    <w:ind w:left="0" w:right="0"/>
                    <w:jc w:val="center"/>
                    <w:textAlignment w:val="auto"/>
                    <w:rPr>
                      <w:rFonts w:hint="default"/>
                      <w:bCs/>
                      <w:color w:val="auto"/>
                      <w:kern w:val="0"/>
                      <w:sz w:val="18"/>
                      <w:szCs w:val="18"/>
                      <w:highlight w:val="none"/>
                    </w:rPr>
                  </w:pPr>
                </w:p>
              </w:tc>
              <w:tc>
                <w:tcPr>
                  <w:tcW w:w="1083" w:type="pct"/>
                  <w:gridSpan w:val="3"/>
                  <w:tcBorders>
                    <w:top w:val="single" w:color="auto" w:sz="4" w:space="0"/>
                    <w:left w:val="single" w:color="auto" w:sz="4" w:space="0"/>
                    <w:right w:val="single" w:color="auto" w:sz="4" w:space="0"/>
                  </w:tcBorders>
                  <w:vAlign w:val="center"/>
                </w:tcPr>
                <w:p w14:paraId="0349561D">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64" w:lineRule="auto"/>
                    <w:ind w:left="0" w:right="0"/>
                    <w:jc w:val="center"/>
                    <w:textAlignment w:val="auto"/>
                    <w:rPr>
                      <w:rFonts w:hint="default" w:eastAsia="宋体"/>
                      <w:bCs/>
                      <w:color w:val="auto"/>
                      <w:kern w:val="0"/>
                      <w:sz w:val="18"/>
                      <w:szCs w:val="18"/>
                      <w:highlight w:val="none"/>
                      <w:lang w:val="en-US" w:eastAsia="zh-CN"/>
                    </w:rPr>
                  </w:pPr>
                  <w:r>
                    <w:rPr>
                      <w:rFonts w:hint="eastAsia"/>
                      <w:bCs/>
                      <w:kern w:val="0"/>
                      <w:sz w:val="18"/>
                      <w:szCs w:val="18"/>
                      <w:highlight w:val="none"/>
                      <w:lang w:val="en-US" w:eastAsia="zh-CN"/>
                    </w:rPr>
                    <w:t>549（无量纲）</w:t>
                  </w:r>
                </w:p>
              </w:tc>
              <w:tc>
                <w:tcPr>
                  <w:tcW w:w="255" w:type="pct"/>
                  <w:vMerge w:val="continue"/>
                  <w:tcBorders>
                    <w:left w:val="single" w:color="auto" w:sz="4" w:space="0"/>
                    <w:right w:val="single" w:color="auto" w:sz="4" w:space="0"/>
                  </w:tcBorders>
                  <w:vAlign w:val="center"/>
                </w:tcPr>
                <w:p w14:paraId="3F55799D">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64" w:lineRule="auto"/>
                    <w:ind w:left="0" w:right="0"/>
                    <w:jc w:val="center"/>
                    <w:textAlignment w:val="auto"/>
                    <w:rPr>
                      <w:rFonts w:hint="default"/>
                      <w:bCs/>
                      <w:kern w:val="0"/>
                      <w:sz w:val="18"/>
                      <w:szCs w:val="18"/>
                      <w:highlight w:val="none"/>
                    </w:rPr>
                  </w:pPr>
                </w:p>
              </w:tc>
            </w:tr>
            <w:tr w14:paraId="5FF79EE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189" w:hRule="atLeast"/>
                <w:jc w:val="center"/>
              </w:trPr>
              <w:tc>
                <w:tcPr>
                  <w:tcW w:w="271" w:type="pct"/>
                  <w:vMerge w:val="continue"/>
                  <w:tcBorders>
                    <w:left w:val="single" w:color="auto" w:sz="4" w:space="0"/>
                    <w:right w:val="single" w:color="auto" w:sz="4" w:space="0"/>
                  </w:tcBorders>
                  <w:vAlign w:val="center"/>
                </w:tcPr>
                <w:p w14:paraId="1F7C468C">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64" w:lineRule="auto"/>
                    <w:ind w:left="0" w:right="0"/>
                    <w:jc w:val="center"/>
                    <w:textAlignment w:val="auto"/>
                    <w:rPr>
                      <w:rFonts w:hint="default"/>
                      <w:bCs/>
                      <w:kern w:val="0"/>
                      <w:sz w:val="18"/>
                      <w:szCs w:val="18"/>
                      <w:highlight w:val="none"/>
                    </w:rPr>
                  </w:pPr>
                </w:p>
              </w:tc>
              <w:tc>
                <w:tcPr>
                  <w:tcW w:w="331" w:type="pct"/>
                  <w:vMerge w:val="continue"/>
                  <w:tcBorders>
                    <w:left w:val="single" w:color="auto" w:sz="4" w:space="0"/>
                    <w:right w:val="single" w:color="auto" w:sz="4" w:space="0"/>
                  </w:tcBorders>
                  <w:vAlign w:val="center"/>
                </w:tcPr>
                <w:p w14:paraId="1CA83058">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64" w:lineRule="auto"/>
                    <w:ind w:left="0" w:right="0"/>
                    <w:jc w:val="center"/>
                    <w:textAlignment w:val="auto"/>
                    <w:rPr>
                      <w:rFonts w:hint="default"/>
                      <w:bCs/>
                      <w:kern w:val="0"/>
                      <w:sz w:val="18"/>
                      <w:szCs w:val="18"/>
                      <w:highlight w:val="none"/>
                    </w:rPr>
                  </w:pPr>
                </w:p>
              </w:tc>
              <w:tc>
                <w:tcPr>
                  <w:tcW w:w="404" w:type="pct"/>
                  <w:vMerge w:val="continue"/>
                  <w:tcBorders>
                    <w:left w:val="single" w:color="auto" w:sz="4" w:space="0"/>
                    <w:right w:val="single" w:color="auto" w:sz="4" w:space="0"/>
                  </w:tcBorders>
                  <w:vAlign w:val="center"/>
                </w:tcPr>
                <w:p w14:paraId="4A260E38">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64" w:lineRule="auto"/>
                    <w:ind w:left="0" w:right="0"/>
                    <w:jc w:val="center"/>
                    <w:textAlignment w:val="auto"/>
                    <w:rPr>
                      <w:rFonts w:hint="default"/>
                      <w:bCs/>
                      <w:kern w:val="0"/>
                      <w:sz w:val="18"/>
                      <w:szCs w:val="18"/>
                      <w:highlight w:val="none"/>
                    </w:rPr>
                  </w:pPr>
                </w:p>
              </w:tc>
              <w:tc>
                <w:tcPr>
                  <w:tcW w:w="593" w:type="pct"/>
                  <w:tcBorders>
                    <w:left w:val="single" w:color="auto" w:sz="4" w:space="0"/>
                    <w:bottom w:val="single" w:color="auto" w:sz="4" w:space="0"/>
                    <w:right w:val="single" w:color="auto" w:sz="4" w:space="0"/>
                  </w:tcBorders>
                  <w:vAlign w:val="center"/>
                </w:tcPr>
                <w:p w14:paraId="57D828D4">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64" w:lineRule="auto"/>
                    <w:ind w:left="0" w:right="0"/>
                    <w:jc w:val="center"/>
                    <w:textAlignment w:val="auto"/>
                    <w:rPr>
                      <w:rFonts w:hint="eastAsia" w:eastAsia="宋体"/>
                      <w:bCs/>
                      <w:kern w:val="0"/>
                      <w:sz w:val="18"/>
                      <w:szCs w:val="18"/>
                      <w:highlight w:val="none"/>
                      <w:lang w:val="en-US" w:eastAsia="zh-CN"/>
                    </w:rPr>
                  </w:pPr>
                  <w:r>
                    <w:rPr>
                      <w:rFonts w:hint="eastAsia"/>
                      <w:bCs/>
                      <w:kern w:val="0"/>
                      <w:sz w:val="18"/>
                      <w:szCs w:val="18"/>
                      <w:highlight w:val="none"/>
                      <w:lang w:val="en-US" w:eastAsia="zh-CN"/>
                    </w:rPr>
                    <w:t>颗粒物</w:t>
                  </w:r>
                </w:p>
              </w:tc>
              <w:tc>
                <w:tcPr>
                  <w:tcW w:w="1119" w:type="pct"/>
                  <w:gridSpan w:val="3"/>
                  <w:tcBorders>
                    <w:top w:val="single" w:color="auto" w:sz="4" w:space="0"/>
                    <w:left w:val="single" w:color="auto" w:sz="4" w:space="0"/>
                    <w:bottom w:val="single" w:color="auto" w:sz="4" w:space="0"/>
                    <w:right w:val="single" w:color="auto" w:sz="4" w:space="0"/>
                  </w:tcBorders>
                  <w:vAlign w:val="center"/>
                </w:tcPr>
                <w:p w14:paraId="199E7742">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64" w:lineRule="auto"/>
                    <w:ind w:left="0" w:right="0"/>
                    <w:jc w:val="center"/>
                    <w:textAlignment w:val="auto"/>
                    <w:rPr>
                      <w:rFonts w:hint="default"/>
                      <w:bCs/>
                      <w:color w:val="auto"/>
                      <w:kern w:val="0"/>
                      <w:sz w:val="18"/>
                      <w:szCs w:val="18"/>
                      <w:highlight w:val="none"/>
                      <w:lang w:val="en-US" w:eastAsia="zh-CN"/>
                    </w:rPr>
                  </w:pPr>
                  <w:r>
                    <w:rPr>
                      <w:rFonts w:hint="eastAsia"/>
                      <w:bCs/>
                      <w:color w:val="auto"/>
                      <w:kern w:val="0"/>
                      <w:sz w:val="18"/>
                      <w:szCs w:val="18"/>
                      <w:highlight w:val="none"/>
                      <w:lang w:val="en-US" w:eastAsia="zh-CN"/>
                    </w:rPr>
                    <w:t>少量</w:t>
                  </w:r>
                </w:p>
              </w:tc>
              <w:tc>
                <w:tcPr>
                  <w:tcW w:w="383" w:type="pct"/>
                  <w:vMerge w:val="continue"/>
                  <w:tcBorders>
                    <w:left w:val="single" w:color="auto" w:sz="4" w:space="0"/>
                    <w:right w:val="single" w:color="auto" w:sz="4" w:space="0"/>
                  </w:tcBorders>
                  <w:vAlign w:val="center"/>
                </w:tcPr>
                <w:p w14:paraId="0933B75F">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64" w:lineRule="auto"/>
                    <w:ind w:left="0" w:right="0"/>
                    <w:jc w:val="center"/>
                    <w:textAlignment w:val="auto"/>
                    <w:rPr>
                      <w:rFonts w:hint="default"/>
                      <w:snapToGrid w:val="0"/>
                      <w:color w:val="auto"/>
                      <w:sz w:val="18"/>
                      <w:szCs w:val="18"/>
                      <w:highlight w:val="none"/>
                    </w:rPr>
                  </w:pPr>
                </w:p>
              </w:tc>
              <w:tc>
                <w:tcPr>
                  <w:tcW w:w="240" w:type="pct"/>
                  <w:tcBorders>
                    <w:left w:val="single" w:color="auto" w:sz="4" w:space="0"/>
                    <w:right w:val="single" w:color="auto" w:sz="4" w:space="0"/>
                  </w:tcBorders>
                  <w:vAlign w:val="center"/>
                </w:tcPr>
                <w:p w14:paraId="4F4F236F">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64" w:lineRule="auto"/>
                    <w:ind w:left="0" w:right="0"/>
                    <w:jc w:val="center"/>
                    <w:textAlignment w:val="auto"/>
                    <w:rPr>
                      <w:rFonts w:hint="default"/>
                      <w:bCs/>
                      <w:color w:val="auto"/>
                      <w:kern w:val="0"/>
                      <w:sz w:val="18"/>
                      <w:szCs w:val="18"/>
                      <w:highlight w:val="none"/>
                      <w:lang w:val="en-US" w:eastAsia="zh-CN"/>
                    </w:rPr>
                  </w:pPr>
                  <w:r>
                    <w:rPr>
                      <w:rFonts w:hint="eastAsia"/>
                      <w:bCs/>
                      <w:color w:val="auto"/>
                      <w:kern w:val="0"/>
                      <w:sz w:val="18"/>
                      <w:szCs w:val="18"/>
                      <w:highlight w:val="none"/>
                      <w:lang w:val="en-US" w:eastAsia="zh-CN"/>
                    </w:rPr>
                    <w:t>/</w:t>
                  </w:r>
                </w:p>
              </w:tc>
              <w:tc>
                <w:tcPr>
                  <w:tcW w:w="317" w:type="pct"/>
                  <w:vMerge w:val="continue"/>
                  <w:tcBorders>
                    <w:left w:val="single" w:color="auto" w:sz="4" w:space="0"/>
                    <w:right w:val="single" w:color="auto" w:sz="4" w:space="0"/>
                  </w:tcBorders>
                  <w:vAlign w:val="center"/>
                </w:tcPr>
                <w:p w14:paraId="2E0A77F6">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64" w:lineRule="auto"/>
                    <w:ind w:left="0" w:right="0"/>
                    <w:jc w:val="center"/>
                    <w:textAlignment w:val="auto"/>
                    <w:rPr>
                      <w:rFonts w:hint="default"/>
                      <w:bCs/>
                      <w:color w:val="auto"/>
                      <w:kern w:val="0"/>
                      <w:sz w:val="18"/>
                      <w:szCs w:val="18"/>
                      <w:highlight w:val="none"/>
                    </w:rPr>
                  </w:pPr>
                </w:p>
              </w:tc>
              <w:tc>
                <w:tcPr>
                  <w:tcW w:w="1083" w:type="pct"/>
                  <w:gridSpan w:val="3"/>
                  <w:tcBorders>
                    <w:top w:val="single" w:color="auto" w:sz="4" w:space="0"/>
                    <w:left w:val="single" w:color="auto" w:sz="4" w:space="0"/>
                    <w:right w:val="single" w:color="auto" w:sz="4" w:space="0"/>
                  </w:tcBorders>
                  <w:vAlign w:val="center"/>
                </w:tcPr>
                <w:p w14:paraId="0CBE0A65">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64" w:lineRule="auto"/>
                    <w:ind w:left="0" w:right="0"/>
                    <w:jc w:val="center"/>
                    <w:textAlignment w:val="auto"/>
                    <w:rPr>
                      <w:rFonts w:hint="eastAsia"/>
                      <w:bCs/>
                      <w:kern w:val="0"/>
                      <w:sz w:val="18"/>
                      <w:szCs w:val="18"/>
                      <w:highlight w:val="none"/>
                      <w:lang w:val="en-US" w:eastAsia="zh-CN"/>
                    </w:rPr>
                  </w:pPr>
                  <w:r>
                    <w:rPr>
                      <w:rFonts w:hint="eastAsia"/>
                      <w:bCs/>
                      <w:color w:val="auto"/>
                      <w:kern w:val="0"/>
                      <w:sz w:val="18"/>
                      <w:szCs w:val="18"/>
                      <w:highlight w:val="none"/>
                      <w:lang w:val="en-US" w:eastAsia="zh-CN"/>
                    </w:rPr>
                    <w:t>少量</w:t>
                  </w:r>
                </w:p>
              </w:tc>
              <w:tc>
                <w:tcPr>
                  <w:tcW w:w="255" w:type="pct"/>
                  <w:vMerge w:val="continue"/>
                  <w:tcBorders>
                    <w:left w:val="single" w:color="auto" w:sz="4" w:space="0"/>
                    <w:right w:val="single" w:color="auto" w:sz="4" w:space="0"/>
                  </w:tcBorders>
                  <w:vAlign w:val="center"/>
                </w:tcPr>
                <w:p w14:paraId="5F1FB598">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64" w:lineRule="auto"/>
                    <w:ind w:left="0" w:right="0"/>
                    <w:jc w:val="center"/>
                    <w:textAlignment w:val="auto"/>
                    <w:rPr>
                      <w:rFonts w:hint="default"/>
                      <w:bCs/>
                      <w:kern w:val="0"/>
                      <w:sz w:val="18"/>
                      <w:szCs w:val="18"/>
                      <w:highlight w:val="none"/>
                    </w:rPr>
                  </w:pPr>
                </w:p>
              </w:tc>
            </w:tr>
            <w:tr w14:paraId="4F03EB1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189" w:hRule="atLeast"/>
                <w:jc w:val="center"/>
              </w:trPr>
              <w:tc>
                <w:tcPr>
                  <w:tcW w:w="271" w:type="pct"/>
                  <w:vMerge w:val="restart"/>
                  <w:tcBorders>
                    <w:left w:val="single" w:color="auto" w:sz="4" w:space="0"/>
                    <w:right w:val="single" w:color="auto" w:sz="4" w:space="0"/>
                  </w:tcBorders>
                  <w:shd w:val="clear" w:color="auto" w:fill="auto"/>
                  <w:vAlign w:val="center"/>
                </w:tcPr>
                <w:p w14:paraId="600E8FC2">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64" w:lineRule="auto"/>
                    <w:ind w:left="0" w:right="0"/>
                    <w:jc w:val="center"/>
                    <w:textAlignment w:val="auto"/>
                    <w:rPr>
                      <w:rFonts w:hint="eastAsia" w:ascii="Times New Roman" w:hAnsi="Times New Roman" w:eastAsia="宋体" w:cs="Times New Roman"/>
                      <w:bCs/>
                      <w:kern w:val="0"/>
                      <w:sz w:val="18"/>
                      <w:szCs w:val="18"/>
                      <w:highlight w:val="none"/>
                      <w:lang w:val="en-US" w:eastAsia="zh-CN" w:bidi="ar-SA"/>
                    </w:rPr>
                  </w:pPr>
                  <w:r>
                    <w:rPr>
                      <w:rFonts w:hint="default"/>
                      <w:bCs/>
                      <w:kern w:val="0"/>
                      <w:sz w:val="18"/>
                      <w:szCs w:val="18"/>
                      <w:highlight w:val="none"/>
                    </w:rPr>
                    <w:t>DA00</w:t>
                  </w:r>
                  <w:r>
                    <w:rPr>
                      <w:rFonts w:hint="eastAsia"/>
                      <w:bCs/>
                      <w:kern w:val="0"/>
                      <w:sz w:val="18"/>
                      <w:szCs w:val="18"/>
                      <w:highlight w:val="none"/>
                      <w:lang w:val="en-US" w:eastAsia="zh-CN"/>
                    </w:rPr>
                    <w:t>2</w:t>
                  </w:r>
                </w:p>
              </w:tc>
              <w:tc>
                <w:tcPr>
                  <w:tcW w:w="331" w:type="pct"/>
                  <w:vMerge w:val="restart"/>
                  <w:tcBorders>
                    <w:left w:val="single" w:color="auto" w:sz="4" w:space="0"/>
                    <w:right w:val="single" w:color="auto" w:sz="4" w:space="0"/>
                  </w:tcBorders>
                  <w:shd w:val="clear" w:color="auto" w:fill="auto"/>
                  <w:vAlign w:val="center"/>
                </w:tcPr>
                <w:p w14:paraId="7B6DA3D0">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64" w:lineRule="auto"/>
                    <w:ind w:left="0" w:right="0"/>
                    <w:jc w:val="center"/>
                    <w:textAlignment w:val="auto"/>
                    <w:rPr>
                      <w:rFonts w:hint="default" w:ascii="Times New Roman" w:hAnsi="Times New Roman" w:eastAsia="宋体" w:cs="Times New Roman"/>
                      <w:bCs/>
                      <w:kern w:val="0"/>
                      <w:sz w:val="18"/>
                      <w:szCs w:val="18"/>
                      <w:highlight w:val="none"/>
                      <w:lang w:val="en-US" w:eastAsia="zh-CN" w:bidi="ar-SA"/>
                    </w:rPr>
                  </w:pPr>
                  <w:r>
                    <w:rPr>
                      <w:rFonts w:hint="eastAsia"/>
                      <w:bCs/>
                      <w:kern w:val="0"/>
                      <w:sz w:val="18"/>
                      <w:szCs w:val="18"/>
                      <w:highlight w:val="none"/>
                      <w:lang w:val="en-US" w:eastAsia="zh-CN"/>
                    </w:rPr>
                    <w:t>2#排气筒</w:t>
                  </w:r>
                </w:p>
              </w:tc>
              <w:tc>
                <w:tcPr>
                  <w:tcW w:w="404" w:type="pct"/>
                  <w:vMerge w:val="restart"/>
                  <w:tcBorders>
                    <w:left w:val="single" w:color="auto" w:sz="4" w:space="0"/>
                    <w:right w:val="single" w:color="auto" w:sz="4" w:space="0"/>
                  </w:tcBorders>
                  <w:shd w:val="clear" w:color="auto" w:fill="auto"/>
                  <w:vAlign w:val="center"/>
                </w:tcPr>
                <w:p w14:paraId="6E362AFA">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64" w:lineRule="auto"/>
                    <w:ind w:left="0" w:right="0"/>
                    <w:jc w:val="center"/>
                    <w:textAlignment w:val="auto"/>
                    <w:rPr>
                      <w:rFonts w:hint="default" w:ascii="Times New Roman" w:hAnsi="Times New Roman" w:eastAsia="宋体" w:cs="Times New Roman"/>
                      <w:bCs/>
                      <w:kern w:val="0"/>
                      <w:sz w:val="18"/>
                      <w:szCs w:val="18"/>
                      <w:highlight w:val="none"/>
                      <w:lang w:val="en-US" w:eastAsia="zh-CN" w:bidi="ar-SA"/>
                    </w:rPr>
                  </w:pPr>
                  <w:r>
                    <w:rPr>
                      <w:rFonts w:hint="default"/>
                      <w:bCs/>
                      <w:kern w:val="0"/>
                      <w:sz w:val="18"/>
                      <w:szCs w:val="18"/>
                      <w:highlight w:val="none"/>
                    </w:rPr>
                    <w:t>饲养废气</w:t>
                  </w:r>
                </w:p>
              </w:tc>
              <w:tc>
                <w:tcPr>
                  <w:tcW w:w="593" w:type="pct"/>
                  <w:tcBorders>
                    <w:left w:val="single" w:color="auto" w:sz="4" w:space="0"/>
                    <w:bottom w:val="single" w:color="auto" w:sz="4" w:space="0"/>
                    <w:right w:val="single" w:color="auto" w:sz="4" w:space="0"/>
                  </w:tcBorders>
                  <w:shd w:val="clear" w:color="auto" w:fill="auto"/>
                  <w:vAlign w:val="center"/>
                </w:tcPr>
                <w:p w14:paraId="3B17C07D">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64" w:lineRule="auto"/>
                    <w:ind w:left="0" w:right="0"/>
                    <w:jc w:val="center"/>
                    <w:textAlignment w:val="auto"/>
                    <w:rPr>
                      <w:rFonts w:hint="default" w:ascii="Times New Roman" w:hAnsi="Times New Roman" w:eastAsia="宋体" w:cs="Times New Roman"/>
                      <w:bCs/>
                      <w:kern w:val="0"/>
                      <w:sz w:val="18"/>
                      <w:szCs w:val="18"/>
                      <w:highlight w:val="none"/>
                      <w:lang w:val="en-US" w:eastAsia="zh-CN" w:bidi="ar-SA"/>
                    </w:rPr>
                  </w:pPr>
                  <w:r>
                    <w:rPr>
                      <w:rFonts w:hint="default"/>
                      <w:bCs/>
                      <w:kern w:val="0"/>
                      <w:sz w:val="18"/>
                      <w:szCs w:val="18"/>
                      <w:highlight w:val="none"/>
                    </w:rPr>
                    <w:t>氨</w:t>
                  </w:r>
                </w:p>
              </w:tc>
              <w:tc>
                <w:tcPr>
                  <w:tcW w:w="357" w:type="pct"/>
                  <w:tcBorders>
                    <w:top w:val="single" w:color="auto" w:sz="4" w:space="0"/>
                    <w:left w:val="single" w:color="auto" w:sz="4" w:space="0"/>
                    <w:bottom w:val="single" w:color="auto" w:sz="4" w:space="0"/>
                    <w:right w:val="single" w:color="auto" w:sz="4" w:space="0"/>
                  </w:tcBorders>
                  <w:vAlign w:val="center"/>
                </w:tcPr>
                <w:p w14:paraId="223E2285">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64" w:lineRule="auto"/>
                    <w:ind w:left="0" w:right="0"/>
                    <w:jc w:val="center"/>
                    <w:textAlignment w:val="auto"/>
                    <w:rPr>
                      <w:rFonts w:hint="default" w:ascii="Times New Roman" w:hAnsi="Times New Roman" w:eastAsia="宋体" w:cs="Times New Roman"/>
                      <w:bCs/>
                      <w:kern w:val="0"/>
                      <w:sz w:val="18"/>
                      <w:szCs w:val="18"/>
                      <w:highlight w:val="none"/>
                      <w:lang w:val="en-US" w:eastAsia="zh-CN"/>
                    </w:rPr>
                  </w:pPr>
                  <w:r>
                    <w:rPr>
                      <w:rFonts w:hint="default" w:ascii="Times New Roman" w:hAnsi="Times New Roman" w:eastAsia="宋体" w:cs="Times New Roman"/>
                      <w:bCs/>
                      <w:kern w:val="0"/>
                      <w:sz w:val="18"/>
                      <w:szCs w:val="18"/>
                      <w:highlight w:val="none"/>
                      <w:lang w:val="en-US" w:eastAsia="zh-CN"/>
                    </w:rPr>
                    <w:t>0.00</w:t>
                  </w:r>
                  <w:r>
                    <w:rPr>
                      <w:rFonts w:hint="eastAsia" w:cs="Times New Roman"/>
                      <w:bCs/>
                      <w:kern w:val="0"/>
                      <w:sz w:val="18"/>
                      <w:szCs w:val="18"/>
                      <w:highlight w:val="none"/>
                      <w:lang w:val="en-US" w:eastAsia="zh-CN"/>
                    </w:rPr>
                    <w:t>4</w:t>
                  </w:r>
                </w:p>
              </w:tc>
              <w:tc>
                <w:tcPr>
                  <w:tcW w:w="357" w:type="pct"/>
                  <w:tcBorders>
                    <w:top w:val="single" w:color="auto" w:sz="4" w:space="0"/>
                    <w:left w:val="single" w:color="auto" w:sz="4" w:space="0"/>
                    <w:bottom w:val="single" w:color="auto" w:sz="4" w:space="0"/>
                    <w:right w:val="single" w:color="auto" w:sz="4" w:space="0"/>
                  </w:tcBorders>
                  <w:shd w:val="clear" w:color="auto" w:fill="auto"/>
                  <w:vAlign w:val="center"/>
                </w:tcPr>
                <w:p w14:paraId="17E6D5CA">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64" w:lineRule="auto"/>
                    <w:ind w:left="0" w:right="0"/>
                    <w:jc w:val="center"/>
                    <w:textAlignment w:val="auto"/>
                    <w:rPr>
                      <w:rFonts w:hint="default" w:ascii="Times New Roman" w:hAnsi="Times New Roman" w:eastAsia="宋体" w:cs="Times New Roman"/>
                      <w:bCs/>
                      <w:kern w:val="0"/>
                      <w:sz w:val="18"/>
                      <w:szCs w:val="18"/>
                      <w:highlight w:val="none"/>
                      <w:lang w:val="en-US" w:eastAsia="zh-CN"/>
                    </w:rPr>
                  </w:pPr>
                  <w:r>
                    <w:rPr>
                      <w:rFonts w:hint="eastAsia" w:ascii="Times New Roman" w:hAnsi="Times New Roman" w:eastAsia="宋体" w:cs="Times New Roman"/>
                      <w:bCs/>
                      <w:kern w:val="0"/>
                      <w:sz w:val="18"/>
                      <w:szCs w:val="18"/>
                      <w:highlight w:val="none"/>
                      <w:lang w:val="en-US" w:eastAsia="zh-CN"/>
                    </w:rPr>
                    <w:t xml:space="preserve">~0 </w:t>
                  </w:r>
                </w:p>
              </w:tc>
              <w:tc>
                <w:tcPr>
                  <w:tcW w:w="404" w:type="pct"/>
                  <w:tcBorders>
                    <w:top w:val="single" w:color="auto" w:sz="4" w:space="0"/>
                    <w:left w:val="single" w:color="auto" w:sz="4" w:space="0"/>
                    <w:right w:val="single" w:color="auto" w:sz="4" w:space="0"/>
                  </w:tcBorders>
                  <w:shd w:val="clear" w:color="auto" w:fill="auto"/>
                  <w:vAlign w:val="center"/>
                </w:tcPr>
                <w:p w14:paraId="08517645">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64" w:lineRule="auto"/>
                    <w:ind w:left="0" w:right="0"/>
                    <w:jc w:val="center"/>
                    <w:textAlignment w:val="auto"/>
                    <w:rPr>
                      <w:rFonts w:hint="default" w:ascii="Times New Roman" w:hAnsi="Times New Roman" w:eastAsia="宋体" w:cs="Times New Roman"/>
                      <w:bCs/>
                      <w:kern w:val="0"/>
                      <w:sz w:val="18"/>
                      <w:szCs w:val="18"/>
                      <w:highlight w:val="none"/>
                      <w:lang w:val="en-US" w:eastAsia="zh-CN"/>
                    </w:rPr>
                  </w:pPr>
                  <w:r>
                    <w:rPr>
                      <w:rFonts w:hint="eastAsia" w:ascii="Times New Roman" w:hAnsi="Times New Roman" w:eastAsia="宋体" w:cs="Times New Roman"/>
                      <w:bCs/>
                      <w:kern w:val="0"/>
                      <w:sz w:val="18"/>
                      <w:szCs w:val="18"/>
                      <w:highlight w:val="none"/>
                      <w:lang w:val="en-US" w:eastAsia="zh-CN"/>
                    </w:rPr>
                    <w:t xml:space="preserve">~0 </w:t>
                  </w:r>
                </w:p>
              </w:tc>
              <w:tc>
                <w:tcPr>
                  <w:tcW w:w="383" w:type="pct"/>
                  <w:vMerge w:val="restart"/>
                  <w:tcBorders>
                    <w:left w:val="single" w:color="auto" w:sz="4" w:space="0"/>
                    <w:right w:val="single" w:color="auto" w:sz="4" w:space="0"/>
                  </w:tcBorders>
                  <w:vAlign w:val="center"/>
                </w:tcPr>
                <w:p w14:paraId="3424729A">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64" w:lineRule="auto"/>
                    <w:ind w:left="0" w:right="0"/>
                    <w:jc w:val="center"/>
                    <w:textAlignment w:val="auto"/>
                    <w:rPr>
                      <w:rFonts w:hint="default"/>
                      <w:snapToGrid w:val="0"/>
                      <w:sz w:val="18"/>
                      <w:szCs w:val="18"/>
                      <w:highlight w:val="none"/>
                    </w:rPr>
                  </w:pPr>
                  <w:r>
                    <w:rPr>
                      <w:rFonts w:hint="eastAsia"/>
                      <w:snapToGrid w:val="0"/>
                      <w:sz w:val="18"/>
                      <w:szCs w:val="18"/>
                      <w:highlight w:val="none"/>
                    </w:rPr>
                    <w:t>一体扰流喷淋除臭装置</w:t>
                  </w:r>
                </w:p>
              </w:tc>
              <w:tc>
                <w:tcPr>
                  <w:tcW w:w="240" w:type="pct"/>
                  <w:tcBorders>
                    <w:left w:val="single" w:color="auto" w:sz="4" w:space="0"/>
                    <w:right w:val="single" w:color="auto" w:sz="4" w:space="0"/>
                  </w:tcBorders>
                  <w:shd w:val="clear" w:color="auto" w:fill="auto"/>
                  <w:vAlign w:val="center"/>
                </w:tcPr>
                <w:p w14:paraId="422B5B16">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64" w:lineRule="auto"/>
                    <w:ind w:left="0" w:right="0"/>
                    <w:jc w:val="center"/>
                    <w:textAlignment w:val="auto"/>
                    <w:rPr>
                      <w:rFonts w:hint="default" w:ascii="Times New Roman" w:hAnsi="Times New Roman" w:eastAsia="宋体" w:cs="Times New Roman"/>
                      <w:bCs/>
                      <w:kern w:val="0"/>
                      <w:sz w:val="18"/>
                      <w:szCs w:val="18"/>
                      <w:highlight w:val="none"/>
                      <w:lang w:val="en-US" w:eastAsia="zh-CN" w:bidi="ar-SA"/>
                    </w:rPr>
                  </w:pPr>
                  <w:r>
                    <w:rPr>
                      <w:rFonts w:hint="eastAsia"/>
                      <w:bCs/>
                      <w:kern w:val="0"/>
                      <w:sz w:val="18"/>
                      <w:szCs w:val="18"/>
                      <w:highlight w:val="none"/>
                      <w:lang w:val="en-US" w:eastAsia="zh-CN"/>
                    </w:rPr>
                    <w:t>90</w:t>
                  </w:r>
                </w:p>
              </w:tc>
              <w:tc>
                <w:tcPr>
                  <w:tcW w:w="317" w:type="pct"/>
                  <w:vMerge w:val="restart"/>
                  <w:tcBorders>
                    <w:left w:val="single" w:color="auto" w:sz="4" w:space="0"/>
                    <w:right w:val="single" w:color="auto" w:sz="4" w:space="0"/>
                  </w:tcBorders>
                  <w:vAlign w:val="center"/>
                </w:tcPr>
                <w:p w14:paraId="5DEFA615">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64" w:lineRule="auto"/>
                    <w:ind w:left="0" w:right="0"/>
                    <w:jc w:val="center"/>
                    <w:textAlignment w:val="auto"/>
                    <w:rPr>
                      <w:rFonts w:hint="default" w:eastAsia="宋体"/>
                      <w:bCs/>
                      <w:kern w:val="0"/>
                      <w:sz w:val="18"/>
                      <w:szCs w:val="18"/>
                      <w:highlight w:val="none"/>
                      <w:lang w:val="en-US" w:eastAsia="zh-CN"/>
                    </w:rPr>
                  </w:pPr>
                  <w:r>
                    <w:rPr>
                      <w:rFonts w:hint="eastAsia"/>
                      <w:bCs/>
                      <w:kern w:val="0"/>
                      <w:sz w:val="18"/>
                      <w:szCs w:val="18"/>
                      <w:highlight w:val="none"/>
                      <w:lang w:val="en-US" w:eastAsia="zh-CN"/>
                    </w:rPr>
                    <w:t>4860</w:t>
                  </w:r>
                </w:p>
              </w:tc>
              <w:tc>
                <w:tcPr>
                  <w:tcW w:w="380" w:type="pct"/>
                  <w:tcBorders>
                    <w:top w:val="single" w:color="auto" w:sz="4" w:space="0"/>
                    <w:left w:val="single" w:color="auto" w:sz="4" w:space="0"/>
                    <w:right w:val="single" w:color="auto" w:sz="4" w:space="0"/>
                  </w:tcBorders>
                  <w:vAlign w:val="center"/>
                </w:tcPr>
                <w:p w14:paraId="39327FFA">
                  <w:pPr>
                    <w:keepNext w:val="0"/>
                    <w:keepLines w:val="0"/>
                    <w:widowControl/>
                    <w:suppressLineNumbers w:val="0"/>
                    <w:spacing w:before="0" w:beforeAutospacing="0" w:after="0" w:afterAutospacing="0"/>
                    <w:ind w:left="0" w:right="0"/>
                    <w:jc w:val="center"/>
                    <w:textAlignment w:val="center"/>
                    <w:rPr>
                      <w:rFonts w:hint="eastAsia"/>
                      <w:bCs/>
                      <w:kern w:val="0"/>
                      <w:sz w:val="18"/>
                      <w:szCs w:val="18"/>
                      <w:highlight w:val="none"/>
                      <w:lang w:val="en-US" w:eastAsia="zh-CN"/>
                    </w:rPr>
                  </w:pPr>
                  <w:r>
                    <w:rPr>
                      <w:rFonts w:hint="eastAsia" w:ascii="Times New Roman" w:hAnsi="Times New Roman" w:eastAsia="宋体" w:cs="Times New Roman"/>
                      <w:bCs/>
                      <w:kern w:val="0"/>
                      <w:sz w:val="18"/>
                      <w:szCs w:val="18"/>
                      <w:highlight w:val="none"/>
                      <w:lang w:val="en-US" w:eastAsia="zh-CN"/>
                    </w:rPr>
                    <w:t xml:space="preserve">~0 </w:t>
                  </w:r>
                </w:p>
              </w:tc>
              <w:tc>
                <w:tcPr>
                  <w:tcW w:w="362" w:type="pct"/>
                  <w:tcBorders>
                    <w:top w:val="single" w:color="auto" w:sz="4" w:space="0"/>
                    <w:left w:val="single" w:color="auto" w:sz="4" w:space="0"/>
                    <w:right w:val="single" w:color="auto" w:sz="4" w:space="0"/>
                  </w:tcBorders>
                  <w:vAlign w:val="center"/>
                </w:tcPr>
                <w:p w14:paraId="374A9810">
                  <w:pPr>
                    <w:keepNext w:val="0"/>
                    <w:keepLines w:val="0"/>
                    <w:widowControl/>
                    <w:suppressLineNumbers w:val="0"/>
                    <w:spacing w:before="0" w:beforeAutospacing="0" w:after="0" w:afterAutospacing="0"/>
                    <w:ind w:left="0" w:right="0"/>
                    <w:jc w:val="center"/>
                    <w:textAlignment w:val="center"/>
                    <w:rPr>
                      <w:rFonts w:hint="eastAsia"/>
                      <w:bCs/>
                      <w:kern w:val="0"/>
                      <w:sz w:val="18"/>
                      <w:szCs w:val="18"/>
                      <w:highlight w:val="none"/>
                      <w:lang w:val="en-US" w:eastAsia="zh-CN"/>
                    </w:rPr>
                  </w:pPr>
                  <w:r>
                    <w:rPr>
                      <w:rFonts w:hint="eastAsia" w:ascii="Times New Roman" w:hAnsi="Times New Roman" w:eastAsia="宋体" w:cs="Times New Roman"/>
                      <w:bCs/>
                      <w:kern w:val="0"/>
                      <w:sz w:val="18"/>
                      <w:szCs w:val="18"/>
                      <w:highlight w:val="none"/>
                      <w:lang w:val="en-US" w:eastAsia="zh-CN"/>
                    </w:rPr>
                    <w:t xml:space="preserve">~0 </w:t>
                  </w:r>
                </w:p>
              </w:tc>
              <w:tc>
                <w:tcPr>
                  <w:tcW w:w="340" w:type="pct"/>
                  <w:tcBorders>
                    <w:top w:val="single" w:color="auto" w:sz="4" w:space="0"/>
                    <w:left w:val="single" w:color="auto" w:sz="4" w:space="0"/>
                    <w:right w:val="single" w:color="auto" w:sz="4" w:space="0"/>
                  </w:tcBorders>
                  <w:vAlign w:val="center"/>
                </w:tcPr>
                <w:p w14:paraId="42C3D582">
                  <w:pPr>
                    <w:keepNext w:val="0"/>
                    <w:keepLines w:val="0"/>
                    <w:widowControl/>
                    <w:suppressLineNumbers w:val="0"/>
                    <w:spacing w:before="0" w:beforeAutospacing="0" w:after="0" w:afterAutospacing="0"/>
                    <w:ind w:left="0" w:right="0"/>
                    <w:jc w:val="center"/>
                    <w:textAlignment w:val="center"/>
                    <w:rPr>
                      <w:rFonts w:hint="default" w:eastAsia="宋体"/>
                      <w:bCs/>
                      <w:kern w:val="0"/>
                      <w:sz w:val="18"/>
                      <w:szCs w:val="18"/>
                      <w:highlight w:val="none"/>
                      <w:lang w:val="en-US" w:eastAsia="zh-CN"/>
                    </w:rPr>
                  </w:pPr>
                  <w:r>
                    <w:rPr>
                      <w:rFonts w:hint="eastAsia" w:ascii="Times New Roman" w:hAnsi="Times New Roman" w:eastAsia="宋体" w:cs="Times New Roman"/>
                      <w:bCs/>
                      <w:kern w:val="0"/>
                      <w:sz w:val="18"/>
                      <w:szCs w:val="18"/>
                      <w:highlight w:val="none"/>
                      <w:lang w:val="en-US" w:eastAsia="zh-CN"/>
                    </w:rPr>
                    <w:t xml:space="preserve">~0 </w:t>
                  </w:r>
                </w:p>
              </w:tc>
              <w:tc>
                <w:tcPr>
                  <w:tcW w:w="255" w:type="pct"/>
                  <w:vMerge w:val="restart"/>
                  <w:tcBorders>
                    <w:left w:val="single" w:color="auto" w:sz="4" w:space="0"/>
                    <w:right w:val="single" w:color="auto" w:sz="4" w:space="0"/>
                  </w:tcBorders>
                  <w:vAlign w:val="center"/>
                </w:tcPr>
                <w:p w14:paraId="6808A14F">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64" w:lineRule="auto"/>
                    <w:ind w:left="0" w:right="0"/>
                    <w:jc w:val="center"/>
                    <w:textAlignment w:val="auto"/>
                    <w:rPr>
                      <w:rFonts w:hint="default"/>
                      <w:bCs/>
                      <w:kern w:val="0"/>
                      <w:sz w:val="18"/>
                      <w:szCs w:val="18"/>
                      <w:highlight w:val="none"/>
                    </w:rPr>
                  </w:pPr>
                  <w:r>
                    <w:rPr>
                      <w:rFonts w:hint="default"/>
                      <w:bCs/>
                      <w:kern w:val="0"/>
                      <w:sz w:val="18"/>
                      <w:szCs w:val="18"/>
                      <w:highlight w:val="none"/>
                    </w:rPr>
                    <w:t>8760</w:t>
                  </w:r>
                </w:p>
              </w:tc>
            </w:tr>
            <w:tr w14:paraId="032790C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189" w:hRule="atLeast"/>
                <w:jc w:val="center"/>
              </w:trPr>
              <w:tc>
                <w:tcPr>
                  <w:tcW w:w="271" w:type="pct"/>
                  <w:vMerge w:val="continue"/>
                  <w:tcBorders>
                    <w:left w:val="single" w:color="auto" w:sz="4" w:space="0"/>
                    <w:right w:val="single" w:color="auto" w:sz="4" w:space="0"/>
                  </w:tcBorders>
                  <w:vAlign w:val="center"/>
                </w:tcPr>
                <w:p w14:paraId="28D6E578">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64" w:lineRule="auto"/>
                    <w:ind w:left="0" w:right="0"/>
                    <w:jc w:val="center"/>
                    <w:textAlignment w:val="auto"/>
                    <w:rPr>
                      <w:rFonts w:hint="default"/>
                      <w:bCs/>
                      <w:kern w:val="0"/>
                      <w:sz w:val="18"/>
                      <w:szCs w:val="18"/>
                      <w:highlight w:val="none"/>
                    </w:rPr>
                  </w:pPr>
                </w:p>
              </w:tc>
              <w:tc>
                <w:tcPr>
                  <w:tcW w:w="331" w:type="pct"/>
                  <w:vMerge w:val="continue"/>
                  <w:tcBorders>
                    <w:left w:val="single" w:color="auto" w:sz="4" w:space="0"/>
                    <w:right w:val="single" w:color="auto" w:sz="4" w:space="0"/>
                  </w:tcBorders>
                  <w:vAlign w:val="center"/>
                </w:tcPr>
                <w:p w14:paraId="088B49C4">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64" w:lineRule="auto"/>
                    <w:ind w:left="0" w:right="0"/>
                    <w:jc w:val="center"/>
                    <w:textAlignment w:val="auto"/>
                    <w:rPr>
                      <w:rFonts w:hint="default"/>
                      <w:bCs/>
                      <w:kern w:val="0"/>
                      <w:sz w:val="18"/>
                      <w:szCs w:val="18"/>
                      <w:highlight w:val="none"/>
                    </w:rPr>
                  </w:pPr>
                </w:p>
              </w:tc>
              <w:tc>
                <w:tcPr>
                  <w:tcW w:w="404" w:type="pct"/>
                  <w:vMerge w:val="continue"/>
                  <w:tcBorders>
                    <w:left w:val="single" w:color="auto" w:sz="4" w:space="0"/>
                    <w:right w:val="single" w:color="auto" w:sz="4" w:space="0"/>
                  </w:tcBorders>
                  <w:vAlign w:val="center"/>
                </w:tcPr>
                <w:p w14:paraId="578D03E8">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64" w:lineRule="auto"/>
                    <w:ind w:left="0" w:right="0"/>
                    <w:jc w:val="center"/>
                    <w:textAlignment w:val="auto"/>
                    <w:rPr>
                      <w:rFonts w:hint="default"/>
                      <w:bCs/>
                      <w:kern w:val="0"/>
                      <w:sz w:val="18"/>
                      <w:szCs w:val="18"/>
                      <w:highlight w:val="none"/>
                    </w:rPr>
                  </w:pPr>
                </w:p>
              </w:tc>
              <w:tc>
                <w:tcPr>
                  <w:tcW w:w="593" w:type="pct"/>
                  <w:tcBorders>
                    <w:left w:val="single" w:color="auto" w:sz="4" w:space="0"/>
                    <w:bottom w:val="single" w:color="auto" w:sz="4" w:space="0"/>
                    <w:right w:val="single" w:color="auto" w:sz="4" w:space="0"/>
                  </w:tcBorders>
                  <w:shd w:val="clear" w:color="auto" w:fill="auto"/>
                  <w:vAlign w:val="center"/>
                </w:tcPr>
                <w:p w14:paraId="6CBADE26">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64" w:lineRule="auto"/>
                    <w:ind w:left="0" w:right="0"/>
                    <w:jc w:val="center"/>
                    <w:textAlignment w:val="auto"/>
                    <w:rPr>
                      <w:rFonts w:hint="default" w:ascii="Times New Roman" w:hAnsi="Times New Roman" w:eastAsia="宋体" w:cs="Times New Roman"/>
                      <w:bCs/>
                      <w:kern w:val="0"/>
                      <w:sz w:val="18"/>
                      <w:szCs w:val="18"/>
                      <w:highlight w:val="none"/>
                      <w:lang w:val="en-US" w:eastAsia="zh-CN" w:bidi="ar-SA"/>
                    </w:rPr>
                  </w:pPr>
                  <w:r>
                    <w:rPr>
                      <w:rFonts w:hint="default"/>
                      <w:bCs/>
                      <w:kern w:val="0"/>
                      <w:sz w:val="18"/>
                      <w:szCs w:val="18"/>
                      <w:highlight w:val="none"/>
                    </w:rPr>
                    <w:t>硫化氢</w:t>
                  </w:r>
                </w:p>
              </w:tc>
              <w:tc>
                <w:tcPr>
                  <w:tcW w:w="357" w:type="pct"/>
                  <w:tcBorders>
                    <w:top w:val="single" w:color="auto" w:sz="4" w:space="0"/>
                    <w:left w:val="single" w:color="auto" w:sz="4" w:space="0"/>
                    <w:bottom w:val="single" w:color="auto" w:sz="4" w:space="0"/>
                    <w:right w:val="single" w:color="auto" w:sz="4" w:space="0"/>
                  </w:tcBorders>
                  <w:vAlign w:val="center"/>
                </w:tcPr>
                <w:p w14:paraId="5BC560DB">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64" w:lineRule="auto"/>
                    <w:ind w:left="0" w:right="0"/>
                    <w:jc w:val="center"/>
                    <w:textAlignment w:val="auto"/>
                    <w:rPr>
                      <w:rFonts w:hint="eastAsia" w:ascii="Times New Roman" w:hAnsi="Times New Roman" w:eastAsia="宋体" w:cs="Times New Roman"/>
                      <w:bCs/>
                      <w:kern w:val="0"/>
                      <w:sz w:val="18"/>
                      <w:szCs w:val="18"/>
                      <w:highlight w:val="none"/>
                      <w:lang w:val="en-US" w:eastAsia="zh-CN"/>
                    </w:rPr>
                  </w:pPr>
                  <w:r>
                    <w:rPr>
                      <w:rFonts w:hint="default" w:ascii="Times New Roman" w:hAnsi="Times New Roman" w:eastAsia="宋体" w:cs="Times New Roman"/>
                      <w:bCs/>
                      <w:kern w:val="0"/>
                      <w:sz w:val="18"/>
                      <w:szCs w:val="18"/>
                      <w:highlight w:val="none"/>
                      <w:lang w:val="en-US" w:eastAsia="zh-CN"/>
                    </w:rPr>
                    <w:t>0.001</w:t>
                  </w:r>
                </w:p>
              </w:tc>
              <w:tc>
                <w:tcPr>
                  <w:tcW w:w="357" w:type="pct"/>
                  <w:tcBorders>
                    <w:top w:val="single" w:color="auto" w:sz="4" w:space="0"/>
                    <w:left w:val="single" w:color="auto" w:sz="4" w:space="0"/>
                    <w:bottom w:val="single" w:color="auto" w:sz="4" w:space="0"/>
                    <w:right w:val="single" w:color="auto" w:sz="4" w:space="0"/>
                  </w:tcBorders>
                  <w:shd w:val="clear" w:color="auto" w:fill="auto"/>
                  <w:vAlign w:val="center"/>
                </w:tcPr>
                <w:p w14:paraId="31A493BE">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64" w:lineRule="auto"/>
                    <w:ind w:left="0" w:right="0"/>
                    <w:jc w:val="center"/>
                    <w:textAlignment w:val="auto"/>
                    <w:rPr>
                      <w:rFonts w:hint="eastAsia" w:ascii="Times New Roman" w:hAnsi="Times New Roman" w:eastAsia="宋体" w:cs="Times New Roman"/>
                      <w:bCs/>
                      <w:kern w:val="0"/>
                      <w:sz w:val="18"/>
                      <w:szCs w:val="18"/>
                      <w:highlight w:val="none"/>
                      <w:lang w:val="en-US" w:eastAsia="zh-CN"/>
                    </w:rPr>
                  </w:pPr>
                  <w:r>
                    <w:rPr>
                      <w:rFonts w:hint="eastAsia" w:ascii="Times New Roman" w:hAnsi="Times New Roman" w:eastAsia="宋体" w:cs="Times New Roman"/>
                      <w:bCs/>
                      <w:kern w:val="0"/>
                      <w:sz w:val="18"/>
                      <w:szCs w:val="18"/>
                      <w:highlight w:val="none"/>
                      <w:lang w:val="en-US" w:eastAsia="zh-CN"/>
                    </w:rPr>
                    <w:t xml:space="preserve">~0 </w:t>
                  </w:r>
                </w:p>
              </w:tc>
              <w:tc>
                <w:tcPr>
                  <w:tcW w:w="404" w:type="pct"/>
                  <w:tcBorders>
                    <w:top w:val="single" w:color="auto" w:sz="4" w:space="0"/>
                    <w:left w:val="single" w:color="auto" w:sz="4" w:space="0"/>
                    <w:right w:val="single" w:color="auto" w:sz="4" w:space="0"/>
                  </w:tcBorders>
                  <w:shd w:val="clear" w:color="auto" w:fill="auto"/>
                  <w:vAlign w:val="center"/>
                </w:tcPr>
                <w:p w14:paraId="101E5E1B">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64" w:lineRule="auto"/>
                    <w:ind w:left="0" w:right="0"/>
                    <w:jc w:val="center"/>
                    <w:textAlignment w:val="auto"/>
                    <w:rPr>
                      <w:rFonts w:hint="default" w:ascii="Times New Roman" w:hAnsi="Times New Roman" w:eastAsia="宋体" w:cs="Times New Roman"/>
                      <w:bCs/>
                      <w:kern w:val="0"/>
                      <w:sz w:val="18"/>
                      <w:szCs w:val="18"/>
                      <w:highlight w:val="none"/>
                      <w:lang w:val="en-US" w:eastAsia="zh-CN"/>
                    </w:rPr>
                  </w:pPr>
                  <w:r>
                    <w:rPr>
                      <w:rFonts w:hint="eastAsia" w:ascii="Times New Roman" w:hAnsi="Times New Roman" w:eastAsia="宋体" w:cs="Times New Roman"/>
                      <w:bCs/>
                      <w:kern w:val="0"/>
                      <w:sz w:val="18"/>
                      <w:szCs w:val="18"/>
                      <w:highlight w:val="none"/>
                      <w:lang w:val="en-US" w:eastAsia="zh-CN"/>
                    </w:rPr>
                    <w:t>~</w:t>
                  </w:r>
                  <w:r>
                    <w:rPr>
                      <w:rFonts w:hint="default" w:ascii="Times New Roman" w:hAnsi="Times New Roman" w:eastAsia="宋体" w:cs="Times New Roman"/>
                      <w:bCs/>
                      <w:kern w:val="0"/>
                      <w:sz w:val="18"/>
                      <w:szCs w:val="18"/>
                      <w:highlight w:val="none"/>
                      <w:lang w:val="en-US" w:eastAsia="zh-CN"/>
                    </w:rPr>
                    <w:t>0</w:t>
                  </w:r>
                </w:p>
              </w:tc>
              <w:tc>
                <w:tcPr>
                  <w:tcW w:w="383" w:type="pct"/>
                  <w:vMerge w:val="continue"/>
                  <w:tcBorders>
                    <w:left w:val="single" w:color="auto" w:sz="4" w:space="0"/>
                    <w:right w:val="single" w:color="auto" w:sz="4" w:space="0"/>
                  </w:tcBorders>
                  <w:vAlign w:val="center"/>
                </w:tcPr>
                <w:p w14:paraId="51F65F50">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64" w:lineRule="auto"/>
                    <w:ind w:left="0" w:right="0"/>
                    <w:jc w:val="center"/>
                    <w:textAlignment w:val="auto"/>
                    <w:rPr>
                      <w:rFonts w:hint="default"/>
                      <w:snapToGrid w:val="0"/>
                      <w:sz w:val="18"/>
                      <w:szCs w:val="18"/>
                      <w:highlight w:val="none"/>
                    </w:rPr>
                  </w:pPr>
                </w:p>
              </w:tc>
              <w:tc>
                <w:tcPr>
                  <w:tcW w:w="240" w:type="pct"/>
                  <w:tcBorders>
                    <w:left w:val="single" w:color="auto" w:sz="4" w:space="0"/>
                    <w:right w:val="single" w:color="auto" w:sz="4" w:space="0"/>
                  </w:tcBorders>
                  <w:shd w:val="clear" w:color="auto" w:fill="auto"/>
                  <w:vAlign w:val="center"/>
                </w:tcPr>
                <w:p w14:paraId="0AEFF073">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64" w:lineRule="auto"/>
                    <w:ind w:left="0" w:right="0"/>
                    <w:jc w:val="center"/>
                    <w:textAlignment w:val="auto"/>
                    <w:rPr>
                      <w:rFonts w:hint="default" w:ascii="Times New Roman" w:hAnsi="Times New Roman" w:eastAsia="宋体" w:cs="Times New Roman"/>
                      <w:bCs/>
                      <w:kern w:val="0"/>
                      <w:sz w:val="18"/>
                      <w:szCs w:val="18"/>
                      <w:highlight w:val="none"/>
                      <w:lang w:val="en-US" w:eastAsia="zh-CN" w:bidi="ar-SA"/>
                    </w:rPr>
                  </w:pPr>
                  <w:r>
                    <w:rPr>
                      <w:rFonts w:hint="eastAsia"/>
                      <w:bCs/>
                      <w:kern w:val="0"/>
                      <w:sz w:val="18"/>
                      <w:szCs w:val="18"/>
                      <w:highlight w:val="none"/>
                      <w:lang w:val="en-US" w:eastAsia="zh-CN"/>
                    </w:rPr>
                    <w:t>50</w:t>
                  </w:r>
                </w:p>
              </w:tc>
              <w:tc>
                <w:tcPr>
                  <w:tcW w:w="317" w:type="pct"/>
                  <w:vMerge w:val="continue"/>
                  <w:tcBorders>
                    <w:left w:val="single" w:color="auto" w:sz="4" w:space="0"/>
                    <w:right w:val="single" w:color="auto" w:sz="4" w:space="0"/>
                  </w:tcBorders>
                  <w:shd w:val="clear" w:color="auto" w:fill="auto"/>
                  <w:vAlign w:val="center"/>
                </w:tcPr>
                <w:p w14:paraId="1573CE35">
                  <w:pPr>
                    <w:keepNext w:val="0"/>
                    <w:keepLines w:val="0"/>
                    <w:suppressLineNumbers w:val="0"/>
                    <w:spacing w:before="0" w:beforeAutospacing="0" w:after="0" w:afterAutospacing="0"/>
                    <w:ind w:left="0" w:right="0"/>
                    <w:jc w:val="center"/>
                    <w:rPr>
                      <w:rFonts w:hint="default" w:ascii="Times New Roman" w:hAnsi="Times New Roman" w:eastAsia="宋体" w:cs="Times New Roman"/>
                      <w:b w:val="0"/>
                      <w:bCs w:val="0"/>
                      <w:kern w:val="2"/>
                      <w:sz w:val="18"/>
                      <w:szCs w:val="18"/>
                      <w:highlight w:val="none"/>
                      <w:lang w:val="en-US" w:eastAsia="zh-CN" w:bidi="ar"/>
                    </w:rPr>
                  </w:pPr>
                </w:p>
              </w:tc>
              <w:tc>
                <w:tcPr>
                  <w:tcW w:w="380" w:type="pct"/>
                  <w:tcBorders>
                    <w:top w:val="single" w:color="auto" w:sz="4" w:space="0"/>
                    <w:left w:val="single" w:color="auto" w:sz="4" w:space="0"/>
                    <w:right w:val="single" w:color="auto" w:sz="4" w:space="0"/>
                  </w:tcBorders>
                  <w:shd w:val="clear" w:color="auto" w:fill="auto"/>
                  <w:vAlign w:val="center"/>
                </w:tcPr>
                <w:p w14:paraId="397105F7">
                  <w:pPr>
                    <w:keepNext w:val="0"/>
                    <w:keepLines w:val="0"/>
                    <w:widowControl/>
                    <w:suppressLineNumbers w:val="0"/>
                    <w:spacing w:before="0" w:beforeAutospacing="0" w:after="0" w:afterAutospacing="0"/>
                    <w:ind w:left="0" w:right="0"/>
                    <w:jc w:val="center"/>
                    <w:textAlignment w:val="center"/>
                    <w:rPr>
                      <w:rFonts w:hint="default"/>
                      <w:bCs/>
                      <w:kern w:val="0"/>
                      <w:sz w:val="18"/>
                      <w:szCs w:val="18"/>
                      <w:highlight w:val="none"/>
                      <w:lang w:val="en-US" w:eastAsia="zh-CN"/>
                    </w:rPr>
                  </w:pPr>
                  <w:r>
                    <w:rPr>
                      <w:rFonts w:hint="default" w:ascii="Times New Roman" w:hAnsi="Times New Roman" w:eastAsia="宋体" w:cs="Times New Roman"/>
                      <w:bCs/>
                      <w:kern w:val="0"/>
                      <w:sz w:val="18"/>
                      <w:szCs w:val="18"/>
                      <w:highlight w:val="none"/>
                      <w:lang w:val="en-US" w:eastAsia="zh-CN"/>
                    </w:rPr>
                    <w:t>0.001</w:t>
                  </w:r>
                </w:p>
              </w:tc>
              <w:tc>
                <w:tcPr>
                  <w:tcW w:w="362" w:type="pct"/>
                  <w:tcBorders>
                    <w:top w:val="single" w:color="auto" w:sz="4" w:space="0"/>
                    <w:left w:val="single" w:color="auto" w:sz="4" w:space="0"/>
                    <w:right w:val="single" w:color="auto" w:sz="4" w:space="0"/>
                  </w:tcBorders>
                  <w:vAlign w:val="center"/>
                </w:tcPr>
                <w:p w14:paraId="3F2A3ABF">
                  <w:pPr>
                    <w:keepNext w:val="0"/>
                    <w:keepLines w:val="0"/>
                    <w:widowControl/>
                    <w:suppressLineNumbers w:val="0"/>
                    <w:spacing w:before="0" w:beforeAutospacing="0" w:after="0" w:afterAutospacing="0"/>
                    <w:ind w:left="0" w:right="0"/>
                    <w:jc w:val="center"/>
                    <w:textAlignment w:val="center"/>
                    <w:rPr>
                      <w:rFonts w:hint="eastAsia"/>
                      <w:bCs/>
                      <w:kern w:val="0"/>
                      <w:sz w:val="18"/>
                      <w:szCs w:val="18"/>
                      <w:highlight w:val="none"/>
                      <w:lang w:val="en-US" w:eastAsia="zh-CN"/>
                    </w:rPr>
                  </w:pPr>
                  <w:r>
                    <w:rPr>
                      <w:rFonts w:hint="eastAsia" w:ascii="Times New Roman" w:hAnsi="Times New Roman" w:eastAsia="宋体" w:cs="Times New Roman"/>
                      <w:i w:val="0"/>
                      <w:iCs w:val="0"/>
                      <w:color w:val="000000"/>
                      <w:kern w:val="0"/>
                      <w:sz w:val="18"/>
                      <w:szCs w:val="18"/>
                      <w:highlight w:val="none"/>
                      <w:u w:val="none"/>
                      <w:lang w:val="en-US" w:eastAsia="zh-CN" w:bidi="ar"/>
                    </w:rPr>
                    <w:t>~</w:t>
                  </w:r>
                  <w:r>
                    <w:rPr>
                      <w:rFonts w:hint="default" w:ascii="Times New Roman" w:hAnsi="Times New Roman" w:eastAsia="宋体" w:cs="Times New Roman"/>
                      <w:i w:val="0"/>
                      <w:iCs w:val="0"/>
                      <w:color w:val="000000"/>
                      <w:kern w:val="0"/>
                      <w:sz w:val="18"/>
                      <w:szCs w:val="18"/>
                      <w:highlight w:val="none"/>
                      <w:u w:val="none"/>
                      <w:lang w:val="en-US" w:eastAsia="zh-CN" w:bidi="ar"/>
                    </w:rPr>
                    <w:t>0</w:t>
                  </w:r>
                </w:p>
              </w:tc>
              <w:tc>
                <w:tcPr>
                  <w:tcW w:w="340" w:type="pct"/>
                  <w:tcBorders>
                    <w:top w:val="single" w:color="auto" w:sz="4" w:space="0"/>
                    <w:left w:val="single" w:color="auto" w:sz="4" w:space="0"/>
                    <w:right w:val="single" w:color="auto" w:sz="4" w:space="0"/>
                  </w:tcBorders>
                  <w:vAlign w:val="center"/>
                </w:tcPr>
                <w:p w14:paraId="0EC26F1F">
                  <w:pPr>
                    <w:keepNext w:val="0"/>
                    <w:keepLines w:val="0"/>
                    <w:widowControl/>
                    <w:suppressLineNumbers w:val="0"/>
                    <w:spacing w:before="0" w:beforeAutospacing="0" w:after="0" w:afterAutospacing="0"/>
                    <w:ind w:left="0" w:right="0"/>
                    <w:jc w:val="center"/>
                    <w:textAlignment w:val="center"/>
                    <w:rPr>
                      <w:rFonts w:hint="default" w:eastAsia="宋体"/>
                      <w:bCs/>
                      <w:kern w:val="0"/>
                      <w:sz w:val="18"/>
                      <w:szCs w:val="18"/>
                      <w:highlight w:val="none"/>
                      <w:lang w:val="en-US" w:eastAsia="zh-CN"/>
                    </w:rPr>
                  </w:pPr>
                  <w:r>
                    <w:rPr>
                      <w:rFonts w:hint="eastAsia" w:ascii="Times New Roman" w:hAnsi="Times New Roman" w:eastAsia="宋体" w:cs="Times New Roman"/>
                      <w:i w:val="0"/>
                      <w:iCs w:val="0"/>
                      <w:color w:val="000000"/>
                      <w:kern w:val="0"/>
                      <w:sz w:val="18"/>
                      <w:szCs w:val="18"/>
                      <w:highlight w:val="none"/>
                      <w:u w:val="none"/>
                      <w:lang w:val="en-US" w:eastAsia="zh-CN" w:bidi="ar"/>
                    </w:rPr>
                    <w:t>~</w:t>
                  </w:r>
                  <w:r>
                    <w:rPr>
                      <w:rFonts w:hint="default" w:ascii="Times New Roman" w:hAnsi="Times New Roman" w:eastAsia="宋体" w:cs="Times New Roman"/>
                      <w:i w:val="0"/>
                      <w:iCs w:val="0"/>
                      <w:color w:val="000000"/>
                      <w:kern w:val="0"/>
                      <w:sz w:val="18"/>
                      <w:szCs w:val="18"/>
                      <w:highlight w:val="none"/>
                      <w:u w:val="none"/>
                      <w:lang w:val="en-US" w:eastAsia="zh-CN" w:bidi="ar"/>
                    </w:rPr>
                    <w:t>0</w:t>
                  </w:r>
                </w:p>
              </w:tc>
              <w:tc>
                <w:tcPr>
                  <w:tcW w:w="255" w:type="pct"/>
                  <w:vMerge w:val="continue"/>
                  <w:tcBorders>
                    <w:left w:val="single" w:color="auto" w:sz="4" w:space="0"/>
                    <w:right w:val="single" w:color="auto" w:sz="4" w:space="0"/>
                  </w:tcBorders>
                  <w:vAlign w:val="center"/>
                </w:tcPr>
                <w:p w14:paraId="5ECF0694">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64" w:lineRule="auto"/>
                    <w:ind w:left="0" w:right="0"/>
                    <w:jc w:val="center"/>
                    <w:textAlignment w:val="auto"/>
                    <w:rPr>
                      <w:rFonts w:hint="default"/>
                      <w:bCs/>
                      <w:kern w:val="0"/>
                      <w:sz w:val="18"/>
                      <w:szCs w:val="18"/>
                      <w:highlight w:val="none"/>
                    </w:rPr>
                  </w:pPr>
                </w:p>
              </w:tc>
            </w:tr>
            <w:tr w14:paraId="637999C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189" w:hRule="atLeast"/>
                <w:jc w:val="center"/>
              </w:trPr>
              <w:tc>
                <w:tcPr>
                  <w:tcW w:w="271" w:type="pct"/>
                  <w:vMerge w:val="continue"/>
                  <w:tcBorders>
                    <w:left w:val="single" w:color="auto" w:sz="4" w:space="0"/>
                    <w:right w:val="single" w:color="auto" w:sz="4" w:space="0"/>
                  </w:tcBorders>
                  <w:vAlign w:val="center"/>
                </w:tcPr>
                <w:p w14:paraId="5364E73A">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64" w:lineRule="auto"/>
                    <w:ind w:left="0" w:right="0"/>
                    <w:jc w:val="center"/>
                    <w:textAlignment w:val="auto"/>
                    <w:rPr>
                      <w:rFonts w:hint="default"/>
                      <w:bCs/>
                      <w:kern w:val="0"/>
                      <w:sz w:val="18"/>
                      <w:szCs w:val="18"/>
                      <w:highlight w:val="none"/>
                    </w:rPr>
                  </w:pPr>
                </w:p>
              </w:tc>
              <w:tc>
                <w:tcPr>
                  <w:tcW w:w="331" w:type="pct"/>
                  <w:vMerge w:val="continue"/>
                  <w:tcBorders>
                    <w:left w:val="single" w:color="auto" w:sz="4" w:space="0"/>
                    <w:right w:val="single" w:color="auto" w:sz="4" w:space="0"/>
                  </w:tcBorders>
                  <w:vAlign w:val="center"/>
                </w:tcPr>
                <w:p w14:paraId="261DFEEC">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64" w:lineRule="auto"/>
                    <w:ind w:left="0" w:right="0"/>
                    <w:jc w:val="center"/>
                    <w:textAlignment w:val="auto"/>
                    <w:rPr>
                      <w:rFonts w:hint="default"/>
                      <w:bCs/>
                      <w:kern w:val="0"/>
                      <w:sz w:val="18"/>
                      <w:szCs w:val="18"/>
                      <w:highlight w:val="none"/>
                    </w:rPr>
                  </w:pPr>
                </w:p>
              </w:tc>
              <w:tc>
                <w:tcPr>
                  <w:tcW w:w="404" w:type="pct"/>
                  <w:vMerge w:val="continue"/>
                  <w:tcBorders>
                    <w:left w:val="single" w:color="auto" w:sz="4" w:space="0"/>
                    <w:right w:val="single" w:color="auto" w:sz="4" w:space="0"/>
                  </w:tcBorders>
                  <w:vAlign w:val="center"/>
                </w:tcPr>
                <w:p w14:paraId="15B10314">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64" w:lineRule="auto"/>
                    <w:ind w:left="0" w:right="0"/>
                    <w:jc w:val="center"/>
                    <w:textAlignment w:val="auto"/>
                    <w:rPr>
                      <w:rFonts w:hint="default"/>
                      <w:bCs/>
                      <w:kern w:val="0"/>
                      <w:sz w:val="18"/>
                      <w:szCs w:val="18"/>
                      <w:highlight w:val="none"/>
                    </w:rPr>
                  </w:pPr>
                </w:p>
              </w:tc>
              <w:tc>
                <w:tcPr>
                  <w:tcW w:w="593" w:type="pct"/>
                  <w:tcBorders>
                    <w:left w:val="single" w:color="auto" w:sz="4" w:space="0"/>
                    <w:bottom w:val="single" w:color="auto" w:sz="4" w:space="0"/>
                    <w:right w:val="single" w:color="auto" w:sz="4" w:space="0"/>
                  </w:tcBorders>
                  <w:shd w:val="clear" w:color="auto" w:fill="auto"/>
                  <w:vAlign w:val="center"/>
                </w:tcPr>
                <w:p w14:paraId="0E938AB8">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64" w:lineRule="auto"/>
                    <w:ind w:left="0" w:right="0"/>
                    <w:jc w:val="center"/>
                    <w:textAlignment w:val="auto"/>
                    <w:rPr>
                      <w:rFonts w:hint="default" w:ascii="Times New Roman" w:hAnsi="Times New Roman" w:eastAsia="宋体" w:cs="Times New Roman"/>
                      <w:bCs/>
                      <w:kern w:val="0"/>
                      <w:sz w:val="18"/>
                      <w:szCs w:val="18"/>
                      <w:highlight w:val="none"/>
                      <w:lang w:val="en-US" w:eastAsia="zh-CN" w:bidi="ar-SA"/>
                    </w:rPr>
                  </w:pPr>
                  <w:r>
                    <w:rPr>
                      <w:rFonts w:hint="default"/>
                      <w:bCs/>
                      <w:kern w:val="0"/>
                      <w:sz w:val="18"/>
                      <w:szCs w:val="18"/>
                      <w:highlight w:val="none"/>
                    </w:rPr>
                    <w:t>臭气浓度</w:t>
                  </w:r>
                </w:p>
              </w:tc>
              <w:tc>
                <w:tcPr>
                  <w:tcW w:w="1119" w:type="pct"/>
                  <w:gridSpan w:val="3"/>
                  <w:tcBorders>
                    <w:top w:val="single" w:color="auto" w:sz="4" w:space="0"/>
                    <w:left w:val="single" w:color="auto" w:sz="4" w:space="0"/>
                    <w:bottom w:val="single" w:color="auto" w:sz="4" w:space="0"/>
                    <w:right w:val="single" w:color="auto" w:sz="4" w:space="0"/>
                  </w:tcBorders>
                  <w:vAlign w:val="center"/>
                </w:tcPr>
                <w:p w14:paraId="790375E1">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64" w:lineRule="auto"/>
                    <w:ind w:left="0" w:right="0"/>
                    <w:jc w:val="center"/>
                    <w:textAlignment w:val="auto"/>
                    <w:rPr>
                      <w:rFonts w:hint="default"/>
                      <w:bCs/>
                      <w:kern w:val="0"/>
                      <w:sz w:val="18"/>
                      <w:szCs w:val="18"/>
                      <w:highlight w:val="none"/>
                      <w:lang w:val="en-US" w:eastAsia="zh-CN"/>
                    </w:rPr>
                  </w:pPr>
                  <w:r>
                    <w:rPr>
                      <w:rFonts w:hint="eastAsia"/>
                      <w:bCs/>
                      <w:color w:val="auto"/>
                      <w:kern w:val="0"/>
                      <w:sz w:val="18"/>
                      <w:szCs w:val="18"/>
                      <w:highlight w:val="none"/>
                      <w:lang w:val="en-US" w:eastAsia="zh-CN"/>
                    </w:rPr>
                    <w:t>1318</w:t>
                  </w:r>
                  <w:r>
                    <w:rPr>
                      <w:rFonts w:hint="eastAsia"/>
                      <w:bCs/>
                      <w:kern w:val="0"/>
                      <w:sz w:val="18"/>
                      <w:szCs w:val="18"/>
                      <w:highlight w:val="none"/>
                      <w:lang w:val="en-US" w:eastAsia="zh-CN"/>
                    </w:rPr>
                    <w:t>（无量纲）</w:t>
                  </w:r>
                </w:p>
              </w:tc>
              <w:tc>
                <w:tcPr>
                  <w:tcW w:w="383" w:type="pct"/>
                  <w:vMerge w:val="continue"/>
                  <w:tcBorders>
                    <w:left w:val="single" w:color="auto" w:sz="4" w:space="0"/>
                    <w:right w:val="single" w:color="auto" w:sz="4" w:space="0"/>
                  </w:tcBorders>
                  <w:vAlign w:val="center"/>
                </w:tcPr>
                <w:p w14:paraId="34EC53E2">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64" w:lineRule="auto"/>
                    <w:ind w:left="0" w:right="0"/>
                    <w:jc w:val="center"/>
                    <w:textAlignment w:val="auto"/>
                    <w:rPr>
                      <w:rFonts w:hint="default"/>
                      <w:snapToGrid w:val="0"/>
                      <w:sz w:val="18"/>
                      <w:szCs w:val="18"/>
                      <w:highlight w:val="none"/>
                    </w:rPr>
                  </w:pPr>
                </w:p>
              </w:tc>
              <w:tc>
                <w:tcPr>
                  <w:tcW w:w="240" w:type="pct"/>
                  <w:tcBorders>
                    <w:left w:val="single" w:color="auto" w:sz="4" w:space="0"/>
                    <w:right w:val="single" w:color="auto" w:sz="4" w:space="0"/>
                  </w:tcBorders>
                  <w:vAlign w:val="center"/>
                </w:tcPr>
                <w:p w14:paraId="2AFD5DBB">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64" w:lineRule="auto"/>
                    <w:ind w:left="0" w:right="0"/>
                    <w:jc w:val="center"/>
                    <w:textAlignment w:val="auto"/>
                    <w:rPr>
                      <w:rFonts w:hint="default"/>
                      <w:bCs/>
                      <w:kern w:val="0"/>
                      <w:sz w:val="18"/>
                      <w:szCs w:val="18"/>
                      <w:highlight w:val="none"/>
                    </w:rPr>
                  </w:pPr>
                  <w:r>
                    <w:rPr>
                      <w:rFonts w:hint="eastAsia"/>
                      <w:bCs/>
                      <w:color w:val="auto"/>
                      <w:kern w:val="0"/>
                      <w:sz w:val="18"/>
                      <w:szCs w:val="18"/>
                      <w:highlight w:val="none"/>
                      <w:lang w:val="en-US" w:eastAsia="zh-CN"/>
                    </w:rPr>
                    <w:t>58.3</w:t>
                  </w:r>
                </w:p>
              </w:tc>
              <w:tc>
                <w:tcPr>
                  <w:tcW w:w="317" w:type="pct"/>
                  <w:vMerge w:val="continue"/>
                  <w:tcBorders>
                    <w:left w:val="single" w:color="auto" w:sz="4" w:space="0"/>
                    <w:right w:val="single" w:color="auto" w:sz="4" w:space="0"/>
                  </w:tcBorders>
                  <w:shd w:val="clear" w:color="auto" w:fill="auto"/>
                  <w:vAlign w:val="center"/>
                </w:tcPr>
                <w:p w14:paraId="1B2A300A">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64" w:lineRule="auto"/>
                    <w:ind w:left="0" w:right="0"/>
                    <w:jc w:val="center"/>
                    <w:textAlignment w:val="auto"/>
                    <w:rPr>
                      <w:rFonts w:hint="default"/>
                      <w:bCs/>
                      <w:kern w:val="0"/>
                      <w:sz w:val="18"/>
                      <w:szCs w:val="18"/>
                      <w:highlight w:val="none"/>
                      <w:lang w:val="en-US" w:eastAsia="zh-CN"/>
                    </w:rPr>
                  </w:pPr>
                </w:p>
              </w:tc>
              <w:tc>
                <w:tcPr>
                  <w:tcW w:w="1083" w:type="pct"/>
                  <w:gridSpan w:val="3"/>
                  <w:tcBorders>
                    <w:top w:val="single" w:color="auto" w:sz="4" w:space="0"/>
                    <w:left w:val="single" w:color="auto" w:sz="4" w:space="0"/>
                    <w:right w:val="single" w:color="auto" w:sz="4" w:space="0"/>
                  </w:tcBorders>
                  <w:shd w:val="clear" w:color="auto" w:fill="auto"/>
                  <w:vAlign w:val="center"/>
                </w:tcPr>
                <w:p w14:paraId="76EDE6AE">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64" w:lineRule="auto"/>
                    <w:ind w:left="0" w:right="0"/>
                    <w:jc w:val="center"/>
                    <w:textAlignment w:val="auto"/>
                    <w:rPr>
                      <w:rFonts w:hint="default" w:eastAsia="宋体"/>
                      <w:bCs/>
                      <w:kern w:val="0"/>
                      <w:sz w:val="18"/>
                      <w:szCs w:val="18"/>
                      <w:highlight w:val="none"/>
                      <w:lang w:val="en-US" w:eastAsia="zh-CN"/>
                    </w:rPr>
                  </w:pPr>
                  <w:r>
                    <w:rPr>
                      <w:rFonts w:hint="eastAsia"/>
                      <w:bCs/>
                      <w:kern w:val="0"/>
                      <w:sz w:val="18"/>
                      <w:szCs w:val="18"/>
                      <w:highlight w:val="none"/>
                      <w:lang w:val="en-US" w:eastAsia="zh-CN"/>
                    </w:rPr>
                    <w:t>549（无量纲）</w:t>
                  </w:r>
                </w:p>
              </w:tc>
              <w:tc>
                <w:tcPr>
                  <w:tcW w:w="255" w:type="pct"/>
                  <w:vMerge w:val="continue"/>
                  <w:tcBorders>
                    <w:left w:val="single" w:color="auto" w:sz="4" w:space="0"/>
                    <w:right w:val="single" w:color="auto" w:sz="4" w:space="0"/>
                  </w:tcBorders>
                  <w:vAlign w:val="center"/>
                </w:tcPr>
                <w:p w14:paraId="3B9AAF26">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64" w:lineRule="auto"/>
                    <w:ind w:left="0" w:right="0"/>
                    <w:jc w:val="center"/>
                    <w:textAlignment w:val="auto"/>
                    <w:rPr>
                      <w:rFonts w:hint="default"/>
                      <w:bCs/>
                      <w:kern w:val="0"/>
                      <w:sz w:val="18"/>
                      <w:szCs w:val="18"/>
                      <w:highlight w:val="none"/>
                    </w:rPr>
                  </w:pPr>
                </w:p>
              </w:tc>
            </w:tr>
            <w:tr w14:paraId="28630B5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189" w:hRule="atLeast"/>
                <w:jc w:val="center"/>
              </w:trPr>
              <w:tc>
                <w:tcPr>
                  <w:tcW w:w="271" w:type="pct"/>
                  <w:vMerge w:val="continue"/>
                  <w:tcBorders>
                    <w:left w:val="single" w:color="auto" w:sz="4" w:space="0"/>
                    <w:right w:val="single" w:color="auto" w:sz="4" w:space="0"/>
                  </w:tcBorders>
                  <w:vAlign w:val="center"/>
                </w:tcPr>
                <w:p w14:paraId="49CDE893">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64" w:lineRule="auto"/>
                    <w:ind w:left="0" w:right="0"/>
                    <w:jc w:val="center"/>
                    <w:textAlignment w:val="auto"/>
                    <w:rPr>
                      <w:rFonts w:hint="default"/>
                      <w:bCs/>
                      <w:kern w:val="0"/>
                      <w:sz w:val="18"/>
                      <w:szCs w:val="18"/>
                      <w:highlight w:val="none"/>
                    </w:rPr>
                  </w:pPr>
                </w:p>
              </w:tc>
              <w:tc>
                <w:tcPr>
                  <w:tcW w:w="331" w:type="pct"/>
                  <w:vMerge w:val="continue"/>
                  <w:tcBorders>
                    <w:left w:val="single" w:color="auto" w:sz="4" w:space="0"/>
                    <w:right w:val="single" w:color="auto" w:sz="4" w:space="0"/>
                  </w:tcBorders>
                  <w:vAlign w:val="center"/>
                </w:tcPr>
                <w:p w14:paraId="726CB33B">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64" w:lineRule="auto"/>
                    <w:ind w:left="0" w:right="0"/>
                    <w:jc w:val="center"/>
                    <w:textAlignment w:val="auto"/>
                    <w:rPr>
                      <w:rFonts w:hint="default"/>
                      <w:bCs/>
                      <w:kern w:val="0"/>
                      <w:sz w:val="18"/>
                      <w:szCs w:val="18"/>
                      <w:highlight w:val="none"/>
                    </w:rPr>
                  </w:pPr>
                </w:p>
              </w:tc>
              <w:tc>
                <w:tcPr>
                  <w:tcW w:w="404" w:type="pct"/>
                  <w:vMerge w:val="continue"/>
                  <w:tcBorders>
                    <w:left w:val="single" w:color="auto" w:sz="4" w:space="0"/>
                    <w:right w:val="single" w:color="auto" w:sz="4" w:space="0"/>
                  </w:tcBorders>
                  <w:vAlign w:val="center"/>
                </w:tcPr>
                <w:p w14:paraId="638BEF50">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64" w:lineRule="auto"/>
                    <w:ind w:left="0" w:right="0"/>
                    <w:jc w:val="center"/>
                    <w:textAlignment w:val="auto"/>
                    <w:rPr>
                      <w:rFonts w:hint="default"/>
                      <w:bCs/>
                      <w:kern w:val="0"/>
                      <w:sz w:val="18"/>
                      <w:szCs w:val="18"/>
                      <w:highlight w:val="none"/>
                    </w:rPr>
                  </w:pPr>
                </w:p>
              </w:tc>
              <w:tc>
                <w:tcPr>
                  <w:tcW w:w="593" w:type="pct"/>
                  <w:tcBorders>
                    <w:left w:val="single" w:color="auto" w:sz="4" w:space="0"/>
                    <w:bottom w:val="single" w:color="auto" w:sz="4" w:space="0"/>
                    <w:right w:val="single" w:color="auto" w:sz="4" w:space="0"/>
                  </w:tcBorders>
                  <w:shd w:val="clear" w:color="auto" w:fill="auto"/>
                  <w:vAlign w:val="center"/>
                </w:tcPr>
                <w:p w14:paraId="2B8A1FC3">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64" w:lineRule="auto"/>
                    <w:ind w:left="0" w:right="0"/>
                    <w:jc w:val="center"/>
                    <w:textAlignment w:val="auto"/>
                    <w:rPr>
                      <w:rFonts w:hint="default"/>
                      <w:bCs/>
                      <w:kern w:val="0"/>
                      <w:sz w:val="18"/>
                      <w:szCs w:val="18"/>
                      <w:highlight w:val="none"/>
                    </w:rPr>
                  </w:pPr>
                  <w:r>
                    <w:rPr>
                      <w:rFonts w:hint="eastAsia"/>
                      <w:bCs/>
                      <w:kern w:val="0"/>
                      <w:sz w:val="18"/>
                      <w:szCs w:val="18"/>
                      <w:highlight w:val="none"/>
                      <w:lang w:val="en-US" w:eastAsia="zh-CN"/>
                    </w:rPr>
                    <w:t>颗粒物</w:t>
                  </w:r>
                </w:p>
              </w:tc>
              <w:tc>
                <w:tcPr>
                  <w:tcW w:w="1119" w:type="pct"/>
                  <w:gridSpan w:val="3"/>
                  <w:tcBorders>
                    <w:top w:val="single" w:color="auto" w:sz="4" w:space="0"/>
                    <w:left w:val="single" w:color="auto" w:sz="4" w:space="0"/>
                    <w:bottom w:val="single" w:color="auto" w:sz="4" w:space="0"/>
                    <w:right w:val="single" w:color="auto" w:sz="4" w:space="0"/>
                  </w:tcBorders>
                  <w:vAlign w:val="center"/>
                </w:tcPr>
                <w:p w14:paraId="44770C83">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64" w:lineRule="auto"/>
                    <w:ind w:left="0" w:right="0"/>
                    <w:jc w:val="center"/>
                    <w:textAlignment w:val="auto"/>
                    <w:rPr>
                      <w:rFonts w:hint="eastAsia"/>
                      <w:bCs/>
                      <w:color w:val="auto"/>
                      <w:kern w:val="0"/>
                      <w:sz w:val="18"/>
                      <w:szCs w:val="18"/>
                      <w:highlight w:val="none"/>
                      <w:lang w:val="en-US" w:eastAsia="zh-CN"/>
                    </w:rPr>
                  </w:pPr>
                  <w:r>
                    <w:rPr>
                      <w:rFonts w:hint="eastAsia"/>
                      <w:bCs/>
                      <w:color w:val="auto"/>
                      <w:kern w:val="0"/>
                      <w:sz w:val="18"/>
                      <w:szCs w:val="18"/>
                      <w:highlight w:val="none"/>
                      <w:lang w:val="en-US" w:eastAsia="zh-CN"/>
                    </w:rPr>
                    <w:t>少量</w:t>
                  </w:r>
                </w:p>
              </w:tc>
              <w:tc>
                <w:tcPr>
                  <w:tcW w:w="383" w:type="pct"/>
                  <w:vMerge w:val="continue"/>
                  <w:tcBorders>
                    <w:left w:val="single" w:color="auto" w:sz="4" w:space="0"/>
                    <w:right w:val="single" w:color="auto" w:sz="4" w:space="0"/>
                  </w:tcBorders>
                  <w:vAlign w:val="center"/>
                </w:tcPr>
                <w:p w14:paraId="352BA8EE">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64" w:lineRule="auto"/>
                    <w:ind w:left="0" w:right="0"/>
                    <w:jc w:val="center"/>
                    <w:textAlignment w:val="auto"/>
                    <w:rPr>
                      <w:rFonts w:hint="default"/>
                      <w:snapToGrid w:val="0"/>
                      <w:sz w:val="18"/>
                      <w:szCs w:val="18"/>
                      <w:highlight w:val="none"/>
                    </w:rPr>
                  </w:pPr>
                </w:p>
              </w:tc>
              <w:tc>
                <w:tcPr>
                  <w:tcW w:w="240" w:type="pct"/>
                  <w:tcBorders>
                    <w:left w:val="single" w:color="auto" w:sz="4" w:space="0"/>
                    <w:right w:val="single" w:color="auto" w:sz="4" w:space="0"/>
                  </w:tcBorders>
                  <w:vAlign w:val="center"/>
                </w:tcPr>
                <w:p w14:paraId="5DE34C08">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64" w:lineRule="auto"/>
                    <w:ind w:left="0" w:right="0"/>
                    <w:jc w:val="center"/>
                    <w:textAlignment w:val="auto"/>
                    <w:rPr>
                      <w:rFonts w:hint="eastAsia"/>
                      <w:bCs/>
                      <w:color w:val="auto"/>
                      <w:kern w:val="0"/>
                      <w:sz w:val="18"/>
                      <w:szCs w:val="18"/>
                      <w:highlight w:val="none"/>
                      <w:lang w:val="en-US" w:eastAsia="zh-CN"/>
                    </w:rPr>
                  </w:pPr>
                  <w:r>
                    <w:rPr>
                      <w:rFonts w:hint="eastAsia"/>
                      <w:bCs/>
                      <w:color w:val="auto"/>
                      <w:kern w:val="0"/>
                      <w:sz w:val="18"/>
                      <w:szCs w:val="18"/>
                      <w:highlight w:val="none"/>
                      <w:lang w:val="en-US" w:eastAsia="zh-CN"/>
                    </w:rPr>
                    <w:t>/</w:t>
                  </w:r>
                </w:p>
              </w:tc>
              <w:tc>
                <w:tcPr>
                  <w:tcW w:w="317" w:type="pct"/>
                  <w:vMerge w:val="continue"/>
                  <w:tcBorders>
                    <w:left w:val="single" w:color="auto" w:sz="4" w:space="0"/>
                    <w:right w:val="single" w:color="auto" w:sz="4" w:space="0"/>
                  </w:tcBorders>
                  <w:shd w:val="clear" w:color="auto" w:fill="auto"/>
                  <w:vAlign w:val="center"/>
                </w:tcPr>
                <w:p w14:paraId="48381AF7">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64" w:lineRule="auto"/>
                    <w:ind w:left="0" w:right="0"/>
                    <w:jc w:val="center"/>
                    <w:textAlignment w:val="auto"/>
                    <w:rPr>
                      <w:rFonts w:hint="default"/>
                      <w:bCs/>
                      <w:kern w:val="0"/>
                      <w:sz w:val="18"/>
                      <w:szCs w:val="18"/>
                      <w:highlight w:val="none"/>
                      <w:lang w:val="en-US" w:eastAsia="zh-CN"/>
                    </w:rPr>
                  </w:pPr>
                </w:p>
              </w:tc>
              <w:tc>
                <w:tcPr>
                  <w:tcW w:w="1083" w:type="pct"/>
                  <w:gridSpan w:val="3"/>
                  <w:tcBorders>
                    <w:top w:val="single" w:color="auto" w:sz="4" w:space="0"/>
                    <w:left w:val="single" w:color="auto" w:sz="4" w:space="0"/>
                    <w:right w:val="single" w:color="auto" w:sz="4" w:space="0"/>
                  </w:tcBorders>
                  <w:shd w:val="clear" w:color="auto" w:fill="auto"/>
                  <w:vAlign w:val="center"/>
                </w:tcPr>
                <w:p w14:paraId="36010B64">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64" w:lineRule="auto"/>
                    <w:ind w:left="0" w:right="0"/>
                    <w:jc w:val="center"/>
                    <w:textAlignment w:val="auto"/>
                    <w:rPr>
                      <w:rFonts w:hint="eastAsia"/>
                      <w:bCs/>
                      <w:kern w:val="0"/>
                      <w:sz w:val="18"/>
                      <w:szCs w:val="18"/>
                      <w:highlight w:val="none"/>
                      <w:lang w:val="en-US" w:eastAsia="zh-CN"/>
                    </w:rPr>
                  </w:pPr>
                  <w:r>
                    <w:rPr>
                      <w:rFonts w:hint="eastAsia"/>
                      <w:bCs/>
                      <w:color w:val="auto"/>
                      <w:kern w:val="0"/>
                      <w:sz w:val="18"/>
                      <w:szCs w:val="18"/>
                      <w:highlight w:val="none"/>
                      <w:lang w:val="en-US" w:eastAsia="zh-CN"/>
                    </w:rPr>
                    <w:t>少量</w:t>
                  </w:r>
                </w:p>
              </w:tc>
              <w:tc>
                <w:tcPr>
                  <w:tcW w:w="255" w:type="pct"/>
                  <w:vMerge w:val="continue"/>
                  <w:tcBorders>
                    <w:left w:val="single" w:color="auto" w:sz="4" w:space="0"/>
                    <w:right w:val="single" w:color="auto" w:sz="4" w:space="0"/>
                  </w:tcBorders>
                  <w:vAlign w:val="center"/>
                </w:tcPr>
                <w:p w14:paraId="4803BBDA">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64" w:lineRule="auto"/>
                    <w:ind w:left="0" w:right="0"/>
                    <w:jc w:val="center"/>
                    <w:textAlignment w:val="auto"/>
                    <w:rPr>
                      <w:rFonts w:hint="default"/>
                      <w:bCs/>
                      <w:kern w:val="0"/>
                      <w:sz w:val="18"/>
                      <w:szCs w:val="18"/>
                      <w:highlight w:val="none"/>
                    </w:rPr>
                  </w:pPr>
                </w:p>
              </w:tc>
            </w:tr>
            <w:tr w14:paraId="56EBA4F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189" w:hRule="atLeast"/>
                <w:jc w:val="center"/>
              </w:trPr>
              <w:tc>
                <w:tcPr>
                  <w:tcW w:w="271" w:type="pct"/>
                  <w:vMerge w:val="restart"/>
                  <w:tcBorders>
                    <w:left w:val="single" w:color="auto" w:sz="4" w:space="0"/>
                    <w:right w:val="single" w:color="auto" w:sz="4" w:space="0"/>
                  </w:tcBorders>
                  <w:vAlign w:val="center"/>
                </w:tcPr>
                <w:p w14:paraId="6452006E">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64" w:lineRule="auto"/>
                    <w:ind w:left="0" w:right="0"/>
                    <w:jc w:val="center"/>
                    <w:textAlignment w:val="auto"/>
                    <w:rPr>
                      <w:rFonts w:hint="eastAsia" w:eastAsia="宋体"/>
                      <w:bCs/>
                      <w:kern w:val="0"/>
                      <w:sz w:val="18"/>
                      <w:szCs w:val="18"/>
                      <w:highlight w:val="none"/>
                      <w:lang w:val="en-US" w:eastAsia="zh-CN"/>
                    </w:rPr>
                  </w:pPr>
                  <w:r>
                    <w:rPr>
                      <w:rFonts w:hint="default"/>
                      <w:bCs/>
                      <w:kern w:val="0"/>
                      <w:sz w:val="18"/>
                      <w:szCs w:val="18"/>
                      <w:highlight w:val="none"/>
                    </w:rPr>
                    <w:t>DA00</w:t>
                  </w:r>
                  <w:r>
                    <w:rPr>
                      <w:rFonts w:hint="eastAsia"/>
                      <w:bCs/>
                      <w:kern w:val="0"/>
                      <w:sz w:val="18"/>
                      <w:szCs w:val="18"/>
                      <w:highlight w:val="none"/>
                      <w:lang w:val="en-US" w:eastAsia="zh-CN"/>
                    </w:rPr>
                    <w:t>3</w:t>
                  </w:r>
                </w:p>
              </w:tc>
              <w:tc>
                <w:tcPr>
                  <w:tcW w:w="331" w:type="pct"/>
                  <w:vMerge w:val="restart"/>
                  <w:tcBorders>
                    <w:left w:val="single" w:color="auto" w:sz="4" w:space="0"/>
                    <w:right w:val="single" w:color="auto" w:sz="4" w:space="0"/>
                  </w:tcBorders>
                  <w:vAlign w:val="center"/>
                </w:tcPr>
                <w:p w14:paraId="412B0550">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64" w:lineRule="auto"/>
                    <w:ind w:left="0" w:right="0"/>
                    <w:jc w:val="center"/>
                    <w:textAlignment w:val="auto"/>
                    <w:rPr>
                      <w:rFonts w:hint="default"/>
                      <w:bCs/>
                      <w:kern w:val="0"/>
                      <w:sz w:val="18"/>
                      <w:szCs w:val="18"/>
                      <w:highlight w:val="none"/>
                    </w:rPr>
                  </w:pPr>
                  <w:r>
                    <w:rPr>
                      <w:rFonts w:hint="eastAsia"/>
                      <w:bCs/>
                      <w:kern w:val="0"/>
                      <w:sz w:val="18"/>
                      <w:szCs w:val="18"/>
                      <w:highlight w:val="none"/>
                      <w:lang w:val="en-US" w:eastAsia="zh-CN"/>
                    </w:rPr>
                    <w:t>3#排气筒</w:t>
                  </w:r>
                </w:p>
              </w:tc>
              <w:tc>
                <w:tcPr>
                  <w:tcW w:w="404" w:type="pct"/>
                  <w:vMerge w:val="restart"/>
                  <w:tcBorders>
                    <w:left w:val="single" w:color="auto" w:sz="4" w:space="0"/>
                    <w:right w:val="single" w:color="auto" w:sz="4" w:space="0"/>
                  </w:tcBorders>
                  <w:vAlign w:val="center"/>
                </w:tcPr>
                <w:p w14:paraId="32F2A5B8">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64" w:lineRule="auto"/>
                    <w:ind w:left="0" w:right="0"/>
                    <w:jc w:val="center"/>
                    <w:textAlignment w:val="auto"/>
                    <w:rPr>
                      <w:rFonts w:hint="default"/>
                      <w:bCs/>
                      <w:kern w:val="0"/>
                      <w:sz w:val="18"/>
                      <w:szCs w:val="18"/>
                      <w:highlight w:val="none"/>
                    </w:rPr>
                  </w:pPr>
                  <w:r>
                    <w:rPr>
                      <w:rFonts w:hint="default"/>
                      <w:bCs/>
                      <w:kern w:val="0"/>
                      <w:sz w:val="18"/>
                      <w:szCs w:val="18"/>
                      <w:highlight w:val="none"/>
                    </w:rPr>
                    <w:t>饲养废气</w:t>
                  </w:r>
                </w:p>
              </w:tc>
              <w:tc>
                <w:tcPr>
                  <w:tcW w:w="593" w:type="pct"/>
                  <w:tcBorders>
                    <w:left w:val="single" w:color="auto" w:sz="4" w:space="0"/>
                    <w:bottom w:val="single" w:color="auto" w:sz="4" w:space="0"/>
                    <w:right w:val="single" w:color="auto" w:sz="4" w:space="0"/>
                  </w:tcBorders>
                  <w:shd w:val="clear" w:color="auto" w:fill="auto"/>
                  <w:vAlign w:val="center"/>
                </w:tcPr>
                <w:p w14:paraId="779AC51F">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64" w:lineRule="auto"/>
                    <w:ind w:left="0" w:right="0"/>
                    <w:jc w:val="center"/>
                    <w:textAlignment w:val="auto"/>
                    <w:rPr>
                      <w:rFonts w:hint="default" w:ascii="Times New Roman" w:hAnsi="Times New Roman" w:eastAsia="宋体" w:cs="Times New Roman"/>
                      <w:bCs/>
                      <w:kern w:val="0"/>
                      <w:sz w:val="18"/>
                      <w:szCs w:val="18"/>
                      <w:highlight w:val="none"/>
                      <w:lang w:val="en-US" w:eastAsia="zh-CN" w:bidi="ar-SA"/>
                    </w:rPr>
                  </w:pPr>
                  <w:r>
                    <w:rPr>
                      <w:rFonts w:hint="default"/>
                      <w:bCs/>
                      <w:kern w:val="0"/>
                      <w:sz w:val="18"/>
                      <w:szCs w:val="18"/>
                      <w:highlight w:val="none"/>
                    </w:rPr>
                    <w:t>氨</w:t>
                  </w:r>
                </w:p>
              </w:tc>
              <w:tc>
                <w:tcPr>
                  <w:tcW w:w="357" w:type="pct"/>
                  <w:tcBorders>
                    <w:top w:val="single" w:color="auto" w:sz="4" w:space="0"/>
                    <w:left w:val="single" w:color="auto" w:sz="4" w:space="0"/>
                    <w:bottom w:val="single" w:color="auto" w:sz="4" w:space="0"/>
                    <w:right w:val="single" w:color="auto" w:sz="4" w:space="0"/>
                  </w:tcBorders>
                  <w:shd w:val="clear" w:color="auto" w:fill="auto"/>
                  <w:vAlign w:val="center"/>
                </w:tcPr>
                <w:p w14:paraId="752974CA">
                  <w:pPr>
                    <w:keepNext w:val="0"/>
                    <w:keepLines w:val="0"/>
                    <w:widowControl/>
                    <w:suppressLineNumbers w:val="0"/>
                    <w:spacing w:before="0" w:beforeAutospacing="0" w:after="0" w:afterAutospacing="0"/>
                    <w:ind w:left="0" w:right="0"/>
                    <w:jc w:val="center"/>
                    <w:textAlignment w:val="center"/>
                    <w:rPr>
                      <w:rFonts w:hint="default"/>
                      <w:bCs/>
                      <w:kern w:val="0"/>
                      <w:sz w:val="18"/>
                      <w:szCs w:val="18"/>
                      <w:highlight w:val="none"/>
                      <w:lang w:val="en-US" w:eastAsia="zh-CN"/>
                    </w:rPr>
                  </w:pPr>
                  <w:r>
                    <w:rPr>
                      <w:rFonts w:hint="default" w:ascii="Times New Roman" w:hAnsi="Times New Roman" w:eastAsia="宋体" w:cs="Times New Roman"/>
                      <w:i w:val="0"/>
                      <w:iCs w:val="0"/>
                      <w:color w:val="000000"/>
                      <w:kern w:val="0"/>
                      <w:sz w:val="18"/>
                      <w:szCs w:val="18"/>
                      <w:highlight w:val="none"/>
                      <w:u w:val="none"/>
                      <w:lang w:val="en-US" w:eastAsia="zh-CN" w:bidi="ar"/>
                    </w:rPr>
                    <w:t>0.0</w:t>
                  </w:r>
                  <w:r>
                    <w:rPr>
                      <w:rFonts w:hint="eastAsia" w:cs="Times New Roman"/>
                      <w:i w:val="0"/>
                      <w:iCs w:val="0"/>
                      <w:color w:val="000000"/>
                      <w:kern w:val="0"/>
                      <w:sz w:val="18"/>
                      <w:szCs w:val="18"/>
                      <w:highlight w:val="none"/>
                      <w:u w:val="none"/>
                      <w:lang w:val="en-US" w:eastAsia="zh-CN" w:bidi="ar"/>
                    </w:rPr>
                    <w:t>13</w:t>
                  </w:r>
                </w:p>
              </w:tc>
              <w:tc>
                <w:tcPr>
                  <w:tcW w:w="357" w:type="pct"/>
                  <w:tcBorders>
                    <w:top w:val="single" w:color="auto" w:sz="4" w:space="0"/>
                    <w:left w:val="single" w:color="auto" w:sz="4" w:space="0"/>
                    <w:bottom w:val="single" w:color="auto" w:sz="4" w:space="0"/>
                    <w:right w:val="single" w:color="auto" w:sz="4" w:space="0"/>
                  </w:tcBorders>
                  <w:shd w:val="clear" w:color="auto" w:fill="auto"/>
                  <w:vAlign w:val="center"/>
                </w:tcPr>
                <w:p w14:paraId="3AB6304F">
                  <w:pPr>
                    <w:keepNext w:val="0"/>
                    <w:keepLines w:val="0"/>
                    <w:widowControl/>
                    <w:suppressLineNumbers w:val="0"/>
                    <w:spacing w:before="0" w:beforeAutospacing="0" w:after="0" w:afterAutospacing="0"/>
                    <w:ind w:left="0" w:right="0"/>
                    <w:jc w:val="center"/>
                    <w:textAlignment w:val="center"/>
                    <w:rPr>
                      <w:rFonts w:hint="default"/>
                      <w:bCs/>
                      <w:kern w:val="0"/>
                      <w:sz w:val="18"/>
                      <w:szCs w:val="18"/>
                      <w:highlight w:val="none"/>
                      <w:lang w:val="en-US" w:eastAsia="zh-CN"/>
                    </w:rPr>
                  </w:pPr>
                  <w:r>
                    <w:rPr>
                      <w:rFonts w:hint="default" w:ascii="Times New Roman" w:hAnsi="Times New Roman" w:eastAsia="宋体" w:cs="Times New Roman"/>
                      <w:i w:val="0"/>
                      <w:iCs w:val="0"/>
                      <w:color w:val="000000"/>
                      <w:kern w:val="0"/>
                      <w:sz w:val="18"/>
                      <w:szCs w:val="18"/>
                      <w:highlight w:val="none"/>
                      <w:u w:val="none"/>
                      <w:lang w:val="en-US" w:eastAsia="zh-CN" w:bidi="ar"/>
                    </w:rPr>
                    <w:t>0.00</w:t>
                  </w:r>
                  <w:r>
                    <w:rPr>
                      <w:rFonts w:hint="eastAsia" w:cs="Times New Roman"/>
                      <w:i w:val="0"/>
                      <w:iCs w:val="0"/>
                      <w:color w:val="000000"/>
                      <w:kern w:val="0"/>
                      <w:sz w:val="18"/>
                      <w:szCs w:val="18"/>
                      <w:highlight w:val="none"/>
                      <w:u w:val="none"/>
                      <w:lang w:val="en-US" w:eastAsia="zh-CN" w:bidi="ar"/>
                    </w:rPr>
                    <w:t>1</w:t>
                  </w:r>
                </w:p>
              </w:tc>
              <w:tc>
                <w:tcPr>
                  <w:tcW w:w="404" w:type="pct"/>
                  <w:tcBorders>
                    <w:top w:val="single" w:color="auto" w:sz="4" w:space="0"/>
                    <w:left w:val="single" w:color="auto" w:sz="4" w:space="0"/>
                    <w:right w:val="single" w:color="auto" w:sz="4" w:space="0"/>
                  </w:tcBorders>
                  <w:shd w:val="clear" w:color="auto" w:fill="auto"/>
                  <w:vAlign w:val="center"/>
                </w:tcPr>
                <w:p w14:paraId="68CF90ED">
                  <w:pPr>
                    <w:keepNext w:val="0"/>
                    <w:keepLines w:val="0"/>
                    <w:suppressLineNumbers w:val="0"/>
                    <w:spacing w:before="0" w:beforeAutospacing="0" w:after="0" w:afterAutospacing="0"/>
                    <w:ind w:left="0" w:right="0"/>
                    <w:jc w:val="center"/>
                    <w:rPr>
                      <w:rFonts w:hint="default" w:ascii="Times New Roman" w:hAnsi="Times New Roman" w:eastAsia="宋体" w:cs="Times New Roman"/>
                      <w:color w:val="auto"/>
                      <w:kern w:val="2"/>
                      <w:sz w:val="18"/>
                      <w:szCs w:val="18"/>
                      <w:highlight w:val="none"/>
                      <w:lang w:val="en-US" w:eastAsia="zh-CN" w:bidi="ar-SA"/>
                    </w:rPr>
                  </w:pPr>
                  <w:r>
                    <w:rPr>
                      <w:rFonts w:hint="eastAsia" w:cs="Times New Roman"/>
                      <w:color w:val="auto"/>
                      <w:kern w:val="2"/>
                      <w:sz w:val="18"/>
                      <w:szCs w:val="18"/>
                      <w:highlight w:val="none"/>
                      <w:lang w:val="en-US" w:eastAsia="zh-CN" w:bidi="ar-SA"/>
                    </w:rPr>
                    <w:t>0.05</w:t>
                  </w:r>
                </w:p>
              </w:tc>
              <w:tc>
                <w:tcPr>
                  <w:tcW w:w="383" w:type="pct"/>
                  <w:vMerge w:val="restart"/>
                  <w:tcBorders>
                    <w:left w:val="single" w:color="auto" w:sz="4" w:space="0"/>
                    <w:right w:val="single" w:color="auto" w:sz="4" w:space="0"/>
                  </w:tcBorders>
                  <w:vAlign w:val="center"/>
                </w:tcPr>
                <w:p w14:paraId="021C494A">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64" w:lineRule="auto"/>
                    <w:ind w:left="0" w:right="0"/>
                    <w:jc w:val="center"/>
                    <w:textAlignment w:val="auto"/>
                    <w:rPr>
                      <w:rFonts w:hint="default"/>
                      <w:snapToGrid w:val="0"/>
                      <w:sz w:val="18"/>
                      <w:szCs w:val="18"/>
                      <w:highlight w:val="none"/>
                    </w:rPr>
                  </w:pPr>
                  <w:r>
                    <w:rPr>
                      <w:rFonts w:hint="eastAsia"/>
                      <w:bCs/>
                      <w:kern w:val="0"/>
                      <w:sz w:val="18"/>
                      <w:szCs w:val="18"/>
                      <w:highlight w:val="none"/>
                      <w:lang w:val="en-US" w:eastAsia="zh-CN"/>
                    </w:rPr>
                    <w:t>溶液空调自带喷淋除臭装置</w:t>
                  </w:r>
                </w:p>
              </w:tc>
              <w:tc>
                <w:tcPr>
                  <w:tcW w:w="240" w:type="pct"/>
                  <w:tcBorders>
                    <w:left w:val="single" w:color="auto" w:sz="4" w:space="0"/>
                    <w:right w:val="single" w:color="auto" w:sz="4" w:space="0"/>
                  </w:tcBorders>
                  <w:shd w:val="clear" w:color="auto" w:fill="auto"/>
                  <w:vAlign w:val="center"/>
                </w:tcPr>
                <w:p w14:paraId="00ED306A">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64" w:lineRule="auto"/>
                    <w:ind w:left="0" w:right="0"/>
                    <w:jc w:val="center"/>
                    <w:textAlignment w:val="auto"/>
                    <w:rPr>
                      <w:rFonts w:hint="default" w:ascii="Times New Roman" w:hAnsi="Times New Roman" w:eastAsia="宋体" w:cs="Times New Roman"/>
                      <w:bCs/>
                      <w:kern w:val="0"/>
                      <w:sz w:val="18"/>
                      <w:szCs w:val="18"/>
                      <w:highlight w:val="none"/>
                      <w:lang w:val="en-US" w:eastAsia="zh-CN" w:bidi="ar-SA"/>
                    </w:rPr>
                  </w:pPr>
                  <w:r>
                    <w:rPr>
                      <w:rFonts w:hint="eastAsia"/>
                      <w:bCs/>
                      <w:kern w:val="0"/>
                      <w:sz w:val="18"/>
                      <w:szCs w:val="18"/>
                      <w:highlight w:val="none"/>
                      <w:lang w:val="en-US" w:eastAsia="zh-CN"/>
                    </w:rPr>
                    <w:t>90</w:t>
                  </w:r>
                </w:p>
              </w:tc>
              <w:tc>
                <w:tcPr>
                  <w:tcW w:w="317" w:type="pct"/>
                  <w:vMerge w:val="restart"/>
                  <w:tcBorders>
                    <w:left w:val="single" w:color="auto" w:sz="4" w:space="0"/>
                    <w:right w:val="single" w:color="auto" w:sz="4" w:space="0"/>
                  </w:tcBorders>
                  <w:shd w:val="clear" w:color="auto" w:fill="auto"/>
                  <w:vAlign w:val="center"/>
                </w:tcPr>
                <w:p w14:paraId="243542F9">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64" w:lineRule="auto"/>
                    <w:ind w:left="0" w:right="0"/>
                    <w:jc w:val="center"/>
                    <w:textAlignment w:val="auto"/>
                    <w:rPr>
                      <w:rFonts w:hint="default"/>
                      <w:bCs/>
                      <w:kern w:val="0"/>
                      <w:sz w:val="18"/>
                      <w:szCs w:val="18"/>
                      <w:highlight w:val="none"/>
                      <w:lang w:val="en-US" w:eastAsia="zh-CN"/>
                    </w:rPr>
                  </w:pPr>
                  <w:r>
                    <w:rPr>
                      <w:rFonts w:hint="eastAsia"/>
                      <w:bCs/>
                      <w:kern w:val="0"/>
                      <w:sz w:val="18"/>
                      <w:szCs w:val="18"/>
                      <w:highlight w:val="none"/>
                      <w:lang w:val="en-US" w:eastAsia="zh-CN"/>
                    </w:rPr>
                    <w:t>21375</w:t>
                  </w:r>
                </w:p>
              </w:tc>
              <w:tc>
                <w:tcPr>
                  <w:tcW w:w="380" w:type="pct"/>
                  <w:tcBorders>
                    <w:top w:val="single" w:color="auto" w:sz="4" w:space="0"/>
                    <w:left w:val="single" w:color="auto" w:sz="4" w:space="0"/>
                    <w:right w:val="single" w:color="auto" w:sz="4" w:space="0"/>
                  </w:tcBorders>
                  <w:shd w:val="clear" w:color="auto" w:fill="auto"/>
                  <w:vAlign w:val="center"/>
                </w:tcPr>
                <w:p w14:paraId="23F49287">
                  <w:pPr>
                    <w:keepNext w:val="0"/>
                    <w:keepLines w:val="0"/>
                    <w:widowControl/>
                    <w:suppressLineNumbers w:val="0"/>
                    <w:spacing w:before="0" w:beforeAutospacing="0" w:after="0" w:afterAutospacing="0"/>
                    <w:ind w:left="0" w:right="0"/>
                    <w:jc w:val="center"/>
                    <w:textAlignment w:val="center"/>
                    <w:rPr>
                      <w:rFonts w:hint="default"/>
                      <w:bCs/>
                      <w:kern w:val="0"/>
                      <w:sz w:val="18"/>
                      <w:szCs w:val="18"/>
                      <w:highlight w:val="none"/>
                      <w:lang w:val="en-US" w:eastAsia="zh-CN"/>
                    </w:rPr>
                  </w:pPr>
                  <w:r>
                    <w:rPr>
                      <w:rFonts w:hint="default" w:ascii="Times New Roman" w:hAnsi="Times New Roman" w:eastAsia="宋体" w:cs="Times New Roman"/>
                      <w:i w:val="0"/>
                      <w:iCs w:val="0"/>
                      <w:color w:val="000000"/>
                      <w:kern w:val="0"/>
                      <w:sz w:val="18"/>
                      <w:szCs w:val="18"/>
                      <w:highlight w:val="none"/>
                      <w:u w:val="none"/>
                      <w:lang w:val="en-US" w:eastAsia="zh-CN" w:bidi="ar"/>
                    </w:rPr>
                    <w:t>0.00</w:t>
                  </w:r>
                  <w:r>
                    <w:rPr>
                      <w:rFonts w:hint="eastAsia" w:cs="Times New Roman"/>
                      <w:i w:val="0"/>
                      <w:iCs w:val="0"/>
                      <w:color w:val="000000"/>
                      <w:kern w:val="0"/>
                      <w:sz w:val="18"/>
                      <w:szCs w:val="18"/>
                      <w:highlight w:val="none"/>
                      <w:u w:val="none"/>
                      <w:lang w:val="en-US" w:eastAsia="zh-CN" w:bidi="ar"/>
                    </w:rPr>
                    <w:t>1</w:t>
                  </w:r>
                </w:p>
              </w:tc>
              <w:tc>
                <w:tcPr>
                  <w:tcW w:w="362" w:type="pct"/>
                  <w:tcBorders>
                    <w:top w:val="single" w:color="auto" w:sz="4" w:space="0"/>
                    <w:left w:val="single" w:color="auto" w:sz="4" w:space="0"/>
                    <w:right w:val="single" w:color="auto" w:sz="4" w:space="0"/>
                  </w:tcBorders>
                  <w:vAlign w:val="center"/>
                </w:tcPr>
                <w:p w14:paraId="66CC002C">
                  <w:pPr>
                    <w:keepNext w:val="0"/>
                    <w:keepLines w:val="0"/>
                    <w:widowControl/>
                    <w:suppressLineNumbers w:val="0"/>
                    <w:spacing w:before="0" w:beforeAutospacing="0" w:after="0" w:afterAutospacing="0"/>
                    <w:ind w:left="0" w:right="0"/>
                    <w:jc w:val="center"/>
                    <w:textAlignment w:val="center"/>
                    <w:rPr>
                      <w:rFonts w:hint="eastAsia"/>
                      <w:bCs/>
                      <w:kern w:val="0"/>
                      <w:sz w:val="18"/>
                      <w:szCs w:val="18"/>
                      <w:highlight w:val="none"/>
                      <w:lang w:val="en-US" w:eastAsia="zh-CN"/>
                    </w:rPr>
                  </w:pPr>
                  <w:r>
                    <w:rPr>
                      <w:rFonts w:hint="eastAsia" w:ascii="Times New Roman" w:hAnsi="Times New Roman" w:eastAsia="宋体" w:cs="Times New Roman"/>
                      <w:i w:val="0"/>
                      <w:iCs w:val="0"/>
                      <w:color w:val="000000"/>
                      <w:kern w:val="0"/>
                      <w:sz w:val="18"/>
                      <w:szCs w:val="18"/>
                      <w:highlight w:val="none"/>
                      <w:u w:val="none"/>
                      <w:lang w:val="en-US" w:eastAsia="zh-CN" w:bidi="ar"/>
                    </w:rPr>
                    <w:t>~</w:t>
                  </w:r>
                  <w:r>
                    <w:rPr>
                      <w:rFonts w:hint="default" w:ascii="Times New Roman" w:hAnsi="Times New Roman" w:eastAsia="宋体" w:cs="Times New Roman"/>
                      <w:i w:val="0"/>
                      <w:iCs w:val="0"/>
                      <w:color w:val="000000"/>
                      <w:kern w:val="0"/>
                      <w:sz w:val="18"/>
                      <w:szCs w:val="18"/>
                      <w:highlight w:val="none"/>
                      <w:u w:val="none"/>
                      <w:lang w:val="en-US" w:eastAsia="zh-CN" w:bidi="ar"/>
                    </w:rPr>
                    <w:t>0</w:t>
                  </w:r>
                </w:p>
              </w:tc>
              <w:tc>
                <w:tcPr>
                  <w:tcW w:w="340" w:type="pct"/>
                  <w:tcBorders>
                    <w:top w:val="single" w:color="auto" w:sz="4" w:space="0"/>
                    <w:left w:val="single" w:color="auto" w:sz="4" w:space="0"/>
                    <w:right w:val="single" w:color="auto" w:sz="4" w:space="0"/>
                  </w:tcBorders>
                  <w:vAlign w:val="center"/>
                </w:tcPr>
                <w:p w14:paraId="5EA047E9">
                  <w:pPr>
                    <w:keepNext w:val="0"/>
                    <w:keepLines w:val="0"/>
                    <w:widowControl/>
                    <w:suppressLineNumbers w:val="0"/>
                    <w:spacing w:before="0" w:beforeAutospacing="0" w:after="0" w:afterAutospacing="0"/>
                    <w:ind w:left="0" w:right="0"/>
                    <w:jc w:val="center"/>
                    <w:textAlignment w:val="center"/>
                    <w:rPr>
                      <w:rFonts w:hint="default" w:eastAsia="宋体"/>
                      <w:bCs/>
                      <w:kern w:val="0"/>
                      <w:sz w:val="18"/>
                      <w:szCs w:val="18"/>
                      <w:highlight w:val="none"/>
                      <w:lang w:val="en-US" w:eastAsia="zh-CN"/>
                    </w:rPr>
                  </w:pPr>
                  <w:r>
                    <w:rPr>
                      <w:rFonts w:hint="eastAsia" w:ascii="Times New Roman" w:hAnsi="Times New Roman" w:eastAsia="宋体" w:cs="Times New Roman"/>
                      <w:i w:val="0"/>
                      <w:iCs w:val="0"/>
                      <w:color w:val="000000"/>
                      <w:kern w:val="0"/>
                      <w:sz w:val="18"/>
                      <w:szCs w:val="18"/>
                      <w:highlight w:val="none"/>
                      <w:u w:val="none"/>
                      <w:lang w:val="en-US" w:eastAsia="zh-CN" w:bidi="ar"/>
                    </w:rPr>
                    <w:t>~</w:t>
                  </w:r>
                  <w:r>
                    <w:rPr>
                      <w:rFonts w:hint="default" w:ascii="Times New Roman" w:hAnsi="Times New Roman" w:eastAsia="宋体" w:cs="Times New Roman"/>
                      <w:i w:val="0"/>
                      <w:iCs w:val="0"/>
                      <w:color w:val="000000"/>
                      <w:kern w:val="0"/>
                      <w:sz w:val="18"/>
                      <w:szCs w:val="18"/>
                      <w:highlight w:val="none"/>
                      <w:u w:val="none"/>
                      <w:lang w:val="en-US" w:eastAsia="zh-CN" w:bidi="ar"/>
                    </w:rPr>
                    <w:t>0</w:t>
                  </w:r>
                </w:p>
              </w:tc>
              <w:tc>
                <w:tcPr>
                  <w:tcW w:w="255" w:type="pct"/>
                  <w:vMerge w:val="restart"/>
                  <w:tcBorders>
                    <w:left w:val="single" w:color="auto" w:sz="4" w:space="0"/>
                    <w:right w:val="single" w:color="auto" w:sz="4" w:space="0"/>
                  </w:tcBorders>
                  <w:vAlign w:val="center"/>
                </w:tcPr>
                <w:p w14:paraId="29ACEF61">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64" w:lineRule="auto"/>
                    <w:ind w:left="0" w:right="0"/>
                    <w:jc w:val="center"/>
                    <w:textAlignment w:val="auto"/>
                    <w:rPr>
                      <w:rFonts w:hint="default"/>
                      <w:bCs/>
                      <w:kern w:val="0"/>
                      <w:sz w:val="18"/>
                      <w:szCs w:val="18"/>
                      <w:highlight w:val="none"/>
                    </w:rPr>
                  </w:pPr>
                  <w:r>
                    <w:rPr>
                      <w:rFonts w:hint="default"/>
                      <w:bCs/>
                      <w:kern w:val="0"/>
                      <w:sz w:val="18"/>
                      <w:szCs w:val="18"/>
                      <w:highlight w:val="none"/>
                    </w:rPr>
                    <w:t>8760</w:t>
                  </w:r>
                </w:p>
              </w:tc>
            </w:tr>
            <w:tr w14:paraId="120E9D4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189" w:hRule="atLeast"/>
                <w:jc w:val="center"/>
              </w:trPr>
              <w:tc>
                <w:tcPr>
                  <w:tcW w:w="271" w:type="pct"/>
                  <w:vMerge w:val="continue"/>
                  <w:tcBorders>
                    <w:left w:val="single" w:color="auto" w:sz="4" w:space="0"/>
                    <w:right w:val="single" w:color="auto" w:sz="4" w:space="0"/>
                  </w:tcBorders>
                  <w:vAlign w:val="center"/>
                </w:tcPr>
                <w:p w14:paraId="3D3E2B1F">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64" w:lineRule="auto"/>
                    <w:ind w:left="0" w:right="0"/>
                    <w:jc w:val="center"/>
                    <w:textAlignment w:val="auto"/>
                    <w:rPr>
                      <w:rFonts w:hint="default"/>
                      <w:bCs/>
                      <w:kern w:val="0"/>
                      <w:sz w:val="18"/>
                      <w:szCs w:val="18"/>
                      <w:highlight w:val="none"/>
                    </w:rPr>
                  </w:pPr>
                </w:p>
              </w:tc>
              <w:tc>
                <w:tcPr>
                  <w:tcW w:w="331" w:type="pct"/>
                  <w:vMerge w:val="continue"/>
                  <w:tcBorders>
                    <w:left w:val="single" w:color="auto" w:sz="4" w:space="0"/>
                    <w:right w:val="single" w:color="auto" w:sz="4" w:space="0"/>
                  </w:tcBorders>
                  <w:vAlign w:val="center"/>
                </w:tcPr>
                <w:p w14:paraId="72F55130">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64" w:lineRule="auto"/>
                    <w:ind w:left="0" w:right="0"/>
                    <w:jc w:val="center"/>
                    <w:textAlignment w:val="auto"/>
                    <w:rPr>
                      <w:rFonts w:hint="default"/>
                      <w:bCs/>
                      <w:kern w:val="0"/>
                      <w:sz w:val="18"/>
                      <w:szCs w:val="18"/>
                      <w:highlight w:val="none"/>
                    </w:rPr>
                  </w:pPr>
                </w:p>
              </w:tc>
              <w:tc>
                <w:tcPr>
                  <w:tcW w:w="404" w:type="pct"/>
                  <w:vMerge w:val="continue"/>
                  <w:tcBorders>
                    <w:left w:val="single" w:color="auto" w:sz="4" w:space="0"/>
                    <w:right w:val="single" w:color="auto" w:sz="4" w:space="0"/>
                  </w:tcBorders>
                  <w:vAlign w:val="center"/>
                </w:tcPr>
                <w:p w14:paraId="1ACEDBBE">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64" w:lineRule="auto"/>
                    <w:ind w:left="0" w:right="0"/>
                    <w:jc w:val="center"/>
                    <w:textAlignment w:val="auto"/>
                    <w:rPr>
                      <w:rFonts w:hint="default"/>
                      <w:bCs/>
                      <w:kern w:val="0"/>
                      <w:sz w:val="18"/>
                      <w:szCs w:val="18"/>
                      <w:highlight w:val="none"/>
                    </w:rPr>
                  </w:pPr>
                </w:p>
              </w:tc>
              <w:tc>
                <w:tcPr>
                  <w:tcW w:w="593" w:type="pct"/>
                  <w:tcBorders>
                    <w:left w:val="single" w:color="auto" w:sz="4" w:space="0"/>
                    <w:bottom w:val="single" w:color="auto" w:sz="4" w:space="0"/>
                    <w:right w:val="single" w:color="auto" w:sz="4" w:space="0"/>
                  </w:tcBorders>
                  <w:shd w:val="clear" w:color="auto" w:fill="auto"/>
                  <w:vAlign w:val="center"/>
                </w:tcPr>
                <w:p w14:paraId="0C2DD5A9">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64" w:lineRule="auto"/>
                    <w:ind w:left="0" w:right="0"/>
                    <w:jc w:val="center"/>
                    <w:textAlignment w:val="auto"/>
                    <w:rPr>
                      <w:rFonts w:hint="default" w:ascii="Times New Roman" w:hAnsi="Times New Roman" w:eastAsia="宋体" w:cs="Times New Roman"/>
                      <w:bCs/>
                      <w:kern w:val="0"/>
                      <w:sz w:val="18"/>
                      <w:szCs w:val="18"/>
                      <w:highlight w:val="none"/>
                      <w:lang w:val="en-US" w:eastAsia="zh-CN" w:bidi="ar-SA"/>
                    </w:rPr>
                  </w:pPr>
                  <w:r>
                    <w:rPr>
                      <w:rFonts w:hint="default"/>
                      <w:bCs/>
                      <w:kern w:val="0"/>
                      <w:sz w:val="18"/>
                      <w:szCs w:val="18"/>
                      <w:highlight w:val="none"/>
                    </w:rPr>
                    <w:t>硫化氢</w:t>
                  </w:r>
                </w:p>
              </w:tc>
              <w:tc>
                <w:tcPr>
                  <w:tcW w:w="357" w:type="pct"/>
                  <w:tcBorders>
                    <w:top w:val="single" w:color="auto" w:sz="4" w:space="0"/>
                    <w:left w:val="single" w:color="auto" w:sz="4" w:space="0"/>
                    <w:bottom w:val="single" w:color="auto" w:sz="4" w:space="0"/>
                    <w:right w:val="single" w:color="auto" w:sz="4" w:space="0"/>
                  </w:tcBorders>
                  <w:shd w:val="clear" w:color="auto" w:fill="auto"/>
                  <w:vAlign w:val="center"/>
                </w:tcPr>
                <w:p w14:paraId="7C3F49D5">
                  <w:pPr>
                    <w:keepNext w:val="0"/>
                    <w:keepLines w:val="0"/>
                    <w:widowControl/>
                    <w:suppressLineNumbers w:val="0"/>
                    <w:spacing w:before="0" w:beforeAutospacing="0" w:after="0" w:afterAutospacing="0"/>
                    <w:ind w:left="0" w:right="0"/>
                    <w:jc w:val="center"/>
                    <w:textAlignment w:val="center"/>
                    <w:rPr>
                      <w:rFonts w:hint="default"/>
                      <w:bCs/>
                      <w:kern w:val="0"/>
                      <w:sz w:val="18"/>
                      <w:szCs w:val="18"/>
                      <w:highlight w:val="none"/>
                      <w:lang w:val="en-US" w:eastAsia="zh-CN"/>
                    </w:rPr>
                  </w:pPr>
                  <w:r>
                    <w:rPr>
                      <w:rFonts w:hint="default" w:ascii="Times New Roman" w:hAnsi="Times New Roman" w:eastAsia="宋体" w:cs="Times New Roman"/>
                      <w:i w:val="0"/>
                      <w:iCs w:val="0"/>
                      <w:color w:val="000000"/>
                      <w:kern w:val="0"/>
                      <w:sz w:val="18"/>
                      <w:szCs w:val="18"/>
                      <w:highlight w:val="none"/>
                      <w:u w:val="none"/>
                      <w:lang w:val="en-US" w:eastAsia="zh-CN" w:bidi="ar"/>
                    </w:rPr>
                    <w:t>0.00</w:t>
                  </w:r>
                  <w:r>
                    <w:rPr>
                      <w:rFonts w:hint="eastAsia" w:cs="Times New Roman"/>
                      <w:i w:val="0"/>
                      <w:iCs w:val="0"/>
                      <w:color w:val="000000"/>
                      <w:kern w:val="0"/>
                      <w:sz w:val="18"/>
                      <w:szCs w:val="18"/>
                      <w:highlight w:val="none"/>
                      <w:u w:val="none"/>
                      <w:lang w:val="en-US" w:eastAsia="zh-CN" w:bidi="ar"/>
                    </w:rPr>
                    <w:t>2</w:t>
                  </w:r>
                </w:p>
              </w:tc>
              <w:tc>
                <w:tcPr>
                  <w:tcW w:w="357" w:type="pct"/>
                  <w:tcBorders>
                    <w:top w:val="single" w:color="auto" w:sz="4" w:space="0"/>
                    <w:left w:val="single" w:color="auto" w:sz="4" w:space="0"/>
                    <w:bottom w:val="single" w:color="auto" w:sz="4" w:space="0"/>
                    <w:right w:val="single" w:color="auto" w:sz="4" w:space="0"/>
                  </w:tcBorders>
                  <w:shd w:val="clear" w:color="auto" w:fill="auto"/>
                  <w:vAlign w:val="center"/>
                </w:tcPr>
                <w:p w14:paraId="680EEFED">
                  <w:pPr>
                    <w:keepNext w:val="0"/>
                    <w:keepLines w:val="0"/>
                    <w:widowControl/>
                    <w:suppressLineNumbers w:val="0"/>
                    <w:spacing w:before="0" w:beforeAutospacing="0" w:after="0" w:afterAutospacing="0"/>
                    <w:ind w:left="0" w:right="0"/>
                    <w:jc w:val="center"/>
                    <w:textAlignment w:val="center"/>
                    <w:rPr>
                      <w:rFonts w:hint="eastAsia"/>
                      <w:bCs/>
                      <w:kern w:val="0"/>
                      <w:sz w:val="18"/>
                      <w:szCs w:val="18"/>
                      <w:highlight w:val="none"/>
                      <w:lang w:val="en-US" w:eastAsia="zh-CN"/>
                    </w:rPr>
                  </w:pPr>
                  <w:r>
                    <w:rPr>
                      <w:rFonts w:hint="eastAsia" w:ascii="Times New Roman" w:hAnsi="Times New Roman" w:eastAsia="宋体" w:cs="Times New Roman"/>
                      <w:i w:val="0"/>
                      <w:iCs w:val="0"/>
                      <w:color w:val="000000"/>
                      <w:kern w:val="0"/>
                      <w:sz w:val="18"/>
                      <w:szCs w:val="18"/>
                      <w:highlight w:val="none"/>
                      <w:u w:val="none"/>
                      <w:lang w:val="en-US" w:eastAsia="zh-CN" w:bidi="ar"/>
                    </w:rPr>
                    <w:t>~</w:t>
                  </w:r>
                  <w:r>
                    <w:rPr>
                      <w:rFonts w:hint="default" w:ascii="Times New Roman" w:hAnsi="Times New Roman" w:eastAsia="宋体" w:cs="Times New Roman"/>
                      <w:i w:val="0"/>
                      <w:iCs w:val="0"/>
                      <w:color w:val="000000"/>
                      <w:kern w:val="0"/>
                      <w:sz w:val="18"/>
                      <w:szCs w:val="18"/>
                      <w:highlight w:val="none"/>
                      <w:u w:val="none"/>
                      <w:lang w:val="en-US" w:eastAsia="zh-CN" w:bidi="ar"/>
                    </w:rPr>
                    <w:t>0</w:t>
                  </w:r>
                </w:p>
              </w:tc>
              <w:tc>
                <w:tcPr>
                  <w:tcW w:w="404" w:type="pct"/>
                  <w:tcBorders>
                    <w:top w:val="single" w:color="auto" w:sz="4" w:space="0"/>
                    <w:left w:val="single" w:color="auto" w:sz="4" w:space="0"/>
                    <w:right w:val="single" w:color="auto" w:sz="4" w:space="0"/>
                  </w:tcBorders>
                  <w:shd w:val="clear" w:color="auto" w:fill="auto"/>
                  <w:vAlign w:val="center"/>
                </w:tcPr>
                <w:p w14:paraId="769317CB">
                  <w:pPr>
                    <w:keepNext w:val="0"/>
                    <w:keepLines w:val="0"/>
                    <w:suppressLineNumbers w:val="0"/>
                    <w:spacing w:before="0" w:beforeAutospacing="0" w:after="0" w:afterAutospacing="0"/>
                    <w:ind w:left="0" w:right="0"/>
                    <w:jc w:val="center"/>
                    <w:rPr>
                      <w:rFonts w:hint="default" w:ascii="Times New Roman" w:hAnsi="Times New Roman" w:eastAsia="宋体" w:cs="Times New Roman"/>
                      <w:color w:val="auto"/>
                      <w:kern w:val="2"/>
                      <w:sz w:val="18"/>
                      <w:szCs w:val="18"/>
                      <w:highlight w:val="none"/>
                      <w:lang w:val="en-US" w:eastAsia="zh-CN" w:bidi="ar-SA"/>
                    </w:rPr>
                  </w:pPr>
                  <w:r>
                    <w:rPr>
                      <w:rFonts w:hint="eastAsia" w:ascii="Times New Roman" w:hAnsi="Times New Roman" w:eastAsia="宋体" w:cs="Times New Roman"/>
                      <w:i w:val="0"/>
                      <w:iCs w:val="0"/>
                      <w:color w:val="000000"/>
                      <w:kern w:val="0"/>
                      <w:sz w:val="18"/>
                      <w:szCs w:val="18"/>
                      <w:highlight w:val="none"/>
                      <w:u w:val="none"/>
                      <w:lang w:val="en-US" w:eastAsia="zh-CN" w:bidi="ar"/>
                    </w:rPr>
                    <w:t>~</w:t>
                  </w:r>
                  <w:r>
                    <w:rPr>
                      <w:rFonts w:hint="default" w:ascii="Times New Roman" w:hAnsi="Times New Roman" w:eastAsia="宋体" w:cs="Times New Roman"/>
                      <w:i w:val="0"/>
                      <w:iCs w:val="0"/>
                      <w:color w:val="000000"/>
                      <w:kern w:val="0"/>
                      <w:sz w:val="18"/>
                      <w:szCs w:val="18"/>
                      <w:highlight w:val="none"/>
                      <w:u w:val="none"/>
                      <w:lang w:val="en-US" w:eastAsia="zh-CN" w:bidi="ar"/>
                    </w:rPr>
                    <w:t>0</w:t>
                  </w:r>
                </w:p>
              </w:tc>
              <w:tc>
                <w:tcPr>
                  <w:tcW w:w="383" w:type="pct"/>
                  <w:vMerge w:val="continue"/>
                  <w:tcBorders>
                    <w:left w:val="single" w:color="auto" w:sz="4" w:space="0"/>
                    <w:right w:val="single" w:color="auto" w:sz="4" w:space="0"/>
                  </w:tcBorders>
                  <w:vAlign w:val="center"/>
                </w:tcPr>
                <w:p w14:paraId="0A7CCBA9">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64" w:lineRule="auto"/>
                    <w:ind w:left="0" w:right="0"/>
                    <w:jc w:val="center"/>
                    <w:textAlignment w:val="auto"/>
                    <w:rPr>
                      <w:rFonts w:hint="default"/>
                      <w:snapToGrid w:val="0"/>
                      <w:sz w:val="18"/>
                      <w:szCs w:val="18"/>
                      <w:highlight w:val="none"/>
                    </w:rPr>
                  </w:pPr>
                </w:p>
              </w:tc>
              <w:tc>
                <w:tcPr>
                  <w:tcW w:w="240" w:type="pct"/>
                  <w:tcBorders>
                    <w:left w:val="single" w:color="auto" w:sz="4" w:space="0"/>
                    <w:right w:val="single" w:color="auto" w:sz="4" w:space="0"/>
                  </w:tcBorders>
                  <w:shd w:val="clear" w:color="auto" w:fill="auto"/>
                  <w:vAlign w:val="center"/>
                </w:tcPr>
                <w:p w14:paraId="31A4DF9E">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64" w:lineRule="auto"/>
                    <w:ind w:left="0" w:right="0"/>
                    <w:jc w:val="center"/>
                    <w:textAlignment w:val="auto"/>
                    <w:rPr>
                      <w:rFonts w:hint="default" w:ascii="Times New Roman" w:hAnsi="Times New Roman" w:eastAsia="宋体" w:cs="Times New Roman"/>
                      <w:bCs/>
                      <w:kern w:val="0"/>
                      <w:sz w:val="18"/>
                      <w:szCs w:val="18"/>
                      <w:highlight w:val="none"/>
                      <w:lang w:val="en-US" w:eastAsia="zh-CN" w:bidi="ar-SA"/>
                    </w:rPr>
                  </w:pPr>
                  <w:r>
                    <w:rPr>
                      <w:rFonts w:hint="eastAsia"/>
                      <w:bCs/>
                      <w:kern w:val="0"/>
                      <w:sz w:val="18"/>
                      <w:szCs w:val="18"/>
                      <w:highlight w:val="none"/>
                      <w:lang w:val="en-US" w:eastAsia="zh-CN"/>
                    </w:rPr>
                    <w:t>50</w:t>
                  </w:r>
                </w:p>
              </w:tc>
              <w:tc>
                <w:tcPr>
                  <w:tcW w:w="317" w:type="pct"/>
                  <w:vMerge w:val="continue"/>
                  <w:tcBorders>
                    <w:left w:val="single" w:color="auto" w:sz="4" w:space="0"/>
                    <w:right w:val="single" w:color="auto" w:sz="4" w:space="0"/>
                  </w:tcBorders>
                  <w:shd w:val="clear" w:color="auto" w:fill="auto"/>
                  <w:vAlign w:val="center"/>
                </w:tcPr>
                <w:p w14:paraId="66BEC31A">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64" w:lineRule="auto"/>
                    <w:ind w:left="0" w:right="0"/>
                    <w:jc w:val="center"/>
                    <w:textAlignment w:val="auto"/>
                    <w:rPr>
                      <w:rFonts w:hint="eastAsia"/>
                      <w:bCs/>
                      <w:kern w:val="0"/>
                      <w:sz w:val="18"/>
                      <w:szCs w:val="18"/>
                      <w:highlight w:val="none"/>
                      <w:lang w:val="en-US" w:eastAsia="zh-CN"/>
                    </w:rPr>
                  </w:pPr>
                </w:p>
              </w:tc>
              <w:tc>
                <w:tcPr>
                  <w:tcW w:w="380" w:type="pct"/>
                  <w:tcBorders>
                    <w:top w:val="single" w:color="auto" w:sz="4" w:space="0"/>
                    <w:left w:val="single" w:color="auto" w:sz="4" w:space="0"/>
                    <w:right w:val="single" w:color="auto" w:sz="4" w:space="0"/>
                  </w:tcBorders>
                  <w:shd w:val="clear" w:color="auto" w:fill="auto"/>
                  <w:vAlign w:val="center"/>
                </w:tcPr>
                <w:p w14:paraId="6982F831">
                  <w:pPr>
                    <w:keepNext w:val="0"/>
                    <w:keepLines w:val="0"/>
                    <w:widowControl/>
                    <w:suppressLineNumbers w:val="0"/>
                    <w:spacing w:before="0" w:beforeAutospacing="0" w:after="0" w:afterAutospacing="0"/>
                    <w:ind w:left="0" w:right="0"/>
                    <w:jc w:val="center"/>
                    <w:textAlignment w:val="center"/>
                    <w:rPr>
                      <w:rFonts w:hint="default"/>
                      <w:bCs/>
                      <w:kern w:val="0"/>
                      <w:sz w:val="18"/>
                      <w:szCs w:val="18"/>
                      <w:highlight w:val="none"/>
                      <w:lang w:val="en-US" w:eastAsia="zh-CN"/>
                    </w:rPr>
                  </w:pPr>
                  <w:r>
                    <w:rPr>
                      <w:rFonts w:hint="default" w:ascii="Times New Roman" w:hAnsi="Times New Roman" w:eastAsia="宋体" w:cs="Times New Roman"/>
                      <w:i w:val="0"/>
                      <w:iCs w:val="0"/>
                      <w:color w:val="000000"/>
                      <w:kern w:val="0"/>
                      <w:sz w:val="18"/>
                      <w:szCs w:val="18"/>
                      <w:highlight w:val="none"/>
                      <w:u w:val="none"/>
                      <w:lang w:val="en-US" w:eastAsia="zh-CN" w:bidi="ar"/>
                    </w:rPr>
                    <w:t>0.00</w:t>
                  </w:r>
                  <w:r>
                    <w:rPr>
                      <w:rFonts w:hint="eastAsia" w:cs="Times New Roman"/>
                      <w:i w:val="0"/>
                      <w:iCs w:val="0"/>
                      <w:color w:val="000000"/>
                      <w:kern w:val="0"/>
                      <w:sz w:val="18"/>
                      <w:szCs w:val="18"/>
                      <w:highlight w:val="none"/>
                      <w:u w:val="none"/>
                      <w:lang w:val="en-US" w:eastAsia="zh-CN" w:bidi="ar"/>
                    </w:rPr>
                    <w:t>1</w:t>
                  </w:r>
                </w:p>
              </w:tc>
              <w:tc>
                <w:tcPr>
                  <w:tcW w:w="362" w:type="pct"/>
                  <w:tcBorders>
                    <w:top w:val="single" w:color="auto" w:sz="4" w:space="0"/>
                    <w:left w:val="single" w:color="auto" w:sz="4" w:space="0"/>
                    <w:right w:val="single" w:color="auto" w:sz="4" w:space="0"/>
                  </w:tcBorders>
                  <w:vAlign w:val="center"/>
                </w:tcPr>
                <w:p w14:paraId="6DEEC365">
                  <w:pPr>
                    <w:keepNext w:val="0"/>
                    <w:keepLines w:val="0"/>
                    <w:widowControl/>
                    <w:suppressLineNumbers w:val="0"/>
                    <w:spacing w:before="0" w:beforeAutospacing="0" w:after="0" w:afterAutospacing="0"/>
                    <w:ind w:left="0" w:right="0"/>
                    <w:jc w:val="center"/>
                    <w:textAlignment w:val="center"/>
                    <w:rPr>
                      <w:rFonts w:hint="eastAsia"/>
                      <w:bCs/>
                      <w:kern w:val="0"/>
                      <w:sz w:val="18"/>
                      <w:szCs w:val="18"/>
                      <w:highlight w:val="none"/>
                      <w:lang w:val="en-US" w:eastAsia="zh-CN"/>
                    </w:rPr>
                  </w:pPr>
                  <w:r>
                    <w:rPr>
                      <w:rFonts w:hint="eastAsia" w:ascii="Times New Roman" w:hAnsi="Times New Roman" w:eastAsia="宋体" w:cs="Times New Roman"/>
                      <w:i w:val="0"/>
                      <w:iCs w:val="0"/>
                      <w:color w:val="000000"/>
                      <w:kern w:val="0"/>
                      <w:sz w:val="18"/>
                      <w:szCs w:val="18"/>
                      <w:highlight w:val="none"/>
                      <w:u w:val="none"/>
                      <w:lang w:val="en-US" w:eastAsia="zh-CN" w:bidi="ar"/>
                    </w:rPr>
                    <w:t>~</w:t>
                  </w:r>
                  <w:r>
                    <w:rPr>
                      <w:rFonts w:hint="default" w:ascii="Times New Roman" w:hAnsi="Times New Roman" w:eastAsia="宋体" w:cs="Times New Roman"/>
                      <w:i w:val="0"/>
                      <w:iCs w:val="0"/>
                      <w:color w:val="000000"/>
                      <w:kern w:val="0"/>
                      <w:sz w:val="18"/>
                      <w:szCs w:val="18"/>
                      <w:highlight w:val="none"/>
                      <w:u w:val="none"/>
                      <w:lang w:val="en-US" w:eastAsia="zh-CN" w:bidi="ar"/>
                    </w:rPr>
                    <w:t>0</w:t>
                  </w:r>
                </w:p>
              </w:tc>
              <w:tc>
                <w:tcPr>
                  <w:tcW w:w="340" w:type="pct"/>
                  <w:tcBorders>
                    <w:top w:val="single" w:color="auto" w:sz="4" w:space="0"/>
                    <w:left w:val="single" w:color="auto" w:sz="4" w:space="0"/>
                    <w:right w:val="single" w:color="auto" w:sz="4" w:space="0"/>
                  </w:tcBorders>
                  <w:vAlign w:val="center"/>
                </w:tcPr>
                <w:p w14:paraId="1791F536">
                  <w:pPr>
                    <w:keepNext w:val="0"/>
                    <w:keepLines w:val="0"/>
                    <w:widowControl/>
                    <w:suppressLineNumbers w:val="0"/>
                    <w:spacing w:before="0" w:beforeAutospacing="0" w:after="0" w:afterAutospacing="0"/>
                    <w:ind w:left="0" w:right="0"/>
                    <w:jc w:val="center"/>
                    <w:textAlignment w:val="center"/>
                    <w:rPr>
                      <w:rFonts w:hint="default" w:eastAsia="宋体"/>
                      <w:bCs/>
                      <w:kern w:val="0"/>
                      <w:sz w:val="18"/>
                      <w:szCs w:val="18"/>
                      <w:highlight w:val="none"/>
                      <w:lang w:val="en-US" w:eastAsia="zh-CN"/>
                    </w:rPr>
                  </w:pPr>
                  <w:r>
                    <w:rPr>
                      <w:rFonts w:hint="eastAsia" w:ascii="Times New Roman" w:hAnsi="Times New Roman" w:eastAsia="宋体" w:cs="Times New Roman"/>
                      <w:i w:val="0"/>
                      <w:iCs w:val="0"/>
                      <w:color w:val="000000"/>
                      <w:kern w:val="0"/>
                      <w:sz w:val="18"/>
                      <w:szCs w:val="18"/>
                      <w:highlight w:val="none"/>
                      <w:u w:val="none"/>
                      <w:lang w:val="en-US" w:eastAsia="zh-CN" w:bidi="ar"/>
                    </w:rPr>
                    <w:t>~</w:t>
                  </w:r>
                  <w:r>
                    <w:rPr>
                      <w:rFonts w:hint="default" w:ascii="Times New Roman" w:hAnsi="Times New Roman" w:eastAsia="宋体" w:cs="Times New Roman"/>
                      <w:i w:val="0"/>
                      <w:iCs w:val="0"/>
                      <w:color w:val="000000"/>
                      <w:kern w:val="0"/>
                      <w:sz w:val="18"/>
                      <w:szCs w:val="18"/>
                      <w:highlight w:val="none"/>
                      <w:u w:val="none"/>
                      <w:lang w:val="en-US" w:eastAsia="zh-CN" w:bidi="ar"/>
                    </w:rPr>
                    <w:t>0</w:t>
                  </w:r>
                </w:p>
              </w:tc>
              <w:tc>
                <w:tcPr>
                  <w:tcW w:w="255" w:type="pct"/>
                  <w:vMerge w:val="continue"/>
                  <w:tcBorders>
                    <w:left w:val="single" w:color="auto" w:sz="4" w:space="0"/>
                    <w:right w:val="single" w:color="auto" w:sz="4" w:space="0"/>
                  </w:tcBorders>
                  <w:vAlign w:val="center"/>
                </w:tcPr>
                <w:p w14:paraId="7D16F154">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64" w:lineRule="auto"/>
                    <w:ind w:left="0" w:right="0"/>
                    <w:jc w:val="center"/>
                    <w:textAlignment w:val="auto"/>
                    <w:rPr>
                      <w:rFonts w:hint="default"/>
                      <w:bCs/>
                      <w:kern w:val="0"/>
                      <w:sz w:val="18"/>
                      <w:szCs w:val="18"/>
                      <w:highlight w:val="none"/>
                    </w:rPr>
                  </w:pPr>
                </w:p>
              </w:tc>
            </w:tr>
            <w:tr w14:paraId="282F243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189" w:hRule="atLeast"/>
                <w:jc w:val="center"/>
              </w:trPr>
              <w:tc>
                <w:tcPr>
                  <w:tcW w:w="271" w:type="pct"/>
                  <w:vMerge w:val="continue"/>
                  <w:tcBorders>
                    <w:left w:val="single" w:color="auto" w:sz="4" w:space="0"/>
                    <w:right w:val="single" w:color="auto" w:sz="4" w:space="0"/>
                  </w:tcBorders>
                  <w:vAlign w:val="center"/>
                </w:tcPr>
                <w:p w14:paraId="43024D2F">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64" w:lineRule="auto"/>
                    <w:ind w:left="0" w:right="0"/>
                    <w:jc w:val="center"/>
                    <w:textAlignment w:val="auto"/>
                    <w:rPr>
                      <w:rFonts w:hint="default"/>
                      <w:bCs/>
                      <w:kern w:val="0"/>
                      <w:sz w:val="18"/>
                      <w:szCs w:val="18"/>
                      <w:highlight w:val="none"/>
                    </w:rPr>
                  </w:pPr>
                </w:p>
              </w:tc>
              <w:tc>
                <w:tcPr>
                  <w:tcW w:w="331" w:type="pct"/>
                  <w:vMerge w:val="continue"/>
                  <w:tcBorders>
                    <w:left w:val="single" w:color="auto" w:sz="4" w:space="0"/>
                    <w:right w:val="single" w:color="auto" w:sz="4" w:space="0"/>
                  </w:tcBorders>
                  <w:vAlign w:val="center"/>
                </w:tcPr>
                <w:p w14:paraId="0C9A7B7A">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64" w:lineRule="auto"/>
                    <w:ind w:left="0" w:right="0"/>
                    <w:jc w:val="center"/>
                    <w:textAlignment w:val="auto"/>
                    <w:rPr>
                      <w:rFonts w:hint="default"/>
                      <w:bCs/>
                      <w:kern w:val="0"/>
                      <w:sz w:val="18"/>
                      <w:szCs w:val="18"/>
                      <w:highlight w:val="none"/>
                    </w:rPr>
                  </w:pPr>
                </w:p>
              </w:tc>
              <w:tc>
                <w:tcPr>
                  <w:tcW w:w="404" w:type="pct"/>
                  <w:vMerge w:val="continue"/>
                  <w:tcBorders>
                    <w:left w:val="single" w:color="auto" w:sz="4" w:space="0"/>
                    <w:right w:val="single" w:color="auto" w:sz="4" w:space="0"/>
                  </w:tcBorders>
                  <w:vAlign w:val="center"/>
                </w:tcPr>
                <w:p w14:paraId="201E61A6">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64" w:lineRule="auto"/>
                    <w:ind w:left="0" w:right="0"/>
                    <w:jc w:val="center"/>
                    <w:textAlignment w:val="auto"/>
                    <w:rPr>
                      <w:rFonts w:hint="default"/>
                      <w:bCs/>
                      <w:kern w:val="0"/>
                      <w:sz w:val="18"/>
                      <w:szCs w:val="18"/>
                      <w:highlight w:val="none"/>
                    </w:rPr>
                  </w:pPr>
                </w:p>
              </w:tc>
              <w:tc>
                <w:tcPr>
                  <w:tcW w:w="593" w:type="pct"/>
                  <w:tcBorders>
                    <w:left w:val="single" w:color="auto" w:sz="4" w:space="0"/>
                    <w:bottom w:val="single" w:color="auto" w:sz="4" w:space="0"/>
                    <w:right w:val="single" w:color="auto" w:sz="4" w:space="0"/>
                  </w:tcBorders>
                  <w:shd w:val="clear" w:color="auto" w:fill="auto"/>
                  <w:vAlign w:val="center"/>
                </w:tcPr>
                <w:p w14:paraId="23744650">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64" w:lineRule="auto"/>
                    <w:ind w:left="0" w:right="0"/>
                    <w:jc w:val="center"/>
                    <w:textAlignment w:val="auto"/>
                    <w:rPr>
                      <w:rFonts w:hint="default" w:ascii="Times New Roman" w:hAnsi="Times New Roman" w:eastAsia="宋体" w:cs="Times New Roman"/>
                      <w:bCs/>
                      <w:kern w:val="0"/>
                      <w:sz w:val="18"/>
                      <w:szCs w:val="18"/>
                      <w:highlight w:val="none"/>
                      <w:lang w:val="en-US" w:eastAsia="zh-CN" w:bidi="ar-SA"/>
                    </w:rPr>
                  </w:pPr>
                  <w:r>
                    <w:rPr>
                      <w:rFonts w:hint="default"/>
                      <w:bCs/>
                      <w:kern w:val="0"/>
                      <w:sz w:val="18"/>
                      <w:szCs w:val="18"/>
                      <w:highlight w:val="none"/>
                    </w:rPr>
                    <w:t>臭气浓度</w:t>
                  </w:r>
                </w:p>
              </w:tc>
              <w:tc>
                <w:tcPr>
                  <w:tcW w:w="1119" w:type="pct"/>
                  <w:gridSpan w:val="3"/>
                  <w:tcBorders>
                    <w:top w:val="single" w:color="auto" w:sz="4" w:space="0"/>
                    <w:left w:val="single" w:color="auto" w:sz="4" w:space="0"/>
                    <w:bottom w:val="single" w:color="auto" w:sz="4" w:space="0"/>
                    <w:right w:val="single" w:color="auto" w:sz="4" w:space="0"/>
                  </w:tcBorders>
                  <w:vAlign w:val="center"/>
                </w:tcPr>
                <w:p w14:paraId="08D19A1E">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64" w:lineRule="auto"/>
                    <w:ind w:left="0" w:right="0"/>
                    <w:jc w:val="center"/>
                    <w:textAlignment w:val="auto"/>
                    <w:rPr>
                      <w:rFonts w:hint="default"/>
                      <w:bCs/>
                      <w:kern w:val="0"/>
                      <w:sz w:val="18"/>
                      <w:szCs w:val="18"/>
                      <w:highlight w:val="none"/>
                      <w:lang w:val="en-US" w:eastAsia="zh-CN"/>
                    </w:rPr>
                  </w:pPr>
                  <w:r>
                    <w:rPr>
                      <w:rFonts w:hint="eastAsia"/>
                      <w:bCs/>
                      <w:color w:val="auto"/>
                      <w:kern w:val="0"/>
                      <w:sz w:val="18"/>
                      <w:szCs w:val="18"/>
                      <w:highlight w:val="none"/>
                      <w:lang w:val="en-US" w:eastAsia="zh-CN"/>
                    </w:rPr>
                    <w:t>1318</w:t>
                  </w:r>
                  <w:r>
                    <w:rPr>
                      <w:rFonts w:hint="eastAsia"/>
                      <w:bCs/>
                      <w:kern w:val="0"/>
                      <w:sz w:val="18"/>
                      <w:szCs w:val="18"/>
                      <w:highlight w:val="none"/>
                      <w:lang w:val="en-US" w:eastAsia="zh-CN"/>
                    </w:rPr>
                    <w:t>（无量纲）</w:t>
                  </w:r>
                </w:p>
              </w:tc>
              <w:tc>
                <w:tcPr>
                  <w:tcW w:w="383" w:type="pct"/>
                  <w:vMerge w:val="continue"/>
                  <w:tcBorders>
                    <w:left w:val="single" w:color="auto" w:sz="4" w:space="0"/>
                    <w:right w:val="single" w:color="auto" w:sz="4" w:space="0"/>
                  </w:tcBorders>
                  <w:vAlign w:val="center"/>
                </w:tcPr>
                <w:p w14:paraId="492AF4C0">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64" w:lineRule="auto"/>
                    <w:ind w:left="0" w:right="0"/>
                    <w:jc w:val="center"/>
                    <w:textAlignment w:val="auto"/>
                    <w:rPr>
                      <w:rFonts w:hint="default"/>
                      <w:snapToGrid w:val="0"/>
                      <w:sz w:val="18"/>
                      <w:szCs w:val="18"/>
                      <w:highlight w:val="none"/>
                    </w:rPr>
                  </w:pPr>
                </w:p>
              </w:tc>
              <w:tc>
                <w:tcPr>
                  <w:tcW w:w="240" w:type="pct"/>
                  <w:tcBorders>
                    <w:left w:val="single" w:color="auto" w:sz="4" w:space="0"/>
                    <w:right w:val="single" w:color="auto" w:sz="4" w:space="0"/>
                  </w:tcBorders>
                  <w:vAlign w:val="center"/>
                </w:tcPr>
                <w:p w14:paraId="18A390E9">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64" w:lineRule="auto"/>
                    <w:ind w:left="0" w:right="0"/>
                    <w:jc w:val="center"/>
                    <w:textAlignment w:val="auto"/>
                    <w:rPr>
                      <w:rFonts w:hint="default" w:eastAsia="宋体"/>
                      <w:bCs/>
                      <w:kern w:val="0"/>
                      <w:sz w:val="18"/>
                      <w:szCs w:val="18"/>
                      <w:highlight w:val="none"/>
                      <w:lang w:val="en-US" w:eastAsia="zh-CN"/>
                    </w:rPr>
                  </w:pPr>
                  <w:r>
                    <w:rPr>
                      <w:rFonts w:hint="eastAsia"/>
                      <w:bCs/>
                      <w:color w:val="auto"/>
                      <w:kern w:val="0"/>
                      <w:sz w:val="18"/>
                      <w:szCs w:val="18"/>
                      <w:highlight w:val="none"/>
                      <w:lang w:val="en-US" w:eastAsia="zh-CN"/>
                    </w:rPr>
                    <w:t>58.3</w:t>
                  </w:r>
                </w:p>
              </w:tc>
              <w:tc>
                <w:tcPr>
                  <w:tcW w:w="317" w:type="pct"/>
                  <w:vMerge w:val="continue"/>
                  <w:tcBorders>
                    <w:left w:val="single" w:color="auto" w:sz="4" w:space="0"/>
                    <w:right w:val="single" w:color="auto" w:sz="4" w:space="0"/>
                  </w:tcBorders>
                  <w:shd w:val="clear" w:color="auto" w:fill="auto"/>
                  <w:vAlign w:val="center"/>
                </w:tcPr>
                <w:p w14:paraId="467AD5C5">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64" w:lineRule="auto"/>
                    <w:ind w:left="0" w:right="0"/>
                    <w:jc w:val="center"/>
                    <w:textAlignment w:val="auto"/>
                    <w:rPr>
                      <w:rFonts w:hint="eastAsia"/>
                      <w:bCs/>
                      <w:kern w:val="0"/>
                      <w:sz w:val="18"/>
                      <w:szCs w:val="18"/>
                      <w:highlight w:val="none"/>
                      <w:lang w:val="en-US" w:eastAsia="zh-CN"/>
                    </w:rPr>
                  </w:pPr>
                </w:p>
              </w:tc>
              <w:tc>
                <w:tcPr>
                  <w:tcW w:w="1083" w:type="pct"/>
                  <w:gridSpan w:val="3"/>
                  <w:tcBorders>
                    <w:top w:val="single" w:color="auto" w:sz="4" w:space="0"/>
                    <w:left w:val="single" w:color="auto" w:sz="4" w:space="0"/>
                    <w:right w:val="single" w:color="auto" w:sz="4" w:space="0"/>
                  </w:tcBorders>
                  <w:shd w:val="clear" w:color="auto" w:fill="auto"/>
                  <w:vAlign w:val="center"/>
                </w:tcPr>
                <w:p w14:paraId="64263C70">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64" w:lineRule="auto"/>
                    <w:ind w:left="0" w:right="0"/>
                    <w:jc w:val="center"/>
                    <w:textAlignment w:val="auto"/>
                    <w:rPr>
                      <w:rFonts w:hint="default" w:eastAsia="宋体"/>
                      <w:bCs/>
                      <w:kern w:val="0"/>
                      <w:sz w:val="18"/>
                      <w:szCs w:val="18"/>
                      <w:highlight w:val="none"/>
                      <w:lang w:val="en-US" w:eastAsia="zh-CN"/>
                    </w:rPr>
                  </w:pPr>
                  <w:r>
                    <w:rPr>
                      <w:rFonts w:hint="eastAsia"/>
                      <w:bCs/>
                      <w:kern w:val="0"/>
                      <w:sz w:val="18"/>
                      <w:szCs w:val="18"/>
                      <w:highlight w:val="none"/>
                      <w:lang w:val="en-US" w:eastAsia="zh-CN"/>
                    </w:rPr>
                    <w:t>549（无量纲）</w:t>
                  </w:r>
                </w:p>
              </w:tc>
              <w:tc>
                <w:tcPr>
                  <w:tcW w:w="255" w:type="pct"/>
                  <w:vMerge w:val="continue"/>
                  <w:tcBorders>
                    <w:left w:val="single" w:color="auto" w:sz="4" w:space="0"/>
                    <w:right w:val="single" w:color="auto" w:sz="4" w:space="0"/>
                  </w:tcBorders>
                  <w:vAlign w:val="center"/>
                </w:tcPr>
                <w:p w14:paraId="4AD55612">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64" w:lineRule="auto"/>
                    <w:ind w:left="0" w:right="0"/>
                    <w:jc w:val="center"/>
                    <w:textAlignment w:val="auto"/>
                    <w:rPr>
                      <w:rFonts w:hint="default"/>
                      <w:bCs/>
                      <w:kern w:val="0"/>
                      <w:sz w:val="18"/>
                      <w:szCs w:val="18"/>
                      <w:highlight w:val="none"/>
                    </w:rPr>
                  </w:pPr>
                </w:p>
              </w:tc>
            </w:tr>
            <w:tr w14:paraId="0372CE0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189" w:hRule="atLeast"/>
                <w:jc w:val="center"/>
              </w:trPr>
              <w:tc>
                <w:tcPr>
                  <w:tcW w:w="271" w:type="pct"/>
                  <w:vMerge w:val="continue"/>
                  <w:tcBorders>
                    <w:left w:val="single" w:color="auto" w:sz="4" w:space="0"/>
                    <w:right w:val="single" w:color="auto" w:sz="4" w:space="0"/>
                  </w:tcBorders>
                  <w:vAlign w:val="center"/>
                </w:tcPr>
                <w:p w14:paraId="1124B18C">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64" w:lineRule="auto"/>
                    <w:ind w:left="0" w:right="0"/>
                    <w:jc w:val="center"/>
                    <w:textAlignment w:val="auto"/>
                    <w:rPr>
                      <w:rFonts w:hint="default"/>
                      <w:bCs/>
                      <w:kern w:val="0"/>
                      <w:sz w:val="18"/>
                      <w:szCs w:val="18"/>
                      <w:highlight w:val="none"/>
                    </w:rPr>
                  </w:pPr>
                </w:p>
              </w:tc>
              <w:tc>
                <w:tcPr>
                  <w:tcW w:w="331" w:type="pct"/>
                  <w:vMerge w:val="continue"/>
                  <w:tcBorders>
                    <w:left w:val="single" w:color="auto" w:sz="4" w:space="0"/>
                    <w:right w:val="single" w:color="auto" w:sz="4" w:space="0"/>
                  </w:tcBorders>
                  <w:vAlign w:val="center"/>
                </w:tcPr>
                <w:p w14:paraId="600A87FE">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64" w:lineRule="auto"/>
                    <w:ind w:left="0" w:right="0"/>
                    <w:jc w:val="center"/>
                    <w:textAlignment w:val="auto"/>
                    <w:rPr>
                      <w:rFonts w:hint="default"/>
                      <w:bCs/>
                      <w:kern w:val="0"/>
                      <w:sz w:val="18"/>
                      <w:szCs w:val="18"/>
                      <w:highlight w:val="none"/>
                    </w:rPr>
                  </w:pPr>
                </w:p>
              </w:tc>
              <w:tc>
                <w:tcPr>
                  <w:tcW w:w="404" w:type="pct"/>
                  <w:vMerge w:val="continue"/>
                  <w:tcBorders>
                    <w:left w:val="single" w:color="auto" w:sz="4" w:space="0"/>
                    <w:right w:val="single" w:color="auto" w:sz="4" w:space="0"/>
                  </w:tcBorders>
                  <w:vAlign w:val="center"/>
                </w:tcPr>
                <w:p w14:paraId="327D3D2C">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64" w:lineRule="auto"/>
                    <w:ind w:left="0" w:right="0"/>
                    <w:jc w:val="center"/>
                    <w:textAlignment w:val="auto"/>
                    <w:rPr>
                      <w:rFonts w:hint="default"/>
                      <w:bCs/>
                      <w:kern w:val="0"/>
                      <w:sz w:val="18"/>
                      <w:szCs w:val="18"/>
                      <w:highlight w:val="none"/>
                    </w:rPr>
                  </w:pPr>
                </w:p>
              </w:tc>
              <w:tc>
                <w:tcPr>
                  <w:tcW w:w="593" w:type="pct"/>
                  <w:tcBorders>
                    <w:left w:val="single" w:color="auto" w:sz="4" w:space="0"/>
                    <w:bottom w:val="single" w:color="auto" w:sz="4" w:space="0"/>
                    <w:right w:val="single" w:color="auto" w:sz="4" w:space="0"/>
                  </w:tcBorders>
                  <w:shd w:val="clear" w:color="auto" w:fill="auto"/>
                  <w:vAlign w:val="center"/>
                </w:tcPr>
                <w:p w14:paraId="66CFAE52">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64" w:lineRule="auto"/>
                    <w:ind w:left="0" w:leftChars="0" w:right="0" w:rightChars="0"/>
                    <w:jc w:val="center"/>
                    <w:textAlignment w:val="auto"/>
                    <w:rPr>
                      <w:rFonts w:hint="default" w:ascii="Times New Roman" w:hAnsi="Times New Roman" w:eastAsia="宋体" w:cs="Times New Roman"/>
                      <w:bCs/>
                      <w:kern w:val="0"/>
                      <w:sz w:val="18"/>
                      <w:szCs w:val="18"/>
                      <w:highlight w:val="none"/>
                      <w:lang w:val="en-US" w:eastAsia="zh-CN" w:bidi="ar-SA"/>
                    </w:rPr>
                  </w:pPr>
                  <w:r>
                    <w:rPr>
                      <w:rFonts w:hint="eastAsia"/>
                      <w:bCs/>
                      <w:kern w:val="0"/>
                      <w:sz w:val="18"/>
                      <w:szCs w:val="18"/>
                      <w:highlight w:val="none"/>
                      <w:lang w:val="en-US" w:eastAsia="zh-CN"/>
                    </w:rPr>
                    <w:t>颗粒物</w:t>
                  </w:r>
                </w:p>
              </w:tc>
              <w:tc>
                <w:tcPr>
                  <w:tcW w:w="1119" w:type="pct"/>
                  <w:gridSpan w:val="3"/>
                  <w:tcBorders>
                    <w:top w:val="single" w:color="auto" w:sz="4" w:space="0"/>
                    <w:left w:val="single" w:color="auto" w:sz="4" w:space="0"/>
                    <w:bottom w:val="single" w:color="auto" w:sz="4" w:space="0"/>
                    <w:right w:val="single" w:color="auto" w:sz="4" w:space="0"/>
                  </w:tcBorders>
                  <w:shd w:val="clear" w:color="auto" w:fill="auto"/>
                  <w:vAlign w:val="center"/>
                </w:tcPr>
                <w:p w14:paraId="284A826F">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64" w:lineRule="auto"/>
                    <w:ind w:left="0" w:leftChars="0" w:right="0" w:rightChars="0"/>
                    <w:jc w:val="center"/>
                    <w:textAlignment w:val="auto"/>
                    <w:rPr>
                      <w:rFonts w:hint="eastAsia" w:ascii="Times New Roman" w:hAnsi="Times New Roman" w:eastAsia="宋体" w:cs="Times New Roman"/>
                      <w:bCs/>
                      <w:color w:val="auto"/>
                      <w:kern w:val="0"/>
                      <w:sz w:val="18"/>
                      <w:szCs w:val="18"/>
                      <w:highlight w:val="none"/>
                      <w:lang w:val="en-US" w:eastAsia="zh-CN" w:bidi="ar-SA"/>
                    </w:rPr>
                  </w:pPr>
                  <w:r>
                    <w:rPr>
                      <w:rFonts w:hint="eastAsia"/>
                      <w:bCs/>
                      <w:color w:val="auto"/>
                      <w:kern w:val="0"/>
                      <w:sz w:val="18"/>
                      <w:szCs w:val="18"/>
                      <w:highlight w:val="none"/>
                      <w:lang w:val="en-US" w:eastAsia="zh-CN"/>
                    </w:rPr>
                    <w:t>少量</w:t>
                  </w:r>
                </w:p>
              </w:tc>
              <w:tc>
                <w:tcPr>
                  <w:tcW w:w="383" w:type="pct"/>
                  <w:vMerge w:val="continue"/>
                  <w:tcBorders>
                    <w:left w:val="single" w:color="auto" w:sz="4" w:space="0"/>
                    <w:right w:val="single" w:color="auto" w:sz="4" w:space="0"/>
                  </w:tcBorders>
                  <w:vAlign w:val="center"/>
                </w:tcPr>
                <w:p w14:paraId="6763A450">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64" w:lineRule="auto"/>
                    <w:ind w:left="0" w:right="0"/>
                    <w:jc w:val="center"/>
                    <w:textAlignment w:val="auto"/>
                    <w:rPr>
                      <w:rFonts w:hint="default"/>
                      <w:snapToGrid w:val="0"/>
                      <w:sz w:val="18"/>
                      <w:szCs w:val="18"/>
                      <w:highlight w:val="none"/>
                    </w:rPr>
                  </w:pPr>
                </w:p>
              </w:tc>
              <w:tc>
                <w:tcPr>
                  <w:tcW w:w="240" w:type="pct"/>
                  <w:tcBorders>
                    <w:left w:val="single" w:color="auto" w:sz="4" w:space="0"/>
                    <w:right w:val="single" w:color="auto" w:sz="4" w:space="0"/>
                  </w:tcBorders>
                  <w:vAlign w:val="center"/>
                </w:tcPr>
                <w:p w14:paraId="32AB519F">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64" w:lineRule="auto"/>
                    <w:ind w:left="0" w:right="0"/>
                    <w:jc w:val="center"/>
                    <w:textAlignment w:val="auto"/>
                    <w:rPr>
                      <w:rFonts w:hint="default"/>
                      <w:bCs/>
                      <w:color w:val="auto"/>
                      <w:kern w:val="0"/>
                      <w:sz w:val="18"/>
                      <w:szCs w:val="18"/>
                      <w:highlight w:val="none"/>
                      <w:lang w:val="en-US" w:eastAsia="zh-CN"/>
                    </w:rPr>
                  </w:pPr>
                  <w:r>
                    <w:rPr>
                      <w:rFonts w:hint="eastAsia"/>
                      <w:bCs/>
                      <w:color w:val="auto"/>
                      <w:kern w:val="0"/>
                      <w:sz w:val="18"/>
                      <w:szCs w:val="18"/>
                      <w:highlight w:val="none"/>
                      <w:lang w:val="en-US" w:eastAsia="zh-CN"/>
                    </w:rPr>
                    <w:t>/</w:t>
                  </w:r>
                </w:p>
              </w:tc>
              <w:tc>
                <w:tcPr>
                  <w:tcW w:w="317" w:type="pct"/>
                  <w:vMerge w:val="continue"/>
                  <w:tcBorders>
                    <w:left w:val="single" w:color="auto" w:sz="4" w:space="0"/>
                    <w:right w:val="single" w:color="auto" w:sz="4" w:space="0"/>
                  </w:tcBorders>
                  <w:shd w:val="clear" w:color="auto" w:fill="auto"/>
                  <w:vAlign w:val="center"/>
                </w:tcPr>
                <w:p w14:paraId="71C5BB22">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64" w:lineRule="auto"/>
                    <w:ind w:left="0" w:right="0"/>
                    <w:jc w:val="center"/>
                    <w:textAlignment w:val="auto"/>
                    <w:rPr>
                      <w:rFonts w:hint="eastAsia"/>
                      <w:bCs/>
                      <w:kern w:val="0"/>
                      <w:sz w:val="18"/>
                      <w:szCs w:val="18"/>
                      <w:highlight w:val="none"/>
                      <w:lang w:val="en-US" w:eastAsia="zh-CN"/>
                    </w:rPr>
                  </w:pPr>
                </w:p>
              </w:tc>
              <w:tc>
                <w:tcPr>
                  <w:tcW w:w="1083" w:type="pct"/>
                  <w:gridSpan w:val="3"/>
                  <w:tcBorders>
                    <w:top w:val="single" w:color="auto" w:sz="4" w:space="0"/>
                    <w:left w:val="single" w:color="auto" w:sz="4" w:space="0"/>
                    <w:right w:val="single" w:color="auto" w:sz="4" w:space="0"/>
                  </w:tcBorders>
                  <w:shd w:val="clear" w:color="auto" w:fill="auto"/>
                  <w:vAlign w:val="center"/>
                </w:tcPr>
                <w:p w14:paraId="6F6737EE">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64" w:lineRule="auto"/>
                    <w:ind w:left="0" w:right="0"/>
                    <w:jc w:val="center"/>
                    <w:textAlignment w:val="auto"/>
                    <w:rPr>
                      <w:rFonts w:hint="eastAsia"/>
                      <w:bCs/>
                      <w:kern w:val="0"/>
                      <w:sz w:val="18"/>
                      <w:szCs w:val="18"/>
                      <w:highlight w:val="none"/>
                      <w:lang w:val="en-US" w:eastAsia="zh-CN"/>
                    </w:rPr>
                  </w:pPr>
                  <w:r>
                    <w:rPr>
                      <w:rFonts w:hint="eastAsia"/>
                      <w:bCs/>
                      <w:color w:val="auto"/>
                      <w:kern w:val="0"/>
                      <w:sz w:val="18"/>
                      <w:szCs w:val="18"/>
                      <w:highlight w:val="none"/>
                      <w:lang w:val="en-US" w:eastAsia="zh-CN"/>
                    </w:rPr>
                    <w:t>少量</w:t>
                  </w:r>
                </w:p>
              </w:tc>
              <w:tc>
                <w:tcPr>
                  <w:tcW w:w="255" w:type="pct"/>
                  <w:vMerge w:val="continue"/>
                  <w:tcBorders>
                    <w:left w:val="single" w:color="auto" w:sz="4" w:space="0"/>
                    <w:right w:val="single" w:color="auto" w:sz="4" w:space="0"/>
                  </w:tcBorders>
                  <w:vAlign w:val="center"/>
                </w:tcPr>
                <w:p w14:paraId="323C98B7">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64" w:lineRule="auto"/>
                    <w:ind w:left="0" w:right="0"/>
                    <w:jc w:val="center"/>
                    <w:textAlignment w:val="auto"/>
                    <w:rPr>
                      <w:rFonts w:hint="default"/>
                      <w:bCs/>
                      <w:kern w:val="0"/>
                      <w:sz w:val="18"/>
                      <w:szCs w:val="18"/>
                      <w:highlight w:val="none"/>
                    </w:rPr>
                  </w:pPr>
                </w:p>
              </w:tc>
            </w:tr>
            <w:tr w14:paraId="26259FA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189" w:hRule="atLeast"/>
                <w:jc w:val="center"/>
              </w:trPr>
              <w:tc>
                <w:tcPr>
                  <w:tcW w:w="271" w:type="pct"/>
                  <w:vMerge w:val="restart"/>
                  <w:tcBorders>
                    <w:left w:val="single" w:color="auto" w:sz="4" w:space="0"/>
                    <w:right w:val="single" w:color="auto" w:sz="4" w:space="0"/>
                  </w:tcBorders>
                  <w:vAlign w:val="center"/>
                </w:tcPr>
                <w:p w14:paraId="4161BEFE">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64" w:lineRule="auto"/>
                    <w:ind w:left="0" w:right="0"/>
                    <w:jc w:val="center"/>
                    <w:textAlignment w:val="auto"/>
                    <w:rPr>
                      <w:rFonts w:hint="eastAsia" w:eastAsia="宋体"/>
                      <w:bCs/>
                      <w:kern w:val="0"/>
                      <w:sz w:val="18"/>
                      <w:szCs w:val="18"/>
                      <w:highlight w:val="none"/>
                      <w:lang w:val="en-US" w:eastAsia="zh-CN"/>
                    </w:rPr>
                  </w:pPr>
                  <w:r>
                    <w:rPr>
                      <w:rFonts w:hint="default"/>
                      <w:bCs/>
                      <w:kern w:val="0"/>
                      <w:sz w:val="18"/>
                      <w:szCs w:val="18"/>
                      <w:highlight w:val="none"/>
                    </w:rPr>
                    <w:t>DA00</w:t>
                  </w:r>
                  <w:r>
                    <w:rPr>
                      <w:rFonts w:hint="eastAsia"/>
                      <w:bCs/>
                      <w:kern w:val="0"/>
                      <w:sz w:val="18"/>
                      <w:szCs w:val="18"/>
                      <w:highlight w:val="none"/>
                      <w:lang w:val="en-US" w:eastAsia="zh-CN"/>
                    </w:rPr>
                    <w:t>4</w:t>
                  </w:r>
                </w:p>
              </w:tc>
              <w:tc>
                <w:tcPr>
                  <w:tcW w:w="331" w:type="pct"/>
                  <w:vMerge w:val="restart"/>
                  <w:tcBorders>
                    <w:left w:val="single" w:color="auto" w:sz="4" w:space="0"/>
                    <w:right w:val="single" w:color="auto" w:sz="4" w:space="0"/>
                  </w:tcBorders>
                  <w:vAlign w:val="center"/>
                </w:tcPr>
                <w:p w14:paraId="07942610">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64" w:lineRule="auto"/>
                    <w:ind w:left="0" w:right="0"/>
                    <w:jc w:val="center"/>
                    <w:textAlignment w:val="auto"/>
                    <w:rPr>
                      <w:rFonts w:hint="default"/>
                      <w:bCs/>
                      <w:kern w:val="0"/>
                      <w:sz w:val="18"/>
                      <w:szCs w:val="18"/>
                      <w:highlight w:val="none"/>
                    </w:rPr>
                  </w:pPr>
                  <w:r>
                    <w:rPr>
                      <w:rFonts w:hint="eastAsia"/>
                      <w:bCs/>
                      <w:kern w:val="0"/>
                      <w:sz w:val="18"/>
                      <w:szCs w:val="18"/>
                      <w:highlight w:val="none"/>
                      <w:lang w:val="en-US" w:eastAsia="zh-CN"/>
                    </w:rPr>
                    <w:t>4#排气筒</w:t>
                  </w:r>
                </w:p>
              </w:tc>
              <w:tc>
                <w:tcPr>
                  <w:tcW w:w="404" w:type="pct"/>
                  <w:vMerge w:val="restart"/>
                  <w:tcBorders>
                    <w:left w:val="single" w:color="auto" w:sz="4" w:space="0"/>
                    <w:right w:val="single" w:color="auto" w:sz="4" w:space="0"/>
                  </w:tcBorders>
                  <w:vAlign w:val="center"/>
                </w:tcPr>
                <w:p w14:paraId="0A033016">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64" w:lineRule="auto"/>
                    <w:ind w:left="0" w:right="0"/>
                    <w:jc w:val="center"/>
                    <w:textAlignment w:val="auto"/>
                    <w:rPr>
                      <w:rFonts w:hint="default"/>
                      <w:bCs/>
                      <w:kern w:val="0"/>
                      <w:sz w:val="18"/>
                      <w:szCs w:val="18"/>
                      <w:highlight w:val="none"/>
                    </w:rPr>
                  </w:pPr>
                  <w:r>
                    <w:rPr>
                      <w:rFonts w:hint="default"/>
                      <w:bCs/>
                      <w:kern w:val="0"/>
                      <w:sz w:val="18"/>
                      <w:szCs w:val="18"/>
                      <w:highlight w:val="none"/>
                    </w:rPr>
                    <w:t>饲养废气</w:t>
                  </w:r>
                </w:p>
              </w:tc>
              <w:tc>
                <w:tcPr>
                  <w:tcW w:w="593" w:type="pct"/>
                  <w:tcBorders>
                    <w:left w:val="single" w:color="auto" w:sz="4" w:space="0"/>
                    <w:bottom w:val="single" w:color="auto" w:sz="4" w:space="0"/>
                    <w:right w:val="single" w:color="auto" w:sz="4" w:space="0"/>
                  </w:tcBorders>
                  <w:shd w:val="clear" w:color="auto" w:fill="auto"/>
                  <w:vAlign w:val="center"/>
                </w:tcPr>
                <w:p w14:paraId="55689DC3">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64" w:lineRule="auto"/>
                    <w:ind w:left="0" w:right="0"/>
                    <w:jc w:val="center"/>
                    <w:textAlignment w:val="auto"/>
                    <w:rPr>
                      <w:rFonts w:hint="default" w:ascii="Times New Roman" w:hAnsi="Times New Roman" w:eastAsia="宋体" w:cs="Times New Roman"/>
                      <w:bCs/>
                      <w:kern w:val="0"/>
                      <w:sz w:val="18"/>
                      <w:szCs w:val="18"/>
                      <w:highlight w:val="none"/>
                      <w:lang w:val="en-US" w:eastAsia="zh-CN" w:bidi="ar-SA"/>
                    </w:rPr>
                  </w:pPr>
                  <w:r>
                    <w:rPr>
                      <w:rFonts w:hint="default"/>
                      <w:bCs/>
                      <w:kern w:val="0"/>
                      <w:sz w:val="18"/>
                      <w:szCs w:val="18"/>
                      <w:highlight w:val="none"/>
                    </w:rPr>
                    <w:t>氨</w:t>
                  </w:r>
                </w:p>
              </w:tc>
              <w:tc>
                <w:tcPr>
                  <w:tcW w:w="357" w:type="pct"/>
                  <w:tcBorders>
                    <w:top w:val="single" w:color="auto" w:sz="4" w:space="0"/>
                    <w:left w:val="single" w:color="auto" w:sz="4" w:space="0"/>
                    <w:bottom w:val="single" w:color="auto" w:sz="4" w:space="0"/>
                    <w:right w:val="single" w:color="auto" w:sz="4" w:space="0"/>
                  </w:tcBorders>
                  <w:shd w:val="clear" w:color="auto" w:fill="auto"/>
                  <w:vAlign w:val="center"/>
                </w:tcPr>
                <w:p w14:paraId="12BBC6D1">
                  <w:pPr>
                    <w:keepNext w:val="0"/>
                    <w:keepLines w:val="0"/>
                    <w:widowControl/>
                    <w:suppressLineNumbers w:val="0"/>
                    <w:spacing w:before="0" w:beforeAutospacing="0" w:after="0" w:afterAutospacing="0"/>
                    <w:ind w:left="0" w:right="0"/>
                    <w:jc w:val="center"/>
                    <w:textAlignment w:val="center"/>
                    <w:rPr>
                      <w:rFonts w:hint="default"/>
                      <w:bCs/>
                      <w:kern w:val="0"/>
                      <w:sz w:val="18"/>
                      <w:szCs w:val="18"/>
                      <w:highlight w:val="none"/>
                      <w:lang w:val="en-US" w:eastAsia="zh-CN"/>
                    </w:rPr>
                  </w:pPr>
                  <w:r>
                    <w:rPr>
                      <w:rFonts w:hint="default" w:ascii="Times New Roman" w:hAnsi="Times New Roman" w:eastAsia="宋体" w:cs="Times New Roman"/>
                      <w:i w:val="0"/>
                      <w:iCs w:val="0"/>
                      <w:color w:val="000000"/>
                      <w:kern w:val="0"/>
                      <w:sz w:val="18"/>
                      <w:szCs w:val="18"/>
                      <w:highlight w:val="none"/>
                      <w:u w:val="none"/>
                      <w:lang w:val="en-US" w:eastAsia="zh-CN" w:bidi="ar"/>
                    </w:rPr>
                    <w:t>0.00</w:t>
                  </w:r>
                  <w:r>
                    <w:rPr>
                      <w:rFonts w:hint="eastAsia" w:cs="Times New Roman"/>
                      <w:i w:val="0"/>
                      <w:iCs w:val="0"/>
                      <w:color w:val="000000"/>
                      <w:kern w:val="0"/>
                      <w:sz w:val="18"/>
                      <w:szCs w:val="18"/>
                      <w:highlight w:val="none"/>
                      <w:u w:val="none"/>
                      <w:lang w:val="en-US" w:eastAsia="zh-CN" w:bidi="ar"/>
                    </w:rPr>
                    <w:t>3</w:t>
                  </w:r>
                </w:p>
              </w:tc>
              <w:tc>
                <w:tcPr>
                  <w:tcW w:w="357" w:type="pct"/>
                  <w:tcBorders>
                    <w:top w:val="single" w:color="auto" w:sz="4" w:space="0"/>
                    <w:left w:val="single" w:color="auto" w:sz="4" w:space="0"/>
                    <w:bottom w:val="single" w:color="auto" w:sz="4" w:space="0"/>
                    <w:right w:val="single" w:color="auto" w:sz="4" w:space="0"/>
                  </w:tcBorders>
                  <w:shd w:val="clear" w:color="auto" w:fill="auto"/>
                  <w:vAlign w:val="center"/>
                </w:tcPr>
                <w:p w14:paraId="6E57796A">
                  <w:pPr>
                    <w:keepNext w:val="0"/>
                    <w:keepLines w:val="0"/>
                    <w:widowControl/>
                    <w:suppressLineNumbers w:val="0"/>
                    <w:spacing w:before="0" w:beforeAutospacing="0" w:after="0" w:afterAutospacing="0"/>
                    <w:ind w:left="0" w:right="0"/>
                    <w:jc w:val="center"/>
                    <w:textAlignment w:val="center"/>
                    <w:rPr>
                      <w:rFonts w:hint="eastAsia"/>
                      <w:bCs/>
                      <w:kern w:val="0"/>
                      <w:sz w:val="18"/>
                      <w:szCs w:val="18"/>
                      <w:highlight w:val="none"/>
                      <w:lang w:val="en-US" w:eastAsia="zh-CN"/>
                    </w:rPr>
                  </w:pPr>
                  <w:r>
                    <w:rPr>
                      <w:rFonts w:hint="eastAsia" w:ascii="Times New Roman" w:hAnsi="Times New Roman" w:eastAsia="宋体" w:cs="Times New Roman"/>
                      <w:i w:val="0"/>
                      <w:iCs w:val="0"/>
                      <w:color w:val="000000"/>
                      <w:kern w:val="0"/>
                      <w:sz w:val="18"/>
                      <w:szCs w:val="18"/>
                      <w:highlight w:val="none"/>
                      <w:u w:val="none"/>
                      <w:lang w:val="en-US" w:eastAsia="zh-CN" w:bidi="ar"/>
                    </w:rPr>
                    <w:t>~</w:t>
                  </w:r>
                  <w:r>
                    <w:rPr>
                      <w:rFonts w:hint="default" w:ascii="Times New Roman" w:hAnsi="Times New Roman" w:eastAsia="宋体" w:cs="Times New Roman"/>
                      <w:i w:val="0"/>
                      <w:iCs w:val="0"/>
                      <w:color w:val="000000"/>
                      <w:kern w:val="0"/>
                      <w:sz w:val="18"/>
                      <w:szCs w:val="18"/>
                      <w:highlight w:val="none"/>
                      <w:u w:val="none"/>
                      <w:lang w:val="en-US" w:eastAsia="zh-CN" w:bidi="ar"/>
                    </w:rPr>
                    <w:t>0</w:t>
                  </w:r>
                </w:p>
              </w:tc>
              <w:tc>
                <w:tcPr>
                  <w:tcW w:w="404" w:type="pct"/>
                  <w:tcBorders>
                    <w:top w:val="single" w:color="auto" w:sz="4" w:space="0"/>
                    <w:left w:val="single" w:color="auto" w:sz="4" w:space="0"/>
                    <w:right w:val="single" w:color="auto" w:sz="4" w:space="0"/>
                  </w:tcBorders>
                  <w:shd w:val="clear" w:color="auto" w:fill="auto"/>
                  <w:vAlign w:val="center"/>
                </w:tcPr>
                <w:p w14:paraId="73C25925">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64" w:lineRule="auto"/>
                    <w:ind w:left="0" w:right="0"/>
                    <w:jc w:val="center"/>
                    <w:textAlignment w:val="auto"/>
                    <w:rPr>
                      <w:rFonts w:hint="default"/>
                      <w:bCs/>
                      <w:kern w:val="0"/>
                      <w:sz w:val="18"/>
                      <w:szCs w:val="18"/>
                      <w:highlight w:val="none"/>
                      <w:lang w:val="en-US" w:eastAsia="zh-CN"/>
                    </w:rPr>
                  </w:pPr>
                  <w:r>
                    <w:rPr>
                      <w:rFonts w:hint="eastAsia" w:ascii="Times New Roman" w:hAnsi="Times New Roman" w:eastAsia="宋体" w:cs="Times New Roman"/>
                      <w:i w:val="0"/>
                      <w:iCs w:val="0"/>
                      <w:color w:val="000000"/>
                      <w:kern w:val="0"/>
                      <w:sz w:val="18"/>
                      <w:szCs w:val="18"/>
                      <w:highlight w:val="none"/>
                      <w:u w:val="none"/>
                      <w:lang w:val="en-US" w:eastAsia="zh-CN" w:bidi="ar"/>
                    </w:rPr>
                    <w:t>~</w:t>
                  </w:r>
                  <w:r>
                    <w:rPr>
                      <w:rFonts w:hint="default" w:ascii="Times New Roman" w:hAnsi="Times New Roman" w:eastAsia="宋体" w:cs="Times New Roman"/>
                      <w:i w:val="0"/>
                      <w:iCs w:val="0"/>
                      <w:color w:val="000000"/>
                      <w:kern w:val="0"/>
                      <w:sz w:val="18"/>
                      <w:szCs w:val="18"/>
                      <w:highlight w:val="none"/>
                      <w:u w:val="none"/>
                      <w:lang w:val="en-US" w:eastAsia="zh-CN" w:bidi="ar"/>
                    </w:rPr>
                    <w:t>0</w:t>
                  </w:r>
                </w:p>
              </w:tc>
              <w:tc>
                <w:tcPr>
                  <w:tcW w:w="383" w:type="pct"/>
                  <w:vMerge w:val="restart"/>
                  <w:tcBorders>
                    <w:left w:val="single" w:color="auto" w:sz="4" w:space="0"/>
                    <w:right w:val="single" w:color="auto" w:sz="4" w:space="0"/>
                  </w:tcBorders>
                  <w:vAlign w:val="center"/>
                </w:tcPr>
                <w:p w14:paraId="7B9E8AEA">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64" w:lineRule="auto"/>
                    <w:ind w:left="0" w:right="0"/>
                    <w:jc w:val="center"/>
                    <w:textAlignment w:val="auto"/>
                    <w:rPr>
                      <w:rFonts w:hint="default"/>
                      <w:snapToGrid w:val="0"/>
                      <w:sz w:val="18"/>
                      <w:szCs w:val="18"/>
                      <w:highlight w:val="none"/>
                    </w:rPr>
                  </w:pPr>
                  <w:r>
                    <w:rPr>
                      <w:rFonts w:hint="eastAsia"/>
                      <w:snapToGrid w:val="0"/>
                      <w:sz w:val="18"/>
                      <w:szCs w:val="18"/>
                      <w:highlight w:val="none"/>
                    </w:rPr>
                    <w:t>一体扰流喷淋除臭装置</w:t>
                  </w:r>
                </w:p>
              </w:tc>
              <w:tc>
                <w:tcPr>
                  <w:tcW w:w="240" w:type="pct"/>
                  <w:tcBorders>
                    <w:left w:val="single" w:color="auto" w:sz="4" w:space="0"/>
                    <w:right w:val="single" w:color="auto" w:sz="4" w:space="0"/>
                  </w:tcBorders>
                  <w:shd w:val="clear" w:color="auto" w:fill="auto"/>
                  <w:vAlign w:val="center"/>
                </w:tcPr>
                <w:p w14:paraId="61DAED5F">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64" w:lineRule="auto"/>
                    <w:ind w:left="0" w:right="0"/>
                    <w:jc w:val="center"/>
                    <w:textAlignment w:val="auto"/>
                    <w:rPr>
                      <w:rFonts w:hint="default" w:ascii="Times New Roman" w:hAnsi="Times New Roman" w:eastAsia="宋体" w:cs="Times New Roman"/>
                      <w:bCs/>
                      <w:kern w:val="0"/>
                      <w:sz w:val="18"/>
                      <w:szCs w:val="18"/>
                      <w:highlight w:val="none"/>
                      <w:lang w:val="en-US" w:eastAsia="zh-CN" w:bidi="ar-SA"/>
                    </w:rPr>
                  </w:pPr>
                  <w:r>
                    <w:rPr>
                      <w:rFonts w:hint="eastAsia"/>
                      <w:bCs/>
                      <w:kern w:val="0"/>
                      <w:sz w:val="18"/>
                      <w:szCs w:val="18"/>
                      <w:highlight w:val="none"/>
                      <w:lang w:val="en-US" w:eastAsia="zh-CN"/>
                    </w:rPr>
                    <w:t>90</w:t>
                  </w:r>
                </w:p>
              </w:tc>
              <w:tc>
                <w:tcPr>
                  <w:tcW w:w="317" w:type="pct"/>
                  <w:vMerge w:val="restart"/>
                  <w:tcBorders>
                    <w:left w:val="single" w:color="auto" w:sz="4" w:space="0"/>
                    <w:right w:val="single" w:color="auto" w:sz="4" w:space="0"/>
                  </w:tcBorders>
                  <w:shd w:val="clear" w:color="auto" w:fill="auto"/>
                  <w:vAlign w:val="center"/>
                </w:tcPr>
                <w:p w14:paraId="158E1885">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64" w:lineRule="auto"/>
                    <w:ind w:left="0" w:right="0"/>
                    <w:jc w:val="center"/>
                    <w:textAlignment w:val="auto"/>
                    <w:rPr>
                      <w:rFonts w:hint="default"/>
                      <w:bCs/>
                      <w:kern w:val="0"/>
                      <w:sz w:val="18"/>
                      <w:szCs w:val="18"/>
                      <w:highlight w:val="none"/>
                      <w:lang w:val="en-US" w:eastAsia="zh-CN"/>
                    </w:rPr>
                  </w:pPr>
                  <w:r>
                    <w:rPr>
                      <w:rFonts w:hint="eastAsia"/>
                      <w:bCs/>
                      <w:kern w:val="0"/>
                      <w:sz w:val="18"/>
                      <w:szCs w:val="18"/>
                      <w:highlight w:val="none"/>
                      <w:lang w:val="en-US" w:eastAsia="zh-CN"/>
                    </w:rPr>
                    <w:t>6809</w:t>
                  </w:r>
                </w:p>
              </w:tc>
              <w:tc>
                <w:tcPr>
                  <w:tcW w:w="380" w:type="pct"/>
                  <w:tcBorders>
                    <w:top w:val="single" w:color="auto" w:sz="4" w:space="0"/>
                    <w:left w:val="single" w:color="auto" w:sz="4" w:space="0"/>
                    <w:right w:val="single" w:color="auto" w:sz="4" w:space="0"/>
                  </w:tcBorders>
                  <w:shd w:val="clear" w:color="auto" w:fill="auto"/>
                  <w:vAlign w:val="center"/>
                </w:tcPr>
                <w:p w14:paraId="674CB1B4">
                  <w:pPr>
                    <w:keepNext w:val="0"/>
                    <w:keepLines w:val="0"/>
                    <w:widowControl/>
                    <w:suppressLineNumbers w:val="0"/>
                    <w:spacing w:before="0" w:beforeAutospacing="0" w:after="0" w:afterAutospacing="0"/>
                    <w:ind w:left="0" w:right="0"/>
                    <w:jc w:val="center"/>
                    <w:textAlignment w:val="center"/>
                    <w:rPr>
                      <w:rFonts w:hint="eastAsia"/>
                      <w:bCs/>
                      <w:kern w:val="0"/>
                      <w:sz w:val="18"/>
                      <w:szCs w:val="18"/>
                      <w:highlight w:val="none"/>
                      <w:lang w:val="en-US" w:eastAsia="zh-CN"/>
                    </w:rPr>
                  </w:pPr>
                  <w:r>
                    <w:rPr>
                      <w:rFonts w:hint="eastAsia" w:ascii="Times New Roman" w:hAnsi="Times New Roman" w:eastAsia="宋体" w:cs="Times New Roman"/>
                      <w:i w:val="0"/>
                      <w:iCs w:val="0"/>
                      <w:color w:val="000000"/>
                      <w:kern w:val="0"/>
                      <w:sz w:val="18"/>
                      <w:szCs w:val="18"/>
                      <w:highlight w:val="none"/>
                      <w:u w:val="none"/>
                      <w:lang w:val="en-US" w:eastAsia="zh-CN" w:bidi="ar"/>
                    </w:rPr>
                    <w:t>~</w:t>
                  </w:r>
                  <w:r>
                    <w:rPr>
                      <w:rFonts w:hint="default" w:ascii="Times New Roman" w:hAnsi="Times New Roman" w:eastAsia="宋体" w:cs="Times New Roman"/>
                      <w:i w:val="0"/>
                      <w:iCs w:val="0"/>
                      <w:color w:val="000000"/>
                      <w:kern w:val="0"/>
                      <w:sz w:val="18"/>
                      <w:szCs w:val="18"/>
                      <w:highlight w:val="none"/>
                      <w:u w:val="none"/>
                      <w:lang w:val="en-US" w:eastAsia="zh-CN" w:bidi="ar"/>
                    </w:rPr>
                    <w:t>0</w:t>
                  </w:r>
                </w:p>
              </w:tc>
              <w:tc>
                <w:tcPr>
                  <w:tcW w:w="362" w:type="pct"/>
                  <w:tcBorders>
                    <w:top w:val="single" w:color="auto" w:sz="4" w:space="0"/>
                    <w:left w:val="single" w:color="auto" w:sz="4" w:space="0"/>
                    <w:right w:val="single" w:color="auto" w:sz="4" w:space="0"/>
                  </w:tcBorders>
                  <w:vAlign w:val="center"/>
                </w:tcPr>
                <w:p w14:paraId="596C5944">
                  <w:pPr>
                    <w:keepNext w:val="0"/>
                    <w:keepLines w:val="0"/>
                    <w:widowControl/>
                    <w:suppressLineNumbers w:val="0"/>
                    <w:spacing w:before="0" w:beforeAutospacing="0" w:after="0" w:afterAutospacing="0"/>
                    <w:ind w:left="0" w:right="0"/>
                    <w:jc w:val="center"/>
                    <w:textAlignment w:val="center"/>
                    <w:rPr>
                      <w:rFonts w:hint="eastAsia"/>
                      <w:bCs/>
                      <w:kern w:val="0"/>
                      <w:sz w:val="18"/>
                      <w:szCs w:val="18"/>
                      <w:highlight w:val="none"/>
                      <w:lang w:val="en-US" w:eastAsia="zh-CN"/>
                    </w:rPr>
                  </w:pPr>
                  <w:r>
                    <w:rPr>
                      <w:rFonts w:hint="eastAsia" w:ascii="Times New Roman" w:hAnsi="Times New Roman" w:eastAsia="宋体" w:cs="Times New Roman"/>
                      <w:i w:val="0"/>
                      <w:iCs w:val="0"/>
                      <w:color w:val="000000"/>
                      <w:kern w:val="0"/>
                      <w:sz w:val="18"/>
                      <w:szCs w:val="18"/>
                      <w:highlight w:val="none"/>
                      <w:u w:val="none"/>
                      <w:lang w:val="en-US" w:eastAsia="zh-CN" w:bidi="ar"/>
                    </w:rPr>
                    <w:t>~</w:t>
                  </w:r>
                  <w:r>
                    <w:rPr>
                      <w:rFonts w:hint="default" w:ascii="Times New Roman" w:hAnsi="Times New Roman" w:eastAsia="宋体" w:cs="Times New Roman"/>
                      <w:i w:val="0"/>
                      <w:iCs w:val="0"/>
                      <w:color w:val="000000"/>
                      <w:kern w:val="0"/>
                      <w:sz w:val="18"/>
                      <w:szCs w:val="18"/>
                      <w:highlight w:val="none"/>
                      <w:u w:val="none"/>
                      <w:lang w:val="en-US" w:eastAsia="zh-CN" w:bidi="ar"/>
                    </w:rPr>
                    <w:t>0</w:t>
                  </w:r>
                </w:p>
              </w:tc>
              <w:tc>
                <w:tcPr>
                  <w:tcW w:w="340" w:type="pct"/>
                  <w:tcBorders>
                    <w:top w:val="single" w:color="auto" w:sz="4" w:space="0"/>
                    <w:left w:val="single" w:color="auto" w:sz="4" w:space="0"/>
                    <w:right w:val="single" w:color="auto" w:sz="4" w:space="0"/>
                  </w:tcBorders>
                  <w:vAlign w:val="center"/>
                </w:tcPr>
                <w:p w14:paraId="43E9B415">
                  <w:pPr>
                    <w:keepNext w:val="0"/>
                    <w:keepLines w:val="0"/>
                    <w:widowControl/>
                    <w:suppressLineNumbers w:val="0"/>
                    <w:spacing w:before="0" w:beforeAutospacing="0" w:after="0" w:afterAutospacing="0"/>
                    <w:ind w:left="0" w:right="0"/>
                    <w:jc w:val="center"/>
                    <w:textAlignment w:val="center"/>
                    <w:rPr>
                      <w:rFonts w:hint="default" w:eastAsia="宋体"/>
                      <w:bCs/>
                      <w:kern w:val="0"/>
                      <w:sz w:val="18"/>
                      <w:szCs w:val="18"/>
                      <w:highlight w:val="none"/>
                      <w:lang w:val="en-US" w:eastAsia="zh-CN"/>
                    </w:rPr>
                  </w:pPr>
                  <w:r>
                    <w:rPr>
                      <w:rFonts w:hint="eastAsia" w:ascii="Times New Roman" w:hAnsi="Times New Roman" w:eastAsia="宋体" w:cs="Times New Roman"/>
                      <w:i w:val="0"/>
                      <w:iCs w:val="0"/>
                      <w:color w:val="000000"/>
                      <w:kern w:val="0"/>
                      <w:sz w:val="18"/>
                      <w:szCs w:val="18"/>
                      <w:highlight w:val="none"/>
                      <w:u w:val="none"/>
                      <w:lang w:val="en-US" w:eastAsia="zh-CN" w:bidi="ar"/>
                    </w:rPr>
                    <w:t>~</w:t>
                  </w:r>
                  <w:r>
                    <w:rPr>
                      <w:rFonts w:hint="default" w:ascii="Times New Roman" w:hAnsi="Times New Roman" w:eastAsia="宋体" w:cs="Times New Roman"/>
                      <w:i w:val="0"/>
                      <w:iCs w:val="0"/>
                      <w:color w:val="000000"/>
                      <w:kern w:val="0"/>
                      <w:sz w:val="18"/>
                      <w:szCs w:val="18"/>
                      <w:highlight w:val="none"/>
                      <w:u w:val="none"/>
                      <w:lang w:val="en-US" w:eastAsia="zh-CN" w:bidi="ar"/>
                    </w:rPr>
                    <w:t>0</w:t>
                  </w:r>
                </w:p>
              </w:tc>
              <w:tc>
                <w:tcPr>
                  <w:tcW w:w="255" w:type="pct"/>
                  <w:vMerge w:val="restart"/>
                  <w:tcBorders>
                    <w:left w:val="single" w:color="auto" w:sz="4" w:space="0"/>
                    <w:right w:val="single" w:color="auto" w:sz="4" w:space="0"/>
                  </w:tcBorders>
                  <w:vAlign w:val="center"/>
                </w:tcPr>
                <w:p w14:paraId="5866FB04">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64" w:lineRule="auto"/>
                    <w:ind w:left="0" w:right="0"/>
                    <w:jc w:val="center"/>
                    <w:textAlignment w:val="auto"/>
                    <w:rPr>
                      <w:rFonts w:hint="default"/>
                      <w:bCs/>
                      <w:kern w:val="0"/>
                      <w:sz w:val="18"/>
                      <w:szCs w:val="18"/>
                      <w:highlight w:val="none"/>
                    </w:rPr>
                  </w:pPr>
                  <w:r>
                    <w:rPr>
                      <w:rFonts w:hint="default"/>
                      <w:bCs/>
                      <w:kern w:val="0"/>
                      <w:sz w:val="18"/>
                      <w:szCs w:val="18"/>
                      <w:highlight w:val="none"/>
                    </w:rPr>
                    <w:t>8760</w:t>
                  </w:r>
                </w:p>
              </w:tc>
            </w:tr>
            <w:tr w14:paraId="1B33B95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189" w:hRule="atLeast"/>
                <w:jc w:val="center"/>
              </w:trPr>
              <w:tc>
                <w:tcPr>
                  <w:tcW w:w="271" w:type="pct"/>
                  <w:vMerge w:val="continue"/>
                  <w:tcBorders>
                    <w:left w:val="single" w:color="auto" w:sz="4" w:space="0"/>
                    <w:right w:val="single" w:color="auto" w:sz="4" w:space="0"/>
                  </w:tcBorders>
                  <w:vAlign w:val="center"/>
                </w:tcPr>
                <w:p w14:paraId="71721F6D">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64" w:lineRule="auto"/>
                    <w:ind w:left="0" w:right="0"/>
                    <w:jc w:val="center"/>
                    <w:textAlignment w:val="auto"/>
                    <w:rPr>
                      <w:rFonts w:hint="default"/>
                      <w:bCs/>
                      <w:kern w:val="0"/>
                      <w:sz w:val="18"/>
                      <w:szCs w:val="18"/>
                      <w:highlight w:val="none"/>
                    </w:rPr>
                  </w:pPr>
                </w:p>
              </w:tc>
              <w:tc>
                <w:tcPr>
                  <w:tcW w:w="331" w:type="pct"/>
                  <w:vMerge w:val="continue"/>
                  <w:tcBorders>
                    <w:left w:val="single" w:color="auto" w:sz="4" w:space="0"/>
                    <w:right w:val="single" w:color="auto" w:sz="4" w:space="0"/>
                  </w:tcBorders>
                  <w:vAlign w:val="center"/>
                </w:tcPr>
                <w:p w14:paraId="67B331E1">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64" w:lineRule="auto"/>
                    <w:ind w:left="0" w:right="0"/>
                    <w:jc w:val="center"/>
                    <w:textAlignment w:val="auto"/>
                    <w:rPr>
                      <w:rFonts w:hint="default"/>
                      <w:bCs/>
                      <w:kern w:val="0"/>
                      <w:sz w:val="18"/>
                      <w:szCs w:val="18"/>
                      <w:highlight w:val="none"/>
                    </w:rPr>
                  </w:pPr>
                </w:p>
              </w:tc>
              <w:tc>
                <w:tcPr>
                  <w:tcW w:w="404" w:type="pct"/>
                  <w:vMerge w:val="continue"/>
                  <w:tcBorders>
                    <w:left w:val="single" w:color="auto" w:sz="4" w:space="0"/>
                    <w:right w:val="single" w:color="auto" w:sz="4" w:space="0"/>
                  </w:tcBorders>
                  <w:vAlign w:val="center"/>
                </w:tcPr>
                <w:p w14:paraId="4FBB604B">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64" w:lineRule="auto"/>
                    <w:ind w:left="0" w:right="0"/>
                    <w:jc w:val="center"/>
                    <w:textAlignment w:val="auto"/>
                    <w:rPr>
                      <w:rFonts w:hint="default"/>
                      <w:bCs/>
                      <w:kern w:val="0"/>
                      <w:sz w:val="18"/>
                      <w:szCs w:val="18"/>
                      <w:highlight w:val="none"/>
                    </w:rPr>
                  </w:pPr>
                </w:p>
              </w:tc>
              <w:tc>
                <w:tcPr>
                  <w:tcW w:w="593" w:type="pct"/>
                  <w:tcBorders>
                    <w:left w:val="single" w:color="auto" w:sz="4" w:space="0"/>
                    <w:bottom w:val="single" w:color="auto" w:sz="4" w:space="0"/>
                    <w:right w:val="single" w:color="auto" w:sz="4" w:space="0"/>
                  </w:tcBorders>
                  <w:shd w:val="clear" w:color="auto" w:fill="auto"/>
                  <w:vAlign w:val="center"/>
                </w:tcPr>
                <w:p w14:paraId="35E7F614">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64" w:lineRule="auto"/>
                    <w:ind w:left="0" w:right="0"/>
                    <w:jc w:val="center"/>
                    <w:textAlignment w:val="auto"/>
                    <w:rPr>
                      <w:rFonts w:hint="default" w:ascii="Times New Roman" w:hAnsi="Times New Roman" w:eastAsia="宋体" w:cs="Times New Roman"/>
                      <w:bCs/>
                      <w:kern w:val="0"/>
                      <w:sz w:val="18"/>
                      <w:szCs w:val="18"/>
                      <w:highlight w:val="none"/>
                      <w:lang w:val="en-US" w:eastAsia="zh-CN" w:bidi="ar-SA"/>
                    </w:rPr>
                  </w:pPr>
                  <w:r>
                    <w:rPr>
                      <w:rFonts w:hint="default"/>
                      <w:bCs/>
                      <w:kern w:val="0"/>
                      <w:sz w:val="18"/>
                      <w:szCs w:val="18"/>
                      <w:highlight w:val="none"/>
                    </w:rPr>
                    <w:t>硫化氢</w:t>
                  </w:r>
                </w:p>
              </w:tc>
              <w:tc>
                <w:tcPr>
                  <w:tcW w:w="357" w:type="pct"/>
                  <w:tcBorders>
                    <w:top w:val="single" w:color="auto" w:sz="4" w:space="0"/>
                    <w:left w:val="single" w:color="auto" w:sz="4" w:space="0"/>
                    <w:bottom w:val="single" w:color="auto" w:sz="4" w:space="0"/>
                    <w:right w:val="single" w:color="auto" w:sz="4" w:space="0"/>
                  </w:tcBorders>
                  <w:shd w:val="clear" w:color="auto" w:fill="auto"/>
                  <w:vAlign w:val="center"/>
                </w:tcPr>
                <w:p w14:paraId="5DFD2A98">
                  <w:pPr>
                    <w:keepNext w:val="0"/>
                    <w:keepLines w:val="0"/>
                    <w:widowControl/>
                    <w:suppressLineNumbers w:val="0"/>
                    <w:spacing w:before="0" w:beforeAutospacing="0" w:after="0" w:afterAutospacing="0"/>
                    <w:ind w:left="0" w:right="0"/>
                    <w:jc w:val="center"/>
                    <w:textAlignment w:val="center"/>
                    <w:rPr>
                      <w:rFonts w:hint="eastAsia"/>
                      <w:bCs/>
                      <w:kern w:val="0"/>
                      <w:sz w:val="18"/>
                      <w:szCs w:val="18"/>
                      <w:highlight w:val="none"/>
                      <w:lang w:val="en-US" w:eastAsia="zh-CN"/>
                    </w:rPr>
                  </w:pPr>
                  <w:r>
                    <w:rPr>
                      <w:rFonts w:hint="default" w:ascii="Times New Roman" w:hAnsi="Times New Roman" w:eastAsia="宋体" w:cs="Times New Roman"/>
                      <w:i w:val="0"/>
                      <w:iCs w:val="0"/>
                      <w:color w:val="000000"/>
                      <w:kern w:val="0"/>
                      <w:sz w:val="18"/>
                      <w:szCs w:val="18"/>
                      <w:highlight w:val="none"/>
                      <w:u w:val="none"/>
                      <w:lang w:val="en-US" w:eastAsia="zh-CN" w:bidi="ar"/>
                    </w:rPr>
                    <w:t>0.001</w:t>
                  </w:r>
                </w:p>
              </w:tc>
              <w:tc>
                <w:tcPr>
                  <w:tcW w:w="357" w:type="pct"/>
                  <w:tcBorders>
                    <w:top w:val="single" w:color="auto" w:sz="4" w:space="0"/>
                    <w:left w:val="single" w:color="auto" w:sz="4" w:space="0"/>
                    <w:bottom w:val="single" w:color="auto" w:sz="4" w:space="0"/>
                    <w:right w:val="single" w:color="auto" w:sz="4" w:space="0"/>
                  </w:tcBorders>
                  <w:shd w:val="clear" w:color="auto" w:fill="auto"/>
                  <w:vAlign w:val="center"/>
                </w:tcPr>
                <w:p w14:paraId="7FB18856">
                  <w:pPr>
                    <w:keepNext w:val="0"/>
                    <w:keepLines w:val="0"/>
                    <w:widowControl/>
                    <w:suppressLineNumbers w:val="0"/>
                    <w:spacing w:before="0" w:beforeAutospacing="0" w:after="0" w:afterAutospacing="0"/>
                    <w:ind w:left="0" w:right="0"/>
                    <w:jc w:val="center"/>
                    <w:textAlignment w:val="center"/>
                    <w:rPr>
                      <w:rFonts w:hint="eastAsia"/>
                      <w:bCs/>
                      <w:kern w:val="0"/>
                      <w:sz w:val="18"/>
                      <w:szCs w:val="18"/>
                      <w:highlight w:val="none"/>
                      <w:lang w:val="en-US" w:eastAsia="zh-CN"/>
                    </w:rPr>
                  </w:pPr>
                  <w:r>
                    <w:rPr>
                      <w:rFonts w:hint="eastAsia" w:ascii="Times New Roman" w:hAnsi="Times New Roman" w:eastAsia="宋体" w:cs="Times New Roman"/>
                      <w:i w:val="0"/>
                      <w:iCs w:val="0"/>
                      <w:color w:val="000000"/>
                      <w:kern w:val="0"/>
                      <w:sz w:val="18"/>
                      <w:szCs w:val="18"/>
                      <w:highlight w:val="none"/>
                      <w:u w:val="none"/>
                      <w:lang w:val="en-US" w:eastAsia="zh-CN" w:bidi="ar"/>
                    </w:rPr>
                    <w:t>~</w:t>
                  </w:r>
                  <w:r>
                    <w:rPr>
                      <w:rFonts w:hint="default" w:ascii="Times New Roman" w:hAnsi="Times New Roman" w:eastAsia="宋体" w:cs="Times New Roman"/>
                      <w:i w:val="0"/>
                      <w:iCs w:val="0"/>
                      <w:color w:val="000000"/>
                      <w:kern w:val="0"/>
                      <w:sz w:val="18"/>
                      <w:szCs w:val="18"/>
                      <w:highlight w:val="none"/>
                      <w:u w:val="none"/>
                      <w:lang w:val="en-US" w:eastAsia="zh-CN" w:bidi="ar"/>
                    </w:rPr>
                    <w:t>0</w:t>
                  </w:r>
                </w:p>
              </w:tc>
              <w:tc>
                <w:tcPr>
                  <w:tcW w:w="404" w:type="pct"/>
                  <w:tcBorders>
                    <w:top w:val="single" w:color="auto" w:sz="4" w:space="0"/>
                    <w:left w:val="single" w:color="auto" w:sz="4" w:space="0"/>
                    <w:right w:val="single" w:color="auto" w:sz="4" w:space="0"/>
                  </w:tcBorders>
                  <w:shd w:val="clear" w:color="auto" w:fill="auto"/>
                  <w:vAlign w:val="center"/>
                </w:tcPr>
                <w:p w14:paraId="56E9E32D">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64" w:lineRule="auto"/>
                    <w:ind w:left="0" w:right="0"/>
                    <w:jc w:val="center"/>
                    <w:textAlignment w:val="auto"/>
                    <w:rPr>
                      <w:rFonts w:hint="default"/>
                      <w:bCs/>
                      <w:kern w:val="0"/>
                      <w:sz w:val="18"/>
                      <w:szCs w:val="18"/>
                      <w:highlight w:val="none"/>
                      <w:lang w:val="en-US" w:eastAsia="zh-CN"/>
                    </w:rPr>
                  </w:pPr>
                  <w:r>
                    <w:rPr>
                      <w:rFonts w:hint="eastAsia" w:ascii="Times New Roman" w:hAnsi="Times New Roman" w:eastAsia="宋体" w:cs="Times New Roman"/>
                      <w:i w:val="0"/>
                      <w:iCs w:val="0"/>
                      <w:color w:val="000000"/>
                      <w:kern w:val="0"/>
                      <w:sz w:val="18"/>
                      <w:szCs w:val="18"/>
                      <w:highlight w:val="none"/>
                      <w:u w:val="none"/>
                      <w:lang w:val="en-US" w:eastAsia="zh-CN" w:bidi="ar"/>
                    </w:rPr>
                    <w:t>~</w:t>
                  </w:r>
                  <w:r>
                    <w:rPr>
                      <w:rFonts w:hint="default" w:ascii="Times New Roman" w:hAnsi="Times New Roman" w:eastAsia="宋体" w:cs="Times New Roman"/>
                      <w:i w:val="0"/>
                      <w:iCs w:val="0"/>
                      <w:color w:val="000000"/>
                      <w:kern w:val="0"/>
                      <w:sz w:val="18"/>
                      <w:szCs w:val="18"/>
                      <w:highlight w:val="none"/>
                      <w:u w:val="none"/>
                      <w:lang w:val="en-US" w:eastAsia="zh-CN" w:bidi="ar"/>
                    </w:rPr>
                    <w:t>0</w:t>
                  </w:r>
                </w:p>
              </w:tc>
              <w:tc>
                <w:tcPr>
                  <w:tcW w:w="383" w:type="pct"/>
                  <w:vMerge w:val="continue"/>
                  <w:tcBorders>
                    <w:left w:val="single" w:color="auto" w:sz="4" w:space="0"/>
                    <w:right w:val="single" w:color="auto" w:sz="4" w:space="0"/>
                  </w:tcBorders>
                  <w:vAlign w:val="center"/>
                </w:tcPr>
                <w:p w14:paraId="52B160AC">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64" w:lineRule="auto"/>
                    <w:ind w:left="0" w:right="0"/>
                    <w:jc w:val="center"/>
                    <w:textAlignment w:val="auto"/>
                    <w:rPr>
                      <w:rFonts w:hint="default"/>
                      <w:snapToGrid w:val="0"/>
                      <w:sz w:val="18"/>
                      <w:szCs w:val="18"/>
                      <w:highlight w:val="none"/>
                    </w:rPr>
                  </w:pPr>
                </w:p>
              </w:tc>
              <w:tc>
                <w:tcPr>
                  <w:tcW w:w="240" w:type="pct"/>
                  <w:tcBorders>
                    <w:left w:val="single" w:color="auto" w:sz="4" w:space="0"/>
                    <w:right w:val="single" w:color="auto" w:sz="4" w:space="0"/>
                  </w:tcBorders>
                  <w:shd w:val="clear" w:color="auto" w:fill="auto"/>
                  <w:vAlign w:val="center"/>
                </w:tcPr>
                <w:p w14:paraId="2319DF19">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64" w:lineRule="auto"/>
                    <w:ind w:left="0" w:right="0"/>
                    <w:jc w:val="center"/>
                    <w:textAlignment w:val="auto"/>
                    <w:rPr>
                      <w:rFonts w:hint="default" w:ascii="Times New Roman" w:hAnsi="Times New Roman" w:eastAsia="宋体" w:cs="Times New Roman"/>
                      <w:bCs/>
                      <w:kern w:val="0"/>
                      <w:sz w:val="18"/>
                      <w:szCs w:val="18"/>
                      <w:highlight w:val="none"/>
                      <w:lang w:val="en-US" w:eastAsia="zh-CN" w:bidi="ar-SA"/>
                    </w:rPr>
                  </w:pPr>
                  <w:r>
                    <w:rPr>
                      <w:rFonts w:hint="eastAsia"/>
                      <w:bCs/>
                      <w:kern w:val="0"/>
                      <w:sz w:val="18"/>
                      <w:szCs w:val="18"/>
                      <w:highlight w:val="none"/>
                      <w:lang w:val="en-US" w:eastAsia="zh-CN"/>
                    </w:rPr>
                    <w:t>50</w:t>
                  </w:r>
                </w:p>
              </w:tc>
              <w:tc>
                <w:tcPr>
                  <w:tcW w:w="317" w:type="pct"/>
                  <w:vMerge w:val="continue"/>
                  <w:tcBorders>
                    <w:left w:val="single" w:color="auto" w:sz="4" w:space="0"/>
                    <w:right w:val="single" w:color="auto" w:sz="4" w:space="0"/>
                  </w:tcBorders>
                  <w:shd w:val="clear" w:color="auto" w:fill="auto"/>
                  <w:vAlign w:val="center"/>
                </w:tcPr>
                <w:p w14:paraId="4C52E091">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64" w:lineRule="auto"/>
                    <w:ind w:left="0" w:right="0"/>
                    <w:jc w:val="center"/>
                    <w:textAlignment w:val="auto"/>
                    <w:rPr>
                      <w:rFonts w:hint="eastAsia"/>
                      <w:bCs/>
                      <w:kern w:val="0"/>
                      <w:sz w:val="18"/>
                      <w:szCs w:val="18"/>
                      <w:highlight w:val="none"/>
                      <w:lang w:val="en-US" w:eastAsia="zh-CN"/>
                    </w:rPr>
                  </w:pPr>
                </w:p>
              </w:tc>
              <w:tc>
                <w:tcPr>
                  <w:tcW w:w="380" w:type="pct"/>
                  <w:tcBorders>
                    <w:top w:val="single" w:color="auto" w:sz="4" w:space="0"/>
                    <w:left w:val="single" w:color="auto" w:sz="4" w:space="0"/>
                    <w:right w:val="single" w:color="auto" w:sz="4" w:space="0"/>
                  </w:tcBorders>
                  <w:shd w:val="clear" w:color="auto" w:fill="auto"/>
                  <w:vAlign w:val="center"/>
                </w:tcPr>
                <w:p w14:paraId="47CEBCF8">
                  <w:pPr>
                    <w:keepNext w:val="0"/>
                    <w:keepLines w:val="0"/>
                    <w:widowControl/>
                    <w:suppressLineNumbers w:val="0"/>
                    <w:spacing w:before="0" w:beforeAutospacing="0" w:after="0" w:afterAutospacing="0"/>
                    <w:ind w:left="0" w:right="0"/>
                    <w:jc w:val="center"/>
                    <w:textAlignment w:val="center"/>
                    <w:rPr>
                      <w:rFonts w:hint="default"/>
                      <w:bCs/>
                      <w:kern w:val="0"/>
                      <w:sz w:val="18"/>
                      <w:szCs w:val="18"/>
                      <w:highlight w:val="none"/>
                      <w:lang w:val="en-US" w:eastAsia="zh-CN"/>
                    </w:rPr>
                  </w:pPr>
                  <w:r>
                    <w:rPr>
                      <w:rFonts w:hint="eastAsia"/>
                      <w:bCs/>
                      <w:kern w:val="0"/>
                      <w:sz w:val="18"/>
                      <w:szCs w:val="18"/>
                      <w:highlight w:val="none"/>
                      <w:lang w:val="en-US" w:eastAsia="zh-CN"/>
                    </w:rPr>
                    <w:t>0.001</w:t>
                  </w:r>
                </w:p>
              </w:tc>
              <w:tc>
                <w:tcPr>
                  <w:tcW w:w="362" w:type="pct"/>
                  <w:tcBorders>
                    <w:top w:val="single" w:color="auto" w:sz="4" w:space="0"/>
                    <w:left w:val="single" w:color="auto" w:sz="4" w:space="0"/>
                    <w:right w:val="single" w:color="auto" w:sz="4" w:space="0"/>
                  </w:tcBorders>
                  <w:vAlign w:val="center"/>
                </w:tcPr>
                <w:p w14:paraId="2DA9C599">
                  <w:pPr>
                    <w:keepNext w:val="0"/>
                    <w:keepLines w:val="0"/>
                    <w:widowControl/>
                    <w:suppressLineNumbers w:val="0"/>
                    <w:spacing w:before="0" w:beforeAutospacing="0" w:after="0" w:afterAutospacing="0"/>
                    <w:ind w:left="0" w:right="0"/>
                    <w:jc w:val="center"/>
                    <w:textAlignment w:val="center"/>
                    <w:rPr>
                      <w:rFonts w:hint="default"/>
                      <w:bCs/>
                      <w:kern w:val="0"/>
                      <w:sz w:val="18"/>
                      <w:szCs w:val="18"/>
                      <w:highlight w:val="none"/>
                      <w:lang w:val="en-US" w:eastAsia="zh-CN"/>
                    </w:rPr>
                  </w:pPr>
                  <w:r>
                    <w:rPr>
                      <w:rFonts w:hint="eastAsia" w:ascii="Times New Roman" w:hAnsi="Times New Roman" w:eastAsia="宋体" w:cs="Times New Roman"/>
                      <w:i w:val="0"/>
                      <w:iCs w:val="0"/>
                      <w:color w:val="000000"/>
                      <w:kern w:val="0"/>
                      <w:sz w:val="18"/>
                      <w:szCs w:val="18"/>
                      <w:highlight w:val="none"/>
                      <w:u w:val="none"/>
                      <w:lang w:val="en-US" w:eastAsia="zh-CN" w:bidi="ar"/>
                    </w:rPr>
                    <w:t>~</w:t>
                  </w:r>
                  <w:r>
                    <w:rPr>
                      <w:rFonts w:hint="default" w:ascii="Times New Roman" w:hAnsi="Times New Roman" w:eastAsia="宋体" w:cs="Times New Roman"/>
                      <w:i w:val="0"/>
                      <w:iCs w:val="0"/>
                      <w:color w:val="000000"/>
                      <w:kern w:val="0"/>
                      <w:sz w:val="18"/>
                      <w:szCs w:val="18"/>
                      <w:highlight w:val="none"/>
                      <w:u w:val="none"/>
                      <w:lang w:val="en-US" w:eastAsia="zh-CN" w:bidi="ar"/>
                    </w:rPr>
                    <w:t>0</w:t>
                  </w:r>
                </w:p>
              </w:tc>
              <w:tc>
                <w:tcPr>
                  <w:tcW w:w="340" w:type="pct"/>
                  <w:tcBorders>
                    <w:top w:val="single" w:color="auto" w:sz="4" w:space="0"/>
                    <w:left w:val="single" w:color="auto" w:sz="4" w:space="0"/>
                    <w:right w:val="single" w:color="auto" w:sz="4" w:space="0"/>
                  </w:tcBorders>
                  <w:vAlign w:val="center"/>
                </w:tcPr>
                <w:p w14:paraId="6D857416">
                  <w:pPr>
                    <w:keepNext w:val="0"/>
                    <w:keepLines w:val="0"/>
                    <w:widowControl/>
                    <w:suppressLineNumbers w:val="0"/>
                    <w:spacing w:before="0" w:beforeAutospacing="0" w:after="0" w:afterAutospacing="0"/>
                    <w:ind w:left="0" w:right="0"/>
                    <w:jc w:val="center"/>
                    <w:textAlignment w:val="center"/>
                    <w:rPr>
                      <w:rFonts w:hint="default" w:eastAsia="宋体"/>
                      <w:bCs/>
                      <w:kern w:val="0"/>
                      <w:sz w:val="18"/>
                      <w:szCs w:val="18"/>
                      <w:highlight w:val="none"/>
                      <w:lang w:val="en-US" w:eastAsia="zh-CN"/>
                    </w:rPr>
                  </w:pPr>
                  <w:r>
                    <w:rPr>
                      <w:rFonts w:hint="eastAsia" w:ascii="Times New Roman" w:hAnsi="Times New Roman" w:eastAsia="宋体" w:cs="Times New Roman"/>
                      <w:i w:val="0"/>
                      <w:iCs w:val="0"/>
                      <w:color w:val="000000"/>
                      <w:kern w:val="0"/>
                      <w:sz w:val="18"/>
                      <w:szCs w:val="18"/>
                      <w:highlight w:val="none"/>
                      <w:u w:val="none"/>
                      <w:lang w:val="en-US" w:eastAsia="zh-CN" w:bidi="ar"/>
                    </w:rPr>
                    <w:t>~</w:t>
                  </w:r>
                  <w:r>
                    <w:rPr>
                      <w:rFonts w:hint="default" w:ascii="Times New Roman" w:hAnsi="Times New Roman" w:eastAsia="宋体" w:cs="Times New Roman"/>
                      <w:i w:val="0"/>
                      <w:iCs w:val="0"/>
                      <w:color w:val="000000"/>
                      <w:kern w:val="0"/>
                      <w:sz w:val="18"/>
                      <w:szCs w:val="18"/>
                      <w:highlight w:val="none"/>
                      <w:u w:val="none"/>
                      <w:lang w:val="en-US" w:eastAsia="zh-CN" w:bidi="ar"/>
                    </w:rPr>
                    <w:t>0</w:t>
                  </w:r>
                </w:p>
              </w:tc>
              <w:tc>
                <w:tcPr>
                  <w:tcW w:w="255" w:type="pct"/>
                  <w:vMerge w:val="continue"/>
                  <w:tcBorders>
                    <w:left w:val="single" w:color="auto" w:sz="4" w:space="0"/>
                    <w:right w:val="single" w:color="auto" w:sz="4" w:space="0"/>
                  </w:tcBorders>
                  <w:vAlign w:val="center"/>
                </w:tcPr>
                <w:p w14:paraId="6AEFC675">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64" w:lineRule="auto"/>
                    <w:ind w:left="0" w:right="0"/>
                    <w:jc w:val="center"/>
                    <w:textAlignment w:val="auto"/>
                    <w:rPr>
                      <w:rFonts w:hint="default"/>
                      <w:bCs/>
                      <w:kern w:val="0"/>
                      <w:sz w:val="18"/>
                      <w:szCs w:val="18"/>
                      <w:highlight w:val="none"/>
                    </w:rPr>
                  </w:pPr>
                </w:p>
              </w:tc>
            </w:tr>
            <w:tr w14:paraId="58EEFAC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302" w:hRule="atLeast"/>
                <w:jc w:val="center"/>
              </w:trPr>
              <w:tc>
                <w:tcPr>
                  <w:tcW w:w="271" w:type="pct"/>
                  <w:vMerge w:val="continue"/>
                  <w:tcBorders>
                    <w:left w:val="single" w:color="auto" w:sz="4" w:space="0"/>
                    <w:right w:val="single" w:color="auto" w:sz="4" w:space="0"/>
                  </w:tcBorders>
                  <w:vAlign w:val="center"/>
                </w:tcPr>
                <w:p w14:paraId="0D3E9E05">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64" w:lineRule="auto"/>
                    <w:ind w:left="0" w:right="0"/>
                    <w:jc w:val="center"/>
                    <w:textAlignment w:val="auto"/>
                    <w:rPr>
                      <w:rFonts w:hint="default"/>
                      <w:bCs/>
                      <w:kern w:val="0"/>
                      <w:sz w:val="18"/>
                      <w:szCs w:val="18"/>
                      <w:highlight w:val="none"/>
                    </w:rPr>
                  </w:pPr>
                </w:p>
              </w:tc>
              <w:tc>
                <w:tcPr>
                  <w:tcW w:w="331" w:type="pct"/>
                  <w:vMerge w:val="continue"/>
                  <w:tcBorders>
                    <w:left w:val="single" w:color="auto" w:sz="4" w:space="0"/>
                    <w:right w:val="single" w:color="auto" w:sz="4" w:space="0"/>
                  </w:tcBorders>
                  <w:vAlign w:val="center"/>
                </w:tcPr>
                <w:p w14:paraId="6A18FD43">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64" w:lineRule="auto"/>
                    <w:ind w:left="0" w:right="0"/>
                    <w:jc w:val="center"/>
                    <w:textAlignment w:val="auto"/>
                    <w:rPr>
                      <w:rFonts w:hint="default"/>
                      <w:bCs/>
                      <w:kern w:val="0"/>
                      <w:sz w:val="18"/>
                      <w:szCs w:val="18"/>
                      <w:highlight w:val="none"/>
                    </w:rPr>
                  </w:pPr>
                </w:p>
              </w:tc>
              <w:tc>
                <w:tcPr>
                  <w:tcW w:w="404" w:type="pct"/>
                  <w:vMerge w:val="continue"/>
                  <w:tcBorders>
                    <w:left w:val="single" w:color="auto" w:sz="4" w:space="0"/>
                    <w:right w:val="single" w:color="auto" w:sz="4" w:space="0"/>
                  </w:tcBorders>
                  <w:vAlign w:val="center"/>
                </w:tcPr>
                <w:p w14:paraId="49089695">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64" w:lineRule="auto"/>
                    <w:ind w:left="0" w:right="0"/>
                    <w:jc w:val="center"/>
                    <w:textAlignment w:val="auto"/>
                    <w:rPr>
                      <w:rFonts w:hint="default"/>
                      <w:bCs/>
                      <w:kern w:val="0"/>
                      <w:sz w:val="18"/>
                      <w:szCs w:val="18"/>
                      <w:highlight w:val="none"/>
                    </w:rPr>
                  </w:pPr>
                </w:p>
              </w:tc>
              <w:tc>
                <w:tcPr>
                  <w:tcW w:w="593" w:type="pct"/>
                  <w:tcBorders>
                    <w:left w:val="single" w:color="auto" w:sz="4" w:space="0"/>
                    <w:bottom w:val="single" w:color="auto" w:sz="4" w:space="0"/>
                    <w:right w:val="single" w:color="auto" w:sz="4" w:space="0"/>
                  </w:tcBorders>
                  <w:shd w:val="clear" w:color="auto" w:fill="auto"/>
                  <w:vAlign w:val="center"/>
                </w:tcPr>
                <w:p w14:paraId="3C21D9A9">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64" w:lineRule="auto"/>
                    <w:ind w:left="0" w:right="0"/>
                    <w:jc w:val="center"/>
                    <w:textAlignment w:val="auto"/>
                    <w:rPr>
                      <w:rFonts w:hint="default" w:ascii="Times New Roman" w:hAnsi="Times New Roman" w:eastAsia="宋体" w:cs="Times New Roman"/>
                      <w:bCs/>
                      <w:kern w:val="0"/>
                      <w:sz w:val="18"/>
                      <w:szCs w:val="18"/>
                      <w:highlight w:val="none"/>
                      <w:lang w:val="en-US" w:eastAsia="zh-CN" w:bidi="ar-SA"/>
                    </w:rPr>
                  </w:pPr>
                  <w:r>
                    <w:rPr>
                      <w:rFonts w:hint="default"/>
                      <w:bCs/>
                      <w:kern w:val="0"/>
                      <w:sz w:val="18"/>
                      <w:szCs w:val="18"/>
                      <w:highlight w:val="none"/>
                    </w:rPr>
                    <w:t>臭气浓度</w:t>
                  </w:r>
                </w:p>
              </w:tc>
              <w:tc>
                <w:tcPr>
                  <w:tcW w:w="1119" w:type="pct"/>
                  <w:gridSpan w:val="3"/>
                  <w:tcBorders>
                    <w:top w:val="single" w:color="auto" w:sz="4" w:space="0"/>
                    <w:left w:val="single" w:color="auto" w:sz="4" w:space="0"/>
                    <w:bottom w:val="single" w:color="auto" w:sz="4" w:space="0"/>
                    <w:right w:val="single" w:color="auto" w:sz="4" w:space="0"/>
                  </w:tcBorders>
                  <w:vAlign w:val="center"/>
                </w:tcPr>
                <w:p w14:paraId="5B4C1E6B">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64" w:lineRule="auto"/>
                    <w:ind w:left="0" w:right="0"/>
                    <w:jc w:val="center"/>
                    <w:textAlignment w:val="auto"/>
                    <w:rPr>
                      <w:rFonts w:hint="eastAsia"/>
                      <w:bCs/>
                      <w:kern w:val="0"/>
                      <w:sz w:val="18"/>
                      <w:szCs w:val="18"/>
                      <w:highlight w:val="none"/>
                      <w:lang w:val="en-US" w:eastAsia="zh-CN"/>
                    </w:rPr>
                  </w:pPr>
                  <w:r>
                    <w:rPr>
                      <w:rFonts w:hint="eastAsia"/>
                      <w:bCs/>
                      <w:color w:val="auto"/>
                      <w:kern w:val="0"/>
                      <w:sz w:val="18"/>
                      <w:szCs w:val="18"/>
                      <w:highlight w:val="none"/>
                      <w:lang w:val="en-US" w:eastAsia="zh-CN"/>
                    </w:rPr>
                    <w:t>1318</w:t>
                  </w:r>
                  <w:r>
                    <w:rPr>
                      <w:rFonts w:hint="eastAsia"/>
                      <w:bCs/>
                      <w:kern w:val="0"/>
                      <w:sz w:val="18"/>
                      <w:szCs w:val="18"/>
                      <w:highlight w:val="none"/>
                      <w:lang w:val="en-US" w:eastAsia="zh-CN"/>
                    </w:rPr>
                    <w:t>（无量纲）</w:t>
                  </w:r>
                </w:p>
              </w:tc>
              <w:tc>
                <w:tcPr>
                  <w:tcW w:w="383" w:type="pct"/>
                  <w:vMerge w:val="continue"/>
                  <w:tcBorders>
                    <w:left w:val="single" w:color="auto" w:sz="4" w:space="0"/>
                    <w:right w:val="single" w:color="auto" w:sz="4" w:space="0"/>
                  </w:tcBorders>
                  <w:vAlign w:val="center"/>
                </w:tcPr>
                <w:p w14:paraId="02E9A59B">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64" w:lineRule="auto"/>
                    <w:ind w:left="0" w:right="0"/>
                    <w:jc w:val="center"/>
                    <w:textAlignment w:val="auto"/>
                    <w:rPr>
                      <w:rFonts w:hint="default"/>
                      <w:snapToGrid w:val="0"/>
                      <w:sz w:val="18"/>
                      <w:szCs w:val="18"/>
                      <w:highlight w:val="none"/>
                    </w:rPr>
                  </w:pPr>
                </w:p>
              </w:tc>
              <w:tc>
                <w:tcPr>
                  <w:tcW w:w="240" w:type="pct"/>
                  <w:tcBorders>
                    <w:left w:val="single" w:color="auto" w:sz="4" w:space="0"/>
                    <w:right w:val="single" w:color="auto" w:sz="4" w:space="0"/>
                  </w:tcBorders>
                  <w:shd w:val="clear" w:color="auto" w:fill="auto"/>
                  <w:vAlign w:val="center"/>
                </w:tcPr>
                <w:p w14:paraId="5574BB72">
                  <w:pPr>
                    <w:pStyle w:val="120"/>
                    <w:keepNext w:val="0"/>
                    <w:keepLines w:val="0"/>
                    <w:framePr w:hSpace="0" w:wrap="auto" w:vAnchor="margin" w:hAnchor="text" w:xAlign="left" w:yAlign="inline"/>
                    <w:suppressLineNumbers w:val="0"/>
                    <w:spacing w:before="0" w:beforeAutospacing="0" w:after="0" w:afterAutospacing="0"/>
                    <w:ind w:left="0" w:right="0"/>
                    <w:rPr>
                      <w:rFonts w:hint="default" w:ascii="Times New Roman" w:hAnsi="Times New Roman" w:eastAsia="宋体" w:cs="Times New Roman"/>
                      <w:bCs/>
                      <w:color w:val="auto"/>
                      <w:kern w:val="2"/>
                      <w:sz w:val="18"/>
                      <w:szCs w:val="18"/>
                      <w:highlight w:val="none"/>
                      <w:lang w:val="en-US" w:eastAsia="zh-CN" w:bidi="ar-SA"/>
                    </w:rPr>
                  </w:pPr>
                  <w:r>
                    <w:rPr>
                      <w:rFonts w:hint="eastAsia" w:cs="Times New Roman"/>
                      <w:bCs/>
                      <w:color w:val="auto"/>
                      <w:kern w:val="2"/>
                      <w:sz w:val="18"/>
                      <w:szCs w:val="18"/>
                      <w:highlight w:val="none"/>
                      <w:lang w:val="en-US" w:eastAsia="zh-CN" w:bidi="ar-SA"/>
                    </w:rPr>
                    <w:t>58</w:t>
                  </w:r>
                </w:p>
              </w:tc>
              <w:tc>
                <w:tcPr>
                  <w:tcW w:w="317" w:type="pct"/>
                  <w:vMerge w:val="continue"/>
                  <w:tcBorders>
                    <w:left w:val="single" w:color="auto" w:sz="4" w:space="0"/>
                    <w:right w:val="single" w:color="auto" w:sz="4" w:space="0"/>
                  </w:tcBorders>
                  <w:shd w:val="clear" w:color="auto" w:fill="auto"/>
                  <w:vAlign w:val="center"/>
                </w:tcPr>
                <w:p w14:paraId="08AEBBB8">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64" w:lineRule="auto"/>
                    <w:ind w:left="0" w:right="0"/>
                    <w:jc w:val="center"/>
                    <w:textAlignment w:val="auto"/>
                    <w:rPr>
                      <w:rFonts w:hint="eastAsia"/>
                      <w:bCs/>
                      <w:kern w:val="0"/>
                      <w:sz w:val="18"/>
                      <w:szCs w:val="18"/>
                      <w:highlight w:val="none"/>
                      <w:lang w:val="en-US" w:eastAsia="zh-CN"/>
                    </w:rPr>
                  </w:pPr>
                </w:p>
              </w:tc>
              <w:tc>
                <w:tcPr>
                  <w:tcW w:w="1083" w:type="pct"/>
                  <w:gridSpan w:val="3"/>
                  <w:tcBorders>
                    <w:top w:val="single" w:color="auto" w:sz="4" w:space="0"/>
                    <w:left w:val="single" w:color="auto" w:sz="4" w:space="0"/>
                    <w:right w:val="single" w:color="auto" w:sz="4" w:space="0"/>
                  </w:tcBorders>
                  <w:shd w:val="clear" w:color="auto" w:fill="auto"/>
                  <w:vAlign w:val="center"/>
                </w:tcPr>
                <w:p w14:paraId="40686D97">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64" w:lineRule="auto"/>
                    <w:ind w:left="0" w:right="0"/>
                    <w:jc w:val="center"/>
                    <w:textAlignment w:val="auto"/>
                    <w:rPr>
                      <w:rFonts w:hint="default"/>
                      <w:bCs/>
                      <w:kern w:val="0"/>
                      <w:sz w:val="18"/>
                      <w:szCs w:val="18"/>
                      <w:highlight w:val="none"/>
                    </w:rPr>
                  </w:pPr>
                  <w:r>
                    <w:rPr>
                      <w:rFonts w:hint="eastAsia"/>
                      <w:bCs/>
                      <w:kern w:val="0"/>
                      <w:sz w:val="18"/>
                      <w:szCs w:val="18"/>
                      <w:highlight w:val="none"/>
                      <w:lang w:val="en-US" w:eastAsia="zh-CN"/>
                    </w:rPr>
                    <w:t>549（无量纲）</w:t>
                  </w:r>
                </w:p>
              </w:tc>
              <w:tc>
                <w:tcPr>
                  <w:tcW w:w="255" w:type="pct"/>
                  <w:vMerge w:val="continue"/>
                  <w:tcBorders>
                    <w:left w:val="single" w:color="auto" w:sz="4" w:space="0"/>
                    <w:right w:val="single" w:color="auto" w:sz="4" w:space="0"/>
                  </w:tcBorders>
                  <w:vAlign w:val="center"/>
                </w:tcPr>
                <w:p w14:paraId="03E629EE">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64" w:lineRule="auto"/>
                    <w:ind w:left="0" w:right="0"/>
                    <w:jc w:val="center"/>
                    <w:textAlignment w:val="auto"/>
                    <w:rPr>
                      <w:rFonts w:hint="default"/>
                      <w:bCs/>
                      <w:kern w:val="0"/>
                      <w:sz w:val="18"/>
                      <w:szCs w:val="18"/>
                      <w:highlight w:val="none"/>
                    </w:rPr>
                  </w:pPr>
                </w:p>
              </w:tc>
            </w:tr>
            <w:tr w14:paraId="6A45F34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257" w:hRule="atLeast"/>
                <w:jc w:val="center"/>
              </w:trPr>
              <w:tc>
                <w:tcPr>
                  <w:tcW w:w="271" w:type="pct"/>
                  <w:vMerge w:val="continue"/>
                  <w:tcBorders>
                    <w:left w:val="single" w:color="auto" w:sz="4" w:space="0"/>
                    <w:right w:val="single" w:color="auto" w:sz="4" w:space="0"/>
                  </w:tcBorders>
                  <w:vAlign w:val="center"/>
                </w:tcPr>
                <w:p w14:paraId="0BE3D1E5">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64" w:lineRule="auto"/>
                    <w:ind w:left="0" w:right="0"/>
                    <w:jc w:val="center"/>
                    <w:textAlignment w:val="auto"/>
                    <w:rPr>
                      <w:rFonts w:hint="default"/>
                      <w:bCs/>
                      <w:kern w:val="0"/>
                      <w:sz w:val="18"/>
                      <w:szCs w:val="18"/>
                      <w:highlight w:val="none"/>
                    </w:rPr>
                  </w:pPr>
                </w:p>
              </w:tc>
              <w:tc>
                <w:tcPr>
                  <w:tcW w:w="331" w:type="pct"/>
                  <w:vMerge w:val="continue"/>
                  <w:tcBorders>
                    <w:left w:val="single" w:color="auto" w:sz="4" w:space="0"/>
                    <w:right w:val="single" w:color="auto" w:sz="4" w:space="0"/>
                  </w:tcBorders>
                  <w:vAlign w:val="center"/>
                </w:tcPr>
                <w:p w14:paraId="74A0690D">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64" w:lineRule="auto"/>
                    <w:ind w:left="0" w:right="0"/>
                    <w:jc w:val="center"/>
                    <w:textAlignment w:val="auto"/>
                    <w:rPr>
                      <w:rFonts w:hint="default"/>
                      <w:bCs/>
                      <w:kern w:val="0"/>
                      <w:sz w:val="18"/>
                      <w:szCs w:val="18"/>
                      <w:highlight w:val="none"/>
                    </w:rPr>
                  </w:pPr>
                </w:p>
              </w:tc>
              <w:tc>
                <w:tcPr>
                  <w:tcW w:w="404" w:type="pct"/>
                  <w:vMerge w:val="continue"/>
                  <w:tcBorders>
                    <w:left w:val="single" w:color="auto" w:sz="4" w:space="0"/>
                    <w:right w:val="single" w:color="auto" w:sz="4" w:space="0"/>
                  </w:tcBorders>
                  <w:vAlign w:val="center"/>
                </w:tcPr>
                <w:p w14:paraId="3D43C00A">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64" w:lineRule="auto"/>
                    <w:ind w:left="0" w:right="0"/>
                    <w:jc w:val="center"/>
                    <w:textAlignment w:val="auto"/>
                    <w:rPr>
                      <w:rFonts w:hint="default"/>
                      <w:bCs/>
                      <w:kern w:val="0"/>
                      <w:sz w:val="18"/>
                      <w:szCs w:val="18"/>
                      <w:highlight w:val="none"/>
                    </w:rPr>
                  </w:pPr>
                </w:p>
              </w:tc>
              <w:tc>
                <w:tcPr>
                  <w:tcW w:w="593" w:type="pct"/>
                  <w:tcBorders>
                    <w:left w:val="single" w:color="auto" w:sz="4" w:space="0"/>
                    <w:bottom w:val="single" w:color="auto" w:sz="4" w:space="0"/>
                    <w:right w:val="single" w:color="auto" w:sz="4" w:space="0"/>
                  </w:tcBorders>
                  <w:shd w:val="clear" w:color="auto" w:fill="auto"/>
                  <w:vAlign w:val="center"/>
                </w:tcPr>
                <w:p w14:paraId="45B7BDDD">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64" w:lineRule="auto"/>
                    <w:ind w:left="0" w:right="0"/>
                    <w:jc w:val="center"/>
                    <w:textAlignment w:val="auto"/>
                    <w:rPr>
                      <w:rFonts w:hint="default"/>
                      <w:bCs/>
                      <w:kern w:val="0"/>
                      <w:sz w:val="18"/>
                      <w:szCs w:val="18"/>
                      <w:highlight w:val="none"/>
                    </w:rPr>
                  </w:pPr>
                  <w:r>
                    <w:rPr>
                      <w:rFonts w:hint="eastAsia"/>
                      <w:bCs/>
                      <w:kern w:val="0"/>
                      <w:sz w:val="18"/>
                      <w:szCs w:val="18"/>
                      <w:highlight w:val="none"/>
                      <w:lang w:val="en-US" w:eastAsia="zh-CN"/>
                    </w:rPr>
                    <w:t>颗粒物</w:t>
                  </w:r>
                </w:p>
              </w:tc>
              <w:tc>
                <w:tcPr>
                  <w:tcW w:w="1119" w:type="pct"/>
                  <w:gridSpan w:val="3"/>
                  <w:tcBorders>
                    <w:top w:val="single" w:color="auto" w:sz="4" w:space="0"/>
                    <w:left w:val="single" w:color="auto" w:sz="4" w:space="0"/>
                    <w:bottom w:val="single" w:color="auto" w:sz="4" w:space="0"/>
                    <w:right w:val="single" w:color="auto" w:sz="4" w:space="0"/>
                  </w:tcBorders>
                  <w:vAlign w:val="center"/>
                </w:tcPr>
                <w:p w14:paraId="726FD766">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64" w:lineRule="auto"/>
                    <w:ind w:left="0" w:right="0"/>
                    <w:jc w:val="center"/>
                    <w:textAlignment w:val="auto"/>
                    <w:rPr>
                      <w:rFonts w:hint="eastAsia"/>
                      <w:bCs/>
                      <w:color w:val="auto"/>
                      <w:kern w:val="0"/>
                      <w:sz w:val="18"/>
                      <w:szCs w:val="18"/>
                      <w:highlight w:val="none"/>
                      <w:lang w:val="en-US" w:eastAsia="zh-CN"/>
                    </w:rPr>
                  </w:pPr>
                  <w:r>
                    <w:rPr>
                      <w:rFonts w:hint="eastAsia"/>
                      <w:bCs/>
                      <w:color w:val="auto"/>
                      <w:kern w:val="0"/>
                      <w:sz w:val="18"/>
                      <w:szCs w:val="18"/>
                      <w:highlight w:val="none"/>
                      <w:lang w:val="en-US" w:eastAsia="zh-CN"/>
                    </w:rPr>
                    <w:t>少量</w:t>
                  </w:r>
                </w:p>
              </w:tc>
              <w:tc>
                <w:tcPr>
                  <w:tcW w:w="383" w:type="pct"/>
                  <w:vMerge w:val="continue"/>
                  <w:tcBorders>
                    <w:left w:val="single" w:color="auto" w:sz="4" w:space="0"/>
                    <w:right w:val="single" w:color="auto" w:sz="4" w:space="0"/>
                  </w:tcBorders>
                  <w:vAlign w:val="center"/>
                </w:tcPr>
                <w:p w14:paraId="175B793A">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64" w:lineRule="auto"/>
                    <w:ind w:left="0" w:right="0"/>
                    <w:jc w:val="center"/>
                    <w:textAlignment w:val="auto"/>
                    <w:rPr>
                      <w:rFonts w:hint="default"/>
                      <w:snapToGrid w:val="0"/>
                      <w:sz w:val="18"/>
                      <w:szCs w:val="18"/>
                      <w:highlight w:val="none"/>
                    </w:rPr>
                  </w:pPr>
                </w:p>
              </w:tc>
              <w:tc>
                <w:tcPr>
                  <w:tcW w:w="240" w:type="pct"/>
                  <w:tcBorders>
                    <w:left w:val="single" w:color="auto" w:sz="4" w:space="0"/>
                    <w:right w:val="single" w:color="auto" w:sz="4" w:space="0"/>
                  </w:tcBorders>
                  <w:shd w:val="clear" w:color="auto" w:fill="auto"/>
                  <w:vAlign w:val="center"/>
                </w:tcPr>
                <w:p w14:paraId="0425343B">
                  <w:pPr>
                    <w:pStyle w:val="120"/>
                    <w:keepNext w:val="0"/>
                    <w:keepLines w:val="0"/>
                    <w:framePr w:hSpace="0" w:wrap="auto" w:vAnchor="margin" w:hAnchor="text" w:xAlign="left" w:yAlign="inline"/>
                    <w:suppressLineNumbers w:val="0"/>
                    <w:spacing w:before="0" w:beforeAutospacing="0" w:after="0" w:afterAutospacing="0"/>
                    <w:ind w:left="0" w:right="0"/>
                    <w:rPr>
                      <w:rFonts w:hint="eastAsia" w:cs="Times New Roman"/>
                      <w:bCs/>
                      <w:color w:val="auto"/>
                      <w:kern w:val="2"/>
                      <w:sz w:val="18"/>
                      <w:szCs w:val="18"/>
                      <w:highlight w:val="none"/>
                      <w:lang w:val="en-US" w:eastAsia="zh-CN" w:bidi="ar-SA"/>
                    </w:rPr>
                  </w:pPr>
                  <w:r>
                    <w:rPr>
                      <w:rFonts w:hint="eastAsia"/>
                      <w:bCs/>
                      <w:color w:val="auto"/>
                      <w:kern w:val="0"/>
                      <w:sz w:val="18"/>
                      <w:szCs w:val="18"/>
                      <w:highlight w:val="none"/>
                      <w:lang w:val="en-US" w:eastAsia="zh-CN"/>
                    </w:rPr>
                    <w:t>/</w:t>
                  </w:r>
                </w:p>
              </w:tc>
              <w:tc>
                <w:tcPr>
                  <w:tcW w:w="317" w:type="pct"/>
                  <w:vMerge w:val="continue"/>
                  <w:tcBorders>
                    <w:left w:val="single" w:color="auto" w:sz="4" w:space="0"/>
                    <w:right w:val="single" w:color="auto" w:sz="4" w:space="0"/>
                  </w:tcBorders>
                  <w:shd w:val="clear" w:color="auto" w:fill="auto"/>
                  <w:vAlign w:val="center"/>
                </w:tcPr>
                <w:p w14:paraId="2D260DD1">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64" w:lineRule="auto"/>
                    <w:ind w:left="0" w:right="0"/>
                    <w:jc w:val="center"/>
                    <w:textAlignment w:val="auto"/>
                    <w:rPr>
                      <w:rFonts w:hint="eastAsia"/>
                      <w:bCs/>
                      <w:kern w:val="0"/>
                      <w:sz w:val="18"/>
                      <w:szCs w:val="18"/>
                      <w:highlight w:val="none"/>
                      <w:lang w:val="en-US" w:eastAsia="zh-CN"/>
                    </w:rPr>
                  </w:pPr>
                </w:p>
              </w:tc>
              <w:tc>
                <w:tcPr>
                  <w:tcW w:w="1083" w:type="pct"/>
                  <w:gridSpan w:val="3"/>
                  <w:tcBorders>
                    <w:top w:val="single" w:color="auto" w:sz="4" w:space="0"/>
                    <w:left w:val="single" w:color="auto" w:sz="4" w:space="0"/>
                    <w:right w:val="single" w:color="auto" w:sz="4" w:space="0"/>
                  </w:tcBorders>
                  <w:shd w:val="clear" w:color="auto" w:fill="auto"/>
                  <w:vAlign w:val="center"/>
                </w:tcPr>
                <w:p w14:paraId="2AA308C6">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64" w:lineRule="auto"/>
                    <w:ind w:left="0" w:right="0"/>
                    <w:jc w:val="center"/>
                    <w:textAlignment w:val="auto"/>
                    <w:rPr>
                      <w:rFonts w:hint="eastAsia"/>
                      <w:bCs/>
                      <w:kern w:val="0"/>
                      <w:sz w:val="18"/>
                      <w:szCs w:val="18"/>
                      <w:highlight w:val="none"/>
                      <w:lang w:val="en-US" w:eastAsia="zh-CN"/>
                    </w:rPr>
                  </w:pPr>
                  <w:r>
                    <w:rPr>
                      <w:rFonts w:hint="eastAsia"/>
                      <w:bCs/>
                      <w:color w:val="auto"/>
                      <w:kern w:val="0"/>
                      <w:sz w:val="18"/>
                      <w:szCs w:val="18"/>
                      <w:highlight w:val="none"/>
                      <w:lang w:val="en-US" w:eastAsia="zh-CN"/>
                    </w:rPr>
                    <w:t>少量</w:t>
                  </w:r>
                </w:p>
              </w:tc>
              <w:tc>
                <w:tcPr>
                  <w:tcW w:w="255" w:type="pct"/>
                  <w:vMerge w:val="continue"/>
                  <w:tcBorders>
                    <w:left w:val="single" w:color="auto" w:sz="4" w:space="0"/>
                    <w:right w:val="single" w:color="auto" w:sz="4" w:space="0"/>
                  </w:tcBorders>
                  <w:vAlign w:val="center"/>
                </w:tcPr>
                <w:p w14:paraId="0A552A9D">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64" w:lineRule="auto"/>
                    <w:ind w:left="0" w:right="0"/>
                    <w:jc w:val="center"/>
                    <w:textAlignment w:val="auto"/>
                    <w:rPr>
                      <w:rFonts w:hint="default"/>
                      <w:bCs/>
                      <w:kern w:val="0"/>
                      <w:sz w:val="18"/>
                      <w:szCs w:val="18"/>
                      <w:highlight w:val="none"/>
                    </w:rPr>
                  </w:pPr>
                </w:p>
              </w:tc>
            </w:tr>
            <w:tr w14:paraId="4336453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189" w:hRule="atLeast"/>
                <w:jc w:val="center"/>
              </w:trPr>
              <w:tc>
                <w:tcPr>
                  <w:tcW w:w="271" w:type="pct"/>
                  <w:vMerge w:val="restart"/>
                  <w:tcBorders>
                    <w:left w:val="single" w:color="auto" w:sz="4" w:space="0"/>
                    <w:right w:val="single" w:color="auto" w:sz="4" w:space="0"/>
                  </w:tcBorders>
                  <w:vAlign w:val="center"/>
                </w:tcPr>
                <w:p w14:paraId="322CEBA9">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64" w:lineRule="auto"/>
                    <w:ind w:left="0" w:right="0"/>
                    <w:jc w:val="center"/>
                    <w:textAlignment w:val="auto"/>
                    <w:rPr>
                      <w:rFonts w:hint="eastAsia" w:eastAsia="宋体"/>
                      <w:bCs/>
                      <w:kern w:val="0"/>
                      <w:sz w:val="18"/>
                      <w:szCs w:val="18"/>
                      <w:highlight w:val="none"/>
                      <w:lang w:val="en-US" w:eastAsia="zh-CN"/>
                    </w:rPr>
                  </w:pPr>
                  <w:r>
                    <w:rPr>
                      <w:rFonts w:hint="default"/>
                      <w:bCs/>
                      <w:kern w:val="0"/>
                      <w:sz w:val="18"/>
                      <w:szCs w:val="18"/>
                      <w:highlight w:val="none"/>
                    </w:rPr>
                    <w:t>DA00</w:t>
                  </w:r>
                  <w:r>
                    <w:rPr>
                      <w:rFonts w:hint="eastAsia"/>
                      <w:bCs/>
                      <w:kern w:val="0"/>
                      <w:sz w:val="18"/>
                      <w:szCs w:val="18"/>
                      <w:highlight w:val="none"/>
                      <w:lang w:val="en-US" w:eastAsia="zh-CN"/>
                    </w:rPr>
                    <w:t>5</w:t>
                  </w:r>
                </w:p>
              </w:tc>
              <w:tc>
                <w:tcPr>
                  <w:tcW w:w="331" w:type="pct"/>
                  <w:vMerge w:val="restart"/>
                  <w:tcBorders>
                    <w:left w:val="single" w:color="auto" w:sz="4" w:space="0"/>
                    <w:right w:val="single" w:color="auto" w:sz="4" w:space="0"/>
                  </w:tcBorders>
                  <w:vAlign w:val="center"/>
                </w:tcPr>
                <w:p w14:paraId="1A5C3795">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64" w:lineRule="auto"/>
                    <w:ind w:left="0" w:right="0"/>
                    <w:jc w:val="center"/>
                    <w:textAlignment w:val="auto"/>
                    <w:rPr>
                      <w:rFonts w:hint="default"/>
                      <w:bCs/>
                      <w:kern w:val="0"/>
                      <w:sz w:val="18"/>
                      <w:szCs w:val="18"/>
                      <w:highlight w:val="none"/>
                    </w:rPr>
                  </w:pPr>
                  <w:r>
                    <w:rPr>
                      <w:rFonts w:hint="eastAsia"/>
                      <w:bCs/>
                      <w:kern w:val="0"/>
                      <w:sz w:val="18"/>
                      <w:szCs w:val="18"/>
                      <w:highlight w:val="none"/>
                      <w:lang w:val="en-US" w:eastAsia="zh-CN"/>
                    </w:rPr>
                    <w:t>5#排气筒</w:t>
                  </w:r>
                </w:p>
              </w:tc>
              <w:tc>
                <w:tcPr>
                  <w:tcW w:w="404" w:type="pct"/>
                  <w:vMerge w:val="restart"/>
                  <w:tcBorders>
                    <w:left w:val="single" w:color="auto" w:sz="4" w:space="0"/>
                    <w:right w:val="single" w:color="auto" w:sz="4" w:space="0"/>
                  </w:tcBorders>
                  <w:vAlign w:val="center"/>
                </w:tcPr>
                <w:p w14:paraId="20D8ED31">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64" w:lineRule="auto"/>
                    <w:ind w:left="0" w:right="0"/>
                    <w:jc w:val="center"/>
                    <w:textAlignment w:val="auto"/>
                    <w:rPr>
                      <w:rFonts w:hint="default"/>
                      <w:bCs/>
                      <w:kern w:val="0"/>
                      <w:sz w:val="18"/>
                      <w:szCs w:val="18"/>
                      <w:highlight w:val="none"/>
                    </w:rPr>
                  </w:pPr>
                  <w:r>
                    <w:rPr>
                      <w:rFonts w:hint="default"/>
                      <w:bCs/>
                      <w:kern w:val="0"/>
                      <w:sz w:val="18"/>
                      <w:szCs w:val="18"/>
                      <w:highlight w:val="none"/>
                    </w:rPr>
                    <w:t>饲养废气</w:t>
                  </w:r>
                </w:p>
              </w:tc>
              <w:tc>
                <w:tcPr>
                  <w:tcW w:w="593" w:type="pct"/>
                  <w:tcBorders>
                    <w:left w:val="single" w:color="auto" w:sz="4" w:space="0"/>
                    <w:bottom w:val="single" w:color="auto" w:sz="4" w:space="0"/>
                    <w:right w:val="single" w:color="auto" w:sz="4" w:space="0"/>
                  </w:tcBorders>
                  <w:shd w:val="clear" w:color="auto" w:fill="auto"/>
                  <w:vAlign w:val="center"/>
                </w:tcPr>
                <w:p w14:paraId="21F2EDC6">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64" w:lineRule="auto"/>
                    <w:ind w:left="0" w:right="0"/>
                    <w:jc w:val="center"/>
                    <w:textAlignment w:val="auto"/>
                    <w:rPr>
                      <w:rFonts w:hint="default" w:ascii="Times New Roman" w:hAnsi="Times New Roman" w:eastAsia="宋体" w:cs="Times New Roman"/>
                      <w:bCs/>
                      <w:kern w:val="0"/>
                      <w:sz w:val="18"/>
                      <w:szCs w:val="18"/>
                      <w:highlight w:val="none"/>
                      <w:lang w:val="en-US" w:eastAsia="zh-CN" w:bidi="ar-SA"/>
                    </w:rPr>
                  </w:pPr>
                  <w:r>
                    <w:rPr>
                      <w:rFonts w:hint="default"/>
                      <w:bCs/>
                      <w:kern w:val="0"/>
                      <w:sz w:val="18"/>
                      <w:szCs w:val="18"/>
                      <w:highlight w:val="none"/>
                    </w:rPr>
                    <w:t>氨</w:t>
                  </w:r>
                </w:p>
              </w:tc>
              <w:tc>
                <w:tcPr>
                  <w:tcW w:w="357" w:type="pct"/>
                  <w:tcBorders>
                    <w:top w:val="single" w:color="auto" w:sz="4" w:space="0"/>
                    <w:left w:val="single" w:color="auto" w:sz="4" w:space="0"/>
                    <w:bottom w:val="single" w:color="auto" w:sz="4" w:space="0"/>
                    <w:right w:val="single" w:color="auto" w:sz="4" w:space="0"/>
                  </w:tcBorders>
                  <w:vAlign w:val="center"/>
                </w:tcPr>
                <w:p w14:paraId="398B9B7D">
                  <w:pPr>
                    <w:keepNext w:val="0"/>
                    <w:keepLines w:val="0"/>
                    <w:widowControl/>
                    <w:suppressLineNumbers w:val="0"/>
                    <w:spacing w:before="0" w:beforeAutospacing="0" w:after="0" w:afterAutospacing="0"/>
                    <w:ind w:left="0" w:right="0"/>
                    <w:jc w:val="center"/>
                    <w:textAlignment w:val="center"/>
                    <w:rPr>
                      <w:rFonts w:hint="default"/>
                      <w:bCs/>
                      <w:kern w:val="0"/>
                      <w:sz w:val="18"/>
                      <w:szCs w:val="18"/>
                      <w:highlight w:val="none"/>
                      <w:lang w:val="en-US" w:eastAsia="zh-CN"/>
                    </w:rPr>
                  </w:pPr>
                  <w:r>
                    <w:rPr>
                      <w:rFonts w:hint="default" w:ascii="Times New Roman" w:hAnsi="Times New Roman" w:eastAsia="宋体" w:cs="Times New Roman"/>
                      <w:i w:val="0"/>
                      <w:iCs w:val="0"/>
                      <w:color w:val="000000"/>
                      <w:kern w:val="0"/>
                      <w:sz w:val="18"/>
                      <w:szCs w:val="18"/>
                      <w:highlight w:val="none"/>
                      <w:u w:val="none"/>
                      <w:lang w:val="en-US" w:eastAsia="zh-CN" w:bidi="ar"/>
                    </w:rPr>
                    <w:t>0.0</w:t>
                  </w:r>
                  <w:r>
                    <w:rPr>
                      <w:rFonts w:hint="eastAsia" w:cs="Times New Roman"/>
                      <w:i w:val="0"/>
                      <w:iCs w:val="0"/>
                      <w:color w:val="000000"/>
                      <w:kern w:val="0"/>
                      <w:sz w:val="18"/>
                      <w:szCs w:val="18"/>
                      <w:highlight w:val="none"/>
                      <w:u w:val="none"/>
                      <w:lang w:val="en-US" w:eastAsia="zh-CN" w:bidi="ar"/>
                    </w:rPr>
                    <w:t>07</w:t>
                  </w:r>
                </w:p>
              </w:tc>
              <w:tc>
                <w:tcPr>
                  <w:tcW w:w="357" w:type="pct"/>
                  <w:tcBorders>
                    <w:top w:val="single" w:color="auto" w:sz="4" w:space="0"/>
                    <w:left w:val="single" w:color="auto" w:sz="4" w:space="0"/>
                    <w:bottom w:val="single" w:color="auto" w:sz="4" w:space="0"/>
                    <w:right w:val="single" w:color="auto" w:sz="4" w:space="0"/>
                  </w:tcBorders>
                  <w:shd w:val="clear" w:color="auto" w:fill="auto"/>
                  <w:vAlign w:val="center"/>
                </w:tcPr>
                <w:p w14:paraId="40E4EE83">
                  <w:pPr>
                    <w:keepNext w:val="0"/>
                    <w:keepLines w:val="0"/>
                    <w:widowControl/>
                    <w:suppressLineNumbers w:val="0"/>
                    <w:spacing w:before="0" w:beforeAutospacing="0" w:after="0" w:afterAutospacing="0"/>
                    <w:ind w:left="0" w:right="0"/>
                    <w:jc w:val="center"/>
                    <w:textAlignment w:val="center"/>
                    <w:rPr>
                      <w:rFonts w:hint="eastAsia"/>
                      <w:bCs/>
                      <w:kern w:val="0"/>
                      <w:sz w:val="18"/>
                      <w:szCs w:val="18"/>
                      <w:highlight w:val="none"/>
                      <w:lang w:val="en-US" w:eastAsia="zh-CN"/>
                    </w:rPr>
                  </w:pPr>
                  <w:r>
                    <w:rPr>
                      <w:rFonts w:hint="default" w:ascii="Times New Roman" w:hAnsi="Times New Roman" w:eastAsia="宋体" w:cs="Times New Roman"/>
                      <w:i w:val="0"/>
                      <w:iCs w:val="0"/>
                      <w:color w:val="000000"/>
                      <w:kern w:val="0"/>
                      <w:sz w:val="18"/>
                      <w:szCs w:val="18"/>
                      <w:highlight w:val="none"/>
                      <w:u w:val="none"/>
                      <w:lang w:val="en-US" w:eastAsia="zh-CN" w:bidi="ar"/>
                    </w:rPr>
                    <w:t>0.001</w:t>
                  </w:r>
                </w:p>
              </w:tc>
              <w:tc>
                <w:tcPr>
                  <w:tcW w:w="404" w:type="pct"/>
                  <w:tcBorders>
                    <w:top w:val="single" w:color="auto" w:sz="4" w:space="0"/>
                    <w:left w:val="single" w:color="auto" w:sz="4" w:space="0"/>
                    <w:right w:val="single" w:color="auto" w:sz="4" w:space="0"/>
                  </w:tcBorders>
                  <w:shd w:val="clear" w:color="auto" w:fill="auto"/>
                  <w:vAlign w:val="center"/>
                </w:tcPr>
                <w:p w14:paraId="0EDFD96E">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64" w:lineRule="auto"/>
                    <w:ind w:left="0" w:right="0"/>
                    <w:jc w:val="center"/>
                    <w:textAlignment w:val="auto"/>
                    <w:rPr>
                      <w:rFonts w:hint="default"/>
                      <w:bCs/>
                      <w:kern w:val="0"/>
                      <w:sz w:val="18"/>
                      <w:szCs w:val="18"/>
                      <w:highlight w:val="none"/>
                      <w:lang w:val="en-US" w:eastAsia="zh-CN"/>
                    </w:rPr>
                  </w:pPr>
                  <w:r>
                    <w:rPr>
                      <w:rFonts w:hint="eastAsia"/>
                      <w:bCs/>
                      <w:kern w:val="0"/>
                      <w:sz w:val="18"/>
                      <w:szCs w:val="18"/>
                      <w:highlight w:val="none"/>
                      <w:lang w:val="en-US" w:eastAsia="zh-CN"/>
                    </w:rPr>
                    <w:t>0.05</w:t>
                  </w:r>
                </w:p>
              </w:tc>
              <w:tc>
                <w:tcPr>
                  <w:tcW w:w="383" w:type="pct"/>
                  <w:vMerge w:val="restart"/>
                  <w:tcBorders>
                    <w:left w:val="single" w:color="auto" w:sz="4" w:space="0"/>
                    <w:right w:val="single" w:color="auto" w:sz="4" w:space="0"/>
                  </w:tcBorders>
                  <w:vAlign w:val="center"/>
                </w:tcPr>
                <w:p w14:paraId="3F24816F">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64" w:lineRule="auto"/>
                    <w:ind w:left="0" w:right="0"/>
                    <w:jc w:val="center"/>
                    <w:textAlignment w:val="auto"/>
                    <w:rPr>
                      <w:rFonts w:hint="default"/>
                      <w:snapToGrid w:val="0"/>
                      <w:sz w:val="18"/>
                      <w:szCs w:val="18"/>
                      <w:highlight w:val="none"/>
                    </w:rPr>
                  </w:pPr>
                  <w:r>
                    <w:rPr>
                      <w:rFonts w:hint="eastAsia"/>
                      <w:bCs/>
                      <w:kern w:val="0"/>
                      <w:sz w:val="18"/>
                      <w:szCs w:val="18"/>
                      <w:highlight w:val="none"/>
                      <w:lang w:val="en-US" w:eastAsia="zh-CN"/>
                    </w:rPr>
                    <w:t>溶液空调自带喷淋除臭装置</w:t>
                  </w:r>
                </w:p>
              </w:tc>
              <w:tc>
                <w:tcPr>
                  <w:tcW w:w="240" w:type="pct"/>
                  <w:tcBorders>
                    <w:left w:val="single" w:color="auto" w:sz="4" w:space="0"/>
                    <w:right w:val="single" w:color="auto" w:sz="4" w:space="0"/>
                  </w:tcBorders>
                  <w:shd w:val="clear" w:color="auto" w:fill="auto"/>
                  <w:vAlign w:val="center"/>
                </w:tcPr>
                <w:p w14:paraId="292AE7FD">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64" w:lineRule="auto"/>
                    <w:ind w:left="0" w:right="0"/>
                    <w:jc w:val="center"/>
                    <w:textAlignment w:val="auto"/>
                    <w:rPr>
                      <w:rFonts w:hint="eastAsia" w:ascii="Times New Roman" w:hAnsi="Times New Roman" w:eastAsia="宋体" w:cs="Times New Roman"/>
                      <w:bCs/>
                      <w:kern w:val="0"/>
                      <w:sz w:val="18"/>
                      <w:szCs w:val="18"/>
                      <w:highlight w:val="none"/>
                      <w:lang w:val="en-US" w:eastAsia="zh-CN" w:bidi="ar-SA"/>
                    </w:rPr>
                  </w:pPr>
                  <w:r>
                    <w:rPr>
                      <w:rFonts w:hint="eastAsia"/>
                      <w:bCs/>
                      <w:kern w:val="0"/>
                      <w:sz w:val="18"/>
                      <w:szCs w:val="18"/>
                      <w:highlight w:val="none"/>
                      <w:lang w:val="en-US" w:eastAsia="zh-CN"/>
                    </w:rPr>
                    <w:t>90</w:t>
                  </w:r>
                </w:p>
              </w:tc>
              <w:tc>
                <w:tcPr>
                  <w:tcW w:w="317" w:type="pct"/>
                  <w:vMerge w:val="restart"/>
                  <w:tcBorders>
                    <w:left w:val="single" w:color="auto" w:sz="4" w:space="0"/>
                    <w:right w:val="single" w:color="auto" w:sz="4" w:space="0"/>
                  </w:tcBorders>
                  <w:shd w:val="clear" w:color="auto" w:fill="auto"/>
                  <w:vAlign w:val="center"/>
                </w:tcPr>
                <w:p w14:paraId="50BD9401">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64" w:lineRule="auto"/>
                    <w:ind w:left="0" w:right="0"/>
                    <w:jc w:val="center"/>
                    <w:textAlignment w:val="auto"/>
                    <w:rPr>
                      <w:rFonts w:hint="default"/>
                      <w:bCs/>
                      <w:kern w:val="0"/>
                      <w:sz w:val="18"/>
                      <w:szCs w:val="18"/>
                      <w:highlight w:val="none"/>
                      <w:lang w:val="en-US" w:eastAsia="zh-CN"/>
                    </w:rPr>
                  </w:pPr>
                  <w:r>
                    <w:rPr>
                      <w:rFonts w:hint="eastAsia"/>
                      <w:bCs/>
                      <w:kern w:val="0"/>
                      <w:sz w:val="18"/>
                      <w:szCs w:val="18"/>
                      <w:highlight w:val="none"/>
                      <w:lang w:val="en-US" w:eastAsia="zh-CN"/>
                    </w:rPr>
                    <w:t>19080</w:t>
                  </w:r>
                </w:p>
              </w:tc>
              <w:tc>
                <w:tcPr>
                  <w:tcW w:w="380" w:type="pct"/>
                  <w:tcBorders>
                    <w:top w:val="single" w:color="auto" w:sz="4" w:space="0"/>
                    <w:left w:val="single" w:color="auto" w:sz="4" w:space="0"/>
                    <w:right w:val="single" w:color="auto" w:sz="4" w:space="0"/>
                  </w:tcBorders>
                  <w:shd w:val="clear" w:color="auto" w:fill="auto"/>
                  <w:vAlign w:val="center"/>
                </w:tcPr>
                <w:p w14:paraId="5A441689">
                  <w:pPr>
                    <w:keepNext w:val="0"/>
                    <w:keepLines w:val="0"/>
                    <w:widowControl/>
                    <w:suppressLineNumbers w:val="0"/>
                    <w:spacing w:before="0" w:beforeAutospacing="0" w:after="0" w:afterAutospacing="0"/>
                    <w:ind w:left="0" w:right="0"/>
                    <w:jc w:val="center"/>
                    <w:textAlignment w:val="center"/>
                    <w:rPr>
                      <w:rFonts w:hint="eastAsia"/>
                      <w:bCs/>
                      <w:kern w:val="0"/>
                      <w:sz w:val="18"/>
                      <w:szCs w:val="18"/>
                      <w:highlight w:val="none"/>
                      <w:lang w:val="en-US" w:eastAsia="zh-CN"/>
                    </w:rPr>
                  </w:pPr>
                  <w:r>
                    <w:rPr>
                      <w:rFonts w:hint="default" w:ascii="Times New Roman" w:hAnsi="Times New Roman" w:eastAsia="宋体" w:cs="Times New Roman"/>
                      <w:i w:val="0"/>
                      <w:iCs w:val="0"/>
                      <w:color w:val="000000"/>
                      <w:kern w:val="0"/>
                      <w:sz w:val="18"/>
                      <w:szCs w:val="18"/>
                      <w:highlight w:val="none"/>
                      <w:u w:val="none"/>
                      <w:lang w:val="en-US" w:eastAsia="zh-CN" w:bidi="ar"/>
                    </w:rPr>
                    <w:t>0.001</w:t>
                  </w:r>
                </w:p>
              </w:tc>
              <w:tc>
                <w:tcPr>
                  <w:tcW w:w="362" w:type="pct"/>
                  <w:tcBorders>
                    <w:top w:val="single" w:color="auto" w:sz="4" w:space="0"/>
                    <w:left w:val="single" w:color="auto" w:sz="4" w:space="0"/>
                    <w:right w:val="single" w:color="auto" w:sz="4" w:space="0"/>
                  </w:tcBorders>
                  <w:vAlign w:val="center"/>
                </w:tcPr>
                <w:p w14:paraId="4946DB5B">
                  <w:pPr>
                    <w:keepNext w:val="0"/>
                    <w:keepLines w:val="0"/>
                    <w:widowControl/>
                    <w:suppressLineNumbers w:val="0"/>
                    <w:spacing w:before="0" w:beforeAutospacing="0" w:after="0" w:afterAutospacing="0"/>
                    <w:ind w:left="0" w:right="0"/>
                    <w:jc w:val="center"/>
                    <w:textAlignment w:val="center"/>
                    <w:rPr>
                      <w:rFonts w:hint="eastAsia"/>
                      <w:bCs/>
                      <w:kern w:val="0"/>
                      <w:sz w:val="18"/>
                      <w:szCs w:val="18"/>
                      <w:highlight w:val="none"/>
                      <w:lang w:val="en-US" w:eastAsia="zh-CN"/>
                    </w:rPr>
                  </w:pPr>
                  <w:r>
                    <w:rPr>
                      <w:rFonts w:hint="eastAsia" w:ascii="Times New Roman" w:hAnsi="Times New Roman" w:eastAsia="宋体" w:cs="Times New Roman"/>
                      <w:i w:val="0"/>
                      <w:iCs w:val="0"/>
                      <w:color w:val="000000"/>
                      <w:kern w:val="0"/>
                      <w:sz w:val="18"/>
                      <w:szCs w:val="18"/>
                      <w:highlight w:val="none"/>
                      <w:u w:val="none"/>
                      <w:lang w:val="en-US" w:eastAsia="zh-CN" w:bidi="ar"/>
                    </w:rPr>
                    <w:t>~</w:t>
                  </w:r>
                  <w:r>
                    <w:rPr>
                      <w:rFonts w:hint="default" w:ascii="Times New Roman" w:hAnsi="Times New Roman" w:eastAsia="宋体" w:cs="Times New Roman"/>
                      <w:i w:val="0"/>
                      <w:iCs w:val="0"/>
                      <w:color w:val="000000"/>
                      <w:kern w:val="0"/>
                      <w:sz w:val="18"/>
                      <w:szCs w:val="18"/>
                      <w:highlight w:val="none"/>
                      <w:u w:val="none"/>
                      <w:lang w:val="en-US" w:eastAsia="zh-CN" w:bidi="ar"/>
                    </w:rPr>
                    <w:t>0</w:t>
                  </w:r>
                </w:p>
              </w:tc>
              <w:tc>
                <w:tcPr>
                  <w:tcW w:w="340" w:type="pct"/>
                  <w:tcBorders>
                    <w:top w:val="single" w:color="auto" w:sz="4" w:space="0"/>
                    <w:left w:val="single" w:color="auto" w:sz="4" w:space="0"/>
                    <w:right w:val="single" w:color="auto" w:sz="4" w:space="0"/>
                  </w:tcBorders>
                  <w:vAlign w:val="center"/>
                </w:tcPr>
                <w:p w14:paraId="0BC0843A">
                  <w:pPr>
                    <w:keepNext w:val="0"/>
                    <w:keepLines w:val="0"/>
                    <w:widowControl/>
                    <w:suppressLineNumbers w:val="0"/>
                    <w:spacing w:before="0" w:beforeAutospacing="0" w:after="0" w:afterAutospacing="0"/>
                    <w:ind w:left="0" w:right="0"/>
                    <w:jc w:val="center"/>
                    <w:textAlignment w:val="center"/>
                    <w:rPr>
                      <w:rFonts w:hint="default" w:eastAsia="宋体"/>
                      <w:bCs/>
                      <w:kern w:val="0"/>
                      <w:sz w:val="18"/>
                      <w:szCs w:val="18"/>
                      <w:highlight w:val="none"/>
                      <w:lang w:val="en-US" w:eastAsia="zh-CN"/>
                    </w:rPr>
                  </w:pPr>
                  <w:r>
                    <w:rPr>
                      <w:rFonts w:hint="eastAsia" w:ascii="Times New Roman" w:hAnsi="Times New Roman" w:eastAsia="宋体" w:cs="Times New Roman"/>
                      <w:i w:val="0"/>
                      <w:iCs w:val="0"/>
                      <w:color w:val="000000"/>
                      <w:kern w:val="0"/>
                      <w:sz w:val="18"/>
                      <w:szCs w:val="18"/>
                      <w:highlight w:val="none"/>
                      <w:u w:val="none"/>
                      <w:lang w:val="en-US" w:eastAsia="zh-CN" w:bidi="ar"/>
                    </w:rPr>
                    <w:t>~</w:t>
                  </w:r>
                  <w:r>
                    <w:rPr>
                      <w:rFonts w:hint="default" w:ascii="Times New Roman" w:hAnsi="Times New Roman" w:eastAsia="宋体" w:cs="Times New Roman"/>
                      <w:i w:val="0"/>
                      <w:iCs w:val="0"/>
                      <w:color w:val="000000"/>
                      <w:kern w:val="0"/>
                      <w:sz w:val="18"/>
                      <w:szCs w:val="18"/>
                      <w:highlight w:val="none"/>
                      <w:u w:val="none"/>
                      <w:lang w:val="en-US" w:eastAsia="zh-CN" w:bidi="ar"/>
                    </w:rPr>
                    <w:t>0</w:t>
                  </w:r>
                </w:p>
              </w:tc>
              <w:tc>
                <w:tcPr>
                  <w:tcW w:w="255" w:type="pct"/>
                  <w:vMerge w:val="restart"/>
                  <w:tcBorders>
                    <w:left w:val="single" w:color="auto" w:sz="4" w:space="0"/>
                    <w:right w:val="single" w:color="auto" w:sz="4" w:space="0"/>
                  </w:tcBorders>
                  <w:vAlign w:val="center"/>
                </w:tcPr>
                <w:p w14:paraId="0485548C">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64" w:lineRule="auto"/>
                    <w:ind w:left="0" w:right="0"/>
                    <w:jc w:val="center"/>
                    <w:textAlignment w:val="auto"/>
                    <w:rPr>
                      <w:rFonts w:hint="default"/>
                      <w:bCs/>
                      <w:kern w:val="0"/>
                      <w:sz w:val="18"/>
                      <w:szCs w:val="18"/>
                      <w:highlight w:val="none"/>
                    </w:rPr>
                  </w:pPr>
                  <w:r>
                    <w:rPr>
                      <w:rFonts w:hint="default"/>
                      <w:bCs/>
                      <w:kern w:val="0"/>
                      <w:sz w:val="18"/>
                      <w:szCs w:val="18"/>
                      <w:highlight w:val="none"/>
                    </w:rPr>
                    <w:t>8760</w:t>
                  </w:r>
                </w:p>
              </w:tc>
            </w:tr>
            <w:tr w14:paraId="69FECE9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189" w:hRule="atLeast"/>
                <w:jc w:val="center"/>
              </w:trPr>
              <w:tc>
                <w:tcPr>
                  <w:tcW w:w="271" w:type="pct"/>
                  <w:vMerge w:val="continue"/>
                  <w:tcBorders>
                    <w:left w:val="single" w:color="auto" w:sz="4" w:space="0"/>
                    <w:right w:val="single" w:color="auto" w:sz="4" w:space="0"/>
                  </w:tcBorders>
                  <w:vAlign w:val="center"/>
                </w:tcPr>
                <w:p w14:paraId="3338C414">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64" w:lineRule="auto"/>
                    <w:ind w:left="0" w:right="0"/>
                    <w:jc w:val="center"/>
                    <w:textAlignment w:val="auto"/>
                    <w:rPr>
                      <w:rFonts w:hint="default"/>
                      <w:bCs/>
                      <w:kern w:val="0"/>
                      <w:sz w:val="18"/>
                      <w:szCs w:val="18"/>
                      <w:highlight w:val="none"/>
                    </w:rPr>
                  </w:pPr>
                </w:p>
              </w:tc>
              <w:tc>
                <w:tcPr>
                  <w:tcW w:w="331" w:type="pct"/>
                  <w:vMerge w:val="continue"/>
                  <w:tcBorders>
                    <w:left w:val="single" w:color="auto" w:sz="4" w:space="0"/>
                    <w:right w:val="single" w:color="auto" w:sz="4" w:space="0"/>
                  </w:tcBorders>
                  <w:vAlign w:val="center"/>
                </w:tcPr>
                <w:p w14:paraId="0C9FA4A3">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64" w:lineRule="auto"/>
                    <w:ind w:left="0" w:right="0"/>
                    <w:jc w:val="center"/>
                    <w:textAlignment w:val="auto"/>
                    <w:rPr>
                      <w:rFonts w:hint="default"/>
                      <w:bCs/>
                      <w:kern w:val="0"/>
                      <w:sz w:val="18"/>
                      <w:szCs w:val="18"/>
                      <w:highlight w:val="none"/>
                    </w:rPr>
                  </w:pPr>
                </w:p>
              </w:tc>
              <w:tc>
                <w:tcPr>
                  <w:tcW w:w="404" w:type="pct"/>
                  <w:vMerge w:val="continue"/>
                  <w:tcBorders>
                    <w:left w:val="single" w:color="auto" w:sz="4" w:space="0"/>
                    <w:right w:val="single" w:color="auto" w:sz="4" w:space="0"/>
                  </w:tcBorders>
                  <w:vAlign w:val="center"/>
                </w:tcPr>
                <w:p w14:paraId="12D1BE99">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64" w:lineRule="auto"/>
                    <w:ind w:left="0" w:right="0"/>
                    <w:jc w:val="center"/>
                    <w:textAlignment w:val="auto"/>
                    <w:rPr>
                      <w:rFonts w:hint="default"/>
                      <w:bCs/>
                      <w:kern w:val="0"/>
                      <w:sz w:val="18"/>
                      <w:szCs w:val="18"/>
                      <w:highlight w:val="none"/>
                    </w:rPr>
                  </w:pPr>
                </w:p>
              </w:tc>
              <w:tc>
                <w:tcPr>
                  <w:tcW w:w="593" w:type="pct"/>
                  <w:tcBorders>
                    <w:left w:val="single" w:color="auto" w:sz="4" w:space="0"/>
                    <w:bottom w:val="single" w:color="auto" w:sz="4" w:space="0"/>
                    <w:right w:val="single" w:color="auto" w:sz="4" w:space="0"/>
                  </w:tcBorders>
                  <w:shd w:val="clear" w:color="auto" w:fill="auto"/>
                  <w:vAlign w:val="center"/>
                </w:tcPr>
                <w:p w14:paraId="452133E5">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64" w:lineRule="auto"/>
                    <w:ind w:left="0" w:right="0"/>
                    <w:jc w:val="center"/>
                    <w:textAlignment w:val="auto"/>
                    <w:rPr>
                      <w:rFonts w:hint="default" w:ascii="Times New Roman" w:hAnsi="Times New Roman" w:eastAsia="宋体" w:cs="Times New Roman"/>
                      <w:bCs/>
                      <w:kern w:val="0"/>
                      <w:sz w:val="18"/>
                      <w:szCs w:val="18"/>
                      <w:highlight w:val="none"/>
                      <w:lang w:val="en-US" w:eastAsia="zh-CN" w:bidi="ar-SA"/>
                    </w:rPr>
                  </w:pPr>
                  <w:r>
                    <w:rPr>
                      <w:rFonts w:hint="default"/>
                      <w:bCs/>
                      <w:kern w:val="0"/>
                      <w:sz w:val="18"/>
                      <w:szCs w:val="18"/>
                      <w:highlight w:val="none"/>
                    </w:rPr>
                    <w:t>硫化氢</w:t>
                  </w:r>
                </w:p>
              </w:tc>
              <w:tc>
                <w:tcPr>
                  <w:tcW w:w="357" w:type="pct"/>
                  <w:tcBorders>
                    <w:top w:val="single" w:color="auto" w:sz="4" w:space="0"/>
                    <w:left w:val="single" w:color="auto" w:sz="4" w:space="0"/>
                    <w:bottom w:val="single" w:color="auto" w:sz="4" w:space="0"/>
                    <w:right w:val="single" w:color="auto" w:sz="4" w:space="0"/>
                  </w:tcBorders>
                  <w:vAlign w:val="center"/>
                </w:tcPr>
                <w:p w14:paraId="0BB4581D">
                  <w:pPr>
                    <w:keepNext w:val="0"/>
                    <w:keepLines w:val="0"/>
                    <w:widowControl/>
                    <w:suppressLineNumbers w:val="0"/>
                    <w:spacing w:before="0" w:beforeAutospacing="0" w:after="0" w:afterAutospacing="0"/>
                    <w:ind w:left="0" w:right="0"/>
                    <w:jc w:val="center"/>
                    <w:textAlignment w:val="center"/>
                    <w:rPr>
                      <w:rFonts w:hint="default"/>
                      <w:bCs/>
                      <w:kern w:val="0"/>
                      <w:sz w:val="18"/>
                      <w:szCs w:val="18"/>
                      <w:highlight w:val="none"/>
                      <w:lang w:val="en-US" w:eastAsia="zh-CN"/>
                    </w:rPr>
                  </w:pPr>
                  <w:r>
                    <w:rPr>
                      <w:rFonts w:hint="default" w:ascii="Times New Roman" w:hAnsi="Times New Roman" w:eastAsia="宋体" w:cs="Times New Roman"/>
                      <w:i w:val="0"/>
                      <w:iCs w:val="0"/>
                      <w:color w:val="000000"/>
                      <w:kern w:val="0"/>
                      <w:sz w:val="18"/>
                      <w:szCs w:val="18"/>
                      <w:highlight w:val="none"/>
                      <w:u w:val="none"/>
                      <w:lang w:val="en-US" w:eastAsia="zh-CN" w:bidi="ar"/>
                    </w:rPr>
                    <w:t>0.00</w:t>
                  </w:r>
                  <w:r>
                    <w:rPr>
                      <w:rFonts w:hint="eastAsia" w:cs="Times New Roman"/>
                      <w:i w:val="0"/>
                      <w:iCs w:val="0"/>
                      <w:color w:val="000000"/>
                      <w:kern w:val="0"/>
                      <w:sz w:val="18"/>
                      <w:szCs w:val="18"/>
                      <w:highlight w:val="none"/>
                      <w:u w:val="none"/>
                      <w:lang w:val="en-US" w:eastAsia="zh-CN" w:bidi="ar"/>
                    </w:rPr>
                    <w:t>1</w:t>
                  </w:r>
                </w:p>
              </w:tc>
              <w:tc>
                <w:tcPr>
                  <w:tcW w:w="357" w:type="pct"/>
                  <w:tcBorders>
                    <w:top w:val="single" w:color="auto" w:sz="4" w:space="0"/>
                    <w:left w:val="single" w:color="auto" w:sz="4" w:space="0"/>
                    <w:bottom w:val="single" w:color="auto" w:sz="4" w:space="0"/>
                    <w:right w:val="single" w:color="auto" w:sz="4" w:space="0"/>
                  </w:tcBorders>
                  <w:vAlign w:val="center"/>
                </w:tcPr>
                <w:p w14:paraId="6211880C">
                  <w:pPr>
                    <w:keepNext w:val="0"/>
                    <w:keepLines w:val="0"/>
                    <w:widowControl/>
                    <w:suppressLineNumbers w:val="0"/>
                    <w:spacing w:before="0" w:beforeAutospacing="0" w:after="0" w:afterAutospacing="0"/>
                    <w:ind w:left="0" w:right="0"/>
                    <w:jc w:val="center"/>
                    <w:textAlignment w:val="center"/>
                    <w:rPr>
                      <w:rFonts w:hint="eastAsia"/>
                      <w:bCs/>
                      <w:kern w:val="0"/>
                      <w:sz w:val="18"/>
                      <w:szCs w:val="18"/>
                      <w:highlight w:val="none"/>
                      <w:lang w:val="en-US" w:eastAsia="zh-CN"/>
                    </w:rPr>
                  </w:pPr>
                  <w:r>
                    <w:rPr>
                      <w:rFonts w:hint="eastAsia" w:ascii="Times New Roman" w:hAnsi="Times New Roman" w:eastAsia="宋体" w:cs="Times New Roman"/>
                      <w:i w:val="0"/>
                      <w:iCs w:val="0"/>
                      <w:color w:val="000000"/>
                      <w:kern w:val="0"/>
                      <w:sz w:val="18"/>
                      <w:szCs w:val="18"/>
                      <w:highlight w:val="none"/>
                      <w:u w:val="none"/>
                      <w:lang w:val="en-US" w:eastAsia="zh-CN" w:bidi="ar"/>
                    </w:rPr>
                    <w:t>~</w:t>
                  </w:r>
                  <w:r>
                    <w:rPr>
                      <w:rFonts w:hint="default" w:ascii="Times New Roman" w:hAnsi="Times New Roman" w:eastAsia="宋体" w:cs="Times New Roman"/>
                      <w:i w:val="0"/>
                      <w:iCs w:val="0"/>
                      <w:color w:val="000000"/>
                      <w:kern w:val="0"/>
                      <w:sz w:val="18"/>
                      <w:szCs w:val="18"/>
                      <w:highlight w:val="none"/>
                      <w:u w:val="none"/>
                      <w:lang w:val="en-US" w:eastAsia="zh-CN" w:bidi="ar"/>
                    </w:rPr>
                    <w:t>0</w:t>
                  </w:r>
                </w:p>
              </w:tc>
              <w:tc>
                <w:tcPr>
                  <w:tcW w:w="404" w:type="pct"/>
                  <w:tcBorders>
                    <w:top w:val="single" w:color="auto" w:sz="4" w:space="0"/>
                    <w:left w:val="single" w:color="auto" w:sz="4" w:space="0"/>
                    <w:right w:val="single" w:color="auto" w:sz="4" w:space="0"/>
                  </w:tcBorders>
                  <w:vAlign w:val="center"/>
                </w:tcPr>
                <w:p w14:paraId="2A1CC8B6">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64" w:lineRule="auto"/>
                    <w:ind w:left="0" w:right="0"/>
                    <w:jc w:val="center"/>
                    <w:textAlignment w:val="auto"/>
                    <w:rPr>
                      <w:rFonts w:hint="default"/>
                      <w:bCs/>
                      <w:kern w:val="0"/>
                      <w:sz w:val="18"/>
                      <w:szCs w:val="18"/>
                      <w:highlight w:val="none"/>
                      <w:lang w:val="en-US" w:eastAsia="zh-CN"/>
                    </w:rPr>
                  </w:pPr>
                  <w:r>
                    <w:rPr>
                      <w:rFonts w:hint="eastAsia" w:ascii="Times New Roman" w:hAnsi="Times New Roman" w:eastAsia="宋体" w:cs="Times New Roman"/>
                      <w:i w:val="0"/>
                      <w:iCs w:val="0"/>
                      <w:color w:val="000000"/>
                      <w:kern w:val="0"/>
                      <w:sz w:val="18"/>
                      <w:szCs w:val="18"/>
                      <w:highlight w:val="none"/>
                      <w:u w:val="none"/>
                      <w:lang w:val="en-US" w:eastAsia="zh-CN" w:bidi="ar"/>
                    </w:rPr>
                    <w:t>~</w:t>
                  </w:r>
                  <w:r>
                    <w:rPr>
                      <w:rFonts w:hint="default" w:ascii="Times New Roman" w:hAnsi="Times New Roman" w:eastAsia="宋体" w:cs="Times New Roman"/>
                      <w:i w:val="0"/>
                      <w:iCs w:val="0"/>
                      <w:color w:val="000000"/>
                      <w:kern w:val="0"/>
                      <w:sz w:val="18"/>
                      <w:szCs w:val="18"/>
                      <w:highlight w:val="none"/>
                      <w:u w:val="none"/>
                      <w:lang w:val="en-US" w:eastAsia="zh-CN" w:bidi="ar"/>
                    </w:rPr>
                    <w:t>0</w:t>
                  </w:r>
                </w:p>
              </w:tc>
              <w:tc>
                <w:tcPr>
                  <w:tcW w:w="383" w:type="pct"/>
                  <w:vMerge w:val="continue"/>
                  <w:tcBorders>
                    <w:left w:val="single" w:color="auto" w:sz="4" w:space="0"/>
                    <w:right w:val="single" w:color="auto" w:sz="4" w:space="0"/>
                  </w:tcBorders>
                  <w:vAlign w:val="center"/>
                </w:tcPr>
                <w:p w14:paraId="41BB8A24">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64" w:lineRule="auto"/>
                    <w:ind w:left="0" w:right="0"/>
                    <w:jc w:val="center"/>
                    <w:textAlignment w:val="auto"/>
                    <w:rPr>
                      <w:rFonts w:hint="default"/>
                      <w:snapToGrid w:val="0"/>
                      <w:sz w:val="18"/>
                      <w:szCs w:val="18"/>
                      <w:highlight w:val="none"/>
                    </w:rPr>
                  </w:pPr>
                </w:p>
              </w:tc>
              <w:tc>
                <w:tcPr>
                  <w:tcW w:w="240" w:type="pct"/>
                  <w:tcBorders>
                    <w:left w:val="single" w:color="auto" w:sz="4" w:space="0"/>
                    <w:right w:val="single" w:color="auto" w:sz="4" w:space="0"/>
                  </w:tcBorders>
                  <w:shd w:val="clear" w:color="auto" w:fill="auto"/>
                  <w:vAlign w:val="center"/>
                </w:tcPr>
                <w:p w14:paraId="6F413F87">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64" w:lineRule="auto"/>
                    <w:ind w:left="0" w:right="0"/>
                    <w:jc w:val="center"/>
                    <w:textAlignment w:val="auto"/>
                    <w:rPr>
                      <w:rFonts w:hint="default" w:ascii="Times New Roman" w:hAnsi="Times New Roman" w:eastAsia="宋体" w:cs="Times New Roman"/>
                      <w:bCs/>
                      <w:kern w:val="0"/>
                      <w:sz w:val="18"/>
                      <w:szCs w:val="18"/>
                      <w:highlight w:val="none"/>
                      <w:lang w:val="en-US" w:eastAsia="zh-CN" w:bidi="ar-SA"/>
                    </w:rPr>
                  </w:pPr>
                  <w:r>
                    <w:rPr>
                      <w:rFonts w:hint="eastAsia"/>
                      <w:bCs/>
                      <w:kern w:val="0"/>
                      <w:sz w:val="18"/>
                      <w:szCs w:val="18"/>
                      <w:highlight w:val="none"/>
                      <w:lang w:val="en-US" w:eastAsia="zh-CN"/>
                    </w:rPr>
                    <w:t>50</w:t>
                  </w:r>
                </w:p>
              </w:tc>
              <w:tc>
                <w:tcPr>
                  <w:tcW w:w="317" w:type="pct"/>
                  <w:vMerge w:val="continue"/>
                  <w:tcBorders>
                    <w:left w:val="single" w:color="auto" w:sz="4" w:space="0"/>
                    <w:right w:val="single" w:color="auto" w:sz="4" w:space="0"/>
                  </w:tcBorders>
                  <w:shd w:val="clear" w:color="auto" w:fill="auto"/>
                  <w:vAlign w:val="center"/>
                </w:tcPr>
                <w:p w14:paraId="4A9E3FBA">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64" w:lineRule="auto"/>
                    <w:ind w:left="0" w:right="0"/>
                    <w:jc w:val="center"/>
                    <w:textAlignment w:val="auto"/>
                    <w:rPr>
                      <w:rFonts w:hint="eastAsia"/>
                      <w:bCs/>
                      <w:kern w:val="0"/>
                      <w:sz w:val="18"/>
                      <w:szCs w:val="18"/>
                      <w:highlight w:val="none"/>
                      <w:lang w:val="en-US" w:eastAsia="zh-CN"/>
                    </w:rPr>
                  </w:pPr>
                </w:p>
              </w:tc>
              <w:tc>
                <w:tcPr>
                  <w:tcW w:w="380" w:type="pct"/>
                  <w:tcBorders>
                    <w:top w:val="single" w:color="auto" w:sz="4" w:space="0"/>
                    <w:left w:val="single" w:color="auto" w:sz="4" w:space="0"/>
                    <w:right w:val="single" w:color="auto" w:sz="4" w:space="0"/>
                  </w:tcBorders>
                  <w:shd w:val="clear" w:color="auto" w:fill="auto"/>
                  <w:vAlign w:val="center"/>
                </w:tcPr>
                <w:p w14:paraId="7A795A2A">
                  <w:pPr>
                    <w:keepNext w:val="0"/>
                    <w:keepLines w:val="0"/>
                    <w:widowControl/>
                    <w:suppressLineNumbers w:val="0"/>
                    <w:spacing w:before="0" w:beforeAutospacing="0" w:after="0" w:afterAutospacing="0"/>
                    <w:ind w:left="0" w:right="0"/>
                    <w:jc w:val="center"/>
                    <w:textAlignment w:val="center"/>
                    <w:rPr>
                      <w:rFonts w:hint="eastAsia"/>
                      <w:bCs/>
                      <w:kern w:val="0"/>
                      <w:sz w:val="18"/>
                      <w:szCs w:val="18"/>
                      <w:highlight w:val="none"/>
                      <w:lang w:val="en-US" w:eastAsia="zh-CN"/>
                    </w:rPr>
                  </w:pPr>
                  <w:r>
                    <w:rPr>
                      <w:rFonts w:hint="default" w:ascii="Times New Roman" w:hAnsi="Times New Roman" w:eastAsia="宋体" w:cs="Times New Roman"/>
                      <w:i w:val="0"/>
                      <w:iCs w:val="0"/>
                      <w:color w:val="000000"/>
                      <w:kern w:val="0"/>
                      <w:sz w:val="18"/>
                      <w:szCs w:val="18"/>
                      <w:highlight w:val="none"/>
                      <w:u w:val="none"/>
                      <w:lang w:val="en-US" w:eastAsia="zh-CN" w:bidi="ar"/>
                    </w:rPr>
                    <w:t>0.001</w:t>
                  </w:r>
                </w:p>
              </w:tc>
              <w:tc>
                <w:tcPr>
                  <w:tcW w:w="362" w:type="pct"/>
                  <w:tcBorders>
                    <w:top w:val="single" w:color="auto" w:sz="4" w:space="0"/>
                    <w:left w:val="single" w:color="auto" w:sz="4" w:space="0"/>
                    <w:right w:val="single" w:color="auto" w:sz="4" w:space="0"/>
                  </w:tcBorders>
                  <w:vAlign w:val="center"/>
                </w:tcPr>
                <w:p w14:paraId="6DDC4411">
                  <w:pPr>
                    <w:keepNext w:val="0"/>
                    <w:keepLines w:val="0"/>
                    <w:widowControl/>
                    <w:suppressLineNumbers w:val="0"/>
                    <w:spacing w:before="0" w:beforeAutospacing="0" w:after="0" w:afterAutospacing="0"/>
                    <w:ind w:left="0" w:right="0"/>
                    <w:jc w:val="center"/>
                    <w:textAlignment w:val="center"/>
                    <w:rPr>
                      <w:rFonts w:hint="eastAsia"/>
                      <w:bCs/>
                      <w:kern w:val="0"/>
                      <w:sz w:val="18"/>
                      <w:szCs w:val="18"/>
                      <w:highlight w:val="none"/>
                      <w:lang w:val="en-US" w:eastAsia="zh-CN"/>
                    </w:rPr>
                  </w:pPr>
                  <w:r>
                    <w:rPr>
                      <w:rFonts w:hint="eastAsia" w:ascii="Times New Roman" w:hAnsi="Times New Roman" w:eastAsia="宋体" w:cs="Times New Roman"/>
                      <w:i w:val="0"/>
                      <w:iCs w:val="0"/>
                      <w:color w:val="000000"/>
                      <w:kern w:val="0"/>
                      <w:sz w:val="18"/>
                      <w:szCs w:val="18"/>
                      <w:highlight w:val="none"/>
                      <w:u w:val="none"/>
                      <w:lang w:val="en-US" w:eastAsia="zh-CN" w:bidi="ar"/>
                    </w:rPr>
                    <w:t>~</w:t>
                  </w:r>
                  <w:r>
                    <w:rPr>
                      <w:rFonts w:hint="default" w:ascii="Times New Roman" w:hAnsi="Times New Roman" w:eastAsia="宋体" w:cs="Times New Roman"/>
                      <w:i w:val="0"/>
                      <w:iCs w:val="0"/>
                      <w:color w:val="000000"/>
                      <w:kern w:val="0"/>
                      <w:sz w:val="18"/>
                      <w:szCs w:val="18"/>
                      <w:highlight w:val="none"/>
                      <w:u w:val="none"/>
                      <w:lang w:val="en-US" w:eastAsia="zh-CN" w:bidi="ar"/>
                    </w:rPr>
                    <w:t>0</w:t>
                  </w:r>
                </w:p>
              </w:tc>
              <w:tc>
                <w:tcPr>
                  <w:tcW w:w="340" w:type="pct"/>
                  <w:tcBorders>
                    <w:top w:val="single" w:color="auto" w:sz="4" w:space="0"/>
                    <w:left w:val="single" w:color="auto" w:sz="4" w:space="0"/>
                    <w:right w:val="single" w:color="auto" w:sz="4" w:space="0"/>
                  </w:tcBorders>
                  <w:vAlign w:val="center"/>
                </w:tcPr>
                <w:p w14:paraId="2487BBDF">
                  <w:pPr>
                    <w:keepNext w:val="0"/>
                    <w:keepLines w:val="0"/>
                    <w:widowControl/>
                    <w:suppressLineNumbers w:val="0"/>
                    <w:spacing w:before="0" w:beforeAutospacing="0" w:after="0" w:afterAutospacing="0"/>
                    <w:ind w:left="0" w:right="0"/>
                    <w:jc w:val="center"/>
                    <w:textAlignment w:val="center"/>
                    <w:rPr>
                      <w:rFonts w:hint="default" w:eastAsia="宋体"/>
                      <w:bCs/>
                      <w:kern w:val="0"/>
                      <w:sz w:val="18"/>
                      <w:szCs w:val="18"/>
                      <w:highlight w:val="none"/>
                      <w:lang w:val="en-US" w:eastAsia="zh-CN"/>
                    </w:rPr>
                  </w:pPr>
                  <w:r>
                    <w:rPr>
                      <w:rFonts w:hint="eastAsia" w:ascii="Times New Roman" w:hAnsi="Times New Roman" w:eastAsia="宋体" w:cs="Times New Roman"/>
                      <w:i w:val="0"/>
                      <w:iCs w:val="0"/>
                      <w:color w:val="000000"/>
                      <w:kern w:val="0"/>
                      <w:sz w:val="18"/>
                      <w:szCs w:val="18"/>
                      <w:highlight w:val="none"/>
                      <w:u w:val="none"/>
                      <w:lang w:val="en-US" w:eastAsia="zh-CN" w:bidi="ar"/>
                    </w:rPr>
                    <w:t>~</w:t>
                  </w:r>
                  <w:r>
                    <w:rPr>
                      <w:rFonts w:hint="default" w:ascii="Times New Roman" w:hAnsi="Times New Roman" w:eastAsia="宋体" w:cs="Times New Roman"/>
                      <w:i w:val="0"/>
                      <w:iCs w:val="0"/>
                      <w:color w:val="000000"/>
                      <w:kern w:val="0"/>
                      <w:sz w:val="18"/>
                      <w:szCs w:val="18"/>
                      <w:highlight w:val="none"/>
                      <w:u w:val="none"/>
                      <w:lang w:val="en-US" w:eastAsia="zh-CN" w:bidi="ar"/>
                    </w:rPr>
                    <w:t>0</w:t>
                  </w:r>
                </w:p>
              </w:tc>
              <w:tc>
                <w:tcPr>
                  <w:tcW w:w="255" w:type="pct"/>
                  <w:vMerge w:val="continue"/>
                  <w:tcBorders>
                    <w:left w:val="single" w:color="auto" w:sz="4" w:space="0"/>
                    <w:right w:val="single" w:color="auto" w:sz="4" w:space="0"/>
                  </w:tcBorders>
                  <w:vAlign w:val="center"/>
                </w:tcPr>
                <w:p w14:paraId="39D881B9">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64" w:lineRule="auto"/>
                    <w:ind w:left="0" w:right="0"/>
                    <w:jc w:val="center"/>
                    <w:textAlignment w:val="auto"/>
                    <w:rPr>
                      <w:rFonts w:hint="default"/>
                      <w:bCs/>
                      <w:kern w:val="0"/>
                      <w:sz w:val="18"/>
                      <w:szCs w:val="18"/>
                      <w:highlight w:val="none"/>
                    </w:rPr>
                  </w:pPr>
                </w:p>
              </w:tc>
            </w:tr>
            <w:tr w14:paraId="3A52829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353" w:hRule="atLeast"/>
                <w:jc w:val="center"/>
              </w:trPr>
              <w:tc>
                <w:tcPr>
                  <w:tcW w:w="271" w:type="pct"/>
                  <w:vMerge w:val="continue"/>
                  <w:tcBorders>
                    <w:left w:val="single" w:color="auto" w:sz="4" w:space="0"/>
                    <w:right w:val="single" w:color="auto" w:sz="4" w:space="0"/>
                  </w:tcBorders>
                  <w:vAlign w:val="center"/>
                </w:tcPr>
                <w:p w14:paraId="1C7899B5">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64" w:lineRule="auto"/>
                    <w:ind w:left="0" w:right="0"/>
                    <w:jc w:val="center"/>
                    <w:textAlignment w:val="auto"/>
                    <w:rPr>
                      <w:rFonts w:hint="default"/>
                      <w:bCs/>
                      <w:kern w:val="0"/>
                      <w:sz w:val="18"/>
                      <w:szCs w:val="18"/>
                      <w:highlight w:val="none"/>
                    </w:rPr>
                  </w:pPr>
                </w:p>
              </w:tc>
              <w:tc>
                <w:tcPr>
                  <w:tcW w:w="331" w:type="pct"/>
                  <w:vMerge w:val="continue"/>
                  <w:tcBorders>
                    <w:left w:val="single" w:color="auto" w:sz="4" w:space="0"/>
                    <w:right w:val="single" w:color="auto" w:sz="4" w:space="0"/>
                  </w:tcBorders>
                  <w:vAlign w:val="center"/>
                </w:tcPr>
                <w:p w14:paraId="49360AC0">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64" w:lineRule="auto"/>
                    <w:ind w:left="0" w:right="0"/>
                    <w:jc w:val="center"/>
                    <w:textAlignment w:val="auto"/>
                    <w:rPr>
                      <w:rFonts w:hint="default"/>
                      <w:bCs/>
                      <w:kern w:val="0"/>
                      <w:sz w:val="18"/>
                      <w:szCs w:val="18"/>
                      <w:highlight w:val="none"/>
                    </w:rPr>
                  </w:pPr>
                </w:p>
              </w:tc>
              <w:tc>
                <w:tcPr>
                  <w:tcW w:w="404" w:type="pct"/>
                  <w:vMerge w:val="continue"/>
                  <w:tcBorders>
                    <w:left w:val="single" w:color="auto" w:sz="4" w:space="0"/>
                    <w:right w:val="single" w:color="auto" w:sz="4" w:space="0"/>
                  </w:tcBorders>
                  <w:vAlign w:val="center"/>
                </w:tcPr>
                <w:p w14:paraId="572D3919">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64" w:lineRule="auto"/>
                    <w:ind w:left="0" w:right="0"/>
                    <w:jc w:val="center"/>
                    <w:textAlignment w:val="auto"/>
                    <w:rPr>
                      <w:rFonts w:hint="default"/>
                      <w:bCs/>
                      <w:kern w:val="0"/>
                      <w:sz w:val="18"/>
                      <w:szCs w:val="18"/>
                      <w:highlight w:val="none"/>
                    </w:rPr>
                  </w:pPr>
                </w:p>
              </w:tc>
              <w:tc>
                <w:tcPr>
                  <w:tcW w:w="593" w:type="pct"/>
                  <w:tcBorders>
                    <w:left w:val="single" w:color="auto" w:sz="4" w:space="0"/>
                    <w:bottom w:val="single" w:color="auto" w:sz="4" w:space="0"/>
                    <w:right w:val="single" w:color="auto" w:sz="4" w:space="0"/>
                  </w:tcBorders>
                  <w:shd w:val="clear" w:color="auto" w:fill="auto"/>
                  <w:vAlign w:val="center"/>
                </w:tcPr>
                <w:p w14:paraId="07CF99A1">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64" w:lineRule="auto"/>
                    <w:ind w:left="0" w:right="0"/>
                    <w:jc w:val="center"/>
                    <w:textAlignment w:val="auto"/>
                    <w:rPr>
                      <w:rFonts w:hint="default" w:ascii="Times New Roman" w:hAnsi="Times New Roman" w:eastAsia="宋体" w:cs="Times New Roman"/>
                      <w:bCs/>
                      <w:kern w:val="0"/>
                      <w:sz w:val="18"/>
                      <w:szCs w:val="18"/>
                      <w:highlight w:val="none"/>
                      <w:lang w:val="en-US" w:eastAsia="zh-CN" w:bidi="ar-SA"/>
                    </w:rPr>
                  </w:pPr>
                  <w:r>
                    <w:rPr>
                      <w:rFonts w:hint="default"/>
                      <w:bCs/>
                      <w:kern w:val="0"/>
                      <w:sz w:val="18"/>
                      <w:szCs w:val="18"/>
                      <w:highlight w:val="none"/>
                    </w:rPr>
                    <w:t>臭气浓度</w:t>
                  </w:r>
                </w:p>
              </w:tc>
              <w:tc>
                <w:tcPr>
                  <w:tcW w:w="1119" w:type="pct"/>
                  <w:gridSpan w:val="3"/>
                  <w:tcBorders>
                    <w:top w:val="single" w:color="auto" w:sz="4" w:space="0"/>
                    <w:left w:val="single" w:color="auto" w:sz="4" w:space="0"/>
                    <w:bottom w:val="single" w:color="auto" w:sz="4" w:space="0"/>
                    <w:right w:val="single" w:color="auto" w:sz="4" w:space="0"/>
                  </w:tcBorders>
                  <w:vAlign w:val="center"/>
                </w:tcPr>
                <w:p w14:paraId="07C985AD">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64" w:lineRule="auto"/>
                    <w:ind w:left="0" w:right="0"/>
                    <w:jc w:val="center"/>
                    <w:textAlignment w:val="auto"/>
                    <w:rPr>
                      <w:rFonts w:hint="eastAsia"/>
                      <w:bCs/>
                      <w:kern w:val="0"/>
                      <w:sz w:val="18"/>
                      <w:szCs w:val="18"/>
                      <w:highlight w:val="none"/>
                      <w:lang w:val="en-US" w:eastAsia="zh-CN"/>
                    </w:rPr>
                  </w:pPr>
                  <w:r>
                    <w:rPr>
                      <w:rFonts w:hint="eastAsia"/>
                      <w:bCs/>
                      <w:color w:val="auto"/>
                      <w:kern w:val="0"/>
                      <w:sz w:val="18"/>
                      <w:szCs w:val="18"/>
                      <w:highlight w:val="none"/>
                      <w:lang w:val="en-US" w:eastAsia="zh-CN"/>
                    </w:rPr>
                    <w:t>1318</w:t>
                  </w:r>
                  <w:r>
                    <w:rPr>
                      <w:rFonts w:hint="eastAsia"/>
                      <w:bCs/>
                      <w:kern w:val="0"/>
                      <w:sz w:val="18"/>
                      <w:szCs w:val="18"/>
                      <w:highlight w:val="none"/>
                      <w:lang w:val="en-US" w:eastAsia="zh-CN"/>
                    </w:rPr>
                    <w:t>（无量纲）</w:t>
                  </w:r>
                </w:p>
              </w:tc>
              <w:tc>
                <w:tcPr>
                  <w:tcW w:w="383" w:type="pct"/>
                  <w:vMerge w:val="continue"/>
                  <w:tcBorders>
                    <w:left w:val="single" w:color="auto" w:sz="4" w:space="0"/>
                    <w:right w:val="single" w:color="auto" w:sz="4" w:space="0"/>
                  </w:tcBorders>
                  <w:vAlign w:val="center"/>
                </w:tcPr>
                <w:p w14:paraId="7B32D39D">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64" w:lineRule="auto"/>
                    <w:ind w:left="0" w:right="0"/>
                    <w:jc w:val="center"/>
                    <w:textAlignment w:val="auto"/>
                    <w:rPr>
                      <w:rFonts w:hint="default"/>
                      <w:snapToGrid w:val="0"/>
                      <w:sz w:val="18"/>
                      <w:szCs w:val="18"/>
                      <w:highlight w:val="none"/>
                    </w:rPr>
                  </w:pPr>
                </w:p>
              </w:tc>
              <w:tc>
                <w:tcPr>
                  <w:tcW w:w="240" w:type="pct"/>
                  <w:tcBorders>
                    <w:left w:val="single" w:color="auto" w:sz="4" w:space="0"/>
                    <w:right w:val="single" w:color="auto" w:sz="4" w:space="0"/>
                  </w:tcBorders>
                  <w:vAlign w:val="center"/>
                </w:tcPr>
                <w:p w14:paraId="4A34DBF4">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64" w:lineRule="auto"/>
                    <w:ind w:left="0" w:right="0"/>
                    <w:jc w:val="center"/>
                    <w:textAlignment w:val="auto"/>
                    <w:rPr>
                      <w:rFonts w:hint="default"/>
                      <w:bCs/>
                      <w:kern w:val="0"/>
                      <w:sz w:val="18"/>
                      <w:szCs w:val="18"/>
                      <w:highlight w:val="none"/>
                    </w:rPr>
                  </w:pPr>
                  <w:r>
                    <w:rPr>
                      <w:rFonts w:hint="eastAsia"/>
                      <w:bCs/>
                      <w:color w:val="auto"/>
                      <w:kern w:val="0"/>
                      <w:sz w:val="18"/>
                      <w:szCs w:val="18"/>
                      <w:highlight w:val="none"/>
                      <w:lang w:val="en-US" w:eastAsia="zh-CN"/>
                    </w:rPr>
                    <w:t>58.3</w:t>
                  </w:r>
                </w:p>
              </w:tc>
              <w:tc>
                <w:tcPr>
                  <w:tcW w:w="317" w:type="pct"/>
                  <w:vMerge w:val="continue"/>
                  <w:tcBorders>
                    <w:left w:val="single" w:color="auto" w:sz="4" w:space="0"/>
                    <w:right w:val="single" w:color="auto" w:sz="4" w:space="0"/>
                  </w:tcBorders>
                  <w:vAlign w:val="center"/>
                </w:tcPr>
                <w:p w14:paraId="24673817">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64" w:lineRule="auto"/>
                    <w:ind w:left="0" w:right="0"/>
                    <w:jc w:val="center"/>
                    <w:textAlignment w:val="auto"/>
                    <w:rPr>
                      <w:rFonts w:hint="default"/>
                      <w:bCs/>
                      <w:kern w:val="0"/>
                      <w:sz w:val="18"/>
                      <w:szCs w:val="18"/>
                      <w:highlight w:val="none"/>
                    </w:rPr>
                  </w:pPr>
                </w:p>
              </w:tc>
              <w:tc>
                <w:tcPr>
                  <w:tcW w:w="1083" w:type="pct"/>
                  <w:gridSpan w:val="3"/>
                  <w:tcBorders>
                    <w:top w:val="single" w:color="auto" w:sz="4" w:space="0"/>
                    <w:left w:val="single" w:color="auto" w:sz="4" w:space="0"/>
                    <w:right w:val="single" w:color="auto" w:sz="4" w:space="0"/>
                  </w:tcBorders>
                  <w:vAlign w:val="center"/>
                </w:tcPr>
                <w:p w14:paraId="246BB412">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64" w:lineRule="auto"/>
                    <w:ind w:left="0" w:right="0"/>
                    <w:jc w:val="center"/>
                    <w:textAlignment w:val="auto"/>
                    <w:rPr>
                      <w:rFonts w:hint="default"/>
                      <w:bCs/>
                      <w:kern w:val="0"/>
                      <w:sz w:val="18"/>
                      <w:szCs w:val="18"/>
                      <w:highlight w:val="none"/>
                    </w:rPr>
                  </w:pPr>
                  <w:r>
                    <w:rPr>
                      <w:rFonts w:hint="eastAsia"/>
                      <w:bCs/>
                      <w:kern w:val="0"/>
                      <w:sz w:val="18"/>
                      <w:szCs w:val="18"/>
                      <w:highlight w:val="none"/>
                      <w:lang w:val="en-US" w:eastAsia="zh-CN"/>
                    </w:rPr>
                    <w:t>549（无量纲）</w:t>
                  </w:r>
                </w:p>
              </w:tc>
              <w:tc>
                <w:tcPr>
                  <w:tcW w:w="255" w:type="pct"/>
                  <w:vMerge w:val="continue"/>
                  <w:tcBorders>
                    <w:left w:val="single" w:color="auto" w:sz="4" w:space="0"/>
                    <w:right w:val="single" w:color="auto" w:sz="4" w:space="0"/>
                  </w:tcBorders>
                  <w:vAlign w:val="center"/>
                </w:tcPr>
                <w:p w14:paraId="79B363C6">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64" w:lineRule="auto"/>
                    <w:ind w:left="0" w:right="0"/>
                    <w:jc w:val="center"/>
                    <w:textAlignment w:val="auto"/>
                    <w:rPr>
                      <w:rFonts w:hint="default"/>
                      <w:bCs/>
                      <w:kern w:val="0"/>
                      <w:sz w:val="18"/>
                      <w:szCs w:val="18"/>
                      <w:highlight w:val="none"/>
                    </w:rPr>
                  </w:pPr>
                </w:p>
              </w:tc>
            </w:tr>
            <w:tr w14:paraId="496E190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305" w:hRule="atLeast"/>
                <w:jc w:val="center"/>
              </w:trPr>
              <w:tc>
                <w:tcPr>
                  <w:tcW w:w="271" w:type="pct"/>
                  <w:vMerge w:val="continue"/>
                  <w:tcBorders>
                    <w:left w:val="single" w:color="auto" w:sz="4" w:space="0"/>
                    <w:right w:val="single" w:color="auto" w:sz="4" w:space="0"/>
                  </w:tcBorders>
                  <w:vAlign w:val="center"/>
                </w:tcPr>
                <w:p w14:paraId="32640F0E">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64" w:lineRule="auto"/>
                    <w:ind w:left="0" w:right="0"/>
                    <w:jc w:val="center"/>
                    <w:textAlignment w:val="auto"/>
                    <w:rPr>
                      <w:rFonts w:hint="default"/>
                      <w:bCs/>
                      <w:kern w:val="0"/>
                      <w:sz w:val="18"/>
                      <w:szCs w:val="18"/>
                      <w:highlight w:val="none"/>
                    </w:rPr>
                  </w:pPr>
                </w:p>
              </w:tc>
              <w:tc>
                <w:tcPr>
                  <w:tcW w:w="331" w:type="pct"/>
                  <w:vMerge w:val="continue"/>
                  <w:tcBorders>
                    <w:left w:val="single" w:color="auto" w:sz="4" w:space="0"/>
                    <w:right w:val="single" w:color="auto" w:sz="4" w:space="0"/>
                  </w:tcBorders>
                  <w:vAlign w:val="center"/>
                </w:tcPr>
                <w:p w14:paraId="43212C73">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64" w:lineRule="auto"/>
                    <w:ind w:left="0" w:right="0"/>
                    <w:jc w:val="center"/>
                    <w:textAlignment w:val="auto"/>
                    <w:rPr>
                      <w:rFonts w:hint="default"/>
                      <w:bCs/>
                      <w:kern w:val="0"/>
                      <w:sz w:val="18"/>
                      <w:szCs w:val="18"/>
                      <w:highlight w:val="none"/>
                    </w:rPr>
                  </w:pPr>
                </w:p>
              </w:tc>
              <w:tc>
                <w:tcPr>
                  <w:tcW w:w="404" w:type="pct"/>
                  <w:vMerge w:val="continue"/>
                  <w:tcBorders>
                    <w:left w:val="single" w:color="auto" w:sz="4" w:space="0"/>
                    <w:right w:val="single" w:color="auto" w:sz="4" w:space="0"/>
                  </w:tcBorders>
                  <w:vAlign w:val="center"/>
                </w:tcPr>
                <w:p w14:paraId="1C30C069">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64" w:lineRule="auto"/>
                    <w:ind w:left="0" w:right="0"/>
                    <w:jc w:val="center"/>
                    <w:textAlignment w:val="auto"/>
                    <w:rPr>
                      <w:rFonts w:hint="default"/>
                      <w:bCs/>
                      <w:kern w:val="0"/>
                      <w:sz w:val="18"/>
                      <w:szCs w:val="18"/>
                      <w:highlight w:val="none"/>
                    </w:rPr>
                  </w:pPr>
                </w:p>
              </w:tc>
              <w:tc>
                <w:tcPr>
                  <w:tcW w:w="593" w:type="pct"/>
                  <w:tcBorders>
                    <w:left w:val="single" w:color="auto" w:sz="4" w:space="0"/>
                    <w:bottom w:val="single" w:color="auto" w:sz="4" w:space="0"/>
                    <w:right w:val="single" w:color="auto" w:sz="4" w:space="0"/>
                  </w:tcBorders>
                  <w:shd w:val="clear" w:color="auto" w:fill="auto"/>
                  <w:vAlign w:val="center"/>
                </w:tcPr>
                <w:p w14:paraId="58F1B5C5">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64" w:lineRule="auto"/>
                    <w:ind w:left="0" w:right="0"/>
                    <w:jc w:val="center"/>
                    <w:textAlignment w:val="auto"/>
                    <w:rPr>
                      <w:rFonts w:hint="default" w:eastAsia="宋体"/>
                      <w:bCs/>
                      <w:kern w:val="0"/>
                      <w:sz w:val="18"/>
                      <w:szCs w:val="18"/>
                      <w:highlight w:val="none"/>
                      <w:lang w:val="en-US" w:eastAsia="zh-CN"/>
                    </w:rPr>
                  </w:pPr>
                  <w:r>
                    <w:rPr>
                      <w:rFonts w:hint="eastAsia"/>
                      <w:bCs/>
                      <w:kern w:val="0"/>
                      <w:sz w:val="18"/>
                      <w:szCs w:val="18"/>
                      <w:highlight w:val="none"/>
                      <w:lang w:val="en-US" w:eastAsia="zh-CN"/>
                    </w:rPr>
                    <w:t>颗粒物</w:t>
                  </w:r>
                </w:p>
              </w:tc>
              <w:tc>
                <w:tcPr>
                  <w:tcW w:w="1119" w:type="pct"/>
                  <w:gridSpan w:val="3"/>
                  <w:tcBorders>
                    <w:top w:val="single" w:color="auto" w:sz="4" w:space="0"/>
                    <w:left w:val="single" w:color="auto" w:sz="4" w:space="0"/>
                    <w:bottom w:val="single" w:color="auto" w:sz="4" w:space="0"/>
                    <w:right w:val="single" w:color="auto" w:sz="4" w:space="0"/>
                  </w:tcBorders>
                  <w:vAlign w:val="center"/>
                </w:tcPr>
                <w:p w14:paraId="0973ACBB">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64" w:lineRule="auto"/>
                    <w:ind w:left="0" w:right="0"/>
                    <w:jc w:val="center"/>
                    <w:textAlignment w:val="auto"/>
                    <w:rPr>
                      <w:rFonts w:hint="eastAsia"/>
                      <w:bCs/>
                      <w:color w:val="auto"/>
                      <w:kern w:val="0"/>
                      <w:sz w:val="18"/>
                      <w:szCs w:val="18"/>
                      <w:highlight w:val="none"/>
                      <w:lang w:val="en-US" w:eastAsia="zh-CN"/>
                    </w:rPr>
                  </w:pPr>
                  <w:r>
                    <w:rPr>
                      <w:rFonts w:hint="eastAsia"/>
                      <w:bCs/>
                      <w:color w:val="auto"/>
                      <w:kern w:val="0"/>
                      <w:sz w:val="18"/>
                      <w:szCs w:val="18"/>
                      <w:highlight w:val="none"/>
                      <w:lang w:val="en-US" w:eastAsia="zh-CN"/>
                    </w:rPr>
                    <w:t>少量</w:t>
                  </w:r>
                </w:p>
              </w:tc>
              <w:tc>
                <w:tcPr>
                  <w:tcW w:w="383" w:type="pct"/>
                  <w:vMerge w:val="continue"/>
                  <w:tcBorders>
                    <w:left w:val="single" w:color="auto" w:sz="4" w:space="0"/>
                    <w:right w:val="single" w:color="auto" w:sz="4" w:space="0"/>
                  </w:tcBorders>
                  <w:vAlign w:val="center"/>
                </w:tcPr>
                <w:p w14:paraId="6ACF9997">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64" w:lineRule="auto"/>
                    <w:ind w:left="0" w:right="0"/>
                    <w:jc w:val="center"/>
                    <w:textAlignment w:val="auto"/>
                    <w:rPr>
                      <w:rFonts w:hint="default"/>
                      <w:snapToGrid w:val="0"/>
                      <w:sz w:val="18"/>
                      <w:szCs w:val="18"/>
                      <w:highlight w:val="none"/>
                    </w:rPr>
                  </w:pPr>
                </w:p>
              </w:tc>
              <w:tc>
                <w:tcPr>
                  <w:tcW w:w="240" w:type="pct"/>
                  <w:tcBorders>
                    <w:left w:val="single" w:color="auto" w:sz="4" w:space="0"/>
                    <w:right w:val="single" w:color="auto" w:sz="4" w:space="0"/>
                  </w:tcBorders>
                  <w:vAlign w:val="center"/>
                </w:tcPr>
                <w:p w14:paraId="6E0279AD">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64" w:lineRule="auto"/>
                    <w:ind w:left="0" w:right="0"/>
                    <w:jc w:val="center"/>
                    <w:textAlignment w:val="auto"/>
                    <w:rPr>
                      <w:rFonts w:hint="eastAsia"/>
                      <w:bCs/>
                      <w:color w:val="auto"/>
                      <w:kern w:val="0"/>
                      <w:sz w:val="18"/>
                      <w:szCs w:val="18"/>
                      <w:highlight w:val="none"/>
                      <w:lang w:val="en-US" w:eastAsia="zh-CN"/>
                    </w:rPr>
                  </w:pPr>
                  <w:r>
                    <w:rPr>
                      <w:rFonts w:hint="eastAsia"/>
                      <w:bCs/>
                      <w:color w:val="auto"/>
                      <w:kern w:val="0"/>
                      <w:sz w:val="18"/>
                      <w:szCs w:val="18"/>
                      <w:highlight w:val="none"/>
                      <w:lang w:val="en-US" w:eastAsia="zh-CN"/>
                    </w:rPr>
                    <w:t>/</w:t>
                  </w:r>
                </w:p>
              </w:tc>
              <w:tc>
                <w:tcPr>
                  <w:tcW w:w="317" w:type="pct"/>
                  <w:vMerge w:val="continue"/>
                  <w:tcBorders>
                    <w:left w:val="single" w:color="auto" w:sz="4" w:space="0"/>
                    <w:right w:val="single" w:color="auto" w:sz="4" w:space="0"/>
                  </w:tcBorders>
                  <w:vAlign w:val="center"/>
                </w:tcPr>
                <w:p w14:paraId="662CC331">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64" w:lineRule="auto"/>
                    <w:ind w:left="0" w:right="0"/>
                    <w:jc w:val="center"/>
                    <w:textAlignment w:val="auto"/>
                    <w:rPr>
                      <w:rFonts w:hint="default"/>
                      <w:bCs/>
                      <w:kern w:val="0"/>
                      <w:sz w:val="18"/>
                      <w:szCs w:val="18"/>
                      <w:highlight w:val="none"/>
                    </w:rPr>
                  </w:pPr>
                </w:p>
              </w:tc>
              <w:tc>
                <w:tcPr>
                  <w:tcW w:w="1083" w:type="pct"/>
                  <w:gridSpan w:val="3"/>
                  <w:tcBorders>
                    <w:top w:val="single" w:color="auto" w:sz="4" w:space="0"/>
                    <w:left w:val="single" w:color="auto" w:sz="4" w:space="0"/>
                    <w:right w:val="single" w:color="auto" w:sz="4" w:space="0"/>
                  </w:tcBorders>
                  <w:vAlign w:val="center"/>
                </w:tcPr>
                <w:p w14:paraId="285AF8C1">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64" w:lineRule="auto"/>
                    <w:ind w:left="0" w:right="0"/>
                    <w:jc w:val="center"/>
                    <w:textAlignment w:val="auto"/>
                    <w:rPr>
                      <w:rFonts w:hint="eastAsia"/>
                      <w:bCs/>
                      <w:kern w:val="0"/>
                      <w:sz w:val="18"/>
                      <w:szCs w:val="18"/>
                      <w:highlight w:val="none"/>
                      <w:lang w:val="en-US" w:eastAsia="zh-CN"/>
                    </w:rPr>
                  </w:pPr>
                  <w:r>
                    <w:rPr>
                      <w:rFonts w:hint="eastAsia"/>
                      <w:bCs/>
                      <w:color w:val="auto"/>
                      <w:kern w:val="0"/>
                      <w:sz w:val="18"/>
                      <w:szCs w:val="18"/>
                      <w:highlight w:val="none"/>
                      <w:lang w:val="en-US" w:eastAsia="zh-CN"/>
                    </w:rPr>
                    <w:t>少量</w:t>
                  </w:r>
                </w:p>
              </w:tc>
              <w:tc>
                <w:tcPr>
                  <w:tcW w:w="255" w:type="pct"/>
                  <w:vMerge w:val="continue"/>
                  <w:tcBorders>
                    <w:left w:val="single" w:color="auto" w:sz="4" w:space="0"/>
                    <w:right w:val="single" w:color="auto" w:sz="4" w:space="0"/>
                  </w:tcBorders>
                  <w:vAlign w:val="center"/>
                </w:tcPr>
                <w:p w14:paraId="1803D307">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64" w:lineRule="auto"/>
                    <w:ind w:left="0" w:right="0"/>
                    <w:jc w:val="center"/>
                    <w:textAlignment w:val="auto"/>
                    <w:rPr>
                      <w:rFonts w:hint="default"/>
                      <w:bCs/>
                      <w:kern w:val="0"/>
                      <w:sz w:val="18"/>
                      <w:szCs w:val="18"/>
                      <w:highlight w:val="none"/>
                    </w:rPr>
                  </w:pPr>
                </w:p>
              </w:tc>
            </w:tr>
            <w:tr w14:paraId="596BEAD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189" w:hRule="atLeast"/>
                <w:jc w:val="center"/>
              </w:trPr>
              <w:tc>
                <w:tcPr>
                  <w:tcW w:w="271" w:type="pct"/>
                  <w:vMerge w:val="restart"/>
                  <w:tcBorders>
                    <w:left w:val="single" w:color="auto" w:sz="4" w:space="0"/>
                    <w:right w:val="single" w:color="auto" w:sz="4" w:space="0"/>
                  </w:tcBorders>
                  <w:vAlign w:val="center"/>
                </w:tcPr>
                <w:p w14:paraId="628B6A95">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64" w:lineRule="auto"/>
                    <w:ind w:left="0" w:right="0"/>
                    <w:jc w:val="center"/>
                    <w:textAlignment w:val="auto"/>
                    <w:rPr>
                      <w:rFonts w:hint="default" w:eastAsia="宋体"/>
                      <w:bCs/>
                      <w:kern w:val="0"/>
                      <w:sz w:val="18"/>
                      <w:szCs w:val="18"/>
                      <w:highlight w:val="none"/>
                      <w:lang w:val="en-US" w:eastAsia="zh-CN"/>
                    </w:rPr>
                  </w:pPr>
                  <w:r>
                    <w:rPr>
                      <w:rFonts w:hint="eastAsia"/>
                      <w:bCs/>
                      <w:kern w:val="0"/>
                      <w:sz w:val="18"/>
                      <w:szCs w:val="18"/>
                      <w:highlight w:val="none"/>
                      <w:lang w:val="en-US" w:eastAsia="zh-CN"/>
                    </w:rPr>
                    <w:t>DA006</w:t>
                  </w:r>
                </w:p>
              </w:tc>
              <w:tc>
                <w:tcPr>
                  <w:tcW w:w="331" w:type="pct"/>
                  <w:vMerge w:val="restart"/>
                  <w:tcBorders>
                    <w:left w:val="single" w:color="auto" w:sz="4" w:space="0"/>
                    <w:right w:val="single" w:color="auto" w:sz="4" w:space="0"/>
                  </w:tcBorders>
                  <w:vAlign w:val="center"/>
                </w:tcPr>
                <w:p w14:paraId="74687ECC">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64" w:lineRule="auto"/>
                    <w:ind w:left="0" w:right="0"/>
                    <w:jc w:val="center"/>
                    <w:textAlignment w:val="auto"/>
                    <w:rPr>
                      <w:rFonts w:hint="default" w:eastAsia="宋体"/>
                      <w:bCs/>
                      <w:kern w:val="0"/>
                      <w:sz w:val="18"/>
                      <w:szCs w:val="18"/>
                      <w:highlight w:val="none"/>
                      <w:lang w:val="en-US" w:eastAsia="zh-CN"/>
                    </w:rPr>
                  </w:pPr>
                  <w:r>
                    <w:rPr>
                      <w:rFonts w:hint="eastAsia"/>
                      <w:bCs/>
                      <w:kern w:val="0"/>
                      <w:sz w:val="18"/>
                      <w:szCs w:val="18"/>
                      <w:highlight w:val="none"/>
                      <w:lang w:val="en-US" w:eastAsia="zh-CN"/>
                    </w:rPr>
                    <w:t>6#排气筒</w:t>
                  </w:r>
                </w:p>
              </w:tc>
              <w:tc>
                <w:tcPr>
                  <w:tcW w:w="404" w:type="pct"/>
                  <w:vMerge w:val="restart"/>
                  <w:tcBorders>
                    <w:left w:val="single" w:color="auto" w:sz="4" w:space="0"/>
                    <w:right w:val="single" w:color="auto" w:sz="4" w:space="0"/>
                  </w:tcBorders>
                  <w:vAlign w:val="center"/>
                </w:tcPr>
                <w:p w14:paraId="153E708A">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64" w:lineRule="auto"/>
                    <w:ind w:left="0" w:right="0"/>
                    <w:jc w:val="center"/>
                    <w:textAlignment w:val="auto"/>
                    <w:rPr>
                      <w:rFonts w:hint="eastAsia" w:eastAsia="宋体"/>
                      <w:bCs/>
                      <w:kern w:val="0"/>
                      <w:sz w:val="18"/>
                      <w:szCs w:val="18"/>
                      <w:highlight w:val="none"/>
                      <w:lang w:val="en-US" w:eastAsia="zh-CN"/>
                    </w:rPr>
                  </w:pPr>
                  <w:r>
                    <w:rPr>
                      <w:rFonts w:hint="eastAsia"/>
                      <w:bCs/>
                      <w:kern w:val="0"/>
                      <w:sz w:val="18"/>
                      <w:szCs w:val="18"/>
                      <w:highlight w:val="none"/>
                      <w:lang w:val="en-US" w:eastAsia="zh-CN"/>
                    </w:rPr>
                    <w:t>消毒废气</w:t>
                  </w:r>
                </w:p>
              </w:tc>
              <w:tc>
                <w:tcPr>
                  <w:tcW w:w="593" w:type="pct"/>
                  <w:tcBorders>
                    <w:left w:val="single" w:color="auto" w:sz="4" w:space="0"/>
                    <w:bottom w:val="single" w:color="auto" w:sz="4" w:space="0"/>
                    <w:right w:val="single" w:color="auto" w:sz="4" w:space="0"/>
                  </w:tcBorders>
                  <w:shd w:val="clear" w:color="auto" w:fill="auto"/>
                  <w:vAlign w:val="center"/>
                </w:tcPr>
                <w:p w14:paraId="0EE9D424">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64" w:lineRule="auto"/>
                    <w:ind w:left="0" w:right="0"/>
                    <w:jc w:val="center"/>
                    <w:textAlignment w:val="auto"/>
                    <w:rPr>
                      <w:rFonts w:hint="default"/>
                      <w:bCs/>
                      <w:kern w:val="0"/>
                      <w:sz w:val="18"/>
                      <w:szCs w:val="18"/>
                      <w:highlight w:val="none"/>
                    </w:rPr>
                  </w:pPr>
                  <w:r>
                    <w:rPr>
                      <w:rFonts w:hint="eastAsia"/>
                      <w:bCs/>
                      <w:kern w:val="0"/>
                      <w:sz w:val="18"/>
                      <w:szCs w:val="18"/>
                      <w:highlight w:val="none"/>
                      <w:lang w:val="en-US" w:eastAsia="zh-CN"/>
                    </w:rPr>
                    <w:t>非甲烷总烃</w:t>
                  </w:r>
                </w:p>
              </w:tc>
              <w:tc>
                <w:tcPr>
                  <w:tcW w:w="357" w:type="pct"/>
                  <w:tcBorders>
                    <w:top w:val="single" w:color="auto" w:sz="4" w:space="0"/>
                    <w:left w:val="single" w:color="auto" w:sz="4" w:space="0"/>
                    <w:bottom w:val="single" w:color="auto" w:sz="4" w:space="0"/>
                    <w:right w:val="single" w:color="auto" w:sz="4" w:space="0"/>
                  </w:tcBorders>
                  <w:vAlign w:val="center"/>
                </w:tcPr>
                <w:p w14:paraId="293E6891">
                  <w:pPr>
                    <w:keepNext w:val="0"/>
                    <w:keepLines w:val="0"/>
                    <w:widowControl/>
                    <w:suppressLineNumbers w:val="0"/>
                    <w:spacing w:before="0" w:beforeAutospacing="0" w:after="0" w:afterAutospacing="0"/>
                    <w:ind w:left="0" w:right="0"/>
                    <w:jc w:val="center"/>
                    <w:textAlignment w:val="center"/>
                    <w:rPr>
                      <w:rFonts w:hint="eastAsia" w:ascii="Times New Roman" w:hAnsi="Times New Roman" w:eastAsia="宋体" w:cs="Times New Roman"/>
                      <w:i w:val="0"/>
                      <w:iCs w:val="0"/>
                      <w:color w:val="000000"/>
                      <w:kern w:val="0"/>
                      <w:sz w:val="18"/>
                      <w:szCs w:val="18"/>
                      <w:highlight w:val="none"/>
                      <w:u w:val="none"/>
                      <w:lang w:val="en-US" w:eastAsia="zh-CN" w:bidi="ar"/>
                    </w:rPr>
                  </w:pPr>
                  <w:r>
                    <w:rPr>
                      <w:rFonts w:hint="eastAsia" w:ascii="Times New Roman" w:hAnsi="Times New Roman" w:eastAsia="宋体" w:cs="Times New Roman"/>
                      <w:i w:val="0"/>
                      <w:iCs w:val="0"/>
                      <w:color w:val="000000"/>
                      <w:kern w:val="0"/>
                      <w:sz w:val="18"/>
                      <w:szCs w:val="18"/>
                      <w:highlight w:val="none"/>
                      <w:u w:val="none"/>
                      <w:lang w:val="en-US" w:eastAsia="zh-CN" w:bidi="ar"/>
                    </w:rPr>
                    <w:t xml:space="preserve">0.006 </w:t>
                  </w:r>
                </w:p>
              </w:tc>
              <w:tc>
                <w:tcPr>
                  <w:tcW w:w="357" w:type="pct"/>
                  <w:tcBorders>
                    <w:top w:val="single" w:color="auto" w:sz="4" w:space="0"/>
                    <w:left w:val="single" w:color="auto" w:sz="4" w:space="0"/>
                    <w:bottom w:val="single" w:color="auto" w:sz="4" w:space="0"/>
                    <w:right w:val="single" w:color="auto" w:sz="4" w:space="0"/>
                  </w:tcBorders>
                  <w:vAlign w:val="center"/>
                </w:tcPr>
                <w:p w14:paraId="781FAE25">
                  <w:pPr>
                    <w:keepNext w:val="0"/>
                    <w:keepLines w:val="0"/>
                    <w:widowControl/>
                    <w:suppressLineNumbers w:val="0"/>
                    <w:spacing w:before="0" w:beforeAutospacing="0" w:after="0" w:afterAutospacing="0"/>
                    <w:ind w:left="0" w:right="0"/>
                    <w:jc w:val="center"/>
                    <w:textAlignment w:val="center"/>
                    <w:rPr>
                      <w:rFonts w:hint="eastAsia" w:ascii="Times New Roman" w:hAnsi="Times New Roman" w:eastAsia="宋体" w:cs="Times New Roman"/>
                      <w:i w:val="0"/>
                      <w:iCs w:val="0"/>
                      <w:color w:val="000000"/>
                      <w:kern w:val="0"/>
                      <w:sz w:val="18"/>
                      <w:szCs w:val="18"/>
                      <w:highlight w:val="none"/>
                      <w:u w:val="none"/>
                      <w:lang w:val="en-US" w:eastAsia="zh-CN" w:bidi="ar"/>
                    </w:rPr>
                  </w:pPr>
                  <w:r>
                    <w:rPr>
                      <w:rFonts w:hint="eastAsia" w:ascii="Times New Roman" w:hAnsi="Times New Roman" w:eastAsia="宋体" w:cs="Times New Roman"/>
                      <w:i w:val="0"/>
                      <w:iCs w:val="0"/>
                      <w:color w:val="000000"/>
                      <w:kern w:val="0"/>
                      <w:sz w:val="18"/>
                      <w:szCs w:val="18"/>
                      <w:highlight w:val="none"/>
                      <w:u w:val="none"/>
                      <w:lang w:val="en-US" w:eastAsia="zh-CN" w:bidi="ar"/>
                    </w:rPr>
                    <w:t xml:space="preserve">0.006 </w:t>
                  </w:r>
                </w:p>
              </w:tc>
              <w:tc>
                <w:tcPr>
                  <w:tcW w:w="404" w:type="pct"/>
                  <w:tcBorders>
                    <w:top w:val="single" w:color="auto" w:sz="4" w:space="0"/>
                    <w:left w:val="single" w:color="auto" w:sz="4" w:space="0"/>
                    <w:right w:val="single" w:color="auto" w:sz="4" w:space="0"/>
                  </w:tcBorders>
                  <w:vAlign w:val="center"/>
                </w:tcPr>
                <w:p w14:paraId="7B98D871">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kern w:val="0"/>
                      <w:sz w:val="18"/>
                      <w:szCs w:val="18"/>
                      <w:highlight w:val="none"/>
                      <w:u w:val="none"/>
                      <w:lang w:val="en-US" w:eastAsia="zh-CN" w:bidi="ar"/>
                    </w:rPr>
                  </w:pPr>
                  <w:r>
                    <w:rPr>
                      <w:rFonts w:hint="eastAsia" w:ascii="Times New Roman" w:hAnsi="Times New Roman" w:eastAsia="宋体" w:cs="Times New Roman"/>
                      <w:i w:val="0"/>
                      <w:iCs w:val="0"/>
                      <w:color w:val="000000"/>
                      <w:kern w:val="0"/>
                      <w:sz w:val="18"/>
                      <w:szCs w:val="18"/>
                      <w:highlight w:val="none"/>
                      <w:u w:val="none"/>
                      <w:lang w:val="en-US" w:eastAsia="zh-CN" w:bidi="ar"/>
                    </w:rPr>
                    <w:t xml:space="preserve">2.45 </w:t>
                  </w:r>
                </w:p>
              </w:tc>
              <w:tc>
                <w:tcPr>
                  <w:tcW w:w="383" w:type="pct"/>
                  <w:vMerge w:val="restart"/>
                  <w:tcBorders>
                    <w:left w:val="single" w:color="auto" w:sz="4" w:space="0"/>
                    <w:right w:val="single" w:color="auto" w:sz="4" w:space="0"/>
                  </w:tcBorders>
                  <w:vAlign w:val="center"/>
                </w:tcPr>
                <w:p w14:paraId="4B609D19">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64" w:lineRule="auto"/>
                    <w:ind w:left="0" w:right="0"/>
                    <w:jc w:val="center"/>
                    <w:textAlignment w:val="auto"/>
                    <w:rPr>
                      <w:rFonts w:hint="default" w:eastAsia="宋体"/>
                      <w:snapToGrid w:val="0"/>
                      <w:sz w:val="18"/>
                      <w:szCs w:val="18"/>
                      <w:highlight w:val="none"/>
                      <w:lang w:val="en-US" w:eastAsia="zh-CN"/>
                    </w:rPr>
                  </w:pPr>
                  <w:r>
                    <w:rPr>
                      <w:rFonts w:hint="eastAsia"/>
                      <w:snapToGrid w:val="0"/>
                      <w:sz w:val="18"/>
                      <w:szCs w:val="18"/>
                      <w:highlight w:val="none"/>
                      <w:lang w:val="en-US" w:eastAsia="zh-CN"/>
                    </w:rPr>
                    <w:t>活性炭吸附</w:t>
                  </w:r>
                </w:p>
              </w:tc>
              <w:tc>
                <w:tcPr>
                  <w:tcW w:w="240" w:type="pct"/>
                  <w:tcBorders>
                    <w:left w:val="single" w:color="auto" w:sz="4" w:space="0"/>
                    <w:right w:val="single" w:color="auto" w:sz="4" w:space="0"/>
                  </w:tcBorders>
                  <w:vAlign w:val="center"/>
                </w:tcPr>
                <w:p w14:paraId="2ED2B3E1">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64" w:lineRule="auto"/>
                    <w:ind w:left="0" w:right="0"/>
                    <w:jc w:val="center"/>
                    <w:textAlignment w:val="auto"/>
                    <w:rPr>
                      <w:rFonts w:hint="default" w:eastAsia="宋体"/>
                      <w:bCs/>
                      <w:kern w:val="0"/>
                      <w:sz w:val="18"/>
                      <w:szCs w:val="18"/>
                      <w:highlight w:val="none"/>
                      <w:lang w:val="en-US" w:eastAsia="zh-CN"/>
                    </w:rPr>
                  </w:pPr>
                  <w:r>
                    <w:rPr>
                      <w:rFonts w:hint="eastAsia"/>
                      <w:bCs/>
                      <w:kern w:val="0"/>
                      <w:sz w:val="18"/>
                      <w:szCs w:val="18"/>
                      <w:highlight w:val="none"/>
                      <w:lang w:val="en-US" w:eastAsia="zh-CN"/>
                    </w:rPr>
                    <w:t>/</w:t>
                  </w:r>
                </w:p>
              </w:tc>
              <w:tc>
                <w:tcPr>
                  <w:tcW w:w="317" w:type="pct"/>
                  <w:vMerge w:val="restart"/>
                  <w:tcBorders>
                    <w:left w:val="single" w:color="auto" w:sz="4" w:space="0"/>
                    <w:right w:val="single" w:color="auto" w:sz="4" w:space="0"/>
                  </w:tcBorders>
                  <w:vAlign w:val="center"/>
                </w:tcPr>
                <w:p w14:paraId="63312A43">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64" w:lineRule="auto"/>
                    <w:ind w:left="0" w:right="0"/>
                    <w:jc w:val="center"/>
                    <w:textAlignment w:val="auto"/>
                    <w:rPr>
                      <w:rFonts w:hint="default" w:eastAsia="宋体"/>
                      <w:bCs/>
                      <w:kern w:val="0"/>
                      <w:sz w:val="18"/>
                      <w:szCs w:val="18"/>
                      <w:highlight w:val="none"/>
                      <w:lang w:val="en-US" w:eastAsia="zh-CN"/>
                    </w:rPr>
                  </w:pPr>
                  <w:r>
                    <w:rPr>
                      <w:rFonts w:hint="eastAsia"/>
                      <w:bCs/>
                      <w:kern w:val="0"/>
                      <w:sz w:val="18"/>
                      <w:szCs w:val="18"/>
                      <w:highlight w:val="none"/>
                      <w:lang w:val="en-US" w:eastAsia="zh-CN"/>
                    </w:rPr>
                    <w:t>2453</w:t>
                  </w:r>
                </w:p>
              </w:tc>
              <w:tc>
                <w:tcPr>
                  <w:tcW w:w="380" w:type="pct"/>
                  <w:tcBorders>
                    <w:top w:val="single" w:color="auto" w:sz="4" w:space="0"/>
                    <w:left w:val="single" w:color="auto" w:sz="4" w:space="0"/>
                    <w:right w:val="single" w:color="auto" w:sz="4" w:space="0"/>
                  </w:tcBorders>
                  <w:shd w:val="clear" w:color="auto" w:fill="auto"/>
                  <w:vAlign w:val="center"/>
                </w:tcPr>
                <w:p w14:paraId="6EDF4945">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kern w:val="0"/>
                      <w:sz w:val="18"/>
                      <w:szCs w:val="18"/>
                      <w:highlight w:val="none"/>
                      <w:u w:val="none"/>
                      <w:lang w:val="en-US" w:eastAsia="zh-CN" w:bidi="ar"/>
                    </w:rPr>
                  </w:pPr>
                  <w:r>
                    <w:rPr>
                      <w:rFonts w:hint="eastAsia" w:ascii="Times New Roman" w:hAnsi="Times New Roman" w:eastAsia="宋体" w:cs="Times New Roman"/>
                      <w:i w:val="0"/>
                      <w:iCs w:val="0"/>
                      <w:color w:val="000000"/>
                      <w:kern w:val="0"/>
                      <w:sz w:val="18"/>
                      <w:szCs w:val="18"/>
                      <w:highlight w:val="none"/>
                      <w:u w:val="none"/>
                      <w:lang w:val="en-US" w:eastAsia="zh-CN" w:bidi="ar"/>
                    </w:rPr>
                    <w:t xml:space="preserve">0.006 </w:t>
                  </w:r>
                </w:p>
              </w:tc>
              <w:tc>
                <w:tcPr>
                  <w:tcW w:w="362" w:type="pct"/>
                  <w:tcBorders>
                    <w:top w:val="single" w:color="auto" w:sz="4" w:space="0"/>
                    <w:left w:val="single" w:color="auto" w:sz="4" w:space="0"/>
                    <w:right w:val="single" w:color="auto" w:sz="4" w:space="0"/>
                  </w:tcBorders>
                  <w:shd w:val="clear" w:color="auto" w:fill="auto"/>
                  <w:vAlign w:val="center"/>
                </w:tcPr>
                <w:p w14:paraId="482A37F1">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kern w:val="0"/>
                      <w:sz w:val="18"/>
                      <w:szCs w:val="18"/>
                      <w:highlight w:val="none"/>
                      <w:u w:val="none"/>
                      <w:lang w:val="en-US" w:eastAsia="zh-CN" w:bidi="ar"/>
                    </w:rPr>
                  </w:pPr>
                  <w:r>
                    <w:rPr>
                      <w:rFonts w:hint="eastAsia" w:ascii="Times New Roman" w:hAnsi="Times New Roman" w:eastAsia="宋体" w:cs="Times New Roman"/>
                      <w:i w:val="0"/>
                      <w:iCs w:val="0"/>
                      <w:color w:val="000000"/>
                      <w:kern w:val="0"/>
                      <w:sz w:val="18"/>
                      <w:szCs w:val="18"/>
                      <w:highlight w:val="none"/>
                      <w:u w:val="none"/>
                      <w:lang w:val="en-US" w:eastAsia="zh-CN" w:bidi="ar"/>
                    </w:rPr>
                    <w:t xml:space="preserve">0.006 </w:t>
                  </w:r>
                </w:p>
              </w:tc>
              <w:tc>
                <w:tcPr>
                  <w:tcW w:w="340" w:type="pct"/>
                  <w:tcBorders>
                    <w:top w:val="single" w:color="auto" w:sz="4" w:space="0"/>
                    <w:left w:val="single" w:color="auto" w:sz="4" w:space="0"/>
                    <w:right w:val="single" w:color="auto" w:sz="4" w:space="0"/>
                  </w:tcBorders>
                  <w:shd w:val="clear" w:color="auto" w:fill="auto"/>
                  <w:vAlign w:val="center"/>
                </w:tcPr>
                <w:p w14:paraId="197F36BA">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kern w:val="0"/>
                      <w:sz w:val="18"/>
                      <w:szCs w:val="18"/>
                      <w:highlight w:val="none"/>
                      <w:u w:val="none"/>
                      <w:lang w:val="en-US" w:eastAsia="zh-CN" w:bidi="ar"/>
                    </w:rPr>
                  </w:pPr>
                  <w:r>
                    <w:rPr>
                      <w:rFonts w:hint="eastAsia" w:ascii="Times New Roman" w:hAnsi="Times New Roman" w:eastAsia="宋体" w:cs="Times New Roman"/>
                      <w:i w:val="0"/>
                      <w:iCs w:val="0"/>
                      <w:color w:val="000000"/>
                      <w:kern w:val="0"/>
                      <w:sz w:val="18"/>
                      <w:szCs w:val="18"/>
                      <w:highlight w:val="none"/>
                      <w:u w:val="none"/>
                      <w:lang w:val="en-US" w:eastAsia="zh-CN" w:bidi="ar"/>
                    </w:rPr>
                    <w:t xml:space="preserve">2.45 </w:t>
                  </w:r>
                </w:p>
              </w:tc>
              <w:tc>
                <w:tcPr>
                  <w:tcW w:w="255" w:type="pct"/>
                  <w:vMerge w:val="restart"/>
                  <w:tcBorders>
                    <w:left w:val="single" w:color="auto" w:sz="4" w:space="0"/>
                    <w:right w:val="single" w:color="auto" w:sz="4" w:space="0"/>
                  </w:tcBorders>
                  <w:vAlign w:val="center"/>
                </w:tcPr>
                <w:p w14:paraId="43C84970">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64" w:lineRule="auto"/>
                    <w:ind w:left="0" w:right="0"/>
                    <w:jc w:val="center"/>
                    <w:textAlignment w:val="auto"/>
                    <w:rPr>
                      <w:rFonts w:hint="default"/>
                      <w:bCs/>
                      <w:kern w:val="0"/>
                      <w:sz w:val="18"/>
                      <w:szCs w:val="18"/>
                      <w:highlight w:val="none"/>
                      <w:lang w:val="en-US" w:eastAsia="zh-CN"/>
                    </w:rPr>
                  </w:pPr>
                  <w:r>
                    <w:rPr>
                      <w:rFonts w:hint="eastAsia"/>
                      <w:bCs/>
                      <w:kern w:val="0"/>
                      <w:sz w:val="18"/>
                      <w:szCs w:val="18"/>
                      <w:highlight w:val="none"/>
                      <w:lang w:val="en-US" w:eastAsia="zh-CN"/>
                    </w:rPr>
                    <w:t>1040</w:t>
                  </w:r>
                </w:p>
              </w:tc>
            </w:tr>
            <w:tr w14:paraId="63C20E0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189" w:hRule="atLeast"/>
                <w:jc w:val="center"/>
              </w:trPr>
              <w:tc>
                <w:tcPr>
                  <w:tcW w:w="271" w:type="pct"/>
                  <w:vMerge w:val="continue"/>
                  <w:tcBorders>
                    <w:left w:val="single" w:color="auto" w:sz="4" w:space="0"/>
                    <w:right w:val="single" w:color="auto" w:sz="4" w:space="0"/>
                  </w:tcBorders>
                  <w:vAlign w:val="center"/>
                </w:tcPr>
                <w:p w14:paraId="791A8D87">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64" w:lineRule="auto"/>
                    <w:ind w:left="0" w:right="0"/>
                    <w:jc w:val="center"/>
                    <w:textAlignment w:val="auto"/>
                    <w:rPr>
                      <w:rFonts w:hint="default"/>
                      <w:bCs/>
                      <w:kern w:val="0"/>
                      <w:sz w:val="18"/>
                      <w:szCs w:val="18"/>
                      <w:highlight w:val="none"/>
                    </w:rPr>
                  </w:pPr>
                </w:p>
              </w:tc>
              <w:tc>
                <w:tcPr>
                  <w:tcW w:w="331" w:type="pct"/>
                  <w:vMerge w:val="continue"/>
                  <w:tcBorders>
                    <w:left w:val="single" w:color="auto" w:sz="4" w:space="0"/>
                    <w:right w:val="single" w:color="auto" w:sz="4" w:space="0"/>
                  </w:tcBorders>
                  <w:vAlign w:val="center"/>
                </w:tcPr>
                <w:p w14:paraId="1E091140">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64" w:lineRule="auto"/>
                    <w:ind w:left="0" w:right="0"/>
                    <w:jc w:val="center"/>
                    <w:textAlignment w:val="auto"/>
                    <w:rPr>
                      <w:rFonts w:hint="default"/>
                      <w:bCs/>
                      <w:kern w:val="0"/>
                      <w:sz w:val="18"/>
                      <w:szCs w:val="18"/>
                      <w:highlight w:val="none"/>
                    </w:rPr>
                  </w:pPr>
                </w:p>
              </w:tc>
              <w:tc>
                <w:tcPr>
                  <w:tcW w:w="404" w:type="pct"/>
                  <w:vMerge w:val="continue"/>
                  <w:tcBorders>
                    <w:left w:val="single" w:color="auto" w:sz="4" w:space="0"/>
                    <w:right w:val="single" w:color="auto" w:sz="4" w:space="0"/>
                  </w:tcBorders>
                  <w:vAlign w:val="center"/>
                </w:tcPr>
                <w:p w14:paraId="0027D88F">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64" w:lineRule="auto"/>
                    <w:ind w:left="0" w:right="0"/>
                    <w:jc w:val="center"/>
                    <w:textAlignment w:val="auto"/>
                    <w:rPr>
                      <w:rFonts w:hint="default"/>
                      <w:bCs/>
                      <w:kern w:val="0"/>
                      <w:sz w:val="18"/>
                      <w:szCs w:val="18"/>
                      <w:highlight w:val="none"/>
                    </w:rPr>
                  </w:pPr>
                </w:p>
              </w:tc>
              <w:tc>
                <w:tcPr>
                  <w:tcW w:w="593" w:type="pct"/>
                  <w:tcBorders>
                    <w:left w:val="single" w:color="auto" w:sz="4" w:space="0"/>
                    <w:bottom w:val="single" w:color="auto" w:sz="4" w:space="0"/>
                    <w:right w:val="single" w:color="auto" w:sz="4" w:space="0"/>
                  </w:tcBorders>
                  <w:shd w:val="clear" w:color="auto" w:fill="auto"/>
                  <w:vAlign w:val="center"/>
                </w:tcPr>
                <w:p w14:paraId="6566DAAF">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64" w:lineRule="auto"/>
                    <w:ind w:left="0" w:right="0"/>
                    <w:jc w:val="center"/>
                    <w:textAlignment w:val="auto"/>
                    <w:rPr>
                      <w:rFonts w:hint="default"/>
                      <w:bCs/>
                      <w:kern w:val="0"/>
                      <w:sz w:val="18"/>
                      <w:szCs w:val="18"/>
                      <w:highlight w:val="none"/>
                    </w:rPr>
                  </w:pPr>
                  <w:r>
                    <w:rPr>
                      <w:rFonts w:hint="eastAsia"/>
                      <w:bCs/>
                      <w:kern w:val="0"/>
                      <w:sz w:val="18"/>
                      <w:szCs w:val="18"/>
                      <w:highlight w:val="none"/>
                      <w:lang w:val="en-US" w:eastAsia="zh-CN"/>
                    </w:rPr>
                    <w:t>氯气</w:t>
                  </w:r>
                </w:p>
              </w:tc>
              <w:tc>
                <w:tcPr>
                  <w:tcW w:w="1119" w:type="pct"/>
                  <w:gridSpan w:val="3"/>
                  <w:tcBorders>
                    <w:top w:val="single" w:color="auto" w:sz="4" w:space="0"/>
                    <w:left w:val="single" w:color="auto" w:sz="4" w:space="0"/>
                    <w:bottom w:val="single" w:color="auto" w:sz="4" w:space="0"/>
                    <w:right w:val="single" w:color="auto" w:sz="4" w:space="0"/>
                  </w:tcBorders>
                  <w:vAlign w:val="center"/>
                </w:tcPr>
                <w:p w14:paraId="1CE267FB">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kern w:val="0"/>
                      <w:sz w:val="18"/>
                      <w:szCs w:val="18"/>
                      <w:highlight w:val="none"/>
                      <w:u w:val="none"/>
                      <w:lang w:val="en-US" w:eastAsia="zh-CN" w:bidi="ar"/>
                    </w:rPr>
                  </w:pPr>
                  <w:r>
                    <w:rPr>
                      <w:rFonts w:hint="eastAsia" w:cs="Times New Roman"/>
                      <w:i w:val="0"/>
                      <w:iCs w:val="0"/>
                      <w:color w:val="000000"/>
                      <w:kern w:val="0"/>
                      <w:sz w:val="18"/>
                      <w:szCs w:val="18"/>
                      <w:highlight w:val="none"/>
                      <w:u w:val="none"/>
                      <w:lang w:val="en-US" w:eastAsia="zh-CN" w:bidi="ar"/>
                    </w:rPr>
                    <w:t>少量</w:t>
                  </w:r>
                  <w:r>
                    <w:rPr>
                      <w:rFonts w:hint="eastAsia" w:ascii="Times New Roman" w:hAnsi="Times New Roman" w:eastAsia="宋体" w:cs="Times New Roman"/>
                      <w:i w:val="0"/>
                      <w:iCs w:val="0"/>
                      <w:color w:val="000000"/>
                      <w:kern w:val="0"/>
                      <w:sz w:val="18"/>
                      <w:szCs w:val="18"/>
                      <w:highlight w:val="none"/>
                      <w:u w:val="none"/>
                      <w:lang w:val="en-US" w:eastAsia="zh-CN" w:bidi="ar"/>
                    </w:rPr>
                    <w:t xml:space="preserve"> </w:t>
                  </w:r>
                </w:p>
              </w:tc>
              <w:tc>
                <w:tcPr>
                  <w:tcW w:w="383" w:type="pct"/>
                  <w:vMerge w:val="continue"/>
                  <w:tcBorders>
                    <w:left w:val="single" w:color="auto" w:sz="4" w:space="0"/>
                    <w:right w:val="single" w:color="auto" w:sz="4" w:space="0"/>
                  </w:tcBorders>
                  <w:vAlign w:val="center"/>
                </w:tcPr>
                <w:p w14:paraId="76927AD8">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64" w:lineRule="auto"/>
                    <w:ind w:left="0" w:right="0"/>
                    <w:jc w:val="center"/>
                    <w:textAlignment w:val="auto"/>
                    <w:rPr>
                      <w:rFonts w:hint="default"/>
                      <w:snapToGrid w:val="0"/>
                      <w:sz w:val="18"/>
                      <w:szCs w:val="18"/>
                      <w:highlight w:val="none"/>
                    </w:rPr>
                  </w:pPr>
                </w:p>
              </w:tc>
              <w:tc>
                <w:tcPr>
                  <w:tcW w:w="240" w:type="pct"/>
                  <w:tcBorders>
                    <w:left w:val="single" w:color="auto" w:sz="4" w:space="0"/>
                    <w:right w:val="single" w:color="auto" w:sz="4" w:space="0"/>
                  </w:tcBorders>
                  <w:vAlign w:val="center"/>
                </w:tcPr>
                <w:p w14:paraId="77279358">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64" w:lineRule="auto"/>
                    <w:ind w:left="0" w:right="0"/>
                    <w:jc w:val="center"/>
                    <w:textAlignment w:val="auto"/>
                    <w:rPr>
                      <w:rFonts w:hint="eastAsia" w:eastAsia="宋体"/>
                      <w:bCs/>
                      <w:kern w:val="0"/>
                      <w:sz w:val="18"/>
                      <w:szCs w:val="18"/>
                      <w:highlight w:val="none"/>
                      <w:lang w:val="en-US" w:eastAsia="zh-CN"/>
                    </w:rPr>
                  </w:pPr>
                  <w:r>
                    <w:rPr>
                      <w:rFonts w:hint="eastAsia"/>
                      <w:bCs/>
                      <w:kern w:val="0"/>
                      <w:sz w:val="18"/>
                      <w:szCs w:val="18"/>
                      <w:highlight w:val="none"/>
                      <w:lang w:val="en-US" w:eastAsia="zh-CN"/>
                    </w:rPr>
                    <w:t>/</w:t>
                  </w:r>
                </w:p>
              </w:tc>
              <w:tc>
                <w:tcPr>
                  <w:tcW w:w="317" w:type="pct"/>
                  <w:vMerge w:val="continue"/>
                  <w:tcBorders>
                    <w:left w:val="single" w:color="auto" w:sz="4" w:space="0"/>
                    <w:right w:val="single" w:color="auto" w:sz="4" w:space="0"/>
                  </w:tcBorders>
                  <w:vAlign w:val="center"/>
                </w:tcPr>
                <w:p w14:paraId="293AFD6A">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64" w:lineRule="auto"/>
                    <w:ind w:left="0" w:right="0"/>
                    <w:jc w:val="center"/>
                    <w:textAlignment w:val="auto"/>
                    <w:rPr>
                      <w:rFonts w:hint="default"/>
                      <w:bCs/>
                      <w:kern w:val="0"/>
                      <w:sz w:val="18"/>
                      <w:szCs w:val="18"/>
                      <w:highlight w:val="none"/>
                    </w:rPr>
                  </w:pPr>
                </w:p>
              </w:tc>
              <w:tc>
                <w:tcPr>
                  <w:tcW w:w="1083" w:type="pct"/>
                  <w:gridSpan w:val="3"/>
                  <w:tcBorders>
                    <w:top w:val="single" w:color="auto" w:sz="4" w:space="0"/>
                    <w:left w:val="single" w:color="auto" w:sz="4" w:space="0"/>
                    <w:right w:val="single" w:color="auto" w:sz="4" w:space="0"/>
                  </w:tcBorders>
                  <w:shd w:val="clear" w:color="auto" w:fill="auto"/>
                  <w:vAlign w:val="center"/>
                </w:tcPr>
                <w:p w14:paraId="1CA1E189">
                  <w:pPr>
                    <w:keepNext w:val="0"/>
                    <w:keepLines w:val="0"/>
                    <w:widowControl/>
                    <w:suppressLineNumbers w:val="0"/>
                    <w:spacing w:before="0" w:beforeAutospacing="0" w:after="0" w:afterAutospacing="0"/>
                    <w:ind w:left="0" w:right="0"/>
                    <w:jc w:val="center"/>
                    <w:textAlignment w:val="center"/>
                    <w:rPr>
                      <w:rFonts w:hint="eastAsia" w:ascii="Times New Roman" w:hAnsi="Times New Roman" w:eastAsia="宋体" w:cs="Times New Roman"/>
                      <w:i w:val="0"/>
                      <w:iCs w:val="0"/>
                      <w:color w:val="000000"/>
                      <w:kern w:val="0"/>
                      <w:sz w:val="18"/>
                      <w:szCs w:val="18"/>
                      <w:highlight w:val="none"/>
                      <w:u w:val="none"/>
                      <w:lang w:val="en-US" w:eastAsia="zh-CN" w:bidi="ar"/>
                    </w:rPr>
                  </w:pPr>
                  <w:r>
                    <w:rPr>
                      <w:rFonts w:hint="eastAsia" w:cs="Times New Roman"/>
                      <w:i w:val="0"/>
                      <w:iCs w:val="0"/>
                      <w:color w:val="000000"/>
                      <w:kern w:val="0"/>
                      <w:sz w:val="18"/>
                      <w:szCs w:val="18"/>
                      <w:highlight w:val="none"/>
                      <w:u w:val="none"/>
                      <w:lang w:val="en-US" w:eastAsia="zh-CN" w:bidi="ar"/>
                    </w:rPr>
                    <w:t>少量</w:t>
                  </w:r>
                  <w:r>
                    <w:rPr>
                      <w:rFonts w:hint="eastAsia" w:ascii="Times New Roman" w:hAnsi="Times New Roman" w:eastAsia="宋体" w:cs="Times New Roman"/>
                      <w:i w:val="0"/>
                      <w:iCs w:val="0"/>
                      <w:color w:val="000000"/>
                      <w:kern w:val="0"/>
                      <w:sz w:val="18"/>
                      <w:szCs w:val="18"/>
                      <w:highlight w:val="none"/>
                      <w:u w:val="none"/>
                      <w:lang w:val="en-US" w:eastAsia="zh-CN" w:bidi="ar"/>
                    </w:rPr>
                    <w:t xml:space="preserve"> </w:t>
                  </w:r>
                </w:p>
              </w:tc>
              <w:tc>
                <w:tcPr>
                  <w:tcW w:w="255" w:type="pct"/>
                  <w:vMerge w:val="continue"/>
                  <w:tcBorders>
                    <w:left w:val="single" w:color="auto" w:sz="4" w:space="0"/>
                    <w:right w:val="single" w:color="auto" w:sz="4" w:space="0"/>
                  </w:tcBorders>
                  <w:vAlign w:val="center"/>
                </w:tcPr>
                <w:p w14:paraId="642442F0">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64" w:lineRule="auto"/>
                    <w:ind w:left="0" w:right="0"/>
                    <w:jc w:val="center"/>
                    <w:textAlignment w:val="auto"/>
                    <w:rPr>
                      <w:rFonts w:hint="eastAsia"/>
                      <w:bCs/>
                      <w:kern w:val="0"/>
                      <w:sz w:val="18"/>
                      <w:szCs w:val="18"/>
                      <w:highlight w:val="none"/>
                      <w:lang w:val="en-US" w:eastAsia="zh-CN"/>
                    </w:rPr>
                  </w:pPr>
                </w:p>
              </w:tc>
            </w:tr>
            <w:tr w14:paraId="6D8D709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189" w:hRule="atLeast"/>
                <w:jc w:val="center"/>
              </w:trPr>
              <w:tc>
                <w:tcPr>
                  <w:tcW w:w="271" w:type="pct"/>
                  <w:vMerge w:val="restart"/>
                  <w:tcBorders>
                    <w:left w:val="single" w:color="auto" w:sz="4" w:space="0"/>
                    <w:right w:val="single" w:color="auto" w:sz="4" w:space="0"/>
                  </w:tcBorders>
                  <w:vAlign w:val="center"/>
                </w:tcPr>
                <w:p w14:paraId="6F5FE927">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64" w:lineRule="auto"/>
                    <w:ind w:left="0" w:right="0"/>
                    <w:jc w:val="center"/>
                    <w:textAlignment w:val="auto"/>
                    <w:rPr>
                      <w:rFonts w:hint="default"/>
                      <w:bCs/>
                      <w:kern w:val="0"/>
                      <w:sz w:val="18"/>
                      <w:szCs w:val="18"/>
                      <w:highlight w:val="none"/>
                      <w:lang w:val="en-US"/>
                    </w:rPr>
                  </w:pPr>
                  <w:r>
                    <w:rPr>
                      <w:rFonts w:hint="eastAsia"/>
                      <w:bCs/>
                      <w:kern w:val="0"/>
                      <w:sz w:val="18"/>
                      <w:szCs w:val="18"/>
                      <w:highlight w:val="none"/>
                      <w:lang w:val="en-US" w:eastAsia="zh-CN"/>
                    </w:rPr>
                    <w:t>DA007</w:t>
                  </w:r>
                </w:p>
              </w:tc>
              <w:tc>
                <w:tcPr>
                  <w:tcW w:w="331" w:type="pct"/>
                  <w:vMerge w:val="restart"/>
                  <w:tcBorders>
                    <w:left w:val="single" w:color="auto" w:sz="4" w:space="0"/>
                    <w:right w:val="single" w:color="auto" w:sz="4" w:space="0"/>
                  </w:tcBorders>
                  <w:vAlign w:val="center"/>
                </w:tcPr>
                <w:p w14:paraId="117EA12D">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64" w:lineRule="auto"/>
                    <w:ind w:left="0" w:right="0"/>
                    <w:jc w:val="center"/>
                    <w:textAlignment w:val="auto"/>
                    <w:rPr>
                      <w:rFonts w:hint="default"/>
                      <w:bCs/>
                      <w:kern w:val="0"/>
                      <w:sz w:val="18"/>
                      <w:szCs w:val="18"/>
                      <w:highlight w:val="none"/>
                    </w:rPr>
                  </w:pPr>
                  <w:r>
                    <w:rPr>
                      <w:rFonts w:hint="eastAsia"/>
                      <w:bCs/>
                      <w:kern w:val="0"/>
                      <w:sz w:val="18"/>
                      <w:szCs w:val="18"/>
                      <w:highlight w:val="none"/>
                      <w:lang w:val="en-US" w:eastAsia="zh-CN"/>
                    </w:rPr>
                    <w:t>7#排气筒</w:t>
                  </w:r>
                </w:p>
              </w:tc>
              <w:tc>
                <w:tcPr>
                  <w:tcW w:w="404" w:type="pct"/>
                  <w:vMerge w:val="restart"/>
                  <w:tcBorders>
                    <w:left w:val="single" w:color="auto" w:sz="4" w:space="0"/>
                    <w:right w:val="single" w:color="auto" w:sz="4" w:space="0"/>
                  </w:tcBorders>
                  <w:vAlign w:val="center"/>
                </w:tcPr>
                <w:p w14:paraId="6581D086">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64" w:lineRule="auto"/>
                    <w:ind w:left="0" w:right="0"/>
                    <w:jc w:val="center"/>
                    <w:textAlignment w:val="auto"/>
                    <w:rPr>
                      <w:rFonts w:hint="default"/>
                      <w:bCs/>
                      <w:kern w:val="0"/>
                      <w:sz w:val="18"/>
                      <w:szCs w:val="18"/>
                      <w:highlight w:val="none"/>
                    </w:rPr>
                  </w:pPr>
                  <w:r>
                    <w:rPr>
                      <w:rFonts w:hint="eastAsia"/>
                      <w:bCs/>
                      <w:kern w:val="0"/>
                      <w:sz w:val="18"/>
                      <w:szCs w:val="18"/>
                      <w:highlight w:val="none"/>
                      <w:lang w:val="en-US" w:eastAsia="zh-CN"/>
                    </w:rPr>
                    <w:t>消毒废气</w:t>
                  </w:r>
                </w:p>
              </w:tc>
              <w:tc>
                <w:tcPr>
                  <w:tcW w:w="593" w:type="pct"/>
                  <w:tcBorders>
                    <w:left w:val="single" w:color="auto" w:sz="4" w:space="0"/>
                    <w:bottom w:val="single" w:color="auto" w:sz="4" w:space="0"/>
                    <w:right w:val="single" w:color="auto" w:sz="4" w:space="0"/>
                  </w:tcBorders>
                  <w:shd w:val="clear" w:color="auto" w:fill="auto"/>
                  <w:vAlign w:val="center"/>
                </w:tcPr>
                <w:p w14:paraId="7D9BA664">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64" w:lineRule="auto"/>
                    <w:ind w:left="0" w:right="0"/>
                    <w:jc w:val="center"/>
                    <w:textAlignment w:val="auto"/>
                    <w:rPr>
                      <w:rFonts w:hint="default"/>
                      <w:bCs/>
                      <w:kern w:val="0"/>
                      <w:sz w:val="18"/>
                      <w:szCs w:val="18"/>
                      <w:highlight w:val="none"/>
                    </w:rPr>
                  </w:pPr>
                  <w:r>
                    <w:rPr>
                      <w:rFonts w:hint="eastAsia"/>
                      <w:bCs/>
                      <w:kern w:val="0"/>
                      <w:sz w:val="18"/>
                      <w:szCs w:val="18"/>
                      <w:highlight w:val="none"/>
                      <w:lang w:val="en-US" w:eastAsia="zh-CN"/>
                    </w:rPr>
                    <w:t>非甲烷总烃</w:t>
                  </w:r>
                </w:p>
              </w:tc>
              <w:tc>
                <w:tcPr>
                  <w:tcW w:w="357" w:type="pct"/>
                  <w:tcBorders>
                    <w:top w:val="single" w:color="auto" w:sz="4" w:space="0"/>
                    <w:left w:val="single" w:color="auto" w:sz="4" w:space="0"/>
                    <w:bottom w:val="single" w:color="auto" w:sz="4" w:space="0"/>
                    <w:right w:val="single" w:color="auto" w:sz="4" w:space="0"/>
                  </w:tcBorders>
                  <w:vAlign w:val="center"/>
                </w:tcPr>
                <w:p w14:paraId="7DDD1B08">
                  <w:pPr>
                    <w:keepNext w:val="0"/>
                    <w:keepLines w:val="0"/>
                    <w:widowControl/>
                    <w:suppressLineNumbers w:val="0"/>
                    <w:spacing w:before="0" w:beforeAutospacing="0" w:after="0" w:afterAutospacing="0"/>
                    <w:ind w:left="0" w:right="0"/>
                    <w:jc w:val="center"/>
                    <w:textAlignment w:val="center"/>
                    <w:rPr>
                      <w:rFonts w:hint="eastAsia" w:ascii="Times New Roman" w:hAnsi="Times New Roman" w:eastAsia="宋体" w:cs="Times New Roman"/>
                      <w:i w:val="0"/>
                      <w:iCs w:val="0"/>
                      <w:color w:val="000000"/>
                      <w:kern w:val="0"/>
                      <w:sz w:val="18"/>
                      <w:szCs w:val="18"/>
                      <w:highlight w:val="none"/>
                      <w:u w:val="none"/>
                      <w:lang w:val="en-US" w:eastAsia="zh-CN" w:bidi="ar"/>
                    </w:rPr>
                  </w:pPr>
                  <w:r>
                    <w:rPr>
                      <w:rFonts w:hint="eastAsia" w:ascii="Times New Roman" w:hAnsi="Times New Roman" w:eastAsia="宋体" w:cs="Times New Roman"/>
                      <w:i w:val="0"/>
                      <w:iCs w:val="0"/>
                      <w:color w:val="000000"/>
                      <w:kern w:val="0"/>
                      <w:sz w:val="18"/>
                      <w:szCs w:val="18"/>
                      <w:highlight w:val="none"/>
                      <w:u w:val="none"/>
                      <w:lang w:val="en-US" w:eastAsia="zh-CN" w:bidi="ar"/>
                    </w:rPr>
                    <w:t xml:space="preserve">0.053 </w:t>
                  </w:r>
                </w:p>
              </w:tc>
              <w:tc>
                <w:tcPr>
                  <w:tcW w:w="357" w:type="pct"/>
                  <w:tcBorders>
                    <w:top w:val="single" w:color="auto" w:sz="4" w:space="0"/>
                    <w:left w:val="single" w:color="auto" w:sz="4" w:space="0"/>
                    <w:bottom w:val="single" w:color="auto" w:sz="4" w:space="0"/>
                    <w:right w:val="single" w:color="auto" w:sz="4" w:space="0"/>
                  </w:tcBorders>
                  <w:shd w:val="clear" w:color="auto" w:fill="auto"/>
                  <w:vAlign w:val="center"/>
                </w:tcPr>
                <w:p w14:paraId="4F0D6449">
                  <w:pPr>
                    <w:keepNext w:val="0"/>
                    <w:keepLines w:val="0"/>
                    <w:widowControl/>
                    <w:suppressLineNumbers w:val="0"/>
                    <w:spacing w:before="0" w:beforeAutospacing="0" w:after="0" w:afterAutospacing="0"/>
                    <w:ind w:left="0" w:right="0"/>
                    <w:jc w:val="center"/>
                    <w:textAlignment w:val="center"/>
                    <w:rPr>
                      <w:rFonts w:hint="eastAsia" w:ascii="Times New Roman" w:hAnsi="Times New Roman" w:eastAsia="宋体" w:cs="Times New Roman"/>
                      <w:i w:val="0"/>
                      <w:iCs w:val="0"/>
                      <w:color w:val="000000"/>
                      <w:kern w:val="0"/>
                      <w:sz w:val="18"/>
                      <w:szCs w:val="18"/>
                      <w:highlight w:val="none"/>
                      <w:u w:val="none"/>
                      <w:lang w:val="en-US" w:eastAsia="zh-CN" w:bidi="ar"/>
                    </w:rPr>
                  </w:pPr>
                  <w:r>
                    <w:rPr>
                      <w:rFonts w:hint="eastAsia" w:ascii="Times New Roman" w:hAnsi="Times New Roman" w:eastAsia="宋体" w:cs="Times New Roman"/>
                      <w:i w:val="0"/>
                      <w:iCs w:val="0"/>
                      <w:color w:val="000000"/>
                      <w:kern w:val="0"/>
                      <w:sz w:val="18"/>
                      <w:szCs w:val="18"/>
                      <w:highlight w:val="none"/>
                      <w:u w:val="none"/>
                      <w:lang w:val="en-US" w:eastAsia="zh-CN" w:bidi="ar"/>
                    </w:rPr>
                    <w:t xml:space="preserve">0.051 </w:t>
                  </w:r>
                </w:p>
              </w:tc>
              <w:tc>
                <w:tcPr>
                  <w:tcW w:w="404" w:type="pct"/>
                  <w:tcBorders>
                    <w:top w:val="single" w:color="auto" w:sz="4" w:space="0"/>
                    <w:left w:val="single" w:color="auto" w:sz="4" w:space="0"/>
                    <w:right w:val="single" w:color="auto" w:sz="4" w:space="0"/>
                  </w:tcBorders>
                  <w:shd w:val="clear" w:color="auto" w:fill="auto"/>
                  <w:vAlign w:val="center"/>
                </w:tcPr>
                <w:p w14:paraId="3CB07966">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kern w:val="0"/>
                      <w:sz w:val="18"/>
                      <w:szCs w:val="18"/>
                      <w:highlight w:val="none"/>
                      <w:u w:val="none"/>
                      <w:lang w:val="en-US" w:eastAsia="zh-CN" w:bidi="ar"/>
                    </w:rPr>
                  </w:pPr>
                  <w:r>
                    <w:rPr>
                      <w:rFonts w:hint="eastAsia" w:ascii="Times New Roman" w:hAnsi="Times New Roman" w:eastAsia="宋体" w:cs="Times New Roman"/>
                      <w:i w:val="0"/>
                      <w:iCs w:val="0"/>
                      <w:color w:val="000000"/>
                      <w:kern w:val="0"/>
                      <w:sz w:val="18"/>
                      <w:szCs w:val="18"/>
                      <w:highlight w:val="none"/>
                      <w:u w:val="none"/>
                      <w:lang w:val="en-US" w:eastAsia="zh-CN" w:bidi="ar"/>
                    </w:rPr>
                    <w:t xml:space="preserve">3.42 </w:t>
                  </w:r>
                </w:p>
              </w:tc>
              <w:tc>
                <w:tcPr>
                  <w:tcW w:w="383" w:type="pct"/>
                  <w:vMerge w:val="restart"/>
                  <w:tcBorders>
                    <w:left w:val="single" w:color="auto" w:sz="4" w:space="0"/>
                    <w:right w:val="single" w:color="auto" w:sz="4" w:space="0"/>
                  </w:tcBorders>
                  <w:shd w:val="clear" w:color="auto" w:fill="auto"/>
                  <w:vAlign w:val="center"/>
                </w:tcPr>
                <w:p w14:paraId="5912057C">
                  <w:pPr>
                    <w:keepNext w:val="0"/>
                    <w:keepLines w:val="0"/>
                    <w:suppressLineNumbers w:val="0"/>
                    <w:spacing w:before="0" w:beforeAutospacing="0" w:after="0" w:afterAutospacing="0"/>
                    <w:ind w:left="0" w:right="0"/>
                    <w:jc w:val="center"/>
                    <w:rPr>
                      <w:rFonts w:hint="default"/>
                      <w:sz w:val="18"/>
                      <w:szCs w:val="18"/>
                      <w:highlight w:val="none"/>
                      <w:lang w:val="en-US" w:eastAsia="zh-CN"/>
                    </w:rPr>
                  </w:pPr>
                  <w:r>
                    <w:rPr>
                      <w:rFonts w:hint="eastAsia"/>
                      <w:snapToGrid w:val="0"/>
                      <w:sz w:val="18"/>
                      <w:szCs w:val="18"/>
                      <w:highlight w:val="none"/>
                      <w:lang w:val="en-US" w:eastAsia="zh-CN"/>
                    </w:rPr>
                    <w:t>活性炭吸附</w:t>
                  </w:r>
                </w:p>
              </w:tc>
              <w:tc>
                <w:tcPr>
                  <w:tcW w:w="240" w:type="pct"/>
                  <w:tcBorders>
                    <w:left w:val="single" w:color="auto" w:sz="4" w:space="0"/>
                    <w:right w:val="single" w:color="auto" w:sz="4" w:space="0"/>
                  </w:tcBorders>
                  <w:shd w:val="clear" w:color="auto" w:fill="auto"/>
                  <w:vAlign w:val="center"/>
                </w:tcPr>
                <w:p w14:paraId="09828701">
                  <w:pPr>
                    <w:keepNext w:val="0"/>
                    <w:keepLines w:val="0"/>
                    <w:suppressLineNumbers w:val="0"/>
                    <w:spacing w:before="0" w:beforeAutospacing="0" w:after="0" w:afterAutospacing="0"/>
                    <w:ind w:left="0" w:right="0"/>
                    <w:jc w:val="center"/>
                    <w:rPr>
                      <w:rFonts w:hint="default" w:ascii="Times New Roman" w:hAnsi="Times New Roman" w:eastAsia="宋体" w:cs="Times New Roman"/>
                      <w:b w:val="0"/>
                      <w:bCs w:val="0"/>
                      <w:kern w:val="2"/>
                      <w:sz w:val="18"/>
                      <w:szCs w:val="18"/>
                      <w:highlight w:val="none"/>
                      <w:lang w:val="en-US" w:eastAsia="zh-CN" w:bidi="ar"/>
                    </w:rPr>
                  </w:pPr>
                  <w:r>
                    <w:rPr>
                      <w:rFonts w:hint="eastAsia"/>
                      <w:bCs/>
                      <w:kern w:val="0"/>
                      <w:sz w:val="18"/>
                      <w:szCs w:val="18"/>
                      <w:highlight w:val="none"/>
                      <w:lang w:val="en-US" w:eastAsia="zh-CN"/>
                    </w:rPr>
                    <w:t>/</w:t>
                  </w:r>
                </w:p>
              </w:tc>
              <w:tc>
                <w:tcPr>
                  <w:tcW w:w="317" w:type="pct"/>
                  <w:vMerge w:val="restart"/>
                  <w:tcBorders>
                    <w:left w:val="single" w:color="auto" w:sz="4" w:space="0"/>
                    <w:right w:val="single" w:color="auto" w:sz="4" w:space="0"/>
                  </w:tcBorders>
                  <w:vAlign w:val="center"/>
                </w:tcPr>
                <w:p w14:paraId="676D4310">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64" w:lineRule="auto"/>
                    <w:ind w:left="0" w:right="0"/>
                    <w:jc w:val="center"/>
                    <w:textAlignment w:val="auto"/>
                    <w:rPr>
                      <w:rFonts w:hint="default" w:eastAsia="宋体"/>
                      <w:bCs/>
                      <w:kern w:val="0"/>
                      <w:sz w:val="18"/>
                      <w:szCs w:val="18"/>
                      <w:highlight w:val="none"/>
                      <w:lang w:val="en-US" w:eastAsia="zh-CN"/>
                    </w:rPr>
                  </w:pPr>
                  <w:r>
                    <w:rPr>
                      <w:rFonts w:hint="eastAsia"/>
                      <w:bCs/>
                      <w:kern w:val="0"/>
                      <w:sz w:val="18"/>
                      <w:szCs w:val="18"/>
                      <w:highlight w:val="none"/>
                      <w:lang w:val="en-US" w:eastAsia="zh-CN"/>
                    </w:rPr>
                    <w:t>14900</w:t>
                  </w:r>
                </w:p>
              </w:tc>
              <w:tc>
                <w:tcPr>
                  <w:tcW w:w="380" w:type="pct"/>
                  <w:tcBorders>
                    <w:top w:val="single" w:color="auto" w:sz="4" w:space="0"/>
                    <w:left w:val="single" w:color="auto" w:sz="4" w:space="0"/>
                    <w:right w:val="single" w:color="auto" w:sz="4" w:space="0"/>
                  </w:tcBorders>
                  <w:shd w:val="clear" w:color="auto" w:fill="auto"/>
                  <w:vAlign w:val="center"/>
                </w:tcPr>
                <w:p w14:paraId="5AA966E7">
                  <w:pPr>
                    <w:keepNext w:val="0"/>
                    <w:keepLines w:val="0"/>
                    <w:widowControl/>
                    <w:suppressLineNumbers w:val="0"/>
                    <w:spacing w:before="0" w:beforeAutospacing="0" w:after="0" w:afterAutospacing="0"/>
                    <w:ind w:left="0" w:right="0"/>
                    <w:jc w:val="center"/>
                    <w:textAlignment w:val="center"/>
                    <w:rPr>
                      <w:rFonts w:hint="eastAsia" w:ascii="Times New Roman" w:hAnsi="Times New Roman" w:eastAsia="宋体" w:cs="Times New Roman"/>
                      <w:i w:val="0"/>
                      <w:iCs w:val="0"/>
                      <w:color w:val="000000"/>
                      <w:kern w:val="0"/>
                      <w:sz w:val="18"/>
                      <w:szCs w:val="18"/>
                      <w:highlight w:val="none"/>
                      <w:u w:val="none"/>
                      <w:lang w:val="en-US" w:eastAsia="zh-CN" w:bidi="ar"/>
                    </w:rPr>
                  </w:pPr>
                  <w:r>
                    <w:rPr>
                      <w:rFonts w:hint="eastAsia" w:ascii="Times New Roman" w:hAnsi="Times New Roman" w:eastAsia="宋体" w:cs="Times New Roman"/>
                      <w:i w:val="0"/>
                      <w:iCs w:val="0"/>
                      <w:color w:val="000000"/>
                      <w:kern w:val="0"/>
                      <w:sz w:val="18"/>
                      <w:szCs w:val="18"/>
                      <w:highlight w:val="none"/>
                      <w:u w:val="none"/>
                      <w:lang w:val="en-US" w:eastAsia="zh-CN" w:bidi="ar"/>
                    </w:rPr>
                    <w:t xml:space="preserve">0.053 </w:t>
                  </w:r>
                </w:p>
              </w:tc>
              <w:tc>
                <w:tcPr>
                  <w:tcW w:w="362" w:type="pct"/>
                  <w:tcBorders>
                    <w:top w:val="single" w:color="auto" w:sz="4" w:space="0"/>
                    <w:left w:val="single" w:color="auto" w:sz="4" w:space="0"/>
                    <w:right w:val="single" w:color="auto" w:sz="4" w:space="0"/>
                  </w:tcBorders>
                  <w:shd w:val="clear" w:color="auto" w:fill="auto"/>
                  <w:vAlign w:val="center"/>
                </w:tcPr>
                <w:p w14:paraId="551A0D90">
                  <w:pPr>
                    <w:keepNext w:val="0"/>
                    <w:keepLines w:val="0"/>
                    <w:widowControl/>
                    <w:suppressLineNumbers w:val="0"/>
                    <w:spacing w:before="0" w:beforeAutospacing="0" w:after="0" w:afterAutospacing="0"/>
                    <w:ind w:left="0" w:right="0"/>
                    <w:jc w:val="center"/>
                    <w:textAlignment w:val="center"/>
                    <w:rPr>
                      <w:rFonts w:hint="eastAsia" w:ascii="Times New Roman" w:hAnsi="Times New Roman" w:eastAsia="宋体" w:cs="Times New Roman"/>
                      <w:i w:val="0"/>
                      <w:iCs w:val="0"/>
                      <w:color w:val="000000"/>
                      <w:kern w:val="0"/>
                      <w:sz w:val="18"/>
                      <w:szCs w:val="18"/>
                      <w:highlight w:val="none"/>
                      <w:u w:val="none"/>
                      <w:lang w:val="en-US" w:eastAsia="zh-CN" w:bidi="ar"/>
                    </w:rPr>
                  </w:pPr>
                  <w:r>
                    <w:rPr>
                      <w:rFonts w:hint="eastAsia" w:ascii="Times New Roman" w:hAnsi="Times New Roman" w:eastAsia="宋体" w:cs="Times New Roman"/>
                      <w:i w:val="0"/>
                      <w:iCs w:val="0"/>
                      <w:color w:val="000000"/>
                      <w:kern w:val="0"/>
                      <w:sz w:val="18"/>
                      <w:szCs w:val="18"/>
                      <w:highlight w:val="none"/>
                      <w:u w:val="none"/>
                      <w:lang w:val="en-US" w:eastAsia="zh-CN" w:bidi="ar"/>
                    </w:rPr>
                    <w:t xml:space="preserve">0.051 </w:t>
                  </w:r>
                </w:p>
              </w:tc>
              <w:tc>
                <w:tcPr>
                  <w:tcW w:w="340" w:type="pct"/>
                  <w:tcBorders>
                    <w:top w:val="single" w:color="auto" w:sz="4" w:space="0"/>
                    <w:left w:val="single" w:color="auto" w:sz="4" w:space="0"/>
                    <w:right w:val="single" w:color="auto" w:sz="4" w:space="0"/>
                  </w:tcBorders>
                  <w:shd w:val="clear" w:color="auto" w:fill="auto"/>
                  <w:vAlign w:val="center"/>
                </w:tcPr>
                <w:p w14:paraId="2FBBC70A">
                  <w:pPr>
                    <w:keepNext w:val="0"/>
                    <w:keepLines w:val="0"/>
                    <w:widowControl/>
                    <w:suppressLineNumbers w:val="0"/>
                    <w:spacing w:before="0" w:beforeAutospacing="0" w:after="0" w:afterAutospacing="0"/>
                    <w:ind w:left="0" w:right="0"/>
                    <w:jc w:val="center"/>
                    <w:textAlignment w:val="center"/>
                    <w:rPr>
                      <w:rFonts w:hint="eastAsia" w:ascii="Times New Roman" w:hAnsi="Times New Roman" w:eastAsia="宋体" w:cs="Times New Roman"/>
                      <w:i w:val="0"/>
                      <w:iCs w:val="0"/>
                      <w:color w:val="000000"/>
                      <w:kern w:val="0"/>
                      <w:sz w:val="18"/>
                      <w:szCs w:val="18"/>
                      <w:highlight w:val="none"/>
                      <w:u w:val="none"/>
                      <w:lang w:val="en-US" w:eastAsia="zh-CN" w:bidi="ar"/>
                    </w:rPr>
                  </w:pPr>
                  <w:r>
                    <w:rPr>
                      <w:rFonts w:hint="eastAsia" w:ascii="Times New Roman" w:hAnsi="Times New Roman" w:eastAsia="宋体" w:cs="Times New Roman"/>
                      <w:i w:val="0"/>
                      <w:iCs w:val="0"/>
                      <w:color w:val="000000"/>
                      <w:kern w:val="0"/>
                      <w:sz w:val="18"/>
                      <w:szCs w:val="18"/>
                      <w:highlight w:val="none"/>
                      <w:u w:val="none"/>
                      <w:lang w:val="en-US" w:eastAsia="zh-CN" w:bidi="ar"/>
                    </w:rPr>
                    <w:t xml:space="preserve">3.42 </w:t>
                  </w:r>
                </w:p>
              </w:tc>
              <w:tc>
                <w:tcPr>
                  <w:tcW w:w="255" w:type="pct"/>
                  <w:vMerge w:val="restart"/>
                  <w:tcBorders>
                    <w:left w:val="single" w:color="auto" w:sz="4" w:space="0"/>
                    <w:right w:val="single" w:color="auto" w:sz="4" w:space="0"/>
                  </w:tcBorders>
                  <w:vAlign w:val="center"/>
                </w:tcPr>
                <w:p w14:paraId="6C46F6BB">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64" w:lineRule="auto"/>
                    <w:ind w:left="0" w:right="0"/>
                    <w:jc w:val="center"/>
                    <w:textAlignment w:val="auto"/>
                    <w:rPr>
                      <w:rFonts w:hint="default"/>
                      <w:bCs/>
                      <w:kern w:val="0"/>
                      <w:sz w:val="18"/>
                      <w:szCs w:val="18"/>
                      <w:highlight w:val="none"/>
                      <w:lang w:val="en-US" w:eastAsia="zh-CN"/>
                    </w:rPr>
                  </w:pPr>
                  <w:r>
                    <w:rPr>
                      <w:rFonts w:hint="eastAsia"/>
                      <w:bCs/>
                      <w:kern w:val="0"/>
                      <w:sz w:val="18"/>
                      <w:szCs w:val="18"/>
                      <w:highlight w:val="none"/>
                      <w:lang w:val="en-US" w:eastAsia="zh-CN"/>
                    </w:rPr>
                    <w:t>1040</w:t>
                  </w:r>
                </w:p>
              </w:tc>
            </w:tr>
            <w:tr w14:paraId="1E15081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189" w:hRule="atLeast"/>
                <w:jc w:val="center"/>
              </w:trPr>
              <w:tc>
                <w:tcPr>
                  <w:tcW w:w="271" w:type="pct"/>
                  <w:vMerge w:val="continue"/>
                  <w:tcBorders>
                    <w:left w:val="single" w:color="auto" w:sz="4" w:space="0"/>
                    <w:right w:val="single" w:color="auto" w:sz="4" w:space="0"/>
                  </w:tcBorders>
                  <w:vAlign w:val="center"/>
                </w:tcPr>
                <w:p w14:paraId="28F749D7">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64" w:lineRule="auto"/>
                    <w:ind w:left="0" w:right="0"/>
                    <w:jc w:val="center"/>
                    <w:textAlignment w:val="auto"/>
                    <w:rPr>
                      <w:rFonts w:hint="default"/>
                      <w:bCs/>
                      <w:kern w:val="0"/>
                      <w:sz w:val="18"/>
                      <w:szCs w:val="18"/>
                      <w:highlight w:val="none"/>
                    </w:rPr>
                  </w:pPr>
                </w:p>
              </w:tc>
              <w:tc>
                <w:tcPr>
                  <w:tcW w:w="331" w:type="pct"/>
                  <w:vMerge w:val="continue"/>
                  <w:tcBorders>
                    <w:left w:val="single" w:color="auto" w:sz="4" w:space="0"/>
                    <w:right w:val="single" w:color="auto" w:sz="4" w:space="0"/>
                  </w:tcBorders>
                  <w:vAlign w:val="center"/>
                </w:tcPr>
                <w:p w14:paraId="0A988BE9">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64" w:lineRule="auto"/>
                    <w:ind w:left="0" w:right="0"/>
                    <w:jc w:val="center"/>
                    <w:textAlignment w:val="auto"/>
                    <w:rPr>
                      <w:rFonts w:hint="default"/>
                      <w:bCs/>
                      <w:kern w:val="0"/>
                      <w:sz w:val="18"/>
                      <w:szCs w:val="18"/>
                      <w:highlight w:val="none"/>
                    </w:rPr>
                  </w:pPr>
                </w:p>
              </w:tc>
              <w:tc>
                <w:tcPr>
                  <w:tcW w:w="404" w:type="pct"/>
                  <w:vMerge w:val="continue"/>
                  <w:tcBorders>
                    <w:left w:val="single" w:color="auto" w:sz="4" w:space="0"/>
                    <w:right w:val="single" w:color="auto" w:sz="4" w:space="0"/>
                  </w:tcBorders>
                  <w:vAlign w:val="center"/>
                </w:tcPr>
                <w:p w14:paraId="15DCDFA7">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64" w:lineRule="auto"/>
                    <w:ind w:left="0" w:right="0"/>
                    <w:jc w:val="center"/>
                    <w:textAlignment w:val="auto"/>
                    <w:rPr>
                      <w:rFonts w:hint="default"/>
                      <w:bCs/>
                      <w:kern w:val="0"/>
                      <w:sz w:val="18"/>
                      <w:szCs w:val="18"/>
                      <w:highlight w:val="none"/>
                    </w:rPr>
                  </w:pPr>
                </w:p>
              </w:tc>
              <w:tc>
                <w:tcPr>
                  <w:tcW w:w="593" w:type="pct"/>
                  <w:tcBorders>
                    <w:left w:val="single" w:color="auto" w:sz="4" w:space="0"/>
                    <w:bottom w:val="single" w:color="auto" w:sz="4" w:space="0"/>
                    <w:right w:val="single" w:color="auto" w:sz="4" w:space="0"/>
                  </w:tcBorders>
                  <w:shd w:val="clear" w:color="auto" w:fill="auto"/>
                  <w:vAlign w:val="center"/>
                </w:tcPr>
                <w:p w14:paraId="41AD407F">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64" w:lineRule="auto"/>
                    <w:ind w:left="0" w:right="0"/>
                    <w:jc w:val="center"/>
                    <w:textAlignment w:val="auto"/>
                    <w:rPr>
                      <w:rFonts w:hint="default"/>
                      <w:bCs/>
                      <w:kern w:val="0"/>
                      <w:sz w:val="18"/>
                      <w:szCs w:val="18"/>
                      <w:highlight w:val="none"/>
                    </w:rPr>
                  </w:pPr>
                  <w:r>
                    <w:rPr>
                      <w:rFonts w:hint="eastAsia"/>
                      <w:bCs/>
                      <w:kern w:val="0"/>
                      <w:sz w:val="18"/>
                      <w:szCs w:val="18"/>
                      <w:highlight w:val="none"/>
                      <w:lang w:val="en-US" w:eastAsia="zh-CN"/>
                    </w:rPr>
                    <w:t>氯气</w:t>
                  </w:r>
                </w:p>
              </w:tc>
              <w:tc>
                <w:tcPr>
                  <w:tcW w:w="1119" w:type="pct"/>
                  <w:gridSpan w:val="3"/>
                  <w:tcBorders>
                    <w:top w:val="single" w:color="auto" w:sz="4" w:space="0"/>
                    <w:left w:val="single" w:color="auto" w:sz="4" w:space="0"/>
                    <w:bottom w:val="single" w:color="auto" w:sz="4" w:space="0"/>
                    <w:right w:val="single" w:color="auto" w:sz="4" w:space="0"/>
                  </w:tcBorders>
                  <w:vAlign w:val="center"/>
                </w:tcPr>
                <w:p w14:paraId="47B1A729">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kern w:val="0"/>
                      <w:sz w:val="18"/>
                      <w:szCs w:val="18"/>
                      <w:highlight w:val="none"/>
                      <w:u w:val="none"/>
                      <w:lang w:val="en-US" w:eastAsia="zh-CN" w:bidi="ar"/>
                    </w:rPr>
                  </w:pPr>
                  <w:r>
                    <w:rPr>
                      <w:rFonts w:hint="eastAsia" w:cs="Times New Roman"/>
                      <w:i w:val="0"/>
                      <w:iCs w:val="0"/>
                      <w:color w:val="000000"/>
                      <w:kern w:val="0"/>
                      <w:sz w:val="18"/>
                      <w:szCs w:val="18"/>
                      <w:highlight w:val="none"/>
                      <w:u w:val="none"/>
                      <w:lang w:val="en-US" w:eastAsia="zh-CN" w:bidi="ar"/>
                    </w:rPr>
                    <w:t>少量</w:t>
                  </w:r>
                  <w:r>
                    <w:rPr>
                      <w:rFonts w:hint="eastAsia" w:ascii="Times New Roman" w:hAnsi="Times New Roman" w:eastAsia="宋体" w:cs="Times New Roman"/>
                      <w:i w:val="0"/>
                      <w:iCs w:val="0"/>
                      <w:color w:val="000000"/>
                      <w:kern w:val="0"/>
                      <w:sz w:val="18"/>
                      <w:szCs w:val="18"/>
                      <w:highlight w:val="none"/>
                      <w:u w:val="none"/>
                      <w:lang w:val="en-US" w:eastAsia="zh-CN" w:bidi="ar"/>
                    </w:rPr>
                    <w:t xml:space="preserve"> </w:t>
                  </w:r>
                </w:p>
              </w:tc>
              <w:tc>
                <w:tcPr>
                  <w:tcW w:w="383" w:type="pct"/>
                  <w:vMerge w:val="continue"/>
                  <w:tcBorders>
                    <w:left w:val="single" w:color="auto" w:sz="4" w:space="0"/>
                    <w:right w:val="single" w:color="auto" w:sz="4" w:space="0"/>
                  </w:tcBorders>
                  <w:shd w:val="clear" w:color="auto" w:fill="auto"/>
                  <w:vAlign w:val="center"/>
                </w:tcPr>
                <w:p w14:paraId="3B1A00D4">
                  <w:pPr>
                    <w:keepNext w:val="0"/>
                    <w:keepLines w:val="0"/>
                    <w:suppressLineNumbers w:val="0"/>
                    <w:spacing w:before="0" w:beforeAutospacing="0" w:after="0" w:afterAutospacing="0"/>
                    <w:ind w:left="0" w:right="0"/>
                    <w:jc w:val="center"/>
                    <w:rPr>
                      <w:rFonts w:hint="default" w:ascii="Times New Roman" w:hAnsi="Times New Roman" w:eastAsia="宋体" w:cs="Times New Roman"/>
                      <w:b w:val="0"/>
                      <w:bCs w:val="0"/>
                      <w:kern w:val="2"/>
                      <w:sz w:val="18"/>
                      <w:szCs w:val="18"/>
                      <w:highlight w:val="none"/>
                      <w:lang w:val="en-US" w:eastAsia="zh-CN" w:bidi="ar"/>
                    </w:rPr>
                  </w:pPr>
                </w:p>
              </w:tc>
              <w:tc>
                <w:tcPr>
                  <w:tcW w:w="240" w:type="pct"/>
                  <w:tcBorders>
                    <w:left w:val="single" w:color="auto" w:sz="4" w:space="0"/>
                    <w:right w:val="single" w:color="auto" w:sz="4" w:space="0"/>
                  </w:tcBorders>
                  <w:shd w:val="clear" w:color="auto" w:fill="auto"/>
                  <w:vAlign w:val="center"/>
                </w:tcPr>
                <w:p w14:paraId="672153D8">
                  <w:pPr>
                    <w:keepNext w:val="0"/>
                    <w:keepLines w:val="0"/>
                    <w:suppressLineNumbers w:val="0"/>
                    <w:spacing w:before="0" w:beforeAutospacing="0" w:after="0" w:afterAutospacing="0"/>
                    <w:ind w:left="0" w:right="0"/>
                    <w:jc w:val="center"/>
                    <w:rPr>
                      <w:rFonts w:hint="default" w:ascii="Times New Roman" w:hAnsi="Times New Roman" w:eastAsia="宋体" w:cs="Times New Roman"/>
                      <w:b w:val="0"/>
                      <w:bCs w:val="0"/>
                      <w:kern w:val="2"/>
                      <w:sz w:val="18"/>
                      <w:szCs w:val="18"/>
                      <w:highlight w:val="none"/>
                      <w:lang w:val="en-US" w:eastAsia="zh-CN" w:bidi="ar"/>
                    </w:rPr>
                  </w:pPr>
                  <w:r>
                    <w:rPr>
                      <w:rFonts w:hint="eastAsia"/>
                      <w:bCs/>
                      <w:kern w:val="0"/>
                      <w:sz w:val="18"/>
                      <w:szCs w:val="18"/>
                      <w:highlight w:val="none"/>
                      <w:lang w:val="en-US" w:eastAsia="zh-CN"/>
                    </w:rPr>
                    <w:t>/</w:t>
                  </w:r>
                </w:p>
              </w:tc>
              <w:tc>
                <w:tcPr>
                  <w:tcW w:w="317" w:type="pct"/>
                  <w:vMerge w:val="continue"/>
                  <w:tcBorders>
                    <w:left w:val="single" w:color="auto" w:sz="4" w:space="0"/>
                    <w:right w:val="single" w:color="auto" w:sz="4" w:space="0"/>
                  </w:tcBorders>
                  <w:vAlign w:val="center"/>
                </w:tcPr>
                <w:p w14:paraId="611152C3">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64" w:lineRule="auto"/>
                    <w:ind w:left="0" w:right="0"/>
                    <w:jc w:val="center"/>
                    <w:textAlignment w:val="auto"/>
                    <w:rPr>
                      <w:rFonts w:hint="default"/>
                      <w:bCs/>
                      <w:kern w:val="0"/>
                      <w:sz w:val="18"/>
                      <w:szCs w:val="18"/>
                      <w:highlight w:val="none"/>
                    </w:rPr>
                  </w:pPr>
                </w:p>
              </w:tc>
              <w:tc>
                <w:tcPr>
                  <w:tcW w:w="1083" w:type="pct"/>
                  <w:gridSpan w:val="3"/>
                  <w:tcBorders>
                    <w:top w:val="single" w:color="auto" w:sz="4" w:space="0"/>
                    <w:left w:val="single" w:color="auto" w:sz="4" w:space="0"/>
                    <w:right w:val="single" w:color="auto" w:sz="4" w:space="0"/>
                  </w:tcBorders>
                  <w:shd w:val="clear" w:color="auto" w:fill="auto"/>
                  <w:vAlign w:val="center"/>
                </w:tcPr>
                <w:p w14:paraId="25D37941">
                  <w:pPr>
                    <w:keepNext w:val="0"/>
                    <w:keepLines w:val="0"/>
                    <w:widowControl/>
                    <w:suppressLineNumbers w:val="0"/>
                    <w:spacing w:before="0" w:beforeAutospacing="0" w:after="0" w:afterAutospacing="0"/>
                    <w:ind w:left="0" w:right="0"/>
                    <w:jc w:val="center"/>
                    <w:textAlignment w:val="center"/>
                    <w:rPr>
                      <w:rFonts w:hint="eastAsia" w:ascii="Times New Roman" w:hAnsi="Times New Roman" w:eastAsia="宋体" w:cs="Times New Roman"/>
                      <w:i w:val="0"/>
                      <w:iCs w:val="0"/>
                      <w:color w:val="000000"/>
                      <w:kern w:val="0"/>
                      <w:sz w:val="18"/>
                      <w:szCs w:val="18"/>
                      <w:highlight w:val="none"/>
                      <w:u w:val="none"/>
                      <w:lang w:val="en-US" w:eastAsia="zh-CN" w:bidi="ar"/>
                    </w:rPr>
                  </w:pPr>
                  <w:r>
                    <w:rPr>
                      <w:rFonts w:hint="eastAsia" w:cs="Times New Roman"/>
                      <w:i w:val="0"/>
                      <w:iCs w:val="0"/>
                      <w:color w:val="000000"/>
                      <w:kern w:val="0"/>
                      <w:sz w:val="18"/>
                      <w:szCs w:val="18"/>
                      <w:highlight w:val="none"/>
                      <w:u w:val="none"/>
                      <w:lang w:val="en-US" w:eastAsia="zh-CN" w:bidi="ar"/>
                    </w:rPr>
                    <w:t>少量</w:t>
                  </w:r>
                </w:p>
              </w:tc>
              <w:tc>
                <w:tcPr>
                  <w:tcW w:w="255" w:type="pct"/>
                  <w:vMerge w:val="continue"/>
                  <w:tcBorders>
                    <w:left w:val="single" w:color="auto" w:sz="4" w:space="0"/>
                    <w:right w:val="single" w:color="auto" w:sz="4" w:space="0"/>
                  </w:tcBorders>
                  <w:vAlign w:val="center"/>
                </w:tcPr>
                <w:p w14:paraId="3D1DD826">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64" w:lineRule="auto"/>
                    <w:ind w:left="0" w:right="0"/>
                    <w:jc w:val="center"/>
                    <w:textAlignment w:val="auto"/>
                    <w:rPr>
                      <w:rFonts w:hint="eastAsia"/>
                      <w:bCs/>
                      <w:kern w:val="0"/>
                      <w:sz w:val="18"/>
                      <w:szCs w:val="18"/>
                      <w:highlight w:val="none"/>
                      <w:lang w:val="en-US" w:eastAsia="zh-CN"/>
                    </w:rPr>
                  </w:pPr>
                </w:p>
              </w:tc>
            </w:tr>
            <w:tr w14:paraId="71CD174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189" w:hRule="atLeast"/>
                <w:jc w:val="center"/>
              </w:trPr>
              <w:tc>
                <w:tcPr>
                  <w:tcW w:w="271" w:type="pct"/>
                  <w:vMerge w:val="continue"/>
                  <w:tcBorders>
                    <w:left w:val="single" w:color="auto" w:sz="4" w:space="0"/>
                    <w:right w:val="single" w:color="auto" w:sz="4" w:space="0"/>
                  </w:tcBorders>
                  <w:vAlign w:val="center"/>
                </w:tcPr>
                <w:p w14:paraId="46311557">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64" w:lineRule="auto"/>
                    <w:ind w:left="0" w:right="0"/>
                    <w:jc w:val="center"/>
                    <w:textAlignment w:val="auto"/>
                    <w:rPr>
                      <w:rFonts w:hint="default"/>
                      <w:bCs/>
                      <w:kern w:val="0"/>
                      <w:sz w:val="18"/>
                      <w:szCs w:val="18"/>
                      <w:highlight w:val="none"/>
                    </w:rPr>
                  </w:pPr>
                </w:p>
              </w:tc>
              <w:tc>
                <w:tcPr>
                  <w:tcW w:w="331" w:type="pct"/>
                  <w:vMerge w:val="continue"/>
                  <w:tcBorders>
                    <w:left w:val="single" w:color="auto" w:sz="4" w:space="0"/>
                    <w:right w:val="single" w:color="auto" w:sz="4" w:space="0"/>
                  </w:tcBorders>
                  <w:vAlign w:val="center"/>
                </w:tcPr>
                <w:p w14:paraId="601DEAEC">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64" w:lineRule="auto"/>
                    <w:ind w:left="0" w:right="0"/>
                    <w:jc w:val="center"/>
                    <w:textAlignment w:val="auto"/>
                    <w:rPr>
                      <w:rFonts w:hint="default"/>
                      <w:bCs/>
                      <w:kern w:val="0"/>
                      <w:sz w:val="18"/>
                      <w:szCs w:val="18"/>
                      <w:highlight w:val="none"/>
                    </w:rPr>
                  </w:pPr>
                </w:p>
              </w:tc>
              <w:tc>
                <w:tcPr>
                  <w:tcW w:w="404" w:type="pct"/>
                  <w:tcBorders>
                    <w:left w:val="single" w:color="auto" w:sz="4" w:space="0"/>
                    <w:right w:val="single" w:color="auto" w:sz="4" w:space="0"/>
                  </w:tcBorders>
                  <w:vAlign w:val="center"/>
                </w:tcPr>
                <w:p w14:paraId="3FBEA75F">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64" w:lineRule="auto"/>
                    <w:ind w:left="0" w:right="0"/>
                    <w:jc w:val="center"/>
                    <w:textAlignment w:val="auto"/>
                    <w:rPr>
                      <w:rFonts w:hint="default" w:eastAsia="宋体"/>
                      <w:bCs/>
                      <w:kern w:val="0"/>
                      <w:sz w:val="18"/>
                      <w:szCs w:val="18"/>
                      <w:highlight w:val="none"/>
                      <w:lang w:val="en-US" w:eastAsia="zh-CN"/>
                    </w:rPr>
                  </w:pPr>
                  <w:r>
                    <w:rPr>
                      <w:rFonts w:hint="eastAsia"/>
                      <w:bCs/>
                      <w:kern w:val="0"/>
                      <w:sz w:val="18"/>
                      <w:szCs w:val="18"/>
                      <w:highlight w:val="none"/>
                      <w:lang w:val="en-US" w:eastAsia="zh-CN"/>
                    </w:rPr>
                    <w:t>解剖废气</w:t>
                  </w:r>
                </w:p>
              </w:tc>
              <w:tc>
                <w:tcPr>
                  <w:tcW w:w="593" w:type="pct"/>
                  <w:tcBorders>
                    <w:left w:val="single" w:color="auto" w:sz="4" w:space="0"/>
                    <w:bottom w:val="single" w:color="auto" w:sz="4" w:space="0"/>
                    <w:right w:val="single" w:color="auto" w:sz="4" w:space="0"/>
                  </w:tcBorders>
                  <w:shd w:val="clear" w:color="auto" w:fill="auto"/>
                  <w:vAlign w:val="center"/>
                </w:tcPr>
                <w:p w14:paraId="2BACF710">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64" w:lineRule="auto"/>
                    <w:ind w:left="0" w:right="0"/>
                    <w:jc w:val="center"/>
                    <w:textAlignment w:val="auto"/>
                    <w:rPr>
                      <w:rFonts w:hint="default"/>
                      <w:bCs/>
                      <w:kern w:val="0"/>
                      <w:sz w:val="18"/>
                      <w:szCs w:val="18"/>
                      <w:highlight w:val="none"/>
                      <w:lang w:val="en-US" w:eastAsia="zh-CN"/>
                    </w:rPr>
                  </w:pPr>
                  <w:r>
                    <w:rPr>
                      <w:rFonts w:hint="eastAsia"/>
                      <w:bCs/>
                      <w:kern w:val="0"/>
                      <w:sz w:val="18"/>
                      <w:szCs w:val="18"/>
                      <w:highlight w:val="none"/>
                      <w:lang w:val="en-US" w:eastAsia="zh-CN"/>
                    </w:rPr>
                    <w:t>甲醛</w:t>
                  </w:r>
                </w:p>
              </w:tc>
              <w:tc>
                <w:tcPr>
                  <w:tcW w:w="357" w:type="pct"/>
                  <w:tcBorders>
                    <w:top w:val="single" w:color="auto" w:sz="4" w:space="0"/>
                    <w:left w:val="single" w:color="auto" w:sz="4" w:space="0"/>
                    <w:bottom w:val="single" w:color="auto" w:sz="4" w:space="0"/>
                    <w:right w:val="single" w:color="auto" w:sz="4" w:space="0"/>
                  </w:tcBorders>
                  <w:vAlign w:val="center"/>
                </w:tcPr>
                <w:p w14:paraId="366EFEFC">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kern w:val="0"/>
                      <w:sz w:val="18"/>
                      <w:szCs w:val="18"/>
                      <w:highlight w:val="none"/>
                      <w:u w:val="none"/>
                      <w:lang w:val="en-US" w:eastAsia="zh-CN" w:bidi="ar"/>
                    </w:rPr>
                  </w:pPr>
                  <w:r>
                    <w:rPr>
                      <w:rFonts w:hint="eastAsia" w:ascii="Times New Roman" w:hAnsi="Times New Roman" w:eastAsia="宋体" w:cs="Times New Roman"/>
                      <w:i w:val="0"/>
                      <w:iCs w:val="0"/>
                      <w:color w:val="000000"/>
                      <w:kern w:val="0"/>
                      <w:sz w:val="18"/>
                      <w:szCs w:val="18"/>
                      <w:highlight w:val="none"/>
                      <w:u w:val="none"/>
                      <w:lang w:val="en-US" w:eastAsia="zh-CN" w:bidi="ar"/>
                    </w:rPr>
                    <w:t>0.009</w:t>
                  </w:r>
                </w:p>
              </w:tc>
              <w:tc>
                <w:tcPr>
                  <w:tcW w:w="357" w:type="pct"/>
                  <w:tcBorders>
                    <w:top w:val="single" w:color="auto" w:sz="4" w:space="0"/>
                    <w:left w:val="single" w:color="auto" w:sz="4" w:space="0"/>
                    <w:bottom w:val="single" w:color="auto" w:sz="4" w:space="0"/>
                    <w:right w:val="single" w:color="auto" w:sz="4" w:space="0"/>
                  </w:tcBorders>
                  <w:shd w:val="clear" w:color="auto" w:fill="auto"/>
                  <w:vAlign w:val="center"/>
                </w:tcPr>
                <w:p w14:paraId="6197340F">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kern w:val="0"/>
                      <w:sz w:val="18"/>
                      <w:szCs w:val="18"/>
                      <w:highlight w:val="none"/>
                      <w:u w:val="none"/>
                      <w:lang w:val="en-US" w:eastAsia="zh-CN" w:bidi="ar"/>
                    </w:rPr>
                  </w:pPr>
                  <w:r>
                    <w:rPr>
                      <w:rFonts w:hint="eastAsia" w:ascii="Times New Roman" w:hAnsi="Times New Roman" w:eastAsia="宋体" w:cs="Times New Roman"/>
                      <w:i w:val="0"/>
                      <w:iCs w:val="0"/>
                      <w:color w:val="000000"/>
                      <w:kern w:val="0"/>
                      <w:sz w:val="18"/>
                      <w:szCs w:val="18"/>
                      <w:highlight w:val="none"/>
                      <w:u w:val="none"/>
                      <w:lang w:val="en-US" w:eastAsia="zh-CN" w:bidi="ar"/>
                    </w:rPr>
                    <w:t>0.004</w:t>
                  </w:r>
                </w:p>
              </w:tc>
              <w:tc>
                <w:tcPr>
                  <w:tcW w:w="404" w:type="pct"/>
                  <w:tcBorders>
                    <w:top w:val="single" w:color="auto" w:sz="4" w:space="0"/>
                    <w:left w:val="single" w:color="auto" w:sz="4" w:space="0"/>
                    <w:right w:val="single" w:color="auto" w:sz="4" w:space="0"/>
                  </w:tcBorders>
                  <w:shd w:val="clear" w:color="auto" w:fill="auto"/>
                  <w:vAlign w:val="center"/>
                </w:tcPr>
                <w:p w14:paraId="40B52FFE">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kern w:val="0"/>
                      <w:sz w:val="18"/>
                      <w:szCs w:val="18"/>
                      <w:highlight w:val="none"/>
                      <w:u w:val="none"/>
                      <w:lang w:val="en-US" w:eastAsia="zh-CN" w:bidi="ar"/>
                    </w:rPr>
                  </w:pPr>
                  <w:r>
                    <w:rPr>
                      <w:rFonts w:hint="eastAsia" w:ascii="Times New Roman" w:hAnsi="Times New Roman" w:eastAsia="宋体" w:cs="Times New Roman"/>
                      <w:i w:val="0"/>
                      <w:iCs w:val="0"/>
                      <w:color w:val="000000"/>
                      <w:kern w:val="0"/>
                      <w:sz w:val="18"/>
                      <w:szCs w:val="18"/>
                      <w:highlight w:val="none"/>
                      <w:u w:val="none"/>
                      <w:lang w:val="en-US" w:eastAsia="zh-CN" w:bidi="ar"/>
                    </w:rPr>
                    <w:t xml:space="preserve">0.27 </w:t>
                  </w:r>
                </w:p>
              </w:tc>
              <w:tc>
                <w:tcPr>
                  <w:tcW w:w="383" w:type="pct"/>
                  <w:vMerge w:val="continue"/>
                  <w:tcBorders>
                    <w:left w:val="single" w:color="auto" w:sz="4" w:space="0"/>
                    <w:right w:val="single" w:color="auto" w:sz="4" w:space="0"/>
                  </w:tcBorders>
                  <w:shd w:val="clear" w:color="auto" w:fill="auto"/>
                  <w:vAlign w:val="center"/>
                </w:tcPr>
                <w:p w14:paraId="55E2E22D">
                  <w:pPr>
                    <w:keepNext w:val="0"/>
                    <w:keepLines w:val="0"/>
                    <w:suppressLineNumbers w:val="0"/>
                    <w:spacing w:before="0" w:beforeAutospacing="0" w:after="0" w:afterAutospacing="0"/>
                    <w:ind w:left="0" w:right="0"/>
                    <w:jc w:val="center"/>
                    <w:rPr>
                      <w:rFonts w:hint="default" w:ascii="Times New Roman" w:hAnsi="Times New Roman" w:eastAsia="宋体" w:cs="Times New Roman"/>
                      <w:b w:val="0"/>
                      <w:bCs w:val="0"/>
                      <w:kern w:val="2"/>
                      <w:sz w:val="18"/>
                      <w:szCs w:val="18"/>
                      <w:highlight w:val="none"/>
                      <w:lang w:val="en-US" w:eastAsia="zh-CN" w:bidi="ar"/>
                    </w:rPr>
                  </w:pPr>
                </w:p>
              </w:tc>
              <w:tc>
                <w:tcPr>
                  <w:tcW w:w="240" w:type="pct"/>
                  <w:tcBorders>
                    <w:left w:val="single" w:color="auto" w:sz="4" w:space="0"/>
                    <w:right w:val="single" w:color="auto" w:sz="4" w:space="0"/>
                  </w:tcBorders>
                  <w:shd w:val="clear" w:color="auto" w:fill="auto"/>
                  <w:vAlign w:val="center"/>
                </w:tcPr>
                <w:p w14:paraId="2EDE3C1E">
                  <w:pPr>
                    <w:keepNext w:val="0"/>
                    <w:keepLines w:val="0"/>
                    <w:suppressLineNumbers w:val="0"/>
                    <w:spacing w:before="0" w:beforeAutospacing="0" w:after="0" w:afterAutospacing="0"/>
                    <w:ind w:left="0" w:right="0"/>
                    <w:jc w:val="center"/>
                    <w:rPr>
                      <w:rFonts w:hint="eastAsia"/>
                      <w:bCs/>
                      <w:kern w:val="0"/>
                      <w:sz w:val="18"/>
                      <w:szCs w:val="18"/>
                      <w:highlight w:val="none"/>
                      <w:lang w:val="en-US" w:eastAsia="zh-CN"/>
                    </w:rPr>
                  </w:pPr>
                  <w:r>
                    <w:rPr>
                      <w:rFonts w:hint="eastAsia"/>
                      <w:bCs/>
                      <w:kern w:val="0"/>
                      <w:sz w:val="18"/>
                      <w:szCs w:val="18"/>
                      <w:highlight w:val="none"/>
                      <w:lang w:val="en-US" w:eastAsia="zh-CN"/>
                    </w:rPr>
                    <w:t>/</w:t>
                  </w:r>
                </w:p>
              </w:tc>
              <w:tc>
                <w:tcPr>
                  <w:tcW w:w="317" w:type="pct"/>
                  <w:vMerge w:val="continue"/>
                  <w:tcBorders>
                    <w:left w:val="single" w:color="auto" w:sz="4" w:space="0"/>
                    <w:right w:val="single" w:color="auto" w:sz="4" w:space="0"/>
                  </w:tcBorders>
                  <w:vAlign w:val="center"/>
                </w:tcPr>
                <w:p w14:paraId="6A846C58">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64" w:lineRule="auto"/>
                    <w:ind w:left="0" w:right="0"/>
                    <w:jc w:val="center"/>
                    <w:textAlignment w:val="auto"/>
                    <w:rPr>
                      <w:rFonts w:hint="default"/>
                      <w:bCs/>
                      <w:kern w:val="0"/>
                      <w:sz w:val="18"/>
                      <w:szCs w:val="18"/>
                      <w:highlight w:val="none"/>
                    </w:rPr>
                  </w:pPr>
                </w:p>
              </w:tc>
              <w:tc>
                <w:tcPr>
                  <w:tcW w:w="380" w:type="pct"/>
                  <w:tcBorders>
                    <w:top w:val="single" w:color="auto" w:sz="4" w:space="0"/>
                    <w:left w:val="single" w:color="auto" w:sz="4" w:space="0"/>
                    <w:right w:val="single" w:color="auto" w:sz="4" w:space="0"/>
                  </w:tcBorders>
                  <w:shd w:val="clear" w:color="auto" w:fill="auto"/>
                  <w:vAlign w:val="center"/>
                </w:tcPr>
                <w:p w14:paraId="20F36ED7">
                  <w:pPr>
                    <w:keepNext w:val="0"/>
                    <w:keepLines w:val="0"/>
                    <w:widowControl/>
                    <w:suppressLineNumbers w:val="0"/>
                    <w:spacing w:before="0" w:beforeAutospacing="0" w:after="0" w:afterAutospacing="0"/>
                    <w:ind w:left="0" w:right="0"/>
                    <w:jc w:val="center"/>
                    <w:textAlignment w:val="center"/>
                    <w:rPr>
                      <w:rFonts w:hint="eastAsia" w:ascii="Times New Roman" w:hAnsi="Times New Roman" w:eastAsia="宋体" w:cs="Times New Roman"/>
                      <w:i w:val="0"/>
                      <w:iCs w:val="0"/>
                      <w:color w:val="000000"/>
                      <w:kern w:val="0"/>
                      <w:sz w:val="18"/>
                      <w:szCs w:val="18"/>
                      <w:highlight w:val="none"/>
                      <w:u w:val="none"/>
                      <w:lang w:val="en-US" w:eastAsia="zh-CN" w:bidi="ar"/>
                    </w:rPr>
                  </w:pPr>
                  <w:r>
                    <w:rPr>
                      <w:rFonts w:hint="eastAsia" w:ascii="Times New Roman" w:hAnsi="Times New Roman" w:eastAsia="宋体" w:cs="Times New Roman"/>
                      <w:i w:val="0"/>
                      <w:iCs w:val="0"/>
                      <w:color w:val="000000"/>
                      <w:kern w:val="0"/>
                      <w:sz w:val="18"/>
                      <w:szCs w:val="18"/>
                      <w:highlight w:val="none"/>
                      <w:u w:val="none"/>
                      <w:lang w:val="en-US" w:eastAsia="zh-CN" w:bidi="ar"/>
                    </w:rPr>
                    <w:t>0.009</w:t>
                  </w:r>
                </w:p>
              </w:tc>
              <w:tc>
                <w:tcPr>
                  <w:tcW w:w="362" w:type="pct"/>
                  <w:tcBorders>
                    <w:top w:val="single" w:color="auto" w:sz="4" w:space="0"/>
                    <w:left w:val="single" w:color="auto" w:sz="4" w:space="0"/>
                    <w:right w:val="single" w:color="auto" w:sz="4" w:space="0"/>
                  </w:tcBorders>
                  <w:shd w:val="clear" w:color="auto" w:fill="auto"/>
                  <w:vAlign w:val="center"/>
                </w:tcPr>
                <w:p w14:paraId="734D1735">
                  <w:pPr>
                    <w:keepNext w:val="0"/>
                    <w:keepLines w:val="0"/>
                    <w:widowControl/>
                    <w:suppressLineNumbers w:val="0"/>
                    <w:spacing w:before="0" w:beforeAutospacing="0" w:after="0" w:afterAutospacing="0"/>
                    <w:ind w:left="0" w:right="0"/>
                    <w:jc w:val="center"/>
                    <w:textAlignment w:val="center"/>
                    <w:rPr>
                      <w:rFonts w:hint="eastAsia" w:ascii="Times New Roman" w:hAnsi="Times New Roman" w:eastAsia="宋体" w:cs="Times New Roman"/>
                      <w:i w:val="0"/>
                      <w:iCs w:val="0"/>
                      <w:color w:val="000000"/>
                      <w:kern w:val="0"/>
                      <w:sz w:val="18"/>
                      <w:szCs w:val="18"/>
                      <w:highlight w:val="none"/>
                      <w:u w:val="none"/>
                      <w:lang w:val="en-US" w:eastAsia="zh-CN" w:bidi="ar"/>
                    </w:rPr>
                  </w:pPr>
                  <w:r>
                    <w:rPr>
                      <w:rFonts w:hint="eastAsia" w:ascii="Times New Roman" w:hAnsi="Times New Roman" w:eastAsia="宋体" w:cs="Times New Roman"/>
                      <w:i w:val="0"/>
                      <w:iCs w:val="0"/>
                      <w:color w:val="000000"/>
                      <w:kern w:val="0"/>
                      <w:sz w:val="18"/>
                      <w:szCs w:val="18"/>
                      <w:highlight w:val="none"/>
                      <w:u w:val="none"/>
                      <w:lang w:val="en-US" w:eastAsia="zh-CN" w:bidi="ar"/>
                    </w:rPr>
                    <w:t>0.004</w:t>
                  </w:r>
                </w:p>
              </w:tc>
              <w:tc>
                <w:tcPr>
                  <w:tcW w:w="340" w:type="pct"/>
                  <w:tcBorders>
                    <w:top w:val="single" w:color="auto" w:sz="4" w:space="0"/>
                    <w:left w:val="single" w:color="auto" w:sz="4" w:space="0"/>
                    <w:right w:val="single" w:color="auto" w:sz="4" w:space="0"/>
                  </w:tcBorders>
                  <w:vAlign w:val="center"/>
                </w:tcPr>
                <w:p w14:paraId="7DF491DB">
                  <w:pPr>
                    <w:keepNext w:val="0"/>
                    <w:keepLines w:val="0"/>
                    <w:widowControl/>
                    <w:suppressLineNumbers w:val="0"/>
                    <w:spacing w:before="0" w:beforeAutospacing="0" w:after="0" w:afterAutospacing="0"/>
                    <w:ind w:left="0" w:right="0"/>
                    <w:jc w:val="center"/>
                    <w:textAlignment w:val="center"/>
                    <w:rPr>
                      <w:rFonts w:hint="eastAsia" w:ascii="Times New Roman" w:hAnsi="Times New Roman" w:eastAsia="宋体" w:cs="Times New Roman"/>
                      <w:i w:val="0"/>
                      <w:iCs w:val="0"/>
                      <w:color w:val="000000"/>
                      <w:kern w:val="0"/>
                      <w:sz w:val="18"/>
                      <w:szCs w:val="18"/>
                      <w:highlight w:val="none"/>
                      <w:u w:val="none"/>
                      <w:lang w:val="en-US" w:eastAsia="zh-CN" w:bidi="ar"/>
                    </w:rPr>
                  </w:pPr>
                  <w:r>
                    <w:rPr>
                      <w:rFonts w:hint="eastAsia" w:ascii="Times New Roman" w:hAnsi="Times New Roman" w:eastAsia="宋体" w:cs="Times New Roman"/>
                      <w:i w:val="0"/>
                      <w:iCs w:val="0"/>
                      <w:color w:val="000000"/>
                      <w:kern w:val="0"/>
                      <w:sz w:val="18"/>
                      <w:szCs w:val="18"/>
                      <w:highlight w:val="none"/>
                      <w:u w:val="none"/>
                      <w:lang w:val="en-US" w:eastAsia="zh-CN" w:bidi="ar"/>
                    </w:rPr>
                    <w:t>0.27</w:t>
                  </w:r>
                </w:p>
              </w:tc>
              <w:tc>
                <w:tcPr>
                  <w:tcW w:w="255" w:type="pct"/>
                  <w:tcBorders>
                    <w:left w:val="single" w:color="auto" w:sz="4" w:space="0"/>
                    <w:right w:val="single" w:color="auto" w:sz="4" w:space="0"/>
                  </w:tcBorders>
                  <w:vAlign w:val="center"/>
                </w:tcPr>
                <w:p w14:paraId="1B2EF96D">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64" w:lineRule="auto"/>
                    <w:ind w:left="0" w:right="0"/>
                    <w:jc w:val="center"/>
                    <w:textAlignment w:val="auto"/>
                    <w:rPr>
                      <w:rFonts w:hint="default"/>
                      <w:bCs/>
                      <w:kern w:val="0"/>
                      <w:sz w:val="18"/>
                      <w:szCs w:val="18"/>
                      <w:highlight w:val="none"/>
                      <w:lang w:val="en-US" w:eastAsia="zh-CN"/>
                    </w:rPr>
                  </w:pPr>
                  <w:r>
                    <w:rPr>
                      <w:rFonts w:hint="eastAsia"/>
                      <w:bCs/>
                      <w:kern w:val="0"/>
                      <w:sz w:val="18"/>
                      <w:szCs w:val="18"/>
                      <w:highlight w:val="none"/>
                      <w:lang w:val="en-US" w:eastAsia="zh-CN"/>
                    </w:rPr>
                    <w:t>2080</w:t>
                  </w:r>
                </w:p>
              </w:tc>
            </w:tr>
            <w:tr w14:paraId="2B41AA6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189" w:hRule="atLeast"/>
                <w:jc w:val="center"/>
              </w:trPr>
              <w:tc>
                <w:tcPr>
                  <w:tcW w:w="271" w:type="pct"/>
                  <w:vMerge w:val="restart"/>
                  <w:tcBorders>
                    <w:left w:val="single" w:color="auto" w:sz="4" w:space="0"/>
                    <w:right w:val="single" w:color="auto" w:sz="4" w:space="0"/>
                  </w:tcBorders>
                  <w:vAlign w:val="center"/>
                </w:tcPr>
                <w:p w14:paraId="3FC3E3A6">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64" w:lineRule="auto"/>
                    <w:ind w:left="0" w:right="0"/>
                    <w:jc w:val="center"/>
                    <w:textAlignment w:val="auto"/>
                    <w:rPr>
                      <w:rFonts w:hint="default"/>
                      <w:bCs/>
                      <w:kern w:val="0"/>
                      <w:sz w:val="18"/>
                      <w:szCs w:val="18"/>
                      <w:highlight w:val="none"/>
                      <w:lang w:val="en-US"/>
                    </w:rPr>
                  </w:pPr>
                  <w:r>
                    <w:rPr>
                      <w:rFonts w:hint="eastAsia"/>
                      <w:bCs/>
                      <w:kern w:val="0"/>
                      <w:sz w:val="18"/>
                      <w:szCs w:val="18"/>
                      <w:highlight w:val="none"/>
                      <w:lang w:val="en-US" w:eastAsia="zh-CN"/>
                    </w:rPr>
                    <w:t>DA008</w:t>
                  </w:r>
                </w:p>
              </w:tc>
              <w:tc>
                <w:tcPr>
                  <w:tcW w:w="331" w:type="pct"/>
                  <w:vMerge w:val="restart"/>
                  <w:tcBorders>
                    <w:left w:val="single" w:color="auto" w:sz="4" w:space="0"/>
                    <w:right w:val="single" w:color="auto" w:sz="4" w:space="0"/>
                  </w:tcBorders>
                  <w:vAlign w:val="center"/>
                </w:tcPr>
                <w:p w14:paraId="652CD032">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64" w:lineRule="auto"/>
                    <w:ind w:left="0" w:right="0"/>
                    <w:jc w:val="center"/>
                    <w:textAlignment w:val="auto"/>
                    <w:rPr>
                      <w:rFonts w:hint="default"/>
                      <w:bCs/>
                      <w:kern w:val="0"/>
                      <w:sz w:val="18"/>
                      <w:szCs w:val="18"/>
                      <w:highlight w:val="none"/>
                    </w:rPr>
                  </w:pPr>
                  <w:r>
                    <w:rPr>
                      <w:rFonts w:hint="eastAsia"/>
                      <w:bCs/>
                      <w:kern w:val="0"/>
                      <w:sz w:val="18"/>
                      <w:szCs w:val="18"/>
                      <w:highlight w:val="none"/>
                      <w:lang w:val="en-US" w:eastAsia="zh-CN"/>
                    </w:rPr>
                    <w:t>8#排气筒</w:t>
                  </w:r>
                </w:p>
              </w:tc>
              <w:tc>
                <w:tcPr>
                  <w:tcW w:w="404" w:type="pct"/>
                  <w:vMerge w:val="restart"/>
                  <w:tcBorders>
                    <w:left w:val="single" w:color="auto" w:sz="4" w:space="0"/>
                    <w:right w:val="single" w:color="auto" w:sz="4" w:space="0"/>
                  </w:tcBorders>
                  <w:vAlign w:val="center"/>
                </w:tcPr>
                <w:p w14:paraId="23606744">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64" w:lineRule="auto"/>
                    <w:ind w:left="0" w:right="0"/>
                    <w:jc w:val="center"/>
                    <w:textAlignment w:val="auto"/>
                    <w:rPr>
                      <w:rFonts w:hint="default"/>
                      <w:bCs/>
                      <w:kern w:val="0"/>
                      <w:sz w:val="18"/>
                      <w:szCs w:val="18"/>
                      <w:highlight w:val="none"/>
                    </w:rPr>
                  </w:pPr>
                  <w:r>
                    <w:rPr>
                      <w:rFonts w:hint="eastAsia"/>
                      <w:bCs/>
                      <w:kern w:val="0"/>
                      <w:sz w:val="18"/>
                      <w:szCs w:val="18"/>
                      <w:highlight w:val="none"/>
                      <w:lang w:val="en-US" w:eastAsia="zh-CN"/>
                    </w:rPr>
                    <w:t>消毒废气</w:t>
                  </w:r>
                </w:p>
              </w:tc>
              <w:tc>
                <w:tcPr>
                  <w:tcW w:w="593" w:type="pct"/>
                  <w:tcBorders>
                    <w:left w:val="single" w:color="auto" w:sz="4" w:space="0"/>
                    <w:bottom w:val="single" w:color="auto" w:sz="4" w:space="0"/>
                    <w:right w:val="single" w:color="auto" w:sz="4" w:space="0"/>
                  </w:tcBorders>
                  <w:shd w:val="clear" w:color="auto" w:fill="auto"/>
                  <w:vAlign w:val="center"/>
                </w:tcPr>
                <w:p w14:paraId="477A3C91">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64" w:lineRule="auto"/>
                    <w:ind w:left="0" w:right="0"/>
                    <w:jc w:val="center"/>
                    <w:textAlignment w:val="auto"/>
                    <w:rPr>
                      <w:rFonts w:hint="default"/>
                      <w:bCs/>
                      <w:kern w:val="0"/>
                      <w:sz w:val="18"/>
                      <w:szCs w:val="18"/>
                      <w:highlight w:val="none"/>
                    </w:rPr>
                  </w:pPr>
                  <w:r>
                    <w:rPr>
                      <w:rFonts w:hint="eastAsia"/>
                      <w:bCs/>
                      <w:kern w:val="0"/>
                      <w:sz w:val="18"/>
                      <w:szCs w:val="18"/>
                      <w:highlight w:val="none"/>
                      <w:lang w:val="en-US" w:eastAsia="zh-CN"/>
                    </w:rPr>
                    <w:t>非甲烷总烃</w:t>
                  </w:r>
                </w:p>
              </w:tc>
              <w:tc>
                <w:tcPr>
                  <w:tcW w:w="357" w:type="pct"/>
                  <w:tcBorders>
                    <w:top w:val="single" w:color="auto" w:sz="4" w:space="0"/>
                    <w:left w:val="single" w:color="auto" w:sz="4" w:space="0"/>
                    <w:bottom w:val="single" w:color="auto" w:sz="4" w:space="0"/>
                    <w:right w:val="single" w:color="auto" w:sz="4" w:space="0"/>
                  </w:tcBorders>
                  <w:vAlign w:val="center"/>
                </w:tcPr>
                <w:p w14:paraId="3F2F7B5A">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kern w:val="0"/>
                      <w:sz w:val="18"/>
                      <w:szCs w:val="18"/>
                      <w:highlight w:val="none"/>
                      <w:u w:val="none"/>
                      <w:lang w:val="en-US" w:eastAsia="zh-CN" w:bidi="ar"/>
                    </w:rPr>
                  </w:pPr>
                  <w:r>
                    <w:rPr>
                      <w:rFonts w:hint="eastAsia" w:ascii="Times New Roman" w:hAnsi="Times New Roman" w:eastAsia="宋体" w:cs="Times New Roman"/>
                      <w:i w:val="0"/>
                      <w:iCs w:val="0"/>
                      <w:color w:val="000000"/>
                      <w:kern w:val="0"/>
                      <w:sz w:val="18"/>
                      <w:szCs w:val="18"/>
                      <w:highlight w:val="none"/>
                      <w:u w:val="none"/>
                      <w:lang w:val="en-US" w:eastAsia="zh-CN" w:bidi="ar"/>
                    </w:rPr>
                    <w:t xml:space="preserve">0.027 </w:t>
                  </w:r>
                </w:p>
              </w:tc>
              <w:tc>
                <w:tcPr>
                  <w:tcW w:w="357" w:type="pct"/>
                  <w:tcBorders>
                    <w:top w:val="single" w:color="auto" w:sz="4" w:space="0"/>
                    <w:left w:val="single" w:color="auto" w:sz="4" w:space="0"/>
                    <w:bottom w:val="single" w:color="auto" w:sz="4" w:space="0"/>
                    <w:right w:val="single" w:color="auto" w:sz="4" w:space="0"/>
                  </w:tcBorders>
                  <w:shd w:val="clear" w:color="auto" w:fill="auto"/>
                  <w:vAlign w:val="center"/>
                </w:tcPr>
                <w:p w14:paraId="787366E5">
                  <w:pPr>
                    <w:keepNext w:val="0"/>
                    <w:keepLines w:val="0"/>
                    <w:widowControl/>
                    <w:suppressLineNumbers w:val="0"/>
                    <w:spacing w:before="0" w:beforeAutospacing="0" w:after="0" w:afterAutospacing="0"/>
                    <w:ind w:left="0" w:right="0"/>
                    <w:jc w:val="center"/>
                    <w:textAlignment w:val="center"/>
                    <w:rPr>
                      <w:rFonts w:hint="eastAsia" w:ascii="Times New Roman" w:hAnsi="Times New Roman" w:eastAsia="宋体" w:cs="Times New Roman"/>
                      <w:i w:val="0"/>
                      <w:iCs w:val="0"/>
                      <w:color w:val="000000"/>
                      <w:kern w:val="0"/>
                      <w:sz w:val="18"/>
                      <w:szCs w:val="18"/>
                      <w:highlight w:val="none"/>
                      <w:u w:val="none"/>
                      <w:lang w:val="en-US" w:eastAsia="zh-CN" w:bidi="ar"/>
                    </w:rPr>
                  </w:pPr>
                  <w:r>
                    <w:rPr>
                      <w:rFonts w:hint="eastAsia" w:ascii="Times New Roman" w:hAnsi="Times New Roman" w:eastAsia="宋体" w:cs="Times New Roman"/>
                      <w:i w:val="0"/>
                      <w:iCs w:val="0"/>
                      <w:color w:val="000000"/>
                      <w:kern w:val="0"/>
                      <w:sz w:val="18"/>
                      <w:szCs w:val="18"/>
                      <w:highlight w:val="none"/>
                      <w:u w:val="none"/>
                      <w:lang w:val="en-US" w:eastAsia="zh-CN" w:bidi="ar"/>
                    </w:rPr>
                    <w:t xml:space="preserve">0.026 </w:t>
                  </w:r>
                </w:p>
              </w:tc>
              <w:tc>
                <w:tcPr>
                  <w:tcW w:w="404" w:type="pct"/>
                  <w:tcBorders>
                    <w:top w:val="single" w:color="auto" w:sz="4" w:space="0"/>
                    <w:left w:val="single" w:color="auto" w:sz="4" w:space="0"/>
                    <w:right w:val="single" w:color="auto" w:sz="4" w:space="0"/>
                  </w:tcBorders>
                  <w:shd w:val="clear" w:color="auto" w:fill="auto"/>
                  <w:vAlign w:val="center"/>
                </w:tcPr>
                <w:p w14:paraId="3FD55C84">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kern w:val="0"/>
                      <w:sz w:val="18"/>
                      <w:szCs w:val="18"/>
                      <w:highlight w:val="none"/>
                      <w:u w:val="none"/>
                      <w:lang w:val="en-US" w:eastAsia="zh-CN" w:bidi="ar"/>
                    </w:rPr>
                  </w:pPr>
                  <w:r>
                    <w:rPr>
                      <w:rFonts w:hint="eastAsia" w:ascii="Times New Roman" w:hAnsi="Times New Roman" w:eastAsia="宋体" w:cs="Times New Roman"/>
                      <w:i w:val="0"/>
                      <w:iCs w:val="0"/>
                      <w:color w:val="000000"/>
                      <w:kern w:val="0"/>
                      <w:sz w:val="18"/>
                      <w:szCs w:val="18"/>
                      <w:highlight w:val="none"/>
                      <w:u w:val="none"/>
                      <w:lang w:val="en-US" w:eastAsia="zh-CN" w:bidi="ar"/>
                    </w:rPr>
                    <w:t>3.</w:t>
                  </w:r>
                  <w:r>
                    <w:rPr>
                      <w:rFonts w:hint="eastAsia" w:cs="Times New Roman"/>
                      <w:i w:val="0"/>
                      <w:iCs w:val="0"/>
                      <w:color w:val="000000"/>
                      <w:kern w:val="0"/>
                      <w:sz w:val="18"/>
                      <w:szCs w:val="18"/>
                      <w:highlight w:val="none"/>
                      <w:u w:val="none"/>
                      <w:lang w:val="en-US" w:eastAsia="zh-CN" w:bidi="ar"/>
                    </w:rPr>
                    <w:t>11</w:t>
                  </w:r>
                  <w:r>
                    <w:rPr>
                      <w:rFonts w:hint="eastAsia" w:ascii="Times New Roman" w:hAnsi="Times New Roman" w:eastAsia="宋体" w:cs="Times New Roman"/>
                      <w:i w:val="0"/>
                      <w:iCs w:val="0"/>
                      <w:color w:val="000000"/>
                      <w:kern w:val="0"/>
                      <w:sz w:val="18"/>
                      <w:szCs w:val="18"/>
                      <w:highlight w:val="none"/>
                      <w:u w:val="none"/>
                      <w:lang w:val="en-US" w:eastAsia="zh-CN" w:bidi="ar"/>
                    </w:rPr>
                    <w:t xml:space="preserve"> </w:t>
                  </w:r>
                </w:p>
              </w:tc>
              <w:tc>
                <w:tcPr>
                  <w:tcW w:w="383" w:type="pct"/>
                  <w:vMerge w:val="restart"/>
                  <w:tcBorders>
                    <w:left w:val="single" w:color="auto" w:sz="4" w:space="0"/>
                    <w:right w:val="single" w:color="auto" w:sz="4" w:space="0"/>
                  </w:tcBorders>
                  <w:shd w:val="clear" w:color="auto" w:fill="auto"/>
                  <w:vAlign w:val="center"/>
                </w:tcPr>
                <w:p w14:paraId="6B56DB66">
                  <w:pPr>
                    <w:keepNext w:val="0"/>
                    <w:keepLines w:val="0"/>
                    <w:suppressLineNumbers w:val="0"/>
                    <w:spacing w:before="0" w:beforeAutospacing="0" w:after="0" w:afterAutospacing="0"/>
                    <w:ind w:left="0" w:right="0"/>
                    <w:jc w:val="center"/>
                    <w:rPr>
                      <w:rFonts w:hint="eastAsia"/>
                      <w:sz w:val="18"/>
                      <w:szCs w:val="18"/>
                      <w:highlight w:val="none"/>
                      <w:lang w:val="en-US" w:eastAsia="zh-CN"/>
                    </w:rPr>
                  </w:pPr>
                  <w:r>
                    <w:rPr>
                      <w:rFonts w:hint="eastAsia"/>
                      <w:snapToGrid w:val="0"/>
                      <w:sz w:val="18"/>
                      <w:szCs w:val="18"/>
                      <w:highlight w:val="none"/>
                      <w:lang w:val="en-US" w:eastAsia="zh-CN"/>
                    </w:rPr>
                    <w:t>活性炭吸附</w:t>
                  </w:r>
                </w:p>
              </w:tc>
              <w:tc>
                <w:tcPr>
                  <w:tcW w:w="240" w:type="pct"/>
                  <w:tcBorders>
                    <w:left w:val="single" w:color="auto" w:sz="4" w:space="0"/>
                    <w:right w:val="single" w:color="auto" w:sz="4" w:space="0"/>
                  </w:tcBorders>
                  <w:shd w:val="clear" w:color="auto" w:fill="auto"/>
                  <w:vAlign w:val="center"/>
                </w:tcPr>
                <w:p w14:paraId="084CE4DB">
                  <w:pPr>
                    <w:keepNext w:val="0"/>
                    <w:keepLines w:val="0"/>
                    <w:suppressLineNumbers w:val="0"/>
                    <w:spacing w:before="0" w:beforeAutospacing="0" w:after="0" w:afterAutospacing="0"/>
                    <w:ind w:left="0" w:right="0"/>
                    <w:jc w:val="center"/>
                    <w:rPr>
                      <w:rFonts w:hint="eastAsia" w:ascii="Times New Roman" w:hAnsi="Times New Roman" w:eastAsia="宋体" w:cs="Times New Roman"/>
                      <w:color w:val="auto"/>
                      <w:kern w:val="2"/>
                      <w:sz w:val="18"/>
                      <w:szCs w:val="18"/>
                      <w:highlight w:val="none"/>
                      <w:lang w:val="en-US" w:eastAsia="zh-CN" w:bidi="ar-SA"/>
                    </w:rPr>
                  </w:pPr>
                  <w:r>
                    <w:rPr>
                      <w:rFonts w:hint="eastAsia"/>
                      <w:bCs/>
                      <w:kern w:val="0"/>
                      <w:sz w:val="18"/>
                      <w:szCs w:val="18"/>
                      <w:highlight w:val="none"/>
                      <w:lang w:val="en-US" w:eastAsia="zh-CN"/>
                    </w:rPr>
                    <w:t>/</w:t>
                  </w:r>
                </w:p>
              </w:tc>
              <w:tc>
                <w:tcPr>
                  <w:tcW w:w="317" w:type="pct"/>
                  <w:vMerge w:val="restart"/>
                  <w:tcBorders>
                    <w:left w:val="single" w:color="auto" w:sz="4" w:space="0"/>
                    <w:right w:val="single" w:color="auto" w:sz="4" w:space="0"/>
                  </w:tcBorders>
                  <w:vAlign w:val="center"/>
                </w:tcPr>
                <w:p w14:paraId="4514B5E4">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64" w:lineRule="auto"/>
                    <w:ind w:left="0" w:right="0"/>
                    <w:jc w:val="center"/>
                    <w:textAlignment w:val="auto"/>
                    <w:rPr>
                      <w:rFonts w:hint="default" w:eastAsia="宋体"/>
                      <w:bCs/>
                      <w:kern w:val="0"/>
                      <w:sz w:val="18"/>
                      <w:szCs w:val="18"/>
                      <w:highlight w:val="none"/>
                      <w:lang w:val="en-US" w:eastAsia="zh-CN"/>
                    </w:rPr>
                  </w:pPr>
                  <w:r>
                    <w:rPr>
                      <w:rFonts w:hint="eastAsia"/>
                      <w:bCs/>
                      <w:kern w:val="0"/>
                      <w:sz w:val="18"/>
                      <w:szCs w:val="18"/>
                      <w:highlight w:val="none"/>
                      <w:lang w:val="en-US" w:eastAsia="zh-CN"/>
                    </w:rPr>
                    <w:t>8370</w:t>
                  </w:r>
                </w:p>
              </w:tc>
              <w:tc>
                <w:tcPr>
                  <w:tcW w:w="380" w:type="pct"/>
                  <w:tcBorders>
                    <w:top w:val="single" w:color="auto" w:sz="4" w:space="0"/>
                    <w:left w:val="single" w:color="auto" w:sz="4" w:space="0"/>
                    <w:right w:val="single" w:color="auto" w:sz="4" w:space="0"/>
                  </w:tcBorders>
                  <w:shd w:val="clear" w:color="auto" w:fill="auto"/>
                  <w:vAlign w:val="center"/>
                </w:tcPr>
                <w:p w14:paraId="1E93235D">
                  <w:pPr>
                    <w:keepNext w:val="0"/>
                    <w:keepLines w:val="0"/>
                    <w:widowControl/>
                    <w:suppressLineNumbers w:val="0"/>
                    <w:spacing w:before="0" w:beforeAutospacing="0" w:after="0" w:afterAutospacing="0"/>
                    <w:ind w:left="0" w:right="0"/>
                    <w:jc w:val="center"/>
                    <w:textAlignment w:val="center"/>
                    <w:rPr>
                      <w:rFonts w:hint="eastAsia" w:ascii="Times New Roman" w:hAnsi="Times New Roman" w:eastAsia="宋体" w:cs="Times New Roman"/>
                      <w:i w:val="0"/>
                      <w:iCs w:val="0"/>
                      <w:color w:val="000000"/>
                      <w:kern w:val="0"/>
                      <w:sz w:val="18"/>
                      <w:szCs w:val="18"/>
                      <w:highlight w:val="none"/>
                      <w:u w:val="none"/>
                      <w:lang w:val="en-US" w:eastAsia="zh-CN" w:bidi="ar"/>
                    </w:rPr>
                  </w:pPr>
                  <w:r>
                    <w:rPr>
                      <w:rFonts w:hint="eastAsia" w:ascii="Times New Roman" w:hAnsi="Times New Roman" w:eastAsia="宋体" w:cs="Times New Roman"/>
                      <w:i w:val="0"/>
                      <w:iCs w:val="0"/>
                      <w:color w:val="000000"/>
                      <w:kern w:val="0"/>
                      <w:sz w:val="18"/>
                      <w:szCs w:val="18"/>
                      <w:highlight w:val="none"/>
                      <w:u w:val="none"/>
                      <w:lang w:val="en-US" w:eastAsia="zh-CN" w:bidi="ar"/>
                    </w:rPr>
                    <w:t>0.027</w:t>
                  </w:r>
                </w:p>
              </w:tc>
              <w:tc>
                <w:tcPr>
                  <w:tcW w:w="362" w:type="pct"/>
                  <w:tcBorders>
                    <w:top w:val="single" w:color="auto" w:sz="4" w:space="0"/>
                    <w:left w:val="single" w:color="auto" w:sz="4" w:space="0"/>
                    <w:right w:val="single" w:color="auto" w:sz="4" w:space="0"/>
                  </w:tcBorders>
                  <w:shd w:val="clear" w:color="auto" w:fill="auto"/>
                  <w:vAlign w:val="center"/>
                </w:tcPr>
                <w:p w14:paraId="29EBCFAB">
                  <w:pPr>
                    <w:keepNext w:val="0"/>
                    <w:keepLines w:val="0"/>
                    <w:widowControl/>
                    <w:suppressLineNumbers w:val="0"/>
                    <w:spacing w:before="0" w:beforeAutospacing="0" w:after="0" w:afterAutospacing="0"/>
                    <w:ind w:left="0" w:right="0"/>
                    <w:jc w:val="center"/>
                    <w:textAlignment w:val="center"/>
                    <w:rPr>
                      <w:rFonts w:hint="eastAsia" w:ascii="Times New Roman" w:hAnsi="Times New Roman" w:eastAsia="宋体" w:cs="Times New Roman"/>
                      <w:i w:val="0"/>
                      <w:iCs w:val="0"/>
                      <w:color w:val="000000"/>
                      <w:kern w:val="0"/>
                      <w:sz w:val="18"/>
                      <w:szCs w:val="18"/>
                      <w:highlight w:val="none"/>
                      <w:u w:val="none"/>
                      <w:lang w:val="en-US" w:eastAsia="zh-CN" w:bidi="ar"/>
                    </w:rPr>
                  </w:pPr>
                  <w:r>
                    <w:rPr>
                      <w:rFonts w:hint="eastAsia" w:ascii="Times New Roman" w:hAnsi="Times New Roman" w:eastAsia="宋体" w:cs="Times New Roman"/>
                      <w:i w:val="0"/>
                      <w:iCs w:val="0"/>
                      <w:color w:val="000000"/>
                      <w:kern w:val="0"/>
                      <w:sz w:val="18"/>
                      <w:szCs w:val="18"/>
                      <w:highlight w:val="none"/>
                      <w:u w:val="none"/>
                      <w:lang w:val="en-US" w:eastAsia="zh-CN" w:bidi="ar"/>
                    </w:rPr>
                    <w:t xml:space="preserve">0.026 </w:t>
                  </w:r>
                </w:p>
              </w:tc>
              <w:tc>
                <w:tcPr>
                  <w:tcW w:w="340" w:type="pct"/>
                  <w:tcBorders>
                    <w:top w:val="single" w:color="auto" w:sz="4" w:space="0"/>
                    <w:left w:val="single" w:color="auto" w:sz="4" w:space="0"/>
                    <w:right w:val="single" w:color="auto" w:sz="4" w:space="0"/>
                  </w:tcBorders>
                  <w:vAlign w:val="center"/>
                </w:tcPr>
                <w:p w14:paraId="01D11A01">
                  <w:pPr>
                    <w:keepNext w:val="0"/>
                    <w:keepLines w:val="0"/>
                    <w:widowControl/>
                    <w:suppressLineNumbers w:val="0"/>
                    <w:spacing w:before="0" w:beforeAutospacing="0" w:after="0" w:afterAutospacing="0"/>
                    <w:ind w:left="0" w:right="0"/>
                    <w:jc w:val="center"/>
                    <w:textAlignment w:val="center"/>
                    <w:rPr>
                      <w:rFonts w:hint="eastAsia" w:ascii="Times New Roman" w:hAnsi="Times New Roman" w:eastAsia="宋体" w:cs="Times New Roman"/>
                      <w:i w:val="0"/>
                      <w:iCs w:val="0"/>
                      <w:color w:val="000000"/>
                      <w:kern w:val="0"/>
                      <w:sz w:val="18"/>
                      <w:szCs w:val="18"/>
                      <w:highlight w:val="none"/>
                      <w:u w:val="none"/>
                      <w:lang w:val="en-US" w:eastAsia="zh-CN" w:bidi="ar"/>
                    </w:rPr>
                  </w:pPr>
                  <w:r>
                    <w:rPr>
                      <w:rFonts w:hint="eastAsia" w:ascii="Times New Roman" w:hAnsi="Times New Roman" w:eastAsia="宋体" w:cs="Times New Roman"/>
                      <w:i w:val="0"/>
                      <w:iCs w:val="0"/>
                      <w:color w:val="000000"/>
                      <w:kern w:val="0"/>
                      <w:sz w:val="18"/>
                      <w:szCs w:val="18"/>
                      <w:highlight w:val="none"/>
                      <w:u w:val="none"/>
                      <w:lang w:val="en-US" w:eastAsia="zh-CN" w:bidi="ar"/>
                    </w:rPr>
                    <w:t>3.</w:t>
                  </w:r>
                  <w:r>
                    <w:rPr>
                      <w:rFonts w:hint="eastAsia" w:cs="Times New Roman"/>
                      <w:i w:val="0"/>
                      <w:iCs w:val="0"/>
                      <w:color w:val="000000"/>
                      <w:kern w:val="0"/>
                      <w:sz w:val="18"/>
                      <w:szCs w:val="18"/>
                      <w:highlight w:val="none"/>
                      <w:u w:val="none"/>
                      <w:lang w:val="en-US" w:eastAsia="zh-CN" w:bidi="ar"/>
                    </w:rPr>
                    <w:t>11</w:t>
                  </w:r>
                  <w:r>
                    <w:rPr>
                      <w:rFonts w:hint="eastAsia" w:ascii="Times New Roman" w:hAnsi="Times New Roman" w:eastAsia="宋体" w:cs="Times New Roman"/>
                      <w:i w:val="0"/>
                      <w:iCs w:val="0"/>
                      <w:color w:val="000000"/>
                      <w:kern w:val="0"/>
                      <w:sz w:val="18"/>
                      <w:szCs w:val="18"/>
                      <w:highlight w:val="none"/>
                      <w:u w:val="none"/>
                      <w:lang w:val="en-US" w:eastAsia="zh-CN" w:bidi="ar"/>
                    </w:rPr>
                    <w:t xml:space="preserve"> </w:t>
                  </w:r>
                </w:p>
              </w:tc>
              <w:tc>
                <w:tcPr>
                  <w:tcW w:w="255" w:type="pct"/>
                  <w:vMerge w:val="restart"/>
                  <w:tcBorders>
                    <w:left w:val="single" w:color="auto" w:sz="4" w:space="0"/>
                    <w:right w:val="single" w:color="auto" w:sz="4" w:space="0"/>
                  </w:tcBorders>
                  <w:vAlign w:val="center"/>
                </w:tcPr>
                <w:p w14:paraId="32D088BE">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64" w:lineRule="auto"/>
                    <w:ind w:left="0" w:right="0"/>
                    <w:jc w:val="center"/>
                    <w:textAlignment w:val="auto"/>
                    <w:rPr>
                      <w:rFonts w:hint="default"/>
                      <w:bCs/>
                      <w:kern w:val="0"/>
                      <w:sz w:val="18"/>
                      <w:szCs w:val="18"/>
                      <w:highlight w:val="none"/>
                      <w:lang w:val="en-US" w:eastAsia="zh-CN"/>
                    </w:rPr>
                  </w:pPr>
                  <w:r>
                    <w:rPr>
                      <w:rFonts w:hint="eastAsia"/>
                      <w:bCs/>
                      <w:kern w:val="0"/>
                      <w:sz w:val="18"/>
                      <w:szCs w:val="18"/>
                      <w:highlight w:val="none"/>
                      <w:lang w:val="en-US" w:eastAsia="zh-CN"/>
                    </w:rPr>
                    <w:t>1040</w:t>
                  </w:r>
                </w:p>
              </w:tc>
            </w:tr>
            <w:tr w14:paraId="64F514D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189" w:hRule="atLeast"/>
                <w:jc w:val="center"/>
              </w:trPr>
              <w:tc>
                <w:tcPr>
                  <w:tcW w:w="271" w:type="pct"/>
                  <w:vMerge w:val="continue"/>
                  <w:tcBorders>
                    <w:left w:val="single" w:color="auto" w:sz="4" w:space="0"/>
                    <w:right w:val="single" w:color="auto" w:sz="4" w:space="0"/>
                  </w:tcBorders>
                  <w:vAlign w:val="center"/>
                </w:tcPr>
                <w:p w14:paraId="322BD78C">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64" w:lineRule="auto"/>
                    <w:ind w:left="0" w:right="0"/>
                    <w:jc w:val="center"/>
                    <w:textAlignment w:val="auto"/>
                    <w:rPr>
                      <w:rFonts w:hint="default"/>
                      <w:bCs/>
                      <w:kern w:val="0"/>
                      <w:sz w:val="18"/>
                      <w:szCs w:val="18"/>
                      <w:highlight w:val="none"/>
                    </w:rPr>
                  </w:pPr>
                </w:p>
              </w:tc>
              <w:tc>
                <w:tcPr>
                  <w:tcW w:w="331" w:type="pct"/>
                  <w:vMerge w:val="continue"/>
                  <w:tcBorders>
                    <w:left w:val="single" w:color="auto" w:sz="4" w:space="0"/>
                    <w:right w:val="single" w:color="auto" w:sz="4" w:space="0"/>
                  </w:tcBorders>
                  <w:vAlign w:val="center"/>
                </w:tcPr>
                <w:p w14:paraId="03FA4C7C">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64" w:lineRule="auto"/>
                    <w:ind w:left="0" w:right="0"/>
                    <w:jc w:val="center"/>
                    <w:textAlignment w:val="auto"/>
                    <w:rPr>
                      <w:rFonts w:hint="default"/>
                      <w:bCs/>
                      <w:kern w:val="0"/>
                      <w:sz w:val="18"/>
                      <w:szCs w:val="18"/>
                      <w:highlight w:val="none"/>
                    </w:rPr>
                  </w:pPr>
                </w:p>
              </w:tc>
              <w:tc>
                <w:tcPr>
                  <w:tcW w:w="404" w:type="pct"/>
                  <w:vMerge w:val="continue"/>
                  <w:tcBorders>
                    <w:left w:val="single" w:color="auto" w:sz="4" w:space="0"/>
                    <w:right w:val="single" w:color="auto" w:sz="4" w:space="0"/>
                  </w:tcBorders>
                  <w:vAlign w:val="center"/>
                </w:tcPr>
                <w:p w14:paraId="56071A23">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64" w:lineRule="auto"/>
                    <w:ind w:left="0" w:right="0"/>
                    <w:jc w:val="center"/>
                    <w:textAlignment w:val="auto"/>
                    <w:rPr>
                      <w:rFonts w:hint="default"/>
                      <w:bCs/>
                      <w:kern w:val="0"/>
                      <w:sz w:val="18"/>
                      <w:szCs w:val="18"/>
                      <w:highlight w:val="none"/>
                    </w:rPr>
                  </w:pPr>
                </w:p>
              </w:tc>
              <w:tc>
                <w:tcPr>
                  <w:tcW w:w="593" w:type="pct"/>
                  <w:tcBorders>
                    <w:left w:val="single" w:color="auto" w:sz="4" w:space="0"/>
                    <w:bottom w:val="single" w:color="auto" w:sz="4" w:space="0"/>
                    <w:right w:val="single" w:color="auto" w:sz="4" w:space="0"/>
                  </w:tcBorders>
                  <w:shd w:val="clear" w:color="auto" w:fill="auto"/>
                  <w:vAlign w:val="center"/>
                </w:tcPr>
                <w:p w14:paraId="10EE45E8">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64" w:lineRule="auto"/>
                    <w:ind w:left="0" w:right="0"/>
                    <w:jc w:val="center"/>
                    <w:textAlignment w:val="auto"/>
                    <w:rPr>
                      <w:rFonts w:hint="default"/>
                      <w:bCs/>
                      <w:kern w:val="0"/>
                      <w:sz w:val="18"/>
                      <w:szCs w:val="18"/>
                      <w:highlight w:val="none"/>
                    </w:rPr>
                  </w:pPr>
                  <w:r>
                    <w:rPr>
                      <w:rFonts w:hint="eastAsia"/>
                      <w:bCs/>
                      <w:kern w:val="0"/>
                      <w:sz w:val="18"/>
                      <w:szCs w:val="18"/>
                      <w:highlight w:val="none"/>
                      <w:lang w:val="en-US" w:eastAsia="zh-CN"/>
                    </w:rPr>
                    <w:t>氯气</w:t>
                  </w:r>
                </w:p>
              </w:tc>
              <w:tc>
                <w:tcPr>
                  <w:tcW w:w="1119" w:type="pct"/>
                  <w:gridSpan w:val="3"/>
                  <w:tcBorders>
                    <w:top w:val="single" w:color="auto" w:sz="4" w:space="0"/>
                    <w:left w:val="single" w:color="auto" w:sz="4" w:space="0"/>
                    <w:bottom w:val="single" w:color="auto" w:sz="4" w:space="0"/>
                    <w:right w:val="single" w:color="auto" w:sz="4" w:space="0"/>
                  </w:tcBorders>
                  <w:vAlign w:val="center"/>
                </w:tcPr>
                <w:p w14:paraId="76CA0C9F">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kern w:val="0"/>
                      <w:sz w:val="18"/>
                      <w:szCs w:val="18"/>
                      <w:highlight w:val="none"/>
                      <w:u w:val="none"/>
                      <w:lang w:val="en-US" w:eastAsia="zh-CN" w:bidi="ar"/>
                    </w:rPr>
                  </w:pPr>
                  <w:r>
                    <w:rPr>
                      <w:rFonts w:hint="eastAsia" w:cs="Times New Roman"/>
                      <w:i w:val="0"/>
                      <w:iCs w:val="0"/>
                      <w:color w:val="000000"/>
                      <w:kern w:val="0"/>
                      <w:sz w:val="18"/>
                      <w:szCs w:val="18"/>
                      <w:highlight w:val="none"/>
                      <w:u w:val="none"/>
                      <w:lang w:val="en-US" w:eastAsia="zh-CN" w:bidi="ar"/>
                    </w:rPr>
                    <w:t>少量</w:t>
                  </w:r>
                </w:p>
              </w:tc>
              <w:tc>
                <w:tcPr>
                  <w:tcW w:w="383" w:type="pct"/>
                  <w:vMerge w:val="continue"/>
                  <w:tcBorders>
                    <w:left w:val="single" w:color="auto" w:sz="4" w:space="0"/>
                    <w:right w:val="single" w:color="auto" w:sz="4" w:space="0"/>
                  </w:tcBorders>
                  <w:shd w:val="clear" w:color="auto" w:fill="auto"/>
                  <w:vAlign w:val="center"/>
                </w:tcPr>
                <w:p w14:paraId="13D93E09">
                  <w:pPr>
                    <w:keepNext w:val="0"/>
                    <w:keepLines w:val="0"/>
                    <w:suppressLineNumbers w:val="0"/>
                    <w:spacing w:before="0" w:beforeAutospacing="0" w:after="0" w:afterAutospacing="0"/>
                    <w:ind w:left="0" w:right="0"/>
                    <w:jc w:val="center"/>
                    <w:rPr>
                      <w:rFonts w:hint="eastAsia" w:ascii="Times New Roman" w:hAnsi="Times New Roman" w:eastAsia="宋体" w:cs="Times New Roman"/>
                      <w:color w:val="auto"/>
                      <w:kern w:val="2"/>
                      <w:sz w:val="18"/>
                      <w:szCs w:val="18"/>
                      <w:highlight w:val="none"/>
                      <w:lang w:val="en-US" w:eastAsia="zh-CN" w:bidi="ar-SA"/>
                    </w:rPr>
                  </w:pPr>
                </w:p>
              </w:tc>
              <w:tc>
                <w:tcPr>
                  <w:tcW w:w="240" w:type="pct"/>
                  <w:tcBorders>
                    <w:left w:val="single" w:color="auto" w:sz="4" w:space="0"/>
                    <w:right w:val="single" w:color="auto" w:sz="4" w:space="0"/>
                  </w:tcBorders>
                  <w:shd w:val="clear" w:color="auto" w:fill="auto"/>
                  <w:vAlign w:val="center"/>
                </w:tcPr>
                <w:p w14:paraId="3E8F0D81">
                  <w:pPr>
                    <w:keepNext w:val="0"/>
                    <w:keepLines w:val="0"/>
                    <w:suppressLineNumbers w:val="0"/>
                    <w:spacing w:before="0" w:beforeAutospacing="0" w:after="0" w:afterAutospacing="0"/>
                    <w:ind w:left="0" w:right="0"/>
                    <w:jc w:val="center"/>
                    <w:rPr>
                      <w:rFonts w:hint="eastAsia" w:ascii="Times New Roman" w:hAnsi="Times New Roman" w:eastAsia="宋体" w:cs="Times New Roman"/>
                      <w:color w:val="auto"/>
                      <w:kern w:val="2"/>
                      <w:sz w:val="18"/>
                      <w:szCs w:val="18"/>
                      <w:highlight w:val="none"/>
                      <w:lang w:val="en-US" w:eastAsia="zh-CN" w:bidi="ar-SA"/>
                    </w:rPr>
                  </w:pPr>
                  <w:r>
                    <w:rPr>
                      <w:rFonts w:hint="eastAsia"/>
                      <w:bCs/>
                      <w:kern w:val="0"/>
                      <w:sz w:val="18"/>
                      <w:szCs w:val="18"/>
                      <w:highlight w:val="none"/>
                      <w:lang w:val="en-US" w:eastAsia="zh-CN"/>
                    </w:rPr>
                    <w:t>/</w:t>
                  </w:r>
                </w:p>
              </w:tc>
              <w:tc>
                <w:tcPr>
                  <w:tcW w:w="317" w:type="pct"/>
                  <w:vMerge w:val="continue"/>
                  <w:tcBorders>
                    <w:left w:val="single" w:color="auto" w:sz="4" w:space="0"/>
                    <w:right w:val="single" w:color="auto" w:sz="4" w:space="0"/>
                  </w:tcBorders>
                  <w:vAlign w:val="center"/>
                </w:tcPr>
                <w:p w14:paraId="7249A2EF">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64" w:lineRule="auto"/>
                    <w:ind w:left="0" w:right="0"/>
                    <w:jc w:val="center"/>
                    <w:textAlignment w:val="auto"/>
                    <w:rPr>
                      <w:rFonts w:hint="default"/>
                      <w:bCs/>
                      <w:kern w:val="0"/>
                      <w:sz w:val="18"/>
                      <w:szCs w:val="18"/>
                      <w:highlight w:val="none"/>
                    </w:rPr>
                  </w:pPr>
                </w:p>
              </w:tc>
              <w:tc>
                <w:tcPr>
                  <w:tcW w:w="1083" w:type="pct"/>
                  <w:gridSpan w:val="3"/>
                  <w:tcBorders>
                    <w:top w:val="single" w:color="auto" w:sz="4" w:space="0"/>
                    <w:left w:val="single" w:color="auto" w:sz="4" w:space="0"/>
                    <w:right w:val="single" w:color="auto" w:sz="4" w:space="0"/>
                  </w:tcBorders>
                  <w:shd w:val="clear" w:color="auto" w:fill="auto"/>
                  <w:vAlign w:val="center"/>
                </w:tcPr>
                <w:p w14:paraId="068D6EE2">
                  <w:pPr>
                    <w:keepNext w:val="0"/>
                    <w:keepLines w:val="0"/>
                    <w:widowControl/>
                    <w:suppressLineNumbers w:val="0"/>
                    <w:spacing w:before="0" w:beforeAutospacing="0" w:after="0" w:afterAutospacing="0"/>
                    <w:ind w:left="0" w:right="0"/>
                    <w:jc w:val="center"/>
                    <w:textAlignment w:val="center"/>
                    <w:rPr>
                      <w:rFonts w:hint="eastAsia" w:ascii="Times New Roman" w:hAnsi="Times New Roman" w:eastAsia="宋体" w:cs="Times New Roman"/>
                      <w:i w:val="0"/>
                      <w:iCs w:val="0"/>
                      <w:color w:val="000000"/>
                      <w:kern w:val="0"/>
                      <w:sz w:val="18"/>
                      <w:szCs w:val="18"/>
                      <w:highlight w:val="none"/>
                      <w:u w:val="none"/>
                      <w:lang w:val="en-US" w:eastAsia="zh-CN" w:bidi="ar"/>
                    </w:rPr>
                  </w:pPr>
                  <w:r>
                    <w:rPr>
                      <w:rFonts w:hint="eastAsia" w:cs="Times New Roman"/>
                      <w:i w:val="0"/>
                      <w:iCs w:val="0"/>
                      <w:color w:val="000000"/>
                      <w:kern w:val="0"/>
                      <w:sz w:val="18"/>
                      <w:szCs w:val="18"/>
                      <w:highlight w:val="none"/>
                      <w:u w:val="none"/>
                      <w:lang w:val="en-US" w:eastAsia="zh-CN" w:bidi="ar"/>
                    </w:rPr>
                    <w:t>少量</w:t>
                  </w:r>
                </w:p>
              </w:tc>
              <w:tc>
                <w:tcPr>
                  <w:tcW w:w="255" w:type="pct"/>
                  <w:vMerge w:val="continue"/>
                  <w:tcBorders>
                    <w:left w:val="single" w:color="auto" w:sz="4" w:space="0"/>
                    <w:right w:val="single" w:color="auto" w:sz="4" w:space="0"/>
                  </w:tcBorders>
                  <w:vAlign w:val="center"/>
                </w:tcPr>
                <w:p w14:paraId="347D4812">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64" w:lineRule="auto"/>
                    <w:ind w:left="0" w:right="0"/>
                    <w:jc w:val="center"/>
                    <w:textAlignment w:val="auto"/>
                    <w:rPr>
                      <w:rFonts w:hint="eastAsia"/>
                      <w:bCs/>
                      <w:kern w:val="0"/>
                      <w:sz w:val="18"/>
                      <w:szCs w:val="18"/>
                      <w:highlight w:val="none"/>
                      <w:lang w:val="en-US" w:eastAsia="zh-CN"/>
                    </w:rPr>
                  </w:pPr>
                </w:p>
              </w:tc>
            </w:tr>
            <w:tr w14:paraId="0133AC6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201" w:hRule="atLeast"/>
                <w:jc w:val="center"/>
              </w:trPr>
              <w:tc>
                <w:tcPr>
                  <w:tcW w:w="271" w:type="pct"/>
                  <w:vMerge w:val="restart"/>
                  <w:tcBorders>
                    <w:left w:val="single" w:color="auto" w:sz="4" w:space="0"/>
                    <w:right w:val="single" w:color="auto" w:sz="4" w:space="0"/>
                  </w:tcBorders>
                  <w:vAlign w:val="center"/>
                </w:tcPr>
                <w:p w14:paraId="7EFE3767">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64" w:lineRule="auto"/>
                    <w:ind w:left="0" w:right="0"/>
                    <w:jc w:val="center"/>
                    <w:textAlignment w:val="auto"/>
                    <w:rPr>
                      <w:rFonts w:hint="default"/>
                      <w:bCs/>
                      <w:kern w:val="0"/>
                      <w:sz w:val="18"/>
                      <w:szCs w:val="18"/>
                      <w:highlight w:val="none"/>
                      <w:lang w:val="en-US"/>
                    </w:rPr>
                  </w:pPr>
                  <w:r>
                    <w:rPr>
                      <w:rFonts w:hint="eastAsia"/>
                      <w:bCs/>
                      <w:kern w:val="0"/>
                      <w:sz w:val="18"/>
                      <w:szCs w:val="18"/>
                      <w:highlight w:val="none"/>
                      <w:lang w:val="en-US" w:eastAsia="zh-CN"/>
                    </w:rPr>
                    <w:t>DA009</w:t>
                  </w:r>
                </w:p>
              </w:tc>
              <w:tc>
                <w:tcPr>
                  <w:tcW w:w="331" w:type="pct"/>
                  <w:vMerge w:val="restart"/>
                  <w:tcBorders>
                    <w:left w:val="single" w:color="auto" w:sz="4" w:space="0"/>
                    <w:right w:val="single" w:color="auto" w:sz="4" w:space="0"/>
                  </w:tcBorders>
                  <w:vAlign w:val="center"/>
                </w:tcPr>
                <w:p w14:paraId="46808EEC">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64" w:lineRule="auto"/>
                    <w:ind w:left="0" w:right="0"/>
                    <w:jc w:val="center"/>
                    <w:textAlignment w:val="auto"/>
                    <w:rPr>
                      <w:rFonts w:hint="default"/>
                      <w:bCs/>
                      <w:kern w:val="0"/>
                      <w:sz w:val="18"/>
                      <w:szCs w:val="18"/>
                      <w:highlight w:val="none"/>
                    </w:rPr>
                  </w:pPr>
                  <w:r>
                    <w:rPr>
                      <w:rFonts w:hint="eastAsia"/>
                      <w:bCs/>
                      <w:kern w:val="0"/>
                      <w:sz w:val="18"/>
                      <w:szCs w:val="18"/>
                      <w:highlight w:val="none"/>
                      <w:lang w:val="en-US" w:eastAsia="zh-CN"/>
                    </w:rPr>
                    <w:t>9#排气筒</w:t>
                  </w:r>
                </w:p>
              </w:tc>
              <w:tc>
                <w:tcPr>
                  <w:tcW w:w="404" w:type="pct"/>
                  <w:vMerge w:val="restart"/>
                  <w:tcBorders>
                    <w:left w:val="single" w:color="auto" w:sz="4" w:space="0"/>
                    <w:right w:val="single" w:color="auto" w:sz="4" w:space="0"/>
                  </w:tcBorders>
                  <w:vAlign w:val="center"/>
                </w:tcPr>
                <w:p w14:paraId="50305D2A">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64" w:lineRule="auto"/>
                    <w:ind w:left="0" w:right="0"/>
                    <w:jc w:val="center"/>
                    <w:textAlignment w:val="auto"/>
                    <w:rPr>
                      <w:rFonts w:hint="default"/>
                      <w:bCs/>
                      <w:kern w:val="0"/>
                      <w:sz w:val="18"/>
                      <w:szCs w:val="18"/>
                      <w:highlight w:val="none"/>
                    </w:rPr>
                  </w:pPr>
                  <w:r>
                    <w:rPr>
                      <w:rFonts w:hint="eastAsia"/>
                      <w:bCs/>
                      <w:kern w:val="0"/>
                      <w:sz w:val="18"/>
                      <w:szCs w:val="18"/>
                      <w:highlight w:val="none"/>
                      <w:lang w:val="en-US" w:eastAsia="zh-CN"/>
                    </w:rPr>
                    <w:t>消毒废气</w:t>
                  </w:r>
                </w:p>
              </w:tc>
              <w:tc>
                <w:tcPr>
                  <w:tcW w:w="593" w:type="pct"/>
                  <w:tcBorders>
                    <w:left w:val="single" w:color="auto" w:sz="4" w:space="0"/>
                    <w:bottom w:val="single" w:color="auto" w:sz="4" w:space="0"/>
                    <w:right w:val="single" w:color="auto" w:sz="4" w:space="0"/>
                  </w:tcBorders>
                  <w:shd w:val="clear" w:color="auto" w:fill="auto"/>
                  <w:vAlign w:val="center"/>
                </w:tcPr>
                <w:p w14:paraId="6AA69F64">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64" w:lineRule="auto"/>
                    <w:ind w:left="0" w:right="0"/>
                    <w:jc w:val="center"/>
                    <w:textAlignment w:val="auto"/>
                    <w:rPr>
                      <w:rFonts w:hint="default"/>
                      <w:bCs/>
                      <w:kern w:val="0"/>
                      <w:sz w:val="18"/>
                      <w:szCs w:val="18"/>
                      <w:highlight w:val="none"/>
                    </w:rPr>
                  </w:pPr>
                  <w:r>
                    <w:rPr>
                      <w:rFonts w:hint="eastAsia"/>
                      <w:bCs/>
                      <w:kern w:val="0"/>
                      <w:sz w:val="18"/>
                      <w:szCs w:val="18"/>
                      <w:highlight w:val="none"/>
                      <w:lang w:val="en-US" w:eastAsia="zh-CN"/>
                    </w:rPr>
                    <w:t>非甲烷总烃</w:t>
                  </w:r>
                </w:p>
              </w:tc>
              <w:tc>
                <w:tcPr>
                  <w:tcW w:w="357" w:type="pct"/>
                  <w:tcBorders>
                    <w:top w:val="single" w:color="auto" w:sz="4" w:space="0"/>
                    <w:left w:val="single" w:color="auto" w:sz="4" w:space="0"/>
                    <w:bottom w:val="single" w:color="auto" w:sz="4" w:space="0"/>
                    <w:right w:val="single" w:color="auto" w:sz="4" w:space="0"/>
                  </w:tcBorders>
                  <w:vAlign w:val="center"/>
                </w:tcPr>
                <w:p w14:paraId="6F2C4E8A">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kern w:val="0"/>
                      <w:sz w:val="18"/>
                      <w:szCs w:val="18"/>
                      <w:highlight w:val="none"/>
                      <w:u w:val="none"/>
                      <w:lang w:val="en-US" w:eastAsia="zh-CN" w:bidi="ar"/>
                    </w:rPr>
                  </w:pPr>
                  <w:r>
                    <w:rPr>
                      <w:rFonts w:hint="eastAsia" w:ascii="Times New Roman" w:hAnsi="Times New Roman" w:eastAsia="宋体" w:cs="Times New Roman"/>
                      <w:i w:val="0"/>
                      <w:iCs w:val="0"/>
                      <w:color w:val="000000"/>
                      <w:kern w:val="0"/>
                      <w:sz w:val="18"/>
                      <w:szCs w:val="18"/>
                      <w:highlight w:val="none"/>
                      <w:u w:val="none"/>
                      <w:lang w:val="en-US" w:eastAsia="zh-CN" w:bidi="ar"/>
                    </w:rPr>
                    <w:t xml:space="preserve">0.029 </w:t>
                  </w:r>
                </w:p>
              </w:tc>
              <w:tc>
                <w:tcPr>
                  <w:tcW w:w="357" w:type="pct"/>
                  <w:tcBorders>
                    <w:top w:val="single" w:color="auto" w:sz="4" w:space="0"/>
                    <w:left w:val="single" w:color="auto" w:sz="4" w:space="0"/>
                    <w:bottom w:val="single" w:color="auto" w:sz="4" w:space="0"/>
                    <w:right w:val="single" w:color="auto" w:sz="4" w:space="0"/>
                  </w:tcBorders>
                  <w:shd w:val="clear" w:color="auto" w:fill="auto"/>
                  <w:vAlign w:val="center"/>
                </w:tcPr>
                <w:p w14:paraId="0A841F36">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kern w:val="0"/>
                      <w:sz w:val="18"/>
                      <w:szCs w:val="18"/>
                      <w:highlight w:val="none"/>
                      <w:u w:val="none"/>
                      <w:lang w:val="en-US" w:eastAsia="zh-CN" w:bidi="ar"/>
                    </w:rPr>
                  </w:pPr>
                  <w:r>
                    <w:rPr>
                      <w:rFonts w:hint="eastAsia" w:ascii="Times New Roman" w:hAnsi="Times New Roman" w:eastAsia="宋体" w:cs="Times New Roman"/>
                      <w:i w:val="0"/>
                      <w:iCs w:val="0"/>
                      <w:color w:val="000000"/>
                      <w:kern w:val="0"/>
                      <w:sz w:val="18"/>
                      <w:szCs w:val="18"/>
                      <w:highlight w:val="none"/>
                      <w:u w:val="none"/>
                      <w:lang w:val="en-US" w:eastAsia="zh-CN" w:bidi="ar"/>
                    </w:rPr>
                    <w:t xml:space="preserve">0.028 </w:t>
                  </w:r>
                </w:p>
              </w:tc>
              <w:tc>
                <w:tcPr>
                  <w:tcW w:w="404" w:type="pct"/>
                  <w:tcBorders>
                    <w:top w:val="single" w:color="auto" w:sz="4" w:space="0"/>
                    <w:left w:val="single" w:color="auto" w:sz="4" w:space="0"/>
                    <w:right w:val="single" w:color="auto" w:sz="4" w:space="0"/>
                  </w:tcBorders>
                  <w:shd w:val="clear" w:color="auto" w:fill="auto"/>
                  <w:vAlign w:val="center"/>
                </w:tcPr>
                <w:p w14:paraId="668BB324">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kern w:val="0"/>
                      <w:sz w:val="18"/>
                      <w:szCs w:val="18"/>
                      <w:highlight w:val="none"/>
                      <w:u w:val="none"/>
                      <w:lang w:val="en-US" w:eastAsia="zh-CN" w:bidi="ar"/>
                    </w:rPr>
                  </w:pPr>
                  <w:r>
                    <w:rPr>
                      <w:rFonts w:hint="eastAsia" w:ascii="Times New Roman" w:hAnsi="Times New Roman" w:eastAsia="宋体" w:cs="Times New Roman"/>
                      <w:i w:val="0"/>
                      <w:iCs w:val="0"/>
                      <w:color w:val="000000"/>
                      <w:kern w:val="0"/>
                      <w:sz w:val="18"/>
                      <w:szCs w:val="18"/>
                      <w:highlight w:val="none"/>
                      <w:u w:val="none"/>
                      <w:lang w:val="en-US" w:eastAsia="zh-CN" w:bidi="ar"/>
                    </w:rPr>
                    <w:t xml:space="preserve">3.58 </w:t>
                  </w:r>
                </w:p>
              </w:tc>
              <w:tc>
                <w:tcPr>
                  <w:tcW w:w="383" w:type="pct"/>
                  <w:vMerge w:val="restart"/>
                  <w:tcBorders>
                    <w:left w:val="single" w:color="auto" w:sz="4" w:space="0"/>
                    <w:right w:val="single" w:color="auto" w:sz="4" w:space="0"/>
                  </w:tcBorders>
                  <w:shd w:val="clear" w:color="auto" w:fill="auto"/>
                  <w:vAlign w:val="center"/>
                </w:tcPr>
                <w:p w14:paraId="62A2B21A">
                  <w:pPr>
                    <w:keepNext w:val="0"/>
                    <w:keepLines w:val="0"/>
                    <w:suppressLineNumbers w:val="0"/>
                    <w:spacing w:before="0" w:beforeAutospacing="0" w:after="0" w:afterAutospacing="0"/>
                    <w:ind w:left="0" w:right="0"/>
                    <w:jc w:val="center"/>
                    <w:rPr>
                      <w:rFonts w:hint="eastAsia" w:ascii="Times New Roman" w:hAnsi="Times New Roman" w:eastAsia="宋体" w:cs="Times New Roman"/>
                      <w:color w:val="auto"/>
                      <w:kern w:val="2"/>
                      <w:sz w:val="18"/>
                      <w:szCs w:val="18"/>
                      <w:highlight w:val="none"/>
                      <w:lang w:val="en-US" w:eastAsia="zh-CN" w:bidi="ar-SA"/>
                    </w:rPr>
                  </w:pPr>
                  <w:r>
                    <w:rPr>
                      <w:rFonts w:hint="eastAsia"/>
                      <w:snapToGrid w:val="0"/>
                      <w:sz w:val="18"/>
                      <w:szCs w:val="18"/>
                      <w:highlight w:val="none"/>
                      <w:lang w:val="en-US" w:eastAsia="zh-CN"/>
                    </w:rPr>
                    <w:t>活性炭吸附</w:t>
                  </w:r>
                </w:p>
              </w:tc>
              <w:tc>
                <w:tcPr>
                  <w:tcW w:w="240" w:type="pct"/>
                  <w:tcBorders>
                    <w:left w:val="single" w:color="auto" w:sz="4" w:space="0"/>
                    <w:right w:val="single" w:color="auto" w:sz="4" w:space="0"/>
                  </w:tcBorders>
                  <w:shd w:val="clear" w:color="auto" w:fill="auto"/>
                  <w:vAlign w:val="center"/>
                </w:tcPr>
                <w:p w14:paraId="2AD95F9F">
                  <w:pPr>
                    <w:keepNext w:val="0"/>
                    <w:keepLines w:val="0"/>
                    <w:suppressLineNumbers w:val="0"/>
                    <w:spacing w:before="0" w:beforeAutospacing="0" w:after="0" w:afterAutospacing="0"/>
                    <w:ind w:left="0" w:right="0"/>
                    <w:jc w:val="center"/>
                    <w:rPr>
                      <w:rFonts w:hint="eastAsia" w:ascii="Times New Roman" w:hAnsi="Times New Roman" w:eastAsia="宋体" w:cs="Times New Roman"/>
                      <w:color w:val="auto"/>
                      <w:kern w:val="2"/>
                      <w:sz w:val="18"/>
                      <w:szCs w:val="18"/>
                      <w:highlight w:val="none"/>
                      <w:lang w:val="en-US" w:eastAsia="zh-CN" w:bidi="ar-SA"/>
                    </w:rPr>
                  </w:pPr>
                  <w:r>
                    <w:rPr>
                      <w:rFonts w:hint="eastAsia"/>
                      <w:bCs/>
                      <w:kern w:val="0"/>
                      <w:sz w:val="18"/>
                      <w:szCs w:val="18"/>
                      <w:highlight w:val="none"/>
                      <w:lang w:val="en-US" w:eastAsia="zh-CN"/>
                    </w:rPr>
                    <w:t>/</w:t>
                  </w:r>
                </w:p>
              </w:tc>
              <w:tc>
                <w:tcPr>
                  <w:tcW w:w="317" w:type="pct"/>
                  <w:vMerge w:val="restart"/>
                  <w:tcBorders>
                    <w:left w:val="single" w:color="auto" w:sz="4" w:space="0"/>
                    <w:right w:val="single" w:color="auto" w:sz="4" w:space="0"/>
                  </w:tcBorders>
                  <w:vAlign w:val="center"/>
                </w:tcPr>
                <w:p w14:paraId="3208B8E5">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64" w:lineRule="auto"/>
                    <w:ind w:left="0" w:right="0"/>
                    <w:jc w:val="center"/>
                    <w:textAlignment w:val="auto"/>
                    <w:rPr>
                      <w:rFonts w:hint="default" w:eastAsia="宋体"/>
                      <w:bCs/>
                      <w:kern w:val="0"/>
                      <w:sz w:val="18"/>
                      <w:szCs w:val="18"/>
                      <w:highlight w:val="none"/>
                      <w:lang w:val="en-US" w:eastAsia="zh-CN"/>
                    </w:rPr>
                  </w:pPr>
                  <w:r>
                    <w:rPr>
                      <w:rFonts w:hint="eastAsia"/>
                      <w:bCs/>
                      <w:kern w:val="0"/>
                      <w:sz w:val="18"/>
                      <w:szCs w:val="18"/>
                      <w:highlight w:val="none"/>
                      <w:lang w:val="en-US" w:eastAsia="zh-CN"/>
                    </w:rPr>
                    <w:t>7820</w:t>
                  </w:r>
                </w:p>
              </w:tc>
              <w:tc>
                <w:tcPr>
                  <w:tcW w:w="380" w:type="pct"/>
                  <w:tcBorders>
                    <w:top w:val="single" w:color="auto" w:sz="4" w:space="0"/>
                    <w:left w:val="single" w:color="auto" w:sz="4" w:space="0"/>
                    <w:right w:val="single" w:color="auto" w:sz="4" w:space="0"/>
                  </w:tcBorders>
                  <w:shd w:val="clear" w:color="auto" w:fill="auto"/>
                  <w:vAlign w:val="center"/>
                </w:tcPr>
                <w:p w14:paraId="1D8CFD65">
                  <w:pPr>
                    <w:keepNext w:val="0"/>
                    <w:keepLines w:val="0"/>
                    <w:widowControl/>
                    <w:suppressLineNumbers w:val="0"/>
                    <w:spacing w:before="0" w:beforeAutospacing="0" w:after="0" w:afterAutospacing="0"/>
                    <w:ind w:left="0" w:right="0"/>
                    <w:jc w:val="center"/>
                    <w:textAlignment w:val="center"/>
                    <w:rPr>
                      <w:rFonts w:hint="eastAsia" w:ascii="Times New Roman" w:hAnsi="Times New Roman" w:eastAsia="宋体" w:cs="Times New Roman"/>
                      <w:i w:val="0"/>
                      <w:iCs w:val="0"/>
                      <w:color w:val="000000"/>
                      <w:kern w:val="0"/>
                      <w:sz w:val="18"/>
                      <w:szCs w:val="18"/>
                      <w:highlight w:val="none"/>
                      <w:u w:val="none"/>
                      <w:lang w:val="en-US" w:eastAsia="zh-CN" w:bidi="ar"/>
                    </w:rPr>
                  </w:pPr>
                  <w:r>
                    <w:rPr>
                      <w:rFonts w:hint="eastAsia" w:ascii="Times New Roman" w:hAnsi="Times New Roman" w:eastAsia="宋体" w:cs="Times New Roman"/>
                      <w:i w:val="0"/>
                      <w:iCs w:val="0"/>
                      <w:color w:val="000000"/>
                      <w:kern w:val="0"/>
                      <w:sz w:val="18"/>
                      <w:szCs w:val="18"/>
                      <w:highlight w:val="none"/>
                      <w:u w:val="none"/>
                      <w:lang w:val="en-US" w:eastAsia="zh-CN" w:bidi="ar"/>
                    </w:rPr>
                    <w:t xml:space="preserve">0.029 </w:t>
                  </w:r>
                </w:p>
              </w:tc>
              <w:tc>
                <w:tcPr>
                  <w:tcW w:w="362" w:type="pct"/>
                  <w:tcBorders>
                    <w:top w:val="single" w:color="auto" w:sz="4" w:space="0"/>
                    <w:left w:val="single" w:color="auto" w:sz="4" w:space="0"/>
                    <w:right w:val="single" w:color="auto" w:sz="4" w:space="0"/>
                  </w:tcBorders>
                  <w:shd w:val="clear" w:color="auto" w:fill="auto"/>
                  <w:vAlign w:val="center"/>
                </w:tcPr>
                <w:p w14:paraId="41A608FB">
                  <w:pPr>
                    <w:keepNext w:val="0"/>
                    <w:keepLines w:val="0"/>
                    <w:widowControl/>
                    <w:suppressLineNumbers w:val="0"/>
                    <w:spacing w:before="0" w:beforeAutospacing="0" w:after="0" w:afterAutospacing="0"/>
                    <w:ind w:left="0" w:right="0"/>
                    <w:jc w:val="center"/>
                    <w:textAlignment w:val="center"/>
                    <w:rPr>
                      <w:rFonts w:hint="eastAsia" w:ascii="Times New Roman" w:hAnsi="Times New Roman" w:eastAsia="宋体" w:cs="Times New Roman"/>
                      <w:i w:val="0"/>
                      <w:iCs w:val="0"/>
                      <w:color w:val="000000"/>
                      <w:kern w:val="0"/>
                      <w:sz w:val="18"/>
                      <w:szCs w:val="18"/>
                      <w:highlight w:val="none"/>
                      <w:u w:val="none"/>
                      <w:lang w:val="en-US" w:eastAsia="zh-CN" w:bidi="ar"/>
                    </w:rPr>
                  </w:pPr>
                  <w:r>
                    <w:rPr>
                      <w:rFonts w:hint="eastAsia" w:ascii="Times New Roman" w:hAnsi="Times New Roman" w:eastAsia="宋体" w:cs="Times New Roman"/>
                      <w:i w:val="0"/>
                      <w:iCs w:val="0"/>
                      <w:color w:val="000000"/>
                      <w:kern w:val="0"/>
                      <w:sz w:val="18"/>
                      <w:szCs w:val="18"/>
                      <w:highlight w:val="none"/>
                      <w:u w:val="none"/>
                      <w:lang w:val="en-US" w:eastAsia="zh-CN" w:bidi="ar"/>
                    </w:rPr>
                    <w:t xml:space="preserve">0.028 </w:t>
                  </w:r>
                </w:p>
              </w:tc>
              <w:tc>
                <w:tcPr>
                  <w:tcW w:w="340" w:type="pct"/>
                  <w:tcBorders>
                    <w:top w:val="single" w:color="auto" w:sz="4" w:space="0"/>
                    <w:left w:val="single" w:color="auto" w:sz="4" w:space="0"/>
                    <w:right w:val="single" w:color="auto" w:sz="4" w:space="0"/>
                  </w:tcBorders>
                  <w:shd w:val="clear" w:color="auto" w:fill="auto"/>
                  <w:vAlign w:val="center"/>
                </w:tcPr>
                <w:p w14:paraId="03257822">
                  <w:pPr>
                    <w:keepNext w:val="0"/>
                    <w:keepLines w:val="0"/>
                    <w:widowControl/>
                    <w:suppressLineNumbers w:val="0"/>
                    <w:spacing w:before="0" w:beforeAutospacing="0" w:after="0" w:afterAutospacing="0"/>
                    <w:ind w:left="0" w:right="0"/>
                    <w:jc w:val="center"/>
                    <w:textAlignment w:val="center"/>
                    <w:rPr>
                      <w:rFonts w:hint="eastAsia" w:ascii="Times New Roman" w:hAnsi="Times New Roman" w:eastAsia="宋体" w:cs="Times New Roman"/>
                      <w:i w:val="0"/>
                      <w:iCs w:val="0"/>
                      <w:color w:val="000000"/>
                      <w:kern w:val="0"/>
                      <w:sz w:val="18"/>
                      <w:szCs w:val="18"/>
                      <w:highlight w:val="none"/>
                      <w:u w:val="none"/>
                      <w:lang w:val="en-US" w:eastAsia="zh-CN" w:bidi="ar"/>
                    </w:rPr>
                  </w:pPr>
                  <w:r>
                    <w:rPr>
                      <w:rFonts w:hint="eastAsia" w:ascii="Times New Roman" w:hAnsi="Times New Roman" w:eastAsia="宋体" w:cs="Times New Roman"/>
                      <w:i w:val="0"/>
                      <w:iCs w:val="0"/>
                      <w:color w:val="000000"/>
                      <w:kern w:val="0"/>
                      <w:sz w:val="18"/>
                      <w:szCs w:val="18"/>
                      <w:highlight w:val="none"/>
                      <w:u w:val="none"/>
                      <w:lang w:val="en-US" w:eastAsia="zh-CN" w:bidi="ar"/>
                    </w:rPr>
                    <w:t xml:space="preserve">3.58 </w:t>
                  </w:r>
                </w:p>
              </w:tc>
              <w:tc>
                <w:tcPr>
                  <w:tcW w:w="255" w:type="pct"/>
                  <w:vMerge w:val="restart"/>
                  <w:tcBorders>
                    <w:left w:val="single" w:color="auto" w:sz="4" w:space="0"/>
                    <w:right w:val="single" w:color="auto" w:sz="4" w:space="0"/>
                  </w:tcBorders>
                  <w:vAlign w:val="center"/>
                </w:tcPr>
                <w:p w14:paraId="57701792">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64" w:lineRule="auto"/>
                    <w:ind w:left="0" w:right="0"/>
                    <w:jc w:val="center"/>
                    <w:textAlignment w:val="auto"/>
                    <w:rPr>
                      <w:rFonts w:hint="default"/>
                      <w:bCs/>
                      <w:kern w:val="0"/>
                      <w:sz w:val="18"/>
                      <w:szCs w:val="18"/>
                      <w:highlight w:val="none"/>
                      <w:lang w:val="en-US" w:eastAsia="zh-CN"/>
                    </w:rPr>
                  </w:pPr>
                  <w:r>
                    <w:rPr>
                      <w:rFonts w:hint="eastAsia"/>
                      <w:bCs/>
                      <w:kern w:val="0"/>
                      <w:sz w:val="18"/>
                      <w:szCs w:val="18"/>
                      <w:highlight w:val="none"/>
                      <w:lang w:val="en-US" w:eastAsia="zh-CN"/>
                    </w:rPr>
                    <w:t>1040</w:t>
                  </w:r>
                </w:p>
              </w:tc>
            </w:tr>
            <w:tr w14:paraId="407DB6A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189" w:hRule="atLeast"/>
                <w:jc w:val="center"/>
              </w:trPr>
              <w:tc>
                <w:tcPr>
                  <w:tcW w:w="271" w:type="pct"/>
                  <w:vMerge w:val="continue"/>
                  <w:tcBorders>
                    <w:left w:val="single" w:color="auto" w:sz="4" w:space="0"/>
                    <w:right w:val="single" w:color="auto" w:sz="4" w:space="0"/>
                  </w:tcBorders>
                  <w:vAlign w:val="center"/>
                </w:tcPr>
                <w:p w14:paraId="1338D28E">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64" w:lineRule="auto"/>
                    <w:ind w:left="0" w:right="0"/>
                    <w:jc w:val="center"/>
                    <w:textAlignment w:val="auto"/>
                    <w:rPr>
                      <w:rFonts w:hint="default"/>
                      <w:bCs/>
                      <w:kern w:val="0"/>
                      <w:sz w:val="18"/>
                      <w:szCs w:val="18"/>
                      <w:highlight w:val="none"/>
                    </w:rPr>
                  </w:pPr>
                </w:p>
              </w:tc>
              <w:tc>
                <w:tcPr>
                  <w:tcW w:w="331" w:type="pct"/>
                  <w:vMerge w:val="continue"/>
                  <w:tcBorders>
                    <w:left w:val="single" w:color="auto" w:sz="4" w:space="0"/>
                    <w:right w:val="single" w:color="auto" w:sz="4" w:space="0"/>
                  </w:tcBorders>
                  <w:vAlign w:val="center"/>
                </w:tcPr>
                <w:p w14:paraId="6E83F1CC">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64" w:lineRule="auto"/>
                    <w:ind w:left="0" w:right="0"/>
                    <w:jc w:val="center"/>
                    <w:textAlignment w:val="auto"/>
                    <w:rPr>
                      <w:rFonts w:hint="default"/>
                      <w:bCs/>
                      <w:kern w:val="0"/>
                      <w:sz w:val="18"/>
                      <w:szCs w:val="18"/>
                      <w:highlight w:val="none"/>
                    </w:rPr>
                  </w:pPr>
                </w:p>
              </w:tc>
              <w:tc>
                <w:tcPr>
                  <w:tcW w:w="404" w:type="pct"/>
                  <w:vMerge w:val="continue"/>
                  <w:tcBorders>
                    <w:left w:val="single" w:color="auto" w:sz="4" w:space="0"/>
                    <w:right w:val="single" w:color="auto" w:sz="4" w:space="0"/>
                  </w:tcBorders>
                  <w:vAlign w:val="center"/>
                </w:tcPr>
                <w:p w14:paraId="4DBBAB9B">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64" w:lineRule="auto"/>
                    <w:ind w:left="0" w:right="0"/>
                    <w:jc w:val="center"/>
                    <w:textAlignment w:val="auto"/>
                    <w:rPr>
                      <w:rFonts w:hint="default"/>
                      <w:bCs/>
                      <w:kern w:val="0"/>
                      <w:sz w:val="18"/>
                      <w:szCs w:val="18"/>
                      <w:highlight w:val="none"/>
                    </w:rPr>
                  </w:pPr>
                </w:p>
              </w:tc>
              <w:tc>
                <w:tcPr>
                  <w:tcW w:w="593" w:type="pct"/>
                  <w:tcBorders>
                    <w:left w:val="single" w:color="auto" w:sz="4" w:space="0"/>
                    <w:bottom w:val="single" w:color="auto" w:sz="4" w:space="0"/>
                    <w:right w:val="single" w:color="auto" w:sz="4" w:space="0"/>
                  </w:tcBorders>
                  <w:shd w:val="clear" w:color="auto" w:fill="auto"/>
                  <w:vAlign w:val="center"/>
                </w:tcPr>
                <w:p w14:paraId="2CEF90E7">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64" w:lineRule="auto"/>
                    <w:ind w:left="0" w:right="0"/>
                    <w:jc w:val="center"/>
                    <w:textAlignment w:val="auto"/>
                    <w:rPr>
                      <w:rFonts w:hint="default"/>
                      <w:bCs/>
                      <w:kern w:val="0"/>
                      <w:sz w:val="18"/>
                      <w:szCs w:val="18"/>
                      <w:highlight w:val="none"/>
                    </w:rPr>
                  </w:pPr>
                  <w:r>
                    <w:rPr>
                      <w:rFonts w:hint="eastAsia"/>
                      <w:bCs/>
                      <w:kern w:val="0"/>
                      <w:sz w:val="18"/>
                      <w:szCs w:val="18"/>
                      <w:highlight w:val="none"/>
                      <w:lang w:val="en-US" w:eastAsia="zh-CN"/>
                    </w:rPr>
                    <w:t>氯气</w:t>
                  </w:r>
                </w:p>
              </w:tc>
              <w:tc>
                <w:tcPr>
                  <w:tcW w:w="1119" w:type="pct"/>
                  <w:gridSpan w:val="3"/>
                  <w:tcBorders>
                    <w:top w:val="single" w:color="auto" w:sz="4" w:space="0"/>
                    <w:left w:val="single" w:color="auto" w:sz="4" w:space="0"/>
                    <w:bottom w:val="single" w:color="auto" w:sz="4" w:space="0"/>
                    <w:right w:val="single" w:color="auto" w:sz="4" w:space="0"/>
                  </w:tcBorders>
                  <w:shd w:val="clear" w:color="auto" w:fill="auto"/>
                  <w:vAlign w:val="center"/>
                </w:tcPr>
                <w:p w14:paraId="52A45E58">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kern w:val="0"/>
                      <w:sz w:val="18"/>
                      <w:szCs w:val="18"/>
                      <w:highlight w:val="none"/>
                      <w:u w:val="none"/>
                      <w:lang w:val="en-US" w:eastAsia="zh-CN" w:bidi="ar"/>
                    </w:rPr>
                  </w:pPr>
                  <w:r>
                    <w:rPr>
                      <w:rFonts w:hint="eastAsia" w:cs="Times New Roman"/>
                      <w:i w:val="0"/>
                      <w:iCs w:val="0"/>
                      <w:color w:val="000000"/>
                      <w:kern w:val="0"/>
                      <w:sz w:val="18"/>
                      <w:szCs w:val="18"/>
                      <w:highlight w:val="none"/>
                      <w:u w:val="none"/>
                      <w:lang w:val="en-US" w:eastAsia="zh-CN" w:bidi="ar"/>
                    </w:rPr>
                    <w:t>少量</w:t>
                  </w:r>
                </w:p>
              </w:tc>
              <w:tc>
                <w:tcPr>
                  <w:tcW w:w="383" w:type="pct"/>
                  <w:vMerge w:val="continue"/>
                  <w:tcBorders>
                    <w:left w:val="single" w:color="auto" w:sz="4" w:space="0"/>
                    <w:right w:val="single" w:color="auto" w:sz="4" w:space="0"/>
                  </w:tcBorders>
                  <w:shd w:val="clear" w:color="auto" w:fill="auto"/>
                  <w:vAlign w:val="center"/>
                </w:tcPr>
                <w:p w14:paraId="359AB077">
                  <w:pPr>
                    <w:keepNext w:val="0"/>
                    <w:keepLines w:val="0"/>
                    <w:suppressLineNumbers w:val="0"/>
                    <w:spacing w:before="0" w:beforeAutospacing="0" w:after="0" w:afterAutospacing="0"/>
                    <w:ind w:left="0" w:right="0"/>
                    <w:jc w:val="center"/>
                    <w:rPr>
                      <w:rFonts w:hint="eastAsia" w:ascii="Times New Roman" w:hAnsi="Times New Roman" w:eastAsia="宋体" w:cs="Times New Roman"/>
                      <w:color w:val="auto"/>
                      <w:kern w:val="2"/>
                      <w:sz w:val="18"/>
                      <w:szCs w:val="18"/>
                      <w:highlight w:val="none"/>
                      <w:lang w:val="en-US" w:eastAsia="zh-CN" w:bidi="ar-SA"/>
                    </w:rPr>
                  </w:pPr>
                </w:p>
              </w:tc>
              <w:tc>
                <w:tcPr>
                  <w:tcW w:w="240" w:type="pct"/>
                  <w:tcBorders>
                    <w:left w:val="single" w:color="auto" w:sz="4" w:space="0"/>
                    <w:right w:val="single" w:color="auto" w:sz="4" w:space="0"/>
                  </w:tcBorders>
                  <w:shd w:val="clear" w:color="auto" w:fill="auto"/>
                  <w:vAlign w:val="center"/>
                </w:tcPr>
                <w:p w14:paraId="779E6BC4">
                  <w:pPr>
                    <w:keepNext w:val="0"/>
                    <w:keepLines w:val="0"/>
                    <w:suppressLineNumbers w:val="0"/>
                    <w:spacing w:before="0" w:beforeAutospacing="0" w:after="0" w:afterAutospacing="0"/>
                    <w:ind w:left="0" w:right="0"/>
                    <w:jc w:val="center"/>
                    <w:rPr>
                      <w:rFonts w:hint="eastAsia" w:ascii="Times New Roman" w:hAnsi="Times New Roman" w:eastAsia="宋体" w:cs="Times New Roman"/>
                      <w:color w:val="auto"/>
                      <w:kern w:val="2"/>
                      <w:sz w:val="18"/>
                      <w:szCs w:val="18"/>
                      <w:highlight w:val="none"/>
                      <w:lang w:val="en-US" w:eastAsia="zh-CN" w:bidi="ar-SA"/>
                    </w:rPr>
                  </w:pPr>
                  <w:r>
                    <w:rPr>
                      <w:rFonts w:hint="eastAsia"/>
                      <w:bCs/>
                      <w:kern w:val="0"/>
                      <w:sz w:val="18"/>
                      <w:szCs w:val="18"/>
                      <w:highlight w:val="none"/>
                      <w:lang w:val="en-US" w:eastAsia="zh-CN"/>
                    </w:rPr>
                    <w:t>/</w:t>
                  </w:r>
                </w:p>
              </w:tc>
              <w:tc>
                <w:tcPr>
                  <w:tcW w:w="317" w:type="pct"/>
                  <w:vMerge w:val="continue"/>
                  <w:tcBorders>
                    <w:left w:val="single" w:color="auto" w:sz="4" w:space="0"/>
                    <w:right w:val="single" w:color="auto" w:sz="4" w:space="0"/>
                  </w:tcBorders>
                  <w:vAlign w:val="center"/>
                </w:tcPr>
                <w:p w14:paraId="3F88A0A9">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64" w:lineRule="auto"/>
                    <w:ind w:left="0" w:right="0"/>
                    <w:jc w:val="center"/>
                    <w:textAlignment w:val="auto"/>
                    <w:rPr>
                      <w:rFonts w:hint="default"/>
                      <w:bCs/>
                      <w:kern w:val="0"/>
                      <w:sz w:val="18"/>
                      <w:szCs w:val="18"/>
                      <w:highlight w:val="none"/>
                    </w:rPr>
                  </w:pPr>
                </w:p>
              </w:tc>
              <w:tc>
                <w:tcPr>
                  <w:tcW w:w="1083" w:type="pct"/>
                  <w:gridSpan w:val="3"/>
                  <w:tcBorders>
                    <w:top w:val="single" w:color="auto" w:sz="4" w:space="0"/>
                    <w:left w:val="single" w:color="auto" w:sz="4" w:space="0"/>
                    <w:right w:val="single" w:color="auto" w:sz="4" w:space="0"/>
                  </w:tcBorders>
                  <w:shd w:val="clear" w:color="auto" w:fill="auto"/>
                  <w:vAlign w:val="center"/>
                </w:tcPr>
                <w:p w14:paraId="48564766">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kern w:val="0"/>
                      <w:sz w:val="18"/>
                      <w:szCs w:val="18"/>
                      <w:highlight w:val="none"/>
                      <w:u w:val="none"/>
                      <w:lang w:val="en-US" w:eastAsia="zh-CN" w:bidi="ar"/>
                    </w:rPr>
                  </w:pPr>
                  <w:r>
                    <w:rPr>
                      <w:rFonts w:hint="eastAsia" w:cs="Times New Roman"/>
                      <w:i w:val="0"/>
                      <w:iCs w:val="0"/>
                      <w:color w:val="000000"/>
                      <w:kern w:val="0"/>
                      <w:sz w:val="18"/>
                      <w:szCs w:val="18"/>
                      <w:highlight w:val="none"/>
                      <w:u w:val="none"/>
                      <w:lang w:val="en-US" w:eastAsia="zh-CN" w:bidi="ar"/>
                    </w:rPr>
                    <w:t>少量</w:t>
                  </w:r>
                </w:p>
              </w:tc>
              <w:tc>
                <w:tcPr>
                  <w:tcW w:w="255" w:type="pct"/>
                  <w:vMerge w:val="continue"/>
                  <w:tcBorders>
                    <w:left w:val="single" w:color="auto" w:sz="4" w:space="0"/>
                    <w:right w:val="single" w:color="auto" w:sz="4" w:space="0"/>
                  </w:tcBorders>
                  <w:vAlign w:val="center"/>
                </w:tcPr>
                <w:p w14:paraId="7EC91313">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64" w:lineRule="auto"/>
                    <w:ind w:left="0" w:right="0"/>
                    <w:jc w:val="center"/>
                    <w:textAlignment w:val="auto"/>
                    <w:rPr>
                      <w:rFonts w:hint="eastAsia"/>
                      <w:bCs/>
                      <w:kern w:val="0"/>
                      <w:sz w:val="18"/>
                      <w:szCs w:val="18"/>
                      <w:highlight w:val="none"/>
                      <w:lang w:val="en-US" w:eastAsia="zh-CN"/>
                    </w:rPr>
                  </w:pPr>
                </w:p>
              </w:tc>
            </w:tr>
            <w:tr w14:paraId="433CD0E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189" w:hRule="atLeast"/>
                <w:jc w:val="center"/>
              </w:trPr>
              <w:tc>
                <w:tcPr>
                  <w:tcW w:w="271" w:type="pct"/>
                  <w:vMerge w:val="continue"/>
                  <w:tcBorders>
                    <w:left w:val="single" w:color="auto" w:sz="4" w:space="0"/>
                    <w:right w:val="single" w:color="auto" w:sz="4" w:space="0"/>
                  </w:tcBorders>
                  <w:vAlign w:val="center"/>
                </w:tcPr>
                <w:p w14:paraId="5CC28E4F">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64" w:lineRule="auto"/>
                    <w:ind w:left="0" w:right="0"/>
                    <w:jc w:val="center"/>
                    <w:textAlignment w:val="auto"/>
                    <w:rPr>
                      <w:rFonts w:hint="default"/>
                      <w:bCs/>
                      <w:kern w:val="0"/>
                      <w:sz w:val="18"/>
                      <w:szCs w:val="18"/>
                      <w:highlight w:val="none"/>
                    </w:rPr>
                  </w:pPr>
                </w:p>
              </w:tc>
              <w:tc>
                <w:tcPr>
                  <w:tcW w:w="331" w:type="pct"/>
                  <w:vMerge w:val="continue"/>
                  <w:tcBorders>
                    <w:left w:val="single" w:color="auto" w:sz="4" w:space="0"/>
                    <w:right w:val="single" w:color="auto" w:sz="4" w:space="0"/>
                  </w:tcBorders>
                  <w:vAlign w:val="center"/>
                </w:tcPr>
                <w:p w14:paraId="63ECF505">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64" w:lineRule="auto"/>
                    <w:ind w:left="0" w:right="0"/>
                    <w:jc w:val="center"/>
                    <w:textAlignment w:val="auto"/>
                    <w:rPr>
                      <w:rFonts w:hint="default"/>
                      <w:bCs/>
                      <w:kern w:val="0"/>
                      <w:sz w:val="18"/>
                      <w:szCs w:val="18"/>
                      <w:highlight w:val="none"/>
                    </w:rPr>
                  </w:pPr>
                </w:p>
              </w:tc>
              <w:tc>
                <w:tcPr>
                  <w:tcW w:w="404" w:type="pct"/>
                  <w:tcBorders>
                    <w:left w:val="single" w:color="auto" w:sz="4" w:space="0"/>
                    <w:right w:val="single" w:color="auto" w:sz="4" w:space="0"/>
                  </w:tcBorders>
                  <w:shd w:val="clear" w:color="auto" w:fill="auto"/>
                  <w:vAlign w:val="center"/>
                </w:tcPr>
                <w:p w14:paraId="2B3B1A9C">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64" w:lineRule="auto"/>
                    <w:ind w:left="0" w:right="0"/>
                    <w:jc w:val="center"/>
                    <w:textAlignment w:val="auto"/>
                    <w:rPr>
                      <w:rFonts w:hint="default" w:ascii="Times New Roman" w:hAnsi="Times New Roman" w:eastAsia="宋体" w:cs="Times New Roman"/>
                      <w:bCs/>
                      <w:kern w:val="0"/>
                      <w:sz w:val="18"/>
                      <w:szCs w:val="18"/>
                      <w:highlight w:val="none"/>
                      <w:lang w:val="en-US" w:eastAsia="zh-CN" w:bidi="ar-SA"/>
                    </w:rPr>
                  </w:pPr>
                  <w:r>
                    <w:rPr>
                      <w:rFonts w:hint="eastAsia"/>
                      <w:bCs/>
                      <w:kern w:val="0"/>
                      <w:sz w:val="18"/>
                      <w:szCs w:val="18"/>
                      <w:highlight w:val="none"/>
                      <w:lang w:val="en-US" w:eastAsia="zh-CN"/>
                    </w:rPr>
                    <w:t>解剖废气</w:t>
                  </w:r>
                </w:p>
              </w:tc>
              <w:tc>
                <w:tcPr>
                  <w:tcW w:w="593" w:type="pct"/>
                  <w:tcBorders>
                    <w:left w:val="single" w:color="auto" w:sz="4" w:space="0"/>
                    <w:bottom w:val="single" w:color="auto" w:sz="4" w:space="0"/>
                    <w:right w:val="single" w:color="auto" w:sz="4" w:space="0"/>
                  </w:tcBorders>
                  <w:shd w:val="clear" w:color="auto" w:fill="auto"/>
                  <w:vAlign w:val="center"/>
                </w:tcPr>
                <w:p w14:paraId="068F4D16">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64" w:lineRule="auto"/>
                    <w:ind w:left="0" w:right="0"/>
                    <w:jc w:val="center"/>
                    <w:textAlignment w:val="auto"/>
                    <w:rPr>
                      <w:rFonts w:hint="eastAsia" w:ascii="Times New Roman" w:hAnsi="Times New Roman" w:eastAsia="宋体" w:cs="Times New Roman"/>
                      <w:bCs/>
                      <w:kern w:val="0"/>
                      <w:sz w:val="18"/>
                      <w:szCs w:val="18"/>
                      <w:highlight w:val="none"/>
                      <w:lang w:val="en-US" w:eastAsia="zh-CN" w:bidi="ar-SA"/>
                    </w:rPr>
                  </w:pPr>
                  <w:r>
                    <w:rPr>
                      <w:rFonts w:hint="eastAsia"/>
                      <w:bCs/>
                      <w:kern w:val="0"/>
                      <w:sz w:val="18"/>
                      <w:szCs w:val="18"/>
                      <w:highlight w:val="none"/>
                      <w:lang w:val="en-US" w:eastAsia="zh-CN"/>
                    </w:rPr>
                    <w:t>甲醛</w:t>
                  </w:r>
                </w:p>
              </w:tc>
              <w:tc>
                <w:tcPr>
                  <w:tcW w:w="357" w:type="pct"/>
                  <w:tcBorders>
                    <w:top w:val="single" w:color="auto" w:sz="4" w:space="0"/>
                    <w:left w:val="single" w:color="auto" w:sz="4" w:space="0"/>
                    <w:bottom w:val="single" w:color="auto" w:sz="4" w:space="0"/>
                    <w:right w:val="single" w:color="auto" w:sz="4" w:space="0"/>
                  </w:tcBorders>
                  <w:shd w:val="clear" w:color="auto" w:fill="auto"/>
                  <w:vAlign w:val="center"/>
                </w:tcPr>
                <w:p w14:paraId="31012768">
                  <w:pPr>
                    <w:keepNext w:val="0"/>
                    <w:keepLines w:val="0"/>
                    <w:widowControl/>
                    <w:suppressLineNumbers w:val="0"/>
                    <w:spacing w:before="0" w:beforeAutospacing="0" w:after="0" w:afterAutospacing="0"/>
                    <w:ind w:left="0" w:right="0"/>
                    <w:jc w:val="center"/>
                    <w:textAlignment w:val="center"/>
                    <w:rPr>
                      <w:rFonts w:hint="eastAsia" w:ascii="Times New Roman" w:hAnsi="Times New Roman" w:eastAsia="宋体" w:cs="Times New Roman"/>
                      <w:i w:val="0"/>
                      <w:iCs w:val="0"/>
                      <w:color w:val="000000"/>
                      <w:kern w:val="0"/>
                      <w:sz w:val="18"/>
                      <w:szCs w:val="18"/>
                      <w:highlight w:val="none"/>
                      <w:u w:val="none"/>
                      <w:lang w:val="en-US" w:eastAsia="zh-CN" w:bidi="ar"/>
                    </w:rPr>
                  </w:pPr>
                  <w:r>
                    <w:rPr>
                      <w:rFonts w:hint="eastAsia" w:ascii="Times New Roman" w:hAnsi="Times New Roman" w:eastAsia="宋体" w:cs="Times New Roman"/>
                      <w:i w:val="0"/>
                      <w:iCs w:val="0"/>
                      <w:color w:val="000000"/>
                      <w:kern w:val="0"/>
                      <w:sz w:val="18"/>
                      <w:szCs w:val="18"/>
                      <w:highlight w:val="none"/>
                      <w:u w:val="none"/>
                      <w:lang w:val="en-US" w:eastAsia="zh-CN" w:bidi="ar"/>
                    </w:rPr>
                    <w:t>0.009</w:t>
                  </w:r>
                </w:p>
              </w:tc>
              <w:tc>
                <w:tcPr>
                  <w:tcW w:w="357" w:type="pct"/>
                  <w:tcBorders>
                    <w:top w:val="single" w:color="auto" w:sz="4" w:space="0"/>
                    <w:left w:val="single" w:color="auto" w:sz="4" w:space="0"/>
                    <w:bottom w:val="single" w:color="auto" w:sz="4" w:space="0"/>
                    <w:right w:val="single" w:color="auto" w:sz="4" w:space="0"/>
                  </w:tcBorders>
                  <w:shd w:val="clear" w:color="auto" w:fill="auto"/>
                  <w:vAlign w:val="center"/>
                </w:tcPr>
                <w:p w14:paraId="30B9BA0E">
                  <w:pPr>
                    <w:keepNext w:val="0"/>
                    <w:keepLines w:val="0"/>
                    <w:widowControl/>
                    <w:suppressLineNumbers w:val="0"/>
                    <w:spacing w:before="0" w:beforeAutospacing="0" w:after="0" w:afterAutospacing="0"/>
                    <w:ind w:left="0" w:right="0"/>
                    <w:jc w:val="center"/>
                    <w:textAlignment w:val="center"/>
                    <w:rPr>
                      <w:rFonts w:hint="eastAsia" w:ascii="Times New Roman" w:hAnsi="Times New Roman" w:eastAsia="宋体" w:cs="Times New Roman"/>
                      <w:i w:val="0"/>
                      <w:iCs w:val="0"/>
                      <w:color w:val="000000"/>
                      <w:kern w:val="0"/>
                      <w:sz w:val="18"/>
                      <w:szCs w:val="18"/>
                      <w:highlight w:val="none"/>
                      <w:u w:val="none"/>
                      <w:lang w:val="en-US" w:eastAsia="zh-CN" w:bidi="ar"/>
                    </w:rPr>
                  </w:pPr>
                  <w:r>
                    <w:rPr>
                      <w:rFonts w:hint="eastAsia" w:ascii="Times New Roman" w:hAnsi="Times New Roman" w:eastAsia="宋体" w:cs="Times New Roman"/>
                      <w:i w:val="0"/>
                      <w:iCs w:val="0"/>
                      <w:color w:val="000000"/>
                      <w:kern w:val="0"/>
                      <w:sz w:val="18"/>
                      <w:szCs w:val="18"/>
                      <w:highlight w:val="none"/>
                      <w:u w:val="none"/>
                      <w:lang w:val="en-US" w:eastAsia="zh-CN" w:bidi="ar"/>
                    </w:rPr>
                    <w:t>0.004</w:t>
                  </w:r>
                </w:p>
              </w:tc>
              <w:tc>
                <w:tcPr>
                  <w:tcW w:w="404" w:type="pct"/>
                  <w:tcBorders>
                    <w:top w:val="single" w:color="auto" w:sz="4" w:space="0"/>
                    <w:left w:val="single" w:color="auto" w:sz="4" w:space="0"/>
                    <w:right w:val="single" w:color="auto" w:sz="4" w:space="0"/>
                  </w:tcBorders>
                  <w:shd w:val="clear" w:color="auto" w:fill="auto"/>
                  <w:vAlign w:val="center"/>
                </w:tcPr>
                <w:p w14:paraId="6A4259A9">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kern w:val="0"/>
                      <w:sz w:val="18"/>
                      <w:szCs w:val="18"/>
                      <w:highlight w:val="none"/>
                      <w:u w:val="none"/>
                      <w:lang w:val="en-US" w:eastAsia="zh-CN" w:bidi="ar"/>
                    </w:rPr>
                  </w:pPr>
                  <w:r>
                    <w:rPr>
                      <w:rFonts w:hint="eastAsia" w:ascii="Times New Roman" w:hAnsi="Times New Roman" w:eastAsia="宋体" w:cs="Times New Roman"/>
                      <w:i w:val="0"/>
                      <w:iCs w:val="0"/>
                      <w:color w:val="000000"/>
                      <w:kern w:val="0"/>
                      <w:sz w:val="18"/>
                      <w:szCs w:val="18"/>
                      <w:highlight w:val="none"/>
                      <w:u w:val="none"/>
                      <w:lang w:val="en-US" w:eastAsia="zh-CN" w:bidi="ar"/>
                    </w:rPr>
                    <w:t>0.</w:t>
                  </w:r>
                  <w:r>
                    <w:rPr>
                      <w:rFonts w:hint="eastAsia" w:cs="Times New Roman"/>
                      <w:i w:val="0"/>
                      <w:iCs w:val="0"/>
                      <w:color w:val="000000"/>
                      <w:kern w:val="0"/>
                      <w:sz w:val="18"/>
                      <w:szCs w:val="18"/>
                      <w:highlight w:val="none"/>
                      <w:u w:val="none"/>
                      <w:lang w:val="en-US" w:eastAsia="zh-CN" w:bidi="ar"/>
                    </w:rPr>
                    <w:t>51</w:t>
                  </w:r>
                </w:p>
              </w:tc>
              <w:tc>
                <w:tcPr>
                  <w:tcW w:w="383" w:type="pct"/>
                  <w:vMerge w:val="continue"/>
                  <w:tcBorders>
                    <w:left w:val="single" w:color="auto" w:sz="4" w:space="0"/>
                    <w:right w:val="single" w:color="auto" w:sz="4" w:space="0"/>
                  </w:tcBorders>
                  <w:shd w:val="clear" w:color="auto" w:fill="auto"/>
                  <w:vAlign w:val="center"/>
                </w:tcPr>
                <w:p w14:paraId="67D6C0FB">
                  <w:pPr>
                    <w:keepNext w:val="0"/>
                    <w:keepLines w:val="0"/>
                    <w:suppressLineNumbers w:val="0"/>
                    <w:spacing w:before="0" w:beforeAutospacing="0" w:after="0" w:afterAutospacing="0"/>
                    <w:ind w:left="0" w:right="0"/>
                    <w:jc w:val="center"/>
                    <w:rPr>
                      <w:rFonts w:hint="eastAsia" w:ascii="Times New Roman" w:hAnsi="Times New Roman" w:eastAsia="宋体" w:cs="Times New Roman"/>
                      <w:color w:val="auto"/>
                      <w:kern w:val="2"/>
                      <w:sz w:val="18"/>
                      <w:szCs w:val="18"/>
                      <w:highlight w:val="none"/>
                      <w:lang w:val="en-US" w:eastAsia="zh-CN" w:bidi="ar-SA"/>
                    </w:rPr>
                  </w:pPr>
                </w:p>
              </w:tc>
              <w:tc>
                <w:tcPr>
                  <w:tcW w:w="240" w:type="pct"/>
                  <w:tcBorders>
                    <w:left w:val="single" w:color="auto" w:sz="4" w:space="0"/>
                    <w:right w:val="single" w:color="auto" w:sz="4" w:space="0"/>
                  </w:tcBorders>
                  <w:shd w:val="clear" w:color="auto" w:fill="auto"/>
                  <w:vAlign w:val="center"/>
                </w:tcPr>
                <w:p w14:paraId="1F2AD1CE">
                  <w:pPr>
                    <w:keepNext w:val="0"/>
                    <w:keepLines w:val="0"/>
                    <w:suppressLineNumbers w:val="0"/>
                    <w:spacing w:before="0" w:beforeAutospacing="0" w:after="0" w:afterAutospacing="0"/>
                    <w:ind w:left="0" w:right="0"/>
                    <w:jc w:val="center"/>
                    <w:rPr>
                      <w:rFonts w:hint="eastAsia" w:ascii="Times New Roman" w:hAnsi="Times New Roman" w:eastAsia="宋体" w:cs="Times New Roman"/>
                      <w:color w:val="auto"/>
                      <w:kern w:val="2"/>
                      <w:sz w:val="18"/>
                      <w:szCs w:val="18"/>
                      <w:highlight w:val="none"/>
                      <w:lang w:val="en-US" w:eastAsia="zh-CN" w:bidi="ar-SA"/>
                    </w:rPr>
                  </w:pPr>
                  <w:r>
                    <w:rPr>
                      <w:rFonts w:hint="eastAsia"/>
                      <w:bCs/>
                      <w:kern w:val="0"/>
                      <w:sz w:val="18"/>
                      <w:szCs w:val="18"/>
                      <w:highlight w:val="none"/>
                      <w:lang w:val="en-US" w:eastAsia="zh-CN"/>
                    </w:rPr>
                    <w:t>/</w:t>
                  </w:r>
                </w:p>
              </w:tc>
              <w:tc>
                <w:tcPr>
                  <w:tcW w:w="317" w:type="pct"/>
                  <w:vMerge w:val="continue"/>
                  <w:tcBorders>
                    <w:left w:val="single" w:color="auto" w:sz="4" w:space="0"/>
                    <w:right w:val="single" w:color="auto" w:sz="4" w:space="0"/>
                  </w:tcBorders>
                  <w:vAlign w:val="center"/>
                </w:tcPr>
                <w:p w14:paraId="4BDF4573">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64" w:lineRule="auto"/>
                    <w:ind w:left="0" w:right="0"/>
                    <w:jc w:val="center"/>
                    <w:textAlignment w:val="auto"/>
                    <w:rPr>
                      <w:rFonts w:hint="default"/>
                      <w:bCs/>
                      <w:kern w:val="0"/>
                      <w:sz w:val="18"/>
                      <w:szCs w:val="18"/>
                      <w:highlight w:val="none"/>
                    </w:rPr>
                  </w:pPr>
                </w:p>
              </w:tc>
              <w:tc>
                <w:tcPr>
                  <w:tcW w:w="380" w:type="pct"/>
                  <w:tcBorders>
                    <w:top w:val="single" w:color="auto" w:sz="4" w:space="0"/>
                    <w:left w:val="single" w:color="auto" w:sz="4" w:space="0"/>
                    <w:right w:val="single" w:color="auto" w:sz="4" w:space="0"/>
                  </w:tcBorders>
                  <w:shd w:val="clear" w:color="auto" w:fill="auto"/>
                  <w:vAlign w:val="center"/>
                </w:tcPr>
                <w:p w14:paraId="4007B681">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64" w:lineRule="auto"/>
                    <w:ind w:left="0" w:right="0"/>
                    <w:jc w:val="center"/>
                    <w:textAlignment w:val="auto"/>
                    <w:rPr>
                      <w:rFonts w:hint="eastAsia" w:ascii="Times New Roman" w:hAnsi="Times New Roman" w:eastAsia="宋体" w:cs="Times New Roman"/>
                      <w:bCs/>
                      <w:kern w:val="0"/>
                      <w:sz w:val="18"/>
                      <w:szCs w:val="18"/>
                      <w:highlight w:val="none"/>
                      <w:lang w:val="en-US" w:eastAsia="zh-CN" w:bidi="ar-SA"/>
                    </w:rPr>
                  </w:pPr>
                  <w:r>
                    <w:rPr>
                      <w:rFonts w:hint="eastAsia"/>
                      <w:bCs/>
                      <w:kern w:val="0"/>
                      <w:sz w:val="18"/>
                      <w:szCs w:val="18"/>
                      <w:highlight w:val="none"/>
                      <w:lang w:val="en-US" w:eastAsia="zh-CN"/>
                    </w:rPr>
                    <w:t>0.009</w:t>
                  </w:r>
                </w:p>
              </w:tc>
              <w:tc>
                <w:tcPr>
                  <w:tcW w:w="362" w:type="pct"/>
                  <w:tcBorders>
                    <w:top w:val="single" w:color="auto" w:sz="4" w:space="0"/>
                    <w:left w:val="single" w:color="auto" w:sz="4" w:space="0"/>
                    <w:right w:val="single" w:color="auto" w:sz="4" w:space="0"/>
                  </w:tcBorders>
                  <w:shd w:val="clear" w:color="auto" w:fill="auto"/>
                  <w:vAlign w:val="center"/>
                </w:tcPr>
                <w:p w14:paraId="476DAB2F">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64" w:lineRule="auto"/>
                    <w:ind w:left="0" w:right="0"/>
                    <w:jc w:val="center"/>
                    <w:textAlignment w:val="auto"/>
                    <w:rPr>
                      <w:rFonts w:hint="eastAsia" w:ascii="Times New Roman" w:hAnsi="Times New Roman" w:eastAsia="宋体" w:cs="Times New Roman"/>
                      <w:bCs/>
                      <w:kern w:val="0"/>
                      <w:sz w:val="18"/>
                      <w:szCs w:val="18"/>
                      <w:highlight w:val="none"/>
                      <w:lang w:val="en-US" w:eastAsia="zh-CN" w:bidi="ar-SA"/>
                    </w:rPr>
                  </w:pPr>
                  <w:r>
                    <w:rPr>
                      <w:rFonts w:hint="eastAsia"/>
                      <w:bCs/>
                      <w:kern w:val="0"/>
                      <w:sz w:val="18"/>
                      <w:szCs w:val="18"/>
                      <w:highlight w:val="none"/>
                      <w:lang w:val="en-US" w:eastAsia="zh-CN"/>
                    </w:rPr>
                    <w:t>0.004</w:t>
                  </w:r>
                </w:p>
              </w:tc>
              <w:tc>
                <w:tcPr>
                  <w:tcW w:w="340" w:type="pct"/>
                  <w:tcBorders>
                    <w:top w:val="single" w:color="auto" w:sz="4" w:space="0"/>
                    <w:left w:val="single" w:color="auto" w:sz="4" w:space="0"/>
                    <w:right w:val="single" w:color="auto" w:sz="4" w:space="0"/>
                  </w:tcBorders>
                  <w:shd w:val="clear" w:color="auto" w:fill="auto"/>
                  <w:vAlign w:val="center"/>
                </w:tcPr>
                <w:p w14:paraId="71F1E5C9">
                  <w:pPr>
                    <w:keepNext w:val="0"/>
                    <w:keepLines w:val="0"/>
                    <w:suppressLineNumbers w:val="0"/>
                    <w:spacing w:before="0" w:beforeAutospacing="0" w:after="0" w:afterAutospacing="0"/>
                    <w:ind w:left="0" w:right="0"/>
                    <w:jc w:val="center"/>
                    <w:rPr>
                      <w:rFonts w:hint="default" w:ascii="Times New Roman" w:hAnsi="Times New Roman" w:eastAsia="宋体" w:cs="Times New Roman"/>
                      <w:color w:val="auto"/>
                      <w:kern w:val="2"/>
                      <w:sz w:val="18"/>
                      <w:szCs w:val="18"/>
                      <w:highlight w:val="none"/>
                      <w:lang w:val="en-US" w:eastAsia="zh-CN" w:bidi="ar-SA"/>
                    </w:rPr>
                  </w:pPr>
                  <w:r>
                    <w:rPr>
                      <w:rFonts w:hint="eastAsia" w:ascii="Times New Roman" w:hAnsi="Times New Roman" w:eastAsia="宋体" w:cs="Times New Roman"/>
                      <w:i w:val="0"/>
                      <w:iCs w:val="0"/>
                      <w:color w:val="000000"/>
                      <w:kern w:val="0"/>
                      <w:sz w:val="18"/>
                      <w:szCs w:val="18"/>
                      <w:highlight w:val="none"/>
                      <w:u w:val="none"/>
                      <w:lang w:val="en-US" w:eastAsia="zh-CN" w:bidi="ar"/>
                    </w:rPr>
                    <w:t>0.</w:t>
                  </w:r>
                  <w:r>
                    <w:rPr>
                      <w:rFonts w:hint="eastAsia" w:cs="Times New Roman"/>
                      <w:i w:val="0"/>
                      <w:iCs w:val="0"/>
                      <w:color w:val="000000"/>
                      <w:kern w:val="0"/>
                      <w:sz w:val="18"/>
                      <w:szCs w:val="18"/>
                      <w:highlight w:val="none"/>
                      <w:u w:val="none"/>
                      <w:lang w:val="en-US" w:eastAsia="zh-CN" w:bidi="ar"/>
                    </w:rPr>
                    <w:t>51</w:t>
                  </w:r>
                </w:p>
              </w:tc>
              <w:tc>
                <w:tcPr>
                  <w:tcW w:w="255" w:type="pct"/>
                  <w:tcBorders>
                    <w:left w:val="single" w:color="auto" w:sz="4" w:space="0"/>
                    <w:right w:val="single" w:color="auto" w:sz="4" w:space="0"/>
                  </w:tcBorders>
                  <w:vAlign w:val="center"/>
                </w:tcPr>
                <w:p w14:paraId="19AD4786">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64" w:lineRule="auto"/>
                    <w:ind w:left="0" w:right="0"/>
                    <w:jc w:val="center"/>
                    <w:textAlignment w:val="auto"/>
                    <w:rPr>
                      <w:rFonts w:hint="default"/>
                      <w:bCs/>
                      <w:kern w:val="0"/>
                      <w:sz w:val="18"/>
                      <w:szCs w:val="18"/>
                      <w:highlight w:val="none"/>
                    </w:rPr>
                  </w:pPr>
                  <w:r>
                    <w:rPr>
                      <w:rFonts w:hint="eastAsia"/>
                      <w:bCs/>
                      <w:kern w:val="0"/>
                      <w:sz w:val="18"/>
                      <w:szCs w:val="18"/>
                      <w:highlight w:val="none"/>
                      <w:lang w:val="en-US" w:eastAsia="zh-CN"/>
                    </w:rPr>
                    <w:t>2080</w:t>
                  </w:r>
                </w:p>
              </w:tc>
            </w:tr>
            <w:tr w14:paraId="4A14706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189" w:hRule="atLeast"/>
                <w:jc w:val="center"/>
              </w:trPr>
              <w:tc>
                <w:tcPr>
                  <w:tcW w:w="271" w:type="pct"/>
                  <w:vMerge w:val="restart"/>
                  <w:tcBorders>
                    <w:left w:val="single" w:color="auto" w:sz="4" w:space="0"/>
                    <w:right w:val="single" w:color="auto" w:sz="4" w:space="0"/>
                  </w:tcBorders>
                  <w:vAlign w:val="center"/>
                </w:tcPr>
                <w:p w14:paraId="3B126E66">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64" w:lineRule="auto"/>
                    <w:ind w:left="0" w:right="0"/>
                    <w:jc w:val="center"/>
                    <w:textAlignment w:val="auto"/>
                    <w:rPr>
                      <w:rFonts w:hint="default"/>
                      <w:bCs/>
                      <w:kern w:val="0"/>
                      <w:sz w:val="18"/>
                      <w:szCs w:val="18"/>
                      <w:highlight w:val="none"/>
                      <w:lang w:val="en-US"/>
                    </w:rPr>
                  </w:pPr>
                  <w:r>
                    <w:rPr>
                      <w:rFonts w:hint="eastAsia"/>
                      <w:bCs/>
                      <w:kern w:val="0"/>
                      <w:sz w:val="18"/>
                      <w:szCs w:val="18"/>
                      <w:highlight w:val="none"/>
                      <w:lang w:val="en-US" w:eastAsia="zh-CN"/>
                    </w:rPr>
                    <w:t>DA010</w:t>
                  </w:r>
                </w:p>
              </w:tc>
              <w:tc>
                <w:tcPr>
                  <w:tcW w:w="331" w:type="pct"/>
                  <w:vMerge w:val="restart"/>
                  <w:tcBorders>
                    <w:left w:val="single" w:color="auto" w:sz="4" w:space="0"/>
                    <w:right w:val="single" w:color="auto" w:sz="4" w:space="0"/>
                  </w:tcBorders>
                  <w:vAlign w:val="center"/>
                </w:tcPr>
                <w:p w14:paraId="723E9001">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64" w:lineRule="auto"/>
                    <w:ind w:left="0" w:right="0"/>
                    <w:jc w:val="center"/>
                    <w:textAlignment w:val="auto"/>
                    <w:rPr>
                      <w:rFonts w:hint="default"/>
                      <w:bCs/>
                      <w:kern w:val="0"/>
                      <w:sz w:val="18"/>
                      <w:szCs w:val="18"/>
                      <w:highlight w:val="none"/>
                    </w:rPr>
                  </w:pPr>
                  <w:r>
                    <w:rPr>
                      <w:rFonts w:hint="eastAsia"/>
                      <w:bCs/>
                      <w:kern w:val="0"/>
                      <w:sz w:val="18"/>
                      <w:szCs w:val="18"/>
                      <w:highlight w:val="none"/>
                      <w:lang w:val="en-US" w:eastAsia="zh-CN"/>
                    </w:rPr>
                    <w:t>10#排气筒</w:t>
                  </w:r>
                </w:p>
              </w:tc>
              <w:tc>
                <w:tcPr>
                  <w:tcW w:w="404" w:type="pct"/>
                  <w:tcBorders>
                    <w:left w:val="single" w:color="auto" w:sz="4" w:space="0"/>
                    <w:right w:val="single" w:color="auto" w:sz="4" w:space="0"/>
                  </w:tcBorders>
                  <w:shd w:val="clear" w:color="auto" w:fill="auto"/>
                  <w:vAlign w:val="center"/>
                </w:tcPr>
                <w:p w14:paraId="544B78A3">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64" w:lineRule="auto"/>
                    <w:ind w:left="0" w:right="0"/>
                    <w:jc w:val="center"/>
                    <w:textAlignment w:val="auto"/>
                    <w:rPr>
                      <w:rFonts w:hint="default" w:ascii="Times New Roman" w:hAnsi="Times New Roman" w:eastAsia="宋体" w:cs="Times New Roman"/>
                      <w:bCs/>
                      <w:kern w:val="0"/>
                      <w:sz w:val="18"/>
                      <w:szCs w:val="18"/>
                      <w:highlight w:val="none"/>
                      <w:lang w:val="en-US" w:eastAsia="zh-CN" w:bidi="ar-SA"/>
                    </w:rPr>
                  </w:pPr>
                  <w:r>
                    <w:rPr>
                      <w:rFonts w:hint="eastAsia"/>
                      <w:bCs/>
                      <w:kern w:val="0"/>
                      <w:sz w:val="18"/>
                      <w:szCs w:val="18"/>
                      <w:highlight w:val="none"/>
                      <w:lang w:val="en-US" w:eastAsia="zh-CN"/>
                    </w:rPr>
                    <w:t>解剖废气</w:t>
                  </w:r>
                </w:p>
              </w:tc>
              <w:tc>
                <w:tcPr>
                  <w:tcW w:w="593" w:type="pct"/>
                  <w:tcBorders>
                    <w:left w:val="single" w:color="auto" w:sz="4" w:space="0"/>
                    <w:bottom w:val="single" w:color="auto" w:sz="4" w:space="0"/>
                    <w:right w:val="single" w:color="auto" w:sz="4" w:space="0"/>
                  </w:tcBorders>
                  <w:shd w:val="clear" w:color="auto" w:fill="auto"/>
                  <w:vAlign w:val="center"/>
                </w:tcPr>
                <w:p w14:paraId="720E6A08">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64" w:lineRule="auto"/>
                    <w:ind w:left="0" w:right="0"/>
                    <w:jc w:val="center"/>
                    <w:textAlignment w:val="auto"/>
                    <w:rPr>
                      <w:rFonts w:hint="eastAsia" w:ascii="Times New Roman" w:hAnsi="Times New Roman" w:eastAsia="宋体" w:cs="Times New Roman"/>
                      <w:bCs/>
                      <w:kern w:val="0"/>
                      <w:sz w:val="18"/>
                      <w:szCs w:val="18"/>
                      <w:highlight w:val="none"/>
                      <w:lang w:val="en-US" w:eastAsia="zh-CN" w:bidi="ar-SA"/>
                    </w:rPr>
                  </w:pPr>
                  <w:r>
                    <w:rPr>
                      <w:rFonts w:hint="eastAsia"/>
                      <w:bCs/>
                      <w:kern w:val="0"/>
                      <w:sz w:val="18"/>
                      <w:szCs w:val="18"/>
                      <w:highlight w:val="none"/>
                      <w:lang w:val="en-US" w:eastAsia="zh-CN"/>
                    </w:rPr>
                    <w:t>甲醛</w:t>
                  </w:r>
                </w:p>
              </w:tc>
              <w:tc>
                <w:tcPr>
                  <w:tcW w:w="357" w:type="pct"/>
                  <w:tcBorders>
                    <w:top w:val="single" w:color="auto" w:sz="4" w:space="0"/>
                    <w:left w:val="single" w:color="auto" w:sz="4" w:space="0"/>
                    <w:bottom w:val="single" w:color="auto" w:sz="4" w:space="0"/>
                    <w:right w:val="single" w:color="auto" w:sz="4" w:space="0"/>
                  </w:tcBorders>
                  <w:shd w:val="clear" w:color="auto" w:fill="auto"/>
                  <w:vAlign w:val="center"/>
                </w:tcPr>
                <w:p w14:paraId="2CECAAFB">
                  <w:pPr>
                    <w:keepNext w:val="0"/>
                    <w:keepLines w:val="0"/>
                    <w:widowControl/>
                    <w:suppressLineNumbers w:val="0"/>
                    <w:spacing w:before="0" w:beforeAutospacing="0" w:after="0" w:afterAutospacing="0"/>
                    <w:ind w:left="0" w:right="0"/>
                    <w:jc w:val="center"/>
                    <w:textAlignment w:val="center"/>
                    <w:rPr>
                      <w:rFonts w:hint="eastAsia" w:ascii="Times New Roman" w:hAnsi="Times New Roman" w:eastAsia="宋体" w:cs="Times New Roman"/>
                      <w:i w:val="0"/>
                      <w:iCs w:val="0"/>
                      <w:color w:val="000000"/>
                      <w:kern w:val="0"/>
                      <w:sz w:val="18"/>
                      <w:szCs w:val="18"/>
                      <w:highlight w:val="none"/>
                      <w:u w:val="none"/>
                      <w:lang w:val="en-US" w:eastAsia="zh-CN" w:bidi="ar"/>
                    </w:rPr>
                  </w:pPr>
                  <w:r>
                    <w:rPr>
                      <w:rFonts w:hint="eastAsia" w:ascii="Times New Roman" w:hAnsi="Times New Roman" w:eastAsia="宋体" w:cs="Times New Roman"/>
                      <w:i w:val="0"/>
                      <w:iCs w:val="0"/>
                      <w:color w:val="000000"/>
                      <w:kern w:val="0"/>
                      <w:sz w:val="18"/>
                      <w:szCs w:val="18"/>
                      <w:highlight w:val="none"/>
                      <w:u w:val="none"/>
                      <w:lang w:val="en-US" w:eastAsia="zh-CN" w:bidi="ar"/>
                    </w:rPr>
                    <w:t>0.009</w:t>
                  </w:r>
                </w:p>
              </w:tc>
              <w:tc>
                <w:tcPr>
                  <w:tcW w:w="357" w:type="pct"/>
                  <w:tcBorders>
                    <w:top w:val="single" w:color="auto" w:sz="4" w:space="0"/>
                    <w:left w:val="single" w:color="auto" w:sz="4" w:space="0"/>
                    <w:bottom w:val="single" w:color="auto" w:sz="4" w:space="0"/>
                    <w:right w:val="single" w:color="auto" w:sz="4" w:space="0"/>
                  </w:tcBorders>
                  <w:shd w:val="clear" w:color="auto" w:fill="auto"/>
                  <w:vAlign w:val="center"/>
                </w:tcPr>
                <w:p w14:paraId="636B904B">
                  <w:pPr>
                    <w:keepNext w:val="0"/>
                    <w:keepLines w:val="0"/>
                    <w:widowControl/>
                    <w:suppressLineNumbers w:val="0"/>
                    <w:spacing w:before="0" w:beforeAutospacing="0" w:after="0" w:afterAutospacing="0"/>
                    <w:ind w:left="0" w:right="0"/>
                    <w:jc w:val="center"/>
                    <w:textAlignment w:val="center"/>
                    <w:rPr>
                      <w:rFonts w:hint="eastAsia" w:ascii="Times New Roman" w:hAnsi="Times New Roman" w:eastAsia="宋体" w:cs="Times New Roman"/>
                      <w:i w:val="0"/>
                      <w:iCs w:val="0"/>
                      <w:color w:val="000000"/>
                      <w:kern w:val="0"/>
                      <w:sz w:val="18"/>
                      <w:szCs w:val="18"/>
                      <w:highlight w:val="none"/>
                      <w:u w:val="none"/>
                      <w:lang w:val="en-US" w:eastAsia="zh-CN" w:bidi="ar"/>
                    </w:rPr>
                  </w:pPr>
                  <w:r>
                    <w:rPr>
                      <w:rFonts w:hint="eastAsia" w:ascii="Times New Roman" w:hAnsi="Times New Roman" w:eastAsia="宋体" w:cs="Times New Roman"/>
                      <w:i w:val="0"/>
                      <w:iCs w:val="0"/>
                      <w:color w:val="000000"/>
                      <w:kern w:val="0"/>
                      <w:sz w:val="18"/>
                      <w:szCs w:val="18"/>
                      <w:highlight w:val="none"/>
                      <w:u w:val="none"/>
                      <w:lang w:val="en-US" w:eastAsia="zh-CN" w:bidi="ar"/>
                    </w:rPr>
                    <w:t>0.004</w:t>
                  </w:r>
                </w:p>
              </w:tc>
              <w:tc>
                <w:tcPr>
                  <w:tcW w:w="404" w:type="pct"/>
                  <w:tcBorders>
                    <w:top w:val="single" w:color="auto" w:sz="4" w:space="0"/>
                    <w:left w:val="single" w:color="auto" w:sz="4" w:space="0"/>
                    <w:right w:val="single" w:color="auto" w:sz="4" w:space="0"/>
                  </w:tcBorders>
                  <w:shd w:val="clear" w:color="auto" w:fill="auto"/>
                  <w:vAlign w:val="center"/>
                </w:tcPr>
                <w:p w14:paraId="7AA4CC3D">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kern w:val="0"/>
                      <w:sz w:val="18"/>
                      <w:szCs w:val="18"/>
                      <w:highlight w:val="none"/>
                      <w:u w:val="none"/>
                      <w:lang w:val="en-US" w:eastAsia="zh-CN" w:bidi="ar"/>
                    </w:rPr>
                  </w:pPr>
                  <w:r>
                    <w:rPr>
                      <w:rFonts w:hint="eastAsia" w:ascii="Times New Roman" w:hAnsi="Times New Roman" w:eastAsia="宋体" w:cs="Times New Roman"/>
                      <w:i w:val="0"/>
                      <w:iCs w:val="0"/>
                      <w:color w:val="000000"/>
                      <w:kern w:val="0"/>
                      <w:sz w:val="18"/>
                      <w:szCs w:val="18"/>
                      <w:highlight w:val="none"/>
                      <w:u w:val="none"/>
                      <w:lang w:val="en-US" w:eastAsia="zh-CN" w:bidi="ar"/>
                    </w:rPr>
                    <w:t>0.67</w:t>
                  </w:r>
                </w:p>
              </w:tc>
              <w:tc>
                <w:tcPr>
                  <w:tcW w:w="383" w:type="pct"/>
                  <w:vMerge w:val="restart"/>
                  <w:tcBorders>
                    <w:left w:val="single" w:color="auto" w:sz="4" w:space="0"/>
                    <w:right w:val="single" w:color="auto" w:sz="4" w:space="0"/>
                  </w:tcBorders>
                  <w:shd w:val="clear" w:color="auto" w:fill="auto"/>
                  <w:vAlign w:val="center"/>
                </w:tcPr>
                <w:p w14:paraId="1244EE65">
                  <w:pPr>
                    <w:keepNext w:val="0"/>
                    <w:keepLines w:val="0"/>
                    <w:widowControl/>
                    <w:suppressLineNumbers w:val="0"/>
                    <w:spacing w:before="0" w:beforeAutospacing="0" w:after="0" w:afterAutospacing="0" w:line="280" w:lineRule="exact"/>
                    <w:ind w:left="0" w:right="0"/>
                    <w:jc w:val="center"/>
                    <w:textAlignment w:val="center"/>
                    <w:rPr>
                      <w:rFonts w:hint="eastAsia" w:ascii="Times New Roman" w:hAnsi="Times New Roman" w:eastAsia="宋体" w:cs="Times New Roman"/>
                      <w:b w:val="0"/>
                      <w:bCs w:val="0"/>
                      <w:kern w:val="2"/>
                      <w:sz w:val="18"/>
                      <w:szCs w:val="18"/>
                      <w:highlight w:val="none"/>
                      <w:lang w:val="en-US" w:eastAsia="zh-CN" w:bidi="ar"/>
                    </w:rPr>
                  </w:pPr>
                  <w:r>
                    <w:rPr>
                      <w:rFonts w:hint="eastAsia"/>
                      <w:snapToGrid w:val="0"/>
                      <w:sz w:val="18"/>
                      <w:szCs w:val="18"/>
                      <w:highlight w:val="none"/>
                      <w:lang w:val="en-US" w:eastAsia="zh-CN"/>
                    </w:rPr>
                    <w:t>活性炭吸附</w:t>
                  </w:r>
                </w:p>
              </w:tc>
              <w:tc>
                <w:tcPr>
                  <w:tcW w:w="240" w:type="pct"/>
                  <w:tcBorders>
                    <w:left w:val="single" w:color="auto" w:sz="4" w:space="0"/>
                    <w:right w:val="single" w:color="auto" w:sz="4" w:space="0"/>
                  </w:tcBorders>
                  <w:shd w:val="clear" w:color="auto" w:fill="auto"/>
                  <w:vAlign w:val="center"/>
                </w:tcPr>
                <w:p w14:paraId="27D00654">
                  <w:pPr>
                    <w:keepNext w:val="0"/>
                    <w:keepLines w:val="0"/>
                    <w:widowControl/>
                    <w:suppressLineNumbers w:val="0"/>
                    <w:spacing w:before="0" w:beforeAutospacing="0" w:after="0" w:afterAutospacing="0" w:line="280" w:lineRule="exact"/>
                    <w:ind w:left="0" w:right="0"/>
                    <w:jc w:val="center"/>
                    <w:textAlignment w:val="center"/>
                    <w:rPr>
                      <w:rFonts w:hint="eastAsia" w:ascii="Times New Roman" w:hAnsi="Times New Roman" w:eastAsia="宋体" w:cs="Times New Roman"/>
                      <w:b w:val="0"/>
                      <w:bCs w:val="0"/>
                      <w:kern w:val="2"/>
                      <w:sz w:val="18"/>
                      <w:szCs w:val="18"/>
                      <w:highlight w:val="none"/>
                      <w:lang w:val="en-US" w:eastAsia="zh-CN" w:bidi="ar"/>
                    </w:rPr>
                  </w:pPr>
                  <w:r>
                    <w:rPr>
                      <w:rFonts w:hint="eastAsia"/>
                      <w:bCs/>
                      <w:kern w:val="0"/>
                      <w:sz w:val="18"/>
                      <w:szCs w:val="18"/>
                      <w:highlight w:val="none"/>
                      <w:lang w:val="en-US" w:eastAsia="zh-CN"/>
                    </w:rPr>
                    <w:t>/</w:t>
                  </w:r>
                </w:p>
              </w:tc>
              <w:tc>
                <w:tcPr>
                  <w:tcW w:w="317" w:type="pct"/>
                  <w:vMerge w:val="restart"/>
                  <w:tcBorders>
                    <w:left w:val="single" w:color="auto" w:sz="4" w:space="0"/>
                    <w:right w:val="single" w:color="auto" w:sz="4" w:space="0"/>
                  </w:tcBorders>
                  <w:shd w:val="clear" w:color="auto" w:fill="auto"/>
                  <w:vAlign w:val="center"/>
                </w:tcPr>
                <w:p w14:paraId="30BEC9D1">
                  <w:pPr>
                    <w:keepNext w:val="0"/>
                    <w:keepLines w:val="0"/>
                    <w:widowControl/>
                    <w:suppressLineNumbers w:val="0"/>
                    <w:spacing w:before="0" w:beforeAutospacing="0" w:after="0" w:afterAutospacing="0" w:line="280" w:lineRule="exact"/>
                    <w:ind w:left="0" w:right="0"/>
                    <w:jc w:val="center"/>
                    <w:textAlignment w:val="center"/>
                    <w:rPr>
                      <w:rFonts w:hint="default" w:ascii="Times New Roman" w:hAnsi="Times New Roman" w:eastAsia="宋体" w:cs="Times New Roman"/>
                      <w:b w:val="0"/>
                      <w:bCs w:val="0"/>
                      <w:kern w:val="2"/>
                      <w:sz w:val="18"/>
                      <w:szCs w:val="18"/>
                      <w:highlight w:val="none"/>
                      <w:lang w:val="en-US" w:eastAsia="zh-CN" w:bidi="ar"/>
                    </w:rPr>
                  </w:pPr>
                  <w:r>
                    <w:rPr>
                      <w:rFonts w:hint="eastAsia" w:cs="Times New Roman"/>
                      <w:b w:val="0"/>
                      <w:bCs w:val="0"/>
                      <w:kern w:val="2"/>
                      <w:sz w:val="18"/>
                      <w:szCs w:val="18"/>
                      <w:highlight w:val="none"/>
                      <w:lang w:val="en-US" w:eastAsia="zh-CN" w:bidi="ar"/>
                    </w:rPr>
                    <w:t>6000</w:t>
                  </w:r>
                </w:p>
              </w:tc>
              <w:tc>
                <w:tcPr>
                  <w:tcW w:w="380" w:type="pct"/>
                  <w:tcBorders>
                    <w:top w:val="single" w:color="auto" w:sz="4" w:space="0"/>
                    <w:left w:val="single" w:color="auto" w:sz="4" w:space="0"/>
                    <w:right w:val="single" w:color="auto" w:sz="4" w:space="0"/>
                  </w:tcBorders>
                  <w:shd w:val="clear" w:color="auto" w:fill="auto"/>
                  <w:vAlign w:val="center"/>
                </w:tcPr>
                <w:p w14:paraId="422A80A9">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64" w:lineRule="auto"/>
                    <w:ind w:left="0" w:right="0"/>
                    <w:jc w:val="center"/>
                    <w:textAlignment w:val="auto"/>
                    <w:rPr>
                      <w:rFonts w:hint="default" w:ascii="Times New Roman" w:hAnsi="Times New Roman" w:eastAsia="宋体" w:cs="Times New Roman"/>
                      <w:bCs/>
                      <w:kern w:val="0"/>
                      <w:sz w:val="18"/>
                      <w:szCs w:val="18"/>
                      <w:highlight w:val="none"/>
                      <w:lang w:val="en-US" w:eastAsia="zh-CN" w:bidi="ar-SA"/>
                    </w:rPr>
                  </w:pPr>
                  <w:r>
                    <w:rPr>
                      <w:rFonts w:hint="eastAsia"/>
                      <w:bCs/>
                      <w:kern w:val="0"/>
                      <w:sz w:val="18"/>
                      <w:szCs w:val="18"/>
                      <w:highlight w:val="none"/>
                      <w:lang w:val="en-US" w:eastAsia="zh-CN"/>
                    </w:rPr>
                    <w:t>0.009</w:t>
                  </w:r>
                </w:p>
              </w:tc>
              <w:tc>
                <w:tcPr>
                  <w:tcW w:w="362" w:type="pct"/>
                  <w:tcBorders>
                    <w:top w:val="single" w:color="auto" w:sz="4" w:space="0"/>
                    <w:left w:val="single" w:color="auto" w:sz="4" w:space="0"/>
                    <w:right w:val="single" w:color="auto" w:sz="4" w:space="0"/>
                  </w:tcBorders>
                  <w:shd w:val="clear" w:color="auto" w:fill="auto"/>
                  <w:vAlign w:val="center"/>
                </w:tcPr>
                <w:p w14:paraId="1A23C683">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64" w:lineRule="auto"/>
                    <w:ind w:left="0" w:right="0"/>
                    <w:jc w:val="center"/>
                    <w:textAlignment w:val="auto"/>
                    <w:rPr>
                      <w:rFonts w:hint="eastAsia" w:ascii="Times New Roman" w:hAnsi="Times New Roman" w:eastAsia="宋体" w:cs="Times New Roman"/>
                      <w:bCs/>
                      <w:kern w:val="0"/>
                      <w:sz w:val="18"/>
                      <w:szCs w:val="18"/>
                      <w:highlight w:val="none"/>
                      <w:lang w:val="en-US" w:eastAsia="zh-CN" w:bidi="ar-SA"/>
                    </w:rPr>
                  </w:pPr>
                  <w:r>
                    <w:rPr>
                      <w:rFonts w:hint="eastAsia"/>
                      <w:bCs/>
                      <w:kern w:val="0"/>
                      <w:sz w:val="18"/>
                      <w:szCs w:val="18"/>
                      <w:highlight w:val="none"/>
                      <w:lang w:val="en-US" w:eastAsia="zh-CN"/>
                    </w:rPr>
                    <w:t>0.004</w:t>
                  </w:r>
                </w:p>
              </w:tc>
              <w:tc>
                <w:tcPr>
                  <w:tcW w:w="340" w:type="pct"/>
                  <w:tcBorders>
                    <w:top w:val="single" w:color="auto" w:sz="4" w:space="0"/>
                    <w:left w:val="single" w:color="auto" w:sz="4" w:space="0"/>
                    <w:right w:val="single" w:color="auto" w:sz="4" w:space="0"/>
                  </w:tcBorders>
                  <w:shd w:val="clear" w:color="auto" w:fill="auto"/>
                  <w:vAlign w:val="center"/>
                </w:tcPr>
                <w:p w14:paraId="22453587">
                  <w:pPr>
                    <w:keepNext w:val="0"/>
                    <w:keepLines w:val="0"/>
                    <w:suppressLineNumbers w:val="0"/>
                    <w:spacing w:before="0" w:beforeAutospacing="0" w:after="0" w:afterAutospacing="0"/>
                    <w:ind w:left="0" w:right="0"/>
                    <w:jc w:val="center"/>
                    <w:rPr>
                      <w:rFonts w:hint="default" w:ascii="Times New Roman" w:hAnsi="Times New Roman" w:eastAsia="宋体" w:cs="Times New Roman"/>
                      <w:color w:val="auto"/>
                      <w:kern w:val="2"/>
                      <w:sz w:val="18"/>
                      <w:szCs w:val="18"/>
                      <w:highlight w:val="none"/>
                      <w:lang w:val="en-US" w:eastAsia="zh-CN" w:bidi="ar-SA"/>
                    </w:rPr>
                  </w:pPr>
                  <w:r>
                    <w:rPr>
                      <w:rFonts w:hint="eastAsia" w:cs="Times New Roman"/>
                      <w:color w:val="auto"/>
                      <w:kern w:val="2"/>
                      <w:sz w:val="18"/>
                      <w:szCs w:val="18"/>
                      <w:highlight w:val="none"/>
                      <w:lang w:val="en-US" w:eastAsia="zh-CN" w:bidi="ar-SA"/>
                    </w:rPr>
                    <w:t>0.67</w:t>
                  </w:r>
                </w:p>
              </w:tc>
              <w:tc>
                <w:tcPr>
                  <w:tcW w:w="255" w:type="pct"/>
                  <w:tcBorders>
                    <w:left w:val="single" w:color="auto" w:sz="4" w:space="0"/>
                    <w:right w:val="single" w:color="auto" w:sz="4" w:space="0"/>
                  </w:tcBorders>
                  <w:vAlign w:val="center"/>
                </w:tcPr>
                <w:p w14:paraId="5D9C4707">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64" w:lineRule="auto"/>
                    <w:ind w:left="0" w:right="0"/>
                    <w:jc w:val="center"/>
                    <w:textAlignment w:val="auto"/>
                    <w:rPr>
                      <w:rFonts w:hint="default" w:eastAsia="宋体"/>
                      <w:bCs/>
                      <w:kern w:val="0"/>
                      <w:sz w:val="18"/>
                      <w:szCs w:val="18"/>
                      <w:highlight w:val="none"/>
                      <w:lang w:val="en-US" w:eastAsia="zh-CN"/>
                    </w:rPr>
                  </w:pPr>
                  <w:r>
                    <w:rPr>
                      <w:rFonts w:hint="eastAsia"/>
                      <w:bCs/>
                      <w:kern w:val="0"/>
                      <w:sz w:val="18"/>
                      <w:szCs w:val="18"/>
                      <w:highlight w:val="none"/>
                      <w:lang w:val="en-US" w:eastAsia="zh-CN"/>
                    </w:rPr>
                    <w:t>2080</w:t>
                  </w:r>
                </w:p>
              </w:tc>
            </w:tr>
            <w:tr w14:paraId="04DBB23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90" w:hRule="atLeast"/>
                <w:jc w:val="center"/>
              </w:trPr>
              <w:tc>
                <w:tcPr>
                  <w:tcW w:w="271" w:type="pct"/>
                  <w:vMerge w:val="continue"/>
                  <w:tcBorders>
                    <w:left w:val="single" w:color="auto" w:sz="4" w:space="0"/>
                    <w:right w:val="single" w:color="auto" w:sz="4" w:space="0"/>
                  </w:tcBorders>
                  <w:vAlign w:val="center"/>
                </w:tcPr>
                <w:p w14:paraId="328E8963">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64" w:lineRule="auto"/>
                    <w:ind w:left="0" w:right="0"/>
                    <w:jc w:val="center"/>
                    <w:textAlignment w:val="auto"/>
                    <w:rPr>
                      <w:rFonts w:hint="eastAsia"/>
                      <w:bCs/>
                      <w:kern w:val="0"/>
                      <w:sz w:val="18"/>
                      <w:szCs w:val="18"/>
                      <w:highlight w:val="none"/>
                      <w:lang w:val="en-US" w:eastAsia="zh-CN"/>
                    </w:rPr>
                  </w:pPr>
                </w:p>
              </w:tc>
              <w:tc>
                <w:tcPr>
                  <w:tcW w:w="331" w:type="pct"/>
                  <w:vMerge w:val="continue"/>
                  <w:tcBorders>
                    <w:left w:val="single" w:color="auto" w:sz="4" w:space="0"/>
                    <w:right w:val="single" w:color="auto" w:sz="4" w:space="0"/>
                  </w:tcBorders>
                  <w:vAlign w:val="center"/>
                </w:tcPr>
                <w:p w14:paraId="15910A9E">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64" w:lineRule="auto"/>
                    <w:ind w:left="0" w:right="0"/>
                    <w:jc w:val="center"/>
                    <w:textAlignment w:val="auto"/>
                    <w:rPr>
                      <w:rFonts w:hint="eastAsia"/>
                      <w:bCs/>
                      <w:kern w:val="0"/>
                      <w:sz w:val="18"/>
                      <w:szCs w:val="18"/>
                      <w:highlight w:val="none"/>
                      <w:lang w:val="en-US" w:eastAsia="zh-CN"/>
                    </w:rPr>
                  </w:pPr>
                </w:p>
              </w:tc>
              <w:tc>
                <w:tcPr>
                  <w:tcW w:w="404" w:type="pct"/>
                  <w:vMerge w:val="restart"/>
                  <w:tcBorders>
                    <w:left w:val="single" w:color="auto" w:sz="4" w:space="0"/>
                    <w:right w:val="single" w:color="auto" w:sz="4" w:space="0"/>
                  </w:tcBorders>
                  <w:shd w:val="clear" w:color="auto" w:fill="auto"/>
                  <w:vAlign w:val="center"/>
                </w:tcPr>
                <w:p w14:paraId="51BEDA97">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64" w:lineRule="auto"/>
                    <w:ind w:left="0" w:right="0"/>
                    <w:jc w:val="center"/>
                    <w:textAlignment w:val="auto"/>
                    <w:rPr>
                      <w:rFonts w:hint="eastAsia"/>
                      <w:bCs/>
                      <w:kern w:val="0"/>
                      <w:sz w:val="18"/>
                      <w:szCs w:val="18"/>
                      <w:highlight w:val="none"/>
                      <w:lang w:val="en-US" w:eastAsia="zh-CN"/>
                    </w:rPr>
                  </w:pPr>
                  <w:r>
                    <w:rPr>
                      <w:rFonts w:hint="eastAsia"/>
                      <w:bCs/>
                      <w:kern w:val="0"/>
                      <w:sz w:val="18"/>
                      <w:szCs w:val="18"/>
                      <w:highlight w:val="none"/>
                      <w:lang w:val="en-US" w:eastAsia="zh-CN"/>
                    </w:rPr>
                    <w:t>危废暂存间、</w:t>
                  </w:r>
                  <w:r>
                    <w:rPr>
                      <w:rFonts w:hint="eastAsia"/>
                      <w:sz w:val="18"/>
                      <w:szCs w:val="18"/>
                      <w:highlight w:val="none"/>
                      <w:lang w:val="en-US" w:eastAsia="zh-CN"/>
                    </w:rPr>
                    <w:t>一般固废暂存间</w:t>
                  </w:r>
                  <w:r>
                    <w:rPr>
                      <w:rFonts w:hint="eastAsia"/>
                      <w:bCs/>
                      <w:kern w:val="0"/>
                      <w:sz w:val="18"/>
                      <w:szCs w:val="18"/>
                      <w:highlight w:val="none"/>
                      <w:lang w:val="en-US" w:eastAsia="zh-CN"/>
                    </w:rPr>
                    <w:t>废气</w:t>
                  </w:r>
                </w:p>
              </w:tc>
              <w:tc>
                <w:tcPr>
                  <w:tcW w:w="593" w:type="pct"/>
                  <w:tcBorders>
                    <w:left w:val="single" w:color="auto" w:sz="4" w:space="0"/>
                    <w:bottom w:val="single" w:color="auto" w:sz="4" w:space="0"/>
                    <w:right w:val="single" w:color="auto" w:sz="4" w:space="0"/>
                  </w:tcBorders>
                  <w:shd w:val="clear" w:color="auto" w:fill="auto"/>
                  <w:vAlign w:val="center"/>
                </w:tcPr>
                <w:p w14:paraId="42DAB422">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64" w:lineRule="auto"/>
                    <w:ind w:left="0" w:right="0"/>
                    <w:jc w:val="center"/>
                    <w:textAlignment w:val="auto"/>
                    <w:rPr>
                      <w:rFonts w:hint="eastAsia" w:ascii="Times New Roman" w:hAnsi="Times New Roman" w:eastAsia="宋体" w:cs="Times New Roman"/>
                      <w:bCs/>
                      <w:kern w:val="0"/>
                      <w:sz w:val="18"/>
                      <w:szCs w:val="18"/>
                      <w:highlight w:val="none"/>
                      <w:lang w:val="en-US" w:eastAsia="zh-CN" w:bidi="ar-SA"/>
                    </w:rPr>
                  </w:pPr>
                  <w:r>
                    <w:rPr>
                      <w:rFonts w:hint="default"/>
                      <w:bCs/>
                      <w:kern w:val="0"/>
                      <w:sz w:val="18"/>
                      <w:szCs w:val="18"/>
                      <w:highlight w:val="none"/>
                    </w:rPr>
                    <w:t>氨</w:t>
                  </w:r>
                </w:p>
              </w:tc>
              <w:tc>
                <w:tcPr>
                  <w:tcW w:w="357" w:type="pct"/>
                  <w:tcBorders>
                    <w:top w:val="single" w:color="auto" w:sz="4" w:space="0"/>
                    <w:left w:val="single" w:color="auto" w:sz="4" w:space="0"/>
                    <w:bottom w:val="single" w:color="auto" w:sz="4" w:space="0"/>
                    <w:right w:val="single" w:color="auto" w:sz="4" w:space="0"/>
                  </w:tcBorders>
                  <w:shd w:val="clear" w:color="auto" w:fill="auto"/>
                  <w:vAlign w:val="center"/>
                </w:tcPr>
                <w:p w14:paraId="0991CDEE">
                  <w:pPr>
                    <w:keepNext w:val="0"/>
                    <w:keepLines w:val="0"/>
                    <w:widowControl/>
                    <w:suppressLineNumbers w:val="0"/>
                    <w:spacing w:before="0" w:beforeAutospacing="0" w:after="0" w:afterAutospacing="0"/>
                    <w:ind w:left="0" w:right="0"/>
                    <w:jc w:val="center"/>
                    <w:textAlignment w:val="center"/>
                    <w:rPr>
                      <w:rFonts w:hint="eastAsia" w:ascii="Times New Roman" w:hAnsi="Times New Roman" w:eastAsia="宋体" w:cs="Times New Roman"/>
                      <w:i w:val="0"/>
                      <w:iCs w:val="0"/>
                      <w:color w:val="000000"/>
                      <w:kern w:val="0"/>
                      <w:sz w:val="18"/>
                      <w:szCs w:val="18"/>
                      <w:highlight w:val="none"/>
                      <w:u w:val="none"/>
                      <w:lang w:val="en-US" w:eastAsia="zh-CN" w:bidi="ar"/>
                    </w:rPr>
                  </w:pPr>
                  <w:r>
                    <w:rPr>
                      <w:rFonts w:hint="eastAsia" w:ascii="Times New Roman" w:hAnsi="Times New Roman" w:eastAsia="宋体" w:cs="Times New Roman"/>
                      <w:i w:val="0"/>
                      <w:iCs w:val="0"/>
                      <w:color w:val="000000"/>
                      <w:kern w:val="0"/>
                      <w:sz w:val="18"/>
                      <w:szCs w:val="18"/>
                      <w:highlight w:val="none"/>
                      <w:u w:val="none"/>
                      <w:lang w:val="en-US" w:eastAsia="zh-CN" w:bidi="ar"/>
                    </w:rPr>
                    <w:t xml:space="preserve">0.004 </w:t>
                  </w:r>
                </w:p>
              </w:tc>
              <w:tc>
                <w:tcPr>
                  <w:tcW w:w="357" w:type="pct"/>
                  <w:tcBorders>
                    <w:top w:val="single" w:color="auto" w:sz="4" w:space="0"/>
                    <w:left w:val="single" w:color="auto" w:sz="4" w:space="0"/>
                    <w:bottom w:val="single" w:color="auto" w:sz="4" w:space="0"/>
                    <w:right w:val="single" w:color="auto" w:sz="4" w:space="0"/>
                  </w:tcBorders>
                  <w:shd w:val="clear" w:color="auto" w:fill="auto"/>
                  <w:vAlign w:val="center"/>
                </w:tcPr>
                <w:p w14:paraId="253AAB5C">
                  <w:pPr>
                    <w:keepNext w:val="0"/>
                    <w:keepLines w:val="0"/>
                    <w:widowControl/>
                    <w:suppressLineNumbers w:val="0"/>
                    <w:spacing w:before="0" w:beforeAutospacing="0" w:after="0" w:afterAutospacing="0"/>
                    <w:ind w:left="0" w:right="0"/>
                    <w:jc w:val="center"/>
                    <w:textAlignment w:val="center"/>
                    <w:rPr>
                      <w:rFonts w:hint="eastAsia" w:ascii="Times New Roman" w:hAnsi="Times New Roman" w:eastAsia="宋体" w:cs="Times New Roman"/>
                      <w:i w:val="0"/>
                      <w:iCs w:val="0"/>
                      <w:color w:val="000000"/>
                      <w:kern w:val="0"/>
                      <w:sz w:val="18"/>
                      <w:szCs w:val="18"/>
                      <w:highlight w:val="none"/>
                      <w:u w:val="none"/>
                      <w:lang w:val="en-US" w:eastAsia="zh-CN" w:bidi="ar"/>
                    </w:rPr>
                  </w:pPr>
                  <w:r>
                    <w:rPr>
                      <w:rFonts w:hint="eastAsia" w:ascii="Times New Roman" w:hAnsi="Times New Roman" w:eastAsia="宋体" w:cs="Times New Roman"/>
                      <w:i w:val="0"/>
                      <w:iCs w:val="0"/>
                      <w:color w:val="000000"/>
                      <w:kern w:val="0"/>
                      <w:sz w:val="18"/>
                      <w:szCs w:val="18"/>
                      <w:highlight w:val="none"/>
                      <w:u w:val="none"/>
                      <w:lang w:val="en-US" w:eastAsia="zh-CN" w:bidi="ar"/>
                    </w:rPr>
                    <w:t>~0</w:t>
                  </w:r>
                </w:p>
              </w:tc>
              <w:tc>
                <w:tcPr>
                  <w:tcW w:w="404" w:type="pct"/>
                  <w:tcBorders>
                    <w:top w:val="single" w:color="auto" w:sz="4" w:space="0"/>
                    <w:left w:val="single" w:color="auto" w:sz="4" w:space="0"/>
                    <w:right w:val="single" w:color="auto" w:sz="4" w:space="0"/>
                  </w:tcBorders>
                  <w:shd w:val="clear" w:color="auto" w:fill="auto"/>
                  <w:vAlign w:val="center"/>
                </w:tcPr>
                <w:p w14:paraId="376A6642">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kern w:val="0"/>
                      <w:sz w:val="18"/>
                      <w:szCs w:val="18"/>
                      <w:highlight w:val="none"/>
                      <w:u w:val="none"/>
                      <w:lang w:val="en-US" w:eastAsia="zh-CN" w:bidi="ar"/>
                    </w:rPr>
                  </w:pPr>
                  <w:r>
                    <w:rPr>
                      <w:rFonts w:hint="eastAsia" w:ascii="Times New Roman" w:hAnsi="Times New Roman" w:eastAsia="宋体" w:cs="Times New Roman"/>
                      <w:i w:val="0"/>
                      <w:iCs w:val="0"/>
                      <w:color w:val="000000"/>
                      <w:kern w:val="0"/>
                      <w:sz w:val="18"/>
                      <w:szCs w:val="18"/>
                      <w:highlight w:val="none"/>
                      <w:u w:val="none"/>
                      <w:lang w:val="en-US" w:eastAsia="zh-CN" w:bidi="ar"/>
                    </w:rPr>
                    <w:t>~0</w:t>
                  </w:r>
                </w:p>
              </w:tc>
              <w:tc>
                <w:tcPr>
                  <w:tcW w:w="383" w:type="pct"/>
                  <w:vMerge w:val="continue"/>
                  <w:tcBorders>
                    <w:left w:val="single" w:color="auto" w:sz="4" w:space="0"/>
                    <w:right w:val="single" w:color="auto" w:sz="4" w:space="0"/>
                  </w:tcBorders>
                  <w:shd w:val="clear" w:color="auto" w:fill="auto"/>
                  <w:vAlign w:val="center"/>
                </w:tcPr>
                <w:p w14:paraId="0F19CAED">
                  <w:pPr>
                    <w:keepNext w:val="0"/>
                    <w:keepLines w:val="0"/>
                    <w:widowControl/>
                    <w:suppressLineNumbers w:val="0"/>
                    <w:spacing w:before="0" w:beforeAutospacing="0" w:after="0" w:afterAutospacing="0" w:line="280" w:lineRule="exact"/>
                    <w:ind w:left="0" w:right="0"/>
                    <w:jc w:val="center"/>
                    <w:textAlignment w:val="center"/>
                    <w:rPr>
                      <w:rFonts w:hint="eastAsia"/>
                      <w:snapToGrid w:val="0"/>
                      <w:sz w:val="18"/>
                      <w:szCs w:val="18"/>
                      <w:highlight w:val="none"/>
                      <w:lang w:val="en-US" w:eastAsia="zh-CN"/>
                    </w:rPr>
                  </w:pPr>
                </w:p>
              </w:tc>
              <w:tc>
                <w:tcPr>
                  <w:tcW w:w="240" w:type="pct"/>
                  <w:tcBorders>
                    <w:left w:val="single" w:color="auto" w:sz="4" w:space="0"/>
                    <w:right w:val="single" w:color="auto" w:sz="4" w:space="0"/>
                  </w:tcBorders>
                  <w:shd w:val="clear" w:color="auto" w:fill="auto"/>
                  <w:vAlign w:val="center"/>
                </w:tcPr>
                <w:p w14:paraId="451BB88C">
                  <w:pPr>
                    <w:keepNext w:val="0"/>
                    <w:keepLines w:val="0"/>
                    <w:widowControl/>
                    <w:suppressLineNumbers w:val="0"/>
                    <w:spacing w:before="0" w:beforeAutospacing="0" w:after="0" w:afterAutospacing="0" w:line="280" w:lineRule="exact"/>
                    <w:ind w:left="0" w:right="0"/>
                    <w:jc w:val="center"/>
                    <w:textAlignment w:val="center"/>
                    <w:rPr>
                      <w:rFonts w:hint="eastAsia"/>
                      <w:bCs/>
                      <w:kern w:val="0"/>
                      <w:sz w:val="18"/>
                      <w:szCs w:val="18"/>
                      <w:highlight w:val="none"/>
                      <w:lang w:val="en-US" w:eastAsia="zh-CN"/>
                    </w:rPr>
                  </w:pPr>
                  <w:r>
                    <w:rPr>
                      <w:rFonts w:hint="eastAsia"/>
                      <w:bCs/>
                      <w:kern w:val="0"/>
                      <w:sz w:val="18"/>
                      <w:szCs w:val="18"/>
                      <w:highlight w:val="none"/>
                      <w:lang w:val="en-US" w:eastAsia="zh-CN"/>
                    </w:rPr>
                    <w:t>/</w:t>
                  </w:r>
                </w:p>
              </w:tc>
              <w:tc>
                <w:tcPr>
                  <w:tcW w:w="317" w:type="pct"/>
                  <w:vMerge w:val="continue"/>
                  <w:tcBorders>
                    <w:left w:val="single" w:color="auto" w:sz="4" w:space="0"/>
                    <w:right w:val="single" w:color="auto" w:sz="4" w:space="0"/>
                  </w:tcBorders>
                  <w:shd w:val="clear" w:color="auto" w:fill="auto"/>
                  <w:vAlign w:val="center"/>
                </w:tcPr>
                <w:p w14:paraId="0C2833B8">
                  <w:pPr>
                    <w:keepNext w:val="0"/>
                    <w:keepLines w:val="0"/>
                    <w:widowControl/>
                    <w:suppressLineNumbers w:val="0"/>
                    <w:spacing w:before="0" w:beforeAutospacing="0" w:after="0" w:afterAutospacing="0" w:line="280" w:lineRule="exact"/>
                    <w:ind w:left="0" w:right="0"/>
                    <w:jc w:val="center"/>
                    <w:textAlignment w:val="center"/>
                    <w:rPr>
                      <w:rFonts w:hint="eastAsia" w:cs="Times New Roman"/>
                      <w:b w:val="0"/>
                      <w:bCs w:val="0"/>
                      <w:kern w:val="2"/>
                      <w:sz w:val="18"/>
                      <w:szCs w:val="18"/>
                      <w:highlight w:val="none"/>
                      <w:lang w:val="en-US" w:eastAsia="zh-CN" w:bidi="ar"/>
                    </w:rPr>
                  </w:pPr>
                </w:p>
              </w:tc>
              <w:tc>
                <w:tcPr>
                  <w:tcW w:w="380" w:type="pct"/>
                  <w:tcBorders>
                    <w:top w:val="single" w:color="auto" w:sz="4" w:space="0"/>
                    <w:left w:val="single" w:color="auto" w:sz="4" w:space="0"/>
                    <w:right w:val="single" w:color="auto" w:sz="4" w:space="0"/>
                  </w:tcBorders>
                  <w:shd w:val="clear" w:color="auto" w:fill="auto"/>
                  <w:vAlign w:val="center"/>
                </w:tcPr>
                <w:p w14:paraId="5B4F697C">
                  <w:pPr>
                    <w:keepNext w:val="0"/>
                    <w:keepLines w:val="0"/>
                    <w:widowControl/>
                    <w:suppressLineNumbers w:val="0"/>
                    <w:spacing w:before="0" w:beforeAutospacing="0" w:after="0" w:afterAutospacing="0"/>
                    <w:ind w:left="0" w:right="0"/>
                    <w:jc w:val="center"/>
                    <w:textAlignment w:val="center"/>
                    <w:rPr>
                      <w:rFonts w:hint="eastAsia" w:ascii="Times New Roman" w:hAnsi="Times New Roman" w:eastAsia="宋体" w:cs="Times New Roman"/>
                      <w:i w:val="0"/>
                      <w:iCs w:val="0"/>
                      <w:color w:val="000000"/>
                      <w:kern w:val="0"/>
                      <w:sz w:val="18"/>
                      <w:szCs w:val="18"/>
                      <w:highlight w:val="none"/>
                      <w:u w:val="none"/>
                      <w:lang w:val="en-US" w:eastAsia="zh-CN" w:bidi="ar"/>
                    </w:rPr>
                  </w:pPr>
                  <w:r>
                    <w:rPr>
                      <w:rFonts w:hint="eastAsia" w:ascii="Times New Roman" w:hAnsi="Times New Roman" w:eastAsia="宋体" w:cs="Times New Roman"/>
                      <w:i w:val="0"/>
                      <w:iCs w:val="0"/>
                      <w:color w:val="000000"/>
                      <w:kern w:val="0"/>
                      <w:sz w:val="18"/>
                      <w:szCs w:val="18"/>
                      <w:highlight w:val="none"/>
                      <w:u w:val="none"/>
                      <w:lang w:val="en-US" w:eastAsia="zh-CN" w:bidi="ar"/>
                    </w:rPr>
                    <w:t xml:space="preserve">0.004 </w:t>
                  </w:r>
                </w:p>
              </w:tc>
              <w:tc>
                <w:tcPr>
                  <w:tcW w:w="362" w:type="pct"/>
                  <w:tcBorders>
                    <w:top w:val="single" w:color="auto" w:sz="4" w:space="0"/>
                    <w:left w:val="single" w:color="auto" w:sz="4" w:space="0"/>
                    <w:right w:val="single" w:color="auto" w:sz="4" w:space="0"/>
                  </w:tcBorders>
                  <w:shd w:val="clear" w:color="auto" w:fill="auto"/>
                  <w:vAlign w:val="center"/>
                </w:tcPr>
                <w:p w14:paraId="2E4DCE49">
                  <w:pPr>
                    <w:keepNext w:val="0"/>
                    <w:keepLines w:val="0"/>
                    <w:widowControl/>
                    <w:suppressLineNumbers w:val="0"/>
                    <w:spacing w:before="0" w:beforeAutospacing="0" w:after="0" w:afterAutospacing="0"/>
                    <w:ind w:left="0" w:right="0"/>
                    <w:jc w:val="center"/>
                    <w:textAlignment w:val="center"/>
                    <w:rPr>
                      <w:rFonts w:hint="eastAsia" w:ascii="Times New Roman" w:hAnsi="Times New Roman" w:eastAsia="宋体" w:cs="Times New Roman"/>
                      <w:i w:val="0"/>
                      <w:iCs w:val="0"/>
                      <w:color w:val="000000"/>
                      <w:kern w:val="0"/>
                      <w:sz w:val="18"/>
                      <w:szCs w:val="18"/>
                      <w:highlight w:val="none"/>
                      <w:u w:val="none"/>
                      <w:lang w:val="en-US" w:eastAsia="zh-CN" w:bidi="ar"/>
                    </w:rPr>
                  </w:pPr>
                  <w:r>
                    <w:rPr>
                      <w:rFonts w:hint="eastAsia" w:ascii="Times New Roman" w:hAnsi="Times New Roman" w:eastAsia="宋体" w:cs="Times New Roman"/>
                      <w:i w:val="0"/>
                      <w:iCs w:val="0"/>
                      <w:color w:val="000000"/>
                      <w:kern w:val="0"/>
                      <w:sz w:val="18"/>
                      <w:szCs w:val="18"/>
                      <w:highlight w:val="none"/>
                      <w:u w:val="none"/>
                      <w:lang w:val="en-US" w:eastAsia="zh-CN" w:bidi="ar"/>
                    </w:rPr>
                    <w:t>~0</w:t>
                  </w:r>
                </w:p>
              </w:tc>
              <w:tc>
                <w:tcPr>
                  <w:tcW w:w="340" w:type="pct"/>
                  <w:tcBorders>
                    <w:top w:val="single" w:color="auto" w:sz="4" w:space="0"/>
                    <w:left w:val="single" w:color="auto" w:sz="4" w:space="0"/>
                    <w:right w:val="single" w:color="auto" w:sz="4" w:space="0"/>
                  </w:tcBorders>
                  <w:shd w:val="clear" w:color="auto" w:fill="auto"/>
                  <w:vAlign w:val="center"/>
                </w:tcPr>
                <w:p w14:paraId="7E34E035">
                  <w:pPr>
                    <w:keepNext w:val="0"/>
                    <w:keepLines w:val="0"/>
                    <w:widowControl/>
                    <w:suppressLineNumbers w:val="0"/>
                    <w:spacing w:before="0" w:beforeAutospacing="0" w:after="0" w:afterAutospacing="0"/>
                    <w:ind w:left="0" w:right="0"/>
                    <w:jc w:val="center"/>
                    <w:textAlignment w:val="center"/>
                    <w:rPr>
                      <w:rFonts w:hint="eastAsia" w:ascii="Times New Roman" w:hAnsi="Times New Roman" w:eastAsia="宋体" w:cs="Times New Roman"/>
                      <w:i w:val="0"/>
                      <w:iCs w:val="0"/>
                      <w:color w:val="000000"/>
                      <w:kern w:val="0"/>
                      <w:sz w:val="18"/>
                      <w:szCs w:val="18"/>
                      <w:highlight w:val="none"/>
                      <w:u w:val="none"/>
                      <w:lang w:val="en-US" w:eastAsia="zh-CN" w:bidi="ar"/>
                    </w:rPr>
                  </w:pPr>
                  <w:r>
                    <w:rPr>
                      <w:rFonts w:hint="eastAsia" w:ascii="Times New Roman" w:hAnsi="Times New Roman" w:eastAsia="宋体" w:cs="Times New Roman"/>
                      <w:i w:val="0"/>
                      <w:iCs w:val="0"/>
                      <w:color w:val="000000"/>
                      <w:kern w:val="0"/>
                      <w:sz w:val="18"/>
                      <w:szCs w:val="18"/>
                      <w:highlight w:val="none"/>
                      <w:u w:val="none"/>
                      <w:lang w:val="en-US" w:eastAsia="zh-CN" w:bidi="ar"/>
                    </w:rPr>
                    <w:t>~0</w:t>
                  </w:r>
                </w:p>
              </w:tc>
              <w:tc>
                <w:tcPr>
                  <w:tcW w:w="255" w:type="pct"/>
                  <w:vMerge w:val="restart"/>
                  <w:tcBorders>
                    <w:left w:val="single" w:color="auto" w:sz="4" w:space="0"/>
                    <w:right w:val="single" w:color="auto" w:sz="4" w:space="0"/>
                  </w:tcBorders>
                  <w:vAlign w:val="center"/>
                </w:tcPr>
                <w:p w14:paraId="0FB403FB">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64" w:lineRule="auto"/>
                    <w:ind w:left="0" w:right="0"/>
                    <w:jc w:val="center"/>
                    <w:textAlignment w:val="auto"/>
                    <w:rPr>
                      <w:rFonts w:hint="default"/>
                      <w:bCs/>
                      <w:kern w:val="0"/>
                      <w:sz w:val="18"/>
                      <w:szCs w:val="18"/>
                      <w:highlight w:val="none"/>
                      <w:lang w:val="en-US" w:eastAsia="zh-CN"/>
                    </w:rPr>
                  </w:pPr>
                  <w:r>
                    <w:rPr>
                      <w:rFonts w:hint="eastAsia"/>
                      <w:bCs/>
                      <w:kern w:val="0"/>
                      <w:sz w:val="18"/>
                      <w:szCs w:val="18"/>
                      <w:highlight w:val="none"/>
                      <w:lang w:val="en-US" w:eastAsia="zh-CN"/>
                    </w:rPr>
                    <w:t>8760</w:t>
                  </w:r>
                </w:p>
              </w:tc>
            </w:tr>
            <w:tr w14:paraId="0D6BB77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189" w:hRule="atLeast"/>
                <w:jc w:val="center"/>
              </w:trPr>
              <w:tc>
                <w:tcPr>
                  <w:tcW w:w="271" w:type="pct"/>
                  <w:vMerge w:val="continue"/>
                  <w:tcBorders>
                    <w:left w:val="single" w:color="auto" w:sz="4" w:space="0"/>
                    <w:right w:val="single" w:color="auto" w:sz="4" w:space="0"/>
                  </w:tcBorders>
                  <w:vAlign w:val="center"/>
                </w:tcPr>
                <w:p w14:paraId="14463085">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64" w:lineRule="auto"/>
                    <w:ind w:left="0" w:right="0"/>
                    <w:jc w:val="center"/>
                    <w:textAlignment w:val="auto"/>
                    <w:rPr>
                      <w:rFonts w:hint="eastAsia"/>
                      <w:bCs/>
                      <w:kern w:val="0"/>
                      <w:sz w:val="18"/>
                      <w:szCs w:val="18"/>
                      <w:highlight w:val="none"/>
                      <w:lang w:val="en-US" w:eastAsia="zh-CN"/>
                    </w:rPr>
                  </w:pPr>
                </w:p>
              </w:tc>
              <w:tc>
                <w:tcPr>
                  <w:tcW w:w="331" w:type="pct"/>
                  <w:vMerge w:val="continue"/>
                  <w:tcBorders>
                    <w:left w:val="single" w:color="auto" w:sz="4" w:space="0"/>
                    <w:right w:val="single" w:color="auto" w:sz="4" w:space="0"/>
                  </w:tcBorders>
                  <w:vAlign w:val="center"/>
                </w:tcPr>
                <w:p w14:paraId="0C5B1CF4">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64" w:lineRule="auto"/>
                    <w:ind w:left="0" w:right="0"/>
                    <w:jc w:val="center"/>
                    <w:textAlignment w:val="auto"/>
                    <w:rPr>
                      <w:rFonts w:hint="eastAsia"/>
                      <w:bCs/>
                      <w:kern w:val="0"/>
                      <w:sz w:val="18"/>
                      <w:szCs w:val="18"/>
                      <w:highlight w:val="none"/>
                      <w:lang w:val="en-US" w:eastAsia="zh-CN"/>
                    </w:rPr>
                  </w:pPr>
                </w:p>
              </w:tc>
              <w:tc>
                <w:tcPr>
                  <w:tcW w:w="404" w:type="pct"/>
                  <w:vMerge w:val="continue"/>
                  <w:tcBorders>
                    <w:left w:val="single" w:color="auto" w:sz="4" w:space="0"/>
                    <w:right w:val="single" w:color="auto" w:sz="4" w:space="0"/>
                  </w:tcBorders>
                  <w:shd w:val="clear" w:color="auto" w:fill="auto"/>
                  <w:vAlign w:val="center"/>
                </w:tcPr>
                <w:p w14:paraId="73052AD5">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64" w:lineRule="auto"/>
                    <w:ind w:left="0" w:right="0"/>
                    <w:jc w:val="center"/>
                    <w:textAlignment w:val="auto"/>
                    <w:rPr>
                      <w:rFonts w:hint="eastAsia"/>
                      <w:bCs/>
                      <w:kern w:val="0"/>
                      <w:sz w:val="18"/>
                      <w:szCs w:val="18"/>
                      <w:highlight w:val="none"/>
                      <w:lang w:val="en-US" w:eastAsia="zh-CN"/>
                    </w:rPr>
                  </w:pPr>
                </w:p>
              </w:tc>
              <w:tc>
                <w:tcPr>
                  <w:tcW w:w="593" w:type="pct"/>
                  <w:tcBorders>
                    <w:left w:val="single" w:color="auto" w:sz="4" w:space="0"/>
                    <w:bottom w:val="single" w:color="auto" w:sz="4" w:space="0"/>
                    <w:right w:val="single" w:color="auto" w:sz="4" w:space="0"/>
                  </w:tcBorders>
                  <w:shd w:val="clear" w:color="auto" w:fill="auto"/>
                  <w:vAlign w:val="center"/>
                </w:tcPr>
                <w:p w14:paraId="65F7CCB2">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64" w:lineRule="auto"/>
                    <w:ind w:left="0" w:right="0"/>
                    <w:jc w:val="center"/>
                    <w:textAlignment w:val="auto"/>
                    <w:rPr>
                      <w:rFonts w:hint="eastAsia" w:ascii="Times New Roman" w:hAnsi="Times New Roman" w:eastAsia="宋体" w:cs="Times New Roman"/>
                      <w:bCs/>
                      <w:kern w:val="0"/>
                      <w:sz w:val="18"/>
                      <w:szCs w:val="18"/>
                      <w:highlight w:val="none"/>
                      <w:lang w:val="en-US" w:eastAsia="zh-CN" w:bidi="ar-SA"/>
                    </w:rPr>
                  </w:pPr>
                  <w:r>
                    <w:rPr>
                      <w:rFonts w:hint="default"/>
                      <w:bCs/>
                      <w:kern w:val="0"/>
                      <w:sz w:val="18"/>
                      <w:szCs w:val="18"/>
                      <w:highlight w:val="none"/>
                    </w:rPr>
                    <w:t>硫化氢</w:t>
                  </w:r>
                </w:p>
              </w:tc>
              <w:tc>
                <w:tcPr>
                  <w:tcW w:w="357" w:type="pct"/>
                  <w:tcBorders>
                    <w:top w:val="single" w:color="auto" w:sz="4" w:space="0"/>
                    <w:left w:val="single" w:color="auto" w:sz="4" w:space="0"/>
                    <w:bottom w:val="single" w:color="auto" w:sz="4" w:space="0"/>
                    <w:right w:val="single" w:color="auto" w:sz="4" w:space="0"/>
                  </w:tcBorders>
                  <w:shd w:val="clear" w:color="auto" w:fill="auto"/>
                  <w:vAlign w:val="center"/>
                </w:tcPr>
                <w:p w14:paraId="2C77D43A">
                  <w:pPr>
                    <w:keepNext w:val="0"/>
                    <w:keepLines w:val="0"/>
                    <w:widowControl/>
                    <w:suppressLineNumbers w:val="0"/>
                    <w:spacing w:before="0" w:beforeAutospacing="0" w:after="0" w:afterAutospacing="0"/>
                    <w:ind w:left="0" w:right="0"/>
                    <w:jc w:val="center"/>
                    <w:textAlignment w:val="center"/>
                    <w:rPr>
                      <w:rFonts w:hint="eastAsia" w:ascii="Times New Roman" w:hAnsi="Times New Roman" w:eastAsia="宋体" w:cs="Times New Roman"/>
                      <w:i w:val="0"/>
                      <w:iCs w:val="0"/>
                      <w:color w:val="000000"/>
                      <w:kern w:val="0"/>
                      <w:sz w:val="18"/>
                      <w:szCs w:val="18"/>
                      <w:highlight w:val="none"/>
                      <w:u w:val="none"/>
                      <w:lang w:val="en-US" w:eastAsia="zh-CN" w:bidi="ar"/>
                    </w:rPr>
                  </w:pPr>
                  <w:r>
                    <w:rPr>
                      <w:rFonts w:hint="eastAsia" w:ascii="Times New Roman" w:hAnsi="Times New Roman" w:eastAsia="宋体" w:cs="Times New Roman"/>
                      <w:i w:val="0"/>
                      <w:iCs w:val="0"/>
                      <w:color w:val="000000"/>
                      <w:kern w:val="0"/>
                      <w:sz w:val="18"/>
                      <w:szCs w:val="18"/>
                      <w:highlight w:val="none"/>
                      <w:u w:val="none"/>
                      <w:lang w:val="en-US" w:eastAsia="zh-CN" w:bidi="ar"/>
                    </w:rPr>
                    <w:t xml:space="preserve">0.001 </w:t>
                  </w:r>
                </w:p>
              </w:tc>
              <w:tc>
                <w:tcPr>
                  <w:tcW w:w="357" w:type="pct"/>
                  <w:tcBorders>
                    <w:top w:val="single" w:color="auto" w:sz="4" w:space="0"/>
                    <w:left w:val="single" w:color="auto" w:sz="4" w:space="0"/>
                    <w:bottom w:val="single" w:color="auto" w:sz="4" w:space="0"/>
                    <w:right w:val="single" w:color="auto" w:sz="4" w:space="0"/>
                  </w:tcBorders>
                  <w:shd w:val="clear" w:color="auto" w:fill="auto"/>
                  <w:vAlign w:val="center"/>
                </w:tcPr>
                <w:p w14:paraId="679F6227">
                  <w:pPr>
                    <w:keepNext w:val="0"/>
                    <w:keepLines w:val="0"/>
                    <w:widowControl/>
                    <w:suppressLineNumbers w:val="0"/>
                    <w:spacing w:before="0" w:beforeAutospacing="0" w:after="0" w:afterAutospacing="0"/>
                    <w:ind w:left="0" w:right="0"/>
                    <w:jc w:val="center"/>
                    <w:textAlignment w:val="center"/>
                    <w:rPr>
                      <w:rFonts w:hint="eastAsia" w:ascii="Times New Roman" w:hAnsi="Times New Roman" w:eastAsia="宋体" w:cs="Times New Roman"/>
                      <w:i w:val="0"/>
                      <w:iCs w:val="0"/>
                      <w:color w:val="000000"/>
                      <w:kern w:val="0"/>
                      <w:sz w:val="18"/>
                      <w:szCs w:val="18"/>
                      <w:highlight w:val="none"/>
                      <w:u w:val="none"/>
                      <w:lang w:val="en-US" w:eastAsia="zh-CN" w:bidi="ar"/>
                    </w:rPr>
                  </w:pPr>
                  <w:r>
                    <w:rPr>
                      <w:rFonts w:hint="eastAsia" w:ascii="Times New Roman" w:hAnsi="Times New Roman" w:eastAsia="宋体" w:cs="Times New Roman"/>
                      <w:i w:val="0"/>
                      <w:iCs w:val="0"/>
                      <w:color w:val="000000"/>
                      <w:kern w:val="0"/>
                      <w:sz w:val="18"/>
                      <w:szCs w:val="18"/>
                      <w:highlight w:val="none"/>
                      <w:u w:val="none"/>
                      <w:lang w:val="en-US" w:eastAsia="zh-CN" w:bidi="ar"/>
                    </w:rPr>
                    <w:t>~0</w:t>
                  </w:r>
                </w:p>
              </w:tc>
              <w:tc>
                <w:tcPr>
                  <w:tcW w:w="404" w:type="pct"/>
                  <w:tcBorders>
                    <w:top w:val="single" w:color="auto" w:sz="4" w:space="0"/>
                    <w:left w:val="single" w:color="auto" w:sz="4" w:space="0"/>
                    <w:right w:val="single" w:color="auto" w:sz="4" w:space="0"/>
                  </w:tcBorders>
                  <w:shd w:val="clear" w:color="auto" w:fill="auto"/>
                  <w:vAlign w:val="center"/>
                </w:tcPr>
                <w:p w14:paraId="7468F500">
                  <w:pPr>
                    <w:keepNext w:val="0"/>
                    <w:keepLines w:val="0"/>
                    <w:widowControl/>
                    <w:suppressLineNumbers w:val="0"/>
                    <w:spacing w:before="0" w:beforeAutospacing="0" w:after="0" w:afterAutospacing="0"/>
                    <w:ind w:left="0" w:right="0"/>
                    <w:jc w:val="center"/>
                    <w:textAlignment w:val="center"/>
                    <w:rPr>
                      <w:rFonts w:hint="eastAsia" w:ascii="Times New Roman" w:hAnsi="Times New Roman" w:eastAsia="宋体" w:cs="Times New Roman"/>
                      <w:i w:val="0"/>
                      <w:iCs w:val="0"/>
                      <w:color w:val="000000"/>
                      <w:kern w:val="0"/>
                      <w:sz w:val="18"/>
                      <w:szCs w:val="18"/>
                      <w:highlight w:val="none"/>
                      <w:u w:val="none"/>
                      <w:lang w:val="en-US" w:eastAsia="zh-CN" w:bidi="ar"/>
                    </w:rPr>
                  </w:pPr>
                  <w:r>
                    <w:rPr>
                      <w:rFonts w:hint="eastAsia" w:ascii="Times New Roman" w:hAnsi="Times New Roman" w:eastAsia="宋体" w:cs="Times New Roman"/>
                      <w:i w:val="0"/>
                      <w:iCs w:val="0"/>
                      <w:color w:val="000000"/>
                      <w:kern w:val="0"/>
                      <w:sz w:val="18"/>
                      <w:szCs w:val="18"/>
                      <w:highlight w:val="none"/>
                      <w:u w:val="none"/>
                      <w:lang w:val="en-US" w:eastAsia="zh-CN" w:bidi="ar"/>
                    </w:rPr>
                    <w:t>~0</w:t>
                  </w:r>
                </w:p>
              </w:tc>
              <w:tc>
                <w:tcPr>
                  <w:tcW w:w="383" w:type="pct"/>
                  <w:vMerge w:val="continue"/>
                  <w:tcBorders>
                    <w:left w:val="single" w:color="auto" w:sz="4" w:space="0"/>
                    <w:right w:val="single" w:color="auto" w:sz="4" w:space="0"/>
                  </w:tcBorders>
                  <w:shd w:val="clear" w:color="auto" w:fill="auto"/>
                  <w:vAlign w:val="center"/>
                </w:tcPr>
                <w:p w14:paraId="2277F543">
                  <w:pPr>
                    <w:keepNext w:val="0"/>
                    <w:keepLines w:val="0"/>
                    <w:widowControl/>
                    <w:suppressLineNumbers w:val="0"/>
                    <w:spacing w:before="0" w:beforeAutospacing="0" w:after="0" w:afterAutospacing="0" w:line="280" w:lineRule="exact"/>
                    <w:ind w:left="0" w:right="0"/>
                    <w:jc w:val="center"/>
                    <w:textAlignment w:val="center"/>
                    <w:rPr>
                      <w:rFonts w:hint="eastAsia"/>
                      <w:snapToGrid w:val="0"/>
                      <w:sz w:val="18"/>
                      <w:szCs w:val="18"/>
                      <w:highlight w:val="none"/>
                      <w:lang w:val="en-US" w:eastAsia="zh-CN"/>
                    </w:rPr>
                  </w:pPr>
                </w:p>
              </w:tc>
              <w:tc>
                <w:tcPr>
                  <w:tcW w:w="240" w:type="pct"/>
                  <w:tcBorders>
                    <w:left w:val="single" w:color="auto" w:sz="4" w:space="0"/>
                    <w:right w:val="single" w:color="auto" w:sz="4" w:space="0"/>
                  </w:tcBorders>
                  <w:shd w:val="clear" w:color="auto" w:fill="auto"/>
                  <w:vAlign w:val="center"/>
                </w:tcPr>
                <w:p w14:paraId="3FB9984A">
                  <w:pPr>
                    <w:keepNext w:val="0"/>
                    <w:keepLines w:val="0"/>
                    <w:widowControl/>
                    <w:suppressLineNumbers w:val="0"/>
                    <w:spacing w:before="0" w:beforeAutospacing="0" w:after="0" w:afterAutospacing="0" w:line="280" w:lineRule="exact"/>
                    <w:ind w:left="0" w:right="0"/>
                    <w:jc w:val="center"/>
                    <w:textAlignment w:val="center"/>
                    <w:rPr>
                      <w:rFonts w:hint="eastAsia"/>
                      <w:bCs/>
                      <w:kern w:val="0"/>
                      <w:sz w:val="18"/>
                      <w:szCs w:val="18"/>
                      <w:highlight w:val="none"/>
                      <w:lang w:val="en-US" w:eastAsia="zh-CN"/>
                    </w:rPr>
                  </w:pPr>
                  <w:r>
                    <w:rPr>
                      <w:rFonts w:hint="eastAsia"/>
                      <w:bCs/>
                      <w:kern w:val="0"/>
                      <w:sz w:val="18"/>
                      <w:szCs w:val="18"/>
                      <w:highlight w:val="none"/>
                      <w:lang w:val="en-US" w:eastAsia="zh-CN"/>
                    </w:rPr>
                    <w:t>/</w:t>
                  </w:r>
                </w:p>
              </w:tc>
              <w:tc>
                <w:tcPr>
                  <w:tcW w:w="317" w:type="pct"/>
                  <w:vMerge w:val="continue"/>
                  <w:tcBorders>
                    <w:left w:val="single" w:color="auto" w:sz="4" w:space="0"/>
                    <w:right w:val="single" w:color="auto" w:sz="4" w:space="0"/>
                  </w:tcBorders>
                  <w:shd w:val="clear" w:color="auto" w:fill="auto"/>
                  <w:vAlign w:val="center"/>
                </w:tcPr>
                <w:p w14:paraId="60D40ECD">
                  <w:pPr>
                    <w:keepNext w:val="0"/>
                    <w:keepLines w:val="0"/>
                    <w:widowControl/>
                    <w:suppressLineNumbers w:val="0"/>
                    <w:spacing w:before="0" w:beforeAutospacing="0" w:after="0" w:afterAutospacing="0" w:line="280" w:lineRule="exact"/>
                    <w:ind w:left="0" w:right="0"/>
                    <w:jc w:val="center"/>
                    <w:textAlignment w:val="center"/>
                    <w:rPr>
                      <w:rFonts w:hint="eastAsia" w:cs="Times New Roman"/>
                      <w:b w:val="0"/>
                      <w:bCs w:val="0"/>
                      <w:kern w:val="2"/>
                      <w:sz w:val="18"/>
                      <w:szCs w:val="18"/>
                      <w:highlight w:val="none"/>
                      <w:lang w:val="en-US" w:eastAsia="zh-CN" w:bidi="ar"/>
                    </w:rPr>
                  </w:pPr>
                </w:p>
              </w:tc>
              <w:tc>
                <w:tcPr>
                  <w:tcW w:w="380" w:type="pct"/>
                  <w:tcBorders>
                    <w:top w:val="single" w:color="auto" w:sz="4" w:space="0"/>
                    <w:left w:val="single" w:color="auto" w:sz="4" w:space="0"/>
                    <w:right w:val="single" w:color="auto" w:sz="4" w:space="0"/>
                  </w:tcBorders>
                  <w:shd w:val="clear" w:color="auto" w:fill="auto"/>
                  <w:vAlign w:val="center"/>
                </w:tcPr>
                <w:p w14:paraId="363A4F80">
                  <w:pPr>
                    <w:keepNext w:val="0"/>
                    <w:keepLines w:val="0"/>
                    <w:widowControl/>
                    <w:suppressLineNumbers w:val="0"/>
                    <w:spacing w:before="0" w:beforeAutospacing="0" w:after="0" w:afterAutospacing="0"/>
                    <w:ind w:left="0" w:right="0"/>
                    <w:jc w:val="center"/>
                    <w:textAlignment w:val="center"/>
                    <w:rPr>
                      <w:rFonts w:hint="eastAsia" w:ascii="Times New Roman" w:hAnsi="Times New Roman" w:eastAsia="宋体" w:cs="Times New Roman"/>
                      <w:i w:val="0"/>
                      <w:iCs w:val="0"/>
                      <w:color w:val="000000"/>
                      <w:kern w:val="0"/>
                      <w:sz w:val="18"/>
                      <w:szCs w:val="18"/>
                      <w:highlight w:val="none"/>
                      <w:u w:val="none"/>
                      <w:lang w:val="en-US" w:eastAsia="zh-CN" w:bidi="ar"/>
                    </w:rPr>
                  </w:pPr>
                  <w:r>
                    <w:rPr>
                      <w:rFonts w:hint="eastAsia" w:ascii="Times New Roman" w:hAnsi="Times New Roman" w:eastAsia="宋体" w:cs="Times New Roman"/>
                      <w:i w:val="0"/>
                      <w:iCs w:val="0"/>
                      <w:color w:val="000000"/>
                      <w:kern w:val="0"/>
                      <w:sz w:val="18"/>
                      <w:szCs w:val="18"/>
                      <w:highlight w:val="none"/>
                      <w:u w:val="none"/>
                      <w:lang w:val="en-US" w:eastAsia="zh-CN" w:bidi="ar"/>
                    </w:rPr>
                    <w:t xml:space="preserve">0.001 </w:t>
                  </w:r>
                </w:p>
              </w:tc>
              <w:tc>
                <w:tcPr>
                  <w:tcW w:w="362" w:type="pct"/>
                  <w:tcBorders>
                    <w:top w:val="single" w:color="auto" w:sz="4" w:space="0"/>
                    <w:left w:val="single" w:color="auto" w:sz="4" w:space="0"/>
                    <w:right w:val="single" w:color="auto" w:sz="4" w:space="0"/>
                  </w:tcBorders>
                  <w:shd w:val="clear" w:color="auto" w:fill="auto"/>
                  <w:vAlign w:val="center"/>
                </w:tcPr>
                <w:p w14:paraId="4B387B16">
                  <w:pPr>
                    <w:keepNext w:val="0"/>
                    <w:keepLines w:val="0"/>
                    <w:widowControl/>
                    <w:suppressLineNumbers w:val="0"/>
                    <w:spacing w:before="0" w:beforeAutospacing="0" w:after="0" w:afterAutospacing="0"/>
                    <w:ind w:left="0" w:right="0"/>
                    <w:jc w:val="center"/>
                    <w:textAlignment w:val="center"/>
                    <w:rPr>
                      <w:rFonts w:hint="eastAsia" w:ascii="Times New Roman" w:hAnsi="Times New Roman" w:eastAsia="宋体" w:cs="Times New Roman"/>
                      <w:i w:val="0"/>
                      <w:iCs w:val="0"/>
                      <w:color w:val="000000"/>
                      <w:kern w:val="0"/>
                      <w:sz w:val="18"/>
                      <w:szCs w:val="18"/>
                      <w:highlight w:val="none"/>
                      <w:u w:val="none"/>
                      <w:lang w:val="en-US" w:eastAsia="zh-CN" w:bidi="ar"/>
                    </w:rPr>
                  </w:pPr>
                  <w:r>
                    <w:rPr>
                      <w:rFonts w:hint="eastAsia" w:ascii="Times New Roman" w:hAnsi="Times New Roman" w:eastAsia="宋体" w:cs="Times New Roman"/>
                      <w:i w:val="0"/>
                      <w:iCs w:val="0"/>
                      <w:color w:val="000000"/>
                      <w:kern w:val="0"/>
                      <w:sz w:val="18"/>
                      <w:szCs w:val="18"/>
                      <w:highlight w:val="none"/>
                      <w:u w:val="none"/>
                      <w:lang w:val="en-US" w:eastAsia="zh-CN" w:bidi="ar"/>
                    </w:rPr>
                    <w:t>~0</w:t>
                  </w:r>
                </w:p>
              </w:tc>
              <w:tc>
                <w:tcPr>
                  <w:tcW w:w="340" w:type="pct"/>
                  <w:tcBorders>
                    <w:top w:val="single" w:color="auto" w:sz="4" w:space="0"/>
                    <w:left w:val="single" w:color="auto" w:sz="4" w:space="0"/>
                    <w:right w:val="single" w:color="auto" w:sz="4" w:space="0"/>
                  </w:tcBorders>
                  <w:shd w:val="clear" w:color="auto" w:fill="auto"/>
                  <w:vAlign w:val="center"/>
                </w:tcPr>
                <w:p w14:paraId="524732A1">
                  <w:pPr>
                    <w:keepNext w:val="0"/>
                    <w:keepLines w:val="0"/>
                    <w:widowControl/>
                    <w:suppressLineNumbers w:val="0"/>
                    <w:spacing w:before="0" w:beforeAutospacing="0" w:after="0" w:afterAutospacing="0"/>
                    <w:ind w:left="0" w:right="0"/>
                    <w:jc w:val="center"/>
                    <w:textAlignment w:val="center"/>
                    <w:rPr>
                      <w:rFonts w:hint="eastAsia" w:ascii="Times New Roman" w:hAnsi="Times New Roman" w:eastAsia="宋体" w:cs="Times New Roman"/>
                      <w:i w:val="0"/>
                      <w:iCs w:val="0"/>
                      <w:color w:val="000000"/>
                      <w:kern w:val="0"/>
                      <w:sz w:val="18"/>
                      <w:szCs w:val="18"/>
                      <w:highlight w:val="none"/>
                      <w:u w:val="none"/>
                      <w:lang w:val="en-US" w:eastAsia="zh-CN" w:bidi="ar"/>
                    </w:rPr>
                  </w:pPr>
                  <w:r>
                    <w:rPr>
                      <w:rFonts w:hint="eastAsia" w:ascii="Times New Roman" w:hAnsi="Times New Roman" w:eastAsia="宋体" w:cs="Times New Roman"/>
                      <w:i w:val="0"/>
                      <w:iCs w:val="0"/>
                      <w:color w:val="000000"/>
                      <w:kern w:val="0"/>
                      <w:sz w:val="18"/>
                      <w:szCs w:val="18"/>
                      <w:highlight w:val="none"/>
                      <w:u w:val="none"/>
                      <w:lang w:val="en-US" w:eastAsia="zh-CN" w:bidi="ar"/>
                    </w:rPr>
                    <w:t>~0</w:t>
                  </w:r>
                </w:p>
              </w:tc>
              <w:tc>
                <w:tcPr>
                  <w:tcW w:w="255" w:type="pct"/>
                  <w:vMerge w:val="continue"/>
                  <w:tcBorders>
                    <w:left w:val="single" w:color="auto" w:sz="4" w:space="0"/>
                    <w:right w:val="single" w:color="auto" w:sz="4" w:space="0"/>
                  </w:tcBorders>
                  <w:vAlign w:val="center"/>
                </w:tcPr>
                <w:p w14:paraId="7D0EE61F">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64" w:lineRule="auto"/>
                    <w:ind w:left="0" w:right="0"/>
                    <w:jc w:val="center"/>
                    <w:textAlignment w:val="auto"/>
                    <w:rPr>
                      <w:rFonts w:hint="eastAsia"/>
                      <w:bCs/>
                      <w:kern w:val="0"/>
                      <w:sz w:val="18"/>
                      <w:szCs w:val="18"/>
                      <w:highlight w:val="none"/>
                      <w:lang w:val="en-US" w:eastAsia="zh-CN"/>
                    </w:rPr>
                  </w:pPr>
                </w:p>
              </w:tc>
            </w:tr>
            <w:tr w14:paraId="0E2D7ED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189" w:hRule="atLeast"/>
                <w:jc w:val="center"/>
              </w:trPr>
              <w:tc>
                <w:tcPr>
                  <w:tcW w:w="271" w:type="pct"/>
                  <w:vMerge w:val="continue"/>
                  <w:tcBorders>
                    <w:left w:val="single" w:color="auto" w:sz="4" w:space="0"/>
                    <w:right w:val="single" w:color="auto" w:sz="4" w:space="0"/>
                  </w:tcBorders>
                  <w:vAlign w:val="center"/>
                </w:tcPr>
                <w:p w14:paraId="2F9D8018">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64" w:lineRule="auto"/>
                    <w:ind w:left="0" w:right="0"/>
                    <w:jc w:val="center"/>
                    <w:textAlignment w:val="auto"/>
                    <w:rPr>
                      <w:rFonts w:hint="eastAsia"/>
                      <w:bCs/>
                      <w:kern w:val="0"/>
                      <w:sz w:val="18"/>
                      <w:szCs w:val="18"/>
                      <w:highlight w:val="none"/>
                      <w:lang w:val="en-US" w:eastAsia="zh-CN"/>
                    </w:rPr>
                  </w:pPr>
                </w:p>
              </w:tc>
              <w:tc>
                <w:tcPr>
                  <w:tcW w:w="331" w:type="pct"/>
                  <w:vMerge w:val="continue"/>
                  <w:tcBorders>
                    <w:left w:val="single" w:color="auto" w:sz="4" w:space="0"/>
                    <w:right w:val="single" w:color="auto" w:sz="4" w:space="0"/>
                  </w:tcBorders>
                  <w:vAlign w:val="center"/>
                </w:tcPr>
                <w:p w14:paraId="4F638E55">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64" w:lineRule="auto"/>
                    <w:ind w:left="0" w:right="0"/>
                    <w:jc w:val="center"/>
                    <w:textAlignment w:val="auto"/>
                    <w:rPr>
                      <w:rFonts w:hint="eastAsia"/>
                      <w:bCs/>
                      <w:kern w:val="0"/>
                      <w:sz w:val="18"/>
                      <w:szCs w:val="18"/>
                      <w:highlight w:val="none"/>
                      <w:lang w:val="en-US" w:eastAsia="zh-CN"/>
                    </w:rPr>
                  </w:pPr>
                </w:p>
              </w:tc>
              <w:tc>
                <w:tcPr>
                  <w:tcW w:w="404" w:type="pct"/>
                  <w:vMerge w:val="continue"/>
                  <w:tcBorders>
                    <w:left w:val="single" w:color="auto" w:sz="4" w:space="0"/>
                    <w:right w:val="single" w:color="auto" w:sz="4" w:space="0"/>
                  </w:tcBorders>
                  <w:shd w:val="clear" w:color="auto" w:fill="auto"/>
                  <w:vAlign w:val="center"/>
                </w:tcPr>
                <w:p w14:paraId="1D68D5C0">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64" w:lineRule="auto"/>
                    <w:ind w:left="0" w:right="0"/>
                    <w:jc w:val="center"/>
                    <w:textAlignment w:val="auto"/>
                    <w:rPr>
                      <w:rFonts w:hint="eastAsia"/>
                      <w:bCs/>
                      <w:kern w:val="0"/>
                      <w:sz w:val="18"/>
                      <w:szCs w:val="18"/>
                      <w:highlight w:val="none"/>
                      <w:lang w:val="en-US" w:eastAsia="zh-CN"/>
                    </w:rPr>
                  </w:pPr>
                </w:p>
              </w:tc>
              <w:tc>
                <w:tcPr>
                  <w:tcW w:w="593" w:type="pct"/>
                  <w:tcBorders>
                    <w:left w:val="single" w:color="auto" w:sz="4" w:space="0"/>
                    <w:bottom w:val="single" w:color="auto" w:sz="4" w:space="0"/>
                    <w:right w:val="single" w:color="auto" w:sz="4" w:space="0"/>
                  </w:tcBorders>
                  <w:shd w:val="clear" w:color="auto" w:fill="auto"/>
                  <w:vAlign w:val="center"/>
                </w:tcPr>
                <w:p w14:paraId="4D4B0393">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64" w:lineRule="auto"/>
                    <w:ind w:left="0" w:right="0"/>
                    <w:jc w:val="center"/>
                    <w:textAlignment w:val="auto"/>
                    <w:rPr>
                      <w:rFonts w:hint="eastAsia" w:ascii="Times New Roman" w:hAnsi="Times New Roman" w:eastAsia="宋体" w:cs="Times New Roman"/>
                      <w:bCs/>
                      <w:kern w:val="0"/>
                      <w:sz w:val="18"/>
                      <w:szCs w:val="18"/>
                      <w:highlight w:val="none"/>
                      <w:lang w:val="en-US" w:eastAsia="zh-CN" w:bidi="ar-SA"/>
                    </w:rPr>
                  </w:pPr>
                  <w:r>
                    <w:rPr>
                      <w:rFonts w:hint="default"/>
                      <w:bCs/>
                      <w:kern w:val="0"/>
                      <w:sz w:val="18"/>
                      <w:szCs w:val="18"/>
                      <w:highlight w:val="none"/>
                    </w:rPr>
                    <w:t>臭气浓度</w:t>
                  </w:r>
                </w:p>
              </w:tc>
              <w:tc>
                <w:tcPr>
                  <w:tcW w:w="1119" w:type="pct"/>
                  <w:gridSpan w:val="3"/>
                  <w:tcBorders>
                    <w:top w:val="single" w:color="auto" w:sz="4" w:space="0"/>
                    <w:left w:val="single" w:color="auto" w:sz="4" w:space="0"/>
                    <w:bottom w:val="single" w:color="auto" w:sz="4" w:space="0"/>
                    <w:right w:val="single" w:color="auto" w:sz="4" w:space="0"/>
                  </w:tcBorders>
                  <w:shd w:val="clear" w:color="auto" w:fill="auto"/>
                  <w:vAlign w:val="center"/>
                </w:tcPr>
                <w:p w14:paraId="3BDC1AB0">
                  <w:pPr>
                    <w:keepNext w:val="0"/>
                    <w:keepLines w:val="0"/>
                    <w:widowControl/>
                    <w:suppressLineNumbers w:val="0"/>
                    <w:spacing w:before="0" w:beforeAutospacing="0" w:after="0" w:afterAutospacing="0"/>
                    <w:ind w:left="0" w:right="0"/>
                    <w:jc w:val="center"/>
                    <w:textAlignment w:val="center"/>
                    <w:rPr>
                      <w:rFonts w:hint="eastAsia" w:ascii="Times New Roman" w:hAnsi="Times New Roman" w:eastAsia="宋体" w:cs="Times New Roman"/>
                      <w:i w:val="0"/>
                      <w:iCs w:val="0"/>
                      <w:color w:val="000000"/>
                      <w:kern w:val="0"/>
                      <w:sz w:val="18"/>
                      <w:szCs w:val="18"/>
                      <w:highlight w:val="none"/>
                      <w:u w:val="none"/>
                      <w:lang w:val="en-US" w:eastAsia="zh-CN" w:bidi="ar"/>
                    </w:rPr>
                  </w:pPr>
                  <w:r>
                    <w:rPr>
                      <w:rFonts w:hint="eastAsia"/>
                      <w:bCs/>
                      <w:kern w:val="0"/>
                      <w:sz w:val="18"/>
                      <w:szCs w:val="18"/>
                      <w:highlight w:val="none"/>
                      <w:lang w:val="en-US" w:eastAsia="zh-CN"/>
                    </w:rPr>
                    <w:t>1318（无量纲）</w:t>
                  </w:r>
                </w:p>
              </w:tc>
              <w:tc>
                <w:tcPr>
                  <w:tcW w:w="383" w:type="pct"/>
                  <w:vMerge w:val="continue"/>
                  <w:tcBorders>
                    <w:left w:val="single" w:color="auto" w:sz="4" w:space="0"/>
                    <w:right w:val="single" w:color="auto" w:sz="4" w:space="0"/>
                  </w:tcBorders>
                  <w:shd w:val="clear" w:color="auto" w:fill="auto"/>
                  <w:vAlign w:val="center"/>
                </w:tcPr>
                <w:p w14:paraId="4D1B7614">
                  <w:pPr>
                    <w:keepNext w:val="0"/>
                    <w:keepLines w:val="0"/>
                    <w:widowControl/>
                    <w:suppressLineNumbers w:val="0"/>
                    <w:spacing w:before="0" w:beforeAutospacing="0" w:after="0" w:afterAutospacing="0" w:line="280" w:lineRule="exact"/>
                    <w:ind w:left="0" w:right="0"/>
                    <w:jc w:val="center"/>
                    <w:textAlignment w:val="center"/>
                    <w:rPr>
                      <w:rFonts w:hint="eastAsia"/>
                      <w:snapToGrid w:val="0"/>
                      <w:sz w:val="18"/>
                      <w:szCs w:val="18"/>
                      <w:highlight w:val="none"/>
                      <w:lang w:val="en-US" w:eastAsia="zh-CN"/>
                    </w:rPr>
                  </w:pPr>
                </w:p>
              </w:tc>
              <w:tc>
                <w:tcPr>
                  <w:tcW w:w="240" w:type="pct"/>
                  <w:tcBorders>
                    <w:left w:val="single" w:color="auto" w:sz="4" w:space="0"/>
                    <w:right w:val="single" w:color="auto" w:sz="4" w:space="0"/>
                  </w:tcBorders>
                  <w:shd w:val="clear" w:color="auto" w:fill="auto"/>
                  <w:vAlign w:val="center"/>
                </w:tcPr>
                <w:p w14:paraId="6282DF92">
                  <w:pPr>
                    <w:keepNext w:val="0"/>
                    <w:keepLines w:val="0"/>
                    <w:widowControl/>
                    <w:suppressLineNumbers w:val="0"/>
                    <w:spacing w:before="0" w:beforeAutospacing="0" w:after="0" w:afterAutospacing="0" w:line="280" w:lineRule="exact"/>
                    <w:ind w:left="0" w:right="0"/>
                    <w:jc w:val="center"/>
                    <w:textAlignment w:val="center"/>
                    <w:rPr>
                      <w:rFonts w:hint="eastAsia"/>
                      <w:bCs/>
                      <w:kern w:val="0"/>
                      <w:sz w:val="18"/>
                      <w:szCs w:val="18"/>
                      <w:highlight w:val="none"/>
                      <w:lang w:val="en-US" w:eastAsia="zh-CN"/>
                    </w:rPr>
                  </w:pPr>
                  <w:r>
                    <w:rPr>
                      <w:rFonts w:hint="eastAsia"/>
                      <w:bCs/>
                      <w:color w:val="auto"/>
                      <w:kern w:val="0"/>
                      <w:sz w:val="18"/>
                      <w:szCs w:val="18"/>
                      <w:highlight w:val="none"/>
                      <w:lang w:val="en-US" w:eastAsia="zh-CN"/>
                    </w:rPr>
                    <w:t>58.3</w:t>
                  </w:r>
                </w:p>
              </w:tc>
              <w:tc>
                <w:tcPr>
                  <w:tcW w:w="317" w:type="pct"/>
                  <w:vMerge w:val="continue"/>
                  <w:tcBorders>
                    <w:left w:val="single" w:color="auto" w:sz="4" w:space="0"/>
                    <w:right w:val="single" w:color="auto" w:sz="4" w:space="0"/>
                  </w:tcBorders>
                  <w:shd w:val="clear" w:color="auto" w:fill="auto"/>
                  <w:vAlign w:val="center"/>
                </w:tcPr>
                <w:p w14:paraId="1A7B858D">
                  <w:pPr>
                    <w:keepNext w:val="0"/>
                    <w:keepLines w:val="0"/>
                    <w:widowControl/>
                    <w:suppressLineNumbers w:val="0"/>
                    <w:spacing w:before="0" w:beforeAutospacing="0" w:after="0" w:afterAutospacing="0" w:line="280" w:lineRule="exact"/>
                    <w:ind w:left="0" w:right="0"/>
                    <w:jc w:val="center"/>
                    <w:textAlignment w:val="center"/>
                    <w:rPr>
                      <w:rFonts w:hint="eastAsia" w:cs="Times New Roman"/>
                      <w:b w:val="0"/>
                      <w:bCs w:val="0"/>
                      <w:kern w:val="2"/>
                      <w:sz w:val="18"/>
                      <w:szCs w:val="18"/>
                      <w:highlight w:val="none"/>
                      <w:lang w:val="en-US" w:eastAsia="zh-CN" w:bidi="ar"/>
                    </w:rPr>
                  </w:pPr>
                </w:p>
              </w:tc>
              <w:tc>
                <w:tcPr>
                  <w:tcW w:w="1083" w:type="pct"/>
                  <w:gridSpan w:val="3"/>
                  <w:tcBorders>
                    <w:top w:val="single" w:color="auto" w:sz="4" w:space="0"/>
                    <w:left w:val="single" w:color="auto" w:sz="4" w:space="0"/>
                    <w:right w:val="single" w:color="auto" w:sz="4" w:space="0"/>
                  </w:tcBorders>
                  <w:shd w:val="clear" w:color="auto" w:fill="auto"/>
                  <w:vAlign w:val="center"/>
                </w:tcPr>
                <w:p w14:paraId="24AE340A">
                  <w:pPr>
                    <w:keepNext w:val="0"/>
                    <w:keepLines w:val="0"/>
                    <w:suppressLineNumbers w:val="0"/>
                    <w:spacing w:before="0" w:beforeAutospacing="0" w:after="0" w:afterAutospacing="0"/>
                    <w:ind w:left="0" w:right="0"/>
                    <w:jc w:val="center"/>
                    <w:rPr>
                      <w:rFonts w:hint="eastAsia" w:cs="Times New Roman"/>
                      <w:color w:val="auto"/>
                      <w:kern w:val="2"/>
                      <w:sz w:val="18"/>
                      <w:szCs w:val="18"/>
                      <w:highlight w:val="none"/>
                      <w:lang w:val="en-US" w:eastAsia="zh-CN" w:bidi="ar-SA"/>
                    </w:rPr>
                  </w:pPr>
                  <w:r>
                    <w:rPr>
                      <w:rFonts w:hint="eastAsia"/>
                      <w:bCs/>
                      <w:kern w:val="0"/>
                      <w:sz w:val="18"/>
                      <w:szCs w:val="18"/>
                      <w:highlight w:val="none"/>
                      <w:lang w:val="en-US" w:eastAsia="zh-CN"/>
                    </w:rPr>
                    <w:t>549（无量纲）</w:t>
                  </w:r>
                </w:p>
              </w:tc>
              <w:tc>
                <w:tcPr>
                  <w:tcW w:w="255" w:type="pct"/>
                  <w:vMerge w:val="continue"/>
                  <w:tcBorders>
                    <w:left w:val="single" w:color="auto" w:sz="4" w:space="0"/>
                    <w:right w:val="single" w:color="auto" w:sz="4" w:space="0"/>
                  </w:tcBorders>
                  <w:vAlign w:val="center"/>
                </w:tcPr>
                <w:p w14:paraId="57DF4B3A">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64" w:lineRule="auto"/>
                    <w:ind w:left="0" w:right="0"/>
                    <w:jc w:val="center"/>
                    <w:textAlignment w:val="auto"/>
                    <w:rPr>
                      <w:rFonts w:hint="eastAsia"/>
                      <w:bCs/>
                      <w:kern w:val="0"/>
                      <w:sz w:val="18"/>
                      <w:szCs w:val="18"/>
                      <w:highlight w:val="none"/>
                      <w:lang w:val="en-US" w:eastAsia="zh-CN"/>
                    </w:rPr>
                  </w:pPr>
                </w:p>
              </w:tc>
            </w:tr>
            <w:tr w14:paraId="3D0BC38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189" w:hRule="atLeast"/>
                <w:jc w:val="center"/>
              </w:trPr>
              <w:tc>
                <w:tcPr>
                  <w:tcW w:w="1007" w:type="pct"/>
                  <w:gridSpan w:val="3"/>
                  <w:vMerge w:val="restart"/>
                  <w:tcBorders>
                    <w:left w:val="single" w:color="auto" w:sz="4" w:space="0"/>
                    <w:right w:val="single" w:color="auto" w:sz="4" w:space="0"/>
                  </w:tcBorders>
                  <w:vAlign w:val="center"/>
                </w:tcPr>
                <w:p w14:paraId="683EBDFB">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64" w:lineRule="auto"/>
                    <w:ind w:left="0" w:right="0"/>
                    <w:jc w:val="center"/>
                    <w:textAlignment w:val="auto"/>
                    <w:rPr>
                      <w:rFonts w:hint="default"/>
                      <w:bCs/>
                      <w:kern w:val="0"/>
                      <w:sz w:val="18"/>
                      <w:szCs w:val="18"/>
                      <w:highlight w:val="none"/>
                      <w:lang w:val="en-US" w:eastAsia="zh-CN"/>
                    </w:rPr>
                  </w:pPr>
                  <w:r>
                    <w:rPr>
                      <w:rFonts w:hint="eastAsia"/>
                      <w:b/>
                      <w:bCs w:val="0"/>
                      <w:kern w:val="0"/>
                      <w:sz w:val="18"/>
                      <w:szCs w:val="18"/>
                      <w:highlight w:val="none"/>
                      <w:lang w:val="en-US" w:eastAsia="zh-CN"/>
                    </w:rPr>
                    <w:t>等效排气筒1</w:t>
                  </w:r>
                </w:p>
              </w:tc>
              <w:tc>
                <w:tcPr>
                  <w:tcW w:w="593" w:type="pct"/>
                  <w:tcBorders>
                    <w:left w:val="single" w:color="auto" w:sz="4" w:space="0"/>
                    <w:bottom w:val="single" w:color="auto" w:sz="4" w:space="0"/>
                    <w:right w:val="single" w:color="auto" w:sz="4" w:space="0"/>
                  </w:tcBorders>
                  <w:shd w:val="clear" w:color="auto" w:fill="auto"/>
                  <w:vAlign w:val="center"/>
                </w:tcPr>
                <w:p w14:paraId="3F3AF02D">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64" w:lineRule="auto"/>
                    <w:ind w:left="0" w:right="0"/>
                    <w:jc w:val="center"/>
                    <w:textAlignment w:val="auto"/>
                    <w:rPr>
                      <w:rFonts w:hint="eastAsia"/>
                      <w:b/>
                      <w:bCs w:val="0"/>
                      <w:kern w:val="0"/>
                      <w:sz w:val="18"/>
                      <w:szCs w:val="18"/>
                      <w:highlight w:val="none"/>
                      <w:lang w:val="en-US" w:eastAsia="zh-CN"/>
                    </w:rPr>
                  </w:pPr>
                  <w:r>
                    <w:rPr>
                      <w:rFonts w:hint="default"/>
                      <w:b/>
                      <w:bCs w:val="0"/>
                      <w:kern w:val="0"/>
                      <w:sz w:val="18"/>
                      <w:szCs w:val="18"/>
                      <w:highlight w:val="none"/>
                    </w:rPr>
                    <w:t>氨</w:t>
                  </w:r>
                </w:p>
              </w:tc>
              <w:tc>
                <w:tcPr>
                  <w:tcW w:w="357" w:type="pct"/>
                  <w:tcBorders>
                    <w:top w:val="single" w:color="auto" w:sz="4" w:space="0"/>
                    <w:left w:val="single" w:color="auto" w:sz="4" w:space="0"/>
                    <w:bottom w:val="single" w:color="auto" w:sz="4" w:space="0"/>
                    <w:right w:val="single" w:color="auto" w:sz="4" w:space="0"/>
                  </w:tcBorders>
                  <w:shd w:val="clear" w:color="auto" w:fill="auto"/>
                  <w:vAlign w:val="center"/>
                </w:tcPr>
                <w:p w14:paraId="68EDD7AC">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64" w:lineRule="auto"/>
                    <w:ind w:left="0" w:right="0"/>
                    <w:jc w:val="center"/>
                    <w:textAlignment w:val="auto"/>
                    <w:rPr>
                      <w:rFonts w:hint="default" w:ascii="Times New Roman" w:hAnsi="Times New Roman" w:eastAsia="宋体" w:cs="Times New Roman"/>
                      <w:b/>
                      <w:bCs w:val="0"/>
                      <w:kern w:val="0"/>
                      <w:sz w:val="18"/>
                      <w:szCs w:val="18"/>
                      <w:highlight w:val="none"/>
                      <w:lang w:val="en-US" w:eastAsia="zh-CN"/>
                    </w:rPr>
                  </w:pPr>
                  <w:r>
                    <w:rPr>
                      <w:rFonts w:hint="eastAsia" w:ascii="Times New Roman" w:hAnsi="Times New Roman" w:eastAsia="宋体" w:cs="Times New Roman"/>
                      <w:b/>
                      <w:bCs w:val="0"/>
                      <w:kern w:val="0"/>
                      <w:sz w:val="18"/>
                      <w:szCs w:val="18"/>
                      <w:highlight w:val="none"/>
                      <w:lang w:val="en-US" w:eastAsia="zh-CN"/>
                    </w:rPr>
                    <w:t>0.376</w:t>
                  </w:r>
                </w:p>
              </w:tc>
              <w:tc>
                <w:tcPr>
                  <w:tcW w:w="357" w:type="pct"/>
                  <w:tcBorders>
                    <w:top w:val="single" w:color="auto" w:sz="4" w:space="0"/>
                    <w:left w:val="single" w:color="auto" w:sz="4" w:space="0"/>
                    <w:bottom w:val="single" w:color="auto" w:sz="4" w:space="0"/>
                    <w:right w:val="single" w:color="auto" w:sz="4" w:space="0"/>
                  </w:tcBorders>
                  <w:shd w:val="clear" w:color="auto" w:fill="auto"/>
                  <w:vAlign w:val="center"/>
                </w:tcPr>
                <w:p w14:paraId="2D6AC657">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64" w:lineRule="auto"/>
                    <w:ind w:left="0" w:right="0"/>
                    <w:jc w:val="center"/>
                    <w:textAlignment w:val="auto"/>
                    <w:rPr>
                      <w:rFonts w:hint="default" w:ascii="Times New Roman" w:hAnsi="Times New Roman" w:eastAsia="宋体" w:cs="Times New Roman"/>
                      <w:b/>
                      <w:bCs w:val="0"/>
                      <w:kern w:val="0"/>
                      <w:sz w:val="18"/>
                      <w:szCs w:val="18"/>
                      <w:highlight w:val="none"/>
                      <w:lang w:val="en-US" w:eastAsia="zh-CN"/>
                    </w:rPr>
                  </w:pPr>
                  <w:r>
                    <w:rPr>
                      <w:rFonts w:hint="eastAsia" w:ascii="Times New Roman" w:hAnsi="Times New Roman" w:eastAsia="宋体" w:cs="Times New Roman"/>
                      <w:b/>
                      <w:bCs w:val="0"/>
                      <w:kern w:val="0"/>
                      <w:sz w:val="18"/>
                      <w:szCs w:val="18"/>
                      <w:highlight w:val="none"/>
                      <w:lang w:val="en-US" w:eastAsia="zh-CN"/>
                    </w:rPr>
                    <w:t>0.041</w:t>
                  </w:r>
                </w:p>
              </w:tc>
              <w:tc>
                <w:tcPr>
                  <w:tcW w:w="404" w:type="pct"/>
                  <w:tcBorders>
                    <w:top w:val="single" w:color="auto" w:sz="4" w:space="0"/>
                    <w:left w:val="single" w:color="auto" w:sz="4" w:space="0"/>
                    <w:right w:val="single" w:color="auto" w:sz="4" w:space="0"/>
                  </w:tcBorders>
                  <w:shd w:val="clear" w:color="auto" w:fill="auto"/>
                  <w:vAlign w:val="center"/>
                </w:tcPr>
                <w:p w14:paraId="6C0B120A">
                  <w:pPr>
                    <w:keepNext w:val="0"/>
                    <w:keepLines w:val="0"/>
                    <w:suppressLineNumbers w:val="0"/>
                    <w:spacing w:before="0" w:beforeAutospacing="0" w:after="0" w:afterAutospacing="0"/>
                    <w:ind w:left="0" w:right="0"/>
                    <w:jc w:val="center"/>
                    <w:rPr>
                      <w:rFonts w:hint="eastAsia" w:cs="Times New Roman"/>
                      <w:b/>
                      <w:bCs w:val="0"/>
                      <w:color w:val="auto"/>
                      <w:kern w:val="2"/>
                      <w:sz w:val="18"/>
                      <w:szCs w:val="18"/>
                      <w:highlight w:val="none"/>
                      <w:lang w:val="en-US" w:eastAsia="zh-CN" w:bidi="ar-SA"/>
                    </w:rPr>
                  </w:pPr>
                  <w:r>
                    <w:rPr>
                      <w:rFonts w:hint="eastAsia"/>
                      <w:b/>
                      <w:bCs w:val="0"/>
                      <w:kern w:val="0"/>
                      <w:sz w:val="18"/>
                      <w:szCs w:val="18"/>
                      <w:highlight w:val="none"/>
                      <w:lang w:val="en-US" w:eastAsia="zh-CN"/>
                    </w:rPr>
                    <w:t>/</w:t>
                  </w:r>
                </w:p>
              </w:tc>
              <w:tc>
                <w:tcPr>
                  <w:tcW w:w="383" w:type="pct"/>
                  <w:tcBorders>
                    <w:left w:val="single" w:color="auto" w:sz="4" w:space="0"/>
                    <w:right w:val="single" w:color="auto" w:sz="4" w:space="0"/>
                  </w:tcBorders>
                  <w:shd w:val="clear" w:color="auto" w:fill="auto"/>
                  <w:vAlign w:val="center"/>
                </w:tcPr>
                <w:p w14:paraId="71B43812">
                  <w:pPr>
                    <w:keepNext w:val="0"/>
                    <w:keepLines w:val="0"/>
                    <w:widowControl/>
                    <w:suppressLineNumbers w:val="0"/>
                    <w:spacing w:before="0" w:beforeAutospacing="0" w:after="0" w:afterAutospacing="0" w:line="280" w:lineRule="exact"/>
                    <w:ind w:left="0" w:right="0"/>
                    <w:jc w:val="center"/>
                    <w:textAlignment w:val="center"/>
                    <w:rPr>
                      <w:rFonts w:hint="eastAsia"/>
                      <w:b/>
                      <w:bCs w:val="0"/>
                      <w:snapToGrid w:val="0"/>
                      <w:sz w:val="18"/>
                      <w:szCs w:val="18"/>
                      <w:highlight w:val="none"/>
                      <w:lang w:val="en-US" w:eastAsia="zh-CN"/>
                    </w:rPr>
                  </w:pPr>
                  <w:r>
                    <w:rPr>
                      <w:rFonts w:hint="eastAsia"/>
                      <w:b/>
                      <w:bCs w:val="0"/>
                      <w:kern w:val="0"/>
                      <w:sz w:val="18"/>
                      <w:szCs w:val="18"/>
                      <w:highlight w:val="none"/>
                      <w:lang w:val="en-US" w:eastAsia="zh-CN"/>
                    </w:rPr>
                    <w:t>/</w:t>
                  </w:r>
                </w:p>
              </w:tc>
              <w:tc>
                <w:tcPr>
                  <w:tcW w:w="240" w:type="pct"/>
                  <w:tcBorders>
                    <w:left w:val="single" w:color="auto" w:sz="4" w:space="0"/>
                    <w:right w:val="single" w:color="auto" w:sz="4" w:space="0"/>
                  </w:tcBorders>
                  <w:shd w:val="clear" w:color="auto" w:fill="auto"/>
                  <w:vAlign w:val="center"/>
                </w:tcPr>
                <w:p w14:paraId="266E77F2">
                  <w:pPr>
                    <w:keepNext w:val="0"/>
                    <w:keepLines w:val="0"/>
                    <w:widowControl/>
                    <w:suppressLineNumbers w:val="0"/>
                    <w:spacing w:before="0" w:beforeAutospacing="0" w:after="0" w:afterAutospacing="0" w:line="280" w:lineRule="exact"/>
                    <w:ind w:left="0" w:right="0"/>
                    <w:jc w:val="center"/>
                    <w:textAlignment w:val="center"/>
                    <w:rPr>
                      <w:rFonts w:hint="eastAsia"/>
                      <w:b/>
                      <w:bCs w:val="0"/>
                      <w:kern w:val="0"/>
                      <w:sz w:val="18"/>
                      <w:szCs w:val="18"/>
                      <w:highlight w:val="none"/>
                      <w:lang w:val="en-US" w:eastAsia="zh-CN"/>
                    </w:rPr>
                  </w:pPr>
                  <w:r>
                    <w:rPr>
                      <w:rFonts w:hint="eastAsia"/>
                      <w:b/>
                      <w:bCs w:val="0"/>
                      <w:kern w:val="0"/>
                      <w:sz w:val="18"/>
                      <w:szCs w:val="18"/>
                      <w:highlight w:val="none"/>
                      <w:lang w:val="en-US" w:eastAsia="zh-CN"/>
                    </w:rPr>
                    <w:t>/</w:t>
                  </w:r>
                </w:p>
              </w:tc>
              <w:tc>
                <w:tcPr>
                  <w:tcW w:w="317" w:type="pct"/>
                  <w:tcBorders>
                    <w:left w:val="single" w:color="auto" w:sz="4" w:space="0"/>
                    <w:right w:val="single" w:color="auto" w:sz="4" w:space="0"/>
                  </w:tcBorders>
                  <w:shd w:val="clear" w:color="auto" w:fill="auto"/>
                  <w:vAlign w:val="center"/>
                </w:tcPr>
                <w:p w14:paraId="22B4E641">
                  <w:pPr>
                    <w:keepNext w:val="0"/>
                    <w:keepLines w:val="0"/>
                    <w:widowControl/>
                    <w:suppressLineNumbers w:val="0"/>
                    <w:spacing w:before="0" w:beforeAutospacing="0" w:after="0" w:afterAutospacing="0" w:line="280" w:lineRule="exact"/>
                    <w:ind w:left="0" w:right="0"/>
                    <w:jc w:val="center"/>
                    <w:textAlignment w:val="center"/>
                    <w:rPr>
                      <w:rFonts w:hint="eastAsia" w:cs="Times New Roman"/>
                      <w:b/>
                      <w:bCs w:val="0"/>
                      <w:kern w:val="2"/>
                      <w:sz w:val="18"/>
                      <w:szCs w:val="18"/>
                      <w:highlight w:val="none"/>
                      <w:lang w:val="en-US" w:eastAsia="zh-CN" w:bidi="ar"/>
                    </w:rPr>
                  </w:pPr>
                  <w:r>
                    <w:rPr>
                      <w:rFonts w:hint="eastAsia"/>
                      <w:b/>
                      <w:bCs w:val="0"/>
                      <w:kern w:val="0"/>
                      <w:sz w:val="18"/>
                      <w:szCs w:val="18"/>
                      <w:highlight w:val="none"/>
                      <w:lang w:val="en-US" w:eastAsia="zh-CN"/>
                    </w:rPr>
                    <w:t>/</w:t>
                  </w:r>
                </w:p>
              </w:tc>
              <w:tc>
                <w:tcPr>
                  <w:tcW w:w="380" w:type="pct"/>
                  <w:tcBorders>
                    <w:top w:val="single" w:color="auto" w:sz="4" w:space="0"/>
                    <w:left w:val="single" w:color="auto" w:sz="4" w:space="0"/>
                    <w:right w:val="single" w:color="auto" w:sz="4" w:space="0"/>
                  </w:tcBorders>
                  <w:shd w:val="clear" w:color="auto" w:fill="auto"/>
                  <w:vAlign w:val="center"/>
                </w:tcPr>
                <w:p w14:paraId="1AEEDBC5">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64" w:lineRule="auto"/>
                    <w:ind w:left="0" w:right="0"/>
                    <w:jc w:val="center"/>
                    <w:textAlignment w:val="auto"/>
                    <w:rPr>
                      <w:rFonts w:hint="eastAsia" w:ascii="Times New Roman" w:hAnsi="Times New Roman" w:eastAsia="宋体" w:cs="Times New Roman"/>
                      <w:b/>
                      <w:bCs w:val="0"/>
                      <w:kern w:val="0"/>
                      <w:sz w:val="18"/>
                      <w:szCs w:val="18"/>
                      <w:highlight w:val="none"/>
                      <w:lang w:val="en-US" w:eastAsia="zh-CN"/>
                    </w:rPr>
                  </w:pPr>
                  <w:r>
                    <w:rPr>
                      <w:rFonts w:hint="eastAsia" w:ascii="Times New Roman" w:hAnsi="Times New Roman" w:eastAsia="宋体" w:cs="Times New Roman"/>
                      <w:b/>
                      <w:bCs w:val="0"/>
                      <w:kern w:val="0"/>
                      <w:sz w:val="18"/>
                      <w:szCs w:val="18"/>
                      <w:highlight w:val="none"/>
                      <w:lang w:val="en-US" w:eastAsia="zh-CN"/>
                    </w:rPr>
                    <w:t>0.041</w:t>
                  </w:r>
                </w:p>
              </w:tc>
              <w:tc>
                <w:tcPr>
                  <w:tcW w:w="362" w:type="pct"/>
                  <w:tcBorders>
                    <w:top w:val="single" w:color="auto" w:sz="4" w:space="0"/>
                    <w:left w:val="single" w:color="auto" w:sz="4" w:space="0"/>
                    <w:right w:val="single" w:color="auto" w:sz="4" w:space="0"/>
                  </w:tcBorders>
                  <w:shd w:val="clear" w:color="auto" w:fill="auto"/>
                  <w:vAlign w:val="center"/>
                </w:tcPr>
                <w:p w14:paraId="180EA75B">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64" w:lineRule="auto"/>
                    <w:ind w:left="0" w:right="0"/>
                    <w:jc w:val="center"/>
                    <w:textAlignment w:val="auto"/>
                    <w:rPr>
                      <w:rFonts w:hint="eastAsia" w:ascii="Times New Roman" w:hAnsi="Times New Roman" w:eastAsia="宋体" w:cs="Times New Roman"/>
                      <w:b/>
                      <w:bCs w:val="0"/>
                      <w:kern w:val="0"/>
                      <w:sz w:val="18"/>
                      <w:szCs w:val="18"/>
                      <w:highlight w:val="none"/>
                      <w:lang w:val="en-US" w:eastAsia="zh-CN"/>
                    </w:rPr>
                  </w:pPr>
                  <w:r>
                    <w:rPr>
                      <w:rFonts w:hint="eastAsia" w:ascii="Times New Roman" w:hAnsi="Times New Roman" w:eastAsia="宋体" w:cs="Times New Roman"/>
                      <w:b/>
                      <w:bCs w:val="0"/>
                      <w:kern w:val="0"/>
                      <w:sz w:val="18"/>
                      <w:szCs w:val="18"/>
                      <w:highlight w:val="none"/>
                      <w:lang w:val="en-US" w:eastAsia="zh-CN"/>
                    </w:rPr>
                    <w:t>0.004</w:t>
                  </w:r>
                </w:p>
              </w:tc>
              <w:tc>
                <w:tcPr>
                  <w:tcW w:w="340" w:type="pct"/>
                  <w:tcBorders>
                    <w:top w:val="single" w:color="auto" w:sz="4" w:space="0"/>
                    <w:left w:val="single" w:color="auto" w:sz="4" w:space="0"/>
                    <w:right w:val="single" w:color="auto" w:sz="4" w:space="0"/>
                  </w:tcBorders>
                  <w:shd w:val="clear" w:color="auto" w:fill="auto"/>
                  <w:vAlign w:val="center"/>
                </w:tcPr>
                <w:p w14:paraId="7F7E2896">
                  <w:pPr>
                    <w:keepNext w:val="0"/>
                    <w:keepLines w:val="0"/>
                    <w:suppressLineNumbers w:val="0"/>
                    <w:spacing w:before="0" w:beforeAutospacing="0" w:after="0" w:afterAutospacing="0"/>
                    <w:ind w:left="0" w:right="0"/>
                    <w:jc w:val="center"/>
                    <w:rPr>
                      <w:rFonts w:hint="eastAsia" w:cs="Times New Roman"/>
                      <w:b/>
                      <w:bCs w:val="0"/>
                      <w:color w:val="auto"/>
                      <w:kern w:val="2"/>
                      <w:sz w:val="18"/>
                      <w:szCs w:val="18"/>
                      <w:highlight w:val="none"/>
                      <w:lang w:val="en-US" w:eastAsia="zh-CN" w:bidi="ar-SA"/>
                    </w:rPr>
                  </w:pPr>
                </w:p>
              </w:tc>
              <w:tc>
                <w:tcPr>
                  <w:tcW w:w="255" w:type="pct"/>
                  <w:tcBorders>
                    <w:left w:val="single" w:color="auto" w:sz="4" w:space="0"/>
                    <w:right w:val="single" w:color="auto" w:sz="4" w:space="0"/>
                  </w:tcBorders>
                  <w:vAlign w:val="center"/>
                </w:tcPr>
                <w:p w14:paraId="5AB8D367">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64" w:lineRule="auto"/>
                    <w:ind w:left="0" w:right="0"/>
                    <w:jc w:val="center"/>
                    <w:textAlignment w:val="auto"/>
                    <w:rPr>
                      <w:rFonts w:hint="eastAsia"/>
                      <w:b/>
                      <w:bCs w:val="0"/>
                      <w:kern w:val="0"/>
                      <w:sz w:val="18"/>
                      <w:szCs w:val="18"/>
                      <w:highlight w:val="none"/>
                      <w:lang w:val="en-US" w:eastAsia="zh-CN"/>
                    </w:rPr>
                  </w:pPr>
                </w:p>
              </w:tc>
            </w:tr>
            <w:tr w14:paraId="7EDE32F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189" w:hRule="atLeast"/>
                <w:jc w:val="center"/>
              </w:trPr>
              <w:tc>
                <w:tcPr>
                  <w:tcW w:w="1007" w:type="pct"/>
                  <w:gridSpan w:val="3"/>
                  <w:vMerge w:val="continue"/>
                  <w:tcBorders>
                    <w:left w:val="single" w:color="auto" w:sz="4" w:space="0"/>
                    <w:right w:val="single" w:color="auto" w:sz="4" w:space="0"/>
                  </w:tcBorders>
                  <w:vAlign w:val="center"/>
                </w:tcPr>
                <w:p w14:paraId="2D661788">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64" w:lineRule="auto"/>
                    <w:ind w:left="0" w:right="0"/>
                    <w:jc w:val="center"/>
                    <w:textAlignment w:val="auto"/>
                    <w:rPr>
                      <w:rFonts w:hint="eastAsia"/>
                      <w:b/>
                      <w:bCs w:val="0"/>
                      <w:kern w:val="0"/>
                      <w:sz w:val="18"/>
                      <w:szCs w:val="18"/>
                      <w:highlight w:val="none"/>
                      <w:lang w:val="en-US" w:eastAsia="zh-CN"/>
                    </w:rPr>
                  </w:pPr>
                </w:p>
              </w:tc>
              <w:tc>
                <w:tcPr>
                  <w:tcW w:w="593" w:type="pct"/>
                  <w:tcBorders>
                    <w:left w:val="single" w:color="auto" w:sz="4" w:space="0"/>
                    <w:bottom w:val="single" w:color="auto" w:sz="4" w:space="0"/>
                    <w:right w:val="single" w:color="auto" w:sz="4" w:space="0"/>
                  </w:tcBorders>
                  <w:shd w:val="clear" w:color="auto" w:fill="auto"/>
                  <w:vAlign w:val="center"/>
                </w:tcPr>
                <w:p w14:paraId="6C175AB3">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64" w:lineRule="auto"/>
                    <w:ind w:left="0" w:right="0"/>
                    <w:jc w:val="center"/>
                    <w:textAlignment w:val="auto"/>
                    <w:rPr>
                      <w:rFonts w:hint="eastAsia"/>
                      <w:b/>
                      <w:bCs w:val="0"/>
                      <w:kern w:val="0"/>
                      <w:sz w:val="18"/>
                      <w:szCs w:val="18"/>
                      <w:highlight w:val="none"/>
                      <w:lang w:val="en-US" w:eastAsia="zh-CN"/>
                    </w:rPr>
                  </w:pPr>
                  <w:r>
                    <w:rPr>
                      <w:rFonts w:hint="default"/>
                      <w:b/>
                      <w:bCs w:val="0"/>
                      <w:kern w:val="0"/>
                      <w:sz w:val="18"/>
                      <w:szCs w:val="18"/>
                      <w:highlight w:val="none"/>
                    </w:rPr>
                    <w:t>硫化氢</w:t>
                  </w:r>
                </w:p>
              </w:tc>
              <w:tc>
                <w:tcPr>
                  <w:tcW w:w="357" w:type="pct"/>
                  <w:tcBorders>
                    <w:top w:val="single" w:color="auto" w:sz="4" w:space="0"/>
                    <w:left w:val="single" w:color="auto" w:sz="4" w:space="0"/>
                    <w:bottom w:val="single" w:color="auto" w:sz="4" w:space="0"/>
                    <w:right w:val="single" w:color="auto" w:sz="4" w:space="0"/>
                  </w:tcBorders>
                  <w:shd w:val="clear" w:color="auto" w:fill="auto"/>
                  <w:vAlign w:val="center"/>
                </w:tcPr>
                <w:p w14:paraId="6EA5D233">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64" w:lineRule="auto"/>
                    <w:ind w:left="0" w:right="0"/>
                    <w:jc w:val="center"/>
                    <w:textAlignment w:val="auto"/>
                    <w:rPr>
                      <w:rFonts w:hint="default" w:ascii="Times New Roman" w:hAnsi="Times New Roman" w:eastAsia="宋体" w:cs="Times New Roman"/>
                      <w:b/>
                      <w:bCs w:val="0"/>
                      <w:kern w:val="0"/>
                      <w:sz w:val="18"/>
                      <w:szCs w:val="18"/>
                      <w:highlight w:val="none"/>
                      <w:lang w:val="en-US" w:eastAsia="zh-CN"/>
                    </w:rPr>
                  </w:pPr>
                  <w:r>
                    <w:rPr>
                      <w:rFonts w:hint="eastAsia" w:ascii="Times New Roman" w:hAnsi="Times New Roman" w:eastAsia="宋体" w:cs="Times New Roman"/>
                      <w:b/>
                      <w:bCs w:val="0"/>
                      <w:kern w:val="0"/>
                      <w:sz w:val="18"/>
                      <w:szCs w:val="18"/>
                      <w:highlight w:val="none"/>
                      <w:lang w:val="en-US" w:eastAsia="zh-CN"/>
                    </w:rPr>
                    <w:t>0.058</w:t>
                  </w:r>
                </w:p>
              </w:tc>
              <w:tc>
                <w:tcPr>
                  <w:tcW w:w="357" w:type="pct"/>
                  <w:tcBorders>
                    <w:top w:val="single" w:color="auto" w:sz="4" w:space="0"/>
                    <w:left w:val="single" w:color="auto" w:sz="4" w:space="0"/>
                    <w:bottom w:val="single" w:color="auto" w:sz="4" w:space="0"/>
                    <w:right w:val="single" w:color="auto" w:sz="4" w:space="0"/>
                  </w:tcBorders>
                  <w:shd w:val="clear" w:color="auto" w:fill="auto"/>
                  <w:vAlign w:val="center"/>
                </w:tcPr>
                <w:p w14:paraId="597C0027">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64" w:lineRule="auto"/>
                    <w:ind w:left="0" w:right="0"/>
                    <w:jc w:val="center"/>
                    <w:textAlignment w:val="auto"/>
                    <w:rPr>
                      <w:rFonts w:hint="default" w:ascii="Times New Roman" w:hAnsi="Times New Roman" w:eastAsia="宋体" w:cs="Times New Roman"/>
                      <w:b/>
                      <w:bCs w:val="0"/>
                      <w:kern w:val="0"/>
                      <w:sz w:val="18"/>
                      <w:szCs w:val="18"/>
                      <w:highlight w:val="none"/>
                      <w:lang w:val="en-US" w:eastAsia="zh-CN"/>
                    </w:rPr>
                  </w:pPr>
                  <w:r>
                    <w:rPr>
                      <w:rFonts w:hint="eastAsia" w:ascii="Times New Roman" w:hAnsi="Times New Roman" w:eastAsia="宋体" w:cs="Times New Roman"/>
                      <w:b/>
                      <w:bCs w:val="0"/>
                      <w:kern w:val="0"/>
                      <w:sz w:val="18"/>
                      <w:szCs w:val="18"/>
                      <w:highlight w:val="none"/>
                      <w:lang w:val="en-US" w:eastAsia="zh-CN"/>
                    </w:rPr>
                    <w:t>0.006</w:t>
                  </w:r>
                </w:p>
              </w:tc>
              <w:tc>
                <w:tcPr>
                  <w:tcW w:w="404" w:type="pct"/>
                  <w:tcBorders>
                    <w:top w:val="single" w:color="auto" w:sz="4" w:space="0"/>
                    <w:left w:val="single" w:color="auto" w:sz="4" w:space="0"/>
                    <w:right w:val="single" w:color="auto" w:sz="4" w:space="0"/>
                  </w:tcBorders>
                  <w:shd w:val="clear" w:color="auto" w:fill="auto"/>
                  <w:vAlign w:val="center"/>
                </w:tcPr>
                <w:p w14:paraId="4F13E653">
                  <w:pPr>
                    <w:keepNext w:val="0"/>
                    <w:keepLines w:val="0"/>
                    <w:suppressLineNumbers w:val="0"/>
                    <w:spacing w:before="0" w:beforeAutospacing="0" w:after="0" w:afterAutospacing="0"/>
                    <w:ind w:left="0" w:right="0"/>
                    <w:jc w:val="center"/>
                    <w:rPr>
                      <w:rFonts w:hint="eastAsia" w:cs="Times New Roman"/>
                      <w:b/>
                      <w:bCs w:val="0"/>
                      <w:color w:val="auto"/>
                      <w:kern w:val="2"/>
                      <w:sz w:val="18"/>
                      <w:szCs w:val="18"/>
                      <w:highlight w:val="none"/>
                      <w:lang w:val="en-US" w:eastAsia="zh-CN" w:bidi="ar-SA"/>
                    </w:rPr>
                  </w:pPr>
                  <w:r>
                    <w:rPr>
                      <w:rFonts w:hint="eastAsia"/>
                      <w:b/>
                      <w:bCs w:val="0"/>
                      <w:kern w:val="0"/>
                      <w:sz w:val="18"/>
                      <w:szCs w:val="18"/>
                      <w:highlight w:val="none"/>
                      <w:lang w:val="en-US" w:eastAsia="zh-CN"/>
                    </w:rPr>
                    <w:t>/</w:t>
                  </w:r>
                </w:p>
              </w:tc>
              <w:tc>
                <w:tcPr>
                  <w:tcW w:w="383" w:type="pct"/>
                  <w:tcBorders>
                    <w:left w:val="single" w:color="auto" w:sz="4" w:space="0"/>
                    <w:right w:val="single" w:color="auto" w:sz="4" w:space="0"/>
                  </w:tcBorders>
                  <w:shd w:val="clear" w:color="auto" w:fill="auto"/>
                  <w:vAlign w:val="center"/>
                </w:tcPr>
                <w:p w14:paraId="63F67E2F">
                  <w:pPr>
                    <w:keepNext w:val="0"/>
                    <w:keepLines w:val="0"/>
                    <w:widowControl/>
                    <w:suppressLineNumbers w:val="0"/>
                    <w:spacing w:before="0" w:beforeAutospacing="0" w:after="0" w:afterAutospacing="0" w:line="280" w:lineRule="exact"/>
                    <w:ind w:left="0" w:right="0"/>
                    <w:jc w:val="center"/>
                    <w:textAlignment w:val="center"/>
                    <w:rPr>
                      <w:rFonts w:hint="eastAsia"/>
                      <w:b/>
                      <w:bCs w:val="0"/>
                      <w:snapToGrid w:val="0"/>
                      <w:sz w:val="18"/>
                      <w:szCs w:val="18"/>
                      <w:highlight w:val="none"/>
                      <w:lang w:val="en-US" w:eastAsia="zh-CN"/>
                    </w:rPr>
                  </w:pPr>
                  <w:r>
                    <w:rPr>
                      <w:rFonts w:hint="eastAsia"/>
                      <w:b/>
                      <w:bCs w:val="0"/>
                      <w:kern w:val="0"/>
                      <w:sz w:val="18"/>
                      <w:szCs w:val="18"/>
                      <w:highlight w:val="none"/>
                      <w:lang w:val="en-US" w:eastAsia="zh-CN"/>
                    </w:rPr>
                    <w:t>/</w:t>
                  </w:r>
                </w:p>
              </w:tc>
              <w:tc>
                <w:tcPr>
                  <w:tcW w:w="240" w:type="pct"/>
                  <w:tcBorders>
                    <w:left w:val="single" w:color="auto" w:sz="4" w:space="0"/>
                    <w:right w:val="single" w:color="auto" w:sz="4" w:space="0"/>
                  </w:tcBorders>
                  <w:shd w:val="clear" w:color="auto" w:fill="auto"/>
                  <w:vAlign w:val="center"/>
                </w:tcPr>
                <w:p w14:paraId="1D8D3143">
                  <w:pPr>
                    <w:keepNext w:val="0"/>
                    <w:keepLines w:val="0"/>
                    <w:widowControl/>
                    <w:suppressLineNumbers w:val="0"/>
                    <w:spacing w:before="0" w:beforeAutospacing="0" w:after="0" w:afterAutospacing="0" w:line="280" w:lineRule="exact"/>
                    <w:ind w:left="0" w:right="0"/>
                    <w:jc w:val="center"/>
                    <w:textAlignment w:val="center"/>
                    <w:rPr>
                      <w:rFonts w:hint="eastAsia"/>
                      <w:b/>
                      <w:bCs w:val="0"/>
                      <w:kern w:val="0"/>
                      <w:sz w:val="18"/>
                      <w:szCs w:val="18"/>
                      <w:highlight w:val="none"/>
                      <w:lang w:val="en-US" w:eastAsia="zh-CN"/>
                    </w:rPr>
                  </w:pPr>
                  <w:r>
                    <w:rPr>
                      <w:rFonts w:hint="eastAsia"/>
                      <w:b/>
                      <w:bCs w:val="0"/>
                      <w:kern w:val="0"/>
                      <w:sz w:val="18"/>
                      <w:szCs w:val="18"/>
                      <w:highlight w:val="none"/>
                      <w:lang w:val="en-US" w:eastAsia="zh-CN"/>
                    </w:rPr>
                    <w:t>/</w:t>
                  </w:r>
                </w:p>
              </w:tc>
              <w:tc>
                <w:tcPr>
                  <w:tcW w:w="317" w:type="pct"/>
                  <w:tcBorders>
                    <w:left w:val="single" w:color="auto" w:sz="4" w:space="0"/>
                    <w:right w:val="single" w:color="auto" w:sz="4" w:space="0"/>
                  </w:tcBorders>
                  <w:shd w:val="clear" w:color="auto" w:fill="auto"/>
                  <w:vAlign w:val="center"/>
                </w:tcPr>
                <w:p w14:paraId="79AD59E4">
                  <w:pPr>
                    <w:keepNext w:val="0"/>
                    <w:keepLines w:val="0"/>
                    <w:widowControl/>
                    <w:suppressLineNumbers w:val="0"/>
                    <w:spacing w:before="0" w:beforeAutospacing="0" w:after="0" w:afterAutospacing="0" w:line="280" w:lineRule="exact"/>
                    <w:ind w:left="0" w:right="0"/>
                    <w:jc w:val="center"/>
                    <w:textAlignment w:val="center"/>
                    <w:rPr>
                      <w:rFonts w:hint="eastAsia" w:cs="Times New Roman"/>
                      <w:b/>
                      <w:bCs w:val="0"/>
                      <w:kern w:val="2"/>
                      <w:sz w:val="18"/>
                      <w:szCs w:val="18"/>
                      <w:highlight w:val="none"/>
                      <w:lang w:val="en-US" w:eastAsia="zh-CN" w:bidi="ar"/>
                    </w:rPr>
                  </w:pPr>
                  <w:r>
                    <w:rPr>
                      <w:rFonts w:hint="eastAsia"/>
                      <w:b/>
                      <w:bCs w:val="0"/>
                      <w:kern w:val="0"/>
                      <w:sz w:val="18"/>
                      <w:szCs w:val="18"/>
                      <w:highlight w:val="none"/>
                      <w:lang w:val="en-US" w:eastAsia="zh-CN"/>
                    </w:rPr>
                    <w:t>/</w:t>
                  </w:r>
                </w:p>
              </w:tc>
              <w:tc>
                <w:tcPr>
                  <w:tcW w:w="380" w:type="pct"/>
                  <w:tcBorders>
                    <w:top w:val="single" w:color="auto" w:sz="4" w:space="0"/>
                    <w:left w:val="single" w:color="auto" w:sz="4" w:space="0"/>
                    <w:right w:val="single" w:color="auto" w:sz="4" w:space="0"/>
                  </w:tcBorders>
                  <w:shd w:val="clear" w:color="auto" w:fill="auto"/>
                  <w:vAlign w:val="center"/>
                </w:tcPr>
                <w:p w14:paraId="7DFC1C35">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64" w:lineRule="auto"/>
                    <w:ind w:left="0" w:right="0"/>
                    <w:jc w:val="center"/>
                    <w:textAlignment w:val="auto"/>
                    <w:rPr>
                      <w:rFonts w:hint="eastAsia" w:ascii="Times New Roman" w:hAnsi="Times New Roman" w:eastAsia="宋体" w:cs="Times New Roman"/>
                      <w:b/>
                      <w:bCs w:val="0"/>
                      <w:kern w:val="0"/>
                      <w:sz w:val="18"/>
                      <w:szCs w:val="18"/>
                      <w:highlight w:val="none"/>
                      <w:lang w:val="en-US" w:eastAsia="zh-CN"/>
                    </w:rPr>
                  </w:pPr>
                  <w:r>
                    <w:rPr>
                      <w:rFonts w:hint="eastAsia" w:ascii="Times New Roman" w:hAnsi="Times New Roman" w:eastAsia="宋体" w:cs="Times New Roman"/>
                      <w:b/>
                      <w:bCs w:val="0"/>
                      <w:kern w:val="0"/>
                      <w:sz w:val="18"/>
                      <w:szCs w:val="18"/>
                      <w:highlight w:val="none"/>
                      <w:lang w:val="en-US" w:eastAsia="zh-CN"/>
                    </w:rPr>
                    <w:t>0.031</w:t>
                  </w:r>
                </w:p>
              </w:tc>
              <w:tc>
                <w:tcPr>
                  <w:tcW w:w="362" w:type="pct"/>
                  <w:tcBorders>
                    <w:top w:val="single" w:color="auto" w:sz="4" w:space="0"/>
                    <w:left w:val="single" w:color="auto" w:sz="4" w:space="0"/>
                    <w:right w:val="single" w:color="auto" w:sz="4" w:space="0"/>
                  </w:tcBorders>
                  <w:shd w:val="clear" w:color="auto" w:fill="auto"/>
                  <w:vAlign w:val="center"/>
                </w:tcPr>
                <w:p w14:paraId="0F78734D">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64" w:lineRule="auto"/>
                    <w:ind w:left="0" w:right="0"/>
                    <w:jc w:val="center"/>
                    <w:textAlignment w:val="auto"/>
                    <w:rPr>
                      <w:rFonts w:hint="eastAsia" w:ascii="Times New Roman" w:hAnsi="Times New Roman" w:eastAsia="宋体" w:cs="Times New Roman"/>
                      <w:b/>
                      <w:bCs w:val="0"/>
                      <w:kern w:val="0"/>
                      <w:sz w:val="18"/>
                      <w:szCs w:val="18"/>
                      <w:highlight w:val="none"/>
                      <w:lang w:val="en-US" w:eastAsia="zh-CN"/>
                    </w:rPr>
                  </w:pPr>
                  <w:r>
                    <w:rPr>
                      <w:rFonts w:hint="eastAsia" w:ascii="Times New Roman" w:hAnsi="Times New Roman" w:eastAsia="宋体" w:cs="Times New Roman"/>
                      <w:b/>
                      <w:bCs w:val="0"/>
                      <w:kern w:val="0"/>
                      <w:sz w:val="18"/>
                      <w:szCs w:val="18"/>
                      <w:highlight w:val="none"/>
                      <w:lang w:val="en-US" w:eastAsia="zh-CN"/>
                    </w:rPr>
                    <w:t>0.003</w:t>
                  </w:r>
                </w:p>
              </w:tc>
              <w:tc>
                <w:tcPr>
                  <w:tcW w:w="340" w:type="pct"/>
                  <w:tcBorders>
                    <w:top w:val="single" w:color="auto" w:sz="4" w:space="0"/>
                    <w:left w:val="single" w:color="auto" w:sz="4" w:space="0"/>
                    <w:right w:val="single" w:color="auto" w:sz="4" w:space="0"/>
                  </w:tcBorders>
                  <w:shd w:val="clear" w:color="auto" w:fill="auto"/>
                  <w:vAlign w:val="center"/>
                </w:tcPr>
                <w:p w14:paraId="48EEBA1D">
                  <w:pPr>
                    <w:keepNext w:val="0"/>
                    <w:keepLines w:val="0"/>
                    <w:suppressLineNumbers w:val="0"/>
                    <w:spacing w:before="0" w:beforeAutospacing="0" w:after="0" w:afterAutospacing="0"/>
                    <w:ind w:left="0" w:right="0"/>
                    <w:jc w:val="center"/>
                    <w:rPr>
                      <w:rFonts w:hint="eastAsia" w:cs="Times New Roman"/>
                      <w:b/>
                      <w:bCs w:val="0"/>
                      <w:color w:val="auto"/>
                      <w:kern w:val="2"/>
                      <w:sz w:val="18"/>
                      <w:szCs w:val="18"/>
                      <w:highlight w:val="none"/>
                      <w:lang w:val="en-US" w:eastAsia="zh-CN" w:bidi="ar-SA"/>
                    </w:rPr>
                  </w:pPr>
                  <w:r>
                    <w:rPr>
                      <w:rFonts w:hint="eastAsia"/>
                      <w:b/>
                      <w:bCs w:val="0"/>
                      <w:kern w:val="0"/>
                      <w:sz w:val="18"/>
                      <w:szCs w:val="18"/>
                      <w:highlight w:val="none"/>
                      <w:lang w:val="en-US" w:eastAsia="zh-CN"/>
                    </w:rPr>
                    <w:t>/</w:t>
                  </w:r>
                </w:p>
              </w:tc>
              <w:tc>
                <w:tcPr>
                  <w:tcW w:w="255" w:type="pct"/>
                  <w:tcBorders>
                    <w:left w:val="single" w:color="auto" w:sz="4" w:space="0"/>
                    <w:right w:val="single" w:color="auto" w:sz="4" w:space="0"/>
                  </w:tcBorders>
                  <w:vAlign w:val="center"/>
                </w:tcPr>
                <w:p w14:paraId="04F2D6CC">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64" w:lineRule="auto"/>
                    <w:ind w:left="0" w:right="0"/>
                    <w:jc w:val="center"/>
                    <w:textAlignment w:val="auto"/>
                    <w:rPr>
                      <w:rFonts w:hint="eastAsia"/>
                      <w:b/>
                      <w:bCs w:val="0"/>
                      <w:kern w:val="0"/>
                      <w:sz w:val="18"/>
                      <w:szCs w:val="18"/>
                      <w:highlight w:val="none"/>
                      <w:lang w:val="en-US" w:eastAsia="zh-CN"/>
                    </w:rPr>
                  </w:pPr>
                  <w:r>
                    <w:rPr>
                      <w:rFonts w:hint="eastAsia"/>
                      <w:b/>
                      <w:bCs w:val="0"/>
                      <w:kern w:val="0"/>
                      <w:sz w:val="18"/>
                      <w:szCs w:val="18"/>
                      <w:highlight w:val="none"/>
                      <w:lang w:val="en-US" w:eastAsia="zh-CN"/>
                    </w:rPr>
                    <w:t>/</w:t>
                  </w:r>
                </w:p>
              </w:tc>
            </w:tr>
            <w:tr w14:paraId="37B876A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189" w:hRule="atLeast"/>
                <w:jc w:val="center"/>
              </w:trPr>
              <w:tc>
                <w:tcPr>
                  <w:tcW w:w="1007" w:type="pct"/>
                  <w:gridSpan w:val="3"/>
                  <w:vMerge w:val="continue"/>
                  <w:tcBorders>
                    <w:left w:val="single" w:color="auto" w:sz="4" w:space="0"/>
                    <w:right w:val="single" w:color="auto" w:sz="4" w:space="0"/>
                  </w:tcBorders>
                  <w:vAlign w:val="center"/>
                </w:tcPr>
                <w:p w14:paraId="4EF3144A">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64" w:lineRule="auto"/>
                    <w:ind w:left="0" w:right="0"/>
                    <w:jc w:val="center"/>
                    <w:textAlignment w:val="auto"/>
                    <w:rPr>
                      <w:rFonts w:hint="eastAsia"/>
                      <w:b/>
                      <w:bCs w:val="0"/>
                      <w:kern w:val="0"/>
                      <w:sz w:val="18"/>
                      <w:szCs w:val="18"/>
                      <w:highlight w:val="none"/>
                      <w:lang w:val="en-US" w:eastAsia="zh-CN"/>
                    </w:rPr>
                  </w:pPr>
                </w:p>
              </w:tc>
              <w:tc>
                <w:tcPr>
                  <w:tcW w:w="593" w:type="pct"/>
                  <w:tcBorders>
                    <w:left w:val="single" w:color="auto" w:sz="4" w:space="0"/>
                    <w:bottom w:val="single" w:color="auto" w:sz="4" w:space="0"/>
                    <w:right w:val="single" w:color="auto" w:sz="4" w:space="0"/>
                  </w:tcBorders>
                  <w:shd w:val="clear" w:color="auto" w:fill="auto"/>
                  <w:vAlign w:val="center"/>
                </w:tcPr>
                <w:p w14:paraId="6862898B">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64" w:lineRule="auto"/>
                    <w:ind w:left="0" w:right="0"/>
                    <w:jc w:val="center"/>
                    <w:textAlignment w:val="auto"/>
                    <w:rPr>
                      <w:rFonts w:hint="eastAsia"/>
                      <w:b/>
                      <w:bCs w:val="0"/>
                      <w:kern w:val="0"/>
                      <w:sz w:val="18"/>
                      <w:szCs w:val="18"/>
                      <w:highlight w:val="none"/>
                      <w:lang w:val="en-US" w:eastAsia="zh-CN"/>
                    </w:rPr>
                  </w:pPr>
                  <w:r>
                    <w:rPr>
                      <w:rFonts w:hint="eastAsia"/>
                      <w:b/>
                      <w:bCs w:val="0"/>
                      <w:kern w:val="0"/>
                      <w:sz w:val="18"/>
                      <w:szCs w:val="18"/>
                      <w:highlight w:val="none"/>
                      <w:lang w:val="en-US" w:eastAsia="zh-CN"/>
                    </w:rPr>
                    <w:t>非甲烷总烃</w:t>
                  </w:r>
                </w:p>
              </w:tc>
              <w:tc>
                <w:tcPr>
                  <w:tcW w:w="357" w:type="pct"/>
                  <w:tcBorders>
                    <w:top w:val="single" w:color="auto" w:sz="4" w:space="0"/>
                    <w:left w:val="single" w:color="auto" w:sz="4" w:space="0"/>
                    <w:bottom w:val="single" w:color="auto" w:sz="4" w:space="0"/>
                    <w:right w:val="single" w:color="auto" w:sz="4" w:space="0"/>
                  </w:tcBorders>
                  <w:shd w:val="clear" w:color="auto" w:fill="auto"/>
                  <w:vAlign w:val="center"/>
                </w:tcPr>
                <w:p w14:paraId="0460B664">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64" w:lineRule="auto"/>
                    <w:ind w:left="0" w:right="0"/>
                    <w:jc w:val="center"/>
                    <w:textAlignment w:val="auto"/>
                    <w:rPr>
                      <w:rFonts w:hint="default" w:ascii="Times New Roman" w:hAnsi="Times New Roman" w:eastAsia="宋体" w:cs="Times New Roman"/>
                      <w:b/>
                      <w:bCs w:val="0"/>
                      <w:kern w:val="0"/>
                      <w:sz w:val="18"/>
                      <w:szCs w:val="18"/>
                      <w:highlight w:val="none"/>
                      <w:lang w:val="en-US" w:eastAsia="zh-CN"/>
                    </w:rPr>
                  </w:pPr>
                  <w:r>
                    <w:rPr>
                      <w:rFonts w:hint="eastAsia" w:ascii="Times New Roman" w:hAnsi="Times New Roman" w:eastAsia="宋体" w:cs="Times New Roman"/>
                      <w:b/>
                      <w:bCs w:val="0"/>
                      <w:kern w:val="0"/>
                      <w:sz w:val="18"/>
                      <w:szCs w:val="18"/>
                      <w:highlight w:val="none"/>
                      <w:lang w:val="en-US" w:eastAsia="zh-CN"/>
                    </w:rPr>
                    <w:t>0.1</w:t>
                  </w:r>
                  <w:r>
                    <w:rPr>
                      <w:rFonts w:hint="eastAsia" w:cs="Times New Roman"/>
                      <w:b/>
                      <w:bCs w:val="0"/>
                      <w:kern w:val="0"/>
                      <w:sz w:val="18"/>
                      <w:szCs w:val="18"/>
                      <w:highlight w:val="none"/>
                      <w:lang w:val="en-US" w:eastAsia="zh-CN"/>
                    </w:rPr>
                    <w:t>1</w:t>
                  </w:r>
                  <w:r>
                    <w:rPr>
                      <w:rFonts w:hint="eastAsia" w:ascii="Times New Roman" w:hAnsi="Times New Roman" w:eastAsia="宋体" w:cs="Times New Roman"/>
                      <w:b/>
                      <w:bCs w:val="0"/>
                      <w:kern w:val="0"/>
                      <w:sz w:val="18"/>
                      <w:szCs w:val="18"/>
                      <w:highlight w:val="none"/>
                      <w:lang w:val="en-US" w:eastAsia="zh-CN"/>
                    </w:rPr>
                    <w:t>5</w:t>
                  </w:r>
                </w:p>
              </w:tc>
              <w:tc>
                <w:tcPr>
                  <w:tcW w:w="357" w:type="pct"/>
                  <w:tcBorders>
                    <w:top w:val="single" w:color="auto" w:sz="4" w:space="0"/>
                    <w:left w:val="single" w:color="auto" w:sz="4" w:space="0"/>
                    <w:bottom w:val="single" w:color="auto" w:sz="4" w:space="0"/>
                    <w:right w:val="single" w:color="auto" w:sz="4" w:space="0"/>
                  </w:tcBorders>
                  <w:shd w:val="clear" w:color="auto" w:fill="auto"/>
                  <w:vAlign w:val="center"/>
                </w:tcPr>
                <w:p w14:paraId="4B876800">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64" w:lineRule="auto"/>
                    <w:ind w:left="0" w:right="0"/>
                    <w:jc w:val="center"/>
                    <w:textAlignment w:val="auto"/>
                    <w:rPr>
                      <w:rFonts w:hint="default" w:ascii="Times New Roman" w:hAnsi="Times New Roman" w:eastAsia="宋体" w:cs="Times New Roman"/>
                      <w:b/>
                      <w:bCs w:val="0"/>
                      <w:kern w:val="0"/>
                      <w:sz w:val="18"/>
                      <w:szCs w:val="18"/>
                      <w:highlight w:val="none"/>
                      <w:lang w:val="en-US" w:eastAsia="zh-CN"/>
                    </w:rPr>
                  </w:pPr>
                  <w:r>
                    <w:rPr>
                      <w:rFonts w:hint="eastAsia" w:ascii="Times New Roman" w:hAnsi="Times New Roman" w:eastAsia="宋体" w:cs="Times New Roman"/>
                      <w:b/>
                      <w:bCs w:val="0"/>
                      <w:kern w:val="0"/>
                      <w:sz w:val="18"/>
                      <w:szCs w:val="18"/>
                      <w:highlight w:val="none"/>
                      <w:lang w:val="en-US" w:eastAsia="zh-CN"/>
                    </w:rPr>
                    <w:t>0.1</w:t>
                  </w:r>
                  <w:r>
                    <w:rPr>
                      <w:rFonts w:hint="eastAsia" w:cs="Times New Roman"/>
                      <w:b/>
                      <w:bCs w:val="0"/>
                      <w:kern w:val="0"/>
                      <w:sz w:val="18"/>
                      <w:szCs w:val="18"/>
                      <w:highlight w:val="none"/>
                      <w:lang w:val="en-US" w:eastAsia="zh-CN"/>
                    </w:rPr>
                    <w:t>11</w:t>
                  </w:r>
                </w:p>
              </w:tc>
              <w:tc>
                <w:tcPr>
                  <w:tcW w:w="404" w:type="pct"/>
                  <w:tcBorders>
                    <w:top w:val="single" w:color="auto" w:sz="4" w:space="0"/>
                    <w:left w:val="single" w:color="auto" w:sz="4" w:space="0"/>
                    <w:right w:val="single" w:color="auto" w:sz="4" w:space="0"/>
                  </w:tcBorders>
                  <w:shd w:val="clear" w:color="auto" w:fill="auto"/>
                  <w:vAlign w:val="center"/>
                </w:tcPr>
                <w:p w14:paraId="1A61BC9C">
                  <w:pPr>
                    <w:keepNext w:val="0"/>
                    <w:keepLines w:val="0"/>
                    <w:suppressLineNumbers w:val="0"/>
                    <w:spacing w:before="0" w:beforeAutospacing="0" w:after="0" w:afterAutospacing="0"/>
                    <w:ind w:left="0" w:right="0"/>
                    <w:jc w:val="center"/>
                    <w:rPr>
                      <w:rFonts w:hint="eastAsia" w:cs="Times New Roman"/>
                      <w:b/>
                      <w:bCs w:val="0"/>
                      <w:color w:val="auto"/>
                      <w:kern w:val="2"/>
                      <w:sz w:val="18"/>
                      <w:szCs w:val="18"/>
                      <w:highlight w:val="none"/>
                      <w:lang w:val="en-US" w:eastAsia="zh-CN" w:bidi="ar-SA"/>
                    </w:rPr>
                  </w:pPr>
                  <w:r>
                    <w:rPr>
                      <w:rFonts w:hint="eastAsia"/>
                      <w:b/>
                      <w:bCs w:val="0"/>
                      <w:kern w:val="0"/>
                      <w:sz w:val="18"/>
                      <w:szCs w:val="18"/>
                      <w:highlight w:val="none"/>
                      <w:lang w:val="en-US" w:eastAsia="zh-CN"/>
                    </w:rPr>
                    <w:t>/</w:t>
                  </w:r>
                </w:p>
              </w:tc>
              <w:tc>
                <w:tcPr>
                  <w:tcW w:w="383" w:type="pct"/>
                  <w:tcBorders>
                    <w:left w:val="single" w:color="auto" w:sz="4" w:space="0"/>
                    <w:right w:val="single" w:color="auto" w:sz="4" w:space="0"/>
                  </w:tcBorders>
                  <w:shd w:val="clear" w:color="auto" w:fill="auto"/>
                  <w:vAlign w:val="center"/>
                </w:tcPr>
                <w:p w14:paraId="5B77A42E">
                  <w:pPr>
                    <w:keepNext w:val="0"/>
                    <w:keepLines w:val="0"/>
                    <w:widowControl/>
                    <w:suppressLineNumbers w:val="0"/>
                    <w:spacing w:before="0" w:beforeAutospacing="0" w:after="0" w:afterAutospacing="0" w:line="280" w:lineRule="exact"/>
                    <w:ind w:left="0" w:right="0"/>
                    <w:jc w:val="center"/>
                    <w:textAlignment w:val="center"/>
                    <w:rPr>
                      <w:rFonts w:hint="eastAsia"/>
                      <w:b/>
                      <w:bCs w:val="0"/>
                      <w:snapToGrid w:val="0"/>
                      <w:sz w:val="18"/>
                      <w:szCs w:val="18"/>
                      <w:highlight w:val="none"/>
                      <w:lang w:val="en-US" w:eastAsia="zh-CN"/>
                    </w:rPr>
                  </w:pPr>
                  <w:r>
                    <w:rPr>
                      <w:rFonts w:hint="eastAsia"/>
                      <w:b/>
                      <w:bCs w:val="0"/>
                      <w:kern w:val="0"/>
                      <w:sz w:val="18"/>
                      <w:szCs w:val="18"/>
                      <w:highlight w:val="none"/>
                      <w:lang w:val="en-US" w:eastAsia="zh-CN"/>
                    </w:rPr>
                    <w:t>/</w:t>
                  </w:r>
                </w:p>
              </w:tc>
              <w:tc>
                <w:tcPr>
                  <w:tcW w:w="240" w:type="pct"/>
                  <w:tcBorders>
                    <w:left w:val="single" w:color="auto" w:sz="4" w:space="0"/>
                    <w:right w:val="single" w:color="auto" w:sz="4" w:space="0"/>
                  </w:tcBorders>
                  <w:shd w:val="clear" w:color="auto" w:fill="auto"/>
                  <w:vAlign w:val="center"/>
                </w:tcPr>
                <w:p w14:paraId="795A5991">
                  <w:pPr>
                    <w:keepNext w:val="0"/>
                    <w:keepLines w:val="0"/>
                    <w:widowControl/>
                    <w:suppressLineNumbers w:val="0"/>
                    <w:spacing w:before="0" w:beforeAutospacing="0" w:after="0" w:afterAutospacing="0" w:line="280" w:lineRule="exact"/>
                    <w:ind w:left="0" w:right="0"/>
                    <w:jc w:val="center"/>
                    <w:textAlignment w:val="center"/>
                    <w:rPr>
                      <w:rFonts w:hint="eastAsia"/>
                      <w:b/>
                      <w:bCs w:val="0"/>
                      <w:kern w:val="0"/>
                      <w:sz w:val="18"/>
                      <w:szCs w:val="18"/>
                      <w:highlight w:val="none"/>
                      <w:lang w:val="en-US" w:eastAsia="zh-CN"/>
                    </w:rPr>
                  </w:pPr>
                  <w:r>
                    <w:rPr>
                      <w:rFonts w:hint="eastAsia"/>
                      <w:b/>
                      <w:bCs w:val="0"/>
                      <w:kern w:val="0"/>
                      <w:sz w:val="18"/>
                      <w:szCs w:val="18"/>
                      <w:highlight w:val="none"/>
                      <w:lang w:val="en-US" w:eastAsia="zh-CN"/>
                    </w:rPr>
                    <w:t>/</w:t>
                  </w:r>
                </w:p>
              </w:tc>
              <w:tc>
                <w:tcPr>
                  <w:tcW w:w="317" w:type="pct"/>
                  <w:tcBorders>
                    <w:left w:val="single" w:color="auto" w:sz="4" w:space="0"/>
                    <w:right w:val="single" w:color="auto" w:sz="4" w:space="0"/>
                  </w:tcBorders>
                  <w:shd w:val="clear" w:color="auto" w:fill="auto"/>
                  <w:vAlign w:val="center"/>
                </w:tcPr>
                <w:p w14:paraId="57BCBF04">
                  <w:pPr>
                    <w:keepNext w:val="0"/>
                    <w:keepLines w:val="0"/>
                    <w:widowControl/>
                    <w:suppressLineNumbers w:val="0"/>
                    <w:spacing w:before="0" w:beforeAutospacing="0" w:after="0" w:afterAutospacing="0" w:line="280" w:lineRule="exact"/>
                    <w:ind w:left="0" w:right="0"/>
                    <w:jc w:val="center"/>
                    <w:textAlignment w:val="center"/>
                    <w:rPr>
                      <w:rFonts w:hint="eastAsia" w:cs="Times New Roman"/>
                      <w:b/>
                      <w:bCs w:val="0"/>
                      <w:kern w:val="2"/>
                      <w:sz w:val="18"/>
                      <w:szCs w:val="18"/>
                      <w:highlight w:val="none"/>
                      <w:lang w:val="en-US" w:eastAsia="zh-CN" w:bidi="ar"/>
                    </w:rPr>
                  </w:pPr>
                  <w:r>
                    <w:rPr>
                      <w:rFonts w:hint="eastAsia"/>
                      <w:b/>
                      <w:bCs w:val="0"/>
                      <w:kern w:val="0"/>
                      <w:sz w:val="18"/>
                      <w:szCs w:val="18"/>
                      <w:highlight w:val="none"/>
                      <w:lang w:val="en-US" w:eastAsia="zh-CN"/>
                    </w:rPr>
                    <w:t>/</w:t>
                  </w:r>
                </w:p>
              </w:tc>
              <w:tc>
                <w:tcPr>
                  <w:tcW w:w="380" w:type="pct"/>
                  <w:tcBorders>
                    <w:top w:val="single" w:color="auto" w:sz="4" w:space="0"/>
                    <w:left w:val="single" w:color="auto" w:sz="4" w:space="0"/>
                    <w:right w:val="single" w:color="auto" w:sz="4" w:space="0"/>
                  </w:tcBorders>
                  <w:shd w:val="clear" w:color="auto" w:fill="auto"/>
                  <w:vAlign w:val="center"/>
                </w:tcPr>
                <w:p w14:paraId="110C8DE9">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64" w:lineRule="auto"/>
                    <w:ind w:left="0" w:right="0"/>
                    <w:jc w:val="center"/>
                    <w:textAlignment w:val="auto"/>
                    <w:rPr>
                      <w:rFonts w:hint="eastAsia" w:ascii="Times New Roman" w:hAnsi="Times New Roman" w:eastAsia="宋体" w:cs="Times New Roman"/>
                      <w:b/>
                      <w:bCs w:val="0"/>
                      <w:kern w:val="0"/>
                      <w:sz w:val="18"/>
                      <w:szCs w:val="18"/>
                      <w:highlight w:val="none"/>
                      <w:lang w:val="en-US" w:eastAsia="zh-CN"/>
                    </w:rPr>
                  </w:pPr>
                  <w:r>
                    <w:rPr>
                      <w:rFonts w:hint="eastAsia" w:ascii="Times New Roman" w:hAnsi="Times New Roman" w:eastAsia="宋体" w:cs="Times New Roman"/>
                      <w:b/>
                      <w:bCs w:val="0"/>
                      <w:kern w:val="0"/>
                      <w:sz w:val="18"/>
                      <w:szCs w:val="18"/>
                      <w:highlight w:val="none"/>
                      <w:lang w:val="en-US" w:eastAsia="zh-CN"/>
                    </w:rPr>
                    <w:t>0.115</w:t>
                  </w:r>
                </w:p>
              </w:tc>
              <w:tc>
                <w:tcPr>
                  <w:tcW w:w="362" w:type="pct"/>
                  <w:tcBorders>
                    <w:top w:val="single" w:color="auto" w:sz="4" w:space="0"/>
                    <w:left w:val="single" w:color="auto" w:sz="4" w:space="0"/>
                    <w:right w:val="single" w:color="auto" w:sz="4" w:space="0"/>
                  </w:tcBorders>
                  <w:shd w:val="clear" w:color="auto" w:fill="auto"/>
                  <w:vAlign w:val="center"/>
                </w:tcPr>
                <w:p w14:paraId="028EF927">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64" w:lineRule="auto"/>
                    <w:ind w:left="0" w:right="0"/>
                    <w:jc w:val="center"/>
                    <w:textAlignment w:val="auto"/>
                    <w:rPr>
                      <w:rFonts w:hint="eastAsia" w:ascii="Times New Roman" w:hAnsi="Times New Roman" w:eastAsia="宋体" w:cs="Times New Roman"/>
                      <w:b/>
                      <w:bCs w:val="0"/>
                      <w:kern w:val="0"/>
                      <w:sz w:val="18"/>
                      <w:szCs w:val="18"/>
                      <w:highlight w:val="none"/>
                      <w:lang w:val="en-US" w:eastAsia="zh-CN"/>
                    </w:rPr>
                  </w:pPr>
                  <w:r>
                    <w:rPr>
                      <w:rFonts w:hint="eastAsia" w:ascii="Times New Roman" w:hAnsi="Times New Roman" w:eastAsia="宋体" w:cs="Times New Roman"/>
                      <w:b/>
                      <w:bCs w:val="0"/>
                      <w:kern w:val="0"/>
                      <w:sz w:val="18"/>
                      <w:szCs w:val="18"/>
                      <w:highlight w:val="none"/>
                      <w:lang w:val="en-US" w:eastAsia="zh-CN"/>
                    </w:rPr>
                    <w:t>0.111</w:t>
                  </w:r>
                </w:p>
              </w:tc>
              <w:tc>
                <w:tcPr>
                  <w:tcW w:w="340" w:type="pct"/>
                  <w:tcBorders>
                    <w:top w:val="single" w:color="auto" w:sz="4" w:space="0"/>
                    <w:left w:val="single" w:color="auto" w:sz="4" w:space="0"/>
                    <w:right w:val="single" w:color="auto" w:sz="4" w:space="0"/>
                  </w:tcBorders>
                  <w:shd w:val="clear" w:color="auto" w:fill="auto"/>
                  <w:vAlign w:val="center"/>
                </w:tcPr>
                <w:p w14:paraId="1BA95303">
                  <w:pPr>
                    <w:keepNext w:val="0"/>
                    <w:keepLines w:val="0"/>
                    <w:suppressLineNumbers w:val="0"/>
                    <w:spacing w:before="0" w:beforeAutospacing="0" w:after="0" w:afterAutospacing="0"/>
                    <w:ind w:left="0" w:right="0"/>
                    <w:jc w:val="center"/>
                    <w:rPr>
                      <w:rFonts w:hint="eastAsia" w:cs="Times New Roman"/>
                      <w:b/>
                      <w:bCs w:val="0"/>
                      <w:color w:val="auto"/>
                      <w:kern w:val="2"/>
                      <w:sz w:val="18"/>
                      <w:szCs w:val="18"/>
                      <w:highlight w:val="none"/>
                      <w:lang w:val="en-US" w:eastAsia="zh-CN" w:bidi="ar-SA"/>
                    </w:rPr>
                  </w:pPr>
                  <w:r>
                    <w:rPr>
                      <w:rFonts w:hint="eastAsia"/>
                      <w:b/>
                      <w:bCs w:val="0"/>
                      <w:kern w:val="0"/>
                      <w:sz w:val="18"/>
                      <w:szCs w:val="18"/>
                      <w:highlight w:val="none"/>
                      <w:lang w:val="en-US" w:eastAsia="zh-CN"/>
                    </w:rPr>
                    <w:t>/</w:t>
                  </w:r>
                </w:p>
              </w:tc>
              <w:tc>
                <w:tcPr>
                  <w:tcW w:w="255" w:type="pct"/>
                  <w:tcBorders>
                    <w:left w:val="single" w:color="auto" w:sz="4" w:space="0"/>
                    <w:right w:val="single" w:color="auto" w:sz="4" w:space="0"/>
                  </w:tcBorders>
                  <w:vAlign w:val="center"/>
                </w:tcPr>
                <w:p w14:paraId="0548E810">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64" w:lineRule="auto"/>
                    <w:ind w:left="0" w:right="0"/>
                    <w:jc w:val="center"/>
                    <w:textAlignment w:val="auto"/>
                    <w:rPr>
                      <w:rFonts w:hint="eastAsia"/>
                      <w:b/>
                      <w:bCs w:val="0"/>
                      <w:kern w:val="0"/>
                      <w:sz w:val="18"/>
                      <w:szCs w:val="18"/>
                      <w:highlight w:val="none"/>
                      <w:lang w:val="en-US" w:eastAsia="zh-CN"/>
                    </w:rPr>
                  </w:pPr>
                  <w:r>
                    <w:rPr>
                      <w:rFonts w:hint="eastAsia"/>
                      <w:b/>
                      <w:bCs w:val="0"/>
                      <w:kern w:val="0"/>
                      <w:sz w:val="18"/>
                      <w:szCs w:val="18"/>
                      <w:highlight w:val="none"/>
                      <w:lang w:val="en-US" w:eastAsia="zh-CN"/>
                    </w:rPr>
                    <w:t>/</w:t>
                  </w:r>
                </w:p>
              </w:tc>
            </w:tr>
            <w:tr w14:paraId="55950A7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189" w:hRule="atLeast"/>
                <w:jc w:val="center"/>
              </w:trPr>
              <w:tc>
                <w:tcPr>
                  <w:tcW w:w="1007" w:type="pct"/>
                  <w:gridSpan w:val="3"/>
                  <w:vMerge w:val="continue"/>
                  <w:tcBorders>
                    <w:left w:val="single" w:color="auto" w:sz="4" w:space="0"/>
                    <w:right w:val="single" w:color="auto" w:sz="4" w:space="0"/>
                  </w:tcBorders>
                  <w:vAlign w:val="center"/>
                </w:tcPr>
                <w:p w14:paraId="1BA6110C">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64" w:lineRule="auto"/>
                    <w:ind w:left="0" w:right="0"/>
                    <w:jc w:val="center"/>
                    <w:textAlignment w:val="auto"/>
                    <w:rPr>
                      <w:rFonts w:hint="eastAsia"/>
                      <w:b/>
                      <w:bCs w:val="0"/>
                      <w:kern w:val="0"/>
                      <w:sz w:val="18"/>
                      <w:szCs w:val="18"/>
                      <w:highlight w:val="none"/>
                      <w:lang w:val="en-US" w:eastAsia="zh-CN"/>
                    </w:rPr>
                  </w:pPr>
                </w:p>
              </w:tc>
              <w:tc>
                <w:tcPr>
                  <w:tcW w:w="593" w:type="pct"/>
                  <w:tcBorders>
                    <w:left w:val="single" w:color="auto" w:sz="4" w:space="0"/>
                    <w:bottom w:val="single" w:color="auto" w:sz="4" w:space="0"/>
                    <w:right w:val="single" w:color="auto" w:sz="4" w:space="0"/>
                  </w:tcBorders>
                  <w:shd w:val="clear" w:color="auto" w:fill="auto"/>
                  <w:vAlign w:val="center"/>
                </w:tcPr>
                <w:p w14:paraId="49125E13">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64" w:lineRule="auto"/>
                    <w:ind w:left="0" w:right="0"/>
                    <w:jc w:val="center"/>
                    <w:textAlignment w:val="auto"/>
                    <w:rPr>
                      <w:rFonts w:hint="eastAsia"/>
                      <w:b/>
                      <w:bCs w:val="0"/>
                      <w:kern w:val="0"/>
                      <w:sz w:val="18"/>
                      <w:szCs w:val="18"/>
                      <w:highlight w:val="none"/>
                      <w:lang w:val="en-US" w:eastAsia="zh-CN"/>
                    </w:rPr>
                  </w:pPr>
                  <w:r>
                    <w:rPr>
                      <w:rFonts w:hint="eastAsia"/>
                      <w:b/>
                      <w:bCs w:val="0"/>
                      <w:kern w:val="0"/>
                      <w:sz w:val="18"/>
                      <w:szCs w:val="18"/>
                      <w:highlight w:val="none"/>
                      <w:lang w:val="en-US" w:eastAsia="zh-CN"/>
                    </w:rPr>
                    <w:t>氯气</w:t>
                  </w:r>
                </w:p>
              </w:tc>
              <w:tc>
                <w:tcPr>
                  <w:tcW w:w="714" w:type="pct"/>
                  <w:gridSpan w:val="2"/>
                  <w:tcBorders>
                    <w:top w:val="single" w:color="auto" w:sz="4" w:space="0"/>
                    <w:left w:val="single" w:color="auto" w:sz="4" w:space="0"/>
                    <w:bottom w:val="single" w:color="auto" w:sz="4" w:space="0"/>
                    <w:right w:val="single" w:color="auto" w:sz="4" w:space="0"/>
                  </w:tcBorders>
                  <w:shd w:val="clear" w:color="auto" w:fill="auto"/>
                  <w:vAlign w:val="center"/>
                </w:tcPr>
                <w:p w14:paraId="7501FCC1">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64" w:lineRule="auto"/>
                    <w:ind w:left="0" w:right="0"/>
                    <w:jc w:val="center"/>
                    <w:textAlignment w:val="auto"/>
                    <w:rPr>
                      <w:rFonts w:hint="default" w:ascii="Times New Roman" w:hAnsi="Times New Roman" w:eastAsia="宋体" w:cs="Times New Roman"/>
                      <w:b/>
                      <w:bCs w:val="0"/>
                      <w:kern w:val="0"/>
                      <w:sz w:val="18"/>
                      <w:szCs w:val="18"/>
                      <w:highlight w:val="none"/>
                      <w:lang w:val="en-US" w:eastAsia="zh-CN"/>
                    </w:rPr>
                  </w:pPr>
                  <w:r>
                    <w:rPr>
                      <w:rFonts w:hint="eastAsia" w:cs="Times New Roman"/>
                      <w:b/>
                      <w:bCs w:val="0"/>
                      <w:kern w:val="0"/>
                      <w:sz w:val="18"/>
                      <w:szCs w:val="18"/>
                      <w:highlight w:val="none"/>
                      <w:lang w:val="en-US" w:eastAsia="zh-CN"/>
                    </w:rPr>
                    <w:t>少量</w:t>
                  </w:r>
                </w:p>
              </w:tc>
              <w:tc>
                <w:tcPr>
                  <w:tcW w:w="404" w:type="pct"/>
                  <w:tcBorders>
                    <w:top w:val="single" w:color="auto" w:sz="4" w:space="0"/>
                    <w:left w:val="single" w:color="auto" w:sz="4" w:space="0"/>
                    <w:right w:val="single" w:color="auto" w:sz="4" w:space="0"/>
                  </w:tcBorders>
                  <w:shd w:val="clear" w:color="auto" w:fill="auto"/>
                  <w:vAlign w:val="center"/>
                </w:tcPr>
                <w:p w14:paraId="036FC71C">
                  <w:pPr>
                    <w:keepNext w:val="0"/>
                    <w:keepLines w:val="0"/>
                    <w:suppressLineNumbers w:val="0"/>
                    <w:spacing w:before="0" w:beforeAutospacing="0" w:after="0" w:afterAutospacing="0"/>
                    <w:ind w:left="0" w:right="0"/>
                    <w:jc w:val="center"/>
                    <w:rPr>
                      <w:rFonts w:hint="eastAsia" w:cs="Times New Roman"/>
                      <w:b/>
                      <w:bCs w:val="0"/>
                      <w:color w:val="auto"/>
                      <w:kern w:val="2"/>
                      <w:sz w:val="18"/>
                      <w:szCs w:val="18"/>
                      <w:highlight w:val="none"/>
                      <w:lang w:val="en-US" w:eastAsia="zh-CN" w:bidi="ar-SA"/>
                    </w:rPr>
                  </w:pPr>
                  <w:r>
                    <w:rPr>
                      <w:rFonts w:hint="eastAsia"/>
                      <w:b/>
                      <w:bCs w:val="0"/>
                      <w:kern w:val="0"/>
                      <w:sz w:val="18"/>
                      <w:szCs w:val="18"/>
                      <w:highlight w:val="none"/>
                      <w:lang w:val="en-US" w:eastAsia="zh-CN"/>
                    </w:rPr>
                    <w:t>/</w:t>
                  </w:r>
                </w:p>
              </w:tc>
              <w:tc>
                <w:tcPr>
                  <w:tcW w:w="383" w:type="pct"/>
                  <w:tcBorders>
                    <w:left w:val="single" w:color="auto" w:sz="4" w:space="0"/>
                    <w:right w:val="single" w:color="auto" w:sz="4" w:space="0"/>
                  </w:tcBorders>
                  <w:shd w:val="clear" w:color="auto" w:fill="auto"/>
                  <w:vAlign w:val="center"/>
                </w:tcPr>
                <w:p w14:paraId="687AAE00">
                  <w:pPr>
                    <w:keepNext w:val="0"/>
                    <w:keepLines w:val="0"/>
                    <w:widowControl/>
                    <w:suppressLineNumbers w:val="0"/>
                    <w:spacing w:before="0" w:beforeAutospacing="0" w:after="0" w:afterAutospacing="0" w:line="280" w:lineRule="exact"/>
                    <w:ind w:left="0" w:right="0"/>
                    <w:jc w:val="center"/>
                    <w:textAlignment w:val="center"/>
                    <w:rPr>
                      <w:rFonts w:hint="eastAsia"/>
                      <w:b/>
                      <w:bCs w:val="0"/>
                      <w:snapToGrid w:val="0"/>
                      <w:sz w:val="18"/>
                      <w:szCs w:val="18"/>
                      <w:highlight w:val="none"/>
                      <w:lang w:val="en-US" w:eastAsia="zh-CN"/>
                    </w:rPr>
                  </w:pPr>
                  <w:r>
                    <w:rPr>
                      <w:rFonts w:hint="eastAsia"/>
                      <w:b/>
                      <w:bCs w:val="0"/>
                      <w:kern w:val="0"/>
                      <w:sz w:val="18"/>
                      <w:szCs w:val="18"/>
                      <w:highlight w:val="none"/>
                      <w:lang w:val="en-US" w:eastAsia="zh-CN"/>
                    </w:rPr>
                    <w:t>/</w:t>
                  </w:r>
                </w:p>
              </w:tc>
              <w:tc>
                <w:tcPr>
                  <w:tcW w:w="240" w:type="pct"/>
                  <w:tcBorders>
                    <w:left w:val="single" w:color="auto" w:sz="4" w:space="0"/>
                    <w:right w:val="single" w:color="auto" w:sz="4" w:space="0"/>
                  </w:tcBorders>
                  <w:shd w:val="clear" w:color="auto" w:fill="auto"/>
                  <w:vAlign w:val="center"/>
                </w:tcPr>
                <w:p w14:paraId="3759BA9E">
                  <w:pPr>
                    <w:keepNext w:val="0"/>
                    <w:keepLines w:val="0"/>
                    <w:widowControl/>
                    <w:suppressLineNumbers w:val="0"/>
                    <w:spacing w:before="0" w:beforeAutospacing="0" w:after="0" w:afterAutospacing="0" w:line="280" w:lineRule="exact"/>
                    <w:ind w:left="0" w:right="0"/>
                    <w:jc w:val="center"/>
                    <w:textAlignment w:val="center"/>
                    <w:rPr>
                      <w:rFonts w:hint="eastAsia"/>
                      <w:b/>
                      <w:bCs w:val="0"/>
                      <w:kern w:val="0"/>
                      <w:sz w:val="18"/>
                      <w:szCs w:val="18"/>
                      <w:highlight w:val="none"/>
                      <w:lang w:val="en-US" w:eastAsia="zh-CN"/>
                    </w:rPr>
                  </w:pPr>
                  <w:r>
                    <w:rPr>
                      <w:rFonts w:hint="eastAsia"/>
                      <w:b/>
                      <w:bCs w:val="0"/>
                      <w:kern w:val="0"/>
                      <w:sz w:val="18"/>
                      <w:szCs w:val="18"/>
                      <w:highlight w:val="none"/>
                      <w:lang w:val="en-US" w:eastAsia="zh-CN"/>
                    </w:rPr>
                    <w:t>/</w:t>
                  </w:r>
                </w:p>
              </w:tc>
              <w:tc>
                <w:tcPr>
                  <w:tcW w:w="317" w:type="pct"/>
                  <w:tcBorders>
                    <w:left w:val="single" w:color="auto" w:sz="4" w:space="0"/>
                    <w:right w:val="single" w:color="auto" w:sz="4" w:space="0"/>
                  </w:tcBorders>
                  <w:shd w:val="clear" w:color="auto" w:fill="auto"/>
                  <w:vAlign w:val="center"/>
                </w:tcPr>
                <w:p w14:paraId="06A63055">
                  <w:pPr>
                    <w:keepNext w:val="0"/>
                    <w:keepLines w:val="0"/>
                    <w:widowControl/>
                    <w:suppressLineNumbers w:val="0"/>
                    <w:spacing w:before="0" w:beforeAutospacing="0" w:after="0" w:afterAutospacing="0" w:line="280" w:lineRule="exact"/>
                    <w:ind w:left="0" w:right="0"/>
                    <w:jc w:val="center"/>
                    <w:textAlignment w:val="center"/>
                    <w:rPr>
                      <w:rFonts w:hint="eastAsia" w:cs="Times New Roman"/>
                      <w:b/>
                      <w:bCs w:val="0"/>
                      <w:kern w:val="2"/>
                      <w:sz w:val="18"/>
                      <w:szCs w:val="18"/>
                      <w:highlight w:val="none"/>
                      <w:lang w:val="en-US" w:eastAsia="zh-CN" w:bidi="ar"/>
                    </w:rPr>
                  </w:pPr>
                  <w:r>
                    <w:rPr>
                      <w:rFonts w:hint="eastAsia"/>
                      <w:b/>
                      <w:bCs w:val="0"/>
                      <w:kern w:val="0"/>
                      <w:sz w:val="18"/>
                      <w:szCs w:val="18"/>
                      <w:highlight w:val="none"/>
                      <w:lang w:val="en-US" w:eastAsia="zh-CN"/>
                    </w:rPr>
                    <w:t>/</w:t>
                  </w:r>
                </w:p>
              </w:tc>
              <w:tc>
                <w:tcPr>
                  <w:tcW w:w="743" w:type="pct"/>
                  <w:gridSpan w:val="2"/>
                  <w:tcBorders>
                    <w:top w:val="single" w:color="auto" w:sz="4" w:space="0"/>
                    <w:left w:val="single" w:color="auto" w:sz="4" w:space="0"/>
                    <w:right w:val="single" w:color="auto" w:sz="4" w:space="0"/>
                  </w:tcBorders>
                  <w:shd w:val="clear" w:color="auto" w:fill="auto"/>
                  <w:vAlign w:val="center"/>
                </w:tcPr>
                <w:p w14:paraId="3E3848FA">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64" w:lineRule="auto"/>
                    <w:ind w:left="0" w:right="0"/>
                    <w:jc w:val="center"/>
                    <w:textAlignment w:val="auto"/>
                    <w:rPr>
                      <w:rFonts w:hint="eastAsia" w:ascii="Times New Roman" w:hAnsi="Times New Roman" w:eastAsia="宋体" w:cs="Times New Roman"/>
                      <w:b/>
                      <w:bCs w:val="0"/>
                      <w:kern w:val="0"/>
                      <w:sz w:val="18"/>
                      <w:szCs w:val="18"/>
                      <w:highlight w:val="none"/>
                      <w:lang w:val="en-US" w:eastAsia="zh-CN"/>
                    </w:rPr>
                  </w:pPr>
                  <w:r>
                    <w:rPr>
                      <w:rFonts w:hint="eastAsia" w:cs="Times New Roman"/>
                      <w:b/>
                      <w:bCs w:val="0"/>
                      <w:kern w:val="0"/>
                      <w:sz w:val="18"/>
                      <w:szCs w:val="18"/>
                      <w:highlight w:val="none"/>
                      <w:lang w:val="en-US" w:eastAsia="zh-CN"/>
                    </w:rPr>
                    <w:t>少量</w:t>
                  </w:r>
                </w:p>
              </w:tc>
              <w:tc>
                <w:tcPr>
                  <w:tcW w:w="340" w:type="pct"/>
                  <w:tcBorders>
                    <w:top w:val="single" w:color="auto" w:sz="4" w:space="0"/>
                    <w:left w:val="single" w:color="auto" w:sz="4" w:space="0"/>
                    <w:right w:val="single" w:color="auto" w:sz="4" w:space="0"/>
                  </w:tcBorders>
                  <w:shd w:val="clear" w:color="auto" w:fill="auto"/>
                  <w:vAlign w:val="center"/>
                </w:tcPr>
                <w:p w14:paraId="119221D4">
                  <w:pPr>
                    <w:keepNext w:val="0"/>
                    <w:keepLines w:val="0"/>
                    <w:suppressLineNumbers w:val="0"/>
                    <w:spacing w:before="0" w:beforeAutospacing="0" w:after="0" w:afterAutospacing="0"/>
                    <w:ind w:left="0" w:right="0"/>
                    <w:jc w:val="center"/>
                    <w:rPr>
                      <w:rFonts w:hint="eastAsia" w:cs="Times New Roman"/>
                      <w:b/>
                      <w:bCs w:val="0"/>
                      <w:color w:val="auto"/>
                      <w:kern w:val="2"/>
                      <w:sz w:val="18"/>
                      <w:szCs w:val="18"/>
                      <w:highlight w:val="none"/>
                      <w:lang w:val="en-US" w:eastAsia="zh-CN" w:bidi="ar-SA"/>
                    </w:rPr>
                  </w:pPr>
                  <w:r>
                    <w:rPr>
                      <w:rFonts w:hint="eastAsia"/>
                      <w:b/>
                      <w:bCs w:val="0"/>
                      <w:kern w:val="0"/>
                      <w:sz w:val="18"/>
                      <w:szCs w:val="18"/>
                      <w:highlight w:val="none"/>
                      <w:lang w:val="en-US" w:eastAsia="zh-CN"/>
                    </w:rPr>
                    <w:t>/</w:t>
                  </w:r>
                </w:p>
              </w:tc>
              <w:tc>
                <w:tcPr>
                  <w:tcW w:w="255" w:type="pct"/>
                  <w:tcBorders>
                    <w:left w:val="single" w:color="auto" w:sz="4" w:space="0"/>
                    <w:right w:val="single" w:color="auto" w:sz="4" w:space="0"/>
                  </w:tcBorders>
                  <w:vAlign w:val="center"/>
                </w:tcPr>
                <w:p w14:paraId="190E7AAD">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64" w:lineRule="auto"/>
                    <w:ind w:left="0" w:right="0"/>
                    <w:jc w:val="center"/>
                    <w:textAlignment w:val="auto"/>
                    <w:rPr>
                      <w:rFonts w:hint="eastAsia"/>
                      <w:b/>
                      <w:bCs w:val="0"/>
                      <w:kern w:val="0"/>
                      <w:sz w:val="18"/>
                      <w:szCs w:val="18"/>
                      <w:highlight w:val="none"/>
                      <w:lang w:val="en-US" w:eastAsia="zh-CN"/>
                    </w:rPr>
                  </w:pPr>
                  <w:r>
                    <w:rPr>
                      <w:rFonts w:hint="eastAsia"/>
                      <w:b/>
                      <w:bCs w:val="0"/>
                      <w:kern w:val="0"/>
                      <w:sz w:val="18"/>
                      <w:szCs w:val="18"/>
                      <w:highlight w:val="none"/>
                      <w:lang w:val="en-US" w:eastAsia="zh-CN"/>
                    </w:rPr>
                    <w:t>/</w:t>
                  </w:r>
                </w:p>
              </w:tc>
            </w:tr>
            <w:tr w14:paraId="0266764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189" w:hRule="atLeast"/>
                <w:jc w:val="center"/>
              </w:trPr>
              <w:tc>
                <w:tcPr>
                  <w:tcW w:w="1007" w:type="pct"/>
                  <w:gridSpan w:val="3"/>
                  <w:vMerge w:val="continue"/>
                  <w:tcBorders>
                    <w:left w:val="single" w:color="auto" w:sz="4" w:space="0"/>
                    <w:right w:val="single" w:color="auto" w:sz="4" w:space="0"/>
                  </w:tcBorders>
                  <w:vAlign w:val="center"/>
                </w:tcPr>
                <w:p w14:paraId="596EC07C">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64" w:lineRule="auto"/>
                    <w:ind w:left="0" w:right="0"/>
                    <w:jc w:val="center"/>
                    <w:textAlignment w:val="auto"/>
                    <w:rPr>
                      <w:rFonts w:hint="eastAsia"/>
                      <w:b/>
                      <w:bCs w:val="0"/>
                      <w:kern w:val="0"/>
                      <w:sz w:val="18"/>
                      <w:szCs w:val="18"/>
                      <w:highlight w:val="none"/>
                      <w:lang w:val="en-US" w:eastAsia="zh-CN"/>
                    </w:rPr>
                  </w:pPr>
                </w:p>
              </w:tc>
              <w:tc>
                <w:tcPr>
                  <w:tcW w:w="593" w:type="pct"/>
                  <w:tcBorders>
                    <w:left w:val="single" w:color="auto" w:sz="4" w:space="0"/>
                    <w:bottom w:val="single" w:color="auto" w:sz="4" w:space="0"/>
                    <w:right w:val="single" w:color="auto" w:sz="4" w:space="0"/>
                  </w:tcBorders>
                  <w:shd w:val="clear" w:color="auto" w:fill="auto"/>
                  <w:vAlign w:val="center"/>
                </w:tcPr>
                <w:p w14:paraId="62D08094">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64" w:lineRule="auto"/>
                    <w:ind w:left="0" w:right="0"/>
                    <w:jc w:val="center"/>
                    <w:textAlignment w:val="auto"/>
                    <w:rPr>
                      <w:rFonts w:hint="default"/>
                      <w:b/>
                      <w:bCs w:val="0"/>
                      <w:kern w:val="0"/>
                      <w:sz w:val="18"/>
                      <w:szCs w:val="18"/>
                      <w:highlight w:val="none"/>
                      <w:lang w:val="en-US" w:eastAsia="zh-CN"/>
                    </w:rPr>
                  </w:pPr>
                  <w:r>
                    <w:rPr>
                      <w:rFonts w:hint="eastAsia"/>
                      <w:b/>
                      <w:bCs w:val="0"/>
                      <w:kern w:val="0"/>
                      <w:sz w:val="18"/>
                      <w:szCs w:val="18"/>
                      <w:highlight w:val="none"/>
                      <w:lang w:val="en-US" w:eastAsia="zh-CN"/>
                    </w:rPr>
                    <w:t>颗粒物</w:t>
                  </w:r>
                </w:p>
              </w:tc>
              <w:tc>
                <w:tcPr>
                  <w:tcW w:w="714" w:type="pct"/>
                  <w:gridSpan w:val="2"/>
                  <w:tcBorders>
                    <w:top w:val="single" w:color="auto" w:sz="4" w:space="0"/>
                    <w:left w:val="single" w:color="auto" w:sz="4" w:space="0"/>
                    <w:bottom w:val="single" w:color="auto" w:sz="4" w:space="0"/>
                    <w:right w:val="single" w:color="auto" w:sz="4" w:space="0"/>
                  </w:tcBorders>
                  <w:shd w:val="clear" w:color="auto" w:fill="auto"/>
                  <w:vAlign w:val="center"/>
                </w:tcPr>
                <w:p w14:paraId="4317C487">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64" w:lineRule="auto"/>
                    <w:ind w:left="0" w:right="0"/>
                    <w:jc w:val="center"/>
                    <w:textAlignment w:val="auto"/>
                    <w:rPr>
                      <w:rFonts w:hint="eastAsia" w:cs="Times New Roman"/>
                      <w:b/>
                      <w:bCs w:val="0"/>
                      <w:kern w:val="0"/>
                      <w:sz w:val="18"/>
                      <w:szCs w:val="18"/>
                      <w:highlight w:val="none"/>
                      <w:lang w:val="en-US" w:eastAsia="zh-CN"/>
                    </w:rPr>
                  </w:pPr>
                  <w:r>
                    <w:rPr>
                      <w:rFonts w:hint="eastAsia" w:cs="Times New Roman"/>
                      <w:b/>
                      <w:bCs w:val="0"/>
                      <w:kern w:val="0"/>
                      <w:sz w:val="18"/>
                      <w:szCs w:val="18"/>
                      <w:highlight w:val="none"/>
                      <w:lang w:val="en-US" w:eastAsia="zh-CN"/>
                    </w:rPr>
                    <w:t>少量</w:t>
                  </w:r>
                </w:p>
              </w:tc>
              <w:tc>
                <w:tcPr>
                  <w:tcW w:w="404" w:type="pct"/>
                  <w:tcBorders>
                    <w:top w:val="single" w:color="auto" w:sz="4" w:space="0"/>
                    <w:left w:val="single" w:color="auto" w:sz="4" w:space="0"/>
                    <w:right w:val="single" w:color="auto" w:sz="4" w:space="0"/>
                  </w:tcBorders>
                  <w:shd w:val="clear" w:color="auto" w:fill="auto"/>
                  <w:vAlign w:val="center"/>
                </w:tcPr>
                <w:p w14:paraId="5C84307B">
                  <w:pPr>
                    <w:keepNext w:val="0"/>
                    <w:keepLines w:val="0"/>
                    <w:suppressLineNumbers w:val="0"/>
                    <w:spacing w:before="0" w:beforeAutospacing="0" w:after="0" w:afterAutospacing="0"/>
                    <w:ind w:left="0" w:leftChars="0" w:right="0" w:rightChars="0"/>
                    <w:jc w:val="center"/>
                    <w:rPr>
                      <w:rFonts w:hint="eastAsia" w:ascii="Times New Roman" w:hAnsi="Times New Roman" w:eastAsia="宋体" w:cs="Times New Roman"/>
                      <w:b/>
                      <w:bCs w:val="0"/>
                      <w:color w:val="auto"/>
                      <w:kern w:val="2"/>
                      <w:sz w:val="18"/>
                      <w:szCs w:val="18"/>
                      <w:highlight w:val="none"/>
                      <w:lang w:val="en-US" w:eastAsia="zh-CN" w:bidi="ar-SA"/>
                    </w:rPr>
                  </w:pPr>
                  <w:r>
                    <w:rPr>
                      <w:rFonts w:hint="eastAsia"/>
                      <w:b/>
                      <w:bCs w:val="0"/>
                      <w:kern w:val="0"/>
                      <w:sz w:val="18"/>
                      <w:szCs w:val="18"/>
                      <w:highlight w:val="none"/>
                      <w:lang w:val="en-US" w:eastAsia="zh-CN"/>
                    </w:rPr>
                    <w:t>/</w:t>
                  </w:r>
                </w:p>
              </w:tc>
              <w:tc>
                <w:tcPr>
                  <w:tcW w:w="383" w:type="pct"/>
                  <w:tcBorders>
                    <w:left w:val="single" w:color="auto" w:sz="4" w:space="0"/>
                    <w:right w:val="single" w:color="auto" w:sz="4" w:space="0"/>
                  </w:tcBorders>
                  <w:shd w:val="clear" w:color="auto" w:fill="auto"/>
                  <w:vAlign w:val="center"/>
                </w:tcPr>
                <w:p w14:paraId="7C8F33F2">
                  <w:pPr>
                    <w:keepNext w:val="0"/>
                    <w:keepLines w:val="0"/>
                    <w:widowControl/>
                    <w:suppressLineNumbers w:val="0"/>
                    <w:spacing w:before="0" w:beforeAutospacing="0" w:after="0" w:afterAutospacing="0" w:line="280" w:lineRule="exact"/>
                    <w:ind w:left="0" w:leftChars="0" w:right="0" w:rightChars="0"/>
                    <w:jc w:val="center"/>
                    <w:textAlignment w:val="center"/>
                    <w:rPr>
                      <w:rFonts w:hint="eastAsia" w:ascii="Times New Roman" w:hAnsi="Times New Roman" w:eastAsia="宋体" w:cs="Times New Roman"/>
                      <w:b/>
                      <w:bCs w:val="0"/>
                      <w:snapToGrid w:val="0"/>
                      <w:kern w:val="2"/>
                      <w:sz w:val="18"/>
                      <w:szCs w:val="18"/>
                      <w:highlight w:val="none"/>
                      <w:lang w:val="en-US" w:eastAsia="zh-CN" w:bidi="ar-SA"/>
                    </w:rPr>
                  </w:pPr>
                  <w:r>
                    <w:rPr>
                      <w:rFonts w:hint="eastAsia"/>
                      <w:b/>
                      <w:bCs w:val="0"/>
                      <w:kern w:val="0"/>
                      <w:sz w:val="18"/>
                      <w:szCs w:val="18"/>
                      <w:highlight w:val="none"/>
                      <w:lang w:val="en-US" w:eastAsia="zh-CN"/>
                    </w:rPr>
                    <w:t>/</w:t>
                  </w:r>
                </w:p>
              </w:tc>
              <w:tc>
                <w:tcPr>
                  <w:tcW w:w="240" w:type="pct"/>
                  <w:tcBorders>
                    <w:left w:val="single" w:color="auto" w:sz="4" w:space="0"/>
                    <w:right w:val="single" w:color="auto" w:sz="4" w:space="0"/>
                  </w:tcBorders>
                  <w:shd w:val="clear" w:color="auto" w:fill="auto"/>
                  <w:vAlign w:val="center"/>
                </w:tcPr>
                <w:p w14:paraId="772C2B0F">
                  <w:pPr>
                    <w:keepNext w:val="0"/>
                    <w:keepLines w:val="0"/>
                    <w:widowControl/>
                    <w:suppressLineNumbers w:val="0"/>
                    <w:spacing w:before="0" w:beforeAutospacing="0" w:after="0" w:afterAutospacing="0" w:line="280" w:lineRule="exact"/>
                    <w:ind w:left="0" w:leftChars="0" w:right="0" w:rightChars="0"/>
                    <w:jc w:val="center"/>
                    <w:textAlignment w:val="center"/>
                    <w:rPr>
                      <w:rFonts w:hint="eastAsia" w:ascii="Times New Roman" w:hAnsi="Times New Roman" w:eastAsia="宋体" w:cs="Times New Roman"/>
                      <w:b/>
                      <w:bCs w:val="0"/>
                      <w:kern w:val="0"/>
                      <w:sz w:val="18"/>
                      <w:szCs w:val="18"/>
                      <w:highlight w:val="none"/>
                      <w:lang w:val="en-US" w:eastAsia="zh-CN" w:bidi="ar-SA"/>
                    </w:rPr>
                  </w:pPr>
                  <w:r>
                    <w:rPr>
                      <w:rFonts w:hint="eastAsia"/>
                      <w:b/>
                      <w:bCs w:val="0"/>
                      <w:kern w:val="0"/>
                      <w:sz w:val="18"/>
                      <w:szCs w:val="18"/>
                      <w:highlight w:val="none"/>
                      <w:lang w:val="en-US" w:eastAsia="zh-CN"/>
                    </w:rPr>
                    <w:t>/</w:t>
                  </w:r>
                </w:p>
              </w:tc>
              <w:tc>
                <w:tcPr>
                  <w:tcW w:w="317" w:type="pct"/>
                  <w:tcBorders>
                    <w:left w:val="single" w:color="auto" w:sz="4" w:space="0"/>
                    <w:right w:val="single" w:color="auto" w:sz="4" w:space="0"/>
                  </w:tcBorders>
                  <w:shd w:val="clear" w:color="auto" w:fill="auto"/>
                  <w:vAlign w:val="center"/>
                </w:tcPr>
                <w:p w14:paraId="23CD91CC">
                  <w:pPr>
                    <w:keepNext w:val="0"/>
                    <w:keepLines w:val="0"/>
                    <w:widowControl/>
                    <w:suppressLineNumbers w:val="0"/>
                    <w:spacing w:before="0" w:beforeAutospacing="0" w:after="0" w:afterAutospacing="0" w:line="280" w:lineRule="exact"/>
                    <w:ind w:left="0" w:leftChars="0" w:right="0" w:rightChars="0"/>
                    <w:jc w:val="center"/>
                    <w:textAlignment w:val="center"/>
                    <w:rPr>
                      <w:rFonts w:hint="eastAsia" w:ascii="Times New Roman" w:hAnsi="Times New Roman" w:eastAsia="宋体" w:cs="Times New Roman"/>
                      <w:b/>
                      <w:bCs w:val="0"/>
                      <w:kern w:val="2"/>
                      <w:sz w:val="18"/>
                      <w:szCs w:val="18"/>
                      <w:highlight w:val="none"/>
                      <w:lang w:val="en-US" w:eastAsia="zh-CN" w:bidi="ar"/>
                    </w:rPr>
                  </w:pPr>
                  <w:r>
                    <w:rPr>
                      <w:rFonts w:hint="eastAsia"/>
                      <w:b/>
                      <w:bCs w:val="0"/>
                      <w:kern w:val="0"/>
                      <w:sz w:val="18"/>
                      <w:szCs w:val="18"/>
                      <w:highlight w:val="none"/>
                      <w:lang w:val="en-US" w:eastAsia="zh-CN"/>
                    </w:rPr>
                    <w:t>/</w:t>
                  </w:r>
                </w:p>
              </w:tc>
              <w:tc>
                <w:tcPr>
                  <w:tcW w:w="743" w:type="pct"/>
                  <w:gridSpan w:val="2"/>
                  <w:tcBorders>
                    <w:top w:val="single" w:color="auto" w:sz="4" w:space="0"/>
                    <w:left w:val="single" w:color="auto" w:sz="4" w:space="0"/>
                    <w:right w:val="single" w:color="auto" w:sz="4" w:space="0"/>
                  </w:tcBorders>
                  <w:shd w:val="clear" w:color="auto" w:fill="auto"/>
                  <w:vAlign w:val="center"/>
                </w:tcPr>
                <w:p w14:paraId="29BBBF5E">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64" w:lineRule="auto"/>
                    <w:ind w:left="0" w:right="0"/>
                    <w:jc w:val="center"/>
                    <w:textAlignment w:val="auto"/>
                    <w:rPr>
                      <w:rFonts w:hint="eastAsia" w:cs="Times New Roman"/>
                      <w:b/>
                      <w:bCs w:val="0"/>
                      <w:kern w:val="0"/>
                      <w:sz w:val="18"/>
                      <w:szCs w:val="18"/>
                      <w:highlight w:val="none"/>
                      <w:lang w:val="en-US" w:eastAsia="zh-CN"/>
                    </w:rPr>
                  </w:pPr>
                  <w:r>
                    <w:rPr>
                      <w:rFonts w:hint="eastAsia" w:cs="Times New Roman"/>
                      <w:b/>
                      <w:bCs w:val="0"/>
                      <w:kern w:val="0"/>
                      <w:sz w:val="18"/>
                      <w:szCs w:val="18"/>
                      <w:highlight w:val="none"/>
                      <w:lang w:val="en-US" w:eastAsia="zh-CN"/>
                    </w:rPr>
                    <w:t>少量</w:t>
                  </w:r>
                </w:p>
              </w:tc>
              <w:tc>
                <w:tcPr>
                  <w:tcW w:w="340" w:type="pct"/>
                  <w:tcBorders>
                    <w:top w:val="single" w:color="auto" w:sz="4" w:space="0"/>
                    <w:left w:val="single" w:color="auto" w:sz="4" w:space="0"/>
                    <w:right w:val="single" w:color="auto" w:sz="4" w:space="0"/>
                  </w:tcBorders>
                  <w:shd w:val="clear" w:color="auto" w:fill="auto"/>
                  <w:vAlign w:val="center"/>
                </w:tcPr>
                <w:p w14:paraId="2AEDA0D8">
                  <w:pPr>
                    <w:keepNext w:val="0"/>
                    <w:keepLines w:val="0"/>
                    <w:suppressLineNumbers w:val="0"/>
                    <w:spacing w:before="0" w:beforeAutospacing="0" w:after="0" w:afterAutospacing="0"/>
                    <w:ind w:left="0" w:leftChars="0" w:right="0" w:rightChars="0"/>
                    <w:jc w:val="center"/>
                    <w:rPr>
                      <w:rFonts w:hint="eastAsia" w:ascii="Times New Roman" w:hAnsi="Times New Roman" w:eastAsia="宋体" w:cs="Times New Roman"/>
                      <w:b/>
                      <w:bCs w:val="0"/>
                      <w:color w:val="auto"/>
                      <w:kern w:val="2"/>
                      <w:sz w:val="18"/>
                      <w:szCs w:val="18"/>
                      <w:highlight w:val="none"/>
                      <w:lang w:val="en-US" w:eastAsia="zh-CN" w:bidi="ar-SA"/>
                    </w:rPr>
                  </w:pPr>
                  <w:r>
                    <w:rPr>
                      <w:rFonts w:hint="eastAsia"/>
                      <w:b/>
                      <w:bCs w:val="0"/>
                      <w:kern w:val="0"/>
                      <w:sz w:val="18"/>
                      <w:szCs w:val="18"/>
                      <w:highlight w:val="none"/>
                      <w:lang w:val="en-US" w:eastAsia="zh-CN"/>
                    </w:rPr>
                    <w:t>/</w:t>
                  </w:r>
                </w:p>
              </w:tc>
              <w:tc>
                <w:tcPr>
                  <w:tcW w:w="255" w:type="pct"/>
                  <w:tcBorders>
                    <w:left w:val="single" w:color="auto" w:sz="4" w:space="0"/>
                    <w:right w:val="single" w:color="auto" w:sz="4" w:space="0"/>
                  </w:tcBorders>
                  <w:shd w:val="clear" w:color="auto" w:fill="auto"/>
                  <w:vAlign w:val="center"/>
                </w:tcPr>
                <w:p w14:paraId="2F9838EC">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64" w:lineRule="auto"/>
                    <w:ind w:left="0" w:leftChars="0" w:right="0" w:rightChars="0"/>
                    <w:jc w:val="center"/>
                    <w:textAlignment w:val="auto"/>
                    <w:rPr>
                      <w:rFonts w:hint="eastAsia" w:ascii="Times New Roman" w:hAnsi="Times New Roman" w:eastAsia="宋体" w:cs="Times New Roman"/>
                      <w:b/>
                      <w:bCs w:val="0"/>
                      <w:kern w:val="0"/>
                      <w:sz w:val="18"/>
                      <w:szCs w:val="18"/>
                      <w:highlight w:val="none"/>
                      <w:lang w:val="en-US" w:eastAsia="zh-CN" w:bidi="ar-SA"/>
                    </w:rPr>
                  </w:pPr>
                  <w:r>
                    <w:rPr>
                      <w:rFonts w:hint="eastAsia"/>
                      <w:b/>
                      <w:bCs w:val="0"/>
                      <w:kern w:val="0"/>
                      <w:sz w:val="18"/>
                      <w:szCs w:val="18"/>
                      <w:highlight w:val="none"/>
                      <w:lang w:val="en-US" w:eastAsia="zh-CN"/>
                    </w:rPr>
                    <w:t>/</w:t>
                  </w:r>
                </w:p>
              </w:tc>
            </w:tr>
            <w:tr w14:paraId="36265A5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189" w:hRule="atLeast"/>
                <w:jc w:val="center"/>
              </w:trPr>
              <w:tc>
                <w:tcPr>
                  <w:tcW w:w="1007" w:type="pct"/>
                  <w:gridSpan w:val="3"/>
                  <w:vMerge w:val="continue"/>
                  <w:tcBorders>
                    <w:left w:val="single" w:color="auto" w:sz="4" w:space="0"/>
                    <w:right w:val="single" w:color="auto" w:sz="4" w:space="0"/>
                  </w:tcBorders>
                  <w:vAlign w:val="center"/>
                </w:tcPr>
                <w:p w14:paraId="7734ED31">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64" w:lineRule="auto"/>
                    <w:ind w:left="0" w:right="0"/>
                    <w:jc w:val="center"/>
                    <w:textAlignment w:val="auto"/>
                    <w:rPr>
                      <w:rFonts w:hint="eastAsia"/>
                      <w:b/>
                      <w:bCs w:val="0"/>
                      <w:kern w:val="0"/>
                      <w:sz w:val="18"/>
                      <w:szCs w:val="18"/>
                      <w:highlight w:val="none"/>
                      <w:lang w:val="en-US" w:eastAsia="zh-CN"/>
                    </w:rPr>
                  </w:pPr>
                </w:p>
              </w:tc>
              <w:tc>
                <w:tcPr>
                  <w:tcW w:w="593" w:type="pct"/>
                  <w:tcBorders>
                    <w:left w:val="single" w:color="auto" w:sz="4" w:space="0"/>
                    <w:bottom w:val="single" w:color="auto" w:sz="4" w:space="0"/>
                    <w:right w:val="single" w:color="auto" w:sz="4" w:space="0"/>
                  </w:tcBorders>
                  <w:shd w:val="clear" w:color="auto" w:fill="auto"/>
                  <w:vAlign w:val="center"/>
                </w:tcPr>
                <w:p w14:paraId="089A7C15">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64" w:lineRule="auto"/>
                    <w:ind w:left="0" w:right="0"/>
                    <w:jc w:val="center"/>
                    <w:textAlignment w:val="auto"/>
                    <w:rPr>
                      <w:rFonts w:hint="default"/>
                      <w:b/>
                      <w:bCs w:val="0"/>
                      <w:kern w:val="0"/>
                      <w:sz w:val="18"/>
                      <w:szCs w:val="18"/>
                      <w:highlight w:val="none"/>
                      <w:lang w:val="en-US" w:eastAsia="zh-CN"/>
                    </w:rPr>
                  </w:pPr>
                  <w:r>
                    <w:rPr>
                      <w:rFonts w:hint="eastAsia"/>
                      <w:b/>
                      <w:bCs w:val="0"/>
                      <w:kern w:val="0"/>
                      <w:sz w:val="18"/>
                      <w:szCs w:val="18"/>
                      <w:highlight w:val="none"/>
                      <w:lang w:val="en-US" w:eastAsia="zh-CN"/>
                    </w:rPr>
                    <w:t>甲醛</w:t>
                  </w:r>
                </w:p>
              </w:tc>
              <w:tc>
                <w:tcPr>
                  <w:tcW w:w="357" w:type="pct"/>
                  <w:tcBorders>
                    <w:top w:val="single" w:color="auto" w:sz="4" w:space="0"/>
                    <w:left w:val="single" w:color="auto" w:sz="4" w:space="0"/>
                    <w:bottom w:val="single" w:color="auto" w:sz="4" w:space="0"/>
                    <w:right w:val="single" w:color="auto" w:sz="4" w:space="0"/>
                  </w:tcBorders>
                  <w:shd w:val="clear" w:color="auto" w:fill="auto"/>
                  <w:vAlign w:val="center"/>
                </w:tcPr>
                <w:p w14:paraId="1959AF37">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64" w:lineRule="auto"/>
                    <w:ind w:left="0" w:right="0"/>
                    <w:jc w:val="center"/>
                    <w:textAlignment w:val="auto"/>
                    <w:rPr>
                      <w:rFonts w:hint="default" w:ascii="Times New Roman" w:hAnsi="Times New Roman" w:eastAsia="宋体" w:cs="Times New Roman"/>
                      <w:b/>
                      <w:bCs w:val="0"/>
                      <w:kern w:val="0"/>
                      <w:sz w:val="18"/>
                      <w:szCs w:val="18"/>
                      <w:highlight w:val="none"/>
                      <w:lang w:val="en-US" w:eastAsia="zh-CN"/>
                    </w:rPr>
                  </w:pPr>
                  <w:r>
                    <w:rPr>
                      <w:rFonts w:hint="eastAsia" w:ascii="Times New Roman" w:hAnsi="Times New Roman" w:eastAsia="宋体" w:cs="Times New Roman"/>
                      <w:b/>
                      <w:bCs w:val="0"/>
                      <w:kern w:val="0"/>
                      <w:sz w:val="18"/>
                      <w:szCs w:val="18"/>
                      <w:highlight w:val="none"/>
                      <w:lang w:val="en-US" w:eastAsia="zh-CN"/>
                    </w:rPr>
                    <w:t>0.027</w:t>
                  </w:r>
                </w:p>
              </w:tc>
              <w:tc>
                <w:tcPr>
                  <w:tcW w:w="357" w:type="pct"/>
                  <w:tcBorders>
                    <w:top w:val="single" w:color="auto" w:sz="4" w:space="0"/>
                    <w:left w:val="single" w:color="auto" w:sz="4" w:space="0"/>
                    <w:bottom w:val="single" w:color="auto" w:sz="4" w:space="0"/>
                    <w:right w:val="single" w:color="auto" w:sz="4" w:space="0"/>
                  </w:tcBorders>
                  <w:shd w:val="clear" w:color="auto" w:fill="auto"/>
                  <w:vAlign w:val="center"/>
                </w:tcPr>
                <w:p w14:paraId="3CB53B78">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64" w:lineRule="auto"/>
                    <w:ind w:left="0" w:right="0"/>
                    <w:jc w:val="center"/>
                    <w:textAlignment w:val="auto"/>
                    <w:rPr>
                      <w:rFonts w:hint="default" w:ascii="Times New Roman" w:hAnsi="Times New Roman" w:eastAsia="宋体" w:cs="Times New Roman"/>
                      <w:b/>
                      <w:bCs w:val="0"/>
                      <w:kern w:val="0"/>
                      <w:sz w:val="18"/>
                      <w:szCs w:val="18"/>
                      <w:highlight w:val="none"/>
                      <w:lang w:val="en-US" w:eastAsia="zh-CN"/>
                    </w:rPr>
                  </w:pPr>
                  <w:r>
                    <w:rPr>
                      <w:rFonts w:hint="eastAsia" w:ascii="Times New Roman" w:hAnsi="Times New Roman" w:eastAsia="宋体" w:cs="Times New Roman"/>
                      <w:b/>
                      <w:bCs w:val="0"/>
                      <w:kern w:val="0"/>
                      <w:sz w:val="18"/>
                      <w:szCs w:val="18"/>
                      <w:highlight w:val="none"/>
                      <w:lang w:val="en-US" w:eastAsia="zh-CN"/>
                    </w:rPr>
                    <w:t>0.012</w:t>
                  </w:r>
                </w:p>
              </w:tc>
              <w:tc>
                <w:tcPr>
                  <w:tcW w:w="404" w:type="pct"/>
                  <w:tcBorders>
                    <w:top w:val="single" w:color="auto" w:sz="4" w:space="0"/>
                    <w:left w:val="single" w:color="auto" w:sz="4" w:space="0"/>
                    <w:right w:val="single" w:color="auto" w:sz="4" w:space="0"/>
                  </w:tcBorders>
                  <w:shd w:val="clear" w:color="auto" w:fill="auto"/>
                  <w:vAlign w:val="center"/>
                </w:tcPr>
                <w:p w14:paraId="5395A289">
                  <w:pPr>
                    <w:keepNext w:val="0"/>
                    <w:keepLines w:val="0"/>
                    <w:suppressLineNumbers w:val="0"/>
                    <w:spacing w:before="0" w:beforeAutospacing="0" w:after="0" w:afterAutospacing="0"/>
                    <w:ind w:left="0" w:right="0"/>
                    <w:jc w:val="center"/>
                    <w:rPr>
                      <w:rFonts w:hint="eastAsia" w:cs="Times New Roman"/>
                      <w:b/>
                      <w:bCs w:val="0"/>
                      <w:color w:val="auto"/>
                      <w:kern w:val="2"/>
                      <w:sz w:val="18"/>
                      <w:szCs w:val="18"/>
                      <w:highlight w:val="none"/>
                      <w:lang w:val="en-US" w:eastAsia="zh-CN" w:bidi="ar-SA"/>
                    </w:rPr>
                  </w:pPr>
                  <w:r>
                    <w:rPr>
                      <w:rFonts w:hint="eastAsia"/>
                      <w:b/>
                      <w:bCs w:val="0"/>
                      <w:kern w:val="0"/>
                      <w:sz w:val="18"/>
                      <w:szCs w:val="18"/>
                      <w:highlight w:val="none"/>
                      <w:lang w:val="en-US" w:eastAsia="zh-CN"/>
                    </w:rPr>
                    <w:t>/</w:t>
                  </w:r>
                </w:p>
              </w:tc>
              <w:tc>
                <w:tcPr>
                  <w:tcW w:w="383" w:type="pct"/>
                  <w:tcBorders>
                    <w:left w:val="single" w:color="auto" w:sz="4" w:space="0"/>
                    <w:right w:val="single" w:color="auto" w:sz="4" w:space="0"/>
                  </w:tcBorders>
                  <w:shd w:val="clear" w:color="auto" w:fill="auto"/>
                  <w:vAlign w:val="center"/>
                </w:tcPr>
                <w:p w14:paraId="222E4A0B">
                  <w:pPr>
                    <w:keepNext w:val="0"/>
                    <w:keepLines w:val="0"/>
                    <w:widowControl/>
                    <w:suppressLineNumbers w:val="0"/>
                    <w:spacing w:before="0" w:beforeAutospacing="0" w:after="0" w:afterAutospacing="0" w:line="280" w:lineRule="exact"/>
                    <w:ind w:left="0" w:right="0"/>
                    <w:jc w:val="center"/>
                    <w:textAlignment w:val="center"/>
                    <w:rPr>
                      <w:rFonts w:hint="eastAsia"/>
                      <w:b/>
                      <w:bCs w:val="0"/>
                      <w:snapToGrid w:val="0"/>
                      <w:sz w:val="18"/>
                      <w:szCs w:val="18"/>
                      <w:highlight w:val="none"/>
                      <w:lang w:val="en-US" w:eastAsia="zh-CN"/>
                    </w:rPr>
                  </w:pPr>
                  <w:r>
                    <w:rPr>
                      <w:rFonts w:hint="eastAsia"/>
                      <w:b/>
                      <w:bCs w:val="0"/>
                      <w:kern w:val="0"/>
                      <w:sz w:val="18"/>
                      <w:szCs w:val="18"/>
                      <w:highlight w:val="none"/>
                      <w:lang w:val="en-US" w:eastAsia="zh-CN"/>
                    </w:rPr>
                    <w:t>/</w:t>
                  </w:r>
                </w:p>
              </w:tc>
              <w:tc>
                <w:tcPr>
                  <w:tcW w:w="240" w:type="pct"/>
                  <w:tcBorders>
                    <w:left w:val="single" w:color="auto" w:sz="4" w:space="0"/>
                    <w:right w:val="single" w:color="auto" w:sz="4" w:space="0"/>
                  </w:tcBorders>
                  <w:shd w:val="clear" w:color="auto" w:fill="auto"/>
                  <w:vAlign w:val="center"/>
                </w:tcPr>
                <w:p w14:paraId="69C12C29">
                  <w:pPr>
                    <w:keepNext w:val="0"/>
                    <w:keepLines w:val="0"/>
                    <w:widowControl/>
                    <w:suppressLineNumbers w:val="0"/>
                    <w:spacing w:before="0" w:beforeAutospacing="0" w:after="0" w:afterAutospacing="0" w:line="280" w:lineRule="exact"/>
                    <w:ind w:left="0" w:right="0"/>
                    <w:jc w:val="center"/>
                    <w:textAlignment w:val="center"/>
                    <w:rPr>
                      <w:rFonts w:hint="eastAsia"/>
                      <w:b/>
                      <w:bCs w:val="0"/>
                      <w:kern w:val="0"/>
                      <w:sz w:val="18"/>
                      <w:szCs w:val="18"/>
                      <w:highlight w:val="none"/>
                      <w:lang w:val="en-US" w:eastAsia="zh-CN"/>
                    </w:rPr>
                  </w:pPr>
                  <w:r>
                    <w:rPr>
                      <w:rFonts w:hint="eastAsia"/>
                      <w:b/>
                      <w:bCs w:val="0"/>
                      <w:kern w:val="0"/>
                      <w:sz w:val="18"/>
                      <w:szCs w:val="18"/>
                      <w:highlight w:val="none"/>
                      <w:lang w:val="en-US" w:eastAsia="zh-CN"/>
                    </w:rPr>
                    <w:t>/</w:t>
                  </w:r>
                </w:p>
              </w:tc>
              <w:tc>
                <w:tcPr>
                  <w:tcW w:w="317" w:type="pct"/>
                  <w:tcBorders>
                    <w:left w:val="single" w:color="auto" w:sz="4" w:space="0"/>
                    <w:right w:val="single" w:color="auto" w:sz="4" w:space="0"/>
                  </w:tcBorders>
                  <w:shd w:val="clear" w:color="auto" w:fill="auto"/>
                  <w:vAlign w:val="center"/>
                </w:tcPr>
                <w:p w14:paraId="2A44B301">
                  <w:pPr>
                    <w:keepNext w:val="0"/>
                    <w:keepLines w:val="0"/>
                    <w:widowControl/>
                    <w:suppressLineNumbers w:val="0"/>
                    <w:spacing w:before="0" w:beforeAutospacing="0" w:after="0" w:afterAutospacing="0" w:line="280" w:lineRule="exact"/>
                    <w:ind w:left="0" w:right="0"/>
                    <w:jc w:val="center"/>
                    <w:textAlignment w:val="center"/>
                    <w:rPr>
                      <w:rFonts w:hint="eastAsia" w:cs="Times New Roman"/>
                      <w:b/>
                      <w:bCs w:val="0"/>
                      <w:kern w:val="2"/>
                      <w:sz w:val="18"/>
                      <w:szCs w:val="18"/>
                      <w:highlight w:val="none"/>
                      <w:lang w:val="en-US" w:eastAsia="zh-CN" w:bidi="ar"/>
                    </w:rPr>
                  </w:pPr>
                  <w:r>
                    <w:rPr>
                      <w:rFonts w:hint="eastAsia"/>
                      <w:b/>
                      <w:bCs w:val="0"/>
                      <w:kern w:val="0"/>
                      <w:sz w:val="18"/>
                      <w:szCs w:val="18"/>
                      <w:highlight w:val="none"/>
                      <w:lang w:val="en-US" w:eastAsia="zh-CN"/>
                    </w:rPr>
                    <w:t>/</w:t>
                  </w:r>
                </w:p>
              </w:tc>
              <w:tc>
                <w:tcPr>
                  <w:tcW w:w="380" w:type="pct"/>
                  <w:tcBorders>
                    <w:top w:val="single" w:color="auto" w:sz="4" w:space="0"/>
                    <w:left w:val="single" w:color="auto" w:sz="4" w:space="0"/>
                    <w:right w:val="single" w:color="auto" w:sz="4" w:space="0"/>
                  </w:tcBorders>
                  <w:shd w:val="clear" w:color="auto" w:fill="auto"/>
                  <w:vAlign w:val="center"/>
                </w:tcPr>
                <w:p w14:paraId="5FFE7820">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64" w:lineRule="auto"/>
                    <w:ind w:left="0" w:right="0"/>
                    <w:jc w:val="center"/>
                    <w:textAlignment w:val="auto"/>
                    <w:rPr>
                      <w:rFonts w:hint="eastAsia" w:ascii="Times New Roman" w:hAnsi="Times New Roman" w:eastAsia="宋体" w:cs="Times New Roman"/>
                      <w:b/>
                      <w:bCs w:val="0"/>
                      <w:kern w:val="0"/>
                      <w:sz w:val="18"/>
                      <w:szCs w:val="18"/>
                      <w:highlight w:val="none"/>
                      <w:lang w:val="en-US" w:eastAsia="zh-CN"/>
                    </w:rPr>
                  </w:pPr>
                  <w:r>
                    <w:rPr>
                      <w:rFonts w:hint="eastAsia" w:ascii="Times New Roman" w:hAnsi="Times New Roman" w:eastAsia="宋体" w:cs="Times New Roman"/>
                      <w:b/>
                      <w:bCs w:val="0"/>
                      <w:kern w:val="0"/>
                      <w:sz w:val="18"/>
                      <w:szCs w:val="18"/>
                      <w:highlight w:val="none"/>
                      <w:lang w:val="en-US" w:eastAsia="zh-CN"/>
                    </w:rPr>
                    <w:t>0.027</w:t>
                  </w:r>
                </w:p>
              </w:tc>
              <w:tc>
                <w:tcPr>
                  <w:tcW w:w="362" w:type="pct"/>
                  <w:tcBorders>
                    <w:top w:val="single" w:color="auto" w:sz="4" w:space="0"/>
                    <w:left w:val="single" w:color="auto" w:sz="4" w:space="0"/>
                    <w:right w:val="single" w:color="auto" w:sz="4" w:space="0"/>
                  </w:tcBorders>
                  <w:shd w:val="clear" w:color="auto" w:fill="auto"/>
                  <w:vAlign w:val="center"/>
                </w:tcPr>
                <w:p w14:paraId="1AA0201A">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64" w:lineRule="auto"/>
                    <w:ind w:left="0" w:right="0"/>
                    <w:jc w:val="center"/>
                    <w:textAlignment w:val="auto"/>
                    <w:rPr>
                      <w:rFonts w:hint="eastAsia" w:ascii="Times New Roman" w:hAnsi="Times New Roman" w:eastAsia="宋体" w:cs="Times New Roman"/>
                      <w:b/>
                      <w:bCs w:val="0"/>
                      <w:kern w:val="0"/>
                      <w:sz w:val="18"/>
                      <w:szCs w:val="18"/>
                      <w:highlight w:val="none"/>
                      <w:lang w:val="en-US" w:eastAsia="zh-CN"/>
                    </w:rPr>
                  </w:pPr>
                  <w:r>
                    <w:rPr>
                      <w:rFonts w:hint="eastAsia" w:ascii="Times New Roman" w:hAnsi="Times New Roman" w:eastAsia="宋体" w:cs="Times New Roman"/>
                      <w:b/>
                      <w:bCs w:val="0"/>
                      <w:kern w:val="0"/>
                      <w:sz w:val="18"/>
                      <w:szCs w:val="18"/>
                      <w:highlight w:val="none"/>
                      <w:lang w:val="en-US" w:eastAsia="zh-CN"/>
                    </w:rPr>
                    <w:t>0.012</w:t>
                  </w:r>
                </w:p>
              </w:tc>
              <w:tc>
                <w:tcPr>
                  <w:tcW w:w="340" w:type="pct"/>
                  <w:tcBorders>
                    <w:top w:val="single" w:color="auto" w:sz="4" w:space="0"/>
                    <w:left w:val="single" w:color="auto" w:sz="4" w:space="0"/>
                    <w:right w:val="single" w:color="auto" w:sz="4" w:space="0"/>
                  </w:tcBorders>
                  <w:shd w:val="clear" w:color="auto" w:fill="auto"/>
                  <w:vAlign w:val="center"/>
                </w:tcPr>
                <w:p w14:paraId="418C75B2">
                  <w:pPr>
                    <w:keepNext w:val="0"/>
                    <w:keepLines w:val="0"/>
                    <w:suppressLineNumbers w:val="0"/>
                    <w:spacing w:before="0" w:beforeAutospacing="0" w:after="0" w:afterAutospacing="0"/>
                    <w:ind w:left="0" w:right="0"/>
                    <w:jc w:val="center"/>
                    <w:rPr>
                      <w:rFonts w:hint="eastAsia" w:cs="Times New Roman"/>
                      <w:b/>
                      <w:bCs w:val="0"/>
                      <w:color w:val="auto"/>
                      <w:kern w:val="2"/>
                      <w:sz w:val="18"/>
                      <w:szCs w:val="18"/>
                      <w:highlight w:val="none"/>
                      <w:lang w:val="en-US" w:eastAsia="zh-CN" w:bidi="ar-SA"/>
                    </w:rPr>
                  </w:pPr>
                  <w:r>
                    <w:rPr>
                      <w:rFonts w:hint="eastAsia"/>
                      <w:b/>
                      <w:bCs w:val="0"/>
                      <w:kern w:val="0"/>
                      <w:sz w:val="18"/>
                      <w:szCs w:val="18"/>
                      <w:highlight w:val="none"/>
                      <w:lang w:val="en-US" w:eastAsia="zh-CN"/>
                    </w:rPr>
                    <w:t>/</w:t>
                  </w:r>
                </w:p>
              </w:tc>
              <w:tc>
                <w:tcPr>
                  <w:tcW w:w="255" w:type="pct"/>
                  <w:tcBorders>
                    <w:left w:val="single" w:color="auto" w:sz="4" w:space="0"/>
                    <w:right w:val="single" w:color="auto" w:sz="4" w:space="0"/>
                  </w:tcBorders>
                  <w:vAlign w:val="center"/>
                </w:tcPr>
                <w:p w14:paraId="36C87A3A">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64" w:lineRule="auto"/>
                    <w:ind w:left="0" w:right="0"/>
                    <w:jc w:val="center"/>
                    <w:textAlignment w:val="auto"/>
                    <w:rPr>
                      <w:rFonts w:hint="eastAsia"/>
                      <w:b/>
                      <w:bCs w:val="0"/>
                      <w:kern w:val="0"/>
                      <w:sz w:val="18"/>
                      <w:szCs w:val="18"/>
                      <w:highlight w:val="none"/>
                      <w:lang w:val="en-US" w:eastAsia="zh-CN"/>
                    </w:rPr>
                  </w:pPr>
                  <w:r>
                    <w:rPr>
                      <w:rFonts w:hint="eastAsia"/>
                      <w:b/>
                      <w:bCs w:val="0"/>
                      <w:kern w:val="0"/>
                      <w:sz w:val="18"/>
                      <w:szCs w:val="18"/>
                      <w:highlight w:val="none"/>
                      <w:lang w:val="en-US" w:eastAsia="zh-CN"/>
                    </w:rPr>
                    <w:t>/</w:t>
                  </w:r>
                </w:p>
              </w:tc>
            </w:tr>
            <w:tr w14:paraId="63E3594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189" w:hRule="atLeast"/>
                <w:jc w:val="center"/>
              </w:trPr>
              <w:tc>
                <w:tcPr>
                  <w:tcW w:w="271" w:type="pct"/>
                  <w:vMerge w:val="restart"/>
                  <w:tcBorders>
                    <w:left w:val="single" w:color="auto" w:sz="4" w:space="0"/>
                    <w:right w:val="single" w:color="auto" w:sz="4" w:space="0"/>
                  </w:tcBorders>
                  <w:vAlign w:val="center"/>
                </w:tcPr>
                <w:p w14:paraId="72799BF5">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64" w:lineRule="auto"/>
                    <w:ind w:left="0" w:right="0"/>
                    <w:jc w:val="center"/>
                    <w:textAlignment w:val="auto"/>
                    <w:rPr>
                      <w:rFonts w:hint="default" w:eastAsia="宋体"/>
                      <w:bCs/>
                      <w:kern w:val="0"/>
                      <w:sz w:val="18"/>
                      <w:szCs w:val="18"/>
                      <w:highlight w:val="none"/>
                      <w:lang w:val="en-US" w:eastAsia="zh-CN"/>
                    </w:rPr>
                  </w:pPr>
                  <w:r>
                    <w:rPr>
                      <w:rFonts w:hint="eastAsia"/>
                      <w:bCs/>
                      <w:kern w:val="0"/>
                      <w:sz w:val="18"/>
                      <w:szCs w:val="18"/>
                      <w:highlight w:val="none"/>
                      <w:lang w:val="en-US" w:eastAsia="zh-CN"/>
                    </w:rPr>
                    <w:t>DA011</w:t>
                  </w:r>
                </w:p>
              </w:tc>
              <w:tc>
                <w:tcPr>
                  <w:tcW w:w="331" w:type="pct"/>
                  <w:vMerge w:val="restart"/>
                  <w:tcBorders>
                    <w:left w:val="single" w:color="auto" w:sz="4" w:space="0"/>
                    <w:right w:val="single" w:color="auto" w:sz="4" w:space="0"/>
                  </w:tcBorders>
                  <w:vAlign w:val="center"/>
                </w:tcPr>
                <w:p w14:paraId="1B46E07F">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64" w:lineRule="auto"/>
                    <w:ind w:left="0" w:right="0"/>
                    <w:jc w:val="center"/>
                    <w:textAlignment w:val="auto"/>
                    <w:rPr>
                      <w:rFonts w:hint="default" w:eastAsia="宋体"/>
                      <w:bCs/>
                      <w:kern w:val="0"/>
                      <w:sz w:val="18"/>
                      <w:szCs w:val="18"/>
                      <w:highlight w:val="none"/>
                      <w:lang w:val="en-US" w:eastAsia="zh-CN"/>
                    </w:rPr>
                  </w:pPr>
                  <w:r>
                    <w:rPr>
                      <w:rFonts w:hint="eastAsia"/>
                      <w:bCs/>
                      <w:kern w:val="0"/>
                      <w:sz w:val="18"/>
                      <w:szCs w:val="18"/>
                      <w:highlight w:val="none"/>
                      <w:lang w:val="en-US" w:eastAsia="zh-CN"/>
                    </w:rPr>
                    <w:t>11#排气筒</w:t>
                  </w:r>
                </w:p>
              </w:tc>
              <w:tc>
                <w:tcPr>
                  <w:tcW w:w="404" w:type="pct"/>
                  <w:vMerge w:val="restart"/>
                  <w:tcBorders>
                    <w:left w:val="single" w:color="auto" w:sz="4" w:space="0"/>
                    <w:right w:val="single" w:color="auto" w:sz="4" w:space="0"/>
                  </w:tcBorders>
                  <w:vAlign w:val="center"/>
                </w:tcPr>
                <w:p w14:paraId="35F75E99">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64" w:lineRule="auto"/>
                    <w:ind w:left="0" w:right="0"/>
                    <w:jc w:val="center"/>
                    <w:textAlignment w:val="auto"/>
                    <w:rPr>
                      <w:rFonts w:hint="default" w:eastAsia="宋体"/>
                      <w:bCs/>
                      <w:kern w:val="0"/>
                      <w:sz w:val="18"/>
                      <w:szCs w:val="18"/>
                      <w:highlight w:val="none"/>
                      <w:lang w:val="en-US" w:eastAsia="zh-CN"/>
                    </w:rPr>
                  </w:pPr>
                  <w:r>
                    <w:rPr>
                      <w:rFonts w:hint="eastAsia"/>
                      <w:bCs/>
                      <w:kern w:val="0"/>
                      <w:sz w:val="18"/>
                      <w:szCs w:val="18"/>
                      <w:highlight w:val="none"/>
                      <w:lang w:val="en-US" w:eastAsia="zh-CN"/>
                    </w:rPr>
                    <w:t>实验室废气</w:t>
                  </w:r>
                </w:p>
              </w:tc>
              <w:tc>
                <w:tcPr>
                  <w:tcW w:w="593" w:type="pct"/>
                  <w:tcBorders>
                    <w:left w:val="single" w:color="auto" w:sz="4" w:space="0"/>
                    <w:bottom w:val="single" w:color="auto" w:sz="4" w:space="0"/>
                    <w:right w:val="single" w:color="auto" w:sz="4" w:space="0"/>
                  </w:tcBorders>
                  <w:shd w:val="clear" w:color="auto" w:fill="auto"/>
                  <w:vAlign w:val="center"/>
                </w:tcPr>
                <w:p w14:paraId="45B62E1D">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64" w:lineRule="auto"/>
                    <w:ind w:left="0" w:right="0"/>
                    <w:jc w:val="center"/>
                    <w:textAlignment w:val="auto"/>
                    <w:rPr>
                      <w:rFonts w:hint="default" w:eastAsia="宋体"/>
                      <w:bCs/>
                      <w:kern w:val="0"/>
                      <w:sz w:val="18"/>
                      <w:szCs w:val="18"/>
                      <w:highlight w:val="none"/>
                      <w:lang w:val="en-US" w:eastAsia="zh-CN"/>
                    </w:rPr>
                  </w:pPr>
                  <w:r>
                    <w:rPr>
                      <w:rFonts w:hint="eastAsia"/>
                      <w:bCs/>
                      <w:kern w:val="0"/>
                      <w:sz w:val="18"/>
                      <w:szCs w:val="18"/>
                      <w:highlight w:val="none"/>
                      <w:lang w:val="en-US" w:eastAsia="zh-CN"/>
                    </w:rPr>
                    <w:t>非甲烷总烃</w:t>
                  </w:r>
                </w:p>
              </w:tc>
              <w:tc>
                <w:tcPr>
                  <w:tcW w:w="357" w:type="pct"/>
                  <w:tcBorders>
                    <w:top w:val="single" w:color="auto" w:sz="4" w:space="0"/>
                    <w:left w:val="single" w:color="auto" w:sz="4" w:space="0"/>
                    <w:bottom w:val="single" w:color="auto" w:sz="4" w:space="0"/>
                    <w:right w:val="single" w:color="auto" w:sz="4" w:space="0"/>
                  </w:tcBorders>
                  <w:shd w:val="clear" w:color="auto" w:fill="auto"/>
                  <w:vAlign w:val="center"/>
                </w:tcPr>
                <w:p w14:paraId="23CC8749">
                  <w:pPr>
                    <w:keepNext w:val="0"/>
                    <w:keepLines w:val="0"/>
                    <w:widowControl/>
                    <w:suppressLineNumbers w:val="0"/>
                    <w:spacing w:before="0" w:beforeAutospacing="0" w:after="0" w:afterAutospacing="0" w:line="280" w:lineRule="exact"/>
                    <w:ind w:left="0" w:right="0"/>
                    <w:jc w:val="center"/>
                    <w:textAlignment w:val="center"/>
                    <w:rPr>
                      <w:rFonts w:hint="eastAsia" w:ascii="Times New Roman" w:hAnsi="Times New Roman" w:eastAsia="宋体" w:cs="Times New Roman"/>
                      <w:b w:val="0"/>
                      <w:bCs w:val="0"/>
                      <w:kern w:val="2"/>
                      <w:sz w:val="18"/>
                      <w:szCs w:val="18"/>
                      <w:highlight w:val="none"/>
                      <w:lang w:val="en-US" w:eastAsia="zh-CN" w:bidi="ar"/>
                    </w:rPr>
                  </w:pPr>
                  <w:r>
                    <w:rPr>
                      <w:rFonts w:hint="eastAsia" w:ascii="Times New Roman" w:hAnsi="Times New Roman" w:eastAsia="宋体" w:cs="Times New Roman"/>
                      <w:b w:val="0"/>
                      <w:bCs w:val="0"/>
                      <w:sz w:val="18"/>
                      <w:szCs w:val="18"/>
                      <w:highlight w:val="none"/>
                      <w:lang w:val="en-US" w:eastAsia="zh-CN" w:bidi="ar"/>
                    </w:rPr>
                    <w:t>0.0</w:t>
                  </w:r>
                  <w:r>
                    <w:rPr>
                      <w:rFonts w:hint="eastAsia" w:cs="Times New Roman"/>
                      <w:b w:val="0"/>
                      <w:bCs w:val="0"/>
                      <w:sz w:val="18"/>
                      <w:szCs w:val="18"/>
                      <w:highlight w:val="none"/>
                      <w:lang w:val="en-US" w:eastAsia="zh-CN" w:bidi="ar"/>
                    </w:rPr>
                    <w:t>02</w:t>
                  </w:r>
                  <w:r>
                    <w:rPr>
                      <w:rFonts w:hint="eastAsia" w:ascii="Times New Roman" w:hAnsi="Times New Roman" w:eastAsia="宋体" w:cs="Times New Roman"/>
                      <w:b w:val="0"/>
                      <w:bCs w:val="0"/>
                      <w:sz w:val="18"/>
                      <w:szCs w:val="18"/>
                      <w:highlight w:val="none"/>
                      <w:lang w:val="en-US" w:eastAsia="zh-CN" w:bidi="ar"/>
                    </w:rPr>
                    <w:t xml:space="preserve"> </w:t>
                  </w:r>
                </w:p>
              </w:tc>
              <w:tc>
                <w:tcPr>
                  <w:tcW w:w="357" w:type="pct"/>
                  <w:tcBorders>
                    <w:top w:val="single" w:color="auto" w:sz="4" w:space="0"/>
                    <w:left w:val="single" w:color="auto" w:sz="4" w:space="0"/>
                    <w:bottom w:val="single" w:color="auto" w:sz="4" w:space="0"/>
                    <w:right w:val="single" w:color="auto" w:sz="4" w:space="0"/>
                  </w:tcBorders>
                  <w:shd w:val="clear" w:color="auto" w:fill="auto"/>
                  <w:vAlign w:val="center"/>
                </w:tcPr>
                <w:p w14:paraId="29F6172F">
                  <w:pPr>
                    <w:keepNext w:val="0"/>
                    <w:keepLines w:val="0"/>
                    <w:widowControl/>
                    <w:suppressLineNumbers w:val="0"/>
                    <w:spacing w:before="0" w:beforeAutospacing="0" w:after="0" w:afterAutospacing="0"/>
                    <w:ind w:left="0" w:right="0"/>
                    <w:jc w:val="center"/>
                    <w:textAlignment w:val="center"/>
                    <w:rPr>
                      <w:rFonts w:hint="eastAsia" w:ascii="Times New Roman" w:hAnsi="Times New Roman" w:eastAsia="宋体" w:cs="Times New Roman"/>
                      <w:i w:val="0"/>
                      <w:iCs w:val="0"/>
                      <w:color w:val="000000"/>
                      <w:kern w:val="0"/>
                      <w:sz w:val="18"/>
                      <w:szCs w:val="18"/>
                      <w:highlight w:val="none"/>
                      <w:u w:val="none"/>
                      <w:lang w:val="en-US" w:eastAsia="zh-CN" w:bidi="ar"/>
                    </w:rPr>
                  </w:pPr>
                  <w:r>
                    <w:rPr>
                      <w:rFonts w:hint="eastAsia" w:ascii="Times New Roman" w:hAnsi="Times New Roman" w:eastAsia="宋体" w:cs="Times New Roman"/>
                      <w:i w:val="0"/>
                      <w:iCs w:val="0"/>
                      <w:color w:val="000000"/>
                      <w:kern w:val="0"/>
                      <w:sz w:val="18"/>
                      <w:szCs w:val="18"/>
                      <w:highlight w:val="none"/>
                      <w:u w:val="none"/>
                      <w:lang w:val="en-US" w:eastAsia="zh-CN" w:bidi="ar"/>
                    </w:rPr>
                    <w:t>~0</w:t>
                  </w:r>
                </w:p>
              </w:tc>
              <w:tc>
                <w:tcPr>
                  <w:tcW w:w="404" w:type="pct"/>
                  <w:tcBorders>
                    <w:top w:val="single" w:color="auto" w:sz="4" w:space="0"/>
                    <w:left w:val="single" w:color="auto" w:sz="4" w:space="0"/>
                    <w:right w:val="single" w:color="auto" w:sz="4" w:space="0"/>
                  </w:tcBorders>
                  <w:shd w:val="clear" w:color="auto" w:fill="auto"/>
                  <w:vAlign w:val="center"/>
                </w:tcPr>
                <w:p w14:paraId="2BC6D71C">
                  <w:pPr>
                    <w:keepNext w:val="0"/>
                    <w:keepLines w:val="0"/>
                    <w:widowControl/>
                    <w:suppressLineNumbers w:val="0"/>
                    <w:spacing w:before="0" w:beforeAutospacing="0" w:after="0" w:afterAutospacing="0"/>
                    <w:ind w:left="0" w:right="0"/>
                    <w:jc w:val="center"/>
                    <w:textAlignment w:val="center"/>
                    <w:rPr>
                      <w:rFonts w:hint="eastAsia" w:ascii="Times New Roman" w:hAnsi="Times New Roman" w:eastAsia="宋体" w:cs="Times New Roman"/>
                      <w:i w:val="0"/>
                      <w:iCs w:val="0"/>
                      <w:color w:val="000000"/>
                      <w:kern w:val="0"/>
                      <w:sz w:val="18"/>
                      <w:szCs w:val="18"/>
                      <w:highlight w:val="none"/>
                      <w:u w:val="none"/>
                      <w:lang w:val="en-US" w:eastAsia="zh-CN" w:bidi="ar"/>
                    </w:rPr>
                  </w:pPr>
                  <w:r>
                    <w:rPr>
                      <w:rFonts w:hint="eastAsia" w:ascii="Times New Roman" w:hAnsi="Times New Roman" w:eastAsia="宋体" w:cs="Times New Roman"/>
                      <w:i w:val="0"/>
                      <w:iCs w:val="0"/>
                      <w:color w:val="000000"/>
                      <w:kern w:val="0"/>
                      <w:sz w:val="18"/>
                      <w:szCs w:val="18"/>
                      <w:highlight w:val="none"/>
                      <w:u w:val="none"/>
                      <w:lang w:val="en-US" w:eastAsia="zh-CN" w:bidi="ar"/>
                    </w:rPr>
                    <w:t>~0</w:t>
                  </w:r>
                </w:p>
              </w:tc>
              <w:tc>
                <w:tcPr>
                  <w:tcW w:w="383" w:type="pct"/>
                  <w:tcBorders>
                    <w:left w:val="single" w:color="auto" w:sz="4" w:space="0"/>
                    <w:right w:val="single" w:color="auto" w:sz="4" w:space="0"/>
                  </w:tcBorders>
                  <w:shd w:val="clear" w:color="auto" w:fill="auto"/>
                  <w:vAlign w:val="center"/>
                </w:tcPr>
                <w:p w14:paraId="5E4013DE">
                  <w:pPr>
                    <w:keepNext w:val="0"/>
                    <w:keepLines w:val="0"/>
                    <w:widowControl/>
                    <w:suppressLineNumbers w:val="0"/>
                    <w:spacing w:before="0" w:beforeAutospacing="0" w:after="0" w:afterAutospacing="0" w:line="280" w:lineRule="exact"/>
                    <w:ind w:left="0" w:right="0"/>
                    <w:jc w:val="center"/>
                    <w:textAlignment w:val="center"/>
                    <w:rPr>
                      <w:rFonts w:hint="eastAsia" w:ascii="Times New Roman" w:hAnsi="Times New Roman" w:eastAsia="宋体" w:cs="Times New Roman"/>
                      <w:b w:val="0"/>
                      <w:bCs w:val="0"/>
                      <w:kern w:val="2"/>
                      <w:sz w:val="18"/>
                      <w:szCs w:val="18"/>
                      <w:highlight w:val="none"/>
                      <w:lang w:val="en-US" w:eastAsia="zh-CN" w:bidi="ar"/>
                    </w:rPr>
                  </w:pPr>
                  <w:r>
                    <w:rPr>
                      <w:rFonts w:hint="eastAsia"/>
                      <w:snapToGrid w:val="0"/>
                      <w:sz w:val="18"/>
                      <w:szCs w:val="18"/>
                      <w:highlight w:val="none"/>
                      <w:lang w:val="en-US" w:eastAsia="zh-CN"/>
                    </w:rPr>
                    <w:t>活性炭吸附</w:t>
                  </w:r>
                </w:p>
              </w:tc>
              <w:tc>
                <w:tcPr>
                  <w:tcW w:w="240" w:type="pct"/>
                  <w:tcBorders>
                    <w:left w:val="single" w:color="auto" w:sz="4" w:space="0"/>
                    <w:right w:val="single" w:color="auto" w:sz="4" w:space="0"/>
                  </w:tcBorders>
                  <w:shd w:val="clear" w:color="auto" w:fill="auto"/>
                  <w:vAlign w:val="center"/>
                </w:tcPr>
                <w:p w14:paraId="1E89B79C">
                  <w:pPr>
                    <w:keepNext w:val="0"/>
                    <w:keepLines w:val="0"/>
                    <w:widowControl/>
                    <w:suppressLineNumbers w:val="0"/>
                    <w:spacing w:before="0" w:beforeAutospacing="0" w:after="0" w:afterAutospacing="0" w:line="280" w:lineRule="exact"/>
                    <w:ind w:left="0" w:right="0"/>
                    <w:jc w:val="center"/>
                    <w:textAlignment w:val="center"/>
                    <w:rPr>
                      <w:rFonts w:hint="eastAsia" w:ascii="Times New Roman" w:hAnsi="Times New Roman" w:eastAsia="宋体" w:cs="Times New Roman"/>
                      <w:b w:val="0"/>
                      <w:bCs w:val="0"/>
                      <w:kern w:val="2"/>
                      <w:sz w:val="18"/>
                      <w:szCs w:val="18"/>
                      <w:highlight w:val="none"/>
                      <w:lang w:val="en-US" w:eastAsia="zh-CN" w:bidi="ar"/>
                    </w:rPr>
                  </w:pPr>
                  <w:r>
                    <w:rPr>
                      <w:rFonts w:hint="eastAsia"/>
                      <w:bCs/>
                      <w:kern w:val="0"/>
                      <w:sz w:val="18"/>
                      <w:szCs w:val="18"/>
                      <w:highlight w:val="none"/>
                      <w:lang w:val="en-US" w:eastAsia="zh-CN"/>
                    </w:rPr>
                    <w:t>/</w:t>
                  </w:r>
                </w:p>
              </w:tc>
              <w:tc>
                <w:tcPr>
                  <w:tcW w:w="317" w:type="pct"/>
                  <w:tcBorders>
                    <w:left w:val="single" w:color="auto" w:sz="4" w:space="0"/>
                    <w:right w:val="single" w:color="auto" w:sz="4" w:space="0"/>
                  </w:tcBorders>
                  <w:shd w:val="clear" w:color="auto" w:fill="auto"/>
                  <w:vAlign w:val="center"/>
                </w:tcPr>
                <w:p w14:paraId="394C5FD0">
                  <w:pPr>
                    <w:keepNext w:val="0"/>
                    <w:keepLines w:val="0"/>
                    <w:widowControl/>
                    <w:suppressLineNumbers w:val="0"/>
                    <w:spacing w:before="0" w:beforeAutospacing="0" w:after="0" w:afterAutospacing="0" w:line="280" w:lineRule="exact"/>
                    <w:ind w:left="0" w:right="0"/>
                    <w:jc w:val="center"/>
                    <w:textAlignment w:val="center"/>
                    <w:rPr>
                      <w:rFonts w:hint="default" w:ascii="Times New Roman" w:hAnsi="Times New Roman" w:eastAsia="宋体" w:cs="Times New Roman"/>
                      <w:b w:val="0"/>
                      <w:bCs w:val="0"/>
                      <w:kern w:val="2"/>
                      <w:sz w:val="18"/>
                      <w:szCs w:val="18"/>
                      <w:highlight w:val="none"/>
                      <w:lang w:val="en-US" w:eastAsia="zh-CN" w:bidi="ar"/>
                    </w:rPr>
                  </w:pPr>
                  <w:r>
                    <w:rPr>
                      <w:rFonts w:hint="eastAsia" w:cs="Times New Roman"/>
                      <w:b w:val="0"/>
                      <w:bCs w:val="0"/>
                      <w:kern w:val="2"/>
                      <w:sz w:val="18"/>
                      <w:szCs w:val="18"/>
                      <w:highlight w:val="none"/>
                      <w:lang w:val="en-US" w:eastAsia="zh-CN" w:bidi="ar"/>
                    </w:rPr>
                    <w:t>15050</w:t>
                  </w:r>
                </w:p>
              </w:tc>
              <w:tc>
                <w:tcPr>
                  <w:tcW w:w="380" w:type="pct"/>
                  <w:tcBorders>
                    <w:top w:val="single" w:color="auto" w:sz="4" w:space="0"/>
                    <w:left w:val="single" w:color="auto" w:sz="4" w:space="0"/>
                    <w:right w:val="single" w:color="auto" w:sz="4" w:space="0"/>
                  </w:tcBorders>
                  <w:shd w:val="clear" w:color="auto" w:fill="auto"/>
                  <w:vAlign w:val="center"/>
                </w:tcPr>
                <w:p w14:paraId="5B507D8B">
                  <w:pPr>
                    <w:keepNext w:val="0"/>
                    <w:keepLines w:val="0"/>
                    <w:widowControl/>
                    <w:suppressLineNumbers w:val="0"/>
                    <w:spacing w:before="0" w:beforeAutospacing="0" w:after="0" w:afterAutospacing="0" w:line="280" w:lineRule="exact"/>
                    <w:ind w:left="0" w:right="0"/>
                    <w:jc w:val="center"/>
                    <w:textAlignment w:val="center"/>
                    <w:rPr>
                      <w:rFonts w:hint="default" w:ascii="Times New Roman" w:hAnsi="Times New Roman" w:eastAsia="宋体" w:cs="Times New Roman"/>
                      <w:b w:val="0"/>
                      <w:bCs w:val="0"/>
                      <w:kern w:val="2"/>
                      <w:sz w:val="18"/>
                      <w:szCs w:val="18"/>
                      <w:highlight w:val="none"/>
                      <w:lang w:val="en-US" w:eastAsia="zh-CN" w:bidi="ar"/>
                    </w:rPr>
                  </w:pPr>
                  <w:r>
                    <w:rPr>
                      <w:rFonts w:hint="eastAsia" w:ascii="Times New Roman" w:hAnsi="Times New Roman" w:eastAsia="宋体" w:cs="Times New Roman"/>
                      <w:b w:val="0"/>
                      <w:bCs w:val="0"/>
                      <w:sz w:val="18"/>
                      <w:szCs w:val="18"/>
                      <w:highlight w:val="none"/>
                      <w:lang w:val="en-US" w:eastAsia="zh-CN" w:bidi="ar"/>
                    </w:rPr>
                    <w:t>0.0</w:t>
                  </w:r>
                  <w:r>
                    <w:rPr>
                      <w:rFonts w:hint="eastAsia" w:cs="Times New Roman"/>
                      <w:b w:val="0"/>
                      <w:bCs w:val="0"/>
                      <w:sz w:val="18"/>
                      <w:szCs w:val="18"/>
                      <w:highlight w:val="none"/>
                      <w:lang w:val="en-US" w:eastAsia="zh-CN" w:bidi="ar"/>
                    </w:rPr>
                    <w:t>02</w:t>
                  </w:r>
                  <w:r>
                    <w:rPr>
                      <w:rFonts w:hint="eastAsia" w:ascii="Times New Roman" w:hAnsi="Times New Roman" w:eastAsia="宋体" w:cs="Times New Roman"/>
                      <w:b w:val="0"/>
                      <w:bCs w:val="0"/>
                      <w:sz w:val="18"/>
                      <w:szCs w:val="18"/>
                      <w:highlight w:val="none"/>
                      <w:lang w:val="en-US" w:eastAsia="zh-CN" w:bidi="ar"/>
                    </w:rPr>
                    <w:t xml:space="preserve"> </w:t>
                  </w:r>
                </w:p>
              </w:tc>
              <w:tc>
                <w:tcPr>
                  <w:tcW w:w="362" w:type="pct"/>
                  <w:tcBorders>
                    <w:top w:val="single" w:color="auto" w:sz="4" w:space="0"/>
                    <w:left w:val="single" w:color="auto" w:sz="4" w:space="0"/>
                    <w:right w:val="single" w:color="auto" w:sz="4" w:space="0"/>
                  </w:tcBorders>
                  <w:shd w:val="clear" w:color="auto" w:fill="auto"/>
                  <w:vAlign w:val="center"/>
                </w:tcPr>
                <w:p w14:paraId="1A65F74E">
                  <w:pPr>
                    <w:keepNext w:val="0"/>
                    <w:keepLines w:val="0"/>
                    <w:widowControl/>
                    <w:suppressLineNumbers w:val="0"/>
                    <w:spacing w:before="0" w:beforeAutospacing="0" w:after="0" w:afterAutospacing="0"/>
                    <w:ind w:left="0" w:right="0"/>
                    <w:jc w:val="center"/>
                    <w:textAlignment w:val="center"/>
                    <w:rPr>
                      <w:rFonts w:hint="eastAsia" w:ascii="Times New Roman" w:hAnsi="Times New Roman" w:eastAsia="宋体" w:cs="Times New Roman"/>
                      <w:i w:val="0"/>
                      <w:iCs w:val="0"/>
                      <w:color w:val="000000"/>
                      <w:kern w:val="0"/>
                      <w:sz w:val="18"/>
                      <w:szCs w:val="18"/>
                      <w:highlight w:val="none"/>
                      <w:u w:val="none"/>
                      <w:lang w:val="en-US" w:eastAsia="zh-CN" w:bidi="ar"/>
                    </w:rPr>
                  </w:pPr>
                  <w:r>
                    <w:rPr>
                      <w:rFonts w:hint="eastAsia" w:ascii="Times New Roman" w:hAnsi="Times New Roman" w:eastAsia="宋体" w:cs="Times New Roman"/>
                      <w:i w:val="0"/>
                      <w:iCs w:val="0"/>
                      <w:color w:val="000000"/>
                      <w:kern w:val="0"/>
                      <w:sz w:val="18"/>
                      <w:szCs w:val="18"/>
                      <w:highlight w:val="none"/>
                      <w:u w:val="none"/>
                      <w:lang w:val="en-US" w:eastAsia="zh-CN" w:bidi="ar"/>
                    </w:rPr>
                    <w:t>~0</w:t>
                  </w:r>
                </w:p>
              </w:tc>
              <w:tc>
                <w:tcPr>
                  <w:tcW w:w="340" w:type="pct"/>
                  <w:tcBorders>
                    <w:top w:val="single" w:color="auto" w:sz="4" w:space="0"/>
                    <w:left w:val="single" w:color="auto" w:sz="4" w:space="0"/>
                    <w:right w:val="single" w:color="auto" w:sz="4" w:space="0"/>
                  </w:tcBorders>
                  <w:shd w:val="clear" w:color="auto" w:fill="auto"/>
                  <w:vAlign w:val="center"/>
                </w:tcPr>
                <w:p w14:paraId="2949E3ED">
                  <w:pPr>
                    <w:keepNext w:val="0"/>
                    <w:keepLines w:val="0"/>
                    <w:widowControl/>
                    <w:suppressLineNumbers w:val="0"/>
                    <w:spacing w:before="0" w:beforeAutospacing="0" w:after="0" w:afterAutospacing="0"/>
                    <w:ind w:left="0" w:right="0"/>
                    <w:jc w:val="center"/>
                    <w:textAlignment w:val="center"/>
                    <w:rPr>
                      <w:rFonts w:hint="eastAsia" w:ascii="Times New Roman" w:hAnsi="Times New Roman" w:eastAsia="宋体" w:cs="Times New Roman"/>
                      <w:i w:val="0"/>
                      <w:iCs w:val="0"/>
                      <w:color w:val="000000"/>
                      <w:kern w:val="0"/>
                      <w:sz w:val="18"/>
                      <w:szCs w:val="18"/>
                      <w:highlight w:val="none"/>
                      <w:u w:val="none"/>
                      <w:lang w:val="en-US" w:eastAsia="zh-CN" w:bidi="ar"/>
                    </w:rPr>
                  </w:pPr>
                  <w:r>
                    <w:rPr>
                      <w:rFonts w:hint="eastAsia" w:ascii="Times New Roman" w:hAnsi="Times New Roman" w:eastAsia="宋体" w:cs="Times New Roman"/>
                      <w:i w:val="0"/>
                      <w:iCs w:val="0"/>
                      <w:color w:val="000000"/>
                      <w:kern w:val="0"/>
                      <w:sz w:val="18"/>
                      <w:szCs w:val="18"/>
                      <w:highlight w:val="none"/>
                      <w:u w:val="none"/>
                      <w:lang w:val="en-US" w:eastAsia="zh-CN" w:bidi="ar"/>
                    </w:rPr>
                    <w:t>~0</w:t>
                  </w:r>
                </w:p>
              </w:tc>
              <w:tc>
                <w:tcPr>
                  <w:tcW w:w="255" w:type="pct"/>
                  <w:vMerge w:val="restart"/>
                  <w:tcBorders>
                    <w:left w:val="single" w:color="auto" w:sz="4" w:space="0"/>
                    <w:right w:val="single" w:color="auto" w:sz="4" w:space="0"/>
                  </w:tcBorders>
                  <w:vAlign w:val="center"/>
                </w:tcPr>
                <w:p w14:paraId="16F5D298">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64" w:lineRule="auto"/>
                    <w:ind w:left="0" w:right="0"/>
                    <w:jc w:val="center"/>
                    <w:textAlignment w:val="auto"/>
                    <w:rPr>
                      <w:rFonts w:hint="default"/>
                      <w:bCs/>
                      <w:kern w:val="0"/>
                      <w:sz w:val="18"/>
                      <w:szCs w:val="18"/>
                      <w:highlight w:val="none"/>
                    </w:rPr>
                  </w:pPr>
                  <w:r>
                    <w:rPr>
                      <w:rFonts w:hint="eastAsia"/>
                      <w:bCs/>
                      <w:kern w:val="0"/>
                      <w:sz w:val="18"/>
                      <w:szCs w:val="18"/>
                      <w:highlight w:val="none"/>
                      <w:lang w:val="en-US" w:eastAsia="zh-CN"/>
                    </w:rPr>
                    <w:t>8760</w:t>
                  </w:r>
                </w:p>
              </w:tc>
            </w:tr>
            <w:tr w14:paraId="4EB6F91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189" w:hRule="atLeast"/>
                <w:jc w:val="center"/>
              </w:trPr>
              <w:tc>
                <w:tcPr>
                  <w:tcW w:w="271" w:type="pct"/>
                  <w:vMerge w:val="continue"/>
                  <w:tcBorders>
                    <w:left w:val="single" w:color="auto" w:sz="4" w:space="0"/>
                    <w:right w:val="single" w:color="auto" w:sz="4" w:space="0"/>
                  </w:tcBorders>
                  <w:vAlign w:val="center"/>
                </w:tcPr>
                <w:p w14:paraId="0E9A07EA">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64" w:lineRule="auto"/>
                    <w:ind w:left="0" w:right="0"/>
                    <w:jc w:val="center"/>
                    <w:textAlignment w:val="auto"/>
                    <w:rPr>
                      <w:rFonts w:hint="eastAsia"/>
                      <w:bCs/>
                      <w:kern w:val="0"/>
                      <w:sz w:val="18"/>
                      <w:szCs w:val="18"/>
                      <w:highlight w:val="none"/>
                      <w:lang w:val="en-US" w:eastAsia="zh-CN"/>
                    </w:rPr>
                  </w:pPr>
                </w:p>
              </w:tc>
              <w:tc>
                <w:tcPr>
                  <w:tcW w:w="331" w:type="pct"/>
                  <w:vMerge w:val="continue"/>
                  <w:tcBorders>
                    <w:left w:val="single" w:color="auto" w:sz="4" w:space="0"/>
                    <w:right w:val="single" w:color="auto" w:sz="4" w:space="0"/>
                  </w:tcBorders>
                  <w:vAlign w:val="center"/>
                </w:tcPr>
                <w:p w14:paraId="6811E4DF">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64" w:lineRule="auto"/>
                    <w:ind w:left="0" w:right="0"/>
                    <w:jc w:val="center"/>
                    <w:textAlignment w:val="auto"/>
                    <w:rPr>
                      <w:rFonts w:hint="eastAsia"/>
                      <w:bCs/>
                      <w:kern w:val="0"/>
                      <w:sz w:val="18"/>
                      <w:szCs w:val="18"/>
                      <w:highlight w:val="none"/>
                      <w:lang w:val="en-US" w:eastAsia="zh-CN"/>
                    </w:rPr>
                  </w:pPr>
                </w:p>
              </w:tc>
              <w:tc>
                <w:tcPr>
                  <w:tcW w:w="404" w:type="pct"/>
                  <w:vMerge w:val="continue"/>
                  <w:tcBorders>
                    <w:left w:val="single" w:color="auto" w:sz="4" w:space="0"/>
                    <w:right w:val="single" w:color="auto" w:sz="4" w:space="0"/>
                  </w:tcBorders>
                  <w:vAlign w:val="center"/>
                </w:tcPr>
                <w:p w14:paraId="55D4ADD0">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64" w:lineRule="auto"/>
                    <w:ind w:left="0" w:right="0"/>
                    <w:jc w:val="center"/>
                    <w:textAlignment w:val="auto"/>
                    <w:rPr>
                      <w:rFonts w:hint="eastAsia"/>
                      <w:bCs/>
                      <w:kern w:val="0"/>
                      <w:sz w:val="18"/>
                      <w:szCs w:val="18"/>
                      <w:highlight w:val="none"/>
                      <w:lang w:val="en-US" w:eastAsia="zh-CN"/>
                    </w:rPr>
                  </w:pPr>
                </w:p>
              </w:tc>
              <w:tc>
                <w:tcPr>
                  <w:tcW w:w="593" w:type="pct"/>
                  <w:tcBorders>
                    <w:left w:val="single" w:color="auto" w:sz="4" w:space="0"/>
                    <w:bottom w:val="single" w:color="auto" w:sz="4" w:space="0"/>
                    <w:right w:val="single" w:color="auto" w:sz="4" w:space="0"/>
                  </w:tcBorders>
                  <w:shd w:val="clear" w:color="auto" w:fill="auto"/>
                  <w:vAlign w:val="center"/>
                </w:tcPr>
                <w:p w14:paraId="258948A3">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64" w:lineRule="auto"/>
                    <w:ind w:left="0" w:right="0"/>
                    <w:jc w:val="center"/>
                    <w:textAlignment w:val="auto"/>
                    <w:rPr>
                      <w:rFonts w:hint="default"/>
                      <w:bCs/>
                      <w:kern w:val="0"/>
                      <w:sz w:val="18"/>
                      <w:szCs w:val="18"/>
                      <w:highlight w:val="none"/>
                      <w:lang w:val="en-US" w:eastAsia="zh-CN"/>
                    </w:rPr>
                  </w:pPr>
                  <w:r>
                    <w:rPr>
                      <w:rFonts w:hint="eastAsia"/>
                      <w:bCs/>
                      <w:kern w:val="0"/>
                      <w:sz w:val="18"/>
                      <w:szCs w:val="18"/>
                      <w:highlight w:val="none"/>
                      <w:lang w:val="en-US" w:eastAsia="zh-CN"/>
                    </w:rPr>
                    <w:t>氯化氢</w:t>
                  </w:r>
                </w:p>
              </w:tc>
              <w:tc>
                <w:tcPr>
                  <w:tcW w:w="1119" w:type="pct"/>
                  <w:gridSpan w:val="3"/>
                  <w:tcBorders>
                    <w:top w:val="single" w:color="auto" w:sz="4" w:space="0"/>
                    <w:left w:val="single" w:color="auto" w:sz="4" w:space="0"/>
                    <w:bottom w:val="single" w:color="auto" w:sz="4" w:space="0"/>
                    <w:right w:val="single" w:color="auto" w:sz="4" w:space="0"/>
                  </w:tcBorders>
                  <w:shd w:val="clear" w:color="auto" w:fill="auto"/>
                  <w:vAlign w:val="center"/>
                </w:tcPr>
                <w:p w14:paraId="0736A401">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64" w:lineRule="auto"/>
                    <w:ind w:left="0" w:right="0"/>
                    <w:jc w:val="center"/>
                    <w:textAlignment w:val="auto"/>
                    <w:rPr>
                      <w:rFonts w:hint="default" w:ascii="Times New Roman" w:hAnsi="Times New Roman" w:eastAsia="宋体" w:cs="Times New Roman"/>
                      <w:bCs/>
                      <w:kern w:val="0"/>
                      <w:sz w:val="18"/>
                      <w:szCs w:val="18"/>
                      <w:highlight w:val="none"/>
                      <w:lang w:val="en-US" w:eastAsia="zh-CN"/>
                    </w:rPr>
                  </w:pPr>
                  <w:r>
                    <w:rPr>
                      <w:rFonts w:hint="eastAsia" w:cs="Times New Roman"/>
                      <w:bCs/>
                      <w:kern w:val="0"/>
                      <w:sz w:val="18"/>
                      <w:szCs w:val="18"/>
                      <w:highlight w:val="none"/>
                      <w:lang w:val="en-US" w:eastAsia="zh-CN"/>
                    </w:rPr>
                    <w:t>少量</w:t>
                  </w:r>
                </w:p>
              </w:tc>
              <w:tc>
                <w:tcPr>
                  <w:tcW w:w="383" w:type="pct"/>
                  <w:tcBorders>
                    <w:left w:val="single" w:color="auto" w:sz="4" w:space="0"/>
                    <w:right w:val="single" w:color="auto" w:sz="4" w:space="0"/>
                  </w:tcBorders>
                  <w:shd w:val="clear" w:color="auto" w:fill="auto"/>
                  <w:vAlign w:val="center"/>
                </w:tcPr>
                <w:p w14:paraId="0FE815F4">
                  <w:pPr>
                    <w:keepNext w:val="0"/>
                    <w:keepLines w:val="0"/>
                    <w:widowControl/>
                    <w:suppressLineNumbers w:val="0"/>
                    <w:spacing w:before="0" w:beforeAutospacing="0" w:after="0" w:afterAutospacing="0" w:line="280" w:lineRule="exact"/>
                    <w:ind w:left="0" w:right="0"/>
                    <w:jc w:val="center"/>
                    <w:textAlignment w:val="center"/>
                    <w:rPr>
                      <w:rFonts w:hint="eastAsia"/>
                      <w:snapToGrid w:val="0"/>
                      <w:sz w:val="18"/>
                      <w:szCs w:val="18"/>
                      <w:highlight w:val="none"/>
                      <w:lang w:val="en-US" w:eastAsia="zh-CN"/>
                    </w:rPr>
                  </w:pPr>
                  <w:r>
                    <w:rPr>
                      <w:rFonts w:hint="eastAsia"/>
                      <w:bCs/>
                      <w:kern w:val="0"/>
                      <w:sz w:val="18"/>
                      <w:szCs w:val="18"/>
                      <w:highlight w:val="none"/>
                      <w:lang w:val="en-US" w:eastAsia="zh-CN"/>
                    </w:rPr>
                    <w:t>/</w:t>
                  </w:r>
                </w:p>
              </w:tc>
              <w:tc>
                <w:tcPr>
                  <w:tcW w:w="240" w:type="pct"/>
                  <w:tcBorders>
                    <w:left w:val="single" w:color="auto" w:sz="4" w:space="0"/>
                    <w:right w:val="single" w:color="auto" w:sz="4" w:space="0"/>
                  </w:tcBorders>
                  <w:shd w:val="clear" w:color="auto" w:fill="auto"/>
                  <w:vAlign w:val="center"/>
                </w:tcPr>
                <w:p w14:paraId="0BC3BCA7">
                  <w:pPr>
                    <w:keepNext w:val="0"/>
                    <w:keepLines w:val="0"/>
                    <w:widowControl/>
                    <w:suppressLineNumbers w:val="0"/>
                    <w:spacing w:before="0" w:beforeAutospacing="0" w:after="0" w:afterAutospacing="0" w:line="280" w:lineRule="exact"/>
                    <w:ind w:left="0" w:right="0"/>
                    <w:jc w:val="center"/>
                    <w:textAlignment w:val="center"/>
                    <w:rPr>
                      <w:rFonts w:hint="eastAsia"/>
                      <w:bCs/>
                      <w:kern w:val="0"/>
                      <w:sz w:val="18"/>
                      <w:szCs w:val="18"/>
                      <w:highlight w:val="none"/>
                      <w:lang w:val="en-US" w:eastAsia="zh-CN"/>
                    </w:rPr>
                  </w:pPr>
                  <w:r>
                    <w:rPr>
                      <w:rFonts w:hint="eastAsia"/>
                      <w:bCs/>
                      <w:kern w:val="0"/>
                      <w:sz w:val="18"/>
                      <w:szCs w:val="18"/>
                      <w:highlight w:val="none"/>
                      <w:lang w:val="en-US" w:eastAsia="zh-CN"/>
                    </w:rPr>
                    <w:t>/</w:t>
                  </w:r>
                </w:p>
              </w:tc>
              <w:tc>
                <w:tcPr>
                  <w:tcW w:w="317" w:type="pct"/>
                  <w:tcBorders>
                    <w:left w:val="single" w:color="auto" w:sz="4" w:space="0"/>
                    <w:right w:val="single" w:color="auto" w:sz="4" w:space="0"/>
                  </w:tcBorders>
                  <w:shd w:val="clear" w:color="auto" w:fill="auto"/>
                  <w:vAlign w:val="center"/>
                </w:tcPr>
                <w:p w14:paraId="51413C64">
                  <w:pPr>
                    <w:keepNext w:val="0"/>
                    <w:keepLines w:val="0"/>
                    <w:widowControl/>
                    <w:suppressLineNumbers w:val="0"/>
                    <w:spacing w:before="0" w:beforeAutospacing="0" w:after="0" w:afterAutospacing="0" w:line="280" w:lineRule="exact"/>
                    <w:ind w:left="0" w:right="0"/>
                    <w:jc w:val="center"/>
                    <w:textAlignment w:val="center"/>
                    <w:rPr>
                      <w:rFonts w:hint="eastAsia"/>
                      <w:sz w:val="18"/>
                      <w:szCs w:val="18"/>
                      <w:highlight w:val="none"/>
                      <w:lang w:val="en-US" w:eastAsia="zh-CN"/>
                    </w:rPr>
                  </w:pPr>
                  <w:r>
                    <w:rPr>
                      <w:rFonts w:hint="eastAsia"/>
                      <w:bCs/>
                      <w:kern w:val="0"/>
                      <w:sz w:val="18"/>
                      <w:szCs w:val="18"/>
                      <w:highlight w:val="none"/>
                      <w:lang w:val="en-US" w:eastAsia="zh-CN"/>
                    </w:rPr>
                    <w:t>/</w:t>
                  </w:r>
                </w:p>
              </w:tc>
              <w:tc>
                <w:tcPr>
                  <w:tcW w:w="1083" w:type="pct"/>
                  <w:gridSpan w:val="3"/>
                  <w:tcBorders>
                    <w:top w:val="single" w:color="auto" w:sz="4" w:space="0"/>
                    <w:left w:val="single" w:color="auto" w:sz="4" w:space="0"/>
                    <w:right w:val="single" w:color="auto" w:sz="4" w:space="0"/>
                  </w:tcBorders>
                  <w:shd w:val="clear" w:color="auto" w:fill="auto"/>
                  <w:vAlign w:val="center"/>
                </w:tcPr>
                <w:p w14:paraId="74D895E8">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64" w:lineRule="auto"/>
                    <w:ind w:left="0" w:right="0"/>
                    <w:jc w:val="center"/>
                    <w:textAlignment w:val="auto"/>
                    <w:rPr>
                      <w:rFonts w:hint="eastAsia" w:ascii="Times New Roman" w:hAnsi="Times New Roman" w:eastAsia="宋体" w:cs="Times New Roman"/>
                      <w:bCs/>
                      <w:kern w:val="0"/>
                      <w:sz w:val="18"/>
                      <w:szCs w:val="18"/>
                      <w:highlight w:val="none"/>
                      <w:lang w:val="en-US" w:eastAsia="zh-CN"/>
                    </w:rPr>
                  </w:pPr>
                  <w:r>
                    <w:rPr>
                      <w:rFonts w:hint="eastAsia" w:cs="Times New Roman"/>
                      <w:bCs/>
                      <w:kern w:val="0"/>
                      <w:sz w:val="18"/>
                      <w:szCs w:val="18"/>
                      <w:highlight w:val="none"/>
                      <w:lang w:val="en-US" w:eastAsia="zh-CN"/>
                    </w:rPr>
                    <w:t>少量</w:t>
                  </w:r>
                </w:p>
              </w:tc>
              <w:tc>
                <w:tcPr>
                  <w:tcW w:w="255" w:type="pct"/>
                  <w:vMerge w:val="continue"/>
                  <w:tcBorders>
                    <w:left w:val="single" w:color="auto" w:sz="4" w:space="0"/>
                    <w:right w:val="single" w:color="auto" w:sz="4" w:space="0"/>
                  </w:tcBorders>
                  <w:vAlign w:val="center"/>
                </w:tcPr>
                <w:p w14:paraId="1EB8E366">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64" w:lineRule="auto"/>
                    <w:ind w:left="0" w:right="0"/>
                    <w:jc w:val="center"/>
                    <w:textAlignment w:val="auto"/>
                    <w:rPr>
                      <w:rFonts w:hint="eastAsia"/>
                      <w:bCs/>
                      <w:kern w:val="0"/>
                      <w:sz w:val="18"/>
                      <w:szCs w:val="18"/>
                      <w:highlight w:val="none"/>
                      <w:lang w:val="en-US" w:eastAsia="zh-CN"/>
                    </w:rPr>
                  </w:pPr>
                </w:p>
              </w:tc>
            </w:tr>
            <w:tr w14:paraId="60D5407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189" w:hRule="atLeast"/>
                <w:jc w:val="center"/>
              </w:trPr>
              <w:tc>
                <w:tcPr>
                  <w:tcW w:w="271" w:type="pct"/>
                  <w:vMerge w:val="continue"/>
                  <w:tcBorders>
                    <w:left w:val="single" w:color="auto" w:sz="4" w:space="0"/>
                    <w:right w:val="single" w:color="auto" w:sz="4" w:space="0"/>
                  </w:tcBorders>
                  <w:vAlign w:val="center"/>
                </w:tcPr>
                <w:p w14:paraId="4C7A1109">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64" w:lineRule="auto"/>
                    <w:ind w:left="0" w:right="0"/>
                    <w:jc w:val="center"/>
                    <w:textAlignment w:val="auto"/>
                    <w:rPr>
                      <w:rFonts w:hint="eastAsia"/>
                      <w:bCs/>
                      <w:kern w:val="0"/>
                      <w:sz w:val="18"/>
                      <w:szCs w:val="18"/>
                      <w:highlight w:val="none"/>
                      <w:lang w:val="en-US" w:eastAsia="zh-CN"/>
                    </w:rPr>
                  </w:pPr>
                </w:p>
              </w:tc>
              <w:tc>
                <w:tcPr>
                  <w:tcW w:w="331" w:type="pct"/>
                  <w:vMerge w:val="continue"/>
                  <w:tcBorders>
                    <w:left w:val="single" w:color="auto" w:sz="4" w:space="0"/>
                    <w:right w:val="single" w:color="auto" w:sz="4" w:space="0"/>
                  </w:tcBorders>
                  <w:vAlign w:val="center"/>
                </w:tcPr>
                <w:p w14:paraId="56D8A00B">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64" w:lineRule="auto"/>
                    <w:ind w:left="0" w:right="0"/>
                    <w:jc w:val="center"/>
                    <w:textAlignment w:val="auto"/>
                    <w:rPr>
                      <w:rFonts w:hint="eastAsia"/>
                      <w:bCs/>
                      <w:kern w:val="0"/>
                      <w:sz w:val="18"/>
                      <w:szCs w:val="18"/>
                      <w:highlight w:val="none"/>
                      <w:lang w:val="en-US" w:eastAsia="zh-CN"/>
                    </w:rPr>
                  </w:pPr>
                </w:p>
              </w:tc>
              <w:tc>
                <w:tcPr>
                  <w:tcW w:w="404" w:type="pct"/>
                  <w:vMerge w:val="continue"/>
                  <w:tcBorders>
                    <w:left w:val="single" w:color="auto" w:sz="4" w:space="0"/>
                    <w:right w:val="single" w:color="auto" w:sz="4" w:space="0"/>
                  </w:tcBorders>
                  <w:vAlign w:val="center"/>
                </w:tcPr>
                <w:p w14:paraId="30660F85">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64" w:lineRule="auto"/>
                    <w:ind w:left="0" w:right="0"/>
                    <w:jc w:val="center"/>
                    <w:textAlignment w:val="auto"/>
                    <w:rPr>
                      <w:rFonts w:hint="eastAsia"/>
                      <w:bCs/>
                      <w:kern w:val="0"/>
                      <w:sz w:val="18"/>
                      <w:szCs w:val="18"/>
                      <w:highlight w:val="none"/>
                      <w:lang w:val="en-US" w:eastAsia="zh-CN"/>
                    </w:rPr>
                  </w:pPr>
                </w:p>
              </w:tc>
              <w:tc>
                <w:tcPr>
                  <w:tcW w:w="593" w:type="pct"/>
                  <w:tcBorders>
                    <w:left w:val="single" w:color="auto" w:sz="4" w:space="0"/>
                    <w:bottom w:val="single" w:color="auto" w:sz="4" w:space="0"/>
                    <w:right w:val="single" w:color="auto" w:sz="4" w:space="0"/>
                  </w:tcBorders>
                  <w:shd w:val="clear" w:color="auto" w:fill="auto"/>
                  <w:vAlign w:val="center"/>
                </w:tcPr>
                <w:p w14:paraId="7342A0C5">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64" w:lineRule="auto"/>
                    <w:ind w:left="0" w:right="0"/>
                    <w:jc w:val="center"/>
                    <w:textAlignment w:val="auto"/>
                    <w:rPr>
                      <w:rFonts w:hint="default"/>
                      <w:bCs/>
                      <w:kern w:val="0"/>
                      <w:sz w:val="18"/>
                      <w:szCs w:val="18"/>
                      <w:highlight w:val="none"/>
                      <w:lang w:val="en-US" w:eastAsia="zh-CN"/>
                    </w:rPr>
                  </w:pPr>
                  <w:r>
                    <w:rPr>
                      <w:rFonts w:hint="eastAsia"/>
                      <w:bCs/>
                      <w:kern w:val="0"/>
                      <w:sz w:val="18"/>
                      <w:szCs w:val="18"/>
                      <w:highlight w:val="none"/>
                      <w:lang w:val="en-US" w:eastAsia="zh-CN"/>
                    </w:rPr>
                    <w:t>硫酸雾</w:t>
                  </w:r>
                </w:p>
              </w:tc>
              <w:tc>
                <w:tcPr>
                  <w:tcW w:w="1119" w:type="pct"/>
                  <w:gridSpan w:val="3"/>
                  <w:tcBorders>
                    <w:top w:val="single" w:color="auto" w:sz="4" w:space="0"/>
                    <w:left w:val="single" w:color="auto" w:sz="4" w:space="0"/>
                    <w:bottom w:val="single" w:color="auto" w:sz="4" w:space="0"/>
                    <w:right w:val="single" w:color="auto" w:sz="4" w:space="0"/>
                  </w:tcBorders>
                  <w:shd w:val="clear" w:color="auto" w:fill="auto"/>
                  <w:vAlign w:val="center"/>
                </w:tcPr>
                <w:p w14:paraId="5CBB1DAB">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64" w:lineRule="auto"/>
                    <w:ind w:left="0" w:right="0"/>
                    <w:jc w:val="center"/>
                    <w:textAlignment w:val="auto"/>
                    <w:rPr>
                      <w:rFonts w:hint="eastAsia" w:cs="Times New Roman"/>
                      <w:bCs/>
                      <w:kern w:val="0"/>
                      <w:sz w:val="18"/>
                      <w:szCs w:val="18"/>
                      <w:highlight w:val="none"/>
                      <w:lang w:val="en-US" w:eastAsia="zh-CN"/>
                    </w:rPr>
                  </w:pPr>
                  <w:r>
                    <w:rPr>
                      <w:rFonts w:hint="eastAsia" w:cs="Times New Roman"/>
                      <w:bCs/>
                      <w:kern w:val="0"/>
                      <w:sz w:val="18"/>
                      <w:szCs w:val="18"/>
                      <w:highlight w:val="none"/>
                      <w:lang w:val="en-US" w:eastAsia="zh-CN"/>
                    </w:rPr>
                    <w:t>少量</w:t>
                  </w:r>
                </w:p>
              </w:tc>
              <w:tc>
                <w:tcPr>
                  <w:tcW w:w="383" w:type="pct"/>
                  <w:tcBorders>
                    <w:left w:val="single" w:color="auto" w:sz="4" w:space="0"/>
                    <w:right w:val="single" w:color="auto" w:sz="4" w:space="0"/>
                  </w:tcBorders>
                  <w:shd w:val="clear" w:color="auto" w:fill="auto"/>
                  <w:vAlign w:val="center"/>
                </w:tcPr>
                <w:p w14:paraId="22DC5610">
                  <w:pPr>
                    <w:keepNext w:val="0"/>
                    <w:keepLines w:val="0"/>
                    <w:widowControl/>
                    <w:suppressLineNumbers w:val="0"/>
                    <w:spacing w:before="0" w:beforeAutospacing="0" w:after="0" w:afterAutospacing="0" w:line="280" w:lineRule="exact"/>
                    <w:ind w:left="0" w:right="0"/>
                    <w:jc w:val="center"/>
                    <w:textAlignment w:val="center"/>
                    <w:rPr>
                      <w:rFonts w:hint="eastAsia"/>
                      <w:snapToGrid w:val="0"/>
                      <w:sz w:val="18"/>
                      <w:szCs w:val="18"/>
                      <w:highlight w:val="none"/>
                      <w:lang w:val="en-US" w:eastAsia="zh-CN"/>
                    </w:rPr>
                  </w:pPr>
                  <w:r>
                    <w:rPr>
                      <w:rFonts w:hint="eastAsia"/>
                      <w:bCs/>
                      <w:kern w:val="0"/>
                      <w:sz w:val="18"/>
                      <w:szCs w:val="18"/>
                      <w:highlight w:val="none"/>
                      <w:lang w:val="en-US" w:eastAsia="zh-CN"/>
                    </w:rPr>
                    <w:t>/</w:t>
                  </w:r>
                </w:p>
              </w:tc>
              <w:tc>
                <w:tcPr>
                  <w:tcW w:w="240" w:type="pct"/>
                  <w:tcBorders>
                    <w:left w:val="single" w:color="auto" w:sz="4" w:space="0"/>
                    <w:right w:val="single" w:color="auto" w:sz="4" w:space="0"/>
                  </w:tcBorders>
                  <w:shd w:val="clear" w:color="auto" w:fill="auto"/>
                  <w:vAlign w:val="center"/>
                </w:tcPr>
                <w:p w14:paraId="458CACD7">
                  <w:pPr>
                    <w:keepNext w:val="0"/>
                    <w:keepLines w:val="0"/>
                    <w:widowControl/>
                    <w:suppressLineNumbers w:val="0"/>
                    <w:spacing w:before="0" w:beforeAutospacing="0" w:after="0" w:afterAutospacing="0" w:line="280" w:lineRule="exact"/>
                    <w:ind w:left="0" w:right="0"/>
                    <w:jc w:val="center"/>
                    <w:textAlignment w:val="center"/>
                    <w:rPr>
                      <w:rFonts w:hint="eastAsia"/>
                      <w:bCs/>
                      <w:kern w:val="0"/>
                      <w:sz w:val="18"/>
                      <w:szCs w:val="18"/>
                      <w:highlight w:val="none"/>
                      <w:lang w:val="en-US" w:eastAsia="zh-CN"/>
                    </w:rPr>
                  </w:pPr>
                  <w:r>
                    <w:rPr>
                      <w:rFonts w:hint="eastAsia"/>
                      <w:bCs/>
                      <w:kern w:val="0"/>
                      <w:sz w:val="18"/>
                      <w:szCs w:val="18"/>
                      <w:highlight w:val="none"/>
                      <w:lang w:val="en-US" w:eastAsia="zh-CN"/>
                    </w:rPr>
                    <w:t>/</w:t>
                  </w:r>
                </w:p>
              </w:tc>
              <w:tc>
                <w:tcPr>
                  <w:tcW w:w="317" w:type="pct"/>
                  <w:tcBorders>
                    <w:left w:val="single" w:color="auto" w:sz="4" w:space="0"/>
                    <w:right w:val="single" w:color="auto" w:sz="4" w:space="0"/>
                  </w:tcBorders>
                  <w:shd w:val="clear" w:color="auto" w:fill="auto"/>
                  <w:vAlign w:val="center"/>
                </w:tcPr>
                <w:p w14:paraId="70722498">
                  <w:pPr>
                    <w:keepNext w:val="0"/>
                    <w:keepLines w:val="0"/>
                    <w:widowControl/>
                    <w:suppressLineNumbers w:val="0"/>
                    <w:spacing w:before="0" w:beforeAutospacing="0" w:after="0" w:afterAutospacing="0" w:line="280" w:lineRule="exact"/>
                    <w:ind w:left="0" w:right="0"/>
                    <w:jc w:val="center"/>
                    <w:textAlignment w:val="center"/>
                    <w:rPr>
                      <w:rFonts w:hint="eastAsia"/>
                      <w:sz w:val="18"/>
                      <w:szCs w:val="18"/>
                      <w:highlight w:val="none"/>
                      <w:lang w:val="en-US" w:eastAsia="zh-CN"/>
                    </w:rPr>
                  </w:pPr>
                  <w:r>
                    <w:rPr>
                      <w:rFonts w:hint="eastAsia"/>
                      <w:bCs/>
                      <w:kern w:val="0"/>
                      <w:sz w:val="18"/>
                      <w:szCs w:val="18"/>
                      <w:highlight w:val="none"/>
                      <w:lang w:val="en-US" w:eastAsia="zh-CN"/>
                    </w:rPr>
                    <w:t>/</w:t>
                  </w:r>
                </w:p>
              </w:tc>
              <w:tc>
                <w:tcPr>
                  <w:tcW w:w="1083" w:type="pct"/>
                  <w:gridSpan w:val="3"/>
                  <w:tcBorders>
                    <w:top w:val="single" w:color="auto" w:sz="4" w:space="0"/>
                    <w:left w:val="single" w:color="auto" w:sz="4" w:space="0"/>
                    <w:right w:val="single" w:color="auto" w:sz="4" w:space="0"/>
                  </w:tcBorders>
                  <w:shd w:val="clear" w:color="auto" w:fill="auto"/>
                  <w:vAlign w:val="center"/>
                </w:tcPr>
                <w:p w14:paraId="24AC178C">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64" w:lineRule="auto"/>
                    <w:ind w:left="0" w:right="0"/>
                    <w:jc w:val="center"/>
                    <w:textAlignment w:val="auto"/>
                    <w:rPr>
                      <w:rFonts w:hint="eastAsia" w:ascii="Times New Roman" w:hAnsi="Times New Roman" w:eastAsia="宋体" w:cs="Times New Roman"/>
                      <w:bCs/>
                      <w:kern w:val="0"/>
                      <w:sz w:val="18"/>
                      <w:szCs w:val="18"/>
                      <w:highlight w:val="none"/>
                      <w:lang w:val="en-US" w:eastAsia="zh-CN"/>
                    </w:rPr>
                  </w:pPr>
                  <w:r>
                    <w:rPr>
                      <w:rFonts w:hint="eastAsia" w:cs="Times New Roman"/>
                      <w:bCs/>
                      <w:kern w:val="0"/>
                      <w:sz w:val="18"/>
                      <w:szCs w:val="18"/>
                      <w:highlight w:val="none"/>
                      <w:lang w:val="en-US" w:eastAsia="zh-CN"/>
                    </w:rPr>
                    <w:t>少量</w:t>
                  </w:r>
                </w:p>
              </w:tc>
              <w:tc>
                <w:tcPr>
                  <w:tcW w:w="255" w:type="pct"/>
                  <w:vMerge w:val="continue"/>
                  <w:tcBorders>
                    <w:left w:val="single" w:color="auto" w:sz="4" w:space="0"/>
                    <w:right w:val="single" w:color="auto" w:sz="4" w:space="0"/>
                  </w:tcBorders>
                  <w:vAlign w:val="center"/>
                </w:tcPr>
                <w:p w14:paraId="067F14ED">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64" w:lineRule="auto"/>
                    <w:ind w:left="0" w:right="0"/>
                    <w:jc w:val="center"/>
                    <w:textAlignment w:val="auto"/>
                    <w:rPr>
                      <w:rFonts w:hint="eastAsia"/>
                      <w:bCs/>
                      <w:kern w:val="0"/>
                      <w:sz w:val="18"/>
                      <w:szCs w:val="18"/>
                      <w:highlight w:val="none"/>
                      <w:lang w:val="en-US" w:eastAsia="zh-CN"/>
                    </w:rPr>
                  </w:pPr>
                </w:p>
              </w:tc>
            </w:tr>
            <w:tr w14:paraId="0A75551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189" w:hRule="atLeast"/>
                <w:jc w:val="center"/>
              </w:trPr>
              <w:tc>
                <w:tcPr>
                  <w:tcW w:w="271" w:type="pct"/>
                  <w:vMerge w:val="restart"/>
                  <w:tcBorders>
                    <w:left w:val="single" w:color="auto" w:sz="4" w:space="0"/>
                    <w:right w:val="single" w:color="auto" w:sz="4" w:space="0"/>
                  </w:tcBorders>
                  <w:vAlign w:val="center"/>
                </w:tcPr>
                <w:p w14:paraId="50A9454F">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64" w:lineRule="auto"/>
                    <w:ind w:left="0" w:right="0"/>
                    <w:jc w:val="center"/>
                    <w:textAlignment w:val="auto"/>
                    <w:rPr>
                      <w:rFonts w:hint="default"/>
                      <w:bCs/>
                      <w:kern w:val="0"/>
                      <w:sz w:val="18"/>
                      <w:szCs w:val="18"/>
                      <w:highlight w:val="none"/>
                      <w:lang w:val="en-US"/>
                    </w:rPr>
                  </w:pPr>
                  <w:r>
                    <w:rPr>
                      <w:rFonts w:hint="eastAsia"/>
                      <w:bCs/>
                      <w:kern w:val="0"/>
                      <w:sz w:val="18"/>
                      <w:szCs w:val="18"/>
                      <w:highlight w:val="none"/>
                      <w:lang w:val="en-US" w:eastAsia="zh-CN"/>
                    </w:rPr>
                    <w:t>DA012</w:t>
                  </w:r>
                </w:p>
              </w:tc>
              <w:tc>
                <w:tcPr>
                  <w:tcW w:w="331" w:type="pct"/>
                  <w:vMerge w:val="restart"/>
                  <w:tcBorders>
                    <w:left w:val="single" w:color="auto" w:sz="4" w:space="0"/>
                    <w:right w:val="single" w:color="auto" w:sz="4" w:space="0"/>
                  </w:tcBorders>
                  <w:vAlign w:val="center"/>
                </w:tcPr>
                <w:p w14:paraId="73646645">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64" w:lineRule="auto"/>
                    <w:ind w:left="0" w:right="0"/>
                    <w:jc w:val="center"/>
                    <w:textAlignment w:val="auto"/>
                    <w:rPr>
                      <w:rFonts w:hint="default"/>
                      <w:bCs/>
                      <w:kern w:val="0"/>
                      <w:sz w:val="18"/>
                      <w:szCs w:val="18"/>
                      <w:highlight w:val="none"/>
                    </w:rPr>
                  </w:pPr>
                  <w:r>
                    <w:rPr>
                      <w:rFonts w:hint="eastAsia"/>
                      <w:bCs/>
                      <w:kern w:val="0"/>
                      <w:sz w:val="18"/>
                      <w:szCs w:val="18"/>
                      <w:highlight w:val="none"/>
                      <w:lang w:val="en-US" w:eastAsia="zh-CN"/>
                    </w:rPr>
                    <w:t>12#排气筒</w:t>
                  </w:r>
                </w:p>
              </w:tc>
              <w:tc>
                <w:tcPr>
                  <w:tcW w:w="404" w:type="pct"/>
                  <w:vMerge w:val="restart"/>
                  <w:tcBorders>
                    <w:left w:val="single" w:color="auto" w:sz="4" w:space="0"/>
                    <w:right w:val="single" w:color="auto" w:sz="4" w:space="0"/>
                  </w:tcBorders>
                  <w:vAlign w:val="center"/>
                </w:tcPr>
                <w:p w14:paraId="20C8D620">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64" w:lineRule="auto"/>
                    <w:ind w:left="0" w:right="0"/>
                    <w:jc w:val="center"/>
                    <w:textAlignment w:val="auto"/>
                    <w:rPr>
                      <w:rFonts w:hint="default"/>
                      <w:bCs/>
                      <w:kern w:val="0"/>
                      <w:sz w:val="18"/>
                      <w:szCs w:val="18"/>
                      <w:highlight w:val="none"/>
                    </w:rPr>
                  </w:pPr>
                  <w:r>
                    <w:rPr>
                      <w:rFonts w:hint="eastAsia"/>
                      <w:bCs/>
                      <w:kern w:val="0"/>
                      <w:sz w:val="18"/>
                      <w:szCs w:val="18"/>
                      <w:highlight w:val="none"/>
                      <w:lang w:val="en-US" w:eastAsia="zh-CN"/>
                    </w:rPr>
                    <w:t>实验室废气</w:t>
                  </w:r>
                </w:p>
              </w:tc>
              <w:tc>
                <w:tcPr>
                  <w:tcW w:w="593" w:type="pct"/>
                  <w:tcBorders>
                    <w:left w:val="single" w:color="auto" w:sz="4" w:space="0"/>
                    <w:bottom w:val="single" w:color="auto" w:sz="4" w:space="0"/>
                    <w:right w:val="single" w:color="auto" w:sz="4" w:space="0"/>
                  </w:tcBorders>
                  <w:shd w:val="clear" w:color="auto" w:fill="auto"/>
                  <w:vAlign w:val="center"/>
                </w:tcPr>
                <w:p w14:paraId="1622EE9E">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64" w:lineRule="auto"/>
                    <w:ind w:left="0" w:right="0"/>
                    <w:jc w:val="center"/>
                    <w:textAlignment w:val="auto"/>
                    <w:rPr>
                      <w:rFonts w:hint="default"/>
                      <w:bCs/>
                      <w:kern w:val="0"/>
                      <w:sz w:val="18"/>
                      <w:szCs w:val="18"/>
                      <w:highlight w:val="none"/>
                    </w:rPr>
                  </w:pPr>
                  <w:r>
                    <w:rPr>
                      <w:rFonts w:hint="eastAsia"/>
                      <w:bCs/>
                      <w:kern w:val="0"/>
                      <w:sz w:val="18"/>
                      <w:szCs w:val="18"/>
                      <w:highlight w:val="none"/>
                      <w:lang w:val="en-US" w:eastAsia="zh-CN"/>
                    </w:rPr>
                    <w:t>非甲烷总烃</w:t>
                  </w:r>
                </w:p>
              </w:tc>
              <w:tc>
                <w:tcPr>
                  <w:tcW w:w="357" w:type="pct"/>
                  <w:tcBorders>
                    <w:top w:val="single" w:color="auto" w:sz="4" w:space="0"/>
                    <w:left w:val="single" w:color="auto" w:sz="4" w:space="0"/>
                    <w:bottom w:val="single" w:color="auto" w:sz="4" w:space="0"/>
                    <w:right w:val="single" w:color="auto" w:sz="4" w:space="0"/>
                  </w:tcBorders>
                  <w:shd w:val="clear" w:color="auto" w:fill="auto"/>
                  <w:vAlign w:val="center"/>
                </w:tcPr>
                <w:p w14:paraId="60CF0996">
                  <w:pPr>
                    <w:keepNext w:val="0"/>
                    <w:keepLines w:val="0"/>
                    <w:widowControl/>
                    <w:suppressLineNumbers w:val="0"/>
                    <w:spacing w:before="0" w:beforeAutospacing="0" w:after="0" w:afterAutospacing="0"/>
                    <w:ind w:left="0" w:right="0"/>
                    <w:jc w:val="center"/>
                    <w:textAlignment w:val="center"/>
                    <w:rPr>
                      <w:rFonts w:hint="eastAsia" w:ascii="Times New Roman" w:hAnsi="Times New Roman" w:eastAsia="宋体" w:cs="Times New Roman"/>
                      <w:b w:val="0"/>
                      <w:bCs w:val="0"/>
                      <w:kern w:val="2"/>
                      <w:sz w:val="18"/>
                      <w:szCs w:val="18"/>
                      <w:highlight w:val="none"/>
                      <w:lang w:val="en-US" w:eastAsia="zh-CN" w:bidi="ar"/>
                    </w:rPr>
                  </w:pPr>
                  <w:r>
                    <w:rPr>
                      <w:rFonts w:hint="default" w:ascii="Times New Roman" w:hAnsi="Times New Roman" w:eastAsia="宋体" w:cs="Times New Roman"/>
                      <w:i w:val="0"/>
                      <w:iCs w:val="0"/>
                      <w:color w:val="000000"/>
                      <w:kern w:val="0"/>
                      <w:sz w:val="18"/>
                      <w:szCs w:val="18"/>
                      <w:highlight w:val="none"/>
                      <w:u w:val="none"/>
                      <w:lang w:val="en-US" w:eastAsia="zh-CN" w:bidi="ar"/>
                    </w:rPr>
                    <w:t>0.065</w:t>
                  </w:r>
                </w:p>
              </w:tc>
              <w:tc>
                <w:tcPr>
                  <w:tcW w:w="357" w:type="pct"/>
                  <w:tcBorders>
                    <w:top w:val="single" w:color="auto" w:sz="4" w:space="0"/>
                    <w:left w:val="single" w:color="auto" w:sz="4" w:space="0"/>
                    <w:bottom w:val="single" w:color="auto" w:sz="4" w:space="0"/>
                    <w:right w:val="single" w:color="auto" w:sz="4" w:space="0"/>
                  </w:tcBorders>
                  <w:shd w:val="clear" w:color="auto" w:fill="auto"/>
                  <w:vAlign w:val="center"/>
                </w:tcPr>
                <w:p w14:paraId="787A5193">
                  <w:pPr>
                    <w:keepNext w:val="0"/>
                    <w:keepLines w:val="0"/>
                    <w:widowControl/>
                    <w:suppressLineNumbers w:val="0"/>
                    <w:spacing w:before="0" w:beforeAutospacing="0" w:after="0" w:afterAutospacing="0"/>
                    <w:ind w:left="0" w:right="0"/>
                    <w:jc w:val="center"/>
                    <w:textAlignment w:val="center"/>
                    <w:rPr>
                      <w:rFonts w:hint="eastAsia" w:ascii="Times New Roman" w:hAnsi="Times New Roman" w:eastAsia="宋体" w:cs="Times New Roman"/>
                      <w:b w:val="0"/>
                      <w:bCs w:val="0"/>
                      <w:kern w:val="2"/>
                      <w:sz w:val="18"/>
                      <w:szCs w:val="18"/>
                      <w:highlight w:val="none"/>
                      <w:lang w:val="en-US" w:eastAsia="zh-CN" w:bidi="ar"/>
                    </w:rPr>
                  </w:pPr>
                  <w:r>
                    <w:rPr>
                      <w:rFonts w:hint="default" w:ascii="Times New Roman" w:hAnsi="Times New Roman" w:eastAsia="宋体" w:cs="Times New Roman"/>
                      <w:i w:val="0"/>
                      <w:iCs w:val="0"/>
                      <w:color w:val="000000"/>
                      <w:kern w:val="0"/>
                      <w:sz w:val="18"/>
                      <w:szCs w:val="18"/>
                      <w:highlight w:val="none"/>
                      <w:u w:val="none"/>
                      <w:lang w:val="en-US" w:eastAsia="zh-CN" w:bidi="ar"/>
                    </w:rPr>
                    <w:t>0.031</w:t>
                  </w:r>
                </w:p>
              </w:tc>
              <w:tc>
                <w:tcPr>
                  <w:tcW w:w="404" w:type="pct"/>
                  <w:tcBorders>
                    <w:top w:val="single" w:color="auto" w:sz="4" w:space="0"/>
                    <w:left w:val="single" w:color="auto" w:sz="4" w:space="0"/>
                    <w:right w:val="single" w:color="auto" w:sz="4" w:space="0"/>
                  </w:tcBorders>
                  <w:shd w:val="clear" w:color="auto" w:fill="auto"/>
                  <w:vAlign w:val="center"/>
                </w:tcPr>
                <w:p w14:paraId="5524468D">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64" w:lineRule="auto"/>
                    <w:ind w:left="0" w:right="0"/>
                    <w:jc w:val="center"/>
                    <w:textAlignment w:val="auto"/>
                    <w:rPr>
                      <w:rFonts w:hint="eastAsia" w:ascii="Times New Roman" w:hAnsi="Times New Roman" w:eastAsia="宋体" w:cs="Times New Roman"/>
                      <w:bCs/>
                      <w:kern w:val="0"/>
                      <w:sz w:val="18"/>
                      <w:szCs w:val="18"/>
                      <w:highlight w:val="none"/>
                      <w:lang w:val="en-US" w:eastAsia="zh-CN"/>
                    </w:rPr>
                  </w:pPr>
                  <w:r>
                    <w:rPr>
                      <w:rFonts w:hint="eastAsia" w:cs="Times New Roman"/>
                      <w:bCs/>
                      <w:kern w:val="0"/>
                      <w:sz w:val="18"/>
                      <w:szCs w:val="18"/>
                      <w:highlight w:val="none"/>
                      <w:lang w:val="en-US" w:eastAsia="zh-CN"/>
                    </w:rPr>
                    <w:t>0.52</w:t>
                  </w:r>
                  <w:r>
                    <w:rPr>
                      <w:rFonts w:hint="eastAsia" w:ascii="Times New Roman" w:hAnsi="Times New Roman" w:eastAsia="宋体" w:cs="Times New Roman"/>
                      <w:bCs/>
                      <w:kern w:val="0"/>
                      <w:sz w:val="18"/>
                      <w:szCs w:val="18"/>
                      <w:highlight w:val="none"/>
                      <w:lang w:val="en-US" w:eastAsia="zh-CN"/>
                    </w:rPr>
                    <w:t xml:space="preserve"> </w:t>
                  </w:r>
                </w:p>
              </w:tc>
              <w:tc>
                <w:tcPr>
                  <w:tcW w:w="383" w:type="pct"/>
                  <w:tcBorders>
                    <w:left w:val="single" w:color="auto" w:sz="4" w:space="0"/>
                    <w:right w:val="single" w:color="auto" w:sz="4" w:space="0"/>
                  </w:tcBorders>
                  <w:shd w:val="clear" w:color="auto" w:fill="auto"/>
                  <w:vAlign w:val="center"/>
                </w:tcPr>
                <w:p w14:paraId="5C60323A">
                  <w:pPr>
                    <w:keepNext w:val="0"/>
                    <w:keepLines w:val="0"/>
                    <w:widowControl/>
                    <w:suppressLineNumbers w:val="0"/>
                    <w:spacing w:before="0" w:beforeAutospacing="0" w:after="0" w:afterAutospacing="0" w:line="280" w:lineRule="exact"/>
                    <w:ind w:left="0" w:right="0"/>
                    <w:jc w:val="center"/>
                    <w:textAlignment w:val="center"/>
                    <w:rPr>
                      <w:rFonts w:hint="eastAsia" w:ascii="Times New Roman" w:hAnsi="Times New Roman" w:eastAsia="宋体" w:cs="Times New Roman"/>
                      <w:b w:val="0"/>
                      <w:bCs w:val="0"/>
                      <w:kern w:val="2"/>
                      <w:sz w:val="18"/>
                      <w:szCs w:val="18"/>
                      <w:highlight w:val="none"/>
                      <w:lang w:val="en-US" w:eastAsia="zh-CN" w:bidi="ar"/>
                    </w:rPr>
                  </w:pPr>
                  <w:r>
                    <w:rPr>
                      <w:rFonts w:hint="eastAsia"/>
                      <w:snapToGrid w:val="0"/>
                      <w:sz w:val="18"/>
                      <w:szCs w:val="18"/>
                      <w:highlight w:val="none"/>
                      <w:lang w:val="en-US" w:eastAsia="zh-CN"/>
                    </w:rPr>
                    <w:t>活性炭吸附</w:t>
                  </w:r>
                </w:p>
              </w:tc>
              <w:tc>
                <w:tcPr>
                  <w:tcW w:w="240" w:type="pct"/>
                  <w:tcBorders>
                    <w:left w:val="single" w:color="auto" w:sz="4" w:space="0"/>
                    <w:right w:val="single" w:color="auto" w:sz="4" w:space="0"/>
                  </w:tcBorders>
                  <w:shd w:val="clear" w:color="auto" w:fill="auto"/>
                  <w:vAlign w:val="center"/>
                </w:tcPr>
                <w:p w14:paraId="3CB82D71">
                  <w:pPr>
                    <w:keepNext w:val="0"/>
                    <w:keepLines w:val="0"/>
                    <w:widowControl/>
                    <w:suppressLineNumbers w:val="0"/>
                    <w:spacing w:before="0" w:beforeAutospacing="0" w:after="0" w:afterAutospacing="0" w:line="280" w:lineRule="exact"/>
                    <w:ind w:left="0" w:right="0"/>
                    <w:jc w:val="center"/>
                    <w:textAlignment w:val="center"/>
                    <w:rPr>
                      <w:rFonts w:hint="eastAsia" w:ascii="Times New Roman" w:hAnsi="Times New Roman" w:eastAsia="宋体" w:cs="Times New Roman"/>
                      <w:b w:val="0"/>
                      <w:bCs w:val="0"/>
                      <w:kern w:val="2"/>
                      <w:sz w:val="18"/>
                      <w:szCs w:val="18"/>
                      <w:highlight w:val="none"/>
                      <w:lang w:val="en-US" w:eastAsia="zh-CN" w:bidi="ar"/>
                    </w:rPr>
                  </w:pPr>
                  <w:r>
                    <w:rPr>
                      <w:rFonts w:hint="eastAsia"/>
                      <w:bCs/>
                      <w:kern w:val="0"/>
                      <w:sz w:val="18"/>
                      <w:szCs w:val="18"/>
                      <w:highlight w:val="none"/>
                      <w:lang w:val="en-US" w:eastAsia="zh-CN"/>
                    </w:rPr>
                    <w:t>/</w:t>
                  </w:r>
                </w:p>
              </w:tc>
              <w:tc>
                <w:tcPr>
                  <w:tcW w:w="317" w:type="pct"/>
                  <w:tcBorders>
                    <w:left w:val="single" w:color="auto" w:sz="4" w:space="0"/>
                    <w:right w:val="single" w:color="auto" w:sz="4" w:space="0"/>
                  </w:tcBorders>
                  <w:shd w:val="clear" w:color="auto" w:fill="auto"/>
                  <w:vAlign w:val="center"/>
                </w:tcPr>
                <w:p w14:paraId="1EEEA099">
                  <w:pPr>
                    <w:keepNext w:val="0"/>
                    <w:keepLines w:val="0"/>
                    <w:widowControl/>
                    <w:suppressLineNumbers w:val="0"/>
                    <w:spacing w:before="0" w:beforeAutospacing="0" w:after="0" w:afterAutospacing="0" w:line="280" w:lineRule="exact"/>
                    <w:ind w:left="0" w:right="0"/>
                    <w:jc w:val="center"/>
                    <w:textAlignment w:val="center"/>
                    <w:rPr>
                      <w:rFonts w:hint="eastAsia" w:ascii="Times New Roman" w:hAnsi="Times New Roman" w:eastAsia="宋体" w:cs="Times New Roman"/>
                      <w:b w:val="0"/>
                      <w:bCs w:val="0"/>
                      <w:kern w:val="2"/>
                      <w:sz w:val="18"/>
                      <w:szCs w:val="18"/>
                      <w:highlight w:val="none"/>
                      <w:lang w:val="en-US" w:eastAsia="zh-CN" w:bidi="ar"/>
                    </w:rPr>
                  </w:pPr>
                  <w:r>
                    <w:rPr>
                      <w:rFonts w:hint="eastAsia"/>
                      <w:sz w:val="18"/>
                      <w:szCs w:val="18"/>
                      <w:highlight w:val="none"/>
                      <w:lang w:val="en-US" w:eastAsia="zh-CN"/>
                    </w:rPr>
                    <w:t>59800</w:t>
                  </w:r>
                </w:p>
              </w:tc>
              <w:tc>
                <w:tcPr>
                  <w:tcW w:w="380" w:type="pct"/>
                  <w:tcBorders>
                    <w:top w:val="single" w:color="auto" w:sz="4" w:space="0"/>
                    <w:left w:val="single" w:color="auto" w:sz="4" w:space="0"/>
                    <w:right w:val="single" w:color="auto" w:sz="4" w:space="0"/>
                  </w:tcBorders>
                  <w:shd w:val="clear" w:color="auto" w:fill="auto"/>
                  <w:vAlign w:val="center"/>
                </w:tcPr>
                <w:p w14:paraId="5D0D26E9">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b w:val="0"/>
                      <w:bCs w:val="0"/>
                      <w:kern w:val="2"/>
                      <w:sz w:val="18"/>
                      <w:szCs w:val="18"/>
                      <w:highlight w:val="none"/>
                      <w:lang w:val="en-US" w:eastAsia="zh-CN" w:bidi="ar"/>
                    </w:rPr>
                  </w:pPr>
                  <w:r>
                    <w:rPr>
                      <w:rFonts w:hint="default" w:ascii="Times New Roman" w:hAnsi="Times New Roman" w:eastAsia="宋体" w:cs="Times New Roman"/>
                      <w:i w:val="0"/>
                      <w:iCs w:val="0"/>
                      <w:color w:val="000000"/>
                      <w:kern w:val="0"/>
                      <w:sz w:val="18"/>
                      <w:szCs w:val="18"/>
                      <w:highlight w:val="none"/>
                      <w:u w:val="none"/>
                      <w:lang w:val="en-US" w:eastAsia="zh-CN" w:bidi="ar"/>
                    </w:rPr>
                    <w:t>0.065</w:t>
                  </w:r>
                </w:p>
              </w:tc>
              <w:tc>
                <w:tcPr>
                  <w:tcW w:w="362" w:type="pct"/>
                  <w:tcBorders>
                    <w:top w:val="single" w:color="auto" w:sz="4" w:space="0"/>
                    <w:left w:val="single" w:color="auto" w:sz="4" w:space="0"/>
                    <w:right w:val="single" w:color="auto" w:sz="4" w:space="0"/>
                  </w:tcBorders>
                  <w:shd w:val="clear" w:color="auto" w:fill="auto"/>
                  <w:vAlign w:val="center"/>
                </w:tcPr>
                <w:p w14:paraId="0B43BB48">
                  <w:pPr>
                    <w:keepNext w:val="0"/>
                    <w:keepLines w:val="0"/>
                    <w:widowControl/>
                    <w:suppressLineNumbers w:val="0"/>
                    <w:spacing w:before="0" w:beforeAutospacing="0" w:after="0" w:afterAutospacing="0"/>
                    <w:ind w:left="0" w:right="0"/>
                    <w:jc w:val="center"/>
                    <w:textAlignment w:val="center"/>
                    <w:rPr>
                      <w:rFonts w:hint="eastAsia" w:ascii="Times New Roman" w:hAnsi="Times New Roman" w:eastAsia="宋体" w:cs="Times New Roman"/>
                      <w:b w:val="0"/>
                      <w:bCs w:val="0"/>
                      <w:kern w:val="2"/>
                      <w:sz w:val="18"/>
                      <w:szCs w:val="18"/>
                      <w:highlight w:val="none"/>
                      <w:lang w:val="en-US" w:eastAsia="zh-CN" w:bidi="ar"/>
                    </w:rPr>
                  </w:pPr>
                  <w:r>
                    <w:rPr>
                      <w:rFonts w:hint="default" w:ascii="Times New Roman" w:hAnsi="Times New Roman" w:eastAsia="宋体" w:cs="Times New Roman"/>
                      <w:i w:val="0"/>
                      <w:iCs w:val="0"/>
                      <w:color w:val="000000"/>
                      <w:kern w:val="0"/>
                      <w:sz w:val="18"/>
                      <w:szCs w:val="18"/>
                      <w:highlight w:val="none"/>
                      <w:u w:val="none"/>
                      <w:lang w:val="en-US" w:eastAsia="zh-CN" w:bidi="ar"/>
                    </w:rPr>
                    <w:t>0.031</w:t>
                  </w:r>
                </w:p>
              </w:tc>
              <w:tc>
                <w:tcPr>
                  <w:tcW w:w="340" w:type="pct"/>
                  <w:tcBorders>
                    <w:top w:val="single" w:color="auto" w:sz="4" w:space="0"/>
                    <w:left w:val="single" w:color="auto" w:sz="4" w:space="0"/>
                    <w:right w:val="single" w:color="auto" w:sz="4" w:space="0"/>
                  </w:tcBorders>
                  <w:shd w:val="clear" w:color="auto" w:fill="auto"/>
                  <w:vAlign w:val="center"/>
                </w:tcPr>
                <w:p w14:paraId="3DD02F53">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64" w:lineRule="auto"/>
                    <w:ind w:left="0" w:right="0"/>
                    <w:jc w:val="center"/>
                    <w:textAlignment w:val="auto"/>
                    <w:rPr>
                      <w:rFonts w:hint="eastAsia" w:ascii="Times New Roman" w:hAnsi="Times New Roman" w:eastAsia="宋体" w:cs="Times New Roman"/>
                      <w:bCs/>
                      <w:kern w:val="0"/>
                      <w:sz w:val="18"/>
                      <w:szCs w:val="18"/>
                      <w:highlight w:val="none"/>
                      <w:lang w:val="en-US" w:eastAsia="zh-CN" w:bidi="ar-SA"/>
                    </w:rPr>
                  </w:pPr>
                  <w:r>
                    <w:rPr>
                      <w:rFonts w:hint="eastAsia" w:cs="Times New Roman"/>
                      <w:bCs/>
                      <w:kern w:val="0"/>
                      <w:sz w:val="18"/>
                      <w:szCs w:val="18"/>
                      <w:highlight w:val="none"/>
                      <w:lang w:val="en-US" w:eastAsia="zh-CN"/>
                    </w:rPr>
                    <w:t>0.52</w:t>
                  </w:r>
                  <w:r>
                    <w:rPr>
                      <w:rFonts w:hint="eastAsia" w:ascii="Times New Roman" w:hAnsi="Times New Roman" w:eastAsia="宋体" w:cs="Times New Roman"/>
                      <w:bCs/>
                      <w:kern w:val="0"/>
                      <w:sz w:val="18"/>
                      <w:szCs w:val="18"/>
                      <w:highlight w:val="none"/>
                      <w:lang w:val="en-US" w:eastAsia="zh-CN"/>
                    </w:rPr>
                    <w:t xml:space="preserve"> </w:t>
                  </w:r>
                </w:p>
              </w:tc>
              <w:tc>
                <w:tcPr>
                  <w:tcW w:w="255" w:type="pct"/>
                  <w:vMerge w:val="restart"/>
                  <w:tcBorders>
                    <w:left w:val="single" w:color="auto" w:sz="4" w:space="0"/>
                    <w:right w:val="single" w:color="auto" w:sz="4" w:space="0"/>
                  </w:tcBorders>
                  <w:vAlign w:val="center"/>
                </w:tcPr>
                <w:p w14:paraId="51E2A20E">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64" w:lineRule="auto"/>
                    <w:ind w:left="0" w:right="0"/>
                    <w:jc w:val="center"/>
                    <w:textAlignment w:val="auto"/>
                    <w:rPr>
                      <w:rFonts w:hint="default"/>
                      <w:bCs/>
                      <w:kern w:val="0"/>
                      <w:sz w:val="18"/>
                      <w:szCs w:val="18"/>
                      <w:highlight w:val="none"/>
                    </w:rPr>
                  </w:pPr>
                  <w:r>
                    <w:rPr>
                      <w:rFonts w:hint="eastAsia"/>
                      <w:bCs/>
                      <w:kern w:val="0"/>
                      <w:sz w:val="18"/>
                      <w:szCs w:val="18"/>
                      <w:highlight w:val="none"/>
                      <w:lang w:val="en-US" w:eastAsia="zh-CN"/>
                    </w:rPr>
                    <w:t>2080</w:t>
                  </w:r>
                </w:p>
              </w:tc>
            </w:tr>
            <w:tr w14:paraId="61A117D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189" w:hRule="atLeast"/>
                <w:jc w:val="center"/>
              </w:trPr>
              <w:tc>
                <w:tcPr>
                  <w:tcW w:w="271" w:type="pct"/>
                  <w:vMerge w:val="continue"/>
                  <w:tcBorders>
                    <w:left w:val="single" w:color="auto" w:sz="4" w:space="0"/>
                    <w:right w:val="single" w:color="auto" w:sz="4" w:space="0"/>
                  </w:tcBorders>
                  <w:vAlign w:val="center"/>
                </w:tcPr>
                <w:p w14:paraId="75DCCB3D">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64" w:lineRule="auto"/>
                    <w:ind w:left="0" w:right="0"/>
                    <w:jc w:val="center"/>
                    <w:textAlignment w:val="auto"/>
                    <w:rPr>
                      <w:rFonts w:hint="eastAsia"/>
                      <w:bCs/>
                      <w:kern w:val="0"/>
                      <w:sz w:val="18"/>
                      <w:szCs w:val="18"/>
                      <w:highlight w:val="none"/>
                      <w:lang w:val="en-US" w:eastAsia="zh-CN"/>
                    </w:rPr>
                  </w:pPr>
                </w:p>
              </w:tc>
              <w:tc>
                <w:tcPr>
                  <w:tcW w:w="331" w:type="pct"/>
                  <w:vMerge w:val="continue"/>
                  <w:tcBorders>
                    <w:left w:val="single" w:color="auto" w:sz="4" w:space="0"/>
                    <w:right w:val="single" w:color="auto" w:sz="4" w:space="0"/>
                  </w:tcBorders>
                  <w:vAlign w:val="center"/>
                </w:tcPr>
                <w:p w14:paraId="1841E3D0">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64" w:lineRule="auto"/>
                    <w:ind w:left="0" w:right="0"/>
                    <w:jc w:val="center"/>
                    <w:textAlignment w:val="auto"/>
                    <w:rPr>
                      <w:rFonts w:hint="eastAsia"/>
                      <w:bCs/>
                      <w:kern w:val="0"/>
                      <w:sz w:val="18"/>
                      <w:szCs w:val="18"/>
                      <w:highlight w:val="none"/>
                      <w:lang w:val="en-US" w:eastAsia="zh-CN"/>
                    </w:rPr>
                  </w:pPr>
                </w:p>
              </w:tc>
              <w:tc>
                <w:tcPr>
                  <w:tcW w:w="404" w:type="pct"/>
                  <w:vMerge w:val="continue"/>
                  <w:tcBorders>
                    <w:left w:val="single" w:color="auto" w:sz="4" w:space="0"/>
                    <w:right w:val="single" w:color="auto" w:sz="4" w:space="0"/>
                  </w:tcBorders>
                  <w:vAlign w:val="center"/>
                </w:tcPr>
                <w:p w14:paraId="6200D98F">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64" w:lineRule="auto"/>
                    <w:ind w:left="0" w:right="0"/>
                    <w:jc w:val="center"/>
                    <w:textAlignment w:val="auto"/>
                    <w:rPr>
                      <w:rFonts w:hint="eastAsia"/>
                      <w:bCs/>
                      <w:kern w:val="0"/>
                      <w:sz w:val="18"/>
                      <w:szCs w:val="18"/>
                      <w:highlight w:val="none"/>
                      <w:lang w:val="en-US" w:eastAsia="zh-CN"/>
                    </w:rPr>
                  </w:pPr>
                </w:p>
              </w:tc>
              <w:tc>
                <w:tcPr>
                  <w:tcW w:w="593" w:type="pct"/>
                  <w:tcBorders>
                    <w:left w:val="single" w:color="auto" w:sz="4" w:space="0"/>
                    <w:bottom w:val="single" w:color="auto" w:sz="4" w:space="0"/>
                    <w:right w:val="single" w:color="auto" w:sz="4" w:space="0"/>
                  </w:tcBorders>
                  <w:shd w:val="clear" w:color="auto" w:fill="auto"/>
                  <w:vAlign w:val="center"/>
                </w:tcPr>
                <w:p w14:paraId="1D8F85C7">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64" w:lineRule="auto"/>
                    <w:ind w:left="0" w:right="0"/>
                    <w:jc w:val="center"/>
                    <w:textAlignment w:val="auto"/>
                    <w:rPr>
                      <w:rFonts w:hint="eastAsia"/>
                      <w:bCs/>
                      <w:kern w:val="0"/>
                      <w:sz w:val="18"/>
                      <w:szCs w:val="18"/>
                      <w:highlight w:val="none"/>
                      <w:lang w:val="en-US" w:eastAsia="zh-CN"/>
                    </w:rPr>
                  </w:pPr>
                  <w:r>
                    <w:rPr>
                      <w:rFonts w:hint="eastAsia"/>
                      <w:bCs/>
                      <w:kern w:val="0"/>
                      <w:sz w:val="18"/>
                      <w:szCs w:val="18"/>
                      <w:highlight w:val="none"/>
                      <w:lang w:val="en-US" w:eastAsia="zh-CN"/>
                    </w:rPr>
                    <w:t>氯化氢</w:t>
                  </w:r>
                </w:p>
              </w:tc>
              <w:tc>
                <w:tcPr>
                  <w:tcW w:w="1119" w:type="pct"/>
                  <w:gridSpan w:val="3"/>
                  <w:tcBorders>
                    <w:top w:val="single" w:color="auto" w:sz="4" w:space="0"/>
                    <w:left w:val="single" w:color="auto" w:sz="4" w:space="0"/>
                    <w:bottom w:val="single" w:color="auto" w:sz="4" w:space="0"/>
                    <w:right w:val="single" w:color="auto" w:sz="4" w:space="0"/>
                  </w:tcBorders>
                  <w:shd w:val="clear" w:color="auto" w:fill="auto"/>
                  <w:vAlign w:val="center"/>
                </w:tcPr>
                <w:p w14:paraId="46011B19">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64" w:lineRule="auto"/>
                    <w:ind w:left="0" w:right="0"/>
                    <w:jc w:val="center"/>
                    <w:textAlignment w:val="auto"/>
                    <w:rPr>
                      <w:rFonts w:hint="eastAsia" w:ascii="Times New Roman" w:hAnsi="Times New Roman" w:eastAsia="宋体" w:cs="Times New Roman"/>
                      <w:bCs/>
                      <w:kern w:val="0"/>
                      <w:sz w:val="18"/>
                      <w:szCs w:val="18"/>
                      <w:highlight w:val="none"/>
                      <w:lang w:val="en-US" w:eastAsia="zh-CN" w:bidi="ar-SA"/>
                    </w:rPr>
                  </w:pPr>
                  <w:r>
                    <w:rPr>
                      <w:rFonts w:hint="eastAsia" w:cs="Times New Roman"/>
                      <w:bCs/>
                      <w:kern w:val="0"/>
                      <w:sz w:val="18"/>
                      <w:szCs w:val="18"/>
                      <w:highlight w:val="none"/>
                      <w:lang w:val="en-US" w:eastAsia="zh-CN"/>
                    </w:rPr>
                    <w:t>少量</w:t>
                  </w:r>
                </w:p>
              </w:tc>
              <w:tc>
                <w:tcPr>
                  <w:tcW w:w="383" w:type="pct"/>
                  <w:tcBorders>
                    <w:left w:val="single" w:color="auto" w:sz="4" w:space="0"/>
                    <w:right w:val="single" w:color="auto" w:sz="4" w:space="0"/>
                  </w:tcBorders>
                  <w:shd w:val="clear" w:color="auto" w:fill="auto"/>
                  <w:vAlign w:val="center"/>
                </w:tcPr>
                <w:p w14:paraId="04A7202D">
                  <w:pPr>
                    <w:keepNext w:val="0"/>
                    <w:keepLines w:val="0"/>
                    <w:widowControl/>
                    <w:suppressLineNumbers w:val="0"/>
                    <w:spacing w:before="0" w:beforeAutospacing="0" w:after="0" w:afterAutospacing="0" w:line="280" w:lineRule="exact"/>
                    <w:ind w:left="0" w:right="0"/>
                    <w:jc w:val="center"/>
                    <w:textAlignment w:val="center"/>
                    <w:rPr>
                      <w:rFonts w:hint="eastAsia"/>
                      <w:snapToGrid w:val="0"/>
                      <w:sz w:val="18"/>
                      <w:szCs w:val="18"/>
                      <w:highlight w:val="none"/>
                      <w:lang w:val="en-US" w:eastAsia="zh-CN"/>
                    </w:rPr>
                  </w:pPr>
                  <w:r>
                    <w:rPr>
                      <w:rFonts w:hint="eastAsia"/>
                      <w:bCs/>
                      <w:kern w:val="0"/>
                      <w:sz w:val="18"/>
                      <w:szCs w:val="18"/>
                      <w:highlight w:val="none"/>
                      <w:lang w:val="en-US" w:eastAsia="zh-CN"/>
                    </w:rPr>
                    <w:t>/</w:t>
                  </w:r>
                </w:p>
              </w:tc>
              <w:tc>
                <w:tcPr>
                  <w:tcW w:w="240" w:type="pct"/>
                  <w:tcBorders>
                    <w:left w:val="single" w:color="auto" w:sz="4" w:space="0"/>
                    <w:right w:val="single" w:color="auto" w:sz="4" w:space="0"/>
                  </w:tcBorders>
                  <w:shd w:val="clear" w:color="auto" w:fill="auto"/>
                  <w:vAlign w:val="center"/>
                </w:tcPr>
                <w:p w14:paraId="2F898344">
                  <w:pPr>
                    <w:keepNext w:val="0"/>
                    <w:keepLines w:val="0"/>
                    <w:widowControl/>
                    <w:suppressLineNumbers w:val="0"/>
                    <w:spacing w:before="0" w:beforeAutospacing="0" w:after="0" w:afterAutospacing="0" w:line="280" w:lineRule="exact"/>
                    <w:ind w:left="0" w:right="0"/>
                    <w:jc w:val="center"/>
                    <w:textAlignment w:val="center"/>
                    <w:rPr>
                      <w:rFonts w:hint="eastAsia"/>
                      <w:bCs/>
                      <w:kern w:val="0"/>
                      <w:sz w:val="18"/>
                      <w:szCs w:val="18"/>
                      <w:highlight w:val="none"/>
                      <w:lang w:val="en-US" w:eastAsia="zh-CN"/>
                    </w:rPr>
                  </w:pPr>
                  <w:r>
                    <w:rPr>
                      <w:rFonts w:hint="eastAsia"/>
                      <w:bCs/>
                      <w:kern w:val="0"/>
                      <w:sz w:val="18"/>
                      <w:szCs w:val="18"/>
                      <w:highlight w:val="none"/>
                      <w:lang w:val="en-US" w:eastAsia="zh-CN"/>
                    </w:rPr>
                    <w:t>/</w:t>
                  </w:r>
                </w:p>
              </w:tc>
              <w:tc>
                <w:tcPr>
                  <w:tcW w:w="317" w:type="pct"/>
                  <w:tcBorders>
                    <w:left w:val="single" w:color="auto" w:sz="4" w:space="0"/>
                    <w:right w:val="single" w:color="auto" w:sz="4" w:space="0"/>
                  </w:tcBorders>
                  <w:shd w:val="clear" w:color="auto" w:fill="auto"/>
                  <w:vAlign w:val="center"/>
                </w:tcPr>
                <w:p w14:paraId="3D75FFA0">
                  <w:pPr>
                    <w:keepNext w:val="0"/>
                    <w:keepLines w:val="0"/>
                    <w:widowControl/>
                    <w:suppressLineNumbers w:val="0"/>
                    <w:spacing w:before="0" w:beforeAutospacing="0" w:after="0" w:afterAutospacing="0" w:line="280" w:lineRule="exact"/>
                    <w:ind w:left="0" w:right="0"/>
                    <w:jc w:val="center"/>
                    <w:textAlignment w:val="center"/>
                    <w:rPr>
                      <w:rFonts w:hint="eastAsia"/>
                      <w:sz w:val="18"/>
                      <w:szCs w:val="18"/>
                      <w:highlight w:val="none"/>
                      <w:lang w:val="en-US" w:eastAsia="zh-CN"/>
                    </w:rPr>
                  </w:pPr>
                  <w:r>
                    <w:rPr>
                      <w:rFonts w:hint="eastAsia"/>
                      <w:bCs/>
                      <w:kern w:val="0"/>
                      <w:sz w:val="18"/>
                      <w:szCs w:val="18"/>
                      <w:highlight w:val="none"/>
                      <w:lang w:val="en-US" w:eastAsia="zh-CN"/>
                    </w:rPr>
                    <w:t>/</w:t>
                  </w:r>
                </w:p>
              </w:tc>
              <w:tc>
                <w:tcPr>
                  <w:tcW w:w="1083" w:type="pct"/>
                  <w:gridSpan w:val="3"/>
                  <w:tcBorders>
                    <w:top w:val="single" w:color="auto" w:sz="4" w:space="0"/>
                    <w:left w:val="single" w:color="auto" w:sz="4" w:space="0"/>
                    <w:right w:val="single" w:color="auto" w:sz="4" w:space="0"/>
                  </w:tcBorders>
                  <w:shd w:val="clear" w:color="auto" w:fill="auto"/>
                  <w:vAlign w:val="center"/>
                </w:tcPr>
                <w:p w14:paraId="3F2A8CF8">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64" w:lineRule="auto"/>
                    <w:ind w:left="0" w:right="0"/>
                    <w:jc w:val="center"/>
                    <w:textAlignment w:val="auto"/>
                    <w:rPr>
                      <w:rFonts w:hint="eastAsia" w:ascii="Times New Roman" w:hAnsi="Times New Roman" w:eastAsia="宋体" w:cs="Times New Roman"/>
                      <w:bCs/>
                      <w:kern w:val="0"/>
                      <w:sz w:val="18"/>
                      <w:szCs w:val="18"/>
                      <w:highlight w:val="none"/>
                      <w:lang w:val="en-US" w:eastAsia="zh-CN"/>
                    </w:rPr>
                  </w:pPr>
                  <w:r>
                    <w:rPr>
                      <w:rFonts w:hint="eastAsia" w:cs="Times New Roman"/>
                      <w:bCs/>
                      <w:kern w:val="0"/>
                      <w:sz w:val="18"/>
                      <w:szCs w:val="18"/>
                      <w:highlight w:val="none"/>
                      <w:lang w:val="en-US" w:eastAsia="zh-CN"/>
                    </w:rPr>
                    <w:t>少量</w:t>
                  </w:r>
                </w:p>
              </w:tc>
              <w:tc>
                <w:tcPr>
                  <w:tcW w:w="255" w:type="pct"/>
                  <w:vMerge w:val="continue"/>
                  <w:tcBorders>
                    <w:left w:val="single" w:color="auto" w:sz="4" w:space="0"/>
                    <w:right w:val="single" w:color="auto" w:sz="4" w:space="0"/>
                  </w:tcBorders>
                  <w:vAlign w:val="center"/>
                </w:tcPr>
                <w:p w14:paraId="5BDBA141">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64" w:lineRule="auto"/>
                    <w:ind w:left="0" w:right="0"/>
                    <w:jc w:val="center"/>
                    <w:textAlignment w:val="auto"/>
                    <w:rPr>
                      <w:rFonts w:hint="eastAsia"/>
                      <w:bCs/>
                      <w:kern w:val="0"/>
                      <w:sz w:val="18"/>
                      <w:szCs w:val="18"/>
                      <w:highlight w:val="none"/>
                      <w:lang w:val="en-US" w:eastAsia="zh-CN"/>
                    </w:rPr>
                  </w:pPr>
                </w:p>
              </w:tc>
            </w:tr>
            <w:tr w14:paraId="12793F0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189" w:hRule="atLeast"/>
                <w:jc w:val="center"/>
              </w:trPr>
              <w:tc>
                <w:tcPr>
                  <w:tcW w:w="271" w:type="pct"/>
                  <w:vMerge w:val="continue"/>
                  <w:tcBorders>
                    <w:left w:val="single" w:color="auto" w:sz="4" w:space="0"/>
                    <w:right w:val="single" w:color="auto" w:sz="4" w:space="0"/>
                  </w:tcBorders>
                  <w:vAlign w:val="center"/>
                </w:tcPr>
                <w:p w14:paraId="25133BF4">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64" w:lineRule="auto"/>
                    <w:ind w:left="0" w:right="0"/>
                    <w:jc w:val="center"/>
                    <w:textAlignment w:val="auto"/>
                    <w:rPr>
                      <w:rFonts w:hint="eastAsia"/>
                      <w:bCs/>
                      <w:kern w:val="0"/>
                      <w:sz w:val="18"/>
                      <w:szCs w:val="18"/>
                      <w:highlight w:val="none"/>
                      <w:lang w:val="en-US" w:eastAsia="zh-CN"/>
                    </w:rPr>
                  </w:pPr>
                </w:p>
              </w:tc>
              <w:tc>
                <w:tcPr>
                  <w:tcW w:w="331" w:type="pct"/>
                  <w:vMerge w:val="continue"/>
                  <w:tcBorders>
                    <w:left w:val="single" w:color="auto" w:sz="4" w:space="0"/>
                    <w:right w:val="single" w:color="auto" w:sz="4" w:space="0"/>
                  </w:tcBorders>
                  <w:vAlign w:val="center"/>
                </w:tcPr>
                <w:p w14:paraId="0E70EFE3">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64" w:lineRule="auto"/>
                    <w:ind w:left="0" w:right="0"/>
                    <w:jc w:val="center"/>
                    <w:textAlignment w:val="auto"/>
                    <w:rPr>
                      <w:rFonts w:hint="eastAsia"/>
                      <w:bCs/>
                      <w:kern w:val="0"/>
                      <w:sz w:val="18"/>
                      <w:szCs w:val="18"/>
                      <w:highlight w:val="none"/>
                      <w:lang w:val="en-US" w:eastAsia="zh-CN"/>
                    </w:rPr>
                  </w:pPr>
                </w:p>
              </w:tc>
              <w:tc>
                <w:tcPr>
                  <w:tcW w:w="404" w:type="pct"/>
                  <w:vMerge w:val="continue"/>
                  <w:tcBorders>
                    <w:left w:val="single" w:color="auto" w:sz="4" w:space="0"/>
                    <w:right w:val="single" w:color="auto" w:sz="4" w:space="0"/>
                  </w:tcBorders>
                  <w:vAlign w:val="center"/>
                </w:tcPr>
                <w:p w14:paraId="569A9F62">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64" w:lineRule="auto"/>
                    <w:ind w:left="0" w:right="0"/>
                    <w:jc w:val="center"/>
                    <w:textAlignment w:val="auto"/>
                    <w:rPr>
                      <w:rFonts w:hint="eastAsia"/>
                      <w:bCs/>
                      <w:kern w:val="0"/>
                      <w:sz w:val="18"/>
                      <w:szCs w:val="18"/>
                      <w:highlight w:val="none"/>
                      <w:lang w:val="en-US" w:eastAsia="zh-CN"/>
                    </w:rPr>
                  </w:pPr>
                </w:p>
              </w:tc>
              <w:tc>
                <w:tcPr>
                  <w:tcW w:w="593" w:type="pct"/>
                  <w:tcBorders>
                    <w:left w:val="single" w:color="auto" w:sz="4" w:space="0"/>
                    <w:bottom w:val="single" w:color="auto" w:sz="4" w:space="0"/>
                    <w:right w:val="single" w:color="auto" w:sz="4" w:space="0"/>
                  </w:tcBorders>
                  <w:shd w:val="clear" w:color="auto" w:fill="auto"/>
                  <w:vAlign w:val="center"/>
                </w:tcPr>
                <w:p w14:paraId="380EA59C">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64" w:lineRule="auto"/>
                    <w:ind w:left="0" w:right="0"/>
                    <w:jc w:val="center"/>
                    <w:textAlignment w:val="auto"/>
                    <w:rPr>
                      <w:rFonts w:hint="eastAsia"/>
                      <w:bCs/>
                      <w:kern w:val="0"/>
                      <w:sz w:val="18"/>
                      <w:szCs w:val="18"/>
                      <w:highlight w:val="none"/>
                      <w:lang w:val="en-US" w:eastAsia="zh-CN"/>
                    </w:rPr>
                  </w:pPr>
                  <w:r>
                    <w:rPr>
                      <w:rFonts w:hint="eastAsia"/>
                      <w:bCs/>
                      <w:kern w:val="0"/>
                      <w:sz w:val="18"/>
                      <w:szCs w:val="18"/>
                      <w:highlight w:val="none"/>
                      <w:lang w:val="en-US" w:eastAsia="zh-CN"/>
                    </w:rPr>
                    <w:t>硫酸雾</w:t>
                  </w:r>
                </w:p>
              </w:tc>
              <w:tc>
                <w:tcPr>
                  <w:tcW w:w="1119" w:type="pct"/>
                  <w:gridSpan w:val="3"/>
                  <w:tcBorders>
                    <w:top w:val="single" w:color="auto" w:sz="4" w:space="0"/>
                    <w:left w:val="single" w:color="auto" w:sz="4" w:space="0"/>
                    <w:bottom w:val="single" w:color="auto" w:sz="4" w:space="0"/>
                    <w:right w:val="single" w:color="auto" w:sz="4" w:space="0"/>
                  </w:tcBorders>
                  <w:shd w:val="clear" w:color="auto" w:fill="auto"/>
                  <w:vAlign w:val="center"/>
                </w:tcPr>
                <w:p w14:paraId="38814084">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64" w:lineRule="auto"/>
                    <w:ind w:left="0" w:right="0"/>
                    <w:jc w:val="center"/>
                    <w:textAlignment w:val="auto"/>
                    <w:rPr>
                      <w:rFonts w:hint="eastAsia" w:ascii="Times New Roman" w:hAnsi="Times New Roman" w:eastAsia="宋体" w:cs="Times New Roman"/>
                      <w:bCs/>
                      <w:kern w:val="0"/>
                      <w:sz w:val="18"/>
                      <w:szCs w:val="18"/>
                      <w:highlight w:val="none"/>
                      <w:lang w:val="en-US" w:eastAsia="zh-CN" w:bidi="ar-SA"/>
                    </w:rPr>
                  </w:pPr>
                  <w:r>
                    <w:rPr>
                      <w:rFonts w:hint="eastAsia" w:cs="Times New Roman"/>
                      <w:bCs/>
                      <w:kern w:val="0"/>
                      <w:sz w:val="18"/>
                      <w:szCs w:val="18"/>
                      <w:highlight w:val="none"/>
                      <w:lang w:val="en-US" w:eastAsia="zh-CN"/>
                    </w:rPr>
                    <w:t>少量</w:t>
                  </w:r>
                </w:p>
              </w:tc>
              <w:tc>
                <w:tcPr>
                  <w:tcW w:w="383" w:type="pct"/>
                  <w:tcBorders>
                    <w:left w:val="single" w:color="auto" w:sz="4" w:space="0"/>
                    <w:right w:val="single" w:color="auto" w:sz="4" w:space="0"/>
                  </w:tcBorders>
                  <w:shd w:val="clear" w:color="auto" w:fill="auto"/>
                  <w:vAlign w:val="center"/>
                </w:tcPr>
                <w:p w14:paraId="29D9574E">
                  <w:pPr>
                    <w:keepNext w:val="0"/>
                    <w:keepLines w:val="0"/>
                    <w:widowControl/>
                    <w:suppressLineNumbers w:val="0"/>
                    <w:spacing w:before="0" w:beforeAutospacing="0" w:after="0" w:afterAutospacing="0" w:line="280" w:lineRule="exact"/>
                    <w:ind w:left="0" w:right="0"/>
                    <w:jc w:val="center"/>
                    <w:textAlignment w:val="center"/>
                    <w:rPr>
                      <w:rFonts w:hint="eastAsia"/>
                      <w:snapToGrid w:val="0"/>
                      <w:sz w:val="18"/>
                      <w:szCs w:val="18"/>
                      <w:highlight w:val="none"/>
                      <w:lang w:val="en-US" w:eastAsia="zh-CN"/>
                    </w:rPr>
                  </w:pPr>
                  <w:r>
                    <w:rPr>
                      <w:rFonts w:hint="eastAsia"/>
                      <w:bCs/>
                      <w:kern w:val="0"/>
                      <w:sz w:val="18"/>
                      <w:szCs w:val="18"/>
                      <w:highlight w:val="none"/>
                      <w:lang w:val="en-US" w:eastAsia="zh-CN"/>
                    </w:rPr>
                    <w:t>/</w:t>
                  </w:r>
                </w:p>
              </w:tc>
              <w:tc>
                <w:tcPr>
                  <w:tcW w:w="240" w:type="pct"/>
                  <w:tcBorders>
                    <w:left w:val="single" w:color="auto" w:sz="4" w:space="0"/>
                    <w:right w:val="single" w:color="auto" w:sz="4" w:space="0"/>
                  </w:tcBorders>
                  <w:shd w:val="clear" w:color="auto" w:fill="auto"/>
                  <w:vAlign w:val="center"/>
                </w:tcPr>
                <w:p w14:paraId="09D3329A">
                  <w:pPr>
                    <w:keepNext w:val="0"/>
                    <w:keepLines w:val="0"/>
                    <w:widowControl/>
                    <w:suppressLineNumbers w:val="0"/>
                    <w:spacing w:before="0" w:beforeAutospacing="0" w:after="0" w:afterAutospacing="0" w:line="280" w:lineRule="exact"/>
                    <w:ind w:left="0" w:right="0"/>
                    <w:jc w:val="center"/>
                    <w:textAlignment w:val="center"/>
                    <w:rPr>
                      <w:rFonts w:hint="eastAsia"/>
                      <w:bCs/>
                      <w:kern w:val="0"/>
                      <w:sz w:val="18"/>
                      <w:szCs w:val="18"/>
                      <w:highlight w:val="none"/>
                      <w:lang w:val="en-US" w:eastAsia="zh-CN"/>
                    </w:rPr>
                  </w:pPr>
                  <w:r>
                    <w:rPr>
                      <w:rFonts w:hint="eastAsia"/>
                      <w:bCs/>
                      <w:kern w:val="0"/>
                      <w:sz w:val="18"/>
                      <w:szCs w:val="18"/>
                      <w:highlight w:val="none"/>
                      <w:lang w:val="en-US" w:eastAsia="zh-CN"/>
                    </w:rPr>
                    <w:t>/</w:t>
                  </w:r>
                </w:p>
              </w:tc>
              <w:tc>
                <w:tcPr>
                  <w:tcW w:w="317" w:type="pct"/>
                  <w:tcBorders>
                    <w:left w:val="single" w:color="auto" w:sz="4" w:space="0"/>
                    <w:right w:val="single" w:color="auto" w:sz="4" w:space="0"/>
                  </w:tcBorders>
                  <w:shd w:val="clear" w:color="auto" w:fill="auto"/>
                  <w:vAlign w:val="center"/>
                </w:tcPr>
                <w:p w14:paraId="2836739D">
                  <w:pPr>
                    <w:keepNext w:val="0"/>
                    <w:keepLines w:val="0"/>
                    <w:widowControl/>
                    <w:suppressLineNumbers w:val="0"/>
                    <w:spacing w:before="0" w:beforeAutospacing="0" w:after="0" w:afterAutospacing="0" w:line="280" w:lineRule="exact"/>
                    <w:ind w:left="0" w:right="0"/>
                    <w:jc w:val="center"/>
                    <w:textAlignment w:val="center"/>
                    <w:rPr>
                      <w:rFonts w:hint="eastAsia"/>
                      <w:sz w:val="18"/>
                      <w:szCs w:val="18"/>
                      <w:highlight w:val="none"/>
                      <w:lang w:val="en-US" w:eastAsia="zh-CN"/>
                    </w:rPr>
                  </w:pPr>
                  <w:r>
                    <w:rPr>
                      <w:rFonts w:hint="eastAsia"/>
                      <w:bCs/>
                      <w:kern w:val="0"/>
                      <w:sz w:val="18"/>
                      <w:szCs w:val="18"/>
                      <w:highlight w:val="none"/>
                      <w:lang w:val="en-US" w:eastAsia="zh-CN"/>
                    </w:rPr>
                    <w:t>/</w:t>
                  </w:r>
                </w:p>
              </w:tc>
              <w:tc>
                <w:tcPr>
                  <w:tcW w:w="1083" w:type="pct"/>
                  <w:gridSpan w:val="3"/>
                  <w:tcBorders>
                    <w:top w:val="single" w:color="auto" w:sz="4" w:space="0"/>
                    <w:left w:val="single" w:color="auto" w:sz="4" w:space="0"/>
                    <w:right w:val="single" w:color="auto" w:sz="4" w:space="0"/>
                  </w:tcBorders>
                  <w:shd w:val="clear" w:color="auto" w:fill="auto"/>
                  <w:vAlign w:val="center"/>
                </w:tcPr>
                <w:p w14:paraId="17F9E960">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64" w:lineRule="auto"/>
                    <w:ind w:left="0" w:right="0"/>
                    <w:jc w:val="center"/>
                    <w:textAlignment w:val="auto"/>
                    <w:rPr>
                      <w:rFonts w:hint="eastAsia" w:ascii="Times New Roman" w:hAnsi="Times New Roman" w:eastAsia="宋体" w:cs="Times New Roman"/>
                      <w:bCs/>
                      <w:kern w:val="0"/>
                      <w:sz w:val="18"/>
                      <w:szCs w:val="18"/>
                      <w:highlight w:val="none"/>
                      <w:lang w:val="en-US" w:eastAsia="zh-CN"/>
                    </w:rPr>
                  </w:pPr>
                  <w:r>
                    <w:rPr>
                      <w:rFonts w:hint="eastAsia" w:cs="Times New Roman"/>
                      <w:bCs/>
                      <w:kern w:val="0"/>
                      <w:sz w:val="18"/>
                      <w:szCs w:val="18"/>
                      <w:highlight w:val="none"/>
                      <w:lang w:val="en-US" w:eastAsia="zh-CN"/>
                    </w:rPr>
                    <w:t>少量</w:t>
                  </w:r>
                </w:p>
              </w:tc>
              <w:tc>
                <w:tcPr>
                  <w:tcW w:w="255" w:type="pct"/>
                  <w:vMerge w:val="continue"/>
                  <w:tcBorders>
                    <w:left w:val="single" w:color="auto" w:sz="4" w:space="0"/>
                    <w:right w:val="single" w:color="auto" w:sz="4" w:space="0"/>
                  </w:tcBorders>
                  <w:vAlign w:val="center"/>
                </w:tcPr>
                <w:p w14:paraId="42519E50">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64" w:lineRule="auto"/>
                    <w:ind w:left="0" w:right="0"/>
                    <w:jc w:val="center"/>
                    <w:textAlignment w:val="auto"/>
                    <w:rPr>
                      <w:rFonts w:hint="eastAsia"/>
                      <w:bCs/>
                      <w:kern w:val="0"/>
                      <w:sz w:val="18"/>
                      <w:szCs w:val="18"/>
                      <w:highlight w:val="none"/>
                      <w:lang w:val="en-US" w:eastAsia="zh-CN"/>
                    </w:rPr>
                  </w:pPr>
                </w:p>
              </w:tc>
            </w:tr>
            <w:tr w14:paraId="4760FB0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189" w:hRule="atLeast"/>
                <w:jc w:val="center"/>
              </w:trPr>
              <w:tc>
                <w:tcPr>
                  <w:tcW w:w="271" w:type="pct"/>
                  <w:vMerge w:val="restart"/>
                  <w:tcBorders>
                    <w:left w:val="single" w:color="auto" w:sz="4" w:space="0"/>
                    <w:right w:val="single" w:color="auto" w:sz="4" w:space="0"/>
                  </w:tcBorders>
                  <w:vAlign w:val="center"/>
                </w:tcPr>
                <w:p w14:paraId="7F8043DD">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64" w:lineRule="auto"/>
                    <w:ind w:left="0" w:right="0"/>
                    <w:jc w:val="center"/>
                    <w:textAlignment w:val="auto"/>
                    <w:rPr>
                      <w:rFonts w:hint="default"/>
                      <w:bCs/>
                      <w:kern w:val="0"/>
                      <w:sz w:val="18"/>
                      <w:szCs w:val="18"/>
                      <w:highlight w:val="none"/>
                      <w:lang w:val="en-US"/>
                    </w:rPr>
                  </w:pPr>
                  <w:r>
                    <w:rPr>
                      <w:rFonts w:hint="eastAsia"/>
                      <w:bCs/>
                      <w:kern w:val="0"/>
                      <w:sz w:val="18"/>
                      <w:szCs w:val="18"/>
                      <w:highlight w:val="none"/>
                      <w:lang w:val="en-US" w:eastAsia="zh-CN"/>
                    </w:rPr>
                    <w:t>DA013</w:t>
                  </w:r>
                </w:p>
              </w:tc>
              <w:tc>
                <w:tcPr>
                  <w:tcW w:w="331" w:type="pct"/>
                  <w:vMerge w:val="restart"/>
                  <w:tcBorders>
                    <w:left w:val="single" w:color="auto" w:sz="4" w:space="0"/>
                    <w:right w:val="single" w:color="auto" w:sz="4" w:space="0"/>
                  </w:tcBorders>
                  <w:vAlign w:val="center"/>
                </w:tcPr>
                <w:p w14:paraId="355854D8">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64" w:lineRule="auto"/>
                    <w:ind w:left="0" w:right="0"/>
                    <w:jc w:val="center"/>
                    <w:textAlignment w:val="auto"/>
                    <w:rPr>
                      <w:rFonts w:hint="default"/>
                      <w:bCs/>
                      <w:kern w:val="0"/>
                      <w:sz w:val="18"/>
                      <w:szCs w:val="18"/>
                      <w:highlight w:val="none"/>
                    </w:rPr>
                  </w:pPr>
                  <w:r>
                    <w:rPr>
                      <w:rFonts w:hint="eastAsia"/>
                      <w:bCs/>
                      <w:kern w:val="0"/>
                      <w:sz w:val="18"/>
                      <w:szCs w:val="18"/>
                      <w:highlight w:val="none"/>
                      <w:lang w:val="en-US" w:eastAsia="zh-CN"/>
                    </w:rPr>
                    <w:t>13#排气筒</w:t>
                  </w:r>
                </w:p>
              </w:tc>
              <w:tc>
                <w:tcPr>
                  <w:tcW w:w="404" w:type="pct"/>
                  <w:vMerge w:val="restart"/>
                  <w:tcBorders>
                    <w:left w:val="single" w:color="auto" w:sz="4" w:space="0"/>
                    <w:right w:val="single" w:color="auto" w:sz="4" w:space="0"/>
                  </w:tcBorders>
                  <w:vAlign w:val="center"/>
                </w:tcPr>
                <w:p w14:paraId="3510E8EE">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64" w:lineRule="auto"/>
                    <w:ind w:left="0" w:right="0"/>
                    <w:jc w:val="center"/>
                    <w:textAlignment w:val="auto"/>
                    <w:rPr>
                      <w:rFonts w:hint="default"/>
                      <w:bCs/>
                      <w:kern w:val="0"/>
                      <w:sz w:val="18"/>
                      <w:szCs w:val="18"/>
                      <w:highlight w:val="none"/>
                    </w:rPr>
                  </w:pPr>
                  <w:r>
                    <w:rPr>
                      <w:rFonts w:hint="eastAsia"/>
                      <w:bCs/>
                      <w:kern w:val="0"/>
                      <w:sz w:val="18"/>
                      <w:szCs w:val="18"/>
                      <w:highlight w:val="none"/>
                      <w:lang w:val="en-US" w:eastAsia="zh-CN"/>
                    </w:rPr>
                    <w:t>实验室废气</w:t>
                  </w:r>
                </w:p>
              </w:tc>
              <w:tc>
                <w:tcPr>
                  <w:tcW w:w="593" w:type="pct"/>
                  <w:tcBorders>
                    <w:left w:val="single" w:color="auto" w:sz="4" w:space="0"/>
                    <w:bottom w:val="single" w:color="auto" w:sz="4" w:space="0"/>
                    <w:right w:val="single" w:color="auto" w:sz="4" w:space="0"/>
                  </w:tcBorders>
                  <w:shd w:val="clear" w:color="auto" w:fill="auto"/>
                  <w:vAlign w:val="center"/>
                </w:tcPr>
                <w:p w14:paraId="0E193C49">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64" w:lineRule="auto"/>
                    <w:ind w:left="0" w:right="0"/>
                    <w:jc w:val="center"/>
                    <w:textAlignment w:val="auto"/>
                    <w:rPr>
                      <w:rFonts w:hint="default"/>
                      <w:bCs/>
                      <w:kern w:val="0"/>
                      <w:sz w:val="18"/>
                      <w:szCs w:val="18"/>
                      <w:highlight w:val="none"/>
                    </w:rPr>
                  </w:pPr>
                  <w:r>
                    <w:rPr>
                      <w:rFonts w:hint="eastAsia"/>
                      <w:bCs/>
                      <w:kern w:val="0"/>
                      <w:sz w:val="18"/>
                      <w:szCs w:val="18"/>
                      <w:highlight w:val="none"/>
                      <w:lang w:val="en-US" w:eastAsia="zh-CN"/>
                    </w:rPr>
                    <w:t>非甲烷总烃</w:t>
                  </w:r>
                </w:p>
              </w:tc>
              <w:tc>
                <w:tcPr>
                  <w:tcW w:w="357" w:type="pct"/>
                  <w:tcBorders>
                    <w:top w:val="single" w:color="auto" w:sz="4" w:space="0"/>
                    <w:left w:val="single" w:color="auto" w:sz="4" w:space="0"/>
                    <w:bottom w:val="single" w:color="auto" w:sz="4" w:space="0"/>
                    <w:right w:val="single" w:color="auto" w:sz="4" w:space="0"/>
                  </w:tcBorders>
                  <w:vAlign w:val="center"/>
                </w:tcPr>
                <w:p w14:paraId="5F7034A5">
                  <w:pPr>
                    <w:keepNext w:val="0"/>
                    <w:keepLines w:val="0"/>
                    <w:widowControl/>
                    <w:suppressLineNumbers w:val="0"/>
                    <w:spacing w:before="0" w:beforeAutospacing="0" w:after="0" w:afterAutospacing="0"/>
                    <w:ind w:left="0" w:right="0"/>
                    <w:jc w:val="center"/>
                    <w:textAlignment w:val="center"/>
                    <w:rPr>
                      <w:rFonts w:hint="eastAsia"/>
                      <w:bCs/>
                      <w:kern w:val="0"/>
                      <w:sz w:val="18"/>
                      <w:szCs w:val="18"/>
                      <w:highlight w:val="none"/>
                      <w:lang w:val="en-US" w:eastAsia="zh-CN"/>
                    </w:rPr>
                  </w:pPr>
                  <w:r>
                    <w:rPr>
                      <w:rFonts w:hint="default" w:ascii="Times New Roman" w:hAnsi="Times New Roman" w:eastAsia="宋体" w:cs="Times New Roman"/>
                      <w:i w:val="0"/>
                      <w:iCs w:val="0"/>
                      <w:color w:val="000000"/>
                      <w:kern w:val="0"/>
                      <w:sz w:val="18"/>
                      <w:szCs w:val="18"/>
                      <w:highlight w:val="none"/>
                      <w:u w:val="none"/>
                      <w:lang w:val="en-US" w:eastAsia="zh-CN" w:bidi="ar"/>
                    </w:rPr>
                    <w:t>0.13</w:t>
                  </w:r>
                </w:p>
              </w:tc>
              <w:tc>
                <w:tcPr>
                  <w:tcW w:w="357" w:type="pct"/>
                  <w:tcBorders>
                    <w:top w:val="single" w:color="auto" w:sz="4" w:space="0"/>
                    <w:left w:val="single" w:color="auto" w:sz="4" w:space="0"/>
                    <w:bottom w:val="single" w:color="auto" w:sz="4" w:space="0"/>
                    <w:right w:val="single" w:color="auto" w:sz="4" w:space="0"/>
                  </w:tcBorders>
                  <w:vAlign w:val="center"/>
                </w:tcPr>
                <w:p w14:paraId="59B5AC18">
                  <w:pPr>
                    <w:keepNext w:val="0"/>
                    <w:keepLines w:val="0"/>
                    <w:widowControl/>
                    <w:suppressLineNumbers w:val="0"/>
                    <w:spacing w:before="0" w:beforeAutospacing="0" w:after="0" w:afterAutospacing="0"/>
                    <w:ind w:left="0" w:right="0"/>
                    <w:jc w:val="center"/>
                    <w:textAlignment w:val="center"/>
                    <w:rPr>
                      <w:rFonts w:hint="eastAsia"/>
                      <w:bCs/>
                      <w:kern w:val="0"/>
                      <w:sz w:val="18"/>
                      <w:szCs w:val="18"/>
                      <w:highlight w:val="none"/>
                      <w:lang w:val="en-US" w:eastAsia="zh-CN"/>
                    </w:rPr>
                  </w:pPr>
                  <w:r>
                    <w:rPr>
                      <w:rFonts w:hint="default" w:ascii="Times New Roman" w:hAnsi="Times New Roman" w:eastAsia="宋体" w:cs="Times New Roman"/>
                      <w:i w:val="0"/>
                      <w:iCs w:val="0"/>
                      <w:color w:val="000000"/>
                      <w:kern w:val="0"/>
                      <w:sz w:val="18"/>
                      <w:szCs w:val="18"/>
                      <w:highlight w:val="none"/>
                      <w:u w:val="none"/>
                      <w:lang w:val="en-US" w:eastAsia="zh-CN" w:bidi="ar"/>
                    </w:rPr>
                    <w:t>0.063</w:t>
                  </w:r>
                </w:p>
              </w:tc>
              <w:tc>
                <w:tcPr>
                  <w:tcW w:w="404" w:type="pct"/>
                  <w:tcBorders>
                    <w:top w:val="single" w:color="auto" w:sz="4" w:space="0"/>
                    <w:left w:val="single" w:color="auto" w:sz="4" w:space="0"/>
                    <w:right w:val="single" w:color="auto" w:sz="4" w:space="0"/>
                  </w:tcBorders>
                  <w:shd w:val="clear" w:color="auto" w:fill="auto"/>
                  <w:vAlign w:val="center"/>
                </w:tcPr>
                <w:p w14:paraId="1E805080">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64" w:lineRule="auto"/>
                    <w:ind w:left="0" w:right="0"/>
                    <w:jc w:val="center"/>
                    <w:textAlignment w:val="auto"/>
                    <w:rPr>
                      <w:rFonts w:hint="default" w:cs="Times New Roman"/>
                      <w:bCs/>
                      <w:kern w:val="0"/>
                      <w:sz w:val="18"/>
                      <w:szCs w:val="18"/>
                      <w:highlight w:val="none"/>
                      <w:lang w:val="en-US" w:eastAsia="zh-CN"/>
                    </w:rPr>
                  </w:pPr>
                  <w:r>
                    <w:rPr>
                      <w:rFonts w:hint="eastAsia" w:cs="Times New Roman"/>
                      <w:bCs/>
                      <w:kern w:val="0"/>
                      <w:sz w:val="18"/>
                      <w:szCs w:val="18"/>
                      <w:highlight w:val="none"/>
                      <w:lang w:val="en-US" w:eastAsia="zh-CN"/>
                    </w:rPr>
                    <w:t xml:space="preserve">0.71 </w:t>
                  </w:r>
                </w:p>
              </w:tc>
              <w:tc>
                <w:tcPr>
                  <w:tcW w:w="383" w:type="pct"/>
                  <w:tcBorders>
                    <w:left w:val="single" w:color="auto" w:sz="4" w:space="0"/>
                    <w:right w:val="single" w:color="auto" w:sz="4" w:space="0"/>
                  </w:tcBorders>
                  <w:shd w:val="clear" w:color="auto" w:fill="auto"/>
                  <w:vAlign w:val="center"/>
                </w:tcPr>
                <w:p w14:paraId="293CE8A8">
                  <w:pPr>
                    <w:keepNext w:val="0"/>
                    <w:keepLines w:val="0"/>
                    <w:widowControl/>
                    <w:suppressLineNumbers w:val="0"/>
                    <w:spacing w:before="0" w:beforeAutospacing="0" w:after="0" w:afterAutospacing="0" w:line="280" w:lineRule="exact"/>
                    <w:ind w:left="0" w:right="0"/>
                    <w:jc w:val="center"/>
                    <w:textAlignment w:val="center"/>
                    <w:rPr>
                      <w:rFonts w:hint="eastAsia" w:ascii="Times New Roman" w:hAnsi="Times New Roman" w:eastAsia="宋体" w:cs="Times New Roman"/>
                      <w:b w:val="0"/>
                      <w:bCs w:val="0"/>
                      <w:kern w:val="2"/>
                      <w:sz w:val="18"/>
                      <w:szCs w:val="18"/>
                      <w:highlight w:val="none"/>
                      <w:lang w:val="en-US" w:eastAsia="zh-CN" w:bidi="ar"/>
                    </w:rPr>
                  </w:pPr>
                  <w:r>
                    <w:rPr>
                      <w:rFonts w:hint="eastAsia"/>
                      <w:snapToGrid w:val="0"/>
                      <w:sz w:val="18"/>
                      <w:szCs w:val="18"/>
                      <w:highlight w:val="none"/>
                      <w:lang w:val="en-US" w:eastAsia="zh-CN"/>
                    </w:rPr>
                    <w:t>活性炭吸附</w:t>
                  </w:r>
                </w:p>
              </w:tc>
              <w:tc>
                <w:tcPr>
                  <w:tcW w:w="240" w:type="pct"/>
                  <w:tcBorders>
                    <w:left w:val="single" w:color="auto" w:sz="4" w:space="0"/>
                    <w:right w:val="single" w:color="auto" w:sz="4" w:space="0"/>
                  </w:tcBorders>
                  <w:shd w:val="clear" w:color="auto" w:fill="auto"/>
                  <w:vAlign w:val="center"/>
                </w:tcPr>
                <w:p w14:paraId="0A5E092B">
                  <w:pPr>
                    <w:keepNext w:val="0"/>
                    <w:keepLines w:val="0"/>
                    <w:widowControl/>
                    <w:suppressLineNumbers w:val="0"/>
                    <w:spacing w:before="0" w:beforeAutospacing="0" w:after="0" w:afterAutospacing="0" w:line="280" w:lineRule="exact"/>
                    <w:ind w:left="0" w:right="0"/>
                    <w:jc w:val="center"/>
                    <w:textAlignment w:val="center"/>
                    <w:rPr>
                      <w:rFonts w:hint="eastAsia" w:ascii="Times New Roman" w:hAnsi="Times New Roman" w:eastAsia="宋体" w:cs="Times New Roman"/>
                      <w:b w:val="0"/>
                      <w:bCs w:val="0"/>
                      <w:kern w:val="2"/>
                      <w:sz w:val="18"/>
                      <w:szCs w:val="18"/>
                      <w:highlight w:val="none"/>
                      <w:lang w:val="en-US" w:eastAsia="zh-CN" w:bidi="ar"/>
                    </w:rPr>
                  </w:pPr>
                  <w:r>
                    <w:rPr>
                      <w:rFonts w:hint="eastAsia"/>
                      <w:bCs/>
                      <w:kern w:val="0"/>
                      <w:sz w:val="18"/>
                      <w:szCs w:val="18"/>
                      <w:highlight w:val="none"/>
                      <w:lang w:val="en-US" w:eastAsia="zh-CN"/>
                    </w:rPr>
                    <w:t>/</w:t>
                  </w:r>
                </w:p>
              </w:tc>
              <w:tc>
                <w:tcPr>
                  <w:tcW w:w="317" w:type="pct"/>
                  <w:tcBorders>
                    <w:left w:val="single" w:color="auto" w:sz="4" w:space="0"/>
                    <w:right w:val="single" w:color="auto" w:sz="4" w:space="0"/>
                  </w:tcBorders>
                  <w:shd w:val="clear" w:color="auto" w:fill="auto"/>
                  <w:vAlign w:val="center"/>
                </w:tcPr>
                <w:p w14:paraId="4CAB0E26">
                  <w:pPr>
                    <w:keepNext w:val="0"/>
                    <w:keepLines w:val="0"/>
                    <w:widowControl/>
                    <w:suppressLineNumbers w:val="0"/>
                    <w:spacing w:before="0" w:beforeAutospacing="0" w:after="0" w:afterAutospacing="0" w:line="280" w:lineRule="exact"/>
                    <w:ind w:left="0" w:right="0"/>
                    <w:jc w:val="center"/>
                    <w:textAlignment w:val="center"/>
                    <w:rPr>
                      <w:rFonts w:hint="eastAsia" w:ascii="Times New Roman" w:hAnsi="Times New Roman" w:eastAsia="宋体" w:cs="Times New Roman"/>
                      <w:b w:val="0"/>
                      <w:bCs w:val="0"/>
                      <w:kern w:val="2"/>
                      <w:sz w:val="18"/>
                      <w:szCs w:val="18"/>
                      <w:highlight w:val="none"/>
                      <w:lang w:val="en-US" w:eastAsia="zh-CN" w:bidi="ar"/>
                    </w:rPr>
                  </w:pPr>
                  <w:r>
                    <w:rPr>
                      <w:rFonts w:hint="eastAsia"/>
                      <w:sz w:val="18"/>
                      <w:szCs w:val="18"/>
                      <w:highlight w:val="none"/>
                      <w:lang w:val="en-US" w:eastAsia="zh-CN"/>
                    </w:rPr>
                    <w:t>8930</w:t>
                  </w:r>
                  <w:r>
                    <w:rPr>
                      <w:rFonts w:hint="eastAsia"/>
                      <w:sz w:val="18"/>
                      <w:szCs w:val="18"/>
                      <w:highlight w:val="none"/>
                    </w:rPr>
                    <w:t>0</w:t>
                  </w:r>
                </w:p>
              </w:tc>
              <w:tc>
                <w:tcPr>
                  <w:tcW w:w="380" w:type="pct"/>
                  <w:tcBorders>
                    <w:top w:val="single" w:color="auto" w:sz="4" w:space="0"/>
                    <w:left w:val="single" w:color="auto" w:sz="4" w:space="0"/>
                    <w:right w:val="single" w:color="auto" w:sz="4" w:space="0"/>
                  </w:tcBorders>
                  <w:shd w:val="clear" w:color="auto" w:fill="auto"/>
                  <w:vAlign w:val="center"/>
                </w:tcPr>
                <w:p w14:paraId="2FFEC1D8">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bCs/>
                      <w:kern w:val="0"/>
                      <w:sz w:val="18"/>
                      <w:szCs w:val="18"/>
                      <w:highlight w:val="none"/>
                      <w:lang w:val="en-US" w:eastAsia="zh-CN" w:bidi="ar-SA"/>
                    </w:rPr>
                  </w:pPr>
                  <w:r>
                    <w:rPr>
                      <w:rFonts w:hint="default" w:ascii="Times New Roman" w:hAnsi="Times New Roman" w:eastAsia="宋体" w:cs="Times New Roman"/>
                      <w:i w:val="0"/>
                      <w:iCs w:val="0"/>
                      <w:color w:val="000000"/>
                      <w:kern w:val="0"/>
                      <w:sz w:val="18"/>
                      <w:szCs w:val="18"/>
                      <w:highlight w:val="none"/>
                      <w:u w:val="none"/>
                      <w:lang w:val="en-US" w:eastAsia="zh-CN" w:bidi="ar"/>
                    </w:rPr>
                    <w:t>0.13</w:t>
                  </w:r>
                </w:p>
              </w:tc>
              <w:tc>
                <w:tcPr>
                  <w:tcW w:w="362" w:type="pct"/>
                  <w:tcBorders>
                    <w:top w:val="single" w:color="auto" w:sz="4" w:space="0"/>
                    <w:left w:val="single" w:color="auto" w:sz="4" w:space="0"/>
                    <w:right w:val="single" w:color="auto" w:sz="4" w:space="0"/>
                  </w:tcBorders>
                  <w:shd w:val="clear" w:color="auto" w:fill="auto"/>
                  <w:vAlign w:val="center"/>
                </w:tcPr>
                <w:p w14:paraId="0567AB2D">
                  <w:pPr>
                    <w:keepNext w:val="0"/>
                    <w:keepLines w:val="0"/>
                    <w:widowControl/>
                    <w:suppressLineNumbers w:val="0"/>
                    <w:spacing w:before="0" w:beforeAutospacing="0" w:after="0" w:afterAutospacing="0"/>
                    <w:ind w:left="0" w:right="0"/>
                    <w:jc w:val="center"/>
                    <w:textAlignment w:val="center"/>
                    <w:rPr>
                      <w:rFonts w:hint="eastAsia" w:ascii="Times New Roman" w:hAnsi="Times New Roman" w:eastAsia="宋体" w:cs="Times New Roman"/>
                      <w:bCs/>
                      <w:kern w:val="0"/>
                      <w:sz w:val="18"/>
                      <w:szCs w:val="18"/>
                      <w:highlight w:val="none"/>
                      <w:lang w:val="en-US" w:eastAsia="zh-CN" w:bidi="ar-SA"/>
                    </w:rPr>
                  </w:pPr>
                  <w:r>
                    <w:rPr>
                      <w:rFonts w:hint="default" w:ascii="Times New Roman" w:hAnsi="Times New Roman" w:eastAsia="宋体" w:cs="Times New Roman"/>
                      <w:i w:val="0"/>
                      <w:iCs w:val="0"/>
                      <w:color w:val="000000"/>
                      <w:kern w:val="0"/>
                      <w:sz w:val="18"/>
                      <w:szCs w:val="18"/>
                      <w:highlight w:val="none"/>
                      <w:u w:val="none"/>
                      <w:lang w:val="en-US" w:eastAsia="zh-CN" w:bidi="ar"/>
                    </w:rPr>
                    <w:t>0.063</w:t>
                  </w:r>
                </w:p>
              </w:tc>
              <w:tc>
                <w:tcPr>
                  <w:tcW w:w="340" w:type="pct"/>
                  <w:tcBorders>
                    <w:top w:val="single" w:color="auto" w:sz="4" w:space="0"/>
                    <w:left w:val="single" w:color="auto" w:sz="4" w:space="0"/>
                    <w:right w:val="single" w:color="auto" w:sz="4" w:space="0"/>
                  </w:tcBorders>
                  <w:shd w:val="clear" w:color="auto" w:fill="auto"/>
                  <w:vAlign w:val="center"/>
                </w:tcPr>
                <w:p w14:paraId="3D0B08EC">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64" w:lineRule="auto"/>
                    <w:ind w:left="0" w:right="0"/>
                    <w:jc w:val="center"/>
                    <w:textAlignment w:val="auto"/>
                    <w:rPr>
                      <w:rFonts w:hint="eastAsia" w:ascii="Times New Roman" w:hAnsi="Times New Roman" w:eastAsia="宋体" w:cs="Times New Roman"/>
                      <w:bCs/>
                      <w:kern w:val="0"/>
                      <w:sz w:val="18"/>
                      <w:szCs w:val="18"/>
                      <w:highlight w:val="none"/>
                      <w:lang w:val="en-US" w:eastAsia="zh-CN" w:bidi="ar-SA"/>
                    </w:rPr>
                  </w:pPr>
                  <w:r>
                    <w:rPr>
                      <w:rFonts w:hint="eastAsia" w:cs="Times New Roman"/>
                      <w:bCs/>
                      <w:kern w:val="0"/>
                      <w:sz w:val="18"/>
                      <w:szCs w:val="18"/>
                      <w:highlight w:val="none"/>
                      <w:lang w:val="en-US" w:eastAsia="zh-CN"/>
                    </w:rPr>
                    <w:t xml:space="preserve">0.71 </w:t>
                  </w:r>
                  <w:r>
                    <w:rPr>
                      <w:rFonts w:hint="eastAsia" w:ascii="Times New Roman" w:hAnsi="Times New Roman" w:eastAsia="宋体" w:cs="Times New Roman"/>
                      <w:bCs/>
                      <w:kern w:val="0"/>
                      <w:sz w:val="18"/>
                      <w:szCs w:val="18"/>
                      <w:highlight w:val="none"/>
                      <w:lang w:val="en-US" w:eastAsia="zh-CN"/>
                    </w:rPr>
                    <w:t xml:space="preserve"> </w:t>
                  </w:r>
                </w:p>
              </w:tc>
              <w:tc>
                <w:tcPr>
                  <w:tcW w:w="255" w:type="pct"/>
                  <w:vMerge w:val="restart"/>
                  <w:tcBorders>
                    <w:left w:val="single" w:color="auto" w:sz="4" w:space="0"/>
                    <w:right w:val="single" w:color="auto" w:sz="4" w:space="0"/>
                  </w:tcBorders>
                  <w:vAlign w:val="center"/>
                </w:tcPr>
                <w:p w14:paraId="36FCAD08">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64" w:lineRule="auto"/>
                    <w:ind w:left="0" w:right="0"/>
                    <w:jc w:val="center"/>
                    <w:textAlignment w:val="auto"/>
                    <w:rPr>
                      <w:rFonts w:hint="default"/>
                      <w:bCs/>
                      <w:kern w:val="0"/>
                      <w:sz w:val="18"/>
                      <w:szCs w:val="18"/>
                      <w:highlight w:val="none"/>
                    </w:rPr>
                  </w:pPr>
                  <w:r>
                    <w:rPr>
                      <w:rFonts w:hint="eastAsia"/>
                      <w:bCs/>
                      <w:kern w:val="0"/>
                      <w:sz w:val="18"/>
                      <w:szCs w:val="18"/>
                      <w:highlight w:val="none"/>
                      <w:lang w:val="en-US" w:eastAsia="zh-CN"/>
                    </w:rPr>
                    <w:t>2080</w:t>
                  </w:r>
                </w:p>
              </w:tc>
            </w:tr>
            <w:tr w14:paraId="2ED9480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189" w:hRule="atLeast"/>
                <w:jc w:val="center"/>
              </w:trPr>
              <w:tc>
                <w:tcPr>
                  <w:tcW w:w="271" w:type="pct"/>
                  <w:vMerge w:val="continue"/>
                  <w:tcBorders>
                    <w:left w:val="single" w:color="auto" w:sz="4" w:space="0"/>
                    <w:right w:val="single" w:color="auto" w:sz="4" w:space="0"/>
                  </w:tcBorders>
                  <w:vAlign w:val="center"/>
                </w:tcPr>
                <w:p w14:paraId="52F033FF">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64" w:lineRule="auto"/>
                    <w:ind w:left="0" w:right="0"/>
                    <w:jc w:val="center"/>
                    <w:textAlignment w:val="auto"/>
                    <w:rPr>
                      <w:rFonts w:hint="eastAsia"/>
                      <w:bCs/>
                      <w:kern w:val="0"/>
                      <w:sz w:val="18"/>
                      <w:szCs w:val="18"/>
                      <w:highlight w:val="none"/>
                      <w:lang w:val="en-US" w:eastAsia="zh-CN"/>
                    </w:rPr>
                  </w:pPr>
                </w:p>
              </w:tc>
              <w:tc>
                <w:tcPr>
                  <w:tcW w:w="331" w:type="pct"/>
                  <w:vMerge w:val="continue"/>
                  <w:tcBorders>
                    <w:left w:val="single" w:color="auto" w:sz="4" w:space="0"/>
                    <w:right w:val="single" w:color="auto" w:sz="4" w:space="0"/>
                  </w:tcBorders>
                  <w:vAlign w:val="center"/>
                </w:tcPr>
                <w:p w14:paraId="455B026E">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64" w:lineRule="auto"/>
                    <w:ind w:left="0" w:right="0"/>
                    <w:jc w:val="center"/>
                    <w:textAlignment w:val="auto"/>
                    <w:rPr>
                      <w:rFonts w:hint="eastAsia"/>
                      <w:bCs/>
                      <w:kern w:val="0"/>
                      <w:sz w:val="18"/>
                      <w:szCs w:val="18"/>
                      <w:highlight w:val="none"/>
                      <w:lang w:val="en-US" w:eastAsia="zh-CN"/>
                    </w:rPr>
                  </w:pPr>
                </w:p>
              </w:tc>
              <w:tc>
                <w:tcPr>
                  <w:tcW w:w="404" w:type="pct"/>
                  <w:vMerge w:val="continue"/>
                  <w:tcBorders>
                    <w:left w:val="single" w:color="auto" w:sz="4" w:space="0"/>
                    <w:right w:val="single" w:color="auto" w:sz="4" w:space="0"/>
                  </w:tcBorders>
                  <w:vAlign w:val="center"/>
                </w:tcPr>
                <w:p w14:paraId="38F2FFE5">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64" w:lineRule="auto"/>
                    <w:ind w:left="0" w:right="0"/>
                    <w:jc w:val="center"/>
                    <w:textAlignment w:val="auto"/>
                    <w:rPr>
                      <w:rFonts w:hint="eastAsia"/>
                      <w:bCs/>
                      <w:kern w:val="0"/>
                      <w:sz w:val="18"/>
                      <w:szCs w:val="18"/>
                      <w:highlight w:val="none"/>
                      <w:lang w:val="en-US" w:eastAsia="zh-CN"/>
                    </w:rPr>
                  </w:pPr>
                </w:p>
              </w:tc>
              <w:tc>
                <w:tcPr>
                  <w:tcW w:w="593" w:type="pct"/>
                  <w:tcBorders>
                    <w:left w:val="single" w:color="auto" w:sz="4" w:space="0"/>
                    <w:bottom w:val="single" w:color="auto" w:sz="4" w:space="0"/>
                    <w:right w:val="single" w:color="auto" w:sz="4" w:space="0"/>
                  </w:tcBorders>
                  <w:shd w:val="clear" w:color="auto" w:fill="auto"/>
                  <w:vAlign w:val="center"/>
                </w:tcPr>
                <w:p w14:paraId="20AF46AE">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64" w:lineRule="auto"/>
                    <w:ind w:left="0" w:right="0"/>
                    <w:jc w:val="center"/>
                    <w:textAlignment w:val="auto"/>
                    <w:rPr>
                      <w:rFonts w:hint="eastAsia"/>
                      <w:bCs/>
                      <w:kern w:val="0"/>
                      <w:sz w:val="18"/>
                      <w:szCs w:val="18"/>
                      <w:highlight w:val="none"/>
                      <w:lang w:val="en-US" w:eastAsia="zh-CN"/>
                    </w:rPr>
                  </w:pPr>
                  <w:r>
                    <w:rPr>
                      <w:rFonts w:hint="eastAsia"/>
                      <w:bCs/>
                      <w:kern w:val="0"/>
                      <w:sz w:val="18"/>
                      <w:szCs w:val="18"/>
                      <w:highlight w:val="none"/>
                      <w:lang w:val="en-US" w:eastAsia="zh-CN"/>
                    </w:rPr>
                    <w:t>氯化氢</w:t>
                  </w:r>
                </w:p>
              </w:tc>
              <w:tc>
                <w:tcPr>
                  <w:tcW w:w="1119" w:type="pct"/>
                  <w:gridSpan w:val="3"/>
                  <w:tcBorders>
                    <w:top w:val="single" w:color="auto" w:sz="4" w:space="0"/>
                    <w:left w:val="single" w:color="auto" w:sz="4" w:space="0"/>
                    <w:bottom w:val="single" w:color="auto" w:sz="4" w:space="0"/>
                    <w:right w:val="single" w:color="auto" w:sz="4" w:space="0"/>
                  </w:tcBorders>
                  <w:vAlign w:val="center"/>
                </w:tcPr>
                <w:p w14:paraId="0CB50796">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64" w:lineRule="auto"/>
                    <w:ind w:left="0" w:right="0"/>
                    <w:jc w:val="center"/>
                    <w:textAlignment w:val="auto"/>
                    <w:rPr>
                      <w:rFonts w:hint="eastAsia" w:cs="Times New Roman"/>
                      <w:bCs/>
                      <w:kern w:val="0"/>
                      <w:sz w:val="18"/>
                      <w:szCs w:val="18"/>
                      <w:highlight w:val="none"/>
                      <w:lang w:val="en-US" w:eastAsia="zh-CN"/>
                    </w:rPr>
                  </w:pPr>
                  <w:r>
                    <w:rPr>
                      <w:rFonts w:hint="eastAsia" w:cs="Times New Roman"/>
                      <w:bCs/>
                      <w:kern w:val="0"/>
                      <w:sz w:val="18"/>
                      <w:szCs w:val="18"/>
                      <w:highlight w:val="none"/>
                      <w:lang w:val="en-US" w:eastAsia="zh-CN"/>
                    </w:rPr>
                    <w:t>少量</w:t>
                  </w:r>
                </w:p>
              </w:tc>
              <w:tc>
                <w:tcPr>
                  <w:tcW w:w="383" w:type="pct"/>
                  <w:tcBorders>
                    <w:left w:val="single" w:color="auto" w:sz="4" w:space="0"/>
                    <w:right w:val="single" w:color="auto" w:sz="4" w:space="0"/>
                  </w:tcBorders>
                  <w:shd w:val="clear" w:color="auto" w:fill="auto"/>
                  <w:vAlign w:val="center"/>
                </w:tcPr>
                <w:p w14:paraId="3C5BB7A7">
                  <w:pPr>
                    <w:keepNext w:val="0"/>
                    <w:keepLines w:val="0"/>
                    <w:widowControl/>
                    <w:suppressLineNumbers w:val="0"/>
                    <w:spacing w:before="0" w:beforeAutospacing="0" w:after="0" w:afterAutospacing="0" w:line="280" w:lineRule="exact"/>
                    <w:ind w:left="0" w:right="0"/>
                    <w:jc w:val="center"/>
                    <w:textAlignment w:val="center"/>
                    <w:rPr>
                      <w:rFonts w:hint="eastAsia"/>
                      <w:snapToGrid w:val="0"/>
                      <w:sz w:val="18"/>
                      <w:szCs w:val="18"/>
                      <w:highlight w:val="none"/>
                      <w:lang w:val="en-US" w:eastAsia="zh-CN"/>
                    </w:rPr>
                  </w:pPr>
                  <w:r>
                    <w:rPr>
                      <w:rFonts w:hint="eastAsia"/>
                      <w:bCs/>
                      <w:kern w:val="0"/>
                      <w:sz w:val="18"/>
                      <w:szCs w:val="18"/>
                      <w:highlight w:val="none"/>
                      <w:lang w:val="en-US" w:eastAsia="zh-CN"/>
                    </w:rPr>
                    <w:t>/</w:t>
                  </w:r>
                </w:p>
              </w:tc>
              <w:tc>
                <w:tcPr>
                  <w:tcW w:w="240" w:type="pct"/>
                  <w:tcBorders>
                    <w:left w:val="single" w:color="auto" w:sz="4" w:space="0"/>
                    <w:right w:val="single" w:color="auto" w:sz="4" w:space="0"/>
                  </w:tcBorders>
                  <w:shd w:val="clear" w:color="auto" w:fill="auto"/>
                  <w:vAlign w:val="center"/>
                </w:tcPr>
                <w:p w14:paraId="08C30B38">
                  <w:pPr>
                    <w:keepNext w:val="0"/>
                    <w:keepLines w:val="0"/>
                    <w:widowControl/>
                    <w:suppressLineNumbers w:val="0"/>
                    <w:spacing w:before="0" w:beforeAutospacing="0" w:after="0" w:afterAutospacing="0" w:line="280" w:lineRule="exact"/>
                    <w:ind w:left="0" w:right="0"/>
                    <w:jc w:val="center"/>
                    <w:textAlignment w:val="center"/>
                    <w:rPr>
                      <w:rFonts w:hint="eastAsia"/>
                      <w:bCs/>
                      <w:kern w:val="0"/>
                      <w:sz w:val="18"/>
                      <w:szCs w:val="18"/>
                      <w:highlight w:val="none"/>
                      <w:lang w:val="en-US" w:eastAsia="zh-CN"/>
                    </w:rPr>
                  </w:pPr>
                  <w:r>
                    <w:rPr>
                      <w:rFonts w:hint="eastAsia"/>
                      <w:bCs/>
                      <w:kern w:val="0"/>
                      <w:sz w:val="18"/>
                      <w:szCs w:val="18"/>
                      <w:highlight w:val="none"/>
                      <w:lang w:val="en-US" w:eastAsia="zh-CN"/>
                    </w:rPr>
                    <w:t>/</w:t>
                  </w:r>
                </w:p>
              </w:tc>
              <w:tc>
                <w:tcPr>
                  <w:tcW w:w="317" w:type="pct"/>
                  <w:tcBorders>
                    <w:left w:val="single" w:color="auto" w:sz="4" w:space="0"/>
                    <w:right w:val="single" w:color="auto" w:sz="4" w:space="0"/>
                  </w:tcBorders>
                  <w:shd w:val="clear" w:color="auto" w:fill="auto"/>
                  <w:vAlign w:val="center"/>
                </w:tcPr>
                <w:p w14:paraId="44097B08">
                  <w:pPr>
                    <w:keepNext w:val="0"/>
                    <w:keepLines w:val="0"/>
                    <w:widowControl/>
                    <w:suppressLineNumbers w:val="0"/>
                    <w:spacing w:before="0" w:beforeAutospacing="0" w:after="0" w:afterAutospacing="0" w:line="280" w:lineRule="exact"/>
                    <w:ind w:left="0" w:right="0"/>
                    <w:jc w:val="center"/>
                    <w:textAlignment w:val="center"/>
                    <w:rPr>
                      <w:rFonts w:hint="eastAsia"/>
                      <w:sz w:val="18"/>
                      <w:szCs w:val="18"/>
                      <w:highlight w:val="none"/>
                      <w:lang w:val="en-US" w:eastAsia="zh-CN"/>
                    </w:rPr>
                  </w:pPr>
                  <w:r>
                    <w:rPr>
                      <w:rFonts w:hint="eastAsia"/>
                      <w:bCs/>
                      <w:kern w:val="0"/>
                      <w:sz w:val="18"/>
                      <w:szCs w:val="18"/>
                      <w:highlight w:val="none"/>
                      <w:lang w:val="en-US" w:eastAsia="zh-CN"/>
                    </w:rPr>
                    <w:t>/</w:t>
                  </w:r>
                </w:p>
              </w:tc>
              <w:tc>
                <w:tcPr>
                  <w:tcW w:w="1083" w:type="pct"/>
                  <w:gridSpan w:val="3"/>
                  <w:tcBorders>
                    <w:top w:val="single" w:color="auto" w:sz="4" w:space="0"/>
                    <w:left w:val="single" w:color="auto" w:sz="4" w:space="0"/>
                    <w:right w:val="single" w:color="auto" w:sz="4" w:space="0"/>
                  </w:tcBorders>
                  <w:shd w:val="clear" w:color="auto" w:fill="auto"/>
                  <w:vAlign w:val="center"/>
                </w:tcPr>
                <w:p w14:paraId="29C7F538">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64" w:lineRule="auto"/>
                    <w:ind w:left="0" w:right="0"/>
                    <w:jc w:val="center"/>
                    <w:textAlignment w:val="auto"/>
                    <w:rPr>
                      <w:rFonts w:hint="eastAsia" w:ascii="Times New Roman" w:hAnsi="Times New Roman" w:eastAsia="宋体" w:cs="Times New Roman"/>
                      <w:bCs/>
                      <w:kern w:val="0"/>
                      <w:sz w:val="18"/>
                      <w:szCs w:val="18"/>
                      <w:highlight w:val="none"/>
                      <w:lang w:val="en-US" w:eastAsia="zh-CN"/>
                    </w:rPr>
                  </w:pPr>
                  <w:r>
                    <w:rPr>
                      <w:rFonts w:hint="eastAsia" w:cs="Times New Roman"/>
                      <w:bCs/>
                      <w:kern w:val="0"/>
                      <w:sz w:val="18"/>
                      <w:szCs w:val="18"/>
                      <w:highlight w:val="none"/>
                      <w:lang w:val="en-US" w:eastAsia="zh-CN"/>
                    </w:rPr>
                    <w:t>少量</w:t>
                  </w:r>
                </w:p>
              </w:tc>
              <w:tc>
                <w:tcPr>
                  <w:tcW w:w="255" w:type="pct"/>
                  <w:vMerge w:val="continue"/>
                  <w:tcBorders>
                    <w:left w:val="single" w:color="auto" w:sz="4" w:space="0"/>
                    <w:right w:val="single" w:color="auto" w:sz="4" w:space="0"/>
                  </w:tcBorders>
                  <w:vAlign w:val="center"/>
                </w:tcPr>
                <w:p w14:paraId="7138B54B">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64" w:lineRule="auto"/>
                    <w:ind w:left="0" w:right="0"/>
                    <w:jc w:val="center"/>
                    <w:textAlignment w:val="auto"/>
                    <w:rPr>
                      <w:rFonts w:hint="eastAsia"/>
                      <w:bCs/>
                      <w:kern w:val="0"/>
                      <w:sz w:val="18"/>
                      <w:szCs w:val="18"/>
                      <w:highlight w:val="none"/>
                      <w:lang w:val="en-US" w:eastAsia="zh-CN"/>
                    </w:rPr>
                  </w:pPr>
                </w:p>
              </w:tc>
            </w:tr>
            <w:tr w14:paraId="09CE6AB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189" w:hRule="atLeast"/>
                <w:jc w:val="center"/>
              </w:trPr>
              <w:tc>
                <w:tcPr>
                  <w:tcW w:w="271" w:type="pct"/>
                  <w:vMerge w:val="continue"/>
                  <w:tcBorders>
                    <w:left w:val="single" w:color="auto" w:sz="4" w:space="0"/>
                    <w:right w:val="single" w:color="auto" w:sz="4" w:space="0"/>
                  </w:tcBorders>
                  <w:vAlign w:val="center"/>
                </w:tcPr>
                <w:p w14:paraId="3406386F">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64" w:lineRule="auto"/>
                    <w:ind w:left="0" w:right="0"/>
                    <w:jc w:val="center"/>
                    <w:textAlignment w:val="auto"/>
                    <w:rPr>
                      <w:rFonts w:hint="eastAsia"/>
                      <w:bCs/>
                      <w:kern w:val="0"/>
                      <w:sz w:val="18"/>
                      <w:szCs w:val="18"/>
                      <w:highlight w:val="none"/>
                      <w:lang w:val="en-US" w:eastAsia="zh-CN"/>
                    </w:rPr>
                  </w:pPr>
                </w:p>
              </w:tc>
              <w:tc>
                <w:tcPr>
                  <w:tcW w:w="331" w:type="pct"/>
                  <w:vMerge w:val="continue"/>
                  <w:tcBorders>
                    <w:left w:val="single" w:color="auto" w:sz="4" w:space="0"/>
                    <w:right w:val="single" w:color="auto" w:sz="4" w:space="0"/>
                  </w:tcBorders>
                  <w:vAlign w:val="center"/>
                </w:tcPr>
                <w:p w14:paraId="170708A5">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64" w:lineRule="auto"/>
                    <w:ind w:left="0" w:right="0"/>
                    <w:jc w:val="center"/>
                    <w:textAlignment w:val="auto"/>
                    <w:rPr>
                      <w:rFonts w:hint="eastAsia"/>
                      <w:bCs/>
                      <w:kern w:val="0"/>
                      <w:sz w:val="18"/>
                      <w:szCs w:val="18"/>
                      <w:highlight w:val="none"/>
                      <w:lang w:val="en-US" w:eastAsia="zh-CN"/>
                    </w:rPr>
                  </w:pPr>
                </w:p>
              </w:tc>
              <w:tc>
                <w:tcPr>
                  <w:tcW w:w="404" w:type="pct"/>
                  <w:vMerge w:val="continue"/>
                  <w:tcBorders>
                    <w:left w:val="single" w:color="auto" w:sz="4" w:space="0"/>
                    <w:right w:val="single" w:color="auto" w:sz="4" w:space="0"/>
                  </w:tcBorders>
                  <w:vAlign w:val="center"/>
                </w:tcPr>
                <w:p w14:paraId="16E21D03">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64" w:lineRule="auto"/>
                    <w:ind w:left="0" w:right="0"/>
                    <w:jc w:val="center"/>
                    <w:textAlignment w:val="auto"/>
                    <w:rPr>
                      <w:rFonts w:hint="eastAsia"/>
                      <w:bCs/>
                      <w:kern w:val="0"/>
                      <w:sz w:val="18"/>
                      <w:szCs w:val="18"/>
                      <w:highlight w:val="none"/>
                      <w:lang w:val="en-US" w:eastAsia="zh-CN"/>
                    </w:rPr>
                  </w:pPr>
                </w:p>
              </w:tc>
              <w:tc>
                <w:tcPr>
                  <w:tcW w:w="593" w:type="pct"/>
                  <w:tcBorders>
                    <w:left w:val="single" w:color="auto" w:sz="4" w:space="0"/>
                    <w:bottom w:val="single" w:color="auto" w:sz="4" w:space="0"/>
                    <w:right w:val="single" w:color="auto" w:sz="4" w:space="0"/>
                  </w:tcBorders>
                  <w:shd w:val="clear" w:color="auto" w:fill="auto"/>
                  <w:vAlign w:val="center"/>
                </w:tcPr>
                <w:p w14:paraId="183B6B0A">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64" w:lineRule="auto"/>
                    <w:ind w:left="0" w:right="0"/>
                    <w:jc w:val="center"/>
                    <w:textAlignment w:val="auto"/>
                    <w:rPr>
                      <w:rFonts w:hint="eastAsia"/>
                      <w:bCs/>
                      <w:kern w:val="0"/>
                      <w:sz w:val="18"/>
                      <w:szCs w:val="18"/>
                      <w:highlight w:val="none"/>
                      <w:lang w:val="en-US" w:eastAsia="zh-CN"/>
                    </w:rPr>
                  </w:pPr>
                  <w:r>
                    <w:rPr>
                      <w:rFonts w:hint="eastAsia"/>
                      <w:bCs/>
                      <w:kern w:val="0"/>
                      <w:sz w:val="18"/>
                      <w:szCs w:val="18"/>
                      <w:highlight w:val="none"/>
                      <w:lang w:val="en-US" w:eastAsia="zh-CN"/>
                    </w:rPr>
                    <w:t>硫酸雾</w:t>
                  </w:r>
                </w:p>
              </w:tc>
              <w:tc>
                <w:tcPr>
                  <w:tcW w:w="1119" w:type="pct"/>
                  <w:gridSpan w:val="3"/>
                  <w:tcBorders>
                    <w:top w:val="single" w:color="auto" w:sz="4" w:space="0"/>
                    <w:left w:val="single" w:color="auto" w:sz="4" w:space="0"/>
                    <w:bottom w:val="single" w:color="auto" w:sz="4" w:space="0"/>
                    <w:right w:val="single" w:color="auto" w:sz="4" w:space="0"/>
                  </w:tcBorders>
                  <w:vAlign w:val="center"/>
                </w:tcPr>
                <w:p w14:paraId="09221DC2">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64" w:lineRule="auto"/>
                    <w:ind w:left="0" w:right="0"/>
                    <w:jc w:val="center"/>
                    <w:textAlignment w:val="auto"/>
                    <w:rPr>
                      <w:rFonts w:hint="eastAsia" w:cs="Times New Roman"/>
                      <w:bCs/>
                      <w:kern w:val="0"/>
                      <w:sz w:val="18"/>
                      <w:szCs w:val="18"/>
                      <w:highlight w:val="none"/>
                      <w:lang w:val="en-US" w:eastAsia="zh-CN"/>
                    </w:rPr>
                  </w:pPr>
                  <w:r>
                    <w:rPr>
                      <w:rFonts w:hint="eastAsia" w:cs="Times New Roman"/>
                      <w:bCs/>
                      <w:kern w:val="0"/>
                      <w:sz w:val="18"/>
                      <w:szCs w:val="18"/>
                      <w:highlight w:val="none"/>
                      <w:lang w:val="en-US" w:eastAsia="zh-CN"/>
                    </w:rPr>
                    <w:t>少量</w:t>
                  </w:r>
                </w:p>
              </w:tc>
              <w:tc>
                <w:tcPr>
                  <w:tcW w:w="383" w:type="pct"/>
                  <w:tcBorders>
                    <w:left w:val="single" w:color="auto" w:sz="4" w:space="0"/>
                    <w:right w:val="single" w:color="auto" w:sz="4" w:space="0"/>
                  </w:tcBorders>
                  <w:shd w:val="clear" w:color="auto" w:fill="auto"/>
                  <w:vAlign w:val="center"/>
                </w:tcPr>
                <w:p w14:paraId="43532508">
                  <w:pPr>
                    <w:keepNext w:val="0"/>
                    <w:keepLines w:val="0"/>
                    <w:widowControl/>
                    <w:suppressLineNumbers w:val="0"/>
                    <w:spacing w:before="0" w:beforeAutospacing="0" w:after="0" w:afterAutospacing="0" w:line="280" w:lineRule="exact"/>
                    <w:ind w:left="0" w:right="0"/>
                    <w:jc w:val="center"/>
                    <w:textAlignment w:val="center"/>
                    <w:rPr>
                      <w:rFonts w:hint="eastAsia"/>
                      <w:snapToGrid w:val="0"/>
                      <w:sz w:val="18"/>
                      <w:szCs w:val="18"/>
                      <w:highlight w:val="none"/>
                      <w:lang w:val="en-US" w:eastAsia="zh-CN"/>
                    </w:rPr>
                  </w:pPr>
                  <w:r>
                    <w:rPr>
                      <w:rFonts w:hint="eastAsia"/>
                      <w:bCs/>
                      <w:kern w:val="0"/>
                      <w:sz w:val="18"/>
                      <w:szCs w:val="18"/>
                      <w:highlight w:val="none"/>
                      <w:lang w:val="en-US" w:eastAsia="zh-CN"/>
                    </w:rPr>
                    <w:t>/</w:t>
                  </w:r>
                </w:p>
              </w:tc>
              <w:tc>
                <w:tcPr>
                  <w:tcW w:w="240" w:type="pct"/>
                  <w:tcBorders>
                    <w:left w:val="single" w:color="auto" w:sz="4" w:space="0"/>
                    <w:right w:val="single" w:color="auto" w:sz="4" w:space="0"/>
                  </w:tcBorders>
                  <w:shd w:val="clear" w:color="auto" w:fill="auto"/>
                  <w:vAlign w:val="center"/>
                </w:tcPr>
                <w:p w14:paraId="6C9F8264">
                  <w:pPr>
                    <w:keepNext w:val="0"/>
                    <w:keepLines w:val="0"/>
                    <w:widowControl/>
                    <w:suppressLineNumbers w:val="0"/>
                    <w:spacing w:before="0" w:beforeAutospacing="0" w:after="0" w:afterAutospacing="0" w:line="280" w:lineRule="exact"/>
                    <w:ind w:left="0" w:right="0"/>
                    <w:jc w:val="center"/>
                    <w:textAlignment w:val="center"/>
                    <w:rPr>
                      <w:rFonts w:hint="eastAsia"/>
                      <w:bCs/>
                      <w:kern w:val="0"/>
                      <w:sz w:val="18"/>
                      <w:szCs w:val="18"/>
                      <w:highlight w:val="none"/>
                      <w:lang w:val="en-US" w:eastAsia="zh-CN"/>
                    </w:rPr>
                  </w:pPr>
                  <w:r>
                    <w:rPr>
                      <w:rFonts w:hint="eastAsia"/>
                      <w:bCs/>
                      <w:kern w:val="0"/>
                      <w:sz w:val="18"/>
                      <w:szCs w:val="18"/>
                      <w:highlight w:val="none"/>
                      <w:lang w:val="en-US" w:eastAsia="zh-CN"/>
                    </w:rPr>
                    <w:t>/</w:t>
                  </w:r>
                </w:p>
              </w:tc>
              <w:tc>
                <w:tcPr>
                  <w:tcW w:w="317" w:type="pct"/>
                  <w:tcBorders>
                    <w:left w:val="single" w:color="auto" w:sz="4" w:space="0"/>
                    <w:right w:val="single" w:color="auto" w:sz="4" w:space="0"/>
                  </w:tcBorders>
                  <w:shd w:val="clear" w:color="auto" w:fill="auto"/>
                  <w:vAlign w:val="center"/>
                </w:tcPr>
                <w:p w14:paraId="17A3D88A">
                  <w:pPr>
                    <w:keepNext w:val="0"/>
                    <w:keepLines w:val="0"/>
                    <w:widowControl/>
                    <w:suppressLineNumbers w:val="0"/>
                    <w:spacing w:before="0" w:beforeAutospacing="0" w:after="0" w:afterAutospacing="0" w:line="280" w:lineRule="exact"/>
                    <w:ind w:left="0" w:right="0"/>
                    <w:jc w:val="center"/>
                    <w:textAlignment w:val="center"/>
                    <w:rPr>
                      <w:rFonts w:hint="eastAsia"/>
                      <w:sz w:val="18"/>
                      <w:szCs w:val="18"/>
                      <w:highlight w:val="none"/>
                      <w:lang w:val="en-US" w:eastAsia="zh-CN"/>
                    </w:rPr>
                  </w:pPr>
                  <w:r>
                    <w:rPr>
                      <w:rFonts w:hint="eastAsia"/>
                      <w:bCs/>
                      <w:kern w:val="0"/>
                      <w:sz w:val="18"/>
                      <w:szCs w:val="18"/>
                      <w:highlight w:val="none"/>
                      <w:lang w:val="en-US" w:eastAsia="zh-CN"/>
                    </w:rPr>
                    <w:t>/</w:t>
                  </w:r>
                </w:p>
              </w:tc>
              <w:tc>
                <w:tcPr>
                  <w:tcW w:w="1083" w:type="pct"/>
                  <w:gridSpan w:val="3"/>
                  <w:tcBorders>
                    <w:top w:val="single" w:color="auto" w:sz="4" w:space="0"/>
                    <w:left w:val="single" w:color="auto" w:sz="4" w:space="0"/>
                    <w:right w:val="single" w:color="auto" w:sz="4" w:space="0"/>
                  </w:tcBorders>
                  <w:shd w:val="clear" w:color="auto" w:fill="auto"/>
                  <w:vAlign w:val="center"/>
                </w:tcPr>
                <w:p w14:paraId="0AB7F8C2">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64" w:lineRule="auto"/>
                    <w:ind w:left="0" w:right="0"/>
                    <w:jc w:val="center"/>
                    <w:textAlignment w:val="auto"/>
                    <w:rPr>
                      <w:rFonts w:hint="eastAsia" w:ascii="Times New Roman" w:hAnsi="Times New Roman" w:eastAsia="宋体" w:cs="Times New Roman"/>
                      <w:bCs/>
                      <w:kern w:val="0"/>
                      <w:sz w:val="18"/>
                      <w:szCs w:val="18"/>
                      <w:highlight w:val="none"/>
                      <w:lang w:val="en-US" w:eastAsia="zh-CN"/>
                    </w:rPr>
                  </w:pPr>
                  <w:r>
                    <w:rPr>
                      <w:rFonts w:hint="eastAsia" w:cs="Times New Roman"/>
                      <w:bCs/>
                      <w:kern w:val="0"/>
                      <w:sz w:val="18"/>
                      <w:szCs w:val="18"/>
                      <w:highlight w:val="none"/>
                      <w:lang w:val="en-US" w:eastAsia="zh-CN"/>
                    </w:rPr>
                    <w:t>少量</w:t>
                  </w:r>
                </w:p>
              </w:tc>
              <w:tc>
                <w:tcPr>
                  <w:tcW w:w="255" w:type="pct"/>
                  <w:vMerge w:val="continue"/>
                  <w:tcBorders>
                    <w:left w:val="single" w:color="auto" w:sz="4" w:space="0"/>
                    <w:right w:val="single" w:color="auto" w:sz="4" w:space="0"/>
                  </w:tcBorders>
                  <w:vAlign w:val="center"/>
                </w:tcPr>
                <w:p w14:paraId="77CBBDA2">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64" w:lineRule="auto"/>
                    <w:ind w:left="0" w:right="0"/>
                    <w:jc w:val="center"/>
                    <w:textAlignment w:val="auto"/>
                    <w:rPr>
                      <w:rFonts w:hint="eastAsia"/>
                      <w:bCs/>
                      <w:kern w:val="0"/>
                      <w:sz w:val="18"/>
                      <w:szCs w:val="18"/>
                      <w:highlight w:val="none"/>
                      <w:lang w:val="en-US" w:eastAsia="zh-CN"/>
                    </w:rPr>
                  </w:pPr>
                </w:p>
              </w:tc>
            </w:tr>
            <w:tr w14:paraId="69D9D02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189" w:hRule="atLeast"/>
                <w:jc w:val="center"/>
              </w:trPr>
              <w:tc>
                <w:tcPr>
                  <w:tcW w:w="271" w:type="pct"/>
                  <w:vMerge w:val="restart"/>
                  <w:tcBorders>
                    <w:left w:val="single" w:color="auto" w:sz="4" w:space="0"/>
                    <w:right w:val="single" w:color="auto" w:sz="4" w:space="0"/>
                  </w:tcBorders>
                  <w:vAlign w:val="center"/>
                </w:tcPr>
                <w:p w14:paraId="52EBB043">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64" w:lineRule="auto"/>
                    <w:ind w:left="0" w:right="0"/>
                    <w:jc w:val="center"/>
                    <w:textAlignment w:val="auto"/>
                    <w:rPr>
                      <w:rFonts w:hint="default"/>
                      <w:bCs/>
                      <w:kern w:val="0"/>
                      <w:sz w:val="18"/>
                      <w:szCs w:val="18"/>
                      <w:highlight w:val="none"/>
                      <w:lang w:val="en-US"/>
                    </w:rPr>
                  </w:pPr>
                  <w:r>
                    <w:rPr>
                      <w:rFonts w:hint="eastAsia"/>
                      <w:bCs/>
                      <w:kern w:val="0"/>
                      <w:sz w:val="18"/>
                      <w:szCs w:val="18"/>
                      <w:highlight w:val="none"/>
                      <w:lang w:val="en-US" w:eastAsia="zh-CN"/>
                    </w:rPr>
                    <w:t>DA014</w:t>
                  </w:r>
                </w:p>
              </w:tc>
              <w:tc>
                <w:tcPr>
                  <w:tcW w:w="331" w:type="pct"/>
                  <w:vMerge w:val="restart"/>
                  <w:tcBorders>
                    <w:left w:val="single" w:color="auto" w:sz="4" w:space="0"/>
                    <w:right w:val="single" w:color="auto" w:sz="4" w:space="0"/>
                  </w:tcBorders>
                  <w:vAlign w:val="center"/>
                </w:tcPr>
                <w:p w14:paraId="7F18F3AA">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64" w:lineRule="auto"/>
                    <w:ind w:left="0" w:right="0"/>
                    <w:jc w:val="center"/>
                    <w:textAlignment w:val="auto"/>
                    <w:rPr>
                      <w:rFonts w:hint="default"/>
                      <w:bCs/>
                      <w:kern w:val="0"/>
                      <w:sz w:val="18"/>
                      <w:szCs w:val="18"/>
                      <w:highlight w:val="none"/>
                    </w:rPr>
                  </w:pPr>
                  <w:r>
                    <w:rPr>
                      <w:rFonts w:hint="eastAsia"/>
                      <w:bCs/>
                      <w:kern w:val="0"/>
                      <w:sz w:val="18"/>
                      <w:szCs w:val="18"/>
                      <w:highlight w:val="none"/>
                      <w:lang w:val="en-US" w:eastAsia="zh-CN"/>
                    </w:rPr>
                    <w:t>14#排气筒</w:t>
                  </w:r>
                </w:p>
              </w:tc>
              <w:tc>
                <w:tcPr>
                  <w:tcW w:w="404" w:type="pct"/>
                  <w:vMerge w:val="restart"/>
                  <w:tcBorders>
                    <w:left w:val="single" w:color="auto" w:sz="4" w:space="0"/>
                    <w:right w:val="single" w:color="auto" w:sz="4" w:space="0"/>
                  </w:tcBorders>
                  <w:vAlign w:val="center"/>
                </w:tcPr>
                <w:p w14:paraId="5BD0FDFC">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64" w:lineRule="auto"/>
                    <w:ind w:left="0" w:right="0"/>
                    <w:jc w:val="center"/>
                    <w:textAlignment w:val="auto"/>
                    <w:rPr>
                      <w:rFonts w:hint="default"/>
                      <w:bCs/>
                      <w:kern w:val="0"/>
                      <w:sz w:val="18"/>
                      <w:szCs w:val="18"/>
                      <w:highlight w:val="none"/>
                    </w:rPr>
                  </w:pPr>
                  <w:r>
                    <w:rPr>
                      <w:rFonts w:hint="eastAsia"/>
                      <w:bCs/>
                      <w:kern w:val="0"/>
                      <w:sz w:val="18"/>
                      <w:szCs w:val="18"/>
                      <w:highlight w:val="none"/>
                      <w:lang w:val="en-US" w:eastAsia="zh-CN"/>
                    </w:rPr>
                    <w:t>实验室废气</w:t>
                  </w:r>
                </w:p>
              </w:tc>
              <w:tc>
                <w:tcPr>
                  <w:tcW w:w="593" w:type="pct"/>
                  <w:tcBorders>
                    <w:left w:val="single" w:color="auto" w:sz="4" w:space="0"/>
                    <w:bottom w:val="single" w:color="auto" w:sz="4" w:space="0"/>
                    <w:right w:val="single" w:color="auto" w:sz="4" w:space="0"/>
                  </w:tcBorders>
                  <w:shd w:val="clear" w:color="auto" w:fill="auto"/>
                  <w:vAlign w:val="center"/>
                </w:tcPr>
                <w:p w14:paraId="57DAE3E0">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64" w:lineRule="auto"/>
                    <w:ind w:left="0" w:right="0"/>
                    <w:jc w:val="center"/>
                    <w:textAlignment w:val="auto"/>
                    <w:rPr>
                      <w:rFonts w:hint="default"/>
                      <w:bCs/>
                      <w:kern w:val="0"/>
                      <w:sz w:val="18"/>
                      <w:szCs w:val="18"/>
                      <w:highlight w:val="none"/>
                    </w:rPr>
                  </w:pPr>
                  <w:r>
                    <w:rPr>
                      <w:rFonts w:hint="eastAsia"/>
                      <w:bCs/>
                      <w:kern w:val="0"/>
                      <w:sz w:val="18"/>
                      <w:szCs w:val="18"/>
                      <w:highlight w:val="none"/>
                      <w:lang w:val="en-US" w:eastAsia="zh-CN"/>
                    </w:rPr>
                    <w:t>非甲烷总烃</w:t>
                  </w:r>
                </w:p>
              </w:tc>
              <w:tc>
                <w:tcPr>
                  <w:tcW w:w="357" w:type="pct"/>
                  <w:tcBorders>
                    <w:top w:val="single" w:color="auto" w:sz="4" w:space="0"/>
                    <w:left w:val="single" w:color="auto" w:sz="4" w:space="0"/>
                    <w:bottom w:val="single" w:color="auto" w:sz="4" w:space="0"/>
                    <w:right w:val="single" w:color="auto" w:sz="4" w:space="0"/>
                  </w:tcBorders>
                  <w:vAlign w:val="center"/>
                </w:tcPr>
                <w:p w14:paraId="5D27E077">
                  <w:pPr>
                    <w:keepNext w:val="0"/>
                    <w:keepLines w:val="0"/>
                    <w:widowControl/>
                    <w:suppressLineNumbers w:val="0"/>
                    <w:spacing w:before="0" w:beforeAutospacing="0" w:after="0" w:afterAutospacing="0"/>
                    <w:ind w:left="0" w:right="0"/>
                    <w:jc w:val="center"/>
                    <w:textAlignment w:val="center"/>
                    <w:rPr>
                      <w:rFonts w:hint="eastAsia"/>
                      <w:bCs/>
                      <w:kern w:val="0"/>
                      <w:sz w:val="18"/>
                      <w:szCs w:val="18"/>
                      <w:highlight w:val="none"/>
                      <w:lang w:val="en-US" w:eastAsia="zh-CN"/>
                    </w:rPr>
                  </w:pPr>
                  <w:r>
                    <w:rPr>
                      <w:rFonts w:hint="default" w:ascii="Times New Roman" w:hAnsi="Times New Roman" w:eastAsia="宋体" w:cs="Times New Roman"/>
                      <w:i w:val="0"/>
                      <w:iCs w:val="0"/>
                      <w:color w:val="000000"/>
                      <w:kern w:val="0"/>
                      <w:sz w:val="18"/>
                      <w:szCs w:val="18"/>
                      <w:highlight w:val="none"/>
                      <w:u w:val="none"/>
                      <w:lang w:val="en-US" w:eastAsia="zh-CN" w:bidi="ar"/>
                    </w:rPr>
                    <w:t>0.109</w:t>
                  </w:r>
                </w:p>
              </w:tc>
              <w:tc>
                <w:tcPr>
                  <w:tcW w:w="357" w:type="pct"/>
                  <w:tcBorders>
                    <w:top w:val="single" w:color="auto" w:sz="4" w:space="0"/>
                    <w:left w:val="single" w:color="auto" w:sz="4" w:space="0"/>
                    <w:bottom w:val="single" w:color="auto" w:sz="4" w:space="0"/>
                    <w:right w:val="single" w:color="auto" w:sz="4" w:space="0"/>
                  </w:tcBorders>
                  <w:vAlign w:val="center"/>
                </w:tcPr>
                <w:p w14:paraId="4F3CD010">
                  <w:pPr>
                    <w:keepNext w:val="0"/>
                    <w:keepLines w:val="0"/>
                    <w:widowControl/>
                    <w:suppressLineNumbers w:val="0"/>
                    <w:spacing w:before="0" w:beforeAutospacing="0" w:after="0" w:afterAutospacing="0"/>
                    <w:ind w:left="0" w:right="0"/>
                    <w:jc w:val="center"/>
                    <w:textAlignment w:val="center"/>
                    <w:rPr>
                      <w:rFonts w:hint="eastAsia"/>
                      <w:bCs/>
                      <w:kern w:val="0"/>
                      <w:sz w:val="18"/>
                      <w:szCs w:val="18"/>
                      <w:highlight w:val="none"/>
                      <w:lang w:val="en-US" w:eastAsia="zh-CN"/>
                    </w:rPr>
                  </w:pPr>
                  <w:r>
                    <w:rPr>
                      <w:rFonts w:hint="default" w:ascii="Times New Roman" w:hAnsi="Times New Roman" w:eastAsia="宋体" w:cs="Times New Roman"/>
                      <w:i w:val="0"/>
                      <w:iCs w:val="0"/>
                      <w:color w:val="000000"/>
                      <w:kern w:val="0"/>
                      <w:sz w:val="18"/>
                      <w:szCs w:val="18"/>
                      <w:highlight w:val="none"/>
                      <w:u w:val="none"/>
                      <w:lang w:val="en-US" w:eastAsia="zh-CN" w:bidi="ar"/>
                    </w:rPr>
                    <w:t>0.052</w:t>
                  </w:r>
                </w:p>
              </w:tc>
              <w:tc>
                <w:tcPr>
                  <w:tcW w:w="404" w:type="pct"/>
                  <w:tcBorders>
                    <w:top w:val="single" w:color="auto" w:sz="4" w:space="0"/>
                    <w:left w:val="single" w:color="auto" w:sz="4" w:space="0"/>
                    <w:right w:val="single" w:color="auto" w:sz="4" w:space="0"/>
                  </w:tcBorders>
                  <w:shd w:val="clear" w:color="auto" w:fill="auto"/>
                  <w:vAlign w:val="center"/>
                </w:tcPr>
                <w:p w14:paraId="05F78DC1">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64" w:lineRule="auto"/>
                    <w:ind w:left="0" w:right="0"/>
                    <w:jc w:val="center"/>
                    <w:textAlignment w:val="auto"/>
                    <w:rPr>
                      <w:rFonts w:hint="default" w:cs="Times New Roman"/>
                      <w:bCs/>
                      <w:kern w:val="0"/>
                      <w:sz w:val="18"/>
                      <w:szCs w:val="18"/>
                      <w:highlight w:val="none"/>
                      <w:lang w:val="en-US" w:eastAsia="zh-CN"/>
                    </w:rPr>
                  </w:pPr>
                  <w:r>
                    <w:rPr>
                      <w:rFonts w:hint="eastAsia" w:cs="Times New Roman"/>
                      <w:bCs/>
                      <w:kern w:val="0"/>
                      <w:sz w:val="18"/>
                      <w:szCs w:val="18"/>
                      <w:highlight w:val="none"/>
                      <w:lang w:val="en-US" w:eastAsia="zh-CN"/>
                    </w:rPr>
                    <w:t xml:space="preserve">0.64 </w:t>
                  </w:r>
                </w:p>
              </w:tc>
              <w:tc>
                <w:tcPr>
                  <w:tcW w:w="383" w:type="pct"/>
                  <w:tcBorders>
                    <w:left w:val="single" w:color="auto" w:sz="4" w:space="0"/>
                    <w:right w:val="single" w:color="auto" w:sz="4" w:space="0"/>
                  </w:tcBorders>
                  <w:shd w:val="clear" w:color="auto" w:fill="auto"/>
                  <w:vAlign w:val="center"/>
                </w:tcPr>
                <w:p w14:paraId="55BFEC22">
                  <w:pPr>
                    <w:keepNext w:val="0"/>
                    <w:keepLines w:val="0"/>
                    <w:widowControl/>
                    <w:suppressLineNumbers w:val="0"/>
                    <w:spacing w:before="0" w:beforeAutospacing="0" w:after="0" w:afterAutospacing="0" w:line="280" w:lineRule="exact"/>
                    <w:ind w:left="0" w:right="0"/>
                    <w:jc w:val="center"/>
                    <w:textAlignment w:val="center"/>
                    <w:rPr>
                      <w:rFonts w:hint="eastAsia" w:ascii="Times New Roman" w:hAnsi="Times New Roman" w:eastAsia="宋体" w:cs="Times New Roman"/>
                      <w:b w:val="0"/>
                      <w:bCs w:val="0"/>
                      <w:kern w:val="2"/>
                      <w:sz w:val="18"/>
                      <w:szCs w:val="18"/>
                      <w:highlight w:val="none"/>
                      <w:lang w:val="en-US" w:eastAsia="zh-CN" w:bidi="ar"/>
                    </w:rPr>
                  </w:pPr>
                  <w:r>
                    <w:rPr>
                      <w:rFonts w:hint="eastAsia"/>
                      <w:snapToGrid w:val="0"/>
                      <w:sz w:val="18"/>
                      <w:szCs w:val="18"/>
                      <w:highlight w:val="none"/>
                      <w:lang w:val="en-US" w:eastAsia="zh-CN"/>
                    </w:rPr>
                    <w:t>活性炭吸附</w:t>
                  </w:r>
                </w:p>
              </w:tc>
              <w:tc>
                <w:tcPr>
                  <w:tcW w:w="240" w:type="pct"/>
                  <w:tcBorders>
                    <w:left w:val="single" w:color="auto" w:sz="4" w:space="0"/>
                    <w:right w:val="single" w:color="auto" w:sz="4" w:space="0"/>
                  </w:tcBorders>
                  <w:shd w:val="clear" w:color="auto" w:fill="auto"/>
                  <w:vAlign w:val="center"/>
                </w:tcPr>
                <w:p w14:paraId="21F1293F">
                  <w:pPr>
                    <w:keepNext w:val="0"/>
                    <w:keepLines w:val="0"/>
                    <w:widowControl/>
                    <w:suppressLineNumbers w:val="0"/>
                    <w:spacing w:before="0" w:beforeAutospacing="0" w:after="0" w:afterAutospacing="0" w:line="280" w:lineRule="exact"/>
                    <w:ind w:left="0" w:right="0"/>
                    <w:jc w:val="center"/>
                    <w:textAlignment w:val="center"/>
                    <w:rPr>
                      <w:rFonts w:hint="eastAsia" w:ascii="Times New Roman" w:hAnsi="Times New Roman" w:eastAsia="宋体" w:cs="Times New Roman"/>
                      <w:b w:val="0"/>
                      <w:bCs w:val="0"/>
                      <w:kern w:val="2"/>
                      <w:sz w:val="18"/>
                      <w:szCs w:val="18"/>
                      <w:highlight w:val="none"/>
                      <w:lang w:val="en-US" w:eastAsia="zh-CN" w:bidi="ar"/>
                    </w:rPr>
                  </w:pPr>
                  <w:r>
                    <w:rPr>
                      <w:rFonts w:hint="eastAsia"/>
                      <w:bCs/>
                      <w:kern w:val="0"/>
                      <w:sz w:val="18"/>
                      <w:szCs w:val="18"/>
                      <w:highlight w:val="none"/>
                      <w:lang w:val="en-US" w:eastAsia="zh-CN"/>
                    </w:rPr>
                    <w:t>/</w:t>
                  </w:r>
                </w:p>
              </w:tc>
              <w:tc>
                <w:tcPr>
                  <w:tcW w:w="317" w:type="pct"/>
                  <w:tcBorders>
                    <w:left w:val="single" w:color="auto" w:sz="4" w:space="0"/>
                    <w:right w:val="single" w:color="auto" w:sz="4" w:space="0"/>
                  </w:tcBorders>
                  <w:shd w:val="clear" w:color="auto" w:fill="auto"/>
                  <w:vAlign w:val="center"/>
                </w:tcPr>
                <w:p w14:paraId="2D330956">
                  <w:pPr>
                    <w:keepNext w:val="0"/>
                    <w:keepLines w:val="0"/>
                    <w:widowControl/>
                    <w:suppressLineNumbers w:val="0"/>
                    <w:spacing w:before="0" w:beforeAutospacing="0" w:after="0" w:afterAutospacing="0" w:line="280" w:lineRule="exact"/>
                    <w:ind w:left="0" w:right="0"/>
                    <w:jc w:val="center"/>
                    <w:textAlignment w:val="center"/>
                    <w:rPr>
                      <w:rFonts w:hint="eastAsia" w:ascii="Times New Roman" w:hAnsi="Times New Roman" w:eastAsia="宋体" w:cs="Times New Roman"/>
                      <w:b w:val="0"/>
                      <w:bCs w:val="0"/>
                      <w:kern w:val="2"/>
                      <w:sz w:val="18"/>
                      <w:szCs w:val="18"/>
                      <w:highlight w:val="none"/>
                      <w:lang w:val="en-US" w:eastAsia="zh-CN" w:bidi="ar"/>
                    </w:rPr>
                  </w:pPr>
                  <w:r>
                    <w:rPr>
                      <w:rFonts w:hint="eastAsia"/>
                      <w:sz w:val="18"/>
                      <w:szCs w:val="18"/>
                      <w:highlight w:val="none"/>
                      <w:lang w:val="en-US" w:eastAsia="zh-CN"/>
                    </w:rPr>
                    <w:t>8070</w:t>
                  </w:r>
                  <w:r>
                    <w:rPr>
                      <w:rFonts w:hint="eastAsia"/>
                      <w:sz w:val="18"/>
                      <w:szCs w:val="18"/>
                      <w:highlight w:val="none"/>
                    </w:rPr>
                    <w:t>0</w:t>
                  </w:r>
                </w:p>
              </w:tc>
              <w:tc>
                <w:tcPr>
                  <w:tcW w:w="380" w:type="pct"/>
                  <w:tcBorders>
                    <w:top w:val="single" w:color="auto" w:sz="4" w:space="0"/>
                    <w:left w:val="single" w:color="auto" w:sz="4" w:space="0"/>
                    <w:right w:val="single" w:color="auto" w:sz="4" w:space="0"/>
                  </w:tcBorders>
                  <w:shd w:val="clear" w:color="auto" w:fill="auto"/>
                  <w:vAlign w:val="center"/>
                </w:tcPr>
                <w:p w14:paraId="4B794DDA">
                  <w:pPr>
                    <w:keepNext w:val="0"/>
                    <w:keepLines w:val="0"/>
                    <w:widowControl/>
                    <w:suppressLineNumbers w:val="0"/>
                    <w:spacing w:before="0" w:beforeAutospacing="0" w:after="0" w:afterAutospacing="0"/>
                    <w:ind w:left="0" w:right="0"/>
                    <w:jc w:val="center"/>
                    <w:textAlignment w:val="center"/>
                    <w:rPr>
                      <w:rFonts w:hint="eastAsia" w:ascii="Times New Roman" w:hAnsi="Times New Roman" w:eastAsia="宋体" w:cs="Times New Roman"/>
                      <w:bCs/>
                      <w:kern w:val="0"/>
                      <w:sz w:val="18"/>
                      <w:szCs w:val="18"/>
                      <w:highlight w:val="none"/>
                      <w:lang w:val="en-US" w:eastAsia="zh-CN" w:bidi="ar-SA"/>
                    </w:rPr>
                  </w:pPr>
                  <w:r>
                    <w:rPr>
                      <w:rFonts w:hint="default" w:ascii="Times New Roman" w:hAnsi="Times New Roman" w:eastAsia="宋体" w:cs="Times New Roman"/>
                      <w:i w:val="0"/>
                      <w:iCs w:val="0"/>
                      <w:color w:val="000000"/>
                      <w:kern w:val="0"/>
                      <w:sz w:val="18"/>
                      <w:szCs w:val="18"/>
                      <w:highlight w:val="none"/>
                      <w:u w:val="none"/>
                      <w:lang w:val="en-US" w:eastAsia="zh-CN" w:bidi="ar"/>
                    </w:rPr>
                    <w:t>0.109</w:t>
                  </w:r>
                </w:p>
              </w:tc>
              <w:tc>
                <w:tcPr>
                  <w:tcW w:w="362" w:type="pct"/>
                  <w:tcBorders>
                    <w:top w:val="single" w:color="auto" w:sz="4" w:space="0"/>
                    <w:left w:val="single" w:color="auto" w:sz="4" w:space="0"/>
                    <w:right w:val="single" w:color="auto" w:sz="4" w:space="0"/>
                  </w:tcBorders>
                  <w:shd w:val="clear" w:color="auto" w:fill="auto"/>
                  <w:vAlign w:val="center"/>
                </w:tcPr>
                <w:p w14:paraId="0E6464BB">
                  <w:pPr>
                    <w:keepNext w:val="0"/>
                    <w:keepLines w:val="0"/>
                    <w:widowControl/>
                    <w:suppressLineNumbers w:val="0"/>
                    <w:spacing w:before="0" w:beforeAutospacing="0" w:after="0" w:afterAutospacing="0"/>
                    <w:ind w:left="0" w:right="0"/>
                    <w:jc w:val="center"/>
                    <w:textAlignment w:val="center"/>
                    <w:rPr>
                      <w:rFonts w:hint="eastAsia" w:ascii="Times New Roman" w:hAnsi="Times New Roman" w:eastAsia="宋体" w:cs="Times New Roman"/>
                      <w:bCs/>
                      <w:kern w:val="0"/>
                      <w:sz w:val="18"/>
                      <w:szCs w:val="18"/>
                      <w:highlight w:val="none"/>
                      <w:lang w:val="en-US" w:eastAsia="zh-CN" w:bidi="ar-SA"/>
                    </w:rPr>
                  </w:pPr>
                  <w:r>
                    <w:rPr>
                      <w:rFonts w:hint="default" w:ascii="Times New Roman" w:hAnsi="Times New Roman" w:eastAsia="宋体" w:cs="Times New Roman"/>
                      <w:i w:val="0"/>
                      <w:iCs w:val="0"/>
                      <w:color w:val="000000"/>
                      <w:kern w:val="0"/>
                      <w:sz w:val="18"/>
                      <w:szCs w:val="18"/>
                      <w:highlight w:val="none"/>
                      <w:u w:val="none"/>
                      <w:lang w:val="en-US" w:eastAsia="zh-CN" w:bidi="ar"/>
                    </w:rPr>
                    <w:t>0.052</w:t>
                  </w:r>
                </w:p>
              </w:tc>
              <w:tc>
                <w:tcPr>
                  <w:tcW w:w="340" w:type="pct"/>
                  <w:tcBorders>
                    <w:top w:val="single" w:color="auto" w:sz="4" w:space="0"/>
                    <w:left w:val="single" w:color="auto" w:sz="4" w:space="0"/>
                    <w:right w:val="single" w:color="auto" w:sz="4" w:space="0"/>
                  </w:tcBorders>
                  <w:shd w:val="clear" w:color="auto" w:fill="auto"/>
                  <w:vAlign w:val="center"/>
                </w:tcPr>
                <w:p w14:paraId="170BA550">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64" w:lineRule="auto"/>
                    <w:ind w:left="0" w:right="0"/>
                    <w:jc w:val="center"/>
                    <w:textAlignment w:val="auto"/>
                    <w:rPr>
                      <w:rFonts w:hint="eastAsia" w:ascii="Times New Roman" w:hAnsi="Times New Roman" w:eastAsia="宋体" w:cs="Times New Roman"/>
                      <w:bCs/>
                      <w:kern w:val="0"/>
                      <w:sz w:val="18"/>
                      <w:szCs w:val="18"/>
                      <w:highlight w:val="none"/>
                      <w:lang w:val="en-US" w:eastAsia="zh-CN" w:bidi="ar-SA"/>
                    </w:rPr>
                  </w:pPr>
                  <w:r>
                    <w:rPr>
                      <w:rFonts w:hint="eastAsia" w:cs="Times New Roman"/>
                      <w:bCs/>
                      <w:kern w:val="0"/>
                      <w:sz w:val="18"/>
                      <w:szCs w:val="18"/>
                      <w:highlight w:val="none"/>
                      <w:lang w:val="en-US" w:eastAsia="zh-CN"/>
                    </w:rPr>
                    <w:t>0.64</w:t>
                  </w:r>
                  <w:r>
                    <w:rPr>
                      <w:rFonts w:hint="eastAsia" w:ascii="Times New Roman" w:hAnsi="Times New Roman" w:eastAsia="宋体" w:cs="Times New Roman"/>
                      <w:bCs/>
                      <w:kern w:val="0"/>
                      <w:sz w:val="18"/>
                      <w:szCs w:val="18"/>
                      <w:highlight w:val="none"/>
                      <w:lang w:val="en-US" w:eastAsia="zh-CN"/>
                    </w:rPr>
                    <w:t xml:space="preserve"> </w:t>
                  </w:r>
                </w:p>
              </w:tc>
              <w:tc>
                <w:tcPr>
                  <w:tcW w:w="255" w:type="pct"/>
                  <w:vMerge w:val="restart"/>
                  <w:tcBorders>
                    <w:left w:val="single" w:color="auto" w:sz="4" w:space="0"/>
                    <w:right w:val="single" w:color="auto" w:sz="4" w:space="0"/>
                  </w:tcBorders>
                  <w:vAlign w:val="center"/>
                </w:tcPr>
                <w:p w14:paraId="01F790CE">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64" w:lineRule="auto"/>
                    <w:ind w:left="0" w:right="0"/>
                    <w:jc w:val="center"/>
                    <w:textAlignment w:val="auto"/>
                    <w:rPr>
                      <w:rFonts w:hint="default"/>
                      <w:bCs/>
                      <w:kern w:val="0"/>
                      <w:sz w:val="18"/>
                      <w:szCs w:val="18"/>
                      <w:highlight w:val="none"/>
                    </w:rPr>
                  </w:pPr>
                  <w:r>
                    <w:rPr>
                      <w:rFonts w:hint="eastAsia"/>
                      <w:bCs/>
                      <w:kern w:val="0"/>
                      <w:sz w:val="18"/>
                      <w:szCs w:val="18"/>
                      <w:highlight w:val="none"/>
                      <w:lang w:val="en-US" w:eastAsia="zh-CN"/>
                    </w:rPr>
                    <w:t>2080</w:t>
                  </w:r>
                </w:p>
              </w:tc>
            </w:tr>
            <w:tr w14:paraId="7DD7A1C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189" w:hRule="atLeast"/>
                <w:jc w:val="center"/>
              </w:trPr>
              <w:tc>
                <w:tcPr>
                  <w:tcW w:w="271" w:type="pct"/>
                  <w:vMerge w:val="continue"/>
                  <w:tcBorders>
                    <w:left w:val="single" w:color="auto" w:sz="4" w:space="0"/>
                    <w:right w:val="single" w:color="auto" w:sz="4" w:space="0"/>
                  </w:tcBorders>
                  <w:vAlign w:val="center"/>
                </w:tcPr>
                <w:p w14:paraId="1C8FCF77">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64" w:lineRule="auto"/>
                    <w:ind w:left="0" w:right="0"/>
                    <w:jc w:val="center"/>
                    <w:textAlignment w:val="auto"/>
                    <w:rPr>
                      <w:rFonts w:hint="eastAsia"/>
                      <w:bCs/>
                      <w:kern w:val="0"/>
                      <w:sz w:val="18"/>
                      <w:szCs w:val="18"/>
                      <w:highlight w:val="none"/>
                      <w:lang w:val="en-US" w:eastAsia="zh-CN"/>
                    </w:rPr>
                  </w:pPr>
                </w:p>
              </w:tc>
              <w:tc>
                <w:tcPr>
                  <w:tcW w:w="331" w:type="pct"/>
                  <w:vMerge w:val="continue"/>
                  <w:tcBorders>
                    <w:left w:val="single" w:color="auto" w:sz="4" w:space="0"/>
                    <w:right w:val="single" w:color="auto" w:sz="4" w:space="0"/>
                  </w:tcBorders>
                  <w:vAlign w:val="center"/>
                </w:tcPr>
                <w:p w14:paraId="56902047">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64" w:lineRule="auto"/>
                    <w:ind w:left="0" w:right="0"/>
                    <w:jc w:val="center"/>
                    <w:textAlignment w:val="auto"/>
                    <w:rPr>
                      <w:rFonts w:hint="eastAsia"/>
                      <w:bCs/>
                      <w:kern w:val="0"/>
                      <w:sz w:val="18"/>
                      <w:szCs w:val="18"/>
                      <w:highlight w:val="none"/>
                      <w:lang w:val="en-US" w:eastAsia="zh-CN"/>
                    </w:rPr>
                  </w:pPr>
                </w:p>
              </w:tc>
              <w:tc>
                <w:tcPr>
                  <w:tcW w:w="404" w:type="pct"/>
                  <w:vMerge w:val="continue"/>
                  <w:tcBorders>
                    <w:left w:val="single" w:color="auto" w:sz="4" w:space="0"/>
                    <w:right w:val="single" w:color="auto" w:sz="4" w:space="0"/>
                  </w:tcBorders>
                  <w:vAlign w:val="center"/>
                </w:tcPr>
                <w:p w14:paraId="5AB617A6">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64" w:lineRule="auto"/>
                    <w:ind w:left="0" w:right="0"/>
                    <w:jc w:val="center"/>
                    <w:textAlignment w:val="auto"/>
                    <w:rPr>
                      <w:rFonts w:hint="eastAsia"/>
                      <w:bCs/>
                      <w:kern w:val="0"/>
                      <w:sz w:val="18"/>
                      <w:szCs w:val="18"/>
                      <w:highlight w:val="none"/>
                      <w:lang w:val="en-US" w:eastAsia="zh-CN"/>
                    </w:rPr>
                  </w:pPr>
                </w:p>
              </w:tc>
              <w:tc>
                <w:tcPr>
                  <w:tcW w:w="593" w:type="pct"/>
                  <w:tcBorders>
                    <w:left w:val="single" w:color="auto" w:sz="4" w:space="0"/>
                    <w:bottom w:val="single" w:color="auto" w:sz="4" w:space="0"/>
                    <w:right w:val="single" w:color="auto" w:sz="4" w:space="0"/>
                  </w:tcBorders>
                  <w:shd w:val="clear" w:color="auto" w:fill="auto"/>
                  <w:vAlign w:val="center"/>
                </w:tcPr>
                <w:p w14:paraId="0FAE0BB9">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64" w:lineRule="auto"/>
                    <w:ind w:left="0" w:right="0"/>
                    <w:jc w:val="center"/>
                    <w:textAlignment w:val="auto"/>
                    <w:rPr>
                      <w:rFonts w:hint="eastAsia" w:ascii="Times New Roman" w:hAnsi="Times New Roman" w:eastAsia="宋体" w:cs="Times New Roman"/>
                      <w:bCs/>
                      <w:kern w:val="0"/>
                      <w:sz w:val="18"/>
                      <w:szCs w:val="18"/>
                      <w:highlight w:val="none"/>
                      <w:lang w:val="en-US" w:eastAsia="zh-CN" w:bidi="ar-SA"/>
                    </w:rPr>
                  </w:pPr>
                  <w:r>
                    <w:rPr>
                      <w:rFonts w:hint="eastAsia"/>
                      <w:bCs/>
                      <w:kern w:val="0"/>
                      <w:sz w:val="18"/>
                      <w:szCs w:val="18"/>
                      <w:highlight w:val="none"/>
                      <w:lang w:val="en-US" w:eastAsia="zh-CN"/>
                    </w:rPr>
                    <w:t>氯化氢</w:t>
                  </w:r>
                </w:p>
              </w:tc>
              <w:tc>
                <w:tcPr>
                  <w:tcW w:w="1119" w:type="pct"/>
                  <w:gridSpan w:val="3"/>
                  <w:tcBorders>
                    <w:top w:val="single" w:color="auto" w:sz="4" w:space="0"/>
                    <w:left w:val="single" w:color="auto" w:sz="4" w:space="0"/>
                    <w:bottom w:val="single" w:color="auto" w:sz="4" w:space="0"/>
                    <w:right w:val="single" w:color="auto" w:sz="4" w:space="0"/>
                  </w:tcBorders>
                  <w:vAlign w:val="center"/>
                </w:tcPr>
                <w:p w14:paraId="20CC3A45">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64" w:lineRule="auto"/>
                    <w:ind w:left="0" w:right="0"/>
                    <w:jc w:val="center"/>
                    <w:textAlignment w:val="auto"/>
                    <w:rPr>
                      <w:rFonts w:hint="eastAsia" w:cs="Times New Roman"/>
                      <w:bCs/>
                      <w:kern w:val="0"/>
                      <w:sz w:val="18"/>
                      <w:szCs w:val="18"/>
                      <w:highlight w:val="none"/>
                      <w:lang w:val="en-US" w:eastAsia="zh-CN"/>
                    </w:rPr>
                  </w:pPr>
                  <w:r>
                    <w:rPr>
                      <w:rFonts w:hint="eastAsia" w:cs="Times New Roman"/>
                      <w:bCs/>
                      <w:kern w:val="0"/>
                      <w:sz w:val="18"/>
                      <w:szCs w:val="18"/>
                      <w:highlight w:val="none"/>
                      <w:lang w:val="en-US" w:eastAsia="zh-CN"/>
                    </w:rPr>
                    <w:t>少量</w:t>
                  </w:r>
                </w:p>
              </w:tc>
              <w:tc>
                <w:tcPr>
                  <w:tcW w:w="383" w:type="pct"/>
                  <w:tcBorders>
                    <w:left w:val="single" w:color="auto" w:sz="4" w:space="0"/>
                    <w:right w:val="single" w:color="auto" w:sz="4" w:space="0"/>
                  </w:tcBorders>
                  <w:shd w:val="clear" w:color="auto" w:fill="auto"/>
                  <w:vAlign w:val="center"/>
                </w:tcPr>
                <w:p w14:paraId="4CB1C682">
                  <w:pPr>
                    <w:keepNext w:val="0"/>
                    <w:keepLines w:val="0"/>
                    <w:widowControl/>
                    <w:suppressLineNumbers w:val="0"/>
                    <w:spacing w:before="0" w:beforeAutospacing="0" w:after="0" w:afterAutospacing="0" w:line="280" w:lineRule="exact"/>
                    <w:ind w:left="0" w:right="0"/>
                    <w:jc w:val="center"/>
                    <w:textAlignment w:val="center"/>
                    <w:rPr>
                      <w:rFonts w:hint="eastAsia"/>
                      <w:snapToGrid w:val="0"/>
                      <w:sz w:val="18"/>
                      <w:szCs w:val="18"/>
                      <w:highlight w:val="none"/>
                      <w:lang w:val="en-US" w:eastAsia="zh-CN"/>
                    </w:rPr>
                  </w:pPr>
                  <w:r>
                    <w:rPr>
                      <w:rFonts w:hint="eastAsia"/>
                      <w:bCs/>
                      <w:kern w:val="0"/>
                      <w:sz w:val="18"/>
                      <w:szCs w:val="18"/>
                      <w:highlight w:val="none"/>
                      <w:lang w:val="en-US" w:eastAsia="zh-CN"/>
                    </w:rPr>
                    <w:t>/</w:t>
                  </w:r>
                </w:p>
              </w:tc>
              <w:tc>
                <w:tcPr>
                  <w:tcW w:w="240" w:type="pct"/>
                  <w:tcBorders>
                    <w:left w:val="single" w:color="auto" w:sz="4" w:space="0"/>
                    <w:right w:val="single" w:color="auto" w:sz="4" w:space="0"/>
                  </w:tcBorders>
                  <w:shd w:val="clear" w:color="auto" w:fill="auto"/>
                  <w:vAlign w:val="center"/>
                </w:tcPr>
                <w:p w14:paraId="436C98C3">
                  <w:pPr>
                    <w:keepNext w:val="0"/>
                    <w:keepLines w:val="0"/>
                    <w:widowControl/>
                    <w:suppressLineNumbers w:val="0"/>
                    <w:spacing w:before="0" w:beforeAutospacing="0" w:after="0" w:afterAutospacing="0" w:line="280" w:lineRule="exact"/>
                    <w:ind w:left="0" w:right="0"/>
                    <w:jc w:val="center"/>
                    <w:textAlignment w:val="center"/>
                    <w:rPr>
                      <w:rFonts w:hint="eastAsia"/>
                      <w:bCs/>
                      <w:kern w:val="0"/>
                      <w:sz w:val="18"/>
                      <w:szCs w:val="18"/>
                      <w:highlight w:val="none"/>
                      <w:lang w:val="en-US" w:eastAsia="zh-CN"/>
                    </w:rPr>
                  </w:pPr>
                  <w:r>
                    <w:rPr>
                      <w:rFonts w:hint="eastAsia"/>
                      <w:bCs/>
                      <w:kern w:val="0"/>
                      <w:sz w:val="18"/>
                      <w:szCs w:val="18"/>
                      <w:highlight w:val="none"/>
                      <w:lang w:val="en-US" w:eastAsia="zh-CN"/>
                    </w:rPr>
                    <w:t>/</w:t>
                  </w:r>
                </w:p>
              </w:tc>
              <w:tc>
                <w:tcPr>
                  <w:tcW w:w="317" w:type="pct"/>
                  <w:tcBorders>
                    <w:left w:val="single" w:color="auto" w:sz="4" w:space="0"/>
                    <w:right w:val="single" w:color="auto" w:sz="4" w:space="0"/>
                  </w:tcBorders>
                  <w:shd w:val="clear" w:color="auto" w:fill="auto"/>
                  <w:vAlign w:val="center"/>
                </w:tcPr>
                <w:p w14:paraId="16DAA239">
                  <w:pPr>
                    <w:keepNext w:val="0"/>
                    <w:keepLines w:val="0"/>
                    <w:widowControl/>
                    <w:suppressLineNumbers w:val="0"/>
                    <w:spacing w:before="0" w:beforeAutospacing="0" w:after="0" w:afterAutospacing="0" w:line="280" w:lineRule="exact"/>
                    <w:ind w:left="0" w:right="0"/>
                    <w:jc w:val="center"/>
                    <w:textAlignment w:val="center"/>
                    <w:rPr>
                      <w:rFonts w:hint="eastAsia"/>
                      <w:sz w:val="18"/>
                      <w:szCs w:val="18"/>
                      <w:highlight w:val="none"/>
                      <w:lang w:val="en-US" w:eastAsia="zh-CN"/>
                    </w:rPr>
                  </w:pPr>
                  <w:r>
                    <w:rPr>
                      <w:rFonts w:hint="eastAsia"/>
                      <w:bCs/>
                      <w:kern w:val="0"/>
                      <w:sz w:val="18"/>
                      <w:szCs w:val="18"/>
                      <w:highlight w:val="none"/>
                      <w:lang w:val="en-US" w:eastAsia="zh-CN"/>
                    </w:rPr>
                    <w:t>/</w:t>
                  </w:r>
                </w:p>
              </w:tc>
              <w:tc>
                <w:tcPr>
                  <w:tcW w:w="1083" w:type="pct"/>
                  <w:gridSpan w:val="3"/>
                  <w:tcBorders>
                    <w:top w:val="single" w:color="auto" w:sz="4" w:space="0"/>
                    <w:left w:val="single" w:color="auto" w:sz="4" w:space="0"/>
                    <w:right w:val="single" w:color="auto" w:sz="4" w:space="0"/>
                  </w:tcBorders>
                  <w:shd w:val="clear" w:color="auto" w:fill="auto"/>
                  <w:vAlign w:val="center"/>
                </w:tcPr>
                <w:p w14:paraId="5FFEF30E">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64" w:lineRule="auto"/>
                    <w:ind w:left="0" w:right="0"/>
                    <w:jc w:val="center"/>
                    <w:textAlignment w:val="auto"/>
                    <w:rPr>
                      <w:rFonts w:hint="eastAsia" w:ascii="Times New Roman" w:hAnsi="Times New Roman" w:eastAsia="宋体" w:cs="Times New Roman"/>
                      <w:bCs/>
                      <w:kern w:val="0"/>
                      <w:sz w:val="18"/>
                      <w:szCs w:val="18"/>
                      <w:highlight w:val="none"/>
                      <w:lang w:val="en-US" w:eastAsia="zh-CN"/>
                    </w:rPr>
                  </w:pPr>
                  <w:r>
                    <w:rPr>
                      <w:rFonts w:hint="eastAsia" w:cs="Times New Roman"/>
                      <w:bCs/>
                      <w:kern w:val="0"/>
                      <w:sz w:val="18"/>
                      <w:szCs w:val="18"/>
                      <w:highlight w:val="none"/>
                      <w:lang w:val="en-US" w:eastAsia="zh-CN"/>
                    </w:rPr>
                    <w:t>少量</w:t>
                  </w:r>
                </w:p>
              </w:tc>
              <w:tc>
                <w:tcPr>
                  <w:tcW w:w="255" w:type="pct"/>
                  <w:vMerge w:val="continue"/>
                  <w:tcBorders>
                    <w:left w:val="single" w:color="auto" w:sz="4" w:space="0"/>
                    <w:right w:val="single" w:color="auto" w:sz="4" w:space="0"/>
                  </w:tcBorders>
                  <w:vAlign w:val="center"/>
                </w:tcPr>
                <w:p w14:paraId="0977C091">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64" w:lineRule="auto"/>
                    <w:ind w:left="0" w:right="0"/>
                    <w:jc w:val="center"/>
                    <w:textAlignment w:val="auto"/>
                    <w:rPr>
                      <w:rFonts w:hint="eastAsia"/>
                      <w:bCs/>
                      <w:kern w:val="0"/>
                      <w:sz w:val="18"/>
                      <w:szCs w:val="18"/>
                      <w:highlight w:val="none"/>
                      <w:lang w:val="en-US" w:eastAsia="zh-CN"/>
                    </w:rPr>
                  </w:pPr>
                </w:p>
              </w:tc>
            </w:tr>
            <w:tr w14:paraId="67468DE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189" w:hRule="atLeast"/>
                <w:jc w:val="center"/>
              </w:trPr>
              <w:tc>
                <w:tcPr>
                  <w:tcW w:w="271" w:type="pct"/>
                  <w:vMerge w:val="continue"/>
                  <w:tcBorders>
                    <w:left w:val="single" w:color="auto" w:sz="4" w:space="0"/>
                    <w:right w:val="single" w:color="auto" w:sz="4" w:space="0"/>
                  </w:tcBorders>
                  <w:vAlign w:val="center"/>
                </w:tcPr>
                <w:p w14:paraId="6428CE65">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64" w:lineRule="auto"/>
                    <w:ind w:left="0" w:right="0"/>
                    <w:jc w:val="center"/>
                    <w:textAlignment w:val="auto"/>
                    <w:rPr>
                      <w:rFonts w:hint="eastAsia"/>
                      <w:bCs/>
                      <w:kern w:val="0"/>
                      <w:sz w:val="18"/>
                      <w:szCs w:val="18"/>
                      <w:highlight w:val="none"/>
                      <w:lang w:val="en-US" w:eastAsia="zh-CN"/>
                    </w:rPr>
                  </w:pPr>
                </w:p>
              </w:tc>
              <w:tc>
                <w:tcPr>
                  <w:tcW w:w="331" w:type="pct"/>
                  <w:vMerge w:val="continue"/>
                  <w:tcBorders>
                    <w:left w:val="single" w:color="auto" w:sz="4" w:space="0"/>
                    <w:right w:val="single" w:color="auto" w:sz="4" w:space="0"/>
                  </w:tcBorders>
                  <w:vAlign w:val="center"/>
                </w:tcPr>
                <w:p w14:paraId="347385F4">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64" w:lineRule="auto"/>
                    <w:ind w:left="0" w:right="0"/>
                    <w:jc w:val="center"/>
                    <w:textAlignment w:val="auto"/>
                    <w:rPr>
                      <w:rFonts w:hint="eastAsia"/>
                      <w:bCs/>
                      <w:kern w:val="0"/>
                      <w:sz w:val="18"/>
                      <w:szCs w:val="18"/>
                      <w:highlight w:val="none"/>
                      <w:lang w:val="en-US" w:eastAsia="zh-CN"/>
                    </w:rPr>
                  </w:pPr>
                </w:p>
              </w:tc>
              <w:tc>
                <w:tcPr>
                  <w:tcW w:w="404" w:type="pct"/>
                  <w:vMerge w:val="continue"/>
                  <w:tcBorders>
                    <w:left w:val="single" w:color="auto" w:sz="4" w:space="0"/>
                    <w:right w:val="single" w:color="auto" w:sz="4" w:space="0"/>
                  </w:tcBorders>
                  <w:vAlign w:val="center"/>
                </w:tcPr>
                <w:p w14:paraId="0C8EBA1E">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64" w:lineRule="auto"/>
                    <w:ind w:left="0" w:right="0"/>
                    <w:jc w:val="center"/>
                    <w:textAlignment w:val="auto"/>
                    <w:rPr>
                      <w:rFonts w:hint="eastAsia"/>
                      <w:bCs/>
                      <w:kern w:val="0"/>
                      <w:sz w:val="18"/>
                      <w:szCs w:val="18"/>
                      <w:highlight w:val="none"/>
                      <w:lang w:val="en-US" w:eastAsia="zh-CN"/>
                    </w:rPr>
                  </w:pPr>
                </w:p>
              </w:tc>
              <w:tc>
                <w:tcPr>
                  <w:tcW w:w="593" w:type="pct"/>
                  <w:tcBorders>
                    <w:left w:val="single" w:color="auto" w:sz="4" w:space="0"/>
                    <w:bottom w:val="single" w:color="auto" w:sz="4" w:space="0"/>
                    <w:right w:val="single" w:color="auto" w:sz="4" w:space="0"/>
                  </w:tcBorders>
                  <w:shd w:val="clear" w:color="auto" w:fill="auto"/>
                  <w:vAlign w:val="center"/>
                </w:tcPr>
                <w:p w14:paraId="6A401BFA">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64" w:lineRule="auto"/>
                    <w:ind w:left="0" w:right="0"/>
                    <w:jc w:val="center"/>
                    <w:textAlignment w:val="auto"/>
                    <w:rPr>
                      <w:rFonts w:hint="eastAsia" w:ascii="Times New Roman" w:hAnsi="Times New Roman" w:eastAsia="宋体" w:cs="Times New Roman"/>
                      <w:bCs/>
                      <w:kern w:val="0"/>
                      <w:sz w:val="18"/>
                      <w:szCs w:val="18"/>
                      <w:highlight w:val="none"/>
                      <w:lang w:val="en-US" w:eastAsia="zh-CN" w:bidi="ar-SA"/>
                    </w:rPr>
                  </w:pPr>
                  <w:r>
                    <w:rPr>
                      <w:rFonts w:hint="eastAsia"/>
                      <w:bCs/>
                      <w:kern w:val="0"/>
                      <w:sz w:val="18"/>
                      <w:szCs w:val="18"/>
                      <w:highlight w:val="none"/>
                      <w:lang w:val="en-US" w:eastAsia="zh-CN"/>
                    </w:rPr>
                    <w:t>硫酸雾</w:t>
                  </w:r>
                </w:p>
              </w:tc>
              <w:tc>
                <w:tcPr>
                  <w:tcW w:w="1119" w:type="pct"/>
                  <w:gridSpan w:val="3"/>
                  <w:tcBorders>
                    <w:top w:val="single" w:color="auto" w:sz="4" w:space="0"/>
                    <w:left w:val="single" w:color="auto" w:sz="4" w:space="0"/>
                    <w:bottom w:val="single" w:color="auto" w:sz="4" w:space="0"/>
                    <w:right w:val="single" w:color="auto" w:sz="4" w:space="0"/>
                  </w:tcBorders>
                  <w:vAlign w:val="center"/>
                </w:tcPr>
                <w:p w14:paraId="54E28702">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64" w:lineRule="auto"/>
                    <w:ind w:left="0" w:right="0"/>
                    <w:jc w:val="center"/>
                    <w:textAlignment w:val="auto"/>
                    <w:rPr>
                      <w:rFonts w:hint="eastAsia" w:cs="Times New Roman"/>
                      <w:bCs/>
                      <w:kern w:val="0"/>
                      <w:sz w:val="18"/>
                      <w:szCs w:val="18"/>
                      <w:highlight w:val="none"/>
                      <w:lang w:val="en-US" w:eastAsia="zh-CN"/>
                    </w:rPr>
                  </w:pPr>
                  <w:r>
                    <w:rPr>
                      <w:rFonts w:hint="eastAsia" w:cs="Times New Roman"/>
                      <w:bCs/>
                      <w:kern w:val="0"/>
                      <w:sz w:val="18"/>
                      <w:szCs w:val="18"/>
                      <w:highlight w:val="none"/>
                      <w:lang w:val="en-US" w:eastAsia="zh-CN"/>
                    </w:rPr>
                    <w:t>少量</w:t>
                  </w:r>
                </w:p>
              </w:tc>
              <w:tc>
                <w:tcPr>
                  <w:tcW w:w="383" w:type="pct"/>
                  <w:tcBorders>
                    <w:left w:val="single" w:color="auto" w:sz="4" w:space="0"/>
                    <w:right w:val="single" w:color="auto" w:sz="4" w:space="0"/>
                  </w:tcBorders>
                  <w:shd w:val="clear" w:color="auto" w:fill="auto"/>
                  <w:vAlign w:val="center"/>
                </w:tcPr>
                <w:p w14:paraId="76329425">
                  <w:pPr>
                    <w:keepNext w:val="0"/>
                    <w:keepLines w:val="0"/>
                    <w:widowControl/>
                    <w:suppressLineNumbers w:val="0"/>
                    <w:spacing w:before="0" w:beforeAutospacing="0" w:after="0" w:afterAutospacing="0" w:line="280" w:lineRule="exact"/>
                    <w:ind w:left="0" w:right="0"/>
                    <w:jc w:val="center"/>
                    <w:textAlignment w:val="center"/>
                    <w:rPr>
                      <w:rFonts w:hint="eastAsia"/>
                      <w:snapToGrid w:val="0"/>
                      <w:sz w:val="18"/>
                      <w:szCs w:val="18"/>
                      <w:highlight w:val="none"/>
                      <w:lang w:val="en-US" w:eastAsia="zh-CN"/>
                    </w:rPr>
                  </w:pPr>
                  <w:r>
                    <w:rPr>
                      <w:rFonts w:hint="eastAsia"/>
                      <w:bCs/>
                      <w:kern w:val="0"/>
                      <w:sz w:val="18"/>
                      <w:szCs w:val="18"/>
                      <w:highlight w:val="none"/>
                      <w:lang w:val="en-US" w:eastAsia="zh-CN"/>
                    </w:rPr>
                    <w:t>/</w:t>
                  </w:r>
                </w:p>
              </w:tc>
              <w:tc>
                <w:tcPr>
                  <w:tcW w:w="240" w:type="pct"/>
                  <w:tcBorders>
                    <w:left w:val="single" w:color="auto" w:sz="4" w:space="0"/>
                    <w:right w:val="single" w:color="auto" w:sz="4" w:space="0"/>
                  </w:tcBorders>
                  <w:shd w:val="clear" w:color="auto" w:fill="auto"/>
                  <w:vAlign w:val="center"/>
                </w:tcPr>
                <w:p w14:paraId="632503AB">
                  <w:pPr>
                    <w:keepNext w:val="0"/>
                    <w:keepLines w:val="0"/>
                    <w:widowControl/>
                    <w:suppressLineNumbers w:val="0"/>
                    <w:spacing w:before="0" w:beforeAutospacing="0" w:after="0" w:afterAutospacing="0" w:line="280" w:lineRule="exact"/>
                    <w:ind w:left="0" w:right="0"/>
                    <w:jc w:val="center"/>
                    <w:textAlignment w:val="center"/>
                    <w:rPr>
                      <w:rFonts w:hint="eastAsia"/>
                      <w:bCs/>
                      <w:kern w:val="0"/>
                      <w:sz w:val="18"/>
                      <w:szCs w:val="18"/>
                      <w:highlight w:val="none"/>
                      <w:lang w:val="en-US" w:eastAsia="zh-CN"/>
                    </w:rPr>
                  </w:pPr>
                  <w:r>
                    <w:rPr>
                      <w:rFonts w:hint="eastAsia"/>
                      <w:bCs/>
                      <w:kern w:val="0"/>
                      <w:sz w:val="18"/>
                      <w:szCs w:val="18"/>
                      <w:highlight w:val="none"/>
                      <w:lang w:val="en-US" w:eastAsia="zh-CN"/>
                    </w:rPr>
                    <w:t>/</w:t>
                  </w:r>
                </w:p>
              </w:tc>
              <w:tc>
                <w:tcPr>
                  <w:tcW w:w="317" w:type="pct"/>
                  <w:tcBorders>
                    <w:left w:val="single" w:color="auto" w:sz="4" w:space="0"/>
                    <w:right w:val="single" w:color="auto" w:sz="4" w:space="0"/>
                  </w:tcBorders>
                  <w:shd w:val="clear" w:color="auto" w:fill="auto"/>
                  <w:vAlign w:val="center"/>
                </w:tcPr>
                <w:p w14:paraId="4461D215">
                  <w:pPr>
                    <w:keepNext w:val="0"/>
                    <w:keepLines w:val="0"/>
                    <w:widowControl/>
                    <w:suppressLineNumbers w:val="0"/>
                    <w:spacing w:before="0" w:beforeAutospacing="0" w:after="0" w:afterAutospacing="0" w:line="280" w:lineRule="exact"/>
                    <w:ind w:left="0" w:right="0"/>
                    <w:jc w:val="center"/>
                    <w:textAlignment w:val="center"/>
                    <w:rPr>
                      <w:rFonts w:hint="eastAsia"/>
                      <w:sz w:val="18"/>
                      <w:szCs w:val="18"/>
                      <w:highlight w:val="none"/>
                      <w:lang w:val="en-US" w:eastAsia="zh-CN"/>
                    </w:rPr>
                  </w:pPr>
                  <w:r>
                    <w:rPr>
                      <w:rFonts w:hint="eastAsia"/>
                      <w:bCs/>
                      <w:kern w:val="0"/>
                      <w:sz w:val="18"/>
                      <w:szCs w:val="18"/>
                      <w:highlight w:val="none"/>
                      <w:lang w:val="en-US" w:eastAsia="zh-CN"/>
                    </w:rPr>
                    <w:t>/</w:t>
                  </w:r>
                </w:p>
              </w:tc>
              <w:tc>
                <w:tcPr>
                  <w:tcW w:w="1083" w:type="pct"/>
                  <w:gridSpan w:val="3"/>
                  <w:tcBorders>
                    <w:top w:val="single" w:color="auto" w:sz="4" w:space="0"/>
                    <w:left w:val="single" w:color="auto" w:sz="4" w:space="0"/>
                    <w:right w:val="single" w:color="auto" w:sz="4" w:space="0"/>
                  </w:tcBorders>
                  <w:shd w:val="clear" w:color="auto" w:fill="auto"/>
                  <w:vAlign w:val="center"/>
                </w:tcPr>
                <w:p w14:paraId="30E4DA42">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64" w:lineRule="auto"/>
                    <w:ind w:left="0" w:right="0"/>
                    <w:jc w:val="center"/>
                    <w:textAlignment w:val="auto"/>
                    <w:rPr>
                      <w:rFonts w:hint="eastAsia" w:ascii="Times New Roman" w:hAnsi="Times New Roman" w:eastAsia="宋体" w:cs="Times New Roman"/>
                      <w:bCs/>
                      <w:kern w:val="0"/>
                      <w:sz w:val="18"/>
                      <w:szCs w:val="18"/>
                      <w:highlight w:val="none"/>
                      <w:lang w:val="en-US" w:eastAsia="zh-CN"/>
                    </w:rPr>
                  </w:pPr>
                  <w:r>
                    <w:rPr>
                      <w:rFonts w:hint="eastAsia" w:cs="Times New Roman"/>
                      <w:bCs/>
                      <w:kern w:val="0"/>
                      <w:sz w:val="18"/>
                      <w:szCs w:val="18"/>
                      <w:highlight w:val="none"/>
                      <w:lang w:val="en-US" w:eastAsia="zh-CN"/>
                    </w:rPr>
                    <w:t>少量</w:t>
                  </w:r>
                </w:p>
              </w:tc>
              <w:tc>
                <w:tcPr>
                  <w:tcW w:w="255" w:type="pct"/>
                  <w:vMerge w:val="continue"/>
                  <w:tcBorders>
                    <w:left w:val="single" w:color="auto" w:sz="4" w:space="0"/>
                    <w:right w:val="single" w:color="auto" w:sz="4" w:space="0"/>
                  </w:tcBorders>
                  <w:vAlign w:val="center"/>
                </w:tcPr>
                <w:p w14:paraId="6F908E9F">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64" w:lineRule="auto"/>
                    <w:ind w:left="0" w:right="0"/>
                    <w:jc w:val="center"/>
                    <w:textAlignment w:val="auto"/>
                    <w:rPr>
                      <w:rFonts w:hint="eastAsia"/>
                      <w:bCs/>
                      <w:kern w:val="0"/>
                      <w:sz w:val="18"/>
                      <w:szCs w:val="18"/>
                      <w:highlight w:val="none"/>
                      <w:lang w:val="en-US" w:eastAsia="zh-CN"/>
                    </w:rPr>
                  </w:pPr>
                </w:p>
              </w:tc>
            </w:tr>
            <w:tr w14:paraId="0062B52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189" w:hRule="atLeast"/>
                <w:jc w:val="center"/>
              </w:trPr>
              <w:tc>
                <w:tcPr>
                  <w:tcW w:w="271" w:type="pct"/>
                  <w:vMerge w:val="restart"/>
                  <w:tcBorders>
                    <w:left w:val="single" w:color="auto" w:sz="4" w:space="0"/>
                    <w:right w:val="single" w:color="auto" w:sz="4" w:space="0"/>
                  </w:tcBorders>
                  <w:vAlign w:val="center"/>
                </w:tcPr>
                <w:p w14:paraId="28777F93">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64" w:lineRule="auto"/>
                    <w:ind w:left="0" w:right="0"/>
                    <w:jc w:val="center"/>
                    <w:textAlignment w:val="auto"/>
                    <w:rPr>
                      <w:rFonts w:hint="default"/>
                      <w:bCs/>
                      <w:kern w:val="0"/>
                      <w:sz w:val="18"/>
                      <w:szCs w:val="18"/>
                      <w:highlight w:val="none"/>
                      <w:lang w:val="en-US"/>
                    </w:rPr>
                  </w:pPr>
                  <w:r>
                    <w:rPr>
                      <w:rFonts w:hint="eastAsia"/>
                      <w:bCs/>
                      <w:kern w:val="0"/>
                      <w:sz w:val="18"/>
                      <w:szCs w:val="18"/>
                      <w:highlight w:val="none"/>
                      <w:lang w:val="en-US" w:eastAsia="zh-CN"/>
                    </w:rPr>
                    <w:t>DA015</w:t>
                  </w:r>
                </w:p>
              </w:tc>
              <w:tc>
                <w:tcPr>
                  <w:tcW w:w="331" w:type="pct"/>
                  <w:vMerge w:val="restart"/>
                  <w:tcBorders>
                    <w:left w:val="single" w:color="auto" w:sz="4" w:space="0"/>
                    <w:right w:val="single" w:color="auto" w:sz="4" w:space="0"/>
                  </w:tcBorders>
                  <w:vAlign w:val="center"/>
                </w:tcPr>
                <w:p w14:paraId="66E2926D">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64" w:lineRule="auto"/>
                    <w:ind w:left="0" w:right="0"/>
                    <w:jc w:val="center"/>
                    <w:textAlignment w:val="auto"/>
                    <w:rPr>
                      <w:rFonts w:hint="default"/>
                      <w:bCs/>
                      <w:kern w:val="0"/>
                      <w:sz w:val="18"/>
                      <w:szCs w:val="18"/>
                      <w:highlight w:val="none"/>
                    </w:rPr>
                  </w:pPr>
                  <w:r>
                    <w:rPr>
                      <w:rFonts w:hint="eastAsia"/>
                      <w:bCs/>
                      <w:kern w:val="0"/>
                      <w:sz w:val="18"/>
                      <w:szCs w:val="18"/>
                      <w:highlight w:val="none"/>
                      <w:lang w:val="en-US" w:eastAsia="zh-CN"/>
                    </w:rPr>
                    <w:t>15#排气筒</w:t>
                  </w:r>
                </w:p>
              </w:tc>
              <w:tc>
                <w:tcPr>
                  <w:tcW w:w="404" w:type="pct"/>
                  <w:vMerge w:val="restart"/>
                  <w:tcBorders>
                    <w:left w:val="single" w:color="auto" w:sz="4" w:space="0"/>
                    <w:right w:val="single" w:color="auto" w:sz="4" w:space="0"/>
                  </w:tcBorders>
                  <w:vAlign w:val="center"/>
                </w:tcPr>
                <w:p w14:paraId="5D640D5A">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64" w:lineRule="auto"/>
                    <w:ind w:left="0" w:right="0"/>
                    <w:jc w:val="center"/>
                    <w:textAlignment w:val="auto"/>
                    <w:rPr>
                      <w:rFonts w:hint="default"/>
                      <w:bCs/>
                      <w:kern w:val="0"/>
                      <w:sz w:val="18"/>
                      <w:szCs w:val="18"/>
                      <w:highlight w:val="none"/>
                    </w:rPr>
                  </w:pPr>
                  <w:r>
                    <w:rPr>
                      <w:rFonts w:hint="eastAsia"/>
                      <w:bCs/>
                      <w:kern w:val="0"/>
                      <w:sz w:val="18"/>
                      <w:szCs w:val="18"/>
                      <w:highlight w:val="none"/>
                      <w:lang w:val="en-US" w:eastAsia="zh-CN"/>
                    </w:rPr>
                    <w:t>实验室废气</w:t>
                  </w:r>
                </w:p>
              </w:tc>
              <w:tc>
                <w:tcPr>
                  <w:tcW w:w="593" w:type="pct"/>
                  <w:tcBorders>
                    <w:left w:val="single" w:color="auto" w:sz="4" w:space="0"/>
                    <w:bottom w:val="single" w:color="auto" w:sz="4" w:space="0"/>
                    <w:right w:val="single" w:color="auto" w:sz="4" w:space="0"/>
                  </w:tcBorders>
                  <w:shd w:val="clear" w:color="auto" w:fill="auto"/>
                  <w:vAlign w:val="center"/>
                </w:tcPr>
                <w:p w14:paraId="7C221D9F">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64" w:lineRule="auto"/>
                    <w:ind w:left="0" w:right="0"/>
                    <w:jc w:val="center"/>
                    <w:textAlignment w:val="auto"/>
                    <w:rPr>
                      <w:rFonts w:hint="default"/>
                      <w:bCs/>
                      <w:kern w:val="0"/>
                      <w:sz w:val="18"/>
                      <w:szCs w:val="18"/>
                      <w:highlight w:val="none"/>
                    </w:rPr>
                  </w:pPr>
                  <w:r>
                    <w:rPr>
                      <w:rFonts w:hint="eastAsia"/>
                      <w:bCs/>
                      <w:kern w:val="0"/>
                      <w:sz w:val="18"/>
                      <w:szCs w:val="18"/>
                      <w:highlight w:val="none"/>
                      <w:lang w:val="en-US" w:eastAsia="zh-CN"/>
                    </w:rPr>
                    <w:t>非甲烷总烃</w:t>
                  </w:r>
                </w:p>
              </w:tc>
              <w:tc>
                <w:tcPr>
                  <w:tcW w:w="357" w:type="pct"/>
                  <w:tcBorders>
                    <w:top w:val="single" w:color="auto" w:sz="4" w:space="0"/>
                    <w:left w:val="single" w:color="auto" w:sz="4" w:space="0"/>
                    <w:bottom w:val="single" w:color="auto" w:sz="4" w:space="0"/>
                    <w:right w:val="single" w:color="auto" w:sz="4" w:space="0"/>
                  </w:tcBorders>
                  <w:vAlign w:val="center"/>
                </w:tcPr>
                <w:p w14:paraId="1B8006F4">
                  <w:pPr>
                    <w:keepNext w:val="0"/>
                    <w:keepLines w:val="0"/>
                    <w:widowControl/>
                    <w:suppressLineNumbers w:val="0"/>
                    <w:spacing w:before="0" w:beforeAutospacing="0" w:after="0" w:afterAutospacing="0"/>
                    <w:ind w:left="0" w:right="0"/>
                    <w:jc w:val="center"/>
                    <w:textAlignment w:val="center"/>
                    <w:rPr>
                      <w:rFonts w:hint="eastAsia"/>
                      <w:bCs/>
                      <w:kern w:val="0"/>
                      <w:sz w:val="18"/>
                      <w:szCs w:val="18"/>
                      <w:highlight w:val="none"/>
                      <w:lang w:val="en-US" w:eastAsia="zh-CN"/>
                    </w:rPr>
                  </w:pPr>
                  <w:r>
                    <w:rPr>
                      <w:rFonts w:hint="default" w:ascii="Times New Roman" w:hAnsi="Times New Roman" w:eastAsia="宋体" w:cs="Times New Roman"/>
                      <w:i w:val="0"/>
                      <w:iCs w:val="0"/>
                      <w:color w:val="000000"/>
                      <w:kern w:val="0"/>
                      <w:sz w:val="18"/>
                      <w:szCs w:val="18"/>
                      <w:highlight w:val="none"/>
                      <w:u w:val="none"/>
                      <w:lang w:val="en-US" w:eastAsia="zh-CN" w:bidi="ar"/>
                    </w:rPr>
                    <w:t>0.13</w:t>
                  </w:r>
                </w:p>
              </w:tc>
              <w:tc>
                <w:tcPr>
                  <w:tcW w:w="357" w:type="pct"/>
                  <w:tcBorders>
                    <w:top w:val="single" w:color="auto" w:sz="4" w:space="0"/>
                    <w:left w:val="single" w:color="auto" w:sz="4" w:space="0"/>
                    <w:bottom w:val="single" w:color="auto" w:sz="4" w:space="0"/>
                    <w:right w:val="single" w:color="auto" w:sz="4" w:space="0"/>
                  </w:tcBorders>
                  <w:vAlign w:val="center"/>
                </w:tcPr>
                <w:p w14:paraId="53A76999">
                  <w:pPr>
                    <w:keepNext w:val="0"/>
                    <w:keepLines w:val="0"/>
                    <w:widowControl/>
                    <w:suppressLineNumbers w:val="0"/>
                    <w:spacing w:before="0" w:beforeAutospacing="0" w:after="0" w:afterAutospacing="0"/>
                    <w:ind w:left="0" w:right="0"/>
                    <w:jc w:val="center"/>
                    <w:textAlignment w:val="center"/>
                    <w:rPr>
                      <w:rFonts w:hint="eastAsia"/>
                      <w:bCs/>
                      <w:kern w:val="0"/>
                      <w:sz w:val="18"/>
                      <w:szCs w:val="18"/>
                      <w:highlight w:val="none"/>
                      <w:lang w:val="en-US" w:eastAsia="zh-CN"/>
                    </w:rPr>
                  </w:pPr>
                  <w:r>
                    <w:rPr>
                      <w:rFonts w:hint="default" w:ascii="Times New Roman" w:hAnsi="Times New Roman" w:eastAsia="宋体" w:cs="Times New Roman"/>
                      <w:i w:val="0"/>
                      <w:iCs w:val="0"/>
                      <w:color w:val="000000"/>
                      <w:kern w:val="0"/>
                      <w:sz w:val="18"/>
                      <w:szCs w:val="18"/>
                      <w:highlight w:val="none"/>
                      <w:u w:val="none"/>
                      <w:lang w:val="en-US" w:eastAsia="zh-CN" w:bidi="ar"/>
                    </w:rPr>
                    <w:t>0.063</w:t>
                  </w:r>
                </w:p>
              </w:tc>
              <w:tc>
                <w:tcPr>
                  <w:tcW w:w="404" w:type="pct"/>
                  <w:tcBorders>
                    <w:top w:val="single" w:color="auto" w:sz="4" w:space="0"/>
                    <w:left w:val="single" w:color="auto" w:sz="4" w:space="0"/>
                    <w:right w:val="single" w:color="auto" w:sz="4" w:space="0"/>
                  </w:tcBorders>
                  <w:shd w:val="clear" w:color="auto" w:fill="auto"/>
                  <w:vAlign w:val="center"/>
                </w:tcPr>
                <w:p w14:paraId="2416A7DE">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64" w:lineRule="auto"/>
                    <w:ind w:left="0" w:right="0"/>
                    <w:jc w:val="center"/>
                    <w:textAlignment w:val="auto"/>
                    <w:rPr>
                      <w:rFonts w:hint="eastAsia" w:cs="Times New Roman"/>
                      <w:bCs/>
                      <w:kern w:val="0"/>
                      <w:sz w:val="18"/>
                      <w:szCs w:val="18"/>
                      <w:highlight w:val="none"/>
                      <w:lang w:val="en-US" w:eastAsia="zh-CN"/>
                    </w:rPr>
                  </w:pPr>
                  <w:r>
                    <w:rPr>
                      <w:rFonts w:hint="eastAsia" w:cs="Times New Roman"/>
                      <w:bCs/>
                      <w:kern w:val="0"/>
                      <w:sz w:val="18"/>
                      <w:szCs w:val="18"/>
                      <w:highlight w:val="none"/>
                      <w:lang w:val="en-US" w:eastAsia="zh-CN"/>
                    </w:rPr>
                    <w:t xml:space="preserve">0.71 </w:t>
                  </w:r>
                </w:p>
              </w:tc>
              <w:tc>
                <w:tcPr>
                  <w:tcW w:w="383" w:type="pct"/>
                  <w:tcBorders>
                    <w:left w:val="single" w:color="auto" w:sz="4" w:space="0"/>
                    <w:right w:val="single" w:color="auto" w:sz="4" w:space="0"/>
                  </w:tcBorders>
                  <w:shd w:val="clear" w:color="auto" w:fill="auto"/>
                  <w:vAlign w:val="center"/>
                </w:tcPr>
                <w:p w14:paraId="24F2F329">
                  <w:pPr>
                    <w:keepNext w:val="0"/>
                    <w:keepLines w:val="0"/>
                    <w:widowControl/>
                    <w:suppressLineNumbers w:val="0"/>
                    <w:spacing w:before="0" w:beforeAutospacing="0" w:after="0" w:afterAutospacing="0" w:line="280" w:lineRule="exact"/>
                    <w:ind w:left="0" w:right="0"/>
                    <w:jc w:val="center"/>
                    <w:textAlignment w:val="center"/>
                    <w:rPr>
                      <w:rFonts w:hint="eastAsia" w:ascii="Times New Roman" w:hAnsi="Times New Roman" w:eastAsia="宋体" w:cs="Times New Roman"/>
                      <w:b w:val="0"/>
                      <w:bCs w:val="0"/>
                      <w:kern w:val="2"/>
                      <w:sz w:val="18"/>
                      <w:szCs w:val="18"/>
                      <w:highlight w:val="none"/>
                      <w:lang w:val="en-US" w:eastAsia="zh-CN" w:bidi="ar"/>
                    </w:rPr>
                  </w:pPr>
                  <w:r>
                    <w:rPr>
                      <w:rFonts w:hint="eastAsia"/>
                      <w:snapToGrid w:val="0"/>
                      <w:sz w:val="18"/>
                      <w:szCs w:val="18"/>
                      <w:highlight w:val="none"/>
                      <w:lang w:val="en-US" w:eastAsia="zh-CN"/>
                    </w:rPr>
                    <w:t>活性炭吸附</w:t>
                  </w:r>
                </w:p>
              </w:tc>
              <w:tc>
                <w:tcPr>
                  <w:tcW w:w="240" w:type="pct"/>
                  <w:tcBorders>
                    <w:left w:val="single" w:color="auto" w:sz="4" w:space="0"/>
                    <w:right w:val="single" w:color="auto" w:sz="4" w:space="0"/>
                  </w:tcBorders>
                  <w:shd w:val="clear" w:color="auto" w:fill="auto"/>
                  <w:vAlign w:val="center"/>
                </w:tcPr>
                <w:p w14:paraId="56BAB70C">
                  <w:pPr>
                    <w:keepNext w:val="0"/>
                    <w:keepLines w:val="0"/>
                    <w:widowControl/>
                    <w:suppressLineNumbers w:val="0"/>
                    <w:spacing w:before="0" w:beforeAutospacing="0" w:after="0" w:afterAutospacing="0" w:line="280" w:lineRule="exact"/>
                    <w:ind w:left="0" w:right="0"/>
                    <w:jc w:val="center"/>
                    <w:textAlignment w:val="center"/>
                    <w:rPr>
                      <w:rFonts w:hint="eastAsia" w:ascii="Times New Roman" w:hAnsi="Times New Roman" w:eastAsia="宋体" w:cs="Times New Roman"/>
                      <w:b w:val="0"/>
                      <w:bCs w:val="0"/>
                      <w:kern w:val="2"/>
                      <w:sz w:val="18"/>
                      <w:szCs w:val="18"/>
                      <w:highlight w:val="none"/>
                      <w:lang w:val="en-US" w:eastAsia="zh-CN" w:bidi="ar"/>
                    </w:rPr>
                  </w:pPr>
                  <w:r>
                    <w:rPr>
                      <w:rFonts w:hint="eastAsia"/>
                      <w:bCs/>
                      <w:kern w:val="0"/>
                      <w:sz w:val="18"/>
                      <w:szCs w:val="18"/>
                      <w:highlight w:val="none"/>
                      <w:lang w:val="en-US" w:eastAsia="zh-CN"/>
                    </w:rPr>
                    <w:t>/</w:t>
                  </w:r>
                </w:p>
              </w:tc>
              <w:tc>
                <w:tcPr>
                  <w:tcW w:w="317" w:type="pct"/>
                  <w:tcBorders>
                    <w:left w:val="single" w:color="auto" w:sz="4" w:space="0"/>
                    <w:right w:val="single" w:color="auto" w:sz="4" w:space="0"/>
                  </w:tcBorders>
                  <w:shd w:val="clear" w:color="auto" w:fill="auto"/>
                  <w:vAlign w:val="center"/>
                </w:tcPr>
                <w:p w14:paraId="47E53DD9">
                  <w:pPr>
                    <w:keepNext w:val="0"/>
                    <w:keepLines w:val="0"/>
                    <w:widowControl/>
                    <w:suppressLineNumbers w:val="0"/>
                    <w:spacing w:before="0" w:beforeAutospacing="0" w:after="0" w:afterAutospacing="0" w:line="280" w:lineRule="exact"/>
                    <w:ind w:left="0" w:right="0"/>
                    <w:jc w:val="center"/>
                    <w:textAlignment w:val="center"/>
                    <w:rPr>
                      <w:rFonts w:hint="eastAsia" w:ascii="Times New Roman" w:hAnsi="Times New Roman" w:eastAsia="宋体" w:cs="Times New Roman"/>
                      <w:b w:val="0"/>
                      <w:bCs w:val="0"/>
                      <w:kern w:val="2"/>
                      <w:sz w:val="18"/>
                      <w:szCs w:val="18"/>
                      <w:highlight w:val="none"/>
                      <w:lang w:val="en-US" w:eastAsia="zh-CN" w:bidi="ar"/>
                    </w:rPr>
                  </w:pPr>
                  <w:r>
                    <w:rPr>
                      <w:rFonts w:hint="eastAsia"/>
                      <w:sz w:val="18"/>
                      <w:szCs w:val="18"/>
                      <w:highlight w:val="none"/>
                      <w:lang w:val="en-US" w:eastAsia="zh-CN"/>
                    </w:rPr>
                    <w:t>8820</w:t>
                  </w:r>
                  <w:r>
                    <w:rPr>
                      <w:rFonts w:hint="eastAsia"/>
                      <w:sz w:val="18"/>
                      <w:szCs w:val="18"/>
                      <w:highlight w:val="none"/>
                    </w:rPr>
                    <w:t>0</w:t>
                  </w:r>
                </w:p>
              </w:tc>
              <w:tc>
                <w:tcPr>
                  <w:tcW w:w="380" w:type="pct"/>
                  <w:tcBorders>
                    <w:top w:val="single" w:color="auto" w:sz="4" w:space="0"/>
                    <w:left w:val="single" w:color="auto" w:sz="4" w:space="0"/>
                    <w:right w:val="single" w:color="auto" w:sz="4" w:space="0"/>
                  </w:tcBorders>
                  <w:shd w:val="clear" w:color="auto" w:fill="auto"/>
                  <w:vAlign w:val="center"/>
                </w:tcPr>
                <w:p w14:paraId="6B65230D">
                  <w:pPr>
                    <w:keepNext w:val="0"/>
                    <w:keepLines w:val="0"/>
                    <w:widowControl/>
                    <w:suppressLineNumbers w:val="0"/>
                    <w:spacing w:before="0" w:beforeAutospacing="0" w:after="0" w:afterAutospacing="0"/>
                    <w:ind w:left="0" w:right="0"/>
                    <w:jc w:val="center"/>
                    <w:textAlignment w:val="center"/>
                    <w:rPr>
                      <w:rFonts w:hint="eastAsia" w:ascii="Times New Roman" w:hAnsi="Times New Roman" w:eastAsia="宋体" w:cs="Times New Roman"/>
                      <w:bCs/>
                      <w:kern w:val="0"/>
                      <w:sz w:val="18"/>
                      <w:szCs w:val="18"/>
                      <w:highlight w:val="none"/>
                      <w:lang w:val="en-US" w:eastAsia="zh-CN" w:bidi="ar-SA"/>
                    </w:rPr>
                  </w:pPr>
                  <w:r>
                    <w:rPr>
                      <w:rFonts w:hint="default" w:ascii="Times New Roman" w:hAnsi="Times New Roman" w:eastAsia="宋体" w:cs="Times New Roman"/>
                      <w:i w:val="0"/>
                      <w:iCs w:val="0"/>
                      <w:color w:val="000000"/>
                      <w:kern w:val="0"/>
                      <w:sz w:val="18"/>
                      <w:szCs w:val="18"/>
                      <w:highlight w:val="none"/>
                      <w:u w:val="none"/>
                      <w:lang w:val="en-US" w:eastAsia="zh-CN" w:bidi="ar"/>
                    </w:rPr>
                    <w:t>0.13</w:t>
                  </w:r>
                </w:p>
              </w:tc>
              <w:tc>
                <w:tcPr>
                  <w:tcW w:w="362" w:type="pct"/>
                  <w:tcBorders>
                    <w:top w:val="single" w:color="auto" w:sz="4" w:space="0"/>
                    <w:left w:val="single" w:color="auto" w:sz="4" w:space="0"/>
                    <w:right w:val="single" w:color="auto" w:sz="4" w:space="0"/>
                  </w:tcBorders>
                  <w:shd w:val="clear" w:color="auto" w:fill="auto"/>
                  <w:vAlign w:val="center"/>
                </w:tcPr>
                <w:p w14:paraId="5BE6C551">
                  <w:pPr>
                    <w:keepNext w:val="0"/>
                    <w:keepLines w:val="0"/>
                    <w:widowControl/>
                    <w:suppressLineNumbers w:val="0"/>
                    <w:spacing w:before="0" w:beforeAutospacing="0" w:after="0" w:afterAutospacing="0"/>
                    <w:ind w:left="0" w:right="0"/>
                    <w:jc w:val="center"/>
                    <w:textAlignment w:val="center"/>
                    <w:rPr>
                      <w:rFonts w:hint="eastAsia" w:ascii="Times New Roman" w:hAnsi="Times New Roman" w:eastAsia="宋体" w:cs="Times New Roman"/>
                      <w:bCs/>
                      <w:kern w:val="0"/>
                      <w:sz w:val="18"/>
                      <w:szCs w:val="18"/>
                      <w:highlight w:val="none"/>
                      <w:lang w:val="en-US" w:eastAsia="zh-CN" w:bidi="ar-SA"/>
                    </w:rPr>
                  </w:pPr>
                  <w:r>
                    <w:rPr>
                      <w:rFonts w:hint="default" w:ascii="Times New Roman" w:hAnsi="Times New Roman" w:eastAsia="宋体" w:cs="Times New Roman"/>
                      <w:i w:val="0"/>
                      <w:iCs w:val="0"/>
                      <w:color w:val="000000"/>
                      <w:kern w:val="0"/>
                      <w:sz w:val="18"/>
                      <w:szCs w:val="18"/>
                      <w:highlight w:val="none"/>
                      <w:u w:val="none"/>
                      <w:lang w:val="en-US" w:eastAsia="zh-CN" w:bidi="ar"/>
                    </w:rPr>
                    <w:t>0.063</w:t>
                  </w:r>
                </w:p>
              </w:tc>
              <w:tc>
                <w:tcPr>
                  <w:tcW w:w="340" w:type="pct"/>
                  <w:tcBorders>
                    <w:top w:val="single" w:color="auto" w:sz="4" w:space="0"/>
                    <w:left w:val="single" w:color="auto" w:sz="4" w:space="0"/>
                    <w:right w:val="single" w:color="auto" w:sz="4" w:space="0"/>
                  </w:tcBorders>
                  <w:shd w:val="clear" w:color="auto" w:fill="auto"/>
                  <w:vAlign w:val="center"/>
                </w:tcPr>
                <w:p w14:paraId="78DEE900">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64" w:lineRule="auto"/>
                    <w:ind w:left="0" w:right="0"/>
                    <w:jc w:val="center"/>
                    <w:textAlignment w:val="auto"/>
                    <w:rPr>
                      <w:rFonts w:hint="eastAsia" w:ascii="Times New Roman" w:hAnsi="Times New Roman" w:eastAsia="宋体" w:cs="Times New Roman"/>
                      <w:bCs/>
                      <w:kern w:val="0"/>
                      <w:sz w:val="18"/>
                      <w:szCs w:val="18"/>
                      <w:highlight w:val="none"/>
                      <w:lang w:val="en-US" w:eastAsia="zh-CN" w:bidi="ar-SA"/>
                    </w:rPr>
                  </w:pPr>
                  <w:r>
                    <w:rPr>
                      <w:rFonts w:hint="eastAsia" w:cs="Times New Roman"/>
                      <w:bCs/>
                      <w:kern w:val="0"/>
                      <w:sz w:val="18"/>
                      <w:szCs w:val="18"/>
                      <w:highlight w:val="none"/>
                      <w:lang w:val="en-US" w:eastAsia="zh-CN"/>
                    </w:rPr>
                    <w:t>0.71</w:t>
                  </w:r>
                  <w:r>
                    <w:rPr>
                      <w:rFonts w:hint="eastAsia" w:ascii="Times New Roman" w:hAnsi="Times New Roman" w:eastAsia="宋体" w:cs="Times New Roman"/>
                      <w:bCs/>
                      <w:kern w:val="0"/>
                      <w:sz w:val="18"/>
                      <w:szCs w:val="18"/>
                      <w:highlight w:val="none"/>
                      <w:lang w:val="en-US" w:eastAsia="zh-CN"/>
                    </w:rPr>
                    <w:t xml:space="preserve">  </w:t>
                  </w:r>
                </w:p>
              </w:tc>
              <w:tc>
                <w:tcPr>
                  <w:tcW w:w="255" w:type="pct"/>
                  <w:vMerge w:val="restart"/>
                  <w:tcBorders>
                    <w:left w:val="single" w:color="auto" w:sz="4" w:space="0"/>
                    <w:right w:val="single" w:color="auto" w:sz="4" w:space="0"/>
                  </w:tcBorders>
                  <w:vAlign w:val="center"/>
                </w:tcPr>
                <w:p w14:paraId="4B1B359C">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64" w:lineRule="auto"/>
                    <w:ind w:left="0" w:right="0"/>
                    <w:jc w:val="center"/>
                    <w:textAlignment w:val="auto"/>
                    <w:rPr>
                      <w:rFonts w:hint="default"/>
                      <w:bCs/>
                      <w:kern w:val="0"/>
                      <w:sz w:val="18"/>
                      <w:szCs w:val="18"/>
                      <w:highlight w:val="none"/>
                    </w:rPr>
                  </w:pPr>
                  <w:r>
                    <w:rPr>
                      <w:rFonts w:hint="eastAsia"/>
                      <w:bCs/>
                      <w:kern w:val="0"/>
                      <w:sz w:val="18"/>
                      <w:szCs w:val="18"/>
                      <w:highlight w:val="none"/>
                      <w:lang w:val="en-US" w:eastAsia="zh-CN"/>
                    </w:rPr>
                    <w:t>2080</w:t>
                  </w:r>
                </w:p>
              </w:tc>
            </w:tr>
            <w:tr w14:paraId="1AB5A49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189" w:hRule="atLeast"/>
                <w:jc w:val="center"/>
              </w:trPr>
              <w:tc>
                <w:tcPr>
                  <w:tcW w:w="271" w:type="pct"/>
                  <w:vMerge w:val="continue"/>
                  <w:tcBorders>
                    <w:left w:val="single" w:color="auto" w:sz="4" w:space="0"/>
                    <w:right w:val="single" w:color="auto" w:sz="4" w:space="0"/>
                  </w:tcBorders>
                  <w:vAlign w:val="center"/>
                </w:tcPr>
                <w:p w14:paraId="4A1CD8C1">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64" w:lineRule="auto"/>
                    <w:ind w:left="0" w:right="0"/>
                    <w:jc w:val="center"/>
                    <w:textAlignment w:val="auto"/>
                    <w:rPr>
                      <w:rFonts w:hint="eastAsia"/>
                      <w:bCs/>
                      <w:kern w:val="0"/>
                      <w:sz w:val="18"/>
                      <w:szCs w:val="18"/>
                      <w:highlight w:val="none"/>
                      <w:lang w:val="en-US" w:eastAsia="zh-CN"/>
                    </w:rPr>
                  </w:pPr>
                </w:p>
              </w:tc>
              <w:tc>
                <w:tcPr>
                  <w:tcW w:w="331" w:type="pct"/>
                  <w:vMerge w:val="continue"/>
                  <w:tcBorders>
                    <w:left w:val="single" w:color="auto" w:sz="4" w:space="0"/>
                    <w:right w:val="single" w:color="auto" w:sz="4" w:space="0"/>
                  </w:tcBorders>
                  <w:vAlign w:val="center"/>
                </w:tcPr>
                <w:p w14:paraId="24ABF04F">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64" w:lineRule="auto"/>
                    <w:ind w:left="0" w:right="0"/>
                    <w:jc w:val="center"/>
                    <w:textAlignment w:val="auto"/>
                    <w:rPr>
                      <w:rFonts w:hint="eastAsia"/>
                      <w:bCs/>
                      <w:kern w:val="0"/>
                      <w:sz w:val="18"/>
                      <w:szCs w:val="18"/>
                      <w:highlight w:val="none"/>
                      <w:lang w:val="en-US" w:eastAsia="zh-CN"/>
                    </w:rPr>
                  </w:pPr>
                </w:p>
              </w:tc>
              <w:tc>
                <w:tcPr>
                  <w:tcW w:w="404" w:type="pct"/>
                  <w:vMerge w:val="continue"/>
                  <w:tcBorders>
                    <w:left w:val="single" w:color="auto" w:sz="4" w:space="0"/>
                    <w:right w:val="single" w:color="auto" w:sz="4" w:space="0"/>
                  </w:tcBorders>
                  <w:vAlign w:val="center"/>
                </w:tcPr>
                <w:p w14:paraId="65D3DE39">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64" w:lineRule="auto"/>
                    <w:ind w:left="0" w:right="0"/>
                    <w:jc w:val="center"/>
                    <w:textAlignment w:val="auto"/>
                    <w:rPr>
                      <w:rFonts w:hint="eastAsia"/>
                      <w:bCs/>
                      <w:kern w:val="0"/>
                      <w:sz w:val="18"/>
                      <w:szCs w:val="18"/>
                      <w:highlight w:val="none"/>
                      <w:lang w:val="en-US" w:eastAsia="zh-CN"/>
                    </w:rPr>
                  </w:pPr>
                </w:p>
              </w:tc>
              <w:tc>
                <w:tcPr>
                  <w:tcW w:w="593" w:type="pct"/>
                  <w:tcBorders>
                    <w:left w:val="single" w:color="auto" w:sz="4" w:space="0"/>
                    <w:bottom w:val="single" w:color="auto" w:sz="4" w:space="0"/>
                    <w:right w:val="single" w:color="auto" w:sz="4" w:space="0"/>
                  </w:tcBorders>
                  <w:shd w:val="clear" w:color="auto" w:fill="auto"/>
                  <w:vAlign w:val="center"/>
                </w:tcPr>
                <w:p w14:paraId="1413AF44">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64" w:lineRule="auto"/>
                    <w:ind w:left="0" w:right="0"/>
                    <w:jc w:val="center"/>
                    <w:textAlignment w:val="auto"/>
                    <w:rPr>
                      <w:rFonts w:hint="eastAsia" w:ascii="Times New Roman" w:hAnsi="Times New Roman" w:eastAsia="宋体" w:cs="Times New Roman"/>
                      <w:bCs/>
                      <w:kern w:val="0"/>
                      <w:sz w:val="18"/>
                      <w:szCs w:val="18"/>
                      <w:highlight w:val="none"/>
                      <w:lang w:val="en-US" w:eastAsia="zh-CN" w:bidi="ar-SA"/>
                    </w:rPr>
                  </w:pPr>
                  <w:r>
                    <w:rPr>
                      <w:rFonts w:hint="eastAsia"/>
                      <w:bCs/>
                      <w:kern w:val="0"/>
                      <w:sz w:val="18"/>
                      <w:szCs w:val="18"/>
                      <w:highlight w:val="none"/>
                      <w:lang w:val="en-US" w:eastAsia="zh-CN"/>
                    </w:rPr>
                    <w:t>氯化氢</w:t>
                  </w:r>
                </w:p>
              </w:tc>
              <w:tc>
                <w:tcPr>
                  <w:tcW w:w="1119" w:type="pct"/>
                  <w:gridSpan w:val="3"/>
                  <w:tcBorders>
                    <w:top w:val="single" w:color="auto" w:sz="4" w:space="0"/>
                    <w:left w:val="single" w:color="auto" w:sz="4" w:space="0"/>
                    <w:bottom w:val="single" w:color="auto" w:sz="4" w:space="0"/>
                    <w:right w:val="single" w:color="auto" w:sz="4" w:space="0"/>
                  </w:tcBorders>
                  <w:vAlign w:val="center"/>
                </w:tcPr>
                <w:p w14:paraId="2A10ACBB">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64" w:lineRule="auto"/>
                    <w:ind w:left="0" w:right="0"/>
                    <w:jc w:val="center"/>
                    <w:textAlignment w:val="auto"/>
                    <w:rPr>
                      <w:rFonts w:hint="eastAsia" w:ascii="Times New Roman" w:hAnsi="Times New Roman" w:eastAsia="宋体" w:cs="Times New Roman"/>
                      <w:bCs/>
                      <w:kern w:val="0"/>
                      <w:sz w:val="18"/>
                      <w:szCs w:val="18"/>
                      <w:highlight w:val="none"/>
                      <w:lang w:val="en-US" w:eastAsia="zh-CN"/>
                    </w:rPr>
                  </w:pPr>
                  <w:r>
                    <w:rPr>
                      <w:rFonts w:hint="eastAsia" w:cs="Times New Roman"/>
                      <w:bCs/>
                      <w:kern w:val="0"/>
                      <w:sz w:val="18"/>
                      <w:szCs w:val="18"/>
                      <w:highlight w:val="none"/>
                      <w:lang w:val="en-US" w:eastAsia="zh-CN"/>
                    </w:rPr>
                    <w:t>少量</w:t>
                  </w:r>
                </w:p>
              </w:tc>
              <w:tc>
                <w:tcPr>
                  <w:tcW w:w="383" w:type="pct"/>
                  <w:tcBorders>
                    <w:left w:val="single" w:color="auto" w:sz="4" w:space="0"/>
                    <w:right w:val="single" w:color="auto" w:sz="4" w:space="0"/>
                  </w:tcBorders>
                  <w:shd w:val="clear" w:color="auto" w:fill="auto"/>
                  <w:vAlign w:val="center"/>
                </w:tcPr>
                <w:p w14:paraId="1E736647">
                  <w:pPr>
                    <w:keepNext w:val="0"/>
                    <w:keepLines w:val="0"/>
                    <w:widowControl/>
                    <w:suppressLineNumbers w:val="0"/>
                    <w:spacing w:before="0" w:beforeAutospacing="0" w:after="0" w:afterAutospacing="0" w:line="280" w:lineRule="exact"/>
                    <w:ind w:left="0" w:right="0"/>
                    <w:jc w:val="center"/>
                    <w:textAlignment w:val="center"/>
                    <w:rPr>
                      <w:rFonts w:hint="eastAsia"/>
                      <w:snapToGrid w:val="0"/>
                      <w:sz w:val="18"/>
                      <w:szCs w:val="18"/>
                      <w:highlight w:val="none"/>
                      <w:lang w:val="en-US" w:eastAsia="zh-CN"/>
                    </w:rPr>
                  </w:pPr>
                  <w:r>
                    <w:rPr>
                      <w:rFonts w:hint="eastAsia"/>
                      <w:bCs/>
                      <w:kern w:val="0"/>
                      <w:sz w:val="18"/>
                      <w:szCs w:val="18"/>
                      <w:highlight w:val="none"/>
                      <w:lang w:val="en-US" w:eastAsia="zh-CN"/>
                    </w:rPr>
                    <w:t>/</w:t>
                  </w:r>
                </w:p>
              </w:tc>
              <w:tc>
                <w:tcPr>
                  <w:tcW w:w="240" w:type="pct"/>
                  <w:tcBorders>
                    <w:left w:val="single" w:color="auto" w:sz="4" w:space="0"/>
                    <w:right w:val="single" w:color="auto" w:sz="4" w:space="0"/>
                  </w:tcBorders>
                  <w:shd w:val="clear" w:color="auto" w:fill="auto"/>
                  <w:vAlign w:val="center"/>
                </w:tcPr>
                <w:p w14:paraId="0E6763B2">
                  <w:pPr>
                    <w:keepNext w:val="0"/>
                    <w:keepLines w:val="0"/>
                    <w:widowControl/>
                    <w:suppressLineNumbers w:val="0"/>
                    <w:spacing w:before="0" w:beforeAutospacing="0" w:after="0" w:afterAutospacing="0" w:line="280" w:lineRule="exact"/>
                    <w:ind w:left="0" w:right="0"/>
                    <w:jc w:val="center"/>
                    <w:textAlignment w:val="center"/>
                    <w:rPr>
                      <w:rFonts w:hint="eastAsia"/>
                      <w:bCs/>
                      <w:kern w:val="0"/>
                      <w:sz w:val="18"/>
                      <w:szCs w:val="18"/>
                      <w:highlight w:val="none"/>
                      <w:lang w:val="en-US" w:eastAsia="zh-CN"/>
                    </w:rPr>
                  </w:pPr>
                  <w:r>
                    <w:rPr>
                      <w:rFonts w:hint="eastAsia"/>
                      <w:bCs/>
                      <w:kern w:val="0"/>
                      <w:sz w:val="18"/>
                      <w:szCs w:val="18"/>
                      <w:highlight w:val="none"/>
                      <w:lang w:val="en-US" w:eastAsia="zh-CN"/>
                    </w:rPr>
                    <w:t>/</w:t>
                  </w:r>
                </w:p>
              </w:tc>
              <w:tc>
                <w:tcPr>
                  <w:tcW w:w="317" w:type="pct"/>
                  <w:tcBorders>
                    <w:left w:val="single" w:color="auto" w:sz="4" w:space="0"/>
                    <w:right w:val="single" w:color="auto" w:sz="4" w:space="0"/>
                  </w:tcBorders>
                  <w:shd w:val="clear" w:color="auto" w:fill="auto"/>
                  <w:vAlign w:val="center"/>
                </w:tcPr>
                <w:p w14:paraId="24A8C7CD">
                  <w:pPr>
                    <w:keepNext w:val="0"/>
                    <w:keepLines w:val="0"/>
                    <w:widowControl/>
                    <w:suppressLineNumbers w:val="0"/>
                    <w:spacing w:before="0" w:beforeAutospacing="0" w:after="0" w:afterAutospacing="0" w:line="280" w:lineRule="exact"/>
                    <w:ind w:left="0" w:right="0"/>
                    <w:jc w:val="center"/>
                    <w:textAlignment w:val="center"/>
                    <w:rPr>
                      <w:rFonts w:hint="eastAsia"/>
                      <w:sz w:val="18"/>
                      <w:szCs w:val="18"/>
                      <w:highlight w:val="none"/>
                      <w:lang w:val="en-US" w:eastAsia="zh-CN"/>
                    </w:rPr>
                  </w:pPr>
                  <w:r>
                    <w:rPr>
                      <w:rFonts w:hint="eastAsia"/>
                      <w:bCs/>
                      <w:kern w:val="0"/>
                      <w:sz w:val="18"/>
                      <w:szCs w:val="18"/>
                      <w:highlight w:val="none"/>
                      <w:lang w:val="en-US" w:eastAsia="zh-CN"/>
                    </w:rPr>
                    <w:t>/</w:t>
                  </w:r>
                </w:p>
              </w:tc>
              <w:tc>
                <w:tcPr>
                  <w:tcW w:w="1083" w:type="pct"/>
                  <w:gridSpan w:val="3"/>
                  <w:tcBorders>
                    <w:top w:val="single" w:color="auto" w:sz="4" w:space="0"/>
                    <w:left w:val="single" w:color="auto" w:sz="4" w:space="0"/>
                    <w:right w:val="single" w:color="auto" w:sz="4" w:space="0"/>
                  </w:tcBorders>
                  <w:shd w:val="clear" w:color="auto" w:fill="auto"/>
                  <w:vAlign w:val="center"/>
                </w:tcPr>
                <w:p w14:paraId="6A91DEF0">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64" w:lineRule="auto"/>
                    <w:ind w:left="0" w:right="0"/>
                    <w:jc w:val="center"/>
                    <w:textAlignment w:val="auto"/>
                    <w:rPr>
                      <w:rFonts w:hint="eastAsia" w:ascii="Times New Roman" w:hAnsi="Times New Roman" w:eastAsia="宋体" w:cs="Times New Roman"/>
                      <w:bCs/>
                      <w:kern w:val="0"/>
                      <w:sz w:val="18"/>
                      <w:szCs w:val="18"/>
                      <w:highlight w:val="none"/>
                      <w:lang w:val="en-US" w:eastAsia="zh-CN"/>
                    </w:rPr>
                  </w:pPr>
                  <w:r>
                    <w:rPr>
                      <w:rFonts w:hint="eastAsia" w:cs="Times New Roman"/>
                      <w:bCs/>
                      <w:kern w:val="0"/>
                      <w:sz w:val="18"/>
                      <w:szCs w:val="18"/>
                      <w:highlight w:val="none"/>
                      <w:lang w:val="en-US" w:eastAsia="zh-CN"/>
                    </w:rPr>
                    <w:t>少量</w:t>
                  </w:r>
                </w:p>
              </w:tc>
              <w:tc>
                <w:tcPr>
                  <w:tcW w:w="255" w:type="pct"/>
                  <w:vMerge w:val="continue"/>
                  <w:tcBorders>
                    <w:left w:val="single" w:color="auto" w:sz="4" w:space="0"/>
                    <w:right w:val="single" w:color="auto" w:sz="4" w:space="0"/>
                  </w:tcBorders>
                  <w:vAlign w:val="center"/>
                </w:tcPr>
                <w:p w14:paraId="0850861D">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64" w:lineRule="auto"/>
                    <w:ind w:left="0" w:right="0"/>
                    <w:jc w:val="center"/>
                    <w:textAlignment w:val="auto"/>
                    <w:rPr>
                      <w:rFonts w:hint="eastAsia"/>
                      <w:bCs/>
                      <w:kern w:val="0"/>
                      <w:sz w:val="18"/>
                      <w:szCs w:val="18"/>
                      <w:highlight w:val="none"/>
                      <w:lang w:val="en-US" w:eastAsia="zh-CN"/>
                    </w:rPr>
                  </w:pPr>
                </w:p>
              </w:tc>
            </w:tr>
            <w:tr w14:paraId="1AC4EA2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189" w:hRule="atLeast"/>
                <w:jc w:val="center"/>
              </w:trPr>
              <w:tc>
                <w:tcPr>
                  <w:tcW w:w="271" w:type="pct"/>
                  <w:vMerge w:val="continue"/>
                  <w:tcBorders>
                    <w:left w:val="single" w:color="auto" w:sz="4" w:space="0"/>
                    <w:right w:val="single" w:color="auto" w:sz="4" w:space="0"/>
                  </w:tcBorders>
                  <w:vAlign w:val="center"/>
                </w:tcPr>
                <w:p w14:paraId="387C0C50">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64" w:lineRule="auto"/>
                    <w:ind w:left="0" w:right="0"/>
                    <w:jc w:val="center"/>
                    <w:textAlignment w:val="auto"/>
                    <w:rPr>
                      <w:rFonts w:hint="eastAsia"/>
                      <w:bCs/>
                      <w:kern w:val="0"/>
                      <w:sz w:val="18"/>
                      <w:szCs w:val="18"/>
                      <w:highlight w:val="none"/>
                      <w:lang w:val="en-US" w:eastAsia="zh-CN"/>
                    </w:rPr>
                  </w:pPr>
                </w:p>
              </w:tc>
              <w:tc>
                <w:tcPr>
                  <w:tcW w:w="331" w:type="pct"/>
                  <w:vMerge w:val="continue"/>
                  <w:tcBorders>
                    <w:left w:val="single" w:color="auto" w:sz="4" w:space="0"/>
                    <w:right w:val="single" w:color="auto" w:sz="4" w:space="0"/>
                  </w:tcBorders>
                  <w:vAlign w:val="center"/>
                </w:tcPr>
                <w:p w14:paraId="470BCDFC">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64" w:lineRule="auto"/>
                    <w:ind w:left="0" w:right="0"/>
                    <w:jc w:val="center"/>
                    <w:textAlignment w:val="auto"/>
                    <w:rPr>
                      <w:rFonts w:hint="eastAsia"/>
                      <w:bCs/>
                      <w:kern w:val="0"/>
                      <w:sz w:val="18"/>
                      <w:szCs w:val="18"/>
                      <w:highlight w:val="none"/>
                      <w:lang w:val="en-US" w:eastAsia="zh-CN"/>
                    </w:rPr>
                  </w:pPr>
                </w:p>
              </w:tc>
              <w:tc>
                <w:tcPr>
                  <w:tcW w:w="404" w:type="pct"/>
                  <w:vMerge w:val="continue"/>
                  <w:tcBorders>
                    <w:left w:val="single" w:color="auto" w:sz="4" w:space="0"/>
                    <w:right w:val="single" w:color="auto" w:sz="4" w:space="0"/>
                  </w:tcBorders>
                  <w:vAlign w:val="center"/>
                </w:tcPr>
                <w:p w14:paraId="5F224F42">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64" w:lineRule="auto"/>
                    <w:ind w:left="0" w:right="0"/>
                    <w:jc w:val="center"/>
                    <w:textAlignment w:val="auto"/>
                    <w:rPr>
                      <w:rFonts w:hint="eastAsia"/>
                      <w:bCs/>
                      <w:kern w:val="0"/>
                      <w:sz w:val="18"/>
                      <w:szCs w:val="18"/>
                      <w:highlight w:val="none"/>
                      <w:lang w:val="en-US" w:eastAsia="zh-CN"/>
                    </w:rPr>
                  </w:pPr>
                </w:p>
              </w:tc>
              <w:tc>
                <w:tcPr>
                  <w:tcW w:w="593" w:type="pct"/>
                  <w:tcBorders>
                    <w:left w:val="single" w:color="auto" w:sz="4" w:space="0"/>
                    <w:bottom w:val="single" w:color="auto" w:sz="4" w:space="0"/>
                    <w:right w:val="single" w:color="auto" w:sz="4" w:space="0"/>
                  </w:tcBorders>
                  <w:shd w:val="clear" w:color="auto" w:fill="auto"/>
                  <w:vAlign w:val="center"/>
                </w:tcPr>
                <w:p w14:paraId="44B6AEB9">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64" w:lineRule="auto"/>
                    <w:ind w:left="0" w:right="0"/>
                    <w:jc w:val="center"/>
                    <w:textAlignment w:val="auto"/>
                    <w:rPr>
                      <w:rFonts w:hint="eastAsia" w:ascii="Times New Roman" w:hAnsi="Times New Roman" w:eastAsia="宋体" w:cs="Times New Roman"/>
                      <w:bCs/>
                      <w:kern w:val="0"/>
                      <w:sz w:val="18"/>
                      <w:szCs w:val="18"/>
                      <w:highlight w:val="none"/>
                      <w:lang w:val="en-US" w:eastAsia="zh-CN" w:bidi="ar-SA"/>
                    </w:rPr>
                  </w:pPr>
                  <w:r>
                    <w:rPr>
                      <w:rFonts w:hint="eastAsia"/>
                      <w:bCs/>
                      <w:kern w:val="0"/>
                      <w:sz w:val="18"/>
                      <w:szCs w:val="18"/>
                      <w:highlight w:val="none"/>
                      <w:lang w:val="en-US" w:eastAsia="zh-CN"/>
                    </w:rPr>
                    <w:t>硫酸雾</w:t>
                  </w:r>
                </w:p>
              </w:tc>
              <w:tc>
                <w:tcPr>
                  <w:tcW w:w="1119" w:type="pct"/>
                  <w:gridSpan w:val="3"/>
                  <w:tcBorders>
                    <w:top w:val="single" w:color="auto" w:sz="4" w:space="0"/>
                    <w:left w:val="single" w:color="auto" w:sz="4" w:space="0"/>
                    <w:bottom w:val="single" w:color="auto" w:sz="4" w:space="0"/>
                    <w:right w:val="single" w:color="auto" w:sz="4" w:space="0"/>
                  </w:tcBorders>
                  <w:vAlign w:val="center"/>
                </w:tcPr>
                <w:p w14:paraId="07597361">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64" w:lineRule="auto"/>
                    <w:ind w:left="0" w:right="0"/>
                    <w:jc w:val="center"/>
                    <w:textAlignment w:val="auto"/>
                    <w:rPr>
                      <w:rFonts w:hint="eastAsia" w:ascii="Times New Roman" w:hAnsi="Times New Roman" w:eastAsia="宋体" w:cs="Times New Roman"/>
                      <w:bCs/>
                      <w:kern w:val="0"/>
                      <w:sz w:val="18"/>
                      <w:szCs w:val="18"/>
                      <w:highlight w:val="none"/>
                      <w:lang w:val="en-US" w:eastAsia="zh-CN"/>
                    </w:rPr>
                  </w:pPr>
                  <w:r>
                    <w:rPr>
                      <w:rFonts w:hint="eastAsia" w:cs="Times New Roman"/>
                      <w:bCs/>
                      <w:kern w:val="0"/>
                      <w:sz w:val="18"/>
                      <w:szCs w:val="18"/>
                      <w:highlight w:val="none"/>
                      <w:lang w:val="en-US" w:eastAsia="zh-CN"/>
                    </w:rPr>
                    <w:t>少量</w:t>
                  </w:r>
                </w:p>
              </w:tc>
              <w:tc>
                <w:tcPr>
                  <w:tcW w:w="383" w:type="pct"/>
                  <w:tcBorders>
                    <w:left w:val="single" w:color="auto" w:sz="4" w:space="0"/>
                    <w:right w:val="single" w:color="auto" w:sz="4" w:space="0"/>
                  </w:tcBorders>
                  <w:shd w:val="clear" w:color="auto" w:fill="auto"/>
                  <w:vAlign w:val="center"/>
                </w:tcPr>
                <w:p w14:paraId="75BCDE6C">
                  <w:pPr>
                    <w:keepNext w:val="0"/>
                    <w:keepLines w:val="0"/>
                    <w:widowControl/>
                    <w:suppressLineNumbers w:val="0"/>
                    <w:spacing w:before="0" w:beforeAutospacing="0" w:after="0" w:afterAutospacing="0" w:line="280" w:lineRule="exact"/>
                    <w:ind w:left="0" w:right="0"/>
                    <w:jc w:val="center"/>
                    <w:textAlignment w:val="center"/>
                    <w:rPr>
                      <w:rFonts w:hint="eastAsia"/>
                      <w:snapToGrid w:val="0"/>
                      <w:sz w:val="18"/>
                      <w:szCs w:val="18"/>
                      <w:highlight w:val="none"/>
                      <w:lang w:val="en-US" w:eastAsia="zh-CN"/>
                    </w:rPr>
                  </w:pPr>
                  <w:r>
                    <w:rPr>
                      <w:rFonts w:hint="eastAsia"/>
                      <w:bCs/>
                      <w:kern w:val="0"/>
                      <w:sz w:val="18"/>
                      <w:szCs w:val="18"/>
                      <w:highlight w:val="none"/>
                      <w:lang w:val="en-US" w:eastAsia="zh-CN"/>
                    </w:rPr>
                    <w:t>/</w:t>
                  </w:r>
                </w:p>
              </w:tc>
              <w:tc>
                <w:tcPr>
                  <w:tcW w:w="240" w:type="pct"/>
                  <w:tcBorders>
                    <w:left w:val="single" w:color="auto" w:sz="4" w:space="0"/>
                    <w:right w:val="single" w:color="auto" w:sz="4" w:space="0"/>
                  </w:tcBorders>
                  <w:shd w:val="clear" w:color="auto" w:fill="auto"/>
                  <w:vAlign w:val="center"/>
                </w:tcPr>
                <w:p w14:paraId="610014E0">
                  <w:pPr>
                    <w:keepNext w:val="0"/>
                    <w:keepLines w:val="0"/>
                    <w:widowControl/>
                    <w:suppressLineNumbers w:val="0"/>
                    <w:spacing w:before="0" w:beforeAutospacing="0" w:after="0" w:afterAutospacing="0" w:line="280" w:lineRule="exact"/>
                    <w:ind w:left="0" w:right="0"/>
                    <w:jc w:val="center"/>
                    <w:textAlignment w:val="center"/>
                    <w:rPr>
                      <w:rFonts w:hint="eastAsia"/>
                      <w:bCs/>
                      <w:kern w:val="0"/>
                      <w:sz w:val="18"/>
                      <w:szCs w:val="18"/>
                      <w:highlight w:val="none"/>
                      <w:lang w:val="en-US" w:eastAsia="zh-CN"/>
                    </w:rPr>
                  </w:pPr>
                  <w:r>
                    <w:rPr>
                      <w:rFonts w:hint="eastAsia"/>
                      <w:bCs/>
                      <w:kern w:val="0"/>
                      <w:sz w:val="18"/>
                      <w:szCs w:val="18"/>
                      <w:highlight w:val="none"/>
                      <w:lang w:val="en-US" w:eastAsia="zh-CN"/>
                    </w:rPr>
                    <w:t>/</w:t>
                  </w:r>
                </w:p>
              </w:tc>
              <w:tc>
                <w:tcPr>
                  <w:tcW w:w="317" w:type="pct"/>
                  <w:tcBorders>
                    <w:left w:val="single" w:color="auto" w:sz="4" w:space="0"/>
                    <w:right w:val="single" w:color="auto" w:sz="4" w:space="0"/>
                  </w:tcBorders>
                  <w:shd w:val="clear" w:color="auto" w:fill="auto"/>
                  <w:vAlign w:val="center"/>
                </w:tcPr>
                <w:p w14:paraId="06410B5C">
                  <w:pPr>
                    <w:keepNext w:val="0"/>
                    <w:keepLines w:val="0"/>
                    <w:widowControl/>
                    <w:suppressLineNumbers w:val="0"/>
                    <w:spacing w:before="0" w:beforeAutospacing="0" w:after="0" w:afterAutospacing="0" w:line="280" w:lineRule="exact"/>
                    <w:ind w:left="0" w:right="0"/>
                    <w:jc w:val="center"/>
                    <w:textAlignment w:val="center"/>
                    <w:rPr>
                      <w:rFonts w:hint="eastAsia"/>
                      <w:sz w:val="18"/>
                      <w:szCs w:val="18"/>
                      <w:highlight w:val="none"/>
                      <w:lang w:val="en-US" w:eastAsia="zh-CN"/>
                    </w:rPr>
                  </w:pPr>
                  <w:r>
                    <w:rPr>
                      <w:rFonts w:hint="eastAsia"/>
                      <w:bCs/>
                      <w:kern w:val="0"/>
                      <w:sz w:val="18"/>
                      <w:szCs w:val="18"/>
                      <w:highlight w:val="none"/>
                      <w:lang w:val="en-US" w:eastAsia="zh-CN"/>
                    </w:rPr>
                    <w:t>/</w:t>
                  </w:r>
                </w:p>
              </w:tc>
              <w:tc>
                <w:tcPr>
                  <w:tcW w:w="1083" w:type="pct"/>
                  <w:gridSpan w:val="3"/>
                  <w:tcBorders>
                    <w:top w:val="single" w:color="auto" w:sz="4" w:space="0"/>
                    <w:left w:val="single" w:color="auto" w:sz="4" w:space="0"/>
                    <w:right w:val="single" w:color="auto" w:sz="4" w:space="0"/>
                  </w:tcBorders>
                  <w:shd w:val="clear" w:color="auto" w:fill="auto"/>
                  <w:vAlign w:val="center"/>
                </w:tcPr>
                <w:p w14:paraId="5C46984A">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64" w:lineRule="auto"/>
                    <w:ind w:left="0" w:right="0"/>
                    <w:jc w:val="center"/>
                    <w:textAlignment w:val="auto"/>
                    <w:rPr>
                      <w:rFonts w:hint="eastAsia" w:ascii="Times New Roman" w:hAnsi="Times New Roman" w:eastAsia="宋体" w:cs="Times New Roman"/>
                      <w:bCs/>
                      <w:kern w:val="0"/>
                      <w:sz w:val="18"/>
                      <w:szCs w:val="18"/>
                      <w:highlight w:val="none"/>
                      <w:lang w:val="en-US" w:eastAsia="zh-CN"/>
                    </w:rPr>
                  </w:pPr>
                  <w:r>
                    <w:rPr>
                      <w:rFonts w:hint="eastAsia" w:cs="Times New Roman"/>
                      <w:bCs/>
                      <w:kern w:val="0"/>
                      <w:sz w:val="18"/>
                      <w:szCs w:val="18"/>
                      <w:highlight w:val="none"/>
                      <w:lang w:val="en-US" w:eastAsia="zh-CN"/>
                    </w:rPr>
                    <w:t>少量</w:t>
                  </w:r>
                </w:p>
              </w:tc>
              <w:tc>
                <w:tcPr>
                  <w:tcW w:w="255" w:type="pct"/>
                  <w:vMerge w:val="continue"/>
                  <w:tcBorders>
                    <w:left w:val="single" w:color="auto" w:sz="4" w:space="0"/>
                    <w:right w:val="single" w:color="auto" w:sz="4" w:space="0"/>
                  </w:tcBorders>
                  <w:vAlign w:val="center"/>
                </w:tcPr>
                <w:p w14:paraId="0744ECA6">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64" w:lineRule="auto"/>
                    <w:ind w:left="0" w:right="0"/>
                    <w:jc w:val="center"/>
                    <w:textAlignment w:val="auto"/>
                    <w:rPr>
                      <w:rFonts w:hint="eastAsia"/>
                      <w:bCs/>
                      <w:kern w:val="0"/>
                      <w:sz w:val="18"/>
                      <w:szCs w:val="18"/>
                      <w:highlight w:val="none"/>
                      <w:lang w:val="en-US" w:eastAsia="zh-CN"/>
                    </w:rPr>
                  </w:pPr>
                </w:p>
              </w:tc>
            </w:tr>
            <w:tr w14:paraId="2347976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189" w:hRule="atLeast"/>
                <w:jc w:val="center"/>
              </w:trPr>
              <w:tc>
                <w:tcPr>
                  <w:tcW w:w="271" w:type="pct"/>
                  <w:vMerge w:val="restart"/>
                  <w:tcBorders>
                    <w:left w:val="single" w:color="auto" w:sz="4" w:space="0"/>
                    <w:right w:val="single" w:color="auto" w:sz="4" w:space="0"/>
                  </w:tcBorders>
                  <w:vAlign w:val="center"/>
                </w:tcPr>
                <w:p w14:paraId="39DD094C">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64" w:lineRule="auto"/>
                    <w:ind w:left="0" w:right="0"/>
                    <w:jc w:val="center"/>
                    <w:textAlignment w:val="auto"/>
                    <w:rPr>
                      <w:rFonts w:hint="default"/>
                      <w:bCs/>
                      <w:kern w:val="0"/>
                      <w:sz w:val="18"/>
                      <w:szCs w:val="18"/>
                      <w:highlight w:val="none"/>
                      <w:lang w:val="en-US"/>
                    </w:rPr>
                  </w:pPr>
                  <w:r>
                    <w:rPr>
                      <w:rFonts w:hint="eastAsia"/>
                      <w:bCs/>
                      <w:kern w:val="0"/>
                      <w:sz w:val="18"/>
                      <w:szCs w:val="18"/>
                      <w:highlight w:val="none"/>
                      <w:lang w:val="en-US" w:eastAsia="zh-CN"/>
                    </w:rPr>
                    <w:t>DA016</w:t>
                  </w:r>
                </w:p>
              </w:tc>
              <w:tc>
                <w:tcPr>
                  <w:tcW w:w="331" w:type="pct"/>
                  <w:vMerge w:val="restart"/>
                  <w:tcBorders>
                    <w:left w:val="single" w:color="auto" w:sz="4" w:space="0"/>
                    <w:right w:val="single" w:color="auto" w:sz="4" w:space="0"/>
                  </w:tcBorders>
                  <w:vAlign w:val="center"/>
                </w:tcPr>
                <w:p w14:paraId="694AC201">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64" w:lineRule="auto"/>
                    <w:ind w:left="0" w:right="0"/>
                    <w:jc w:val="center"/>
                    <w:textAlignment w:val="auto"/>
                    <w:rPr>
                      <w:rFonts w:hint="default"/>
                      <w:bCs/>
                      <w:kern w:val="0"/>
                      <w:sz w:val="18"/>
                      <w:szCs w:val="18"/>
                      <w:highlight w:val="none"/>
                    </w:rPr>
                  </w:pPr>
                  <w:r>
                    <w:rPr>
                      <w:rFonts w:hint="eastAsia"/>
                      <w:bCs/>
                      <w:kern w:val="0"/>
                      <w:sz w:val="18"/>
                      <w:szCs w:val="18"/>
                      <w:highlight w:val="none"/>
                      <w:lang w:val="en-US" w:eastAsia="zh-CN"/>
                    </w:rPr>
                    <w:t>16#排气筒</w:t>
                  </w:r>
                </w:p>
              </w:tc>
              <w:tc>
                <w:tcPr>
                  <w:tcW w:w="404" w:type="pct"/>
                  <w:vMerge w:val="restart"/>
                  <w:tcBorders>
                    <w:left w:val="single" w:color="auto" w:sz="4" w:space="0"/>
                    <w:right w:val="single" w:color="auto" w:sz="4" w:space="0"/>
                  </w:tcBorders>
                  <w:vAlign w:val="center"/>
                </w:tcPr>
                <w:p w14:paraId="634CB212">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64" w:lineRule="auto"/>
                    <w:ind w:left="0" w:right="0"/>
                    <w:jc w:val="center"/>
                    <w:textAlignment w:val="auto"/>
                    <w:rPr>
                      <w:rFonts w:hint="default"/>
                      <w:bCs/>
                      <w:kern w:val="0"/>
                      <w:sz w:val="18"/>
                      <w:szCs w:val="18"/>
                      <w:highlight w:val="none"/>
                    </w:rPr>
                  </w:pPr>
                  <w:r>
                    <w:rPr>
                      <w:rFonts w:hint="eastAsia"/>
                      <w:bCs/>
                      <w:kern w:val="0"/>
                      <w:sz w:val="18"/>
                      <w:szCs w:val="18"/>
                      <w:highlight w:val="none"/>
                      <w:lang w:val="en-US" w:eastAsia="zh-CN"/>
                    </w:rPr>
                    <w:t>实验室废气</w:t>
                  </w:r>
                </w:p>
              </w:tc>
              <w:tc>
                <w:tcPr>
                  <w:tcW w:w="593" w:type="pct"/>
                  <w:tcBorders>
                    <w:left w:val="single" w:color="auto" w:sz="4" w:space="0"/>
                    <w:bottom w:val="single" w:color="auto" w:sz="4" w:space="0"/>
                    <w:right w:val="single" w:color="auto" w:sz="4" w:space="0"/>
                  </w:tcBorders>
                  <w:shd w:val="clear" w:color="auto" w:fill="auto"/>
                  <w:vAlign w:val="center"/>
                </w:tcPr>
                <w:p w14:paraId="19FA31ED">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64" w:lineRule="auto"/>
                    <w:ind w:left="0" w:right="0"/>
                    <w:jc w:val="center"/>
                    <w:textAlignment w:val="auto"/>
                    <w:rPr>
                      <w:rFonts w:hint="default"/>
                      <w:bCs/>
                      <w:kern w:val="0"/>
                      <w:sz w:val="18"/>
                      <w:szCs w:val="18"/>
                      <w:highlight w:val="none"/>
                    </w:rPr>
                  </w:pPr>
                  <w:r>
                    <w:rPr>
                      <w:rFonts w:hint="eastAsia"/>
                      <w:bCs/>
                      <w:kern w:val="0"/>
                      <w:sz w:val="18"/>
                      <w:szCs w:val="18"/>
                      <w:highlight w:val="none"/>
                      <w:lang w:val="en-US" w:eastAsia="zh-CN"/>
                    </w:rPr>
                    <w:t>非甲烷总烃</w:t>
                  </w:r>
                </w:p>
              </w:tc>
              <w:tc>
                <w:tcPr>
                  <w:tcW w:w="357" w:type="pct"/>
                  <w:tcBorders>
                    <w:top w:val="single" w:color="auto" w:sz="4" w:space="0"/>
                    <w:left w:val="single" w:color="auto" w:sz="4" w:space="0"/>
                    <w:bottom w:val="single" w:color="auto" w:sz="4" w:space="0"/>
                    <w:right w:val="single" w:color="auto" w:sz="4" w:space="0"/>
                  </w:tcBorders>
                  <w:vAlign w:val="center"/>
                </w:tcPr>
                <w:p w14:paraId="2643CA36">
                  <w:pPr>
                    <w:keepNext w:val="0"/>
                    <w:keepLines w:val="0"/>
                    <w:widowControl/>
                    <w:suppressLineNumbers w:val="0"/>
                    <w:spacing w:before="0" w:beforeAutospacing="0" w:after="0" w:afterAutospacing="0"/>
                    <w:ind w:left="0" w:right="0"/>
                    <w:jc w:val="center"/>
                    <w:textAlignment w:val="center"/>
                    <w:rPr>
                      <w:rFonts w:hint="eastAsia"/>
                      <w:bCs/>
                      <w:kern w:val="0"/>
                      <w:sz w:val="18"/>
                      <w:szCs w:val="18"/>
                      <w:highlight w:val="none"/>
                      <w:lang w:val="en-US" w:eastAsia="zh-CN"/>
                    </w:rPr>
                  </w:pPr>
                  <w:r>
                    <w:rPr>
                      <w:rFonts w:hint="default" w:ascii="Times New Roman" w:hAnsi="Times New Roman" w:eastAsia="宋体" w:cs="Times New Roman"/>
                      <w:i w:val="0"/>
                      <w:iCs w:val="0"/>
                      <w:color w:val="000000"/>
                      <w:kern w:val="0"/>
                      <w:sz w:val="18"/>
                      <w:szCs w:val="18"/>
                      <w:highlight w:val="none"/>
                      <w:u w:val="none"/>
                      <w:lang w:val="en-US" w:eastAsia="zh-CN" w:bidi="ar"/>
                    </w:rPr>
                    <w:t>0.199</w:t>
                  </w:r>
                </w:p>
              </w:tc>
              <w:tc>
                <w:tcPr>
                  <w:tcW w:w="357" w:type="pct"/>
                  <w:tcBorders>
                    <w:top w:val="single" w:color="auto" w:sz="4" w:space="0"/>
                    <w:left w:val="single" w:color="auto" w:sz="4" w:space="0"/>
                    <w:bottom w:val="single" w:color="auto" w:sz="4" w:space="0"/>
                    <w:right w:val="single" w:color="auto" w:sz="4" w:space="0"/>
                  </w:tcBorders>
                  <w:vAlign w:val="center"/>
                </w:tcPr>
                <w:p w14:paraId="2F2797E8">
                  <w:pPr>
                    <w:keepNext w:val="0"/>
                    <w:keepLines w:val="0"/>
                    <w:widowControl/>
                    <w:suppressLineNumbers w:val="0"/>
                    <w:spacing w:before="0" w:beforeAutospacing="0" w:after="0" w:afterAutospacing="0"/>
                    <w:ind w:left="0" w:right="0"/>
                    <w:jc w:val="center"/>
                    <w:textAlignment w:val="center"/>
                    <w:rPr>
                      <w:rFonts w:hint="eastAsia"/>
                      <w:bCs/>
                      <w:kern w:val="0"/>
                      <w:sz w:val="18"/>
                      <w:szCs w:val="18"/>
                      <w:highlight w:val="none"/>
                      <w:lang w:val="en-US" w:eastAsia="zh-CN"/>
                    </w:rPr>
                  </w:pPr>
                  <w:r>
                    <w:rPr>
                      <w:rFonts w:hint="default" w:ascii="Times New Roman" w:hAnsi="Times New Roman" w:eastAsia="宋体" w:cs="Times New Roman"/>
                      <w:i w:val="0"/>
                      <w:iCs w:val="0"/>
                      <w:color w:val="000000"/>
                      <w:kern w:val="0"/>
                      <w:sz w:val="18"/>
                      <w:szCs w:val="18"/>
                      <w:highlight w:val="none"/>
                      <w:u w:val="none"/>
                      <w:lang w:val="en-US" w:eastAsia="zh-CN" w:bidi="ar"/>
                    </w:rPr>
                    <w:t>0.096</w:t>
                  </w:r>
                </w:p>
              </w:tc>
              <w:tc>
                <w:tcPr>
                  <w:tcW w:w="404" w:type="pct"/>
                  <w:tcBorders>
                    <w:top w:val="single" w:color="auto" w:sz="4" w:space="0"/>
                    <w:left w:val="single" w:color="auto" w:sz="4" w:space="0"/>
                    <w:right w:val="single" w:color="auto" w:sz="4" w:space="0"/>
                  </w:tcBorders>
                  <w:shd w:val="clear" w:color="auto" w:fill="auto"/>
                  <w:vAlign w:val="center"/>
                </w:tcPr>
                <w:p w14:paraId="5DF1C72E">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64" w:lineRule="auto"/>
                    <w:ind w:left="0" w:right="0"/>
                    <w:jc w:val="center"/>
                    <w:textAlignment w:val="auto"/>
                    <w:rPr>
                      <w:rFonts w:hint="default" w:cs="Times New Roman"/>
                      <w:bCs/>
                      <w:kern w:val="0"/>
                      <w:sz w:val="18"/>
                      <w:szCs w:val="18"/>
                      <w:highlight w:val="none"/>
                      <w:lang w:val="en-US" w:eastAsia="zh-CN"/>
                    </w:rPr>
                  </w:pPr>
                  <w:r>
                    <w:rPr>
                      <w:rFonts w:hint="eastAsia" w:cs="Times New Roman"/>
                      <w:bCs/>
                      <w:kern w:val="0"/>
                      <w:sz w:val="18"/>
                      <w:szCs w:val="18"/>
                      <w:highlight w:val="none"/>
                      <w:lang w:val="en-US" w:eastAsia="zh-CN"/>
                    </w:rPr>
                    <w:t xml:space="preserve">1.69 </w:t>
                  </w:r>
                </w:p>
              </w:tc>
              <w:tc>
                <w:tcPr>
                  <w:tcW w:w="383" w:type="pct"/>
                  <w:tcBorders>
                    <w:left w:val="single" w:color="auto" w:sz="4" w:space="0"/>
                    <w:right w:val="single" w:color="auto" w:sz="4" w:space="0"/>
                  </w:tcBorders>
                  <w:shd w:val="clear" w:color="auto" w:fill="auto"/>
                  <w:vAlign w:val="center"/>
                </w:tcPr>
                <w:p w14:paraId="2FC467F9">
                  <w:pPr>
                    <w:keepNext w:val="0"/>
                    <w:keepLines w:val="0"/>
                    <w:widowControl/>
                    <w:suppressLineNumbers w:val="0"/>
                    <w:spacing w:before="0" w:beforeAutospacing="0" w:after="0" w:afterAutospacing="0" w:line="280" w:lineRule="exact"/>
                    <w:ind w:left="0" w:right="0"/>
                    <w:jc w:val="center"/>
                    <w:textAlignment w:val="center"/>
                    <w:rPr>
                      <w:rFonts w:hint="eastAsia" w:ascii="Times New Roman" w:hAnsi="Times New Roman" w:eastAsia="宋体" w:cs="Times New Roman"/>
                      <w:b w:val="0"/>
                      <w:bCs w:val="0"/>
                      <w:kern w:val="2"/>
                      <w:sz w:val="18"/>
                      <w:szCs w:val="18"/>
                      <w:highlight w:val="none"/>
                      <w:lang w:val="en-US" w:eastAsia="zh-CN" w:bidi="ar"/>
                    </w:rPr>
                  </w:pPr>
                  <w:r>
                    <w:rPr>
                      <w:rFonts w:hint="eastAsia"/>
                      <w:snapToGrid w:val="0"/>
                      <w:sz w:val="18"/>
                      <w:szCs w:val="18"/>
                      <w:highlight w:val="none"/>
                      <w:lang w:val="en-US" w:eastAsia="zh-CN"/>
                    </w:rPr>
                    <w:t>活性炭吸附</w:t>
                  </w:r>
                </w:p>
              </w:tc>
              <w:tc>
                <w:tcPr>
                  <w:tcW w:w="240" w:type="pct"/>
                  <w:tcBorders>
                    <w:left w:val="single" w:color="auto" w:sz="4" w:space="0"/>
                    <w:right w:val="single" w:color="auto" w:sz="4" w:space="0"/>
                  </w:tcBorders>
                  <w:shd w:val="clear" w:color="auto" w:fill="auto"/>
                  <w:vAlign w:val="center"/>
                </w:tcPr>
                <w:p w14:paraId="3913C96B">
                  <w:pPr>
                    <w:keepNext w:val="0"/>
                    <w:keepLines w:val="0"/>
                    <w:widowControl/>
                    <w:suppressLineNumbers w:val="0"/>
                    <w:spacing w:before="0" w:beforeAutospacing="0" w:after="0" w:afterAutospacing="0" w:line="280" w:lineRule="exact"/>
                    <w:ind w:left="0" w:right="0"/>
                    <w:jc w:val="center"/>
                    <w:textAlignment w:val="center"/>
                    <w:rPr>
                      <w:rFonts w:hint="eastAsia" w:ascii="Times New Roman" w:hAnsi="Times New Roman" w:eastAsia="宋体" w:cs="Times New Roman"/>
                      <w:b w:val="0"/>
                      <w:bCs w:val="0"/>
                      <w:kern w:val="2"/>
                      <w:sz w:val="18"/>
                      <w:szCs w:val="18"/>
                      <w:highlight w:val="none"/>
                      <w:lang w:val="en-US" w:eastAsia="zh-CN" w:bidi="ar"/>
                    </w:rPr>
                  </w:pPr>
                  <w:r>
                    <w:rPr>
                      <w:rFonts w:hint="eastAsia"/>
                      <w:bCs/>
                      <w:kern w:val="0"/>
                      <w:sz w:val="18"/>
                      <w:szCs w:val="18"/>
                      <w:highlight w:val="none"/>
                      <w:lang w:val="en-US" w:eastAsia="zh-CN"/>
                    </w:rPr>
                    <w:t>/</w:t>
                  </w:r>
                </w:p>
              </w:tc>
              <w:tc>
                <w:tcPr>
                  <w:tcW w:w="317" w:type="pct"/>
                  <w:tcBorders>
                    <w:left w:val="single" w:color="auto" w:sz="4" w:space="0"/>
                    <w:right w:val="single" w:color="auto" w:sz="4" w:space="0"/>
                  </w:tcBorders>
                  <w:shd w:val="clear" w:color="auto" w:fill="auto"/>
                  <w:vAlign w:val="center"/>
                </w:tcPr>
                <w:p w14:paraId="680EE97F">
                  <w:pPr>
                    <w:keepNext w:val="0"/>
                    <w:keepLines w:val="0"/>
                    <w:widowControl/>
                    <w:suppressLineNumbers w:val="0"/>
                    <w:spacing w:before="0" w:beforeAutospacing="0" w:after="0" w:afterAutospacing="0" w:line="280" w:lineRule="exact"/>
                    <w:ind w:left="0" w:right="0"/>
                    <w:jc w:val="center"/>
                    <w:textAlignment w:val="center"/>
                    <w:rPr>
                      <w:rFonts w:hint="eastAsia" w:ascii="Times New Roman" w:hAnsi="Times New Roman" w:eastAsia="宋体" w:cs="Times New Roman"/>
                      <w:b w:val="0"/>
                      <w:bCs w:val="0"/>
                      <w:kern w:val="2"/>
                      <w:sz w:val="18"/>
                      <w:szCs w:val="18"/>
                      <w:highlight w:val="none"/>
                      <w:lang w:val="en-US" w:eastAsia="zh-CN" w:bidi="ar"/>
                    </w:rPr>
                  </w:pPr>
                  <w:r>
                    <w:rPr>
                      <w:rFonts w:hint="eastAsia"/>
                      <w:sz w:val="18"/>
                      <w:szCs w:val="18"/>
                      <w:highlight w:val="none"/>
                      <w:lang w:val="en-US" w:eastAsia="zh-CN"/>
                    </w:rPr>
                    <w:t>56850</w:t>
                  </w:r>
                </w:p>
              </w:tc>
              <w:tc>
                <w:tcPr>
                  <w:tcW w:w="380" w:type="pct"/>
                  <w:tcBorders>
                    <w:top w:val="single" w:color="auto" w:sz="4" w:space="0"/>
                    <w:left w:val="single" w:color="auto" w:sz="4" w:space="0"/>
                    <w:right w:val="single" w:color="auto" w:sz="4" w:space="0"/>
                  </w:tcBorders>
                  <w:shd w:val="clear" w:color="auto" w:fill="auto"/>
                  <w:vAlign w:val="center"/>
                </w:tcPr>
                <w:p w14:paraId="77321F5B">
                  <w:pPr>
                    <w:keepNext w:val="0"/>
                    <w:keepLines w:val="0"/>
                    <w:widowControl/>
                    <w:suppressLineNumbers w:val="0"/>
                    <w:spacing w:before="0" w:beforeAutospacing="0" w:after="0" w:afterAutospacing="0"/>
                    <w:ind w:left="0" w:right="0"/>
                    <w:jc w:val="center"/>
                    <w:textAlignment w:val="center"/>
                    <w:rPr>
                      <w:rFonts w:hint="eastAsia" w:ascii="Times New Roman" w:hAnsi="Times New Roman" w:eastAsia="宋体" w:cs="Times New Roman"/>
                      <w:bCs/>
                      <w:kern w:val="0"/>
                      <w:sz w:val="18"/>
                      <w:szCs w:val="18"/>
                      <w:highlight w:val="none"/>
                      <w:lang w:val="en-US" w:eastAsia="zh-CN" w:bidi="ar-SA"/>
                    </w:rPr>
                  </w:pPr>
                  <w:r>
                    <w:rPr>
                      <w:rFonts w:hint="default" w:ascii="Times New Roman" w:hAnsi="Times New Roman" w:eastAsia="宋体" w:cs="Times New Roman"/>
                      <w:i w:val="0"/>
                      <w:iCs w:val="0"/>
                      <w:color w:val="000000"/>
                      <w:kern w:val="0"/>
                      <w:sz w:val="18"/>
                      <w:szCs w:val="18"/>
                      <w:highlight w:val="none"/>
                      <w:u w:val="none"/>
                      <w:lang w:val="en-US" w:eastAsia="zh-CN" w:bidi="ar"/>
                    </w:rPr>
                    <w:t>0.199</w:t>
                  </w:r>
                </w:p>
              </w:tc>
              <w:tc>
                <w:tcPr>
                  <w:tcW w:w="362" w:type="pct"/>
                  <w:tcBorders>
                    <w:top w:val="single" w:color="auto" w:sz="4" w:space="0"/>
                    <w:left w:val="single" w:color="auto" w:sz="4" w:space="0"/>
                    <w:right w:val="single" w:color="auto" w:sz="4" w:space="0"/>
                  </w:tcBorders>
                  <w:shd w:val="clear" w:color="auto" w:fill="auto"/>
                  <w:vAlign w:val="center"/>
                </w:tcPr>
                <w:p w14:paraId="4E751EE7">
                  <w:pPr>
                    <w:keepNext w:val="0"/>
                    <w:keepLines w:val="0"/>
                    <w:widowControl/>
                    <w:suppressLineNumbers w:val="0"/>
                    <w:spacing w:before="0" w:beforeAutospacing="0" w:after="0" w:afterAutospacing="0"/>
                    <w:ind w:left="0" w:right="0"/>
                    <w:jc w:val="center"/>
                    <w:textAlignment w:val="center"/>
                    <w:rPr>
                      <w:rFonts w:hint="eastAsia" w:ascii="Times New Roman" w:hAnsi="Times New Roman" w:eastAsia="宋体" w:cs="Times New Roman"/>
                      <w:bCs/>
                      <w:kern w:val="0"/>
                      <w:sz w:val="18"/>
                      <w:szCs w:val="18"/>
                      <w:highlight w:val="none"/>
                      <w:lang w:val="en-US" w:eastAsia="zh-CN" w:bidi="ar-SA"/>
                    </w:rPr>
                  </w:pPr>
                  <w:r>
                    <w:rPr>
                      <w:rFonts w:hint="default" w:ascii="Times New Roman" w:hAnsi="Times New Roman" w:eastAsia="宋体" w:cs="Times New Roman"/>
                      <w:i w:val="0"/>
                      <w:iCs w:val="0"/>
                      <w:color w:val="000000"/>
                      <w:kern w:val="0"/>
                      <w:sz w:val="18"/>
                      <w:szCs w:val="18"/>
                      <w:highlight w:val="none"/>
                      <w:u w:val="none"/>
                      <w:lang w:val="en-US" w:eastAsia="zh-CN" w:bidi="ar"/>
                    </w:rPr>
                    <w:t>0.096</w:t>
                  </w:r>
                </w:p>
              </w:tc>
              <w:tc>
                <w:tcPr>
                  <w:tcW w:w="340" w:type="pct"/>
                  <w:tcBorders>
                    <w:top w:val="single" w:color="auto" w:sz="4" w:space="0"/>
                    <w:left w:val="single" w:color="auto" w:sz="4" w:space="0"/>
                    <w:right w:val="single" w:color="auto" w:sz="4" w:space="0"/>
                  </w:tcBorders>
                  <w:shd w:val="clear" w:color="auto" w:fill="auto"/>
                  <w:vAlign w:val="center"/>
                </w:tcPr>
                <w:p w14:paraId="0FF0BEFB">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64" w:lineRule="auto"/>
                    <w:ind w:left="0" w:right="0"/>
                    <w:jc w:val="center"/>
                    <w:textAlignment w:val="auto"/>
                    <w:rPr>
                      <w:rFonts w:hint="eastAsia" w:ascii="Times New Roman" w:hAnsi="Times New Roman" w:eastAsia="宋体" w:cs="Times New Roman"/>
                      <w:bCs/>
                      <w:kern w:val="0"/>
                      <w:sz w:val="18"/>
                      <w:szCs w:val="18"/>
                      <w:highlight w:val="none"/>
                      <w:lang w:val="en-US" w:eastAsia="zh-CN" w:bidi="ar-SA"/>
                    </w:rPr>
                  </w:pPr>
                  <w:r>
                    <w:rPr>
                      <w:rFonts w:hint="eastAsia" w:cs="Times New Roman"/>
                      <w:bCs/>
                      <w:kern w:val="0"/>
                      <w:sz w:val="18"/>
                      <w:szCs w:val="18"/>
                      <w:highlight w:val="none"/>
                      <w:lang w:val="en-US" w:eastAsia="zh-CN"/>
                    </w:rPr>
                    <w:t>1.69</w:t>
                  </w:r>
                  <w:r>
                    <w:rPr>
                      <w:rFonts w:hint="eastAsia" w:ascii="Times New Roman" w:hAnsi="Times New Roman" w:eastAsia="宋体" w:cs="Times New Roman"/>
                      <w:bCs/>
                      <w:kern w:val="0"/>
                      <w:sz w:val="18"/>
                      <w:szCs w:val="18"/>
                      <w:highlight w:val="none"/>
                      <w:lang w:val="en-US" w:eastAsia="zh-CN"/>
                    </w:rPr>
                    <w:t xml:space="preserve"> </w:t>
                  </w:r>
                </w:p>
              </w:tc>
              <w:tc>
                <w:tcPr>
                  <w:tcW w:w="255" w:type="pct"/>
                  <w:vMerge w:val="restart"/>
                  <w:tcBorders>
                    <w:left w:val="single" w:color="auto" w:sz="4" w:space="0"/>
                    <w:right w:val="single" w:color="auto" w:sz="4" w:space="0"/>
                  </w:tcBorders>
                  <w:vAlign w:val="center"/>
                </w:tcPr>
                <w:p w14:paraId="7DB5F494">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64" w:lineRule="auto"/>
                    <w:ind w:left="0" w:right="0"/>
                    <w:jc w:val="center"/>
                    <w:textAlignment w:val="auto"/>
                    <w:rPr>
                      <w:rFonts w:hint="default"/>
                      <w:bCs/>
                      <w:kern w:val="0"/>
                      <w:sz w:val="18"/>
                      <w:szCs w:val="18"/>
                      <w:highlight w:val="none"/>
                    </w:rPr>
                  </w:pPr>
                  <w:r>
                    <w:rPr>
                      <w:rFonts w:hint="eastAsia"/>
                      <w:bCs/>
                      <w:kern w:val="0"/>
                      <w:sz w:val="18"/>
                      <w:szCs w:val="18"/>
                      <w:highlight w:val="none"/>
                      <w:lang w:val="en-US" w:eastAsia="zh-CN"/>
                    </w:rPr>
                    <w:t>2080</w:t>
                  </w:r>
                </w:p>
              </w:tc>
            </w:tr>
            <w:tr w14:paraId="1A3CE9A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189" w:hRule="atLeast"/>
                <w:jc w:val="center"/>
              </w:trPr>
              <w:tc>
                <w:tcPr>
                  <w:tcW w:w="271" w:type="pct"/>
                  <w:vMerge w:val="continue"/>
                  <w:tcBorders>
                    <w:left w:val="single" w:color="auto" w:sz="4" w:space="0"/>
                    <w:right w:val="single" w:color="auto" w:sz="4" w:space="0"/>
                  </w:tcBorders>
                  <w:vAlign w:val="center"/>
                </w:tcPr>
                <w:p w14:paraId="50B8F9AA">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64" w:lineRule="auto"/>
                    <w:ind w:left="0" w:right="0"/>
                    <w:jc w:val="center"/>
                    <w:textAlignment w:val="auto"/>
                    <w:rPr>
                      <w:rFonts w:hint="eastAsia"/>
                      <w:bCs/>
                      <w:kern w:val="0"/>
                      <w:sz w:val="18"/>
                      <w:szCs w:val="18"/>
                      <w:highlight w:val="none"/>
                      <w:lang w:val="en-US" w:eastAsia="zh-CN"/>
                    </w:rPr>
                  </w:pPr>
                </w:p>
              </w:tc>
              <w:tc>
                <w:tcPr>
                  <w:tcW w:w="331" w:type="pct"/>
                  <w:vMerge w:val="continue"/>
                  <w:tcBorders>
                    <w:left w:val="single" w:color="auto" w:sz="4" w:space="0"/>
                    <w:right w:val="single" w:color="auto" w:sz="4" w:space="0"/>
                  </w:tcBorders>
                  <w:vAlign w:val="center"/>
                </w:tcPr>
                <w:p w14:paraId="775957C3">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64" w:lineRule="auto"/>
                    <w:ind w:left="0" w:right="0"/>
                    <w:jc w:val="center"/>
                    <w:textAlignment w:val="auto"/>
                    <w:rPr>
                      <w:rFonts w:hint="eastAsia"/>
                      <w:bCs/>
                      <w:kern w:val="0"/>
                      <w:sz w:val="18"/>
                      <w:szCs w:val="18"/>
                      <w:highlight w:val="none"/>
                      <w:lang w:val="en-US" w:eastAsia="zh-CN"/>
                    </w:rPr>
                  </w:pPr>
                </w:p>
              </w:tc>
              <w:tc>
                <w:tcPr>
                  <w:tcW w:w="404" w:type="pct"/>
                  <w:vMerge w:val="continue"/>
                  <w:tcBorders>
                    <w:left w:val="single" w:color="auto" w:sz="4" w:space="0"/>
                    <w:right w:val="single" w:color="auto" w:sz="4" w:space="0"/>
                  </w:tcBorders>
                  <w:vAlign w:val="center"/>
                </w:tcPr>
                <w:p w14:paraId="7A95C6AE">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64" w:lineRule="auto"/>
                    <w:ind w:left="0" w:right="0"/>
                    <w:jc w:val="center"/>
                    <w:textAlignment w:val="auto"/>
                    <w:rPr>
                      <w:rFonts w:hint="eastAsia"/>
                      <w:bCs/>
                      <w:kern w:val="0"/>
                      <w:sz w:val="18"/>
                      <w:szCs w:val="18"/>
                      <w:highlight w:val="none"/>
                      <w:lang w:val="en-US" w:eastAsia="zh-CN"/>
                    </w:rPr>
                  </w:pPr>
                </w:p>
              </w:tc>
              <w:tc>
                <w:tcPr>
                  <w:tcW w:w="593" w:type="pct"/>
                  <w:tcBorders>
                    <w:left w:val="single" w:color="auto" w:sz="4" w:space="0"/>
                    <w:bottom w:val="single" w:color="auto" w:sz="4" w:space="0"/>
                    <w:right w:val="single" w:color="auto" w:sz="4" w:space="0"/>
                  </w:tcBorders>
                  <w:shd w:val="clear" w:color="auto" w:fill="auto"/>
                  <w:vAlign w:val="center"/>
                </w:tcPr>
                <w:p w14:paraId="32827FC3">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64" w:lineRule="auto"/>
                    <w:ind w:left="0" w:right="0"/>
                    <w:jc w:val="center"/>
                    <w:textAlignment w:val="auto"/>
                    <w:rPr>
                      <w:rFonts w:hint="eastAsia" w:ascii="Times New Roman" w:hAnsi="Times New Roman" w:eastAsia="宋体" w:cs="Times New Roman"/>
                      <w:bCs/>
                      <w:kern w:val="0"/>
                      <w:sz w:val="18"/>
                      <w:szCs w:val="18"/>
                      <w:highlight w:val="none"/>
                      <w:lang w:val="en-US" w:eastAsia="zh-CN" w:bidi="ar-SA"/>
                    </w:rPr>
                  </w:pPr>
                  <w:r>
                    <w:rPr>
                      <w:rFonts w:hint="eastAsia"/>
                      <w:bCs/>
                      <w:kern w:val="0"/>
                      <w:sz w:val="18"/>
                      <w:szCs w:val="18"/>
                      <w:highlight w:val="none"/>
                      <w:lang w:val="en-US" w:eastAsia="zh-CN"/>
                    </w:rPr>
                    <w:t>氯化氢</w:t>
                  </w:r>
                </w:p>
              </w:tc>
              <w:tc>
                <w:tcPr>
                  <w:tcW w:w="1119" w:type="pct"/>
                  <w:gridSpan w:val="3"/>
                  <w:tcBorders>
                    <w:top w:val="single" w:color="auto" w:sz="4" w:space="0"/>
                    <w:left w:val="single" w:color="auto" w:sz="4" w:space="0"/>
                    <w:bottom w:val="single" w:color="auto" w:sz="4" w:space="0"/>
                    <w:right w:val="single" w:color="auto" w:sz="4" w:space="0"/>
                  </w:tcBorders>
                  <w:vAlign w:val="center"/>
                </w:tcPr>
                <w:p w14:paraId="24E0BCE7">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64" w:lineRule="auto"/>
                    <w:ind w:left="0" w:right="0"/>
                    <w:jc w:val="center"/>
                    <w:textAlignment w:val="auto"/>
                    <w:rPr>
                      <w:rFonts w:hint="eastAsia" w:cs="Times New Roman"/>
                      <w:bCs/>
                      <w:kern w:val="0"/>
                      <w:sz w:val="18"/>
                      <w:szCs w:val="18"/>
                      <w:highlight w:val="none"/>
                      <w:lang w:val="en-US" w:eastAsia="zh-CN"/>
                    </w:rPr>
                  </w:pPr>
                  <w:r>
                    <w:rPr>
                      <w:rFonts w:hint="eastAsia" w:cs="Times New Roman"/>
                      <w:bCs/>
                      <w:kern w:val="0"/>
                      <w:sz w:val="18"/>
                      <w:szCs w:val="18"/>
                      <w:highlight w:val="none"/>
                      <w:lang w:val="en-US" w:eastAsia="zh-CN"/>
                    </w:rPr>
                    <w:t>少量</w:t>
                  </w:r>
                </w:p>
              </w:tc>
              <w:tc>
                <w:tcPr>
                  <w:tcW w:w="383" w:type="pct"/>
                  <w:tcBorders>
                    <w:left w:val="single" w:color="auto" w:sz="4" w:space="0"/>
                    <w:right w:val="single" w:color="auto" w:sz="4" w:space="0"/>
                  </w:tcBorders>
                  <w:shd w:val="clear" w:color="auto" w:fill="auto"/>
                  <w:vAlign w:val="center"/>
                </w:tcPr>
                <w:p w14:paraId="5794A13A">
                  <w:pPr>
                    <w:keepNext w:val="0"/>
                    <w:keepLines w:val="0"/>
                    <w:widowControl/>
                    <w:suppressLineNumbers w:val="0"/>
                    <w:spacing w:before="0" w:beforeAutospacing="0" w:after="0" w:afterAutospacing="0" w:line="280" w:lineRule="exact"/>
                    <w:ind w:left="0" w:right="0"/>
                    <w:jc w:val="center"/>
                    <w:textAlignment w:val="center"/>
                    <w:rPr>
                      <w:rFonts w:hint="eastAsia"/>
                      <w:snapToGrid w:val="0"/>
                      <w:sz w:val="18"/>
                      <w:szCs w:val="18"/>
                      <w:highlight w:val="none"/>
                      <w:lang w:val="en-US" w:eastAsia="zh-CN"/>
                    </w:rPr>
                  </w:pPr>
                  <w:r>
                    <w:rPr>
                      <w:rFonts w:hint="eastAsia"/>
                      <w:bCs/>
                      <w:kern w:val="0"/>
                      <w:sz w:val="18"/>
                      <w:szCs w:val="18"/>
                      <w:highlight w:val="none"/>
                      <w:lang w:val="en-US" w:eastAsia="zh-CN"/>
                    </w:rPr>
                    <w:t>/</w:t>
                  </w:r>
                </w:p>
              </w:tc>
              <w:tc>
                <w:tcPr>
                  <w:tcW w:w="240" w:type="pct"/>
                  <w:tcBorders>
                    <w:left w:val="single" w:color="auto" w:sz="4" w:space="0"/>
                    <w:right w:val="single" w:color="auto" w:sz="4" w:space="0"/>
                  </w:tcBorders>
                  <w:shd w:val="clear" w:color="auto" w:fill="auto"/>
                  <w:vAlign w:val="center"/>
                </w:tcPr>
                <w:p w14:paraId="2ECF0E44">
                  <w:pPr>
                    <w:keepNext w:val="0"/>
                    <w:keepLines w:val="0"/>
                    <w:widowControl/>
                    <w:suppressLineNumbers w:val="0"/>
                    <w:spacing w:before="0" w:beforeAutospacing="0" w:after="0" w:afterAutospacing="0" w:line="280" w:lineRule="exact"/>
                    <w:ind w:left="0" w:right="0"/>
                    <w:jc w:val="center"/>
                    <w:textAlignment w:val="center"/>
                    <w:rPr>
                      <w:rFonts w:hint="eastAsia"/>
                      <w:bCs/>
                      <w:kern w:val="0"/>
                      <w:sz w:val="18"/>
                      <w:szCs w:val="18"/>
                      <w:highlight w:val="none"/>
                      <w:lang w:val="en-US" w:eastAsia="zh-CN"/>
                    </w:rPr>
                  </w:pPr>
                  <w:r>
                    <w:rPr>
                      <w:rFonts w:hint="eastAsia"/>
                      <w:bCs/>
                      <w:kern w:val="0"/>
                      <w:sz w:val="18"/>
                      <w:szCs w:val="18"/>
                      <w:highlight w:val="none"/>
                      <w:lang w:val="en-US" w:eastAsia="zh-CN"/>
                    </w:rPr>
                    <w:t>/</w:t>
                  </w:r>
                </w:p>
              </w:tc>
              <w:tc>
                <w:tcPr>
                  <w:tcW w:w="317" w:type="pct"/>
                  <w:tcBorders>
                    <w:left w:val="single" w:color="auto" w:sz="4" w:space="0"/>
                    <w:right w:val="single" w:color="auto" w:sz="4" w:space="0"/>
                  </w:tcBorders>
                  <w:shd w:val="clear" w:color="auto" w:fill="auto"/>
                  <w:vAlign w:val="center"/>
                </w:tcPr>
                <w:p w14:paraId="3B65005C">
                  <w:pPr>
                    <w:keepNext w:val="0"/>
                    <w:keepLines w:val="0"/>
                    <w:widowControl/>
                    <w:suppressLineNumbers w:val="0"/>
                    <w:spacing w:before="0" w:beforeAutospacing="0" w:after="0" w:afterAutospacing="0" w:line="280" w:lineRule="exact"/>
                    <w:ind w:left="0" w:right="0"/>
                    <w:jc w:val="center"/>
                    <w:textAlignment w:val="center"/>
                    <w:rPr>
                      <w:rFonts w:hint="eastAsia"/>
                      <w:sz w:val="18"/>
                      <w:szCs w:val="18"/>
                      <w:highlight w:val="none"/>
                      <w:lang w:val="en-US" w:eastAsia="zh-CN"/>
                    </w:rPr>
                  </w:pPr>
                  <w:r>
                    <w:rPr>
                      <w:rFonts w:hint="eastAsia"/>
                      <w:bCs/>
                      <w:kern w:val="0"/>
                      <w:sz w:val="18"/>
                      <w:szCs w:val="18"/>
                      <w:highlight w:val="none"/>
                      <w:lang w:val="en-US" w:eastAsia="zh-CN"/>
                    </w:rPr>
                    <w:t>/</w:t>
                  </w:r>
                </w:p>
              </w:tc>
              <w:tc>
                <w:tcPr>
                  <w:tcW w:w="1083" w:type="pct"/>
                  <w:gridSpan w:val="3"/>
                  <w:tcBorders>
                    <w:top w:val="single" w:color="auto" w:sz="4" w:space="0"/>
                    <w:left w:val="single" w:color="auto" w:sz="4" w:space="0"/>
                    <w:right w:val="single" w:color="auto" w:sz="4" w:space="0"/>
                  </w:tcBorders>
                  <w:shd w:val="clear" w:color="auto" w:fill="auto"/>
                  <w:vAlign w:val="center"/>
                </w:tcPr>
                <w:p w14:paraId="39FB7012">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64" w:lineRule="auto"/>
                    <w:ind w:left="0" w:right="0"/>
                    <w:jc w:val="center"/>
                    <w:textAlignment w:val="auto"/>
                    <w:rPr>
                      <w:rFonts w:hint="eastAsia" w:ascii="Times New Roman" w:hAnsi="Times New Roman" w:eastAsia="宋体" w:cs="Times New Roman"/>
                      <w:bCs/>
                      <w:kern w:val="0"/>
                      <w:sz w:val="18"/>
                      <w:szCs w:val="18"/>
                      <w:highlight w:val="none"/>
                      <w:lang w:val="en-US" w:eastAsia="zh-CN"/>
                    </w:rPr>
                  </w:pPr>
                  <w:r>
                    <w:rPr>
                      <w:rFonts w:hint="eastAsia" w:cs="Times New Roman"/>
                      <w:bCs/>
                      <w:kern w:val="0"/>
                      <w:sz w:val="18"/>
                      <w:szCs w:val="18"/>
                      <w:highlight w:val="none"/>
                      <w:lang w:val="en-US" w:eastAsia="zh-CN"/>
                    </w:rPr>
                    <w:t>少量</w:t>
                  </w:r>
                </w:p>
              </w:tc>
              <w:tc>
                <w:tcPr>
                  <w:tcW w:w="255" w:type="pct"/>
                  <w:vMerge w:val="continue"/>
                  <w:tcBorders>
                    <w:left w:val="single" w:color="auto" w:sz="4" w:space="0"/>
                    <w:right w:val="single" w:color="auto" w:sz="4" w:space="0"/>
                  </w:tcBorders>
                  <w:vAlign w:val="center"/>
                </w:tcPr>
                <w:p w14:paraId="55011C20">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64" w:lineRule="auto"/>
                    <w:ind w:left="0" w:right="0"/>
                    <w:jc w:val="center"/>
                    <w:textAlignment w:val="auto"/>
                    <w:rPr>
                      <w:rFonts w:hint="eastAsia"/>
                      <w:bCs/>
                      <w:kern w:val="0"/>
                      <w:sz w:val="18"/>
                      <w:szCs w:val="18"/>
                      <w:highlight w:val="none"/>
                      <w:lang w:val="en-US" w:eastAsia="zh-CN"/>
                    </w:rPr>
                  </w:pPr>
                </w:p>
              </w:tc>
            </w:tr>
            <w:tr w14:paraId="6C3CE9C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189" w:hRule="atLeast"/>
                <w:jc w:val="center"/>
              </w:trPr>
              <w:tc>
                <w:tcPr>
                  <w:tcW w:w="271" w:type="pct"/>
                  <w:vMerge w:val="continue"/>
                  <w:tcBorders>
                    <w:left w:val="single" w:color="auto" w:sz="4" w:space="0"/>
                    <w:right w:val="single" w:color="auto" w:sz="4" w:space="0"/>
                  </w:tcBorders>
                  <w:vAlign w:val="center"/>
                </w:tcPr>
                <w:p w14:paraId="33EEB69B">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64" w:lineRule="auto"/>
                    <w:ind w:left="0" w:right="0"/>
                    <w:jc w:val="center"/>
                    <w:textAlignment w:val="auto"/>
                    <w:rPr>
                      <w:rFonts w:hint="eastAsia"/>
                      <w:bCs/>
                      <w:kern w:val="0"/>
                      <w:sz w:val="18"/>
                      <w:szCs w:val="18"/>
                      <w:highlight w:val="none"/>
                      <w:lang w:val="en-US" w:eastAsia="zh-CN"/>
                    </w:rPr>
                  </w:pPr>
                </w:p>
              </w:tc>
              <w:tc>
                <w:tcPr>
                  <w:tcW w:w="331" w:type="pct"/>
                  <w:vMerge w:val="continue"/>
                  <w:tcBorders>
                    <w:left w:val="single" w:color="auto" w:sz="4" w:space="0"/>
                    <w:right w:val="single" w:color="auto" w:sz="4" w:space="0"/>
                  </w:tcBorders>
                  <w:vAlign w:val="center"/>
                </w:tcPr>
                <w:p w14:paraId="3FA8193F">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64" w:lineRule="auto"/>
                    <w:ind w:left="0" w:right="0"/>
                    <w:jc w:val="center"/>
                    <w:textAlignment w:val="auto"/>
                    <w:rPr>
                      <w:rFonts w:hint="eastAsia"/>
                      <w:bCs/>
                      <w:kern w:val="0"/>
                      <w:sz w:val="18"/>
                      <w:szCs w:val="18"/>
                      <w:highlight w:val="none"/>
                      <w:lang w:val="en-US" w:eastAsia="zh-CN"/>
                    </w:rPr>
                  </w:pPr>
                </w:p>
              </w:tc>
              <w:tc>
                <w:tcPr>
                  <w:tcW w:w="404" w:type="pct"/>
                  <w:vMerge w:val="continue"/>
                  <w:tcBorders>
                    <w:left w:val="single" w:color="auto" w:sz="4" w:space="0"/>
                    <w:right w:val="single" w:color="auto" w:sz="4" w:space="0"/>
                  </w:tcBorders>
                  <w:vAlign w:val="center"/>
                </w:tcPr>
                <w:p w14:paraId="71CEE271">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64" w:lineRule="auto"/>
                    <w:ind w:left="0" w:right="0"/>
                    <w:jc w:val="center"/>
                    <w:textAlignment w:val="auto"/>
                    <w:rPr>
                      <w:rFonts w:hint="eastAsia"/>
                      <w:bCs/>
                      <w:kern w:val="0"/>
                      <w:sz w:val="18"/>
                      <w:szCs w:val="18"/>
                      <w:highlight w:val="none"/>
                      <w:lang w:val="en-US" w:eastAsia="zh-CN"/>
                    </w:rPr>
                  </w:pPr>
                </w:p>
              </w:tc>
              <w:tc>
                <w:tcPr>
                  <w:tcW w:w="593" w:type="pct"/>
                  <w:tcBorders>
                    <w:left w:val="single" w:color="auto" w:sz="4" w:space="0"/>
                    <w:bottom w:val="single" w:color="auto" w:sz="4" w:space="0"/>
                    <w:right w:val="single" w:color="auto" w:sz="4" w:space="0"/>
                  </w:tcBorders>
                  <w:shd w:val="clear" w:color="auto" w:fill="auto"/>
                  <w:vAlign w:val="center"/>
                </w:tcPr>
                <w:p w14:paraId="76C9DCD2">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64" w:lineRule="auto"/>
                    <w:ind w:left="0" w:right="0"/>
                    <w:jc w:val="center"/>
                    <w:textAlignment w:val="auto"/>
                    <w:rPr>
                      <w:rFonts w:hint="eastAsia" w:ascii="Times New Roman" w:hAnsi="Times New Roman" w:eastAsia="宋体" w:cs="Times New Roman"/>
                      <w:bCs/>
                      <w:kern w:val="0"/>
                      <w:sz w:val="18"/>
                      <w:szCs w:val="18"/>
                      <w:highlight w:val="none"/>
                      <w:lang w:val="en-US" w:eastAsia="zh-CN" w:bidi="ar-SA"/>
                    </w:rPr>
                  </w:pPr>
                  <w:r>
                    <w:rPr>
                      <w:rFonts w:hint="eastAsia"/>
                      <w:bCs/>
                      <w:kern w:val="0"/>
                      <w:sz w:val="18"/>
                      <w:szCs w:val="18"/>
                      <w:highlight w:val="none"/>
                      <w:lang w:val="en-US" w:eastAsia="zh-CN"/>
                    </w:rPr>
                    <w:t>硫酸雾</w:t>
                  </w:r>
                </w:p>
              </w:tc>
              <w:tc>
                <w:tcPr>
                  <w:tcW w:w="1119" w:type="pct"/>
                  <w:gridSpan w:val="3"/>
                  <w:tcBorders>
                    <w:top w:val="single" w:color="auto" w:sz="4" w:space="0"/>
                    <w:left w:val="single" w:color="auto" w:sz="4" w:space="0"/>
                    <w:bottom w:val="single" w:color="auto" w:sz="4" w:space="0"/>
                    <w:right w:val="single" w:color="auto" w:sz="4" w:space="0"/>
                  </w:tcBorders>
                  <w:vAlign w:val="center"/>
                </w:tcPr>
                <w:p w14:paraId="13C11DDE">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64" w:lineRule="auto"/>
                    <w:ind w:left="0" w:right="0"/>
                    <w:jc w:val="center"/>
                    <w:textAlignment w:val="auto"/>
                    <w:rPr>
                      <w:rFonts w:hint="eastAsia" w:cs="Times New Roman"/>
                      <w:bCs/>
                      <w:kern w:val="0"/>
                      <w:sz w:val="18"/>
                      <w:szCs w:val="18"/>
                      <w:highlight w:val="none"/>
                      <w:lang w:val="en-US" w:eastAsia="zh-CN"/>
                    </w:rPr>
                  </w:pPr>
                  <w:r>
                    <w:rPr>
                      <w:rFonts w:hint="eastAsia" w:cs="Times New Roman"/>
                      <w:bCs/>
                      <w:kern w:val="0"/>
                      <w:sz w:val="18"/>
                      <w:szCs w:val="18"/>
                      <w:highlight w:val="none"/>
                      <w:lang w:val="en-US" w:eastAsia="zh-CN"/>
                    </w:rPr>
                    <w:t>少量</w:t>
                  </w:r>
                </w:p>
              </w:tc>
              <w:tc>
                <w:tcPr>
                  <w:tcW w:w="383" w:type="pct"/>
                  <w:tcBorders>
                    <w:left w:val="single" w:color="auto" w:sz="4" w:space="0"/>
                    <w:right w:val="single" w:color="auto" w:sz="4" w:space="0"/>
                  </w:tcBorders>
                  <w:shd w:val="clear" w:color="auto" w:fill="auto"/>
                  <w:vAlign w:val="center"/>
                </w:tcPr>
                <w:p w14:paraId="390C5832">
                  <w:pPr>
                    <w:keepNext w:val="0"/>
                    <w:keepLines w:val="0"/>
                    <w:widowControl/>
                    <w:suppressLineNumbers w:val="0"/>
                    <w:spacing w:before="0" w:beforeAutospacing="0" w:after="0" w:afterAutospacing="0" w:line="280" w:lineRule="exact"/>
                    <w:ind w:left="0" w:right="0"/>
                    <w:jc w:val="center"/>
                    <w:textAlignment w:val="center"/>
                    <w:rPr>
                      <w:rFonts w:hint="eastAsia"/>
                      <w:snapToGrid w:val="0"/>
                      <w:sz w:val="18"/>
                      <w:szCs w:val="18"/>
                      <w:highlight w:val="none"/>
                      <w:lang w:val="en-US" w:eastAsia="zh-CN"/>
                    </w:rPr>
                  </w:pPr>
                  <w:r>
                    <w:rPr>
                      <w:rFonts w:hint="eastAsia"/>
                      <w:bCs/>
                      <w:kern w:val="0"/>
                      <w:sz w:val="18"/>
                      <w:szCs w:val="18"/>
                      <w:highlight w:val="none"/>
                      <w:lang w:val="en-US" w:eastAsia="zh-CN"/>
                    </w:rPr>
                    <w:t>/</w:t>
                  </w:r>
                </w:p>
              </w:tc>
              <w:tc>
                <w:tcPr>
                  <w:tcW w:w="240" w:type="pct"/>
                  <w:tcBorders>
                    <w:left w:val="single" w:color="auto" w:sz="4" w:space="0"/>
                    <w:right w:val="single" w:color="auto" w:sz="4" w:space="0"/>
                  </w:tcBorders>
                  <w:shd w:val="clear" w:color="auto" w:fill="auto"/>
                  <w:vAlign w:val="center"/>
                </w:tcPr>
                <w:p w14:paraId="16CE3FD9">
                  <w:pPr>
                    <w:keepNext w:val="0"/>
                    <w:keepLines w:val="0"/>
                    <w:widowControl/>
                    <w:suppressLineNumbers w:val="0"/>
                    <w:spacing w:before="0" w:beforeAutospacing="0" w:after="0" w:afterAutospacing="0" w:line="280" w:lineRule="exact"/>
                    <w:ind w:left="0" w:right="0"/>
                    <w:jc w:val="center"/>
                    <w:textAlignment w:val="center"/>
                    <w:rPr>
                      <w:rFonts w:hint="eastAsia"/>
                      <w:bCs/>
                      <w:kern w:val="0"/>
                      <w:sz w:val="18"/>
                      <w:szCs w:val="18"/>
                      <w:highlight w:val="none"/>
                      <w:lang w:val="en-US" w:eastAsia="zh-CN"/>
                    </w:rPr>
                  </w:pPr>
                  <w:r>
                    <w:rPr>
                      <w:rFonts w:hint="eastAsia"/>
                      <w:bCs/>
                      <w:kern w:val="0"/>
                      <w:sz w:val="18"/>
                      <w:szCs w:val="18"/>
                      <w:highlight w:val="none"/>
                      <w:lang w:val="en-US" w:eastAsia="zh-CN"/>
                    </w:rPr>
                    <w:t>/</w:t>
                  </w:r>
                </w:p>
              </w:tc>
              <w:tc>
                <w:tcPr>
                  <w:tcW w:w="317" w:type="pct"/>
                  <w:tcBorders>
                    <w:left w:val="single" w:color="auto" w:sz="4" w:space="0"/>
                    <w:right w:val="single" w:color="auto" w:sz="4" w:space="0"/>
                  </w:tcBorders>
                  <w:shd w:val="clear" w:color="auto" w:fill="auto"/>
                  <w:vAlign w:val="center"/>
                </w:tcPr>
                <w:p w14:paraId="3C347DFD">
                  <w:pPr>
                    <w:keepNext w:val="0"/>
                    <w:keepLines w:val="0"/>
                    <w:widowControl/>
                    <w:suppressLineNumbers w:val="0"/>
                    <w:spacing w:before="0" w:beforeAutospacing="0" w:after="0" w:afterAutospacing="0" w:line="280" w:lineRule="exact"/>
                    <w:ind w:left="0" w:right="0"/>
                    <w:jc w:val="center"/>
                    <w:textAlignment w:val="center"/>
                    <w:rPr>
                      <w:rFonts w:hint="eastAsia"/>
                      <w:sz w:val="18"/>
                      <w:szCs w:val="18"/>
                      <w:highlight w:val="none"/>
                      <w:lang w:val="en-US" w:eastAsia="zh-CN"/>
                    </w:rPr>
                  </w:pPr>
                  <w:r>
                    <w:rPr>
                      <w:rFonts w:hint="eastAsia"/>
                      <w:bCs/>
                      <w:kern w:val="0"/>
                      <w:sz w:val="18"/>
                      <w:szCs w:val="18"/>
                      <w:highlight w:val="none"/>
                      <w:lang w:val="en-US" w:eastAsia="zh-CN"/>
                    </w:rPr>
                    <w:t>/</w:t>
                  </w:r>
                </w:p>
              </w:tc>
              <w:tc>
                <w:tcPr>
                  <w:tcW w:w="1083" w:type="pct"/>
                  <w:gridSpan w:val="3"/>
                  <w:tcBorders>
                    <w:top w:val="single" w:color="auto" w:sz="4" w:space="0"/>
                    <w:left w:val="single" w:color="auto" w:sz="4" w:space="0"/>
                    <w:right w:val="single" w:color="auto" w:sz="4" w:space="0"/>
                  </w:tcBorders>
                  <w:shd w:val="clear" w:color="auto" w:fill="auto"/>
                  <w:vAlign w:val="center"/>
                </w:tcPr>
                <w:p w14:paraId="4829564E">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64" w:lineRule="auto"/>
                    <w:ind w:left="0" w:right="0"/>
                    <w:jc w:val="center"/>
                    <w:textAlignment w:val="auto"/>
                    <w:rPr>
                      <w:rFonts w:hint="eastAsia" w:ascii="Times New Roman" w:hAnsi="Times New Roman" w:eastAsia="宋体" w:cs="Times New Roman"/>
                      <w:bCs/>
                      <w:kern w:val="0"/>
                      <w:sz w:val="18"/>
                      <w:szCs w:val="18"/>
                      <w:highlight w:val="none"/>
                      <w:lang w:val="en-US" w:eastAsia="zh-CN"/>
                    </w:rPr>
                  </w:pPr>
                  <w:r>
                    <w:rPr>
                      <w:rFonts w:hint="eastAsia" w:cs="Times New Roman"/>
                      <w:bCs/>
                      <w:kern w:val="0"/>
                      <w:sz w:val="18"/>
                      <w:szCs w:val="18"/>
                      <w:highlight w:val="none"/>
                      <w:lang w:val="en-US" w:eastAsia="zh-CN"/>
                    </w:rPr>
                    <w:t>少量</w:t>
                  </w:r>
                </w:p>
              </w:tc>
              <w:tc>
                <w:tcPr>
                  <w:tcW w:w="255" w:type="pct"/>
                  <w:vMerge w:val="continue"/>
                  <w:tcBorders>
                    <w:left w:val="single" w:color="auto" w:sz="4" w:space="0"/>
                    <w:right w:val="single" w:color="auto" w:sz="4" w:space="0"/>
                  </w:tcBorders>
                  <w:vAlign w:val="center"/>
                </w:tcPr>
                <w:p w14:paraId="12C5D15B">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64" w:lineRule="auto"/>
                    <w:ind w:left="0" w:right="0"/>
                    <w:jc w:val="center"/>
                    <w:textAlignment w:val="auto"/>
                    <w:rPr>
                      <w:rFonts w:hint="eastAsia"/>
                      <w:bCs/>
                      <w:kern w:val="0"/>
                      <w:sz w:val="18"/>
                      <w:szCs w:val="18"/>
                      <w:highlight w:val="none"/>
                      <w:lang w:val="en-US" w:eastAsia="zh-CN"/>
                    </w:rPr>
                  </w:pPr>
                </w:p>
              </w:tc>
            </w:tr>
            <w:tr w14:paraId="55325CA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189" w:hRule="atLeast"/>
                <w:jc w:val="center"/>
              </w:trPr>
              <w:tc>
                <w:tcPr>
                  <w:tcW w:w="271" w:type="pct"/>
                  <w:vMerge w:val="restart"/>
                  <w:tcBorders>
                    <w:left w:val="single" w:color="auto" w:sz="4" w:space="0"/>
                    <w:right w:val="single" w:color="auto" w:sz="4" w:space="0"/>
                  </w:tcBorders>
                  <w:vAlign w:val="center"/>
                </w:tcPr>
                <w:p w14:paraId="2AFEC181">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64" w:lineRule="auto"/>
                    <w:ind w:left="0" w:right="0"/>
                    <w:jc w:val="center"/>
                    <w:textAlignment w:val="auto"/>
                    <w:rPr>
                      <w:rFonts w:hint="default"/>
                      <w:bCs/>
                      <w:kern w:val="0"/>
                      <w:sz w:val="18"/>
                      <w:szCs w:val="18"/>
                      <w:highlight w:val="none"/>
                      <w:lang w:val="en-US"/>
                    </w:rPr>
                  </w:pPr>
                  <w:r>
                    <w:rPr>
                      <w:rFonts w:hint="eastAsia"/>
                      <w:bCs/>
                      <w:kern w:val="0"/>
                      <w:sz w:val="18"/>
                      <w:szCs w:val="18"/>
                      <w:highlight w:val="none"/>
                      <w:lang w:val="en-US" w:eastAsia="zh-CN"/>
                    </w:rPr>
                    <w:t>DA017</w:t>
                  </w:r>
                </w:p>
              </w:tc>
              <w:tc>
                <w:tcPr>
                  <w:tcW w:w="331" w:type="pct"/>
                  <w:vMerge w:val="restart"/>
                  <w:tcBorders>
                    <w:left w:val="single" w:color="auto" w:sz="4" w:space="0"/>
                    <w:right w:val="single" w:color="auto" w:sz="4" w:space="0"/>
                  </w:tcBorders>
                  <w:vAlign w:val="center"/>
                </w:tcPr>
                <w:p w14:paraId="28567013">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64" w:lineRule="auto"/>
                    <w:ind w:left="0" w:right="0"/>
                    <w:jc w:val="center"/>
                    <w:textAlignment w:val="auto"/>
                    <w:rPr>
                      <w:rFonts w:hint="default"/>
                      <w:bCs/>
                      <w:kern w:val="0"/>
                      <w:sz w:val="18"/>
                      <w:szCs w:val="18"/>
                      <w:highlight w:val="none"/>
                    </w:rPr>
                  </w:pPr>
                  <w:r>
                    <w:rPr>
                      <w:rFonts w:hint="eastAsia"/>
                      <w:bCs/>
                      <w:kern w:val="0"/>
                      <w:sz w:val="18"/>
                      <w:szCs w:val="18"/>
                      <w:highlight w:val="none"/>
                      <w:lang w:val="en-US" w:eastAsia="zh-CN"/>
                    </w:rPr>
                    <w:t>17#排气筒</w:t>
                  </w:r>
                </w:p>
              </w:tc>
              <w:tc>
                <w:tcPr>
                  <w:tcW w:w="404" w:type="pct"/>
                  <w:vMerge w:val="restart"/>
                  <w:tcBorders>
                    <w:left w:val="single" w:color="auto" w:sz="4" w:space="0"/>
                    <w:right w:val="single" w:color="auto" w:sz="4" w:space="0"/>
                  </w:tcBorders>
                  <w:vAlign w:val="center"/>
                </w:tcPr>
                <w:p w14:paraId="68006758">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64" w:lineRule="auto"/>
                    <w:ind w:left="0" w:right="0"/>
                    <w:jc w:val="center"/>
                    <w:textAlignment w:val="auto"/>
                    <w:rPr>
                      <w:rFonts w:hint="default"/>
                      <w:bCs/>
                      <w:kern w:val="0"/>
                      <w:sz w:val="18"/>
                      <w:szCs w:val="18"/>
                      <w:highlight w:val="none"/>
                    </w:rPr>
                  </w:pPr>
                  <w:r>
                    <w:rPr>
                      <w:rFonts w:hint="eastAsia"/>
                      <w:bCs/>
                      <w:kern w:val="0"/>
                      <w:sz w:val="18"/>
                      <w:szCs w:val="18"/>
                      <w:highlight w:val="none"/>
                      <w:lang w:val="en-US" w:eastAsia="zh-CN"/>
                    </w:rPr>
                    <w:t>实验室废气</w:t>
                  </w:r>
                </w:p>
              </w:tc>
              <w:tc>
                <w:tcPr>
                  <w:tcW w:w="593" w:type="pct"/>
                  <w:tcBorders>
                    <w:left w:val="single" w:color="auto" w:sz="4" w:space="0"/>
                    <w:bottom w:val="single" w:color="auto" w:sz="4" w:space="0"/>
                    <w:right w:val="single" w:color="auto" w:sz="4" w:space="0"/>
                  </w:tcBorders>
                  <w:shd w:val="clear" w:color="auto" w:fill="auto"/>
                  <w:vAlign w:val="center"/>
                </w:tcPr>
                <w:p w14:paraId="545577F8">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64" w:lineRule="auto"/>
                    <w:ind w:left="0" w:right="0"/>
                    <w:jc w:val="center"/>
                    <w:textAlignment w:val="auto"/>
                    <w:rPr>
                      <w:rFonts w:hint="default"/>
                      <w:bCs/>
                      <w:kern w:val="0"/>
                      <w:sz w:val="18"/>
                      <w:szCs w:val="18"/>
                      <w:highlight w:val="none"/>
                    </w:rPr>
                  </w:pPr>
                  <w:r>
                    <w:rPr>
                      <w:rFonts w:hint="eastAsia"/>
                      <w:bCs/>
                      <w:kern w:val="0"/>
                      <w:sz w:val="18"/>
                      <w:szCs w:val="18"/>
                      <w:highlight w:val="none"/>
                      <w:lang w:val="en-US" w:eastAsia="zh-CN"/>
                    </w:rPr>
                    <w:t>非甲烷总烃</w:t>
                  </w:r>
                </w:p>
              </w:tc>
              <w:tc>
                <w:tcPr>
                  <w:tcW w:w="357" w:type="pct"/>
                  <w:tcBorders>
                    <w:top w:val="single" w:color="auto" w:sz="4" w:space="0"/>
                    <w:left w:val="single" w:color="auto" w:sz="4" w:space="0"/>
                    <w:bottom w:val="single" w:color="auto" w:sz="4" w:space="0"/>
                    <w:right w:val="single" w:color="auto" w:sz="4" w:space="0"/>
                  </w:tcBorders>
                  <w:vAlign w:val="center"/>
                </w:tcPr>
                <w:p w14:paraId="5ABF0730">
                  <w:pPr>
                    <w:keepNext w:val="0"/>
                    <w:keepLines w:val="0"/>
                    <w:widowControl/>
                    <w:suppressLineNumbers w:val="0"/>
                    <w:spacing w:before="0" w:beforeAutospacing="0" w:after="0" w:afterAutospacing="0"/>
                    <w:ind w:left="0" w:right="0"/>
                    <w:jc w:val="center"/>
                    <w:textAlignment w:val="center"/>
                    <w:rPr>
                      <w:rFonts w:hint="eastAsia"/>
                      <w:bCs/>
                      <w:kern w:val="0"/>
                      <w:sz w:val="18"/>
                      <w:szCs w:val="18"/>
                      <w:highlight w:val="none"/>
                      <w:lang w:val="en-US" w:eastAsia="zh-CN"/>
                    </w:rPr>
                  </w:pPr>
                  <w:r>
                    <w:rPr>
                      <w:rFonts w:hint="default" w:ascii="Times New Roman" w:hAnsi="Times New Roman" w:eastAsia="宋体" w:cs="Times New Roman"/>
                      <w:i w:val="0"/>
                      <w:iCs w:val="0"/>
                      <w:color w:val="000000"/>
                      <w:kern w:val="0"/>
                      <w:sz w:val="18"/>
                      <w:szCs w:val="18"/>
                      <w:highlight w:val="none"/>
                      <w:u w:val="none"/>
                      <w:lang w:val="en-US" w:eastAsia="zh-CN" w:bidi="ar"/>
                    </w:rPr>
                    <w:t>0.114</w:t>
                  </w:r>
                </w:p>
              </w:tc>
              <w:tc>
                <w:tcPr>
                  <w:tcW w:w="357" w:type="pct"/>
                  <w:tcBorders>
                    <w:top w:val="single" w:color="auto" w:sz="4" w:space="0"/>
                    <w:left w:val="single" w:color="auto" w:sz="4" w:space="0"/>
                    <w:bottom w:val="single" w:color="auto" w:sz="4" w:space="0"/>
                    <w:right w:val="single" w:color="auto" w:sz="4" w:space="0"/>
                  </w:tcBorders>
                  <w:vAlign w:val="center"/>
                </w:tcPr>
                <w:p w14:paraId="3C873108">
                  <w:pPr>
                    <w:keepNext w:val="0"/>
                    <w:keepLines w:val="0"/>
                    <w:widowControl/>
                    <w:suppressLineNumbers w:val="0"/>
                    <w:spacing w:before="0" w:beforeAutospacing="0" w:after="0" w:afterAutospacing="0"/>
                    <w:ind w:left="0" w:right="0"/>
                    <w:jc w:val="center"/>
                    <w:textAlignment w:val="center"/>
                    <w:rPr>
                      <w:rFonts w:hint="eastAsia"/>
                      <w:bCs/>
                      <w:kern w:val="0"/>
                      <w:sz w:val="18"/>
                      <w:szCs w:val="18"/>
                      <w:highlight w:val="none"/>
                      <w:lang w:val="en-US" w:eastAsia="zh-CN"/>
                    </w:rPr>
                  </w:pPr>
                  <w:r>
                    <w:rPr>
                      <w:rFonts w:hint="default" w:ascii="Times New Roman" w:hAnsi="Times New Roman" w:eastAsia="宋体" w:cs="Times New Roman"/>
                      <w:i w:val="0"/>
                      <w:iCs w:val="0"/>
                      <w:color w:val="000000"/>
                      <w:kern w:val="0"/>
                      <w:sz w:val="18"/>
                      <w:szCs w:val="18"/>
                      <w:highlight w:val="none"/>
                      <w:u w:val="none"/>
                      <w:lang w:val="en-US" w:eastAsia="zh-CN" w:bidi="ar"/>
                    </w:rPr>
                    <w:t>0.055</w:t>
                  </w:r>
                </w:p>
              </w:tc>
              <w:tc>
                <w:tcPr>
                  <w:tcW w:w="404" w:type="pct"/>
                  <w:tcBorders>
                    <w:top w:val="single" w:color="auto" w:sz="4" w:space="0"/>
                    <w:left w:val="single" w:color="auto" w:sz="4" w:space="0"/>
                    <w:right w:val="single" w:color="auto" w:sz="4" w:space="0"/>
                  </w:tcBorders>
                  <w:shd w:val="clear" w:color="auto" w:fill="auto"/>
                  <w:vAlign w:val="center"/>
                </w:tcPr>
                <w:p w14:paraId="17909873">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64" w:lineRule="auto"/>
                    <w:ind w:left="0" w:right="0"/>
                    <w:jc w:val="center"/>
                    <w:textAlignment w:val="auto"/>
                    <w:rPr>
                      <w:rFonts w:hint="default" w:cs="Times New Roman"/>
                      <w:bCs/>
                      <w:kern w:val="0"/>
                      <w:sz w:val="18"/>
                      <w:szCs w:val="18"/>
                      <w:highlight w:val="none"/>
                      <w:lang w:val="en-US" w:eastAsia="zh-CN"/>
                    </w:rPr>
                  </w:pPr>
                  <w:r>
                    <w:rPr>
                      <w:rFonts w:hint="eastAsia" w:cs="Times New Roman"/>
                      <w:bCs/>
                      <w:kern w:val="0"/>
                      <w:sz w:val="18"/>
                      <w:szCs w:val="18"/>
                      <w:highlight w:val="none"/>
                      <w:lang w:val="en-US" w:eastAsia="zh-CN"/>
                    </w:rPr>
                    <w:t xml:space="preserve">1.63 </w:t>
                  </w:r>
                </w:p>
              </w:tc>
              <w:tc>
                <w:tcPr>
                  <w:tcW w:w="383" w:type="pct"/>
                  <w:tcBorders>
                    <w:left w:val="single" w:color="auto" w:sz="4" w:space="0"/>
                    <w:right w:val="single" w:color="auto" w:sz="4" w:space="0"/>
                  </w:tcBorders>
                  <w:shd w:val="clear" w:color="auto" w:fill="auto"/>
                  <w:vAlign w:val="center"/>
                </w:tcPr>
                <w:p w14:paraId="50E2E5AD">
                  <w:pPr>
                    <w:keepNext w:val="0"/>
                    <w:keepLines w:val="0"/>
                    <w:widowControl/>
                    <w:suppressLineNumbers w:val="0"/>
                    <w:spacing w:before="0" w:beforeAutospacing="0" w:after="0" w:afterAutospacing="0" w:line="280" w:lineRule="exact"/>
                    <w:ind w:left="0" w:right="0"/>
                    <w:jc w:val="center"/>
                    <w:textAlignment w:val="center"/>
                    <w:rPr>
                      <w:rFonts w:hint="eastAsia" w:ascii="Times New Roman" w:hAnsi="Times New Roman" w:eastAsia="宋体" w:cs="Times New Roman"/>
                      <w:b w:val="0"/>
                      <w:bCs w:val="0"/>
                      <w:kern w:val="2"/>
                      <w:sz w:val="18"/>
                      <w:szCs w:val="18"/>
                      <w:highlight w:val="none"/>
                      <w:lang w:val="en-US" w:eastAsia="zh-CN" w:bidi="ar"/>
                    </w:rPr>
                  </w:pPr>
                  <w:r>
                    <w:rPr>
                      <w:rFonts w:hint="eastAsia"/>
                      <w:snapToGrid w:val="0"/>
                      <w:sz w:val="18"/>
                      <w:szCs w:val="18"/>
                      <w:highlight w:val="none"/>
                      <w:lang w:val="en-US" w:eastAsia="zh-CN"/>
                    </w:rPr>
                    <w:t>活性炭吸附</w:t>
                  </w:r>
                </w:p>
              </w:tc>
              <w:tc>
                <w:tcPr>
                  <w:tcW w:w="240" w:type="pct"/>
                  <w:tcBorders>
                    <w:left w:val="single" w:color="auto" w:sz="4" w:space="0"/>
                    <w:right w:val="single" w:color="auto" w:sz="4" w:space="0"/>
                  </w:tcBorders>
                  <w:shd w:val="clear" w:color="auto" w:fill="auto"/>
                  <w:vAlign w:val="center"/>
                </w:tcPr>
                <w:p w14:paraId="1EC995C7">
                  <w:pPr>
                    <w:keepNext w:val="0"/>
                    <w:keepLines w:val="0"/>
                    <w:widowControl/>
                    <w:suppressLineNumbers w:val="0"/>
                    <w:spacing w:before="0" w:beforeAutospacing="0" w:after="0" w:afterAutospacing="0" w:line="280" w:lineRule="exact"/>
                    <w:ind w:left="0" w:right="0"/>
                    <w:jc w:val="center"/>
                    <w:textAlignment w:val="center"/>
                    <w:rPr>
                      <w:rFonts w:hint="eastAsia" w:ascii="Times New Roman" w:hAnsi="Times New Roman" w:eastAsia="宋体" w:cs="Times New Roman"/>
                      <w:b w:val="0"/>
                      <w:bCs w:val="0"/>
                      <w:kern w:val="2"/>
                      <w:sz w:val="18"/>
                      <w:szCs w:val="18"/>
                      <w:highlight w:val="none"/>
                      <w:lang w:val="en-US" w:eastAsia="zh-CN" w:bidi="ar"/>
                    </w:rPr>
                  </w:pPr>
                  <w:r>
                    <w:rPr>
                      <w:rFonts w:hint="eastAsia"/>
                      <w:bCs/>
                      <w:kern w:val="0"/>
                      <w:sz w:val="18"/>
                      <w:szCs w:val="18"/>
                      <w:highlight w:val="none"/>
                      <w:lang w:val="en-US" w:eastAsia="zh-CN"/>
                    </w:rPr>
                    <w:t>/</w:t>
                  </w:r>
                </w:p>
              </w:tc>
              <w:tc>
                <w:tcPr>
                  <w:tcW w:w="317" w:type="pct"/>
                  <w:tcBorders>
                    <w:left w:val="single" w:color="auto" w:sz="4" w:space="0"/>
                    <w:right w:val="single" w:color="auto" w:sz="4" w:space="0"/>
                  </w:tcBorders>
                  <w:shd w:val="clear" w:color="auto" w:fill="auto"/>
                  <w:vAlign w:val="center"/>
                </w:tcPr>
                <w:p w14:paraId="0F1AEFD5">
                  <w:pPr>
                    <w:keepNext w:val="0"/>
                    <w:keepLines w:val="0"/>
                    <w:widowControl/>
                    <w:suppressLineNumbers w:val="0"/>
                    <w:spacing w:before="0" w:beforeAutospacing="0" w:after="0" w:afterAutospacing="0" w:line="280" w:lineRule="exact"/>
                    <w:ind w:left="0" w:right="0"/>
                    <w:jc w:val="center"/>
                    <w:textAlignment w:val="center"/>
                    <w:rPr>
                      <w:rFonts w:hint="default" w:ascii="Times New Roman" w:hAnsi="Times New Roman" w:eastAsia="宋体" w:cs="Times New Roman"/>
                      <w:b w:val="0"/>
                      <w:bCs w:val="0"/>
                      <w:kern w:val="2"/>
                      <w:sz w:val="18"/>
                      <w:szCs w:val="18"/>
                      <w:highlight w:val="none"/>
                      <w:lang w:val="en-US" w:eastAsia="zh-CN" w:bidi="ar"/>
                    </w:rPr>
                  </w:pPr>
                  <w:r>
                    <w:rPr>
                      <w:rFonts w:hint="eastAsia" w:cs="Times New Roman"/>
                      <w:b w:val="0"/>
                      <w:bCs w:val="0"/>
                      <w:kern w:val="2"/>
                      <w:sz w:val="18"/>
                      <w:szCs w:val="18"/>
                      <w:highlight w:val="none"/>
                      <w:lang w:val="en-US" w:eastAsia="zh-CN" w:bidi="ar"/>
                    </w:rPr>
                    <w:t>33800</w:t>
                  </w:r>
                </w:p>
              </w:tc>
              <w:tc>
                <w:tcPr>
                  <w:tcW w:w="380" w:type="pct"/>
                  <w:tcBorders>
                    <w:top w:val="single" w:color="auto" w:sz="4" w:space="0"/>
                    <w:left w:val="single" w:color="auto" w:sz="4" w:space="0"/>
                    <w:right w:val="single" w:color="auto" w:sz="4" w:space="0"/>
                  </w:tcBorders>
                  <w:shd w:val="clear" w:color="auto" w:fill="auto"/>
                  <w:vAlign w:val="center"/>
                </w:tcPr>
                <w:p w14:paraId="2581DFCA">
                  <w:pPr>
                    <w:keepNext w:val="0"/>
                    <w:keepLines w:val="0"/>
                    <w:widowControl/>
                    <w:suppressLineNumbers w:val="0"/>
                    <w:spacing w:before="0" w:beforeAutospacing="0" w:after="0" w:afterAutospacing="0"/>
                    <w:ind w:left="0" w:right="0"/>
                    <w:jc w:val="center"/>
                    <w:textAlignment w:val="center"/>
                    <w:rPr>
                      <w:rFonts w:hint="eastAsia" w:ascii="Times New Roman" w:hAnsi="Times New Roman" w:eastAsia="宋体" w:cs="Times New Roman"/>
                      <w:bCs/>
                      <w:kern w:val="0"/>
                      <w:sz w:val="18"/>
                      <w:szCs w:val="18"/>
                      <w:highlight w:val="none"/>
                      <w:lang w:val="en-US" w:eastAsia="zh-CN" w:bidi="ar-SA"/>
                    </w:rPr>
                  </w:pPr>
                  <w:r>
                    <w:rPr>
                      <w:rFonts w:hint="default" w:ascii="Times New Roman" w:hAnsi="Times New Roman" w:eastAsia="宋体" w:cs="Times New Roman"/>
                      <w:i w:val="0"/>
                      <w:iCs w:val="0"/>
                      <w:color w:val="000000"/>
                      <w:kern w:val="0"/>
                      <w:sz w:val="18"/>
                      <w:szCs w:val="18"/>
                      <w:highlight w:val="none"/>
                      <w:u w:val="none"/>
                      <w:lang w:val="en-US" w:eastAsia="zh-CN" w:bidi="ar"/>
                    </w:rPr>
                    <w:t>0.114</w:t>
                  </w:r>
                </w:p>
              </w:tc>
              <w:tc>
                <w:tcPr>
                  <w:tcW w:w="362" w:type="pct"/>
                  <w:tcBorders>
                    <w:top w:val="single" w:color="auto" w:sz="4" w:space="0"/>
                    <w:left w:val="single" w:color="auto" w:sz="4" w:space="0"/>
                    <w:right w:val="single" w:color="auto" w:sz="4" w:space="0"/>
                  </w:tcBorders>
                  <w:shd w:val="clear" w:color="auto" w:fill="auto"/>
                  <w:vAlign w:val="center"/>
                </w:tcPr>
                <w:p w14:paraId="2BBD5BA4">
                  <w:pPr>
                    <w:keepNext w:val="0"/>
                    <w:keepLines w:val="0"/>
                    <w:widowControl/>
                    <w:suppressLineNumbers w:val="0"/>
                    <w:spacing w:before="0" w:beforeAutospacing="0" w:after="0" w:afterAutospacing="0"/>
                    <w:ind w:left="0" w:right="0"/>
                    <w:jc w:val="center"/>
                    <w:textAlignment w:val="center"/>
                    <w:rPr>
                      <w:rFonts w:hint="eastAsia" w:ascii="Times New Roman" w:hAnsi="Times New Roman" w:eastAsia="宋体" w:cs="Times New Roman"/>
                      <w:bCs/>
                      <w:kern w:val="0"/>
                      <w:sz w:val="18"/>
                      <w:szCs w:val="18"/>
                      <w:highlight w:val="none"/>
                      <w:lang w:val="en-US" w:eastAsia="zh-CN" w:bidi="ar-SA"/>
                    </w:rPr>
                  </w:pPr>
                  <w:r>
                    <w:rPr>
                      <w:rFonts w:hint="default" w:ascii="Times New Roman" w:hAnsi="Times New Roman" w:eastAsia="宋体" w:cs="Times New Roman"/>
                      <w:i w:val="0"/>
                      <w:iCs w:val="0"/>
                      <w:color w:val="000000"/>
                      <w:kern w:val="0"/>
                      <w:sz w:val="18"/>
                      <w:szCs w:val="18"/>
                      <w:highlight w:val="none"/>
                      <w:u w:val="none"/>
                      <w:lang w:val="en-US" w:eastAsia="zh-CN" w:bidi="ar"/>
                    </w:rPr>
                    <w:t>0.055</w:t>
                  </w:r>
                </w:p>
              </w:tc>
              <w:tc>
                <w:tcPr>
                  <w:tcW w:w="340" w:type="pct"/>
                  <w:tcBorders>
                    <w:top w:val="single" w:color="auto" w:sz="4" w:space="0"/>
                    <w:left w:val="single" w:color="auto" w:sz="4" w:space="0"/>
                    <w:right w:val="single" w:color="auto" w:sz="4" w:space="0"/>
                  </w:tcBorders>
                  <w:shd w:val="clear" w:color="auto" w:fill="auto"/>
                  <w:vAlign w:val="center"/>
                </w:tcPr>
                <w:p w14:paraId="482148AA">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64" w:lineRule="auto"/>
                    <w:ind w:left="0" w:right="0"/>
                    <w:jc w:val="center"/>
                    <w:textAlignment w:val="auto"/>
                    <w:rPr>
                      <w:rFonts w:hint="eastAsia" w:ascii="Times New Roman" w:hAnsi="Times New Roman" w:eastAsia="宋体" w:cs="Times New Roman"/>
                      <w:bCs/>
                      <w:kern w:val="0"/>
                      <w:sz w:val="18"/>
                      <w:szCs w:val="18"/>
                      <w:highlight w:val="none"/>
                      <w:lang w:val="en-US" w:eastAsia="zh-CN" w:bidi="ar-SA"/>
                    </w:rPr>
                  </w:pPr>
                  <w:r>
                    <w:rPr>
                      <w:rFonts w:hint="eastAsia" w:cs="Times New Roman"/>
                      <w:bCs/>
                      <w:kern w:val="0"/>
                      <w:sz w:val="18"/>
                      <w:szCs w:val="18"/>
                      <w:highlight w:val="none"/>
                      <w:lang w:val="en-US" w:eastAsia="zh-CN"/>
                    </w:rPr>
                    <w:t>1.63</w:t>
                  </w:r>
                  <w:r>
                    <w:rPr>
                      <w:rFonts w:hint="eastAsia" w:ascii="Times New Roman" w:hAnsi="Times New Roman" w:eastAsia="宋体" w:cs="Times New Roman"/>
                      <w:bCs/>
                      <w:kern w:val="0"/>
                      <w:sz w:val="18"/>
                      <w:szCs w:val="18"/>
                      <w:highlight w:val="none"/>
                      <w:lang w:val="en-US" w:eastAsia="zh-CN"/>
                    </w:rPr>
                    <w:t xml:space="preserve"> </w:t>
                  </w:r>
                </w:p>
              </w:tc>
              <w:tc>
                <w:tcPr>
                  <w:tcW w:w="255" w:type="pct"/>
                  <w:vMerge w:val="restart"/>
                  <w:tcBorders>
                    <w:left w:val="single" w:color="auto" w:sz="4" w:space="0"/>
                    <w:right w:val="single" w:color="auto" w:sz="4" w:space="0"/>
                  </w:tcBorders>
                  <w:vAlign w:val="center"/>
                </w:tcPr>
                <w:p w14:paraId="34BE2476">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64" w:lineRule="auto"/>
                    <w:ind w:left="0" w:right="0"/>
                    <w:jc w:val="center"/>
                    <w:textAlignment w:val="auto"/>
                    <w:rPr>
                      <w:rFonts w:hint="default"/>
                      <w:bCs/>
                      <w:kern w:val="0"/>
                      <w:sz w:val="18"/>
                      <w:szCs w:val="18"/>
                      <w:highlight w:val="none"/>
                    </w:rPr>
                  </w:pPr>
                  <w:r>
                    <w:rPr>
                      <w:rFonts w:hint="eastAsia"/>
                      <w:bCs/>
                      <w:kern w:val="0"/>
                      <w:sz w:val="18"/>
                      <w:szCs w:val="18"/>
                      <w:highlight w:val="none"/>
                      <w:lang w:val="en-US" w:eastAsia="zh-CN"/>
                    </w:rPr>
                    <w:t>2080</w:t>
                  </w:r>
                </w:p>
              </w:tc>
            </w:tr>
            <w:tr w14:paraId="295814C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189" w:hRule="atLeast"/>
                <w:jc w:val="center"/>
              </w:trPr>
              <w:tc>
                <w:tcPr>
                  <w:tcW w:w="271" w:type="pct"/>
                  <w:vMerge w:val="continue"/>
                  <w:tcBorders>
                    <w:left w:val="single" w:color="auto" w:sz="4" w:space="0"/>
                    <w:right w:val="single" w:color="auto" w:sz="4" w:space="0"/>
                  </w:tcBorders>
                  <w:vAlign w:val="center"/>
                </w:tcPr>
                <w:p w14:paraId="3866BC68">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64" w:lineRule="auto"/>
                    <w:ind w:left="0" w:right="0"/>
                    <w:jc w:val="center"/>
                    <w:textAlignment w:val="auto"/>
                    <w:rPr>
                      <w:rFonts w:hint="eastAsia"/>
                      <w:bCs/>
                      <w:kern w:val="0"/>
                      <w:sz w:val="18"/>
                      <w:szCs w:val="18"/>
                      <w:highlight w:val="none"/>
                      <w:lang w:val="en-US" w:eastAsia="zh-CN"/>
                    </w:rPr>
                  </w:pPr>
                </w:p>
              </w:tc>
              <w:tc>
                <w:tcPr>
                  <w:tcW w:w="331" w:type="pct"/>
                  <w:vMerge w:val="continue"/>
                  <w:tcBorders>
                    <w:left w:val="single" w:color="auto" w:sz="4" w:space="0"/>
                    <w:right w:val="single" w:color="auto" w:sz="4" w:space="0"/>
                  </w:tcBorders>
                  <w:vAlign w:val="center"/>
                </w:tcPr>
                <w:p w14:paraId="119CE2D5">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64" w:lineRule="auto"/>
                    <w:ind w:left="0" w:right="0"/>
                    <w:jc w:val="center"/>
                    <w:textAlignment w:val="auto"/>
                    <w:rPr>
                      <w:rFonts w:hint="eastAsia"/>
                      <w:bCs/>
                      <w:kern w:val="0"/>
                      <w:sz w:val="18"/>
                      <w:szCs w:val="18"/>
                      <w:highlight w:val="none"/>
                      <w:lang w:val="en-US" w:eastAsia="zh-CN"/>
                    </w:rPr>
                  </w:pPr>
                </w:p>
              </w:tc>
              <w:tc>
                <w:tcPr>
                  <w:tcW w:w="404" w:type="pct"/>
                  <w:vMerge w:val="continue"/>
                  <w:tcBorders>
                    <w:left w:val="single" w:color="auto" w:sz="4" w:space="0"/>
                    <w:right w:val="single" w:color="auto" w:sz="4" w:space="0"/>
                  </w:tcBorders>
                  <w:vAlign w:val="center"/>
                </w:tcPr>
                <w:p w14:paraId="462A5175">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64" w:lineRule="auto"/>
                    <w:ind w:left="0" w:right="0"/>
                    <w:jc w:val="center"/>
                    <w:textAlignment w:val="auto"/>
                    <w:rPr>
                      <w:rFonts w:hint="eastAsia"/>
                      <w:bCs/>
                      <w:kern w:val="0"/>
                      <w:sz w:val="18"/>
                      <w:szCs w:val="18"/>
                      <w:highlight w:val="none"/>
                      <w:lang w:val="en-US" w:eastAsia="zh-CN"/>
                    </w:rPr>
                  </w:pPr>
                </w:p>
              </w:tc>
              <w:tc>
                <w:tcPr>
                  <w:tcW w:w="593" w:type="pct"/>
                  <w:tcBorders>
                    <w:left w:val="single" w:color="auto" w:sz="4" w:space="0"/>
                    <w:bottom w:val="single" w:color="auto" w:sz="4" w:space="0"/>
                    <w:right w:val="single" w:color="auto" w:sz="4" w:space="0"/>
                  </w:tcBorders>
                  <w:shd w:val="clear" w:color="auto" w:fill="auto"/>
                  <w:vAlign w:val="center"/>
                </w:tcPr>
                <w:p w14:paraId="29BB4067">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64" w:lineRule="auto"/>
                    <w:ind w:left="0" w:right="0"/>
                    <w:jc w:val="center"/>
                    <w:textAlignment w:val="auto"/>
                    <w:rPr>
                      <w:rFonts w:hint="eastAsia" w:ascii="Times New Roman" w:hAnsi="Times New Roman" w:eastAsia="宋体" w:cs="Times New Roman"/>
                      <w:bCs/>
                      <w:kern w:val="0"/>
                      <w:sz w:val="18"/>
                      <w:szCs w:val="18"/>
                      <w:highlight w:val="none"/>
                      <w:lang w:val="en-US" w:eastAsia="zh-CN" w:bidi="ar-SA"/>
                    </w:rPr>
                  </w:pPr>
                  <w:r>
                    <w:rPr>
                      <w:rFonts w:hint="eastAsia"/>
                      <w:bCs/>
                      <w:kern w:val="0"/>
                      <w:sz w:val="18"/>
                      <w:szCs w:val="18"/>
                      <w:highlight w:val="none"/>
                      <w:lang w:val="en-US" w:eastAsia="zh-CN"/>
                    </w:rPr>
                    <w:t>氯化氢</w:t>
                  </w:r>
                </w:p>
              </w:tc>
              <w:tc>
                <w:tcPr>
                  <w:tcW w:w="1119" w:type="pct"/>
                  <w:gridSpan w:val="3"/>
                  <w:tcBorders>
                    <w:top w:val="single" w:color="auto" w:sz="4" w:space="0"/>
                    <w:left w:val="single" w:color="auto" w:sz="4" w:space="0"/>
                    <w:bottom w:val="single" w:color="auto" w:sz="4" w:space="0"/>
                    <w:right w:val="single" w:color="auto" w:sz="4" w:space="0"/>
                  </w:tcBorders>
                  <w:vAlign w:val="center"/>
                </w:tcPr>
                <w:p w14:paraId="6B1B0989">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64" w:lineRule="auto"/>
                    <w:ind w:left="0" w:right="0"/>
                    <w:jc w:val="center"/>
                    <w:textAlignment w:val="auto"/>
                    <w:rPr>
                      <w:rFonts w:hint="eastAsia" w:cs="Times New Roman"/>
                      <w:bCs/>
                      <w:kern w:val="0"/>
                      <w:sz w:val="18"/>
                      <w:szCs w:val="18"/>
                      <w:highlight w:val="none"/>
                      <w:lang w:val="en-US" w:eastAsia="zh-CN"/>
                    </w:rPr>
                  </w:pPr>
                  <w:r>
                    <w:rPr>
                      <w:rFonts w:hint="eastAsia" w:cs="Times New Roman"/>
                      <w:bCs/>
                      <w:kern w:val="0"/>
                      <w:sz w:val="18"/>
                      <w:szCs w:val="18"/>
                      <w:highlight w:val="none"/>
                      <w:lang w:val="en-US" w:eastAsia="zh-CN"/>
                    </w:rPr>
                    <w:t>少量</w:t>
                  </w:r>
                </w:p>
              </w:tc>
              <w:tc>
                <w:tcPr>
                  <w:tcW w:w="383" w:type="pct"/>
                  <w:tcBorders>
                    <w:left w:val="single" w:color="auto" w:sz="4" w:space="0"/>
                    <w:right w:val="single" w:color="auto" w:sz="4" w:space="0"/>
                  </w:tcBorders>
                  <w:shd w:val="clear" w:color="auto" w:fill="auto"/>
                  <w:vAlign w:val="center"/>
                </w:tcPr>
                <w:p w14:paraId="39679944">
                  <w:pPr>
                    <w:keepNext w:val="0"/>
                    <w:keepLines w:val="0"/>
                    <w:widowControl/>
                    <w:suppressLineNumbers w:val="0"/>
                    <w:spacing w:before="0" w:beforeAutospacing="0" w:after="0" w:afterAutospacing="0" w:line="280" w:lineRule="exact"/>
                    <w:ind w:left="0" w:right="0"/>
                    <w:jc w:val="center"/>
                    <w:textAlignment w:val="center"/>
                    <w:rPr>
                      <w:rFonts w:hint="eastAsia"/>
                      <w:snapToGrid w:val="0"/>
                      <w:sz w:val="18"/>
                      <w:szCs w:val="18"/>
                      <w:highlight w:val="none"/>
                      <w:lang w:val="en-US" w:eastAsia="zh-CN"/>
                    </w:rPr>
                  </w:pPr>
                  <w:r>
                    <w:rPr>
                      <w:rFonts w:hint="eastAsia"/>
                      <w:bCs/>
                      <w:kern w:val="0"/>
                      <w:sz w:val="18"/>
                      <w:szCs w:val="18"/>
                      <w:highlight w:val="none"/>
                      <w:lang w:val="en-US" w:eastAsia="zh-CN"/>
                    </w:rPr>
                    <w:t>/</w:t>
                  </w:r>
                </w:p>
              </w:tc>
              <w:tc>
                <w:tcPr>
                  <w:tcW w:w="240" w:type="pct"/>
                  <w:tcBorders>
                    <w:left w:val="single" w:color="auto" w:sz="4" w:space="0"/>
                    <w:right w:val="single" w:color="auto" w:sz="4" w:space="0"/>
                  </w:tcBorders>
                  <w:shd w:val="clear" w:color="auto" w:fill="auto"/>
                  <w:vAlign w:val="center"/>
                </w:tcPr>
                <w:p w14:paraId="499F1102">
                  <w:pPr>
                    <w:keepNext w:val="0"/>
                    <w:keepLines w:val="0"/>
                    <w:widowControl/>
                    <w:suppressLineNumbers w:val="0"/>
                    <w:spacing w:before="0" w:beforeAutospacing="0" w:after="0" w:afterAutospacing="0" w:line="280" w:lineRule="exact"/>
                    <w:ind w:left="0" w:right="0"/>
                    <w:jc w:val="center"/>
                    <w:textAlignment w:val="center"/>
                    <w:rPr>
                      <w:rFonts w:hint="eastAsia"/>
                      <w:bCs/>
                      <w:kern w:val="0"/>
                      <w:sz w:val="18"/>
                      <w:szCs w:val="18"/>
                      <w:highlight w:val="none"/>
                      <w:lang w:val="en-US" w:eastAsia="zh-CN"/>
                    </w:rPr>
                  </w:pPr>
                  <w:r>
                    <w:rPr>
                      <w:rFonts w:hint="eastAsia"/>
                      <w:bCs/>
                      <w:kern w:val="0"/>
                      <w:sz w:val="18"/>
                      <w:szCs w:val="18"/>
                      <w:highlight w:val="none"/>
                      <w:lang w:val="en-US" w:eastAsia="zh-CN"/>
                    </w:rPr>
                    <w:t>/</w:t>
                  </w:r>
                </w:p>
              </w:tc>
              <w:tc>
                <w:tcPr>
                  <w:tcW w:w="317" w:type="pct"/>
                  <w:tcBorders>
                    <w:left w:val="single" w:color="auto" w:sz="4" w:space="0"/>
                    <w:right w:val="single" w:color="auto" w:sz="4" w:space="0"/>
                  </w:tcBorders>
                  <w:shd w:val="clear" w:color="auto" w:fill="auto"/>
                  <w:vAlign w:val="center"/>
                </w:tcPr>
                <w:p w14:paraId="53E10904">
                  <w:pPr>
                    <w:keepNext w:val="0"/>
                    <w:keepLines w:val="0"/>
                    <w:widowControl/>
                    <w:suppressLineNumbers w:val="0"/>
                    <w:spacing w:before="0" w:beforeAutospacing="0" w:after="0" w:afterAutospacing="0" w:line="280" w:lineRule="exact"/>
                    <w:ind w:left="0" w:right="0"/>
                    <w:jc w:val="center"/>
                    <w:textAlignment w:val="center"/>
                    <w:rPr>
                      <w:rFonts w:hint="eastAsia"/>
                      <w:sz w:val="18"/>
                      <w:szCs w:val="18"/>
                      <w:highlight w:val="none"/>
                      <w:lang w:val="en-US" w:eastAsia="zh-CN"/>
                    </w:rPr>
                  </w:pPr>
                  <w:r>
                    <w:rPr>
                      <w:rFonts w:hint="eastAsia"/>
                      <w:bCs/>
                      <w:kern w:val="0"/>
                      <w:sz w:val="18"/>
                      <w:szCs w:val="18"/>
                      <w:highlight w:val="none"/>
                      <w:lang w:val="en-US" w:eastAsia="zh-CN"/>
                    </w:rPr>
                    <w:t>/</w:t>
                  </w:r>
                </w:p>
              </w:tc>
              <w:tc>
                <w:tcPr>
                  <w:tcW w:w="1083" w:type="pct"/>
                  <w:gridSpan w:val="3"/>
                  <w:tcBorders>
                    <w:top w:val="single" w:color="auto" w:sz="4" w:space="0"/>
                    <w:left w:val="single" w:color="auto" w:sz="4" w:space="0"/>
                    <w:right w:val="single" w:color="auto" w:sz="4" w:space="0"/>
                  </w:tcBorders>
                  <w:shd w:val="clear" w:color="auto" w:fill="auto"/>
                  <w:vAlign w:val="center"/>
                </w:tcPr>
                <w:p w14:paraId="6E5D5CF1">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64" w:lineRule="auto"/>
                    <w:ind w:left="0" w:right="0"/>
                    <w:jc w:val="center"/>
                    <w:textAlignment w:val="auto"/>
                    <w:rPr>
                      <w:rFonts w:hint="eastAsia" w:ascii="Times New Roman" w:hAnsi="Times New Roman" w:eastAsia="宋体" w:cs="Times New Roman"/>
                      <w:bCs/>
                      <w:kern w:val="0"/>
                      <w:sz w:val="18"/>
                      <w:szCs w:val="18"/>
                      <w:highlight w:val="none"/>
                      <w:lang w:val="en-US" w:eastAsia="zh-CN"/>
                    </w:rPr>
                  </w:pPr>
                  <w:r>
                    <w:rPr>
                      <w:rFonts w:hint="eastAsia" w:cs="Times New Roman"/>
                      <w:bCs/>
                      <w:kern w:val="0"/>
                      <w:sz w:val="18"/>
                      <w:szCs w:val="18"/>
                      <w:highlight w:val="none"/>
                      <w:lang w:val="en-US" w:eastAsia="zh-CN"/>
                    </w:rPr>
                    <w:t>少量</w:t>
                  </w:r>
                </w:p>
              </w:tc>
              <w:tc>
                <w:tcPr>
                  <w:tcW w:w="255" w:type="pct"/>
                  <w:vMerge w:val="continue"/>
                  <w:tcBorders>
                    <w:left w:val="single" w:color="auto" w:sz="4" w:space="0"/>
                    <w:right w:val="single" w:color="auto" w:sz="4" w:space="0"/>
                  </w:tcBorders>
                  <w:vAlign w:val="center"/>
                </w:tcPr>
                <w:p w14:paraId="093023FD">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64" w:lineRule="auto"/>
                    <w:ind w:left="0" w:right="0"/>
                    <w:jc w:val="center"/>
                    <w:textAlignment w:val="auto"/>
                    <w:rPr>
                      <w:rFonts w:hint="eastAsia"/>
                      <w:bCs/>
                      <w:kern w:val="0"/>
                      <w:sz w:val="18"/>
                      <w:szCs w:val="18"/>
                      <w:highlight w:val="none"/>
                      <w:lang w:val="en-US" w:eastAsia="zh-CN"/>
                    </w:rPr>
                  </w:pPr>
                </w:p>
              </w:tc>
            </w:tr>
            <w:tr w14:paraId="7461B0A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189" w:hRule="atLeast"/>
                <w:jc w:val="center"/>
              </w:trPr>
              <w:tc>
                <w:tcPr>
                  <w:tcW w:w="271" w:type="pct"/>
                  <w:vMerge w:val="continue"/>
                  <w:tcBorders>
                    <w:left w:val="single" w:color="auto" w:sz="4" w:space="0"/>
                    <w:right w:val="single" w:color="auto" w:sz="4" w:space="0"/>
                  </w:tcBorders>
                  <w:vAlign w:val="center"/>
                </w:tcPr>
                <w:p w14:paraId="56E01010">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64" w:lineRule="auto"/>
                    <w:ind w:left="0" w:right="0"/>
                    <w:jc w:val="center"/>
                    <w:textAlignment w:val="auto"/>
                    <w:rPr>
                      <w:rFonts w:hint="eastAsia"/>
                      <w:bCs/>
                      <w:kern w:val="0"/>
                      <w:sz w:val="18"/>
                      <w:szCs w:val="18"/>
                      <w:highlight w:val="none"/>
                      <w:lang w:val="en-US" w:eastAsia="zh-CN"/>
                    </w:rPr>
                  </w:pPr>
                </w:p>
              </w:tc>
              <w:tc>
                <w:tcPr>
                  <w:tcW w:w="331" w:type="pct"/>
                  <w:vMerge w:val="continue"/>
                  <w:tcBorders>
                    <w:left w:val="single" w:color="auto" w:sz="4" w:space="0"/>
                    <w:right w:val="single" w:color="auto" w:sz="4" w:space="0"/>
                  </w:tcBorders>
                  <w:vAlign w:val="center"/>
                </w:tcPr>
                <w:p w14:paraId="5EE367EA">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64" w:lineRule="auto"/>
                    <w:ind w:left="0" w:right="0"/>
                    <w:jc w:val="center"/>
                    <w:textAlignment w:val="auto"/>
                    <w:rPr>
                      <w:rFonts w:hint="eastAsia"/>
                      <w:bCs/>
                      <w:kern w:val="0"/>
                      <w:sz w:val="18"/>
                      <w:szCs w:val="18"/>
                      <w:highlight w:val="none"/>
                      <w:lang w:val="en-US" w:eastAsia="zh-CN"/>
                    </w:rPr>
                  </w:pPr>
                </w:p>
              </w:tc>
              <w:tc>
                <w:tcPr>
                  <w:tcW w:w="404" w:type="pct"/>
                  <w:vMerge w:val="continue"/>
                  <w:tcBorders>
                    <w:left w:val="single" w:color="auto" w:sz="4" w:space="0"/>
                    <w:right w:val="single" w:color="auto" w:sz="4" w:space="0"/>
                  </w:tcBorders>
                  <w:vAlign w:val="center"/>
                </w:tcPr>
                <w:p w14:paraId="5E179C11">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64" w:lineRule="auto"/>
                    <w:ind w:left="0" w:right="0"/>
                    <w:jc w:val="center"/>
                    <w:textAlignment w:val="auto"/>
                    <w:rPr>
                      <w:rFonts w:hint="eastAsia"/>
                      <w:bCs/>
                      <w:kern w:val="0"/>
                      <w:sz w:val="18"/>
                      <w:szCs w:val="18"/>
                      <w:highlight w:val="none"/>
                      <w:lang w:val="en-US" w:eastAsia="zh-CN"/>
                    </w:rPr>
                  </w:pPr>
                </w:p>
              </w:tc>
              <w:tc>
                <w:tcPr>
                  <w:tcW w:w="593" w:type="pct"/>
                  <w:tcBorders>
                    <w:left w:val="single" w:color="auto" w:sz="4" w:space="0"/>
                    <w:bottom w:val="single" w:color="auto" w:sz="4" w:space="0"/>
                    <w:right w:val="single" w:color="auto" w:sz="4" w:space="0"/>
                  </w:tcBorders>
                  <w:shd w:val="clear" w:color="auto" w:fill="auto"/>
                  <w:vAlign w:val="center"/>
                </w:tcPr>
                <w:p w14:paraId="56C024BE">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64" w:lineRule="auto"/>
                    <w:ind w:left="0" w:right="0"/>
                    <w:jc w:val="center"/>
                    <w:textAlignment w:val="auto"/>
                    <w:rPr>
                      <w:rFonts w:hint="eastAsia" w:ascii="Times New Roman" w:hAnsi="Times New Roman" w:eastAsia="宋体" w:cs="Times New Roman"/>
                      <w:bCs/>
                      <w:kern w:val="0"/>
                      <w:sz w:val="18"/>
                      <w:szCs w:val="18"/>
                      <w:highlight w:val="none"/>
                      <w:lang w:val="en-US" w:eastAsia="zh-CN" w:bidi="ar-SA"/>
                    </w:rPr>
                  </w:pPr>
                  <w:r>
                    <w:rPr>
                      <w:rFonts w:hint="eastAsia"/>
                      <w:bCs/>
                      <w:kern w:val="0"/>
                      <w:sz w:val="18"/>
                      <w:szCs w:val="18"/>
                      <w:highlight w:val="none"/>
                      <w:lang w:val="en-US" w:eastAsia="zh-CN"/>
                    </w:rPr>
                    <w:t>硫酸雾</w:t>
                  </w:r>
                </w:p>
              </w:tc>
              <w:tc>
                <w:tcPr>
                  <w:tcW w:w="1119" w:type="pct"/>
                  <w:gridSpan w:val="3"/>
                  <w:tcBorders>
                    <w:top w:val="single" w:color="auto" w:sz="4" w:space="0"/>
                    <w:left w:val="single" w:color="auto" w:sz="4" w:space="0"/>
                    <w:bottom w:val="single" w:color="auto" w:sz="4" w:space="0"/>
                    <w:right w:val="single" w:color="auto" w:sz="4" w:space="0"/>
                  </w:tcBorders>
                  <w:vAlign w:val="center"/>
                </w:tcPr>
                <w:p w14:paraId="6B3077FF">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64" w:lineRule="auto"/>
                    <w:ind w:left="0" w:right="0"/>
                    <w:jc w:val="center"/>
                    <w:textAlignment w:val="auto"/>
                    <w:rPr>
                      <w:rFonts w:hint="eastAsia" w:cs="Times New Roman"/>
                      <w:bCs/>
                      <w:kern w:val="0"/>
                      <w:sz w:val="18"/>
                      <w:szCs w:val="18"/>
                      <w:highlight w:val="none"/>
                      <w:lang w:val="en-US" w:eastAsia="zh-CN"/>
                    </w:rPr>
                  </w:pPr>
                  <w:r>
                    <w:rPr>
                      <w:rFonts w:hint="eastAsia" w:cs="Times New Roman"/>
                      <w:bCs/>
                      <w:kern w:val="0"/>
                      <w:sz w:val="18"/>
                      <w:szCs w:val="18"/>
                      <w:highlight w:val="none"/>
                      <w:lang w:val="en-US" w:eastAsia="zh-CN"/>
                    </w:rPr>
                    <w:t>少量</w:t>
                  </w:r>
                </w:p>
              </w:tc>
              <w:tc>
                <w:tcPr>
                  <w:tcW w:w="383" w:type="pct"/>
                  <w:tcBorders>
                    <w:left w:val="single" w:color="auto" w:sz="4" w:space="0"/>
                    <w:right w:val="single" w:color="auto" w:sz="4" w:space="0"/>
                  </w:tcBorders>
                  <w:shd w:val="clear" w:color="auto" w:fill="auto"/>
                  <w:vAlign w:val="center"/>
                </w:tcPr>
                <w:p w14:paraId="51BA3247">
                  <w:pPr>
                    <w:keepNext w:val="0"/>
                    <w:keepLines w:val="0"/>
                    <w:widowControl/>
                    <w:suppressLineNumbers w:val="0"/>
                    <w:spacing w:before="0" w:beforeAutospacing="0" w:after="0" w:afterAutospacing="0" w:line="280" w:lineRule="exact"/>
                    <w:ind w:left="0" w:right="0"/>
                    <w:jc w:val="center"/>
                    <w:textAlignment w:val="center"/>
                    <w:rPr>
                      <w:rFonts w:hint="eastAsia"/>
                      <w:snapToGrid w:val="0"/>
                      <w:sz w:val="18"/>
                      <w:szCs w:val="18"/>
                      <w:highlight w:val="none"/>
                      <w:lang w:val="en-US" w:eastAsia="zh-CN"/>
                    </w:rPr>
                  </w:pPr>
                  <w:r>
                    <w:rPr>
                      <w:rFonts w:hint="eastAsia"/>
                      <w:bCs/>
                      <w:kern w:val="0"/>
                      <w:sz w:val="18"/>
                      <w:szCs w:val="18"/>
                      <w:highlight w:val="none"/>
                      <w:lang w:val="en-US" w:eastAsia="zh-CN"/>
                    </w:rPr>
                    <w:t>/</w:t>
                  </w:r>
                </w:p>
              </w:tc>
              <w:tc>
                <w:tcPr>
                  <w:tcW w:w="240" w:type="pct"/>
                  <w:tcBorders>
                    <w:left w:val="single" w:color="auto" w:sz="4" w:space="0"/>
                    <w:right w:val="single" w:color="auto" w:sz="4" w:space="0"/>
                  </w:tcBorders>
                  <w:shd w:val="clear" w:color="auto" w:fill="auto"/>
                  <w:vAlign w:val="center"/>
                </w:tcPr>
                <w:p w14:paraId="78A9E2C0">
                  <w:pPr>
                    <w:keepNext w:val="0"/>
                    <w:keepLines w:val="0"/>
                    <w:widowControl/>
                    <w:suppressLineNumbers w:val="0"/>
                    <w:spacing w:before="0" w:beforeAutospacing="0" w:after="0" w:afterAutospacing="0" w:line="280" w:lineRule="exact"/>
                    <w:ind w:left="0" w:right="0"/>
                    <w:jc w:val="center"/>
                    <w:textAlignment w:val="center"/>
                    <w:rPr>
                      <w:rFonts w:hint="eastAsia"/>
                      <w:bCs/>
                      <w:kern w:val="0"/>
                      <w:sz w:val="18"/>
                      <w:szCs w:val="18"/>
                      <w:highlight w:val="none"/>
                      <w:lang w:val="en-US" w:eastAsia="zh-CN"/>
                    </w:rPr>
                  </w:pPr>
                  <w:r>
                    <w:rPr>
                      <w:rFonts w:hint="eastAsia"/>
                      <w:bCs/>
                      <w:kern w:val="0"/>
                      <w:sz w:val="18"/>
                      <w:szCs w:val="18"/>
                      <w:highlight w:val="none"/>
                      <w:lang w:val="en-US" w:eastAsia="zh-CN"/>
                    </w:rPr>
                    <w:t>/</w:t>
                  </w:r>
                </w:p>
              </w:tc>
              <w:tc>
                <w:tcPr>
                  <w:tcW w:w="317" w:type="pct"/>
                  <w:tcBorders>
                    <w:left w:val="single" w:color="auto" w:sz="4" w:space="0"/>
                    <w:right w:val="single" w:color="auto" w:sz="4" w:space="0"/>
                  </w:tcBorders>
                  <w:shd w:val="clear" w:color="auto" w:fill="auto"/>
                  <w:vAlign w:val="center"/>
                </w:tcPr>
                <w:p w14:paraId="7B43B2A2">
                  <w:pPr>
                    <w:keepNext w:val="0"/>
                    <w:keepLines w:val="0"/>
                    <w:widowControl/>
                    <w:suppressLineNumbers w:val="0"/>
                    <w:spacing w:before="0" w:beforeAutospacing="0" w:after="0" w:afterAutospacing="0" w:line="280" w:lineRule="exact"/>
                    <w:ind w:left="0" w:right="0"/>
                    <w:jc w:val="center"/>
                    <w:textAlignment w:val="center"/>
                    <w:rPr>
                      <w:rFonts w:hint="eastAsia"/>
                      <w:sz w:val="18"/>
                      <w:szCs w:val="18"/>
                      <w:highlight w:val="none"/>
                      <w:lang w:val="en-US" w:eastAsia="zh-CN"/>
                    </w:rPr>
                  </w:pPr>
                  <w:r>
                    <w:rPr>
                      <w:rFonts w:hint="eastAsia"/>
                      <w:bCs/>
                      <w:kern w:val="0"/>
                      <w:sz w:val="18"/>
                      <w:szCs w:val="18"/>
                      <w:highlight w:val="none"/>
                      <w:lang w:val="en-US" w:eastAsia="zh-CN"/>
                    </w:rPr>
                    <w:t>/</w:t>
                  </w:r>
                </w:p>
              </w:tc>
              <w:tc>
                <w:tcPr>
                  <w:tcW w:w="1083" w:type="pct"/>
                  <w:gridSpan w:val="3"/>
                  <w:tcBorders>
                    <w:top w:val="single" w:color="auto" w:sz="4" w:space="0"/>
                    <w:left w:val="single" w:color="auto" w:sz="4" w:space="0"/>
                    <w:right w:val="single" w:color="auto" w:sz="4" w:space="0"/>
                  </w:tcBorders>
                  <w:shd w:val="clear" w:color="auto" w:fill="auto"/>
                  <w:vAlign w:val="center"/>
                </w:tcPr>
                <w:p w14:paraId="76E38DAE">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64" w:lineRule="auto"/>
                    <w:ind w:left="0" w:right="0"/>
                    <w:jc w:val="center"/>
                    <w:textAlignment w:val="auto"/>
                    <w:rPr>
                      <w:rFonts w:hint="eastAsia" w:ascii="Times New Roman" w:hAnsi="Times New Roman" w:eastAsia="宋体" w:cs="Times New Roman"/>
                      <w:bCs/>
                      <w:kern w:val="0"/>
                      <w:sz w:val="18"/>
                      <w:szCs w:val="18"/>
                      <w:highlight w:val="none"/>
                      <w:lang w:val="en-US" w:eastAsia="zh-CN"/>
                    </w:rPr>
                  </w:pPr>
                  <w:r>
                    <w:rPr>
                      <w:rFonts w:hint="eastAsia" w:cs="Times New Roman"/>
                      <w:bCs/>
                      <w:kern w:val="0"/>
                      <w:sz w:val="18"/>
                      <w:szCs w:val="18"/>
                      <w:highlight w:val="none"/>
                      <w:lang w:val="en-US" w:eastAsia="zh-CN"/>
                    </w:rPr>
                    <w:t>少量</w:t>
                  </w:r>
                </w:p>
              </w:tc>
              <w:tc>
                <w:tcPr>
                  <w:tcW w:w="255" w:type="pct"/>
                  <w:vMerge w:val="continue"/>
                  <w:tcBorders>
                    <w:left w:val="single" w:color="auto" w:sz="4" w:space="0"/>
                    <w:right w:val="single" w:color="auto" w:sz="4" w:space="0"/>
                  </w:tcBorders>
                  <w:vAlign w:val="center"/>
                </w:tcPr>
                <w:p w14:paraId="1C503B42">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64" w:lineRule="auto"/>
                    <w:ind w:left="0" w:right="0"/>
                    <w:jc w:val="center"/>
                    <w:textAlignment w:val="auto"/>
                    <w:rPr>
                      <w:rFonts w:hint="eastAsia"/>
                      <w:bCs/>
                      <w:kern w:val="0"/>
                      <w:sz w:val="18"/>
                      <w:szCs w:val="18"/>
                      <w:highlight w:val="none"/>
                      <w:lang w:val="en-US" w:eastAsia="zh-CN"/>
                    </w:rPr>
                  </w:pPr>
                </w:p>
              </w:tc>
            </w:tr>
            <w:tr w14:paraId="0F4DB21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189" w:hRule="atLeast"/>
                <w:jc w:val="center"/>
              </w:trPr>
              <w:tc>
                <w:tcPr>
                  <w:tcW w:w="271" w:type="pct"/>
                  <w:vMerge w:val="restart"/>
                  <w:tcBorders>
                    <w:left w:val="single" w:color="auto" w:sz="4" w:space="0"/>
                    <w:right w:val="single" w:color="auto" w:sz="4" w:space="0"/>
                  </w:tcBorders>
                  <w:vAlign w:val="center"/>
                </w:tcPr>
                <w:p w14:paraId="69C00424">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64" w:lineRule="auto"/>
                    <w:ind w:left="0" w:right="0"/>
                    <w:jc w:val="center"/>
                    <w:textAlignment w:val="auto"/>
                    <w:rPr>
                      <w:rFonts w:hint="default"/>
                      <w:bCs/>
                      <w:kern w:val="0"/>
                      <w:sz w:val="18"/>
                      <w:szCs w:val="18"/>
                      <w:highlight w:val="none"/>
                      <w:lang w:val="en-US"/>
                    </w:rPr>
                  </w:pPr>
                  <w:r>
                    <w:rPr>
                      <w:rFonts w:hint="eastAsia"/>
                      <w:bCs/>
                      <w:kern w:val="0"/>
                      <w:sz w:val="18"/>
                      <w:szCs w:val="18"/>
                      <w:highlight w:val="none"/>
                      <w:lang w:val="en-US" w:eastAsia="zh-CN"/>
                    </w:rPr>
                    <w:t>DA018</w:t>
                  </w:r>
                </w:p>
              </w:tc>
              <w:tc>
                <w:tcPr>
                  <w:tcW w:w="331" w:type="pct"/>
                  <w:vMerge w:val="restart"/>
                  <w:tcBorders>
                    <w:left w:val="single" w:color="auto" w:sz="4" w:space="0"/>
                    <w:right w:val="single" w:color="auto" w:sz="4" w:space="0"/>
                  </w:tcBorders>
                  <w:vAlign w:val="center"/>
                </w:tcPr>
                <w:p w14:paraId="06251C10">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64" w:lineRule="auto"/>
                    <w:ind w:left="0" w:right="0"/>
                    <w:jc w:val="center"/>
                    <w:textAlignment w:val="auto"/>
                    <w:rPr>
                      <w:rFonts w:hint="default"/>
                      <w:bCs/>
                      <w:kern w:val="0"/>
                      <w:sz w:val="18"/>
                      <w:szCs w:val="18"/>
                      <w:highlight w:val="none"/>
                    </w:rPr>
                  </w:pPr>
                  <w:r>
                    <w:rPr>
                      <w:rFonts w:hint="eastAsia"/>
                      <w:bCs/>
                      <w:kern w:val="0"/>
                      <w:sz w:val="18"/>
                      <w:szCs w:val="18"/>
                      <w:highlight w:val="none"/>
                      <w:lang w:val="en-US" w:eastAsia="zh-CN"/>
                    </w:rPr>
                    <w:t>18#排气筒</w:t>
                  </w:r>
                </w:p>
              </w:tc>
              <w:tc>
                <w:tcPr>
                  <w:tcW w:w="404" w:type="pct"/>
                  <w:vMerge w:val="restart"/>
                  <w:tcBorders>
                    <w:left w:val="single" w:color="auto" w:sz="4" w:space="0"/>
                    <w:right w:val="single" w:color="auto" w:sz="4" w:space="0"/>
                  </w:tcBorders>
                  <w:vAlign w:val="center"/>
                </w:tcPr>
                <w:p w14:paraId="361DC1D9">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64" w:lineRule="auto"/>
                    <w:ind w:left="0" w:right="0"/>
                    <w:jc w:val="center"/>
                    <w:textAlignment w:val="auto"/>
                    <w:rPr>
                      <w:rFonts w:hint="default"/>
                      <w:bCs/>
                      <w:kern w:val="0"/>
                      <w:sz w:val="18"/>
                      <w:szCs w:val="18"/>
                      <w:highlight w:val="none"/>
                    </w:rPr>
                  </w:pPr>
                  <w:r>
                    <w:rPr>
                      <w:rFonts w:hint="eastAsia"/>
                      <w:bCs/>
                      <w:kern w:val="0"/>
                      <w:sz w:val="18"/>
                      <w:szCs w:val="18"/>
                      <w:highlight w:val="none"/>
                      <w:lang w:val="en-US" w:eastAsia="zh-CN"/>
                    </w:rPr>
                    <w:t>实验室废气</w:t>
                  </w:r>
                </w:p>
              </w:tc>
              <w:tc>
                <w:tcPr>
                  <w:tcW w:w="593" w:type="pct"/>
                  <w:tcBorders>
                    <w:left w:val="single" w:color="auto" w:sz="4" w:space="0"/>
                    <w:bottom w:val="single" w:color="auto" w:sz="4" w:space="0"/>
                    <w:right w:val="single" w:color="auto" w:sz="4" w:space="0"/>
                  </w:tcBorders>
                  <w:shd w:val="clear" w:color="auto" w:fill="auto"/>
                  <w:vAlign w:val="center"/>
                </w:tcPr>
                <w:p w14:paraId="4A8B0B0C">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64" w:lineRule="auto"/>
                    <w:ind w:left="0" w:right="0"/>
                    <w:jc w:val="center"/>
                    <w:textAlignment w:val="auto"/>
                    <w:rPr>
                      <w:rFonts w:hint="default"/>
                      <w:bCs/>
                      <w:kern w:val="0"/>
                      <w:sz w:val="18"/>
                      <w:szCs w:val="18"/>
                      <w:highlight w:val="none"/>
                    </w:rPr>
                  </w:pPr>
                  <w:r>
                    <w:rPr>
                      <w:rFonts w:hint="eastAsia"/>
                      <w:bCs/>
                      <w:kern w:val="0"/>
                      <w:sz w:val="18"/>
                      <w:szCs w:val="18"/>
                      <w:highlight w:val="none"/>
                      <w:lang w:val="en-US" w:eastAsia="zh-CN"/>
                    </w:rPr>
                    <w:t>非甲烷总烃</w:t>
                  </w:r>
                </w:p>
              </w:tc>
              <w:tc>
                <w:tcPr>
                  <w:tcW w:w="357" w:type="pct"/>
                  <w:tcBorders>
                    <w:top w:val="single" w:color="auto" w:sz="4" w:space="0"/>
                    <w:left w:val="single" w:color="auto" w:sz="4" w:space="0"/>
                    <w:bottom w:val="single" w:color="auto" w:sz="4" w:space="0"/>
                    <w:right w:val="single" w:color="auto" w:sz="4" w:space="0"/>
                  </w:tcBorders>
                  <w:shd w:val="clear" w:color="auto" w:fill="auto"/>
                  <w:vAlign w:val="center"/>
                </w:tcPr>
                <w:p w14:paraId="5984ECC6">
                  <w:pPr>
                    <w:keepNext w:val="0"/>
                    <w:keepLines w:val="0"/>
                    <w:widowControl/>
                    <w:suppressLineNumbers w:val="0"/>
                    <w:spacing w:before="0" w:beforeAutospacing="0" w:after="0" w:afterAutospacing="0"/>
                    <w:ind w:left="0" w:right="0"/>
                    <w:jc w:val="center"/>
                    <w:textAlignment w:val="center"/>
                    <w:rPr>
                      <w:rFonts w:hint="eastAsia" w:ascii="Times New Roman" w:hAnsi="Times New Roman" w:eastAsia="宋体" w:cs="Times New Roman"/>
                      <w:b w:val="0"/>
                      <w:bCs w:val="0"/>
                      <w:kern w:val="2"/>
                      <w:sz w:val="18"/>
                      <w:szCs w:val="18"/>
                      <w:highlight w:val="none"/>
                      <w:lang w:val="en-US" w:eastAsia="zh-CN" w:bidi="ar"/>
                    </w:rPr>
                  </w:pPr>
                  <w:r>
                    <w:rPr>
                      <w:rFonts w:hint="default" w:ascii="Times New Roman" w:hAnsi="Times New Roman" w:eastAsia="宋体" w:cs="Times New Roman"/>
                      <w:i w:val="0"/>
                      <w:iCs w:val="0"/>
                      <w:color w:val="000000"/>
                      <w:kern w:val="0"/>
                      <w:sz w:val="18"/>
                      <w:szCs w:val="18"/>
                      <w:highlight w:val="none"/>
                      <w:u w:val="none"/>
                      <w:lang w:val="en-US" w:eastAsia="zh-CN" w:bidi="ar"/>
                    </w:rPr>
                    <w:t>0.171</w:t>
                  </w:r>
                </w:p>
              </w:tc>
              <w:tc>
                <w:tcPr>
                  <w:tcW w:w="357" w:type="pct"/>
                  <w:tcBorders>
                    <w:top w:val="single" w:color="auto" w:sz="4" w:space="0"/>
                    <w:left w:val="single" w:color="auto" w:sz="4" w:space="0"/>
                    <w:bottom w:val="single" w:color="auto" w:sz="4" w:space="0"/>
                    <w:right w:val="single" w:color="auto" w:sz="4" w:space="0"/>
                  </w:tcBorders>
                  <w:shd w:val="clear" w:color="auto" w:fill="auto"/>
                  <w:vAlign w:val="center"/>
                </w:tcPr>
                <w:p w14:paraId="5FF0EF57">
                  <w:pPr>
                    <w:keepNext w:val="0"/>
                    <w:keepLines w:val="0"/>
                    <w:widowControl/>
                    <w:suppressLineNumbers w:val="0"/>
                    <w:spacing w:before="0" w:beforeAutospacing="0" w:after="0" w:afterAutospacing="0"/>
                    <w:ind w:left="0" w:right="0"/>
                    <w:jc w:val="center"/>
                    <w:textAlignment w:val="center"/>
                    <w:rPr>
                      <w:rFonts w:hint="eastAsia" w:ascii="Times New Roman" w:hAnsi="Times New Roman" w:eastAsia="宋体" w:cs="Times New Roman"/>
                      <w:b w:val="0"/>
                      <w:bCs w:val="0"/>
                      <w:kern w:val="2"/>
                      <w:sz w:val="18"/>
                      <w:szCs w:val="18"/>
                      <w:highlight w:val="none"/>
                      <w:lang w:val="en-US" w:eastAsia="zh-CN" w:bidi="ar"/>
                    </w:rPr>
                  </w:pPr>
                  <w:r>
                    <w:rPr>
                      <w:rFonts w:hint="default" w:ascii="Times New Roman" w:hAnsi="Times New Roman" w:eastAsia="宋体" w:cs="Times New Roman"/>
                      <w:i w:val="0"/>
                      <w:iCs w:val="0"/>
                      <w:color w:val="000000"/>
                      <w:kern w:val="0"/>
                      <w:sz w:val="18"/>
                      <w:szCs w:val="18"/>
                      <w:highlight w:val="none"/>
                      <w:u w:val="none"/>
                      <w:lang w:val="en-US" w:eastAsia="zh-CN" w:bidi="ar"/>
                    </w:rPr>
                    <w:t>0.082</w:t>
                  </w:r>
                </w:p>
              </w:tc>
              <w:tc>
                <w:tcPr>
                  <w:tcW w:w="404" w:type="pct"/>
                  <w:tcBorders>
                    <w:top w:val="single" w:color="auto" w:sz="4" w:space="0"/>
                    <w:left w:val="single" w:color="auto" w:sz="4" w:space="0"/>
                    <w:right w:val="single" w:color="auto" w:sz="4" w:space="0"/>
                  </w:tcBorders>
                  <w:shd w:val="clear" w:color="auto" w:fill="auto"/>
                  <w:vAlign w:val="center"/>
                </w:tcPr>
                <w:p w14:paraId="63D05200">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64" w:lineRule="auto"/>
                    <w:ind w:left="0" w:right="0"/>
                    <w:jc w:val="center"/>
                    <w:textAlignment w:val="auto"/>
                    <w:rPr>
                      <w:rFonts w:hint="default" w:cs="Times New Roman"/>
                      <w:bCs/>
                      <w:kern w:val="0"/>
                      <w:sz w:val="18"/>
                      <w:szCs w:val="18"/>
                      <w:highlight w:val="none"/>
                      <w:lang w:val="en-US" w:eastAsia="zh-CN"/>
                    </w:rPr>
                  </w:pPr>
                  <w:r>
                    <w:rPr>
                      <w:rFonts w:hint="eastAsia" w:cs="Times New Roman"/>
                      <w:bCs/>
                      <w:kern w:val="0"/>
                      <w:sz w:val="18"/>
                      <w:szCs w:val="18"/>
                      <w:highlight w:val="none"/>
                      <w:lang w:val="en-US" w:eastAsia="zh-CN"/>
                    </w:rPr>
                    <w:t xml:space="preserve">1.61 </w:t>
                  </w:r>
                </w:p>
              </w:tc>
              <w:tc>
                <w:tcPr>
                  <w:tcW w:w="383" w:type="pct"/>
                  <w:tcBorders>
                    <w:left w:val="single" w:color="auto" w:sz="4" w:space="0"/>
                    <w:right w:val="single" w:color="auto" w:sz="4" w:space="0"/>
                  </w:tcBorders>
                  <w:shd w:val="clear" w:color="auto" w:fill="auto"/>
                  <w:vAlign w:val="center"/>
                </w:tcPr>
                <w:p w14:paraId="008D9383">
                  <w:pPr>
                    <w:keepNext w:val="0"/>
                    <w:keepLines w:val="0"/>
                    <w:widowControl/>
                    <w:suppressLineNumbers w:val="0"/>
                    <w:spacing w:before="0" w:beforeAutospacing="0" w:after="0" w:afterAutospacing="0" w:line="280" w:lineRule="exact"/>
                    <w:ind w:left="0" w:right="0"/>
                    <w:jc w:val="center"/>
                    <w:textAlignment w:val="center"/>
                    <w:rPr>
                      <w:rFonts w:hint="eastAsia" w:ascii="Times New Roman" w:hAnsi="Times New Roman" w:eastAsia="宋体" w:cs="Times New Roman"/>
                      <w:b w:val="0"/>
                      <w:bCs w:val="0"/>
                      <w:kern w:val="2"/>
                      <w:sz w:val="18"/>
                      <w:szCs w:val="18"/>
                      <w:highlight w:val="none"/>
                      <w:lang w:val="en-US" w:eastAsia="zh-CN" w:bidi="ar"/>
                    </w:rPr>
                  </w:pPr>
                  <w:r>
                    <w:rPr>
                      <w:rFonts w:hint="eastAsia"/>
                      <w:snapToGrid w:val="0"/>
                      <w:sz w:val="18"/>
                      <w:szCs w:val="18"/>
                      <w:highlight w:val="none"/>
                      <w:lang w:val="en-US" w:eastAsia="zh-CN"/>
                    </w:rPr>
                    <w:t>活性炭吸附</w:t>
                  </w:r>
                </w:p>
              </w:tc>
              <w:tc>
                <w:tcPr>
                  <w:tcW w:w="240" w:type="pct"/>
                  <w:tcBorders>
                    <w:left w:val="single" w:color="auto" w:sz="4" w:space="0"/>
                    <w:right w:val="single" w:color="auto" w:sz="4" w:space="0"/>
                  </w:tcBorders>
                  <w:shd w:val="clear" w:color="auto" w:fill="auto"/>
                  <w:vAlign w:val="center"/>
                </w:tcPr>
                <w:p w14:paraId="7CB1F24C">
                  <w:pPr>
                    <w:keepNext w:val="0"/>
                    <w:keepLines w:val="0"/>
                    <w:widowControl/>
                    <w:suppressLineNumbers w:val="0"/>
                    <w:spacing w:before="0" w:beforeAutospacing="0" w:after="0" w:afterAutospacing="0" w:line="280" w:lineRule="exact"/>
                    <w:ind w:left="0" w:right="0"/>
                    <w:jc w:val="center"/>
                    <w:textAlignment w:val="center"/>
                    <w:rPr>
                      <w:rFonts w:hint="eastAsia" w:ascii="Times New Roman" w:hAnsi="Times New Roman" w:eastAsia="宋体" w:cs="Times New Roman"/>
                      <w:b w:val="0"/>
                      <w:bCs w:val="0"/>
                      <w:kern w:val="2"/>
                      <w:sz w:val="18"/>
                      <w:szCs w:val="18"/>
                      <w:highlight w:val="none"/>
                      <w:lang w:val="en-US" w:eastAsia="zh-CN" w:bidi="ar"/>
                    </w:rPr>
                  </w:pPr>
                  <w:r>
                    <w:rPr>
                      <w:rFonts w:hint="eastAsia"/>
                      <w:bCs/>
                      <w:kern w:val="0"/>
                      <w:sz w:val="18"/>
                      <w:szCs w:val="18"/>
                      <w:highlight w:val="none"/>
                      <w:lang w:val="en-US" w:eastAsia="zh-CN"/>
                    </w:rPr>
                    <w:t>/</w:t>
                  </w:r>
                </w:p>
              </w:tc>
              <w:tc>
                <w:tcPr>
                  <w:tcW w:w="317" w:type="pct"/>
                  <w:tcBorders>
                    <w:left w:val="single" w:color="auto" w:sz="4" w:space="0"/>
                    <w:right w:val="single" w:color="auto" w:sz="4" w:space="0"/>
                  </w:tcBorders>
                  <w:shd w:val="clear" w:color="auto" w:fill="auto"/>
                  <w:vAlign w:val="center"/>
                </w:tcPr>
                <w:p w14:paraId="57B18FFE">
                  <w:pPr>
                    <w:keepNext w:val="0"/>
                    <w:keepLines w:val="0"/>
                    <w:widowControl/>
                    <w:suppressLineNumbers w:val="0"/>
                    <w:spacing w:before="0" w:beforeAutospacing="0" w:after="0" w:afterAutospacing="0" w:line="280" w:lineRule="exact"/>
                    <w:ind w:left="0" w:right="0"/>
                    <w:jc w:val="center"/>
                    <w:textAlignment w:val="center"/>
                    <w:rPr>
                      <w:rFonts w:hint="eastAsia" w:ascii="Times New Roman" w:hAnsi="Times New Roman" w:eastAsia="宋体" w:cs="Times New Roman"/>
                      <w:b w:val="0"/>
                      <w:bCs w:val="0"/>
                      <w:kern w:val="2"/>
                      <w:sz w:val="18"/>
                      <w:szCs w:val="18"/>
                      <w:highlight w:val="none"/>
                      <w:lang w:val="en-US" w:eastAsia="zh-CN" w:bidi="ar"/>
                    </w:rPr>
                  </w:pPr>
                  <w:r>
                    <w:rPr>
                      <w:rFonts w:hint="eastAsia"/>
                      <w:sz w:val="18"/>
                      <w:szCs w:val="18"/>
                      <w:highlight w:val="none"/>
                      <w:lang w:val="en-US" w:eastAsia="zh-CN"/>
                    </w:rPr>
                    <w:t>50800</w:t>
                  </w:r>
                </w:p>
              </w:tc>
              <w:tc>
                <w:tcPr>
                  <w:tcW w:w="380" w:type="pct"/>
                  <w:tcBorders>
                    <w:top w:val="single" w:color="auto" w:sz="4" w:space="0"/>
                    <w:left w:val="single" w:color="auto" w:sz="4" w:space="0"/>
                    <w:right w:val="single" w:color="auto" w:sz="4" w:space="0"/>
                  </w:tcBorders>
                  <w:shd w:val="clear" w:color="auto" w:fill="auto"/>
                  <w:vAlign w:val="center"/>
                </w:tcPr>
                <w:p w14:paraId="4243F235">
                  <w:pPr>
                    <w:keepNext w:val="0"/>
                    <w:keepLines w:val="0"/>
                    <w:widowControl/>
                    <w:suppressLineNumbers w:val="0"/>
                    <w:spacing w:before="0" w:beforeAutospacing="0" w:after="0" w:afterAutospacing="0"/>
                    <w:ind w:left="0" w:right="0"/>
                    <w:jc w:val="center"/>
                    <w:textAlignment w:val="center"/>
                    <w:rPr>
                      <w:rFonts w:hint="eastAsia" w:ascii="Times New Roman" w:hAnsi="Times New Roman" w:eastAsia="宋体" w:cs="Times New Roman"/>
                      <w:b w:val="0"/>
                      <w:bCs w:val="0"/>
                      <w:kern w:val="2"/>
                      <w:sz w:val="18"/>
                      <w:szCs w:val="18"/>
                      <w:highlight w:val="none"/>
                      <w:lang w:val="en-US" w:eastAsia="zh-CN" w:bidi="ar"/>
                    </w:rPr>
                  </w:pPr>
                  <w:r>
                    <w:rPr>
                      <w:rFonts w:hint="default" w:ascii="Times New Roman" w:hAnsi="Times New Roman" w:eastAsia="宋体" w:cs="Times New Roman"/>
                      <w:i w:val="0"/>
                      <w:iCs w:val="0"/>
                      <w:color w:val="000000"/>
                      <w:kern w:val="0"/>
                      <w:sz w:val="18"/>
                      <w:szCs w:val="18"/>
                      <w:highlight w:val="none"/>
                      <w:u w:val="none"/>
                      <w:lang w:val="en-US" w:eastAsia="zh-CN" w:bidi="ar"/>
                    </w:rPr>
                    <w:t>0.171</w:t>
                  </w:r>
                </w:p>
              </w:tc>
              <w:tc>
                <w:tcPr>
                  <w:tcW w:w="362" w:type="pct"/>
                  <w:tcBorders>
                    <w:top w:val="single" w:color="auto" w:sz="4" w:space="0"/>
                    <w:left w:val="single" w:color="auto" w:sz="4" w:space="0"/>
                    <w:right w:val="single" w:color="auto" w:sz="4" w:space="0"/>
                  </w:tcBorders>
                  <w:shd w:val="clear" w:color="auto" w:fill="auto"/>
                  <w:vAlign w:val="center"/>
                </w:tcPr>
                <w:p w14:paraId="2E0514C5">
                  <w:pPr>
                    <w:keepNext w:val="0"/>
                    <w:keepLines w:val="0"/>
                    <w:widowControl/>
                    <w:suppressLineNumbers w:val="0"/>
                    <w:spacing w:before="0" w:beforeAutospacing="0" w:after="0" w:afterAutospacing="0"/>
                    <w:ind w:left="0" w:right="0"/>
                    <w:jc w:val="center"/>
                    <w:textAlignment w:val="center"/>
                    <w:rPr>
                      <w:rFonts w:hint="eastAsia" w:ascii="Times New Roman" w:hAnsi="Times New Roman" w:eastAsia="宋体" w:cs="Times New Roman"/>
                      <w:b w:val="0"/>
                      <w:bCs w:val="0"/>
                      <w:kern w:val="2"/>
                      <w:sz w:val="18"/>
                      <w:szCs w:val="18"/>
                      <w:highlight w:val="none"/>
                      <w:lang w:val="en-US" w:eastAsia="zh-CN" w:bidi="ar"/>
                    </w:rPr>
                  </w:pPr>
                  <w:r>
                    <w:rPr>
                      <w:rFonts w:hint="default" w:ascii="Times New Roman" w:hAnsi="Times New Roman" w:eastAsia="宋体" w:cs="Times New Roman"/>
                      <w:i w:val="0"/>
                      <w:iCs w:val="0"/>
                      <w:color w:val="000000"/>
                      <w:kern w:val="0"/>
                      <w:sz w:val="18"/>
                      <w:szCs w:val="18"/>
                      <w:highlight w:val="none"/>
                      <w:u w:val="none"/>
                      <w:lang w:val="en-US" w:eastAsia="zh-CN" w:bidi="ar"/>
                    </w:rPr>
                    <w:t>0.082</w:t>
                  </w:r>
                </w:p>
              </w:tc>
              <w:tc>
                <w:tcPr>
                  <w:tcW w:w="340" w:type="pct"/>
                  <w:tcBorders>
                    <w:top w:val="single" w:color="auto" w:sz="4" w:space="0"/>
                    <w:left w:val="single" w:color="auto" w:sz="4" w:space="0"/>
                    <w:right w:val="single" w:color="auto" w:sz="4" w:space="0"/>
                  </w:tcBorders>
                  <w:shd w:val="clear" w:color="auto" w:fill="auto"/>
                  <w:vAlign w:val="center"/>
                </w:tcPr>
                <w:p w14:paraId="578CF2D7">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64" w:lineRule="auto"/>
                    <w:ind w:left="0" w:right="0"/>
                    <w:jc w:val="center"/>
                    <w:textAlignment w:val="auto"/>
                    <w:rPr>
                      <w:rFonts w:hint="eastAsia" w:ascii="Times New Roman" w:hAnsi="Times New Roman" w:eastAsia="宋体" w:cs="Times New Roman"/>
                      <w:bCs/>
                      <w:kern w:val="0"/>
                      <w:sz w:val="18"/>
                      <w:szCs w:val="18"/>
                      <w:highlight w:val="none"/>
                      <w:lang w:val="en-US" w:eastAsia="zh-CN" w:bidi="ar-SA"/>
                    </w:rPr>
                  </w:pPr>
                  <w:r>
                    <w:rPr>
                      <w:rFonts w:hint="eastAsia" w:cs="Times New Roman"/>
                      <w:bCs/>
                      <w:kern w:val="0"/>
                      <w:sz w:val="18"/>
                      <w:szCs w:val="18"/>
                      <w:highlight w:val="none"/>
                      <w:lang w:val="en-US" w:eastAsia="zh-CN"/>
                    </w:rPr>
                    <w:t>1.61</w:t>
                  </w:r>
                  <w:r>
                    <w:rPr>
                      <w:rFonts w:hint="eastAsia" w:ascii="Times New Roman" w:hAnsi="Times New Roman" w:eastAsia="宋体" w:cs="Times New Roman"/>
                      <w:bCs/>
                      <w:kern w:val="0"/>
                      <w:sz w:val="18"/>
                      <w:szCs w:val="18"/>
                      <w:highlight w:val="none"/>
                      <w:lang w:val="en-US" w:eastAsia="zh-CN"/>
                    </w:rPr>
                    <w:t xml:space="preserve"> </w:t>
                  </w:r>
                </w:p>
              </w:tc>
              <w:tc>
                <w:tcPr>
                  <w:tcW w:w="255" w:type="pct"/>
                  <w:vMerge w:val="restart"/>
                  <w:tcBorders>
                    <w:left w:val="single" w:color="auto" w:sz="4" w:space="0"/>
                    <w:right w:val="single" w:color="auto" w:sz="4" w:space="0"/>
                  </w:tcBorders>
                  <w:vAlign w:val="center"/>
                </w:tcPr>
                <w:p w14:paraId="2088ECAE">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64" w:lineRule="auto"/>
                    <w:ind w:left="0" w:right="0"/>
                    <w:jc w:val="center"/>
                    <w:textAlignment w:val="auto"/>
                    <w:rPr>
                      <w:rFonts w:hint="default"/>
                      <w:bCs/>
                      <w:kern w:val="0"/>
                      <w:sz w:val="18"/>
                      <w:szCs w:val="18"/>
                      <w:highlight w:val="none"/>
                    </w:rPr>
                  </w:pPr>
                  <w:r>
                    <w:rPr>
                      <w:rFonts w:hint="eastAsia"/>
                      <w:bCs/>
                      <w:kern w:val="0"/>
                      <w:sz w:val="18"/>
                      <w:szCs w:val="18"/>
                      <w:highlight w:val="none"/>
                      <w:lang w:val="en-US" w:eastAsia="zh-CN"/>
                    </w:rPr>
                    <w:t>2080</w:t>
                  </w:r>
                </w:p>
              </w:tc>
            </w:tr>
            <w:tr w14:paraId="1ECF275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189" w:hRule="atLeast"/>
                <w:jc w:val="center"/>
              </w:trPr>
              <w:tc>
                <w:tcPr>
                  <w:tcW w:w="271" w:type="pct"/>
                  <w:vMerge w:val="continue"/>
                  <w:tcBorders>
                    <w:left w:val="single" w:color="auto" w:sz="4" w:space="0"/>
                    <w:right w:val="single" w:color="auto" w:sz="4" w:space="0"/>
                  </w:tcBorders>
                  <w:vAlign w:val="center"/>
                </w:tcPr>
                <w:p w14:paraId="294BF070">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64" w:lineRule="auto"/>
                    <w:ind w:left="0" w:right="0"/>
                    <w:jc w:val="center"/>
                    <w:textAlignment w:val="auto"/>
                    <w:rPr>
                      <w:rFonts w:hint="eastAsia"/>
                      <w:bCs/>
                      <w:kern w:val="0"/>
                      <w:sz w:val="18"/>
                      <w:szCs w:val="18"/>
                      <w:highlight w:val="none"/>
                      <w:lang w:val="en-US" w:eastAsia="zh-CN"/>
                    </w:rPr>
                  </w:pPr>
                </w:p>
              </w:tc>
              <w:tc>
                <w:tcPr>
                  <w:tcW w:w="331" w:type="pct"/>
                  <w:vMerge w:val="continue"/>
                  <w:tcBorders>
                    <w:left w:val="single" w:color="auto" w:sz="4" w:space="0"/>
                    <w:right w:val="single" w:color="auto" w:sz="4" w:space="0"/>
                  </w:tcBorders>
                  <w:vAlign w:val="center"/>
                </w:tcPr>
                <w:p w14:paraId="48922A1F">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64" w:lineRule="auto"/>
                    <w:ind w:left="0" w:right="0"/>
                    <w:jc w:val="center"/>
                    <w:textAlignment w:val="auto"/>
                    <w:rPr>
                      <w:rFonts w:hint="eastAsia"/>
                      <w:bCs/>
                      <w:kern w:val="0"/>
                      <w:sz w:val="18"/>
                      <w:szCs w:val="18"/>
                      <w:highlight w:val="none"/>
                      <w:lang w:val="en-US" w:eastAsia="zh-CN"/>
                    </w:rPr>
                  </w:pPr>
                </w:p>
              </w:tc>
              <w:tc>
                <w:tcPr>
                  <w:tcW w:w="404" w:type="pct"/>
                  <w:vMerge w:val="continue"/>
                  <w:tcBorders>
                    <w:left w:val="single" w:color="auto" w:sz="4" w:space="0"/>
                    <w:right w:val="single" w:color="auto" w:sz="4" w:space="0"/>
                  </w:tcBorders>
                  <w:vAlign w:val="center"/>
                </w:tcPr>
                <w:p w14:paraId="4AAF1091">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64" w:lineRule="auto"/>
                    <w:ind w:left="0" w:right="0"/>
                    <w:jc w:val="center"/>
                    <w:textAlignment w:val="auto"/>
                    <w:rPr>
                      <w:rFonts w:hint="eastAsia"/>
                      <w:bCs/>
                      <w:kern w:val="0"/>
                      <w:sz w:val="18"/>
                      <w:szCs w:val="18"/>
                      <w:highlight w:val="none"/>
                      <w:lang w:val="en-US" w:eastAsia="zh-CN"/>
                    </w:rPr>
                  </w:pPr>
                </w:p>
              </w:tc>
              <w:tc>
                <w:tcPr>
                  <w:tcW w:w="593" w:type="pct"/>
                  <w:tcBorders>
                    <w:left w:val="single" w:color="auto" w:sz="4" w:space="0"/>
                    <w:bottom w:val="single" w:color="auto" w:sz="4" w:space="0"/>
                    <w:right w:val="single" w:color="auto" w:sz="4" w:space="0"/>
                  </w:tcBorders>
                  <w:shd w:val="clear" w:color="auto" w:fill="auto"/>
                  <w:vAlign w:val="center"/>
                </w:tcPr>
                <w:p w14:paraId="72018376">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64" w:lineRule="auto"/>
                    <w:ind w:left="0" w:right="0"/>
                    <w:jc w:val="center"/>
                    <w:textAlignment w:val="auto"/>
                    <w:rPr>
                      <w:rFonts w:hint="eastAsia" w:ascii="Times New Roman" w:hAnsi="Times New Roman" w:eastAsia="宋体" w:cs="Times New Roman"/>
                      <w:bCs/>
                      <w:kern w:val="0"/>
                      <w:sz w:val="18"/>
                      <w:szCs w:val="18"/>
                      <w:highlight w:val="none"/>
                      <w:lang w:val="en-US" w:eastAsia="zh-CN" w:bidi="ar-SA"/>
                    </w:rPr>
                  </w:pPr>
                  <w:r>
                    <w:rPr>
                      <w:rFonts w:hint="eastAsia"/>
                      <w:bCs/>
                      <w:kern w:val="0"/>
                      <w:sz w:val="18"/>
                      <w:szCs w:val="18"/>
                      <w:highlight w:val="none"/>
                      <w:lang w:val="en-US" w:eastAsia="zh-CN"/>
                    </w:rPr>
                    <w:t>氯化氢</w:t>
                  </w:r>
                </w:p>
              </w:tc>
              <w:tc>
                <w:tcPr>
                  <w:tcW w:w="1119" w:type="pct"/>
                  <w:gridSpan w:val="3"/>
                  <w:tcBorders>
                    <w:top w:val="single" w:color="auto" w:sz="4" w:space="0"/>
                    <w:left w:val="single" w:color="auto" w:sz="4" w:space="0"/>
                    <w:bottom w:val="single" w:color="auto" w:sz="4" w:space="0"/>
                    <w:right w:val="single" w:color="auto" w:sz="4" w:space="0"/>
                  </w:tcBorders>
                  <w:shd w:val="clear" w:color="auto" w:fill="auto"/>
                  <w:vAlign w:val="center"/>
                </w:tcPr>
                <w:p w14:paraId="49D6656F">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64" w:lineRule="auto"/>
                    <w:ind w:left="0" w:right="0"/>
                    <w:jc w:val="center"/>
                    <w:textAlignment w:val="auto"/>
                    <w:rPr>
                      <w:rFonts w:hint="eastAsia" w:cs="Times New Roman"/>
                      <w:bCs/>
                      <w:kern w:val="0"/>
                      <w:sz w:val="18"/>
                      <w:szCs w:val="18"/>
                      <w:highlight w:val="none"/>
                      <w:lang w:val="en-US" w:eastAsia="zh-CN"/>
                    </w:rPr>
                  </w:pPr>
                  <w:r>
                    <w:rPr>
                      <w:rFonts w:hint="eastAsia" w:cs="Times New Roman"/>
                      <w:bCs/>
                      <w:kern w:val="0"/>
                      <w:sz w:val="18"/>
                      <w:szCs w:val="18"/>
                      <w:highlight w:val="none"/>
                      <w:lang w:val="en-US" w:eastAsia="zh-CN"/>
                    </w:rPr>
                    <w:t>少量</w:t>
                  </w:r>
                </w:p>
              </w:tc>
              <w:tc>
                <w:tcPr>
                  <w:tcW w:w="383" w:type="pct"/>
                  <w:tcBorders>
                    <w:left w:val="single" w:color="auto" w:sz="4" w:space="0"/>
                    <w:right w:val="single" w:color="auto" w:sz="4" w:space="0"/>
                  </w:tcBorders>
                  <w:shd w:val="clear" w:color="auto" w:fill="auto"/>
                  <w:vAlign w:val="center"/>
                </w:tcPr>
                <w:p w14:paraId="2E3B0974">
                  <w:pPr>
                    <w:keepNext w:val="0"/>
                    <w:keepLines w:val="0"/>
                    <w:widowControl/>
                    <w:suppressLineNumbers w:val="0"/>
                    <w:spacing w:before="0" w:beforeAutospacing="0" w:after="0" w:afterAutospacing="0" w:line="280" w:lineRule="exact"/>
                    <w:ind w:left="0" w:right="0"/>
                    <w:jc w:val="center"/>
                    <w:textAlignment w:val="center"/>
                    <w:rPr>
                      <w:rFonts w:hint="eastAsia"/>
                      <w:snapToGrid w:val="0"/>
                      <w:sz w:val="18"/>
                      <w:szCs w:val="18"/>
                      <w:highlight w:val="none"/>
                      <w:lang w:val="en-US" w:eastAsia="zh-CN"/>
                    </w:rPr>
                  </w:pPr>
                  <w:r>
                    <w:rPr>
                      <w:rFonts w:hint="eastAsia"/>
                      <w:bCs/>
                      <w:kern w:val="0"/>
                      <w:sz w:val="18"/>
                      <w:szCs w:val="18"/>
                      <w:highlight w:val="none"/>
                      <w:lang w:val="en-US" w:eastAsia="zh-CN"/>
                    </w:rPr>
                    <w:t>/</w:t>
                  </w:r>
                </w:p>
              </w:tc>
              <w:tc>
                <w:tcPr>
                  <w:tcW w:w="240" w:type="pct"/>
                  <w:tcBorders>
                    <w:left w:val="single" w:color="auto" w:sz="4" w:space="0"/>
                    <w:right w:val="single" w:color="auto" w:sz="4" w:space="0"/>
                  </w:tcBorders>
                  <w:shd w:val="clear" w:color="auto" w:fill="auto"/>
                  <w:vAlign w:val="center"/>
                </w:tcPr>
                <w:p w14:paraId="585A17E0">
                  <w:pPr>
                    <w:keepNext w:val="0"/>
                    <w:keepLines w:val="0"/>
                    <w:widowControl/>
                    <w:suppressLineNumbers w:val="0"/>
                    <w:spacing w:before="0" w:beforeAutospacing="0" w:after="0" w:afterAutospacing="0" w:line="280" w:lineRule="exact"/>
                    <w:ind w:left="0" w:right="0"/>
                    <w:jc w:val="center"/>
                    <w:textAlignment w:val="center"/>
                    <w:rPr>
                      <w:rFonts w:hint="eastAsia"/>
                      <w:bCs/>
                      <w:kern w:val="0"/>
                      <w:sz w:val="18"/>
                      <w:szCs w:val="18"/>
                      <w:highlight w:val="none"/>
                      <w:lang w:val="en-US" w:eastAsia="zh-CN"/>
                    </w:rPr>
                  </w:pPr>
                  <w:r>
                    <w:rPr>
                      <w:rFonts w:hint="eastAsia"/>
                      <w:bCs/>
                      <w:kern w:val="0"/>
                      <w:sz w:val="18"/>
                      <w:szCs w:val="18"/>
                      <w:highlight w:val="none"/>
                      <w:lang w:val="en-US" w:eastAsia="zh-CN"/>
                    </w:rPr>
                    <w:t>/</w:t>
                  </w:r>
                </w:p>
              </w:tc>
              <w:tc>
                <w:tcPr>
                  <w:tcW w:w="317" w:type="pct"/>
                  <w:tcBorders>
                    <w:left w:val="single" w:color="auto" w:sz="4" w:space="0"/>
                    <w:right w:val="single" w:color="auto" w:sz="4" w:space="0"/>
                  </w:tcBorders>
                  <w:shd w:val="clear" w:color="auto" w:fill="auto"/>
                  <w:vAlign w:val="center"/>
                </w:tcPr>
                <w:p w14:paraId="174FB860">
                  <w:pPr>
                    <w:keepNext w:val="0"/>
                    <w:keepLines w:val="0"/>
                    <w:widowControl/>
                    <w:suppressLineNumbers w:val="0"/>
                    <w:spacing w:before="0" w:beforeAutospacing="0" w:after="0" w:afterAutospacing="0" w:line="280" w:lineRule="exact"/>
                    <w:ind w:left="0" w:right="0"/>
                    <w:jc w:val="center"/>
                    <w:textAlignment w:val="center"/>
                    <w:rPr>
                      <w:rFonts w:hint="eastAsia"/>
                      <w:sz w:val="18"/>
                      <w:szCs w:val="18"/>
                      <w:highlight w:val="none"/>
                      <w:lang w:val="en-US" w:eastAsia="zh-CN"/>
                    </w:rPr>
                  </w:pPr>
                  <w:r>
                    <w:rPr>
                      <w:rFonts w:hint="eastAsia"/>
                      <w:bCs/>
                      <w:kern w:val="0"/>
                      <w:sz w:val="18"/>
                      <w:szCs w:val="18"/>
                      <w:highlight w:val="none"/>
                      <w:lang w:val="en-US" w:eastAsia="zh-CN"/>
                    </w:rPr>
                    <w:t>/</w:t>
                  </w:r>
                </w:p>
              </w:tc>
              <w:tc>
                <w:tcPr>
                  <w:tcW w:w="1083" w:type="pct"/>
                  <w:gridSpan w:val="3"/>
                  <w:tcBorders>
                    <w:top w:val="single" w:color="auto" w:sz="4" w:space="0"/>
                    <w:left w:val="single" w:color="auto" w:sz="4" w:space="0"/>
                    <w:right w:val="single" w:color="auto" w:sz="4" w:space="0"/>
                  </w:tcBorders>
                  <w:shd w:val="clear" w:color="auto" w:fill="auto"/>
                  <w:vAlign w:val="center"/>
                </w:tcPr>
                <w:p w14:paraId="09EBF85D">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64" w:lineRule="auto"/>
                    <w:ind w:left="0" w:right="0"/>
                    <w:jc w:val="center"/>
                    <w:textAlignment w:val="auto"/>
                    <w:rPr>
                      <w:rFonts w:hint="eastAsia" w:ascii="Times New Roman" w:hAnsi="Times New Roman" w:eastAsia="宋体" w:cs="Times New Roman"/>
                      <w:bCs/>
                      <w:kern w:val="0"/>
                      <w:sz w:val="18"/>
                      <w:szCs w:val="18"/>
                      <w:highlight w:val="none"/>
                      <w:lang w:val="en-US" w:eastAsia="zh-CN"/>
                    </w:rPr>
                  </w:pPr>
                  <w:r>
                    <w:rPr>
                      <w:rFonts w:hint="eastAsia" w:cs="Times New Roman"/>
                      <w:bCs/>
                      <w:kern w:val="0"/>
                      <w:sz w:val="18"/>
                      <w:szCs w:val="18"/>
                      <w:highlight w:val="none"/>
                      <w:lang w:val="en-US" w:eastAsia="zh-CN"/>
                    </w:rPr>
                    <w:t>少量</w:t>
                  </w:r>
                </w:p>
              </w:tc>
              <w:tc>
                <w:tcPr>
                  <w:tcW w:w="255" w:type="pct"/>
                  <w:vMerge w:val="continue"/>
                  <w:tcBorders>
                    <w:left w:val="single" w:color="auto" w:sz="4" w:space="0"/>
                    <w:right w:val="single" w:color="auto" w:sz="4" w:space="0"/>
                  </w:tcBorders>
                  <w:vAlign w:val="center"/>
                </w:tcPr>
                <w:p w14:paraId="45423EB7">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64" w:lineRule="auto"/>
                    <w:ind w:left="0" w:right="0"/>
                    <w:jc w:val="center"/>
                    <w:textAlignment w:val="auto"/>
                    <w:rPr>
                      <w:rFonts w:hint="eastAsia"/>
                      <w:bCs/>
                      <w:kern w:val="0"/>
                      <w:sz w:val="18"/>
                      <w:szCs w:val="18"/>
                      <w:highlight w:val="none"/>
                      <w:lang w:val="en-US" w:eastAsia="zh-CN"/>
                    </w:rPr>
                  </w:pPr>
                </w:p>
              </w:tc>
            </w:tr>
            <w:tr w14:paraId="2610253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189" w:hRule="atLeast"/>
                <w:jc w:val="center"/>
              </w:trPr>
              <w:tc>
                <w:tcPr>
                  <w:tcW w:w="271" w:type="pct"/>
                  <w:vMerge w:val="continue"/>
                  <w:tcBorders>
                    <w:left w:val="single" w:color="auto" w:sz="4" w:space="0"/>
                    <w:right w:val="single" w:color="auto" w:sz="4" w:space="0"/>
                  </w:tcBorders>
                  <w:vAlign w:val="center"/>
                </w:tcPr>
                <w:p w14:paraId="408D4EFA">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64" w:lineRule="auto"/>
                    <w:ind w:left="0" w:right="0"/>
                    <w:jc w:val="center"/>
                    <w:textAlignment w:val="auto"/>
                    <w:rPr>
                      <w:rFonts w:hint="eastAsia"/>
                      <w:bCs/>
                      <w:kern w:val="0"/>
                      <w:sz w:val="18"/>
                      <w:szCs w:val="18"/>
                      <w:highlight w:val="none"/>
                      <w:lang w:val="en-US" w:eastAsia="zh-CN"/>
                    </w:rPr>
                  </w:pPr>
                </w:p>
              </w:tc>
              <w:tc>
                <w:tcPr>
                  <w:tcW w:w="331" w:type="pct"/>
                  <w:vMerge w:val="continue"/>
                  <w:tcBorders>
                    <w:left w:val="single" w:color="auto" w:sz="4" w:space="0"/>
                    <w:right w:val="single" w:color="auto" w:sz="4" w:space="0"/>
                  </w:tcBorders>
                  <w:vAlign w:val="center"/>
                </w:tcPr>
                <w:p w14:paraId="42E46658">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64" w:lineRule="auto"/>
                    <w:ind w:left="0" w:right="0"/>
                    <w:jc w:val="center"/>
                    <w:textAlignment w:val="auto"/>
                    <w:rPr>
                      <w:rFonts w:hint="eastAsia"/>
                      <w:bCs/>
                      <w:kern w:val="0"/>
                      <w:sz w:val="18"/>
                      <w:szCs w:val="18"/>
                      <w:highlight w:val="none"/>
                      <w:lang w:val="en-US" w:eastAsia="zh-CN"/>
                    </w:rPr>
                  </w:pPr>
                </w:p>
              </w:tc>
              <w:tc>
                <w:tcPr>
                  <w:tcW w:w="404" w:type="pct"/>
                  <w:vMerge w:val="continue"/>
                  <w:tcBorders>
                    <w:left w:val="single" w:color="auto" w:sz="4" w:space="0"/>
                    <w:right w:val="single" w:color="auto" w:sz="4" w:space="0"/>
                  </w:tcBorders>
                  <w:vAlign w:val="center"/>
                </w:tcPr>
                <w:p w14:paraId="415E75FE">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64" w:lineRule="auto"/>
                    <w:ind w:left="0" w:right="0"/>
                    <w:jc w:val="center"/>
                    <w:textAlignment w:val="auto"/>
                    <w:rPr>
                      <w:rFonts w:hint="eastAsia"/>
                      <w:bCs/>
                      <w:kern w:val="0"/>
                      <w:sz w:val="18"/>
                      <w:szCs w:val="18"/>
                      <w:highlight w:val="none"/>
                      <w:lang w:val="en-US" w:eastAsia="zh-CN"/>
                    </w:rPr>
                  </w:pPr>
                </w:p>
              </w:tc>
              <w:tc>
                <w:tcPr>
                  <w:tcW w:w="593" w:type="pct"/>
                  <w:tcBorders>
                    <w:left w:val="single" w:color="auto" w:sz="4" w:space="0"/>
                    <w:bottom w:val="single" w:color="auto" w:sz="4" w:space="0"/>
                    <w:right w:val="single" w:color="auto" w:sz="4" w:space="0"/>
                  </w:tcBorders>
                  <w:shd w:val="clear" w:color="auto" w:fill="auto"/>
                  <w:vAlign w:val="center"/>
                </w:tcPr>
                <w:p w14:paraId="062CB178">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64" w:lineRule="auto"/>
                    <w:ind w:left="0" w:right="0"/>
                    <w:jc w:val="center"/>
                    <w:textAlignment w:val="auto"/>
                    <w:rPr>
                      <w:rFonts w:hint="eastAsia" w:ascii="Times New Roman" w:hAnsi="Times New Roman" w:eastAsia="宋体" w:cs="Times New Roman"/>
                      <w:bCs/>
                      <w:kern w:val="0"/>
                      <w:sz w:val="18"/>
                      <w:szCs w:val="18"/>
                      <w:highlight w:val="none"/>
                      <w:lang w:val="en-US" w:eastAsia="zh-CN" w:bidi="ar-SA"/>
                    </w:rPr>
                  </w:pPr>
                  <w:r>
                    <w:rPr>
                      <w:rFonts w:hint="eastAsia"/>
                      <w:bCs/>
                      <w:kern w:val="0"/>
                      <w:sz w:val="18"/>
                      <w:szCs w:val="18"/>
                      <w:highlight w:val="none"/>
                      <w:lang w:val="en-US" w:eastAsia="zh-CN"/>
                    </w:rPr>
                    <w:t>硫酸雾</w:t>
                  </w:r>
                </w:p>
              </w:tc>
              <w:tc>
                <w:tcPr>
                  <w:tcW w:w="1119" w:type="pct"/>
                  <w:gridSpan w:val="3"/>
                  <w:tcBorders>
                    <w:top w:val="single" w:color="auto" w:sz="4" w:space="0"/>
                    <w:left w:val="single" w:color="auto" w:sz="4" w:space="0"/>
                    <w:bottom w:val="single" w:color="auto" w:sz="4" w:space="0"/>
                    <w:right w:val="single" w:color="auto" w:sz="4" w:space="0"/>
                  </w:tcBorders>
                  <w:shd w:val="clear" w:color="auto" w:fill="auto"/>
                  <w:vAlign w:val="center"/>
                </w:tcPr>
                <w:p w14:paraId="5FF35BC8">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64" w:lineRule="auto"/>
                    <w:ind w:left="0" w:right="0"/>
                    <w:jc w:val="center"/>
                    <w:textAlignment w:val="auto"/>
                    <w:rPr>
                      <w:rFonts w:hint="eastAsia" w:cs="Times New Roman"/>
                      <w:bCs/>
                      <w:kern w:val="0"/>
                      <w:sz w:val="18"/>
                      <w:szCs w:val="18"/>
                      <w:highlight w:val="none"/>
                      <w:lang w:val="en-US" w:eastAsia="zh-CN"/>
                    </w:rPr>
                  </w:pPr>
                  <w:r>
                    <w:rPr>
                      <w:rFonts w:hint="eastAsia" w:cs="Times New Roman"/>
                      <w:bCs/>
                      <w:kern w:val="0"/>
                      <w:sz w:val="18"/>
                      <w:szCs w:val="18"/>
                      <w:highlight w:val="none"/>
                      <w:lang w:val="en-US" w:eastAsia="zh-CN"/>
                    </w:rPr>
                    <w:t>少量</w:t>
                  </w:r>
                </w:p>
              </w:tc>
              <w:tc>
                <w:tcPr>
                  <w:tcW w:w="383" w:type="pct"/>
                  <w:tcBorders>
                    <w:left w:val="single" w:color="auto" w:sz="4" w:space="0"/>
                    <w:right w:val="single" w:color="auto" w:sz="4" w:space="0"/>
                  </w:tcBorders>
                  <w:shd w:val="clear" w:color="auto" w:fill="auto"/>
                  <w:vAlign w:val="center"/>
                </w:tcPr>
                <w:p w14:paraId="50FEDEC1">
                  <w:pPr>
                    <w:keepNext w:val="0"/>
                    <w:keepLines w:val="0"/>
                    <w:widowControl/>
                    <w:suppressLineNumbers w:val="0"/>
                    <w:spacing w:before="0" w:beforeAutospacing="0" w:after="0" w:afterAutospacing="0" w:line="280" w:lineRule="exact"/>
                    <w:ind w:left="0" w:right="0"/>
                    <w:jc w:val="center"/>
                    <w:textAlignment w:val="center"/>
                    <w:rPr>
                      <w:rFonts w:hint="eastAsia"/>
                      <w:snapToGrid w:val="0"/>
                      <w:sz w:val="18"/>
                      <w:szCs w:val="18"/>
                      <w:highlight w:val="none"/>
                      <w:lang w:val="en-US" w:eastAsia="zh-CN"/>
                    </w:rPr>
                  </w:pPr>
                  <w:r>
                    <w:rPr>
                      <w:rFonts w:hint="eastAsia"/>
                      <w:bCs/>
                      <w:kern w:val="0"/>
                      <w:sz w:val="18"/>
                      <w:szCs w:val="18"/>
                      <w:highlight w:val="none"/>
                      <w:lang w:val="en-US" w:eastAsia="zh-CN"/>
                    </w:rPr>
                    <w:t>/</w:t>
                  </w:r>
                </w:p>
              </w:tc>
              <w:tc>
                <w:tcPr>
                  <w:tcW w:w="240" w:type="pct"/>
                  <w:tcBorders>
                    <w:left w:val="single" w:color="auto" w:sz="4" w:space="0"/>
                    <w:right w:val="single" w:color="auto" w:sz="4" w:space="0"/>
                  </w:tcBorders>
                  <w:shd w:val="clear" w:color="auto" w:fill="auto"/>
                  <w:vAlign w:val="center"/>
                </w:tcPr>
                <w:p w14:paraId="60F98B1F">
                  <w:pPr>
                    <w:keepNext w:val="0"/>
                    <w:keepLines w:val="0"/>
                    <w:widowControl/>
                    <w:suppressLineNumbers w:val="0"/>
                    <w:spacing w:before="0" w:beforeAutospacing="0" w:after="0" w:afterAutospacing="0" w:line="280" w:lineRule="exact"/>
                    <w:ind w:left="0" w:right="0"/>
                    <w:jc w:val="center"/>
                    <w:textAlignment w:val="center"/>
                    <w:rPr>
                      <w:rFonts w:hint="eastAsia"/>
                      <w:bCs/>
                      <w:kern w:val="0"/>
                      <w:sz w:val="18"/>
                      <w:szCs w:val="18"/>
                      <w:highlight w:val="none"/>
                      <w:lang w:val="en-US" w:eastAsia="zh-CN"/>
                    </w:rPr>
                  </w:pPr>
                  <w:r>
                    <w:rPr>
                      <w:rFonts w:hint="eastAsia"/>
                      <w:bCs/>
                      <w:kern w:val="0"/>
                      <w:sz w:val="18"/>
                      <w:szCs w:val="18"/>
                      <w:highlight w:val="none"/>
                      <w:lang w:val="en-US" w:eastAsia="zh-CN"/>
                    </w:rPr>
                    <w:t>/</w:t>
                  </w:r>
                </w:p>
              </w:tc>
              <w:tc>
                <w:tcPr>
                  <w:tcW w:w="317" w:type="pct"/>
                  <w:tcBorders>
                    <w:left w:val="single" w:color="auto" w:sz="4" w:space="0"/>
                    <w:right w:val="single" w:color="auto" w:sz="4" w:space="0"/>
                  </w:tcBorders>
                  <w:shd w:val="clear" w:color="auto" w:fill="auto"/>
                  <w:vAlign w:val="center"/>
                </w:tcPr>
                <w:p w14:paraId="56700156">
                  <w:pPr>
                    <w:keepNext w:val="0"/>
                    <w:keepLines w:val="0"/>
                    <w:widowControl/>
                    <w:suppressLineNumbers w:val="0"/>
                    <w:spacing w:before="0" w:beforeAutospacing="0" w:after="0" w:afterAutospacing="0" w:line="280" w:lineRule="exact"/>
                    <w:ind w:left="0" w:right="0"/>
                    <w:jc w:val="center"/>
                    <w:textAlignment w:val="center"/>
                    <w:rPr>
                      <w:rFonts w:hint="eastAsia"/>
                      <w:sz w:val="18"/>
                      <w:szCs w:val="18"/>
                      <w:highlight w:val="none"/>
                      <w:lang w:val="en-US" w:eastAsia="zh-CN"/>
                    </w:rPr>
                  </w:pPr>
                  <w:r>
                    <w:rPr>
                      <w:rFonts w:hint="eastAsia"/>
                      <w:bCs/>
                      <w:kern w:val="0"/>
                      <w:sz w:val="18"/>
                      <w:szCs w:val="18"/>
                      <w:highlight w:val="none"/>
                      <w:lang w:val="en-US" w:eastAsia="zh-CN"/>
                    </w:rPr>
                    <w:t>/</w:t>
                  </w:r>
                </w:p>
              </w:tc>
              <w:tc>
                <w:tcPr>
                  <w:tcW w:w="1083" w:type="pct"/>
                  <w:gridSpan w:val="3"/>
                  <w:tcBorders>
                    <w:top w:val="single" w:color="auto" w:sz="4" w:space="0"/>
                    <w:left w:val="single" w:color="auto" w:sz="4" w:space="0"/>
                    <w:right w:val="single" w:color="auto" w:sz="4" w:space="0"/>
                  </w:tcBorders>
                  <w:shd w:val="clear" w:color="auto" w:fill="auto"/>
                  <w:vAlign w:val="center"/>
                </w:tcPr>
                <w:p w14:paraId="23092CD2">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64" w:lineRule="auto"/>
                    <w:ind w:left="0" w:right="0"/>
                    <w:jc w:val="center"/>
                    <w:textAlignment w:val="auto"/>
                    <w:rPr>
                      <w:rFonts w:hint="eastAsia" w:ascii="Times New Roman" w:hAnsi="Times New Roman" w:eastAsia="宋体" w:cs="Times New Roman"/>
                      <w:bCs/>
                      <w:kern w:val="0"/>
                      <w:sz w:val="18"/>
                      <w:szCs w:val="18"/>
                      <w:highlight w:val="none"/>
                      <w:lang w:val="en-US" w:eastAsia="zh-CN"/>
                    </w:rPr>
                  </w:pPr>
                  <w:r>
                    <w:rPr>
                      <w:rFonts w:hint="eastAsia" w:cs="Times New Roman"/>
                      <w:bCs/>
                      <w:kern w:val="0"/>
                      <w:sz w:val="18"/>
                      <w:szCs w:val="18"/>
                      <w:highlight w:val="none"/>
                      <w:lang w:val="en-US" w:eastAsia="zh-CN"/>
                    </w:rPr>
                    <w:t>少量</w:t>
                  </w:r>
                </w:p>
              </w:tc>
              <w:tc>
                <w:tcPr>
                  <w:tcW w:w="255" w:type="pct"/>
                  <w:vMerge w:val="continue"/>
                  <w:tcBorders>
                    <w:left w:val="single" w:color="auto" w:sz="4" w:space="0"/>
                    <w:right w:val="single" w:color="auto" w:sz="4" w:space="0"/>
                  </w:tcBorders>
                  <w:vAlign w:val="center"/>
                </w:tcPr>
                <w:p w14:paraId="24CD75E1">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64" w:lineRule="auto"/>
                    <w:ind w:left="0" w:right="0"/>
                    <w:jc w:val="center"/>
                    <w:textAlignment w:val="auto"/>
                    <w:rPr>
                      <w:rFonts w:hint="eastAsia"/>
                      <w:bCs/>
                      <w:kern w:val="0"/>
                      <w:sz w:val="18"/>
                      <w:szCs w:val="18"/>
                      <w:highlight w:val="none"/>
                      <w:lang w:val="en-US" w:eastAsia="zh-CN"/>
                    </w:rPr>
                  </w:pPr>
                </w:p>
              </w:tc>
            </w:tr>
            <w:tr w14:paraId="4DE7785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189" w:hRule="atLeast"/>
                <w:jc w:val="center"/>
              </w:trPr>
              <w:tc>
                <w:tcPr>
                  <w:tcW w:w="271" w:type="pct"/>
                  <w:vMerge w:val="restart"/>
                  <w:tcBorders>
                    <w:left w:val="single" w:color="auto" w:sz="4" w:space="0"/>
                    <w:right w:val="single" w:color="auto" w:sz="4" w:space="0"/>
                  </w:tcBorders>
                  <w:vAlign w:val="center"/>
                </w:tcPr>
                <w:p w14:paraId="124C6D29">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64" w:lineRule="auto"/>
                    <w:ind w:left="0" w:right="0"/>
                    <w:jc w:val="center"/>
                    <w:textAlignment w:val="auto"/>
                    <w:rPr>
                      <w:rFonts w:hint="default"/>
                      <w:bCs/>
                      <w:kern w:val="0"/>
                      <w:sz w:val="18"/>
                      <w:szCs w:val="18"/>
                      <w:highlight w:val="none"/>
                      <w:lang w:val="en-US"/>
                    </w:rPr>
                  </w:pPr>
                  <w:r>
                    <w:rPr>
                      <w:rFonts w:hint="eastAsia"/>
                      <w:bCs/>
                      <w:kern w:val="0"/>
                      <w:sz w:val="18"/>
                      <w:szCs w:val="18"/>
                      <w:highlight w:val="none"/>
                      <w:lang w:val="en-US" w:eastAsia="zh-CN"/>
                    </w:rPr>
                    <w:t>DA019</w:t>
                  </w:r>
                </w:p>
              </w:tc>
              <w:tc>
                <w:tcPr>
                  <w:tcW w:w="331" w:type="pct"/>
                  <w:vMerge w:val="restart"/>
                  <w:tcBorders>
                    <w:left w:val="single" w:color="auto" w:sz="4" w:space="0"/>
                    <w:right w:val="single" w:color="auto" w:sz="4" w:space="0"/>
                  </w:tcBorders>
                  <w:vAlign w:val="center"/>
                </w:tcPr>
                <w:p w14:paraId="2E15CCD1">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64" w:lineRule="auto"/>
                    <w:ind w:left="0" w:right="0"/>
                    <w:jc w:val="center"/>
                    <w:textAlignment w:val="auto"/>
                    <w:rPr>
                      <w:rFonts w:hint="default"/>
                      <w:bCs/>
                      <w:kern w:val="0"/>
                      <w:sz w:val="18"/>
                      <w:szCs w:val="18"/>
                      <w:highlight w:val="none"/>
                    </w:rPr>
                  </w:pPr>
                  <w:r>
                    <w:rPr>
                      <w:rFonts w:hint="eastAsia"/>
                      <w:bCs/>
                      <w:kern w:val="0"/>
                      <w:sz w:val="18"/>
                      <w:szCs w:val="18"/>
                      <w:highlight w:val="none"/>
                      <w:lang w:val="en-US" w:eastAsia="zh-CN"/>
                    </w:rPr>
                    <w:t>19#排气筒</w:t>
                  </w:r>
                </w:p>
              </w:tc>
              <w:tc>
                <w:tcPr>
                  <w:tcW w:w="404" w:type="pct"/>
                  <w:vMerge w:val="restart"/>
                  <w:tcBorders>
                    <w:left w:val="single" w:color="auto" w:sz="4" w:space="0"/>
                    <w:right w:val="single" w:color="auto" w:sz="4" w:space="0"/>
                  </w:tcBorders>
                  <w:vAlign w:val="center"/>
                </w:tcPr>
                <w:p w14:paraId="07353951">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64" w:lineRule="auto"/>
                    <w:ind w:left="0" w:right="0"/>
                    <w:jc w:val="center"/>
                    <w:textAlignment w:val="auto"/>
                    <w:rPr>
                      <w:rFonts w:hint="default"/>
                      <w:bCs/>
                      <w:kern w:val="0"/>
                      <w:sz w:val="18"/>
                      <w:szCs w:val="18"/>
                      <w:highlight w:val="none"/>
                    </w:rPr>
                  </w:pPr>
                  <w:r>
                    <w:rPr>
                      <w:rFonts w:hint="eastAsia"/>
                      <w:bCs/>
                      <w:kern w:val="0"/>
                      <w:sz w:val="18"/>
                      <w:szCs w:val="18"/>
                      <w:highlight w:val="none"/>
                      <w:lang w:val="en-US" w:eastAsia="zh-CN"/>
                    </w:rPr>
                    <w:t>实验室废气</w:t>
                  </w:r>
                </w:p>
              </w:tc>
              <w:tc>
                <w:tcPr>
                  <w:tcW w:w="593" w:type="pct"/>
                  <w:tcBorders>
                    <w:left w:val="single" w:color="auto" w:sz="4" w:space="0"/>
                    <w:bottom w:val="single" w:color="auto" w:sz="4" w:space="0"/>
                    <w:right w:val="single" w:color="auto" w:sz="4" w:space="0"/>
                  </w:tcBorders>
                  <w:shd w:val="clear" w:color="auto" w:fill="auto"/>
                  <w:vAlign w:val="center"/>
                </w:tcPr>
                <w:p w14:paraId="5EACD67E">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64" w:lineRule="auto"/>
                    <w:ind w:left="0" w:right="0"/>
                    <w:jc w:val="center"/>
                    <w:textAlignment w:val="auto"/>
                    <w:rPr>
                      <w:rFonts w:hint="default"/>
                      <w:bCs/>
                      <w:kern w:val="0"/>
                      <w:sz w:val="18"/>
                      <w:szCs w:val="18"/>
                      <w:highlight w:val="none"/>
                    </w:rPr>
                  </w:pPr>
                  <w:r>
                    <w:rPr>
                      <w:rFonts w:hint="eastAsia"/>
                      <w:bCs/>
                      <w:kern w:val="0"/>
                      <w:sz w:val="18"/>
                      <w:szCs w:val="18"/>
                      <w:highlight w:val="none"/>
                      <w:lang w:val="en-US" w:eastAsia="zh-CN"/>
                    </w:rPr>
                    <w:t>非甲烷总烃</w:t>
                  </w:r>
                </w:p>
              </w:tc>
              <w:tc>
                <w:tcPr>
                  <w:tcW w:w="357" w:type="pct"/>
                  <w:tcBorders>
                    <w:top w:val="single" w:color="auto" w:sz="4" w:space="0"/>
                    <w:left w:val="single" w:color="auto" w:sz="4" w:space="0"/>
                    <w:bottom w:val="single" w:color="auto" w:sz="4" w:space="0"/>
                    <w:right w:val="single" w:color="auto" w:sz="4" w:space="0"/>
                  </w:tcBorders>
                  <w:shd w:val="clear" w:color="auto" w:fill="auto"/>
                  <w:vAlign w:val="center"/>
                </w:tcPr>
                <w:p w14:paraId="2887434A">
                  <w:pPr>
                    <w:keepNext w:val="0"/>
                    <w:keepLines w:val="0"/>
                    <w:widowControl/>
                    <w:suppressLineNumbers w:val="0"/>
                    <w:spacing w:before="0" w:beforeAutospacing="0" w:after="0" w:afterAutospacing="0"/>
                    <w:ind w:left="0" w:right="0"/>
                    <w:jc w:val="center"/>
                    <w:textAlignment w:val="center"/>
                    <w:rPr>
                      <w:rFonts w:hint="eastAsia" w:ascii="Times New Roman" w:hAnsi="Times New Roman" w:eastAsia="宋体" w:cs="Times New Roman"/>
                      <w:bCs/>
                      <w:kern w:val="0"/>
                      <w:sz w:val="18"/>
                      <w:szCs w:val="18"/>
                      <w:highlight w:val="none"/>
                      <w:lang w:val="en-US" w:eastAsia="zh-CN" w:bidi="ar-SA"/>
                    </w:rPr>
                  </w:pPr>
                  <w:r>
                    <w:rPr>
                      <w:rFonts w:hint="default" w:ascii="Times New Roman" w:hAnsi="Times New Roman" w:eastAsia="宋体" w:cs="Times New Roman"/>
                      <w:i w:val="0"/>
                      <w:iCs w:val="0"/>
                      <w:color w:val="000000"/>
                      <w:kern w:val="0"/>
                      <w:sz w:val="18"/>
                      <w:szCs w:val="18"/>
                      <w:highlight w:val="none"/>
                      <w:u w:val="none"/>
                      <w:lang w:val="en-US" w:eastAsia="zh-CN" w:bidi="ar"/>
                    </w:rPr>
                    <w:t>0.085</w:t>
                  </w:r>
                </w:p>
              </w:tc>
              <w:tc>
                <w:tcPr>
                  <w:tcW w:w="357" w:type="pct"/>
                  <w:tcBorders>
                    <w:top w:val="single" w:color="auto" w:sz="4" w:space="0"/>
                    <w:left w:val="single" w:color="auto" w:sz="4" w:space="0"/>
                    <w:bottom w:val="single" w:color="auto" w:sz="4" w:space="0"/>
                    <w:right w:val="single" w:color="auto" w:sz="4" w:space="0"/>
                  </w:tcBorders>
                  <w:shd w:val="clear" w:color="auto" w:fill="auto"/>
                  <w:vAlign w:val="center"/>
                </w:tcPr>
                <w:p w14:paraId="5B0CDB33">
                  <w:pPr>
                    <w:keepNext w:val="0"/>
                    <w:keepLines w:val="0"/>
                    <w:widowControl/>
                    <w:suppressLineNumbers w:val="0"/>
                    <w:spacing w:before="0" w:beforeAutospacing="0" w:after="0" w:afterAutospacing="0"/>
                    <w:ind w:left="0" w:right="0"/>
                    <w:jc w:val="center"/>
                    <w:textAlignment w:val="center"/>
                    <w:rPr>
                      <w:rFonts w:hint="eastAsia" w:ascii="Times New Roman" w:hAnsi="Times New Roman" w:eastAsia="宋体" w:cs="Times New Roman"/>
                      <w:bCs/>
                      <w:kern w:val="0"/>
                      <w:sz w:val="18"/>
                      <w:szCs w:val="18"/>
                      <w:highlight w:val="none"/>
                      <w:lang w:val="en-US" w:eastAsia="zh-CN" w:bidi="ar-SA"/>
                    </w:rPr>
                  </w:pPr>
                  <w:r>
                    <w:rPr>
                      <w:rFonts w:hint="default" w:ascii="Times New Roman" w:hAnsi="Times New Roman" w:eastAsia="宋体" w:cs="Times New Roman"/>
                      <w:i w:val="0"/>
                      <w:iCs w:val="0"/>
                      <w:color w:val="000000"/>
                      <w:kern w:val="0"/>
                      <w:sz w:val="18"/>
                      <w:szCs w:val="18"/>
                      <w:highlight w:val="none"/>
                      <w:u w:val="none"/>
                      <w:lang w:val="en-US" w:eastAsia="zh-CN" w:bidi="ar"/>
                    </w:rPr>
                    <w:t>0.041</w:t>
                  </w:r>
                </w:p>
              </w:tc>
              <w:tc>
                <w:tcPr>
                  <w:tcW w:w="404" w:type="pct"/>
                  <w:tcBorders>
                    <w:top w:val="single" w:color="auto" w:sz="4" w:space="0"/>
                    <w:left w:val="single" w:color="auto" w:sz="4" w:space="0"/>
                    <w:right w:val="single" w:color="auto" w:sz="4" w:space="0"/>
                  </w:tcBorders>
                  <w:shd w:val="clear" w:color="auto" w:fill="auto"/>
                  <w:vAlign w:val="center"/>
                </w:tcPr>
                <w:p w14:paraId="49002113">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64" w:lineRule="auto"/>
                    <w:ind w:left="0" w:right="0"/>
                    <w:jc w:val="center"/>
                    <w:textAlignment w:val="auto"/>
                    <w:rPr>
                      <w:rFonts w:hint="default" w:cs="Times New Roman"/>
                      <w:bCs/>
                      <w:kern w:val="0"/>
                      <w:sz w:val="18"/>
                      <w:szCs w:val="18"/>
                      <w:highlight w:val="none"/>
                      <w:lang w:val="en-US" w:eastAsia="zh-CN"/>
                    </w:rPr>
                  </w:pPr>
                  <w:r>
                    <w:rPr>
                      <w:rFonts w:hint="eastAsia" w:cs="Times New Roman"/>
                      <w:bCs/>
                      <w:kern w:val="0"/>
                      <w:sz w:val="18"/>
                      <w:szCs w:val="18"/>
                      <w:highlight w:val="none"/>
                      <w:lang w:val="en-US" w:eastAsia="zh-CN"/>
                    </w:rPr>
                    <w:t xml:space="preserve">1.19 </w:t>
                  </w:r>
                </w:p>
              </w:tc>
              <w:tc>
                <w:tcPr>
                  <w:tcW w:w="383" w:type="pct"/>
                  <w:tcBorders>
                    <w:left w:val="single" w:color="auto" w:sz="4" w:space="0"/>
                    <w:right w:val="single" w:color="auto" w:sz="4" w:space="0"/>
                  </w:tcBorders>
                  <w:shd w:val="clear" w:color="auto" w:fill="auto"/>
                  <w:vAlign w:val="center"/>
                </w:tcPr>
                <w:p w14:paraId="31A62950">
                  <w:pPr>
                    <w:keepNext w:val="0"/>
                    <w:keepLines w:val="0"/>
                    <w:widowControl/>
                    <w:suppressLineNumbers w:val="0"/>
                    <w:spacing w:before="0" w:beforeAutospacing="0" w:after="0" w:afterAutospacing="0" w:line="280" w:lineRule="exact"/>
                    <w:ind w:left="0" w:right="0"/>
                    <w:jc w:val="center"/>
                    <w:textAlignment w:val="center"/>
                    <w:rPr>
                      <w:rFonts w:hint="eastAsia" w:ascii="Times New Roman" w:hAnsi="Times New Roman" w:eastAsia="宋体" w:cs="Times New Roman"/>
                      <w:b w:val="0"/>
                      <w:bCs w:val="0"/>
                      <w:kern w:val="2"/>
                      <w:sz w:val="18"/>
                      <w:szCs w:val="18"/>
                      <w:highlight w:val="none"/>
                      <w:lang w:val="en-US" w:eastAsia="zh-CN" w:bidi="ar"/>
                    </w:rPr>
                  </w:pPr>
                  <w:r>
                    <w:rPr>
                      <w:rFonts w:hint="eastAsia"/>
                      <w:snapToGrid w:val="0"/>
                      <w:sz w:val="18"/>
                      <w:szCs w:val="18"/>
                      <w:highlight w:val="none"/>
                      <w:lang w:val="en-US" w:eastAsia="zh-CN"/>
                    </w:rPr>
                    <w:t>活性炭吸附</w:t>
                  </w:r>
                </w:p>
              </w:tc>
              <w:tc>
                <w:tcPr>
                  <w:tcW w:w="240" w:type="pct"/>
                  <w:tcBorders>
                    <w:left w:val="single" w:color="auto" w:sz="4" w:space="0"/>
                    <w:right w:val="single" w:color="auto" w:sz="4" w:space="0"/>
                  </w:tcBorders>
                  <w:shd w:val="clear" w:color="auto" w:fill="auto"/>
                  <w:vAlign w:val="center"/>
                </w:tcPr>
                <w:p w14:paraId="21921D08">
                  <w:pPr>
                    <w:keepNext w:val="0"/>
                    <w:keepLines w:val="0"/>
                    <w:widowControl/>
                    <w:suppressLineNumbers w:val="0"/>
                    <w:spacing w:before="0" w:beforeAutospacing="0" w:after="0" w:afterAutospacing="0" w:line="280" w:lineRule="exact"/>
                    <w:ind w:left="0" w:right="0"/>
                    <w:jc w:val="center"/>
                    <w:textAlignment w:val="center"/>
                    <w:rPr>
                      <w:rFonts w:hint="eastAsia" w:ascii="Times New Roman" w:hAnsi="Times New Roman" w:eastAsia="宋体" w:cs="Times New Roman"/>
                      <w:b w:val="0"/>
                      <w:bCs w:val="0"/>
                      <w:kern w:val="2"/>
                      <w:sz w:val="18"/>
                      <w:szCs w:val="18"/>
                      <w:highlight w:val="none"/>
                      <w:lang w:val="en-US" w:eastAsia="zh-CN" w:bidi="ar"/>
                    </w:rPr>
                  </w:pPr>
                  <w:r>
                    <w:rPr>
                      <w:rFonts w:hint="eastAsia"/>
                      <w:bCs/>
                      <w:kern w:val="0"/>
                      <w:sz w:val="18"/>
                      <w:szCs w:val="18"/>
                      <w:highlight w:val="none"/>
                      <w:lang w:val="en-US" w:eastAsia="zh-CN"/>
                    </w:rPr>
                    <w:t>/</w:t>
                  </w:r>
                </w:p>
              </w:tc>
              <w:tc>
                <w:tcPr>
                  <w:tcW w:w="317" w:type="pct"/>
                  <w:tcBorders>
                    <w:left w:val="single" w:color="auto" w:sz="4" w:space="0"/>
                    <w:right w:val="single" w:color="auto" w:sz="4" w:space="0"/>
                  </w:tcBorders>
                  <w:shd w:val="clear" w:color="auto" w:fill="auto"/>
                  <w:vAlign w:val="center"/>
                </w:tcPr>
                <w:p w14:paraId="690207EF">
                  <w:pPr>
                    <w:keepNext w:val="0"/>
                    <w:keepLines w:val="0"/>
                    <w:widowControl/>
                    <w:suppressLineNumbers w:val="0"/>
                    <w:spacing w:before="0" w:beforeAutospacing="0" w:after="0" w:afterAutospacing="0" w:line="280" w:lineRule="exact"/>
                    <w:ind w:left="0" w:right="0"/>
                    <w:jc w:val="center"/>
                    <w:textAlignment w:val="center"/>
                    <w:rPr>
                      <w:rFonts w:hint="default" w:ascii="Times New Roman" w:hAnsi="Times New Roman" w:eastAsia="宋体" w:cs="Times New Roman"/>
                      <w:b w:val="0"/>
                      <w:bCs w:val="0"/>
                      <w:kern w:val="2"/>
                      <w:sz w:val="18"/>
                      <w:szCs w:val="18"/>
                      <w:highlight w:val="none"/>
                      <w:lang w:val="en-US" w:eastAsia="zh-CN" w:bidi="ar"/>
                    </w:rPr>
                  </w:pPr>
                  <w:r>
                    <w:rPr>
                      <w:rFonts w:hint="eastAsia"/>
                      <w:sz w:val="18"/>
                      <w:szCs w:val="18"/>
                      <w:highlight w:val="none"/>
                      <w:lang w:val="en-US" w:eastAsia="zh-CN"/>
                    </w:rPr>
                    <w:t>34350</w:t>
                  </w:r>
                </w:p>
              </w:tc>
              <w:tc>
                <w:tcPr>
                  <w:tcW w:w="380" w:type="pct"/>
                  <w:tcBorders>
                    <w:top w:val="single" w:color="auto" w:sz="4" w:space="0"/>
                    <w:left w:val="single" w:color="auto" w:sz="4" w:space="0"/>
                    <w:right w:val="single" w:color="auto" w:sz="4" w:space="0"/>
                  </w:tcBorders>
                  <w:shd w:val="clear" w:color="auto" w:fill="auto"/>
                  <w:vAlign w:val="center"/>
                </w:tcPr>
                <w:p w14:paraId="2815A102">
                  <w:pPr>
                    <w:keepNext w:val="0"/>
                    <w:keepLines w:val="0"/>
                    <w:widowControl/>
                    <w:suppressLineNumbers w:val="0"/>
                    <w:spacing w:before="0" w:beforeAutospacing="0" w:after="0" w:afterAutospacing="0"/>
                    <w:ind w:left="0" w:right="0"/>
                    <w:jc w:val="center"/>
                    <w:textAlignment w:val="center"/>
                    <w:rPr>
                      <w:rFonts w:hint="eastAsia" w:ascii="Times New Roman" w:hAnsi="Times New Roman" w:eastAsia="宋体" w:cs="Times New Roman"/>
                      <w:bCs/>
                      <w:kern w:val="0"/>
                      <w:sz w:val="18"/>
                      <w:szCs w:val="18"/>
                      <w:highlight w:val="none"/>
                      <w:lang w:val="en-US" w:eastAsia="zh-CN" w:bidi="ar-SA"/>
                    </w:rPr>
                  </w:pPr>
                  <w:r>
                    <w:rPr>
                      <w:rFonts w:hint="default" w:ascii="Times New Roman" w:hAnsi="Times New Roman" w:eastAsia="宋体" w:cs="Times New Roman"/>
                      <w:i w:val="0"/>
                      <w:iCs w:val="0"/>
                      <w:color w:val="000000"/>
                      <w:kern w:val="0"/>
                      <w:sz w:val="18"/>
                      <w:szCs w:val="18"/>
                      <w:highlight w:val="none"/>
                      <w:u w:val="none"/>
                      <w:lang w:val="en-US" w:eastAsia="zh-CN" w:bidi="ar"/>
                    </w:rPr>
                    <w:t>0.085</w:t>
                  </w:r>
                </w:p>
              </w:tc>
              <w:tc>
                <w:tcPr>
                  <w:tcW w:w="362" w:type="pct"/>
                  <w:tcBorders>
                    <w:top w:val="single" w:color="auto" w:sz="4" w:space="0"/>
                    <w:left w:val="single" w:color="auto" w:sz="4" w:space="0"/>
                    <w:right w:val="single" w:color="auto" w:sz="4" w:space="0"/>
                  </w:tcBorders>
                  <w:shd w:val="clear" w:color="auto" w:fill="auto"/>
                  <w:vAlign w:val="center"/>
                </w:tcPr>
                <w:p w14:paraId="7D4D1095">
                  <w:pPr>
                    <w:keepNext w:val="0"/>
                    <w:keepLines w:val="0"/>
                    <w:widowControl/>
                    <w:suppressLineNumbers w:val="0"/>
                    <w:spacing w:before="0" w:beforeAutospacing="0" w:after="0" w:afterAutospacing="0"/>
                    <w:ind w:left="0" w:right="0"/>
                    <w:jc w:val="center"/>
                    <w:textAlignment w:val="center"/>
                    <w:rPr>
                      <w:rFonts w:hint="eastAsia" w:ascii="Times New Roman" w:hAnsi="Times New Roman" w:eastAsia="宋体" w:cs="Times New Roman"/>
                      <w:bCs/>
                      <w:kern w:val="0"/>
                      <w:sz w:val="18"/>
                      <w:szCs w:val="18"/>
                      <w:highlight w:val="none"/>
                      <w:lang w:val="en-US" w:eastAsia="zh-CN" w:bidi="ar-SA"/>
                    </w:rPr>
                  </w:pPr>
                  <w:r>
                    <w:rPr>
                      <w:rFonts w:hint="default" w:ascii="Times New Roman" w:hAnsi="Times New Roman" w:eastAsia="宋体" w:cs="Times New Roman"/>
                      <w:i w:val="0"/>
                      <w:iCs w:val="0"/>
                      <w:color w:val="000000"/>
                      <w:kern w:val="0"/>
                      <w:sz w:val="18"/>
                      <w:szCs w:val="18"/>
                      <w:highlight w:val="none"/>
                      <w:u w:val="none"/>
                      <w:lang w:val="en-US" w:eastAsia="zh-CN" w:bidi="ar"/>
                    </w:rPr>
                    <w:t>0.041</w:t>
                  </w:r>
                </w:p>
              </w:tc>
              <w:tc>
                <w:tcPr>
                  <w:tcW w:w="340" w:type="pct"/>
                  <w:tcBorders>
                    <w:top w:val="single" w:color="auto" w:sz="4" w:space="0"/>
                    <w:left w:val="single" w:color="auto" w:sz="4" w:space="0"/>
                    <w:right w:val="single" w:color="auto" w:sz="4" w:space="0"/>
                  </w:tcBorders>
                  <w:shd w:val="clear" w:color="auto" w:fill="auto"/>
                  <w:vAlign w:val="center"/>
                </w:tcPr>
                <w:p w14:paraId="3E47535D">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64" w:lineRule="auto"/>
                    <w:ind w:left="0" w:right="0"/>
                    <w:jc w:val="center"/>
                    <w:textAlignment w:val="auto"/>
                    <w:rPr>
                      <w:rFonts w:hint="eastAsia" w:ascii="Times New Roman" w:hAnsi="Times New Roman" w:eastAsia="宋体" w:cs="Times New Roman"/>
                      <w:bCs/>
                      <w:kern w:val="0"/>
                      <w:sz w:val="18"/>
                      <w:szCs w:val="18"/>
                      <w:highlight w:val="none"/>
                      <w:lang w:val="en-US" w:eastAsia="zh-CN" w:bidi="ar-SA"/>
                    </w:rPr>
                  </w:pPr>
                  <w:r>
                    <w:rPr>
                      <w:rFonts w:hint="eastAsia" w:cs="Times New Roman"/>
                      <w:bCs/>
                      <w:kern w:val="0"/>
                      <w:sz w:val="18"/>
                      <w:szCs w:val="18"/>
                      <w:highlight w:val="none"/>
                      <w:lang w:val="en-US" w:eastAsia="zh-CN"/>
                    </w:rPr>
                    <w:t>1.19</w:t>
                  </w:r>
                  <w:r>
                    <w:rPr>
                      <w:rFonts w:hint="eastAsia" w:ascii="Times New Roman" w:hAnsi="Times New Roman" w:eastAsia="宋体" w:cs="Times New Roman"/>
                      <w:bCs/>
                      <w:kern w:val="0"/>
                      <w:sz w:val="18"/>
                      <w:szCs w:val="18"/>
                      <w:highlight w:val="none"/>
                      <w:lang w:val="en-US" w:eastAsia="zh-CN"/>
                    </w:rPr>
                    <w:t xml:space="preserve"> </w:t>
                  </w:r>
                </w:p>
              </w:tc>
              <w:tc>
                <w:tcPr>
                  <w:tcW w:w="255" w:type="pct"/>
                  <w:vMerge w:val="restart"/>
                  <w:tcBorders>
                    <w:left w:val="single" w:color="auto" w:sz="4" w:space="0"/>
                    <w:right w:val="single" w:color="auto" w:sz="4" w:space="0"/>
                  </w:tcBorders>
                  <w:vAlign w:val="center"/>
                </w:tcPr>
                <w:p w14:paraId="3B7B0871">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64" w:lineRule="auto"/>
                    <w:ind w:left="0" w:right="0"/>
                    <w:jc w:val="center"/>
                    <w:textAlignment w:val="auto"/>
                    <w:rPr>
                      <w:rFonts w:hint="default"/>
                      <w:bCs/>
                      <w:kern w:val="0"/>
                      <w:sz w:val="18"/>
                      <w:szCs w:val="18"/>
                      <w:highlight w:val="none"/>
                    </w:rPr>
                  </w:pPr>
                  <w:r>
                    <w:rPr>
                      <w:rFonts w:hint="eastAsia"/>
                      <w:bCs/>
                      <w:kern w:val="0"/>
                      <w:sz w:val="18"/>
                      <w:szCs w:val="18"/>
                      <w:highlight w:val="none"/>
                      <w:lang w:val="en-US" w:eastAsia="zh-CN"/>
                    </w:rPr>
                    <w:t>2080</w:t>
                  </w:r>
                </w:p>
              </w:tc>
            </w:tr>
            <w:tr w14:paraId="600003A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189" w:hRule="atLeast"/>
                <w:jc w:val="center"/>
              </w:trPr>
              <w:tc>
                <w:tcPr>
                  <w:tcW w:w="271" w:type="pct"/>
                  <w:vMerge w:val="continue"/>
                  <w:tcBorders>
                    <w:left w:val="single" w:color="auto" w:sz="4" w:space="0"/>
                    <w:right w:val="single" w:color="auto" w:sz="4" w:space="0"/>
                  </w:tcBorders>
                  <w:vAlign w:val="center"/>
                </w:tcPr>
                <w:p w14:paraId="42E0DB51">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64" w:lineRule="auto"/>
                    <w:ind w:left="0" w:right="0"/>
                    <w:jc w:val="center"/>
                    <w:textAlignment w:val="auto"/>
                    <w:rPr>
                      <w:rFonts w:hint="eastAsia"/>
                      <w:bCs/>
                      <w:kern w:val="0"/>
                      <w:sz w:val="18"/>
                      <w:szCs w:val="18"/>
                      <w:highlight w:val="none"/>
                      <w:lang w:val="en-US" w:eastAsia="zh-CN"/>
                    </w:rPr>
                  </w:pPr>
                </w:p>
              </w:tc>
              <w:tc>
                <w:tcPr>
                  <w:tcW w:w="331" w:type="pct"/>
                  <w:vMerge w:val="continue"/>
                  <w:tcBorders>
                    <w:left w:val="single" w:color="auto" w:sz="4" w:space="0"/>
                    <w:right w:val="single" w:color="auto" w:sz="4" w:space="0"/>
                  </w:tcBorders>
                  <w:vAlign w:val="center"/>
                </w:tcPr>
                <w:p w14:paraId="27632DE2">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64" w:lineRule="auto"/>
                    <w:ind w:left="0" w:right="0"/>
                    <w:jc w:val="center"/>
                    <w:textAlignment w:val="auto"/>
                    <w:rPr>
                      <w:rFonts w:hint="eastAsia"/>
                      <w:bCs/>
                      <w:kern w:val="0"/>
                      <w:sz w:val="18"/>
                      <w:szCs w:val="18"/>
                      <w:highlight w:val="none"/>
                      <w:lang w:val="en-US" w:eastAsia="zh-CN"/>
                    </w:rPr>
                  </w:pPr>
                </w:p>
              </w:tc>
              <w:tc>
                <w:tcPr>
                  <w:tcW w:w="404" w:type="pct"/>
                  <w:vMerge w:val="continue"/>
                  <w:tcBorders>
                    <w:left w:val="single" w:color="auto" w:sz="4" w:space="0"/>
                    <w:right w:val="single" w:color="auto" w:sz="4" w:space="0"/>
                  </w:tcBorders>
                  <w:vAlign w:val="center"/>
                </w:tcPr>
                <w:p w14:paraId="51EE0430">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64" w:lineRule="auto"/>
                    <w:ind w:left="0" w:right="0"/>
                    <w:jc w:val="center"/>
                    <w:textAlignment w:val="auto"/>
                    <w:rPr>
                      <w:rFonts w:hint="eastAsia"/>
                      <w:bCs/>
                      <w:kern w:val="0"/>
                      <w:sz w:val="18"/>
                      <w:szCs w:val="18"/>
                      <w:highlight w:val="none"/>
                      <w:lang w:val="en-US" w:eastAsia="zh-CN"/>
                    </w:rPr>
                  </w:pPr>
                </w:p>
              </w:tc>
              <w:tc>
                <w:tcPr>
                  <w:tcW w:w="593" w:type="pct"/>
                  <w:tcBorders>
                    <w:left w:val="single" w:color="auto" w:sz="4" w:space="0"/>
                    <w:bottom w:val="single" w:color="auto" w:sz="4" w:space="0"/>
                    <w:right w:val="single" w:color="auto" w:sz="4" w:space="0"/>
                  </w:tcBorders>
                  <w:shd w:val="clear" w:color="auto" w:fill="auto"/>
                  <w:vAlign w:val="center"/>
                </w:tcPr>
                <w:p w14:paraId="2875F289">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64" w:lineRule="auto"/>
                    <w:ind w:left="0" w:right="0"/>
                    <w:jc w:val="center"/>
                    <w:textAlignment w:val="auto"/>
                    <w:rPr>
                      <w:rFonts w:hint="eastAsia" w:ascii="Times New Roman" w:hAnsi="Times New Roman" w:eastAsia="宋体" w:cs="Times New Roman"/>
                      <w:bCs/>
                      <w:kern w:val="0"/>
                      <w:sz w:val="18"/>
                      <w:szCs w:val="18"/>
                      <w:highlight w:val="none"/>
                      <w:lang w:val="en-US" w:eastAsia="zh-CN" w:bidi="ar-SA"/>
                    </w:rPr>
                  </w:pPr>
                  <w:r>
                    <w:rPr>
                      <w:rFonts w:hint="eastAsia"/>
                      <w:bCs/>
                      <w:kern w:val="0"/>
                      <w:sz w:val="18"/>
                      <w:szCs w:val="18"/>
                      <w:highlight w:val="none"/>
                      <w:lang w:val="en-US" w:eastAsia="zh-CN"/>
                    </w:rPr>
                    <w:t>氯化氢</w:t>
                  </w:r>
                </w:p>
              </w:tc>
              <w:tc>
                <w:tcPr>
                  <w:tcW w:w="1119" w:type="pct"/>
                  <w:gridSpan w:val="3"/>
                  <w:tcBorders>
                    <w:top w:val="single" w:color="auto" w:sz="4" w:space="0"/>
                    <w:left w:val="single" w:color="auto" w:sz="4" w:space="0"/>
                    <w:bottom w:val="single" w:color="auto" w:sz="4" w:space="0"/>
                    <w:right w:val="single" w:color="auto" w:sz="4" w:space="0"/>
                  </w:tcBorders>
                  <w:shd w:val="clear" w:color="auto" w:fill="auto"/>
                  <w:vAlign w:val="center"/>
                </w:tcPr>
                <w:p w14:paraId="57A53DAE">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64" w:lineRule="auto"/>
                    <w:ind w:left="0" w:right="0"/>
                    <w:jc w:val="center"/>
                    <w:textAlignment w:val="auto"/>
                    <w:rPr>
                      <w:rFonts w:hint="eastAsia" w:ascii="Times New Roman" w:hAnsi="Times New Roman" w:eastAsia="宋体" w:cs="Times New Roman"/>
                      <w:bCs/>
                      <w:kern w:val="0"/>
                      <w:sz w:val="18"/>
                      <w:szCs w:val="18"/>
                      <w:highlight w:val="none"/>
                      <w:lang w:val="en-US" w:eastAsia="zh-CN"/>
                    </w:rPr>
                  </w:pPr>
                  <w:r>
                    <w:rPr>
                      <w:rFonts w:hint="eastAsia" w:cs="Times New Roman"/>
                      <w:bCs/>
                      <w:kern w:val="0"/>
                      <w:sz w:val="18"/>
                      <w:szCs w:val="18"/>
                      <w:highlight w:val="none"/>
                      <w:lang w:val="en-US" w:eastAsia="zh-CN"/>
                    </w:rPr>
                    <w:t>少量</w:t>
                  </w:r>
                </w:p>
              </w:tc>
              <w:tc>
                <w:tcPr>
                  <w:tcW w:w="383" w:type="pct"/>
                  <w:tcBorders>
                    <w:left w:val="single" w:color="auto" w:sz="4" w:space="0"/>
                    <w:right w:val="single" w:color="auto" w:sz="4" w:space="0"/>
                  </w:tcBorders>
                  <w:shd w:val="clear" w:color="auto" w:fill="auto"/>
                  <w:vAlign w:val="center"/>
                </w:tcPr>
                <w:p w14:paraId="73D8E5B0">
                  <w:pPr>
                    <w:keepNext w:val="0"/>
                    <w:keepLines w:val="0"/>
                    <w:widowControl/>
                    <w:suppressLineNumbers w:val="0"/>
                    <w:spacing w:before="0" w:beforeAutospacing="0" w:after="0" w:afterAutospacing="0" w:line="280" w:lineRule="exact"/>
                    <w:ind w:left="0" w:right="0"/>
                    <w:jc w:val="center"/>
                    <w:textAlignment w:val="center"/>
                    <w:rPr>
                      <w:rFonts w:hint="eastAsia"/>
                      <w:snapToGrid w:val="0"/>
                      <w:sz w:val="18"/>
                      <w:szCs w:val="18"/>
                      <w:highlight w:val="none"/>
                      <w:lang w:val="en-US" w:eastAsia="zh-CN"/>
                    </w:rPr>
                  </w:pPr>
                  <w:r>
                    <w:rPr>
                      <w:rFonts w:hint="eastAsia"/>
                      <w:bCs/>
                      <w:kern w:val="0"/>
                      <w:sz w:val="18"/>
                      <w:szCs w:val="18"/>
                      <w:highlight w:val="none"/>
                      <w:lang w:val="en-US" w:eastAsia="zh-CN"/>
                    </w:rPr>
                    <w:t>/</w:t>
                  </w:r>
                </w:p>
              </w:tc>
              <w:tc>
                <w:tcPr>
                  <w:tcW w:w="240" w:type="pct"/>
                  <w:tcBorders>
                    <w:left w:val="single" w:color="auto" w:sz="4" w:space="0"/>
                    <w:right w:val="single" w:color="auto" w:sz="4" w:space="0"/>
                  </w:tcBorders>
                  <w:shd w:val="clear" w:color="auto" w:fill="auto"/>
                  <w:vAlign w:val="center"/>
                </w:tcPr>
                <w:p w14:paraId="75CF1ABC">
                  <w:pPr>
                    <w:keepNext w:val="0"/>
                    <w:keepLines w:val="0"/>
                    <w:widowControl/>
                    <w:suppressLineNumbers w:val="0"/>
                    <w:spacing w:before="0" w:beforeAutospacing="0" w:after="0" w:afterAutospacing="0" w:line="280" w:lineRule="exact"/>
                    <w:ind w:left="0" w:right="0"/>
                    <w:jc w:val="center"/>
                    <w:textAlignment w:val="center"/>
                    <w:rPr>
                      <w:rFonts w:hint="eastAsia"/>
                      <w:bCs/>
                      <w:kern w:val="0"/>
                      <w:sz w:val="18"/>
                      <w:szCs w:val="18"/>
                      <w:highlight w:val="none"/>
                      <w:lang w:val="en-US" w:eastAsia="zh-CN"/>
                    </w:rPr>
                  </w:pPr>
                  <w:r>
                    <w:rPr>
                      <w:rFonts w:hint="eastAsia"/>
                      <w:bCs/>
                      <w:kern w:val="0"/>
                      <w:sz w:val="18"/>
                      <w:szCs w:val="18"/>
                      <w:highlight w:val="none"/>
                      <w:lang w:val="en-US" w:eastAsia="zh-CN"/>
                    </w:rPr>
                    <w:t>/</w:t>
                  </w:r>
                </w:p>
              </w:tc>
              <w:tc>
                <w:tcPr>
                  <w:tcW w:w="317" w:type="pct"/>
                  <w:tcBorders>
                    <w:left w:val="single" w:color="auto" w:sz="4" w:space="0"/>
                    <w:right w:val="single" w:color="auto" w:sz="4" w:space="0"/>
                  </w:tcBorders>
                  <w:shd w:val="clear" w:color="auto" w:fill="auto"/>
                  <w:vAlign w:val="center"/>
                </w:tcPr>
                <w:p w14:paraId="7C1FFBDA">
                  <w:pPr>
                    <w:keepNext w:val="0"/>
                    <w:keepLines w:val="0"/>
                    <w:widowControl/>
                    <w:suppressLineNumbers w:val="0"/>
                    <w:spacing w:before="0" w:beforeAutospacing="0" w:after="0" w:afterAutospacing="0" w:line="280" w:lineRule="exact"/>
                    <w:ind w:left="0" w:right="0"/>
                    <w:jc w:val="center"/>
                    <w:textAlignment w:val="center"/>
                    <w:rPr>
                      <w:rFonts w:hint="eastAsia"/>
                      <w:sz w:val="18"/>
                      <w:szCs w:val="18"/>
                      <w:highlight w:val="none"/>
                      <w:lang w:val="en-US" w:eastAsia="zh-CN"/>
                    </w:rPr>
                  </w:pPr>
                  <w:r>
                    <w:rPr>
                      <w:rFonts w:hint="eastAsia"/>
                      <w:bCs/>
                      <w:kern w:val="0"/>
                      <w:sz w:val="18"/>
                      <w:szCs w:val="18"/>
                      <w:highlight w:val="none"/>
                      <w:lang w:val="en-US" w:eastAsia="zh-CN"/>
                    </w:rPr>
                    <w:t>/</w:t>
                  </w:r>
                </w:p>
              </w:tc>
              <w:tc>
                <w:tcPr>
                  <w:tcW w:w="1083" w:type="pct"/>
                  <w:gridSpan w:val="3"/>
                  <w:tcBorders>
                    <w:top w:val="single" w:color="auto" w:sz="4" w:space="0"/>
                    <w:left w:val="single" w:color="auto" w:sz="4" w:space="0"/>
                    <w:right w:val="single" w:color="auto" w:sz="4" w:space="0"/>
                  </w:tcBorders>
                  <w:shd w:val="clear" w:color="auto" w:fill="auto"/>
                  <w:vAlign w:val="center"/>
                </w:tcPr>
                <w:p w14:paraId="601E2409">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64" w:lineRule="auto"/>
                    <w:ind w:left="0" w:right="0"/>
                    <w:jc w:val="center"/>
                    <w:textAlignment w:val="auto"/>
                    <w:rPr>
                      <w:rFonts w:hint="eastAsia" w:ascii="Times New Roman" w:hAnsi="Times New Roman" w:eastAsia="宋体" w:cs="Times New Roman"/>
                      <w:bCs/>
                      <w:kern w:val="0"/>
                      <w:sz w:val="18"/>
                      <w:szCs w:val="18"/>
                      <w:highlight w:val="none"/>
                      <w:lang w:val="en-US" w:eastAsia="zh-CN"/>
                    </w:rPr>
                  </w:pPr>
                  <w:r>
                    <w:rPr>
                      <w:rFonts w:hint="eastAsia" w:cs="Times New Roman"/>
                      <w:bCs/>
                      <w:kern w:val="0"/>
                      <w:sz w:val="18"/>
                      <w:szCs w:val="18"/>
                      <w:highlight w:val="none"/>
                      <w:lang w:val="en-US" w:eastAsia="zh-CN"/>
                    </w:rPr>
                    <w:t>少量</w:t>
                  </w:r>
                </w:p>
              </w:tc>
              <w:tc>
                <w:tcPr>
                  <w:tcW w:w="255" w:type="pct"/>
                  <w:vMerge w:val="continue"/>
                  <w:tcBorders>
                    <w:left w:val="single" w:color="auto" w:sz="4" w:space="0"/>
                    <w:right w:val="single" w:color="auto" w:sz="4" w:space="0"/>
                  </w:tcBorders>
                  <w:vAlign w:val="center"/>
                </w:tcPr>
                <w:p w14:paraId="27847243">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64" w:lineRule="auto"/>
                    <w:ind w:left="0" w:right="0"/>
                    <w:jc w:val="center"/>
                    <w:textAlignment w:val="auto"/>
                    <w:rPr>
                      <w:rFonts w:hint="eastAsia"/>
                      <w:bCs/>
                      <w:kern w:val="0"/>
                      <w:sz w:val="18"/>
                      <w:szCs w:val="18"/>
                      <w:highlight w:val="none"/>
                      <w:lang w:val="en-US" w:eastAsia="zh-CN"/>
                    </w:rPr>
                  </w:pPr>
                </w:p>
              </w:tc>
            </w:tr>
            <w:tr w14:paraId="3EE9B25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189" w:hRule="atLeast"/>
                <w:jc w:val="center"/>
              </w:trPr>
              <w:tc>
                <w:tcPr>
                  <w:tcW w:w="271" w:type="pct"/>
                  <w:vMerge w:val="continue"/>
                  <w:tcBorders>
                    <w:left w:val="single" w:color="auto" w:sz="4" w:space="0"/>
                    <w:right w:val="single" w:color="auto" w:sz="4" w:space="0"/>
                  </w:tcBorders>
                  <w:vAlign w:val="center"/>
                </w:tcPr>
                <w:p w14:paraId="1458564C">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64" w:lineRule="auto"/>
                    <w:ind w:left="0" w:right="0"/>
                    <w:jc w:val="center"/>
                    <w:textAlignment w:val="auto"/>
                    <w:rPr>
                      <w:rFonts w:hint="eastAsia"/>
                      <w:bCs/>
                      <w:kern w:val="0"/>
                      <w:sz w:val="18"/>
                      <w:szCs w:val="18"/>
                      <w:highlight w:val="none"/>
                      <w:lang w:val="en-US" w:eastAsia="zh-CN"/>
                    </w:rPr>
                  </w:pPr>
                </w:p>
              </w:tc>
              <w:tc>
                <w:tcPr>
                  <w:tcW w:w="331" w:type="pct"/>
                  <w:vMerge w:val="continue"/>
                  <w:tcBorders>
                    <w:left w:val="single" w:color="auto" w:sz="4" w:space="0"/>
                    <w:right w:val="single" w:color="auto" w:sz="4" w:space="0"/>
                  </w:tcBorders>
                  <w:vAlign w:val="center"/>
                </w:tcPr>
                <w:p w14:paraId="04704E15">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64" w:lineRule="auto"/>
                    <w:ind w:left="0" w:right="0"/>
                    <w:jc w:val="center"/>
                    <w:textAlignment w:val="auto"/>
                    <w:rPr>
                      <w:rFonts w:hint="eastAsia"/>
                      <w:bCs/>
                      <w:kern w:val="0"/>
                      <w:sz w:val="18"/>
                      <w:szCs w:val="18"/>
                      <w:highlight w:val="none"/>
                      <w:lang w:val="en-US" w:eastAsia="zh-CN"/>
                    </w:rPr>
                  </w:pPr>
                </w:p>
              </w:tc>
              <w:tc>
                <w:tcPr>
                  <w:tcW w:w="404" w:type="pct"/>
                  <w:vMerge w:val="continue"/>
                  <w:tcBorders>
                    <w:left w:val="single" w:color="auto" w:sz="4" w:space="0"/>
                    <w:right w:val="single" w:color="auto" w:sz="4" w:space="0"/>
                  </w:tcBorders>
                  <w:vAlign w:val="center"/>
                </w:tcPr>
                <w:p w14:paraId="5FDF49CB">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64" w:lineRule="auto"/>
                    <w:ind w:left="0" w:right="0"/>
                    <w:jc w:val="center"/>
                    <w:textAlignment w:val="auto"/>
                    <w:rPr>
                      <w:rFonts w:hint="eastAsia"/>
                      <w:bCs/>
                      <w:kern w:val="0"/>
                      <w:sz w:val="18"/>
                      <w:szCs w:val="18"/>
                      <w:highlight w:val="none"/>
                      <w:lang w:val="en-US" w:eastAsia="zh-CN"/>
                    </w:rPr>
                  </w:pPr>
                </w:p>
              </w:tc>
              <w:tc>
                <w:tcPr>
                  <w:tcW w:w="593" w:type="pct"/>
                  <w:tcBorders>
                    <w:left w:val="single" w:color="auto" w:sz="4" w:space="0"/>
                    <w:bottom w:val="single" w:color="auto" w:sz="4" w:space="0"/>
                    <w:right w:val="single" w:color="auto" w:sz="4" w:space="0"/>
                  </w:tcBorders>
                  <w:shd w:val="clear" w:color="auto" w:fill="auto"/>
                  <w:vAlign w:val="center"/>
                </w:tcPr>
                <w:p w14:paraId="1F3A1C67">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64" w:lineRule="auto"/>
                    <w:ind w:left="0" w:right="0"/>
                    <w:jc w:val="center"/>
                    <w:textAlignment w:val="auto"/>
                    <w:rPr>
                      <w:rFonts w:hint="eastAsia" w:ascii="Times New Roman" w:hAnsi="Times New Roman" w:eastAsia="宋体" w:cs="Times New Roman"/>
                      <w:bCs/>
                      <w:kern w:val="0"/>
                      <w:sz w:val="18"/>
                      <w:szCs w:val="18"/>
                      <w:highlight w:val="none"/>
                      <w:lang w:val="en-US" w:eastAsia="zh-CN" w:bidi="ar-SA"/>
                    </w:rPr>
                  </w:pPr>
                  <w:r>
                    <w:rPr>
                      <w:rFonts w:hint="eastAsia"/>
                      <w:bCs/>
                      <w:kern w:val="0"/>
                      <w:sz w:val="18"/>
                      <w:szCs w:val="18"/>
                      <w:highlight w:val="none"/>
                      <w:lang w:val="en-US" w:eastAsia="zh-CN"/>
                    </w:rPr>
                    <w:t>硫酸雾</w:t>
                  </w:r>
                </w:p>
              </w:tc>
              <w:tc>
                <w:tcPr>
                  <w:tcW w:w="1119" w:type="pct"/>
                  <w:gridSpan w:val="3"/>
                  <w:tcBorders>
                    <w:top w:val="single" w:color="auto" w:sz="4" w:space="0"/>
                    <w:left w:val="single" w:color="auto" w:sz="4" w:space="0"/>
                    <w:bottom w:val="single" w:color="auto" w:sz="4" w:space="0"/>
                    <w:right w:val="single" w:color="auto" w:sz="4" w:space="0"/>
                  </w:tcBorders>
                  <w:shd w:val="clear" w:color="auto" w:fill="auto"/>
                  <w:vAlign w:val="center"/>
                </w:tcPr>
                <w:p w14:paraId="38AF7E02">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64" w:lineRule="auto"/>
                    <w:ind w:left="0" w:right="0"/>
                    <w:jc w:val="center"/>
                    <w:textAlignment w:val="auto"/>
                    <w:rPr>
                      <w:rFonts w:hint="eastAsia" w:ascii="Times New Roman" w:hAnsi="Times New Roman" w:eastAsia="宋体" w:cs="Times New Roman"/>
                      <w:bCs/>
                      <w:kern w:val="0"/>
                      <w:sz w:val="18"/>
                      <w:szCs w:val="18"/>
                      <w:highlight w:val="none"/>
                      <w:lang w:val="en-US" w:eastAsia="zh-CN"/>
                    </w:rPr>
                  </w:pPr>
                  <w:r>
                    <w:rPr>
                      <w:rFonts w:hint="eastAsia" w:cs="Times New Roman"/>
                      <w:bCs/>
                      <w:kern w:val="0"/>
                      <w:sz w:val="18"/>
                      <w:szCs w:val="18"/>
                      <w:highlight w:val="none"/>
                      <w:lang w:val="en-US" w:eastAsia="zh-CN"/>
                    </w:rPr>
                    <w:t>少量</w:t>
                  </w:r>
                </w:p>
              </w:tc>
              <w:tc>
                <w:tcPr>
                  <w:tcW w:w="383" w:type="pct"/>
                  <w:tcBorders>
                    <w:left w:val="single" w:color="auto" w:sz="4" w:space="0"/>
                    <w:right w:val="single" w:color="auto" w:sz="4" w:space="0"/>
                  </w:tcBorders>
                  <w:shd w:val="clear" w:color="auto" w:fill="auto"/>
                  <w:vAlign w:val="center"/>
                </w:tcPr>
                <w:p w14:paraId="4B59C52A">
                  <w:pPr>
                    <w:keepNext w:val="0"/>
                    <w:keepLines w:val="0"/>
                    <w:widowControl/>
                    <w:suppressLineNumbers w:val="0"/>
                    <w:spacing w:before="0" w:beforeAutospacing="0" w:after="0" w:afterAutospacing="0" w:line="280" w:lineRule="exact"/>
                    <w:ind w:left="0" w:right="0"/>
                    <w:jc w:val="center"/>
                    <w:textAlignment w:val="center"/>
                    <w:rPr>
                      <w:rFonts w:hint="eastAsia"/>
                      <w:snapToGrid w:val="0"/>
                      <w:sz w:val="18"/>
                      <w:szCs w:val="18"/>
                      <w:highlight w:val="none"/>
                      <w:lang w:val="en-US" w:eastAsia="zh-CN"/>
                    </w:rPr>
                  </w:pPr>
                  <w:r>
                    <w:rPr>
                      <w:rFonts w:hint="eastAsia"/>
                      <w:bCs/>
                      <w:kern w:val="0"/>
                      <w:sz w:val="18"/>
                      <w:szCs w:val="18"/>
                      <w:highlight w:val="none"/>
                      <w:lang w:val="en-US" w:eastAsia="zh-CN"/>
                    </w:rPr>
                    <w:t>/</w:t>
                  </w:r>
                </w:p>
              </w:tc>
              <w:tc>
                <w:tcPr>
                  <w:tcW w:w="240" w:type="pct"/>
                  <w:tcBorders>
                    <w:left w:val="single" w:color="auto" w:sz="4" w:space="0"/>
                    <w:right w:val="single" w:color="auto" w:sz="4" w:space="0"/>
                  </w:tcBorders>
                  <w:shd w:val="clear" w:color="auto" w:fill="auto"/>
                  <w:vAlign w:val="center"/>
                </w:tcPr>
                <w:p w14:paraId="78E44D0B">
                  <w:pPr>
                    <w:keepNext w:val="0"/>
                    <w:keepLines w:val="0"/>
                    <w:widowControl/>
                    <w:suppressLineNumbers w:val="0"/>
                    <w:spacing w:before="0" w:beforeAutospacing="0" w:after="0" w:afterAutospacing="0" w:line="280" w:lineRule="exact"/>
                    <w:ind w:left="0" w:right="0"/>
                    <w:jc w:val="center"/>
                    <w:textAlignment w:val="center"/>
                    <w:rPr>
                      <w:rFonts w:hint="eastAsia"/>
                      <w:bCs/>
                      <w:kern w:val="0"/>
                      <w:sz w:val="18"/>
                      <w:szCs w:val="18"/>
                      <w:highlight w:val="none"/>
                      <w:lang w:val="en-US" w:eastAsia="zh-CN"/>
                    </w:rPr>
                  </w:pPr>
                  <w:r>
                    <w:rPr>
                      <w:rFonts w:hint="eastAsia"/>
                      <w:bCs/>
                      <w:kern w:val="0"/>
                      <w:sz w:val="18"/>
                      <w:szCs w:val="18"/>
                      <w:highlight w:val="none"/>
                      <w:lang w:val="en-US" w:eastAsia="zh-CN"/>
                    </w:rPr>
                    <w:t>/</w:t>
                  </w:r>
                </w:p>
              </w:tc>
              <w:tc>
                <w:tcPr>
                  <w:tcW w:w="317" w:type="pct"/>
                  <w:tcBorders>
                    <w:left w:val="single" w:color="auto" w:sz="4" w:space="0"/>
                    <w:right w:val="single" w:color="auto" w:sz="4" w:space="0"/>
                  </w:tcBorders>
                  <w:shd w:val="clear" w:color="auto" w:fill="auto"/>
                  <w:vAlign w:val="center"/>
                </w:tcPr>
                <w:p w14:paraId="3490A1C8">
                  <w:pPr>
                    <w:keepNext w:val="0"/>
                    <w:keepLines w:val="0"/>
                    <w:widowControl/>
                    <w:suppressLineNumbers w:val="0"/>
                    <w:spacing w:before="0" w:beforeAutospacing="0" w:after="0" w:afterAutospacing="0" w:line="280" w:lineRule="exact"/>
                    <w:ind w:left="0" w:right="0"/>
                    <w:jc w:val="center"/>
                    <w:textAlignment w:val="center"/>
                    <w:rPr>
                      <w:rFonts w:hint="eastAsia"/>
                      <w:sz w:val="18"/>
                      <w:szCs w:val="18"/>
                      <w:highlight w:val="none"/>
                      <w:lang w:val="en-US" w:eastAsia="zh-CN"/>
                    </w:rPr>
                  </w:pPr>
                  <w:r>
                    <w:rPr>
                      <w:rFonts w:hint="eastAsia"/>
                      <w:bCs/>
                      <w:kern w:val="0"/>
                      <w:sz w:val="18"/>
                      <w:szCs w:val="18"/>
                      <w:highlight w:val="none"/>
                      <w:lang w:val="en-US" w:eastAsia="zh-CN"/>
                    </w:rPr>
                    <w:t>/</w:t>
                  </w:r>
                </w:p>
              </w:tc>
              <w:tc>
                <w:tcPr>
                  <w:tcW w:w="1083" w:type="pct"/>
                  <w:gridSpan w:val="3"/>
                  <w:tcBorders>
                    <w:top w:val="single" w:color="auto" w:sz="4" w:space="0"/>
                    <w:left w:val="single" w:color="auto" w:sz="4" w:space="0"/>
                    <w:right w:val="single" w:color="auto" w:sz="4" w:space="0"/>
                  </w:tcBorders>
                  <w:shd w:val="clear" w:color="auto" w:fill="auto"/>
                  <w:vAlign w:val="center"/>
                </w:tcPr>
                <w:p w14:paraId="39459D09">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64" w:lineRule="auto"/>
                    <w:ind w:left="0" w:right="0"/>
                    <w:jc w:val="center"/>
                    <w:textAlignment w:val="auto"/>
                    <w:rPr>
                      <w:rFonts w:hint="eastAsia" w:ascii="Times New Roman" w:hAnsi="Times New Roman" w:eastAsia="宋体" w:cs="Times New Roman"/>
                      <w:bCs/>
                      <w:kern w:val="0"/>
                      <w:sz w:val="18"/>
                      <w:szCs w:val="18"/>
                      <w:highlight w:val="none"/>
                      <w:lang w:val="en-US" w:eastAsia="zh-CN"/>
                    </w:rPr>
                  </w:pPr>
                  <w:r>
                    <w:rPr>
                      <w:rFonts w:hint="eastAsia" w:cs="Times New Roman"/>
                      <w:bCs/>
                      <w:kern w:val="0"/>
                      <w:sz w:val="18"/>
                      <w:szCs w:val="18"/>
                      <w:highlight w:val="none"/>
                      <w:lang w:val="en-US" w:eastAsia="zh-CN"/>
                    </w:rPr>
                    <w:t>少量</w:t>
                  </w:r>
                </w:p>
              </w:tc>
              <w:tc>
                <w:tcPr>
                  <w:tcW w:w="255" w:type="pct"/>
                  <w:vMerge w:val="continue"/>
                  <w:tcBorders>
                    <w:left w:val="single" w:color="auto" w:sz="4" w:space="0"/>
                    <w:right w:val="single" w:color="auto" w:sz="4" w:space="0"/>
                  </w:tcBorders>
                  <w:vAlign w:val="center"/>
                </w:tcPr>
                <w:p w14:paraId="23D79A38">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64" w:lineRule="auto"/>
                    <w:ind w:left="0" w:right="0"/>
                    <w:jc w:val="center"/>
                    <w:textAlignment w:val="auto"/>
                    <w:rPr>
                      <w:rFonts w:hint="eastAsia"/>
                      <w:bCs/>
                      <w:kern w:val="0"/>
                      <w:sz w:val="18"/>
                      <w:szCs w:val="18"/>
                      <w:highlight w:val="none"/>
                      <w:lang w:val="en-US" w:eastAsia="zh-CN"/>
                    </w:rPr>
                  </w:pPr>
                </w:p>
              </w:tc>
            </w:tr>
            <w:tr w14:paraId="4DBA877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189" w:hRule="atLeast"/>
                <w:jc w:val="center"/>
              </w:trPr>
              <w:tc>
                <w:tcPr>
                  <w:tcW w:w="1007" w:type="pct"/>
                  <w:gridSpan w:val="3"/>
                  <w:tcBorders>
                    <w:left w:val="single" w:color="auto" w:sz="4" w:space="0"/>
                    <w:right w:val="single" w:color="auto" w:sz="4" w:space="0"/>
                  </w:tcBorders>
                  <w:vAlign w:val="center"/>
                </w:tcPr>
                <w:p w14:paraId="0A379519">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64" w:lineRule="auto"/>
                    <w:ind w:left="0" w:right="0"/>
                    <w:jc w:val="center"/>
                    <w:textAlignment w:val="auto"/>
                    <w:rPr>
                      <w:rFonts w:hint="default"/>
                      <w:b/>
                      <w:bCs w:val="0"/>
                      <w:kern w:val="0"/>
                      <w:sz w:val="18"/>
                      <w:szCs w:val="18"/>
                      <w:highlight w:val="none"/>
                      <w:lang w:val="en-US" w:eastAsia="zh-CN"/>
                    </w:rPr>
                  </w:pPr>
                  <w:r>
                    <w:rPr>
                      <w:rFonts w:hint="eastAsia"/>
                      <w:b/>
                      <w:bCs w:val="0"/>
                      <w:kern w:val="0"/>
                      <w:sz w:val="18"/>
                      <w:szCs w:val="18"/>
                      <w:highlight w:val="none"/>
                      <w:lang w:val="en-US" w:eastAsia="zh-CN"/>
                    </w:rPr>
                    <w:t>等效排气筒2</w:t>
                  </w:r>
                </w:p>
              </w:tc>
              <w:tc>
                <w:tcPr>
                  <w:tcW w:w="593" w:type="pct"/>
                  <w:tcBorders>
                    <w:left w:val="single" w:color="auto" w:sz="4" w:space="0"/>
                    <w:bottom w:val="single" w:color="auto" w:sz="4" w:space="0"/>
                    <w:right w:val="single" w:color="auto" w:sz="4" w:space="0"/>
                  </w:tcBorders>
                  <w:shd w:val="clear" w:color="auto" w:fill="auto"/>
                  <w:vAlign w:val="center"/>
                </w:tcPr>
                <w:p w14:paraId="115AE126">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64" w:lineRule="auto"/>
                    <w:ind w:left="0" w:right="0"/>
                    <w:jc w:val="center"/>
                    <w:textAlignment w:val="auto"/>
                    <w:rPr>
                      <w:rFonts w:hint="eastAsia"/>
                      <w:b/>
                      <w:bCs w:val="0"/>
                      <w:kern w:val="0"/>
                      <w:sz w:val="18"/>
                      <w:szCs w:val="18"/>
                      <w:highlight w:val="none"/>
                      <w:lang w:val="en-US" w:eastAsia="zh-CN"/>
                    </w:rPr>
                  </w:pPr>
                  <w:r>
                    <w:rPr>
                      <w:rFonts w:hint="eastAsia"/>
                      <w:b/>
                      <w:bCs w:val="0"/>
                      <w:kern w:val="0"/>
                      <w:sz w:val="18"/>
                      <w:szCs w:val="18"/>
                      <w:highlight w:val="none"/>
                      <w:lang w:val="en-US" w:eastAsia="zh-CN"/>
                    </w:rPr>
                    <w:t>非甲烷总烃</w:t>
                  </w:r>
                </w:p>
              </w:tc>
              <w:tc>
                <w:tcPr>
                  <w:tcW w:w="357" w:type="pct"/>
                  <w:tcBorders>
                    <w:top w:val="single" w:color="auto" w:sz="4" w:space="0"/>
                    <w:left w:val="single" w:color="auto" w:sz="4" w:space="0"/>
                    <w:bottom w:val="single" w:color="auto" w:sz="4" w:space="0"/>
                    <w:right w:val="single" w:color="auto" w:sz="4" w:space="0"/>
                  </w:tcBorders>
                  <w:shd w:val="clear" w:color="auto" w:fill="auto"/>
                  <w:vAlign w:val="center"/>
                </w:tcPr>
                <w:p w14:paraId="269E04BD">
                  <w:pPr>
                    <w:keepNext w:val="0"/>
                    <w:keepLines w:val="0"/>
                    <w:widowControl/>
                    <w:suppressLineNumbers w:val="0"/>
                    <w:spacing w:before="0" w:beforeAutospacing="0" w:after="0" w:afterAutospacing="0" w:line="280" w:lineRule="exact"/>
                    <w:ind w:left="0" w:right="0"/>
                    <w:jc w:val="center"/>
                    <w:textAlignment w:val="center"/>
                    <w:rPr>
                      <w:rFonts w:hint="default" w:ascii="Times New Roman" w:hAnsi="Times New Roman" w:eastAsia="宋体" w:cs="Times New Roman"/>
                      <w:b/>
                      <w:bCs w:val="0"/>
                      <w:sz w:val="18"/>
                      <w:szCs w:val="18"/>
                      <w:highlight w:val="none"/>
                      <w:lang w:val="en-US" w:eastAsia="zh-CN" w:bidi="ar"/>
                    </w:rPr>
                  </w:pPr>
                  <w:r>
                    <w:rPr>
                      <w:rFonts w:hint="eastAsia" w:cs="Times New Roman"/>
                      <w:b/>
                      <w:bCs w:val="0"/>
                      <w:sz w:val="18"/>
                      <w:szCs w:val="18"/>
                      <w:highlight w:val="none"/>
                      <w:lang w:val="en-US" w:eastAsia="zh-CN" w:bidi="ar"/>
                    </w:rPr>
                    <w:t>1</w:t>
                  </w:r>
                  <w:r>
                    <w:rPr>
                      <w:rFonts w:hint="eastAsia" w:ascii="Times New Roman" w:hAnsi="Times New Roman" w:eastAsia="宋体" w:cs="Times New Roman"/>
                      <w:b/>
                      <w:bCs w:val="0"/>
                      <w:sz w:val="18"/>
                      <w:szCs w:val="18"/>
                      <w:highlight w:val="none"/>
                      <w:lang w:val="en-US" w:eastAsia="zh-CN" w:bidi="ar"/>
                    </w:rPr>
                    <w:t>.</w:t>
                  </w:r>
                  <w:r>
                    <w:rPr>
                      <w:rFonts w:hint="eastAsia" w:cs="Times New Roman"/>
                      <w:b/>
                      <w:bCs w:val="0"/>
                      <w:sz w:val="18"/>
                      <w:szCs w:val="18"/>
                      <w:highlight w:val="none"/>
                      <w:lang w:val="en-US" w:eastAsia="zh-CN" w:bidi="ar"/>
                    </w:rPr>
                    <w:t>0</w:t>
                  </w:r>
                  <w:r>
                    <w:rPr>
                      <w:rFonts w:hint="eastAsia" w:ascii="Times New Roman" w:hAnsi="Times New Roman" w:eastAsia="宋体" w:cs="Times New Roman"/>
                      <w:b/>
                      <w:bCs w:val="0"/>
                      <w:sz w:val="18"/>
                      <w:szCs w:val="18"/>
                      <w:highlight w:val="none"/>
                      <w:lang w:val="en-US" w:eastAsia="zh-CN" w:bidi="ar"/>
                    </w:rPr>
                    <w:t>0</w:t>
                  </w:r>
                  <w:r>
                    <w:rPr>
                      <w:rFonts w:hint="eastAsia" w:cs="Times New Roman"/>
                      <w:b/>
                      <w:bCs w:val="0"/>
                      <w:sz w:val="18"/>
                      <w:szCs w:val="18"/>
                      <w:highlight w:val="none"/>
                      <w:lang w:val="en-US" w:eastAsia="zh-CN" w:bidi="ar"/>
                    </w:rPr>
                    <w:t>4</w:t>
                  </w:r>
                </w:p>
              </w:tc>
              <w:tc>
                <w:tcPr>
                  <w:tcW w:w="357" w:type="pct"/>
                  <w:tcBorders>
                    <w:top w:val="single" w:color="auto" w:sz="4" w:space="0"/>
                    <w:left w:val="single" w:color="auto" w:sz="4" w:space="0"/>
                    <w:bottom w:val="single" w:color="auto" w:sz="4" w:space="0"/>
                    <w:right w:val="single" w:color="auto" w:sz="4" w:space="0"/>
                  </w:tcBorders>
                  <w:shd w:val="clear" w:color="auto" w:fill="auto"/>
                  <w:vAlign w:val="center"/>
                </w:tcPr>
                <w:p w14:paraId="60CBC84B">
                  <w:pPr>
                    <w:keepNext w:val="0"/>
                    <w:keepLines w:val="0"/>
                    <w:widowControl/>
                    <w:suppressLineNumbers w:val="0"/>
                    <w:spacing w:before="0" w:beforeAutospacing="0" w:after="0" w:afterAutospacing="0" w:line="280" w:lineRule="exact"/>
                    <w:ind w:left="0" w:right="0"/>
                    <w:jc w:val="center"/>
                    <w:textAlignment w:val="center"/>
                    <w:rPr>
                      <w:rFonts w:hint="default" w:ascii="Times New Roman" w:hAnsi="Times New Roman" w:eastAsia="宋体" w:cs="Times New Roman"/>
                      <w:b/>
                      <w:bCs w:val="0"/>
                      <w:sz w:val="18"/>
                      <w:szCs w:val="18"/>
                      <w:highlight w:val="none"/>
                      <w:lang w:val="en-US" w:eastAsia="zh-CN" w:bidi="ar"/>
                    </w:rPr>
                  </w:pPr>
                  <w:r>
                    <w:rPr>
                      <w:rFonts w:hint="eastAsia" w:ascii="Times New Roman" w:hAnsi="Times New Roman" w:eastAsia="宋体" w:cs="Times New Roman"/>
                      <w:b/>
                      <w:bCs w:val="0"/>
                      <w:sz w:val="18"/>
                      <w:szCs w:val="18"/>
                      <w:highlight w:val="none"/>
                      <w:lang w:val="en-US" w:eastAsia="zh-CN" w:bidi="ar"/>
                    </w:rPr>
                    <w:t>0.4</w:t>
                  </w:r>
                  <w:r>
                    <w:rPr>
                      <w:rFonts w:hint="eastAsia" w:cs="Times New Roman"/>
                      <w:b/>
                      <w:bCs w:val="0"/>
                      <w:sz w:val="18"/>
                      <w:szCs w:val="18"/>
                      <w:highlight w:val="none"/>
                      <w:lang w:val="en-US" w:eastAsia="zh-CN" w:bidi="ar"/>
                    </w:rPr>
                    <w:t>83</w:t>
                  </w:r>
                </w:p>
              </w:tc>
              <w:tc>
                <w:tcPr>
                  <w:tcW w:w="404" w:type="pct"/>
                  <w:tcBorders>
                    <w:top w:val="single" w:color="auto" w:sz="4" w:space="0"/>
                    <w:left w:val="single" w:color="auto" w:sz="4" w:space="0"/>
                    <w:right w:val="single" w:color="auto" w:sz="4" w:space="0"/>
                  </w:tcBorders>
                  <w:vAlign w:val="center"/>
                </w:tcPr>
                <w:p w14:paraId="609AC431">
                  <w:pPr>
                    <w:keepNext w:val="0"/>
                    <w:keepLines w:val="0"/>
                    <w:widowControl/>
                    <w:suppressLineNumbers w:val="0"/>
                    <w:spacing w:before="0" w:beforeAutospacing="0" w:after="0" w:afterAutospacing="0" w:line="280" w:lineRule="exact"/>
                    <w:ind w:left="0" w:right="0"/>
                    <w:jc w:val="center"/>
                    <w:textAlignment w:val="center"/>
                    <w:rPr>
                      <w:rFonts w:hint="eastAsia" w:ascii="Times New Roman" w:hAnsi="Times New Roman" w:eastAsia="宋体" w:cs="Times New Roman"/>
                      <w:b/>
                      <w:bCs w:val="0"/>
                      <w:sz w:val="18"/>
                      <w:szCs w:val="18"/>
                      <w:highlight w:val="none"/>
                      <w:lang w:val="en-US" w:eastAsia="zh-CN" w:bidi="ar"/>
                    </w:rPr>
                  </w:pPr>
                  <w:r>
                    <w:rPr>
                      <w:rFonts w:hint="eastAsia" w:ascii="Times New Roman" w:hAnsi="Times New Roman" w:eastAsia="宋体" w:cs="Times New Roman"/>
                      <w:b/>
                      <w:bCs w:val="0"/>
                      <w:sz w:val="18"/>
                      <w:szCs w:val="18"/>
                      <w:highlight w:val="none"/>
                      <w:lang w:val="en-US" w:eastAsia="zh-CN" w:bidi="ar"/>
                    </w:rPr>
                    <w:t>/</w:t>
                  </w:r>
                </w:p>
              </w:tc>
              <w:tc>
                <w:tcPr>
                  <w:tcW w:w="383" w:type="pct"/>
                  <w:tcBorders>
                    <w:left w:val="single" w:color="auto" w:sz="4" w:space="0"/>
                    <w:right w:val="single" w:color="auto" w:sz="4" w:space="0"/>
                  </w:tcBorders>
                  <w:shd w:val="clear" w:color="auto" w:fill="auto"/>
                  <w:vAlign w:val="center"/>
                </w:tcPr>
                <w:p w14:paraId="1A180F87">
                  <w:pPr>
                    <w:keepNext w:val="0"/>
                    <w:keepLines w:val="0"/>
                    <w:widowControl/>
                    <w:suppressLineNumbers w:val="0"/>
                    <w:spacing w:before="0" w:beforeAutospacing="0" w:after="0" w:afterAutospacing="0" w:line="280" w:lineRule="exact"/>
                    <w:ind w:left="0" w:right="0"/>
                    <w:jc w:val="center"/>
                    <w:textAlignment w:val="center"/>
                    <w:rPr>
                      <w:rFonts w:hint="eastAsia" w:ascii="Times New Roman" w:hAnsi="Times New Roman" w:eastAsia="宋体" w:cs="Times New Roman"/>
                      <w:b/>
                      <w:bCs w:val="0"/>
                      <w:sz w:val="18"/>
                      <w:szCs w:val="18"/>
                      <w:highlight w:val="none"/>
                      <w:lang w:val="en-US" w:eastAsia="zh-CN" w:bidi="ar"/>
                    </w:rPr>
                  </w:pPr>
                  <w:r>
                    <w:rPr>
                      <w:rFonts w:hint="eastAsia" w:ascii="Times New Roman" w:hAnsi="Times New Roman" w:eastAsia="宋体" w:cs="Times New Roman"/>
                      <w:b/>
                      <w:bCs w:val="0"/>
                      <w:sz w:val="18"/>
                      <w:szCs w:val="18"/>
                      <w:highlight w:val="none"/>
                      <w:lang w:val="en-US" w:eastAsia="zh-CN" w:bidi="ar"/>
                    </w:rPr>
                    <w:t>/</w:t>
                  </w:r>
                </w:p>
              </w:tc>
              <w:tc>
                <w:tcPr>
                  <w:tcW w:w="240" w:type="pct"/>
                  <w:tcBorders>
                    <w:left w:val="single" w:color="auto" w:sz="4" w:space="0"/>
                    <w:right w:val="single" w:color="auto" w:sz="4" w:space="0"/>
                  </w:tcBorders>
                  <w:shd w:val="clear" w:color="auto" w:fill="auto"/>
                  <w:vAlign w:val="center"/>
                </w:tcPr>
                <w:p w14:paraId="7DD06DDC">
                  <w:pPr>
                    <w:keepNext w:val="0"/>
                    <w:keepLines w:val="0"/>
                    <w:widowControl/>
                    <w:suppressLineNumbers w:val="0"/>
                    <w:spacing w:before="0" w:beforeAutospacing="0" w:after="0" w:afterAutospacing="0" w:line="280" w:lineRule="exact"/>
                    <w:ind w:left="0" w:right="0"/>
                    <w:jc w:val="center"/>
                    <w:textAlignment w:val="center"/>
                    <w:rPr>
                      <w:rFonts w:hint="eastAsia" w:ascii="Times New Roman" w:hAnsi="Times New Roman" w:eastAsia="宋体" w:cs="Times New Roman"/>
                      <w:b/>
                      <w:bCs w:val="0"/>
                      <w:sz w:val="18"/>
                      <w:szCs w:val="18"/>
                      <w:highlight w:val="none"/>
                      <w:lang w:val="en-US" w:eastAsia="zh-CN" w:bidi="ar"/>
                    </w:rPr>
                  </w:pPr>
                  <w:r>
                    <w:rPr>
                      <w:rFonts w:hint="eastAsia" w:ascii="Times New Roman" w:hAnsi="Times New Roman" w:eastAsia="宋体" w:cs="Times New Roman"/>
                      <w:b/>
                      <w:bCs w:val="0"/>
                      <w:sz w:val="18"/>
                      <w:szCs w:val="18"/>
                      <w:highlight w:val="none"/>
                      <w:lang w:val="en-US" w:eastAsia="zh-CN" w:bidi="ar"/>
                    </w:rPr>
                    <w:t>/</w:t>
                  </w:r>
                </w:p>
              </w:tc>
              <w:tc>
                <w:tcPr>
                  <w:tcW w:w="317" w:type="pct"/>
                  <w:tcBorders>
                    <w:left w:val="single" w:color="auto" w:sz="4" w:space="0"/>
                    <w:right w:val="single" w:color="auto" w:sz="4" w:space="0"/>
                  </w:tcBorders>
                  <w:shd w:val="clear" w:color="auto" w:fill="auto"/>
                  <w:vAlign w:val="center"/>
                </w:tcPr>
                <w:p w14:paraId="7A0F9C8F">
                  <w:pPr>
                    <w:keepNext w:val="0"/>
                    <w:keepLines w:val="0"/>
                    <w:widowControl/>
                    <w:suppressLineNumbers w:val="0"/>
                    <w:spacing w:before="0" w:beforeAutospacing="0" w:after="0" w:afterAutospacing="0" w:line="280" w:lineRule="exact"/>
                    <w:ind w:left="0" w:right="0"/>
                    <w:jc w:val="center"/>
                    <w:textAlignment w:val="center"/>
                    <w:rPr>
                      <w:rFonts w:hint="eastAsia" w:ascii="Times New Roman" w:hAnsi="Times New Roman" w:eastAsia="宋体" w:cs="Times New Roman"/>
                      <w:b/>
                      <w:bCs w:val="0"/>
                      <w:sz w:val="18"/>
                      <w:szCs w:val="18"/>
                      <w:highlight w:val="none"/>
                      <w:lang w:val="en-US" w:eastAsia="zh-CN" w:bidi="ar"/>
                    </w:rPr>
                  </w:pPr>
                  <w:r>
                    <w:rPr>
                      <w:rFonts w:hint="eastAsia" w:ascii="Times New Roman" w:hAnsi="Times New Roman" w:eastAsia="宋体" w:cs="Times New Roman"/>
                      <w:b/>
                      <w:bCs w:val="0"/>
                      <w:sz w:val="18"/>
                      <w:szCs w:val="18"/>
                      <w:highlight w:val="none"/>
                      <w:lang w:val="en-US" w:eastAsia="zh-CN" w:bidi="ar"/>
                    </w:rPr>
                    <w:t>/</w:t>
                  </w:r>
                </w:p>
              </w:tc>
              <w:tc>
                <w:tcPr>
                  <w:tcW w:w="380" w:type="pct"/>
                  <w:tcBorders>
                    <w:top w:val="single" w:color="auto" w:sz="4" w:space="0"/>
                    <w:left w:val="single" w:color="auto" w:sz="4" w:space="0"/>
                    <w:right w:val="single" w:color="auto" w:sz="4" w:space="0"/>
                  </w:tcBorders>
                  <w:shd w:val="clear" w:color="auto" w:fill="auto"/>
                  <w:vAlign w:val="center"/>
                </w:tcPr>
                <w:p w14:paraId="7E4CD5CE">
                  <w:pPr>
                    <w:keepNext w:val="0"/>
                    <w:keepLines w:val="0"/>
                    <w:widowControl/>
                    <w:suppressLineNumbers w:val="0"/>
                    <w:spacing w:before="0" w:beforeAutospacing="0" w:after="0" w:afterAutospacing="0" w:line="280" w:lineRule="exact"/>
                    <w:ind w:left="0" w:right="0"/>
                    <w:jc w:val="center"/>
                    <w:textAlignment w:val="center"/>
                    <w:rPr>
                      <w:rFonts w:hint="eastAsia" w:ascii="Times New Roman" w:hAnsi="Times New Roman" w:eastAsia="宋体" w:cs="Times New Roman"/>
                      <w:b/>
                      <w:bCs w:val="0"/>
                      <w:kern w:val="2"/>
                      <w:sz w:val="18"/>
                      <w:szCs w:val="18"/>
                      <w:highlight w:val="none"/>
                      <w:lang w:val="en-US" w:eastAsia="zh-CN" w:bidi="ar"/>
                    </w:rPr>
                  </w:pPr>
                  <w:r>
                    <w:rPr>
                      <w:rFonts w:hint="eastAsia" w:cs="Times New Roman"/>
                      <w:b/>
                      <w:bCs w:val="0"/>
                      <w:sz w:val="18"/>
                      <w:szCs w:val="18"/>
                      <w:highlight w:val="none"/>
                      <w:lang w:val="en-US" w:eastAsia="zh-CN" w:bidi="ar"/>
                    </w:rPr>
                    <w:t>1</w:t>
                  </w:r>
                  <w:r>
                    <w:rPr>
                      <w:rFonts w:hint="eastAsia" w:ascii="Times New Roman" w:hAnsi="Times New Roman" w:eastAsia="宋体" w:cs="Times New Roman"/>
                      <w:b/>
                      <w:bCs w:val="0"/>
                      <w:sz w:val="18"/>
                      <w:szCs w:val="18"/>
                      <w:highlight w:val="none"/>
                      <w:lang w:val="en-US" w:eastAsia="zh-CN" w:bidi="ar"/>
                    </w:rPr>
                    <w:t>.</w:t>
                  </w:r>
                  <w:r>
                    <w:rPr>
                      <w:rFonts w:hint="eastAsia" w:cs="Times New Roman"/>
                      <w:b/>
                      <w:bCs w:val="0"/>
                      <w:sz w:val="18"/>
                      <w:szCs w:val="18"/>
                      <w:highlight w:val="none"/>
                      <w:lang w:val="en-US" w:eastAsia="zh-CN" w:bidi="ar"/>
                    </w:rPr>
                    <w:t>0</w:t>
                  </w:r>
                  <w:r>
                    <w:rPr>
                      <w:rFonts w:hint="eastAsia" w:ascii="Times New Roman" w:hAnsi="Times New Roman" w:eastAsia="宋体" w:cs="Times New Roman"/>
                      <w:b/>
                      <w:bCs w:val="0"/>
                      <w:sz w:val="18"/>
                      <w:szCs w:val="18"/>
                      <w:highlight w:val="none"/>
                      <w:lang w:val="en-US" w:eastAsia="zh-CN" w:bidi="ar"/>
                    </w:rPr>
                    <w:t>0</w:t>
                  </w:r>
                  <w:r>
                    <w:rPr>
                      <w:rFonts w:hint="eastAsia" w:cs="Times New Roman"/>
                      <w:b/>
                      <w:bCs w:val="0"/>
                      <w:sz w:val="18"/>
                      <w:szCs w:val="18"/>
                      <w:highlight w:val="none"/>
                      <w:lang w:val="en-US" w:eastAsia="zh-CN" w:bidi="ar"/>
                    </w:rPr>
                    <w:t>4</w:t>
                  </w:r>
                </w:p>
              </w:tc>
              <w:tc>
                <w:tcPr>
                  <w:tcW w:w="362" w:type="pct"/>
                  <w:tcBorders>
                    <w:top w:val="single" w:color="auto" w:sz="4" w:space="0"/>
                    <w:left w:val="single" w:color="auto" w:sz="4" w:space="0"/>
                    <w:right w:val="single" w:color="auto" w:sz="4" w:space="0"/>
                  </w:tcBorders>
                  <w:shd w:val="clear" w:color="auto" w:fill="auto"/>
                  <w:vAlign w:val="center"/>
                </w:tcPr>
                <w:p w14:paraId="241DDB95">
                  <w:pPr>
                    <w:keepNext w:val="0"/>
                    <w:keepLines w:val="0"/>
                    <w:widowControl/>
                    <w:suppressLineNumbers w:val="0"/>
                    <w:spacing w:before="0" w:beforeAutospacing="0" w:after="0" w:afterAutospacing="0" w:line="280" w:lineRule="exact"/>
                    <w:ind w:left="0" w:right="0"/>
                    <w:jc w:val="center"/>
                    <w:textAlignment w:val="center"/>
                    <w:rPr>
                      <w:rFonts w:hint="eastAsia" w:ascii="Times New Roman" w:hAnsi="Times New Roman" w:eastAsia="宋体" w:cs="Times New Roman"/>
                      <w:b/>
                      <w:bCs w:val="0"/>
                      <w:kern w:val="2"/>
                      <w:sz w:val="18"/>
                      <w:szCs w:val="18"/>
                      <w:highlight w:val="none"/>
                      <w:lang w:val="en-US" w:eastAsia="zh-CN" w:bidi="ar"/>
                    </w:rPr>
                  </w:pPr>
                  <w:r>
                    <w:rPr>
                      <w:rFonts w:hint="eastAsia" w:ascii="Times New Roman" w:hAnsi="Times New Roman" w:eastAsia="宋体" w:cs="Times New Roman"/>
                      <w:b/>
                      <w:bCs w:val="0"/>
                      <w:sz w:val="18"/>
                      <w:szCs w:val="18"/>
                      <w:highlight w:val="none"/>
                      <w:lang w:val="en-US" w:eastAsia="zh-CN" w:bidi="ar"/>
                    </w:rPr>
                    <w:t>0.4</w:t>
                  </w:r>
                  <w:r>
                    <w:rPr>
                      <w:rFonts w:hint="eastAsia" w:cs="Times New Roman"/>
                      <w:b/>
                      <w:bCs w:val="0"/>
                      <w:sz w:val="18"/>
                      <w:szCs w:val="18"/>
                      <w:highlight w:val="none"/>
                      <w:lang w:val="en-US" w:eastAsia="zh-CN" w:bidi="ar"/>
                    </w:rPr>
                    <w:t>83</w:t>
                  </w:r>
                </w:p>
              </w:tc>
              <w:tc>
                <w:tcPr>
                  <w:tcW w:w="340" w:type="pct"/>
                  <w:tcBorders>
                    <w:top w:val="single" w:color="auto" w:sz="4" w:space="0"/>
                    <w:left w:val="single" w:color="auto" w:sz="4" w:space="0"/>
                    <w:right w:val="single" w:color="auto" w:sz="4" w:space="0"/>
                  </w:tcBorders>
                  <w:shd w:val="clear" w:color="auto" w:fill="auto"/>
                  <w:vAlign w:val="center"/>
                </w:tcPr>
                <w:p w14:paraId="1312A3F0">
                  <w:pPr>
                    <w:keepNext w:val="0"/>
                    <w:keepLines w:val="0"/>
                    <w:widowControl/>
                    <w:suppressLineNumbers w:val="0"/>
                    <w:spacing w:before="0" w:beforeAutospacing="0" w:after="0" w:afterAutospacing="0" w:line="280" w:lineRule="exact"/>
                    <w:ind w:left="0" w:right="0"/>
                    <w:jc w:val="center"/>
                    <w:textAlignment w:val="center"/>
                    <w:rPr>
                      <w:rFonts w:hint="eastAsia" w:ascii="Times New Roman" w:hAnsi="Times New Roman" w:eastAsia="宋体" w:cs="Times New Roman"/>
                      <w:b/>
                      <w:bCs w:val="0"/>
                      <w:sz w:val="18"/>
                      <w:szCs w:val="18"/>
                      <w:highlight w:val="none"/>
                      <w:lang w:val="en-US" w:eastAsia="zh-CN" w:bidi="ar"/>
                    </w:rPr>
                  </w:pPr>
                  <w:r>
                    <w:rPr>
                      <w:rFonts w:hint="eastAsia" w:ascii="Times New Roman" w:hAnsi="Times New Roman" w:eastAsia="宋体" w:cs="Times New Roman"/>
                      <w:b/>
                      <w:bCs w:val="0"/>
                      <w:sz w:val="18"/>
                      <w:szCs w:val="18"/>
                      <w:highlight w:val="none"/>
                      <w:lang w:val="en-US" w:eastAsia="zh-CN" w:bidi="ar"/>
                    </w:rPr>
                    <w:t>/</w:t>
                  </w:r>
                </w:p>
              </w:tc>
              <w:tc>
                <w:tcPr>
                  <w:tcW w:w="255" w:type="pct"/>
                  <w:tcBorders>
                    <w:left w:val="single" w:color="auto" w:sz="4" w:space="0"/>
                    <w:right w:val="single" w:color="auto" w:sz="4" w:space="0"/>
                  </w:tcBorders>
                  <w:vAlign w:val="center"/>
                </w:tcPr>
                <w:p w14:paraId="4C0AC889">
                  <w:pPr>
                    <w:keepNext w:val="0"/>
                    <w:keepLines w:val="0"/>
                    <w:widowControl/>
                    <w:suppressLineNumbers w:val="0"/>
                    <w:spacing w:before="0" w:beforeAutospacing="0" w:after="0" w:afterAutospacing="0" w:line="280" w:lineRule="exact"/>
                    <w:ind w:left="0" w:right="0"/>
                    <w:jc w:val="center"/>
                    <w:textAlignment w:val="center"/>
                    <w:rPr>
                      <w:rFonts w:hint="eastAsia" w:ascii="Times New Roman" w:hAnsi="Times New Roman" w:eastAsia="宋体" w:cs="Times New Roman"/>
                      <w:b/>
                      <w:bCs w:val="0"/>
                      <w:sz w:val="18"/>
                      <w:szCs w:val="18"/>
                      <w:highlight w:val="none"/>
                      <w:lang w:val="en-US" w:eastAsia="zh-CN" w:bidi="ar"/>
                    </w:rPr>
                  </w:pPr>
                  <w:r>
                    <w:rPr>
                      <w:rFonts w:hint="eastAsia" w:ascii="Times New Roman" w:hAnsi="Times New Roman" w:eastAsia="宋体" w:cs="Times New Roman"/>
                      <w:b/>
                      <w:bCs w:val="0"/>
                      <w:sz w:val="18"/>
                      <w:szCs w:val="18"/>
                      <w:highlight w:val="none"/>
                      <w:lang w:val="en-US" w:eastAsia="zh-CN" w:bidi="ar"/>
                    </w:rPr>
                    <w:t>/</w:t>
                  </w:r>
                </w:p>
              </w:tc>
            </w:tr>
            <w:tr w14:paraId="035B709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189" w:hRule="atLeast"/>
                <w:jc w:val="center"/>
              </w:trPr>
              <w:tc>
                <w:tcPr>
                  <w:tcW w:w="271" w:type="pct"/>
                  <w:tcBorders>
                    <w:left w:val="single" w:color="auto" w:sz="4" w:space="0"/>
                    <w:right w:val="single" w:color="auto" w:sz="4" w:space="0"/>
                  </w:tcBorders>
                  <w:vAlign w:val="center"/>
                </w:tcPr>
                <w:p w14:paraId="202DE1F1">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64" w:lineRule="auto"/>
                    <w:ind w:left="0" w:right="0"/>
                    <w:jc w:val="center"/>
                    <w:textAlignment w:val="auto"/>
                    <w:rPr>
                      <w:rFonts w:hint="default"/>
                      <w:b w:val="0"/>
                      <w:bCs/>
                      <w:kern w:val="0"/>
                      <w:sz w:val="18"/>
                      <w:szCs w:val="18"/>
                      <w:highlight w:val="none"/>
                      <w:lang w:val="en-US" w:eastAsia="zh-CN"/>
                    </w:rPr>
                  </w:pPr>
                  <w:r>
                    <w:rPr>
                      <w:rFonts w:hint="eastAsia"/>
                      <w:b w:val="0"/>
                      <w:bCs/>
                      <w:kern w:val="0"/>
                      <w:sz w:val="18"/>
                      <w:szCs w:val="18"/>
                      <w:highlight w:val="none"/>
                      <w:lang w:val="en-US" w:eastAsia="zh-CN"/>
                    </w:rPr>
                    <w:t>DA020</w:t>
                  </w:r>
                </w:p>
              </w:tc>
              <w:tc>
                <w:tcPr>
                  <w:tcW w:w="331" w:type="pct"/>
                  <w:tcBorders>
                    <w:left w:val="single" w:color="auto" w:sz="4" w:space="0"/>
                    <w:right w:val="single" w:color="auto" w:sz="4" w:space="0"/>
                  </w:tcBorders>
                  <w:vAlign w:val="center"/>
                </w:tcPr>
                <w:p w14:paraId="33714CD9">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64" w:lineRule="auto"/>
                    <w:ind w:left="0" w:right="0"/>
                    <w:jc w:val="center"/>
                    <w:textAlignment w:val="auto"/>
                    <w:rPr>
                      <w:rFonts w:hint="default"/>
                      <w:b w:val="0"/>
                      <w:bCs/>
                      <w:kern w:val="0"/>
                      <w:sz w:val="18"/>
                      <w:szCs w:val="18"/>
                      <w:highlight w:val="none"/>
                      <w:lang w:val="en-US" w:eastAsia="zh-CN"/>
                    </w:rPr>
                  </w:pPr>
                  <w:r>
                    <w:rPr>
                      <w:rFonts w:hint="eastAsia"/>
                      <w:b w:val="0"/>
                      <w:bCs/>
                      <w:kern w:val="0"/>
                      <w:sz w:val="18"/>
                      <w:szCs w:val="18"/>
                      <w:highlight w:val="none"/>
                      <w:lang w:val="en-US" w:eastAsia="zh-CN"/>
                    </w:rPr>
                    <w:t>20#排气筒</w:t>
                  </w:r>
                </w:p>
              </w:tc>
              <w:tc>
                <w:tcPr>
                  <w:tcW w:w="404" w:type="pct"/>
                  <w:tcBorders>
                    <w:left w:val="single" w:color="auto" w:sz="4" w:space="0"/>
                    <w:right w:val="single" w:color="auto" w:sz="4" w:space="0"/>
                  </w:tcBorders>
                  <w:vAlign w:val="center"/>
                </w:tcPr>
                <w:p w14:paraId="168792D4">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64" w:lineRule="auto"/>
                    <w:ind w:left="0" w:right="0"/>
                    <w:jc w:val="center"/>
                    <w:textAlignment w:val="auto"/>
                    <w:rPr>
                      <w:rFonts w:hint="default"/>
                      <w:b w:val="0"/>
                      <w:bCs/>
                      <w:kern w:val="0"/>
                      <w:sz w:val="18"/>
                      <w:szCs w:val="18"/>
                      <w:highlight w:val="none"/>
                      <w:lang w:val="en-US" w:eastAsia="zh-CN"/>
                    </w:rPr>
                  </w:pPr>
                  <w:r>
                    <w:rPr>
                      <w:rFonts w:hint="eastAsia"/>
                      <w:b w:val="0"/>
                      <w:bCs/>
                      <w:kern w:val="0"/>
                      <w:sz w:val="18"/>
                      <w:szCs w:val="18"/>
                      <w:highlight w:val="none"/>
                      <w:lang w:val="en-US" w:eastAsia="zh-CN"/>
                    </w:rPr>
                    <w:t>油烟</w:t>
                  </w:r>
                </w:p>
              </w:tc>
              <w:tc>
                <w:tcPr>
                  <w:tcW w:w="593" w:type="pct"/>
                  <w:tcBorders>
                    <w:left w:val="single" w:color="auto" w:sz="4" w:space="0"/>
                    <w:bottom w:val="single" w:color="auto" w:sz="4" w:space="0"/>
                    <w:right w:val="single" w:color="auto" w:sz="4" w:space="0"/>
                  </w:tcBorders>
                  <w:shd w:val="clear" w:color="auto" w:fill="auto"/>
                  <w:vAlign w:val="center"/>
                </w:tcPr>
                <w:p w14:paraId="7B88A066">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64" w:lineRule="auto"/>
                    <w:ind w:left="0" w:right="0"/>
                    <w:jc w:val="center"/>
                    <w:textAlignment w:val="auto"/>
                    <w:rPr>
                      <w:rFonts w:hint="eastAsia"/>
                      <w:b w:val="0"/>
                      <w:bCs/>
                      <w:kern w:val="0"/>
                      <w:sz w:val="18"/>
                      <w:szCs w:val="18"/>
                      <w:highlight w:val="none"/>
                      <w:lang w:val="en-US" w:eastAsia="zh-CN"/>
                    </w:rPr>
                  </w:pPr>
                  <w:r>
                    <w:rPr>
                      <w:rFonts w:hint="eastAsia"/>
                      <w:b w:val="0"/>
                      <w:bCs/>
                      <w:kern w:val="0"/>
                      <w:sz w:val="18"/>
                      <w:szCs w:val="18"/>
                      <w:highlight w:val="none"/>
                      <w:lang w:val="en-US" w:eastAsia="zh-CN"/>
                    </w:rPr>
                    <w:t>油烟</w:t>
                  </w:r>
                </w:p>
              </w:tc>
              <w:tc>
                <w:tcPr>
                  <w:tcW w:w="357" w:type="pct"/>
                  <w:tcBorders>
                    <w:top w:val="single" w:color="auto" w:sz="4" w:space="0"/>
                    <w:left w:val="single" w:color="auto" w:sz="4" w:space="0"/>
                    <w:bottom w:val="single" w:color="auto" w:sz="4" w:space="0"/>
                    <w:right w:val="single" w:color="auto" w:sz="4" w:space="0"/>
                  </w:tcBorders>
                  <w:shd w:val="clear" w:color="auto" w:fill="auto"/>
                  <w:vAlign w:val="center"/>
                </w:tcPr>
                <w:p w14:paraId="7C2FD1A3">
                  <w:pPr>
                    <w:keepNext w:val="0"/>
                    <w:keepLines w:val="0"/>
                    <w:widowControl/>
                    <w:suppressLineNumbers w:val="0"/>
                    <w:spacing w:before="0" w:beforeAutospacing="0" w:after="0" w:afterAutospacing="0" w:line="280" w:lineRule="exact"/>
                    <w:ind w:left="0" w:right="0"/>
                    <w:jc w:val="center"/>
                    <w:textAlignment w:val="center"/>
                    <w:rPr>
                      <w:rFonts w:hint="default" w:ascii="Times New Roman" w:hAnsi="Times New Roman" w:eastAsia="宋体" w:cs="Times New Roman"/>
                      <w:b w:val="0"/>
                      <w:bCs/>
                      <w:sz w:val="18"/>
                      <w:szCs w:val="18"/>
                      <w:highlight w:val="none"/>
                      <w:lang w:val="en-US" w:eastAsia="zh-CN" w:bidi="ar"/>
                    </w:rPr>
                  </w:pPr>
                  <w:r>
                    <w:rPr>
                      <w:rFonts w:hint="eastAsia" w:cs="Times New Roman"/>
                      <w:b w:val="0"/>
                      <w:bCs/>
                      <w:sz w:val="18"/>
                      <w:szCs w:val="18"/>
                      <w:highlight w:val="none"/>
                      <w:lang w:val="en-US" w:eastAsia="zh-CN" w:bidi="ar"/>
                    </w:rPr>
                    <w:t>0.055</w:t>
                  </w:r>
                </w:p>
              </w:tc>
              <w:tc>
                <w:tcPr>
                  <w:tcW w:w="357" w:type="pct"/>
                  <w:tcBorders>
                    <w:top w:val="single" w:color="auto" w:sz="4" w:space="0"/>
                    <w:left w:val="single" w:color="auto" w:sz="4" w:space="0"/>
                    <w:bottom w:val="single" w:color="auto" w:sz="4" w:space="0"/>
                    <w:right w:val="single" w:color="auto" w:sz="4" w:space="0"/>
                  </w:tcBorders>
                  <w:shd w:val="clear" w:color="auto" w:fill="auto"/>
                  <w:vAlign w:val="center"/>
                </w:tcPr>
                <w:p w14:paraId="26ED7FCC">
                  <w:pPr>
                    <w:keepNext w:val="0"/>
                    <w:keepLines w:val="0"/>
                    <w:widowControl/>
                    <w:suppressLineNumbers w:val="0"/>
                    <w:spacing w:before="0" w:beforeAutospacing="0" w:after="0" w:afterAutospacing="0" w:line="280" w:lineRule="exact"/>
                    <w:ind w:left="0" w:right="0"/>
                    <w:jc w:val="center"/>
                    <w:textAlignment w:val="center"/>
                    <w:rPr>
                      <w:rFonts w:hint="default" w:ascii="Times New Roman" w:hAnsi="Times New Roman" w:eastAsia="宋体" w:cs="Times New Roman"/>
                      <w:b w:val="0"/>
                      <w:bCs/>
                      <w:sz w:val="18"/>
                      <w:szCs w:val="18"/>
                      <w:highlight w:val="none"/>
                      <w:lang w:val="en-US" w:eastAsia="zh-CN" w:bidi="ar"/>
                    </w:rPr>
                  </w:pPr>
                  <w:r>
                    <w:rPr>
                      <w:rFonts w:hint="eastAsia" w:cs="Times New Roman"/>
                      <w:b w:val="0"/>
                      <w:bCs/>
                      <w:sz w:val="18"/>
                      <w:szCs w:val="18"/>
                      <w:highlight w:val="none"/>
                      <w:lang w:val="en-US" w:eastAsia="zh-CN" w:bidi="ar"/>
                    </w:rPr>
                    <w:t>0.071</w:t>
                  </w:r>
                </w:p>
              </w:tc>
              <w:tc>
                <w:tcPr>
                  <w:tcW w:w="404" w:type="pct"/>
                  <w:tcBorders>
                    <w:top w:val="single" w:color="auto" w:sz="4" w:space="0"/>
                    <w:left w:val="single" w:color="auto" w:sz="4" w:space="0"/>
                    <w:right w:val="single" w:color="auto" w:sz="4" w:space="0"/>
                  </w:tcBorders>
                  <w:vAlign w:val="center"/>
                </w:tcPr>
                <w:p w14:paraId="78A71F85">
                  <w:pPr>
                    <w:keepNext w:val="0"/>
                    <w:keepLines w:val="0"/>
                    <w:widowControl/>
                    <w:suppressLineNumbers w:val="0"/>
                    <w:spacing w:before="0" w:beforeAutospacing="0" w:after="0" w:afterAutospacing="0" w:line="280" w:lineRule="exact"/>
                    <w:ind w:left="0" w:right="0"/>
                    <w:jc w:val="center"/>
                    <w:textAlignment w:val="center"/>
                    <w:rPr>
                      <w:rFonts w:hint="default" w:ascii="Times New Roman" w:hAnsi="Times New Roman" w:eastAsia="宋体" w:cs="Times New Roman"/>
                      <w:b w:val="0"/>
                      <w:bCs/>
                      <w:sz w:val="18"/>
                      <w:szCs w:val="18"/>
                      <w:highlight w:val="none"/>
                      <w:lang w:val="en-US" w:eastAsia="zh-CN" w:bidi="ar"/>
                    </w:rPr>
                  </w:pPr>
                  <w:r>
                    <w:rPr>
                      <w:rFonts w:hint="eastAsia" w:cs="Times New Roman"/>
                      <w:b w:val="0"/>
                      <w:bCs/>
                      <w:sz w:val="18"/>
                      <w:szCs w:val="18"/>
                      <w:highlight w:val="none"/>
                      <w:lang w:val="en-US" w:eastAsia="zh-CN" w:bidi="ar"/>
                    </w:rPr>
                    <w:t>5.07</w:t>
                  </w:r>
                </w:p>
              </w:tc>
              <w:tc>
                <w:tcPr>
                  <w:tcW w:w="383" w:type="pct"/>
                  <w:tcBorders>
                    <w:left w:val="single" w:color="auto" w:sz="4" w:space="0"/>
                    <w:right w:val="single" w:color="auto" w:sz="4" w:space="0"/>
                  </w:tcBorders>
                  <w:shd w:val="clear" w:color="auto" w:fill="auto"/>
                  <w:vAlign w:val="center"/>
                </w:tcPr>
                <w:p w14:paraId="7F408B27">
                  <w:pPr>
                    <w:keepNext w:val="0"/>
                    <w:keepLines w:val="0"/>
                    <w:widowControl/>
                    <w:suppressLineNumbers w:val="0"/>
                    <w:spacing w:before="0" w:beforeAutospacing="0" w:after="0" w:afterAutospacing="0" w:line="280" w:lineRule="exact"/>
                    <w:ind w:left="0" w:right="0"/>
                    <w:jc w:val="center"/>
                    <w:textAlignment w:val="center"/>
                    <w:rPr>
                      <w:rFonts w:hint="default" w:ascii="Times New Roman" w:hAnsi="Times New Roman" w:eastAsia="宋体" w:cs="Times New Roman"/>
                      <w:b w:val="0"/>
                      <w:bCs/>
                      <w:sz w:val="18"/>
                      <w:szCs w:val="18"/>
                      <w:highlight w:val="none"/>
                      <w:lang w:val="en-US" w:eastAsia="zh-CN" w:bidi="ar"/>
                    </w:rPr>
                  </w:pPr>
                  <w:r>
                    <w:rPr>
                      <w:rFonts w:hint="eastAsia" w:cs="Times New Roman"/>
                      <w:b w:val="0"/>
                      <w:bCs/>
                      <w:sz w:val="18"/>
                      <w:szCs w:val="18"/>
                      <w:highlight w:val="none"/>
                      <w:lang w:val="en-US" w:eastAsia="zh-CN" w:bidi="ar"/>
                    </w:rPr>
                    <w:t>静电除油</w:t>
                  </w:r>
                </w:p>
              </w:tc>
              <w:tc>
                <w:tcPr>
                  <w:tcW w:w="240" w:type="pct"/>
                  <w:tcBorders>
                    <w:left w:val="single" w:color="auto" w:sz="4" w:space="0"/>
                    <w:right w:val="single" w:color="auto" w:sz="4" w:space="0"/>
                  </w:tcBorders>
                  <w:shd w:val="clear" w:color="auto" w:fill="auto"/>
                  <w:vAlign w:val="center"/>
                </w:tcPr>
                <w:p w14:paraId="46AD71ED">
                  <w:pPr>
                    <w:keepNext w:val="0"/>
                    <w:keepLines w:val="0"/>
                    <w:widowControl/>
                    <w:suppressLineNumbers w:val="0"/>
                    <w:spacing w:before="0" w:beforeAutospacing="0" w:after="0" w:afterAutospacing="0" w:line="280" w:lineRule="exact"/>
                    <w:ind w:left="0" w:right="0"/>
                    <w:jc w:val="center"/>
                    <w:textAlignment w:val="center"/>
                    <w:rPr>
                      <w:rFonts w:hint="default" w:ascii="Times New Roman" w:hAnsi="Times New Roman" w:eastAsia="宋体" w:cs="Times New Roman"/>
                      <w:b w:val="0"/>
                      <w:bCs/>
                      <w:sz w:val="18"/>
                      <w:szCs w:val="18"/>
                      <w:highlight w:val="none"/>
                      <w:lang w:val="en-US" w:eastAsia="zh-CN" w:bidi="ar"/>
                    </w:rPr>
                  </w:pPr>
                  <w:r>
                    <w:rPr>
                      <w:rFonts w:hint="eastAsia" w:cs="Times New Roman"/>
                      <w:b w:val="0"/>
                      <w:bCs/>
                      <w:sz w:val="18"/>
                      <w:szCs w:val="18"/>
                      <w:highlight w:val="none"/>
                      <w:lang w:val="en-US" w:eastAsia="zh-CN" w:bidi="ar"/>
                    </w:rPr>
                    <w:t>85</w:t>
                  </w:r>
                </w:p>
              </w:tc>
              <w:tc>
                <w:tcPr>
                  <w:tcW w:w="317" w:type="pct"/>
                  <w:tcBorders>
                    <w:left w:val="single" w:color="auto" w:sz="4" w:space="0"/>
                    <w:right w:val="single" w:color="auto" w:sz="4" w:space="0"/>
                  </w:tcBorders>
                  <w:shd w:val="clear" w:color="auto" w:fill="auto"/>
                  <w:vAlign w:val="center"/>
                </w:tcPr>
                <w:p w14:paraId="223789EF">
                  <w:pPr>
                    <w:keepNext w:val="0"/>
                    <w:keepLines w:val="0"/>
                    <w:widowControl/>
                    <w:suppressLineNumbers w:val="0"/>
                    <w:spacing w:before="0" w:beforeAutospacing="0" w:after="0" w:afterAutospacing="0" w:line="280" w:lineRule="exact"/>
                    <w:ind w:left="0" w:right="0"/>
                    <w:jc w:val="center"/>
                    <w:textAlignment w:val="center"/>
                    <w:rPr>
                      <w:rFonts w:hint="default" w:ascii="Times New Roman" w:hAnsi="Times New Roman" w:eastAsia="宋体" w:cs="Times New Roman"/>
                      <w:b w:val="0"/>
                      <w:bCs/>
                      <w:sz w:val="18"/>
                      <w:szCs w:val="18"/>
                      <w:highlight w:val="none"/>
                      <w:lang w:val="en-US" w:eastAsia="zh-CN" w:bidi="ar"/>
                    </w:rPr>
                  </w:pPr>
                  <w:r>
                    <w:rPr>
                      <w:rFonts w:hint="eastAsia" w:cs="Times New Roman"/>
                      <w:b w:val="0"/>
                      <w:bCs/>
                      <w:sz w:val="18"/>
                      <w:szCs w:val="18"/>
                      <w:highlight w:val="none"/>
                      <w:lang w:val="en-US" w:eastAsia="zh-CN" w:bidi="ar"/>
                    </w:rPr>
                    <w:t>14000</w:t>
                  </w:r>
                </w:p>
              </w:tc>
              <w:tc>
                <w:tcPr>
                  <w:tcW w:w="380" w:type="pct"/>
                  <w:tcBorders>
                    <w:top w:val="single" w:color="auto" w:sz="4" w:space="0"/>
                    <w:left w:val="single" w:color="auto" w:sz="4" w:space="0"/>
                    <w:right w:val="single" w:color="auto" w:sz="4" w:space="0"/>
                  </w:tcBorders>
                  <w:shd w:val="clear" w:color="auto" w:fill="auto"/>
                  <w:vAlign w:val="center"/>
                </w:tcPr>
                <w:p w14:paraId="02DF3E01">
                  <w:pPr>
                    <w:keepNext w:val="0"/>
                    <w:keepLines w:val="0"/>
                    <w:widowControl/>
                    <w:suppressLineNumbers w:val="0"/>
                    <w:spacing w:before="0" w:beforeAutospacing="0" w:after="0" w:afterAutospacing="0" w:line="280" w:lineRule="exact"/>
                    <w:ind w:left="0" w:right="0"/>
                    <w:jc w:val="center"/>
                    <w:textAlignment w:val="center"/>
                    <w:rPr>
                      <w:rFonts w:hint="default" w:ascii="Times New Roman" w:hAnsi="Times New Roman" w:eastAsia="宋体" w:cs="Times New Roman"/>
                      <w:b w:val="0"/>
                      <w:bCs/>
                      <w:sz w:val="18"/>
                      <w:szCs w:val="18"/>
                      <w:highlight w:val="none"/>
                      <w:lang w:val="en-US" w:eastAsia="zh-CN" w:bidi="ar"/>
                    </w:rPr>
                  </w:pPr>
                  <w:r>
                    <w:rPr>
                      <w:rFonts w:hint="eastAsia" w:cs="Times New Roman"/>
                      <w:b w:val="0"/>
                      <w:bCs/>
                      <w:sz w:val="18"/>
                      <w:szCs w:val="18"/>
                      <w:highlight w:val="none"/>
                      <w:lang w:val="en-US" w:eastAsia="zh-CN" w:bidi="ar"/>
                    </w:rPr>
                    <w:t>0.008</w:t>
                  </w:r>
                </w:p>
              </w:tc>
              <w:tc>
                <w:tcPr>
                  <w:tcW w:w="362" w:type="pct"/>
                  <w:tcBorders>
                    <w:top w:val="single" w:color="auto" w:sz="4" w:space="0"/>
                    <w:left w:val="single" w:color="auto" w:sz="4" w:space="0"/>
                    <w:right w:val="single" w:color="auto" w:sz="4" w:space="0"/>
                  </w:tcBorders>
                  <w:shd w:val="clear" w:color="auto" w:fill="auto"/>
                  <w:vAlign w:val="center"/>
                </w:tcPr>
                <w:p w14:paraId="0B13FA19">
                  <w:pPr>
                    <w:keepNext w:val="0"/>
                    <w:keepLines w:val="0"/>
                    <w:widowControl/>
                    <w:suppressLineNumbers w:val="0"/>
                    <w:spacing w:before="0" w:beforeAutospacing="0" w:after="0" w:afterAutospacing="0" w:line="280" w:lineRule="exact"/>
                    <w:ind w:left="0" w:right="0"/>
                    <w:jc w:val="center"/>
                    <w:textAlignment w:val="center"/>
                    <w:rPr>
                      <w:rFonts w:hint="default" w:ascii="Times New Roman" w:hAnsi="Times New Roman" w:eastAsia="宋体" w:cs="Times New Roman"/>
                      <w:b w:val="0"/>
                      <w:bCs/>
                      <w:sz w:val="18"/>
                      <w:szCs w:val="18"/>
                      <w:highlight w:val="none"/>
                      <w:lang w:val="en-US" w:eastAsia="zh-CN" w:bidi="ar"/>
                    </w:rPr>
                  </w:pPr>
                  <w:r>
                    <w:rPr>
                      <w:rFonts w:hint="eastAsia" w:cs="Times New Roman"/>
                      <w:b w:val="0"/>
                      <w:bCs/>
                      <w:sz w:val="18"/>
                      <w:szCs w:val="18"/>
                      <w:highlight w:val="none"/>
                      <w:lang w:val="en-US" w:eastAsia="zh-CN" w:bidi="ar"/>
                    </w:rPr>
                    <w:t>0.010</w:t>
                  </w:r>
                </w:p>
              </w:tc>
              <w:tc>
                <w:tcPr>
                  <w:tcW w:w="340" w:type="pct"/>
                  <w:tcBorders>
                    <w:top w:val="single" w:color="auto" w:sz="4" w:space="0"/>
                    <w:left w:val="single" w:color="auto" w:sz="4" w:space="0"/>
                    <w:right w:val="single" w:color="auto" w:sz="4" w:space="0"/>
                  </w:tcBorders>
                  <w:shd w:val="clear" w:color="auto" w:fill="auto"/>
                  <w:vAlign w:val="center"/>
                </w:tcPr>
                <w:p w14:paraId="55E701F3">
                  <w:pPr>
                    <w:keepNext w:val="0"/>
                    <w:keepLines w:val="0"/>
                    <w:widowControl/>
                    <w:suppressLineNumbers w:val="0"/>
                    <w:spacing w:before="0" w:beforeAutospacing="0" w:after="0" w:afterAutospacing="0" w:line="280" w:lineRule="exact"/>
                    <w:ind w:left="0" w:right="0"/>
                    <w:jc w:val="center"/>
                    <w:textAlignment w:val="center"/>
                    <w:rPr>
                      <w:rFonts w:hint="default" w:ascii="Times New Roman" w:hAnsi="Times New Roman" w:eastAsia="宋体" w:cs="Times New Roman"/>
                      <w:b w:val="0"/>
                      <w:bCs/>
                      <w:sz w:val="18"/>
                      <w:szCs w:val="18"/>
                      <w:highlight w:val="none"/>
                      <w:lang w:val="en-US" w:eastAsia="zh-CN" w:bidi="ar"/>
                    </w:rPr>
                  </w:pPr>
                  <w:r>
                    <w:rPr>
                      <w:rFonts w:hint="eastAsia" w:cs="Times New Roman"/>
                      <w:b w:val="0"/>
                      <w:bCs/>
                      <w:sz w:val="18"/>
                      <w:szCs w:val="18"/>
                      <w:highlight w:val="none"/>
                      <w:lang w:val="en-US" w:eastAsia="zh-CN" w:bidi="ar"/>
                    </w:rPr>
                    <w:t>0.71</w:t>
                  </w:r>
                </w:p>
              </w:tc>
              <w:tc>
                <w:tcPr>
                  <w:tcW w:w="255" w:type="pct"/>
                  <w:tcBorders>
                    <w:left w:val="single" w:color="auto" w:sz="4" w:space="0"/>
                    <w:right w:val="single" w:color="auto" w:sz="4" w:space="0"/>
                  </w:tcBorders>
                  <w:vAlign w:val="center"/>
                </w:tcPr>
                <w:p w14:paraId="650ED205">
                  <w:pPr>
                    <w:keepNext w:val="0"/>
                    <w:keepLines w:val="0"/>
                    <w:widowControl/>
                    <w:suppressLineNumbers w:val="0"/>
                    <w:spacing w:before="0" w:beforeAutospacing="0" w:after="0" w:afterAutospacing="0" w:line="280" w:lineRule="exact"/>
                    <w:ind w:left="0" w:right="0"/>
                    <w:jc w:val="center"/>
                    <w:textAlignment w:val="center"/>
                    <w:rPr>
                      <w:rFonts w:hint="default" w:ascii="Times New Roman" w:hAnsi="Times New Roman" w:eastAsia="宋体" w:cs="Times New Roman"/>
                      <w:b w:val="0"/>
                      <w:bCs/>
                      <w:sz w:val="18"/>
                      <w:szCs w:val="18"/>
                      <w:highlight w:val="none"/>
                      <w:lang w:val="en-US" w:eastAsia="zh-CN" w:bidi="ar"/>
                    </w:rPr>
                  </w:pPr>
                  <w:r>
                    <w:rPr>
                      <w:rFonts w:hint="eastAsia" w:cs="Times New Roman"/>
                      <w:b w:val="0"/>
                      <w:bCs/>
                      <w:sz w:val="18"/>
                      <w:szCs w:val="18"/>
                      <w:highlight w:val="none"/>
                      <w:lang w:val="en-US" w:eastAsia="zh-CN" w:bidi="ar"/>
                    </w:rPr>
                    <w:t>780</w:t>
                  </w:r>
                </w:p>
              </w:tc>
            </w:tr>
            <w:tr w14:paraId="0053933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jc w:val="center"/>
              </w:trPr>
              <w:tc>
                <w:tcPr>
                  <w:tcW w:w="603" w:type="pct"/>
                  <w:gridSpan w:val="2"/>
                  <w:vMerge w:val="restart"/>
                  <w:tcBorders>
                    <w:top w:val="single" w:color="auto" w:sz="4" w:space="0"/>
                    <w:left w:val="single" w:color="auto" w:sz="4" w:space="0"/>
                    <w:right w:val="single" w:color="auto" w:sz="4" w:space="0"/>
                  </w:tcBorders>
                  <w:vAlign w:val="center"/>
                </w:tcPr>
                <w:p w14:paraId="51F65A83">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64" w:lineRule="auto"/>
                    <w:ind w:left="0" w:right="0"/>
                    <w:jc w:val="center"/>
                    <w:textAlignment w:val="auto"/>
                    <w:rPr>
                      <w:rFonts w:hint="default"/>
                      <w:bCs/>
                      <w:kern w:val="0"/>
                      <w:sz w:val="18"/>
                      <w:szCs w:val="18"/>
                      <w:highlight w:val="none"/>
                    </w:rPr>
                  </w:pPr>
                  <w:r>
                    <w:rPr>
                      <w:rFonts w:hint="default"/>
                      <w:bCs/>
                      <w:kern w:val="0"/>
                      <w:sz w:val="18"/>
                      <w:szCs w:val="18"/>
                      <w:highlight w:val="none"/>
                    </w:rPr>
                    <w:t>无组织</w:t>
                  </w:r>
                </w:p>
              </w:tc>
              <w:tc>
                <w:tcPr>
                  <w:tcW w:w="404" w:type="pct"/>
                  <w:vMerge w:val="restart"/>
                  <w:tcBorders>
                    <w:top w:val="single" w:color="auto" w:sz="4" w:space="0"/>
                    <w:left w:val="single" w:color="auto" w:sz="4" w:space="0"/>
                    <w:right w:val="single" w:color="auto" w:sz="4" w:space="0"/>
                  </w:tcBorders>
                  <w:vAlign w:val="center"/>
                </w:tcPr>
                <w:p w14:paraId="54A865A2">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64" w:lineRule="auto"/>
                    <w:ind w:left="0" w:right="0"/>
                    <w:jc w:val="center"/>
                    <w:textAlignment w:val="auto"/>
                    <w:rPr>
                      <w:rFonts w:hint="eastAsia" w:eastAsia="宋体"/>
                      <w:bCs/>
                      <w:kern w:val="0"/>
                      <w:sz w:val="18"/>
                      <w:szCs w:val="18"/>
                      <w:highlight w:val="none"/>
                      <w:lang w:eastAsia="zh-CN"/>
                    </w:rPr>
                  </w:pPr>
                  <w:r>
                    <w:rPr>
                      <w:rFonts w:hint="eastAsia"/>
                      <w:snapToGrid w:val="0"/>
                      <w:sz w:val="18"/>
                      <w:szCs w:val="18"/>
                      <w:highlight w:val="none"/>
                      <w:lang w:val="en-US" w:eastAsia="zh-CN"/>
                    </w:rPr>
                    <w:t>饲养废气、废物暂存废气</w:t>
                  </w:r>
                </w:p>
              </w:tc>
              <w:tc>
                <w:tcPr>
                  <w:tcW w:w="593" w:type="pct"/>
                  <w:tcBorders>
                    <w:top w:val="single" w:color="auto" w:sz="4" w:space="0"/>
                    <w:left w:val="single" w:color="auto" w:sz="4" w:space="0"/>
                    <w:right w:val="single" w:color="auto" w:sz="4" w:space="0"/>
                  </w:tcBorders>
                  <w:vAlign w:val="center"/>
                </w:tcPr>
                <w:p w14:paraId="6B7E2EC8">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64" w:lineRule="auto"/>
                    <w:ind w:left="0" w:right="0"/>
                    <w:jc w:val="center"/>
                    <w:textAlignment w:val="auto"/>
                    <w:rPr>
                      <w:rFonts w:hint="default"/>
                      <w:bCs/>
                      <w:kern w:val="0"/>
                      <w:sz w:val="18"/>
                      <w:szCs w:val="18"/>
                      <w:highlight w:val="none"/>
                    </w:rPr>
                  </w:pPr>
                  <w:r>
                    <w:rPr>
                      <w:rFonts w:hint="default"/>
                      <w:bCs/>
                      <w:kern w:val="0"/>
                      <w:sz w:val="18"/>
                      <w:szCs w:val="18"/>
                      <w:highlight w:val="none"/>
                    </w:rPr>
                    <w:t>氨</w:t>
                  </w:r>
                </w:p>
              </w:tc>
              <w:tc>
                <w:tcPr>
                  <w:tcW w:w="357" w:type="pct"/>
                  <w:tcBorders>
                    <w:top w:val="single" w:color="auto" w:sz="4" w:space="0"/>
                    <w:left w:val="single" w:color="auto" w:sz="4" w:space="0"/>
                    <w:right w:val="single" w:color="auto" w:sz="4" w:space="0"/>
                  </w:tcBorders>
                  <w:vAlign w:val="center"/>
                </w:tcPr>
                <w:p w14:paraId="5651430D">
                  <w:pPr>
                    <w:keepNext w:val="0"/>
                    <w:keepLines w:val="0"/>
                    <w:widowControl/>
                    <w:suppressLineNumbers w:val="0"/>
                    <w:spacing w:before="0" w:beforeAutospacing="0" w:after="0" w:afterAutospacing="0" w:line="280" w:lineRule="exact"/>
                    <w:ind w:left="0" w:right="0"/>
                    <w:jc w:val="center"/>
                    <w:textAlignment w:val="center"/>
                    <w:rPr>
                      <w:rFonts w:hint="default" w:cs="Times New Roman"/>
                      <w:b w:val="0"/>
                      <w:bCs/>
                      <w:sz w:val="18"/>
                      <w:szCs w:val="18"/>
                      <w:highlight w:val="none"/>
                      <w:lang w:val="en-US" w:eastAsia="zh-CN" w:bidi="ar"/>
                    </w:rPr>
                  </w:pPr>
                  <w:r>
                    <w:rPr>
                      <w:rFonts w:hint="eastAsia" w:cs="Times New Roman"/>
                      <w:b w:val="0"/>
                      <w:bCs/>
                      <w:sz w:val="18"/>
                      <w:szCs w:val="18"/>
                      <w:highlight w:val="none"/>
                      <w:lang w:val="en-US" w:eastAsia="zh-CN" w:bidi="ar"/>
                    </w:rPr>
                    <w:t>0.037</w:t>
                  </w:r>
                </w:p>
              </w:tc>
              <w:tc>
                <w:tcPr>
                  <w:tcW w:w="357" w:type="pct"/>
                  <w:tcBorders>
                    <w:top w:val="single" w:color="auto" w:sz="4" w:space="0"/>
                    <w:left w:val="single" w:color="auto" w:sz="4" w:space="0"/>
                    <w:right w:val="single" w:color="auto" w:sz="4" w:space="0"/>
                  </w:tcBorders>
                  <w:vAlign w:val="center"/>
                </w:tcPr>
                <w:p w14:paraId="4AAFE675">
                  <w:pPr>
                    <w:keepNext w:val="0"/>
                    <w:keepLines w:val="0"/>
                    <w:widowControl/>
                    <w:suppressLineNumbers w:val="0"/>
                    <w:spacing w:before="0" w:beforeAutospacing="0" w:after="0" w:afterAutospacing="0" w:line="280" w:lineRule="exact"/>
                    <w:ind w:left="0" w:right="0"/>
                    <w:jc w:val="center"/>
                    <w:textAlignment w:val="center"/>
                    <w:rPr>
                      <w:rFonts w:hint="default" w:cs="Times New Roman"/>
                      <w:b w:val="0"/>
                      <w:bCs/>
                      <w:sz w:val="18"/>
                      <w:szCs w:val="18"/>
                      <w:highlight w:val="none"/>
                      <w:lang w:val="en-US" w:eastAsia="zh-CN" w:bidi="ar"/>
                    </w:rPr>
                  </w:pPr>
                  <w:r>
                    <w:rPr>
                      <w:rFonts w:hint="eastAsia" w:cs="Times New Roman"/>
                      <w:b w:val="0"/>
                      <w:bCs/>
                      <w:sz w:val="18"/>
                      <w:szCs w:val="18"/>
                      <w:highlight w:val="none"/>
                      <w:lang w:val="en-US" w:eastAsia="zh-CN" w:bidi="ar"/>
                    </w:rPr>
                    <w:t>0.004</w:t>
                  </w:r>
                </w:p>
              </w:tc>
              <w:tc>
                <w:tcPr>
                  <w:tcW w:w="404" w:type="pct"/>
                  <w:vMerge w:val="restart"/>
                  <w:tcBorders>
                    <w:top w:val="single" w:color="auto" w:sz="4" w:space="0"/>
                    <w:left w:val="single" w:color="auto" w:sz="4" w:space="0"/>
                    <w:right w:val="single" w:color="auto" w:sz="4" w:space="0"/>
                  </w:tcBorders>
                  <w:vAlign w:val="center"/>
                </w:tcPr>
                <w:p w14:paraId="508BD92C">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64" w:lineRule="auto"/>
                    <w:ind w:left="0" w:right="0"/>
                    <w:jc w:val="center"/>
                    <w:textAlignment w:val="auto"/>
                    <w:rPr>
                      <w:rFonts w:hint="default"/>
                      <w:bCs/>
                      <w:kern w:val="0"/>
                      <w:sz w:val="18"/>
                      <w:szCs w:val="18"/>
                      <w:highlight w:val="none"/>
                    </w:rPr>
                  </w:pPr>
                  <w:r>
                    <w:rPr>
                      <w:rFonts w:hint="default"/>
                      <w:bCs/>
                      <w:kern w:val="0"/>
                      <w:sz w:val="18"/>
                      <w:szCs w:val="18"/>
                      <w:highlight w:val="none"/>
                    </w:rPr>
                    <w:t>/</w:t>
                  </w:r>
                </w:p>
              </w:tc>
              <w:tc>
                <w:tcPr>
                  <w:tcW w:w="383" w:type="pct"/>
                  <w:vMerge w:val="restart"/>
                  <w:tcBorders>
                    <w:top w:val="single" w:color="auto" w:sz="4" w:space="0"/>
                    <w:left w:val="single" w:color="auto" w:sz="4" w:space="0"/>
                    <w:right w:val="single" w:color="auto" w:sz="4" w:space="0"/>
                  </w:tcBorders>
                  <w:vAlign w:val="center"/>
                </w:tcPr>
                <w:p w14:paraId="10305C46">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64" w:lineRule="auto"/>
                    <w:ind w:left="0" w:right="0"/>
                    <w:jc w:val="center"/>
                    <w:textAlignment w:val="auto"/>
                    <w:rPr>
                      <w:rFonts w:hint="default"/>
                      <w:bCs/>
                      <w:kern w:val="0"/>
                      <w:sz w:val="18"/>
                      <w:szCs w:val="18"/>
                      <w:highlight w:val="none"/>
                    </w:rPr>
                  </w:pPr>
                  <w:r>
                    <w:rPr>
                      <w:rFonts w:hint="default"/>
                      <w:bCs/>
                      <w:kern w:val="0"/>
                      <w:sz w:val="18"/>
                      <w:szCs w:val="18"/>
                      <w:highlight w:val="none"/>
                    </w:rPr>
                    <w:t>/</w:t>
                  </w:r>
                </w:p>
              </w:tc>
              <w:tc>
                <w:tcPr>
                  <w:tcW w:w="240" w:type="pct"/>
                  <w:vMerge w:val="restart"/>
                  <w:tcBorders>
                    <w:top w:val="single" w:color="auto" w:sz="4" w:space="0"/>
                    <w:left w:val="single" w:color="auto" w:sz="4" w:space="0"/>
                    <w:right w:val="single" w:color="auto" w:sz="4" w:space="0"/>
                  </w:tcBorders>
                  <w:vAlign w:val="center"/>
                </w:tcPr>
                <w:p w14:paraId="53FE24EE">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64" w:lineRule="auto"/>
                    <w:ind w:left="0" w:right="0"/>
                    <w:jc w:val="center"/>
                    <w:textAlignment w:val="auto"/>
                    <w:rPr>
                      <w:rFonts w:hint="default"/>
                      <w:bCs/>
                      <w:kern w:val="0"/>
                      <w:sz w:val="18"/>
                      <w:szCs w:val="18"/>
                      <w:highlight w:val="none"/>
                    </w:rPr>
                  </w:pPr>
                  <w:r>
                    <w:rPr>
                      <w:rFonts w:hint="default"/>
                      <w:bCs/>
                      <w:kern w:val="0"/>
                      <w:sz w:val="18"/>
                      <w:szCs w:val="18"/>
                      <w:highlight w:val="none"/>
                    </w:rPr>
                    <w:t>/</w:t>
                  </w:r>
                </w:p>
              </w:tc>
              <w:tc>
                <w:tcPr>
                  <w:tcW w:w="317" w:type="pct"/>
                  <w:vMerge w:val="restart"/>
                  <w:tcBorders>
                    <w:top w:val="single" w:color="auto" w:sz="4" w:space="0"/>
                    <w:left w:val="single" w:color="auto" w:sz="4" w:space="0"/>
                    <w:right w:val="single" w:color="auto" w:sz="4" w:space="0"/>
                  </w:tcBorders>
                  <w:vAlign w:val="center"/>
                </w:tcPr>
                <w:p w14:paraId="2F2EE9D3">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64" w:lineRule="auto"/>
                    <w:ind w:left="0" w:right="0"/>
                    <w:jc w:val="center"/>
                    <w:textAlignment w:val="auto"/>
                    <w:rPr>
                      <w:rFonts w:hint="default"/>
                      <w:bCs/>
                      <w:kern w:val="0"/>
                      <w:sz w:val="18"/>
                      <w:szCs w:val="18"/>
                      <w:highlight w:val="none"/>
                    </w:rPr>
                  </w:pPr>
                  <w:r>
                    <w:rPr>
                      <w:rFonts w:hint="default"/>
                      <w:bCs/>
                      <w:kern w:val="0"/>
                      <w:sz w:val="18"/>
                      <w:szCs w:val="18"/>
                      <w:highlight w:val="none"/>
                    </w:rPr>
                    <w:t>/</w:t>
                  </w:r>
                </w:p>
              </w:tc>
              <w:tc>
                <w:tcPr>
                  <w:tcW w:w="380" w:type="pct"/>
                  <w:tcBorders>
                    <w:top w:val="single" w:color="auto" w:sz="4" w:space="0"/>
                    <w:left w:val="single" w:color="auto" w:sz="4" w:space="0"/>
                    <w:right w:val="single" w:color="auto" w:sz="4" w:space="0"/>
                  </w:tcBorders>
                  <w:shd w:val="clear" w:color="auto" w:fill="auto"/>
                  <w:vAlign w:val="center"/>
                </w:tcPr>
                <w:p w14:paraId="57FDAC46">
                  <w:pPr>
                    <w:keepNext w:val="0"/>
                    <w:keepLines w:val="0"/>
                    <w:widowControl/>
                    <w:suppressLineNumbers w:val="0"/>
                    <w:spacing w:before="0" w:beforeAutospacing="0" w:after="0" w:afterAutospacing="0" w:line="280" w:lineRule="exact"/>
                    <w:ind w:left="0" w:leftChars="0" w:right="0" w:rightChars="0"/>
                    <w:jc w:val="center"/>
                    <w:textAlignment w:val="center"/>
                    <w:rPr>
                      <w:rFonts w:hint="default" w:ascii="Times New Roman" w:hAnsi="Times New Roman" w:eastAsia="宋体" w:cs="Times New Roman"/>
                      <w:b w:val="0"/>
                      <w:bCs/>
                      <w:kern w:val="2"/>
                      <w:sz w:val="18"/>
                      <w:szCs w:val="18"/>
                      <w:highlight w:val="none"/>
                      <w:lang w:val="en-US" w:eastAsia="zh-CN" w:bidi="ar"/>
                    </w:rPr>
                  </w:pPr>
                  <w:r>
                    <w:rPr>
                      <w:rFonts w:hint="eastAsia" w:cs="Times New Roman"/>
                      <w:b w:val="0"/>
                      <w:bCs/>
                      <w:sz w:val="18"/>
                      <w:szCs w:val="18"/>
                      <w:highlight w:val="none"/>
                      <w:lang w:val="en-US" w:eastAsia="zh-CN" w:bidi="ar"/>
                    </w:rPr>
                    <w:t>0.037</w:t>
                  </w:r>
                </w:p>
              </w:tc>
              <w:tc>
                <w:tcPr>
                  <w:tcW w:w="362" w:type="pct"/>
                  <w:tcBorders>
                    <w:top w:val="single" w:color="auto" w:sz="4" w:space="0"/>
                    <w:left w:val="single" w:color="auto" w:sz="4" w:space="0"/>
                    <w:bottom w:val="single" w:color="auto" w:sz="4" w:space="0"/>
                    <w:right w:val="single" w:color="auto" w:sz="4" w:space="0"/>
                  </w:tcBorders>
                  <w:shd w:val="clear" w:color="auto" w:fill="auto"/>
                  <w:vAlign w:val="center"/>
                </w:tcPr>
                <w:p w14:paraId="4C9A7144">
                  <w:pPr>
                    <w:keepNext w:val="0"/>
                    <w:keepLines w:val="0"/>
                    <w:widowControl/>
                    <w:suppressLineNumbers w:val="0"/>
                    <w:spacing w:before="0" w:beforeAutospacing="0" w:after="0" w:afterAutospacing="0" w:line="280" w:lineRule="exact"/>
                    <w:ind w:left="0" w:leftChars="0" w:right="0" w:rightChars="0"/>
                    <w:jc w:val="center"/>
                    <w:textAlignment w:val="center"/>
                    <w:rPr>
                      <w:rFonts w:hint="default" w:ascii="Times New Roman" w:hAnsi="Times New Roman" w:eastAsia="宋体" w:cs="Times New Roman"/>
                      <w:b w:val="0"/>
                      <w:bCs/>
                      <w:kern w:val="2"/>
                      <w:sz w:val="18"/>
                      <w:szCs w:val="18"/>
                      <w:highlight w:val="none"/>
                      <w:lang w:val="en-US" w:eastAsia="zh-CN" w:bidi="ar"/>
                    </w:rPr>
                  </w:pPr>
                  <w:r>
                    <w:rPr>
                      <w:rFonts w:hint="eastAsia" w:cs="Times New Roman"/>
                      <w:b w:val="0"/>
                      <w:bCs/>
                      <w:sz w:val="18"/>
                      <w:szCs w:val="18"/>
                      <w:highlight w:val="none"/>
                      <w:lang w:val="en-US" w:eastAsia="zh-CN" w:bidi="ar"/>
                    </w:rPr>
                    <w:t>0.004</w:t>
                  </w:r>
                </w:p>
              </w:tc>
              <w:tc>
                <w:tcPr>
                  <w:tcW w:w="340" w:type="pct"/>
                  <w:vMerge w:val="restart"/>
                  <w:tcBorders>
                    <w:top w:val="single" w:color="auto" w:sz="4" w:space="0"/>
                    <w:left w:val="single" w:color="auto" w:sz="4" w:space="0"/>
                    <w:right w:val="single" w:color="auto" w:sz="4" w:space="0"/>
                  </w:tcBorders>
                  <w:vAlign w:val="center"/>
                </w:tcPr>
                <w:p w14:paraId="03EB348E">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64" w:lineRule="auto"/>
                    <w:ind w:left="0" w:right="0"/>
                    <w:jc w:val="center"/>
                    <w:textAlignment w:val="auto"/>
                    <w:rPr>
                      <w:rFonts w:hint="default"/>
                      <w:bCs/>
                      <w:kern w:val="0"/>
                      <w:sz w:val="18"/>
                      <w:szCs w:val="18"/>
                      <w:highlight w:val="none"/>
                    </w:rPr>
                  </w:pPr>
                  <w:r>
                    <w:rPr>
                      <w:rFonts w:hint="default"/>
                      <w:bCs/>
                      <w:kern w:val="0"/>
                      <w:sz w:val="18"/>
                      <w:szCs w:val="18"/>
                      <w:highlight w:val="none"/>
                    </w:rPr>
                    <w:t>/</w:t>
                  </w:r>
                </w:p>
              </w:tc>
              <w:tc>
                <w:tcPr>
                  <w:tcW w:w="255" w:type="pct"/>
                  <w:vMerge w:val="restart"/>
                  <w:tcBorders>
                    <w:left w:val="single" w:color="auto" w:sz="4" w:space="0"/>
                    <w:right w:val="single" w:color="auto" w:sz="4" w:space="0"/>
                  </w:tcBorders>
                  <w:vAlign w:val="center"/>
                </w:tcPr>
                <w:p w14:paraId="504E6DFC">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64" w:lineRule="auto"/>
                    <w:ind w:left="0" w:right="0"/>
                    <w:jc w:val="center"/>
                    <w:textAlignment w:val="auto"/>
                    <w:rPr>
                      <w:rFonts w:hint="default"/>
                      <w:bCs/>
                      <w:kern w:val="0"/>
                      <w:sz w:val="18"/>
                      <w:szCs w:val="18"/>
                      <w:highlight w:val="none"/>
                    </w:rPr>
                  </w:pPr>
                  <w:r>
                    <w:rPr>
                      <w:rFonts w:hint="default"/>
                      <w:bCs/>
                      <w:kern w:val="0"/>
                      <w:sz w:val="18"/>
                      <w:szCs w:val="18"/>
                      <w:highlight w:val="none"/>
                    </w:rPr>
                    <w:t>8760</w:t>
                  </w:r>
                </w:p>
              </w:tc>
            </w:tr>
            <w:tr w14:paraId="35FD437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jc w:val="center"/>
              </w:trPr>
              <w:tc>
                <w:tcPr>
                  <w:tcW w:w="603" w:type="pct"/>
                  <w:gridSpan w:val="2"/>
                  <w:vMerge w:val="continue"/>
                  <w:tcBorders>
                    <w:left w:val="single" w:color="auto" w:sz="4" w:space="0"/>
                    <w:right w:val="single" w:color="auto" w:sz="4" w:space="0"/>
                  </w:tcBorders>
                  <w:vAlign w:val="center"/>
                </w:tcPr>
                <w:p w14:paraId="5053AC49">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64" w:lineRule="auto"/>
                    <w:ind w:left="0" w:right="0"/>
                    <w:jc w:val="center"/>
                    <w:textAlignment w:val="auto"/>
                    <w:rPr>
                      <w:rFonts w:hint="default"/>
                      <w:bCs/>
                      <w:kern w:val="0"/>
                      <w:sz w:val="18"/>
                      <w:szCs w:val="18"/>
                      <w:highlight w:val="none"/>
                    </w:rPr>
                  </w:pPr>
                </w:p>
              </w:tc>
              <w:tc>
                <w:tcPr>
                  <w:tcW w:w="404" w:type="pct"/>
                  <w:vMerge w:val="continue"/>
                  <w:tcBorders>
                    <w:left w:val="single" w:color="auto" w:sz="4" w:space="0"/>
                    <w:right w:val="single" w:color="auto" w:sz="4" w:space="0"/>
                  </w:tcBorders>
                  <w:vAlign w:val="center"/>
                </w:tcPr>
                <w:p w14:paraId="41C8FB51">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64" w:lineRule="auto"/>
                    <w:ind w:left="0" w:right="0"/>
                    <w:jc w:val="center"/>
                    <w:textAlignment w:val="auto"/>
                    <w:rPr>
                      <w:rFonts w:hint="default"/>
                      <w:bCs/>
                      <w:kern w:val="0"/>
                      <w:sz w:val="18"/>
                      <w:szCs w:val="18"/>
                      <w:highlight w:val="none"/>
                    </w:rPr>
                  </w:pPr>
                </w:p>
              </w:tc>
              <w:tc>
                <w:tcPr>
                  <w:tcW w:w="593" w:type="pct"/>
                  <w:tcBorders>
                    <w:top w:val="single" w:color="auto" w:sz="4" w:space="0"/>
                    <w:left w:val="single" w:color="auto" w:sz="4" w:space="0"/>
                    <w:right w:val="single" w:color="auto" w:sz="4" w:space="0"/>
                  </w:tcBorders>
                  <w:vAlign w:val="center"/>
                </w:tcPr>
                <w:p w14:paraId="0490A508">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64" w:lineRule="auto"/>
                    <w:ind w:left="0" w:right="0"/>
                    <w:jc w:val="center"/>
                    <w:textAlignment w:val="auto"/>
                    <w:rPr>
                      <w:rFonts w:hint="default"/>
                      <w:bCs/>
                      <w:kern w:val="0"/>
                      <w:sz w:val="18"/>
                      <w:szCs w:val="18"/>
                      <w:highlight w:val="none"/>
                    </w:rPr>
                  </w:pPr>
                  <w:r>
                    <w:rPr>
                      <w:rFonts w:hint="default"/>
                      <w:bCs/>
                      <w:kern w:val="0"/>
                      <w:sz w:val="18"/>
                      <w:szCs w:val="18"/>
                      <w:highlight w:val="none"/>
                    </w:rPr>
                    <w:t>硫化氢</w:t>
                  </w:r>
                </w:p>
              </w:tc>
              <w:tc>
                <w:tcPr>
                  <w:tcW w:w="357" w:type="pct"/>
                  <w:tcBorders>
                    <w:top w:val="single" w:color="auto" w:sz="4" w:space="0"/>
                    <w:left w:val="single" w:color="auto" w:sz="4" w:space="0"/>
                    <w:right w:val="single" w:color="auto" w:sz="4" w:space="0"/>
                  </w:tcBorders>
                  <w:vAlign w:val="center"/>
                </w:tcPr>
                <w:p w14:paraId="000C513D">
                  <w:pPr>
                    <w:keepNext w:val="0"/>
                    <w:keepLines w:val="0"/>
                    <w:widowControl/>
                    <w:suppressLineNumbers w:val="0"/>
                    <w:spacing w:before="0" w:beforeAutospacing="0" w:after="0" w:afterAutospacing="0" w:line="280" w:lineRule="exact"/>
                    <w:ind w:left="0" w:right="0"/>
                    <w:jc w:val="center"/>
                    <w:textAlignment w:val="center"/>
                    <w:rPr>
                      <w:rFonts w:hint="default" w:cs="Times New Roman"/>
                      <w:b w:val="0"/>
                      <w:bCs/>
                      <w:sz w:val="18"/>
                      <w:szCs w:val="18"/>
                      <w:highlight w:val="none"/>
                      <w:lang w:val="en-US" w:eastAsia="zh-CN" w:bidi="ar"/>
                    </w:rPr>
                  </w:pPr>
                  <w:r>
                    <w:rPr>
                      <w:rFonts w:hint="eastAsia" w:cs="Times New Roman"/>
                      <w:b w:val="0"/>
                      <w:bCs/>
                      <w:sz w:val="18"/>
                      <w:szCs w:val="18"/>
                      <w:highlight w:val="none"/>
                      <w:lang w:val="en-US" w:eastAsia="zh-CN" w:bidi="ar"/>
                    </w:rPr>
                    <w:t>0.005</w:t>
                  </w:r>
                </w:p>
              </w:tc>
              <w:tc>
                <w:tcPr>
                  <w:tcW w:w="357" w:type="pct"/>
                  <w:tcBorders>
                    <w:top w:val="single" w:color="auto" w:sz="4" w:space="0"/>
                    <w:left w:val="single" w:color="auto" w:sz="4" w:space="0"/>
                    <w:right w:val="single" w:color="auto" w:sz="4" w:space="0"/>
                  </w:tcBorders>
                  <w:vAlign w:val="center"/>
                </w:tcPr>
                <w:p w14:paraId="7BC74192">
                  <w:pPr>
                    <w:keepNext w:val="0"/>
                    <w:keepLines w:val="0"/>
                    <w:widowControl/>
                    <w:suppressLineNumbers w:val="0"/>
                    <w:spacing w:before="0" w:beforeAutospacing="0" w:after="0" w:afterAutospacing="0" w:line="280" w:lineRule="exact"/>
                    <w:ind w:left="0" w:right="0"/>
                    <w:jc w:val="center"/>
                    <w:textAlignment w:val="center"/>
                    <w:rPr>
                      <w:rFonts w:hint="default" w:cs="Times New Roman"/>
                      <w:b w:val="0"/>
                      <w:bCs/>
                      <w:sz w:val="18"/>
                      <w:szCs w:val="18"/>
                      <w:highlight w:val="none"/>
                      <w:lang w:val="en-US" w:eastAsia="zh-CN" w:bidi="ar"/>
                    </w:rPr>
                  </w:pPr>
                  <w:r>
                    <w:rPr>
                      <w:rFonts w:hint="eastAsia" w:cs="Times New Roman"/>
                      <w:b w:val="0"/>
                      <w:bCs/>
                      <w:sz w:val="18"/>
                      <w:szCs w:val="18"/>
                      <w:highlight w:val="none"/>
                      <w:lang w:val="en-US" w:eastAsia="zh-CN" w:bidi="ar"/>
                    </w:rPr>
                    <w:t>0.001</w:t>
                  </w:r>
                </w:p>
              </w:tc>
              <w:tc>
                <w:tcPr>
                  <w:tcW w:w="404" w:type="pct"/>
                  <w:vMerge w:val="continue"/>
                  <w:tcBorders>
                    <w:left w:val="single" w:color="auto" w:sz="4" w:space="0"/>
                    <w:right w:val="single" w:color="auto" w:sz="4" w:space="0"/>
                  </w:tcBorders>
                  <w:vAlign w:val="center"/>
                </w:tcPr>
                <w:p w14:paraId="373A26D7">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64" w:lineRule="auto"/>
                    <w:ind w:left="0" w:right="0"/>
                    <w:jc w:val="center"/>
                    <w:textAlignment w:val="auto"/>
                    <w:rPr>
                      <w:rFonts w:hint="default"/>
                      <w:bCs/>
                      <w:kern w:val="0"/>
                      <w:sz w:val="18"/>
                      <w:szCs w:val="18"/>
                      <w:highlight w:val="none"/>
                    </w:rPr>
                  </w:pPr>
                </w:p>
              </w:tc>
              <w:tc>
                <w:tcPr>
                  <w:tcW w:w="383" w:type="pct"/>
                  <w:vMerge w:val="continue"/>
                  <w:tcBorders>
                    <w:left w:val="single" w:color="auto" w:sz="4" w:space="0"/>
                    <w:right w:val="single" w:color="auto" w:sz="4" w:space="0"/>
                  </w:tcBorders>
                  <w:vAlign w:val="center"/>
                </w:tcPr>
                <w:p w14:paraId="1426F32C">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64" w:lineRule="auto"/>
                    <w:ind w:left="0" w:right="0"/>
                    <w:jc w:val="center"/>
                    <w:textAlignment w:val="auto"/>
                    <w:rPr>
                      <w:rFonts w:hint="default"/>
                      <w:bCs/>
                      <w:kern w:val="0"/>
                      <w:sz w:val="18"/>
                      <w:szCs w:val="18"/>
                      <w:highlight w:val="none"/>
                    </w:rPr>
                  </w:pPr>
                </w:p>
              </w:tc>
              <w:tc>
                <w:tcPr>
                  <w:tcW w:w="240" w:type="pct"/>
                  <w:vMerge w:val="continue"/>
                  <w:tcBorders>
                    <w:left w:val="single" w:color="auto" w:sz="4" w:space="0"/>
                    <w:right w:val="single" w:color="auto" w:sz="4" w:space="0"/>
                  </w:tcBorders>
                  <w:vAlign w:val="center"/>
                </w:tcPr>
                <w:p w14:paraId="51F51876">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64" w:lineRule="auto"/>
                    <w:ind w:left="0" w:right="0"/>
                    <w:jc w:val="center"/>
                    <w:textAlignment w:val="auto"/>
                    <w:rPr>
                      <w:rFonts w:hint="default"/>
                      <w:bCs/>
                      <w:kern w:val="0"/>
                      <w:sz w:val="18"/>
                      <w:szCs w:val="18"/>
                      <w:highlight w:val="none"/>
                    </w:rPr>
                  </w:pPr>
                </w:p>
              </w:tc>
              <w:tc>
                <w:tcPr>
                  <w:tcW w:w="317" w:type="pct"/>
                  <w:vMerge w:val="continue"/>
                  <w:tcBorders>
                    <w:left w:val="single" w:color="auto" w:sz="4" w:space="0"/>
                    <w:right w:val="single" w:color="auto" w:sz="4" w:space="0"/>
                  </w:tcBorders>
                  <w:vAlign w:val="center"/>
                </w:tcPr>
                <w:p w14:paraId="5F5FCFC4">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64" w:lineRule="auto"/>
                    <w:ind w:left="0" w:right="0"/>
                    <w:jc w:val="center"/>
                    <w:textAlignment w:val="auto"/>
                    <w:rPr>
                      <w:rFonts w:hint="default"/>
                      <w:bCs/>
                      <w:kern w:val="0"/>
                      <w:sz w:val="18"/>
                      <w:szCs w:val="18"/>
                      <w:highlight w:val="none"/>
                    </w:rPr>
                  </w:pPr>
                </w:p>
              </w:tc>
              <w:tc>
                <w:tcPr>
                  <w:tcW w:w="380" w:type="pct"/>
                  <w:tcBorders>
                    <w:top w:val="single" w:color="auto" w:sz="4" w:space="0"/>
                    <w:left w:val="single" w:color="auto" w:sz="4" w:space="0"/>
                    <w:right w:val="single" w:color="auto" w:sz="4" w:space="0"/>
                  </w:tcBorders>
                  <w:shd w:val="clear" w:color="auto" w:fill="auto"/>
                  <w:vAlign w:val="center"/>
                </w:tcPr>
                <w:p w14:paraId="3F9C7F2C">
                  <w:pPr>
                    <w:keepNext w:val="0"/>
                    <w:keepLines w:val="0"/>
                    <w:widowControl/>
                    <w:suppressLineNumbers w:val="0"/>
                    <w:spacing w:before="0" w:beforeAutospacing="0" w:after="0" w:afterAutospacing="0" w:line="280" w:lineRule="exact"/>
                    <w:ind w:left="0" w:leftChars="0" w:right="0" w:rightChars="0"/>
                    <w:jc w:val="center"/>
                    <w:textAlignment w:val="center"/>
                    <w:rPr>
                      <w:rFonts w:hint="default" w:ascii="Times New Roman" w:hAnsi="Times New Roman" w:eastAsia="宋体" w:cs="Times New Roman"/>
                      <w:b w:val="0"/>
                      <w:bCs/>
                      <w:kern w:val="2"/>
                      <w:sz w:val="18"/>
                      <w:szCs w:val="18"/>
                      <w:highlight w:val="none"/>
                      <w:lang w:val="en-US" w:eastAsia="zh-CN" w:bidi="ar"/>
                    </w:rPr>
                  </w:pPr>
                  <w:r>
                    <w:rPr>
                      <w:rFonts w:hint="eastAsia" w:cs="Times New Roman"/>
                      <w:b w:val="0"/>
                      <w:bCs/>
                      <w:sz w:val="18"/>
                      <w:szCs w:val="18"/>
                      <w:highlight w:val="none"/>
                      <w:lang w:val="en-US" w:eastAsia="zh-CN" w:bidi="ar"/>
                    </w:rPr>
                    <w:t>0.005</w:t>
                  </w:r>
                </w:p>
              </w:tc>
              <w:tc>
                <w:tcPr>
                  <w:tcW w:w="362" w:type="pct"/>
                  <w:tcBorders>
                    <w:top w:val="single" w:color="auto" w:sz="4" w:space="0"/>
                    <w:left w:val="single" w:color="auto" w:sz="4" w:space="0"/>
                    <w:bottom w:val="single" w:color="auto" w:sz="4" w:space="0"/>
                    <w:right w:val="single" w:color="auto" w:sz="4" w:space="0"/>
                  </w:tcBorders>
                  <w:shd w:val="clear" w:color="auto" w:fill="auto"/>
                  <w:vAlign w:val="center"/>
                </w:tcPr>
                <w:p w14:paraId="0B6CE3BA">
                  <w:pPr>
                    <w:keepNext w:val="0"/>
                    <w:keepLines w:val="0"/>
                    <w:widowControl/>
                    <w:suppressLineNumbers w:val="0"/>
                    <w:spacing w:before="0" w:beforeAutospacing="0" w:after="0" w:afterAutospacing="0" w:line="280" w:lineRule="exact"/>
                    <w:ind w:left="0" w:leftChars="0" w:right="0" w:rightChars="0"/>
                    <w:jc w:val="center"/>
                    <w:textAlignment w:val="center"/>
                    <w:rPr>
                      <w:rFonts w:hint="default" w:ascii="Times New Roman" w:hAnsi="Times New Roman" w:eastAsia="宋体" w:cs="Times New Roman"/>
                      <w:b w:val="0"/>
                      <w:bCs/>
                      <w:kern w:val="2"/>
                      <w:sz w:val="18"/>
                      <w:szCs w:val="18"/>
                      <w:highlight w:val="none"/>
                      <w:lang w:val="en-US" w:eastAsia="zh-CN" w:bidi="ar"/>
                    </w:rPr>
                  </w:pPr>
                  <w:r>
                    <w:rPr>
                      <w:rFonts w:hint="eastAsia" w:cs="Times New Roman"/>
                      <w:b w:val="0"/>
                      <w:bCs/>
                      <w:sz w:val="18"/>
                      <w:szCs w:val="18"/>
                      <w:highlight w:val="none"/>
                      <w:lang w:val="en-US" w:eastAsia="zh-CN" w:bidi="ar"/>
                    </w:rPr>
                    <w:t>0.001</w:t>
                  </w:r>
                </w:p>
              </w:tc>
              <w:tc>
                <w:tcPr>
                  <w:tcW w:w="340" w:type="pct"/>
                  <w:vMerge w:val="continue"/>
                  <w:tcBorders>
                    <w:left w:val="single" w:color="auto" w:sz="4" w:space="0"/>
                    <w:right w:val="single" w:color="auto" w:sz="4" w:space="0"/>
                  </w:tcBorders>
                  <w:vAlign w:val="center"/>
                </w:tcPr>
                <w:p w14:paraId="7BADB222">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64" w:lineRule="auto"/>
                    <w:ind w:left="0" w:right="0"/>
                    <w:jc w:val="center"/>
                    <w:textAlignment w:val="auto"/>
                    <w:rPr>
                      <w:rFonts w:hint="default"/>
                      <w:bCs/>
                      <w:kern w:val="0"/>
                      <w:sz w:val="18"/>
                      <w:szCs w:val="18"/>
                      <w:highlight w:val="none"/>
                    </w:rPr>
                  </w:pPr>
                </w:p>
              </w:tc>
              <w:tc>
                <w:tcPr>
                  <w:tcW w:w="255" w:type="pct"/>
                  <w:vMerge w:val="continue"/>
                  <w:tcBorders>
                    <w:left w:val="single" w:color="auto" w:sz="4" w:space="0"/>
                    <w:right w:val="single" w:color="auto" w:sz="4" w:space="0"/>
                  </w:tcBorders>
                  <w:vAlign w:val="center"/>
                </w:tcPr>
                <w:p w14:paraId="6C1DEED4">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64" w:lineRule="auto"/>
                    <w:ind w:left="0" w:right="0"/>
                    <w:jc w:val="center"/>
                    <w:textAlignment w:val="auto"/>
                    <w:rPr>
                      <w:rFonts w:hint="default"/>
                      <w:bCs/>
                      <w:kern w:val="0"/>
                      <w:sz w:val="18"/>
                      <w:szCs w:val="18"/>
                      <w:highlight w:val="none"/>
                    </w:rPr>
                  </w:pPr>
                </w:p>
              </w:tc>
            </w:tr>
            <w:tr w14:paraId="2C0755D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jc w:val="center"/>
              </w:trPr>
              <w:tc>
                <w:tcPr>
                  <w:tcW w:w="603" w:type="pct"/>
                  <w:gridSpan w:val="2"/>
                  <w:vMerge w:val="continue"/>
                  <w:tcBorders>
                    <w:left w:val="single" w:color="auto" w:sz="4" w:space="0"/>
                    <w:right w:val="single" w:color="auto" w:sz="4" w:space="0"/>
                  </w:tcBorders>
                  <w:vAlign w:val="center"/>
                </w:tcPr>
                <w:p w14:paraId="7322768E">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64" w:lineRule="auto"/>
                    <w:ind w:left="0" w:right="0"/>
                    <w:jc w:val="center"/>
                    <w:textAlignment w:val="auto"/>
                    <w:rPr>
                      <w:rFonts w:hint="default"/>
                      <w:bCs/>
                      <w:kern w:val="0"/>
                      <w:sz w:val="18"/>
                      <w:szCs w:val="18"/>
                      <w:highlight w:val="none"/>
                    </w:rPr>
                  </w:pPr>
                </w:p>
              </w:tc>
              <w:tc>
                <w:tcPr>
                  <w:tcW w:w="404" w:type="pct"/>
                  <w:vMerge w:val="continue"/>
                  <w:tcBorders>
                    <w:left w:val="single" w:color="auto" w:sz="4" w:space="0"/>
                    <w:right w:val="single" w:color="auto" w:sz="4" w:space="0"/>
                  </w:tcBorders>
                  <w:vAlign w:val="center"/>
                </w:tcPr>
                <w:p w14:paraId="5BE4A2C8">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64" w:lineRule="auto"/>
                    <w:ind w:left="0" w:right="0"/>
                    <w:jc w:val="center"/>
                    <w:textAlignment w:val="auto"/>
                    <w:rPr>
                      <w:rFonts w:hint="default"/>
                      <w:bCs/>
                      <w:kern w:val="0"/>
                      <w:sz w:val="18"/>
                      <w:szCs w:val="18"/>
                      <w:highlight w:val="none"/>
                    </w:rPr>
                  </w:pPr>
                </w:p>
              </w:tc>
              <w:tc>
                <w:tcPr>
                  <w:tcW w:w="593" w:type="pct"/>
                  <w:tcBorders>
                    <w:top w:val="single" w:color="auto" w:sz="4" w:space="0"/>
                    <w:left w:val="single" w:color="auto" w:sz="4" w:space="0"/>
                    <w:bottom w:val="single" w:color="auto" w:sz="4" w:space="0"/>
                    <w:right w:val="single" w:color="auto" w:sz="4" w:space="0"/>
                  </w:tcBorders>
                  <w:vAlign w:val="center"/>
                </w:tcPr>
                <w:p w14:paraId="31882FA0">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64" w:lineRule="auto"/>
                    <w:ind w:left="0" w:right="0"/>
                    <w:jc w:val="center"/>
                    <w:textAlignment w:val="auto"/>
                    <w:rPr>
                      <w:rFonts w:hint="default"/>
                      <w:bCs/>
                      <w:kern w:val="0"/>
                      <w:sz w:val="18"/>
                      <w:szCs w:val="18"/>
                      <w:highlight w:val="none"/>
                    </w:rPr>
                  </w:pPr>
                  <w:r>
                    <w:rPr>
                      <w:rFonts w:hint="default"/>
                      <w:bCs/>
                      <w:kern w:val="0"/>
                      <w:sz w:val="18"/>
                      <w:szCs w:val="18"/>
                      <w:highlight w:val="none"/>
                    </w:rPr>
                    <w:t>臭气浓度</w:t>
                  </w:r>
                </w:p>
              </w:tc>
              <w:tc>
                <w:tcPr>
                  <w:tcW w:w="357" w:type="pct"/>
                  <w:tcBorders>
                    <w:top w:val="single" w:color="auto" w:sz="4" w:space="0"/>
                    <w:left w:val="single" w:color="auto" w:sz="4" w:space="0"/>
                    <w:bottom w:val="single" w:color="auto" w:sz="4" w:space="0"/>
                    <w:right w:val="single" w:color="auto" w:sz="4" w:space="0"/>
                  </w:tcBorders>
                  <w:vAlign w:val="center"/>
                </w:tcPr>
                <w:p w14:paraId="3D83B86C">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64" w:lineRule="auto"/>
                    <w:ind w:left="0" w:right="0"/>
                    <w:jc w:val="center"/>
                    <w:textAlignment w:val="auto"/>
                    <w:rPr>
                      <w:rFonts w:hint="default"/>
                      <w:bCs/>
                      <w:kern w:val="0"/>
                      <w:sz w:val="18"/>
                      <w:szCs w:val="18"/>
                      <w:highlight w:val="none"/>
                    </w:rPr>
                  </w:pPr>
                  <w:r>
                    <w:rPr>
                      <w:rFonts w:hint="default"/>
                      <w:bCs/>
                      <w:kern w:val="0"/>
                      <w:sz w:val="18"/>
                      <w:szCs w:val="18"/>
                      <w:highlight w:val="none"/>
                    </w:rPr>
                    <w:t>/</w:t>
                  </w:r>
                </w:p>
              </w:tc>
              <w:tc>
                <w:tcPr>
                  <w:tcW w:w="357" w:type="pct"/>
                  <w:tcBorders>
                    <w:top w:val="single" w:color="auto" w:sz="4" w:space="0"/>
                    <w:left w:val="single" w:color="auto" w:sz="4" w:space="0"/>
                    <w:bottom w:val="single" w:color="auto" w:sz="4" w:space="0"/>
                    <w:right w:val="single" w:color="auto" w:sz="4" w:space="0"/>
                  </w:tcBorders>
                  <w:vAlign w:val="center"/>
                </w:tcPr>
                <w:p w14:paraId="5BD05630">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64" w:lineRule="auto"/>
                    <w:ind w:left="0" w:right="0"/>
                    <w:jc w:val="center"/>
                    <w:textAlignment w:val="auto"/>
                    <w:rPr>
                      <w:rFonts w:hint="default"/>
                      <w:bCs/>
                      <w:kern w:val="0"/>
                      <w:sz w:val="18"/>
                      <w:szCs w:val="18"/>
                      <w:highlight w:val="none"/>
                    </w:rPr>
                  </w:pPr>
                  <w:r>
                    <w:rPr>
                      <w:rFonts w:hint="default"/>
                      <w:bCs/>
                      <w:kern w:val="0"/>
                      <w:sz w:val="18"/>
                      <w:szCs w:val="18"/>
                      <w:highlight w:val="none"/>
                    </w:rPr>
                    <w:t>/</w:t>
                  </w:r>
                </w:p>
              </w:tc>
              <w:tc>
                <w:tcPr>
                  <w:tcW w:w="404" w:type="pct"/>
                  <w:vMerge w:val="continue"/>
                  <w:tcBorders>
                    <w:left w:val="single" w:color="auto" w:sz="4" w:space="0"/>
                    <w:right w:val="single" w:color="auto" w:sz="4" w:space="0"/>
                  </w:tcBorders>
                  <w:vAlign w:val="center"/>
                </w:tcPr>
                <w:p w14:paraId="0F9D4669">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64" w:lineRule="auto"/>
                    <w:ind w:left="0" w:right="0"/>
                    <w:jc w:val="center"/>
                    <w:textAlignment w:val="auto"/>
                    <w:rPr>
                      <w:rFonts w:hint="default"/>
                      <w:bCs/>
                      <w:kern w:val="0"/>
                      <w:sz w:val="18"/>
                      <w:szCs w:val="18"/>
                      <w:highlight w:val="none"/>
                    </w:rPr>
                  </w:pPr>
                </w:p>
              </w:tc>
              <w:tc>
                <w:tcPr>
                  <w:tcW w:w="383" w:type="pct"/>
                  <w:vMerge w:val="continue"/>
                  <w:tcBorders>
                    <w:left w:val="single" w:color="auto" w:sz="4" w:space="0"/>
                    <w:right w:val="single" w:color="auto" w:sz="4" w:space="0"/>
                  </w:tcBorders>
                  <w:vAlign w:val="center"/>
                </w:tcPr>
                <w:p w14:paraId="0D4F3040">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64" w:lineRule="auto"/>
                    <w:ind w:left="0" w:right="0"/>
                    <w:jc w:val="center"/>
                    <w:textAlignment w:val="auto"/>
                    <w:rPr>
                      <w:rFonts w:hint="default"/>
                      <w:bCs/>
                      <w:kern w:val="0"/>
                      <w:sz w:val="18"/>
                      <w:szCs w:val="18"/>
                      <w:highlight w:val="none"/>
                    </w:rPr>
                  </w:pPr>
                </w:p>
              </w:tc>
              <w:tc>
                <w:tcPr>
                  <w:tcW w:w="240" w:type="pct"/>
                  <w:vMerge w:val="continue"/>
                  <w:tcBorders>
                    <w:left w:val="single" w:color="auto" w:sz="4" w:space="0"/>
                    <w:right w:val="single" w:color="auto" w:sz="4" w:space="0"/>
                  </w:tcBorders>
                  <w:vAlign w:val="center"/>
                </w:tcPr>
                <w:p w14:paraId="746C6E2C">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64" w:lineRule="auto"/>
                    <w:ind w:left="0" w:right="0"/>
                    <w:jc w:val="center"/>
                    <w:textAlignment w:val="auto"/>
                    <w:rPr>
                      <w:rFonts w:hint="default"/>
                      <w:bCs/>
                      <w:kern w:val="0"/>
                      <w:sz w:val="18"/>
                      <w:szCs w:val="18"/>
                      <w:highlight w:val="none"/>
                    </w:rPr>
                  </w:pPr>
                </w:p>
              </w:tc>
              <w:tc>
                <w:tcPr>
                  <w:tcW w:w="317" w:type="pct"/>
                  <w:vMerge w:val="continue"/>
                  <w:tcBorders>
                    <w:left w:val="single" w:color="auto" w:sz="4" w:space="0"/>
                    <w:right w:val="single" w:color="auto" w:sz="4" w:space="0"/>
                  </w:tcBorders>
                  <w:vAlign w:val="center"/>
                </w:tcPr>
                <w:p w14:paraId="1F703117">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64" w:lineRule="auto"/>
                    <w:ind w:left="0" w:right="0"/>
                    <w:jc w:val="center"/>
                    <w:textAlignment w:val="auto"/>
                    <w:rPr>
                      <w:rFonts w:hint="default"/>
                      <w:bCs/>
                      <w:kern w:val="0"/>
                      <w:sz w:val="18"/>
                      <w:szCs w:val="18"/>
                      <w:highlight w:val="none"/>
                    </w:rPr>
                  </w:pPr>
                </w:p>
              </w:tc>
              <w:tc>
                <w:tcPr>
                  <w:tcW w:w="380" w:type="pct"/>
                  <w:tcBorders>
                    <w:top w:val="single" w:color="auto" w:sz="4" w:space="0"/>
                    <w:left w:val="single" w:color="auto" w:sz="4" w:space="0"/>
                    <w:bottom w:val="single" w:color="auto" w:sz="4" w:space="0"/>
                    <w:right w:val="single" w:color="auto" w:sz="4" w:space="0"/>
                  </w:tcBorders>
                  <w:vAlign w:val="center"/>
                </w:tcPr>
                <w:p w14:paraId="2A3EF017">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64" w:lineRule="auto"/>
                    <w:ind w:left="0" w:right="0"/>
                    <w:jc w:val="center"/>
                    <w:textAlignment w:val="auto"/>
                    <w:rPr>
                      <w:rFonts w:hint="default"/>
                      <w:bCs/>
                      <w:kern w:val="0"/>
                      <w:sz w:val="18"/>
                      <w:szCs w:val="18"/>
                      <w:highlight w:val="none"/>
                    </w:rPr>
                  </w:pPr>
                  <w:r>
                    <w:rPr>
                      <w:rFonts w:hint="default"/>
                      <w:bCs/>
                      <w:kern w:val="0"/>
                      <w:sz w:val="18"/>
                      <w:szCs w:val="18"/>
                      <w:highlight w:val="none"/>
                    </w:rPr>
                    <w:t>/</w:t>
                  </w:r>
                </w:p>
              </w:tc>
              <w:tc>
                <w:tcPr>
                  <w:tcW w:w="362" w:type="pct"/>
                  <w:tcBorders>
                    <w:top w:val="single" w:color="auto" w:sz="4" w:space="0"/>
                    <w:left w:val="single" w:color="auto" w:sz="4" w:space="0"/>
                    <w:bottom w:val="single" w:color="auto" w:sz="4" w:space="0"/>
                    <w:right w:val="single" w:color="auto" w:sz="4" w:space="0"/>
                  </w:tcBorders>
                  <w:vAlign w:val="center"/>
                </w:tcPr>
                <w:p w14:paraId="4000A5D2">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64" w:lineRule="auto"/>
                    <w:ind w:left="0" w:right="0"/>
                    <w:jc w:val="center"/>
                    <w:textAlignment w:val="auto"/>
                    <w:rPr>
                      <w:rFonts w:hint="default"/>
                      <w:bCs/>
                      <w:kern w:val="0"/>
                      <w:sz w:val="18"/>
                      <w:szCs w:val="18"/>
                      <w:highlight w:val="none"/>
                    </w:rPr>
                  </w:pPr>
                  <w:r>
                    <w:rPr>
                      <w:rFonts w:hint="default"/>
                      <w:bCs/>
                      <w:kern w:val="0"/>
                      <w:sz w:val="18"/>
                      <w:szCs w:val="18"/>
                      <w:highlight w:val="none"/>
                    </w:rPr>
                    <w:t>/</w:t>
                  </w:r>
                </w:p>
              </w:tc>
              <w:tc>
                <w:tcPr>
                  <w:tcW w:w="340" w:type="pct"/>
                  <w:vMerge w:val="continue"/>
                  <w:tcBorders>
                    <w:left w:val="single" w:color="auto" w:sz="4" w:space="0"/>
                    <w:right w:val="single" w:color="auto" w:sz="4" w:space="0"/>
                  </w:tcBorders>
                  <w:vAlign w:val="center"/>
                </w:tcPr>
                <w:p w14:paraId="076ED7A8">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64" w:lineRule="auto"/>
                    <w:ind w:left="0" w:right="0"/>
                    <w:jc w:val="center"/>
                    <w:textAlignment w:val="auto"/>
                    <w:rPr>
                      <w:rFonts w:hint="default"/>
                      <w:bCs/>
                      <w:kern w:val="0"/>
                      <w:sz w:val="18"/>
                      <w:szCs w:val="18"/>
                      <w:highlight w:val="none"/>
                    </w:rPr>
                  </w:pPr>
                </w:p>
              </w:tc>
              <w:tc>
                <w:tcPr>
                  <w:tcW w:w="255" w:type="pct"/>
                  <w:vMerge w:val="continue"/>
                  <w:tcBorders>
                    <w:left w:val="single" w:color="auto" w:sz="4" w:space="0"/>
                    <w:right w:val="single" w:color="auto" w:sz="4" w:space="0"/>
                  </w:tcBorders>
                  <w:vAlign w:val="center"/>
                </w:tcPr>
                <w:p w14:paraId="48BDA327">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64" w:lineRule="auto"/>
                    <w:ind w:left="0" w:right="0"/>
                    <w:jc w:val="center"/>
                    <w:textAlignment w:val="auto"/>
                    <w:rPr>
                      <w:rFonts w:hint="default"/>
                      <w:bCs/>
                      <w:kern w:val="0"/>
                      <w:sz w:val="18"/>
                      <w:szCs w:val="18"/>
                      <w:highlight w:val="none"/>
                    </w:rPr>
                  </w:pPr>
                </w:p>
              </w:tc>
            </w:tr>
            <w:tr w14:paraId="3F62455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jc w:val="center"/>
              </w:trPr>
              <w:tc>
                <w:tcPr>
                  <w:tcW w:w="603" w:type="pct"/>
                  <w:gridSpan w:val="2"/>
                  <w:vMerge w:val="continue"/>
                  <w:tcBorders>
                    <w:left w:val="single" w:color="auto" w:sz="4" w:space="0"/>
                    <w:right w:val="single" w:color="auto" w:sz="4" w:space="0"/>
                  </w:tcBorders>
                  <w:vAlign w:val="center"/>
                </w:tcPr>
                <w:p w14:paraId="75DBCFB2">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64" w:lineRule="auto"/>
                    <w:ind w:left="0" w:right="0"/>
                    <w:jc w:val="center"/>
                    <w:textAlignment w:val="auto"/>
                    <w:rPr>
                      <w:rFonts w:hint="default"/>
                      <w:bCs/>
                      <w:kern w:val="0"/>
                      <w:sz w:val="18"/>
                      <w:szCs w:val="18"/>
                      <w:highlight w:val="none"/>
                    </w:rPr>
                  </w:pPr>
                </w:p>
              </w:tc>
              <w:tc>
                <w:tcPr>
                  <w:tcW w:w="404" w:type="pct"/>
                  <w:vMerge w:val="continue"/>
                  <w:tcBorders>
                    <w:left w:val="single" w:color="auto" w:sz="4" w:space="0"/>
                    <w:right w:val="single" w:color="auto" w:sz="4" w:space="0"/>
                  </w:tcBorders>
                  <w:vAlign w:val="center"/>
                </w:tcPr>
                <w:p w14:paraId="6C23BF03">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64" w:lineRule="auto"/>
                    <w:ind w:left="0" w:right="0"/>
                    <w:jc w:val="center"/>
                    <w:textAlignment w:val="auto"/>
                    <w:rPr>
                      <w:rFonts w:hint="default"/>
                      <w:bCs/>
                      <w:kern w:val="0"/>
                      <w:sz w:val="18"/>
                      <w:szCs w:val="18"/>
                      <w:highlight w:val="none"/>
                    </w:rPr>
                  </w:pPr>
                </w:p>
              </w:tc>
              <w:tc>
                <w:tcPr>
                  <w:tcW w:w="593" w:type="pct"/>
                  <w:tcBorders>
                    <w:top w:val="single" w:color="auto" w:sz="4" w:space="0"/>
                    <w:left w:val="single" w:color="auto" w:sz="4" w:space="0"/>
                    <w:bottom w:val="single" w:color="auto" w:sz="4" w:space="0"/>
                    <w:right w:val="single" w:color="auto" w:sz="4" w:space="0"/>
                  </w:tcBorders>
                  <w:vAlign w:val="center"/>
                </w:tcPr>
                <w:p w14:paraId="61F2AC7E">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64" w:lineRule="auto"/>
                    <w:ind w:left="0" w:right="0"/>
                    <w:jc w:val="center"/>
                    <w:textAlignment w:val="auto"/>
                    <w:rPr>
                      <w:rFonts w:hint="default" w:eastAsia="宋体"/>
                      <w:bCs/>
                      <w:kern w:val="0"/>
                      <w:sz w:val="18"/>
                      <w:szCs w:val="18"/>
                      <w:highlight w:val="none"/>
                      <w:lang w:val="en-US" w:eastAsia="zh-CN"/>
                    </w:rPr>
                  </w:pPr>
                  <w:r>
                    <w:rPr>
                      <w:rFonts w:hint="eastAsia"/>
                      <w:bCs/>
                      <w:kern w:val="0"/>
                      <w:sz w:val="18"/>
                      <w:szCs w:val="18"/>
                      <w:highlight w:val="none"/>
                      <w:lang w:val="en-US" w:eastAsia="zh-CN"/>
                    </w:rPr>
                    <w:t>颗粒物</w:t>
                  </w:r>
                </w:p>
              </w:tc>
              <w:tc>
                <w:tcPr>
                  <w:tcW w:w="714" w:type="pct"/>
                  <w:gridSpan w:val="2"/>
                  <w:tcBorders>
                    <w:top w:val="single" w:color="auto" w:sz="4" w:space="0"/>
                    <w:left w:val="single" w:color="auto" w:sz="4" w:space="0"/>
                    <w:bottom w:val="single" w:color="auto" w:sz="4" w:space="0"/>
                    <w:right w:val="single" w:color="auto" w:sz="4" w:space="0"/>
                  </w:tcBorders>
                  <w:vAlign w:val="center"/>
                </w:tcPr>
                <w:p w14:paraId="126B0F7D">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64" w:lineRule="auto"/>
                    <w:ind w:left="0" w:right="0"/>
                    <w:jc w:val="center"/>
                    <w:textAlignment w:val="auto"/>
                    <w:rPr>
                      <w:rFonts w:hint="eastAsia" w:eastAsia="宋体"/>
                      <w:bCs/>
                      <w:kern w:val="0"/>
                      <w:sz w:val="18"/>
                      <w:szCs w:val="18"/>
                      <w:highlight w:val="none"/>
                      <w:lang w:val="en-US" w:eastAsia="zh-CN"/>
                    </w:rPr>
                  </w:pPr>
                  <w:r>
                    <w:rPr>
                      <w:rFonts w:hint="eastAsia"/>
                      <w:bCs/>
                      <w:kern w:val="0"/>
                      <w:sz w:val="18"/>
                      <w:szCs w:val="18"/>
                      <w:highlight w:val="none"/>
                      <w:lang w:val="en-US" w:eastAsia="zh-CN"/>
                    </w:rPr>
                    <w:t>少量</w:t>
                  </w:r>
                </w:p>
              </w:tc>
              <w:tc>
                <w:tcPr>
                  <w:tcW w:w="404" w:type="pct"/>
                  <w:vMerge w:val="continue"/>
                  <w:tcBorders>
                    <w:left w:val="single" w:color="auto" w:sz="4" w:space="0"/>
                    <w:right w:val="single" w:color="auto" w:sz="4" w:space="0"/>
                  </w:tcBorders>
                  <w:vAlign w:val="center"/>
                </w:tcPr>
                <w:p w14:paraId="496FA4EB">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64" w:lineRule="auto"/>
                    <w:ind w:left="0" w:right="0"/>
                    <w:jc w:val="center"/>
                    <w:textAlignment w:val="auto"/>
                    <w:rPr>
                      <w:rFonts w:hint="default"/>
                      <w:bCs/>
                      <w:kern w:val="0"/>
                      <w:sz w:val="18"/>
                      <w:szCs w:val="18"/>
                      <w:highlight w:val="none"/>
                    </w:rPr>
                  </w:pPr>
                </w:p>
              </w:tc>
              <w:tc>
                <w:tcPr>
                  <w:tcW w:w="383" w:type="pct"/>
                  <w:vMerge w:val="continue"/>
                  <w:tcBorders>
                    <w:left w:val="single" w:color="auto" w:sz="4" w:space="0"/>
                    <w:right w:val="single" w:color="auto" w:sz="4" w:space="0"/>
                  </w:tcBorders>
                  <w:vAlign w:val="center"/>
                </w:tcPr>
                <w:p w14:paraId="7C8FF038">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64" w:lineRule="auto"/>
                    <w:ind w:left="0" w:right="0"/>
                    <w:jc w:val="center"/>
                    <w:textAlignment w:val="auto"/>
                    <w:rPr>
                      <w:rFonts w:hint="default"/>
                      <w:bCs/>
                      <w:kern w:val="0"/>
                      <w:sz w:val="18"/>
                      <w:szCs w:val="18"/>
                      <w:highlight w:val="none"/>
                    </w:rPr>
                  </w:pPr>
                </w:p>
              </w:tc>
              <w:tc>
                <w:tcPr>
                  <w:tcW w:w="240" w:type="pct"/>
                  <w:vMerge w:val="continue"/>
                  <w:tcBorders>
                    <w:left w:val="single" w:color="auto" w:sz="4" w:space="0"/>
                    <w:right w:val="single" w:color="auto" w:sz="4" w:space="0"/>
                  </w:tcBorders>
                  <w:vAlign w:val="center"/>
                </w:tcPr>
                <w:p w14:paraId="5E853EC9">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64" w:lineRule="auto"/>
                    <w:ind w:left="0" w:right="0"/>
                    <w:jc w:val="center"/>
                    <w:textAlignment w:val="auto"/>
                    <w:rPr>
                      <w:rFonts w:hint="default"/>
                      <w:bCs/>
                      <w:kern w:val="0"/>
                      <w:sz w:val="18"/>
                      <w:szCs w:val="18"/>
                      <w:highlight w:val="none"/>
                    </w:rPr>
                  </w:pPr>
                </w:p>
              </w:tc>
              <w:tc>
                <w:tcPr>
                  <w:tcW w:w="317" w:type="pct"/>
                  <w:vMerge w:val="continue"/>
                  <w:tcBorders>
                    <w:left w:val="single" w:color="auto" w:sz="4" w:space="0"/>
                    <w:right w:val="single" w:color="auto" w:sz="4" w:space="0"/>
                  </w:tcBorders>
                  <w:vAlign w:val="center"/>
                </w:tcPr>
                <w:p w14:paraId="3D9C103D">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64" w:lineRule="auto"/>
                    <w:ind w:left="0" w:right="0"/>
                    <w:jc w:val="center"/>
                    <w:textAlignment w:val="auto"/>
                    <w:rPr>
                      <w:rFonts w:hint="default"/>
                      <w:bCs/>
                      <w:kern w:val="0"/>
                      <w:sz w:val="18"/>
                      <w:szCs w:val="18"/>
                      <w:highlight w:val="none"/>
                    </w:rPr>
                  </w:pPr>
                </w:p>
              </w:tc>
              <w:tc>
                <w:tcPr>
                  <w:tcW w:w="743" w:type="pct"/>
                  <w:gridSpan w:val="2"/>
                  <w:tcBorders>
                    <w:top w:val="single" w:color="auto" w:sz="4" w:space="0"/>
                    <w:left w:val="single" w:color="auto" w:sz="4" w:space="0"/>
                    <w:bottom w:val="single" w:color="auto" w:sz="4" w:space="0"/>
                    <w:right w:val="single" w:color="auto" w:sz="4" w:space="0"/>
                  </w:tcBorders>
                  <w:vAlign w:val="center"/>
                </w:tcPr>
                <w:p w14:paraId="213DAA9A">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64" w:lineRule="auto"/>
                    <w:ind w:left="0" w:right="0"/>
                    <w:jc w:val="center"/>
                    <w:textAlignment w:val="auto"/>
                    <w:rPr>
                      <w:rFonts w:hint="default"/>
                      <w:bCs/>
                      <w:kern w:val="0"/>
                      <w:sz w:val="18"/>
                      <w:szCs w:val="18"/>
                      <w:highlight w:val="none"/>
                    </w:rPr>
                  </w:pPr>
                  <w:r>
                    <w:rPr>
                      <w:rFonts w:hint="eastAsia"/>
                      <w:bCs/>
                      <w:kern w:val="0"/>
                      <w:sz w:val="18"/>
                      <w:szCs w:val="18"/>
                      <w:highlight w:val="none"/>
                      <w:lang w:val="en-US" w:eastAsia="zh-CN"/>
                    </w:rPr>
                    <w:t>少量</w:t>
                  </w:r>
                </w:p>
              </w:tc>
              <w:tc>
                <w:tcPr>
                  <w:tcW w:w="340" w:type="pct"/>
                  <w:vMerge w:val="continue"/>
                  <w:tcBorders>
                    <w:left w:val="single" w:color="auto" w:sz="4" w:space="0"/>
                    <w:right w:val="single" w:color="auto" w:sz="4" w:space="0"/>
                  </w:tcBorders>
                  <w:vAlign w:val="center"/>
                </w:tcPr>
                <w:p w14:paraId="6F55B7D7">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64" w:lineRule="auto"/>
                    <w:ind w:left="0" w:right="0"/>
                    <w:jc w:val="center"/>
                    <w:textAlignment w:val="auto"/>
                    <w:rPr>
                      <w:rFonts w:hint="default"/>
                      <w:bCs/>
                      <w:kern w:val="0"/>
                      <w:sz w:val="18"/>
                      <w:szCs w:val="18"/>
                      <w:highlight w:val="none"/>
                    </w:rPr>
                  </w:pPr>
                </w:p>
              </w:tc>
              <w:tc>
                <w:tcPr>
                  <w:tcW w:w="255" w:type="pct"/>
                  <w:vMerge w:val="continue"/>
                  <w:tcBorders>
                    <w:left w:val="single" w:color="auto" w:sz="4" w:space="0"/>
                    <w:right w:val="single" w:color="auto" w:sz="4" w:space="0"/>
                  </w:tcBorders>
                  <w:vAlign w:val="center"/>
                </w:tcPr>
                <w:p w14:paraId="07EEC37B">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64" w:lineRule="auto"/>
                    <w:ind w:left="0" w:right="0"/>
                    <w:jc w:val="center"/>
                    <w:textAlignment w:val="auto"/>
                    <w:rPr>
                      <w:rFonts w:hint="default"/>
                      <w:bCs/>
                      <w:kern w:val="0"/>
                      <w:sz w:val="18"/>
                      <w:szCs w:val="18"/>
                      <w:highlight w:val="none"/>
                    </w:rPr>
                  </w:pPr>
                </w:p>
              </w:tc>
            </w:tr>
            <w:tr w14:paraId="2E6C35B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jc w:val="center"/>
              </w:trPr>
              <w:tc>
                <w:tcPr>
                  <w:tcW w:w="603" w:type="pct"/>
                  <w:gridSpan w:val="2"/>
                  <w:vMerge w:val="continue"/>
                  <w:tcBorders>
                    <w:left w:val="single" w:color="auto" w:sz="4" w:space="0"/>
                    <w:right w:val="single" w:color="auto" w:sz="4" w:space="0"/>
                  </w:tcBorders>
                  <w:vAlign w:val="center"/>
                </w:tcPr>
                <w:p w14:paraId="7F5AEABE">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64" w:lineRule="auto"/>
                    <w:ind w:left="0" w:right="0"/>
                    <w:jc w:val="center"/>
                    <w:textAlignment w:val="auto"/>
                    <w:rPr>
                      <w:rFonts w:hint="default"/>
                      <w:bCs/>
                      <w:kern w:val="0"/>
                      <w:sz w:val="18"/>
                      <w:szCs w:val="18"/>
                      <w:highlight w:val="none"/>
                    </w:rPr>
                  </w:pPr>
                </w:p>
              </w:tc>
              <w:tc>
                <w:tcPr>
                  <w:tcW w:w="404" w:type="pct"/>
                  <w:tcBorders>
                    <w:top w:val="single" w:color="auto" w:sz="4" w:space="0"/>
                    <w:left w:val="single" w:color="auto" w:sz="4" w:space="0"/>
                    <w:bottom w:val="single" w:color="auto" w:sz="4" w:space="0"/>
                    <w:right w:val="single" w:color="auto" w:sz="4" w:space="0"/>
                  </w:tcBorders>
                  <w:vAlign w:val="center"/>
                </w:tcPr>
                <w:p w14:paraId="0C92B06E">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64" w:lineRule="auto"/>
                    <w:ind w:left="0" w:right="0"/>
                    <w:jc w:val="center"/>
                    <w:textAlignment w:val="auto"/>
                    <w:rPr>
                      <w:rFonts w:hint="default"/>
                      <w:bCs/>
                      <w:kern w:val="0"/>
                      <w:sz w:val="18"/>
                      <w:szCs w:val="18"/>
                      <w:highlight w:val="none"/>
                    </w:rPr>
                  </w:pPr>
                  <w:r>
                    <w:rPr>
                      <w:rFonts w:hint="eastAsia"/>
                      <w:bCs/>
                      <w:kern w:val="0"/>
                      <w:sz w:val="18"/>
                      <w:szCs w:val="18"/>
                      <w:highlight w:val="none"/>
                      <w:lang w:val="en-US" w:eastAsia="zh-CN"/>
                    </w:rPr>
                    <w:t>消毒</w:t>
                  </w:r>
                  <w:r>
                    <w:rPr>
                      <w:rFonts w:hint="default"/>
                      <w:bCs/>
                      <w:kern w:val="0"/>
                      <w:sz w:val="18"/>
                      <w:szCs w:val="18"/>
                      <w:highlight w:val="none"/>
                    </w:rPr>
                    <w:t>废气</w:t>
                  </w:r>
                </w:p>
              </w:tc>
              <w:tc>
                <w:tcPr>
                  <w:tcW w:w="593" w:type="pct"/>
                  <w:tcBorders>
                    <w:top w:val="single" w:color="auto" w:sz="4" w:space="0"/>
                    <w:left w:val="single" w:color="auto" w:sz="4" w:space="0"/>
                    <w:bottom w:val="single" w:color="auto" w:sz="4" w:space="0"/>
                    <w:right w:val="single" w:color="auto" w:sz="4" w:space="0"/>
                  </w:tcBorders>
                  <w:vAlign w:val="center"/>
                </w:tcPr>
                <w:p w14:paraId="299433FB">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64" w:lineRule="auto"/>
                    <w:ind w:left="0" w:right="0"/>
                    <w:jc w:val="center"/>
                    <w:textAlignment w:val="auto"/>
                    <w:rPr>
                      <w:rFonts w:hint="default"/>
                      <w:bCs/>
                      <w:kern w:val="0"/>
                      <w:sz w:val="18"/>
                      <w:szCs w:val="18"/>
                      <w:highlight w:val="none"/>
                    </w:rPr>
                  </w:pPr>
                  <w:r>
                    <w:rPr>
                      <w:rFonts w:hint="default"/>
                      <w:bCs/>
                      <w:kern w:val="0"/>
                      <w:sz w:val="18"/>
                      <w:szCs w:val="18"/>
                      <w:highlight w:val="none"/>
                    </w:rPr>
                    <w:t>非甲烷总烃</w:t>
                  </w:r>
                </w:p>
              </w:tc>
              <w:tc>
                <w:tcPr>
                  <w:tcW w:w="357" w:type="pct"/>
                  <w:tcBorders>
                    <w:top w:val="single" w:color="auto" w:sz="4" w:space="0"/>
                    <w:left w:val="single" w:color="auto" w:sz="4" w:space="0"/>
                    <w:bottom w:val="single" w:color="auto" w:sz="4" w:space="0"/>
                    <w:right w:val="single" w:color="auto" w:sz="4" w:space="0"/>
                  </w:tcBorders>
                  <w:vAlign w:val="center"/>
                </w:tcPr>
                <w:p w14:paraId="15AF7D67">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64" w:lineRule="auto"/>
                    <w:ind w:left="0" w:right="0"/>
                    <w:jc w:val="center"/>
                    <w:textAlignment w:val="auto"/>
                    <w:rPr>
                      <w:rFonts w:hint="default"/>
                      <w:bCs/>
                      <w:kern w:val="0"/>
                      <w:sz w:val="18"/>
                      <w:szCs w:val="18"/>
                      <w:highlight w:val="none"/>
                    </w:rPr>
                  </w:pPr>
                  <w:r>
                    <w:rPr>
                      <w:rFonts w:hint="default"/>
                      <w:bCs/>
                      <w:kern w:val="0"/>
                      <w:sz w:val="18"/>
                      <w:szCs w:val="18"/>
                      <w:highlight w:val="none"/>
                    </w:rPr>
                    <w:t>0.0</w:t>
                  </w:r>
                  <w:r>
                    <w:rPr>
                      <w:rFonts w:hint="eastAsia"/>
                      <w:bCs/>
                      <w:kern w:val="0"/>
                      <w:sz w:val="18"/>
                      <w:szCs w:val="18"/>
                      <w:highlight w:val="none"/>
                      <w:lang w:val="en-US" w:eastAsia="zh-CN"/>
                    </w:rPr>
                    <w:t>1</w:t>
                  </w:r>
                  <w:r>
                    <w:rPr>
                      <w:rFonts w:hint="default"/>
                      <w:bCs/>
                      <w:kern w:val="0"/>
                      <w:sz w:val="18"/>
                      <w:szCs w:val="18"/>
                      <w:highlight w:val="none"/>
                    </w:rPr>
                    <w:t>3</w:t>
                  </w:r>
                </w:p>
              </w:tc>
              <w:tc>
                <w:tcPr>
                  <w:tcW w:w="357" w:type="pct"/>
                  <w:tcBorders>
                    <w:top w:val="single" w:color="auto" w:sz="4" w:space="0"/>
                    <w:left w:val="single" w:color="auto" w:sz="4" w:space="0"/>
                    <w:bottom w:val="single" w:color="auto" w:sz="4" w:space="0"/>
                    <w:right w:val="single" w:color="auto" w:sz="4" w:space="0"/>
                  </w:tcBorders>
                  <w:vAlign w:val="center"/>
                </w:tcPr>
                <w:p w14:paraId="3836DBA9">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64" w:lineRule="auto"/>
                    <w:ind w:left="0" w:right="0"/>
                    <w:jc w:val="center"/>
                    <w:textAlignment w:val="auto"/>
                    <w:rPr>
                      <w:rFonts w:hint="default" w:eastAsia="宋体"/>
                      <w:bCs/>
                      <w:kern w:val="0"/>
                      <w:sz w:val="18"/>
                      <w:szCs w:val="18"/>
                      <w:highlight w:val="none"/>
                      <w:lang w:val="en-US" w:eastAsia="zh-CN"/>
                    </w:rPr>
                  </w:pPr>
                  <w:r>
                    <w:rPr>
                      <w:rFonts w:hint="eastAsia"/>
                      <w:bCs/>
                      <w:kern w:val="0"/>
                      <w:sz w:val="18"/>
                      <w:szCs w:val="18"/>
                      <w:highlight w:val="none"/>
                      <w:lang w:val="en-US" w:eastAsia="zh-CN"/>
                    </w:rPr>
                    <w:t>0.013</w:t>
                  </w:r>
                </w:p>
              </w:tc>
              <w:tc>
                <w:tcPr>
                  <w:tcW w:w="404" w:type="pct"/>
                  <w:vMerge w:val="continue"/>
                  <w:tcBorders>
                    <w:left w:val="single" w:color="auto" w:sz="4" w:space="0"/>
                    <w:right w:val="single" w:color="auto" w:sz="4" w:space="0"/>
                  </w:tcBorders>
                  <w:vAlign w:val="center"/>
                </w:tcPr>
                <w:p w14:paraId="68878C0E">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64" w:lineRule="auto"/>
                    <w:ind w:left="0" w:right="0"/>
                    <w:jc w:val="center"/>
                    <w:textAlignment w:val="auto"/>
                    <w:rPr>
                      <w:rFonts w:hint="default"/>
                      <w:bCs/>
                      <w:kern w:val="0"/>
                      <w:sz w:val="18"/>
                      <w:szCs w:val="18"/>
                      <w:highlight w:val="none"/>
                    </w:rPr>
                  </w:pPr>
                </w:p>
              </w:tc>
              <w:tc>
                <w:tcPr>
                  <w:tcW w:w="383" w:type="pct"/>
                  <w:vMerge w:val="continue"/>
                  <w:tcBorders>
                    <w:left w:val="single" w:color="auto" w:sz="4" w:space="0"/>
                    <w:right w:val="single" w:color="auto" w:sz="4" w:space="0"/>
                  </w:tcBorders>
                  <w:vAlign w:val="center"/>
                </w:tcPr>
                <w:p w14:paraId="1D4273C6">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64" w:lineRule="auto"/>
                    <w:ind w:left="0" w:right="0"/>
                    <w:jc w:val="center"/>
                    <w:textAlignment w:val="auto"/>
                    <w:rPr>
                      <w:rFonts w:hint="default"/>
                      <w:bCs/>
                      <w:kern w:val="0"/>
                      <w:sz w:val="18"/>
                      <w:szCs w:val="18"/>
                      <w:highlight w:val="none"/>
                    </w:rPr>
                  </w:pPr>
                </w:p>
              </w:tc>
              <w:tc>
                <w:tcPr>
                  <w:tcW w:w="240" w:type="pct"/>
                  <w:vMerge w:val="continue"/>
                  <w:tcBorders>
                    <w:left w:val="single" w:color="auto" w:sz="4" w:space="0"/>
                    <w:right w:val="single" w:color="auto" w:sz="4" w:space="0"/>
                  </w:tcBorders>
                  <w:vAlign w:val="center"/>
                </w:tcPr>
                <w:p w14:paraId="7E41417F">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64" w:lineRule="auto"/>
                    <w:ind w:left="0" w:right="0"/>
                    <w:jc w:val="center"/>
                    <w:textAlignment w:val="auto"/>
                    <w:rPr>
                      <w:rFonts w:hint="default"/>
                      <w:bCs/>
                      <w:kern w:val="0"/>
                      <w:sz w:val="18"/>
                      <w:szCs w:val="18"/>
                      <w:highlight w:val="none"/>
                    </w:rPr>
                  </w:pPr>
                </w:p>
              </w:tc>
              <w:tc>
                <w:tcPr>
                  <w:tcW w:w="317" w:type="pct"/>
                  <w:vMerge w:val="continue"/>
                  <w:tcBorders>
                    <w:left w:val="single" w:color="auto" w:sz="4" w:space="0"/>
                    <w:right w:val="single" w:color="auto" w:sz="4" w:space="0"/>
                  </w:tcBorders>
                  <w:vAlign w:val="center"/>
                </w:tcPr>
                <w:p w14:paraId="771CA055">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64" w:lineRule="auto"/>
                    <w:ind w:left="0" w:right="0"/>
                    <w:jc w:val="center"/>
                    <w:textAlignment w:val="auto"/>
                    <w:rPr>
                      <w:rFonts w:hint="default"/>
                      <w:bCs/>
                      <w:kern w:val="0"/>
                      <w:sz w:val="18"/>
                      <w:szCs w:val="18"/>
                      <w:highlight w:val="none"/>
                    </w:rPr>
                  </w:pPr>
                </w:p>
              </w:tc>
              <w:tc>
                <w:tcPr>
                  <w:tcW w:w="380" w:type="pct"/>
                  <w:tcBorders>
                    <w:top w:val="single" w:color="auto" w:sz="4" w:space="0"/>
                    <w:left w:val="single" w:color="auto" w:sz="4" w:space="0"/>
                    <w:bottom w:val="single" w:color="auto" w:sz="4" w:space="0"/>
                    <w:right w:val="single" w:color="auto" w:sz="4" w:space="0"/>
                  </w:tcBorders>
                  <w:shd w:val="clear" w:color="auto" w:fill="auto"/>
                  <w:vAlign w:val="center"/>
                </w:tcPr>
                <w:p w14:paraId="5F37C791">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64" w:lineRule="auto"/>
                    <w:ind w:left="0" w:right="0"/>
                    <w:jc w:val="center"/>
                    <w:textAlignment w:val="auto"/>
                    <w:rPr>
                      <w:rFonts w:hint="default" w:ascii="Times New Roman" w:hAnsi="Times New Roman" w:eastAsia="宋体" w:cs="Times New Roman"/>
                      <w:bCs/>
                      <w:kern w:val="0"/>
                      <w:sz w:val="18"/>
                      <w:szCs w:val="18"/>
                      <w:highlight w:val="none"/>
                      <w:lang w:val="en-US" w:eastAsia="zh-CN" w:bidi="ar-SA"/>
                    </w:rPr>
                  </w:pPr>
                  <w:r>
                    <w:rPr>
                      <w:rFonts w:hint="default"/>
                      <w:bCs/>
                      <w:kern w:val="0"/>
                      <w:sz w:val="18"/>
                      <w:szCs w:val="18"/>
                      <w:highlight w:val="none"/>
                    </w:rPr>
                    <w:t>0.0</w:t>
                  </w:r>
                  <w:r>
                    <w:rPr>
                      <w:rFonts w:hint="eastAsia"/>
                      <w:bCs/>
                      <w:kern w:val="0"/>
                      <w:sz w:val="18"/>
                      <w:szCs w:val="18"/>
                      <w:highlight w:val="none"/>
                      <w:lang w:val="en-US" w:eastAsia="zh-CN"/>
                    </w:rPr>
                    <w:t>1</w:t>
                  </w:r>
                  <w:r>
                    <w:rPr>
                      <w:rFonts w:hint="default"/>
                      <w:bCs/>
                      <w:kern w:val="0"/>
                      <w:sz w:val="18"/>
                      <w:szCs w:val="18"/>
                      <w:highlight w:val="none"/>
                    </w:rPr>
                    <w:t>3</w:t>
                  </w:r>
                </w:p>
              </w:tc>
              <w:tc>
                <w:tcPr>
                  <w:tcW w:w="362" w:type="pct"/>
                  <w:tcBorders>
                    <w:top w:val="single" w:color="auto" w:sz="4" w:space="0"/>
                    <w:left w:val="single" w:color="auto" w:sz="4" w:space="0"/>
                    <w:bottom w:val="single" w:color="auto" w:sz="4" w:space="0"/>
                    <w:right w:val="single" w:color="auto" w:sz="4" w:space="0"/>
                  </w:tcBorders>
                  <w:shd w:val="clear" w:color="auto" w:fill="auto"/>
                  <w:vAlign w:val="center"/>
                </w:tcPr>
                <w:p w14:paraId="70EFCE26">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64" w:lineRule="auto"/>
                    <w:ind w:left="0" w:right="0"/>
                    <w:jc w:val="center"/>
                    <w:textAlignment w:val="auto"/>
                    <w:rPr>
                      <w:rFonts w:hint="default" w:ascii="Times New Roman" w:hAnsi="Times New Roman" w:eastAsia="宋体" w:cs="Times New Roman"/>
                      <w:bCs/>
                      <w:kern w:val="0"/>
                      <w:sz w:val="18"/>
                      <w:szCs w:val="18"/>
                      <w:highlight w:val="none"/>
                      <w:lang w:val="en-US" w:eastAsia="zh-CN" w:bidi="ar-SA"/>
                    </w:rPr>
                  </w:pPr>
                  <w:r>
                    <w:rPr>
                      <w:rFonts w:hint="eastAsia"/>
                      <w:bCs/>
                      <w:kern w:val="0"/>
                      <w:sz w:val="18"/>
                      <w:szCs w:val="18"/>
                      <w:highlight w:val="none"/>
                      <w:lang w:val="en-US" w:eastAsia="zh-CN"/>
                    </w:rPr>
                    <w:t>0.013</w:t>
                  </w:r>
                </w:p>
              </w:tc>
              <w:tc>
                <w:tcPr>
                  <w:tcW w:w="340" w:type="pct"/>
                  <w:vMerge w:val="continue"/>
                  <w:tcBorders>
                    <w:left w:val="single" w:color="auto" w:sz="4" w:space="0"/>
                    <w:right w:val="single" w:color="auto" w:sz="4" w:space="0"/>
                  </w:tcBorders>
                  <w:vAlign w:val="center"/>
                </w:tcPr>
                <w:p w14:paraId="78FE1A14">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64" w:lineRule="auto"/>
                    <w:ind w:left="0" w:right="0"/>
                    <w:jc w:val="center"/>
                    <w:textAlignment w:val="auto"/>
                    <w:rPr>
                      <w:rFonts w:hint="default"/>
                      <w:bCs/>
                      <w:kern w:val="0"/>
                      <w:sz w:val="18"/>
                      <w:szCs w:val="18"/>
                      <w:highlight w:val="none"/>
                    </w:rPr>
                  </w:pPr>
                </w:p>
              </w:tc>
              <w:tc>
                <w:tcPr>
                  <w:tcW w:w="255" w:type="pct"/>
                  <w:tcBorders>
                    <w:left w:val="single" w:color="auto" w:sz="4" w:space="0"/>
                    <w:right w:val="single" w:color="auto" w:sz="4" w:space="0"/>
                  </w:tcBorders>
                  <w:vAlign w:val="center"/>
                </w:tcPr>
                <w:p w14:paraId="144CCC96">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64" w:lineRule="auto"/>
                    <w:ind w:left="0" w:right="0"/>
                    <w:jc w:val="center"/>
                    <w:textAlignment w:val="auto"/>
                    <w:rPr>
                      <w:rFonts w:hint="default"/>
                      <w:bCs/>
                      <w:kern w:val="0"/>
                      <w:sz w:val="18"/>
                      <w:szCs w:val="18"/>
                      <w:highlight w:val="none"/>
                    </w:rPr>
                  </w:pPr>
                  <w:r>
                    <w:rPr>
                      <w:rFonts w:hint="default"/>
                      <w:bCs/>
                      <w:kern w:val="0"/>
                      <w:sz w:val="18"/>
                      <w:szCs w:val="18"/>
                      <w:highlight w:val="none"/>
                    </w:rPr>
                    <w:t>10</w:t>
                  </w:r>
                  <w:r>
                    <w:rPr>
                      <w:rFonts w:hint="eastAsia"/>
                      <w:bCs/>
                      <w:kern w:val="0"/>
                      <w:sz w:val="18"/>
                      <w:szCs w:val="18"/>
                      <w:highlight w:val="none"/>
                      <w:lang w:val="en-US" w:eastAsia="zh-CN"/>
                    </w:rPr>
                    <w:t>4</w:t>
                  </w:r>
                  <w:r>
                    <w:rPr>
                      <w:rFonts w:hint="default"/>
                      <w:bCs/>
                      <w:kern w:val="0"/>
                      <w:sz w:val="18"/>
                      <w:szCs w:val="18"/>
                      <w:highlight w:val="none"/>
                    </w:rPr>
                    <w:t>0</w:t>
                  </w:r>
                </w:p>
              </w:tc>
            </w:tr>
            <w:tr w14:paraId="17BE062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jc w:val="center"/>
              </w:trPr>
              <w:tc>
                <w:tcPr>
                  <w:tcW w:w="603" w:type="pct"/>
                  <w:gridSpan w:val="2"/>
                  <w:vMerge w:val="continue"/>
                  <w:tcBorders>
                    <w:left w:val="single" w:color="auto" w:sz="4" w:space="0"/>
                    <w:right w:val="single" w:color="auto" w:sz="4" w:space="0"/>
                  </w:tcBorders>
                  <w:vAlign w:val="center"/>
                </w:tcPr>
                <w:p w14:paraId="42F2677D">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64" w:lineRule="auto"/>
                    <w:ind w:left="0" w:right="0"/>
                    <w:jc w:val="center"/>
                    <w:textAlignment w:val="auto"/>
                    <w:rPr>
                      <w:rFonts w:hint="default"/>
                      <w:bCs/>
                      <w:kern w:val="0"/>
                      <w:sz w:val="18"/>
                      <w:szCs w:val="18"/>
                      <w:highlight w:val="none"/>
                    </w:rPr>
                  </w:pPr>
                </w:p>
              </w:tc>
              <w:tc>
                <w:tcPr>
                  <w:tcW w:w="404" w:type="pct"/>
                  <w:tcBorders>
                    <w:top w:val="single" w:color="auto" w:sz="4" w:space="0"/>
                    <w:left w:val="single" w:color="auto" w:sz="4" w:space="0"/>
                    <w:bottom w:val="single" w:color="auto" w:sz="4" w:space="0"/>
                    <w:right w:val="single" w:color="auto" w:sz="4" w:space="0"/>
                  </w:tcBorders>
                  <w:vAlign w:val="center"/>
                </w:tcPr>
                <w:p w14:paraId="22BF5639">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64" w:lineRule="auto"/>
                    <w:ind w:left="0" w:right="0"/>
                    <w:jc w:val="center"/>
                    <w:textAlignment w:val="auto"/>
                    <w:rPr>
                      <w:rFonts w:hint="default"/>
                      <w:bCs/>
                      <w:kern w:val="0"/>
                      <w:sz w:val="18"/>
                      <w:szCs w:val="18"/>
                      <w:highlight w:val="none"/>
                      <w:lang w:val="en-US" w:eastAsia="zh-CN"/>
                    </w:rPr>
                  </w:pPr>
                  <w:r>
                    <w:rPr>
                      <w:rFonts w:hint="eastAsia"/>
                      <w:bCs/>
                      <w:kern w:val="0"/>
                      <w:sz w:val="18"/>
                      <w:szCs w:val="18"/>
                      <w:highlight w:val="none"/>
                      <w:lang w:val="en-US" w:eastAsia="zh-CN"/>
                    </w:rPr>
                    <w:t>解剖废气</w:t>
                  </w:r>
                </w:p>
              </w:tc>
              <w:tc>
                <w:tcPr>
                  <w:tcW w:w="593" w:type="pct"/>
                  <w:tcBorders>
                    <w:top w:val="single" w:color="auto" w:sz="4" w:space="0"/>
                    <w:left w:val="single" w:color="auto" w:sz="4" w:space="0"/>
                    <w:bottom w:val="single" w:color="auto" w:sz="4" w:space="0"/>
                    <w:right w:val="single" w:color="auto" w:sz="4" w:space="0"/>
                  </w:tcBorders>
                  <w:vAlign w:val="center"/>
                </w:tcPr>
                <w:p w14:paraId="70485C62">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64" w:lineRule="auto"/>
                    <w:ind w:left="0" w:right="0"/>
                    <w:jc w:val="center"/>
                    <w:textAlignment w:val="auto"/>
                    <w:rPr>
                      <w:rFonts w:hint="eastAsia" w:eastAsia="宋体"/>
                      <w:bCs/>
                      <w:kern w:val="0"/>
                      <w:sz w:val="18"/>
                      <w:szCs w:val="18"/>
                      <w:highlight w:val="none"/>
                      <w:lang w:val="en-US" w:eastAsia="zh-CN"/>
                    </w:rPr>
                  </w:pPr>
                  <w:r>
                    <w:rPr>
                      <w:rFonts w:hint="eastAsia"/>
                      <w:bCs/>
                      <w:kern w:val="0"/>
                      <w:sz w:val="18"/>
                      <w:szCs w:val="18"/>
                      <w:highlight w:val="none"/>
                      <w:lang w:val="en-US" w:eastAsia="zh-CN"/>
                    </w:rPr>
                    <w:t>甲醛</w:t>
                  </w:r>
                </w:p>
              </w:tc>
              <w:tc>
                <w:tcPr>
                  <w:tcW w:w="357" w:type="pct"/>
                  <w:tcBorders>
                    <w:top w:val="single" w:color="auto" w:sz="4" w:space="0"/>
                    <w:left w:val="single" w:color="auto" w:sz="4" w:space="0"/>
                    <w:bottom w:val="single" w:color="auto" w:sz="4" w:space="0"/>
                    <w:right w:val="single" w:color="auto" w:sz="4" w:space="0"/>
                  </w:tcBorders>
                  <w:vAlign w:val="center"/>
                </w:tcPr>
                <w:p w14:paraId="6D2CF324">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64" w:lineRule="auto"/>
                    <w:ind w:left="0" w:right="0"/>
                    <w:jc w:val="center"/>
                    <w:textAlignment w:val="auto"/>
                    <w:rPr>
                      <w:rFonts w:hint="default" w:eastAsia="宋体"/>
                      <w:bCs/>
                      <w:kern w:val="0"/>
                      <w:sz w:val="18"/>
                      <w:szCs w:val="18"/>
                      <w:highlight w:val="none"/>
                      <w:lang w:val="en-US" w:eastAsia="zh-CN"/>
                    </w:rPr>
                  </w:pPr>
                  <w:r>
                    <w:rPr>
                      <w:rFonts w:hint="eastAsia"/>
                      <w:bCs/>
                      <w:kern w:val="0"/>
                      <w:sz w:val="18"/>
                      <w:szCs w:val="18"/>
                      <w:highlight w:val="none"/>
                      <w:lang w:val="en-US" w:eastAsia="zh-CN"/>
                    </w:rPr>
                    <w:t>0.003</w:t>
                  </w:r>
                </w:p>
              </w:tc>
              <w:tc>
                <w:tcPr>
                  <w:tcW w:w="357" w:type="pct"/>
                  <w:tcBorders>
                    <w:top w:val="single" w:color="auto" w:sz="4" w:space="0"/>
                    <w:left w:val="single" w:color="auto" w:sz="4" w:space="0"/>
                    <w:bottom w:val="single" w:color="auto" w:sz="4" w:space="0"/>
                    <w:right w:val="single" w:color="auto" w:sz="4" w:space="0"/>
                  </w:tcBorders>
                  <w:vAlign w:val="center"/>
                </w:tcPr>
                <w:p w14:paraId="49CA20D1">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64" w:lineRule="auto"/>
                    <w:ind w:left="0" w:right="0"/>
                    <w:jc w:val="center"/>
                    <w:textAlignment w:val="auto"/>
                    <w:rPr>
                      <w:rFonts w:hint="default"/>
                      <w:bCs/>
                      <w:kern w:val="0"/>
                      <w:sz w:val="18"/>
                      <w:szCs w:val="18"/>
                      <w:highlight w:val="none"/>
                    </w:rPr>
                  </w:pPr>
                  <w:r>
                    <w:rPr>
                      <w:rFonts w:hint="eastAsia" w:ascii="Times New Roman" w:hAnsi="Times New Roman" w:eastAsia="宋体" w:cs="Times New Roman"/>
                      <w:i w:val="0"/>
                      <w:iCs w:val="0"/>
                      <w:color w:val="000000"/>
                      <w:kern w:val="0"/>
                      <w:sz w:val="18"/>
                      <w:szCs w:val="18"/>
                      <w:highlight w:val="none"/>
                      <w:u w:val="none"/>
                      <w:lang w:val="en-US" w:eastAsia="zh-CN" w:bidi="ar"/>
                    </w:rPr>
                    <w:t>~</w:t>
                  </w:r>
                  <w:r>
                    <w:rPr>
                      <w:rFonts w:hint="default" w:ascii="Times New Roman" w:hAnsi="Times New Roman" w:eastAsia="宋体" w:cs="Times New Roman"/>
                      <w:i w:val="0"/>
                      <w:iCs w:val="0"/>
                      <w:color w:val="000000"/>
                      <w:kern w:val="0"/>
                      <w:sz w:val="18"/>
                      <w:szCs w:val="18"/>
                      <w:highlight w:val="none"/>
                      <w:u w:val="none"/>
                      <w:lang w:val="en-US" w:eastAsia="zh-CN" w:bidi="ar"/>
                    </w:rPr>
                    <w:t>0</w:t>
                  </w:r>
                </w:p>
              </w:tc>
              <w:tc>
                <w:tcPr>
                  <w:tcW w:w="404" w:type="pct"/>
                  <w:vMerge w:val="continue"/>
                  <w:tcBorders>
                    <w:left w:val="single" w:color="auto" w:sz="4" w:space="0"/>
                    <w:right w:val="single" w:color="auto" w:sz="4" w:space="0"/>
                  </w:tcBorders>
                  <w:vAlign w:val="center"/>
                </w:tcPr>
                <w:p w14:paraId="31BF8F48">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64" w:lineRule="auto"/>
                    <w:ind w:left="0" w:right="0"/>
                    <w:jc w:val="center"/>
                    <w:textAlignment w:val="auto"/>
                    <w:rPr>
                      <w:rFonts w:hint="default"/>
                      <w:bCs/>
                      <w:kern w:val="0"/>
                      <w:sz w:val="18"/>
                      <w:szCs w:val="18"/>
                      <w:highlight w:val="none"/>
                    </w:rPr>
                  </w:pPr>
                </w:p>
              </w:tc>
              <w:tc>
                <w:tcPr>
                  <w:tcW w:w="383" w:type="pct"/>
                  <w:vMerge w:val="continue"/>
                  <w:tcBorders>
                    <w:left w:val="single" w:color="auto" w:sz="4" w:space="0"/>
                    <w:right w:val="single" w:color="auto" w:sz="4" w:space="0"/>
                  </w:tcBorders>
                  <w:vAlign w:val="center"/>
                </w:tcPr>
                <w:p w14:paraId="358F3BBC">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64" w:lineRule="auto"/>
                    <w:ind w:left="0" w:right="0"/>
                    <w:jc w:val="center"/>
                    <w:textAlignment w:val="auto"/>
                    <w:rPr>
                      <w:rFonts w:hint="default"/>
                      <w:bCs/>
                      <w:kern w:val="0"/>
                      <w:sz w:val="18"/>
                      <w:szCs w:val="18"/>
                      <w:highlight w:val="none"/>
                    </w:rPr>
                  </w:pPr>
                </w:p>
              </w:tc>
              <w:tc>
                <w:tcPr>
                  <w:tcW w:w="240" w:type="pct"/>
                  <w:vMerge w:val="continue"/>
                  <w:tcBorders>
                    <w:left w:val="single" w:color="auto" w:sz="4" w:space="0"/>
                    <w:right w:val="single" w:color="auto" w:sz="4" w:space="0"/>
                  </w:tcBorders>
                  <w:vAlign w:val="center"/>
                </w:tcPr>
                <w:p w14:paraId="64B939CF">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64" w:lineRule="auto"/>
                    <w:ind w:left="0" w:right="0"/>
                    <w:jc w:val="center"/>
                    <w:textAlignment w:val="auto"/>
                    <w:rPr>
                      <w:rFonts w:hint="default"/>
                      <w:bCs/>
                      <w:kern w:val="0"/>
                      <w:sz w:val="18"/>
                      <w:szCs w:val="18"/>
                      <w:highlight w:val="none"/>
                    </w:rPr>
                  </w:pPr>
                </w:p>
              </w:tc>
              <w:tc>
                <w:tcPr>
                  <w:tcW w:w="317" w:type="pct"/>
                  <w:vMerge w:val="continue"/>
                  <w:tcBorders>
                    <w:left w:val="single" w:color="auto" w:sz="4" w:space="0"/>
                    <w:right w:val="single" w:color="auto" w:sz="4" w:space="0"/>
                  </w:tcBorders>
                  <w:vAlign w:val="center"/>
                </w:tcPr>
                <w:p w14:paraId="6021FCE7">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64" w:lineRule="auto"/>
                    <w:ind w:left="0" w:right="0"/>
                    <w:jc w:val="center"/>
                    <w:textAlignment w:val="auto"/>
                    <w:rPr>
                      <w:rFonts w:hint="default"/>
                      <w:bCs/>
                      <w:kern w:val="0"/>
                      <w:sz w:val="18"/>
                      <w:szCs w:val="18"/>
                      <w:highlight w:val="none"/>
                    </w:rPr>
                  </w:pPr>
                </w:p>
              </w:tc>
              <w:tc>
                <w:tcPr>
                  <w:tcW w:w="380" w:type="pct"/>
                  <w:tcBorders>
                    <w:top w:val="single" w:color="auto" w:sz="4" w:space="0"/>
                    <w:left w:val="single" w:color="auto" w:sz="4" w:space="0"/>
                    <w:bottom w:val="single" w:color="auto" w:sz="4" w:space="0"/>
                    <w:right w:val="single" w:color="auto" w:sz="4" w:space="0"/>
                  </w:tcBorders>
                  <w:shd w:val="clear" w:color="auto" w:fill="auto"/>
                  <w:vAlign w:val="center"/>
                </w:tcPr>
                <w:p w14:paraId="07D648D9">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64" w:lineRule="auto"/>
                    <w:ind w:left="0" w:right="0"/>
                    <w:jc w:val="center"/>
                    <w:textAlignment w:val="auto"/>
                    <w:rPr>
                      <w:rFonts w:hint="default" w:ascii="Times New Roman" w:hAnsi="Times New Roman" w:eastAsia="宋体" w:cs="Times New Roman"/>
                      <w:bCs/>
                      <w:kern w:val="0"/>
                      <w:sz w:val="18"/>
                      <w:szCs w:val="18"/>
                      <w:highlight w:val="none"/>
                      <w:lang w:val="en-US" w:eastAsia="zh-CN" w:bidi="ar-SA"/>
                    </w:rPr>
                  </w:pPr>
                  <w:r>
                    <w:rPr>
                      <w:rFonts w:hint="eastAsia"/>
                      <w:bCs/>
                      <w:kern w:val="0"/>
                      <w:sz w:val="18"/>
                      <w:szCs w:val="18"/>
                      <w:highlight w:val="none"/>
                      <w:lang w:val="en-US" w:eastAsia="zh-CN"/>
                    </w:rPr>
                    <w:t>0.003</w:t>
                  </w:r>
                </w:p>
              </w:tc>
              <w:tc>
                <w:tcPr>
                  <w:tcW w:w="362" w:type="pct"/>
                  <w:tcBorders>
                    <w:top w:val="single" w:color="auto" w:sz="4" w:space="0"/>
                    <w:left w:val="single" w:color="auto" w:sz="4" w:space="0"/>
                    <w:bottom w:val="single" w:color="auto" w:sz="4" w:space="0"/>
                    <w:right w:val="single" w:color="auto" w:sz="4" w:space="0"/>
                  </w:tcBorders>
                  <w:shd w:val="clear" w:color="auto" w:fill="auto"/>
                  <w:vAlign w:val="center"/>
                </w:tcPr>
                <w:p w14:paraId="5D332C7C">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64" w:lineRule="auto"/>
                    <w:ind w:left="0" w:right="0"/>
                    <w:jc w:val="center"/>
                    <w:textAlignment w:val="auto"/>
                    <w:rPr>
                      <w:rFonts w:hint="default" w:ascii="Times New Roman" w:hAnsi="Times New Roman" w:eastAsia="宋体" w:cs="Times New Roman"/>
                      <w:bCs/>
                      <w:kern w:val="0"/>
                      <w:sz w:val="18"/>
                      <w:szCs w:val="18"/>
                      <w:highlight w:val="none"/>
                      <w:lang w:val="en-US" w:eastAsia="zh-CN" w:bidi="ar-SA"/>
                    </w:rPr>
                  </w:pPr>
                  <w:r>
                    <w:rPr>
                      <w:rFonts w:hint="eastAsia" w:ascii="Times New Roman" w:hAnsi="Times New Roman" w:eastAsia="宋体" w:cs="Times New Roman"/>
                      <w:i w:val="0"/>
                      <w:iCs w:val="0"/>
                      <w:color w:val="000000"/>
                      <w:kern w:val="0"/>
                      <w:sz w:val="18"/>
                      <w:szCs w:val="18"/>
                      <w:highlight w:val="none"/>
                      <w:u w:val="none"/>
                      <w:lang w:val="en-US" w:eastAsia="zh-CN" w:bidi="ar"/>
                    </w:rPr>
                    <w:t>~</w:t>
                  </w:r>
                  <w:r>
                    <w:rPr>
                      <w:rFonts w:hint="default" w:ascii="Times New Roman" w:hAnsi="Times New Roman" w:eastAsia="宋体" w:cs="Times New Roman"/>
                      <w:i w:val="0"/>
                      <w:iCs w:val="0"/>
                      <w:color w:val="000000"/>
                      <w:kern w:val="0"/>
                      <w:sz w:val="18"/>
                      <w:szCs w:val="18"/>
                      <w:highlight w:val="none"/>
                      <w:u w:val="none"/>
                      <w:lang w:val="en-US" w:eastAsia="zh-CN" w:bidi="ar"/>
                    </w:rPr>
                    <w:t>0</w:t>
                  </w:r>
                </w:p>
              </w:tc>
              <w:tc>
                <w:tcPr>
                  <w:tcW w:w="340" w:type="pct"/>
                  <w:vMerge w:val="continue"/>
                  <w:tcBorders>
                    <w:left w:val="single" w:color="auto" w:sz="4" w:space="0"/>
                    <w:right w:val="single" w:color="auto" w:sz="4" w:space="0"/>
                  </w:tcBorders>
                  <w:vAlign w:val="center"/>
                </w:tcPr>
                <w:p w14:paraId="2EAF7669">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64" w:lineRule="auto"/>
                    <w:ind w:left="0" w:right="0"/>
                    <w:jc w:val="center"/>
                    <w:textAlignment w:val="auto"/>
                    <w:rPr>
                      <w:rFonts w:hint="default"/>
                      <w:bCs/>
                      <w:kern w:val="0"/>
                      <w:sz w:val="18"/>
                      <w:szCs w:val="18"/>
                      <w:highlight w:val="none"/>
                    </w:rPr>
                  </w:pPr>
                </w:p>
              </w:tc>
              <w:tc>
                <w:tcPr>
                  <w:tcW w:w="255" w:type="pct"/>
                  <w:tcBorders>
                    <w:left w:val="single" w:color="auto" w:sz="4" w:space="0"/>
                    <w:right w:val="single" w:color="auto" w:sz="4" w:space="0"/>
                  </w:tcBorders>
                  <w:vAlign w:val="center"/>
                </w:tcPr>
                <w:p w14:paraId="71DB67FF">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64" w:lineRule="auto"/>
                    <w:ind w:left="0" w:right="0"/>
                    <w:jc w:val="center"/>
                    <w:textAlignment w:val="auto"/>
                    <w:rPr>
                      <w:rFonts w:hint="default" w:eastAsia="宋体"/>
                      <w:bCs/>
                      <w:kern w:val="0"/>
                      <w:sz w:val="18"/>
                      <w:szCs w:val="18"/>
                      <w:highlight w:val="none"/>
                      <w:lang w:val="en-US" w:eastAsia="zh-CN"/>
                    </w:rPr>
                  </w:pPr>
                  <w:r>
                    <w:rPr>
                      <w:rFonts w:hint="eastAsia"/>
                      <w:bCs/>
                      <w:kern w:val="0"/>
                      <w:sz w:val="18"/>
                      <w:szCs w:val="18"/>
                      <w:highlight w:val="none"/>
                      <w:lang w:val="en-US" w:eastAsia="zh-CN"/>
                    </w:rPr>
                    <w:t>2080</w:t>
                  </w:r>
                </w:p>
              </w:tc>
            </w:tr>
            <w:tr w14:paraId="09CA8F0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jc w:val="center"/>
              </w:trPr>
              <w:tc>
                <w:tcPr>
                  <w:tcW w:w="603" w:type="pct"/>
                  <w:gridSpan w:val="2"/>
                  <w:vMerge w:val="continue"/>
                  <w:tcBorders>
                    <w:left w:val="single" w:color="auto" w:sz="4" w:space="0"/>
                    <w:right w:val="single" w:color="auto" w:sz="4" w:space="0"/>
                  </w:tcBorders>
                  <w:vAlign w:val="center"/>
                </w:tcPr>
                <w:p w14:paraId="6E233AB0">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64" w:lineRule="auto"/>
                    <w:ind w:left="0" w:right="0"/>
                    <w:jc w:val="center"/>
                    <w:textAlignment w:val="auto"/>
                    <w:rPr>
                      <w:rFonts w:hint="default"/>
                      <w:bCs/>
                      <w:kern w:val="0"/>
                      <w:sz w:val="18"/>
                      <w:szCs w:val="18"/>
                      <w:highlight w:val="none"/>
                    </w:rPr>
                  </w:pPr>
                </w:p>
              </w:tc>
              <w:tc>
                <w:tcPr>
                  <w:tcW w:w="404" w:type="pct"/>
                  <w:vMerge w:val="restart"/>
                  <w:tcBorders>
                    <w:top w:val="single" w:color="auto" w:sz="4" w:space="0"/>
                    <w:left w:val="single" w:color="auto" w:sz="4" w:space="0"/>
                    <w:right w:val="single" w:color="auto" w:sz="4" w:space="0"/>
                  </w:tcBorders>
                  <w:vAlign w:val="center"/>
                </w:tcPr>
                <w:p w14:paraId="15586D16">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64" w:lineRule="auto"/>
                    <w:ind w:left="0" w:right="0"/>
                    <w:jc w:val="center"/>
                    <w:textAlignment w:val="auto"/>
                    <w:rPr>
                      <w:rFonts w:hint="eastAsia"/>
                      <w:bCs/>
                      <w:kern w:val="0"/>
                      <w:sz w:val="18"/>
                      <w:szCs w:val="18"/>
                      <w:highlight w:val="none"/>
                      <w:lang w:val="en-US" w:eastAsia="zh-CN"/>
                    </w:rPr>
                  </w:pPr>
                  <w:r>
                    <w:rPr>
                      <w:rFonts w:hint="eastAsia"/>
                      <w:bCs/>
                      <w:kern w:val="0"/>
                      <w:sz w:val="18"/>
                      <w:szCs w:val="18"/>
                      <w:highlight w:val="none"/>
                      <w:lang w:val="en-US" w:eastAsia="zh-CN"/>
                    </w:rPr>
                    <w:t>科创综合楼</w:t>
                  </w:r>
                  <w:r>
                    <w:rPr>
                      <w:rFonts w:hint="default"/>
                      <w:bCs/>
                      <w:kern w:val="0"/>
                      <w:sz w:val="18"/>
                      <w:szCs w:val="18"/>
                      <w:highlight w:val="none"/>
                    </w:rPr>
                    <w:t>实验废气</w:t>
                  </w:r>
                </w:p>
              </w:tc>
              <w:tc>
                <w:tcPr>
                  <w:tcW w:w="593" w:type="pct"/>
                  <w:tcBorders>
                    <w:top w:val="single" w:color="auto" w:sz="4" w:space="0"/>
                    <w:left w:val="single" w:color="auto" w:sz="4" w:space="0"/>
                    <w:bottom w:val="single" w:color="auto" w:sz="4" w:space="0"/>
                    <w:right w:val="single" w:color="auto" w:sz="4" w:space="0"/>
                  </w:tcBorders>
                  <w:vAlign w:val="center"/>
                </w:tcPr>
                <w:p w14:paraId="294671FA">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64" w:lineRule="auto"/>
                    <w:ind w:left="0" w:right="0"/>
                    <w:jc w:val="center"/>
                    <w:textAlignment w:val="auto"/>
                    <w:rPr>
                      <w:rFonts w:hint="default"/>
                      <w:bCs/>
                      <w:kern w:val="0"/>
                      <w:sz w:val="18"/>
                      <w:szCs w:val="18"/>
                      <w:highlight w:val="none"/>
                    </w:rPr>
                  </w:pPr>
                  <w:r>
                    <w:rPr>
                      <w:rFonts w:hint="default"/>
                      <w:bCs/>
                      <w:kern w:val="0"/>
                      <w:sz w:val="18"/>
                      <w:szCs w:val="18"/>
                      <w:highlight w:val="none"/>
                    </w:rPr>
                    <w:t>非甲烷总烃</w:t>
                  </w:r>
                </w:p>
              </w:tc>
              <w:tc>
                <w:tcPr>
                  <w:tcW w:w="357" w:type="pct"/>
                  <w:tcBorders>
                    <w:top w:val="single" w:color="auto" w:sz="4" w:space="0"/>
                    <w:left w:val="single" w:color="auto" w:sz="4" w:space="0"/>
                    <w:bottom w:val="single" w:color="auto" w:sz="4" w:space="0"/>
                    <w:right w:val="single" w:color="auto" w:sz="4" w:space="0"/>
                  </w:tcBorders>
                  <w:vAlign w:val="center"/>
                </w:tcPr>
                <w:p w14:paraId="7C71A6C4">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64" w:lineRule="auto"/>
                    <w:ind w:left="0" w:right="0"/>
                    <w:jc w:val="center"/>
                    <w:textAlignment w:val="auto"/>
                    <w:rPr>
                      <w:rFonts w:hint="default"/>
                      <w:bCs/>
                      <w:kern w:val="0"/>
                      <w:sz w:val="18"/>
                      <w:szCs w:val="18"/>
                      <w:highlight w:val="none"/>
                      <w:lang w:val="en-US" w:eastAsia="zh-CN"/>
                    </w:rPr>
                  </w:pPr>
                  <w:r>
                    <w:rPr>
                      <w:rFonts w:hint="eastAsia"/>
                      <w:bCs/>
                      <w:kern w:val="0"/>
                      <w:sz w:val="18"/>
                      <w:szCs w:val="18"/>
                      <w:highlight w:val="none"/>
                      <w:lang w:val="en-US" w:eastAsia="zh-CN"/>
                    </w:rPr>
                    <w:t>0.11</w:t>
                  </w:r>
                </w:p>
              </w:tc>
              <w:tc>
                <w:tcPr>
                  <w:tcW w:w="357" w:type="pct"/>
                  <w:tcBorders>
                    <w:top w:val="single" w:color="auto" w:sz="4" w:space="0"/>
                    <w:left w:val="single" w:color="auto" w:sz="4" w:space="0"/>
                    <w:bottom w:val="single" w:color="auto" w:sz="4" w:space="0"/>
                    <w:right w:val="single" w:color="auto" w:sz="4" w:space="0"/>
                  </w:tcBorders>
                  <w:vAlign w:val="center"/>
                </w:tcPr>
                <w:p w14:paraId="0568BA75">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64" w:lineRule="auto"/>
                    <w:ind w:left="0" w:right="0"/>
                    <w:jc w:val="center"/>
                    <w:textAlignment w:val="auto"/>
                    <w:rPr>
                      <w:rFonts w:hint="default"/>
                      <w:bCs/>
                      <w:kern w:val="0"/>
                      <w:sz w:val="18"/>
                      <w:szCs w:val="18"/>
                      <w:highlight w:val="none"/>
                      <w:lang w:val="en-US" w:eastAsia="zh-CN"/>
                    </w:rPr>
                  </w:pPr>
                  <w:r>
                    <w:rPr>
                      <w:rFonts w:hint="eastAsia"/>
                      <w:bCs/>
                      <w:kern w:val="0"/>
                      <w:sz w:val="18"/>
                      <w:szCs w:val="18"/>
                      <w:highlight w:val="none"/>
                      <w:lang w:val="en-US" w:eastAsia="zh-CN"/>
                    </w:rPr>
                    <w:t>0.053</w:t>
                  </w:r>
                </w:p>
              </w:tc>
              <w:tc>
                <w:tcPr>
                  <w:tcW w:w="404" w:type="pct"/>
                  <w:vMerge w:val="continue"/>
                  <w:tcBorders>
                    <w:left w:val="single" w:color="auto" w:sz="4" w:space="0"/>
                    <w:right w:val="single" w:color="auto" w:sz="4" w:space="0"/>
                  </w:tcBorders>
                  <w:vAlign w:val="center"/>
                </w:tcPr>
                <w:p w14:paraId="2B5A61B1">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64" w:lineRule="auto"/>
                    <w:ind w:left="0" w:right="0"/>
                    <w:jc w:val="center"/>
                    <w:textAlignment w:val="auto"/>
                    <w:rPr>
                      <w:rFonts w:hint="default"/>
                      <w:bCs/>
                      <w:kern w:val="0"/>
                      <w:sz w:val="18"/>
                      <w:szCs w:val="18"/>
                      <w:highlight w:val="none"/>
                    </w:rPr>
                  </w:pPr>
                </w:p>
              </w:tc>
              <w:tc>
                <w:tcPr>
                  <w:tcW w:w="383" w:type="pct"/>
                  <w:vMerge w:val="continue"/>
                  <w:tcBorders>
                    <w:left w:val="single" w:color="auto" w:sz="4" w:space="0"/>
                    <w:right w:val="single" w:color="auto" w:sz="4" w:space="0"/>
                  </w:tcBorders>
                  <w:vAlign w:val="center"/>
                </w:tcPr>
                <w:p w14:paraId="40B1D423">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64" w:lineRule="auto"/>
                    <w:ind w:left="0" w:right="0"/>
                    <w:jc w:val="center"/>
                    <w:textAlignment w:val="auto"/>
                    <w:rPr>
                      <w:rFonts w:hint="default"/>
                      <w:bCs/>
                      <w:kern w:val="0"/>
                      <w:sz w:val="18"/>
                      <w:szCs w:val="18"/>
                      <w:highlight w:val="none"/>
                    </w:rPr>
                  </w:pPr>
                </w:p>
              </w:tc>
              <w:tc>
                <w:tcPr>
                  <w:tcW w:w="240" w:type="pct"/>
                  <w:vMerge w:val="continue"/>
                  <w:tcBorders>
                    <w:left w:val="single" w:color="auto" w:sz="4" w:space="0"/>
                    <w:right w:val="single" w:color="auto" w:sz="4" w:space="0"/>
                  </w:tcBorders>
                  <w:vAlign w:val="center"/>
                </w:tcPr>
                <w:p w14:paraId="77BF20E8">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64" w:lineRule="auto"/>
                    <w:ind w:left="0" w:right="0"/>
                    <w:jc w:val="center"/>
                    <w:textAlignment w:val="auto"/>
                    <w:rPr>
                      <w:rFonts w:hint="default"/>
                      <w:bCs/>
                      <w:kern w:val="0"/>
                      <w:sz w:val="18"/>
                      <w:szCs w:val="18"/>
                      <w:highlight w:val="none"/>
                    </w:rPr>
                  </w:pPr>
                </w:p>
              </w:tc>
              <w:tc>
                <w:tcPr>
                  <w:tcW w:w="317" w:type="pct"/>
                  <w:vMerge w:val="continue"/>
                  <w:tcBorders>
                    <w:left w:val="single" w:color="auto" w:sz="4" w:space="0"/>
                    <w:right w:val="single" w:color="auto" w:sz="4" w:space="0"/>
                  </w:tcBorders>
                  <w:vAlign w:val="center"/>
                </w:tcPr>
                <w:p w14:paraId="74B0BB9B">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64" w:lineRule="auto"/>
                    <w:ind w:left="0" w:right="0"/>
                    <w:jc w:val="center"/>
                    <w:textAlignment w:val="auto"/>
                    <w:rPr>
                      <w:rFonts w:hint="default"/>
                      <w:bCs/>
                      <w:kern w:val="0"/>
                      <w:sz w:val="18"/>
                      <w:szCs w:val="18"/>
                      <w:highlight w:val="none"/>
                    </w:rPr>
                  </w:pPr>
                </w:p>
              </w:tc>
              <w:tc>
                <w:tcPr>
                  <w:tcW w:w="380" w:type="pct"/>
                  <w:tcBorders>
                    <w:top w:val="single" w:color="auto" w:sz="4" w:space="0"/>
                    <w:left w:val="single" w:color="auto" w:sz="4" w:space="0"/>
                    <w:bottom w:val="single" w:color="auto" w:sz="4" w:space="0"/>
                    <w:right w:val="single" w:color="auto" w:sz="4" w:space="0"/>
                  </w:tcBorders>
                  <w:shd w:val="clear" w:color="auto" w:fill="auto"/>
                  <w:vAlign w:val="center"/>
                </w:tcPr>
                <w:p w14:paraId="00914A58">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64" w:lineRule="auto"/>
                    <w:ind w:left="0" w:right="0"/>
                    <w:jc w:val="center"/>
                    <w:textAlignment w:val="auto"/>
                    <w:rPr>
                      <w:rFonts w:hint="default"/>
                      <w:bCs/>
                      <w:kern w:val="0"/>
                      <w:sz w:val="18"/>
                      <w:szCs w:val="18"/>
                      <w:highlight w:val="none"/>
                      <w:lang w:val="en-US" w:eastAsia="zh-CN"/>
                    </w:rPr>
                  </w:pPr>
                  <w:r>
                    <w:rPr>
                      <w:rFonts w:hint="eastAsia"/>
                      <w:bCs/>
                      <w:kern w:val="0"/>
                      <w:sz w:val="18"/>
                      <w:szCs w:val="18"/>
                      <w:highlight w:val="none"/>
                      <w:lang w:val="en-US" w:eastAsia="zh-CN"/>
                    </w:rPr>
                    <w:t>0.11</w:t>
                  </w:r>
                </w:p>
              </w:tc>
              <w:tc>
                <w:tcPr>
                  <w:tcW w:w="362" w:type="pct"/>
                  <w:tcBorders>
                    <w:top w:val="single" w:color="auto" w:sz="4" w:space="0"/>
                    <w:left w:val="single" w:color="auto" w:sz="4" w:space="0"/>
                    <w:bottom w:val="single" w:color="auto" w:sz="4" w:space="0"/>
                    <w:right w:val="single" w:color="auto" w:sz="4" w:space="0"/>
                  </w:tcBorders>
                  <w:shd w:val="clear" w:color="auto" w:fill="auto"/>
                  <w:vAlign w:val="center"/>
                </w:tcPr>
                <w:p w14:paraId="1210DF52">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64" w:lineRule="auto"/>
                    <w:ind w:left="0" w:right="0"/>
                    <w:jc w:val="center"/>
                    <w:textAlignment w:val="auto"/>
                    <w:rPr>
                      <w:rFonts w:hint="default"/>
                      <w:bCs/>
                      <w:kern w:val="0"/>
                      <w:sz w:val="18"/>
                      <w:szCs w:val="18"/>
                      <w:highlight w:val="none"/>
                      <w:lang w:val="en-US" w:eastAsia="zh-CN"/>
                    </w:rPr>
                  </w:pPr>
                  <w:r>
                    <w:rPr>
                      <w:rFonts w:hint="eastAsia"/>
                      <w:bCs/>
                      <w:kern w:val="0"/>
                      <w:sz w:val="18"/>
                      <w:szCs w:val="18"/>
                      <w:highlight w:val="none"/>
                      <w:lang w:val="en-US" w:eastAsia="zh-CN"/>
                    </w:rPr>
                    <w:t>0.053</w:t>
                  </w:r>
                </w:p>
              </w:tc>
              <w:tc>
                <w:tcPr>
                  <w:tcW w:w="340" w:type="pct"/>
                  <w:vMerge w:val="continue"/>
                  <w:tcBorders>
                    <w:left w:val="single" w:color="auto" w:sz="4" w:space="0"/>
                    <w:right w:val="single" w:color="auto" w:sz="4" w:space="0"/>
                  </w:tcBorders>
                  <w:vAlign w:val="center"/>
                </w:tcPr>
                <w:p w14:paraId="1610581E">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64" w:lineRule="auto"/>
                    <w:ind w:left="0" w:right="0"/>
                    <w:jc w:val="center"/>
                    <w:textAlignment w:val="auto"/>
                    <w:rPr>
                      <w:rFonts w:hint="default"/>
                      <w:bCs/>
                      <w:kern w:val="0"/>
                      <w:sz w:val="18"/>
                      <w:szCs w:val="18"/>
                      <w:highlight w:val="none"/>
                    </w:rPr>
                  </w:pPr>
                </w:p>
              </w:tc>
              <w:tc>
                <w:tcPr>
                  <w:tcW w:w="255" w:type="pct"/>
                  <w:vMerge w:val="restart"/>
                  <w:tcBorders>
                    <w:left w:val="single" w:color="auto" w:sz="4" w:space="0"/>
                    <w:right w:val="single" w:color="auto" w:sz="4" w:space="0"/>
                  </w:tcBorders>
                  <w:vAlign w:val="center"/>
                </w:tcPr>
                <w:p w14:paraId="68E64A07">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64" w:lineRule="auto"/>
                    <w:ind w:left="0" w:right="0"/>
                    <w:jc w:val="center"/>
                    <w:textAlignment w:val="auto"/>
                    <w:rPr>
                      <w:rFonts w:hint="default"/>
                      <w:bCs/>
                      <w:kern w:val="0"/>
                      <w:sz w:val="18"/>
                      <w:szCs w:val="18"/>
                      <w:highlight w:val="none"/>
                    </w:rPr>
                  </w:pPr>
                  <w:r>
                    <w:rPr>
                      <w:rFonts w:hint="eastAsia"/>
                      <w:bCs/>
                      <w:kern w:val="0"/>
                      <w:sz w:val="18"/>
                      <w:szCs w:val="18"/>
                      <w:highlight w:val="none"/>
                      <w:lang w:val="en-US" w:eastAsia="zh-CN"/>
                    </w:rPr>
                    <w:t>2080</w:t>
                  </w:r>
                </w:p>
              </w:tc>
            </w:tr>
            <w:tr w14:paraId="23F9112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jc w:val="center"/>
              </w:trPr>
              <w:tc>
                <w:tcPr>
                  <w:tcW w:w="603" w:type="pct"/>
                  <w:gridSpan w:val="2"/>
                  <w:vMerge w:val="continue"/>
                  <w:tcBorders>
                    <w:left w:val="single" w:color="auto" w:sz="4" w:space="0"/>
                    <w:right w:val="single" w:color="auto" w:sz="4" w:space="0"/>
                  </w:tcBorders>
                  <w:vAlign w:val="center"/>
                </w:tcPr>
                <w:p w14:paraId="0008102C">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64" w:lineRule="auto"/>
                    <w:ind w:left="0" w:right="0"/>
                    <w:jc w:val="center"/>
                    <w:textAlignment w:val="auto"/>
                    <w:rPr>
                      <w:rFonts w:hint="default"/>
                      <w:bCs/>
                      <w:kern w:val="0"/>
                      <w:sz w:val="18"/>
                      <w:szCs w:val="18"/>
                      <w:highlight w:val="none"/>
                    </w:rPr>
                  </w:pPr>
                </w:p>
              </w:tc>
              <w:tc>
                <w:tcPr>
                  <w:tcW w:w="404" w:type="pct"/>
                  <w:vMerge w:val="continue"/>
                  <w:tcBorders>
                    <w:left w:val="single" w:color="auto" w:sz="4" w:space="0"/>
                    <w:right w:val="single" w:color="auto" w:sz="4" w:space="0"/>
                  </w:tcBorders>
                  <w:vAlign w:val="center"/>
                </w:tcPr>
                <w:p w14:paraId="7AE71ADE">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64" w:lineRule="auto"/>
                    <w:ind w:left="0" w:right="0"/>
                    <w:jc w:val="center"/>
                    <w:textAlignment w:val="auto"/>
                    <w:rPr>
                      <w:rFonts w:hint="default"/>
                      <w:bCs/>
                      <w:kern w:val="0"/>
                      <w:sz w:val="18"/>
                      <w:szCs w:val="18"/>
                      <w:highlight w:val="none"/>
                    </w:rPr>
                  </w:pPr>
                </w:p>
              </w:tc>
              <w:tc>
                <w:tcPr>
                  <w:tcW w:w="593" w:type="pct"/>
                  <w:tcBorders>
                    <w:top w:val="single" w:color="auto" w:sz="4" w:space="0"/>
                    <w:left w:val="single" w:color="auto" w:sz="4" w:space="0"/>
                    <w:bottom w:val="single" w:color="auto" w:sz="4" w:space="0"/>
                    <w:right w:val="single" w:color="auto" w:sz="4" w:space="0"/>
                  </w:tcBorders>
                  <w:vAlign w:val="center"/>
                </w:tcPr>
                <w:p w14:paraId="0247BF35">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64" w:lineRule="auto"/>
                    <w:ind w:left="0" w:right="0"/>
                    <w:jc w:val="center"/>
                    <w:textAlignment w:val="auto"/>
                    <w:rPr>
                      <w:rFonts w:hint="eastAsia" w:eastAsia="宋体"/>
                      <w:bCs/>
                      <w:kern w:val="0"/>
                      <w:sz w:val="18"/>
                      <w:szCs w:val="18"/>
                      <w:highlight w:val="none"/>
                      <w:lang w:val="en-US" w:eastAsia="zh-CN"/>
                    </w:rPr>
                  </w:pPr>
                  <w:r>
                    <w:rPr>
                      <w:rFonts w:hint="eastAsia"/>
                      <w:bCs/>
                      <w:kern w:val="0"/>
                      <w:sz w:val="18"/>
                      <w:szCs w:val="18"/>
                      <w:highlight w:val="none"/>
                      <w:lang w:val="en-US" w:eastAsia="zh-CN"/>
                    </w:rPr>
                    <w:t>氯化氢</w:t>
                  </w:r>
                </w:p>
              </w:tc>
              <w:tc>
                <w:tcPr>
                  <w:tcW w:w="714" w:type="pct"/>
                  <w:gridSpan w:val="2"/>
                  <w:tcBorders>
                    <w:top w:val="single" w:color="auto" w:sz="4" w:space="0"/>
                    <w:left w:val="single" w:color="auto" w:sz="4" w:space="0"/>
                    <w:bottom w:val="single" w:color="auto" w:sz="4" w:space="0"/>
                    <w:right w:val="single" w:color="auto" w:sz="4" w:space="0"/>
                  </w:tcBorders>
                  <w:vAlign w:val="center"/>
                </w:tcPr>
                <w:p w14:paraId="13E625DC">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64" w:lineRule="auto"/>
                    <w:ind w:left="0" w:right="0"/>
                    <w:jc w:val="center"/>
                    <w:textAlignment w:val="auto"/>
                    <w:rPr>
                      <w:rFonts w:hint="eastAsia" w:eastAsia="宋体"/>
                      <w:bCs/>
                      <w:kern w:val="0"/>
                      <w:sz w:val="18"/>
                      <w:szCs w:val="18"/>
                      <w:highlight w:val="none"/>
                      <w:lang w:val="en-US" w:eastAsia="zh-CN"/>
                    </w:rPr>
                  </w:pPr>
                  <w:r>
                    <w:rPr>
                      <w:rFonts w:hint="eastAsia"/>
                      <w:bCs/>
                      <w:kern w:val="0"/>
                      <w:sz w:val="18"/>
                      <w:szCs w:val="18"/>
                      <w:highlight w:val="none"/>
                      <w:lang w:val="en-US" w:eastAsia="zh-CN"/>
                    </w:rPr>
                    <w:t>少量</w:t>
                  </w:r>
                </w:p>
              </w:tc>
              <w:tc>
                <w:tcPr>
                  <w:tcW w:w="404" w:type="pct"/>
                  <w:vMerge w:val="continue"/>
                  <w:tcBorders>
                    <w:left w:val="single" w:color="auto" w:sz="4" w:space="0"/>
                    <w:right w:val="single" w:color="auto" w:sz="4" w:space="0"/>
                  </w:tcBorders>
                  <w:vAlign w:val="center"/>
                </w:tcPr>
                <w:p w14:paraId="3999701D">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64" w:lineRule="auto"/>
                    <w:ind w:left="0" w:right="0"/>
                    <w:jc w:val="center"/>
                    <w:textAlignment w:val="auto"/>
                    <w:rPr>
                      <w:rFonts w:hint="default"/>
                      <w:bCs/>
                      <w:kern w:val="0"/>
                      <w:sz w:val="18"/>
                      <w:szCs w:val="18"/>
                      <w:highlight w:val="none"/>
                    </w:rPr>
                  </w:pPr>
                </w:p>
              </w:tc>
              <w:tc>
                <w:tcPr>
                  <w:tcW w:w="383" w:type="pct"/>
                  <w:vMerge w:val="continue"/>
                  <w:tcBorders>
                    <w:left w:val="single" w:color="auto" w:sz="4" w:space="0"/>
                    <w:right w:val="single" w:color="auto" w:sz="4" w:space="0"/>
                  </w:tcBorders>
                  <w:vAlign w:val="center"/>
                </w:tcPr>
                <w:p w14:paraId="584C664A">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64" w:lineRule="auto"/>
                    <w:ind w:left="0" w:right="0"/>
                    <w:jc w:val="center"/>
                    <w:textAlignment w:val="auto"/>
                    <w:rPr>
                      <w:rFonts w:hint="default"/>
                      <w:bCs/>
                      <w:kern w:val="0"/>
                      <w:sz w:val="18"/>
                      <w:szCs w:val="18"/>
                      <w:highlight w:val="none"/>
                    </w:rPr>
                  </w:pPr>
                </w:p>
              </w:tc>
              <w:tc>
                <w:tcPr>
                  <w:tcW w:w="240" w:type="pct"/>
                  <w:vMerge w:val="continue"/>
                  <w:tcBorders>
                    <w:left w:val="single" w:color="auto" w:sz="4" w:space="0"/>
                    <w:right w:val="single" w:color="auto" w:sz="4" w:space="0"/>
                  </w:tcBorders>
                  <w:vAlign w:val="center"/>
                </w:tcPr>
                <w:p w14:paraId="4CD514F5">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64" w:lineRule="auto"/>
                    <w:ind w:left="0" w:right="0"/>
                    <w:jc w:val="center"/>
                    <w:textAlignment w:val="auto"/>
                    <w:rPr>
                      <w:rFonts w:hint="default"/>
                      <w:bCs/>
                      <w:kern w:val="0"/>
                      <w:sz w:val="18"/>
                      <w:szCs w:val="18"/>
                      <w:highlight w:val="none"/>
                    </w:rPr>
                  </w:pPr>
                </w:p>
              </w:tc>
              <w:tc>
                <w:tcPr>
                  <w:tcW w:w="317" w:type="pct"/>
                  <w:vMerge w:val="continue"/>
                  <w:tcBorders>
                    <w:left w:val="single" w:color="auto" w:sz="4" w:space="0"/>
                    <w:right w:val="single" w:color="auto" w:sz="4" w:space="0"/>
                  </w:tcBorders>
                  <w:vAlign w:val="center"/>
                </w:tcPr>
                <w:p w14:paraId="4794EA03">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64" w:lineRule="auto"/>
                    <w:ind w:left="0" w:right="0"/>
                    <w:jc w:val="center"/>
                    <w:textAlignment w:val="auto"/>
                    <w:rPr>
                      <w:rFonts w:hint="default"/>
                      <w:bCs/>
                      <w:kern w:val="0"/>
                      <w:sz w:val="18"/>
                      <w:szCs w:val="18"/>
                      <w:highlight w:val="none"/>
                    </w:rPr>
                  </w:pPr>
                </w:p>
              </w:tc>
              <w:tc>
                <w:tcPr>
                  <w:tcW w:w="743" w:type="pct"/>
                  <w:gridSpan w:val="2"/>
                  <w:tcBorders>
                    <w:top w:val="single" w:color="auto" w:sz="4" w:space="0"/>
                    <w:left w:val="single" w:color="auto" w:sz="4" w:space="0"/>
                    <w:bottom w:val="single" w:color="auto" w:sz="4" w:space="0"/>
                    <w:right w:val="single" w:color="auto" w:sz="4" w:space="0"/>
                  </w:tcBorders>
                  <w:vAlign w:val="center"/>
                </w:tcPr>
                <w:p w14:paraId="32E8ECDB">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64" w:lineRule="auto"/>
                    <w:ind w:left="0" w:right="0"/>
                    <w:jc w:val="center"/>
                    <w:textAlignment w:val="auto"/>
                    <w:rPr>
                      <w:rFonts w:hint="default"/>
                      <w:bCs/>
                      <w:kern w:val="0"/>
                      <w:sz w:val="18"/>
                      <w:szCs w:val="18"/>
                      <w:highlight w:val="none"/>
                    </w:rPr>
                  </w:pPr>
                  <w:r>
                    <w:rPr>
                      <w:rFonts w:hint="eastAsia"/>
                      <w:bCs/>
                      <w:kern w:val="0"/>
                      <w:sz w:val="18"/>
                      <w:szCs w:val="18"/>
                      <w:highlight w:val="none"/>
                      <w:lang w:val="en-US" w:eastAsia="zh-CN"/>
                    </w:rPr>
                    <w:t>少量</w:t>
                  </w:r>
                </w:p>
              </w:tc>
              <w:tc>
                <w:tcPr>
                  <w:tcW w:w="340" w:type="pct"/>
                  <w:vMerge w:val="continue"/>
                  <w:tcBorders>
                    <w:left w:val="single" w:color="auto" w:sz="4" w:space="0"/>
                    <w:right w:val="single" w:color="auto" w:sz="4" w:space="0"/>
                  </w:tcBorders>
                  <w:vAlign w:val="center"/>
                </w:tcPr>
                <w:p w14:paraId="5F9752B5">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64" w:lineRule="auto"/>
                    <w:ind w:left="0" w:right="0"/>
                    <w:jc w:val="center"/>
                    <w:textAlignment w:val="auto"/>
                    <w:rPr>
                      <w:rFonts w:hint="default"/>
                      <w:bCs/>
                      <w:kern w:val="0"/>
                      <w:sz w:val="18"/>
                      <w:szCs w:val="18"/>
                      <w:highlight w:val="none"/>
                    </w:rPr>
                  </w:pPr>
                </w:p>
              </w:tc>
              <w:tc>
                <w:tcPr>
                  <w:tcW w:w="255" w:type="pct"/>
                  <w:vMerge w:val="continue"/>
                  <w:tcBorders>
                    <w:left w:val="single" w:color="auto" w:sz="4" w:space="0"/>
                    <w:right w:val="single" w:color="auto" w:sz="4" w:space="0"/>
                  </w:tcBorders>
                  <w:vAlign w:val="center"/>
                </w:tcPr>
                <w:p w14:paraId="735CA642">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64" w:lineRule="auto"/>
                    <w:ind w:left="0" w:right="0"/>
                    <w:jc w:val="center"/>
                    <w:textAlignment w:val="auto"/>
                    <w:rPr>
                      <w:rFonts w:hint="default"/>
                      <w:bCs/>
                      <w:kern w:val="0"/>
                      <w:sz w:val="18"/>
                      <w:szCs w:val="18"/>
                      <w:highlight w:val="none"/>
                    </w:rPr>
                  </w:pPr>
                </w:p>
              </w:tc>
            </w:tr>
            <w:tr w14:paraId="5C8AB43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jc w:val="center"/>
              </w:trPr>
              <w:tc>
                <w:tcPr>
                  <w:tcW w:w="603" w:type="pct"/>
                  <w:gridSpan w:val="2"/>
                  <w:vMerge w:val="continue"/>
                  <w:tcBorders>
                    <w:left w:val="single" w:color="auto" w:sz="4" w:space="0"/>
                    <w:bottom w:val="single" w:color="auto" w:sz="4" w:space="0"/>
                    <w:right w:val="single" w:color="auto" w:sz="4" w:space="0"/>
                  </w:tcBorders>
                  <w:vAlign w:val="center"/>
                </w:tcPr>
                <w:p w14:paraId="62082DA9">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64" w:lineRule="auto"/>
                    <w:ind w:left="0" w:right="0"/>
                    <w:jc w:val="center"/>
                    <w:textAlignment w:val="auto"/>
                    <w:rPr>
                      <w:rFonts w:hint="default"/>
                      <w:bCs/>
                      <w:kern w:val="0"/>
                      <w:sz w:val="18"/>
                      <w:szCs w:val="18"/>
                      <w:highlight w:val="none"/>
                    </w:rPr>
                  </w:pPr>
                </w:p>
              </w:tc>
              <w:tc>
                <w:tcPr>
                  <w:tcW w:w="404" w:type="pct"/>
                  <w:vMerge w:val="continue"/>
                  <w:tcBorders>
                    <w:left w:val="single" w:color="auto" w:sz="4" w:space="0"/>
                    <w:bottom w:val="single" w:color="auto" w:sz="4" w:space="0"/>
                    <w:right w:val="single" w:color="auto" w:sz="4" w:space="0"/>
                  </w:tcBorders>
                  <w:vAlign w:val="center"/>
                </w:tcPr>
                <w:p w14:paraId="2626BBD9">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64" w:lineRule="auto"/>
                    <w:ind w:left="0" w:right="0"/>
                    <w:jc w:val="center"/>
                    <w:textAlignment w:val="auto"/>
                    <w:rPr>
                      <w:rFonts w:hint="default"/>
                      <w:bCs/>
                      <w:kern w:val="0"/>
                      <w:sz w:val="18"/>
                      <w:szCs w:val="18"/>
                      <w:highlight w:val="none"/>
                    </w:rPr>
                  </w:pPr>
                </w:p>
              </w:tc>
              <w:tc>
                <w:tcPr>
                  <w:tcW w:w="593" w:type="pct"/>
                  <w:tcBorders>
                    <w:top w:val="single" w:color="auto" w:sz="4" w:space="0"/>
                    <w:left w:val="single" w:color="auto" w:sz="4" w:space="0"/>
                    <w:bottom w:val="single" w:color="auto" w:sz="4" w:space="0"/>
                    <w:right w:val="single" w:color="auto" w:sz="4" w:space="0"/>
                  </w:tcBorders>
                  <w:vAlign w:val="center"/>
                </w:tcPr>
                <w:p w14:paraId="27CFBAD3">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64" w:lineRule="auto"/>
                    <w:ind w:left="0" w:right="0"/>
                    <w:jc w:val="center"/>
                    <w:textAlignment w:val="auto"/>
                    <w:rPr>
                      <w:rFonts w:hint="default"/>
                      <w:bCs/>
                      <w:kern w:val="0"/>
                      <w:sz w:val="18"/>
                      <w:szCs w:val="18"/>
                      <w:highlight w:val="none"/>
                      <w:lang w:val="en-US" w:eastAsia="zh-CN"/>
                    </w:rPr>
                  </w:pPr>
                  <w:r>
                    <w:rPr>
                      <w:rFonts w:hint="eastAsia"/>
                      <w:bCs/>
                      <w:kern w:val="0"/>
                      <w:sz w:val="18"/>
                      <w:szCs w:val="18"/>
                      <w:highlight w:val="none"/>
                      <w:lang w:val="en-US" w:eastAsia="zh-CN"/>
                    </w:rPr>
                    <w:t>硫酸雾</w:t>
                  </w:r>
                </w:p>
              </w:tc>
              <w:tc>
                <w:tcPr>
                  <w:tcW w:w="714" w:type="pct"/>
                  <w:gridSpan w:val="2"/>
                  <w:tcBorders>
                    <w:top w:val="single" w:color="auto" w:sz="4" w:space="0"/>
                    <w:left w:val="single" w:color="auto" w:sz="4" w:space="0"/>
                    <w:bottom w:val="single" w:color="auto" w:sz="4" w:space="0"/>
                    <w:right w:val="single" w:color="auto" w:sz="4" w:space="0"/>
                  </w:tcBorders>
                  <w:vAlign w:val="center"/>
                </w:tcPr>
                <w:p w14:paraId="4F73BA3F">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64" w:lineRule="auto"/>
                    <w:ind w:left="0" w:right="0"/>
                    <w:jc w:val="center"/>
                    <w:textAlignment w:val="auto"/>
                    <w:rPr>
                      <w:rFonts w:hint="default"/>
                      <w:bCs/>
                      <w:kern w:val="0"/>
                      <w:sz w:val="18"/>
                      <w:szCs w:val="18"/>
                      <w:highlight w:val="none"/>
                    </w:rPr>
                  </w:pPr>
                  <w:r>
                    <w:rPr>
                      <w:rFonts w:hint="eastAsia"/>
                      <w:bCs/>
                      <w:kern w:val="0"/>
                      <w:sz w:val="18"/>
                      <w:szCs w:val="18"/>
                      <w:highlight w:val="none"/>
                      <w:lang w:val="en-US" w:eastAsia="zh-CN"/>
                    </w:rPr>
                    <w:t>少量</w:t>
                  </w:r>
                </w:p>
              </w:tc>
              <w:tc>
                <w:tcPr>
                  <w:tcW w:w="404" w:type="pct"/>
                  <w:vMerge w:val="continue"/>
                  <w:tcBorders>
                    <w:left w:val="single" w:color="auto" w:sz="4" w:space="0"/>
                    <w:right w:val="single" w:color="auto" w:sz="4" w:space="0"/>
                  </w:tcBorders>
                  <w:vAlign w:val="center"/>
                </w:tcPr>
                <w:p w14:paraId="7F358AD8">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64" w:lineRule="auto"/>
                    <w:ind w:left="0" w:right="0"/>
                    <w:jc w:val="center"/>
                    <w:textAlignment w:val="auto"/>
                    <w:rPr>
                      <w:rFonts w:hint="default"/>
                      <w:bCs/>
                      <w:kern w:val="0"/>
                      <w:sz w:val="18"/>
                      <w:szCs w:val="18"/>
                      <w:highlight w:val="none"/>
                    </w:rPr>
                  </w:pPr>
                </w:p>
              </w:tc>
              <w:tc>
                <w:tcPr>
                  <w:tcW w:w="383" w:type="pct"/>
                  <w:vMerge w:val="continue"/>
                  <w:tcBorders>
                    <w:left w:val="single" w:color="auto" w:sz="4" w:space="0"/>
                    <w:right w:val="single" w:color="auto" w:sz="4" w:space="0"/>
                  </w:tcBorders>
                  <w:vAlign w:val="center"/>
                </w:tcPr>
                <w:p w14:paraId="516EC8C1">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64" w:lineRule="auto"/>
                    <w:ind w:left="0" w:right="0"/>
                    <w:jc w:val="center"/>
                    <w:textAlignment w:val="auto"/>
                    <w:rPr>
                      <w:rFonts w:hint="default"/>
                      <w:bCs/>
                      <w:kern w:val="0"/>
                      <w:sz w:val="18"/>
                      <w:szCs w:val="18"/>
                      <w:highlight w:val="none"/>
                    </w:rPr>
                  </w:pPr>
                </w:p>
              </w:tc>
              <w:tc>
                <w:tcPr>
                  <w:tcW w:w="240" w:type="pct"/>
                  <w:vMerge w:val="continue"/>
                  <w:tcBorders>
                    <w:left w:val="single" w:color="auto" w:sz="4" w:space="0"/>
                    <w:right w:val="single" w:color="auto" w:sz="4" w:space="0"/>
                  </w:tcBorders>
                  <w:vAlign w:val="center"/>
                </w:tcPr>
                <w:p w14:paraId="30547EC8">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64" w:lineRule="auto"/>
                    <w:ind w:left="0" w:right="0"/>
                    <w:jc w:val="center"/>
                    <w:textAlignment w:val="auto"/>
                    <w:rPr>
                      <w:rFonts w:hint="default"/>
                      <w:bCs/>
                      <w:kern w:val="0"/>
                      <w:sz w:val="18"/>
                      <w:szCs w:val="18"/>
                      <w:highlight w:val="none"/>
                    </w:rPr>
                  </w:pPr>
                </w:p>
              </w:tc>
              <w:tc>
                <w:tcPr>
                  <w:tcW w:w="317" w:type="pct"/>
                  <w:vMerge w:val="continue"/>
                  <w:tcBorders>
                    <w:left w:val="single" w:color="auto" w:sz="4" w:space="0"/>
                    <w:right w:val="single" w:color="auto" w:sz="4" w:space="0"/>
                  </w:tcBorders>
                  <w:vAlign w:val="center"/>
                </w:tcPr>
                <w:p w14:paraId="41BFEEE5">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64" w:lineRule="auto"/>
                    <w:ind w:left="0" w:right="0"/>
                    <w:jc w:val="center"/>
                    <w:textAlignment w:val="auto"/>
                    <w:rPr>
                      <w:rFonts w:hint="default"/>
                      <w:bCs/>
                      <w:kern w:val="0"/>
                      <w:sz w:val="18"/>
                      <w:szCs w:val="18"/>
                      <w:highlight w:val="none"/>
                    </w:rPr>
                  </w:pPr>
                </w:p>
              </w:tc>
              <w:tc>
                <w:tcPr>
                  <w:tcW w:w="743" w:type="pct"/>
                  <w:gridSpan w:val="2"/>
                  <w:tcBorders>
                    <w:top w:val="single" w:color="auto" w:sz="4" w:space="0"/>
                    <w:left w:val="single" w:color="auto" w:sz="4" w:space="0"/>
                    <w:bottom w:val="single" w:color="auto" w:sz="4" w:space="0"/>
                    <w:right w:val="single" w:color="auto" w:sz="4" w:space="0"/>
                  </w:tcBorders>
                  <w:vAlign w:val="center"/>
                </w:tcPr>
                <w:p w14:paraId="4485A533">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64" w:lineRule="auto"/>
                    <w:ind w:left="0" w:right="0"/>
                    <w:jc w:val="center"/>
                    <w:textAlignment w:val="auto"/>
                    <w:rPr>
                      <w:rFonts w:hint="default"/>
                      <w:bCs/>
                      <w:kern w:val="0"/>
                      <w:sz w:val="18"/>
                      <w:szCs w:val="18"/>
                      <w:highlight w:val="none"/>
                    </w:rPr>
                  </w:pPr>
                  <w:r>
                    <w:rPr>
                      <w:rFonts w:hint="eastAsia"/>
                      <w:bCs/>
                      <w:kern w:val="0"/>
                      <w:sz w:val="18"/>
                      <w:szCs w:val="18"/>
                      <w:highlight w:val="none"/>
                      <w:lang w:val="en-US" w:eastAsia="zh-CN"/>
                    </w:rPr>
                    <w:t>少量</w:t>
                  </w:r>
                </w:p>
              </w:tc>
              <w:tc>
                <w:tcPr>
                  <w:tcW w:w="340" w:type="pct"/>
                  <w:vMerge w:val="continue"/>
                  <w:tcBorders>
                    <w:left w:val="single" w:color="auto" w:sz="4" w:space="0"/>
                    <w:right w:val="single" w:color="auto" w:sz="4" w:space="0"/>
                  </w:tcBorders>
                  <w:vAlign w:val="center"/>
                </w:tcPr>
                <w:p w14:paraId="3C57C19C">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64" w:lineRule="auto"/>
                    <w:ind w:left="0" w:right="0"/>
                    <w:jc w:val="center"/>
                    <w:textAlignment w:val="auto"/>
                    <w:rPr>
                      <w:rFonts w:hint="default"/>
                      <w:bCs/>
                      <w:kern w:val="0"/>
                      <w:sz w:val="18"/>
                      <w:szCs w:val="18"/>
                      <w:highlight w:val="none"/>
                    </w:rPr>
                  </w:pPr>
                </w:p>
              </w:tc>
              <w:tc>
                <w:tcPr>
                  <w:tcW w:w="255" w:type="pct"/>
                  <w:vMerge w:val="continue"/>
                  <w:tcBorders>
                    <w:left w:val="single" w:color="auto" w:sz="4" w:space="0"/>
                    <w:right w:val="single" w:color="auto" w:sz="4" w:space="0"/>
                  </w:tcBorders>
                  <w:vAlign w:val="center"/>
                </w:tcPr>
                <w:p w14:paraId="71212244">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64" w:lineRule="auto"/>
                    <w:ind w:left="0" w:right="0"/>
                    <w:jc w:val="center"/>
                    <w:textAlignment w:val="auto"/>
                    <w:rPr>
                      <w:rFonts w:hint="default"/>
                      <w:bCs/>
                      <w:kern w:val="0"/>
                      <w:sz w:val="18"/>
                      <w:szCs w:val="18"/>
                      <w:highlight w:val="none"/>
                    </w:rPr>
                  </w:pPr>
                </w:p>
              </w:tc>
            </w:tr>
            <w:tr w14:paraId="6B9FDD4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jc w:val="center"/>
              </w:trPr>
              <w:tc>
                <w:tcPr>
                  <w:tcW w:w="1007" w:type="pct"/>
                  <w:gridSpan w:val="3"/>
                  <w:vMerge w:val="restart"/>
                  <w:tcBorders>
                    <w:top w:val="single" w:color="auto" w:sz="4" w:space="0"/>
                    <w:left w:val="single" w:color="auto" w:sz="4" w:space="0"/>
                    <w:right w:val="single" w:color="auto" w:sz="4" w:space="0"/>
                  </w:tcBorders>
                  <w:vAlign w:val="center"/>
                </w:tcPr>
                <w:p w14:paraId="721719A9">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64" w:lineRule="auto"/>
                    <w:ind w:left="0" w:right="0"/>
                    <w:jc w:val="center"/>
                    <w:textAlignment w:val="auto"/>
                    <w:rPr>
                      <w:rFonts w:hint="default"/>
                      <w:b/>
                      <w:bCs w:val="0"/>
                      <w:kern w:val="0"/>
                      <w:sz w:val="18"/>
                      <w:szCs w:val="18"/>
                      <w:highlight w:val="none"/>
                    </w:rPr>
                  </w:pPr>
                  <w:r>
                    <w:rPr>
                      <w:rFonts w:hint="default"/>
                      <w:b/>
                      <w:bCs w:val="0"/>
                      <w:kern w:val="0"/>
                      <w:sz w:val="18"/>
                      <w:szCs w:val="18"/>
                      <w:highlight w:val="none"/>
                    </w:rPr>
                    <w:t>合计</w:t>
                  </w:r>
                </w:p>
              </w:tc>
              <w:tc>
                <w:tcPr>
                  <w:tcW w:w="593" w:type="pct"/>
                  <w:tcBorders>
                    <w:top w:val="single" w:color="auto" w:sz="4" w:space="0"/>
                    <w:left w:val="single" w:color="auto" w:sz="4" w:space="0"/>
                    <w:bottom w:val="single" w:color="auto" w:sz="4" w:space="0"/>
                    <w:right w:val="single" w:color="auto" w:sz="4" w:space="0"/>
                  </w:tcBorders>
                  <w:vAlign w:val="center"/>
                </w:tcPr>
                <w:p w14:paraId="55B6D753">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64" w:lineRule="auto"/>
                    <w:ind w:left="0" w:right="0"/>
                    <w:jc w:val="center"/>
                    <w:textAlignment w:val="auto"/>
                    <w:rPr>
                      <w:rFonts w:hint="default"/>
                      <w:b/>
                      <w:bCs w:val="0"/>
                      <w:kern w:val="0"/>
                      <w:sz w:val="18"/>
                      <w:szCs w:val="18"/>
                      <w:highlight w:val="none"/>
                    </w:rPr>
                  </w:pPr>
                  <w:r>
                    <w:rPr>
                      <w:rFonts w:hint="default"/>
                      <w:b/>
                      <w:bCs w:val="0"/>
                      <w:kern w:val="0"/>
                      <w:sz w:val="18"/>
                      <w:szCs w:val="18"/>
                      <w:highlight w:val="none"/>
                    </w:rPr>
                    <w:t>氨</w:t>
                  </w:r>
                </w:p>
              </w:tc>
              <w:tc>
                <w:tcPr>
                  <w:tcW w:w="357" w:type="pct"/>
                  <w:tcBorders>
                    <w:top w:val="single" w:color="auto" w:sz="4" w:space="0"/>
                    <w:left w:val="single" w:color="auto" w:sz="4" w:space="0"/>
                    <w:bottom w:val="single" w:color="auto" w:sz="4" w:space="0"/>
                    <w:right w:val="single" w:color="auto" w:sz="4" w:space="0"/>
                  </w:tcBorders>
                  <w:vAlign w:val="center"/>
                </w:tcPr>
                <w:p w14:paraId="774432A6">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64" w:lineRule="auto"/>
                    <w:ind w:left="0" w:right="0"/>
                    <w:jc w:val="center"/>
                    <w:textAlignment w:val="auto"/>
                    <w:rPr>
                      <w:rFonts w:hint="default" w:ascii="Times New Roman" w:hAnsi="Times New Roman" w:eastAsia="宋体" w:cs="Times New Roman"/>
                      <w:b/>
                      <w:bCs w:val="0"/>
                      <w:kern w:val="0"/>
                      <w:sz w:val="18"/>
                      <w:szCs w:val="18"/>
                      <w:highlight w:val="none"/>
                      <w:lang w:val="en-US" w:eastAsia="zh-CN"/>
                    </w:rPr>
                  </w:pPr>
                  <w:r>
                    <w:rPr>
                      <w:rFonts w:hint="eastAsia" w:ascii="Times New Roman" w:hAnsi="Times New Roman" w:eastAsia="宋体" w:cs="Times New Roman"/>
                      <w:b/>
                      <w:bCs w:val="0"/>
                      <w:kern w:val="0"/>
                      <w:sz w:val="18"/>
                      <w:szCs w:val="18"/>
                      <w:highlight w:val="none"/>
                      <w:lang w:val="en-US" w:eastAsia="zh-CN"/>
                    </w:rPr>
                    <w:t>0.413</w:t>
                  </w:r>
                </w:p>
              </w:tc>
              <w:tc>
                <w:tcPr>
                  <w:tcW w:w="357" w:type="pct"/>
                  <w:tcBorders>
                    <w:top w:val="single" w:color="auto" w:sz="4" w:space="0"/>
                    <w:left w:val="single" w:color="auto" w:sz="4" w:space="0"/>
                    <w:bottom w:val="single" w:color="auto" w:sz="4" w:space="0"/>
                    <w:right w:val="single" w:color="auto" w:sz="4" w:space="0"/>
                  </w:tcBorders>
                  <w:vAlign w:val="center"/>
                </w:tcPr>
                <w:p w14:paraId="46C01647">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64" w:lineRule="auto"/>
                    <w:ind w:left="0" w:right="0"/>
                    <w:jc w:val="center"/>
                    <w:textAlignment w:val="auto"/>
                    <w:rPr>
                      <w:rFonts w:hint="default" w:ascii="Times New Roman" w:hAnsi="Times New Roman" w:eastAsia="宋体" w:cs="Times New Roman"/>
                      <w:b/>
                      <w:bCs w:val="0"/>
                      <w:kern w:val="0"/>
                      <w:sz w:val="18"/>
                      <w:szCs w:val="18"/>
                      <w:highlight w:val="none"/>
                      <w:lang w:val="en-US" w:eastAsia="zh-CN"/>
                    </w:rPr>
                  </w:pPr>
                  <w:r>
                    <w:rPr>
                      <w:rFonts w:hint="eastAsia" w:ascii="Times New Roman" w:hAnsi="Times New Roman" w:eastAsia="宋体" w:cs="Times New Roman"/>
                      <w:b/>
                      <w:bCs w:val="0"/>
                      <w:kern w:val="0"/>
                      <w:sz w:val="18"/>
                      <w:szCs w:val="18"/>
                      <w:highlight w:val="none"/>
                      <w:lang w:val="en-US" w:eastAsia="zh-CN"/>
                    </w:rPr>
                    <w:t>0.045</w:t>
                  </w:r>
                </w:p>
              </w:tc>
              <w:tc>
                <w:tcPr>
                  <w:tcW w:w="404" w:type="pct"/>
                  <w:vMerge w:val="continue"/>
                  <w:tcBorders>
                    <w:left w:val="single" w:color="auto" w:sz="4" w:space="0"/>
                    <w:right w:val="single" w:color="auto" w:sz="4" w:space="0"/>
                  </w:tcBorders>
                  <w:vAlign w:val="center"/>
                </w:tcPr>
                <w:p w14:paraId="458F7E16">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64" w:lineRule="auto"/>
                    <w:ind w:left="0" w:right="0"/>
                    <w:jc w:val="center"/>
                    <w:textAlignment w:val="auto"/>
                    <w:rPr>
                      <w:rFonts w:hint="default"/>
                      <w:bCs/>
                      <w:color w:val="FF0000"/>
                      <w:kern w:val="0"/>
                      <w:sz w:val="18"/>
                      <w:szCs w:val="18"/>
                      <w:highlight w:val="none"/>
                    </w:rPr>
                  </w:pPr>
                </w:p>
              </w:tc>
              <w:tc>
                <w:tcPr>
                  <w:tcW w:w="383" w:type="pct"/>
                  <w:vMerge w:val="continue"/>
                  <w:tcBorders>
                    <w:left w:val="single" w:color="auto" w:sz="4" w:space="0"/>
                    <w:right w:val="single" w:color="auto" w:sz="4" w:space="0"/>
                  </w:tcBorders>
                  <w:vAlign w:val="center"/>
                </w:tcPr>
                <w:p w14:paraId="08390B54">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64" w:lineRule="auto"/>
                    <w:ind w:left="0" w:right="0"/>
                    <w:jc w:val="center"/>
                    <w:textAlignment w:val="auto"/>
                    <w:rPr>
                      <w:rFonts w:hint="default"/>
                      <w:bCs/>
                      <w:color w:val="FF0000"/>
                      <w:kern w:val="0"/>
                      <w:sz w:val="18"/>
                      <w:szCs w:val="18"/>
                      <w:highlight w:val="none"/>
                    </w:rPr>
                  </w:pPr>
                </w:p>
              </w:tc>
              <w:tc>
                <w:tcPr>
                  <w:tcW w:w="240" w:type="pct"/>
                  <w:vMerge w:val="continue"/>
                  <w:tcBorders>
                    <w:left w:val="single" w:color="auto" w:sz="4" w:space="0"/>
                    <w:right w:val="single" w:color="auto" w:sz="4" w:space="0"/>
                  </w:tcBorders>
                  <w:vAlign w:val="center"/>
                </w:tcPr>
                <w:p w14:paraId="02B24614">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64" w:lineRule="auto"/>
                    <w:ind w:left="0" w:right="0"/>
                    <w:jc w:val="center"/>
                    <w:textAlignment w:val="auto"/>
                    <w:rPr>
                      <w:rFonts w:hint="default"/>
                      <w:bCs/>
                      <w:color w:val="FF0000"/>
                      <w:kern w:val="0"/>
                      <w:sz w:val="18"/>
                      <w:szCs w:val="18"/>
                      <w:highlight w:val="none"/>
                    </w:rPr>
                  </w:pPr>
                </w:p>
              </w:tc>
              <w:tc>
                <w:tcPr>
                  <w:tcW w:w="317" w:type="pct"/>
                  <w:vMerge w:val="continue"/>
                  <w:tcBorders>
                    <w:left w:val="single" w:color="auto" w:sz="4" w:space="0"/>
                    <w:right w:val="single" w:color="auto" w:sz="4" w:space="0"/>
                  </w:tcBorders>
                  <w:vAlign w:val="center"/>
                </w:tcPr>
                <w:p w14:paraId="015412A4">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64" w:lineRule="auto"/>
                    <w:ind w:left="0" w:right="0"/>
                    <w:jc w:val="center"/>
                    <w:textAlignment w:val="auto"/>
                    <w:rPr>
                      <w:rFonts w:hint="default"/>
                      <w:bCs/>
                      <w:color w:val="FF0000"/>
                      <w:kern w:val="0"/>
                      <w:sz w:val="18"/>
                      <w:szCs w:val="18"/>
                      <w:highlight w:val="none"/>
                    </w:rPr>
                  </w:pPr>
                </w:p>
              </w:tc>
              <w:tc>
                <w:tcPr>
                  <w:tcW w:w="380" w:type="pct"/>
                  <w:tcBorders>
                    <w:top w:val="single" w:color="auto" w:sz="4" w:space="0"/>
                    <w:left w:val="single" w:color="auto" w:sz="4" w:space="0"/>
                    <w:bottom w:val="single" w:color="auto" w:sz="4" w:space="0"/>
                    <w:right w:val="single" w:color="auto" w:sz="4" w:space="0"/>
                  </w:tcBorders>
                  <w:vAlign w:val="center"/>
                </w:tcPr>
                <w:p w14:paraId="5C48B28F">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64" w:lineRule="auto"/>
                    <w:ind w:left="0" w:right="0"/>
                    <w:jc w:val="center"/>
                    <w:textAlignment w:val="auto"/>
                    <w:rPr>
                      <w:rFonts w:hint="default" w:ascii="Times New Roman" w:hAnsi="Times New Roman" w:eastAsia="宋体" w:cs="Times New Roman"/>
                      <w:b/>
                      <w:bCs w:val="0"/>
                      <w:kern w:val="0"/>
                      <w:sz w:val="18"/>
                      <w:szCs w:val="18"/>
                      <w:highlight w:val="none"/>
                      <w:lang w:val="en-US" w:eastAsia="zh-CN"/>
                    </w:rPr>
                  </w:pPr>
                  <w:r>
                    <w:rPr>
                      <w:rFonts w:hint="eastAsia" w:ascii="Times New Roman" w:hAnsi="Times New Roman" w:eastAsia="宋体" w:cs="Times New Roman"/>
                      <w:b/>
                      <w:bCs w:val="0"/>
                      <w:kern w:val="0"/>
                      <w:sz w:val="18"/>
                      <w:szCs w:val="18"/>
                      <w:highlight w:val="none"/>
                      <w:lang w:val="en-US" w:eastAsia="zh-CN"/>
                    </w:rPr>
                    <w:t>0.078</w:t>
                  </w:r>
                </w:p>
              </w:tc>
              <w:tc>
                <w:tcPr>
                  <w:tcW w:w="362" w:type="pct"/>
                  <w:tcBorders>
                    <w:top w:val="single" w:color="auto" w:sz="4" w:space="0"/>
                    <w:left w:val="single" w:color="auto" w:sz="4" w:space="0"/>
                    <w:bottom w:val="single" w:color="auto" w:sz="4" w:space="0"/>
                    <w:right w:val="single" w:color="auto" w:sz="4" w:space="0"/>
                  </w:tcBorders>
                  <w:vAlign w:val="center"/>
                </w:tcPr>
                <w:p w14:paraId="171873AC">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64" w:lineRule="auto"/>
                    <w:ind w:left="0" w:right="0"/>
                    <w:jc w:val="center"/>
                    <w:textAlignment w:val="auto"/>
                    <w:rPr>
                      <w:rFonts w:hint="default" w:ascii="Times New Roman" w:hAnsi="Times New Roman" w:eastAsia="宋体" w:cs="Times New Roman"/>
                      <w:b/>
                      <w:bCs w:val="0"/>
                      <w:kern w:val="0"/>
                      <w:sz w:val="18"/>
                      <w:szCs w:val="18"/>
                      <w:highlight w:val="none"/>
                      <w:lang w:val="en-US" w:eastAsia="zh-CN"/>
                    </w:rPr>
                  </w:pPr>
                  <w:r>
                    <w:rPr>
                      <w:rFonts w:hint="eastAsia" w:ascii="Times New Roman" w:hAnsi="Times New Roman" w:eastAsia="宋体" w:cs="Times New Roman"/>
                      <w:b/>
                      <w:bCs w:val="0"/>
                      <w:kern w:val="0"/>
                      <w:sz w:val="18"/>
                      <w:szCs w:val="18"/>
                      <w:highlight w:val="none"/>
                      <w:lang w:val="en-US" w:eastAsia="zh-CN"/>
                    </w:rPr>
                    <w:t>0.008</w:t>
                  </w:r>
                </w:p>
              </w:tc>
              <w:tc>
                <w:tcPr>
                  <w:tcW w:w="340" w:type="pct"/>
                  <w:vMerge w:val="continue"/>
                  <w:tcBorders>
                    <w:left w:val="single" w:color="auto" w:sz="4" w:space="0"/>
                    <w:right w:val="single" w:color="auto" w:sz="4" w:space="0"/>
                  </w:tcBorders>
                  <w:vAlign w:val="center"/>
                </w:tcPr>
                <w:p w14:paraId="05E4567B">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64" w:lineRule="auto"/>
                    <w:ind w:left="0" w:right="0"/>
                    <w:jc w:val="center"/>
                    <w:textAlignment w:val="auto"/>
                    <w:rPr>
                      <w:rFonts w:hint="default"/>
                      <w:bCs/>
                      <w:kern w:val="0"/>
                      <w:sz w:val="18"/>
                      <w:szCs w:val="18"/>
                      <w:highlight w:val="none"/>
                    </w:rPr>
                  </w:pPr>
                </w:p>
              </w:tc>
              <w:tc>
                <w:tcPr>
                  <w:tcW w:w="255" w:type="pct"/>
                  <w:vMerge w:val="restart"/>
                  <w:tcBorders>
                    <w:left w:val="single" w:color="auto" w:sz="4" w:space="0"/>
                    <w:right w:val="single" w:color="auto" w:sz="4" w:space="0"/>
                  </w:tcBorders>
                  <w:vAlign w:val="center"/>
                </w:tcPr>
                <w:p w14:paraId="0F98B587">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64" w:lineRule="auto"/>
                    <w:ind w:left="0" w:right="0"/>
                    <w:jc w:val="center"/>
                    <w:textAlignment w:val="auto"/>
                    <w:rPr>
                      <w:rFonts w:hint="default"/>
                      <w:bCs/>
                      <w:kern w:val="0"/>
                      <w:sz w:val="18"/>
                      <w:szCs w:val="18"/>
                      <w:highlight w:val="none"/>
                    </w:rPr>
                  </w:pPr>
                  <w:r>
                    <w:rPr>
                      <w:rFonts w:hint="default"/>
                      <w:bCs/>
                      <w:kern w:val="0"/>
                      <w:sz w:val="18"/>
                      <w:szCs w:val="18"/>
                      <w:highlight w:val="none"/>
                    </w:rPr>
                    <w:t>/</w:t>
                  </w:r>
                </w:p>
              </w:tc>
            </w:tr>
            <w:tr w14:paraId="5CAE6E6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jc w:val="center"/>
              </w:trPr>
              <w:tc>
                <w:tcPr>
                  <w:tcW w:w="1007" w:type="pct"/>
                  <w:gridSpan w:val="3"/>
                  <w:vMerge w:val="continue"/>
                  <w:tcBorders>
                    <w:left w:val="single" w:color="auto" w:sz="4" w:space="0"/>
                    <w:right w:val="single" w:color="auto" w:sz="4" w:space="0"/>
                  </w:tcBorders>
                  <w:vAlign w:val="center"/>
                </w:tcPr>
                <w:p w14:paraId="13B9735C">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64" w:lineRule="auto"/>
                    <w:ind w:left="0" w:right="0"/>
                    <w:jc w:val="center"/>
                    <w:textAlignment w:val="auto"/>
                    <w:rPr>
                      <w:rFonts w:hint="default"/>
                      <w:b/>
                      <w:bCs w:val="0"/>
                      <w:kern w:val="0"/>
                      <w:sz w:val="18"/>
                      <w:szCs w:val="18"/>
                      <w:highlight w:val="none"/>
                    </w:rPr>
                  </w:pPr>
                </w:p>
              </w:tc>
              <w:tc>
                <w:tcPr>
                  <w:tcW w:w="593" w:type="pct"/>
                  <w:tcBorders>
                    <w:top w:val="single" w:color="auto" w:sz="4" w:space="0"/>
                    <w:left w:val="single" w:color="auto" w:sz="4" w:space="0"/>
                    <w:bottom w:val="single" w:color="auto" w:sz="4" w:space="0"/>
                    <w:right w:val="single" w:color="auto" w:sz="4" w:space="0"/>
                  </w:tcBorders>
                  <w:vAlign w:val="center"/>
                </w:tcPr>
                <w:p w14:paraId="65E2A6F8">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64" w:lineRule="auto"/>
                    <w:ind w:left="0" w:right="0"/>
                    <w:jc w:val="center"/>
                    <w:textAlignment w:val="auto"/>
                    <w:rPr>
                      <w:rFonts w:hint="default"/>
                      <w:b/>
                      <w:bCs w:val="0"/>
                      <w:kern w:val="0"/>
                      <w:sz w:val="18"/>
                      <w:szCs w:val="18"/>
                      <w:highlight w:val="none"/>
                    </w:rPr>
                  </w:pPr>
                  <w:r>
                    <w:rPr>
                      <w:rFonts w:hint="default"/>
                      <w:b/>
                      <w:bCs w:val="0"/>
                      <w:kern w:val="0"/>
                      <w:sz w:val="18"/>
                      <w:szCs w:val="18"/>
                      <w:highlight w:val="none"/>
                    </w:rPr>
                    <w:t>硫化氢</w:t>
                  </w:r>
                </w:p>
              </w:tc>
              <w:tc>
                <w:tcPr>
                  <w:tcW w:w="357" w:type="pct"/>
                  <w:tcBorders>
                    <w:top w:val="single" w:color="auto" w:sz="4" w:space="0"/>
                    <w:left w:val="single" w:color="auto" w:sz="4" w:space="0"/>
                    <w:bottom w:val="single" w:color="auto" w:sz="4" w:space="0"/>
                    <w:right w:val="single" w:color="auto" w:sz="4" w:space="0"/>
                  </w:tcBorders>
                  <w:vAlign w:val="center"/>
                </w:tcPr>
                <w:p w14:paraId="23D58819">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64" w:lineRule="auto"/>
                    <w:ind w:left="0" w:right="0"/>
                    <w:jc w:val="center"/>
                    <w:textAlignment w:val="auto"/>
                    <w:rPr>
                      <w:rFonts w:hint="default" w:ascii="Times New Roman" w:hAnsi="Times New Roman" w:eastAsia="宋体" w:cs="Times New Roman"/>
                      <w:b/>
                      <w:bCs w:val="0"/>
                      <w:kern w:val="0"/>
                      <w:sz w:val="18"/>
                      <w:szCs w:val="18"/>
                      <w:highlight w:val="none"/>
                      <w:lang w:val="en-US" w:eastAsia="zh-CN"/>
                    </w:rPr>
                  </w:pPr>
                  <w:r>
                    <w:rPr>
                      <w:rFonts w:hint="eastAsia" w:ascii="Times New Roman" w:hAnsi="Times New Roman" w:eastAsia="宋体" w:cs="Times New Roman"/>
                      <w:b/>
                      <w:bCs w:val="0"/>
                      <w:kern w:val="0"/>
                      <w:sz w:val="18"/>
                      <w:szCs w:val="18"/>
                      <w:highlight w:val="none"/>
                      <w:lang w:val="en-US" w:eastAsia="zh-CN"/>
                    </w:rPr>
                    <w:t>0.063</w:t>
                  </w:r>
                </w:p>
              </w:tc>
              <w:tc>
                <w:tcPr>
                  <w:tcW w:w="357" w:type="pct"/>
                  <w:tcBorders>
                    <w:top w:val="single" w:color="auto" w:sz="4" w:space="0"/>
                    <w:left w:val="single" w:color="auto" w:sz="4" w:space="0"/>
                    <w:bottom w:val="single" w:color="auto" w:sz="4" w:space="0"/>
                    <w:right w:val="single" w:color="auto" w:sz="4" w:space="0"/>
                  </w:tcBorders>
                  <w:vAlign w:val="center"/>
                </w:tcPr>
                <w:p w14:paraId="3FA182F1">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64" w:lineRule="auto"/>
                    <w:ind w:left="0" w:right="0"/>
                    <w:jc w:val="center"/>
                    <w:textAlignment w:val="auto"/>
                    <w:rPr>
                      <w:rFonts w:hint="default" w:ascii="Times New Roman" w:hAnsi="Times New Roman" w:eastAsia="宋体" w:cs="Times New Roman"/>
                      <w:b/>
                      <w:bCs w:val="0"/>
                      <w:kern w:val="0"/>
                      <w:sz w:val="18"/>
                      <w:szCs w:val="18"/>
                      <w:highlight w:val="none"/>
                      <w:lang w:val="en-US" w:eastAsia="zh-CN"/>
                    </w:rPr>
                  </w:pPr>
                  <w:r>
                    <w:rPr>
                      <w:rFonts w:hint="eastAsia" w:ascii="Times New Roman" w:hAnsi="Times New Roman" w:eastAsia="宋体" w:cs="Times New Roman"/>
                      <w:b/>
                      <w:bCs w:val="0"/>
                      <w:kern w:val="0"/>
                      <w:sz w:val="18"/>
                      <w:szCs w:val="18"/>
                      <w:highlight w:val="none"/>
                      <w:lang w:val="en-US" w:eastAsia="zh-CN"/>
                    </w:rPr>
                    <w:t>0.007</w:t>
                  </w:r>
                </w:p>
              </w:tc>
              <w:tc>
                <w:tcPr>
                  <w:tcW w:w="404" w:type="pct"/>
                  <w:vMerge w:val="continue"/>
                  <w:tcBorders>
                    <w:left w:val="single" w:color="auto" w:sz="4" w:space="0"/>
                    <w:right w:val="single" w:color="auto" w:sz="4" w:space="0"/>
                  </w:tcBorders>
                  <w:vAlign w:val="center"/>
                </w:tcPr>
                <w:p w14:paraId="55271A2F">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64" w:lineRule="auto"/>
                    <w:ind w:left="0" w:right="0"/>
                    <w:jc w:val="center"/>
                    <w:textAlignment w:val="auto"/>
                    <w:rPr>
                      <w:rFonts w:hint="default"/>
                      <w:bCs/>
                      <w:color w:val="FF0000"/>
                      <w:kern w:val="0"/>
                      <w:sz w:val="18"/>
                      <w:szCs w:val="18"/>
                      <w:highlight w:val="none"/>
                    </w:rPr>
                  </w:pPr>
                </w:p>
              </w:tc>
              <w:tc>
                <w:tcPr>
                  <w:tcW w:w="383" w:type="pct"/>
                  <w:vMerge w:val="continue"/>
                  <w:tcBorders>
                    <w:left w:val="single" w:color="auto" w:sz="4" w:space="0"/>
                    <w:right w:val="single" w:color="auto" w:sz="4" w:space="0"/>
                  </w:tcBorders>
                  <w:vAlign w:val="center"/>
                </w:tcPr>
                <w:p w14:paraId="1B8D33BA">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64" w:lineRule="auto"/>
                    <w:ind w:left="0" w:right="0"/>
                    <w:jc w:val="center"/>
                    <w:textAlignment w:val="auto"/>
                    <w:rPr>
                      <w:rFonts w:hint="default"/>
                      <w:bCs/>
                      <w:color w:val="FF0000"/>
                      <w:kern w:val="0"/>
                      <w:sz w:val="18"/>
                      <w:szCs w:val="18"/>
                      <w:highlight w:val="none"/>
                    </w:rPr>
                  </w:pPr>
                </w:p>
              </w:tc>
              <w:tc>
                <w:tcPr>
                  <w:tcW w:w="240" w:type="pct"/>
                  <w:vMerge w:val="continue"/>
                  <w:tcBorders>
                    <w:left w:val="single" w:color="auto" w:sz="4" w:space="0"/>
                    <w:right w:val="single" w:color="auto" w:sz="4" w:space="0"/>
                  </w:tcBorders>
                  <w:vAlign w:val="center"/>
                </w:tcPr>
                <w:p w14:paraId="4520D2BC">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64" w:lineRule="auto"/>
                    <w:ind w:left="0" w:right="0"/>
                    <w:jc w:val="center"/>
                    <w:textAlignment w:val="auto"/>
                    <w:rPr>
                      <w:rFonts w:hint="default"/>
                      <w:bCs/>
                      <w:color w:val="FF0000"/>
                      <w:kern w:val="0"/>
                      <w:sz w:val="18"/>
                      <w:szCs w:val="18"/>
                      <w:highlight w:val="none"/>
                    </w:rPr>
                  </w:pPr>
                </w:p>
              </w:tc>
              <w:tc>
                <w:tcPr>
                  <w:tcW w:w="317" w:type="pct"/>
                  <w:vMerge w:val="continue"/>
                  <w:tcBorders>
                    <w:left w:val="single" w:color="auto" w:sz="4" w:space="0"/>
                    <w:right w:val="single" w:color="auto" w:sz="4" w:space="0"/>
                  </w:tcBorders>
                  <w:vAlign w:val="center"/>
                </w:tcPr>
                <w:p w14:paraId="7E869E06">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64" w:lineRule="auto"/>
                    <w:ind w:left="0" w:right="0"/>
                    <w:jc w:val="center"/>
                    <w:textAlignment w:val="auto"/>
                    <w:rPr>
                      <w:rFonts w:hint="default"/>
                      <w:bCs/>
                      <w:color w:val="FF0000"/>
                      <w:kern w:val="0"/>
                      <w:sz w:val="18"/>
                      <w:szCs w:val="18"/>
                      <w:highlight w:val="none"/>
                    </w:rPr>
                  </w:pPr>
                </w:p>
              </w:tc>
              <w:tc>
                <w:tcPr>
                  <w:tcW w:w="380" w:type="pct"/>
                  <w:tcBorders>
                    <w:top w:val="single" w:color="auto" w:sz="4" w:space="0"/>
                    <w:left w:val="single" w:color="auto" w:sz="4" w:space="0"/>
                    <w:bottom w:val="single" w:color="auto" w:sz="4" w:space="0"/>
                    <w:right w:val="single" w:color="auto" w:sz="4" w:space="0"/>
                  </w:tcBorders>
                  <w:vAlign w:val="center"/>
                </w:tcPr>
                <w:p w14:paraId="2F176141">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64" w:lineRule="auto"/>
                    <w:ind w:left="0" w:right="0"/>
                    <w:jc w:val="center"/>
                    <w:textAlignment w:val="auto"/>
                    <w:rPr>
                      <w:rFonts w:hint="default" w:ascii="Times New Roman" w:hAnsi="Times New Roman" w:eastAsia="宋体" w:cs="Times New Roman"/>
                      <w:b/>
                      <w:bCs w:val="0"/>
                      <w:kern w:val="0"/>
                      <w:sz w:val="18"/>
                      <w:szCs w:val="18"/>
                      <w:highlight w:val="none"/>
                      <w:lang w:val="en-US" w:eastAsia="zh-CN"/>
                    </w:rPr>
                  </w:pPr>
                  <w:r>
                    <w:rPr>
                      <w:rFonts w:hint="eastAsia" w:ascii="Times New Roman" w:hAnsi="Times New Roman" w:eastAsia="宋体" w:cs="Times New Roman"/>
                      <w:b/>
                      <w:bCs w:val="0"/>
                      <w:kern w:val="0"/>
                      <w:sz w:val="18"/>
                      <w:szCs w:val="18"/>
                      <w:highlight w:val="none"/>
                      <w:lang w:val="en-US" w:eastAsia="zh-CN"/>
                    </w:rPr>
                    <w:t>0.036</w:t>
                  </w:r>
                </w:p>
              </w:tc>
              <w:tc>
                <w:tcPr>
                  <w:tcW w:w="362" w:type="pct"/>
                  <w:tcBorders>
                    <w:top w:val="single" w:color="auto" w:sz="4" w:space="0"/>
                    <w:left w:val="single" w:color="auto" w:sz="4" w:space="0"/>
                    <w:bottom w:val="single" w:color="auto" w:sz="4" w:space="0"/>
                    <w:right w:val="single" w:color="auto" w:sz="4" w:space="0"/>
                  </w:tcBorders>
                  <w:vAlign w:val="center"/>
                </w:tcPr>
                <w:p w14:paraId="1D3CE408">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64" w:lineRule="auto"/>
                    <w:ind w:left="0" w:right="0"/>
                    <w:jc w:val="center"/>
                    <w:textAlignment w:val="auto"/>
                    <w:rPr>
                      <w:rFonts w:hint="default" w:ascii="Times New Roman" w:hAnsi="Times New Roman" w:eastAsia="宋体" w:cs="Times New Roman"/>
                      <w:b/>
                      <w:bCs w:val="0"/>
                      <w:kern w:val="0"/>
                      <w:sz w:val="18"/>
                      <w:szCs w:val="18"/>
                      <w:highlight w:val="none"/>
                      <w:lang w:val="en-US" w:eastAsia="zh-CN"/>
                    </w:rPr>
                  </w:pPr>
                  <w:r>
                    <w:rPr>
                      <w:rFonts w:hint="eastAsia" w:ascii="Times New Roman" w:hAnsi="Times New Roman" w:eastAsia="宋体" w:cs="Times New Roman"/>
                      <w:b/>
                      <w:bCs w:val="0"/>
                      <w:kern w:val="0"/>
                      <w:sz w:val="18"/>
                      <w:szCs w:val="18"/>
                      <w:highlight w:val="none"/>
                      <w:lang w:val="en-US" w:eastAsia="zh-CN"/>
                    </w:rPr>
                    <w:t>0.004</w:t>
                  </w:r>
                </w:p>
              </w:tc>
              <w:tc>
                <w:tcPr>
                  <w:tcW w:w="340" w:type="pct"/>
                  <w:vMerge w:val="continue"/>
                  <w:tcBorders>
                    <w:left w:val="single" w:color="auto" w:sz="4" w:space="0"/>
                    <w:right w:val="single" w:color="auto" w:sz="4" w:space="0"/>
                  </w:tcBorders>
                  <w:vAlign w:val="center"/>
                </w:tcPr>
                <w:p w14:paraId="35F37CD5">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64" w:lineRule="auto"/>
                    <w:ind w:left="0" w:right="0"/>
                    <w:jc w:val="center"/>
                    <w:textAlignment w:val="auto"/>
                    <w:rPr>
                      <w:rFonts w:hint="default"/>
                      <w:bCs/>
                      <w:kern w:val="0"/>
                      <w:sz w:val="18"/>
                      <w:szCs w:val="18"/>
                      <w:highlight w:val="none"/>
                    </w:rPr>
                  </w:pPr>
                </w:p>
              </w:tc>
              <w:tc>
                <w:tcPr>
                  <w:tcW w:w="255" w:type="pct"/>
                  <w:vMerge w:val="continue"/>
                  <w:tcBorders>
                    <w:left w:val="single" w:color="auto" w:sz="4" w:space="0"/>
                    <w:right w:val="single" w:color="auto" w:sz="4" w:space="0"/>
                  </w:tcBorders>
                  <w:vAlign w:val="center"/>
                </w:tcPr>
                <w:p w14:paraId="7AAC2C8F">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64" w:lineRule="auto"/>
                    <w:ind w:left="0" w:right="0"/>
                    <w:jc w:val="center"/>
                    <w:textAlignment w:val="auto"/>
                    <w:rPr>
                      <w:rFonts w:hint="default"/>
                      <w:bCs/>
                      <w:kern w:val="0"/>
                      <w:sz w:val="18"/>
                      <w:szCs w:val="18"/>
                      <w:highlight w:val="none"/>
                    </w:rPr>
                  </w:pPr>
                </w:p>
              </w:tc>
            </w:tr>
            <w:tr w14:paraId="7233FAC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jc w:val="center"/>
              </w:trPr>
              <w:tc>
                <w:tcPr>
                  <w:tcW w:w="1007" w:type="pct"/>
                  <w:gridSpan w:val="3"/>
                  <w:vMerge w:val="continue"/>
                  <w:tcBorders>
                    <w:left w:val="single" w:color="auto" w:sz="4" w:space="0"/>
                    <w:right w:val="single" w:color="auto" w:sz="4" w:space="0"/>
                  </w:tcBorders>
                  <w:vAlign w:val="center"/>
                </w:tcPr>
                <w:p w14:paraId="0887058A">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64" w:lineRule="auto"/>
                    <w:ind w:left="0" w:right="0"/>
                    <w:jc w:val="center"/>
                    <w:textAlignment w:val="auto"/>
                    <w:rPr>
                      <w:rFonts w:hint="default"/>
                      <w:b/>
                      <w:bCs w:val="0"/>
                      <w:kern w:val="0"/>
                      <w:sz w:val="18"/>
                      <w:szCs w:val="18"/>
                      <w:highlight w:val="none"/>
                    </w:rPr>
                  </w:pPr>
                </w:p>
              </w:tc>
              <w:tc>
                <w:tcPr>
                  <w:tcW w:w="593" w:type="pct"/>
                  <w:tcBorders>
                    <w:top w:val="single" w:color="auto" w:sz="4" w:space="0"/>
                    <w:left w:val="single" w:color="auto" w:sz="4" w:space="0"/>
                    <w:bottom w:val="single" w:color="auto" w:sz="4" w:space="0"/>
                    <w:right w:val="single" w:color="auto" w:sz="4" w:space="0"/>
                  </w:tcBorders>
                  <w:vAlign w:val="center"/>
                </w:tcPr>
                <w:p w14:paraId="5F2CF863">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64" w:lineRule="auto"/>
                    <w:ind w:left="0" w:right="0"/>
                    <w:jc w:val="center"/>
                    <w:textAlignment w:val="auto"/>
                    <w:rPr>
                      <w:rFonts w:hint="eastAsia" w:eastAsia="宋体"/>
                      <w:b/>
                      <w:bCs w:val="0"/>
                      <w:kern w:val="0"/>
                      <w:sz w:val="18"/>
                      <w:szCs w:val="18"/>
                      <w:highlight w:val="none"/>
                      <w:lang w:val="en-US" w:eastAsia="zh-CN"/>
                    </w:rPr>
                  </w:pPr>
                  <w:r>
                    <w:rPr>
                      <w:rFonts w:hint="eastAsia"/>
                      <w:b/>
                      <w:bCs w:val="0"/>
                      <w:kern w:val="0"/>
                      <w:sz w:val="18"/>
                      <w:szCs w:val="18"/>
                      <w:highlight w:val="none"/>
                      <w:lang w:val="en-US" w:eastAsia="zh-CN"/>
                    </w:rPr>
                    <w:t>氯气</w:t>
                  </w:r>
                </w:p>
              </w:tc>
              <w:tc>
                <w:tcPr>
                  <w:tcW w:w="714" w:type="pct"/>
                  <w:gridSpan w:val="2"/>
                  <w:tcBorders>
                    <w:top w:val="single" w:color="auto" w:sz="4" w:space="0"/>
                    <w:left w:val="single" w:color="auto" w:sz="4" w:space="0"/>
                    <w:bottom w:val="single" w:color="auto" w:sz="4" w:space="0"/>
                    <w:right w:val="single" w:color="auto" w:sz="4" w:space="0"/>
                  </w:tcBorders>
                  <w:vAlign w:val="center"/>
                </w:tcPr>
                <w:p w14:paraId="32EFF815">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64" w:lineRule="auto"/>
                    <w:ind w:left="0" w:right="0"/>
                    <w:jc w:val="center"/>
                    <w:textAlignment w:val="auto"/>
                    <w:rPr>
                      <w:rFonts w:hint="eastAsia" w:ascii="Times New Roman" w:hAnsi="Times New Roman" w:eastAsia="宋体" w:cs="Times New Roman"/>
                      <w:b/>
                      <w:bCs w:val="0"/>
                      <w:kern w:val="0"/>
                      <w:sz w:val="18"/>
                      <w:szCs w:val="18"/>
                      <w:highlight w:val="none"/>
                      <w:lang w:val="en-US" w:eastAsia="zh-CN"/>
                    </w:rPr>
                  </w:pPr>
                  <w:r>
                    <w:rPr>
                      <w:rFonts w:hint="eastAsia" w:cs="Times New Roman"/>
                      <w:b/>
                      <w:bCs w:val="0"/>
                      <w:i w:val="0"/>
                      <w:iCs w:val="0"/>
                      <w:color w:val="000000"/>
                      <w:kern w:val="0"/>
                      <w:sz w:val="18"/>
                      <w:szCs w:val="18"/>
                      <w:highlight w:val="none"/>
                      <w:u w:val="none"/>
                      <w:lang w:val="en-US" w:eastAsia="zh-CN" w:bidi="ar"/>
                    </w:rPr>
                    <w:t>少量</w:t>
                  </w:r>
                </w:p>
              </w:tc>
              <w:tc>
                <w:tcPr>
                  <w:tcW w:w="404" w:type="pct"/>
                  <w:vMerge w:val="continue"/>
                  <w:tcBorders>
                    <w:left w:val="single" w:color="auto" w:sz="4" w:space="0"/>
                    <w:right w:val="single" w:color="auto" w:sz="4" w:space="0"/>
                  </w:tcBorders>
                  <w:vAlign w:val="center"/>
                </w:tcPr>
                <w:p w14:paraId="70534C5B">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64" w:lineRule="auto"/>
                    <w:ind w:left="0" w:right="0"/>
                    <w:jc w:val="center"/>
                    <w:textAlignment w:val="auto"/>
                    <w:rPr>
                      <w:rFonts w:hint="default"/>
                      <w:bCs/>
                      <w:color w:val="FF0000"/>
                      <w:kern w:val="0"/>
                      <w:sz w:val="18"/>
                      <w:szCs w:val="18"/>
                      <w:highlight w:val="none"/>
                    </w:rPr>
                  </w:pPr>
                </w:p>
              </w:tc>
              <w:tc>
                <w:tcPr>
                  <w:tcW w:w="383" w:type="pct"/>
                  <w:vMerge w:val="continue"/>
                  <w:tcBorders>
                    <w:left w:val="single" w:color="auto" w:sz="4" w:space="0"/>
                    <w:right w:val="single" w:color="auto" w:sz="4" w:space="0"/>
                  </w:tcBorders>
                  <w:vAlign w:val="center"/>
                </w:tcPr>
                <w:p w14:paraId="4CFB77DF">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64" w:lineRule="auto"/>
                    <w:ind w:left="0" w:right="0"/>
                    <w:jc w:val="center"/>
                    <w:textAlignment w:val="auto"/>
                    <w:rPr>
                      <w:rFonts w:hint="default"/>
                      <w:bCs/>
                      <w:color w:val="FF0000"/>
                      <w:kern w:val="0"/>
                      <w:sz w:val="18"/>
                      <w:szCs w:val="18"/>
                      <w:highlight w:val="none"/>
                    </w:rPr>
                  </w:pPr>
                </w:p>
              </w:tc>
              <w:tc>
                <w:tcPr>
                  <w:tcW w:w="240" w:type="pct"/>
                  <w:vMerge w:val="continue"/>
                  <w:tcBorders>
                    <w:left w:val="single" w:color="auto" w:sz="4" w:space="0"/>
                    <w:right w:val="single" w:color="auto" w:sz="4" w:space="0"/>
                  </w:tcBorders>
                  <w:vAlign w:val="center"/>
                </w:tcPr>
                <w:p w14:paraId="2FE78133">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64" w:lineRule="auto"/>
                    <w:ind w:left="0" w:right="0"/>
                    <w:jc w:val="center"/>
                    <w:textAlignment w:val="auto"/>
                    <w:rPr>
                      <w:rFonts w:hint="default"/>
                      <w:bCs/>
                      <w:color w:val="FF0000"/>
                      <w:kern w:val="0"/>
                      <w:sz w:val="18"/>
                      <w:szCs w:val="18"/>
                      <w:highlight w:val="none"/>
                    </w:rPr>
                  </w:pPr>
                </w:p>
              </w:tc>
              <w:tc>
                <w:tcPr>
                  <w:tcW w:w="317" w:type="pct"/>
                  <w:vMerge w:val="continue"/>
                  <w:tcBorders>
                    <w:left w:val="single" w:color="auto" w:sz="4" w:space="0"/>
                    <w:right w:val="single" w:color="auto" w:sz="4" w:space="0"/>
                  </w:tcBorders>
                  <w:vAlign w:val="center"/>
                </w:tcPr>
                <w:p w14:paraId="3E7D9D60">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64" w:lineRule="auto"/>
                    <w:ind w:left="0" w:right="0"/>
                    <w:jc w:val="center"/>
                    <w:textAlignment w:val="auto"/>
                    <w:rPr>
                      <w:rFonts w:hint="default"/>
                      <w:bCs/>
                      <w:color w:val="FF0000"/>
                      <w:kern w:val="0"/>
                      <w:sz w:val="18"/>
                      <w:szCs w:val="18"/>
                      <w:highlight w:val="none"/>
                    </w:rPr>
                  </w:pPr>
                </w:p>
              </w:tc>
              <w:tc>
                <w:tcPr>
                  <w:tcW w:w="743" w:type="pct"/>
                  <w:gridSpan w:val="2"/>
                  <w:tcBorders>
                    <w:top w:val="single" w:color="auto" w:sz="4" w:space="0"/>
                    <w:left w:val="single" w:color="auto" w:sz="4" w:space="0"/>
                    <w:bottom w:val="single" w:color="auto" w:sz="4" w:space="0"/>
                    <w:right w:val="single" w:color="auto" w:sz="4" w:space="0"/>
                  </w:tcBorders>
                  <w:shd w:val="clear" w:color="auto" w:fill="auto"/>
                  <w:vAlign w:val="center"/>
                </w:tcPr>
                <w:p w14:paraId="449C018C">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64" w:lineRule="auto"/>
                    <w:ind w:left="0" w:right="0"/>
                    <w:jc w:val="center"/>
                    <w:textAlignment w:val="auto"/>
                    <w:rPr>
                      <w:rFonts w:hint="eastAsia" w:ascii="Times New Roman" w:hAnsi="Times New Roman" w:eastAsia="宋体" w:cs="Times New Roman"/>
                      <w:b/>
                      <w:bCs w:val="0"/>
                      <w:kern w:val="0"/>
                      <w:sz w:val="18"/>
                      <w:szCs w:val="18"/>
                      <w:highlight w:val="none"/>
                      <w:lang w:val="en-US" w:eastAsia="zh-CN"/>
                    </w:rPr>
                  </w:pPr>
                  <w:r>
                    <w:rPr>
                      <w:rFonts w:hint="eastAsia" w:cs="Times New Roman"/>
                      <w:b/>
                      <w:bCs/>
                      <w:i w:val="0"/>
                      <w:iCs w:val="0"/>
                      <w:color w:val="000000"/>
                      <w:kern w:val="0"/>
                      <w:sz w:val="18"/>
                      <w:szCs w:val="18"/>
                      <w:highlight w:val="none"/>
                      <w:u w:val="none"/>
                      <w:lang w:val="en-US" w:eastAsia="zh-CN" w:bidi="ar"/>
                    </w:rPr>
                    <w:t>少量</w:t>
                  </w:r>
                </w:p>
              </w:tc>
              <w:tc>
                <w:tcPr>
                  <w:tcW w:w="340" w:type="pct"/>
                  <w:vMerge w:val="continue"/>
                  <w:tcBorders>
                    <w:left w:val="single" w:color="auto" w:sz="4" w:space="0"/>
                    <w:right w:val="single" w:color="auto" w:sz="4" w:space="0"/>
                  </w:tcBorders>
                  <w:vAlign w:val="center"/>
                </w:tcPr>
                <w:p w14:paraId="74EAD6C9">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64" w:lineRule="auto"/>
                    <w:ind w:left="0" w:right="0"/>
                    <w:jc w:val="center"/>
                    <w:textAlignment w:val="auto"/>
                    <w:rPr>
                      <w:rFonts w:hint="default"/>
                      <w:bCs/>
                      <w:kern w:val="0"/>
                      <w:sz w:val="18"/>
                      <w:szCs w:val="18"/>
                      <w:highlight w:val="none"/>
                    </w:rPr>
                  </w:pPr>
                </w:p>
              </w:tc>
              <w:tc>
                <w:tcPr>
                  <w:tcW w:w="255" w:type="pct"/>
                  <w:vMerge w:val="continue"/>
                  <w:tcBorders>
                    <w:left w:val="single" w:color="auto" w:sz="4" w:space="0"/>
                    <w:right w:val="single" w:color="auto" w:sz="4" w:space="0"/>
                  </w:tcBorders>
                  <w:vAlign w:val="center"/>
                </w:tcPr>
                <w:p w14:paraId="2389D7BA">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64" w:lineRule="auto"/>
                    <w:ind w:left="0" w:right="0"/>
                    <w:jc w:val="center"/>
                    <w:textAlignment w:val="auto"/>
                    <w:rPr>
                      <w:rFonts w:hint="default"/>
                      <w:bCs/>
                      <w:kern w:val="0"/>
                      <w:sz w:val="18"/>
                      <w:szCs w:val="18"/>
                      <w:highlight w:val="none"/>
                    </w:rPr>
                  </w:pPr>
                </w:p>
              </w:tc>
            </w:tr>
            <w:tr w14:paraId="0619ECF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jc w:val="center"/>
              </w:trPr>
              <w:tc>
                <w:tcPr>
                  <w:tcW w:w="1007" w:type="pct"/>
                  <w:gridSpan w:val="3"/>
                  <w:vMerge w:val="continue"/>
                  <w:tcBorders>
                    <w:left w:val="single" w:color="auto" w:sz="4" w:space="0"/>
                    <w:right w:val="single" w:color="auto" w:sz="4" w:space="0"/>
                  </w:tcBorders>
                  <w:vAlign w:val="center"/>
                </w:tcPr>
                <w:p w14:paraId="17876EF2">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64" w:lineRule="auto"/>
                    <w:ind w:left="0" w:right="0"/>
                    <w:jc w:val="center"/>
                    <w:textAlignment w:val="auto"/>
                    <w:rPr>
                      <w:rFonts w:hint="default"/>
                      <w:b/>
                      <w:bCs w:val="0"/>
                      <w:kern w:val="0"/>
                      <w:sz w:val="18"/>
                      <w:szCs w:val="18"/>
                      <w:highlight w:val="none"/>
                    </w:rPr>
                  </w:pPr>
                </w:p>
              </w:tc>
              <w:tc>
                <w:tcPr>
                  <w:tcW w:w="593" w:type="pct"/>
                  <w:tcBorders>
                    <w:top w:val="single" w:color="auto" w:sz="4" w:space="0"/>
                    <w:left w:val="single" w:color="auto" w:sz="4" w:space="0"/>
                    <w:bottom w:val="single" w:color="auto" w:sz="4" w:space="0"/>
                    <w:right w:val="single" w:color="auto" w:sz="4" w:space="0"/>
                  </w:tcBorders>
                  <w:vAlign w:val="center"/>
                </w:tcPr>
                <w:p w14:paraId="73757160">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64" w:lineRule="auto"/>
                    <w:ind w:left="0" w:right="0"/>
                    <w:jc w:val="center"/>
                    <w:textAlignment w:val="auto"/>
                    <w:rPr>
                      <w:rFonts w:hint="default"/>
                      <w:b/>
                      <w:bCs w:val="0"/>
                      <w:kern w:val="0"/>
                      <w:sz w:val="18"/>
                      <w:szCs w:val="18"/>
                      <w:highlight w:val="none"/>
                      <w:lang w:val="en-US" w:eastAsia="zh-CN"/>
                    </w:rPr>
                  </w:pPr>
                  <w:r>
                    <w:rPr>
                      <w:rFonts w:hint="eastAsia"/>
                      <w:b/>
                      <w:bCs w:val="0"/>
                      <w:kern w:val="0"/>
                      <w:sz w:val="18"/>
                      <w:szCs w:val="18"/>
                      <w:highlight w:val="none"/>
                      <w:lang w:val="en-US" w:eastAsia="zh-CN"/>
                    </w:rPr>
                    <w:t>颗粒物</w:t>
                  </w:r>
                </w:p>
              </w:tc>
              <w:tc>
                <w:tcPr>
                  <w:tcW w:w="714" w:type="pct"/>
                  <w:gridSpan w:val="2"/>
                  <w:tcBorders>
                    <w:top w:val="single" w:color="auto" w:sz="4" w:space="0"/>
                    <w:left w:val="single" w:color="auto" w:sz="4" w:space="0"/>
                    <w:bottom w:val="single" w:color="auto" w:sz="4" w:space="0"/>
                    <w:right w:val="single" w:color="auto" w:sz="4" w:space="0"/>
                  </w:tcBorders>
                  <w:vAlign w:val="center"/>
                </w:tcPr>
                <w:p w14:paraId="78C8A08E">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64" w:lineRule="auto"/>
                    <w:ind w:left="0" w:right="0"/>
                    <w:jc w:val="center"/>
                    <w:textAlignment w:val="auto"/>
                    <w:rPr>
                      <w:rFonts w:hint="eastAsia" w:cs="Times New Roman"/>
                      <w:b/>
                      <w:bCs w:val="0"/>
                      <w:i w:val="0"/>
                      <w:iCs w:val="0"/>
                      <w:color w:val="000000"/>
                      <w:kern w:val="0"/>
                      <w:sz w:val="18"/>
                      <w:szCs w:val="18"/>
                      <w:highlight w:val="none"/>
                      <w:u w:val="none"/>
                      <w:lang w:val="en-US" w:eastAsia="zh-CN" w:bidi="ar"/>
                    </w:rPr>
                  </w:pPr>
                  <w:r>
                    <w:rPr>
                      <w:rFonts w:hint="eastAsia" w:cs="Times New Roman"/>
                      <w:b/>
                      <w:bCs w:val="0"/>
                      <w:i w:val="0"/>
                      <w:iCs w:val="0"/>
                      <w:color w:val="000000"/>
                      <w:kern w:val="0"/>
                      <w:sz w:val="18"/>
                      <w:szCs w:val="18"/>
                      <w:highlight w:val="none"/>
                      <w:u w:val="none"/>
                      <w:lang w:val="en-US" w:eastAsia="zh-CN" w:bidi="ar"/>
                    </w:rPr>
                    <w:t>少量</w:t>
                  </w:r>
                </w:p>
              </w:tc>
              <w:tc>
                <w:tcPr>
                  <w:tcW w:w="404" w:type="pct"/>
                  <w:vMerge w:val="continue"/>
                  <w:tcBorders>
                    <w:left w:val="single" w:color="auto" w:sz="4" w:space="0"/>
                    <w:right w:val="single" w:color="auto" w:sz="4" w:space="0"/>
                  </w:tcBorders>
                  <w:vAlign w:val="center"/>
                </w:tcPr>
                <w:p w14:paraId="72E931C0">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64" w:lineRule="auto"/>
                    <w:ind w:left="0" w:right="0"/>
                    <w:jc w:val="center"/>
                    <w:textAlignment w:val="auto"/>
                    <w:rPr>
                      <w:rFonts w:hint="default"/>
                      <w:bCs/>
                      <w:color w:val="FF0000"/>
                      <w:kern w:val="0"/>
                      <w:sz w:val="18"/>
                      <w:szCs w:val="18"/>
                      <w:highlight w:val="none"/>
                    </w:rPr>
                  </w:pPr>
                </w:p>
              </w:tc>
              <w:tc>
                <w:tcPr>
                  <w:tcW w:w="383" w:type="pct"/>
                  <w:vMerge w:val="continue"/>
                  <w:tcBorders>
                    <w:left w:val="single" w:color="auto" w:sz="4" w:space="0"/>
                    <w:right w:val="single" w:color="auto" w:sz="4" w:space="0"/>
                  </w:tcBorders>
                  <w:vAlign w:val="center"/>
                </w:tcPr>
                <w:p w14:paraId="09FF95C5">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64" w:lineRule="auto"/>
                    <w:ind w:left="0" w:right="0"/>
                    <w:jc w:val="center"/>
                    <w:textAlignment w:val="auto"/>
                    <w:rPr>
                      <w:rFonts w:hint="default"/>
                      <w:bCs/>
                      <w:color w:val="FF0000"/>
                      <w:kern w:val="0"/>
                      <w:sz w:val="18"/>
                      <w:szCs w:val="18"/>
                      <w:highlight w:val="none"/>
                    </w:rPr>
                  </w:pPr>
                </w:p>
              </w:tc>
              <w:tc>
                <w:tcPr>
                  <w:tcW w:w="240" w:type="pct"/>
                  <w:vMerge w:val="continue"/>
                  <w:tcBorders>
                    <w:left w:val="single" w:color="auto" w:sz="4" w:space="0"/>
                    <w:right w:val="single" w:color="auto" w:sz="4" w:space="0"/>
                  </w:tcBorders>
                  <w:vAlign w:val="center"/>
                </w:tcPr>
                <w:p w14:paraId="516385E0">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64" w:lineRule="auto"/>
                    <w:ind w:left="0" w:right="0"/>
                    <w:jc w:val="center"/>
                    <w:textAlignment w:val="auto"/>
                    <w:rPr>
                      <w:rFonts w:hint="default"/>
                      <w:bCs/>
                      <w:color w:val="FF0000"/>
                      <w:kern w:val="0"/>
                      <w:sz w:val="18"/>
                      <w:szCs w:val="18"/>
                      <w:highlight w:val="none"/>
                    </w:rPr>
                  </w:pPr>
                </w:p>
              </w:tc>
              <w:tc>
                <w:tcPr>
                  <w:tcW w:w="317" w:type="pct"/>
                  <w:vMerge w:val="continue"/>
                  <w:tcBorders>
                    <w:left w:val="single" w:color="auto" w:sz="4" w:space="0"/>
                    <w:right w:val="single" w:color="auto" w:sz="4" w:space="0"/>
                  </w:tcBorders>
                  <w:vAlign w:val="center"/>
                </w:tcPr>
                <w:p w14:paraId="424D6611">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64" w:lineRule="auto"/>
                    <w:ind w:left="0" w:right="0"/>
                    <w:jc w:val="center"/>
                    <w:textAlignment w:val="auto"/>
                    <w:rPr>
                      <w:rFonts w:hint="default"/>
                      <w:bCs/>
                      <w:color w:val="FF0000"/>
                      <w:kern w:val="0"/>
                      <w:sz w:val="18"/>
                      <w:szCs w:val="18"/>
                      <w:highlight w:val="none"/>
                    </w:rPr>
                  </w:pPr>
                </w:p>
              </w:tc>
              <w:tc>
                <w:tcPr>
                  <w:tcW w:w="743" w:type="pct"/>
                  <w:gridSpan w:val="2"/>
                  <w:tcBorders>
                    <w:top w:val="single" w:color="auto" w:sz="4" w:space="0"/>
                    <w:left w:val="single" w:color="auto" w:sz="4" w:space="0"/>
                    <w:bottom w:val="single" w:color="auto" w:sz="4" w:space="0"/>
                    <w:right w:val="single" w:color="auto" w:sz="4" w:space="0"/>
                  </w:tcBorders>
                  <w:shd w:val="clear" w:color="auto" w:fill="auto"/>
                  <w:vAlign w:val="center"/>
                </w:tcPr>
                <w:p w14:paraId="51AE92DF">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64" w:lineRule="auto"/>
                    <w:ind w:left="0" w:right="0"/>
                    <w:jc w:val="center"/>
                    <w:textAlignment w:val="auto"/>
                    <w:rPr>
                      <w:rFonts w:hint="eastAsia" w:cs="Times New Roman"/>
                      <w:b/>
                      <w:bCs/>
                      <w:i w:val="0"/>
                      <w:iCs w:val="0"/>
                      <w:color w:val="000000"/>
                      <w:kern w:val="0"/>
                      <w:sz w:val="18"/>
                      <w:szCs w:val="18"/>
                      <w:highlight w:val="none"/>
                      <w:u w:val="none"/>
                      <w:lang w:val="en-US" w:eastAsia="zh-CN" w:bidi="ar"/>
                    </w:rPr>
                  </w:pPr>
                  <w:r>
                    <w:rPr>
                      <w:rFonts w:hint="eastAsia" w:cs="Times New Roman"/>
                      <w:b/>
                      <w:bCs w:val="0"/>
                      <w:i w:val="0"/>
                      <w:iCs w:val="0"/>
                      <w:color w:val="000000"/>
                      <w:kern w:val="0"/>
                      <w:sz w:val="18"/>
                      <w:szCs w:val="18"/>
                      <w:highlight w:val="none"/>
                      <w:u w:val="none"/>
                      <w:lang w:val="en-US" w:eastAsia="zh-CN" w:bidi="ar"/>
                    </w:rPr>
                    <w:t>少量</w:t>
                  </w:r>
                </w:p>
              </w:tc>
              <w:tc>
                <w:tcPr>
                  <w:tcW w:w="340" w:type="pct"/>
                  <w:vMerge w:val="continue"/>
                  <w:tcBorders>
                    <w:left w:val="single" w:color="auto" w:sz="4" w:space="0"/>
                    <w:right w:val="single" w:color="auto" w:sz="4" w:space="0"/>
                  </w:tcBorders>
                  <w:vAlign w:val="center"/>
                </w:tcPr>
                <w:p w14:paraId="14F8D7B5">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64" w:lineRule="auto"/>
                    <w:ind w:left="0" w:right="0"/>
                    <w:jc w:val="center"/>
                    <w:textAlignment w:val="auto"/>
                    <w:rPr>
                      <w:rFonts w:hint="default"/>
                      <w:bCs/>
                      <w:kern w:val="0"/>
                      <w:sz w:val="18"/>
                      <w:szCs w:val="18"/>
                      <w:highlight w:val="none"/>
                    </w:rPr>
                  </w:pPr>
                </w:p>
              </w:tc>
              <w:tc>
                <w:tcPr>
                  <w:tcW w:w="255" w:type="pct"/>
                  <w:vMerge w:val="continue"/>
                  <w:tcBorders>
                    <w:left w:val="single" w:color="auto" w:sz="4" w:space="0"/>
                    <w:right w:val="single" w:color="auto" w:sz="4" w:space="0"/>
                  </w:tcBorders>
                  <w:vAlign w:val="center"/>
                </w:tcPr>
                <w:p w14:paraId="6F8A9BBB">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64" w:lineRule="auto"/>
                    <w:ind w:left="0" w:right="0"/>
                    <w:jc w:val="center"/>
                    <w:textAlignment w:val="auto"/>
                    <w:rPr>
                      <w:rFonts w:hint="default"/>
                      <w:bCs/>
                      <w:kern w:val="0"/>
                      <w:sz w:val="18"/>
                      <w:szCs w:val="18"/>
                      <w:highlight w:val="none"/>
                    </w:rPr>
                  </w:pPr>
                </w:p>
              </w:tc>
            </w:tr>
            <w:tr w14:paraId="2255535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jc w:val="center"/>
              </w:trPr>
              <w:tc>
                <w:tcPr>
                  <w:tcW w:w="1007" w:type="pct"/>
                  <w:gridSpan w:val="3"/>
                  <w:vMerge w:val="continue"/>
                  <w:tcBorders>
                    <w:left w:val="single" w:color="auto" w:sz="4" w:space="0"/>
                    <w:right w:val="single" w:color="auto" w:sz="4" w:space="0"/>
                  </w:tcBorders>
                  <w:vAlign w:val="center"/>
                </w:tcPr>
                <w:p w14:paraId="07975770">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64" w:lineRule="auto"/>
                    <w:ind w:left="0" w:right="0"/>
                    <w:jc w:val="center"/>
                    <w:textAlignment w:val="auto"/>
                    <w:rPr>
                      <w:rFonts w:hint="default"/>
                      <w:b/>
                      <w:bCs w:val="0"/>
                      <w:kern w:val="0"/>
                      <w:sz w:val="18"/>
                      <w:szCs w:val="18"/>
                      <w:highlight w:val="none"/>
                    </w:rPr>
                  </w:pPr>
                </w:p>
              </w:tc>
              <w:tc>
                <w:tcPr>
                  <w:tcW w:w="593" w:type="pct"/>
                  <w:tcBorders>
                    <w:top w:val="single" w:color="auto" w:sz="4" w:space="0"/>
                    <w:left w:val="single" w:color="auto" w:sz="4" w:space="0"/>
                    <w:bottom w:val="single" w:color="auto" w:sz="4" w:space="0"/>
                    <w:right w:val="single" w:color="auto" w:sz="4" w:space="0"/>
                  </w:tcBorders>
                  <w:vAlign w:val="center"/>
                </w:tcPr>
                <w:p w14:paraId="2C9A5A11">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64" w:lineRule="auto"/>
                    <w:ind w:left="0" w:right="0"/>
                    <w:jc w:val="center"/>
                    <w:textAlignment w:val="auto"/>
                    <w:rPr>
                      <w:rFonts w:hint="default"/>
                      <w:b/>
                      <w:bCs w:val="0"/>
                      <w:kern w:val="0"/>
                      <w:sz w:val="18"/>
                      <w:szCs w:val="18"/>
                      <w:highlight w:val="none"/>
                    </w:rPr>
                  </w:pPr>
                  <w:r>
                    <w:rPr>
                      <w:rFonts w:hint="default"/>
                      <w:b/>
                      <w:bCs w:val="0"/>
                      <w:kern w:val="0"/>
                      <w:sz w:val="18"/>
                      <w:szCs w:val="18"/>
                      <w:highlight w:val="none"/>
                    </w:rPr>
                    <w:t>臭气浓度</w:t>
                  </w:r>
                </w:p>
              </w:tc>
              <w:tc>
                <w:tcPr>
                  <w:tcW w:w="357" w:type="pct"/>
                  <w:tcBorders>
                    <w:top w:val="single" w:color="auto" w:sz="4" w:space="0"/>
                    <w:left w:val="single" w:color="auto" w:sz="4" w:space="0"/>
                    <w:bottom w:val="single" w:color="auto" w:sz="4" w:space="0"/>
                    <w:right w:val="single" w:color="auto" w:sz="4" w:space="0"/>
                  </w:tcBorders>
                  <w:vAlign w:val="center"/>
                </w:tcPr>
                <w:p w14:paraId="522E1322">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64" w:lineRule="auto"/>
                    <w:ind w:left="0" w:right="0"/>
                    <w:jc w:val="center"/>
                    <w:textAlignment w:val="auto"/>
                    <w:rPr>
                      <w:rFonts w:hint="eastAsia" w:ascii="Times New Roman" w:hAnsi="Times New Roman" w:eastAsia="宋体" w:cs="Times New Roman"/>
                      <w:b/>
                      <w:bCs w:val="0"/>
                      <w:kern w:val="0"/>
                      <w:sz w:val="18"/>
                      <w:szCs w:val="18"/>
                      <w:highlight w:val="none"/>
                      <w:lang w:val="en-US" w:eastAsia="zh-CN"/>
                    </w:rPr>
                  </w:pPr>
                  <w:r>
                    <w:rPr>
                      <w:rFonts w:hint="eastAsia" w:ascii="Times New Roman" w:hAnsi="Times New Roman" w:eastAsia="宋体" w:cs="Times New Roman"/>
                      <w:b/>
                      <w:bCs w:val="0"/>
                      <w:kern w:val="0"/>
                      <w:sz w:val="18"/>
                      <w:szCs w:val="18"/>
                      <w:highlight w:val="none"/>
                      <w:lang w:val="en-US" w:eastAsia="zh-CN"/>
                    </w:rPr>
                    <w:t>/</w:t>
                  </w:r>
                </w:p>
              </w:tc>
              <w:tc>
                <w:tcPr>
                  <w:tcW w:w="357" w:type="pct"/>
                  <w:tcBorders>
                    <w:top w:val="single" w:color="auto" w:sz="4" w:space="0"/>
                    <w:left w:val="single" w:color="auto" w:sz="4" w:space="0"/>
                    <w:bottom w:val="single" w:color="auto" w:sz="4" w:space="0"/>
                    <w:right w:val="single" w:color="auto" w:sz="4" w:space="0"/>
                  </w:tcBorders>
                  <w:vAlign w:val="center"/>
                </w:tcPr>
                <w:p w14:paraId="1BD6842C">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64" w:lineRule="auto"/>
                    <w:ind w:left="0" w:right="0"/>
                    <w:jc w:val="center"/>
                    <w:textAlignment w:val="auto"/>
                    <w:rPr>
                      <w:rFonts w:hint="eastAsia" w:ascii="Times New Roman" w:hAnsi="Times New Roman" w:eastAsia="宋体" w:cs="Times New Roman"/>
                      <w:b/>
                      <w:bCs w:val="0"/>
                      <w:kern w:val="0"/>
                      <w:sz w:val="18"/>
                      <w:szCs w:val="18"/>
                      <w:highlight w:val="none"/>
                      <w:lang w:val="en-US" w:eastAsia="zh-CN"/>
                    </w:rPr>
                  </w:pPr>
                  <w:r>
                    <w:rPr>
                      <w:rFonts w:hint="eastAsia" w:ascii="Times New Roman" w:hAnsi="Times New Roman" w:eastAsia="宋体" w:cs="Times New Roman"/>
                      <w:b/>
                      <w:bCs w:val="0"/>
                      <w:kern w:val="0"/>
                      <w:sz w:val="18"/>
                      <w:szCs w:val="18"/>
                      <w:highlight w:val="none"/>
                      <w:lang w:val="en-US" w:eastAsia="zh-CN"/>
                    </w:rPr>
                    <w:t>/</w:t>
                  </w:r>
                </w:p>
              </w:tc>
              <w:tc>
                <w:tcPr>
                  <w:tcW w:w="404" w:type="pct"/>
                  <w:vMerge w:val="continue"/>
                  <w:tcBorders>
                    <w:left w:val="single" w:color="auto" w:sz="4" w:space="0"/>
                    <w:right w:val="single" w:color="auto" w:sz="4" w:space="0"/>
                  </w:tcBorders>
                  <w:vAlign w:val="center"/>
                </w:tcPr>
                <w:p w14:paraId="0408286A">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64" w:lineRule="auto"/>
                    <w:ind w:left="0" w:right="0"/>
                    <w:jc w:val="center"/>
                    <w:textAlignment w:val="auto"/>
                    <w:rPr>
                      <w:rFonts w:hint="default"/>
                      <w:bCs/>
                      <w:color w:val="FF0000"/>
                      <w:kern w:val="0"/>
                      <w:sz w:val="18"/>
                      <w:szCs w:val="18"/>
                      <w:highlight w:val="none"/>
                    </w:rPr>
                  </w:pPr>
                </w:p>
              </w:tc>
              <w:tc>
                <w:tcPr>
                  <w:tcW w:w="383" w:type="pct"/>
                  <w:vMerge w:val="continue"/>
                  <w:tcBorders>
                    <w:left w:val="single" w:color="auto" w:sz="4" w:space="0"/>
                    <w:right w:val="single" w:color="auto" w:sz="4" w:space="0"/>
                  </w:tcBorders>
                  <w:vAlign w:val="center"/>
                </w:tcPr>
                <w:p w14:paraId="43955CAE">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64" w:lineRule="auto"/>
                    <w:ind w:left="0" w:right="0"/>
                    <w:jc w:val="center"/>
                    <w:textAlignment w:val="auto"/>
                    <w:rPr>
                      <w:rFonts w:hint="default"/>
                      <w:bCs/>
                      <w:color w:val="FF0000"/>
                      <w:kern w:val="0"/>
                      <w:sz w:val="18"/>
                      <w:szCs w:val="18"/>
                      <w:highlight w:val="none"/>
                    </w:rPr>
                  </w:pPr>
                </w:p>
              </w:tc>
              <w:tc>
                <w:tcPr>
                  <w:tcW w:w="240" w:type="pct"/>
                  <w:vMerge w:val="continue"/>
                  <w:tcBorders>
                    <w:left w:val="single" w:color="auto" w:sz="4" w:space="0"/>
                    <w:right w:val="single" w:color="auto" w:sz="4" w:space="0"/>
                  </w:tcBorders>
                  <w:vAlign w:val="center"/>
                </w:tcPr>
                <w:p w14:paraId="5A9CCE1B">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64" w:lineRule="auto"/>
                    <w:ind w:left="0" w:right="0"/>
                    <w:jc w:val="center"/>
                    <w:textAlignment w:val="auto"/>
                    <w:rPr>
                      <w:rFonts w:hint="default"/>
                      <w:bCs/>
                      <w:color w:val="FF0000"/>
                      <w:kern w:val="0"/>
                      <w:sz w:val="18"/>
                      <w:szCs w:val="18"/>
                      <w:highlight w:val="none"/>
                    </w:rPr>
                  </w:pPr>
                </w:p>
              </w:tc>
              <w:tc>
                <w:tcPr>
                  <w:tcW w:w="317" w:type="pct"/>
                  <w:vMerge w:val="continue"/>
                  <w:tcBorders>
                    <w:left w:val="single" w:color="auto" w:sz="4" w:space="0"/>
                    <w:right w:val="single" w:color="auto" w:sz="4" w:space="0"/>
                  </w:tcBorders>
                  <w:vAlign w:val="center"/>
                </w:tcPr>
                <w:p w14:paraId="59BF851A">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64" w:lineRule="auto"/>
                    <w:ind w:left="0" w:right="0"/>
                    <w:jc w:val="center"/>
                    <w:textAlignment w:val="auto"/>
                    <w:rPr>
                      <w:rFonts w:hint="default"/>
                      <w:bCs/>
                      <w:color w:val="FF0000"/>
                      <w:kern w:val="0"/>
                      <w:sz w:val="18"/>
                      <w:szCs w:val="18"/>
                      <w:highlight w:val="none"/>
                    </w:rPr>
                  </w:pPr>
                </w:p>
              </w:tc>
              <w:tc>
                <w:tcPr>
                  <w:tcW w:w="380" w:type="pct"/>
                  <w:tcBorders>
                    <w:top w:val="single" w:color="auto" w:sz="4" w:space="0"/>
                    <w:left w:val="single" w:color="auto" w:sz="4" w:space="0"/>
                    <w:bottom w:val="single" w:color="auto" w:sz="4" w:space="0"/>
                    <w:right w:val="single" w:color="auto" w:sz="4" w:space="0"/>
                  </w:tcBorders>
                  <w:vAlign w:val="center"/>
                </w:tcPr>
                <w:p w14:paraId="5A824611">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64" w:lineRule="auto"/>
                    <w:ind w:left="0" w:right="0"/>
                    <w:jc w:val="center"/>
                    <w:textAlignment w:val="auto"/>
                    <w:rPr>
                      <w:rFonts w:hint="eastAsia" w:ascii="Times New Roman" w:hAnsi="Times New Roman" w:eastAsia="宋体" w:cs="Times New Roman"/>
                      <w:b/>
                      <w:bCs w:val="0"/>
                      <w:kern w:val="0"/>
                      <w:sz w:val="18"/>
                      <w:szCs w:val="18"/>
                      <w:highlight w:val="none"/>
                      <w:lang w:val="en-US" w:eastAsia="zh-CN"/>
                    </w:rPr>
                  </w:pPr>
                  <w:r>
                    <w:rPr>
                      <w:rFonts w:hint="eastAsia" w:ascii="Times New Roman" w:hAnsi="Times New Roman" w:eastAsia="宋体" w:cs="Times New Roman"/>
                      <w:b/>
                      <w:bCs w:val="0"/>
                      <w:kern w:val="0"/>
                      <w:sz w:val="18"/>
                      <w:szCs w:val="18"/>
                      <w:highlight w:val="none"/>
                      <w:lang w:val="en-US" w:eastAsia="zh-CN"/>
                    </w:rPr>
                    <w:t>/</w:t>
                  </w:r>
                </w:p>
              </w:tc>
              <w:tc>
                <w:tcPr>
                  <w:tcW w:w="362" w:type="pct"/>
                  <w:tcBorders>
                    <w:top w:val="single" w:color="auto" w:sz="4" w:space="0"/>
                    <w:left w:val="single" w:color="auto" w:sz="4" w:space="0"/>
                    <w:bottom w:val="single" w:color="auto" w:sz="4" w:space="0"/>
                    <w:right w:val="single" w:color="auto" w:sz="4" w:space="0"/>
                  </w:tcBorders>
                  <w:vAlign w:val="center"/>
                </w:tcPr>
                <w:p w14:paraId="2B884A56">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64" w:lineRule="auto"/>
                    <w:ind w:left="0" w:right="0"/>
                    <w:jc w:val="center"/>
                    <w:textAlignment w:val="auto"/>
                    <w:rPr>
                      <w:rFonts w:hint="eastAsia" w:ascii="Times New Roman" w:hAnsi="Times New Roman" w:eastAsia="宋体" w:cs="Times New Roman"/>
                      <w:b/>
                      <w:bCs w:val="0"/>
                      <w:kern w:val="0"/>
                      <w:sz w:val="18"/>
                      <w:szCs w:val="18"/>
                      <w:highlight w:val="none"/>
                      <w:lang w:val="en-US" w:eastAsia="zh-CN"/>
                    </w:rPr>
                  </w:pPr>
                  <w:r>
                    <w:rPr>
                      <w:rFonts w:hint="eastAsia" w:ascii="Times New Roman" w:hAnsi="Times New Roman" w:eastAsia="宋体" w:cs="Times New Roman"/>
                      <w:b/>
                      <w:bCs w:val="0"/>
                      <w:kern w:val="0"/>
                      <w:sz w:val="18"/>
                      <w:szCs w:val="18"/>
                      <w:highlight w:val="none"/>
                      <w:lang w:val="en-US" w:eastAsia="zh-CN"/>
                    </w:rPr>
                    <w:t>/</w:t>
                  </w:r>
                </w:p>
              </w:tc>
              <w:tc>
                <w:tcPr>
                  <w:tcW w:w="340" w:type="pct"/>
                  <w:vMerge w:val="continue"/>
                  <w:tcBorders>
                    <w:left w:val="single" w:color="auto" w:sz="4" w:space="0"/>
                    <w:right w:val="single" w:color="auto" w:sz="4" w:space="0"/>
                  </w:tcBorders>
                  <w:vAlign w:val="center"/>
                </w:tcPr>
                <w:p w14:paraId="01647697">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64" w:lineRule="auto"/>
                    <w:ind w:left="0" w:right="0"/>
                    <w:jc w:val="center"/>
                    <w:textAlignment w:val="auto"/>
                    <w:rPr>
                      <w:rFonts w:hint="default"/>
                      <w:bCs/>
                      <w:kern w:val="0"/>
                      <w:sz w:val="18"/>
                      <w:szCs w:val="18"/>
                      <w:highlight w:val="none"/>
                    </w:rPr>
                  </w:pPr>
                </w:p>
              </w:tc>
              <w:tc>
                <w:tcPr>
                  <w:tcW w:w="255" w:type="pct"/>
                  <w:vMerge w:val="continue"/>
                  <w:tcBorders>
                    <w:left w:val="single" w:color="auto" w:sz="4" w:space="0"/>
                    <w:right w:val="single" w:color="auto" w:sz="4" w:space="0"/>
                  </w:tcBorders>
                  <w:vAlign w:val="center"/>
                </w:tcPr>
                <w:p w14:paraId="03AB4027">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64" w:lineRule="auto"/>
                    <w:ind w:left="0" w:right="0"/>
                    <w:jc w:val="center"/>
                    <w:textAlignment w:val="auto"/>
                    <w:rPr>
                      <w:rFonts w:hint="default"/>
                      <w:bCs/>
                      <w:kern w:val="0"/>
                      <w:sz w:val="18"/>
                      <w:szCs w:val="18"/>
                      <w:highlight w:val="none"/>
                    </w:rPr>
                  </w:pPr>
                </w:p>
              </w:tc>
            </w:tr>
            <w:tr w14:paraId="0B4059A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jc w:val="center"/>
              </w:trPr>
              <w:tc>
                <w:tcPr>
                  <w:tcW w:w="1007" w:type="pct"/>
                  <w:gridSpan w:val="3"/>
                  <w:vMerge w:val="continue"/>
                  <w:tcBorders>
                    <w:left w:val="single" w:color="auto" w:sz="4" w:space="0"/>
                    <w:bottom w:val="single" w:color="auto" w:sz="4" w:space="0"/>
                    <w:right w:val="single" w:color="auto" w:sz="4" w:space="0"/>
                  </w:tcBorders>
                  <w:vAlign w:val="center"/>
                </w:tcPr>
                <w:p w14:paraId="22950186">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64" w:lineRule="auto"/>
                    <w:ind w:left="0" w:right="0"/>
                    <w:jc w:val="center"/>
                    <w:textAlignment w:val="auto"/>
                    <w:rPr>
                      <w:rFonts w:hint="default"/>
                      <w:b/>
                      <w:bCs w:val="0"/>
                      <w:kern w:val="0"/>
                      <w:sz w:val="18"/>
                      <w:szCs w:val="18"/>
                      <w:highlight w:val="none"/>
                    </w:rPr>
                  </w:pPr>
                </w:p>
              </w:tc>
              <w:tc>
                <w:tcPr>
                  <w:tcW w:w="593" w:type="pct"/>
                  <w:tcBorders>
                    <w:top w:val="single" w:color="auto" w:sz="4" w:space="0"/>
                    <w:left w:val="single" w:color="auto" w:sz="4" w:space="0"/>
                    <w:right w:val="single" w:color="auto" w:sz="4" w:space="0"/>
                  </w:tcBorders>
                  <w:vAlign w:val="center"/>
                </w:tcPr>
                <w:p w14:paraId="708BECEA">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64" w:lineRule="auto"/>
                    <w:ind w:left="0" w:right="0"/>
                    <w:jc w:val="center"/>
                    <w:textAlignment w:val="auto"/>
                    <w:rPr>
                      <w:rFonts w:hint="default"/>
                      <w:b/>
                      <w:bCs w:val="0"/>
                      <w:kern w:val="0"/>
                      <w:sz w:val="18"/>
                      <w:szCs w:val="18"/>
                      <w:highlight w:val="none"/>
                    </w:rPr>
                  </w:pPr>
                  <w:r>
                    <w:rPr>
                      <w:rFonts w:hint="default"/>
                      <w:b/>
                      <w:bCs w:val="0"/>
                      <w:kern w:val="0"/>
                      <w:sz w:val="18"/>
                      <w:szCs w:val="18"/>
                      <w:highlight w:val="none"/>
                    </w:rPr>
                    <w:t>VOCs</w:t>
                  </w:r>
                </w:p>
              </w:tc>
              <w:tc>
                <w:tcPr>
                  <w:tcW w:w="357" w:type="pct"/>
                  <w:tcBorders>
                    <w:top w:val="single" w:color="auto" w:sz="4" w:space="0"/>
                    <w:left w:val="single" w:color="auto" w:sz="4" w:space="0"/>
                    <w:right w:val="single" w:color="auto" w:sz="4" w:space="0"/>
                  </w:tcBorders>
                  <w:shd w:val="clear" w:color="auto" w:fill="auto"/>
                  <w:vAlign w:val="center"/>
                </w:tcPr>
                <w:p w14:paraId="6B6B3829">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64" w:lineRule="auto"/>
                    <w:ind w:left="0" w:right="0"/>
                    <w:jc w:val="center"/>
                    <w:textAlignment w:val="auto"/>
                    <w:rPr>
                      <w:rFonts w:hint="default" w:ascii="Times New Roman" w:hAnsi="Times New Roman" w:eastAsia="宋体" w:cs="Times New Roman"/>
                      <w:b/>
                      <w:bCs w:val="0"/>
                      <w:kern w:val="0"/>
                      <w:sz w:val="18"/>
                      <w:szCs w:val="18"/>
                      <w:highlight w:val="none"/>
                      <w:lang w:val="en-US" w:eastAsia="zh-CN"/>
                    </w:rPr>
                  </w:pPr>
                  <w:r>
                    <w:rPr>
                      <w:rFonts w:hint="eastAsia" w:ascii="Times New Roman" w:hAnsi="Times New Roman" w:eastAsia="宋体" w:cs="Times New Roman"/>
                      <w:b/>
                      <w:bCs w:val="0"/>
                      <w:kern w:val="0"/>
                      <w:sz w:val="18"/>
                      <w:szCs w:val="18"/>
                      <w:highlight w:val="none"/>
                      <w:lang w:val="en-US" w:eastAsia="zh-CN"/>
                    </w:rPr>
                    <w:t>1.272</w:t>
                  </w:r>
                </w:p>
              </w:tc>
              <w:tc>
                <w:tcPr>
                  <w:tcW w:w="357" w:type="pct"/>
                  <w:tcBorders>
                    <w:top w:val="single" w:color="auto" w:sz="4" w:space="0"/>
                    <w:left w:val="single" w:color="auto" w:sz="4" w:space="0"/>
                    <w:right w:val="single" w:color="auto" w:sz="4" w:space="0"/>
                  </w:tcBorders>
                  <w:vAlign w:val="center"/>
                </w:tcPr>
                <w:p w14:paraId="49EC6CBB">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64" w:lineRule="auto"/>
                    <w:ind w:left="0" w:right="0"/>
                    <w:jc w:val="center"/>
                    <w:textAlignment w:val="auto"/>
                    <w:rPr>
                      <w:rFonts w:hint="eastAsia" w:ascii="Times New Roman" w:hAnsi="Times New Roman" w:eastAsia="宋体" w:cs="Times New Roman"/>
                      <w:b/>
                      <w:bCs w:val="0"/>
                      <w:kern w:val="0"/>
                      <w:sz w:val="18"/>
                      <w:szCs w:val="18"/>
                      <w:highlight w:val="none"/>
                      <w:lang w:val="en-US" w:eastAsia="zh-CN"/>
                    </w:rPr>
                  </w:pPr>
                  <w:r>
                    <w:rPr>
                      <w:rFonts w:hint="eastAsia" w:ascii="Times New Roman" w:hAnsi="Times New Roman" w:eastAsia="宋体" w:cs="Times New Roman"/>
                      <w:b/>
                      <w:bCs w:val="0"/>
                      <w:kern w:val="0"/>
                      <w:sz w:val="18"/>
                      <w:szCs w:val="18"/>
                      <w:highlight w:val="none"/>
                      <w:lang w:val="en-US" w:eastAsia="zh-CN"/>
                    </w:rPr>
                    <w:t>/</w:t>
                  </w:r>
                </w:p>
              </w:tc>
              <w:tc>
                <w:tcPr>
                  <w:tcW w:w="404" w:type="pct"/>
                  <w:vMerge w:val="continue"/>
                  <w:tcBorders>
                    <w:left w:val="single" w:color="auto" w:sz="4" w:space="0"/>
                    <w:right w:val="single" w:color="auto" w:sz="4" w:space="0"/>
                  </w:tcBorders>
                  <w:vAlign w:val="center"/>
                </w:tcPr>
                <w:p w14:paraId="46C988CE">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64" w:lineRule="auto"/>
                    <w:ind w:left="0" w:right="0"/>
                    <w:jc w:val="center"/>
                    <w:textAlignment w:val="auto"/>
                    <w:rPr>
                      <w:rFonts w:hint="default"/>
                      <w:bCs/>
                      <w:color w:val="FF0000"/>
                      <w:kern w:val="0"/>
                      <w:sz w:val="18"/>
                      <w:szCs w:val="18"/>
                      <w:highlight w:val="none"/>
                    </w:rPr>
                  </w:pPr>
                </w:p>
              </w:tc>
              <w:tc>
                <w:tcPr>
                  <w:tcW w:w="383" w:type="pct"/>
                  <w:vMerge w:val="continue"/>
                  <w:tcBorders>
                    <w:left w:val="single" w:color="auto" w:sz="4" w:space="0"/>
                    <w:right w:val="single" w:color="auto" w:sz="4" w:space="0"/>
                  </w:tcBorders>
                  <w:vAlign w:val="center"/>
                </w:tcPr>
                <w:p w14:paraId="4B4BDA57">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64" w:lineRule="auto"/>
                    <w:ind w:left="0" w:right="0"/>
                    <w:jc w:val="center"/>
                    <w:textAlignment w:val="auto"/>
                    <w:rPr>
                      <w:rFonts w:hint="default"/>
                      <w:bCs/>
                      <w:color w:val="FF0000"/>
                      <w:kern w:val="0"/>
                      <w:sz w:val="18"/>
                      <w:szCs w:val="18"/>
                      <w:highlight w:val="none"/>
                    </w:rPr>
                  </w:pPr>
                </w:p>
              </w:tc>
              <w:tc>
                <w:tcPr>
                  <w:tcW w:w="240" w:type="pct"/>
                  <w:vMerge w:val="continue"/>
                  <w:tcBorders>
                    <w:left w:val="single" w:color="auto" w:sz="4" w:space="0"/>
                    <w:right w:val="single" w:color="auto" w:sz="4" w:space="0"/>
                  </w:tcBorders>
                  <w:vAlign w:val="center"/>
                </w:tcPr>
                <w:p w14:paraId="5E0FCD32">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64" w:lineRule="auto"/>
                    <w:ind w:left="0" w:right="0"/>
                    <w:jc w:val="center"/>
                    <w:textAlignment w:val="auto"/>
                    <w:rPr>
                      <w:rFonts w:hint="default"/>
                      <w:bCs/>
                      <w:color w:val="FF0000"/>
                      <w:kern w:val="0"/>
                      <w:sz w:val="18"/>
                      <w:szCs w:val="18"/>
                      <w:highlight w:val="none"/>
                    </w:rPr>
                  </w:pPr>
                </w:p>
              </w:tc>
              <w:tc>
                <w:tcPr>
                  <w:tcW w:w="317" w:type="pct"/>
                  <w:vMerge w:val="continue"/>
                  <w:tcBorders>
                    <w:left w:val="single" w:color="auto" w:sz="4" w:space="0"/>
                    <w:right w:val="single" w:color="auto" w:sz="4" w:space="0"/>
                  </w:tcBorders>
                  <w:vAlign w:val="center"/>
                </w:tcPr>
                <w:p w14:paraId="246D906F">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64" w:lineRule="auto"/>
                    <w:ind w:left="0" w:right="0"/>
                    <w:jc w:val="center"/>
                    <w:textAlignment w:val="auto"/>
                    <w:rPr>
                      <w:rFonts w:hint="default"/>
                      <w:bCs/>
                      <w:color w:val="FF0000"/>
                      <w:kern w:val="0"/>
                      <w:sz w:val="18"/>
                      <w:szCs w:val="18"/>
                      <w:highlight w:val="none"/>
                    </w:rPr>
                  </w:pPr>
                </w:p>
              </w:tc>
              <w:tc>
                <w:tcPr>
                  <w:tcW w:w="380" w:type="pct"/>
                  <w:tcBorders>
                    <w:top w:val="single" w:color="auto" w:sz="4" w:space="0"/>
                    <w:left w:val="single" w:color="auto" w:sz="4" w:space="0"/>
                    <w:right w:val="single" w:color="auto" w:sz="4" w:space="0"/>
                  </w:tcBorders>
                  <w:shd w:val="clear" w:color="auto" w:fill="auto"/>
                  <w:vAlign w:val="center"/>
                </w:tcPr>
                <w:p w14:paraId="12906500">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64" w:lineRule="auto"/>
                    <w:ind w:left="0" w:right="0"/>
                    <w:jc w:val="center"/>
                    <w:textAlignment w:val="auto"/>
                    <w:rPr>
                      <w:rFonts w:hint="default" w:ascii="Times New Roman" w:hAnsi="Times New Roman" w:eastAsia="宋体" w:cs="Times New Roman"/>
                      <w:b/>
                      <w:bCs w:val="0"/>
                      <w:kern w:val="0"/>
                      <w:sz w:val="18"/>
                      <w:szCs w:val="18"/>
                      <w:highlight w:val="none"/>
                      <w:lang w:val="en-US" w:eastAsia="zh-CN"/>
                    </w:rPr>
                  </w:pPr>
                  <w:r>
                    <w:rPr>
                      <w:rFonts w:hint="eastAsia" w:ascii="Times New Roman" w:hAnsi="Times New Roman" w:eastAsia="宋体" w:cs="Times New Roman"/>
                      <w:b/>
                      <w:bCs w:val="0"/>
                      <w:kern w:val="0"/>
                      <w:sz w:val="18"/>
                      <w:szCs w:val="18"/>
                      <w:highlight w:val="none"/>
                      <w:lang w:val="en-US" w:eastAsia="zh-CN"/>
                    </w:rPr>
                    <w:t>1.272</w:t>
                  </w:r>
                </w:p>
              </w:tc>
              <w:tc>
                <w:tcPr>
                  <w:tcW w:w="362" w:type="pct"/>
                  <w:tcBorders>
                    <w:top w:val="single" w:color="auto" w:sz="4" w:space="0"/>
                    <w:left w:val="single" w:color="auto" w:sz="4" w:space="0"/>
                    <w:bottom w:val="single" w:color="auto" w:sz="4" w:space="0"/>
                    <w:right w:val="single" w:color="auto" w:sz="4" w:space="0"/>
                  </w:tcBorders>
                  <w:vAlign w:val="center"/>
                </w:tcPr>
                <w:p w14:paraId="6516276B">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64" w:lineRule="auto"/>
                    <w:ind w:left="0" w:right="0"/>
                    <w:jc w:val="center"/>
                    <w:textAlignment w:val="auto"/>
                    <w:rPr>
                      <w:rFonts w:hint="eastAsia" w:ascii="Times New Roman" w:hAnsi="Times New Roman" w:eastAsia="宋体" w:cs="Times New Roman"/>
                      <w:b/>
                      <w:bCs w:val="0"/>
                      <w:kern w:val="0"/>
                      <w:sz w:val="18"/>
                      <w:szCs w:val="18"/>
                      <w:highlight w:val="none"/>
                      <w:lang w:val="en-US" w:eastAsia="zh-CN"/>
                    </w:rPr>
                  </w:pPr>
                  <w:r>
                    <w:rPr>
                      <w:rFonts w:hint="eastAsia" w:ascii="Times New Roman" w:hAnsi="Times New Roman" w:eastAsia="宋体" w:cs="Times New Roman"/>
                      <w:b/>
                      <w:bCs w:val="0"/>
                      <w:kern w:val="0"/>
                      <w:sz w:val="18"/>
                      <w:szCs w:val="18"/>
                      <w:highlight w:val="none"/>
                      <w:lang w:val="en-US" w:eastAsia="zh-CN"/>
                    </w:rPr>
                    <w:t>/</w:t>
                  </w:r>
                </w:p>
              </w:tc>
              <w:tc>
                <w:tcPr>
                  <w:tcW w:w="340" w:type="pct"/>
                  <w:vMerge w:val="continue"/>
                  <w:tcBorders>
                    <w:left w:val="single" w:color="auto" w:sz="4" w:space="0"/>
                    <w:right w:val="single" w:color="auto" w:sz="4" w:space="0"/>
                  </w:tcBorders>
                  <w:vAlign w:val="center"/>
                </w:tcPr>
                <w:p w14:paraId="2B2D3F21">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64" w:lineRule="auto"/>
                    <w:ind w:left="0" w:right="0"/>
                    <w:jc w:val="center"/>
                    <w:textAlignment w:val="auto"/>
                    <w:rPr>
                      <w:rFonts w:hint="default"/>
                      <w:bCs/>
                      <w:kern w:val="0"/>
                      <w:sz w:val="18"/>
                      <w:szCs w:val="18"/>
                      <w:highlight w:val="none"/>
                    </w:rPr>
                  </w:pPr>
                </w:p>
              </w:tc>
              <w:tc>
                <w:tcPr>
                  <w:tcW w:w="255" w:type="pct"/>
                  <w:vMerge w:val="continue"/>
                  <w:tcBorders>
                    <w:left w:val="single" w:color="auto" w:sz="4" w:space="0"/>
                    <w:right w:val="single" w:color="auto" w:sz="4" w:space="0"/>
                  </w:tcBorders>
                  <w:vAlign w:val="center"/>
                </w:tcPr>
                <w:p w14:paraId="261F3299">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64" w:lineRule="auto"/>
                    <w:ind w:left="0" w:right="0"/>
                    <w:jc w:val="center"/>
                    <w:textAlignment w:val="auto"/>
                    <w:rPr>
                      <w:rFonts w:hint="default"/>
                      <w:bCs/>
                      <w:kern w:val="0"/>
                      <w:sz w:val="18"/>
                      <w:szCs w:val="18"/>
                      <w:highlight w:val="none"/>
                    </w:rPr>
                  </w:pPr>
                </w:p>
              </w:tc>
            </w:tr>
          </w:tbl>
          <w:p w14:paraId="51E4E3C4">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firstLine="422" w:firstLineChars="200"/>
              <w:jc w:val="left"/>
              <w:textAlignment w:val="auto"/>
              <w:rPr>
                <w:rFonts w:hint="default" w:ascii="Times New Roman" w:hAnsi="Times New Roman" w:eastAsia="仿宋" w:cs="Times New Roman"/>
                <w:b/>
                <w:bCs w:val="0"/>
                <w:color w:val="auto"/>
                <w:kern w:val="0"/>
                <w:sz w:val="21"/>
                <w:szCs w:val="21"/>
                <w:highlight w:val="none"/>
                <w:lang w:val="en-US" w:eastAsia="zh-CN" w:bidi="ar-SA"/>
              </w:rPr>
            </w:pPr>
            <w:r>
              <w:rPr>
                <w:rFonts w:hint="eastAsia" w:ascii="Times New Roman" w:hAnsi="Times New Roman" w:eastAsia="宋体" w:cs="Times New Roman"/>
                <w:b/>
                <w:bCs w:val="0"/>
                <w:color w:val="auto"/>
                <w:kern w:val="0"/>
                <w:sz w:val="21"/>
                <w:szCs w:val="21"/>
                <w:highlight w:val="none"/>
                <w:lang w:val="en-US" w:eastAsia="zh-CN" w:bidi="ar-SA"/>
              </w:rPr>
              <w:t>注：溶液空调自带喷淋除臭装置的废气处理效率参照《南京鼓楼医院徐庄科教载体装修改造项目环境影响报告表》（宁环（玄）建</w:t>
            </w:r>
            <w:r>
              <w:rPr>
                <w:rFonts w:hint="eastAsia" w:cs="Times New Roman"/>
                <w:b/>
                <w:bCs w:val="0"/>
                <w:color w:val="auto"/>
                <w:kern w:val="0"/>
                <w:sz w:val="21"/>
                <w:szCs w:val="21"/>
                <w:highlight w:val="none"/>
                <w:lang w:val="en-US" w:eastAsia="zh-CN" w:bidi="ar-SA"/>
              </w:rPr>
              <w:t>〔2024〕7号</w:t>
            </w:r>
            <w:r>
              <w:rPr>
                <w:rFonts w:hint="eastAsia" w:ascii="Times New Roman" w:hAnsi="Times New Roman" w:eastAsia="宋体" w:cs="Times New Roman"/>
                <w:b/>
                <w:bCs w:val="0"/>
                <w:color w:val="auto"/>
                <w:kern w:val="0"/>
                <w:sz w:val="21"/>
                <w:szCs w:val="21"/>
                <w:highlight w:val="none"/>
                <w:lang w:val="en-US" w:eastAsia="zh-CN" w:bidi="ar-SA"/>
              </w:rPr>
              <w:t>），该项目采用的“溶液空调自带喷淋除臭装置”液气比与本项目的“溶液空调自带喷淋除臭装置”液气比一致，为2000:1。</w:t>
            </w:r>
          </w:p>
          <w:p w14:paraId="5BDD71D5">
            <w:pPr>
              <w:keepNext w:val="0"/>
              <w:keepLines w:val="0"/>
              <w:suppressLineNumbers w:val="0"/>
              <w:spacing w:before="60" w:beforeAutospacing="0" w:after="0" w:afterAutospacing="0" w:line="360" w:lineRule="auto"/>
              <w:ind w:left="0" w:right="0" w:firstLine="482" w:firstLineChars="200"/>
              <w:jc w:val="left"/>
              <w:rPr>
                <w:rFonts w:hint="eastAsia"/>
                <w:b/>
                <w:bCs/>
                <w:sz w:val="24"/>
                <w:highlight w:val="none"/>
              </w:rPr>
            </w:pPr>
            <w:r>
              <w:rPr>
                <w:rFonts w:hint="eastAsia"/>
                <w:b/>
                <w:bCs/>
                <w:sz w:val="24"/>
                <w:highlight w:val="none"/>
              </w:rPr>
              <w:t>（3）废气源强核算说明</w:t>
            </w:r>
          </w:p>
          <w:p w14:paraId="4B5A6456">
            <w:pPr>
              <w:keepNext w:val="0"/>
              <w:keepLines w:val="0"/>
              <w:suppressLineNumbers w:val="0"/>
              <w:spacing w:before="0" w:beforeAutospacing="0" w:after="0" w:afterAutospacing="0" w:line="360" w:lineRule="auto"/>
              <w:ind w:left="0" w:right="0" w:firstLine="480" w:firstLineChars="200"/>
              <w:jc w:val="left"/>
              <w:rPr>
                <w:rFonts w:hint="eastAsia"/>
                <w:sz w:val="24"/>
                <w:highlight w:val="none"/>
              </w:rPr>
            </w:pPr>
            <w:r>
              <w:rPr>
                <w:rFonts w:hint="eastAsia"/>
                <w:sz w:val="24"/>
                <w:highlight w:val="none"/>
              </w:rPr>
              <w:t>本项目废气主要为</w:t>
            </w:r>
            <w:r>
              <w:rPr>
                <w:rFonts w:hint="eastAsia"/>
                <w:sz w:val="24"/>
                <w:highlight w:val="none"/>
                <w:lang w:val="en-US" w:eastAsia="zh-CN"/>
              </w:rPr>
              <w:t>动物饲养间恶臭、动物实验室有机废气以及恶臭、危废暂存间恶臭、实验区域消毒废气、科创</w:t>
            </w:r>
            <w:r>
              <w:rPr>
                <w:rFonts w:hint="eastAsia"/>
                <w:kern w:val="0"/>
                <w:sz w:val="24"/>
                <w:szCs w:val="24"/>
                <w:highlight w:val="none"/>
                <w:lang w:val="en-US" w:eastAsia="zh-CN"/>
              </w:rPr>
              <w:t>综合</w:t>
            </w:r>
            <w:r>
              <w:rPr>
                <w:rFonts w:hint="eastAsia"/>
                <w:sz w:val="24"/>
                <w:highlight w:val="none"/>
                <w:lang w:val="en-US" w:eastAsia="zh-CN"/>
              </w:rPr>
              <w:t>楼废气、污水处理站废气以及食堂油烟</w:t>
            </w:r>
            <w:r>
              <w:rPr>
                <w:rFonts w:hint="eastAsia"/>
                <w:sz w:val="24"/>
                <w:highlight w:val="none"/>
              </w:rPr>
              <w:t>。</w:t>
            </w:r>
          </w:p>
          <w:p w14:paraId="40BA1CB5">
            <w:pPr>
              <w:keepNext w:val="0"/>
              <w:keepLines w:val="0"/>
              <w:suppressLineNumbers w:val="0"/>
              <w:spacing w:before="0" w:beforeAutospacing="0" w:after="0" w:afterAutospacing="0" w:line="360" w:lineRule="auto"/>
              <w:ind w:left="0" w:right="0" w:firstLine="482" w:firstLineChars="200"/>
              <w:jc w:val="left"/>
              <w:rPr>
                <w:rFonts w:hint="default" w:eastAsia="宋体"/>
                <w:b/>
                <w:bCs/>
                <w:sz w:val="24"/>
                <w:highlight w:val="none"/>
                <w:lang w:val="en-US" w:eastAsia="zh-CN"/>
              </w:rPr>
            </w:pPr>
            <w:r>
              <w:rPr>
                <w:rFonts w:hint="eastAsia"/>
                <w:b/>
                <w:bCs/>
                <w:sz w:val="24"/>
                <w:highlight w:val="none"/>
              </w:rPr>
              <w:t>a）</w:t>
            </w:r>
            <w:r>
              <w:rPr>
                <w:rFonts w:hint="eastAsia"/>
                <w:b/>
                <w:bCs/>
                <w:sz w:val="24"/>
                <w:highlight w:val="none"/>
                <w:lang w:val="en-US" w:eastAsia="zh-CN"/>
              </w:rPr>
              <w:t>实验动物中心废气</w:t>
            </w:r>
          </w:p>
          <w:p w14:paraId="7F24EE52">
            <w:pPr>
              <w:pStyle w:val="122"/>
              <w:keepNext w:val="0"/>
              <w:keepLines w:val="0"/>
              <w:suppressLineNumbers w:val="0"/>
              <w:spacing w:before="0" w:beforeAutospacing="0" w:after="0" w:afterAutospacing="0"/>
              <w:ind w:left="0" w:right="0"/>
              <w:rPr>
                <w:rFonts w:hint="default"/>
                <w:color w:val="auto"/>
                <w:highlight w:val="none"/>
              </w:rPr>
            </w:pPr>
            <w:r>
              <w:rPr>
                <w:rFonts w:hint="eastAsia"/>
                <w:highlight w:val="none"/>
                <w:lang w:val="en-US" w:eastAsia="zh-CN"/>
              </w:rPr>
              <w:t>实验动物中心</w:t>
            </w:r>
            <w:r>
              <w:rPr>
                <w:rFonts w:hint="default"/>
                <w:highlight w:val="none"/>
              </w:rPr>
              <w:t>主要进行动物饲养</w:t>
            </w:r>
            <w:r>
              <w:rPr>
                <w:rFonts w:hint="eastAsia"/>
                <w:highlight w:val="none"/>
              </w:rPr>
              <w:t>，动物实验，</w:t>
            </w:r>
            <w:r>
              <w:rPr>
                <w:rFonts w:hint="default"/>
                <w:highlight w:val="none"/>
              </w:rPr>
              <w:t>动物解剖等，其中动物</w:t>
            </w:r>
            <w:r>
              <w:rPr>
                <w:rFonts w:hint="eastAsia"/>
                <w:highlight w:val="none"/>
              </w:rPr>
              <w:t>实验</w:t>
            </w:r>
            <w:r>
              <w:rPr>
                <w:rFonts w:hint="default"/>
                <w:highlight w:val="none"/>
              </w:rPr>
              <w:t>过程主要进行指标检测、</w:t>
            </w:r>
            <w:r>
              <w:rPr>
                <w:rFonts w:hint="eastAsia"/>
                <w:highlight w:val="none"/>
              </w:rPr>
              <w:t>生理</w:t>
            </w:r>
            <w:r>
              <w:rPr>
                <w:rFonts w:hint="default"/>
                <w:highlight w:val="none"/>
              </w:rPr>
              <w:t>信号测量等，</w:t>
            </w:r>
            <w:r>
              <w:rPr>
                <w:rFonts w:hint="eastAsia"/>
                <w:highlight w:val="none"/>
              </w:rPr>
              <w:t>根据</w:t>
            </w:r>
            <w:r>
              <w:rPr>
                <w:rFonts w:hint="default"/>
                <w:highlight w:val="none"/>
              </w:rPr>
              <w:t>医院提供</w:t>
            </w:r>
            <w:r>
              <w:rPr>
                <w:rFonts w:hint="default"/>
                <w:color w:val="auto"/>
                <w:highlight w:val="none"/>
              </w:rPr>
              <w:t>资料，</w:t>
            </w:r>
            <w:r>
              <w:rPr>
                <w:rFonts w:hint="eastAsia"/>
                <w:color w:val="auto"/>
                <w:highlight w:val="none"/>
              </w:rPr>
              <w:t>以上</w:t>
            </w:r>
            <w:r>
              <w:rPr>
                <w:rFonts w:hint="default"/>
                <w:color w:val="auto"/>
                <w:highlight w:val="none"/>
              </w:rPr>
              <w:t>实验过程</w:t>
            </w:r>
            <w:r>
              <w:rPr>
                <w:rFonts w:hint="eastAsia"/>
                <w:color w:val="auto"/>
                <w:highlight w:val="none"/>
              </w:rPr>
              <w:t>无有机</w:t>
            </w:r>
            <w:r>
              <w:rPr>
                <w:rFonts w:hint="default"/>
                <w:color w:val="auto"/>
                <w:highlight w:val="none"/>
              </w:rPr>
              <w:t>试剂使用。</w:t>
            </w:r>
          </w:p>
          <w:p w14:paraId="594F8865">
            <w:pPr>
              <w:pStyle w:val="122"/>
              <w:keepNext w:val="0"/>
              <w:keepLines w:val="0"/>
              <w:suppressLineNumbers w:val="0"/>
              <w:spacing w:before="0" w:beforeAutospacing="0" w:after="0" w:afterAutospacing="0"/>
              <w:ind w:left="0" w:right="0"/>
              <w:rPr>
                <w:rFonts w:hint="default"/>
                <w:highlight w:val="none"/>
              </w:rPr>
            </w:pPr>
            <w:r>
              <w:rPr>
                <w:rFonts w:hint="eastAsia"/>
                <w:highlight w:val="none"/>
              </w:rPr>
              <w:t>①动物</w:t>
            </w:r>
            <w:r>
              <w:rPr>
                <w:rFonts w:hint="default"/>
                <w:highlight w:val="none"/>
              </w:rPr>
              <w:t>饲养</w:t>
            </w:r>
            <w:r>
              <w:rPr>
                <w:rFonts w:hint="eastAsia"/>
                <w:highlight w:val="none"/>
              </w:rPr>
              <w:t>恶臭</w:t>
            </w:r>
            <w:r>
              <w:rPr>
                <w:rFonts w:hint="default"/>
                <w:highlight w:val="none"/>
              </w:rPr>
              <w:t>废气</w:t>
            </w:r>
          </w:p>
          <w:p w14:paraId="41DA25AA">
            <w:pPr>
              <w:pStyle w:val="122"/>
              <w:keepNext w:val="0"/>
              <w:keepLines w:val="0"/>
              <w:suppressLineNumbers w:val="0"/>
              <w:spacing w:before="0" w:beforeAutospacing="0" w:after="0" w:afterAutospacing="0"/>
              <w:ind w:left="0" w:right="0"/>
              <w:rPr>
                <w:rFonts w:hint="default"/>
                <w:highlight w:val="none"/>
              </w:rPr>
            </w:pPr>
            <w:r>
              <w:rPr>
                <w:rFonts w:hint="default"/>
                <w:highlight w:val="none"/>
              </w:rPr>
              <w:t>各层主要设置小鼠饲养笼、大鼠饲养笼、豚鼠饲养笼、猴饲养笼、兔饲养笼、犬饲养笼、猪饲养笼。</w:t>
            </w:r>
          </w:p>
          <w:p w14:paraId="59B8411A">
            <w:pPr>
              <w:pStyle w:val="128"/>
              <w:keepNext w:val="0"/>
              <w:keepLines w:val="0"/>
              <w:pageBreakBefore w:val="0"/>
              <w:widowControl w:val="0"/>
              <w:suppressLineNumbers w:val="0"/>
              <w:kinsoku/>
              <w:wordWrap/>
              <w:overflowPunct/>
              <w:topLinePunct w:val="0"/>
              <w:autoSpaceDE/>
              <w:autoSpaceDN/>
              <w:bidi w:val="0"/>
              <w:adjustRightInd w:val="0"/>
              <w:snapToGrid w:val="0"/>
              <w:spacing w:before="0" w:beforeLines="0" w:beforeAutospacing="0" w:after="0" w:afterAutospacing="0" w:line="360" w:lineRule="auto"/>
              <w:ind w:left="0" w:right="0"/>
              <w:textAlignment w:val="auto"/>
              <w:rPr>
                <w:rFonts w:hint="default"/>
                <w:color w:val="auto"/>
                <w:highlight w:val="none"/>
              </w:rPr>
            </w:pPr>
            <w:r>
              <w:rPr>
                <w:rFonts w:hint="eastAsia"/>
                <w:color w:val="auto"/>
                <w:highlight w:val="none"/>
              </w:rPr>
              <w:t>表</w:t>
            </w:r>
            <w:r>
              <w:rPr>
                <w:rFonts w:hint="eastAsia"/>
                <w:color w:val="auto"/>
                <w:highlight w:val="none"/>
                <w:lang w:val="en-US" w:eastAsia="zh-CN"/>
              </w:rPr>
              <w:t>7</w:t>
            </w:r>
            <w:r>
              <w:rPr>
                <w:rFonts w:hint="eastAsia"/>
                <w:color w:val="auto"/>
                <w:highlight w:val="none"/>
              </w:rPr>
              <w:t>-</w:t>
            </w:r>
            <w:r>
              <w:rPr>
                <w:rFonts w:hint="eastAsia"/>
                <w:color w:val="auto"/>
                <w:highlight w:val="none"/>
                <w:lang w:val="en-US" w:eastAsia="zh-CN"/>
              </w:rPr>
              <w:t>11</w:t>
            </w:r>
            <w:r>
              <w:rPr>
                <w:rFonts w:hint="eastAsia"/>
                <w:color w:val="auto"/>
                <w:highlight w:val="none"/>
              </w:rPr>
              <w:t xml:space="preserve">  饲养</w:t>
            </w:r>
            <w:r>
              <w:rPr>
                <w:rFonts w:hint="default"/>
                <w:color w:val="auto"/>
                <w:highlight w:val="none"/>
              </w:rPr>
              <w:t>区域饲养能力设置情况</w:t>
            </w:r>
          </w:p>
          <w:tbl>
            <w:tblPr>
              <w:tblStyle w:val="32"/>
              <w:tblW w:w="5000" w:type="pct"/>
              <w:tblInd w:w="-5"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
            <w:tblGrid>
              <w:gridCol w:w="942"/>
              <w:gridCol w:w="2106"/>
              <w:gridCol w:w="883"/>
              <w:gridCol w:w="745"/>
              <w:gridCol w:w="701"/>
              <w:gridCol w:w="701"/>
              <w:gridCol w:w="701"/>
              <w:gridCol w:w="701"/>
              <w:gridCol w:w="706"/>
            </w:tblGrid>
            <w:tr w14:paraId="79A6C6D9">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c>
                <w:tcPr>
                  <w:tcW w:w="1862" w:type="pct"/>
                  <w:gridSpan w:val="2"/>
                  <w:vMerge w:val="restart"/>
                  <w:tcBorders>
                    <w:tl2br w:val="nil"/>
                    <w:tr2bl w:val="nil"/>
                  </w:tcBorders>
                  <w:vAlign w:val="center"/>
                </w:tcPr>
                <w:p w14:paraId="2B9C3891">
                  <w:pPr>
                    <w:pStyle w:val="120"/>
                    <w:keepNext w:val="0"/>
                    <w:keepLines w:val="0"/>
                    <w:pageBreakBefore w:val="0"/>
                    <w:framePr w:hSpace="0" w:wrap="auto" w:vAnchor="margin" w:hAnchor="text" w:xAlign="left" w:yAlign="inline"/>
                    <w:widowControl w:val="0"/>
                    <w:suppressLineNumbers w:val="0"/>
                    <w:kinsoku/>
                    <w:wordWrap/>
                    <w:overflowPunct/>
                    <w:topLinePunct w:val="0"/>
                    <w:bidi w:val="0"/>
                    <w:adjustRightInd w:val="0"/>
                    <w:snapToGrid w:val="0"/>
                    <w:spacing w:before="0" w:beforeAutospacing="0" w:after="0" w:afterAutospacing="0" w:line="276" w:lineRule="auto"/>
                    <w:ind w:left="0" w:right="0"/>
                    <w:textAlignment w:val="auto"/>
                    <w:rPr>
                      <w:rFonts w:hint="default"/>
                      <w:b w:val="0"/>
                      <w:bCs w:val="0"/>
                      <w:color w:val="auto"/>
                      <w:sz w:val="21"/>
                      <w:szCs w:val="21"/>
                      <w:highlight w:val="none"/>
                    </w:rPr>
                  </w:pPr>
                  <w:r>
                    <w:rPr>
                      <w:rFonts w:hint="eastAsia"/>
                      <w:b w:val="0"/>
                      <w:bCs w:val="0"/>
                      <w:color w:val="auto"/>
                      <w:sz w:val="21"/>
                      <w:szCs w:val="21"/>
                      <w:highlight w:val="none"/>
                    </w:rPr>
                    <w:t>收集</w:t>
                  </w:r>
                  <w:r>
                    <w:rPr>
                      <w:rFonts w:hint="default"/>
                      <w:b w:val="0"/>
                      <w:bCs w:val="0"/>
                      <w:color w:val="auto"/>
                      <w:sz w:val="21"/>
                      <w:szCs w:val="21"/>
                      <w:highlight w:val="none"/>
                    </w:rPr>
                    <w:t>区域</w:t>
                  </w:r>
                </w:p>
              </w:tc>
              <w:tc>
                <w:tcPr>
                  <w:tcW w:w="3137" w:type="pct"/>
                  <w:gridSpan w:val="7"/>
                  <w:tcBorders>
                    <w:tl2br w:val="nil"/>
                    <w:tr2bl w:val="nil"/>
                  </w:tcBorders>
                  <w:vAlign w:val="center"/>
                </w:tcPr>
                <w:p w14:paraId="120F5383">
                  <w:pPr>
                    <w:pStyle w:val="120"/>
                    <w:keepNext w:val="0"/>
                    <w:keepLines w:val="0"/>
                    <w:pageBreakBefore w:val="0"/>
                    <w:framePr w:hSpace="0" w:wrap="auto" w:vAnchor="margin" w:hAnchor="text" w:xAlign="left" w:yAlign="inline"/>
                    <w:widowControl w:val="0"/>
                    <w:suppressLineNumbers w:val="0"/>
                    <w:kinsoku/>
                    <w:wordWrap/>
                    <w:overflowPunct/>
                    <w:topLinePunct w:val="0"/>
                    <w:bidi w:val="0"/>
                    <w:adjustRightInd w:val="0"/>
                    <w:snapToGrid w:val="0"/>
                    <w:spacing w:before="0" w:beforeAutospacing="0" w:after="0" w:afterAutospacing="0" w:line="276" w:lineRule="auto"/>
                    <w:ind w:left="0" w:right="0"/>
                    <w:textAlignment w:val="auto"/>
                    <w:rPr>
                      <w:rFonts w:hint="default"/>
                      <w:b w:val="0"/>
                      <w:bCs w:val="0"/>
                      <w:color w:val="auto"/>
                      <w:sz w:val="21"/>
                      <w:szCs w:val="21"/>
                      <w:highlight w:val="none"/>
                    </w:rPr>
                  </w:pPr>
                  <w:r>
                    <w:rPr>
                      <w:rFonts w:hint="eastAsia"/>
                      <w:b w:val="0"/>
                      <w:bCs w:val="0"/>
                      <w:color w:val="auto"/>
                      <w:sz w:val="21"/>
                      <w:szCs w:val="21"/>
                      <w:highlight w:val="none"/>
                    </w:rPr>
                    <w:t>饲养</w:t>
                  </w:r>
                  <w:r>
                    <w:rPr>
                      <w:rFonts w:hint="default"/>
                      <w:b w:val="0"/>
                      <w:bCs w:val="0"/>
                      <w:color w:val="auto"/>
                      <w:sz w:val="21"/>
                      <w:szCs w:val="21"/>
                      <w:highlight w:val="none"/>
                    </w:rPr>
                    <w:t>能力（</w:t>
                  </w:r>
                  <w:r>
                    <w:rPr>
                      <w:rFonts w:hint="eastAsia"/>
                      <w:b w:val="0"/>
                      <w:bCs w:val="0"/>
                      <w:color w:val="auto"/>
                      <w:sz w:val="21"/>
                      <w:szCs w:val="21"/>
                      <w:highlight w:val="none"/>
                    </w:rPr>
                    <w:t>笼</w:t>
                  </w:r>
                  <w:r>
                    <w:rPr>
                      <w:rFonts w:hint="default"/>
                      <w:b w:val="0"/>
                      <w:bCs w:val="0"/>
                      <w:color w:val="auto"/>
                      <w:sz w:val="21"/>
                      <w:szCs w:val="21"/>
                      <w:highlight w:val="none"/>
                    </w:rPr>
                    <w:t>）</w:t>
                  </w:r>
                </w:p>
              </w:tc>
            </w:tr>
            <w:tr w14:paraId="02D7A06B">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c>
                <w:tcPr>
                  <w:tcW w:w="1862" w:type="pct"/>
                  <w:gridSpan w:val="2"/>
                  <w:vMerge w:val="continue"/>
                  <w:tcBorders>
                    <w:tl2br w:val="nil"/>
                    <w:tr2bl w:val="nil"/>
                  </w:tcBorders>
                  <w:vAlign w:val="center"/>
                </w:tcPr>
                <w:p w14:paraId="29C086F6">
                  <w:pPr>
                    <w:pStyle w:val="120"/>
                    <w:keepNext w:val="0"/>
                    <w:keepLines w:val="0"/>
                    <w:pageBreakBefore w:val="0"/>
                    <w:framePr w:hSpace="0" w:wrap="auto" w:vAnchor="margin" w:hAnchor="text" w:xAlign="left" w:yAlign="inline"/>
                    <w:widowControl w:val="0"/>
                    <w:suppressLineNumbers w:val="0"/>
                    <w:kinsoku/>
                    <w:wordWrap/>
                    <w:overflowPunct/>
                    <w:topLinePunct w:val="0"/>
                    <w:bidi w:val="0"/>
                    <w:adjustRightInd w:val="0"/>
                    <w:snapToGrid w:val="0"/>
                    <w:spacing w:before="0" w:beforeAutospacing="0" w:after="0" w:afterAutospacing="0" w:line="276" w:lineRule="auto"/>
                    <w:ind w:left="0" w:right="0"/>
                    <w:textAlignment w:val="auto"/>
                    <w:rPr>
                      <w:rFonts w:hint="default"/>
                      <w:b w:val="0"/>
                      <w:bCs w:val="0"/>
                      <w:color w:val="auto"/>
                      <w:sz w:val="21"/>
                      <w:szCs w:val="21"/>
                      <w:highlight w:val="none"/>
                    </w:rPr>
                  </w:pPr>
                </w:p>
              </w:tc>
              <w:tc>
                <w:tcPr>
                  <w:tcW w:w="539" w:type="pct"/>
                  <w:tcBorders>
                    <w:tl2br w:val="nil"/>
                    <w:tr2bl w:val="nil"/>
                  </w:tcBorders>
                  <w:vAlign w:val="center"/>
                </w:tcPr>
                <w:p w14:paraId="4055C51D">
                  <w:pPr>
                    <w:pStyle w:val="120"/>
                    <w:keepNext w:val="0"/>
                    <w:keepLines w:val="0"/>
                    <w:pageBreakBefore w:val="0"/>
                    <w:framePr w:hSpace="0" w:wrap="auto" w:vAnchor="margin" w:hAnchor="text" w:xAlign="left" w:yAlign="inline"/>
                    <w:widowControl w:val="0"/>
                    <w:suppressLineNumbers w:val="0"/>
                    <w:kinsoku/>
                    <w:wordWrap/>
                    <w:overflowPunct/>
                    <w:topLinePunct w:val="0"/>
                    <w:bidi w:val="0"/>
                    <w:adjustRightInd w:val="0"/>
                    <w:snapToGrid w:val="0"/>
                    <w:spacing w:before="0" w:beforeAutospacing="0" w:after="0" w:afterAutospacing="0" w:line="276" w:lineRule="auto"/>
                    <w:ind w:left="0" w:right="0"/>
                    <w:textAlignment w:val="auto"/>
                    <w:rPr>
                      <w:rFonts w:hint="default"/>
                      <w:b w:val="0"/>
                      <w:bCs w:val="0"/>
                      <w:color w:val="auto"/>
                      <w:sz w:val="21"/>
                      <w:szCs w:val="21"/>
                      <w:highlight w:val="none"/>
                    </w:rPr>
                  </w:pPr>
                  <w:r>
                    <w:rPr>
                      <w:rFonts w:hint="eastAsia"/>
                      <w:b w:val="0"/>
                      <w:bCs w:val="0"/>
                      <w:color w:val="auto"/>
                      <w:sz w:val="21"/>
                      <w:szCs w:val="21"/>
                      <w:highlight w:val="none"/>
                    </w:rPr>
                    <w:t>小鼠</w:t>
                  </w:r>
                </w:p>
              </w:tc>
              <w:tc>
                <w:tcPr>
                  <w:tcW w:w="455" w:type="pct"/>
                  <w:tcBorders>
                    <w:tl2br w:val="nil"/>
                    <w:tr2bl w:val="nil"/>
                  </w:tcBorders>
                  <w:vAlign w:val="center"/>
                </w:tcPr>
                <w:p w14:paraId="2E10B4DF">
                  <w:pPr>
                    <w:pStyle w:val="120"/>
                    <w:keepNext w:val="0"/>
                    <w:keepLines w:val="0"/>
                    <w:pageBreakBefore w:val="0"/>
                    <w:framePr w:hSpace="0" w:wrap="auto" w:vAnchor="margin" w:hAnchor="text" w:xAlign="left" w:yAlign="inline"/>
                    <w:widowControl w:val="0"/>
                    <w:suppressLineNumbers w:val="0"/>
                    <w:kinsoku/>
                    <w:wordWrap/>
                    <w:overflowPunct/>
                    <w:topLinePunct w:val="0"/>
                    <w:bidi w:val="0"/>
                    <w:adjustRightInd w:val="0"/>
                    <w:snapToGrid w:val="0"/>
                    <w:spacing w:before="0" w:beforeAutospacing="0" w:after="0" w:afterAutospacing="0" w:line="276" w:lineRule="auto"/>
                    <w:ind w:left="0" w:right="0"/>
                    <w:textAlignment w:val="auto"/>
                    <w:rPr>
                      <w:rFonts w:hint="default"/>
                      <w:b w:val="0"/>
                      <w:bCs w:val="0"/>
                      <w:color w:val="auto"/>
                      <w:sz w:val="21"/>
                      <w:szCs w:val="21"/>
                      <w:highlight w:val="none"/>
                    </w:rPr>
                  </w:pPr>
                  <w:r>
                    <w:rPr>
                      <w:rFonts w:hint="eastAsia"/>
                      <w:b w:val="0"/>
                      <w:bCs w:val="0"/>
                      <w:color w:val="auto"/>
                      <w:sz w:val="21"/>
                      <w:szCs w:val="21"/>
                      <w:highlight w:val="none"/>
                    </w:rPr>
                    <w:t>大鼠</w:t>
                  </w:r>
                </w:p>
              </w:tc>
              <w:tc>
                <w:tcPr>
                  <w:tcW w:w="428" w:type="pct"/>
                  <w:tcBorders>
                    <w:tl2br w:val="nil"/>
                    <w:tr2bl w:val="nil"/>
                  </w:tcBorders>
                  <w:vAlign w:val="center"/>
                </w:tcPr>
                <w:p w14:paraId="2E1E2646">
                  <w:pPr>
                    <w:pStyle w:val="120"/>
                    <w:keepNext w:val="0"/>
                    <w:keepLines w:val="0"/>
                    <w:pageBreakBefore w:val="0"/>
                    <w:framePr w:hSpace="0" w:wrap="auto" w:vAnchor="margin" w:hAnchor="text" w:xAlign="left" w:yAlign="inline"/>
                    <w:widowControl w:val="0"/>
                    <w:suppressLineNumbers w:val="0"/>
                    <w:kinsoku/>
                    <w:wordWrap/>
                    <w:overflowPunct/>
                    <w:topLinePunct w:val="0"/>
                    <w:bidi w:val="0"/>
                    <w:adjustRightInd w:val="0"/>
                    <w:snapToGrid w:val="0"/>
                    <w:spacing w:before="0" w:beforeAutospacing="0" w:after="0" w:afterAutospacing="0" w:line="276" w:lineRule="auto"/>
                    <w:ind w:left="0" w:right="0"/>
                    <w:textAlignment w:val="auto"/>
                    <w:rPr>
                      <w:rFonts w:hint="default"/>
                      <w:b w:val="0"/>
                      <w:bCs w:val="0"/>
                      <w:color w:val="auto"/>
                      <w:sz w:val="21"/>
                      <w:szCs w:val="21"/>
                      <w:highlight w:val="none"/>
                    </w:rPr>
                  </w:pPr>
                  <w:r>
                    <w:rPr>
                      <w:rFonts w:hint="eastAsia"/>
                      <w:b w:val="0"/>
                      <w:bCs w:val="0"/>
                      <w:color w:val="auto"/>
                      <w:sz w:val="21"/>
                      <w:szCs w:val="21"/>
                      <w:highlight w:val="none"/>
                    </w:rPr>
                    <w:t>豚鼠</w:t>
                  </w:r>
                </w:p>
              </w:tc>
              <w:tc>
                <w:tcPr>
                  <w:tcW w:w="428" w:type="pct"/>
                  <w:tcBorders>
                    <w:tl2br w:val="nil"/>
                    <w:tr2bl w:val="nil"/>
                  </w:tcBorders>
                  <w:vAlign w:val="center"/>
                </w:tcPr>
                <w:p w14:paraId="529DE0A6">
                  <w:pPr>
                    <w:pStyle w:val="120"/>
                    <w:keepNext w:val="0"/>
                    <w:keepLines w:val="0"/>
                    <w:pageBreakBefore w:val="0"/>
                    <w:framePr w:hSpace="0" w:wrap="auto" w:vAnchor="margin" w:hAnchor="text" w:xAlign="left" w:yAlign="inline"/>
                    <w:widowControl w:val="0"/>
                    <w:suppressLineNumbers w:val="0"/>
                    <w:kinsoku/>
                    <w:wordWrap/>
                    <w:overflowPunct/>
                    <w:topLinePunct w:val="0"/>
                    <w:bidi w:val="0"/>
                    <w:adjustRightInd w:val="0"/>
                    <w:snapToGrid w:val="0"/>
                    <w:spacing w:before="0" w:beforeAutospacing="0" w:after="0" w:afterAutospacing="0" w:line="276" w:lineRule="auto"/>
                    <w:ind w:left="0" w:right="0"/>
                    <w:textAlignment w:val="auto"/>
                    <w:rPr>
                      <w:rFonts w:hint="default"/>
                      <w:b w:val="0"/>
                      <w:bCs w:val="0"/>
                      <w:color w:val="auto"/>
                      <w:sz w:val="21"/>
                      <w:szCs w:val="21"/>
                      <w:highlight w:val="none"/>
                    </w:rPr>
                  </w:pPr>
                  <w:r>
                    <w:rPr>
                      <w:rFonts w:hint="eastAsia"/>
                      <w:b w:val="0"/>
                      <w:bCs w:val="0"/>
                      <w:color w:val="auto"/>
                      <w:sz w:val="21"/>
                      <w:szCs w:val="21"/>
                      <w:highlight w:val="none"/>
                    </w:rPr>
                    <w:t>犬</w:t>
                  </w:r>
                </w:p>
              </w:tc>
              <w:tc>
                <w:tcPr>
                  <w:tcW w:w="428" w:type="pct"/>
                  <w:tcBorders>
                    <w:tl2br w:val="nil"/>
                    <w:tr2bl w:val="nil"/>
                  </w:tcBorders>
                  <w:vAlign w:val="center"/>
                </w:tcPr>
                <w:p w14:paraId="78566AC3">
                  <w:pPr>
                    <w:pStyle w:val="120"/>
                    <w:keepNext w:val="0"/>
                    <w:keepLines w:val="0"/>
                    <w:pageBreakBefore w:val="0"/>
                    <w:framePr w:hSpace="0" w:wrap="auto" w:vAnchor="margin" w:hAnchor="text" w:xAlign="left" w:yAlign="inline"/>
                    <w:widowControl w:val="0"/>
                    <w:suppressLineNumbers w:val="0"/>
                    <w:kinsoku/>
                    <w:wordWrap/>
                    <w:overflowPunct/>
                    <w:topLinePunct w:val="0"/>
                    <w:bidi w:val="0"/>
                    <w:adjustRightInd w:val="0"/>
                    <w:snapToGrid w:val="0"/>
                    <w:spacing w:before="0" w:beforeAutospacing="0" w:after="0" w:afterAutospacing="0" w:line="276" w:lineRule="auto"/>
                    <w:ind w:left="0" w:right="0"/>
                    <w:textAlignment w:val="auto"/>
                    <w:rPr>
                      <w:rFonts w:hint="default"/>
                      <w:b w:val="0"/>
                      <w:bCs w:val="0"/>
                      <w:color w:val="auto"/>
                      <w:sz w:val="21"/>
                      <w:szCs w:val="21"/>
                      <w:highlight w:val="none"/>
                    </w:rPr>
                  </w:pPr>
                  <w:r>
                    <w:rPr>
                      <w:rFonts w:hint="eastAsia"/>
                      <w:b w:val="0"/>
                      <w:bCs w:val="0"/>
                      <w:color w:val="auto"/>
                      <w:sz w:val="21"/>
                      <w:szCs w:val="21"/>
                      <w:highlight w:val="none"/>
                    </w:rPr>
                    <w:t>猪</w:t>
                  </w:r>
                </w:p>
              </w:tc>
              <w:tc>
                <w:tcPr>
                  <w:tcW w:w="428" w:type="pct"/>
                  <w:tcBorders>
                    <w:tl2br w:val="nil"/>
                    <w:tr2bl w:val="nil"/>
                  </w:tcBorders>
                  <w:vAlign w:val="center"/>
                </w:tcPr>
                <w:p w14:paraId="26D5C895">
                  <w:pPr>
                    <w:pStyle w:val="120"/>
                    <w:keepNext w:val="0"/>
                    <w:keepLines w:val="0"/>
                    <w:pageBreakBefore w:val="0"/>
                    <w:framePr w:hSpace="0" w:wrap="auto" w:vAnchor="margin" w:hAnchor="text" w:xAlign="left" w:yAlign="inline"/>
                    <w:widowControl w:val="0"/>
                    <w:suppressLineNumbers w:val="0"/>
                    <w:kinsoku/>
                    <w:wordWrap/>
                    <w:overflowPunct/>
                    <w:topLinePunct w:val="0"/>
                    <w:bidi w:val="0"/>
                    <w:adjustRightInd w:val="0"/>
                    <w:snapToGrid w:val="0"/>
                    <w:spacing w:before="0" w:beforeAutospacing="0" w:after="0" w:afterAutospacing="0" w:line="276" w:lineRule="auto"/>
                    <w:ind w:left="0" w:right="0"/>
                    <w:textAlignment w:val="auto"/>
                    <w:rPr>
                      <w:rFonts w:hint="default"/>
                      <w:b w:val="0"/>
                      <w:bCs w:val="0"/>
                      <w:color w:val="auto"/>
                      <w:sz w:val="21"/>
                      <w:szCs w:val="21"/>
                      <w:highlight w:val="none"/>
                    </w:rPr>
                  </w:pPr>
                  <w:r>
                    <w:rPr>
                      <w:rFonts w:hint="eastAsia"/>
                      <w:b w:val="0"/>
                      <w:bCs w:val="0"/>
                      <w:color w:val="auto"/>
                      <w:sz w:val="21"/>
                      <w:szCs w:val="21"/>
                      <w:highlight w:val="none"/>
                    </w:rPr>
                    <w:t>兔</w:t>
                  </w:r>
                </w:p>
              </w:tc>
              <w:tc>
                <w:tcPr>
                  <w:tcW w:w="430" w:type="pct"/>
                  <w:tcBorders>
                    <w:tl2br w:val="nil"/>
                    <w:tr2bl w:val="nil"/>
                  </w:tcBorders>
                  <w:vAlign w:val="center"/>
                </w:tcPr>
                <w:p w14:paraId="03DBDB07">
                  <w:pPr>
                    <w:pStyle w:val="120"/>
                    <w:keepNext w:val="0"/>
                    <w:keepLines w:val="0"/>
                    <w:pageBreakBefore w:val="0"/>
                    <w:framePr w:hSpace="0" w:wrap="auto" w:vAnchor="margin" w:hAnchor="text" w:xAlign="left" w:yAlign="inline"/>
                    <w:widowControl w:val="0"/>
                    <w:suppressLineNumbers w:val="0"/>
                    <w:kinsoku/>
                    <w:wordWrap/>
                    <w:overflowPunct/>
                    <w:topLinePunct w:val="0"/>
                    <w:bidi w:val="0"/>
                    <w:adjustRightInd w:val="0"/>
                    <w:snapToGrid w:val="0"/>
                    <w:spacing w:before="0" w:beforeAutospacing="0" w:after="0" w:afterAutospacing="0" w:line="276" w:lineRule="auto"/>
                    <w:ind w:left="0" w:right="0"/>
                    <w:textAlignment w:val="auto"/>
                    <w:rPr>
                      <w:rFonts w:hint="default"/>
                      <w:b w:val="0"/>
                      <w:bCs w:val="0"/>
                      <w:color w:val="auto"/>
                      <w:sz w:val="21"/>
                      <w:szCs w:val="21"/>
                      <w:highlight w:val="none"/>
                    </w:rPr>
                  </w:pPr>
                  <w:r>
                    <w:rPr>
                      <w:rFonts w:hint="eastAsia"/>
                      <w:b w:val="0"/>
                      <w:bCs w:val="0"/>
                      <w:color w:val="auto"/>
                      <w:sz w:val="21"/>
                      <w:szCs w:val="21"/>
                      <w:highlight w:val="none"/>
                    </w:rPr>
                    <w:t>猴</w:t>
                  </w:r>
                </w:p>
              </w:tc>
            </w:tr>
            <w:tr w14:paraId="6FA51948">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c>
                <w:tcPr>
                  <w:tcW w:w="1862" w:type="pct"/>
                  <w:gridSpan w:val="2"/>
                  <w:tcBorders>
                    <w:tl2br w:val="nil"/>
                    <w:tr2bl w:val="nil"/>
                  </w:tcBorders>
                  <w:vAlign w:val="center"/>
                </w:tcPr>
                <w:p w14:paraId="1DE74CCF">
                  <w:pPr>
                    <w:pStyle w:val="120"/>
                    <w:keepNext w:val="0"/>
                    <w:keepLines w:val="0"/>
                    <w:pageBreakBefore w:val="0"/>
                    <w:framePr w:hSpace="0" w:wrap="auto" w:vAnchor="margin" w:hAnchor="text" w:xAlign="left" w:yAlign="inline"/>
                    <w:widowControl w:val="0"/>
                    <w:suppressLineNumbers w:val="0"/>
                    <w:kinsoku/>
                    <w:wordWrap/>
                    <w:overflowPunct/>
                    <w:topLinePunct w:val="0"/>
                    <w:bidi w:val="0"/>
                    <w:adjustRightInd w:val="0"/>
                    <w:snapToGrid w:val="0"/>
                    <w:spacing w:before="0" w:beforeAutospacing="0" w:after="0" w:afterAutospacing="0" w:line="276" w:lineRule="auto"/>
                    <w:ind w:left="0" w:right="0"/>
                    <w:textAlignment w:val="auto"/>
                    <w:rPr>
                      <w:rFonts w:hint="eastAsia" w:eastAsia="宋体"/>
                      <w:color w:val="auto"/>
                      <w:kern w:val="0"/>
                      <w:sz w:val="21"/>
                      <w:szCs w:val="21"/>
                      <w:highlight w:val="none"/>
                      <w:lang w:val="en-US" w:eastAsia="zh-CN"/>
                    </w:rPr>
                  </w:pPr>
                  <w:r>
                    <w:rPr>
                      <w:rFonts w:hint="eastAsia"/>
                      <w:color w:val="auto"/>
                      <w:sz w:val="21"/>
                      <w:szCs w:val="21"/>
                      <w:highlight w:val="none"/>
                      <w:lang w:val="en-US" w:eastAsia="zh-CN"/>
                    </w:rPr>
                    <w:t>一</w:t>
                  </w:r>
                  <w:r>
                    <w:rPr>
                      <w:rFonts w:hint="eastAsia"/>
                      <w:color w:val="auto"/>
                      <w:sz w:val="21"/>
                      <w:szCs w:val="21"/>
                      <w:highlight w:val="none"/>
                    </w:rPr>
                    <w:t>层饲养</w:t>
                  </w:r>
                  <w:r>
                    <w:rPr>
                      <w:rFonts w:hint="eastAsia"/>
                      <w:color w:val="auto"/>
                      <w:sz w:val="21"/>
                      <w:szCs w:val="21"/>
                      <w:highlight w:val="none"/>
                      <w:lang w:val="en-US" w:eastAsia="zh-CN"/>
                    </w:rPr>
                    <w:t>区域</w:t>
                  </w:r>
                </w:p>
              </w:tc>
              <w:tc>
                <w:tcPr>
                  <w:tcW w:w="539" w:type="pct"/>
                  <w:tcBorders>
                    <w:tl2br w:val="nil"/>
                    <w:tr2bl w:val="nil"/>
                  </w:tcBorders>
                  <w:vAlign w:val="center"/>
                </w:tcPr>
                <w:p w14:paraId="445EDBB4">
                  <w:pPr>
                    <w:pStyle w:val="120"/>
                    <w:keepNext w:val="0"/>
                    <w:keepLines w:val="0"/>
                    <w:pageBreakBefore w:val="0"/>
                    <w:framePr w:hSpace="0" w:wrap="auto" w:vAnchor="margin" w:hAnchor="text" w:xAlign="left" w:yAlign="inline"/>
                    <w:widowControl w:val="0"/>
                    <w:suppressLineNumbers w:val="0"/>
                    <w:kinsoku/>
                    <w:wordWrap/>
                    <w:overflowPunct/>
                    <w:topLinePunct w:val="0"/>
                    <w:bidi w:val="0"/>
                    <w:adjustRightInd w:val="0"/>
                    <w:snapToGrid w:val="0"/>
                    <w:spacing w:before="0" w:beforeAutospacing="0" w:after="0" w:afterAutospacing="0" w:line="276" w:lineRule="auto"/>
                    <w:ind w:left="0" w:right="0"/>
                    <w:textAlignment w:val="auto"/>
                    <w:rPr>
                      <w:rFonts w:hint="eastAsia" w:eastAsia="宋体"/>
                      <w:color w:val="auto"/>
                      <w:sz w:val="21"/>
                      <w:szCs w:val="21"/>
                      <w:highlight w:val="none"/>
                      <w:lang w:val="en-US" w:eastAsia="zh-CN"/>
                    </w:rPr>
                  </w:pPr>
                  <w:r>
                    <w:rPr>
                      <w:rFonts w:hint="eastAsia"/>
                      <w:color w:val="auto"/>
                      <w:sz w:val="21"/>
                      <w:szCs w:val="21"/>
                      <w:highlight w:val="none"/>
                      <w:lang w:val="en-US" w:eastAsia="zh-CN"/>
                    </w:rPr>
                    <w:t>0</w:t>
                  </w:r>
                </w:p>
              </w:tc>
              <w:tc>
                <w:tcPr>
                  <w:tcW w:w="455" w:type="pct"/>
                  <w:tcBorders>
                    <w:tl2br w:val="nil"/>
                    <w:tr2bl w:val="nil"/>
                  </w:tcBorders>
                  <w:vAlign w:val="center"/>
                </w:tcPr>
                <w:p w14:paraId="688368DD">
                  <w:pPr>
                    <w:pStyle w:val="120"/>
                    <w:keepNext w:val="0"/>
                    <w:keepLines w:val="0"/>
                    <w:pageBreakBefore w:val="0"/>
                    <w:framePr w:hSpace="0" w:wrap="auto" w:vAnchor="margin" w:hAnchor="text" w:xAlign="left" w:yAlign="inline"/>
                    <w:widowControl w:val="0"/>
                    <w:suppressLineNumbers w:val="0"/>
                    <w:kinsoku/>
                    <w:wordWrap/>
                    <w:overflowPunct/>
                    <w:topLinePunct w:val="0"/>
                    <w:bidi w:val="0"/>
                    <w:adjustRightInd w:val="0"/>
                    <w:snapToGrid w:val="0"/>
                    <w:spacing w:before="0" w:beforeAutospacing="0" w:after="0" w:afterAutospacing="0" w:line="276" w:lineRule="auto"/>
                    <w:ind w:left="0" w:right="0"/>
                    <w:textAlignment w:val="auto"/>
                    <w:rPr>
                      <w:rFonts w:hint="eastAsia" w:eastAsia="宋体"/>
                      <w:color w:val="auto"/>
                      <w:sz w:val="21"/>
                      <w:szCs w:val="21"/>
                      <w:highlight w:val="none"/>
                      <w:lang w:eastAsia="zh-CN"/>
                    </w:rPr>
                  </w:pPr>
                  <w:r>
                    <w:rPr>
                      <w:rFonts w:hint="eastAsia"/>
                      <w:color w:val="auto"/>
                      <w:sz w:val="21"/>
                      <w:szCs w:val="21"/>
                      <w:highlight w:val="none"/>
                      <w:lang w:val="en-US" w:eastAsia="zh-CN"/>
                    </w:rPr>
                    <w:t>0</w:t>
                  </w:r>
                </w:p>
              </w:tc>
              <w:tc>
                <w:tcPr>
                  <w:tcW w:w="428" w:type="pct"/>
                  <w:tcBorders>
                    <w:tl2br w:val="nil"/>
                    <w:tr2bl w:val="nil"/>
                  </w:tcBorders>
                  <w:vAlign w:val="center"/>
                </w:tcPr>
                <w:p w14:paraId="194DE7C4">
                  <w:pPr>
                    <w:pStyle w:val="120"/>
                    <w:keepNext w:val="0"/>
                    <w:keepLines w:val="0"/>
                    <w:pageBreakBefore w:val="0"/>
                    <w:framePr w:hSpace="0" w:wrap="auto" w:vAnchor="margin" w:hAnchor="text" w:xAlign="left" w:yAlign="inline"/>
                    <w:widowControl w:val="0"/>
                    <w:suppressLineNumbers w:val="0"/>
                    <w:kinsoku/>
                    <w:wordWrap/>
                    <w:overflowPunct/>
                    <w:topLinePunct w:val="0"/>
                    <w:bidi w:val="0"/>
                    <w:adjustRightInd w:val="0"/>
                    <w:snapToGrid w:val="0"/>
                    <w:spacing w:before="0" w:beforeAutospacing="0" w:after="0" w:afterAutospacing="0" w:line="276" w:lineRule="auto"/>
                    <w:ind w:left="0" w:right="0"/>
                    <w:textAlignment w:val="auto"/>
                    <w:rPr>
                      <w:rFonts w:hint="default" w:eastAsia="宋体"/>
                      <w:color w:val="auto"/>
                      <w:sz w:val="21"/>
                      <w:szCs w:val="21"/>
                      <w:highlight w:val="none"/>
                      <w:lang w:val="en-US" w:eastAsia="zh-CN"/>
                    </w:rPr>
                  </w:pPr>
                  <w:r>
                    <w:rPr>
                      <w:rFonts w:hint="eastAsia"/>
                      <w:color w:val="auto"/>
                      <w:sz w:val="21"/>
                      <w:szCs w:val="21"/>
                      <w:highlight w:val="none"/>
                      <w:lang w:val="en-US" w:eastAsia="zh-CN"/>
                    </w:rPr>
                    <w:t>900</w:t>
                  </w:r>
                </w:p>
              </w:tc>
              <w:tc>
                <w:tcPr>
                  <w:tcW w:w="428" w:type="pct"/>
                  <w:tcBorders>
                    <w:tl2br w:val="nil"/>
                    <w:tr2bl w:val="nil"/>
                  </w:tcBorders>
                  <w:vAlign w:val="center"/>
                </w:tcPr>
                <w:p w14:paraId="26F8B8C8">
                  <w:pPr>
                    <w:pStyle w:val="120"/>
                    <w:keepNext w:val="0"/>
                    <w:keepLines w:val="0"/>
                    <w:pageBreakBefore w:val="0"/>
                    <w:framePr w:hSpace="0" w:wrap="auto" w:vAnchor="margin" w:hAnchor="text" w:xAlign="left" w:yAlign="inline"/>
                    <w:widowControl w:val="0"/>
                    <w:suppressLineNumbers w:val="0"/>
                    <w:kinsoku/>
                    <w:wordWrap/>
                    <w:overflowPunct/>
                    <w:topLinePunct w:val="0"/>
                    <w:bidi w:val="0"/>
                    <w:adjustRightInd w:val="0"/>
                    <w:snapToGrid w:val="0"/>
                    <w:spacing w:before="0" w:beforeAutospacing="0" w:after="0" w:afterAutospacing="0" w:line="276" w:lineRule="auto"/>
                    <w:ind w:left="0" w:right="0"/>
                    <w:textAlignment w:val="auto"/>
                    <w:rPr>
                      <w:rFonts w:hint="default" w:eastAsia="宋体"/>
                      <w:color w:val="auto"/>
                      <w:sz w:val="21"/>
                      <w:szCs w:val="21"/>
                      <w:highlight w:val="none"/>
                      <w:lang w:val="en-US" w:eastAsia="zh-CN"/>
                    </w:rPr>
                  </w:pPr>
                  <w:r>
                    <w:rPr>
                      <w:rFonts w:hint="eastAsia"/>
                      <w:color w:val="auto"/>
                      <w:sz w:val="21"/>
                      <w:szCs w:val="21"/>
                      <w:highlight w:val="none"/>
                      <w:lang w:val="en-US" w:eastAsia="zh-CN"/>
                    </w:rPr>
                    <w:t>1080</w:t>
                  </w:r>
                </w:p>
              </w:tc>
              <w:tc>
                <w:tcPr>
                  <w:tcW w:w="428" w:type="pct"/>
                  <w:tcBorders>
                    <w:tl2br w:val="nil"/>
                    <w:tr2bl w:val="nil"/>
                  </w:tcBorders>
                  <w:vAlign w:val="center"/>
                </w:tcPr>
                <w:p w14:paraId="30784C57">
                  <w:pPr>
                    <w:pStyle w:val="120"/>
                    <w:keepNext w:val="0"/>
                    <w:keepLines w:val="0"/>
                    <w:pageBreakBefore w:val="0"/>
                    <w:framePr w:hSpace="0" w:wrap="auto" w:vAnchor="margin" w:hAnchor="text" w:xAlign="left" w:yAlign="inline"/>
                    <w:widowControl w:val="0"/>
                    <w:suppressLineNumbers w:val="0"/>
                    <w:kinsoku/>
                    <w:wordWrap/>
                    <w:overflowPunct/>
                    <w:topLinePunct w:val="0"/>
                    <w:bidi w:val="0"/>
                    <w:adjustRightInd w:val="0"/>
                    <w:snapToGrid w:val="0"/>
                    <w:spacing w:before="0" w:beforeAutospacing="0" w:after="0" w:afterAutospacing="0" w:line="276" w:lineRule="auto"/>
                    <w:ind w:left="0" w:right="0"/>
                    <w:textAlignment w:val="auto"/>
                    <w:rPr>
                      <w:rFonts w:hint="default" w:eastAsia="宋体"/>
                      <w:color w:val="auto"/>
                      <w:sz w:val="21"/>
                      <w:szCs w:val="21"/>
                      <w:highlight w:val="none"/>
                      <w:lang w:val="en-US" w:eastAsia="zh-CN"/>
                    </w:rPr>
                  </w:pPr>
                  <w:r>
                    <w:rPr>
                      <w:rFonts w:hint="eastAsia"/>
                      <w:color w:val="auto"/>
                      <w:sz w:val="21"/>
                      <w:szCs w:val="21"/>
                      <w:highlight w:val="none"/>
                      <w:lang w:val="en-US" w:eastAsia="zh-CN"/>
                    </w:rPr>
                    <w:t>144</w:t>
                  </w:r>
                </w:p>
              </w:tc>
              <w:tc>
                <w:tcPr>
                  <w:tcW w:w="428" w:type="pct"/>
                  <w:tcBorders>
                    <w:tl2br w:val="nil"/>
                    <w:tr2bl w:val="nil"/>
                  </w:tcBorders>
                  <w:vAlign w:val="center"/>
                </w:tcPr>
                <w:p w14:paraId="750356C4">
                  <w:pPr>
                    <w:pStyle w:val="120"/>
                    <w:keepNext w:val="0"/>
                    <w:keepLines w:val="0"/>
                    <w:pageBreakBefore w:val="0"/>
                    <w:framePr w:hSpace="0" w:wrap="auto" w:vAnchor="margin" w:hAnchor="text" w:xAlign="left" w:yAlign="inline"/>
                    <w:widowControl w:val="0"/>
                    <w:suppressLineNumbers w:val="0"/>
                    <w:kinsoku/>
                    <w:wordWrap/>
                    <w:overflowPunct/>
                    <w:topLinePunct w:val="0"/>
                    <w:bidi w:val="0"/>
                    <w:adjustRightInd w:val="0"/>
                    <w:snapToGrid w:val="0"/>
                    <w:spacing w:before="0" w:beforeAutospacing="0" w:after="0" w:afterAutospacing="0" w:line="276" w:lineRule="auto"/>
                    <w:ind w:left="0" w:right="0"/>
                    <w:textAlignment w:val="auto"/>
                    <w:rPr>
                      <w:rFonts w:hint="default" w:eastAsia="宋体"/>
                      <w:color w:val="auto"/>
                      <w:sz w:val="21"/>
                      <w:szCs w:val="21"/>
                      <w:highlight w:val="none"/>
                      <w:lang w:val="en-US" w:eastAsia="zh-CN"/>
                    </w:rPr>
                  </w:pPr>
                  <w:r>
                    <w:rPr>
                      <w:rFonts w:hint="eastAsia"/>
                      <w:color w:val="auto"/>
                      <w:sz w:val="21"/>
                      <w:szCs w:val="21"/>
                      <w:highlight w:val="none"/>
                      <w:lang w:val="en-US" w:eastAsia="zh-CN"/>
                    </w:rPr>
                    <w:t>600</w:t>
                  </w:r>
                </w:p>
              </w:tc>
              <w:tc>
                <w:tcPr>
                  <w:tcW w:w="430" w:type="pct"/>
                  <w:tcBorders>
                    <w:tl2br w:val="nil"/>
                    <w:tr2bl w:val="nil"/>
                  </w:tcBorders>
                  <w:vAlign w:val="center"/>
                </w:tcPr>
                <w:p w14:paraId="20D702F9">
                  <w:pPr>
                    <w:pStyle w:val="120"/>
                    <w:keepNext w:val="0"/>
                    <w:keepLines w:val="0"/>
                    <w:pageBreakBefore w:val="0"/>
                    <w:framePr w:hSpace="0" w:wrap="auto" w:vAnchor="margin" w:hAnchor="text" w:xAlign="left" w:yAlign="inline"/>
                    <w:widowControl w:val="0"/>
                    <w:suppressLineNumbers w:val="0"/>
                    <w:kinsoku/>
                    <w:wordWrap/>
                    <w:overflowPunct/>
                    <w:topLinePunct w:val="0"/>
                    <w:bidi w:val="0"/>
                    <w:adjustRightInd w:val="0"/>
                    <w:snapToGrid w:val="0"/>
                    <w:spacing w:before="0" w:beforeAutospacing="0" w:after="0" w:afterAutospacing="0" w:line="276" w:lineRule="auto"/>
                    <w:ind w:left="0" w:right="0"/>
                    <w:textAlignment w:val="auto"/>
                    <w:rPr>
                      <w:rFonts w:hint="default" w:eastAsia="宋体"/>
                      <w:color w:val="auto"/>
                      <w:sz w:val="21"/>
                      <w:szCs w:val="21"/>
                      <w:highlight w:val="none"/>
                      <w:lang w:val="en-US" w:eastAsia="zh-CN"/>
                    </w:rPr>
                  </w:pPr>
                  <w:r>
                    <w:rPr>
                      <w:rFonts w:hint="eastAsia"/>
                      <w:color w:val="auto"/>
                      <w:sz w:val="21"/>
                      <w:szCs w:val="21"/>
                      <w:highlight w:val="none"/>
                      <w:lang w:val="en-US" w:eastAsia="zh-CN"/>
                    </w:rPr>
                    <w:t>112</w:t>
                  </w:r>
                </w:p>
              </w:tc>
            </w:tr>
            <w:tr w14:paraId="33DE821E">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155" w:hRule="atLeast"/>
              </w:trPr>
              <w:tc>
                <w:tcPr>
                  <w:tcW w:w="576" w:type="pct"/>
                  <w:vMerge w:val="restart"/>
                  <w:tcBorders>
                    <w:tl2br w:val="nil"/>
                    <w:tr2bl w:val="nil"/>
                  </w:tcBorders>
                  <w:vAlign w:val="center"/>
                </w:tcPr>
                <w:p w14:paraId="013B4A5B">
                  <w:pPr>
                    <w:pStyle w:val="120"/>
                    <w:keepNext w:val="0"/>
                    <w:keepLines w:val="0"/>
                    <w:pageBreakBefore w:val="0"/>
                    <w:framePr w:hSpace="0" w:wrap="auto" w:vAnchor="margin" w:hAnchor="text" w:xAlign="left" w:yAlign="inline"/>
                    <w:widowControl w:val="0"/>
                    <w:suppressLineNumbers w:val="0"/>
                    <w:kinsoku/>
                    <w:wordWrap/>
                    <w:overflowPunct/>
                    <w:topLinePunct w:val="0"/>
                    <w:bidi w:val="0"/>
                    <w:adjustRightInd w:val="0"/>
                    <w:snapToGrid w:val="0"/>
                    <w:spacing w:before="0" w:beforeAutospacing="0" w:after="0" w:afterAutospacing="0" w:line="276" w:lineRule="auto"/>
                    <w:ind w:left="0" w:right="0"/>
                    <w:textAlignment w:val="auto"/>
                    <w:rPr>
                      <w:rFonts w:hint="default"/>
                      <w:color w:val="auto"/>
                      <w:sz w:val="21"/>
                      <w:szCs w:val="21"/>
                      <w:highlight w:val="none"/>
                    </w:rPr>
                  </w:pPr>
                  <w:r>
                    <w:rPr>
                      <w:rFonts w:hint="eastAsia"/>
                      <w:color w:val="auto"/>
                      <w:sz w:val="21"/>
                      <w:szCs w:val="21"/>
                      <w:highlight w:val="none"/>
                      <w:lang w:val="en-US" w:eastAsia="zh-CN"/>
                    </w:rPr>
                    <w:t>二层</w:t>
                  </w:r>
                  <w:r>
                    <w:rPr>
                      <w:rFonts w:hint="eastAsia"/>
                      <w:color w:val="auto"/>
                      <w:sz w:val="21"/>
                      <w:szCs w:val="21"/>
                      <w:highlight w:val="none"/>
                    </w:rPr>
                    <w:t>饲养区域</w:t>
                  </w:r>
                </w:p>
              </w:tc>
              <w:tc>
                <w:tcPr>
                  <w:tcW w:w="1286" w:type="pct"/>
                  <w:tcBorders>
                    <w:tl2br w:val="nil"/>
                    <w:tr2bl w:val="nil"/>
                  </w:tcBorders>
                  <w:vAlign w:val="center"/>
                </w:tcPr>
                <w:p w14:paraId="1688B647">
                  <w:pPr>
                    <w:pStyle w:val="120"/>
                    <w:keepNext w:val="0"/>
                    <w:keepLines w:val="0"/>
                    <w:pageBreakBefore w:val="0"/>
                    <w:framePr w:hSpace="0" w:wrap="auto" w:vAnchor="margin" w:hAnchor="text" w:xAlign="left" w:yAlign="inline"/>
                    <w:widowControl w:val="0"/>
                    <w:suppressLineNumbers w:val="0"/>
                    <w:kinsoku/>
                    <w:wordWrap/>
                    <w:overflowPunct/>
                    <w:topLinePunct w:val="0"/>
                    <w:bidi w:val="0"/>
                    <w:adjustRightInd w:val="0"/>
                    <w:snapToGrid w:val="0"/>
                    <w:spacing w:before="0" w:beforeAutospacing="0" w:after="0" w:afterAutospacing="0" w:line="276" w:lineRule="auto"/>
                    <w:ind w:left="0" w:right="0"/>
                    <w:textAlignment w:val="auto"/>
                    <w:rPr>
                      <w:rFonts w:hint="eastAsia" w:ascii="Times New Roman" w:hAnsi="Times New Roman" w:eastAsia="宋体" w:cs="Times New Roman"/>
                      <w:color w:val="auto"/>
                      <w:sz w:val="21"/>
                      <w:szCs w:val="21"/>
                      <w:highlight w:val="none"/>
                      <w:lang w:val="en-US" w:eastAsia="zh-CN"/>
                    </w:rPr>
                  </w:pPr>
                  <w:r>
                    <w:rPr>
                      <w:rFonts w:hint="eastAsia" w:ascii="Times New Roman" w:hAnsi="Times New Roman" w:eastAsia="宋体" w:cs="Times New Roman"/>
                      <w:color w:val="auto"/>
                      <w:sz w:val="21"/>
                      <w:szCs w:val="21"/>
                      <w:highlight w:val="none"/>
                      <w:lang w:val="en-US" w:eastAsia="zh-CN"/>
                    </w:rPr>
                    <w:t>返回动物饲养区</w:t>
                  </w:r>
                </w:p>
              </w:tc>
              <w:tc>
                <w:tcPr>
                  <w:tcW w:w="539" w:type="pct"/>
                  <w:tcBorders>
                    <w:tl2br w:val="nil"/>
                    <w:tr2bl w:val="nil"/>
                  </w:tcBorders>
                  <w:vAlign w:val="center"/>
                </w:tcPr>
                <w:p w14:paraId="653201C2">
                  <w:pPr>
                    <w:pStyle w:val="120"/>
                    <w:keepNext w:val="0"/>
                    <w:keepLines w:val="0"/>
                    <w:pageBreakBefore w:val="0"/>
                    <w:framePr w:hSpace="0" w:wrap="auto" w:vAnchor="margin" w:hAnchor="text" w:xAlign="left" w:yAlign="inline"/>
                    <w:widowControl w:val="0"/>
                    <w:suppressLineNumbers w:val="0"/>
                    <w:kinsoku/>
                    <w:wordWrap/>
                    <w:overflowPunct/>
                    <w:topLinePunct w:val="0"/>
                    <w:bidi w:val="0"/>
                    <w:adjustRightInd w:val="0"/>
                    <w:snapToGrid w:val="0"/>
                    <w:spacing w:before="0" w:beforeAutospacing="0" w:after="0" w:afterAutospacing="0" w:line="276" w:lineRule="auto"/>
                    <w:ind w:left="0" w:right="0"/>
                    <w:textAlignment w:val="auto"/>
                    <w:rPr>
                      <w:rFonts w:hint="default" w:eastAsia="宋体"/>
                      <w:color w:val="auto"/>
                      <w:sz w:val="21"/>
                      <w:szCs w:val="21"/>
                      <w:highlight w:val="none"/>
                      <w:lang w:val="en-US" w:eastAsia="zh-CN"/>
                    </w:rPr>
                  </w:pPr>
                  <w:r>
                    <w:rPr>
                      <w:rFonts w:hint="eastAsia"/>
                      <w:color w:val="auto"/>
                      <w:sz w:val="21"/>
                      <w:szCs w:val="21"/>
                      <w:highlight w:val="none"/>
                      <w:lang w:val="en-US" w:eastAsia="zh-CN"/>
                    </w:rPr>
                    <w:t>2000</w:t>
                  </w:r>
                </w:p>
              </w:tc>
              <w:tc>
                <w:tcPr>
                  <w:tcW w:w="455" w:type="pct"/>
                  <w:tcBorders>
                    <w:tl2br w:val="nil"/>
                    <w:tr2bl w:val="nil"/>
                  </w:tcBorders>
                  <w:vAlign w:val="center"/>
                </w:tcPr>
                <w:p w14:paraId="6E9B83CC">
                  <w:pPr>
                    <w:pStyle w:val="120"/>
                    <w:keepNext w:val="0"/>
                    <w:keepLines w:val="0"/>
                    <w:pageBreakBefore w:val="0"/>
                    <w:framePr w:hSpace="0" w:wrap="auto" w:vAnchor="margin" w:hAnchor="text" w:xAlign="left" w:yAlign="inline"/>
                    <w:widowControl w:val="0"/>
                    <w:suppressLineNumbers w:val="0"/>
                    <w:kinsoku/>
                    <w:wordWrap/>
                    <w:overflowPunct/>
                    <w:topLinePunct w:val="0"/>
                    <w:bidi w:val="0"/>
                    <w:adjustRightInd w:val="0"/>
                    <w:snapToGrid w:val="0"/>
                    <w:spacing w:before="0" w:beforeAutospacing="0" w:after="0" w:afterAutospacing="0" w:line="276" w:lineRule="auto"/>
                    <w:ind w:left="0" w:right="0"/>
                    <w:textAlignment w:val="auto"/>
                    <w:rPr>
                      <w:rFonts w:hint="default" w:eastAsia="宋体"/>
                      <w:color w:val="auto"/>
                      <w:sz w:val="21"/>
                      <w:szCs w:val="21"/>
                      <w:highlight w:val="none"/>
                      <w:lang w:val="en-US" w:eastAsia="zh-CN"/>
                    </w:rPr>
                  </w:pPr>
                  <w:r>
                    <w:rPr>
                      <w:rFonts w:hint="eastAsia"/>
                      <w:color w:val="auto"/>
                      <w:sz w:val="21"/>
                      <w:szCs w:val="21"/>
                      <w:highlight w:val="none"/>
                      <w:lang w:val="en-US" w:eastAsia="zh-CN"/>
                    </w:rPr>
                    <w:t>604</w:t>
                  </w:r>
                </w:p>
              </w:tc>
              <w:tc>
                <w:tcPr>
                  <w:tcW w:w="428" w:type="pct"/>
                  <w:tcBorders>
                    <w:tl2br w:val="nil"/>
                    <w:tr2bl w:val="nil"/>
                  </w:tcBorders>
                  <w:vAlign w:val="center"/>
                </w:tcPr>
                <w:p w14:paraId="3BC3590E">
                  <w:pPr>
                    <w:keepNext w:val="0"/>
                    <w:keepLines w:val="0"/>
                    <w:pageBreakBefore w:val="0"/>
                    <w:widowControl w:val="0"/>
                    <w:suppressLineNumbers w:val="0"/>
                    <w:kinsoku/>
                    <w:wordWrap/>
                    <w:overflowPunct/>
                    <w:topLinePunct w:val="0"/>
                    <w:bidi w:val="0"/>
                    <w:adjustRightInd w:val="0"/>
                    <w:snapToGrid w:val="0"/>
                    <w:spacing w:before="0" w:beforeAutospacing="0" w:after="0" w:afterAutospacing="0" w:line="276" w:lineRule="auto"/>
                    <w:ind w:left="0" w:right="0"/>
                    <w:jc w:val="center"/>
                    <w:textAlignment w:val="auto"/>
                    <w:rPr>
                      <w:rFonts w:hint="eastAsia" w:eastAsia="宋体"/>
                      <w:color w:val="auto"/>
                      <w:sz w:val="21"/>
                      <w:szCs w:val="21"/>
                      <w:highlight w:val="none"/>
                      <w:lang w:val="en-US" w:eastAsia="zh-CN"/>
                    </w:rPr>
                  </w:pPr>
                  <w:r>
                    <w:rPr>
                      <w:rFonts w:hint="eastAsia"/>
                      <w:color w:val="auto"/>
                      <w:sz w:val="21"/>
                      <w:szCs w:val="21"/>
                      <w:highlight w:val="none"/>
                      <w:lang w:val="en-US" w:eastAsia="zh-CN"/>
                    </w:rPr>
                    <w:t>0</w:t>
                  </w:r>
                </w:p>
              </w:tc>
              <w:tc>
                <w:tcPr>
                  <w:tcW w:w="428" w:type="pct"/>
                  <w:tcBorders>
                    <w:tl2br w:val="nil"/>
                    <w:tr2bl w:val="nil"/>
                  </w:tcBorders>
                  <w:vAlign w:val="center"/>
                </w:tcPr>
                <w:p w14:paraId="692B6A73">
                  <w:pPr>
                    <w:keepNext w:val="0"/>
                    <w:keepLines w:val="0"/>
                    <w:pageBreakBefore w:val="0"/>
                    <w:widowControl w:val="0"/>
                    <w:suppressLineNumbers w:val="0"/>
                    <w:kinsoku/>
                    <w:wordWrap/>
                    <w:overflowPunct/>
                    <w:topLinePunct w:val="0"/>
                    <w:bidi w:val="0"/>
                    <w:adjustRightInd w:val="0"/>
                    <w:snapToGrid w:val="0"/>
                    <w:spacing w:before="0" w:beforeAutospacing="0" w:after="0" w:afterAutospacing="0" w:line="276" w:lineRule="auto"/>
                    <w:ind w:left="0" w:right="0"/>
                    <w:jc w:val="center"/>
                    <w:textAlignment w:val="auto"/>
                    <w:rPr>
                      <w:rFonts w:hint="default"/>
                      <w:color w:val="auto"/>
                      <w:sz w:val="21"/>
                      <w:szCs w:val="21"/>
                      <w:highlight w:val="none"/>
                    </w:rPr>
                  </w:pPr>
                  <w:r>
                    <w:rPr>
                      <w:rFonts w:hint="eastAsia"/>
                      <w:color w:val="auto"/>
                      <w:sz w:val="21"/>
                      <w:szCs w:val="21"/>
                      <w:highlight w:val="none"/>
                      <w:lang w:val="en-US" w:eastAsia="zh-CN"/>
                    </w:rPr>
                    <w:t>0</w:t>
                  </w:r>
                </w:p>
              </w:tc>
              <w:tc>
                <w:tcPr>
                  <w:tcW w:w="428" w:type="pct"/>
                  <w:tcBorders>
                    <w:tl2br w:val="nil"/>
                    <w:tr2bl w:val="nil"/>
                  </w:tcBorders>
                  <w:vAlign w:val="center"/>
                </w:tcPr>
                <w:p w14:paraId="0D97A844">
                  <w:pPr>
                    <w:keepNext w:val="0"/>
                    <w:keepLines w:val="0"/>
                    <w:pageBreakBefore w:val="0"/>
                    <w:widowControl w:val="0"/>
                    <w:suppressLineNumbers w:val="0"/>
                    <w:kinsoku/>
                    <w:wordWrap/>
                    <w:overflowPunct/>
                    <w:topLinePunct w:val="0"/>
                    <w:bidi w:val="0"/>
                    <w:adjustRightInd w:val="0"/>
                    <w:snapToGrid w:val="0"/>
                    <w:spacing w:before="0" w:beforeAutospacing="0" w:after="0" w:afterAutospacing="0" w:line="276" w:lineRule="auto"/>
                    <w:ind w:left="0" w:right="0"/>
                    <w:jc w:val="center"/>
                    <w:textAlignment w:val="auto"/>
                    <w:rPr>
                      <w:rFonts w:hint="default"/>
                      <w:color w:val="auto"/>
                      <w:sz w:val="21"/>
                      <w:szCs w:val="21"/>
                      <w:highlight w:val="none"/>
                    </w:rPr>
                  </w:pPr>
                  <w:r>
                    <w:rPr>
                      <w:rFonts w:hint="eastAsia"/>
                      <w:color w:val="auto"/>
                      <w:sz w:val="21"/>
                      <w:szCs w:val="21"/>
                      <w:highlight w:val="none"/>
                      <w:lang w:val="en-US" w:eastAsia="zh-CN"/>
                    </w:rPr>
                    <w:t>0</w:t>
                  </w:r>
                </w:p>
              </w:tc>
              <w:tc>
                <w:tcPr>
                  <w:tcW w:w="428" w:type="pct"/>
                  <w:tcBorders>
                    <w:tl2br w:val="nil"/>
                    <w:tr2bl w:val="nil"/>
                  </w:tcBorders>
                  <w:vAlign w:val="center"/>
                </w:tcPr>
                <w:p w14:paraId="66BF9258">
                  <w:pPr>
                    <w:keepNext w:val="0"/>
                    <w:keepLines w:val="0"/>
                    <w:pageBreakBefore w:val="0"/>
                    <w:widowControl w:val="0"/>
                    <w:suppressLineNumbers w:val="0"/>
                    <w:kinsoku/>
                    <w:wordWrap/>
                    <w:overflowPunct/>
                    <w:topLinePunct w:val="0"/>
                    <w:bidi w:val="0"/>
                    <w:adjustRightInd w:val="0"/>
                    <w:snapToGrid w:val="0"/>
                    <w:spacing w:before="0" w:beforeAutospacing="0" w:after="0" w:afterAutospacing="0" w:line="276" w:lineRule="auto"/>
                    <w:ind w:left="0" w:right="0"/>
                    <w:jc w:val="center"/>
                    <w:textAlignment w:val="auto"/>
                    <w:rPr>
                      <w:rFonts w:hint="default"/>
                      <w:color w:val="auto"/>
                      <w:sz w:val="21"/>
                      <w:szCs w:val="21"/>
                      <w:highlight w:val="none"/>
                    </w:rPr>
                  </w:pPr>
                  <w:r>
                    <w:rPr>
                      <w:rFonts w:hint="eastAsia"/>
                      <w:color w:val="auto"/>
                      <w:sz w:val="21"/>
                      <w:szCs w:val="21"/>
                      <w:highlight w:val="none"/>
                      <w:lang w:val="en-US" w:eastAsia="zh-CN"/>
                    </w:rPr>
                    <w:t>0</w:t>
                  </w:r>
                </w:p>
              </w:tc>
              <w:tc>
                <w:tcPr>
                  <w:tcW w:w="430" w:type="pct"/>
                  <w:tcBorders>
                    <w:tl2br w:val="nil"/>
                    <w:tr2bl w:val="nil"/>
                  </w:tcBorders>
                  <w:vAlign w:val="center"/>
                </w:tcPr>
                <w:p w14:paraId="5FC7736D">
                  <w:pPr>
                    <w:keepNext w:val="0"/>
                    <w:keepLines w:val="0"/>
                    <w:pageBreakBefore w:val="0"/>
                    <w:widowControl w:val="0"/>
                    <w:suppressLineNumbers w:val="0"/>
                    <w:kinsoku/>
                    <w:wordWrap/>
                    <w:overflowPunct/>
                    <w:topLinePunct w:val="0"/>
                    <w:bidi w:val="0"/>
                    <w:adjustRightInd w:val="0"/>
                    <w:snapToGrid w:val="0"/>
                    <w:spacing w:before="0" w:beforeAutospacing="0" w:after="0" w:afterAutospacing="0" w:line="276" w:lineRule="auto"/>
                    <w:ind w:left="0" w:right="0"/>
                    <w:jc w:val="center"/>
                    <w:textAlignment w:val="auto"/>
                    <w:rPr>
                      <w:rFonts w:hint="default"/>
                      <w:color w:val="auto"/>
                      <w:sz w:val="21"/>
                      <w:szCs w:val="21"/>
                      <w:highlight w:val="none"/>
                    </w:rPr>
                  </w:pPr>
                  <w:r>
                    <w:rPr>
                      <w:rFonts w:hint="eastAsia"/>
                      <w:color w:val="auto"/>
                      <w:sz w:val="21"/>
                      <w:szCs w:val="21"/>
                      <w:highlight w:val="none"/>
                      <w:lang w:val="en-US" w:eastAsia="zh-CN"/>
                    </w:rPr>
                    <w:t>0</w:t>
                  </w:r>
                </w:p>
              </w:tc>
            </w:tr>
            <w:tr w14:paraId="2F18D64C">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155" w:hRule="atLeast"/>
              </w:trPr>
              <w:tc>
                <w:tcPr>
                  <w:tcW w:w="576" w:type="pct"/>
                  <w:vMerge w:val="continue"/>
                  <w:tcBorders>
                    <w:tl2br w:val="nil"/>
                    <w:tr2bl w:val="nil"/>
                  </w:tcBorders>
                  <w:vAlign w:val="center"/>
                </w:tcPr>
                <w:p w14:paraId="113A5199">
                  <w:pPr>
                    <w:pStyle w:val="120"/>
                    <w:keepNext w:val="0"/>
                    <w:keepLines w:val="0"/>
                    <w:pageBreakBefore w:val="0"/>
                    <w:framePr w:hSpace="0" w:wrap="auto" w:vAnchor="margin" w:hAnchor="text" w:xAlign="left" w:yAlign="inline"/>
                    <w:widowControl w:val="0"/>
                    <w:suppressLineNumbers w:val="0"/>
                    <w:kinsoku/>
                    <w:wordWrap/>
                    <w:overflowPunct/>
                    <w:topLinePunct w:val="0"/>
                    <w:bidi w:val="0"/>
                    <w:adjustRightInd w:val="0"/>
                    <w:snapToGrid w:val="0"/>
                    <w:spacing w:before="0" w:beforeAutospacing="0" w:after="0" w:afterAutospacing="0" w:line="276" w:lineRule="auto"/>
                    <w:ind w:left="0" w:right="0"/>
                    <w:textAlignment w:val="auto"/>
                    <w:rPr>
                      <w:rFonts w:hint="eastAsia"/>
                      <w:color w:val="auto"/>
                      <w:sz w:val="21"/>
                      <w:szCs w:val="21"/>
                      <w:highlight w:val="none"/>
                      <w:lang w:val="en-US" w:eastAsia="zh-CN"/>
                    </w:rPr>
                  </w:pPr>
                </w:p>
              </w:tc>
              <w:tc>
                <w:tcPr>
                  <w:tcW w:w="1286" w:type="pct"/>
                  <w:tcBorders>
                    <w:tl2br w:val="nil"/>
                    <w:tr2bl w:val="nil"/>
                  </w:tcBorders>
                  <w:vAlign w:val="center"/>
                </w:tcPr>
                <w:p w14:paraId="70B835DF">
                  <w:pPr>
                    <w:pStyle w:val="120"/>
                    <w:keepNext w:val="0"/>
                    <w:keepLines w:val="0"/>
                    <w:pageBreakBefore w:val="0"/>
                    <w:framePr w:hSpace="0" w:wrap="auto" w:vAnchor="margin" w:hAnchor="text" w:xAlign="left" w:yAlign="inline"/>
                    <w:widowControl w:val="0"/>
                    <w:suppressLineNumbers w:val="0"/>
                    <w:kinsoku/>
                    <w:wordWrap/>
                    <w:overflowPunct/>
                    <w:topLinePunct w:val="0"/>
                    <w:bidi w:val="0"/>
                    <w:adjustRightInd w:val="0"/>
                    <w:snapToGrid w:val="0"/>
                    <w:spacing w:before="0" w:beforeAutospacing="0" w:after="0" w:afterAutospacing="0" w:line="276" w:lineRule="auto"/>
                    <w:ind w:left="0" w:right="0"/>
                    <w:textAlignment w:val="auto"/>
                    <w:rPr>
                      <w:rFonts w:hint="eastAsia" w:ascii="Times New Roman" w:hAnsi="Times New Roman" w:eastAsia="宋体" w:cs="Times New Roman"/>
                      <w:color w:val="auto"/>
                      <w:sz w:val="21"/>
                      <w:szCs w:val="21"/>
                      <w:highlight w:val="none"/>
                      <w:lang w:val="en-US" w:eastAsia="zh-CN"/>
                    </w:rPr>
                  </w:pPr>
                  <w:r>
                    <w:rPr>
                      <w:rFonts w:hint="eastAsia" w:ascii="Times New Roman" w:hAnsi="Times New Roman" w:eastAsia="宋体" w:cs="Times New Roman"/>
                      <w:color w:val="auto"/>
                      <w:sz w:val="21"/>
                      <w:szCs w:val="21"/>
                      <w:highlight w:val="none"/>
                      <w:lang w:val="en-US" w:eastAsia="zh-CN"/>
                    </w:rPr>
                    <w:t>SPF动物屏障区</w:t>
                  </w:r>
                </w:p>
              </w:tc>
              <w:tc>
                <w:tcPr>
                  <w:tcW w:w="539" w:type="pct"/>
                  <w:tcBorders>
                    <w:tl2br w:val="nil"/>
                    <w:tr2bl w:val="nil"/>
                  </w:tcBorders>
                  <w:vAlign w:val="center"/>
                </w:tcPr>
                <w:p w14:paraId="468D9258">
                  <w:pPr>
                    <w:pStyle w:val="120"/>
                    <w:keepNext w:val="0"/>
                    <w:keepLines w:val="0"/>
                    <w:pageBreakBefore w:val="0"/>
                    <w:framePr w:hSpace="0" w:wrap="auto" w:vAnchor="margin" w:hAnchor="text" w:xAlign="left" w:yAlign="inline"/>
                    <w:widowControl w:val="0"/>
                    <w:suppressLineNumbers w:val="0"/>
                    <w:kinsoku/>
                    <w:wordWrap/>
                    <w:overflowPunct/>
                    <w:topLinePunct w:val="0"/>
                    <w:bidi w:val="0"/>
                    <w:adjustRightInd w:val="0"/>
                    <w:snapToGrid w:val="0"/>
                    <w:spacing w:before="0" w:beforeAutospacing="0" w:after="0" w:afterAutospacing="0" w:line="276" w:lineRule="auto"/>
                    <w:ind w:left="0" w:right="0"/>
                    <w:textAlignment w:val="auto"/>
                    <w:rPr>
                      <w:rFonts w:hint="default"/>
                      <w:color w:val="auto"/>
                      <w:sz w:val="21"/>
                      <w:szCs w:val="21"/>
                      <w:highlight w:val="none"/>
                      <w:lang w:val="en-US" w:eastAsia="zh-CN"/>
                    </w:rPr>
                  </w:pPr>
                  <w:r>
                    <w:rPr>
                      <w:rFonts w:hint="eastAsia"/>
                      <w:color w:val="auto"/>
                      <w:sz w:val="21"/>
                      <w:szCs w:val="21"/>
                      <w:highlight w:val="none"/>
                      <w:lang w:val="en-US" w:eastAsia="zh-CN"/>
                    </w:rPr>
                    <w:t>7000</w:t>
                  </w:r>
                </w:p>
              </w:tc>
              <w:tc>
                <w:tcPr>
                  <w:tcW w:w="455" w:type="pct"/>
                  <w:tcBorders>
                    <w:tl2br w:val="nil"/>
                    <w:tr2bl w:val="nil"/>
                  </w:tcBorders>
                  <w:vAlign w:val="center"/>
                </w:tcPr>
                <w:p w14:paraId="0C35DC8D">
                  <w:pPr>
                    <w:pStyle w:val="120"/>
                    <w:keepNext w:val="0"/>
                    <w:keepLines w:val="0"/>
                    <w:pageBreakBefore w:val="0"/>
                    <w:framePr w:hSpace="0" w:wrap="auto" w:vAnchor="margin" w:hAnchor="text" w:xAlign="left" w:yAlign="inline"/>
                    <w:widowControl w:val="0"/>
                    <w:suppressLineNumbers w:val="0"/>
                    <w:kinsoku/>
                    <w:wordWrap/>
                    <w:overflowPunct/>
                    <w:topLinePunct w:val="0"/>
                    <w:bidi w:val="0"/>
                    <w:adjustRightInd w:val="0"/>
                    <w:snapToGrid w:val="0"/>
                    <w:spacing w:before="0" w:beforeAutospacing="0" w:after="0" w:afterAutospacing="0" w:line="276" w:lineRule="auto"/>
                    <w:ind w:left="0" w:right="0"/>
                    <w:textAlignment w:val="auto"/>
                    <w:rPr>
                      <w:rFonts w:hint="default"/>
                      <w:color w:val="auto"/>
                      <w:sz w:val="21"/>
                      <w:szCs w:val="21"/>
                      <w:highlight w:val="none"/>
                      <w:lang w:val="en-US" w:eastAsia="zh-CN"/>
                    </w:rPr>
                  </w:pPr>
                  <w:r>
                    <w:rPr>
                      <w:rFonts w:hint="eastAsia"/>
                      <w:color w:val="auto"/>
                      <w:sz w:val="21"/>
                      <w:szCs w:val="21"/>
                      <w:highlight w:val="none"/>
                      <w:lang w:val="en-US" w:eastAsia="zh-CN"/>
                    </w:rPr>
                    <w:t>2416</w:t>
                  </w:r>
                </w:p>
              </w:tc>
              <w:tc>
                <w:tcPr>
                  <w:tcW w:w="428" w:type="pct"/>
                  <w:tcBorders>
                    <w:tl2br w:val="nil"/>
                    <w:tr2bl w:val="nil"/>
                  </w:tcBorders>
                  <w:shd w:val="clear" w:color="auto" w:fill="auto"/>
                  <w:vAlign w:val="center"/>
                </w:tcPr>
                <w:p w14:paraId="7C4F863E">
                  <w:pPr>
                    <w:keepNext w:val="0"/>
                    <w:keepLines w:val="0"/>
                    <w:pageBreakBefore w:val="0"/>
                    <w:widowControl w:val="0"/>
                    <w:suppressLineNumbers w:val="0"/>
                    <w:kinsoku/>
                    <w:wordWrap/>
                    <w:overflowPunct/>
                    <w:topLinePunct w:val="0"/>
                    <w:bidi w:val="0"/>
                    <w:adjustRightInd w:val="0"/>
                    <w:snapToGrid w:val="0"/>
                    <w:spacing w:before="0" w:beforeAutospacing="0" w:after="0" w:afterAutospacing="0" w:line="276" w:lineRule="auto"/>
                    <w:ind w:left="0" w:right="0"/>
                    <w:jc w:val="center"/>
                    <w:textAlignment w:val="auto"/>
                    <w:rPr>
                      <w:rFonts w:hint="eastAsia" w:ascii="Times New Roman" w:hAnsi="Times New Roman" w:eastAsia="宋体" w:cs="Times New Roman"/>
                      <w:color w:val="auto"/>
                      <w:kern w:val="2"/>
                      <w:sz w:val="21"/>
                      <w:szCs w:val="21"/>
                      <w:highlight w:val="none"/>
                      <w:lang w:val="en-US" w:eastAsia="zh-CN" w:bidi="ar-SA"/>
                    </w:rPr>
                  </w:pPr>
                  <w:r>
                    <w:rPr>
                      <w:rFonts w:hint="eastAsia"/>
                      <w:color w:val="auto"/>
                      <w:sz w:val="21"/>
                      <w:szCs w:val="21"/>
                      <w:highlight w:val="none"/>
                      <w:lang w:val="en-US" w:eastAsia="zh-CN"/>
                    </w:rPr>
                    <w:t>0</w:t>
                  </w:r>
                </w:p>
              </w:tc>
              <w:tc>
                <w:tcPr>
                  <w:tcW w:w="428" w:type="pct"/>
                  <w:tcBorders>
                    <w:tl2br w:val="nil"/>
                    <w:tr2bl w:val="nil"/>
                  </w:tcBorders>
                  <w:shd w:val="clear" w:color="auto" w:fill="auto"/>
                  <w:vAlign w:val="center"/>
                </w:tcPr>
                <w:p w14:paraId="2C82C6A4">
                  <w:pPr>
                    <w:keepNext w:val="0"/>
                    <w:keepLines w:val="0"/>
                    <w:pageBreakBefore w:val="0"/>
                    <w:widowControl w:val="0"/>
                    <w:suppressLineNumbers w:val="0"/>
                    <w:kinsoku/>
                    <w:wordWrap/>
                    <w:overflowPunct/>
                    <w:topLinePunct w:val="0"/>
                    <w:bidi w:val="0"/>
                    <w:adjustRightInd w:val="0"/>
                    <w:snapToGrid w:val="0"/>
                    <w:spacing w:before="0" w:beforeAutospacing="0" w:after="0" w:afterAutospacing="0" w:line="276" w:lineRule="auto"/>
                    <w:ind w:left="0" w:right="0"/>
                    <w:jc w:val="center"/>
                    <w:textAlignment w:val="auto"/>
                    <w:rPr>
                      <w:rFonts w:hint="eastAsia" w:ascii="Times New Roman" w:hAnsi="Times New Roman" w:eastAsia="宋体" w:cs="Times New Roman"/>
                      <w:color w:val="auto"/>
                      <w:kern w:val="2"/>
                      <w:sz w:val="21"/>
                      <w:szCs w:val="21"/>
                      <w:highlight w:val="none"/>
                      <w:lang w:val="en-US" w:eastAsia="zh-CN" w:bidi="ar-SA"/>
                    </w:rPr>
                  </w:pPr>
                  <w:r>
                    <w:rPr>
                      <w:rFonts w:hint="eastAsia"/>
                      <w:color w:val="auto"/>
                      <w:sz w:val="21"/>
                      <w:szCs w:val="21"/>
                      <w:highlight w:val="none"/>
                      <w:lang w:val="en-US" w:eastAsia="zh-CN"/>
                    </w:rPr>
                    <w:t>0</w:t>
                  </w:r>
                </w:p>
              </w:tc>
              <w:tc>
                <w:tcPr>
                  <w:tcW w:w="428" w:type="pct"/>
                  <w:tcBorders>
                    <w:tl2br w:val="nil"/>
                    <w:tr2bl w:val="nil"/>
                  </w:tcBorders>
                  <w:shd w:val="clear" w:color="auto" w:fill="auto"/>
                  <w:vAlign w:val="center"/>
                </w:tcPr>
                <w:p w14:paraId="249D5050">
                  <w:pPr>
                    <w:keepNext w:val="0"/>
                    <w:keepLines w:val="0"/>
                    <w:pageBreakBefore w:val="0"/>
                    <w:widowControl w:val="0"/>
                    <w:suppressLineNumbers w:val="0"/>
                    <w:kinsoku/>
                    <w:wordWrap/>
                    <w:overflowPunct/>
                    <w:topLinePunct w:val="0"/>
                    <w:bidi w:val="0"/>
                    <w:adjustRightInd w:val="0"/>
                    <w:snapToGrid w:val="0"/>
                    <w:spacing w:before="0" w:beforeAutospacing="0" w:after="0" w:afterAutospacing="0" w:line="276" w:lineRule="auto"/>
                    <w:ind w:left="0" w:right="0"/>
                    <w:jc w:val="center"/>
                    <w:textAlignment w:val="auto"/>
                    <w:rPr>
                      <w:rFonts w:hint="eastAsia" w:ascii="Times New Roman" w:hAnsi="Times New Roman" w:eastAsia="宋体" w:cs="Times New Roman"/>
                      <w:color w:val="auto"/>
                      <w:kern w:val="2"/>
                      <w:sz w:val="21"/>
                      <w:szCs w:val="21"/>
                      <w:highlight w:val="none"/>
                      <w:lang w:val="en-US" w:eastAsia="zh-CN" w:bidi="ar-SA"/>
                    </w:rPr>
                  </w:pPr>
                  <w:r>
                    <w:rPr>
                      <w:rFonts w:hint="eastAsia"/>
                      <w:color w:val="auto"/>
                      <w:sz w:val="21"/>
                      <w:szCs w:val="21"/>
                      <w:highlight w:val="none"/>
                      <w:lang w:val="en-US" w:eastAsia="zh-CN"/>
                    </w:rPr>
                    <w:t>0</w:t>
                  </w:r>
                </w:p>
              </w:tc>
              <w:tc>
                <w:tcPr>
                  <w:tcW w:w="428" w:type="pct"/>
                  <w:tcBorders>
                    <w:tl2br w:val="nil"/>
                    <w:tr2bl w:val="nil"/>
                  </w:tcBorders>
                  <w:shd w:val="clear" w:color="auto" w:fill="auto"/>
                  <w:vAlign w:val="center"/>
                </w:tcPr>
                <w:p w14:paraId="51E790B1">
                  <w:pPr>
                    <w:keepNext w:val="0"/>
                    <w:keepLines w:val="0"/>
                    <w:pageBreakBefore w:val="0"/>
                    <w:widowControl w:val="0"/>
                    <w:suppressLineNumbers w:val="0"/>
                    <w:kinsoku/>
                    <w:wordWrap/>
                    <w:overflowPunct/>
                    <w:topLinePunct w:val="0"/>
                    <w:bidi w:val="0"/>
                    <w:adjustRightInd w:val="0"/>
                    <w:snapToGrid w:val="0"/>
                    <w:spacing w:before="0" w:beforeAutospacing="0" w:after="0" w:afterAutospacing="0" w:line="276" w:lineRule="auto"/>
                    <w:ind w:left="0" w:right="0"/>
                    <w:jc w:val="center"/>
                    <w:textAlignment w:val="auto"/>
                    <w:rPr>
                      <w:rFonts w:hint="eastAsia" w:ascii="Times New Roman" w:hAnsi="Times New Roman" w:eastAsia="宋体" w:cs="Times New Roman"/>
                      <w:color w:val="auto"/>
                      <w:kern w:val="2"/>
                      <w:sz w:val="21"/>
                      <w:szCs w:val="21"/>
                      <w:highlight w:val="none"/>
                      <w:lang w:val="en-US" w:eastAsia="zh-CN" w:bidi="ar-SA"/>
                    </w:rPr>
                  </w:pPr>
                  <w:r>
                    <w:rPr>
                      <w:rFonts w:hint="eastAsia"/>
                      <w:color w:val="auto"/>
                      <w:sz w:val="21"/>
                      <w:szCs w:val="21"/>
                      <w:highlight w:val="none"/>
                      <w:lang w:val="en-US" w:eastAsia="zh-CN"/>
                    </w:rPr>
                    <w:t>0</w:t>
                  </w:r>
                </w:p>
              </w:tc>
              <w:tc>
                <w:tcPr>
                  <w:tcW w:w="430" w:type="pct"/>
                  <w:tcBorders>
                    <w:tl2br w:val="nil"/>
                    <w:tr2bl w:val="nil"/>
                  </w:tcBorders>
                  <w:shd w:val="clear" w:color="auto" w:fill="auto"/>
                  <w:vAlign w:val="center"/>
                </w:tcPr>
                <w:p w14:paraId="6567CEDF">
                  <w:pPr>
                    <w:keepNext w:val="0"/>
                    <w:keepLines w:val="0"/>
                    <w:pageBreakBefore w:val="0"/>
                    <w:widowControl w:val="0"/>
                    <w:suppressLineNumbers w:val="0"/>
                    <w:kinsoku/>
                    <w:wordWrap/>
                    <w:overflowPunct/>
                    <w:topLinePunct w:val="0"/>
                    <w:bidi w:val="0"/>
                    <w:adjustRightInd w:val="0"/>
                    <w:snapToGrid w:val="0"/>
                    <w:spacing w:before="0" w:beforeAutospacing="0" w:after="0" w:afterAutospacing="0" w:line="276" w:lineRule="auto"/>
                    <w:ind w:left="0" w:right="0"/>
                    <w:jc w:val="center"/>
                    <w:textAlignment w:val="auto"/>
                    <w:rPr>
                      <w:rFonts w:hint="eastAsia" w:ascii="Times New Roman" w:hAnsi="Times New Roman" w:eastAsia="宋体" w:cs="Times New Roman"/>
                      <w:color w:val="auto"/>
                      <w:kern w:val="2"/>
                      <w:sz w:val="21"/>
                      <w:szCs w:val="21"/>
                      <w:highlight w:val="none"/>
                      <w:lang w:val="en-US" w:eastAsia="zh-CN" w:bidi="ar-SA"/>
                    </w:rPr>
                  </w:pPr>
                  <w:r>
                    <w:rPr>
                      <w:rFonts w:hint="eastAsia"/>
                      <w:color w:val="auto"/>
                      <w:sz w:val="21"/>
                      <w:szCs w:val="21"/>
                      <w:highlight w:val="none"/>
                      <w:lang w:val="en-US" w:eastAsia="zh-CN"/>
                    </w:rPr>
                    <w:t>0</w:t>
                  </w:r>
                </w:p>
              </w:tc>
            </w:tr>
            <w:tr w14:paraId="673A6712">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155" w:hRule="atLeast"/>
              </w:trPr>
              <w:tc>
                <w:tcPr>
                  <w:tcW w:w="576" w:type="pct"/>
                  <w:vMerge w:val="restart"/>
                  <w:tcBorders>
                    <w:tl2br w:val="nil"/>
                    <w:tr2bl w:val="nil"/>
                  </w:tcBorders>
                  <w:vAlign w:val="center"/>
                </w:tcPr>
                <w:p w14:paraId="384800D4">
                  <w:pPr>
                    <w:pStyle w:val="120"/>
                    <w:keepNext w:val="0"/>
                    <w:keepLines w:val="0"/>
                    <w:pageBreakBefore w:val="0"/>
                    <w:framePr w:hSpace="0" w:wrap="auto" w:vAnchor="margin" w:hAnchor="text" w:xAlign="left" w:yAlign="inline"/>
                    <w:widowControl w:val="0"/>
                    <w:suppressLineNumbers w:val="0"/>
                    <w:kinsoku/>
                    <w:wordWrap/>
                    <w:overflowPunct/>
                    <w:topLinePunct w:val="0"/>
                    <w:bidi w:val="0"/>
                    <w:adjustRightInd w:val="0"/>
                    <w:snapToGrid w:val="0"/>
                    <w:spacing w:before="0" w:beforeAutospacing="0" w:after="0" w:afterAutospacing="0" w:line="276" w:lineRule="auto"/>
                    <w:ind w:left="0" w:right="0"/>
                    <w:textAlignment w:val="auto"/>
                    <w:rPr>
                      <w:rFonts w:hint="default"/>
                      <w:color w:val="auto"/>
                      <w:sz w:val="21"/>
                      <w:szCs w:val="21"/>
                      <w:highlight w:val="none"/>
                    </w:rPr>
                  </w:pPr>
                  <w:r>
                    <w:rPr>
                      <w:rFonts w:hint="eastAsia"/>
                      <w:color w:val="auto"/>
                      <w:sz w:val="21"/>
                      <w:szCs w:val="21"/>
                      <w:highlight w:val="none"/>
                    </w:rPr>
                    <w:t>三层</w:t>
                  </w:r>
                  <w:r>
                    <w:rPr>
                      <w:rFonts w:hint="default"/>
                      <w:color w:val="auto"/>
                      <w:sz w:val="21"/>
                      <w:szCs w:val="21"/>
                      <w:highlight w:val="none"/>
                    </w:rPr>
                    <w:t>饲养区域</w:t>
                  </w:r>
                </w:p>
              </w:tc>
              <w:tc>
                <w:tcPr>
                  <w:tcW w:w="1286" w:type="pct"/>
                  <w:tcBorders>
                    <w:tl2br w:val="nil"/>
                    <w:tr2bl w:val="nil"/>
                  </w:tcBorders>
                  <w:vAlign w:val="center"/>
                </w:tcPr>
                <w:p w14:paraId="4BDCB56D">
                  <w:pPr>
                    <w:pStyle w:val="120"/>
                    <w:keepNext w:val="0"/>
                    <w:keepLines w:val="0"/>
                    <w:pageBreakBefore w:val="0"/>
                    <w:framePr w:hSpace="0" w:wrap="auto" w:vAnchor="margin" w:hAnchor="text" w:xAlign="left" w:yAlign="inline"/>
                    <w:widowControl w:val="0"/>
                    <w:suppressLineNumbers w:val="0"/>
                    <w:kinsoku/>
                    <w:wordWrap/>
                    <w:overflowPunct/>
                    <w:topLinePunct w:val="0"/>
                    <w:bidi w:val="0"/>
                    <w:adjustRightInd w:val="0"/>
                    <w:snapToGrid w:val="0"/>
                    <w:spacing w:before="0" w:beforeAutospacing="0" w:after="0" w:afterAutospacing="0" w:line="276" w:lineRule="auto"/>
                    <w:ind w:left="0" w:right="0"/>
                    <w:textAlignment w:val="auto"/>
                    <w:rPr>
                      <w:rFonts w:hint="eastAsia" w:ascii="Times New Roman" w:hAnsi="Times New Roman" w:eastAsia="宋体" w:cs="Times New Roman"/>
                      <w:color w:val="auto"/>
                      <w:sz w:val="21"/>
                      <w:szCs w:val="21"/>
                      <w:highlight w:val="none"/>
                      <w:lang w:val="en-US" w:eastAsia="zh-CN"/>
                    </w:rPr>
                  </w:pPr>
                  <w:r>
                    <w:rPr>
                      <w:rFonts w:hint="eastAsia" w:ascii="Times New Roman" w:hAnsi="Times New Roman" w:eastAsia="宋体" w:cs="Times New Roman"/>
                      <w:color w:val="auto"/>
                      <w:sz w:val="21"/>
                      <w:szCs w:val="21"/>
                      <w:highlight w:val="none"/>
                      <w:lang w:val="en-US" w:eastAsia="zh-CN"/>
                    </w:rPr>
                    <w:t>ABSL-2饲养区</w:t>
                  </w:r>
                </w:p>
              </w:tc>
              <w:tc>
                <w:tcPr>
                  <w:tcW w:w="539" w:type="pct"/>
                  <w:tcBorders>
                    <w:tl2br w:val="nil"/>
                    <w:tr2bl w:val="nil"/>
                  </w:tcBorders>
                  <w:vAlign w:val="center"/>
                </w:tcPr>
                <w:p w14:paraId="60AE6FD8">
                  <w:pPr>
                    <w:pStyle w:val="120"/>
                    <w:keepNext w:val="0"/>
                    <w:keepLines w:val="0"/>
                    <w:pageBreakBefore w:val="0"/>
                    <w:framePr w:hSpace="0" w:wrap="auto" w:vAnchor="margin" w:hAnchor="text" w:xAlign="left" w:yAlign="inline"/>
                    <w:widowControl w:val="0"/>
                    <w:suppressLineNumbers w:val="0"/>
                    <w:kinsoku/>
                    <w:wordWrap/>
                    <w:overflowPunct/>
                    <w:topLinePunct w:val="0"/>
                    <w:bidi w:val="0"/>
                    <w:adjustRightInd w:val="0"/>
                    <w:snapToGrid w:val="0"/>
                    <w:spacing w:before="0" w:beforeAutospacing="0" w:after="0" w:afterAutospacing="0" w:line="276" w:lineRule="auto"/>
                    <w:ind w:left="0" w:right="0"/>
                    <w:textAlignment w:val="auto"/>
                    <w:rPr>
                      <w:rFonts w:hint="default" w:ascii="Times New Roman" w:hAnsi="Times New Roman" w:eastAsia="宋体" w:cs="Times New Roman"/>
                      <w:color w:val="auto"/>
                      <w:sz w:val="21"/>
                      <w:szCs w:val="21"/>
                      <w:highlight w:val="none"/>
                      <w:lang w:val="en-US" w:eastAsia="zh-CN"/>
                    </w:rPr>
                  </w:pPr>
                  <w:r>
                    <w:rPr>
                      <w:rFonts w:hint="eastAsia" w:cs="Times New Roman"/>
                      <w:color w:val="auto"/>
                      <w:sz w:val="21"/>
                      <w:szCs w:val="21"/>
                      <w:highlight w:val="none"/>
                      <w:lang w:val="en-US" w:eastAsia="zh-CN"/>
                    </w:rPr>
                    <w:t>1</w:t>
                  </w:r>
                  <w:r>
                    <w:rPr>
                      <w:rFonts w:hint="eastAsia" w:ascii="Times New Roman" w:hAnsi="Times New Roman" w:eastAsia="宋体" w:cs="Times New Roman"/>
                      <w:color w:val="auto"/>
                      <w:sz w:val="21"/>
                      <w:szCs w:val="21"/>
                      <w:highlight w:val="none"/>
                      <w:lang w:val="en-US" w:eastAsia="zh-CN"/>
                    </w:rPr>
                    <w:t>500</w:t>
                  </w:r>
                </w:p>
              </w:tc>
              <w:tc>
                <w:tcPr>
                  <w:tcW w:w="455" w:type="pct"/>
                  <w:tcBorders>
                    <w:tl2br w:val="nil"/>
                    <w:tr2bl w:val="nil"/>
                  </w:tcBorders>
                  <w:vAlign w:val="center"/>
                </w:tcPr>
                <w:p w14:paraId="39E75B3C">
                  <w:pPr>
                    <w:pStyle w:val="120"/>
                    <w:keepNext w:val="0"/>
                    <w:keepLines w:val="0"/>
                    <w:pageBreakBefore w:val="0"/>
                    <w:framePr w:hSpace="0" w:wrap="auto" w:vAnchor="margin" w:hAnchor="text" w:xAlign="left" w:yAlign="inline"/>
                    <w:widowControl w:val="0"/>
                    <w:suppressLineNumbers w:val="0"/>
                    <w:kinsoku/>
                    <w:wordWrap/>
                    <w:overflowPunct/>
                    <w:topLinePunct w:val="0"/>
                    <w:bidi w:val="0"/>
                    <w:adjustRightInd w:val="0"/>
                    <w:snapToGrid w:val="0"/>
                    <w:spacing w:before="0" w:beforeAutospacing="0" w:after="0" w:afterAutospacing="0" w:line="276" w:lineRule="auto"/>
                    <w:ind w:left="0" w:right="0"/>
                    <w:textAlignment w:val="auto"/>
                    <w:rPr>
                      <w:rFonts w:hint="default" w:ascii="Times New Roman" w:hAnsi="Times New Roman" w:eastAsia="宋体" w:cs="Times New Roman"/>
                      <w:color w:val="auto"/>
                      <w:sz w:val="21"/>
                      <w:szCs w:val="21"/>
                      <w:highlight w:val="none"/>
                      <w:lang w:val="en-US" w:eastAsia="zh-CN"/>
                    </w:rPr>
                  </w:pPr>
                  <w:r>
                    <w:rPr>
                      <w:rFonts w:hint="eastAsia" w:cs="Times New Roman"/>
                      <w:color w:val="auto"/>
                      <w:sz w:val="21"/>
                      <w:szCs w:val="21"/>
                      <w:highlight w:val="none"/>
                      <w:lang w:val="en-US" w:eastAsia="zh-CN"/>
                    </w:rPr>
                    <w:t>503</w:t>
                  </w:r>
                </w:p>
              </w:tc>
              <w:tc>
                <w:tcPr>
                  <w:tcW w:w="428" w:type="pct"/>
                  <w:tcBorders>
                    <w:tl2br w:val="nil"/>
                    <w:tr2bl w:val="nil"/>
                  </w:tcBorders>
                  <w:vAlign w:val="center"/>
                </w:tcPr>
                <w:p w14:paraId="76C1CADF">
                  <w:pPr>
                    <w:pStyle w:val="120"/>
                    <w:keepNext w:val="0"/>
                    <w:keepLines w:val="0"/>
                    <w:pageBreakBefore w:val="0"/>
                    <w:framePr w:hSpace="0" w:wrap="auto" w:vAnchor="margin" w:hAnchor="text" w:xAlign="left" w:yAlign="inline"/>
                    <w:widowControl w:val="0"/>
                    <w:suppressLineNumbers w:val="0"/>
                    <w:kinsoku/>
                    <w:wordWrap/>
                    <w:overflowPunct/>
                    <w:topLinePunct w:val="0"/>
                    <w:bidi w:val="0"/>
                    <w:adjustRightInd w:val="0"/>
                    <w:snapToGrid w:val="0"/>
                    <w:spacing w:before="0" w:beforeAutospacing="0" w:after="0" w:afterAutospacing="0" w:line="276" w:lineRule="auto"/>
                    <w:ind w:left="0" w:right="0"/>
                    <w:textAlignment w:val="auto"/>
                    <w:rPr>
                      <w:rFonts w:hint="eastAsia" w:ascii="Times New Roman" w:hAnsi="Times New Roman" w:eastAsia="宋体" w:cs="Times New Roman"/>
                      <w:color w:val="auto"/>
                      <w:sz w:val="21"/>
                      <w:szCs w:val="21"/>
                      <w:highlight w:val="none"/>
                      <w:lang w:val="en-US" w:eastAsia="zh-CN"/>
                    </w:rPr>
                  </w:pPr>
                  <w:r>
                    <w:rPr>
                      <w:rFonts w:hint="eastAsia" w:ascii="Times New Roman" w:hAnsi="Times New Roman" w:eastAsia="宋体" w:cs="Times New Roman"/>
                      <w:color w:val="auto"/>
                      <w:sz w:val="21"/>
                      <w:szCs w:val="21"/>
                      <w:highlight w:val="none"/>
                      <w:lang w:val="en-US" w:eastAsia="zh-CN"/>
                    </w:rPr>
                    <w:t>0</w:t>
                  </w:r>
                </w:p>
              </w:tc>
              <w:tc>
                <w:tcPr>
                  <w:tcW w:w="428" w:type="pct"/>
                  <w:tcBorders>
                    <w:tl2br w:val="nil"/>
                    <w:tr2bl w:val="nil"/>
                  </w:tcBorders>
                  <w:vAlign w:val="center"/>
                </w:tcPr>
                <w:p w14:paraId="2F76FD10">
                  <w:pPr>
                    <w:pStyle w:val="120"/>
                    <w:keepNext w:val="0"/>
                    <w:keepLines w:val="0"/>
                    <w:pageBreakBefore w:val="0"/>
                    <w:framePr w:hSpace="0" w:wrap="auto" w:vAnchor="margin" w:hAnchor="text" w:xAlign="left" w:yAlign="inline"/>
                    <w:widowControl w:val="0"/>
                    <w:suppressLineNumbers w:val="0"/>
                    <w:kinsoku/>
                    <w:wordWrap/>
                    <w:overflowPunct/>
                    <w:topLinePunct w:val="0"/>
                    <w:bidi w:val="0"/>
                    <w:adjustRightInd w:val="0"/>
                    <w:snapToGrid w:val="0"/>
                    <w:spacing w:before="0" w:beforeAutospacing="0" w:after="0" w:afterAutospacing="0" w:line="276" w:lineRule="auto"/>
                    <w:ind w:left="0" w:right="0"/>
                    <w:textAlignment w:val="auto"/>
                    <w:rPr>
                      <w:rFonts w:hint="eastAsia" w:ascii="Times New Roman" w:hAnsi="Times New Roman" w:eastAsia="宋体" w:cs="Times New Roman"/>
                      <w:color w:val="auto"/>
                      <w:sz w:val="21"/>
                      <w:szCs w:val="21"/>
                      <w:highlight w:val="none"/>
                      <w:lang w:val="en-US" w:eastAsia="zh-CN"/>
                    </w:rPr>
                  </w:pPr>
                  <w:r>
                    <w:rPr>
                      <w:rFonts w:hint="eastAsia" w:ascii="Times New Roman" w:hAnsi="Times New Roman" w:eastAsia="宋体" w:cs="Times New Roman"/>
                      <w:color w:val="auto"/>
                      <w:sz w:val="21"/>
                      <w:szCs w:val="21"/>
                      <w:highlight w:val="none"/>
                      <w:lang w:val="en-US" w:eastAsia="zh-CN"/>
                    </w:rPr>
                    <w:t>0</w:t>
                  </w:r>
                </w:p>
              </w:tc>
              <w:tc>
                <w:tcPr>
                  <w:tcW w:w="428" w:type="pct"/>
                  <w:tcBorders>
                    <w:tl2br w:val="nil"/>
                    <w:tr2bl w:val="nil"/>
                  </w:tcBorders>
                  <w:vAlign w:val="center"/>
                </w:tcPr>
                <w:p w14:paraId="6102813B">
                  <w:pPr>
                    <w:pStyle w:val="120"/>
                    <w:keepNext w:val="0"/>
                    <w:keepLines w:val="0"/>
                    <w:pageBreakBefore w:val="0"/>
                    <w:framePr w:hSpace="0" w:wrap="auto" w:vAnchor="margin" w:hAnchor="text" w:xAlign="left" w:yAlign="inline"/>
                    <w:widowControl w:val="0"/>
                    <w:suppressLineNumbers w:val="0"/>
                    <w:kinsoku/>
                    <w:wordWrap/>
                    <w:overflowPunct/>
                    <w:topLinePunct w:val="0"/>
                    <w:bidi w:val="0"/>
                    <w:adjustRightInd w:val="0"/>
                    <w:snapToGrid w:val="0"/>
                    <w:spacing w:before="0" w:beforeAutospacing="0" w:after="0" w:afterAutospacing="0" w:line="276" w:lineRule="auto"/>
                    <w:ind w:left="0" w:right="0"/>
                    <w:textAlignment w:val="auto"/>
                    <w:rPr>
                      <w:rFonts w:hint="eastAsia" w:ascii="Times New Roman" w:hAnsi="Times New Roman" w:eastAsia="宋体" w:cs="Times New Roman"/>
                      <w:color w:val="auto"/>
                      <w:sz w:val="21"/>
                      <w:szCs w:val="21"/>
                      <w:highlight w:val="none"/>
                      <w:lang w:val="en-US" w:eastAsia="zh-CN"/>
                    </w:rPr>
                  </w:pPr>
                  <w:r>
                    <w:rPr>
                      <w:rFonts w:hint="eastAsia" w:ascii="Times New Roman" w:hAnsi="Times New Roman" w:eastAsia="宋体" w:cs="Times New Roman"/>
                      <w:color w:val="auto"/>
                      <w:sz w:val="21"/>
                      <w:szCs w:val="21"/>
                      <w:highlight w:val="none"/>
                      <w:lang w:val="en-US" w:eastAsia="zh-CN"/>
                    </w:rPr>
                    <w:t>0</w:t>
                  </w:r>
                </w:p>
              </w:tc>
              <w:tc>
                <w:tcPr>
                  <w:tcW w:w="428" w:type="pct"/>
                  <w:tcBorders>
                    <w:tl2br w:val="nil"/>
                    <w:tr2bl w:val="nil"/>
                  </w:tcBorders>
                  <w:vAlign w:val="center"/>
                </w:tcPr>
                <w:p w14:paraId="1C34987D">
                  <w:pPr>
                    <w:pStyle w:val="120"/>
                    <w:keepNext w:val="0"/>
                    <w:keepLines w:val="0"/>
                    <w:pageBreakBefore w:val="0"/>
                    <w:framePr w:hSpace="0" w:wrap="auto" w:vAnchor="margin" w:hAnchor="text" w:xAlign="left" w:yAlign="inline"/>
                    <w:widowControl w:val="0"/>
                    <w:suppressLineNumbers w:val="0"/>
                    <w:kinsoku/>
                    <w:wordWrap/>
                    <w:overflowPunct/>
                    <w:topLinePunct w:val="0"/>
                    <w:bidi w:val="0"/>
                    <w:adjustRightInd w:val="0"/>
                    <w:snapToGrid w:val="0"/>
                    <w:spacing w:before="0" w:beforeAutospacing="0" w:after="0" w:afterAutospacing="0" w:line="276" w:lineRule="auto"/>
                    <w:ind w:left="0" w:right="0"/>
                    <w:textAlignment w:val="auto"/>
                    <w:rPr>
                      <w:rFonts w:hint="eastAsia" w:ascii="Times New Roman" w:hAnsi="Times New Roman" w:eastAsia="宋体" w:cs="Times New Roman"/>
                      <w:color w:val="auto"/>
                      <w:sz w:val="21"/>
                      <w:szCs w:val="21"/>
                      <w:highlight w:val="none"/>
                      <w:lang w:val="en-US" w:eastAsia="zh-CN"/>
                    </w:rPr>
                  </w:pPr>
                  <w:r>
                    <w:rPr>
                      <w:rFonts w:hint="eastAsia" w:ascii="Times New Roman" w:hAnsi="Times New Roman" w:eastAsia="宋体" w:cs="Times New Roman"/>
                      <w:color w:val="auto"/>
                      <w:sz w:val="21"/>
                      <w:szCs w:val="21"/>
                      <w:highlight w:val="none"/>
                      <w:lang w:val="en-US" w:eastAsia="zh-CN"/>
                    </w:rPr>
                    <w:t>0</w:t>
                  </w:r>
                </w:p>
              </w:tc>
              <w:tc>
                <w:tcPr>
                  <w:tcW w:w="430" w:type="pct"/>
                  <w:tcBorders>
                    <w:tl2br w:val="nil"/>
                    <w:tr2bl w:val="nil"/>
                  </w:tcBorders>
                  <w:vAlign w:val="center"/>
                </w:tcPr>
                <w:p w14:paraId="0A2BC26A">
                  <w:pPr>
                    <w:pStyle w:val="120"/>
                    <w:keepNext w:val="0"/>
                    <w:keepLines w:val="0"/>
                    <w:pageBreakBefore w:val="0"/>
                    <w:framePr w:hSpace="0" w:wrap="auto" w:vAnchor="margin" w:hAnchor="text" w:xAlign="left" w:yAlign="inline"/>
                    <w:widowControl w:val="0"/>
                    <w:suppressLineNumbers w:val="0"/>
                    <w:kinsoku/>
                    <w:wordWrap/>
                    <w:overflowPunct/>
                    <w:topLinePunct w:val="0"/>
                    <w:bidi w:val="0"/>
                    <w:adjustRightInd w:val="0"/>
                    <w:snapToGrid w:val="0"/>
                    <w:spacing w:before="0" w:beforeAutospacing="0" w:after="0" w:afterAutospacing="0" w:line="276" w:lineRule="auto"/>
                    <w:ind w:left="0" w:right="0"/>
                    <w:textAlignment w:val="auto"/>
                    <w:rPr>
                      <w:rFonts w:hint="eastAsia" w:ascii="Times New Roman" w:hAnsi="Times New Roman" w:eastAsia="宋体" w:cs="Times New Roman"/>
                      <w:color w:val="auto"/>
                      <w:sz w:val="21"/>
                      <w:szCs w:val="21"/>
                      <w:highlight w:val="none"/>
                      <w:lang w:val="en-US" w:eastAsia="zh-CN"/>
                    </w:rPr>
                  </w:pPr>
                  <w:r>
                    <w:rPr>
                      <w:rFonts w:hint="eastAsia" w:ascii="Times New Roman" w:hAnsi="Times New Roman" w:eastAsia="宋体" w:cs="Times New Roman"/>
                      <w:color w:val="auto"/>
                      <w:sz w:val="21"/>
                      <w:szCs w:val="21"/>
                      <w:highlight w:val="none"/>
                      <w:lang w:val="en-US" w:eastAsia="zh-CN"/>
                    </w:rPr>
                    <w:t>0</w:t>
                  </w:r>
                </w:p>
              </w:tc>
            </w:tr>
            <w:tr w14:paraId="1D9268AE">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155" w:hRule="atLeast"/>
              </w:trPr>
              <w:tc>
                <w:tcPr>
                  <w:tcW w:w="576" w:type="pct"/>
                  <w:vMerge w:val="continue"/>
                  <w:tcBorders>
                    <w:tl2br w:val="nil"/>
                    <w:tr2bl w:val="nil"/>
                  </w:tcBorders>
                  <w:vAlign w:val="center"/>
                </w:tcPr>
                <w:p w14:paraId="050118D4">
                  <w:pPr>
                    <w:pStyle w:val="120"/>
                    <w:keepNext w:val="0"/>
                    <w:keepLines w:val="0"/>
                    <w:pageBreakBefore w:val="0"/>
                    <w:framePr w:hSpace="0" w:wrap="auto" w:vAnchor="margin" w:hAnchor="text" w:xAlign="left" w:yAlign="inline"/>
                    <w:widowControl w:val="0"/>
                    <w:suppressLineNumbers w:val="0"/>
                    <w:kinsoku/>
                    <w:wordWrap/>
                    <w:overflowPunct/>
                    <w:topLinePunct w:val="0"/>
                    <w:bidi w:val="0"/>
                    <w:adjustRightInd w:val="0"/>
                    <w:snapToGrid w:val="0"/>
                    <w:spacing w:before="0" w:beforeAutospacing="0" w:after="0" w:afterAutospacing="0" w:line="276" w:lineRule="auto"/>
                    <w:ind w:left="0" w:right="0"/>
                    <w:textAlignment w:val="auto"/>
                    <w:rPr>
                      <w:rFonts w:hint="eastAsia"/>
                      <w:color w:val="auto"/>
                      <w:sz w:val="21"/>
                      <w:szCs w:val="21"/>
                      <w:highlight w:val="none"/>
                    </w:rPr>
                  </w:pPr>
                </w:p>
              </w:tc>
              <w:tc>
                <w:tcPr>
                  <w:tcW w:w="1286" w:type="pct"/>
                  <w:tcBorders>
                    <w:tl2br w:val="nil"/>
                    <w:tr2bl w:val="nil"/>
                  </w:tcBorders>
                  <w:vAlign w:val="center"/>
                </w:tcPr>
                <w:p w14:paraId="5B77EFA6">
                  <w:pPr>
                    <w:pStyle w:val="120"/>
                    <w:keepNext w:val="0"/>
                    <w:keepLines w:val="0"/>
                    <w:pageBreakBefore w:val="0"/>
                    <w:framePr w:hSpace="0" w:wrap="auto" w:vAnchor="margin" w:hAnchor="text" w:xAlign="left" w:yAlign="inline"/>
                    <w:widowControl w:val="0"/>
                    <w:suppressLineNumbers w:val="0"/>
                    <w:kinsoku/>
                    <w:wordWrap/>
                    <w:overflowPunct/>
                    <w:topLinePunct w:val="0"/>
                    <w:bidi w:val="0"/>
                    <w:adjustRightInd w:val="0"/>
                    <w:snapToGrid w:val="0"/>
                    <w:spacing w:before="0" w:beforeAutospacing="0" w:after="0" w:afterAutospacing="0" w:line="276" w:lineRule="auto"/>
                    <w:ind w:left="0" w:right="0"/>
                    <w:textAlignment w:val="auto"/>
                    <w:rPr>
                      <w:rFonts w:hint="eastAsia" w:ascii="Times New Roman" w:hAnsi="Times New Roman" w:eastAsia="宋体" w:cs="Times New Roman"/>
                      <w:color w:val="auto"/>
                      <w:sz w:val="21"/>
                      <w:szCs w:val="21"/>
                      <w:highlight w:val="none"/>
                      <w:lang w:val="en-US" w:eastAsia="zh-CN"/>
                    </w:rPr>
                  </w:pPr>
                  <w:r>
                    <w:rPr>
                      <w:rFonts w:hint="eastAsia" w:ascii="Times New Roman" w:hAnsi="Times New Roman" w:eastAsia="宋体" w:cs="Times New Roman"/>
                      <w:color w:val="auto"/>
                      <w:sz w:val="21"/>
                      <w:szCs w:val="21"/>
                      <w:highlight w:val="none"/>
                      <w:lang w:val="en-US" w:eastAsia="zh-CN"/>
                    </w:rPr>
                    <w:t>免疫缺陷动物屏障区</w:t>
                  </w:r>
                </w:p>
              </w:tc>
              <w:tc>
                <w:tcPr>
                  <w:tcW w:w="539" w:type="pct"/>
                  <w:tcBorders>
                    <w:tl2br w:val="nil"/>
                    <w:tr2bl w:val="nil"/>
                  </w:tcBorders>
                  <w:vAlign w:val="center"/>
                </w:tcPr>
                <w:p w14:paraId="034BC6EF">
                  <w:pPr>
                    <w:pStyle w:val="120"/>
                    <w:keepNext w:val="0"/>
                    <w:keepLines w:val="0"/>
                    <w:pageBreakBefore w:val="0"/>
                    <w:framePr w:hSpace="0" w:wrap="auto" w:vAnchor="margin" w:hAnchor="text" w:xAlign="left" w:yAlign="inline"/>
                    <w:widowControl w:val="0"/>
                    <w:suppressLineNumbers w:val="0"/>
                    <w:kinsoku/>
                    <w:wordWrap/>
                    <w:overflowPunct/>
                    <w:topLinePunct w:val="0"/>
                    <w:bidi w:val="0"/>
                    <w:adjustRightInd w:val="0"/>
                    <w:snapToGrid w:val="0"/>
                    <w:spacing w:before="0" w:beforeAutospacing="0" w:after="0" w:afterAutospacing="0" w:line="276" w:lineRule="auto"/>
                    <w:ind w:left="0" w:right="0"/>
                    <w:textAlignment w:val="auto"/>
                    <w:rPr>
                      <w:rFonts w:hint="default" w:ascii="Times New Roman" w:hAnsi="Times New Roman" w:eastAsia="宋体" w:cs="Times New Roman"/>
                      <w:color w:val="auto"/>
                      <w:sz w:val="21"/>
                      <w:szCs w:val="21"/>
                      <w:highlight w:val="none"/>
                      <w:lang w:val="en-US" w:eastAsia="zh-CN"/>
                    </w:rPr>
                  </w:pPr>
                  <w:r>
                    <w:rPr>
                      <w:rFonts w:hint="eastAsia" w:cs="Times New Roman"/>
                      <w:color w:val="auto"/>
                      <w:sz w:val="21"/>
                      <w:szCs w:val="21"/>
                      <w:highlight w:val="none"/>
                      <w:lang w:val="en-US" w:eastAsia="zh-CN"/>
                    </w:rPr>
                    <w:t>3</w:t>
                  </w:r>
                  <w:r>
                    <w:rPr>
                      <w:rFonts w:hint="eastAsia" w:ascii="Times New Roman" w:hAnsi="Times New Roman" w:eastAsia="宋体" w:cs="Times New Roman"/>
                      <w:color w:val="auto"/>
                      <w:sz w:val="21"/>
                      <w:szCs w:val="21"/>
                      <w:highlight w:val="none"/>
                      <w:lang w:val="en-US" w:eastAsia="zh-CN"/>
                    </w:rPr>
                    <w:t>500</w:t>
                  </w:r>
                </w:p>
              </w:tc>
              <w:tc>
                <w:tcPr>
                  <w:tcW w:w="455" w:type="pct"/>
                  <w:tcBorders>
                    <w:tl2br w:val="nil"/>
                    <w:tr2bl w:val="nil"/>
                  </w:tcBorders>
                  <w:vAlign w:val="center"/>
                </w:tcPr>
                <w:p w14:paraId="6A31577B">
                  <w:pPr>
                    <w:pStyle w:val="120"/>
                    <w:keepNext w:val="0"/>
                    <w:keepLines w:val="0"/>
                    <w:pageBreakBefore w:val="0"/>
                    <w:framePr w:hSpace="0" w:wrap="auto" w:vAnchor="margin" w:hAnchor="text" w:xAlign="left" w:yAlign="inline"/>
                    <w:widowControl w:val="0"/>
                    <w:suppressLineNumbers w:val="0"/>
                    <w:kinsoku/>
                    <w:wordWrap/>
                    <w:overflowPunct/>
                    <w:topLinePunct w:val="0"/>
                    <w:bidi w:val="0"/>
                    <w:adjustRightInd w:val="0"/>
                    <w:snapToGrid w:val="0"/>
                    <w:spacing w:before="0" w:beforeAutospacing="0" w:after="0" w:afterAutospacing="0" w:line="276" w:lineRule="auto"/>
                    <w:ind w:left="0" w:right="0"/>
                    <w:textAlignment w:val="auto"/>
                    <w:rPr>
                      <w:rFonts w:hint="default" w:ascii="Times New Roman" w:hAnsi="Times New Roman" w:eastAsia="宋体" w:cs="Times New Roman"/>
                      <w:color w:val="auto"/>
                      <w:sz w:val="21"/>
                      <w:szCs w:val="21"/>
                      <w:highlight w:val="none"/>
                      <w:lang w:val="en-US" w:eastAsia="zh-CN"/>
                    </w:rPr>
                  </w:pPr>
                  <w:r>
                    <w:rPr>
                      <w:rFonts w:hint="eastAsia" w:cs="Times New Roman"/>
                      <w:color w:val="auto"/>
                      <w:sz w:val="21"/>
                      <w:szCs w:val="21"/>
                      <w:highlight w:val="none"/>
                      <w:lang w:val="en-US" w:eastAsia="zh-CN"/>
                    </w:rPr>
                    <w:t>1510</w:t>
                  </w:r>
                </w:p>
              </w:tc>
              <w:tc>
                <w:tcPr>
                  <w:tcW w:w="428" w:type="pct"/>
                  <w:tcBorders>
                    <w:tl2br w:val="nil"/>
                    <w:tr2bl w:val="nil"/>
                  </w:tcBorders>
                  <w:shd w:val="clear" w:color="auto" w:fill="auto"/>
                  <w:vAlign w:val="center"/>
                </w:tcPr>
                <w:p w14:paraId="3288D71E">
                  <w:pPr>
                    <w:pStyle w:val="120"/>
                    <w:keepNext w:val="0"/>
                    <w:keepLines w:val="0"/>
                    <w:pageBreakBefore w:val="0"/>
                    <w:framePr w:hSpace="0" w:wrap="auto" w:vAnchor="margin" w:hAnchor="text" w:xAlign="left" w:yAlign="inline"/>
                    <w:widowControl w:val="0"/>
                    <w:suppressLineNumbers w:val="0"/>
                    <w:kinsoku/>
                    <w:wordWrap/>
                    <w:overflowPunct/>
                    <w:topLinePunct w:val="0"/>
                    <w:bidi w:val="0"/>
                    <w:adjustRightInd w:val="0"/>
                    <w:snapToGrid w:val="0"/>
                    <w:spacing w:before="0" w:beforeAutospacing="0" w:after="0" w:afterAutospacing="0" w:line="276" w:lineRule="auto"/>
                    <w:ind w:left="0" w:right="0"/>
                    <w:textAlignment w:val="auto"/>
                    <w:rPr>
                      <w:rFonts w:hint="eastAsia" w:ascii="Times New Roman" w:hAnsi="Times New Roman" w:eastAsia="宋体" w:cs="Times New Roman"/>
                      <w:bCs/>
                      <w:color w:val="auto"/>
                      <w:kern w:val="2"/>
                      <w:sz w:val="21"/>
                      <w:szCs w:val="21"/>
                      <w:highlight w:val="none"/>
                      <w:lang w:val="en-US" w:eastAsia="zh-CN" w:bidi="ar-SA"/>
                    </w:rPr>
                  </w:pPr>
                  <w:r>
                    <w:rPr>
                      <w:rFonts w:hint="eastAsia" w:ascii="Times New Roman" w:hAnsi="Times New Roman" w:eastAsia="宋体" w:cs="Times New Roman"/>
                      <w:color w:val="auto"/>
                      <w:sz w:val="21"/>
                      <w:szCs w:val="21"/>
                      <w:highlight w:val="none"/>
                      <w:lang w:val="en-US" w:eastAsia="zh-CN"/>
                    </w:rPr>
                    <w:t>0</w:t>
                  </w:r>
                </w:p>
              </w:tc>
              <w:tc>
                <w:tcPr>
                  <w:tcW w:w="428" w:type="pct"/>
                  <w:tcBorders>
                    <w:tl2br w:val="nil"/>
                    <w:tr2bl w:val="nil"/>
                  </w:tcBorders>
                  <w:shd w:val="clear" w:color="auto" w:fill="auto"/>
                  <w:vAlign w:val="center"/>
                </w:tcPr>
                <w:p w14:paraId="411F4B23">
                  <w:pPr>
                    <w:pStyle w:val="120"/>
                    <w:keepNext w:val="0"/>
                    <w:keepLines w:val="0"/>
                    <w:pageBreakBefore w:val="0"/>
                    <w:framePr w:hSpace="0" w:wrap="auto" w:vAnchor="margin" w:hAnchor="text" w:xAlign="left" w:yAlign="inline"/>
                    <w:widowControl w:val="0"/>
                    <w:suppressLineNumbers w:val="0"/>
                    <w:kinsoku/>
                    <w:wordWrap/>
                    <w:overflowPunct/>
                    <w:topLinePunct w:val="0"/>
                    <w:bidi w:val="0"/>
                    <w:adjustRightInd w:val="0"/>
                    <w:snapToGrid w:val="0"/>
                    <w:spacing w:before="0" w:beforeAutospacing="0" w:after="0" w:afterAutospacing="0" w:line="276" w:lineRule="auto"/>
                    <w:ind w:left="0" w:right="0"/>
                    <w:textAlignment w:val="auto"/>
                    <w:rPr>
                      <w:rFonts w:hint="eastAsia" w:ascii="Times New Roman" w:hAnsi="Times New Roman" w:eastAsia="宋体" w:cs="Times New Roman"/>
                      <w:bCs/>
                      <w:color w:val="auto"/>
                      <w:kern w:val="2"/>
                      <w:sz w:val="21"/>
                      <w:szCs w:val="21"/>
                      <w:highlight w:val="none"/>
                      <w:lang w:val="en-US" w:eastAsia="zh-CN" w:bidi="ar-SA"/>
                    </w:rPr>
                  </w:pPr>
                  <w:r>
                    <w:rPr>
                      <w:rFonts w:hint="eastAsia" w:ascii="Times New Roman" w:hAnsi="Times New Roman" w:eastAsia="宋体" w:cs="Times New Roman"/>
                      <w:color w:val="auto"/>
                      <w:sz w:val="21"/>
                      <w:szCs w:val="21"/>
                      <w:highlight w:val="none"/>
                      <w:lang w:val="en-US" w:eastAsia="zh-CN"/>
                    </w:rPr>
                    <w:t>0</w:t>
                  </w:r>
                </w:p>
              </w:tc>
              <w:tc>
                <w:tcPr>
                  <w:tcW w:w="428" w:type="pct"/>
                  <w:tcBorders>
                    <w:tl2br w:val="nil"/>
                    <w:tr2bl w:val="nil"/>
                  </w:tcBorders>
                  <w:shd w:val="clear" w:color="auto" w:fill="auto"/>
                  <w:vAlign w:val="center"/>
                </w:tcPr>
                <w:p w14:paraId="0DEB7509">
                  <w:pPr>
                    <w:pStyle w:val="120"/>
                    <w:keepNext w:val="0"/>
                    <w:keepLines w:val="0"/>
                    <w:pageBreakBefore w:val="0"/>
                    <w:framePr w:hSpace="0" w:wrap="auto" w:vAnchor="margin" w:hAnchor="text" w:xAlign="left" w:yAlign="inline"/>
                    <w:widowControl w:val="0"/>
                    <w:suppressLineNumbers w:val="0"/>
                    <w:kinsoku/>
                    <w:wordWrap/>
                    <w:overflowPunct/>
                    <w:topLinePunct w:val="0"/>
                    <w:bidi w:val="0"/>
                    <w:adjustRightInd w:val="0"/>
                    <w:snapToGrid w:val="0"/>
                    <w:spacing w:before="0" w:beforeAutospacing="0" w:after="0" w:afterAutospacing="0" w:line="276" w:lineRule="auto"/>
                    <w:ind w:left="0" w:right="0"/>
                    <w:textAlignment w:val="auto"/>
                    <w:rPr>
                      <w:rFonts w:hint="eastAsia" w:ascii="Times New Roman" w:hAnsi="Times New Roman" w:eastAsia="宋体" w:cs="Times New Roman"/>
                      <w:bCs/>
                      <w:color w:val="auto"/>
                      <w:kern w:val="2"/>
                      <w:sz w:val="21"/>
                      <w:szCs w:val="21"/>
                      <w:highlight w:val="none"/>
                      <w:lang w:val="en-US" w:eastAsia="zh-CN" w:bidi="ar-SA"/>
                    </w:rPr>
                  </w:pPr>
                  <w:r>
                    <w:rPr>
                      <w:rFonts w:hint="eastAsia" w:ascii="Times New Roman" w:hAnsi="Times New Roman" w:eastAsia="宋体" w:cs="Times New Roman"/>
                      <w:color w:val="auto"/>
                      <w:sz w:val="21"/>
                      <w:szCs w:val="21"/>
                      <w:highlight w:val="none"/>
                      <w:lang w:val="en-US" w:eastAsia="zh-CN"/>
                    </w:rPr>
                    <w:t>0</w:t>
                  </w:r>
                </w:p>
              </w:tc>
              <w:tc>
                <w:tcPr>
                  <w:tcW w:w="428" w:type="pct"/>
                  <w:tcBorders>
                    <w:tl2br w:val="nil"/>
                    <w:tr2bl w:val="nil"/>
                  </w:tcBorders>
                  <w:shd w:val="clear" w:color="auto" w:fill="auto"/>
                  <w:vAlign w:val="center"/>
                </w:tcPr>
                <w:p w14:paraId="4CE928B3">
                  <w:pPr>
                    <w:pStyle w:val="120"/>
                    <w:keepNext w:val="0"/>
                    <w:keepLines w:val="0"/>
                    <w:pageBreakBefore w:val="0"/>
                    <w:framePr w:hSpace="0" w:wrap="auto" w:vAnchor="margin" w:hAnchor="text" w:xAlign="left" w:yAlign="inline"/>
                    <w:widowControl w:val="0"/>
                    <w:suppressLineNumbers w:val="0"/>
                    <w:kinsoku/>
                    <w:wordWrap/>
                    <w:overflowPunct/>
                    <w:topLinePunct w:val="0"/>
                    <w:bidi w:val="0"/>
                    <w:adjustRightInd w:val="0"/>
                    <w:snapToGrid w:val="0"/>
                    <w:spacing w:before="0" w:beforeAutospacing="0" w:after="0" w:afterAutospacing="0" w:line="276" w:lineRule="auto"/>
                    <w:ind w:left="0" w:right="0"/>
                    <w:textAlignment w:val="auto"/>
                    <w:rPr>
                      <w:rFonts w:hint="eastAsia" w:ascii="Times New Roman" w:hAnsi="Times New Roman" w:eastAsia="宋体" w:cs="Times New Roman"/>
                      <w:bCs/>
                      <w:color w:val="auto"/>
                      <w:kern w:val="2"/>
                      <w:sz w:val="21"/>
                      <w:szCs w:val="21"/>
                      <w:highlight w:val="none"/>
                      <w:lang w:val="en-US" w:eastAsia="zh-CN" w:bidi="ar-SA"/>
                    </w:rPr>
                  </w:pPr>
                  <w:r>
                    <w:rPr>
                      <w:rFonts w:hint="eastAsia" w:ascii="Times New Roman" w:hAnsi="Times New Roman" w:eastAsia="宋体" w:cs="Times New Roman"/>
                      <w:color w:val="auto"/>
                      <w:sz w:val="21"/>
                      <w:szCs w:val="21"/>
                      <w:highlight w:val="none"/>
                      <w:lang w:val="en-US" w:eastAsia="zh-CN"/>
                    </w:rPr>
                    <w:t>0</w:t>
                  </w:r>
                </w:p>
              </w:tc>
              <w:tc>
                <w:tcPr>
                  <w:tcW w:w="430" w:type="pct"/>
                  <w:tcBorders>
                    <w:tl2br w:val="nil"/>
                    <w:tr2bl w:val="nil"/>
                  </w:tcBorders>
                  <w:shd w:val="clear" w:color="auto" w:fill="auto"/>
                  <w:vAlign w:val="center"/>
                </w:tcPr>
                <w:p w14:paraId="6A9C0257">
                  <w:pPr>
                    <w:pStyle w:val="120"/>
                    <w:keepNext w:val="0"/>
                    <w:keepLines w:val="0"/>
                    <w:pageBreakBefore w:val="0"/>
                    <w:framePr w:hSpace="0" w:wrap="auto" w:vAnchor="margin" w:hAnchor="text" w:xAlign="left" w:yAlign="inline"/>
                    <w:widowControl w:val="0"/>
                    <w:suppressLineNumbers w:val="0"/>
                    <w:kinsoku/>
                    <w:wordWrap/>
                    <w:overflowPunct/>
                    <w:topLinePunct w:val="0"/>
                    <w:bidi w:val="0"/>
                    <w:adjustRightInd w:val="0"/>
                    <w:snapToGrid w:val="0"/>
                    <w:spacing w:before="0" w:beforeAutospacing="0" w:after="0" w:afterAutospacing="0" w:line="276" w:lineRule="auto"/>
                    <w:ind w:left="0" w:right="0"/>
                    <w:textAlignment w:val="auto"/>
                    <w:rPr>
                      <w:rFonts w:hint="eastAsia" w:ascii="Times New Roman" w:hAnsi="Times New Roman" w:eastAsia="宋体" w:cs="Times New Roman"/>
                      <w:bCs/>
                      <w:color w:val="auto"/>
                      <w:kern w:val="2"/>
                      <w:sz w:val="21"/>
                      <w:szCs w:val="21"/>
                      <w:highlight w:val="none"/>
                      <w:lang w:val="en-US" w:eastAsia="zh-CN" w:bidi="ar-SA"/>
                    </w:rPr>
                  </w:pPr>
                  <w:r>
                    <w:rPr>
                      <w:rFonts w:hint="eastAsia" w:ascii="Times New Roman" w:hAnsi="Times New Roman" w:eastAsia="宋体" w:cs="Times New Roman"/>
                      <w:color w:val="auto"/>
                      <w:sz w:val="21"/>
                      <w:szCs w:val="21"/>
                      <w:highlight w:val="none"/>
                      <w:lang w:val="en-US" w:eastAsia="zh-CN"/>
                    </w:rPr>
                    <w:t>0</w:t>
                  </w:r>
                </w:p>
              </w:tc>
            </w:tr>
            <w:tr w14:paraId="49C18B54">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c>
                <w:tcPr>
                  <w:tcW w:w="1862" w:type="pct"/>
                  <w:gridSpan w:val="2"/>
                  <w:tcBorders>
                    <w:tl2br w:val="nil"/>
                    <w:tr2bl w:val="nil"/>
                  </w:tcBorders>
                  <w:vAlign w:val="center"/>
                </w:tcPr>
                <w:p w14:paraId="67A81EEA">
                  <w:pPr>
                    <w:pStyle w:val="120"/>
                    <w:keepNext w:val="0"/>
                    <w:keepLines w:val="0"/>
                    <w:pageBreakBefore w:val="0"/>
                    <w:framePr w:hSpace="0" w:wrap="auto" w:vAnchor="margin" w:hAnchor="text" w:xAlign="left" w:yAlign="inline"/>
                    <w:widowControl w:val="0"/>
                    <w:suppressLineNumbers w:val="0"/>
                    <w:kinsoku/>
                    <w:wordWrap/>
                    <w:overflowPunct/>
                    <w:topLinePunct w:val="0"/>
                    <w:bidi w:val="0"/>
                    <w:adjustRightInd w:val="0"/>
                    <w:snapToGrid w:val="0"/>
                    <w:spacing w:before="0" w:beforeAutospacing="0" w:after="0" w:afterAutospacing="0" w:line="276" w:lineRule="auto"/>
                    <w:ind w:left="0" w:right="0"/>
                    <w:textAlignment w:val="auto"/>
                    <w:rPr>
                      <w:rFonts w:hint="default"/>
                      <w:color w:val="auto"/>
                      <w:sz w:val="21"/>
                      <w:szCs w:val="21"/>
                      <w:highlight w:val="none"/>
                    </w:rPr>
                  </w:pPr>
                  <w:r>
                    <w:rPr>
                      <w:rFonts w:hint="eastAsia"/>
                      <w:color w:val="auto"/>
                      <w:sz w:val="21"/>
                      <w:szCs w:val="21"/>
                      <w:highlight w:val="none"/>
                    </w:rPr>
                    <w:t>饲养</w:t>
                  </w:r>
                  <w:r>
                    <w:rPr>
                      <w:rFonts w:hint="default"/>
                      <w:color w:val="auto"/>
                      <w:sz w:val="21"/>
                      <w:szCs w:val="21"/>
                      <w:highlight w:val="none"/>
                    </w:rPr>
                    <w:t>密度</w:t>
                  </w:r>
                  <w:r>
                    <w:rPr>
                      <w:rFonts w:hint="eastAsia"/>
                      <w:color w:val="auto"/>
                      <w:sz w:val="21"/>
                      <w:szCs w:val="21"/>
                      <w:highlight w:val="none"/>
                    </w:rPr>
                    <w:t>（只/笼）</w:t>
                  </w:r>
                </w:p>
              </w:tc>
              <w:tc>
                <w:tcPr>
                  <w:tcW w:w="539" w:type="pct"/>
                  <w:tcBorders>
                    <w:tl2br w:val="nil"/>
                    <w:tr2bl w:val="nil"/>
                  </w:tcBorders>
                  <w:vAlign w:val="center"/>
                </w:tcPr>
                <w:p w14:paraId="1D6EA3BE">
                  <w:pPr>
                    <w:pStyle w:val="120"/>
                    <w:keepNext w:val="0"/>
                    <w:keepLines w:val="0"/>
                    <w:pageBreakBefore w:val="0"/>
                    <w:framePr w:hSpace="0" w:wrap="auto" w:vAnchor="margin" w:hAnchor="text" w:xAlign="left" w:yAlign="inline"/>
                    <w:widowControl w:val="0"/>
                    <w:suppressLineNumbers w:val="0"/>
                    <w:kinsoku/>
                    <w:wordWrap/>
                    <w:overflowPunct/>
                    <w:topLinePunct w:val="0"/>
                    <w:bidi w:val="0"/>
                    <w:adjustRightInd w:val="0"/>
                    <w:snapToGrid w:val="0"/>
                    <w:spacing w:before="0" w:beforeAutospacing="0" w:after="0" w:afterAutospacing="0" w:line="276" w:lineRule="auto"/>
                    <w:ind w:left="0" w:right="0"/>
                    <w:textAlignment w:val="auto"/>
                    <w:rPr>
                      <w:rFonts w:hint="eastAsia" w:eastAsia="宋体"/>
                      <w:color w:val="auto"/>
                      <w:sz w:val="21"/>
                      <w:szCs w:val="21"/>
                      <w:highlight w:val="none"/>
                      <w:lang w:val="en-US" w:eastAsia="zh-CN"/>
                    </w:rPr>
                  </w:pPr>
                  <w:r>
                    <w:rPr>
                      <w:rFonts w:hint="eastAsia"/>
                      <w:color w:val="auto"/>
                      <w:sz w:val="21"/>
                      <w:szCs w:val="21"/>
                      <w:highlight w:val="none"/>
                      <w:lang w:val="en-US" w:eastAsia="zh-CN"/>
                    </w:rPr>
                    <w:t>5</w:t>
                  </w:r>
                </w:p>
              </w:tc>
              <w:tc>
                <w:tcPr>
                  <w:tcW w:w="455" w:type="pct"/>
                  <w:tcBorders>
                    <w:tl2br w:val="nil"/>
                    <w:tr2bl w:val="nil"/>
                  </w:tcBorders>
                  <w:vAlign w:val="center"/>
                </w:tcPr>
                <w:p w14:paraId="4ED30A02">
                  <w:pPr>
                    <w:pStyle w:val="120"/>
                    <w:keepNext w:val="0"/>
                    <w:keepLines w:val="0"/>
                    <w:pageBreakBefore w:val="0"/>
                    <w:framePr w:hSpace="0" w:wrap="auto" w:vAnchor="margin" w:hAnchor="text" w:xAlign="left" w:yAlign="inline"/>
                    <w:widowControl w:val="0"/>
                    <w:suppressLineNumbers w:val="0"/>
                    <w:kinsoku/>
                    <w:wordWrap/>
                    <w:overflowPunct/>
                    <w:topLinePunct w:val="0"/>
                    <w:bidi w:val="0"/>
                    <w:adjustRightInd w:val="0"/>
                    <w:snapToGrid w:val="0"/>
                    <w:spacing w:before="0" w:beforeAutospacing="0" w:after="0" w:afterAutospacing="0" w:line="276" w:lineRule="auto"/>
                    <w:ind w:left="0" w:right="0"/>
                    <w:textAlignment w:val="auto"/>
                    <w:rPr>
                      <w:rFonts w:hint="eastAsia" w:eastAsia="宋体"/>
                      <w:color w:val="auto"/>
                      <w:sz w:val="21"/>
                      <w:szCs w:val="21"/>
                      <w:highlight w:val="none"/>
                      <w:lang w:val="en-US" w:eastAsia="zh-CN"/>
                    </w:rPr>
                  </w:pPr>
                  <w:r>
                    <w:rPr>
                      <w:rFonts w:hint="eastAsia"/>
                      <w:color w:val="auto"/>
                      <w:sz w:val="21"/>
                      <w:szCs w:val="21"/>
                      <w:highlight w:val="none"/>
                      <w:lang w:val="en-US" w:eastAsia="zh-CN"/>
                    </w:rPr>
                    <w:t>3</w:t>
                  </w:r>
                </w:p>
              </w:tc>
              <w:tc>
                <w:tcPr>
                  <w:tcW w:w="428" w:type="pct"/>
                  <w:tcBorders>
                    <w:tl2br w:val="nil"/>
                    <w:tr2bl w:val="nil"/>
                  </w:tcBorders>
                  <w:vAlign w:val="center"/>
                </w:tcPr>
                <w:p w14:paraId="2396DF70">
                  <w:pPr>
                    <w:pStyle w:val="120"/>
                    <w:keepNext w:val="0"/>
                    <w:keepLines w:val="0"/>
                    <w:pageBreakBefore w:val="0"/>
                    <w:framePr w:hSpace="0" w:wrap="auto" w:vAnchor="margin" w:hAnchor="text" w:xAlign="left" w:yAlign="inline"/>
                    <w:widowControl w:val="0"/>
                    <w:suppressLineNumbers w:val="0"/>
                    <w:kinsoku/>
                    <w:wordWrap/>
                    <w:overflowPunct/>
                    <w:topLinePunct w:val="0"/>
                    <w:bidi w:val="0"/>
                    <w:adjustRightInd w:val="0"/>
                    <w:snapToGrid w:val="0"/>
                    <w:spacing w:before="0" w:beforeAutospacing="0" w:after="0" w:afterAutospacing="0" w:line="276" w:lineRule="auto"/>
                    <w:ind w:left="0" w:right="0"/>
                    <w:textAlignment w:val="auto"/>
                    <w:rPr>
                      <w:rFonts w:hint="eastAsia" w:eastAsia="宋体"/>
                      <w:color w:val="auto"/>
                      <w:sz w:val="21"/>
                      <w:szCs w:val="21"/>
                      <w:highlight w:val="none"/>
                      <w:lang w:val="en-US" w:eastAsia="zh-CN"/>
                    </w:rPr>
                  </w:pPr>
                  <w:r>
                    <w:rPr>
                      <w:rFonts w:hint="eastAsia"/>
                      <w:color w:val="auto"/>
                      <w:sz w:val="21"/>
                      <w:szCs w:val="21"/>
                      <w:highlight w:val="none"/>
                      <w:lang w:val="en-US" w:eastAsia="zh-CN"/>
                    </w:rPr>
                    <w:t>4</w:t>
                  </w:r>
                </w:p>
              </w:tc>
              <w:tc>
                <w:tcPr>
                  <w:tcW w:w="428" w:type="pct"/>
                  <w:tcBorders>
                    <w:tl2br w:val="nil"/>
                    <w:tr2bl w:val="nil"/>
                  </w:tcBorders>
                  <w:vAlign w:val="center"/>
                </w:tcPr>
                <w:p w14:paraId="5AE43999">
                  <w:pPr>
                    <w:pStyle w:val="120"/>
                    <w:keepNext w:val="0"/>
                    <w:keepLines w:val="0"/>
                    <w:pageBreakBefore w:val="0"/>
                    <w:framePr w:hSpace="0" w:wrap="auto" w:vAnchor="margin" w:hAnchor="text" w:xAlign="left" w:yAlign="inline"/>
                    <w:widowControl w:val="0"/>
                    <w:suppressLineNumbers w:val="0"/>
                    <w:kinsoku/>
                    <w:wordWrap/>
                    <w:overflowPunct/>
                    <w:topLinePunct w:val="0"/>
                    <w:bidi w:val="0"/>
                    <w:adjustRightInd w:val="0"/>
                    <w:snapToGrid w:val="0"/>
                    <w:spacing w:before="0" w:beforeAutospacing="0" w:after="0" w:afterAutospacing="0" w:line="276" w:lineRule="auto"/>
                    <w:ind w:left="0" w:right="0"/>
                    <w:textAlignment w:val="auto"/>
                    <w:rPr>
                      <w:rFonts w:hint="default"/>
                      <w:color w:val="auto"/>
                      <w:sz w:val="21"/>
                      <w:szCs w:val="21"/>
                      <w:highlight w:val="none"/>
                    </w:rPr>
                  </w:pPr>
                  <w:r>
                    <w:rPr>
                      <w:rFonts w:hint="eastAsia"/>
                      <w:color w:val="auto"/>
                      <w:sz w:val="21"/>
                      <w:szCs w:val="21"/>
                      <w:highlight w:val="none"/>
                    </w:rPr>
                    <w:t>1</w:t>
                  </w:r>
                </w:p>
              </w:tc>
              <w:tc>
                <w:tcPr>
                  <w:tcW w:w="428" w:type="pct"/>
                  <w:tcBorders>
                    <w:tl2br w:val="nil"/>
                    <w:tr2bl w:val="nil"/>
                  </w:tcBorders>
                  <w:vAlign w:val="center"/>
                </w:tcPr>
                <w:p w14:paraId="4FA5180D">
                  <w:pPr>
                    <w:pStyle w:val="120"/>
                    <w:keepNext w:val="0"/>
                    <w:keepLines w:val="0"/>
                    <w:pageBreakBefore w:val="0"/>
                    <w:framePr w:hSpace="0" w:wrap="auto" w:vAnchor="margin" w:hAnchor="text" w:xAlign="left" w:yAlign="inline"/>
                    <w:widowControl w:val="0"/>
                    <w:suppressLineNumbers w:val="0"/>
                    <w:kinsoku/>
                    <w:wordWrap/>
                    <w:overflowPunct/>
                    <w:topLinePunct w:val="0"/>
                    <w:bidi w:val="0"/>
                    <w:adjustRightInd w:val="0"/>
                    <w:snapToGrid w:val="0"/>
                    <w:spacing w:before="0" w:beforeAutospacing="0" w:after="0" w:afterAutospacing="0" w:line="276" w:lineRule="auto"/>
                    <w:ind w:left="0" w:right="0"/>
                    <w:textAlignment w:val="auto"/>
                    <w:rPr>
                      <w:rFonts w:hint="default"/>
                      <w:color w:val="auto"/>
                      <w:sz w:val="21"/>
                      <w:szCs w:val="21"/>
                      <w:highlight w:val="none"/>
                    </w:rPr>
                  </w:pPr>
                  <w:r>
                    <w:rPr>
                      <w:rFonts w:hint="eastAsia"/>
                      <w:color w:val="auto"/>
                      <w:sz w:val="21"/>
                      <w:szCs w:val="21"/>
                      <w:highlight w:val="none"/>
                    </w:rPr>
                    <w:t>1</w:t>
                  </w:r>
                </w:p>
              </w:tc>
              <w:tc>
                <w:tcPr>
                  <w:tcW w:w="428" w:type="pct"/>
                  <w:tcBorders>
                    <w:tl2br w:val="nil"/>
                    <w:tr2bl w:val="nil"/>
                  </w:tcBorders>
                  <w:vAlign w:val="center"/>
                </w:tcPr>
                <w:p w14:paraId="2881BC47">
                  <w:pPr>
                    <w:pStyle w:val="120"/>
                    <w:keepNext w:val="0"/>
                    <w:keepLines w:val="0"/>
                    <w:pageBreakBefore w:val="0"/>
                    <w:framePr w:hSpace="0" w:wrap="auto" w:vAnchor="margin" w:hAnchor="text" w:xAlign="left" w:yAlign="inline"/>
                    <w:widowControl w:val="0"/>
                    <w:suppressLineNumbers w:val="0"/>
                    <w:kinsoku/>
                    <w:wordWrap/>
                    <w:overflowPunct/>
                    <w:topLinePunct w:val="0"/>
                    <w:bidi w:val="0"/>
                    <w:adjustRightInd w:val="0"/>
                    <w:snapToGrid w:val="0"/>
                    <w:spacing w:before="0" w:beforeAutospacing="0" w:after="0" w:afterAutospacing="0" w:line="276" w:lineRule="auto"/>
                    <w:ind w:left="0" w:right="0"/>
                    <w:textAlignment w:val="auto"/>
                    <w:rPr>
                      <w:rFonts w:hint="default"/>
                      <w:color w:val="auto"/>
                      <w:sz w:val="21"/>
                      <w:szCs w:val="21"/>
                      <w:highlight w:val="none"/>
                    </w:rPr>
                  </w:pPr>
                  <w:r>
                    <w:rPr>
                      <w:rFonts w:hint="eastAsia"/>
                      <w:color w:val="auto"/>
                      <w:sz w:val="21"/>
                      <w:szCs w:val="21"/>
                      <w:highlight w:val="none"/>
                    </w:rPr>
                    <w:t>1</w:t>
                  </w:r>
                </w:p>
              </w:tc>
              <w:tc>
                <w:tcPr>
                  <w:tcW w:w="430" w:type="pct"/>
                  <w:tcBorders>
                    <w:tl2br w:val="nil"/>
                    <w:tr2bl w:val="nil"/>
                  </w:tcBorders>
                  <w:vAlign w:val="center"/>
                </w:tcPr>
                <w:p w14:paraId="75230688">
                  <w:pPr>
                    <w:pStyle w:val="120"/>
                    <w:keepNext w:val="0"/>
                    <w:keepLines w:val="0"/>
                    <w:pageBreakBefore w:val="0"/>
                    <w:framePr w:hSpace="0" w:wrap="auto" w:vAnchor="margin" w:hAnchor="text" w:xAlign="left" w:yAlign="inline"/>
                    <w:widowControl w:val="0"/>
                    <w:suppressLineNumbers w:val="0"/>
                    <w:kinsoku/>
                    <w:wordWrap/>
                    <w:overflowPunct/>
                    <w:topLinePunct w:val="0"/>
                    <w:bidi w:val="0"/>
                    <w:adjustRightInd w:val="0"/>
                    <w:snapToGrid w:val="0"/>
                    <w:spacing w:before="0" w:beforeAutospacing="0" w:after="0" w:afterAutospacing="0" w:line="276" w:lineRule="auto"/>
                    <w:ind w:left="0" w:right="0"/>
                    <w:textAlignment w:val="auto"/>
                    <w:rPr>
                      <w:rFonts w:hint="default"/>
                      <w:color w:val="auto"/>
                      <w:sz w:val="21"/>
                      <w:szCs w:val="21"/>
                      <w:highlight w:val="none"/>
                    </w:rPr>
                  </w:pPr>
                  <w:r>
                    <w:rPr>
                      <w:rFonts w:hint="eastAsia"/>
                      <w:color w:val="auto"/>
                      <w:sz w:val="21"/>
                      <w:szCs w:val="21"/>
                      <w:highlight w:val="none"/>
                    </w:rPr>
                    <w:t>1</w:t>
                  </w:r>
                </w:p>
              </w:tc>
            </w:tr>
            <w:tr w14:paraId="52BE74A7">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c>
                <w:tcPr>
                  <w:tcW w:w="1862" w:type="pct"/>
                  <w:gridSpan w:val="2"/>
                  <w:tcBorders>
                    <w:tl2br w:val="nil"/>
                    <w:tr2bl w:val="nil"/>
                  </w:tcBorders>
                  <w:vAlign w:val="center"/>
                </w:tcPr>
                <w:p w14:paraId="35C30D33">
                  <w:pPr>
                    <w:pStyle w:val="120"/>
                    <w:keepNext w:val="0"/>
                    <w:keepLines w:val="0"/>
                    <w:pageBreakBefore w:val="0"/>
                    <w:framePr w:hSpace="0" w:wrap="auto" w:vAnchor="margin" w:hAnchor="text" w:xAlign="left" w:yAlign="inline"/>
                    <w:widowControl w:val="0"/>
                    <w:suppressLineNumbers w:val="0"/>
                    <w:kinsoku/>
                    <w:wordWrap/>
                    <w:overflowPunct/>
                    <w:topLinePunct w:val="0"/>
                    <w:bidi w:val="0"/>
                    <w:adjustRightInd w:val="0"/>
                    <w:snapToGrid w:val="0"/>
                    <w:spacing w:before="0" w:beforeAutospacing="0" w:after="0" w:afterAutospacing="0" w:line="276" w:lineRule="auto"/>
                    <w:ind w:left="0" w:right="0"/>
                    <w:textAlignment w:val="auto"/>
                    <w:rPr>
                      <w:rFonts w:hint="eastAsia"/>
                      <w:color w:val="auto"/>
                      <w:sz w:val="21"/>
                      <w:szCs w:val="21"/>
                      <w:highlight w:val="none"/>
                    </w:rPr>
                  </w:pPr>
                  <w:r>
                    <w:rPr>
                      <w:rFonts w:hint="eastAsia"/>
                      <w:b/>
                      <w:color w:val="auto"/>
                      <w:sz w:val="21"/>
                      <w:szCs w:val="21"/>
                      <w:highlight w:val="none"/>
                    </w:rPr>
                    <w:t>饲养</w:t>
                  </w:r>
                  <w:r>
                    <w:rPr>
                      <w:rFonts w:hint="default"/>
                      <w:b/>
                      <w:color w:val="auto"/>
                      <w:sz w:val="21"/>
                      <w:szCs w:val="21"/>
                      <w:highlight w:val="none"/>
                    </w:rPr>
                    <w:t>能力（</w:t>
                  </w:r>
                  <w:r>
                    <w:rPr>
                      <w:rFonts w:hint="eastAsia"/>
                      <w:b/>
                      <w:color w:val="auto"/>
                      <w:sz w:val="21"/>
                      <w:szCs w:val="21"/>
                      <w:highlight w:val="none"/>
                      <w:lang w:val="en-US" w:eastAsia="zh-CN"/>
                    </w:rPr>
                    <w:t>只</w:t>
                  </w:r>
                  <w:r>
                    <w:rPr>
                      <w:rFonts w:hint="default"/>
                      <w:b/>
                      <w:color w:val="auto"/>
                      <w:sz w:val="21"/>
                      <w:szCs w:val="21"/>
                      <w:highlight w:val="none"/>
                    </w:rPr>
                    <w:t>）</w:t>
                  </w:r>
                </w:p>
              </w:tc>
              <w:tc>
                <w:tcPr>
                  <w:tcW w:w="539" w:type="pct"/>
                  <w:tcBorders>
                    <w:tl2br w:val="nil"/>
                    <w:tr2bl w:val="nil"/>
                  </w:tcBorders>
                  <w:vAlign w:val="center"/>
                </w:tcPr>
                <w:p w14:paraId="3BC4AA5A">
                  <w:pPr>
                    <w:pStyle w:val="120"/>
                    <w:keepNext w:val="0"/>
                    <w:keepLines w:val="0"/>
                    <w:pageBreakBefore w:val="0"/>
                    <w:framePr w:hSpace="0" w:wrap="auto" w:vAnchor="margin" w:hAnchor="text" w:xAlign="left" w:yAlign="inline"/>
                    <w:widowControl w:val="0"/>
                    <w:suppressLineNumbers w:val="0"/>
                    <w:kinsoku/>
                    <w:wordWrap/>
                    <w:overflowPunct/>
                    <w:topLinePunct w:val="0"/>
                    <w:bidi w:val="0"/>
                    <w:adjustRightInd w:val="0"/>
                    <w:snapToGrid w:val="0"/>
                    <w:spacing w:before="0" w:beforeAutospacing="0" w:after="0" w:afterAutospacing="0" w:line="276" w:lineRule="auto"/>
                    <w:ind w:left="0" w:right="0"/>
                    <w:textAlignment w:val="auto"/>
                    <w:rPr>
                      <w:rFonts w:hint="default"/>
                      <w:color w:val="auto"/>
                      <w:sz w:val="21"/>
                      <w:szCs w:val="21"/>
                      <w:highlight w:val="none"/>
                      <w:lang w:val="en-US" w:eastAsia="zh-CN"/>
                    </w:rPr>
                  </w:pPr>
                  <w:r>
                    <w:rPr>
                      <w:rFonts w:hint="eastAsia"/>
                      <w:color w:val="auto"/>
                      <w:sz w:val="21"/>
                      <w:szCs w:val="21"/>
                      <w:highlight w:val="none"/>
                      <w:lang w:val="en-US" w:eastAsia="zh-CN"/>
                    </w:rPr>
                    <w:t>70000</w:t>
                  </w:r>
                </w:p>
              </w:tc>
              <w:tc>
                <w:tcPr>
                  <w:tcW w:w="455" w:type="pct"/>
                  <w:tcBorders>
                    <w:tl2br w:val="nil"/>
                    <w:tr2bl w:val="nil"/>
                  </w:tcBorders>
                  <w:vAlign w:val="center"/>
                </w:tcPr>
                <w:p w14:paraId="2A9D8585">
                  <w:pPr>
                    <w:pStyle w:val="120"/>
                    <w:keepNext w:val="0"/>
                    <w:keepLines w:val="0"/>
                    <w:pageBreakBefore w:val="0"/>
                    <w:framePr w:hSpace="0" w:wrap="auto" w:vAnchor="margin" w:hAnchor="text" w:xAlign="left" w:yAlign="inline"/>
                    <w:widowControl w:val="0"/>
                    <w:suppressLineNumbers w:val="0"/>
                    <w:kinsoku/>
                    <w:wordWrap/>
                    <w:overflowPunct/>
                    <w:topLinePunct w:val="0"/>
                    <w:bidi w:val="0"/>
                    <w:adjustRightInd w:val="0"/>
                    <w:snapToGrid w:val="0"/>
                    <w:spacing w:before="0" w:beforeAutospacing="0" w:after="0" w:afterAutospacing="0" w:line="276" w:lineRule="auto"/>
                    <w:ind w:left="0" w:right="0"/>
                    <w:textAlignment w:val="auto"/>
                    <w:rPr>
                      <w:rFonts w:hint="default"/>
                      <w:color w:val="auto"/>
                      <w:sz w:val="21"/>
                      <w:szCs w:val="21"/>
                      <w:highlight w:val="none"/>
                      <w:lang w:val="en-US" w:eastAsia="zh-CN"/>
                    </w:rPr>
                  </w:pPr>
                  <w:r>
                    <w:rPr>
                      <w:rFonts w:hint="eastAsia"/>
                      <w:color w:val="auto"/>
                      <w:sz w:val="21"/>
                      <w:szCs w:val="21"/>
                      <w:highlight w:val="none"/>
                      <w:lang w:val="en-US" w:eastAsia="zh-CN"/>
                    </w:rPr>
                    <w:t>15100</w:t>
                  </w:r>
                </w:p>
              </w:tc>
              <w:tc>
                <w:tcPr>
                  <w:tcW w:w="428" w:type="pct"/>
                  <w:tcBorders>
                    <w:tl2br w:val="nil"/>
                    <w:tr2bl w:val="nil"/>
                  </w:tcBorders>
                  <w:vAlign w:val="center"/>
                </w:tcPr>
                <w:p w14:paraId="53734A91">
                  <w:pPr>
                    <w:pStyle w:val="120"/>
                    <w:keepNext w:val="0"/>
                    <w:keepLines w:val="0"/>
                    <w:pageBreakBefore w:val="0"/>
                    <w:framePr w:hSpace="0" w:wrap="auto" w:vAnchor="margin" w:hAnchor="text" w:xAlign="left" w:yAlign="inline"/>
                    <w:widowControl w:val="0"/>
                    <w:suppressLineNumbers w:val="0"/>
                    <w:kinsoku/>
                    <w:wordWrap/>
                    <w:overflowPunct/>
                    <w:topLinePunct w:val="0"/>
                    <w:bidi w:val="0"/>
                    <w:adjustRightInd w:val="0"/>
                    <w:snapToGrid w:val="0"/>
                    <w:spacing w:before="0" w:beforeAutospacing="0" w:after="0" w:afterAutospacing="0" w:line="276" w:lineRule="auto"/>
                    <w:ind w:left="0" w:right="0"/>
                    <w:textAlignment w:val="auto"/>
                    <w:rPr>
                      <w:rFonts w:hint="default"/>
                      <w:color w:val="auto"/>
                      <w:sz w:val="21"/>
                      <w:szCs w:val="21"/>
                      <w:highlight w:val="none"/>
                      <w:lang w:val="en-US" w:eastAsia="zh-CN"/>
                    </w:rPr>
                  </w:pPr>
                  <w:r>
                    <w:rPr>
                      <w:rFonts w:hint="eastAsia"/>
                      <w:color w:val="auto"/>
                      <w:sz w:val="21"/>
                      <w:szCs w:val="21"/>
                      <w:highlight w:val="none"/>
                      <w:lang w:val="en-US" w:eastAsia="zh-CN"/>
                    </w:rPr>
                    <w:t>3600</w:t>
                  </w:r>
                </w:p>
              </w:tc>
              <w:tc>
                <w:tcPr>
                  <w:tcW w:w="428" w:type="pct"/>
                  <w:tcBorders>
                    <w:tl2br w:val="nil"/>
                    <w:tr2bl w:val="nil"/>
                  </w:tcBorders>
                  <w:vAlign w:val="center"/>
                </w:tcPr>
                <w:p w14:paraId="74BB1F34">
                  <w:pPr>
                    <w:pStyle w:val="120"/>
                    <w:keepNext w:val="0"/>
                    <w:keepLines w:val="0"/>
                    <w:pageBreakBefore w:val="0"/>
                    <w:framePr w:hSpace="0" w:wrap="auto" w:vAnchor="margin" w:hAnchor="text" w:xAlign="left" w:yAlign="inline"/>
                    <w:widowControl w:val="0"/>
                    <w:suppressLineNumbers w:val="0"/>
                    <w:kinsoku/>
                    <w:wordWrap/>
                    <w:overflowPunct/>
                    <w:topLinePunct w:val="0"/>
                    <w:bidi w:val="0"/>
                    <w:adjustRightInd w:val="0"/>
                    <w:snapToGrid w:val="0"/>
                    <w:spacing w:before="0" w:beforeAutospacing="0" w:after="0" w:afterAutospacing="0" w:line="276" w:lineRule="auto"/>
                    <w:ind w:left="0" w:right="0"/>
                    <w:textAlignment w:val="auto"/>
                    <w:rPr>
                      <w:rFonts w:hint="default" w:eastAsia="宋体"/>
                      <w:color w:val="auto"/>
                      <w:sz w:val="21"/>
                      <w:szCs w:val="21"/>
                      <w:highlight w:val="none"/>
                      <w:lang w:val="en-US" w:eastAsia="zh-CN"/>
                    </w:rPr>
                  </w:pPr>
                  <w:r>
                    <w:rPr>
                      <w:rFonts w:hint="eastAsia"/>
                      <w:color w:val="auto"/>
                      <w:sz w:val="21"/>
                      <w:szCs w:val="21"/>
                      <w:highlight w:val="none"/>
                      <w:lang w:val="en-US" w:eastAsia="zh-CN"/>
                    </w:rPr>
                    <w:t>1080</w:t>
                  </w:r>
                </w:p>
              </w:tc>
              <w:tc>
                <w:tcPr>
                  <w:tcW w:w="428" w:type="pct"/>
                  <w:tcBorders>
                    <w:tl2br w:val="nil"/>
                    <w:tr2bl w:val="nil"/>
                  </w:tcBorders>
                  <w:vAlign w:val="center"/>
                </w:tcPr>
                <w:p w14:paraId="470B5452">
                  <w:pPr>
                    <w:pStyle w:val="120"/>
                    <w:keepNext w:val="0"/>
                    <w:keepLines w:val="0"/>
                    <w:pageBreakBefore w:val="0"/>
                    <w:framePr w:hSpace="0" w:wrap="auto" w:vAnchor="margin" w:hAnchor="text" w:xAlign="left" w:yAlign="inline"/>
                    <w:widowControl w:val="0"/>
                    <w:suppressLineNumbers w:val="0"/>
                    <w:kinsoku/>
                    <w:wordWrap/>
                    <w:overflowPunct/>
                    <w:topLinePunct w:val="0"/>
                    <w:bidi w:val="0"/>
                    <w:adjustRightInd w:val="0"/>
                    <w:snapToGrid w:val="0"/>
                    <w:spacing w:before="0" w:beforeAutospacing="0" w:after="0" w:afterAutospacing="0" w:line="276" w:lineRule="auto"/>
                    <w:ind w:left="0" w:right="0"/>
                    <w:textAlignment w:val="auto"/>
                    <w:rPr>
                      <w:rFonts w:hint="default" w:eastAsia="宋体"/>
                      <w:color w:val="auto"/>
                      <w:sz w:val="21"/>
                      <w:szCs w:val="21"/>
                      <w:highlight w:val="none"/>
                      <w:lang w:val="en-US" w:eastAsia="zh-CN"/>
                    </w:rPr>
                  </w:pPr>
                  <w:r>
                    <w:rPr>
                      <w:rFonts w:hint="eastAsia"/>
                      <w:color w:val="auto"/>
                      <w:sz w:val="21"/>
                      <w:szCs w:val="21"/>
                      <w:highlight w:val="none"/>
                      <w:lang w:val="en-US" w:eastAsia="zh-CN"/>
                    </w:rPr>
                    <w:t>144</w:t>
                  </w:r>
                </w:p>
              </w:tc>
              <w:tc>
                <w:tcPr>
                  <w:tcW w:w="428" w:type="pct"/>
                  <w:tcBorders>
                    <w:tl2br w:val="nil"/>
                    <w:tr2bl w:val="nil"/>
                  </w:tcBorders>
                  <w:vAlign w:val="center"/>
                </w:tcPr>
                <w:p w14:paraId="55326BF0">
                  <w:pPr>
                    <w:pStyle w:val="120"/>
                    <w:keepNext w:val="0"/>
                    <w:keepLines w:val="0"/>
                    <w:pageBreakBefore w:val="0"/>
                    <w:framePr w:hSpace="0" w:wrap="auto" w:vAnchor="margin" w:hAnchor="text" w:xAlign="left" w:yAlign="inline"/>
                    <w:widowControl w:val="0"/>
                    <w:suppressLineNumbers w:val="0"/>
                    <w:kinsoku/>
                    <w:wordWrap/>
                    <w:overflowPunct/>
                    <w:topLinePunct w:val="0"/>
                    <w:bidi w:val="0"/>
                    <w:adjustRightInd w:val="0"/>
                    <w:snapToGrid w:val="0"/>
                    <w:spacing w:before="0" w:beforeAutospacing="0" w:after="0" w:afterAutospacing="0" w:line="276" w:lineRule="auto"/>
                    <w:ind w:left="0" w:right="0"/>
                    <w:textAlignment w:val="auto"/>
                    <w:rPr>
                      <w:rFonts w:hint="default" w:eastAsia="宋体"/>
                      <w:color w:val="auto"/>
                      <w:sz w:val="21"/>
                      <w:szCs w:val="21"/>
                      <w:highlight w:val="none"/>
                      <w:lang w:val="en-US" w:eastAsia="zh-CN"/>
                    </w:rPr>
                  </w:pPr>
                  <w:r>
                    <w:rPr>
                      <w:rFonts w:hint="eastAsia"/>
                      <w:color w:val="auto"/>
                      <w:sz w:val="21"/>
                      <w:szCs w:val="21"/>
                      <w:highlight w:val="none"/>
                      <w:lang w:val="en-US" w:eastAsia="zh-CN"/>
                    </w:rPr>
                    <w:t>600</w:t>
                  </w:r>
                </w:p>
              </w:tc>
              <w:tc>
                <w:tcPr>
                  <w:tcW w:w="430" w:type="pct"/>
                  <w:tcBorders>
                    <w:tl2br w:val="nil"/>
                    <w:tr2bl w:val="nil"/>
                  </w:tcBorders>
                  <w:vAlign w:val="center"/>
                </w:tcPr>
                <w:p w14:paraId="13B92B1B">
                  <w:pPr>
                    <w:pStyle w:val="120"/>
                    <w:keepNext w:val="0"/>
                    <w:keepLines w:val="0"/>
                    <w:pageBreakBefore w:val="0"/>
                    <w:framePr w:hSpace="0" w:wrap="auto" w:vAnchor="margin" w:hAnchor="text" w:xAlign="left" w:yAlign="inline"/>
                    <w:widowControl w:val="0"/>
                    <w:suppressLineNumbers w:val="0"/>
                    <w:kinsoku/>
                    <w:wordWrap/>
                    <w:overflowPunct/>
                    <w:topLinePunct w:val="0"/>
                    <w:bidi w:val="0"/>
                    <w:adjustRightInd w:val="0"/>
                    <w:snapToGrid w:val="0"/>
                    <w:spacing w:before="0" w:beforeAutospacing="0" w:after="0" w:afterAutospacing="0" w:line="276" w:lineRule="auto"/>
                    <w:ind w:left="0" w:right="0"/>
                    <w:textAlignment w:val="auto"/>
                    <w:rPr>
                      <w:rFonts w:hint="default" w:eastAsia="宋体"/>
                      <w:color w:val="auto"/>
                      <w:sz w:val="21"/>
                      <w:szCs w:val="21"/>
                      <w:highlight w:val="none"/>
                      <w:lang w:val="en-US" w:eastAsia="zh-CN"/>
                    </w:rPr>
                  </w:pPr>
                  <w:r>
                    <w:rPr>
                      <w:rFonts w:hint="eastAsia"/>
                      <w:color w:val="auto"/>
                      <w:sz w:val="21"/>
                      <w:szCs w:val="21"/>
                      <w:highlight w:val="none"/>
                      <w:lang w:val="en-US" w:eastAsia="zh-CN"/>
                    </w:rPr>
                    <w:t>112</w:t>
                  </w:r>
                </w:p>
              </w:tc>
            </w:tr>
          </w:tbl>
          <w:p w14:paraId="2B367301">
            <w:pPr>
              <w:pStyle w:val="122"/>
              <w:keepNext w:val="0"/>
              <w:keepLines w:val="0"/>
              <w:pageBreakBefore w:val="0"/>
              <w:widowControl w:val="0"/>
              <w:suppressLineNumbers w:val="0"/>
              <w:kinsoku/>
              <w:wordWrap/>
              <w:overflowPunct/>
              <w:topLinePunct w:val="0"/>
              <w:autoSpaceDE/>
              <w:autoSpaceDN/>
              <w:bidi w:val="0"/>
              <w:adjustRightInd/>
              <w:snapToGrid/>
              <w:spacing w:before="60" w:beforeAutospacing="0" w:after="0" w:afterAutospacing="0"/>
              <w:ind w:left="0" w:right="0"/>
              <w:textAlignment w:val="auto"/>
              <w:rPr>
                <w:rFonts w:hint="default"/>
                <w:highlight w:val="none"/>
              </w:rPr>
            </w:pPr>
            <w:r>
              <w:rPr>
                <w:rFonts w:hint="eastAsia" w:cs="宋体"/>
                <w:b w:val="0"/>
                <w:bCs w:val="0"/>
                <w:kern w:val="2"/>
                <w:sz w:val="24"/>
                <w:szCs w:val="20"/>
                <w:highlight w:val="none"/>
              </w:rPr>
              <w:t>参照《养猪场恶臭影响量化分析及控制对策研究》（孙艳青等，2010中国环境科学学会学术年会论文集（第三卷）</w:t>
            </w:r>
            <w:r>
              <w:rPr>
                <w:rFonts w:hint="eastAsia" w:cs="宋体"/>
                <w:b w:val="0"/>
                <w:bCs w:val="0"/>
                <w:kern w:val="2"/>
                <w:sz w:val="24"/>
                <w:szCs w:val="20"/>
                <w:highlight w:val="none"/>
                <w:lang w:eastAsia="zh-CN"/>
              </w:rPr>
              <w:t>）</w:t>
            </w:r>
            <w:r>
              <w:rPr>
                <w:rFonts w:hint="eastAsia" w:cs="宋体"/>
                <w:b w:val="0"/>
                <w:bCs w:val="0"/>
                <w:kern w:val="2"/>
                <w:sz w:val="24"/>
                <w:szCs w:val="20"/>
                <w:highlight w:val="none"/>
              </w:rPr>
              <w:t>中每头中猪每天NH</w:t>
            </w:r>
            <w:r>
              <w:rPr>
                <w:rFonts w:hint="eastAsia" w:cs="宋体"/>
                <w:b w:val="0"/>
                <w:bCs w:val="0"/>
                <w:kern w:val="2"/>
                <w:sz w:val="24"/>
                <w:szCs w:val="20"/>
                <w:highlight w:val="none"/>
                <w:vertAlign w:val="subscript"/>
              </w:rPr>
              <w:t>3</w:t>
            </w:r>
            <w:r>
              <w:rPr>
                <w:rFonts w:hint="eastAsia" w:cs="宋体"/>
                <w:b w:val="0"/>
                <w:bCs w:val="0"/>
                <w:kern w:val="2"/>
                <w:sz w:val="24"/>
                <w:szCs w:val="20"/>
                <w:highlight w:val="none"/>
              </w:rPr>
              <w:t>、H</w:t>
            </w:r>
            <w:r>
              <w:rPr>
                <w:rFonts w:hint="eastAsia" w:cs="宋体"/>
                <w:b w:val="0"/>
                <w:bCs w:val="0"/>
                <w:kern w:val="2"/>
                <w:sz w:val="24"/>
                <w:szCs w:val="20"/>
                <w:highlight w:val="none"/>
                <w:vertAlign w:val="subscript"/>
              </w:rPr>
              <w:t>2</w:t>
            </w:r>
            <w:r>
              <w:rPr>
                <w:rFonts w:hint="eastAsia" w:cs="宋体"/>
                <w:b w:val="0"/>
                <w:bCs w:val="0"/>
                <w:kern w:val="2"/>
                <w:sz w:val="24"/>
                <w:szCs w:val="20"/>
                <w:highlight w:val="none"/>
              </w:rPr>
              <w:t>S排放量的统计</w:t>
            </w:r>
            <w:r>
              <w:rPr>
                <w:rFonts w:hint="eastAsia" w:cs="宋体"/>
                <w:b w:val="0"/>
                <w:bCs w:val="0"/>
                <w:kern w:val="2"/>
                <w:sz w:val="24"/>
                <w:szCs w:val="24"/>
                <w:highlight w:val="none"/>
              </w:rPr>
              <w:t>数据，NH</w:t>
            </w:r>
            <w:r>
              <w:rPr>
                <w:rFonts w:hint="eastAsia" w:cs="宋体"/>
                <w:b w:val="0"/>
                <w:bCs w:val="0"/>
                <w:kern w:val="2"/>
                <w:sz w:val="24"/>
                <w:szCs w:val="24"/>
                <w:highlight w:val="none"/>
                <w:vertAlign w:val="subscript"/>
              </w:rPr>
              <w:t>3</w:t>
            </w:r>
            <w:r>
              <w:rPr>
                <w:rFonts w:hint="eastAsia" w:cs="宋体"/>
                <w:b w:val="0"/>
                <w:bCs w:val="0"/>
                <w:kern w:val="2"/>
                <w:sz w:val="24"/>
                <w:szCs w:val="24"/>
                <w:highlight w:val="none"/>
              </w:rPr>
              <w:t>、H</w:t>
            </w:r>
            <w:r>
              <w:rPr>
                <w:rFonts w:hint="eastAsia" w:cs="宋体"/>
                <w:b w:val="0"/>
                <w:bCs w:val="0"/>
                <w:kern w:val="2"/>
                <w:sz w:val="24"/>
                <w:szCs w:val="24"/>
                <w:highlight w:val="none"/>
                <w:vertAlign w:val="subscript"/>
              </w:rPr>
              <w:t>2</w:t>
            </w:r>
            <w:r>
              <w:rPr>
                <w:rFonts w:hint="eastAsia" w:cs="宋体"/>
                <w:b w:val="0"/>
                <w:bCs w:val="0"/>
                <w:kern w:val="2"/>
                <w:sz w:val="24"/>
                <w:szCs w:val="24"/>
                <w:highlight w:val="none"/>
              </w:rPr>
              <w:t>S排放量分别为1.9g/d和0.3g/d</w:t>
            </w:r>
            <w:r>
              <w:rPr>
                <w:rFonts w:hint="eastAsia"/>
                <w:b w:val="0"/>
                <w:bCs w:val="0"/>
                <w:sz w:val="24"/>
                <w:szCs w:val="24"/>
                <w:highlight w:val="none"/>
              </w:rPr>
              <w:t>，</w:t>
            </w:r>
            <w:r>
              <w:rPr>
                <w:rFonts w:hint="eastAsia"/>
                <w:b w:val="0"/>
                <w:bCs w:val="0"/>
                <w:sz w:val="24"/>
                <w:szCs w:val="24"/>
                <w:highlight w:val="none"/>
                <w:lang w:val="en-US" w:eastAsia="zh-CN"/>
              </w:rPr>
              <w:t>按</w:t>
            </w:r>
            <w:r>
              <w:rPr>
                <w:rFonts w:hint="default"/>
                <w:b w:val="0"/>
                <w:bCs w:val="0"/>
                <w:color w:val="auto"/>
                <w:sz w:val="24"/>
                <w:szCs w:val="24"/>
                <w:highlight w:val="none"/>
              </w:rPr>
              <w:t>1头猪≈1500只小鼠</w:t>
            </w:r>
            <w:r>
              <w:rPr>
                <w:rFonts w:hint="eastAsia"/>
                <w:b w:val="0"/>
                <w:bCs w:val="0"/>
                <w:color w:val="auto"/>
                <w:sz w:val="24"/>
                <w:szCs w:val="24"/>
                <w:highlight w:val="none"/>
                <w:lang w:val="en-US" w:eastAsia="zh-CN"/>
              </w:rPr>
              <w:t>来折算，则小鼠</w:t>
            </w:r>
            <w:r>
              <w:rPr>
                <w:rFonts w:hint="eastAsia" w:cs="宋体"/>
                <w:b w:val="0"/>
                <w:bCs w:val="0"/>
                <w:kern w:val="2"/>
                <w:sz w:val="24"/>
                <w:szCs w:val="24"/>
                <w:highlight w:val="none"/>
              </w:rPr>
              <w:t>NH</w:t>
            </w:r>
            <w:r>
              <w:rPr>
                <w:rFonts w:hint="eastAsia" w:cs="宋体"/>
                <w:b w:val="0"/>
                <w:bCs w:val="0"/>
                <w:kern w:val="2"/>
                <w:sz w:val="24"/>
                <w:szCs w:val="24"/>
                <w:highlight w:val="none"/>
                <w:vertAlign w:val="subscript"/>
              </w:rPr>
              <w:t>3</w:t>
            </w:r>
            <w:r>
              <w:rPr>
                <w:rFonts w:hint="eastAsia" w:cs="宋体"/>
                <w:b w:val="0"/>
                <w:bCs w:val="0"/>
                <w:kern w:val="2"/>
                <w:sz w:val="24"/>
                <w:szCs w:val="24"/>
                <w:highlight w:val="none"/>
              </w:rPr>
              <w:t>、H</w:t>
            </w:r>
            <w:r>
              <w:rPr>
                <w:rFonts w:hint="eastAsia" w:cs="宋体"/>
                <w:b w:val="0"/>
                <w:bCs w:val="0"/>
                <w:kern w:val="2"/>
                <w:sz w:val="24"/>
                <w:szCs w:val="24"/>
                <w:highlight w:val="none"/>
                <w:vertAlign w:val="subscript"/>
              </w:rPr>
              <w:t>2</w:t>
            </w:r>
            <w:r>
              <w:rPr>
                <w:rFonts w:hint="eastAsia" w:cs="宋体"/>
                <w:b w:val="0"/>
                <w:bCs w:val="0"/>
                <w:kern w:val="2"/>
                <w:sz w:val="24"/>
                <w:szCs w:val="24"/>
                <w:highlight w:val="none"/>
              </w:rPr>
              <w:t>S排放量分别为</w:t>
            </w:r>
            <w:r>
              <w:rPr>
                <w:rFonts w:hint="eastAsia" w:cs="宋体"/>
                <w:b w:val="0"/>
                <w:bCs w:val="0"/>
                <w:kern w:val="2"/>
                <w:sz w:val="24"/>
                <w:szCs w:val="24"/>
                <w:highlight w:val="none"/>
                <w:lang w:val="en-US" w:eastAsia="zh-CN"/>
              </w:rPr>
              <w:t>0</w:t>
            </w:r>
            <w:r>
              <w:rPr>
                <w:rFonts w:hint="eastAsia" w:cs="宋体"/>
                <w:b w:val="0"/>
                <w:bCs w:val="0"/>
                <w:kern w:val="2"/>
                <w:sz w:val="24"/>
                <w:szCs w:val="24"/>
                <w:highlight w:val="none"/>
              </w:rPr>
              <w:t>.</w:t>
            </w:r>
            <w:r>
              <w:rPr>
                <w:rFonts w:hint="eastAsia" w:cs="宋体"/>
                <w:b w:val="0"/>
                <w:bCs w:val="0"/>
                <w:kern w:val="2"/>
                <w:sz w:val="24"/>
                <w:szCs w:val="24"/>
                <w:highlight w:val="none"/>
                <w:lang w:val="en-US" w:eastAsia="zh-CN"/>
              </w:rPr>
              <w:t>0013</w:t>
            </w:r>
            <w:r>
              <w:rPr>
                <w:rFonts w:hint="eastAsia" w:cs="宋体"/>
                <w:b w:val="0"/>
                <w:bCs w:val="0"/>
                <w:kern w:val="2"/>
                <w:sz w:val="24"/>
                <w:szCs w:val="24"/>
                <w:highlight w:val="none"/>
              </w:rPr>
              <w:t>g/d和0.</w:t>
            </w:r>
            <w:r>
              <w:rPr>
                <w:rFonts w:hint="eastAsia" w:cs="宋体"/>
                <w:b w:val="0"/>
                <w:bCs w:val="0"/>
                <w:kern w:val="2"/>
                <w:sz w:val="24"/>
                <w:szCs w:val="24"/>
                <w:highlight w:val="none"/>
                <w:lang w:val="en-US" w:eastAsia="zh-CN"/>
              </w:rPr>
              <w:t>0002</w:t>
            </w:r>
            <w:r>
              <w:rPr>
                <w:rFonts w:hint="eastAsia" w:cs="宋体"/>
                <w:b w:val="0"/>
                <w:bCs w:val="0"/>
                <w:kern w:val="2"/>
                <w:sz w:val="24"/>
                <w:szCs w:val="24"/>
                <w:highlight w:val="none"/>
              </w:rPr>
              <w:t>g/d</w:t>
            </w:r>
            <w:r>
              <w:rPr>
                <w:rFonts w:hint="eastAsia" w:cs="宋体"/>
                <w:b w:val="0"/>
                <w:bCs w:val="0"/>
                <w:kern w:val="2"/>
                <w:sz w:val="24"/>
                <w:szCs w:val="24"/>
                <w:highlight w:val="none"/>
                <w:lang w:eastAsia="zh-CN"/>
              </w:rPr>
              <w:t>。</w:t>
            </w:r>
            <w:r>
              <w:rPr>
                <w:rFonts w:hint="eastAsia" w:cs="宋体"/>
                <w:b w:val="0"/>
                <w:bCs w:val="0"/>
                <w:kern w:val="2"/>
                <w:sz w:val="24"/>
                <w:szCs w:val="20"/>
                <w:highlight w:val="none"/>
              </w:rPr>
              <w:t>饲养时间按365d、24h全天饲养计</w:t>
            </w:r>
            <w:r>
              <w:rPr>
                <w:rFonts w:hint="eastAsia" w:cs="宋体"/>
                <w:b w:val="0"/>
                <w:bCs w:val="0"/>
                <w:kern w:val="2"/>
                <w:sz w:val="24"/>
                <w:szCs w:val="20"/>
                <w:highlight w:val="none"/>
                <w:lang w:eastAsia="zh-CN"/>
              </w:rPr>
              <w:t>，</w:t>
            </w:r>
            <w:r>
              <w:rPr>
                <w:rFonts w:hint="eastAsia"/>
                <w:highlight w:val="none"/>
              </w:rPr>
              <w:t>结合</w:t>
            </w:r>
            <w:r>
              <w:rPr>
                <w:rFonts w:hint="default"/>
                <w:highlight w:val="none"/>
              </w:rPr>
              <w:t>废气</w:t>
            </w:r>
            <w:r>
              <w:rPr>
                <w:rFonts w:hint="eastAsia"/>
                <w:highlight w:val="none"/>
              </w:rPr>
              <w:t>设计</w:t>
            </w:r>
            <w:r>
              <w:rPr>
                <w:rFonts w:hint="default"/>
                <w:highlight w:val="none"/>
              </w:rPr>
              <w:t>方案，动物饲养</w:t>
            </w:r>
            <w:r>
              <w:rPr>
                <w:rFonts w:hint="eastAsia"/>
                <w:highlight w:val="none"/>
              </w:rPr>
              <w:t>区域</w:t>
            </w:r>
            <w:r>
              <w:rPr>
                <w:rFonts w:hint="default"/>
                <w:highlight w:val="none"/>
              </w:rPr>
              <w:t>废气</w:t>
            </w:r>
            <w:r>
              <w:rPr>
                <w:rFonts w:hint="eastAsia"/>
                <w:highlight w:val="none"/>
              </w:rPr>
              <w:t>源强</w:t>
            </w:r>
            <w:r>
              <w:rPr>
                <w:rFonts w:hint="default"/>
                <w:highlight w:val="none"/>
              </w:rPr>
              <w:t>核算</w:t>
            </w:r>
            <w:r>
              <w:rPr>
                <w:rFonts w:hint="eastAsia"/>
                <w:highlight w:val="none"/>
              </w:rPr>
              <w:t>见</w:t>
            </w:r>
            <w:r>
              <w:rPr>
                <w:rFonts w:hint="default"/>
                <w:highlight w:val="none"/>
              </w:rPr>
              <w:t>表</w:t>
            </w:r>
            <w:r>
              <w:rPr>
                <w:rFonts w:hint="eastAsia"/>
                <w:highlight w:val="none"/>
                <w:lang w:val="en-US" w:eastAsia="zh-CN"/>
              </w:rPr>
              <w:t>7</w:t>
            </w:r>
            <w:r>
              <w:rPr>
                <w:rFonts w:hint="eastAsia"/>
                <w:highlight w:val="none"/>
              </w:rPr>
              <w:t>-</w:t>
            </w:r>
            <w:r>
              <w:rPr>
                <w:rFonts w:hint="eastAsia"/>
                <w:highlight w:val="none"/>
                <w:lang w:val="en-US" w:eastAsia="zh-CN"/>
              </w:rPr>
              <w:t>12</w:t>
            </w:r>
            <w:r>
              <w:rPr>
                <w:rFonts w:hint="eastAsia"/>
                <w:highlight w:val="none"/>
              </w:rPr>
              <w:t>。</w:t>
            </w:r>
          </w:p>
          <w:p w14:paraId="31F40228">
            <w:pPr>
              <w:pStyle w:val="128"/>
              <w:keepNext w:val="0"/>
              <w:keepLines w:val="0"/>
              <w:pageBreakBefore w:val="0"/>
              <w:widowControl w:val="0"/>
              <w:suppressLineNumbers w:val="0"/>
              <w:kinsoku/>
              <w:wordWrap/>
              <w:overflowPunct/>
              <w:topLinePunct w:val="0"/>
              <w:autoSpaceDE/>
              <w:autoSpaceDN/>
              <w:bidi w:val="0"/>
              <w:adjustRightInd w:val="0"/>
              <w:snapToGrid w:val="0"/>
              <w:spacing w:before="0" w:beforeLines="0" w:beforeAutospacing="0" w:after="0" w:afterAutospacing="0" w:line="360" w:lineRule="auto"/>
              <w:ind w:left="0" w:right="0"/>
              <w:textAlignment w:val="auto"/>
              <w:rPr>
                <w:rFonts w:hint="default"/>
                <w:color w:val="auto"/>
                <w:highlight w:val="none"/>
              </w:rPr>
            </w:pPr>
            <w:r>
              <w:rPr>
                <w:rFonts w:hint="eastAsia"/>
                <w:color w:val="auto"/>
                <w:highlight w:val="none"/>
              </w:rPr>
              <w:t>表</w:t>
            </w:r>
            <w:r>
              <w:rPr>
                <w:rFonts w:hint="eastAsia"/>
                <w:color w:val="auto"/>
                <w:highlight w:val="none"/>
                <w:lang w:val="en-US" w:eastAsia="zh-CN"/>
              </w:rPr>
              <w:t>7</w:t>
            </w:r>
            <w:r>
              <w:rPr>
                <w:rFonts w:hint="eastAsia"/>
                <w:color w:val="auto"/>
                <w:highlight w:val="none"/>
              </w:rPr>
              <w:t>-</w:t>
            </w:r>
            <w:r>
              <w:rPr>
                <w:rFonts w:hint="eastAsia"/>
                <w:color w:val="auto"/>
                <w:highlight w:val="none"/>
                <w:lang w:val="en-US" w:eastAsia="zh-CN"/>
              </w:rPr>
              <w:t>12</w:t>
            </w:r>
            <w:r>
              <w:rPr>
                <w:rFonts w:hint="default"/>
                <w:color w:val="auto"/>
                <w:highlight w:val="none"/>
              </w:rPr>
              <w:t xml:space="preserve"> </w:t>
            </w:r>
            <w:r>
              <w:rPr>
                <w:rFonts w:hint="default"/>
                <w:highlight w:val="none"/>
              </w:rPr>
              <w:t>动物饲养</w:t>
            </w:r>
            <w:r>
              <w:rPr>
                <w:rFonts w:hint="eastAsia"/>
                <w:highlight w:val="none"/>
              </w:rPr>
              <w:t>区域</w:t>
            </w:r>
            <w:r>
              <w:rPr>
                <w:rFonts w:hint="eastAsia"/>
                <w:color w:val="auto"/>
                <w:highlight w:val="none"/>
              </w:rPr>
              <w:t>恶臭</w:t>
            </w:r>
            <w:r>
              <w:rPr>
                <w:rFonts w:hint="default"/>
                <w:color w:val="auto"/>
                <w:highlight w:val="none"/>
              </w:rPr>
              <w:t>气体</w:t>
            </w:r>
            <w:r>
              <w:rPr>
                <w:rFonts w:hint="eastAsia"/>
                <w:color w:val="auto"/>
                <w:highlight w:val="none"/>
              </w:rPr>
              <w:t>废气</w:t>
            </w:r>
            <w:r>
              <w:rPr>
                <w:rFonts w:hint="default"/>
                <w:color w:val="auto"/>
                <w:highlight w:val="none"/>
              </w:rPr>
              <w:t>源强核算结果</w:t>
            </w:r>
          </w:p>
          <w:tbl>
            <w:tblPr>
              <w:tblStyle w:val="32"/>
              <w:tblW w:w="5000" w:type="pct"/>
              <w:tblInd w:w="-5"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
            <w:tblGrid>
              <w:gridCol w:w="963"/>
              <w:gridCol w:w="1758"/>
              <w:gridCol w:w="1145"/>
              <w:gridCol w:w="1176"/>
              <w:gridCol w:w="1250"/>
              <w:gridCol w:w="899"/>
              <w:gridCol w:w="995"/>
            </w:tblGrid>
            <w:tr w14:paraId="394B545A">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975" w:hRule="atLeast"/>
              </w:trPr>
              <w:tc>
                <w:tcPr>
                  <w:tcW w:w="1661" w:type="pct"/>
                  <w:gridSpan w:val="2"/>
                  <w:tcBorders>
                    <w:tl2br w:val="nil"/>
                    <w:tr2bl w:val="nil"/>
                  </w:tcBorders>
                  <w:vAlign w:val="center"/>
                </w:tcPr>
                <w:p w14:paraId="2C8E3498">
                  <w:pPr>
                    <w:pStyle w:val="120"/>
                    <w:keepNext w:val="0"/>
                    <w:keepLines w:val="0"/>
                    <w:framePr w:hSpace="0" w:wrap="auto" w:vAnchor="margin" w:hAnchor="text" w:xAlign="left" w:yAlign="inline"/>
                    <w:suppressLineNumbers w:val="0"/>
                    <w:spacing w:before="0" w:beforeAutospacing="0" w:after="0" w:afterAutospacing="0"/>
                    <w:ind w:left="0" w:right="0"/>
                    <w:rPr>
                      <w:rFonts w:hint="default"/>
                      <w:b w:val="0"/>
                      <w:bCs w:val="0"/>
                      <w:color w:val="auto"/>
                      <w:sz w:val="21"/>
                      <w:szCs w:val="21"/>
                      <w:highlight w:val="none"/>
                    </w:rPr>
                  </w:pPr>
                  <w:r>
                    <w:rPr>
                      <w:rFonts w:hint="eastAsia"/>
                      <w:b w:val="0"/>
                      <w:bCs w:val="0"/>
                      <w:color w:val="auto"/>
                      <w:sz w:val="21"/>
                      <w:szCs w:val="21"/>
                      <w:highlight w:val="none"/>
                    </w:rPr>
                    <w:t>收集</w:t>
                  </w:r>
                  <w:r>
                    <w:rPr>
                      <w:rFonts w:hint="default"/>
                      <w:b w:val="0"/>
                      <w:bCs w:val="0"/>
                      <w:color w:val="auto"/>
                      <w:sz w:val="21"/>
                      <w:szCs w:val="21"/>
                      <w:highlight w:val="none"/>
                    </w:rPr>
                    <w:t>区域</w:t>
                  </w:r>
                </w:p>
              </w:tc>
              <w:tc>
                <w:tcPr>
                  <w:tcW w:w="699" w:type="pct"/>
                  <w:tcBorders>
                    <w:tl2br w:val="nil"/>
                    <w:tr2bl w:val="nil"/>
                  </w:tcBorders>
                  <w:vAlign w:val="center"/>
                </w:tcPr>
                <w:p w14:paraId="6D16FFA1">
                  <w:pPr>
                    <w:pStyle w:val="120"/>
                    <w:keepNext w:val="0"/>
                    <w:keepLines w:val="0"/>
                    <w:framePr w:hSpace="0" w:wrap="auto" w:vAnchor="margin" w:hAnchor="text" w:xAlign="left" w:yAlign="inline"/>
                    <w:suppressLineNumbers w:val="0"/>
                    <w:spacing w:before="0" w:beforeAutospacing="0" w:after="0" w:afterAutospacing="0"/>
                    <w:ind w:left="0" w:right="0"/>
                    <w:rPr>
                      <w:rFonts w:hint="default"/>
                      <w:b w:val="0"/>
                      <w:bCs w:val="0"/>
                      <w:color w:val="auto"/>
                      <w:sz w:val="21"/>
                      <w:szCs w:val="21"/>
                      <w:highlight w:val="none"/>
                    </w:rPr>
                  </w:pPr>
                  <w:r>
                    <w:rPr>
                      <w:rFonts w:hint="eastAsia"/>
                      <w:b w:val="0"/>
                      <w:bCs w:val="0"/>
                      <w:color w:val="auto"/>
                      <w:sz w:val="21"/>
                      <w:szCs w:val="21"/>
                      <w:highlight w:val="none"/>
                    </w:rPr>
                    <w:t>折算成小鼠（只）*</w:t>
                  </w:r>
                </w:p>
              </w:tc>
              <w:tc>
                <w:tcPr>
                  <w:tcW w:w="718" w:type="pct"/>
                  <w:tcBorders>
                    <w:tl2br w:val="nil"/>
                    <w:tr2bl w:val="nil"/>
                  </w:tcBorders>
                  <w:vAlign w:val="center"/>
                </w:tcPr>
                <w:p w14:paraId="34371473">
                  <w:pPr>
                    <w:pStyle w:val="120"/>
                    <w:keepNext w:val="0"/>
                    <w:keepLines w:val="0"/>
                    <w:framePr w:hSpace="0" w:wrap="auto" w:vAnchor="margin" w:hAnchor="text" w:xAlign="left" w:yAlign="inline"/>
                    <w:suppressLineNumbers w:val="0"/>
                    <w:spacing w:before="0" w:beforeAutospacing="0" w:after="0" w:afterAutospacing="0"/>
                    <w:ind w:left="0" w:right="0"/>
                    <w:rPr>
                      <w:rFonts w:hint="default"/>
                      <w:b w:val="0"/>
                      <w:bCs w:val="0"/>
                      <w:color w:val="auto"/>
                      <w:sz w:val="21"/>
                      <w:szCs w:val="21"/>
                      <w:highlight w:val="none"/>
                    </w:rPr>
                  </w:pPr>
                  <w:r>
                    <w:rPr>
                      <w:rFonts w:hint="eastAsia"/>
                      <w:b w:val="0"/>
                      <w:bCs w:val="0"/>
                      <w:color w:val="auto"/>
                      <w:sz w:val="21"/>
                      <w:szCs w:val="21"/>
                      <w:highlight w:val="none"/>
                    </w:rPr>
                    <w:t>氨气</w:t>
                  </w:r>
                  <w:r>
                    <w:rPr>
                      <w:rFonts w:hint="default"/>
                      <w:b w:val="0"/>
                      <w:bCs w:val="0"/>
                      <w:color w:val="auto"/>
                      <w:sz w:val="21"/>
                      <w:szCs w:val="21"/>
                      <w:highlight w:val="none"/>
                    </w:rPr>
                    <w:t>产污系数g/</w:t>
                  </w:r>
                  <w:r>
                    <w:rPr>
                      <w:rFonts w:hint="eastAsia"/>
                      <w:b w:val="0"/>
                      <w:bCs w:val="0"/>
                      <w:color w:val="auto"/>
                      <w:sz w:val="21"/>
                      <w:szCs w:val="21"/>
                      <w:highlight w:val="none"/>
                    </w:rPr>
                    <w:t>（只</w:t>
                  </w:r>
                  <w:r>
                    <w:rPr>
                      <w:rFonts w:hint="default"/>
                      <w:b w:val="0"/>
                      <w:bCs w:val="0"/>
                      <w:color w:val="auto"/>
                      <w:sz w:val="21"/>
                      <w:szCs w:val="21"/>
                      <w:highlight w:val="none"/>
                    </w:rPr>
                    <w:t>·</w:t>
                  </w:r>
                  <w:r>
                    <w:rPr>
                      <w:rFonts w:hint="eastAsia"/>
                      <w:b w:val="0"/>
                      <w:bCs w:val="0"/>
                      <w:color w:val="auto"/>
                      <w:sz w:val="21"/>
                      <w:szCs w:val="21"/>
                      <w:highlight w:val="none"/>
                      <w:lang w:val="en-US" w:eastAsia="zh-CN"/>
                    </w:rPr>
                    <w:t>天</w:t>
                  </w:r>
                  <w:r>
                    <w:rPr>
                      <w:rFonts w:hint="eastAsia"/>
                      <w:b w:val="0"/>
                      <w:bCs w:val="0"/>
                      <w:color w:val="auto"/>
                      <w:sz w:val="21"/>
                      <w:szCs w:val="21"/>
                      <w:highlight w:val="none"/>
                    </w:rPr>
                    <w:t>）</w:t>
                  </w:r>
                </w:p>
              </w:tc>
              <w:tc>
                <w:tcPr>
                  <w:tcW w:w="763" w:type="pct"/>
                  <w:tcBorders>
                    <w:tl2br w:val="nil"/>
                    <w:tr2bl w:val="nil"/>
                  </w:tcBorders>
                  <w:vAlign w:val="center"/>
                </w:tcPr>
                <w:p w14:paraId="19C2EFAD">
                  <w:pPr>
                    <w:pStyle w:val="120"/>
                    <w:keepNext w:val="0"/>
                    <w:keepLines w:val="0"/>
                    <w:framePr w:hSpace="0" w:wrap="auto" w:vAnchor="margin" w:hAnchor="text" w:xAlign="left" w:yAlign="inline"/>
                    <w:suppressLineNumbers w:val="0"/>
                    <w:spacing w:before="0" w:beforeAutospacing="0" w:after="0" w:afterAutospacing="0"/>
                    <w:ind w:left="0" w:right="0"/>
                    <w:rPr>
                      <w:rFonts w:hint="default"/>
                      <w:b w:val="0"/>
                      <w:bCs w:val="0"/>
                      <w:color w:val="auto"/>
                      <w:sz w:val="21"/>
                      <w:szCs w:val="21"/>
                      <w:highlight w:val="none"/>
                    </w:rPr>
                  </w:pPr>
                  <w:r>
                    <w:rPr>
                      <w:rFonts w:hint="eastAsia"/>
                      <w:b w:val="0"/>
                      <w:bCs w:val="0"/>
                      <w:color w:val="auto"/>
                      <w:sz w:val="21"/>
                      <w:szCs w:val="21"/>
                      <w:highlight w:val="none"/>
                    </w:rPr>
                    <w:t>硫化氢产污</w:t>
                  </w:r>
                  <w:r>
                    <w:rPr>
                      <w:rFonts w:hint="default"/>
                      <w:b w:val="0"/>
                      <w:bCs w:val="0"/>
                      <w:color w:val="auto"/>
                      <w:sz w:val="21"/>
                      <w:szCs w:val="21"/>
                      <w:highlight w:val="none"/>
                    </w:rPr>
                    <w:t>系数g/</w:t>
                  </w:r>
                  <w:r>
                    <w:rPr>
                      <w:rFonts w:hint="eastAsia"/>
                      <w:b w:val="0"/>
                      <w:bCs w:val="0"/>
                      <w:color w:val="auto"/>
                      <w:sz w:val="21"/>
                      <w:szCs w:val="21"/>
                      <w:highlight w:val="none"/>
                    </w:rPr>
                    <w:t>（只</w:t>
                  </w:r>
                  <w:r>
                    <w:rPr>
                      <w:rFonts w:hint="default"/>
                      <w:b w:val="0"/>
                      <w:bCs w:val="0"/>
                      <w:color w:val="auto"/>
                      <w:sz w:val="21"/>
                      <w:szCs w:val="21"/>
                      <w:highlight w:val="none"/>
                    </w:rPr>
                    <w:t>·</w:t>
                  </w:r>
                  <w:r>
                    <w:rPr>
                      <w:rFonts w:hint="eastAsia"/>
                      <w:b w:val="0"/>
                      <w:bCs w:val="0"/>
                      <w:color w:val="auto"/>
                      <w:sz w:val="21"/>
                      <w:szCs w:val="21"/>
                      <w:highlight w:val="none"/>
                      <w:lang w:val="en-US" w:eastAsia="zh-CN"/>
                    </w:rPr>
                    <w:t>天</w:t>
                  </w:r>
                  <w:r>
                    <w:rPr>
                      <w:rFonts w:hint="eastAsia"/>
                      <w:b w:val="0"/>
                      <w:bCs w:val="0"/>
                      <w:color w:val="auto"/>
                      <w:sz w:val="21"/>
                      <w:szCs w:val="21"/>
                      <w:highlight w:val="none"/>
                    </w:rPr>
                    <w:t>）</w:t>
                  </w:r>
                </w:p>
              </w:tc>
              <w:tc>
                <w:tcPr>
                  <w:tcW w:w="549" w:type="pct"/>
                  <w:tcBorders>
                    <w:tl2br w:val="nil"/>
                    <w:tr2bl w:val="nil"/>
                  </w:tcBorders>
                  <w:vAlign w:val="center"/>
                </w:tcPr>
                <w:p w14:paraId="72362F98">
                  <w:pPr>
                    <w:pStyle w:val="120"/>
                    <w:keepNext w:val="0"/>
                    <w:keepLines w:val="0"/>
                    <w:framePr w:hSpace="0" w:wrap="auto" w:vAnchor="margin" w:hAnchor="text" w:xAlign="left" w:yAlign="inline"/>
                    <w:suppressLineNumbers w:val="0"/>
                    <w:spacing w:before="0" w:beforeAutospacing="0" w:after="0" w:afterAutospacing="0"/>
                    <w:ind w:left="0" w:right="0"/>
                    <w:rPr>
                      <w:rFonts w:hint="default"/>
                      <w:b w:val="0"/>
                      <w:bCs w:val="0"/>
                      <w:color w:val="auto"/>
                      <w:sz w:val="21"/>
                      <w:szCs w:val="21"/>
                      <w:highlight w:val="none"/>
                    </w:rPr>
                  </w:pPr>
                  <w:r>
                    <w:rPr>
                      <w:rFonts w:hint="eastAsia"/>
                      <w:b w:val="0"/>
                      <w:bCs w:val="0"/>
                      <w:color w:val="auto"/>
                      <w:sz w:val="21"/>
                      <w:szCs w:val="21"/>
                      <w:highlight w:val="none"/>
                    </w:rPr>
                    <w:t>氨气</w:t>
                  </w:r>
                </w:p>
                <w:p w14:paraId="12CA5D7B">
                  <w:pPr>
                    <w:pStyle w:val="120"/>
                    <w:keepNext w:val="0"/>
                    <w:keepLines w:val="0"/>
                    <w:framePr w:hSpace="0" w:wrap="auto" w:vAnchor="margin" w:hAnchor="text" w:xAlign="left" w:yAlign="inline"/>
                    <w:suppressLineNumbers w:val="0"/>
                    <w:spacing w:before="0" w:beforeAutospacing="0" w:after="0" w:afterAutospacing="0"/>
                    <w:ind w:left="0" w:right="0"/>
                    <w:rPr>
                      <w:rFonts w:hint="default"/>
                      <w:b w:val="0"/>
                      <w:bCs w:val="0"/>
                      <w:color w:val="auto"/>
                      <w:sz w:val="21"/>
                      <w:szCs w:val="21"/>
                      <w:highlight w:val="none"/>
                    </w:rPr>
                  </w:pPr>
                  <w:r>
                    <w:rPr>
                      <w:rFonts w:hint="eastAsia"/>
                      <w:b w:val="0"/>
                      <w:bCs w:val="0"/>
                      <w:color w:val="auto"/>
                      <w:sz w:val="21"/>
                      <w:szCs w:val="21"/>
                      <w:highlight w:val="none"/>
                    </w:rPr>
                    <w:t>（t</w:t>
                  </w:r>
                  <w:r>
                    <w:rPr>
                      <w:rFonts w:hint="default"/>
                      <w:b w:val="0"/>
                      <w:bCs w:val="0"/>
                      <w:color w:val="auto"/>
                      <w:sz w:val="21"/>
                      <w:szCs w:val="21"/>
                      <w:highlight w:val="none"/>
                    </w:rPr>
                    <w:t>/a</w:t>
                  </w:r>
                  <w:r>
                    <w:rPr>
                      <w:rFonts w:hint="eastAsia"/>
                      <w:b w:val="0"/>
                      <w:bCs w:val="0"/>
                      <w:color w:val="auto"/>
                      <w:sz w:val="21"/>
                      <w:szCs w:val="21"/>
                      <w:highlight w:val="none"/>
                    </w:rPr>
                    <w:t>）</w:t>
                  </w:r>
                </w:p>
              </w:tc>
              <w:tc>
                <w:tcPr>
                  <w:tcW w:w="607" w:type="pct"/>
                  <w:tcBorders>
                    <w:tl2br w:val="nil"/>
                    <w:tr2bl w:val="nil"/>
                  </w:tcBorders>
                  <w:vAlign w:val="center"/>
                </w:tcPr>
                <w:p w14:paraId="7A8489DF">
                  <w:pPr>
                    <w:pStyle w:val="120"/>
                    <w:keepNext w:val="0"/>
                    <w:keepLines w:val="0"/>
                    <w:framePr w:hSpace="0" w:wrap="auto" w:vAnchor="margin" w:hAnchor="text" w:xAlign="left" w:yAlign="inline"/>
                    <w:suppressLineNumbers w:val="0"/>
                    <w:spacing w:before="0" w:beforeAutospacing="0" w:after="0" w:afterAutospacing="0"/>
                    <w:ind w:left="0" w:right="0"/>
                    <w:rPr>
                      <w:rFonts w:hint="default"/>
                      <w:b w:val="0"/>
                      <w:bCs w:val="0"/>
                      <w:color w:val="auto"/>
                      <w:sz w:val="21"/>
                      <w:szCs w:val="21"/>
                      <w:highlight w:val="none"/>
                    </w:rPr>
                  </w:pPr>
                  <w:r>
                    <w:rPr>
                      <w:rFonts w:hint="eastAsia"/>
                      <w:b w:val="0"/>
                      <w:bCs w:val="0"/>
                      <w:color w:val="auto"/>
                      <w:sz w:val="21"/>
                      <w:szCs w:val="21"/>
                      <w:highlight w:val="none"/>
                    </w:rPr>
                    <w:t>硫化氢</w:t>
                  </w:r>
                </w:p>
                <w:p w14:paraId="728F5968">
                  <w:pPr>
                    <w:pStyle w:val="120"/>
                    <w:keepNext w:val="0"/>
                    <w:keepLines w:val="0"/>
                    <w:framePr w:hSpace="0" w:wrap="auto" w:vAnchor="margin" w:hAnchor="text" w:xAlign="left" w:yAlign="inline"/>
                    <w:suppressLineNumbers w:val="0"/>
                    <w:spacing w:before="0" w:beforeAutospacing="0" w:after="0" w:afterAutospacing="0"/>
                    <w:ind w:left="0" w:right="0"/>
                    <w:rPr>
                      <w:rFonts w:hint="default"/>
                      <w:b w:val="0"/>
                      <w:bCs w:val="0"/>
                      <w:color w:val="auto"/>
                      <w:sz w:val="21"/>
                      <w:szCs w:val="21"/>
                      <w:highlight w:val="none"/>
                    </w:rPr>
                  </w:pPr>
                  <w:r>
                    <w:rPr>
                      <w:rFonts w:hint="eastAsia"/>
                      <w:b w:val="0"/>
                      <w:bCs w:val="0"/>
                      <w:color w:val="auto"/>
                      <w:sz w:val="21"/>
                      <w:szCs w:val="21"/>
                      <w:highlight w:val="none"/>
                    </w:rPr>
                    <w:t>（t</w:t>
                  </w:r>
                  <w:r>
                    <w:rPr>
                      <w:rFonts w:hint="default"/>
                      <w:b w:val="0"/>
                      <w:bCs w:val="0"/>
                      <w:color w:val="auto"/>
                      <w:sz w:val="21"/>
                      <w:szCs w:val="21"/>
                      <w:highlight w:val="none"/>
                    </w:rPr>
                    <w:t>/a</w:t>
                  </w:r>
                  <w:r>
                    <w:rPr>
                      <w:rFonts w:hint="eastAsia"/>
                      <w:b w:val="0"/>
                      <w:bCs w:val="0"/>
                      <w:color w:val="auto"/>
                      <w:sz w:val="21"/>
                      <w:szCs w:val="21"/>
                      <w:highlight w:val="none"/>
                    </w:rPr>
                    <w:t>）</w:t>
                  </w:r>
                </w:p>
              </w:tc>
            </w:tr>
            <w:tr w14:paraId="6AD6E8AA">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c>
                <w:tcPr>
                  <w:tcW w:w="1661" w:type="pct"/>
                  <w:gridSpan w:val="2"/>
                  <w:tcBorders>
                    <w:tl2br w:val="nil"/>
                    <w:tr2bl w:val="nil"/>
                  </w:tcBorders>
                  <w:vAlign w:val="center"/>
                </w:tcPr>
                <w:p w14:paraId="1DCC6BA7">
                  <w:pPr>
                    <w:pStyle w:val="120"/>
                    <w:keepNext w:val="0"/>
                    <w:keepLines w:val="0"/>
                    <w:framePr w:hSpace="0" w:wrap="auto" w:vAnchor="margin" w:hAnchor="text" w:xAlign="left" w:yAlign="inline"/>
                    <w:suppressLineNumbers w:val="0"/>
                    <w:spacing w:before="0" w:beforeAutospacing="0" w:after="0" w:afterAutospacing="0"/>
                    <w:ind w:left="0" w:right="0"/>
                    <w:rPr>
                      <w:rFonts w:hint="eastAsia" w:eastAsia="宋体"/>
                      <w:color w:val="auto"/>
                      <w:kern w:val="0"/>
                      <w:sz w:val="21"/>
                      <w:szCs w:val="21"/>
                      <w:highlight w:val="none"/>
                      <w:lang w:val="en-US" w:eastAsia="zh-CN"/>
                    </w:rPr>
                  </w:pPr>
                  <w:r>
                    <w:rPr>
                      <w:rFonts w:hint="eastAsia"/>
                      <w:color w:val="auto"/>
                      <w:sz w:val="21"/>
                      <w:szCs w:val="21"/>
                      <w:highlight w:val="none"/>
                      <w:lang w:val="en-US" w:eastAsia="zh-CN"/>
                    </w:rPr>
                    <w:t>一</w:t>
                  </w:r>
                  <w:r>
                    <w:rPr>
                      <w:rFonts w:hint="eastAsia"/>
                      <w:color w:val="auto"/>
                      <w:sz w:val="21"/>
                      <w:szCs w:val="21"/>
                      <w:highlight w:val="none"/>
                    </w:rPr>
                    <w:t>层饲养</w:t>
                  </w:r>
                  <w:r>
                    <w:rPr>
                      <w:rFonts w:hint="eastAsia"/>
                      <w:color w:val="auto"/>
                      <w:sz w:val="21"/>
                      <w:szCs w:val="21"/>
                      <w:highlight w:val="none"/>
                      <w:lang w:val="en-US" w:eastAsia="zh-CN"/>
                    </w:rPr>
                    <w:t>区域</w:t>
                  </w:r>
                </w:p>
              </w:tc>
              <w:tc>
                <w:tcPr>
                  <w:tcW w:w="699" w:type="pct"/>
                  <w:tcBorders>
                    <w:tl2br w:val="nil"/>
                    <w:tr2bl w:val="nil"/>
                  </w:tcBorders>
                  <w:vAlign w:val="center"/>
                </w:tcPr>
                <w:p w14:paraId="431129F3">
                  <w:pPr>
                    <w:pStyle w:val="120"/>
                    <w:keepNext w:val="0"/>
                    <w:keepLines w:val="0"/>
                    <w:framePr w:hSpace="0" w:wrap="auto" w:vAnchor="margin" w:hAnchor="text" w:xAlign="left" w:yAlign="inline"/>
                    <w:suppressLineNumbers w:val="0"/>
                    <w:spacing w:before="0" w:beforeAutospacing="0" w:after="0" w:afterAutospacing="0"/>
                    <w:ind w:left="0" w:right="0"/>
                    <w:rPr>
                      <w:rFonts w:hint="default" w:ascii="Times New Roman" w:hAnsi="Times New Roman" w:eastAsia="宋体" w:cs="Times New Roman"/>
                      <w:color w:val="auto"/>
                      <w:sz w:val="21"/>
                      <w:szCs w:val="21"/>
                      <w:highlight w:val="none"/>
                      <w:lang w:val="en-US" w:eastAsia="zh-CN"/>
                    </w:rPr>
                  </w:pPr>
                  <w:r>
                    <w:rPr>
                      <w:rFonts w:hint="eastAsia" w:ascii="Times New Roman" w:hAnsi="Times New Roman" w:eastAsia="宋体" w:cs="Times New Roman"/>
                      <w:color w:val="auto"/>
                      <w:sz w:val="21"/>
                      <w:szCs w:val="21"/>
                      <w:highlight w:val="none"/>
                      <w:lang w:val="en-US" w:eastAsia="zh-CN"/>
                    </w:rPr>
                    <w:t>74</w:t>
                  </w:r>
                  <w:r>
                    <w:rPr>
                      <w:rFonts w:hint="eastAsia" w:cs="Times New Roman"/>
                      <w:color w:val="auto"/>
                      <w:sz w:val="21"/>
                      <w:szCs w:val="21"/>
                      <w:highlight w:val="none"/>
                      <w:lang w:val="en-US" w:eastAsia="zh-CN"/>
                    </w:rPr>
                    <w:t>7</w:t>
                  </w:r>
                  <w:r>
                    <w:rPr>
                      <w:rFonts w:hint="eastAsia" w:ascii="Times New Roman" w:hAnsi="Times New Roman" w:eastAsia="宋体" w:cs="Times New Roman"/>
                      <w:color w:val="auto"/>
                      <w:sz w:val="21"/>
                      <w:szCs w:val="21"/>
                      <w:highlight w:val="none"/>
                      <w:lang w:val="en-US" w:eastAsia="zh-CN"/>
                    </w:rPr>
                    <w:t>00</w:t>
                  </w:r>
                  <w:r>
                    <w:rPr>
                      <w:rFonts w:hint="eastAsia" w:cs="Times New Roman"/>
                      <w:color w:val="auto"/>
                      <w:sz w:val="21"/>
                      <w:szCs w:val="21"/>
                      <w:highlight w:val="none"/>
                      <w:lang w:val="en-US" w:eastAsia="zh-CN"/>
                    </w:rPr>
                    <w:t>0</w:t>
                  </w:r>
                </w:p>
              </w:tc>
              <w:tc>
                <w:tcPr>
                  <w:tcW w:w="718" w:type="pct"/>
                  <w:vMerge w:val="restart"/>
                  <w:tcBorders>
                    <w:tl2br w:val="nil"/>
                    <w:tr2bl w:val="nil"/>
                  </w:tcBorders>
                  <w:vAlign w:val="center"/>
                </w:tcPr>
                <w:p w14:paraId="3ABFE912">
                  <w:pPr>
                    <w:pStyle w:val="120"/>
                    <w:keepNext w:val="0"/>
                    <w:keepLines w:val="0"/>
                    <w:framePr w:hSpace="0" w:wrap="auto" w:vAnchor="margin" w:hAnchor="text" w:xAlign="left" w:yAlign="inline"/>
                    <w:suppressLineNumbers w:val="0"/>
                    <w:spacing w:before="0" w:beforeAutospacing="0" w:after="0" w:afterAutospacing="0"/>
                    <w:ind w:left="0" w:right="0"/>
                    <w:rPr>
                      <w:rFonts w:hint="default" w:ascii="Times New Roman" w:hAnsi="Times New Roman" w:eastAsia="宋体" w:cs="Times New Roman"/>
                      <w:color w:val="auto"/>
                      <w:sz w:val="21"/>
                      <w:szCs w:val="21"/>
                      <w:highlight w:val="none"/>
                      <w:lang w:val="en-US" w:eastAsia="zh-CN"/>
                    </w:rPr>
                  </w:pPr>
                  <w:r>
                    <w:rPr>
                      <w:rFonts w:hint="eastAsia" w:cs="Times New Roman"/>
                      <w:color w:val="auto"/>
                      <w:sz w:val="21"/>
                      <w:szCs w:val="21"/>
                      <w:highlight w:val="none"/>
                      <w:lang w:val="en-US" w:eastAsia="zh-CN"/>
                    </w:rPr>
                    <w:t>0.0013</w:t>
                  </w:r>
                </w:p>
              </w:tc>
              <w:tc>
                <w:tcPr>
                  <w:tcW w:w="763" w:type="pct"/>
                  <w:vMerge w:val="restart"/>
                  <w:tcBorders>
                    <w:tl2br w:val="nil"/>
                    <w:tr2bl w:val="nil"/>
                  </w:tcBorders>
                  <w:vAlign w:val="center"/>
                </w:tcPr>
                <w:p w14:paraId="299AF999">
                  <w:pPr>
                    <w:pStyle w:val="120"/>
                    <w:keepNext w:val="0"/>
                    <w:keepLines w:val="0"/>
                    <w:framePr w:hSpace="0" w:wrap="auto" w:vAnchor="margin" w:hAnchor="text" w:xAlign="left" w:yAlign="inline"/>
                    <w:suppressLineNumbers w:val="0"/>
                    <w:spacing w:before="0" w:beforeAutospacing="0" w:after="0" w:afterAutospacing="0"/>
                    <w:ind w:left="0" w:right="0"/>
                    <w:rPr>
                      <w:rFonts w:hint="default" w:ascii="Times New Roman" w:hAnsi="Times New Roman" w:eastAsia="宋体" w:cs="Times New Roman"/>
                      <w:color w:val="auto"/>
                      <w:sz w:val="21"/>
                      <w:szCs w:val="21"/>
                      <w:highlight w:val="none"/>
                      <w:lang w:val="en-US" w:eastAsia="zh-CN"/>
                    </w:rPr>
                  </w:pPr>
                  <w:r>
                    <w:rPr>
                      <w:rFonts w:hint="eastAsia" w:ascii="Times New Roman" w:hAnsi="Times New Roman" w:eastAsia="宋体" w:cs="Times New Roman"/>
                      <w:color w:val="auto"/>
                      <w:sz w:val="21"/>
                      <w:szCs w:val="21"/>
                      <w:highlight w:val="none"/>
                      <w:lang w:val="en-US" w:eastAsia="zh-CN"/>
                    </w:rPr>
                    <w:t>0.</w:t>
                  </w:r>
                  <w:r>
                    <w:rPr>
                      <w:rFonts w:hint="eastAsia" w:cs="Times New Roman"/>
                      <w:color w:val="auto"/>
                      <w:sz w:val="21"/>
                      <w:szCs w:val="21"/>
                      <w:highlight w:val="none"/>
                      <w:lang w:val="en-US" w:eastAsia="zh-CN"/>
                    </w:rPr>
                    <w:t>0002</w:t>
                  </w:r>
                </w:p>
              </w:tc>
              <w:tc>
                <w:tcPr>
                  <w:tcW w:w="899" w:type="dxa"/>
                  <w:tcBorders>
                    <w:tl2br w:val="nil"/>
                    <w:tr2bl w:val="nil"/>
                  </w:tcBorders>
                  <w:vAlign w:val="center"/>
                </w:tcPr>
                <w:p w14:paraId="1FAFDA76">
                  <w:pPr>
                    <w:pStyle w:val="120"/>
                    <w:keepNext w:val="0"/>
                    <w:keepLines w:val="0"/>
                    <w:framePr w:hSpace="0" w:wrap="auto" w:vAnchor="margin" w:hAnchor="text" w:xAlign="left" w:yAlign="inline"/>
                    <w:suppressLineNumbers w:val="0"/>
                    <w:spacing w:before="0" w:beforeAutospacing="0" w:after="0" w:afterAutospacing="0"/>
                    <w:ind w:left="0" w:right="0"/>
                    <w:rPr>
                      <w:rFonts w:hint="eastAsia" w:ascii="Times New Roman" w:hAnsi="Times New Roman" w:eastAsia="宋体" w:cs="Times New Roman"/>
                      <w:color w:val="auto"/>
                      <w:sz w:val="21"/>
                      <w:szCs w:val="21"/>
                      <w:highlight w:val="none"/>
                      <w:lang w:val="en-US" w:eastAsia="zh-CN"/>
                    </w:rPr>
                  </w:pPr>
                  <w:r>
                    <w:rPr>
                      <w:rFonts w:hint="eastAsia" w:ascii="Times New Roman" w:hAnsi="Times New Roman" w:eastAsia="宋体" w:cs="Times New Roman"/>
                      <w:color w:val="auto"/>
                      <w:sz w:val="21"/>
                      <w:szCs w:val="21"/>
                      <w:highlight w:val="none"/>
                      <w:lang w:val="en-US" w:eastAsia="zh-CN"/>
                    </w:rPr>
                    <w:t xml:space="preserve">0.354 </w:t>
                  </w:r>
                </w:p>
              </w:tc>
              <w:tc>
                <w:tcPr>
                  <w:tcW w:w="994" w:type="dxa"/>
                  <w:tcBorders>
                    <w:tl2br w:val="nil"/>
                    <w:tr2bl w:val="nil"/>
                  </w:tcBorders>
                  <w:vAlign w:val="center"/>
                </w:tcPr>
                <w:p w14:paraId="3CE8159F">
                  <w:pPr>
                    <w:pStyle w:val="120"/>
                    <w:keepNext w:val="0"/>
                    <w:keepLines w:val="0"/>
                    <w:framePr w:hSpace="0" w:wrap="auto" w:vAnchor="margin" w:hAnchor="text" w:xAlign="left" w:yAlign="inline"/>
                    <w:suppressLineNumbers w:val="0"/>
                    <w:spacing w:before="0" w:beforeAutospacing="0" w:after="0" w:afterAutospacing="0"/>
                    <w:ind w:left="0" w:right="0"/>
                    <w:rPr>
                      <w:rFonts w:hint="eastAsia" w:ascii="Times New Roman" w:hAnsi="Times New Roman" w:eastAsia="宋体" w:cs="Times New Roman"/>
                      <w:color w:val="auto"/>
                      <w:sz w:val="21"/>
                      <w:szCs w:val="21"/>
                      <w:highlight w:val="none"/>
                      <w:lang w:val="en-US" w:eastAsia="zh-CN"/>
                    </w:rPr>
                  </w:pPr>
                  <w:r>
                    <w:rPr>
                      <w:rFonts w:hint="eastAsia" w:ascii="Times New Roman" w:hAnsi="Times New Roman" w:eastAsia="宋体" w:cs="Times New Roman"/>
                      <w:color w:val="auto"/>
                      <w:sz w:val="21"/>
                      <w:szCs w:val="21"/>
                      <w:highlight w:val="none"/>
                      <w:lang w:val="en-US" w:eastAsia="zh-CN"/>
                    </w:rPr>
                    <w:t xml:space="preserve">0.055 </w:t>
                  </w:r>
                </w:p>
              </w:tc>
            </w:tr>
            <w:tr w14:paraId="347D2328">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155" w:hRule="atLeast"/>
              </w:trPr>
              <w:tc>
                <w:tcPr>
                  <w:tcW w:w="588" w:type="pct"/>
                  <w:vMerge w:val="restart"/>
                  <w:tcBorders>
                    <w:tl2br w:val="nil"/>
                    <w:tr2bl w:val="nil"/>
                  </w:tcBorders>
                  <w:vAlign w:val="center"/>
                </w:tcPr>
                <w:p w14:paraId="380C8E17">
                  <w:pPr>
                    <w:pStyle w:val="120"/>
                    <w:keepNext w:val="0"/>
                    <w:keepLines w:val="0"/>
                    <w:framePr w:hSpace="0" w:wrap="auto" w:vAnchor="margin" w:hAnchor="text" w:xAlign="left" w:yAlign="inline"/>
                    <w:suppressLineNumbers w:val="0"/>
                    <w:spacing w:before="0" w:beforeAutospacing="0" w:after="0" w:afterAutospacing="0"/>
                    <w:ind w:left="0" w:right="0"/>
                    <w:rPr>
                      <w:rFonts w:hint="default"/>
                      <w:color w:val="auto"/>
                      <w:sz w:val="21"/>
                      <w:szCs w:val="21"/>
                      <w:highlight w:val="none"/>
                    </w:rPr>
                  </w:pPr>
                  <w:r>
                    <w:rPr>
                      <w:rFonts w:hint="eastAsia"/>
                      <w:color w:val="auto"/>
                      <w:sz w:val="21"/>
                      <w:szCs w:val="21"/>
                      <w:highlight w:val="none"/>
                      <w:lang w:val="en-US" w:eastAsia="zh-CN"/>
                    </w:rPr>
                    <w:t>二</w:t>
                  </w:r>
                  <w:r>
                    <w:rPr>
                      <w:rFonts w:hint="eastAsia"/>
                      <w:color w:val="auto"/>
                      <w:sz w:val="21"/>
                      <w:szCs w:val="21"/>
                      <w:highlight w:val="none"/>
                    </w:rPr>
                    <w:t>层饲养区域</w:t>
                  </w:r>
                </w:p>
              </w:tc>
              <w:tc>
                <w:tcPr>
                  <w:tcW w:w="1073" w:type="pct"/>
                  <w:tcBorders>
                    <w:tl2br w:val="nil"/>
                    <w:tr2bl w:val="nil"/>
                  </w:tcBorders>
                  <w:vAlign w:val="center"/>
                </w:tcPr>
                <w:p w14:paraId="17CFAC1D">
                  <w:pPr>
                    <w:pStyle w:val="120"/>
                    <w:keepNext w:val="0"/>
                    <w:keepLines w:val="0"/>
                    <w:framePr w:hSpace="0" w:wrap="auto" w:vAnchor="margin" w:hAnchor="text" w:xAlign="left" w:yAlign="inline"/>
                    <w:suppressLineNumbers w:val="0"/>
                    <w:spacing w:before="0" w:beforeAutospacing="0" w:after="0" w:afterAutospacing="0"/>
                    <w:ind w:left="0" w:right="0"/>
                    <w:rPr>
                      <w:rFonts w:hint="eastAsia"/>
                      <w:color w:val="auto"/>
                      <w:sz w:val="21"/>
                      <w:szCs w:val="21"/>
                      <w:highlight w:val="none"/>
                      <w:lang w:val="en-US" w:eastAsia="zh-CN"/>
                    </w:rPr>
                  </w:pPr>
                  <w:r>
                    <w:rPr>
                      <w:rFonts w:hint="eastAsia" w:ascii="Times New Roman" w:hAnsi="Times New Roman" w:eastAsia="宋体" w:cs="Times New Roman"/>
                      <w:color w:val="auto"/>
                      <w:sz w:val="21"/>
                      <w:szCs w:val="21"/>
                      <w:highlight w:val="none"/>
                      <w:lang w:val="en-US" w:eastAsia="zh-CN"/>
                    </w:rPr>
                    <w:t>返回动物饲养区</w:t>
                  </w:r>
                </w:p>
              </w:tc>
              <w:tc>
                <w:tcPr>
                  <w:tcW w:w="699" w:type="pct"/>
                  <w:tcBorders>
                    <w:tl2br w:val="nil"/>
                    <w:tr2bl w:val="nil"/>
                  </w:tcBorders>
                  <w:vAlign w:val="center"/>
                </w:tcPr>
                <w:p w14:paraId="406336B0">
                  <w:pPr>
                    <w:pStyle w:val="120"/>
                    <w:keepNext w:val="0"/>
                    <w:keepLines w:val="0"/>
                    <w:framePr w:hSpace="0" w:wrap="auto" w:vAnchor="margin" w:hAnchor="text" w:xAlign="left" w:yAlign="inline"/>
                    <w:suppressLineNumbers w:val="0"/>
                    <w:spacing w:before="0" w:beforeAutospacing="0" w:after="0" w:afterAutospacing="0"/>
                    <w:ind w:left="0" w:right="0"/>
                    <w:rPr>
                      <w:rFonts w:hint="default" w:eastAsia="宋体"/>
                      <w:color w:val="auto"/>
                      <w:sz w:val="21"/>
                      <w:szCs w:val="21"/>
                      <w:highlight w:val="none"/>
                      <w:lang w:val="en-US" w:eastAsia="zh-CN"/>
                    </w:rPr>
                  </w:pPr>
                  <w:r>
                    <w:rPr>
                      <w:rFonts w:hint="eastAsia"/>
                      <w:color w:val="auto"/>
                      <w:sz w:val="21"/>
                      <w:szCs w:val="21"/>
                      <w:highlight w:val="none"/>
                      <w:lang w:val="en-US" w:eastAsia="zh-CN"/>
                    </w:rPr>
                    <w:t>7425</w:t>
                  </w:r>
                </w:p>
              </w:tc>
              <w:tc>
                <w:tcPr>
                  <w:tcW w:w="718" w:type="pct"/>
                  <w:vMerge w:val="continue"/>
                  <w:tcBorders>
                    <w:tl2br w:val="nil"/>
                    <w:tr2bl w:val="nil"/>
                  </w:tcBorders>
                  <w:vAlign w:val="center"/>
                </w:tcPr>
                <w:p w14:paraId="79B554C6">
                  <w:pPr>
                    <w:pStyle w:val="120"/>
                    <w:keepNext w:val="0"/>
                    <w:keepLines w:val="0"/>
                    <w:framePr w:hSpace="0" w:wrap="auto" w:vAnchor="margin" w:hAnchor="text" w:xAlign="left" w:yAlign="inline"/>
                    <w:suppressLineNumbers w:val="0"/>
                    <w:spacing w:before="0" w:beforeAutospacing="0" w:after="0" w:afterAutospacing="0"/>
                    <w:ind w:left="0" w:right="0"/>
                    <w:rPr>
                      <w:rFonts w:hint="default"/>
                      <w:color w:val="auto"/>
                      <w:sz w:val="21"/>
                      <w:szCs w:val="21"/>
                      <w:highlight w:val="none"/>
                    </w:rPr>
                  </w:pPr>
                </w:p>
              </w:tc>
              <w:tc>
                <w:tcPr>
                  <w:tcW w:w="763" w:type="pct"/>
                  <w:vMerge w:val="continue"/>
                  <w:tcBorders>
                    <w:tl2br w:val="nil"/>
                    <w:tr2bl w:val="nil"/>
                  </w:tcBorders>
                  <w:vAlign w:val="center"/>
                </w:tcPr>
                <w:p w14:paraId="5E48757D">
                  <w:pPr>
                    <w:pStyle w:val="120"/>
                    <w:keepNext w:val="0"/>
                    <w:keepLines w:val="0"/>
                    <w:framePr w:hSpace="0" w:wrap="auto" w:vAnchor="margin" w:hAnchor="text" w:xAlign="left" w:yAlign="inline"/>
                    <w:suppressLineNumbers w:val="0"/>
                    <w:spacing w:before="0" w:beforeAutospacing="0" w:after="0" w:afterAutospacing="0"/>
                    <w:ind w:left="0" w:right="0"/>
                    <w:rPr>
                      <w:rFonts w:hint="default"/>
                      <w:color w:val="auto"/>
                      <w:sz w:val="21"/>
                      <w:szCs w:val="21"/>
                      <w:highlight w:val="none"/>
                    </w:rPr>
                  </w:pPr>
                </w:p>
              </w:tc>
              <w:tc>
                <w:tcPr>
                  <w:tcW w:w="899" w:type="dxa"/>
                  <w:tcBorders>
                    <w:tl2br w:val="nil"/>
                    <w:tr2bl w:val="nil"/>
                  </w:tcBorders>
                  <w:vAlign w:val="center"/>
                </w:tcPr>
                <w:p w14:paraId="29399871">
                  <w:pPr>
                    <w:pStyle w:val="120"/>
                    <w:keepNext w:val="0"/>
                    <w:keepLines w:val="0"/>
                    <w:framePr w:hSpace="0" w:wrap="auto" w:vAnchor="margin" w:hAnchor="text" w:xAlign="left" w:yAlign="inline"/>
                    <w:suppressLineNumbers w:val="0"/>
                    <w:spacing w:before="0" w:beforeAutospacing="0" w:after="0" w:afterAutospacing="0"/>
                    <w:ind w:left="0" w:right="0"/>
                    <w:rPr>
                      <w:rFonts w:hint="default" w:ascii="Times New Roman" w:hAnsi="Times New Roman" w:eastAsia="宋体" w:cs="Times New Roman"/>
                      <w:color w:val="auto"/>
                      <w:sz w:val="21"/>
                      <w:szCs w:val="21"/>
                      <w:highlight w:val="none"/>
                      <w:lang w:val="en-US" w:eastAsia="zh-CN"/>
                    </w:rPr>
                  </w:pPr>
                  <w:r>
                    <w:rPr>
                      <w:rFonts w:hint="eastAsia" w:ascii="Times New Roman" w:hAnsi="Times New Roman" w:eastAsia="宋体" w:cs="Times New Roman"/>
                      <w:color w:val="auto"/>
                      <w:sz w:val="21"/>
                      <w:szCs w:val="21"/>
                      <w:highlight w:val="none"/>
                      <w:lang w:val="en-US" w:eastAsia="zh-CN"/>
                    </w:rPr>
                    <w:t xml:space="preserve">0.004 </w:t>
                  </w:r>
                </w:p>
              </w:tc>
              <w:tc>
                <w:tcPr>
                  <w:tcW w:w="994" w:type="dxa"/>
                  <w:tcBorders>
                    <w:tl2br w:val="nil"/>
                    <w:tr2bl w:val="nil"/>
                  </w:tcBorders>
                  <w:vAlign w:val="center"/>
                </w:tcPr>
                <w:p w14:paraId="4DDB097C">
                  <w:pPr>
                    <w:pStyle w:val="120"/>
                    <w:keepNext w:val="0"/>
                    <w:keepLines w:val="0"/>
                    <w:framePr w:hSpace="0" w:wrap="auto" w:vAnchor="margin" w:hAnchor="text" w:xAlign="left" w:yAlign="inline"/>
                    <w:suppressLineNumbers w:val="0"/>
                    <w:spacing w:before="0" w:beforeAutospacing="0" w:after="0" w:afterAutospacing="0"/>
                    <w:ind w:left="0" w:right="0"/>
                    <w:rPr>
                      <w:rFonts w:hint="default" w:ascii="Times New Roman" w:hAnsi="Times New Roman" w:eastAsia="宋体" w:cs="Times New Roman"/>
                      <w:color w:val="auto"/>
                      <w:sz w:val="21"/>
                      <w:szCs w:val="21"/>
                      <w:highlight w:val="none"/>
                      <w:lang w:val="en-US" w:eastAsia="zh-CN"/>
                    </w:rPr>
                  </w:pPr>
                  <w:r>
                    <w:rPr>
                      <w:rFonts w:hint="eastAsia" w:ascii="Times New Roman" w:hAnsi="Times New Roman" w:eastAsia="宋体" w:cs="Times New Roman"/>
                      <w:color w:val="auto"/>
                      <w:sz w:val="21"/>
                      <w:szCs w:val="21"/>
                      <w:highlight w:val="none"/>
                      <w:lang w:val="en-US" w:eastAsia="zh-CN"/>
                    </w:rPr>
                    <w:t xml:space="preserve">0.001 </w:t>
                  </w:r>
                </w:p>
              </w:tc>
            </w:tr>
            <w:tr w14:paraId="375637DF">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155" w:hRule="atLeast"/>
              </w:trPr>
              <w:tc>
                <w:tcPr>
                  <w:tcW w:w="588" w:type="pct"/>
                  <w:vMerge w:val="continue"/>
                  <w:tcBorders>
                    <w:tl2br w:val="nil"/>
                    <w:tr2bl w:val="nil"/>
                  </w:tcBorders>
                  <w:vAlign w:val="center"/>
                </w:tcPr>
                <w:p w14:paraId="01736668">
                  <w:pPr>
                    <w:pStyle w:val="120"/>
                    <w:keepNext w:val="0"/>
                    <w:keepLines w:val="0"/>
                    <w:framePr w:hSpace="0" w:wrap="auto" w:vAnchor="margin" w:hAnchor="text" w:xAlign="left" w:yAlign="inline"/>
                    <w:suppressLineNumbers w:val="0"/>
                    <w:spacing w:before="0" w:beforeAutospacing="0" w:after="0" w:afterAutospacing="0"/>
                    <w:ind w:left="0" w:right="0"/>
                    <w:rPr>
                      <w:rFonts w:hint="eastAsia"/>
                      <w:color w:val="auto"/>
                      <w:sz w:val="21"/>
                      <w:szCs w:val="21"/>
                      <w:highlight w:val="none"/>
                      <w:lang w:val="en-US" w:eastAsia="zh-CN"/>
                    </w:rPr>
                  </w:pPr>
                </w:p>
              </w:tc>
              <w:tc>
                <w:tcPr>
                  <w:tcW w:w="1073" w:type="pct"/>
                  <w:tcBorders>
                    <w:tl2br w:val="nil"/>
                    <w:tr2bl w:val="nil"/>
                  </w:tcBorders>
                  <w:vAlign w:val="center"/>
                </w:tcPr>
                <w:p w14:paraId="36A9FBD0">
                  <w:pPr>
                    <w:pStyle w:val="120"/>
                    <w:keepNext w:val="0"/>
                    <w:keepLines w:val="0"/>
                    <w:framePr w:hSpace="0" w:wrap="auto" w:vAnchor="margin" w:hAnchor="text" w:xAlign="left" w:yAlign="inline"/>
                    <w:suppressLineNumbers w:val="0"/>
                    <w:spacing w:before="0" w:beforeAutospacing="0" w:after="0" w:afterAutospacing="0"/>
                    <w:ind w:left="0" w:right="0"/>
                    <w:rPr>
                      <w:rFonts w:hint="eastAsia"/>
                      <w:color w:val="auto"/>
                      <w:sz w:val="21"/>
                      <w:szCs w:val="21"/>
                      <w:highlight w:val="none"/>
                      <w:lang w:val="en-US" w:eastAsia="zh-CN"/>
                    </w:rPr>
                  </w:pPr>
                  <w:r>
                    <w:rPr>
                      <w:rFonts w:hint="eastAsia" w:ascii="Times New Roman" w:hAnsi="Times New Roman" w:eastAsia="宋体" w:cs="Times New Roman"/>
                      <w:color w:val="auto"/>
                      <w:sz w:val="21"/>
                      <w:szCs w:val="21"/>
                      <w:highlight w:val="none"/>
                      <w:lang w:val="en-US" w:eastAsia="zh-CN"/>
                    </w:rPr>
                    <w:t>SPF动物屏障区</w:t>
                  </w:r>
                </w:p>
              </w:tc>
              <w:tc>
                <w:tcPr>
                  <w:tcW w:w="699" w:type="pct"/>
                  <w:tcBorders>
                    <w:tl2br w:val="nil"/>
                    <w:tr2bl w:val="nil"/>
                  </w:tcBorders>
                  <w:vAlign w:val="center"/>
                </w:tcPr>
                <w:p w14:paraId="75478173">
                  <w:pPr>
                    <w:pStyle w:val="120"/>
                    <w:keepNext w:val="0"/>
                    <w:keepLines w:val="0"/>
                    <w:framePr w:hSpace="0" w:wrap="auto" w:vAnchor="margin" w:hAnchor="text" w:xAlign="left" w:yAlign="inline"/>
                    <w:suppressLineNumbers w:val="0"/>
                    <w:spacing w:before="0" w:beforeAutospacing="0" w:after="0" w:afterAutospacing="0"/>
                    <w:ind w:left="0" w:right="0"/>
                    <w:rPr>
                      <w:rFonts w:hint="default"/>
                      <w:color w:val="auto"/>
                      <w:sz w:val="21"/>
                      <w:szCs w:val="21"/>
                      <w:highlight w:val="none"/>
                      <w:lang w:val="en-US" w:eastAsia="zh-CN"/>
                    </w:rPr>
                  </w:pPr>
                  <w:r>
                    <w:rPr>
                      <w:rFonts w:hint="eastAsia"/>
                      <w:color w:val="auto"/>
                      <w:sz w:val="21"/>
                      <w:szCs w:val="21"/>
                      <w:highlight w:val="none"/>
                      <w:lang w:val="en-US" w:eastAsia="zh-CN"/>
                    </w:rPr>
                    <w:t>28701</w:t>
                  </w:r>
                </w:p>
              </w:tc>
              <w:tc>
                <w:tcPr>
                  <w:tcW w:w="718" w:type="pct"/>
                  <w:vMerge w:val="continue"/>
                  <w:tcBorders>
                    <w:tl2br w:val="nil"/>
                    <w:tr2bl w:val="nil"/>
                  </w:tcBorders>
                  <w:vAlign w:val="center"/>
                </w:tcPr>
                <w:p w14:paraId="6F50CD14">
                  <w:pPr>
                    <w:pStyle w:val="120"/>
                    <w:keepNext w:val="0"/>
                    <w:keepLines w:val="0"/>
                    <w:framePr w:hSpace="0" w:wrap="auto" w:vAnchor="margin" w:hAnchor="text" w:xAlign="left" w:yAlign="inline"/>
                    <w:suppressLineNumbers w:val="0"/>
                    <w:spacing w:before="0" w:beforeAutospacing="0" w:after="0" w:afterAutospacing="0"/>
                    <w:ind w:left="0" w:right="0"/>
                    <w:rPr>
                      <w:rFonts w:hint="eastAsia"/>
                      <w:color w:val="auto"/>
                      <w:sz w:val="21"/>
                      <w:szCs w:val="21"/>
                      <w:highlight w:val="none"/>
                      <w:lang w:val="en-US" w:eastAsia="zh-CN"/>
                    </w:rPr>
                  </w:pPr>
                </w:p>
              </w:tc>
              <w:tc>
                <w:tcPr>
                  <w:tcW w:w="763" w:type="pct"/>
                  <w:vMerge w:val="continue"/>
                  <w:tcBorders>
                    <w:tl2br w:val="nil"/>
                    <w:tr2bl w:val="nil"/>
                  </w:tcBorders>
                  <w:vAlign w:val="center"/>
                </w:tcPr>
                <w:p w14:paraId="6C2DCA66">
                  <w:pPr>
                    <w:pStyle w:val="120"/>
                    <w:keepNext w:val="0"/>
                    <w:keepLines w:val="0"/>
                    <w:framePr w:hSpace="0" w:wrap="auto" w:vAnchor="margin" w:hAnchor="text" w:xAlign="left" w:yAlign="inline"/>
                    <w:suppressLineNumbers w:val="0"/>
                    <w:spacing w:before="0" w:beforeAutospacing="0" w:after="0" w:afterAutospacing="0"/>
                    <w:ind w:left="0" w:right="0"/>
                    <w:rPr>
                      <w:rFonts w:hint="eastAsia"/>
                      <w:color w:val="auto"/>
                      <w:sz w:val="21"/>
                      <w:szCs w:val="21"/>
                      <w:highlight w:val="none"/>
                      <w:lang w:val="en-US" w:eastAsia="zh-CN"/>
                    </w:rPr>
                  </w:pPr>
                </w:p>
              </w:tc>
              <w:tc>
                <w:tcPr>
                  <w:tcW w:w="899" w:type="dxa"/>
                  <w:tcBorders>
                    <w:tl2br w:val="nil"/>
                    <w:tr2bl w:val="nil"/>
                  </w:tcBorders>
                  <w:vAlign w:val="center"/>
                </w:tcPr>
                <w:p w14:paraId="560F0599">
                  <w:pPr>
                    <w:pStyle w:val="120"/>
                    <w:keepNext w:val="0"/>
                    <w:keepLines w:val="0"/>
                    <w:framePr w:hSpace="0" w:wrap="auto" w:vAnchor="margin" w:hAnchor="text" w:xAlign="left" w:yAlign="inline"/>
                    <w:suppressLineNumbers w:val="0"/>
                    <w:spacing w:before="0" w:beforeAutospacing="0" w:after="0" w:afterAutospacing="0"/>
                    <w:ind w:left="0" w:right="0"/>
                    <w:rPr>
                      <w:rFonts w:hint="default" w:ascii="Times New Roman" w:hAnsi="Times New Roman" w:eastAsia="宋体" w:cs="Times New Roman"/>
                      <w:color w:val="auto"/>
                      <w:sz w:val="21"/>
                      <w:szCs w:val="21"/>
                      <w:highlight w:val="none"/>
                      <w:lang w:val="en-US" w:eastAsia="zh-CN"/>
                    </w:rPr>
                  </w:pPr>
                  <w:r>
                    <w:rPr>
                      <w:rFonts w:hint="eastAsia" w:ascii="Times New Roman" w:hAnsi="Times New Roman" w:eastAsia="宋体" w:cs="Times New Roman"/>
                      <w:color w:val="auto"/>
                      <w:sz w:val="21"/>
                      <w:szCs w:val="21"/>
                      <w:highlight w:val="none"/>
                      <w:lang w:val="en-US" w:eastAsia="zh-CN"/>
                    </w:rPr>
                    <w:t xml:space="preserve">0.014 </w:t>
                  </w:r>
                </w:p>
              </w:tc>
              <w:tc>
                <w:tcPr>
                  <w:tcW w:w="994" w:type="dxa"/>
                  <w:tcBorders>
                    <w:tl2br w:val="nil"/>
                    <w:tr2bl w:val="nil"/>
                  </w:tcBorders>
                  <w:vAlign w:val="center"/>
                </w:tcPr>
                <w:p w14:paraId="799BDC8C">
                  <w:pPr>
                    <w:pStyle w:val="120"/>
                    <w:keepNext w:val="0"/>
                    <w:keepLines w:val="0"/>
                    <w:framePr w:hSpace="0" w:wrap="auto" w:vAnchor="margin" w:hAnchor="text" w:xAlign="left" w:yAlign="inline"/>
                    <w:suppressLineNumbers w:val="0"/>
                    <w:spacing w:before="0" w:beforeAutospacing="0" w:after="0" w:afterAutospacing="0"/>
                    <w:ind w:left="0" w:right="0"/>
                    <w:rPr>
                      <w:rFonts w:hint="default" w:ascii="Times New Roman" w:hAnsi="Times New Roman" w:eastAsia="宋体" w:cs="Times New Roman"/>
                      <w:color w:val="auto"/>
                      <w:sz w:val="21"/>
                      <w:szCs w:val="21"/>
                      <w:highlight w:val="none"/>
                      <w:lang w:val="en-US" w:eastAsia="zh-CN"/>
                    </w:rPr>
                  </w:pPr>
                  <w:r>
                    <w:rPr>
                      <w:rFonts w:hint="eastAsia" w:ascii="Times New Roman" w:hAnsi="Times New Roman" w:eastAsia="宋体" w:cs="Times New Roman"/>
                      <w:color w:val="auto"/>
                      <w:sz w:val="21"/>
                      <w:szCs w:val="21"/>
                      <w:highlight w:val="none"/>
                      <w:lang w:val="en-US" w:eastAsia="zh-CN"/>
                    </w:rPr>
                    <w:t xml:space="preserve">0.002 </w:t>
                  </w:r>
                </w:p>
              </w:tc>
            </w:tr>
            <w:tr w14:paraId="39DB425E">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155" w:hRule="atLeast"/>
              </w:trPr>
              <w:tc>
                <w:tcPr>
                  <w:tcW w:w="588" w:type="pct"/>
                  <w:vMerge w:val="restart"/>
                  <w:tcBorders>
                    <w:tl2br w:val="nil"/>
                    <w:tr2bl w:val="nil"/>
                  </w:tcBorders>
                  <w:vAlign w:val="center"/>
                </w:tcPr>
                <w:p w14:paraId="4240F24A">
                  <w:pPr>
                    <w:pStyle w:val="120"/>
                    <w:keepNext w:val="0"/>
                    <w:keepLines w:val="0"/>
                    <w:framePr w:hSpace="0" w:wrap="auto" w:vAnchor="margin" w:hAnchor="text" w:xAlign="left" w:yAlign="inline"/>
                    <w:suppressLineNumbers w:val="0"/>
                    <w:spacing w:before="0" w:beforeAutospacing="0" w:after="0" w:afterAutospacing="0"/>
                    <w:ind w:left="0" w:right="0"/>
                    <w:rPr>
                      <w:rFonts w:hint="default"/>
                      <w:color w:val="auto"/>
                      <w:sz w:val="21"/>
                      <w:szCs w:val="21"/>
                      <w:highlight w:val="none"/>
                    </w:rPr>
                  </w:pPr>
                  <w:r>
                    <w:rPr>
                      <w:rFonts w:hint="eastAsia"/>
                      <w:color w:val="auto"/>
                      <w:sz w:val="21"/>
                      <w:szCs w:val="21"/>
                      <w:highlight w:val="none"/>
                    </w:rPr>
                    <w:t>三层</w:t>
                  </w:r>
                  <w:r>
                    <w:rPr>
                      <w:rFonts w:hint="default"/>
                      <w:color w:val="auto"/>
                      <w:sz w:val="21"/>
                      <w:szCs w:val="21"/>
                      <w:highlight w:val="none"/>
                    </w:rPr>
                    <w:t>饲养区域</w:t>
                  </w:r>
                </w:p>
              </w:tc>
              <w:tc>
                <w:tcPr>
                  <w:tcW w:w="1073" w:type="pct"/>
                  <w:tcBorders>
                    <w:tl2br w:val="nil"/>
                    <w:tr2bl w:val="nil"/>
                  </w:tcBorders>
                  <w:vAlign w:val="center"/>
                </w:tcPr>
                <w:p w14:paraId="5EA51C91">
                  <w:pPr>
                    <w:pStyle w:val="120"/>
                    <w:keepNext w:val="0"/>
                    <w:keepLines w:val="0"/>
                    <w:framePr w:hSpace="0" w:wrap="auto" w:vAnchor="margin" w:hAnchor="text" w:xAlign="left" w:yAlign="inline"/>
                    <w:suppressLineNumbers w:val="0"/>
                    <w:spacing w:before="0" w:beforeAutospacing="0" w:after="0" w:afterAutospacing="0"/>
                    <w:ind w:left="0" w:right="0"/>
                    <w:rPr>
                      <w:rFonts w:hint="eastAsia"/>
                      <w:color w:val="auto"/>
                      <w:sz w:val="21"/>
                      <w:szCs w:val="21"/>
                      <w:highlight w:val="none"/>
                    </w:rPr>
                  </w:pPr>
                  <w:r>
                    <w:rPr>
                      <w:rFonts w:hint="eastAsia" w:ascii="Times New Roman" w:hAnsi="Times New Roman" w:eastAsia="宋体" w:cs="Times New Roman"/>
                      <w:color w:val="auto"/>
                      <w:sz w:val="21"/>
                      <w:szCs w:val="21"/>
                      <w:highlight w:val="none"/>
                      <w:lang w:val="en-US" w:eastAsia="zh-CN"/>
                    </w:rPr>
                    <w:t>ABSL-2饲养区</w:t>
                  </w:r>
                </w:p>
              </w:tc>
              <w:tc>
                <w:tcPr>
                  <w:tcW w:w="699" w:type="pct"/>
                  <w:tcBorders>
                    <w:tl2br w:val="nil"/>
                    <w:tr2bl w:val="nil"/>
                  </w:tcBorders>
                  <w:vAlign w:val="center"/>
                </w:tcPr>
                <w:p w14:paraId="1CDB9ADE">
                  <w:pPr>
                    <w:pStyle w:val="120"/>
                    <w:keepNext w:val="0"/>
                    <w:keepLines w:val="0"/>
                    <w:framePr w:hSpace="0" w:wrap="auto" w:vAnchor="margin" w:hAnchor="text" w:xAlign="left" w:yAlign="inline"/>
                    <w:suppressLineNumbers w:val="0"/>
                    <w:spacing w:before="0" w:beforeAutospacing="0" w:after="0" w:afterAutospacing="0"/>
                    <w:ind w:left="0" w:right="0"/>
                    <w:rPr>
                      <w:rFonts w:hint="default" w:eastAsia="宋体"/>
                      <w:color w:val="auto"/>
                      <w:sz w:val="21"/>
                      <w:szCs w:val="21"/>
                      <w:highlight w:val="none"/>
                      <w:lang w:val="en-US" w:eastAsia="zh-CN"/>
                    </w:rPr>
                  </w:pPr>
                  <w:r>
                    <w:rPr>
                      <w:rFonts w:hint="eastAsia"/>
                      <w:color w:val="auto"/>
                      <w:sz w:val="21"/>
                      <w:szCs w:val="21"/>
                      <w:highlight w:val="none"/>
                      <w:lang w:val="en-US" w:eastAsia="zh-CN"/>
                    </w:rPr>
                    <w:t>6018</w:t>
                  </w:r>
                </w:p>
              </w:tc>
              <w:tc>
                <w:tcPr>
                  <w:tcW w:w="718" w:type="pct"/>
                  <w:vMerge w:val="continue"/>
                  <w:tcBorders>
                    <w:tl2br w:val="nil"/>
                    <w:tr2bl w:val="nil"/>
                  </w:tcBorders>
                  <w:vAlign w:val="center"/>
                </w:tcPr>
                <w:p w14:paraId="6BC9BC5B">
                  <w:pPr>
                    <w:pStyle w:val="120"/>
                    <w:keepNext w:val="0"/>
                    <w:keepLines w:val="0"/>
                    <w:framePr w:hSpace="0" w:wrap="auto" w:vAnchor="margin" w:hAnchor="text" w:xAlign="left" w:yAlign="inline"/>
                    <w:suppressLineNumbers w:val="0"/>
                    <w:spacing w:before="0" w:beforeAutospacing="0" w:after="0" w:afterAutospacing="0"/>
                    <w:ind w:left="0" w:right="0"/>
                    <w:rPr>
                      <w:rFonts w:hint="default"/>
                      <w:color w:val="auto"/>
                      <w:sz w:val="21"/>
                      <w:szCs w:val="21"/>
                      <w:highlight w:val="none"/>
                    </w:rPr>
                  </w:pPr>
                </w:p>
              </w:tc>
              <w:tc>
                <w:tcPr>
                  <w:tcW w:w="763" w:type="pct"/>
                  <w:vMerge w:val="continue"/>
                  <w:tcBorders>
                    <w:tl2br w:val="nil"/>
                    <w:tr2bl w:val="nil"/>
                  </w:tcBorders>
                  <w:vAlign w:val="center"/>
                </w:tcPr>
                <w:p w14:paraId="082C00C0">
                  <w:pPr>
                    <w:pStyle w:val="120"/>
                    <w:keepNext w:val="0"/>
                    <w:keepLines w:val="0"/>
                    <w:framePr w:hSpace="0" w:wrap="auto" w:vAnchor="margin" w:hAnchor="text" w:xAlign="left" w:yAlign="inline"/>
                    <w:suppressLineNumbers w:val="0"/>
                    <w:spacing w:before="0" w:beforeAutospacing="0" w:after="0" w:afterAutospacing="0"/>
                    <w:ind w:left="0" w:right="0"/>
                    <w:rPr>
                      <w:rFonts w:hint="default"/>
                      <w:color w:val="auto"/>
                      <w:sz w:val="21"/>
                      <w:szCs w:val="21"/>
                      <w:highlight w:val="none"/>
                    </w:rPr>
                  </w:pPr>
                </w:p>
              </w:tc>
              <w:tc>
                <w:tcPr>
                  <w:tcW w:w="900" w:type="dxa"/>
                  <w:tcBorders>
                    <w:tl2br w:val="nil"/>
                    <w:tr2bl w:val="nil"/>
                  </w:tcBorders>
                  <w:vAlign w:val="center"/>
                </w:tcPr>
                <w:p w14:paraId="3731A99C">
                  <w:pPr>
                    <w:pStyle w:val="120"/>
                    <w:keepNext w:val="0"/>
                    <w:keepLines w:val="0"/>
                    <w:framePr w:hSpace="0" w:wrap="auto" w:vAnchor="margin" w:hAnchor="text" w:xAlign="left" w:yAlign="inline"/>
                    <w:suppressLineNumbers w:val="0"/>
                    <w:spacing w:before="0" w:beforeAutospacing="0" w:after="0" w:afterAutospacing="0"/>
                    <w:ind w:left="0" w:right="0"/>
                    <w:rPr>
                      <w:rFonts w:hint="default" w:ascii="Times New Roman" w:hAnsi="Times New Roman" w:eastAsia="宋体" w:cs="Times New Roman"/>
                      <w:color w:val="auto"/>
                      <w:sz w:val="21"/>
                      <w:szCs w:val="21"/>
                      <w:highlight w:val="none"/>
                      <w:lang w:val="en-US" w:eastAsia="zh-CN"/>
                    </w:rPr>
                  </w:pPr>
                  <w:r>
                    <w:rPr>
                      <w:rFonts w:hint="eastAsia" w:ascii="Times New Roman" w:hAnsi="Times New Roman" w:eastAsia="宋体" w:cs="Times New Roman"/>
                      <w:color w:val="auto"/>
                      <w:sz w:val="21"/>
                      <w:szCs w:val="21"/>
                      <w:highlight w:val="none"/>
                      <w:lang w:val="en-US" w:eastAsia="zh-CN"/>
                    </w:rPr>
                    <w:t xml:space="preserve">0.003 </w:t>
                  </w:r>
                </w:p>
              </w:tc>
              <w:tc>
                <w:tcPr>
                  <w:tcW w:w="995" w:type="dxa"/>
                  <w:tcBorders>
                    <w:tl2br w:val="nil"/>
                    <w:tr2bl w:val="nil"/>
                  </w:tcBorders>
                  <w:vAlign w:val="center"/>
                </w:tcPr>
                <w:p w14:paraId="4B0BB74D">
                  <w:pPr>
                    <w:pStyle w:val="120"/>
                    <w:keepNext w:val="0"/>
                    <w:keepLines w:val="0"/>
                    <w:framePr w:hSpace="0" w:wrap="auto" w:vAnchor="margin" w:hAnchor="text" w:xAlign="left" w:yAlign="inline"/>
                    <w:suppressLineNumbers w:val="0"/>
                    <w:spacing w:before="0" w:beforeAutospacing="0" w:after="0" w:afterAutospacing="0"/>
                    <w:ind w:left="0" w:right="0"/>
                    <w:rPr>
                      <w:rFonts w:hint="default" w:ascii="Times New Roman" w:hAnsi="Times New Roman" w:eastAsia="宋体" w:cs="Times New Roman"/>
                      <w:color w:val="auto"/>
                      <w:sz w:val="21"/>
                      <w:szCs w:val="21"/>
                      <w:highlight w:val="none"/>
                      <w:lang w:val="en-US" w:eastAsia="zh-CN"/>
                    </w:rPr>
                  </w:pPr>
                  <w:r>
                    <w:rPr>
                      <w:rFonts w:hint="eastAsia" w:ascii="Times New Roman" w:hAnsi="Times New Roman" w:eastAsia="宋体" w:cs="Times New Roman"/>
                      <w:color w:val="auto"/>
                      <w:sz w:val="21"/>
                      <w:szCs w:val="21"/>
                      <w:highlight w:val="none"/>
                      <w:lang w:val="en-US" w:eastAsia="zh-CN"/>
                    </w:rPr>
                    <w:t>0.00</w:t>
                  </w:r>
                  <w:r>
                    <w:rPr>
                      <w:rFonts w:hint="eastAsia" w:cs="Times New Roman"/>
                      <w:color w:val="auto"/>
                      <w:sz w:val="21"/>
                      <w:szCs w:val="21"/>
                      <w:highlight w:val="none"/>
                      <w:lang w:val="en-US" w:eastAsia="zh-CN"/>
                    </w:rPr>
                    <w:t>1</w:t>
                  </w:r>
                  <w:r>
                    <w:rPr>
                      <w:rFonts w:hint="eastAsia" w:ascii="Times New Roman" w:hAnsi="Times New Roman" w:eastAsia="宋体" w:cs="Times New Roman"/>
                      <w:color w:val="auto"/>
                      <w:sz w:val="21"/>
                      <w:szCs w:val="21"/>
                      <w:highlight w:val="none"/>
                      <w:lang w:val="en-US" w:eastAsia="zh-CN"/>
                    </w:rPr>
                    <w:t xml:space="preserve"> </w:t>
                  </w:r>
                </w:p>
              </w:tc>
            </w:tr>
            <w:tr w14:paraId="48426CC0">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155" w:hRule="atLeast"/>
              </w:trPr>
              <w:tc>
                <w:tcPr>
                  <w:tcW w:w="588" w:type="pct"/>
                  <w:vMerge w:val="continue"/>
                  <w:tcBorders>
                    <w:tl2br w:val="nil"/>
                    <w:tr2bl w:val="nil"/>
                  </w:tcBorders>
                  <w:vAlign w:val="center"/>
                </w:tcPr>
                <w:p w14:paraId="0272A98E">
                  <w:pPr>
                    <w:pStyle w:val="120"/>
                    <w:keepNext w:val="0"/>
                    <w:keepLines w:val="0"/>
                    <w:framePr w:hSpace="0" w:wrap="auto" w:vAnchor="margin" w:hAnchor="text" w:xAlign="left" w:yAlign="inline"/>
                    <w:suppressLineNumbers w:val="0"/>
                    <w:spacing w:before="0" w:beforeAutospacing="0" w:after="0" w:afterAutospacing="0"/>
                    <w:ind w:left="0" w:right="0"/>
                    <w:rPr>
                      <w:rFonts w:hint="eastAsia"/>
                      <w:color w:val="auto"/>
                      <w:sz w:val="21"/>
                      <w:szCs w:val="21"/>
                      <w:highlight w:val="none"/>
                    </w:rPr>
                  </w:pPr>
                </w:p>
              </w:tc>
              <w:tc>
                <w:tcPr>
                  <w:tcW w:w="1073" w:type="pct"/>
                  <w:tcBorders>
                    <w:tl2br w:val="nil"/>
                    <w:tr2bl w:val="nil"/>
                  </w:tcBorders>
                  <w:vAlign w:val="center"/>
                </w:tcPr>
                <w:p w14:paraId="40976D59">
                  <w:pPr>
                    <w:pStyle w:val="120"/>
                    <w:keepNext w:val="0"/>
                    <w:keepLines w:val="0"/>
                    <w:framePr w:hSpace="0" w:wrap="auto" w:vAnchor="margin" w:hAnchor="text" w:xAlign="left" w:yAlign="inline"/>
                    <w:suppressLineNumbers w:val="0"/>
                    <w:spacing w:before="0" w:beforeAutospacing="0" w:after="0" w:afterAutospacing="0"/>
                    <w:ind w:left="0" w:right="0"/>
                    <w:rPr>
                      <w:rFonts w:hint="eastAsia"/>
                      <w:color w:val="auto"/>
                      <w:sz w:val="21"/>
                      <w:szCs w:val="21"/>
                      <w:highlight w:val="none"/>
                    </w:rPr>
                  </w:pPr>
                  <w:r>
                    <w:rPr>
                      <w:rFonts w:hint="eastAsia" w:ascii="Times New Roman" w:hAnsi="Times New Roman" w:eastAsia="宋体" w:cs="Times New Roman"/>
                      <w:color w:val="auto"/>
                      <w:sz w:val="21"/>
                      <w:szCs w:val="21"/>
                      <w:highlight w:val="none"/>
                      <w:lang w:val="en-US" w:eastAsia="zh-CN"/>
                    </w:rPr>
                    <w:t>免疫缺陷动物屏障区</w:t>
                  </w:r>
                </w:p>
              </w:tc>
              <w:tc>
                <w:tcPr>
                  <w:tcW w:w="699" w:type="pct"/>
                  <w:tcBorders>
                    <w:tl2br w:val="nil"/>
                    <w:tr2bl w:val="nil"/>
                  </w:tcBorders>
                  <w:vAlign w:val="center"/>
                </w:tcPr>
                <w:p w14:paraId="049E452D">
                  <w:pPr>
                    <w:pStyle w:val="120"/>
                    <w:keepNext w:val="0"/>
                    <w:keepLines w:val="0"/>
                    <w:framePr w:hSpace="0" w:wrap="auto" w:vAnchor="margin" w:hAnchor="text" w:xAlign="left" w:yAlign="inline"/>
                    <w:suppressLineNumbers w:val="0"/>
                    <w:spacing w:before="0" w:beforeAutospacing="0" w:after="0" w:afterAutospacing="0"/>
                    <w:ind w:left="0" w:right="0"/>
                    <w:rPr>
                      <w:rFonts w:hint="default" w:eastAsia="宋体"/>
                      <w:color w:val="auto"/>
                      <w:sz w:val="21"/>
                      <w:szCs w:val="21"/>
                      <w:highlight w:val="none"/>
                      <w:lang w:val="en-US" w:eastAsia="zh-CN"/>
                    </w:rPr>
                  </w:pPr>
                  <w:r>
                    <w:rPr>
                      <w:rFonts w:hint="eastAsia"/>
                      <w:color w:val="auto"/>
                      <w:sz w:val="21"/>
                      <w:szCs w:val="21"/>
                      <w:highlight w:val="none"/>
                      <w:lang w:val="en-US" w:eastAsia="zh-CN"/>
                    </w:rPr>
                    <w:t>17063</w:t>
                  </w:r>
                </w:p>
              </w:tc>
              <w:tc>
                <w:tcPr>
                  <w:tcW w:w="718" w:type="pct"/>
                  <w:vMerge w:val="continue"/>
                  <w:tcBorders>
                    <w:tl2br w:val="nil"/>
                    <w:tr2bl w:val="nil"/>
                  </w:tcBorders>
                  <w:vAlign w:val="center"/>
                </w:tcPr>
                <w:p w14:paraId="3421D9FC">
                  <w:pPr>
                    <w:pStyle w:val="120"/>
                    <w:keepNext w:val="0"/>
                    <w:keepLines w:val="0"/>
                    <w:framePr w:hSpace="0" w:wrap="auto" w:vAnchor="margin" w:hAnchor="text" w:xAlign="left" w:yAlign="inline"/>
                    <w:suppressLineNumbers w:val="0"/>
                    <w:spacing w:before="0" w:beforeAutospacing="0" w:after="0" w:afterAutospacing="0"/>
                    <w:ind w:left="0" w:right="0"/>
                    <w:rPr>
                      <w:rFonts w:hint="eastAsia"/>
                      <w:color w:val="auto"/>
                      <w:sz w:val="21"/>
                      <w:szCs w:val="21"/>
                      <w:highlight w:val="none"/>
                    </w:rPr>
                  </w:pPr>
                </w:p>
              </w:tc>
              <w:tc>
                <w:tcPr>
                  <w:tcW w:w="763" w:type="pct"/>
                  <w:vMerge w:val="continue"/>
                  <w:tcBorders>
                    <w:tl2br w:val="nil"/>
                    <w:tr2bl w:val="nil"/>
                  </w:tcBorders>
                  <w:vAlign w:val="center"/>
                </w:tcPr>
                <w:p w14:paraId="6C5D20E2">
                  <w:pPr>
                    <w:pStyle w:val="120"/>
                    <w:keepNext w:val="0"/>
                    <w:keepLines w:val="0"/>
                    <w:framePr w:hSpace="0" w:wrap="auto" w:vAnchor="margin" w:hAnchor="text" w:xAlign="left" w:yAlign="inline"/>
                    <w:suppressLineNumbers w:val="0"/>
                    <w:spacing w:before="0" w:beforeAutospacing="0" w:after="0" w:afterAutospacing="0"/>
                    <w:ind w:left="0" w:right="0"/>
                    <w:rPr>
                      <w:rFonts w:hint="eastAsia"/>
                      <w:color w:val="auto"/>
                      <w:sz w:val="21"/>
                      <w:szCs w:val="21"/>
                      <w:highlight w:val="none"/>
                    </w:rPr>
                  </w:pPr>
                </w:p>
              </w:tc>
              <w:tc>
                <w:tcPr>
                  <w:tcW w:w="900" w:type="dxa"/>
                  <w:tcBorders>
                    <w:tl2br w:val="nil"/>
                    <w:tr2bl w:val="nil"/>
                  </w:tcBorders>
                  <w:vAlign w:val="center"/>
                </w:tcPr>
                <w:p w14:paraId="6ABC1E4F">
                  <w:pPr>
                    <w:pStyle w:val="120"/>
                    <w:keepNext w:val="0"/>
                    <w:keepLines w:val="0"/>
                    <w:framePr w:hSpace="0" w:wrap="auto" w:vAnchor="margin" w:hAnchor="text" w:xAlign="left" w:yAlign="inline"/>
                    <w:suppressLineNumbers w:val="0"/>
                    <w:spacing w:before="0" w:beforeAutospacing="0" w:after="0" w:afterAutospacing="0"/>
                    <w:ind w:left="0" w:right="0"/>
                    <w:rPr>
                      <w:rFonts w:hint="eastAsia" w:ascii="Times New Roman" w:hAnsi="Times New Roman" w:eastAsia="宋体" w:cs="Times New Roman"/>
                      <w:color w:val="auto"/>
                      <w:sz w:val="21"/>
                      <w:szCs w:val="21"/>
                      <w:highlight w:val="none"/>
                      <w:lang w:val="en-US" w:eastAsia="zh-CN"/>
                    </w:rPr>
                  </w:pPr>
                  <w:r>
                    <w:rPr>
                      <w:rFonts w:hint="eastAsia" w:ascii="Times New Roman" w:hAnsi="Times New Roman" w:eastAsia="宋体" w:cs="Times New Roman"/>
                      <w:color w:val="auto"/>
                      <w:sz w:val="21"/>
                      <w:szCs w:val="21"/>
                      <w:highlight w:val="none"/>
                      <w:lang w:val="en-US" w:eastAsia="zh-CN"/>
                    </w:rPr>
                    <w:t xml:space="preserve">0.008 </w:t>
                  </w:r>
                </w:p>
              </w:tc>
              <w:tc>
                <w:tcPr>
                  <w:tcW w:w="995" w:type="dxa"/>
                  <w:tcBorders>
                    <w:tl2br w:val="nil"/>
                    <w:tr2bl w:val="nil"/>
                  </w:tcBorders>
                  <w:vAlign w:val="center"/>
                </w:tcPr>
                <w:p w14:paraId="7797A439">
                  <w:pPr>
                    <w:pStyle w:val="120"/>
                    <w:keepNext w:val="0"/>
                    <w:keepLines w:val="0"/>
                    <w:framePr w:hSpace="0" w:wrap="auto" w:vAnchor="margin" w:hAnchor="text" w:xAlign="left" w:yAlign="inline"/>
                    <w:suppressLineNumbers w:val="0"/>
                    <w:spacing w:before="0" w:beforeAutospacing="0" w:after="0" w:afterAutospacing="0"/>
                    <w:ind w:left="0" w:right="0"/>
                    <w:rPr>
                      <w:rFonts w:hint="eastAsia" w:ascii="Times New Roman" w:hAnsi="Times New Roman" w:eastAsia="宋体" w:cs="Times New Roman"/>
                      <w:color w:val="auto"/>
                      <w:sz w:val="21"/>
                      <w:szCs w:val="21"/>
                      <w:highlight w:val="none"/>
                      <w:lang w:val="en-US" w:eastAsia="zh-CN"/>
                    </w:rPr>
                  </w:pPr>
                  <w:r>
                    <w:rPr>
                      <w:rFonts w:hint="eastAsia" w:ascii="Times New Roman" w:hAnsi="Times New Roman" w:eastAsia="宋体" w:cs="Times New Roman"/>
                      <w:color w:val="auto"/>
                      <w:sz w:val="21"/>
                      <w:szCs w:val="21"/>
                      <w:highlight w:val="none"/>
                      <w:lang w:val="en-US" w:eastAsia="zh-CN"/>
                    </w:rPr>
                    <w:t xml:space="preserve">0.001 </w:t>
                  </w:r>
                </w:p>
              </w:tc>
            </w:tr>
            <w:tr w14:paraId="63829B2C">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c>
                <w:tcPr>
                  <w:tcW w:w="1661" w:type="pct"/>
                  <w:gridSpan w:val="2"/>
                  <w:tcBorders>
                    <w:tl2br w:val="nil"/>
                    <w:tr2bl w:val="nil"/>
                  </w:tcBorders>
                  <w:vAlign w:val="center"/>
                </w:tcPr>
                <w:p w14:paraId="6B1FDD70">
                  <w:pPr>
                    <w:pStyle w:val="120"/>
                    <w:keepNext w:val="0"/>
                    <w:keepLines w:val="0"/>
                    <w:framePr w:hSpace="0" w:wrap="auto" w:vAnchor="margin" w:hAnchor="text" w:xAlign="left" w:yAlign="inline"/>
                    <w:suppressLineNumbers w:val="0"/>
                    <w:spacing w:before="0" w:beforeAutospacing="0" w:after="0" w:afterAutospacing="0"/>
                    <w:ind w:left="0" w:right="0"/>
                    <w:rPr>
                      <w:rFonts w:hint="default"/>
                      <w:color w:val="auto"/>
                      <w:sz w:val="21"/>
                      <w:szCs w:val="21"/>
                      <w:highlight w:val="none"/>
                    </w:rPr>
                  </w:pPr>
                  <w:r>
                    <w:rPr>
                      <w:rFonts w:hint="eastAsia"/>
                      <w:color w:val="auto"/>
                      <w:sz w:val="21"/>
                      <w:szCs w:val="21"/>
                      <w:highlight w:val="none"/>
                    </w:rPr>
                    <w:t>合计</w:t>
                  </w:r>
                </w:p>
              </w:tc>
              <w:tc>
                <w:tcPr>
                  <w:tcW w:w="699" w:type="pct"/>
                  <w:tcBorders>
                    <w:tl2br w:val="nil"/>
                    <w:tr2bl w:val="nil"/>
                  </w:tcBorders>
                  <w:vAlign w:val="center"/>
                </w:tcPr>
                <w:p w14:paraId="1255010F">
                  <w:pPr>
                    <w:pStyle w:val="120"/>
                    <w:keepNext w:val="0"/>
                    <w:keepLines w:val="0"/>
                    <w:framePr w:hSpace="0" w:wrap="auto" w:vAnchor="margin" w:hAnchor="text" w:xAlign="left" w:yAlign="inline"/>
                    <w:suppressLineNumbers w:val="0"/>
                    <w:spacing w:before="0" w:beforeAutospacing="0" w:after="0" w:afterAutospacing="0"/>
                    <w:ind w:left="0" w:right="0"/>
                    <w:rPr>
                      <w:rFonts w:hint="default"/>
                      <w:color w:val="auto"/>
                      <w:sz w:val="21"/>
                      <w:szCs w:val="21"/>
                      <w:highlight w:val="none"/>
                    </w:rPr>
                  </w:pPr>
                  <w:r>
                    <w:rPr>
                      <w:rFonts w:hint="eastAsia"/>
                      <w:color w:val="auto"/>
                      <w:sz w:val="21"/>
                      <w:szCs w:val="21"/>
                      <w:highlight w:val="none"/>
                    </w:rPr>
                    <w:t>/</w:t>
                  </w:r>
                </w:p>
              </w:tc>
              <w:tc>
                <w:tcPr>
                  <w:tcW w:w="718" w:type="pct"/>
                  <w:tcBorders>
                    <w:tl2br w:val="nil"/>
                    <w:tr2bl w:val="nil"/>
                  </w:tcBorders>
                  <w:vAlign w:val="center"/>
                </w:tcPr>
                <w:p w14:paraId="44F6491A">
                  <w:pPr>
                    <w:pStyle w:val="120"/>
                    <w:keepNext w:val="0"/>
                    <w:keepLines w:val="0"/>
                    <w:framePr w:hSpace="0" w:wrap="auto" w:vAnchor="margin" w:hAnchor="text" w:xAlign="left" w:yAlign="inline"/>
                    <w:suppressLineNumbers w:val="0"/>
                    <w:spacing w:before="0" w:beforeAutospacing="0" w:after="0" w:afterAutospacing="0"/>
                    <w:ind w:left="0" w:right="0"/>
                    <w:rPr>
                      <w:rFonts w:hint="default"/>
                      <w:color w:val="auto"/>
                      <w:sz w:val="21"/>
                      <w:szCs w:val="21"/>
                      <w:highlight w:val="none"/>
                    </w:rPr>
                  </w:pPr>
                  <w:r>
                    <w:rPr>
                      <w:rFonts w:hint="eastAsia"/>
                      <w:color w:val="auto"/>
                      <w:sz w:val="21"/>
                      <w:szCs w:val="21"/>
                      <w:highlight w:val="none"/>
                    </w:rPr>
                    <w:t>/</w:t>
                  </w:r>
                </w:p>
              </w:tc>
              <w:tc>
                <w:tcPr>
                  <w:tcW w:w="763" w:type="pct"/>
                  <w:tcBorders>
                    <w:tl2br w:val="nil"/>
                    <w:tr2bl w:val="nil"/>
                  </w:tcBorders>
                  <w:vAlign w:val="center"/>
                </w:tcPr>
                <w:p w14:paraId="22EF340A">
                  <w:pPr>
                    <w:pStyle w:val="120"/>
                    <w:keepNext w:val="0"/>
                    <w:keepLines w:val="0"/>
                    <w:framePr w:hSpace="0" w:wrap="auto" w:vAnchor="margin" w:hAnchor="text" w:xAlign="left" w:yAlign="inline"/>
                    <w:suppressLineNumbers w:val="0"/>
                    <w:spacing w:before="0" w:beforeAutospacing="0" w:after="0" w:afterAutospacing="0"/>
                    <w:ind w:left="0" w:right="0"/>
                    <w:rPr>
                      <w:rFonts w:hint="default"/>
                      <w:color w:val="auto"/>
                      <w:sz w:val="21"/>
                      <w:szCs w:val="21"/>
                      <w:highlight w:val="none"/>
                    </w:rPr>
                  </w:pPr>
                  <w:r>
                    <w:rPr>
                      <w:rFonts w:hint="eastAsia"/>
                      <w:color w:val="auto"/>
                      <w:sz w:val="21"/>
                      <w:szCs w:val="21"/>
                      <w:highlight w:val="none"/>
                    </w:rPr>
                    <w:t>/</w:t>
                  </w:r>
                </w:p>
              </w:tc>
              <w:tc>
                <w:tcPr>
                  <w:tcW w:w="900" w:type="dxa"/>
                  <w:tcBorders>
                    <w:tl2br w:val="nil"/>
                    <w:tr2bl w:val="nil"/>
                  </w:tcBorders>
                  <w:vAlign w:val="center"/>
                </w:tcPr>
                <w:p w14:paraId="42561686">
                  <w:pPr>
                    <w:pStyle w:val="120"/>
                    <w:keepNext w:val="0"/>
                    <w:keepLines w:val="0"/>
                    <w:framePr w:hSpace="0" w:wrap="auto" w:vAnchor="margin" w:hAnchor="text" w:xAlign="left" w:yAlign="inline"/>
                    <w:suppressLineNumbers w:val="0"/>
                    <w:spacing w:before="0" w:beforeAutospacing="0" w:after="0" w:afterAutospacing="0"/>
                    <w:ind w:left="0" w:right="0"/>
                    <w:rPr>
                      <w:rFonts w:hint="default" w:ascii="Times New Roman" w:hAnsi="Times New Roman" w:eastAsia="宋体" w:cs="Times New Roman"/>
                      <w:color w:val="auto"/>
                      <w:sz w:val="21"/>
                      <w:szCs w:val="21"/>
                      <w:highlight w:val="none"/>
                      <w:lang w:val="en-US" w:eastAsia="zh-CN"/>
                    </w:rPr>
                  </w:pPr>
                  <w:r>
                    <w:rPr>
                      <w:rFonts w:hint="eastAsia" w:ascii="Times New Roman" w:hAnsi="Times New Roman" w:eastAsia="宋体" w:cs="Times New Roman"/>
                      <w:color w:val="auto"/>
                      <w:sz w:val="21"/>
                      <w:szCs w:val="21"/>
                      <w:highlight w:val="none"/>
                      <w:lang w:val="en-US" w:eastAsia="zh-CN"/>
                    </w:rPr>
                    <w:t>0.38</w:t>
                  </w:r>
                  <w:r>
                    <w:rPr>
                      <w:rFonts w:hint="eastAsia" w:cs="Times New Roman"/>
                      <w:color w:val="auto"/>
                      <w:sz w:val="21"/>
                      <w:szCs w:val="21"/>
                      <w:highlight w:val="none"/>
                      <w:lang w:val="en-US" w:eastAsia="zh-CN"/>
                    </w:rPr>
                    <w:t>3</w:t>
                  </w:r>
                </w:p>
              </w:tc>
              <w:tc>
                <w:tcPr>
                  <w:tcW w:w="995" w:type="dxa"/>
                  <w:tcBorders>
                    <w:tl2br w:val="nil"/>
                    <w:tr2bl w:val="nil"/>
                  </w:tcBorders>
                  <w:vAlign w:val="center"/>
                </w:tcPr>
                <w:p w14:paraId="732D8F83">
                  <w:pPr>
                    <w:pStyle w:val="120"/>
                    <w:keepNext w:val="0"/>
                    <w:keepLines w:val="0"/>
                    <w:framePr w:hSpace="0" w:wrap="auto" w:vAnchor="margin" w:hAnchor="text" w:xAlign="left" w:yAlign="inline"/>
                    <w:suppressLineNumbers w:val="0"/>
                    <w:spacing w:before="0" w:beforeAutospacing="0" w:after="0" w:afterAutospacing="0"/>
                    <w:ind w:left="0" w:right="0"/>
                    <w:rPr>
                      <w:rFonts w:hint="eastAsia" w:ascii="Times New Roman" w:hAnsi="Times New Roman" w:eastAsia="宋体" w:cs="Times New Roman"/>
                      <w:color w:val="auto"/>
                      <w:sz w:val="21"/>
                      <w:szCs w:val="21"/>
                      <w:highlight w:val="none"/>
                      <w:lang w:val="en-US" w:eastAsia="zh-CN"/>
                    </w:rPr>
                  </w:pPr>
                  <w:r>
                    <w:rPr>
                      <w:rFonts w:hint="eastAsia" w:ascii="Times New Roman" w:hAnsi="Times New Roman" w:eastAsia="宋体" w:cs="Times New Roman"/>
                      <w:color w:val="auto"/>
                      <w:sz w:val="21"/>
                      <w:szCs w:val="21"/>
                      <w:highlight w:val="none"/>
                      <w:lang w:val="en-US" w:eastAsia="zh-CN"/>
                    </w:rPr>
                    <w:t>0.06</w:t>
                  </w:r>
                </w:p>
              </w:tc>
            </w:tr>
          </w:tbl>
          <w:p w14:paraId="41C7C823">
            <w:pPr>
              <w:pStyle w:val="120"/>
              <w:keepNext w:val="0"/>
              <w:keepLines w:val="0"/>
              <w:suppressLineNumbers w:val="0"/>
              <w:spacing w:before="0" w:beforeAutospacing="0" w:after="0" w:afterAutospacing="0"/>
              <w:ind w:left="0" w:right="0"/>
              <w:jc w:val="left"/>
              <w:rPr>
                <w:rFonts w:hint="default"/>
                <w:b/>
                <w:bCs w:val="0"/>
                <w:color w:val="auto"/>
                <w:sz w:val="21"/>
                <w:szCs w:val="21"/>
                <w:highlight w:val="none"/>
              </w:rPr>
            </w:pPr>
            <w:r>
              <w:rPr>
                <w:rFonts w:hint="eastAsia"/>
                <w:b/>
                <w:bCs w:val="0"/>
                <w:color w:val="auto"/>
                <w:sz w:val="21"/>
                <w:szCs w:val="21"/>
                <w:highlight w:val="none"/>
              </w:rPr>
              <w:t>注*</w:t>
            </w:r>
            <w:r>
              <w:rPr>
                <w:rFonts w:hint="default"/>
                <w:b/>
                <w:bCs w:val="0"/>
                <w:color w:val="auto"/>
                <w:sz w:val="21"/>
                <w:szCs w:val="21"/>
                <w:highlight w:val="none"/>
              </w:rPr>
              <w:t>：参照中国农业科学院2010年《规模化畜禽养殖场恶臭污染物扩散规律及其防护距离研究》中的经验数据，根据重量折算，1头猪≈1500只小鼠≈167只大鼠≈100只豚鼠≈4只猴子≈4只犬≈30只兔</w:t>
            </w:r>
            <w:r>
              <w:rPr>
                <w:rFonts w:hint="eastAsia"/>
                <w:b/>
                <w:bCs w:val="0"/>
                <w:color w:val="auto"/>
                <w:sz w:val="21"/>
                <w:szCs w:val="21"/>
                <w:highlight w:val="none"/>
              </w:rPr>
              <w:t>。</w:t>
            </w:r>
          </w:p>
          <w:p w14:paraId="3660484E">
            <w:pPr>
              <w:keepNext w:val="0"/>
              <w:keepLines w:val="0"/>
              <w:pageBreakBefore w:val="0"/>
              <w:widowControl w:val="0"/>
              <w:suppressLineNumbers w:val="0"/>
              <w:kinsoku/>
              <w:wordWrap/>
              <w:overflowPunct/>
              <w:topLinePunct w:val="0"/>
              <w:autoSpaceDE/>
              <w:autoSpaceDN/>
              <w:bidi w:val="0"/>
              <w:adjustRightInd/>
              <w:snapToGrid/>
              <w:spacing w:before="60" w:beforeAutospacing="0" w:after="0" w:afterAutospacing="0" w:line="360" w:lineRule="auto"/>
              <w:ind w:left="0" w:right="0" w:firstLine="480" w:firstLineChars="200"/>
              <w:textAlignment w:val="auto"/>
              <w:rPr>
                <w:rFonts w:hint="eastAsia" w:eastAsia="宋体"/>
                <w:sz w:val="24"/>
                <w:highlight w:val="none"/>
                <w:lang w:eastAsia="zh-CN"/>
              </w:rPr>
            </w:pPr>
            <w:r>
              <w:rPr>
                <w:rFonts w:hint="eastAsia" w:cs="宋体"/>
                <w:bCs/>
                <w:kern w:val="0"/>
                <w:sz w:val="24"/>
                <w:szCs w:val="24"/>
                <w:highlight w:val="none"/>
                <w:lang w:val="en-US" w:eastAsia="zh-CN" w:bidi="ar-SA"/>
              </w:rPr>
              <w:t>根据废气设计方案，</w:t>
            </w:r>
            <w:r>
              <w:rPr>
                <w:rFonts w:hint="eastAsia" w:ascii="Times New Roman" w:hAnsi="Times New Roman" w:eastAsia="宋体" w:cs="宋体"/>
                <w:bCs/>
                <w:kern w:val="0"/>
                <w:sz w:val="24"/>
                <w:szCs w:val="24"/>
                <w:highlight w:val="none"/>
                <w:lang w:val="en-US" w:eastAsia="zh-CN" w:bidi="ar-SA"/>
              </w:rPr>
              <w:t>动物房均采用全新风空调系统，气流组织采用上送下排方式，屏障环境末端采用高效送风口；项目对洁净走廊区域也设置排风风管，因此区域内废气逸散可能性较小，动物饲养区域恶臭气体按</w:t>
            </w:r>
            <w:r>
              <w:rPr>
                <w:rFonts w:hint="eastAsia" w:cs="宋体"/>
                <w:bCs/>
                <w:kern w:val="0"/>
                <w:sz w:val="24"/>
                <w:szCs w:val="24"/>
                <w:highlight w:val="none"/>
                <w:lang w:val="en-US" w:eastAsia="zh-CN" w:bidi="ar-SA"/>
              </w:rPr>
              <w:t>90</w:t>
            </w:r>
            <w:r>
              <w:rPr>
                <w:rFonts w:hint="eastAsia" w:ascii="Times New Roman" w:hAnsi="Times New Roman" w:eastAsia="宋体" w:cs="宋体"/>
                <w:bCs/>
                <w:kern w:val="0"/>
                <w:sz w:val="24"/>
                <w:szCs w:val="24"/>
                <w:highlight w:val="none"/>
                <w:lang w:val="en-US" w:eastAsia="zh-CN" w:bidi="ar-SA"/>
              </w:rPr>
              <w:t>%收集统计</w:t>
            </w:r>
            <w:r>
              <w:rPr>
                <w:rFonts w:hint="eastAsia" w:cs="宋体"/>
                <w:bCs/>
                <w:kern w:val="0"/>
                <w:sz w:val="24"/>
                <w:szCs w:val="24"/>
                <w:highlight w:val="none"/>
                <w:lang w:val="en-US" w:eastAsia="zh-CN" w:bidi="ar-SA"/>
              </w:rPr>
              <w:t>，</w:t>
            </w:r>
            <w:r>
              <w:rPr>
                <w:rFonts w:hint="eastAsia"/>
                <w:sz w:val="24"/>
                <w:highlight w:val="none"/>
                <w:lang w:val="en-US" w:eastAsia="zh-CN"/>
              </w:rPr>
              <w:t>根据《实验动物 环境及设施》（GB14925—2023），普通环境换气次数应≥8次/h、屏障环境换气次数应≥15</w:t>
            </w:r>
            <w:r>
              <w:rPr>
                <w:rFonts w:hint="eastAsia"/>
                <w:sz w:val="24"/>
                <w:highlight w:val="none"/>
              </w:rPr>
              <w:t>次/h</w:t>
            </w:r>
            <w:r>
              <w:rPr>
                <w:rFonts w:hint="eastAsia"/>
                <w:sz w:val="24"/>
                <w:highlight w:val="none"/>
                <w:lang w:eastAsia="zh-CN"/>
              </w:rPr>
              <w:t>。</w:t>
            </w:r>
            <w:r>
              <w:rPr>
                <w:rFonts w:hint="eastAsia"/>
                <w:sz w:val="24"/>
                <w:highlight w:val="none"/>
                <w:lang w:val="en-US" w:eastAsia="zh-CN"/>
              </w:rPr>
              <w:t>本项目一楼饲养区为普通环境，故换气次数取12次/h；二楼、三楼饲养区为屏障环境，故换气次数取18次/h</w:t>
            </w:r>
            <w:r>
              <w:rPr>
                <w:rFonts w:hint="eastAsia"/>
                <w:highlight w:val="none"/>
                <w:lang w:eastAsia="zh-CN"/>
              </w:rPr>
              <w:t>；</w:t>
            </w:r>
          </w:p>
          <w:p w14:paraId="30D62D6A">
            <w:pPr>
              <w:keepNext w:val="0"/>
              <w:keepLines w:val="0"/>
              <w:pageBreakBefore w:val="0"/>
              <w:widowControl w:val="0"/>
              <w:suppressLineNumbers w:val="0"/>
              <w:kinsoku/>
              <w:wordWrap/>
              <w:overflowPunct/>
              <w:topLinePunct w:val="0"/>
              <w:autoSpaceDE/>
              <w:autoSpaceDN/>
              <w:bidi w:val="0"/>
              <w:adjustRightInd/>
              <w:snapToGrid/>
              <w:spacing w:before="60" w:beforeAutospacing="0" w:after="0" w:afterAutospacing="0" w:line="360" w:lineRule="auto"/>
              <w:ind w:left="0" w:right="0" w:firstLine="480" w:firstLineChars="200"/>
              <w:textAlignment w:val="auto"/>
              <w:rPr>
                <w:rFonts w:hint="eastAsia" w:ascii="Times New Roman" w:hAnsi="Times New Roman" w:eastAsia="宋体" w:cs="宋体"/>
                <w:bCs/>
                <w:kern w:val="0"/>
                <w:sz w:val="24"/>
                <w:szCs w:val="24"/>
                <w:highlight w:val="none"/>
                <w:lang w:val="en-US" w:eastAsia="zh-CN" w:bidi="ar-SA"/>
              </w:rPr>
            </w:pPr>
            <w:r>
              <w:rPr>
                <w:rFonts w:hint="eastAsia" w:cs="宋体"/>
                <w:bCs/>
                <w:kern w:val="0"/>
                <w:sz w:val="24"/>
                <w:szCs w:val="24"/>
                <w:highlight w:val="none"/>
                <w:lang w:val="en-US" w:eastAsia="zh-CN" w:bidi="ar-SA"/>
              </w:rPr>
              <w:t>一楼</w:t>
            </w:r>
            <w:r>
              <w:rPr>
                <w:rFonts w:hint="eastAsia" w:ascii="Times New Roman" w:hAnsi="Times New Roman" w:eastAsia="宋体" w:cs="宋体"/>
                <w:bCs/>
                <w:kern w:val="0"/>
                <w:sz w:val="24"/>
                <w:szCs w:val="24"/>
                <w:highlight w:val="none"/>
                <w:lang w:val="en-US" w:eastAsia="zh-CN" w:bidi="ar-SA"/>
              </w:rPr>
              <w:t>动物饲养区域</w:t>
            </w:r>
            <w:r>
              <w:rPr>
                <w:rFonts w:hint="eastAsia" w:cs="宋体"/>
                <w:bCs/>
                <w:kern w:val="0"/>
                <w:sz w:val="24"/>
                <w:szCs w:val="24"/>
                <w:highlight w:val="none"/>
                <w:lang w:val="en-US" w:eastAsia="zh-CN" w:bidi="ar-SA"/>
              </w:rPr>
              <w:t>体积约为1738</w:t>
            </w:r>
            <w:r>
              <w:rPr>
                <w:rFonts w:hint="eastAsia"/>
                <w:sz w:val="24"/>
                <w:highlight w:val="none"/>
              </w:rPr>
              <w:t>m</w:t>
            </w:r>
            <w:r>
              <w:rPr>
                <w:rFonts w:hint="eastAsia"/>
                <w:sz w:val="24"/>
                <w:highlight w:val="none"/>
                <w:vertAlign w:val="superscript"/>
              </w:rPr>
              <w:t>3</w:t>
            </w:r>
            <w:r>
              <w:rPr>
                <w:rFonts w:hint="eastAsia" w:cs="宋体"/>
                <w:bCs/>
                <w:kern w:val="0"/>
                <w:sz w:val="24"/>
                <w:szCs w:val="24"/>
                <w:highlight w:val="none"/>
                <w:vertAlign w:val="baseline"/>
                <w:lang w:val="en-US" w:eastAsia="zh-CN" w:bidi="ar-SA"/>
              </w:rPr>
              <w:t>（579.3m</w:t>
            </w:r>
            <w:r>
              <w:rPr>
                <w:rFonts w:hint="eastAsia" w:cs="宋体"/>
                <w:bCs/>
                <w:kern w:val="0"/>
                <w:sz w:val="24"/>
                <w:szCs w:val="24"/>
                <w:highlight w:val="none"/>
                <w:vertAlign w:val="superscript"/>
                <w:lang w:val="en-US" w:eastAsia="zh-CN" w:bidi="ar-SA"/>
              </w:rPr>
              <w:t>2</w:t>
            </w:r>
            <w:r>
              <w:rPr>
                <w:rFonts w:hint="eastAsia" w:cs="宋体"/>
                <w:bCs/>
                <w:kern w:val="0"/>
                <w:sz w:val="24"/>
                <w:szCs w:val="24"/>
                <w:highlight w:val="none"/>
                <w:vertAlign w:val="baseline"/>
                <w:lang w:val="en-US" w:eastAsia="zh-CN" w:bidi="ar-SA"/>
              </w:rPr>
              <w:t>*3.4m）</w:t>
            </w:r>
            <w:r>
              <w:rPr>
                <w:rFonts w:hint="eastAsia"/>
                <w:sz w:val="24"/>
                <w:highlight w:val="none"/>
              </w:rPr>
              <w:t>，换气次数</w:t>
            </w:r>
            <w:r>
              <w:rPr>
                <w:rFonts w:hint="eastAsia"/>
                <w:sz w:val="24"/>
                <w:highlight w:val="none"/>
                <w:lang w:val="en-US" w:eastAsia="zh-CN"/>
              </w:rPr>
              <w:t>为12</w:t>
            </w:r>
            <w:r>
              <w:rPr>
                <w:rFonts w:hint="eastAsia"/>
                <w:sz w:val="24"/>
                <w:highlight w:val="none"/>
              </w:rPr>
              <w:t>次/</w:t>
            </w:r>
            <w:r>
              <w:rPr>
                <w:rFonts w:hint="eastAsia"/>
                <w:sz w:val="24"/>
                <w:highlight w:val="none"/>
                <w:lang w:val="en-US" w:eastAsia="zh-CN"/>
              </w:rPr>
              <w:t>h，则</w:t>
            </w:r>
            <w:r>
              <w:rPr>
                <w:rFonts w:hint="eastAsia"/>
                <w:sz w:val="24"/>
                <w:highlight w:val="none"/>
              </w:rPr>
              <w:t>收集风量</w:t>
            </w:r>
            <w:r>
              <w:rPr>
                <w:rFonts w:hint="eastAsia"/>
                <w:sz w:val="24"/>
                <w:highlight w:val="none"/>
                <w:lang w:val="en-US" w:eastAsia="zh-CN"/>
              </w:rPr>
              <w:t>约为</w:t>
            </w:r>
            <w:r>
              <w:rPr>
                <w:rFonts w:hint="eastAsia"/>
                <w:sz w:val="24"/>
                <w:highlight w:val="none"/>
              </w:rPr>
              <w:t>20</w:t>
            </w:r>
            <w:r>
              <w:rPr>
                <w:rFonts w:hint="eastAsia"/>
                <w:sz w:val="24"/>
                <w:highlight w:val="none"/>
                <w:lang w:val="en-US" w:eastAsia="zh-CN"/>
              </w:rPr>
              <w:t>856</w:t>
            </w:r>
            <w:r>
              <w:rPr>
                <w:rFonts w:hint="eastAsia"/>
                <w:sz w:val="24"/>
                <w:highlight w:val="none"/>
              </w:rPr>
              <w:t>m</w:t>
            </w:r>
            <w:r>
              <w:rPr>
                <w:rFonts w:hint="eastAsia"/>
                <w:sz w:val="24"/>
                <w:highlight w:val="none"/>
                <w:vertAlign w:val="superscript"/>
              </w:rPr>
              <w:t>3</w:t>
            </w:r>
            <w:r>
              <w:rPr>
                <w:rFonts w:hint="eastAsia"/>
                <w:sz w:val="24"/>
                <w:highlight w:val="none"/>
              </w:rPr>
              <w:t>/h，</w:t>
            </w:r>
            <w:r>
              <w:rPr>
                <w:rFonts w:hint="eastAsia" w:cs="宋体"/>
                <w:bCs/>
                <w:kern w:val="0"/>
                <w:sz w:val="24"/>
                <w:szCs w:val="24"/>
                <w:highlight w:val="none"/>
                <w:lang w:val="en-US" w:eastAsia="zh-CN" w:bidi="ar-SA"/>
              </w:rPr>
              <w:t>一楼</w:t>
            </w:r>
            <w:r>
              <w:rPr>
                <w:rFonts w:hint="default"/>
                <w:highlight w:val="none"/>
              </w:rPr>
              <w:t>动物饲养</w:t>
            </w:r>
            <w:r>
              <w:rPr>
                <w:rFonts w:hint="eastAsia"/>
                <w:highlight w:val="none"/>
              </w:rPr>
              <w:t>区域</w:t>
            </w:r>
            <w:r>
              <w:rPr>
                <w:rFonts w:hint="eastAsia" w:ascii="Times New Roman" w:hAnsi="Times New Roman" w:eastAsia="宋体" w:cs="宋体"/>
                <w:bCs/>
                <w:kern w:val="0"/>
                <w:sz w:val="24"/>
                <w:szCs w:val="24"/>
                <w:highlight w:val="none"/>
                <w:lang w:val="en-US" w:eastAsia="zh-CN" w:bidi="ar-SA"/>
              </w:rPr>
              <w:t>恶臭气体经收集后经溶液空调自带喷淋除臭装置</w:t>
            </w:r>
            <w:r>
              <w:rPr>
                <w:rFonts w:hint="eastAsia" w:cs="宋体"/>
                <w:bCs/>
                <w:kern w:val="0"/>
                <w:sz w:val="24"/>
                <w:szCs w:val="24"/>
                <w:highlight w:val="none"/>
                <w:lang w:val="en-US" w:eastAsia="zh-CN" w:bidi="ar-SA"/>
              </w:rPr>
              <w:t>处理后</w:t>
            </w:r>
            <w:r>
              <w:rPr>
                <w:rFonts w:hint="eastAsia" w:ascii="Times New Roman" w:hAnsi="Times New Roman" w:eastAsia="宋体" w:cs="宋体"/>
                <w:bCs/>
                <w:kern w:val="0"/>
                <w:sz w:val="24"/>
                <w:szCs w:val="24"/>
                <w:highlight w:val="none"/>
                <w:lang w:val="en-US" w:eastAsia="zh-CN" w:bidi="ar-SA"/>
              </w:rPr>
              <w:t>通过</w:t>
            </w:r>
            <w:r>
              <w:rPr>
                <w:rFonts w:hint="eastAsia" w:cs="宋体"/>
                <w:bCs/>
                <w:kern w:val="0"/>
                <w:sz w:val="24"/>
                <w:szCs w:val="24"/>
                <w:highlight w:val="none"/>
                <w:lang w:val="en-US" w:eastAsia="zh-CN" w:bidi="ar-SA"/>
              </w:rPr>
              <w:t>30</w:t>
            </w:r>
            <w:r>
              <w:rPr>
                <w:rFonts w:hint="eastAsia" w:ascii="Times New Roman" w:hAnsi="Times New Roman" w:eastAsia="宋体" w:cs="宋体"/>
                <w:bCs/>
                <w:kern w:val="0"/>
                <w:sz w:val="24"/>
                <w:szCs w:val="24"/>
                <w:highlight w:val="none"/>
                <w:lang w:val="en-US" w:eastAsia="zh-CN" w:bidi="ar-SA"/>
              </w:rPr>
              <w:t>m高排气筒</w:t>
            </w:r>
            <w:r>
              <w:rPr>
                <w:rFonts w:hint="eastAsia" w:cs="宋体"/>
                <w:bCs/>
                <w:kern w:val="0"/>
                <w:sz w:val="24"/>
                <w:szCs w:val="24"/>
                <w:highlight w:val="none"/>
                <w:lang w:val="en-US" w:eastAsia="zh-CN" w:bidi="ar-SA"/>
              </w:rPr>
              <w:t>（DA001）</w:t>
            </w:r>
            <w:r>
              <w:rPr>
                <w:rFonts w:hint="eastAsia" w:ascii="Times New Roman" w:hAnsi="Times New Roman" w:eastAsia="宋体" w:cs="宋体"/>
                <w:bCs/>
                <w:kern w:val="0"/>
                <w:sz w:val="24"/>
                <w:szCs w:val="24"/>
                <w:highlight w:val="none"/>
                <w:lang w:val="en-US" w:eastAsia="zh-CN" w:bidi="ar-SA"/>
              </w:rPr>
              <w:t>高空排放；</w:t>
            </w:r>
          </w:p>
          <w:p w14:paraId="69BDCBD7">
            <w:pPr>
              <w:keepNext w:val="0"/>
              <w:keepLines w:val="0"/>
              <w:pageBreakBefore w:val="0"/>
              <w:widowControl w:val="0"/>
              <w:suppressLineNumbers w:val="0"/>
              <w:kinsoku/>
              <w:wordWrap/>
              <w:overflowPunct/>
              <w:topLinePunct w:val="0"/>
              <w:autoSpaceDE/>
              <w:autoSpaceDN/>
              <w:bidi w:val="0"/>
              <w:adjustRightInd/>
              <w:snapToGrid/>
              <w:spacing w:before="60" w:beforeAutospacing="0" w:after="0" w:afterAutospacing="0" w:line="360" w:lineRule="auto"/>
              <w:ind w:left="0" w:right="0" w:firstLine="480" w:firstLineChars="200"/>
              <w:textAlignment w:val="auto"/>
              <w:rPr>
                <w:rFonts w:hint="eastAsia" w:ascii="Times New Roman" w:hAnsi="Times New Roman" w:eastAsia="宋体" w:cs="宋体"/>
                <w:bCs/>
                <w:kern w:val="0"/>
                <w:sz w:val="24"/>
                <w:szCs w:val="24"/>
                <w:highlight w:val="none"/>
                <w:lang w:val="en-US" w:eastAsia="zh-CN" w:bidi="ar-SA"/>
              </w:rPr>
            </w:pPr>
            <w:r>
              <w:rPr>
                <w:rFonts w:hint="eastAsia" w:ascii="Times New Roman" w:hAnsi="Times New Roman" w:eastAsia="宋体" w:cs="宋体"/>
                <w:bCs/>
                <w:kern w:val="0"/>
                <w:sz w:val="24"/>
                <w:szCs w:val="24"/>
                <w:highlight w:val="none"/>
                <w:lang w:val="en-US" w:eastAsia="zh-CN" w:bidi="ar-SA"/>
              </w:rPr>
              <w:t>二楼</w:t>
            </w:r>
            <w:r>
              <w:rPr>
                <w:rFonts w:hint="eastAsia"/>
                <w:highlight w:val="none"/>
                <w:lang w:val="en-US" w:eastAsia="zh-CN"/>
              </w:rPr>
              <w:t>返回动物饲养区域</w:t>
            </w:r>
            <w:r>
              <w:rPr>
                <w:rFonts w:hint="eastAsia" w:cs="宋体"/>
                <w:bCs/>
                <w:kern w:val="0"/>
                <w:sz w:val="24"/>
                <w:szCs w:val="24"/>
                <w:highlight w:val="none"/>
                <w:lang w:val="en-US" w:eastAsia="zh-CN" w:bidi="ar-SA"/>
              </w:rPr>
              <w:t>体积约为270m</w:t>
            </w:r>
            <w:r>
              <w:rPr>
                <w:rFonts w:hint="eastAsia" w:cs="宋体"/>
                <w:bCs/>
                <w:kern w:val="0"/>
                <w:sz w:val="24"/>
                <w:szCs w:val="24"/>
                <w:highlight w:val="none"/>
                <w:vertAlign w:val="superscript"/>
                <w:lang w:val="en-US" w:eastAsia="zh-CN" w:bidi="ar-SA"/>
              </w:rPr>
              <w:t>3</w:t>
            </w:r>
            <w:r>
              <w:rPr>
                <w:rFonts w:hint="eastAsia" w:cs="宋体"/>
                <w:bCs/>
                <w:kern w:val="0"/>
                <w:sz w:val="24"/>
                <w:szCs w:val="24"/>
                <w:highlight w:val="none"/>
                <w:vertAlign w:val="baseline"/>
                <w:lang w:val="en-US" w:eastAsia="zh-CN" w:bidi="ar-SA"/>
              </w:rPr>
              <w:t>（90m</w:t>
            </w:r>
            <w:r>
              <w:rPr>
                <w:rFonts w:hint="eastAsia" w:cs="宋体"/>
                <w:bCs/>
                <w:kern w:val="0"/>
                <w:sz w:val="24"/>
                <w:szCs w:val="24"/>
                <w:highlight w:val="none"/>
                <w:vertAlign w:val="superscript"/>
                <w:lang w:val="en-US" w:eastAsia="zh-CN" w:bidi="ar-SA"/>
              </w:rPr>
              <w:t>2</w:t>
            </w:r>
            <w:r>
              <w:rPr>
                <w:rFonts w:hint="eastAsia" w:cs="宋体"/>
                <w:bCs/>
                <w:kern w:val="0"/>
                <w:sz w:val="24"/>
                <w:szCs w:val="24"/>
                <w:highlight w:val="none"/>
                <w:vertAlign w:val="baseline"/>
                <w:lang w:val="en-US" w:eastAsia="zh-CN" w:bidi="ar-SA"/>
              </w:rPr>
              <w:t>*3m）</w:t>
            </w:r>
            <w:r>
              <w:rPr>
                <w:rFonts w:hint="eastAsia"/>
                <w:sz w:val="24"/>
                <w:highlight w:val="none"/>
              </w:rPr>
              <w:t>，换气次数</w:t>
            </w:r>
            <w:r>
              <w:rPr>
                <w:rFonts w:hint="eastAsia"/>
                <w:sz w:val="24"/>
                <w:highlight w:val="none"/>
                <w:lang w:val="en-US" w:eastAsia="zh-CN"/>
              </w:rPr>
              <w:t>为18</w:t>
            </w:r>
            <w:r>
              <w:rPr>
                <w:rFonts w:hint="eastAsia"/>
                <w:sz w:val="24"/>
                <w:highlight w:val="none"/>
              </w:rPr>
              <w:t>次/h</w:t>
            </w:r>
            <w:r>
              <w:rPr>
                <w:rFonts w:hint="eastAsia"/>
                <w:sz w:val="24"/>
                <w:highlight w:val="none"/>
                <w:lang w:eastAsia="zh-CN"/>
              </w:rPr>
              <w:t>，</w:t>
            </w:r>
            <w:r>
              <w:rPr>
                <w:rFonts w:hint="eastAsia"/>
                <w:sz w:val="24"/>
                <w:highlight w:val="none"/>
                <w:lang w:val="en-US" w:eastAsia="zh-CN"/>
              </w:rPr>
              <w:t>则</w:t>
            </w:r>
            <w:r>
              <w:rPr>
                <w:rFonts w:hint="eastAsia"/>
                <w:sz w:val="24"/>
                <w:highlight w:val="none"/>
              </w:rPr>
              <w:t>收集风量</w:t>
            </w:r>
            <w:r>
              <w:rPr>
                <w:rFonts w:hint="eastAsia"/>
                <w:sz w:val="24"/>
                <w:highlight w:val="none"/>
                <w:lang w:val="en-US" w:eastAsia="zh-CN"/>
              </w:rPr>
              <w:t>约为4860</w:t>
            </w:r>
            <w:r>
              <w:rPr>
                <w:rFonts w:hint="eastAsia"/>
                <w:sz w:val="24"/>
                <w:highlight w:val="none"/>
              </w:rPr>
              <w:t>m</w:t>
            </w:r>
            <w:r>
              <w:rPr>
                <w:rFonts w:hint="eastAsia"/>
                <w:sz w:val="24"/>
                <w:highlight w:val="none"/>
                <w:vertAlign w:val="superscript"/>
              </w:rPr>
              <w:t>3</w:t>
            </w:r>
            <w:r>
              <w:rPr>
                <w:rFonts w:hint="eastAsia"/>
                <w:sz w:val="24"/>
                <w:highlight w:val="none"/>
              </w:rPr>
              <w:t>/h</w:t>
            </w:r>
            <w:r>
              <w:rPr>
                <w:rFonts w:hint="eastAsia"/>
                <w:sz w:val="24"/>
                <w:highlight w:val="none"/>
                <w:lang w:eastAsia="zh-CN"/>
              </w:rPr>
              <w:t>，</w:t>
            </w:r>
            <w:r>
              <w:rPr>
                <w:rFonts w:hint="eastAsia" w:ascii="Times New Roman" w:hAnsi="Times New Roman" w:eastAsia="宋体" w:cs="宋体"/>
                <w:bCs/>
                <w:kern w:val="0"/>
                <w:sz w:val="24"/>
                <w:szCs w:val="24"/>
                <w:highlight w:val="none"/>
                <w:lang w:val="en-US" w:eastAsia="zh-CN" w:bidi="ar-SA"/>
              </w:rPr>
              <w:t>二楼</w:t>
            </w:r>
            <w:r>
              <w:rPr>
                <w:rFonts w:hint="eastAsia"/>
                <w:highlight w:val="none"/>
                <w:lang w:val="en-US" w:eastAsia="zh-CN"/>
              </w:rPr>
              <w:t>返回动物饲养区域</w:t>
            </w:r>
            <w:r>
              <w:rPr>
                <w:rFonts w:hint="default"/>
                <w:highlight w:val="none"/>
              </w:rPr>
              <w:t>饲养</w:t>
            </w:r>
            <w:r>
              <w:rPr>
                <w:rFonts w:hint="eastAsia" w:ascii="Times New Roman" w:hAnsi="Times New Roman" w:eastAsia="宋体" w:cs="宋体"/>
                <w:bCs/>
                <w:kern w:val="0"/>
                <w:sz w:val="24"/>
                <w:szCs w:val="24"/>
                <w:highlight w:val="none"/>
                <w:lang w:val="en-US" w:eastAsia="zh-CN" w:bidi="ar-SA"/>
              </w:rPr>
              <w:t>恶臭气体经收集后经</w:t>
            </w:r>
            <w:r>
              <w:rPr>
                <w:rFonts w:hint="eastAsia"/>
                <w:highlight w:val="none"/>
                <w:lang w:val="en-US" w:eastAsia="zh-CN"/>
              </w:rPr>
              <w:t>一体扰流喷淋除臭装置</w:t>
            </w:r>
            <w:r>
              <w:rPr>
                <w:rFonts w:hint="eastAsia" w:ascii="Times New Roman" w:hAnsi="Times New Roman" w:eastAsia="宋体" w:cs="宋体"/>
                <w:bCs/>
                <w:kern w:val="0"/>
                <w:sz w:val="24"/>
                <w:szCs w:val="24"/>
                <w:highlight w:val="none"/>
                <w:lang w:val="en-US" w:eastAsia="zh-CN" w:bidi="ar-SA"/>
              </w:rPr>
              <w:t>处理后通过</w:t>
            </w:r>
            <w:r>
              <w:rPr>
                <w:rFonts w:hint="eastAsia" w:cs="宋体"/>
                <w:bCs/>
                <w:kern w:val="0"/>
                <w:sz w:val="24"/>
                <w:szCs w:val="24"/>
                <w:highlight w:val="none"/>
                <w:lang w:val="en-US" w:eastAsia="zh-CN" w:bidi="ar-SA"/>
              </w:rPr>
              <w:t>30</w:t>
            </w:r>
            <w:r>
              <w:rPr>
                <w:rFonts w:hint="eastAsia" w:ascii="Times New Roman" w:hAnsi="Times New Roman" w:eastAsia="宋体" w:cs="宋体"/>
                <w:bCs/>
                <w:kern w:val="0"/>
                <w:sz w:val="24"/>
                <w:szCs w:val="24"/>
                <w:highlight w:val="none"/>
                <w:lang w:val="en-US" w:eastAsia="zh-CN" w:bidi="ar-SA"/>
              </w:rPr>
              <w:t>m高排气筒</w:t>
            </w:r>
            <w:r>
              <w:rPr>
                <w:rFonts w:hint="eastAsia" w:cs="宋体"/>
                <w:bCs/>
                <w:kern w:val="0"/>
                <w:sz w:val="24"/>
                <w:szCs w:val="24"/>
                <w:highlight w:val="none"/>
                <w:lang w:val="en-US" w:eastAsia="zh-CN" w:bidi="ar-SA"/>
              </w:rPr>
              <w:t>（DA002）</w:t>
            </w:r>
            <w:r>
              <w:rPr>
                <w:rFonts w:hint="eastAsia" w:ascii="Times New Roman" w:hAnsi="Times New Roman" w:eastAsia="宋体" w:cs="宋体"/>
                <w:bCs/>
                <w:kern w:val="0"/>
                <w:sz w:val="24"/>
                <w:szCs w:val="24"/>
                <w:highlight w:val="none"/>
                <w:lang w:val="en-US" w:eastAsia="zh-CN" w:bidi="ar-SA"/>
              </w:rPr>
              <w:t>高空排放；</w:t>
            </w:r>
          </w:p>
          <w:p w14:paraId="042BF1E1">
            <w:pPr>
              <w:keepNext w:val="0"/>
              <w:keepLines w:val="0"/>
              <w:pageBreakBefore w:val="0"/>
              <w:widowControl w:val="0"/>
              <w:suppressLineNumbers w:val="0"/>
              <w:kinsoku/>
              <w:wordWrap/>
              <w:overflowPunct/>
              <w:topLinePunct w:val="0"/>
              <w:autoSpaceDE/>
              <w:autoSpaceDN/>
              <w:bidi w:val="0"/>
              <w:adjustRightInd/>
              <w:snapToGrid/>
              <w:spacing w:before="60" w:beforeAutospacing="0" w:after="0" w:afterAutospacing="0" w:line="360" w:lineRule="auto"/>
              <w:ind w:left="0" w:right="0" w:firstLine="480" w:firstLineChars="200"/>
              <w:textAlignment w:val="auto"/>
              <w:rPr>
                <w:rFonts w:hint="eastAsia" w:ascii="Times New Roman" w:hAnsi="Times New Roman" w:eastAsia="宋体" w:cs="宋体"/>
                <w:bCs/>
                <w:kern w:val="0"/>
                <w:sz w:val="24"/>
                <w:szCs w:val="24"/>
                <w:highlight w:val="none"/>
                <w:lang w:val="en-US" w:eastAsia="zh-CN" w:bidi="ar-SA"/>
              </w:rPr>
            </w:pPr>
            <w:r>
              <w:rPr>
                <w:rFonts w:hint="eastAsia" w:ascii="Times New Roman" w:hAnsi="Times New Roman" w:eastAsia="宋体" w:cs="宋体"/>
                <w:bCs/>
                <w:kern w:val="0"/>
                <w:sz w:val="24"/>
                <w:szCs w:val="24"/>
                <w:highlight w:val="none"/>
                <w:lang w:val="en-US" w:eastAsia="zh-CN" w:bidi="ar-SA"/>
              </w:rPr>
              <w:t>二楼</w:t>
            </w:r>
            <w:r>
              <w:rPr>
                <w:rFonts w:hint="eastAsia"/>
                <w:highlight w:val="none"/>
                <w:lang w:val="en-US" w:eastAsia="zh-CN"/>
              </w:rPr>
              <w:t>SPF动物屏障区域</w:t>
            </w:r>
            <w:r>
              <w:rPr>
                <w:rFonts w:hint="eastAsia" w:cs="宋体"/>
                <w:bCs/>
                <w:kern w:val="0"/>
                <w:sz w:val="24"/>
                <w:szCs w:val="24"/>
                <w:highlight w:val="none"/>
                <w:lang w:val="en-US" w:eastAsia="zh-CN" w:bidi="ar-SA"/>
              </w:rPr>
              <w:t>体积约为1187.5m</w:t>
            </w:r>
            <w:r>
              <w:rPr>
                <w:rFonts w:hint="eastAsia" w:cs="宋体"/>
                <w:bCs/>
                <w:kern w:val="0"/>
                <w:sz w:val="24"/>
                <w:szCs w:val="24"/>
                <w:highlight w:val="none"/>
                <w:vertAlign w:val="superscript"/>
                <w:lang w:val="en-US" w:eastAsia="zh-CN" w:bidi="ar-SA"/>
              </w:rPr>
              <w:t>3</w:t>
            </w:r>
            <w:r>
              <w:rPr>
                <w:rFonts w:hint="eastAsia" w:cs="宋体"/>
                <w:bCs/>
                <w:kern w:val="0"/>
                <w:sz w:val="24"/>
                <w:szCs w:val="24"/>
                <w:highlight w:val="none"/>
                <w:vertAlign w:val="baseline"/>
                <w:lang w:val="en-US" w:eastAsia="zh-CN" w:bidi="ar-SA"/>
              </w:rPr>
              <w:t>（395.8m</w:t>
            </w:r>
            <w:r>
              <w:rPr>
                <w:rFonts w:hint="eastAsia" w:cs="宋体"/>
                <w:bCs/>
                <w:kern w:val="0"/>
                <w:sz w:val="24"/>
                <w:szCs w:val="24"/>
                <w:highlight w:val="none"/>
                <w:vertAlign w:val="superscript"/>
                <w:lang w:val="en-US" w:eastAsia="zh-CN" w:bidi="ar-SA"/>
              </w:rPr>
              <w:t>2</w:t>
            </w:r>
            <w:r>
              <w:rPr>
                <w:rFonts w:hint="eastAsia" w:cs="宋体"/>
                <w:bCs/>
                <w:kern w:val="0"/>
                <w:sz w:val="24"/>
                <w:szCs w:val="24"/>
                <w:highlight w:val="none"/>
                <w:vertAlign w:val="baseline"/>
                <w:lang w:val="en-US" w:eastAsia="zh-CN" w:bidi="ar-SA"/>
              </w:rPr>
              <w:t>*3m）</w:t>
            </w:r>
            <w:r>
              <w:rPr>
                <w:rFonts w:hint="eastAsia"/>
                <w:sz w:val="24"/>
                <w:highlight w:val="none"/>
              </w:rPr>
              <w:t>，换气次数</w:t>
            </w:r>
            <w:r>
              <w:rPr>
                <w:rFonts w:hint="eastAsia"/>
                <w:sz w:val="24"/>
                <w:highlight w:val="none"/>
                <w:lang w:val="en-US" w:eastAsia="zh-CN"/>
              </w:rPr>
              <w:t>为18</w:t>
            </w:r>
            <w:r>
              <w:rPr>
                <w:rFonts w:hint="eastAsia"/>
                <w:sz w:val="24"/>
                <w:highlight w:val="none"/>
              </w:rPr>
              <w:t>次/h</w:t>
            </w:r>
            <w:r>
              <w:rPr>
                <w:rFonts w:hint="eastAsia"/>
                <w:sz w:val="24"/>
                <w:highlight w:val="none"/>
                <w:lang w:eastAsia="zh-CN"/>
              </w:rPr>
              <w:t>，</w:t>
            </w:r>
            <w:r>
              <w:rPr>
                <w:rFonts w:hint="eastAsia"/>
                <w:sz w:val="24"/>
                <w:highlight w:val="none"/>
                <w:lang w:val="en-US" w:eastAsia="zh-CN"/>
              </w:rPr>
              <w:t>则</w:t>
            </w:r>
            <w:r>
              <w:rPr>
                <w:rFonts w:hint="eastAsia"/>
                <w:sz w:val="24"/>
                <w:highlight w:val="none"/>
              </w:rPr>
              <w:t>收集风量</w:t>
            </w:r>
            <w:r>
              <w:rPr>
                <w:rFonts w:hint="eastAsia"/>
                <w:sz w:val="24"/>
                <w:highlight w:val="none"/>
                <w:lang w:val="en-US" w:eastAsia="zh-CN"/>
              </w:rPr>
              <w:t>约为</w:t>
            </w:r>
            <w:r>
              <w:rPr>
                <w:rFonts w:hint="eastAsia"/>
                <w:sz w:val="24"/>
                <w:highlight w:val="none"/>
              </w:rPr>
              <w:t>2</w:t>
            </w:r>
            <w:r>
              <w:rPr>
                <w:rFonts w:hint="eastAsia"/>
                <w:sz w:val="24"/>
                <w:highlight w:val="none"/>
                <w:lang w:val="en-US" w:eastAsia="zh-CN"/>
              </w:rPr>
              <w:t>1375</w:t>
            </w:r>
            <w:r>
              <w:rPr>
                <w:rFonts w:hint="eastAsia"/>
                <w:sz w:val="24"/>
                <w:highlight w:val="none"/>
              </w:rPr>
              <w:t>m</w:t>
            </w:r>
            <w:r>
              <w:rPr>
                <w:rFonts w:hint="eastAsia"/>
                <w:sz w:val="24"/>
                <w:highlight w:val="none"/>
                <w:vertAlign w:val="superscript"/>
              </w:rPr>
              <w:t>3</w:t>
            </w:r>
            <w:r>
              <w:rPr>
                <w:rFonts w:hint="eastAsia"/>
                <w:sz w:val="24"/>
                <w:highlight w:val="none"/>
              </w:rPr>
              <w:t>/h</w:t>
            </w:r>
            <w:r>
              <w:rPr>
                <w:rFonts w:hint="eastAsia"/>
                <w:sz w:val="24"/>
                <w:highlight w:val="none"/>
                <w:lang w:eastAsia="zh-CN"/>
              </w:rPr>
              <w:t>，</w:t>
            </w:r>
            <w:r>
              <w:rPr>
                <w:rFonts w:hint="eastAsia" w:ascii="Times New Roman" w:hAnsi="Times New Roman" w:eastAsia="宋体" w:cs="宋体"/>
                <w:bCs/>
                <w:kern w:val="0"/>
                <w:sz w:val="24"/>
                <w:szCs w:val="24"/>
                <w:highlight w:val="none"/>
                <w:lang w:val="en-US" w:eastAsia="zh-CN" w:bidi="ar-SA"/>
              </w:rPr>
              <w:t>二楼</w:t>
            </w:r>
            <w:r>
              <w:rPr>
                <w:rFonts w:hint="eastAsia"/>
                <w:highlight w:val="none"/>
                <w:lang w:val="en-US" w:eastAsia="zh-CN"/>
              </w:rPr>
              <w:t>SPF动物屏障区域</w:t>
            </w:r>
            <w:r>
              <w:rPr>
                <w:rFonts w:hint="default"/>
                <w:highlight w:val="none"/>
              </w:rPr>
              <w:t>饲养</w:t>
            </w:r>
            <w:r>
              <w:rPr>
                <w:rFonts w:hint="eastAsia" w:ascii="Times New Roman" w:hAnsi="Times New Roman" w:eastAsia="宋体" w:cs="宋体"/>
                <w:bCs/>
                <w:kern w:val="0"/>
                <w:sz w:val="24"/>
                <w:szCs w:val="24"/>
                <w:highlight w:val="none"/>
                <w:lang w:val="en-US" w:eastAsia="zh-CN" w:bidi="ar-SA"/>
              </w:rPr>
              <w:t>恶臭气体经收集后经溶液空调自带喷淋除臭装置处理后通过</w:t>
            </w:r>
            <w:r>
              <w:rPr>
                <w:rFonts w:hint="eastAsia" w:cs="宋体"/>
                <w:bCs/>
                <w:kern w:val="0"/>
                <w:sz w:val="24"/>
                <w:szCs w:val="24"/>
                <w:highlight w:val="none"/>
                <w:lang w:val="en-US" w:eastAsia="zh-CN" w:bidi="ar-SA"/>
              </w:rPr>
              <w:t>30</w:t>
            </w:r>
            <w:r>
              <w:rPr>
                <w:rFonts w:hint="eastAsia" w:ascii="Times New Roman" w:hAnsi="Times New Roman" w:eastAsia="宋体" w:cs="宋体"/>
                <w:bCs/>
                <w:kern w:val="0"/>
                <w:sz w:val="24"/>
                <w:szCs w:val="24"/>
                <w:highlight w:val="none"/>
                <w:lang w:val="en-US" w:eastAsia="zh-CN" w:bidi="ar-SA"/>
              </w:rPr>
              <w:t>m高排气筒</w:t>
            </w:r>
            <w:r>
              <w:rPr>
                <w:rFonts w:hint="eastAsia" w:cs="宋体"/>
                <w:bCs/>
                <w:kern w:val="0"/>
                <w:sz w:val="24"/>
                <w:szCs w:val="24"/>
                <w:highlight w:val="none"/>
                <w:lang w:val="en-US" w:eastAsia="zh-CN" w:bidi="ar-SA"/>
              </w:rPr>
              <w:t>（DA003）</w:t>
            </w:r>
            <w:r>
              <w:rPr>
                <w:rFonts w:hint="eastAsia" w:ascii="Times New Roman" w:hAnsi="Times New Roman" w:eastAsia="宋体" w:cs="宋体"/>
                <w:bCs/>
                <w:kern w:val="0"/>
                <w:sz w:val="24"/>
                <w:szCs w:val="24"/>
                <w:highlight w:val="none"/>
                <w:lang w:val="en-US" w:eastAsia="zh-CN" w:bidi="ar-SA"/>
              </w:rPr>
              <w:t>高空排放；</w:t>
            </w:r>
          </w:p>
          <w:p w14:paraId="388A3F1C">
            <w:pPr>
              <w:keepNext w:val="0"/>
              <w:keepLines w:val="0"/>
              <w:pageBreakBefore w:val="0"/>
              <w:widowControl w:val="0"/>
              <w:suppressLineNumbers w:val="0"/>
              <w:kinsoku/>
              <w:wordWrap/>
              <w:overflowPunct/>
              <w:topLinePunct w:val="0"/>
              <w:autoSpaceDE/>
              <w:autoSpaceDN/>
              <w:bidi w:val="0"/>
              <w:adjustRightInd/>
              <w:snapToGrid/>
              <w:spacing w:before="60" w:beforeAutospacing="0" w:after="0" w:afterAutospacing="0" w:line="360" w:lineRule="auto"/>
              <w:ind w:left="0" w:right="0" w:firstLine="480" w:firstLineChars="200"/>
              <w:textAlignment w:val="auto"/>
              <w:rPr>
                <w:rFonts w:hint="eastAsia" w:ascii="Times New Roman" w:hAnsi="Times New Roman" w:eastAsia="宋体" w:cs="宋体"/>
                <w:bCs/>
                <w:kern w:val="0"/>
                <w:sz w:val="24"/>
                <w:szCs w:val="24"/>
                <w:highlight w:val="none"/>
                <w:lang w:val="en-US" w:eastAsia="zh-CN" w:bidi="ar-SA"/>
              </w:rPr>
            </w:pPr>
            <w:r>
              <w:rPr>
                <w:rFonts w:hint="eastAsia" w:ascii="Times New Roman" w:hAnsi="Times New Roman" w:eastAsia="宋体" w:cs="宋体"/>
                <w:bCs/>
                <w:kern w:val="0"/>
                <w:sz w:val="24"/>
                <w:szCs w:val="24"/>
                <w:highlight w:val="none"/>
                <w:lang w:val="en-US" w:eastAsia="zh-CN" w:bidi="ar-SA"/>
              </w:rPr>
              <w:t>三楼</w:t>
            </w:r>
            <w:r>
              <w:rPr>
                <w:rFonts w:hint="eastAsia"/>
                <w:color w:val="auto"/>
                <w:highlight w:val="none"/>
                <w:lang w:val="en-US" w:eastAsia="zh-CN"/>
              </w:rPr>
              <w:t>ABSL-2饲养</w:t>
            </w:r>
            <w:r>
              <w:rPr>
                <w:rFonts w:hint="eastAsia"/>
                <w:highlight w:val="none"/>
              </w:rPr>
              <w:t>区域</w:t>
            </w:r>
            <w:r>
              <w:rPr>
                <w:rFonts w:hint="eastAsia" w:cs="宋体"/>
                <w:bCs/>
                <w:kern w:val="0"/>
                <w:sz w:val="24"/>
                <w:szCs w:val="24"/>
                <w:highlight w:val="none"/>
                <w:lang w:val="en-US" w:eastAsia="zh-CN" w:bidi="ar-SA"/>
              </w:rPr>
              <w:t>体积约为378.3m</w:t>
            </w:r>
            <w:r>
              <w:rPr>
                <w:rFonts w:hint="eastAsia" w:cs="宋体"/>
                <w:bCs/>
                <w:kern w:val="0"/>
                <w:sz w:val="24"/>
                <w:szCs w:val="24"/>
                <w:highlight w:val="none"/>
                <w:vertAlign w:val="superscript"/>
                <w:lang w:val="en-US" w:eastAsia="zh-CN" w:bidi="ar-SA"/>
              </w:rPr>
              <w:t>3</w:t>
            </w:r>
            <w:r>
              <w:rPr>
                <w:rFonts w:hint="eastAsia" w:cs="宋体"/>
                <w:bCs/>
                <w:kern w:val="0"/>
                <w:sz w:val="24"/>
                <w:szCs w:val="24"/>
                <w:highlight w:val="none"/>
                <w:vertAlign w:val="baseline"/>
                <w:lang w:val="en-US" w:eastAsia="zh-CN" w:bidi="ar-SA"/>
              </w:rPr>
              <w:t>（126.1m</w:t>
            </w:r>
            <w:r>
              <w:rPr>
                <w:rFonts w:hint="eastAsia" w:cs="宋体"/>
                <w:bCs/>
                <w:kern w:val="0"/>
                <w:sz w:val="24"/>
                <w:szCs w:val="24"/>
                <w:highlight w:val="none"/>
                <w:vertAlign w:val="superscript"/>
                <w:lang w:val="en-US" w:eastAsia="zh-CN" w:bidi="ar-SA"/>
              </w:rPr>
              <w:t>2</w:t>
            </w:r>
            <w:r>
              <w:rPr>
                <w:rFonts w:hint="eastAsia" w:cs="宋体"/>
                <w:bCs/>
                <w:kern w:val="0"/>
                <w:sz w:val="24"/>
                <w:szCs w:val="24"/>
                <w:highlight w:val="none"/>
                <w:vertAlign w:val="baseline"/>
                <w:lang w:val="en-US" w:eastAsia="zh-CN" w:bidi="ar-SA"/>
              </w:rPr>
              <w:t>*3m）</w:t>
            </w:r>
            <w:r>
              <w:rPr>
                <w:rFonts w:hint="eastAsia"/>
                <w:sz w:val="24"/>
                <w:highlight w:val="none"/>
              </w:rPr>
              <w:t>，换气次数</w:t>
            </w:r>
            <w:r>
              <w:rPr>
                <w:rFonts w:hint="eastAsia"/>
                <w:sz w:val="24"/>
                <w:highlight w:val="none"/>
                <w:lang w:val="en-US" w:eastAsia="zh-CN"/>
              </w:rPr>
              <w:t>为18</w:t>
            </w:r>
            <w:r>
              <w:rPr>
                <w:rFonts w:hint="eastAsia"/>
                <w:sz w:val="24"/>
                <w:highlight w:val="none"/>
              </w:rPr>
              <w:t>次/h</w:t>
            </w:r>
            <w:r>
              <w:rPr>
                <w:rFonts w:hint="eastAsia"/>
                <w:sz w:val="24"/>
                <w:highlight w:val="none"/>
                <w:lang w:eastAsia="zh-CN"/>
              </w:rPr>
              <w:t>，</w:t>
            </w:r>
            <w:r>
              <w:rPr>
                <w:rFonts w:hint="eastAsia"/>
                <w:sz w:val="24"/>
                <w:highlight w:val="none"/>
                <w:lang w:val="en-US" w:eastAsia="zh-CN"/>
              </w:rPr>
              <w:t>则</w:t>
            </w:r>
            <w:r>
              <w:rPr>
                <w:rFonts w:hint="eastAsia"/>
                <w:sz w:val="24"/>
                <w:highlight w:val="none"/>
              </w:rPr>
              <w:t>收集风量</w:t>
            </w:r>
            <w:r>
              <w:rPr>
                <w:rFonts w:hint="eastAsia"/>
                <w:sz w:val="24"/>
                <w:highlight w:val="none"/>
                <w:lang w:val="en-US" w:eastAsia="zh-CN"/>
              </w:rPr>
              <w:t>约为6809</w:t>
            </w:r>
            <w:r>
              <w:rPr>
                <w:rFonts w:hint="eastAsia"/>
                <w:sz w:val="24"/>
                <w:highlight w:val="none"/>
              </w:rPr>
              <w:t>m</w:t>
            </w:r>
            <w:r>
              <w:rPr>
                <w:rFonts w:hint="eastAsia"/>
                <w:sz w:val="24"/>
                <w:highlight w:val="none"/>
                <w:vertAlign w:val="superscript"/>
              </w:rPr>
              <w:t>3</w:t>
            </w:r>
            <w:r>
              <w:rPr>
                <w:rFonts w:hint="eastAsia"/>
                <w:sz w:val="24"/>
                <w:highlight w:val="none"/>
              </w:rPr>
              <w:t>/h</w:t>
            </w:r>
            <w:r>
              <w:rPr>
                <w:rFonts w:hint="eastAsia"/>
                <w:sz w:val="24"/>
                <w:highlight w:val="none"/>
                <w:lang w:eastAsia="zh-CN"/>
              </w:rPr>
              <w:t>，</w:t>
            </w:r>
            <w:r>
              <w:rPr>
                <w:rFonts w:hint="eastAsia" w:ascii="Times New Roman" w:hAnsi="Times New Roman" w:eastAsia="宋体" w:cs="宋体"/>
                <w:bCs/>
                <w:kern w:val="0"/>
                <w:sz w:val="24"/>
                <w:szCs w:val="24"/>
                <w:highlight w:val="none"/>
                <w:lang w:val="en-US" w:eastAsia="zh-CN" w:bidi="ar-SA"/>
              </w:rPr>
              <w:t>三楼</w:t>
            </w:r>
            <w:r>
              <w:rPr>
                <w:rFonts w:hint="eastAsia"/>
                <w:color w:val="auto"/>
                <w:highlight w:val="none"/>
                <w:lang w:val="en-US" w:eastAsia="zh-CN"/>
              </w:rPr>
              <w:t>ABSL-2饲养</w:t>
            </w:r>
            <w:r>
              <w:rPr>
                <w:rFonts w:hint="eastAsia"/>
                <w:highlight w:val="none"/>
              </w:rPr>
              <w:t>区域</w:t>
            </w:r>
            <w:r>
              <w:rPr>
                <w:rFonts w:hint="default"/>
                <w:highlight w:val="none"/>
              </w:rPr>
              <w:t>饲养</w:t>
            </w:r>
            <w:r>
              <w:rPr>
                <w:rFonts w:hint="eastAsia" w:ascii="Times New Roman" w:hAnsi="Times New Roman" w:eastAsia="宋体" w:cs="宋体"/>
                <w:bCs/>
                <w:kern w:val="0"/>
                <w:sz w:val="24"/>
                <w:szCs w:val="24"/>
                <w:highlight w:val="none"/>
                <w:lang w:val="en-US" w:eastAsia="zh-CN" w:bidi="ar-SA"/>
              </w:rPr>
              <w:t>恶臭气体经收集后经溶液空调自带喷淋除臭装置处理后通过</w:t>
            </w:r>
            <w:r>
              <w:rPr>
                <w:rFonts w:hint="eastAsia" w:cs="宋体"/>
                <w:bCs/>
                <w:kern w:val="0"/>
                <w:sz w:val="24"/>
                <w:szCs w:val="24"/>
                <w:highlight w:val="none"/>
                <w:lang w:val="en-US" w:eastAsia="zh-CN" w:bidi="ar-SA"/>
              </w:rPr>
              <w:t>30</w:t>
            </w:r>
            <w:r>
              <w:rPr>
                <w:rFonts w:hint="eastAsia" w:ascii="Times New Roman" w:hAnsi="Times New Roman" w:eastAsia="宋体" w:cs="宋体"/>
                <w:bCs/>
                <w:kern w:val="0"/>
                <w:sz w:val="24"/>
                <w:szCs w:val="24"/>
                <w:highlight w:val="none"/>
                <w:lang w:val="en-US" w:eastAsia="zh-CN" w:bidi="ar-SA"/>
              </w:rPr>
              <w:t>m高排气筒</w:t>
            </w:r>
            <w:r>
              <w:rPr>
                <w:rFonts w:hint="eastAsia" w:cs="宋体"/>
                <w:bCs/>
                <w:kern w:val="0"/>
                <w:sz w:val="24"/>
                <w:szCs w:val="24"/>
                <w:highlight w:val="none"/>
                <w:lang w:val="en-US" w:eastAsia="zh-CN" w:bidi="ar-SA"/>
              </w:rPr>
              <w:t>（DA004）</w:t>
            </w:r>
            <w:r>
              <w:rPr>
                <w:rFonts w:hint="eastAsia" w:ascii="Times New Roman" w:hAnsi="Times New Roman" w:eastAsia="宋体" w:cs="宋体"/>
                <w:bCs/>
                <w:kern w:val="0"/>
                <w:sz w:val="24"/>
                <w:szCs w:val="24"/>
                <w:highlight w:val="none"/>
                <w:lang w:val="en-US" w:eastAsia="zh-CN" w:bidi="ar-SA"/>
              </w:rPr>
              <w:t>高空排放；</w:t>
            </w:r>
          </w:p>
          <w:p w14:paraId="5FF85AA9">
            <w:pPr>
              <w:keepNext w:val="0"/>
              <w:keepLines w:val="0"/>
              <w:pageBreakBefore w:val="0"/>
              <w:widowControl w:val="0"/>
              <w:suppressLineNumbers w:val="0"/>
              <w:kinsoku/>
              <w:wordWrap/>
              <w:overflowPunct/>
              <w:topLinePunct w:val="0"/>
              <w:autoSpaceDE/>
              <w:autoSpaceDN/>
              <w:bidi w:val="0"/>
              <w:adjustRightInd/>
              <w:snapToGrid/>
              <w:spacing w:before="60" w:beforeAutospacing="0" w:after="0" w:afterAutospacing="0" w:line="360" w:lineRule="auto"/>
              <w:ind w:left="0" w:right="0" w:firstLine="480" w:firstLineChars="200"/>
              <w:textAlignment w:val="auto"/>
              <w:rPr>
                <w:rFonts w:hint="default" w:ascii="Times New Roman" w:hAnsi="Times New Roman" w:eastAsia="宋体" w:cs="Times New Roman"/>
                <w:b w:val="0"/>
                <w:bCs w:val="0"/>
                <w:sz w:val="24"/>
                <w:szCs w:val="24"/>
                <w:highlight w:val="none"/>
                <w:lang w:val="en-US" w:eastAsia="zh-CN"/>
              </w:rPr>
            </w:pPr>
            <w:r>
              <w:rPr>
                <w:rFonts w:hint="eastAsia" w:ascii="Times New Roman" w:hAnsi="Times New Roman" w:eastAsia="宋体" w:cs="宋体"/>
                <w:bCs/>
                <w:kern w:val="0"/>
                <w:sz w:val="24"/>
                <w:szCs w:val="24"/>
                <w:highlight w:val="none"/>
                <w:lang w:val="en-US" w:eastAsia="zh-CN" w:bidi="ar-SA"/>
              </w:rPr>
              <w:t>三楼</w:t>
            </w:r>
            <w:r>
              <w:rPr>
                <w:rFonts w:hint="eastAsia"/>
                <w:highlight w:val="none"/>
                <w:lang w:val="en-US" w:eastAsia="zh-CN"/>
              </w:rPr>
              <w:t>免疫缺陷动物屏障</w:t>
            </w:r>
            <w:r>
              <w:rPr>
                <w:rFonts w:hint="eastAsia"/>
                <w:highlight w:val="none"/>
              </w:rPr>
              <w:t>区域</w:t>
            </w:r>
            <w:r>
              <w:rPr>
                <w:rFonts w:hint="eastAsia" w:cs="宋体"/>
                <w:bCs/>
                <w:kern w:val="0"/>
                <w:sz w:val="24"/>
                <w:szCs w:val="24"/>
                <w:highlight w:val="none"/>
                <w:lang w:val="en-US" w:eastAsia="zh-CN" w:bidi="ar-SA"/>
              </w:rPr>
              <w:t>体积约为1060m</w:t>
            </w:r>
            <w:r>
              <w:rPr>
                <w:rFonts w:hint="eastAsia" w:cs="宋体"/>
                <w:bCs/>
                <w:kern w:val="0"/>
                <w:sz w:val="24"/>
                <w:szCs w:val="24"/>
                <w:highlight w:val="none"/>
                <w:vertAlign w:val="superscript"/>
                <w:lang w:val="en-US" w:eastAsia="zh-CN" w:bidi="ar-SA"/>
              </w:rPr>
              <w:t>3</w:t>
            </w:r>
            <w:r>
              <w:rPr>
                <w:rFonts w:hint="eastAsia" w:cs="宋体"/>
                <w:bCs/>
                <w:kern w:val="0"/>
                <w:sz w:val="24"/>
                <w:szCs w:val="24"/>
                <w:highlight w:val="none"/>
                <w:vertAlign w:val="baseline"/>
                <w:lang w:val="en-US" w:eastAsia="zh-CN" w:bidi="ar-SA"/>
              </w:rPr>
              <w:t>（353.3m</w:t>
            </w:r>
            <w:r>
              <w:rPr>
                <w:rFonts w:hint="eastAsia" w:cs="宋体"/>
                <w:bCs/>
                <w:kern w:val="0"/>
                <w:sz w:val="24"/>
                <w:szCs w:val="24"/>
                <w:highlight w:val="none"/>
                <w:vertAlign w:val="superscript"/>
                <w:lang w:val="en-US" w:eastAsia="zh-CN" w:bidi="ar-SA"/>
              </w:rPr>
              <w:t>2</w:t>
            </w:r>
            <w:r>
              <w:rPr>
                <w:rFonts w:hint="eastAsia" w:cs="宋体"/>
                <w:bCs/>
                <w:kern w:val="0"/>
                <w:sz w:val="24"/>
                <w:szCs w:val="24"/>
                <w:highlight w:val="none"/>
                <w:vertAlign w:val="baseline"/>
                <w:lang w:val="en-US" w:eastAsia="zh-CN" w:bidi="ar-SA"/>
              </w:rPr>
              <w:t>*3m）</w:t>
            </w:r>
            <w:r>
              <w:rPr>
                <w:rFonts w:hint="eastAsia"/>
                <w:sz w:val="24"/>
                <w:highlight w:val="none"/>
              </w:rPr>
              <w:t>，换气次数</w:t>
            </w:r>
            <w:r>
              <w:rPr>
                <w:rFonts w:hint="eastAsia"/>
                <w:sz w:val="24"/>
                <w:highlight w:val="none"/>
                <w:lang w:val="en-US" w:eastAsia="zh-CN"/>
              </w:rPr>
              <w:t>为18</w:t>
            </w:r>
            <w:r>
              <w:rPr>
                <w:rFonts w:hint="eastAsia"/>
                <w:sz w:val="24"/>
                <w:highlight w:val="none"/>
              </w:rPr>
              <w:t>次/h</w:t>
            </w:r>
            <w:r>
              <w:rPr>
                <w:rFonts w:hint="eastAsia"/>
                <w:sz w:val="24"/>
                <w:highlight w:val="none"/>
                <w:lang w:eastAsia="zh-CN"/>
              </w:rPr>
              <w:t>，</w:t>
            </w:r>
            <w:r>
              <w:rPr>
                <w:rFonts w:hint="eastAsia"/>
                <w:sz w:val="24"/>
                <w:highlight w:val="none"/>
                <w:lang w:val="en-US" w:eastAsia="zh-CN"/>
              </w:rPr>
              <w:t>则</w:t>
            </w:r>
            <w:r>
              <w:rPr>
                <w:rFonts w:hint="eastAsia"/>
                <w:sz w:val="24"/>
                <w:highlight w:val="none"/>
              </w:rPr>
              <w:t>收集风量</w:t>
            </w:r>
            <w:r>
              <w:rPr>
                <w:rFonts w:hint="eastAsia"/>
                <w:sz w:val="24"/>
                <w:highlight w:val="none"/>
                <w:lang w:val="en-US" w:eastAsia="zh-CN"/>
              </w:rPr>
              <w:t>约为19080</w:t>
            </w:r>
            <w:r>
              <w:rPr>
                <w:rFonts w:hint="eastAsia"/>
                <w:sz w:val="24"/>
                <w:highlight w:val="none"/>
              </w:rPr>
              <w:t>m</w:t>
            </w:r>
            <w:r>
              <w:rPr>
                <w:rFonts w:hint="eastAsia"/>
                <w:sz w:val="24"/>
                <w:highlight w:val="none"/>
                <w:vertAlign w:val="superscript"/>
              </w:rPr>
              <w:t>3</w:t>
            </w:r>
            <w:r>
              <w:rPr>
                <w:rFonts w:hint="eastAsia"/>
                <w:sz w:val="24"/>
                <w:highlight w:val="none"/>
              </w:rPr>
              <w:t>/h</w:t>
            </w:r>
            <w:r>
              <w:rPr>
                <w:rFonts w:hint="eastAsia"/>
                <w:sz w:val="24"/>
                <w:highlight w:val="none"/>
                <w:lang w:eastAsia="zh-CN"/>
              </w:rPr>
              <w:t>，</w:t>
            </w:r>
            <w:r>
              <w:rPr>
                <w:rFonts w:hint="eastAsia" w:ascii="Times New Roman" w:hAnsi="Times New Roman" w:eastAsia="宋体" w:cs="宋体"/>
                <w:bCs/>
                <w:kern w:val="0"/>
                <w:sz w:val="24"/>
                <w:szCs w:val="24"/>
                <w:highlight w:val="none"/>
                <w:lang w:val="en-US" w:eastAsia="zh-CN" w:bidi="ar-SA"/>
              </w:rPr>
              <w:t>三楼</w:t>
            </w:r>
            <w:r>
              <w:rPr>
                <w:rFonts w:hint="eastAsia"/>
                <w:highlight w:val="none"/>
                <w:lang w:val="en-US" w:eastAsia="zh-CN"/>
              </w:rPr>
              <w:t>免疫缺陷动物屏障</w:t>
            </w:r>
            <w:r>
              <w:rPr>
                <w:rFonts w:hint="eastAsia"/>
                <w:highlight w:val="none"/>
              </w:rPr>
              <w:t>区域</w:t>
            </w:r>
            <w:r>
              <w:rPr>
                <w:rFonts w:hint="default"/>
                <w:highlight w:val="none"/>
              </w:rPr>
              <w:t>饲养</w:t>
            </w:r>
            <w:r>
              <w:rPr>
                <w:rFonts w:hint="eastAsia" w:ascii="Times New Roman" w:hAnsi="Times New Roman" w:eastAsia="宋体" w:cs="宋体"/>
                <w:bCs/>
                <w:kern w:val="0"/>
                <w:sz w:val="24"/>
                <w:szCs w:val="24"/>
                <w:highlight w:val="none"/>
                <w:lang w:val="en-US" w:eastAsia="zh-CN" w:bidi="ar-SA"/>
              </w:rPr>
              <w:t>恶臭气体经收集后经溶液空调自带喷淋除臭装置处理后通过</w:t>
            </w:r>
            <w:r>
              <w:rPr>
                <w:rFonts w:hint="eastAsia" w:cs="宋体"/>
                <w:bCs/>
                <w:kern w:val="0"/>
                <w:sz w:val="24"/>
                <w:szCs w:val="24"/>
                <w:highlight w:val="none"/>
                <w:lang w:val="en-US" w:eastAsia="zh-CN" w:bidi="ar-SA"/>
              </w:rPr>
              <w:t>30</w:t>
            </w:r>
            <w:r>
              <w:rPr>
                <w:rFonts w:hint="eastAsia" w:ascii="Times New Roman" w:hAnsi="Times New Roman" w:eastAsia="宋体" w:cs="宋体"/>
                <w:bCs/>
                <w:kern w:val="0"/>
                <w:sz w:val="24"/>
                <w:szCs w:val="24"/>
                <w:highlight w:val="none"/>
                <w:lang w:val="en-US" w:eastAsia="zh-CN" w:bidi="ar-SA"/>
              </w:rPr>
              <w:t>m高排气筒</w:t>
            </w:r>
            <w:r>
              <w:rPr>
                <w:rFonts w:hint="eastAsia" w:cs="宋体"/>
                <w:bCs/>
                <w:kern w:val="0"/>
                <w:sz w:val="24"/>
                <w:szCs w:val="24"/>
                <w:highlight w:val="none"/>
                <w:lang w:val="en-US" w:eastAsia="zh-CN" w:bidi="ar-SA"/>
              </w:rPr>
              <w:t>（DA005）</w:t>
            </w:r>
            <w:r>
              <w:rPr>
                <w:rFonts w:hint="eastAsia" w:ascii="Times New Roman" w:hAnsi="Times New Roman" w:eastAsia="宋体" w:cs="宋体"/>
                <w:bCs/>
                <w:kern w:val="0"/>
                <w:sz w:val="24"/>
                <w:szCs w:val="24"/>
                <w:highlight w:val="none"/>
                <w:lang w:val="en-US" w:eastAsia="zh-CN" w:bidi="ar-SA"/>
              </w:rPr>
              <w:t>高空排放</w:t>
            </w:r>
            <w:r>
              <w:rPr>
                <w:rFonts w:hint="eastAsia"/>
                <w:color w:val="auto"/>
                <w:highlight w:val="none"/>
                <w:lang w:val="en-US" w:eastAsia="zh-CN"/>
              </w:rPr>
              <w:t>。项目</w:t>
            </w:r>
            <w:r>
              <w:rPr>
                <w:rFonts w:hint="eastAsia" w:ascii="Times New Roman" w:hAnsi="Times New Roman" w:eastAsia="宋体" w:cs="Times New Roman"/>
                <w:sz w:val="24"/>
                <w:szCs w:val="24"/>
                <w:highlight w:val="none"/>
                <w:lang w:val="en-US" w:eastAsia="zh-CN"/>
              </w:rPr>
              <w:t>动物饲养区域恶臭气体产生及排放情况见下表</w:t>
            </w:r>
            <w:r>
              <w:rPr>
                <w:rFonts w:hint="eastAsia" w:cs="Times New Roman"/>
                <w:sz w:val="24"/>
                <w:szCs w:val="24"/>
                <w:highlight w:val="none"/>
                <w:lang w:val="en-US" w:eastAsia="zh-CN"/>
              </w:rPr>
              <w:t>7</w:t>
            </w:r>
            <w:r>
              <w:rPr>
                <w:rFonts w:hint="eastAsia" w:ascii="Times New Roman" w:hAnsi="Times New Roman" w:eastAsia="宋体" w:cs="Times New Roman"/>
                <w:sz w:val="24"/>
                <w:szCs w:val="24"/>
                <w:highlight w:val="none"/>
                <w:lang w:val="en-US" w:eastAsia="zh-CN"/>
              </w:rPr>
              <w:t>-</w:t>
            </w:r>
            <w:r>
              <w:rPr>
                <w:rFonts w:hint="eastAsia" w:cs="Times New Roman"/>
                <w:sz w:val="24"/>
                <w:szCs w:val="24"/>
                <w:highlight w:val="none"/>
                <w:lang w:val="en-US" w:eastAsia="zh-CN"/>
              </w:rPr>
              <w:t>13</w:t>
            </w:r>
            <w:r>
              <w:rPr>
                <w:rFonts w:hint="eastAsia" w:ascii="Times New Roman" w:hAnsi="Times New Roman" w:eastAsia="宋体" w:cs="Times New Roman"/>
                <w:sz w:val="24"/>
                <w:szCs w:val="24"/>
                <w:highlight w:val="none"/>
                <w:lang w:val="en-US" w:eastAsia="zh-CN"/>
              </w:rPr>
              <w:t>。</w:t>
            </w:r>
          </w:p>
          <w:p w14:paraId="05F589F7">
            <w:pPr>
              <w:keepNext w:val="0"/>
              <w:keepLines w:val="0"/>
              <w:pageBreakBefore w:val="0"/>
              <w:widowControl w:val="0"/>
              <w:suppressLineNumbers w:val="0"/>
              <w:kinsoku/>
              <w:wordWrap/>
              <w:overflowPunct w:val="0"/>
              <w:topLinePunct w:val="0"/>
              <w:autoSpaceDE/>
              <w:autoSpaceDN/>
              <w:bidi w:val="0"/>
              <w:adjustRightInd w:val="0"/>
              <w:snapToGrid w:val="0"/>
              <w:spacing w:before="0" w:beforeAutospacing="0" w:after="0" w:afterAutospacing="0" w:line="360" w:lineRule="auto"/>
              <w:ind w:left="0" w:right="0" w:firstLine="482"/>
              <w:jc w:val="center"/>
              <w:textAlignment w:val="auto"/>
              <w:rPr>
                <w:rFonts w:hint="default" w:ascii="Times New Roman" w:hAnsi="Times New Roman" w:eastAsia="宋体" w:cs="Times New Roman"/>
                <w:b/>
                <w:bCs/>
                <w:kern w:val="0"/>
                <w:sz w:val="24"/>
                <w:highlight w:val="none"/>
                <w:lang w:val="en-US" w:eastAsia="zh-CN"/>
              </w:rPr>
            </w:pPr>
            <w:r>
              <w:rPr>
                <w:rFonts w:hint="eastAsia" w:ascii="Times New Roman" w:hAnsi="Times New Roman" w:eastAsia="宋体" w:cs="Times New Roman"/>
                <w:b/>
                <w:bCs/>
                <w:kern w:val="0"/>
                <w:sz w:val="24"/>
                <w:highlight w:val="none"/>
                <w:lang w:val="en-US" w:eastAsia="zh-CN"/>
              </w:rPr>
              <w:t>表</w:t>
            </w:r>
            <w:r>
              <w:rPr>
                <w:rFonts w:hint="eastAsia" w:cs="Times New Roman"/>
                <w:b/>
                <w:bCs/>
                <w:kern w:val="0"/>
                <w:sz w:val="24"/>
                <w:highlight w:val="none"/>
                <w:lang w:val="en-US" w:eastAsia="zh-CN"/>
              </w:rPr>
              <w:t>7</w:t>
            </w:r>
            <w:r>
              <w:rPr>
                <w:rFonts w:hint="eastAsia" w:ascii="Times New Roman" w:hAnsi="Times New Roman" w:eastAsia="宋体" w:cs="Times New Roman"/>
                <w:b/>
                <w:bCs/>
                <w:kern w:val="0"/>
                <w:sz w:val="24"/>
                <w:highlight w:val="none"/>
                <w:lang w:val="en-US" w:eastAsia="zh-CN"/>
              </w:rPr>
              <w:t>-</w:t>
            </w:r>
            <w:r>
              <w:rPr>
                <w:rFonts w:hint="eastAsia" w:cs="Times New Roman"/>
                <w:b/>
                <w:bCs/>
                <w:kern w:val="0"/>
                <w:sz w:val="24"/>
                <w:highlight w:val="none"/>
                <w:lang w:val="en-US" w:eastAsia="zh-CN"/>
              </w:rPr>
              <w:t>13</w:t>
            </w:r>
            <w:r>
              <w:rPr>
                <w:rFonts w:hint="eastAsia" w:ascii="Times New Roman" w:hAnsi="Times New Roman" w:eastAsia="宋体" w:cs="Times New Roman"/>
                <w:b/>
                <w:bCs/>
                <w:kern w:val="0"/>
                <w:sz w:val="24"/>
                <w:highlight w:val="none"/>
                <w:lang w:val="en-US" w:eastAsia="zh-CN"/>
              </w:rPr>
              <w:t xml:space="preserve"> 动物饲养区域恶臭气体产生及排放情况表</w:t>
            </w:r>
          </w:p>
          <w:tbl>
            <w:tblPr>
              <w:tblStyle w:val="33"/>
              <w:tblW w:w="4995"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68"/>
              <w:gridCol w:w="903"/>
              <w:gridCol w:w="1021"/>
              <w:gridCol w:w="1065"/>
              <w:gridCol w:w="1049"/>
              <w:gridCol w:w="1157"/>
              <w:gridCol w:w="1039"/>
              <w:gridCol w:w="1176"/>
            </w:tblGrid>
            <w:tr w14:paraId="75C6529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70" w:type="pct"/>
                  <w:vMerge w:val="restart"/>
                  <w:noWrap w:val="0"/>
                  <w:vAlign w:val="center"/>
                </w:tcPr>
                <w:p w14:paraId="5EC5BAC3">
                  <w:pPr>
                    <w:keepNext w:val="0"/>
                    <w:keepLines w:val="0"/>
                    <w:widowControl/>
                    <w:suppressLineNumbers w:val="0"/>
                    <w:spacing w:before="0" w:beforeAutospacing="0" w:after="0" w:afterAutospacing="0" w:line="280" w:lineRule="exact"/>
                    <w:ind w:left="0" w:right="0"/>
                    <w:jc w:val="center"/>
                    <w:textAlignment w:val="center"/>
                    <w:rPr>
                      <w:rFonts w:hint="eastAsia" w:ascii="Times New Roman" w:hAnsi="Times New Roman" w:eastAsia="宋体" w:cs="Times New Roman"/>
                      <w:b w:val="0"/>
                      <w:bCs w:val="0"/>
                      <w:sz w:val="21"/>
                      <w:szCs w:val="21"/>
                      <w:highlight w:val="none"/>
                      <w:lang w:bidi="ar"/>
                    </w:rPr>
                  </w:pPr>
                  <w:r>
                    <w:rPr>
                      <w:rFonts w:hint="eastAsia" w:ascii="Times New Roman" w:hAnsi="Times New Roman" w:eastAsia="宋体" w:cs="Times New Roman"/>
                      <w:b w:val="0"/>
                      <w:bCs w:val="0"/>
                      <w:sz w:val="21"/>
                      <w:szCs w:val="21"/>
                      <w:highlight w:val="none"/>
                      <w:lang w:val="en-US" w:eastAsia="zh-CN" w:bidi="ar"/>
                    </w:rPr>
                    <w:t>污染源</w:t>
                  </w:r>
                </w:p>
              </w:tc>
              <w:tc>
                <w:tcPr>
                  <w:tcW w:w="1176" w:type="pct"/>
                  <w:gridSpan w:val="2"/>
                  <w:vMerge w:val="restart"/>
                  <w:noWrap w:val="0"/>
                  <w:vAlign w:val="center"/>
                </w:tcPr>
                <w:p w14:paraId="1D71E628">
                  <w:pPr>
                    <w:keepNext w:val="0"/>
                    <w:keepLines w:val="0"/>
                    <w:widowControl/>
                    <w:suppressLineNumbers w:val="0"/>
                    <w:spacing w:before="0" w:beforeAutospacing="0" w:after="0" w:afterAutospacing="0" w:line="280" w:lineRule="exact"/>
                    <w:ind w:left="0" w:right="0"/>
                    <w:jc w:val="center"/>
                    <w:textAlignment w:val="center"/>
                    <w:rPr>
                      <w:rFonts w:hint="default" w:ascii="Times New Roman" w:hAnsi="Times New Roman" w:eastAsia="宋体" w:cs="Times New Roman"/>
                      <w:b w:val="0"/>
                      <w:bCs w:val="0"/>
                      <w:sz w:val="21"/>
                      <w:szCs w:val="21"/>
                      <w:highlight w:val="none"/>
                      <w:lang w:val="en-US" w:bidi="ar"/>
                    </w:rPr>
                  </w:pPr>
                  <w:r>
                    <w:rPr>
                      <w:rFonts w:hint="eastAsia" w:cs="Times New Roman"/>
                      <w:b w:val="0"/>
                      <w:bCs w:val="0"/>
                      <w:sz w:val="21"/>
                      <w:szCs w:val="21"/>
                      <w:highlight w:val="none"/>
                      <w:lang w:val="en-US" w:eastAsia="zh-CN" w:bidi="ar"/>
                    </w:rPr>
                    <w:t>排放方式</w:t>
                  </w:r>
                </w:p>
              </w:tc>
              <w:tc>
                <w:tcPr>
                  <w:tcW w:w="651" w:type="pct"/>
                  <w:vMerge w:val="restart"/>
                  <w:noWrap w:val="0"/>
                  <w:vAlign w:val="center"/>
                </w:tcPr>
                <w:p w14:paraId="69FCB89E">
                  <w:pPr>
                    <w:keepNext w:val="0"/>
                    <w:keepLines w:val="0"/>
                    <w:widowControl/>
                    <w:suppressLineNumbers w:val="0"/>
                    <w:spacing w:before="0" w:beforeAutospacing="0" w:after="0" w:afterAutospacing="0" w:line="280" w:lineRule="exact"/>
                    <w:ind w:left="0" w:right="0"/>
                    <w:jc w:val="center"/>
                    <w:textAlignment w:val="center"/>
                    <w:rPr>
                      <w:rFonts w:hint="eastAsia" w:ascii="Times New Roman" w:hAnsi="Times New Roman" w:eastAsia="宋体" w:cs="Times New Roman"/>
                      <w:b w:val="0"/>
                      <w:bCs w:val="0"/>
                      <w:sz w:val="21"/>
                      <w:szCs w:val="21"/>
                      <w:highlight w:val="none"/>
                      <w:lang w:bidi="ar"/>
                    </w:rPr>
                  </w:pPr>
                  <w:r>
                    <w:rPr>
                      <w:rFonts w:hint="eastAsia" w:ascii="Times New Roman" w:hAnsi="Times New Roman" w:eastAsia="宋体" w:cs="Times New Roman"/>
                      <w:b w:val="0"/>
                      <w:bCs w:val="0"/>
                      <w:sz w:val="21"/>
                      <w:szCs w:val="21"/>
                      <w:highlight w:val="none"/>
                      <w:lang w:val="en-US" w:eastAsia="zh-CN" w:bidi="ar"/>
                    </w:rPr>
                    <w:t>污染因子</w:t>
                  </w:r>
                </w:p>
              </w:tc>
              <w:tc>
                <w:tcPr>
                  <w:tcW w:w="1348" w:type="pct"/>
                  <w:gridSpan w:val="2"/>
                  <w:noWrap w:val="0"/>
                  <w:vAlign w:val="center"/>
                </w:tcPr>
                <w:p w14:paraId="55D72CFF">
                  <w:pPr>
                    <w:keepNext w:val="0"/>
                    <w:keepLines w:val="0"/>
                    <w:widowControl/>
                    <w:suppressLineNumbers w:val="0"/>
                    <w:spacing w:before="0" w:beforeAutospacing="0" w:after="0" w:afterAutospacing="0" w:line="280" w:lineRule="exact"/>
                    <w:ind w:left="0" w:right="0"/>
                    <w:jc w:val="center"/>
                    <w:textAlignment w:val="center"/>
                    <w:rPr>
                      <w:rFonts w:hint="eastAsia" w:ascii="Times New Roman" w:hAnsi="Times New Roman" w:eastAsia="宋体" w:cs="Times New Roman"/>
                      <w:b w:val="0"/>
                      <w:bCs w:val="0"/>
                      <w:sz w:val="21"/>
                      <w:szCs w:val="21"/>
                      <w:highlight w:val="none"/>
                      <w:lang w:bidi="ar"/>
                    </w:rPr>
                  </w:pPr>
                  <w:r>
                    <w:rPr>
                      <w:rFonts w:hint="eastAsia" w:ascii="Times New Roman" w:hAnsi="Times New Roman" w:eastAsia="宋体" w:cs="Times New Roman"/>
                      <w:b w:val="0"/>
                      <w:bCs w:val="0"/>
                      <w:sz w:val="21"/>
                      <w:szCs w:val="21"/>
                      <w:highlight w:val="none"/>
                      <w:lang w:val="en-US" w:eastAsia="zh-CN" w:bidi="ar"/>
                    </w:rPr>
                    <w:t>产生情况</w:t>
                  </w:r>
                </w:p>
              </w:tc>
              <w:tc>
                <w:tcPr>
                  <w:tcW w:w="1354" w:type="pct"/>
                  <w:gridSpan w:val="2"/>
                  <w:noWrap w:val="0"/>
                  <w:vAlign w:val="center"/>
                </w:tcPr>
                <w:p w14:paraId="00A6CF49">
                  <w:pPr>
                    <w:keepNext w:val="0"/>
                    <w:keepLines w:val="0"/>
                    <w:widowControl/>
                    <w:suppressLineNumbers w:val="0"/>
                    <w:spacing w:before="0" w:beforeAutospacing="0" w:after="0" w:afterAutospacing="0" w:line="280" w:lineRule="exact"/>
                    <w:ind w:left="0" w:right="0"/>
                    <w:jc w:val="center"/>
                    <w:textAlignment w:val="center"/>
                    <w:rPr>
                      <w:rFonts w:hint="eastAsia" w:ascii="Times New Roman" w:hAnsi="Times New Roman" w:eastAsia="宋体" w:cs="Times New Roman"/>
                      <w:b w:val="0"/>
                      <w:bCs w:val="0"/>
                      <w:sz w:val="21"/>
                      <w:szCs w:val="21"/>
                      <w:highlight w:val="none"/>
                      <w:lang w:bidi="ar"/>
                    </w:rPr>
                  </w:pPr>
                  <w:r>
                    <w:rPr>
                      <w:rFonts w:hint="eastAsia" w:ascii="Times New Roman" w:hAnsi="Times New Roman" w:eastAsia="宋体" w:cs="Times New Roman"/>
                      <w:b w:val="0"/>
                      <w:bCs w:val="0"/>
                      <w:sz w:val="21"/>
                      <w:szCs w:val="21"/>
                      <w:highlight w:val="none"/>
                      <w:lang w:val="en-US" w:eastAsia="zh-CN" w:bidi="ar"/>
                    </w:rPr>
                    <w:t>排放情况</w:t>
                  </w:r>
                </w:p>
              </w:tc>
            </w:tr>
            <w:tr w14:paraId="4E2378A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70" w:type="pct"/>
                  <w:vMerge w:val="continue"/>
                  <w:noWrap w:val="0"/>
                  <w:vAlign w:val="center"/>
                </w:tcPr>
                <w:p w14:paraId="09BE57A3">
                  <w:pPr>
                    <w:keepNext w:val="0"/>
                    <w:keepLines w:val="0"/>
                    <w:widowControl/>
                    <w:suppressLineNumbers w:val="0"/>
                    <w:spacing w:before="0" w:beforeAutospacing="0" w:after="0" w:afterAutospacing="0" w:line="280" w:lineRule="exact"/>
                    <w:ind w:left="0" w:right="0"/>
                    <w:jc w:val="center"/>
                    <w:textAlignment w:val="center"/>
                    <w:rPr>
                      <w:rFonts w:hint="eastAsia" w:ascii="Times New Roman" w:hAnsi="Times New Roman" w:eastAsia="宋体" w:cs="Times New Roman"/>
                      <w:b w:val="0"/>
                      <w:bCs w:val="0"/>
                      <w:sz w:val="21"/>
                      <w:szCs w:val="21"/>
                      <w:highlight w:val="none"/>
                      <w:lang w:bidi="ar"/>
                    </w:rPr>
                  </w:pPr>
                </w:p>
              </w:tc>
              <w:tc>
                <w:tcPr>
                  <w:tcW w:w="1176" w:type="pct"/>
                  <w:gridSpan w:val="2"/>
                  <w:vMerge w:val="continue"/>
                  <w:noWrap w:val="0"/>
                  <w:vAlign w:val="center"/>
                </w:tcPr>
                <w:p w14:paraId="6FA90C93">
                  <w:pPr>
                    <w:keepNext w:val="0"/>
                    <w:keepLines w:val="0"/>
                    <w:widowControl/>
                    <w:suppressLineNumbers w:val="0"/>
                    <w:spacing w:before="0" w:beforeAutospacing="0" w:after="0" w:afterAutospacing="0" w:line="280" w:lineRule="exact"/>
                    <w:ind w:left="0" w:right="0"/>
                    <w:jc w:val="center"/>
                    <w:textAlignment w:val="center"/>
                    <w:rPr>
                      <w:rFonts w:hint="eastAsia" w:ascii="Times New Roman" w:hAnsi="Times New Roman" w:eastAsia="宋体" w:cs="Times New Roman"/>
                      <w:b w:val="0"/>
                      <w:bCs w:val="0"/>
                      <w:sz w:val="21"/>
                      <w:szCs w:val="21"/>
                      <w:highlight w:val="none"/>
                      <w:lang w:bidi="ar"/>
                    </w:rPr>
                  </w:pPr>
                </w:p>
              </w:tc>
              <w:tc>
                <w:tcPr>
                  <w:tcW w:w="651" w:type="pct"/>
                  <w:vMerge w:val="continue"/>
                  <w:noWrap w:val="0"/>
                  <w:vAlign w:val="center"/>
                </w:tcPr>
                <w:p w14:paraId="4AE6B658">
                  <w:pPr>
                    <w:keepNext w:val="0"/>
                    <w:keepLines w:val="0"/>
                    <w:widowControl/>
                    <w:suppressLineNumbers w:val="0"/>
                    <w:spacing w:before="0" w:beforeAutospacing="0" w:after="0" w:afterAutospacing="0" w:line="280" w:lineRule="exact"/>
                    <w:ind w:left="0" w:right="0"/>
                    <w:jc w:val="center"/>
                    <w:textAlignment w:val="center"/>
                    <w:rPr>
                      <w:rFonts w:hint="eastAsia" w:ascii="Times New Roman" w:hAnsi="Times New Roman" w:eastAsia="宋体" w:cs="Times New Roman"/>
                      <w:b w:val="0"/>
                      <w:bCs w:val="0"/>
                      <w:sz w:val="21"/>
                      <w:szCs w:val="21"/>
                      <w:highlight w:val="none"/>
                      <w:lang w:bidi="ar"/>
                    </w:rPr>
                  </w:pPr>
                </w:p>
              </w:tc>
              <w:tc>
                <w:tcPr>
                  <w:tcW w:w="641" w:type="pct"/>
                  <w:noWrap w:val="0"/>
                  <w:vAlign w:val="center"/>
                </w:tcPr>
                <w:p w14:paraId="77ED4CF6">
                  <w:pPr>
                    <w:keepNext w:val="0"/>
                    <w:keepLines w:val="0"/>
                    <w:widowControl/>
                    <w:suppressLineNumbers w:val="0"/>
                    <w:spacing w:before="0" w:beforeAutospacing="0" w:after="0" w:afterAutospacing="0" w:line="280" w:lineRule="exact"/>
                    <w:ind w:left="0" w:right="0"/>
                    <w:jc w:val="center"/>
                    <w:textAlignment w:val="center"/>
                    <w:rPr>
                      <w:rFonts w:hint="eastAsia" w:ascii="Times New Roman" w:hAnsi="Times New Roman" w:eastAsia="宋体" w:cs="Times New Roman"/>
                      <w:b w:val="0"/>
                      <w:bCs w:val="0"/>
                      <w:sz w:val="21"/>
                      <w:szCs w:val="21"/>
                      <w:highlight w:val="none"/>
                      <w:lang w:bidi="ar"/>
                    </w:rPr>
                  </w:pPr>
                  <w:r>
                    <w:rPr>
                      <w:rFonts w:hint="eastAsia" w:ascii="Times New Roman" w:hAnsi="Times New Roman" w:eastAsia="宋体" w:cs="Times New Roman"/>
                      <w:b w:val="0"/>
                      <w:bCs w:val="0"/>
                      <w:sz w:val="21"/>
                      <w:szCs w:val="21"/>
                      <w:highlight w:val="none"/>
                      <w:lang w:val="en-US" w:eastAsia="zh-CN" w:bidi="ar"/>
                    </w:rPr>
                    <w:t xml:space="preserve">产生量 </w:t>
                  </w:r>
                  <w:r>
                    <w:rPr>
                      <w:rFonts w:hint="default" w:ascii="Times New Roman" w:hAnsi="Times New Roman" w:eastAsia="宋体" w:cs="Times New Roman"/>
                      <w:b w:val="0"/>
                      <w:bCs w:val="0"/>
                      <w:sz w:val="21"/>
                      <w:szCs w:val="21"/>
                      <w:highlight w:val="none"/>
                      <w:lang w:val="en-US" w:eastAsia="zh-CN" w:bidi="ar"/>
                    </w:rPr>
                    <w:t>t/a</w:t>
                  </w:r>
                </w:p>
              </w:tc>
              <w:tc>
                <w:tcPr>
                  <w:tcW w:w="706" w:type="pct"/>
                  <w:noWrap w:val="0"/>
                  <w:vAlign w:val="center"/>
                </w:tcPr>
                <w:p w14:paraId="3211C1E9">
                  <w:pPr>
                    <w:keepNext w:val="0"/>
                    <w:keepLines w:val="0"/>
                    <w:widowControl/>
                    <w:suppressLineNumbers w:val="0"/>
                    <w:spacing w:before="0" w:beforeAutospacing="0" w:after="0" w:afterAutospacing="0" w:line="280" w:lineRule="exact"/>
                    <w:ind w:left="0" w:right="0"/>
                    <w:jc w:val="center"/>
                    <w:textAlignment w:val="center"/>
                    <w:rPr>
                      <w:rFonts w:hint="eastAsia" w:ascii="Times New Roman" w:hAnsi="Times New Roman" w:eastAsia="宋体" w:cs="Times New Roman"/>
                      <w:b w:val="0"/>
                      <w:bCs w:val="0"/>
                      <w:sz w:val="21"/>
                      <w:szCs w:val="21"/>
                      <w:highlight w:val="none"/>
                      <w:lang w:bidi="ar"/>
                    </w:rPr>
                  </w:pPr>
                  <w:r>
                    <w:rPr>
                      <w:rFonts w:hint="eastAsia" w:ascii="Times New Roman" w:hAnsi="Times New Roman" w:eastAsia="宋体" w:cs="Times New Roman"/>
                      <w:b w:val="0"/>
                      <w:bCs w:val="0"/>
                      <w:sz w:val="21"/>
                      <w:szCs w:val="21"/>
                      <w:highlight w:val="none"/>
                      <w:lang w:val="en-US" w:eastAsia="zh-CN" w:bidi="ar"/>
                    </w:rPr>
                    <w:t xml:space="preserve">产生速率 </w:t>
                  </w:r>
                  <w:r>
                    <w:rPr>
                      <w:rFonts w:hint="default" w:ascii="Times New Roman" w:hAnsi="Times New Roman" w:eastAsia="宋体" w:cs="Times New Roman"/>
                      <w:b w:val="0"/>
                      <w:bCs w:val="0"/>
                      <w:sz w:val="21"/>
                      <w:szCs w:val="21"/>
                      <w:highlight w:val="none"/>
                      <w:lang w:val="en-US" w:eastAsia="zh-CN" w:bidi="ar"/>
                    </w:rPr>
                    <w:t>kg/h</w:t>
                  </w:r>
                </w:p>
              </w:tc>
              <w:tc>
                <w:tcPr>
                  <w:tcW w:w="635" w:type="pct"/>
                  <w:noWrap w:val="0"/>
                  <w:vAlign w:val="center"/>
                </w:tcPr>
                <w:p w14:paraId="3CCADCCA">
                  <w:pPr>
                    <w:keepNext w:val="0"/>
                    <w:keepLines w:val="0"/>
                    <w:widowControl/>
                    <w:suppressLineNumbers w:val="0"/>
                    <w:spacing w:before="0" w:beforeAutospacing="0" w:after="0" w:afterAutospacing="0" w:line="280" w:lineRule="exact"/>
                    <w:ind w:left="0" w:right="0"/>
                    <w:jc w:val="center"/>
                    <w:textAlignment w:val="center"/>
                    <w:rPr>
                      <w:rFonts w:hint="eastAsia" w:ascii="Times New Roman" w:hAnsi="Times New Roman" w:eastAsia="宋体" w:cs="Times New Roman"/>
                      <w:b w:val="0"/>
                      <w:bCs w:val="0"/>
                      <w:sz w:val="21"/>
                      <w:szCs w:val="21"/>
                      <w:highlight w:val="none"/>
                      <w:lang w:bidi="ar"/>
                    </w:rPr>
                  </w:pPr>
                  <w:r>
                    <w:rPr>
                      <w:rFonts w:hint="eastAsia" w:ascii="Times New Roman" w:hAnsi="Times New Roman" w:eastAsia="宋体" w:cs="Times New Roman"/>
                      <w:b w:val="0"/>
                      <w:bCs w:val="0"/>
                      <w:sz w:val="21"/>
                      <w:szCs w:val="21"/>
                      <w:highlight w:val="none"/>
                      <w:lang w:val="en-US" w:eastAsia="zh-CN" w:bidi="ar"/>
                    </w:rPr>
                    <w:t xml:space="preserve">排放量 </w:t>
                  </w:r>
                  <w:r>
                    <w:rPr>
                      <w:rFonts w:hint="default" w:ascii="Times New Roman" w:hAnsi="Times New Roman" w:eastAsia="宋体" w:cs="Times New Roman"/>
                      <w:b w:val="0"/>
                      <w:bCs w:val="0"/>
                      <w:sz w:val="21"/>
                      <w:szCs w:val="21"/>
                      <w:highlight w:val="none"/>
                      <w:lang w:val="en-US" w:eastAsia="zh-CN" w:bidi="ar"/>
                    </w:rPr>
                    <w:t>t/a</w:t>
                  </w:r>
                </w:p>
              </w:tc>
              <w:tc>
                <w:tcPr>
                  <w:tcW w:w="719" w:type="pct"/>
                  <w:noWrap w:val="0"/>
                  <w:vAlign w:val="center"/>
                </w:tcPr>
                <w:p w14:paraId="44EE583B">
                  <w:pPr>
                    <w:keepNext w:val="0"/>
                    <w:keepLines w:val="0"/>
                    <w:widowControl/>
                    <w:suppressLineNumbers w:val="0"/>
                    <w:spacing w:before="0" w:beforeAutospacing="0" w:after="0" w:afterAutospacing="0" w:line="280" w:lineRule="exact"/>
                    <w:ind w:left="0" w:right="0"/>
                    <w:jc w:val="center"/>
                    <w:textAlignment w:val="center"/>
                    <w:rPr>
                      <w:rFonts w:hint="eastAsia" w:ascii="Times New Roman" w:hAnsi="Times New Roman" w:eastAsia="宋体" w:cs="Times New Roman"/>
                      <w:b w:val="0"/>
                      <w:bCs w:val="0"/>
                      <w:sz w:val="21"/>
                      <w:szCs w:val="21"/>
                      <w:highlight w:val="none"/>
                      <w:lang w:bidi="ar"/>
                    </w:rPr>
                  </w:pPr>
                  <w:r>
                    <w:rPr>
                      <w:rFonts w:hint="eastAsia" w:ascii="Times New Roman" w:hAnsi="Times New Roman" w:eastAsia="宋体" w:cs="Times New Roman"/>
                      <w:b w:val="0"/>
                      <w:bCs w:val="0"/>
                      <w:sz w:val="21"/>
                      <w:szCs w:val="21"/>
                      <w:highlight w:val="none"/>
                      <w:lang w:val="en-US" w:eastAsia="zh-CN" w:bidi="ar"/>
                    </w:rPr>
                    <w:t xml:space="preserve">排放速率 </w:t>
                  </w:r>
                  <w:r>
                    <w:rPr>
                      <w:rFonts w:hint="default" w:ascii="Times New Roman" w:hAnsi="Times New Roman" w:eastAsia="宋体" w:cs="Times New Roman"/>
                      <w:b w:val="0"/>
                      <w:bCs w:val="0"/>
                      <w:sz w:val="21"/>
                      <w:szCs w:val="21"/>
                      <w:highlight w:val="none"/>
                      <w:lang w:val="en-US" w:eastAsia="zh-CN" w:bidi="ar"/>
                    </w:rPr>
                    <w:t>kg/h</w:t>
                  </w:r>
                </w:p>
              </w:tc>
            </w:tr>
            <w:tr w14:paraId="72C67F2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470" w:type="pct"/>
                  <w:vMerge w:val="restart"/>
                  <w:noWrap w:val="0"/>
                  <w:vAlign w:val="center"/>
                </w:tcPr>
                <w:p w14:paraId="7CC74B14">
                  <w:pPr>
                    <w:keepNext w:val="0"/>
                    <w:keepLines w:val="0"/>
                    <w:widowControl/>
                    <w:suppressLineNumbers w:val="0"/>
                    <w:spacing w:before="0" w:beforeAutospacing="0" w:after="0" w:afterAutospacing="0" w:line="280" w:lineRule="exact"/>
                    <w:ind w:left="0" w:right="0"/>
                    <w:jc w:val="center"/>
                    <w:textAlignment w:val="center"/>
                    <w:rPr>
                      <w:rFonts w:hint="default" w:ascii="Times New Roman" w:hAnsi="Times New Roman" w:eastAsia="宋体" w:cs="Times New Roman"/>
                      <w:b w:val="0"/>
                      <w:bCs w:val="0"/>
                      <w:sz w:val="21"/>
                      <w:szCs w:val="21"/>
                      <w:highlight w:val="none"/>
                      <w:lang w:val="en-US" w:eastAsia="zh-CN" w:bidi="ar"/>
                    </w:rPr>
                  </w:pPr>
                  <w:r>
                    <w:rPr>
                      <w:rFonts w:hint="eastAsia" w:ascii="Times New Roman" w:hAnsi="Times New Roman" w:eastAsia="宋体" w:cs="Times New Roman"/>
                      <w:b w:val="0"/>
                      <w:bCs w:val="0"/>
                      <w:sz w:val="21"/>
                      <w:szCs w:val="21"/>
                      <w:highlight w:val="none"/>
                      <w:lang w:val="en-US" w:eastAsia="zh-CN" w:bidi="ar"/>
                    </w:rPr>
                    <w:t>饲养间恶臭</w:t>
                  </w:r>
                </w:p>
              </w:tc>
              <w:tc>
                <w:tcPr>
                  <w:tcW w:w="552" w:type="pct"/>
                  <w:vMerge w:val="restart"/>
                  <w:noWrap w:val="0"/>
                  <w:vAlign w:val="center"/>
                </w:tcPr>
                <w:p w14:paraId="592409D0">
                  <w:pPr>
                    <w:keepNext w:val="0"/>
                    <w:keepLines w:val="0"/>
                    <w:widowControl/>
                    <w:suppressLineNumbers w:val="0"/>
                    <w:spacing w:before="0" w:beforeAutospacing="0" w:after="0" w:afterAutospacing="0" w:line="280" w:lineRule="exact"/>
                    <w:ind w:left="0" w:right="0"/>
                    <w:jc w:val="center"/>
                    <w:textAlignment w:val="center"/>
                    <w:rPr>
                      <w:rFonts w:hint="default" w:ascii="Times New Roman" w:hAnsi="Times New Roman" w:eastAsia="宋体" w:cs="Times New Roman"/>
                      <w:b w:val="0"/>
                      <w:bCs w:val="0"/>
                      <w:sz w:val="21"/>
                      <w:szCs w:val="21"/>
                      <w:highlight w:val="none"/>
                      <w:lang w:val="en-US" w:eastAsia="zh-CN" w:bidi="ar"/>
                    </w:rPr>
                  </w:pPr>
                  <w:r>
                    <w:rPr>
                      <w:rFonts w:hint="eastAsia" w:ascii="Times New Roman" w:hAnsi="Times New Roman" w:eastAsia="宋体" w:cs="Times New Roman"/>
                      <w:b w:val="0"/>
                      <w:bCs w:val="0"/>
                      <w:sz w:val="21"/>
                      <w:szCs w:val="21"/>
                      <w:highlight w:val="none"/>
                      <w:lang w:val="en-US" w:eastAsia="zh-CN" w:bidi="ar"/>
                    </w:rPr>
                    <w:t>DA001</w:t>
                  </w:r>
                </w:p>
              </w:tc>
              <w:tc>
                <w:tcPr>
                  <w:tcW w:w="623" w:type="pct"/>
                  <w:vMerge w:val="restart"/>
                  <w:shd w:val="clear" w:color="auto" w:fill="auto"/>
                  <w:noWrap w:val="0"/>
                  <w:vAlign w:val="center"/>
                </w:tcPr>
                <w:p w14:paraId="36AFE7F5">
                  <w:pPr>
                    <w:keepNext w:val="0"/>
                    <w:keepLines w:val="0"/>
                    <w:widowControl/>
                    <w:suppressLineNumbers w:val="0"/>
                    <w:spacing w:before="0" w:beforeAutospacing="0" w:after="0" w:afterAutospacing="0" w:line="280" w:lineRule="exact"/>
                    <w:ind w:left="0" w:right="0"/>
                    <w:jc w:val="center"/>
                    <w:textAlignment w:val="center"/>
                    <w:rPr>
                      <w:rFonts w:hint="eastAsia" w:ascii="Times New Roman" w:hAnsi="Times New Roman" w:eastAsia="宋体" w:cs="Times New Roman"/>
                      <w:b w:val="0"/>
                      <w:bCs w:val="0"/>
                      <w:kern w:val="2"/>
                      <w:sz w:val="21"/>
                      <w:szCs w:val="21"/>
                      <w:highlight w:val="none"/>
                      <w:lang w:val="en-US" w:eastAsia="zh-CN" w:bidi="ar"/>
                    </w:rPr>
                  </w:pPr>
                  <w:r>
                    <w:rPr>
                      <w:rFonts w:hint="eastAsia" w:cs="Times New Roman"/>
                      <w:b w:val="0"/>
                      <w:bCs w:val="0"/>
                      <w:sz w:val="21"/>
                      <w:szCs w:val="21"/>
                      <w:highlight w:val="none"/>
                      <w:lang w:val="en-US" w:eastAsia="zh-CN" w:bidi="ar"/>
                    </w:rPr>
                    <w:t>有组织</w:t>
                  </w:r>
                </w:p>
              </w:tc>
              <w:tc>
                <w:tcPr>
                  <w:tcW w:w="651" w:type="pct"/>
                  <w:noWrap w:val="0"/>
                  <w:vAlign w:val="center"/>
                </w:tcPr>
                <w:p w14:paraId="47147853">
                  <w:pPr>
                    <w:keepNext w:val="0"/>
                    <w:keepLines w:val="0"/>
                    <w:widowControl/>
                    <w:suppressLineNumbers w:val="0"/>
                    <w:spacing w:before="0" w:beforeAutospacing="0" w:after="0" w:afterAutospacing="0" w:line="280" w:lineRule="exact"/>
                    <w:ind w:left="0" w:right="0"/>
                    <w:jc w:val="center"/>
                    <w:textAlignment w:val="center"/>
                    <w:rPr>
                      <w:rFonts w:hint="default" w:ascii="Times New Roman" w:hAnsi="Times New Roman" w:eastAsia="宋体" w:cs="Times New Roman"/>
                      <w:b w:val="0"/>
                      <w:bCs w:val="0"/>
                      <w:sz w:val="21"/>
                      <w:szCs w:val="21"/>
                      <w:highlight w:val="none"/>
                      <w:lang w:val="en-US" w:eastAsia="zh-CN" w:bidi="ar"/>
                    </w:rPr>
                  </w:pPr>
                  <w:r>
                    <w:rPr>
                      <w:rFonts w:hint="eastAsia" w:ascii="Times New Roman" w:hAnsi="Times New Roman" w:eastAsia="宋体" w:cs="Times New Roman"/>
                      <w:b w:val="0"/>
                      <w:bCs w:val="0"/>
                      <w:sz w:val="21"/>
                      <w:szCs w:val="21"/>
                      <w:highlight w:val="none"/>
                      <w:lang w:val="en-US" w:eastAsia="zh-CN" w:bidi="ar"/>
                    </w:rPr>
                    <w:t>NH</w:t>
                  </w:r>
                  <w:r>
                    <w:rPr>
                      <w:rFonts w:hint="eastAsia" w:ascii="Times New Roman" w:hAnsi="Times New Roman" w:eastAsia="宋体" w:cs="Times New Roman"/>
                      <w:b w:val="0"/>
                      <w:bCs w:val="0"/>
                      <w:sz w:val="21"/>
                      <w:szCs w:val="21"/>
                      <w:highlight w:val="none"/>
                      <w:vertAlign w:val="subscript"/>
                      <w:lang w:val="en-US" w:eastAsia="zh-CN" w:bidi="ar"/>
                    </w:rPr>
                    <w:t>3</w:t>
                  </w:r>
                </w:p>
              </w:tc>
              <w:tc>
                <w:tcPr>
                  <w:tcW w:w="641" w:type="pct"/>
                  <w:noWrap w:val="0"/>
                  <w:vAlign w:val="center"/>
                </w:tcPr>
                <w:p w14:paraId="0AAA78E7">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kern w:val="0"/>
                      <w:sz w:val="21"/>
                      <w:szCs w:val="21"/>
                      <w:highlight w:val="none"/>
                      <w:u w:val="none"/>
                      <w:lang w:val="en-US" w:eastAsia="zh-CN" w:bidi="ar"/>
                    </w:rPr>
                  </w:pPr>
                  <w:r>
                    <w:rPr>
                      <w:rFonts w:hint="eastAsia" w:ascii="Times New Roman" w:hAnsi="Times New Roman" w:eastAsia="宋体" w:cs="Times New Roman"/>
                      <w:i w:val="0"/>
                      <w:iCs w:val="0"/>
                      <w:color w:val="000000"/>
                      <w:kern w:val="0"/>
                      <w:sz w:val="21"/>
                      <w:szCs w:val="21"/>
                      <w:highlight w:val="none"/>
                      <w:u w:val="none"/>
                      <w:lang w:val="en-US" w:eastAsia="zh-CN" w:bidi="ar"/>
                    </w:rPr>
                    <w:t>0.319</w:t>
                  </w:r>
                </w:p>
              </w:tc>
              <w:tc>
                <w:tcPr>
                  <w:tcW w:w="706" w:type="pct"/>
                  <w:noWrap w:val="0"/>
                  <w:vAlign w:val="center"/>
                </w:tcPr>
                <w:p w14:paraId="2C8B9FE7">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kern w:val="0"/>
                      <w:sz w:val="21"/>
                      <w:szCs w:val="21"/>
                      <w:highlight w:val="none"/>
                      <w:u w:val="none"/>
                      <w:lang w:val="en-US" w:eastAsia="zh-CN" w:bidi="ar"/>
                    </w:rPr>
                  </w:pPr>
                  <w:r>
                    <w:rPr>
                      <w:rFonts w:hint="eastAsia" w:ascii="Times New Roman" w:hAnsi="Times New Roman" w:eastAsia="宋体" w:cs="Times New Roman"/>
                      <w:i w:val="0"/>
                      <w:iCs w:val="0"/>
                      <w:color w:val="000000"/>
                      <w:kern w:val="0"/>
                      <w:sz w:val="21"/>
                      <w:szCs w:val="21"/>
                      <w:highlight w:val="none"/>
                      <w:u w:val="none"/>
                      <w:lang w:val="en-US" w:eastAsia="zh-CN" w:bidi="ar"/>
                    </w:rPr>
                    <w:t xml:space="preserve">0.036 </w:t>
                  </w:r>
                </w:p>
              </w:tc>
              <w:tc>
                <w:tcPr>
                  <w:tcW w:w="635" w:type="pct"/>
                  <w:noWrap w:val="0"/>
                  <w:vAlign w:val="center"/>
                </w:tcPr>
                <w:p w14:paraId="5A216C1D">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kern w:val="0"/>
                      <w:sz w:val="21"/>
                      <w:szCs w:val="21"/>
                      <w:highlight w:val="none"/>
                      <w:u w:val="none"/>
                      <w:lang w:val="en-US" w:eastAsia="zh-CN" w:bidi="ar"/>
                    </w:rPr>
                  </w:pPr>
                  <w:r>
                    <w:rPr>
                      <w:rFonts w:hint="eastAsia" w:ascii="Times New Roman" w:hAnsi="Times New Roman" w:eastAsia="宋体" w:cs="Times New Roman"/>
                      <w:i w:val="0"/>
                      <w:iCs w:val="0"/>
                      <w:color w:val="000000"/>
                      <w:kern w:val="0"/>
                      <w:sz w:val="21"/>
                      <w:szCs w:val="21"/>
                      <w:highlight w:val="none"/>
                      <w:u w:val="none"/>
                      <w:lang w:val="en-US" w:eastAsia="zh-CN" w:bidi="ar"/>
                    </w:rPr>
                    <w:t xml:space="preserve">0.032 </w:t>
                  </w:r>
                </w:p>
              </w:tc>
              <w:tc>
                <w:tcPr>
                  <w:tcW w:w="719" w:type="pct"/>
                  <w:noWrap w:val="0"/>
                  <w:vAlign w:val="center"/>
                </w:tcPr>
                <w:p w14:paraId="786EEFCE">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kern w:val="0"/>
                      <w:sz w:val="21"/>
                      <w:szCs w:val="21"/>
                      <w:highlight w:val="none"/>
                      <w:u w:val="none"/>
                      <w:lang w:val="en-US" w:eastAsia="zh-CN" w:bidi="ar"/>
                    </w:rPr>
                  </w:pPr>
                  <w:r>
                    <w:rPr>
                      <w:rFonts w:hint="eastAsia" w:ascii="Times New Roman" w:hAnsi="Times New Roman" w:eastAsia="宋体" w:cs="Times New Roman"/>
                      <w:i w:val="0"/>
                      <w:iCs w:val="0"/>
                      <w:color w:val="000000"/>
                      <w:kern w:val="0"/>
                      <w:sz w:val="21"/>
                      <w:szCs w:val="21"/>
                      <w:highlight w:val="none"/>
                      <w:u w:val="none"/>
                      <w:lang w:val="en-US" w:eastAsia="zh-CN" w:bidi="ar"/>
                    </w:rPr>
                    <w:t xml:space="preserve">0.004 </w:t>
                  </w:r>
                </w:p>
              </w:tc>
            </w:tr>
            <w:tr w14:paraId="0208B41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470" w:type="pct"/>
                  <w:vMerge w:val="continue"/>
                  <w:noWrap w:val="0"/>
                  <w:vAlign w:val="center"/>
                </w:tcPr>
                <w:p w14:paraId="610A642B">
                  <w:pPr>
                    <w:keepNext w:val="0"/>
                    <w:keepLines w:val="0"/>
                    <w:widowControl/>
                    <w:suppressLineNumbers w:val="0"/>
                    <w:spacing w:before="0" w:beforeAutospacing="0" w:after="0" w:afterAutospacing="0" w:line="280" w:lineRule="exact"/>
                    <w:ind w:left="0" w:right="0"/>
                    <w:jc w:val="center"/>
                    <w:textAlignment w:val="center"/>
                    <w:rPr>
                      <w:rFonts w:hint="eastAsia" w:ascii="Times New Roman" w:hAnsi="Times New Roman" w:eastAsia="宋体" w:cs="Times New Roman"/>
                      <w:b w:val="0"/>
                      <w:bCs w:val="0"/>
                      <w:sz w:val="21"/>
                      <w:szCs w:val="21"/>
                      <w:highlight w:val="none"/>
                      <w:lang w:val="en-US" w:eastAsia="zh-CN" w:bidi="ar"/>
                    </w:rPr>
                  </w:pPr>
                </w:p>
              </w:tc>
              <w:tc>
                <w:tcPr>
                  <w:tcW w:w="552" w:type="pct"/>
                  <w:vMerge w:val="continue"/>
                  <w:noWrap w:val="0"/>
                  <w:vAlign w:val="center"/>
                </w:tcPr>
                <w:p w14:paraId="0F444D97">
                  <w:pPr>
                    <w:keepNext w:val="0"/>
                    <w:keepLines w:val="0"/>
                    <w:widowControl/>
                    <w:suppressLineNumbers w:val="0"/>
                    <w:spacing w:before="0" w:beforeAutospacing="0" w:after="0" w:afterAutospacing="0" w:line="280" w:lineRule="exact"/>
                    <w:ind w:left="0" w:right="0"/>
                    <w:jc w:val="center"/>
                    <w:textAlignment w:val="center"/>
                    <w:rPr>
                      <w:rFonts w:hint="eastAsia" w:ascii="Times New Roman" w:hAnsi="Times New Roman" w:eastAsia="宋体" w:cs="Times New Roman"/>
                      <w:b w:val="0"/>
                      <w:bCs w:val="0"/>
                      <w:sz w:val="21"/>
                      <w:szCs w:val="21"/>
                      <w:highlight w:val="none"/>
                      <w:lang w:val="en-US" w:eastAsia="zh-CN" w:bidi="ar"/>
                    </w:rPr>
                  </w:pPr>
                </w:p>
              </w:tc>
              <w:tc>
                <w:tcPr>
                  <w:tcW w:w="623" w:type="pct"/>
                  <w:vMerge w:val="continue"/>
                  <w:shd w:val="clear" w:color="auto" w:fill="auto"/>
                  <w:noWrap w:val="0"/>
                  <w:vAlign w:val="center"/>
                </w:tcPr>
                <w:p w14:paraId="126B6AA9">
                  <w:pPr>
                    <w:keepNext w:val="0"/>
                    <w:keepLines w:val="0"/>
                    <w:widowControl/>
                    <w:suppressLineNumbers w:val="0"/>
                    <w:spacing w:before="0" w:beforeAutospacing="0" w:after="0" w:afterAutospacing="0" w:line="280" w:lineRule="exact"/>
                    <w:ind w:left="0" w:right="0"/>
                    <w:jc w:val="center"/>
                    <w:textAlignment w:val="center"/>
                    <w:rPr>
                      <w:rFonts w:hint="eastAsia" w:cs="Times New Roman"/>
                      <w:b w:val="0"/>
                      <w:bCs w:val="0"/>
                      <w:sz w:val="21"/>
                      <w:szCs w:val="21"/>
                      <w:highlight w:val="none"/>
                      <w:lang w:val="en-US" w:eastAsia="zh-CN" w:bidi="ar"/>
                    </w:rPr>
                  </w:pPr>
                </w:p>
              </w:tc>
              <w:tc>
                <w:tcPr>
                  <w:tcW w:w="651" w:type="pct"/>
                  <w:noWrap w:val="0"/>
                  <w:vAlign w:val="center"/>
                </w:tcPr>
                <w:p w14:paraId="588E78A5">
                  <w:pPr>
                    <w:keepNext w:val="0"/>
                    <w:keepLines w:val="0"/>
                    <w:widowControl/>
                    <w:suppressLineNumbers w:val="0"/>
                    <w:spacing w:before="0" w:beforeAutospacing="0" w:after="0" w:afterAutospacing="0" w:line="280" w:lineRule="exact"/>
                    <w:ind w:left="0" w:right="0"/>
                    <w:jc w:val="center"/>
                    <w:textAlignment w:val="center"/>
                    <w:rPr>
                      <w:rFonts w:hint="default" w:ascii="Times New Roman" w:hAnsi="Times New Roman" w:eastAsia="宋体" w:cs="Times New Roman"/>
                      <w:b w:val="0"/>
                      <w:bCs w:val="0"/>
                      <w:sz w:val="21"/>
                      <w:szCs w:val="21"/>
                      <w:highlight w:val="none"/>
                      <w:lang w:val="en-US" w:eastAsia="zh-CN" w:bidi="ar"/>
                    </w:rPr>
                  </w:pPr>
                  <w:r>
                    <w:rPr>
                      <w:rFonts w:hint="eastAsia" w:ascii="Times New Roman" w:hAnsi="Times New Roman" w:eastAsia="宋体" w:cs="Times New Roman"/>
                      <w:b w:val="0"/>
                      <w:bCs w:val="0"/>
                      <w:sz w:val="21"/>
                      <w:szCs w:val="21"/>
                      <w:highlight w:val="none"/>
                      <w:lang w:val="en-US" w:eastAsia="zh-CN" w:bidi="ar"/>
                    </w:rPr>
                    <w:t>H</w:t>
                  </w:r>
                  <w:r>
                    <w:rPr>
                      <w:rFonts w:hint="eastAsia" w:ascii="Times New Roman" w:hAnsi="Times New Roman" w:eastAsia="宋体" w:cs="Times New Roman"/>
                      <w:b w:val="0"/>
                      <w:bCs w:val="0"/>
                      <w:sz w:val="21"/>
                      <w:szCs w:val="21"/>
                      <w:highlight w:val="none"/>
                      <w:vertAlign w:val="subscript"/>
                      <w:lang w:val="en-US" w:eastAsia="zh-CN" w:bidi="ar"/>
                    </w:rPr>
                    <w:t>2</w:t>
                  </w:r>
                  <w:r>
                    <w:rPr>
                      <w:rFonts w:hint="eastAsia" w:ascii="Times New Roman" w:hAnsi="Times New Roman" w:eastAsia="宋体" w:cs="Times New Roman"/>
                      <w:b w:val="0"/>
                      <w:bCs w:val="0"/>
                      <w:sz w:val="21"/>
                      <w:szCs w:val="21"/>
                      <w:highlight w:val="none"/>
                      <w:lang w:val="en-US" w:eastAsia="zh-CN" w:bidi="ar"/>
                    </w:rPr>
                    <w:t>S</w:t>
                  </w:r>
                </w:p>
              </w:tc>
              <w:tc>
                <w:tcPr>
                  <w:tcW w:w="641" w:type="pct"/>
                  <w:noWrap w:val="0"/>
                  <w:vAlign w:val="center"/>
                </w:tcPr>
                <w:p w14:paraId="41336FAC">
                  <w:pPr>
                    <w:keepNext w:val="0"/>
                    <w:keepLines w:val="0"/>
                    <w:widowControl/>
                    <w:suppressLineNumbers w:val="0"/>
                    <w:spacing w:before="0" w:beforeAutospacing="0" w:after="0" w:afterAutospacing="0"/>
                    <w:ind w:left="0" w:right="0"/>
                    <w:jc w:val="center"/>
                    <w:textAlignment w:val="center"/>
                    <w:rPr>
                      <w:rFonts w:hint="eastAsia" w:ascii="Times New Roman" w:hAnsi="Times New Roman" w:eastAsia="宋体" w:cs="Times New Roman"/>
                      <w:i w:val="0"/>
                      <w:iCs w:val="0"/>
                      <w:color w:val="000000"/>
                      <w:kern w:val="0"/>
                      <w:sz w:val="21"/>
                      <w:szCs w:val="21"/>
                      <w:highlight w:val="none"/>
                      <w:u w:val="none"/>
                      <w:lang w:val="en-US" w:eastAsia="zh-CN" w:bidi="ar"/>
                    </w:rPr>
                  </w:pPr>
                  <w:r>
                    <w:rPr>
                      <w:rFonts w:hint="eastAsia" w:ascii="Times New Roman" w:hAnsi="Times New Roman" w:eastAsia="宋体" w:cs="Times New Roman"/>
                      <w:i w:val="0"/>
                      <w:iCs w:val="0"/>
                      <w:color w:val="000000"/>
                      <w:kern w:val="0"/>
                      <w:sz w:val="21"/>
                      <w:szCs w:val="21"/>
                      <w:highlight w:val="none"/>
                      <w:u w:val="none"/>
                      <w:lang w:val="en-US" w:eastAsia="zh-CN" w:bidi="ar"/>
                    </w:rPr>
                    <w:t>0.05</w:t>
                  </w:r>
                </w:p>
              </w:tc>
              <w:tc>
                <w:tcPr>
                  <w:tcW w:w="706" w:type="pct"/>
                  <w:noWrap w:val="0"/>
                  <w:vAlign w:val="center"/>
                </w:tcPr>
                <w:p w14:paraId="1D3AC3B2">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kern w:val="0"/>
                      <w:sz w:val="21"/>
                      <w:szCs w:val="21"/>
                      <w:highlight w:val="none"/>
                      <w:u w:val="none"/>
                      <w:lang w:val="en-US" w:eastAsia="zh-CN" w:bidi="ar"/>
                    </w:rPr>
                  </w:pPr>
                  <w:r>
                    <w:rPr>
                      <w:rFonts w:hint="eastAsia" w:ascii="Times New Roman" w:hAnsi="Times New Roman" w:eastAsia="宋体" w:cs="Times New Roman"/>
                      <w:i w:val="0"/>
                      <w:iCs w:val="0"/>
                      <w:color w:val="000000"/>
                      <w:kern w:val="0"/>
                      <w:sz w:val="21"/>
                      <w:szCs w:val="21"/>
                      <w:highlight w:val="none"/>
                      <w:u w:val="none"/>
                      <w:lang w:val="en-US" w:eastAsia="zh-CN" w:bidi="ar"/>
                    </w:rPr>
                    <w:t xml:space="preserve">0.006 </w:t>
                  </w:r>
                </w:p>
              </w:tc>
              <w:tc>
                <w:tcPr>
                  <w:tcW w:w="635" w:type="pct"/>
                  <w:noWrap w:val="0"/>
                  <w:vAlign w:val="center"/>
                </w:tcPr>
                <w:p w14:paraId="5388B0AC">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kern w:val="0"/>
                      <w:sz w:val="21"/>
                      <w:szCs w:val="21"/>
                      <w:highlight w:val="none"/>
                      <w:u w:val="none"/>
                      <w:lang w:val="en-US" w:eastAsia="zh-CN" w:bidi="ar"/>
                    </w:rPr>
                  </w:pPr>
                  <w:r>
                    <w:rPr>
                      <w:rFonts w:hint="eastAsia" w:ascii="Times New Roman" w:hAnsi="Times New Roman" w:eastAsia="宋体" w:cs="Times New Roman"/>
                      <w:i w:val="0"/>
                      <w:iCs w:val="0"/>
                      <w:color w:val="000000"/>
                      <w:kern w:val="0"/>
                      <w:sz w:val="21"/>
                      <w:szCs w:val="21"/>
                      <w:highlight w:val="none"/>
                      <w:u w:val="none"/>
                      <w:lang w:val="en-US" w:eastAsia="zh-CN" w:bidi="ar"/>
                    </w:rPr>
                    <w:t xml:space="preserve">0.025 </w:t>
                  </w:r>
                </w:p>
              </w:tc>
              <w:tc>
                <w:tcPr>
                  <w:tcW w:w="719" w:type="pct"/>
                  <w:noWrap w:val="0"/>
                  <w:vAlign w:val="center"/>
                </w:tcPr>
                <w:p w14:paraId="01E5295B">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kern w:val="0"/>
                      <w:sz w:val="21"/>
                      <w:szCs w:val="21"/>
                      <w:highlight w:val="none"/>
                      <w:u w:val="none"/>
                      <w:lang w:val="en-US" w:eastAsia="zh-CN" w:bidi="ar"/>
                    </w:rPr>
                  </w:pPr>
                  <w:r>
                    <w:rPr>
                      <w:rFonts w:hint="eastAsia" w:ascii="Times New Roman" w:hAnsi="Times New Roman" w:eastAsia="宋体" w:cs="Times New Roman"/>
                      <w:i w:val="0"/>
                      <w:iCs w:val="0"/>
                      <w:color w:val="000000"/>
                      <w:kern w:val="0"/>
                      <w:sz w:val="21"/>
                      <w:szCs w:val="21"/>
                      <w:highlight w:val="none"/>
                      <w:u w:val="none"/>
                      <w:lang w:val="en-US" w:eastAsia="zh-CN" w:bidi="ar"/>
                    </w:rPr>
                    <w:t xml:space="preserve">0.003 </w:t>
                  </w:r>
                </w:p>
              </w:tc>
            </w:tr>
            <w:tr w14:paraId="18B7D4C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470" w:type="pct"/>
                  <w:vMerge w:val="continue"/>
                  <w:noWrap w:val="0"/>
                  <w:vAlign w:val="center"/>
                </w:tcPr>
                <w:p w14:paraId="012A2F03">
                  <w:pPr>
                    <w:keepNext w:val="0"/>
                    <w:keepLines w:val="0"/>
                    <w:widowControl/>
                    <w:suppressLineNumbers w:val="0"/>
                    <w:spacing w:before="0" w:beforeAutospacing="0" w:after="0" w:afterAutospacing="0" w:line="280" w:lineRule="exact"/>
                    <w:ind w:left="0" w:right="0"/>
                    <w:jc w:val="center"/>
                    <w:textAlignment w:val="center"/>
                    <w:rPr>
                      <w:rFonts w:hint="eastAsia" w:ascii="Times New Roman" w:hAnsi="Times New Roman" w:eastAsia="宋体" w:cs="Times New Roman"/>
                      <w:b w:val="0"/>
                      <w:bCs w:val="0"/>
                      <w:sz w:val="21"/>
                      <w:szCs w:val="21"/>
                      <w:highlight w:val="none"/>
                      <w:lang w:val="en-US" w:eastAsia="zh-CN" w:bidi="ar"/>
                    </w:rPr>
                  </w:pPr>
                </w:p>
              </w:tc>
              <w:tc>
                <w:tcPr>
                  <w:tcW w:w="552" w:type="pct"/>
                  <w:vMerge w:val="continue"/>
                  <w:noWrap w:val="0"/>
                  <w:vAlign w:val="center"/>
                </w:tcPr>
                <w:p w14:paraId="0EC34486">
                  <w:pPr>
                    <w:keepNext w:val="0"/>
                    <w:keepLines w:val="0"/>
                    <w:widowControl/>
                    <w:suppressLineNumbers w:val="0"/>
                    <w:spacing w:before="0" w:beforeAutospacing="0" w:after="0" w:afterAutospacing="0" w:line="280" w:lineRule="exact"/>
                    <w:ind w:left="0" w:right="0"/>
                    <w:jc w:val="center"/>
                    <w:textAlignment w:val="center"/>
                    <w:rPr>
                      <w:rFonts w:hint="eastAsia" w:ascii="Times New Roman" w:hAnsi="Times New Roman" w:eastAsia="宋体" w:cs="Times New Roman"/>
                      <w:b w:val="0"/>
                      <w:bCs w:val="0"/>
                      <w:sz w:val="21"/>
                      <w:szCs w:val="21"/>
                      <w:highlight w:val="none"/>
                      <w:lang w:val="en-US" w:eastAsia="zh-CN" w:bidi="ar"/>
                    </w:rPr>
                  </w:pPr>
                </w:p>
              </w:tc>
              <w:tc>
                <w:tcPr>
                  <w:tcW w:w="623" w:type="pct"/>
                  <w:vMerge w:val="continue"/>
                  <w:shd w:val="clear" w:color="auto" w:fill="auto"/>
                  <w:noWrap w:val="0"/>
                  <w:vAlign w:val="center"/>
                </w:tcPr>
                <w:p w14:paraId="7334B060">
                  <w:pPr>
                    <w:keepNext w:val="0"/>
                    <w:keepLines w:val="0"/>
                    <w:widowControl/>
                    <w:suppressLineNumbers w:val="0"/>
                    <w:spacing w:before="0" w:beforeAutospacing="0" w:after="0" w:afterAutospacing="0" w:line="280" w:lineRule="exact"/>
                    <w:ind w:left="0" w:right="0"/>
                    <w:jc w:val="center"/>
                    <w:textAlignment w:val="center"/>
                    <w:rPr>
                      <w:rFonts w:hint="eastAsia" w:cs="Times New Roman"/>
                      <w:b w:val="0"/>
                      <w:bCs w:val="0"/>
                      <w:sz w:val="21"/>
                      <w:szCs w:val="21"/>
                      <w:highlight w:val="none"/>
                      <w:lang w:val="en-US" w:eastAsia="zh-CN" w:bidi="ar"/>
                    </w:rPr>
                  </w:pPr>
                </w:p>
              </w:tc>
              <w:tc>
                <w:tcPr>
                  <w:tcW w:w="651" w:type="pct"/>
                  <w:noWrap w:val="0"/>
                  <w:vAlign w:val="center"/>
                </w:tcPr>
                <w:p w14:paraId="2D8312B0">
                  <w:pPr>
                    <w:keepNext w:val="0"/>
                    <w:keepLines w:val="0"/>
                    <w:widowControl/>
                    <w:suppressLineNumbers w:val="0"/>
                    <w:spacing w:before="0" w:beforeAutospacing="0" w:after="0" w:afterAutospacing="0" w:line="280" w:lineRule="exact"/>
                    <w:ind w:left="0" w:right="0"/>
                    <w:jc w:val="center"/>
                    <w:textAlignment w:val="center"/>
                    <w:rPr>
                      <w:rFonts w:hint="default" w:ascii="Times New Roman" w:hAnsi="Times New Roman" w:eastAsia="宋体" w:cs="Times New Roman"/>
                      <w:b w:val="0"/>
                      <w:bCs w:val="0"/>
                      <w:sz w:val="21"/>
                      <w:szCs w:val="21"/>
                      <w:highlight w:val="none"/>
                      <w:lang w:val="en-US" w:eastAsia="zh-CN" w:bidi="ar"/>
                    </w:rPr>
                  </w:pPr>
                  <w:r>
                    <w:rPr>
                      <w:rFonts w:hint="eastAsia" w:cs="Times New Roman"/>
                      <w:b w:val="0"/>
                      <w:bCs w:val="0"/>
                      <w:sz w:val="21"/>
                      <w:szCs w:val="21"/>
                      <w:highlight w:val="none"/>
                      <w:lang w:val="en-US" w:eastAsia="zh-CN" w:bidi="ar"/>
                    </w:rPr>
                    <w:t>颗粒物</w:t>
                  </w:r>
                </w:p>
              </w:tc>
              <w:tc>
                <w:tcPr>
                  <w:tcW w:w="1348" w:type="pct"/>
                  <w:gridSpan w:val="2"/>
                  <w:noWrap w:val="0"/>
                  <w:vAlign w:val="center"/>
                </w:tcPr>
                <w:p w14:paraId="6C36F6DD">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kern w:val="0"/>
                      <w:sz w:val="21"/>
                      <w:szCs w:val="21"/>
                      <w:highlight w:val="none"/>
                      <w:u w:val="none"/>
                      <w:lang w:val="en-US" w:eastAsia="zh-CN" w:bidi="ar"/>
                    </w:rPr>
                  </w:pPr>
                  <w:r>
                    <w:rPr>
                      <w:rFonts w:hint="eastAsia" w:cs="Times New Roman"/>
                      <w:i w:val="0"/>
                      <w:iCs w:val="0"/>
                      <w:color w:val="000000"/>
                      <w:kern w:val="0"/>
                      <w:sz w:val="21"/>
                      <w:szCs w:val="21"/>
                      <w:highlight w:val="none"/>
                      <w:u w:val="none"/>
                      <w:lang w:val="en-US" w:eastAsia="zh-CN" w:bidi="ar"/>
                    </w:rPr>
                    <w:t>少量</w:t>
                  </w:r>
                </w:p>
              </w:tc>
              <w:tc>
                <w:tcPr>
                  <w:tcW w:w="1354" w:type="pct"/>
                  <w:gridSpan w:val="2"/>
                  <w:noWrap w:val="0"/>
                  <w:vAlign w:val="center"/>
                </w:tcPr>
                <w:p w14:paraId="1CBB263F">
                  <w:pPr>
                    <w:keepNext w:val="0"/>
                    <w:keepLines w:val="0"/>
                    <w:widowControl/>
                    <w:suppressLineNumbers w:val="0"/>
                    <w:spacing w:before="0" w:beforeAutospacing="0" w:after="0" w:afterAutospacing="0"/>
                    <w:ind w:left="0" w:right="0"/>
                    <w:jc w:val="center"/>
                    <w:textAlignment w:val="center"/>
                    <w:rPr>
                      <w:rFonts w:hint="eastAsia" w:ascii="Times New Roman" w:hAnsi="Times New Roman" w:eastAsia="宋体" w:cs="Times New Roman"/>
                      <w:i w:val="0"/>
                      <w:iCs w:val="0"/>
                      <w:color w:val="000000"/>
                      <w:kern w:val="0"/>
                      <w:sz w:val="21"/>
                      <w:szCs w:val="21"/>
                      <w:highlight w:val="none"/>
                      <w:u w:val="none"/>
                      <w:lang w:val="en-US" w:eastAsia="zh-CN" w:bidi="ar"/>
                    </w:rPr>
                  </w:pPr>
                  <w:r>
                    <w:rPr>
                      <w:rFonts w:hint="eastAsia" w:cs="Times New Roman"/>
                      <w:i w:val="0"/>
                      <w:iCs w:val="0"/>
                      <w:color w:val="000000"/>
                      <w:kern w:val="0"/>
                      <w:sz w:val="21"/>
                      <w:szCs w:val="21"/>
                      <w:highlight w:val="none"/>
                      <w:u w:val="none"/>
                      <w:lang w:val="en-US" w:eastAsia="zh-CN" w:bidi="ar"/>
                    </w:rPr>
                    <w:t>少量</w:t>
                  </w:r>
                </w:p>
              </w:tc>
            </w:tr>
            <w:tr w14:paraId="6C81256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470" w:type="pct"/>
                  <w:vMerge w:val="continue"/>
                  <w:noWrap w:val="0"/>
                  <w:vAlign w:val="center"/>
                </w:tcPr>
                <w:p w14:paraId="706300BE">
                  <w:pPr>
                    <w:keepNext w:val="0"/>
                    <w:keepLines w:val="0"/>
                    <w:widowControl/>
                    <w:suppressLineNumbers w:val="0"/>
                    <w:spacing w:before="0" w:beforeAutospacing="0" w:after="0" w:afterAutospacing="0" w:line="280" w:lineRule="exact"/>
                    <w:ind w:left="0" w:right="0"/>
                    <w:jc w:val="center"/>
                    <w:textAlignment w:val="center"/>
                    <w:rPr>
                      <w:rFonts w:hint="eastAsia" w:ascii="Times New Roman" w:hAnsi="Times New Roman" w:eastAsia="宋体" w:cs="Times New Roman"/>
                      <w:b w:val="0"/>
                      <w:bCs w:val="0"/>
                      <w:sz w:val="21"/>
                      <w:szCs w:val="21"/>
                      <w:highlight w:val="none"/>
                      <w:lang w:val="en-US" w:eastAsia="zh-CN" w:bidi="ar"/>
                    </w:rPr>
                  </w:pPr>
                </w:p>
              </w:tc>
              <w:tc>
                <w:tcPr>
                  <w:tcW w:w="552" w:type="pct"/>
                  <w:vMerge w:val="continue"/>
                  <w:noWrap w:val="0"/>
                  <w:vAlign w:val="center"/>
                </w:tcPr>
                <w:p w14:paraId="377EFCB1">
                  <w:pPr>
                    <w:keepNext w:val="0"/>
                    <w:keepLines w:val="0"/>
                    <w:widowControl/>
                    <w:suppressLineNumbers w:val="0"/>
                    <w:spacing w:before="0" w:beforeAutospacing="0" w:after="0" w:afterAutospacing="0" w:line="280" w:lineRule="exact"/>
                    <w:ind w:left="0" w:right="0"/>
                    <w:jc w:val="center"/>
                    <w:textAlignment w:val="center"/>
                    <w:rPr>
                      <w:rFonts w:hint="eastAsia" w:ascii="Times New Roman" w:hAnsi="Times New Roman" w:eastAsia="宋体" w:cs="Times New Roman"/>
                      <w:b w:val="0"/>
                      <w:bCs w:val="0"/>
                      <w:sz w:val="21"/>
                      <w:szCs w:val="21"/>
                      <w:highlight w:val="none"/>
                      <w:lang w:val="en-US" w:eastAsia="zh-CN" w:bidi="ar"/>
                    </w:rPr>
                  </w:pPr>
                </w:p>
              </w:tc>
              <w:tc>
                <w:tcPr>
                  <w:tcW w:w="623" w:type="pct"/>
                  <w:vMerge w:val="restart"/>
                  <w:shd w:val="clear" w:color="auto" w:fill="auto"/>
                  <w:noWrap w:val="0"/>
                  <w:vAlign w:val="center"/>
                </w:tcPr>
                <w:p w14:paraId="4A7BE8C1">
                  <w:pPr>
                    <w:keepNext w:val="0"/>
                    <w:keepLines w:val="0"/>
                    <w:widowControl/>
                    <w:suppressLineNumbers w:val="0"/>
                    <w:spacing w:before="0" w:beforeAutospacing="0" w:after="0" w:afterAutospacing="0" w:line="280" w:lineRule="exact"/>
                    <w:ind w:left="0" w:right="0"/>
                    <w:jc w:val="center"/>
                    <w:textAlignment w:val="center"/>
                    <w:rPr>
                      <w:rFonts w:hint="default" w:cs="Times New Roman"/>
                      <w:b w:val="0"/>
                      <w:bCs w:val="0"/>
                      <w:sz w:val="21"/>
                      <w:szCs w:val="21"/>
                      <w:highlight w:val="none"/>
                      <w:lang w:val="en-US" w:eastAsia="zh-CN" w:bidi="ar"/>
                    </w:rPr>
                  </w:pPr>
                  <w:r>
                    <w:rPr>
                      <w:rFonts w:hint="eastAsia" w:cs="Times New Roman"/>
                      <w:b w:val="0"/>
                      <w:bCs w:val="0"/>
                      <w:sz w:val="21"/>
                      <w:szCs w:val="21"/>
                      <w:highlight w:val="none"/>
                      <w:lang w:val="en-US" w:eastAsia="zh-CN" w:bidi="ar"/>
                    </w:rPr>
                    <w:t>无组织</w:t>
                  </w:r>
                </w:p>
              </w:tc>
              <w:tc>
                <w:tcPr>
                  <w:tcW w:w="651" w:type="pct"/>
                  <w:shd w:val="clear" w:color="auto" w:fill="auto"/>
                  <w:noWrap w:val="0"/>
                  <w:vAlign w:val="center"/>
                </w:tcPr>
                <w:p w14:paraId="23261301">
                  <w:pPr>
                    <w:keepNext w:val="0"/>
                    <w:keepLines w:val="0"/>
                    <w:widowControl/>
                    <w:suppressLineNumbers w:val="0"/>
                    <w:spacing w:before="0" w:beforeAutospacing="0" w:after="0" w:afterAutospacing="0" w:line="280" w:lineRule="exact"/>
                    <w:ind w:left="0" w:right="0"/>
                    <w:jc w:val="center"/>
                    <w:textAlignment w:val="center"/>
                    <w:rPr>
                      <w:rFonts w:hint="eastAsia" w:ascii="Times New Roman" w:hAnsi="Times New Roman" w:eastAsia="宋体" w:cs="Times New Roman"/>
                      <w:b w:val="0"/>
                      <w:bCs w:val="0"/>
                      <w:kern w:val="2"/>
                      <w:sz w:val="21"/>
                      <w:szCs w:val="21"/>
                      <w:highlight w:val="none"/>
                      <w:lang w:val="en-US" w:eastAsia="zh-CN" w:bidi="ar"/>
                    </w:rPr>
                  </w:pPr>
                  <w:r>
                    <w:rPr>
                      <w:rFonts w:hint="eastAsia" w:ascii="Times New Roman" w:hAnsi="Times New Roman" w:eastAsia="宋体" w:cs="Times New Roman"/>
                      <w:b w:val="0"/>
                      <w:bCs w:val="0"/>
                      <w:sz w:val="21"/>
                      <w:szCs w:val="21"/>
                      <w:highlight w:val="none"/>
                      <w:lang w:val="en-US" w:eastAsia="zh-CN" w:bidi="ar"/>
                    </w:rPr>
                    <w:t>NH</w:t>
                  </w:r>
                  <w:r>
                    <w:rPr>
                      <w:rFonts w:hint="eastAsia" w:ascii="Times New Roman" w:hAnsi="Times New Roman" w:eastAsia="宋体" w:cs="Times New Roman"/>
                      <w:b w:val="0"/>
                      <w:bCs w:val="0"/>
                      <w:sz w:val="21"/>
                      <w:szCs w:val="21"/>
                      <w:highlight w:val="none"/>
                      <w:vertAlign w:val="subscript"/>
                      <w:lang w:val="en-US" w:eastAsia="zh-CN" w:bidi="ar"/>
                    </w:rPr>
                    <w:t>3</w:t>
                  </w:r>
                </w:p>
              </w:tc>
              <w:tc>
                <w:tcPr>
                  <w:tcW w:w="641" w:type="pct"/>
                  <w:noWrap w:val="0"/>
                  <w:vAlign w:val="center"/>
                </w:tcPr>
                <w:p w14:paraId="78F3CD6B">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kern w:val="0"/>
                      <w:sz w:val="21"/>
                      <w:szCs w:val="21"/>
                      <w:highlight w:val="none"/>
                      <w:u w:val="none"/>
                      <w:lang w:val="en-US" w:eastAsia="zh-CN" w:bidi="ar"/>
                    </w:rPr>
                  </w:pPr>
                  <w:r>
                    <w:rPr>
                      <w:rFonts w:hint="eastAsia" w:ascii="Times New Roman" w:hAnsi="Times New Roman" w:eastAsia="宋体" w:cs="Times New Roman"/>
                      <w:i w:val="0"/>
                      <w:iCs w:val="0"/>
                      <w:color w:val="000000"/>
                      <w:kern w:val="0"/>
                      <w:sz w:val="21"/>
                      <w:szCs w:val="21"/>
                      <w:highlight w:val="none"/>
                      <w:u w:val="none"/>
                      <w:lang w:val="en-US" w:eastAsia="zh-CN" w:bidi="ar"/>
                    </w:rPr>
                    <w:t>0.035</w:t>
                  </w:r>
                </w:p>
              </w:tc>
              <w:tc>
                <w:tcPr>
                  <w:tcW w:w="706" w:type="pct"/>
                  <w:noWrap w:val="0"/>
                  <w:vAlign w:val="center"/>
                </w:tcPr>
                <w:p w14:paraId="0A65A32E">
                  <w:pPr>
                    <w:keepNext w:val="0"/>
                    <w:keepLines w:val="0"/>
                    <w:widowControl/>
                    <w:suppressLineNumbers w:val="0"/>
                    <w:spacing w:before="0" w:beforeAutospacing="0" w:after="0" w:afterAutospacing="0"/>
                    <w:ind w:left="0" w:right="0"/>
                    <w:jc w:val="center"/>
                    <w:textAlignment w:val="center"/>
                    <w:rPr>
                      <w:rFonts w:hint="eastAsia" w:ascii="Times New Roman" w:hAnsi="Times New Roman" w:eastAsia="宋体" w:cs="Times New Roman"/>
                      <w:i w:val="0"/>
                      <w:iCs w:val="0"/>
                      <w:color w:val="000000"/>
                      <w:kern w:val="0"/>
                      <w:sz w:val="21"/>
                      <w:szCs w:val="21"/>
                      <w:highlight w:val="none"/>
                      <w:u w:val="none"/>
                      <w:lang w:val="en-US" w:eastAsia="zh-CN" w:bidi="ar"/>
                    </w:rPr>
                  </w:pPr>
                  <w:r>
                    <w:rPr>
                      <w:rFonts w:hint="eastAsia" w:ascii="Times New Roman" w:hAnsi="Times New Roman" w:eastAsia="宋体" w:cs="Times New Roman"/>
                      <w:i w:val="0"/>
                      <w:iCs w:val="0"/>
                      <w:color w:val="000000"/>
                      <w:kern w:val="0"/>
                      <w:sz w:val="21"/>
                      <w:szCs w:val="21"/>
                      <w:highlight w:val="none"/>
                      <w:u w:val="none"/>
                      <w:lang w:val="en-US" w:eastAsia="zh-CN" w:bidi="ar"/>
                    </w:rPr>
                    <w:t xml:space="preserve">0.004 </w:t>
                  </w:r>
                </w:p>
              </w:tc>
              <w:tc>
                <w:tcPr>
                  <w:tcW w:w="635" w:type="pct"/>
                  <w:shd w:val="clear" w:color="auto" w:fill="auto"/>
                  <w:noWrap w:val="0"/>
                  <w:vAlign w:val="center"/>
                </w:tcPr>
                <w:p w14:paraId="475E1ED1">
                  <w:pPr>
                    <w:keepNext w:val="0"/>
                    <w:keepLines w:val="0"/>
                    <w:widowControl/>
                    <w:suppressLineNumbers w:val="0"/>
                    <w:spacing w:before="0" w:beforeAutospacing="0" w:after="0" w:afterAutospacing="0"/>
                    <w:ind w:left="0" w:right="0"/>
                    <w:jc w:val="center"/>
                    <w:textAlignment w:val="center"/>
                    <w:rPr>
                      <w:rFonts w:hint="eastAsia" w:ascii="Times New Roman" w:hAnsi="Times New Roman" w:eastAsia="宋体" w:cs="Times New Roman"/>
                      <w:i w:val="0"/>
                      <w:iCs w:val="0"/>
                      <w:color w:val="000000"/>
                      <w:kern w:val="0"/>
                      <w:sz w:val="21"/>
                      <w:szCs w:val="21"/>
                      <w:highlight w:val="none"/>
                      <w:u w:val="none"/>
                      <w:lang w:val="en-US" w:eastAsia="zh-CN" w:bidi="ar"/>
                    </w:rPr>
                  </w:pPr>
                  <w:r>
                    <w:rPr>
                      <w:rFonts w:hint="eastAsia" w:ascii="Times New Roman" w:hAnsi="Times New Roman" w:eastAsia="宋体" w:cs="Times New Roman"/>
                      <w:i w:val="0"/>
                      <w:iCs w:val="0"/>
                      <w:color w:val="000000"/>
                      <w:kern w:val="0"/>
                      <w:sz w:val="21"/>
                      <w:szCs w:val="21"/>
                      <w:highlight w:val="none"/>
                      <w:u w:val="none"/>
                      <w:lang w:val="en-US" w:eastAsia="zh-CN" w:bidi="ar"/>
                    </w:rPr>
                    <w:t>0.035</w:t>
                  </w:r>
                </w:p>
              </w:tc>
              <w:tc>
                <w:tcPr>
                  <w:tcW w:w="719" w:type="pct"/>
                  <w:shd w:val="clear" w:color="auto" w:fill="auto"/>
                  <w:noWrap w:val="0"/>
                  <w:vAlign w:val="center"/>
                </w:tcPr>
                <w:p w14:paraId="042ECD8B">
                  <w:pPr>
                    <w:keepNext w:val="0"/>
                    <w:keepLines w:val="0"/>
                    <w:widowControl/>
                    <w:suppressLineNumbers w:val="0"/>
                    <w:spacing w:before="0" w:beforeAutospacing="0" w:after="0" w:afterAutospacing="0"/>
                    <w:ind w:left="0" w:right="0"/>
                    <w:jc w:val="center"/>
                    <w:textAlignment w:val="center"/>
                    <w:rPr>
                      <w:rFonts w:hint="eastAsia" w:ascii="Times New Roman" w:hAnsi="Times New Roman" w:eastAsia="宋体" w:cs="Times New Roman"/>
                      <w:i w:val="0"/>
                      <w:iCs w:val="0"/>
                      <w:color w:val="000000"/>
                      <w:kern w:val="0"/>
                      <w:sz w:val="21"/>
                      <w:szCs w:val="21"/>
                      <w:highlight w:val="none"/>
                      <w:u w:val="none"/>
                      <w:lang w:val="en-US" w:eastAsia="zh-CN" w:bidi="ar"/>
                    </w:rPr>
                  </w:pPr>
                  <w:r>
                    <w:rPr>
                      <w:rFonts w:hint="eastAsia" w:ascii="Times New Roman" w:hAnsi="Times New Roman" w:eastAsia="宋体" w:cs="Times New Roman"/>
                      <w:i w:val="0"/>
                      <w:iCs w:val="0"/>
                      <w:color w:val="000000"/>
                      <w:kern w:val="0"/>
                      <w:sz w:val="21"/>
                      <w:szCs w:val="21"/>
                      <w:highlight w:val="none"/>
                      <w:u w:val="none"/>
                      <w:lang w:val="en-US" w:eastAsia="zh-CN" w:bidi="ar"/>
                    </w:rPr>
                    <w:t xml:space="preserve">0.004 </w:t>
                  </w:r>
                </w:p>
              </w:tc>
            </w:tr>
            <w:tr w14:paraId="75E0CA4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470" w:type="pct"/>
                  <w:vMerge w:val="continue"/>
                  <w:noWrap w:val="0"/>
                  <w:vAlign w:val="center"/>
                </w:tcPr>
                <w:p w14:paraId="336C7029">
                  <w:pPr>
                    <w:keepNext w:val="0"/>
                    <w:keepLines w:val="0"/>
                    <w:widowControl/>
                    <w:suppressLineNumbers w:val="0"/>
                    <w:spacing w:before="0" w:beforeAutospacing="0" w:after="0" w:afterAutospacing="0" w:line="280" w:lineRule="exact"/>
                    <w:ind w:left="0" w:right="0"/>
                    <w:jc w:val="center"/>
                    <w:textAlignment w:val="center"/>
                    <w:rPr>
                      <w:rFonts w:hint="eastAsia" w:ascii="Times New Roman" w:hAnsi="Times New Roman" w:eastAsia="宋体" w:cs="Times New Roman"/>
                      <w:b w:val="0"/>
                      <w:bCs w:val="0"/>
                      <w:sz w:val="21"/>
                      <w:szCs w:val="21"/>
                      <w:highlight w:val="none"/>
                      <w:lang w:val="en-US" w:eastAsia="zh-CN" w:bidi="ar"/>
                    </w:rPr>
                  </w:pPr>
                </w:p>
              </w:tc>
              <w:tc>
                <w:tcPr>
                  <w:tcW w:w="552" w:type="pct"/>
                  <w:vMerge w:val="continue"/>
                  <w:noWrap w:val="0"/>
                  <w:vAlign w:val="center"/>
                </w:tcPr>
                <w:p w14:paraId="7E30204C">
                  <w:pPr>
                    <w:keepNext w:val="0"/>
                    <w:keepLines w:val="0"/>
                    <w:widowControl/>
                    <w:suppressLineNumbers w:val="0"/>
                    <w:spacing w:before="0" w:beforeAutospacing="0" w:after="0" w:afterAutospacing="0" w:line="280" w:lineRule="exact"/>
                    <w:ind w:left="0" w:right="0"/>
                    <w:jc w:val="center"/>
                    <w:textAlignment w:val="center"/>
                    <w:rPr>
                      <w:rFonts w:hint="eastAsia" w:ascii="Times New Roman" w:hAnsi="Times New Roman" w:eastAsia="宋体" w:cs="Times New Roman"/>
                      <w:b w:val="0"/>
                      <w:bCs w:val="0"/>
                      <w:sz w:val="21"/>
                      <w:szCs w:val="21"/>
                      <w:highlight w:val="none"/>
                      <w:lang w:val="en-US" w:eastAsia="zh-CN" w:bidi="ar"/>
                    </w:rPr>
                  </w:pPr>
                </w:p>
              </w:tc>
              <w:tc>
                <w:tcPr>
                  <w:tcW w:w="623" w:type="pct"/>
                  <w:vMerge w:val="continue"/>
                  <w:shd w:val="clear" w:color="auto" w:fill="auto"/>
                  <w:noWrap w:val="0"/>
                  <w:vAlign w:val="center"/>
                </w:tcPr>
                <w:p w14:paraId="154ED26D">
                  <w:pPr>
                    <w:keepNext w:val="0"/>
                    <w:keepLines w:val="0"/>
                    <w:widowControl/>
                    <w:suppressLineNumbers w:val="0"/>
                    <w:spacing w:before="0" w:beforeAutospacing="0" w:after="0" w:afterAutospacing="0" w:line="280" w:lineRule="exact"/>
                    <w:ind w:left="0" w:right="0"/>
                    <w:jc w:val="center"/>
                    <w:textAlignment w:val="center"/>
                    <w:rPr>
                      <w:rFonts w:hint="eastAsia" w:cs="Times New Roman"/>
                      <w:b w:val="0"/>
                      <w:bCs w:val="0"/>
                      <w:sz w:val="21"/>
                      <w:szCs w:val="21"/>
                      <w:highlight w:val="none"/>
                      <w:lang w:val="en-US" w:eastAsia="zh-CN" w:bidi="ar"/>
                    </w:rPr>
                  </w:pPr>
                </w:p>
              </w:tc>
              <w:tc>
                <w:tcPr>
                  <w:tcW w:w="651" w:type="pct"/>
                  <w:shd w:val="clear" w:color="auto" w:fill="auto"/>
                  <w:noWrap w:val="0"/>
                  <w:vAlign w:val="center"/>
                </w:tcPr>
                <w:p w14:paraId="05D37829">
                  <w:pPr>
                    <w:keepNext w:val="0"/>
                    <w:keepLines w:val="0"/>
                    <w:widowControl/>
                    <w:suppressLineNumbers w:val="0"/>
                    <w:spacing w:before="0" w:beforeAutospacing="0" w:after="0" w:afterAutospacing="0" w:line="280" w:lineRule="exact"/>
                    <w:ind w:left="0" w:right="0"/>
                    <w:jc w:val="center"/>
                    <w:textAlignment w:val="center"/>
                    <w:rPr>
                      <w:rFonts w:hint="eastAsia" w:ascii="Times New Roman" w:hAnsi="Times New Roman" w:eastAsia="宋体" w:cs="Times New Roman"/>
                      <w:b w:val="0"/>
                      <w:bCs w:val="0"/>
                      <w:kern w:val="2"/>
                      <w:sz w:val="21"/>
                      <w:szCs w:val="21"/>
                      <w:highlight w:val="none"/>
                      <w:lang w:val="en-US" w:eastAsia="zh-CN" w:bidi="ar"/>
                    </w:rPr>
                  </w:pPr>
                  <w:r>
                    <w:rPr>
                      <w:rFonts w:hint="eastAsia" w:ascii="Times New Roman" w:hAnsi="Times New Roman" w:eastAsia="宋体" w:cs="Times New Roman"/>
                      <w:b w:val="0"/>
                      <w:bCs w:val="0"/>
                      <w:sz w:val="21"/>
                      <w:szCs w:val="21"/>
                      <w:highlight w:val="none"/>
                      <w:lang w:val="en-US" w:eastAsia="zh-CN" w:bidi="ar"/>
                    </w:rPr>
                    <w:t>H</w:t>
                  </w:r>
                  <w:r>
                    <w:rPr>
                      <w:rFonts w:hint="eastAsia" w:ascii="Times New Roman" w:hAnsi="Times New Roman" w:eastAsia="宋体" w:cs="Times New Roman"/>
                      <w:b w:val="0"/>
                      <w:bCs w:val="0"/>
                      <w:sz w:val="21"/>
                      <w:szCs w:val="21"/>
                      <w:highlight w:val="none"/>
                      <w:vertAlign w:val="subscript"/>
                      <w:lang w:val="en-US" w:eastAsia="zh-CN" w:bidi="ar"/>
                    </w:rPr>
                    <w:t>2</w:t>
                  </w:r>
                  <w:r>
                    <w:rPr>
                      <w:rFonts w:hint="eastAsia" w:ascii="Times New Roman" w:hAnsi="Times New Roman" w:eastAsia="宋体" w:cs="Times New Roman"/>
                      <w:b w:val="0"/>
                      <w:bCs w:val="0"/>
                      <w:sz w:val="21"/>
                      <w:szCs w:val="21"/>
                      <w:highlight w:val="none"/>
                      <w:lang w:val="en-US" w:eastAsia="zh-CN" w:bidi="ar"/>
                    </w:rPr>
                    <w:t>S</w:t>
                  </w:r>
                </w:p>
              </w:tc>
              <w:tc>
                <w:tcPr>
                  <w:tcW w:w="641" w:type="pct"/>
                  <w:noWrap w:val="0"/>
                  <w:vAlign w:val="center"/>
                </w:tcPr>
                <w:p w14:paraId="0DCC83BA">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kern w:val="0"/>
                      <w:sz w:val="21"/>
                      <w:szCs w:val="21"/>
                      <w:highlight w:val="none"/>
                      <w:u w:val="none"/>
                      <w:lang w:val="en-US" w:eastAsia="zh-CN" w:bidi="ar"/>
                    </w:rPr>
                  </w:pPr>
                  <w:r>
                    <w:rPr>
                      <w:rFonts w:hint="eastAsia" w:ascii="Times New Roman" w:hAnsi="Times New Roman" w:eastAsia="宋体" w:cs="Times New Roman"/>
                      <w:i w:val="0"/>
                      <w:iCs w:val="0"/>
                      <w:color w:val="000000"/>
                      <w:kern w:val="0"/>
                      <w:sz w:val="21"/>
                      <w:szCs w:val="21"/>
                      <w:highlight w:val="none"/>
                      <w:u w:val="none"/>
                      <w:lang w:val="en-US" w:eastAsia="zh-CN" w:bidi="ar"/>
                    </w:rPr>
                    <w:t>0.00</w:t>
                  </w:r>
                  <w:r>
                    <w:rPr>
                      <w:rFonts w:hint="eastAsia" w:cs="Times New Roman"/>
                      <w:i w:val="0"/>
                      <w:iCs w:val="0"/>
                      <w:color w:val="000000"/>
                      <w:kern w:val="0"/>
                      <w:sz w:val="21"/>
                      <w:szCs w:val="21"/>
                      <w:highlight w:val="none"/>
                      <w:u w:val="none"/>
                      <w:lang w:val="en-US" w:eastAsia="zh-CN" w:bidi="ar"/>
                    </w:rPr>
                    <w:t>5</w:t>
                  </w:r>
                </w:p>
              </w:tc>
              <w:tc>
                <w:tcPr>
                  <w:tcW w:w="706" w:type="pct"/>
                  <w:noWrap w:val="0"/>
                  <w:vAlign w:val="center"/>
                </w:tcPr>
                <w:p w14:paraId="3780D539">
                  <w:pPr>
                    <w:keepNext w:val="0"/>
                    <w:keepLines w:val="0"/>
                    <w:widowControl/>
                    <w:suppressLineNumbers w:val="0"/>
                    <w:spacing w:before="0" w:beforeAutospacing="0" w:after="0" w:afterAutospacing="0"/>
                    <w:ind w:left="0" w:right="0"/>
                    <w:jc w:val="center"/>
                    <w:textAlignment w:val="center"/>
                    <w:rPr>
                      <w:rFonts w:hint="eastAsia" w:ascii="Times New Roman" w:hAnsi="Times New Roman" w:eastAsia="宋体" w:cs="Times New Roman"/>
                      <w:i w:val="0"/>
                      <w:iCs w:val="0"/>
                      <w:color w:val="000000"/>
                      <w:kern w:val="0"/>
                      <w:sz w:val="21"/>
                      <w:szCs w:val="21"/>
                      <w:highlight w:val="none"/>
                      <w:u w:val="none"/>
                      <w:lang w:val="en-US" w:eastAsia="zh-CN" w:bidi="ar"/>
                    </w:rPr>
                  </w:pPr>
                  <w:r>
                    <w:rPr>
                      <w:rFonts w:hint="eastAsia" w:ascii="Times New Roman" w:hAnsi="Times New Roman" w:eastAsia="宋体" w:cs="Times New Roman"/>
                      <w:i w:val="0"/>
                      <w:iCs w:val="0"/>
                      <w:color w:val="000000"/>
                      <w:kern w:val="0"/>
                      <w:sz w:val="21"/>
                      <w:szCs w:val="21"/>
                      <w:highlight w:val="none"/>
                      <w:u w:val="none"/>
                      <w:lang w:val="en-US" w:eastAsia="zh-CN" w:bidi="ar"/>
                    </w:rPr>
                    <w:t xml:space="preserve">0.001 </w:t>
                  </w:r>
                </w:p>
              </w:tc>
              <w:tc>
                <w:tcPr>
                  <w:tcW w:w="635" w:type="pct"/>
                  <w:shd w:val="clear" w:color="auto" w:fill="auto"/>
                  <w:noWrap w:val="0"/>
                  <w:vAlign w:val="center"/>
                </w:tcPr>
                <w:p w14:paraId="3CB364FC">
                  <w:pPr>
                    <w:keepNext w:val="0"/>
                    <w:keepLines w:val="0"/>
                    <w:widowControl/>
                    <w:suppressLineNumbers w:val="0"/>
                    <w:spacing w:before="0" w:beforeAutospacing="0" w:after="0" w:afterAutospacing="0"/>
                    <w:ind w:left="0" w:right="0"/>
                    <w:jc w:val="center"/>
                    <w:textAlignment w:val="center"/>
                    <w:rPr>
                      <w:rFonts w:hint="eastAsia" w:ascii="Times New Roman" w:hAnsi="Times New Roman" w:eastAsia="宋体" w:cs="Times New Roman"/>
                      <w:i w:val="0"/>
                      <w:iCs w:val="0"/>
                      <w:color w:val="000000"/>
                      <w:kern w:val="0"/>
                      <w:sz w:val="21"/>
                      <w:szCs w:val="21"/>
                      <w:highlight w:val="none"/>
                      <w:u w:val="none"/>
                      <w:lang w:val="en-US" w:eastAsia="zh-CN" w:bidi="ar"/>
                    </w:rPr>
                  </w:pPr>
                  <w:r>
                    <w:rPr>
                      <w:rFonts w:hint="eastAsia" w:ascii="Times New Roman" w:hAnsi="Times New Roman" w:eastAsia="宋体" w:cs="Times New Roman"/>
                      <w:i w:val="0"/>
                      <w:iCs w:val="0"/>
                      <w:color w:val="000000"/>
                      <w:kern w:val="0"/>
                      <w:sz w:val="21"/>
                      <w:szCs w:val="21"/>
                      <w:highlight w:val="none"/>
                      <w:u w:val="none"/>
                      <w:lang w:val="en-US" w:eastAsia="zh-CN" w:bidi="ar"/>
                    </w:rPr>
                    <w:t>0.006</w:t>
                  </w:r>
                </w:p>
              </w:tc>
              <w:tc>
                <w:tcPr>
                  <w:tcW w:w="719" w:type="pct"/>
                  <w:shd w:val="clear" w:color="auto" w:fill="auto"/>
                  <w:noWrap w:val="0"/>
                  <w:vAlign w:val="center"/>
                </w:tcPr>
                <w:p w14:paraId="420AD2FD">
                  <w:pPr>
                    <w:keepNext w:val="0"/>
                    <w:keepLines w:val="0"/>
                    <w:widowControl/>
                    <w:suppressLineNumbers w:val="0"/>
                    <w:spacing w:before="0" w:beforeAutospacing="0" w:after="0" w:afterAutospacing="0"/>
                    <w:ind w:left="0" w:right="0"/>
                    <w:jc w:val="center"/>
                    <w:textAlignment w:val="center"/>
                    <w:rPr>
                      <w:rFonts w:hint="eastAsia" w:ascii="Times New Roman" w:hAnsi="Times New Roman" w:eastAsia="宋体" w:cs="Times New Roman"/>
                      <w:i w:val="0"/>
                      <w:iCs w:val="0"/>
                      <w:color w:val="000000"/>
                      <w:kern w:val="0"/>
                      <w:sz w:val="21"/>
                      <w:szCs w:val="21"/>
                      <w:highlight w:val="none"/>
                      <w:u w:val="none"/>
                      <w:lang w:val="en-US" w:eastAsia="zh-CN" w:bidi="ar"/>
                    </w:rPr>
                  </w:pPr>
                  <w:r>
                    <w:rPr>
                      <w:rFonts w:hint="eastAsia" w:ascii="Times New Roman" w:hAnsi="Times New Roman" w:eastAsia="宋体" w:cs="Times New Roman"/>
                      <w:i w:val="0"/>
                      <w:iCs w:val="0"/>
                      <w:color w:val="000000"/>
                      <w:kern w:val="0"/>
                      <w:sz w:val="21"/>
                      <w:szCs w:val="21"/>
                      <w:highlight w:val="none"/>
                      <w:u w:val="none"/>
                      <w:lang w:val="en-US" w:eastAsia="zh-CN" w:bidi="ar"/>
                    </w:rPr>
                    <w:t xml:space="preserve">0.001 </w:t>
                  </w:r>
                </w:p>
              </w:tc>
            </w:tr>
            <w:tr w14:paraId="57EB0D4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470" w:type="pct"/>
                  <w:vMerge w:val="continue"/>
                  <w:noWrap w:val="0"/>
                  <w:vAlign w:val="center"/>
                </w:tcPr>
                <w:p w14:paraId="7E2093A1">
                  <w:pPr>
                    <w:keepNext w:val="0"/>
                    <w:keepLines w:val="0"/>
                    <w:widowControl/>
                    <w:suppressLineNumbers w:val="0"/>
                    <w:spacing w:before="0" w:beforeAutospacing="0" w:after="0" w:afterAutospacing="0" w:line="280" w:lineRule="exact"/>
                    <w:ind w:left="0" w:right="0"/>
                    <w:jc w:val="center"/>
                    <w:textAlignment w:val="center"/>
                    <w:rPr>
                      <w:rFonts w:hint="eastAsia" w:ascii="Times New Roman" w:hAnsi="Times New Roman" w:eastAsia="宋体" w:cs="Times New Roman"/>
                      <w:b w:val="0"/>
                      <w:bCs w:val="0"/>
                      <w:sz w:val="21"/>
                      <w:szCs w:val="21"/>
                      <w:highlight w:val="none"/>
                      <w:lang w:val="en-US" w:eastAsia="zh-CN" w:bidi="ar"/>
                    </w:rPr>
                  </w:pPr>
                </w:p>
              </w:tc>
              <w:tc>
                <w:tcPr>
                  <w:tcW w:w="552" w:type="pct"/>
                  <w:vMerge w:val="continue"/>
                  <w:noWrap w:val="0"/>
                  <w:vAlign w:val="center"/>
                </w:tcPr>
                <w:p w14:paraId="5002684E">
                  <w:pPr>
                    <w:keepNext w:val="0"/>
                    <w:keepLines w:val="0"/>
                    <w:widowControl/>
                    <w:suppressLineNumbers w:val="0"/>
                    <w:spacing w:before="0" w:beforeAutospacing="0" w:after="0" w:afterAutospacing="0" w:line="280" w:lineRule="exact"/>
                    <w:ind w:left="0" w:right="0"/>
                    <w:jc w:val="center"/>
                    <w:textAlignment w:val="center"/>
                    <w:rPr>
                      <w:rFonts w:hint="eastAsia" w:ascii="Times New Roman" w:hAnsi="Times New Roman" w:eastAsia="宋体" w:cs="Times New Roman"/>
                      <w:b w:val="0"/>
                      <w:bCs w:val="0"/>
                      <w:sz w:val="21"/>
                      <w:szCs w:val="21"/>
                      <w:highlight w:val="none"/>
                      <w:lang w:val="en-US" w:eastAsia="zh-CN" w:bidi="ar"/>
                    </w:rPr>
                  </w:pPr>
                </w:p>
              </w:tc>
              <w:tc>
                <w:tcPr>
                  <w:tcW w:w="623" w:type="pct"/>
                  <w:vMerge w:val="continue"/>
                  <w:shd w:val="clear" w:color="auto" w:fill="auto"/>
                  <w:noWrap w:val="0"/>
                  <w:vAlign w:val="center"/>
                </w:tcPr>
                <w:p w14:paraId="695ABC94">
                  <w:pPr>
                    <w:keepNext w:val="0"/>
                    <w:keepLines w:val="0"/>
                    <w:widowControl/>
                    <w:suppressLineNumbers w:val="0"/>
                    <w:spacing w:before="0" w:beforeAutospacing="0" w:after="0" w:afterAutospacing="0" w:line="280" w:lineRule="exact"/>
                    <w:ind w:left="0" w:right="0"/>
                    <w:jc w:val="center"/>
                    <w:textAlignment w:val="center"/>
                    <w:rPr>
                      <w:rFonts w:hint="eastAsia" w:cs="Times New Roman"/>
                      <w:b w:val="0"/>
                      <w:bCs w:val="0"/>
                      <w:sz w:val="21"/>
                      <w:szCs w:val="21"/>
                      <w:highlight w:val="none"/>
                      <w:lang w:val="en-US" w:eastAsia="zh-CN" w:bidi="ar"/>
                    </w:rPr>
                  </w:pPr>
                </w:p>
              </w:tc>
              <w:tc>
                <w:tcPr>
                  <w:tcW w:w="651" w:type="pct"/>
                  <w:shd w:val="clear" w:color="auto" w:fill="auto"/>
                  <w:noWrap w:val="0"/>
                  <w:vAlign w:val="center"/>
                </w:tcPr>
                <w:p w14:paraId="2C2FCD2F">
                  <w:pPr>
                    <w:keepNext w:val="0"/>
                    <w:keepLines w:val="0"/>
                    <w:widowControl/>
                    <w:suppressLineNumbers w:val="0"/>
                    <w:spacing w:before="0" w:beforeAutospacing="0" w:after="0" w:afterAutospacing="0" w:line="280" w:lineRule="exact"/>
                    <w:ind w:left="0" w:right="0"/>
                    <w:jc w:val="center"/>
                    <w:textAlignment w:val="center"/>
                    <w:rPr>
                      <w:rFonts w:hint="eastAsia" w:ascii="Times New Roman" w:hAnsi="Times New Roman" w:eastAsia="宋体" w:cs="Times New Roman"/>
                      <w:b w:val="0"/>
                      <w:bCs w:val="0"/>
                      <w:sz w:val="21"/>
                      <w:szCs w:val="21"/>
                      <w:highlight w:val="none"/>
                      <w:lang w:val="en-US" w:eastAsia="zh-CN" w:bidi="ar"/>
                    </w:rPr>
                  </w:pPr>
                  <w:r>
                    <w:rPr>
                      <w:rFonts w:hint="eastAsia" w:cs="Times New Roman"/>
                      <w:b w:val="0"/>
                      <w:bCs w:val="0"/>
                      <w:sz w:val="21"/>
                      <w:szCs w:val="21"/>
                      <w:highlight w:val="none"/>
                      <w:lang w:val="en-US" w:eastAsia="zh-CN" w:bidi="ar"/>
                    </w:rPr>
                    <w:t>颗粒物</w:t>
                  </w:r>
                </w:p>
              </w:tc>
              <w:tc>
                <w:tcPr>
                  <w:tcW w:w="1348" w:type="pct"/>
                  <w:gridSpan w:val="2"/>
                  <w:noWrap w:val="0"/>
                  <w:vAlign w:val="center"/>
                </w:tcPr>
                <w:p w14:paraId="00D99F7A">
                  <w:pPr>
                    <w:keepNext w:val="0"/>
                    <w:keepLines w:val="0"/>
                    <w:widowControl/>
                    <w:suppressLineNumbers w:val="0"/>
                    <w:spacing w:before="0" w:beforeAutospacing="0" w:after="0" w:afterAutospacing="0"/>
                    <w:ind w:left="0" w:right="0"/>
                    <w:jc w:val="center"/>
                    <w:textAlignment w:val="center"/>
                    <w:rPr>
                      <w:rFonts w:hint="eastAsia" w:ascii="Times New Roman" w:hAnsi="Times New Roman" w:eastAsia="宋体" w:cs="Times New Roman"/>
                      <w:i w:val="0"/>
                      <w:iCs w:val="0"/>
                      <w:color w:val="000000"/>
                      <w:kern w:val="0"/>
                      <w:sz w:val="21"/>
                      <w:szCs w:val="21"/>
                      <w:highlight w:val="none"/>
                      <w:u w:val="none"/>
                      <w:lang w:val="en-US" w:eastAsia="zh-CN" w:bidi="ar"/>
                    </w:rPr>
                  </w:pPr>
                  <w:r>
                    <w:rPr>
                      <w:rFonts w:hint="eastAsia" w:cs="Times New Roman"/>
                      <w:i w:val="0"/>
                      <w:iCs w:val="0"/>
                      <w:color w:val="000000"/>
                      <w:kern w:val="0"/>
                      <w:sz w:val="21"/>
                      <w:szCs w:val="21"/>
                      <w:highlight w:val="none"/>
                      <w:u w:val="none"/>
                      <w:lang w:val="en-US" w:eastAsia="zh-CN" w:bidi="ar"/>
                    </w:rPr>
                    <w:t>少量</w:t>
                  </w:r>
                </w:p>
              </w:tc>
              <w:tc>
                <w:tcPr>
                  <w:tcW w:w="1354" w:type="pct"/>
                  <w:gridSpan w:val="2"/>
                  <w:shd w:val="clear" w:color="auto" w:fill="auto"/>
                  <w:noWrap w:val="0"/>
                  <w:vAlign w:val="center"/>
                </w:tcPr>
                <w:p w14:paraId="34542435">
                  <w:pPr>
                    <w:keepNext w:val="0"/>
                    <w:keepLines w:val="0"/>
                    <w:widowControl/>
                    <w:suppressLineNumbers w:val="0"/>
                    <w:spacing w:before="0" w:beforeAutospacing="0" w:after="0" w:afterAutospacing="0"/>
                    <w:ind w:left="0" w:right="0"/>
                    <w:jc w:val="center"/>
                    <w:textAlignment w:val="center"/>
                    <w:rPr>
                      <w:rFonts w:hint="eastAsia" w:ascii="Times New Roman" w:hAnsi="Times New Roman" w:eastAsia="宋体" w:cs="Times New Roman"/>
                      <w:i w:val="0"/>
                      <w:iCs w:val="0"/>
                      <w:color w:val="000000"/>
                      <w:kern w:val="0"/>
                      <w:sz w:val="21"/>
                      <w:szCs w:val="21"/>
                      <w:highlight w:val="none"/>
                      <w:u w:val="none"/>
                      <w:lang w:val="en-US" w:eastAsia="zh-CN" w:bidi="ar"/>
                    </w:rPr>
                  </w:pPr>
                  <w:r>
                    <w:rPr>
                      <w:rFonts w:hint="eastAsia" w:cs="Times New Roman"/>
                      <w:i w:val="0"/>
                      <w:iCs w:val="0"/>
                      <w:color w:val="000000"/>
                      <w:kern w:val="0"/>
                      <w:sz w:val="21"/>
                      <w:szCs w:val="21"/>
                      <w:highlight w:val="none"/>
                      <w:u w:val="none"/>
                      <w:lang w:val="en-US" w:eastAsia="zh-CN" w:bidi="ar"/>
                    </w:rPr>
                    <w:t>少量</w:t>
                  </w:r>
                </w:p>
              </w:tc>
            </w:tr>
            <w:tr w14:paraId="77A14BF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5" w:hRule="atLeast"/>
              </w:trPr>
              <w:tc>
                <w:tcPr>
                  <w:tcW w:w="470" w:type="pct"/>
                  <w:vMerge w:val="continue"/>
                  <w:noWrap w:val="0"/>
                  <w:vAlign w:val="center"/>
                </w:tcPr>
                <w:p w14:paraId="12691F75">
                  <w:pPr>
                    <w:keepNext w:val="0"/>
                    <w:keepLines w:val="0"/>
                    <w:widowControl/>
                    <w:suppressLineNumbers w:val="0"/>
                    <w:spacing w:before="0" w:beforeAutospacing="0" w:after="0" w:afterAutospacing="0" w:line="280" w:lineRule="exact"/>
                    <w:ind w:left="0" w:right="0"/>
                    <w:jc w:val="center"/>
                    <w:textAlignment w:val="center"/>
                    <w:rPr>
                      <w:rFonts w:hint="eastAsia" w:ascii="Times New Roman" w:hAnsi="Times New Roman" w:eastAsia="宋体" w:cs="Times New Roman"/>
                      <w:b w:val="0"/>
                      <w:bCs w:val="0"/>
                      <w:sz w:val="21"/>
                      <w:szCs w:val="21"/>
                      <w:highlight w:val="none"/>
                      <w:lang w:val="en-US" w:eastAsia="zh-CN" w:bidi="ar"/>
                    </w:rPr>
                  </w:pPr>
                </w:p>
              </w:tc>
              <w:tc>
                <w:tcPr>
                  <w:tcW w:w="552" w:type="pct"/>
                  <w:vMerge w:val="continue"/>
                  <w:noWrap w:val="0"/>
                  <w:vAlign w:val="center"/>
                </w:tcPr>
                <w:p w14:paraId="603D37BB">
                  <w:pPr>
                    <w:keepNext w:val="0"/>
                    <w:keepLines w:val="0"/>
                    <w:widowControl/>
                    <w:suppressLineNumbers w:val="0"/>
                    <w:spacing w:before="0" w:beforeAutospacing="0" w:after="0" w:afterAutospacing="0" w:line="280" w:lineRule="exact"/>
                    <w:ind w:left="0" w:right="0"/>
                    <w:jc w:val="center"/>
                    <w:textAlignment w:val="center"/>
                    <w:rPr>
                      <w:rFonts w:hint="eastAsia" w:ascii="Times New Roman" w:hAnsi="Times New Roman" w:eastAsia="宋体" w:cs="Times New Roman"/>
                      <w:b w:val="0"/>
                      <w:bCs w:val="0"/>
                      <w:sz w:val="21"/>
                      <w:szCs w:val="21"/>
                      <w:highlight w:val="none"/>
                      <w:lang w:val="en-US" w:eastAsia="zh-CN" w:bidi="ar"/>
                    </w:rPr>
                  </w:pPr>
                </w:p>
              </w:tc>
              <w:tc>
                <w:tcPr>
                  <w:tcW w:w="623" w:type="pct"/>
                  <w:vMerge w:val="restart"/>
                  <w:shd w:val="clear" w:color="auto" w:fill="auto"/>
                  <w:noWrap w:val="0"/>
                  <w:vAlign w:val="center"/>
                </w:tcPr>
                <w:p w14:paraId="6E37D511">
                  <w:pPr>
                    <w:keepNext w:val="0"/>
                    <w:keepLines w:val="0"/>
                    <w:widowControl/>
                    <w:suppressLineNumbers w:val="0"/>
                    <w:spacing w:before="0" w:beforeAutospacing="0" w:after="0" w:afterAutospacing="0" w:line="280" w:lineRule="exact"/>
                    <w:ind w:left="0" w:right="0"/>
                    <w:jc w:val="center"/>
                    <w:textAlignment w:val="center"/>
                    <w:rPr>
                      <w:rFonts w:hint="default" w:cs="Times New Roman"/>
                      <w:b/>
                      <w:bCs/>
                      <w:sz w:val="21"/>
                      <w:szCs w:val="21"/>
                      <w:highlight w:val="none"/>
                      <w:lang w:val="en-US" w:eastAsia="zh-CN" w:bidi="ar"/>
                    </w:rPr>
                  </w:pPr>
                  <w:r>
                    <w:rPr>
                      <w:rFonts w:hint="eastAsia" w:cs="Times New Roman"/>
                      <w:b/>
                      <w:bCs/>
                      <w:sz w:val="21"/>
                      <w:szCs w:val="21"/>
                      <w:highlight w:val="none"/>
                      <w:lang w:val="en-US" w:eastAsia="zh-CN" w:bidi="ar"/>
                    </w:rPr>
                    <w:t>小计</w:t>
                  </w:r>
                </w:p>
              </w:tc>
              <w:tc>
                <w:tcPr>
                  <w:tcW w:w="651" w:type="pct"/>
                  <w:shd w:val="clear" w:color="auto" w:fill="auto"/>
                  <w:noWrap w:val="0"/>
                  <w:vAlign w:val="center"/>
                </w:tcPr>
                <w:p w14:paraId="497791D9">
                  <w:pPr>
                    <w:keepNext w:val="0"/>
                    <w:keepLines w:val="0"/>
                    <w:widowControl/>
                    <w:suppressLineNumbers w:val="0"/>
                    <w:spacing w:before="0" w:beforeAutospacing="0" w:after="0" w:afterAutospacing="0" w:line="280" w:lineRule="exact"/>
                    <w:ind w:left="0" w:right="0"/>
                    <w:jc w:val="center"/>
                    <w:textAlignment w:val="center"/>
                    <w:rPr>
                      <w:rFonts w:hint="eastAsia" w:ascii="Times New Roman" w:hAnsi="Times New Roman" w:eastAsia="宋体" w:cs="Times New Roman"/>
                      <w:b/>
                      <w:bCs/>
                      <w:kern w:val="2"/>
                      <w:sz w:val="21"/>
                      <w:szCs w:val="21"/>
                      <w:highlight w:val="none"/>
                      <w:lang w:val="en-US" w:eastAsia="zh-CN" w:bidi="ar"/>
                    </w:rPr>
                  </w:pPr>
                  <w:r>
                    <w:rPr>
                      <w:rFonts w:hint="eastAsia" w:ascii="Times New Roman" w:hAnsi="Times New Roman" w:eastAsia="宋体" w:cs="Times New Roman"/>
                      <w:b/>
                      <w:bCs/>
                      <w:sz w:val="21"/>
                      <w:szCs w:val="21"/>
                      <w:highlight w:val="none"/>
                      <w:lang w:val="en-US" w:eastAsia="zh-CN" w:bidi="ar"/>
                    </w:rPr>
                    <w:t>NH</w:t>
                  </w:r>
                  <w:r>
                    <w:rPr>
                      <w:rFonts w:hint="eastAsia" w:ascii="Times New Roman" w:hAnsi="Times New Roman" w:eastAsia="宋体" w:cs="Times New Roman"/>
                      <w:b/>
                      <w:bCs/>
                      <w:sz w:val="21"/>
                      <w:szCs w:val="21"/>
                      <w:highlight w:val="none"/>
                      <w:vertAlign w:val="subscript"/>
                      <w:lang w:val="en-US" w:eastAsia="zh-CN" w:bidi="ar"/>
                    </w:rPr>
                    <w:t>3</w:t>
                  </w:r>
                </w:p>
              </w:tc>
              <w:tc>
                <w:tcPr>
                  <w:tcW w:w="641" w:type="pct"/>
                  <w:noWrap w:val="0"/>
                  <w:vAlign w:val="center"/>
                </w:tcPr>
                <w:p w14:paraId="463B74D2">
                  <w:pPr>
                    <w:keepNext w:val="0"/>
                    <w:keepLines w:val="0"/>
                    <w:widowControl/>
                    <w:suppressLineNumbers w:val="0"/>
                    <w:spacing w:before="0" w:beforeAutospacing="0" w:after="0" w:afterAutospacing="0"/>
                    <w:ind w:left="0" w:right="0"/>
                    <w:jc w:val="center"/>
                    <w:textAlignment w:val="center"/>
                    <w:rPr>
                      <w:rFonts w:hint="eastAsia" w:ascii="Times New Roman" w:hAnsi="Times New Roman" w:eastAsia="宋体" w:cs="Times New Roman"/>
                      <w:b/>
                      <w:bCs/>
                      <w:i w:val="0"/>
                      <w:iCs w:val="0"/>
                      <w:color w:val="000000"/>
                      <w:kern w:val="0"/>
                      <w:sz w:val="21"/>
                      <w:szCs w:val="21"/>
                      <w:highlight w:val="none"/>
                      <w:u w:val="none"/>
                      <w:lang w:val="en-US" w:eastAsia="zh-CN" w:bidi="ar"/>
                    </w:rPr>
                  </w:pPr>
                  <w:r>
                    <w:rPr>
                      <w:rFonts w:hint="eastAsia" w:ascii="Times New Roman" w:hAnsi="Times New Roman" w:eastAsia="宋体" w:cs="Times New Roman"/>
                      <w:b/>
                      <w:bCs/>
                      <w:i w:val="0"/>
                      <w:iCs w:val="0"/>
                      <w:color w:val="000000"/>
                      <w:kern w:val="0"/>
                      <w:sz w:val="21"/>
                      <w:szCs w:val="21"/>
                      <w:highlight w:val="none"/>
                      <w:u w:val="none"/>
                      <w:lang w:val="en-US" w:eastAsia="zh-CN" w:bidi="ar"/>
                    </w:rPr>
                    <w:t>0.354</w:t>
                  </w:r>
                </w:p>
              </w:tc>
              <w:tc>
                <w:tcPr>
                  <w:tcW w:w="706" w:type="pct"/>
                  <w:noWrap w:val="0"/>
                  <w:vAlign w:val="center"/>
                </w:tcPr>
                <w:p w14:paraId="32C960EF">
                  <w:pPr>
                    <w:keepNext w:val="0"/>
                    <w:keepLines w:val="0"/>
                    <w:widowControl/>
                    <w:suppressLineNumbers w:val="0"/>
                    <w:spacing w:before="0" w:beforeAutospacing="0" w:after="0" w:afterAutospacing="0"/>
                    <w:ind w:left="0" w:right="0"/>
                    <w:jc w:val="center"/>
                    <w:textAlignment w:val="center"/>
                    <w:rPr>
                      <w:rFonts w:hint="eastAsia" w:ascii="Times New Roman" w:hAnsi="Times New Roman" w:eastAsia="宋体" w:cs="Times New Roman"/>
                      <w:b/>
                      <w:bCs/>
                      <w:i w:val="0"/>
                      <w:iCs w:val="0"/>
                      <w:color w:val="000000"/>
                      <w:kern w:val="0"/>
                      <w:sz w:val="21"/>
                      <w:szCs w:val="21"/>
                      <w:highlight w:val="none"/>
                      <w:u w:val="none"/>
                      <w:lang w:val="en-US" w:eastAsia="zh-CN" w:bidi="ar"/>
                    </w:rPr>
                  </w:pPr>
                  <w:r>
                    <w:rPr>
                      <w:rFonts w:hint="eastAsia" w:ascii="Times New Roman" w:hAnsi="Times New Roman" w:eastAsia="宋体" w:cs="Times New Roman"/>
                      <w:b/>
                      <w:bCs/>
                      <w:i w:val="0"/>
                      <w:iCs w:val="0"/>
                      <w:color w:val="000000"/>
                      <w:kern w:val="0"/>
                      <w:sz w:val="21"/>
                      <w:szCs w:val="21"/>
                      <w:highlight w:val="none"/>
                      <w:u w:val="none"/>
                      <w:lang w:val="en-US" w:eastAsia="zh-CN" w:bidi="ar"/>
                    </w:rPr>
                    <w:t>0.04</w:t>
                  </w:r>
                </w:p>
              </w:tc>
              <w:tc>
                <w:tcPr>
                  <w:tcW w:w="635" w:type="pct"/>
                  <w:shd w:val="clear" w:color="auto" w:fill="auto"/>
                  <w:noWrap w:val="0"/>
                  <w:vAlign w:val="center"/>
                </w:tcPr>
                <w:p w14:paraId="216F8B32">
                  <w:pPr>
                    <w:keepNext w:val="0"/>
                    <w:keepLines w:val="0"/>
                    <w:widowControl/>
                    <w:suppressLineNumbers w:val="0"/>
                    <w:spacing w:before="0" w:beforeAutospacing="0" w:after="0" w:afterAutospacing="0"/>
                    <w:ind w:left="0" w:right="0"/>
                    <w:jc w:val="center"/>
                    <w:textAlignment w:val="center"/>
                    <w:rPr>
                      <w:rFonts w:hint="eastAsia" w:ascii="Times New Roman" w:hAnsi="Times New Roman" w:eastAsia="宋体" w:cs="Times New Roman"/>
                      <w:b/>
                      <w:bCs/>
                      <w:i w:val="0"/>
                      <w:iCs w:val="0"/>
                      <w:color w:val="000000"/>
                      <w:kern w:val="0"/>
                      <w:sz w:val="21"/>
                      <w:szCs w:val="21"/>
                      <w:highlight w:val="none"/>
                      <w:u w:val="none"/>
                      <w:lang w:val="en-US" w:eastAsia="zh-CN" w:bidi="ar"/>
                    </w:rPr>
                  </w:pPr>
                  <w:r>
                    <w:rPr>
                      <w:rFonts w:hint="eastAsia" w:ascii="Times New Roman" w:hAnsi="Times New Roman" w:eastAsia="宋体" w:cs="Times New Roman"/>
                      <w:b/>
                      <w:bCs/>
                      <w:i w:val="0"/>
                      <w:iCs w:val="0"/>
                      <w:color w:val="000000"/>
                      <w:kern w:val="0"/>
                      <w:sz w:val="21"/>
                      <w:szCs w:val="21"/>
                      <w:highlight w:val="none"/>
                      <w:u w:val="none"/>
                      <w:lang w:val="en-US" w:eastAsia="zh-CN" w:bidi="ar"/>
                    </w:rPr>
                    <w:t>0.067</w:t>
                  </w:r>
                </w:p>
              </w:tc>
              <w:tc>
                <w:tcPr>
                  <w:tcW w:w="719" w:type="pct"/>
                  <w:shd w:val="clear" w:color="auto" w:fill="auto"/>
                  <w:noWrap w:val="0"/>
                  <w:vAlign w:val="center"/>
                </w:tcPr>
                <w:p w14:paraId="0DA7098F">
                  <w:pPr>
                    <w:keepNext w:val="0"/>
                    <w:keepLines w:val="0"/>
                    <w:widowControl/>
                    <w:suppressLineNumbers w:val="0"/>
                    <w:spacing w:before="0" w:beforeAutospacing="0" w:after="0" w:afterAutospacing="0"/>
                    <w:ind w:left="0" w:right="0"/>
                    <w:jc w:val="center"/>
                    <w:textAlignment w:val="center"/>
                    <w:rPr>
                      <w:rFonts w:hint="eastAsia" w:ascii="Times New Roman" w:hAnsi="Times New Roman" w:eastAsia="宋体" w:cs="Times New Roman"/>
                      <w:b/>
                      <w:bCs/>
                      <w:i w:val="0"/>
                      <w:iCs w:val="0"/>
                      <w:color w:val="000000"/>
                      <w:kern w:val="0"/>
                      <w:sz w:val="21"/>
                      <w:szCs w:val="21"/>
                      <w:highlight w:val="none"/>
                      <w:u w:val="none"/>
                      <w:lang w:val="en-US" w:eastAsia="zh-CN" w:bidi="ar"/>
                    </w:rPr>
                  </w:pPr>
                  <w:r>
                    <w:rPr>
                      <w:rFonts w:hint="eastAsia" w:ascii="Times New Roman" w:hAnsi="Times New Roman" w:eastAsia="宋体" w:cs="Times New Roman"/>
                      <w:b/>
                      <w:bCs/>
                      <w:i w:val="0"/>
                      <w:iCs w:val="0"/>
                      <w:color w:val="000000"/>
                      <w:kern w:val="0"/>
                      <w:sz w:val="21"/>
                      <w:szCs w:val="21"/>
                      <w:highlight w:val="none"/>
                      <w:u w:val="none"/>
                      <w:lang w:val="en-US" w:eastAsia="zh-CN" w:bidi="ar"/>
                    </w:rPr>
                    <w:t>0.008</w:t>
                  </w:r>
                </w:p>
              </w:tc>
            </w:tr>
            <w:tr w14:paraId="11789ED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470" w:type="pct"/>
                  <w:vMerge w:val="continue"/>
                  <w:noWrap w:val="0"/>
                  <w:vAlign w:val="center"/>
                </w:tcPr>
                <w:p w14:paraId="4EA66B93">
                  <w:pPr>
                    <w:keepNext w:val="0"/>
                    <w:keepLines w:val="0"/>
                    <w:widowControl/>
                    <w:suppressLineNumbers w:val="0"/>
                    <w:spacing w:before="0" w:beforeAutospacing="0" w:after="0" w:afterAutospacing="0" w:line="280" w:lineRule="exact"/>
                    <w:ind w:left="0" w:right="0"/>
                    <w:jc w:val="center"/>
                    <w:textAlignment w:val="center"/>
                    <w:rPr>
                      <w:rFonts w:hint="eastAsia" w:ascii="Times New Roman" w:hAnsi="Times New Roman" w:eastAsia="宋体" w:cs="Times New Roman"/>
                      <w:b w:val="0"/>
                      <w:bCs w:val="0"/>
                      <w:sz w:val="21"/>
                      <w:szCs w:val="21"/>
                      <w:highlight w:val="none"/>
                      <w:lang w:val="en-US" w:eastAsia="zh-CN" w:bidi="ar"/>
                    </w:rPr>
                  </w:pPr>
                </w:p>
              </w:tc>
              <w:tc>
                <w:tcPr>
                  <w:tcW w:w="552" w:type="pct"/>
                  <w:vMerge w:val="continue"/>
                  <w:noWrap w:val="0"/>
                  <w:vAlign w:val="center"/>
                </w:tcPr>
                <w:p w14:paraId="1DECE8FA">
                  <w:pPr>
                    <w:keepNext w:val="0"/>
                    <w:keepLines w:val="0"/>
                    <w:widowControl/>
                    <w:suppressLineNumbers w:val="0"/>
                    <w:spacing w:before="0" w:beforeAutospacing="0" w:after="0" w:afterAutospacing="0" w:line="280" w:lineRule="exact"/>
                    <w:ind w:left="0" w:right="0"/>
                    <w:jc w:val="center"/>
                    <w:textAlignment w:val="center"/>
                    <w:rPr>
                      <w:rFonts w:hint="eastAsia" w:ascii="Times New Roman" w:hAnsi="Times New Roman" w:eastAsia="宋体" w:cs="Times New Roman"/>
                      <w:b w:val="0"/>
                      <w:bCs w:val="0"/>
                      <w:sz w:val="21"/>
                      <w:szCs w:val="21"/>
                      <w:highlight w:val="none"/>
                      <w:lang w:val="en-US" w:eastAsia="zh-CN" w:bidi="ar"/>
                    </w:rPr>
                  </w:pPr>
                </w:p>
              </w:tc>
              <w:tc>
                <w:tcPr>
                  <w:tcW w:w="623" w:type="pct"/>
                  <w:vMerge w:val="continue"/>
                  <w:shd w:val="clear" w:color="auto" w:fill="auto"/>
                  <w:noWrap w:val="0"/>
                  <w:vAlign w:val="center"/>
                </w:tcPr>
                <w:p w14:paraId="421889D2">
                  <w:pPr>
                    <w:keepNext w:val="0"/>
                    <w:keepLines w:val="0"/>
                    <w:widowControl/>
                    <w:suppressLineNumbers w:val="0"/>
                    <w:spacing w:before="0" w:beforeAutospacing="0" w:after="0" w:afterAutospacing="0" w:line="280" w:lineRule="exact"/>
                    <w:ind w:left="0" w:right="0"/>
                    <w:jc w:val="center"/>
                    <w:textAlignment w:val="center"/>
                    <w:rPr>
                      <w:rFonts w:hint="eastAsia" w:cs="Times New Roman"/>
                      <w:b/>
                      <w:bCs/>
                      <w:sz w:val="21"/>
                      <w:szCs w:val="21"/>
                      <w:highlight w:val="none"/>
                      <w:lang w:val="en-US" w:eastAsia="zh-CN" w:bidi="ar"/>
                    </w:rPr>
                  </w:pPr>
                </w:p>
              </w:tc>
              <w:tc>
                <w:tcPr>
                  <w:tcW w:w="651" w:type="pct"/>
                  <w:shd w:val="clear" w:color="auto" w:fill="auto"/>
                  <w:noWrap w:val="0"/>
                  <w:vAlign w:val="center"/>
                </w:tcPr>
                <w:p w14:paraId="32E5F053">
                  <w:pPr>
                    <w:keepNext w:val="0"/>
                    <w:keepLines w:val="0"/>
                    <w:widowControl/>
                    <w:suppressLineNumbers w:val="0"/>
                    <w:spacing w:before="0" w:beforeAutospacing="0" w:after="0" w:afterAutospacing="0" w:line="280" w:lineRule="exact"/>
                    <w:ind w:left="0" w:right="0"/>
                    <w:jc w:val="center"/>
                    <w:textAlignment w:val="center"/>
                    <w:rPr>
                      <w:rFonts w:hint="eastAsia" w:ascii="Times New Roman" w:hAnsi="Times New Roman" w:eastAsia="宋体" w:cs="Times New Roman"/>
                      <w:b/>
                      <w:bCs/>
                      <w:kern w:val="2"/>
                      <w:sz w:val="21"/>
                      <w:szCs w:val="21"/>
                      <w:highlight w:val="none"/>
                      <w:lang w:val="en-US" w:eastAsia="zh-CN" w:bidi="ar"/>
                    </w:rPr>
                  </w:pPr>
                  <w:r>
                    <w:rPr>
                      <w:rFonts w:hint="eastAsia" w:ascii="Times New Roman" w:hAnsi="Times New Roman" w:eastAsia="宋体" w:cs="Times New Roman"/>
                      <w:b/>
                      <w:bCs/>
                      <w:sz w:val="21"/>
                      <w:szCs w:val="21"/>
                      <w:highlight w:val="none"/>
                      <w:lang w:val="en-US" w:eastAsia="zh-CN" w:bidi="ar"/>
                    </w:rPr>
                    <w:t>H</w:t>
                  </w:r>
                  <w:r>
                    <w:rPr>
                      <w:rFonts w:hint="eastAsia" w:ascii="Times New Roman" w:hAnsi="Times New Roman" w:eastAsia="宋体" w:cs="Times New Roman"/>
                      <w:b/>
                      <w:bCs/>
                      <w:sz w:val="21"/>
                      <w:szCs w:val="21"/>
                      <w:highlight w:val="none"/>
                      <w:vertAlign w:val="subscript"/>
                      <w:lang w:val="en-US" w:eastAsia="zh-CN" w:bidi="ar"/>
                    </w:rPr>
                    <w:t>2</w:t>
                  </w:r>
                  <w:r>
                    <w:rPr>
                      <w:rFonts w:hint="eastAsia" w:ascii="Times New Roman" w:hAnsi="Times New Roman" w:eastAsia="宋体" w:cs="Times New Roman"/>
                      <w:b/>
                      <w:bCs/>
                      <w:sz w:val="21"/>
                      <w:szCs w:val="21"/>
                      <w:highlight w:val="none"/>
                      <w:lang w:val="en-US" w:eastAsia="zh-CN" w:bidi="ar"/>
                    </w:rPr>
                    <w:t>S</w:t>
                  </w:r>
                </w:p>
              </w:tc>
              <w:tc>
                <w:tcPr>
                  <w:tcW w:w="641" w:type="pct"/>
                  <w:noWrap w:val="0"/>
                  <w:vAlign w:val="center"/>
                </w:tcPr>
                <w:p w14:paraId="441E0DAF">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b/>
                      <w:bCs/>
                      <w:i w:val="0"/>
                      <w:iCs w:val="0"/>
                      <w:color w:val="000000"/>
                      <w:kern w:val="0"/>
                      <w:sz w:val="21"/>
                      <w:szCs w:val="21"/>
                      <w:highlight w:val="none"/>
                      <w:u w:val="none"/>
                      <w:lang w:val="en-US" w:eastAsia="zh-CN" w:bidi="ar"/>
                    </w:rPr>
                  </w:pPr>
                  <w:r>
                    <w:rPr>
                      <w:rFonts w:hint="eastAsia" w:ascii="Times New Roman" w:hAnsi="Times New Roman" w:eastAsia="宋体" w:cs="Times New Roman"/>
                      <w:b/>
                      <w:bCs/>
                      <w:i w:val="0"/>
                      <w:iCs w:val="0"/>
                      <w:color w:val="000000"/>
                      <w:kern w:val="0"/>
                      <w:sz w:val="21"/>
                      <w:szCs w:val="21"/>
                      <w:highlight w:val="none"/>
                      <w:u w:val="none"/>
                      <w:lang w:val="en-US" w:eastAsia="zh-CN" w:bidi="ar"/>
                    </w:rPr>
                    <w:t>0.05</w:t>
                  </w:r>
                  <w:r>
                    <w:rPr>
                      <w:rFonts w:hint="eastAsia" w:cs="Times New Roman"/>
                      <w:b/>
                      <w:bCs/>
                      <w:i w:val="0"/>
                      <w:iCs w:val="0"/>
                      <w:color w:val="000000"/>
                      <w:kern w:val="0"/>
                      <w:sz w:val="21"/>
                      <w:szCs w:val="21"/>
                      <w:highlight w:val="none"/>
                      <w:u w:val="none"/>
                      <w:lang w:val="en-US" w:eastAsia="zh-CN" w:bidi="ar"/>
                    </w:rPr>
                    <w:t>5</w:t>
                  </w:r>
                </w:p>
              </w:tc>
              <w:tc>
                <w:tcPr>
                  <w:tcW w:w="706" w:type="pct"/>
                  <w:noWrap w:val="0"/>
                  <w:vAlign w:val="center"/>
                </w:tcPr>
                <w:p w14:paraId="2D333988">
                  <w:pPr>
                    <w:keepNext w:val="0"/>
                    <w:keepLines w:val="0"/>
                    <w:widowControl/>
                    <w:suppressLineNumbers w:val="0"/>
                    <w:spacing w:before="0" w:beforeAutospacing="0" w:after="0" w:afterAutospacing="0"/>
                    <w:ind w:left="0" w:right="0"/>
                    <w:jc w:val="center"/>
                    <w:textAlignment w:val="center"/>
                    <w:rPr>
                      <w:rFonts w:hint="eastAsia" w:ascii="Times New Roman" w:hAnsi="Times New Roman" w:eastAsia="宋体" w:cs="Times New Roman"/>
                      <w:b/>
                      <w:bCs/>
                      <w:i w:val="0"/>
                      <w:iCs w:val="0"/>
                      <w:color w:val="000000"/>
                      <w:kern w:val="0"/>
                      <w:sz w:val="21"/>
                      <w:szCs w:val="21"/>
                      <w:highlight w:val="none"/>
                      <w:u w:val="none"/>
                      <w:lang w:val="en-US" w:eastAsia="zh-CN" w:bidi="ar"/>
                    </w:rPr>
                  </w:pPr>
                  <w:r>
                    <w:rPr>
                      <w:rFonts w:hint="eastAsia" w:ascii="Times New Roman" w:hAnsi="Times New Roman" w:eastAsia="宋体" w:cs="Times New Roman"/>
                      <w:b/>
                      <w:bCs/>
                      <w:i w:val="0"/>
                      <w:iCs w:val="0"/>
                      <w:color w:val="000000"/>
                      <w:kern w:val="0"/>
                      <w:sz w:val="21"/>
                      <w:szCs w:val="21"/>
                      <w:highlight w:val="none"/>
                      <w:u w:val="none"/>
                      <w:lang w:val="en-US" w:eastAsia="zh-CN" w:bidi="ar"/>
                    </w:rPr>
                    <w:t>0.007</w:t>
                  </w:r>
                </w:p>
              </w:tc>
              <w:tc>
                <w:tcPr>
                  <w:tcW w:w="635" w:type="pct"/>
                  <w:shd w:val="clear" w:color="auto" w:fill="auto"/>
                  <w:noWrap w:val="0"/>
                  <w:vAlign w:val="center"/>
                </w:tcPr>
                <w:p w14:paraId="5A934F4B">
                  <w:pPr>
                    <w:keepNext w:val="0"/>
                    <w:keepLines w:val="0"/>
                    <w:widowControl/>
                    <w:suppressLineNumbers w:val="0"/>
                    <w:spacing w:before="0" w:beforeAutospacing="0" w:after="0" w:afterAutospacing="0"/>
                    <w:ind w:left="0" w:right="0"/>
                    <w:jc w:val="center"/>
                    <w:textAlignment w:val="center"/>
                    <w:rPr>
                      <w:rFonts w:hint="eastAsia" w:ascii="Times New Roman" w:hAnsi="Times New Roman" w:eastAsia="宋体" w:cs="Times New Roman"/>
                      <w:b/>
                      <w:bCs/>
                      <w:i w:val="0"/>
                      <w:iCs w:val="0"/>
                      <w:color w:val="000000"/>
                      <w:kern w:val="0"/>
                      <w:sz w:val="21"/>
                      <w:szCs w:val="21"/>
                      <w:highlight w:val="none"/>
                      <w:u w:val="none"/>
                      <w:lang w:val="en-US" w:eastAsia="zh-CN" w:bidi="ar"/>
                    </w:rPr>
                  </w:pPr>
                  <w:r>
                    <w:rPr>
                      <w:rFonts w:hint="eastAsia" w:ascii="Times New Roman" w:hAnsi="Times New Roman" w:eastAsia="宋体" w:cs="Times New Roman"/>
                      <w:b/>
                      <w:bCs/>
                      <w:i w:val="0"/>
                      <w:iCs w:val="0"/>
                      <w:color w:val="000000"/>
                      <w:kern w:val="0"/>
                      <w:sz w:val="21"/>
                      <w:szCs w:val="21"/>
                      <w:highlight w:val="none"/>
                      <w:u w:val="none"/>
                      <w:lang w:val="en-US" w:eastAsia="zh-CN" w:bidi="ar"/>
                    </w:rPr>
                    <w:t>0.031</w:t>
                  </w:r>
                </w:p>
              </w:tc>
              <w:tc>
                <w:tcPr>
                  <w:tcW w:w="719" w:type="pct"/>
                  <w:shd w:val="clear" w:color="auto" w:fill="auto"/>
                  <w:noWrap w:val="0"/>
                  <w:vAlign w:val="center"/>
                </w:tcPr>
                <w:p w14:paraId="3909172E">
                  <w:pPr>
                    <w:keepNext w:val="0"/>
                    <w:keepLines w:val="0"/>
                    <w:widowControl/>
                    <w:suppressLineNumbers w:val="0"/>
                    <w:spacing w:before="0" w:beforeAutospacing="0" w:after="0" w:afterAutospacing="0"/>
                    <w:ind w:left="0" w:right="0"/>
                    <w:jc w:val="center"/>
                    <w:textAlignment w:val="center"/>
                    <w:rPr>
                      <w:rFonts w:hint="eastAsia" w:ascii="Times New Roman" w:hAnsi="Times New Roman" w:eastAsia="宋体" w:cs="Times New Roman"/>
                      <w:b/>
                      <w:bCs/>
                      <w:i w:val="0"/>
                      <w:iCs w:val="0"/>
                      <w:color w:val="000000"/>
                      <w:kern w:val="0"/>
                      <w:sz w:val="21"/>
                      <w:szCs w:val="21"/>
                      <w:highlight w:val="none"/>
                      <w:u w:val="none"/>
                      <w:lang w:val="en-US" w:eastAsia="zh-CN" w:bidi="ar"/>
                    </w:rPr>
                  </w:pPr>
                  <w:r>
                    <w:rPr>
                      <w:rFonts w:hint="eastAsia" w:ascii="Times New Roman" w:hAnsi="Times New Roman" w:eastAsia="宋体" w:cs="Times New Roman"/>
                      <w:b/>
                      <w:bCs/>
                      <w:i w:val="0"/>
                      <w:iCs w:val="0"/>
                      <w:color w:val="000000"/>
                      <w:kern w:val="0"/>
                      <w:sz w:val="21"/>
                      <w:szCs w:val="21"/>
                      <w:highlight w:val="none"/>
                      <w:u w:val="none"/>
                      <w:lang w:val="en-US" w:eastAsia="zh-CN" w:bidi="ar"/>
                    </w:rPr>
                    <w:t>0.004</w:t>
                  </w:r>
                </w:p>
              </w:tc>
            </w:tr>
            <w:tr w14:paraId="7D617F5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470" w:type="pct"/>
                  <w:vMerge w:val="continue"/>
                  <w:noWrap w:val="0"/>
                  <w:vAlign w:val="center"/>
                </w:tcPr>
                <w:p w14:paraId="19D6E17E">
                  <w:pPr>
                    <w:keepNext w:val="0"/>
                    <w:keepLines w:val="0"/>
                    <w:widowControl/>
                    <w:suppressLineNumbers w:val="0"/>
                    <w:spacing w:before="0" w:beforeAutospacing="0" w:after="0" w:afterAutospacing="0" w:line="280" w:lineRule="exact"/>
                    <w:ind w:left="0" w:right="0"/>
                    <w:jc w:val="center"/>
                    <w:textAlignment w:val="center"/>
                    <w:rPr>
                      <w:rFonts w:hint="eastAsia" w:ascii="Times New Roman" w:hAnsi="Times New Roman" w:eastAsia="宋体" w:cs="Times New Roman"/>
                      <w:b w:val="0"/>
                      <w:bCs w:val="0"/>
                      <w:sz w:val="21"/>
                      <w:szCs w:val="21"/>
                      <w:highlight w:val="none"/>
                      <w:lang w:val="en-US" w:eastAsia="zh-CN" w:bidi="ar"/>
                    </w:rPr>
                  </w:pPr>
                </w:p>
              </w:tc>
              <w:tc>
                <w:tcPr>
                  <w:tcW w:w="552" w:type="pct"/>
                  <w:vMerge w:val="continue"/>
                  <w:noWrap w:val="0"/>
                  <w:vAlign w:val="center"/>
                </w:tcPr>
                <w:p w14:paraId="36470074">
                  <w:pPr>
                    <w:keepNext w:val="0"/>
                    <w:keepLines w:val="0"/>
                    <w:widowControl/>
                    <w:suppressLineNumbers w:val="0"/>
                    <w:spacing w:before="0" w:beforeAutospacing="0" w:after="0" w:afterAutospacing="0" w:line="280" w:lineRule="exact"/>
                    <w:ind w:left="0" w:right="0"/>
                    <w:jc w:val="center"/>
                    <w:textAlignment w:val="center"/>
                    <w:rPr>
                      <w:rFonts w:hint="eastAsia" w:ascii="Times New Roman" w:hAnsi="Times New Roman" w:eastAsia="宋体" w:cs="Times New Roman"/>
                      <w:b w:val="0"/>
                      <w:bCs w:val="0"/>
                      <w:sz w:val="21"/>
                      <w:szCs w:val="21"/>
                      <w:highlight w:val="none"/>
                      <w:lang w:val="en-US" w:eastAsia="zh-CN" w:bidi="ar"/>
                    </w:rPr>
                  </w:pPr>
                </w:p>
              </w:tc>
              <w:tc>
                <w:tcPr>
                  <w:tcW w:w="623" w:type="pct"/>
                  <w:vMerge w:val="continue"/>
                  <w:shd w:val="clear" w:color="auto" w:fill="auto"/>
                  <w:noWrap w:val="0"/>
                  <w:vAlign w:val="center"/>
                </w:tcPr>
                <w:p w14:paraId="1B405CE6">
                  <w:pPr>
                    <w:keepNext w:val="0"/>
                    <w:keepLines w:val="0"/>
                    <w:widowControl/>
                    <w:suppressLineNumbers w:val="0"/>
                    <w:spacing w:before="0" w:beforeAutospacing="0" w:after="0" w:afterAutospacing="0" w:line="280" w:lineRule="exact"/>
                    <w:ind w:left="0" w:right="0"/>
                    <w:jc w:val="center"/>
                    <w:textAlignment w:val="center"/>
                    <w:rPr>
                      <w:rFonts w:hint="eastAsia" w:cs="Times New Roman"/>
                      <w:b/>
                      <w:bCs/>
                      <w:sz w:val="21"/>
                      <w:szCs w:val="21"/>
                      <w:highlight w:val="none"/>
                      <w:lang w:val="en-US" w:eastAsia="zh-CN" w:bidi="ar"/>
                    </w:rPr>
                  </w:pPr>
                </w:p>
              </w:tc>
              <w:tc>
                <w:tcPr>
                  <w:tcW w:w="651" w:type="pct"/>
                  <w:shd w:val="clear" w:color="auto" w:fill="auto"/>
                  <w:noWrap w:val="0"/>
                  <w:vAlign w:val="center"/>
                </w:tcPr>
                <w:p w14:paraId="48E4A242">
                  <w:pPr>
                    <w:keepNext w:val="0"/>
                    <w:keepLines w:val="0"/>
                    <w:widowControl/>
                    <w:suppressLineNumbers w:val="0"/>
                    <w:spacing w:before="0" w:beforeAutospacing="0" w:after="0" w:afterAutospacing="0" w:line="280" w:lineRule="exact"/>
                    <w:ind w:left="0" w:right="0"/>
                    <w:jc w:val="center"/>
                    <w:textAlignment w:val="center"/>
                    <w:rPr>
                      <w:rFonts w:hint="default" w:ascii="Times New Roman" w:hAnsi="Times New Roman" w:eastAsia="宋体" w:cs="Times New Roman"/>
                      <w:b/>
                      <w:bCs/>
                      <w:sz w:val="21"/>
                      <w:szCs w:val="21"/>
                      <w:highlight w:val="none"/>
                      <w:lang w:val="en-US" w:eastAsia="zh-CN" w:bidi="ar"/>
                    </w:rPr>
                  </w:pPr>
                  <w:r>
                    <w:rPr>
                      <w:rFonts w:hint="eastAsia" w:cs="Times New Roman"/>
                      <w:b/>
                      <w:bCs/>
                      <w:sz w:val="21"/>
                      <w:szCs w:val="21"/>
                      <w:highlight w:val="none"/>
                      <w:lang w:val="en-US" w:eastAsia="zh-CN" w:bidi="ar"/>
                    </w:rPr>
                    <w:t>颗粒物</w:t>
                  </w:r>
                </w:p>
              </w:tc>
              <w:tc>
                <w:tcPr>
                  <w:tcW w:w="1348" w:type="pct"/>
                  <w:gridSpan w:val="2"/>
                  <w:noWrap w:val="0"/>
                  <w:vAlign w:val="center"/>
                </w:tcPr>
                <w:p w14:paraId="16627C4F">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b/>
                      <w:bCs/>
                      <w:i w:val="0"/>
                      <w:iCs w:val="0"/>
                      <w:color w:val="000000"/>
                      <w:kern w:val="0"/>
                      <w:sz w:val="21"/>
                      <w:szCs w:val="21"/>
                      <w:highlight w:val="none"/>
                      <w:u w:val="none"/>
                      <w:lang w:val="en-US" w:eastAsia="zh-CN" w:bidi="ar"/>
                    </w:rPr>
                  </w:pPr>
                  <w:r>
                    <w:rPr>
                      <w:rFonts w:hint="eastAsia" w:cs="Times New Roman"/>
                      <w:b/>
                      <w:bCs/>
                      <w:i w:val="0"/>
                      <w:iCs w:val="0"/>
                      <w:color w:val="000000"/>
                      <w:kern w:val="0"/>
                      <w:sz w:val="21"/>
                      <w:szCs w:val="21"/>
                      <w:highlight w:val="none"/>
                      <w:u w:val="none"/>
                      <w:lang w:val="en-US" w:eastAsia="zh-CN" w:bidi="ar"/>
                    </w:rPr>
                    <w:t>少量</w:t>
                  </w:r>
                </w:p>
              </w:tc>
              <w:tc>
                <w:tcPr>
                  <w:tcW w:w="1354" w:type="pct"/>
                  <w:gridSpan w:val="2"/>
                  <w:shd w:val="clear" w:color="auto" w:fill="auto"/>
                  <w:noWrap w:val="0"/>
                  <w:vAlign w:val="center"/>
                </w:tcPr>
                <w:p w14:paraId="34404950">
                  <w:pPr>
                    <w:keepNext w:val="0"/>
                    <w:keepLines w:val="0"/>
                    <w:widowControl/>
                    <w:suppressLineNumbers w:val="0"/>
                    <w:spacing w:before="0" w:beforeAutospacing="0" w:after="0" w:afterAutospacing="0"/>
                    <w:ind w:left="0" w:right="0"/>
                    <w:jc w:val="center"/>
                    <w:textAlignment w:val="center"/>
                    <w:rPr>
                      <w:rFonts w:hint="eastAsia" w:ascii="Times New Roman" w:hAnsi="Times New Roman" w:eastAsia="宋体" w:cs="Times New Roman"/>
                      <w:b/>
                      <w:bCs/>
                      <w:i w:val="0"/>
                      <w:iCs w:val="0"/>
                      <w:color w:val="000000"/>
                      <w:kern w:val="0"/>
                      <w:sz w:val="21"/>
                      <w:szCs w:val="21"/>
                      <w:highlight w:val="none"/>
                      <w:u w:val="none"/>
                      <w:lang w:val="en-US" w:eastAsia="zh-CN" w:bidi="ar"/>
                    </w:rPr>
                  </w:pPr>
                  <w:r>
                    <w:rPr>
                      <w:rFonts w:hint="eastAsia" w:cs="Times New Roman"/>
                      <w:b/>
                      <w:bCs/>
                      <w:i w:val="0"/>
                      <w:iCs w:val="0"/>
                      <w:color w:val="000000"/>
                      <w:kern w:val="0"/>
                      <w:sz w:val="21"/>
                      <w:szCs w:val="21"/>
                      <w:highlight w:val="none"/>
                      <w:u w:val="none"/>
                      <w:lang w:val="en-US" w:eastAsia="zh-CN" w:bidi="ar"/>
                    </w:rPr>
                    <w:t>少量</w:t>
                  </w:r>
                </w:p>
              </w:tc>
            </w:tr>
            <w:tr w14:paraId="2F2DE49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470" w:type="pct"/>
                  <w:vMerge w:val="continue"/>
                  <w:noWrap w:val="0"/>
                  <w:vAlign w:val="center"/>
                </w:tcPr>
                <w:p w14:paraId="2EEE99DB">
                  <w:pPr>
                    <w:keepNext w:val="0"/>
                    <w:keepLines w:val="0"/>
                    <w:widowControl/>
                    <w:suppressLineNumbers w:val="0"/>
                    <w:spacing w:before="0" w:beforeAutospacing="0" w:after="0" w:afterAutospacing="0" w:line="280" w:lineRule="exact"/>
                    <w:ind w:left="0" w:right="0"/>
                    <w:jc w:val="center"/>
                    <w:textAlignment w:val="center"/>
                    <w:rPr>
                      <w:rFonts w:hint="eastAsia" w:ascii="Times New Roman" w:hAnsi="Times New Roman" w:eastAsia="宋体" w:cs="Times New Roman"/>
                      <w:b w:val="0"/>
                      <w:bCs w:val="0"/>
                      <w:sz w:val="21"/>
                      <w:szCs w:val="21"/>
                      <w:highlight w:val="none"/>
                      <w:lang w:val="en-US" w:eastAsia="zh-CN" w:bidi="ar"/>
                    </w:rPr>
                  </w:pPr>
                </w:p>
              </w:tc>
              <w:tc>
                <w:tcPr>
                  <w:tcW w:w="552" w:type="pct"/>
                  <w:vMerge w:val="restart"/>
                  <w:noWrap w:val="0"/>
                  <w:vAlign w:val="center"/>
                </w:tcPr>
                <w:p w14:paraId="3997B2A7">
                  <w:pPr>
                    <w:keepNext w:val="0"/>
                    <w:keepLines w:val="0"/>
                    <w:widowControl/>
                    <w:suppressLineNumbers w:val="0"/>
                    <w:spacing w:before="0" w:beforeAutospacing="0" w:after="0" w:afterAutospacing="0" w:line="280" w:lineRule="exact"/>
                    <w:ind w:left="0" w:right="0"/>
                    <w:jc w:val="center"/>
                    <w:textAlignment w:val="center"/>
                    <w:rPr>
                      <w:rFonts w:hint="default" w:ascii="Times New Roman" w:hAnsi="Times New Roman" w:eastAsia="宋体" w:cs="Times New Roman"/>
                      <w:b w:val="0"/>
                      <w:bCs w:val="0"/>
                      <w:sz w:val="21"/>
                      <w:szCs w:val="21"/>
                      <w:highlight w:val="none"/>
                      <w:lang w:val="en-US" w:eastAsia="zh-CN" w:bidi="ar"/>
                    </w:rPr>
                  </w:pPr>
                  <w:r>
                    <w:rPr>
                      <w:rFonts w:hint="eastAsia" w:ascii="Times New Roman" w:hAnsi="Times New Roman" w:eastAsia="宋体" w:cs="Times New Roman"/>
                      <w:b w:val="0"/>
                      <w:bCs w:val="0"/>
                      <w:sz w:val="21"/>
                      <w:szCs w:val="21"/>
                      <w:highlight w:val="none"/>
                      <w:lang w:val="en-US" w:eastAsia="zh-CN" w:bidi="ar"/>
                    </w:rPr>
                    <w:t>DA002</w:t>
                  </w:r>
                </w:p>
              </w:tc>
              <w:tc>
                <w:tcPr>
                  <w:tcW w:w="623" w:type="pct"/>
                  <w:vMerge w:val="restart"/>
                  <w:shd w:val="clear" w:color="auto" w:fill="auto"/>
                  <w:noWrap w:val="0"/>
                  <w:vAlign w:val="center"/>
                </w:tcPr>
                <w:p w14:paraId="0030C866">
                  <w:pPr>
                    <w:keepNext w:val="0"/>
                    <w:keepLines w:val="0"/>
                    <w:widowControl/>
                    <w:suppressLineNumbers w:val="0"/>
                    <w:spacing w:before="0" w:beforeAutospacing="0" w:after="0" w:afterAutospacing="0" w:line="280" w:lineRule="exact"/>
                    <w:ind w:left="0" w:right="0"/>
                    <w:jc w:val="center"/>
                    <w:textAlignment w:val="center"/>
                    <w:rPr>
                      <w:rFonts w:hint="eastAsia" w:cs="Times New Roman"/>
                      <w:b w:val="0"/>
                      <w:bCs w:val="0"/>
                      <w:sz w:val="21"/>
                      <w:szCs w:val="21"/>
                      <w:highlight w:val="none"/>
                      <w:lang w:val="en-US" w:eastAsia="zh-CN" w:bidi="ar"/>
                    </w:rPr>
                  </w:pPr>
                  <w:r>
                    <w:rPr>
                      <w:rFonts w:hint="eastAsia" w:cs="Times New Roman"/>
                      <w:b w:val="0"/>
                      <w:bCs w:val="0"/>
                      <w:sz w:val="21"/>
                      <w:szCs w:val="21"/>
                      <w:highlight w:val="none"/>
                      <w:lang w:val="en-US" w:eastAsia="zh-CN" w:bidi="ar"/>
                    </w:rPr>
                    <w:t>有组织</w:t>
                  </w:r>
                </w:p>
              </w:tc>
              <w:tc>
                <w:tcPr>
                  <w:tcW w:w="651" w:type="pct"/>
                  <w:shd w:val="clear" w:color="auto" w:fill="auto"/>
                  <w:noWrap w:val="0"/>
                  <w:vAlign w:val="center"/>
                </w:tcPr>
                <w:p w14:paraId="757CB03D">
                  <w:pPr>
                    <w:keepNext w:val="0"/>
                    <w:keepLines w:val="0"/>
                    <w:widowControl/>
                    <w:suppressLineNumbers w:val="0"/>
                    <w:spacing w:before="0" w:beforeAutospacing="0" w:after="0" w:afterAutospacing="0" w:line="280" w:lineRule="exact"/>
                    <w:ind w:left="0" w:right="0"/>
                    <w:jc w:val="center"/>
                    <w:textAlignment w:val="center"/>
                    <w:rPr>
                      <w:rFonts w:hint="eastAsia" w:ascii="Times New Roman" w:hAnsi="Times New Roman" w:eastAsia="宋体" w:cs="Times New Roman"/>
                      <w:b w:val="0"/>
                      <w:bCs w:val="0"/>
                      <w:kern w:val="2"/>
                      <w:sz w:val="21"/>
                      <w:szCs w:val="21"/>
                      <w:highlight w:val="none"/>
                      <w:lang w:val="en-US" w:eastAsia="zh-CN" w:bidi="ar"/>
                    </w:rPr>
                  </w:pPr>
                  <w:r>
                    <w:rPr>
                      <w:rFonts w:hint="eastAsia" w:ascii="Times New Roman" w:hAnsi="Times New Roman" w:eastAsia="宋体" w:cs="Times New Roman"/>
                      <w:b w:val="0"/>
                      <w:bCs w:val="0"/>
                      <w:sz w:val="21"/>
                      <w:szCs w:val="21"/>
                      <w:highlight w:val="none"/>
                      <w:lang w:val="en-US" w:eastAsia="zh-CN" w:bidi="ar"/>
                    </w:rPr>
                    <w:t>NH</w:t>
                  </w:r>
                  <w:r>
                    <w:rPr>
                      <w:rFonts w:hint="eastAsia" w:ascii="Times New Roman" w:hAnsi="Times New Roman" w:eastAsia="宋体" w:cs="Times New Roman"/>
                      <w:b w:val="0"/>
                      <w:bCs w:val="0"/>
                      <w:sz w:val="21"/>
                      <w:szCs w:val="21"/>
                      <w:highlight w:val="none"/>
                      <w:vertAlign w:val="subscript"/>
                      <w:lang w:val="en-US" w:eastAsia="zh-CN" w:bidi="ar"/>
                    </w:rPr>
                    <w:t>3</w:t>
                  </w:r>
                </w:p>
              </w:tc>
              <w:tc>
                <w:tcPr>
                  <w:tcW w:w="641" w:type="pct"/>
                  <w:shd w:val="clear" w:color="auto" w:fill="auto"/>
                  <w:noWrap w:val="0"/>
                  <w:vAlign w:val="center"/>
                </w:tcPr>
                <w:p w14:paraId="70F697AB">
                  <w:pPr>
                    <w:keepNext w:val="0"/>
                    <w:keepLines w:val="0"/>
                    <w:widowControl/>
                    <w:suppressLineNumbers w:val="0"/>
                    <w:spacing w:before="0" w:beforeAutospacing="0" w:after="0" w:afterAutospacing="0"/>
                    <w:ind w:left="0" w:right="0"/>
                    <w:jc w:val="center"/>
                    <w:textAlignment w:val="center"/>
                    <w:rPr>
                      <w:rFonts w:hint="eastAsia" w:ascii="Times New Roman" w:hAnsi="Times New Roman" w:eastAsia="宋体" w:cs="Times New Roman"/>
                      <w:i w:val="0"/>
                      <w:iCs w:val="0"/>
                      <w:color w:val="000000"/>
                      <w:kern w:val="0"/>
                      <w:sz w:val="21"/>
                      <w:szCs w:val="21"/>
                      <w:highlight w:val="none"/>
                      <w:u w:val="none"/>
                      <w:lang w:val="en-US" w:eastAsia="zh-CN" w:bidi="ar"/>
                    </w:rPr>
                  </w:pPr>
                  <w:r>
                    <w:rPr>
                      <w:rFonts w:hint="eastAsia" w:ascii="Times New Roman" w:hAnsi="Times New Roman" w:eastAsia="宋体" w:cs="Times New Roman"/>
                      <w:i w:val="0"/>
                      <w:iCs w:val="0"/>
                      <w:color w:val="000000"/>
                      <w:kern w:val="0"/>
                      <w:sz w:val="21"/>
                      <w:szCs w:val="21"/>
                      <w:highlight w:val="none"/>
                      <w:u w:val="none"/>
                      <w:lang w:val="en-US" w:eastAsia="zh-CN" w:bidi="ar"/>
                    </w:rPr>
                    <w:t>0.004</w:t>
                  </w:r>
                </w:p>
              </w:tc>
              <w:tc>
                <w:tcPr>
                  <w:tcW w:w="706" w:type="pct"/>
                  <w:shd w:val="clear" w:color="auto" w:fill="auto"/>
                  <w:noWrap w:val="0"/>
                  <w:vAlign w:val="center"/>
                </w:tcPr>
                <w:p w14:paraId="0CD283E2">
                  <w:pPr>
                    <w:keepNext w:val="0"/>
                    <w:keepLines w:val="0"/>
                    <w:widowControl/>
                    <w:suppressLineNumbers w:val="0"/>
                    <w:spacing w:before="0" w:beforeAutospacing="0" w:after="0" w:afterAutospacing="0"/>
                    <w:ind w:left="0" w:right="0"/>
                    <w:jc w:val="center"/>
                    <w:textAlignment w:val="center"/>
                    <w:rPr>
                      <w:rFonts w:hint="eastAsia" w:ascii="Times New Roman" w:hAnsi="Times New Roman" w:eastAsia="宋体" w:cs="Times New Roman"/>
                      <w:i w:val="0"/>
                      <w:iCs w:val="0"/>
                      <w:color w:val="000000"/>
                      <w:kern w:val="0"/>
                      <w:sz w:val="21"/>
                      <w:szCs w:val="21"/>
                      <w:highlight w:val="none"/>
                      <w:u w:val="none"/>
                      <w:lang w:val="en-US" w:eastAsia="zh-CN" w:bidi="ar"/>
                    </w:rPr>
                  </w:pPr>
                  <w:r>
                    <w:rPr>
                      <w:rFonts w:hint="eastAsia" w:ascii="Times New Roman" w:hAnsi="Times New Roman" w:eastAsia="宋体" w:cs="Times New Roman"/>
                      <w:i w:val="0"/>
                      <w:iCs w:val="0"/>
                      <w:color w:val="000000"/>
                      <w:kern w:val="0"/>
                      <w:sz w:val="21"/>
                      <w:szCs w:val="21"/>
                      <w:highlight w:val="none"/>
                      <w:u w:val="none"/>
                      <w:lang w:val="en-US" w:eastAsia="zh-CN" w:bidi="ar"/>
                    </w:rPr>
                    <w:t>~0</w:t>
                  </w:r>
                </w:p>
              </w:tc>
              <w:tc>
                <w:tcPr>
                  <w:tcW w:w="635" w:type="pct"/>
                  <w:noWrap w:val="0"/>
                  <w:vAlign w:val="center"/>
                </w:tcPr>
                <w:p w14:paraId="619E731C">
                  <w:pPr>
                    <w:keepNext w:val="0"/>
                    <w:keepLines w:val="0"/>
                    <w:widowControl/>
                    <w:suppressLineNumbers w:val="0"/>
                    <w:spacing w:before="0" w:beforeAutospacing="0" w:after="0" w:afterAutospacing="0"/>
                    <w:ind w:left="0" w:right="0"/>
                    <w:jc w:val="center"/>
                    <w:textAlignment w:val="center"/>
                    <w:rPr>
                      <w:rFonts w:hint="eastAsia" w:ascii="Times New Roman" w:hAnsi="Times New Roman" w:eastAsia="宋体" w:cs="Times New Roman"/>
                      <w:i w:val="0"/>
                      <w:iCs w:val="0"/>
                      <w:color w:val="000000"/>
                      <w:kern w:val="0"/>
                      <w:sz w:val="21"/>
                      <w:szCs w:val="21"/>
                      <w:highlight w:val="none"/>
                      <w:u w:val="none"/>
                      <w:lang w:val="en-US" w:eastAsia="zh-CN" w:bidi="ar"/>
                    </w:rPr>
                  </w:pPr>
                  <w:r>
                    <w:rPr>
                      <w:rFonts w:hint="eastAsia" w:ascii="Times New Roman" w:hAnsi="Times New Roman" w:eastAsia="宋体" w:cs="Times New Roman"/>
                      <w:i w:val="0"/>
                      <w:iCs w:val="0"/>
                      <w:color w:val="000000"/>
                      <w:kern w:val="0"/>
                      <w:sz w:val="21"/>
                      <w:szCs w:val="21"/>
                      <w:highlight w:val="none"/>
                      <w:u w:val="none"/>
                      <w:lang w:val="en-US" w:eastAsia="zh-CN" w:bidi="ar"/>
                    </w:rPr>
                    <w:t xml:space="preserve">~0 </w:t>
                  </w:r>
                </w:p>
              </w:tc>
              <w:tc>
                <w:tcPr>
                  <w:tcW w:w="719" w:type="pct"/>
                  <w:noWrap w:val="0"/>
                  <w:vAlign w:val="center"/>
                </w:tcPr>
                <w:p w14:paraId="365E2DE4">
                  <w:pPr>
                    <w:keepNext w:val="0"/>
                    <w:keepLines w:val="0"/>
                    <w:widowControl/>
                    <w:suppressLineNumbers w:val="0"/>
                    <w:spacing w:before="0" w:beforeAutospacing="0" w:after="0" w:afterAutospacing="0"/>
                    <w:ind w:left="0" w:right="0"/>
                    <w:jc w:val="center"/>
                    <w:textAlignment w:val="center"/>
                    <w:rPr>
                      <w:rFonts w:hint="eastAsia" w:ascii="Times New Roman" w:hAnsi="Times New Roman" w:eastAsia="宋体" w:cs="Times New Roman"/>
                      <w:i w:val="0"/>
                      <w:iCs w:val="0"/>
                      <w:color w:val="000000"/>
                      <w:kern w:val="0"/>
                      <w:sz w:val="21"/>
                      <w:szCs w:val="21"/>
                      <w:highlight w:val="none"/>
                      <w:u w:val="none"/>
                      <w:lang w:val="en-US" w:eastAsia="zh-CN" w:bidi="ar"/>
                    </w:rPr>
                  </w:pPr>
                  <w:r>
                    <w:rPr>
                      <w:rFonts w:hint="eastAsia" w:ascii="Times New Roman" w:hAnsi="Times New Roman" w:eastAsia="宋体" w:cs="Times New Roman"/>
                      <w:i w:val="0"/>
                      <w:iCs w:val="0"/>
                      <w:color w:val="000000"/>
                      <w:kern w:val="0"/>
                      <w:sz w:val="21"/>
                      <w:szCs w:val="21"/>
                      <w:highlight w:val="none"/>
                      <w:u w:val="none"/>
                      <w:lang w:val="en-US" w:eastAsia="zh-CN" w:bidi="ar"/>
                    </w:rPr>
                    <w:t xml:space="preserve">~0 </w:t>
                  </w:r>
                </w:p>
              </w:tc>
            </w:tr>
            <w:tr w14:paraId="1AFB84D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470" w:type="pct"/>
                  <w:vMerge w:val="continue"/>
                  <w:noWrap w:val="0"/>
                  <w:vAlign w:val="center"/>
                </w:tcPr>
                <w:p w14:paraId="321A8910">
                  <w:pPr>
                    <w:keepNext w:val="0"/>
                    <w:keepLines w:val="0"/>
                    <w:widowControl/>
                    <w:suppressLineNumbers w:val="0"/>
                    <w:spacing w:before="0" w:beforeAutospacing="0" w:after="0" w:afterAutospacing="0" w:line="280" w:lineRule="exact"/>
                    <w:ind w:left="0" w:right="0"/>
                    <w:jc w:val="center"/>
                    <w:textAlignment w:val="center"/>
                    <w:rPr>
                      <w:rFonts w:hint="eastAsia" w:ascii="Times New Roman" w:hAnsi="Times New Roman" w:eastAsia="宋体" w:cs="Times New Roman"/>
                      <w:b w:val="0"/>
                      <w:bCs w:val="0"/>
                      <w:sz w:val="21"/>
                      <w:szCs w:val="21"/>
                      <w:highlight w:val="none"/>
                      <w:lang w:val="en-US" w:eastAsia="zh-CN" w:bidi="ar"/>
                    </w:rPr>
                  </w:pPr>
                </w:p>
              </w:tc>
              <w:tc>
                <w:tcPr>
                  <w:tcW w:w="552" w:type="pct"/>
                  <w:vMerge w:val="continue"/>
                  <w:noWrap w:val="0"/>
                  <w:vAlign w:val="center"/>
                </w:tcPr>
                <w:p w14:paraId="765257F5">
                  <w:pPr>
                    <w:keepNext w:val="0"/>
                    <w:keepLines w:val="0"/>
                    <w:widowControl/>
                    <w:suppressLineNumbers w:val="0"/>
                    <w:spacing w:before="0" w:beforeAutospacing="0" w:after="0" w:afterAutospacing="0" w:line="280" w:lineRule="exact"/>
                    <w:ind w:left="0" w:right="0"/>
                    <w:jc w:val="center"/>
                    <w:textAlignment w:val="center"/>
                    <w:rPr>
                      <w:rFonts w:hint="eastAsia" w:ascii="Times New Roman" w:hAnsi="Times New Roman" w:eastAsia="宋体" w:cs="Times New Roman"/>
                      <w:b w:val="0"/>
                      <w:bCs w:val="0"/>
                      <w:sz w:val="21"/>
                      <w:szCs w:val="21"/>
                      <w:highlight w:val="none"/>
                      <w:lang w:val="en-US" w:eastAsia="zh-CN" w:bidi="ar"/>
                    </w:rPr>
                  </w:pPr>
                </w:p>
              </w:tc>
              <w:tc>
                <w:tcPr>
                  <w:tcW w:w="623" w:type="pct"/>
                  <w:vMerge w:val="continue"/>
                  <w:shd w:val="clear" w:color="auto" w:fill="auto"/>
                  <w:noWrap w:val="0"/>
                  <w:vAlign w:val="center"/>
                </w:tcPr>
                <w:p w14:paraId="0AEE2F1B">
                  <w:pPr>
                    <w:keepNext w:val="0"/>
                    <w:keepLines w:val="0"/>
                    <w:widowControl/>
                    <w:suppressLineNumbers w:val="0"/>
                    <w:spacing w:before="0" w:beforeAutospacing="0" w:after="0" w:afterAutospacing="0" w:line="280" w:lineRule="exact"/>
                    <w:ind w:left="0" w:right="0"/>
                    <w:jc w:val="center"/>
                    <w:textAlignment w:val="center"/>
                    <w:rPr>
                      <w:rFonts w:hint="eastAsia" w:cs="Times New Roman"/>
                      <w:b w:val="0"/>
                      <w:bCs w:val="0"/>
                      <w:sz w:val="21"/>
                      <w:szCs w:val="21"/>
                      <w:highlight w:val="none"/>
                      <w:lang w:val="en-US" w:eastAsia="zh-CN" w:bidi="ar"/>
                    </w:rPr>
                  </w:pPr>
                </w:p>
              </w:tc>
              <w:tc>
                <w:tcPr>
                  <w:tcW w:w="651" w:type="pct"/>
                  <w:shd w:val="clear" w:color="auto" w:fill="auto"/>
                  <w:noWrap w:val="0"/>
                  <w:vAlign w:val="center"/>
                </w:tcPr>
                <w:p w14:paraId="26536FA4">
                  <w:pPr>
                    <w:keepNext w:val="0"/>
                    <w:keepLines w:val="0"/>
                    <w:widowControl/>
                    <w:suppressLineNumbers w:val="0"/>
                    <w:spacing w:before="0" w:beforeAutospacing="0" w:after="0" w:afterAutospacing="0" w:line="280" w:lineRule="exact"/>
                    <w:ind w:left="0" w:right="0"/>
                    <w:jc w:val="center"/>
                    <w:textAlignment w:val="center"/>
                    <w:rPr>
                      <w:rFonts w:hint="eastAsia" w:ascii="Times New Roman" w:hAnsi="Times New Roman" w:eastAsia="宋体" w:cs="Times New Roman"/>
                      <w:b w:val="0"/>
                      <w:bCs w:val="0"/>
                      <w:kern w:val="2"/>
                      <w:sz w:val="21"/>
                      <w:szCs w:val="21"/>
                      <w:highlight w:val="none"/>
                      <w:lang w:val="en-US" w:eastAsia="zh-CN" w:bidi="ar"/>
                    </w:rPr>
                  </w:pPr>
                  <w:r>
                    <w:rPr>
                      <w:rFonts w:hint="eastAsia" w:ascii="Times New Roman" w:hAnsi="Times New Roman" w:eastAsia="宋体" w:cs="Times New Roman"/>
                      <w:b w:val="0"/>
                      <w:bCs w:val="0"/>
                      <w:sz w:val="21"/>
                      <w:szCs w:val="21"/>
                      <w:highlight w:val="none"/>
                      <w:lang w:val="en-US" w:eastAsia="zh-CN" w:bidi="ar"/>
                    </w:rPr>
                    <w:t>H</w:t>
                  </w:r>
                  <w:r>
                    <w:rPr>
                      <w:rFonts w:hint="eastAsia" w:ascii="Times New Roman" w:hAnsi="Times New Roman" w:eastAsia="宋体" w:cs="Times New Roman"/>
                      <w:b w:val="0"/>
                      <w:bCs w:val="0"/>
                      <w:sz w:val="21"/>
                      <w:szCs w:val="21"/>
                      <w:highlight w:val="none"/>
                      <w:vertAlign w:val="subscript"/>
                      <w:lang w:val="en-US" w:eastAsia="zh-CN" w:bidi="ar"/>
                    </w:rPr>
                    <w:t>2</w:t>
                  </w:r>
                  <w:r>
                    <w:rPr>
                      <w:rFonts w:hint="eastAsia" w:ascii="Times New Roman" w:hAnsi="Times New Roman" w:eastAsia="宋体" w:cs="Times New Roman"/>
                      <w:b w:val="0"/>
                      <w:bCs w:val="0"/>
                      <w:sz w:val="21"/>
                      <w:szCs w:val="21"/>
                      <w:highlight w:val="none"/>
                      <w:lang w:val="en-US" w:eastAsia="zh-CN" w:bidi="ar"/>
                    </w:rPr>
                    <w:t>S</w:t>
                  </w:r>
                </w:p>
              </w:tc>
              <w:tc>
                <w:tcPr>
                  <w:tcW w:w="641" w:type="pct"/>
                  <w:noWrap w:val="0"/>
                  <w:vAlign w:val="center"/>
                </w:tcPr>
                <w:p w14:paraId="7780027C">
                  <w:pPr>
                    <w:keepNext w:val="0"/>
                    <w:keepLines w:val="0"/>
                    <w:widowControl/>
                    <w:suppressLineNumbers w:val="0"/>
                    <w:spacing w:before="0" w:beforeAutospacing="0" w:after="0" w:afterAutospacing="0"/>
                    <w:ind w:left="0" w:right="0"/>
                    <w:jc w:val="center"/>
                    <w:textAlignment w:val="center"/>
                    <w:rPr>
                      <w:rFonts w:hint="eastAsia" w:ascii="Times New Roman" w:hAnsi="Times New Roman" w:eastAsia="宋体" w:cs="Times New Roman"/>
                      <w:i w:val="0"/>
                      <w:iCs w:val="0"/>
                      <w:color w:val="000000"/>
                      <w:kern w:val="0"/>
                      <w:sz w:val="21"/>
                      <w:szCs w:val="21"/>
                      <w:highlight w:val="none"/>
                      <w:u w:val="none"/>
                      <w:lang w:val="en-US" w:eastAsia="zh-CN" w:bidi="ar"/>
                    </w:rPr>
                  </w:pPr>
                  <w:r>
                    <w:rPr>
                      <w:rFonts w:hint="eastAsia" w:ascii="Times New Roman" w:hAnsi="Times New Roman" w:eastAsia="宋体" w:cs="Times New Roman"/>
                      <w:i w:val="0"/>
                      <w:iCs w:val="0"/>
                      <w:color w:val="000000"/>
                      <w:kern w:val="0"/>
                      <w:sz w:val="21"/>
                      <w:szCs w:val="21"/>
                      <w:highlight w:val="none"/>
                      <w:u w:val="none"/>
                      <w:lang w:val="en-US" w:eastAsia="zh-CN" w:bidi="ar"/>
                    </w:rPr>
                    <w:t>0.001</w:t>
                  </w:r>
                </w:p>
              </w:tc>
              <w:tc>
                <w:tcPr>
                  <w:tcW w:w="706" w:type="pct"/>
                  <w:noWrap w:val="0"/>
                  <w:vAlign w:val="center"/>
                </w:tcPr>
                <w:p w14:paraId="2D50EEFC">
                  <w:pPr>
                    <w:keepNext w:val="0"/>
                    <w:keepLines w:val="0"/>
                    <w:widowControl/>
                    <w:suppressLineNumbers w:val="0"/>
                    <w:spacing w:before="0" w:beforeAutospacing="0" w:after="0" w:afterAutospacing="0"/>
                    <w:ind w:left="0" w:right="0"/>
                    <w:jc w:val="center"/>
                    <w:textAlignment w:val="center"/>
                    <w:rPr>
                      <w:rFonts w:hint="eastAsia" w:ascii="Times New Roman" w:hAnsi="Times New Roman" w:eastAsia="宋体" w:cs="Times New Roman"/>
                      <w:i w:val="0"/>
                      <w:iCs w:val="0"/>
                      <w:color w:val="000000"/>
                      <w:kern w:val="0"/>
                      <w:sz w:val="21"/>
                      <w:szCs w:val="21"/>
                      <w:highlight w:val="none"/>
                      <w:u w:val="none"/>
                      <w:lang w:val="en-US" w:eastAsia="zh-CN" w:bidi="ar"/>
                    </w:rPr>
                  </w:pPr>
                  <w:r>
                    <w:rPr>
                      <w:rFonts w:hint="eastAsia" w:ascii="Times New Roman" w:hAnsi="Times New Roman" w:eastAsia="宋体" w:cs="Times New Roman"/>
                      <w:i w:val="0"/>
                      <w:iCs w:val="0"/>
                      <w:color w:val="000000"/>
                      <w:kern w:val="0"/>
                      <w:sz w:val="21"/>
                      <w:szCs w:val="21"/>
                      <w:highlight w:val="none"/>
                      <w:u w:val="none"/>
                      <w:lang w:val="en-US" w:eastAsia="zh-CN" w:bidi="ar"/>
                    </w:rPr>
                    <w:t>~0</w:t>
                  </w:r>
                </w:p>
              </w:tc>
              <w:tc>
                <w:tcPr>
                  <w:tcW w:w="635" w:type="pct"/>
                  <w:noWrap w:val="0"/>
                  <w:vAlign w:val="center"/>
                </w:tcPr>
                <w:p w14:paraId="4E717B65">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kern w:val="0"/>
                      <w:sz w:val="21"/>
                      <w:szCs w:val="21"/>
                      <w:highlight w:val="none"/>
                      <w:u w:val="none"/>
                      <w:lang w:val="en-US" w:eastAsia="zh-CN" w:bidi="ar"/>
                    </w:rPr>
                  </w:pPr>
                  <w:r>
                    <w:rPr>
                      <w:rFonts w:hint="eastAsia" w:ascii="Times New Roman" w:hAnsi="Times New Roman" w:eastAsia="宋体" w:cs="Times New Roman"/>
                      <w:i w:val="0"/>
                      <w:iCs w:val="0"/>
                      <w:color w:val="000000"/>
                      <w:kern w:val="0"/>
                      <w:sz w:val="21"/>
                      <w:szCs w:val="21"/>
                      <w:highlight w:val="none"/>
                      <w:u w:val="none"/>
                      <w:lang w:val="en-US" w:eastAsia="zh-CN" w:bidi="ar"/>
                    </w:rPr>
                    <w:t>0.001</w:t>
                  </w:r>
                </w:p>
              </w:tc>
              <w:tc>
                <w:tcPr>
                  <w:tcW w:w="719" w:type="pct"/>
                  <w:noWrap w:val="0"/>
                  <w:vAlign w:val="center"/>
                </w:tcPr>
                <w:p w14:paraId="0A3DEFE8">
                  <w:pPr>
                    <w:keepNext w:val="0"/>
                    <w:keepLines w:val="0"/>
                    <w:widowControl/>
                    <w:suppressLineNumbers w:val="0"/>
                    <w:spacing w:before="0" w:beforeAutospacing="0" w:after="0" w:afterAutospacing="0"/>
                    <w:ind w:left="0" w:right="0"/>
                    <w:jc w:val="center"/>
                    <w:textAlignment w:val="center"/>
                    <w:rPr>
                      <w:rFonts w:hint="eastAsia" w:ascii="Times New Roman" w:hAnsi="Times New Roman" w:eastAsia="宋体" w:cs="Times New Roman"/>
                      <w:i w:val="0"/>
                      <w:iCs w:val="0"/>
                      <w:color w:val="000000"/>
                      <w:kern w:val="0"/>
                      <w:sz w:val="21"/>
                      <w:szCs w:val="21"/>
                      <w:highlight w:val="none"/>
                      <w:u w:val="none"/>
                      <w:lang w:val="en-US" w:eastAsia="zh-CN" w:bidi="ar"/>
                    </w:rPr>
                  </w:pPr>
                  <w:r>
                    <w:rPr>
                      <w:rFonts w:hint="eastAsia" w:ascii="Times New Roman" w:hAnsi="Times New Roman" w:eastAsia="宋体" w:cs="Times New Roman"/>
                      <w:i w:val="0"/>
                      <w:iCs w:val="0"/>
                      <w:color w:val="000000"/>
                      <w:kern w:val="0"/>
                      <w:sz w:val="21"/>
                      <w:szCs w:val="21"/>
                      <w:highlight w:val="none"/>
                      <w:u w:val="none"/>
                      <w:lang w:val="en-US" w:eastAsia="zh-CN" w:bidi="ar"/>
                    </w:rPr>
                    <w:t>~0</w:t>
                  </w:r>
                </w:p>
              </w:tc>
            </w:tr>
            <w:tr w14:paraId="1119B13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470" w:type="pct"/>
                  <w:vMerge w:val="continue"/>
                  <w:noWrap w:val="0"/>
                  <w:vAlign w:val="center"/>
                </w:tcPr>
                <w:p w14:paraId="6BEBAB01">
                  <w:pPr>
                    <w:keepNext w:val="0"/>
                    <w:keepLines w:val="0"/>
                    <w:widowControl/>
                    <w:suppressLineNumbers w:val="0"/>
                    <w:spacing w:before="0" w:beforeAutospacing="0" w:after="0" w:afterAutospacing="0" w:line="280" w:lineRule="exact"/>
                    <w:ind w:left="0" w:right="0"/>
                    <w:jc w:val="center"/>
                    <w:textAlignment w:val="center"/>
                    <w:rPr>
                      <w:rFonts w:hint="eastAsia" w:ascii="Times New Roman" w:hAnsi="Times New Roman" w:eastAsia="宋体" w:cs="Times New Roman"/>
                      <w:b w:val="0"/>
                      <w:bCs w:val="0"/>
                      <w:sz w:val="21"/>
                      <w:szCs w:val="21"/>
                      <w:highlight w:val="none"/>
                      <w:lang w:val="en-US" w:eastAsia="zh-CN" w:bidi="ar"/>
                    </w:rPr>
                  </w:pPr>
                </w:p>
              </w:tc>
              <w:tc>
                <w:tcPr>
                  <w:tcW w:w="552" w:type="pct"/>
                  <w:vMerge w:val="continue"/>
                  <w:noWrap w:val="0"/>
                  <w:vAlign w:val="center"/>
                </w:tcPr>
                <w:p w14:paraId="178B0E20">
                  <w:pPr>
                    <w:keepNext w:val="0"/>
                    <w:keepLines w:val="0"/>
                    <w:widowControl/>
                    <w:suppressLineNumbers w:val="0"/>
                    <w:spacing w:before="0" w:beforeAutospacing="0" w:after="0" w:afterAutospacing="0" w:line="280" w:lineRule="exact"/>
                    <w:ind w:left="0" w:right="0"/>
                    <w:jc w:val="center"/>
                    <w:textAlignment w:val="center"/>
                    <w:rPr>
                      <w:rFonts w:hint="eastAsia" w:ascii="Times New Roman" w:hAnsi="Times New Roman" w:eastAsia="宋体" w:cs="Times New Roman"/>
                      <w:b w:val="0"/>
                      <w:bCs w:val="0"/>
                      <w:sz w:val="21"/>
                      <w:szCs w:val="21"/>
                      <w:highlight w:val="none"/>
                      <w:lang w:val="en-US" w:eastAsia="zh-CN" w:bidi="ar"/>
                    </w:rPr>
                  </w:pPr>
                </w:p>
              </w:tc>
              <w:tc>
                <w:tcPr>
                  <w:tcW w:w="623" w:type="pct"/>
                  <w:vMerge w:val="continue"/>
                  <w:shd w:val="clear" w:color="auto" w:fill="auto"/>
                  <w:noWrap w:val="0"/>
                  <w:vAlign w:val="center"/>
                </w:tcPr>
                <w:p w14:paraId="2214BAAB">
                  <w:pPr>
                    <w:keepNext w:val="0"/>
                    <w:keepLines w:val="0"/>
                    <w:widowControl/>
                    <w:suppressLineNumbers w:val="0"/>
                    <w:spacing w:before="0" w:beforeAutospacing="0" w:after="0" w:afterAutospacing="0" w:line="280" w:lineRule="exact"/>
                    <w:ind w:left="0" w:right="0"/>
                    <w:jc w:val="center"/>
                    <w:textAlignment w:val="center"/>
                    <w:rPr>
                      <w:rFonts w:hint="eastAsia" w:cs="Times New Roman"/>
                      <w:b w:val="0"/>
                      <w:bCs w:val="0"/>
                      <w:sz w:val="21"/>
                      <w:szCs w:val="21"/>
                      <w:highlight w:val="none"/>
                      <w:lang w:val="en-US" w:eastAsia="zh-CN" w:bidi="ar"/>
                    </w:rPr>
                  </w:pPr>
                </w:p>
              </w:tc>
              <w:tc>
                <w:tcPr>
                  <w:tcW w:w="651" w:type="pct"/>
                  <w:shd w:val="clear" w:color="auto" w:fill="auto"/>
                  <w:noWrap w:val="0"/>
                  <w:vAlign w:val="center"/>
                </w:tcPr>
                <w:p w14:paraId="3C260879">
                  <w:pPr>
                    <w:keepNext w:val="0"/>
                    <w:keepLines w:val="0"/>
                    <w:widowControl/>
                    <w:suppressLineNumbers w:val="0"/>
                    <w:spacing w:before="0" w:beforeAutospacing="0" w:after="0" w:afterAutospacing="0" w:line="280" w:lineRule="exact"/>
                    <w:ind w:left="0" w:right="0"/>
                    <w:jc w:val="center"/>
                    <w:textAlignment w:val="center"/>
                    <w:rPr>
                      <w:rFonts w:hint="eastAsia" w:ascii="Times New Roman" w:hAnsi="Times New Roman" w:eastAsia="宋体" w:cs="Times New Roman"/>
                      <w:b w:val="0"/>
                      <w:bCs w:val="0"/>
                      <w:sz w:val="21"/>
                      <w:szCs w:val="21"/>
                      <w:highlight w:val="none"/>
                      <w:lang w:val="en-US" w:eastAsia="zh-CN" w:bidi="ar"/>
                    </w:rPr>
                  </w:pPr>
                  <w:r>
                    <w:rPr>
                      <w:rFonts w:hint="eastAsia" w:cs="Times New Roman"/>
                      <w:b w:val="0"/>
                      <w:bCs w:val="0"/>
                      <w:sz w:val="21"/>
                      <w:szCs w:val="21"/>
                      <w:highlight w:val="none"/>
                      <w:lang w:val="en-US" w:eastAsia="zh-CN" w:bidi="ar"/>
                    </w:rPr>
                    <w:t>颗粒物</w:t>
                  </w:r>
                </w:p>
              </w:tc>
              <w:tc>
                <w:tcPr>
                  <w:tcW w:w="1348" w:type="pct"/>
                  <w:gridSpan w:val="2"/>
                  <w:noWrap w:val="0"/>
                  <w:vAlign w:val="center"/>
                </w:tcPr>
                <w:p w14:paraId="08700578">
                  <w:pPr>
                    <w:keepNext w:val="0"/>
                    <w:keepLines w:val="0"/>
                    <w:widowControl/>
                    <w:suppressLineNumbers w:val="0"/>
                    <w:spacing w:before="0" w:beforeAutospacing="0" w:after="0" w:afterAutospacing="0"/>
                    <w:ind w:left="0" w:leftChars="0" w:right="0" w:rightChars="0"/>
                    <w:jc w:val="center"/>
                    <w:textAlignment w:val="center"/>
                    <w:rPr>
                      <w:rFonts w:hint="eastAsia" w:ascii="Times New Roman" w:hAnsi="Times New Roman" w:eastAsia="宋体" w:cs="Times New Roman"/>
                      <w:i w:val="0"/>
                      <w:iCs w:val="0"/>
                      <w:color w:val="000000"/>
                      <w:kern w:val="0"/>
                      <w:sz w:val="21"/>
                      <w:szCs w:val="21"/>
                      <w:highlight w:val="none"/>
                      <w:u w:val="none"/>
                      <w:lang w:val="en-US" w:eastAsia="zh-CN" w:bidi="ar"/>
                    </w:rPr>
                  </w:pPr>
                  <w:r>
                    <w:rPr>
                      <w:rFonts w:hint="eastAsia" w:cs="Times New Roman"/>
                      <w:i w:val="0"/>
                      <w:iCs w:val="0"/>
                      <w:color w:val="000000"/>
                      <w:kern w:val="0"/>
                      <w:sz w:val="21"/>
                      <w:szCs w:val="21"/>
                      <w:highlight w:val="none"/>
                      <w:u w:val="none"/>
                      <w:lang w:val="en-US" w:eastAsia="zh-CN" w:bidi="ar"/>
                    </w:rPr>
                    <w:t>少量</w:t>
                  </w:r>
                </w:p>
              </w:tc>
              <w:tc>
                <w:tcPr>
                  <w:tcW w:w="1354" w:type="pct"/>
                  <w:gridSpan w:val="2"/>
                  <w:noWrap w:val="0"/>
                  <w:vAlign w:val="center"/>
                </w:tcPr>
                <w:p w14:paraId="623D3586">
                  <w:pPr>
                    <w:keepNext w:val="0"/>
                    <w:keepLines w:val="0"/>
                    <w:widowControl/>
                    <w:suppressLineNumbers w:val="0"/>
                    <w:spacing w:before="0" w:beforeAutospacing="0" w:after="0" w:afterAutospacing="0"/>
                    <w:ind w:left="0" w:leftChars="0" w:right="0" w:rightChars="0"/>
                    <w:jc w:val="center"/>
                    <w:textAlignment w:val="center"/>
                    <w:rPr>
                      <w:rFonts w:hint="eastAsia" w:ascii="Times New Roman" w:hAnsi="Times New Roman" w:eastAsia="宋体" w:cs="Times New Roman"/>
                      <w:i w:val="0"/>
                      <w:iCs w:val="0"/>
                      <w:color w:val="000000"/>
                      <w:kern w:val="0"/>
                      <w:sz w:val="21"/>
                      <w:szCs w:val="21"/>
                      <w:highlight w:val="none"/>
                      <w:u w:val="none"/>
                      <w:lang w:val="en-US" w:eastAsia="zh-CN" w:bidi="ar"/>
                    </w:rPr>
                  </w:pPr>
                  <w:r>
                    <w:rPr>
                      <w:rFonts w:hint="eastAsia" w:cs="Times New Roman"/>
                      <w:i w:val="0"/>
                      <w:iCs w:val="0"/>
                      <w:color w:val="000000"/>
                      <w:kern w:val="0"/>
                      <w:sz w:val="21"/>
                      <w:szCs w:val="21"/>
                      <w:highlight w:val="none"/>
                      <w:u w:val="none"/>
                      <w:lang w:val="en-US" w:eastAsia="zh-CN" w:bidi="ar"/>
                    </w:rPr>
                    <w:t>少量</w:t>
                  </w:r>
                </w:p>
              </w:tc>
            </w:tr>
            <w:tr w14:paraId="2E6735E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470" w:type="pct"/>
                  <w:vMerge w:val="continue"/>
                  <w:noWrap w:val="0"/>
                  <w:vAlign w:val="center"/>
                </w:tcPr>
                <w:p w14:paraId="466F1E0F">
                  <w:pPr>
                    <w:keepNext w:val="0"/>
                    <w:keepLines w:val="0"/>
                    <w:widowControl/>
                    <w:suppressLineNumbers w:val="0"/>
                    <w:spacing w:before="0" w:beforeAutospacing="0" w:after="0" w:afterAutospacing="0" w:line="280" w:lineRule="exact"/>
                    <w:ind w:left="0" w:right="0"/>
                    <w:jc w:val="center"/>
                    <w:textAlignment w:val="center"/>
                    <w:rPr>
                      <w:rFonts w:hint="eastAsia" w:ascii="Times New Roman" w:hAnsi="Times New Roman" w:eastAsia="宋体" w:cs="Times New Roman"/>
                      <w:b w:val="0"/>
                      <w:bCs w:val="0"/>
                      <w:sz w:val="21"/>
                      <w:szCs w:val="21"/>
                      <w:highlight w:val="none"/>
                      <w:lang w:val="en-US" w:eastAsia="zh-CN" w:bidi="ar"/>
                    </w:rPr>
                  </w:pPr>
                </w:p>
              </w:tc>
              <w:tc>
                <w:tcPr>
                  <w:tcW w:w="552" w:type="pct"/>
                  <w:vMerge w:val="continue"/>
                  <w:noWrap w:val="0"/>
                  <w:vAlign w:val="center"/>
                </w:tcPr>
                <w:p w14:paraId="1B282D9E">
                  <w:pPr>
                    <w:keepNext w:val="0"/>
                    <w:keepLines w:val="0"/>
                    <w:widowControl/>
                    <w:suppressLineNumbers w:val="0"/>
                    <w:spacing w:before="0" w:beforeAutospacing="0" w:after="0" w:afterAutospacing="0" w:line="280" w:lineRule="exact"/>
                    <w:ind w:left="0" w:right="0"/>
                    <w:jc w:val="center"/>
                    <w:textAlignment w:val="center"/>
                    <w:rPr>
                      <w:rFonts w:hint="eastAsia" w:ascii="Times New Roman" w:hAnsi="Times New Roman" w:eastAsia="宋体" w:cs="Times New Roman"/>
                      <w:b w:val="0"/>
                      <w:bCs w:val="0"/>
                      <w:sz w:val="21"/>
                      <w:szCs w:val="21"/>
                      <w:highlight w:val="none"/>
                      <w:lang w:val="en-US" w:eastAsia="zh-CN" w:bidi="ar"/>
                    </w:rPr>
                  </w:pPr>
                </w:p>
              </w:tc>
              <w:tc>
                <w:tcPr>
                  <w:tcW w:w="623" w:type="pct"/>
                  <w:vMerge w:val="restart"/>
                  <w:shd w:val="clear" w:color="auto" w:fill="auto"/>
                  <w:noWrap w:val="0"/>
                  <w:vAlign w:val="center"/>
                </w:tcPr>
                <w:p w14:paraId="2103E81C">
                  <w:pPr>
                    <w:keepNext w:val="0"/>
                    <w:keepLines w:val="0"/>
                    <w:widowControl/>
                    <w:suppressLineNumbers w:val="0"/>
                    <w:spacing w:before="0" w:beforeAutospacing="0" w:after="0" w:afterAutospacing="0" w:line="280" w:lineRule="exact"/>
                    <w:ind w:left="0" w:right="0"/>
                    <w:jc w:val="center"/>
                    <w:textAlignment w:val="center"/>
                    <w:rPr>
                      <w:rFonts w:hint="eastAsia" w:cs="Times New Roman"/>
                      <w:b w:val="0"/>
                      <w:bCs w:val="0"/>
                      <w:sz w:val="21"/>
                      <w:szCs w:val="21"/>
                      <w:highlight w:val="none"/>
                      <w:lang w:val="en-US" w:eastAsia="zh-CN" w:bidi="ar"/>
                    </w:rPr>
                  </w:pPr>
                  <w:r>
                    <w:rPr>
                      <w:rFonts w:hint="eastAsia" w:cs="Times New Roman"/>
                      <w:b w:val="0"/>
                      <w:bCs w:val="0"/>
                      <w:sz w:val="21"/>
                      <w:szCs w:val="21"/>
                      <w:highlight w:val="none"/>
                      <w:lang w:val="en-US" w:eastAsia="zh-CN" w:bidi="ar"/>
                    </w:rPr>
                    <w:t>无组织</w:t>
                  </w:r>
                </w:p>
              </w:tc>
              <w:tc>
                <w:tcPr>
                  <w:tcW w:w="651" w:type="pct"/>
                  <w:shd w:val="clear" w:color="auto" w:fill="auto"/>
                  <w:noWrap w:val="0"/>
                  <w:vAlign w:val="center"/>
                </w:tcPr>
                <w:p w14:paraId="2B75DFC0">
                  <w:pPr>
                    <w:keepNext w:val="0"/>
                    <w:keepLines w:val="0"/>
                    <w:widowControl/>
                    <w:suppressLineNumbers w:val="0"/>
                    <w:spacing w:before="0" w:beforeAutospacing="0" w:after="0" w:afterAutospacing="0" w:line="280" w:lineRule="exact"/>
                    <w:ind w:left="0" w:right="0"/>
                    <w:jc w:val="center"/>
                    <w:textAlignment w:val="center"/>
                    <w:rPr>
                      <w:rFonts w:hint="eastAsia" w:ascii="Times New Roman" w:hAnsi="Times New Roman" w:eastAsia="宋体" w:cs="Times New Roman"/>
                      <w:b w:val="0"/>
                      <w:bCs w:val="0"/>
                      <w:kern w:val="2"/>
                      <w:sz w:val="21"/>
                      <w:szCs w:val="21"/>
                      <w:highlight w:val="none"/>
                      <w:lang w:val="en-US" w:eastAsia="zh-CN" w:bidi="ar"/>
                    </w:rPr>
                  </w:pPr>
                  <w:r>
                    <w:rPr>
                      <w:rFonts w:hint="eastAsia" w:ascii="Times New Roman" w:hAnsi="Times New Roman" w:eastAsia="宋体" w:cs="Times New Roman"/>
                      <w:b w:val="0"/>
                      <w:bCs w:val="0"/>
                      <w:sz w:val="21"/>
                      <w:szCs w:val="21"/>
                      <w:highlight w:val="none"/>
                      <w:lang w:val="en-US" w:eastAsia="zh-CN" w:bidi="ar"/>
                    </w:rPr>
                    <w:t>NH</w:t>
                  </w:r>
                  <w:r>
                    <w:rPr>
                      <w:rFonts w:hint="eastAsia" w:ascii="Times New Roman" w:hAnsi="Times New Roman" w:eastAsia="宋体" w:cs="Times New Roman"/>
                      <w:b w:val="0"/>
                      <w:bCs w:val="0"/>
                      <w:sz w:val="21"/>
                      <w:szCs w:val="21"/>
                      <w:highlight w:val="none"/>
                      <w:vertAlign w:val="subscript"/>
                      <w:lang w:val="en-US" w:eastAsia="zh-CN" w:bidi="ar"/>
                    </w:rPr>
                    <w:t>3</w:t>
                  </w:r>
                </w:p>
              </w:tc>
              <w:tc>
                <w:tcPr>
                  <w:tcW w:w="641" w:type="pct"/>
                  <w:noWrap w:val="0"/>
                  <w:vAlign w:val="center"/>
                </w:tcPr>
                <w:p w14:paraId="2F6A45B2">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kern w:val="0"/>
                      <w:sz w:val="21"/>
                      <w:szCs w:val="21"/>
                      <w:highlight w:val="none"/>
                      <w:u w:val="none"/>
                      <w:lang w:val="en-US" w:eastAsia="zh-CN" w:bidi="ar"/>
                    </w:rPr>
                  </w:pPr>
                  <w:r>
                    <w:rPr>
                      <w:rFonts w:hint="eastAsia" w:ascii="Times New Roman" w:hAnsi="Times New Roman" w:eastAsia="宋体" w:cs="Times New Roman"/>
                      <w:i w:val="0"/>
                      <w:iCs w:val="0"/>
                      <w:color w:val="000000"/>
                      <w:kern w:val="0"/>
                      <w:sz w:val="21"/>
                      <w:szCs w:val="21"/>
                      <w:highlight w:val="none"/>
                      <w:u w:val="none"/>
                      <w:lang w:val="en-US" w:eastAsia="zh-CN" w:bidi="ar"/>
                    </w:rPr>
                    <w:t>~0</w:t>
                  </w:r>
                </w:p>
              </w:tc>
              <w:tc>
                <w:tcPr>
                  <w:tcW w:w="706" w:type="pct"/>
                  <w:noWrap w:val="0"/>
                  <w:vAlign w:val="center"/>
                </w:tcPr>
                <w:p w14:paraId="4D8FD1AF">
                  <w:pPr>
                    <w:keepNext w:val="0"/>
                    <w:keepLines w:val="0"/>
                    <w:widowControl/>
                    <w:suppressLineNumbers w:val="0"/>
                    <w:spacing w:before="0" w:beforeAutospacing="0" w:after="0" w:afterAutospacing="0"/>
                    <w:ind w:left="0" w:right="0"/>
                    <w:jc w:val="center"/>
                    <w:textAlignment w:val="center"/>
                    <w:rPr>
                      <w:rFonts w:hint="eastAsia" w:ascii="Times New Roman" w:hAnsi="Times New Roman" w:eastAsia="宋体" w:cs="Times New Roman"/>
                      <w:i w:val="0"/>
                      <w:iCs w:val="0"/>
                      <w:color w:val="000000"/>
                      <w:kern w:val="0"/>
                      <w:sz w:val="21"/>
                      <w:szCs w:val="21"/>
                      <w:highlight w:val="none"/>
                      <w:u w:val="none"/>
                      <w:lang w:val="en-US" w:eastAsia="zh-CN" w:bidi="ar"/>
                    </w:rPr>
                  </w:pPr>
                  <w:r>
                    <w:rPr>
                      <w:rFonts w:hint="eastAsia" w:ascii="Times New Roman" w:hAnsi="Times New Roman" w:eastAsia="宋体" w:cs="Times New Roman"/>
                      <w:i w:val="0"/>
                      <w:iCs w:val="0"/>
                      <w:color w:val="000000"/>
                      <w:kern w:val="0"/>
                      <w:sz w:val="21"/>
                      <w:szCs w:val="21"/>
                      <w:highlight w:val="none"/>
                      <w:u w:val="none"/>
                      <w:lang w:val="en-US" w:eastAsia="zh-CN" w:bidi="ar"/>
                    </w:rPr>
                    <w:t>~0</w:t>
                  </w:r>
                </w:p>
              </w:tc>
              <w:tc>
                <w:tcPr>
                  <w:tcW w:w="635" w:type="pct"/>
                  <w:noWrap w:val="0"/>
                  <w:vAlign w:val="center"/>
                </w:tcPr>
                <w:p w14:paraId="349E138A">
                  <w:pPr>
                    <w:keepNext w:val="0"/>
                    <w:keepLines w:val="0"/>
                    <w:widowControl/>
                    <w:suppressLineNumbers w:val="0"/>
                    <w:spacing w:before="0" w:beforeAutospacing="0" w:after="0" w:afterAutospacing="0"/>
                    <w:ind w:left="0" w:right="0"/>
                    <w:jc w:val="center"/>
                    <w:textAlignment w:val="center"/>
                    <w:rPr>
                      <w:rFonts w:hint="eastAsia" w:ascii="Times New Roman" w:hAnsi="Times New Roman" w:eastAsia="宋体" w:cs="Times New Roman"/>
                      <w:i w:val="0"/>
                      <w:iCs w:val="0"/>
                      <w:color w:val="000000"/>
                      <w:kern w:val="0"/>
                      <w:sz w:val="21"/>
                      <w:szCs w:val="21"/>
                      <w:highlight w:val="none"/>
                      <w:u w:val="none"/>
                      <w:lang w:val="en-US" w:eastAsia="zh-CN" w:bidi="ar"/>
                    </w:rPr>
                  </w:pPr>
                  <w:r>
                    <w:rPr>
                      <w:rFonts w:hint="eastAsia" w:ascii="Times New Roman" w:hAnsi="Times New Roman" w:eastAsia="宋体" w:cs="Times New Roman"/>
                      <w:i w:val="0"/>
                      <w:iCs w:val="0"/>
                      <w:color w:val="000000"/>
                      <w:kern w:val="0"/>
                      <w:sz w:val="21"/>
                      <w:szCs w:val="21"/>
                      <w:highlight w:val="none"/>
                      <w:u w:val="none"/>
                      <w:lang w:val="en-US" w:eastAsia="zh-CN" w:bidi="ar"/>
                    </w:rPr>
                    <w:t>~0</w:t>
                  </w:r>
                </w:p>
              </w:tc>
              <w:tc>
                <w:tcPr>
                  <w:tcW w:w="719" w:type="pct"/>
                  <w:noWrap w:val="0"/>
                  <w:vAlign w:val="center"/>
                </w:tcPr>
                <w:p w14:paraId="382F6EB1">
                  <w:pPr>
                    <w:keepNext w:val="0"/>
                    <w:keepLines w:val="0"/>
                    <w:widowControl/>
                    <w:suppressLineNumbers w:val="0"/>
                    <w:spacing w:before="0" w:beforeAutospacing="0" w:after="0" w:afterAutospacing="0"/>
                    <w:ind w:left="0" w:right="0"/>
                    <w:jc w:val="center"/>
                    <w:textAlignment w:val="center"/>
                    <w:rPr>
                      <w:rFonts w:hint="eastAsia" w:ascii="Times New Roman" w:hAnsi="Times New Roman" w:eastAsia="宋体" w:cs="Times New Roman"/>
                      <w:i w:val="0"/>
                      <w:iCs w:val="0"/>
                      <w:color w:val="000000"/>
                      <w:kern w:val="0"/>
                      <w:sz w:val="21"/>
                      <w:szCs w:val="21"/>
                      <w:highlight w:val="none"/>
                      <w:u w:val="none"/>
                      <w:lang w:val="en-US" w:eastAsia="zh-CN" w:bidi="ar"/>
                    </w:rPr>
                  </w:pPr>
                  <w:r>
                    <w:rPr>
                      <w:rFonts w:hint="eastAsia" w:ascii="Times New Roman" w:hAnsi="Times New Roman" w:eastAsia="宋体" w:cs="Times New Roman"/>
                      <w:i w:val="0"/>
                      <w:iCs w:val="0"/>
                      <w:color w:val="000000"/>
                      <w:kern w:val="0"/>
                      <w:sz w:val="21"/>
                      <w:szCs w:val="21"/>
                      <w:highlight w:val="none"/>
                      <w:u w:val="none"/>
                      <w:lang w:val="en-US" w:eastAsia="zh-CN" w:bidi="ar"/>
                    </w:rPr>
                    <w:t>~0</w:t>
                  </w:r>
                </w:p>
              </w:tc>
            </w:tr>
            <w:tr w14:paraId="12F38F8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470" w:type="pct"/>
                  <w:vMerge w:val="continue"/>
                  <w:noWrap w:val="0"/>
                  <w:vAlign w:val="center"/>
                </w:tcPr>
                <w:p w14:paraId="0CEF1329">
                  <w:pPr>
                    <w:keepNext w:val="0"/>
                    <w:keepLines w:val="0"/>
                    <w:widowControl/>
                    <w:suppressLineNumbers w:val="0"/>
                    <w:spacing w:before="0" w:beforeAutospacing="0" w:after="0" w:afterAutospacing="0" w:line="280" w:lineRule="exact"/>
                    <w:ind w:left="0" w:right="0"/>
                    <w:jc w:val="center"/>
                    <w:textAlignment w:val="center"/>
                    <w:rPr>
                      <w:rFonts w:hint="eastAsia" w:ascii="Times New Roman" w:hAnsi="Times New Roman" w:eastAsia="宋体" w:cs="Times New Roman"/>
                      <w:b w:val="0"/>
                      <w:bCs w:val="0"/>
                      <w:sz w:val="21"/>
                      <w:szCs w:val="21"/>
                      <w:highlight w:val="none"/>
                      <w:lang w:val="en-US" w:eastAsia="zh-CN" w:bidi="ar"/>
                    </w:rPr>
                  </w:pPr>
                </w:p>
              </w:tc>
              <w:tc>
                <w:tcPr>
                  <w:tcW w:w="552" w:type="pct"/>
                  <w:vMerge w:val="continue"/>
                  <w:noWrap w:val="0"/>
                  <w:vAlign w:val="center"/>
                </w:tcPr>
                <w:p w14:paraId="6CF49B53">
                  <w:pPr>
                    <w:keepNext w:val="0"/>
                    <w:keepLines w:val="0"/>
                    <w:widowControl/>
                    <w:suppressLineNumbers w:val="0"/>
                    <w:spacing w:before="0" w:beforeAutospacing="0" w:after="0" w:afterAutospacing="0" w:line="280" w:lineRule="exact"/>
                    <w:ind w:left="0" w:right="0"/>
                    <w:jc w:val="center"/>
                    <w:textAlignment w:val="center"/>
                    <w:rPr>
                      <w:rFonts w:hint="eastAsia" w:ascii="Times New Roman" w:hAnsi="Times New Roman" w:eastAsia="宋体" w:cs="Times New Roman"/>
                      <w:b w:val="0"/>
                      <w:bCs w:val="0"/>
                      <w:sz w:val="21"/>
                      <w:szCs w:val="21"/>
                      <w:highlight w:val="none"/>
                      <w:lang w:val="en-US" w:eastAsia="zh-CN" w:bidi="ar"/>
                    </w:rPr>
                  </w:pPr>
                </w:p>
              </w:tc>
              <w:tc>
                <w:tcPr>
                  <w:tcW w:w="623" w:type="pct"/>
                  <w:vMerge w:val="continue"/>
                  <w:shd w:val="clear" w:color="auto" w:fill="auto"/>
                  <w:noWrap w:val="0"/>
                  <w:vAlign w:val="center"/>
                </w:tcPr>
                <w:p w14:paraId="16441ABF">
                  <w:pPr>
                    <w:keepNext w:val="0"/>
                    <w:keepLines w:val="0"/>
                    <w:widowControl/>
                    <w:suppressLineNumbers w:val="0"/>
                    <w:spacing w:before="0" w:beforeAutospacing="0" w:after="0" w:afterAutospacing="0" w:line="280" w:lineRule="exact"/>
                    <w:ind w:left="0" w:right="0"/>
                    <w:jc w:val="center"/>
                    <w:textAlignment w:val="center"/>
                    <w:rPr>
                      <w:rFonts w:hint="eastAsia" w:cs="Times New Roman"/>
                      <w:b w:val="0"/>
                      <w:bCs w:val="0"/>
                      <w:sz w:val="21"/>
                      <w:szCs w:val="21"/>
                      <w:highlight w:val="none"/>
                      <w:lang w:val="en-US" w:eastAsia="zh-CN" w:bidi="ar"/>
                    </w:rPr>
                  </w:pPr>
                </w:p>
              </w:tc>
              <w:tc>
                <w:tcPr>
                  <w:tcW w:w="651" w:type="pct"/>
                  <w:shd w:val="clear" w:color="auto" w:fill="auto"/>
                  <w:noWrap w:val="0"/>
                  <w:vAlign w:val="center"/>
                </w:tcPr>
                <w:p w14:paraId="4408A6EF">
                  <w:pPr>
                    <w:keepNext w:val="0"/>
                    <w:keepLines w:val="0"/>
                    <w:widowControl/>
                    <w:suppressLineNumbers w:val="0"/>
                    <w:spacing w:before="0" w:beforeAutospacing="0" w:after="0" w:afterAutospacing="0" w:line="280" w:lineRule="exact"/>
                    <w:ind w:left="0" w:right="0"/>
                    <w:jc w:val="center"/>
                    <w:textAlignment w:val="center"/>
                    <w:rPr>
                      <w:rFonts w:hint="eastAsia" w:ascii="Times New Roman" w:hAnsi="Times New Roman" w:eastAsia="宋体" w:cs="Times New Roman"/>
                      <w:b w:val="0"/>
                      <w:bCs w:val="0"/>
                      <w:kern w:val="2"/>
                      <w:sz w:val="21"/>
                      <w:szCs w:val="21"/>
                      <w:highlight w:val="none"/>
                      <w:lang w:val="en-US" w:eastAsia="zh-CN" w:bidi="ar"/>
                    </w:rPr>
                  </w:pPr>
                  <w:r>
                    <w:rPr>
                      <w:rFonts w:hint="eastAsia" w:ascii="Times New Roman" w:hAnsi="Times New Roman" w:eastAsia="宋体" w:cs="Times New Roman"/>
                      <w:b w:val="0"/>
                      <w:bCs w:val="0"/>
                      <w:sz w:val="21"/>
                      <w:szCs w:val="21"/>
                      <w:highlight w:val="none"/>
                      <w:lang w:val="en-US" w:eastAsia="zh-CN" w:bidi="ar"/>
                    </w:rPr>
                    <w:t>H</w:t>
                  </w:r>
                  <w:r>
                    <w:rPr>
                      <w:rFonts w:hint="eastAsia" w:ascii="Times New Roman" w:hAnsi="Times New Roman" w:eastAsia="宋体" w:cs="Times New Roman"/>
                      <w:b w:val="0"/>
                      <w:bCs w:val="0"/>
                      <w:sz w:val="21"/>
                      <w:szCs w:val="21"/>
                      <w:highlight w:val="none"/>
                      <w:vertAlign w:val="subscript"/>
                      <w:lang w:val="en-US" w:eastAsia="zh-CN" w:bidi="ar"/>
                    </w:rPr>
                    <w:t>2</w:t>
                  </w:r>
                  <w:r>
                    <w:rPr>
                      <w:rFonts w:hint="eastAsia" w:ascii="Times New Roman" w:hAnsi="Times New Roman" w:eastAsia="宋体" w:cs="Times New Roman"/>
                      <w:b w:val="0"/>
                      <w:bCs w:val="0"/>
                      <w:sz w:val="21"/>
                      <w:szCs w:val="21"/>
                      <w:highlight w:val="none"/>
                      <w:lang w:val="en-US" w:eastAsia="zh-CN" w:bidi="ar"/>
                    </w:rPr>
                    <w:t>S</w:t>
                  </w:r>
                </w:p>
              </w:tc>
              <w:tc>
                <w:tcPr>
                  <w:tcW w:w="641" w:type="pct"/>
                  <w:noWrap w:val="0"/>
                  <w:vAlign w:val="center"/>
                </w:tcPr>
                <w:p w14:paraId="5263899D">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kern w:val="0"/>
                      <w:sz w:val="21"/>
                      <w:szCs w:val="21"/>
                      <w:highlight w:val="none"/>
                      <w:u w:val="none"/>
                      <w:lang w:val="en-US" w:eastAsia="zh-CN" w:bidi="ar"/>
                    </w:rPr>
                  </w:pPr>
                  <w:r>
                    <w:rPr>
                      <w:rFonts w:hint="eastAsia" w:ascii="Times New Roman" w:hAnsi="Times New Roman" w:eastAsia="宋体" w:cs="Times New Roman"/>
                      <w:i w:val="0"/>
                      <w:iCs w:val="0"/>
                      <w:color w:val="000000"/>
                      <w:kern w:val="0"/>
                      <w:sz w:val="21"/>
                      <w:szCs w:val="21"/>
                      <w:highlight w:val="none"/>
                      <w:u w:val="none"/>
                      <w:lang w:val="en-US" w:eastAsia="zh-CN" w:bidi="ar"/>
                    </w:rPr>
                    <w:t>~0</w:t>
                  </w:r>
                </w:p>
              </w:tc>
              <w:tc>
                <w:tcPr>
                  <w:tcW w:w="706" w:type="pct"/>
                  <w:noWrap w:val="0"/>
                  <w:vAlign w:val="center"/>
                </w:tcPr>
                <w:p w14:paraId="742BBE99">
                  <w:pPr>
                    <w:keepNext w:val="0"/>
                    <w:keepLines w:val="0"/>
                    <w:widowControl/>
                    <w:suppressLineNumbers w:val="0"/>
                    <w:spacing w:before="0" w:beforeAutospacing="0" w:after="0" w:afterAutospacing="0"/>
                    <w:ind w:left="0" w:right="0"/>
                    <w:jc w:val="center"/>
                    <w:textAlignment w:val="center"/>
                    <w:rPr>
                      <w:rFonts w:hint="eastAsia" w:ascii="Times New Roman" w:hAnsi="Times New Roman" w:eastAsia="宋体" w:cs="Times New Roman"/>
                      <w:i w:val="0"/>
                      <w:iCs w:val="0"/>
                      <w:color w:val="000000"/>
                      <w:kern w:val="0"/>
                      <w:sz w:val="21"/>
                      <w:szCs w:val="21"/>
                      <w:highlight w:val="none"/>
                      <w:u w:val="none"/>
                      <w:lang w:val="en-US" w:eastAsia="zh-CN" w:bidi="ar"/>
                    </w:rPr>
                  </w:pPr>
                  <w:r>
                    <w:rPr>
                      <w:rFonts w:hint="eastAsia" w:ascii="Times New Roman" w:hAnsi="Times New Roman" w:eastAsia="宋体" w:cs="Times New Roman"/>
                      <w:i w:val="0"/>
                      <w:iCs w:val="0"/>
                      <w:color w:val="000000"/>
                      <w:kern w:val="0"/>
                      <w:sz w:val="21"/>
                      <w:szCs w:val="21"/>
                      <w:highlight w:val="none"/>
                      <w:u w:val="none"/>
                      <w:lang w:val="en-US" w:eastAsia="zh-CN" w:bidi="ar"/>
                    </w:rPr>
                    <w:t>~0</w:t>
                  </w:r>
                </w:p>
              </w:tc>
              <w:tc>
                <w:tcPr>
                  <w:tcW w:w="635" w:type="pct"/>
                  <w:noWrap w:val="0"/>
                  <w:vAlign w:val="center"/>
                </w:tcPr>
                <w:p w14:paraId="764971F8">
                  <w:pPr>
                    <w:keepNext w:val="0"/>
                    <w:keepLines w:val="0"/>
                    <w:widowControl/>
                    <w:suppressLineNumbers w:val="0"/>
                    <w:spacing w:before="0" w:beforeAutospacing="0" w:after="0" w:afterAutospacing="0"/>
                    <w:ind w:left="0" w:right="0"/>
                    <w:jc w:val="center"/>
                    <w:textAlignment w:val="center"/>
                    <w:rPr>
                      <w:rFonts w:hint="eastAsia" w:ascii="Times New Roman" w:hAnsi="Times New Roman" w:eastAsia="宋体" w:cs="Times New Roman"/>
                      <w:i w:val="0"/>
                      <w:iCs w:val="0"/>
                      <w:color w:val="000000"/>
                      <w:kern w:val="0"/>
                      <w:sz w:val="21"/>
                      <w:szCs w:val="21"/>
                      <w:highlight w:val="none"/>
                      <w:u w:val="none"/>
                      <w:lang w:val="en-US" w:eastAsia="zh-CN" w:bidi="ar"/>
                    </w:rPr>
                  </w:pPr>
                  <w:r>
                    <w:rPr>
                      <w:rFonts w:hint="eastAsia" w:ascii="Times New Roman" w:hAnsi="Times New Roman" w:eastAsia="宋体" w:cs="Times New Roman"/>
                      <w:i w:val="0"/>
                      <w:iCs w:val="0"/>
                      <w:color w:val="000000"/>
                      <w:kern w:val="0"/>
                      <w:sz w:val="21"/>
                      <w:szCs w:val="21"/>
                      <w:highlight w:val="none"/>
                      <w:u w:val="none"/>
                      <w:lang w:val="en-US" w:eastAsia="zh-CN" w:bidi="ar"/>
                    </w:rPr>
                    <w:t>~0</w:t>
                  </w:r>
                </w:p>
              </w:tc>
              <w:tc>
                <w:tcPr>
                  <w:tcW w:w="719" w:type="pct"/>
                  <w:noWrap w:val="0"/>
                  <w:vAlign w:val="center"/>
                </w:tcPr>
                <w:p w14:paraId="310AC0EE">
                  <w:pPr>
                    <w:keepNext w:val="0"/>
                    <w:keepLines w:val="0"/>
                    <w:widowControl/>
                    <w:suppressLineNumbers w:val="0"/>
                    <w:spacing w:before="0" w:beforeAutospacing="0" w:after="0" w:afterAutospacing="0"/>
                    <w:ind w:left="0" w:right="0"/>
                    <w:jc w:val="center"/>
                    <w:textAlignment w:val="center"/>
                    <w:rPr>
                      <w:rFonts w:hint="eastAsia" w:ascii="Times New Roman" w:hAnsi="Times New Roman" w:eastAsia="宋体" w:cs="Times New Roman"/>
                      <w:i w:val="0"/>
                      <w:iCs w:val="0"/>
                      <w:color w:val="000000"/>
                      <w:kern w:val="0"/>
                      <w:sz w:val="21"/>
                      <w:szCs w:val="21"/>
                      <w:highlight w:val="none"/>
                      <w:u w:val="none"/>
                      <w:lang w:val="en-US" w:eastAsia="zh-CN" w:bidi="ar"/>
                    </w:rPr>
                  </w:pPr>
                  <w:r>
                    <w:rPr>
                      <w:rFonts w:hint="eastAsia" w:ascii="Times New Roman" w:hAnsi="Times New Roman" w:eastAsia="宋体" w:cs="Times New Roman"/>
                      <w:i w:val="0"/>
                      <w:iCs w:val="0"/>
                      <w:color w:val="000000"/>
                      <w:kern w:val="0"/>
                      <w:sz w:val="21"/>
                      <w:szCs w:val="21"/>
                      <w:highlight w:val="none"/>
                      <w:u w:val="none"/>
                      <w:lang w:val="en-US" w:eastAsia="zh-CN" w:bidi="ar"/>
                    </w:rPr>
                    <w:t>~0</w:t>
                  </w:r>
                </w:p>
              </w:tc>
            </w:tr>
            <w:tr w14:paraId="2365216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470" w:type="pct"/>
                  <w:vMerge w:val="continue"/>
                  <w:noWrap w:val="0"/>
                  <w:vAlign w:val="center"/>
                </w:tcPr>
                <w:p w14:paraId="3CBED1A9">
                  <w:pPr>
                    <w:keepNext w:val="0"/>
                    <w:keepLines w:val="0"/>
                    <w:widowControl/>
                    <w:suppressLineNumbers w:val="0"/>
                    <w:spacing w:before="0" w:beforeAutospacing="0" w:after="0" w:afterAutospacing="0" w:line="280" w:lineRule="exact"/>
                    <w:ind w:left="0" w:right="0"/>
                    <w:jc w:val="center"/>
                    <w:textAlignment w:val="center"/>
                    <w:rPr>
                      <w:rFonts w:hint="eastAsia" w:ascii="Times New Roman" w:hAnsi="Times New Roman" w:eastAsia="宋体" w:cs="Times New Roman"/>
                      <w:b w:val="0"/>
                      <w:bCs w:val="0"/>
                      <w:sz w:val="21"/>
                      <w:szCs w:val="21"/>
                      <w:highlight w:val="none"/>
                      <w:lang w:val="en-US" w:eastAsia="zh-CN" w:bidi="ar"/>
                    </w:rPr>
                  </w:pPr>
                </w:p>
              </w:tc>
              <w:tc>
                <w:tcPr>
                  <w:tcW w:w="552" w:type="pct"/>
                  <w:vMerge w:val="continue"/>
                  <w:noWrap w:val="0"/>
                  <w:vAlign w:val="center"/>
                </w:tcPr>
                <w:p w14:paraId="08D2A028">
                  <w:pPr>
                    <w:keepNext w:val="0"/>
                    <w:keepLines w:val="0"/>
                    <w:widowControl/>
                    <w:suppressLineNumbers w:val="0"/>
                    <w:spacing w:before="0" w:beforeAutospacing="0" w:after="0" w:afterAutospacing="0" w:line="280" w:lineRule="exact"/>
                    <w:ind w:left="0" w:right="0"/>
                    <w:jc w:val="center"/>
                    <w:textAlignment w:val="center"/>
                    <w:rPr>
                      <w:rFonts w:hint="eastAsia" w:ascii="Times New Roman" w:hAnsi="Times New Roman" w:eastAsia="宋体" w:cs="Times New Roman"/>
                      <w:b w:val="0"/>
                      <w:bCs w:val="0"/>
                      <w:sz w:val="21"/>
                      <w:szCs w:val="21"/>
                      <w:highlight w:val="none"/>
                      <w:lang w:val="en-US" w:eastAsia="zh-CN" w:bidi="ar"/>
                    </w:rPr>
                  </w:pPr>
                </w:p>
              </w:tc>
              <w:tc>
                <w:tcPr>
                  <w:tcW w:w="623" w:type="pct"/>
                  <w:vMerge w:val="continue"/>
                  <w:shd w:val="clear" w:color="auto" w:fill="auto"/>
                  <w:noWrap w:val="0"/>
                  <w:vAlign w:val="center"/>
                </w:tcPr>
                <w:p w14:paraId="0EBBE196">
                  <w:pPr>
                    <w:keepNext w:val="0"/>
                    <w:keepLines w:val="0"/>
                    <w:widowControl/>
                    <w:suppressLineNumbers w:val="0"/>
                    <w:spacing w:before="0" w:beforeAutospacing="0" w:after="0" w:afterAutospacing="0" w:line="280" w:lineRule="exact"/>
                    <w:ind w:left="0" w:right="0"/>
                    <w:jc w:val="center"/>
                    <w:textAlignment w:val="center"/>
                    <w:rPr>
                      <w:rFonts w:hint="eastAsia" w:cs="Times New Roman"/>
                      <w:b w:val="0"/>
                      <w:bCs w:val="0"/>
                      <w:sz w:val="21"/>
                      <w:szCs w:val="21"/>
                      <w:highlight w:val="none"/>
                      <w:lang w:val="en-US" w:eastAsia="zh-CN" w:bidi="ar"/>
                    </w:rPr>
                  </w:pPr>
                </w:p>
              </w:tc>
              <w:tc>
                <w:tcPr>
                  <w:tcW w:w="651" w:type="pct"/>
                  <w:shd w:val="clear" w:color="auto" w:fill="auto"/>
                  <w:noWrap w:val="0"/>
                  <w:vAlign w:val="center"/>
                </w:tcPr>
                <w:p w14:paraId="3A210F9D">
                  <w:pPr>
                    <w:keepNext w:val="0"/>
                    <w:keepLines w:val="0"/>
                    <w:widowControl/>
                    <w:suppressLineNumbers w:val="0"/>
                    <w:spacing w:before="0" w:beforeAutospacing="0" w:after="0" w:afterAutospacing="0" w:line="280" w:lineRule="exact"/>
                    <w:ind w:left="0" w:right="0"/>
                    <w:jc w:val="center"/>
                    <w:textAlignment w:val="center"/>
                    <w:rPr>
                      <w:rFonts w:hint="eastAsia" w:ascii="Times New Roman" w:hAnsi="Times New Roman" w:eastAsia="宋体" w:cs="Times New Roman"/>
                      <w:b w:val="0"/>
                      <w:bCs w:val="0"/>
                      <w:sz w:val="21"/>
                      <w:szCs w:val="21"/>
                      <w:highlight w:val="none"/>
                      <w:lang w:val="en-US" w:eastAsia="zh-CN" w:bidi="ar"/>
                    </w:rPr>
                  </w:pPr>
                  <w:r>
                    <w:rPr>
                      <w:rFonts w:hint="eastAsia" w:cs="Times New Roman"/>
                      <w:b w:val="0"/>
                      <w:bCs w:val="0"/>
                      <w:sz w:val="21"/>
                      <w:szCs w:val="21"/>
                      <w:highlight w:val="none"/>
                      <w:lang w:val="en-US" w:eastAsia="zh-CN" w:bidi="ar"/>
                    </w:rPr>
                    <w:t>颗粒物</w:t>
                  </w:r>
                </w:p>
              </w:tc>
              <w:tc>
                <w:tcPr>
                  <w:tcW w:w="1348" w:type="pct"/>
                  <w:gridSpan w:val="2"/>
                  <w:noWrap w:val="0"/>
                  <w:vAlign w:val="center"/>
                </w:tcPr>
                <w:p w14:paraId="173CE52C">
                  <w:pPr>
                    <w:keepNext w:val="0"/>
                    <w:keepLines w:val="0"/>
                    <w:widowControl/>
                    <w:suppressLineNumbers w:val="0"/>
                    <w:spacing w:before="0" w:beforeAutospacing="0" w:after="0" w:afterAutospacing="0"/>
                    <w:ind w:left="0" w:leftChars="0" w:right="0" w:rightChars="0"/>
                    <w:jc w:val="center"/>
                    <w:textAlignment w:val="center"/>
                    <w:rPr>
                      <w:rFonts w:hint="eastAsia" w:ascii="Times New Roman" w:hAnsi="Times New Roman" w:eastAsia="宋体" w:cs="Times New Roman"/>
                      <w:i w:val="0"/>
                      <w:iCs w:val="0"/>
                      <w:color w:val="000000"/>
                      <w:kern w:val="0"/>
                      <w:sz w:val="21"/>
                      <w:szCs w:val="21"/>
                      <w:highlight w:val="none"/>
                      <w:u w:val="none"/>
                      <w:lang w:val="en-US" w:eastAsia="zh-CN" w:bidi="ar"/>
                    </w:rPr>
                  </w:pPr>
                  <w:r>
                    <w:rPr>
                      <w:rFonts w:hint="eastAsia" w:cs="Times New Roman"/>
                      <w:i w:val="0"/>
                      <w:iCs w:val="0"/>
                      <w:color w:val="000000"/>
                      <w:kern w:val="0"/>
                      <w:sz w:val="21"/>
                      <w:szCs w:val="21"/>
                      <w:highlight w:val="none"/>
                      <w:u w:val="none"/>
                      <w:lang w:val="en-US" w:eastAsia="zh-CN" w:bidi="ar"/>
                    </w:rPr>
                    <w:t>少量</w:t>
                  </w:r>
                </w:p>
              </w:tc>
              <w:tc>
                <w:tcPr>
                  <w:tcW w:w="1354" w:type="pct"/>
                  <w:gridSpan w:val="2"/>
                  <w:noWrap w:val="0"/>
                  <w:vAlign w:val="center"/>
                </w:tcPr>
                <w:p w14:paraId="1FE0A131">
                  <w:pPr>
                    <w:keepNext w:val="0"/>
                    <w:keepLines w:val="0"/>
                    <w:widowControl/>
                    <w:suppressLineNumbers w:val="0"/>
                    <w:spacing w:before="0" w:beforeAutospacing="0" w:after="0" w:afterAutospacing="0"/>
                    <w:ind w:left="0" w:leftChars="0" w:right="0" w:rightChars="0"/>
                    <w:jc w:val="center"/>
                    <w:textAlignment w:val="center"/>
                    <w:rPr>
                      <w:rFonts w:hint="eastAsia" w:ascii="Times New Roman" w:hAnsi="Times New Roman" w:eastAsia="宋体" w:cs="Times New Roman"/>
                      <w:i w:val="0"/>
                      <w:iCs w:val="0"/>
                      <w:color w:val="000000"/>
                      <w:kern w:val="0"/>
                      <w:sz w:val="21"/>
                      <w:szCs w:val="21"/>
                      <w:highlight w:val="none"/>
                      <w:u w:val="none"/>
                      <w:lang w:val="en-US" w:eastAsia="zh-CN" w:bidi="ar"/>
                    </w:rPr>
                  </w:pPr>
                  <w:r>
                    <w:rPr>
                      <w:rFonts w:hint="eastAsia" w:cs="Times New Roman"/>
                      <w:i w:val="0"/>
                      <w:iCs w:val="0"/>
                      <w:color w:val="000000"/>
                      <w:kern w:val="0"/>
                      <w:sz w:val="21"/>
                      <w:szCs w:val="21"/>
                      <w:highlight w:val="none"/>
                      <w:u w:val="none"/>
                      <w:lang w:val="en-US" w:eastAsia="zh-CN" w:bidi="ar"/>
                    </w:rPr>
                    <w:t>少量</w:t>
                  </w:r>
                </w:p>
              </w:tc>
            </w:tr>
            <w:tr w14:paraId="508F056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470" w:type="pct"/>
                  <w:vMerge w:val="continue"/>
                  <w:noWrap w:val="0"/>
                  <w:vAlign w:val="center"/>
                </w:tcPr>
                <w:p w14:paraId="383B51F0">
                  <w:pPr>
                    <w:keepNext w:val="0"/>
                    <w:keepLines w:val="0"/>
                    <w:widowControl/>
                    <w:suppressLineNumbers w:val="0"/>
                    <w:spacing w:before="0" w:beforeAutospacing="0" w:after="0" w:afterAutospacing="0" w:line="280" w:lineRule="exact"/>
                    <w:ind w:left="0" w:right="0"/>
                    <w:jc w:val="center"/>
                    <w:textAlignment w:val="center"/>
                    <w:rPr>
                      <w:rFonts w:hint="eastAsia" w:ascii="Times New Roman" w:hAnsi="Times New Roman" w:eastAsia="宋体" w:cs="Times New Roman"/>
                      <w:b w:val="0"/>
                      <w:bCs w:val="0"/>
                      <w:sz w:val="21"/>
                      <w:szCs w:val="21"/>
                      <w:highlight w:val="none"/>
                      <w:lang w:val="en-US" w:eastAsia="zh-CN" w:bidi="ar"/>
                    </w:rPr>
                  </w:pPr>
                </w:p>
              </w:tc>
              <w:tc>
                <w:tcPr>
                  <w:tcW w:w="552" w:type="pct"/>
                  <w:vMerge w:val="continue"/>
                  <w:noWrap w:val="0"/>
                  <w:vAlign w:val="center"/>
                </w:tcPr>
                <w:p w14:paraId="41BA9A31">
                  <w:pPr>
                    <w:keepNext w:val="0"/>
                    <w:keepLines w:val="0"/>
                    <w:widowControl/>
                    <w:suppressLineNumbers w:val="0"/>
                    <w:spacing w:before="0" w:beforeAutospacing="0" w:after="0" w:afterAutospacing="0" w:line="280" w:lineRule="exact"/>
                    <w:ind w:left="0" w:right="0"/>
                    <w:jc w:val="center"/>
                    <w:textAlignment w:val="center"/>
                    <w:rPr>
                      <w:rFonts w:hint="eastAsia" w:ascii="Times New Roman" w:hAnsi="Times New Roman" w:eastAsia="宋体" w:cs="Times New Roman"/>
                      <w:b w:val="0"/>
                      <w:bCs w:val="0"/>
                      <w:sz w:val="21"/>
                      <w:szCs w:val="21"/>
                      <w:highlight w:val="none"/>
                      <w:lang w:val="en-US" w:eastAsia="zh-CN" w:bidi="ar"/>
                    </w:rPr>
                  </w:pPr>
                </w:p>
              </w:tc>
              <w:tc>
                <w:tcPr>
                  <w:tcW w:w="623" w:type="pct"/>
                  <w:vMerge w:val="restart"/>
                  <w:shd w:val="clear" w:color="auto" w:fill="auto"/>
                  <w:noWrap w:val="0"/>
                  <w:vAlign w:val="center"/>
                </w:tcPr>
                <w:p w14:paraId="7A1A3839">
                  <w:pPr>
                    <w:keepNext w:val="0"/>
                    <w:keepLines w:val="0"/>
                    <w:widowControl/>
                    <w:suppressLineNumbers w:val="0"/>
                    <w:spacing w:before="0" w:beforeAutospacing="0" w:after="0" w:afterAutospacing="0" w:line="280" w:lineRule="exact"/>
                    <w:ind w:left="0" w:right="0"/>
                    <w:jc w:val="center"/>
                    <w:textAlignment w:val="center"/>
                    <w:rPr>
                      <w:rFonts w:hint="default" w:ascii="Times New Roman" w:hAnsi="Times New Roman" w:eastAsia="宋体" w:cs="Times New Roman"/>
                      <w:b w:val="0"/>
                      <w:bCs w:val="0"/>
                      <w:kern w:val="2"/>
                      <w:sz w:val="21"/>
                      <w:szCs w:val="21"/>
                      <w:highlight w:val="none"/>
                      <w:lang w:val="en-US" w:eastAsia="zh-CN" w:bidi="ar"/>
                    </w:rPr>
                  </w:pPr>
                  <w:r>
                    <w:rPr>
                      <w:rFonts w:hint="eastAsia" w:ascii="Times New Roman" w:hAnsi="Times New Roman" w:eastAsia="宋体" w:cs="Times New Roman"/>
                      <w:b/>
                      <w:bCs/>
                      <w:kern w:val="2"/>
                      <w:sz w:val="21"/>
                      <w:szCs w:val="21"/>
                      <w:highlight w:val="none"/>
                      <w:lang w:val="en-US" w:eastAsia="zh-CN" w:bidi="ar"/>
                    </w:rPr>
                    <w:t>小计</w:t>
                  </w:r>
                </w:p>
              </w:tc>
              <w:tc>
                <w:tcPr>
                  <w:tcW w:w="651" w:type="pct"/>
                  <w:shd w:val="clear" w:color="auto" w:fill="auto"/>
                  <w:noWrap w:val="0"/>
                  <w:vAlign w:val="center"/>
                </w:tcPr>
                <w:p w14:paraId="037AC2A7">
                  <w:pPr>
                    <w:keepNext w:val="0"/>
                    <w:keepLines w:val="0"/>
                    <w:widowControl/>
                    <w:suppressLineNumbers w:val="0"/>
                    <w:spacing w:before="0" w:beforeAutospacing="0" w:after="0" w:afterAutospacing="0" w:line="280" w:lineRule="exact"/>
                    <w:ind w:left="0" w:right="0"/>
                    <w:jc w:val="center"/>
                    <w:textAlignment w:val="center"/>
                    <w:rPr>
                      <w:rFonts w:hint="eastAsia" w:ascii="Times New Roman" w:hAnsi="Times New Roman" w:eastAsia="宋体" w:cs="Times New Roman"/>
                      <w:b/>
                      <w:bCs/>
                      <w:kern w:val="2"/>
                      <w:sz w:val="21"/>
                      <w:szCs w:val="21"/>
                      <w:highlight w:val="none"/>
                      <w:lang w:val="en-US" w:eastAsia="zh-CN" w:bidi="ar"/>
                    </w:rPr>
                  </w:pPr>
                  <w:r>
                    <w:rPr>
                      <w:rFonts w:hint="eastAsia" w:ascii="Times New Roman" w:hAnsi="Times New Roman" w:eastAsia="宋体" w:cs="Times New Roman"/>
                      <w:b/>
                      <w:bCs/>
                      <w:sz w:val="21"/>
                      <w:szCs w:val="21"/>
                      <w:highlight w:val="none"/>
                      <w:lang w:val="en-US" w:eastAsia="zh-CN" w:bidi="ar"/>
                    </w:rPr>
                    <w:t>NH</w:t>
                  </w:r>
                  <w:r>
                    <w:rPr>
                      <w:rFonts w:hint="eastAsia" w:ascii="Times New Roman" w:hAnsi="Times New Roman" w:eastAsia="宋体" w:cs="Times New Roman"/>
                      <w:b/>
                      <w:bCs/>
                      <w:sz w:val="21"/>
                      <w:szCs w:val="21"/>
                      <w:highlight w:val="none"/>
                      <w:vertAlign w:val="subscript"/>
                      <w:lang w:val="en-US" w:eastAsia="zh-CN" w:bidi="ar"/>
                    </w:rPr>
                    <w:t>3</w:t>
                  </w:r>
                </w:p>
              </w:tc>
              <w:tc>
                <w:tcPr>
                  <w:tcW w:w="641" w:type="pct"/>
                  <w:noWrap w:val="0"/>
                  <w:vAlign w:val="center"/>
                </w:tcPr>
                <w:p w14:paraId="12E43EA8">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b/>
                      <w:bCs/>
                      <w:i w:val="0"/>
                      <w:iCs w:val="0"/>
                      <w:color w:val="000000"/>
                      <w:kern w:val="0"/>
                      <w:sz w:val="21"/>
                      <w:szCs w:val="21"/>
                      <w:highlight w:val="none"/>
                      <w:u w:val="none"/>
                      <w:lang w:val="en-US" w:eastAsia="zh-CN" w:bidi="ar"/>
                    </w:rPr>
                  </w:pPr>
                  <w:r>
                    <w:rPr>
                      <w:rFonts w:hint="eastAsia" w:ascii="Times New Roman" w:hAnsi="Times New Roman" w:eastAsia="宋体" w:cs="Times New Roman"/>
                      <w:b/>
                      <w:bCs/>
                      <w:i w:val="0"/>
                      <w:iCs w:val="0"/>
                      <w:color w:val="000000"/>
                      <w:kern w:val="0"/>
                      <w:sz w:val="21"/>
                      <w:szCs w:val="21"/>
                      <w:highlight w:val="none"/>
                      <w:u w:val="none"/>
                      <w:lang w:val="en-US" w:eastAsia="zh-CN" w:bidi="ar"/>
                    </w:rPr>
                    <w:t>0.004</w:t>
                  </w:r>
                </w:p>
              </w:tc>
              <w:tc>
                <w:tcPr>
                  <w:tcW w:w="706" w:type="pct"/>
                  <w:noWrap w:val="0"/>
                  <w:vAlign w:val="center"/>
                </w:tcPr>
                <w:p w14:paraId="271DCCED">
                  <w:pPr>
                    <w:keepNext w:val="0"/>
                    <w:keepLines w:val="0"/>
                    <w:widowControl/>
                    <w:suppressLineNumbers w:val="0"/>
                    <w:spacing w:before="0" w:beforeAutospacing="0" w:after="0" w:afterAutospacing="0"/>
                    <w:ind w:left="0" w:right="0"/>
                    <w:jc w:val="center"/>
                    <w:textAlignment w:val="center"/>
                    <w:rPr>
                      <w:rFonts w:hint="eastAsia" w:ascii="Times New Roman" w:hAnsi="Times New Roman" w:eastAsia="宋体" w:cs="Times New Roman"/>
                      <w:b/>
                      <w:bCs/>
                      <w:i w:val="0"/>
                      <w:iCs w:val="0"/>
                      <w:color w:val="000000"/>
                      <w:kern w:val="0"/>
                      <w:sz w:val="21"/>
                      <w:szCs w:val="21"/>
                      <w:highlight w:val="none"/>
                      <w:u w:val="none"/>
                      <w:lang w:val="en-US" w:eastAsia="zh-CN" w:bidi="ar"/>
                    </w:rPr>
                  </w:pPr>
                  <w:r>
                    <w:rPr>
                      <w:rFonts w:hint="eastAsia" w:ascii="Times New Roman" w:hAnsi="Times New Roman" w:eastAsia="宋体" w:cs="Times New Roman"/>
                      <w:b/>
                      <w:bCs/>
                      <w:i w:val="0"/>
                      <w:iCs w:val="0"/>
                      <w:color w:val="000000"/>
                      <w:kern w:val="0"/>
                      <w:sz w:val="21"/>
                      <w:szCs w:val="21"/>
                      <w:highlight w:val="none"/>
                      <w:u w:val="none"/>
                      <w:lang w:val="en-US" w:eastAsia="zh-CN" w:bidi="ar"/>
                    </w:rPr>
                    <w:t>0</w:t>
                  </w:r>
                </w:p>
              </w:tc>
              <w:tc>
                <w:tcPr>
                  <w:tcW w:w="635" w:type="pct"/>
                  <w:noWrap w:val="0"/>
                  <w:vAlign w:val="center"/>
                </w:tcPr>
                <w:p w14:paraId="24B9A861">
                  <w:pPr>
                    <w:keepNext w:val="0"/>
                    <w:keepLines w:val="0"/>
                    <w:widowControl/>
                    <w:suppressLineNumbers w:val="0"/>
                    <w:spacing w:before="0" w:beforeAutospacing="0" w:after="0" w:afterAutospacing="0"/>
                    <w:ind w:left="0" w:right="0"/>
                    <w:jc w:val="center"/>
                    <w:textAlignment w:val="center"/>
                    <w:rPr>
                      <w:rFonts w:hint="eastAsia" w:ascii="Times New Roman" w:hAnsi="Times New Roman" w:eastAsia="宋体" w:cs="Times New Roman"/>
                      <w:b/>
                      <w:bCs/>
                      <w:i w:val="0"/>
                      <w:iCs w:val="0"/>
                      <w:color w:val="000000"/>
                      <w:kern w:val="0"/>
                      <w:sz w:val="21"/>
                      <w:szCs w:val="21"/>
                      <w:highlight w:val="none"/>
                      <w:u w:val="none"/>
                      <w:lang w:val="en-US" w:eastAsia="zh-CN" w:bidi="ar"/>
                    </w:rPr>
                  </w:pPr>
                  <w:r>
                    <w:rPr>
                      <w:rFonts w:hint="eastAsia" w:ascii="Times New Roman" w:hAnsi="Times New Roman" w:eastAsia="宋体" w:cs="Times New Roman"/>
                      <w:b/>
                      <w:bCs/>
                      <w:i w:val="0"/>
                      <w:iCs w:val="0"/>
                      <w:color w:val="000000"/>
                      <w:kern w:val="0"/>
                      <w:sz w:val="21"/>
                      <w:szCs w:val="21"/>
                      <w:highlight w:val="none"/>
                      <w:u w:val="none"/>
                      <w:lang w:val="en-US" w:eastAsia="zh-CN" w:bidi="ar"/>
                    </w:rPr>
                    <w:t>0</w:t>
                  </w:r>
                </w:p>
              </w:tc>
              <w:tc>
                <w:tcPr>
                  <w:tcW w:w="719" w:type="pct"/>
                  <w:noWrap w:val="0"/>
                  <w:vAlign w:val="center"/>
                </w:tcPr>
                <w:p w14:paraId="5B408784">
                  <w:pPr>
                    <w:keepNext w:val="0"/>
                    <w:keepLines w:val="0"/>
                    <w:widowControl/>
                    <w:suppressLineNumbers w:val="0"/>
                    <w:spacing w:before="0" w:beforeAutospacing="0" w:after="0" w:afterAutospacing="0"/>
                    <w:ind w:left="0" w:right="0"/>
                    <w:jc w:val="center"/>
                    <w:textAlignment w:val="center"/>
                    <w:rPr>
                      <w:rFonts w:hint="eastAsia" w:ascii="Times New Roman" w:hAnsi="Times New Roman" w:eastAsia="宋体" w:cs="Times New Roman"/>
                      <w:b/>
                      <w:bCs/>
                      <w:i w:val="0"/>
                      <w:iCs w:val="0"/>
                      <w:color w:val="000000"/>
                      <w:kern w:val="0"/>
                      <w:sz w:val="21"/>
                      <w:szCs w:val="21"/>
                      <w:highlight w:val="none"/>
                      <w:u w:val="none"/>
                      <w:lang w:val="en-US" w:eastAsia="zh-CN" w:bidi="ar"/>
                    </w:rPr>
                  </w:pPr>
                  <w:r>
                    <w:rPr>
                      <w:rFonts w:hint="eastAsia" w:ascii="Times New Roman" w:hAnsi="Times New Roman" w:eastAsia="宋体" w:cs="Times New Roman"/>
                      <w:b/>
                      <w:bCs/>
                      <w:i w:val="0"/>
                      <w:iCs w:val="0"/>
                      <w:color w:val="000000"/>
                      <w:kern w:val="0"/>
                      <w:sz w:val="21"/>
                      <w:szCs w:val="21"/>
                      <w:highlight w:val="none"/>
                      <w:u w:val="none"/>
                      <w:lang w:val="en-US" w:eastAsia="zh-CN" w:bidi="ar"/>
                    </w:rPr>
                    <w:t>0</w:t>
                  </w:r>
                </w:p>
              </w:tc>
            </w:tr>
            <w:tr w14:paraId="21AD7B9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470" w:type="pct"/>
                  <w:vMerge w:val="continue"/>
                  <w:noWrap w:val="0"/>
                  <w:vAlign w:val="center"/>
                </w:tcPr>
                <w:p w14:paraId="0C9AB8DB">
                  <w:pPr>
                    <w:keepNext w:val="0"/>
                    <w:keepLines w:val="0"/>
                    <w:widowControl/>
                    <w:suppressLineNumbers w:val="0"/>
                    <w:spacing w:before="0" w:beforeAutospacing="0" w:after="0" w:afterAutospacing="0" w:line="280" w:lineRule="exact"/>
                    <w:ind w:left="0" w:right="0"/>
                    <w:jc w:val="center"/>
                    <w:textAlignment w:val="center"/>
                    <w:rPr>
                      <w:rFonts w:hint="eastAsia" w:ascii="Times New Roman" w:hAnsi="Times New Roman" w:eastAsia="宋体" w:cs="Times New Roman"/>
                      <w:b w:val="0"/>
                      <w:bCs w:val="0"/>
                      <w:sz w:val="21"/>
                      <w:szCs w:val="21"/>
                      <w:highlight w:val="none"/>
                      <w:lang w:val="en-US" w:eastAsia="zh-CN" w:bidi="ar"/>
                    </w:rPr>
                  </w:pPr>
                </w:p>
              </w:tc>
              <w:tc>
                <w:tcPr>
                  <w:tcW w:w="552" w:type="pct"/>
                  <w:vMerge w:val="continue"/>
                  <w:noWrap w:val="0"/>
                  <w:vAlign w:val="center"/>
                </w:tcPr>
                <w:p w14:paraId="7F04900B">
                  <w:pPr>
                    <w:keepNext w:val="0"/>
                    <w:keepLines w:val="0"/>
                    <w:widowControl/>
                    <w:suppressLineNumbers w:val="0"/>
                    <w:spacing w:before="0" w:beforeAutospacing="0" w:after="0" w:afterAutospacing="0" w:line="280" w:lineRule="exact"/>
                    <w:ind w:left="0" w:right="0"/>
                    <w:jc w:val="center"/>
                    <w:textAlignment w:val="center"/>
                    <w:rPr>
                      <w:rFonts w:hint="eastAsia" w:ascii="Times New Roman" w:hAnsi="Times New Roman" w:eastAsia="宋体" w:cs="Times New Roman"/>
                      <w:b w:val="0"/>
                      <w:bCs w:val="0"/>
                      <w:sz w:val="21"/>
                      <w:szCs w:val="21"/>
                      <w:highlight w:val="none"/>
                      <w:lang w:val="en-US" w:eastAsia="zh-CN" w:bidi="ar"/>
                    </w:rPr>
                  </w:pPr>
                </w:p>
              </w:tc>
              <w:tc>
                <w:tcPr>
                  <w:tcW w:w="623" w:type="pct"/>
                  <w:vMerge w:val="continue"/>
                  <w:shd w:val="clear" w:color="auto" w:fill="auto"/>
                  <w:noWrap w:val="0"/>
                  <w:vAlign w:val="center"/>
                </w:tcPr>
                <w:p w14:paraId="09104903">
                  <w:pPr>
                    <w:keepNext w:val="0"/>
                    <w:keepLines w:val="0"/>
                    <w:widowControl/>
                    <w:suppressLineNumbers w:val="0"/>
                    <w:spacing w:before="0" w:beforeAutospacing="0" w:after="0" w:afterAutospacing="0" w:line="280" w:lineRule="exact"/>
                    <w:ind w:left="0" w:right="0"/>
                    <w:jc w:val="center"/>
                    <w:textAlignment w:val="center"/>
                    <w:rPr>
                      <w:rFonts w:hint="eastAsia" w:ascii="Times New Roman" w:hAnsi="Times New Roman" w:eastAsia="宋体" w:cs="Times New Roman"/>
                      <w:b w:val="0"/>
                      <w:bCs w:val="0"/>
                      <w:kern w:val="2"/>
                      <w:sz w:val="21"/>
                      <w:szCs w:val="21"/>
                      <w:highlight w:val="none"/>
                      <w:lang w:val="en-US" w:eastAsia="zh-CN" w:bidi="ar"/>
                    </w:rPr>
                  </w:pPr>
                </w:p>
              </w:tc>
              <w:tc>
                <w:tcPr>
                  <w:tcW w:w="651" w:type="pct"/>
                  <w:shd w:val="clear" w:color="auto" w:fill="auto"/>
                  <w:noWrap w:val="0"/>
                  <w:vAlign w:val="center"/>
                </w:tcPr>
                <w:p w14:paraId="188492BF">
                  <w:pPr>
                    <w:keepNext w:val="0"/>
                    <w:keepLines w:val="0"/>
                    <w:widowControl/>
                    <w:suppressLineNumbers w:val="0"/>
                    <w:spacing w:before="0" w:beforeAutospacing="0" w:after="0" w:afterAutospacing="0" w:line="280" w:lineRule="exact"/>
                    <w:ind w:left="0" w:right="0"/>
                    <w:jc w:val="center"/>
                    <w:textAlignment w:val="center"/>
                    <w:rPr>
                      <w:rFonts w:hint="eastAsia" w:ascii="Times New Roman" w:hAnsi="Times New Roman" w:eastAsia="宋体" w:cs="Times New Roman"/>
                      <w:b/>
                      <w:bCs/>
                      <w:kern w:val="2"/>
                      <w:sz w:val="21"/>
                      <w:szCs w:val="21"/>
                      <w:highlight w:val="none"/>
                      <w:lang w:val="en-US" w:eastAsia="zh-CN" w:bidi="ar"/>
                    </w:rPr>
                  </w:pPr>
                  <w:r>
                    <w:rPr>
                      <w:rFonts w:hint="eastAsia" w:ascii="Times New Roman" w:hAnsi="Times New Roman" w:eastAsia="宋体" w:cs="Times New Roman"/>
                      <w:b/>
                      <w:bCs/>
                      <w:sz w:val="21"/>
                      <w:szCs w:val="21"/>
                      <w:highlight w:val="none"/>
                      <w:lang w:val="en-US" w:eastAsia="zh-CN" w:bidi="ar"/>
                    </w:rPr>
                    <w:t>H</w:t>
                  </w:r>
                  <w:r>
                    <w:rPr>
                      <w:rFonts w:hint="eastAsia" w:ascii="Times New Roman" w:hAnsi="Times New Roman" w:eastAsia="宋体" w:cs="Times New Roman"/>
                      <w:b/>
                      <w:bCs/>
                      <w:sz w:val="21"/>
                      <w:szCs w:val="21"/>
                      <w:highlight w:val="none"/>
                      <w:vertAlign w:val="subscript"/>
                      <w:lang w:val="en-US" w:eastAsia="zh-CN" w:bidi="ar"/>
                    </w:rPr>
                    <w:t>2</w:t>
                  </w:r>
                  <w:r>
                    <w:rPr>
                      <w:rFonts w:hint="eastAsia" w:ascii="Times New Roman" w:hAnsi="Times New Roman" w:eastAsia="宋体" w:cs="Times New Roman"/>
                      <w:b/>
                      <w:bCs/>
                      <w:sz w:val="21"/>
                      <w:szCs w:val="21"/>
                      <w:highlight w:val="none"/>
                      <w:lang w:val="en-US" w:eastAsia="zh-CN" w:bidi="ar"/>
                    </w:rPr>
                    <w:t>S</w:t>
                  </w:r>
                </w:p>
              </w:tc>
              <w:tc>
                <w:tcPr>
                  <w:tcW w:w="641" w:type="pct"/>
                  <w:noWrap w:val="0"/>
                  <w:vAlign w:val="center"/>
                </w:tcPr>
                <w:p w14:paraId="5F4505D7">
                  <w:pPr>
                    <w:keepNext w:val="0"/>
                    <w:keepLines w:val="0"/>
                    <w:widowControl/>
                    <w:suppressLineNumbers w:val="0"/>
                    <w:spacing w:before="0" w:beforeAutospacing="0" w:after="0" w:afterAutospacing="0"/>
                    <w:ind w:left="0" w:right="0"/>
                    <w:jc w:val="center"/>
                    <w:textAlignment w:val="center"/>
                    <w:rPr>
                      <w:rFonts w:hint="eastAsia" w:ascii="Times New Roman" w:hAnsi="Times New Roman" w:eastAsia="宋体" w:cs="Times New Roman"/>
                      <w:b/>
                      <w:bCs/>
                      <w:i w:val="0"/>
                      <w:iCs w:val="0"/>
                      <w:color w:val="000000"/>
                      <w:kern w:val="0"/>
                      <w:sz w:val="21"/>
                      <w:szCs w:val="21"/>
                      <w:highlight w:val="none"/>
                      <w:u w:val="none"/>
                      <w:lang w:val="en-US" w:eastAsia="zh-CN" w:bidi="ar"/>
                    </w:rPr>
                  </w:pPr>
                  <w:r>
                    <w:rPr>
                      <w:rFonts w:hint="eastAsia" w:ascii="Times New Roman" w:hAnsi="Times New Roman" w:eastAsia="宋体" w:cs="Times New Roman"/>
                      <w:b/>
                      <w:bCs/>
                      <w:i w:val="0"/>
                      <w:iCs w:val="0"/>
                      <w:color w:val="000000"/>
                      <w:kern w:val="0"/>
                      <w:sz w:val="21"/>
                      <w:szCs w:val="21"/>
                      <w:highlight w:val="none"/>
                      <w:u w:val="none"/>
                      <w:lang w:val="en-US" w:eastAsia="zh-CN" w:bidi="ar"/>
                    </w:rPr>
                    <w:t>0.001</w:t>
                  </w:r>
                </w:p>
              </w:tc>
              <w:tc>
                <w:tcPr>
                  <w:tcW w:w="706" w:type="pct"/>
                  <w:noWrap w:val="0"/>
                  <w:vAlign w:val="center"/>
                </w:tcPr>
                <w:p w14:paraId="7E2DEDDB">
                  <w:pPr>
                    <w:keepNext w:val="0"/>
                    <w:keepLines w:val="0"/>
                    <w:widowControl/>
                    <w:suppressLineNumbers w:val="0"/>
                    <w:spacing w:before="0" w:beforeAutospacing="0" w:after="0" w:afterAutospacing="0"/>
                    <w:ind w:left="0" w:right="0"/>
                    <w:jc w:val="center"/>
                    <w:textAlignment w:val="center"/>
                    <w:rPr>
                      <w:rFonts w:hint="eastAsia" w:ascii="Times New Roman" w:hAnsi="Times New Roman" w:eastAsia="宋体" w:cs="Times New Roman"/>
                      <w:b/>
                      <w:bCs/>
                      <w:i w:val="0"/>
                      <w:iCs w:val="0"/>
                      <w:color w:val="000000"/>
                      <w:kern w:val="0"/>
                      <w:sz w:val="21"/>
                      <w:szCs w:val="21"/>
                      <w:highlight w:val="none"/>
                      <w:u w:val="none"/>
                      <w:lang w:val="en-US" w:eastAsia="zh-CN" w:bidi="ar"/>
                    </w:rPr>
                  </w:pPr>
                  <w:r>
                    <w:rPr>
                      <w:rFonts w:hint="eastAsia" w:ascii="Times New Roman" w:hAnsi="Times New Roman" w:eastAsia="宋体" w:cs="Times New Roman"/>
                      <w:b/>
                      <w:bCs/>
                      <w:i w:val="0"/>
                      <w:iCs w:val="0"/>
                      <w:color w:val="000000"/>
                      <w:kern w:val="0"/>
                      <w:sz w:val="21"/>
                      <w:szCs w:val="21"/>
                      <w:highlight w:val="none"/>
                      <w:u w:val="none"/>
                      <w:lang w:val="en-US" w:eastAsia="zh-CN" w:bidi="ar"/>
                    </w:rPr>
                    <w:t>0</w:t>
                  </w:r>
                </w:p>
              </w:tc>
              <w:tc>
                <w:tcPr>
                  <w:tcW w:w="635" w:type="pct"/>
                  <w:noWrap w:val="0"/>
                  <w:vAlign w:val="center"/>
                </w:tcPr>
                <w:p w14:paraId="27EAC4B7">
                  <w:pPr>
                    <w:keepNext w:val="0"/>
                    <w:keepLines w:val="0"/>
                    <w:widowControl/>
                    <w:suppressLineNumbers w:val="0"/>
                    <w:spacing w:before="0" w:beforeAutospacing="0" w:after="0" w:afterAutospacing="0"/>
                    <w:ind w:left="0" w:right="0"/>
                    <w:jc w:val="center"/>
                    <w:textAlignment w:val="center"/>
                    <w:rPr>
                      <w:rFonts w:hint="eastAsia" w:ascii="Times New Roman" w:hAnsi="Times New Roman" w:eastAsia="宋体" w:cs="Times New Roman"/>
                      <w:b/>
                      <w:bCs/>
                      <w:i w:val="0"/>
                      <w:iCs w:val="0"/>
                      <w:color w:val="000000"/>
                      <w:kern w:val="0"/>
                      <w:sz w:val="21"/>
                      <w:szCs w:val="21"/>
                      <w:highlight w:val="none"/>
                      <w:u w:val="none"/>
                      <w:lang w:val="en-US" w:eastAsia="zh-CN" w:bidi="ar"/>
                    </w:rPr>
                  </w:pPr>
                  <w:r>
                    <w:rPr>
                      <w:rFonts w:hint="eastAsia" w:ascii="Times New Roman" w:hAnsi="Times New Roman" w:eastAsia="宋体" w:cs="Times New Roman"/>
                      <w:b/>
                      <w:bCs/>
                      <w:i w:val="0"/>
                      <w:iCs w:val="0"/>
                      <w:color w:val="000000"/>
                      <w:kern w:val="0"/>
                      <w:sz w:val="21"/>
                      <w:szCs w:val="21"/>
                      <w:highlight w:val="none"/>
                      <w:u w:val="none"/>
                      <w:lang w:val="en-US" w:eastAsia="zh-CN" w:bidi="ar"/>
                    </w:rPr>
                    <w:t>0.001</w:t>
                  </w:r>
                </w:p>
              </w:tc>
              <w:tc>
                <w:tcPr>
                  <w:tcW w:w="719" w:type="pct"/>
                  <w:noWrap w:val="0"/>
                  <w:vAlign w:val="center"/>
                </w:tcPr>
                <w:p w14:paraId="19728039">
                  <w:pPr>
                    <w:keepNext w:val="0"/>
                    <w:keepLines w:val="0"/>
                    <w:widowControl/>
                    <w:suppressLineNumbers w:val="0"/>
                    <w:spacing w:before="0" w:beforeAutospacing="0" w:after="0" w:afterAutospacing="0"/>
                    <w:ind w:left="0" w:right="0"/>
                    <w:jc w:val="center"/>
                    <w:textAlignment w:val="center"/>
                    <w:rPr>
                      <w:rFonts w:hint="eastAsia" w:ascii="Times New Roman" w:hAnsi="Times New Roman" w:eastAsia="宋体" w:cs="Times New Roman"/>
                      <w:b/>
                      <w:bCs/>
                      <w:i w:val="0"/>
                      <w:iCs w:val="0"/>
                      <w:color w:val="000000"/>
                      <w:kern w:val="0"/>
                      <w:sz w:val="21"/>
                      <w:szCs w:val="21"/>
                      <w:highlight w:val="none"/>
                      <w:u w:val="none"/>
                      <w:lang w:val="en-US" w:eastAsia="zh-CN" w:bidi="ar"/>
                    </w:rPr>
                  </w:pPr>
                  <w:r>
                    <w:rPr>
                      <w:rFonts w:hint="eastAsia" w:ascii="Times New Roman" w:hAnsi="Times New Roman" w:eastAsia="宋体" w:cs="Times New Roman"/>
                      <w:b/>
                      <w:bCs/>
                      <w:i w:val="0"/>
                      <w:iCs w:val="0"/>
                      <w:color w:val="000000"/>
                      <w:kern w:val="0"/>
                      <w:sz w:val="21"/>
                      <w:szCs w:val="21"/>
                      <w:highlight w:val="none"/>
                      <w:u w:val="none"/>
                      <w:lang w:val="en-US" w:eastAsia="zh-CN" w:bidi="ar"/>
                    </w:rPr>
                    <w:t>0</w:t>
                  </w:r>
                </w:p>
              </w:tc>
            </w:tr>
            <w:tr w14:paraId="06B0881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470" w:type="pct"/>
                  <w:vMerge w:val="continue"/>
                  <w:noWrap w:val="0"/>
                  <w:vAlign w:val="center"/>
                </w:tcPr>
                <w:p w14:paraId="35272B5B">
                  <w:pPr>
                    <w:keepNext w:val="0"/>
                    <w:keepLines w:val="0"/>
                    <w:widowControl/>
                    <w:suppressLineNumbers w:val="0"/>
                    <w:spacing w:before="0" w:beforeAutospacing="0" w:after="0" w:afterAutospacing="0" w:line="280" w:lineRule="exact"/>
                    <w:ind w:left="0" w:right="0"/>
                    <w:jc w:val="center"/>
                    <w:textAlignment w:val="center"/>
                    <w:rPr>
                      <w:rFonts w:hint="eastAsia" w:ascii="Times New Roman" w:hAnsi="Times New Roman" w:eastAsia="宋体" w:cs="Times New Roman"/>
                      <w:b w:val="0"/>
                      <w:bCs w:val="0"/>
                      <w:sz w:val="21"/>
                      <w:szCs w:val="21"/>
                      <w:highlight w:val="none"/>
                      <w:lang w:val="en-US" w:eastAsia="zh-CN" w:bidi="ar"/>
                    </w:rPr>
                  </w:pPr>
                </w:p>
              </w:tc>
              <w:tc>
                <w:tcPr>
                  <w:tcW w:w="552" w:type="pct"/>
                  <w:vMerge w:val="continue"/>
                  <w:noWrap w:val="0"/>
                  <w:vAlign w:val="center"/>
                </w:tcPr>
                <w:p w14:paraId="6C2436C7">
                  <w:pPr>
                    <w:keepNext w:val="0"/>
                    <w:keepLines w:val="0"/>
                    <w:widowControl/>
                    <w:suppressLineNumbers w:val="0"/>
                    <w:spacing w:before="0" w:beforeAutospacing="0" w:after="0" w:afterAutospacing="0" w:line="280" w:lineRule="exact"/>
                    <w:ind w:left="0" w:right="0"/>
                    <w:jc w:val="center"/>
                    <w:textAlignment w:val="center"/>
                    <w:rPr>
                      <w:rFonts w:hint="eastAsia" w:ascii="Times New Roman" w:hAnsi="Times New Roman" w:eastAsia="宋体" w:cs="Times New Roman"/>
                      <w:b w:val="0"/>
                      <w:bCs w:val="0"/>
                      <w:sz w:val="21"/>
                      <w:szCs w:val="21"/>
                      <w:highlight w:val="none"/>
                      <w:lang w:val="en-US" w:eastAsia="zh-CN" w:bidi="ar"/>
                    </w:rPr>
                  </w:pPr>
                </w:p>
              </w:tc>
              <w:tc>
                <w:tcPr>
                  <w:tcW w:w="623" w:type="pct"/>
                  <w:vMerge w:val="continue"/>
                  <w:shd w:val="clear" w:color="auto" w:fill="auto"/>
                  <w:noWrap w:val="0"/>
                  <w:vAlign w:val="center"/>
                </w:tcPr>
                <w:p w14:paraId="51E46C46">
                  <w:pPr>
                    <w:keepNext w:val="0"/>
                    <w:keepLines w:val="0"/>
                    <w:widowControl/>
                    <w:suppressLineNumbers w:val="0"/>
                    <w:spacing w:before="0" w:beforeAutospacing="0" w:after="0" w:afterAutospacing="0" w:line="280" w:lineRule="exact"/>
                    <w:ind w:left="0" w:right="0"/>
                    <w:jc w:val="center"/>
                    <w:textAlignment w:val="center"/>
                    <w:rPr>
                      <w:rFonts w:hint="eastAsia" w:ascii="Times New Roman" w:hAnsi="Times New Roman" w:eastAsia="宋体" w:cs="Times New Roman"/>
                      <w:b w:val="0"/>
                      <w:bCs w:val="0"/>
                      <w:kern w:val="2"/>
                      <w:sz w:val="21"/>
                      <w:szCs w:val="21"/>
                      <w:highlight w:val="none"/>
                      <w:lang w:val="en-US" w:eastAsia="zh-CN" w:bidi="ar"/>
                    </w:rPr>
                  </w:pPr>
                </w:p>
              </w:tc>
              <w:tc>
                <w:tcPr>
                  <w:tcW w:w="651" w:type="pct"/>
                  <w:shd w:val="clear" w:color="auto" w:fill="auto"/>
                  <w:noWrap w:val="0"/>
                  <w:vAlign w:val="center"/>
                </w:tcPr>
                <w:p w14:paraId="2A62AE6F">
                  <w:pPr>
                    <w:keepNext w:val="0"/>
                    <w:keepLines w:val="0"/>
                    <w:widowControl/>
                    <w:suppressLineNumbers w:val="0"/>
                    <w:spacing w:before="0" w:beforeAutospacing="0" w:after="0" w:afterAutospacing="0" w:line="280" w:lineRule="exact"/>
                    <w:ind w:left="0" w:right="0"/>
                    <w:jc w:val="center"/>
                    <w:textAlignment w:val="center"/>
                    <w:rPr>
                      <w:rFonts w:hint="eastAsia" w:ascii="Times New Roman" w:hAnsi="Times New Roman" w:eastAsia="宋体" w:cs="Times New Roman"/>
                      <w:b/>
                      <w:bCs/>
                      <w:sz w:val="21"/>
                      <w:szCs w:val="21"/>
                      <w:highlight w:val="none"/>
                      <w:lang w:val="en-US" w:eastAsia="zh-CN" w:bidi="ar"/>
                    </w:rPr>
                  </w:pPr>
                  <w:r>
                    <w:rPr>
                      <w:rFonts w:hint="eastAsia" w:cs="Times New Roman"/>
                      <w:b/>
                      <w:bCs/>
                      <w:sz w:val="21"/>
                      <w:szCs w:val="21"/>
                      <w:highlight w:val="none"/>
                      <w:lang w:val="en-US" w:eastAsia="zh-CN" w:bidi="ar"/>
                    </w:rPr>
                    <w:t>颗粒物</w:t>
                  </w:r>
                </w:p>
              </w:tc>
              <w:tc>
                <w:tcPr>
                  <w:tcW w:w="1348" w:type="pct"/>
                  <w:gridSpan w:val="2"/>
                  <w:noWrap w:val="0"/>
                  <w:vAlign w:val="center"/>
                </w:tcPr>
                <w:p w14:paraId="63E99AE7">
                  <w:pPr>
                    <w:keepNext w:val="0"/>
                    <w:keepLines w:val="0"/>
                    <w:widowControl/>
                    <w:suppressLineNumbers w:val="0"/>
                    <w:spacing w:before="0" w:beforeAutospacing="0" w:after="0" w:afterAutospacing="0"/>
                    <w:ind w:left="0" w:leftChars="0" w:right="0" w:rightChars="0"/>
                    <w:jc w:val="center"/>
                    <w:textAlignment w:val="center"/>
                    <w:rPr>
                      <w:rFonts w:hint="eastAsia" w:ascii="Times New Roman" w:hAnsi="Times New Roman" w:eastAsia="宋体" w:cs="Times New Roman"/>
                      <w:b/>
                      <w:bCs/>
                      <w:i w:val="0"/>
                      <w:iCs w:val="0"/>
                      <w:color w:val="000000"/>
                      <w:kern w:val="0"/>
                      <w:sz w:val="21"/>
                      <w:szCs w:val="21"/>
                      <w:highlight w:val="none"/>
                      <w:u w:val="none"/>
                      <w:lang w:val="en-US" w:eastAsia="zh-CN" w:bidi="ar"/>
                    </w:rPr>
                  </w:pPr>
                  <w:r>
                    <w:rPr>
                      <w:rFonts w:hint="eastAsia" w:cs="Times New Roman"/>
                      <w:b/>
                      <w:bCs/>
                      <w:i w:val="0"/>
                      <w:iCs w:val="0"/>
                      <w:color w:val="000000"/>
                      <w:kern w:val="0"/>
                      <w:sz w:val="21"/>
                      <w:szCs w:val="21"/>
                      <w:highlight w:val="none"/>
                      <w:u w:val="none"/>
                      <w:lang w:val="en-US" w:eastAsia="zh-CN" w:bidi="ar"/>
                    </w:rPr>
                    <w:t>少量</w:t>
                  </w:r>
                </w:p>
              </w:tc>
              <w:tc>
                <w:tcPr>
                  <w:tcW w:w="1354" w:type="pct"/>
                  <w:gridSpan w:val="2"/>
                  <w:noWrap w:val="0"/>
                  <w:vAlign w:val="center"/>
                </w:tcPr>
                <w:p w14:paraId="08CC6F09">
                  <w:pPr>
                    <w:keepNext w:val="0"/>
                    <w:keepLines w:val="0"/>
                    <w:widowControl/>
                    <w:suppressLineNumbers w:val="0"/>
                    <w:spacing w:before="0" w:beforeAutospacing="0" w:after="0" w:afterAutospacing="0"/>
                    <w:ind w:left="0" w:leftChars="0" w:right="0" w:rightChars="0"/>
                    <w:jc w:val="center"/>
                    <w:textAlignment w:val="center"/>
                    <w:rPr>
                      <w:rFonts w:hint="eastAsia" w:ascii="Times New Roman" w:hAnsi="Times New Roman" w:eastAsia="宋体" w:cs="Times New Roman"/>
                      <w:b/>
                      <w:bCs/>
                      <w:i w:val="0"/>
                      <w:iCs w:val="0"/>
                      <w:color w:val="000000"/>
                      <w:kern w:val="0"/>
                      <w:sz w:val="21"/>
                      <w:szCs w:val="21"/>
                      <w:highlight w:val="none"/>
                      <w:u w:val="none"/>
                      <w:lang w:val="en-US" w:eastAsia="zh-CN" w:bidi="ar"/>
                    </w:rPr>
                  </w:pPr>
                  <w:r>
                    <w:rPr>
                      <w:rFonts w:hint="eastAsia" w:cs="Times New Roman"/>
                      <w:b/>
                      <w:bCs/>
                      <w:i w:val="0"/>
                      <w:iCs w:val="0"/>
                      <w:color w:val="000000"/>
                      <w:kern w:val="0"/>
                      <w:sz w:val="21"/>
                      <w:szCs w:val="21"/>
                      <w:highlight w:val="none"/>
                      <w:u w:val="none"/>
                      <w:lang w:val="en-US" w:eastAsia="zh-CN" w:bidi="ar"/>
                    </w:rPr>
                    <w:t>少量</w:t>
                  </w:r>
                </w:p>
              </w:tc>
            </w:tr>
            <w:tr w14:paraId="040A93F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470" w:type="pct"/>
                  <w:vMerge w:val="continue"/>
                  <w:noWrap w:val="0"/>
                  <w:vAlign w:val="center"/>
                </w:tcPr>
                <w:p w14:paraId="540544BB">
                  <w:pPr>
                    <w:keepNext w:val="0"/>
                    <w:keepLines w:val="0"/>
                    <w:widowControl/>
                    <w:suppressLineNumbers w:val="0"/>
                    <w:spacing w:before="0" w:beforeAutospacing="0" w:after="0" w:afterAutospacing="0" w:line="280" w:lineRule="exact"/>
                    <w:ind w:left="0" w:right="0"/>
                    <w:jc w:val="center"/>
                    <w:textAlignment w:val="center"/>
                    <w:rPr>
                      <w:rFonts w:hint="eastAsia" w:ascii="Times New Roman" w:hAnsi="Times New Roman" w:eastAsia="宋体" w:cs="Times New Roman"/>
                      <w:b w:val="0"/>
                      <w:bCs w:val="0"/>
                      <w:sz w:val="21"/>
                      <w:szCs w:val="21"/>
                      <w:highlight w:val="none"/>
                      <w:lang w:val="en-US" w:eastAsia="zh-CN" w:bidi="ar"/>
                    </w:rPr>
                  </w:pPr>
                </w:p>
              </w:tc>
              <w:tc>
                <w:tcPr>
                  <w:tcW w:w="552" w:type="pct"/>
                  <w:vMerge w:val="restart"/>
                  <w:noWrap w:val="0"/>
                  <w:vAlign w:val="center"/>
                </w:tcPr>
                <w:p w14:paraId="2CCB9276">
                  <w:pPr>
                    <w:keepNext w:val="0"/>
                    <w:keepLines w:val="0"/>
                    <w:widowControl/>
                    <w:suppressLineNumbers w:val="0"/>
                    <w:spacing w:before="0" w:beforeAutospacing="0" w:after="0" w:afterAutospacing="0" w:line="280" w:lineRule="exact"/>
                    <w:ind w:left="0" w:right="0"/>
                    <w:jc w:val="center"/>
                    <w:textAlignment w:val="center"/>
                    <w:rPr>
                      <w:rFonts w:hint="default" w:ascii="Times New Roman" w:hAnsi="Times New Roman" w:eastAsia="宋体" w:cs="Times New Roman"/>
                      <w:b w:val="0"/>
                      <w:bCs w:val="0"/>
                      <w:sz w:val="21"/>
                      <w:szCs w:val="21"/>
                      <w:highlight w:val="none"/>
                      <w:lang w:val="en-US" w:eastAsia="zh-CN" w:bidi="ar"/>
                    </w:rPr>
                  </w:pPr>
                  <w:r>
                    <w:rPr>
                      <w:rFonts w:hint="eastAsia" w:ascii="Times New Roman" w:hAnsi="Times New Roman" w:eastAsia="宋体" w:cs="Times New Roman"/>
                      <w:b w:val="0"/>
                      <w:bCs w:val="0"/>
                      <w:sz w:val="21"/>
                      <w:szCs w:val="21"/>
                      <w:highlight w:val="none"/>
                      <w:lang w:val="en-US" w:eastAsia="zh-CN" w:bidi="ar"/>
                    </w:rPr>
                    <w:t>DA003</w:t>
                  </w:r>
                </w:p>
              </w:tc>
              <w:tc>
                <w:tcPr>
                  <w:tcW w:w="623" w:type="pct"/>
                  <w:vMerge w:val="restart"/>
                  <w:shd w:val="clear" w:color="auto" w:fill="auto"/>
                  <w:noWrap w:val="0"/>
                  <w:vAlign w:val="center"/>
                </w:tcPr>
                <w:p w14:paraId="783182F8">
                  <w:pPr>
                    <w:keepNext w:val="0"/>
                    <w:keepLines w:val="0"/>
                    <w:widowControl/>
                    <w:suppressLineNumbers w:val="0"/>
                    <w:spacing w:before="0" w:beforeAutospacing="0" w:after="0" w:afterAutospacing="0" w:line="280" w:lineRule="exact"/>
                    <w:ind w:left="0" w:right="0"/>
                    <w:jc w:val="center"/>
                    <w:textAlignment w:val="center"/>
                    <w:rPr>
                      <w:rFonts w:hint="eastAsia" w:cs="Times New Roman"/>
                      <w:b w:val="0"/>
                      <w:bCs w:val="0"/>
                      <w:sz w:val="21"/>
                      <w:szCs w:val="21"/>
                      <w:highlight w:val="none"/>
                      <w:lang w:val="en-US" w:eastAsia="zh-CN" w:bidi="ar"/>
                    </w:rPr>
                  </w:pPr>
                  <w:r>
                    <w:rPr>
                      <w:rFonts w:hint="eastAsia" w:cs="Times New Roman"/>
                      <w:b w:val="0"/>
                      <w:bCs w:val="0"/>
                      <w:sz w:val="21"/>
                      <w:szCs w:val="21"/>
                      <w:highlight w:val="none"/>
                      <w:lang w:val="en-US" w:eastAsia="zh-CN" w:bidi="ar"/>
                    </w:rPr>
                    <w:t>有组织</w:t>
                  </w:r>
                </w:p>
              </w:tc>
              <w:tc>
                <w:tcPr>
                  <w:tcW w:w="651" w:type="pct"/>
                  <w:shd w:val="clear" w:color="auto" w:fill="auto"/>
                  <w:noWrap w:val="0"/>
                  <w:vAlign w:val="center"/>
                </w:tcPr>
                <w:p w14:paraId="69976267">
                  <w:pPr>
                    <w:keepNext w:val="0"/>
                    <w:keepLines w:val="0"/>
                    <w:widowControl/>
                    <w:suppressLineNumbers w:val="0"/>
                    <w:spacing w:before="0" w:beforeAutospacing="0" w:after="0" w:afterAutospacing="0" w:line="280" w:lineRule="exact"/>
                    <w:ind w:left="0" w:right="0"/>
                    <w:jc w:val="center"/>
                    <w:textAlignment w:val="center"/>
                    <w:rPr>
                      <w:rFonts w:hint="eastAsia" w:ascii="Times New Roman" w:hAnsi="Times New Roman" w:eastAsia="宋体" w:cs="Times New Roman"/>
                      <w:b w:val="0"/>
                      <w:bCs w:val="0"/>
                      <w:kern w:val="2"/>
                      <w:sz w:val="21"/>
                      <w:szCs w:val="21"/>
                      <w:highlight w:val="none"/>
                      <w:lang w:val="en-US" w:eastAsia="zh-CN" w:bidi="ar"/>
                    </w:rPr>
                  </w:pPr>
                  <w:r>
                    <w:rPr>
                      <w:rFonts w:hint="eastAsia" w:ascii="Times New Roman" w:hAnsi="Times New Roman" w:eastAsia="宋体" w:cs="Times New Roman"/>
                      <w:b w:val="0"/>
                      <w:bCs w:val="0"/>
                      <w:sz w:val="21"/>
                      <w:szCs w:val="21"/>
                      <w:highlight w:val="none"/>
                      <w:lang w:val="en-US" w:eastAsia="zh-CN" w:bidi="ar"/>
                    </w:rPr>
                    <w:t>NH</w:t>
                  </w:r>
                  <w:r>
                    <w:rPr>
                      <w:rFonts w:hint="eastAsia" w:ascii="Times New Roman" w:hAnsi="Times New Roman" w:eastAsia="宋体" w:cs="Times New Roman"/>
                      <w:b w:val="0"/>
                      <w:bCs w:val="0"/>
                      <w:sz w:val="21"/>
                      <w:szCs w:val="21"/>
                      <w:highlight w:val="none"/>
                      <w:vertAlign w:val="subscript"/>
                      <w:lang w:val="en-US" w:eastAsia="zh-CN" w:bidi="ar"/>
                    </w:rPr>
                    <w:t>3</w:t>
                  </w:r>
                </w:p>
              </w:tc>
              <w:tc>
                <w:tcPr>
                  <w:tcW w:w="641" w:type="pct"/>
                  <w:shd w:val="clear" w:color="auto" w:fill="auto"/>
                  <w:noWrap w:val="0"/>
                  <w:vAlign w:val="center"/>
                </w:tcPr>
                <w:p w14:paraId="130B6389">
                  <w:pPr>
                    <w:keepNext w:val="0"/>
                    <w:keepLines w:val="0"/>
                    <w:widowControl/>
                    <w:suppressLineNumbers w:val="0"/>
                    <w:spacing w:before="0" w:beforeAutospacing="0" w:after="0" w:afterAutospacing="0"/>
                    <w:ind w:left="0" w:right="0"/>
                    <w:jc w:val="center"/>
                    <w:textAlignment w:val="center"/>
                    <w:rPr>
                      <w:rFonts w:hint="eastAsia" w:ascii="Times New Roman" w:hAnsi="Times New Roman" w:eastAsia="宋体" w:cs="Times New Roman"/>
                      <w:i w:val="0"/>
                      <w:iCs w:val="0"/>
                      <w:color w:val="000000"/>
                      <w:kern w:val="0"/>
                      <w:sz w:val="21"/>
                      <w:szCs w:val="21"/>
                      <w:highlight w:val="none"/>
                      <w:u w:val="none"/>
                      <w:lang w:val="en-US" w:eastAsia="zh-CN" w:bidi="ar"/>
                    </w:rPr>
                  </w:pPr>
                  <w:r>
                    <w:rPr>
                      <w:rFonts w:hint="eastAsia" w:ascii="Times New Roman" w:hAnsi="Times New Roman" w:eastAsia="宋体" w:cs="Times New Roman"/>
                      <w:i w:val="0"/>
                      <w:iCs w:val="0"/>
                      <w:color w:val="000000"/>
                      <w:kern w:val="0"/>
                      <w:sz w:val="21"/>
                      <w:szCs w:val="21"/>
                      <w:highlight w:val="none"/>
                      <w:u w:val="none"/>
                      <w:lang w:val="en-US" w:eastAsia="zh-CN" w:bidi="ar"/>
                    </w:rPr>
                    <w:t>0.013</w:t>
                  </w:r>
                </w:p>
              </w:tc>
              <w:tc>
                <w:tcPr>
                  <w:tcW w:w="706" w:type="pct"/>
                  <w:shd w:val="clear" w:color="auto" w:fill="auto"/>
                  <w:noWrap w:val="0"/>
                  <w:vAlign w:val="center"/>
                </w:tcPr>
                <w:p w14:paraId="13919E60">
                  <w:pPr>
                    <w:keepNext w:val="0"/>
                    <w:keepLines w:val="0"/>
                    <w:widowControl/>
                    <w:suppressLineNumbers w:val="0"/>
                    <w:spacing w:before="0" w:beforeAutospacing="0" w:after="0" w:afterAutospacing="0"/>
                    <w:ind w:left="0" w:right="0"/>
                    <w:jc w:val="center"/>
                    <w:textAlignment w:val="center"/>
                    <w:rPr>
                      <w:rFonts w:hint="eastAsia" w:ascii="Times New Roman" w:hAnsi="Times New Roman" w:eastAsia="宋体" w:cs="Times New Roman"/>
                      <w:i w:val="0"/>
                      <w:iCs w:val="0"/>
                      <w:color w:val="000000"/>
                      <w:kern w:val="0"/>
                      <w:sz w:val="21"/>
                      <w:szCs w:val="21"/>
                      <w:highlight w:val="none"/>
                      <w:u w:val="none"/>
                      <w:lang w:val="en-US" w:eastAsia="zh-CN" w:bidi="ar"/>
                    </w:rPr>
                  </w:pPr>
                  <w:r>
                    <w:rPr>
                      <w:rFonts w:hint="eastAsia" w:ascii="Times New Roman" w:hAnsi="Times New Roman" w:eastAsia="宋体" w:cs="Times New Roman"/>
                      <w:i w:val="0"/>
                      <w:iCs w:val="0"/>
                      <w:color w:val="000000"/>
                      <w:kern w:val="0"/>
                      <w:sz w:val="21"/>
                      <w:szCs w:val="21"/>
                      <w:highlight w:val="none"/>
                      <w:u w:val="none"/>
                      <w:lang w:val="en-US" w:eastAsia="zh-CN" w:bidi="ar"/>
                    </w:rPr>
                    <w:t xml:space="preserve">0.001 </w:t>
                  </w:r>
                </w:p>
              </w:tc>
              <w:tc>
                <w:tcPr>
                  <w:tcW w:w="635" w:type="pct"/>
                  <w:noWrap w:val="0"/>
                  <w:vAlign w:val="center"/>
                </w:tcPr>
                <w:p w14:paraId="7243EE28">
                  <w:pPr>
                    <w:keepNext w:val="0"/>
                    <w:keepLines w:val="0"/>
                    <w:widowControl/>
                    <w:suppressLineNumbers w:val="0"/>
                    <w:spacing w:before="0" w:beforeAutospacing="0" w:after="0" w:afterAutospacing="0"/>
                    <w:ind w:left="0" w:right="0"/>
                    <w:jc w:val="center"/>
                    <w:textAlignment w:val="center"/>
                    <w:rPr>
                      <w:rFonts w:hint="eastAsia" w:ascii="Times New Roman" w:hAnsi="Times New Roman" w:eastAsia="宋体" w:cs="Times New Roman"/>
                      <w:i w:val="0"/>
                      <w:iCs w:val="0"/>
                      <w:color w:val="000000"/>
                      <w:kern w:val="0"/>
                      <w:sz w:val="21"/>
                      <w:szCs w:val="21"/>
                      <w:highlight w:val="none"/>
                      <w:u w:val="none"/>
                      <w:lang w:val="en-US" w:eastAsia="zh-CN" w:bidi="ar"/>
                    </w:rPr>
                  </w:pPr>
                  <w:r>
                    <w:rPr>
                      <w:rFonts w:hint="eastAsia" w:ascii="Times New Roman" w:hAnsi="Times New Roman" w:eastAsia="宋体" w:cs="Times New Roman"/>
                      <w:i w:val="0"/>
                      <w:iCs w:val="0"/>
                      <w:color w:val="000000"/>
                      <w:kern w:val="0"/>
                      <w:sz w:val="21"/>
                      <w:szCs w:val="21"/>
                      <w:highlight w:val="none"/>
                      <w:u w:val="none"/>
                      <w:lang w:val="en-US" w:eastAsia="zh-CN" w:bidi="ar"/>
                    </w:rPr>
                    <w:t xml:space="preserve">0.001 </w:t>
                  </w:r>
                </w:p>
              </w:tc>
              <w:tc>
                <w:tcPr>
                  <w:tcW w:w="719" w:type="pct"/>
                  <w:noWrap w:val="0"/>
                  <w:vAlign w:val="center"/>
                </w:tcPr>
                <w:p w14:paraId="4E672D3E">
                  <w:pPr>
                    <w:keepNext w:val="0"/>
                    <w:keepLines w:val="0"/>
                    <w:widowControl/>
                    <w:suppressLineNumbers w:val="0"/>
                    <w:spacing w:before="0" w:beforeAutospacing="0" w:after="0" w:afterAutospacing="0"/>
                    <w:ind w:left="0" w:right="0"/>
                    <w:jc w:val="center"/>
                    <w:textAlignment w:val="center"/>
                    <w:rPr>
                      <w:rFonts w:hint="eastAsia" w:ascii="Times New Roman" w:hAnsi="Times New Roman" w:eastAsia="宋体" w:cs="Times New Roman"/>
                      <w:i w:val="0"/>
                      <w:iCs w:val="0"/>
                      <w:color w:val="000000"/>
                      <w:kern w:val="0"/>
                      <w:sz w:val="21"/>
                      <w:szCs w:val="21"/>
                      <w:highlight w:val="none"/>
                      <w:u w:val="none"/>
                      <w:lang w:val="en-US" w:eastAsia="zh-CN" w:bidi="ar"/>
                    </w:rPr>
                  </w:pPr>
                  <w:r>
                    <w:rPr>
                      <w:rFonts w:hint="eastAsia" w:ascii="Times New Roman" w:hAnsi="Times New Roman" w:eastAsia="宋体" w:cs="Times New Roman"/>
                      <w:i w:val="0"/>
                      <w:iCs w:val="0"/>
                      <w:color w:val="000000"/>
                      <w:kern w:val="0"/>
                      <w:sz w:val="21"/>
                      <w:szCs w:val="21"/>
                      <w:highlight w:val="none"/>
                      <w:u w:val="none"/>
                      <w:lang w:val="en-US" w:eastAsia="zh-CN" w:bidi="ar"/>
                    </w:rPr>
                    <w:t>~0</w:t>
                  </w:r>
                </w:p>
              </w:tc>
            </w:tr>
            <w:tr w14:paraId="0851194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470" w:type="pct"/>
                  <w:vMerge w:val="continue"/>
                  <w:noWrap w:val="0"/>
                  <w:vAlign w:val="center"/>
                </w:tcPr>
                <w:p w14:paraId="49C0E447">
                  <w:pPr>
                    <w:keepNext w:val="0"/>
                    <w:keepLines w:val="0"/>
                    <w:widowControl/>
                    <w:suppressLineNumbers w:val="0"/>
                    <w:spacing w:before="0" w:beforeAutospacing="0" w:after="0" w:afterAutospacing="0" w:line="280" w:lineRule="exact"/>
                    <w:ind w:left="0" w:right="0"/>
                    <w:jc w:val="center"/>
                    <w:textAlignment w:val="center"/>
                    <w:rPr>
                      <w:rFonts w:hint="eastAsia" w:ascii="Times New Roman" w:hAnsi="Times New Roman" w:eastAsia="宋体" w:cs="Times New Roman"/>
                      <w:b w:val="0"/>
                      <w:bCs w:val="0"/>
                      <w:sz w:val="21"/>
                      <w:szCs w:val="21"/>
                      <w:highlight w:val="none"/>
                      <w:lang w:val="en-US" w:eastAsia="zh-CN" w:bidi="ar"/>
                    </w:rPr>
                  </w:pPr>
                </w:p>
              </w:tc>
              <w:tc>
                <w:tcPr>
                  <w:tcW w:w="552" w:type="pct"/>
                  <w:vMerge w:val="continue"/>
                  <w:noWrap w:val="0"/>
                  <w:vAlign w:val="center"/>
                </w:tcPr>
                <w:p w14:paraId="42CAB55A">
                  <w:pPr>
                    <w:keepNext w:val="0"/>
                    <w:keepLines w:val="0"/>
                    <w:widowControl/>
                    <w:suppressLineNumbers w:val="0"/>
                    <w:spacing w:before="0" w:beforeAutospacing="0" w:after="0" w:afterAutospacing="0" w:line="280" w:lineRule="exact"/>
                    <w:ind w:left="0" w:right="0"/>
                    <w:jc w:val="center"/>
                    <w:textAlignment w:val="center"/>
                    <w:rPr>
                      <w:rFonts w:hint="eastAsia" w:ascii="Times New Roman" w:hAnsi="Times New Roman" w:eastAsia="宋体" w:cs="Times New Roman"/>
                      <w:b w:val="0"/>
                      <w:bCs w:val="0"/>
                      <w:sz w:val="21"/>
                      <w:szCs w:val="21"/>
                      <w:highlight w:val="none"/>
                      <w:lang w:val="en-US" w:eastAsia="zh-CN" w:bidi="ar"/>
                    </w:rPr>
                  </w:pPr>
                </w:p>
              </w:tc>
              <w:tc>
                <w:tcPr>
                  <w:tcW w:w="623" w:type="pct"/>
                  <w:vMerge w:val="continue"/>
                  <w:shd w:val="clear" w:color="auto" w:fill="auto"/>
                  <w:noWrap w:val="0"/>
                  <w:vAlign w:val="center"/>
                </w:tcPr>
                <w:p w14:paraId="12424888">
                  <w:pPr>
                    <w:keepNext w:val="0"/>
                    <w:keepLines w:val="0"/>
                    <w:widowControl/>
                    <w:suppressLineNumbers w:val="0"/>
                    <w:spacing w:before="0" w:beforeAutospacing="0" w:after="0" w:afterAutospacing="0" w:line="280" w:lineRule="exact"/>
                    <w:ind w:left="0" w:right="0"/>
                    <w:jc w:val="center"/>
                    <w:textAlignment w:val="center"/>
                    <w:rPr>
                      <w:rFonts w:hint="eastAsia" w:cs="Times New Roman"/>
                      <w:b w:val="0"/>
                      <w:bCs w:val="0"/>
                      <w:sz w:val="21"/>
                      <w:szCs w:val="21"/>
                      <w:highlight w:val="none"/>
                      <w:lang w:val="en-US" w:eastAsia="zh-CN" w:bidi="ar"/>
                    </w:rPr>
                  </w:pPr>
                </w:p>
              </w:tc>
              <w:tc>
                <w:tcPr>
                  <w:tcW w:w="651" w:type="pct"/>
                  <w:shd w:val="clear" w:color="auto" w:fill="auto"/>
                  <w:noWrap w:val="0"/>
                  <w:vAlign w:val="center"/>
                </w:tcPr>
                <w:p w14:paraId="0B782D4C">
                  <w:pPr>
                    <w:keepNext w:val="0"/>
                    <w:keepLines w:val="0"/>
                    <w:widowControl/>
                    <w:suppressLineNumbers w:val="0"/>
                    <w:spacing w:before="0" w:beforeAutospacing="0" w:after="0" w:afterAutospacing="0" w:line="280" w:lineRule="exact"/>
                    <w:ind w:left="0" w:right="0"/>
                    <w:jc w:val="center"/>
                    <w:textAlignment w:val="center"/>
                    <w:rPr>
                      <w:rFonts w:hint="eastAsia" w:ascii="Times New Roman" w:hAnsi="Times New Roman" w:eastAsia="宋体" w:cs="Times New Roman"/>
                      <w:b w:val="0"/>
                      <w:bCs w:val="0"/>
                      <w:kern w:val="2"/>
                      <w:sz w:val="21"/>
                      <w:szCs w:val="21"/>
                      <w:highlight w:val="none"/>
                      <w:lang w:val="en-US" w:eastAsia="zh-CN" w:bidi="ar"/>
                    </w:rPr>
                  </w:pPr>
                  <w:r>
                    <w:rPr>
                      <w:rFonts w:hint="eastAsia" w:ascii="Times New Roman" w:hAnsi="Times New Roman" w:eastAsia="宋体" w:cs="Times New Roman"/>
                      <w:b w:val="0"/>
                      <w:bCs w:val="0"/>
                      <w:sz w:val="21"/>
                      <w:szCs w:val="21"/>
                      <w:highlight w:val="none"/>
                      <w:lang w:val="en-US" w:eastAsia="zh-CN" w:bidi="ar"/>
                    </w:rPr>
                    <w:t>H</w:t>
                  </w:r>
                  <w:r>
                    <w:rPr>
                      <w:rFonts w:hint="eastAsia" w:ascii="Times New Roman" w:hAnsi="Times New Roman" w:eastAsia="宋体" w:cs="Times New Roman"/>
                      <w:b w:val="0"/>
                      <w:bCs w:val="0"/>
                      <w:sz w:val="21"/>
                      <w:szCs w:val="21"/>
                      <w:highlight w:val="none"/>
                      <w:vertAlign w:val="subscript"/>
                      <w:lang w:val="en-US" w:eastAsia="zh-CN" w:bidi="ar"/>
                    </w:rPr>
                    <w:t>2</w:t>
                  </w:r>
                  <w:r>
                    <w:rPr>
                      <w:rFonts w:hint="eastAsia" w:ascii="Times New Roman" w:hAnsi="Times New Roman" w:eastAsia="宋体" w:cs="Times New Roman"/>
                      <w:b w:val="0"/>
                      <w:bCs w:val="0"/>
                      <w:sz w:val="21"/>
                      <w:szCs w:val="21"/>
                      <w:highlight w:val="none"/>
                      <w:lang w:val="en-US" w:eastAsia="zh-CN" w:bidi="ar"/>
                    </w:rPr>
                    <w:t>S</w:t>
                  </w:r>
                </w:p>
              </w:tc>
              <w:tc>
                <w:tcPr>
                  <w:tcW w:w="641" w:type="pct"/>
                  <w:noWrap w:val="0"/>
                  <w:vAlign w:val="center"/>
                </w:tcPr>
                <w:p w14:paraId="285B9EEC">
                  <w:pPr>
                    <w:keepNext w:val="0"/>
                    <w:keepLines w:val="0"/>
                    <w:widowControl/>
                    <w:suppressLineNumbers w:val="0"/>
                    <w:spacing w:before="0" w:beforeAutospacing="0" w:after="0" w:afterAutospacing="0"/>
                    <w:ind w:left="0" w:right="0"/>
                    <w:jc w:val="center"/>
                    <w:textAlignment w:val="center"/>
                    <w:rPr>
                      <w:rFonts w:hint="eastAsia" w:ascii="Times New Roman" w:hAnsi="Times New Roman" w:eastAsia="宋体" w:cs="Times New Roman"/>
                      <w:i w:val="0"/>
                      <w:iCs w:val="0"/>
                      <w:color w:val="000000"/>
                      <w:kern w:val="0"/>
                      <w:sz w:val="21"/>
                      <w:szCs w:val="21"/>
                      <w:highlight w:val="none"/>
                      <w:u w:val="none"/>
                      <w:lang w:val="en-US" w:eastAsia="zh-CN" w:bidi="ar"/>
                    </w:rPr>
                  </w:pPr>
                  <w:r>
                    <w:rPr>
                      <w:rFonts w:hint="eastAsia" w:ascii="Times New Roman" w:hAnsi="Times New Roman" w:eastAsia="宋体" w:cs="Times New Roman"/>
                      <w:i w:val="0"/>
                      <w:iCs w:val="0"/>
                      <w:color w:val="000000"/>
                      <w:kern w:val="0"/>
                      <w:sz w:val="21"/>
                      <w:szCs w:val="21"/>
                      <w:highlight w:val="none"/>
                      <w:u w:val="none"/>
                      <w:lang w:val="en-US" w:eastAsia="zh-CN" w:bidi="ar"/>
                    </w:rPr>
                    <w:t>0.002</w:t>
                  </w:r>
                </w:p>
              </w:tc>
              <w:tc>
                <w:tcPr>
                  <w:tcW w:w="706" w:type="pct"/>
                  <w:noWrap w:val="0"/>
                  <w:vAlign w:val="center"/>
                </w:tcPr>
                <w:p w14:paraId="66754829">
                  <w:pPr>
                    <w:keepNext w:val="0"/>
                    <w:keepLines w:val="0"/>
                    <w:widowControl/>
                    <w:suppressLineNumbers w:val="0"/>
                    <w:spacing w:before="0" w:beforeAutospacing="0" w:after="0" w:afterAutospacing="0"/>
                    <w:ind w:left="0" w:right="0"/>
                    <w:jc w:val="center"/>
                    <w:textAlignment w:val="center"/>
                    <w:rPr>
                      <w:rFonts w:hint="eastAsia" w:ascii="Times New Roman" w:hAnsi="Times New Roman" w:eastAsia="宋体" w:cs="Times New Roman"/>
                      <w:i w:val="0"/>
                      <w:iCs w:val="0"/>
                      <w:color w:val="000000"/>
                      <w:kern w:val="0"/>
                      <w:sz w:val="21"/>
                      <w:szCs w:val="21"/>
                      <w:highlight w:val="none"/>
                      <w:u w:val="none"/>
                      <w:lang w:val="en-US" w:eastAsia="zh-CN" w:bidi="ar"/>
                    </w:rPr>
                  </w:pPr>
                  <w:r>
                    <w:rPr>
                      <w:rFonts w:hint="eastAsia" w:ascii="Times New Roman" w:hAnsi="Times New Roman" w:eastAsia="宋体" w:cs="Times New Roman"/>
                      <w:i w:val="0"/>
                      <w:iCs w:val="0"/>
                      <w:color w:val="000000"/>
                      <w:kern w:val="0"/>
                      <w:sz w:val="21"/>
                      <w:szCs w:val="21"/>
                      <w:highlight w:val="none"/>
                      <w:u w:val="none"/>
                      <w:lang w:val="en-US" w:eastAsia="zh-CN" w:bidi="ar"/>
                    </w:rPr>
                    <w:t xml:space="preserve">~0 </w:t>
                  </w:r>
                </w:p>
              </w:tc>
              <w:tc>
                <w:tcPr>
                  <w:tcW w:w="635" w:type="pct"/>
                  <w:noWrap w:val="0"/>
                  <w:vAlign w:val="center"/>
                </w:tcPr>
                <w:p w14:paraId="7737728F">
                  <w:pPr>
                    <w:keepNext w:val="0"/>
                    <w:keepLines w:val="0"/>
                    <w:widowControl/>
                    <w:suppressLineNumbers w:val="0"/>
                    <w:spacing w:before="0" w:beforeAutospacing="0" w:after="0" w:afterAutospacing="0"/>
                    <w:ind w:left="0" w:right="0"/>
                    <w:jc w:val="center"/>
                    <w:textAlignment w:val="center"/>
                    <w:rPr>
                      <w:rFonts w:hint="eastAsia" w:ascii="Times New Roman" w:hAnsi="Times New Roman" w:eastAsia="宋体" w:cs="Times New Roman"/>
                      <w:i w:val="0"/>
                      <w:iCs w:val="0"/>
                      <w:color w:val="000000"/>
                      <w:kern w:val="0"/>
                      <w:sz w:val="21"/>
                      <w:szCs w:val="21"/>
                      <w:highlight w:val="none"/>
                      <w:u w:val="none"/>
                      <w:lang w:val="en-US" w:eastAsia="zh-CN" w:bidi="ar"/>
                    </w:rPr>
                  </w:pPr>
                  <w:r>
                    <w:rPr>
                      <w:rFonts w:hint="eastAsia" w:ascii="Times New Roman" w:hAnsi="Times New Roman" w:eastAsia="宋体" w:cs="Times New Roman"/>
                      <w:i w:val="0"/>
                      <w:iCs w:val="0"/>
                      <w:color w:val="000000"/>
                      <w:kern w:val="0"/>
                      <w:sz w:val="21"/>
                      <w:szCs w:val="21"/>
                      <w:highlight w:val="none"/>
                      <w:u w:val="none"/>
                      <w:lang w:val="en-US" w:eastAsia="zh-CN" w:bidi="ar"/>
                    </w:rPr>
                    <w:t xml:space="preserve">0.001 </w:t>
                  </w:r>
                </w:p>
              </w:tc>
              <w:tc>
                <w:tcPr>
                  <w:tcW w:w="719" w:type="pct"/>
                  <w:noWrap w:val="0"/>
                  <w:vAlign w:val="center"/>
                </w:tcPr>
                <w:p w14:paraId="1214D21B">
                  <w:pPr>
                    <w:keepNext w:val="0"/>
                    <w:keepLines w:val="0"/>
                    <w:widowControl/>
                    <w:suppressLineNumbers w:val="0"/>
                    <w:spacing w:before="0" w:beforeAutospacing="0" w:after="0" w:afterAutospacing="0"/>
                    <w:ind w:left="0" w:right="0"/>
                    <w:jc w:val="center"/>
                    <w:textAlignment w:val="center"/>
                    <w:rPr>
                      <w:rFonts w:hint="eastAsia" w:ascii="Times New Roman" w:hAnsi="Times New Roman" w:eastAsia="宋体" w:cs="Times New Roman"/>
                      <w:i w:val="0"/>
                      <w:iCs w:val="0"/>
                      <w:color w:val="000000"/>
                      <w:kern w:val="0"/>
                      <w:sz w:val="21"/>
                      <w:szCs w:val="21"/>
                      <w:highlight w:val="none"/>
                      <w:u w:val="none"/>
                      <w:lang w:val="en-US" w:eastAsia="zh-CN" w:bidi="ar"/>
                    </w:rPr>
                  </w:pPr>
                  <w:r>
                    <w:rPr>
                      <w:rFonts w:hint="eastAsia" w:ascii="Times New Roman" w:hAnsi="Times New Roman" w:eastAsia="宋体" w:cs="Times New Roman"/>
                      <w:i w:val="0"/>
                      <w:iCs w:val="0"/>
                      <w:color w:val="000000"/>
                      <w:kern w:val="0"/>
                      <w:sz w:val="21"/>
                      <w:szCs w:val="21"/>
                      <w:highlight w:val="none"/>
                      <w:u w:val="none"/>
                      <w:lang w:val="en-US" w:eastAsia="zh-CN" w:bidi="ar"/>
                    </w:rPr>
                    <w:t>~0</w:t>
                  </w:r>
                </w:p>
              </w:tc>
            </w:tr>
            <w:tr w14:paraId="2B307E5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470" w:type="pct"/>
                  <w:vMerge w:val="continue"/>
                  <w:noWrap w:val="0"/>
                  <w:vAlign w:val="center"/>
                </w:tcPr>
                <w:p w14:paraId="5C5E3A35">
                  <w:pPr>
                    <w:keepNext w:val="0"/>
                    <w:keepLines w:val="0"/>
                    <w:widowControl/>
                    <w:suppressLineNumbers w:val="0"/>
                    <w:spacing w:before="0" w:beforeAutospacing="0" w:after="0" w:afterAutospacing="0" w:line="280" w:lineRule="exact"/>
                    <w:ind w:left="0" w:right="0"/>
                    <w:jc w:val="center"/>
                    <w:textAlignment w:val="center"/>
                    <w:rPr>
                      <w:rFonts w:hint="eastAsia" w:ascii="Times New Roman" w:hAnsi="Times New Roman" w:eastAsia="宋体" w:cs="Times New Roman"/>
                      <w:b w:val="0"/>
                      <w:bCs w:val="0"/>
                      <w:sz w:val="21"/>
                      <w:szCs w:val="21"/>
                      <w:highlight w:val="none"/>
                      <w:lang w:val="en-US" w:eastAsia="zh-CN" w:bidi="ar"/>
                    </w:rPr>
                  </w:pPr>
                </w:p>
              </w:tc>
              <w:tc>
                <w:tcPr>
                  <w:tcW w:w="552" w:type="pct"/>
                  <w:vMerge w:val="continue"/>
                  <w:noWrap w:val="0"/>
                  <w:vAlign w:val="center"/>
                </w:tcPr>
                <w:p w14:paraId="24584656">
                  <w:pPr>
                    <w:keepNext w:val="0"/>
                    <w:keepLines w:val="0"/>
                    <w:widowControl/>
                    <w:suppressLineNumbers w:val="0"/>
                    <w:spacing w:before="0" w:beforeAutospacing="0" w:after="0" w:afterAutospacing="0" w:line="280" w:lineRule="exact"/>
                    <w:ind w:left="0" w:right="0"/>
                    <w:jc w:val="center"/>
                    <w:textAlignment w:val="center"/>
                    <w:rPr>
                      <w:rFonts w:hint="eastAsia" w:ascii="Times New Roman" w:hAnsi="Times New Roman" w:eastAsia="宋体" w:cs="Times New Roman"/>
                      <w:b w:val="0"/>
                      <w:bCs w:val="0"/>
                      <w:sz w:val="21"/>
                      <w:szCs w:val="21"/>
                      <w:highlight w:val="none"/>
                      <w:lang w:val="en-US" w:eastAsia="zh-CN" w:bidi="ar"/>
                    </w:rPr>
                  </w:pPr>
                </w:p>
              </w:tc>
              <w:tc>
                <w:tcPr>
                  <w:tcW w:w="623" w:type="pct"/>
                  <w:vMerge w:val="continue"/>
                  <w:shd w:val="clear" w:color="auto" w:fill="auto"/>
                  <w:noWrap w:val="0"/>
                  <w:vAlign w:val="center"/>
                </w:tcPr>
                <w:p w14:paraId="1B59A72A">
                  <w:pPr>
                    <w:keepNext w:val="0"/>
                    <w:keepLines w:val="0"/>
                    <w:widowControl/>
                    <w:suppressLineNumbers w:val="0"/>
                    <w:spacing w:before="0" w:beforeAutospacing="0" w:after="0" w:afterAutospacing="0" w:line="280" w:lineRule="exact"/>
                    <w:ind w:left="0" w:right="0"/>
                    <w:jc w:val="center"/>
                    <w:textAlignment w:val="center"/>
                    <w:rPr>
                      <w:rFonts w:hint="eastAsia" w:cs="Times New Roman"/>
                      <w:b w:val="0"/>
                      <w:bCs w:val="0"/>
                      <w:sz w:val="21"/>
                      <w:szCs w:val="21"/>
                      <w:highlight w:val="none"/>
                      <w:lang w:val="en-US" w:eastAsia="zh-CN" w:bidi="ar"/>
                    </w:rPr>
                  </w:pPr>
                </w:p>
              </w:tc>
              <w:tc>
                <w:tcPr>
                  <w:tcW w:w="651" w:type="pct"/>
                  <w:shd w:val="clear" w:color="auto" w:fill="auto"/>
                  <w:noWrap w:val="0"/>
                  <w:vAlign w:val="center"/>
                </w:tcPr>
                <w:p w14:paraId="5258783D">
                  <w:pPr>
                    <w:keepNext w:val="0"/>
                    <w:keepLines w:val="0"/>
                    <w:widowControl/>
                    <w:suppressLineNumbers w:val="0"/>
                    <w:spacing w:before="0" w:beforeAutospacing="0" w:after="0" w:afterAutospacing="0" w:line="280" w:lineRule="exact"/>
                    <w:ind w:left="0" w:right="0"/>
                    <w:jc w:val="center"/>
                    <w:textAlignment w:val="center"/>
                    <w:rPr>
                      <w:rFonts w:hint="eastAsia" w:ascii="Times New Roman" w:hAnsi="Times New Roman" w:eastAsia="宋体" w:cs="Times New Roman"/>
                      <w:b w:val="0"/>
                      <w:bCs w:val="0"/>
                      <w:sz w:val="21"/>
                      <w:szCs w:val="21"/>
                      <w:highlight w:val="none"/>
                      <w:lang w:val="en-US" w:eastAsia="zh-CN" w:bidi="ar"/>
                    </w:rPr>
                  </w:pPr>
                  <w:r>
                    <w:rPr>
                      <w:rFonts w:hint="eastAsia" w:cs="Times New Roman"/>
                      <w:b w:val="0"/>
                      <w:bCs w:val="0"/>
                      <w:sz w:val="21"/>
                      <w:szCs w:val="21"/>
                      <w:highlight w:val="none"/>
                      <w:lang w:val="en-US" w:eastAsia="zh-CN" w:bidi="ar"/>
                    </w:rPr>
                    <w:t>颗粒物</w:t>
                  </w:r>
                </w:p>
              </w:tc>
              <w:tc>
                <w:tcPr>
                  <w:tcW w:w="1348" w:type="pct"/>
                  <w:gridSpan w:val="2"/>
                  <w:noWrap w:val="0"/>
                  <w:vAlign w:val="center"/>
                </w:tcPr>
                <w:p w14:paraId="59749554">
                  <w:pPr>
                    <w:keepNext w:val="0"/>
                    <w:keepLines w:val="0"/>
                    <w:widowControl/>
                    <w:suppressLineNumbers w:val="0"/>
                    <w:spacing w:before="0" w:beforeAutospacing="0" w:after="0" w:afterAutospacing="0"/>
                    <w:ind w:left="0" w:leftChars="0" w:right="0" w:rightChars="0"/>
                    <w:jc w:val="center"/>
                    <w:textAlignment w:val="center"/>
                    <w:rPr>
                      <w:rFonts w:hint="eastAsia" w:ascii="Times New Roman" w:hAnsi="Times New Roman" w:eastAsia="宋体" w:cs="Times New Roman"/>
                      <w:i w:val="0"/>
                      <w:iCs w:val="0"/>
                      <w:color w:val="000000"/>
                      <w:kern w:val="0"/>
                      <w:sz w:val="21"/>
                      <w:szCs w:val="21"/>
                      <w:highlight w:val="none"/>
                      <w:u w:val="none"/>
                      <w:lang w:val="en-US" w:eastAsia="zh-CN" w:bidi="ar"/>
                    </w:rPr>
                  </w:pPr>
                  <w:r>
                    <w:rPr>
                      <w:rFonts w:hint="eastAsia" w:cs="Times New Roman"/>
                      <w:i w:val="0"/>
                      <w:iCs w:val="0"/>
                      <w:color w:val="000000"/>
                      <w:kern w:val="0"/>
                      <w:sz w:val="21"/>
                      <w:szCs w:val="21"/>
                      <w:highlight w:val="none"/>
                      <w:u w:val="none"/>
                      <w:lang w:val="en-US" w:eastAsia="zh-CN" w:bidi="ar"/>
                    </w:rPr>
                    <w:t>少量</w:t>
                  </w:r>
                </w:p>
              </w:tc>
              <w:tc>
                <w:tcPr>
                  <w:tcW w:w="1354" w:type="pct"/>
                  <w:gridSpan w:val="2"/>
                  <w:noWrap w:val="0"/>
                  <w:vAlign w:val="center"/>
                </w:tcPr>
                <w:p w14:paraId="3F175A0D">
                  <w:pPr>
                    <w:keepNext w:val="0"/>
                    <w:keepLines w:val="0"/>
                    <w:widowControl/>
                    <w:suppressLineNumbers w:val="0"/>
                    <w:spacing w:before="0" w:beforeAutospacing="0" w:after="0" w:afterAutospacing="0"/>
                    <w:ind w:left="0" w:leftChars="0" w:right="0" w:rightChars="0"/>
                    <w:jc w:val="center"/>
                    <w:textAlignment w:val="center"/>
                    <w:rPr>
                      <w:rFonts w:hint="eastAsia" w:ascii="Times New Roman" w:hAnsi="Times New Roman" w:eastAsia="宋体" w:cs="Times New Roman"/>
                      <w:i w:val="0"/>
                      <w:iCs w:val="0"/>
                      <w:color w:val="000000"/>
                      <w:kern w:val="0"/>
                      <w:sz w:val="21"/>
                      <w:szCs w:val="21"/>
                      <w:highlight w:val="none"/>
                      <w:u w:val="none"/>
                      <w:lang w:val="en-US" w:eastAsia="zh-CN" w:bidi="ar"/>
                    </w:rPr>
                  </w:pPr>
                  <w:r>
                    <w:rPr>
                      <w:rFonts w:hint="eastAsia" w:cs="Times New Roman"/>
                      <w:i w:val="0"/>
                      <w:iCs w:val="0"/>
                      <w:color w:val="000000"/>
                      <w:kern w:val="0"/>
                      <w:sz w:val="21"/>
                      <w:szCs w:val="21"/>
                      <w:highlight w:val="none"/>
                      <w:u w:val="none"/>
                      <w:lang w:val="en-US" w:eastAsia="zh-CN" w:bidi="ar"/>
                    </w:rPr>
                    <w:t>少量</w:t>
                  </w:r>
                </w:p>
              </w:tc>
            </w:tr>
            <w:tr w14:paraId="1063F5C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470" w:type="pct"/>
                  <w:vMerge w:val="continue"/>
                  <w:noWrap w:val="0"/>
                  <w:vAlign w:val="center"/>
                </w:tcPr>
                <w:p w14:paraId="2CDFDADE">
                  <w:pPr>
                    <w:keepNext w:val="0"/>
                    <w:keepLines w:val="0"/>
                    <w:widowControl/>
                    <w:suppressLineNumbers w:val="0"/>
                    <w:spacing w:before="0" w:beforeAutospacing="0" w:after="0" w:afterAutospacing="0" w:line="280" w:lineRule="exact"/>
                    <w:ind w:left="0" w:right="0"/>
                    <w:jc w:val="center"/>
                    <w:textAlignment w:val="center"/>
                    <w:rPr>
                      <w:rFonts w:hint="eastAsia" w:ascii="Times New Roman" w:hAnsi="Times New Roman" w:eastAsia="宋体" w:cs="Times New Roman"/>
                      <w:b w:val="0"/>
                      <w:bCs w:val="0"/>
                      <w:sz w:val="21"/>
                      <w:szCs w:val="21"/>
                      <w:highlight w:val="none"/>
                      <w:lang w:val="en-US" w:eastAsia="zh-CN" w:bidi="ar"/>
                    </w:rPr>
                  </w:pPr>
                </w:p>
              </w:tc>
              <w:tc>
                <w:tcPr>
                  <w:tcW w:w="552" w:type="pct"/>
                  <w:vMerge w:val="continue"/>
                  <w:noWrap w:val="0"/>
                  <w:vAlign w:val="center"/>
                </w:tcPr>
                <w:p w14:paraId="2BD1CE7A">
                  <w:pPr>
                    <w:keepNext w:val="0"/>
                    <w:keepLines w:val="0"/>
                    <w:widowControl/>
                    <w:suppressLineNumbers w:val="0"/>
                    <w:spacing w:before="0" w:beforeAutospacing="0" w:after="0" w:afterAutospacing="0" w:line="280" w:lineRule="exact"/>
                    <w:ind w:left="0" w:right="0"/>
                    <w:jc w:val="center"/>
                    <w:textAlignment w:val="center"/>
                    <w:rPr>
                      <w:rFonts w:hint="eastAsia" w:ascii="Times New Roman" w:hAnsi="Times New Roman" w:eastAsia="宋体" w:cs="Times New Roman"/>
                      <w:b w:val="0"/>
                      <w:bCs w:val="0"/>
                      <w:sz w:val="21"/>
                      <w:szCs w:val="21"/>
                      <w:highlight w:val="none"/>
                      <w:lang w:val="en-US" w:eastAsia="zh-CN" w:bidi="ar"/>
                    </w:rPr>
                  </w:pPr>
                </w:p>
              </w:tc>
              <w:tc>
                <w:tcPr>
                  <w:tcW w:w="623" w:type="pct"/>
                  <w:vMerge w:val="restart"/>
                  <w:shd w:val="clear" w:color="auto" w:fill="auto"/>
                  <w:noWrap w:val="0"/>
                  <w:vAlign w:val="center"/>
                </w:tcPr>
                <w:p w14:paraId="5FF80652">
                  <w:pPr>
                    <w:keepNext w:val="0"/>
                    <w:keepLines w:val="0"/>
                    <w:widowControl/>
                    <w:suppressLineNumbers w:val="0"/>
                    <w:spacing w:before="0" w:beforeAutospacing="0" w:after="0" w:afterAutospacing="0" w:line="280" w:lineRule="exact"/>
                    <w:ind w:left="0" w:right="0"/>
                    <w:jc w:val="center"/>
                    <w:textAlignment w:val="center"/>
                    <w:rPr>
                      <w:rFonts w:hint="eastAsia" w:cs="Times New Roman"/>
                      <w:b w:val="0"/>
                      <w:bCs w:val="0"/>
                      <w:sz w:val="21"/>
                      <w:szCs w:val="21"/>
                      <w:highlight w:val="none"/>
                      <w:lang w:val="en-US" w:eastAsia="zh-CN" w:bidi="ar"/>
                    </w:rPr>
                  </w:pPr>
                  <w:r>
                    <w:rPr>
                      <w:rFonts w:hint="eastAsia" w:cs="Times New Roman"/>
                      <w:b w:val="0"/>
                      <w:bCs w:val="0"/>
                      <w:sz w:val="21"/>
                      <w:szCs w:val="21"/>
                      <w:highlight w:val="none"/>
                      <w:lang w:val="en-US" w:eastAsia="zh-CN" w:bidi="ar"/>
                    </w:rPr>
                    <w:t>无组织</w:t>
                  </w:r>
                </w:p>
              </w:tc>
              <w:tc>
                <w:tcPr>
                  <w:tcW w:w="651" w:type="pct"/>
                  <w:shd w:val="clear" w:color="auto" w:fill="auto"/>
                  <w:noWrap w:val="0"/>
                  <w:vAlign w:val="center"/>
                </w:tcPr>
                <w:p w14:paraId="271261FD">
                  <w:pPr>
                    <w:keepNext w:val="0"/>
                    <w:keepLines w:val="0"/>
                    <w:widowControl/>
                    <w:suppressLineNumbers w:val="0"/>
                    <w:spacing w:before="0" w:beforeAutospacing="0" w:after="0" w:afterAutospacing="0" w:line="280" w:lineRule="exact"/>
                    <w:ind w:left="0" w:right="0"/>
                    <w:jc w:val="center"/>
                    <w:textAlignment w:val="center"/>
                    <w:rPr>
                      <w:rFonts w:hint="eastAsia" w:ascii="Times New Roman" w:hAnsi="Times New Roman" w:eastAsia="宋体" w:cs="Times New Roman"/>
                      <w:b w:val="0"/>
                      <w:bCs w:val="0"/>
                      <w:kern w:val="2"/>
                      <w:sz w:val="21"/>
                      <w:szCs w:val="21"/>
                      <w:highlight w:val="none"/>
                      <w:lang w:val="en-US" w:eastAsia="zh-CN" w:bidi="ar"/>
                    </w:rPr>
                  </w:pPr>
                  <w:r>
                    <w:rPr>
                      <w:rFonts w:hint="eastAsia" w:ascii="Times New Roman" w:hAnsi="Times New Roman" w:eastAsia="宋体" w:cs="Times New Roman"/>
                      <w:b w:val="0"/>
                      <w:bCs w:val="0"/>
                      <w:sz w:val="21"/>
                      <w:szCs w:val="21"/>
                      <w:highlight w:val="none"/>
                      <w:lang w:val="en-US" w:eastAsia="zh-CN" w:bidi="ar"/>
                    </w:rPr>
                    <w:t>NH</w:t>
                  </w:r>
                  <w:r>
                    <w:rPr>
                      <w:rFonts w:hint="eastAsia" w:ascii="Times New Roman" w:hAnsi="Times New Roman" w:eastAsia="宋体" w:cs="Times New Roman"/>
                      <w:b w:val="0"/>
                      <w:bCs w:val="0"/>
                      <w:sz w:val="21"/>
                      <w:szCs w:val="21"/>
                      <w:highlight w:val="none"/>
                      <w:vertAlign w:val="subscript"/>
                      <w:lang w:val="en-US" w:eastAsia="zh-CN" w:bidi="ar"/>
                    </w:rPr>
                    <w:t>3</w:t>
                  </w:r>
                </w:p>
              </w:tc>
              <w:tc>
                <w:tcPr>
                  <w:tcW w:w="641" w:type="pct"/>
                  <w:noWrap w:val="0"/>
                  <w:vAlign w:val="center"/>
                </w:tcPr>
                <w:p w14:paraId="49FB4936">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kern w:val="0"/>
                      <w:sz w:val="21"/>
                      <w:szCs w:val="21"/>
                      <w:highlight w:val="none"/>
                      <w:u w:val="none"/>
                      <w:lang w:val="en-US" w:eastAsia="zh-CN" w:bidi="ar"/>
                    </w:rPr>
                  </w:pPr>
                  <w:r>
                    <w:rPr>
                      <w:rFonts w:hint="eastAsia" w:ascii="Times New Roman" w:hAnsi="Times New Roman" w:eastAsia="宋体" w:cs="Times New Roman"/>
                      <w:i w:val="0"/>
                      <w:iCs w:val="0"/>
                      <w:color w:val="000000"/>
                      <w:kern w:val="0"/>
                      <w:sz w:val="21"/>
                      <w:szCs w:val="21"/>
                      <w:highlight w:val="none"/>
                      <w:u w:val="none"/>
                      <w:lang w:val="en-US" w:eastAsia="zh-CN" w:bidi="ar"/>
                    </w:rPr>
                    <w:t xml:space="preserve">0.001 </w:t>
                  </w:r>
                </w:p>
              </w:tc>
              <w:tc>
                <w:tcPr>
                  <w:tcW w:w="706" w:type="pct"/>
                  <w:noWrap w:val="0"/>
                  <w:vAlign w:val="center"/>
                </w:tcPr>
                <w:p w14:paraId="48CE1A3D">
                  <w:pPr>
                    <w:keepNext w:val="0"/>
                    <w:keepLines w:val="0"/>
                    <w:widowControl/>
                    <w:suppressLineNumbers w:val="0"/>
                    <w:spacing w:before="0" w:beforeAutospacing="0" w:after="0" w:afterAutospacing="0"/>
                    <w:ind w:left="0" w:right="0"/>
                    <w:jc w:val="center"/>
                    <w:textAlignment w:val="center"/>
                    <w:rPr>
                      <w:rFonts w:hint="eastAsia" w:ascii="Times New Roman" w:hAnsi="Times New Roman" w:eastAsia="宋体" w:cs="Times New Roman"/>
                      <w:i w:val="0"/>
                      <w:iCs w:val="0"/>
                      <w:color w:val="000000"/>
                      <w:kern w:val="0"/>
                      <w:sz w:val="21"/>
                      <w:szCs w:val="21"/>
                      <w:highlight w:val="none"/>
                      <w:u w:val="none"/>
                      <w:lang w:val="en-US" w:eastAsia="zh-CN" w:bidi="ar"/>
                    </w:rPr>
                  </w:pPr>
                  <w:r>
                    <w:rPr>
                      <w:rFonts w:hint="eastAsia" w:ascii="Times New Roman" w:hAnsi="Times New Roman" w:eastAsia="宋体" w:cs="Times New Roman"/>
                      <w:i w:val="0"/>
                      <w:iCs w:val="0"/>
                      <w:color w:val="000000"/>
                      <w:kern w:val="0"/>
                      <w:sz w:val="21"/>
                      <w:szCs w:val="21"/>
                      <w:highlight w:val="none"/>
                      <w:u w:val="none"/>
                      <w:lang w:val="en-US" w:eastAsia="zh-CN" w:bidi="ar"/>
                    </w:rPr>
                    <w:t xml:space="preserve">~0 </w:t>
                  </w:r>
                </w:p>
              </w:tc>
              <w:tc>
                <w:tcPr>
                  <w:tcW w:w="635" w:type="pct"/>
                  <w:noWrap w:val="0"/>
                  <w:vAlign w:val="center"/>
                </w:tcPr>
                <w:p w14:paraId="2210BC97">
                  <w:pPr>
                    <w:keepNext w:val="0"/>
                    <w:keepLines w:val="0"/>
                    <w:widowControl/>
                    <w:suppressLineNumbers w:val="0"/>
                    <w:spacing w:before="0" w:beforeAutospacing="0" w:after="0" w:afterAutospacing="0"/>
                    <w:ind w:left="0" w:right="0"/>
                    <w:jc w:val="center"/>
                    <w:textAlignment w:val="center"/>
                    <w:rPr>
                      <w:rFonts w:hint="eastAsia" w:ascii="Times New Roman" w:hAnsi="Times New Roman" w:eastAsia="宋体" w:cs="Times New Roman"/>
                      <w:i w:val="0"/>
                      <w:iCs w:val="0"/>
                      <w:color w:val="000000"/>
                      <w:kern w:val="0"/>
                      <w:sz w:val="21"/>
                      <w:szCs w:val="21"/>
                      <w:highlight w:val="none"/>
                      <w:u w:val="none"/>
                      <w:lang w:val="en-US" w:eastAsia="zh-CN" w:bidi="ar"/>
                    </w:rPr>
                  </w:pPr>
                  <w:r>
                    <w:rPr>
                      <w:rFonts w:hint="eastAsia" w:ascii="Times New Roman" w:hAnsi="Times New Roman" w:eastAsia="宋体" w:cs="Times New Roman"/>
                      <w:i w:val="0"/>
                      <w:iCs w:val="0"/>
                      <w:color w:val="000000"/>
                      <w:kern w:val="0"/>
                      <w:sz w:val="21"/>
                      <w:szCs w:val="21"/>
                      <w:highlight w:val="none"/>
                      <w:u w:val="none"/>
                      <w:lang w:val="en-US" w:eastAsia="zh-CN" w:bidi="ar"/>
                    </w:rPr>
                    <w:t xml:space="preserve">0.001 </w:t>
                  </w:r>
                </w:p>
              </w:tc>
              <w:tc>
                <w:tcPr>
                  <w:tcW w:w="719" w:type="pct"/>
                  <w:noWrap w:val="0"/>
                  <w:vAlign w:val="center"/>
                </w:tcPr>
                <w:p w14:paraId="7AE259BA">
                  <w:pPr>
                    <w:keepNext w:val="0"/>
                    <w:keepLines w:val="0"/>
                    <w:widowControl/>
                    <w:suppressLineNumbers w:val="0"/>
                    <w:spacing w:before="0" w:beforeAutospacing="0" w:after="0" w:afterAutospacing="0"/>
                    <w:ind w:left="0" w:right="0"/>
                    <w:jc w:val="center"/>
                    <w:textAlignment w:val="center"/>
                    <w:rPr>
                      <w:rFonts w:hint="eastAsia" w:ascii="Times New Roman" w:hAnsi="Times New Roman" w:eastAsia="宋体" w:cs="Times New Roman"/>
                      <w:i w:val="0"/>
                      <w:iCs w:val="0"/>
                      <w:color w:val="000000"/>
                      <w:kern w:val="0"/>
                      <w:sz w:val="21"/>
                      <w:szCs w:val="21"/>
                      <w:highlight w:val="none"/>
                      <w:u w:val="none"/>
                      <w:lang w:val="en-US" w:eastAsia="zh-CN" w:bidi="ar"/>
                    </w:rPr>
                  </w:pPr>
                  <w:r>
                    <w:rPr>
                      <w:rFonts w:hint="eastAsia" w:ascii="Times New Roman" w:hAnsi="Times New Roman" w:eastAsia="宋体" w:cs="Times New Roman"/>
                      <w:i w:val="0"/>
                      <w:iCs w:val="0"/>
                      <w:color w:val="000000"/>
                      <w:kern w:val="0"/>
                      <w:sz w:val="21"/>
                      <w:szCs w:val="21"/>
                      <w:highlight w:val="none"/>
                      <w:u w:val="none"/>
                      <w:lang w:val="en-US" w:eastAsia="zh-CN" w:bidi="ar"/>
                    </w:rPr>
                    <w:t xml:space="preserve">~0 </w:t>
                  </w:r>
                </w:p>
              </w:tc>
            </w:tr>
            <w:tr w14:paraId="1DD841B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470" w:type="pct"/>
                  <w:vMerge w:val="continue"/>
                  <w:noWrap w:val="0"/>
                  <w:vAlign w:val="center"/>
                </w:tcPr>
                <w:p w14:paraId="73777EE7">
                  <w:pPr>
                    <w:keepNext w:val="0"/>
                    <w:keepLines w:val="0"/>
                    <w:widowControl/>
                    <w:suppressLineNumbers w:val="0"/>
                    <w:spacing w:before="0" w:beforeAutospacing="0" w:after="0" w:afterAutospacing="0" w:line="280" w:lineRule="exact"/>
                    <w:ind w:left="0" w:right="0"/>
                    <w:jc w:val="center"/>
                    <w:textAlignment w:val="center"/>
                    <w:rPr>
                      <w:rFonts w:hint="eastAsia" w:ascii="Times New Roman" w:hAnsi="Times New Roman" w:eastAsia="宋体" w:cs="Times New Roman"/>
                      <w:b w:val="0"/>
                      <w:bCs w:val="0"/>
                      <w:sz w:val="21"/>
                      <w:szCs w:val="21"/>
                      <w:highlight w:val="none"/>
                      <w:lang w:val="en-US" w:eastAsia="zh-CN" w:bidi="ar"/>
                    </w:rPr>
                  </w:pPr>
                </w:p>
              </w:tc>
              <w:tc>
                <w:tcPr>
                  <w:tcW w:w="552" w:type="pct"/>
                  <w:vMerge w:val="continue"/>
                  <w:noWrap w:val="0"/>
                  <w:vAlign w:val="center"/>
                </w:tcPr>
                <w:p w14:paraId="245231FD">
                  <w:pPr>
                    <w:keepNext w:val="0"/>
                    <w:keepLines w:val="0"/>
                    <w:widowControl/>
                    <w:suppressLineNumbers w:val="0"/>
                    <w:spacing w:before="0" w:beforeAutospacing="0" w:after="0" w:afterAutospacing="0" w:line="280" w:lineRule="exact"/>
                    <w:ind w:left="0" w:right="0"/>
                    <w:jc w:val="center"/>
                    <w:textAlignment w:val="center"/>
                    <w:rPr>
                      <w:rFonts w:hint="eastAsia" w:ascii="Times New Roman" w:hAnsi="Times New Roman" w:eastAsia="宋体" w:cs="Times New Roman"/>
                      <w:b w:val="0"/>
                      <w:bCs w:val="0"/>
                      <w:sz w:val="21"/>
                      <w:szCs w:val="21"/>
                      <w:highlight w:val="none"/>
                      <w:lang w:val="en-US" w:eastAsia="zh-CN" w:bidi="ar"/>
                    </w:rPr>
                  </w:pPr>
                </w:p>
              </w:tc>
              <w:tc>
                <w:tcPr>
                  <w:tcW w:w="623" w:type="pct"/>
                  <w:vMerge w:val="continue"/>
                  <w:shd w:val="clear" w:color="auto" w:fill="auto"/>
                  <w:noWrap w:val="0"/>
                  <w:vAlign w:val="center"/>
                </w:tcPr>
                <w:p w14:paraId="3B4764E7">
                  <w:pPr>
                    <w:keepNext w:val="0"/>
                    <w:keepLines w:val="0"/>
                    <w:widowControl/>
                    <w:suppressLineNumbers w:val="0"/>
                    <w:spacing w:before="0" w:beforeAutospacing="0" w:after="0" w:afterAutospacing="0" w:line="280" w:lineRule="exact"/>
                    <w:ind w:left="0" w:right="0"/>
                    <w:jc w:val="center"/>
                    <w:textAlignment w:val="center"/>
                    <w:rPr>
                      <w:rFonts w:hint="eastAsia" w:cs="Times New Roman"/>
                      <w:b w:val="0"/>
                      <w:bCs w:val="0"/>
                      <w:sz w:val="21"/>
                      <w:szCs w:val="21"/>
                      <w:highlight w:val="none"/>
                      <w:lang w:val="en-US" w:eastAsia="zh-CN" w:bidi="ar"/>
                    </w:rPr>
                  </w:pPr>
                </w:p>
              </w:tc>
              <w:tc>
                <w:tcPr>
                  <w:tcW w:w="651" w:type="pct"/>
                  <w:shd w:val="clear" w:color="auto" w:fill="auto"/>
                  <w:noWrap w:val="0"/>
                  <w:vAlign w:val="center"/>
                </w:tcPr>
                <w:p w14:paraId="3883E93F">
                  <w:pPr>
                    <w:keepNext w:val="0"/>
                    <w:keepLines w:val="0"/>
                    <w:widowControl/>
                    <w:suppressLineNumbers w:val="0"/>
                    <w:spacing w:before="0" w:beforeAutospacing="0" w:after="0" w:afterAutospacing="0" w:line="280" w:lineRule="exact"/>
                    <w:ind w:left="0" w:right="0"/>
                    <w:jc w:val="center"/>
                    <w:textAlignment w:val="center"/>
                    <w:rPr>
                      <w:rFonts w:hint="eastAsia" w:ascii="Times New Roman" w:hAnsi="Times New Roman" w:eastAsia="宋体" w:cs="Times New Roman"/>
                      <w:b w:val="0"/>
                      <w:bCs w:val="0"/>
                      <w:kern w:val="2"/>
                      <w:sz w:val="21"/>
                      <w:szCs w:val="21"/>
                      <w:highlight w:val="none"/>
                      <w:lang w:val="en-US" w:eastAsia="zh-CN" w:bidi="ar"/>
                    </w:rPr>
                  </w:pPr>
                  <w:r>
                    <w:rPr>
                      <w:rFonts w:hint="eastAsia" w:ascii="Times New Roman" w:hAnsi="Times New Roman" w:eastAsia="宋体" w:cs="Times New Roman"/>
                      <w:b w:val="0"/>
                      <w:bCs w:val="0"/>
                      <w:sz w:val="21"/>
                      <w:szCs w:val="21"/>
                      <w:highlight w:val="none"/>
                      <w:lang w:val="en-US" w:eastAsia="zh-CN" w:bidi="ar"/>
                    </w:rPr>
                    <w:t>H</w:t>
                  </w:r>
                  <w:r>
                    <w:rPr>
                      <w:rFonts w:hint="eastAsia" w:ascii="Times New Roman" w:hAnsi="Times New Roman" w:eastAsia="宋体" w:cs="Times New Roman"/>
                      <w:b w:val="0"/>
                      <w:bCs w:val="0"/>
                      <w:sz w:val="21"/>
                      <w:szCs w:val="21"/>
                      <w:highlight w:val="none"/>
                      <w:vertAlign w:val="subscript"/>
                      <w:lang w:val="en-US" w:eastAsia="zh-CN" w:bidi="ar"/>
                    </w:rPr>
                    <w:t>2</w:t>
                  </w:r>
                  <w:r>
                    <w:rPr>
                      <w:rFonts w:hint="eastAsia" w:ascii="Times New Roman" w:hAnsi="Times New Roman" w:eastAsia="宋体" w:cs="Times New Roman"/>
                      <w:b w:val="0"/>
                      <w:bCs w:val="0"/>
                      <w:sz w:val="21"/>
                      <w:szCs w:val="21"/>
                      <w:highlight w:val="none"/>
                      <w:lang w:val="en-US" w:eastAsia="zh-CN" w:bidi="ar"/>
                    </w:rPr>
                    <w:t>S</w:t>
                  </w:r>
                </w:p>
              </w:tc>
              <w:tc>
                <w:tcPr>
                  <w:tcW w:w="641" w:type="pct"/>
                  <w:noWrap w:val="0"/>
                  <w:vAlign w:val="center"/>
                </w:tcPr>
                <w:p w14:paraId="5F32E85C">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kern w:val="0"/>
                      <w:sz w:val="21"/>
                      <w:szCs w:val="21"/>
                      <w:highlight w:val="none"/>
                      <w:u w:val="none"/>
                      <w:lang w:val="en-US" w:eastAsia="zh-CN" w:bidi="ar"/>
                    </w:rPr>
                  </w:pPr>
                  <w:r>
                    <w:rPr>
                      <w:rFonts w:hint="eastAsia" w:ascii="Times New Roman" w:hAnsi="Times New Roman" w:eastAsia="宋体" w:cs="Times New Roman"/>
                      <w:i w:val="0"/>
                      <w:iCs w:val="0"/>
                      <w:color w:val="000000"/>
                      <w:kern w:val="0"/>
                      <w:sz w:val="21"/>
                      <w:szCs w:val="21"/>
                      <w:highlight w:val="none"/>
                      <w:u w:val="none"/>
                      <w:lang w:val="en-US" w:eastAsia="zh-CN" w:bidi="ar"/>
                    </w:rPr>
                    <w:t>~0</w:t>
                  </w:r>
                </w:p>
              </w:tc>
              <w:tc>
                <w:tcPr>
                  <w:tcW w:w="706" w:type="pct"/>
                  <w:noWrap w:val="0"/>
                  <w:vAlign w:val="center"/>
                </w:tcPr>
                <w:p w14:paraId="629DF2D5">
                  <w:pPr>
                    <w:keepNext w:val="0"/>
                    <w:keepLines w:val="0"/>
                    <w:widowControl/>
                    <w:suppressLineNumbers w:val="0"/>
                    <w:spacing w:before="0" w:beforeAutospacing="0" w:after="0" w:afterAutospacing="0"/>
                    <w:ind w:left="0" w:right="0"/>
                    <w:jc w:val="center"/>
                    <w:textAlignment w:val="center"/>
                    <w:rPr>
                      <w:rFonts w:hint="eastAsia" w:ascii="Times New Roman" w:hAnsi="Times New Roman" w:eastAsia="宋体" w:cs="Times New Roman"/>
                      <w:i w:val="0"/>
                      <w:iCs w:val="0"/>
                      <w:color w:val="000000"/>
                      <w:kern w:val="0"/>
                      <w:sz w:val="21"/>
                      <w:szCs w:val="21"/>
                      <w:highlight w:val="none"/>
                      <w:u w:val="none"/>
                      <w:lang w:val="en-US" w:eastAsia="zh-CN" w:bidi="ar"/>
                    </w:rPr>
                  </w:pPr>
                  <w:r>
                    <w:rPr>
                      <w:rFonts w:hint="eastAsia" w:ascii="Times New Roman" w:hAnsi="Times New Roman" w:eastAsia="宋体" w:cs="Times New Roman"/>
                      <w:i w:val="0"/>
                      <w:iCs w:val="0"/>
                      <w:color w:val="000000"/>
                      <w:kern w:val="0"/>
                      <w:sz w:val="21"/>
                      <w:szCs w:val="21"/>
                      <w:highlight w:val="none"/>
                      <w:u w:val="none"/>
                      <w:lang w:val="en-US" w:eastAsia="zh-CN" w:bidi="ar"/>
                    </w:rPr>
                    <w:t>~0</w:t>
                  </w:r>
                </w:p>
              </w:tc>
              <w:tc>
                <w:tcPr>
                  <w:tcW w:w="635" w:type="pct"/>
                  <w:noWrap w:val="0"/>
                  <w:vAlign w:val="center"/>
                </w:tcPr>
                <w:p w14:paraId="016BA1C3">
                  <w:pPr>
                    <w:keepNext w:val="0"/>
                    <w:keepLines w:val="0"/>
                    <w:widowControl/>
                    <w:suppressLineNumbers w:val="0"/>
                    <w:spacing w:before="0" w:beforeAutospacing="0" w:after="0" w:afterAutospacing="0"/>
                    <w:ind w:left="0" w:right="0"/>
                    <w:jc w:val="center"/>
                    <w:textAlignment w:val="center"/>
                    <w:rPr>
                      <w:rFonts w:hint="eastAsia" w:ascii="Times New Roman" w:hAnsi="Times New Roman" w:eastAsia="宋体" w:cs="Times New Roman"/>
                      <w:i w:val="0"/>
                      <w:iCs w:val="0"/>
                      <w:color w:val="000000"/>
                      <w:kern w:val="0"/>
                      <w:sz w:val="21"/>
                      <w:szCs w:val="21"/>
                      <w:highlight w:val="none"/>
                      <w:u w:val="none"/>
                      <w:lang w:val="en-US" w:eastAsia="zh-CN" w:bidi="ar"/>
                    </w:rPr>
                  </w:pPr>
                  <w:r>
                    <w:rPr>
                      <w:rFonts w:hint="eastAsia" w:ascii="Times New Roman" w:hAnsi="Times New Roman" w:eastAsia="宋体" w:cs="Times New Roman"/>
                      <w:i w:val="0"/>
                      <w:iCs w:val="0"/>
                      <w:color w:val="000000"/>
                      <w:kern w:val="0"/>
                      <w:sz w:val="21"/>
                      <w:szCs w:val="21"/>
                      <w:highlight w:val="none"/>
                      <w:u w:val="none"/>
                      <w:lang w:val="en-US" w:eastAsia="zh-CN" w:bidi="ar"/>
                    </w:rPr>
                    <w:t>~0</w:t>
                  </w:r>
                </w:p>
              </w:tc>
              <w:tc>
                <w:tcPr>
                  <w:tcW w:w="719" w:type="pct"/>
                  <w:noWrap w:val="0"/>
                  <w:vAlign w:val="center"/>
                </w:tcPr>
                <w:p w14:paraId="05BFA0A6">
                  <w:pPr>
                    <w:keepNext w:val="0"/>
                    <w:keepLines w:val="0"/>
                    <w:widowControl/>
                    <w:suppressLineNumbers w:val="0"/>
                    <w:spacing w:before="0" w:beforeAutospacing="0" w:after="0" w:afterAutospacing="0"/>
                    <w:ind w:left="0" w:right="0"/>
                    <w:jc w:val="center"/>
                    <w:textAlignment w:val="center"/>
                    <w:rPr>
                      <w:rFonts w:hint="eastAsia" w:ascii="Times New Roman" w:hAnsi="Times New Roman" w:eastAsia="宋体" w:cs="Times New Roman"/>
                      <w:i w:val="0"/>
                      <w:iCs w:val="0"/>
                      <w:color w:val="000000"/>
                      <w:kern w:val="0"/>
                      <w:sz w:val="21"/>
                      <w:szCs w:val="21"/>
                      <w:highlight w:val="none"/>
                      <w:u w:val="none"/>
                      <w:lang w:val="en-US" w:eastAsia="zh-CN" w:bidi="ar"/>
                    </w:rPr>
                  </w:pPr>
                  <w:r>
                    <w:rPr>
                      <w:rFonts w:hint="eastAsia" w:ascii="Times New Roman" w:hAnsi="Times New Roman" w:eastAsia="宋体" w:cs="Times New Roman"/>
                      <w:i w:val="0"/>
                      <w:iCs w:val="0"/>
                      <w:color w:val="000000"/>
                      <w:kern w:val="0"/>
                      <w:sz w:val="21"/>
                      <w:szCs w:val="21"/>
                      <w:highlight w:val="none"/>
                      <w:u w:val="none"/>
                      <w:lang w:val="en-US" w:eastAsia="zh-CN" w:bidi="ar"/>
                    </w:rPr>
                    <w:t>~0</w:t>
                  </w:r>
                </w:p>
              </w:tc>
            </w:tr>
            <w:tr w14:paraId="1389C18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470" w:type="pct"/>
                  <w:vMerge w:val="continue"/>
                  <w:noWrap w:val="0"/>
                  <w:vAlign w:val="center"/>
                </w:tcPr>
                <w:p w14:paraId="40F638AF">
                  <w:pPr>
                    <w:keepNext w:val="0"/>
                    <w:keepLines w:val="0"/>
                    <w:widowControl/>
                    <w:suppressLineNumbers w:val="0"/>
                    <w:spacing w:before="0" w:beforeAutospacing="0" w:after="0" w:afterAutospacing="0" w:line="280" w:lineRule="exact"/>
                    <w:ind w:left="0" w:right="0"/>
                    <w:jc w:val="center"/>
                    <w:textAlignment w:val="center"/>
                    <w:rPr>
                      <w:rFonts w:hint="eastAsia" w:ascii="Times New Roman" w:hAnsi="Times New Roman" w:eastAsia="宋体" w:cs="Times New Roman"/>
                      <w:b w:val="0"/>
                      <w:bCs w:val="0"/>
                      <w:sz w:val="21"/>
                      <w:szCs w:val="21"/>
                      <w:highlight w:val="none"/>
                      <w:lang w:val="en-US" w:eastAsia="zh-CN" w:bidi="ar"/>
                    </w:rPr>
                  </w:pPr>
                </w:p>
              </w:tc>
              <w:tc>
                <w:tcPr>
                  <w:tcW w:w="552" w:type="pct"/>
                  <w:vMerge w:val="continue"/>
                  <w:noWrap w:val="0"/>
                  <w:vAlign w:val="center"/>
                </w:tcPr>
                <w:p w14:paraId="0DFF9839">
                  <w:pPr>
                    <w:keepNext w:val="0"/>
                    <w:keepLines w:val="0"/>
                    <w:widowControl/>
                    <w:suppressLineNumbers w:val="0"/>
                    <w:spacing w:before="0" w:beforeAutospacing="0" w:after="0" w:afterAutospacing="0" w:line="280" w:lineRule="exact"/>
                    <w:ind w:left="0" w:right="0"/>
                    <w:jc w:val="center"/>
                    <w:textAlignment w:val="center"/>
                    <w:rPr>
                      <w:rFonts w:hint="eastAsia" w:ascii="Times New Roman" w:hAnsi="Times New Roman" w:eastAsia="宋体" w:cs="Times New Roman"/>
                      <w:b w:val="0"/>
                      <w:bCs w:val="0"/>
                      <w:sz w:val="21"/>
                      <w:szCs w:val="21"/>
                      <w:highlight w:val="none"/>
                      <w:lang w:val="en-US" w:eastAsia="zh-CN" w:bidi="ar"/>
                    </w:rPr>
                  </w:pPr>
                </w:p>
              </w:tc>
              <w:tc>
                <w:tcPr>
                  <w:tcW w:w="623" w:type="pct"/>
                  <w:vMerge w:val="continue"/>
                  <w:shd w:val="clear" w:color="auto" w:fill="auto"/>
                  <w:noWrap w:val="0"/>
                  <w:vAlign w:val="center"/>
                </w:tcPr>
                <w:p w14:paraId="44DD50A8">
                  <w:pPr>
                    <w:keepNext w:val="0"/>
                    <w:keepLines w:val="0"/>
                    <w:widowControl/>
                    <w:suppressLineNumbers w:val="0"/>
                    <w:spacing w:before="0" w:beforeAutospacing="0" w:after="0" w:afterAutospacing="0" w:line="280" w:lineRule="exact"/>
                    <w:ind w:left="0" w:right="0"/>
                    <w:jc w:val="center"/>
                    <w:textAlignment w:val="center"/>
                    <w:rPr>
                      <w:rFonts w:hint="eastAsia" w:cs="Times New Roman"/>
                      <w:b w:val="0"/>
                      <w:bCs w:val="0"/>
                      <w:sz w:val="21"/>
                      <w:szCs w:val="21"/>
                      <w:highlight w:val="none"/>
                      <w:lang w:val="en-US" w:eastAsia="zh-CN" w:bidi="ar"/>
                    </w:rPr>
                  </w:pPr>
                </w:p>
              </w:tc>
              <w:tc>
                <w:tcPr>
                  <w:tcW w:w="651" w:type="pct"/>
                  <w:shd w:val="clear" w:color="auto" w:fill="auto"/>
                  <w:noWrap w:val="0"/>
                  <w:vAlign w:val="center"/>
                </w:tcPr>
                <w:p w14:paraId="4B4D270F">
                  <w:pPr>
                    <w:keepNext w:val="0"/>
                    <w:keepLines w:val="0"/>
                    <w:widowControl/>
                    <w:suppressLineNumbers w:val="0"/>
                    <w:spacing w:before="0" w:beforeAutospacing="0" w:after="0" w:afterAutospacing="0" w:line="280" w:lineRule="exact"/>
                    <w:ind w:left="0" w:leftChars="0" w:right="0" w:rightChars="0"/>
                    <w:jc w:val="center"/>
                    <w:textAlignment w:val="center"/>
                    <w:rPr>
                      <w:rFonts w:hint="eastAsia" w:ascii="Times New Roman" w:hAnsi="Times New Roman" w:eastAsia="宋体" w:cs="Times New Roman"/>
                      <w:b w:val="0"/>
                      <w:bCs w:val="0"/>
                      <w:kern w:val="2"/>
                      <w:sz w:val="21"/>
                      <w:szCs w:val="21"/>
                      <w:highlight w:val="none"/>
                      <w:lang w:val="en-US" w:eastAsia="zh-CN" w:bidi="ar"/>
                    </w:rPr>
                  </w:pPr>
                  <w:r>
                    <w:rPr>
                      <w:rFonts w:hint="eastAsia" w:cs="Times New Roman"/>
                      <w:b w:val="0"/>
                      <w:bCs w:val="0"/>
                      <w:sz w:val="21"/>
                      <w:szCs w:val="21"/>
                      <w:highlight w:val="none"/>
                      <w:lang w:val="en-US" w:eastAsia="zh-CN" w:bidi="ar"/>
                    </w:rPr>
                    <w:t>颗粒物</w:t>
                  </w:r>
                </w:p>
              </w:tc>
              <w:tc>
                <w:tcPr>
                  <w:tcW w:w="1348" w:type="pct"/>
                  <w:gridSpan w:val="2"/>
                  <w:shd w:val="clear" w:color="auto" w:fill="auto"/>
                  <w:noWrap w:val="0"/>
                  <w:vAlign w:val="center"/>
                </w:tcPr>
                <w:p w14:paraId="2260405F">
                  <w:pPr>
                    <w:keepNext w:val="0"/>
                    <w:keepLines w:val="0"/>
                    <w:widowControl/>
                    <w:suppressLineNumbers w:val="0"/>
                    <w:spacing w:before="0" w:beforeAutospacing="0" w:after="0" w:afterAutospacing="0"/>
                    <w:ind w:left="0" w:leftChars="0" w:right="0" w:rightChars="0"/>
                    <w:jc w:val="center"/>
                    <w:textAlignment w:val="center"/>
                    <w:rPr>
                      <w:rFonts w:hint="eastAsia" w:ascii="Times New Roman" w:hAnsi="Times New Roman" w:eastAsia="宋体" w:cs="Times New Roman"/>
                      <w:i w:val="0"/>
                      <w:iCs w:val="0"/>
                      <w:color w:val="000000"/>
                      <w:kern w:val="0"/>
                      <w:sz w:val="21"/>
                      <w:szCs w:val="21"/>
                      <w:highlight w:val="none"/>
                      <w:u w:val="none"/>
                      <w:lang w:val="en-US" w:eastAsia="zh-CN" w:bidi="ar"/>
                    </w:rPr>
                  </w:pPr>
                  <w:r>
                    <w:rPr>
                      <w:rFonts w:hint="eastAsia" w:cs="Times New Roman"/>
                      <w:i w:val="0"/>
                      <w:iCs w:val="0"/>
                      <w:color w:val="000000"/>
                      <w:kern w:val="0"/>
                      <w:sz w:val="21"/>
                      <w:szCs w:val="21"/>
                      <w:highlight w:val="none"/>
                      <w:u w:val="none"/>
                      <w:lang w:val="en-US" w:eastAsia="zh-CN" w:bidi="ar"/>
                    </w:rPr>
                    <w:t>少量</w:t>
                  </w:r>
                </w:p>
              </w:tc>
              <w:tc>
                <w:tcPr>
                  <w:tcW w:w="1354" w:type="pct"/>
                  <w:gridSpan w:val="2"/>
                  <w:shd w:val="clear" w:color="auto" w:fill="auto"/>
                  <w:noWrap w:val="0"/>
                  <w:vAlign w:val="center"/>
                </w:tcPr>
                <w:p w14:paraId="595CF4E1">
                  <w:pPr>
                    <w:keepNext w:val="0"/>
                    <w:keepLines w:val="0"/>
                    <w:widowControl/>
                    <w:suppressLineNumbers w:val="0"/>
                    <w:spacing w:before="0" w:beforeAutospacing="0" w:after="0" w:afterAutospacing="0"/>
                    <w:ind w:left="0" w:leftChars="0" w:right="0" w:rightChars="0"/>
                    <w:jc w:val="center"/>
                    <w:textAlignment w:val="center"/>
                    <w:rPr>
                      <w:rFonts w:hint="eastAsia" w:ascii="Times New Roman" w:hAnsi="Times New Roman" w:eastAsia="宋体" w:cs="Times New Roman"/>
                      <w:i w:val="0"/>
                      <w:iCs w:val="0"/>
                      <w:color w:val="000000"/>
                      <w:kern w:val="0"/>
                      <w:sz w:val="21"/>
                      <w:szCs w:val="21"/>
                      <w:highlight w:val="none"/>
                      <w:u w:val="none"/>
                      <w:lang w:val="en-US" w:eastAsia="zh-CN" w:bidi="ar"/>
                    </w:rPr>
                  </w:pPr>
                  <w:r>
                    <w:rPr>
                      <w:rFonts w:hint="eastAsia" w:cs="Times New Roman"/>
                      <w:i w:val="0"/>
                      <w:iCs w:val="0"/>
                      <w:color w:val="000000"/>
                      <w:kern w:val="0"/>
                      <w:sz w:val="21"/>
                      <w:szCs w:val="21"/>
                      <w:highlight w:val="none"/>
                      <w:u w:val="none"/>
                      <w:lang w:val="en-US" w:eastAsia="zh-CN" w:bidi="ar"/>
                    </w:rPr>
                    <w:t>少量</w:t>
                  </w:r>
                </w:p>
              </w:tc>
            </w:tr>
            <w:tr w14:paraId="0A28044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470" w:type="pct"/>
                  <w:vMerge w:val="continue"/>
                  <w:noWrap w:val="0"/>
                  <w:vAlign w:val="center"/>
                </w:tcPr>
                <w:p w14:paraId="709BF458">
                  <w:pPr>
                    <w:keepNext w:val="0"/>
                    <w:keepLines w:val="0"/>
                    <w:widowControl/>
                    <w:suppressLineNumbers w:val="0"/>
                    <w:spacing w:before="0" w:beforeAutospacing="0" w:after="0" w:afterAutospacing="0" w:line="280" w:lineRule="exact"/>
                    <w:ind w:left="0" w:right="0"/>
                    <w:jc w:val="center"/>
                    <w:textAlignment w:val="center"/>
                    <w:rPr>
                      <w:rFonts w:hint="eastAsia" w:ascii="Times New Roman" w:hAnsi="Times New Roman" w:eastAsia="宋体" w:cs="Times New Roman"/>
                      <w:b w:val="0"/>
                      <w:bCs w:val="0"/>
                      <w:sz w:val="21"/>
                      <w:szCs w:val="21"/>
                      <w:highlight w:val="none"/>
                      <w:lang w:val="en-US" w:eastAsia="zh-CN" w:bidi="ar"/>
                    </w:rPr>
                  </w:pPr>
                </w:p>
              </w:tc>
              <w:tc>
                <w:tcPr>
                  <w:tcW w:w="552" w:type="pct"/>
                  <w:vMerge w:val="continue"/>
                  <w:noWrap w:val="0"/>
                  <w:vAlign w:val="center"/>
                </w:tcPr>
                <w:p w14:paraId="14AE0F53">
                  <w:pPr>
                    <w:keepNext w:val="0"/>
                    <w:keepLines w:val="0"/>
                    <w:widowControl/>
                    <w:suppressLineNumbers w:val="0"/>
                    <w:spacing w:before="0" w:beforeAutospacing="0" w:after="0" w:afterAutospacing="0" w:line="280" w:lineRule="exact"/>
                    <w:ind w:left="0" w:right="0"/>
                    <w:jc w:val="center"/>
                    <w:textAlignment w:val="center"/>
                    <w:rPr>
                      <w:rFonts w:hint="eastAsia" w:ascii="Times New Roman" w:hAnsi="Times New Roman" w:eastAsia="宋体" w:cs="Times New Roman"/>
                      <w:b w:val="0"/>
                      <w:bCs w:val="0"/>
                      <w:sz w:val="21"/>
                      <w:szCs w:val="21"/>
                      <w:highlight w:val="none"/>
                      <w:lang w:val="en-US" w:eastAsia="zh-CN" w:bidi="ar"/>
                    </w:rPr>
                  </w:pPr>
                </w:p>
              </w:tc>
              <w:tc>
                <w:tcPr>
                  <w:tcW w:w="623" w:type="pct"/>
                  <w:vMerge w:val="restart"/>
                  <w:shd w:val="clear" w:color="auto" w:fill="auto"/>
                  <w:noWrap w:val="0"/>
                  <w:vAlign w:val="center"/>
                </w:tcPr>
                <w:p w14:paraId="21B97759">
                  <w:pPr>
                    <w:keepNext w:val="0"/>
                    <w:keepLines w:val="0"/>
                    <w:widowControl/>
                    <w:suppressLineNumbers w:val="0"/>
                    <w:spacing w:before="0" w:beforeAutospacing="0" w:after="0" w:afterAutospacing="0" w:line="280" w:lineRule="exact"/>
                    <w:ind w:left="0" w:right="0"/>
                    <w:jc w:val="center"/>
                    <w:textAlignment w:val="center"/>
                    <w:rPr>
                      <w:rFonts w:hint="eastAsia" w:cs="Times New Roman"/>
                      <w:b w:val="0"/>
                      <w:bCs w:val="0"/>
                      <w:sz w:val="21"/>
                      <w:szCs w:val="21"/>
                      <w:highlight w:val="none"/>
                      <w:lang w:val="en-US" w:eastAsia="zh-CN" w:bidi="ar"/>
                    </w:rPr>
                  </w:pPr>
                  <w:r>
                    <w:rPr>
                      <w:rFonts w:hint="eastAsia" w:ascii="Times New Roman" w:hAnsi="Times New Roman" w:eastAsia="宋体" w:cs="Times New Roman"/>
                      <w:b/>
                      <w:bCs/>
                      <w:kern w:val="2"/>
                      <w:sz w:val="21"/>
                      <w:szCs w:val="21"/>
                      <w:highlight w:val="none"/>
                      <w:lang w:val="en-US" w:eastAsia="zh-CN" w:bidi="ar"/>
                    </w:rPr>
                    <w:t>小计</w:t>
                  </w:r>
                </w:p>
              </w:tc>
              <w:tc>
                <w:tcPr>
                  <w:tcW w:w="651" w:type="pct"/>
                  <w:shd w:val="clear" w:color="auto" w:fill="auto"/>
                  <w:noWrap w:val="0"/>
                  <w:vAlign w:val="center"/>
                </w:tcPr>
                <w:p w14:paraId="2E1D73EA">
                  <w:pPr>
                    <w:keepNext w:val="0"/>
                    <w:keepLines w:val="0"/>
                    <w:widowControl/>
                    <w:suppressLineNumbers w:val="0"/>
                    <w:spacing w:before="0" w:beforeAutospacing="0" w:after="0" w:afterAutospacing="0" w:line="280" w:lineRule="exact"/>
                    <w:ind w:left="0" w:right="0"/>
                    <w:jc w:val="center"/>
                    <w:textAlignment w:val="center"/>
                    <w:rPr>
                      <w:rFonts w:hint="eastAsia" w:ascii="Times New Roman" w:hAnsi="Times New Roman" w:eastAsia="宋体" w:cs="Times New Roman"/>
                      <w:b w:val="0"/>
                      <w:bCs w:val="0"/>
                      <w:kern w:val="2"/>
                      <w:sz w:val="21"/>
                      <w:szCs w:val="21"/>
                      <w:highlight w:val="none"/>
                      <w:lang w:val="en-US" w:eastAsia="zh-CN" w:bidi="ar"/>
                    </w:rPr>
                  </w:pPr>
                  <w:r>
                    <w:rPr>
                      <w:rFonts w:hint="eastAsia" w:ascii="Times New Roman" w:hAnsi="Times New Roman" w:eastAsia="宋体" w:cs="Times New Roman"/>
                      <w:b w:val="0"/>
                      <w:bCs w:val="0"/>
                      <w:sz w:val="21"/>
                      <w:szCs w:val="21"/>
                      <w:highlight w:val="none"/>
                      <w:lang w:val="en-US" w:eastAsia="zh-CN" w:bidi="ar"/>
                    </w:rPr>
                    <w:t>NH</w:t>
                  </w:r>
                  <w:r>
                    <w:rPr>
                      <w:rFonts w:hint="eastAsia" w:ascii="Times New Roman" w:hAnsi="Times New Roman" w:eastAsia="宋体" w:cs="Times New Roman"/>
                      <w:b w:val="0"/>
                      <w:bCs w:val="0"/>
                      <w:sz w:val="21"/>
                      <w:szCs w:val="21"/>
                      <w:highlight w:val="none"/>
                      <w:vertAlign w:val="subscript"/>
                      <w:lang w:val="en-US" w:eastAsia="zh-CN" w:bidi="ar"/>
                    </w:rPr>
                    <w:t>3</w:t>
                  </w:r>
                </w:p>
              </w:tc>
              <w:tc>
                <w:tcPr>
                  <w:tcW w:w="641" w:type="pct"/>
                  <w:noWrap w:val="0"/>
                  <w:vAlign w:val="center"/>
                </w:tcPr>
                <w:p w14:paraId="08C7E182">
                  <w:pPr>
                    <w:keepNext w:val="0"/>
                    <w:keepLines w:val="0"/>
                    <w:widowControl/>
                    <w:suppressLineNumbers w:val="0"/>
                    <w:spacing w:before="0" w:beforeAutospacing="0" w:after="0" w:afterAutospacing="0"/>
                    <w:ind w:left="0" w:right="0"/>
                    <w:jc w:val="center"/>
                    <w:textAlignment w:val="center"/>
                    <w:rPr>
                      <w:rFonts w:hint="eastAsia" w:ascii="Times New Roman" w:hAnsi="Times New Roman" w:eastAsia="宋体" w:cs="Times New Roman"/>
                      <w:b/>
                      <w:bCs/>
                      <w:i w:val="0"/>
                      <w:iCs w:val="0"/>
                      <w:color w:val="000000"/>
                      <w:kern w:val="0"/>
                      <w:sz w:val="21"/>
                      <w:szCs w:val="21"/>
                      <w:highlight w:val="none"/>
                      <w:u w:val="none"/>
                      <w:lang w:val="en-US" w:eastAsia="zh-CN" w:bidi="ar"/>
                    </w:rPr>
                  </w:pPr>
                  <w:r>
                    <w:rPr>
                      <w:rFonts w:hint="eastAsia" w:ascii="Times New Roman" w:hAnsi="Times New Roman" w:eastAsia="宋体" w:cs="Times New Roman"/>
                      <w:b/>
                      <w:bCs/>
                      <w:i w:val="0"/>
                      <w:iCs w:val="0"/>
                      <w:color w:val="000000"/>
                      <w:kern w:val="0"/>
                      <w:sz w:val="21"/>
                      <w:szCs w:val="21"/>
                      <w:highlight w:val="none"/>
                      <w:u w:val="none"/>
                      <w:lang w:val="en-US" w:eastAsia="zh-CN" w:bidi="ar"/>
                    </w:rPr>
                    <w:t>0.014</w:t>
                  </w:r>
                </w:p>
              </w:tc>
              <w:tc>
                <w:tcPr>
                  <w:tcW w:w="706" w:type="pct"/>
                  <w:noWrap w:val="0"/>
                  <w:vAlign w:val="center"/>
                </w:tcPr>
                <w:p w14:paraId="1E6B14C2">
                  <w:pPr>
                    <w:keepNext w:val="0"/>
                    <w:keepLines w:val="0"/>
                    <w:widowControl/>
                    <w:suppressLineNumbers w:val="0"/>
                    <w:spacing w:before="0" w:beforeAutospacing="0" w:after="0" w:afterAutospacing="0"/>
                    <w:ind w:left="0" w:right="0"/>
                    <w:jc w:val="center"/>
                    <w:textAlignment w:val="center"/>
                    <w:rPr>
                      <w:rFonts w:hint="eastAsia" w:ascii="Times New Roman" w:hAnsi="Times New Roman" w:eastAsia="宋体" w:cs="Times New Roman"/>
                      <w:b/>
                      <w:bCs/>
                      <w:i w:val="0"/>
                      <w:iCs w:val="0"/>
                      <w:color w:val="000000"/>
                      <w:kern w:val="0"/>
                      <w:sz w:val="21"/>
                      <w:szCs w:val="21"/>
                      <w:highlight w:val="none"/>
                      <w:u w:val="none"/>
                      <w:lang w:val="en-US" w:eastAsia="zh-CN" w:bidi="ar"/>
                    </w:rPr>
                  </w:pPr>
                  <w:r>
                    <w:rPr>
                      <w:rFonts w:hint="eastAsia" w:ascii="Times New Roman" w:hAnsi="Times New Roman" w:eastAsia="宋体" w:cs="Times New Roman"/>
                      <w:b/>
                      <w:bCs/>
                      <w:i w:val="0"/>
                      <w:iCs w:val="0"/>
                      <w:color w:val="000000"/>
                      <w:kern w:val="0"/>
                      <w:sz w:val="21"/>
                      <w:szCs w:val="21"/>
                      <w:highlight w:val="none"/>
                      <w:u w:val="none"/>
                      <w:lang w:val="en-US" w:eastAsia="zh-CN" w:bidi="ar"/>
                    </w:rPr>
                    <w:t>0.001</w:t>
                  </w:r>
                </w:p>
              </w:tc>
              <w:tc>
                <w:tcPr>
                  <w:tcW w:w="635" w:type="pct"/>
                  <w:noWrap w:val="0"/>
                  <w:vAlign w:val="center"/>
                </w:tcPr>
                <w:p w14:paraId="77F4ADF6">
                  <w:pPr>
                    <w:keepNext w:val="0"/>
                    <w:keepLines w:val="0"/>
                    <w:widowControl/>
                    <w:suppressLineNumbers w:val="0"/>
                    <w:spacing w:before="0" w:beforeAutospacing="0" w:after="0" w:afterAutospacing="0"/>
                    <w:ind w:left="0" w:right="0"/>
                    <w:jc w:val="center"/>
                    <w:textAlignment w:val="center"/>
                    <w:rPr>
                      <w:rFonts w:hint="eastAsia" w:ascii="Times New Roman" w:hAnsi="Times New Roman" w:eastAsia="宋体" w:cs="Times New Roman"/>
                      <w:b/>
                      <w:bCs/>
                      <w:i w:val="0"/>
                      <w:iCs w:val="0"/>
                      <w:color w:val="000000"/>
                      <w:kern w:val="0"/>
                      <w:sz w:val="21"/>
                      <w:szCs w:val="21"/>
                      <w:highlight w:val="none"/>
                      <w:u w:val="none"/>
                      <w:lang w:val="en-US" w:eastAsia="zh-CN" w:bidi="ar"/>
                    </w:rPr>
                  </w:pPr>
                  <w:r>
                    <w:rPr>
                      <w:rFonts w:hint="eastAsia" w:ascii="Times New Roman" w:hAnsi="Times New Roman" w:eastAsia="宋体" w:cs="Times New Roman"/>
                      <w:b/>
                      <w:bCs/>
                      <w:i w:val="0"/>
                      <w:iCs w:val="0"/>
                      <w:color w:val="000000"/>
                      <w:kern w:val="0"/>
                      <w:sz w:val="21"/>
                      <w:szCs w:val="21"/>
                      <w:highlight w:val="none"/>
                      <w:u w:val="none"/>
                      <w:lang w:val="en-US" w:eastAsia="zh-CN" w:bidi="ar"/>
                    </w:rPr>
                    <w:t>0.002</w:t>
                  </w:r>
                </w:p>
              </w:tc>
              <w:tc>
                <w:tcPr>
                  <w:tcW w:w="719" w:type="pct"/>
                  <w:noWrap w:val="0"/>
                  <w:vAlign w:val="center"/>
                </w:tcPr>
                <w:p w14:paraId="4A456C33">
                  <w:pPr>
                    <w:keepNext w:val="0"/>
                    <w:keepLines w:val="0"/>
                    <w:widowControl/>
                    <w:suppressLineNumbers w:val="0"/>
                    <w:spacing w:before="0" w:beforeAutospacing="0" w:after="0" w:afterAutospacing="0"/>
                    <w:ind w:left="0" w:right="0"/>
                    <w:jc w:val="center"/>
                    <w:textAlignment w:val="center"/>
                    <w:rPr>
                      <w:rFonts w:hint="eastAsia" w:ascii="Times New Roman" w:hAnsi="Times New Roman" w:eastAsia="宋体" w:cs="Times New Roman"/>
                      <w:b/>
                      <w:bCs/>
                      <w:i w:val="0"/>
                      <w:iCs w:val="0"/>
                      <w:color w:val="000000"/>
                      <w:kern w:val="0"/>
                      <w:sz w:val="21"/>
                      <w:szCs w:val="21"/>
                      <w:highlight w:val="none"/>
                      <w:u w:val="none"/>
                      <w:lang w:val="en-US" w:eastAsia="zh-CN" w:bidi="ar"/>
                    </w:rPr>
                  </w:pPr>
                  <w:r>
                    <w:rPr>
                      <w:rFonts w:hint="eastAsia" w:ascii="Times New Roman" w:hAnsi="Times New Roman" w:eastAsia="宋体" w:cs="Times New Roman"/>
                      <w:b/>
                      <w:bCs/>
                      <w:i w:val="0"/>
                      <w:iCs w:val="0"/>
                      <w:color w:val="000000"/>
                      <w:kern w:val="0"/>
                      <w:sz w:val="21"/>
                      <w:szCs w:val="21"/>
                      <w:highlight w:val="none"/>
                      <w:u w:val="none"/>
                      <w:lang w:val="en-US" w:eastAsia="zh-CN" w:bidi="ar"/>
                    </w:rPr>
                    <w:t>0</w:t>
                  </w:r>
                </w:p>
              </w:tc>
            </w:tr>
            <w:tr w14:paraId="63BD4F4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470" w:type="pct"/>
                  <w:vMerge w:val="continue"/>
                  <w:noWrap w:val="0"/>
                  <w:vAlign w:val="center"/>
                </w:tcPr>
                <w:p w14:paraId="16976ACC">
                  <w:pPr>
                    <w:keepNext w:val="0"/>
                    <w:keepLines w:val="0"/>
                    <w:widowControl/>
                    <w:suppressLineNumbers w:val="0"/>
                    <w:spacing w:before="0" w:beforeAutospacing="0" w:after="0" w:afterAutospacing="0" w:line="280" w:lineRule="exact"/>
                    <w:ind w:left="0" w:right="0"/>
                    <w:jc w:val="center"/>
                    <w:textAlignment w:val="center"/>
                    <w:rPr>
                      <w:rFonts w:hint="eastAsia" w:ascii="Times New Roman" w:hAnsi="Times New Roman" w:eastAsia="宋体" w:cs="Times New Roman"/>
                      <w:b w:val="0"/>
                      <w:bCs w:val="0"/>
                      <w:sz w:val="21"/>
                      <w:szCs w:val="21"/>
                      <w:highlight w:val="none"/>
                      <w:lang w:val="en-US" w:eastAsia="zh-CN" w:bidi="ar"/>
                    </w:rPr>
                  </w:pPr>
                </w:p>
              </w:tc>
              <w:tc>
                <w:tcPr>
                  <w:tcW w:w="552" w:type="pct"/>
                  <w:vMerge w:val="continue"/>
                  <w:noWrap w:val="0"/>
                  <w:vAlign w:val="center"/>
                </w:tcPr>
                <w:p w14:paraId="06DB49CE">
                  <w:pPr>
                    <w:keepNext w:val="0"/>
                    <w:keepLines w:val="0"/>
                    <w:widowControl/>
                    <w:suppressLineNumbers w:val="0"/>
                    <w:spacing w:before="0" w:beforeAutospacing="0" w:after="0" w:afterAutospacing="0" w:line="280" w:lineRule="exact"/>
                    <w:ind w:left="0" w:right="0"/>
                    <w:jc w:val="center"/>
                    <w:textAlignment w:val="center"/>
                    <w:rPr>
                      <w:rFonts w:hint="eastAsia" w:ascii="Times New Roman" w:hAnsi="Times New Roman" w:eastAsia="宋体" w:cs="Times New Roman"/>
                      <w:b w:val="0"/>
                      <w:bCs w:val="0"/>
                      <w:sz w:val="21"/>
                      <w:szCs w:val="21"/>
                      <w:highlight w:val="none"/>
                      <w:lang w:val="en-US" w:eastAsia="zh-CN" w:bidi="ar"/>
                    </w:rPr>
                  </w:pPr>
                </w:p>
              </w:tc>
              <w:tc>
                <w:tcPr>
                  <w:tcW w:w="623" w:type="pct"/>
                  <w:vMerge w:val="continue"/>
                  <w:shd w:val="clear" w:color="auto" w:fill="auto"/>
                  <w:noWrap w:val="0"/>
                  <w:vAlign w:val="center"/>
                </w:tcPr>
                <w:p w14:paraId="3DA67909">
                  <w:pPr>
                    <w:keepNext w:val="0"/>
                    <w:keepLines w:val="0"/>
                    <w:widowControl/>
                    <w:suppressLineNumbers w:val="0"/>
                    <w:spacing w:before="0" w:beforeAutospacing="0" w:after="0" w:afterAutospacing="0" w:line="280" w:lineRule="exact"/>
                    <w:ind w:left="0" w:right="0"/>
                    <w:jc w:val="center"/>
                    <w:textAlignment w:val="center"/>
                    <w:rPr>
                      <w:rFonts w:hint="eastAsia" w:cs="Times New Roman"/>
                      <w:b w:val="0"/>
                      <w:bCs w:val="0"/>
                      <w:sz w:val="21"/>
                      <w:szCs w:val="21"/>
                      <w:highlight w:val="none"/>
                      <w:lang w:val="en-US" w:eastAsia="zh-CN" w:bidi="ar"/>
                    </w:rPr>
                  </w:pPr>
                </w:p>
              </w:tc>
              <w:tc>
                <w:tcPr>
                  <w:tcW w:w="651" w:type="pct"/>
                  <w:shd w:val="clear" w:color="auto" w:fill="auto"/>
                  <w:noWrap w:val="0"/>
                  <w:vAlign w:val="center"/>
                </w:tcPr>
                <w:p w14:paraId="20ACC710">
                  <w:pPr>
                    <w:keepNext w:val="0"/>
                    <w:keepLines w:val="0"/>
                    <w:widowControl/>
                    <w:suppressLineNumbers w:val="0"/>
                    <w:spacing w:before="0" w:beforeAutospacing="0" w:after="0" w:afterAutospacing="0" w:line="280" w:lineRule="exact"/>
                    <w:ind w:left="0" w:right="0"/>
                    <w:jc w:val="center"/>
                    <w:textAlignment w:val="center"/>
                    <w:rPr>
                      <w:rFonts w:hint="eastAsia" w:ascii="Times New Roman" w:hAnsi="Times New Roman" w:eastAsia="宋体" w:cs="Times New Roman"/>
                      <w:b w:val="0"/>
                      <w:bCs w:val="0"/>
                      <w:kern w:val="2"/>
                      <w:sz w:val="21"/>
                      <w:szCs w:val="21"/>
                      <w:highlight w:val="none"/>
                      <w:lang w:val="en-US" w:eastAsia="zh-CN" w:bidi="ar"/>
                    </w:rPr>
                  </w:pPr>
                  <w:r>
                    <w:rPr>
                      <w:rFonts w:hint="eastAsia" w:ascii="Times New Roman" w:hAnsi="Times New Roman" w:eastAsia="宋体" w:cs="Times New Roman"/>
                      <w:b w:val="0"/>
                      <w:bCs w:val="0"/>
                      <w:sz w:val="21"/>
                      <w:szCs w:val="21"/>
                      <w:highlight w:val="none"/>
                      <w:lang w:val="en-US" w:eastAsia="zh-CN" w:bidi="ar"/>
                    </w:rPr>
                    <w:t>H</w:t>
                  </w:r>
                  <w:r>
                    <w:rPr>
                      <w:rFonts w:hint="eastAsia" w:ascii="Times New Roman" w:hAnsi="Times New Roman" w:eastAsia="宋体" w:cs="Times New Roman"/>
                      <w:b w:val="0"/>
                      <w:bCs w:val="0"/>
                      <w:sz w:val="21"/>
                      <w:szCs w:val="21"/>
                      <w:highlight w:val="none"/>
                      <w:vertAlign w:val="subscript"/>
                      <w:lang w:val="en-US" w:eastAsia="zh-CN" w:bidi="ar"/>
                    </w:rPr>
                    <w:t>2</w:t>
                  </w:r>
                  <w:r>
                    <w:rPr>
                      <w:rFonts w:hint="eastAsia" w:ascii="Times New Roman" w:hAnsi="Times New Roman" w:eastAsia="宋体" w:cs="Times New Roman"/>
                      <w:b w:val="0"/>
                      <w:bCs w:val="0"/>
                      <w:sz w:val="21"/>
                      <w:szCs w:val="21"/>
                      <w:highlight w:val="none"/>
                      <w:lang w:val="en-US" w:eastAsia="zh-CN" w:bidi="ar"/>
                    </w:rPr>
                    <w:t>S</w:t>
                  </w:r>
                </w:p>
              </w:tc>
              <w:tc>
                <w:tcPr>
                  <w:tcW w:w="641" w:type="pct"/>
                  <w:noWrap w:val="0"/>
                  <w:vAlign w:val="center"/>
                </w:tcPr>
                <w:p w14:paraId="72D58A41">
                  <w:pPr>
                    <w:keepNext w:val="0"/>
                    <w:keepLines w:val="0"/>
                    <w:widowControl/>
                    <w:suppressLineNumbers w:val="0"/>
                    <w:spacing w:before="0" w:beforeAutospacing="0" w:after="0" w:afterAutospacing="0"/>
                    <w:ind w:left="0" w:right="0"/>
                    <w:jc w:val="center"/>
                    <w:textAlignment w:val="center"/>
                    <w:rPr>
                      <w:rFonts w:hint="eastAsia" w:ascii="Times New Roman" w:hAnsi="Times New Roman" w:eastAsia="宋体" w:cs="Times New Roman"/>
                      <w:b/>
                      <w:bCs/>
                      <w:i w:val="0"/>
                      <w:iCs w:val="0"/>
                      <w:color w:val="000000"/>
                      <w:kern w:val="0"/>
                      <w:sz w:val="21"/>
                      <w:szCs w:val="21"/>
                      <w:highlight w:val="none"/>
                      <w:u w:val="none"/>
                      <w:lang w:val="en-US" w:eastAsia="zh-CN" w:bidi="ar"/>
                    </w:rPr>
                  </w:pPr>
                  <w:r>
                    <w:rPr>
                      <w:rFonts w:hint="eastAsia" w:ascii="Times New Roman" w:hAnsi="Times New Roman" w:eastAsia="宋体" w:cs="Times New Roman"/>
                      <w:b/>
                      <w:bCs/>
                      <w:i w:val="0"/>
                      <w:iCs w:val="0"/>
                      <w:color w:val="000000"/>
                      <w:kern w:val="0"/>
                      <w:sz w:val="21"/>
                      <w:szCs w:val="21"/>
                      <w:highlight w:val="none"/>
                      <w:u w:val="none"/>
                      <w:lang w:val="en-US" w:eastAsia="zh-CN" w:bidi="ar"/>
                    </w:rPr>
                    <w:t>0.002</w:t>
                  </w:r>
                </w:p>
              </w:tc>
              <w:tc>
                <w:tcPr>
                  <w:tcW w:w="706" w:type="pct"/>
                  <w:noWrap w:val="0"/>
                  <w:vAlign w:val="center"/>
                </w:tcPr>
                <w:p w14:paraId="30CFA5C5">
                  <w:pPr>
                    <w:keepNext w:val="0"/>
                    <w:keepLines w:val="0"/>
                    <w:widowControl/>
                    <w:suppressLineNumbers w:val="0"/>
                    <w:spacing w:before="0" w:beforeAutospacing="0" w:after="0" w:afterAutospacing="0"/>
                    <w:ind w:left="0" w:right="0"/>
                    <w:jc w:val="center"/>
                    <w:textAlignment w:val="center"/>
                    <w:rPr>
                      <w:rFonts w:hint="eastAsia" w:ascii="Times New Roman" w:hAnsi="Times New Roman" w:eastAsia="宋体" w:cs="Times New Roman"/>
                      <w:b/>
                      <w:bCs/>
                      <w:i w:val="0"/>
                      <w:iCs w:val="0"/>
                      <w:color w:val="000000"/>
                      <w:kern w:val="0"/>
                      <w:sz w:val="21"/>
                      <w:szCs w:val="21"/>
                      <w:highlight w:val="none"/>
                      <w:u w:val="none"/>
                      <w:lang w:val="en-US" w:eastAsia="zh-CN" w:bidi="ar"/>
                    </w:rPr>
                  </w:pPr>
                  <w:r>
                    <w:rPr>
                      <w:rFonts w:hint="eastAsia" w:ascii="Times New Roman" w:hAnsi="Times New Roman" w:eastAsia="宋体" w:cs="Times New Roman"/>
                      <w:b/>
                      <w:bCs/>
                      <w:i w:val="0"/>
                      <w:iCs w:val="0"/>
                      <w:color w:val="000000"/>
                      <w:kern w:val="0"/>
                      <w:sz w:val="21"/>
                      <w:szCs w:val="21"/>
                      <w:highlight w:val="none"/>
                      <w:u w:val="none"/>
                      <w:lang w:val="en-US" w:eastAsia="zh-CN" w:bidi="ar"/>
                    </w:rPr>
                    <w:t>0</w:t>
                  </w:r>
                </w:p>
              </w:tc>
              <w:tc>
                <w:tcPr>
                  <w:tcW w:w="635" w:type="pct"/>
                  <w:noWrap w:val="0"/>
                  <w:vAlign w:val="center"/>
                </w:tcPr>
                <w:p w14:paraId="3FA4293C">
                  <w:pPr>
                    <w:keepNext w:val="0"/>
                    <w:keepLines w:val="0"/>
                    <w:widowControl/>
                    <w:suppressLineNumbers w:val="0"/>
                    <w:spacing w:before="0" w:beforeAutospacing="0" w:after="0" w:afterAutospacing="0"/>
                    <w:ind w:left="0" w:right="0"/>
                    <w:jc w:val="center"/>
                    <w:textAlignment w:val="center"/>
                    <w:rPr>
                      <w:rFonts w:hint="eastAsia" w:ascii="Times New Roman" w:hAnsi="Times New Roman" w:eastAsia="宋体" w:cs="Times New Roman"/>
                      <w:b/>
                      <w:bCs/>
                      <w:i w:val="0"/>
                      <w:iCs w:val="0"/>
                      <w:color w:val="000000"/>
                      <w:kern w:val="0"/>
                      <w:sz w:val="21"/>
                      <w:szCs w:val="21"/>
                      <w:highlight w:val="none"/>
                      <w:u w:val="none"/>
                      <w:lang w:val="en-US" w:eastAsia="zh-CN" w:bidi="ar"/>
                    </w:rPr>
                  </w:pPr>
                  <w:r>
                    <w:rPr>
                      <w:rFonts w:hint="eastAsia" w:ascii="Times New Roman" w:hAnsi="Times New Roman" w:eastAsia="宋体" w:cs="Times New Roman"/>
                      <w:b/>
                      <w:bCs/>
                      <w:i w:val="0"/>
                      <w:iCs w:val="0"/>
                      <w:color w:val="000000"/>
                      <w:kern w:val="0"/>
                      <w:sz w:val="21"/>
                      <w:szCs w:val="21"/>
                      <w:highlight w:val="none"/>
                      <w:u w:val="none"/>
                      <w:lang w:val="en-US" w:eastAsia="zh-CN" w:bidi="ar"/>
                    </w:rPr>
                    <w:t>0.001</w:t>
                  </w:r>
                </w:p>
              </w:tc>
              <w:tc>
                <w:tcPr>
                  <w:tcW w:w="719" w:type="pct"/>
                  <w:noWrap w:val="0"/>
                  <w:vAlign w:val="center"/>
                </w:tcPr>
                <w:p w14:paraId="6A521316">
                  <w:pPr>
                    <w:keepNext w:val="0"/>
                    <w:keepLines w:val="0"/>
                    <w:widowControl/>
                    <w:suppressLineNumbers w:val="0"/>
                    <w:spacing w:before="0" w:beforeAutospacing="0" w:after="0" w:afterAutospacing="0"/>
                    <w:ind w:left="0" w:right="0"/>
                    <w:jc w:val="center"/>
                    <w:textAlignment w:val="center"/>
                    <w:rPr>
                      <w:rFonts w:hint="eastAsia" w:ascii="Times New Roman" w:hAnsi="Times New Roman" w:eastAsia="宋体" w:cs="Times New Roman"/>
                      <w:b/>
                      <w:bCs/>
                      <w:i w:val="0"/>
                      <w:iCs w:val="0"/>
                      <w:color w:val="000000"/>
                      <w:kern w:val="0"/>
                      <w:sz w:val="21"/>
                      <w:szCs w:val="21"/>
                      <w:highlight w:val="none"/>
                      <w:u w:val="none"/>
                      <w:lang w:val="en-US" w:eastAsia="zh-CN" w:bidi="ar"/>
                    </w:rPr>
                  </w:pPr>
                  <w:r>
                    <w:rPr>
                      <w:rFonts w:hint="eastAsia" w:ascii="Times New Roman" w:hAnsi="Times New Roman" w:eastAsia="宋体" w:cs="Times New Roman"/>
                      <w:b/>
                      <w:bCs/>
                      <w:i w:val="0"/>
                      <w:iCs w:val="0"/>
                      <w:color w:val="000000"/>
                      <w:kern w:val="0"/>
                      <w:sz w:val="21"/>
                      <w:szCs w:val="21"/>
                      <w:highlight w:val="none"/>
                      <w:u w:val="none"/>
                      <w:lang w:val="en-US" w:eastAsia="zh-CN" w:bidi="ar"/>
                    </w:rPr>
                    <w:t>0</w:t>
                  </w:r>
                </w:p>
              </w:tc>
            </w:tr>
            <w:tr w14:paraId="1B19482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470" w:type="pct"/>
                  <w:vMerge w:val="continue"/>
                  <w:noWrap w:val="0"/>
                  <w:vAlign w:val="center"/>
                </w:tcPr>
                <w:p w14:paraId="08D3B1A6">
                  <w:pPr>
                    <w:keepNext w:val="0"/>
                    <w:keepLines w:val="0"/>
                    <w:widowControl/>
                    <w:suppressLineNumbers w:val="0"/>
                    <w:spacing w:before="0" w:beforeAutospacing="0" w:after="0" w:afterAutospacing="0" w:line="280" w:lineRule="exact"/>
                    <w:ind w:left="0" w:right="0"/>
                    <w:jc w:val="center"/>
                    <w:textAlignment w:val="center"/>
                    <w:rPr>
                      <w:rFonts w:hint="eastAsia" w:ascii="Times New Roman" w:hAnsi="Times New Roman" w:eastAsia="宋体" w:cs="Times New Roman"/>
                      <w:b w:val="0"/>
                      <w:bCs w:val="0"/>
                      <w:sz w:val="21"/>
                      <w:szCs w:val="21"/>
                      <w:highlight w:val="none"/>
                      <w:lang w:val="en-US" w:eastAsia="zh-CN" w:bidi="ar"/>
                    </w:rPr>
                  </w:pPr>
                </w:p>
              </w:tc>
              <w:tc>
                <w:tcPr>
                  <w:tcW w:w="552" w:type="pct"/>
                  <w:vMerge w:val="continue"/>
                  <w:noWrap w:val="0"/>
                  <w:vAlign w:val="center"/>
                </w:tcPr>
                <w:p w14:paraId="4C4E529D">
                  <w:pPr>
                    <w:keepNext w:val="0"/>
                    <w:keepLines w:val="0"/>
                    <w:widowControl/>
                    <w:suppressLineNumbers w:val="0"/>
                    <w:spacing w:before="0" w:beforeAutospacing="0" w:after="0" w:afterAutospacing="0" w:line="280" w:lineRule="exact"/>
                    <w:ind w:left="0" w:right="0"/>
                    <w:jc w:val="center"/>
                    <w:textAlignment w:val="center"/>
                    <w:rPr>
                      <w:rFonts w:hint="eastAsia" w:ascii="Times New Roman" w:hAnsi="Times New Roman" w:eastAsia="宋体" w:cs="Times New Roman"/>
                      <w:b w:val="0"/>
                      <w:bCs w:val="0"/>
                      <w:sz w:val="21"/>
                      <w:szCs w:val="21"/>
                      <w:highlight w:val="none"/>
                      <w:lang w:val="en-US" w:eastAsia="zh-CN" w:bidi="ar"/>
                    </w:rPr>
                  </w:pPr>
                </w:p>
              </w:tc>
              <w:tc>
                <w:tcPr>
                  <w:tcW w:w="623" w:type="pct"/>
                  <w:vMerge w:val="continue"/>
                  <w:shd w:val="clear" w:color="auto" w:fill="auto"/>
                  <w:noWrap w:val="0"/>
                  <w:vAlign w:val="center"/>
                </w:tcPr>
                <w:p w14:paraId="0AEA8A14">
                  <w:pPr>
                    <w:keepNext w:val="0"/>
                    <w:keepLines w:val="0"/>
                    <w:widowControl/>
                    <w:suppressLineNumbers w:val="0"/>
                    <w:spacing w:before="0" w:beforeAutospacing="0" w:after="0" w:afterAutospacing="0" w:line="280" w:lineRule="exact"/>
                    <w:ind w:left="0" w:right="0"/>
                    <w:jc w:val="center"/>
                    <w:textAlignment w:val="center"/>
                    <w:rPr>
                      <w:rFonts w:hint="eastAsia" w:cs="Times New Roman"/>
                      <w:b w:val="0"/>
                      <w:bCs w:val="0"/>
                      <w:sz w:val="21"/>
                      <w:szCs w:val="21"/>
                      <w:highlight w:val="none"/>
                      <w:lang w:val="en-US" w:eastAsia="zh-CN" w:bidi="ar"/>
                    </w:rPr>
                  </w:pPr>
                </w:p>
              </w:tc>
              <w:tc>
                <w:tcPr>
                  <w:tcW w:w="651" w:type="pct"/>
                  <w:shd w:val="clear" w:color="auto" w:fill="auto"/>
                  <w:noWrap w:val="0"/>
                  <w:vAlign w:val="center"/>
                </w:tcPr>
                <w:p w14:paraId="27045A5A">
                  <w:pPr>
                    <w:keepNext w:val="0"/>
                    <w:keepLines w:val="0"/>
                    <w:widowControl/>
                    <w:suppressLineNumbers w:val="0"/>
                    <w:spacing w:before="0" w:beforeAutospacing="0" w:after="0" w:afterAutospacing="0" w:line="280" w:lineRule="exact"/>
                    <w:ind w:left="0" w:leftChars="0" w:right="0" w:rightChars="0"/>
                    <w:jc w:val="center"/>
                    <w:textAlignment w:val="center"/>
                    <w:rPr>
                      <w:rFonts w:hint="eastAsia" w:ascii="Times New Roman" w:hAnsi="Times New Roman" w:eastAsia="宋体" w:cs="Times New Roman"/>
                      <w:b/>
                      <w:bCs/>
                      <w:kern w:val="2"/>
                      <w:sz w:val="21"/>
                      <w:szCs w:val="21"/>
                      <w:highlight w:val="none"/>
                      <w:lang w:val="en-US" w:eastAsia="zh-CN" w:bidi="ar"/>
                    </w:rPr>
                  </w:pPr>
                  <w:r>
                    <w:rPr>
                      <w:rFonts w:hint="eastAsia" w:cs="Times New Roman"/>
                      <w:b/>
                      <w:bCs/>
                      <w:sz w:val="21"/>
                      <w:szCs w:val="21"/>
                      <w:highlight w:val="none"/>
                      <w:lang w:val="en-US" w:eastAsia="zh-CN" w:bidi="ar"/>
                    </w:rPr>
                    <w:t>颗粒物</w:t>
                  </w:r>
                </w:p>
              </w:tc>
              <w:tc>
                <w:tcPr>
                  <w:tcW w:w="1348" w:type="pct"/>
                  <w:gridSpan w:val="2"/>
                  <w:shd w:val="clear" w:color="auto" w:fill="auto"/>
                  <w:noWrap w:val="0"/>
                  <w:vAlign w:val="center"/>
                </w:tcPr>
                <w:p w14:paraId="1B94A28F">
                  <w:pPr>
                    <w:keepNext w:val="0"/>
                    <w:keepLines w:val="0"/>
                    <w:widowControl/>
                    <w:suppressLineNumbers w:val="0"/>
                    <w:spacing w:before="0" w:beforeAutospacing="0" w:after="0" w:afterAutospacing="0"/>
                    <w:ind w:left="0" w:leftChars="0" w:right="0" w:rightChars="0"/>
                    <w:jc w:val="center"/>
                    <w:textAlignment w:val="center"/>
                    <w:rPr>
                      <w:rFonts w:hint="eastAsia" w:ascii="Times New Roman" w:hAnsi="Times New Roman" w:eastAsia="宋体" w:cs="Times New Roman"/>
                      <w:b/>
                      <w:bCs/>
                      <w:i w:val="0"/>
                      <w:iCs w:val="0"/>
                      <w:color w:val="000000"/>
                      <w:kern w:val="0"/>
                      <w:sz w:val="21"/>
                      <w:szCs w:val="21"/>
                      <w:highlight w:val="none"/>
                      <w:u w:val="none"/>
                      <w:lang w:val="en-US" w:eastAsia="zh-CN" w:bidi="ar"/>
                    </w:rPr>
                  </w:pPr>
                  <w:r>
                    <w:rPr>
                      <w:rFonts w:hint="eastAsia" w:cs="Times New Roman"/>
                      <w:b/>
                      <w:bCs/>
                      <w:i w:val="0"/>
                      <w:iCs w:val="0"/>
                      <w:color w:val="000000"/>
                      <w:kern w:val="0"/>
                      <w:sz w:val="21"/>
                      <w:szCs w:val="21"/>
                      <w:highlight w:val="none"/>
                      <w:u w:val="none"/>
                      <w:lang w:val="en-US" w:eastAsia="zh-CN" w:bidi="ar"/>
                    </w:rPr>
                    <w:t>少量</w:t>
                  </w:r>
                </w:p>
              </w:tc>
              <w:tc>
                <w:tcPr>
                  <w:tcW w:w="1354" w:type="pct"/>
                  <w:gridSpan w:val="2"/>
                  <w:shd w:val="clear" w:color="auto" w:fill="auto"/>
                  <w:noWrap w:val="0"/>
                  <w:vAlign w:val="center"/>
                </w:tcPr>
                <w:p w14:paraId="1D19C0B2">
                  <w:pPr>
                    <w:keepNext w:val="0"/>
                    <w:keepLines w:val="0"/>
                    <w:widowControl/>
                    <w:suppressLineNumbers w:val="0"/>
                    <w:spacing w:before="0" w:beforeAutospacing="0" w:after="0" w:afterAutospacing="0"/>
                    <w:ind w:left="0" w:leftChars="0" w:right="0" w:rightChars="0"/>
                    <w:jc w:val="center"/>
                    <w:textAlignment w:val="center"/>
                    <w:rPr>
                      <w:rFonts w:hint="eastAsia" w:ascii="Times New Roman" w:hAnsi="Times New Roman" w:eastAsia="宋体" w:cs="Times New Roman"/>
                      <w:b/>
                      <w:bCs/>
                      <w:i w:val="0"/>
                      <w:iCs w:val="0"/>
                      <w:color w:val="000000"/>
                      <w:kern w:val="0"/>
                      <w:sz w:val="21"/>
                      <w:szCs w:val="21"/>
                      <w:highlight w:val="none"/>
                      <w:u w:val="none"/>
                      <w:lang w:val="en-US" w:eastAsia="zh-CN" w:bidi="ar"/>
                    </w:rPr>
                  </w:pPr>
                  <w:r>
                    <w:rPr>
                      <w:rFonts w:hint="eastAsia" w:cs="Times New Roman"/>
                      <w:b/>
                      <w:bCs/>
                      <w:i w:val="0"/>
                      <w:iCs w:val="0"/>
                      <w:color w:val="000000"/>
                      <w:kern w:val="0"/>
                      <w:sz w:val="21"/>
                      <w:szCs w:val="21"/>
                      <w:highlight w:val="none"/>
                      <w:u w:val="none"/>
                      <w:lang w:val="en-US" w:eastAsia="zh-CN" w:bidi="ar"/>
                    </w:rPr>
                    <w:t>少量</w:t>
                  </w:r>
                </w:p>
              </w:tc>
            </w:tr>
            <w:tr w14:paraId="63B6432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470" w:type="pct"/>
                  <w:vMerge w:val="continue"/>
                  <w:noWrap w:val="0"/>
                  <w:vAlign w:val="center"/>
                </w:tcPr>
                <w:p w14:paraId="44D613A6">
                  <w:pPr>
                    <w:keepNext w:val="0"/>
                    <w:keepLines w:val="0"/>
                    <w:widowControl/>
                    <w:suppressLineNumbers w:val="0"/>
                    <w:spacing w:before="0" w:beforeAutospacing="0" w:after="0" w:afterAutospacing="0" w:line="280" w:lineRule="exact"/>
                    <w:ind w:left="0" w:right="0"/>
                    <w:jc w:val="center"/>
                    <w:textAlignment w:val="center"/>
                    <w:rPr>
                      <w:rFonts w:hint="eastAsia" w:ascii="Times New Roman" w:hAnsi="Times New Roman" w:eastAsia="宋体" w:cs="Times New Roman"/>
                      <w:b w:val="0"/>
                      <w:bCs w:val="0"/>
                      <w:sz w:val="21"/>
                      <w:szCs w:val="21"/>
                      <w:highlight w:val="none"/>
                      <w:lang w:val="en-US" w:eastAsia="zh-CN" w:bidi="ar"/>
                    </w:rPr>
                  </w:pPr>
                </w:p>
              </w:tc>
              <w:tc>
                <w:tcPr>
                  <w:tcW w:w="552" w:type="pct"/>
                  <w:vMerge w:val="restart"/>
                  <w:noWrap w:val="0"/>
                  <w:vAlign w:val="center"/>
                </w:tcPr>
                <w:p w14:paraId="55B0F7B9">
                  <w:pPr>
                    <w:keepNext w:val="0"/>
                    <w:keepLines w:val="0"/>
                    <w:widowControl/>
                    <w:suppressLineNumbers w:val="0"/>
                    <w:spacing w:before="0" w:beforeAutospacing="0" w:after="0" w:afterAutospacing="0" w:line="280" w:lineRule="exact"/>
                    <w:ind w:left="0" w:right="0"/>
                    <w:jc w:val="center"/>
                    <w:textAlignment w:val="center"/>
                    <w:rPr>
                      <w:rFonts w:hint="default" w:ascii="Times New Roman" w:hAnsi="Times New Roman" w:eastAsia="宋体" w:cs="Times New Roman"/>
                      <w:b w:val="0"/>
                      <w:bCs w:val="0"/>
                      <w:sz w:val="21"/>
                      <w:szCs w:val="21"/>
                      <w:highlight w:val="none"/>
                      <w:lang w:val="en-US" w:eastAsia="zh-CN" w:bidi="ar"/>
                    </w:rPr>
                  </w:pPr>
                  <w:r>
                    <w:rPr>
                      <w:rFonts w:hint="eastAsia" w:ascii="Times New Roman" w:hAnsi="Times New Roman" w:eastAsia="宋体" w:cs="Times New Roman"/>
                      <w:b w:val="0"/>
                      <w:bCs w:val="0"/>
                      <w:sz w:val="21"/>
                      <w:szCs w:val="21"/>
                      <w:highlight w:val="none"/>
                      <w:lang w:val="en-US" w:eastAsia="zh-CN" w:bidi="ar"/>
                    </w:rPr>
                    <w:t>DA004</w:t>
                  </w:r>
                </w:p>
              </w:tc>
              <w:tc>
                <w:tcPr>
                  <w:tcW w:w="623" w:type="pct"/>
                  <w:vMerge w:val="restart"/>
                  <w:shd w:val="clear" w:color="auto" w:fill="auto"/>
                  <w:noWrap w:val="0"/>
                  <w:vAlign w:val="center"/>
                </w:tcPr>
                <w:p w14:paraId="2255B61B">
                  <w:pPr>
                    <w:keepNext w:val="0"/>
                    <w:keepLines w:val="0"/>
                    <w:widowControl/>
                    <w:suppressLineNumbers w:val="0"/>
                    <w:spacing w:before="0" w:beforeAutospacing="0" w:after="0" w:afterAutospacing="0" w:line="280" w:lineRule="exact"/>
                    <w:ind w:left="0" w:right="0"/>
                    <w:jc w:val="center"/>
                    <w:textAlignment w:val="center"/>
                    <w:rPr>
                      <w:rFonts w:hint="eastAsia" w:cs="Times New Roman"/>
                      <w:b w:val="0"/>
                      <w:bCs w:val="0"/>
                      <w:sz w:val="21"/>
                      <w:szCs w:val="21"/>
                      <w:highlight w:val="none"/>
                      <w:lang w:val="en-US" w:eastAsia="zh-CN" w:bidi="ar"/>
                    </w:rPr>
                  </w:pPr>
                  <w:r>
                    <w:rPr>
                      <w:rFonts w:hint="eastAsia" w:cs="Times New Roman"/>
                      <w:b w:val="0"/>
                      <w:bCs w:val="0"/>
                      <w:sz w:val="21"/>
                      <w:szCs w:val="21"/>
                      <w:highlight w:val="none"/>
                      <w:lang w:val="en-US" w:eastAsia="zh-CN" w:bidi="ar"/>
                    </w:rPr>
                    <w:t>有组织</w:t>
                  </w:r>
                </w:p>
              </w:tc>
              <w:tc>
                <w:tcPr>
                  <w:tcW w:w="651" w:type="pct"/>
                  <w:shd w:val="clear" w:color="auto" w:fill="auto"/>
                  <w:noWrap w:val="0"/>
                  <w:vAlign w:val="center"/>
                </w:tcPr>
                <w:p w14:paraId="3AFCC7EA">
                  <w:pPr>
                    <w:keepNext w:val="0"/>
                    <w:keepLines w:val="0"/>
                    <w:widowControl/>
                    <w:suppressLineNumbers w:val="0"/>
                    <w:spacing w:before="0" w:beforeAutospacing="0" w:after="0" w:afterAutospacing="0" w:line="280" w:lineRule="exact"/>
                    <w:ind w:left="0" w:right="0"/>
                    <w:jc w:val="center"/>
                    <w:textAlignment w:val="center"/>
                    <w:rPr>
                      <w:rFonts w:hint="eastAsia" w:ascii="Times New Roman" w:hAnsi="Times New Roman" w:eastAsia="宋体" w:cs="Times New Roman"/>
                      <w:b w:val="0"/>
                      <w:bCs w:val="0"/>
                      <w:kern w:val="2"/>
                      <w:sz w:val="21"/>
                      <w:szCs w:val="21"/>
                      <w:highlight w:val="none"/>
                      <w:lang w:val="en-US" w:eastAsia="zh-CN" w:bidi="ar"/>
                    </w:rPr>
                  </w:pPr>
                  <w:r>
                    <w:rPr>
                      <w:rFonts w:hint="eastAsia" w:ascii="Times New Roman" w:hAnsi="Times New Roman" w:eastAsia="宋体" w:cs="Times New Roman"/>
                      <w:b w:val="0"/>
                      <w:bCs w:val="0"/>
                      <w:sz w:val="21"/>
                      <w:szCs w:val="21"/>
                      <w:highlight w:val="none"/>
                      <w:lang w:val="en-US" w:eastAsia="zh-CN" w:bidi="ar"/>
                    </w:rPr>
                    <w:t>NH</w:t>
                  </w:r>
                  <w:r>
                    <w:rPr>
                      <w:rFonts w:hint="eastAsia" w:ascii="Times New Roman" w:hAnsi="Times New Roman" w:eastAsia="宋体" w:cs="Times New Roman"/>
                      <w:b w:val="0"/>
                      <w:bCs w:val="0"/>
                      <w:sz w:val="21"/>
                      <w:szCs w:val="21"/>
                      <w:highlight w:val="none"/>
                      <w:vertAlign w:val="subscript"/>
                      <w:lang w:val="en-US" w:eastAsia="zh-CN" w:bidi="ar"/>
                    </w:rPr>
                    <w:t>3</w:t>
                  </w:r>
                </w:p>
              </w:tc>
              <w:tc>
                <w:tcPr>
                  <w:tcW w:w="641" w:type="pct"/>
                  <w:shd w:val="clear" w:color="auto" w:fill="auto"/>
                  <w:noWrap w:val="0"/>
                  <w:vAlign w:val="center"/>
                </w:tcPr>
                <w:p w14:paraId="7D4F851D">
                  <w:pPr>
                    <w:keepNext w:val="0"/>
                    <w:keepLines w:val="0"/>
                    <w:widowControl/>
                    <w:suppressLineNumbers w:val="0"/>
                    <w:spacing w:before="0" w:beforeAutospacing="0" w:after="0" w:afterAutospacing="0"/>
                    <w:ind w:left="0" w:right="0"/>
                    <w:jc w:val="center"/>
                    <w:textAlignment w:val="center"/>
                    <w:rPr>
                      <w:rFonts w:hint="eastAsia" w:ascii="Times New Roman" w:hAnsi="Times New Roman" w:eastAsia="宋体" w:cs="Times New Roman"/>
                      <w:i w:val="0"/>
                      <w:iCs w:val="0"/>
                      <w:color w:val="000000"/>
                      <w:kern w:val="0"/>
                      <w:sz w:val="21"/>
                      <w:szCs w:val="21"/>
                      <w:highlight w:val="none"/>
                      <w:u w:val="none"/>
                      <w:lang w:val="en-US" w:eastAsia="zh-CN" w:bidi="ar"/>
                    </w:rPr>
                  </w:pPr>
                  <w:r>
                    <w:rPr>
                      <w:rFonts w:hint="eastAsia" w:ascii="Times New Roman" w:hAnsi="Times New Roman" w:eastAsia="宋体" w:cs="Times New Roman"/>
                      <w:i w:val="0"/>
                      <w:iCs w:val="0"/>
                      <w:color w:val="000000"/>
                      <w:kern w:val="0"/>
                      <w:sz w:val="21"/>
                      <w:szCs w:val="21"/>
                      <w:highlight w:val="none"/>
                      <w:u w:val="none"/>
                      <w:lang w:val="en-US" w:eastAsia="zh-CN" w:bidi="ar"/>
                    </w:rPr>
                    <w:t>0.003</w:t>
                  </w:r>
                </w:p>
              </w:tc>
              <w:tc>
                <w:tcPr>
                  <w:tcW w:w="706" w:type="pct"/>
                  <w:shd w:val="clear" w:color="auto" w:fill="auto"/>
                  <w:noWrap w:val="0"/>
                  <w:vAlign w:val="center"/>
                </w:tcPr>
                <w:p w14:paraId="7D327993">
                  <w:pPr>
                    <w:keepNext w:val="0"/>
                    <w:keepLines w:val="0"/>
                    <w:widowControl/>
                    <w:suppressLineNumbers w:val="0"/>
                    <w:spacing w:before="0" w:beforeAutospacing="0" w:after="0" w:afterAutospacing="0"/>
                    <w:ind w:left="0" w:right="0"/>
                    <w:jc w:val="center"/>
                    <w:textAlignment w:val="center"/>
                    <w:rPr>
                      <w:rFonts w:hint="eastAsia" w:ascii="Times New Roman" w:hAnsi="Times New Roman" w:eastAsia="宋体" w:cs="Times New Roman"/>
                      <w:i w:val="0"/>
                      <w:iCs w:val="0"/>
                      <w:color w:val="000000"/>
                      <w:kern w:val="0"/>
                      <w:sz w:val="21"/>
                      <w:szCs w:val="21"/>
                      <w:highlight w:val="none"/>
                      <w:u w:val="none"/>
                      <w:lang w:val="en-US" w:eastAsia="zh-CN" w:bidi="ar"/>
                    </w:rPr>
                  </w:pPr>
                  <w:r>
                    <w:rPr>
                      <w:rFonts w:hint="eastAsia" w:ascii="Times New Roman" w:hAnsi="Times New Roman" w:eastAsia="宋体" w:cs="Times New Roman"/>
                      <w:i w:val="0"/>
                      <w:iCs w:val="0"/>
                      <w:color w:val="000000"/>
                      <w:kern w:val="0"/>
                      <w:sz w:val="21"/>
                      <w:szCs w:val="21"/>
                      <w:highlight w:val="none"/>
                      <w:u w:val="none"/>
                      <w:lang w:val="en-US" w:eastAsia="zh-CN" w:bidi="ar"/>
                    </w:rPr>
                    <w:t>~0</w:t>
                  </w:r>
                </w:p>
              </w:tc>
              <w:tc>
                <w:tcPr>
                  <w:tcW w:w="635" w:type="pct"/>
                  <w:noWrap w:val="0"/>
                  <w:vAlign w:val="center"/>
                </w:tcPr>
                <w:p w14:paraId="7408A30F">
                  <w:pPr>
                    <w:keepNext w:val="0"/>
                    <w:keepLines w:val="0"/>
                    <w:widowControl/>
                    <w:suppressLineNumbers w:val="0"/>
                    <w:spacing w:before="0" w:beforeAutospacing="0" w:after="0" w:afterAutospacing="0"/>
                    <w:ind w:left="0" w:right="0"/>
                    <w:jc w:val="center"/>
                    <w:textAlignment w:val="center"/>
                    <w:rPr>
                      <w:rFonts w:hint="eastAsia" w:ascii="Times New Roman" w:hAnsi="Times New Roman" w:eastAsia="宋体" w:cs="Times New Roman"/>
                      <w:i w:val="0"/>
                      <w:iCs w:val="0"/>
                      <w:color w:val="000000"/>
                      <w:kern w:val="0"/>
                      <w:sz w:val="21"/>
                      <w:szCs w:val="21"/>
                      <w:highlight w:val="none"/>
                      <w:u w:val="none"/>
                      <w:lang w:val="en-US" w:eastAsia="zh-CN" w:bidi="ar"/>
                    </w:rPr>
                  </w:pPr>
                  <w:r>
                    <w:rPr>
                      <w:rFonts w:hint="eastAsia" w:ascii="Times New Roman" w:hAnsi="Times New Roman" w:eastAsia="宋体" w:cs="Times New Roman"/>
                      <w:i w:val="0"/>
                      <w:iCs w:val="0"/>
                      <w:color w:val="000000"/>
                      <w:kern w:val="0"/>
                      <w:sz w:val="21"/>
                      <w:szCs w:val="21"/>
                      <w:highlight w:val="none"/>
                      <w:u w:val="none"/>
                      <w:lang w:val="en-US" w:eastAsia="zh-CN" w:bidi="ar"/>
                    </w:rPr>
                    <w:t>~0</w:t>
                  </w:r>
                </w:p>
              </w:tc>
              <w:tc>
                <w:tcPr>
                  <w:tcW w:w="719" w:type="pct"/>
                  <w:noWrap w:val="0"/>
                  <w:vAlign w:val="center"/>
                </w:tcPr>
                <w:p w14:paraId="6EC1E04A">
                  <w:pPr>
                    <w:keepNext w:val="0"/>
                    <w:keepLines w:val="0"/>
                    <w:widowControl/>
                    <w:suppressLineNumbers w:val="0"/>
                    <w:spacing w:before="0" w:beforeAutospacing="0" w:after="0" w:afterAutospacing="0"/>
                    <w:ind w:left="0" w:right="0"/>
                    <w:jc w:val="center"/>
                    <w:textAlignment w:val="center"/>
                    <w:rPr>
                      <w:rFonts w:hint="eastAsia" w:ascii="Times New Roman" w:hAnsi="Times New Roman" w:eastAsia="宋体" w:cs="Times New Roman"/>
                      <w:i w:val="0"/>
                      <w:iCs w:val="0"/>
                      <w:color w:val="000000"/>
                      <w:kern w:val="0"/>
                      <w:sz w:val="21"/>
                      <w:szCs w:val="21"/>
                      <w:highlight w:val="none"/>
                      <w:u w:val="none"/>
                      <w:lang w:val="en-US" w:eastAsia="zh-CN" w:bidi="ar"/>
                    </w:rPr>
                  </w:pPr>
                  <w:r>
                    <w:rPr>
                      <w:rFonts w:hint="eastAsia" w:ascii="Times New Roman" w:hAnsi="Times New Roman" w:eastAsia="宋体" w:cs="Times New Roman"/>
                      <w:i w:val="0"/>
                      <w:iCs w:val="0"/>
                      <w:color w:val="000000"/>
                      <w:kern w:val="0"/>
                      <w:sz w:val="21"/>
                      <w:szCs w:val="21"/>
                      <w:highlight w:val="none"/>
                      <w:u w:val="none"/>
                      <w:lang w:val="en-US" w:eastAsia="zh-CN" w:bidi="ar"/>
                    </w:rPr>
                    <w:t xml:space="preserve">~0 </w:t>
                  </w:r>
                </w:p>
              </w:tc>
            </w:tr>
            <w:tr w14:paraId="52A2E51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470" w:type="pct"/>
                  <w:vMerge w:val="continue"/>
                  <w:noWrap w:val="0"/>
                  <w:vAlign w:val="center"/>
                </w:tcPr>
                <w:p w14:paraId="480E78B0">
                  <w:pPr>
                    <w:keepNext w:val="0"/>
                    <w:keepLines w:val="0"/>
                    <w:widowControl/>
                    <w:suppressLineNumbers w:val="0"/>
                    <w:spacing w:before="0" w:beforeAutospacing="0" w:after="0" w:afterAutospacing="0" w:line="280" w:lineRule="exact"/>
                    <w:ind w:left="0" w:right="0"/>
                    <w:jc w:val="center"/>
                    <w:textAlignment w:val="center"/>
                    <w:rPr>
                      <w:rFonts w:hint="eastAsia" w:ascii="Times New Roman" w:hAnsi="Times New Roman" w:eastAsia="宋体" w:cs="Times New Roman"/>
                      <w:b w:val="0"/>
                      <w:bCs w:val="0"/>
                      <w:sz w:val="21"/>
                      <w:szCs w:val="21"/>
                      <w:highlight w:val="none"/>
                      <w:lang w:val="en-US" w:eastAsia="zh-CN" w:bidi="ar"/>
                    </w:rPr>
                  </w:pPr>
                </w:p>
              </w:tc>
              <w:tc>
                <w:tcPr>
                  <w:tcW w:w="552" w:type="pct"/>
                  <w:vMerge w:val="continue"/>
                  <w:noWrap w:val="0"/>
                  <w:vAlign w:val="center"/>
                </w:tcPr>
                <w:p w14:paraId="67C67F39">
                  <w:pPr>
                    <w:keepNext w:val="0"/>
                    <w:keepLines w:val="0"/>
                    <w:widowControl/>
                    <w:suppressLineNumbers w:val="0"/>
                    <w:spacing w:before="0" w:beforeAutospacing="0" w:after="0" w:afterAutospacing="0" w:line="280" w:lineRule="exact"/>
                    <w:ind w:left="0" w:right="0"/>
                    <w:jc w:val="center"/>
                    <w:textAlignment w:val="center"/>
                    <w:rPr>
                      <w:rFonts w:hint="eastAsia" w:ascii="Times New Roman" w:hAnsi="Times New Roman" w:eastAsia="宋体" w:cs="Times New Roman"/>
                      <w:b w:val="0"/>
                      <w:bCs w:val="0"/>
                      <w:sz w:val="21"/>
                      <w:szCs w:val="21"/>
                      <w:highlight w:val="none"/>
                      <w:lang w:val="en-US" w:eastAsia="zh-CN" w:bidi="ar"/>
                    </w:rPr>
                  </w:pPr>
                </w:p>
              </w:tc>
              <w:tc>
                <w:tcPr>
                  <w:tcW w:w="623" w:type="pct"/>
                  <w:vMerge w:val="continue"/>
                  <w:shd w:val="clear" w:color="auto" w:fill="auto"/>
                  <w:noWrap w:val="0"/>
                  <w:vAlign w:val="center"/>
                </w:tcPr>
                <w:p w14:paraId="262020A2">
                  <w:pPr>
                    <w:keepNext w:val="0"/>
                    <w:keepLines w:val="0"/>
                    <w:widowControl/>
                    <w:suppressLineNumbers w:val="0"/>
                    <w:spacing w:before="0" w:beforeAutospacing="0" w:after="0" w:afterAutospacing="0" w:line="280" w:lineRule="exact"/>
                    <w:ind w:left="0" w:right="0"/>
                    <w:jc w:val="center"/>
                    <w:textAlignment w:val="center"/>
                    <w:rPr>
                      <w:rFonts w:hint="eastAsia" w:cs="Times New Roman"/>
                      <w:b w:val="0"/>
                      <w:bCs w:val="0"/>
                      <w:sz w:val="21"/>
                      <w:szCs w:val="21"/>
                      <w:highlight w:val="none"/>
                      <w:lang w:val="en-US" w:eastAsia="zh-CN" w:bidi="ar"/>
                    </w:rPr>
                  </w:pPr>
                </w:p>
              </w:tc>
              <w:tc>
                <w:tcPr>
                  <w:tcW w:w="651" w:type="pct"/>
                  <w:shd w:val="clear" w:color="auto" w:fill="auto"/>
                  <w:noWrap w:val="0"/>
                  <w:vAlign w:val="center"/>
                </w:tcPr>
                <w:p w14:paraId="5AE03C7B">
                  <w:pPr>
                    <w:keepNext w:val="0"/>
                    <w:keepLines w:val="0"/>
                    <w:widowControl/>
                    <w:suppressLineNumbers w:val="0"/>
                    <w:spacing w:before="0" w:beforeAutospacing="0" w:after="0" w:afterAutospacing="0" w:line="280" w:lineRule="exact"/>
                    <w:ind w:left="0" w:right="0"/>
                    <w:jc w:val="center"/>
                    <w:textAlignment w:val="center"/>
                    <w:rPr>
                      <w:rFonts w:hint="eastAsia" w:ascii="Times New Roman" w:hAnsi="Times New Roman" w:eastAsia="宋体" w:cs="Times New Roman"/>
                      <w:b w:val="0"/>
                      <w:bCs w:val="0"/>
                      <w:kern w:val="2"/>
                      <w:sz w:val="21"/>
                      <w:szCs w:val="21"/>
                      <w:highlight w:val="none"/>
                      <w:lang w:val="en-US" w:eastAsia="zh-CN" w:bidi="ar"/>
                    </w:rPr>
                  </w:pPr>
                  <w:r>
                    <w:rPr>
                      <w:rFonts w:hint="eastAsia" w:ascii="Times New Roman" w:hAnsi="Times New Roman" w:eastAsia="宋体" w:cs="Times New Roman"/>
                      <w:b w:val="0"/>
                      <w:bCs w:val="0"/>
                      <w:sz w:val="21"/>
                      <w:szCs w:val="21"/>
                      <w:highlight w:val="none"/>
                      <w:lang w:val="en-US" w:eastAsia="zh-CN" w:bidi="ar"/>
                    </w:rPr>
                    <w:t>H</w:t>
                  </w:r>
                  <w:r>
                    <w:rPr>
                      <w:rFonts w:hint="eastAsia" w:ascii="Times New Roman" w:hAnsi="Times New Roman" w:eastAsia="宋体" w:cs="Times New Roman"/>
                      <w:b w:val="0"/>
                      <w:bCs w:val="0"/>
                      <w:sz w:val="21"/>
                      <w:szCs w:val="21"/>
                      <w:highlight w:val="none"/>
                      <w:vertAlign w:val="subscript"/>
                      <w:lang w:val="en-US" w:eastAsia="zh-CN" w:bidi="ar"/>
                    </w:rPr>
                    <w:t>2</w:t>
                  </w:r>
                  <w:r>
                    <w:rPr>
                      <w:rFonts w:hint="eastAsia" w:ascii="Times New Roman" w:hAnsi="Times New Roman" w:eastAsia="宋体" w:cs="Times New Roman"/>
                      <w:b w:val="0"/>
                      <w:bCs w:val="0"/>
                      <w:sz w:val="21"/>
                      <w:szCs w:val="21"/>
                      <w:highlight w:val="none"/>
                      <w:lang w:val="en-US" w:eastAsia="zh-CN" w:bidi="ar"/>
                    </w:rPr>
                    <w:t>S</w:t>
                  </w:r>
                </w:p>
              </w:tc>
              <w:tc>
                <w:tcPr>
                  <w:tcW w:w="641" w:type="pct"/>
                  <w:noWrap w:val="0"/>
                  <w:vAlign w:val="center"/>
                </w:tcPr>
                <w:p w14:paraId="0DD6A09B">
                  <w:pPr>
                    <w:keepNext w:val="0"/>
                    <w:keepLines w:val="0"/>
                    <w:widowControl/>
                    <w:suppressLineNumbers w:val="0"/>
                    <w:spacing w:before="0" w:beforeAutospacing="0" w:after="0" w:afterAutospacing="0"/>
                    <w:ind w:left="0" w:right="0"/>
                    <w:jc w:val="center"/>
                    <w:textAlignment w:val="center"/>
                    <w:rPr>
                      <w:rFonts w:hint="eastAsia" w:ascii="Times New Roman" w:hAnsi="Times New Roman" w:eastAsia="宋体" w:cs="Times New Roman"/>
                      <w:i w:val="0"/>
                      <w:iCs w:val="0"/>
                      <w:color w:val="000000"/>
                      <w:kern w:val="0"/>
                      <w:sz w:val="21"/>
                      <w:szCs w:val="21"/>
                      <w:highlight w:val="none"/>
                      <w:u w:val="none"/>
                      <w:lang w:val="en-US" w:eastAsia="zh-CN" w:bidi="ar"/>
                    </w:rPr>
                  </w:pPr>
                  <w:r>
                    <w:rPr>
                      <w:rFonts w:hint="eastAsia" w:ascii="Times New Roman" w:hAnsi="Times New Roman" w:eastAsia="宋体" w:cs="Times New Roman"/>
                      <w:i w:val="0"/>
                      <w:iCs w:val="0"/>
                      <w:color w:val="000000"/>
                      <w:kern w:val="0"/>
                      <w:sz w:val="21"/>
                      <w:szCs w:val="21"/>
                      <w:highlight w:val="none"/>
                      <w:u w:val="none"/>
                      <w:lang w:val="en-US" w:eastAsia="zh-CN" w:bidi="ar"/>
                    </w:rPr>
                    <w:t>0.001</w:t>
                  </w:r>
                </w:p>
              </w:tc>
              <w:tc>
                <w:tcPr>
                  <w:tcW w:w="706" w:type="pct"/>
                  <w:noWrap w:val="0"/>
                  <w:vAlign w:val="center"/>
                </w:tcPr>
                <w:p w14:paraId="3F7D12CA">
                  <w:pPr>
                    <w:keepNext w:val="0"/>
                    <w:keepLines w:val="0"/>
                    <w:widowControl/>
                    <w:suppressLineNumbers w:val="0"/>
                    <w:spacing w:before="0" w:beforeAutospacing="0" w:after="0" w:afterAutospacing="0"/>
                    <w:ind w:left="0" w:right="0"/>
                    <w:jc w:val="center"/>
                    <w:textAlignment w:val="center"/>
                    <w:rPr>
                      <w:rFonts w:hint="eastAsia" w:ascii="Times New Roman" w:hAnsi="Times New Roman" w:eastAsia="宋体" w:cs="Times New Roman"/>
                      <w:i w:val="0"/>
                      <w:iCs w:val="0"/>
                      <w:color w:val="000000"/>
                      <w:kern w:val="0"/>
                      <w:sz w:val="21"/>
                      <w:szCs w:val="21"/>
                      <w:highlight w:val="none"/>
                      <w:u w:val="none"/>
                      <w:lang w:val="en-US" w:eastAsia="zh-CN" w:bidi="ar"/>
                    </w:rPr>
                  </w:pPr>
                  <w:r>
                    <w:rPr>
                      <w:rFonts w:hint="eastAsia" w:ascii="Times New Roman" w:hAnsi="Times New Roman" w:eastAsia="宋体" w:cs="Times New Roman"/>
                      <w:i w:val="0"/>
                      <w:iCs w:val="0"/>
                      <w:color w:val="000000"/>
                      <w:kern w:val="0"/>
                      <w:sz w:val="21"/>
                      <w:szCs w:val="21"/>
                      <w:highlight w:val="none"/>
                      <w:u w:val="none"/>
                      <w:lang w:val="en-US" w:eastAsia="zh-CN" w:bidi="ar"/>
                    </w:rPr>
                    <w:t>~0</w:t>
                  </w:r>
                </w:p>
              </w:tc>
              <w:tc>
                <w:tcPr>
                  <w:tcW w:w="635" w:type="pct"/>
                  <w:noWrap w:val="0"/>
                  <w:vAlign w:val="center"/>
                </w:tcPr>
                <w:p w14:paraId="6B54E650">
                  <w:pPr>
                    <w:keepNext w:val="0"/>
                    <w:keepLines w:val="0"/>
                    <w:widowControl/>
                    <w:suppressLineNumbers w:val="0"/>
                    <w:spacing w:before="0" w:beforeAutospacing="0" w:after="0" w:afterAutospacing="0"/>
                    <w:ind w:left="0" w:right="0"/>
                    <w:jc w:val="center"/>
                    <w:textAlignment w:val="center"/>
                    <w:rPr>
                      <w:rFonts w:hint="eastAsia" w:ascii="Times New Roman" w:hAnsi="Times New Roman" w:eastAsia="宋体" w:cs="Times New Roman"/>
                      <w:i w:val="0"/>
                      <w:iCs w:val="0"/>
                      <w:color w:val="000000"/>
                      <w:kern w:val="0"/>
                      <w:sz w:val="21"/>
                      <w:szCs w:val="21"/>
                      <w:highlight w:val="none"/>
                      <w:u w:val="none"/>
                      <w:lang w:val="en-US" w:eastAsia="zh-CN" w:bidi="ar"/>
                    </w:rPr>
                  </w:pPr>
                  <w:r>
                    <w:rPr>
                      <w:rFonts w:hint="eastAsia" w:ascii="Times New Roman" w:hAnsi="Times New Roman" w:eastAsia="宋体" w:cs="Times New Roman"/>
                      <w:i w:val="0"/>
                      <w:iCs w:val="0"/>
                      <w:color w:val="000000"/>
                      <w:kern w:val="0"/>
                      <w:sz w:val="21"/>
                      <w:szCs w:val="21"/>
                      <w:highlight w:val="none"/>
                      <w:u w:val="none"/>
                      <w:lang w:val="en-US" w:eastAsia="zh-CN" w:bidi="ar"/>
                    </w:rPr>
                    <w:t>0.001</w:t>
                  </w:r>
                </w:p>
              </w:tc>
              <w:tc>
                <w:tcPr>
                  <w:tcW w:w="719" w:type="pct"/>
                  <w:noWrap w:val="0"/>
                  <w:vAlign w:val="center"/>
                </w:tcPr>
                <w:p w14:paraId="298BC0CC">
                  <w:pPr>
                    <w:keepNext w:val="0"/>
                    <w:keepLines w:val="0"/>
                    <w:widowControl/>
                    <w:suppressLineNumbers w:val="0"/>
                    <w:spacing w:before="0" w:beforeAutospacing="0" w:after="0" w:afterAutospacing="0"/>
                    <w:ind w:left="0" w:right="0"/>
                    <w:jc w:val="center"/>
                    <w:textAlignment w:val="center"/>
                    <w:rPr>
                      <w:rFonts w:hint="eastAsia" w:ascii="Times New Roman" w:hAnsi="Times New Roman" w:eastAsia="宋体" w:cs="Times New Roman"/>
                      <w:i w:val="0"/>
                      <w:iCs w:val="0"/>
                      <w:color w:val="000000"/>
                      <w:kern w:val="0"/>
                      <w:sz w:val="21"/>
                      <w:szCs w:val="21"/>
                      <w:highlight w:val="none"/>
                      <w:u w:val="none"/>
                      <w:lang w:val="en-US" w:eastAsia="zh-CN" w:bidi="ar"/>
                    </w:rPr>
                  </w:pPr>
                  <w:r>
                    <w:rPr>
                      <w:rFonts w:hint="eastAsia" w:ascii="Times New Roman" w:hAnsi="Times New Roman" w:eastAsia="宋体" w:cs="Times New Roman"/>
                      <w:i w:val="0"/>
                      <w:iCs w:val="0"/>
                      <w:color w:val="000000"/>
                      <w:kern w:val="0"/>
                      <w:sz w:val="21"/>
                      <w:szCs w:val="21"/>
                      <w:highlight w:val="none"/>
                      <w:u w:val="none"/>
                      <w:lang w:val="en-US" w:eastAsia="zh-CN" w:bidi="ar"/>
                    </w:rPr>
                    <w:t xml:space="preserve">~0 </w:t>
                  </w:r>
                </w:p>
              </w:tc>
            </w:tr>
            <w:tr w14:paraId="29A1B4A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470" w:type="pct"/>
                  <w:vMerge w:val="continue"/>
                  <w:noWrap w:val="0"/>
                  <w:vAlign w:val="center"/>
                </w:tcPr>
                <w:p w14:paraId="360D3BE0">
                  <w:pPr>
                    <w:keepNext w:val="0"/>
                    <w:keepLines w:val="0"/>
                    <w:widowControl/>
                    <w:suppressLineNumbers w:val="0"/>
                    <w:spacing w:before="0" w:beforeAutospacing="0" w:after="0" w:afterAutospacing="0" w:line="280" w:lineRule="exact"/>
                    <w:ind w:left="0" w:right="0"/>
                    <w:jc w:val="center"/>
                    <w:textAlignment w:val="center"/>
                    <w:rPr>
                      <w:rFonts w:hint="eastAsia" w:ascii="Times New Roman" w:hAnsi="Times New Roman" w:eastAsia="宋体" w:cs="Times New Roman"/>
                      <w:b w:val="0"/>
                      <w:bCs w:val="0"/>
                      <w:sz w:val="21"/>
                      <w:szCs w:val="21"/>
                      <w:highlight w:val="none"/>
                      <w:lang w:val="en-US" w:eastAsia="zh-CN" w:bidi="ar"/>
                    </w:rPr>
                  </w:pPr>
                </w:p>
              </w:tc>
              <w:tc>
                <w:tcPr>
                  <w:tcW w:w="552" w:type="pct"/>
                  <w:vMerge w:val="continue"/>
                  <w:noWrap w:val="0"/>
                  <w:vAlign w:val="center"/>
                </w:tcPr>
                <w:p w14:paraId="332D3653">
                  <w:pPr>
                    <w:keepNext w:val="0"/>
                    <w:keepLines w:val="0"/>
                    <w:widowControl/>
                    <w:suppressLineNumbers w:val="0"/>
                    <w:spacing w:before="0" w:beforeAutospacing="0" w:after="0" w:afterAutospacing="0" w:line="280" w:lineRule="exact"/>
                    <w:ind w:left="0" w:right="0"/>
                    <w:jc w:val="center"/>
                    <w:textAlignment w:val="center"/>
                    <w:rPr>
                      <w:rFonts w:hint="eastAsia" w:ascii="Times New Roman" w:hAnsi="Times New Roman" w:eastAsia="宋体" w:cs="Times New Roman"/>
                      <w:b w:val="0"/>
                      <w:bCs w:val="0"/>
                      <w:sz w:val="21"/>
                      <w:szCs w:val="21"/>
                      <w:highlight w:val="none"/>
                      <w:lang w:val="en-US" w:eastAsia="zh-CN" w:bidi="ar"/>
                    </w:rPr>
                  </w:pPr>
                </w:p>
              </w:tc>
              <w:tc>
                <w:tcPr>
                  <w:tcW w:w="623" w:type="pct"/>
                  <w:vMerge w:val="continue"/>
                  <w:shd w:val="clear" w:color="auto" w:fill="auto"/>
                  <w:noWrap w:val="0"/>
                  <w:vAlign w:val="center"/>
                </w:tcPr>
                <w:p w14:paraId="5C27174C">
                  <w:pPr>
                    <w:keepNext w:val="0"/>
                    <w:keepLines w:val="0"/>
                    <w:widowControl/>
                    <w:suppressLineNumbers w:val="0"/>
                    <w:spacing w:before="0" w:beforeAutospacing="0" w:after="0" w:afterAutospacing="0" w:line="280" w:lineRule="exact"/>
                    <w:ind w:left="0" w:right="0"/>
                    <w:jc w:val="center"/>
                    <w:textAlignment w:val="center"/>
                    <w:rPr>
                      <w:rFonts w:hint="eastAsia" w:cs="Times New Roman"/>
                      <w:b w:val="0"/>
                      <w:bCs w:val="0"/>
                      <w:sz w:val="21"/>
                      <w:szCs w:val="21"/>
                      <w:highlight w:val="none"/>
                      <w:lang w:val="en-US" w:eastAsia="zh-CN" w:bidi="ar"/>
                    </w:rPr>
                  </w:pPr>
                </w:p>
              </w:tc>
              <w:tc>
                <w:tcPr>
                  <w:tcW w:w="651" w:type="pct"/>
                  <w:shd w:val="clear" w:color="auto" w:fill="auto"/>
                  <w:noWrap w:val="0"/>
                  <w:vAlign w:val="center"/>
                </w:tcPr>
                <w:p w14:paraId="36DFE5F1">
                  <w:pPr>
                    <w:keepNext w:val="0"/>
                    <w:keepLines w:val="0"/>
                    <w:widowControl/>
                    <w:suppressLineNumbers w:val="0"/>
                    <w:spacing w:before="0" w:beforeAutospacing="0" w:after="0" w:afterAutospacing="0" w:line="280" w:lineRule="exact"/>
                    <w:ind w:left="0" w:leftChars="0" w:right="0" w:rightChars="0"/>
                    <w:jc w:val="center"/>
                    <w:textAlignment w:val="center"/>
                    <w:rPr>
                      <w:rFonts w:hint="eastAsia" w:ascii="Times New Roman" w:hAnsi="Times New Roman" w:eastAsia="宋体" w:cs="Times New Roman"/>
                      <w:b w:val="0"/>
                      <w:bCs w:val="0"/>
                      <w:kern w:val="2"/>
                      <w:sz w:val="21"/>
                      <w:szCs w:val="21"/>
                      <w:highlight w:val="none"/>
                      <w:lang w:val="en-US" w:eastAsia="zh-CN" w:bidi="ar"/>
                    </w:rPr>
                  </w:pPr>
                  <w:r>
                    <w:rPr>
                      <w:rFonts w:hint="eastAsia" w:cs="Times New Roman"/>
                      <w:b w:val="0"/>
                      <w:bCs w:val="0"/>
                      <w:sz w:val="21"/>
                      <w:szCs w:val="21"/>
                      <w:highlight w:val="none"/>
                      <w:lang w:val="en-US" w:eastAsia="zh-CN" w:bidi="ar"/>
                    </w:rPr>
                    <w:t>颗粒物</w:t>
                  </w:r>
                </w:p>
              </w:tc>
              <w:tc>
                <w:tcPr>
                  <w:tcW w:w="1348" w:type="pct"/>
                  <w:gridSpan w:val="2"/>
                  <w:shd w:val="clear" w:color="auto" w:fill="auto"/>
                  <w:noWrap w:val="0"/>
                  <w:vAlign w:val="center"/>
                </w:tcPr>
                <w:p w14:paraId="36CF9ABD">
                  <w:pPr>
                    <w:keepNext w:val="0"/>
                    <w:keepLines w:val="0"/>
                    <w:widowControl/>
                    <w:suppressLineNumbers w:val="0"/>
                    <w:spacing w:before="0" w:beforeAutospacing="0" w:after="0" w:afterAutospacing="0"/>
                    <w:ind w:left="0" w:leftChars="0" w:right="0" w:rightChars="0"/>
                    <w:jc w:val="center"/>
                    <w:textAlignment w:val="center"/>
                    <w:rPr>
                      <w:rFonts w:hint="eastAsia" w:ascii="Times New Roman" w:hAnsi="Times New Roman" w:eastAsia="宋体" w:cs="Times New Roman"/>
                      <w:i w:val="0"/>
                      <w:iCs w:val="0"/>
                      <w:color w:val="000000"/>
                      <w:kern w:val="0"/>
                      <w:sz w:val="21"/>
                      <w:szCs w:val="21"/>
                      <w:highlight w:val="none"/>
                      <w:u w:val="none"/>
                      <w:lang w:val="en-US" w:eastAsia="zh-CN" w:bidi="ar"/>
                    </w:rPr>
                  </w:pPr>
                  <w:r>
                    <w:rPr>
                      <w:rFonts w:hint="eastAsia" w:cs="Times New Roman"/>
                      <w:i w:val="0"/>
                      <w:iCs w:val="0"/>
                      <w:color w:val="000000"/>
                      <w:kern w:val="0"/>
                      <w:sz w:val="21"/>
                      <w:szCs w:val="21"/>
                      <w:highlight w:val="none"/>
                      <w:u w:val="none"/>
                      <w:lang w:val="en-US" w:eastAsia="zh-CN" w:bidi="ar"/>
                    </w:rPr>
                    <w:t>少量</w:t>
                  </w:r>
                </w:p>
              </w:tc>
              <w:tc>
                <w:tcPr>
                  <w:tcW w:w="1354" w:type="pct"/>
                  <w:gridSpan w:val="2"/>
                  <w:shd w:val="clear" w:color="auto" w:fill="auto"/>
                  <w:noWrap w:val="0"/>
                  <w:vAlign w:val="center"/>
                </w:tcPr>
                <w:p w14:paraId="11644774">
                  <w:pPr>
                    <w:keepNext w:val="0"/>
                    <w:keepLines w:val="0"/>
                    <w:widowControl/>
                    <w:suppressLineNumbers w:val="0"/>
                    <w:spacing w:before="0" w:beforeAutospacing="0" w:after="0" w:afterAutospacing="0"/>
                    <w:ind w:left="0" w:leftChars="0" w:right="0" w:rightChars="0"/>
                    <w:jc w:val="center"/>
                    <w:textAlignment w:val="center"/>
                    <w:rPr>
                      <w:rFonts w:hint="eastAsia" w:ascii="Times New Roman" w:hAnsi="Times New Roman" w:eastAsia="宋体" w:cs="Times New Roman"/>
                      <w:i w:val="0"/>
                      <w:iCs w:val="0"/>
                      <w:color w:val="000000"/>
                      <w:kern w:val="0"/>
                      <w:sz w:val="21"/>
                      <w:szCs w:val="21"/>
                      <w:highlight w:val="none"/>
                      <w:u w:val="none"/>
                      <w:lang w:val="en-US" w:eastAsia="zh-CN" w:bidi="ar"/>
                    </w:rPr>
                  </w:pPr>
                  <w:r>
                    <w:rPr>
                      <w:rFonts w:hint="eastAsia" w:cs="Times New Roman"/>
                      <w:i w:val="0"/>
                      <w:iCs w:val="0"/>
                      <w:color w:val="000000"/>
                      <w:kern w:val="0"/>
                      <w:sz w:val="21"/>
                      <w:szCs w:val="21"/>
                      <w:highlight w:val="none"/>
                      <w:u w:val="none"/>
                      <w:lang w:val="en-US" w:eastAsia="zh-CN" w:bidi="ar"/>
                    </w:rPr>
                    <w:t>少量</w:t>
                  </w:r>
                </w:p>
              </w:tc>
            </w:tr>
            <w:tr w14:paraId="79927A5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470" w:type="pct"/>
                  <w:vMerge w:val="continue"/>
                  <w:noWrap w:val="0"/>
                  <w:vAlign w:val="center"/>
                </w:tcPr>
                <w:p w14:paraId="7C394019">
                  <w:pPr>
                    <w:keepNext w:val="0"/>
                    <w:keepLines w:val="0"/>
                    <w:widowControl/>
                    <w:suppressLineNumbers w:val="0"/>
                    <w:spacing w:before="0" w:beforeAutospacing="0" w:after="0" w:afterAutospacing="0" w:line="280" w:lineRule="exact"/>
                    <w:ind w:left="0" w:right="0"/>
                    <w:jc w:val="center"/>
                    <w:textAlignment w:val="center"/>
                    <w:rPr>
                      <w:rFonts w:hint="eastAsia" w:ascii="Times New Roman" w:hAnsi="Times New Roman" w:eastAsia="宋体" w:cs="Times New Roman"/>
                      <w:b w:val="0"/>
                      <w:bCs w:val="0"/>
                      <w:sz w:val="21"/>
                      <w:szCs w:val="21"/>
                      <w:highlight w:val="none"/>
                      <w:lang w:val="en-US" w:eastAsia="zh-CN" w:bidi="ar"/>
                    </w:rPr>
                  </w:pPr>
                </w:p>
              </w:tc>
              <w:tc>
                <w:tcPr>
                  <w:tcW w:w="552" w:type="pct"/>
                  <w:vMerge w:val="continue"/>
                  <w:noWrap w:val="0"/>
                  <w:vAlign w:val="center"/>
                </w:tcPr>
                <w:p w14:paraId="303702F7">
                  <w:pPr>
                    <w:keepNext w:val="0"/>
                    <w:keepLines w:val="0"/>
                    <w:widowControl/>
                    <w:suppressLineNumbers w:val="0"/>
                    <w:spacing w:before="0" w:beforeAutospacing="0" w:after="0" w:afterAutospacing="0" w:line="280" w:lineRule="exact"/>
                    <w:ind w:left="0" w:right="0"/>
                    <w:jc w:val="center"/>
                    <w:textAlignment w:val="center"/>
                    <w:rPr>
                      <w:rFonts w:hint="eastAsia" w:ascii="Times New Roman" w:hAnsi="Times New Roman" w:eastAsia="宋体" w:cs="Times New Roman"/>
                      <w:b w:val="0"/>
                      <w:bCs w:val="0"/>
                      <w:sz w:val="21"/>
                      <w:szCs w:val="21"/>
                      <w:highlight w:val="none"/>
                      <w:lang w:val="en-US" w:eastAsia="zh-CN" w:bidi="ar"/>
                    </w:rPr>
                  </w:pPr>
                </w:p>
              </w:tc>
              <w:tc>
                <w:tcPr>
                  <w:tcW w:w="623" w:type="pct"/>
                  <w:vMerge w:val="restart"/>
                  <w:shd w:val="clear" w:color="auto" w:fill="auto"/>
                  <w:noWrap w:val="0"/>
                  <w:vAlign w:val="center"/>
                </w:tcPr>
                <w:p w14:paraId="1467F697">
                  <w:pPr>
                    <w:keepNext w:val="0"/>
                    <w:keepLines w:val="0"/>
                    <w:widowControl/>
                    <w:suppressLineNumbers w:val="0"/>
                    <w:spacing w:before="0" w:beforeAutospacing="0" w:after="0" w:afterAutospacing="0" w:line="280" w:lineRule="exact"/>
                    <w:ind w:left="0" w:right="0"/>
                    <w:jc w:val="center"/>
                    <w:textAlignment w:val="center"/>
                    <w:rPr>
                      <w:rFonts w:hint="eastAsia" w:cs="Times New Roman"/>
                      <w:b w:val="0"/>
                      <w:bCs w:val="0"/>
                      <w:sz w:val="21"/>
                      <w:szCs w:val="21"/>
                      <w:highlight w:val="none"/>
                      <w:lang w:val="en-US" w:eastAsia="zh-CN" w:bidi="ar"/>
                    </w:rPr>
                  </w:pPr>
                  <w:r>
                    <w:rPr>
                      <w:rFonts w:hint="eastAsia" w:cs="Times New Roman"/>
                      <w:b w:val="0"/>
                      <w:bCs w:val="0"/>
                      <w:sz w:val="21"/>
                      <w:szCs w:val="21"/>
                      <w:highlight w:val="none"/>
                      <w:lang w:val="en-US" w:eastAsia="zh-CN" w:bidi="ar"/>
                    </w:rPr>
                    <w:t>无组织</w:t>
                  </w:r>
                </w:p>
              </w:tc>
              <w:tc>
                <w:tcPr>
                  <w:tcW w:w="651" w:type="pct"/>
                  <w:shd w:val="clear" w:color="auto" w:fill="auto"/>
                  <w:noWrap w:val="0"/>
                  <w:vAlign w:val="center"/>
                </w:tcPr>
                <w:p w14:paraId="799878E1">
                  <w:pPr>
                    <w:keepNext w:val="0"/>
                    <w:keepLines w:val="0"/>
                    <w:widowControl/>
                    <w:suppressLineNumbers w:val="0"/>
                    <w:spacing w:before="0" w:beforeAutospacing="0" w:after="0" w:afterAutospacing="0" w:line="280" w:lineRule="exact"/>
                    <w:ind w:left="0" w:right="0"/>
                    <w:jc w:val="center"/>
                    <w:textAlignment w:val="center"/>
                    <w:rPr>
                      <w:rFonts w:hint="eastAsia" w:ascii="Times New Roman" w:hAnsi="Times New Roman" w:eastAsia="宋体" w:cs="Times New Roman"/>
                      <w:b w:val="0"/>
                      <w:bCs w:val="0"/>
                      <w:kern w:val="2"/>
                      <w:sz w:val="21"/>
                      <w:szCs w:val="21"/>
                      <w:highlight w:val="none"/>
                      <w:lang w:val="en-US" w:eastAsia="zh-CN" w:bidi="ar"/>
                    </w:rPr>
                  </w:pPr>
                  <w:r>
                    <w:rPr>
                      <w:rFonts w:hint="eastAsia" w:ascii="Times New Roman" w:hAnsi="Times New Roman" w:eastAsia="宋体" w:cs="Times New Roman"/>
                      <w:b w:val="0"/>
                      <w:bCs w:val="0"/>
                      <w:sz w:val="21"/>
                      <w:szCs w:val="21"/>
                      <w:highlight w:val="none"/>
                      <w:lang w:val="en-US" w:eastAsia="zh-CN" w:bidi="ar"/>
                    </w:rPr>
                    <w:t>NH</w:t>
                  </w:r>
                  <w:r>
                    <w:rPr>
                      <w:rFonts w:hint="eastAsia" w:ascii="Times New Roman" w:hAnsi="Times New Roman" w:eastAsia="宋体" w:cs="Times New Roman"/>
                      <w:b w:val="0"/>
                      <w:bCs w:val="0"/>
                      <w:sz w:val="21"/>
                      <w:szCs w:val="21"/>
                      <w:highlight w:val="none"/>
                      <w:vertAlign w:val="subscript"/>
                      <w:lang w:val="en-US" w:eastAsia="zh-CN" w:bidi="ar"/>
                    </w:rPr>
                    <w:t>3</w:t>
                  </w:r>
                </w:p>
              </w:tc>
              <w:tc>
                <w:tcPr>
                  <w:tcW w:w="641" w:type="pct"/>
                  <w:noWrap w:val="0"/>
                  <w:vAlign w:val="center"/>
                </w:tcPr>
                <w:p w14:paraId="3D64C526">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kern w:val="0"/>
                      <w:sz w:val="21"/>
                      <w:szCs w:val="21"/>
                      <w:highlight w:val="none"/>
                      <w:u w:val="none"/>
                      <w:lang w:val="en-US" w:eastAsia="zh-CN" w:bidi="ar"/>
                    </w:rPr>
                  </w:pPr>
                  <w:r>
                    <w:rPr>
                      <w:rFonts w:hint="eastAsia" w:ascii="Times New Roman" w:hAnsi="Times New Roman" w:eastAsia="宋体" w:cs="Times New Roman"/>
                      <w:i w:val="0"/>
                      <w:iCs w:val="0"/>
                      <w:color w:val="000000"/>
                      <w:kern w:val="0"/>
                      <w:sz w:val="21"/>
                      <w:szCs w:val="21"/>
                      <w:highlight w:val="none"/>
                      <w:u w:val="none"/>
                      <w:lang w:val="en-US" w:eastAsia="zh-CN" w:bidi="ar"/>
                    </w:rPr>
                    <w:t>~0</w:t>
                  </w:r>
                </w:p>
              </w:tc>
              <w:tc>
                <w:tcPr>
                  <w:tcW w:w="706" w:type="pct"/>
                  <w:noWrap w:val="0"/>
                  <w:vAlign w:val="center"/>
                </w:tcPr>
                <w:p w14:paraId="1E79BEB9">
                  <w:pPr>
                    <w:keepNext w:val="0"/>
                    <w:keepLines w:val="0"/>
                    <w:widowControl/>
                    <w:suppressLineNumbers w:val="0"/>
                    <w:spacing w:before="0" w:beforeAutospacing="0" w:after="0" w:afterAutospacing="0"/>
                    <w:ind w:left="0" w:right="0"/>
                    <w:jc w:val="center"/>
                    <w:textAlignment w:val="center"/>
                    <w:rPr>
                      <w:rFonts w:hint="eastAsia" w:ascii="Times New Roman" w:hAnsi="Times New Roman" w:eastAsia="宋体" w:cs="Times New Roman"/>
                      <w:i w:val="0"/>
                      <w:iCs w:val="0"/>
                      <w:color w:val="000000"/>
                      <w:kern w:val="0"/>
                      <w:sz w:val="21"/>
                      <w:szCs w:val="21"/>
                      <w:highlight w:val="none"/>
                      <w:u w:val="none"/>
                      <w:lang w:val="en-US" w:eastAsia="zh-CN" w:bidi="ar"/>
                    </w:rPr>
                  </w:pPr>
                  <w:r>
                    <w:rPr>
                      <w:rFonts w:hint="eastAsia" w:ascii="Times New Roman" w:hAnsi="Times New Roman" w:eastAsia="宋体" w:cs="Times New Roman"/>
                      <w:i w:val="0"/>
                      <w:iCs w:val="0"/>
                      <w:color w:val="000000"/>
                      <w:kern w:val="0"/>
                      <w:sz w:val="21"/>
                      <w:szCs w:val="21"/>
                      <w:highlight w:val="none"/>
                      <w:u w:val="none"/>
                      <w:lang w:val="en-US" w:eastAsia="zh-CN" w:bidi="ar"/>
                    </w:rPr>
                    <w:t>~0</w:t>
                  </w:r>
                </w:p>
              </w:tc>
              <w:tc>
                <w:tcPr>
                  <w:tcW w:w="635" w:type="pct"/>
                  <w:noWrap w:val="0"/>
                  <w:vAlign w:val="center"/>
                </w:tcPr>
                <w:p w14:paraId="36857592">
                  <w:pPr>
                    <w:keepNext w:val="0"/>
                    <w:keepLines w:val="0"/>
                    <w:widowControl/>
                    <w:suppressLineNumbers w:val="0"/>
                    <w:spacing w:before="0" w:beforeAutospacing="0" w:after="0" w:afterAutospacing="0"/>
                    <w:ind w:left="0" w:right="0"/>
                    <w:jc w:val="center"/>
                    <w:textAlignment w:val="center"/>
                    <w:rPr>
                      <w:rFonts w:hint="eastAsia" w:ascii="Times New Roman" w:hAnsi="Times New Roman" w:eastAsia="宋体" w:cs="Times New Roman"/>
                      <w:i w:val="0"/>
                      <w:iCs w:val="0"/>
                      <w:color w:val="000000"/>
                      <w:kern w:val="0"/>
                      <w:sz w:val="21"/>
                      <w:szCs w:val="21"/>
                      <w:highlight w:val="none"/>
                      <w:u w:val="none"/>
                      <w:lang w:val="en-US" w:eastAsia="zh-CN" w:bidi="ar"/>
                    </w:rPr>
                  </w:pPr>
                  <w:r>
                    <w:rPr>
                      <w:rFonts w:hint="eastAsia" w:ascii="Times New Roman" w:hAnsi="Times New Roman" w:eastAsia="宋体" w:cs="Times New Roman"/>
                      <w:i w:val="0"/>
                      <w:iCs w:val="0"/>
                      <w:color w:val="000000"/>
                      <w:kern w:val="0"/>
                      <w:sz w:val="21"/>
                      <w:szCs w:val="21"/>
                      <w:highlight w:val="none"/>
                      <w:u w:val="none"/>
                      <w:lang w:val="en-US" w:eastAsia="zh-CN" w:bidi="ar"/>
                    </w:rPr>
                    <w:t>~0</w:t>
                  </w:r>
                </w:p>
              </w:tc>
              <w:tc>
                <w:tcPr>
                  <w:tcW w:w="719" w:type="pct"/>
                  <w:noWrap w:val="0"/>
                  <w:vAlign w:val="center"/>
                </w:tcPr>
                <w:p w14:paraId="67D1FEFE">
                  <w:pPr>
                    <w:keepNext w:val="0"/>
                    <w:keepLines w:val="0"/>
                    <w:widowControl/>
                    <w:suppressLineNumbers w:val="0"/>
                    <w:spacing w:before="0" w:beforeAutospacing="0" w:after="0" w:afterAutospacing="0"/>
                    <w:ind w:left="0" w:right="0"/>
                    <w:jc w:val="center"/>
                    <w:textAlignment w:val="center"/>
                    <w:rPr>
                      <w:rFonts w:hint="eastAsia" w:ascii="Times New Roman" w:hAnsi="Times New Roman" w:eastAsia="宋体" w:cs="Times New Roman"/>
                      <w:i w:val="0"/>
                      <w:iCs w:val="0"/>
                      <w:color w:val="000000"/>
                      <w:kern w:val="0"/>
                      <w:sz w:val="21"/>
                      <w:szCs w:val="21"/>
                      <w:highlight w:val="none"/>
                      <w:u w:val="none"/>
                      <w:lang w:val="en-US" w:eastAsia="zh-CN" w:bidi="ar"/>
                    </w:rPr>
                  </w:pPr>
                  <w:r>
                    <w:rPr>
                      <w:rFonts w:hint="eastAsia" w:ascii="Times New Roman" w:hAnsi="Times New Roman" w:eastAsia="宋体" w:cs="Times New Roman"/>
                      <w:i w:val="0"/>
                      <w:iCs w:val="0"/>
                      <w:color w:val="000000"/>
                      <w:kern w:val="0"/>
                      <w:sz w:val="21"/>
                      <w:szCs w:val="21"/>
                      <w:highlight w:val="none"/>
                      <w:u w:val="none"/>
                      <w:lang w:val="en-US" w:eastAsia="zh-CN" w:bidi="ar"/>
                    </w:rPr>
                    <w:t>~0</w:t>
                  </w:r>
                </w:p>
              </w:tc>
            </w:tr>
            <w:tr w14:paraId="7D1C6DE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470" w:type="pct"/>
                  <w:vMerge w:val="continue"/>
                  <w:noWrap w:val="0"/>
                  <w:vAlign w:val="center"/>
                </w:tcPr>
                <w:p w14:paraId="23909335">
                  <w:pPr>
                    <w:keepNext w:val="0"/>
                    <w:keepLines w:val="0"/>
                    <w:widowControl/>
                    <w:suppressLineNumbers w:val="0"/>
                    <w:spacing w:before="0" w:beforeAutospacing="0" w:after="0" w:afterAutospacing="0" w:line="280" w:lineRule="exact"/>
                    <w:ind w:left="0" w:right="0"/>
                    <w:jc w:val="center"/>
                    <w:textAlignment w:val="center"/>
                    <w:rPr>
                      <w:rFonts w:hint="eastAsia" w:ascii="Times New Roman" w:hAnsi="Times New Roman" w:eastAsia="宋体" w:cs="Times New Roman"/>
                      <w:b w:val="0"/>
                      <w:bCs w:val="0"/>
                      <w:sz w:val="21"/>
                      <w:szCs w:val="21"/>
                      <w:highlight w:val="none"/>
                      <w:lang w:val="en-US" w:eastAsia="zh-CN" w:bidi="ar"/>
                    </w:rPr>
                  </w:pPr>
                </w:p>
              </w:tc>
              <w:tc>
                <w:tcPr>
                  <w:tcW w:w="552" w:type="pct"/>
                  <w:vMerge w:val="continue"/>
                  <w:noWrap w:val="0"/>
                  <w:vAlign w:val="center"/>
                </w:tcPr>
                <w:p w14:paraId="1F8AFE46">
                  <w:pPr>
                    <w:keepNext w:val="0"/>
                    <w:keepLines w:val="0"/>
                    <w:widowControl/>
                    <w:suppressLineNumbers w:val="0"/>
                    <w:spacing w:before="0" w:beforeAutospacing="0" w:after="0" w:afterAutospacing="0" w:line="280" w:lineRule="exact"/>
                    <w:ind w:left="0" w:right="0"/>
                    <w:jc w:val="center"/>
                    <w:textAlignment w:val="center"/>
                    <w:rPr>
                      <w:rFonts w:hint="eastAsia" w:ascii="Times New Roman" w:hAnsi="Times New Roman" w:eastAsia="宋体" w:cs="Times New Roman"/>
                      <w:b w:val="0"/>
                      <w:bCs w:val="0"/>
                      <w:sz w:val="21"/>
                      <w:szCs w:val="21"/>
                      <w:highlight w:val="none"/>
                      <w:lang w:val="en-US" w:eastAsia="zh-CN" w:bidi="ar"/>
                    </w:rPr>
                  </w:pPr>
                </w:p>
              </w:tc>
              <w:tc>
                <w:tcPr>
                  <w:tcW w:w="623" w:type="pct"/>
                  <w:vMerge w:val="continue"/>
                  <w:shd w:val="clear" w:color="auto" w:fill="auto"/>
                  <w:noWrap w:val="0"/>
                  <w:vAlign w:val="center"/>
                </w:tcPr>
                <w:p w14:paraId="351947F0">
                  <w:pPr>
                    <w:keepNext w:val="0"/>
                    <w:keepLines w:val="0"/>
                    <w:widowControl/>
                    <w:suppressLineNumbers w:val="0"/>
                    <w:spacing w:before="0" w:beforeAutospacing="0" w:after="0" w:afterAutospacing="0" w:line="280" w:lineRule="exact"/>
                    <w:ind w:left="0" w:right="0"/>
                    <w:jc w:val="center"/>
                    <w:textAlignment w:val="center"/>
                    <w:rPr>
                      <w:rFonts w:hint="eastAsia" w:cs="Times New Roman"/>
                      <w:b w:val="0"/>
                      <w:bCs w:val="0"/>
                      <w:sz w:val="21"/>
                      <w:szCs w:val="21"/>
                      <w:highlight w:val="none"/>
                      <w:lang w:val="en-US" w:eastAsia="zh-CN" w:bidi="ar"/>
                    </w:rPr>
                  </w:pPr>
                </w:p>
              </w:tc>
              <w:tc>
                <w:tcPr>
                  <w:tcW w:w="651" w:type="pct"/>
                  <w:shd w:val="clear" w:color="auto" w:fill="auto"/>
                  <w:noWrap w:val="0"/>
                  <w:vAlign w:val="center"/>
                </w:tcPr>
                <w:p w14:paraId="19E13DF2">
                  <w:pPr>
                    <w:keepNext w:val="0"/>
                    <w:keepLines w:val="0"/>
                    <w:widowControl/>
                    <w:suppressLineNumbers w:val="0"/>
                    <w:spacing w:before="0" w:beforeAutospacing="0" w:after="0" w:afterAutospacing="0" w:line="280" w:lineRule="exact"/>
                    <w:ind w:left="0" w:right="0"/>
                    <w:jc w:val="center"/>
                    <w:textAlignment w:val="center"/>
                    <w:rPr>
                      <w:rFonts w:hint="eastAsia" w:ascii="Times New Roman" w:hAnsi="Times New Roman" w:eastAsia="宋体" w:cs="Times New Roman"/>
                      <w:b w:val="0"/>
                      <w:bCs w:val="0"/>
                      <w:kern w:val="2"/>
                      <w:sz w:val="21"/>
                      <w:szCs w:val="21"/>
                      <w:highlight w:val="none"/>
                      <w:lang w:val="en-US" w:eastAsia="zh-CN" w:bidi="ar"/>
                    </w:rPr>
                  </w:pPr>
                  <w:r>
                    <w:rPr>
                      <w:rFonts w:hint="eastAsia" w:ascii="Times New Roman" w:hAnsi="Times New Roman" w:eastAsia="宋体" w:cs="Times New Roman"/>
                      <w:b w:val="0"/>
                      <w:bCs w:val="0"/>
                      <w:sz w:val="21"/>
                      <w:szCs w:val="21"/>
                      <w:highlight w:val="none"/>
                      <w:lang w:val="en-US" w:eastAsia="zh-CN" w:bidi="ar"/>
                    </w:rPr>
                    <w:t>H</w:t>
                  </w:r>
                  <w:r>
                    <w:rPr>
                      <w:rFonts w:hint="eastAsia" w:ascii="Times New Roman" w:hAnsi="Times New Roman" w:eastAsia="宋体" w:cs="Times New Roman"/>
                      <w:b w:val="0"/>
                      <w:bCs w:val="0"/>
                      <w:sz w:val="21"/>
                      <w:szCs w:val="21"/>
                      <w:highlight w:val="none"/>
                      <w:vertAlign w:val="subscript"/>
                      <w:lang w:val="en-US" w:eastAsia="zh-CN" w:bidi="ar"/>
                    </w:rPr>
                    <w:t>2</w:t>
                  </w:r>
                  <w:r>
                    <w:rPr>
                      <w:rFonts w:hint="eastAsia" w:ascii="Times New Roman" w:hAnsi="Times New Roman" w:eastAsia="宋体" w:cs="Times New Roman"/>
                      <w:b w:val="0"/>
                      <w:bCs w:val="0"/>
                      <w:sz w:val="21"/>
                      <w:szCs w:val="21"/>
                      <w:highlight w:val="none"/>
                      <w:lang w:val="en-US" w:eastAsia="zh-CN" w:bidi="ar"/>
                    </w:rPr>
                    <w:t>S</w:t>
                  </w:r>
                </w:p>
              </w:tc>
              <w:tc>
                <w:tcPr>
                  <w:tcW w:w="641" w:type="pct"/>
                  <w:noWrap w:val="0"/>
                  <w:vAlign w:val="center"/>
                </w:tcPr>
                <w:p w14:paraId="33E38A26">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kern w:val="0"/>
                      <w:sz w:val="21"/>
                      <w:szCs w:val="21"/>
                      <w:highlight w:val="none"/>
                      <w:u w:val="none"/>
                      <w:lang w:val="en-US" w:eastAsia="zh-CN" w:bidi="ar"/>
                    </w:rPr>
                  </w:pPr>
                  <w:r>
                    <w:rPr>
                      <w:rFonts w:hint="eastAsia" w:ascii="Times New Roman" w:hAnsi="Times New Roman" w:eastAsia="宋体" w:cs="Times New Roman"/>
                      <w:i w:val="0"/>
                      <w:iCs w:val="0"/>
                      <w:color w:val="000000"/>
                      <w:kern w:val="0"/>
                      <w:sz w:val="21"/>
                      <w:szCs w:val="21"/>
                      <w:highlight w:val="none"/>
                      <w:u w:val="none"/>
                      <w:lang w:val="en-US" w:eastAsia="zh-CN" w:bidi="ar"/>
                    </w:rPr>
                    <w:t>~0</w:t>
                  </w:r>
                </w:p>
              </w:tc>
              <w:tc>
                <w:tcPr>
                  <w:tcW w:w="706" w:type="pct"/>
                  <w:noWrap w:val="0"/>
                  <w:vAlign w:val="center"/>
                </w:tcPr>
                <w:p w14:paraId="33D43B84">
                  <w:pPr>
                    <w:keepNext w:val="0"/>
                    <w:keepLines w:val="0"/>
                    <w:widowControl/>
                    <w:suppressLineNumbers w:val="0"/>
                    <w:spacing w:before="0" w:beforeAutospacing="0" w:after="0" w:afterAutospacing="0"/>
                    <w:ind w:left="0" w:right="0"/>
                    <w:jc w:val="center"/>
                    <w:textAlignment w:val="center"/>
                    <w:rPr>
                      <w:rFonts w:hint="eastAsia" w:ascii="Times New Roman" w:hAnsi="Times New Roman" w:eastAsia="宋体" w:cs="Times New Roman"/>
                      <w:i w:val="0"/>
                      <w:iCs w:val="0"/>
                      <w:color w:val="000000"/>
                      <w:kern w:val="0"/>
                      <w:sz w:val="21"/>
                      <w:szCs w:val="21"/>
                      <w:highlight w:val="none"/>
                      <w:u w:val="none"/>
                      <w:lang w:val="en-US" w:eastAsia="zh-CN" w:bidi="ar"/>
                    </w:rPr>
                  </w:pPr>
                  <w:r>
                    <w:rPr>
                      <w:rFonts w:hint="eastAsia" w:ascii="Times New Roman" w:hAnsi="Times New Roman" w:eastAsia="宋体" w:cs="Times New Roman"/>
                      <w:i w:val="0"/>
                      <w:iCs w:val="0"/>
                      <w:color w:val="000000"/>
                      <w:kern w:val="0"/>
                      <w:sz w:val="21"/>
                      <w:szCs w:val="21"/>
                      <w:highlight w:val="none"/>
                      <w:u w:val="none"/>
                      <w:lang w:val="en-US" w:eastAsia="zh-CN" w:bidi="ar"/>
                    </w:rPr>
                    <w:t>~0</w:t>
                  </w:r>
                </w:p>
              </w:tc>
              <w:tc>
                <w:tcPr>
                  <w:tcW w:w="635" w:type="pct"/>
                  <w:noWrap w:val="0"/>
                  <w:vAlign w:val="center"/>
                </w:tcPr>
                <w:p w14:paraId="5E9DFACB">
                  <w:pPr>
                    <w:keepNext w:val="0"/>
                    <w:keepLines w:val="0"/>
                    <w:widowControl/>
                    <w:suppressLineNumbers w:val="0"/>
                    <w:spacing w:before="0" w:beforeAutospacing="0" w:after="0" w:afterAutospacing="0"/>
                    <w:ind w:left="0" w:right="0"/>
                    <w:jc w:val="center"/>
                    <w:textAlignment w:val="center"/>
                    <w:rPr>
                      <w:rFonts w:hint="eastAsia" w:ascii="Times New Roman" w:hAnsi="Times New Roman" w:eastAsia="宋体" w:cs="Times New Roman"/>
                      <w:i w:val="0"/>
                      <w:iCs w:val="0"/>
                      <w:color w:val="000000"/>
                      <w:kern w:val="0"/>
                      <w:sz w:val="21"/>
                      <w:szCs w:val="21"/>
                      <w:highlight w:val="none"/>
                      <w:u w:val="none"/>
                      <w:lang w:val="en-US" w:eastAsia="zh-CN" w:bidi="ar"/>
                    </w:rPr>
                  </w:pPr>
                  <w:r>
                    <w:rPr>
                      <w:rFonts w:hint="eastAsia" w:ascii="Times New Roman" w:hAnsi="Times New Roman" w:eastAsia="宋体" w:cs="Times New Roman"/>
                      <w:i w:val="0"/>
                      <w:iCs w:val="0"/>
                      <w:color w:val="000000"/>
                      <w:kern w:val="0"/>
                      <w:sz w:val="21"/>
                      <w:szCs w:val="21"/>
                      <w:highlight w:val="none"/>
                      <w:u w:val="none"/>
                      <w:lang w:val="en-US" w:eastAsia="zh-CN" w:bidi="ar"/>
                    </w:rPr>
                    <w:t>~0</w:t>
                  </w:r>
                </w:p>
              </w:tc>
              <w:tc>
                <w:tcPr>
                  <w:tcW w:w="719" w:type="pct"/>
                  <w:noWrap w:val="0"/>
                  <w:vAlign w:val="center"/>
                </w:tcPr>
                <w:p w14:paraId="6EA5BF15">
                  <w:pPr>
                    <w:keepNext w:val="0"/>
                    <w:keepLines w:val="0"/>
                    <w:widowControl/>
                    <w:suppressLineNumbers w:val="0"/>
                    <w:spacing w:before="0" w:beforeAutospacing="0" w:after="0" w:afterAutospacing="0"/>
                    <w:ind w:left="0" w:right="0"/>
                    <w:jc w:val="center"/>
                    <w:textAlignment w:val="center"/>
                    <w:rPr>
                      <w:rFonts w:hint="eastAsia" w:ascii="Times New Roman" w:hAnsi="Times New Roman" w:eastAsia="宋体" w:cs="Times New Roman"/>
                      <w:i w:val="0"/>
                      <w:iCs w:val="0"/>
                      <w:color w:val="000000"/>
                      <w:kern w:val="0"/>
                      <w:sz w:val="21"/>
                      <w:szCs w:val="21"/>
                      <w:highlight w:val="none"/>
                      <w:u w:val="none"/>
                      <w:lang w:val="en-US" w:eastAsia="zh-CN" w:bidi="ar"/>
                    </w:rPr>
                  </w:pPr>
                  <w:r>
                    <w:rPr>
                      <w:rFonts w:hint="eastAsia" w:ascii="Times New Roman" w:hAnsi="Times New Roman" w:eastAsia="宋体" w:cs="Times New Roman"/>
                      <w:i w:val="0"/>
                      <w:iCs w:val="0"/>
                      <w:color w:val="000000"/>
                      <w:kern w:val="0"/>
                      <w:sz w:val="21"/>
                      <w:szCs w:val="21"/>
                      <w:highlight w:val="none"/>
                      <w:u w:val="none"/>
                      <w:lang w:val="en-US" w:eastAsia="zh-CN" w:bidi="ar"/>
                    </w:rPr>
                    <w:t>~0</w:t>
                  </w:r>
                </w:p>
              </w:tc>
            </w:tr>
            <w:tr w14:paraId="1693803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470" w:type="pct"/>
                  <w:vMerge w:val="continue"/>
                  <w:noWrap w:val="0"/>
                  <w:vAlign w:val="center"/>
                </w:tcPr>
                <w:p w14:paraId="0C8F8FDC">
                  <w:pPr>
                    <w:keepNext w:val="0"/>
                    <w:keepLines w:val="0"/>
                    <w:widowControl/>
                    <w:suppressLineNumbers w:val="0"/>
                    <w:spacing w:before="0" w:beforeAutospacing="0" w:after="0" w:afterAutospacing="0" w:line="280" w:lineRule="exact"/>
                    <w:ind w:left="0" w:right="0"/>
                    <w:jc w:val="center"/>
                    <w:textAlignment w:val="center"/>
                    <w:rPr>
                      <w:rFonts w:hint="eastAsia" w:ascii="Times New Roman" w:hAnsi="Times New Roman" w:eastAsia="宋体" w:cs="Times New Roman"/>
                      <w:b w:val="0"/>
                      <w:bCs w:val="0"/>
                      <w:sz w:val="21"/>
                      <w:szCs w:val="21"/>
                      <w:highlight w:val="none"/>
                      <w:lang w:val="en-US" w:eastAsia="zh-CN" w:bidi="ar"/>
                    </w:rPr>
                  </w:pPr>
                </w:p>
              </w:tc>
              <w:tc>
                <w:tcPr>
                  <w:tcW w:w="552" w:type="pct"/>
                  <w:vMerge w:val="continue"/>
                  <w:noWrap w:val="0"/>
                  <w:vAlign w:val="center"/>
                </w:tcPr>
                <w:p w14:paraId="04144597">
                  <w:pPr>
                    <w:keepNext w:val="0"/>
                    <w:keepLines w:val="0"/>
                    <w:widowControl/>
                    <w:suppressLineNumbers w:val="0"/>
                    <w:spacing w:before="0" w:beforeAutospacing="0" w:after="0" w:afterAutospacing="0" w:line="280" w:lineRule="exact"/>
                    <w:ind w:left="0" w:right="0"/>
                    <w:jc w:val="center"/>
                    <w:textAlignment w:val="center"/>
                    <w:rPr>
                      <w:rFonts w:hint="eastAsia" w:ascii="Times New Roman" w:hAnsi="Times New Roman" w:eastAsia="宋体" w:cs="Times New Roman"/>
                      <w:b w:val="0"/>
                      <w:bCs w:val="0"/>
                      <w:sz w:val="21"/>
                      <w:szCs w:val="21"/>
                      <w:highlight w:val="none"/>
                      <w:lang w:val="en-US" w:eastAsia="zh-CN" w:bidi="ar"/>
                    </w:rPr>
                  </w:pPr>
                </w:p>
              </w:tc>
              <w:tc>
                <w:tcPr>
                  <w:tcW w:w="623" w:type="pct"/>
                  <w:vMerge w:val="continue"/>
                  <w:shd w:val="clear" w:color="auto" w:fill="auto"/>
                  <w:noWrap w:val="0"/>
                  <w:vAlign w:val="center"/>
                </w:tcPr>
                <w:p w14:paraId="274479C4">
                  <w:pPr>
                    <w:keepNext w:val="0"/>
                    <w:keepLines w:val="0"/>
                    <w:widowControl/>
                    <w:suppressLineNumbers w:val="0"/>
                    <w:spacing w:before="0" w:beforeAutospacing="0" w:after="0" w:afterAutospacing="0" w:line="280" w:lineRule="exact"/>
                    <w:ind w:left="0" w:right="0"/>
                    <w:jc w:val="center"/>
                    <w:textAlignment w:val="center"/>
                    <w:rPr>
                      <w:rFonts w:hint="eastAsia" w:cs="Times New Roman"/>
                      <w:b w:val="0"/>
                      <w:bCs w:val="0"/>
                      <w:sz w:val="21"/>
                      <w:szCs w:val="21"/>
                      <w:highlight w:val="none"/>
                      <w:lang w:val="en-US" w:eastAsia="zh-CN" w:bidi="ar"/>
                    </w:rPr>
                  </w:pPr>
                </w:p>
              </w:tc>
              <w:tc>
                <w:tcPr>
                  <w:tcW w:w="651" w:type="pct"/>
                  <w:shd w:val="clear" w:color="auto" w:fill="auto"/>
                  <w:noWrap w:val="0"/>
                  <w:vAlign w:val="center"/>
                </w:tcPr>
                <w:p w14:paraId="0FDCE276">
                  <w:pPr>
                    <w:keepNext w:val="0"/>
                    <w:keepLines w:val="0"/>
                    <w:widowControl/>
                    <w:suppressLineNumbers w:val="0"/>
                    <w:spacing w:before="0" w:beforeAutospacing="0" w:after="0" w:afterAutospacing="0" w:line="280" w:lineRule="exact"/>
                    <w:ind w:left="0" w:leftChars="0" w:right="0" w:rightChars="0"/>
                    <w:jc w:val="center"/>
                    <w:textAlignment w:val="center"/>
                    <w:rPr>
                      <w:rFonts w:hint="eastAsia" w:ascii="Times New Roman" w:hAnsi="Times New Roman" w:eastAsia="宋体" w:cs="Times New Roman"/>
                      <w:b w:val="0"/>
                      <w:bCs w:val="0"/>
                      <w:kern w:val="2"/>
                      <w:sz w:val="21"/>
                      <w:szCs w:val="21"/>
                      <w:highlight w:val="none"/>
                      <w:lang w:val="en-US" w:eastAsia="zh-CN" w:bidi="ar"/>
                    </w:rPr>
                  </w:pPr>
                  <w:r>
                    <w:rPr>
                      <w:rFonts w:hint="eastAsia" w:cs="Times New Roman"/>
                      <w:b w:val="0"/>
                      <w:bCs w:val="0"/>
                      <w:sz w:val="21"/>
                      <w:szCs w:val="21"/>
                      <w:highlight w:val="none"/>
                      <w:lang w:val="en-US" w:eastAsia="zh-CN" w:bidi="ar"/>
                    </w:rPr>
                    <w:t>颗粒物</w:t>
                  </w:r>
                </w:p>
              </w:tc>
              <w:tc>
                <w:tcPr>
                  <w:tcW w:w="1348" w:type="pct"/>
                  <w:gridSpan w:val="2"/>
                  <w:shd w:val="clear" w:color="auto" w:fill="auto"/>
                  <w:noWrap w:val="0"/>
                  <w:vAlign w:val="center"/>
                </w:tcPr>
                <w:p w14:paraId="05A9CBA6">
                  <w:pPr>
                    <w:keepNext w:val="0"/>
                    <w:keepLines w:val="0"/>
                    <w:widowControl/>
                    <w:suppressLineNumbers w:val="0"/>
                    <w:spacing w:before="0" w:beforeAutospacing="0" w:after="0" w:afterAutospacing="0"/>
                    <w:ind w:left="0" w:leftChars="0" w:right="0" w:rightChars="0"/>
                    <w:jc w:val="center"/>
                    <w:textAlignment w:val="center"/>
                    <w:rPr>
                      <w:rFonts w:hint="eastAsia" w:ascii="Times New Roman" w:hAnsi="Times New Roman" w:eastAsia="宋体" w:cs="Times New Roman"/>
                      <w:i w:val="0"/>
                      <w:iCs w:val="0"/>
                      <w:color w:val="000000"/>
                      <w:kern w:val="0"/>
                      <w:sz w:val="21"/>
                      <w:szCs w:val="21"/>
                      <w:highlight w:val="none"/>
                      <w:u w:val="none"/>
                      <w:lang w:val="en-US" w:eastAsia="zh-CN" w:bidi="ar"/>
                    </w:rPr>
                  </w:pPr>
                  <w:r>
                    <w:rPr>
                      <w:rFonts w:hint="eastAsia" w:cs="Times New Roman"/>
                      <w:i w:val="0"/>
                      <w:iCs w:val="0"/>
                      <w:color w:val="000000"/>
                      <w:kern w:val="0"/>
                      <w:sz w:val="21"/>
                      <w:szCs w:val="21"/>
                      <w:highlight w:val="none"/>
                      <w:u w:val="none"/>
                      <w:lang w:val="en-US" w:eastAsia="zh-CN" w:bidi="ar"/>
                    </w:rPr>
                    <w:t>少量</w:t>
                  </w:r>
                </w:p>
              </w:tc>
              <w:tc>
                <w:tcPr>
                  <w:tcW w:w="1354" w:type="pct"/>
                  <w:gridSpan w:val="2"/>
                  <w:shd w:val="clear" w:color="auto" w:fill="auto"/>
                  <w:noWrap w:val="0"/>
                  <w:vAlign w:val="center"/>
                </w:tcPr>
                <w:p w14:paraId="5DB5D784">
                  <w:pPr>
                    <w:keepNext w:val="0"/>
                    <w:keepLines w:val="0"/>
                    <w:widowControl/>
                    <w:suppressLineNumbers w:val="0"/>
                    <w:spacing w:before="0" w:beforeAutospacing="0" w:after="0" w:afterAutospacing="0"/>
                    <w:ind w:left="0" w:leftChars="0" w:right="0" w:rightChars="0"/>
                    <w:jc w:val="center"/>
                    <w:textAlignment w:val="center"/>
                    <w:rPr>
                      <w:rFonts w:hint="eastAsia" w:ascii="Times New Roman" w:hAnsi="Times New Roman" w:eastAsia="宋体" w:cs="Times New Roman"/>
                      <w:i w:val="0"/>
                      <w:iCs w:val="0"/>
                      <w:color w:val="000000"/>
                      <w:kern w:val="0"/>
                      <w:sz w:val="21"/>
                      <w:szCs w:val="21"/>
                      <w:highlight w:val="none"/>
                      <w:u w:val="none"/>
                      <w:lang w:val="en-US" w:eastAsia="zh-CN" w:bidi="ar"/>
                    </w:rPr>
                  </w:pPr>
                  <w:r>
                    <w:rPr>
                      <w:rFonts w:hint="eastAsia" w:cs="Times New Roman"/>
                      <w:i w:val="0"/>
                      <w:iCs w:val="0"/>
                      <w:color w:val="000000"/>
                      <w:kern w:val="0"/>
                      <w:sz w:val="21"/>
                      <w:szCs w:val="21"/>
                      <w:highlight w:val="none"/>
                      <w:u w:val="none"/>
                      <w:lang w:val="en-US" w:eastAsia="zh-CN" w:bidi="ar"/>
                    </w:rPr>
                    <w:t>少量</w:t>
                  </w:r>
                </w:p>
              </w:tc>
            </w:tr>
            <w:tr w14:paraId="76EED1F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470" w:type="pct"/>
                  <w:vMerge w:val="continue"/>
                  <w:noWrap w:val="0"/>
                  <w:vAlign w:val="center"/>
                </w:tcPr>
                <w:p w14:paraId="391A95C7">
                  <w:pPr>
                    <w:keepNext w:val="0"/>
                    <w:keepLines w:val="0"/>
                    <w:widowControl/>
                    <w:suppressLineNumbers w:val="0"/>
                    <w:spacing w:before="0" w:beforeAutospacing="0" w:after="0" w:afterAutospacing="0" w:line="280" w:lineRule="exact"/>
                    <w:ind w:left="0" w:right="0"/>
                    <w:jc w:val="center"/>
                    <w:textAlignment w:val="center"/>
                    <w:rPr>
                      <w:rFonts w:hint="eastAsia" w:ascii="Times New Roman" w:hAnsi="Times New Roman" w:eastAsia="宋体" w:cs="Times New Roman"/>
                      <w:b w:val="0"/>
                      <w:bCs w:val="0"/>
                      <w:sz w:val="21"/>
                      <w:szCs w:val="21"/>
                      <w:highlight w:val="none"/>
                      <w:lang w:val="en-US" w:eastAsia="zh-CN" w:bidi="ar"/>
                    </w:rPr>
                  </w:pPr>
                </w:p>
              </w:tc>
              <w:tc>
                <w:tcPr>
                  <w:tcW w:w="552" w:type="pct"/>
                  <w:vMerge w:val="continue"/>
                  <w:noWrap w:val="0"/>
                  <w:vAlign w:val="center"/>
                </w:tcPr>
                <w:p w14:paraId="118119C4">
                  <w:pPr>
                    <w:keepNext w:val="0"/>
                    <w:keepLines w:val="0"/>
                    <w:widowControl/>
                    <w:suppressLineNumbers w:val="0"/>
                    <w:spacing w:before="0" w:beforeAutospacing="0" w:after="0" w:afterAutospacing="0" w:line="280" w:lineRule="exact"/>
                    <w:ind w:left="0" w:right="0"/>
                    <w:jc w:val="center"/>
                    <w:textAlignment w:val="center"/>
                    <w:rPr>
                      <w:rFonts w:hint="eastAsia" w:ascii="Times New Roman" w:hAnsi="Times New Roman" w:eastAsia="宋体" w:cs="Times New Roman"/>
                      <w:b w:val="0"/>
                      <w:bCs w:val="0"/>
                      <w:sz w:val="21"/>
                      <w:szCs w:val="21"/>
                      <w:highlight w:val="none"/>
                      <w:lang w:val="en-US" w:eastAsia="zh-CN" w:bidi="ar"/>
                    </w:rPr>
                  </w:pPr>
                </w:p>
              </w:tc>
              <w:tc>
                <w:tcPr>
                  <w:tcW w:w="623" w:type="pct"/>
                  <w:vMerge w:val="restart"/>
                  <w:shd w:val="clear" w:color="auto" w:fill="auto"/>
                  <w:noWrap w:val="0"/>
                  <w:vAlign w:val="center"/>
                </w:tcPr>
                <w:p w14:paraId="30BD3798">
                  <w:pPr>
                    <w:keepNext w:val="0"/>
                    <w:keepLines w:val="0"/>
                    <w:widowControl/>
                    <w:suppressLineNumbers w:val="0"/>
                    <w:spacing w:before="0" w:beforeAutospacing="0" w:after="0" w:afterAutospacing="0" w:line="280" w:lineRule="exact"/>
                    <w:ind w:left="0" w:right="0"/>
                    <w:jc w:val="center"/>
                    <w:textAlignment w:val="center"/>
                    <w:rPr>
                      <w:rFonts w:hint="default" w:cs="Times New Roman"/>
                      <w:b/>
                      <w:bCs/>
                      <w:sz w:val="21"/>
                      <w:szCs w:val="21"/>
                      <w:highlight w:val="none"/>
                      <w:lang w:val="en-US" w:eastAsia="zh-CN" w:bidi="ar"/>
                    </w:rPr>
                  </w:pPr>
                  <w:r>
                    <w:rPr>
                      <w:rFonts w:hint="eastAsia" w:cs="Times New Roman"/>
                      <w:b/>
                      <w:bCs/>
                      <w:sz w:val="21"/>
                      <w:szCs w:val="21"/>
                      <w:highlight w:val="none"/>
                      <w:lang w:val="en-US" w:eastAsia="zh-CN" w:bidi="ar"/>
                    </w:rPr>
                    <w:t>小计</w:t>
                  </w:r>
                </w:p>
              </w:tc>
              <w:tc>
                <w:tcPr>
                  <w:tcW w:w="651" w:type="pct"/>
                  <w:shd w:val="clear" w:color="auto" w:fill="auto"/>
                  <w:noWrap w:val="0"/>
                  <w:vAlign w:val="center"/>
                </w:tcPr>
                <w:p w14:paraId="6661C3DD">
                  <w:pPr>
                    <w:keepNext w:val="0"/>
                    <w:keepLines w:val="0"/>
                    <w:widowControl/>
                    <w:suppressLineNumbers w:val="0"/>
                    <w:spacing w:before="0" w:beforeAutospacing="0" w:after="0" w:afterAutospacing="0" w:line="280" w:lineRule="exact"/>
                    <w:ind w:left="0" w:right="0"/>
                    <w:jc w:val="center"/>
                    <w:textAlignment w:val="center"/>
                    <w:rPr>
                      <w:rFonts w:hint="eastAsia" w:ascii="Times New Roman" w:hAnsi="Times New Roman" w:eastAsia="宋体" w:cs="Times New Roman"/>
                      <w:b/>
                      <w:bCs/>
                      <w:kern w:val="2"/>
                      <w:sz w:val="21"/>
                      <w:szCs w:val="21"/>
                      <w:highlight w:val="none"/>
                      <w:lang w:val="en-US" w:eastAsia="zh-CN" w:bidi="ar"/>
                    </w:rPr>
                  </w:pPr>
                  <w:r>
                    <w:rPr>
                      <w:rFonts w:hint="eastAsia" w:ascii="Times New Roman" w:hAnsi="Times New Roman" w:eastAsia="宋体" w:cs="Times New Roman"/>
                      <w:b/>
                      <w:bCs/>
                      <w:sz w:val="21"/>
                      <w:szCs w:val="21"/>
                      <w:highlight w:val="none"/>
                      <w:lang w:val="en-US" w:eastAsia="zh-CN" w:bidi="ar"/>
                    </w:rPr>
                    <w:t>NH</w:t>
                  </w:r>
                  <w:r>
                    <w:rPr>
                      <w:rFonts w:hint="eastAsia" w:ascii="Times New Roman" w:hAnsi="Times New Roman" w:eastAsia="宋体" w:cs="Times New Roman"/>
                      <w:b/>
                      <w:bCs/>
                      <w:sz w:val="21"/>
                      <w:szCs w:val="21"/>
                      <w:highlight w:val="none"/>
                      <w:vertAlign w:val="subscript"/>
                      <w:lang w:val="en-US" w:eastAsia="zh-CN" w:bidi="ar"/>
                    </w:rPr>
                    <w:t>3</w:t>
                  </w:r>
                </w:p>
              </w:tc>
              <w:tc>
                <w:tcPr>
                  <w:tcW w:w="641" w:type="pct"/>
                  <w:noWrap w:val="0"/>
                  <w:vAlign w:val="center"/>
                </w:tcPr>
                <w:p w14:paraId="348E533A">
                  <w:pPr>
                    <w:keepNext w:val="0"/>
                    <w:keepLines w:val="0"/>
                    <w:widowControl/>
                    <w:suppressLineNumbers w:val="0"/>
                    <w:spacing w:before="0" w:beforeAutospacing="0" w:after="0" w:afterAutospacing="0"/>
                    <w:ind w:left="0" w:right="0"/>
                    <w:jc w:val="center"/>
                    <w:textAlignment w:val="center"/>
                    <w:rPr>
                      <w:rFonts w:hint="eastAsia" w:ascii="Times New Roman" w:hAnsi="Times New Roman" w:eastAsia="宋体" w:cs="Times New Roman"/>
                      <w:b/>
                      <w:bCs/>
                      <w:i w:val="0"/>
                      <w:iCs w:val="0"/>
                      <w:color w:val="000000"/>
                      <w:kern w:val="0"/>
                      <w:sz w:val="21"/>
                      <w:szCs w:val="21"/>
                      <w:highlight w:val="none"/>
                      <w:u w:val="none"/>
                      <w:lang w:val="en-US" w:eastAsia="zh-CN" w:bidi="ar"/>
                    </w:rPr>
                  </w:pPr>
                  <w:r>
                    <w:rPr>
                      <w:rFonts w:hint="eastAsia" w:ascii="Times New Roman" w:hAnsi="Times New Roman" w:eastAsia="宋体" w:cs="Times New Roman"/>
                      <w:b/>
                      <w:bCs/>
                      <w:i w:val="0"/>
                      <w:iCs w:val="0"/>
                      <w:color w:val="000000"/>
                      <w:kern w:val="0"/>
                      <w:sz w:val="21"/>
                      <w:szCs w:val="21"/>
                      <w:highlight w:val="none"/>
                      <w:u w:val="none"/>
                      <w:lang w:val="en-US" w:eastAsia="zh-CN" w:bidi="ar"/>
                    </w:rPr>
                    <w:t>0.003</w:t>
                  </w:r>
                </w:p>
              </w:tc>
              <w:tc>
                <w:tcPr>
                  <w:tcW w:w="706" w:type="pct"/>
                  <w:noWrap w:val="0"/>
                  <w:vAlign w:val="center"/>
                </w:tcPr>
                <w:p w14:paraId="43432ECA">
                  <w:pPr>
                    <w:keepNext w:val="0"/>
                    <w:keepLines w:val="0"/>
                    <w:widowControl/>
                    <w:suppressLineNumbers w:val="0"/>
                    <w:spacing w:before="0" w:beforeAutospacing="0" w:after="0" w:afterAutospacing="0"/>
                    <w:ind w:left="0" w:right="0"/>
                    <w:jc w:val="center"/>
                    <w:textAlignment w:val="center"/>
                    <w:rPr>
                      <w:rFonts w:hint="eastAsia" w:ascii="Times New Roman" w:hAnsi="Times New Roman" w:eastAsia="宋体" w:cs="Times New Roman"/>
                      <w:b/>
                      <w:bCs/>
                      <w:i w:val="0"/>
                      <w:iCs w:val="0"/>
                      <w:color w:val="000000"/>
                      <w:kern w:val="0"/>
                      <w:sz w:val="21"/>
                      <w:szCs w:val="21"/>
                      <w:highlight w:val="none"/>
                      <w:u w:val="none"/>
                      <w:lang w:val="en-US" w:eastAsia="zh-CN" w:bidi="ar"/>
                    </w:rPr>
                  </w:pPr>
                  <w:r>
                    <w:rPr>
                      <w:rFonts w:hint="eastAsia" w:ascii="Times New Roman" w:hAnsi="Times New Roman" w:eastAsia="宋体" w:cs="Times New Roman"/>
                      <w:b/>
                      <w:bCs/>
                      <w:i w:val="0"/>
                      <w:iCs w:val="0"/>
                      <w:color w:val="000000"/>
                      <w:kern w:val="0"/>
                      <w:sz w:val="21"/>
                      <w:szCs w:val="21"/>
                      <w:highlight w:val="none"/>
                      <w:u w:val="none"/>
                      <w:lang w:val="en-US" w:eastAsia="zh-CN" w:bidi="ar"/>
                    </w:rPr>
                    <w:t>0</w:t>
                  </w:r>
                </w:p>
              </w:tc>
              <w:tc>
                <w:tcPr>
                  <w:tcW w:w="635" w:type="pct"/>
                  <w:noWrap w:val="0"/>
                  <w:vAlign w:val="center"/>
                </w:tcPr>
                <w:p w14:paraId="17872EB9">
                  <w:pPr>
                    <w:keepNext w:val="0"/>
                    <w:keepLines w:val="0"/>
                    <w:widowControl/>
                    <w:suppressLineNumbers w:val="0"/>
                    <w:spacing w:before="0" w:beforeAutospacing="0" w:after="0" w:afterAutospacing="0"/>
                    <w:ind w:left="0" w:right="0"/>
                    <w:jc w:val="center"/>
                    <w:textAlignment w:val="center"/>
                    <w:rPr>
                      <w:rFonts w:hint="eastAsia" w:ascii="Times New Roman" w:hAnsi="Times New Roman" w:eastAsia="宋体" w:cs="Times New Roman"/>
                      <w:b/>
                      <w:bCs/>
                      <w:i w:val="0"/>
                      <w:iCs w:val="0"/>
                      <w:color w:val="000000"/>
                      <w:kern w:val="0"/>
                      <w:sz w:val="21"/>
                      <w:szCs w:val="21"/>
                      <w:highlight w:val="none"/>
                      <w:u w:val="none"/>
                      <w:lang w:val="en-US" w:eastAsia="zh-CN" w:bidi="ar"/>
                    </w:rPr>
                  </w:pPr>
                  <w:r>
                    <w:rPr>
                      <w:rFonts w:hint="eastAsia" w:ascii="Times New Roman" w:hAnsi="Times New Roman" w:eastAsia="宋体" w:cs="Times New Roman"/>
                      <w:b/>
                      <w:bCs/>
                      <w:i w:val="0"/>
                      <w:iCs w:val="0"/>
                      <w:color w:val="000000"/>
                      <w:kern w:val="0"/>
                      <w:sz w:val="21"/>
                      <w:szCs w:val="21"/>
                      <w:highlight w:val="none"/>
                      <w:u w:val="none"/>
                      <w:lang w:val="en-US" w:eastAsia="zh-CN" w:bidi="ar"/>
                    </w:rPr>
                    <w:t>0</w:t>
                  </w:r>
                </w:p>
              </w:tc>
              <w:tc>
                <w:tcPr>
                  <w:tcW w:w="719" w:type="pct"/>
                  <w:noWrap w:val="0"/>
                  <w:vAlign w:val="center"/>
                </w:tcPr>
                <w:p w14:paraId="40AB1516">
                  <w:pPr>
                    <w:keepNext w:val="0"/>
                    <w:keepLines w:val="0"/>
                    <w:widowControl/>
                    <w:suppressLineNumbers w:val="0"/>
                    <w:spacing w:before="0" w:beforeAutospacing="0" w:after="0" w:afterAutospacing="0"/>
                    <w:ind w:left="0" w:right="0"/>
                    <w:jc w:val="center"/>
                    <w:textAlignment w:val="center"/>
                    <w:rPr>
                      <w:rFonts w:hint="eastAsia" w:ascii="Times New Roman" w:hAnsi="Times New Roman" w:eastAsia="宋体" w:cs="Times New Roman"/>
                      <w:b/>
                      <w:bCs/>
                      <w:i w:val="0"/>
                      <w:iCs w:val="0"/>
                      <w:color w:val="000000"/>
                      <w:kern w:val="0"/>
                      <w:sz w:val="21"/>
                      <w:szCs w:val="21"/>
                      <w:highlight w:val="none"/>
                      <w:u w:val="none"/>
                      <w:lang w:val="en-US" w:eastAsia="zh-CN" w:bidi="ar"/>
                    </w:rPr>
                  </w:pPr>
                  <w:r>
                    <w:rPr>
                      <w:rFonts w:hint="eastAsia" w:ascii="Times New Roman" w:hAnsi="Times New Roman" w:eastAsia="宋体" w:cs="Times New Roman"/>
                      <w:b/>
                      <w:bCs/>
                      <w:i w:val="0"/>
                      <w:iCs w:val="0"/>
                      <w:color w:val="000000"/>
                      <w:kern w:val="0"/>
                      <w:sz w:val="21"/>
                      <w:szCs w:val="21"/>
                      <w:highlight w:val="none"/>
                      <w:u w:val="none"/>
                      <w:lang w:val="en-US" w:eastAsia="zh-CN" w:bidi="ar"/>
                    </w:rPr>
                    <w:t>0</w:t>
                  </w:r>
                </w:p>
              </w:tc>
            </w:tr>
            <w:tr w14:paraId="2EBFA34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470" w:type="pct"/>
                  <w:vMerge w:val="continue"/>
                  <w:noWrap w:val="0"/>
                  <w:vAlign w:val="center"/>
                </w:tcPr>
                <w:p w14:paraId="16A51B40">
                  <w:pPr>
                    <w:keepNext w:val="0"/>
                    <w:keepLines w:val="0"/>
                    <w:widowControl/>
                    <w:suppressLineNumbers w:val="0"/>
                    <w:spacing w:before="0" w:beforeAutospacing="0" w:after="0" w:afterAutospacing="0" w:line="280" w:lineRule="exact"/>
                    <w:ind w:left="0" w:right="0"/>
                    <w:jc w:val="center"/>
                    <w:textAlignment w:val="center"/>
                    <w:rPr>
                      <w:rFonts w:hint="eastAsia" w:ascii="Times New Roman" w:hAnsi="Times New Roman" w:eastAsia="宋体" w:cs="Times New Roman"/>
                      <w:b w:val="0"/>
                      <w:bCs w:val="0"/>
                      <w:sz w:val="21"/>
                      <w:szCs w:val="21"/>
                      <w:highlight w:val="none"/>
                      <w:lang w:val="en-US" w:eastAsia="zh-CN" w:bidi="ar"/>
                    </w:rPr>
                  </w:pPr>
                </w:p>
              </w:tc>
              <w:tc>
                <w:tcPr>
                  <w:tcW w:w="552" w:type="pct"/>
                  <w:vMerge w:val="continue"/>
                  <w:noWrap w:val="0"/>
                  <w:vAlign w:val="center"/>
                </w:tcPr>
                <w:p w14:paraId="2643D4EE">
                  <w:pPr>
                    <w:keepNext w:val="0"/>
                    <w:keepLines w:val="0"/>
                    <w:widowControl/>
                    <w:suppressLineNumbers w:val="0"/>
                    <w:spacing w:before="0" w:beforeAutospacing="0" w:after="0" w:afterAutospacing="0" w:line="280" w:lineRule="exact"/>
                    <w:ind w:left="0" w:right="0"/>
                    <w:jc w:val="center"/>
                    <w:textAlignment w:val="center"/>
                    <w:rPr>
                      <w:rFonts w:hint="eastAsia" w:ascii="Times New Roman" w:hAnsi="Times New Roman" w:eastAsia="宋体" w:cs="Times New Roman"/>
                      <w:b w:val="0"/>
                      <w:bCs w:val="0"/>
                      <w:sz w:val="21"/>
                      <w:szCs w:val="21"/>
                      <w:highlight w:val="none"/>
                      <w:lang w:val="en-US" w:eastAsia="zh-CN" w:bidi="ar"/>
                    </w:rPr>
                  </w:pPr>
                </w:p>
              </w:tc>
              <w:tc>
                <w:tcPr>
                  <w:tcW w:w="623" w:type="pct"/>
                  <w:vMerge w:val="continue"/>
                  <w:shd w:val="clear" w:color="auto" w:fill="auto"/>
                  <w:noWrap w:val="0"/>
                  <w:vAlign w:val="center"/>
                </w:tcPr>
                <w:p w14:paraId="3411F272">
                  <w:pPr>
                    <w:keepNext w:val="0"/>
                    <w:keepLines w:val="0"/>
                    <w:widowControl/>
                    <w:suppressLineNumbers w:val="0"/>
                    <w:spacing w:before="0" w:beforeAutospacing="0" w:after="0" w:afterAutospacing="0" w:line="280" w:lineRule="exact"/>
                    <w:ind w:left="0" w:right="0"/>
                    <w:jc w:val="center"/>
                    <w:textAlignment w:val="center"/>
                    <w:rPr>
                      <w:rFonts w:hint="eastAsia" w:cs="Times New Roman"/>
                      <w:b/>
                      <w:bCs/>
                      <w:sz w:val="21"/>
                      <w:szCs w:val="21"/>
                      <w:highlight w:val="none"/>
                      <w:lang w:val="en-US" w:eastAsia="zh-CN" w:bidi="ar"/>
                    </w:rPr>
                  </w:pPr>
                </w:p>
              </w:tc>
              <w:tc>
                <w:tcPr>
                  <w:tcW w:w="651" w:type="pct"/>
                  <w:shd w:val="clear" w:color="auto" w:fill="auto"/>
                  <w:noWrap w:val="0"/>
                  <w:vAlign w:val="center"/>
                </w:tcPr>
                <w:p w14:paraId="241FCD35">
                  <w:pPr>
                    <w:keepNext w:val="0"/>
                    <w:keepLines w:val="0"/>
                    <w:widowControl/>
                    <w:suppressLineNumbers w:val="0"/>
                    <w:spacing w:before="0" w:beforeAutospacing="0" w:after="0" w:afterAutospacing="0" w:line="280" w:lineRule="exact"/>
                    <w:ind w:left="0" w:right="0"/>
                    <w:jc w:val="center"/>
                    <w:textAlignment w:val="center"/>
                    <w:rPr>
                      <w:rFonts w:hint="eastAsia" w:ascii="Times New Roman" w:hAnsi="Times New Roman" w:eastAsia="宋体" w:cs="Times New Roman"/>
                      <w:b/>
                      <w:bCs/>
                      <w:kern w:val="2"/>
                      <w:sz w:val="21"/>
                      <w:szCs w:val="21"/>
                      <w:highlight w:val="none"/>
                      <w:lang w:val="en-US" w:eastAsia="zh-CN" w:bidi="ar"/>
                    </w:rPr>
                  </w:pPr>
                  <w:r>
                    <w:rPr>
                      <w:rFonts w:hint="eastAsia" w:ascii="Times New Roman" w:hAnsi="Times New Roman" w:eastAsia="宋体" w:cs="Times New Roman"/>
                      <w:b/>
                      <w:bCs/>
                      <w:sz w:val="21"/>
                      <w:szCs w:val="21"/>
                      <w:highlight w:val="none"/>
                      <w:lang w:val="en-US" w:eastAsia="zh-CN" w:bidi="ar"/>
                    </w:rPr>
                    <w:t>H</w:t>
                  </w:r>
                  <w:r>
                    <w:rPr>
                      <w:rFonts w:hint="eastAsia" w:ascii="Times New Roman" w:hAnsi="Times New Roman" w:eastAsia="宋体" w:cs="Times New Roman"/>
                      <w:b/>
                      <w:bCs/>
                      <w:sz w:val="21"/>
                      <w:szCs w:val="21"/>
                      <w:highlight w:val="none"/>
                      <w:vertAlign w:val="subscript"/>
                      <w:lang w:val="en-US" w:eastAsia="zh-CN" w:bidi="ar"/>
                    </w:rPr>
                    <w:t>2</w:t>
                  </w:r>
                  <w:r>
                    <w:rPr>
                      <w:rFonts w:hint="eastAsia" w:ascii="Times New Roman" w:hAnsi="Times New Roman" w:eastAsia="宋体" w:cs="Times New Roman"/>
                      <w:b/>
                      <w:bCs/>
                      <w:sz w:val="21"/>
                      <w:szCs w:val="21"/>
                      <w:highlight w:val="none"/>
                      <w:lang w:val="en-US" w:eastAsia="zh-CN" w:bidi="ar"/>
                    </w:rPr>
                    <w:t>S</w:t>
                  </w:r>
                </w:p>
              </w:tc>
              <w:tc>
                <w:tcPr>
                  <w:tcW w:w="641" w:type="pct"/>
                  <w:noWrap w:val="0"/>
                  <w:vAlign w:val="center"/>
                </w:tcPr>
                <w:p w14:paraId="2334D4B3">
                  <w:pPr>
                    <w:keepNext w:val="0"/>
                    <w:keepLines w:val="0"/>
                    <w:widowControl/>
                    <w:suppressLineNumbers w:val="0"/>
                    <w:spacing w:before="0" w:beforeAutospacing="0" w:after="0" w:afterAutospacing="0"/>
                    <w:ind w:left="0" w:right="0"/>
                    <w:jc w:val="center"/>
                    <w:textAlignment w:val="center"/>
                    <w:rPr>
                      <w:rFonts w:hint="eastAsia" w:ascii="Times New Roman" w:hAnsi="Times New Roman" w:eastAsia="宋体" w:cs="Times New Roman"/>
                      <w:b/>
                      <w:bCs/>
                      <w:i w:val="0"/>
                      <w:iCs w:val="0"/>
                      <w:color w:val="000000"/>
                      <w:kern w:val="0"/>
                      <w:sz w:val="21"/>
                      <w:szCs w:val="21"/>
                      <w:highlight w:val="none"/>
                      <w:u w:val="none"/>
                      <w:lang w:val="en-US" w:eastAsia="zh-CN" w:bidi="ar"/>
                    </w:rPr>
                  </w:pPr>
                  <w:r>
                    <w:rPr>
                      <w:rFonts w:hint="eastAsia" w:ascii="Times New Roman" w:hAnsi="Times New Roman" w:eastAsia="宋体" w:cs="Times New Roman"/>
                      <w:b/>
                      <w:bCs/>
                      <w:i w:val="0"/>
                      <w:iCs w:val="0"/>
                      <w:color w:val="000000"/>
                      <w:kern w:val="0"/>
                      <w:sz w:val="21"/>
                      <w:szCs w:val="21"/>
                      <w:highlight w:val="none"/>
                      <w:u w:val="none"/>
                      <w:lang w:val="en-US" w:eastAsia="zh-CN" w:bidi="ar"/>
                    </w:rPr>
                    <w:t>0.001</w:t>
                  </w:r>
                </w:p>
              </w:tc>
              <w:tc>
                <w:tcPr>
                  <w:tcW w:w="706" w:type="pct"/>
                  <w:noWrap w:val="0"/>
                  <w:vAlign w:val="center"/>
                </w:tcPr>
                <w:p w14:paraId="395A5F34">
                  <w:pPr>
                    <w:keepNext w:val="0"/>
                    <w:keepLines w:val="0"/>
                    <w:widowControl/>
                    <w:suppressLineNumbers w:val="0"/>
                    <w:spacing w:before="0" w:beforeAutospacing="0" w:after="0" w:afterAutospacing="0"/>
                    <w:ind w:left="0" w:right="0"/>
                    <w:jc w:val="center"/>
                    <w:textAlignment w:val="center"/>
                    <w:rPr>
                      <w:rFonts w:hint="eastAsia" w:ascii="Times New Roman" w:hAnsi="Times New Roman" w:eastAsia="宋体" w:cs="Times New Roman"/>
                      <w:b/>
                      <w:bCs/>
                      <w:i w:val="0"/>
                      <w:iCs w:val="0"/>
                      <w:color w:val="000000"/>
                      <w:kern w:val="0"/>
                      <w:sz w:val="21"/>
                      <w:szCs w:val="21"/>
                      <w:highlight w:val="none"/>
                      <w:u w:val="none"/>
                      <w:lang w:val="en-US" w:eastAsia="zh-CN" w:bidi="ar"/>
                    </w:rPr>
                  </w:pPr>
                  <w:r>
                    <w:rPr>
                      <w:rFonts w:hint="eastAsia" w:ascii="Times New Roman" w:hAnsi="Times New Roman" w:eastAsia="宋体" w:cs="Times New Roman"/>
                      <w:b/>
                      <w:bCs/>
                      <w:i w:val="0"/>
                      <w:iCs w:val="0"/>
                      <w:color w:val="000000"/>
                      <w:kern w:val="0"/>
                      <w:sz w:val="21"/>
                      <w:szCs w:val="21"/>
                      <w:highlight w:val="none"/>
                      <w:u w:val="none"/>
                      <w:lang w:val="en-US" w:eastAsia="zh-CN" w:bidi="ar"/>
                    </w:rPr>
                    <w:t>0</w:t>
                  </w:r>
                </w:p>
              </w:tc>
              <w:tc>
                <w:tcPr>
                  <w:tcW w:w="635" w:type="pct"/>
                  <w:noWrap w:val="0"/>
                  <w:vAlign w:val="center"/>
                </w:tcPr>
                <w:p w14:paraId="69186E2A">
                  <w:pPr>
                    <w:keepNext w:val="0"/>
                    <w:keepLines w:val="0"/>
                    <w:widowControl/>
                    <w:suppressLineNumbers w:val="0"/>
                    <w:spacing w:before="0" w:beforeAutospacing="0" w:after="0" w:afterAutospacing="0"/>
                    <w:ind w:left="0" w:right="0"/>
                    <w:jc w:val="center"/>
                    <w:textAlignment w:val="center"/>
                    <w:rPr>
                      <w:rFonts w:hint="eastAsia" w:ascii="Times New Roman" w:hAnsi="Times New Roman" w:eastAsia="宋体" w:cs="Times New Roman"/>
                      <w:b/>
                      <w:bCs/>
                      <w:i w:val="0"/>
                      <w:iCs w:val="0"/>
                      <w:color w:val="000000"/>
                      <w:kern w:val="0"/>
                      <w:sz w:val="21"/>
                      <w:szCs w:val="21"/>
                      <w:highlight w:val="none"/>
                      <w:u w:val="none"/>
                      <w:lang w:val="en-US" w:eastAsia="zh-CN" w:bidi="ar"/>
                    </w:rPr>
                  </w:pPr>
                  <w:r>
                    <w:rPr>
                      <w:rFonts w:hint="eastAsia" w:ascii="Times New Roman" w:hAnsi="Times New Roman" w:eastAsia="宋体" w:cs="Times New Roman"/>
                      <w:b/>
                      <w:bCs/>
                      <w:i w:val="0"/>
                      <w:iCs w:val="0"/>
                      <w:color w:val="000000"/>
                      <w:kern w:val="0"/>
                      <w:sz w:val="21"/>
                      <w:szCs w:val="21"/>
                      <w:highlight w:val="none"/>
                      <w:u w:val="none"/>
                      <w:lang w:val="en-US" w:eastAsia="zh-CN" w:bidi="ar"/>
                    </w:rPr>
                    <w:t>0.001</w:t>
                  </w:r>
                </w:p>
              </w:tc>
              <w:tc>
                <w:tcPr>
                  <w:tcW w:w="719" w:type="pct"/>
                  <w:noWrap w:val="0"/>
                  <w:vAlign w:val="center"/>
                </w:tcPr>
                <w:p w14:paraId="6AAAE4CC">
                  <w:pPr>
                    <w:keepNext w:val="0"/>
                    <w:keepLines w:val="0"/>
                    <w:widowControl/>
                    <w:suppressLineNumbers w:val="0"/>
                    <w:spacing w:before="0" w:beforeAutospacing="0" w:after="0" w:afterAutospacing="0"/>
                    <w:ind w:left="0" w:right="0"/>
                    <w:jc w:val="center"/>
                    <w:textAlignment w:val="center"/>
                    <w:rPr>
                      <w:rFonts w:hint="eastAsia" w:ascii="Times New Roman" w:hAnsi="Times New Roman" w:eastAsia="宋体" w:cs="Times New Roman"/>
                      <w:b/>
                      <w:bCs/>
                      <w:i w:val="0"/>
                      <w:iCs w:val="0"/>
                      <w:color w:val="000000"/>
                      <w:kern w:val="0"/>
                      <w:sz w:val="21"/>
                      <w:szCs w:val="21"/>
                      <w:highlight w:val="none"/>
                      <w:u w:val="none"/>
                      <w:lang w:val="en-US" w:eastAsia="zh-CN" w:bidi="ar"/>
                    </w:rPr>
                  </w:pPr>
                  <w:r>
                    <w:rPr>
                      <w:rFonts w:hint="eastAsia" w:ascii="Times New Roman" w:hAnsi="Times New Roman" w:eastAsia="宋体" w:cs="Times New Roman"/>
                      <w:b/>
                      <w:bCs/>
                      <w:i w:val="0"/>
                      <w:iCs w:val="0"/>
                      <w:color w:val="000000"/>
                      <w:kern w:val="0"/>
                      <w:sz w:val="21"/>
                      <w:szCs w:val="21"/>
                      <w:highlight w:val="none"/>
                      <w:u w:val="none"/>
                      <w:lang w:val="en-US" w:eastAsia="zh-CN" w:bidi="ar"/>
                    </w:rPr>
                    <w:t>0</w:t>
                  </w:r>
                </w:p>
              </w:tc>
            </w:tr>
            <w:tr w14:paraId="66C9697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470" w:type="pct"/>
                  <w:vMerge w:val="continue"/>
                  <w:noWrap w:val="0"/>
                  <w:vAlign w:val="center"/>
                </w:tcPr>
                <w:p w14:paraId="588A563F">
                  <w:pPr>
                    <w:keepNext w:val="0"/>
                    <w:keepLines w:val="0"/>
                    <w:widowControl/>
                    <w:suppressLineNumbers w:val="0"/>
                    <w:spacing w:before="0" w:beforeAutospacing="0" w:after="0" w:afterAutospacing="0" w:line="280" w:lineRule="exact"/>
                    <w:ind w:left="0" w:right="0"/>
                    <w:jc w:val="center"/>
                    <w:textAlignment w:val="center"/>
                    <w:rPr>
                      <w:rFonts w:hint="eastAsia" w:ascii="Times New Roman" w:hAnsi="Times New Roman" w:eastAsia="宋体" w:cs="Times New Roman"/>
                      <w:b w:val="0"/>
                      <w:bCs w:val="0"/>
                      <w:sz w:val="21"/>
                      <w:szCs w:val="21"/>
                      <w:highlight w:val="none"/>
                      <w:lang w:val="en-US" w:eastAsia="zh-CN" w:bidi="ar"/>
                    </w:rPr>
                  </w:pPr>
                </w:p>
              </w:tc>
              <w:tc>
                <w:tcPr>
                  <w:tcW w:w="552" w:type="pct"/>
                  <w:vMerge w:val="continue"/>
                  <w:noWrap w:val="0"/>
                  <w:vAlign w:val="center"/>
                </w:tcPr>
                <w:p w14:paraId="4F1487C9">
                  <w:pPr>
                    <w:keepNext w:val="0"/>
                    <w:keepLines w:val="0"/>
                    <w:widowControl/>
                    <w:suppressLineNumbers w:val="0"/>
                    <w:spacing w:before="0" w:beforeAutospacing="0" w:after="0" w:afterAutospacing="0" w:line="280" w:lineRule="exact"/>
                    <w:ind w:left="0" w:right="0"/>
                    <w:jc w:val="center"/>
                    <w:textAlignment w:val="center"/>
                    <w:rPr>
                      <w:rFonts w:hint="eastAsia" w:ascii="Times New Roman" w:hAnsi="Times New Roman" w:eastAsia="宋体" w:cs="Times New Roman"/>
                      <w:b w:val="0"/>
                      <w:bCs w:val="0"/>
                      <w:sz w:val="21"/>
                      <w:szCs w:val="21"/>
                      <w:highlight w:val="none"/>
                      <w:lang w:val="en-US" w:eastAsia="zh-CN" w:bidi="ar"/>
                    </w:rPr>
                  </w:pPr>
                </w:p>
              </w:tc>
              <w:tc>
                <w:tcPr>
                  <w:tcW w:w="623" w:type="pct"/>
                  <w:vMerge w:val="continue"/>
                  <w:shd w:val="clear" w:color="auto" w:fill="auto"/>
                  <w:noWrap w:val="0"/>
                  <w:vAlign w:val="center"/>
                </w:tcPr>
                <w:p w14:paraId="0DC86716">
                  <w:pPr>
                    <w:keepNext w:val="0"/>
                    <w:keepLines w:val="0"/>
                    <w:widowControl/>
                    <w:suppressLineNumbers w:val="0"/>
                    <w:spacing w:before="0" w:beforeAutospacing="0" w:after="0" w:afterAutospacing="0" w:line="280" w:lineRule="exact"/>
                    <w:ind w:left="0" w:right="0"/>
                    <w:jc w:val="center"/>
                    <w:textAlignment w:val="center"/>
                    <w:rPr>
                      <w:rFonts w:hint="eastAsia" w:cs="Times New Roman"/>
                      <w:b/>
                      <w:bCs/>
                      <w:sz w:val="21"/>
                      <w:szCs w:val="21"/>
                      <w:highlight w:val="none"/>
                      <w:lang w:val="en-US" w:eastAsia="zh-CN" w:bidi="ar"/>
                    </w:rPr>
                  </w:pPr>
                </w:p>
              </w:tc>
              <w:tc>
                <w:tcPr>
                  <w:tcW w:w="651" w:type="pct"/>
                  <w:shd w:val="clear" w:color="auto" w:fill="auto"/>
                  <w:noWrap w:val="0"/>
                  <w:vAlign w:val="center"/>
                </w:tcPr>
                <w:p w14:paraId="4C98EA6B">
                  <w:pPr>
                    <w:keepNext w:val="0"/>
                    <w:keepLines w:val="0"/>
                    <w:widowControl/>
                    <w:suppressLineNumbers w:val="0"/>
                    <w:spacing w:before="0" w:beforeAutospacing="0" w:after="0" w:afterAutospacing="0" w:line="280" w:lineRule="exact"/>
                    <w:ind w:left="0" w:leftChars="0" w:right="0" w:rightChars="0"/>
                    <w:jc w:val="center"/>
                    <w:textAlignment w:val="center"/>
                    <w:rPr>
                      <w:rFonts w:hint="eastAsia" w:ascii="Times New Roman" w:hAnsi="Times New Roman" w:eastAsia="宋体" w:cs="Times New Roman"/>
                      <w:b/>
                      <w:bCs/>
                      <w:kern w:val="2"/>
                      <w:sz w:val="21"/>
                      <w:szCs w:val="21"/>
                      <w:highlight w:val="none"/>
                      <w:lang w:val="en-US" w:eastAsia="zh-CN" w:bidi="ar"/>
                    </w:rPr>
                  </w:pPr>
                  <w:r>
                    <w:rPr>
                      <w:rFonts w:hint="eastAsia" w:cs="Times New Roman"/>
                      <w:b/>
                      <w:bCs/>
                      <w:sz w:val="21"/>
                      <w:szCs w:val="21"/>
                      <w:highlight w:val="none"/>
                      <w:lang w:val="en-US" w:eastAsia="zh-CN" w:bidi="ar"/>
                    </w:rPr>
                    <w:t>颗粒物</w:t>
                  </w:r>
                </w:p>
              </w:tc>
              <w:tc>
                <w:tcPr>
                  <w:tcW w:w="1348" w:type="pct"/>
                  <w:gridSpan w:val="2"/>
                  <w:shd w:val="clear" w:color="auto" w:fill="auto"/>
                  <w:noWrap w:val="0"/>
                  <w:vAlign w:val="center"/>
                </w:tcPr>
                <w:p w14:paraId="3B9F7214">
                  <w:pPr>
                    <w:keepNext w:val="0"/>
                    <w:keepLines w:val="0"/>
                    <w:widowControl/>
                    <w:suppressLineNumbers w:val="0"/>
                    <w:spacing w:before="0" w:beforeAutospacing="0" w:after="0" w:afterAutospacing="0"/>
                    <w:ind w:left="0" w:leftChars="0" w:right="0" w:rightChars="0"/>
                    <w:jc w:val="center"/>
                    <w:textAlignment w:val="center"/>
                    <w:rPr>
                      <w:rFonts w:hint="eastAsia" w:ascii="Times New Roman" w:hAnsi="Times New Roman" w:eastAsia="宋体" w:cs="Times New Roman"/>
                      <w:b/>
                      <w:bCs/>
                      <w:i w:val="0"/>
                      <w:iCs w:val="0"/>
                      <w:color w:val="000000"/>
                      <w:kern w:val="0"/>
                      <w:sz w:val="21"/>
                      <w:szCs w:val="21"/>
                      <w:highlight w:val="none"/>
                      <w:u w:val="none"/>
                      <w:lang w:val="en-US" w:eastAsia="zh-CN" w:bidi="ar"/>
                    </w:rPr>
                  </w:pPr>
                  <w:r>
                    <w:rPr>
                      <w:rFonts w:hint="eastAsia" w:cs="Times New Roman"/>
                      <w:b/>
                      <w:bCs/>
                      <w:i w:val="0"/>
                      <w:iCs w:val="0"/>
                      <w:color w:val="000000"/>
                      <w:kern w:val="0"/>
                      <w:sz w:val="21"/>
                      <w:szCs w:val="21"/>
                      <w:highlight w:val="none"/>
                      <w:u w:val="none"/>
                      <w:lang w:val="en-US" w:eastAsia="zh-CN" w:bidi="ar"/>
                    </w:rPr>
                    <w:t>少量</w:t>
                  </w:r>
                </w:p>
              </w:tc>
              <w:tc>
                <w:tcPr>
                  <w:tcW w:w="1354" w:type="pct"/>
                  <w:gridSpan w:val="2"/>
                  <w:shd w:val="clear" w:color="auto" w:fill="auto"/>
                  <w:noWrap w:val="0"/>
                  <w:vAlign w:val="center"/>
                </w:tcPr>
                <w:p w14:paraId="4C34C565">
                  <w:pPr>
                    <w:keepNext w:val="0"/>
                    <w:keepLines w:val="0"/>
                    <w:widowControl/>
                    <w:suppressLineNumbers w:val="0"/>
                    <w:spacing w:before="0" w:beforeAutospacing="0" w:after="0" w:afterAutospacing="0"/>
                    <w:ind w:left="0" w:leftChars="0" w:right="0" w:rightChars="0"/>
                    <w:jc w:val="center"/>
                    <w:textAlignment w:val="center"/>
                    <w:rPr>
                      <w:rFonts w:hint="eastAsia" w:ascii="Times New Roman" w:hAnsi="Times New Roman" w:eastAsia="宋体" w:cs="Times New Roman"/>
                      <w:b/>
                      <w:bCs/>
                      <w:i w:val="0"/>
                      <w:iCs w:val="0"/>
                      <w:color w:val="000000"/>
                      <w:kern w:val="0"/>
                      <w:sz w:val="21"/>
                      <w:szCs w:val="21"/>
                      <w:highlight w:val="none"/>
                      <w:u w:val="none"/>
                      <w:lang w:val="en-US" w:eastAsia="zh-CN" w:bidi="ar"/>
                    </w:rPr>
                  </w:pPr>
                  <w:r>
                    <w:rPr>
                      <w:rFonts w:hint="eastAsia" w:cs="Times New Roman"/>
                      <w:b/>
                      <w:bCs/>
                      <w:i w:val="0"/>
                      <w:iCs w:val="0"/>
                      <w:color w:val="000000"/>
                      <w:kern w:val="0"/>
                      <w:sz w:val="21"/>
                      <w:szCs w:val="21"/>
                      <w:highlight w:val="none"/>
                      <w:u w:val="none"/>
                      <w:lang w:val="en-US" w:eastAsia="zh-CN" w:bidi="ar"/>
                    </w:rPr>
                    <w:t>少量</w:t>
                  </w:r>
                </w:p>
              </w:tc>
            </w:tr>
            <w:tr w14:paraId="0F36EA8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470" w:type="pct"/>
                  <w:vMerge w:val="continue"/>
                  <w:noWrap w:val="0"/>
                  <w:vAlign w:val="center"/>
                </w:tcPr>
                <w:p w14:paraId="7CE94B75">
                  <w:pPr>
                    <w:keepNext w:val="0"/>
                    <w:keepLines w:val="0"/>
                    <w:widowControl/>
                    <w:suppressLineNumbers w:val="0"/>
                    <w:spacing w:before="0" w:beforeAutospacing="0" w:after="0" w:afterAutospacing="0" w:line="280" w:lineRule="exact"/>
                    <w:ind w:left="0" w:right="0"/>
                    <w:jc w:val="center"/>
                    <w:textAlignment w:val="center"/>
                    <w:rPr>
                      <w:rFonts w:hint="eastAsia" w:ascii="Times New Roman" w:hAnsi="Times New Roman" w:eastAsia="宋体" w:cs="Times New Roman"/>
                      <w:b w:val="0"/>
                      <w:bCs w:val="0"/>
                      <w:sz w:val="21"/>
                      <w:szCs w:val="21"/>
                      <w:highlight w:val="none"/>
                      <w:lang w:val="en-US" w:eastAsia="zh-CN" w:bidi="ar"/>
                    </w:rPr>
                  </w:pPr>
                </w:p>
              </w:tc>
              <w:tc>
                <w:tcPr>
                  <w:tcW w:w="552" w:type="pct"/>
                  <w:vMerge w:val="restart"/>
                  <w:noWrap w:val="0"/>
                  <w:vAlign w:val="center"/>
                </w:tcPr>
                <w:p w14:paraId="01AC2286">
                  <w:pPr>
                    <w:keepNext w:val="0"/>
                    <w:keepLines w:val="0"/>
                    <w:widowControl/>
                    <w:suppressLineNumbers w:val="0"/>
                    <w:spacing w:before="0" w:beforeAutospacing="0" w:after="0" w:afterAutospacing="0" w:line="280" w:lineRule="exact"/>
                    <w:ind w:left="0" w:right="0"/>
                    <w:jc w:val="center"/>
                    <w:textAlignment w:val="center"/>
                    <w:rPr>
                      <w:rFonts w:hint="default" w:ascii="Times New Roman" w:hAnsi="Times New Roman" w:eastAsia="宋体" w:cs="Times New Roman"/>
                      <w:b w:val="0"/>
                      <w:bCs w:val="0"/>
                      <w:sz w:val="21"/>
                      <w:szCs w:val="21"/>
                      <w:highlight w:val="none"/>
                      <w:lang w:val="en-US" w:eastAsia="zh-CN" w:bidi="ar"/>
                    </w:rPr>
                  </w:pPr>
                  <w:r>
                    <w:rPr>
                      <w:rFonts w:hint="eastAsia" w:ascii="Times New Roman" w:hAnsi="Times New Roman" w:eastAsia="宋体" w:cs="Times New Roman"/>
                      <w:b w:val="0"/>
                      <w:bCs w:val="0"/>
                      <w:sz w:val="21"/>
                      <w:szCs w:val="21"/>
                      <w:highlight w:val="none"/>
                      <w:lang w:val="en-US" w:eastAsia="zh-CN" w:bidi="ar"/>
                    </w:rPr>
                    <w:t>DA005</w:t>
                  </w:r>
                </w:p>
              </w:tc>
              <w:tc>
                <w:tcPr>
                  <w:tcW w:w="623" w:type="pct"/>
                  <w:vMerge w:val="restart"/>
                  <w:shd w:val="clear" w:color="auto" w:fill="auto"/>
                  <w:noWrap w:val="0"/>
                  <w:vAlign w:val="center"/>
                </w:tcPr>
                <w:p w14:paraId="240AF4CC">
                  <w:pPr>
                    <w:keepNext w:val="0"/>
                    <w:keepLines w:val="0"/>
                    <w:widowControl/>
                    <w:suppressLineNumbers w:val="0"/>
                    <w:spacing w:before="0" w:beforeAutospacing="0" w:after="0" w:afterAutospacing="0" w:line="280" w:lineRule="exact"/>
                    <w:ind w:left="0" w:right="0"/>
                    <w:jc w:val="center"/>
                    <w:textAlignment w:val="center"/>
                    <w:rPr>
                      <w:rFonts w:hint="eastAsia" w:cs="Times New Roman"/>
                      <w:b w:val="0"/>
                      <w:bCs w:val="0"/>
                      <w:sz w:val="21"/>
                      <w:szCs w:val="21"/>
                      <w:highlight w:val="none"/>
                      <w:lang w:val="en-US" w:eastAsia="zh-CN" w:bidi="ar"/>
                    </w:rPr>
                  </w:pPr>
                  <w:r>
                    <w:rPr>
                      <w:rFonts w:hint="eastAsia" w:cs="Times New Roman"/>
                      <w:b w:val="0"/>
                      <w:bCs w:val="0"/>
                      <w:sz w:val="21"/>
                      <w:szCs w:val="21"/>
                      <w:highlight w:val="none"/>
                      <w:lang w:val="en-US" w:eastAsia="zh-CN" w:bidi="ar"/>
                    </w:rPr>
                    <w:t>有组织</w:t>
                  </w:r>
                </w:p>
              </w:tc>
              <w:tc>
                <w:tcPr>
                  <w:tcW w:w="651" w:type="pct"/>
                  <w:shd w:val="clear" w:color="auto" w:fill="auto"/>
                  <w:noWrap w:val="0"/>
                  <w:vAlign w:val="center"/>
                </w:tcPr>
                <w:p w14:paraId="2CD55CFB">
                  <w:pPr>
                    <w:keepNext w:val="0"/>
                    <w:keepLines w:val="0"/>
                    <w:widowControl/>
                    <w:suppressLineNumbers w:val="0"/>
                    <w:spacing w:before="0" w:beforeAutospacing="0" w:after="0" w:afterAutospacing="0" w:line="280" w:lineRule="exact"/>
                    <w:ind w:left="0" w:right="0"/>
                    <w:jc w:val="center"/>
                    <w:textAlignment w:val="center"/>
                    <w:rPr>
                      <w:rFonts w:hint="eastAsia" w:ascii="Times New Roman" w:hAnsi="Times New Roman" w:eastAsia="宋体" w:cs="Times New Roman"/>
                      <w:b w:val="0"/>
                      <w:bCs w:val="0"/>
                      <w:kern w:val="2"/>
                      <w:sz w:val="21"/>
                      <w:szCs w:val="21"/>
                      <w:highlight w:val="none"/>
                      <w:lang w:val="en-US" w:eastAsia="zh-CN" w:bidi="ar"/>
                    </w:rPr>
                  </w:pPr>
                  <w:r>
                    <w:rPr>
                      <w:rFonts w:hint="eastAsia" w:ascii="Times New Roman" w:hAnsi="Times New Roman" w:eastAsia="宋体" w:cs="Times New Roman"/>
                      <w:b w:val="0"/>
                      <w:bCs w:val="0"/>
                      <w:sz w:val="21"/>
                      <w:szCs w:val="21"/>
                      <w:highlight w:val="none"/>
                      <w:lang w:val="en-US" w:eastAsia="zh-CN" w:bidi="ar"/>
                    </w:rPr>
                    <w:t>NH</w:t>
                  </w:r>
                  <w:r>
                    <w:rPr>
                      <w:rFonts w:hint="eastAsia" w:ascii="Times New Roman" w:hAnsi="Times New Roman" w:eastAsia="宋体" w:cs="Times New Roman"/>
                      <w:b w:val="0"/>
                      <w:bCs w:val="0"/>
                      <w:sz w:val="21"/>
                      <w:szCs w:val="21"/>
                      <w:highlight w:val="none"/>
                      <w:vertAlign w:val="subscript"/>
                      <w:lang w:val="en-US" w:eastAsia="zh-CN" w:bidi="ar"/>
                    </w:rPr>
                    <w:t>3</w:t>
                  </w:r>
                </w:p>
              </w:tc>
              <w:tc>
                <w:tcPr>
                  <w:tcW w:w="641" w:type="pct"/>
                  <w:shd w:val="clear" w:color="auto" w:fill="auto"/>
                  <w:noWrap w:val="0"/>
                  <w:vAlign w:val="center"/>
                </w:tcPr>
                <w:p w14:paraId="3D7BB97E">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kern w:val="0"/>
                      <w:sz w:val="21"/>
                      <w:szCs w:val="21"/>
                      <w:highlight w:val="none"/>
                      <w:u w:val="none"/>
                      <w:lang w:val="en-US" w:eastAsia="zh-CN" w:bidi="ar"/>
                    </w:rPr>
                  </w:pPr>
                  <w:r>
                    <w:rPr>
                      <w:rFonts w:hint="eastAsia" w:ascii="Times New Roman" w:hAnsi="Times New Roman" w:eastAsia="宋体" w:cs="Times New Roman"/>
                      <w:i w:val="0"/>
                      <w:iCs w:val="0"/>
                      <w:color w:val="000000"/>
                      <w:kern w:val="0"/>
                      <w:sz w:val="21"/>
                      <w:szCs w:val="21"/>
                      <w:highlight w:val="none"/>
                      <w:u w:val="none"/>
                      <w:lang w:val="en-US" w:eastAsia="zh-CN" w:bidi="ar"/>
                    </w:rPr>
                    <w:t>0.007</w:t>
                  </w:r>
                </w:p>
              </w:tc>
              <w:tc>
                <w:tcPr>
                  <w:tcW w:w="706" w:type="pct"/>
                  <w:shd w:val="clear" w:color="auto" w:fill="auto"/>
                  <w:noWrap w:val="0"/>
                  <w:vAlign w:val="center"/>
                </w:tcPr>
                <w:p w14:paraId="5299BE48">
                  <w:pPr>
                    <w:keepNext w:val="0"/>
                    <w:keepLines w:val="0"/>
                    <w:widowControl/>
                    <w:suppressLineNumbers w:val="0"/>
                    <w:spacing w:before="0" w:beforeAutospacing="0" w:after="0" w:afterAutospacing="0"/>
                    <w:ind w:left="0" w:right="0"/>
                    <w:jc w:val="center"/>
                    <w:textAlignment w:val="center"/>
                    <w:rPr>
                      <w:rFonts w:hint="eastAsia" w:ascii="Times New Roman" w:hAnsi="Times New Roman" w:eastAsia="宋体" w:cs="Times New Roman"/>
                      <w:i w:val="0"/>
                      <w:iCs w:val="0"/>
                      <w:color w:val="000000"/>
                      <w:kern w:val="0"/>
                      <w:sz w:val="21"/>
                      <w:szCs w:val="21"/>
                      <w:highlight w:val="none"/>
                      <w:u w:val="none"/>
                      <w:lang w:val="en-US" w:eastAsia="zh-CN" w:bidi="ar"/>
                    </w:rPr>
                  </w:pPr>
                  <w:r>
                    <w:rPr>
                      <w:rFonts w:hint="eastAsia" w:ascii="Times New Roman" w:hAnsi="Times New Roman" w:eastAsia="宋体" w:cs="Times New Roman"/>
                      <w:i w:val="0"/>
                      <w:iCs w:val="0"/>
                      <w:color w:val="000000"/>
                      <w:kern w:val="0"/>
                      <w:sz w:val="21"/>
                      <w:szCs w:val="21"/>
                      <w:highlight w:val="none"/>
                      <w:u w:val="none"/>
                      <w:lang w:val="en-US" w:eastAsia="zh-CN" w:bidi="ar"/>
                    </w:rPr>
                    <w:t xml:space="preserve">0.001 </w:t>
                  </w:r>
                </w:p>
              </w:tc>
              <w:tc>
                <w:tcPr>
                  <w:tcW w:w="635" w:type="pct"/>
                  <w:noWrap w:val="0"/>
                  <w:vAlign w:val="center"/>
                </w:tcPr>
                <w:p w14:paraId="4D7A2C5A">
                  <w:pPr>
                    <w:keepNext w:val="0"/>
                    <w:keepLines w:val="0"/>
                    <w:widowControl/>
                    <w:suppressLineNumbers w:val="0"/>
                    <w:spacing w:before="0" w:beforeAutospacing="0" w:after="0" w:afterAutospacing="0"/>
                    <w:ind w:left="0" w:right="0"/>
                    <w:jc w:val="center"/>
                    <w:textAlignment w:val="center"/>
                    <w:rPr>
                      <w:rFonts w:hint="eastAsia" w:ascii="Times New Roman" w:hAnsi="Times New Roman" w:eastAsia="宋体" w:cs="Times New Roman"/>
                      <w:i w:val="0"/>
                      <w:iCs w:val="0"/>
                      <w:color w:val="000000"/>
                      <w:kern w:val="0"/>
                      <w:sz w:val="21"/>
                      <w:szCs w:val="21"/>
                      <w:highlight w:val="none"/>
                      <w:u w:val="none"/>
                      <w:lang w:val="en-US" w:eastAsia="zh-CN" w:bidi="ar"/>
                    </w:rPr>
                  </w:pPr>
                  <w:r>
                    <w:rPr>
                      <w:rFonts w:hint="eastAsia" w:ascii="Times New Roman" w:hAnsi="Times New Roman" w:eastAsia="宋体" w:cs="Times New Roman"/>
                      <w:i w:val="0"/>
                      <w:iCs w:val="0"/>
                      <w:color w:val="000000"/>
                      <w:kern w:val="0"/>
                      <w:sz w:val="21"/>
                      <w:szCs w:val="21"/>
                      <w:highlight w:val="none"/>
                      <w:u w:val="none"/>
                      <w:lang w:val="en-US" w:eastAsia="zh-CN" w:bidi="ar"/>
                    </w:rPr>
                    <w:t xml:space="preserve">0.001 </w:t>
                  </w:r>
                </w:p>
              </w:tc>
              <w:tc>
                <w:tcPr>
                  <w:tcW w:w="719" w:type="pct"/>
                  <w:noWrap w:val="0"/>
                  <w:vAlign w:val="center"/>
                </w:tcPr>
                <w:p w14:paraId="46A29531">
                  <w:pPr>
                    <w:keepNext w:val="0"/>
                    <w:keepLines w:val="0"/>
                    <w:widowControl/>
                    <w:suppressLineNumbers w:val="0"/>
                    <w:spacing w:before="0" w:beforeAutospacing="0" w:after="0" w:afterAutospacing="0"/>
                    <w:ind w:left="0" w:right="0"/>
                    <w:jc w:val="center"/>
                    <w:textAlignment w:val="center"/>
                    <w:rPr>
                      <w:rFonts w:hint="eastAsia" w:ascii="Times New Roman" w:hAnsi="Times New Roman" w:eastAsia="宋体" w:cs="Times New Roman"/>
                      <w:i w:val="0"/>
                      <w:iCs w:val="0"/>
                      <w:color w:val="000000"/>
                      <w:kern w:val="0"/>
                      <w:sz w:val="21"/>
                      <w:szCs w:val="21"/>
                      <w:highlight w:val="none"/>
                      <w:u w:val="none"/>
                      <w:lang w:val="en-US" w:eastAsia="zh-CN" w:bidi="ar"/>
                    </w:rPr>
                  </w:pPr>
                  <w:r>
                    <w:rPr>
                      <w:rFonts w:hint="eastAsia" w:ascii="Times New Roman" w:hAnsi="Times New Roman" w:eastAsia="宋体" w:cs="Times New Roman"/>
                      <w:i w:val="0"/>
                      <w:iCs w:val="0"/>
                      <w:color w:val="000000"/>
                      <w:kern w:val="0"/>
                      <w:sz w:val="21"/>
                      <w:szCs w:val="21"/>
                      <w:highlight w:val="none"/>
                      <w:u w:val="none"/>
                      <w:lang w:val="en-US" w:eastAsia="zh-CN" w:bidi="ar"/>
                    </w:rPr>
                    <w:t>~0</w:t>
                  </w:r>
                </w:p>
              </w:tc>
            </w:tr>
            <w:tr w14:paraId="57A3E33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470" w:type="pct"/>
                  <w:vMerge w:val="continue"/>
                  <w:noWrap w:val="0"/>
                  <w:vAlign w:val="center"/>
                </w:tcPr>
                <w:p w14:paraId="342E9E2F">
                  <w:pPr>
                    <w:keepNext w:val="0"/>
                    <w:keepLines w:val="0"/>
                    <w:widowControl/>
                    <w:suppressLineNumbers w:val="0"/>
                    <w:spacing w:before="0" w:beforeAutospacing="0" w:after="0" w:afterAutospacing="0" w:line="280" w:lineRule="exact"/>
                    <w:ind w:left="0" w:right="0"/>
                    <w:jc w:val="center"/>
                    <w:textAlignment w:val="center"/>
                    <w:rPr>
                      <w:rFonts w:hint="eastAsia" w:ascii="Times New Roman" w:hAnsi="Times New Roman" w:eastAsia="宋体" w:cs="Times New Roman"/>
                      <w:b w:val="0"/>
                      <w:bCs w:val="0"/>
                      <w:sz w:val="21"/>
                      <w:szCs w:val="21"/>
                      <w:highlight w:val="none"/>
                      <w:lang w:val="en-US" w:eastAsia="zh-CN" w:bidi="ar"/>
                    </w:rPr>
                  </w:pPr>
                </w:p>
              </w:tc>
              <w:tc>
                <w:tcPr>
                  <w:tcW w:w="552" w:type="pct"/>
                  <w:vMerge w:val="continue"/>
                  <w:noWrap w:val="0"/>
                  <w:vAlign w:val="center"/>
                </w:tcPr>
                <w:p w14:paraId="42839061">
                  <w:pPr>
                    <w:keepNext w:val="0"/>
                    <w:keepLines w:val="0"/>
                    <w:widowControl/>
                    <w:suppressLineNumbers w:val="0"/>
                    <w:spacing w:before="0" w:beforeAutospacing="0" w:after="0" w:afterAutospacing="0" w:line="280" w:lineRule="exact"/>
                    <w:ind w:left="0" w:right="0"/>
                    <w:jc w:val="center"/>
                    <w:textAlignment w:val="center"/>
                    <w:rPr>
                      <w:rFonts w:hint="eastAsia" w:ascii="Times New Roman" w:hAnsi="Times New Roman" w:eastAsia="宋体" w:cs="Times New Roman"/>
                      <w:b w:val="0"/>
                      <w:bCs w:val="0"/>
                      <w:sz w:val="21"/>
                      <w:szCs w:val="21"/>
                      <w:highlight w:val="none"/>
                      <w:lang w:val="en-US" w:eastAsia="zh-CN" w:bidi="ar"/>
                    </w:rPr>
                  </w:pPr>
                </w:p>
              </w:tc>
              <w:tc>
                <w:tcPr>
                  <w:tcW w:w="623" w:type="pct"/>
                  <w:vMerge w:val="continue"/>
                  <w:shd w:val="clear" w:color="auto" w:fill="auto"/>
                  <w:noWrap w:val="0"/>
                  <w:vAlign w:val="center"/>
                </w:tcPr>
                <w:p w14:paraId="15ECD452">
                  <w:pPr>
                    <w:keepNext w:val="0"/>
                    <w:keepLines w:val="0"/>
                    <w:widowControl/>
                    <w:suppressLineNumbers w:val="0"/>
                    <w:spacing w:before="0" w:beforeAutospacing="0" w:after="0" w:afterAutospacing="0" w:line="280" w:lineRule="exact"/>
                    <w:ind w:left="0" w:right="0"/>
                    <w:jc w:val="center"/>
                    <w:textAlignment w:val="center"/>
                    <w:rPr>
                      <w:rFonts w:hint="eastAsia" w:cs="Times New Roman"/>
                      <w:b w:val="0"/>
                      <w:bCs w:val="0"/>
                      <w:sz w:val="21"/>
                      <w:szCs w:val="21"/>
                      <w:highlight w:val="none"/>
                      <w:lang w:val="en-US" w:eastAsia="zh-CN" w:bidi="ar"/>
                    </w:rPr>
                  </w:pPr>
                </w:p>
              </w:tc>
              <w:tc>
                <w:tcPr>
                  <w:tcW w:w="651" w:type="pct"/>
                  <w:shd w:val="clear" w:color="auto" w:fill="auto"/>
                  <w:noWrap w:val="0"/>
                  <w:vAlign w:val="center"/>
                </w:tcPr>
                <w:p w14:paraId="544EA486">
                  <w:pPr>
                    <w:keepNext w:val="0"/>
                    <w:keepLines w:val="0"/>
                    <w:widowControl/>
                    <w:suppressLineNumbers w:val="0"/>
                    <w:spacing w:before="0" w:beforeAutospacing="0" w:after="0" w:afterAutospacing="0" w:line="280" w:lineRule="exact"/>
                    <w:ind w:left="0" w:right="0"/>
                    <w:jc w:val="center"/>
                    <w:textAlignment w:val="center"/>
                    <w:rPr>
                      <w:rFonts w:hint="eastAsia" w:ascii="Times New Roman" w:hAnsi="Times New Roman" w:eastAsia="宋体" w:cs="Times New Roman"/>
                      <w:b w:val="0"/>
                      <w:bCs w:val="0"/>
                      <w:kern w:val="2"/>
                      <w:sz w:val="21"/>
                      <w:szCs w:val="21"/>
                      <w:highlight w:val="none"/>
                      <w:lang w:val="en-US" w:eastAsia="zh-CN" w:bidi="ar"/>
                    </w:rPr>
                  </w:pPr>
                  <w:r>
                    <w:rPr>
                      <w:rFonts w:hint="eastAsia" w:ascii="Times New Roman" w:hAnsi="Times New Roman" w:eastAsia="宋体" w:cs="Times New Roman"/>
                      <w:b w:val="0"/>
                      <w:bCs w:val="0"/>
                      <w:sz w:val="21"/>
                      <w:szCs w:val="21"/>
                      <w:highlight w:val="none"/>
                      <w:lang w:val="en-US" w:eastAsia="zh-CN" w:bidi="ar"/>
                    </w:rPr>
                    <w:t>H</w:t>
                  </w:r>
                  <w:r>
                    <w:rPr>
                      <w:rFonts w:hint="eastAsia" w:ascii="Times New Roman" w:hAnsi="Times New Roman" w:eastAsia="宋体" w:cs="Times New Roman"/>
                      <w:b w:val="0"/>
                      <w:bCs w:val="0"/>
                      <w:sz w:val="21"/>
                      <w:szCs w:val="21"/>
                      <w:highlight w:val="none"/>
                      <w:vertAlign w:val="subscript"/>
                      <w:lang w:val="en-US" w:eastAsia="zh-CN" w:bidi="ar"/>
                    </w:rPr>
                    <w:t>2</w:t>
                  </w:r>
                  <w:r>
                    <w:rPr>
                      <w:rFonts w:hint="eastAsia" w:ascii="Times New Roman" w:hAnsi="Times New Roman" w:eastAsia="宋体" w:cs="Times New Roman"/>
                      <w:b w:val="0"/>
                      <w:bCs w:val="0"/>
                      <w:sz w:val="21"/>
                      <w:szCs w:val="21"/>
                      <w:highlight w:val="none"/>
                      <w:lang w:val="en-US" w:eastAsia="zh-CN" w:bidi="ar"/>
                    </w:rPr>
                    <w:t>S</w:t>
                  </w:r>
                </w:p>
              </w:tc>
              <w:tc>
                <w:tcPr>
                  <w:tcW w:w="641" w:type="pct"/>
                  <w:noWrap w:val="0"/>
                  <w:vAlign w:val="center"/>
                </w:tcPr>
                <w:p w14:paraId="292F950F">
                  <w:pPr>
                    <w:keepNext w:val="0"/>
                    <w:keepLines w:val="0"/>
                    <w:widowControl/>
                    <w:suppressLineNumbers w:val="0"/>
                    <w:spacing w:before="0" w:beforeAutospacing="0" w:after="0" w:afterAutospacing="0"/>
                    <w:ind w:left="0" w:right="0"/>
                    <w:jc w:val="center"/>
                    <w:textAlignment w:val="center"/>
                    <w:rPr>
                      <w:rFonts w:hint="eastAsia" w:ascii="Times New Roman" w:hAnsi="Times New Roman" w:eastAsia="宋体" w:cs="Times New Roman"/>
                      <w:i w:val="0"/>
                      <w:iCs w:val="0"/>
                      <w:color w:val="000000"/>
                      <w:kern w:val="0"/>
                      <w:sz w:val="21"/>
                      <w:szCs w:val="21"/>
                      <w:highlight w:val="none"/>
                      <w:u w:val="none"/>
                      <w:lang w:val="en-US" w:eastAsia="zh-CN" w:bidi="ar"/>
                    </w:rPr>
                  </w:pPr>
                  <w:r>
                    <w:rPr>
                      <w:rFonts w:hint="eastAsia" w:ascii="Times New Roman" w:hAnsi="Times New Roman" w:eastAsia="宋体" w:cs="Times New Roman"/>
                      <w:i w:val="0"/>
                      <w:iCs w:val="0"/>
                      <w:color w:val="000000"/>
                      <w:kern w:val="0"/>
                      <w:sz w:val="21"/>
                      <w:szCs w:val="21"/>
                      <w:highlight w:val="none"/>
                      <w:u w:val="none"/>
                      <w:lang w:val="en-US" w:eastAsia="zh-CN" w:bidi="ar"/>
                    </w:rPr>
                    <w:t>0.001</w:t>
                  </w:r>
                </w:p>
              </w:tc>
              <w:tc>
                <w:tcPr>
                  <w:tcW w:w="706" w:type="pct"/>
                  <w:noWrap w:val="0"/>
                  <w:vAlign w:val="center"/>
                </w:tcPr>
                <w:p w14:paraId="6F92F167">
                  <w:pPr>
                    <w:keepNext w:val="0"/>
                    <w:keepLines w:val="0"/>
                    <w:widowControl/>
                    <w:suppressLineNumbers w:val="0"/>
                    <w:spacing w:before="0" w:beforeAutospacing="0" w:after="0" w:afterAutospacing="0"/>
                    <w:ind w:left="0" w:right="0"/>
                    <w:jc w:val="center"/>
                    <w:textAlignment w:val="center"/>
                    <w:rPr>
                      <w:rFonts w:hint="eastAsia" w:ascii="Times New Roman" w:hAnsi="Times New Roman" w:eastAsia="宋体" w:cs="Times New Roman"/>
                      <w:i w:val="0"/>
                      <w:iCs w:val="0"/>
                      <w:color w:val="000000"/>
                      <w:kern w:val="0"/>
                      <w:sz w:val="21"/>
                      <w:szCs w:val="21"/>
                      <w:highlight w:val="none"/>
                      <w:u w:val="none"/>
                      <w:lang w:val="en-US" w:eastAsia="zh-CN" w:bidi="ar"/>
                    </w:rPr>
                  </w:pPr>
                  <w:r>
                    <w:rPr>
                      <w:rFonts w:hint="eastAsia" w:ascii="Times New Roman" w:hAnsi="Times New Roman" w:eastAsia="宋体" w:cs="Times New Roman"/>
                      <w:i w:val="0"/>
                      <w:iCs w:val="0"/>
                      <w:color w:val="000000"/>
                      <w:kern w:val="0"/>
                      <w:sz w:val="21"/>
                      <w:szCs w:val="21"/>
                      <w:highlight w:val="none"/>
                      <w:u w:val="none"/>
                      <w:lang w:val="en-US" w:eastAsia="zh-CN" w:bidi="ar"/>
                    </w:rPr>
                    <w:t>~0</w:t>
                  </w:r>
                </w:p>
              </w:tc>
              <w:tc>
                <w:tcPr>
                  <w:tcW w:w="635" w:type="pct"/>
                  <w:noWrap w:val="0"/>
                  <w:vAlign w:val="center"/>
                </w:tcPr>
                <w:p w14:paraId="5DFDE236">
                  <w:pPr>
                    <w:keepNext w:val="0"/>
                    <w:keepLines w:val="0"/>
                    <w:widowControl/>
                    <w:suppressLineNumbers w:val="0"/>
                    <w:spacing w:before="0" w:beforeAutospacing="0" w:after="0" w:afterAutospacing="0"/>
                    <w:ind w:left="0" w:right="0"/>
                    <w:jc w:val="center"/>
                    <w:textAlignment w:val="center"/>
                    <w:rPr>
                      <w:rFonts w:hint="eastAsia" w:ascii="Times New Roman" w:hAnsi="Times New Roman" w:eastAsia="宋体" w:cs="Times New Roman"/>
                      <w:i w:val="0"/>
                      <w:iCs w:val="0"/>
                      <w:color w:val="000000"/>
                      <w:kern w:val="0"/>
                      <w:sz w:val="21"/>
                      <w:szCs w:val="21"/>
                      <w:highlight w:val="none"/>
                      <w:u w:val="none"/>
                      <w:lang w:val="en-US" w:eastAsia="zh-CN" w:bidi="ar"/>
                    </w:rPr>
                  </w:pPr>
                  <w:r>
                    <w:rPr>
                      <w:rFonts w:hint="eastAsia" w:ascii="Times New Roman" w:hAnsi="Times New Roman" w:eastAsia="宋体" w:cs="Times New Roman"/>
                      <w:i w:val="0"/>
                      <w:iCs w:val="0"/>
                      <w:color w:val="000000"/>
                      <w:kern w:val="0"/>
                      <w:sz w:val="21"/>
                      <w:szCs w:val="21"/>
                      <w:highlight w:val="none"/>
                      <w:u w:val="none"/>
                      <w:lang w:val="en-US" w:eastAsia="zh-CN" w:bidi="ar"/>
                    </w:rPr>
                    <w:t xml:space="preserve">0.001 </w:t>
                  </w:r>
                </w:p>
              </w:tc>
              <w:tc>
                <w:tcPr>
                  <w:tcW w:w="719" w:type="pct"/>
                  <w:noWrap w:val="0"/>
                  <w:vAlign w:val="center"/>
                </w:tcPr>
                <w:p w14:paraId="587C1EC1">
                  <w:pPr>
                    <w:keepNext w:val="0"/>
                    <w:keepLines w:val="0"/>
                    <w:widowControl/>
                    <w:suppressLineNumbers w:val="0"/>
                    <w:spacing w:before="0" w:beforeAutospacing="0" w:after="0" w:afterAutospacing="0"/>
                    <w:ind w:left="0" w:right="0"/>
                    <w:jc w:val="center"/>
                    <w:textAlignment w:val="center"/>
                    <w:rPr>
                      <w:rFonts w:hint="eastAsia" w:ascii="Times New Roman" w:hAnsi="Times New Roman" w:eastAsia="宋体" w:cs="Times New Roman"/>
                      <w:i w:val="0"/>
                      <w:iCs w:val="0"/>
                      <w:color w:val="000000"/>
                      <w:kern w:val="0"/>
                      <w:sz w:val="21"/>
                      <w:szCs w:val="21"/>
                      <w:highlight w:val="none"/>
                      <w:u w:val="none"/>
                      <w:lang w:val="en-US" w:eastAsia="zh-CN" w:bidi="ar"/>
                    </w:rPr>
                  </w:pPr>
                  <w:r>
                    <w:rPr>
                      <w:rFonts w:hint="eastAsia" w:ascii="Times New Roman" w:hAnsi="Times New Roman" w:eastAsia="宋体" w:cs="Times New Roman"/>
                      <w:i w:val="0"/>
                      <w:iCs w:val="0"/>
                      <w:color w:val="000000"/>
                      <w:kern w:val="0"/>
                      <w:sz w:val="21"/>
                      <w:szCs w:val="21"/>
                      <w:highlight w:val="none"/>
                      <w:u w:val="none"/>
                      <w:lang w:val="en-US" w:eastAsia="zh-CN" w:bidi="ar"/>
                    </w:rPr>
                    <w:t>~0</w:t>
                  </w:r>
                </w:p>
              </w:tc>
            </w:tr>
            <w:tr w14:paraId="131EC28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470" w:type="pct"/>
                  <w:vMerge w:val="continue"/>
                  <w:noWrap w:val="0"/>
                  <w:vAlign w:val="center"/>
                </w:tcPr>
                <w:p w14:paraId="48A8C41D">
                  <w:pPr>
                    <w:keepNext w:val="0"/>
                    <w:keepLines w:val="0"/>
                    <w:widowControl/>
                    <w:suppressLineNumbers w:val="0"/>
                    <w:spacing w:before="0" w:beforeAutospacing="0" w:after="0" w:afterAutospacing="0" w:line="280" w:lineRule="exact"/>
                    <w:ind w:left="0" w:right="0"/>
                    <w:jc w:val="center"/>
                    <w:textAlignment w:val="center"/>
                    <w:rPr>
                      <w:rFonts w:hint="eastAsia" w:ascii="Times New Roman" w:hAnsi="Times New Roman" w:eastAsia="宋体" w:cs="Times New Roman"/>
                      <w:b w:val="0"/>
                      <w:bCs w:val="0"/>
                      <w:sz w:val="21"/>
                      <w:szCs w:val="21"/>
                      <w:highlight w:val="none"/>
                      <w:lang w:val="en-US" w:eastAsia="zh-CN" w:bidi="ar"/>
                    </w:rPr>
                  </w:pPr>
                </w:p>
              </w:tc>
              <w:tc>
                <w:tcPr>
                  <w:tcW w:w="552" w:type="pct"/>
                  <w:vMerge w:val="continue"/>
                  <w:noWrap w:val="0"/>
                  <w:vAlign w:val="center"/>
                </w:tcPr>
                <w:p w14:paraId="3DEFF993">
                  <w:pPr>
                    <w:keepNext w:val="0"/>
                    <w:keepLines w:val="0"/>
                    <w:widowControl/>
                    <w:suppressLineNumbers w:val="0"/>
                    <w:spacing w:before="0" w:beforeAutospacing="0" w:after="0" w:afterAutospacing="0" w:line="280" w:lineRule="exact"/>
                    <w:ind w:left="0" w:right="0"/>
                    <w:jc w:val="center"/>
                    <w:textAlignment w:val="center"/>
                    <w:rPr>
                      <w:rFonts w:hint="eastAsia" w:ascii="Times New Roman" w:hAnsi="Times New Roman" w:eastAsia="宋体" w:cs="Times New Roman"/>
                      <w:b w:val="0"/>
                      <w:bCs w:val="0"/>
                      <w:sz w:val="21"/>
                      <w:szCs w:val="21"/>
                      <w:highlight w:val="none"/>
                      <w:lang w:val="en-US" w:eastAsia="zh-CN" w:bidi="ar"/>
                    </w:rPr>
                  </w:pPr>
                </w:p>
              </w:tc>
              <w:tc>
                <w:tcPr>
                  <w:tcW w:w="623" w:type="pct"/>
                  <w:vMerge w:val="continue"/>
                  <w:shd w:val="clear" w:color="auto" w:fill="auto"/>
                  <w:noWrap w:val="0"/>
                  <w:vAlign w:val="center"/>
                </w:tcPr>
                <w:p w14:paraId="4092F52B">
                  <w:pPr>
                    <w:keepNext w:val="0"/>
                    <w:keepLines w:val="0"/>
                    <w:widowControl/>
                    <w:suppressLineNumbers w:val="0"/>
                    <w:spacing w:before="0" w:beforeAutospacing="0" w:after="0" w:afterAutospacing="0" w:line="280" w:lineRule="exact"/>
                    <w:ind w:left="0" w:right="0"/>
                    <w:jc w:val="center"/>
                    <w:textAlignment w:val="center"/>
                    <w:rPr>
                      <w:rFonts w:hint="eastAsia" w:cs="Times New Roman"/>
                      <w:b w:val="0"/>
                      <w:bCs w:val="0"/>
                      <w:sz w:val="21"/>
                      <w:szCs w:val="21"/>
                      <w:highlight w:val="none"/>
                      <w:lang w:val="en-US" w:eastAsia="zh-CN" w:bidi="ar"/>
                    </w:rPr>
                  </w:pPr>
                </w:p>
              </w:tc>
              <w:tc>
                <w:tcPr>
                  <w:tcW w:w="651" w:type="pct"/>
                  <w:shd w:val="clear" w:color="auto" w:fill="auto"/>
                  <w:noWrap w:val="0"/>
                  <w:vAlign w:val="center"/>
                </w:tcPr>
                <w:p w14:paraId="774FC447">
                  <w:pPr>
                    <w:keepNext w:val="0"/>
                    <w:keepLines w:val="0"/>
                    <w:widowControl/>
                    <w:suppressLineNumbers w:val="0"/>
                    <w:spacing w:before="0" w:beforeAutospacing="0" w:after="0" w:afterAutospacing="0" w:line="280" w:lineRule="exact"/>
                    <w:ind w:left="0" w:leftChars="0" w:right="0" w:rightChars="0"/>
                    <w:jc w:val="center"/>
                    <w:textAlignment w:val="center"/>
                    <w:rPr>
                      <w:rFonts w:hint="eastAsia" w:ascii="Times New Roman" w:hAnsi="Times New Roman" w:eastAsia="宋体" w:cs="Times New Roman"/>
                      <w:b w:val="0"/>
                      <w:bCs w:val="0"/>
                      <w:kern w:val="2"/>
                      <w:sz w:val="21"/>
                      <w:szCs w:val="21"/>
                      <w:highlight w:val="none"/>
                      <w:lang w:val="en-US" w:eastAsia="zh-CN" w:bidi="ar"/>
                    </w:rPr>
                  </w:pPr>
                  <w:r>
                    <w:rPr>
                      <w:rFonts w:hint="eastAsia" w:cs="Times New Roman"/>
                      <w:b w:val="0"/>
                      <w:bCs w:val="0"/>
                      <w:sz w:val="21"/>
                      <w:szCs w:val="21"/>
                      <w:highlight w:val="none"/>
                      <w:lang w:val="en-US" w:eastAsia="zh-CN" w:bidi="ar"/>
                    </w:rPr>
                    <w:t>颗粒物</w:t>
                  </w:r>
                </w:p>
              </w:tc>
              <w:tc>
                <w:tcPr>
                  <w:tcW w:w="1348" w:type="pct"/>
                  <w:gridSpan w:val="2"/>
                  <w:shd w:val="clear" w:color="auto" w:fill="auto"/>
                  <w:noWrap w:val="0"/>
                  <w:vAlign w:val="center"/>
                </w:tcPr>
                <w:p w14:paraId="77C9D802">
                  <w:pPr>
                    <w:keepNext w:val="0"/>
                    <w:keepLines w:val="0"/>
                    <w:widowControl/>
                    <w:suppressLineNumbers w:val="0"/>
                    <w:spacing w:before="0" w:beforeAutospacing="0" w:after="0" w:afterAutospacing="0"/>
                    <w:ind w:left="0" w:leftChars="0" w:right="0" w:rightChars="0"/>
                    <w:jc w:val="center"/>
                    <w:textAlignment w:val="center"/>
                    <w:rPr>
                      <w:rFonts w:hint="eastAsia" w:ascii="Times New Roman" w:hAnsi="Times New Roman" w:eastAsia="宋体" w:cs="Times New Roman"/>
                      <w:i w:val="0"/>
                      <w:iCs w:val="0"/>
                      <w:color w:val="000000"/>
                      <w:kern w:val="0"/>
                      <w:sz w:val="21"/>
                      <w:szCs w:val="21"/>
                      <w:highlight w:val="none"/>
                      <w:u w:val="none"/>
                      <w:lang w:val="en-US" w:eastAsia="zh-CN" w:bidi="ar"/>
                    </w:rPr>
                  </w:pPr>
                  <w:r>
                    <w:rPr>
                      <w:rFonts w:hint="eastAsia" w:cs="Times New Roman"/>
                      <w:i w:val="0"/>
                      <w:iCs w:val="0"/>
                      <w:color w:val="000000"/>
                      <w:kern w:val="0"/>
                      <w:sz w:val="21"/>
                      <w:szCs w:val="21"/>
                      <w:highlight w:val="none"/>
                      <w:u w:val="none"/>
                      <w:lang w:val="en-US" w:eastAsia="zh-CN" w:bidi="ar"/>
                    </w:rPr>
                    <w:t>少量</w:t>
                  </w:r>
                </w:p>
              </w:tc>
              <w:tc>
                <w:tcPr>
                  <w:tcW w:w="1354" w:type="pct"/>
                  <w:gridSpan w:val="2"/>
                  <w:shd w:val="clear" w:color="auto" w:fill="auto"/>
                  <w:noWrap w:val="0"/>
                  <w:vAlign w:val="center"/>
                </w:tcPr>
                <w:p w14:paraId="2AD518EE">
                  <w:pPr>
                    <w:keepNext w:val="0"/>
                    <w:keepLines w:val="0"/>
                    <w:widowControl/>
                    <w:suppressLineNumbers w:val="0"/>
                    <w:spacing w:before="0" w:beforeAutospacing="0" w:after="0" w:afterAutospacing="0"/>
                    <w:ind w:left="0" w:leftChars="0" w:right="0" w:rightChars="0"/>
                    <w:jc w:val="center"/>
                    <w:textAlignment w:val="center"/>
                    <w:rPr>
                      <w:rFonts w:hint="eastAsia" w:ascii="Times New Roman" w:hAnsi="Times New Roman" w:eastAsia="宋体" w:cs="Times New Roman"/>
                      <w:i w:val="0"/>
                      <w:iCs w:val="0"/>
                      <w:color w:val="000000"/>
                      <w:kern w:val="0"/>
                      <w:sz w:val="21"/>
                      <w:szCs w:val="21"/>
                      <w:highlight w:val="none"/>
                      <w:u w:val="none"/>
                      <w:lang w:val="en-US" w:eastAsia="zh-CN" w:bidi="ar"/>
                    </w:rPr>
                  </w:pPr>
                  <w:r>
                    <w:rPr>
                      <w:rFonts w:hint="eastAsia" w:cs="Times New Roman"/>
                      <w:i w:val="0"/>
                      <w:iCs w:val="0"/>
                      <w:color w:val="000000"/>
                      <w:kern w:val="0"/>
                      <w:sz w:val="21"/>
                      <w:szCs w:val="21"/>
                      <w:highlight w:val="none"/>
                      <w:u w:val="none"/>
                      <w:lang w:val="en-US" w:eastAsia="zh-CN" w:bidi="ar"/>
                    </w:rPr>
                    <w:t>少量</w:t>
                  </w:r>
                </w:p>
              </w:tc>
            </w:tr>
            <w:tr w14:paraId="69CC2F5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63" w:hRule="atLeast"/>
              </w:trPr>
              <w:tc>
                <w:tcPr>
                  <w:tcW w:w="470" w:type="pct"/>
                  <w:vMerge w:val="continue"/>
                  <w:noWrap w:val="0"/>
                  <w:vAlign w:val="center"/>
                </w:tcPr>
                <w:p w14:paraId="058986E4">
                  <w:pPr>
                    <w:keepNext w:val="0"/>
                    <w:keepLines w:val="0"/>
                    <w:widowControl/>
                    <w:suppressLineNumbers w:val="0"/>
                    <w:spacing w:before="0" w:beforeAutospacing="0" w:after="0" w:afterAutospacing="0" w:line="280" w:lineRule="exact"/>
                    <w:ind w:left="0" w:right="0"/>
                    <w:jc w:val="center"/>
                    <w:textAlignment w:val="center"/>
                    <w:rPr>
                      <w:rFonts w:hint="eastAsia" w:ascii="Times New Roman" w:hAnsi="Times New Roman" w:eastAsia="宋体" w:cs="Times New Roman"/>
                      <w:b w:val="0"/>
                      <w:bCs w:val="0"/>
                      <w:sz w:val="21"/>
                      <w:szCs w:val="21"/>
                      <w:highlight w:val="none"/>
                      <w:lang w:val="en-US" w:eastAsia="zh-CN" w:bidi="ar"/>
                    </w:rPr>
                  </w:pPr>
                </w:p>
              </w:tc>
              <w:tc>
                <w:tcPr>
                  <w:tcW w:w="552" w:type="pct"/>
                  <w:vMerge w:val="continue"/>
                  <w:noWrap w:val="0"/>
                  <w:vAlign w:val="center"/>
                </w:tcPr>
                <w:p w14:paraId="615C815F">
                  <w:pPr>
                    <w:keepNext w:val="0"/>
                    <w:keepLines w:val="0"/>
                    <w:widowControl/>
                    <w:suppressLineNumbers w:val="0"/>
                    <w:spacing w:before="0" w:beforeAutospacing="0" w:after="0" w:afterAutospacing="0" w:line="280" w:lineRule="exact"/>
                    <w:ind w:left="0" w:right="0"/>
                    <w:jc w:val="center"/>
                    <w:textAlignment w:val="center"/>
                    <w:rPr>
                      <w:rFonts w:hint="eastAsia" w:ascii="Times New Roman" w:hAnsi="Times New Roman" w:eastAsia="宋体" w:cs="Times New Roman"/>
                      <w:b w:val="0"/>
                      <w:bCs w:val="0"/>
                      <w:sz w:val="21"/>
                      <w:szCs w:val="21"/>
                      <w:highlight w:val="none"/>
                      <w:lang w:val="en-US" w:eastAsia="zh-CN" w:bidi="ar"/>
                    </w:rPr>
                  </w:pPr>
                </w:p>
              </w:tc>
              <w:tc>
                <w:tcPr>
                  <w:tcW w:w="623" w:type="pct"/>
                  <w:vMerge w:val="restart"/>
                  <w:shd w:val="clear" w:color="auto" w:fill="auto"/>
                  <w:noWrap w:val="0"/>
                  <w:vAlign w:val="center"/>
                </w:tcPr>
                <w:p w14:paraId="08C9AE31">
                  <w:pPr>
                    <w:keepNext w:val="0"/>
                    <w:keepLines w:val="0"/>
                    <w:widowControl/>
                    <w:suppressLineNumbers w:val="0"/>
                    <w:spacing w:before="0" w:beforeAutospacing="0" w:after="0" w:afterAutospacing="0" w:line="280" w:lineRule="exact"/>
                    <w:ind w:left="0" w:right="0"/>
                    <w:jc w:val="center"/>
                    <w:textAlignment w:val="center"/>
                    <w:rPr>
                      <w:rFonts w:hint="eastAsia" w:cs="Times New Roman"/>
                      <w:b w:val="0"/>
                      <w:bCs w:val="0"/>
                      <w:sz w:val="21"/>
                      <w:szCs w:val="21"/>
                      <w:highlight w:val="none"/>
                      <w:lang w:val="en-US" w:eastAsia="zh-CN" w:bidi="ar"/>
                    </w:rPr>
                  </w:pPr>
                  <w:r>
                    <w:rPr>
                      <w:rFonts w:hint="eastAsia" w:cs="Times New Roman"/>
                      <w:b w:val="0"/>
                      <w:bCs w:val="0"/>
                      <w:sz w:val="21"/>
                      <w:szCs w:val="21"/>
                      <w:highlight w:val="none"/>
                      <w:lang w:val="en-US" w:eastAsia="zh-CN" w:bidi="ar"/>
                    </w:rPr>
                    <w:t>无组织</w:t>
                  </w:r>
                </w:p>
              </w:tc>
              <w:tc>
                <w:tcPr>
                  <w:tcW w:w="651" w:type="pct"/>
                  <w:shd w:val="clear" w:color="auto" w:fill="auto"/>
                  <w:noWrap w:val="0"/>
                  <w:vAlign w:val="center"/>
                </w:tcPr>
                <w:p w14:paraId="10DFBE5B">
                  <w:pPr>
                    <w:keepNext w:val="0"/>
                    <w:keepLines w:val="0"/>
                    <w:widowControl/>
                    <w:suppressLineNumbers w:val="0"/>
                    <w:spacing w:before="0" w:beforeAutospacing="0" w:after="0" w:afterAutospacing="0" w:line="280" w:lineRule="exact"/>
                    <w:ind w:left="0" w:right="0"/>
                    <w:jc w:val="center"/>
                    <w:textAlignment w:val="center"/>
                    <w:rPr>
                      <w:rFonts w:hint="eastAsia" w:ascii="Times New Roman" w:hAnsi="Times New Roman" w:eastAsia="宋体" w:cs="Times New Roman"/>
                      <w:b w:val="0"/>
                      <w:bCs w:val="0"/>
                      <w:kern w:val="2"/>
                      <w:sz w:val="21"/>
                      <w:szCs w:val="21"/>
                      <w:highlight w:val="none"/>
                      <w:lang w:val="en-US" w:eastAsia="zh-CN" w:bidi="ar"/>
                    </w:rPr>
                  </w:pPr>
                  <w:r>
                    <w:rPr>
                      <w:rFonts w:hint="eastAsia" w:ascii="Times New Roman" w:hAnsi="Times New Roman" w:eastAsia="宋体" w:cs="Times New Roman"/>
                      <w:b w:val="0"/>
                      <w:bCs w:val="0"/>
                      <w:sz w:val="21"/>
                      <w:szCs w:val="21"/>
                      <w:highlight w:val="none"/>
                      <w:lang w:val="en-US" w:eastAsia="zh-CN" w:bidi="ar"/>
                    </w:rPr>
                    <w:t>NH</w:t>
                  </w:r>
                  <w:r>
                    <w:rPr>
                      <w:rFonts w:hint="eastAsia" w:ascii="Times New Roman" w:hAnsi="Times New Roman" w:eastAsia="宋体" w:cs="Times New Roman"/>
                      <w:b w:val="0"/>
                      <w:bCs w:val="0"/>
                      <w:sz w:val="21"/>
                      <w:szCs w:val="21"/>
                      <w:highlight w:val="none"/>
                      <w:vertAlign w:val="subscript"/>
                      <w:lang w:val="en-US" w:eastAsia="zh-CN" w:bidi="ar"/>
                    </w:rPr>
                    <w:t>3</w:t>
                  </w:r>
                </w:p>
              </w:tc>
              <w:tc>
                <w:tcPr>
                  <w:tcW w:w="641" w:type="pct"/>
                  <w:noWrap w:val="0"/>
                  <w:vAlign w:val="center"/>
                </w:tcPr>
                <w:p w14:paraId="37E0B4C0">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kern w:val="0"/>
                      <w:sz w:val="21"/>
                      <w:szCs w:val="21"/>
                      <w:highlight w:val="none"/>
                      <w:u w:val="none"/>
                      <w:lang w:val="en-US" w:eastAsia="zh-CN" w:bidi="ar"/>
                    </w:rPr>
                  </w:pPr>
                  <w:r>
                    <w:rPr>
                      <w:rFonts w:hint="eastAsia" w:ascii="Times New Roman" w:hAnsi="Times New Roman" w:eastAsia="宋体" w:cs="Times New Roman"/>
                      <w:i w:val="0"/>
                      <w:iCs w:val="0"/>
                      <w:color w:val="000000"/>
                      <w:kern w:val="0"/>
                      <w:sz w:val="21"/>
                      <w:szCs w:val="21"/>
                      <w:highlight w:val="none"/>
                      <w:u w:val="none"/>
                      <w:lang w:val="en-US" w:eastAsia="zh-CN" w:bidi="ar"/>
                    </w:rPr>
                    <w:t xml:space="preserve">0.001 </w:t>
                  </w:r>
                </w:p>
              </w:tc>
              <w:tc>
                <w:tcPr>
                  <w:tcW w:w="706" w:type="pct"/>
                  <w:noWrap w:val="0"/>
                  <w:vAlign w:val="center"/>
                </w:tcPr>
                <w:p w14:paraId="45B344AB">
                  <w:pPr>
                    <w:keepNext w:val="0"/>
                    <w:keepLines w:val="0"/>
                    <w:widowControl/>
                    <w:suppressLineNumbers w:val="0"/>
                    <w:spacing w:before="0" w:beforeAutospacing="0" w:after="0" w:afterAutospacing="0"/>
                    <w:ind w:left="0" w:right="0"/>
                    <w:jc w:val="center"/>
                    <w:textAlignment w:val="center"/>
                    <w:rPr>
                      <w:rFonts w:hint="eastAsia" w:ascii="Times New Roman" w:hAnsi="Times New Roman" w:eastAsia="宋体" w:cs="Times New Roman"/>
                      <w:i w:val="0"/>
                      <w:iCs w:val="0"/>
                      <w:color w:val="000000"/>
                      <w:kern w:val="0"/>
                      <w:sz w:val="21"/>
                      <w:szCs w:val="21"/>
                      <w:highlight w:val="none"/>
                      <w:u w:val="none"/>
                      <w:lang w:val="en-US" w:eastAsia="zh-CN" w:bidi="ar"/>
                    </w:rPr>
                  </w:pPr>
                  <w:r>
                    <w:rPr>
                      <w:rFonts w:hint="eastAsia" w:ascii="Times New Roman" w:hAnsi="Times New Roman" w:eastAsia="宋体" w:cs="Times New Roman"/>
                      <w:i w:val="0"/>
                      <w:iCs w:val="0"/>
                      <w:color w:val="000000"/>
                      <w:kern w:val="0"/>
                      <w:sz w:val="21"/>
                      <w:szCs w:val="21"/>
                      <w:highlight w:val="none"/>
                      <w:u w:val="none"/>
                      <w:lang w:val="en-US" w:eastAsia="zh-CN" w:bidi="ar"/>
                    </w:rPr>
                    <w:t>~0</w:t>
                  </w:r>
                </w:p>
              </w:tc>
              <w:tc>
                <w:tcPr>
                  <w:tcW w:w="635" w:type="pct"/>
                  <w:noWrap w:val="0"/>
                  <w:vAlign w:val="center"/>
                </w:tcPr>
                <w:p w14:paraId="7F83040D">
                  <w:pPr>
                    <w:keepNext w:val="0"/>
                    <w:keepLines w:val="0"/>
                    <w:widowControl/>
                    <w:suppressLineNumbers w:val="0"/>
                    <w:spacing w:before="0" w:beforeAutospacing="0" w:after="0" w:afterAutospacing="0"/>
                    <w:ind w:left="0" w:right="0"/>
                    <w:jc w:val="center"/>
                    <w:textAlignment w:val="center"/>
                    <w:rPr>
                      <w:rFonts w:hint="eastAsia" w:ascii="Times New Roman" w:hAnsi="Times New Roman" w:eastAsia="宋体" w:cs="Times New Roman"/>
                      <w:i w:val="0"/>
                      <w:iCs w:val="0"/>
                      <w:color w:val="000000"/>
                      <w:kern w:val="0"/>
                      <w:sz w:val="21"/>
                      <w:szCs w:val="21"/>
                      <w:highlight w:val="none"/>
                      <w:u w:val="none"/>
                      <w:lang w:val="en-US" w:eastAsia="zh-CN" w:bidi="ar"/>
                    </w:rPr>
                  </w:pPr>
                  <w:r>
                    <w:rPr>
                      <w:rFonts w:hint="eastAsia" w:ascii="Times New Roman" w:hAnsi="Times New Roman" w:eastAsia="宋体" w:cs="Times New Roman"/>
                      <w:i w:val="0"/>
                      <w:iCs w:val="0"/>
                      <w:color w:val="000000"/>
                      <w:kern w:val="0"/>
                      <w:sz w:val="21"/>
                      <w:szCs w:val="21"/>
                      <w:highlight w:val="none"/>
                      <w:u w:val="none"/>
                      <w:lang w:val="en-US" w:eastAsia="zh-CN" w:bidi="ar"/>
                    </w:rPr>
                    <w:t xml:space="preserve">0.001 </w:t>
                  </w:r>
                </w:p>
              </w:tc>
              <w:tc>
                <w:tcPr>
                  <w:tcW w:w="719" w:type="pct"/>
                  <w:noWrap w:val="0"/>
                  <w:vAlign w:val="center"/>
                </w:tcPr>
                <w:p w14:paraId="2911FFD1">
                  <w:pPr>
                    <w:keepNext w:val="0"/>
                    <w:keepLines w:val="0"/>
                    <w:widowControl/>
                    <w:suppressLineNumbers w:val="0"/>
                    <w:spacing w:before="0" w:beforeAutospacing="0" w:after="0" w:afterAutospacing="0"/>
                    <w:ind w:left="0" w:right="0"/>
                    <w:jc w:val="center"/>
                    <w:textAlignment w:val="center"/>
                    <w:rPr>
                      <w:rFonts w:hint="eastAsia" w:ascii="Times New Roman" w:hAnsi="Times New Roman" w:eastAsia="宋体" w:cs="Times New Roman"/>
                      <w:i w:val="0"/>
                      <w:iCs w:val="0"/>
                      <w:color w:val="000000"/>
                      <w:kern w:val="0"/>
                      <w:sz w:val="21"/>
                      <w:szCs w:val="21"/>
                      <w:highlight w:val="none"/>
                      <w:u w:val="none"/>
                      <w:lang w:val="en-US" w:eastAsia="zh-CN" w:bidi="ar"/>
                    </w:rPr>
                  </w:pPr>
                  <w:r>
                    <w:rPr>
                      <w:rFonts w:hint="eastAsia" w:ascii="Times New Roman" w:hAnsi="Times New Roman" w:eastAsia="宋体" w:cs="Times New Roman"/>
                      <w:i w:val="0"/>
                      <w:iCs w:val="0"/>
                      <w:color w:val="000000"/>
                      <w:kern w:val="0"/>
                      <w:sz w:val="21"/>
                      <w:szCs w:val="21"/>
                      <w:highlight w:val="none"/>
                      <w:u w:val="none"/>
                      <w:lang w:val="en-US" w:eastAsia="zh-CN" w:bidi="ar"/>
                    </w:rPr>
                    <w:t>~0</w:t>
                  </w:r>
                </w:p>
              </w:tc>
            </w:tr>
            <w:tr w14:paraId="6BFE0BF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470" w:type="pct"/>
                  <w:vMerge w:val="continue"/>
                  <w:noWrap w:val="0"/>
                  <w:vAlign w:val="center"/>
                </w:tcPr>
                <w:p w14:paraId="2043E4A9">
                  <w:pPr>
                    <w:keepNext w:val="0"/>
                    <w:keepLines w:val="0"/>
                    <w:widowControl/>
                    <w:suppressLineNumbers w:val="0"/>
                    <w:spacing w:before="0" w:beforeAutospacing="0" w:after="0" w:afterAutospacing="0" w:line="280" w:lineRule="exact"/>
                    <w:ind w:left="0" w:right="0"/>
                    <w:jc w:val="center"/>
                    <w:textAlignment w:val="center"/>
                    <w:rPr>
                      <w:rFonts w:hint="eastAsia" w:ascii="Times New Roman" w:hAnsi="Times New Roman" w:eastAsia="宋体" w:cs="Times New Roman"/>
                      <w:b w:val="0"/>
                      <w:bCs w:val="0"/>
                      <w:sz w:val="21"/>
                      <w:szCs w:val="21"/>
                      <w:highlight w:val="none"/>
                      <w:lang w:val="en-US" w:eastAsia="zh-CN" w:bidi="ar"/>
                    </w:rPr>
                  </w:pPr>
                </w:p>
              </w:tc>
              <w:tc>
                <w:tcPr>
                  <w:tcW w:w="552" w:type="pct"/>
                  <w:vMerge w:val="continue"/>
                  <w:noWrap w:val="0"/>
                  <w:vAlign w:val="center"/>
                </w:tcPr>
                <w:p w14:paraId="02D6310C">
                  <w:pPr>
                    <w:keepNext w:val="0"/>
                    <w:keepLines w:val="0"/>
                    <w:widowControl/>
                    <w:suppressLineNumbers w:val="0"/>
                    <w:spacing w:before="0" w:beforeAutospacing="0" w:after="0" w:afterAutospacing="0" w:line="280" w:lineRule="exact"/>
                    <w:ind w:left="0" w:right="0"/>
                    <w:jc w:val="center"/>
                    <w:textAlignment w:val="center"/>
                    <w:rPr>
                      <w:rFonts w:hint="eastAsia" w:ascii="Times New Roman" w:hAnsi="Times New Roman" w:eastAsia="宋体" w:cs="Times New Roman"/>
                      <w:b w:val="0"/>
                      <w:bCs w:val="0"/>
                      <w:sz w:val="21"/>
                      <w:szCs w:val="21"/>
                      <w:highlight w:val="none"/>
                      <w:lang w:val="en-US" w:eastAsia="zh-CN" w:bidi="ar"/>
                    </w:rPr>
                  </w:pPr>
                </w:p>
              </w:tc>
              <w:tc>
                <w:tcPr>
                  <w:tcW w:w="623" w:type="pct"/>
                  <w:vMerge w:val="continue"/>
                  <w:shd w:val="clear" w:color="auto" w:fill="auto"/>
                  <w:noWrap w:val="0"/>
                  <w:vAlign w:val="center"/>
                </w:tcPr>
                <w:p w14:paraId="00D8BFCB">
                  <w:pPr>
                    <w:keepNext w:val="0"/>
                    <w:keepLines w:val="0"/>
                    <w:widowControl/>
                    <w:suppressLineNumbers w:val="0"/>
                    <w:spacing w:before="0" w:beforeAutospacing="0" w:after="0" w:afterAutospacing="0" w:line="280" w:lineRule="exact"/>
                    <w:ind w:left="0" w:right="0"/>
                    <w:jc w:val="center"/>
                    <w:textAlignment w:val="center"/>
                    <w:rPr>
                      <w:rFonts w:hint="eastAsia" w:cs="Times New Roman"/>
                      <w:b w:val="0"/>
                      <w:bCs w:val="0"/>
                      <w:sz w:val="21"/>
                      <w:szCs w:val="21"/>
                      <w:highlight w:val="none"/>
                      <w:lang w:val="en-US" w:eastAsia="zh-CN" w:bidi="ar"/>
                    </w:rPr>
                  </w:pPr>
                </w:p>
              </w:tc>
              <w:tc>
                <w:tcPr>
                  <w:tcW w:w="651" w:type="pct"/>
                  <w:shd w:val="clear" w:color="auto" w:fill="auto"/>
                  <w:noWrap w:val="0"/>
                  <w:vAlign w:val="center"/>
                </w:tcPr>
                <w:p w14:paraId="00A851D5">
                  <w:pPr>
                    <w:keepNext w:val="0"/>
                    <w:keepLines w:val="0"/>
                    <w:widowControl/>
                    <w:suppressLineNumbers w:val="0"/>
                    <w:spacing w:before="0" w:beforeAutospacing="0" w:after="0" w:afterAutospacing="0" w:line="280" w:lineRule="exact"/>
                    <w:ind w:left="0" w:right="0"/>
                    <w:jc w:val="center"/>
                    <w:textAlignment w:val="center"/>
                    <w:rPr>
                      <w:rFonts w:hint="eastAsia" w:ascii="Times New Roman" w:hAnsi="Times New Roman" w:eastAsia="宋体" w:cs="Times New Roman"/>
                      <w:b w:val="0"/>
                      <w:bCs w:val="0"/>
                      <w:kern w:val="2"/>
                      <w:sz w:val="21"/>
                      <w:szCs w:val="21"/>
                      <w:highlight w:val="none"/>
                      <w:lang w:val="en-US" w:eastAsia="zh-CN" w:bidi="ar"/>
                    </w:rPr>
                  </w:pPr>
                  <w:r>
                    <w:rPr>
                      <w:rFonts w:hint="eastAsia" w:ascii="Times New Roman" w:hAnsi="Times New Roman" w:eastAsia="宋体" w:cs="Times New Roman"/>
                      <w:b w:val="0"/>
                      <w:bCs w:val="0"/>
                      <w:sz w:val="21"/>
                      <w:szCs w:val="21"/>
                      <w:highlight w:val="none"/>
                      <w:lang w:val="en-US" w:eastAsia="zh-CN" w:bidi="ar"/>
                    </w:rPr>
                    <w:t>H</w:t>
                  </w:r>
                  <w:r>
                    <w:rPr>
                      <w:rFonts w:hint="eastAsia" w:ascii="Times New Roman" w:hAnsi="Times New Roman" w:eastAsia="宋体" w:cs="Times New Roman"/>
                      <w:b w:val="0"/>
                      <w:bCs w:val="0"/>
                      <w:sz w:val="21"/>
                      <w:szCs w:val="21"/>
                      <w:highlight w:val="none"/>
                      <w:vertAlign w:val="subscript"/>
                      <w:lang w:val="en-US" w:eastAsia="zh-CN" w:bidi="ar"/>
                    </w:rPr>
                    <w:t>2</w:t>
                  </w:r>
                  <w:r>
                    <w:rPr>
                      <w:rFonts w:hint="eastAsia" w:ascii="Times New Roman" w:hAnsi="Times New Roman" w:eastAsia="宋体" w:cs="Times New Roman"/>
                      <w:b w:val="0"/>
                      <w:bCs w:val="0"/>
                      <w:sz w:val="21"/>
                      <w:szCs w:val="21"/>
                      <w:highlight w:val="none"/>
                      <w:lang w:val="en-US" w:eastAsia="zh-CN" w:bidi="ar"/>
                    </w:rPr>
                    <w:t>S</w:t>
                  </w:r>
                </w:p>
              </w:tc>
              <w:tc>
                <w:tcPr>
                  <w:tcW w:w="641" w:type="pct"/>
                  <w:noWrap w:val="0"/>
                  <w:vAlign w:val="center"/>
                </w:tcPr>
                <w:p w14:paraId="6B04212A">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kern w:val="0"/>
                      <w:sz w:val="21"/>
                      <w:szCs w:val="21"/>
                      <w:highlight w:val="none"/>
                      <w:u w:val="none"/>
                      <w:lang w:val="en-US" w:eastAsia="zh-CN" w:bidi="ar"/>
                    </w:rPr>
                  </w:pPr>
                  <w:r>
                    <w:rPr>
                      <w:rFonts w:hint="eastAsia" w:ascii="Times New Roman" w:hAnsi="Times New Roman" w:eastAsia="宋体" w:cs="Times New Roman"/>
                      <w:i w:val="0"/>
                      <w:iCs w:val="0"/>
                      <w:color w:val="000000"/>
                      <w:kern w:val="0"/>
                      <w:sz w:val="21"/>
                      <w:szCs w:val="21"/>
                      <w:highlight w:val="none"/>
                      <w:u w:val="none"/>
                      <w:lang w:val="en-US" w:eastAsia="zh-CN" w:bidi="ar"/>
                    </w:rPr>
                    <w:t>~0</w:t>
                  </w:r>
                </w:p>
              </w:tc>
              <w:tc>
                <w:tcPr>
                  <w:tcW w:w="706" w:type="pct"/>
                  <w:noWrap w:val="0"/>
                  <w:vAlign w:val="center"/>
                </w:tcPr>
                <w:p w14:paraId="29601628">
                  <w:pPr>
                    <w:keepNext w:val="0"/>
                    <w:keepLines w:val="0"/>
                    <w:widowControl/>
                    <w:suppressLineNumbers w:val="0"/>
                    <w:spacing w:before="0" w:beforeAutospacing="0" w:after="0" w:afterAutospacing="0"/>
                    <w:ind w:left="0" w:right="0"/>
                    <w:jc w:val="center"/>
                    <w:textAlignment w:val="center"/>
                    <w:rPr>
                      <w:rFonts w:hint="eastAsia" w:ascii="Times New Roman" w:hAnsi="Times New Roman" w:eastAsia="宋体" w:cs="Times New Roman"/>
                      <w:i w:val="0"/>
                      <w:iCs w:val="0"/>
                      <w:color w:val="000000"/>
                      <w:kern w:val="0"/>
                      <w:sz w:val="21"/>
                      <w:szCs w:val="21"/>
                      <w:highlight w:val="none"/>
                      <w:u w:val="none"/>
                      <w:lang w:val="en-US" w:eastAsia="zh-CN" w:bidi="ar"/>
                    </w:rPr>
                  </w:pPr>
                  <w:r>
                    <w:rPr>
                      <w:rFonts w:hint="eastAsia" w:ascii="Times New Roman" w:hAnsi="Times New Roman" w:eastAsia="宋体" w:cs="Times New Roman"/>
                      <w:i w:val="0"/>
                      <w:iCs w:val="0"/>
                      <w:color w:val="000000"/>
                      <w:kern w:val="0"/>
                      <w:sz w:val="21"/>
                      <w:szCs w:val="21"/>
                      <w:highlight w:val="none"/>
                      <w:u w:val="none"/>
                      <w:lang w:val="en-US" w:eastAsia="zh-CN" w:bidi="ar"/>
                    </w:rPr>
                    <w:t>~0</w:t>
                  </w:r>
                </w:p>
              </w:tc>
              <w:tc>
                <w:tcPr>
                  <w:tcW w:w="635" w:type="pct"/>
                  <w:noWrap w:val="0"/>
                  <w:vAlign w:val="center"/>
                </w:tcPr>
                <w:p w14:paraId="734CF12A">
                  <w:pPr>
                    <w:keepNext w:val="0"/>
                    <w:keepLines w:val="0"/>
                    <w:widowControl/>
                    <w:suppressLineNumbers w:val="0"/>
                    <w:spacing w:before="0" w:beforeAutospacing="0" w:after="0" w:afterAutospacing="0"/>
                    <w:ind w:left="0" w:right="0"/>
                    <w:jc w:val="center"/>
                    <w:textAlignment w:val="center"/>
                    <w:rPr>
                      <w:rFonts w:hint="eastAsia" w:ascii="Times New Roman" w:hAnsi="Times New Roman" w:eastAsia="宋体" w:cs="Times New Roman"/>
                      <w:i w:val="0"/>
                      <w:iCs w:val="0"/>
                      <w:color w:val="000000"/>
                      <w:kern w:val="0"/>
                      <w:sz w:val="21"/>
                      <w:szCs w:val="21"/>
                      <w:highlight w:val="none"/>
                      <w:u w:val="none"/>
                      <w:lang w:val="en-US" w:eastAsia="zh-CN" w:bidi="ar"/>
                    </w:rPr>
                  </w:pPr>
                  <w:r>
                    <w:rPr>
                      <w:rFonts w:hint="eastAsia" w:ascii="Times New Roman" w:hAnsi="Times New Roman" w:eastAsia="宋体" w:cs="Times New Roman"/>
                      <w:i w:val="0"/>
                      <w:iCs w:val="0"/>
                      <w:color w:val="000000"/>
                      <w:kern w:val="0"/>
                      <w:sz w:val="21"/>
                      <w:szCs w:val="21"/>
                      <w:highlight w:val="none"/>
                      <w:u w:val="none"/>
                      <w:lang w:val="en-US" w:eastAsia="zh-CN" w:bidi="ar"/>
                    </w:rPr>
                    <w:t>~0</w:t>
                  </w:r>
                </w:p>
              </w:tc>
              <w:tc>
                <w:tcPr>
                  <w:tcW w:w="719" w:type="pct"/>
                  <w:noWrap w:val="0"/>
                  <w:vAlign w:val="center"/>
                </w:tcPr>
                <w:p w14:paraId="0D39895B">
                  <w:pPr>
                    <w:keepNext w:val="0"/>
                    <w:keepLines w:val="0"/>
                    <w:widowControl/>
                    <w:suppressLineNumbers w:val="0"/>
                    <w:spacing w:before="0" w:beforeAutospacing="0" w:after="0" w:afterAutospacing="0"/>
                    <w:ind w:left="0" w:right="0"/>
                    <w:jc w:val="center"/>
                    <w:textAlignment w:val="center"/>
                    <w:rPr>
                      <w:rFonts w:hint="eastAsia" w:ascii="Times New Roman" w:hAnsi="Times New Roman" w:eastAsia="宋体" w:cs="Times New Roman"/>
                      <w:i w:val="0"/>
                      <w:iCs w:val="0"/>
                      <w:color w:val="000000"/>
                      <w:kern w:val="0"/>
                      <w:sz w:val="21"/>
                      <w:szCs w:val="21"/>
                      <w:highlight w:val="none"/>
                      <w:u w:val="none"/>
                      <w:lang w:val="en-US" w:eastAsia="zh-CN" w:bidi="ar"/>
                    </w:rPr>
                  </w:pPr>
                  <w:r>
                    <w:rPr>
                      <w:rFonts w:hint="eastAsia" w:ascii="Times New Roman" w:hAnsi="Times New Roman" w:eastAsia="宋体" w:cs="Times New Roman"/>
                      <w:i w:val="0"/>
                      <w:iCs w:val="0"/>
                      <w:color w:val="000000"/>
                      <w:kern w:val="0"/>
                      <w:sz w:val="21"/>
                      <w:szCs w:val="21"/>
                      <w:highlight w:val="none"/>
                      <w:u w:val="none"/>
                      <w:lang w:val="en-US" w:eastAsia="zh-CN" w:bidi="ar"/>
                    </w:rPr>
                    <w:t>~0</w:t>
                  </w:r>
                </w:p>
              </w:tc>
            </w:tr>
            <w:tr w14:paraId="152EEAF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470" w:type="pct"/>
                  <w:vMerge w:val="continue"/>
                  <w:noWrap w:val="0"/>
                  <w:vAlign w:val="center"/>
                </w:tcPr>
                <w:p w14:paraId="1DDC99CD">
                  <w:pPr>
                    <w:keepNext w:val="0"/>
                    <w:keepLines w:val="0"/>
                    <w:widowControl/>
                    <w:suppressLineNumbers w:val="0"/>
                    <w:spacing w:before="0" w:beforeAutospacing="0" w:after="0" w:afterAutospacing="0" w:line="280" w:lineRule="exact"/>
                    <w:ind w:left="0" w:right="0"/>
                    <w:jc w:val="center"/>
                    <w:textAlignment w:val="center"/>
                    <w:rPr>
                      <w:rFonts w:hint="eastAsia" w:ascii="Times New Roman" w:hAnsi="Times New Roman" w:eastAsia="宋体" w:cs="Times New Roman"/>
                      <w:b w:val="0"/>
                      <w:bCs w:val="0"/>
                      <w:sz w:val="21"/>
                      <w:szCs w:val="21"/>
                      <w:highlight w:val="none"/>
                      <w:lang w:val="en-US" w:eastAsia="zh-CN" w:bidi="ar"/>
                    </w:rPr>
                  </w:pPr>
                </w:p>
              </w:tc>
              <w:tc>
                <w:tcPr>
                  <w:tcW w:w="552" w:type="pct"/>
                  <w:vMerge w:val="continue"/>
                  <w:noWrap w:val="0"/>
                  <w:vAlign w:val="center"/>
                </w:tcPr>
                <w:p w14:paraId="4D80A7C0">
                  <w:pPr>
                    <w:keepNext w:val="0"/>
                    <w:keepLines w:val="0"/>
                    <w:widowControl/>
                    <w:suppressLineNumbers w:val="0"/>
                    <w:spacing w:before="0" w:beforeAutospacing="0" w:after="0" w:afterAutospacing="0" w:line="280" w:lineRule="exact"/>
                    <w:ind w:left="0" w:right="0"/>
                    <w:jc w:val="center"/>
                    <w:textAlignment w:val="center"/>
                    <w:rPr>
                      <w:rFonts w:hint="eastAsia" w:ascii="Times New Roman" w:hAnsi="Times New Roman" w:eastAsia="宋体" w:cs="Times New Roman"/>
                      <w:b w:val="0"/>
                      <w:bCs w:val="0"/>
                      <w:sz w:val="21"/>
                      <w:szCs w:val="21"/>
                      <w:highlight w:val="none"/>
                      <w:lang w:val="en-US" w:eastAsia="zh-CN" w:bidi="ar"/>
                    </w:rPr>
                  </w:pPr>
                </w:p>
              </w:tc>
              <w:tc>
                <w:tcPr>
                  <w:tcW w:w="623" w:type="pct"/>
                  <w:vMerge w:val="continue"/>
                  <w:shd w:val="clear" w:color="auto" w:fill="auto"/>
                  <w:noWrap w:val="0"/>
                  <w:vAlign w:val="center"/>
                </w:tcPr>
                <w:p w14:paraId="788BD66F">
                  <w:pPr>
                    <w:keepNext w:val="0"/>
                    <w:keepLines w:val="0"/>
                    <w:widowControl/>
                    <w:suppressLineNumbers w:val="0"/>
                    <w:spacing w:before="0" w:beforeAutospacing="0" w:after="0" w:afterAutospacing="0" w:line="280" w:lineRule="exact"/>
                    <w:ind w:left="0" w:right="0"/>
                    <w:jc w:val="center"/>
                    <w:textAlignment w:val="center"/>
                    <w:rPr>
                      <w:rFonts w:hint="eastAsia" w:cs="Times New Roman"/>
                      <w:b w:val="0"/>
                      <w:bCs w:val="0"/>
                      <w:sz w:val="21"/>
                      <w:szCs w:val="21"/>
                      <w:highlight w:val="none"/>
                      <w:lang w:val="en-US" w:eastAsia="zh-CN" w:bidi="ar"/>
                    </w:rPr>
                  </w:pPr>
                </w:p>
              </w:tc>
              <w:tc>
                <w:tcPr>
                  <w:tcW w:w="651" w:type="pct"/>
                  <w:shd w:val="clear" w:color="auto" w:fill="auto"/>
                  <w:noWrap w:val="0"/>
                  <w:vAlign w:val="center"/>
                </w:tcPr>
                <w:p w14:paraId="134AEB45">
                  <w:pPr>
                    <w:keepNext w:val="0"/>
                    <w:keepLines w:val="0"/>
                    <w:widowControl/>
                    <w:suppressLineNumbers w:val="0"/>
                    <w:spacing w:before="0" w:beforeAutospacing="0" w:after="0" w:afterAutospacing="0" w:line="280" w:lineRule="exact"/>
                    <w:ind w:left="0" w:leftChars="0" w:right="0" w:rightChars="0"/>
                    <w:jc w:val="center"/>
                    <w:textAlignment w:val="center"/>
                    <w:rPr>
                      <w:rFonts w:hint="eastAsia" w:ascii="Times New Roman" w:hAnsi="Times New Roman" w:eastAsia="宋体" w:cs="Times New Roman"/>
                      <w:b w:val="0"/>
                      <w:bCs w:val="0"/>
                      <w:kern w:val="2"/>
                      <w:sz w:val="21"/>
                      <w:szCs w:val="21"/>
                      <w:highlight w:val="none"/>
                      <w:lang w:val="en-US" w:eastAsia="zh-CN" w:bidi="ar"/>
                    </w:rPr>
                  </w:pPr>
                  <w:r>
                    <w:rPr>
                      <w:rFonts w:hint="eastAsia" w:cs="Times New Roman"/>
                      <w:b w:val="0"/>
                      <w:bCs w:val="0"/>
                      <w:sz w:val="21"/>
                      <w:szCs w:val="21"/>
                      <w:highlight w:val="none"/>
                      <w:lang w:val="en-US" w:eastAsia="zh-CN" w:bidi="ar"/>
                    </w:rPr>
                    <w:t>颗粒物</w:t>
                  </w:r>
                </w:p>
              </w:tc>
              <w:tc>
                <w:tcPr>
                  <w:tcW w:w="1348" w:type="pct"/>
                  <w:gridSpan w:val="2"/>
                  <w:shd w:val="clear" w:color="auto" w:fill="auto"/>
                  <w:noWrap w:val="0"/>
                  <w:vAlign w:val="center"/>
                </w:tcPr>
                <w:p w14:paraId="73760C5E">
                  <w:pPr>
                    <w:keepNext w:val="0"/>
                    <w:keepLines w:val="0"/>
                    <w:widowControl/>
                    <w:suppressLineNumbers w:val="0"/>
                    <w:spacing w:before="0" w:beforeAutospacing="0" w:after="0" w:afterAutospacing="0"/>
                    <w:ind w:left="0" w:leftChars="0" w:right="0" w:rightChars="0"/>
                    <w:jc w:val="center"/>
                    <w:textAlignment w:val="center"/>
                    <w:rPr>
                      <w:rFonts w:hint="eastAsia" w:ascii="Times New Roman" w:hAnsi="Times New Roman" w:eastAsia="宋体" w:cs="Times New Roman"/>
                      <w:i w:val="0"/>
                      <w:iCs w:val="0"/>
                      <w:color w:val="000000"/>
                      <w:kern w:val="0"/>
                      <w:sz w:val="21"/>
                      <w:szCs w:val="21"/>
                      <w:highlight w:val="none"/>
                      <w:u w:val="none"/>
                      <w:lang w:val="en-US" w:eastAsia="zh-CN" w:bidi="ar"/>
                    </w:rPr>
                  </w:pPr>
                  <w:r>
                    <w:rPr>
                      <w:rFonts w:hint="eastAsia" w:cs="Times New Roman"/>
                      <w:i w:val="0"/>
                      <w:iCs w:val="0"/>
                      <w:color w:val="000000"/>
                      <w:kern w:val="0"/>
                      <w:sz w:val="21"/>
                      <w:szCs w:val="21"/>
                      <w:highlight w:val="none"/>
                      <w:u w:val="none"/>
                      <w:lang w:val="en-US" w:eastAsia="zh-CN" w:bidi="ar"/>
                    </w:rPr>
                    <w:t>少量</w:t>
                  </w:r>
                </w:p>
              </w:tc>
              <w:tc>
                <w:tcPr>
                  <w:tcW w:w="1354" w:type="pct"/>
                  <w:gridSpan w:val="2"/>
                  <w:shd w:val="clear" w:color="auto" w:fill="auto"/>
                  <w:noWrap w:val="0"/>
                  <w:vAlign w:val="center"/>
                </w:tcPr>
                <w:p w14:paraId="2590B5CA">
                  <w:pPr>
                    <w:keepNext w:val="0"/>
                    <w:keepLines w:val="0"/>
                    <w:widowControl/>
                    <w:suppressLineNumbers w:val="0"/>
                    <w:spacing w:before="0" w:beforeAutospacing="0" w:after="0" w:afterAutospacing="0"/>
                    <w:ind w:left="0" w:leftChars="0" w:right="0" w:rightChars="0"/>
                    <w:jc w:val="center"/>
                    <w:textAlignment w:val="center"/>
                    <w:rPr>
                      <w:rFonts w:hint="eastAsia" w:ascii="Times New Roman" w:hAnsi="Times New Roman" w:eastAsia="宋体" w:cs="Times New Roman"/>
                      <w:i w:val="0"/>
                      <w:iCs w:val="0"/>
                      <w:color w:val="000000"/>
                      <w:kern w:val="0"/>
                      <w:sz w:val="21"/>
                      <w:szCs w:val="21"/>
                      <w:highlight w:val="none"/>
                      <w:u w:val="none"/>
                      <w:lang w:val="en-US" w:eastAsia="zh-CN" w:bidi="ar"/>
                    </w:rPr>
                  </w:pPr>
                  <w:r>
                    <w:rPr>
                      <w:rFonts w:hint="eastAsia" w:cs="Times New Roman"/>
                      <w:i w:val="0"/>
                      <w:iCs w:val="0"/>
                      <w:color w:val="000000"/>
                      <w:kern w:val="0"/>
                      <w:sz w:val="21"/>
                      <w:szCs w:val="21"/>
                      <w:highlight w:val="none"/>
                      <w:u w:val="none"/>
                      <w:lang w:val="en-US" w:eastAsia="zh-CN" w:bidi="ar"/>
                    </w:rPr>
                    <w:t>少量</w:t>
                  </w:r>
                </w:p>
              </w:tc>
            </w:tr>
            <w:tr w14:paraId="2B16645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470" w:type="pct"/>
                  <w:vMerge w:val="continue"/>
                  <w:noWrap w:val="0"/>
                  <w:vAlign w:val="center"/>
                </w:tcPr>
                <w:p w14:paraId="05B49484">
                  <w:pPr>
                    <w:keepNext w:val="0"/>
                    <w:keepLines w:val="0"/>
                    <w:widowControl/>
                    <w:suppressLineNumbers w:val="0"/>
                    <w:spacing w:before="0" w:beforeAutospacing="0" w:after="0" w:afterAutospacing="0" w:line="280" w:lineRule="exact"/>
                    <w:ind w:left="0" w:right="0"/>
                    <w:jc w:val="center"/>
                    <w:textAlignment w:val="center"/>
                    <w:rPr>
                      <w:rFonts w:hint="eastAsia" w:ascii="Times New Roman" w:hAnsi="Times New Roman" w:eastAsia="宋体" w:cs="Times New Roman"/>
                      <w:b w:val="0"/>
                      <w:bCs w:val="0"/>
                      <w:sz w:val="21"/>
                      <w:szCs w:val="21"/>
                      <w:highlight w:val="none"/>
                      <w:lang w:val="en-US" w:eastAsia="zh-CN" w:bidi="ar"/>
                    </w:rPr>
                  </w:pPr>
                </w:p>
              </w:tc>
              <w:tc>
                <w:tcPr>
                  <w:tcW w:w="552" w:type="pct"/>
                  <w:vMerge w:val="continue"/>
                  <w:noWrap w:val="0"/>
                  <w:vAlign w:val="center"/>
                </w:tcPr>
                <w:p w14:paraId="0B281919">
                  <w:pPr>
                    <w:keepNext w:val="0"/>
                    <w:keepLines w:val="0"/>
                    <w:widowControl/>
                    <w:suppressLineNumbers w:val="0"/>
                    <w:spacing w:before="0" w:beforeAutospacing="0" w:after="0" w:afterAutospacing="0" w:line="280" w:lineRule="exact"/>
                    <w:ind w:left="0" w:right="0"/>
                    <w:jc w:val="center"/>
                    <w:textAlignment w:val="center"/>
                    <w:rPr>
                      <w:rFonts w:hint="eastAsia" w:ascii="Times New Roman" w:hAnsi="Times New Roman" w:eastAsia="宋体" w:cs="Times New Roman"/>
                      <w:b w:val="0"/>
                      <w:bCs w:val="0"/>
                      <w:sz w:val="21"/>
                      <w:szCs w:val="21"/>
                      <w:highlight w:val="none"/>
                      <w:lang w:val="en-US" w:eastAsia="zh-CN" w:bidi="ar"/>
                    </w:rPr>
                  </w:pPr>
                </w:p>
              </w:tc>
              <w:tc>
                <w:tcPr>
                  <w:tcW w:w="623" w:type="pct"/>
                  <w:vMerge w:val="restart"/>
                  <w:shd w:val="clear" w:color="auto" w:fill="auto"/>
                  <w:noWrap w:val="0"/>
                  <w:vAlign w:val="center"/>
                </w:tcPr>
                <w:p w14:paraId="36C7C00A">
                  <w:pPr>
                    <w:keepNext w:val="0"/>
                    <w:keepLines w:val="0"/>
                    <w:widowControl/>
                    <w:suppressLineNumbers w:val="0"/>
                    <w:spacing w:before="0" w:beforeAutospacing="0" w:after="0" w:afterAutospacing="0" w:line="280" w:lineRule="exact"/>
                    <w:ind w:left="0" w:right="0"/>
                    <w:jc w:val="center"/>
                    <w:textAlignment w:val="center"/>
                    <w:rPr>
                      <w:rFonts w:hint="default" w:cs="Times New Roman"/>
                      <w:b/>
                      <w:bCs/>
                      <w:sz w:val="21"/>
                      <w:szCs w:val="21"/>
                      <w:highlight w:val="none"/>
                      <w:lang w:val="en-US" w:eastAsia="zh-CN" w:bidi="ar"/>
                    </w:rPr>
                  </w:pPr>
                  <w:r>
                    <w:rPr>
                      <w:rFonts w:hint="eastAsia" w:cs="Times New Roman"/>
                      <w:b/>
                      <w:bCs/>
                      <w:sz w:val="21"/>
                      <w:szCs w:val="21"/>
                      <w:highlight w:val="none"/>
                      <w:lang w:val="en-US" w:eastAsia="zh-CN" w:bidi="ar"/>
                    </w:rPr>
                    <w:t>小计</w:t>
                  </w:r>
                </w:p>
              </w:tc>
              <w:tc>
                <w:tcPr>
                  <w:tcW w:w="651" w:type="pct"/>
                  <w:shd w:val="clear" w:color="auto" w:fill="auto"/>
                  <w:noWrap w:val="0"/>
                  <w:vAlign w:val="center"/>
                </w:tcPr>
                <w:p w14:paraId="2614EB98">
                  <w:pPr>
                    <w:keepNext w:val="0"/>
                    <w:keepLines w:val="0"/>
                    <w:widowControl/>
                    <w:suppressLineNumbers w:val="0"/>
                    <w:spacing w:before="0" w:beforeAutospacing="0" w:after="0" w:afterAutospacing="0" w:line="280" w:lineRule="exact"/>
                    <w:ind w:left="0" w:right="0"/>
                    <w:jc w:val="center"/>
                    <w:textAlignment w:val="center"/>
                    <w:rPr>
                      <w:rFonts w:hint="eastAsia" w:ascii="Times New Roman" w:hAnsi="Times New Roman" w:eastAsia="宋体" w:cs="Times New Roman"/>
                      <w:b/>
                      <w:bCs/>
                      <w:kern w:val="2"/>
                      <w:sz w:val="21"/>
                      <w:szCs w:val="21"/>
                      <w:highlight w:val="none"/>
                      <w:lang w:val="en-US" w:eastAsia="zh-CN" w:bidi="ar"/>
                    </w:rPr>
                  </w:pPr>
                  <w:r>
                    <w:rPr>
                      <w:rFonts w:hint="eastAsia" w:ascii="Times New Roman" w:hAnsi="Times New Roman" w:eastAsia="宋体" w:cs="Times New Roman"/>
                      <w:b/>
                      <w:bCs/>
                      <w:sz w:val="21"/>
                      <w:szCs w:val="21"/>
                      <w:highlight w:val="none"/>
                      <w:lang w:val="en-US" w:eastAsia="zh-CN" w:bidi="ar"/>
                    </w:rPr>
                    <w:t>NH</w:t>
                  </w:r>
                  <w:r>
                    <w:rPr>
                      <w:rFonts w:hint="eastAsia" w:ascii="Times New Roman" w:hAnsi="Times New Roman" w:eastAsia="宋体" w:cs="Times New Roman"/>
                      <w:b/>
                      <w:bCs/>
                      <w:sz w:val="21"/>
                      <w:szCs w:val="21"/>
                      <w:highlight w:val="none"/>
                      <w:vertAlign w:val="subscript"/>
                      <w:lang w:val="en-US" w:eastAsia="zh-CN" w:bidi="ar"/>
                    </w:rPr>
                    <w:t>3</w:t>
                  </w:r>
                </w:p>
              </w:tc>
              <w:tc>
                <w:tcPr>
                  <w:tcW w:w="641" w:type="pct"/>
                  <w:noWrap w:val="0"/>
                  <w:vAlign w:val="center"/>
                </w:tcPr>
                <w:p w14:paraId="49960F08">
                  <w:pPr>
                    <w:keepNext w:val="0"/>
                    <w:keepLines w:val="0"/>
                    <w:widowControl/>
                    <w:suppressLineNumbers w:val="0"/>
                    <w:spacing w:before="0" w:beforeAutospacing="0" w:after="0" w:afterAutospacing="0"/>
                    <w:ind w:left="0" w:right="0"/>
                    <w:jc w:val="center"/>
                    <w:textAlignment w:val="center"/>
                    <w:rPr>
                      <w:rFonts w:hint="eastAsia" w:ascii="Times New Roman" w:hAnsi="Times New Roman" w:eastAsia="宋体" w:cs="Times New Roman"/>
                      <w:b/>
                      <w:bCs/>
                      <w:i w:val="0"/>
                      <w:iCs w:val="0"/>
                      <w:color w:val="000000"/>
                      <w:kern w:val="0"/>
                      <w:sz w:val="21"/>
                      <w:szCs w:val="21"/>
                      <w:highlight w:val="none"/>
                      <w:u w:val="none"/>
                      <w:lang w:val="en-US" w:eastAsia="zh-CN" w:bidi="ar"/>
                    </w:rPr>
                  </w:pPr>
                  <w:r>
                    <w:rPr>
                      <w:rFonts w:hint="eastAsia" w:ascii="Times New Roman" w:hAnsi="Times New Roman" w:eastAsia="宋体" w:cs="Times New Roman"/>
                      <w:b/>
                      <w:bCs/>
                      <w:i w:val="0"/>
                      <w:iCs w:val="0"/>
                      <w:color w:val="000000"/>
                      <w:kern w:val="0"/>
                      <w:sz w:val="21"/>
                      <w:szCs w:val="21"/>
                      <w:highlight w:val="none"/>
                      <w:u w:val="none"/>
                      <w:lang w:val="en-US" w:eastAsia="zh-CN" w:bidi="ar"/>
                    </w:rPr>
                    <w:t>0.008</w:t>
                  </w:r>
                </w:p>
              </w:tc>
              <w:tc>
                <w:tcPr>
                  <w:tcW w:w="706" w:type="pct"/>
                  <w:noWrap w:val="0"/>
                  <w:vAlign w:val="center"/>
                </w:tcPr>
                <w:p w14:paraId="30729E6C">
                  <w:pPr>
                    <w:keepNext w:val="0"/>
                    <w:keepLines w:val="0"/>
                    <w:widowControl/>
                    <w:suppressLineNumbers w:val="0"/>
                    <w:spacing w:before="0" w:beforeAutospacing="0" w:after="0" w:afterAutospacing="0"/>
                    <w:ind w:left="0" w:right="0"/>
                    <w:jc w:val="center"/>
                    <w:textAlignment w:val="center"/>
                    <w:rPr>
                      <w:rFonts w:hint="eastAsia" w:ascii="Times New Roman" w:hAnsi="Times New Roman" w:eastAsia="宋体" w:cs="Times New Roman"/>
                      <w:b/>
                      <w:bCs/>
                      <w:i w:val="0"/>
                      <w:iCs w:val="0"/>
                      <w:color w:val="000000"/>
                      <w:kern w:val="0"/>
                      <w:sz w:val="21"/>
                      <w:szCs w:val="21"/>
                      <w:highlight w:val="none"/>
                      <w:u w:val="none"/>
                      <w:lang w:val="en-US" w:eastAsia="zh-CN" w:bidi="ar"/>
                    </w:rPr>
                  </w:pPr>
                  <w:r>
                    <w:rPr>
                      <w:rFonts w:hint="eastAsia" w:ascii="Times New Roman" w:hAnsi="Times New Roman" w:eastAsia="宋体" w:cs="Times New Roman"/>
                      <w:b/>
                      <w:bCs/>
                      <w:i w:val="0"/>
                      <w:iCs w:val="0"/>
                      <w:color w:val="000000"/>
                      <w:kern w:val="0"/>
                      <w:sz w:val="21"/>
                      <w:szCs w:val="21"/>
                      <w:highlight w:val="none"/>
                      <w:u w:val="none"/>
                      <w:lang w:val="en-US" w:eastAsia="zh-CN" w:bidi="ar"/>
                    </w:rPr>
                    <w:t>0.001</w:t>
                  </w:r>
                </w:p>
              </w:tc>
              <w:tc>
                <w:tcPr>
                  <w:tcW w:w="635" w:type="pct"/>
                  <w:noWrap w:val="0"/>
                  <w:vAlign w:val="center"/>
                </w:tcPr>
                <w:p w14:paraId="49F7FA03">
                  <w:pPr>
                    <w:keepNext w:val="0"/>
                    <w:keepLines w:val="0"/>
                    <w:widowControl/>
                    <w:suppressLineNumbers w:val="0"/>
                    <w:spacing w:before="0" w:beforeAutospacing="0" w:after="0" w:afterAutospacing="0"/>
                    <w:ind w:left="0" w:right="0"/>
                    <w:jc w:val="center"/>
                    <w:textAlignment w:val="center"/>
                    <w:rPr>
                      <w:rFonts w:hint="eastAsia" w:ascii="Times New Roman" w:hAnsi="Times New Roman" w:eastAsia="宋体" w:cs="Times New Roman"/>
                      <w:b/>
                      <w:bCs/>
                      <w:i w:val="0"/>
                      <w:iCs w:val="0"/>
                      <w:color w:val="000000"/>
                      <w:kern w:val="0"/>
                      <w:sz w:val="21"/>
                      <w:szCs w:val="21"/>
                      <w:highlight w:val="none"/>
                      <w:u w:val="none"/>
                      <w:lang w:val="en-US" w:eastAsia="zh-CN" w:bidi="ar"/>
                    </w:rPr>
                  </w:pPr>
                  <w:r>
                    <w:rPr>
                      <w:rFonts w:hint="eastAsia" w:ascii="Times New Roman" w:hAnsi="Times New Roman" w:eastAsia="宋体" w:cs="Times New Roman"/>
                      <w:b/>
                      <w:bCs/>
                      <w:i w:val="0"/>
                      <w:iCs w:val="0"/>
                      <w:color w:val="000000"/>
                      <w:kern w:val="0"/>
                      <w:sz w:val="21"/>
                      <w:szCs w:val="21"/>
                      <w:highlight w:val="none"/>
                      <w:u w:val="none"/>
                      <w:lang w:val="en-US" w:eastAsia="zh-CN" w:bidi="ar"/>
                    </w:rPr>
                    <w:t>0.002</w:t>
                  </w:r>
                </w:p>
              </w:tc>
              <w:tc>
                <w:tcPr>
                  <w:tcW w:w="719" w:type="pct"/>
                  <w:noWrap w:val="0"/>
                  <w:vAlign w:val="center"/>
                </w:tcPr>
                <w:p w14:paraId="48B932ED">
                  <w:pPr>
                    <w:keepNext w:val="0"/>
                    <w:keepLines w:val="0"/>
                    <w:widowControl/>
                    <w:suppressLineNumbers w:val="0"/>
                    <w:spacing w:before="0" w:beforeAutospacing="0" w:after="0" w:afterAutospacing="0"/>
                    <w:ind w:left="0" w:right="0"/>
                    <w:jc w:val="center"/>
                    <w:textAlignment w:val="center"/>
                    <w:rPr>
                      <w:rFonts w:hint="eastAsia" w:ascii="Times New Roman" w:hAnsi="Times New Roman" w:eastAsia="宋体" w:cs="Times New Roman"/>
                      <w:b/>
                      <w:bCs/>
                      <w:i w:val="0"/>
                      <w:iCs w:val="0"/>
                      <w:color w:val="000000"/>
                      <w:kern w:val="0"/>
                      <w:sz w:val="21"/>
                      <w:szCs w:val="21"/>
                      <w:highlight w:val="none"/>
                      <w:u w:val="none"/>
                      <w:lang w:val="en-US" w:eastAsia="zh-CN" w:bidi="ar"/>
                    </w:rPr>
                  </w:pPr>
                  <w:r>
                    <w:rPr>
                      <w:rFonts w:hint="eastAsia" w:ascii="Times New Roman" w:hAnsi="Times New Roman" w:eastAsia="宋体" w:cs="Times New Roman"/>
                      <w:b/>
                      <w:bCs/>
                      <w:i w:val="0"/>
                      <w:iCs w:val="0"/>
                      <w:color w:val="000000"/>
                      <w:kern w:val="0"/>
                      <w:sz w:val="21"/>
                      <w:szCs w:val="21"/>
                      <w:highlight w:val="none"/>
                      <w:u w:val="none"/>
                      <w:lang w:val="en-US" w:eastAsia="zh-CN" w:bidi="ar"/>
                    </w:rPr>
                    <w:t>0</w:t>
                  </w:r>
                </w:p>
              </w:tc>
            </w:tr>
            <w:tr w14:paraId="3A19A16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470" w:type="pct"/>
                  <w:vMerge w:val="continue"/>
                  <w:noWrap w:val="0"/>
                  <w:vAlign w:val="center"/>
                </w:tcPr>
                <w:p w14:paraId="4D9E1274">
                  <w:pPr>
                    <w:keepNext w:val="0"/>
                    <w:keepLines w:val="0"/>
                    <w:widowControl/>
                    <w:suppressLineNumbers w:val="0"/>
                    <w:spacing w:before="0" w:beforeAutospacing="0" w:after="0" w:afterAutospacing="0" w:line="280" w:lineRule="exact"/>
                    <w:ind w:left="0" w:right="0"/>
                    <w:jc w:val="center"/>
                    <w:textAlignment w:val="center"/>
                    <w:rPr>
                      <w:rFonts w:hint="eastAsia" w:ascii="Times New Roman" w:hAnsi="Times New Roman" w:eastAsia="宋体" w:cs="Times New Roman"/>
                      <w:b w:val="0"/>
                      <w:bCs w:val="0"/>
                      <w:sz w:val="21"/>
                      <w:szCs w:val="21"/>
                      <w:highlight w:val="none"/>
                      <w:lang w:val="en-US" w:eastAsia="zh-CN" w:bidi="ar"/>
                    </w:rPr>
                  </w:pPr>
                </w:p>
              </w:tc>
              <w:tc>
                <w:tcPr>
                  <w:tcW w:w="552" w:type="pct"/>
                  <w:vMerge w:val="continue"/>
                  <w:noWrap w:val="0"/>
                  <w:vAlign w:val="center"/>
                </w:tcPr>
                <w:p w14:paraId="3EA21C39">
                  <w:pPr>
                    <w:keepNext w:val="0"/>
                    <w:keepLines w:val="0"/>
                    <w:widowControl/>
                    <w:suppressLineNumbers w:val="0"/>
                    <w:spacing w:before="0" w:beforeAutospacing="0" w:after="0" w:afterAutospacing="0" w:line="280" w:lineRule="exact"/>
                    <w:ind w:left="0" w:right="0"/>
                    <w:jc w:val="center"/>
                    <w:textAlignment w:val="center"/>
                    <w:rPr>
                      <w:rFonts w:hint="eastAsia" w:ascii="Times New Roman" w:hAnsi="Times New Roman" w:eastAsia="宋体" w:cs="Times New Roman"/>
                      <w:b w:val="0"/>
                      <w:bCs w:val="0"/>
                      <w:sz w:val="21"/>
                      <w:szCs w:val="21"/>
                      <w:highlight w:val="none"/>
                      <w:lang w:val="en-US" w:eastAsia="zh-CN" w:bidi="ar"/>
                    </w:rPr>
                  </w:pPr>
                </w:p>
              </w:tc>
              <w:tc>
                <w:tcPr>
                  <w:tcW w:w="623" w:type="pct"/>
                  <w:vMerge w:val="continue"/>
                  <w:shd w:val="clear" w:color="auto" w:fill="auto"/>
                  <w:noWrap w:val="0"/>
                  <w:vAlign w:val="center"/>
                </w:tcPr>
                <w:p w14:paraId="3D3CCB93">
                  <w:pPr>
                    <w:keepNext w:val="0"/>
                    <w:keepLines w:val="0"/>
                    <w:widowControl/>
                    <w:suppressLineNumbers w:val="0"/>
                    <w:spacing w:before="0" w:beforeAutospacing="0" w:after="0" w:afterAutospacing="0" w:line="280" w:lineRule="exact"/>
                    <w:ind w:left="0" w:right="0"/>
                    <w:jc w:val="center"/>
                    <w:textAlignment w:val="center"/>
                    <w:rPr>
                      <w:rFonts w:hint="eastAsia" w:cs="Times New Roman"/>
                      <w:b/>
                      <w:bCs/>
                      <w:sz w:val="21"/>
                      <w:szCs w:val="21"/>
                      <w:highlight w:val="none"/>
                      <w:lang w:val="en-US" w:eastAsia="zh-CN" w:bidi="ar"/>
                    </w:rPr>
                  </w:pPr>
                </w:p>
              </w:tc>
              <w:tc>
                <w:tcPr>
                  <w:tcW w:w="651" w:type="pct"/>
                  <w:shd w:val="clear" w:color="auto" w:fill="auto"/>
                  <w:noWrap w:val="0"/>
                  <w:vAlign w:val="center"/>
                </w:tcPr>
                <w:p w14:paraId="3CBF1515">
                  <w:pPr>
                    <w:keepNext w:val="0"/>
                    <w:keepLines w:val="0"/>
                    <w:widowControl/>
                    <w:suppressLineNumbers w:val="0"/>
                    <w:spacing w:before="0" w:beforeAutospacing="0" w:after="0" w:afterAutospacing="0" w:line="280" w:lineRule="exact"/>
                    <w:ind w:left="0" w:right="0"/>
                    <w:jc w:val="center"/>
                    <w:textAlignment w:val="center"/>
                    <w:rPr>
                      <w:rFonts w:hint="eastAsia" w:ascii="Times New Roman" w:hAnsi="Times New Roman" w:eastAsia="宋体" w:cs="Times New Roman"/>
                      <w:b/>
                      <w:bCs/>
                      <w:kern w:val="2"/>
                      <w:sz w:val="21"/>
                      <w:szCs w:val="21"/>
                      <w:highlight w:val="none"/>
                      <w:lang w:val="en-US" w:eastAsia="zh-CN" w:bidi="ar"/>
                    </w:rPr>
                  </w:pPr>
                  <w:r>
                    <w:rPr>
                      <w:rFonts w:hint="eastAsia" w:ascii="Times New Roman" w:hAnsi="Times New Roman" w:eastAsia="宋体" w:cs="Times New Roman"/>
                      <w:b/>
                      <w:bCs/>
                      <w:sz w:val="21"/>
                      <w:szCs w:val="21"/>
                      <w:highlight w:val="none"/>
                      <w:lang w:val="en-US" w:eastAsia="zh-CN" w:bidi="ar"/>
                    </w:rPr>
                    <w:t>H</w:t>
                  </w:r>
                  <w:r>
                    <w:rPr>
                      <w:rFonts w:hint="eastAsia" w:ascii="Times New Roman" w:hAnsi="Times New Roman" w:eastAsia="宋体" w:cs="Times New Roman"/>
                      <w:b/>
                      <w:bCs/>
                      <w:sz w:val="21"/>
                      <w:szCs w:val="21"/>
                      <w:highlight w:val="none"/>
                      <w:vertAlign w:val="subscript"/>
                      <w:lang w:val="en-US" w:eastAsia="zh-CN" w:bidi="ar"/>
                    </w:rPr>
                    <w:t>2</w:t>
                  </w:r>
                  <w:r>
                    <w:rPr>
                      <w:rFonts w:hint="eastAsia" w:ascii="Times New Roman" w:hAnsi="Times New Roman" w:eastAsia="宋体" w:cs="Times New Roman"/>
                      <w:b/>
                      <w:bCs/>
                      <w:sz w:val="21"/>
                      <w:szCs w:val="21"/>
                      <w:highlight w:val="none"/>
                      <w:lang w:val="en-US" w:eastAsia="zh-CN" w:bidi="ar"/>
                    </w:rPr>
                    <w:t>S</w:t>
                  </w:r>
                </w:p>
              </w:tc>
              <w:tc>
                <w:tcPr>
                  <w:tcW w:w="641" w:type="pct"/>
                  <w:noWrap w:val="0"/>
                  <w:vAlign w:val="center"/>
                </w:tcPr>
                <w:p w14:paraId="7F97A7F1">
                  <w:pPr>
                    <w:keepNext w:val="0"/>
                    <w:keepLines w:val="0"/>
                    <w:widowControl/>
                    <w:suppressLineNumbers w:val="0"/>
                    <w:spacing w:before="0" w:beforeAutospacing="0" w:after="0" w:afterAutospacing="0"/>
                    <w:ind w:left="0" w:right="0"/>
                    <w:jc w:val="center"/>
                    <w:textAlignment w:val="center"/>
                    <w:rPr>
                      <w:rFonts w:hint="eastAsia" w:ascii="Times New Roman" w:hAnsi="Times New Roman" w:eastAsia="宋体" w:cs="Times New Roman"/>
                      <w:b/>
                      <w:bCs/>
                      <w:i w:val="0"/>
                      <w:iCs w:val="0"/>
                      <w:color w:val="000000"/>
                      <w:kern w:val="0"/>
                      <w:sz w:val="21"/>
                      <w:szCs w:val="21"/>
                      <w:highlight w:val="none"/>
                      <w:u w:val="none"/>
                      <w:lang w:val="en-US" w:eastAsia="zh-CN" w:bidi="ar"/>
                    </w:rPr>
                  </w:pPr>
                  <w:r>
                    <w:rPr>
                      <w:rFonts w:hint="eastAsia" w:ascii="Times New Roman" w:hAnsi="Times New Roman" w:eastAsia="宋体" w:cs="Times New Roman"/>
                      <w:b/>
                      <w:bCs/>
                      <w:i w:val="0"/>
                      <w:iCs w:val="0"/>
                      <w:color w:val="000000"/>
                      <w:kern w:val="0"/>
                      <w:sz w:val="21"/>
                      <w:szCs w:val="21"/>
                      <w:highlight w:val="none"/>
                      <w:u w:val="none"/>
                      <w:lang w:val="en-US" w:eastAsia="zh-CN" w:bidi="ar"/>
                    </w:rPr>
                    <w:t>0.001</w:t>
                  </w:r>
                </w:p>
              </w:tc>
              <w:tc>
                <w:tcPr>
                  <w:tcW w:w="706" w:type="pct"/>
                  <w:noWrap w:val="0"/>
                  <w:vAlign w:val="center"/>
                </w:tcPr>
                <w:p w14:paraId="230ADE5A">
                  <w:pPr>
                    <w:keepNext w:val="0"/>
                    <w:keepLines w:val="0"/>
                    <w:widowControl/>
                    <w:suppressLineNumbers w:val="0"/>
                    <w:spacing w:before="0" w:beforeAutospacing="0" w:after="0" w:afterAutospacing="0"/>
                    <w:ind w:left="0" w:right="0"/>
                    <w:jc w:val="center"/>
                    <w:textAlignment w:val="center"/>
                    <w:rPr>
                      <w:rFonts w:hint="eastAsia" w:ascii="Times New Roman" w:hAnsi="Times New Roman" w:eastAsia="宋体" w:cs="Times New Roman"/>
                      <w:b/>
                      <w:bCs/>
                      <w:i w:val="0"/>
                      <w:iCs w:val="0"/>
                      <w:color w:val="000000"/>
                      <w:kern w:val="0"/>
                      <w:sz w:val="21"/>
                      <w:szCs w:val="21"/>
                      <w:highlight w:val="none"/>
                      <w:u w:val="none"/>
                      <w:lang w:val="en-US" w:eastAsia="zh-CN" w:bidi="ar"/>
                    </w:rPr>
                  </w:pPr>
                  <w:r>
                    <w:rPr>
                      <w:rFonts w:hint="eastAsia" w:ascii="Times New Roman" w:hAnsi="Times New Roman" w:eastAsia="宋体" w:cs="Times New Roman"/>
                      <w:b/>
                      <w:bCs/>
                      <w:i w:val="0"/>
                      <w:iCs w:val="0"/>
                      <w:color w:val="000000"/>
                      <w:kern w:val="0"/>
                      <w:sz w:val="21"/>
                      <w:szCs w:val="21"/>
                      <w:highlight w:val="none"/>
                      <w:u w:val="none"/>
                      <w:lang w:val="en-US" w:eastAsia="zh-CN" w:bidi="ar"/>
                    </w:rPr>
                    <w:t>0</w:t>
                  </w:r>
                </w:p>
              </w:tc>
              <w:tc>
                <w:tcPr>
                  <w:tcW w:w="635" w:type="pct"/>
                  <w:noWrap w:val="0"/>
                  <w:vAlign w:val="center"/>
                </w:tcPr>
                <w:p w14:paraId="05722DC4">
                  <w:pPr>
                    <w:keepNext w:val="0"/>
                    <w:keepLines w:val="0"/>
                    <w:widowControl/>
                    <w:suppressLineNumbers w:val="0"/>
                    <w:spacing w:before="0" w:beforeAutospacing="0" w:after="0" w:afterAutospacing="0"/>
                    <w:ind w:left="0" w:right="0"/>
                    <w:jc w:val="center"/>
                    <w:textAlignment w:val="center"/>
                    <w:rPr>
                      <w:rFonts w:hint="eastAsia" w:ascii="Times New Roman" w:hAnsi="Times New Roman" w:eastAsia="宋体" w:cs="Times New Roman"/>
                      <w:b/>
                      <w:bCs/>
                      <w:i w:val="0"/>
                      <w:iCs w:val="0"/>
                      <w:color w:val="000000"/>
                      <w:kern w:val="0"/>
                      <w:sz w:val="21"/>
                      <w:szCs w:val="21"/>
                      <w:highlight w:val="none"/>
                      <w:u w:val="none"/>
                      <w:lang w:val="en-US" w:eastAsia="zh-CN" w:bidi="ar"/>
                    </w:rPr>
                  </w:pPr>
                  <w:r>
                    <w:rPr>
                      <w:rFonts w:hint="eastAsia" w:ascii="Times New Roman" w:hAnsi="Times New Roman" w:eastAsia="宋体" w:cs="Times New Roman"/>
                      <w:b/>
                      <w:bCs/>
                      <w:i w:val="0"/>
                      <w:iCs w:val="0"/>
                      <w:color w:val="000000"/>
                      <w:kern w:val="0"/>
                      <w:sz w:val="21"/>
                      <w:szCs w:val="21"/>
                      <w:highlight w:val="none"/>
                      <w:u w:val="none"/>
                      <w:lang w:val="en-US" w:eastAsia="zh-CN" w:bidi="ar"/>
                    </w:rPr>
                    <w:t>0.001</w:t>
                  </w:r>
                </w:p>
              </w:tc>
              <w:tc>
                <w:tcPr>
                  <w:tcW w:w="719" w:type="pct"/>
                  <w:noWrap w:val="0"/>
                  <w:vAlign w:val="center"/>
                </w:tcPr>
                <w:p w14:paraId="1C569DDF">
                  <w:pPr>
                    <w:keepNext w:val="0"/>
                    <w:keepLines w:val="0"/>
                    <w:widowControl/>
                    <w:suppressLineNumbers w:val="0"/>
                    <w:spacing w:before="0" w:beforeAutospacing="0" w:after="0" w:afterAutospacing="0"/>
                    <w:ind w:left="0" w:right="0"/>
                    <w:jc w:val="center"/>
                    <w:textAlignment w:val="center"/>
                    <w:rPr>
                      <w:rFonts w:hint="eastAsia" w:ascii="Times New Roman" w:hAnsi="Times New Roman" w:eastAsia="宋体" w:cs="Times New Roman"/>
                      <w:b/>
                      <w:bCs/>
                      <w:i w:val="0"/>
                      <w:iCs w:val="0"/>
                      <w:color w:val="000000"/>
                      <w:kern w:val="0"/>
                      <w:sz w:val="21"/>
                      <w:szCs w:val="21"/>
                      <w:highlight w:val="none"/>
                      <w:u w:val="none"/>
                      <w:lang w:val="en-US" w:eastAsia="zh-CN" w:bidi="ar"/>
                    </w:rPr>
                  </w:pPr>
                  <w:r>
                    <w:rPr>
                      <w:rFonts w:hint="eastAsia" w:ascii="Times New Roman" w:hAnsi="Times New Roman" w:eastAsia="宋体" w:cs="Times New Roman"/>
                      <w:b/>
                      <w:bCs/>
                      <w:i w:val="0"/>
                      <w:iCs w:val="0"/>
                      <w:color w:val="000000"/>
                      <w:kern w:val="0"/>
                      <w:sz w:val="21"/>
                      <w:szCs w:val="21"/>
                      <w:highlight w:val="none"/>
                      <w:u w:val="none"/>
                      <w:lang w:val="en-US" w:eastAsia="zh-CN" w:bidi="ar"/>
                    </w:rPr>
                    <w:t>0</w:t>
                  </w:r>
                </w:p>
              </w:tc>
            </w:tr>
            <w:tr w14:paraId="540E90D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470" w:type="pct"/>
                  <w:vMerge w:val="continue"/>
                  <w:noWrap w:val="0"/>
                  <w:vAlign w:val="center"/>
                </w:tcPr>
                <w:p w14:paraId="424B98D1">
                  <w:pPr>
                    <w:keepNext w:val="0"/>
                    <w:keepLines w:val="0"/>
                    <w:widowControl/>
                    <w:suppressLineNumbers w:val="0"/>
                    <w:spacing w:before="0" w:beforeAutospacing="0" w:after="0" w:afterAutospacing="0" w:line="280" w:lineRule="exact"/>
                    <w:ind w:left="0" w:right="0"/>
                    <w:jc w:val="center"/>
                    <w:textAlignment w:val="center"/>
                    <w:rPr>
                      <w:rFonts w:hint="eastAsia" w:ascii="Times New Roman" w:hAnsi="Times New Roman" w:eastAsia="宋体" w:cs="Times New Roman"/>
                      <w:b w:val="0"/>
                      <w:bCs w:val="0"/>
                      <w:sz w:val="21"/>
                      <w:szCs w:val="21"/>
                      <w:highlight w:val="none"/>
                      <w:lang w:val="en-US" w:eastAsia="zh-CN" w:bidi="ar"/>
                    </w:rPr>
                  </w:pPr>
                </w:p>
              </w:tc>
              <w:tc>
                <w:tcPr>
                  <w:tcW w:w="552" w:type="pct"/>
                  <w:vMerge w:val="continue"/>
                  <w:noWrap w:val="0"/>
                  <w:vAlign w:val="center"/>
                </w:tcPr>
                <w:p w14:paraId="70AA2A7C">
                  <w:pPr>
                    <w:keepNext w:val="0"/>
                    <w:keepLines w:val="0"/>
                    <w:widowControl/>
                    <w:suppressLineNumbers w:val="0"/>
                    <w:spacing w:before="0" w:beforeAutospacing="0" w:after="0" w:afterAutospacing="0" w:line="280" w:lineRule="exact"/>
                    <w:ind w:left="0" w:right="0"/>
                    <w:jc w:val="center"/>
                    <w:textAlignment w:val="center"/>
                    <w:rPr>
                      <w:rFonts w:hint="eastAsia" w:ascii="Times New Roman" w:hAnsi="Times New Roman" w:eastAsia="宋体" w:cs="Times New Roman"/>
                      <w:b w:val="0"/>
                      <w:bCs w:val="0"/>
                      <w:sz w:val="21"/>
                      <w:szCs w:val="21"/>
                      <w:highlight w:val="none"/>
                      <w:lang w:val="en-US" w:eastAsia="zh-CN" w:bidi="ar"/>
                    </w:rPr>
                  </w:pPr>
                </w:p>
              </w:tc>
              <w:tc>
                <w:tcPr>
                  <w:tcW w:w="623" w:type="pct"/>
                  <w:vMerge w:val="continue"/>
                  <w:shd w:val="clear" w:color="auto" w:fill="auto"/>
                  <w:noWrap w:val="0"/>
                  <w:vAlign w:val="center"/>
                </w:tcPr>
                <w:p w14:paraId="7D17797A">
                  <w:pPr>
                    <w:keepNext w:val="0"/>
                    <w:keepLines w:val="0"/>
                    <w:widowControl/>
                    <w:suppressLineNumbers w:val="0"/>
                    <w:spacing w:before="0" w:beforeAutospacing="0" w:after="0" w:afterAutospacing="0" w:line="280" w:lineRule="exact"/>
                    <w:ind w:left="0" w:right="0"/>
                    <w:jc w:val="center"/>
                    <w:textAlignment w:val="center"/>
                    <w:rPr>
                      <w:rFonts w:hint="eastAsia" w:cs="Times New Roman"/>
                      <w:b/>
                      <w:bCs/>
                      <w:sz w:val="21"/>
                      <w:szCs w:val="21"/>
                      <w:highlight w:val="none"/>
                      <w:lang w:val="en-US" w:eastAsia="zh-CN" w:bidi="ar"/>
                    </w:rPr>
                  </w:pPr>
                </w:p>
              </w:tc>
              <w:tc>
                <w:tcPr>
                  <w:tcW w:w="651" w:type="pct"/>
                  <w:shd w:val="clear" w:color="auto" w:fill="auto"/>
                  <w:noWrap w:val="0"/>
                  <w:vAlign w:val="center"/>
                </w:tcPr>
                <w:p w14:paraId="02B081E6">
                  <w:pPr>
                    <w:keepNext w:val="0"/>
                    <w:keepLines w:val="0"/>
                    <w:widowControl/>
                    <w:suppressLineNumbers w:val="0"/>
                    <w:spacing w:before="0" w:beforeAutospacing="0" w:after="0" w:afterAutospacing="0" w:line="280" w:lineRule="exact"/>
                    <w:ind w:left="0" w:leftChars="0" w:right="0" w:rightChars="0"/>
                    <w:jc w:val="center"/>
                    <w:textAlignment w:val="center"/>
                    <w:rPr>
                      <w:rFonts w:hint="eastAsia" w:ascii="Times New Roman" w:hAnsi="Times New Roman" w:eastAsia="宋体" w:cs="Times New Roman"/>
                      <w:b/>
                      <w:bCs/>
                      <w:kern w:val="2"/>
                      <w:sz w:val="21"/>
                      <w:szCs w:val="21"/>
                      <w:highlight w:val="none"/>
                      <w:lang w:val="en-US" w:eastAsia="zh-CN" w:bidi="ar"/>
                    </w:rPr>
                  </w:pPr>
                  <w:r>
                    <w:rPr>
                      <w:rFonts w:hint="eastAsia" w:cs="Times New Roman"/>
                      <w:b/>
                      <w:bCs/>
                      <w:sz w:val="21"/>
                      <w:szCs w:val="21"/>
                      <w:highlight w:val="none"/>
                      <w:lang w:val="en-US" w:eastAsia="zh-CN" w:bidi="ar"/>
                    </w:rPr>
                    <w:t>颗粒物</w:t>
                  </w:r>
                </w:p>
              </w:tc>
              <w:tc>
                <w:tcPr>
                  <w:tcW w:w="1348" w:type="pct"/>
                  <w:gridSpan w:val="2"/>
                  <w:shd w:val="clear" w:color="auto" w:fill="auto"/>
                  <w:noWrap w:val="0"/>
                  <w:vAlign w:val="center"/>
                </w:tcPr>
                <w:p w14:paraId="18FB970B">
                  <w:pPr>
                    <w:keepNext w:val="0"/>
                    <w:keepLines w:val="0"/>
                    <w:widowControl/>
                    <w:suppressLineNumbers w:val="0"/>
                    <w:spacing w:before="0" w:beforeAutospacing="0" w:after="0" w:afterAutospacing="0"/>
                    <w:ind w:left="0" w:leftChars="0" w:right="0" w:rightChars="0"/>
                    <w:jc w:val="center"/>
                    <w:textAlignment w:val="center"/>
                    <w:rPr>
                      <w:rFonts w:hint="eastAsia" w:ascii="Times New Roman" w:hAnsi="Times New Roman" w:eastAsia="宋体" w:cs="Times New Roman"/>
                      <w:b/>
                      <w:bCs/>
                      <w:i w:val="0"/>
                      <w:iCs w:val="0"/>
                      <w:color w:val="000000"/>
                      <w:kern w:val="0"/>
                      <w:sz w:val="21"/>
                      <w:szCs w:val="21"/>
                      <w:highlight w:val="none"/>
                      <w:u w:val="none"/>
                      <w:lang w:val="en-US" w:eastAsia="zh-CN" w:bidi="ar"/>
                    </w:rPr>
                  </w:pPr>
                  <w:r>
                    <w:rPr>
                      <w:rFonts w:hint="eastAsia" w:cs="Times New Roman"/>
                      <w:b/>
                      <w:bCs/>
                      <w:i w:val="0"/>
                      <w:iCs w:val="0"/>
                      <w:color w:val="000000"/>
                      <w:kern w:val="0"/>
                      <w:sz w:val="21"/>
                      <w:szCs w:val="21"/>
                      <w:highlight w:val="none"/>
                      <w:u w:val="none"/>
                      <w:lang w:val="en-US" w:eastAsia="zh-CN" w:bidi="ar"/>
                    </w:rPr>
                    <w:t>少量</w:t>
                  </w:r>
                </w:p>
              </w:tc>
              <w:tc>
                <w:tcPr>
                  <w:tcW w:w="1354" w:type="pct"/>
                  <w:gridSpan w:val="2"/>
                  <w:noWrap w:val="0"/>
                  <w:vAlign w:val="center"/>
                </w:tcPr>
                <w:p w14:paraId="3122AB79">
                  <w:pPr>
                    <w:keepNext w:val="0"/>
                    <w:keepLines w:val="0"/>
                    <w:widowControl/>
                    <w:suppressLineNumbers w:val="0"/>
                    <w:spacing w:before="0" w:beforeAutospacing="0" w:after="0" w:afterAutospacing="0"/>
                    <w:ind w:left="0" w:right="0"/>
                    <w:jc w:val="center"/>
                    <w:textAlignment w:val="center"/>
                    <w:rPr>
                      <w:rFonts w:hint="eastAsia" w:ascii="Times New Roman" w:hAnsi="Times New Roman" w:eastAsia="宋体" w:cs="Times New Roman"/>
                      <w:b/>
                      <w:bCs/>
                      <w:i w:val="0"/>
                      <w:iCs w:val="0"/>
                      <w:color w:val="000000"/>
                      <w:kern w:val="0"/>
                      <w:sz w:val="21"/>
                      <w:szCs w:val="21"/>
                      <w:highlight w:val="none"/>
                      <w:u w:val="none"/>
                      <w:lang w:val="en-US" w:eastAsia="zh-CN" w:bidi="ar"/>
                    </w:rPr>
                  </w:pPr>
                  <w:r>
                    <w:rPr>
                      <w:rFonts w:hint="eastAsia" w:cs="Times New Roman"/>
                      <w:b/>
                      <w:bCs/>
                      <w:i w:val="0"/>
                      <w:iCs w:val="0"/>
                      <w:color w:val="000000"/>
                      <w:kern w:val="0"/>
                      <w:sz w:val="21"/>
                      <w:szCs w:val="21"/>
                      <w:highlight w:val="none"/>
                      <w:u w:val="none"/>
                      <w:lang w:val="en-US" w:eastAsia="zh-CN" w:bidi="ar"/>
                    </w:rPr>
                    <w:t>少量</w:t>
                  </w:r>
                </w:p>
              </w:tc>
            </w:tr>
            <w:tr w14:paraId="36A5AFB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40" w:hRule="atLeast"/>
              </w:trPr>
              <w:tc>
                <w:tcPr>
                  <w:tcW w:w="470" w:type="pct"/>
                  <w:vMerge w:val="continue"/>
                  <w:noWrap w:val="0"/>
                  <w:vAlign w:val="center"/>
                </w:tcPr>
                <w:p w14:paraId="78467796">
                  <w:pPr>
                    <w:keepNext w:val="0"/>
                    <w:keepLines w:val="0"/>
                    <w:widowControl/>
                    <w:suppressLineNumbers w:val="0"/>
                    <w:spacing w:before="0" w:beforeAutospacing="0" w:after="0" w:afterAutospacing="0" w:line="280" w:lineRule="exact"/>
                    <w:ind w:left="0" w:right="0"/>
                    <w:jc w:val="center"/>
                    <w:textAlignment w:val="center"/>
                    <w:rPr>
                      <w:rFonts w:hint="eastAsia" w:ascii="Times New Roman" w:hAnsi="Times New Roman" w:eastAsia="宋体" w:cs="Times New Roman"/>
                      <w:b w:val="0"/>
                      <w:bCs w:val="0"/>
                      <w:sz w:val="21"/>
                      <w:szCs w:val="21"/>
                      <w:highlight w:val="none"/>
                      <w:lang w:val="en-US" w:eastAsia="zh-CN" w:bidi="ar"/>
                    </w:rPr>
                  </w:pPr>
                </w:p>
              </w:tc>
              <w:tc>
                <w:tcPr>
                  <w:tcW w:w="1176" w:type="pct"/>
                  <w:gridSpan w:val="2"/>
                  <w:vMerge w:val="restart"/>
                  <w:noWrap w:val="0"/>
                  <w:vAlign w:val="center"/>
                </w:tcPr>
                <w:p w14:paraId="386FF0FE">
                  <w:pPr>
                    <w:keepNext w:val="0"/>
                    <w:keepLines w:val="0"/>
                    <w:widowControl/>
                    <w:suppressLineNumbers w:val="0"/>
                    <w:spacing w:before="0" w:beforeAutospacing="0" w:after="0" w:afterAutospacing="0" w:line="280" w:lineRule="exact"/>
                    <w:ind w:left="0" w:right="0"/>
                    <w:jc w:val="center"/>
                    <w:textAlignment w:val="center"/>
                    <w:rPr>
                      <w:rFonts w:hint="default" w:ascii="Times New Roman" w:hAnsi="Times New Roman" w:eastAsia="宋体" w:cs="Times New Roman"/>
                      <w:b w:val="0"/>
                      <w:bCs w:val="0"/>
                      <w:sz w:val="21"/>
                      <w:szCs w:val="21"/>
                      <w:highlight w:val="none"/>
                      <w:lang w:val="en-US" w:eastAsia="zh-CN" w:bidi="ar"/>
                    </w:rPr>
                  </w:pPr>
                  <w:r>
                    <w:rPr>
                      <w:rFonts w:hint="eastAsia" w:ascii="Times New Roman" w:hAnsi="Times New Roman" w:eastAsia="宋体" w:cs="Times New Roman"/>
                      <w:b w:val="0"/>
                      <w:bCs w:val="0"/>
                      <w:sz w:val="21"/>
                      <w:szCs w:val="21"/>
                      <w:highlight w:val="none"/>
                      <w:lang w:val="en-US" w:eastAsia="zh-CN" w:bidi="ar"/>
                    </w:rPr>
                    <w:t>合计</w:t>
                  </w:r>
                </w:p>
              </w:tc>
              <w:tc>
                <w:tcPr>
                  <w:tcW w:w="651" w:type="pct"/>
                  <w:shd w:val="clear" w:color="auto" w:fill="auto"/>
                  <w:noWrap w:val="0"/>
                  <w:vAlign w:val="center"/>
                </w:tcPr>
                <w:p w14:paraId="626D4F2E">
                  <w:pPr>
                    <w:keepNext w:val="0"/>
                    <w:keepLines w:val="0"/>
                    <w:widowControl/>
                    <w:suppressLineNumbers w:val="0"/>
                    <w:spacing w:before="0" w:beforeAutospacing="0" w:after="0" w:afterAutospacing="0" w:line="280" w:lineRule="exact"/>
                    <w:ind w:left="0" w:right="0"/>
                    <w:jc w:val="center"/>
                    <w:textAlignment w:val="center"/>
                    <w:rPr>
                      <w:rFonts w:hint="eastAsia" w:ascii="Times New Roman" w:hAnsi="Times New Roman" w:eastAsia="宋体" w:cs="Times New Roman"/>
                      <w:b/>
                      <w:bCs/>
                      <w:sz w:val="21"/>
                      <w:szCs w:val="21"/>
                      <w:highlight w:val="none"/>
                      <w:lang w:val="en-US" w:eastAsia="zh-CN" w:bidi="ar"/>
                    </w:rPr>
                  </w:pPr>
                  <w:r>
                    <w:rPr>
                      <w:rFonts w:hint="eastAsia" w:ascii="Times New Roman" w:hAnsi="Times New Roman" w:eastAsia="宋体" w:cs="Times New Roman"/>
                      <w:b/>
                      <w:bCs/>
                      <w:sz w:val="21"/>
                      <w:szCs w:val="21"/>
                      <w:highlight w:val="none"/>
                      <w:lang w:val="en-US" w:eastAsia="zh-CN" w:bidi="ar"/>
                    </w:rPr>
                    <w:t>NH</w:t>
                  </w:r>
                  <w:r>
                    <w:rPr>
                      <w:rFonts w:hint="eastAsia" w:ascii="Times New Roman" w:hAnsi="Times New Roman" w:eastAsia="宋体" w:cs="Times New Roman"/>
                      <w:b/>
                      <w:bCs/>
                      <w:sz w:val="21"/>
                      <w:szCs w:val="21"/>
                      <w:highlight w:val="none"/>
                      <w:vertAlign w:val="subscript"/>
                      <w:lang w:val="en-US" w:eastAsia="zh-CN" w:bidi="ar"/>
                    </w:rPr>
                    <w:t>3</w:t>
                  </w:r>
                </w:p>
              </w:tc>
              <w:tc>
                <w:tcPr>
                  <w:tcW w:w="641" w:type="pct"/>
                  <w:noWrap w:val="0"/>
                  <w:vAlign w:val="center"/>
                </w:tcPr>
                <w:p w14:paraId="57E612D2">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b/>
                      <w:bCs/>
                      <w:i w:val="0"/>
                      <w:iCs w:val="0"/>
                      <w:color w:val="000000"/>
                      <w:kern w:val="0"/>
                      <w:sz w:val="21"/>
                      <w:szCs w:val="21"/>
                      <w:highlight w:val="none"/>
                      <w:u w:val="none"/>
                      <w:lang w:val="en-US" w:eastAsia="zh-CN" w:bidi="ar"/>
                    </w:rPr>
                  </w:pPr>
                  <w:r>
                    <w:rPr>
                      <w:rFonts w:hint="eastAsia" w:ascii="Times New Roman" w:hAnsi="Times New Roman" w:eastAsia="宋体" w:cs="Times New Roman"/>
                      <w:b/>
                      <w:bCs/>
                      <w:i w:val="0"/>
                      <w:iCs w:val="0"/>
                      <w:color w:val="000000"/>
                      <w:kern w:val="0"/>
                      <w:sz w:val="21"/>
                      <w:szCs w:val="21"/>
                      <w:highlight w:val="none"/>
                      <w:u w:val="none"/>
                      <w:lang w:val="en-US" w:eastAsia="zh-CN" w:bidi="ar"/>
                    </w:rPr>
                    <w:t>0.383</w:t>
                  </w:r>
                </w:p>
              </w:tc>
              <w:tc>
                <w:tcPr>
                  <w:tcW w:w="706" w:type="pct"/>
                  <w:noWrap w:val="0"/>
                  <w:vAlign w:val="center"/>
                </w:tcPr>
                <w:p w14:paraId="49D07714">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b/>
                      <w:bCs/>
                      <w:i w:val="0"/>
                      <w:iCs w:val="0"/>
                      <w:color w:val="000000"/>
                      <w:kern w:val="0"/>
                      <w:sz w:val="21"/>
                      <w:szCs w:val="21"/>
                      <w:highlight w:val="none"/>
                      <w:u w:val="none"/>
                      <w:lang w:val="en-US" w:eastAsia="zh-CN" w:bidi="ar"/>
                    </w:rPr>
                  </w:pPr>
                  <w:r>
                    <w:rPr>
                      <w:rFonts w:hint="eastAsia" w:ascii="Times New Roman" w:hAnsi="Times New Roman" w:eastAsia="宋体" w:cs="Times New Roman"/>
                      <w:b/>
                      <w:bCs/>
                      <w:i w:val="0"/>
                      <w:iCs w:val="0"/>
                      <w:color w:val="000000"/>
                      <w:kern w:val="0"/>
                      <w:sz w:val="21"/>
                      <w:szCs w:val="21"/>
                      <w:highlight w:val="none"/>
                      <w:u w:val="none"/>
                      <w:lang w:val="en-US" w:eastAsia="zh-CN" w:bidi="ar"/>
                    </w:rPr>
                    <w:t>0.042</w:t>
                  </w:r>
                </w:p>
              </w:tc>
              <w:tc>
                <w:tcPr>
                  <w:tcW w:w="635" w:type="pct"/>
                  <w:noWrap w:val="0"/>
                  <w:vAlign w:val="center"/>
                </w:tcPr>
                <w:p w14:paraId="519A7660">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b/>
                      <w:bCs/>
                      <w:i w:val="0"/>
                      <w:iCs w:val="0"/>
                      <w:color w:val="000000"/>
                      <w:kern w:val="0"/>
                      <w:sz w:val="21"/>
                      <w:szCs w:val="21"/>
                      <w:highlight w:val="none"/>
                      <w:u w:val="none"/>
                      <w:lang w:val="en-US" w:eastAsia="zh-CN" w:bidi="ar"/>
                    </w:rPr>
                  </w:pPr>
                  <w:r>
                    <w:rPr>
                      <w:rFonts w:hint="eastAsia" w:ascii="Times New Roman" w:hAnsi="Times New Roman" w:eastAsia="宋体" w:cs="Times New Roman"/>
                      <w:b/>
                      <w:bCs/>
                      <w:i w:val="0"/>
                      <w:iCs w:val="0"/>
                      <w:color w:val="000000"/>
                      <w:kern w:val="0"/>
                      <w:sz w:val="21"/>
                      <w:szCs w:val="21"/>
                      <w:highlight w:val="none"/>
                      <w:u w:val="none"/>
                      <w:lang w:val="en-US" w:eastAsia="zh-CN" w:bidi="ar"/>
                    </w:rPr>
                    <w:t>0.071</w:t>
                  </w:r>
                </w:p>
              </w:tc>
              <w:tc>
                <w:tcPr>
                  <w:tcW w:w="719" w:type="pct"/>
                  <w:noWrap w:val="0"/>
                  <w:vAlign w:val="center"/>
                </w:tcPr>
                <w:p w14:paraId="66C7322C">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b/>
                      <w:bCs/>
                      <w:i w:val="0"/>
                      <w:iCs w:val="0"/>
                      <w:color w:val="000000"/>
                      <w:kern w:val="0"/>
                      <w:sz w:val="21"/>
                      <w:szCs w:val="21"/>
                      <w:highlight w:val="none"/>
                      <w:u w:val="none"/>
                      <w:lang w:val="en-US" w:eastAsia="zh-CN" w:bidi="ar"/>
                    </w:rPr>
                  </w:pPr>
                  <w:r>
                    <w:rPr>
                      <w:rFonts w:hint="eastAsia" w:ascii="Times New Roman" w:hAnsi="Times New Roman" w:eastAsia="宋体" w:cs="Times New Roman"/>
                      <w:b/>
                      <w:bCs/>
                      <w:i w:val="0"/>
                      <w:iCs w:val="0"/>
                      <w:color w:val="000000"/>
                      <w:kern w:val="0"/>
                      <w:sz w:val="21"/>
                      <w:szCs w:val="21"/>
                      <w:highlight w:val="none"/>
                      <w:u w:val="none"/>
                      <w:lang w:val="en-US" w:eastAsia="zh-CN" w:bidi="ar"/>
                    </w:rPr>
                    <w:t>0.008</w:t>
                  </w:r>
                </w:p>
              </w:tc>
            </w:tr>
            <w:tr w14:paraId="6255C77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40" w:hRule="atLeast"/>
              </w:trPr>
              <w:tc>
                <w:tcPr>
                  <w:tcW w:w="470" w:type="pct"/>
                  <w:vMerge w:val="continue"/>
                  <w:noWrap w:val="0"/>
                  <w:vAlign w:val="center"/>
                </w:tcPr>
                <w:p w14:paraId="127CB96D">
                  <w:pPr>
                    <w:keepNext w:val="0"/>
                    <w:keepLines w:val="0"/>
                    <w:widowControl/>
                    <w:suppressLineNumbers w:val="0"/>
                    <w:spacing w:before="0" w:beforeAutospacing="0" w:after="0" w:afterAutospacing="0" w:line="280" w:lineRule="exact"/>
                    <w:ind w:left="0" w:right="0"/>
                    <w:jc w:val="center"/>
                    <w:textAlignment w:val="center"/>
                    <w:rPr>
                      <w:rFonts w:hint="default"/>
                      <w:highlight w:val="none"/>
                    </w:rPr>
                  </w:pPr>
                </w:p>
              </w:tc>
              <w:tc>
                <w:tcPr>
                  <w:tcW w:w="1176" w:type="pct"/>
                  <w:gridSpan w:val="2"/>
                  <w:vMerge w:val="continue"/>
                  <w:noWrap w:val="0"/>
                  <w:vAlign w:val="center"/>
                </w:tcPr>
                <w:p w14:paraId="2C571A93">
                  <w:pPr>
                    <w:keepNext w:val="0"/>
                    <w:keepLines w:val="0"/>
                    <w:widowControl/>
                    <w:suppressLineNumbers w:val="0"/>
                    <w:spacing w:before="0" w:beforeAutospacing="0" w:after="0" w:afterAutospacing="0" w:line="280" w:lineRule="exact"/>
                    <w:ind w:left="0" w:right="0"/>
                    <w:jc w:val="center"/>
                    <w:textAlignment w:val="center"/>
                    <w:rPr>
                      <w:rFonts w:hint="default"/>
                      <w:highlight w:val="none"/>
                    </w:rPr>
                  </w:pPr>
                </w:p>
              </w:tc>
              <w:tc>
                <w:tcPr>
                  <w:tcW w:w="651" w:type="pct"/>
                  <w:shd w:val="clear" w:color="auto" w:fill="auto"/>
                  <w:noWrap w:val="0"/>
                  <w:vAlign w:val="center"/>
                </w:tcPr>
                <w:p w14:paraId="6C48F266">
                  <w:pPr>
                    <w:keepNext w:val="0"/>
                    <w:keepLines w:val="0"/>
                    <w:widowControl/>
                    <w:suppressLineNumbers w:val="0"/>
                    <w:spacing w:before="0" w:beforeAutospacing="0" w:after="0" w:afterAutospacing="0" w:line="280" w:lineRule="exact"/>
                    <w:ind w:left="0" w:right="0"/>
                    <w:jc w:val="center"/>
                    <w:textAlignment w:val="center"/>
                    <w:rPr>
                      <w:rFonts w:hint="eastAsia" w:ascii="Times New Roman" w:hAnsi="Times New Roman" w:eastAsia="宋体" w:cs="Times New Roman"/>
                      <w:b/>
                      <w:bCs/>
                      <w:sz w:val="21"/>
                      <w:szCs w:val="21"/>
                      <w:highlight w:val="none"/>
                      <w:lang w:val="en-US" w:eastAsia="zh-CN" w:bidi="ar"/>
                    </w:rPr>
                  </w:pPr>
                  <w:r>
                    <w:rPr>
                      <w:rFonts w:hint="eastAsia" w:ascii="Times New Roman" w:hAnsi="Times New Roman" w:eastAsia="宋体" w:cs="Times New Roman"/>
                      <w:b/>
                      <w:bCs/>
                      <w:sz w:val="21"/>
                      <w:szCs w:val="21"/>
                      <w:highlight w:val="none"/>
                      <w:lang w:val="en-US" w:eastAsia="zh-CN" w:bidi="ar"/>
                    </w:rPr>
                    <w:t>H</w:t>
                  </w:r>
                  <w:r>
                    <w:rPr>
                      <w:rFonts w:hint="eastAsia" w:ascii="Times New Roman" w:hAnsi="Times New Roman" w:eastAsia="宋体" w:cs="Times New Roman"/>
                      <w:b/>
                      <w:bCs/>
                      <w:sz w:val="21"/>
                      <w:szCs w:val="21"/>
                      <w:highlight w:val="none"/>
                      <w:vertAlign w:val="subscript"/>
                      <w:lang w:val="en-US" w:eastAsia="zh-CN" w:bidi="ar"/>
                    </w:rPr>
                    <w:t>2</w:t>
                  </w:r>
                  <w:r>
                    <w:rPr>
                      <w:rFonts w:hint="eastAsia" w:ascii="Times New Roman" w:hAnsi="Times New Roman" w:eastAsia="宋体" w:cs="Times New Roman"/>
                      <w:b/>
                      <w:bCs/>
                      <w:sz w:val="21"/>
                      <w:szCs w:val="21"/>
                      <w:highlight w:val="none"/>
                      <w:lang w:val="en-US" w:eastAsia="zh-CN" w:bidi="ar"/>
                    </w:rPr>
                    <w:t>S</w:t>
                  </w:r>
                </w:p>
              </w:tc>
              <w:tc>
                <w:tcPr>
                  <w:tcW w:w="641" w:type="pct"/>
                  <w:noWrap w:val="0"/>
                  <w:vAlign w:val="center"/>
                </w:tcPr>
                <w:p w14:paraId="3A931E7C">
                  <w:pPr>
                    <w:keepNext w:val="0"/>
                    <w:keepLines w:val="0"/>
                    <w:widowControl/>
                    <w:suppressLineNumbers w:val="0"/>
                    <w:spacing w:before="0" w:beforeAutospacing="0" w:after="0" w:afterAutospacing="0"/>
                    <w:ind w:left="0" w:right="0"/>
                    <w:jc w:val="center"/>
                    <w:textAlignment w:val="center"/>
                    <w:rPr>
                      <w:rFonts w:hint="eastAsia" w:ascii="Times New Roman" w:hAnsi="Times New Roman" w:eastAsia="宋体" w:cs="Times New Roman"/>
                      <w:b/>
                      <w:bCs/>
                      <w:i w:val="0"/>
                      <w:iCs w:val="0"/>
                      <w:color w:val="000000"/>
                      <w:kern w:val="0"/>
                      <w:sz w:val="21"/>
                      <w:szCs w:val="21"/>
                      <w:highlight w:val="none"/>
                      <w:u w:val="none"/>
                      <w:lang w:val="en-US" w:eastAsia="zh-CN" w:bidi="ar"/>
                    </w:rPr>
                  </w:pPr>
                  <w:r>
                    <w:rPr>
                      <w:rFonts w:hint="eastAsia" w:ascii="Times New Roman" w:hAnsi="Times New Roman" w:eastAsia="宋体" w:cs="Times New Roman"/>
                      <w:b/>
                      <w:bCs/>
                      <w:i w:val="0"/>
                      <w:iCs w:val="0"/>
                      <w:color w:val="000000"/>
                      <w:kern w:val="0"/>
                      <w:sz w:val="21"/>
                      <w:szCs w:val="21"/>
                      <w:highlight w:val="none"/>
                      <w:u w:val="none"/>
                      <w:lang w:val="en-US" w:eastAsia="zh-CN" w:bidi="ar"/>
                    </w:rPr>
                    <w:t>0.06</w:t>
                  </w:r>
                </w:p>
              </w:tc>
              <w:tc>
                <w:tcPr>
                  <w:tcW w:w="706" w:type="pct"/>
                  <w:noWrap w:val="0"/>
                  <w:vAlign w:val="center"/>
                </w:tcPr>
                <w:p w14:paraId="58D417A8">
                  <w:pPr>
                    <w:keepNext w:val="0"/>
                    <w:keepLines w:val="0"/>
                    <w:widowControl/>
                    <w:suppressLineNumbers w:val="0"/>
                    <w:spacing w:before="0" w:beforeAutospacing="0" w:after="0" w:afterAutospacing="0"/>
                    <w:ind w:left="0" w:right="0"/>
                    <w:jc w:val="center"/>
                    <w:textAlignment w:val="center"/>
                    <w:rPr>
                      <w:rFonts w:hint="eastAsia" w:ascii="Times New Roman" w:hAnsi="Times New Roman" w:eastAsia="宋体" w:cs="Times New Roman"/>
                      <w:b/>
                      <w:bCs/>
                      <w:i w:val="0"/>
                      <w:iCs w:val="0"/>
                      <w:color w:val="000000"/>
                      <w:kern w:val="0"/>
                      <w:sz w:val="21"/>
                      <w:szCs w:val="21"/>
                      <w:highlight w:val="none"/>
                      <w:u w:val="none"/>
                      <w:lang w:val="en-US" w:eastAsia="zh-CN" w:bidi="ar"/>
                    </w:rPr>
                  </w:pPr>
                  <w:r>
                    <w:rPr>
                      <w:rFonts w:hint="eastAsia" w:ascii="Times New Roman" w:hAnsi="Times New Roman" w:eastAsia="宋体" w:cs="Times New Roman"/>
                      <w:b/>
                      <w:bCs/>
                      <w:i w:val="0"/>
                      <w:iCs w:val="0"/>
                      <w:color w:val="000000"/>
                      <w:kern w:val="0"/>
                      <w:sz w:val="21"/>
                      <w:szCs w:val="21"/>
                      <w:highlight w:val="none"/>
                      <w:u w:val="none"/>
                      <w:lang w:val="en-US" w:eastAsia="zh-CN" w:bidi="ar"/>
                    </w:rPr>
                    <w:t>0.007</w:t>
                  </w:r>
                </w:p>
              </w:tc>
              <w:tc>
                <w:tcPr>
                  <w:tcW w:w="635" w:type="pct"/>
                  <w:noWrap w:val="0"/>
                  <w:vAlign w:val="center"/>
                </w:tcPr>
                <w:p w14:paraId="46DAD261">
                  <w:pPr>
                    <w:keepNext w:val="0"/>
                    <w:keepLines w:val="0"/>
                    <w:widowControl/>
                    <w:suppressLineNumbers w:val="0"/>
                    <w:spacing w:before="0" w:beforeAutospacing="0" w:after="0" w:afterAutospacing="0"/>
                    <w:ind w:left="0" w:right="0"/>
                    <w:jc w:val="center"/>
                    <w:textAlignment w:val="center"/>
                    <w:rPr>
                      <w:rFonts w:hint="eastAsia" w:ascii="Times New Roman" w:hAnsi="Times New Roman" w:eastAsia="宋体" w:cs="Times New Roman"/>
                      <w:b/>
                      <w:bCs/>
                      <w:i w:val="0"/>
                      <w:iCs w:val="0"/>
                      <w:color w:val="000000"/>
                      <w:kern w:val="0"/>
                      <w:sz w:val="21"/>
                      <w:szCs w:val="21"/>
                      <w:highlight w:val="none"/>
                      <w:u w:val="none"/>
                      <w:lang w:val="en-US" w:eastAsia="zh-CN" w:bidi="ar"/>
                    </w:rPr>
                  </w:pPr>
                  <w:r>
                    <w:rPr>
                      <w:rFonts w:hint="eastAsia" w:ascii="Times New Roman" w:hAnsi="Times New Roman" w:eastAsia="宋体" w:cs="Times New Roman"/>
                      <w:b/>
                      <w:bCs/>
                      <w:i w:val="0"/>
                      <w:iCs w:val="0"/>
                      <w:color w:val="000000"/>
                      <w:kern w:val="0"/>
                      <w:sz w:val="21"/>
                      <w:szCs w:val="21"/>
                      <w:highlight w:val="none"/>
                      <w:u w:val="none"/>
                      <w:lang w:val="en-US" w:eastAsia="zh-CN" w:bidi="ar"/>
                    </w:rPr>
                    <w:t>0.035</w:t>
                  </w:r>
                </w:p>
              </w:tc>
              <w:tc>
                <w:tcPr>
                  <w:tcW w:w="719" w:type="pct"/>
                  <w:noWrap w:val="0"/>
                  <w:vAlign w:val="center"/>
                </w:tcPr>
                <w:p w14:paraId="2870BA0C">
                  <w:pPr>
                    <w:keepNext w:val="0"/>
                    <w:keepLines w:val="0"/>
                    <w:widowControl/>
                    <w:suppressLineNumbers w:val="0"/>
                    <w:spacing w:before="0" w:beforeAutospacing="0" w:after="0" w:afterAutospacing="0"/>
                    <w:ind w:left="0" w:right="0"/>
                    <w:jc w:val="center"/>
                    <w:textAlignment w:val="center"/>
                    <w:rPr>
                      <w:rFonts w:hint="eastAsia" w:ascii="Times New Roman" w:hAnsi="Times New Roman" w:eastAsia="宋体" w:cs="Times New Roman"/>
                      <w:b/>
                      <w:bCs/>
                      <w:i w:val="0"/>
                      <w:iCs w:val="0"/>
                      <w:color w:val="000000"/>
                      <w:kern w:val="0"/>
                      <w:sz w:val="21"/>
                      <w:szCs w:val="21"/>
                      <w:highlight w:val="none"/>
                      <w:u w:val="none"/>
                      <w:lang w:val="en-US" w:eastAsia="zh-CN" w:bidi="ar"/>
                    </w:rPr>
                  </w:pPr>
                  <w:r>
                    <w:rPr>
                      <w:rFonts w:hint="eastAsia" w:ascii="Times New Roman" w:hAnsi="Times New Roman" w:eastAsia="宋体" w:cs="Times New Roman"/>
                      <w:b/>
                      <w:bCs/>
                      <w:i w:val="0"/>
                      <w:iCs w:val="0"/>
                      <w:color w:val="000000"/>
                      <w:kern w:val="0"/>
                      <w:sz w:val="21"/>
                      <w:szCs w:val="21"/>
                      <w:highlight w:val="none"/>
                      <w:u w:val="none"/>
                      <w:lang w:val="en-US" w:eastAsia="zh-CN" w:bidi="ar"/>
                    </w:rPr>
                    <w:t>0.004</w:t>
                  </w:r>
                </w:p>
              </w:tc>
            </w:tr>
            <w:tr w14:paraId="33E9370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40" w:hRule="atLeast"/>
              </w:trPr>
              <w:tc>
                <w:tcPr>
                  <w:tcW w:w="470" w:type="pct"/>
                  <w:vMerge w:val="continue"/>
                  <w:noWrap w:val="0"/>
                  <w:vAlign w:val="center"/>
                </w:tcPr>
                <w:p w14:paraId="17381835">
                  <w:pPr>
                    <w:keepNext w:val="0"/>
                    <w:keepLines w:val="0"/>
                    <w:widowControl/>
                    <w:suppressLineNumbers w:val="0"/>
                    <w:spacing w:before="0" w:beforeAutospacing="0" w:after="0" w:afterAutospacing="0" w:line="280" w:lineRule="exact"/>
                    <w:ind w:left="0" w:right="0"/>
                    <w:jc w:val="center"/>
                    <w:textAlignment w:val="center"/>
                    <w:rPr>
                      <w:rFonts w:hint="default"/>
                      <w:highlight w:val="none"/>
                    </w:rPr>
                  </w:pPr>
                </w:p>
              </w:tc>
              <w:tc>
                <w:tcPr>
                  <w:tcW w:w="1176" w:type="pct"/>
                  <w:gridSpan w:val="2"/>
                  <w:vMerge w:val="continue"/>
                  <w:noWrap w:val="0"/>
                  <w:vAlign w:val="center"/>
                </w:tcPr>
                <w:p w14:paraId="3BBD3B69">
                  <w:pPr>
                    <w:keepNext w:val="0"/>
                    <w:keepLines w:val="0"/>
                    <w:widowControl/>
                    <w:suppressLineNumbers w:val="0"/>
                    <w:spacing w:before="0" w:beforeAutospacing="0" w:after="0" w:afterAutospacing="0" w:line="280" w:lineRule="exact"/>
                    <w:ind w:left="0" w:right="0"/>
                    <w:jc w:val="center"/>
                    <w:textAlignment w:val="center"/>
                    <w:rPr>
                      <w:rFonts w:hint="default"/>
                      <w:highlight w:val="none"/>
                    </w:rPr>
                  </w:pPr>
                </w:p>
              </w:tc>
              <w:tc>
                <w:tcPr>
                  <w:tcW w:w="651" w:type="pct"/>
                  <w:shd w:val="clear" w:color="auto" w:fill="auto"/>
                  <w:noWrap w:val="0"/>
                  <w:vAlign w:val="center"/>
                </w:tcPr>
                <w:p w14:paraId="77DD00F8">
                  <w:pPr>
                    <w:keepNext w:val="0"/>
                    <w:keepLines w:val="0"/>
                    <w:widowControl/>
                    <w:suppressLineNumbers w:val="0"/>
                    <w:spacing w:before="0" w:beforeAutospacing="0" w:after="0" w:afterAutospacing="0" w:line="280" w:lineRule="exact"/>
                    <w:ind w:left="0" w:leftChars="0" w:right="0" w:rightChars="0"/>
                    <w:jc w:val="center"/>
                    <w:textAlignment w:val="center"/>
                    <w:rPr>
                      <w:rFonts w:hint="eastAsia" w:ascii="Times New Roman" w:hAnsi="Times New Roman" w:eastAsia="宋体" w:cs="Times New Roman"/>
                      <w:b/>
                      <w:bCs/>
                      <w:kern w:val="2"/>
                      <w:sz w:val="21"/>
                      <w:szCs w:val="21"/>
                      <w:highlight w:val="none"/>
                      <w:lang w:val="en-US" w:eastAsia="zh-CN" w:bidi="ar"/>
                    </w:rPr>
                  </w:pPr>
                  <w:r>
                    <w:rPr>
                      <w:rFonts w:hint="eastAsia" w:cs="Times New Roman"/>
                      <w:b/>
                      <w:bCs/>
                      <w:sz w:val="21"/>
                      <w:szCs w:val="21"/>
                      <w:highlight w:val="none"/>
                      <w:lang w:val="en-US" w:eastAsia="zh-CN" w:bidi="ar"/>
                    </w:rPr>
                    <w:t>颗粒物</w:t>
                  </w:r>
                </w:p>
              </w:tc>
              <w:tc>
                <w:tcPr>
                  <w:tcW w:w="1348" w:type="pct"/>
                  <w:gridSpan w:val="2"/>
                  <w:shd w:val="clear" w:color="auto" w:fill="auto"/>
                  <w:noWrap w:val="0"/>
                  <w:vAlign w:val="center"/>
                </w:tcPr>
                <w:p w14:paraId="5A94E03C">
                  <w:pPr>
                    <w:keepNext w:val="0"/>
                    <w:keepLines w:val="0"/>
                    <w:widowControl/>
                    <w:suppressLineNumbers w:val="0"/>
                    <w:spacing w:before="0" w:beforeAutospacing="0" w:after="0" w:afterAutospacing="0"/>
                    <w:ind w:left="0" w:leftChars="0" w:right="0" w:rightChars="0"/>
                    <w:jc w:val="center"/>
                    <w:textAlignment w:val="center"/>
                    <w:rPr>
                      <w:rFonts w:hint="eastAsia" w:ascii="Times New Roman" w:hAnsi="Times New Roman" w:eastAsia="宋体" w:cs="Times New Roman"/>
                      <w:b/>
                      <w:bCs/>
                      <w:i w:val="0"/>
                      <w:iCs w:val="0"/>
                      <w:color w:val="000000"/>
                      <w:kern w:val="0"/>
                      <w:sz w:val="21"/>
                      <w:szCs w:val="21"/>
                      <w:highlight w:val="none"/>
                      <w:u w:val="none"/>
                      <w:lang w:val="en-US" w:eastAsia="zh-CN" w:bidi="ar"/>
                    </w:rPr>
                  </w:pPr>
                  <w:r>
                    <w:rPr>
                      <w:rFonts w:hint="eastAsia" w:cs="Times New Roman"/>
                      <w:b/>
                      <w:bCs/>
                      <w:i w:val="0"/>
                      <w:iCs w:val="0"/>
                      <w:color w:val="000000"/>
                      <w:kern w:val="0"/>
                      <w:sz w:val="21"/>
                      <w:szCs w:val="21"/>
                      <w:highlight w:val="none"/>
                      <w:u w:val="none"/>
                      <w:lang w:val="en-US" w:eastAsia="zh-CN" w:bidi="ar"/>
                    </w:rPr>
                    <w:t>少量</w:t>
                  </w:r>
                </w:p>
              </w:tc>
              <w:tc>
                <w:tcPr>
                  <w:tcW w:w="1354" w:type="pct"/>
                  <w:gridSpan w:val="2"/>
                  <w:shd w:val="clear" w:color="auto" w:fill="auto"/>
                  <w:noWrap w:val="0"/>
                  <w:vAlign w:val="center"/>
                </w:tcPr>
                <w:p w14:paraId="258C2453">
                  <w:pPr>
                    <w:keepNext w:val="0"/>
                    <w:keepLines w:val="0"/>
                    <w:widowControl/>
                    <w:suppressLineNumbers w:val="0"/>
                    <w:spacing w:before="0" w:beforeAutospacing="0" w:after="0" w:afterAutospacing="0"/>
                    <w:ind w:left="0" w:leftChars="0" w:right="0" w:rightChars="0"/>
                    <w:jc w:val="center"/>
                    <w:textAlignment w:val="center"/>
                    <w:rPr>
                      <w:rFonts w:hint="eastAsia" w:ascii="Times New Roman" w:hAnsi="Times New Roman" w:eastAsia="宋体" w:cs="Times New Roman"/>
                      <w:b/>
                      <w:bCs/>
                      <w:i w:val="0"/>
                      <w:iCs w:val="0"/>
                      <w:color w:val="000000"/>
                      <w:kern w:val="0"/>
                      <w:sz w:val="21"/>
                      <w:szCs w:val="21"/>
                      <w:highlight w:val="none"/>
                      <w:u w:val="none"/>
                      <w:lang w:val="en-US" w:eastAsia="zh-CN" w:bidi="ar"/>
                    </w:rPr>
                  </w:pPr>
                  <w:r>
                    <w:rPr>
                      <w:rFonts w:hint="eastAsia" w:cs="Times New Roman"/>
                      <w:b/>
                      <w:bCs/>
                      <w:i w:val="0"/>
                      <w:iCs w:val="0"/>
                      <w:color w:val="000000"/>
                      <w:kern w:val="0"/>
                      <w:sz w:val="21"/>
                      <w:szCs w:val="21"/>
                      <w:highlight w:val="none"/>
                      <w:u w:val="none"/>
                      <w:lang w:val="en-US" w:eastAsia="zh-CN" w:bidi="ar"/>
                    </w:rPr>
                    <w:t>少量</w:t>
                  </w:r>
                </w:p>
              </w:tc>
            </w:tr>
          </w:tbl>
          <w:p w14:paraId="57A30438">
            <w:pPr>
              <w:pStyle w:val="122"/>
              <w:keepNext w:val="0"/>
              <w:keepLines w:val="0"/>
              <w:suppressLineNumbers w:val="0"/>
              <w:spacing w:before="0" w:beforeAutospacing="0" w:after="0" w:afterAutospacing="0"/>
              <w:ind w:left="0" w:right="0"/>
              <w:rPr>
                <w:rFonts w:hint="default" w:eastAsia="宋体"/>
                <w:b/>
                <w:bCs w:val="0"/>
                <w:sz w:val="21"/>
                <w:szCs w:val="21"/>
                <w:highlight w:val="none"/>
                <w:lang w:val="en-US" w:eastAsia="zh-CN"/>
              </w:rPr>
            </w:pPr>
            <w:r>
              <w:rPr>
                <w:rFonts w:hint="eastAsia"/>
                <w:b/>
                <w:bCs w:val="0"/>
                <w:sz w:val="21"/>
                <w:szCs w:val="21"/>
                <w:highlight w:val="none"/>
                <w:lang w:val="en-US" w:eastAsia="zh-CN"/>
              </w:rPr>
              <w:t>注：动物饲养过程中产生的细菌以及有害微生物附着于空气中大分子颗粒，本环评以颗粒物计。</w:t>
            </w:r>
          </w:p>
          <w:p w14:paraId="0F3B7A13">
            <w:pPr>
              <w:pStyle w:val="122"/>
              <w:keepNext w:val="0"/>
              <w:keepLines w:val="0"/>
              <w:suppressLineNumbers w:val="0"/>
              <w:spacing w:before="0" w:beforeAutospacing="0" w:after="0" w:afterAutospacing="0"/>
              <w:ind w:left="0" w:right="0"/>
              <w:rPr>
                <w:rFonts w:hint="default"/>
                <w:highlight w:val="none"/>
              </w:rPr>
            </w:pPr>
            <w:r>
              <w:rPr>
                <w:rFonts w:hint="eastAsia"/>
                <w:highlight w:val="none"/>
              </w:rPr>
              <w:t>②消毒</w:t>
            </w:r>
            <w:r>
              <w:rPr>
                <w:rFonts w:hint="default"/>
                <w:highlight w:val="none"/>
              </w:rPr>
              <w:t>废气</w:t>
            </w:r>
          </w:p>
          <w:p w14:paraId="1252B476">
            <w:pPr>
              <w:pStyle w:val="122"/>
              <w:keepNext w:val="0"/>
              <w:keepLines w:val="0"/>
              <w:suppressLineNumbers w:val="0"/>
              <w:spacing w:before="0" w:beforeAutospacing="0" w:after="0" w:afterAutospacing="0"/>
              <w:ind w:left="0" w:right="0"/>
              <w:rPr>
                <w:rFonts w:hint="eastAsia" w:eastAsia="宋体"/>
                <w:highlight w:val="none"/>
                <w:lang w:val="en-US" w:eastAsia="zh-CN"/>
              </w:rPr>
            </w:pPr>
            <w:r>
              <w:rPr>
                <w:rFonts w:hint="eastAsia" w:cs="宋体"/>
                <w:sz w:val="24"/>
                <w:highlight w:val="none"/>
              </w:rPr>
              <w:t>项目动物饲养、活体实验过程中，需对实验器材</w:t>
            </w:r>
            <w:r>
              <w:rPr>
                <w:rFonts w:hint="eastAsia" w:cs="宋体"/>
                <w:sz w:val="24"/>
                <w:highlight w:val="none"/>
                <w:lang w:eastAsia="zh-CN"/>
              </w:rPr>
              <w:t>、</w:t>
            </w:r>
            <w:r>
              <w:rPr>
                <w:rFonts w:hint="eastAsia" w:cs="宋体"/>
                <w:sz w:val="24"/>
                <w:highlight w:val="none"/>
                <w:lang w:val="en-US" w:eastAsia="zh-CN"/>
              </w:rPr>
              <w:t>手术室等</w:t>
            </w:r>
            <w:r>
              <w:rPr>
                <w:rFonts w:hint="eastAsia" w:cs="宋体"/>
                <w:sz w:val="24"/>
                <w:highlight w:val="none"/>
              </w:rPr>
              <w:t>进行消毒，消毒方式主要采用</w:t>
            </w:r>
            <w:r>
              <w:rPr>
                <w:rFonts w:hint="eastAsia" w:cs="宋体"/>
                <w:sz w:val="24"/>
                <w:highlight w:val="none"/>
                <w:lang w:val="en-US" w:eastAsia="zh-CN"/>
              </w:rPr>
              <w:t>消毒液</w:t>
            </w:r>
            <w:r>
              <w:rPr>
                <w:rFonts w:hint="eastAsia"/>
                <w:sz w:val="24"/>
                <w:szCs w:val="24"/>
                <w:highlight w:val="none"/>
                <w:lang w:eastAsia="zh-CN"/>
              </w:rPr>
              <w:t>（</w:t>
            </w:r>
            <w:r>
              <w:rPr>
                <w:rFonts w:hint="eastAsia"/>
                <w:sz w:val="24"/>
                <w:szCs w:val="24"/>
                <w:highlight w:val="none"/>
                <w:lang w:val="en-US" w:eastAsia="zh-CN"/>
              </w:rPr>
              <w:t>75%乙醇或10%次氯酸钠</w:t>
            </w:r>
            <w:r>
              <w:rPr>
                <w:rFonts w:hint="eastAsia"/>
                <w:sz w:val="24"/>
                <w:szCs w:val="24"/>
                <w:highlight w:val="none"/>
                <w:lang w:eastAsia="zh-CN"/>
              </w:rPr>
              <w:t>）</w:t>
            </w:r>
            <w:r>
              <w:rPr>
                <w:rFonts w:hint="eastAsia" w:cs="宋体"/>
                <w:sz w:val="24"/>
                <w:highlight w:val="none"/>
              </w:rPr>
              <w:t>擦拭或喷洒消毒</w:t>
            </w:r>
            <w:r>
              <w:rPr>
                <w:rFonts w:hint="eastAsia"/>
                <w:highlight w:val="none"/>
              </w:rPr>
              <w:t>。根据</w:t>
            </w:r>
            <w:r>
              <w:rPr>
                <w:rFonts w:hint="eastAsia"/>
                <w:highlight w:val="none"/>
                <w:lang w:val="en-US" w:eastAsia="zh-CN"/>
              </w:rPr>
              <w:t>建设单位</w:t>
            </w:r>
            <w:r>
              <w:rPr>
                <w:rFonts w:hint="default"/>
                <w:highlight w:val="none"/>
              </w:rPr>
              <w:t>提供的信息，</w:t>
            </w:r>
            <w:r>
              <w:rPr>
                <w:rFonts w:hint="eastAsia" w:cs="宋体"/>
                <w:sz w:val="24"/>
                <w:highlight w:val="none"/>
              </w:rPr>
              <w:t>项目75%乙醇使用量为0.</w:t>
            </w:r>
            <w:r>
              <w:rPr>
                <w:rFonts w:hint="eastAsia" w:cs="宋体"/>
                <w:sz w:val="24"/>
                <w:highlight w:val="none"/>
                <w:lang w:val="en-US" w:eastAsia="zh-CN"/>
              </w:rPr>
              <w:t>17</w:t>
            </w:r>
            <w:r>
              <w:rPr>
                <w:rFonts w:hint="eastAsia" w:cs="宋体"/>
                <w:sz w:val="24"/>
                <w:highlight w:val="none"/>
              </w:rPr>
              <w:t>t/a</w:t>
            </w:r>
            <w:r>
              <w:rPr>
                <w:rFonts w:hint="eastAsia" w:cs="宋体"/>
                <w:sz w:val="24"/>
                <w:highlight w:val="none"/>
                <w:lang w:eastAsia="zh-CN"/>
              </w:rPr>
              <w:t>，</w:t>
            </w:r>
            <w:r>
              <w:rPr>
                <w:rFonts w:hint="eastAsia" w:cs="宋体"/>
                <w:sz w:val="24"/>
                <w:highlight w:val="none"/>
                <w:lang w:val="en-US" w:eastAsia="zh-CN"/>
              </w:rPr>
              <w:t>考虑最不利情况，</w:t>
            </w:r>
            <w:r>
              <w:rPr>
                <w:rFonts w:hint="eastAsia" w:cs="宋体"/>
                <w:sz w:val="24"/>
                <w:highlight w:val="none"/>
              </w:rPr>
              <w:t>75%乙醇</w:t>
            </w:r>
            <w:r>
              <w:rPr>
                <w:rFonts w:hint="eastAsia" w:cs="宋体"/>
                <w:sz w:val="24"/>
                <w:highlight w:val="none"/>
                <w:lang w:val="en-US" w:eastAsia="zh-CN"/>
              </w:rPr>
              <w:t>全部挥发，则非甲烷总烃产生量为0.128</w:t>
            </w:r>
            <w:r>
              <w:rPr>
                <w:rFonts w:hint="eastAsia" w:cs="宋体"/>
                <w:sz w:val="24"/>
                <w:highlight w:val="none"/>
              </w:rPr>
              <w:t>t/a</w:t>
            </w:r>
            <w:r>
              <w:rPr>
                <w:rFonts w:hint="eastAsia" w:cs="宋体"/>
                <w:sz w:val="24"/>
                <w:highlight w:val="none"/>
                <w:lang w:eastAsia="zh-CN"/>
              </w:rPr>
              <w:t>；</w:t>
            </w:r>
            <w:r>
              <w:rPr>
                <w:rFonts w:hint="eastAsia" w:cs="宋体"/>
                <w:sz w:val="24"/>
                <w:highlight w:val="none"/>
                <w:lang w:val="en-US" w:eastAsia="zh-CN"/>
              </w:rPr>
              <w:t>因</w:t>
            </w:r>
            <w:r>
              <w:rPr>
                <w:rFonts w:hint="eastAsia"/>
                <w:sz w:val="24"/>
                <w:szCs w:val="24"/>
                <w:highlight w:val="none"/>
                <w:lang w:val="en-US" w:eastAsia="zh-CN"/>
              </w:rPr>
              <w:t>10%次氯酸钠溶液使用量仅为0.1t/a，同时由于氯气产生比例较低及产生情况极不稳定，故本项目消毒氯气不定量分析</w:t>
            </w:r>
            <w:r>
              <w:rPr>
                <w:rFonts w:hint="eastAsia" w:cs="宋体"/>
                <w:sz w:val="24"/>
                <w:highlight w:val="none"/>
                <w:lang w:eastAsia="zh-CN"/>
              </w:rPr>
              <w:t>。</w:t>
            </w:r>
          </w:p>
          <w:p w14:paraId="27DF9CFC">
            <w:pPr>
              <w:pStyle w:val="122"/>
              <w:keepNext w:val="0"/>
              <w:keepLines w:val="0"/>
              <w:suppressLineNumbers w:val="0"/>
              <w:spacing w:before="0" w:beforeAutospacing="0" w:after="0" w:afterAutospacing="0"/>
              <w:ind w:left="0" w:right="0"/>
              <w:rPr>
                <w:rFonts w:hint="default"/>
                <w:highlight w:val="none"/>
              </w:rPr>
            </w:pPr>
            <w:r>
              <w:rPr>
                <w:rFonts w:hint="eastAsia" w:cs="宋体"/>
                <w:sz w:val="24"/>
                <w:highlight w:val="none"/>
              </w:rPr>
              <w:t>乙醇（75%）</w:t>
            </w:r>
            <w:r>
              <w:rPr>
                <w:rFonts w:hint="eastAsia" w:cs="宋体"/>
                <w:sz w:val="24"/>
                <w:highlight w:val="none"/>
                <w:lang w:val="en-US" w:eastAsia="zh-CN"/>
              </w:rPr>
              <w:t>和</w:t>
            </w:r>
            <w:r>
              <w:rPr>
                <w:rFonts w:hint="eastAsia"/>
                <w:sz w:val="24"/>
                <w:szCs w:val="24"/>
                <w:highlight w:val="none"/>
                <w:lang w:val="en-US" w:eastAsia="zh-CN"/>
              </w:rPr>
              <w:t>次氯酸钠（10%）</w:t>
            </w:r>
            <w:r>
              <w:rPr>
                <w:rFonts w:hint="default"/>
                <w:highlight w:val="none"/>
              </w:rPr>
              <w:t>用量与</w:t>
            </w:r>
            <w:r>
              <w:rPr>
                <w:rFonts w:hint="eastAsia"/>
                <w:highlight w:val="none"/>
              </w:rPr>
              <w:t>使用</w:t>
            </w:r>
            <w:r>
              <w:rPr>
                <w:rFonts w:hint="default"/>
                <w:highlight w:val="none"/>
              </w:rPr>
              <w:t>区域面积成</w:t>
            </w:r>
            <w:r>
              <w:rPr>
                <w:rFonts w:hint="eastAsia"/>
                <w:highlight w:val="none"/>
              </w:rPr>
              <w:t>正比</w:t>
            </w:r>
            <w:r>
              <w:rPr>
                <w:rFonts w:hint="default"/>
                <w:highlight w:val="none"/>
              </w:rPr>
              <w:t>，结合</w:t>
            </w:r>
            <w:r>
              <w:rPr>
                <w:rFonts w:hint="eastAsia"/>
                <w:highlight w:val="none"/>
                <w:lang w:val="en-US" w:eastAsia="zh-CN"/>
              </w:rPr>
              <w:t>各层</w:t>
            </w:r>
            <w:r>
              <w:rPr>
                <w:rFonts w:hint="default"/>
                <w:highlight w:val="none"/>
              </w:rPr>
              <w:t>实验室和解剖室</w:t>
            </w:r>
            <w:r>
              <w:rPr>
                <w:rFonts w:hint="eastAsia"/>
                <w:highlight w:val="none"/>
                <w:lang w:val="en-US" w:eastAsia="zh-CN"/>
              </w:rPr>
              <w:t>等</w:t>
            </w:r>
            <w:r>
              <w:rPr>
                <w:rFonts w:hint="default"/>
                <w:highlight w:val="none"/>
              </w:rPr>
              <w:t>区域面积，各节点</w:t>
            </w:r>
            <w:r>
              <w:rPr>
                <w:rFonts w:hint="eastAsia" w:cs="宋体"/>
                <w:sz w:val="24"/>
                <w:highlight w:val="none"/>
              </w:rPr>
              <w:t>乙醇（75%）</w:t>
            </w:r>
            <w:r>
              <w:rPr>
                <w:rFonts w:hint="eastAsia" w:cs="宋体"/>
                <w:sz w:val="24"/>
                <w:highlight w:val="none"/>
                <w:lang w:val="en-US" w:eastAsia="zh-CN"/>
              </w:rPr>
              <w:t>和</w:t>
            </w:r>
            <w:r>
              <w:rPr>
                <w:rFonts w:hint="eastAsia"/>
                <w:sz w:val="24"/>
                <w:szCs w:val="24"/>
                <w:highlight w:val="none"/>
                <w:lang w:val="en-US" w:eastAsia="zh-CN"/>
              </w:rPr>
              <w:t>次氯酸钠（10%）</w:t>
            </w:r>
            <w:r>
              <w:rPr>
                <w:rFonts w:hint="eastAsia"/>
                <w:highlight w:val="none"/>
              </w:rPr>
              <w:t>使用</w:t>
            </w:r>
            <w:r>
              <w:rPr>
                <w:rFonts w:hint="default"/>
                <w:highlight w:val="none"/>
              </w:rPr>
              <w:t>情况</w:t>
            </w:r>
            <w:r>
              <w:rPr>
                <w:rFonts w:hint="eastAsia"/>
                <w:highlight w:val="none"/>
              </w:rPr>
              <w:t>见</w:t>
            </w:r>
            <w:r>
              <w:rPr>
                <w:rFonts w:hint="default"/>
                <w:highlight w:val="none"/>
              </w:rPr>
              <w:t>表</w:t>
            </w:r>
            <w:r>
              <w:rPr>
                <w:rFonts w:hint="eastAsia"/>
                <w:highlight w:val="none"/>
                <w:lang w:val="en-US" w:eastAsia="zh-CN"/>
              </w:rPr>
              <w:t>7</w:t>
            </w:r>
            <w:r>
              <w:rPr>
                <w:rFonts w:hint="eastAsia"/>
                <w:highlight w:val="none"/>
              </w:rPr>
              <w:t>-</w:t>
            </w:r>
            <w:r>
              <w:rPr>
                <w:rFonts w:hint="eastAsia"/>
                <w:highlight w:val="none"/>
                <w:lang w:val="en-US" w:eastAsia="zh-CN"/>
              </w:rPr>
              <w:t>14</w:t>
            </w:r>
            <w:r>
              <w:rPr>
                <w:rFonts w:hint="eastAsia"/>
                <w:highlight w:val="none"/>
              </w:rPr>
              <w:t>。</w:t>
            </w:r>
          </w:p>
          <w:p w14:paraId="2DBBA167">
            <w:pPr>
              <w:pStyle w:val="128"/>
              <w:keepNext w:val="0"/>
              <w:keepLines w:val="0"/>
              <w:pageBreakBefore w:val="0"/>
              <w:widowControl w:val="0"/>
              <w:suppressLineNumbers w:val="0"/>
              <w:kinsoku/>
              <w:wordWrap/>
              <w:overflowPunct/>
              <w:topLinePunct w:val="0"/>
              <w:autoSpaceDE/>
              <w:autoSpaceDN/>
              <w:bidi w:val="0"/>
              <w:adjustRightInd w:val="0"/>
              <w:snapToGrid w:val="0"/>
              <w:spacing w:before="0" w:beforeLines="0" w:beforeAutospacing="0" w:after="0" w:afterAutospacing="0" w:line="360" w:lineRule="auto"/>
              <w:ind w:left="0" w:right="0"/>
              <w:textAlignment w:val="auto"/>
              <w:rPr>
                <w:rFonts w:hint="eastAsia"/>
                <w:color w:val="auto"/>
                <w:highlight w:val="none"/>
              </w:rPr>
            </w:pPr>
          </w:p>
          <w:p w14:paraId="2993896D">
            <w:pPr>
              <w:pStyle w:val="128"/>
              <w:keepNext w:val="0"/>
              <w:keepLines w:val="0"/>
              <w:pageBreakBefore w:val="0"/>
              <w:widowControl w:val="0"/>
              <w:suppressLineNumbers w:val="0"/>
              <w:kinsoku/>
              <w:wordWrap/>
              <w:overflowPunct/>
              <w:topLinePunct w:val="0"/>
              <w:autoSpaceDE/>
              <w:autoSpaceDN/>
              <w:bidi w:val="0"/>
              <w:adjustRightInd w:val="0"/>
              <w:snapToGrid w:val="0"/>
              <w:spacing w:before="0" w:beforeLines="0" w:beforeAutospacing="0" w:after="0" w:afterAutospacing="0" w:line="360" w:lineRule="auto"/>
              <w:ind w:left="0" w:right="0"/>
              <w:textAlignment w:val="auto"/>
              <w:rPr>
                <w:rFonts w:hint="eastAsia"/>
                <w:color w:val="auto"/>
                <w:highlight w:val="none"/>
              </w:rPr>
            </w:pPr>
          </w:p>
          <w:p w14:paraId="7A60BA16">
            <w:pPr>
              <w:pStyle w:val="128"/>
              <w:keepNext w:val="0"/>
              <w:keepLines w:val="0"/>
              <w:pageBreakBefore w:val="0"/>
              <w:widowControl w:val="0"/>
              <w:suppressLineNumbers w:val="0"/>
              <w:kinsoku/>
              <w:wordWrap/>
              <w:overflowPunct/>
              <w:topLinePunct w:val="0"/>
              <w:autoSpaceDE/>
              <w:autoSpaceDN/>
              <w:bidi w:val="0"/>
              <w:adjustRightInd w:val="0"/>
              <w:snapToGrid w:val="0"/>
              <w:spacing w:before="0" w:beforeLines="0" w:beforeAutospacing="0" w:after="0" w:afterAutospacing="0" w:line="360" w:lineRule="auto"/>
              <w:ind w:left="0" w:right="0"/>
              <w:textAlignment w:val="auto"/>
              <w:rPr>
                <w:rFonts w:hint="default"/>
                <w:color w:val="auto"/>
                <w:highlight w:val="none"/>
              </w:rPr>
            </w:pPr>
            <w:r>
              <w:rPr>
                <w:rFonts w:hint="eastAsia"/>
                <w:color w:val="auto"/>
                <w:highlight w:val="none"/>
              </w:rPr>
              <w:t>表</w:t>
            </w:r>
            <w:r>
              <w:rPr>
                <w:rFonts w:hint="eastAsia"/>
                <w:color w:val="auto"/>
                <w:highlight w:val="none"/>
                <w:lang w:val="en-US" w:eastAsia="zh-CN"/>
              </w:rPr>
              <w:t>7</w:t>
            </w:r>
            <w:r>
              <w:rPr>
                <w:rFonts w:hint="eastAsia"/>
                <w:color w:val="auto"/>
                <w:highlight w:val="none"/>
              </w:rPr>
              <w:t>-</w:t>
            </w:r>
            <w:r>
              <w:rPr>
                <w:rFonts w:hint="eastAsia"/>
                <w:color w:val="auto"/>
                <w:highlight w:val="none"/>
                <w:lang w:val="en-US" w:eastAsia="zh-CN"/>
              </w:rPr>
              <w:t>14</w:t>
            </w:r>
            <w:r>
              <w:rPr>
                <w:rFonts w:hint="eastAsia"/>
                <w:color w:val="auto"/>
                <w:highlight w:val="none"/>
              </w:rPr>
              <w:t xml:space="preserve"> 消毒</w:t>
            </w:r>
            <w:r>
              <w:rPr>
                <w:rFonts w:hint="default"/>
                <w:color w:val="auto"/>
                <w:highlight w:val="none"/>
              </w:rPr>
              <w:t>区域乙醇</w:t>
            </w:r>
            <w:r>
              <w:rPr>
                <w:rFonts w:hint="eastAsia"/>
                <w:color w:val="auto"/>
                <w:highlight w:val="none"/>
                <w:lang w:eastAsia="zh-CN"/>
              </w:rPr>
              <w:t>、</w:t>
            </w:r>
            <w:r>
              <w:rPr>
                <w:rFonts w:hint="eastAsia"/>
                <w:color w:val="auto"/>
                <w:highlight w:val="none"/>
                <w:lang w:val="en-US" w:eastAsia="zh-CN"/>
              </w:rPr>
              <w:t>含氯消毒液</w:t>
            </w:r>
            <w:r>
              <w:rPr>
                <w:rFonts w:hint="default"/>
                <w:color w:val="auto"/>
                <w:highlight w:val="none"/>
              </w:rPr>
              <w:t>使用情况</w:t>
            </w:r>
          </w:p>
          <w:tbl>
            <w:tblPr>
              <w:tblStyle w:val="32"/>
              <w:tblW w:w="5000" w:type="pct"/>
              <w:tblInd w:w="-5"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
            <w:tblGrid>
              <w:gridCol w:w="3053"/>
              <w:gridCol w:w="1124"/>
              <w:gridCol w:w="979"/>
              <w:gridCol w:w="1140"/>
              <w:gridCol w:w="1030"/>
              <w:gridCol w:w="860"/>
            </w:tblGrid>
            <w:tr w14:paraId="34EF60B7">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90" w:hRule="atLeast"/>
              </w:trPr>
              <w:tc>
                <w:tcPr>
                  <w:tcW w:w="1864" w:type="pct"/>
                  <w:tcBorders>
                    <w:tl2br w:val="nil"/>
                    <w:tr2bl w:val="nil"/>
                  </w:tcBorders>
                  <w:noWrap/>
                  <w:vAlign w:val="center"/>
                </w:tcPr>
                <w:p w14:paraId="0BFB0944">
                  <w:pPr>
                    <w:pStyle w:val="129"/>
                    <w:keepNext w:val="0"/>
                    <w:keepLines w:val="0"/>
                    <w:suppressLineNumbers w:val="0"/>
                    <w:spacing w:before="0" w:beforeAutospacing="0" w:after="0" w:afterAutospacing="0"/>
                    <w:ind w:left="0" w:right="0"/>
                    <w:rPr>
                      <w:rFonts w:hint="default"/>
                      <w:b/>
                      <w:color w:val="auto"/>
                      <w:sz w:val="21"/>
                      <w:szCs w:val="21"/>
                      <w:highlight w:val="none"/>
                    </w:rPr>
                  </w:pPr>
                  <w:r>
                    <w:rPr>
                      <w:rFonts w:hint="default"/>
                      <w:b/>
                      <w:color w:val="auto"/>
                      <w:sz w:val="21"/>
                      <w:szCs w:val="21"/>
                      <w:highlight w:val="none"/>
                    </w:rPr>
                    <w:t>废气收集区域</w:t>
                  </w:r>
                </w:p>
              </w:tc>
              <w:tc>
                <w:tcPr>
                  <w:tcW w:w="686" w:type="pct"/>
                  <w:tcBorders>
                    <w:tl2br w:val="nil"/>
                    <w:tr2bl w:val="nil"/>
                  </w:tcBorders>
                  <w:noWrap/>
                  <w:vAlign w:val="center"/>
                </w:tcPr>
                <w:p w14:paraId="2F920F45">
                  <w:pPr>
                    <w:pStyle w:val="129"/>
                    <w:keepNext w:val="0"/>
                    <w:keepLines w:val="0"/>
                    <w:suppressLineNumbers w:val="0"/>
                    <w:spacing w:before="0" w:beforeAutospacing="0" w:after="0" w:afterAutospacing="0"/>
                    <w:ind w:left="0" w:right="0"/>
                    <w:rPr>
                      <w:rFonts w:hint="default"/>
                      <w:b/>
                      <w:color w:val="auto"/>
                      <w:sz w:val="21"/>
                      <w:szCs w:val="21"/>
                      <w:highlight w:val="none"/>
                    </w:rPr>
                  </w:pPr>
                  <w:r>
                    <w:rPr>
                      <w:rFonts w:hint="eastAsia"/>
                      <w:b/>
                      <w:color w:val="auto"/>
                      <w:sz w:val="21"/>
                      <w:szCs w:val="21"/>
                      <w:highlight w:val="none"/>
                      <w:lang w:val="en-US" w:eastAsia="zh-CN"/>
                    </w:rPr>
                    <w:t>使用区域面积</w:t>
                  </w:r>
                  <w:r>
                    <w:rPr>
                      <w:rFonts w:hint="default"/>
                      <w:b/>
                      <w:color w:val="auto"/>
                      <w:sz w:val="21"/>
                      <w:szCs w:val="21"/>
                      <w:highlight w:val="none"/>
                    </w:rPr>
                    <w:t>（m</w:t>
                  </w:r>
                  <w:r>
                    <w:rPr>
                      <w:rFonts w:hint="default"/>
                      <w:b/>
                      <w:color w:val="auto"/>
                      <w:sz w:val="21"/>
                      <w:szCs w:val="21"/>
                      <w:highlight w:val="none"/>
                      <w:vertAlign w:val="superscript"/>
                    </w:rPr>
                    <w:t>2</w:t>
                  </w:r>
                  <w:r>
                    <w:rPr>
                      <w:rFonts w:hint="default"/>
                      <w:b/>
                      <w:color w:val="auto"/>
                      <w:sz w:val="21"/>
                      <w:szCs w:val="21"/>
                      <w:highlight w:val="none"/>
                    </w:rPr>
                    <w:t>）</w:t>
                  </w:r>
                </w:p>
              </w:tc>
              <w:tc>
                <w:tcPr>
                  <w:tcW w:w="598" w:type="pct"/>
                  <w:tcBorders>
                    <w:tl2br w:val="nil"/>
                    <w:tr2bl w:val="nil"/>
                  </w:tcBorders>
                  <w:vAlign w:val="center"/>
                </w:tcPr>
                <w:p w14:paraId="0F7C9FFA">
                  <w:pPr>
                    <w:pStyle w:val="129"/>
                    <w:keepNext w:val="0"/>
                    <w:keepLines w:val="0"/>
                    <w:suppressLineNumbers w:val="0"/>
                    <w:spacing w:before="0" w:beforeAutospacing="0" w:after="0" w:afterAutospacing="0"/>
                    <w:ind w:left="0" w:right="0"/>
                    <w:rPr>
                      <w:rFonts w:hint="default"/>
                      <w:b/>
                      <w:color w:val="auto"/>
                      <w:sz w:val="21"/>
                      <w:szCs w:val="21"/>
                      <w:highlight w:val="none"/>
                    </w:rPr>
                  </w:pPr>
                  <w:r>
                    <w:rPr>
                      <w:rFonts w:hint="default"/>
                      <w:b/>
                      <w:color w:val="auto"/>
                      <w:sz w:val="21"/>
                      <w:szCs w:val="21"/>
                      <w:highlight w:val="none"/>
                    </w:rPr>
                    <w:t>乙醇用量</w:t>
                  </w:r>
                </w:p>
                <w:p w14:paraId="5A673602">
                  <w:pPr>
                    <w:pStyle w:val="129"/>
                    <w:keepNext w:val="0"/>
                    <w:keepLines w:val="0"/>
                    <w:suppressLineNumbers w:val="0"/>
                    <w:spacing w:before="0" w:beforeAutospacing="0" w:after="0" w:afterAutospacing="0"/>
                    <w:ind w:left="0" w:right="0"/>
                    <w:rPr>
                      <w:rFonts w:hint="default"/>
                      <w:b/>
                      <w:color w:val="auto"/>
                      <w:sz w:val="21"/>
                      <w:szCs w:val="21"/>
                      <w:highlight w:val="none"/>
                    </w:rPr>
                  </w:pPr>
                  <w:r>
                    <w:rPr>
                      <w:rFonts w:hint="default"/>
                      <w:b/>
                      <w:color w:val="auto"/>
                      <w:sz w:val="21"/>
                      <w:szCs w:val="21"/>
                      <w:highlight w:val="none"/>
                    </w:rPr>
                    <w:t>（</w:t>
                  </w:r>
                  <w:r>
                    <w:rPr>
                      <w:rFonts w:hint="eastAsia"/>
                      <w:b/>
                      <w:color w:val="auto"/>
                      <w:sz w:val="21"/>
                      <w:szCs w:val="21"/>
                      <w:highlight w:val="none"/>
                      <w:lang w:val="en-US" w:eastAsia="zh-CN"/>
                    </w:rPr>
                    <w:t>t</w:t>
                  </w:r>
                  <w:r>
                    <w:rPr>
                      <w:rFonts w:hint="default"/>
                      <w:b/>
                      <w:color w:val="auto"/>
                      <w:sz w:val="21"/>
                      <w:szCs w:val="21"/>
                      <w:highlight w:val="none"/>
                    </w:rPr>
                    <w:t>/a）</w:t>
                  </w:r>
                </w:p>
              </w:tc>
              <w:tc>
                <w:tcPr>
                  <w:tcW w:w="696" w:type="pct"/>
                  <w:tcBorders>
                    <w:tl2br w:val="nil"/>
                    <w:tr2bl w:val="nil"/>
                  </w:tcBorders>
                  <w:vAlign w:val="center"/>
                </w:tcPr>
                <w:p w14:paraId="5B640B7E">
                  <w:pPr>
                    <w:pStyle w:val="129"/>
                    <w:keepNext w:val="0"/>
                    <w:keepLines w:val="0"/>
                    <w:suppressLineNumbers w:val="0"/>
                    <w:spacing w:before="0" w:beforeAutospacing="0" w:after="0" w:afterAutospacing="0"/>
                    <w:ind w:left="0" w:right="0"/>
                    <w:rPr>
                      <w:rFonts w:hint="default" w:ascii="Times New Roman" w:hAnsi="Times New Roman" w:eastAsia="宋体" w:cs="Times New Roman"/>
                      <w:b/>
                      <w:color w:val="auto"/>
                      <w:sz w:val="21"/>
                      <w:szCs w:val="21"/>
                      <w:highlight w:val="none"/>
                    </w:rPr>
                  </w:pPr>
                  <w:r>
                    <w:rPr>
                      <w:rFonts w:hint="eastAsia" w:ascii="Times New Roman" w:hAnsi="Times New Roman" w:eastAsia="宋体" w:cs="Times New Roman"/>
                      <w:b/>
                      <w:color w:val="auto"/>
                      <w:sz w:val="21"/>
                      <w:szCs w:val="21"/>
                      <w:highlight w:val="none"/>
                    </w:rPr>
                    <w:t>非甲烷</w:t>
                  </w:r>
                  <w:r>
                    <w:rPr>
                      <w:rFonts w:hint="default" w:ascii="Times New Roman" w:hAnsi="Times New Roman" w:eastAsia="宋体" w:cs="Times New Roman"/>
                      <w:b/>
                      <w:color w:val="auto"/>
                      <w:sz w:val="21"/>
                      <w:szCs w:val="21"/>
                      <w:highlight w:val="none"/>
                    </w:rPr>
                    <w:t>总烃产生量（</w:t>
                  </w:r>
                  <w:r>
                    <w:rPr>
                      <w:rFonts w:hint="eastAsia" w:ascii="Times New Roman" w:hAnsi="Times New Roman" w:eastAsia="宋体" w:cs="Times New Roman"/>
                      <w:b/>
                      <w:color w:val="auto"/>
                      <w:sz w:val="21"/>
                      <w:szCs w:val="21"/>
                      <w:highlight w:val="none"/>
                      <w:lang w:val="en-US" w:eastAsia="zh-CN"/>
                    </w:rPr>
                    <w:t>t</w:t>
                  </w:r>
                  <w:r>
                    <w:rPr>
                      <w:rFonts w:hint="default" w:ascii="Times New Roman" w:hAnsi="Times New Roman" w:eastAsia="宋体" w:cs="Times New Roman"/>
                      <w:b/>
                      <w:color w:val="auto"/>
                      <w:sz w:val="21"/>
                      <w:szCs w:val="21"/>
                      <w:highlight w:val="none"/>
                    </w:rPr>
                    <w:t>/a）</w:t>
                  </w:r>
                </w:p>
              </w:tc>
              <w:tc>
                <w:tcPr>
                  <w:tcW w:w="629" w:type="pct"/>
                  <w:tcBorders>
                    <w:tl2br w:val="nil"/>
                    <w:tr2bl w:val="nil"/>
                  </w:tcBorders>
                  <w:vAlign w:val="center"/>
                </w:tcPr>
                <w:p w14:paraId="1833EC11">
                  <w:pPr>
                    <w:pStyle w:val="129"/>
                    <w:keepNext w:val="0"/>
                    <w:keepLines w:val="0"/>
                    <w:suppressLineNumbers w:val="0"/>
                    <w:spacing w:before="0" w:beforeAutospacing="0" w:after="0" w:afterAutospacing="0"/>
                    <w:ind w:left="0" w:right="0"/>
                    <w:rPr>
                      <w:rFonts w:hint="eastAsia" w:ascii="Times New Roman" w:hAnsi="Times New Roman" w:eastAsia="宋体" w:cs="Times New Roman"/>
                      <w:b/>
                      <w:color w:val="auto"/>
                      <w:sz w:val="21"/>
                      <w:szCs w:val="21"/>
                      <w:highlight w:val="none"/>
                    </w:rPr>
                  </w:pPr>
                  <w:r>
                    <w:rPr>
                      <w:rFonts w:hint="eastAsia" w:ascii="Times New Roman" w:hAnsi="Times New Roman" w:eastAsia="宋体" w:cs="Times New Roman"/>
                      <w:b/>
                      <w:color w:val="auto"/>
                      <w:sz w:val="21"/>
                      <w:szCs w:val="21"/>
                      <w:highlight w:val="none"/>
                      <w:lang w:val="en-US" w:eastAsia="zh-CN"/>
                    </w:rPr>
                    <w:t>次氯酸钠</w:t>
                  </w:r>
                  <w:r>
                    <w:rPr>
                      <w:rFonts w:hint="eastAsia" w:ascii="Times New Roman" w:hAnsi="Times New Roman" w:eastAsia="宋体" w:cs="Times New Roman"/>
                      <w:b/>
                      <w:color w:val="auto"/>
                      <w:sz w:val="21"/>
                      <w:szCs w:val="21"/>
                      <w:highlight w:val="none"/>
                    </w:rPr>
                    <w:t>用量</w:t>
                  </w:r>
                </w:p>
                <w:p w14:paraId="033414D1">
                  <w:pPr>
                    <w:pStyle w:val="129"/>
                    <w:keepNext w:val="0"/>
                    <w:keepLines w:val="0"/>
                    <w:suppressLineNumbers w:val="0"/>
                    <w:spacing w:before="0" w:beforeAutospacing="0" w:after="0" w:afterAutospacing="0"/>
                    <w:ind w:left="0" w:right="0"/>
                    <w:rPr>
                      <w:rFonts w:hint="eastAsia" w:ascii="Times New Roman" w:hAnsi="Times New Roman" w:eastAsia="宋体" w:cs="Times New Roman"/>
                      <w:b/>
                      <w:color w:val="auto"/>
                      <w:sz w:val="21"/>
                      <w:szCs w:val="21"/>
                      <w:highlight w:val="none"/>
                    </w:rPr>
                  </w:pPr>
                  <w:r>
                    <w:rPr>
                      <w:rFonts w:hint="default" w:ascii="Times New Roman" w:hAnsi="Times New Roman" w:eastAsia="宋体" w:cs="Times New Roman"/>
                      <w:b/>
                      <w:color w:val="auto"/>
                      <w:sz w:val="21"/>
                      <w:szCs w:val="21"/>
                      <w:highlight w:val="none"/>
                    </w:rPr>
                    <w:t>（</w:t>
                  </w:r>
                  <w:r>
                    <w:rPr>
                      <w:rFonts w:hint="eastAsia" w:ascii="Times New Roman" w:hAnsi="Times New Roman" w:eastAsia="宋体" w:cs="Times New Roman"/>
                      <w:b/>
                      <w:color w:val="auto"/>
                      <w:sz w:val="21"/>
                      <w:szCs w:val="21"/>
                      <w:highlight w:val="none"/>
                      <w:lang w:val="en-US" w:eastAsia="zh-CN"/>
                    </w:rPr>
                    <w:t>t</w:t>
                  </w:r>
                  <w:r>
                    <w:rPr>
                      <w:rFonts w:hint="default" w:ascii="Times New Roman" w:hAnsi="Times New Roman" w:eastAsia="宋体" w:cs="Times New Roman"/>
                      <w:b/>
                      <w:color w:val="auto"/>
                      <w:sz w:val="21"/>
                      <w:szCs w:val="21"/>
                      <w:highlight w:val="none"/>
                    </w:rPr>
                    <w:t>/a）</w:t>
                  </w:r>
                </w:p>
              </w:tc>
              <w:tc>
                <w:tcPr>
                  <w:tcW w:w="525" w:type="pct"/>
                  <w:tcBorders>
                    <w:tl2br w:val="nil"/>
                    <w:tr2bl w:val="nil"/>
                  </w:tcBorders>
                  <w:vAlign w:val="center"/>
                </w:tcPr>
                <w:p w14:paraId="495AE539">
                  <w:pPr>
                    <w:pStyle w:val="129"/>
                    <w:keepNext w:val="0"/>
                    <w:keepLines w:val="0"/>
                    <w:suppressLineNumbers w:val="0"/>
                    <w:spacing w:before="0" w:beforeAutospacing="0" w:after="0" w:afterAutospacing="0"/>
                    <w:ind w:left="0" w:right="0"/>
                    <w:rPr>
                      <w:rFonts w:hint="eastAsia"/>
                      <w:b/>
                      <w:color w:val="auto"/>
                      <w:sz w:val="21"/>
                      <w:szCs w:val="21"/>
                      <w:highlight w:val="none"/>
                    </w:rPr>
                  </w:pPr>
                  <w:r>
                    <w:rPr>
                      <w:rFonts w:hint="eastAsia" w:ascii="Times New Roman" w:hAnsi="Times New Roman" w:eastAsia="宋体" w:cs="Times New Roman"/>
                      <w:b/>
                      <w:color w:val="auto"/>
                      <w:sz w:val="21"/>
                      <w:szCs w:val="21"/>
                      <w:highlight w:val="none"/>
                      <w:lang w:val="en-US" w:eastAsia="zh-CN"/>
                    </w:rPr>
                    <w:t>氯气</w:t>
                  </w:r>
                  <w:r>
                    <w:rPr>
                      <w:rFonts w:hint="default" w:ascii="Times New Roman" w:hAnsi="Times New Roman" w:eastAsia="宋体" w:cs="Times New Roman"/>
                      <w:b/>
                      <w:color w:val="auto"/>
                      <w:sz w:val="21"/>
                      <w:szCs w:val="21"/>
                      <w:highlight w:val="none"/>
                    </w:rPr>
                    <w:t>产生量（</w:t>
                  </w:r>
                  <w:r>
                    <w:rPr>
                      <w:rFonts w:hint="eastAsia" w:ascii="Times New Roman" w:hAnsi="Times New Roman" w:eastAsia="宋体" w:cs="Times New Roman"/>
                      <w:b/>
                      <w:color w:val="auto"/>
                      <w:sz w:val="21"/>
                      <w:szCs w:val="21"/>
                      <w:highlight w:val="none"/>
                      <w:lang w:val="en-US" w:eastAsia="zh-CN"/>
                    </w:rPr>
                    <w:t>t</w:t>
                  </w:r>
                  <w:r>
                    <w:rPr>
                      <w:rFonts w:hint="default" w:ascii="Times New Roman" w:hAnsi="Times New Roman" w:eastAsia="宋体" w:cs="Times New Roman"/>
                      <w:b/>
                      <w:color w:val="auto"/>
                      <w:sz w:val="21"/>
                      <w:szCs w:val="21"/>
                      <w:highlight w:val="none"/>
                    </w:rPr>
                    <w:t>/a）</w:t>
                  </w:r>
                </w:p>
              </w:tc>
            </w:tr>
            <w:tr w14:paraId="1583BEBD">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288" w:hRule="atLeast"/>
              </w:trPr>
              <w:tc>
                <w:tcPr>
                  <w:tcW w:w="1864" w:type="pct"/>
                  <w:tcBorders>
                    <w:tl2br w:val="nil"/>
                    <w:tr2bl w:val="nil"/>
                  </w:tcBorders>
                  <w:noWrap/>
                  <w:vAlign w:val="center"/>
                </w:tcPr>
                <w:p w14:paraId="277275C6">
                  <w:pPr>
                    <w:pStyle w:val="129"/>
                    <w:keepNext w:val="0"/>
                    <w:keepLines w:val="0"/>
                    <w:suppressLineNumbers w:val="0"/>
                    <w:spacing w:before="0" w:beforeAutospacing="0" w:after="0" w:afterAutospacing="0"/>
                    <w:ind w:left="0" w:right="0"/>
                    <w:rPr>
                      <w:rFonts w:hint="default" w:eastAsia="宋体"/>
                      <w:color w:val="auto"/>
                      <w:sz w:val="21"/>
                      <w:szCs w:val="21"/>
                      <w:highlight w:val="none"/>
                      <w:lang w:val="en-US" w:eastAsia="zh-CN"/>
                    </w:rPr>
                  </w:pPr>
                  <w:r>
                    <w:rPr>
                      <w:rFonts w:hint="eastAsia"/>
                      <w:color w:val="auto"/>
                      <w:sz w:val="21"/>
                      <w:szCs w:val="21"/>
                      <w:highlight w:val="none"/>
                      <w:lang w:val="en-US" w:eastAsia="zh-CN"/>
                    </w:rPr>
                    <w:t>一层复苏室、准备室、手术室等</w:t>
                  </w:r>
                </w:p>
              </w:tc>
              <w:tc>
                <w:tcPr>
                  <w:tcW w:w="686" w:type="pct"/>
                  <w:tcBorders>
                    <w:tl2br w:val="nil"/>
                    <w:tr2bl w:val="nil"/>
                  </w:tcBorders>
                  <w:noWrap/>
                  <w:vAlign w:val="center"/>
                </w:tcPr>
                <w:p w14:paraId="14072F99">
                  <w:pPr>
                    <w:pStyle w:val="129"/>
                    <w:keepNext w:val="0"/>
                    <w:keepLines w:val="0"/>
                    <w:suppressLineNumbers w:val="0"/>
                    <w:spacing w:before="0" w:beforeAutospacing="0" w:after="0" w:afterAutospacing="0"/>
                    <w:ind w:left="0" w:right="0"/>
                    <w:rPr>
                      <w:rFonts w:hint="default" w:eastAsia="宋体"/>
                      <w:color w:val="auto"/>
                      <w:sz w:val="21"/>
                      <w:szCs w:val="21"/>
                      <w:highlight w:val="none"/>
                      <w:lang w:val="en-US" w:eastAsia="zh-CN"/>
                    </w:rPr>
                  </w:pPr>
                  <w:r>
                    <w:rPr>
                      <w:rFonts w:hint="eastAsia"/>
                      <w:color w:val="auto"/>
                      <w:sz w:val="21"/>
                      <w:szCs w:val="21"/>
                      <w:highlight w:val="none"/>
                      <w:lang w:val="en-US" w:eastAsia="zh-CN"/>
                    </w:rPr>
                    <w:t>55</w:t>
                  </w:r>
                </w:p>
              </w:tc>
              <w:tc>
                <w:tcPr>
                  <w:tcW w:w="598" w:type="pct"/>
                  <w:tcBorders>
                    <w:tl2br w:val="nil"/>
                    <w:tr2bl w:val="nil"/>
                  </w:tcBorders>
                  <w:vAlign w:val="center"/>
                </w:tcPr>
                <w:p w14:paraId="392EB592">
                  <w:pPr>
                    <w:pStyle w:val="129"/>
                    <w:keepNext w:val="0"/>
                    <w:keepLines w:val="0"/>
                    <w:suppressLineNumbers w:val="0"/>
                    <w:spacing w:before="0" w:beforeAutospacing="0" w:after="0" w:afterAutospacing="0"/>
                    <w:ind w:left="0" w:right="0"/>
                    <w:rPr>
                      <w:rFonts w:hint="default" w:ascii="Times New Roman" w:hAnsi="Times New Roman" w:eastAsia="宋体" w:cs="Times New Roman"/>
                      <w:color w:val="auto"/>
                      <w:sz w:val="21"/>
                      <w:szCs w:val="21"/>
                      <w:highlight w:val="none"/>
                      <w:lang w:val="en-US" w:eastAsia="zh-CN"/>
                    </w:rPr>
                  </w:pPr>
                  <w:r>
                    <w:rPr>
                      <w:rFonts w:hint="eastAsia" w:ascii="Times New Roman" w:hAnsi="Times New Roman" w:eastAsia="宋体" w:cs="Times New Roman"/>
                      <w:color w:val="auto"/>
                      <w:sz w:val="21"/>
                      <w:szCs w:val="21"/>
                      <w:highlight w:val="none"/>
                      <w:lang w:val="en-US" w:eastAsia="zh-CN"/>
                    </w:rPr>
                    <w:t xml:space="preserve">0.009 </w:t>
                  </w:r>
                </w:p>
              </w:tc>
              <w:tc>
                <w:tcPr>
                  <w:tcW w:w="696" w:type="pct"/>
                  <w:tcBorders>
                    <w:tl2br w:val="nil"/>
                    <w:tr2bl w:val="nil"/>
                  </w:tcBorders>
                  <w:shd w:val="clear" w:color="auto" w:fill="auto"/>
                  <w:vAlign w:val="center"/>
                </w:tcPr>
                <w:p w14:paraId="6E9A1C06">
                  <w:pPr>
                    <w:pStyle w:val="129"/>
                    <w:keepNext w:val="0"/>
                    <w:keepLines w:val="0"/>
                    <w:suppressLineNumbers w:val="0"/>
                    <w:spacing w:before="0" w:beforeAutospacing="0" w:after="0" w:afterAutospacing="0"/>
                    <w:ind w:left="0" w:right="0"/>
                    <w:rPr>
                      <w:rFonts w:hint="default" w:ascii="Times New Roman" w:hAnsi="Times New Roman" w:eastAsia="宋体" w:cs="Times New Roman"/>
                      <w:color w:val="auto"/>
                      <w:sz w:val="21"/>
                      <w:szCs w:val="21"/>
                      <w:highlight w:val="none"/>
                      <w:lang w:val="en-US" w:eastAsia="zh-CN"/>
                    </w:rPr>
                  </w:pPr>
                  <w:r>
                    <w:rPr>
                      <w:rFonts w:hint="eastAsia" w:ascii="Times New Roman" w:hAnsi="Times New Roman" w:eastAsia="宋体" w:cs="Times New Roman"/>
                      <w:color w:val="auto"/>
                      <w:sz w:val="21"/>
                      <w:szCs w:val="21"/>
                      <w:highlight w:val="none"/>
                      <w:lang w:val="en-US" w:eastAsia="zh-CN"/>
                    </w:rPr>
                    <w:t xml:space="preserve">0.007 </w:t>
                  </w:r>
                </w:p>
              </w:tc>
              <w:tc>
                <w:tcPr>
                  <w:tcW w:w="629" w:type="pct"/>
                  <w:tcBorders>
                    <w:tl2br w:val="nil"/>
                    <w:tr2bl w:val="nil"/>
                  </w:tcBorders>
                  <w:vAlign w:val="center"/>
                </w:tcPr>
                <w:p w14:paraId="26ED4866">
                  <w:pPr>
                    <w:pStyle w:val="129"/>
                    <w:keepNext w:val="0"/>
                    <w:keepLines w:val="0"/>
                    <w:suppressLineNumbers w:val="0"/>
                    <w:spacing w:before="0" w:beforeAutospacing="0" w:after="0" w:afterAutospacing="0"/>
                    <w:ind w:left="0" w:right="0"/>
                    <w:rPr>
                      <w:rFonts w:hint="default" w:ascii="Times New Roman" w:hAnsi="Times New Roman" w:eastAsia="宋体" w:cs="Times New Roman"/>
                      <w:color w:val="auto"/>
                      <w:sz w:val="21"/>
                      <w:szCs w:val="21"/>
                      <w:highlight w:val="none"/>
                      <w:lang w:val="en-US" w:eastAsia="zh-CN"/>
                    </w:rPr>
                  </w:pPr>
                  <w:r>
                    <w:rPr>
                      <w:rFonts w:hint="eastAsia" w:ascii="Times New Roman" w:hAnsi="Times New Roman" w:eastAsia="宋体" w:cs="Times New Roman"/>
                      <w:color w:val="auto"/>
                      <w:sz w:val="21"/>
                      <w:szCs w:val="21"/>
                      <w:highlight w:val="none"/>
                      <w:lang w:val="en-US" w:eastAsia="zh-CN"/>
                    </w:rPr>
                    <w:t xml:space="preserve">0.005 </w:t>
                  </w:r>
                </w:p>
              </w:tc>
              <w:tc>
                <w:tcPr>
                  <w:tcW w:w="525" w:type="pct"/>
                  <w:tcBorders>
                    <w:tl2br w:val="nil"/>
                    <w:tr2bl w:val="nil"/>
                  </w:tcBorders>
                  <w:shd w:val="clear" w:color="auto" w:fill="auto"/>
                  <w:vAlign w:val="center"/>
                </w:tcPr>
                <w:p w14:paraId="6FC47670">
                  <w:pPr>
                    <w:pStyle w:val="129"/>
                    <w:keepNext w:val="0"/>
                    <w:keepLines w:val="0"/>
                    <w:suppressLineNumbers w:val="0"/>
                    <w:spacing w:before="0" w:beforeAutospacing="0" w:after="0" w:afterAutospacing="0"/>
                    <w:ind w:left="0" w:right="0"/>
                    <w:jc w:val="center"/>
                    <w:rPr>
                      <w:rFonts w:hint="default" w:ascii="Times New Roman" w:hAnsi="Times New Roman" w:eastAsia="宋体" w:cs="Times New Roman"/>
                      <w:color w:val="auto"/>
                      <w:sz w:val="21"/>
                      <w:szCs w:val="21"/>
                      <w:highlight w:val="none"/>
                      <w:lang w:val="en-US" w:eastAsia="zh-CN"/>
                    </w:rPr>
                  </w:pPr>
                  <w:r>
                    <w:rPr>
                      <w:rFonts w:hint="eastAsia" w:cs="Times New Roman"/>
                      <w:color w:val="auto"/>
                      <w:sz w:val="21"/>
                      <w:szCs w:val="21"/>
                      <w:highlight w:val="none"/>
                      <w:lang w:val="en-US" w:eastAsia="zh-CN"/>
                    </w:rPr>
                    <w:t>少量</w:t>
                  </w:r>
                </w:p>
              </w:tc>
            </w:tr>
            <w:tr w14:paraId="222B4D7E">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c>
                <w:tcPr>
                  <w:tcW w:w="1864" w:type="pct"/>
                  <w:tcBorders>
                    <w:tl2br w:val="nil"/>
                    <w:tr2bl w:val="nil"/>
                  </w:tcBorders>
                  <w:vAlign w:val="center"/>
                </w:tcPr>
                <w:p w14:paraId="16E88AFD">
                  <w:pPr>
                    <w:pStyle w:val="129"/>
                    <w:keepNext w:val="0"/>
                    <w:keepLines w:val="0"/>
                    <w:suppressLineNumbers w:val="0"/>
                    <w:spacing w:before="0" w:beforeAutospacing="0" w:after="0" w:afterAutospacing="0"/>
                    <w:ind w:left="0" w:right="0"/>
                    <w:rPr>
                      <w:rFonts w:hint="default"/>
                      <w:color w:val="auto"/>
                      <w:sz w:val="21"/>
                      <w:szCs w:val="21"/>
                      <w:highlight w:val="none"/>
                      <w:lang w:val="en-US"/>
                    </w:rPr>
                  </w:pPr>
                  <w:r>
                    <w:rPr>
                      <w:rFonts w:hint="eastAsia"/>
                      <w:color w:val="auto"/>
                      <w:sz w:val="21"/>
                      <w:szCs w:val="21"/>
                      <w:highlight w:val="none"/>
                      <w:lang w:val="en-US" w:eastAsia="zh-CN"/>
                    </w:rPr>
                    <w:t>二层</w:t>
                  </w:r>
                  <w:r>
                    <w:rPr>
                      <w:rFonts w:hint="eastAsia" w:ascii="Times New Roman" w:hAnsi="Times New Roman" w:eastAsia="宋体" w:cs="Times New Roman"/>
                      <w:color w:val="auto"/>
                      <w:sz w:val="21"/>
                      <w:szCs w:val="21"/>
                      <w:highlight w:val="none"/>
                      <w:lang w:val="en-US" w:eastAsia="zh-CN"/>
                    </w:rPr>
                    <w:t>洗消室、准备间、解剖室</w:t>
                  </w:r>
                  <w:r>
                    <w:rPr>
                      <w:rFonts w:hint="eastAsia" w:cs="Times New Roman"/>
                      <w:color w:val="auto"/>
                      <w:sz w:val="21"/>
                      <w:szCs w:val="21"/>
                      <w:highlight w:val="none"/>
                      <w:lang w:val="en-US" w:eastAsia="zh-CN"/>
                    </w:rPr>
                    <w:t>等</w:t>
                  </w:r>
                </w:p>
              </w:tc>
              <w:tc>
                <w:tcPr>
                  <w:tcW w:w="686" w:type="pct"/>
                  <w:tcBorders>
                    <w:tl2br w:val="nil"/>
                    <w:tr2bl w:val="nil"/>
                  </w:tcBorders>
                  <w:noWrap/>
                  <w:vAlign w:val="center"/>
                </w:tcPr>
                <w:p w14:paraId="5445A75A">
                  <w:pPr>
                    <w:pStyle w:val="129"/>
                    <w:keepNext w:val="0"/>
                    <w:keepLines w:val="0"/>
                    <w:suppressLineNumbers w:val="0"/>
                    <w:spacing w:before="0" w:beforeAutospacing="0" w:after="0" w:afterAutospacing="0"/>
                    <w:ind w:left="0" w:right="0"/>
                    <w:rPr>
                      <w:rFonts w:hint="default" w:eastAsia="宋体"/>
                      <w:color w:val="auto"/>
                      <w:sz w:val="21"/>
                      <w:szCs w:val="21"/>
                      <w:highlight w:val="none"/>
                      <w:lang w:val="en-US" w:eastAsia="zh-CN"/>
                    </w:rPr>
                  </w:pPr>
                  <w:r>
                    <w:rPr>
                      <w:rFonts w:hint="eastAsia"/>
                      <w:color w:val="auto"/>
                      <w:sz w:val="21"/>
                      <w:szCs w:val="21"/>
                      <w:highlight w:val="none"/>
                      <w:lang w:val="en-US" w:eastAsia="zh-CN"/>
                    </w:rPr>
                    <w:t>480</w:t>
                  </w:r>
                </w:p>
              </w:tc>
              <w:tc>
                <w:tcPr>
                  <w:tcW w:w="598" w:type="pct"/>
                  <w:tcBorders>
                    <w:tl2br w:val="nil"/>
                    <w:tr2bl w:val="nil"/>
                  </w:tcBorders>
                  <w:vAlign w:val="center"/>
                </w:tcPr>
                <w:p w14:paraId="0E3766C6">
                  <w:pPr>
                    <w:pStyle w:val="129"/>
                    <w:keepNext w:val="0"/>
                    <w:keepLines w:val="0"/>
                    <w:suppressLineNumbers w:val="0"/>
                    <w:spacing w:before="0" w:beforeAutospacing="0" w:after="0" w:afterAutospacing="0"/>
                    <w:ind w:left="0" w:right="0"/>
                    <w:rPr>
                      <w:rFonts w:hint="default" w:ascii="Times New Roman" w:hAnsi="Times New Roman" w:eastAsia="宋体" w:cs="Times New Roman"/>
                      <w:color w:val="auto"/>
                      <w:sz w:val="21"/>
                      <w:szCs w:val="21"/>
                      <w:highlight w:val="none"/>
                      <w:lang w:val="en-US" w:eastAsia="zh-CN"/>
                    </w:rPr>
                  </w:pPr>
                  <w:r>
                    <w:rPr>
                      <w:rFonts w:hint="eastAsia" w:ascii="Times New Roman" w:hAnsi="Times New Roman" w:eastAsia="宋体" w:cs="Times New Roman"/>
                      <w:color w:val="auto"/>
                      <w:sz w:val="21"/>
                      <w:szCs w:val="21"/>
                      <w:highlight w:val="none"/>
                      <w:lang w:val="en-US" w:eastAsia="zh-CN"/>
                    </w:rPr>
                    <w:t xml:space="preserve">0.079 </w:t>
                  </w:r>
                </w:p>
              </w:tc>
              <w:tc>
                <w:tcPr>
                  <w:tcW w:w="696" w:type="pct"/>
                  <w:tcBorders>
                    <w:tl2br w:val="nil"/>
                    <w:tr2bl w:val="nil"/>
                  </w:tcBorders>
                  <w:shd w:val="clear" w:color="auto" w:fill="auto"/>
                  <w:vAlign w:val="center"/>
                </w:tcPr>
                <w:p w14:paraId="30B25EFB">
                  <w:pPr>
                    <w:pStyle w:val="129"/>
                    <w:keepNext w:val="0"/>
                    <w:keepLines w:val="0"/>
                    <w:suppressLineNumbers w:val="0"/>
                    <w:spacing w:before="0" w:beforeAutospacing="0" w:after="0" w:afterAutospacing="0"/>
                    <w:ind w:left="0" w:right="0"/>
                    <w:rPr>
                      <w:rFonts w:hint="default" w:ascii="Times New Roman" w:hAnsi="Times New Roman" w:eastAsia="宋体" w:cs="Times New Roman"/>
                      <w:color w:val="auto"/>
                      <w:sz w:val="21"/>
                      <w:szCs w:val="21"/>
                      <w:highlight w:val="none"/>
                      <w:lang w:val="en-US" w:eastAsia="zh-CN"/>
                    </w:rPr>
                  </w:pPr>
                  <w:r>
                    <w:rPr>
                      <w:rFonts w:hint="eastAsia" w:ascii="Times New Roman" w:hAnsi="Times New Roman" w:eastAsia="宋体" w:cs="Times New Roman"/>
                      <w:color w:val="auto"/>
                      <w:sz w:val="21"/>
                      <w:szCs w:val="21"/>
                      <w:highlight w:val="none"/>
                      <w:lang w:val="en-US" w:eastAsia="zh-CN"/>
                    </w:rPr>
                    <w:t xml:space="preserve">0.059 </w:t>
                  </w:r>
                </w:p>
              </w:tc>
              <w:tc>
                <w:tcPr>
                  <w:tcW w:w="629" w:type="pct"/>
                  <w:tcBorders>
                    <w:tl2br w:val="nil"/>
                    <w:tr2bl w:val="nil"/>
                  </w:tcBorders>
                  <w:vAlign w:val="center"/>
                </w:tcPr>
                <w:p w14:paraId="15D0A242">
                  <w:pPr>
                    <w:pStyle w:val="129"/>
                    <w:keepNext w:val="0"/>
                    <w:keepLines w:val="0"/>
                    <w:suppressLineNumbers w:val="0"/>
                    <w:spacing w:before="0" w:beforeAutospacing="0" w:after="0" w:afterAutospacing="0"/>
                    <w:ind w:left="0" w:right="0"/>
                    <w:rPr>
                      <w:rFonts w:hint="default" w:ascii="Times New Roman" w:hAnsi="Times New Roman" w:eastAsia="宋体" w:cs="Times New Roman"/>
                      <w:color w:val="auto"/>
                      <w:sz w:val="21"/>
                      <w:szCs w:val="21"/>
                      <w:highlight w:val="none"/>
                      <w:lang w:val="en-US" w:eastAsia="zh-CN"/>
                    </w:rPr>
                  </w:pPr>
                  <w:r>
                    <w:rPr>
                      <w:rFonts w:hint="eastAsia" w:ascii="Times New Roman" w:hAnsi="Times New Roman" w:eastAsia="宋体" w:cs="Times New Roman"/>
                      <w:color w:val="auto"/>
                      <w:sz w:val="21"/>
                      <w:szCs w:val="21"/>
                      <w:highlight w:val="none"/>
                      <w:lang w:val="en-US" w:eastAsia="zh-CN"/>
                    </w:rPr>
                    <w:t xml:space="preserve">0.046 </w:t>
                  </w:r>
                </w:p>
              </w:tc>
              <w:tc>
                <w:tcPr>
                  <w:tcW w:w="525" w:type="pct"/>
                  <w:tcBorders>
                    <w:tl2br w:val="nil"/>
                    <w:tr2bl w:val="nil"/>
                  </w:tcBorders>
                  <w:shd w:val="clear" w:color="auto" w:fill="auto"/>
                  <w:vAlign w:val="center"/>
                </w:tcPr>
                <w:p w14:paraId="68366B91">
                  <w:pPr>
                    <w:keepNext w:val="0"/>
                    <w:keepLines w:val="0"/>
                    <w:suppressLineNumbers w:val="0"/>
                    <w:spacing w:before="0" w:beforeAutospacing="0" w:after="0" w:afterAutospacing="0"/>
                    <w:ind w:left="0" w:right="0"/>
                    <w:jc w:val="center"/>
                    <w:rPr>
                      <w:rFonts w:hint="default" w:ascii="Times New Roman" w:hAnsi="Times New Roman" w:eastAsia="宋体" w:cs="Times New Roman"/>
                      <w:color w:val="auto"/>
                      <w:sz w:val="21"/>
                      <w:szCs w:val="21"/>
                      <w:highlight w:val="none"/>
                      <w:lang w:val="en-US" w:eastAsia="zh-CN"/>
                    </w:rPr>
                  </w:pPr>
                  <w:r>
                    <w:rPr>
                      <w:rFonts w:hint="eastAsia" w:cs="Times New Roman"/>
                      <w:color w:val="auto"/>
                      <w:sz w:val="21"/>
                      <w:szCs w:val="21"/>
                      <w:highlight w:val="none"/>
                      <w:lang w:val="en-US" w:eastAsia="zh-CN"/>
                    </w:rPr>
                    <w:t>少量</w:t>
                  </w:r>
                </w:p>
              </w:tc>
            </w:tr>
            <w:tr w14:paraId="151240F8">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320" w:hRule="atLeast"/>
              </w:trPr>
              <w:tc>
                <w:tcPr>
                  <w:tcW w:w="1864" w:type="pct"/>
                  <w:tcBorders>
                    <w:tl2br w:val="nil"/>
                    <w:tr2bl w:val="nil"/>
                  </w:tcBorders>
                  <w:noWrap/>
                  <w:vAlign w:val="center"/>
                </w:tcPr>
                <w:p w14:paraId="2AC5B71E">
                  <w:pPr>
                    <w:pStyle w:val="129"/>
                    <w:keepNext w:val="0"/>
                    <w:keepLines w:val="0"/>
                    <w:suppressLineNumbers w:val="0"/>
                    <w:spacing w:before="0" w:beforeAutospacing="0" w:after="0" w:afterAutospacing="0"/>
                    <w:ind w:left="0" w:right="0"/>
                    <w:rPr>
                      <w:rFonts w:hint="eastAsia"/>
                      <w:color w:val="auto"/>
                      <w:sz w:val="21"/>
                      <w:szCs w:val="21"/>
                      <w:highlight w:val="none"/>
                      <w:lang w:val="en-US" w:eastAsia="zh-CN"/>
                    </w:rPr>
                  </w:pPr>
                  <w:r>
                    <w:rPr>
                      <w:rFonts w:hint="eastAsia"/>
                      <w:color w:val="auto"/>
                      <w:sz w:val="21"/>
                      <w:szCs w:val="21"/>
                      <w:highlight w:val="none"/>
                      <w:lang w:val="en-US" w:eastAsia="zh-CN"/>
                    </w:rPr>
                    <w:t>三层普通实验室</w:t>
                  </w:r>
                </w:p>
              </w:tc>
              <w:tc>
                <w:tcPr>
                  <w:tcW w:w="686" w:type="pct"/>
                  <w:tcBorders>
                    <w:tl2br w:val="nil"/>
                    <w:tr2bl w:val="nil"/>
                  </w:tcBorders>
                  <w:shd w:val="clear" w:color="auto" w:fill="auto"/>
                  <w:noWrap/>
                  <w:vAlign w:val="center"/>
                </w:tcPr>
                <w:p w14:paraId="0AACDD89">
                  <w:pPr>
                    <w:pStyle w:val="129"/>
                    <w:keepNext w:val="0"/>
                    <w:keepLines w:val="0"/>
                    <w:suppressLineNumbers w:val="0"/>
                    <w:spacing w:before="0" w:beforeAutospacing="0" w:after="0" w:afterAutospacing="0"/>
                    <w:ind w:left="0" w:right="0"/>
                    <w:rPr>
                      <w:rFonts w:hint="default" w:ascii="Times New Roman" w:hAnsi="Times New Roman" w:eastAsia="宋体" w:cs="Times New Roman"/>
                      <w:color w:val="auto"/>
                      <w:sz w:val="21"/>
                      <w:szCs w:val="21"/>
                      <w:highlight w:val="none"/>
                      <w:lang w:val="en-US" w:eastAsia="zh-CN"/>
                    </w:rPr>
                  </w:pPr>
                  <w:r>
                    <w:rPr>
                      <w:rFonts w:hint="eastAsia" w:cs="Times New Roman"/>
                      <w:color w:val="auto"/>
                      <w:sz w:val="21"/>
                      <w:szCs w:val="21"/>
                      <w:highlight w:val="none"/>
                      <w:lang w:val="en-US" w:eastAsia="zh-CN"/>
                    </w:rPr>
                    <w:t>239</w:t>
                  </w:r>
                </w:p>
              </w:tc>
              <w:tc>
                <w:tcPr>
                  <w:tcW w:w="598" w:type="pct"/>
                  <w:tcBorders>
                    <w:tl2br w:val="nil"/>
                    <w:tr2bl w:val="nil"/>
                  </w:tcBorders>
                  <w:vAlign w:val="center"/>
                </w:tcPr>
                <w:p w14:paraId="4C3B90E2">
                  <w:pPr>
                    <w:pStyle w:val="129"/>
                    <w:keepNext w:val="0"/>
                    <w:keepLines w:val="0"/>
                    <w:suppressLineNumbers w:val="0"/>
                    <w:spacing w:before="0" w:beforeAutospacing="0" w:after="0" w:afterAutospacing="0"/>
                    <w:ind w:left="0" w:right="0"/>
                    <w:rPr>
                      <w:rFonts w:hint="default" w:ascii="Times New Roman" w:hAnsi="Times New Roman" w:eastAsia="宋体" w:cs="Times New Roman"/>
                      <w:color w:val="auto"/>
                      <w:sz w:val="21"/>
                      <w:szCs w:val="21"/>
                      <w:highlight w:val="none"/>
                      <w:lang w:val="en-US" w:eastAsia="zh-CN"/>
                    </w:rPr>
                  </w:pPr>
                  <w:r>
                    <w:rPr>
                      <w:rFonts w:hint="eastAsia" w:ascii="Times New Roman" w:hAnsi="Times New Roman" w:eastAsia="宋体" w:cs="Times New Roman"/>
                      <w:color w:val="auto"/>
                      <w:sz w:val="21"/>
                      <w:szCs w:val="21"/>
                      <w:highlight w:val="none"/>
                      <w:lang w:val="en-US" w:eastAsia="zh-CN"/>
                    </w:rPr>
                    <w:t xml:space="preserve">0.039 </w:t>
                  </w:r>
                </w:p>
              </w:tc>
              <w:tc>
                <w:tcPr>
                  <w:tcW w:w="696" w:type="pct"/>
                  <w:tcBorders>
                    <w:tl2br w:val="nil"/>
                    <w:tr2bl w:val="nil"/>
                  </w:tcBorders>
                  <w:shd w:val="clear" w:color="auto" w:fill="auto"/>
                  <w:vAlign w:val="center"/>
                </w:tcPr>
                <w:p w14:paraId="2629A249">
                  <w:pPr>
                    <w:pStyle w:val="129"/>
                    <w:keepNext w:val="0"/>
                    <w:keepLines w:val="0"/>
                    <w:suppressLineNumbers w:val="0"/>
                    <w:spacing w:before="0" w:beforeAutospacing="0" w:after="0" w:afterAutospacing="0"/>
                    <w:ind w:left="0" w:right="0"/>
                    <w:rPr>
                      <w:rFonts w:hint="default" w:ascii="Times New Roman" w:hAnsi="Times New Roman" w:eastAsia="宋体" w:cs="Times New Roman"/>
                      <w:color w:val="auto"/>
                      <w:sz w:val="21"/>
                      <w:szCs w:val="21"/>
                      <w:highlight w:val="none"/>
                      <w:lang w:val="en-US" w:eastAsia="zh-CN"/>
                    </w:rPr>
                  </w:pPr>
                  <w:r>
                    <w:rPr>
                      <w:rFonts w:hint="eastAsia" w:ascii="Times New Roman" w:hAnsi="Times New Roman" w:eastAsia="宋体" w:cs="Times New Roman"/>
                      <w:color w:val="auto"/>
                      <w:sz w:val="21"/>
                      <w:szCs w:val="21"/>
                      <w:highlight w:val="none"/>
                      <w:lang w:val="en-US" w:eastAsia="zh-CN"/>
                    </w:rPr>
                    <w:t xml:space="preserve">0.030 </w:t>
                  </w:r>
                </w:p>
              </w:tc>
              <w:tc>
                <w:tcPr>
                  <w:tcW w:w="629" w:type="pct"/>
                  <w:tcBorders>
                    <w:tl2br w:val="nil"/>
                    <w:tr2bl w:val="nil"/>
                  </w:tcBorders>
                  <w:vAlign w:val="center"/>
                </w:tcPr>
                <w:p w14:paraId="617C9467">
                  <w:pPr>
                    <w:pStyle w:val="129"/>
                    <w:keepNext w:val="0"/>
                    <w:keepLines w:val="0"/>
                    <w:suppressLineNumbers w:val="0"/>
                    <w:spacing w:before="0" w:beforeAutospacing="0" w:after="0" w:afterAutospacing="0"/>
                    <w:ind w:left="0" w:right="0"/>
                    <w:rPr>
                      <w:rFonts w:hint="default" w:ascii="Times New Roman" w:hAnsi="Times New Roman" w:eastAsia="宋体" w:cs="Times New Roman"/>
                      <w:color w:val="auto"/>
                      <w:sz w:val="21"/>
                      <w:szCs w:val="21"/>
                      <w:highlight w:val="none"/>
                      <w:lang w:val="en-US" w:eastAsia="zh-CN"/>
                    </w:rPr>
                  </w:pPr>
                  <w:r>
                    <w:rPr>
                      <w:rFonts w:hint="eastAsia" w:ascii="Times New Roman" w:hAnsi="Times New Roman" w:eastAsia="宋体" w:cs="Times New Roman"/>
                      <w:color w:val="auto"/>
                      <w:sz w:val="21"/>
                      <w:szCs w:val="21"/>
                      <w:highlight w:val="none"/>
                      <w:lang w:val="en-US" w:eastAsia="zh-CN"/>
                    </w:rPr>
                    <w:t xml:space="preserve">0.024 </w:t>
                  </w:r>
                </w:p>
              </w:tc>
              <w:tc>
                <w:tcPr>
                  <w:tcW w:w="525" w:type="pct"/>
                  <w:tcBorders>
                    <w:tl2br w:val="nil"/>
                    <w:tr2bl w:val="nil"/>
                  </w:tcBorders>
                  <w:shd w:val="clear" w:color="auto" w:fill="auto"/>
                  <w:vAlign w:val="center"/>
                </w:tcPr>
                <w:p w14:paraId="78B7BC1F">
                  <w:pPr>
                    <w:keepNext w:val="0"/>
                    <w:keepLines w:val="0"/>
                    <w:suppressLineNumbers w:val="0"/>
                    <w:spacing w:before="0" w:beforeAutospacing="0" w:after="0" w:afterAutospacing="0"/>
                    <w:ind w:left="0" w:right="0"/>
                    <w:jc w:val="center"/>
                    <w:rPr>
                      <w:rFonts w:hint="default" w:ascii="Times New Roman" w:hAnsi="Times New Roman" w:eastAsia="宋体" w:cs="Times New Roman"/>
                      <w:color w:val="auto"/>
                      <w:sz w:val="21"/>
                      <w:szCs w:val="21"/>
                      <w:highlight w:val="none"/>
                      <w:lang w:val="en-US" w:eastAsia="zh-CN"/>
                    </w:rPr>
                  </w:pPr>
                  <w:r>
                    <w:rPr>
                      <w:rFonts w:hint="eastAsia" w:cs="Times New Roman"/>
                      <w:color w:val="auto"/>
                      <w:sz w:val="21"/>
                      <w:szCs w:val="21"/>
                      <w:highlight w:val="none"/>
                      <w:lang w:val="en-US" w:eastAsia="zh-CN"/>
                    </w:rPr>
                    <w:t>少量</w:t>
                  </w:r>
                </w:p>
              </w:tc>
            </w:tr>
            <w:tr w14:paraId="163B9DF6">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320" w:hRule="atLeast"/>
              </w:trPr>
              <w:tc>
                <w:tcPr>
                  <w:tcW w:w="1864" w:type="pct"/>
                  <w:tcBorders>
                    <w:tl2br w:val="nil"/>
                    <w:tr2bl w:val="nil"/>
                  </w:tcBorders>
                  <w:noWrap/>
                  <w:vAlign w:val="center"/>
                </w:tcPr>
                <w:p w14:paraId="147B82E3">
                  <w:pPr>
                    <w:pStyle w:val="129"/>
                    <w:keepNext w:val="0"/>
                    <w:keepLines w:val="0"/>
                    <w:suppressLineNumbers w:val="0"/>
                    <w:spacing w:before="0" w:beforeAutospacing="0" w:after="0" w:afterAutospacing="0"/>
                    <w:ind w:left="0" w:right="0"/>
                    <w:rPr>
                      <w:rFonts w:hint="default"/>
                      <w:color w:val="auto"/>
                      <w:sz w:val="21"/>
                      <w:szCs w:val="21"/>
                      <w:highlight w:val="none"/>
                      <w:lang w:val="en-US" w:eastAsia="zh-CN"/>
                    </w:rPr>
                  </w:pPr>
                  <w:r>
                    <w:rPr>
                      <w:rFonts w:hint="eastAsia"/>
                      <w:color w:val="auto"/>
                      <w:sz w:val="21"/>
                      <w:szCs w:val="21"/>
                      <w:highlight w:val="none"/>
                      <w:lang w:val="en-US" w:eastAsia="zh-CN"/>
                    </w:rPr>
                    <w:t>三层解剖室、外准备间等</w:t>
                  </w:r>
                </w:p>
              </w:tc>
              <w:tc>
                <w:tcPr>
                  <w:tcW w:w="686" w:type="pct"/>
                  <w:tcBorders>
                    <w:tl2br w:val="nil"/>
                    <w:tr2bl w:val="nil"/>
                  </w:tcBorders>
                  <w:noWrap/>
                  <w:vAlign w:val="center"/>
                </w:tcPr>
                <w:p w14:paraId="6D0EA355">
                  <w:pPr>
                    <w:pStyle w:val="129"/>
                    <w:keepNext w:val="0"/>
                    <w:keepLines w:val="0"/>
                    <w:suppressLineNumbers w:val="0"/>
                    <w:spacing w:before="0" w:beforeAutospacing="0" w:after="0" w:afterAutospacing="0"/>
                    <w:ind w:left="0" w:right="0"/>
                    <w:rPr>
                      <w:rFonts w:hint="default" w:ascii="Times New Roman" w:hAnsi="Times New Roman" w:eastAsia="宋体" w:cs="Times New Roman"/>
                      <w:color w:val="auto"/>
                      <w:sz w:val="21"/>
                      <w:szCs w:val="21"/>
                      <w:highlight w:val="none"/>
                      <w:lang w:val="en-US" w:eastAsia="zh-CN"/>
                    </w:rPr>
                  </w:pPr>
                  <w:r>
                    <w:rPr>
                      <w:rFonts w:hint="eastAsia" w:cs="Times New Roman"/>
                      <w:color w:val="auto"/>
                      <w:sz w:val="21"/>
                      <w:szCs w:val="21"/>
                      <w:highlight w:val="none"/>
                      <w:lang w:val="en-US" w:eastAsia="zh-CN"/>
                    </w:rPr>
                    <w:t>261</w:t>
                  </w:r>
                </w:p>
              </w:tc>
              <w:tc>
                <w:tcPr>
                  <w:tcW w:w="598" w:type="pct"/>
                  <w:tcBorders>
                    <w:tl2br w:val="nil"/>
                    <w:tr2bl w:val="nil"/>
                  </w:tcBorders>
                  <w:vAlign w:val="center"/>
                </w:tcPr>
                <w:p w14:paraId="45AB5ECC">
                  <w:pPr>
                    <w:pStyle w:val="129"/>
                    <w:keepNext w:val="0"/>
                    <w:keepLines w:val="0"/>
                    <w:suppressLineNumbers w:val="0"/>
                    <w:spacing w:before="0" w:beforeAutospacing="0" w:after="0" w:afterAutospacing="0"/>
                    <w:ind w:left="0" w:right="0"/>
                    <w:rPr>
                      <w:rFonts w:hint="default" w:ascii="Times New Roman" w:hAnsi="Times New Roman" w:eastAsia="宋体" w:cs="Times New Roman"/>
                      <w:color w:val="auto"/>
                      <w:sz w:val="21"/>
                      <w:szCs w:val="21"/>
                      <w:highlight w:val="none"/>
                      <w:lang w:val="en-US" w:eastAsia="zh-CN"/>
                    </w:rPr>
                  </w:pPr>
                  <w:r>
                    <w:rPr>
                      <w:rFonts w:hint="eastAsia" w:ascii="Times New Roman" w:hAnsi="Times New Roman" w:eastAsia="宋体" w:cs="Times New Roman"/>
                      <w:color w:val="auto"/>
                      <w:sz w:val="21"/>
                      <w:szCs w:val="21"/>
                      <w:highlight w:val="none"/>
                      <w:lang w:val="en-US" w:eastAsia="zh-CN"/>
                    </w:rPr>
                    <w:t xml:space="preserve">0.043 </w:t>
                  </w:r>
                </w:p>
              </w:tc>
              <w:tc>
                <w:tcPr>
                  <w:tcW w:w="696" w:type="pct"/>
                  <w:tcBorders>
                    <w:tl2br w:val="nil"/>
                    <w:tr2bl w:val="nil"/>
                  </w:tcBorders>
                  <w:shd w:val="clear" w:color="auto" w:fill="auto"/>
                  <w:vAlign w:val="center"/>
                </w:tcPr>
                <w:p w14:paraId="3022BAC2">
                  <w:pPr>
                    <w:pStyle w:val="129"/>
                    <w:keepNext w:val="0"/>
                    <w:keepLines w:val="0"/>
                    <w:suppressLineNumbers w:val="0"/>
                    <w:spacing w:before="0" w:beforeAutospacing="0" w:after="0" w:afterAutospacing="0"/>
                    <w:ind w:left="0" w:right="0"/>
                    <w:rPr>
                      <w:rFonts w:hint="eastAsia" w:ascii="Times New Roman" w:hAnsi="Times New Roman" w:eastAsia="宋体" w:cs="Times New Roman"/>
                      <w:color w:val="auto"/>
                      <w:sz w:val="21"/>
                      <w:szCs w:val="21"/>
                      <w:highlight w:val="none"/>
                      <w:lang w:val="en-US" w:eastAsia="zh-CN"/>
                    </w:rPr>
                  </w:pPr>
                  <w:r>
                    <w:rPr>
                      <w:rFonts w:hint="eastAsia" w:ascii="Times New Roman" w:hAnsi="Times New Roman" w:eastAsia="宋体" w:cs="Times New Roman"/>
                      <w:color w:val="auto"/>
                      <w:sz w:val="21"/>
                      <w:szCs w:val="21"/>
                      <w:highlight w:val="none"/>
                      <w:lang w:val="en-US" w:eastAsia="zh-CN"/>
                    </w:rPr>
                    <w:t xml:space="preserve">0.032 </w:t>
                  </w:r>
                </w:p>
              </w:tc>
              <w:tc>
                <w:tcPr>
                  <w:tcW w:w="629" w:type="pct"/>
                  <w:tcBorders>
                    <w:tl2br w:val="nil"/>
                    <w:tr2bl w:val="nil"/>
                  </w:tcBorders>
                  <w:vAlign w:val="center"/>
                </w:tcPr>
                <w:p w14:paraId="6EC078B3">
                  <w:pPr>
                    <w:pStyle w:val="129"/>
                    <w:keepNext w:val="0"/>
                    <w:keepLines w:val="0"/>
                    <w:suppressLineNumbers w:val="0"/>
                    <w:spacing w:before="0" w:beforeAutospacing="0" w:after="0" w:afterAutospacing="0"/>
                    <w:ind w:left="0" w:right="0"/>
                    <w:rPr>
                      <w:rFonts w:hint="default" w:ascii="Times New Roman" w:hAnsi="Times New Roman" w:eastAsia="宋体" w:cs="Times New Roman"/>
                      <w:color w:val="auto"/>
                      <w:sz w:val="21"/>
                      <w:szCs w:val="21"/>
                      <w:highlight w:val="none"/>
                      <w:lang w:val="en-US" w:eastAsia="zh-CN"/>
                    </w:rPr>
                  </w:pPr>
                  <w:r>
                    <w:rPr>
                      <w:rFonts w:hint="eastAsia" w:ascii="Times New Roman" w:hAnsi="Times New Roman" w:eastAsia="宋体" w:cs="Times New Roman"/>
                      <w:color w:val="auto"/>
                      <w:sz w:val="21"/>
                      <w:szCs w:val="21"/>
                      <w:highlight w:val="none"/>
                      <w:lang w:val="en-US" w:eastAsia="zh-CN"/>
                    </w:rPr>
                    <w:t xml:space="preserve">0.025 </w:t>
                  </w:r>
                </w:p>
              </w:tc>
              <w:tc>
                <w:tcPr>
                  <w:tcW w:w="525" w:type="pct"/>
                  <w:tcBorders>
                    <w:tl2br w:val="nil"/>
                    <w:tr2bl w:val="nil"/>
                  </w:tcBorders>
                  <w:shd w:val="clear" w:color="auto" w:fill="auto"/>
                  <w:vAlign w:val="center"/>
                </w:tcPr>
                <w:p w14:paraId="718AFE45">
                  <w:pPr>
                    <w:keepNext w:val="0"/>
                    <w:keepLines w:val="0"/>
                    <w:suppressLineNumbers w:val="0"/>
                    <w:spacing w:before="0" w:beforeAutospacing="0" w:after="0" w:afterAutospacing="0"/>
                    <w:ind w:left="0" w:right="0"/>
                    <w:jc w:val="center"/>
                    <w:rPr>
                      <w:rFonts w:hint="default" w:ascii="Times New Roman" w:hAnsi="Times New Roman" w:eastAsia="宋体" w:cs="Times New Roman"/>
                      <w:color w:val="auto"/>
                      <w:sz w:val="21"/>
                      <w:szCs w:val="21"/>
                      <w:highlight w:val="none"/>
                      <w:lang w:val="en-US" w:eastAsia="zh-CN"/>
                    </w:rPr>
                  </w:pPr>
                  <w:r>
                    <w:rPr>
                      <w:rFonts w:hint="eastAsia" w:cs="Times New Roman"/>
                      <w:color w:val="auto"/>
                      <w:sz w:val="21"/>
                      <w:szCs w:val="21"/>
                      <w:highlight w:val="none"/>
                      <w:lang w:val="en-US" w:eastAsia="zh-CN"/>
                    </w:rPr>
                    <w:t>少量</w:t>
                  </w:r>
                </w:p>
              </w:tc>
            </w:tr>
            <w:tr w14:paraId="225ABFE4">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320" w:hRule="atLeast"/>
              </w:trPr>
              <w:tc>
                <w:tcPr>
                  <w:tcW w:w="1864" w:type="pct"/>
                  <w:tcBorders>
                    <w:tl2br w:val="nil"/>
                    <w:tr2bl w:val="nil"/>
                  </w:tcBorders>
                  <w:noWrap/>
                  <w:vAlign w:val="center"/>
                </w:tcPr>
                <w:p w14:paraId="7DF0C267">
                  <w:pPr>
                    <w:pStyle w:val="129"/>
                    <w:keepNext w:val="0"/>
                    <w:keepLines w:val="0"/>
                    <w:suppressLineNumbers w:val="0"/>
                    <w:spacing w:before="0" w:beforeAutospacing="0" w:after="0" w:afterAutospacing="0"/>
                    <w:ind w:left="0" w:right="0"/>
                    <w:rPr>
                      <w:rFonts w:hint="default"/>
                      <w:b/>
                      <w:bCs/>
                      <w:color w:val="auto"/>
                      <w:sz w:val="21"/>
                      <w:szCs w:val="21"/>
                      <w:highlight w:val="none"/>
                      <w:lang w:val="en-US" w:eastAsia="zh-CN"/>
                    </w:rPr>
                  </w:pPr>
                  <w:r>
                    <w:rPr>
                      <w:rFonts w:hint="eastAsia"/>
                      <w:b/>
                      <w:bCs/>
                      <w:color w:val="auto"/>
                      <w:sz w:val="21"/>
                      <w:szCs w:val="21"/>
                      <w:highlight w:val="none"/>
                      <w:lang w:val="en-US" w:eastAsia="zh-CN"/>
                    </w:rPr>
                    <w:t>合计</w:t>
                  </w:r>
                </w:p>
              </w:tc>
              <w:tc>
                <w:tcPr>
                  <w:tcW w:w="686" w:type="pct"/>
                  <w:tcBorders>
                    <w:tl2br w:val="nil"/>
                    <w:tr2bl w:val="nil"/>
                  </w:tcBorders>
                  <w:noWrap/>
                  <w:vAlign w:val="center"/>
                </w:tcPr>
                <w:p w14:paraId="00835768">
                  <w:pPr>
                    <w:pStyle w:val="129"/>
                    <w:keepNext w:val="0"/>
                    <w:keepLines w:val="0"/>
                    <w:suppressLineNumbers w:val="0"/>
                    <w:spacing w:before="0" w:beforeAutospacing="0" w:after="0" w:afterAutospacing="0"/>
                    <w:ind w:left="0" w:right="0"/>
                    <w:rPr>
                      <w:rFonts w:hint="default" w:ascii="Times New Roman" w:hAnsi="Times New Roman" w:eastAsia="宋体" w:cs="Times New Roman"/>
                      <w:b/>
                      <w:bCs/>
                      <w:color w:val="auto"/>
                      <w:sz w:val="21"/>
                      <w:szCs w:val="21"/>
                      <w:highlight w:val="none"/>
                      <w:lang w:val="en-US" w:eastAsia="zh-CN"/>
                    </w:rPr>
                  </w:pPr>
                  <w:r>
                    <w:rPr>
                      <w:rFonts w:hint="eastAsia" w:ascii="Times New Roman" w:hAnsi="Times New Roman" w:eastAsia="宋体" w:cs="Times New Roman"/>
                      <w:b/>
                      <w:bCs/>
                      <w:color w:val="auto"/>
                      <w:sz w:val="21"/>
                      <w:szCs w:val="21"/>
                      <w:highlight w:val="none"/>
                      <w:lang w:val="en-US" w:eastAsia="zh-CN"/>
                    </w:rPr>
                    <w:t>1</w:t>
                  </w:r>
                  <w:r>
                    <w:rPr>
                      <w:rFonts w:hint="eastAsia" w:cs="Times New Roman"/>
                      <w:b/>
                      <w:bCs/>
                      <w:color w:val="auto"/>
                      <w:sz w:val="21"/>
                      <w:szCs w:val="21"/>
                      <w:highlight w:val="none"/>
                      <w:lang w:val="en-US" w:eastAsia="zh-CN"/>
                    </w:rPr>
                    <w:t>035</w:t>
                  </w:r>
                </w:p>
              </w:tc>
              <w:tc>
                <w:tcPr>
                  <w:tcW w:w="598" w:type="pct"/>
                  <w:tcBorders>
                    <w:tl2br w:val="nil"/>
                    <w:tr2bl w:val="nil"/>
                  </w:tcBorders>
                  <w:vAlign w:val="center"/>
                </w:tcPr>
                <w:p w14:paraId="627920D5">
                  <w:pPr>
                    <w:pStyle w:val="129"/>
                    <w:keepNext w:val="0"/>
                    <w:keepLines w:val="0"/>
                    <w:suppressLineNumbers w:val="0"/>
                    <w:spacing w:before="0" w:beforeAutospacing="0" w:after="0" w:afterAutospacing="0"/>
                    <w:ind w:left="0" w:right="0"/>
                    <w:rPr>
                      <w:rFonts w:hint="eastAsia" w:ascii="Times New Roman" w:hAnsi="Times New Roman" w:eastAsia="宋体" w:cs="Times New Roman"/>
                      <w:b/>
                      <w:bCs/>
                      <w:color w:val="auto"/>
                      <w:sz w:val="21"/>
                      <w:szCs w:val="21"/>
                      <w:highlight w:val="none"/>
                      <w:lang w:val="en-US" w:eastAsia="zh-CN"/>
                    </w:rPr>
                  </w:pPr>
                  <w:r>
                    <w:rPr>
                      <w:rFonts w:hint="eastAsia" w:ascii="Times New Roman" w:hAnsi="Times New Roman" w:eastAsia="宋体" w:cs="Times New Roman"/>
                      <w:b/>
                      <w:bCs/>
                      <w:color w:val="auto"/>
                      <w:sz w:val="21"/>
                      <w:szCs w:val="21"/>
                      <w:highlight w:val="none"/>
                      <w:lang w:val="en-US" w:eastAsia="zh-CN"/>
                    </w:rPr>
                    <w:t>0.17</w:t>
                  </w:r>
                </w:p>
              </w:tc>
              <w:tc>
                <w:tcPr>
                  <w:tcW w:w="696" w:type="pct"/>
                  <w:tcBorders>
                    <w:tl2br w:val="nil"/>
                    <w:tr2bl w:val="nil"/>
                  </w:tcBorders>
                  <w:shd w:val="clear" w:color="auto" w:fill="auto"/>
                  <w:vAlign w:val="center"/>
                </w:tcPr>
                <w:p w14:paraId="49A55A59">
                  <w:pPr>
                    <w:pStyle w:val="129"/>
                    <w:keepNext w:val="0"/>
                    <w:keepLines w:val="0"/>
                    <w:suppressLineNumbers w:val="0"/>
                    <w:spacing w:before="0" w:beforeAutospacing="0" w:after="0" w:afterAutospacing="0"/>
                    <w:ind w:left="0" w:right="0"/>
                    <w:rPr>
                      <w:rFonts w:hint="default" w:ascii="Times New Roman" w:hAnsi="Times New Roman" w:eastAsia="宋体" w:cs="Times New Roman"/>
                      <w:b/>
                      <w:bCs/>
                      <w:color w:val="auto"/>
                      <w:sz w:val="21"/>
                      <w:szCs w:val="21"/>
                      <w:highlight w:val="none"/>
                      <w:lang w:val="en-US" w:eastAsia="zh-CN"/>
                    </w:rPr>
                  </w:pPr>
                  <w:r>
                    <w:rPr>
                      <w:rFonts w:hint="eastAsia" w:ascii="Times New Roman" w:hAnsi="Times New Roman" w:eastAsia="宋体" w:cs="Times New Roman"/>
                      <w:b/>
                      <w:bCs/>
                      <w:color w:val="auto"/>
                      <w:sz w:val="21"/>
                      <w:szCs w:val="21"/>
                      <w:highlight w:val="none"/>
                      <w:lang w:val="en-US" w:eastAsia="zh-CN"/>
                    </w:rPr>
                    <w:t>0.128</w:t>
                  </w:r>
                </w:p>
              </w:tc>
              <w:tc>
                <w:tcPr>
                  <w:tcW w:w="629" w:type="pct"/>
                  <w:tcBorders>
                    <w:tl2br w:val="nil"/>
                    <w:tr2bl w:val="nil"/>
                  </w:tcBorders>
                  <w:vAlign w:val="center"/>
                </w:tcPr>
                <w:p w14:paraId="5FDDBB54">
                  <w:pPr>
                    <w:pStyle w:val="129"/>
                    <w:keepNext w:val="0"/>
                    <w:keepLines w:val="0"/>
                    <w:suppressLineNumbers w:val="0"/>
                    <w:spacing w:before="0" w:beforeAutospacing="0" w:after="0" w:afterAutospacing="0"/>
                    <w:ind w:left="0" w:right="0"/>
                    <w:rPr>
                      <w:rFonts w:hint="eastAsia" w:ascii="Times New Roman" w:hAnsi="Times New Roman" w:eastAsia="宋体" w:cs="Times New Roman"/>
                      <w:b/>
                      <w:bCs/>
                      <w:color w:val="auto"/>
                      <w:sz w:val="21"/>
                      <w:szCs w:val="21"/>
                      <w:highlight w:val="none"/>
                      <w:lang w:val="en-US" w:eastAsia="zh-CN"/>
                    </w:rPr>
                  </w:pPr>
                  <w:r>
                    <w:rPr>
                      <w:rFonts w:hint="eastAsia" w:ascii="Times New Roman" w:hAnsi="Times New Roman" w:eastAsia="宋体" w:cs="Times New Roman"/>
                      <w:b/>
                      <w:bCs/>
                      <w:color w:val="auto"/>
                      <w:sz w:val="21"/>
                      <w:szCs w:val="21"/>
                      <w:highlight w:val="none"/>
                      <w:lang w:val="en-US" w:eastAsia="zh-CN"/>
                    </w:rPr>
                    <w:t>0.1</w:t>
                  </w:r>
                </w:p>
              </w:tc>
              <w:tc>
                <w:tcPr>
                  <w:tcW w:w="525" w:type="pct"/>
                  <w:tcBorders>
                    <w:tl2br w:val="nil"/>
                    <w:tr2bl w:val="nil"/>
                  </w:tcBorders>
                  <w:shd w:val="clear" w:color="auto" w:fill="auto"/>
                  <w:vAlign w:val="center"/>
                </w:tcPr>
                <w:p w14:paraId="0C899C20">
                  <w:pPr>
                    <w:pStyle w:val="129"/>
                    <w:keepNext w:val="0"/>
                    <w:keepLines w:val="0"/>
                    <w:suppressLineNumbers w:val="0"/>
                    <w:spacing w:before="0" w:beforeAutospacing="0" w:after="0" w:afterAutospacing="0"/>
                    <w:ind w:left="0" w:right="0"/>
                    <w:jc w:val="center"/>
                    <w:rPr>
                      <w:rFonts w:hint="eastAsia" w:ascii="Times New Roman" w:hAnsi="Times New Roman" w:eastAsia="宋体" w:cs="Times New Roman"/>
                      <w:b/>
                      <w:bCs/>
                      <w:color w:val="auto"/>
                      <w:sz w:val="21"/>
                      <w:szCs w:val="21"/>
                      <w:highlight w:val="none"/>
                      <w:lang w:val="en-US" w:eastAsia="zh-CN"/>
                    </w:rPr>
                  </w:pPr>
                  <w:r>
                    <w:rPr>
                      <w:rFonts w:hint="eastAsia" w:cs="Times New Roman"/>
                      <w:b/>
                      <w:bCs/>
                      <w:color w:val="auto"/>
                      <w:sz w:val="21"/>
                      <w:szCs w:val="21"/>
                      <w:highlight w:val="none"/>
                      <w:lang w:val="en-US" w:eastAsia="zh-CN"/>
                    </w:rPr>
                    <w:t>少量</w:t>
                  </w:r>
                </w:p>
              </w:tc>
            </w:tr>
          </w:tbl>
          <w:p w14:paraId="4DD0E840">
            <w:pPr>
              <w:pStyle w:val="122"/>
              <w:keepNext w:val="0"/>
              <w:keepLines w:val="0"/>
              <w:suppressLineNumbers w:val="0"/>
              <w:spacing w:before="0" w:beforeAutospacing="0" w:after="0" w:afterAutospacing="0"/>
              <w:ind w:left="0" w:leftChars="0" w:right="0" w:firstLine="480" w:firstLineChars="200"/>
              <w:rPr>
                <w:rFonts w:hint="default" w:eastAsia="宋体"/>
                <w:highlight w:val="none"/>
                <w:lang w:val="en-US" w:eastAsia="zh-CN"/>
              </w:rPr>
            </w:pPr>
            <w:r>
              <w:rPr>
                <w:rFonts w:hint="default"/>
                <w:highlight w:val="none"/>
              </w:rPr>
              <w:t>废气</w:t>
            </w:r>
            <w:r>
              <w:rPr>
                <w:rFonts w:hint="eastAsia"/>
                <w:highlight w:val="none"/>
              </w:rPr>
              <w:t>由各</w:t>
            </w:r>
            <w:r>
              <w:rPr>
                <w:rFonts w:hint="default"/>
                <w:highlight w:val="none"/>
              </w:rPr>
              <w:t>区域</w:t>
            </w:r>
            <w:r>
              <w:rPr>
                <w:rFonts w:hint="eastAsia"/>
                <w:highlight w:val="none"/>
              </w:rPr>
              <w:t>排风</w:t>
            </w:r>
            <w:r>
              <w:rPr>
                <w:rFonts w:hint="default"/>
                <w:highlight w:val="none"/>
              </w:rPr>
              <w:t>系统</w:t>
            </w:r>
            <w:r>
              <w:rPr>
                <w:rFonts w:hint="eastAsia"/>
                <w:highlight w:val="none"/>
              </w:rPr>
              <w:t>负压</w:t>
            </w:r>
            <w:r>
              <w:rPr>
                <w:rFonts w:hint="default"/>
                <w:highlight w:val="none"/>
              </w:rPr>
              <w:t>收集后</w:t>
            </w:r>
            <w:r>
              <w:rPr>
                <w:rFonts w:hint="eastAsia"/>
                <w:highlight w:val="none"/>
              </w:rPr>
              <w:t>，经各废气</w:t>
            </w:r>
            <w:r>
              <w:rPr>
                <w:rFonts w:hint="default"/>
                <w:highlight w:val="none"/>
              </w:rPr>
              <w:t>处理装置</w:t>
            </w:r>
            <w:r>
              <w:rPr>
                <w:rFonts w:hint="eastAsia"/>
                <w:highlight w:val="none"/>
              </w:rPr>
              <w:t>（活性炭处理）</w:t>
            </w:r>
            <w:r>
              <w:rPr>
                <w:rFonts w:hint="default"/>
                <w:highlight w:val="none"/>
              </w:rPr>
              <w:t>处理后</w:t>
            </w:r>
            <w:r>
              <w:rPr>
                <w:rFonts w:hint="eastAsia"/>
                <w:highlight w:val="none"/>
              </w:rPr>
              <w:t>通过</w:t>
            </w:r>
            <w:r>
              <w:rPr>
                <w:rFonts w:hint="default"/>
                <w:highlight w:val="none"/>
              </w:rPr>
              <w:t>配套排气筒</w:t>
            </w:r>
            <w:r>
              <w:rPr>
                <w:rFonts w:hint="eastAsia"/>
                <w:highlight w:val="none"/>
              </w:rPr>
              <w:t>排放</w:t>
            </w:r>
            <w:r>
              <w:rPr>
                <w:rFonts w:hint="default"/>
                <w:highlight w:val="none"/>
              </w:rPr>
              <w:t>，废气收集效率</w:t>
            </w:r>
            <w:r>
              <w:rPr>
                <w:rFonts w:hint="eastAsia"/>
                <w:highlight w:val="none"/>
              </w:rPr>
              <w:t>按9</w:t>
            </w:r>
            <w:r>
              <w:rPr>
                <w:rFonts w:hint="default"/>
                <w:highlight w:val="none"/>
              </w:rPr>
              <w:t>0%</w:t>
            </w:r>
            <w:r>
              <w:rPr>
                <w:rFonts w:hint="eastAsia"/>
                <w:highlight w:val="none"/>
              </w:rPr>
              <w:t>计</w:t>
            </w:r>
            <w:r>
              <w:rPr>
                <w:rFonts w:hint="eastAsia"/>
                <w:highlight w:val="none"/>
                <w:lang w:eastAsia="zh-CN"/>
              </w:rPr>
              <w:t>，</w:t>
            </w:r>
            <w:r>
              <w:rPr>
                <w:rFonts w:hint="eastAsia"/>
                <w:highlight w:val="none"/>
                <w:lang w:val="en-US" w:eastAsia="zh-CN"/>
              </w:rPr>
              <w:t>消毒工序年工作时间为1040h/a。</w:t>
            </w:r>
            <w:r>
              <w:rPr>
                <w:rFonts w:hint="eastAsia"/>
                <w:sz w:val="24"/>
                <w:highlight w:val="none"/>
                <w:lang w:val="en-US" w:eastAsia="zh-CN"/>
              </w:rPr>
              <w:t>根据《实验动物 环境及设施》（GB14925-2023），普通环境换气次数应≥8次/h，本项目除一楼消毒区域（</w:t>
            </w:r>
            <w:r>
              <w:rPr>
                <w:rFonts w:hint="eastAsia" w:ascii="Times New Roman" w:hAnsi="Times New Roman" w:eastAsia="宋体" w:cs="宋体"/>
                <w:bCs/>
                <w:kern w:val="0"/>
                <w:sz w:val="24"/>
                <w:szCs w:val="24"/>
                <w:highlight w:val="none"/>
                <w:lang w:val="en-US" w:eastAsia="zh-CN" w:bidi="ar-SA"/>
              </w:rPr>
              <w:t>屏障环境</w:t>
            </w:r>
            <w:r>
              <w:rPr>
                <w:rFonts w:hint="eastAsia"/>
                <w:sz w:val="24"/>
                <w:highlight w:val="none"/>
                <w:lang w:val="en-US" w:eastAsia="zh-CN"/>
              </w:rPr>
              <w:t>）外其他消毒区域均为普通环境，故换气次数取12次/h。</w:t>
            </w:r>
          </w:p>
          <w:p w14:paraId="36BF29E3">
            <w:pPr>
              <w:keepNext w:val="0"/>
              <w:keepLines w:val="0"/>
              <w:suppressLineNumbers w:val="0"/>
              <w:spacing w:before="0" w:beforeAutospacing="0" w:after="0" w:afterAutospacing="0" w:line="360" w:lineRule="auto"/>
              <w:ind w:left="0" w:right="0" w:firstLine="480" w:firstLineChars="200"/>
              <w:rPr>
                <w:rFonts w:hint="eastAsia" w:ascii="Times New Roman" w:hAnsi="Times New Roman" w:eastAsia="宋体" w:cs="宋体"/>
                <w:bCs/>
                <w:kern w:val="0"/>
                <w:sz w:val="24"/>
                <w:szCs w:val="24"/>
                <w:highlight w:val="none"/>
                <w:lang w:val="en-US" w:eastAsia="zh-CN" w:bidi="ar-SA"/>
              </w:rPr>
            </w:pPr>
            <w:r>
              <w:rPr>
                <w:rFonts w:hint="eastAsia" w:cs="宋体"/>
                <w:bCs/>
                <w:kern w:val="0"/>
                <w:sz w:val="24"/>
                <w:szCs w:val="24"/>
                <w:highlight w:val="none"/>
                <w:lang w:val="en-US" w:eastAsia="zh-CN" w:bidi="ar-SA"/>
              </w:rPr>
              <w:t>一</w:t>
            </w:r>
            <w:r>
              <w:rPr>
                <w:rFonts w:hint="eastAsia" w:ascii="Times New Roman" w:hAnsi="Times New Roman" w:eastAsia="宋体" w:cs="宋体"/>
                <w:bCs/>
                <w:kern w:val="0"/>
                <w:sz w:val="24"/>
                <w:szCs w:val="24"/>
                <w:highlight w:val="none"/>
                <w:lang w:val="en-US" w:eastAsia="zh-CN" w:bidi="ar-SA"/>
              </w:rPr>
              <w:t>楼复苏室、准备室、手术室</w:t>
            </w:r>
            <w:r>
              <w:rPr>
                <w:rFonts w:hint="eastAsia" w:cs="宋体"/>
                <w:bCs/>
                <w:kern w:val="0"/>
                <w:sz w:val="24"/>
                <w:szCs w:val="24"/>
                <w:highlight w:val="none"/>
                <w:lang w:val="en-US" w:eastAsia="zh-CN" w:bidi="ar-SA"/>
              </w:rPr>
              <w:t>等</w:t>
            </w:r>
            <w:r>
              <w:rPr>
                <w:rFonts w:hint="eastAsia"/>
                <w:highlight w:val="none"/>
              </w:rPr>
              <w:t>区域</w:t>
            </w:r>
            <w:r>
              <w:rPr>
                <w:rFonts w:hint="eastAsia"/>
                <w:highlight w:val="none"/>
                <w:lang w:val="en-US" w:eastAsia="zh-CN"/>
              </w:rPr>
              <w:t>合计</w:t>
            </w:r>
            <w:r>
              <w:rPr>
                <w:rFonts w:hint="eastAsia" w:cs="宋体"/>
                <w:bCs/>
                <w:kern w:val="0"/>
                <w:sz w:val="24"/>
                <w:szCs w:val="24"/>
                <w:highlight w:val="none"/>
                <w:lang w:val="en-US" w:eastAsia="zh-CN" w:bidi="ar-SA"/>
              </w:rPr>
              <w:t>体积约为136.3m</w:t>
            </w:r>
            <w:r>
              <w:rPr>
                <w:rFonts w:hint="eastAsia" w:cs="宋体"/>
                <w:bCs/>
                <w:kern w:val="0"/>
                <w:sz w:val="24"/>
                <w:szCs w:val="24"/>
                <w:highlight w:val="none"/>
                <w:vertAlign w:val="superscript"/>
                <w:lang w:val="en-US" w:eastAsia="zh-CN" w:bidi="ar-SA"/>
              </w:rPr>
              <w:t>3</w:t>
            </w:r>
            <w:r>
              <w:rPr>
                <w:rFonts w:hint="eastAsia" w:cs="宋体"/>
                <w:bCs/>
                <w:kern w:val="0"/>
                <w:sz w:val="24"/>
                <w:szCs w:val="24"/>
                <w:highlight w:val="none"/>
                <w:vertAlign w:val="baseline"/>
                <w:lang w:val="en-US" w:eastAsia="zh-CN" w:bidi="ar-SA"/>
              </w:rPr>
              <w:t>（45.4m</w:t>
            </w:r>
            <w:r>
              <w:rPr>
                <w:rFonts w:hint="eastAsia" w:cs="宋体"/>
                <w:bCs/>
                <w:kern w:val="0"/>
                <w:sz w:val="24"/>
                <w:szCs w:val="24"/>
                <w:highlight w:val="none"/>
                <w:vertAlign w:val="superscript"/>
                <w:lang w:val="en-US" w:eastAsia="zh-CN" w:bidi="ar-SA"/>
              </w:rPr>
              <w:t>2</w:t>
            </w:r>
            <w:r>
              <w:rPr>
                <w:rFonts w:hint="eastAsia" w:cs="宋体"/>
                <w:bCs/>
                <w:kern w:val="0"/>
                <w:sz w:val="24"/>
                <w:szCs w:val="24"/>
                <w:highlight w:val="none"/>
                <w:vertAlign w:val="baseline"/>
                <w:lang w:val="en-US" w:eastAsia="zh-CN" w:bidi="ar-SA"/>
              </w:rPr>
              <w:t>*3m）</w:t>
            </w:r>
            <w:r>
              <w:rPr>
                <w:rFonts w:hint="eastAsia"/>
                <w:sz w:val="24"/>
                <w:highlight w:val="none"/>
              </w:rPr>
              <w:t>，换气次数</w:t>
            </w:r>
            <w:r>
              <w:rPr>
                <w:rFonts w:hint="eastAsia"/>
                <w:sz w:val="24"/>
                <w:highlight w:val="none"/>
                <w:lang w:val="en-US" w:eastAsia="zh-CN"/>
              </w:rPr>
              <w:t>为18</w:t>
            </w:r>
            <w:r>
              <w:rPr>
                <w:rFonts w:hint="eastAsia"/>
                <w:sz w:val="24"/>
                <w:highlight w:val="none"/>
              </w:rPr>
              <w:t>次/h</w:t>
            </w:r>
            <w:r>
              <w:rPr>
                <w:rFonts w:hint="eastAsia"/>
                <w:sz w:val="24"/>
                <w:highlight w:val="none"/>
                <w:lang w:eastAsia="zh-CN"/>
              </w:rPr>
              <w:t>，</w:t>
            </w:r>
            <w:r>
              <w:rPr>
                <w:rFonts w:hint="eastAsia"/>
                <w:sz w:val="24"/>
                <w:highlight w:val="none"/>
                <w:lang w:val="en-US" w:eastAsia="zh-CN"/>
              </w:rPr>
              <w:t>则</w:t>
            </w:r>
            <w:r>
              <w:rPr>
                <w:rFonts w:hint="eastAsia"/>
                <w:sz w:val="24"/>
                <w:highlight w:val="none"/>
              </w:rPr>
              <w:t>收集风量保守</w:t>
            </w:r>
            <w:r>
              <w:rPr>
                <w:rFonts w:hint="eastAsia"/>
                <w:sz w:val="24"/>
                <w:highlight w:val="none"/>
                <w:lang w:val="en-US" w:eastAsia="zh-CN"/>
              </w:rPr>
              <w:t>约为2453</w:t>
            </w:r>
            <w:r>
              <w:rPr>
                <w:rFonts w:hint="eastAsia"/>
                <w:sz w:val="24"/>
                <w:highlight w:val="none"/>
              </w:rPr>
              <w:t>m</w:t>
            </w:r>
            <w:r>
              <w:rPr>
                <w:rFonts w:hint="eastAsia"/>
                <w:sz w:val="24"/>
                <w:highlight w:val="none"/>
                <w:vertAlign w:val="superscript"/>
              </w:rPr>
              <w:t>3</w:t>
            </w:r>
            <w:r>
              <w:rPr>
                <w:rFonts w:hint="eastAsia"/>
                <w:sz w:val="24"/>
                <w:highlight w:val="none"/>
              </w:rPr>
              <w:t>/h</w:t>
            </w:r>
            <w:r>
              <w:rPr>
                <w:rFonts w:hint="eastAsia"/>
                <w:sz w:val="24"/>
                <w:highlight w:val="none"/>
                <w:lang w:eastAsia="zh-CN"/>
              </w:rPr>
              <w:t>，</w:t>
            </w:r>
            <w:r>
              <w:rPr>
                <w:rFonts w:hint="eastAsia" w:cs="宋体"/>
                <w:bCs/>
                <w:kern w:val="0"/>
                <w:sz w:val="24"/>
                <w:szCs w:val="24"/>
                <w:highlight w:val="none"/>
                <w:lang w:val="en-US" w:eastAsia="zh-CN" w:bidi="ar-SA"/>
              </w:rPr>
              <w:t>一</w:t>
            </w:r>
            <w:r>
              <w:rPr>
                <w:rFonts w:hint="eastAsia" w:ascii="Times New Roman" w:hAnsi="Times New Roman" w:eastAsia="宋体" w:cs="宋体"/>
                <w:bCs/>
                <w:kern w:val="0"/>
                <w:sz w:val="24"/>
                <w:szCs w:val="24"/>
                <w:highlight w:val="none"/>
                <w:lang w:val="en-US" w:eastAsia="zh-CN" w:bidi="ar-SA"/>
              </w:rPr>
              <w:t>楼复苏室、准备室、手术室</w:t>
            </w:r>
            <w:r>
              <w:rPr>
                <w:rFonts w:hint="eastAsia" w:cs="宋体"/>
                <w:bCs/>
                <w:kern w:val="0"/>
                <w:sz w:val="24"/>
                <w:szCs w:val="24"/>
                <w:highlight w:val="none"/>
                <w:lang w:val="en-US" w:eastAsia="zh-CN" w:bidi="ar-SA"/>
              </w:rPr>
              <w:t>等</w:t>
            </w:r>
            <w:r>
              <w:rPr>
                <w:rFonts w:hint="eastAsia"/>
                <w:highlight w:val="none"/>
              </w:rPr>
              <w:t>区域</w:t>
            </w:r>
            <w:r>
              <w:rPr>
                <w:rFonts w:hint="eastAsia" w:ascii="Times New Roman" w:hAnsi="Times New Roman" w:eastAsia="宋体" w:cs="宋体"/>
                <w:bCs/>
                <w:kern w:val="0"/>
                <w:sz w:val="24"/>
                <w:szCs w:val="24"/>
                <w:highlight w:val="none"/>
                <w:lang w:val="en-US" w:eastAsia="zh-CN" w:bidi="ar-SA"/>
              </w:rPr>
              <w:t>消毒</w:t>
            </w:r>
            <w:r>
              <w:rPr>
                <w:rFonts w:hint="eastAsia"/>
                <w:highlight w:val="none"/>
                <w:lang w:val="en-US" w:eastAsia="zh-CN"/>
              </w:rPr>
              <w:t>废气</w:t>
            </w:r>
            <w:r>
              <w:rPr>
                <w:rFonts w:hint="eastAsia" w:ascii="Times New Roman" w:hAnsi="Times New Roman" w:eastAsia="宋体" w:cs="宋体"/>
                <w:bCs/>
                <w:kern w:val="0"/>
                <w:sz w:val="24"/>
                <w:szCs w:val="24"/>
                <w:highlight w:val="none"/>
                <w:lang w:val="en-US" w:eastAsia="zh-CN" w:bidi="ar-SA"/>
              </w:rPr>
              <w:t>经收集后经活性炭吸附装置处理后通过</w:t>
            </w:r>
            <w:r>
              <w:rPr>
                <w:rFonts w:hint="eastAsia" w:cs="宋体"/>
                <w:bCs/>
                <w:kern w:val="0"/>
                <w:sz w:val="24"/>
                <w:szCs w:val="24"/>
                <w:highlight w:val="none"/>
                <w:lang w:val="en-US" w:eastAsia="zh-CN" w:bidi="ar-SA"/>
              </w:rPr>
              <w:t>30</w:t>
            </w:r>
            <w:r>
              <w:rPr>
                <w:rFonts w:hint="eastAsia" w:ascii="Times New Roman" w:hAnsi="Times New Roman" w:eastAsia="宋体" w:cs="宋体"/>
                <w:bCs/>
                <w:kern w:val="0"/>
                <w:sz w:val="24"/>
                <w:szCs w:val="24"/>
                <w:highlight w:val="none"/>
                <w:lang w:val="en-US" w:eastAsia="zh-CN" w:bidi="ar-SA"/>
              </w:rPr>
              <w:t>m高排气筒</w:t>
            </w:r>
            <w:r>
              <w:rPr>
                <w:rFonts w:hint="eastAsia" w:cs="宋体"/>
                <w:bCs/>
                <w:kern w:val="0"/>
                <w:sz w:val="24"/>
                <w:szCs w:val="24"/>
                <w:highlight w:val="none"/>
                <w:lang w:val="en-US" w:eastAsia="zh-CN" w:bidi="ar-SA"/>
              </w:rPr>
              <w:t>（DA006）</w:t>
            </w:r>
            <w:r>
              <w:rPr>
                <w:rFonts w:hint="eastAsia" w:ascii="Times New Roman" w:hAnsi="Times New Roman" w:eastAsia="宋体" w:cs="宋体"/>
                <w:bCs/>
                <w:kern w:val="0"/>
                <w:sz w:val="24"/>
                <w:szCs w:val="24"/>
                <w:highlight w:val="none"/>
                <w:lang w:val="en-US" w:eastAsia="zh-CN" w:bidi="ar-SA"/>
              </w:rPr>
              <w:t>高空排放；</w:t>
            </w:r>
          </w:p>
          <w:p w14:paraId="409973DE">
            <w:pPr>
              <w:keepNext w:val="0"/>
              <w:keepLines w:val="0"/>
              <w:suppressLineNumbers w:val="0"/>
              <w:spacing w:before="0" w:beforeAutospacing="0" w:after="0" w:afterAutospacing="0" w:line="360" w:lineRule="auto"/>
              <w:ind w:left="0" w:right="0" w:firstLine="480" w:firstLineChars="200"/>
              <w:rPr>
                <w:rFonts w:hint="eastAsia" w:ascii="Times New Roman" w:hAnsi="Times New Roman" w:eastAsia="宋体" w:cs="宋体"/>
                <w:bCs/>
                <w:kern w:val="0"/>
                <w:sz w:val="24"/>
                <w:szCs w:val="24"/>
                <w:highlight w:val="none"/>
                <w:lang w:val="en-US" w:eastAsia="zh-CN" w:bidi="ar-SA"/>
              </w:rPr>
            </w:pPr>
            <w:r>
              <w:rPr>
                <w:rFonts w:hint="eastAsia" w:ascii="Times New Roman" w:hAnsi="Times New Roman" w:eastAsia="宋体" w:cs="宋体"/>
                <w:bCs/>
                <w:kern w:val="0"/>
                <w:sz w:val="24"/>
                <w:szCs w:val="24"/>
                <w:highlight w:val="none"/>
                <w:lang w:val="en-US" w:eastAsia="zh-CN" w:bidi="ar-SA"/>
              </w:rPr>
              <w:t>二楼洗消室、准备间、解剖室等</w:t>
            </w:r>
            <w:r>
              <w:rPr>
                <w:rFonts w:hint="eastAsia"/>
                <w:highlight w:val="none"/>
              </w:rPr>
              <w:t>区域</w:t>
            </w:r>
            <w:r>
              <w:rPr>
                <w:rFonts w:hint="eastAsia"/>
                <w:highlight w:val="none"/>
                <w:lang w:val="en-US" w:eastAsia="zh-CN"/>
              </w:rPr>
              <w:t>合计</w:t>
            </w:r>
            <w:r>
              <w:rPr>
                <w:rFonts w:hint="eastAsia" w:cs="宋体"/>
                <w:bCs/>
                <w:kern w:val="0"/>
                <w:sz w:val="24"/>
                <w:szCs w:val="24"/>
                <w:highlight w:val="none"/>
                <w:lang w:val="en-US" w:eastAsia="zh-CN" w:bidi="ar-SA"/>
              </w:rPr>
              <w:t>体积约为1241.7m</w:t>
            </w:r>
            <w:r>
              <w:rPr>
                <w:rFonts w:hint="eastAsia" w:cs="宋体"/>
                <w:bCs/>
                <w:kern w:val="0"/>
                <w:sz w:val="24"/>
                <w:szCs w:val="24"/>
                <w:highlight w:val="none"/>
                <w:vertAlign w:val="superscript"/>
                <w:lang w:val="en-US" w:eastAsia="zh-CN" w:bidi="ar-SA"/>
              </w:rPr>
              <w:t>3</w:t>
            </w:r>
            <w:r>
              <w:rPr>
                <w:rFonts w:hint="eastAsia" w:cs="宋体"/>
                <w:bCs/>
                <w:kern w:val="0"/>
                <w:sz w:val="24"/>
                <w:szCs w:val="24"/>
                <w:highlight w:val="none"/>
                <w:vertAlign w:val="baseline"/>
                <w:lang w:val="en-US" w:eastAsia="zh-CN" w:bidi="ar-SA"/>
              </w:rPr>
              <w:t>（413.9m</w:t>
            </w:r>
            <w:r>
              <w:rPr>
                <w:rFonts w:hint="eastAsia" w:cs="宋体"/>
                <w:bCs/>
                <w:kern w:val="0"/>
                <w:sz w:val="24"/>
                <w:szCs w:val="24"/>
                <w:highlight w:val="none"/>
                <w:vertAlign w:val="superscript"/>
                <w:lang w:val="en-US" w:eastAsia="zh-CN" w:bidi="ar-SA"/>
              </w:rPr>
              <w:t>2</w:t>
            </w:r>
            <w:r>
              <w:rPr>
                <w:rFonts w:hint="eastAsia" w:cs="宋体"/>
                <w:bCs/>
                <w:kern w:val="0"/>
                <w:sz w:val="24"/>
                <w:szCs w:val="24"/>
                <w:highlight w:val="none"/>
                <w:vertAlign w:val="baseline"/>
                <w:lang w:val="en-US" w:eastAsia="zh-CN" w:bidi="ar-SA"/>
              </w:rPr>
              <w:t>*3m）</w:t>
            </w:r>
            <w:r>
              <w:rPr>
                <w:rFonts w:hint="eastAsia"/>
                <w:sz w:val="24"/>
                <w:highlight w:val="none"/>
              </w:rPr>
              <w:t>，换气次数</w:t>
            </w:r>
            <w:r>
              <w:rPr>
                <w:rFonts w:hint="eastAsia"/>
                <w:sz w:val="24"/>
                <w:highlight w:val="none"/>
                <w:lang w:val="en-US" w:eastAsia="zh-CN"/>
              </w:rPr>
              <w:t>为12</w:t>
            </w:r>
            <w:r>
              <w:rPr>
                <w:rFonts w:hint="eastAsia"/>
                <w:sz w:val="24"/>
                <w:highlight w:val="none"/>
              </w:rPr>
              <w:t>次/h</w:t>
            </w:r>
            <w:r>
              <w:rPr>
                <w:rFonts w:hint="eastAsia"/>
                <w:sz w:val="24"/>
                <w:highlight w:val="none"/>
                <w:lang w:eastAsia="zh-CN"/>
              </w:rPr>
              <w:t>，</w:t>
            </w:r>
            <w:r>
              <w:rPr>
                <w:rFonts w:hint="eastAsia"/>
                <w:sz w:val="24"/>
                <w:highlight w:val="none"/>
                <w:lang w:val="en-US" w:eastAsia="zh-CN"/>
              </w:rPr>
              <w:t>则</w:t>
            </w:r>
            <w:r>
              <w:rPr>
                <w:rFonts w:hint="eastAsia"/>
                <w:sz w:val="24"/>
                <w:highlight w:val="none"/>
              </w:rPr>
              <w:t>收集风量保守</w:t>
            </w:r>
            <w:r>
              <w:rPr>
                <w:rFonts w:hint="eastAsia"/>
                <w:sz w:val="24"/>
                <w:highlight w:val="none"/>
                <w:lang w:val="en-US" w:eastAsia="zh-CN"/>
              </w:rPr>
              <w:t>约为14900</w:t>
            </w:r>
            <w:r>
              <w:rPr>
                <w:rFonts w:hint="eastAsia"/>
                <w:sz w:val="24"/>
                <w:highlight w:val="none"/>
              </w:rPr>
              <w:t>m</w:t>
            </w:r>
            <w:r>
              <w:rPr>
                <w:rFonts w:hint="eastAsia"/>
                <w:sz w:val="24"/>
                <w:highlight w:val="none"/>
                <w:vertAlign w:val="superscript"/>
              </w:rPr>
              <w:t>3</w:t>
            </w:r>
            <w:r>
              <w:rPr>
                <w:rFonts w:hint="eastAsia"/>
                <w:sz w:val="24"/>
                <w:highlight w:val="none"/>
              </w:rPr>
              <w:t>/h</w:t>
            </w:r>
            <w:r>
              <w:rPr>
                <w:rFonts w:hint="eastAsia"/>
                <w:sz w:val="24"/>
                <w:highlight w:val="none"/>
                <w:lang w:eastAsia="zh-CN"/>
              </w:rPr>
              <w:t>，</w:t>
            </w:r>
            <w:r>
              <w:rPr>
                <w:rFonts w:hint="eastAsia" w:ascii="Times New Roman" w:hAnsi="Times New Roman" w:eastAsia="宋体" w:cs="宋体"/>
                <w:bCs/>
                <w:kern w:val="0"/>
                <w:sz w:val="24"/>
                <w:szCs w:val="24"/>
                <w:highlight w:val="none"/>
                <w:lang w:val="en-US" w:eastAsia="zh-CN" w:bidi="ar-SA"/>
              </w:rPr>
              <w:t>二楼洗消室、准备间、解剖室等</w:t>
            </w:r>
            <w:r>
              <w:rPr>
                <w:rFonts w:hint="eastAsia"/>
                <w:highlight w:val="none"/>
              </w:rPr>
              <w:t>区域</w:t>
            </w:r>
            <w:r>
              <w:rPr>
                <w:rFonts w:hint="eastAsia" w:ascii="Times New Roman" w:hAnsi="Times New Roman" w:eastAsia="宋体" w:cs="宋体"/>
                <w:bCs/>
                <w:kern w:val="0"/>
                <w:sz w:val="24"/>
                <w:szCs w:val="24"/>
                <w:highlight w:val="none"/>
                <w:lang w:val="en-US" w:eastAsia="zh-CN" w:bidi="ar-SA"/>
              </w:rPr>
              <w:t>消毒</w:t>
            </w:r>
            <w:r>
              <w:rPr>
                <w:rFonts w:hint="eastAsia"/>
                <w:highlight w:val="none"/>
                <w:lang w:val="en-US" w:eastAsia="zh-CN"/>
              </w:rPr>
              <w:t>废气</w:t>
            </w:r>
            <w:r>
              <w:rPr>
                <w:rFonts w:hint="eastAsia" w:ascii="Times New Roman" w:hAnsi="Times New Roman" w:eastAsia="宋体" w:cs="宋体"/>
                <w:bCs/>
                <w:kern w:val="0"/>
                <w:sz w:val="24"/>
                <w:szCs w:val="24"/>
                <w:highlight w:val="none"/>
                <w:lang w:val="en-US" w:eastAsia="zh-CN" w:bidi="ar-SA"/>
              </w:rPr>
              <w:t>经活性炭吸附装置处理后通过</w:t>
            </w:r>
            <w:r>
              <w:rPr>
                <w:rFonts w:hint="eastAsia" w:cs="宋体"/>
                <w:bCs/>
                <w:kern w:val="0"/>
                <w:sz w:val="24"/>
                <w:szCs w:val="24"/>
                <w:highlight w:val="none"/>
                <w:lang w:val="en-US" w:eastAsia="zh-CN" w:bidi="ar-SA"/>
              </w:rPr>
              <w:t>30</w:t>
            </w:r>
            <w:r>
              <w:rPr>
                <w:rFonts w:hint="eastAsia" w:ascii="Times New Roman" w:hAnsi="Times New Roman" w:eastAsia="宋体" w:cs="宋体"/>
                <w:bCs/>
                <w:kern w:val="0"/>
                <w:sz w:val="24"/>
                <w:szCs w:val="24"/>
                <w:highlight w:val="none"/>
                <w:lang w:val="en-US" w:eastAsia="zh-CN" w:bidi="ar-SA"/>
              </w:rPr>
              <w:t>m高排气筒</w:t>
            </w:r>
            <w:r>
              <w:rPr>
                <w:rFonts w:hint="eastAsia" w:cs="宋体"/>
                <w:bCs/>
                <w:kern w:val="0"/>
                <w:sz w:val="24"/>
                <w:szCs w:val="24"/>
                <w:highlight w:val="none"/>
                <w:lang w:val="en-US" w:eastAsia="zh-CN" w:bidi="ar-SA"/>
              </w:rPr>
              <w:t>（DA007）</w:t>
            </w:r>
            <w:r>
              <w:rPr>
                <w:rFonts w:hint="eastAsia" w:ascii="Times New Roman" w:hAnsi="Times New Roman" w:eastAsia="宋体" w:cs="宋体"/>
                <w:bCs/>
                <w:kern w:val="0"/>
                <w:sz w:val="24"/>
                <w:szCs w:val="24"/>
                <w:highlight w:val="none"/>
                <w:lang w:val="en-US" w:eastAsia="zh-CN" w:bidi="ar-SA"/>
              </w:rPr>
              <w:t>高空排放；</w:t>
            </w:r>
          </w:p>
          <w:p w14:paraId="0066FA9B">
            <w:pPr>
              <w:keepNext w:val="0"/>
              <w:keepLines w:val="0"/>
              <w:suppressLineNumbers w:val="0"/>
              <w:spacing w:before="0" w:beforeAutospacing="0" w:after="0" w:afterAutospacing="0" w:line="360" w:lineRule="auto"/>
              <w:ind w:left="0" w:right="0" w:firstLine="480" w:firstLineChars="200"/>
              <w:rPr>
                <w:rFonts w:hint="default" w:eastAsia="宋体"/>
                <w:sz w:val="24"/>
                <w:highlight w:val="none"/>
                <w:lang w:val="en-US" w:eastAsia="zh-CN"/>
              </w:rPr>
            </w:pPr>
            <w:r>
              <w:rPr>
                <w:rFonts w:hint="eastAsia" w:ascii="Times New Roman" w:hAnsi="Times New Roman" w:eastAsia="宋体" w:cs="宋体"/>
                <w:bCs/>
                <w:kern w:val="0"/>
                <w:sz w:val="24"/>
                <w:szCs w:val="24"/>
                <w:highlight w:val="none"/>
                <w:lang w:val="en-US" w:eastAsia="zh-CN" w:bidi="ar-SA"/>
              </w:rPr>
              <w:t>三楼普通</w:t>
            </w:r>
            <w:r>
              <w:rPr>
                <w:rFonts w:hint="eastAsia" w:ascii="Times New Roman" w:hAnsi="Times New Roman" w:eastAsia="宋体" w:cs="Times New Roman"/>
                <w:sz w:val="24"/>
                <w:highlight w:val="none"/>
                <w:lang w:val="en-US" w:eastAsia="zh-CN"/>
              </w:rPr>
              <w:t>实验</w:t>
            </w:r>
            <w:r>
              <w:rPr>
                <w:rFonts w:hint="eastAsia" w:ascii="Times New Roman" w:hAnsi="Times New Roman" w:eastAsia="宋体" w:cs="Times New Roman"/>
                <w:sz w:val="24"/>
                <w:highlight w:val="none"/>
              </w:rPr>
              <w:t>区域</w:t>
            </w:r>
            <w:r>
              <w:rPr>
                <w:rFonts w:hint="eastAsia" w:ascii="Times New Roman" w:hAnsi="Times New Roman" w:eastAsia="宋体" w:cs="Times New Roman"/>
                <w:sz w:val="24"/>
                <w:highlight w:val="none"/>
                <w:lang w:val="en-US" w:eastAsia="zh-CN"/>
              </w:rPr>
              <w:t>中包埋、切片室设置了2台通风橱，每台通风橱收集风量为1500</w:t>
            </w:r>
            <w:r>
              <w:rPr>
                <w:rFonts w:hint="eastAsia"/>
                <w:sz w:val="24"/>
                <w:highlight w:val="none"/>
              </w:rPr>
              <w:t>m</w:t>
            </w:r>
            <w:r>
              <w:rPr>
                <w:rFonts w:hint="eastAsia"/>
                <w:sz w:val="24"/>
                <w:highlight w:val="none"/>
                <w:vertAlign w:val="superscript"/>
              </w:rPr>
              <w:t>3</w:t>
            </w:r>
            <w:r>
              <w:rPr>
                <w:rFonts w:hint="eastAsia" w:ascii="Times New Roman" w:hAnsi="Times New Roman" w:eastAsia="宋体" w:cs="Times New Roman"/>
                <w:sz w:val="24"/>
                <w:highlight w:val="none"/>
              </w:rPr>
              <w:t>/h</w:t>
            </w:r>
            <w:r>
              <w:rPr>
                <w:rFonts w:hint="eastAsia" w:ascii="Times New Roman" w:hAnsi="Times New Roman" w:eastAsia="宋体" w:cs="Times New Roman"/>
                <w:sz w:val="24"/>
                <w:highlight w:val="none"/>
                <w:lang w:eastAsia="zh-CN"/>
              </w:rPr>
              <w:t>，</w:t>
            </w:r>
            <w:r>
              <w:rPr>
                <w:rFonts w:hint="eastAsia" w:ascii="Times New Roman" w:hAnsi="Times New Roman" w:eastAsia="宋体" w:cs="Times New Roman"/>
                <w:sz w:val="24"/>
                <w:highlight w:val="none"/>
                <w:lang w:val="en-US" w:eastAsia="zh-CN"/>
              </w:rPr>
              <w:t>收集风量合计为3000</w:t>
            </w:r>
            <w:r>
              <w:rPr>
                <w:rFonts w:hint="eastAsia"/>
                <w:sz w:val="24"/>
                <w:highlight w:val="none"/>
              </w:rPr>
              <w:t>m</w:t>
            </w:r>
            <w:r>
              <w:rPr>
                <w:rFonts w:hint="eastAsia"/>
                <w:sz w:val="24"/>
                <w:highlight w:val="none"/>
                <w:vertAlign w:val="superscript"/>
              </w:rPr>
              <w:t>3</w:t>
            </w:r>
            <w:r>
              <w:rPr>
                <w:rFonts w:hint="eastAsia" w:ascii="Times New Roman" w:hAnsi="Times New Roman" w:eastAsia="宋体" w:cs="Times New Roman"/>
                <w:sz w:val="24"/>
                <w:highlight w:val="none"/>
              </w:rPr>
              <w:t>/h</w:t>
            </w:r>
            <w:r>
              <w:rPr>
                <w:rFonts w:hint="eastAsia" w:ascii="Times New Roman" w:hAnsi="Times New Roman" w:eastAsia="宋体" w:cs="Times New Roman"/>
                <w:sz w:val="24"/>
                <w:highlight w:val="none"/>
                <w:lang w:eastAsia="zh-CN"/>
              </w:rPr>
              <w:t>；</w:t>
            </w:r>
            <w:r>
              <w:rPr>
                <w:rFonts w:hint="eastAsia" w:ascii="Times New Roman" w:hAnsi="Times New Roman" w:eastAsia="宋体" w:cs="Times New Roman"/>
                <w:sz w:val="24"/>
                <w:highlight w:val="none"/>
                <w:lang w:val="en-US" w:eastAsia="zh-CN"/>
              </w:rPr>
              <w:t>取材、脱水、染色室设置了2台通风橱和1个取材台，每台通风橱收集风量为1500</w:t>
            </w:r>
            <w:r>
              <w:rPr>
                <w:rFonts w:hint="eastAsia"/>
                <w:sz w:val="24"/>
                <w:highlight w:val="none"/>
              </w:rPr>
              <w:t>m</w:t>
            </w:r>
            <w:r>
              <w:rPr>
                <w:rFonts w:hint="eastAsia"/>
                <w:sz w:val="24"/>
                <w:highlight w:val="none"/>
                <w:vertAlign w:val="superscript"/>
              </w:rPr>
              <w:t>3</w:t>
            </w:r>
            <w:r>
              <w:rPr>
                <w:rFonts w:hint="eastAsia" w:ascii="Times New Roman" w:hAnsi="Times New Roman" w:eastAsia="宋体" w:cs="Times New Roman"/>
                <w:sz w:val="24"/>
                <w:highlight w:val="none"/>
              </w:rPr>
              <w:t>/h</w:t>
            </w:r>
            <w:r>
              <w:rPr>
                <w:rFonts w:hint="eastAsia" w:ascii="Times New Roman" w:hAnsi="Times New Roman" w:eastAsia="宋体" w:cs="Times New Roman"/>
                <w:sz w:val="24"/>
                <w:highlight w:val="none"/>
                <w:lang w:eastAsia="zh-CN"/>
              </w:rPr>
              <w:t>，</w:t>
            </w:r>
            <w:r>
              <w:rPr>
                <w:rFonts w:hint="eastAsia" w:ascii="Times New Roman" w:hAnsi="Times New Roman" w:eastAsia="宋体" w:cs="Times New Roman"/>
                <w:sz w:val="24"/>
                <w:highlight w:val="none"/>
                <w:lang w:val="en-US" w:eastAsia="zh-CN"/>
              </w:rPr>
              <w:t>每个取材台收集风量为1200</w:t>
            </w:r>
            <w:r>
              <w:rPr>
                <w:rFonts w:hint="eastAsia"/>
                <w:sz w:val="24"/>
                <w:highlight w:val="none"/>
              </w:rPr>
              <w:t>m</w:t>
            </w:r>
            <w:r>
              <w:rPr>
                <w:rFonts w:hint="eastAsia"/>
                <w:sz w:val="24"/>
                <w:highlight w:val="none"/>
                <w:vertAlign w:val="superscript"/>
              </w:rPr>
              <w:t>3</w:t>
            </w:r>
            <w:r>
              <w:rPr>
                <w:rFonts w:hint="eastAsia" w:ascii="Times New Roman" w:hAnsi="Times New Roman" w:eastAsia="宋体" w:cs="Times New Roman"/>
                <w:sz w:val="24"/>
                <w:highlight w:val="none"/>
              </w:rPr>
              <w:t>/h</w:t>
            </w:r>
            <w:r>
              <w:rPr>
                <w:rFonts w:hint="eastAsia" w:ascii="Times New Roman" w:hAnsi="Times New Roman" w:eastAsia="宋体" w:cs="Times New Roman"/>
                <w:sz w:val="24"/>
                <w:highlight w:val="none"/>
                <w:lang w:eastAsia="zh-CN"/>
              </w:rPr>
              <w:t>，</w:t>
            </w:r>
            <w:r>
              <w:rPr>
                <w:rFonts w:hint="eastAsia" w:ascii="Times New Roman" w:hAnsi="Times New Roman" w:eastAsia="宋体" w:cs="Times New Roman"/>
                <w:sz w:val="24"/>
                <w:highlight w:val="none"/>
                <w:lang w:val="en-US" w:eastAsia="zh-CN"/>
              </w:rPr>
              <w:t>收集风量合计为4200</w:t>
            </w:r>
            <w:r>
              <w:rPr>
                <w:rFonts w:hint="eastAsia"/>
                <w:sz w:val="24"/>
                <w:highlight w:val="none"/>
              </w:rPr>
              <w:t>m</w:t>
            </w:r>
            <w:r>
              <w:rPr>
                <w:rFonts w:hint="eastAsia"/>
                <w:sz w:val="24"/>
                <w:highlight w:val="none"/>
                <w:vertAlign w:val="superscript"/>
              </w:rPr>
              <w:t>3</w:t>
            </w:r>
            <w:r>
              <w:rPr>
                <w:rFonts w:hint="eastAsia" w:ascii="Times New Roman" w:hAnsi="Times New Roman" w:eastAsia="宋体" w:cs="Times New Roman"/>
                <w:sz w:val="24"/>
                <w:highlight w:val="none"/>
              </w:rPr>
              <w:t>/h</w:t>
            </w:r>
            <w:r>
              <w:rPr>
                <w:rFonts w:hint="eastAsia" w:ascii="Times New Roman" w:hAnsi="Times New Roman" w:eastAsia="宋体" w:cs="Times New Roman"/>
                <w:sz w:val="24"/>
                <w:highlight w:val="none"/>
                <w:lang w:eastAsia="zh-CN"/>
              </w:rPr>
              <w:t>；</w:t>
            </w:r>
            <w:r>
              <w:rPr>
                <w:rFonts w:hint="eastAsia" w:ascii="Times New Roman" w:hAnsi="Times New Roman" w:eastAsia="宋体" w:cs="Times New Roman"/>
                <w:sz w:val="24"/>
                <w:highlight w:val="none"/>
                <w:lang w:val="en-US" w:eastAsia="zh-CN"/>
              </w:rPr>
              <w:t>其他区域按整体空间换气次数来计算排风风量，则</w:t>
            </w:r>
            <w:r>
              <w:rPr>
                <w:rFonts w:hint="eastAsia"/>
                <w:highlight w:val="none"/>
                <w:lang w:val="en-US" w:eastAsia="zh-CN"/>
              </w:rPr>
              <w:t>合计</w:t>
            </w:r>
            <w:r>
              <w:rPr>
                <w:rFonts w:hint="eastAsia" w:cs="宋体"/>
                <w:bCs/>
                <w:kern w:val="0"/>
                <w:sz w:val="24"/>
                <w:szCs w:val="24"/>
                <w:highlight w:val="none"/>
                <w:lang w:val="en-US" w:eastAsia="zh-CN" w:bidi="ar-SA"/>
              </w:rPr>
              <w:t>体积约为97.5m</w:t>
            </w:r>
            <w:r>
              <w:rPr>
                <w:rFonts w:hint="eastAsia" w:cs="宋体"/>
                <w:bCs/>
                <w:kern w:val="0"/>
                <w:sz w:val="24"/>
                <w:szCs w:val="24"/>
                <w:highlight w:val="none"/>
                <w:vertAlign w:val="superscript"/>
                <w:lang w:val="en-US" w:eastAsia="zh-CN" w:bidi="ar-SA"/>
              </w:rPr>
              <w:t>3</w:t>
            </w:r>
            <w:r>
              <w:rPr>
                <w:rFonts w:hint="eastAsia" w:cs="宋体"/>
                <w:bCs/>
                <w:kern w:val="0"/>
                <w:sz w:val="24"/>
                <w:szCs w:val="24"/>
                <w:highlight w:val="none"/>
                <w:vertAlign w:val="baseline"/>
                <w:lang w:val="en-US" w:eastAsia="zh-CN" w:bidi="ar-SA"/>
              </w:rPr>
              <w:t>（32.5m</w:t>
            </w:r>
            <w:r>
              <w:rPr>
                <w:rFonts w:hint="eastAsia" w:cs="宋体"/>
                <w:bCs/>
                <w:kern w:val="0"/>
                <w:sz w:val="24"/>
                <w:szCs w:val="24"/>
                <w:highlight w:val="none"/>
                <w:vertAlign w:val="superscript"/>
                <w:lang w:val="en-US" w:eastAsia="zh-CN" w:bidi="ar-SA"/>
              </w:rPr>
              <w:t>2</w:t>
            </w:r>
            <w:r>
              <w:rPr>
                <w:rFonts w:hint="eastAsia" w:cs="宋体"/>
                <w:bCs/>
                <w:kern w:val="0"/>
                <w:sz w:val="24"/>
                <w:szCs w:val="24"/>
                <w:highlight w:val="none"/>
                <w:vertAlign w:val="baseline"/>
                <w:lang w:val="en-US" w:eastAsia="zh-CN" w:bidi="ar-SA"/>
              </w:rPr>
              <w:t>*3m）</w:t>
            </w:r>
            <w:r>
              <w:rPr>
                <w:rFonts w:hint="eastAsia"/>
                <w:sz w:val="24"/>
                <w:highlight w:val="none"/>
              </w:rPr>
              <w:t>，换气次数</w:t>
            </w:r>
            <w:r>
              <w:rPr>
                <w:rFonts w:hint="eastAsia"/>
                <w:sz w:val="24"/>
                <w:highlight w:val="none"/>
                <w:lang w:val="en-US" w:eastAsia="zh-CN"/>
              </w:rPr>
              <w:t>为12</w:t>
            </w:r>
            <w:r>
              <w:rPr>
                <w:rFonts w:hint="eastAsia"/>
                <w:sz w:val="24"/>
                <w:highlight w:val="none"/>
              </w:rPr>
              <w:t>次/h</w:t>
            </w:r>
            <w:r>
              <w:rPr>
                <w:rFonts w:hint="eastAsia"/>
                <w:sz w:val="24"/>
                <w:highlight w:val="none"/>
                <w:lang w:eastAsia="zh-CN"/>
              </w:rPr>
              <w:t>，</w:t>
            </w:r>
            <w:r>
              <w:rPr>
                <w:rFonts w:hint="eastAsia"/>
                <w:sz w:val="24"/>
                <w:highlight w:val="none"/>
                <w:lang w:val="en-US" w:eastAsia="zh-CN"/>
              </w:rPr>
              <w:t>则</w:t>
            </w:r>
            <w:r>
              <w:rPr>
                <w:rFonts w:hint="eastAsia"/>
                <w:sz w:val="24"/>
                <w:highlight w:val="none"/>
              </w:rPr>
              <w:t>收集风量保守</w:t>
            </w:r>
            <w:r>
              <w:rPr>
                <w:rFonts w:hint="eastAsia"/>
                <w:sz w:val="24"/>
                <w:highlight w:val="none"/>
                <w:lang w:val="en-US" w:eastAsia="zh-CN"/>
              </w:rPr>
              <w:t>约为1170</w:t>
            </w:r>
            <w:r>
              <w:rPr>
                <w:rFonts w:hint="eastAsia"/>
                <w:sz w:val="24"/>
                <w:highlight w:val="none"/>
              </w:rPr>
              <w:t>m</w:t>
            </w:r>
            <w:r>
              <w:rPr>
                <w:rFonts w:hint="eastAsia"/>
                <w:sz w:val="24"/>
                <w:highlight w:val="none"/>
                <w:vertAlign w:val="superscript"/>
              </w:rPr>
              <w:t>3</w:t>
            </w:r>
            <w:r>
              <w:rPr>
                <w:rFonts w:hint="eastAsia"/>
                <w:sz w:val="24"/>
                <w:highlight w:val="none"/>
              </w:rPr>
              <w:t>/h</w:t>
            </w:r>
            <w:r>
              <w:rPr>
                <w:rFonts w:hint="eastAsia"/>
                <w:sz w:val="24"/>
                <w:highlight w:val="none"/>
                <w:lang w:eastAsia="zh-CN"/>
              </w:rPr>
              <w:t>。</w:t>
            </w:r>
            <w:r>
              <w:rPr>
                <w:rFonts w:hint="eastAsia"/>
                <w:sz w:val="24"/>
                <w:highlight w:val="none"/>
                <w:lang w:val="en-US" w:eastAsia="zh-CN"/>
              </w:rPr>
              <w:t>综上，</w:t>
            </w:r>
            <w:r>
              <w:rPr>
                <w:rFonts w:hint="eastAsia" w:ascii="Times New Roman" w:hAnsi="Times New Roman" w:eastAsia="宋体" w:cs="宋体"/>
                <w:bCs/>
                <w:kern w:val="0"/>
                <w:sz w:val="24"/>
                <w:szCs w:val="24"/>
                <w:highlight w:val="none"/>
                <w:lang w:val="en-US" w:eastAsia="zh-CN" w:bidi="ar-SA"/>
              </w:rPr>
              <w:t>三楼普通</w:t>
            </w:r>
            <w:r>
              <w:rPr>
                <w:rFonts w:hint="eastAsia" w:ascii="Times New Roman" w:hAnsi="Times New Roman" w:eastAsia="宋体" w:cs="Times New Roman"/>
                <w:sz w:val="24"/>
                <w:highlight w:val="none"/>
                <w:lang w:val="en-US" w:eastAsia="zh-CN"/>
              </w:rPr>
              <w:t>实验</w:t>
            </w:r>
            <w:r>
              <w:rPr>
                <w:rFonts w:hint="eastAsia" w:ascii="Times New Roman" w:hAnsi="Times New Roman" w:eastAsia="宋体" w:cs="Times New Roman"/>
                <w:sz w:val="24"/>
                <w:highlight w:val="none"/>
              </w:rPr>
              <w:t>区域</w:t>
            </w:r>
            <w:r>
              <w:rPr>
                <w:rFonts w:hint="eastAsia"/>
                <w:sz w:val="24"/>
                <w:highlight w:val="none"/>
              </w:rPr>
              <w:t>收集风量保守</w:t>
            </w:r>
            <w:r>
              <w:rPr>
                <w:rFonts w:hint="eastAsia"/>
                <w:sz w:val="24"/>
                <w:highlight w:val="none"/>
                <w:lang w:val="en-US" w:eastAsia="zh-CN"/>
              </w:rPr>
              <w:t>约为8370</w:t>
            </w:r>
            <w:r>
              <w:rPr>
                <w:rFonts w:hint="eastAsia"/>
                <w:sz w:val="24"/>
                <w:highlight w:val="none"/>
              </w:rPr>
              <w:t>m</w:t>
            </w:r>
            <w:r>
              <w:rPr>
                <w:rFonts w:hint="eastAsia"/>
                <w:sz w:val="24"/>
                <w:highlight w:val="none"/>
                <w:vertAlign w:val="superscript"/>
              </w:rPr>
              <w:t>3</w:t>
            </w:r>
            <w:r>
              <w:rPr>
                <w:rFonts w:hint="eastAsia"/>
                <w:sz w:val="24"/>
                <w:highlight w:val="none"/>
              </w:rPr>
              <w:t>/h</w:t>
            </w:r>
            <w:r>
              <w:rPr>
                <w:rFonts w:hint="eastAsia"/>
                <w:sz w:val="24"/>
                <w:highlight w:val="none"/>
                <w:lang w:eastAsia="zh-CN"/>
              </w:rPr>
              <w:t>，</w:t>
            </w:r>
            <w:r>
              <w:rPr>
                <w:rFonts w:hint="eastAsia"/>
                <w:sz w:val="24"/>
                <w:highlight w:val="none"/>
                <w:lang w:val="en-US" w:eastAsia="zh-CN"/>
              </w:rPr>
              <w:t>实验室废气</w:t>
            </w:r>
            <w:r>
              <w:rPr>
                <w:rFonts w:hint="eastAsia" w:ascii="Times New Roman" w:hAnsi="Times New Roman" w:eastAsia="宋体" w:cs="宋体"/>
                <w:bCs/>
                <w:kern w:val="0"/>
                <w:sz w:val="24"/>
                <w:szCs w:val="24"/>
                <w:highlight w:val="none"/>
                <w:lang w:val="en-US" w:eastAsia="zh-CN" w:bidi="ar-SA"/>
              </w:rPr>
              <w:t>经活性炭吸附装置处理后通过</w:t>
            </w:r>
            <w:r>
              <w:rPr>
                <w:rFonts w:hint="eastAsia" w:cs="宋体"/>
                <w:bCs/>
                <w:kern w:val="0"/>
                <w:sz w:val="24"/>
                <w:szCs w:val="24"/>
                <w:highlight w:val="none"/>
                <w:lang w:val="en-US" w:eastAsia="zh-CN" w:bidi="ar-SA"/>
              </w:rPr>
              <w:t>30</w:t>
            </w:r>
            <w:r>
              <w:rPr>
                <w:rFonts w:hint="eastAsia" w:ascii="Times New Roman" w:hAnsi="Times New Roman" w:eastAsia="宋体" w:cs="宋体"/>
                <w:bCs/>
                <w:kern w:val="0"/>
                <w:sz w:val="24"/>
                <w:szCs w:val="24"/>
                <w:highlight w:val="none"/>
                <w:lang w:val="en-US" w:eastAsia="zh-CN" w:bidi="ar-SA"/>
              </w:rPr>
              <w:t>m高排气筒</w:t>
            </w:r>
            <w:r>
              <w:rPr>
                <w:rFonts w:hint="eastAsia" w:cs="宋体"/>
                <w:bCs/>
                <w:kern w:val="0"/>
                <w:sz w:val="24"/>
                <w:szCs w:val="24"/>
                <w:highlight w:val="none"/>
                <w:lang w:val="en-US" w:eastAsia="zh-CN" w:bidi="ar-SA"/>
              </w:rPr>
              <w:t>（DA008）</w:t>
            </w:r>
            <w:r>
              <w:rPr>
                <w:rFonts w:hint="eastAsia" w:ascii="Times New Roman" w:hAnsi="Times New Roman" w:eastAsia="宋体" w:cs="宋体"/>
                <w:bCs/>
                <w:kern w:val="0"/>
                <w:sz w:val="24"/>
                <w:szCs w:val="24"/>
                <w:highlight w:val="none"/>
                <w:lang w:val="en-US" w:eastAsia="zh-CN" w:bidi="ar-SA"/>
              </w:rPr>
              <w:t>高空排放</w:t>
            </w:r>
            <w:r>
              <w:rPr>
                <w:rFonts w:hint="eastAsia" w:cs="宋体"/>
                <w:bCs/>
                <w:kern w:val="0"/>
                <w:sz w:val="24"/>
                <w:szCs w:val="24"/>
                <w:highlight w:val="none"/>
                <w:lang w:val="en-US" w:eastAsia="zh-CN" w:bidi="ar-SA"/>
              </w:rPr>
              <w:t>。</w:t>
            </w:r>
          </w:p>
          <w:p w14:paraId="6459E14F">
            <w:pPr>
              <w:keepNext w:val="0"/>
              <w:keepLines w:val="0"/>
              <w:suppressLineNumbers w:val="0"/>
              <w:spacing w:before="0" w:beforeAutospacing="0" w:after="0" w:afterAutospacing="0" w:line="360" w:lineRule="auto"/>
              <w:ind w:left="0" w:right="0" w:firstLine="480" w:firstLineChars="200"/>
              <w:rPr>
                <w:rFonts w:hint="default" w:ascii="Times New Roman" w:hAnsi="Times New Roman" w:eastAsia="宋体" w:cs="宋体"/>
                <w:bCs/>
                <w:kern w:val="0"/>
                <w:sz w:val="24"/>
                <w:szCs w:val="24"/>
                <w:highlight w:val="none"/>
                <w:lang w:val="en-US" w:eastAsia="zh-CN" w:bidi="ar-SA"/>
              </w:rPr>
            </w:pPr>
            <w:r>
              <w:rPr>
                <w:rFonts w:hint="eastAsia" w:ascii="Times New Roman" w:hAnsi="Times New Roman" w:eastAsia="宋体" w:cs="宋体"/>
                <w:bCs/>
                <w:kern w:val="0"/>
                <w:sz w:val="24"/>
                <w:szCs w:val="24"/>
                <w:highlight w:val="none"/>
                <w:lang w:val="en-US" w:eastAsia="zh-CN" w:bidi="ar-SA"/>
              </w:rPr>
              <w:t>三楼</w:t>
            </w:r>
            <w:r>
              <w:rPr>
                <w:rFonts w:hint="eastAsia"/>
                <w:color w:val="auto"/>
                <w:highlight w:val="none"/>
                <w:lang w:val="en-US" w:eastAsia="zh-CN"/>
              </w:rPr>
              <w:t>外准备间、解剖室</w:t>
            </w:r>
            <w:r>
              <w:rPr>
                <w:rFonts w:hint="eastAsia"/>
                <w:highlight w:val="none"/>
                <w:lang w:val="en-US" w:eastAsia="zh-CN"/>
              </w:rPr>
              <w:t>等区域合计</w:t>
            </w:r>
            <w:r>
              <w:rPr>
                <w:rFonts w:hint="eastAsia" w:cs="宋体"/>
                <w:bCs/>
                <w:kern w:val="0"/>
                <w:sz w:val="24"/>
                <w:szCs w:val="24"/>
                <w:highlight w:val="none"/>
                <w:lang w:val="en-US" w:eastAsia="zh-CN" w:bidi="ar-SA"/>
              </w:rPr>
              <w:t>体积约为651.6m</w:t>
            </w:r>
            <w:r>
              <w:rPr>
                <w:rFonts w:hint="eastAsia" w:cs="宋体"/>
                <w:bCs/>
                <w:kern w:val="0"/>
                <w:sz w:val="24"/>
                <w:szCs w:val="24"/>
                <w:highlight w:val="none"/>
                <w:vertAlign w:val="superscript"/>
                <w:lang w:val="en-US" w:eastAsia="zh-CN" w:bidi="ar-SA"/>
              </w:rPr>
              <w:t>3</w:t>
            </w:r>
            <w:r>
              <w:rPr>
                <w:rFonts w:hint="eastAsia" w:cs="宋体"/>
                <w:bCs/>
                <w:kern w:val="0"/>
                <w:sz w:val="24"/>
                <w:szCs w:val="24"/>
                <w:highlight w:val="none"/>
                <w:vertAlign w:val="baseline"/>
                <w:lang w:val="en-US" w:eastAsia="zh-CN" w:bidi="ar-SA"/>
              </w:rPr>
              <w:t>（217.2m</w:t>
            </w:r>
            <w:r>
              <w:rPr>
                <w:rFonts w:hint="eastAsia" w:cs="宋体"/>
                <w:bCs/>
                <w:kern w:val="0"/>
                <w:sz w:val="24"/>
                <w:szCs w:val="24"/>
                <w:highlight w:val="none"/>
                <w:vertAlign w:val="superscript"/>
                <w:lang w:val="en-US" w:eastAsia="zh-CN" w:bidi="ar-SA"/>
              </w:rPr>
              <w:t>2</w:t>
            </w:r>
            <w:r>
              <w:rPr>
                <w:rFonts w:hint="eastAsia" w:cs="宋体"/>
                <w:bCs/>
                <w:kern w:val="0"/>
                <w:sz w:val="24"/>
                <w:szCs w:val="24"/>
                <w:highlight w:val="none"/>
                <w:vertAlign w:val="baseline"/>
                <w:lang w:val="en-US" w:eastAsia="zh-CN" w:bidi="ar-SA"/>
              </w:rPr>
              <w:t>*3m）</w:t>
            </w:r>
            <w:r>
              <w:rPr>
                <w:rFonts w:hint="eastAsia"/>
                <w:sz w:val="24"/>
                <w:highlight w:val="none"/>
              </w:rPr>
              <w:t>，换气次数</w:t>
            </w:r>
            <w:r>
              <w:rPr>
                <w:rFonts w:hint="eastAsia"/>
                <w:sz w:val="24"/>
                <w:highlight w:val="none"/>
                <w:lang w:val="en-US" w:eastAsia="zh-CN"/>
              </w:rPr>
              <w:t>为12</w:t>
            </w:r>
            <w:r>
              <w:rPr>
                <w:rFonts w:hint="eastAsia"/>
                <w:sz w:val="24"/>
                <w:highlight w:val="none"/>
              </w:rPr>
              <w:t>次/h</w:t>
            </w:r>
            <w:r>
              <w:rPr>
                <w:rFonts w:hint="eastAsia"/>
                <w:sz w:val="24"/>
                <w:highlight w:val="none"/>
                <w:lang w:eastAsia="zh-CN"/>
              </w:rPr>
              <w:t>，</w:t>
            </w:r>
            <w:r>
              <w:rPr>
                <w:rFonts w:hint="eastAsia"/>
                <w:sz w:val="24"/>
                <w:highlight w:val="none"/>
                <w:lang w:val="en-US" w:eastAsia="zh-CN"/>
              </w:rPr>
              <w:t>则</w:t>
            </w:r>
            <w:r>
              <w:rPr>
                <w:rFonts w:hint="eastAsia"/>
                <w:sz w:val="24"/>
                <w:highlight w:val="none"/>
              </w:rPr>
              <w:t>收集风量保守</w:t>
            </w:r>
            <w:r>
              <w:rPr>
                <w:rFonts w:hint="eastAsia"/>
                <w:sz w:val="24"/>
                <w:highlight w:val="none"/>
                <w:lang w:val="en-US" w:eastAsia="zh-CN"/>
              </w:rPr>
              <w:t>约为7820</w:t>
            </w:r>
            <w:r>
              <w:rPr>
                <w:rFonts w:hint="eastAsia"/>
                <w:sz w:val="24"/>
                <w:highlight w:val="none"/>
              </w:rPr>
              <w:t>m</w:t>
            </w:r>
            <w:r>
              <w:rPr>
                <w:rFonts w:hint="eastAsia"/>
                <w:sz w:val="24"/>
                <w:highlight w:val="none"/>
                <w:vertAlign w:val="superscript"/>
              </w:rPr>
              <w:t>3</w:t>
            </w:r>
            <w:r>
              <w:rPr>
                <w:rFonts w:hint="eastAsia"/>
                <w:sz w:val="24"/>
                <w:highlight w:val="none"/>
              </w:rPr>
              <w:t>/h</w:t>
            </w:r>
            <w:r>
              <w:rPr>
                <w:rFonts w:hint="eastAsia"/>
                <w:sz w:val="24"/>
                <w:highlight w:val="none"/>
                <w:lang w:eastAsia="zh-CN"/>
              </w:rPr>
              <w:t>，</w:t>
            </w:r>
            <w:r>
              <w:rPr>
                <w:rFonts w:hint="eastAsia" w:ascii="Times New Roman" w:hAnsi="Times New Roman" w:eastAsia="宋体" w:cs="宋体"/>
                <w:bCs/>
                <w:kern w:val="0"/>
                <w:sz w:val="24"/>
                <w:szCs w:val="24"/>
                <w:highlight w:val="none"/>
                <w:lang w:val="en-US" w:eastAsia="zh-CN" w:bidi="ar-SA"/>
              </w:rPr>
              <w:t>三楼</w:t>
            </w:r>
            <w:r>
              <w:rPr>
                <w:rFonts w:hint="eastAsia"/>
                <w:color w:val="auto"/>
                <w:highlight w:val="none"/>
                <w:lang w:val="en-US" w:eastAsia="zh-CN"/>
              </w:rPr>
              <w:t>外准备间、解剖室</w:t>
            </w:r>
            <w:r>
              <w:rPr>
                <w:rFonts w:hint="eastAsia"/>
                <w:highlight w:val="none"/>
                <w:lang w:val="en-US" w:eastAsia="zh-CN"/>
              </w:rPr>
              <w:t>等区域</w:t>
            </w:r>
            <w:r>
              <w:rPr>
                <w:rFonts w:hint="eastAsia" w:ascii="Times New Roman" w:hAnsi="Times New Roman" w:eastAsia="宋体" w:cs="宋体"/>
                <w:bCs/>
                <w:kern w:val="0"/>
                <w:sz w:val="24"/>
                <w:szCs w:val="24"/>
                <w:highlight w:val="none"/>
                <w:lang w:val="en-US" w:eastAsia="zh-CN" w:bidi="ar-SA"/>
              </w:rPr>
              <w:t>消毒</w:t>
            </w:r>
            <w:r>
              <w:rPr>
                <w:rFonts w:hint="eastAsia"/>
                <w:highlight w:val="none"/>
                <w:lang w:val="en-US" w:eastAsia="zh-CN"/>
              </w:rPr>
              <w:t>废气</w:t>
            </w:r>
            <w:r>
              <w:rPr>
                <w:rFonts w:hint="eastAsia" w:ascii="Times New Roman" w:hAnsi="Times New Roman" w:eastAsia="宋体" w:cs="宋体"/>
                <w:bCs/>
                <w:kern w:val="0"/>
                <w:sz w:val="24"/>
                <w:szCs w:val="24"/>
                <w:highlight w:val="none"/>
                <w:lang w:val="en-US" w:eastAsia="zh-CN" w:bidi="ar-SA"/>
              </w:rPr>
              <w:t>经活性炭吸附装置处理后通过</w:t>
            </w:r>
            <w:r>
              <w:rPr>
                <w:rFonts w:hint="eastAsia" w:cs="宋体"/>
                <w:bCs/>
                <w:kern w:val="0"/>
                <w:sz w:val="24"/>
                <w:szCs w:val="24"/>
                <w:highlight w:val="none"/>
                <w:lang w:val="en-US" w:eastAsia="zh-CN" w:bidi="ar-SA"/>
              </w:rPr>
              <w:t>30</w:t>
            </w:r>
            <w:r>
              <w:rPr>
                <w:rFonts w:hint="eastAsia" w:ascii="Times New Roman" w:hAnsi="Times New Roman" w:eastAsia="宋体" w:cs="宋体"/>
                <w:bCs/>
                <w:kern w:val="0"/>
                <w:sz w:val="24"/>
                <w:szCs w:val="24"/>
                <w:highlight w:val="none"/>
                <w:lang w:val="en-US" w:eastAsia="zh-CN" w:bidi="ar-SA"/>
              </w:rPr>
              <w:t>m高排气筒</w:t>
            </w:r>
            <w:r>
              <w:rPr>
                <w:rFonts w:hint="eastAsia" w:cs="宋体"/>
                <w:bCs/>
                <w:kern w:val="0"/>
                <w:sz w:val="24"/>
                <w:szCs w:val="24"/>
                <w:highlight w:val="none"/>
                <w:lang w:val="en-US" w:eastAsia="zh-CN" w:bidi="ar-SA"/>
              </w:rPr>
              <w:t>（DA009）</w:t>
            </w:r>
            <w:r>
              <w:rPr>
                <w:rFonts w:hint="eastAsia" w:ascii="Times New Roman" w:hAnsi="Times New Roman" w:eastAsia="宋体" w:cs="宋体"/>
                <w:bCs/>
                <w:kern w:val="0"/>
                <w:sz w:val="24"/>
                <w:szCs w:val="24"/>
                <w:highlight w:val="none"/>
                <w:lang w:val="en-US" w:eastAsia="zh-CN" w:bidi="ar-SA"/>
              </w:rPr>
              <w:t>高空排放</w:t>
            </w:r>
            <w:r>
              <w:rPr>
                <w:rFonts w:hint="eastAsia"/>
                <w:color w:val="auto"/>
                <w:highlight w:val="none"/>
                <w:lang w:val="en-US" w:eastAsia="zh-CN"/>
              </w:rPr>
              <w:t>。项目消毒废气</w:t>
            </w:r>
            <w:r>
              <w:rPr>
                <w:rFonts w:hint="eastAsia" w:ascii="Times New Roman" w:hAnsi="Times New Roman" w:eastAsia="宋体" w:cs="Times New Roman"/>
                <w:sz w:val="24"/>
                <w:szCs w:val="24"/>
                <w:highlight w:val="none"/>
                <w:lang w:val="en-US" w:eastAsia="zh-CN"/>
              </w:rPr>
              <w:t>产生及排放情况见下表</w:t>
            </w:r>
            <w:r>
              <w:rPr>
                <w:rFonts w:hint="eastAsia" w:cs="Times New Roman"/>
                <w:sz w:val="24"/>
                <w:szCs w:val="24"/>
                <w:highlight w:val="none"/>
                <w:lang w:val="en-US" w:eastAsia="zh-CN"/>
              </w:rPr>
              <w:t>7</w:t>
            </w:r>
            <w:r>
              <w:rPr>
                <w:rFonts w:hint="eastAsia" w:ascii="Times New Roman" w:hAnsi="Times New Roman" w:eastAsia="宋体" w:cs="Times New Roman"/>
                <w:sz w:val="24"/>
                <w:szCs w:val="24"/>
                <w:highlight w:val="none"/>
                <w:lang w:val="en-US" w:eastAsia="zh-CN"/>
              </w:rPr>
              <w:t>-</w:t>
            </w:r>
            <w:r>
              <w:rPr>
                <w:rFonts w:hint="eastAsia" w:cs="Times New Roman"/>
                <w:sz w:val="24"/>
                <w:szCs w:val="24"/>
                <w:highlight w:val="none"/>
                <w:lang w:val="en-US" w:eastAsia="zh-CN"/>
              </w:rPr>
              <w:t>15</w:t>
            </w:r>
            <w:r>
              <w:rPr>
                <w:rFonts w:hint="eastAsia" w:ascii="Times New Roman" w:hAnsi="Times New Roman" w:eastAsia="宋体" w:cs="Times New Roman"/>
                <w:sz w:val="24"/>
                <w:szCs w:val="24"/>
                <w:highlight w:val="none"/>
                <w:lang w:val="en-US" w:eastAsia="zh-CN"/>
              </w:rPr>
              <w:t>。</w:t>
            </w:r>
          </w:p>
          <w:p w14:paraId="66F497C0">
            <w:pPr>
              <w:keepNext w:val="0"/>
              <w:keepLines w:val="0"/>
              <w:pageBreakBefore w:val="0"/>
              <w:widowControl w:val="0"/>
              <w:suppressLineNumbers w:val="0"/>
              <w:kinsoku/>
              <w:wordWrap/>
              <w:overflowPunct w:val="0"/>
              <w:topLinePunct w:val="0"/>
              <w:autoSpaceDE/>
              <w:autoSpaceDN/>
              <w:bidi w:val="0"/>
              <w:adjustRightInd w:val="0"/>
              <w:snapToGrid w:val="0"/>
              <w:spacing w:before="0" w:beforeAutospacing="0" w:after="0" w:afterAutospacing="0" w:line="360" w:lineRule="auto"/>
              <w:ind w:left="0" w:right="0" w:firstLine="482"/>
              <w:jc w:val="center"/>
              <w:textAlignment w:val="auto"/>
              <w:rPr>
                <w:rFonts w:hint="default" w:ascii="Times New Roman" w:hAnsi="Times New Roman" w:eastAsia="宋体" w:cs="Times New Roman"/>
                <w:b/>
                <w:bCs/>
                <w:kern w:val="0"/>
                <w:sz w:val="24"/>
                <w:highlight w:val="none"/>
                <w:lang w:val="en-US" w:eastAsia="zh-CN"/>
              </w:rPr>
            </w:pPr>
            <w:r>
              <w:rPr>
                <w:rFonts w:hint="eastAsia" w:ascii="Times New Roman" w:hAnsi="Times New Roman" w:eastAsia="宋体" w:cs="Times New Roman"/>
                <w:b/>
                <w:bCs/>
                <w:kern w:val="0"/>
                <w:sz w:val="24"/>
                <w:highlight w:val="none"/>
                <w:lang w:val="en-US" w:eastAsia="zh-CN"/>
              </w:rPr>
              <w:t>表</w:t>
            </w:r>
            <w:r>
              <w:rPr>
                <w:rFonts w:hint="eastAsia" w:cs="Times New Roman"/>
                <w:b/>
                <w:bCs/>
                <w:kern w:val="0"/>
                <w:sz w:val="24"/>
                <w:highlight w:val="none"/>
                <w:lang w:val="en-US" w:eastAsia="zh-CN"/>
              </w:rPr>
              <w:t>7</w:t>
            </w:r>
            <w:r>
              <w:rPr>
                <w:rFonts w:hint="eastAsia" w:ascii="Times New Roman" w:hAnsi="Times New Roman" w:eastAsia="宋体" w:cs="Times New Roman"/>
                <w:b/>
                <w:bCs/>
                <w:kern w:val="0"/>
                <w:sz w:val="24"/>
                <w:highlight w:val="none"/>
                <w:lang w:val="en-US" w:eastAsia="zh-CN"/>
              </w:rPr>
              <w:t>-</w:t>
            </w:r>
            <w:r>
              <w:rPr>
                <w:rFonts w:hint="eastAsia" w:cs="Times New Roman"/>
                <w:b/>
                <w:bCs/>
                <w:kern w:val="0"/>
                <w:sz w:val="24"/>
                <w:highlight w:val="none"/>
                <w:lang w:val="en-US" w:eastAsia="zh-CN"/>
              </w:rPr>
              <w:t>15</w:t>
            </w:r>
            <w:r>
              <w:rPr>
                <w:rFonts w:hint="eastAsia" w:ascii="Times New Roman" w:hAnsi="Times New Roman" w:eastAsia="宋体" w:cs="Times New Roman"/>
                <w:b/>
                <w:bCs/>
                <w:kern w:val="0"/>
                <w:sz w:val="24"/>
                <w:highlight w:val="none"/>
                <w:lang w:val="en-US" w:eastAsia="zh-CN"/>
              </w:rPr>
              <w:t xml:space="preserve"> 消毒废气产生及排放情况表</w:t>
            </w:r>
          </w:p>
          <w:tbl>
            <w:tblPr>
              <w:tblStyle w:val="33"/>
              <w:tblW w:w="4995"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28" w:type="dxa"/>
                <w:bottom w:w="0" w:type="dxa"/>
                <w:right w:w="28" w:type="dxa"/>
              </w:tblCellMar>
            </w:tblPr>
            <w:tblGrid>
              <w:gridCol w:w="769"/>
              <w:gridCol w:w="705"/>
              <w:gridCol w:w="756"/>
              <w:gridCol w:w="1364"/>
              <w:gridCol w:w="1065"/>
              <w:gridCol w:w="1173"/>
              <w:gridCol w:w="1168"/>
              <w:gridCol w:w="1178"/>
            </w:tblGrid>
            <w:tr w14:paraId="19FAF1C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c>
                <w:tcPr>
                  <w:tcW w:w="470" w:type="pct"/>
                  <w:vMerge w:val="restart"/>
                  <w:noWrap w:val="0"/>
                  <w:vAlign w:val="center"/>
                </w:tcPr>
                <w:p w14:paraId="1B128541">
                  <w:pPr>
                    <w:keepNext w:val="0"/>
                    <w:keepLines w:val="0"/>
                    <w:widowControl/>
                    <w:suppressLineNumbers w:val="0"/>
                    <w:spacing w:before="0" w:beforeAutospacing="0" w:after="0" w:afterAutospacing="0" w:line="280" w:lineRule="exact"/>
                    <w:ind w:left="0" w:right="0"/>
                    <w:jc w:val="center"/>
                    <w:textAlignment w:val="center"/>
                    <w:rPr>
                      <w:rFonts w:hint="eastAsia" w:ascii="Times New Roman" w:hAnsi="Times New Roman" w:eastAsia="宋体" w:cs="Times New Roman"/>
                      <w:b w:val="0"/>
                      <w:bCs w:val="0"/>
                      <w:sz w:val="21"/>
                      <w:szCs w:val="21"/>
                      <w:highlight w:val="none"/>
                      <w:lang w:bidi="ar"/>
                    </w:rPr>
                  </w:pPr>
                  <w:r>
                    <w:rPr>
                      <w:rFonts w:hint="eastAsia" w:ascii="Times New Roman" w:hAnsi="Times New Roman" w:eastAsia="宋体" w:cs="Times New Roman"/>
                      <w:b w:val="0"/>
                      <w:bCs w:val="0"/>
                      <w:sz w:val="21"/>
                      <w:szCs w:val="21"/>
                      <w:highlight w:val="none"/>
                      <w:lang w:val="en-US" w:eastAsia="zh-CN" w:bidi="ar"/>
                    </w:rPr>
                    <w:t>污染源</w:t>
                  </w:r>
                </w:p>
              </w:tc>
              <w:tc>
                <w:tcPr>
                  <w:tcW w:w="893" w:type="pct"/>
                  <w:gridSpan w:val="2"/>
                  <w:vMerge w:val="restart"/>
                  <w:noWrap w:val="0"/>
                  <w:vAlign w:val="center"/>
                </w:tcPr>
                <w:p w14:paraId="567B935A">
                  <w:pPr>
                    <w:keepNext w:val="0"/>
                    <w:keepLines w:val="0"/>
                    <w:widowControl/>
                    <w:suppressLineNumbers w:val="0"/>
                    <w:spacing w:before="0" w:beforeAutospacing="0" w:after="0" w:afterAutospacing="0" w:line="280" w:lineRule="exact"/>
                    <w:ind w:left="0" w:right="0"/>
                    <w:jc w:val="center"/>
                    <w:textAlignment w:val="center"/>
                    <w:rPr>
                      <w:rFonts w:hint="default" w:ascii="Times New Roman" w:hAnsi="Times New Roman" w:eastAsia="宋体" w:cs="Times New Roman"/>
                      <w:b w:val="0"/>
                      <w:bCs w:val="0"/>
                      <w:sz w:val="21"/>
                      <w:szCs w:val="21"/>
                      <w:highlight w:val="none"/>
                      <w:lang w:val="en-US" w:bidi="ar"/>
                    </w:rPr>
                  </w:pPr>
                  <w:r>
                    <w:rPr>
                      <w:rFonts w:hint="eastAsia" w:ascii="Times New Roman" w:hAnsi="Times New Roman" w:eastAsia="宋体" w:cs="Times New Roman"/>
                      <w:b w:val="0"/>
                      <w:bCs w:val="0"/>
                      <w:sz w:val="21"/>
                      <w:szCs w:val="21"/>
                      <w:highlight w:val="none"/>
                      <w:lang w:val="en-US" w:eastAsia="zh-CN" w:bidi="ar"/>
                    </w:rPr>
                    <w:t>排放方式</w:t>
                  </w:r>
                </w:p>
              </w:tc>
              <w:tc>
                <w:tcPr>
                  <w:tcW w:w="834" w:type="pct"/>
                  <w:vMerge w:val="restart"/>
                  <w:noWrap w:val="0"/>
                  <w:vAlign w:val="center"/>
                </w:tcPr>
                <w:p w14:paraId="4F35C567">
                  <w:pPr>
                    <w:keepNext w:val="0"/>
                    <w:keepLines w:val="0"/>
                    <w:widowControl/>
                    <w:suppressLineNumbers w:val="0"/>
                    <w:spacing w:before="0" w:beforeAutospacing="0" w:after="0" w:afterAutospacing="0" w:line="280" w:lineRule="exact"/>
                    <w:ind w:left="0" w:right="0"/>
                    <w:jc w:val="center"/>
                    <w:textAlignment w:val="center"/>
                    <w:rPr>
                      <w:rFonts w:hint="eastAsia" w:ascii="Times New Roman" w:hAnsi="Times New Roman" w:eastAsia="宋体" w:cs="Times New Roman"/>
                      <w:b w:val="0"/>
                      <w:bCs w:val="0"/>
                      <w:sz w:val="21"/>
                      <w:szCs w:val="21"/>
                      <w:highlight w:val="none"/>
                      <w:lang w:bidi="ar"/>
                    </w:rPr>
                  </w:pPr>
                  <w:r>
                    <w:rPr>
                      <w:rFonts w:hint="eastAsia" w:ascii="Times New Roman" w:hAnsi="Times New Roman" w:eastAsia="宋体" w:cs="Times New Roman"/>
                      <w:b w:val="0"/>
                      <w:bCs w:val="0"/>
                      <w:sz w:val="21"/>
                      <w:szCs w:val="21"/>
                      <w:highlight w:val="none"/>
                      <w:lang w:val="en-US" w:eastAsia="zh-CN" w:bidi="ar"/>
                    </w:rPr>
                    <w:t>污染因子</w:t>
                  </w:r>
                </w:p>
              </w:tc>
              <w:tc>
                <w:tcPr>
                  <w:tcW w:w="1368" w:type="pct"/>
                  <w:gridSpan w:val="2"/>
                  <w:noWrap w:val="0"/>
                  <w:vAlign w:val="center"/>
                </w:tcPr>
                <w:p w14:paraId="006B7E47">
                  <w:pPr>
                    <w:keepNext w:val="0"/>
                    <w:keepLines w:val="0"/>
                    <w:widowControl/>
                    <w:suppressLineNumbers w:val="0"/>
                    <w:spacing w:before="0" w:beforeAutospacing="0" w:after="0" w:afterAutospacing="0" w:line="280" w:lineRule="exact"/>
                    <w:ind w:left="0" w:right="0"/>
                    <w:jc w:val="center"/>
                    <w:textAlignment w:val="center"/>
                    <w:rPr>
                      <w:rFonts w:hint="eastAsia" w:ascii="Times New Roman" w:hAnsi="Times New Roman" w:eastAsia="宋体" w:cs="Times New Roman"/>
                      <w:b w:val="0"/>
                      <w:bCs w:val="0"/>
                      <w:sz w:val="21"/>
                      <w:szCs w:val="21"/>
                      <w:highlight w:val="none"/>
                      <w:lang w:bidi="ar"/>
                    </w:rPr>
                  </w:pPr>
                  <w:r>
                    <w:rPr>
                      <w:rFonts w:hint="eastAsia" w:ascii="Times New Roman" w:hAnsi="Times New Roman" w:eastAsia="宋体" w:cs="Times New Roman"/>
                      <w:b w:val="0"/>
                      <w:bCs w:val="0"/>
                      <w:sz w:val="21"/>
                      <w:szCs w:val="21"/>
                      <w:highlight w:val="none"/>
                      <w:lang w:val="en-US" w:eastAsia="zh-CN" w:bidi="ar"/>
                    </w:rPr>
                    <w:t>产生情况</w:t>
                  </w:r>
                </w:p>
              </w:tc>
              <w:tc>
                <w:tcPr>
                  <w:tcW w:w="1433" w:type="pct"/>
                  <w:gridSpan w:val="2"/>
                  <w:noWrap w:val="0"/>
                  <w:vAlign w:val="center"/>
                </w:tcPr>
                <w:p w14:paraId="2C90A5C9">
                  <w:pPr>
                    <w:keepNext w:val="0"/>
                    <w:keepLines w:val="0"/>
                    <w:widowControl/>
                    <w:suppressLineNumbers w:val="0"/>
                    <w:spacing w:before="0" w:beforeAutospacing="0" w:after="0" w:afterAutospacing="0" w:line="280" w:lineRule="exact"/>
                    <w:ind w:left="0" w:right="0"/>
                    <w:jc w:val="center"/>
                    <w:textAlignment w:val="center"/>
                    <w:rPr>
                      <w:rFonts w:hint="eastAsia" w:ascii="Times New Roman" w:hAnsi="Times New Roman" w:eastAsia="宋体" w:cs="Times New Roman"/>
                      <w:b w:val="0"/>
                      <w:bCs w:val="0"/>
                      <w:sz w:val="21"/>
                      <w:szCs w:val="21"/>
                      <w:highlight w:val="none"/>
                      <w:lang w:bidi="ar"/>
                    </w:rPr>
                  </w:pPr>
                  <w:r>
                    <w:rPr>
                      <w:rFonts w:hint="eastAsia" w:ascii="Times New Roman" w:hAnsi="Times New Roman" w:eastAsia="宋体" w:cs="Times New Roman"/>
                      <w:b w:val="0"/>
                      <w:bCs w:val="0"/>
                      <w:sz w:val="21"/>
                      <w:szCs w:val="21"/>
                      <w:highlight w:val="none"/>
                      <w:lang w:val="en-US" w:eastAsia="zh-CN" w:bidi="ar"/>
                    </w:rPr>
                    <w:t>排放情况</w:t>
                  </w:r>
                </w:p>
              </w:tc>
            </w:tr>
            <w:tr w14:paraId="762D5EC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c>
                <w:tcPr>
                  <w:tcW w:w="470" w:type="pct"/>
                  <w:vMerge w:val="continue"/>
                  <w:noWrap w:val="0"/>
                  <w:vAlign w:val="center"/>
                </w:tcPr>
                <w:p w14:paraId="5C82B4AF">
                  <w:pPr>
                    <w:keepNext w:val="0"/>
                    <w:keepLines w:val="0"/>
                    <w:widowControl/>
                    <w:suppressLineNumbers w:val="0"/>
                    <w:spacing w:before="0" w:beforeAutospacing="0" w:after="0" w:afterAutospacing="0" w:line="280" w:lineRule="exact"/>
                    <w:ind w:left="0" w:right="0"/>
                    <w:jc w:val="center"/>
                    <w:textAlignment w:val="center"/>
                    <w:rPr>
                      <w:rFonts w:hint="eastAsia" w:ascii="Times New Roman" w:hAnsi="Times New Roman" w:eastAsia="宋体" w:cs="Times New Roman"/>
                      <w:b w:val="0"/>
                      <w:bCs w:val="0"/>
                      <w:sz w:val="21"/>
                      <w:szCs w:val="21"/>
                      <w:highlight w:val="none"/>
                      <w:lang w:bidi="ar"/>
                    </w:rPr>
                  </w:pPr>
                </w:p>
              </w:tc>
              <w:tc>
                <w:tcPr>
                  <w:tcW w:w="893" w:type="pct"/>
                  <w:gridSpan w:val="2"/>
                  <w:vMerge w:val="continue"/>
                  <w:noWrap w:val="0"/>
                  <w:vAlign w:val="center"/>
                </w:tcPr>
                <w:p w14:paraId="675906DC">
                  <w:pPr>
                    <w:keepNext w:val="0"/>
                    <w:keepLines w:val="0"/>
                    <w:widowControl/>
                    <w:suppressLineNumbers w:val="0"/>
                    <w:spacing w:before="0" w:beforeAutospacing="0" w:after="0" w:afterAutospacing="0" w:line="280" w:lineRule="exact"/>
                    <w:ind w:left="0" w:right="0"/>
                    <w:jc w:val="center"/>
                    <w:textAlignment w:val="center"/>
                    <w:rPr>
                      <w:rFonts w:hint="eastAsia" w:ascii="Times New Roman" w:hAnsi="Times New Roman" w:eastAsia="宋体" w:cs="Times New Roman"/>
                      <w:b w:val="0"/>
                      <w:bCs w:val="0"/>
                      <w:sz w:val="21"/>
                      <w:szCs w:val="21"/>
                      <w:highlight w:val="none"/>
                      <w:lang w:bidi="ar"/>
                    </w:rPr>
                  </w:pPr>
                </w:p>
              </w:tc>
              <w:tc>
                <w:tcPr>
                  <w:tcW w:w="834" w:type="pct"/>
                  <w:vMerge w:val="continue"/>
                  <w:noWrap w:val="0"/>
                  <w:vAlign w:val="center"/>
                </w:tcPr>
                <w:p w14:paraId="46A22496">
                  <w:pPr>
                    <w:keepNext w:val="0"/>
                    <w:keepLines w:val="0"/>
                    <w:widowControl/>
                    <w:suppressLineNumbers w:val="0"/>
                    <w:spacing w:before="0" w:beforeAutospacing="0" w:after="0" w:afterAutospacing="0" w:line="280" w:lineRule="exact"/>
                    <w:ind w:left="0" w:right="0"/>
                    <w:jc w:val="center"/>
                    <w:textAlignment w:val="center"/>
                    <w:rPr>
                      <w:rFonts w:hint="eastAsia" w:ascii="Times New Roman" w:hAnsi="Times New Roman" w:eastAsia="宋体" w:cs="Times New Roman"/>
                      <w:b w:val="0"/>
                      <w:bCs w:val="0"/>
                      <w:sz w:val="21"/>
                      <w:szCs w:val="21"/>
                      <w:highlight w:val="none"/>
                      <w:lang w:bidi="ar"/>
                    </w:rPr>
                  </w:pPr>
                </w:p>
              </w:tc>
              <w:tc>
                <w:tcPr>
                  <w:tcW w:w="651" w:type="pct"/>
                  <w:noWrap w:val="0"/>
                  <w:vAlign w:val="center"/>
                </w:tcPr>
                <w:p w14:paraId="0092F2E3">
                  <w:pPr>
                    <w:keepNext w:val="0"/>
                    <w:keepLines w:val="0"/>
                    <w:widowControl/>
                    <w:suppressLineNumbers w:val="0"/>
                    <w:spacing w:before="0" w:beforeAutospacing="0" w:after="0" w:afterAutospacing="0" w:line="280" w:lineRule="exact"/>
                    <w:ind w:left="0" w:right="0"/>
                    <w:jc w:val="center"/>
                    <w:textAlignment w:val="center"/>
                    <w:rPr>
                      <w:rFonts w:hint="eastAsia" w:ascii="Times New Roman" w:hAnsi="Times New Roman" w:eastAsia="宋体" w:cs="Times New Roman"/>
                      <w:b w:val="0"/>
                      <w:bCs w:val="0"/>
                      <w:sz w:val="21"/>
                      <w:szCs w:val="21"/>
                      <w:highlight w:val="none"/>
                      <w:lang w:bidi="ar"/>
                    </w:rPr>
                  </w:pPr>
                  <w:r>
                    <w:rPr>
                      <w:rFonts w:hint="eastAsia" w:ascii="Times New Roman" w:hAnsi="Times New Roman" w:eastAsia="宋体" w:cs="Times New Roman"/>
                      <w:b w:val="0"/>
                      <w:bCs w:val="0"/>
                      <w:sz w:val="21"/>
                      <w:szCs w:val="21"/>
                      <w:highlight w:val="none"/>
                      <w:lang w:val="en-US" w:eastAsia="zh-CN" w:bidi="ar"/>
                    </w:rPr>
                    <w:t xml:space="preserve">产生量 </w:t>
                  </w:r>
                  <w:r>
                    <w:rPr>
                      <w:rFonts w:hint="default" w:ascii="Times New Roman" w:hAnsi="Times New Roman" w:eastAsia="宋体" w:cs="Times New Roman"/>
                      <w:b w:val="0"/>
                      <w:bCs w:val="0"/>
                      <w:sz w:val="21"/>
                      <w:szCs w:val="21"/>
                      <w:highlight w:val="none"/>
                      <w:lang w:val="en-US" w:eastAsia="zh-CN" w:bidi="ar"/>
                    </w:rPr>
                    <w:t>t/a</w:t>
                  </w:r>
                </w:p>
              </w:tc>
              <w:tc>
                <w:tcPr>
                  <w:tcW w:w="717" w:type="pct"/>
                  <w:noWrap w:val="0"/>
                  <w:vAlign w:val="center"/>
                </w:tcPr>
                <w:p w14:paraId="5C04FF3C">
                  <w:pPr>
                    <w:keepNext w:val="0"/>
                    <w:keepLines w:val="0"/>
                    <w:widowControl/>
                    <w:suppressLineNumbers w:val="0"/>
                    <w:spacing w:before="0" w:beforeAutospacing="0" w:after="0" w:afterAutospacing="0" w:line="280" w:lineRule="exact"/>
                    <w:ind w:left="0" w:right="0"/>
                    <w:jc w:val="center"/>
                    <w:textAlignment w:val="center"/>
                    <w:rPr>
                      <w:rFonts w:hint="eastAsia" w:ascii="Times New Roman" w:hAnsi="Times New Roman" w:eastAsia="宋体" w:cs="Times New Roman"/>
                      <w:b w:val="0"/>
                      <w:bCs w:val="0"/>
                      <w:sz w:val="21"/>
                      <w:szCs w:val="21"/>
                      <w:highlight w:val="none"/>
                      <w:lang w:bidi="ar"/>
                    </w:rPr>
                  </w:pPr>
                  <w:r>
                    <w:rPr>
                      <w:rFonts w:hint="eastAsia" w:ascii="Times New Roman" w:hAnsi="Times New Roman" w:eastAsia="宋体" w:cs="Times New Roman"/>
                      <w:b w:val="0"/>
                      <w:bCs w:val="0"/>
                      <w:sz w:val="21"/>
                      <w:szCs w:val="21"/>
                      <w:highlight w:val="none"/>
                      <w:lang w:val="en-US" w:eastAsia="zh-CN" w:bidi="ar"/>
                    </w:rPr>
                    <w:t xml:space="preserve">产生速率 </w:t>
                  </w:r>
                  <w:r>
                    <w:rPr>
                      <w:rFonts w:hint="default" w:ascii="Times New Roman" w:hAnsi="Times New Roman" w:eastAsia="宋体" w:cs="Times New Roman"/>
                      <w:b w:val="0"/>
                      <w:bCs w:val="0"/>
                      <w:sz w:val="21"/>
                      <w:szCs w:val="21"/>
                      <w:highlight w:val="none"/>
                      <w:lang w:val="en-US" w:eastAsia="zh-CN" w:bidi="ar"/>
                    </w:rPr>
                    <w:t>kg/h</w:t>
                  </w:r>
                </w:p>
              </w:tc>
              <w:tc>
                <w:tcPr>
                  <w:tcW w:w="714" w:type="pct"/>
                  <w:noWrap w:val="0"/>
                  <w:vAlign w:val="center"/>
                </w:tcPr>
                <w:p w14:paraId="63629DF1">
                  <w:pPr>
                    <w:keepNext w:val="0"/>
                    <w:keepLines w:val="0"/>
                    <w:widowControl/>
                    <w:suppressLineNumbers w:val="0"/>
                    <w:spacing w:before="0" w:beforeAutospacing="0" w:after="0" w:afterAutospacing="0" w:line="280" w:lineRule="exact"/>
                    <w:ind w:left="0" w:right="0"/>
                    <w:jc w:val="center"/>
                    <w:textAlignment w:val="center"/>
                    <w:rPr>
                      <w:rFonts w:hint="eastAsia" w:ascii="Times New Roman" w:hAnsi="Times New Roman" w:eastAsia="宋体" w:cs="Times New Roman"/>
                      <w:b w:val="0"/>
                      <w:bCs w:val="0"/>
                      <w:sz w:val="21"/>
                      <w:szCs w:val="21"/>
                      <w:highlight w:val="none"/>
                      <w:lang w:bidi="ar"/>
                    </w:rPr>
                  </w:pPr>
                  <w:r>
                    <w:rPr>
                      <w:rFonts w:hint="eastAsia" w:ascii="Times New Roman" w:hAnsi="Times New Roman" w:eastAsia="宋体" w:cs="Times New Roman"/>
                      <w:b w:val="0"/>
                      <w:bCs w:val="0"/>
                      <w:sz w:val="21"/>
                      <w:szCs w:val="21"/>
                      <w:highlight w:val="none"/>
                      <w:lang w:val="en-US" w:eastAsia="zh-CN" w:bidi="ar"/>
                    </w:rPr>
                    <w:t xml:space="preserve">排放量 </w:t>
                  </w:r>
                  <w:r>
                    <w:rPr>
                      <w:rFonts w:hint="default" w:ascii="Times New Roman" w:hAnsi="Times New Roman" w:eastAsia="宋体" w:cs="Times New Roman"/>
                      <w:b w:val="0"/>
                      <w:bCs w:val="0"/>
                      <w:sz w:val="21"/>
                      <w:szCs w:val="21"/>
                      <w:highlight w:val="none"/>
                      <w:lang w:val="en-US" w:eastAsia="zh-CN" w:bidi="ar"/>
                    </w:rPr>
                    <w:t>t/a</w:t>
                  </w:r>
                </w:p>
              </w:tc>
              <w:tc>
                <w:tcPr>
                  <w:tcW w:w="719" w:type="pct"/>
                  <w:noWrap w:val="0"/>
                  <w:vAlign w:val="center"/>
                </w:tcPr>
                <w:p w14:paraId="38ACD209">
                  <w:pPr>
                    <w:keepNext w:val="0"/>
                    <w:keepLines w:val="0"/>
                    <w:widowControl/>
                    <w:suppressLineNumbers w:val="0"/>
                    <w:spacing w:before="0" w:beforeAutospacing="0" w:after="0" w:afterAutospacing="0" w:line="280" w:lineRule="exact"/>
                    <w:ind w:left="0" w:right="0"/>
                    <w:jc w:val="center"/>
                    <w:textAlignment w:val="center"/>
                    <w:rPr>
                      <w:rFonts w:hint="eastAsia" w:ascii="Times New Roman" w:hAnsi="Times New Roman" w:eastAsia="宋体" w:cs="Times New Roman"/>
                      <w:b w:val="0"/>
                      <w:bCs w:val="0"/>
                      <w:sz w:val="21"/>
                      <w:szCs w:val="21"/>
                      <w:highlight w:val="none"/>
                      <w:lang w:bidi="ar"/>
                    </w:rPr>
                  </w:pPr>
                  <w:r>
                    <w:rPr>
                      <w:rFonts w:hint="eastAsia" w:ascii="Times New Roman" w:hAnsi="Times New Roman" w:eastAsia="宋体" w:cs="Times New Roman"/>
                      <w:b w:val="0"/>
                      <w:bCs w:val="0"/>
                      <w:sz w:val="21"/>
                      <w:szCs w:val="21"/>
                      <w:highlight w:val="none"/>
                      <w:lang w:val="en-US" w:eastAsia="zh-CN" w:bidi="ar"/>
                    </w:rPr>
                    <w:t xml:space="preserve">排放速率 </w:t>
                  </w:r>
                  <w:r>
                    <w:rPr>
                      <w:rFonts w:hint="default" w:ascii="Times New Roman" w:hAnsi="Times New Roman" w:eastAsia="宋体" w:cs="Times New Roman"/>
                      <w:b w:val="0"/>
                      <w:bCs w:val="0"/>
                      <w:sz w:val="21"/>
                      <w:szCs w:val="21"/>
                      <w:highlight w:val="none"/>
                      <w:lang w:val="en-US" w:eastAsia="zh-CN" w:bidi="ar"/>
                    </w:rPr>
                    <w:t>kg/h</w:t>
                  </w:r>
                </w:p>
              </w:tc>
            </w:tr>
            <w:tr w14:paraId="7317849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90" w:hRule="atLeast"/>
              </w:trPr>
              <w:tc>
                <w:tcPr>
                  <w:tcW w:w="470" w:type="pct"/>
                  <w:vMerge w:val="restart"/>
                  <w:noWrap w:val="0"/>
                  <w:vAlign w:val="center"/>
                </w:tcPr>
                <w:p w14:paraId="5211B16E">
                  <w:pPr>
                    <w:keepNext w:val="0"/>
                    <w:keepLines w:val="0"/>
                    <w:widowControl/>
                    <w:suppressLineNumbers w:val="0"/>
                    <w:spacing w:before="0" w:beforeAutospacing="0" w:after="0" w:afterAutospacing="0" w:line="280" w:lineRule="exact"/>
                    <w:ind w:left="0" w:right="0"/>
                    <w:jc w:val="center"/>
                    <w:textAlignment w:val="center"/>
                    <w:rPr>
                      <w:rFonts w:hint="default" w:ascii="Times New Roman" w:hAnsi="Times New Roman" w:eastAsia="宋体" w:cs="Times New Roman"/>
                      <w:b w:val="0"/>
                      <w:bCs w:val="0"/>
                      <w:sz w:val="21"/>
                      <w:szCs w:val="21"/>
                      <w:highlight w:val="none"/>
                      <w:lang w:val="en-US" w:eastAsia="zh-CN" w:bidi="ar"/>
                    </w:rPr>
                  </w:pPr>
                  <w:r>
                    <w:rPr>
                      <w:rFonts w:hint="eastAsia" w:ascii="Times New Roman" w:hAnsi="Times New Roman" w:eastAsia="宋体" w:cs="Times New Roman"/>
                      <w:b w:val="0"/>
                      <w:bCs w:val="0"/>
                      <w:sz w:val="21"/>
                      <w:szCs w:val="21"/>
                      <w:highlight w:val="none"/>
                      <w:lang w:val="en-US" w:eastAsia="zh-CN" w:bidi="ar"/>
                    </w:rPr>
                    <w:t>消毒废气</w:t>
                  </w:r>
                </w:p>
              </w:tc>
              <w:tc>
                <w:tcPr>
                  <w:tcW w:w="431" w:type="pct"/>
                  <w:vMerge w:val="restart"/>
                  <w:noWrap w:val="0"/>
                  <w:vAlign w:val="center"/>
                </w:tcPr>
                <w:p w14:paraId="0C59F656">
                  <w:pPr>
                    <w:keepNext w:val="0"/>
                    <w:keepLines w:val="0"/>
                    <w:widowControl/>
                    <w:suppressLineNumbers w:val="0"/>
                    <w:spacing w:before="0" w:beforeAutospacing="0" w:after="0" w:afterAutospacing="0" w:line="280" w:lineRule="exact"/>
                    <w:ind w:left="0" w:right="0"/>
                    <w:jc w:val="center"/>
                    <w:textAlignment w:val="center"/>
                    <w:rPr>
                      <w:rFonts w:hint="default" w:ascii="Times New Roman" w:hAnsi="Times New Roman" w:eastAsia="宋体" w:cs="Times New Roman"/>
                      <w:b w:val="0"/>
                      <w:bCs w:val="0"/>
                      <w:sz w:val="21"/>
                      <w:szCs w:val="21"/>
                      <w:highlight w:val="none"/>
                      <w:lang w:val="en-US" w:eastAsia="zh-CN" w:bidi="ar"/>
                    </w:rPr>
                  </w:pPr>
                  <w:r>
                    <w:rPr>
                      <w:rFonts w:hint="eastAsia" w:ascii="Times New Roman" w:hAnsi="Times New Roman" w:eastAsia="宋体" w:cs="Times New Roman"/>
                      <w:b w:val="0"/>
                      <w:bCs w:val="0"/>
                      <w:sz w:val="21"/>
                      <w:szCs w:val="21"/>
                      <w:highlight w:val="none"/>
                      <w:lang w:val="en-US" w:eastAsia="zh-CN" w:bidi="ar"/>
                    </w:rPr>
                    <w:t>DA006</w:t>
                  </w:r>
                </w:p>
              </w:tc>
              <w:tc>
                <w:tcPr>
                  <w:tcW w:w="462" w:type="pct"/>
                  <w:vMerge w:val="restart"/>
                  <w:shd w:val="clear" w:color="auto" w:fill="auto"/>
                  <w:noWrap w:val="0"/>
                  <w:vAlign w:val="center"/>
                </w:tcPr>
                <w:p w14:paraId="2C254FD4">
                  <w:pPr>
                    <w:keepNext w:val="0"/>
                    <w:keepLines w:val="0"/>
                    <w:widowControl/>
                    <w:suppressLineNumbers w:val="0"/>
                    <w:spacing w:before="0" w:beforeAutospacing="0" w:after="0" w:afterAutospacing="0" w:line="280" w:lineRule="exact"/>
                    <w:ind w:left="0" w:right="0"/>
                    <w:jc w:val="center"/>
                    <w:textAlignment w:val="center"/>
                    <w:rPr>
                      <w:rFonts w:hint="eastAsia" w:ascii="Times New Roman" w:hAnsi="Times New Roman" w:eastAsia="宋体" w:cs="Times New Roman"/>
                      <w:b w:val="0"/>
                      <w:bCs w:val="0"/>
                      <w:kern w:val="2"/>
                      <w:sz w:val="21"/>
                      <w:szCs w:val="21"/>
                      <w:highlight w:val="none"/>
                      <w:lang w:val="en-US" w:eastAsia="zh-CN" w:bidi="ar"/>
                    </w:rPr>
                  </w:pPr>
                  <w:r>
                    <w:rPr>
                      <w:rFonts w:hint="eastAsia" w:ascii="Times New Roman" w:hAnsi="Times New Roman" w:eastAsia="宋体" w:cs="Times New Roman"/>
                      <w:b w:val="0"/>
                      <w:bCs w:val="0"/>
                      <w:sz w:val="21"/>
                      <w:szCs w:val="21"/>
                      <w:highlight w:val="none"/>
                      <w:lang w:val="en-US" w:eastAsia="zh-CN" w:bidi="ar"/>
                    </w:rPr>
                    <w:t>有组织</w:t>
                  </w:r>
                </w:p>
              </w:tc>
              <w:tc>
                <w:tcPr>
                  <w:tcW w:w="834" w:type="pct"/>
                  <w:noWrap w:val="0"/>
                  <w:vAlign w:val="center"/>
                </w:tcPr>
                <w:p w14:paraId="53D71DBB">
                  <w:pPr>
                    <w:keepNext w:val="0"/>
                    <w:keepLines w:val="0"/>
                    <w:widowControl/>
                    <w:suppressLineNumbers w:val="0"/>
                    <w:spacing w:before="0" w:beforeAutospacing="0" w:after="0" w:afterAutospacing="0" w:line="280" w:lineRule="exact"/>
                    <w:ind w:left="0" w:right="0"/>
                    <w:jc w:val="center"/>
                    <w:textAlignment w:val="center"/>
                    <w:rPr>
                      <w:rFonts w:hint="default" w:ascii="Times New Roman" w:hAnsi="Times New Roman" w:eastAsia="宋体" w:cs="Times New Roman"/>
                      <w:b w:val="0"/>
                      <w:bCs w:val="0"/>
                      <w:sz w:val="21"/>
                      <w:szCs w:val="21"/>
                      <w:highlight w:val="none"/>
                      <w:lang w:val="en-US" w:eastAsia="zh-CN" w:bidi="ar"/>
                    </w:rPr>
                  </w:pPr>
                  <w:r>
                    <w:rPr>
                      <w:rFonts w:hint="eastAsia" w:ascii="Times New Roman" w:hAnsi="Times New Roman" w:eastAsia="宋体" w:cs="Times New Roman"/>
                      <w:b w:val="0"/>
                      <w:bCs w:val="0"/>
                      <w:sz w:val="21"/>
                      <w:szCs w:val="21"/>
                      <w:highlight w:val="none"/>
                      <w:lang w:val="en-US" w:eastAsia="zh-CN" w:bidi="ar"/>
                    </w:rPr>
                    <w:t>非甲烷总烃</w:t>
                  </w:r>
                </w:p>
              </w:tc>
              <w:tc>
                <w:tcPr>
                  <w:tcW w:w="651" w:type="pct"/>
                  <w:noWrap w:val="0"/>
                  <w:vAlign w:val="center"/>
                </w:tcPr>
                <w:p w14:paraId="6E738066">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kern w:val="0"/>
                      <w:sz w:val="21"/>
                      <w:szCs w:val="21"/>
                      <w:highlight w:val="none"/>
                      <w:u w:val="none"/>
                      <w:lang w:val="en-US" w:eastAsia="zh-CN" w:bidi="ar"/>
                    </w:rPr>
                  </w:pPr>
                  <w:r>
                    <w:rPr>
                      <w:rFonts w:hint="eastAsia" w:ascii="Times New Roman" w:hAnsi="Times New Roman" w:eastAsia="宋体" w:cs="Times New Roman"/>
                      <w:i w:val="0"/>
                      <w:iCs w:val="0"/>
                      <w:color w:val="000000"/>
                      <w:kern w:val="0"/>
                      <w:sz w:val="21"/>
                      <w:szCs w:val="21"/>
                      <w:highlight w:val="none"/>
                      <w:u w:val="none"/>
                      <w:lang w:val="en-US" w:eastAsia="zh-CN" w:bidi="ar"/>
                    </w:rPr>
                    <w:t>0.006</w:t>
                  </w:r>
                </w:p>
              </w:tc>
              <w:tc>
                <w:tcPr>
                  <w:tcW w:w="717" w:type="pct"/>
                  <w:noWrap w:val="0"/>
                  <w:vAlign w:val="center"/>
                </w:tcPr>
                <w:p w14:paraId="02B1970F">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kern w:val="0"/>
                      <w:sz w:val="21"/>
                      <w:szCs w:val="21"/>
                      <w:highlight w:val="none"/>
                      <w:u w:val="none"/>
                      <w:lang w:val="en-US" w:eastAsia="zh-CN" w:bidi="ar"/>
                    </w:rPr>
                  </w:pPr>
                  <w:r>
                    <w:rPr>
                      <w:rFonts w:hint="eastAsia" w:ascii="Times New Roman" w:hAnsi="Times New Roman" w:eastAsia="宋体" w:cs="Times New Roman"/>
                      <w:i w:val="0"/>
                      <w:iCs w:val="0"/>
                      <w:color w:val="000000"/>
                      <w:kern w:val="0"/>
                      <w:sz w:val="21"/>
                      <w:szCs w:val="21"/>
                      <w:highlight w:val="none"/>
                      <w:u w:val="none"/>
                      <w:lang w:val="en-US" w:eastAsia="zh-CN" w:bidi="ar"/>
                    </w:rPr>
                    <w:t>0.006</w:t>
                  </w:r>
                </w:p>
              </w:tc>
              <w:tc>
                <w:tcPr>
                  <w:tcW w:w="714" w:type="pct"/>
                  <w:shd w:val="clear" w:color="auto" w:fill="auto"/>
                  <w:noWrap w:val="0"/>
                  <w:vAlign w:val="center"/>
                </w:tcPr>
                <w:p w14:paraId="0ED5C4F2">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kern w:val="0"/>
                      <w:sz w:val="21"/>
                      <w:szCs w:val="21"/>
                      <w:highlight w:val="none"/>
                      <w:u w:val="none"/>
                      <w:lang w:val="en-US" w:eastAsia="zh-CN" w:bidi="ar"/>
                    </w:rPr>
                  </w:pPr>
                  <w:r>
                    <w:rPr>
                      <w:rFonts w:hint="eastAsia" w:ascii="Times New Roman" w:hAnsi="Times New Roman" w:eastAsia="宋体" w:cs="Times New Roman"/>
                      <w:i w:val="0"/>
                      <w:iCs w:val="0"/>
                      <w:color w:val="000000"/>
                      <w:kern w:val="0"/>
                      <w:sz w:val="21"/>
                      <w:szCs w:val="21"/>
                      <w:highlight w:val="none"/>
                      <w:u w:val="none"/>
                      <w:lang w:val="en-US" w:eastAsia="zh-CN" w:bidi="ar"/>
                    </w:rPr>
                    <w:t>0.006</w:t>
                  </w:r>
                </w:p>
              </w:tc>
              <w:tc>
                <w:tcPr>
                  <w:tcW w:w="719" w:type="pct"/>
                  <w:shd w:val="clear" w:color="auto" w:fill="auto"/>
                  <w:noWrap w:val="0"/>
                  <w:vAlign w:val="center"/>
                </w:tcPr>
                <w:p w14:paraId="0192E6F9">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kern w:val="0"/>
                      <w:sz w:val="21"/>
                      <w:szCs w:val="21"/>
                      <w:highlight w:val="none"/>
                      <w:u w:val="none"/>
                      <w:lang w:val="en-US" w:eastAsia="zh-CN" w:bidi="ar"/>
                    </w:rPr>
                  </w:pPr>
                  <w:r>
                    <w:rPr>
                      <w:rFonts w:hint="eastAsia" w:ascii="Times New Roman" w:hAnsi="Times New Roman" w:eastAsia="宋体" w:cs="Times New Roman"/>
                      <w:i w:val="0"/>
                      <w:iCs w:val="0"/>
                      <w:color w:val="000000"/>
                      <w:kern w:val="0"/>
                      <w:sz w:val="21"/>
                      <w:szCs w:val="21"/>
                      <w:highlight w:val="none"/>
                      <w:u w:val="none"/>
                      <w:lang w:val="en-US" w:eastAsia="zh-CN" w:bidi="ar"/>
                    </w:rPr>
                    <w:t>0.006</w:t>
                  </w:r>
                </w:p>
              </w:tc>
            </w:tr>
            <w:tr w14:paraId="5AE242B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90" w:hRule="atLeast"/>
              </w:trPr>
              <w:tc>
                <w:tcPr>
                  <w:tcW w:w="470" w:type="pct"/>
                  <w:vMerge w:val="continue"/>
                  <w:noWrap w:val="0"/>
                  <w:vAlign w:val="center"/>
                </w:tcPr>
                <w:p w14:paraId="2EBF04A4">
                  <w:pPr>
                    <w:keepNext w:val="0"/>
                    <w:keepLines w:val="0"/>
                    <w:widowControl/>
                    <w:suppressLineNumbers w:val="0"/>
                    <w:spacing w:before="0" w:beforeAutospacing="0" w:after="0" w:afterAutospacing="0" w:line="280" w:lineRule="exact"/>
                    <w:ind w:left="0" w:right="0"/>
                    <w:jc w:val="center"/>
                    <w:textAlignment w:val="center"/>
                    <w:rPr>
                      <w:rFonts w:hint="eastAsia" w:ascii="Times New Roman" w:hAnsi="Times New Roman" w:eastAsia="宋体" w:cs="Times New Roman"/>
                      <w:b w:val="0"/>
                      <w:bCs w:val="0"/>
                      <w:sz w:val="21"/>
                      <w:szCs w:val="21"/>
                      <w:highlight w:val="none"/>
                      <w:lang w:val="en-US" w:eastAsia="zh-CN" w:bidi="ar"/>
                    </w:rPr>
                  </w:pPr>
                </w:p>
              </w:tc>
              <w:tc>
                <w:tcPr>
                  <w:tcW w:w="431" w:type="pct"/>
                  <w:vMerge w:val="continue"/>
                  <w:noWrap w:val="0"/>
                  <w:vAlign w:val="center"/>
                </w:tcPr>
                <w:p w14:paraId="6E45C982">
                  <w:pPr>
                    <w:keepNext w:val="0"/>
                    <w:keepLines w:val="0"/>
                    <w:widowControl/>
                    <w:suppressLineNumbers w:val="0"/>
                    <w:spacing w:before="0" w:beforeAutospacing="0" w:after="0" w:afterAutospacing="0" w:line="280" w:lineRule="exact"/>
                    <w:ind w:left="0" w:right="0"/>
                    <w:jc w:val="center"/>
                    <w:textAlignment w:val="center"/>
                    <w:rPr>
                      <w:rFonts w:hint="eastAsia" w:ascii="Times New Roman" w:hAnsi="Times New Roman" w:eastAsia="宋体" w:cs="Times New Roman"/>
                      <w:b w:val="0"/>
                      <w:bCs w:val="0"/>
                      <w:sz w:val="21"/>
                      <w:szCs w:val="21"/>
                      <w:highlight w:val="none"/>
                      <w:lang w:val="en-US" w:eastAsia="zh-CN" w:bidi="ar"/>
                    </w:rPr>
                  </w:pPr>
                </w:p>
              </w:tc>
              <w:tc>
                <w:tcPr>
                  <w:tcW w:w="462" w:type="pct"/>
                  <w:vMerge w:val="continue"/>
                  <w:shd w:val="clear" w:color="auto" w:fill="auto"/>
                  <w:noWrap w:val="0"/>
                  <w:vAlign w:val="center"/>
                </w:tcPr>
                <w:p w14:paraId="4C4A9516">
                  <w:pPr>
                    <w:keepNext w:val="0"/>
                    <w:keepLines w:val="0"/>
                    <w:widowControl/>
                    <w:suppressLineNumbers w:val="0"/>
                    <w:spacing w:before="0" w:beforeAutospacing="0" w:after="0" w:afterAutospacing="0" w:line="280" w:lineRule="exact"/>
                    <w:ind w:left="0" w:right="0"/>
                    <w:jc w:val="center"/>
                    <w:textAlignment w:val="center"/>
                    <w:rPr>
                      <w:rFonts w:hint="eastAsia" w:ascii="Times New Roman" w:hAnsi="Times New Roman" w:eastAsia="宋体" w:cs="Times New Roman"/>
                      <w:b w:val="0"/>
                      <w:bCs w:val="0"/>
                      <w:sz w:val="21"/>
                      <w:szCs w:val="21"/>
                      <w:highlight w:val="none"/>
                      <w:lang w:val="en-US" w:eastAsia="zh-CN" w:bidi="ar"/>
                    </w:rPr>
                  </w:pPr>
                </w:p>
              </w:tc>
              <w:tc>
                <w:tcPr>
                  <w:tcW w:w="834" w:type="pct"/>
                  <w:noWrap w:val="0"/>
                  <w:vAlign w:val="center"/>
                </w:tcPr>
                <w:p w14:paraId="789097D8">
                  <w:pPr>
                    <w:keepNext w:val="0"/>
                    <w:keepLines w:val="0"/>
                    <w:widowControl/>
                    <w:suppressLineNumbers w:val="0"/>
                    <w:spacing w:before="0" w:beforeAutospacing="0" w:after="0" w:afterAutospacing="0" w:line="280" w:lineRule="exact"/>
                    <w:ind w:left="0" w:right="0"/>
                    <w:jc w:val="center"/>
                    <w:textAlignment w:val="center"/>
                    <w:rPr>
                      <w:rFonts w:hint="default" w:ascii="Times New Roman" w:hAnsi="Times New Roman" w:eastAsia="宋体" w:cs="Times New Roman"/>
                      <w:b w:val="0"/>
                      <w:bCs w:val="0"/>
                      <w:sz w:val="21"/>
                      <w:szCs w:val="21"/>
                      <w:highlight w:val="none"/>
                      <w:lang w:val="en-US" w:eastAsia="zh-CN" w:bidi="ar"/>
                    </w:rPr>
                  </w:pPr>
                  <w:r>
                    <w:rPr>
                      <w:rFonts w:hint="eastAsia" w:ascii="Times New Roman" w:hAnsi="Times New Roman" w:eastAsia="宋体" w:cs="Times New Roman"/>
                      <w:b w:val="0"/>
                      <w:bCs w:val="0"/>
                      <w:sz w:val="21"/>
                      <w:szCs w:val="21"/>
                      <w:highlight w:val="none"/>
                      <w:lang w:val="en-US" w:eastAsia="zh-CN" w:bidi="ar"/>
                    </w:rPr>
                    <w:t>氯气</w:t>
                  </w:r>
                </w:p>
              </w:tc>
              <w:tc>
                <w:tcPr>
                  <w:tcW w:w="2802" w:type="pct"/>
                  <w:gridSpan w:val="4"/>
                  <w:noWrap w:val="0"/>
                  <w:vAlign w:val="center"/>
                </w:tcPr>
                <w:p w14:paraId="594FE043">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kern w:val="0"/>
                      <w:sz w:val="21"/>
                      <w:szCs w:val="21"/>
                      <w:highlight w:val="none"/>
                      <w:u w:val="none"/>
                      <w:lang w:val="en-US" w:eastAsia="zh-CN" w:bidi="ar"/>
                    </w:rPr>
                  </w:pPr>
                  <w:r>
                    <w:rPr>
                      <w:rFonts w:hint="eastAsia" w:cs="Times New Roman"/>
                      <w:i w:val="0"/>
                      <w:iCs w:val="0"/>
                      <w:color w:val="000000"/>
                      <w:kern w:val="0"/>
                      <w:sz w:val="21"/>
                      <w:szCs w:val="21"/>
                      <w:highlight w:val="none"/>
                      <w:u w:val="none"/>
                      <w:lang w:val="en-US" w:eastAsia="zh-CN" w:bidi="ar"/>
                    </w:rPr>
                    <w:t>少量</w:t>
                  </w:r>
                </w:p>
              </w:tc>
            </w:tr>
            <w:tr w14:paraId="35B8D5A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90" w:hRule="atLeast"/>
              </w:trPr>
              <w:tc>
                <w:tcPr>
                  <w:tcW w:w="470" w:type="pct"/>
                  <w:vMerge w:val="continue"/>
                  <w:noWrap w:val="0"/>
                  <w:vAlign w:val="center"/>
                </w:tcPr>
                <w:p w14:paraId="3E861253">
                  <w:pPr>
                    <w:keepNext w:val="0"/>
                    <w:keepLines w:val="0"/>
                    <w:widowControl/>
                    <w:suppressLineNumbers w:val="0"/>
                    <w:spacing w:before="0" w:beforeAutospacing="0" w:after="0" w:afterAutospacing="0" w:line="280" w:lineRule="exact"/>
                    <w:ind w:left="0" w:right="0"/>
                    <w:jc w:val="center"/>
                    <w:textAlignment w:val="center"/>
                    <w:rPr>
                      <w:rFonts w:hint="eastAsia" w:ascii="Times New Roman" w:hAnsi="Times New Roman" w:eastAsia="宋体" w:cs="Times New Roman"/>
                      <w:b w:val="0"/>
                      <w:bCs w:val="0"/>
                      <w:sz w:val="21"/>
                      <w:szCs w:val="21"/>
                      <w:highlight w:val="none"/>
                      <w:lang w:val="en-US" w:eastAsia="zh-CN" w:bidi="ar"/>
                    </w:rPr>
                  </w:pPr>
                </w:p>
              </w:tc>
              <w:tc>
                <w:tcPr>
                  <w:tcW w:w="893" w:type="pct"/>
                  <w:gridSpan w:val="2"/>
                  <w:vMerge w:val="restart"/>
                  <w:noWrap w:val="0"/>
                  <w:vAlign w:val="center"/>
                </w:tcPr>
                <w:p w14:paraId="385BC156">
                  <w:pPr>
                    <w:keepNext w:val="0"/>
                    <w:keepLines w:val="0"/>
                    <w:widowControl/>
                    <w:suppressLineNumbers w:val="0"/>
                    <w:spacing w:before="0" w:beforeAutospacing="0" w:after="0" w:afterAutospacing="0" w:line="280" w:lineRule="exact"/>
                    <w:ind w:left="0" w:right="0"/>
                    <w:jc w:val="center"/>
                    <w:textAlignment w:val="center"/>
                    <w:rPr>
                      <w:rFonts w:hint="default" w:ascii="Times New Roman" w:hAnsi="Times New Roman" w:eastAsia="宋体" w:cs="Times New Roman"/>
                      <w:b w:val="0"/>
                      <w:bCs w:val="0"/>
                      <w:sz w:val="21"/>
                      <w:szCs w:val="21"/>
                      <w:highlight w:val="none"/>
                      <w:lang w:val="en-US" w:eastAsia="zh-CN" w:bidi="ar"/>
                    </w:rPr>
                  </w:pPr>
                  <w:r>
                    <w:rPr>
                      <w:rFonts w:hint="eastAsia" w:ascii="Times New Roman" w:hAnsi="Times New Roman" w:eastAsia="宋体" w:cs="Times New Roman"/>
                      <w:b w:val="0"/>
                      <w:bCs w:val="0"/>
                      <w:sz w:val="21"/>
                      <w:szCs w:val="21"/>
                      <w:highlight w:val="none"/>
                      <w:lang w:val="en-US" w:eastAsia="zh-CN" w:bidi="ar"/>
                    </w:rPr>
                    <w:t>无组织</w:t>
                  </w:r>
                </w:p>
              </w:tc>
              <w:tc>
                <w:tcPr>
                  <w:tcW w:w="834" w:type="pct"/>
                  <w:shd w:val="clear" w:color="auto" w:fill="auto"/>
                  <w:noWrap w:val="0"/>
                  <w:vAlign w:val="center"/>
                </w:tcPr>
                <w:p w14:paraId="2B229A2A">
                  <w:pPr>
                    <w:keepNext w:val="0"/>
                    <w:keepLines w:val="0"/>
                    <w:widowControl/>
                    <w:suppressLineNumbers w:val="0"/>
                    <w:spacing w:before="0" w:beforeAutospacing="0" w:after="0" w:afterAutospacing="0" w:line="280" w:lineRule="exact"/>
                    <w:ind w:left="0" w:right="0"/>
                    <w:jc w:val="center"/>
                    <w:textAlignment w:val="center"/>
                    <w:rPr>
                      <w:rFonts w:hint="eastAsia" w:ascii="Times New Roman" w:hAnsi="Times New Roman" w:eastAsia="宋体" w:cs="Times New Roman"/>
                      <w:b w:val="0"/>
                      <w:bCs w:val="0"/>
                      <w:kern w:val="2"/>
                      <w:sz w:val="21"/>
                      <w:szCs w:val="21"/>
                      <w:highlight w:val="none"/>
                      <w:lang w:val="en-US" w:eastAsia="zh-CN" w:bidi="ar"/>
                    </w:rPr>
                  </w:pPr>
                  <w:r>
                    <w:rPr>
                      <w:rFonts w:hint="eastAsia" w:ascii="Times New Roman" w:hAnsi="Times New Roman" w:eastAsia="宋体" w:cs="Times New Roman"/>
                      <w:b w:val="0"/>
                      <w:bCs w:val="0"/>
                      <w:sz w:val="21"/>
                      <w:szCs w:val="21"/>
                      <w:highlight w:val="none"/>
                      <w:lang w:val="en-US" w:eastAsia="zh-CN" w:bidi="ar"/>
                    </w:rPr>
                    <w:t>非甲烷总烃</w:t>
                  </w:r>
                </w:p>
              </w:tc>
              <w:tc>
                <w:tcPr>
                  <w:tcW w:w="651" w:type="pct"/>
                  <w:noWrap w:val="0"/>
                  <w:vAlign w:val="center"/>
                </w:tcPr>
                <w:p w14:paraId="226245ED">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kern w:val="0"/>
                      <w:sz w:val="21"/>
                      <w:szCs w:val="21"/>
                      <w:highlight w:val="none"/>
                      <w:u w:val="none"/>
                      <w:lang w:val="en-US" w:eastAsia="zh-CN" w:bidi="ar"/>
                    </w:rPr>
                  </w:pPr>
                  <w:r>
                    <w:rPr>
                      <w:rFonts w:hint="eastAsia" w:ascii="Times New Roman" w:hAnsi="Times New Roman" w:eastAsia="宋体" w:cs="Times New Roman"/>
                      <w:i w:val="0"/>
                      <w:iCs w:val="0"/>
                      <w:color w:val="000000"/>
                      <w:kern w:val="0"/>
                      <w:sz w:val="21"/>
                      <w:szCs w:val="21"/>
                      <w:highlight w:val="none"/>
                      <w:u w:val="none"/>
                      <w:lang w:val="en-US" w:eastAsia="zh-CN" w:bidi="ar"/>
                    </w:rPr>
                    <w:t>0.001</w:t>
                  </w:r>
                </w:p>
              </w:tc>
              <w:tc>
                <w:tcPr>
                  <w:tcW w:w="717" w:type="pct"/>
                  <w:noWrap w:val="0"/>
                  <w:vAlign w:val="center"/>
                </w:tcPr>
                <w:p w14:paraId="4E92EFF4">
                  <w:pPr>
                    <w:keepNext w:val="0"/>
                    <w:keepLines w:val="0"/>
                    <w:widowControl/>
                    <w:suppressLineNumbers w:val="0"/>
                    <w:spacing w:before="0" w:beforeAutospacing="0" w:after="0" w:afterAutospacing="0"/>
                    <w:ind w:left="0" w:right="0"/>
                    <w:jc w:val="center"/>
                    <w:textAlignment w:val="center"/>
                    <w:rPr>
                      <w:rFonts w:hint="eastAsia" w:ascii="Times New Roman" w:hAnsi="Times New Roman" w:eastAsia="宋体" w:cs="Times New Roman"/>
                      <w:i w:val="0"/>
                      <w:iCs w:val="0"/>
                      <w:color w:val="000000"/>
                      <w:kern w:val="0"/>
                      <w:sz w:val="21"/>
                      <w:szCs w:val="21"/>
                      <w:highlight w:val="none"/>
                      <w:u w:val="none"/>
                      <w:lang w:val="en-US" w:eastAsia="zh-CN" w:bidi="ar"/>
                    </w:rPr>
                  </w:pPr>
                  <w:r>
                    <w:rPr>
                      <w:rFonts w:hint="eastAsia" w:ascii="Times New Roman" w:hAnsi="Times New Roman" w:eastAsia="宋体" w:cs="Times New Roman"/>
                      <w:i w:val="0"/>
                      <w:iCs w:val="0"/>
                      <w:color w:val="000000"/>
                      <w:kern w:val="0"/>
                      <w:sz w:val="21"/>
                      <w:szCs w:val="21"/>
                      <w:highlight w:val="none"/>
                      <w:u w:val="none"/>
                      <w:lang w:val="en-US" w:eastAsia="zh-CN" w:bidi="ar"/>
                    </w:rPr>
                    <w:t>0.001</w:t>
                  </w:r>
                </w:p>
              </w:tc>
              <w:tc>
                <w:tcPr>
                  <w:tcW w:w="714" w:type="pct"/>
                  <w:shd w:val="clear" w:color="auto" w:fill="auto"/>
                  <w:noWrap w:val="0"/>
                  <w:vAlign w:val="center"/>
                </w:tcPr>
                <w:p w14:paraId="0027A683">
                  <w:pPr>
                    <w:keepNext w:val="0"/>
                    <w:keepLines w:val="0"/>
                    <w:widowControl/>
                    <w:suppressLineNumbers w:val="0"/>
                    <w:spacing w:before="0" w:beforeAutospacing="0" w:after="0" w:afterAutospacing="0"/>
                    <w:ind w:left="0" w:right="0"/>
                    <w:jc w:val="center"/>
                    <w:textAlignment w:val="center"/>
                    <w:rPr>
                      <w:rFonts w:hint="eastAsia" w:ascii="Times New Roman" w:hAnsi="Times New Roman" w:eastAsia="宋体" w:cs="Times New Roman"/>
                      <w:i w:val="0"/>
                      <w:iCs w:val="0"/>
                      <w:color w:val="000000"/>
                      <w:kern w:val="0"/>
                      <w:sz w:val="21"/>
                      <w:szCs w:val="21"/>
                      <w:highlight w:val="none"/>
                      <w:u w:val="none"/>
                      <w:lang w:val="en-US" w:eastAsia="zh-CN" w:bidi="ar"/>
                    </w:rPr>
                  </w:pPr>
                  <w:r>
                    <w:rPr>
                      <w:rFonts w:hint="eastAsia" w:ascii="Times New Roman" w:hAnsi="Times New Roman" w:eastAsia="宋体" w:cs="Times New Roman"/>
                      <w:i w:val="0"/>
                      <w:iCs w:val="0"/>
                      <w:color w:val="000000"/>
                      <w:kern w:val="0"/>
                      <w:sz w:val="21"/>
                      <w:szCs w:val="21"/>
                      <w:highlight w:val="none"/>
                      <w:u w:val="none"/>
                      <w:lang w:val="en-US" w:eastAsia="zh-CN" w:bidi="ar"/>
                    </w:rPr>
                    <w:t>0.001</w:t>
                  </w:r>
                </w:p>
              </w:tc>
              <w:tc>
                <w:tcPr>
                  <w:tcW w:w="719" w:type="pct"/>
                  <w:shd w:val="clear" w:color="auto" w:fill="auto"/>
                  <w:noWrap w:val="0"/>
                  <w:vAlign w:val="center"/>
                </w:tcPr>
                <w:p w14:paraId="7490E985">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kern w:val="0"/>
                      <w:sz w:val="21"/>
                      <w:szCs w:val="21"/>
                      <w:highlight w:val="none"/>
                      <w:u w:val="none"/>
                      <w:lang w:val="en-US" w:eastAsia="zh-CN" w:bidi="ar"/>
                    </w:rPr>
                  </w:pPr>
                  <w:r>
                    <w:rPr>
                      <w:rFonts w:hint="eastAsia" w:ascii="Times New Roman" w:hAnsi="Times New Roman" w:eastAsia="宋体" w:cs="Times New Roman"/>
                      <w:i w:val="0"/>
                      <w:iCs w:val="0"/>
                      <w:color w:val="000000"/>
                      <w:kern w:val="0"/>
                      <w:sz w:val="21"/>
                      <w:szCs w:val="21"/>
                      <w:highlight w:val="none"/>
                      <w:u w:val="none"/>
                      <w:lang w:val="en-US" w:eastAsia="zh-CN" w:bidi="ar"/>
                    </w:rPr>
                    <w:t>0.001</w:t>
                  </w:r>
                </w:p>
              </w:tc>
            </w:tr>
            <w:tr w14:paraId="2DAAD81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90" w:hRule="atLeast"/>
              </w:trPr>
              <w:tc>
                <w:tcPr>
                  <w:tcW w:w="470" w:type="pct"/>
                  <w:vMerge w:val="continue"/>
                  <w:noWrap w:val="0"/>
                  <w:vAlign w:val="center"/>
                </w:tcPr>
                <w:p w14:paraId="3FB4E15F">
                  <w:pPr>
                    <w:keepNext w:val="0"/>
                    <w:keepLines w:val="0"/>
                    <w:widowControl/>
                    <w:suppressLineNumbers w:val="0"/>
                    <w:spacing w:before="0" w:beforeAutospacing="0" w:after="0" w:afterAutospacing="0" w:line="280" w:lineRule="exact"/>
                    <w:ind w:left="0" w:right="0"/>
                    <w:jc w:val="center"/>
                    <w:textAlignment w:val="center"/>
                    <w:rPr>
                      <w:rFonts w:hint="eastAsia" w:ascii="Times New Roman" w:hAnsi="Times New Roman" w:eastAsia="宋体" w:cs="Times New Roman"/>
                      <w:b w:val="0"/>
                      <w:bCs w:val="0"/>
                      <w:sz w:val="21"/>
                      <w:szCs w:val="21"/>
                      <w:highlight w:val="none"/>
                      <w:lang w:val="en-US" w:eastAsia="zh-CN" w:bidi="ar"/>
                    </w:rPr>
                  </w:pPr>
                </w:p>
              </w:tc>
              <w:tc>
                <w:tcPr>
                  <w:tcW w:w="893" w:type="pct"/>
                  <w:gridSpan w:val="2"/>
                  <w:vMerge w:val="continue"/>
                  <w:noWrap w:val="0"/>
                  <w:vAlign w:val="center"/>
                </w:tcPr>
                <w:p w14:paraId="4AF57C41">
                  <w:pPr>
                    <w:keepNext w:val="0"/>
                    <w:keepLines w:val="0"/>
                    <w:widowControl/>
                    <w:suppressLineNumbers w:val="0"/>
                    <w:spacing w:before="0" w:beforeAutospacing="0" w:after="0" w:afterAutospacing="0" w:line="280" w:lineRule="exact"/>
                    <w:ind w:left="0" w:right="0"/>
                    <w:jc w:val="center"/>
                    <w:textAlignment w:val="center"/>
                    <w:rPr>
                      <w:rFonts w:hint="eastAsia" w:ascii="Times New Roman" w:hAnsi="Times New Roman" w:eastAsia="宋体" w:cs="Times New Roman"/>
                      <w:b w:val="0"/>
                      <w:bCs w:val="0"/>
                      <w:sz w:val="21"/>
                      <w:szCs w:val="21"/>
                      <w:highlight w:val="none"/>
                      <w:lang w:val="en-US" w:eastAsia="zh-CN" w:bidi="ar"/>
                    </w:rPr>
                  </w:pPr>
                </w:p>
              </w:tc>
              <w:tc>
                <w:tcPr>
                  <w:tcW w:w="834" w:type="pct"/>
                  <w:shd w:val="clear" w:color="auto" w:fill="auto"/>
                  <w:noWrap w:val="0"/>
                  <w:vAlign w:val="center"/>
                </w:tcPr>
                <w:p w14:paraId="4A1068C0">
                  <w:pPr>
                    <w:keepNext w:val="0"/>
                    <w:keepLines w:val="0"/>
                    <w:widowControl/>
                    <w:suppressLineNumbers w:val="0"/>
                    <w:spacing w:before="0" w:beforeAutospacing="0" w:after="0" w:afterAutospacing="0" w:line="280" w:lineRule="exact"/>
                    <w:ind w:left="0" w:right="0"/>
                    <w:jc w:val="center"/>
                    <w:textAlignment w:val="center"/>
                    <w:rPr>
                      <w:rFonts w:hint="eastAsia" w:ascii="Times New Roman" w:hAnsi="Times New Roman" w:eastAsia="宋体" w:cs="Times New Roman"/>
                      <w:b w:val="0"/>
                      <w:bCs w:val="0"/>
                      <w:kern w:val="2"/>
                      <w:sz w:val="21"/>
                      <w:szCs w:val="21"/>
                      <w:highlight w:val="none"/>
                      <w:lang w:val="en-US" w:eastAsia="zh-CN" w:bidi="ar"/>
                    </w:rPr>
                  </w:pPr>
                  <w:r>
                    <w:rPr>
                      <w:rFonts w:hint="eastAsia" w:ascii="Times New Roman" w:hAnsi="Times New Roman" w:eastAsia="宋体" w:cs="Times New Roman"/>
                      <w:b w:val="0"/>
                      <w:bCs w:val="0"/>
                      <w:sz w:val="21"/>
                      <w:szCs w:val="21"/>
                      <w:highlight w:val="none"/>
                      <w:lang w:val="en-US" w:eastAsia="zh-CN" w:bidi="ar"/>
                    </w:rPr>
                    <w:t>氯气</w:t>
                  </w:r>
                </w:p>
              </w:tc>
              <w:tc>
                <w:tcPr>
                  <w:tcW w:w="2802" w:type="pct"/>
                  <w:gridSpan w:val="4"/>
                  <w:noWrap w:val="0"/>
                  <w:vAlign w:val="center"/>
                </w:tcPr>
                <w:p w14:paraId="1FFB6E97">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kern w:val="0"/>
                      <w:sz w:val="21"/>
                      <w:szCs w:val="21"/>
                      <w:highlight w:val="none"/>
                      <w:u w:val="none"/>
                      <w:lang w:val="en-US" w:eastAsia="zh-CN" w:bidi="ar"/>
                    </w:rPr>
                  </w:pPr>
                  <w:r>
                    <w:rPr>
                      <w:rFonts w:hint="eastAsia" w:cs="Times New Roman"/>
                      <w:i w:val="0"/>
                      <w:iCs w:val="0"/>
                      <w:color w:val="000000"/>
                      <w:kern w:val="0"/>
                      <w:sz w:val="21"/>
                      <w:szCs w:val="21"/>
                      <w:highlight w:val="none"/>
                      <w:u w:val="none"/>
                      <w:lang w:val="en-US" w:eastAsia="zh-CN" w:bidi="ar"/>
                    </w:rPr>
                    <w:t>少量</w:t>
                  </w:r>
                </w:p>
              </w:tc>
            </w:tr>
            <w:tr w14:paraId="76BFFEF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90" w:hRule="atLeast"/>
              </w:trPr>
              <w:tc>
                <w:tcPr>
                  <w:tcW w:w="470" w:type="pct"/>
                  <w:vMerge w:val="continue"/>
                  <w:noWrap w:val="0"/>
                  <w:vAlign w:val="center"/>
                </w:tcPr>
                <w:p w14:paraId="00593C60">
                  <w:pPr>
                    <w:keepNext w:val="0"/>
                    <w:keepLines w:val="0"/>
                    <w:widowControl/>
                    <w:suppressLineNumbers w:val="0"/>
                    <w:spacing w:before="0" w:beforeAutospacing="0" w:after="0" w:afterAutospacing="0" w:line="280" w:lineRule="exact"/>
                    <w:ind w:left="0" w:right="0"/>
                    <w:jc w:val="center"/>
                    <w:textAlignment w:val="center"/>
                    <w:rPr>
                      <w:rFonts w:hint="eastAsia" w:ascii="Times New Roman" w:hAnsi="Times New Roman" w:eastAsia="宋体" w:cs="Times New Roman"/>
                      <w:b w:val="0"/>
                      <w:bCs w:val="0"/>
                      <w:sz w:val="21"/>
                      <w:szCs w:val="21"/>
                      <w:highlight w:val="none"/>
                      <w:lang w:val="en-US" w:eastAsia="zh-CN" w:bidi="ar"/>
                    </w:rPr>
                  </w:pPr>
                </w:p>
              </w:tc>
              <w:tc>
                <w:tcPr>
                  <w:tcW w:w="431" w:type="pct"/>
                  <w:vMerge w:val="restart"/>
                  <w:noWrap w:val="0"/>
                  <w:vAlign w:val="center"/>
                </w:tcPr>
                <w:p w14:paraId="07608A4B">
                  <w:pPr>
                    <w:keepNext w:val="0"/>
                    <w:keepLines w:val="0"/>
                    <w:widowControl/>
                    <w:suppressLineNumbers w:val="0"/>
                    <w:spacing w:before="0" w:beforeAutospacing="0" w:after="0" w:afterAutospacing="0" w:line="280" w:lineRule="exact"/>
                    <w:ind w:left="0" w:right="0"/>
                    <w:jc w:val="center"/>
                    <w:textAlignment w:val="center"/>
                    <w:rPr>
                      <w:rFonts w:hint="default" w:ascii="Times New Roman" w:hAnsi="Times New Roman" w:eastAsia="宋体" w:cs="Times New Roman"/>
                      <w:b w:val="0"/>
                      <w:bCs w:val="0"/>
                      <w:sz w:val="21"/>
                      <w:szCs w:val="21"/>
                      <w:highlight w:val="none"/>
                      <w:lang w:val="en-US" w:eastAsia="zh-CN" w:bidi="ar"/>
                    </w:rPr>
                  </w:pPr>
                  <w:r>
                    <w:rPr>
                      <w:rFonts w:hint="eastAsia" w:ascii="Times New Roman" w:hAnsi="Times New Roman" w:eastAsia="宋体" w:cs="Times New Roman"/>
                      <w:b w:val="0"/>
                      <w:bCs w:val="0"/>
                      <w:sz w:val="21"/>
                      <w:szCs w:val="21"/>
                      <w:highlight w:val="none"/>
                      <w:lang w:val="en-US" w:eastAsia="zh-CN" w:bidi="ar"/>
                    </w:rPr>
                    <w:t>DA007</w:t>
                  </w:r>
                </w:p>
              </w:tc>
              <w:tc>
                <w:tcPr>
                  <w:tcW w:w="462" w:type="pct"/>
                  <w:vMerge w:val="restart"/>
                  <w:shd w:val="clear" w:color="auto" w:fill="auto"/>
                  <w:noWrap w:val="0"/>
                  <w:vAlign w:val="center"/>
                </w:tcPr>
                <w:p w14:paraId="6F7612DD">
                  <w:pPr>
                    <w:keepNext w:val="0"/>
                    <w:keepLines w:val="0"/>
                    <w:widowControl/>
                    <w:suppressLineNumbers w:val="0"/>
                    <w:spacing w:before="0" w:beforeAutospacing="0" w:after="0" w:afterAutospacing="0" w:line="280" w:lineRule="exact"/>
                    <w:ind w:left="0" w:right="0"/>
                    <w:jc w:val="center"/>
                    <w:textAlignment w:val="center"/>
                    <w:rPr>
                      <w:rFonts w:hint="eastAsia" w:ascii="Times New Roman" w:hAnsi="Times New Roman" w:eastAsia="宋体" w:cs="Times New Roman"/>
                      <w:b w:val="0"/>
                      <w:bCs w:val="0"/>
                      <w:sz w:val="21"/>
                      <w:szCs w:val="21"/>
                      <w:highlight w:val="none"/>
                      <w:lang w:val="en-US" w:eastAsia="zh-CN" w:bidi="ar"/>
                    </w:rPr>
                  </w:pPr>
                  <w:r>
                    <w:rPr>
                      <w:rFonts w:hint="eastAsia" w:ascii="Times New Roman" w:hAnsi="Times New Roman" w:eastAsia="宋体" w:cs="Times New Roman"/>
                      <w:b w:val="0"/>
                      <w:bCs w:val="0"/>
                      <w:sz w:val="21"/>
                      <w:szCs w:val="21"/>
                      <w:highlight w:val="none"/>
                      <w:lang w:val="en-US" w:eastAsia="zh-CN" w:bidi="ar"/>
                    </w:rPr>
                    <w:t>有组织</w:t>
                  </w:r>
                </w:p>
              </w:tc>
              <w:tc>
                <w:tcPr>
                  <w:tcW w:w="834" w:type="pct"/>
                  <w:shd w:val="clear" w:color="auto" w:fill="auto"/>
                  <w:noWrap w:val="0"/>
                  <w:vAlign w:val="center"/>
                </w:tcPr>
                <w:p w14:paraId="3080043A">
                  <w:pPr>
                    <w:keepNext w:val="0"/>
                    <w:keepLines w:val="0"/>
                    <w:widowControl/>
                    <w:suppressLineNumbers w:val="0"/>
                    <w:spacing w:before="0" w:beforeAutospacing="0" w:after="0" w:afterAutospacing="0" w:line="280" w:lineRule="exact"/>
                    <w:ind w:left="0" w:right="0"/>
                    <w:jc w:val="center"/>
                    <w:textAlignment w:val="center"/>
                    <w:rPr>
                      <w:rFonts w:hint="eastAsia" w:ascii="Times New Roman" w:hAnsi="Times New Roman" w:eastAsia="宋体" w:cs="Times New Roman"/>
                      <w:b w:val="0"/>
                      <w:bCs w:val="0"/>
                      <w:sz w:val="21"/>
                      <w:szCs w:val="21"/>
                      <w:highlight w:val="none"/>
                      <w:lang w:val="en-US" w:eastAsia="zh-CN" w:bidi="ar"/>
                    </w:rPr>
                  </w:pPr>
                  <w:r>
                    <w:rPr>
                      <w:rFonts w:hint="eastAsia" w:ascii="Times New Roman" w:hAnsi="Times New Roman" w:eastAsia="宋体" w:cs="Times New Roman"/>
                      <w:b w:val="0"/>
                      <w:bCs w:val="0"/>
                      <w:sz w:val="21"/>
                      <w:szCs w:val="21"/>
                      <w:highlight w:val="none"/>
                      <w:lang w:val="en-US" w:eastAsia="zh-CN" w:bidi="ar"/>
                    </w:rPr>
                    <w:t>非甲烷总烃</w:t>
                  </w:r>
                </w:p>
              </w:tc>
              <w:tc>
                <w:tcPr>
                  <w:tcW w:w="651" w:type="pct"/>
                  <w:shd w:val="clear" w:color="auto" w:fill="auto"/>
                  <w:noWrap w:val="0"/>
                  <w:vAlign w:val="center"/>
                </w:tcPr>
                <w:p w14:paraId="01705206">
                  <w:pPr>
                    <w:keepNext w:val="0"/>
                    <w:keepLines w:val="0"/>
                    <w:widowControl/>
                    <w:suppressLineNumbers w:val="0"/>
                    <w:spacing w:before="0" w:beforeAutospacing="0" w:after="0" w:afterAutospacing="0"/>
                    <w:ind w:left="0" w:right="0"/>
                    <w:jc w:val="center"/>
                    <w:textAlignment w:val="center"/>
                    <w:rPr>
                      <w:rFonts w:hint="eastAsia" w:ascii="Times New Roman" w:hAnsi="Times New Roman" w:eastAsia="宋体" w:cs="Times New Roman"/>
                      <w:i w:val="0"/>
                      <w:iCs w:val="0"/>
                      <w:color w:val="000000"/>
                      <w:kern w:val="0"/>
                      <w:sz w:val="21"/>
                      <w:szCs w:val="21"/>
                      <w:highlight w:val="none"/>
                      <w:u w:val="none"/>
                      <w:lang w:val="en-US" w:eastAsia="zh-CN" w:bidi="ar"/>
                    </w:rPr>
                  </w:pPr>
                  <w:r>
                    <w:rPr>
                      <w:rFonts w:hint="eastAsia" w:ascii="Times New Roman" w:hAnsi="Times New Roman" w:eastAsia="宋体" w:cs="Times New Roman"/>
                      <w:i w:val="0"/>
                      <w:iCs w:val="0"/>
                      <w:color w:val="000000"/>
                      <w:kern w:val="0"/>
                      <w:sz w:val="21"/>
                      <w:szCs w:val="21"/>
                      <w:highlight w:val="none"/>
                      <w:u w:val="none"/>
                      <w:lang w:val="en-US" w:eastAsia="zh-CN" w:bidi="ar"/>
                    </w:rPr>
                    <w:t>0.053</w:t>
                  </w:r>
                </w:p>
              </w:tc>
              <w:tc>
                <w:tcPr>
                  <w:tcW w:w="717" w:type="pct"/>
                  <w:shd w:val="clear" w:color="auto" w:fill="auto"/>
                  <w:noWrap w:val="0"/>
                  <w:vAlign w:val="center"/>
                </w:tcPr>
                <w:p w14:paraId="3781D73C">
                  <w:pPr>
                    <w:keepNext w:val="0"/>
                    <w:keepLines w:val="0"/>
                    <w:widowControl/>
                    <w:suppressLineNumbers w:val="0"/>
                    <w:spacing w:before="0" w:beforeAutospacing="0" w:after="0" w:afterAutospacing="0"/>
                    <w:ind w:left="0" w:right="0"/>
                    <w:jc w:val="center"/>
                    <w:textAlignment w:val="center"/>
                    <w:rPr>
                      <w:rFonts w:hint="eastAsia" w:ascii="Times New Roman" w:hAnsi="Times New Roman" w:eastAsia="宋体" w:cs="Times New Roman"/>
                      <w:i w:val="0"/>
                      <w:iCs w:val="0"/>
                      <w:color w:val="000000"/>
                      <w:kern w:val="0"/>
                      <w:sz w:val="21"/>
                      <w:szCs w:val="21"/>
                      <w:highlight w:val="none"/>
                      <w:u w:val="none"/>
                      <w:lang w:val="en-US" w:eastAsia="zh-CN" w:bidi="ar"/>
                    </w:rPr>
                  </w:pPr>
                  <w:r>
                    <w:rPr>
                      <w:rFonts w:hint="eastAsia" w:ascii="Times New Roman" w:hAnsi="Times New Roman" w:eastAsia="宋体" w:cs="Times New Roman"/>
                      <w:i w:val="0"/>
                      <w:iCs w:val="0"/>
                      <w:color w:val="000000"/>
                      <w:kern w:val="0"/>
                      <w:sz w:val="21"/>
                      <w:szCs w:val="21"/>
                      <w:highlight w:val="none"/>
                      <w:u w:val="none"/>
                      <w:lang w:val="en-US" w:eastAsia="zh-CN" w:bidi="ar"/>
                    </w:rPr>
                    <w:t>0.051</w:t>
                  </w:r>
                </w:p>
              </w:tc>
              <w:tc>
                <w:tcPr>
                  <w:tcW w:w="714" w:type="pct"/>
                  <w:shd w:val="clear" w:color="auto" w:fill="auto"/>
                  <w:noWrap w:val="0"/>
                  <w:vAlign w:val="center"/>
                </w:tcPr>
                <w:p w14:paraId="5C243E8F">
                  <w:pPr>
                    <w:keepNext w:val="0"/>
                    <w:keepLines w:val="0"/>
                    <w:widowControl/>
                    <w:suppressLineNumbers w:val="0"/>
                    <w:spacing w:before="0" w:beforeAutospacing="0" w:after="0" w:afterAutospacing="0"/>
                    <w:ind w:left="0" w:right="0"/>
                    <w:jc w:val="center"/>
                    <w:textAlignment w:val="center"/>
                    <w:rPr>
                      <w:rFonts w:hint="eastAsia" w:ascii="Times New Roman" w:hAnsi="Times New Roman" w:eastAsia="宋体" w:cs="Times New Roman"/>
                      <w:i w:val="0"/>
                      <w:iCs w:val="0"/>
                      <w:color w:val="000000"/>
                      <w:kern w:val="0"/>
                      <w:sz w:val="21"/>
                      <w:szCs w:val="21"/>
                      <w:highlight w:val="none"/>
                      <w:u w:val="none"/>
                      <w:lang w:val="en-US" w:eastAsia="zh-CN" w:bidi="ar"/>
                    </w:rPr>
                  </w:pPr>
                  <w:r>
                    <w:rPr>
                      <w:rFonts w:hint="eastAsia" w:ascii="Times New Roman" w:hAnsi="Times New Roman" w:eastAsia="宋体" w:cs="Times New Roman"/>
                      <w:i w:val="0"/>
                      <w:iCs w:val="0"/>
                      <w:color w:val="000000"/>
                      <w:kern w:val="0"/>
                      <w:sz w:val="21"/>
                      <w:szCs w:val="21"/>
                      <w:highlight w:val="none"/>
                      <w:u w:val="none"/>
                      <w:lang w:val="en-US" w:eastAsia="zh-CN" w:bidi="ar"/>
                    </w:rPr>
                    <w:t>0.053</w:t>
                  </w:r>
                </w:p>
              </w:tc>
              <w:tc>
                <w:tcPr>
                  <w:tcW w:w="719" w:type="pct"/>
                  <w:shd w:val="clear" w:color="auto" w:fill="auto"/>
                  <w:noWrap w:val="0"/>
                  <w:vAlign w:val="center"/>
                </w:tcPr>
                <w:p w14:paraId="50B9CFEC">
                  <w:pPr>
                    <w:keepNext w:val="0"/>
                    <w:keepLines w:val="0"/>
                    <w:widowControl/>
                    <w:suppressLineNumbers w:val="0"/>
                    <w:spacing w:before="0" w:beforeAutospacing="0" w:after="0" w:afterAutospacing="0"/>
                    <w:ind w:left="0" w:right="0"/>
                    <w:jc w:val="center"/>
                    <w:textAlignment w:val="center"/>
                    <w:rPr>
                      <w:rFonts w:hint="eastAsia" w:ascii="Times New Roman" w:hAnsi="Times New Roman" w:eastAsia="宋体" w:cs="Times New Roman"/>
                      <w:i w:val="0"/>
                      <w:iCs w:val="0"/>
                      <w:color w:val="000000"/>
                      <w:kern w:val="0"/>
                      <w:sz w:val="21"/>
                      <w:szCs w:val="21"/>
                      <w:highlight w:val="none"/>
                      <w:u w:val="none"/>
                      <w:lang w:val="en-US" w:eastAsia="zh-CN" w:bidi="ar"/>
                    </w:rPr>
                  </w:pPr>
                  <w:r>
                    <w:rPr>
                      <w:rFonts w:hint="eastAsia" w:ascii="Times New Roman" w:hAnsi="Times New Roman" w:eastAsia="宋体" w:cs="Times New Roman"/>
                      <w:i w:val="0"/>
                      <w:iCs w:val="0"/>
                      <w:color w:val="000000"/>
                      <w:kern w:val="0"/>
                      <w:sz w:val="21"/>
                      <w:szCs w:val="21"/>
                      <w:highlight w:val="none"/>
                      <w:u w:val="none"/>
                      <w:lang w:val="en-US" w:eastAsia="zh-CN" w:bidi="ar"/>
                    </w:rPr>
                    <w:t>0.051</w:t>
                  </w:r>
                </w:p>
              </w:tc>
            </w:tr>
            <w:tr w14:paraId="1E27230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90" w:hRule="atLeast"/>
              </w:trPr>
              <w:tc>
                <w:tcPr>
                  <w:tcW w:w="470" w:type="pct"/>
                  <w:vMerge w:val="continue"/>
                  <w:noWrap w:val="0"/>
                  <w:vAlign w:val="center"/>
                </w:tcPr>
                <w:p w14:paraId="5DC28960">
                  <w:pPr>
                    <w:keepNext w:val="0"/>
                    <w:keepLines w:val="0"/>
                    <w:widowControl/>
                    <w:suppressLineNumbers w:val="0"/>
                    <w:spacing w:before="0" w:beforeAutospacing="0" w:after="0" w:afterAutospacing="0" w:line="280" w:lineRule="exact"/>
                    <w:ind w:left="0" w:right="0"/>
                    <w:jc w:val="center"/>
                    <w:textAlignment w:val="center"/>
                    <w:rPr>
                      <w:rFonts w:hint="eastAsia" w:ascii="Times New Roman" w:hAnsi="Times New Roman" w:eastAsia="宋体" w:cs="Times New Roman"/>
                      <w:b w:val="0"/>
                      <w:bCs w:val="0"/>
                      <w:sz w:val="21"/>
                      <w:szCs w:val="21"/>
                      <w:highlight w:val="none"/>
                      <w:lang w:val="en-US" w:eastAsia="zh-CN" w:bidi="ar"/>
                    </w:rPr>
                  </w:pPr>
                </w:p>
              </w:tc>
              <w:tc>
                <w:tcPr>
                  <w:tcW w:w="431" w:type="pct"/>
                  <w:vMerge w:val="continue"/>
                  <w:noWrap w:val="0"/>
                  <w:vAlign w:val="center"/>
                </w:tcPr>
                <w:p w14:paraId="0185D9C7">
                  <w:pPr>
                    <w:keepNext w:val="0"/>
                    <w:keepLines w:val="0"/>
                    <w:widowControl/>
                    <w:suppressLineNumbers w:val="0"/>
                    <w:spacing w:before="0" w:beforeAutospacing="0" w:after="0" w:afterAutospacing="0" w:line="280" w:lineRule="exact"/>
                    <w:ind w:left="0" w:right="0"/>
                    <w:jc w:val="center"/>
                    <w:textAlignment w:val="center"/>
                    <w:rPr>
                      <w:rFonts w:hint="eastAsia" w:ascii="Times New Roman" w:hAnsi="Times New Roman" w:eastAsia="宋体" w:cs="Times New Roman"/>
                      <w:b w:val="0"/>
                      <w:bCs w:val="0"/>
                      <w:sz w:val="21"/>
                      <w:szCs w:val="21"/>
                      <w:highlight w:val="none"/>
                      <w:lang w:val="en-US" w:eastAsia="zh-CN" w:bidi="ar"/>
                    </w:rPr>
                  </w:pPr>
                </w:p>
              </w:tc>
              <w:tc>
                <w:tcPr>
                  <w:tcW w:w="462" w:type="pct"/>
                  <w:vMerge w:val="continue"/>
                  <w:shd w:val="clear" w:color="auto" w:fill="auto"/>
                  <w:noWrap w:val="0"/>
                  <w:vAlign w:val="center"/>
                </w:tcPr>
                <w:p w14:paraId="54AEFF73">
                  <w:pPr>
                    <w:keepNext w:val="0"/>
                    <w:keepLines w:val="0"/>
                    <w:widowControl/>
                    <w:suppressLineNumbers w:val="0"/>
                    <w:spacing w:before="0" w:beforeAutospacing="0" w:after="0" w:afterAutospacing="0" w:line="280" w:lineRule="exact"/>
                    <w:ind w:left="0" w:right="0"/>
                    <w:jc w:val="center"/>
                    <w:textAlignment w:val="center"/>
                    <w:rPr>
                      <w:rFonts w:hint="eastAsia" w:ascii="Times New Roman" w:hAnsi="Times New Roman" w:eastAsia="宋体" w:cs="Times New Roman"/>
                      <w:b w:val="0"/>
                      <w:bCs w:val="0"/>
                      <w:sz w:val="21"/>
                      <w:szCs w:val="21"/>
                      <w:highlight w:val="none"/>
                      <w:lang w:val="en-US" w:eastAsia="zh-CN" w:bidi="ar"/>
                    </w:rPr>
                  </w:pPr>
                </w:p>
              </w:tc>
              <w:tc>
                <w:tcPr>
                  <w:tcW w:w="834" w:type="pct"/>
                  <w:shd w:val="clear" w:color="auto" w:fill="auto"/>
                  <w:noWrap w:val="0"/>
                  <w:vAlign w:val="center"/>
                </w:tcPr>
                <w:p w14:paraId="7CF6E116">
                  <w:pPr>
                    <w:keepNext w:val="0"/>
                    <w:keepLines w:val="0"/>
                    <w:widowControl/>
                    <w:suppressLineNumbers w:val="0"/>
                    <w:spacing w:before="0" w:beforeAutospacing="0" w:after="0" w:afterAutospacing="0" w:line="280" w:lineRule="exact"/>
                    <w:ind w:left="0" w:right="0"/>
                    <w:jc w:val="center"/>
                    <w:textAlignment w:val="center"/>
                    <w:rPr>
                      <w:rFonts w:hint="eastAsia" w:ascii="Times New Roman" w:hAnsi="Times New Roman" w:eastAsia="宋体" w:cs="Times New Roman"/>
                      <w:b w:val="0"/>
                      <w:bCs w:val="0"/>
                      <w:sz w:val="21"/>
                      <w:szCs w:val="21"/>
                      <w:highlight w:val="none"/>
                      <w:lang w:val="en-US" w:eastAsia="zh-CN" w:bidi="ar"/>
                    </w:rPr>
                  </w:pPr>
                  <w:r>
                    <w:rPr>
                      <w:rFonts w:hint="eastAsia" w:ascii="Times New Roman" w:hAnsi="Times New Roman" w:eastAsia="宋体" w:cs="Times New Roman"/>
                      <w:b w:val="0"/>
                      <w:bCs w:val="0"/>
                      <w:sz w:val="21"/>
                      <w:szCs w:val="21"/>
                      <w:highlight w:val="none"/>
                      <w:lang w:val="en-US" w:eastAsia="zh-CN" w:bidi="ar"/>
                    </w:rPr>
                    <w:t>氯气</w:t>
                  </w:r>
                </w:p>
              </w:tc>
              <w:tc>
                <w:tcPr>
                  <w:tcW w:w="2802" w:type="pct"/>
                  <w:gridSpan w:val="4"/>
                  <w:noWrap w:val="0"/>
                  <w:vAlign w:val="center"/>
                </w:tcPr>
                <w:p w14:paraId="33D6D5F5">
                  <w:pPr>
                    <w:keepNext w:val="0"/>
                    <w:keepLines w:val="0"/>
                    <w:widowControl/>
                    <w:suppressLineNumbers w:val="0"/>
                    <w:spacing w:before="0" w:beforeAutospacing="0" w:after="0" w:afterAutospacing="0"/>
                    <w:ind w:left="0" w:right="0"/>
                    <w:jc w:val="center"/>
                    <w:textAlignment w:val="center"/>
                    <w:rPr>
                      <w:rFonts w:hint="eastAsia" w:ascii="Times New Roman" w:hAnsi="Times New Roman" w:eastAsia="宋体" w:cs="Times New Roman"/>
                      <w:i w:val="0"/>
                      <w:iCs w:val="0"/>
                      <w:color w:val="000000"/>
                      <w:kern w:val="0"/>
                      <w:sz w:val="21"/>
                      <w:szCs w:val="21"/>
                      <w:highlight w:val="none"/>
                      <w:u w:val="none"/>
                      <w:lang w:val="en-US" w:eastAsia="zh-CN" w:bidi="ar"/>
                    </w:rPr>
                  </w:pPr>
                  <w:r>
                    <w:rPr>
                      <w:rFonts w:hint="eastAsia" w:cs="Times New Roman"/>
                      <w:i w:val="0"/>
                      <w:iCs w:val="0"/>
                      <w:color w:val="000000"/>
                      <w:kern w:val="0"/>
                      <w:sz w:val="21"/>
                      <w:szCs w:val="21"/>
                      <w:highlight w:val="none"/>
                      <w:u w:val="none"/>
                      <w:lang w:val="en-US" w:eastAsia="zh-CN" w:bidi="ar"/>
                    </w:rPr>
                    <w:t>少量</w:t>
                  </w:r>
                </w:p>
              </w:tc>
            </w:tr>
            <w:tr w14:paraId="19EE0E4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90" w:hRule="atLeast"/>
              </w:trPr>
              <w:tc>
                <w:tcPr>
                  <w:tcW w:w="470" w:type="pct"/>
                  <w:vMerge w:val="continue"/>
                  <w:noWrap w:val="0"/>
                  <w:vAlign w:val="center"/>
                </w:tcPr>
                <w:p w14:paraId="0095CC4B">
                  <w:pPr>
                    <w:keepNext w:val="0"/>
                    <w:keepLines w:val="0"/>
                    <w:widowControl/>
                    <w:suppressLineNumbers w:val="0"/>
                    <w:spacing w:before="0" w:beforeAutospacing="0" w:after="0" w:afterAutospacing="0" w:line="280" w:lineRule="exact"/>
                    <w:ind w:left="0" w:right="0"/>
                    <w:jc w:val="center"/>
                    <w:textAlignment w:val="center"/>
                    <w:rPr>
                      <w:rFonts w:hint="eastAsia" w:ascii="Times New Roman" w:hAnsi="Times New Roman" w:eastAsia="宋体" w:cs="Times New Roman"/>
                      <w:b w:val="0"/>
                      <w:bCs w:val="0"/>
                      <w:sz w:val="21"/>
                      <w:szCs w:val="21"/>
                      <w:highlight w:val="none"/>
                      <w:lang w:val="en-US" w:eastAsia="zh-CN" w:bidi="ar"/>
                    </w:rPr>
                  </w:pPr>
                </w:p>
              </w:tc>
              <w:tc>
                <w:tcPr>
                  <w:tcW w:w="893" w:type="pct"/>
                  <w:gridSpan w:val="2"/>
                  <w:vMerge w:val="restart"/>
                  <w:noWrap w:val="0"/>
                  <w:vAlign w:val="center"/>
                </w:tcPr>
                <w:p w14:paraId="0BC48BDB">
                  <w:pPr>
                    <w:keepNext w:val="0"/>
                    <w:keepLines w:val="0"/>
                    <w:widowControl/>
                    <w:suppressLineNumbers w:val="0"/>
                    <w:spacing w:before="0" w:beforeAutospacing="0" w:after="0" w:afterAutospacing="0" w:line="280" w:lineRule="exact"/>
                    <w:ind w:left="0" w:right="0"/>
                    <w:jc w:val="center"/>
                    <w:textAlignment w:val="center"/>
                    <w:rPr>
                      <w:rFonts w:hint="eastAsia" w:ascii="Times New Roman" w:hAnsi="Times New Roman" w:eastAsia="宋体" w:cs="Times New Roman"/>
                      <w:b w:val="0"/>
                      <w:bCs w:val="0"/>
                      <w:sz w:val="21"/>
                      <w:szCs w:val="21"/>
                      <w:highlight w:val="none"/>
                      <w:lang w:val="en-US" w:eastAsia="zh-CN" w:bidi="ar"/>
                    </w:rPr>
                  </w:pPr>
                  <w:r>
                    <w:rPr>
                      <w:rFonts w:hint="eastAsia" w:ascii="Times New Roman" w:hAnsi="Times New Roman" w:eastAsia="宋体" w:cs="Times New Roman"/>
                      <w:b w:val="0"/>
                      <w:bCs w:val="0"/>
                      <w:sz w:val="21"/>
                      <w:szCs w:val="21"/>
                      <w:highlight w:val="none"/>
                      <w:lang w:val="en-US" w:eastAsia="zh-CN" w:bidi="ar"/>
                    </w:rPr>
                    <w:t>无组织</w:t>
                  </w:r>
                </w:p>
              </w:tc>
              <w:tc>
                <w:tcPr>
                  <w:tcW w:w="834" w:type="pct"/>
                  <w:shd w:val="clear" w:color="auto" w:fill="auto"/>
                  <w:noWrap w:val="0"/>
                  <w:vAlign w:val="center"/>
                </w:tcPr>
                <w:p w14:paraId="038F042B">
                  <w:pPr>
                    <w:keepNext w:val="0"/>
                    <w:keepLines w:val="0"/>
                    <w:widowControl/>
                    <w:suppressLineNumbers w:val="0"/>
                    <w:spacing w:before="0" w:beforeAutospacing="0" w:after="0" w:afterAutospacing="0" w:line="280" w:lineRule="exact"/>
                    <w:ind w:left="0" w:right="0"/>
                    <w:jc w:val="center"/>
                    <w:textAlignment w:val="center"/>
                    <w:rPr>
                      <w:rFonts w:hint="eastAsia" w:ascii="Times New Roman" w:hAnsi="Times New Roman" w:eastAsia="宋体" w:cs="Times New Roman"/>
                      <w:b w:val="0"/>
                      <w:bCs w:val="0"/>
                      <w:kern w:val="2"/>
                      <w:sz w:val="21"/>
                      <w:szCs w:val="21"/>
                      <w:highlight w:val="none"/>
                      <w:lang w:val="en-US" w:eastAsia="zh-CN" w:bidi="ar"/>
                    </w:rPr>
                  </w:pPr>
                  <w:r>
                    <w:rPr>
                      <w:rFonts w:hint="eastAsia" w:ascii="Times New Roman" w:hAnsi="Times New Roman" w:eastAsia="宋体" w:cs="Times New Roman"/>
                      <w:b w:val="0"/>
                      <w:bCs w:val="0"/>
                      <w:sz w:val="21"/>
                      <w:szCs w:val="21"/>
                      <w:highlight w:val="none"/>
                      <w:lang w:val="en-US" w:eastAsia="zh-CN" w:bidi="ar"/>
                    </w:rPr>
                    <w:t>非甲烷总烃</w:t>
                  </w:r>
                </w:p>
              </w:tc>
              <w:tc>
                <w:tcPr>
                  <w:tcW w:w="651" w:type="pct"/>
                  <w:noWrap w:val="0"/>
                  <w:vAlign w:val="center"/>
                </w:tcPr>
                <w:p w14:paraId="6BB2E9BB">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kern w:val="0"/>
                      <w:sz w:val="21"/>
                      <w:szCs w:val="21"/>
                      <w:highlight w:val="none"/>
                      <w:u w:val="none"/>
                      <w:lang w:val="en-US" w:eastAsia="zh-CN" w:bidi="ar"/>
                    </w:rPr>
                  </w:pPr>
                  <w:r>
                    <w:rPr>
                      <w:rFonts w:hint="eastAsia" w:ascii="Times New Roman" w:hAnsi="Times New Roman" w:eastAsia="宋体" w:cs="Times New Roman"/>
                      <w:i w:val="0"/>
                      <w:iCs w:val="0"/>
                      <w:color w:val="000000"/>
                      <w:kern w:val="0"/>
                      <w:sz w:val="21"/>
                      <w:szCs w:val="21"/>
                      <w:highlight w:val="none"/>
                      <w:u w:val="none"/>
                      <w:lang w:val="en-US" w:eastAsia="zh-CN" w:bidi="ar"/>
                    </w:rPr>
                    <w:t>0.006</w:t>
                  </w:r>
                </w:p>
              </w:tc>
              <w:tc>
                <w:tcPr>
                  <w:tcW w:w="717" w:type="pct"/>
                  <w:noWrap w:val="0"/>
                  <w:vAlign w:val="center"/>
                </w:tcPr>
                <w:p w14:paraId="4131B46E">
                  <w:pPr>
                    <w:keepNext w:val="0"/>
                    <w:keepLines w:val="0"/>
                    <w:widowControl/>
                    <w:suppressLineNumbers w:val="0"/>
                    <w:spacing w:before="0" w:beforeAutospacing="0" w:after="0" w:afterAutospacing="0"/>
                    <w:ind w:left="0" w:right="0"/>
                    <w:jc w:val="center"/>
                    <w:textAlignment w:val="center"/>
                    <w:rPr>
                      <w:rFonts w:hint="eastAsia" w:ascii="Times New Roman" w:hAnsi="Times New Roman" w:eastAsia="宋体" w:cs="Times New Roman"/>
                      <w:i w:val="0"/>
                      <w:iCs w:val="0"/>
                      <w:color w:val="000000"/>
                      <w:kern w:val="0"/>
                      <w:sz w:val="21"/>
                      <w:szCs w:val="21"/>
                      <w:highlight w:val="none"/>
                      <w:u w:val="none"/>
                      <w:lang w:val="en-US" w:eastAsia="zh-CN" w:bidi="ar"/>
                    </w:rPr>
                  </w:pPr>
                  <w:r>
                    <w:rPr>
                      <w:rFonts w:hint="eastAsia" w:ascii="Times New Roman" w:hAnsi="Times New Roman" w:eastAsia="宋体" w:cs="Times New Roman"/>
                      <w:i w:val="0"/>
                      <w:iCs w:val="0"/>
                      <w:color w:val="000000"/>
                      <w:kern w:val="0"/>
                      <w:sz w:val="21"/>
                      <w:szCs w:val="21"/>
                      <w:highlight w:val="none"/>
                      <w:u w:val="none"/>
                      <w:lang w:val="en-US" w:eastAsia="zh-CN" w:bidi="ar"/>
                    </w:rPr>
                    <w:t>0.006</w:t>
                  </w:r>
                </w:p>
              </w:tc>
              <w:tc>
                <w:tcPr>
                  <w:tcW w:w="714" w:type="pct"/>
                  <w:shd w:val="clear" w:color="auto" w:fill="auto"/>
                  <w:noWrap w:val="0"/>
                  <w:vAlign w:val="center"/>
                </w:tcPr>
                <w:p w14:paraId="0823542F">
                  <w:pPr>
                    <w:keepNext w:val="0"/>
                    <w:keepLines w:val="0"/>
                    <w:widowControl/>
                    <w:suppressLineNumbers w:val="0"/>
                    <w:spacing w:before="0" w:beforeAutospacing="0" w:after="0" w:afterAutospacing="0"/>
                    <w:ind w:left="0" w:right="0"/>
                    <w:jc w:val="center"/>
                    <w:textAlignment w:val="center"/>
                    <w:rPr>
                      <w:rFonts w:hint="eastAsia" w:ascii="Times New Roman" w:hAnsi="Times New Roman" w:eastAsia="宋体" w:cs="Times New Roman"/>
                      <w:i w:val="0"/>
                      <w:iCs w:val="0"/>
                      <w:color w:val="000000"/>
                      <w:kern w:val="0"/>
                      <w:sz w:val="21"/>
                      <w:szCs w:val="21"/>
                      <w:highlight w:val="none"/>
                      <w:u w:val="none"/>
                      <w:lang w:val="en-US" w:eastAsia="zh-CN" w:bidi="ar"/>
                    </w:rPr>
                  </w:pPr>
                  <w:r>
                    <w:rPr>
                      <w:rFonts w:hint="eastAsia" w:ascii="Times New Roman" w:hAnsi="Times New Roman" w:eastAsia="宋体" w:cs="Times New Roman"/>
                      <w:i w:val="0"/>
                      <w:iCs w:val="0"/>
                      <w:color w:val="000000"/>
                      <w:kern w:val="0"/>
                      <w:sz w:val="21"/>
                      <w:szCs w:val="21"/>
                      <w:highlight w:val="none"/>
                      <w:u w:val="none"/>
                      <w:lang w:val="en-US" w:eastAsia="zh-CN" w:bidi="ar"/>
                    </w:rPr>
                    <w:t>0.006</w:t>
                  </w:r>
                </w:p>
              </w:tc>
              <w:tc>
                <w:tcPr>
                  <w:tcW w:w="719" w:type="pct"/>
                  <w:shd w:val="clear" w:color="auto" w:fill="auto"/>
                  <w:noWrap w:val="0"/>
                  <w:vAlign w:val="center"/>
                </w:tcPr>
                <w:p w14:paraId="108B3422">
                  <w:pPr>
                    <w:keepNext w:val="0"/>
                    <w:keepLines w:val="0"/>
                    <w:widowControl/>
                    <w:suppressLineNumbers w:val="0"/>
                    <w:spacing w:before="0" w:beforeAutospacing="0" w:after="0" w:afterAutospacing="0"/>
                    <w:ind w:left="0" w:right="0"/>
                    <w:jc w:val="center"/>
                    <w:textAlignment w:val="center"/>
                    <w:rPr>
                      <w:rFonts w:hint="eastAsia" w:ascii="Times New Roman" w:hAnsi="Times New Roman" w:eastAsia="宋体" w:cs="Times New Roman"/>
                      <w:i w:val="0"/>
                      <w:iCs w:val="0"/>
                      <w:color w:val="000000"/>
                      <w:kern w:val="0"/>
                      <w:sz w:val="21"/>
                      <w:szCs w:val="21"/>
                      <w:highlight w:val="none"/>
                      <w:u w:val="none"/>
                      <w:lang w:val="en-US" w:eastAsia="zh-CN" w:bidi="ar"/>
                    </w:rPr>
                  </w:pPr>
                  <w:r>
                    <w:rPr>
                      <w:rFonts w:hint="eastAsia" w:ascii="Times New Roman" w:hAnsi="Times New Roman" w:eastAsia="宋体" w:cs="Times New Roman"/>
                      <w:i w:val="0"/>
                      <w:iCs w:val="0"/>
                      <w:color w:val="000000"/>
                      <w:kern w:val="0"/>
                      <w:sz w:val="21"/>
                      <w:szCs w:val="21"/>
                      <w:highlight w:val="none"/>
                      <w:u w:val="none"/>
                      <w:lang w:val="en-US" w:eastAsia="zh-CN" w:bidi="ar"/>
                    </w:rPr>
                    <w:t>0.006</w:t>
                  </w:r>
                </w:p>
              </w:tc>
            </w:tr>
            <w:tr w14:paraId="3E4CA72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90" w:hRule="atLeast"/>
              </w:trPr>
              <w:tc>
                <w:tcPr>
                  <w:tcW w:w="470" w:type="pct"/>
                  <w:vMerge w:val="continue"/>
                  <w:noWrap w:val="0"/>
                  <w:vAlign w:val="center"/>
                </w:tcPr>
                <w:p w14:paraId="3BFA2942">
                  <w:pPr>
                    <w:keepNext w:val="0"/>
                    <w:keepLines w:val="0"/>
                    <w:widowControl/>
                    <w:suppressLineNumbers w:val="0"/>
                    <w:spacing w:before="0" w:beforeAutospacing="0" w:after="0" w:afterAutospacing="0" w:line="280" w:lineRule="exact"/>
                    <w:ind w:left="0" w:right="0"/>
                    <w:jc w:val="center"/>
                    <w:textAlignment w:val="center"/>
                    <w:rPr>
                      <w:rFonts w:hint="eastAsia" w:ascii="Times New Roman" w:hAnsi="Times New Roman" w:eastAsia="宋体" w:cs="Times New Roman"/>
                      <w:b w:val="0"/>
                      <w:bCs w:val="0"/>
                      <w:sz w:val="21"/>
                      <w:szCs w:val="21"/>
                      <w:highlight w:val="none"/>
                      <w:lang w:val="en-US" w:eastAsia="zh-CN" w:bidi="ar"/>
                    </w:rPr>
                  </w:pPr>
                </w:p>
              </w:tc>
              <w:tc>
                <w:tcPr>
                  <w:tcW w:w="893" w:type="pct"/>
                  <w:gridSpan w:val="2"/>
                  <w:vMerge w:val="continue"/>
                  <w:noWrap w:val="0"/>
                  <w:vAlign w:val="center"/>
                </w:tcPr>
                <w:p w14:paraId="6690ECFB">
                  <w:pPr>
                    <w:keepNext w:val="0"/>
                    <w:keepLines w:val="0"/>
                    <w:widowControl/>
                    <w:suppressLineNumbers w:val="0"/>
                    <w:spacing w:before="0" w:beforeAutospacing="0" w:after="0" w:afterAutospacing="0" w:line="280" w:lineRule="exact"/>
                    <w:ind w:left="0" w:right="0"/>
                    <w:jc w:val="center"/>
                    <w:textAlignment w:val="center"/>
                    <w:rPr>
                      <w:rFonts w:hint="eastAsia" w:ascii="Times New Roman" w:hAnsi="Times New Roman" w:eastAsia="宋体" w:cs="Times New Roman"/>
                      <w:b w:val="0"/>
                      <w:bCs w:val="0"/>
                      <w:sz w:val="21"/>
                      <w:szCs w:val="21"/>
                      <w:highlight w:val="none"/>
                      <w:lang w:val="en-US" w:eastAsia="zh-CN" w:bidi="ar"/>
                    </w:rPr>
                  </w:pPr>
                </w:p>
              </w:tc>
              <w:tc>
                <w:tcPr>
                  <w:tcW w:w="834" w:type="pct"/>
                  <w:shd w:val="clear" w:color="auto" w:fill="auto"/>
                  <w:noWrap w:val="0"/>
                  <w:vAlign w:val="center"/>
                </w:tcPr>
                <w:p w14:paraId="148C29FE">
                  <w:pPr>
                    <w:keepNext w:val="0"/>
                    <w:keepLines w:val="0"/>
                    <w:widowControl/>
                    <w:suppressLineNumbers w:val="0"/>
                    <w:spacing w:before="0" w:beforeAutospacing="0" w:after="0" w:afterAutospacing="0" w:line="280" w:lineRule="exact"/>
                    <w:ind w:left="0" w:right="0"/>
                    <w:jc w:val="center"/>
                    <w:textAlignment w:val="center"/>
                    <w:rPr>
                      <w:rFonts w:hint="eastAsia" w:ascii="Times New Roman" w:hAnsi="Times New Roman" w:eastAsia="宋体" w:cs="Times New Roman"/>
                      <w:b w:val="0"/>
                      <w:bCs w:val="0"/>
                      <w:kern w:val="2"/>
                      <w:sz w:val="21"/>
                      <w:szCs w:val="21"/>
                      <w:highlight w:val="none"/>
                      <w:lang w:val="en-US" w:eastAsia="zh-CN" w:bidi="ar"/>
                    </w:rPr>
                  </w:pPr>
                  <w:r>
                    <w:rPr>
                      <w:rFonts w:hint="eastAsia" w:ascii="Times New Roman" w:hAnsi="Times New Roman" w:eastAsia="宋体" w:cs="Times New Roman"/>
                      <w:b w:val="0"/>
                      <w:bCs w:val="0"/>
                      <w:sz w:val="21"/>
                      <w:szCs w:val="21"/>
                      <w:highlight w:val="none"/>
                      <w:lang w:val="en-US" w:eastAsia="zh-CN" w:bidi="ar"/>
                    </w:rPr>
                    <w:t>氯气</w:t>
                  </w:r>
                </w:p>
              </w:tc>
              <w:tc>
                <w:tcPr>
                  <w:tcW w:w="2802" w:type="pct"/>
                  <w:gridSpan w:val="4"/>
                  <w:noWrap w:val="0"/>
                  <w:vAlign w:val="center"/>
                </w:tcPr>
                <w:p w14:paraId="3EB62CEF">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kern w:val="0"/>
                      <w:sz w:val="21"/>
                      <w:szCs w:val="21"/>
                      <w:highlight w:val="none"/>
                      <w:u w:val="none"/>
                      <w:lang w:val="en-US" w:eastAsia="zh-CN" w:bidi="ar"/>
                    </w:rPr>
                  </w:pPr>
                  <w:r>
                    <w:rPr>
                      <w:rFonts w:hint="eastAsia" w:cs="Times New Roman"/>
                      <w:i w:val="0"/>
                      <w:iCs w:val="0"/>
                      <w:color w:val="000000"/>
                      <w:kern w:val="0"/>
                      <w:sz w:val="21"/>
                      <w:szCs w:val="21"/>
                      <w:highlight w:val="none"/>
                      <w:u w:val="none"/>
                      <w:lang w:val="en-US" w:eastAsia="zh-CN" w:bidi="ar"/>
                    </w:rPr>
                    <w:t>少量</w:t>
                  </w:r>
                </w:p>
              </w:tc>
            </w:tr>
            <w:tr w14:paraId="5B8730F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90" w:hRule="atLeast"/>
              </w:trPr>
              <w:tc>
                <w:tcPr>
                  <w:tcW w:w="470" w:type="pct"/>
                  <w:vMerge w:val="continue"/>
                  <w:noWrap w:val="0"/>
                  <w:vAlign w:val="center"/>
                </w:tcPr>
                <w:p w14:paraId="0390F13E">
                  <w:pPr>
                    <w:keepNext w:val="0"/>
                    <w:keepLines w:val="0"/>
                    <w:widowControl/>
                    <w:suppressLineNumbers w:val="0"/>
                    <w:spacing w:before="0" w:beforeAutospacing="0" w:after="0" w:afterAutospacing="0" w:line="280" w:lineRule="exact"/>
                    <w:ind w:left="0" w:right="0"/>
                    <w:jc w:val="center"/>
                    <w:textAlignment w:val="center"/>
                    <w:rPr>
                      <w:rFonts w:hint="eastAsia" w:ascii="Times New Roman" w:hAnsi="Times New Roman" w:eastAsia="宋体" w:cs="Times New Roman"/>
                      <w:b w:val="0"/>
                      <w:bCs w:val="0"/>
                      <w:sz w:val="21"/>
                      <w:szCs w:val="21"/>
                      <w:highlight w:val="none"/>
                      <w:lang w:val="en-US" w:eastAsia="zh-CN" w:bidi="ar"/>
                    </w:rPr>
                  </w:pPr>
                </w:p>
              </w:tc>
              <w:tc>
                <w:tcPr>
                  <w:tcW w:w="431" w:type="pct"/>
                  <w:vMerge w:val="restart"/>
                  <w:noWrap w:val="0"/>
                  <w:vAlign w:val="center"/>
                </w:tcPr>
                <w:p w14:paraId="572D8532">
                  <w:pPr>
                    <w:keepNext w:val="0"/>
                    <w:keepLines w:val="0"/>
                    <w:widowControl/>
                    <w:suppressLineNumbers w:val="0"/>
                    <w:spacing w:before="0" w:beforeAutospacing="0" w:after="0" w:afterAutospacing="0" w:line="280" w:lineRule="exact"/>
                    <w:ind w:left="0" w:right="0"/>
                    <w:jc w:val="center"/>
                    <w:textAlignment w:val="center"/>
                    <w:rPr>
                      <w:rFonts w:hint="default" w:ascii="Times New Roman" w:hAnsi="Times New Roman" w:eastAsia="宋体" w:cs="Times New Roman"/>
                      <w:b w:val="0"/>
                      <w:bCs w:val="0"/>
                      <w:sz w:val="21"/>
                      <w:szCs w:val="21"/>
                      <w:highlight w:val="none"/>
                      <w:lang w:val="en-US" w:eastAsia="zh-CN" w:bidi="ar"/>
                    </w:rPr>
                  </w:pPr>
                  <w:r>
                    <w:rPr>
                      <w:rFonts w:hint="eastAsia" w:ascii="Times New Roman" w:hAnsi="Times New Roman" w:eastAsia="宋体" w:cs="Times New Roman"/>
                      <w:b w:val="0"/>
                      <w:bCs w:val="0"/>
                      <w:sz w:val="21"/>
                      <w:szCs w:val="21"/>
                      <w:highlight w:val="none"/>
                      <w:lang w:val="en-US" w:eastAsia="zh-CN" w:bidi="ar"/>
                    </w:rPr>
                    <w:t>DA008</w:t>
                  </w:r>
                </w:p>
              </w:tc>
              <w:tc>
                <w:tcPr>
                  <w:tcW w:w="462" w:type="pct"/>
                  <w:vMerge w:val="restart"/>
                  <w:shd w:val="clear" w:color="auto" w:fill="auto"/>
                  <w:noWrap w:val="0"/>
                  <w:vAlign w:val="center"/>
                </w:tcPr>
                <w:p w14:paraId="7EE5BA9C">
                  <w:pPr>
                    <w:keepNext w:val="0"/>
                    <w:keepLines w:val="0"/>
                    <w:widowControl/>
                    <w:suppressLineNumbers w:val="0"/>
                    <w:spacing w:before="0" w:beforeAutospacing="0" w:after="0" w:afterAutospacing="0" w:line="280" w:lineRule="exact"/>
                    <w:ind w:left="0" w:right="0"/>
                    <w:jc w:val="center"/>
                    <w:textAlignment w:val="center"/>
                    <w:rPr>
                      <w:rFonts w:hint="eastAsia" w:ascii="Times New Roman" w:hAnsi="Times New Roman" w:eastAsia="宋体" w:cs="Times New Roman"/>
                      <w:b w:val="0"/>
                      <w:bCs w:val="0"/>
                      <w:sz w:val="21"/>
                      <w:szCs w:val="21"/>
                      <w:highlight w:val="none"/>
                      <w:lang w:val="en-US" w:eastAsia="zh-CN" w:bidi="ar"/>
                    </w:rPr>
                  </w:pPr>
                  <w:r>
                    <w:rPr>
                      <w:rFonts w:hint="eastAsia" w:ascii="Times New Roman" w:hAnsi="Times New Roman" w:eastAsia="宋体" w:cs="Times New Roman"/>
                      <w:b w:val="0"/>
                      <w:bCs w:val="0"/>
                      <w:sz w:val="21"/>
                      <w:szCs w:val="21"/>
                      <w:highlight w:val="none"/>
                      <w:lang w:val="en-US" w:eastAsia="zh-CN" w:bidi="ar"/>
                    </w:rPr>
                    <w:t>有组织</w:t>
                  </w:r>
                </w:p>
              </w:tc>
              <w:tc>
                <w:tcPr>
                  <w:tcW w:w="834" w:type="pct"/>
                  <w:shd w:val="clear" w:color="auto" w:fill="auto"/>
                  <w:noWrap w:val="0"/>
                  <w:vAlign w:val="center"/>
                </w:tcPr>
                <w:p w14:paraId="011BC15F">
                  <w:pPr>
                    <w:keepNext w:val="0"/>
                    <w:keepLines w:val="0"/>
                    <w:widowControl/>
                    <w:suppressLineNumbers w:val="0"/>
                    <w:spacing w:before="0" w:beforeAutospacing="0" w:after="0" w:afterAutospacing="0" w:line="280" w:lineRule="exact"/>
                    <w:ind w:left="0" w:right="0"/>
                    <w:jc w:val="center"/>
                    <w:textAlignment w:val="center"/>
                    <w:rPr>
                      <w:rFonts w:hint="eastAsia" w:ascii="Times New Roman" w:hAnsi="Times New Roman" w:eastAsia="宋体" w:cs="Times New Roman"/>
                      <w:b w:val="0"/>
                      <w:bCs w:val="0"/>
                      <w:sz w:val="21"/>
                      <w:szCs w:val="21"/>
                      <w:highlight w:val="none"/>
                      <w:lang w:val="en-US" w:eastAsia="zh-CN" w:bidi="ar"/>
                    </w:rPr>
                  </w:pPr>
                  <w:r>
                    <w:rPr>
                      <w:rFonts w:hint="eastAsia" w:ascii="Times New Roman" w:hAnsi="Times New Roman" w:eastAsia="宋体" w:cs="Times New Roman"/>
                      <w:b w:val="0"/>
                      <w:bCs w:val="0"/>
                      <w:sz w:val="21"/>
                      <w:szCs w:val="21"/>
                      <w:highlight w:val="none"/>
                      <w:lang w:val="en-US" w:eastAsia="zh-CN" w:bidi="ar"/>
                    </w:rPr>
                    <w:t>非甲烷总烃</w:t>
                  </w:r>
                </w:p>
              </w:tc>
              <w:tc>
                <w:tcPr>
                  <w:tcW w:w="651" w:type="pct"/>
                  <w:shd w:val="clear" w:color="auto" w:fill="auto"/>
                  <w:noWrap w:val="0"/>
                  <w:vAlign w:val="center"/>
                </w:tcPr>
                <w:p w14:paraId="44DB212D">
                  <w:pPr>
                    <w:keepNext w:val="0"/>
                    <w:keepLines w:val="0"/>
                    <w:widowControl/>
                    <w:suppressLineNumbers w:val="0"/>
                    <w:spacing w:before="0" w:beforeAutospacing="0" w:after="0" w:afterAutospacing="0"/>
                    <w:ind w:left="0" w:right="0"/>
                    <w:jc w:val="center"/>
                    <w:textAlignment w:val="center"/>
                    <w:rPr>
                      <w:rFonts w:hint="eastAsia" w:ascii="Times New Roman" w:hAnsi="Times New Roman" w:eastAsia="宋体" w:cs="Times New Roman"/>
                      <w:i w:val="0"/>
                      <w:iCs w:val="0"/>
                      <w:color w:val="000000"/>
                      <w:kern w:val="0"/>
                      <w:sz w:val="21"/>
                      <w:szCs w:val="21"/>
                      <w:highlight w:val="none"/>
                      <w:u w:val="none"/>
                      <w:lang w:val="en-US" w:eastAsia="zh-CN" w:bidi="ar"/>
                    </w:rPr>
                  </w:pPr>
                  <w:r>
                    <w:rPr>
                      <w:rFonts w:hint="eastAsia" w:ascii="Times New Roman" w:hAnsi="Times New Roman" w:eastAsia="宋体" w:cs="Times New Roman"/>
                      <w:i w:val="0"/>
                      <w:iCs w:val="0"/>
                      <w:color w:val="000000"/>
                      <w:kern w:val="0"/>
                      <w:sz w:val="21"/>
                      <w:szCs w:val="21"/>
                      <w:highlight w:val="none"/>
                      <w:u w:val="none"/>
                      <w:lang w:val="en-US" w:eastAsia="zh-CN" w:bidi="ar"/>
                    </w:rPr>
                    <w:t>0.027</w:t>
                  </w:r>
                </w:p>
              </w:tc>
              <w:tc>
                <w:tcPr>
                  <w:tcW w:w="717" w:type="pct"/>
                  <w:shd w:val="clear" w:color="auto" w:fill="auto"/>
                  <w:noWrap w:val="0"/>
                  <w:vAlign w:val="center"/>
                </w:tcPr>
                <w:p w14:paraId="02125FC0">
                  <w:pPr>
                    <w:keepNext w:val="0"/>
                    <w:keepLines w:val="0"/>
                    <w:widowControl/>
                    <w:suppressLineNumbers w:val="0"/>
                    <w:spacing w:before="0" w:beforeAutospacing="0" w:after="0" w:afterAutospacing="0"/>
                    <w:ind w:left="0" w:right="0"/>
                    <w:jc w:val="center"/>
                    <w:textAlignment w:val="center"/>
                    <w:rPr>
                      <w:rFonts w:hint="eastAsia" w:ascii="Times New Roman" w:hAnsi="Times New Roman" w:eastAsia="宋体" w:cs="Times New Roman"/>
                      <w:i w:val="0"/>
                      <w:iCs w:val="0"/>
                      <w:color w:val="000000"/>
                      <w:kern w:val="0"/>
                      <w:sz w:val="21"/>
                      <w:szCs w:val="21"/>
                      <w:highlight w:val="none"/>
                      <w:u w:val="none"/>
                      <w:lang w:val="en-US" w:eastAsia="zh-CN" w:bidi="ar"/>
                    </w:rPr>
                  </w:pPr>
                  <w:r>
                    <w:rPr>
                      <w:rFonts w:hint="eastAsia" w:ascii="Times New Roman" w:hAnsi="Times New Roman" w:eastAsia="宋体" w:cs="Times New Roman"/>
                      <w:i w:val="0"/>
                      <w:iCs w:val="0"/>
                      <w:color w:val="000000"/>
                      <w:kern w:val="0"/>
                      <w:sz w:val="21"/>
                      <w:szCs w:val="21"/>
                      <w:highlight w:val="none"/>
                      <w:u w:val="none"/>
                      <w:lang w:val="en-US" w:eastAsia="zh-CN" w:bidi="ar"/>
                    </w:rPr>
                    <w:t>0.026</w:t>
                  </w:r>
                </w:p>
              </w:tc>
              <w:tc>
                <w:tcPr>
                  <w:tcW w:w="714" w:type="pct"/>
                  <w:shd w:val="clear" w:color="auto" w:fill="auto"/>
                  <w:noWrap w:val="0"/>
                  <w:vAlign w:val="center"/>
                </w:tcPr>
                <w:p w14:paraId="31577285">
                  <w:pPr>
                    <w:keepNext w:val="0"/>
                    <w:keepLines w:val="0"/>
                    <w:widowControl/>
                    <w:suppressLineNumbers w:val="0"/>
                    <w:spacing w:before="0" w:beforeAutospacing="0" w:after="0" w:afterAutospacing="0"/>
                    <w:ind w:left="0" w:right="0"/>
                    <w:jc w:val="center"/>
                    <w:textAlignment w:val="center"/>
                    <w:rPr>
                      <w:rFonts w:hint="eastAsia" w:ascii="Times New Roman" w:hAnsi="Times New Roman" w:eastAsia="宋体" w:cs="Times New Roman"/>
                      <w:i w:val="0"/>
                      <w:iCs w:val="0"/>
                      <w:color w:val="000000"/>
                      <w:kern w:val="0"/>
                      <w:sz w:val="21"/>
                      <w:szCs w:val="21"/>
                      <w:highlight w:val="none"/>
                      <w:u w:val="none"/>
                      <w:lang w:val="en-US" w:eastAsia="zh-CN" w:bidi="ar"/>
                    </w:rPr>
                  </w:pPr>
                  <w:r>
                    <w:rPr>
                      <w:rFonts w:hint="eastAsia" w:ascii="Times New Roman" w:hAnsi="Times New Roman" w:eastAsia="宋体" w:cs="Times New Roman"/>
                      <w:i w:val="0"/>
                      <w:iCs w:val="0"/>
                      <w:color w:val="000000"/>
                      <w:kern w:val="0"/>
                      <w:sz w:val="21"/>
                      <w:szCs w:val="21"/>
                      <w:highlight w:val="none"/>
                      <w:u w:val="none"/>
                      <w:lang w:val="en-US" w:eastAsia="zh-CN" w:bidi="ar"/>
                    </w:rPr>
                    <w:t>0.027</w:t>
                  </w:r>
                </w:p>
              </w:tc>
              <w:tc>
                <w:tcPr>
                  <w:tcW w:w="719" w:type="pct"/>
                  <w:shd w:val="clear" w:color="auto" w:fill="auto"/>
                  <w:noWrap w:val="0"/>
                  <w:vAlign w:val="center"/>
                </w:tcPr>
                <w:p w14:paraId="71DAC1EC">
                  <w:pPr>
                    <w:keepNext w:val="0"/>
                    <w:keepLines w:val="0"/>
                    <w:widowControl/>
                    <w:suppressLineNumbers w:val="0"/>
                    <w:spacing w:before="0" w:beforeAutospacing="0" w:after="0" w:afterAutospacing="0"/>
                    <w:ind w:left="0" w:right="0"/>
                    <w:jc w:val="center"/>
                    <w:textAlignment w:val="center"/>
                    <w:rPr>
                      <w:rFonts w:hint="eastAsia" w:ascii="Times New Roman" w:hAnsi="Times New Roman" w:eastAsia="宋体" w:cs="Times New Roman"/>
                      <w:i w:val="0"/>
                      <w:iCs w:val="0"/>
                      <w:color w:val="000000"/>
                      <w:kern w:val="0"/>
                      <w:sz w:val="21"/>
                      <w:szCs w:val="21"/>
                      <w:highlight w:val="none"/>
                      <w:u w:val="none"/>
                      <w:lang w:val="en-US" w:eastAsia="zh-CN" w:bidi="ar"/>
                    </w:rPr>
                  </w:pPr>
                  <w:r>
                    <w:rPr>
                      <w:rFonts w:hint="eastAsia" w:ascii="Times New Roman" w:hAnsi="Times New Roman" w:eastAsia="宋体" w:cs="Times New Roman"/>
                      <w:i w:val="0"/>
                      <w:iCs w:val="0"/>
                      <w:color w:val="000000"/>
                      <w:kern w:val="0"/>
                      <w:sz w:val="21"/>
                      <w:szCs w:val="21"/>
                      <w:highlight w:val="none"/>
                      <w:u w:val="none"/>
                      <w:lang w:val="en-US" w:eastAsia="zh-CN" w:bidi="ar"/>
                    </w:rPr>
                    <w:t>0.026</w:t>
                  </w:r>
                </w:p>
              </w:tc>
            </w:tr>
            <w:tr w14:paraId="264DE90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90" w:hRule="atLeast"/>
              </w:trPr>
              <w:tc>
                <w:tcPr>
                  <w:tcW w:w="470" w:type="pct"/>
                  <w:vMerge w:val="continue"/>
                  <w:noWrap w:val="0"/>
                  <w:vAlign w:val="center"/>
                </w:tcPr>
                <w:p w14:paraId="21AF32C0">
                  <w:pPr>
                    <w:keepNext w:val="0"/>
                    <w:keepLines w:val="0"/>
                    <w:widowControl/>
                    <w:suppressLineNumbers w:val="0"/>
                    <w:spacing w:before="0" w:beforeAutospacing="0" w:after="0" w:afterAutospacing="0" w:line="280" w:lineRule="exact"/>
                    <w:ind w:left="0" w:right="0"/>
                    <w:jc w:val="center"/>
                    <w:textAlignment w:val="center"/>
                    <w:rPr>
                      <w:rFonts w:hint="eastAsia" w:ascii="Times New Roman" w:hAnsi="Times New Roman" w:eastAsia="宋体" w:cs="Times New Roman"/>
                      <w:b w:val="0"/>
                      <w:bCs w:val="0"/>
                      <w:sz w:val="21"/>
                      <w:szCs w:val="21"/>
                      <w:highlight w:val="none"/>
                      <w:lang w:val="en-US" w:eastAsia="zh-CN" w:bidi="ar"/>
                    </w:rPr>
                  </w:pPr>
                </w:p>
              </w:tc>
              <w:tc>
                <w:tcPr>
                  <w:tcW w:w="431" w:type="pct"/>
                  <w:vMerge w:val="continue"/>
                  <w:noWrap w:val="0"/>
                  <w:vAlign w:val="center"/>
                </w:tcPr>
                <w:p w14:paraId="5FCCBFCC">
                  <w:pPr>
                    <w:keepNext w:val="0"/>
                    <w:keepLines w:val="0"/>
                    <w:widowControl/>
                    <w:suppressLineNumbers w:val="0"/>
                    <w:spacing w:before="0" w:beforeAutospacing="0" w:after="0" w:afterAutospacing="0" w:line="280" w:lineRule="exact"/>
                    <w:ind w:left="0" w:right="0"/>
                    <w:jc w:val="center"/>
                    <w:textAlignment w:val="center"/>
                    <w:rPr>
                      <w:rFonts w:hint="eastAsia" w:ascii="Times New Roman" w:hAnsi="Times New Roman" w:eastAsia="宋体" w:cs="Times New Roman"/>
                      <w:b w:val="0"/>
                      <w:bCs w:val="0"/>
                      <w:sz w:val="21"/>
                      <w:szCs w:val="21"/>
                      <w:highlight w:val="none"/>
                      <w:lang w:val="en-US" w:eastAsia="zh-CN" w:bidi="ar"/>
                    </w:rPr>
                  </w:pPr>
                </w:p>
              </w:tc>
              <w:tc>
                <w:tcPr>
                  <w:tcW w:w="462" w:type="pct"/>
                  <w:vMerge w:val="continue"/>
                  <w:shd w:val="clear" w:color="auto" w:fill="auto"/>
                  <w:noWrap w:val="0"/>
                  <w:vAlign w:val="center"/>
                </w:tcPr>
                <w:p w14:paraId="4D333C69">
                  <w:pPr>
                    <w:keepNext w:val="0"/>
                    <w:keepLines w:val="0"/>
                    <w:widowControl/>
                    <w:suppressLineNumbers w:val="0"/>
                    <w:spacing w:before="0" w:beforeAutospacing="0" w:after="0" w:afterAutospacing="0" w:line="280" w:lineRule="exact"/>
                    <w:ind w:left="0" w:right="0"/>
                    <w:jc w:val="center"/>
                    <w:textAlignment w:val="center"/>
                    <w:rPr>
                      <w:rFonts w:hint="eastAsia" w:ascii="Times New Roman" w:hAnsi="Times New Roman" w:eastAsia="宋体" w:cs="Times New Roman"/>
                      <w:b w:val="0"/>
                      <w:bCs w:val="0"/>
                      <w:sz w:val="21"/>
                      <w:szCs w:val="21"/>
                      <w:highlight w:val="none"/>
                      <w:lang w:val="en-US" w:eastAsia="zh-CN" w:bidi="ar"/>
                    </w:rPr>
                  </w:pPr>
                </w:p>
              </w:tc>
              <w:tc>
                <w:tcPr>
                  <w:tcW w:w="834" w:type="pct"/>
                  <w:shd w:val="clear" w:color="auto" w:fill="auto"/>
                  <w:noWrap w:val="0"/>
                  <w:vAlign w:val="center"/>
                </w:tcPr>
                <w:p w14:paraId="53ADAF3E">
                  <w:pPr>
                    <w:keepNext w:val="0"/>
                    <w:keepLines w:val="0"/>
                    <w:widowControl/>
                    <w:suppressLineNumbers w:val="0"/>
                    <w:spacing w:before="0" w:beforeAutospacing="0" w:after="0" w:afterAutospacing="0" w:line="280" w:lineRule="exact"/>
                    <w:ind w:left="0" w:right="0"/>
                    <w:jc w:val="center"/>
                    <w:textAlignment w:val="center"/>
                    <w:rPr>
                      <w:rFonts w:hint="eastAsia" w:ascii="Times New Roman" w:hAnsi="Times New Roman" w:eastAsia="宋体" w:cs="Times New Roman"/>
                      <w:b w:val="0"/>
                      <w:bCs w:val="0"/>
                      <w:sz w:val="21"/>
                      <w:szCs w:val="21"/>
                      <w:highlight w:val="none"/>
                      <w:lang w:val="en-US" w:eastAsia="zh-CN" w:bidi="ar"/>
                    </w:rPr>
                  </w:pPr>
                  <w:r>
                    <w:rPr>
                      <w:rFonts w:hint="eastAsia" w:ascii="Times New Roman" w:hAnsi="Times New Roman" w:eastAsia="宋体" w:cs="Times New Roman"/>
                      <w:b w:val="0"/>
                      <w:bCs w:val="0"/>
                      <w:sz w:val="21"/>
                      <w:szCs w:val="21"/>
                      <w:highlight w:val="none"/>
                      <w:lang w:val="en-US" w:eastAsia="zh-CN" w:bidi="ar"/>
                    </w:rPr>
                    <w:t>氯气</w:t>
                  </w:r>
                </w:p>
              </w:tc>
              <w:tc>
                <w:tcPr>
                  <w:tcW w:w="2802" w:type="pct"/>
                  <w:gridSpan w:val="4"/>
                  <w:shd w:val="clear" w:color="auto" w:fill="auto"/>
                  <w:noWrap w:val="0"/>
                  <w:vAlign w:val="center"/>
                </w:tcPr>
                <w:p w14:paraId="1526C076">
                  <w:pPr>
                    <w:keepNext w:val="0"/>
                    <w:keepLines w:val="0"/>
                    <w:widowControl/>
                    <w:suppressLineNumbers w:val="0"/>
                    <w:spacing w:before="0" w:beforeAutospacing="0" w:after="0" w:afterAutospacing="0"/>
                    <w:ind w:left="0" w:right="0"/>
                    <w:jc w:val="center"/>
                    <w:textAlignment w:val="center"/>
                    <w:rPr>
                      <w:rFonts w:hint="eastAsia" w:ascii="Times New Roman" w:hAnsi="Times New Roman" w:eastAsia="宋体" w:cs="Times New Roman"/>
                      <w:i w:val="0"/>
                      <w:iCs w:val="0"/>
                      <w:color w:val="000000"/>
                      <w:kern w:val="0"/>
                      <w:sz w:val="21"/>
                      <w:szCs w:val="21"/>
                      <w:highlight w:val="none"/>
                      <w:u w:val="none"/>
                      <w:lang w:val="en-US" w:eastAsia="zh-CN" w:bidi="ar"/>
                    </w:rPr>
                  </w:pPr>
                  <w:r>
                    <w:rPr>
                      <w:rFonts w:hint="eastAsia" w:cs="Times New Roman"/>
                      <w:i w:val="0"/>
                      <w:iCs w:val="0"/>
                      <w:color w:val="000000"/>
                      <w:kern w:val="0"/>
                      <w:sz w:val="21"/>
                      <w:szCs w:val="21"/>
                      <w:highlight w:val="none"/>
                      <w:u w:val="none"/>
                      <w:lang w:val="en-US" w:eastAsia="zh-CN" w:bidi="ar"/>
                    </w:rPr>
                    <w:t>少量</w:t>
                  </w:r>
                </w:p>
              </w:tc>
            </w:tr>
            <w:tr w14:paraId="1F94B95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90" w:hRule="atLeast"/>
              </w:trPr>
              <w:tc>
                <w:tcPr>
                  <w:tcW w:w="470" w:type="pct"/>
                  <w:vMerge w:val="continue"/>
                  <w:noWrap w:val="0"/>
                  <w:vAlign w:val="center"/>
                </w:tcPr>
                <w:p w14:paraId="3FB33E71">
                  <w:pPr>
                    <w:keepNext w:val="0"/>
                    <w:keepLines w:val="0"/>
                    <w:widowControl/>
                    <w:suppressLineNumbers w:val="0"/>
                    <w:spacing w:before="0" w:beforeAutospacing="0" w:after="0" w:afterAutospacing="0" w:line="280" w:lineRule="exact"/>
                    <w:ind w:left="0" w:right="0"/>
                    <w:jc w:val="center"/>
                    <w:textAlignment w:val="center"/>
                    <w:rPr>
                      <w:rFonts w:hint="eastAsia" w:ascii="Times New Roman" w:hAnsi="Times New Roman" w:eastAsia="宋体" w:cs="Times New Roman"/>
                      <w:b w:val="0"/>
                      <w:bCs w:val="0"/>
                      <w:sz w:val="21"/>
                      <w:szCs w:val="21"/>
                      <w:highlight w:val="none"/>
                      <w:lang w:val="en-US" w:eastAsia="zh-CN" w:bidi="ar"/>
                    </w:rPr>
                  </w:pPr>
                </w:p>
              </w:tc>
              <w:tc>
                <w:tcPr>
                  <w:tcW w:w="893" w:type="pct"/>
                  <w:gridSpan w:val="2"/>
                  <w:vMerge w:val="restart"/>
                  <w:noWrap w:val="0"/>
                  <w:vAlign w:val="center"/>
                </w:tcPr>
                <w:p w14:paraId="2A32F727">
                  <w:pPr>
                    <w:keepNext w:val="0"/>
                    <w:keepLines w:val="0"/>
                    <w:widowControl/>
                    <w:suppressLineNumbers w:val="0"/>
                    <w:spacing w:before="0" w:beforeAutospacing="0" w:after="0" w:afterAutospacing="0" w:line="280" w:lineRule="exact"/>
                    <w:ind w:left="0" w:right="0"/>
                    <w:jc w:val="center"/>
                    <w:textAlignment w:val="center"/>
                    <w:rPr>
                      <w:rFonts w:hint="eastAsia" w:ascii="Times New Roman" w:hAnsi="Times New Roman" w:eastAsia="宋体" w:cs="Times New Roman"/>
                      <w:b w:val="0"/>
                      <w:bCs w:val="0"/>
                      <w:sz w:val="21"/>
                      <w:szCs w:val="21"/>
                      <w:highlight w:val="none"/>
                      <w:lang w:val="en-US" w:eastAsia="zh-CN" w:bidi="ar"/>
                    </w:rPr>
                  </w:pPr>
                  <w:r>
                    <w:rPr>
                      <w:rFonts w:hint="eastAsia" w:ascii="Times New Roman" w:hAnsi="Times New Roman" w:eastAsia="宋体" w:cs="Times New Roman"/>
                      <w:b w:val="0"/>
                      <w:bCs w:val="0"/>
                      <w:sz w:val="21"/>
                      <w:szCs w:val="21"/>
                      <w:highlight w:val="none"/>
                      <w:lang w:val="en-US" w:eastAsia="zh-CN" w:bidi="ar"/>
                    </w:rPr>
                    <w:t>无组织</w:t>
                  </w:r>
                </w:p>
              </w:tc>
              <w:tc>
                <w:tcPr>
                  <w:tcW w:w="834" w:type="pct"/>
                  <w:shd w:val="clear" w:color="auto" w:fill="auto"/>
                  <w:noWrap w:val="0"/>
                  <w:vAlign w:val="center"/>
                </w:tcPr>
                <w:p w14:paraId="658BE603">
                  <w:pPr>
                    <w:keepNext w:val="0"/>
                    <w:keepLines w:val="0"/>
                    <w:widowControl/>
                    <w:suppressLineNumbers w:val="0"/>
                    <w:spacing w:before="0" w:beforeAutospacing="0" w:after="0" w:afterAutospacing="0" w:line="280" w:lineRule="exact"/>
                    <w:ind w:left="0" w:right="0"/>
                    <w:jc w:val="center"/>
                    <w:textAlignment w:val="center"/>
                    <w:rPr>
                      <w:rFonts w:hint="eastAsia" w:ascii="Times New Roman" w:hAnsi="Times New Roman" w:eastAsia="宋体" w:cs="Times New Roman"/>
                      <w:b w:val="0"/>
                      <w:bCs w:val="0"/>
                      <w:kern w:val="2"/>
                      <w:sz w:val="21"/>
                      <w:szCs w:val="21"/>
                      <w:highlight w:val="none"/>
                      <w:lang w:val="en-US" w:eastAsia="zh-CN" w:bidi="ar"/>
                    </w:rPr>
                  </w:pPr>
                  <w:r>
                    <w:rPr>
                      <w:rFonts w:hint="eastAsia" w:ascii="Times New Roman" w:hAnsi="Times New Roman" w:eastAsia="宋体" w:cs="Times New Roman"/>
                      <w:b w:val="0"/>
                      <w:bCs w:val="0"/>
                      <w:sz w:val="21"/>
                      <w:szCs w:val="21"/>
                      <w:highlight w:val="none"/>
                      <w:lang w:val="en-US" w:eastAsia="zh-CN" w:bidi="ar"/>
                    </w:rPr>
                    <w:t>非甲烷总烃</w:t>
                  </w:r>
                </w:p>
              </w:tc>
              <w:tc>
                <w:tcPr>
                  <w:tcW w:w="651" w:type="pct"/>
                  <w:noWrap w:val="0"/>
                  <w:vAlign w:val="center"/>
                </w:tcPr>
                <w:p w14:paraId="5B75DA28">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kern w:val="0"/>
                      <w:sz w:val="21"/>
                      <w:szCs w:val="21"/>
                      <w:highlight w:val="none"/>
                      <w:u w:val="none"/>
                      <w:lang w:val="en-US" w:eastAsia="zh-CN" w:bidi="ar"/>
                    </w:rPr>
                  </w:pPr>
                  <w:r>
                    <w:rPr>
                      <w:rFonts w:hint="eastAsia" w:ascii="Times New Roman" w:hAnsi="Times New Roman" w:eastAsia="宋体" w:cs="Times New Roman"/>
                      <w:i w:val="0"/>
                      <w:iCs w:val="0"/>
                      <w:color w:val="000000"/>
                      <w:kern w:val="0"/>
                      <w:sz w:val="21"/>
                      <w:szCs w:val="21"/>
                      <w:highlight w:val="none"/>
                      <w:u w:val="none"/>
                      <w:lang w:val="en-US" w:eastAsia="zh-CN" w:bidi="ar"/>
                    </w:rPr>
                    <w:t>0.003</w:t>
                  </w:r>
                </w:p>
              </w:tc>
              <w:tc>
                <w:tcPr>
                  <w:tcW w:w="717" w:type="pct"/>
                  <w:noWrap w:val="0"/>
                  <w:vAlign w:val="center"/>
                </w:tcPr>
                <w:p w14:paraId="6C1EB1F4">
                  <w:pPr>
                    <w:keepNext w:val="0"/>
                    <w:keepLines w:val="0"/>
                    <w:widowControl/>
                    <w:suppressLineNumbers w:val="0"/>
                    <w:spacing w:before="0" w:beforeAutospacing="0" w:after="0" w:afterAutospacing="0"/>
                    <w:ind w:left="0" w:right="0"/>
                    <w:jc w:val="center"/>
                    <w:textAlignment w:val="center"/>
                    <w:rPr>
                      <w:rFonts w:hint="eastAsia" w:ascii="Times New Roman" w:hAnsi="Times New Roman" w:eastAsia="宋体" w:cs="Times New Roman"/>
                      <w:i w:val="0"/>
                      <w:iCs w:val="0"/>
                      <w:color w:val="000000"/>
                      <w:kern w:val="0"/>
                      <w:sz w:val="21"/>
                      <w:szCs w:val="21"/>
                      <w:highlight w:val="none"/>
                      <w:u w:val="none"/>
                      <w:lang w:val="en-US" w:eastAsia="zh-CN" w:bidi="ar"/>
                    </w:rPr>
                  </w:pPr>
                  <w:r>
                    <w:rPr>
                      <w:rFonts w:hint="eastAsia" w:ascii="Times New Roman" w:hAnsi="Times New Roman" w:eastAsia="宋体" w:cs="Times New Roman"/>
                      <w:i w:val="0"/>
                      <w:iCs w:val="0"/>
                      <w:color w:val="000000"/>
                      <w:kern w:val="0"/>
                      <w:sz w:val="21"/>
                      <w:szCs w:val="21"/>
                      <w:highlight w:val="none"/>
                      <w:u w:val="none"/>
                      <w:lang w:val="en-US" w:eastAsia="zh-CN" w:bidi="ar"/>
                    </w:rPr>
                    <w:t>0.003</w:t>
                  </w:r>
                </w:p>
              </w:tc>
              <w:tc>
                <w:tcPr>
                  <w:tcW w:w="714" w:type="pct"/>
                  <w:shd w:val="clear" w:color="auto" w:fill="auto"/>
                  <w:noWrap w:val="0"/>
                  <w:vAlign w:val="center"/>
                </w:tcPr>
                <w:p w14:paraId="6AD20FA1">
                  <w:pPr>
                    <w:keepNext w:val="0"/>
                    <w:keepLines w:val="0"/>
                    <w:widowControl/>
                    <w:suppressLineNumbers w:val="0"/>
                    <w:spacing w:before="0" w:beforeAutospacing="0" w:after="0" w:afterAutospacing="0"/>
                    <w:ind w:left="0" w:right="0"/>
                    <w:jc w:val="center"/>
                    <w:textAlignment w:val="center"/>
                    <w:rPr>
                      <w:rFonts w:hint="eastAsia" w:ascii="Times New Roman" w:hAnsi="Times New Roman" w:eastAsia="宋体" w:cs="Times New Roman"/>
                      <w:i w:val="0"/>
                      <w:iCs w:val="0"/>
                      <w:color w:val="000000"/>
                      <w:kern w:val="0"/>
                      <w:sz w:val="21"/>
                      <w:szCs w:val="21"/>
                      <w:highlight w:val="none"/>
                      <w:u w:val="none"/>
                      <w:lang w:val="en-US" w:eastAsia="zh-CN" w:bidi="ar"/>
                    </w:rPr>
                  </w:pPr>
                  <w:r>
                    <w:rPr>
                      <w:rFonts w:hint="eastAsia" w:ascii="Times New Roman" w:hAnsi="Times New Roman" w:eastAsia="宋体" w:cs="Times New Roman"/>
                      <w:i w:val="0"/>
                      <w:iCs w:val="0"/>
                      <w:color w:val="000000"/>
                      <w:kern w:val="0"/>
                      <w:sz w:val="21"/>
                      <w:szCs w:val="21"/>
                      <w:highlight w:val="none"/>
                      <w:u w:val="none"/>
                      <w:lang w:val="en-US" w:eastAsia="zh-CN" w:bidi="ar"/>
                    </w:rPr>
                    <w:t>0.003</w:t>
                  </w:r>
                </w:p>
              </w:tc>
              <w:tc>
                <w:tcPr>
                  <w:tcW w:w="719" w:type="pct"/>
                  <w:shd w:val="clear" w:color="auto" w:fill="auto"/>
                  <w:noWrap w:val="0"/>
                  <w:vAlign w:val="center"/>
                </w:tcPr>
                <w:p w14:paraId="2E46E813">
                  <w:pPr>
                    <w:keepNext w:val="0"/>
                    <w:keepLines w:val="0"/>
                    <w:widowControl/>
                    <w:suppressLineNumbers w:val="0"/>
                    <w:spacing w:before="0" w:beforeAutospacing="0" w:after="0" w:afterAutospacing="0"/>
                    <w:ind w:left="0" w:right="0"/>
                    <w:jc w:val="center"/>
                    <w:textAlignment w:val="center"/>
                    <w:rPr>
                      <w:rFonts w:hint="eastAsia" w:ascii="Times New Roman" w:hAnsi="Times New Roman" w:eastAsia="宋体" w:cs="Times New Roman"/>
                      <w:i w:val="0"/>
                      <w:iCs w:val="0"/>
                      <w:color w:val="000000"/>
                      <w:kern w:val="0"/>
                      <w:sz w:val="21"/>
                      <w:szCs w:val="21"/>
                      <w:highlight w:val="none"/>
                      <w:u w:val="none"/>
                      <w:lang w:val="en-US" w:eastAsia="zh-CN" w:bidi="ar"/>
                    </w:rPr>
                  </w:pPr>
                  <w:r>
                    <w:rPr>
                      <w:rFonts w:hint="eastAsia" w:ascii="Times New Roman" w:hAnsi="Times New Roman" w:eastAsia="宋体" w:cs="Times New Roman"/>
                      <w:i w:val="0"/>
                      <w:iCs w:val="0"/>
                      <w:color w:val="000000"/>
                      <w:kern w:val="0"/>
                      <w:sz w:val="21"/>
                      <w:szCs w:val="21"/>
                      <w:highlight w:val="none"/>
                      <w:u w:val="none"/>
                      <w:lang w:val="en-US" w:eastAsia="zh-CN" w:bidi="ar"/>
                    </w:rPr>
                    <w:t>0.003</w:t>
                  </w:r>
                </w:p>
              </w:tc>
            </w:tr>
            <w:tr w14:paraId="25914F3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90" w:hRule="atLeast"/>
              </w:trPr>
              <w:tc>
                <w:tcPr>
                  <w:tcW w:w="470" w:type="pct"/>
                  <w:vMerge w:val="continue"/>
                  <w:noWrap w:val="0"/>
                  <w:vAlign w:val="center"/>
                </w:tcPr>
                <w:p w14:paraId="76C04542">
                  <w:pPr>
                    <w:keepNext w:val="0"/>
                    <w:keepLines w:val="0"/>
                    <w:widowControl/>
                    <w:suppressLineNumbers w:val="0"/>
                    <w:spacing w:before="0" w:beforeAutospacing="0" w:after="0" w:afterAutospacing="0" w:line="280" w:lineRule="exact"/>
                    <w:ind w:left="0" w:right="0"/>
                    <w:jc w:val="center"/>
                    <w:textAlignment w:val="center"/>
                    <w:rPr>
                      <w:rFonts w:hint="eastAsia" w:ascii="Times New Roman" w:hAnsi="Times New Roman" w:eastAsia="宋体" w:cs="Times New Roman"/>
                      <w:b w:val="0"/>
                      <w:bCs w:val="0"/>
                      <w:sz w:val="21"/>
                      <w:szCs w:val="21"/>
                      <w:highlight w:val="none"/>
                      <w:lang w:val="en-US" w:eastAsia="zh-CN" w:bidi="ar"/>
                    </w:rPr>
                  </w:pPr>
                </w:p>
              </w:tc>
              <w:tc>
                <w:tcPr>
                  <w:tcW w:w="893" w:type="pct"/>
                  <w:gridSpan w:val="2"/>
                  <w:vMerge w:val="continue"/>
                  <w:noWrap w:val="0"/>
                  <w:vAlign w:val="center"/>
                </w:tcPr>
                <w:p w14:paraId="4CFB2515">
                  <w:pPr>
                    <w:keepNext w:val="0"/>
                    <w:keepLines w:val="0"/>
                    <w:widowControl/>
                    <w:suppressLineNumbers w:val="0"/>
                    <w:spacing w:before="0" w:beforeAutospacing="0" w:after="0" w:afterAutospacing="0" w:line="280" w:lineRule="exact"/>
                    <w:ind w:left="0" w:right="0"/>
                    <w:jc w:val="center"/>
                    <w:textAlignment w:val="center"/>
                    <w:rPr>
                      <w:rFonts w:hint="eastAsia" w:ascii="Times New Roman" w:hAnsi="Times New Roman" w:eastAsia="宋体" w:cs="Times New Roman"/>
                      <w:b w:val="0"/>
                      <w:bCs w:val="0"/>
                      <w:sz w:val="21"/>
                      <w:szCs w:val="21"/>
                      <w:highlight w:val="none"/>
                      <w:lang w:val="en-US" w:eastAsia="zh-CN" w:bidi="ar"/>
                    </w:rPr>
                  </w:pPr>
                </w:p>
              </w:tc>
              <w:tc>
                <w:tcPr>
                  <w:tcW w:w="834" w:type="pct"/>
                  <w:shd w:val="clear" w:color="auto" w:fill="auto"/>
                  <w:noWrap w:val="0"/>
                  <w:vAlign w:val="center"/>
                </w:tcPr>
                <w:p w14:paraId="098DA9F3">
                  <w:pPr>
                    <w:keepNext w:val="0"/>
                    <w:keepLines w:val="0"/>
                    <w:widowControl/>
                    <w:suppressLineNumbers w:val="0"/>
                    <w:spacing w:before="0" w:beforeAutospacing="0" w:after="0" w:afterAutospacing="0" w:line="280" w:lineRule="exact"/>
                    <w:ind w:left="0" w:right="0"/>
                    <w:jc w:val="center"/>
                    <w:textAlignment w:val="center"/>
                    <w:rPr>
                      <w:rFonts w:hint="eastAsia" w:ascii="Times New Roman" w:hAnsi="Times New Roman" w:eastAsia="宋体" w:cs="Times New Roman"/>
                      <w:b w:val="0"/>
                      <w:bCs w:val="0"/>
                      <w:kern w:val="2"/>
                      <w:sz w:val="21"/>
                      <w:szCs w:val="21"/>
                      <w:highlight w:val="none"/>
                      <w:lang w:val="en-US" w:eastAsia="zh-CN" w:bidi="ar"/>
                    </w:rPr>
                  </w:pPr>
                  <w:r>
                    <w:rPr>
                      <w:rFonts w:hint="eastAsia" w:ascii="Times New Roman" w:hAnsi="Times New Roman" w:eastAsia="宋体" w:cs="Times New Roman"/>
                      <w:b w:val="0"/>
                      <w:bCs w:val="0"/>
                      <w:sz w:val="21"/>
                      <w:szCs w:val="21"/>
                      <w:highlight w:val="none"/>
                      <w:lang w:val="en-US" w:eastAsia="zh-CN" w:bidi="ar"/>
                    </w:rPr>
                    <w:t>氯气</w:t>
                  </w:r>
                </w:p>
              </w:tc>
              <w:tc>
                <w:tcPr>
                  <w:tcW w:w="2802" w:type="pct"/>
                  <w:gridSpan w:val="4"/>
                  <w:noWrap w:val="0"/>
                  <w:vAlign w:val="center"/>
                </w:tcPr>
                <w:p w14:paraId="07B35A15">
                  <w:pPr>
                    <w:keepNext w:val="0"/>
                    <w:keepLines w:val="0"/>
                    <w:widowControl/>
                    <w:suppressLineNumbers w:val="0"/>
                    <w:spacing w:before="0" w:beforeAutospacing="0" w:after="0" w:afterAutospacing="0"/>
                    <w:ind w:left="0" w:right="0"/>
                    <w:jc w:val="center"/>
                    <w:textAlignment w:val="center"/>
                    <w:rPr>
                      <w:rFonts w:hint="eastAsia" w:ascii="Times New Roman" w:hAnsi="Times New Roman" w:eastAsia="宋体" w:cs="Times New Roman"/>
                      <w:i w:val="0"/>
                      <w:iCs w:val="0"/>
                      <w:color w:val="000000"/>
                      <w:kern w:val="0"/>
                      <w:sz w:val="21"/>
                      <w:szCs w:val="21"/>
                      <w:highlight w:val="none"/>
                      <w:u w:val="none"/>
                      <w:lang w:val="en-US" w:eastAsia="zh-CN" w:bidi="ar"/>
                    </w:rPr>
                  </w:pPr>
                  <w:r>
                    <w:rPr>
                      <w:rFonts w:hint="eastAsia" w:cs="Times New Roman"/>
                      <w:i w:val="0"/>
                      <w:iCs w:val="0"/>
                      <w:color w:val="000000"/>
                      <w:kern w:val="0"/>
                      <w:sz w:val="21"/>
                      <w:szCs w:val="21"/>
                      <w:highlight w:val="none"/>
                      <w:u w:val="none"/>
                      <w:lang w:val="en-US" w:eastAsia="zh-CN" w:bidi="ar"/>
                    </w:rPr>
                    <w:t>少量</w:t>
                  </w:r>
                </w:p>
              </w:tc>
            </w:tr>
            <w:tr w14:paraId="74CCFD8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90" w:hRule="atLeast"/>
              </w:trPr>
              <w:tc>
                <w:tcPr>
                  <w:tcW w:w="470" w:type="pct"/>
                  <w:vMerge w:val="continue"/>
                  <w:noWrap w:val="0"/>
                  <w:vAlign w:val="center"/>
                </w:tcPr>
                <w:p w14:paraId="47E4EDD2">
                  <w:pPr>
                    <w:keepNext w:val="0"/>
                    <w:keepLines w:val="0"/>
                    <w:widowControl/>
                    <w:suppressLineNumbers w:val="0"/>
                    <w:spacing w:before="0" w:beforeAutospacing="0" w:after="0" w:afterAutospacing="0" w:line="280" w:lineRule="exact"/>
                    <w:ind w:left="0" w:right="0"/>
                    <w:jc w:val="center"/>
                    <w:textAlignment w:val="center"/>
                    <w:rPr>
                      <w:rFonts w:hint="eastAsia" w:ascii="Times New Roman" w:hAnsi="Times New Roman" w:eastAsia="宋体" w:cs="Times New Roman"/>
                      <w:b w:val="0"/>
                      <w:bCs w:val="0"/>
                      <w:sz w:val="21"/>
                      <w:szCs w:val="21"/>
                      <w:highlight w:val="none"/>
                      <w:lang w:val="en-US" w:eastAsia="zh-CN" w:bidi="ar"/>
                    </w:rPr>
                  </w:pPr>
                </w:p>
              </w:tc>
              <w:tc>
                <w:tcPr>
                  <w:tcW w:w="431" w:type="pct"/>
                  <w:vMerge w:val="restart"/>
                  <w:noWrap w:val="0"/>
                  <w:vAlign w:val="center"/>
                </w:tcPr>
                <w:p w14:paraId="0C3E8E38">
                  <w:pPr>
                    <w:keepNext w:val="0"/>
                    <w:keepLines w:val="0"/>
                    <w:widowControl/>
                    <w:suppressLineNumbers w:val="0"/>
                    <w:spacing w:before="0" w:beforeAutospacing="0" w:after="0" w:afterAutospacing="0" w:line="280" w:lineRule="exact"/>
                    <w:ind w:left="0" w:right="0"/>
                    <w:jc w:val="center"/>
                    <w:textAlignment w:val="center"/>
                    <w:rPr>
                      <w:rFonts w:hint="default" w:ascii="Times New Roman" w:hAnsi="Times New Roman" w:eastAsia="宋体" w:cs="Times New Roman"/>
                      <w:b w:val="0"/>
                      <w:bCs w:val="0"/>
                      <w:sz w:val="21"/>
                      <w:szCs w:val="21"/>
                      <w:highlight w:val="none"/>
                      <w:lang w:val="en-US" w:eastAsia="zh-CN" w:bidi="ar"/>
                    </w:rPr>
                  </w:pPr>
                  <w:r>
                    <w:rPr>
                      <w:rFonts w:hint="eastAsia" w:ascii="Times New Roman" w:hAnsi="Times New Roman" w:eastAsia="宋体" w:cs="Times New Roman"/>
                      <w:b w:val="0"/>
                      <w:bCs w:val="0"/>
                      <w:sz w:val="21"/>
                      <w:szCs w:val="21"/>
                      <w:highlight w:val="none"/>
                      <w:lang w:val="en-US" w:eastAsia="zh-CN" w:bidi="ar"/>
                    </w:rPr>
                    <w:t>DA009</w:t>
                  </w:r>
                </w:p>
              </w:tc>
              <w:tc>
                <w:tcPr>
                  <w:tcW w:w="462" w:type="pct"/>
                  <w:vMerge w:val="restart"/>
                  <w:shd w:val="clear" w:color="auto" w:fill="auto"/>
                  <w:noWrap w:val="0"/>
                  <w:vAlign w:val="center"/>
                </w:tcPr>
                <w:p w14:paraId="68E1BF3D">
                  <w:pPr>
                    <w:keepNext w:val="0"/>
                    <w:keepLines w:val="0"/>
                    <w:widowControl/>
                    <w:suppressLineNumbers w:val="0"/>
                    <w:spacing w:before="0" w:beforeAutospacing="0" w:after="0" w:afterAutospacing="0" w:line="280" w:lineRule="exact"/>
                    <w:ind w:left="0" w:right="0"/>
                    <w:jc w:val="center"/>
                    <w:textAlignment w:val="center"/>
                    <w:rPr>
                      <w:rFonts w:hint="eastAsia" w:ascii="Times New Roman" w:hAnsi="Times New Roman" w:eastAsia="宋体" w:cs="Times New Roman"/>
                      <w:b w:val="0"/>
                      <w:bCs w:val="0"/>
                      <w:sz w:val="21"/>
                      <w:szCs w:val="21"/>
                      <w:highlight w:val="none"/>
                      <w:lang w:val="en-US" w:eastAsia="zh-CN" w:bidi="ar"/>
                    </w:rPr>
                  </w:pPr>
                  <w:r>
                    <w:rPr>
                      <w:rFonts w:hint="eastAsia" w:ascii="Times New Roman" w:hAnsi="Times New Roman" w:eastAsia="宋体" w:cs="Times New Roman"/>
                      <w:b w:val="0"/>
                      <w:bCs w:val="0"/>
                      <w:sz w:val="21"/>
                      <w:szCs w:val="21"/>
                      <w:highlight w:val="none"/>
                      <w:lang w:val="en-US" w:eastAsia="zh-CN" w:bidi="ar"/>
                    </w:rPr>
                    <w:t>有组织</w:t>
                  </w:r>
                </w:p>
              </w:tc>
              <w:tc>
                <w:tcPr>
                  <w:tcW w:w="834" w:type="pct"/>
                  <w:shd w:val="clear" w:color="auto" w:fill="auto"/>
                  <w:noWrap w:val="0"/>
                  <w:vAlign w:val="center"/>
                </w:tcPr>
                <w:p w14:paraId="19D00E92">
                  <w:pPr>
                    <w:keepNext w:val="0"/>
                    <w:keepLines w:val="0"/>
                    <w:widowControl/>
                    <w:suppressLineNumbers w:val="0"/>
                    <w:spacing w:before="0" w:beforeAutospacing="0" w:after="0" w:afterAutospacing="0" w:line="280" w:lineRule="exact"/>
                    <w:ind w:left="0" w:right="0"/>
                    <w:jc w:val="center"/>
                    <w:textAlignment w:val="center"/>
                    <w:rPr>
                      <w:rFonts w:hint="eastAsia" w:ascii="Times New Roman" w:hAnsi="Times New Roman" w:eastAsia="宋体" w:cs="Times New Roman"/>
                      <w:b w:val="0"/>
                      <w:bCs w:val="0"/>
                      <w:sz w:val="21"/>
                      <w:szCs w:val="21"/>
                      <w:highlight w:val="none"/>
                      <w:lang w:val="en-US" w:eastAsia="zh-CN" w:bidi="ar"/>
                    </w:rPr>
                  </w:pPr>
                  <w:r>
                    <w:rPr>
                      <w:rFonts w:hint="eastAsia" w:ascii="Times New Roman" w:hAnsi="Times New Roman" w:eastAsia="宋体" w:cs="Times New Roman"/>
                      <w:b w:val="0"/>
                      <w:bCs w:val="0"/>
                      <w:sz w:val="21"/>
                      <w:szCs w:val="21"/>
                      <w:highlight w:val="none"/>
                      <w:lang w:val="en-US" w:eastAsia="zh-CN" w:bidi="ar"/>
                    </w:rPr>
                    <w:t>非甲烷总烃</w:t>
                  </w:r>
                </w:p>
              </w:tc>
              <w:tc>
                <w:tcPr>
                  <w:tcW w:w="651" w:type="pct"/>
                  <w:shd w:val="clear" w:color="auto" w:fill="auto"/>
                  <w:noWrap w:val="0"/>
                  <w:vAlign w:val="center"/>
                </w:tcPr>
                <w:p w14:paraId="61D18B0D">
                  <w:pPr>
                    <w:keepNext w:val="0"/>
                    <w:keepLines w:val="0"/>
                    <w:widowControl/>
                    <w:suppressLineNumbers w:val="0"/>
                    <w:spacing w:before="0" w:beforeAutospacing="0" w:after="0" w:afterAutospacing="0"/>
                    <w:ind w:left="0" w:right="0"/>
                    <w:jc w:val="center"/>
                    <w:textAlignment w:val="center"/>
                    <w:rPr>
                      <w:rFonts w:hint="eastAsia" w:ascii="Times New Roman" w:hAnsi="Times New Roman" w:eastAsia="宋体" w:cs="Times New Roman"/>
                      <w:i w:val="0"/>
                      <w:iCs w:val="0"/>
                      <w:color w:val="000000"/>
                      <w:kern w:val="0"/>
                      <w:sz w:val="21"/>
                      <w:szCs w:val="21"/>
                      <w:highlight w:val="none"/>
                      <w:u w:val="none"/>
                      <w:lang w:val="en-US" w:eastAsia="zh-CN" w:bidi="ar"/>
                    </w:rPr>
                  </w:pPr>
                  <w:r>
                    <w:rPr>
                      <w:rFonts w:hint="eastAsia" w:ascii="Times New Roman" w:hAnsi="Times New Roman" w:eastAsia="宋体" w:cs="Times New Roman"/>
                      <w:i w:val="0"/>
                      <w:iCs w:val="0"/>
                      <w:color w:val="000000"/>
                      <w:kern w:val="0"/>
                      <w:sz w:val="21"/>
                      <w:szCs w:val="21"/>
                      <w:highlight w:val="none"/>
                      <w:u w:val="none"/>
                      <w:lang w:val="en-US" w:eastAsia="zh-CN" w:bidi="ar"/>
                    </w:rPr>
                    <w:t>0.029</w:t>
                  </w:r>
                </w:p>
              </w:tc>
              <w:tc>
                <w:tcPr>
                  <w:tcW w:w="717" w:type="pct"/>
                  <w:shd w:val="clear" w:color="auto" w:fill="auto"/>
                  <w:noWrap w:val="0"/>
                  <w:vAlign w:val="center"/>
                </w:tcPr>
                <w:p w14:paraId="68B623B4">
                  <w:pPr>
                    <w:keepNext w:val="0"/>
                    <w:keepLines w:val="0"/>
                    <w:widowControl/>
                    <w:suppressLineNumbers w:val="0"/>
                    <w:spacing w:before="0" w:beforeAutospacing="0" w:after="0" w:afterAutospacing="0"/>
                    <w:ind w:left="0" w:right="0"/>
                    <w:jc w:val="center"/>
                    <w:textAlignment w:val="center"/>
                    <w:rPr>
                      <w:rFonts w:hint="eastAsia" w:ascii="Times New Roman" w:hAnsi="Times New Roman" w:eastAsia="宋体" w:cs="Times New Roman"/>
                      <w:i w:val="0"/>
                      <w:iCs w:val="0"/>
                      <w:color w:val="000000"/>
                      <w:kern w:val="0"/>
                      <w:sz w:val="21"/>
                      <w:szCs w:val="21"/>
                      <w:highlight w:val="none"/>
                      <w:u w:val="none"/>
                      <w:lang w:val="en-US" w:eastAsia="zh-CN" w:bidi="ar"/>
                    </w:rPr>
                  </w:pPr>
                  <w:r>
                    <w:rPr>
                      <w:rFonts w:hint="eastAsia" w:ascii="Times New Roman" w:hAnsi="Times New Roman" w:eastAsia="宋体" w:cs="Times New Roman"/>
                      <w:i w:val="0"/>
                      <w:iCs w:val="0"/>
                      <w:color w:val="000000"/>
                      <w:kern w:val="0"/>
                      <w:sz w:val="21"/>
                      <w:szCs w:val="21"/>
                      <w:highlight w:val="none"/>
                      <w:u w:val="none"/>
                      <w:lang w:val="en-US" w:eastAsia="zh-CN" w:bidi="ar"/>
                    </w:rPr>
                    <w:t>0.028</w:t>
                  </w:r>
                </w:p>
              </w:tc>
              <w:tc>
                <w:tcPr>
                  <w:tcW w:w="714" w:type="pct"/>
                  <w:shd w:val="clear" w:color="auto" w:fill="auto"/>
                  <w:noWrap w:val="0"/>
                  <w:vAlign w:val="center"/>
                </w:tcPr>
                <w:p w14:paraId="06A53BDC">
                  <w:pPr>
                    <w:keepNext w:val="0"/>
                    <w:keepLines w:val="0"/>
                    <w:widowControl/>
                    <w:suppressLineNumbers w:val="0"/>
                    <w:spacing w:before="0" w:beforeAutospacing="0" w:after="0" w:afterAutospacing="0"/>
                    <w:ind w:left="0" w:right="0"/>
                    <w:jc w:val="center"/>
                    <w:textAlignment w:val="center"/>
                    <w:rPr>
                      <w:rFonts w:hint="eastAsia" w:ascii="Times New Roman" w:hAnsi="Times New Roman" w:eastAsia="宋体" w:cs="Times New Roman"/>
                      <w:i w:val="0"/>
                      <w:iCs w:val="0"/>
                      <w:color w:val="000000"/>
                      <w:kern w:val="0"/>
                      <w:sz w:val="21"/>
                      <w:szCs w:val="21"/>
                      <w:highlight w:val="none"/>
                      <w:u w:val="none"/>
                      <w:lang w:val="en-US" w:eastAsia="zh-CN" w:bidi="ar"/>
                    </w:rPr>
                  </w:pPr>
                  <w:r>
                    <w:rPr>
                      <w:rFonts w:hint="eastAsia" w:ascii="Times New Roman" w:hAnsi="Times New Roman" w:eastAsia="宋体" w:cs="Times New Roman"/>
                      <w:i w:val="0"/>
                      <w:iCs w:val="0"/>
                      <w:color w:val="000000"/>
                      <w:kern w:val="0"/>
                      <w:sz w:val="21"/>
                      <w:szCs w:val="21"/>
                      <w:highlight w:val="none"/>
                      <w:u w:val="none"/>
                      <w:lang w:val="en-US" w:eastAsia="zh-CN" w:bidi="ar"/>
                    </w:rPr>
                    <w:t>0.029</w:t>
                  </w:r>
                </w:p>
              </w:tc>
              <w:tc>
                <w:tcPr>
                  <w:tcW w:w="719" w:type="pct"/>
                  <w:shd w:val="clear" w:color="auto" w:fill="auto"/>
                  <w:noWrap w:val="0"/>
                  <w:vAlign w:val="center"/>
                </w:tcPr>
                <w:p w14:paraId="5DDF393A">
                  <w:pPr>
                    <w:keepNext w:val="0"/>
                    <w:keepLines w:val="0"/>
                    <w:widowControl/>
                    <w:suppressLineNumbers w:val="0"/>
                    <w:spacing w:before="0" w:beforeAutospacing="0" w:after="0" w:afterAutospacing="0"/>
                    <w:ind w:left="0" w:right="0"/>
                    <w:jc w:val="center"/>
                    <w:textAlignment w:val="center"/>
                    <w:rPr>
                      <w:rFonts w:hint="eastAsia" w:ascii="Times New Roman" w:hAnsi="Times New Roman" w:eastAsia="宋体" w:cs="Times New Roman"/>
                      <w:i w:val="0"/>
                      <w:iCs w:val="0"/>
                      <w:color w:val="000000"/>
                      <w:kern w:val="0"/>
                      <w:sz w:val="21"/>
                      <w:szCs w:val="21"/>
                      <w:highlight w:val="none"/>
                      <w:u w:val="none"/>
                      <w:lang w:val="en-US" w:eastAsia="zh-CN" w:bidi="ar"/>
                    </w:rPr>
                  </w:pPr>
                  <w:r>
                    <w:rPr>
                      <w:rFonts w:hint="eastAsia" w:ascii="Times New Roman" w:hAnsi="Times New Roman" w:eastAsia="宋体" w:cs="Times New Roman"/>
                      <w:i w:val="0"/>
                      <w:iCs w:val="0"/>
                      <w:color w:val="000000"/>
                      <w:kern w:val="0"/>
                      <w:sz w:val="21"/>
                      <w:szCs w:val="21"/>
                      <w:highlight w:val="none"/>
                      <w:u w:val="none"/>
                      <w:lang w:val="en-US" w:eastAsia="zh-CN" w:bidi="ar"/>
                    </w:rPr>
                    <w:t>0.028</w:t>
                  </w:r>
                </w:p>
              </w:tc>
            </w:tr>
            <w:tr w14:paraId="52A7578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90" w:hRule="atLeast"/>
              </w:trPr>
              <w:tc>
                <w:tcPr>
                  <w:tcW w:w="470" w:type="pct"/>
                  <w:vMerge w:val="continue"/>
                  <w:noWrap w:val="0"/>
                  <w:vAlign w:val="center"/>
                </w:tcPr>
                <w:p w14:paraId="0FF229E0">
                  <w:pPr>
                    <w:keepNext w:val="0"/>
                    <w:keepLines w:val="0"/>
                    <w:widowControl/>
                    <w:suppressLineNumbers w:val="0"/>
                    <w:spacing w:before="0" w:beforeAutospacing="0" w:after="0" w:afterAutospacing="0" w:line="280" w:lineRule="exact"/>
                    <w:ind w:left="0" w:right="0"/>
                    <w:jc w:val="center"/>
                    <w:textAlignment w:val="center"/>
                    <w:rPr>
                      <w:rFonts w:hint="eastAsia" w:ascii="Times New Roman" w:hAnsi="Times New Roman" w:eastAsia="宋体" w:cs="Times New Roman"/>
                      <w:b w:val="0"/>
                      <w:bCs w:val="0"/>
                      <w:sz w:val="21"/>
                      <w:szCs w:val="21"/>
                      <w:highlight w:val="none"/>
                      <w:lang w:val="en-US" w:eastAsia="zh-CN" w:bidi="ar"/>
                    </w:rPr>
                  </w:pPr>
                </w:p>
              </w:tc>
              <w:tc>
                <w:tcPr>
                  <w:tcW w:w="431" w:type="pct"/>
                  <w:vMerge w:val="continue"/>
                  <w:noWrap w:val="0"/>
                  <w:vAlign w:val="center"/>
                </w:tcPr>
                <w:p w14:paraId="0095B4DF">
                  <w:pPr>
                    <w:keepNext w:val="0"/>
                    <w:keepLines w:val="0"/>
                    <w:widowControl/>
                    <w:suppressLineNumbers w:val="0"/>
                    <w:spacing w:before="0" w:beforeAutospacing="0" w:after="0" w:afterAutospacing="0" w:line="280" w:lineRule="exact"/>
                    <w:ind w:left="0" w:right="0"/>
                    <w:jc w:val="center"/>
                    <w:textAlignment w:val="center"/>
                    <w:rPr>
                      <w:rFonts w:hint="eastAsia" w:ascii="Times New Roman" w:hAnsi="Times New Roman" w:eastAsia="宋体" w:cs="Times New Roman"/>
                      <w:b w:val="0"/>
                      <w:bCs w:val="0"/>
                      <w:sz w:val="21"/>
                      <w:szCs w:val="21"/>
                      <w:highlight w:val="none"/>
                      <w:lang w:val="en-US" w:eastAsia="zh-CN" w:bidi="ar"/>
                    </w:rPr>
                  </w:pPr>
                </w:p>
              </w:tc>
              <w:tc>
                <w:tcPr>
                  <w:tcW w:w="462" w:type="pct"/>
                  <w:vMerge w:val="continue"/>
                  <w:shd w:val="clear" w:color="auto" w:fill="auto"/>
                  <w:noWrap w:val="0"/>
                  <w:vAlign w:val="center"/>
                </w:tcPr>
                <w:p w14:paraId="25B439B6">
                  <w:pPr>
                    <w:keepNext w:val="0"/>
                    <w:keepLines w:val="0"/>
                    <w:widowControl/>
                    <w:suppressLineNumbers w:val="0"/>
                    <w:spacing w:before="0" w:beforeAutospacing="0" w:after="0" w:afterAutospacing="0" w:line="280" w:lineRule="exact"/>
                    <w:ind w:left="0" w:right="0"/>
                    <w:jc w:val="center"/>
                    <w:textAlignment w:val="center"/>
                    <w:rPr>
                      <w:rFonts w:hint="eastAsia" w:ascii="Times New Roman" w:hAnsi="Times New Roman" w:eastAsia="宋体" w:cs="Times New Roman"/>
                      <w:b w:val="0"/>
                      <w:bCs w:val="0"/>
                      <w:sz w:val="21"/>
                      <w:szCs w:val="21"/>
                      <w:highlight w:val="none"/>
                      <w:lang w:val="en-US" w:eastAsia="zh-CN" w:bidi="ar"/>
                    </w:rPr>
                  </w:pPr>
                </w:p>
              </w:tc>
              <w:tc>
                <w:tcPr>
                  <w:tcW w:w="834" w:type="pct"/>
                  <w:shd w:val="clear" w:color="auto" w:fill="auto"/>
                  <w:noWrap w:val="0"/>
                  <w:vAlign w:val="center"/>
                </w:tcPr>
                <w:p w14:paraId="27D06DEE">
                  <w:pPr>
                    <w:keepNext w:val="0"/>
                    <w:keepLines w:val="0"/>
                    <w:widowControl/>
                    <w:suppressLineNumbers w:val="0"/>
                    <w:spacing w:before="0" w:beforeAutospacing="0" w:after="0" w:afterAutospacing="0" w:line="280" w:lineRule="exact"/>
                    <w:ind w:left="0" w:right="0"/>
                    <w:jc w:val="center"/>
                    <w:textAlignment w:val="center"/>
                    <w:rPr>
                      <w:rFonts w:hint="eastAsia" w:ascii="Times New Roman" w:hAnsi="Times New Roman" w:eastAsia="宋体" w:cs="Times New Roman"/>
                      <w:b w:val="0"/>
                      <w:bCs w:val="0"/>
                      <w:sz w:val="21"/>
                      <w:szCs w:val="21"/>
                      <w:highlight w:val="none"/>
                      <w:lang w:val="en-US" w:eastAsia="zh-CN" w:bidi="ar"/>
                    </w:rPr>
                  </w:pPr>
                  <w:r>
                    <w:rPr>
                      <w:rFonts w:hint="eastAsia" w:ascii="Times New Roman" w:hAnsi="Times New Roman" w:eastAsia="宋体" w:cs="Times New Roman"/>
                      <w:b w:val="0"/>
                      <w:bCs w:val="0"/>
                      <w:sz w:val="21"/>
                      <w:szCs w:val="21"/>
                      <w:highlight w:val="none"/>
                      <w:lang w:val="en-US" w:eastAsia="zh-CN" w:bidi="ar"/>
                    </w:rPr>
                    <w:t>氯气</w:t>
                  </w:r>
                </w:p>
              </w:tc>
              <w:tc>
                <w:tcPr>
                  <w:tcW w:w="2802" w:type="pct"/>
                  <w:gridSpan w:val="4"/>
                  <w:noWrap w:val="0"/>
                  <w:vAlign w:val="center"/>
                </w:tcPr>
                <w:p w14:paraId="78A81B1C">
                  <w:pPr>
                    <w:keepNext w:val="0"/>
                    <w:keepLines w:val="0"/>
                    <w:widowControl/>
                    <w:suppressLineNumbers w:val="0"/>
                    <w:spacing w:before="0" w:beforeAutospacing="0" w:after="0" w:afterAutospacing="0"/>
                    <w:ind w:left="0" w:right="0"/>
                    <w:jc w:val="center"/>
                    <w:textAlignment w:val="center"/>
                    <w:rPr>
                      <w:rFonts w:hint="eastAsia" w:ascii="Times New Roman" w:hAnsi="Times New Roman" w:eastAsia="宋体" w:cs="Times New Roman"/>
                      <w:i w:val="0"/>
                      <w:iCs w:val="0"/>
                      <w:color w:val="000000"/>
                      <w:kern w:val="0"/>
                      <w:sz w:val="21"/>
                      <w:szCs w:val="21"/>
                      <w:highlight w:val="none"/>
                      <w:u w:val="none"/>
                      <w:lang w:val="en-US" w:eastAsia="zh-CN" w:bidi="ar"/>
                    </w:rPr>
                  </w:pPr>
                  <w:r>
                    <w:rPr>
                      <w:rFonts w:hint="eastAsia" w:cs="Times New Roman"/>
                      <w:i w:val="0"/>
                      <w:iCs w:val="0"/>
                      <w:color w:val="000000"/>
                      <w:kern w:val="0"/>
                      <w:sz w:val="21"/>
                      <w:szCs w:val="21"/>
                      <w:highlight w:val="none"/>
                      <w:u w:val="none"/>
                      <w:lang w:val="en-US" w:eastAsia="zh-CN" w:bidi="ar"/>
                    </w:rPr>
                    <w:t>少量</w:t>
                  </w:r>
                </w:p>
              </w:tc>
            </w:tr>
            <w:tr w14:paraId="5543438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90" w:hRule="atLeast"/>
              </w:trPr>
              <w:tc>
                <w:tcPr>
                  <w:tcW w:w="470" w:type="pct"/>
                  <w:vMerge w:val="continue"/>
                  <w:noWrap w:val="0"/>
                  <w:vAlign w:val="center"/>
                </w:tcPr>
                <w:p w14:paraId="44F653A5">
                  <w:pPr>
                    <w:keepNext w:val="0"/>
                    <w:keepLines w:val="0"/>
                    <w:widowControl/>
                    <w:suppressLineNumbers w:val="0"/>
                    <w:spacing w:before="0" w:beforeAutospacing="0" w:after="0" w:afterAutospacing="0" w:line="280" w:lineRule="exact"/>
                    <w:ind w:left="0" w:right="0"/>
                    <w:jc w:val="center"/>
                    <w:textAlignment w:val="center"/>
                    <w:rPr>
                      <w:rFonts w:hint="eastAsia" w:ascii="Times New Roman" w:hAnsi="Times New Roman" w:eastAsia="宋体" w:cs="Times New Roman"/>
                      <w:b w:val="0"/>
                      <w:bCs w:val="0"/>
                      <w:sz w:val="21"/>
                      <w:szCs w:val="21"/>
                      <w:highlight w:val="none"/>
                      <w:lang w:val="en-US" w:eastAsia="zh-CN" w:bidi="ar"/>
                    </w:rPr>
                  </w:pPr>
                </w:p>
              </w:tc>
              <w:tc>
                <w:tcPr>
                  <w:tcW w:w="893" w:type="pct"/>
                  <w:gridSpan w:val="2"/>
                  <w:vMerge w:val="restart"/>
                  <w:noWrap w:val="0"/>
                  <w:vAlign w:val="center"/>
                </w:tcPr>
                <w:p w14:paraId="225C5E24">
                  <w:pPr>
                    <w:keepNext w:val="0"/>
                    <w:keepLines w:val="0"/>
                    <w:widowControl/>
                    <w:suppressLineNumbers w:val="0"/>
                    <w:spacing w:before="0" w:beforeAutospacing="0" w:after="0" w:afterAutospacing="0" w:line="280" w:lineRule="exact"/>
                    <w:ind w:left="0" w:right="0"/>
                    <w:jc w:val="center"/>
                    <w:textAlignment w:val="center"/>
                    <w:rPr>
                      <w:rFonts w:hint="eastAsia" w:ascii="Times New Roman" w:hAnsi="Times New Roman" w:eastAsia="宋体" w:cs="Times New Roman"/>
                      <w:b w:val="0"/>
                      <w:bCs w:val="0"/>
                      <w:sz w:val="21"/>
                      <w:szCs w:val="21"/>
                      <w:highlight w:val="none"/>
                      <w:lang w:val="en-US" w:eastAsia="zh-CN" w:bidi="ar"/>
                    </w:rPr>
                  </w:pPr>
                  <w:r>
                    <w:rPr>
                      <w:rFonts w:hint="eastAsia" w:ascii="Times New Roman" w:hAnsi="Times New Roman" w:eastAsia="宋体" w:cs="Times New Roman"/>
                      <w:b w:val="0"/>
                      <w:bCs w:val="0"/>
                      <w:sz w:val="21"/>
                      <w:szCs w:val="21"/>
                      <w:highlight w:val="none"/>
                      <w:lang w:val="en-US" w:eastAsia="zh-CN" w:bidi="ar"/>
                    </w:rPr>
                    <w:t>无组织</w:t>
                  </w:r>
                </w:p>
              </w:tc>
              <w:tc>
                <w:tcPr>
                  <w:tcW w:w="834" w:type="pct"/>
                  <w:shd w:val="clear" w:color="auto" w:fill="auto"/>
                  <w:noWrap w:val="0"/>
                  <w:vAlign w:val="center"/>
                </w:tcPr>
                <w:p w14:paraId="5A0CF3F8">
                  <w:pPr>
                    <w:keepNext w:val="0"/>
                    <w:keepLines w:val="0"/>
                    <w:widowControl/>
                    <w:suppressLineNumbers w:val="0"/>
                    <w:spacing w:before="0" w:beforeAutospacing="0" w:after="0" w:afterAutospacing="0" w:line="280" w:lineRule="exact"/>
                    <w:ind w:left="0" w:right="0"/>
                    <w:jc w:val="center"/>
                    <w:textAlignment w:val="center"/>
                    <w:rPr>
                      <w:rFonts w:hint="eastAsia" w:ascii="Times New Roman" w:hAnsi="Times New Roman" w:eastAsia="宋体" w:cs="Times New Roman"/>
                      <w:b w:val="0"/>
                      <w:bCs w:val="0"/>
                      <w:kern w:val="2"/>
                      <w:sz w:val="21"/>
                      <w:szCs w:val="21"/>
                      <w:highlight w:val="none"/>
                      <w:lang w:val="en-US" w:eastAsia="zh-CN" w:bidi="ar"/>
                    </w:rPr>
                  </w:pPr>
                  <w:r>
                    <w:rPr>
                      <w:rFonts w:hint="eastAsia" w:ascii="Times New Roman" w:hAnsi="Times New Roman" w:eastAsia="宋体" w:cs="Times New Roman"/>
                      <w:b w:val="0"/>
                      <w:bCs w:val="0"/>
                      <w:sz w:val="21"/>
                      <w:szCs w:val="21"/>
                      <w:highlight w:val="none"/>
                      <w:lang w:val="en-US" w:eastAsia="zh-CN" w:bidi="ar"/>
                    </w:rPr>
                    <w:t>非甲烷总烃</w:t>
                  </w:r>
                </w:p>
              </w:tc>
              <w:tc>
                <w:tcPr>
                  <w:tcW w:w="651" w:type="pct"/>
                  <w:noWrap w:val="0"/>
                  <w:vAlign w:val="center"/>
                </w:tcPr>
                <w:p w14:paraId="271DAD79">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kern w:val="0"/>
                      <w:sz w:val="21"/>
                      <w:szCs w:val="21"/>
                      <w:highlight w:val="none"/>
                      <w:u w:val="none"/>
                      <w:lang w:val="en-US" w:eastAsia="zh-CN" w:bidi="ar"/>
                    </w:rPr>
                  </w:pPr>
                  <w:r>
                    <w:rPr>
                      <w:rFonts w:hint="eastAsia" w:ascii="Times New Roman" w:hAnsi="Times New Roman" w:eastAsia="宋体" w:cs="Times New Roman"/>
                      <w:i w:val="0"/>
                      <w:iCs w:val="0"/>
                      <w:color w:val="000000"/>
                      <w:kern w:val="0"/>
                      <w:sz w:val="21"/>
                      <w:szCs w:val="21"/>
                      <w:highlight w:val="none"/>
                      <w:u w:val="none"/>
                      <w:lang w:val="en-US" w:eastAsia="zh-CN" w:bidi="ar"/>
                    </w:rPr>
                    <w:t>0.003</w:t>
                  </w:r>
                </w:p>
              </w:tc>
              <w:tc>
                <w:tcPr>
                  <w:tcW w:w="717" w:type="pct"/>
                  <w:noWrap w:val="0"/>
                  <w:vAlign w:val="center"/>
                </w:tcPr>
                <w:p w14:paraId="71614BE8">
                  <w:pPr>
                    <w:keepNext w:val="0"/>
                    <w:keepLines w:val="0"/>
                    <w:widowControl/>
                    <w:suppressLineNumbers w:val="0"/>
                    <w:spacing w:before="0" w:beforeAutospacing="0" w:after="0" w:afterAutospacing="0"/>
                    <w:ind w:left="0" w:right="0"/>
                    <w:jc w:val="center"/>
                    <w:textAlignment w:val="center"/>
                    <w:rPr>
                      <w:rFonts w:hint="eastAsia" w:ascii="Times New Roman" w:hAnsi="Times New Roman" w:eastAsia="宋体" w:cs="Times New Roman"/>
                      <w:i w:val="0"/>
                      <w:iCs w:val="0"/>
                      <w:color w:val="000000"/>
                      <w:kern w:val="0"/>
                      <w:sz w:val="21"/>
                      <w:szCs w:val="21"/>
                      <w:highlight w:val="none"/>
                      <w:u w:val="none"/>
                      <w:lang w:val="en-US" w:eastAsia="zh-CN" w:bidi="ar"/>
                    </w:rPr>
                  </w:pPr>
                  <w:r>
                    <w:rPr>
                      <w:rFonts w:hint="eastAsia" w:ascii="Times New Roman" w:hAnsi="Times New Roman" w:eastAsia="宋体" w:cs="Times New Roman"/>
                      <w:i w:val="0"/>
                      <w:iCs w:val="0"/>
                      <w:color w:val="000000"/>
                      <w:kern w:val="0"/>
                      <w:sz w:val="21"/>
                      <w:szCs w:val="21"/>
                      <w:highlight w:val="none"/>
                      <w:u w:val="none"/>
                      <w:lang w:val="en-US" w:eastAsia="zh-CN" w:bidi="ar"/>
                    </w:rPr>
                    <w:t>0.003</w:t>
                  </w:r>
                </w:p>
              </w:tc>
              <w:tc>
                <w:tcPr>
                  <w:tcW w:w="714" w:type="pct"/>
                  <w:shd w:val="clear" w:color="auto" w:fill="auto"/>
                  <w:noWrap w:val="0"/>
                  <w:vAlign w:val="center"/>
                </w:tcPr>
                <w:p w14:paraId="3F9B56AE">
                  <w:pPr>
                    <w:keepNext w:val="0"/>
                    <w:keepLines w:val="0"/>
                    <w:widowControl/>
                    <w:suppressLineNumbers w:val="0"/>
                    <w:spacing w:before="0" w:beforeAutospacing="0" w:after="0" w:afterAutospacing="0"/>
                    <w:ind w:left="0" w:right="0"/>
                    <w:jc w:val="center"/>
                    <w:textAlignment w:val="center"/>
                    <w:rPr>
                      <w:rFonts w:hint="eastAsia" w:ascii="Times New Roman" w:hAnsi="Times New Roman" w:eastAsia="宋体" w:cs="Times New Roman"/>
                      <w:i w:val="0"/>
                      <w:iCs w:val="0"/>
                      <w:color w:val="000000"/>
                      <w:kern w:val="0"/>
                      <w:sz w:val="21"/>
                      <w:szCs w:val="21"/>
                      <w:highlight w:val="none"/>
                      <w:u w:val="none"/>
                      <w:lang w:val="en-US" w:eastAsia="zh-CN" w:bidi="ar"/>
                    </w:rPr>
                  </w:pPr>
                  <w:r>
                    <w:rPr>
                      <w:rFonts w:hint="eastAsia" w:ascii="Times New Roman" w:hAnsi="Times New Roman" w:eastAsia="宋体" w:cs="Times New Roman"/>
                      <w:i w:val="0"/>
                      <w:iCs w:val="0"/>
                      <w:color w:val="000000"/>
                      <w:kern w:val="0"/>
                      <w:sz w:val="21"/>
                      <w:szCs w:val="21"/>
                      <w:highlight w:val="none"/>
                      <w:u w:val="none"/>
                      <w:lang w:val="en-US" w:eastAsia="zh-CN" w:bidi="ar"/>
                    </w:rPr>
                    <w:t>0.003</w:t>
                  </w:r>
                </w:p>
              </w:tc>
              <w:tc>
                <w:tcPr>
                  <w:tcW w:w="719" w:type="pct"/>
                  <w:shd w:val="clear" w:color="auto" w:fill="auto"/>
                  <w:noWrap w:val="0"/>
                  <w:vAlign w:val="center"/>
                </w:tcPr>
                <w:p w14:paraId="5CA10F0B">
                  <w:pPr>
                    <w:keepNext w:val="0"/>
                    <w:keepLines w:val="0"/>
                    <w:widowControl/>
                    <w:suppressLineNumbers w:val="0"/>
                    <w:spacing w:before="0" w:beforeAutospacing="0" w:after="0" w:afterAutospacing="0"/>
                    <w:ind w:left="0" w:right="0"/>
                    <w:jc w:val="center"/>
                    <w:textAlignment w:val="center"/>
                    <w:rPr>
                      <w:rFonts w:hint="eastAsia" w:ascii="Times New Roman" w:hAnsi="Times New Roman" w:eastAsia="宋体" w:cs="Times New Roman"/>
                      <w:i w:val="0"/>
                      <w:iCs w:val="0"/>
                      <w:color w:val="000000"/>
                      <w:kern w:val="0"/>
                      <w:sz w:val="21"/>
                      <w:szCs w:val="21"/>
                      <w:highlight w:val="none"/>
                      <w:u w:val="none"/>
                      <w:lang w:val="en-US" w:eastAsia="zh-CN" w:bidi="ar"/>
                    </w:rPr>
                  </w:pPr>
                  <w:r>
                    <w:rPr>
                      <w:rFonts w:hint="eastAsia" w:ascii="Times New Roman" w:hAnsi="Times New Roman" w:eastAsia="宋体" w:cs="Times New Roman"/>
                      <w:i w:val="0"/>
                      <w:iCs w:val="0"/>
                      <w:color w:val="000000"/>
                      <w:kern w:val="0"/>
                      <w:sz w:val="21"/>
                      <w:szCs w:val="21"/>
                      <w:highlight w:val="none"/>
                      <w:u w:val="none"/>
                      <w:lang w:val="en-US" w:eastAsia="zh-CN" w:bidi="ar"/>
                    </w:rPr>
                    <w:t>0.003</w:t>
                  </w:r>
                </w:p>
              </w:tc>
            </w:tr>
            <w:tr w14:paraId="0CAEC09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90" w:hRule="atLeast"/>
              </w:trPr>
              <w:tc>
                <w:tcPr>
                  <w:tcW w:w="470" w:type="pct"/>
                  <w:vMerge w:val="continue"/>
                  <w:noWrap w:val="0"/>
                  <w:vAlign w:val="center"/>
                </w:tcPr>
                <w:p w14:paraId="7695675E">
                  <w:pPr>
                    <w:keepNext w:val="0"/>
                    <w:keepLines w:val="0"/>
                    <w:widowControl/>
                    <w:suppressLineNumbers w:val="0"/>
                    <w:spacing w:before="0" w:beforeAutospacing="0" w:after="0" w:afterAutospacing="0" w:line="280" w:lineRule="exact"/>
                    <w:ind w:left="0" w:right="0"/>
                    <w:jc w:val="center"/>
                    <w:textAlignment w:val="center"/>
                    <w:rPr>
                      <w:rFonts w:hint="eastAsia" w:ascii="Times New Roman" w:hAnsi="Times New Roman" w:eastAsia="宋体" w:cs="Times New Roman"/>
                      <w:b w:val="0"/>
                      <w:bCs w:val="0"/>
                      <w:sz w:val="21"/>
                      <w:szCs w:val="21"/>
                      <w:highlight w:val="none"/>
                      <w:lang w:val="en-US" w:eastAsia="zh-CN" w:bidi="ar"/>
                    </w:rPr>
                  </w:pPr>
                </w:p>
              </w:tc>
              <w:tc>
                <w:tcPr>
                  <w:tcW w:w="893" w:type="pct"/>
                  <w:gridSpan w:val="2"/>
                  <w:vMerge w:val="continue"/>
                  <w:noWrap w:val="0"/>
                  <w:vAlign w:val="center"/>
                </w:tcPr>
                <w:p w14:paraId="191EA781">
                  <w:pPr>
                    <w:keepNext w:val="0"/>
                    <w:keepLines w:val="0"/>
                    <w:widowControl/>
                    <w:suppressLineNumbers w:val="0"/>
                    <w:spacing w:before="0" w:beforeAutospacing="0" w:after="0" w:afterAutospacing="0" w:line="280" w:lineRule="exact"/>
                    <w:ind w:left="0" w:right="0"/>
                    <w:jc w:val="center"/>
                    <w:textAlignment w:val="center"/>
                    <w:rPr>
                      <w:rFonts w:hint="eastAsia" w:ascii="Times New Roman" w:hAnsi="Times New Roman" w:eastAsia="宋体" w:cs="Times New Roman"/>
                      <w:b w:val="0"/>
                      <w:bCs w:val="0"/>
                      <w:sz w:val="21"/>
                      <w:szCs w:val="21"/>
                      <w:highlight w:val="none"/>
                      <w:lang w:val="en-US" w:eastAsia="zh-CN" w:bidi="ar"/>
                    </w:rPr>
                  </w:pPr>
                </w:p>
              </w:tc>
              <w:tc>
                <w:tcPr>
                  <w:tcW w:w="834" w:type="pct"/>
                  <w:shd w:val="clear" w:color="auto" w:fill="auto"/>
                  <w:noWrap w:val="0"/>
                  <w:vAlign w:val="center"/>
                </w:tcPr>
                <w:p w14:paraId="722FAFD1">
                  <w:pPr>
                    <w:keepNext w:val="0"/>
                    <w:keepLines w:val="0"/>
                    <w:widowControl/>
                    <w:suppressLineNumbers w:val="0"/>
                    <w:spacing w:before="0" w:beforeAutospacing="0" w:after="0" w:afterAutospacing="0" w:line="280" w:lineRule="exact"/>
                    <w:ind w:left="0" w:right="0"/>
                    <w:jc w:val="center"/>
                    <w:textAlignment w:val="center"/>
                    <w:rPr>
                      <w:rFonts w:hint="eastAsia" w:ascii="Times New Roman" w:hAnsi="Times New Roman" w:eastAsia="宋体" w:cs="Times New Roman"/>
                      <w:b w:val="0"/>
                      <w:bCs w:val="0"/>
                      <w:kern w:val="2"/>
                      <w:sz w:val="21"/>
                      <w:szCs w:val="21"/>
                      <w:highlight w:val="none"/>
                      <w:lang w:val="en-US" w:eastAsia="zh-CN" w:bidi="ar"/>
                    </w:rPr>
                  </w:pPr>
                  <w:r>
                    <w:rPr>
                      <w:rFonts w:hint="eastAsia" w:ascii="Times New Roman" w:hAnsi="Times New Roman" w:eastAsia="宋体" w:cs="Times New Roman"/>
                      <w:b w:val="0"/>
                      <w:bCs w:val="0"/>
                      <w:sz w:val="21"/>
                      <w:szCs w:val="21"/>
                      <w:highlight w:val="none"/>
                      <w:lang w:val="en-US" w:eastAsia="zh-CN" w:bidi="ar"/>
                    </w:rPr>
                    <w:t>氯气</w:t>
                  </w:r>
                </w:p>
              </w:tc>
              <w:tc>
                <w:tcPr>
                  <w:tcW w:w="2802" w:type="pct"/>
                  <w:gridSpan w:val="4"/>
                  <w:noWrap w:val="0"/>
                  <w:vAlign w:val="center"/>
                </w:tcPr>
                <w:p w14:paraId="41B4C273">
                  <w:pPr>
                    <w:keepNext w:val="0"/>
                    <w:keepLines w:val="0"/>
                    <w:widowControl/>
                    <w:suppressLineNumbers w:val="0"/>
                    <w:spacing w:before="0" w:beforeAutospacing="0" w:after="0" w:afterAutospacing="0"/>
                    <w:ind w:left="0" w:right="0"/>
                    <w:jc w:val="center"/>
                    <w:textAlignment w:val="center"/>
                    <w:rPr>
                      <w:rFonts w:hint="eastAsia" w:ascii="Times New Roman" w:hAnsi="Times New Roman" w:eastAsia="宋体" w:cs="Times New Roman"/>
                      <w:i w:val="0"/>
                      <w:iCs w:val="0"/>
                      <w:color w:val="000000"/>
                      <w:kern w:val="0"/>
                      <w:sz w:val="21"/>
                      <w:szCs w:val="21"/>
                      <w:highlight w:val="none"/>
                      <w:u w:val="none"/>
                      <w:lang w:val="en-US" w:eastAsia="zh-CN" w:bidi="ar"/>
                    </w:rPr>
                  </w:pPr>
                  <w:r>
                    <w:rPr>
                      <w:rFonts w:hint="eastAsia" w:cs="Times New Roman"/>
                      <w:i w:val="0"/>
                      <w:iCs w:val="0"/>
                      <w:color w:val="000000"/>
                      <w:kern w:val="0"/>
                      <w:sz w:val="21"/>
                      <w:szCs w:val="21"/>
                      <w:highlight w:val="none"/>
                      <w:u w:val="none"/>
                      <w:lang w:val="en-US" w:eastAsia="zh-CN" w:bidi="ar"/>
                    </w:rPr>
                    <w:t>少量</w:t>
                  </w:r>
                </w:p>
              </w:tc>
            </w:tr>
            <w:tr w14:paraId="0AF0871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140" w:hRule="atLeast"/>
              </w:trPr>
              <w:tc>
                <w:tcPr>
                  <w:tcW w:w="470" w:type="pct"/>
                  <w:vMerge w:val="continue"/>
                  <w:noWrap w:val="0"/>
                  <w:vAlign w:val="center"/>
                </w:tcPr>
                <w:p w14:paraId="08C5D183">
                  <w:pPr>
                    <w:keepNext w:val="0"/>
                    <w:keepLines w:val="0"/>
                    <w:widowControl/>
                    <w:suppressLineNumbers w:val="0"/>
                    <w:spacing w:before="0" w:beforeAutospacing="0" w:after="0" w:afterAutospacing="0" w:line="280" w:lineRule="exact"/>
                    <w:ind w:left="0" w:right="0"/>
                    <w:jc w:val="center"/>
                    <w:textAlignment w:val="center"/>
                    <w:rPr>
                      <w:rFonts w:hint="eastAsia" w:ascii="Times New Roman" w:hAnsi="Times New Roman" w:eastAsia="宋体" w:cs="Times New Roman"/>
                      <w:b w:val="0"/>
                      <w:bCs w:val="0"/>
                      <w:sz w:val="21"/>
                      <w:szCs w:val="21"/>
                      <w:highlight w:val="none"/>
                      <w:lang w:val="en-US" w:eastAsia="zh-CN" w:bidi="ar"/>
                    </w:rPr>
                  </w:pPr>
                </w:p>
              </w:tc>
              <w:tc>
                <w:tcPr>
                  <w:tcW w:w="893" w:type="pct"/>
                  <w:gridSpan w:val="2"/>
                  <w:vMerge w:val="restart"/>
                  <w:noWrap w:val="0"/>
                  <w:vAlign w:val="center"/>
                </w:tcPr>
                <w:p w14:paraId="7AFE6A28">
                  <w:pPr>
                    <w:keepNext w:val="0"/>
                    <w:keepLines w:val="0"/>
                    <w:widowControl/>
                    <w:suppressLineNumbers w:val="0"/>
                    <w:spacing w:before="0" w:beforeAutospacing="0" w:after="0" w:afterAutospacing="0" w:line="280" w:lineRule="exact"/>
                    <w:ind w:left="0" w:right="0"/>
                    <w:jc w:val="center"/>
                    <w:textAlignment w:val="center"/>
                    <w:rPr>
                      <w:rFonts w:hint="default" w:ascii="Times New Roman" w:hAnsi="Times New Roman" w:eastAsia="宋体" w:cs="Times New Roman"/>
                      <w:b w:val="0"/>
                      <w:bCs w:val="0"/>
                      <w:sz w:val="21"/>
                      <w:szCs w:val="21"/>
                      <w:highlight w:val="none"/>
                      <w:lang w:val="en-US" w:eastAsia="zh-CN" w:bidi="ar"/>
                    </w:rPr>
                  </w:pPr>
                  <w:r>
                    <w:rPr>
                      <w:rFonts w:hint="eastAsia" w:ascii="Times New Roman" w:hAnsi="Times New Roman" w:eastAsia="宋体" w:cs="Times New Roman"/>
                      <w:b w:val="0"/>
                      <w:bCs w:val="0"/>
                      <w:sz w:val="21"/>
                      <w:szCs w:val="21"/>
                      <w:highlight w:val="none"/>
                      <w:lang w:val="en-US" w:eastAsia="zh-CN" w:bidi="ar"/>
                    </w:rPr>
                    <w:t>合计</w:t>
                  </w:r>
                </w:p>
              </w:tc>
              <w:tc>
                <w:tcPr>
                  <w:tcW w:w="834" w:type="pct"/>
                  <w:shd w:val="clear" w:color="auto" w:fill="auto"/>
                  <w:noWrap w:val="0"/>
                  <w:vAlign w:val="center"/>
                </w:tcPr>
                <w:p w14:paraId="4D71A10F">
                  <w:pPr>
                    <w:keepNext w:val="0"/>
                    <w:keepLines w:val="0"/>
                    <w:widowControl/>
                    <w:suppressLineNumbers w:val="0"/>
                    <w:spacing w:before="0" w:beforeAutospacing="0" w:after="0" w:afterAutospacing="0" w:line="280" w:lineRule="exact"/>
                    <w:ind w:left="0" w:right="0"/>
                    <w:jc w:val="center"/>
                    <w:textAlignment w:val="center"/>
                    <w:rPr>
                      <w:rFonts w:hint="eastAsia" w:ascii="Times New Roman" w:hAnsi="Times New Roman" w:eastAsia="宋体" w:cs="Times New Roman"/>
                      <w:b w:val="0"/>
                      <w:bCs w:val="0"/>
                      <w:kern w:val="2"/>
                      <w:sz w:val="21"/>
                      <w:szCs w:val="21"/>
                      <w:highlight w:val="none"/>
                      <w:lang w:val="en-US" w:eastAsia="zh-CN" w:bidi="ar"/>
                    </w:rPr>
                  </w:pPr>
                  <w:r>
                    <w:rPr>
                      <w:rFonts w:hint="eastAsia" w:ascii="Times New Roman" w:hAnsi="Times New Roman" w:eastAsia="宋体" w:cs="Times New Roman"/>
                      <w:b w:val="0"/>
                      <w:bCs w:val="0"/>
                      <w:sz w:val="21"/>
                      <w:szCs w:val="21"/>
                      <w:highlight w:val="none"/>
                      <w:lang w:val="en-US" w:eastAsia="zh-CN" w:bidi="ar"/>
                    </w:rPr>
                    <w:t>非甲烷总烃</w:t>
                  </w:r>
                </w:p>
              </w:tc>
              <w:tc>
                <w:tcPr>
                  <w:tcW w:w="651" w:type="pct"/>
                  <w:noWrap w:val="0"/>
                  <w:vAlign w:val="center"/>
                </w:tcPr>
                <w:p w14:paraId="59C619C3">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kern w:val="0"/>
                      <w:sz w:val="21"/>
                      <w:szCs w:val="21"/>
                      <w:highlight w:val="none"/>
                      <w:u w:val="none"/>
                      <w:lang w:val="en-US" w:eastAsia="zh-CN" w:bidi="ar"/>
                    </w:rPr>
                  </w:pPr>
                  <w:r>
                    <w:rPr>
                      <w:rFonts w:hint="eastAsia" w:ascii="Times New Roman" w:hAnsi="Times New Roman" w:eastAsia="宋体" w:cs="Times New Roman"/>
                      <w:i w:val="0"/>
                      <w:iCs w:val="0"/>
                      <w:color w:val="000000"/>
                      <w:kern w:val="0"/>
                      <w:sz w:val="21"/>
                      <w:szCs w:val="21"/>
                      <w:highlight w:val="none"/>
                      <w:u w:val="none"/>
                      <w:lang w:val="en-US" w:eastAsia="zh-CN" w:bidi="ar"/>
                    </w:rPr>
                    <w:t>0.128</w:t>
                  </w:r>
                </w:p>
              </w:tc>
              <w:tc>
                <w:tcPr>
                  <w:tcW w:w="717" w:type="pct"/>
                  <w:noWrap w:val="0"/>
                  <w:vAlign w:val="center"/>
                </w:tcPr>
                <w:p w14:paraId="74B0E05B">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kern w:val="0"/>
                      <w:sz w:val="21"/>
                      <w:szCs w:val="21"/>
                      <w:highlight w:val="none"/>
                      <w:u w:val="none"/>
                      <w:lang w:val="en-US" w:eastAsia="zh-CN" w:bidi="ar"/>
                    </w:rPr>
                  </w:pPr>
                  <w:r>
                    <w:rPr>
                      <w:rFonts w:hint="eastAsia" w:ascii="Times New Roman" w:hAnsi="Times New Roman" w:eastAsia="宋体" w:cs="Times New Roman"/>
                      <w:i w:val="0"/>
                      <w:iCs w:val="0"/>
                      <w:color w:val="000000"/>
                      <w:kern w:val="0"/>
                      <w:sz w:val="21"/>
                      <w:szCs w:val="21"/>
                      <w:highlight w:val="none"/>
                      <w:u w:val="none"/>
                      <w:lang w:val="en-US" w:eastAsia="zh-CN" w:bidi="ar"/>
                    </w:rPr>
                    <w:t>0.124</w:t>
                  </w:r>
                </w:p>
              </w:tc>
              <w:tc>
                <w:tcPr>
                  <w:tcW w:w="714" w:type="pct"/>
                  <w:noWrap w:val="0"/>
                  <w:vAlign w:val="center"/>
                </w:tcPr>
                <w:p w14:paraId="41850EE5">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kern w:val="0"/>
                      <w:sz w:val="21"/>
                      <w:szCs w:val="21"/>
                      <w:highlight w:val="none"/>
                      <w:u w:val="none"/>
                      <w:lang w:val="en-US" w:eastAsia="zh-CN" w:bidi="ar"/>
                    </w:rPr>
                  </w:pPr>
                  <w:r>
                    <w:rPr>
                      <w:rFonts w:hint="eastAsia" w:ascii="Times New Roman" w:hAnsi="Times New Roman" w:eastAsia="宋体" w:cs="Times New Roman"/>
                      <w:i w:val="0"/>
                      <w:iCs w:val="0"/>
                      <w:color w:val="000000"/>
                      <w:kern w:val="0"/>
                      <w:sz w:val="21"/>
                      <w:szCs w:val="21"/>
                      <w:highlight w:val="none"/>
                      <w:u w:val="none"/>
                      <w:lang w:val="en-US" w:eastAsia="zh-CN" w:bidi="ar"/>
                    </w:rPr>
                    <w:t>0.128</w:t>
                  </w:r>
                </w:p>
              </w:tc>
              <w:tc>
                <w:tcPr>
                  <w:tcW w:w="719" w:type="pct"/>
                  <w:noWrap w:val="0"/>
                  <w:vAlign w:val="center"/>
                </w:tcPr>
                <w:p w14:paraId="3D894CD2">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kern w:val="0"/>
                      <w:sz w:val="21"/>
                      <w:szCs w:val="21"/>
                      <w:highlight w:val="none"/>
                      <w:u w:val="none"/>
                      <w:lang w:val="en-US" w:eastAsia="zh-CN" w:bidi="ar"/>
                    </w:rPr>
                  </w:pPr>
                  <w:r>
                    <w:rPr>
                      <w:rFonts w:hint="eastAsia" w:ascii="Times New Roman" w:hAnsi="Times New Roman" w:eastAsia="宋体" w:cs="Times New Roman"/>
                      <w:i w:val="0"/>
                      <w:iCs w:val="0"/>
                      <w:color w:val="000000"/>
                      <w:kern w:val="0"/>
                      <w:sz w:val="21"/>
                      <w:szCs w:val="21"/>
                      <w:highlight w:val="none"/>
                      <w:u w:val="none"/>
                      <w:lang w:val="en-US" w:eastAsia="zh-CN" w:bidi="ar"/>
                    </w:rPr>
                    <w:t>0.124</w:t>
                  </w:r>
                </w:p>
              </w:tc>
            </w:tr>
            <w:tr w14:paraId="3D905CA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140" w:hRule="atLeast"/>
              </w:trPr>
              <w:tc>
                <w:tcPr>
                  <w:tcW w:w="470" w:type="pct"/>
                  <w:vMerge w:val="continue"/>
                  <w:noWrap w:val="0"/>
                  <w:vAlign w:val="center"/>
                </w:tcPr>
                <w:p w14:paraId="083EBF3E">
                  <w:pPr>
                    <w:keepNext w:val="0"/>
                    <w:keepLines w:val="0"/>
                    <w:widowControl/>
                    <w:suppressLineNumbers w:val="0"/>
                    <w:spacing w:before="0" w:beforeAutospacing="0" w:after="0" w:afterAutospacing="0" w:line="280" w:lineRule="exact"/>
                    <w:ind w:left="0" w:right="0"/>
                    <w:jc w:val="center"/>
                    <w:textAlignment w:val="center"/>
                    <w:rPr>
                      <w:rFonts w:hint="default" w:ascii="Times New Roman" w:hAnsi="Times New Roman" w:eastAsia="宋体" w:cs="Times New Roman"/>
                      <w:sz w:val="21"/>
                      <w:szCs w:val="21"/>
                      <w:highlight w:val="none"/>
                    </w:rPr>
                  </w:pPr>
                </w:p>
              </w:tc>
              <w:tc>
                <w:tcPr>
                  <w:tcW w:w="893" w:type="pct"/>
                  <w:gridSpan w:val="2"/>
                  <w:vMerge w:val="continue"/>
                  <w:noWrap w:val="0"/>
                  <w:vAlign w:val="center"/>
                </w:tcPr>
                <w:p w14:paraId="4E4727FB">
                  <w:pPr>
                    <w:keepNext w:val="0"/>
                    <w:keepLines w:val="0"/>
                    <w:widowControl/>
                    <w:suppressLineNumbers w:val="0"/>
                    <w:spacing w:before="0" w:beforeAutospacing="0" w:after="0" w:afterAutospacing="0" w:line="280" w:lineRule="exact"/>
                    <w:ind w:left="0" w:right="0"/>
                    <w:jc w:val="center"/>
                    <w:textAlignment w:val="center"/>
                    <w:rPr>
                      <w:rFonts w:hint="default" w:ascii="Times New Roman" w:hAnsi="Times New Roman" w:eastAsia="宋体" w:cs="Times New Roman"/>
                      <w:sz w:val="21"/>
                      <w:szCs w:val="21"/>
                      <w:highlight w:val="none"/>
                    </w:rPr>
                  </w:pPr>
                </w:p>
              </w:tc>
              <w:tc>
                <w:tcPr>
                  <w:tcW w:w="834" w:type="pct"/>
                  <w:shd w:val="clear" w:color="auto" w:fill="auto"/>
                  <w:noWrap w:val="0"/>
                  <w:vAlign w:val="center"/>
                </w:tcPr>
                <w:p w14:paraId="67F1E2BE">
                  <w:pPr>
                    <w:keepNext w:val="0"/>
                    <w:keepLines w:val="0"/>
                    <w:widowControl/>
                    <w:suppressLineNumbers w:val="0"/>
                    <w:spacing w:before="0" w:beforeAutospacing="0" w:after="0" w:afterAutospacing="0" w:line="280" w:lineRule="exact"/>
                    <w:ind w:left="0" w:right="0"/>
                    <w:jc w:val="center"/>
                    <w:textAlignment w:val="center"/>
                    <w:rPr>
                      <w:rFonts w:hint="eastAsia" w:ascii="Times New Roman" w:hAnsi="Times New Roman" w:eastAsia="宋体" w:cs="Times New Roman"/>
                      <w:b w:val="0"/>
                      <w:bCs w:val="0"/>
                      <w:kern w:val="2"/>
                      <w:sz w:val="21"/>
                      <w:szCs w:val="21"/>
                      <w:highlight w:val="none"/>
                      <w:lang w:val="en-US" w:eastAsia="zh-CN" w:bidi="ar"/>
                    </w:rPr>
                  </w:pPr>
                  <w:r>
                    <w:rPr>
                      <w:rFonts w:hint="eastAsia" w:ascii="Times New Roman" w:hAnsi="Times New Roman" w:eastAsia="宋体" w:cs="Times New Roman"/>
                      <w:b w:val="0"/>
                      <w:bCs w:val="0"/>
                      <w:sz w:val="21"/>
                      <w:szCs w:val="21"/>
                      <w:highlight w:val="none"/>
                      <w:lang w:val="en-US" w:eastAsia="zh-CN" w:bidi="ar"/>
                    </w:rPr>
                    <w:t>氯气</w:t>
                  </w:r>
                </w:p>
              </w:tc>
              <w:tc>
                <w:tcPr>
                  <w:tcW w:w="2802" w:type="pct"/>
                  <w:gridSpan w:val="4"/>
                  <w:noWrap w:val="0"/>
                  <w:vAlign w:val="center"/>
                </w:tcPr>
                <w:p w14:paraId="3829C70F">
                  <w:pPr>
                    <w:keepNext w:val="0"/>
                    <w:keepLines w:val="0"/>
                    <w:widowControl/>
                    <w:suppressLineNumbers w:val="0"/>
                    <w:spacing w:before="0" w:beforeAutospacing="0" w:after="0" w:afterAutospacing="0"/>
                    <w:ind w:left="0" w:right="0"/>
                    <w:jc w:val="center"/>
                    <w:textAlignment w:val="center"/>
                    <w:rPr>
                      <w:rFonts w:hint="eastAsia" w:ascii="Times New Roman" w:hAnsi="Times New Roman" w:eastAsia="宋体" w:cs="Times New Roman"/>
                      <w:i w:val="0"/>
                      <w:iCs w:val="0"/>
                      <w:color w:val="000000"/>
                      <w:kern w:val="0"/>
                      <w:sz w:val="21"/>
                      <w:szCs w:val="21"/>
                      <w:highlight w:val="none"/>
                      <w:u w:val="none"/>
                      <w:lang w:val="en-US" w:eastAsia="zh-CN" w:bidi="ar"/>
                    </w:rPr>
                  </w:pPr>
                  <w:r>
                    <w:rPr>
                      <w:rFonts w:hint="eastAsia" w:cs="Times New Roman"/>
                      <w:i w:val="0"/>
                      <w:iCs w:val="0"/>
                      <w:color w:val="000000"/>
                      <w:kern w:val="0"/>
                      <w:sz w:val="21"/>
                      <w:szCs w:val="21"/>
                      <w:highlight w:val="none"/>
                      <w:u w:val="none"/>
                      <w:lang w:val="en-US" w:eastAsia="zh-CN" w:bidi="ar"/>
                    </w:rPr>
                    <w:t>少量</w:t>
                  </w:r>
                </w:p>
              </w:tc>
            </w:tr>
          </w:tbl>
          <w:p w14:paraId="0DADF224">
            <w:pPr>
              <w:pStyle w:val="122"/>
              <w:keepNext w:val="0"/>
              <w:keepLines w:val="0"/>
              <w:suppressLineNumbers w:val="0"/>
              <w:spacing w:before="0" w:beforeAutospacing="0" w:after="0" w:afterAutospacing="0"/>
              <w:ind w:left="0" w:right="0"/>
              <w:rPr>
                <w:rFonts w:hint="default"/>
                <w:highlight w:val="none"/>
              </w:rPr>
            </w:pPr>
            <w:r>
              <w:rPr>
                <w:rFonts w:hint="eastAsia"/>
                <w:highlight w:val="none"/>
              </w:rPr>
              <w:t>③</w:t>
            </w:r>
            <w:r>
              <w:rPr>
                <w:rFonts w:hint="eastAsia"/>
                <w:highlight w:val="none"/>
                <w:lang w:val="en-US" w:eastAsia="zh-CN"/>
              </w:rPr>
              <w:t>解剖</w:t>
            </w:r>
            <w:r>
              <w:rPr>
                <w:rFonts w:hint="default"/>
                <w:highlight w:val="none"/>
              </w:rPr>
              <w:t>废气</w:t>
            </w:r>
          </w:p>
          <w:p w14:paraId="35EB3043">
            <w:pPr>
              <w:pStyle w:val="122"/>
              <w:keepNext w:val="0"/>
              <w:keepLines w:val="0"/>
              <w:suppressLineNumbers w:val="0"/>
              <w:spacing w:before="0" w:beforeAutospacing="0" w:after="0" w:afterAutospacing="0"/>
              <w:ind w:left="0" w:right="0"/>
              <w:rPr>
                <w:rFonts w:hint="default"/>
                <w:highlight w:val="none"/>
              </w:rPr>
            </w:pPr>
            <w:r>
              <w:rPr>
                <w:rFonts w:hint="eastAsia"/>
                <w:highlight w:val="none"/>
              </w:rPr>
              <w:t>动物标本制作过程中会产生</w:t>
            </w:r>
            <w:r>
              <w:rPr>
                <w:rFonts w:hint="eastAsia"/>
                <w:highlight w:val="none"/>
                <w:lang w:val="en-US" w:eastAsia="zh-CN"/>
              </w:rPr>
              <w:t>解剖</w:t>
            </w:r>
            <w:r>
              <w:rPr>
                <w:rFonts w:hint="eastAsia"/>
                <w:highlight w:val="none"/>
              </w:rPr>
              <w:t>废气，主要污染物为甲醛。根据建设单位提供资料，标本</w:t>
            </w:r>
            <w:r>
              <w:rPr>
                <w:rFonts w:hint="default"/>
                <w:highlight w:val="none"/>
              </w:rPr>
              <w:t>制作使用</w:t>
            </w:r>
            <w:r>
              <w:rPr>
                <w:rFonts w:hint="eastAsia"/>
                <w:highlight w:val="none"/>
              </w:rPr>
              <w:t>10</w:t>
            </w:r>
            <w:r>
              <w:rPr>
                <w:rFonts w:hint="default"/>
                <w:highlight w:val="none"/>
              </w:rPr>
              <w:t>%福尔马林溶液约</w:t>
            </w:r>
            <w:r>
              <w:rPr>
                <w:rFonts w:hint="eastAsia"/>
                <w:highlight w:val="none"/>
                <w:lang w:val="en-US" w:eastAsia="zh-CN"/>
              </w:rPr>
              <w:t>0.3125</w:t>
            </w:r>
            <w:r>
              <w:rPr>
                <w:rFonts w:hint="default"/>
                <w:highlight w:val="none"/>
              </w:rPr>
              <w:t>t/a</w:t>
            </w:r>
            <w:r>
              <w:rPr>
                <w:rFonts w:hint="eastAsia"/>
                <w:highlight w:val="none"/>
              </w:rPr>
              <w:t>。浸制标本制作需将动物组织或器官使用</w:t>
            </w:r>
            <w:r>
              <w:rPr>
                <w:rFonts w:hint="default"/>
                <w:highlight w:val="none"/>
              </w:rPr>
              <w:t>10%</w:t>
            </w:r>
            <w:r>
              <w:rPr>
                <w:rFonts w:hint="eastAsia"/>
                <w:highlight w:val="none"/>
              </w:rPr>
              <w:t>福尔马林溶液进行固定，固定结束后的标本容器使用石蜡封口暂存于标本库，标本最多暂存</w:t>
            </w:r>
            <w:r>
              <w:rPr>
                <w:rFonts w:hint="default"/>
                <w:highlight w:val="none"/>
              </w:rPr>
              <w:t>6</w:t>
            </w:r>
            <w:r>
              <w:rPr>
                <w:rFonts w:hint="eastAsia"/>
                <w:highlight w:val="none"/>
              </w:rPr>
              <w:t>个月。</w:t>
            </w:r>
          </w:p>
          <w:p w14:paraId="10DA83C7">
            <w:pPr>
              <w:pStyle w:val="122"/>
              <w:keepNext w:val="0"/>
              <w:keepLines w:val="0"/>
              <w:suppressLineNumbers w:val="0"/>
              <w:spacing w:before="0" w:beforeAutospacing="0" w:after="0" w:afterAutospacing="0"/>
              <w:ind w:left="0" w:right="0"/>
              <w:rPr>
                <w:rFonts w:hint="eastAsia" w:ascii="Times New Roman" w:hAnsi="Times New Roman" w:eastAsia="宋体" w:cs="Times New Roman"/>
                <w:highlight w:val="none"/>
              </w:rPr>
            </w:pPr>
            <w:r>
              <w:rPr>
                <w:rFonts w:hint="eastAsia" w:ascii="Times New Roman" w:hAnsi="Times New Roman" w:eastAsia="宋体" w:cs="Times New Roman"/>
                <w:highlight w:val="none"/>
              </w:rPr>
              <w:t>类比《南京中医药大学编实验动物中心及配套动力中心项目环境影响报告表》，制作过程中甲醛挥发量约10%，则本项目标本制作产生甲醛约0.0</w:t>
            </w:r>
            <w:r>
              <w:rPr>
                <w:rFonts w:hint="eastAsia" w:ascii="Times New Roman" w:hAnsi="Times New Roman" w:eastAsia="宋体" w:cs="Times New Roman"/>
                <w:highlight w:val="none"/>
                <w:lang w:val="en-US" w:eastAsia="zh-CN"/>
              </w:rPr>
              <w:t>30</w:t>
            </w:r>
            <w:r>
              <w:rPr>
                <w:rFonts w:hint="eastAsia" w:ascii="Times New Roman" w:hAnsi="Times New Roman" w:eastAsia="宋体" w:cs="Times New Roman"/>
                <w:highlight w:val="none"/>
              </w:rPr>
              <w:t>t/a。</w:t>
            </w:r>
          </w:p>
          <w:p w14:paraId="5FCC1FBD">
            <w:pPr>
              <w:pStyle w:val="122"/>
              <w:keepNext w:val="0"/>
              <w:keepLines w:val="0"/>
              <w:suppressLineNumbers w:val="0"/>
              <w:spacing w:before="0" w:beforeAutospacing="0" w:after="0" w:afterAutospacing="0"/>
              <w:ind w:left="0" w:right="0"/>
              <w:rPr>
                <w:rFonts w:hint="eastAsia" w:ascii="Times New Roman" w:hAnsi="Times New Roman" w:eastAsia="宋体" w:cs="Times New Roman"/>
                <w:highlight w:val="none"/>
                <w:lang w:val="en-US" w:eastAsia="zh-CN"/>
              </w:rPr>
            </w:pPr>
            <w:r>
              <w:rPr>
                <w:rFonts w:hint="eastAsia" w:ascii="Times New Roman" w:hAnsi="Times New Roman" w:eastAsia="宋体" w:cs="Times New Roman"/>
                <w:highlight w:val="none"/>
              </w:rPr>
              <w:t>项目主要设置</w:t>
            </w:r>
            <w:r>
              <w:rPr>
                <w:rFonts w:hint="eastAsia" w:ascii="Times New Roman" w:hAnsi="Times New Roman" w:eastAsia="宋体" w:cs="Times New Roman"/>
                <w:highlight w:val="none"/>
                <w:lang w:val="en-US" w:eastAsia="zh-CN"/>
              </w:rPr>
              <w:t>3</w:t>
            </w:r>
            <w:r>
              <w:rPr>
                <w:rFonts w:hint="eastAsia" w:cs="Times New Roman"/>
                <w:highlight w:val="none"/>
                <w:lang w:val="en-US" w:eastAsia="zh-CN"/>
              </w:rPr>
              <w:t>个</w:t>
            </w:r>
            <w:r>
              <w:rPr>
                <w:rFonts w:hint="eastAsia" w:ascii="Times New Roman" w:hAnsi="Times New Roman" w:eastAsia="宋体" w:cs="Times New Roman"/>
                <w:highlight w:val="none"/>
              </w:rPr>
              <w:t>解剖室</w:t>
            </w:r>
            <w:r>
              <w:rPr>
                <w:rFonts w:hint="eastAsia" w:ascii="Times New Roman" w:hAnsi="Times New Roman" w:eastAsia="宋体" w:cs="Times New Roman"/>
                <w:highlight w:val="none"/>
                <w:lang w:eastAsia="zh-CN"/>
              </w:rPr>
              <w:t>（</w:t>
            </w:r>
            <w:r>
              <w:rPr>
                <w:rFonts w:hint="eastAsia" w:ascii="Times New Roman" w:hAnsi="Times New Roman" w:eastAsia="宋体" w:cs="Times New Roman"/>
                <w:highlight w:val="none"/>
                <w:lang w:val="en-US" w:eastAsia="zh-CN"/>
              </w:rPr>
              <w:t>每层各设置1个解剖室</w:t>
            </w:r>
            <w:r>
              <w:rPr>
                <w:rFonts w:hint="eastAsia" w:ascii="Times New Roman" w:hAnsi="Times New Roman" w:eastAsia="宋体" w:cs="Times New Roman"/>
                <w:highlight w:val="none"/>
                <w:lang w:eastAsia="zh-CN"/>
              </w:rPr>
              <w:t>）</w:t>
            </w:r>
            <w:r>
              <w:rPr>
                <w:rFonts w:hint="eastAsia" w:ascii="Times New Roman" w:hAnsi="Times New Roman" w:eastAsia="宋体" w:cs="Times New Roman"/>
                <w:highlight w:val="none"/>
              </w:rPr>
              <w:t>，各解剖室使用福尔马林量基本一致，因此每个解剖室甲醛产生量约0.0</w:t>
            </w:r>
            <w:r>
              <w:rPr>
                <w:rFonts w:hint="eastAsia" w:ascii="Times New Roman" w:hAnsi="Times New Roman" w:eastAsia="宋体" w:cs="Times New Roman"/>
                <w:highlight w:val="none"/>
                <w:lang w:val="en-US" w:eastAsia="zh-CN"/>
              </w:rPr>
              <w:t>10</w:t>
            </w:r>
            <w:r>
              <w:rPr>
                <w:rFonts w:hint="eastAsia" w:ascii="Times New Roman" w:hAnsi="Times New Roman" w:eastAsia="宋体" w:cs="Times New Roman"/>
                <w:highlight w:val="none"/>
              </w:rPr>
              <w:t>t/a。</w:t>
            </w:r>
            <w:r>
              <w:rPr>
                <w:rFonts w:hint="eastAsia" w:ascii="Times New Roman" w:hAnsi="Times New Roman" w:eastAsia="宋体" w:cs="Times New Roman"/>
                <w:highlight w:val="none"/>
                <w:lang w:val="en-US" w:eastAsia="zh-CN"/>
              </w:rPr>
              <w:t>每个</w:t>
            </w:r>
            <w:r>
              <w:rPr>
                <w:rFonts w:hint="eastAsia" w:ascii="Times New Roman" w:hAnsi="Times New Roman" w:eastAsia="宋体" w:cs="Times New Roman"/>
                <w:highlight w:val="none"/>
              </w:rPr>
              <w:t>解剖室经负压收集后</w:t>
            </w:r>
            <w:r>
              <w:rPr>
                <w:rFonts w:hint="eastAsia" w:ascii="Times New Roman" w:hAnsi="Times New Roman" w:eastAsia="宋体" w:cs="Times New Roman"/>
                <w:highlight w:val="none"/>
                <w:lang w:val="en-US" w:eastAsia="zh-CN"/>
              </w:rPr>
              <w:t>各自</w:t>
            </w:r>
            <w:r>
              <w:rPr>
                <w:rFonts w:hint="eastAsia" w:ascii="Times New Roman" w:hAnsi="Times New Roman" w:eastAsia="宋体" w:cs="Times New Roman"/>
                <w:highlight w:val="none"/>
              </w:rPr>
              <w:t>经过1套活性炭装置处理后通过楼顶排气筒（</w:t>
            </w:r>
            <w:r>
              <w:rPr>
                <w:rFonts w:hint="eastAsia" w:ascii="Times New Roman" w:hAnsi="Times New Roman" w:eastAsia="宋体" w:cs="Times New Roman"/>
                <w:highlight w:val="none"/>
                <w:lang w:val="en-US" w:eastAsia="zh-CN"/>
              </w:rPr>
              <w:t>DA007（二层解剖室）</w:t>
            </w:r>
            <w:r>
              <w:rPr>
                <w:rFonts w:hint="eastAsia" w:ascii="Times New Roman" w:hAnsi="Times New Roman" w:eastAsia="宋体" w:cs="Times New Roman"/>
                <w:highlight w:val="none"/>
                <w:lang w:eastAsia="zh-CN"/>
              </w:rPr>
              <w:t>、</w:t>
            </w:r>
            <w:r>
              <w:rPr>
                <w:rFonts w:hint="eastAsia" w:ascii="Times New Roman" w:hAnsi="Times New Roman" w:eastAsia="宋体" w:cs="Times New Roman"/>
                <w:highlight w:val="none"/>
                <w:lang w:val="en-US" w:eastAsia="zh-CN"/>
              </w:rPr>
              <w:t>DA009（三层解剖室）、DA010（一层解剖室）</w:t>
            </w:r>
            <w:r>
              <w:rPr>
                <w:rFonts w:hint="eastAsia" w:ascii="Times New Roman" w:hAnsi="Times New Roman" w:eastAsia="宋体" w:cs="Times New Roman"/>
                <w:highlight w:val="none"/>
              </w:rPr>
              <w:t>）排放，</w:t>
            </w:r>
            <w:r>
              <w:rPr>
                <w:rFonts w:hint="eastAsia" w:ascii="Times New Roman" w:hAnsi="Times New Roman" w:eastAsia="宋体" w:cs="Times New Roman"/>
                <w:b/>
                <w:bCs w:val="0"/>
                <w:highlight w:val="none"/>
                <w:lang w:val="en-US" w:eastAsia="zh-CN"/>
              </w:rPr>
              <w:t>其中DA007、DA009对应的风量核算上文已阐述，此处不做赘述，仅对DA010对应的风量进行核算</w:t>
            </w:r>
            <w:r>
              <w:rPr>
                <w:rFonts w:hint="eastAsia" w:ascii="Times New Roman" w:hAnsi="Times New Roman" w:eastAsia="宋体" w:cs="Times New Roman"/>
                <w:highlight w:val="none"/>
                <w:lang w:val="en-US" w:eastAsia="zh-CN"/>
              </w:rPr>
              <w:t xml:space="preserve">。    </w:t>
            </w:r>
          </w:p>
          <w:p w14:paraId="5EA91F41">
            <w:pPr>
              <w:pStyle w:val="122"/>
              <w:keepNext w:val="0"/>
              <w:keepLines w:val="0"/>
              <w:suppressLineNumbers w:val="0"/>
              <w:spacing w:before="0" w:beforeAutospacing="0" w:after="0" w:afterAutospacing="0"/>
              <w:ind w:left="0" w:right="0"/>
              <w:rPr>
                <w:rFonts w:hint="default" w:ascii="Times New Roman" w:hAnsi="Times New Roman" w:eastAsia="宋体" w:cs="Times New Roman"/>
                <w:highlight w:val="none"/>
                <w:lang w:val="en-US" w:eastAsia="zh-CN"/>
              </w:rPr>
            </w:pPr>
            <w:r>
              <w:rPr>
                <w:rFonts w:hint="eastAsia" w:ascii="Times New Roman" w:hAnsi="Times New Roman" w:eastAsia="宋体" w:cs="Times New Roman"/>
                <w:highlight w:val="none"/>
                <w:lang w:val="en-US" w:eastAsia="zh-CN"/>
              </w:rPr>
              <w:t>一层尸体暂存间、污物暂存间、解剖室、清洗间等区域</w:t>
            </w:r>
            <w:r>
              <w:rPr>
                <w:rFonts w:hint="eastAsia"/>
                <w:highlight w:val="none"/>
                <w:lang w:val="en-US" w:eastAsia="zh-CN"/>
              </w:rPr>
              <w:t>合计</w:t>
            </w:r>
            <w:r>
              <w:rPr>
                <w:rFonts w:hint="eastAsia" w:cs="宋体"/>
                <w:bCs/>
                <w:kern w:val="0"/>
                <w:sz w:val="24"/>
                <w:szCs w:val="24"/>
                <w:highlight w:val="none"/>
                <w:lang w:val="en-US" w:eastAsia="zh-CN" w:bidi="ar-SA"/>
              </w:rPr>
              <w:t>体积约为500m</w:t>
            </w:r>
            <w:r>
              <w:rPr>
                <w:rFonts w:hint="eastAsia" w:cs="宋体"/>
                <w:bCs/>
                <w:kern w:val="0"/>
                <w:sz w:val="24"/>
                <w:szCs w:val="24"/>
                <w:highlight w:val="none"/>
                <w:vertAlign w:val="superscript"/>
                <w:lang w:val="en-US" w:eastAsia="zh-CN" w:bidi="ar-SA"/>
              </w:rPr>
              <w:t>3</w:t>
            </w:r>
            <w:r>
              <w:rPr>
                <w:rFonts w:hint="eastAsia"/>
                <w:sz w:val="24"/>
                <w:highlight w:val="none"/>
              </w:rPr>
              <w:t>，换气次数不低于</w:t>
            </w:r>
            <w:r>
              <w:rPr>
                <w:rFonts w:hint="eastAsia"/>
                <w:sz w:val="24"/>
                <w:highlight w:val="none"/>
                <w:lang w:val="en-US" w:eastAsia="zh-CN"/>
              </w:rPr>
              <w:t>12</w:t>
            </w:r>
            <w:r>
              <w:rPr>
                <w:rFonts w:hint="eastAsia"/>
                <w:sz w:val="24"/>
                <w:highlight w:val="none"/>
              </w:rPr>
              <w:t>次/h</w:t>
            </w:r>
            <w:r>
              <w:rPr>
                <w:rFonts w:hint="eastAsia"/>
                <w:sz w:val="24"/>
                <w:highlight w:val="none"/>
                <w:lang w:eastAsia="zh-CN"/>
              </w:rPr>
              <w:t>，</w:t>
            </w:r>
            <w:r>
              <w:rPr>
                <w:rFonts w:hint="eastAsia"/>
                <w:sz w:val="24"/>
                <w:highlight w:val="none"/>
                <w:lang w:val="en-US" w:eastAsia="zh-CN"/>
              </w:rPr>
              <w:t>则</w:t>
            </w:r>
            <w:r>
              <w:rPr>
                <w:rFonts w:hint="eastAsia"/>
                <w:sz w:val="24"/>
                <w:highlight w:val="none"/>
              </w:rPr>
              <w:t>收集风量保守</w:t>
            </w:r>
            <w:r>
              <w:rPr>
                <w:rFonts w:hint="eastAsia"/>
                <w:sz w:val="24"/>
                <w:highlight w:val="none"/>
                <w:lang w:val="en-US" w:eastAsia="zh-CN"/>
              </w:rPr>
              <w:t>约为6000</w:t>
            </w:r>
            <w:r>
              <w:rPr>
                <w:rFonts w:hint="eastAsia"/>
                <w:sz w:val="24"/>
                <w:highlight w:val="none"/>
              </w:rPr>
              <w:t>m</w:t>
            </w:r>
            <w:r>
              <w:rPr>
                <w:rFonts w:hint="eastAsia"/>
                <w:sz w:val="24"/>
                <w:highlight w:val="none"/>
                <w:vertAlign w:val="superscript"/>
              </w:rPr>
              <w:t>3</w:t>
            </w:r>
            <w:r>
              <w:rPr>
                <w:rFonts w:hint="eastAsia"/>
                <w:sz w:val="24"/>
                <w:highlight w:val="none"/>
              </w:rPr>
              <w:t>/h</w:t>
            </w:r>
            <w:r>
              <w:rPr>
                <w:rFonts w:hint="eastAsia"/>
                <w:sz w:val="24"/>
                <w:highlight w:val="none"/>
                <w:lang w:eastAsia="zh-CN"/>
              </w:rPr>
              <w:t>，</w:t>
            </w:r>
            <w:r>
              <w:rPr>
                <w:rFonts w:hint="eastAsia" w:ascii="Times New Roman" w:hAnsi="Times New Roman" w:eastAsia="宋体" w:cs="Times New Roman"/>
                <w:highlight w:val="none"/>
                <w:lang w:val="en-US" w:eastAsia="zh-CN"/>
              </w:rPr>
              <w:t>一层解剖室</w:t>
            </w:r>
            <w:r>
              <w:rPr>
                <w:rFonts w:hint="eastAsia"/>
                <w:highlight w:val="none"/>
                <w:lang w:val="en-US" w:eastAsia="zh-CN"/>
              </w:rPr>
              <w:t>解剖</w:t>
            </w:r>
            <w:r>
              <w:rPr>
                <w:rFonts w:hint="eastAsia" w:ascii="Times New Roman" w:hAnsi="Times New Roman" w:eastAsia="宋体" w:cs="宋体"/>
                <w:bCs/>
                <w:kern w:val="0"/>
                <w:sz w:val="24"/>
                <w:szCs w:val="24"/>
                <w:highlight w:val="none"/>
                <w:lang w:val="en-US" w:eastAsia="zh-CN" w:bidi="ar-SA"/>
              </w:rPr>
              <w:t>废气经活性炭吸附装置处理后通过</w:t>
            </w:r>
            <w:r>
              <w:rPr>
                <w:rFonts w:hint="eastAsia" w:cs="宋体"/>
                <w:bCs/>
                <w:kern w:val="0"/>
                <w:sz w:val="24"/>
                <w:szCs w:val="24"/>
                <w:highlight w:val="none"/>
                <w:lang w:val="en-US" w:eastAsia="zh-CN" w:bidi="ar-SA"/>
              </w:rPr>
              <w:t>30</w:t>
            </w:r>
            <w:r>
              <w:rPr>
                <w:rFonts w:hint="eastAsia" w:ascii="Times New Roman" w:hAnsi="Times New Roman" w:eastAsia="宋体" w:cs="宋体"/>
                <w:bCs/>
                <w:kern w:val="0"/>
                <w:sz w:val="24"/>
                <w:szCs w:val="24"/>
                <w:highlight w:val="none"/>
                <w:lang w:val="en-US" w:eastAsia="zh-CN" w:bidi="ar-SA"/>
              </w:rPr>
              <w:t>m高排气筒</w:t>
            </w:r>
            <w:r>
              <w:rPr>
                <w:rFonts w:hint="eastAsia" w:cs="宋体"/>
                <w:bCs/>
                <w:kern w:val="0"/>
                <w:sz w:val="24"/>
                <w:szCs w:val="24"/>
                <w:highlight w:val="none"/>
                <w:lang w:val="en-US" w:eastAsia="zh-CN" w:bidi="ar-SA"/>
              </w:rPr>
              <w:t>（DA010）</w:t>
            </w:r>
            <w:r>
              <w:rPr>
                <w:rFonts w:hint="eastAsia" w:ascii="Times New Roman" w:hAnsi="Times New Roman" w:eastAsia="宋体" w:cs="宋体"/>
                <w:bCs/>
                <w:kern w:val="0"/>
                <w:sz w:val="24"/>
                <w:szCs w:val="24"/>
                <w:highlight w:val="none"/>
                <w:lang w:val="en-US" w:eastAsia="zh-CN" w:bidi="ar-SA"/>
              </w:rPr>
              <w:t>高空排放</w:t>
            </w:r>
            <w:r>
              <w:rPr>
                <w:rFonts w:hint="eastAsia"/>
                <w:color w:val="auto"/>
                <w:highlight w:val="none"/>
                <w:lang w:val="en-US" w:eastAsia="zh-CN"/>
              </w:rPr>
              <w:t>。</w:t>
            </w:r>
          </w:p>
          <w:p w14:paraId="6AB462E5">
            <w:pPr>
              <w:keepNext w:val="0"/>
              <w:keepLines w:val="0"/>
              <w:suppressLineNumbers w:val="0"/>
              <w:spacing w:before="0" w:beforeAutospacing="0" w:after="0" w:afterAutospacing="0" w:line="360" w:lineRule="auto"/>
              <w:ind w:left="0" w:right="0" w:firstLine="480" w:firstLineChars="200"/>
              <w:jc w:val="both"/>
              <w:rPr>
                <w:rFonts w:hint="default"/>
                <w:highlight w:val="none"/>
              </w:rPr>
            </w:pPr>
            <w:r>
              <w:rPr>
                <w:rFonts w:hint="eastAsia"/>
                <w:highlight w:val="none"/>
                <w:lang w:val="en-US" w:eastAsia="zh-CN"/>
              </w:rPr>
              <w:t>本项目解剖废气</w:t>
            </w:r>
            <w:r>
              <w:rPr>
                <w:rFonts w:hint="default"/>
                <w:highlight w:val="none"/>
              </w:rPr>
              <w:t>收集效率为</w:t>
            </w:r>
            <w:r>
              <w:rPr>
                <w:rFonts w:hint="eastAsia"/>
                <w:highlight w:val="none"/>
              </w:rPr>
              <w:t>9</w:t>
            </w:r>
            <w:r>
              <w:rPr>
                <w:rFonts w:hint="eastAsia"/>
                <w:highlight w:val="none"/>
                <w:lang w:val="en-US" w:eastAsia="zh-CN"/>
              </w:rPr>
              <w:t>0</w:t>
            </w:r>
            <w:r>
              <w:rPr>
                <w:rFonts w:hint="default"/>
                <w:highlight w:val="none"/>
              </w:rPr>
              <w:t>%</w:t>
            </w:r>
            <w:r>
              <w:rPr>
                <w:rFonts w:hint="eastAsia"/>
                <w:highlight w:val="none"/>
              </w:rPr>
              <w:t>，</w:t>
            </w:r>
            <w:r>
              <w:rPr>
                <w:rFonts w:hint="default"/>
                <w:highlight w:val="none"/>
              </w:rPr>
              <w:t>则</w:t>
            </w:r>
            <w:r>
              <w:rPr>
                <w:rFonts w:hint="eastAsia"/>
                <w:highlight w:val="none"/>
              </w:rPr>
              <w:t>甲醛</w:t>
            </w:r>
            <w:r>
              <w:rPr>
                <w:rFonts w:hint="eastAsia"/>
                <w:highlight w:val="none"/>
                <w:lang w:eastAsia="zh-CN"/>
              </w:rPr>
              <w:t>（</w:t>
            </w:r>
            <w:r>
              <w:rPr>
                <w:rFonts w:hint="eastAsia"/>
                <w:highlight w:val="none"/>
                <w:lang w:val="en-US" w:eastAsia="zh-CN"/>
              </w:rPr>
              <w:t>以非甲烷总烃计</w:t>
            </w:r>
            <w:r>
              <w:rPr>
                <w:rFonts w:hint="eastAsia"/>
                <w:highlight w:val="none"/>
                <w:lang w:eastAsia="zh-CN"/>
              </w:rPr>
              <w:t>）</w:t>
            </w:r>
            <w:r>
              <w:rPr>
                <w:rFonts w:hint="eastAsia"/>
                <w:highlight w:val="none"/>
              </w:rPr>
              <w:t>有组织</w:t>
            </w:r>
            <w:r>
              <w:rPr>
                <w:rFonts w:hint="default"/>
                <w:highlight w:val="none"/>
              </w:rPr>
              <w:t>产生量0.00</w:t>
            </w:r>
            <w:r>
              <w:rPr>
                <w:rFonts w:hint="eastAsia"/>
                <w:highlight w:val="none"/>
                <w:lang w:val="en-US" w:eastAsia="zh-CN"/>
              </w:rPr>
              <w:t>9</w:t>
            </w:r>
            <w:r>
              <w:rPr>
                <w:rFonts w:hint="default"/>
                <w:highlight w:val="none"/>
              </w:rPr>
              <w:t>t/a</w:t>
            </w:r>
            <w:r>
              <w:rPr>
                <w:rFonts w:hint="eastAsia"/>
                <w:highlight w:val="none"/>
              </w:rPr>
              <w:t>，</w:t>
            </w:r>
            <w:r>
              <w:rPr>
                <w:rFonts w:hint="eastAsia"/>
                <w:highlight w:val="none"/>
                <w:lang w:val="en-US" w:eastAsia="zh-CN"/>
              </w:rPr>
              <w:t>解剖年工作时间为2080h/a，则</w:t>
            </w:r>
            <w:r>
              <w:rPr>
                <w:rFonts w:hint="eastAsia"/>
                <w:highlight w:val="none"/>
              </w:rPr>
              <w:t>甲醛</w:t>
            </w:r>
            <w:r>
              <w:rPr>
                <w:rFonts w:hint="eastAsia"/>
                <w:highlight w:val="none"/>
                <w:lang w:eastAsia="zh-CN"/>
              </w:rPr>
              <w:t>（</w:t>
            </w:r>
            <w:r>
              <w:rPr>
                <w:rFonts w:hint="eastAsia"/>
                <w:highlight w:val="none"/>
                <w:lang w:val="en-US" w:eastAsia="zh-CN"/>
              </w:rPr>
              <w:t>以非甲烷总烃计</w:t>
            </w:r>
            <w:r>
              <w:rPr>
                <w:rFonts w:hint="eastAsia"/>
                <w:highlight w:val="none"/>
                <w:lang w:eastAsia="zh-CN"/>
              </w:rPr>
              <w:t>）</w:t>
            </w:r>
            <w:r>
              <w:rPr>
                <w:rFonts w:hint="eastAsia"/>
                <w:highlight w:val="none"/>
              </w:rPr>
              <w:t>有组织</w:t>
            </w:r>
            <w:r>
              <w:rPr>
                <w:rFonts w:hint="default"/>
                <w:highlight w:val="none"/>
              </w:rPr>
              <w:t>产生</w:t>
            </w:r>
            <w:r>
              <w:rPr>
                <w:rFonts w:hint="eastAsia"/>
                <w:highlight w:val="none"/>
                <w:lang w:val="en-US" w:eastAsia="zh-CN"/>
              </w:rPr>
              <w:t>速率为0.004kg</w:t>
            </w:r>
            <w:r>
              <w:rPr>
                <w:rFonts w:hint="default"/>
                <w:highlight w:val="none"/>
              </w:rPr>
              <w:t>/</w:t>
            </w:r>
            <w:r>
              <w:rPr>
                <w:rFonts w:hint="eastAsia"/>
                <w:highlight w:val="none"/>
                <w:lang w:val="en-US" w:eastAsia="zh-CN"/>
              </w:rPr>
              <w:t>h</w:t>
            </w:r>
            <w:r>
              <w:rPr>
                <w:rFonts w:hint="eastAsia"/>
                <w:highlight w:val="none"/>
                <w:lang w:eastAsia="zh-CN"/>
              </w:rPr>
              <w:t>。</w:t>
            </w:r>
            <w:r>
              <w:rPr>
                <w:rFonts w:hint="eastAsia"/>
                <w:highlight w:val="none"/>
              </w:rPr>
              <w:t>标本瓶蜡封使用石蜡量约为</w:t>
            </w:r>
            <w:r>
              <w:rPr>
                <w:rFonts w:hint="default"/>
                <w:highlight w:val="none"/>
              </w:rPr>
              <w:t>0.002t/a</w:t>
            </w:r>
            <w:r>
              <w:rPr>
                <w:rFonts w:hint="eastAsia"/>
                <w:highlight w:val="none"/>
              </w:rPr>
              <w:t>，石蜡熔化过程中会产生烟尘，因产生量极小可忽略不计，本次不进行定量评价。</w:t>
            </w:r>
            <w:r>
              <w:rPr>
                <w:rFonts w:hint="eastAsia"/>
                <w:color w:val="auto"/>
                <w:highlight w:val="none"/>
                <w:lang w:val="en-US" w:eastAsia="zh-CN"/>
              </w:rPr>
              <w:t>项目</w:t>
            </w:r>
            <w:r>
              <w:rPr>
                <w:rFonts w:hint="eastAsia"/>
                <w:highlight w:val="none"/>
                <w:lang w:val="en-US" w:eastAsia="zh-CN"/>
              </w:rPr>
              <w:t>解剖</w:t>
            </w:r>
            <w:r>
              <w:rPr>
                <w:rFonts w:hint="default"/>
                <w:color w:val="auto"/>
                <w:highlight w:val="none"/>
              </w:rPr>
              <w:t>废气</w:t>
            </w:r>
            <w:r>
              <w:rPr>
                <w:rFonts w:hint="eastAsia" w:ascii="Times New Roman" w:hAnsi="Times New Roman" w:eastAsia="宋体" w:cs="Times New Roman"/>
                <w:sz w:val="24"/>
                <w:szCs w:val="24"/>
                <w:highlight w:val="none"/>
                <w:lang w:val="en-US" w:eastAsia="zh-CN"/>
              </w:rPr>
              <w:t>产生及排放情况见下表</w:t>
            </w:r>
            <w:r>
              <w:rPr>
                <w:rFonts w:hint="eastAsia" w:cs="Times New Roman"/>
                <w:sz w:val="24"/>
                <w:szCs w:val="24"/>
                <w:highlight w:val="none"/>
                <w:lang w:val="en-US" w:eastAsia="zh-CN"/>
              </w:rPr>
              <w:t>7</w:t>
            </w:r>
            <w:r>
              <w:rPr>
                <w:rFonts w:hint="eastAsia" w:ascii="Times New Roman" w:hAnsi="Times New Roman" w:eastAsia="宋体" w:cs="Times New Roman"/>
                <w:sz w:val="24"/>
                <w:szCs w:val="24"/>
                <w:highlight w:val="none"/>
                <w:lang w:val="en-US" w:eastAsia="zh-CN"/>
              </w:rPr>
              <w:t>-</w:t>
            </w:r>
            <w:r>
              <w:rPr>
                <w:rFonts w:hint="eastAsia" w:cs="Times New Roman"/>
                <w:sz w:val="24"/>
                <w:szCs w:val="24"/>
                <w:highlight w:val="none"/>
                <w:lang w:val="en-US" w:eastAsia="zh-CN"/>
              </w:rPr>
              <w:t>16</w:t>
            </w:r>
            <w:r>
              <w:rPr>
                <w:rFonts w:hint="eastAsia" w:ascii="Times New Roman" w:hAnsi="Times New Roman" w:eastAsia="宋体" w:cs="Times New Roman"/>
                <w:sz w:val="24"/>
                <w:szCs w:val="24"/>
                <w:highlight w:val="none"/>
                <w:lang w:val="en-US" w:eastAsia="zh-CN"/>
              </w:rPr>
              <w:t>。</w:t>
            </w:r>
          </w:p>
          <w:p w14:paraId="270F4FB7">
            <w:pPr>
              <w:pStyle w:val="130"/>
              <w:keepNext w:val="0"/>
              <w:keepLines w:val="0"/>
              <w:pageBreakBefore w:val="0"/>
              <w:widowControl/>
              <w:suppressLineNumbers w:val="0"/>
              <w:kinsoku/>
              <w:wordWrap/>
              <w:overflowPunct w:val="0"/>
              <w:topLinePunct w:val="0"/>
              <w:autoSpaceDE/>
              <w:autoSpaceDN/>
              <w:bidi w:val="0"/>
              <w:adjustRightInd/>
              <w:snapToGrid/>
              <w:spacing w:before="0" w:beforeLines="0" w:beforeAutospacing="0" w:after="0" w:afterAutospacing="0" w:line="360" w:lineRule="auto"/>
              <w:ind w:left="0" w:right="0"/>
              <w:textAlignment w:val="baseline"/>
              <w:rPr>
                <w:rFonts w:hint="default"/>
                <w:color w:val="auto"/>
                <w:highlight w:val="none"/>
              </w:rPr>
            </w:pPr>
            <w:r>
              <w:rPr>
                <w:rFonts w:hint="eastAsia"/>
                <w:color w:val="auto"/>
                <w:highlight w:val="none"/>
              </w:rPr>
              <w:t>表</w:t>
            </w:r>
            <w:r>
              <w:rPr>
                <w:rFonts w:hint="eastAsia"/>
                <w:color w:val="auto"/>
                <w:highlight w:val="none"/>
                <w:lang w:val="en-US" w:eastAsia="zh-CN"/>
              </w:rPr>
              <w:t>7</w:t>
            </w:r>
            <w:r>
              <w:rPr>
                <w:rFonts w:hint="default"/>
                <w:color w:val="auto"/>
                <w:highlight w:val="none"/>
              </w:rPr>
              <w:t>-</w:t>
            </w:r>
            <w:r>
              <w:rPr>
                <w:rFonts w:hint="eastAsia"/>
                <w:color w:val="auto"/>
                <w:highlight w:val="none"/>
                <w:lang w:val="en-US" w:eastAsia="zh-CN"/>
              </w:rPr>
              <w:t>16</w:t>
            </w:r>
            <w:r>
              <w:rPr>
                <w:rFonts w:hint="eastAsia"/>
                <w:color w:val="auto"/>
                <w:highlight w:val="none"/>
              </w:rPr>
              <w:t xml:space="preserve"> </w:t>
            </w:r>
            <w:r>
              <w:rPr>
                <w:rFonts w:hint="eastAsia"/>
                <w:highlight w:val="none"/>
                <w:lang w:val="en-US" w:eastAsia="zh-CN"/>
              </w:rPr>
              <w:t>解剖</w:t>
            </w:r>
            <w:r>
              <w:rPr>
                <w:rFonts w:hint="default"/>
                <w:color w:val="auto"/>
                <w:highlight w:val="none"/>
              </w:rPr>
              <w:t>废气</w:t>
            </w:r>
            <w:r>
              <w:rPr>
                <w:rFonts w:hint="eastAsia" w:ascii="Times New Roman" w:hAnsi="Times New Roman" w:eastAsia="宋体" w:cs="Times New Roman"/>
                <w:b/>
                <w:bCs/>
                <w:kern w:val="0"/>
                <w:sz w:val="24"/>
                <w:highlight w:val="none"/>
                <w:lang w:val="en-US" w:eastAsia="zh-CN"/>
              </w:rPr>
              <w:t>产生及排放情况表</w:t>
            </w:r>
          </w:p>
          <w:tbl>
            <w:tblPr>
              <w:tblStyle w:val="33"/>
              <w:tblW w:w="4995"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69"/>
              <w:gridCol w:w="874"/>
              <w:gridCol w:w="930"/>
              <w:gridCol w:w="1067"/>
              <w:gridCol w:w="1021"/>
              <w:gridCol w:w="1173"/>
              <w:gridCol w:w="1169"/>
              <w:gridCol w:w="1175"/>
            </w:tblGrid>
            <w:tr w14:paraId="26FD808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70" w:type="pct"/>
                  <w:vMerge w:val="restart"/>
                  <w:noWrap w:val="0"/>
                  <w:vAlign w:val="center"/>
                </w:tcPr>
                <w:p w14:paraId="6D5AA166">
                  <w:pPr>
                    <w:keepNext w:val="0"/>
                    <w:keepLines w:val="0"/>
                    <w:widowControl/>
                    <w:suppressLineNumbers w:val="0"/>
                    <w:spacing w:before="0" w:beforeAutospacing="0" w:after="0" w:afterAutospacing="0" w:line="280" w:lineRule="exact"/>
                    <w:ind w:left="0" w:right="0"/>
                    <w:jc w:val="center"/>
                    <w:textAlignment w:val="center"/>
                    <w:rPr>
                      <w:rFonts w:hint="eastAsia" w:ascii="Times New Roman" w:hAnsi="Times New Roman" w:eastAsia="宋体" w:cs="Times New Roman"/>
                      <w:b w:val="0"/>
                      <w:bCs w:val="0"/>
                      <w:sz w:val="21"/>
                      <w:szCs w:val="21"/>
                      <w:highlight w:val="none"/>
                      <w:lang w:bidi="ar"/>
                    </w:rPr>
                  </w:pPr>
                  <w:r>
                    <w:rPr>
                      <w:rFonts w:hint="eastAsia" w:ascii="Times New Roman" w:hAnsi="Times New Roman" w:eastAsia="宋体" w:cs="Times New Roman"/>
                      <w:b w:val="0"/>
                      <w:bCs w:val="0"/>
                      <w:sz w:val="21"/>
                      <w:szCs w:val="21"/>
                      <w:highlight w:val="none"/>
                      <w:lang w:val="en-US" w:eastAsia="zh-CN" w:bidi="ar"/>
                    </w:rPr>
                    <w:t>污染源</w:t>
                  </w:r>
                </w:p>
              </w:tc>
              <w:tc>
                <w:tcPr>
                  <w:tcW w:w="1102" w:type="pct"/>
                  <w:gridSpan w:val="2"/>
                  <w:vMerge w:val="restart"/>
                  <w:noWrap w:val="0"/>
                  <w:vAlign w:val="center"/>
                </w:tcPr>
                <w:p w14:paraId="758D268F">
                  <w:pPr>
                    <w:keepNext w:val="0"/>
                    <w:keepLines w:val="0"/>
                    <w:widowControl/>
                    <w:suppressLineNumbers w:val="0"/>
                    <w:spacing w:before="0" w:beforeAutospacing="0" w:after="0" w:afterAutospacing="0" w:line="280" w:lineRule="exact"/>
                    <w:ind w:left="0" w:right="0"/>
                    <w:jc w:val="center"/>
                    <w:textAlignment w:val="center"/>
                    <w:rPr>
                      <w:rFonts w:hint="default" w:ascii="Times New Roman" w:hAnsi="Times New Roman" w:eastAsia="宋体" w:cs="Times New Roman"/>
                      <w:b w:val="0"/>
                      <w:bCs w:val="0"/>
                      <w:sz w:val="21"/>
                      <w:szCs w:val="21"/>
                      <w:highlight w:val="none"/>
                      <w:lang w:val="en-US" w:bidi="ar"/>
                    </w:rPr>
                  </w:pPr>
                  <w:r>
                    <w:rPr>
                      <w:rFonts w:hint="eastAsia" w:cs="Times New Roman"/>
                      <w:b w:val="0"/>
                      <w:bCs w:val="0"/>
                      <w:sz w:val="21"/>
                      <w:szCs w:val="21"/>
                      <w:highlight w:val="none"/>
                      <w:lang w:val="en-US" w:eastAsia="zh-CN" w:bidi="ar"/>
                    </w:rPr>
                    <w:t>排放方式</w:t>
                  </w:r>
                </w:p>
              </w:tc>
              <w:tc>
                <w:tcPr>
                  <w:tcW w:w="652" w:type="pct"/>
                  <w:vMerge w:val="restart"/>
                  <w:noWrap w:val="0"/>
                  <w:vAlign w:val="center"/>
                </w:tcPr>
                <w:p w14:paraId="33442F4D">
                  <w:pPr>
                    <w:keepNext w:val="0"/>
                    <w:keepLines w:val="0"/>
                    <w:widowControl/>
                    <w:suppressLineNumbers w:val="0"/>
                    <w:spacing w:before="0" w:beforeAutospacing="0" w:after="0" w:afterAutospacing="0" w:line="280" w:lineRule="exact"/>
                    <w:ind w:left="0" w:right="0"/>
                    <w:jc w:val="center"/>
                    <w:textAlignment w:val="center"/>
                    <w:rPr>
                      <w:rFonts w:hint="eastAsia" w:ascii="Times New Roman" w:hAnsi="Times New Roman" w:eastAsia="宋体" w:cs="Times New Roman"/>
                      <w:b w:val="0"/>
                      <w:bCs w:val="0"/>
                      <w:sz w:val="21"/>
                      <w:szCs w:val="21"/>
                      <w:highlight w:val="none"/>
                      <w:lang w:bidi="ar"/>
                    </w:rPr>
                  </w:pPr>
                  <w:r>
                    <w:rPr>
                      <w:rFonts w:hint="eastAsia" w:ascii="Times New Roman" w:hAnsi="Times New Roman" w:eastAsia="宋体" w:cs="Times New Roman"/>
                      <w:b w:val="0"/>
                      <w:bCs w:val="0"/>
                      <w:sz w:val="21"/>
                      <w:szCs w:val="21"/>
                      <w:highlight w:val="none"/>
                      <w:lang w:val="en-US" w:eastAsia="zh-CN" w:bidi="ar"/>
                    </w:rPr>
                    <w:t>污染因子</w:t>
                  </w:r>
                </w:p>
              </w:tc>
              <w:tc>
                <w:tcPr>
                  <w:tcW w:w="1341" w:type="pct"/>
                  <w:gridSpan w:val="2"/>
                  <w:noWrap w:val="0"/>
                  <w:vAlign w:val="center"/>
                </w:tcPr>
                <w:p w14:paraId="65A1DE59">
                  <w:pPr>
                    <w:keepNext w:val="0"/>
                    <w:keepLines w:val="0"/>
                    <w:widowControl/>
                    <w:suppressLineNumbers w:val="0"/>
                    <w:spacing w:before="0" w:beforeAutospacing="0" w:after="0" w:afterAutospacing="0" w:line="280" w:lineRule="exact"/>
                    <w:ind w:left="0" w:right="0"/>
                    <w:jc w:val="center"/>
                    <w:textAlignment w:val="center"/>
                    <w:rPr>
                      <w:rFonts w:hint="eastAsia" w:ascii="Times New Roman" w:hAnsi="Times New Roman" w:eastAsia="宋体" w:cs="Times New Roman"/>
                      <w:b w:val="0"/>
                      <w:bCs w:val="0"/>
                      <w:sz w:val="21"/>
                      <w:szCs w:val="21"/>
                      <w:highlight w:val="none"/>
                      <w:lang w:bidi="ar"/>
                    </w:rPr>
                  </w:pPr>
                  <w:r>
                    <w:rPr>
                      <w:rFonts w:hint="eastAsia" w:ascii="Times New Roman" w:hAnsi="Times New Roman" w:eastAsia="宋体" w:cs="Times New Roman"/>
                      <w:b w:val="0"/>
                      <w:bCs w:val="0"/>
                      <w:sz w:val="21"/>
                      <w:szCs w:val="21"/>
                      <w:highlight w:val="none"/>
                      <w:lang w:val="en-US" w:eastAsia="zh-CN" w:bidi="ar"/>
                    </w:rPr>
                    <w:t>产生情况</w:t>
                  </w:r>
                </w:p>
              </w:tc>
              <w:tc>
                <w:tcPr>
                  <w:tcW w:w="1432" w:type="pct"/>
                  <w:gridSpan w:val="2"/>
                  <w:noWrap w:val="0"/>
                  <w:vAlign w:val="center"/>
                </w:tcPr>
                <w:p w14:paraId="6B947F72">
                  <w:pPr>
                    <w:keepNext w:val="0"/>
                    <w:keepLines w:val="0"/>
                    <w:widowControl/>
                    <w:suppressLineNumbers w:val="0"/>
                    <w:spacing w:before="0" w:beforeAutospacing="0" w:after="0" w:afterAutospacing="0" w:line="280" w:lineRule="exact"/>
                    <w:ind w:left="0" w:right="0"/>
                    <w:jc w:val="center"/>
                    <w:textAlignment w:val="center"/>
                    <w:rPr>
                      <w:rFonts w:hint="eastAsia" w:ascii="Times New Roman" w:hAnsi="Times New Roman" w:eastAsia="宋体" w:cs="Times New Roman"/>
                      <w:b w:val="0"/>
                      <w:bCs w:val="0"/>
                      <w:sz w:val="21"/>
                      <w:szCs w:val="21"/>
                      <w:highlight w:val="none"/>
                      <w:lang w:bidi="ar"/>
                    </w:rPr>
                  </w:pPr>
                  <w:r>
                    <w:rPr>
                      <w:rFonts w:hint="eastAsia" w:ascii="Times New Roman" w:hAnsi="Times New Roman" w:eastAsia="宋体" w:cs="Times New Roman"/>
                      <w:b w:val="0"/>
                      <w:bCs w:val="0"/>
                      <w:sz w:val="21"/>
                      <w:szCs w:val="21"/>
                      <w:highlight w:val="none"/>
                      <w:lang w:val="en-US" w:eastAsia="zh-CN" w:bidi="ar"/>
                    </w:rPr>
                    <w:t>排放情况</w:t>
                  </w:r>
                </w:p>
              </w:tc>
            </w:tr>
            <w:tr w14:paraId="40D8AEC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70" w:type="pct"/>
                  <w:vMerge w:val="continue"/>
                  <w:noWrap w:val="0"/>
                  <w:vAlign w:val="center"/>
                </w:tcPr>
                <w:p w14:paraId="1A2741DA">
                  <w:pPr>
                    <w:keepNext w:val="0"/>
                    <w:keepLines w:val="0"/>
                    <w:widowControl/>
                    <w:suppressLineNumbers w:val="0"/>
                    <w:spacing w:before="0" w:beforeAutospacing="0" w:after="0" w:afterAutospacing="0" w:line="280" w:lineRule="exact"/>
                    <w:ind w:left="0" w:right="0"/>
                    <w:jc w:val="center"/>
                    <w:textAlignment w:val="center"/>
                    <w:rPr>
                      <w:rFonts w:hint="eastAsia" w:ascii="Times New Roman" w:hAnsi="Times New Roman" w:eastAsia="宋体" w:cs="Times New Roman"/>
                      <w:b w:val="0"/>
                      <w:bCs w:val="0"/>
                      <w:sz w:val="21"/>
                      <w:szCs w:val="21"/>
                      <w:highlight w:val="none"/>
                      <w:lang w:bidi="ar"/>
                    </w:rPr>
                  </w:pPr>
                </w:p>
              </w:tc>
              <w:tc>
                <w:tcPr>
                  <w:tcW w:w="1102" w:type="pct"/>
                  <w:gridSpan w:val="2"/>
                  <w:vMerge w:val="continue"/>
                  <w:noWrap w:val="0"/>
                  <w:vAlign w:val="center"/>
                </w:tcPr>
                <w:p w14:paraId="0205098A">
                  <w:pPr>
                    <w:keepNext w:val="0"/>
                    <w:keepLines w:val="0"/>
                    <w:widowControl/>
                    <w:suppressLineNumbers w:val="0"/>
                    <w:spacing w:before="0" w:beforeAutospacing="0" w:after="0" w:afterAutospacing="0" w:line="280" w:lineRule="exact"/>
                    <w:ind w:left="0" w:right="0"/>
                    <w:jc w:val="center"/>
                    <w:textAlignment w:val="center"/>
                    <w:rPr>
                      <w:rFonts w:hint="eastAsia" w:ascii="Times New Roman" w:hAnsi="Times New Roman" w:eastAsia="宋体" w:cs="Times New Roman"/>
                      <w:b w:val="0"/>
                      <w:bCs w:val="0"/>
                      <w:sz w:val="21"/>
                      <w:szCs w:val="21"/>
                      <w:highlight w:val="none"/>
                      <w:lang w:bidi="ar"/>
                    </w:rPr>
                  </w:pPr>
                </w:p>
              </w:tc>
              <w:tc>
                <w:tcPr>
                  <w:tcW w:w="652" w:type="pct"/>
                  <w:vMerge w:val="continue"/>
                  <w:noWrap w:val="0"/>
                  <w:vAlign w:val="center"/>
                </w:tcPr>
                <w:p w14:paraId="697789A2">
                  <w:pPr>
                    <w:keepNext w:val="0"/>
                    <w:keepLines w:val="0"/>
                    <w:widowControl/>
                    <w:suppressLineNumbers w:val="0"/>
                    <w:spacing w:before="0" w:beforeAutospacing="0" w:after="0" w:afterAutospacing="0" w:line="280" w:lineRule="exact"/>
                    <w:ind w:left="0" w:right="0"/>
                    <w:jc w:val="center"/>
                    <w:textAlignment w:val="center"/>
                    <w:rPr>
                      <w:rFonts w:hint="eastAsia" w:ascii="Times New Roman" w:hAnsi="Times New Roman" w:eastAsia="宋体" w:cs="Times New Roman"/>
                      <w:b w:val="0"/>
                      <w:bCs w:val="0"/>
                      <w:sz w:val="21"/>
                      <w:szCs w:val="21"/>
                      <w:highlight w:val="none"/>
                      <w:lang w:bidi="ar"/>
                    </w:rPr>
                  </w:pPr>
                </w:p>
              </w:tc>
              <w:tc>
                <w:tcPr>
                  <w:tcW w:w="624" w:type="pct"/>
                  <w:noWrap w:val="0"/>
                  <w:vAlign w:val="center"/>
                </w:tcPr>
                <w:p w14:paraId="159EDAB1">
                  <w:pPr>
                    <w:keepNext w:val="0"/>
                    <w:keepLines w:val="0"/>
                    <w:widowControl/>
                    <w:suppressLineNumbers w:val="0"/>
                    <w:spacing w:before="0" w:beforeAutospacing="0" w:after="0" w:afterAutospacing="0" w:line="280" w:lineRule="exact"/>
                    <w:ind w:left="0" w:right="0"/>
                    <w:jc w:val="center"/>
                    <w:textAlignment w:val="center"/>
                    <w:rPr>
                      <w:rFonts w:hint="eastAsia" w:ascii="Times New Roman" w:hAnsi="Times New Roman" w:eastAsia="宋体" w:cs="Times New Roman"/>
                      <w:b w:val="0"/>
                      <w:bCs w:val="0"/>
                      <w:sz w:val="21"/>
                      <w:szCs w:val="21"/>
                      <w:highlight w:val="none"/>
                      <w:lang w:bidi="ar"/>
                    </w:rPr>
                  </w:pPr>
                  <w:r>
                    <w:rPr>
                      <w:rFonts w:hint="eastAsia" w:ascii="Times New Roman" w:hAnsi="Times New Roman" w:eastAsia="宋体" w:cs="Times New Roman"/>
                      <w:b w:val="0"/>
                      <w:bCs w:val="0"/>
                      <w:sz w:val="21"/>
                      <w:szCs w:val="21"/>
                      <w:highlight w:val="none"/>
                      <w:lang w:val="en-US" w:eastAsia="zh-CN" w:bidi="ar"/>
                    </w:rPr>
                    <w:t xml:space="preserve">产生量 </w:t>
                  </w:r>
                  <w:r>
                    <w:rPr>
                      <w:rFonts w:hint="default" w:ascii="Times New Roman" w:hAnsi="Times New Roman" w:eastAsia="宋体" w:cs="Times New Roman"/>
                      <w:b w:val="0"/>
                      <w:bCs w:val="0"/>
                      <w:sz w:val="21"/>
                      <w:szCs w:val="21"/>
                      <w:highlight w:val="none"/>
                      <w:lang w:val="en-US" w:eastAsia="zh-CN" w:bidi="ar"/>
                    </w:rPr>
                    <w:t>t/a</w:t>
                  </w:r>
                </w:p>
              </w:tc>
              <w:tc>
                <w:tcPr>
                  <w:tcW w:w="717" w:type="pct"/>
                  <w:noWrap w:val="0"/>
                  <w:vAlign w:val="center"/>
                </w:tcPr>
                <w:p w14:paraId="24141CEF">
                  <w:pPr>
                    <w:keepNext w:val="0"/>
                    <w:keepLines w:val="0"/>
                    <w:widowControl/>
                    <w:suppressLineNumbers w:val="0"/>
                    <w:spacing w:before="0" w:beforeAutospacing="0" w:after="0" w:afterAutospacing="0" w:line="280" w:lineRule="exact"/>
                    <w:ind w:left="0" w:right="0"/>
                    <w:jc w:val="center"/>
                    <w:textAlignment w:val="center"/>
                    <w:rPr>
                      <w:rFonts w:hint="eastAsia" w:ascii="Times New Roman" w:hAnsi="Times New Roman" w:eastAsia="宋体" w:cs="Times New Roman"/>
                      <w:b w:val="0"/>
                      <w:bCs w:val="0"/>
                      <w:sz w:val="21"/>
                      <w:szCs w:val="21"/>
                      <w:highlight w:val="none"/>
                      <w:lang w:bidi="ar"/>
                    </w:rPr>
                  </w:pPr>
                  <w:r>
                    <w:rPr>
                      <w:rFonts w:hint="eastAsia" w:ascii="Times New Roman" w:hAnsi="Times New Roman" w:eastAsia="宋体" w:cs="Times New Roman"/>
                      <w:b w:val="0"/>
                      <w:bCs w:val="0"/>
                      <w:sz w:val="21"/>
                      <w:szCs w:val="21"/>
                      <w:highlight w:val="none"/>
                      <w:lang w:val="en-US" w:eastAsia="zh-CN" w:bidi="ar"/>
                    </w:rPr>
                    <w:t xml:space="preserve">产生速率 </w:t>
                  </w:r>
                  <w:r>
                    <w:rPr>
                      <w:rFonts w:hint="default" w:ascii="Times New Roman" w:hAnsi="Times New Roman" w:eastAsia="宋体" w:cs="Times New Roman"/>
                      <w:b w:val="0"/>
                      <w:bCs w:val="0"/>
                      <w:sz w:val="21"/>
                      <w:szCs w:val="21"/>
                      <w:highlight w:val="none"/>
                      <w:lang w:val="en-US" w:eastAsia="zh-CN" w:bidi="ar"/>
                    </w:rPr>
                    <w:t>kg/h</w:t>
                  </w:r>
                </w:p>
              </w:tc>
              <w:tc>
                <w:tcPr>
                  <w:tcW w:w="714" w:type="pct"/>
                  <w:noWrap w:val="0"/>
                  <w:vAlign w:val="center"/>
                </w:tcPr>
                <w:p w14:paraId="7B6D2D99">
                  <w:pPr>
                    <w:keepNext w:val="0"/>
                    <w:keepLines w:val="0"/>
                    <w:widowControl/>
                    <w:suppressLineNumbers w:val="0"/>
                    <w:spacing w:before="0" w:beforeAutospacing="0" w:after="0" w:afterAutospacing="0" w:line="280" w:lineRule="exact"/>
                    <w:ind w:left="0" w:right="0"/>
                    <w:jc w:val="center"/>
                    <w:textAlignment w:val="center"/>
                    <w:rPr>
                      <w:rFonts w:hint="eastAsia" w:ascii="Times New Roman" w:hAnsi="Times New Roman" w:eastAsia="宋体" w:cs="Times New Roman"/>
                      <w:b w:val="0"/>
                      <w:bCs w:val="0"/>
                      <w:sz w:val="21"/>
                      <w:szCs w:val="21"/>
                      <w:highlight w:val="none"/>
                      <w:lang w:bidi="ar"/>
                    </w:rPr>
                  </w:pPr>
                  <w:r>
                    <w:rPr>
                      <w:rFonts w:hint="eastAsia" w:ascii="Times New Roman" w:hAnsi="Times New Roman" w:eastAsia="宋体" w:cs="Times New Roman"/>
                      <w:b w:val="0"/>
                      <w:bCs w:val="0"/>
                      <w:sz w:val="21"/>
                      <w:szCs w:val="21"/>
                      <w:highlight w:val="none"/>
                      <w:lang w:val="en-US" w:eastAsia="zh-CN" w:bidi="ar"/>
                    </w:rPr>
                    <w:t xml:space="preserve">排放量 </w:t>
                  </w:r>
                  <w:r>
                    <w:rPr>
                      <w:rFonts w:hint="default" w:ascii="Times New Roman" w:hAnsi="Times New Roman" w:eastAsia="宋体" w:cs="Times New Roman"/>
                      <w:b w:val="0"/>
                      <w:bCs w:val="0"/>
                      <w:sz w:val="21"/>
                      <w:szCs w:val="21"/>
                      <w:highlight w:val="none"/>
                      <w:lang w:val="en-US" w:eastAsia="zh-CN" w:bidi="ar"/>
                    </w:rPr>
                    <w:t>t/a</w:t>
                  </w:r>
                </w:p>
              </w:tc>
              <w:tc>
                <w:tcPr>
                  <w:tcW w:w="717" w:type="pct"/>
                  <w:noWrap w:val="0"/>
                  <w:vAlign w:val="center"/>
                </w:tcPr>
                <w:p w14:paraId="537C8F4D">
                  <w:pPr>
                    <w:keepNext w:val="0"/>
                    <w:keepLines w:val="0"/>
                    <w:widowControl/>
                    <w:suppressLineNumbers w:val="0"/>
                    <w:spacing w:before="0" w:beforeAutospacing="0" w:after="0" w:afterAutospacing="0" w:line="280" w:lineRule="exact"/>
                    <w:ind w:left="0" w:right="0"/>
                    <w:jc w:val="center"/>
                    <w:textAlignment w:val="center"/>
                    <w:rPr>
                      <w:rFonts w:hint="eastAsia" w:ascii="Times New Roman" w:hAnsi="Times New Roman" w:eastAsia="宋体" w:cs="Times New Roman"/>
                      <w:b w:val="0"/>
                      <w:bCs w:val="0"/>
                      <w:sz w:val="21"/>
                      <w:szCs w:val="21"/>
                      <w:highlight w:val="none"/>
                      <w:lang w:bidi="ar"/>
                    </w:rPr>
                  </w:pPr>
                  <w:r>
                    <w:rPr>
                      <w:rFonts w:hint="eastAsia" w:ascii="Times New Roman" w:hAnsi="Times New Roman" w:eastAsia="宋体" w:cs="Times New Roman"/>
                      <w:b w:val="0"/>
                      <w:bCs w:val="0"/>
                      <w:sz w:val="21"/>
                      <w:szCs w:val="21"/>
                      <w:highlight w:val="none"/>
                      <w:lang w:val="en-US" w:eastAsia="zh-CN" w:bidi="ar"/>
                    </w:rPr>
                    <w:t xml:space="preserve">排放速率 </w:t>
                  </w:r>
                  <w:r>
                    <w:rPr>
                      <w:rFonts w:hint="default" w:ascii="Times New Roman" w:hAnsi="Times New Roman" w:eastAsia="宋体" w:cs="Times New Roman"/>
                      <w:b w:val="0"/>
                      <w:bCs w:val="0"/>
                      <w:sz w:val="21"/>
                      <w:szCs w:val="21"/>
                      <w:highlight w:val="none"/>
                      <w:lang w:val="en-US" w:eastAsia="zh-CN" w:bidi="ar"/>
                    </w:rPr>
                    <w:t>kg/h</w:t>
                  </w:r>
                </w:p>
              </w:tc>
            </w:tr>
            <w:tr w14:paraId="7022EA1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470" w:type="pct"/>
                  <w:vMerge w:val="restart"/>
                  <w:noWrap w:val="0"/>
                  <w:vAlign w:val="center"/>
                </w:tcPr>
                <w:p w14:paraId="7619E915">
                  <w:pPr>
                    <w:keepNext w:val="0"/>
                    <w:keepLines w:val="0"/>
                    <w:widowControl/>
                    <w:suppressLineNumbers w:val="0"/>
                    <w:spacing w:before="0" w:beforeAutospacing="0" w:after="0" w:afterAutospacing="0" w:line="280" w:lineRule="exact"/>
                    <w:ind w:left="0" w:right="0"/>
                    <w:jc w:val="center"/>
                    <w:textAlignment w:val="center"/>
                    <w:rPr>
                      <w:rFonts w:hint="default" w:ascii="Times New Roman" w:hAnsi="Times New Roman" w:eastAsia="宋体" w:cs="Times New Roman"/>
                      <w:b w:val="0"/>
                      <w:bCs w:val="0"/>
                      <w:sz w:val="21"/>
                      <w:szCs w:val="21"/>
                      <w:highlight w:val="none"/>
                      <w:lang w:val="en-US" w:eastAsia="zh-CN" w:bidi="ar"/>
                    </w:rPr>
                  </w:pPr>
                  <w:r>
                    <w:rPr>
                      <w:rFonts w:hint="eastAsia" w:cs="Times New Roman"/>
                      <w:b w:val="0"/>
                      <w:bCs w:val="0"/>
                      <w:sz w:val="21"/>
                      <w:szCs w:val="21"/>
                      <w:highlight w:val="none"/>
                      <w:lang w:val="en-US" w:eastAsia="zh-CN" w:bidi="ar"/>
                    </w:rPr>
                    <w:t>解剖</w:t>
                  </w:r>
                  <w:r>
                    <w:rPr>
                      <w:rFonts w:hint="eastAsia" w:ascii="Times New Roman" w:hAnsi="Times New Roman" w:eastAsia="宋体" w:cs="Times New Roman"/>
                      <w:b w:val="0"/>
                      <w:bCs w:val="0"/>
                      <w:sz w:val="21"/>
                      <w:szCs w:val="21"/>
                      <w:highlight w:val="none"/>
                      <w:lang w:val="en-US" w:eastAsia="zh-CN" w:bidi="ar"/>
                    </w:rPr>
                    <w:t>废气</w:t>
                  </w:r>
                </w:p>
              </w:tc>
              <w:tc>
                <w:tcPr>
                  <w:tcW w:w="534" w:type="pct"/>
                  <w:noWrap w:val="0"/>
                  <w:vAlign w:val="center"/>
                </w:tcPr>
                <w:p w14:paraId="2DAFA5CF">
                  <w:pPr>
                    <w:keepNext w:val="0"/>
                    <w:keepLines w:val="0"/>
                    <w:widowControl/>
                    <w:suppressLineNumbers w:val="0"/>
                    <w:spacing w:before="0" w:beforeAutospacing="0" w:after="0" w:afterAutospacing="0" w:line="280" w:lineRule="exact"/>
                    <w:ind w:left="0" w:right="0"/>
                    <w:jc w:val="center"/>
                    <w:textAlignment w:val="center"/>
                    <w:rPr>
                      <w:rFonts w:hint="default" w:ascii="Times New Roman" w:hAnsi="Times New Roman" w:eastAsia="宋体" w:cs="Times New Roman"/>
                      <w:b w:val="0"/>
                      <w:bCs w:val="0"/>
                      <w:sz w:val="21"/>
                      <w:szCs w:val="21"/>
                      <w:highlight w:val="none"/>
                      <w:lang w:val="en-US" w:eastAsia="zh-CN" w:bidi="ar"/>
                    </w:rPr>
                  </w:pPr>
                  <w:r>
                    <w:rPr>
                      <w:rFonts w:hint="eastAsia" w:ascii="Times New Roman" w:hAnsi="Times New Roman" w:eastAsia="宋体" w:cs="Times New Roman"/>
                      <w:b w:val="0"/>
                      <w:bCs w:val="0"/>
                      <w:sz w:val="21"/>
                      <w:szCs w:val="21"/>
                      <w:highlight w:val="none"/>
                      <w:lang w:val="en-US" w:eastAsia="zh-CN" w:bidi="ar"/>
                    </w:rPr>
                    <w:t>DA007</w:t>
                  </w:r>
                </w:p>
              </w:tc>
              <w:tc>
                <w:tcPr>
                  <w:tcW w:w="568" w:type="pct"/>
                  <w:shd w:val="clear" w:color="auto" w:fill="auto"/>
                  <w:noWrap w:val="0"/>
                  <w:vAlign w:val="center"/>
                </w:tcPr>
                <w:p w14:paraId="06DE1BFD">
                  <w:pPr>
                    <w:keepNext w:val="0"/>
                    <w:keepLines w:val="0"/>
                    <w:widowControl/>
                    <w:suppressLineNumbers w:val="0"/>
                    <w:spacing w:before="0" w:beforeAutospacing="0" w:after="0" w:afterAutospacing="0" w:line="280" w:lineRule="exact"/>
                    <w:ind w:left="0" w:right="0"/>
                    <w:jc w:val="center"/>
                    <w:textAlignment w:val="center"/>
                    <w:rPr>
                      <w:rFonts w:hint="eastAsia" w:ascii="Times New Roman" w:hAnsi="Times New Roman" w:eastAsia="宋体" w:cs="Times New Roman"/>
                      <w:b w:val="0"/>
                      <w:bCs w:val="0"/>
                      <w:kern w:val="2"/>
                      <w:sz w:val="21"/>
                      <w:szCs w:val="21"/>
                      <w:highlight w:val="none"/>
                      <w:lang w:val="en-US" w:eastAsia="zh-CN" w:bidi="ar"/>
                    </w:rPr>
                  </w:pPr>
                  <w:r>
                    <w:rPr>
                      <w:rFonts w:hint="eastAsia" w:ascii="Times New Roman" w:hAnsi="Times New Roman" w:eastAsia="宋体" w:cs="Times New Roman"/>
                      <w:b w:val="0"/>
                      <w:bCs w:val="0"/>
                      <w:sz w:val="21"/>
                      <w:szCs w:val="21"/>
                      <w:highlight w:val="none"/>
                      <w:lang w:val="en-US" w:eastAsia="zh-CN" w:bidi="ar"/>
                    </w:rPr>
                    <w:t>有组织</w:t>
                  </w:r>
                </w:p>
              </w:tc>
              <w:tc>
                <w:tcPr>
                  <w:tcW w:w="652" w:type="pct"/>
                  <w:vMerge w:val="restart"/>
                  <w:noWrap w:val="0"/>
                  <w:vAlign w:val="center"/>
                </w:tcPr>
                <w:p w14:paraId="67C1E8B5">
                  <w:pPr>
                    <w:keepNext w:val="0"/>
                    <w:keepLines w:val="0"/>
                    <w:widowControl/>
                    <w:suppressLineNumbers w:val="0"/>
                    <w:spacing w:before="0" w:beforeAutospacing="0" w:after="0" w:afterAutospacing="0" w:line="280" w:lineRule="exact"/>
                    <w:ind w:left="0" w:right="0"/>
                    <w:jc w:val="center"/>
                    <w:textAlignment w:val="center"/>
                    <w:rPr>
                      <w:rFonts w:hint="default" w:ascii="Times New Roman" w:hAnsi="Times New Roman" w:eastAsia="宋体" w:cs="Times New Roman"/>
                      <w:b w:val="0"/>
                      <w:bCs/>
                      <w:sz w:val="21"/>
                      <w:szCs w:val="21"/>
                      <w:highlight w:val="none"/>
                      <w:lang w:val="en-US" w:eastAsia="zh-CN" w:bidi="ar"/>
                    </w:rPr>
                  </w:pPr>
                  <w:r>
                    <w:rPr>
                      <w:rFonts w:hint="eastAsia" w:cs="Times New Roman"/>
                      <w:b w:val="0"/>
                      <w:bCs/>
                      <w:sz w:val="21"/>
                      <w:szCs w:val="21"/>
                      <w:highlight w:val="none"/>
                      <w:lang w:val="en-US" w:eastAsia="zh-CN" w:bidi="ar"/>
                    </w:rPr>
                    <w:t>甲醛</w:t>
                  </w:r>
                </w:p>
              </w:tc>
              <w:tc>
                <w:tcPr>
                  <w:tcW w:w="624" w:type="pct"/>
                  <w:noWrap w:val="0"/>
                  <w:vAlign w:val="center"/>
                </w:tcPr>
                <w:p w14:paraId="527A354E">
                  <w:pPr>
                    <w:pStyle w:val="120"/>
                    <w:keepNext w:val="0"/>
                    <w:keepLines w:val="0"/>
                    <w:framePr w:hSpace="0" w:wrap="auto" w:vAnchor="margin" w:hAnchor="text" w:xAlign="left" w:yAlign="inline"/>
                    <w:suppressLineNumbers w:val="0"/>
                    <w:spacing w:before="0" w:beforeAutospacing="0" w:after="0" w:afterAutospacing="0"/>
                    <w:ind w:left="0" w:right="0"/>
                    <w:rPr>
                      <w:rFonts w:hint="default" w:ascii="Times New Roman" w:hAnsi="Times New Roman" w:eastAsia="宋体" w:cs="Times New Roman"/>
                      <w:b w:val="0"/>
                      <w:bCs w:val="0"/>
                      <w:sz w:val="21"/>
                      <w:szCs w:val="21"/>
                      <w:highlight w:val="none"/>
                      <w:lang w:val="en-US" w:eastAsia="zh-CN" w:bidi="ar"/>
                    </w:rPr>
                  </w:pPr>
                  <w:r>
                    <w:rPr>
                      <w:rFonts w:hint="eastAsia" w:ascii="Times New Roman" w:hAnsi="Times New Roman" w:eastAsia="宋体" w:cs="Times New Roman"/>
                      <w:b w:val="0"/>
                      <w:bCs w:val="0"/>
                      <w:sz w:val="21"/>
                      <w:szCs w:val="21"/>
                      <w:highlight w:val="none"/>
                      <w:lang w:val="en-US" w:eastAsia="zh-CN" w:bidi="ar"/>
                    </w:rPr>
                    <w:t>0.0</w:t>
                  </w:r>
                  <w:r>
                    <w:rPr>
                      <w:rFonts w:hint="eastAsia" w:cs="Times New Roman"/>
                      <w:b w:val="0"/>
                      <w:bCs w:val="0"/>
                      <w:sz w:val="21"/>
                      <w:szCs w:val="21"/>
                      <w:highlight w:val="none"/>
                      <w:lang w:val="en-US" w:eastAsia="zh-CN" w:bidi="ar"/>
                    </w:rPr>
                    <w:t>09</w:t>
                  </w:r>
                </w:p>
              </w:tc>
              <w:tc>
                <w:tcPr>
                  <w:tcW w:w="717" w:type="pct"/>
                  <w:noWrap w:val="0"/>
                  <w:vAlign w:val="center"/>
                </w:tcPr>
                <w:p w14:paraId="74357B0E">
                  <w:pPr>
                    <w:pStyle w:val="120"/>
                    <w:keepNext w:val="0"/>
                    <w:keepLines w:val="0"/>
                    <w:framePr w:hSpace="0" w:wrap="auto" w:vAnchor="margin" w:hAnchor="text" w:xAlign="left" w:yAlign="inline"/>
                    <w:suppressLineNumbers w:val="0"/>
                    <w:spacing w:before="0" w:beforeAutospacing="0" w:after="0" w:afterAutospacing="0"/>
                    <w:ind w:left="0" w:right="0"/>
                    <w:rPr>
                      <w:rFonts w:hint="default" w:ascii="Times New Roman" w:hAnsi="Times New Roman" w:eastAsia="宋体" w:cs="Times New Roman"/>
                      <w:b w:val="0"/>
                      <w:bCs w:val="0"/>
                      <w:sz w:val="21"/>
                      <w:szCs w:val="21"/>
                      <w:highlight w:val="none"/>
                      <w:lang w:val="en-US" w:eastAsia="zh-CN" w:bidi="ar"/>
                    </w:rPr>
                  </w:pPr>
                  <w:r>
                    <w:rPr>
                      <w:rFonts w:hint="eastAsia" w:ascii="Times New Roman" w:hAnsi="Times New Roman" w:eastAsia="宋体" w:cs="Times New Roman"/>
                      <w:b w:val="0"/>
                      <w:bCs w:val="0"/>
                      <w:sz w:val="21"/>
                      <w:szCs w:val="21"/>
                      <w:highlight w:val="none"/>
                      <w:lang w:val="en-US" w:eastAsia="zh-CN" w:bidi="ar"/>
                    </w:rPr>
                    <w:t>0.00</w:t>
                  </w:r>
                  <w:r>
                    <w:rPr>
                      <w:rFonts w:hint="eastAsia" w:cs="Times New Roman"/>
                      <w:b w:val="0"/>
                      <w:bCs w:val="0"/>
                      <w:sz w:val="21"/>
                      <w:szCs w:val="21"/>
                      <w:highlight w:val="none"/>
                      <w:lang w:val="en-US" w:eastAsia="zh-CN" w:bidi="ar"/>
                    </w:rPr>
                    <w:t>4</w:t>
                  </w:r>
                </w:p>
              </w:tc>
              <w:tc>
                <w:tcPr>
                  <w:tcW w:w="714" w:type="pct"/>
                  <w:shd w:val="clear" w:color="auto" w:fill="auto"/>
                  <w:noWrap w:val="0"/>
                  <w:vAlign w:val="center"/>
                </w:tcPr>
                <w:p w14:paraId="0FA73EAF">
                  <w:pPr>
                    <w:pStyle w:val="120"/>
                    <w:keepNext w:val="0"/>
                    <w:keepLines w:val="0"/>
                    <w:framePr w:hSpace="0" w:wrap="auto" w:vAnchor="margin" w:hAnchor="text" w:xAlign="left" w:yAlign="inline"/>
                    <w:suppressLineNumbers w:val="0"/>
                    <w:spacing w:before="0" w:beforeAutospacing="0" w:after="0" w:afterAutospacing="0"/>
                    <w:ind w:left="0" w:right="0"/>
                    <w:rPr>
                      <w:rFonts w:hint="default" w:ascii="Times New Roman" w:hAnsi="Times New Roman" w:eastAsia="宋体" w:cs="Times New Roman"/>
                      <w:b w:val="0"/>
                      <w:bCs w:val="0"/>
                      <w:color w:val="000000"/>
                      <w:kern w:val="2"/>
                      <w:sz w:val="21"/>
                      <w:szCs w:val="21"/>
                      <w:highlight w:val="none"/>
                      <w:lang w:val="en-US" w:eastAsia="zh-CN" w:bidi="ar"/>
                    </w:rPr>
                  </w:pPr>
                  <w:r>
                    <w:rPr>
                      <w:rFonts w:hint="eastAsia" w:ascii="Times New Roman" w:hAnsi="Times New Roman" w:eastAsia="宋体" w:cs="Times New Roman"/>
                      <w:b w:val="0"/>
                      <w:bCs w:val="0"/>
                      <w:sz w:val="21"/>
                      <w:szCs w:val="21"/>
                      <w:highlight w:val="none"/>
                      <w:lang w:val="en-US" w:eastAsia="zh-CN" w:bidi="ar"/>
                    </w:rPr>
                    <w:t>0.0</w:t>
                  </w:r>
                  <w:r>
                    <w:rPr>
                      <w:rFonts w:hint="eastAsia" w:cs="Times New Roman"/>
                      <w:b w:val="0"/>
                      <w:bCs w:val="0"/>
                      <w:sz w:val="21"/>
                      <w:szCs w:val="21"/>
                      <w:highlight w:val="none"/>
                      <w:lang w:val="en-US" w:eastAsia="zh-CN" w:bidi="ar"/>
                    </w:rPr>
                    <w:t>09</w:t>
                  </w:r>
                </w:p>
              </w:tc>
              <w:tc>
                <w:tcPr>
                  <w:tcW w:w="717" w:type="pct"/>
                  <w:shd w:val="clear" w:color="auto" w:fill="auto"/>
                  <w:noWrap w:val="0"/>
                  <w:vAlign w:val="center"/>
                </w:tcPr>
                <w:p w14:paraId="5423F60F">
                  <w:pPr>
                    <w:pStyle w:val="120"/>
                    <w:keepNext w:val="0"/>
                    <w:keepLines w:val="0"/>
                    <w:framePr w:hSpace="0" w:wrap="auto" w:vAnchor="margin" w:hAnchor="text" w:xAlign="left" w:yAlign="inline"/>
                    <w:suppressLineNumbers w:val="0"/>
                    <w:spacing w:before="0" w:beforeAutospacing="0" w:after="0" w:afterAutospacing="0"/>
                    <w:ind w:left="0" w:right="0"/>
                    <w:rPr>
                      <w:rFonts w:hint="default" w:ascii="Times New Roman" w:hAnsi="Times New Roman" w:eastAsia="宋体" w:cs="Times New Roman"/>
                      <w:b w:val="0"/>
                      <w:bCs w:val="0"/>
                      <w:color w:val="000000"/>
                      <w:kern w:val="2"/>
                      <w:sz w:val="21"/>
                      <w:szCs w:val="21"/>
                      <w:highlight w:val="none"/>
                      <w:lang w:val="en-US" w:eastAsia="zh-CN" w:bidi="ar"/>
                    </w:rPr>
                  </w:pPr>
                  <w:r>
                    <w:rPr>
                      <w:rFonts w:hint="eastAsia" w:ascii="Times New Roman" w:hAnsi="Times New Roman" w:eastAsia="宋体" w:cs="Times New Roman"/>
                      <w:b w:val="0"/>
                      <w:bCs w:val="0"/>
                      <w:sz w:val="21"/>
                      <w:szCs w:val="21"/>
                      <w:highlight w:val="none"/>
                      <w:lang w:val="en-US" w:eastAsia="zh-CN" w:bidi="ar"/>
                    </w:rPr>
                    <w:t>0.00</w:t>
                  </w:r>
                  <w:r>
                    <w:rPr>
                      <w:rFonts w:hint="eastAsia" w:cs="Times New Roman"/>
                      <w:b w:val="0"/>
                      <w:bCs w:val="0"/>
                      <w:sz w:val="21"/>
                      <w:szCs w:val="21"/>
                      <w:highlight w:val="none"/>
                      <w:lang w:val="en-US" w:eastAsia="zh-CN" w:bidi="ar"/>
                    </w:rPr>
                    <w:t>4</w:t>
                  </w:r>
                </w:p>
              </w:tc>
            </w:tr>
            <w:tr w14:paraId="7BD786E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470" w:type="pct"/>
                  <w:vMerge w:val="continue"/>
                  <w:noWrap w:val="0"/>
                  <w:vAlign w:val="center"/>
                </w:tcPr>
                <w:p w14:paraId="56B349A2">
                  <w:pPr>
                    <w:keepNext w:val="0"/>
                    <w:keepLines w:val="0"/>
                    <w:widowControl/>
                    <w:suppressLineNumbers w:val="0"/>
                    <w:spacing w:before="0" w:beforeAutospacing="0" w:after="0" w:afterAutospacing="0" w:line="280" w:lineRule="exact"/>
                    <w:ind w:left="0" w:right="0"/>
                    <w:jc w:val="center"/>
                    <w:textAlignment w:val="center"/>
                    <w:rPr>
                      <w:rFonts w:hint="eastAsia" w:ascii="Times New Roman" w:hAnsi="Times New Roman" w:eastAsia="宋体" w:cs="Times New Roman"/>
                      <w:b w:val="0"/>
                      <w:bCs w:val="0"/>
                      <w:sz w:val="21"/>
                      <w:szCs w:val="21"/>
                      <w:highlight w:val="none"/>
                      <w:lang w:val="en-US" w:eastAsia="zh-CN" w:bidi="ar"/>
                    </w:rPr>
                  </w:pPr>
                </w:p>
              </w:tc>
              <w:tc>
                <w:tcPr>
                  <w:tcW w:w="1102" w:type="pct"/>
                  <w:gridSpan w:val="2"/>
                  <w:noWrap w:val="0"/>
                  <w:vAlign w:val="center"/>
                </w:tcPr>
                <w:p w14:paraId="72271987">
                  <w:pPr>
                    <w:keepNext w:val="0"/>
                    <w:keepLines w:val="0"/>
                    <w:widowControl/>
                    <w:suppressLineNumbers w:val="0"/>
                    <w:spacing w:before="0" w:beforeAutospacing="0" w:after="0" w:afterAutospacing="0" w:line="280" w:lineRule="exact"/>
                    <w:ind w:left="0" w:right="0"/>
                    <w:jc w:val="center"/>
                    <w:textAlignment w:val="center"/>
                    <w:rPr>
                      <w:rFonts w:hint="eastAsia" w:cs="Times New Roman"/>
                      <w:b w:val="0"/>
                      <w:bCs w:val="0"/>
                      <w:sz w:val="21"/>
                      <w:szCs w:val="21"/>
                      <w:highlight w:val="none"/>
                      <w:lang w:val="en-US" w:eastAsia="zh-CN" w:bidi="ar"/>
                    </w:rPr>
                  </w:pPr>
                  <w:r>
                    <w:rPr>
                      <w:rFonts w:hint="eastAsia" w:ascii="Times New Roman" w:hAnsi="Times New Roman" w:eastAsia="宋体" w:cs="Times New Roman"/>
                      <w:b w:val="0"/>
                      <w:bCs w:val="0"/>
                      <w:sz w:val="21"/>
                      <w:szCs w:val="21"/>
                      <w:highlight w:val="none"/>
                      <w:lang w:val="en-US" w:eastAsia="zh-CN" w:bidi="ar"/>
                    </w:rPr>
                    <w:t>无组织</w:t>
                  </w:r>
                </w:p>
              </w:tc>
              <w:tc>
                <w:tcPr>
                  <w:tcW w:w="652" w:type="pct"/>
                  <w:vMerge w:val="continue"/>
                  <w:noWrap w:val="0"/>
                  <w:vAlign w:val="center"/>
                </w:tcPr>
                <w:p w14:paraId="64A44452">
                  <w:pPr>
                    <w:keepNext w:val="0"/>
                    <w:keepLines w:val="0"/>
                    <w:widowControl/>
                    <w:suppressLineNumbers w:val="0"/>
                    <w:spacing w:before="0" w:beforeAutospacing="0" w:after="0" w:afterAutospacing="0" w:line="280" w:lineRule="exact"/>
                    <w:ind w:left="0" w:right="0"/>
                    <w:jc w:val="center"/>
                    <w:textAlignment w:val="center"/>
                    <w:rPr>
                      <w:rFonts w:hint="default" w:ascii="Times New Roman" w:hAnsi="Times New Roman" w:eastAsia="宋体" w:cs="Times New Roman"/>
                      <w:b w:val="0"/>
                      <w:bCs/>
                      <w:sz w:val="21"/>
                      <w:szCs w:val="21"/>
                      <w:highlight w:val="none"/>
                      <w:lang w:val="en-US" w:eastAsia="zh-CN" w:bidi="ar"/>
                    </w:rPr>
                  </w:pPr>
                </w:p>
              </w:tc>
              <w:tc>
                <w:tcPr>
                  <w:tcW w:w="624" w:type="pct"/>
                  <w:noWrap w:val="0"/>
                  <w:vAlign w:val="center"/>
                </w:tcPr>
                <w:p w14:paraId="43A8806E">
                  <w:pPr>
                    <w:keepNext w:val="0"/>
                    <w:keepLines w:val="0"/>
                    <w:suppressLineNumbers w:val="0"/>
                    <w:spacing w:before="0" w:beforeAutospacing="0" w:after="0" w:afterAutospacing="0"/>
                    <w:ind w:left="0" w:right="0"/>
                    <w:jc w:val="center"/>
                    <w:rPr>
                      <w:rFonts w:hint="default" w:ascii="Times New Roman" w:hAnsi="Times New Roman" w:eastAsia="宋体" w:cs="Times New Roman"/>
                      <w:b w:val="0"/>
                      <w:bCs w:val="0"/>
                      <w:sz w:val="21"/>
                      <w:szCs w:val="21"/>
                      <w:highlight w:val="none"/>
                      <w:lang w:val="en-US" w:eastAsia="zh-CN" w:bidi="ar"/>
                    </w:rPr>
                  </w:pPr>
                  <w:r>
                    <w:rPr>
                      <w:rFonts w:hint="eastAsia" w:cs="Times New Roman"/>
                      <w:b w:val="0"/>
                      <w:bCs w:val="0"/>
                      <w:sz w:val="21"/>
                      <w:szCs w:val="21"/>
                      <w:highlight w:val="none"/>
                      <w:lang w:val="en-US" w:eastAsia="zh-CN" w:bidi="ar"/>
                    </w:rPr>
                    <w:t>0.001</w:t>
                  </w:r>
                </w:p>
              </w:tc>
              <w:tc>
                <w:tcPr>
                  <w:tcW w:w="717" w:type="pct"/>
                  <w:noWrap w:val="0"/>
                  <w:vAlign w:val="center"/>
                </w:tcPr>
                <w:p w14:paraId="68241B12">
                  <w:pPr>
                    <w:keepNext w:val="0"/>
                    <w:keepLines w:val="0"/>
                    <w:suppressLineNumbers w:val="0"/>
                    <w:spacing w:before="0" w:beforeAutospacing="0" w:after="0" w:afterAutospacing="0"/>
                    <w:ind w:left="0" w:right="0"/>
                    <w:jc w:val="center"/>
                    <w:rPr>
                      <w:rFonts w:hint="default" w:ascii="Times New Roman" w:hAnsi="Times New Roman" w:eastAsia="宋体" w:cs="Times New Roman"/>
                      <w:b w:val="0"/>
                      <w:bCs w:val="0"/>
                      <w:sz w:val="21"/>
                      <w:szCs w:val="21"/>
                      <w:highlight w:val="none"/>
                      <w:lang w:val="en-US" w:eastAsia="zh-CN" w:bidi="ar"/>
                    </w:rPr>
                  </w:pPr>
                  <w:r>
                    <w:rPr>
                      <w:rFonts w:hint="eastAsia" w:cs="Times New Roman"/>
                      <w:b w:val="0"/>
                      <w:bCs w:val="0"/>
                      <w:sz w:val="21"/>
                      <w:szCs w:val="21"/>
                      <w:highlight w:val="none"/>
                      <w:lang w:val="en-US" w:eastAsia="zh-CN" w:bidi="ar"/>
                    </w:rPr>
                    <w:t>~0</w:t>
                  </w:r>
                </w:p>
              </w:tc>
              <w:tc>
                <w:tcPr>
                  <w:tcW w:w="714" w:type="pct"/>
                  <w:shd w:val="clear" w:color="auto" w:fill="auto"/>
                  <w:noWrap w:val="0"/>
                  <w:vAlign w:val="center"/>
                </w:tcPr>
                <w:p w14:paraId="74FD4B8C">
                  <w:pPr>
                    <w:keepNext w:val="0"/>
                    <w:keepLines w:val="0"/>
                    <w:suppressLineNumbers w:val="0"/>
                    <w:spacing w:before="0" w:beforeAutospacing="0" w:after="0" w:afterAutospacing="0"/>
                    <w:ind w:left="0" w:right="0"/>
                    <w:jc w:val="center"/>
                    <w:rPr>
                      <w:rFonts w:hint="default" w:ascii="Times New Roman" w:hAnsi="Times New Roman" w:eastAsia="宋体" w:cs="Times New Roman"/>
                      <w:b w:val="0"/>
                      <w:bCs w:val="0"/>
                      <w:kern w:val="2"/>
                      <w:sz w:val="21"/>
                      <w:szCs w:val="21"/>
                      <w:highlight w:val="none"/>
                      <w:lang w:val="en-US" w:eastAsia="zh-CN" w:bidi="ar"/>
                    </w:rPr>
                  </w:pPr>
                  <w:r>
                    <w:rPr>
                      <w:rFonts w:hint="eastAsia" w:cs="Times New Roman"/>
                      <w:b w:val="0"/>
                      <w:bCs w:val="0"/>
                      <w:sz w:val="21"/>
                      <w:szCs w:val="21"/>
                      <w:highlight w:val="none"/>
                      <w:lang w:val="en-US" w:eastAsia="zh-CN" w:bidi="ar"/>
                    </w:rPr>
                    <w:t>0.001</w:t>
                  </w:r>
                </w:p>
              </w:tc>
              <w:tc>
                <w:tcPr>
                  <w:tcW w:w="717" w:type="pct"/>
                  <w:shd w:val="clear" w:color="auto" w:fill="auto"/>
                  <w:noWrap w:val="0"/>
                  <w:vAlign w:val="center"/>
                </w:tcPr>
                <w:p w14:paraId="001DD1F8">
                  <w:pPr>
                    <w:keepNext w:val="0"/>
                    <w:keepLines w:val="0"/>
                    <w:suppressLineNumbers w:val="0"/>
                    <w:spacing w:before="0" w:beforeAutospacing="0" w:after="0" w:afterAutospacing="0"/>
                    <w:ind w:left="0" w:right="0"/>
                    <w:jc w:val="center"/>
                    <w:rPr>
                      <w:rFonts w:hint="default" w:ascii="Times New Roman" w:hAnsi="Times New Roman" w:eastAsia="宋体" w:cs="Times New Roman"/>
                      <w:b w:val="0"/>
                      <w:bCs w:val="0"/>
                      <w:kern w:val="2"/>
                      <w:sz w:val="21"/>
                      <w:szCs w:val="21"/>
                      <w:highlight w:val="none"/>
                      <w:lang w:val="en-US" w:eastAsia="zh-CN" w:bidi="ar"/>
                    </w:rPr>
                  </w:pPr>
                  <w:r>
                    <w:rPr>
                      <w:rFonts w:hint="eastAsia" w:cs="Times New Roman"/>
                      <w:b w:val="0"/>
                      <w:bCs w:val="0"/>
                      <w:sz w:val="21"/>
                      <w:szCs w:val="21"/>
                      <w:highlight w:val="none"/>
                      <w:lang w:val="en-US" w:eastAsia="zh-CN" w:bidi="ar"/>
                    </w:rPr>
                    <w:t>~0</w:t>
                  </w:r>
                </w:p>
              </w:tc>
            </w:tr>
            <w:tr w14:paraId="710DB73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470" w:type="pct"/>
                  <w:vMerge w:val="continue"/>
                  <w:noWrap w:val="0"/>
                  <w:vAlign w:val="center"/>
                </w:tcPr>
                <w:p w14:paraId="76CC9B6D">
                  <w:pPr>
                    <w:keepNext w:val="0"/>
                    <w:keepLines w:val="0"/>
                    <w:widowControl/>
                    <w:suppressLineNumbers w:val="0"/>
                    <w:spacing w:before="0" w:beforeAutospacing="0" w:after="0" w:afterAutospacing="0" w:line="280" w:lineRule="exact"/>
                    <w:ind w:left="0" w:right="0"/>
                    <w:jc w:val="center"/>
                    <w:textAlignment w:val="center"/>
                    <w:rPr>
                      <w:rFonts w:hint="eastAsia" w:ascii="Times New Roman" w:hAnsi="Times New Roman" w:eastAsia="宋体" w:cs="Times New Roman"/>
                      <w:b w:val="0"/>
                      <w:bCs w:val="0"/>
                      <w:sz w:val="21"/>
                      <w:szCs w:val="21"/>
                      <w:highlight w:val="none"/>
                      <w:lang w:val="en-US" w:eastAsia="zh-CN" w:bidi="ar"/>
                    </w:rPr>
                  </w:pPr>
                </w:p>
              </w:tc>
              <w:tc>
                <w:tcPr>
                  <w:tcW w:w="534" w:type="pct"/>
                  <w:noWrap w:val="0"/>
                  <w:vAlign w:val="center"/>
                </w:tcPr>
                <w:p w14:paraId="4ECB6119">
                  <w:pPr>
                    <w:keepNext w:val="0"/>
                    <w:keepLines w:val="0"/>
                    <w:widowControl/>
                    <w:suppressLineNumbers w:val="0"/>
                    <w:spacing w:before="0" w:beforeAutospacing="0" w:after="0" w:afterAutospacing="0" w:line="280" w:lineRule="exact"/>
                    <w:ind w:left="0" w:right="0"/>
                    <w:jc w:val="center"/>
                    <w:textAlignment w:val="center"/>
                    <w:rPr>
                      <w:rFonts w:hint="default" w:ascii="Times New Roman" w:hAnsi="Times New Roman" w:eastAsia="宋体" w:cs="Times New Roman"/>
                      <w:b w:val="0"/>
                      <w:bCs w:val="0"/>
                      <w:sz w:val="21"/>
                      <w:szCs w:val="21"/>
                      <w:highlight w:val="none"/>
                      <w:lang w:val="en-US" w:eastAsia="zh-CN" w:bidi="ar"/>
                    </w:rPr>
                  </w:pPr>
                  <w:r>
                    <w:rPr>
                      <w:rFonts w:hint="eastAsia" w:ascii="Times New Roman" w:hAnsi="Times New Roman" w:eastAsia="宋体" w:cs="Times New Roman"/>
                      <w:b w:val="0"/>
                      <w:bCs w:val="0"/>
                      <w:sz w:val="21"/>
                      <w:szCs w:val="21"/>
                      <w:highlight w:val="none"/>
                      <w:lang w:val="en-US" w:eastAsia="zh-CN" w:bidi="ar"/>
                    </w:rPr>
                    <w:t>DA009</w:t>
                  </w:r>
                </w:p>
              </w:tc>
              <w:tc>
                <w:tcPr>
                  <w:tcW w:w="568" w:type="pct"/>
                  <w:shd w:val="clear" w:color="auto" w:fill="auto"/>
                  <w:noWrap w:val="0"/>
                  <w:vAlign w:val="center"/>
                </w:tcPr>
                <w:p w14:paraId="545E4B8E">
                  <w:pPr>
                    <w:keepNext w:val="0"/>
                    <w:keepLines w:val="0"/>
                    <w:widowControl/>
                    <w:suppressLineNumbers w:val="0"/>
                    <w:spacing w:before="0" w:beforeAutospacing="0" w:after="0" w:afterAutospacing="0" w:line="280" w:lineRule="exact"/>
                    <w:ind w:left="0" w:right="0"/>
                    <w:jc w:val="center"/>
                    <w:textAlignment w:val="center"/>
                    <w:rPr>
                      <w:rFonts w:hint="eastAsia" w:cs="Times New Roman"/>
                      <w:b w:val="0"/>
                      <w:bCs w:val="0"/>
                      <w:sz w:val="21"/>
                      <w:szCs w:val="21"/>
                      <w:highlight w:val="none"/>
                      <w:lang w:val="en-US" w:eastAsia="zh-CN" w:bidi="ar"/>
                    </w:rPr>
                  </w:pPr>
                  <w:r>
                    <w:rPr>
                      <w:rFonts w:hint="eastAsia" w:cs="Times New Roman"/>
                      <w:b w:val="0"/>
                      <w:bCs w:val="0"/>
                      <w:sz w:val="21"/>
                      <w:szCs w:val="21"/>
                      <w:highlight w:val="none"/>
                      <w:lang w:val="en-US" w:eastAsia="zh-CN" w:bidi="ar"/>
                    </w:rPr>
                    <w:t>有组织</w:t>
                  </w:r>
                </w:p>
              </w:tc>
              <w:tc>
                <w:tcPr>
                  <w:tcW w:w="652" w:type="pct"/>
                  <w:vMerge w:val="restart"/>
                  <w:shd w:val="clear" w:color="auto" w:fill="auto"/>
                  <w:noWrap w:val="0"/>
                  <w:vAlign w:val="center"/>
                </w:tcPr>
                <w:p w14:paraId="28197B9F">
                  <w:pPr>
                    <w:keepNext w:val="0"/>
                    <w:keepLines w:val="0"/>
                    <w:widowControl/>
                    <w:suppressLineNumbers w:val="0"/>
                    <w:spacing w:before="0" w:beforeAutospacing="0" w:after="0" w:afterAutospacing="0" w:line="280" w:lineRule="exact"/>
                    <w:ind w:left="0" w:right="0"/>
                    <w:jc w:val="center"/>
                    <w:textAlignment w:val="center"/>
                    <w:rPr>
                      <w:rFonts w:hint="eastAsia" w:ascii="Times New Roman" w:hAnsi="Times New Roman" w:eastAsia="宋体" w:cs="Times New Roman"/>
                      <w:b w:val="0"/>
                      <w:bCs/>
                      <w:kern w:val="2"/>
                      <w:sz w:val="21"/>
                      <w:szCs w:val="21"/>
                      <w:highlight w:val="none"/>
                      <w:lang w:val="en-US" w:eastAsia="zh-CN" w:bidi="ar"/>
                    </w:rPr>
                  </w:pPr>
                  <w:r>
                    <w:rPr>
                      <w:rFonts w:hint="eastAsia" w:cs="Times New Roman"/>
                      <w:b w:val="0"/>
                      <w:bCs/>
                      <w:sz w:val="21"/>
                      <w:szCs w:val="21"/>
                      <w:highlight w:val="none"/>
                      <w:lang w:val="en-US" w:eastAsia="zh-CN" w:bidi="ar"/>
                    </w:rPr>
                    <w:t>甲醛</w:t>
                  </w:r>
                </w:p>
              </w:tc>
              <w:tc>
                <w:tcPr>
                  <w:tcW w:w="1021" w:type="dxa"/>
                  <w:shd w:val="clear" w:color="auto" w:fill="auto"/>
                  <w:noWrap w:val="0"/>
                  <w:vAlign w:val="center"/>
                </w:tcPr>
                <w:p w14:paraId="6073D97F">
                  <w:pPr>
                    <w:pStyle w:val="120"/>
                    <w:keepNext w:val="0"/>
                    <w:keepLines w:val="0"/>
                    <w:framePr w:hSpace="0" w:wrap="auto" w:vAnchor="margin" w:hAnchor="text" w:xAlign="left" w:yAlign="inline"/>
                    <w:suppressLineNumbers w:val="0"/>
                    <w:spacing w:before="0" w:beforeAutospacing="0" w:after="0" w:afterAutospacing="0"/>
                    <w:ind w:left="0" w:right="0"/>
                    <w:rPr>
                      <w:rFonts w:hint="eastAsia" w:ascii="Times New Roman" w:hAnsi="Times New Roman" w:eastAsia="宋体" w:cs="Times New Roman"/>
                      <w:bCs/>
                      <w:color w:val="auto"/>
                      <w:kern w:val="2"/>
                      <w:sz w:val="21"/>
                      <w:szCs w:val="21"/>
                      <w:highlight w:val="none"/>
                      <w:lang w:val="en-US" w:eastAsia="zh-CN" w:bidi="ar-SA"/>
                    </w:rPr>
                  </w:pPr>
                  <w:r>
                    <w:rPr>
                      <w:rFonts w:hint="eastAsia" w:ascii="Times New Roman" w:hAnsi="Times New Roman" w:eastAsia="宋体" w:cs="Times New Roman"/>
                      <w:b w:val="0"/>
                      <w:bCs w:val="0"/>
                      <w:sz w:val="21"/>
                      <w:szCs w:val="21"/>
                      <w:highlight w:val="none"/>
                      <w:lang w:val="en-US" w:eastAsia="zh-CN" w:bidi="ar"/>
                    </w:rPr>
                    <w:t>0.0</w:t>
                  </w:r>
                  <w:r>
                    <w:rPr>
                      <w:rFonts w:hint="eastAsia" w:cs="Times New Roman"/>
                      <w:b w:val="0"/>
                      <w:bCs w:val="0"/>
                      <w:sz w:val="21"/>
                      <w:szCs w:val="21"/>
                      <w:highlight w:val="none"/>
                      <w:lang w:val="en-US" w:eastAsia="zh-CN" w:bidi="ar"/>
                    </w:rPr>
                    <w:t>09</w:t>
                  </w:r>
                </w:p>
              </w:tc>
              <w:tc>
                <w:tcPr>
                  <w:tcW w:w="1173" w:type="dxa"/>
                  <w:shd w:val="clear" w:color="auto" w:fill="auto"/>
                  <w:noWrap w:val="0"/>
                  <w:vAlign w:val="center"/>
                </w:tcPr>
                <w:p w14:paraId="46752AAD">
                  <w:pPr>
                    <w:pStyle w:val="120"/>
                    <w:keepNext w:val="0"/>
                    <w:keepLines w:val="0"/>
                    <w:framePr w:hSpace="0" w:wrap="auto" w:vAnchor="margin" w:hAnchor="text" w:xAlign="left" w:yAlign="inline"/>
                    <w:suppressLineNumbers w:val="0"/>
                    <w:spacing w:before="0" w:beforeAutospacing="0" w:after="0" w:afterAutospacing="0"/>
                    <w:ind w:left="0" w:right="0"/>
                    <w:rPr>
                      <w:rFonts w:hint="eastAsia" w:ascii="Times New Roman" w:hAnsi="Times New Roman" w:eastAsia="宋体" w:cs="Times New Roman"/>
                      <w:b w:val="0"/>
                      <w:bCs w:val="0"/>
                      <w:color w:val="000000"/>
                      <w:kern w:val="2"/>
                      <w:sz w:val="21"/>
                      <w:szCs w:val="21"/>
                      <w:highlight w:val="none"/>
                      <w:lang w:val="en-US" w:eastAsia="zh-CN" w:bidi="ar"/>
                    </w:rPr>
                  </w:pPr>
                  <w:r>
                    <w:rPr>
                      <w:rFonts w:hint="eastAsia" w:ascii="Times New Roman" w:hAnsi="Times New Roman" w:eastAsia="宋体" w:cs="Times New Roman"/>
                      <w:b w:val="0"/>
                      <w:bCs w:val="0"/>
                      <w:sz w:val="21"/>
                      <w:szCs w:val="21"/>
                      <w:highlight w:val="none"/>
                      <w:lang w:val="en-US" w:eastAsia="zh-CN" w:bidi="ar"/>
                    </w:rPr>
                    <w:t>0.00</w:t>
                  </w:r>
                  <w:r>
                    <w:rPr>
                      <w:rFonts w:hint="eastAsia" w:cs="Times New Roman"/>
                      <w:b w:val="0"/>
                      <w:bCs w:val="0"/>
                      <w:sz w:val="21"/>
                      <w:szCs w:val="21"/>
                      <w:highlight w:val="none"/>
                      <w:lang w:val="en-US" w:eastAsia="zh-CN" w:bidi="ar"/>
                    </w:rPr>
                    <w:t>4</w:t>
                  </w:r>
                </w:p>
              </w:tc>
              <w:tc>
                <w:tcPr>
                  <w:tcW w:w="1169" w:type="dxa"/>
                  <w:shd w:val="clear" w:color="auto" w:fill="auto"/>
                  <w:noWrap w:val="0"/>
                  <w:vAlign w:val="center"/>
                </w:tcPr>
                <w:p w14:paraId="6E1E1841">
                  <w:pPr>
                    <w:pStyle w:val="120"/>
                    <w:keepNext w:val="0"/>
                    <w:keepLines w:val="0"/>
                    <w:framePr w:hSpace="0" w:wrap="auto" w:vAnchor="margin" w:hAnchor="text" w:xAlign="left" w:yAlign="inline"/>
                    <w:suppressLineNumbers w:val="0"/>
                    <w:spacing w:before="0" w:beforeAutospacing="0" w:after="0" w:afterAutospacing="0"/>
                    <w:ind w:left="0" w:right="0"/>
                    <w:rPr>
                      <w:rFonts w:hint="eastAsia" w:ascii="Times New Roman" w:hAnsi="Times New Roman" w:eastAsia="宋体" w:cs="Times New Roman"/>
                      <w:b w:val="0"/>
                      <w:bCs w:val="0"/>
                      <w:color w:val="000000"/>
                      <w:kern w:val="2"/>
                      <w:sz w:val="21"/>
                      <w:szCs w:val="21"/>
                      <w:highlight w:val="none"/>
                      <w:lang w:val="en-US" w:eastAsia="zh-CN" w:bidi="ar"/>
                    </w:rPr>
                  </w:pPr>
                  <w:r>
                    <w:rPr>
                      <w:rFonts w:hint="eastAsia" w:ascii="Times New Roman" w:hAnsi="Times New Roman" w:eastAsia="宋体" w:cs="Times New Roman"/>
                      <w:b w:val="0"/>
                      <w:bCs w:val="0"/>
                      <w:sz w:val="21"/>
                      <w:szCs w:val="21"/>
                      <w:highlight w:val="none"/>
                      <w:lang w:val="en-US" w:eastAsia="zh-CN" w:bidi="ar"/>
                    </w:rPr>
                    <w:t>0.0</w:t>
                  </w:r>
                  <w:r>
                    <w:rPr>
                      <w:rFonts w:hint="eastAsia" w:cs="Times New Roman"/>
                      <w:b w:val="0"/>
                      <w:bCs w:val="0"/>
                      <w:sz w:val="21"/>
                      <w:szCs w:val="21"/>
                      <w:highlight w:val="none"/>
                      <w:lang w:val="en-US" w:eastAsia="zh-CN" w:bidi="ar"/>
                    </w:rPr>
                    <w:t>09</w:t>
                  </w:r>
                </w:p>
              </w:tc>
              <w:tc>
                <w:tcPr>
                  <w:tcW w:w="1174" w:type="dxa"/>
                  <w:shd w:val="clear" w:color="auto" w:fill="auto"/>
                  <w:noWrap w:val="0"/>
                  <w:vAlign w:val="center"/>
                </w:tcPr>
                <w:p w14:paraId="362347FF">
                  <w:pPr>
                    <w:pStyle w:val="120"/>
                    <w:keepNext w:val="0"/>
                    <w:keepLines w:val="0"/>
                    <w:framePr w:hSpace="0" w:wrap="auto" w:vAnchor="margin" w:hAnchor="text" w:xAlign="left" w:yAlign="inline"/>
                    <w:suppressLineNumbers w:val="0"/>
                    <w:spacing w:before="0" w:beforeAutospacing="0" w:after="0" w:afterAutospacing="0"/>
                    <w:ind w:left="0" w:right="0"/>
                    <w:rPr>
                      <w:rFonts w:hint="eastAsia" w:ascii="Times New Roman" w:hAnsi="Times New Roman" w:eastAsia="宋体" w:cs="Times New Roman"/>
                      <w:b w:val="0"/>
                      <w:bCs w:val="0"/>
                      <w:color w:val="000000"/>
                      <w:kern w:val="2"/>
                      <w:sz w:val="21"/>
                      <w:szCs w:val="21"/>
                      <w:highlight w:val="none"/>
                      <w:lang w:val="en-US" w:eastAsia="zh-CN" w:bidi="ar"/>
                    </w:rPr>
                  </w:pPr>
                  <w:r>
                    <w:rPr>
                      <w:rFonts w:hint="eastAsia" w:ascii="Times New Roman" w:hAnsi="Times New Roman" w:eastAsia="宋体" w:cs="Times New Roman"/>
                      <w:b w:val="0"/>
                      <w:bCs w:val="0"/>
                      <w:sz w:val="21"/>
                      <w:szCs w:val="21"/>
                      <w:highlight w:val="none"/>
                      <w:lang w:val="en-US" w:eastAsia="zh-CN" w:bidi="ar"/>
                    </w:rPr>
                    <w:t>0.00</w:t>
                  </w:r>
                  <w:r>
                    <w:rPr>
                      <w:rFonts w:hint="eastAsia" w:cs="Times New Roman"/>
                      <w:b w:val="0"/>
                      <w:bCs w:val="0"/>
                      <w:sz w:val="21"/>
                      <w:szCs w:val="21"/>
                      <w:highlight w:val="none"/>
                      <w:lang w:val="en-US" w:eastAsia="zh-CN" w:bidi="ar"/>
                    </w:rPr>
                    <w:t>4</w:t>
                  </w:r>
                </w:p>
              </w:tc>
            </w:tr>
            <w:tr w14:paraId="2896567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470" w:type="pct"/>
                  <w:vMerge w:val="continue"/>
                  <w:noWrap w:val="0"/>
                  <w:vAlign w:val="center"/>
                </w:tcPr>
                <w:p w14:paraId="5F3E1C53">
                  <w:pPr>
                    <w:keepNext w:val="0"/>
                    <w:keepLines w:val="0"/>
                    <w:widowControl/>
                    <w:suppressLineNumbers w:val="0"/>
                    <w:spacing w:before="0" w:beforeAutospacing="0" w:after="0" w:afterAutospacing="0" w:line="280" w:lineRule="exact"/>
                    <w:ind w:left="0" w:right="0"/>
                    <w:jc w:val="center"/>
                    <w:textAlignment w:val="center"/>
                    <w:rPr>
                      <w:rFonts w:hint="eastAsia" w:ascii="Times New Roman" w:hAnsi="Times New Roman" w:eastAsia="宋体" w:cs="Times New Roman"/>
                      <w:b w:val="0"/>
                      <w:bCs w:val="0"/>
                      <w:sz w:val="21"/>
                      <w:szCs w:val="21"/>
                      <w:highlight w:val="none"/>
                      <w:lang w:val="en-US" w:eastAsia="zh-CN" w:bidi="ar"/>
                    </w:rPr>
                  </w:pPr>
                </w:p>
              </w:tc>
              <w:tc>
                <w:tcPr>
                  <w:tcW w:w="1102" w:type="pct"/>
                  <w:gridSpan w:val="2"/>
                  <w:noWrap w:val="0"/>
                  <w:vAlign w:val="center"/>
                </w:tcPr>
                <w:p w14:paraId="6982DA1D">
                  <w:pPr>
                    <w:keepNext w:val="0"/>
                    <w:keepLines w:val="0"/>
                    <w:widowControl/>
                    <w:suppressLineNumbers w:val="0"/>
                    <w:spacing w:before="0" w:beforeAutospacing="0" w:after="0" w:afterAutospacing="0" w:line="280" w:lineRule="exact"/>
                    <w:ind w:left="0" w:right="0"/>
                    <w:jc w:val="center"/>
                    <w:textAlignment w:val="center"/>
                    <w:rPr>
                      <w:rFonts w:hint="eastAsia" w:cs="Times New Roman"/>
                      <w:b w:val="0"/>
                      <w:bCs w:val="0"/>
                      <w:sz w:val="21"/>
                      <w:szCs w:val="21"/>
                      <w:highlight w:val="none"/>
                      <w:lang w:val="en-US" w:eastAsia="zh-CN" w:bidi="ar"/>
                    </w:rPr>
                  </w:pPr>
                  <w:r>
                    <w:rPr>
                      <w:rFonts w:hint="eastAsia" w:ascii="Times New Roman" w:hAnsi="Times New Roman" w:eastAsia="宋体" w:cs="Times New Roman"/>
                      <w:b w:val="0"/>
                      <w:bCs w:val="0"/>
                      <w:sz w:val="21"/>
                      <w:szCs w:val="21"/>
                      <w:highlight w:val="none"/>
                      <w:lang w:val="en-US" w:eastAsia="zh-CN" w:bidi="ar"/>
                    </w:rPr>
                    <w:t>无组织</w:t>
                  </w:r>
                </w:p>
              </w:tc>
              <w:tc>
                <w:tcPr>
                  <w:tcW w:w="652" w:type="pct"/>
                  <w:vMerge w:val="continue"/>
                  <w:shd w:val="clear" w:color="auto" w:fill="auto"/>
                  <w:noWrap w:val="0"/>
                  <w:vAlign w:val="center"/>
                </w:tcPr>
                <w:p w14:paraId="45C2A794">
                  <w:pPr>
                    <w:keepNext w:val="0"/>
                    <w:keepLines w:val="0"/>
                    <w:widowControl/>
                    <w:suppressLineNumbers w:val="0"/>
                    <w:spacing w:before="0" w:beforeAutospacing="0" w:after="0" w:afterAutospacing="0" w:line="280" w:lineRule="exact"/>
                    <w:ind w:left="0" w:right="0"/>
                    <w:jc w:val="center"/>
                    <w:textAlignment w:val="center"/>
                    <w:rPr>
                      <w:rFonts w:hint="eastAsia" w:ascii="Times New Roman" w:hAnsi="Times New Roman" w:eastAsia="宋体" w:cs="Times New Roman"/>
                      <w:b w:val="0"/>
                      <w:bCs/>
                      <w:kern w:val="2"/>
                      <w:sz w:val="21"/>
                      <w:szCs w:val="21"/>
                      <w:highlight w:val="none"/>
                      <w:lang w:val="en-US" w:eastAsia="zh-CN" w:bidi="ar"/>
                    </w:rPr>
                  </w:pPr>
                </w:p>
              </w:tc>
              <w:tc>
                <w:tcPr>
                  <w:tcW w:w="1021" w:type="dxa"/>
                  <w:noWrap w:val="0"/>
                  <w:vAlign w:val="center"/>
                </w:tcPr>
                <w:p w14:paraId="0DC9CB6D">
                  <w:pPr>
                    <w:keepNext w:val="0"/>
                    <w:keepLines w:val="0"/>
                    <w:suppressLineNumbers w:val="0"/>
                    <w:spacing w:before="0" w:beforeAutospacing="0" w:after="0" w:afterAutospacing="0"/>
                    <w:ind w:left="0" w:right="0"/>
                    <w:jc w:val="center"/>
                    <w:rPr>
                      <w:rFonts w:hint="eastAsia" w:ascii="Times New Roman" w:hAnsi="Times New Roman" w:eastAsia="宋体" w:cs="Times New Roman"/>
                      <w:color w:val="auto"/>
                      <w:sz w:val="21"/>
                      <w:szCs w:val="21"/>
                      <w:highlight w:val="none"/>
                      <w:lang w:val="en-US" w:eastAsia="zh-CN"/>
                    </w:rPr>
                  </w:pPr>
                  <w:r>
                    <w:rPr>
                      <w:rFonts w:hint="eastAsia" w:cs="Times New Roman"/>
                      <w:b w:val="0"/>
                      <w:bCs w:val="0"/>
                      <w:sz w:val="21"/>
                      <w:szCs w:val="21"/>
                      <w:highlight w:val="none"/>
                      <w:lang w:val="en-US" w:eastAsia="zh-CN" w:bidi="ar"/>
                    </w:rPr>
                    <w:t>0.001</w:t>
                  </w:r>
                </w:p>
              </w:tc>
              <w:tc>
                <w:tcPr>
                  <w:tcW w:w="1173" w:type="dxa"/>
                  <w:noWrap w:val="0"/>
                  <w:vAlign w:val="center"/>
                </w:tcPr>
                <w:p w14:paraId="5284CCA5">
                  <w:pPr>
                    <w:keepNext w:val="0"/>
                    <w:keepLines w:val="0"/>
                    <w:suppressLineNumbers w:val="0"/>
                    <w:spacing w:before="0" w:beforeAutospacing="0" w:after="0" w:afterAutospacing="0"/>
                    <w:ind w:left="0" w:right="0"/>
                    <w:jc w:val="center"/>
                    <w:rPr>
                      <w:rFonts w:hint="eastAsia" w:ascii="Times New Roman" w:hAnsi="Times New Roman" w:eastAsia="宋体" w:cs="Times New Roman"/>
                      <w:color w:val="auto"/>
                      <w:sz w:val="21"/>
                      <w:szCs w:val="21"/>
                      <w:highlight w:val="none"/>
                      <w:lang w:val="en-US" w:eastAsia="zh-CN"/>
                    </w:rPr>
                  </w:pPr>
                  <w:r>
                    <w:rPr>
                      <w:rFonts w:hint="eastAsia" w:cs="Times New Roman"/>
                      <w:b w:val="0"/>
                      <w:bCs w:val="0"/>
                      <w:sz w:val="21"/>
                      <w:szCs w:val="21"/>
                      <w:highlight w:val="none"/>
                      <w:lang w:val="en-US" w:eastAsia="zh-CN" w:bidi="ar"/>
                    </w:rPr>
                    <w:t>~0</w:t>
                  </w:r>
                </w:p>
              </w:tc>
              <w:tc>
                <w:tcPr>
                  <w:tcW w:w="1169" w:type="dxa"/>
                  <w:noWrap w:val="0"/>
                  <w:vAlign w:val="center"/>
                </w:tcPr>
                <w:p w14:paraId="1FE894C7">
                  <w:pPr>
                    <w:keepNext w:val="0"/>
                    <w:keepLines w:val="0"/>
                    <w:suppressLineNumbers w:val="0"/>
                    <w:spacing w:before="0" w:beforeAutospacing="0" w:after="0" w:afterAutospacing="0"/>
                    <w:ind w:left="0" w:right="0"/>
                    <w:jc w:val="center"/>
                    <w:rPr>
                      <w:rFonts w:hint="eastAsia" w:ascii="Times New Roman" w:hAnsi="Times New Roman" w:eastAsia="宋体" w:cs="Times New Roman"/>
                      <w:color w:val="auto"/>
                      <w:sz w:val="21"/>
                      <w:szCs w:val="21"/>
                      <w:highlight w:val="none"/>
                      <w:lang w:val="en-US" w:eastAsia="zh-CN"/>
                    </w:rPr>
                  </w:pPr>
                  <w:r>
                    <w:rPr>
                      <w:rFonts w:hint="eastAsia" w:cs="Times New Roman"/>
                      <w:b w:val="0"/>
                      <w:bCs w:val="0"/>
                      <w:sz w:val="21"/>
                      <w:szCs w:val="21"/>
                      <w:highlight w:val="none"/>
                      <w:lang w:val="en-US" w:eastAsia="zh-CN" w:bidi="ar"/>
                    </w:rPr>
                    <w:t>0.001</w:t>
                  </w:r>
                </w:p>
              </w:tc>
              <w:tc>
                <w:tcPr>
                  <w:tcW w:w="1174" w:type="dxa"/>
                  <w:noWrap w:val="0"/>
                  <w:vAlign w:val="center"/>
                </w:tcPr>
                <w:p w14:paraId="6A044826">
                  <w:pPr>
                    <w:keepNext w:val="0"/>
                    <w:keepLines w:val="0"/>
                    <w:suppressLineNumbers w:val="0"/>
                    <w:spacing w:before="0" w:beforeAutospacing="0" w:after="0" w:afterAutospacing="0"/>
                    <w:ind w:left="0" w:right="0"/>
                    <w:jc w:val="center"/>
                    <w:rPr>
                      <w:rFonts w:hint="eastAsia" w:ascii="Times New Roman" w:hAnsi="Times New Roman" w:eastAsia="宋体" w:cs="Times New Roman"/>
                      <w:color w:val="auto"/>
                      <w:sz w:val="21"/>
                      <w:szCs w:val="21"/>
                      <w:highlight w:val="none"/>
                      <w:lang w:val="en-US" w:eastAsia="zh-CN"/>
                    </w:rPr>
                  </w:pPr>
                  <w:r>
                    <w:rPr>
                      <w:rFonts w:hint="eastAsia" w:cs="Times New Roman"/>
                      <w:b w:val="0"/>
                      <w:bCs w:val="0"/>
                      <w:sz w:val="21"/>
                      <w:szCs w:val="21"/>
                      <w:highlight w:val="none"/>
                      <w:lang w:val="en-US" w:eastAsia="zh-CN" w:bidi="ar"/>
                    </w:rPr>
                    <w:t>~0</w:t>
                  </w:r>
                </w:p>
              </w:tc>
            </w:tr>
            <w:tr w14:paraId="3548346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470" w:type="pct"/>
                  <w:vMerge w:val="continue"/>
                  <w:noWrap w:val="0"/>
                  <w:vAlign w:val="center"/>
                </w:tcPr>
                <w:p w14:paraId="5C554981">
                  <w:pPr>
                    <w:keepNext w:val="0"/>
                    <w:keepLines w:val="0"/>
                    <w:widowControl/>
                    <w:suppressLineNumbers w:val="0"/>
                    <w:spacing w:before="0" w:beforeAutospacing="0" w:after="0" w:afterAutospacing="0" w:line="280" w:lineRule="exact"/>
                    <w:ind w:left="0" w:right="0"/>
                    <w:jc w:val="center"/>
                    <w:textAlignment w:val="center"/>
                    <w:rPr>
                      <w:rFonts w:hint="eastAsia" w:ascii="Times New Roman" w:hAnsi="Times New Roman" w:eastAsia="宋体" w:cs="Times New Roman"/>
                      <w:b w:val="0"/>
                      <w:bCs w:val="0"/>
                      <w:sz w:val="21"/>
                      <w:szCs w:val="21"/>
                      <w:highlight w:val="none"/>
                      <w:lang w:val="en-US" w:eastAsia="zh-CN" w:bidi="ar"/>
                    </w:rPr>
                  </w:pPr>
                </w:p>
              </w:tc>
              <w:tc>
                <w:tcPr>
                  <w:tcW w:w="534" w:type="pct"/>
                  <w:noWrap w:val="0"/>
                  <w:vAlign w:val="center"/>
                </w:tcPr>
                <w:p w14:paraId="7E475C57">
                  <w:pPr>
                    <w:keepNext w:val="0"/>
                    <w:keepLines w:val="0"/>
                    <w:widowControl/>
                    <w:suppressLineNumbers w:val="0"/>
                    <w:spacing w:before="0" w:beforeAutospacing="0" w:after="0" w:afterAutospacing="0" w:line="280" w:lineRule="exact"/>
                    <w:ind w:left="0" w:right="0"/>
                    <w:jc w:val="center"/>
                    <w:textAlignment w:val="center"/>
                    <w:rPr>
                      <w:rFonts w:hint="default" w:ascii="Times New Roman" w:hAnsi="Times New Roman" w:eastAsia="宋体" w:cs="Times New Roman"/>
                      <w:b w:val="0"/>
                      <w:bCs w:val="0"/>
                      <w:sz w:val="21"/>
                      <w:szCs w:val="21"/>
                      <w:highlight w:val="none"/>
                      <w:lang w:val="en-US" w:eastAsia="zh-CN" w:bidi="ar"/>
                    </w:rPr>
                  </w:pPr>
                  <w:r>
                    <w:rPr>
                      <w:rFonts w:hint="eastAsia" w:ascii="Times New Roman" w:hAnsi="Times New Roman" w:eastAsia="宋体" w:cs="Times New Roman"/>
                      <w:b w:val="0"/>
                      <w:bCs w:val="0"/>
                      <w:sz w:val="21"/>
                      <w:szCs w:val="21"/>
                      <w:highlight w:val="none"/>
                      <w:lang w:val="en-US" w:eastAsia="zh-CN" w:bidi="ar"/>
                    </w:rPr>
                    <w:t>DA010</w:t>
                  </w:r>
                </w:p>
              </w:tc>
              <w:tc>
                <w:tcPr>
                  <w:tcW w:w="568" w:type="pct"/>
                  <w:shd w:val="clear" w:color="auto" w:fill="auto"/>
                  <w:noWrap w:val="0"/>
                  <w:vAlign w:val="center"/>
                </w:tcPr>
                <w:p w14:paraId="2C43DF88">
                  <w:pPr>
                    <w:keepNext w:val="0"/>
                    <w:keepLines w:val="0"/>
                    <w:widowControl/>
                    <w:suppressLineNumbers w:val="0"/>
                    <w:spacing w:before="0" w:beforeAutospacing="0" w:after="0" w:afterAutospacing="0" w:line="280" w:lineRule="exact"/>
                    <w:ind w:left="0" w:right="0"/>
                    <w:jc w:val="center"/>
                    <w:textAlignment w:val="center"/>
                    <w:rPr>
                      <w:rFonts w:hint="eastAsia" w:cs="Times New Roman"/>
                      <w:b w:val="0"/>
                      <w:bCs w:val="0"/>
                      <w:sz w:val="21"/>
                      <w:szCs w:val="21"/>
                      <w:highlight w:val="none"/>
                      <w:lang w:val="en-US" w:eastAsia="zh-CN" w:bidi="ar"/>
                    </w:rPr>
                  </w:pPr>
                  <w:r>
                    <w:rPr>
                      <w:rFonts w:hint="eastAsia" w:cs="Times New Roman"/>
                      <w:b w:val="0"/>
                      <w:bCs w:val="0"/>
                      <w:sz w:val="21"/>
                      <w:szCs w:val="21"/>
                      <w:highlight w:val="none"/>
                      <w:lang w:val="en-US" w:eastAsia="zh-CN" w:bidi="ar"/>
                    </w:rPr>
                    <w:t>有组织</w:t>
                  </w:r>
                </w:p>
              </w:tc>
              <w:tc>
                <w:tcPr>
                  <w:tcW w:w="652" w:type="pct"/>
                  <w:vMerge w:val="restart"/>
                  <w:shd w:val="clear" w:color="auto" w:fill="auto"/>
                  <w:noWrap w:val="0"/>
                  <w:vAlign w:val="center"/>
                </w:tcPr>
                <w:p w14:paraId="738AAD09">
                  <w:pPr>
                    <w:keepNext w:val="0"/>
                    <w:keepLines w:val="0"/>
                    <w:widowControl/>
                    <w:suppressLineNumbers w:val="0"/>
                    <w:spacing w:before="0" w:beforeAutospacing="0" w:after="0" w:afterAutospacing="0" w:line="280" w:lineRule="exact"/>
                    <w:ind w:left="0" w:right="0"/>
                    <w:jc w:val="center"/>
                    <w:textAlignment w:val="center"/>
                    <w:rPr>
                      <w:rFonts w:hint="eastAsia" w:ascii="Times New Roman" w:hAnsi="Times New Roman" w:eastAsia="宋体" w:cs="Times New Roman"/>
                      <w:b w:val="0"/>
                      <w:bCs/>
                      <w:kern w:val="2"/>
                      <w:sz w:val="21"/>
                      <w:szCs w:val="21"/>
                      <w:highlight w:val="none"/>
                      <w:lang w:val="en-US" w:eastAsia="zh-CN" w:bidi="ar"/>
                    </w:rPr>
                  </w:pPr>
                  <w:r>
                    <w:rPr>
                      <w:rFonts w:hint="eastAsia" w:cs="Times New Roman"/>
                      <w:b w:val="0"/>
                      <w:bCs/>
                      <w:sz w:val="21"/>
                      <w:szCs w:val="21"/>
                      <w:highlight w:val="none"/>
                      <w:lang w:val="en-US" w:eastAsia="zh-CN" w:bidi="ar"/>
                    </w:rPr>
                    <w:t>甲醛</w:t>
                  </w:r>
                </w:p>
              </w:tc>
              <w:tc>
                <w:tcPr>
                  <w:tcW w:w="1021" w:type="dxa"/>
                  <w:shd w:val="clear" w:color="auto" w:fill="auto"/>
                  <w:noWrap w:val="0"/>
                  <w:vAlign w:val="center"/>
                </w:tcPr>
                <w:p w14:paraId="696B2F9A">
                  <w:pPr>
                    <w:pStyle w:val="120"/>
                    <w:keepNext w:val="0"/>
                    <w:keepLines w:val="0"/>
                    <w:framePr w:hSpace="0" w:wrap="auto" w:vAnchor="margin" w:hAnchor="text" w:xAlign="left" w:yAlign="inline"/>
                    <w:suppressLineNumbers w:val="0"/>
                    <w:spacing w:before="0" w:beforeAutospacing="0" w:after="0" w:afterAutospacing="0"/>
                    <w:ind w:left="0" w:right="0"/>
                    <w:rPr>
                      <w:rFonts w:hint="eastAsia" w:ascii="Times New Roman" w:hAnsi="Times New Roman" w:eastAsia="宋体" w:cs="Times New Roman"/>
                      <w:bCs/>
                      <w:color w:val="auto"/>
                      <w:kern w:val="2"/>
                      <w:sz w:val="21"/>
                      <w:szCs w:val="21"/>
                      <w:highlight w:val="none"/>
                      <w:lang w:val="en-US" w:eastAsia="zh-CN" w:bidi="ar-SA"/>
                    </w:rPr>
                  </w:pPr>
                  <w:r>
                    <w:rPr>
                      <w:rFonts w:hint="eastAsia" w:ascii="Times New Roman" w:hAnsi="Times New Roman" w:eastAsia="宋体" w:cs="Times New Roman"/>
                      <w:b w:val="0"/>
                      <w:bCs w:val="0"/>
                      <w:sz w:val="21"/>
                      <w:szCs w:val="21"/>
                      <w:highlight w:val="none"/>
                      <w:lang w:val="en-US" w:eastAsia="zh-CN" w:bidi="ar"/>
                    </w:rPr>
                    <w:t>0.0</w:t>
                  </w:r>
                  <w:r>
                    <w:rPr>
                      <w:rFonts w:hint="eastAsia" w:cs="Times New Roman"/>
                      <w:b w:val="0"/>
                      <w:bCs w:val="0"/>
                      <w:sz w:val="21"/>
                      <w:szCs w:val="21"/>
                      <w:highlight w:val="none"/>
                      <w:lang w:val="en-US" w:eastAsia="zh-CN" w:bidi="ar"/>
                    </w:rPr>
                    <w:t>09</w:t>
                  </w:r>
                </w:p>
              </w:tc>
              <w:tc>
                <w:tcPr>
                  <w:tcW w:w="1173" w:type="dxa"/>
                  <w:shd w:val="clear" w:color="auto" w:fill="auto"/>
                  <w:noWrap w:val="0"/>
                  <w:vAlign w:val="center"/>
                </w:tcPr>
                <w:p w14:paraId="6D985623">
                  <w:pPr>
                    <w:pStyle w:val="120"/>
                    <w:keepNext w:val="0"/>
                    <w:keepLines w:val="0"/>
                    <w:framePr w:hSpace="0" w:wrap="auto" w:vAnchor="margin" w:hAnchor="text" w:xAlign="left" w:yAlign="inline"/>
                    <w:suppressLineNumbers w:val="0"/>
                    <w:spacing w:before="0" w:beforeAutospacing="0" w:after="0" w:afterAutospacing="0"/>
                    <w:ind w:left="0" w:right="0"/>
                    <w:rPr>
                      <w:rFonts w:hint="eastAsia" w:ascii="Times New Roman" w:hAnsi="Times New Roman" w:eastAsia="宋体" w:cs="Times New Roman"/>
                      <w:color w:val="auto"/>
                      <w:sz w:val="21"/>
                      <w:szCs w:val="21"/>
                      <w:highlight w:val="none"/>
                      <w:lang w:val="en-US" w:eastAsia="zh-CN"/>
                    </w:rPr>
                  </w:pPr>
                  <w:r>
                    <w:rPr>
                      <w:rFonts w:hint="eastAsia" w:ascii="Times New Roman" w:hAnsi="Times New Roman" w:eastAsia="宋体" w:cs="Times New Roman"/>
                      <w:b w:val="0"/>
                      <w:bCs w:val="0"/>
                      <w:sz w:val="21"/>
                      <w:szCs w:val="21"/>
                      <w:highlight w:val="none"/>
                      <w:lang w:val="en-US" w:eastAsia="zh-CN" w:bidi="ar"/>
                    </w:rPr>
                    <w:t>0.00</w:t>
                  </w:r>
                  <w:r>
                    <w:rPr>
                      <w:rFonts w:hint="eastAsia" w:cs="Times New Roman"/>
                      <w:b w:val="0"/>
                      <w:bCs w:val="0"/>
                      <w:sz w:val="21"/>
                      <w:szCs w:val="21"/>
                      <w:highlight w:val="none"/>
                      <w:lang w:val="en-US" w:eastAsia="zh-CN" w:bidi="ar"/>
                    </w:rPr>
                    <w:t>4</w:t>
                  </w:r>
                </w:p>
              </w:tc>
              <w:tc>
                <w:tcPr>
                  <w:tcW w:w="1169" w:type="dxa"/>
                  <w:noWrap w:val="0"/>
                  <w:vAlign w:val="center"/>
                </w:tcPr>
                <w:p w14:paraId="72C80F58">
                  <w:pPr>
                    <w:pStyle w:val="120"/>
                    <w:keepNext w:val="0"/>
                    <w:keepLines w:val="0"/>
                    <w:framePr w:hSpace="0" w:wrap="auto" w:vAnchor="margin" w:hAnchor="text" w:xAlign="left" w:yAlign="inline"/>
                    <w:suppressLineNumbers w:val="0"/>
                    <w:spacing w:before="0" w:beforeAutospacing="0" w:after="0" w:afterAutospacing="0"/>
                    <w:ind w:left="0" w:right="0"/>
                    <w:rPr>
                      <w:rFonts w:hint="eastAsia" w:ascii="Times New Roman" w:hAnsi="Times New Roman" w:eastAsia="宋体" w:cs="Times New Roman"/>
                      <w:color w:val="auto"/>
                      <w:sz w:val="21"/>
                      <w:szCs w:val="21"/>
                      <w:highlight w:val="none"/>
                      <w:lang w:val="en-US" w:eastAsia="zh-CN"/>
                    </w:rPr>
                  </w:pPr>
                  <w:r>
                    <w:rPr>
                      <w:rFonts w:hint="eastAsia" w:ascii="Times New Roman" w:hAnsi="Times New Roman" w:eastAsia="宋体" w:cs="Times New Roman"/>
                      <w:b w:val="0"/>
                      <w:bCs w:val="0"/>
                      <w:sz w:val="21"/>
                      <w:szCs w:val="21"/>
                      <w:highlight w:val="none"/>
                      <w:lang w:val="en-US" w:eastAsia="zh-CN" w:bidi="ar"/>
                    </w:rPr>
                    <w:t>0.0</w:t>
                  </w:r>
                  <w:r>
                    <w:rPr>
                      <w:rFonts w:hint="eastAsia" w:cs="Times New Roman"/>
                      <w:b w:val="0"/>
                      <w:bCs w:val="0"/>
                      <w:sz w:val="21"/>
                      <w:szCs w:val="21"/>
                      <w:highlight w:val="none"/>
                      <w:lang w:val="en-US" w:eastAsia="zh-CN" w:bidi="ar"/>
                    </w:rPr>
                    <w:t>09</w:t>
                  </w:r>
                </w:p>
              </w:tc>
              <w:tc>
                <w:tcPr>
                  <w:tcW w:w="1174" w:type="dxa"/>
                  <w:noWrap w:val="0"/>
                  <w:vAlign w:val="center"/>
                </w:tcPr>
                <w:p w14:paraId="730E5306">
                  <w:pPr>
                    <w:pStyle w:val="120"/>
                    <w:keepNext w:val="0"/>
                    <w:keepLines w:val="0"/>
                    <w:framePr w:hSpace="0" w:wrap="auto" w:vAnchor="margin" w:hAnchor="text" w:xAlign="left" w:yAlign="inline"/>
                    <w:suppressLineNumbers w:val="0"/>
                    <w:spacing w:before="0" w:beforeAutospacing="0" w:after="0" w:afterAutospacing="0"/>
                    <w:ind w:left="0" w:right="0"/>
                    <w:rPr>
                      <w:rFonts w:hint="eastAsia" w:ascii="Times New Roman" w:hAnsi="Times New Roman" w:eastAsia="宋体" w:cs="Times New Roman"/>
                      <w:color w:val="auto"/>
                      <w:sz w:val="21"/>
                      <w:szCs w:val="21"/>
                      <w:highlight w:val="none"/>
                      <w:lang w:val="en-US" w:eastAsia="zh-CN"/>
                    </w:rPr>
                  </w:pPr>
                  <w:r>
                    <w:rPr>
                      <w:rFonts w:hint="eastAsia" w:ascii="Times New Roman" w:hAnsi="Times New Roman" w:eastAsia="宋体" w:cs="Times New Roman"/>
                      <w:b w:val="0"/>
                      <w:bCs w:val="0"/>
                      <w:sz w:val="21"/>
                      <w:szCs w:val="21"/>
                      <w:highlight w:val="none"/>
                      <w:lang w:val="en-US" w:eastAsia="zh-CN" w:bidi="ar"/>
                    </w:rPr>
                    <w:t>0.00</w:t>
                  </w:r>
                  <w:r>
                    <w:rPr>
                      <w:rFonts w:hint="eastAsia" w:cs="Times New Roman"/>
                      <w:b w:val="0"/>
                      <w:bCs w:val="0"/>
                      <w:sz w:val="21"/>
                      <w:szCs w:val="21"/>
                      <w:highlight w:val="none"/>
                      <w:lang w:val="en-US" w:eastAsia="zh-CN" w:bidi="ar"/>
                    </w:rPr>
                    <w:t>4</w:t>
                  </w:r>
                </w:p>
              </w:tc>
            </w:tr>
            <w:tr w14:paraId="2004C1C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470" w:type="pct"/>
                  <w:vMerge w:val="continue"/>
                  <w:noWrap w:val="0"/>
                  <w:vAlign w:val="center"/>
                </w:tcPr>
                <w:p w14:paraId="51EE34CF">
                  <w:pPr>
                    <w:keepNext w:val="0"/>
                    <w:keepLines w:val="0"/>
                    <w:widowControl/>
                    <w:suppressLineNumbers w:val="0"/>
                    <w:spacing w:before="0" w:beforeAutospacing="0" w:after="0" w:afterAutospacing="0" w:line="280" w:lineRule="exact"/>
                    <w:ind w:left="0" w:right="0"/>
                    <w:jc w:val="center"/>
                    <w:textAlignment w:val="center"/>
                    <w:rPr>
                      <w:rFonts w:hint="eastAsia" w:ascii="Times New Roman" w:hAnsi="Times New Roman" w:eastAsia="宋体" w:cs="Times New Roman"/>
                      <w:b w:val="0"/>
                      <w:bCs w:val="0"/>
                      <w:sz w:val="21"/>
                      <w:szCs w:val="21"/>
                      <w:highlight w:val="none"/>
                      <w:lang w:val="en-US" w:eastAsia="zh-CN" w:bidi="ar"/>
                    </w:rPr>
                  </w:pPr>
                </w:p>
              </w:tc>
              <w:tc>
                <w:tcPr>
                  <w:tcW w:w="1102" w:type="pct"/>
                  <w:gridSpan w:val="2"/>
                  <w:noWrap w:val="0"/>
                  <w:vAlign w:val="center"/>
                </w:tcPr>
                <w:p w14:paraId="172D6D7E">
                  <w:pPr>
                    <w:keepNext w:val="0"/>
                    <w:keepLines w:val="0"/>
                    <w:widowControl/>
                    <w:suppressLineNumbers w:val="0"/>
                    <w:spacing w:before="0" w:beforeAutospacing="0" w:after="0" w:afterAutospacing="0" w:line="280" w:lineRule="exact"/>
                    <w:ind w:left="0" w:right="0"/>
                    <w:jc w:val="center"/>
                    <w:textAlignment w:val="center"/>
                    <w:rPr>
                      <w:rFonts w:hint="eastAsia" w:cs="Times New Roman"/>
                      <w:b w:val="0"/>
                      <w:bCs w:val="0"/>
                      <w:sz w:val="21"/>
                      <w:szCs w:val="21"/>
                      <w:highlight w:val="none"/>
                      <w:lang w:val="en-US" w:eastAsia="zh-CN" w:bidi="ar"/>
                    </w:rPr>
                  </w:pPr>
                  <w:r>
                    <w:rPr>
                      <w:rFonts w:hint="eastAsia" w:ascii="Times New Roman" w:hAnsi="Times New Roman" w:eastAsia="宋体" w:cs="Times New Roman"/>
                      <w:b w:val="0"/>
                      <w:bCs w:val="0"/>
                      <w:sz w:val="21"/>
                      <w:szCs w:val="21"/>
                      <w:highlight w:val="none"/>
                      <w:lang w:val="en-US" w:eastAsia="zh-CN" w:bidi="ar"/>
                    </w:rPr>
                    <w:t>无组织</w:t>
                  </w:r>
                </w:p>
              </w:tc>
              <w:tc>
                <w:tcPr>
                  <w:tcW w:w="652" w:type="pct"/>
                  <w:vMerge w:val="continue"/>
                  <w:shd w:val="clear" w:color="auto" w:fill="auto"/>
                  <w:noWrap w:val="0"/>
                  <w:vAlign w:val="center"/>
                </w:tcPr>
                <w:p w14:paraId="46451152">
                  <w:pPr>
                    <w:keepNext w:val="0"/>
                    <w:keepLines w:val="0"/>
                    <w:widowControl/>
                    <w:suppressLineNumbers w:val="0"/>
                    <w:spacing w:before="0" w:beforeAutospacing="0" w:after="0" w:afterAutospacing="0" w:line="280" w:lineRule="exact"/>
                    <w:ind w:left="0" w:right="0"/>
                    <w:jc w:val="center"/>
                    <w:textAlignment w:val="center"/>
                    <w:rPr>
                      <w:rFonts w:hint="eastAsia" w:ascii="Times New Roman" w:hAnsi="Times New Roman" w:eastAsia="宋体" w:cs="Times New Roman"/>
                      <w:b w:val="0"/>
                      <w:bCs/>
                      <w:kern w:val="2"/>
                      <w:sz w:val="21"/>
                      <w:szCs w:val="21"/>
                      <w:highlight w:val="none"/>
                      <w:lang w:val="en-US" w:eastAsia="zh-CN" w:bidi="ar"/>
                    </w:rPr>
                  </w:pPr>
                </w:p>
              </w:tc>
              <w:tc>
                <w:tcPr>
                  <w:tcW w:w="1021" w:type="dxa"/>
                  <w:noWrap w:val="0"/>
                  <w:vAlign w:val="center"/>
                </w:tcPr>
                <w:p w14:paraId="12B3E6D1">
                  <w:pPr>
                    <w:keepNext w:val="0"/>
                    <w:keepLines w:val="0"/>
                    <w:suppressLineNumbers w:val="0"/>
                    <w:spacing w:before="0" w:beforeAutospacing="0" w:after="0" w:afterAutospacing="0"/>
                    <w:ind w:left="0" w:right="0"/>
                    <w:jc w:val="center"/>
                    <w:rPr>
                      <w:rFonts w:hint="eastAsia"/>
                      <w:color w:val="auto"/>
                      <w:sz w:val="21"/>
                      <w:szCs w:val="21"/>
                      <w:highlight w:val="none"/>
                      <w:lang w:val="en-US" w:eastAsia="zh-CN"/>
                    </w:rPr>
                  </w:pPr>
                  <w:r>
                    <w:rPr>
                      <w:rFonts w:hint="eastAsia" w:cs="Times New Roman"/>
                      <w:b w:val="0"/>
                      <w:bCs w:val="0"/>
                      <w:sz w:val="21"/>
                      <w:szCs w:val="21"/>
                      <w:highlight w:val="none"/>
                      <w:lang w:val="en-US" w:eastAsia="zh-CN" w:bidi="ar"/>
                    </w:rPr>
                    <w:t>0.001</w:t>
                  </w:r>
                </w:p>
              </w:tc>
              <w:tc>
                <w:tcPr>
                  <w:tcW w:w="1173" w:type="dxa"/>
                  <w:noWrap w:val="0"/>
                  <w:vAlign w:val="center"/>
                </w:tcPr>
                <w:p w14:paraId="588C7604">
                  <w:pPr>
                    <w:keepNext w:val="0"/>
                    <w:keepLines w:val="0"/>
                    <w:suppressLineNumbers w:val="0"/>
                    <w:spacing w:before="0" w:beforeAutospacing="0" w:after="0" w:afterAutospacing="0"/>
                    <w:ind w:left="0" w:right="0"/>
                    <w:jc w:val="center"/>
                    <w:rPr>
                      <w:rFonts w:hint="eastAsia" w:ascii="Times New Roman" w:hAnsi="Times New Roman" w:eastAsia="宋体" w:cs="Times New Roman"/>
                      <w:color w:val="auto"/>
                      <w:sz w:val="21"/>
                      <w:szCs w:val="21"/>
                      <w:highlight w:val="none"/>
                      <w:lang w:val="en-US" w:eastAsia="zh-CN"/>
                    </w:rPr>
                  </w:pPr>
                  <w:r>
                    <w:rPr>
                      <w:rFonts w:hint="eastAsia" w:cs="Times New Roman"/>
                      <w:b w:val="0"/>
                      <w:bCs w:val="0"/>
                      <w:sz w:val="21"/>
                      <w:szCs w:val="21"/>
                      <w:highlight w:val="none"/>
                      <w:lang w:val="en-US" w:eastAsia="zh-CN" w:bidi="ar"/>
                    </w:rPr>
                    <w:t>~0</w:t>
                  </w:r>
                </w:p>
              </w:tc>
              <w:tc>
                <w:tcPr>
                  <w:tcW w:w="1169" w:type="dxa"/>
                  <w:noWrap w:val="0"/>
                  <w:vAlign w:val="center"/>
                </w:tcPr>
                <w:p w14:paraId="6347CBD6">
                  <w:pPr>
                    <w:keepNext w:val="0"/>
                    <w:keepLines w:val="0"/>
                    <w:suppressLineNumbers w:val="0"/>
                    <w:spacing w:before="0" w:beforeAutospacing="0" w:after="0" w:afterAutospacing="0"/>
                    <w:ind w:left="0" w:right="0"/>
                    <w:jc w:val="center"/>
                    <w:rPr>
                      <w:rFonts w:hint="eastAsia" w:ascii="Times New Roman" w:hAnsi="Times New Roman" w:eastAsia="宋体" w:cs="Times New Roman"/>
                      <w:color w:val="auto"/>
                      <w:sz w:val="21"/>
                      <w:szCs w:val="21"/>
                      <w:highlight w:val="none"/>
                      <w:lang w:val="en-US" w:eastAsia="zh-CN"/>
                    </w:rPr>
                  </w:pPr>
                  <w:r>
                    <w:rPr>
                      <w:rFonts w:hint="eastAsia" w:cs="Times New Roman"/>
                      <w:b w:val="0"/>
                      <w:bCs w:val="0"/>
                      <w:sz w:val="21"/>
                      <w:szCs w:val="21"/>
                      <w:highlight w:val="none"/>
                      <w:lang w:val="en-US" w:eastAsia="zh-CN" w:bidi="ar"/>
                    </w:rPr>
                    <w:t>0.001</w:t>
                  </w:r>
                </w:p>
              </w:tc>
              <w:tc>
                <w:tcPr>
                  <w:tcW w:w="1174" w:type="dxa"/>
                  <w:noWrap w:val="0"/>
                  <w:vAlign w:val="center"/>
                </w:tcPr>
                <w:p w14:paraId="5D06916D">
                  <w:pPr>
                    <w:keepNext w:val="0"/>
                    <w:keepLines w:val="0"/>
                    <w:suppressLineNumbers w:val="0"/>
                    <w:spacing w:before="0" w:beforeAutospacing="0" w:after="0" w:afterAutospacing="0"/>
                    <w:ind w:left="0" w:right="0"/>
                    <w:jc w:val="center"/>
                    <w:rPr>
                      <w:rFonts w:hint="eastAsia" w:ascii="Times New Roman" w:hAnsi="Times New Roman" w:eastAsia="宋体" w:cs="Times New Roman"/>
                      <w:color w:val="auto"/>
                      <w:sz w:val="21"/>
                      <w:szCs w:val="21"/>
                      <w:highlight w:val="none"/>
                      <w:lang w:val="en-US" w:eastAsia="zh-CN"/>
                    </w:rPr>
                  </w:pPr>
                  <w:r>
                    <w:rPr>
                      <w:rFonts w:hint="eastAsia" w:cs="Times New Roman"/>
                      <w:b w:val="0"/>
                      <w:bCs w:val="0"/>
                      <w:sz w:val="21"/>
                      <w:szCs w:val="21"/>
                      <w:highlight w:val="none"/>
                      <w:lang w:val="en-US" w:eastAsia="zh-CN" w:bidi="ar"/>
                    </w:rPr>
                    <w:t>~0</w:t>
                  </w:r>
                </w:p>
              </w:tc>
            </w:tr>
            <w:tr w14:paraId="60A5376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40" w:hRule="atLeast"/>
              </w:trPr>
              <w:tc>
                <w:tcPr>
                  <w:tcW w:w="470" w:type="pct"/>
                  <w:vMerge w:val="continue"/>
                  <w:noWrap w:val="0"/>
                  <w:vAlign w:val="center"/>
                </w:tcPr>
                <w:p w14:paraId="653F6598">
                  <w:pPr>
                    <w:keepNext w:val="0"/>
                    <w:keepLines w:val="0"/>
                    <w:widowControl/>
                    <w:suppressLineNumbers w:val="0"/>
                    <w:spacing w:before="0" w:beforeAutospacing="0" w:after="0" w:afterAutospacing="0" w:line="280" w:lineRule="exact"/>
                    <w:ind w:left="0" w:right="0"/>
                    <w:jc w:val="center"/>
                    <w:textAlignment w:val="center"/>
                    <w:rPr>
                      <w:rFonts w:hint="eastAsia" w:ascii="Times New Roman" w:hAnsi="Times New Roman" w:eastAsia="宋体" w:cs="Times New Roman"/>
                      <w:b w:val="0"/>
                      <w:bCs w:val="0"/>
                      <w:sz w:val="21"/>
                      <w:szCs w:val="21"/>
                      <w:highlight w:val="none"/>
                      <w:lang w:val="en-US" w:eastAsia="zh-CN" w:bidi="ar"/>
                    </w:rPr>
                  </w:pPr>
                </w:p>
              </w:tc>
              <w:tc>
                <w:tcPr>
                  <w:tcW w:w="1102" w:type="pct"/>
                  <w:gridSpan w:val="2"/>
                  <w:noWrap w:val="0"/>
                  <w:vAlign w:val="center"/>
                </w:tcPr>
                <w:p w14:paraId="3F337F10">
                  <w:pPr>
                    <w:keepNext w:val="0"/>
                    <w:keepLines w:val="0"/>
                    <w:widowControl/>
                    <w:suppressLineNumbers w:val="0"/>
                    <w:spacing w:before="0" w:beforeAutospacing="0" w:after="0" w:afterAutospacing="0" w:line="280" w:lineRule="exact"/>
                    <w:ind w:left="0" w:right="0"/>
                    <w:jc w:val="center"/>
                    <w:textAlignment w:val="center"/>
                    <w:rPr>
                      <w:rFonts w:hint="default" w:ascii="Times New Roman" w:hAnsi="Times New Roman" w:eastAsia="宋体" w:cs="Times New Roman"/>
                      <w:b w:val="0"/>
                      <w:bCs w:val="0"/>
                      <w:sz w:val="21"/>
                      <w:szCs w:val="21"/>
                      <w:highlight w:val="none"/>
                      <w:lang w:val="en-US" w:eastAsia="zh-CN" w:bidi="ar"/>
                    </w:rPr>
                  </w:pPr>
                  <w:r>
                    <w:rPr>
                      <w:rFonts w:hint="eastAsia" w:ascii="Times New Roman" w:hAnsi="Times New Roman" w:eastAsia="宋体" w:cs="Times New Roman"/>
                      <w:b w:val="0"/>
                      <w:bCs w:val="0"/>
                      <w:sz w:val="21"/>
                      <w:szCs w:val="21"/>
                      <w:highlight w:val="none"/>
                      <w:lang w:val="en-US" w:eastAsia="zh-CN" w:bidi="ar"/>
                    </w:rPr>
                    <w:t>合计</w:t>
                  </w:r>
                </w:p>
              </w:tc>
              <w:tc>
                <w:tcPr>
                  <w:tcW w:w="652" w:type="pct"/>
                  <w:shd w:val="clear" w:color="auto" w:fill="auto"/>
                  <w:noWrap w:val="0"/>
                  <w:vAlign w:val="center"/>
                </w:tcPr>
                <w:p w14:paraId="27FAC3CD">
                  <w:pPr>
                    <w:keepNext w:val="0"/>
                    <w:keepLines w:val="0"/>
                    <w:widowControl/>
                    <w:suppressLineNumbers w:val="0"/>
                    <w:spacing w:before="0" w:beforeAutospacing="0" w:after="0" w:afterAutospacing="0" w:line="280" w:lineRule="exact"/>
                    <w:ind w:left="0" w:right="0"/>
                    <w:jc w:val="center"/>
                    <w:textAlignment w:val="center"/>
                    <w:rPr>
                      <w:rFonts w:hint="eastAsia" w:ascii="Times New Roman" w:hAnsi="Times New Roman" w:eastAsia="宋体" w:cs="Times New Roman"/>
                      <w:b w:val="0"/>
                      <w:bCs w:val="0"/>
                      <w:kern w:val="2"/>
                      <w:sz w:val="21"/>
                      <w:szCs w:val="21"/>
                      <w:highlight w:val="none"/>
                      <w:lang w:val="en-US" w:eastAsia="zh-CN" w:bidi="ar"/>
                    </w:rPr>
                  </w:pPr>
                  <w:r>
                    <w:rPr>
                      <w:rFonts w:hint="eastAsia" w:cs="Times New Roman"/>
                      <w:b w:val="0"/>
                      <w:bCs/>
                      <w:sz w:val="21"/>
                      <w:szCs w:val="21"/>
                      <w:highlight w:val="none"/>
                      <w:lang w:val="en-US" w:eastAsia="zh-CN" w:bidi="ar"/>
                    </w:rPr>
                    <w:t>甲醛</w:t>
                  </w:r>
                </w:p>
              </w:tc>
              <w:tc>
                <w:tcPr>
                  <w:tcW w:w="624" w:type="pct"/>
                  <w:noWrap w:val="0"/>
                  <w:vAlign w:val="center"/>
                </w:tcPr>
                <w:p w14:paraId="3EA2B187">
                  <w:pPr>
                    <w:keepNext w:val="0"/>
                    <w:keepLines w:val="0"/>
                    <w:suppressLineNumbers w:val="0"/>
                    <w:spacing w:before="0" w:beforeAutospacing="0" w:after="0" w:afterAutospacing="0"/>
                    <w:ind w:left="0" w:right="0"/>
                    <w:jc w:val="center"/>
                    <w:rPr>
                      <w:rFonts w:hint="default" w:ascii="Times New Roman" w:hAnsi="Times New Roman" w:eastAsia="宋体" w:cs="Times New Roman"/>
                      <w:b w:val="0"/>
                      <w:bCs w:val="0"/>
                      <w:sz w:val="21"/>
                      <w:szCs w:val="21"/>
                      <w:highlight w:val="none"/>
                      <w:lang w:val="en-US" w:eastAsia="zh-CN" w:bidi="ar"/>
                    </w:rPr>
                  </w:pPr>
                  <w:r>
                    <w:rPr>
                      <w:rFonts w:hint="eastAsia" w:ascii="Times New Roman" w:hAnsi="Times New Roman" w:eastAsia="宋体" w:cs="Times New Roman"/>
                      <w:b w:val="0"/>
                      <w:bCs w:val="0"/>
                      <w:sz w:val="21"/>
                      <w:szCs w:val="21"/>
                      <w:highlight w:val="none"/>
                      <w:lang w:val="en-US" w:eastAsia="zh-CN" w:bidi="ar"/>
                    </w:rPr>
                    <w:t>0.03</w:t>
                  </w:r>
                  <w:r>
                    <w:rPr>
                      <w:rFonts w:hint="eastAsia" w:cs="Times New Roman"/>
                      <w:b w:val="0"/>
                      <w:bCs w:val="0"/>
                      <w:sz w:val="21"/>
                      <w:szCs w:val="21"/>
                      <w:highlight w:val="none"/>
                      <w:lang w:val="en-US" w:eastAsia="zh-CN" w:bidi="ar"/>
                    </w:rPr>
                    <w:t>0</w:t>
                  </w:r>
                </w:p>
              </w:tc>
              <w:tc>
                <w:tcPr>
                  <w:tcW w:w="717" w:type="pct"/>
                  <w:noWrap w:val="0"/>
                  <w:vAlign w:val="center"/>
                </w:tcPr>
                <w:p w14:paraId="711148DE">
                  <w:pPr>
                    <w:keepNext w:val="0"/>
                    <w:keepLines w:val="0"/>
                    <w:suppressLineNumbers w:val="0"/>
                    <w:spacing w:before="0" w:beforeAutospacing="0" w:after="0" w:afterAutospacing="0"/>
                    <w:ind w:left="0" w:right="0"/>
                    <w:jc w:val="center"/>
                    <w:rPr>
                      <w:rFonts w:hint="default" w:ascii="Times New Roman" w:hAnsi="Times New Roman" w:eastAsia="宋体" w:cs="Times New Roman"/>
                      <w:b w:val="0"/>
                      <w:bCs w:val="0"/>
                      <w:sz w:val="21"/>
                      <w:szCs w:val="21"/>
                      <w:highlight w:val="none"/>
                      <w:lang w:val="en-US" w:eastAsia="zh-CN" w:bidi="ar"/>
                    </w:rPr>
                  </w:pPr>
                  <w:r>
                    <w:rPr>
                      <w:rFonts w:hint="eastAsia" w:ascii="Times New Roman" w:hAnsi="Times New Roman" w:eastAsia="宋体" w:cs="Times New Roman"/>
                      <w:b w:val="0"/>
                      <w:bCs w:val="0"/>
                      <w:sz w:val="21"/>
                      <w:szCs w:val="21"/>
                      <w:highlight w:val="none"/>
                      <w:lang w:val="en-US" w:eastAsia="zh-CN" w:bidi="ar"/>
                    </w:rPr>
                    <w:t>0.01</w:t>
                  </w:r>
                  <w:r>
                    <w:rPr>
                      <w:rFonts w:hint="eastAsia" w:cs="Times New Roman"/>
                      <w:b w:val="0"/>
                      <w:bCs w:val="0"/>
                      <w:sz w:val="21"/>
                      <w:szCs w:val="21"/>
                      <w:highlight w:val="none"/>
                      <w:lang w:val="en-US" w:eastAsia="zh-CN" w:bidi="ar"/>
                    </w:rPr>
                    <w:t>2</w:t>
                  </w:r>
                </w:p>
              </w:tc>
              <w:tc>
                <w:tcPr>
                  <w:tcW w:w="714" w:type="pct"/>
                  <w:noWrap w:val="0"/>
                  <w:vAlign w:val="center"/>
                </w:tcPr>
                <w:p w14:paraId="5EDE495D">
                  <w:pPr>
                    <w:keepNext w:val="0"/>
                    <w:keepLines w:val="0"/>
                    <w:suppressLineNumbers w:val="0"/>
                    <w:spacing w:before="0" w:beforeAutospacing="0" w:after="0" w:afterAutospacing="0"/>
                    <w:ind w:left="0" w:right="0"/>
                    <w:jc w:val="center"/>
                    <w:rPr>
                      <w:rFonts w:hint="default" w:ascii="Times New Roman" w:hAnsi="Times New Roman" w:eastAsia="宋体" w:cs="Times New Roman"/>
                      <w:b w:val="0"/>
                      <w:bCs w:val="0"/>
                      <w:sz w:val="21"/>
                      <w:szCs w:val="21"/>
                      <w:highlight w:val="none"/>
                      <w:lang w:val="en-US" w:eastAsia="zh-CN" w:bidi="ar"/>
                    </w:rPr>
                  </w:pPr>
                  <w:r>
                    <w:rPr>
                      <w:rFonts w:hint="eastAsia" w:ascii="Times New Roman" w:hAnsi="Times New Roman" w:eastAsia="宋体" w:cs="Times New Roman"/>
                      <w:b w:val="0"/>
                      <w:bCs w:val="0"/>
                      <w:sz w:val="21"/>
                      <w:szCs w:val="21"/>
                      <w:highlight w:val="none"/>
                      <w:lang w:val="en-US" w:eastAsia="zh-CN" w:bidi="ar"/>
                    </w:rPr>
                    <w:t>0.03</w:t>
                  </w:r>
                  <w:r>
                    <w:rPr>
                      <w:rFonts w:hint="eastAsia" w:cs="Times New Roman"/>
                      <w:b w:val="0"/>
                      <w:bCs w:val="0"/>
                      <w:sz w:val="21"/>
                      <w:szCs w:val="21"/>
                      <w:highlight w:val="none"/>
                      <w:lang w:val="en-US" w:eastAsia="zh-CN" w:bidi="ar"/>
                    </w:rPr>
                    <w:t>0</w:t>
                  </w:r>
                </w:p>
              </w:tc>
              <w:tc>
                <w:tcPr>
                  <w:tcW w:w="717" w:type="pct"/>
                  <w:noWrap w:val="0"/>
                  <w:vAlign w:val="center"/>
                </w:tcPr>
                <w:p w14:paraId="0D39B92B">
                  <w:pPr>
                    <w:keepNext w:val="0"/>
                    <w:keepLines w:val="0"/>
                    <w:suppressLineNumbers w:val="0"/>
                    <w:spacing w:before="0" w:beforeAutospacing="0" w:after="0" w:afterAutospacing="0"/>
                    <w:ind w:left="0" w:right="0"/>
                    <w:jc w:val="center"/>
                    <w:rPr>
                      <w:rFonts w:hint="default" w:ascii="Times New Roman" w:hAnsi="Times New Roman" w:eastAsia="宋体" w:cs="Times New Roman"/>
                      <w:b w:val="0"/>
                      <w:bCs w:val="0"/>
                      <w:sz w:val="21"/>
                      <w:szCs w:val="21"/>
                      <w:highlight w:val="none"/>
                      <w:lang w:val="en-US" w:eastAsia="zh-CN" w:bidi="ar"/>
                    </w:rPr>
                  </w:pPr>
                  <w:r>
                    <w:rPr>
                      <w:rFonts w:hint="eastAsia" w:ascii="Times New Roman" w:hAnsi="Times New Roman" w:eastAsia="宋体" w:cs="Times New Roman"/>
                      <w:b w:val="0"/>
                      <w:bCs w:val="0"/>
                      <w:sz w:val="21"/>
                      <w:szCs w:val="21"/>
                      <w:highlight w:val="none"/>
                      <w:lang w:val="en-US" w:eastAsia="zh-CN" w:bidi="ar"/>
                    </w:rPr>
                    <w:t>0.0</w:t>
                  </w:r>
                  <w:r>
                    <w:rPr>
                      <w:rFonts w:hint="eastAsia" w:cs="Times New Roman"/>
                      <w:b w:val="0"/>
                      <w:bCs w:val="0"/>
                      <w:sz w:val="21"/>
                      <w:szCs w:val="21"/>
                      <w:highlight w:val="none"/>
                      <w:lang w:val="en-US" w:eastAsia="zh-CN" w:bidi="ar"/>
                    </w:rPr>
                    <w:t>12</w:t>
                  </w:r>
                </w:p>
              </w:tc>
            </w:tr>
          </w:tbl>
          <w:p w14:paraId="33D527DF">
            <w:pPr>
              <w:pStyle w:val="122"/>
              <w:keepNext w:val="0"/>
              <w:keepLines w:val="0"/>
              <w:suppressLineNumbers w:val="0"/>
              <w:spacing w:before="0" w:beforeAutospacing="0" w:after="0" w:afterAutospacing="0"/>
              <w:ind w:left="0" w:right="0"/>
              <w:rPr>
                <w:rFonts w:hint="default"/>
                <w:highlight w:val="none"/>
              </w:rPr>
            </w:pPr>
            <w:r>
              <w:rPr>
                <w:rFonts w:hint="eastAsia"/>
                <w:highlight w:val="none"/>
              </w:rPr>
              <w:t>④危废</w:t>
            </w:r>
            <w:r>
              <w:rPr>
                <w:rFonts w:hint="eastAsia"/>
                <w:highlight w:val="none"/>
                <w:lang w:val="en-US" w:eastAsia="zh-CN"/>
              </w:rPr>
              <w:t>暂存</w:t>
            </w:r>
            <w:r>
              <w:rPr>
                <w:rFonts w:hint="eastAsia"/>
                <w:highlight w:val="none"/>
              </w:rPr>
              <w:t>间</w:t>
            </w:r>
            <w:r>
              <w:rPr>
                <w:rFonts w:hint="eastAsia"/>
                <w:highlight w:val="none"/>
                <w:lang w:eastAsia="zh-CN"/>
              </w:rPr>
              <w:t>、</w:t>
            </w:r>
            <w:r>
              <w:rPr>
                <w:rFonts w:hint="eastAsia"/>
                <w:highlight w:val="none"/>
                <w:lang w:val="en-US" w:eastAsia="zh-CN"/>
              </w:rPr>
              <w:t>一般固废暂存间</w:t>
            </w:r>
            <w:r>
              <w:rPr>
                <w:rFonts w:hint="default"/>
                <w:highlight w:val="none"/>
              </w:rPr>
              <w:t>异味气体</w:t>
            </w:r>
          </w:p>
          <w:p w14:paraId="060C28C4">
            <w:pPr>
              <w:pStyle w:val="122"/>
              <w:keepNext w:val="0"/>
              <w:keepLines w:val="0"/>
              <w:suppressLineNumbers w:val="0"/>
              <w:spacing w:before="0" w:beforeAutospacing="0" w:after="0" w:afterAutospacing="0"/>
              <w:ind w:left="0" w:right="0"/>
              <w:rPr>
                <w:rFonts w:hint="default"/>
                <w:highlight w:val="none"/>
              </w:rPr>
            </w:pPr>
            <w:r>
              <w:rPr>
                <w:rFonts w:hint="eastAsia"/>
                <w:highlight w:val="none"/>
              </w:rPr>
              <w:t>由于危废</w:t>
            </w:r>
            <w:r>
              <w:rPr>
                <w:rFonts w:hint="eastAsia"/>
                <w:highlight w:val="none"/>
                <w:lang w:val="en-US" w:eastAsia="zh-CN"/>
              </w:rPr>
              <w:t>暂存</w:t>
            </w:r>
            <w:r>
              <w:rPr>
                <w:rFonts w:hint="eastAsia"/>
                <w:highlight w:val="none"/>
              </w:rPr>
              <w:t>间</w:t>
            </w:r>
            <w:r>
              <w:rPr>
                <w:rFonts w:hint="default"/>
                <w:highlight w:val="none"/>
              </w:rPr>
              <w:t>主要暂存</w:t>
            </w:r>
            <w:r>
              <w:rPr>
                <w:rFonts w:hint="eastAsia"/>
                <w:highlight w:val="none"/>
                <w:lang w:val="en-US" w:eastAsia="zh-CN"/>
              </w:rPr>
              <w:t>实验</w:t>
            </w:r>
            <w:r>
              <w:rPr>
                <w:rFonts w:hint="default"/>
                <w:highlight w:val="none"/>
              </w:rPr>
              <w:t>废液</w:t>
            </w:r>
            <w:r>
              <w:rPr>
                <w:rFonts w:hint="eastAsia"/>
                <w:highlight w:val="none"/>
              </w:rPr>
              <w:t>、</w:t>
            </w:r>
            <w:r>
              <w:rPr>
                <w:rFonts w:hint="eastAsia"/>
                <w:highlight w:val="none"/>
                <w:lang w:val="en-US" w:eastAsia="zh-CN"/>
              </w:rPr>
              <w:t>动物尸体、P2实验室废垫料</w:t>
            </w:r>
            <w:r>
              <w:rPr>
                <w:rFonts w:hint="default"/>
                <w:highlight w:val="none"/>
              </w:rPr>
              <w:t>，</w:t>
            </w:r>
            <w:r>
              <w:rPr>
                <w:rFonts w:hint="eastAsia"/>
                <w:highlight w:val="none"/>
                <w:lang w:val="en-US" w:eastAsia="zh-CN"/>
              </w:rPr>
              <w:t>一般固废暂存间主要暂存一般废</w:t>
            </w:r>
            <w:r>
              <w:rPr>
                <w:rFonts w:hint="default"/>
                <w:highlight w:val="none"/>
              </w:rPr>
              <w:t>垫料</w:t>
            </w:r>
            <w:r>
              <w:rPr>
                <w:rFonts w:hint="eastAsia"/>
                <w:highlight w:val="none"/>
                <w:lang w:eastAsia="zh-CN"/>
              </w:rPr>
              <w:t>、</w:t>
            </w:r>
            <w:r>
              <w:rPr>
                <w:rFonts w:hint="eastAsia"/>
                <w:highlight w:val="none"/>
                <w:lang w:val="en-US" w:eastAsia="zh-CN"/>
              </w:rPr>
              <w:t>粪便，</w:t>
            </w:r>
            <w:r>
              <w:rPr>
                <w:rFonts w:hint="default"/>
                <w:highlight w:val="none"/>
              </w:rPr>
              <w:t>暂存过程中会产生异味气体</w:t>
            </w:r>
            <w:r>
              <w:rPr>
                <w:rFonts w:hint="eastAsia"/>
                <w:highlight w:val="none"/>
              </w:rPr>
              <w:t>。</w:t>
            </w:r>
            <w:r>
              <w:rPr>
                <w:rFonts w:hint="eastAsia"/>
                <w:highlight w:val="none"/>
                <w:lang w:val="en-US" w:eastAsia="zh-CN"/>
              </w:rPr>
              <w:t>因为实验动物中心</w:t>
            </w:r>
            <w:r>
              <w:rPr>
                <w:rFonts w:hint="eastAsia"/>
                <w:highlight w:val="none"/>
              </w:rPr>
              <w:t>使用</w:t>
            </w:r>
            <w:r>
              <w:rPr>
                <w:rFonts w:hint="default"/>
                <w:highlight w:val="none"/>
              </w:rPr>
              <w:t>有机试剂量较小</w:t>
            </w:r>
            <w:r>
              <w:rPr>
                <w:rFonts w:hint="eastAsia"/>
                <w:highlight w:val="none"/>
              </w:rPr>
              <w:t>，危废</w:t>
            </w:r>
            <w:r>
              <w:rPr>
                <w:rFonts w:hint="eastAsia"/>
                <w:highlight w:val="none"/>
                <w:lang w:val="en-US" w:eastAsia="zh-CN"/>
              </w:rPr>
              <w:t>暂存</w:t>
            </w:r>
            <w:r>
              <w:rPr>
                <w:rFonts w:hint="eastAsia"/>
                <w:highlight w:val="none"/>
              </w:rPr>
              <w:t>间不进行</w:t>
            </w:r>
            <w:r>
              <w:rPr>
                <w:rFonts w:hint="default"/>
                <w:highlight w:val="none"/>
              </w:rPr>
              <w:t>定性定量分析有机废气</w:t>
            </w:r>
            <w:r>
              <w:rPr>
                <w:rFonts w:hint="eastAsia"/>
                <w:highlight w:val="none"/>
                <w:lang w:eastAsia="zh-CN"/>
              </w:rPr>
              <w:t>，</w:t>
            </w:r>
            <w:r>
              <w:rPr>
                <w:rFonts w:hint="eastAsia"/>
                <w:highlight w:val="none"/>
                <w:lang w:val="en-US" w:eastAsia="zh-CN"/>
              </w:rPr>
              <w:t>其次，动物尸体均已冷冻处理，基本不产生恶臭</w:t>
            </w:r>
            <w:r>
              <w:rPr>
                <w:rFonts w:hint="default"/>
                <w:highlight w:val="none"/>
              </w:rPr>
              <w:t>。</w:t>
            </w:r>
            <w:r>
              <w:rPr>
                <w:rFonts w:hint="eastAsia"/>
                <w:highlight w:val="none"/>
                <w:lang w:val="en-US" w:eastAsia="zh-CN"/>
              </w:rPr>
              <w:t>故废物暂存环节</w:t>
            </w:r>
            <w:r>
              <w:rPr>
                <w:rFonts w:hint="eastAsia"/>
                <w:highlight w:val="none"/>
              </w:rPr>
              <w:t>主要</w:t>
            </w:r>
            <w:r>
              <w:rPr>
                <w:rFonts w:hint="default"/>
                <w:highlight w:val="none"/>
              </w:rPr>
              <w:t>考虑</w:t>
            </w:r>
            <w:r>
              <w:rPr>
                <w:rFonts w:hint="eastAsia"/>
                <w:highlight w:val="none"/>
              </w:rPr>
              <w:t>危废</w:t>
            </w:r>
            <w:r>
              <w:rPr>
                <w:rFonts w:hint="eastAsia"/>
                <w:highlight w:val="none"/>
                <w:lang w:val="en-US" w:eastAsia="zh-CN"/>
              </w:rPr>
              <w:t>暂存</w:t>
            </w:r>
            <w:r>
              <w:rPr>
                <w:rFonts w:hint="eastAsia"/>
                <w:highlight w:val="none"/>
              </w:rPr>
              <w:t>间</w:t>
            </w:r>
            <w:r>
              <w:rPr>
                <w:rFonts w:hint="eastAsia"/>
                <w:highlight w:val="none"/>
                <w:lang w:eastAsia="zh-CN"/>
              </w:rPr>
              <w:t>、</w:t>
            </w:r>
            <w:r>
              <w:rPr>
                <w:rFonts w:hint="eastAsia"/>
                <w:highlight w:val="none"/>
                <w:lang w:val="en-US" w:eastAsia="zh-CN"/>
              </w:rPr>
              <w:t>一般固废暂存间内</w:t>
            </w:r>
            <w:r>
              <w:rPr>
                <w:rFonts w:hint="default"/>
                <w:highlight w:val="none"/>
              </w:rPr>
              <w:t>废垫料</w:t>
            </w:r>
            <w:r>
              <w:rPr>
                <w:rFonts w:hint="eastAsia"/>
                <w:highlight w:val="none"/>
                <w:lang w:eastAsia="zh-CN"/>
              </w:rPr>
              <w:t>、</w:t>
            </w:r>
            <w:r>
              <w:rPr>
                <w:rFonts w:hint="eastAsia"/>
                <w:highlight w:val="none"/>
                <w:lang w:val="en-US" w:eastAsia="zh-CN"/>
              </w:rPr>
              <w:t>粪便</w:t>
            </w:r>
            <w:r>
              <w:rPr>
                <w:rFonts w:hint="default"/>
                <w:highlight w:val="none"/>
              </w:rPr>
              <w:t>产生的恶臭气体（</w:t>
            </w:r>
            <w:r>
              <w:rPr>
                <w:rFonts w:hint="eastAsia"/>
                <w:highlight w:val="none"/>
              </w:rPr>
              <w:t>N</w:t>
            </w:r>
            <w:r>
              <w:rPr>
                <w:rFonts w:hint="default"/>
                <w:highlight w:val="none"/>
              </w:rPr>
              <w:t>H</w:t>
            </w:r>
            <w:r>
              <w:rPr>
                <w:rFonts w:hint="default"/>
                <w:highlight w:val="none"/>
                <w:vertAlign w:val="subscript"/>
              </w:rPr>
              <w:t>3</w:t>
            </w:r>
            <w:r>
              <w:rPr>
                <w:rFonts w:hint="eastAsia"/>
                <w:highlight w:val="none"/>
              </w:rPr>
              <w:t>、</w:t>
            </w:r>
            <w:r>
              <w:rPr>
                <w:rFonts w:hint="default"/>
                <w:highlight w:val="none"/>
              </w:rPr>
              <w:t>H</w:t>
            </w:r>
            <w:r>
              <w:rPr>
                <w:rFonts w:hint="default"/>
                <w:highlight w:val="none"/>
                <w:vertAlign w:val="subscript"/>
              </w:rPr>
              <w:t>2</w:t>
            </w:r>
            <w:r>
              <w:rPr>
                <w:rFonts w:hint="default"/>
                <w:highlight w:val="none"/>
              </w:rPr>
              <w:t>S）</w:t>
            </w:r>
            <w:r>
              <w:rPr>
                <w:rFonts w:hint="eastAsia"/>
                <w:highlight w:val="none"/>
              </w:rPr>
              <w:t>。</w:t>
            </w:r>
          </w:p>
          <w:p w14:paraId="559F412C">
            <w:pPr>
              <w:pStyle w:val="122"/>
              <w:keepNext w:val="0"/>
              <w:keepLines w:val="0"/>
              <w:suppressLineNumbers w:val="0"/>
              <w:spacing w:before="0" w:beforeAutospacing="0" w:after="0" w:afterAutospacing="0"/>
              <w:ind w:left="0" w:right="0"/>
              <w:rPr>
                <w:rFonts w:hint="default" w:eastAsia="宋体"/>
                <w:highlight w:val="none"/>
                <w:lang w:val="en-US" w:eastAsia="zh-CN"/>
              </w:rPr>
            </w:pPr>
            <w:r>
              <w:rPr>
                <w:rFonts w:hint="eastAsia"/>
                <w:highlight w:val="none"/>
              </w:rPr>
              <w:t>类比</w:t>
            </w:r>
            <w:r>
              <w:rPr>
                <w:rFonts w:hint="default"/>
                <w:highlight w:val="none"/>
              </w:rPr>
              <w:t>《</w:t>
            </w:r>
            <w:r>
              <w:rPr>
                <w:rFonts w:hint="eastAsia"/>
                <w:highlight w:val="none"/>
              </w:rPr>
              <w:t>南京中医药大学实验动物中心及配套动力中心项目环境</w:t>
            </w:r>
            <w:r>
              <w:rPr>
                <w:rFonts w:hint="default"/>
                <w:highlight w:val="none"/>
              </w:rPr>
              <w:t>影响报告表》</w:t>
            </w:r>
            <w:r>
              <w:rPr>
                <w:rFonts w:hint="eastAsia"/>
                <w:highlight w:val="none"/>
              </w:rPr>
              <w:t>，危废</w:t>
            </w:r>
            <w:r>
              <w:rPr>
                <w:rFonts w:hint="eastAsia"/>
                <w:highlight w:val="none"/>
                <w:lang w:val="en-US" w:eastAsia="zh-CN"/>
              </w:rPr>
              <w:t>暂存</w:t>
            </w:r>
            <w:r>
              <w:rPr>
                <w:rFonts w:hint="eastAsia"/>
                <w:highlight w:val="none"/>
              </w:rPr>
              <w:t>间</w:t>
            </w:r>
            <w:r>
              <w:rPr>
                <w:rFonts w:hint="eastAsia"/>
                <w:highlight w:val="none"/>
                <w:lang w:eastAsia="zh-CN"/>
              </w:rPr>
              <w:t>、</w:t>
            </w:r>
            <w:r>
              <w:rPr>
                <w:rFonts w:hint="eastAsia"/>
                <w:highlight w:val="none"/>
                <w:lang w:val="en-US" w:eastAsia="zh-CN"/>
              </w:rPr>
              <w:t>一般固废暂存间内</w:t>
            </w:r>
            <w:r>
              <w:rPr>
                <w:rFonts w:hint="default"/>
                <w:highlight w:val="none"/>
              </w:rPr>
              <w:t>废垫料</w:t>
            </w:r>
            <w:r>
              <w:rPr>
                <w:rFonts w:hint="eastAsia"/>
                <w:highlight w:val="none"/>
                <w:lang w:eastAsia="zh-CN"/>
              </w:rPr>
              <w:t>、</w:t>
            </w:r>
            <w:r>
              <w:rPr>
                <w:rFonts w:hint="eastAsia"/>
                <w:highlight w:val="none"/>
                <w:lang w:val="en-US" w:eastAsia="zh-CN"/>
              </w:rPr>
              <w:t>粪便</w:t>
            </w:r>
            <w:r>
              <w:rPr>
                <w:rFonts w:hint="eastAsia"/>
                <w:highlight w:val="none"/>
              </w:rPr>
              <w:t>产生</w:t>
            </w:r>
            <w:r>
              <w:rPr>
                <w:rFonts w:hint="default"/>
                <w:highlight w:val="none"/>
              </w:rPr>
              <w:t>的恶臭</w:t>
            </w:r>
            <w:r>
              <w:rPr>
                <w:rFonts w:hint="eastAsia"/>
                <w:highlight w:val="none"/>
              </w:rPr>
              <w:t>气体</w:t>
            </w:r>
            <w:r>
              <w:rPr>
                <w:rFonts w:hint="default"/>
                <w:highlight w:val="none"/>
              </w:rPr>
              <w:t>产生量按</w:t>
            </w:r>
            <w:r>
              <w:rPr>
                <w:rFonts w:hint="eastAsia"/>
                <w:highlight w:val="none"/>
              </w:rPr>
              <w:t>动物</w:t>
            </w:r>
            <w:r>
              <w:rPr>
                <w:rFonts w:hint="default"/>
                <w:highlight w:val="none"/>
              </w:rPr>
              <w:t>饲养区域产生量的</w:t>
            </w:r>
            <w:r>
              <w:rPr>
                <w:rFonts w:hint="eastAsia"/>
                <w:highlight w:val="none"/>
              </w:rPr>
              <w:t>1</w:t>
            </w:r>
            <w:r>
              <w:rPr>
                <w:rFonts w:hint="default"/>
                <w:highlight w:val="none"/>
              </w:rPr>
              <w:t>%</w:t>
            </w:r>
            <w:r>
              <w:rPr>
                <w:rFonts w:hint="eastAsia"/>
                <w:highlight w:val="none"/>
              </w:rPr>
              <w:t>计，</w:t>
            </w:r>
            <w:r>
              <w:rPr>
                <w:rFonts w:hint="default"/>
                <w:highlight w:val="none"/>
              </w:rPr>
              <w:t>则氨产生量</w:t>
            </w:r>
            <w:r>
              <w:rPr>
                <w:rFonts w:hint="eastAsia"/>
                <w:highlight w:val="none"/>
              </w:rPr>
              <w:t>为0.</w:t>
            </w:r>
            <w:r>
              <w:rPr>
                <w:rFonts w:hint="eastAsia"/>
                <w:highlight w:val="none"/>
                <w:lang w:val="en-US" w:eastAsia="zh-CN"/>
              </w:rPr>
              <w:t>004</w:t>
            </w:r>
            <w:r>
              <w:rPr>
                <w:rFonts w:hint="default"/>
                <w:highlight w:val="none"/>
              </w:rPr>
              <w:t>t/a</w:t>
            </w:r>
            <w:r>
              <w:rPr>
                <w:rFonts w:hint="eastAsia"/>
                <w:highlight w:val="none"/>
              </w:rPr>
              <w:t>、</w:t>
            </w:r>
            <w:r>
              <w:rPr>
                <w:rFonts w:hint="default"/>
                <w:highlight w:val="none"/>
              </w:rPr>
              <w:t>硫化氢产生量约为</w:t>
            </w:r>
            <w:r>
              <w:rPr>
                <w:rFonts w:hint="eastAsia"/>
                <w:highlight w:val="none"/>
              </w:rPr>
              <w:t>0.00</w:t>
            </w:r>
            <w:r>
              <w:rPr>
                <w:rFonts w:hint="eastAsia"/>
                <w:highlight w:val="none"/>
                <w:lang w:val="en-US" w:eastAsia="zh-CN"/>
              </w:rPr>
              <w:t>1</w:t>
            </w:r>
            <w:r>
              <w:rPr>
                <w:rFonts w:hint="default"/>
                <w:highlight w:val="none"/>
              </w:rPr>
              <w:t>t/a</w:t>
            </w:r>
            <w:r>
              <w:rPr>
                <w:rFonts w:hint="eastAsia"/>
                <w:highlight w:val="none"/>
              </w:rPr>
              <w:t>。</w:t>
            </w:r>
            <w:r>
              <w:rPr>
                <w:rFonts w:hint="eastAsia"/>
                <w:highlight w:val="none"/>
                <w:lang w:val="en-US" w:eastAsia="zh-CN"/>
              </w:rPr>
              <w:t>上文已对</w:t>
            </w:r>
            <w:r>
              <w:rPr>
                <w:rFonts w:hint="eastAsia"/>
                <w:highlight w:val="none"/>
              </w:rPr>
              <w:t>危废</w:t>
            </w:r>
            <w:r>
              <w:rPr>
                <w:rFonts w:hint="eastAsia"/>
                <w:highlight w:val="none"/>
                <w:lang w:val="en-US" w:eastAsia="zh-CN"/>
              </w:rPr>
              <w:t>暂存</w:t>
            </w:r>
            <w:r>
              <w:rPr>
                <w:rFonts w:hint="eastAsia"/>
                <w:highlight w:val="none"/>
              </w:rPr>
              <w:t>间</w:t>
            </w:r>
            <w:r>
              <w:rPr>
                <w:rFonts w:hint="eastAsia"/>
                <w:highlight w:val="none"/>
                <w:lang w:eastAsia="zh-CN"/>
              </w:rPr>
              <w:t>、</w:t>
            </w:r>
            <w:r>
              <w:rPr>
                <w:rFonts w:hint="eastAsia"/>
                <w:highlight w:val="none"/>
                <w:lang w:val="en-US" w:eastAsia="zh-CN"/>
              </w:rPr>
              <w:t>一般固废暂存间风量（DA010）进行了核算，此处不作赘述，</w:t>
            </w:r>
            <w:r>
              <w:rPr>
                <w:rFonts w:hint="eastAsia"/>
                <w:highlight w:val="none"/>
              </w:rPr>
              <w:t>危废</w:t>
            </w:r>
            <w:r>
              <w:rPr>
                <w:rFonts w:hint="eastAsia"/>
                <w:highlight w:val="none"/>
                <w:lang w:val="en-US" w:eastAsia="zh-CN"/>
              </w:rPr>
              <w:t>暂存</w:t>
            </w:r>
            <w:r>
              <w:rPr>
                <w:rFonts w:hint="eastAsia"/>
                <w:highlight w:val="none"/>
              </w:rPr>
              <w:t>间</w:t>
            </w:r>
            <w:r>
              <w:rPr>
                <w:rFonts w:hint="eastAsia"/>
                <w:highlight w:val="none"/>
                <w:lang w:eastAsia="zh-CN"/>
              </w:rPr>
              <w:t>、</w:t>
            </w:r>
            <w:r>
              <w:rPr>
                <w:rFonts w:hint="eastAsia"/>
                <w:highlight w:val="none"/>
                <w:lang w:val="en-US" w:eastAsia="zh-CN"/>
              </w:rPr>
              <w:t>一般固废暂存间</w:t>
            </w:r>
            <w:r>
              <w:rPr>
                <w:rFonts w:hint="default"/>
                <w:highlight w:val="none"/>
              </w:rPr>
              <w:t>异味气体</w:t>
            </w:r>
            <w:r>
              <w:rPr>
                <w:rFonts w:hint="eastAsia"/>
                <w:highlight w:val="none"/>
              </w:rPr>
              <w:t>经活性炭</w:t>
            </w:r>
            <w:r>
              <w:rPr>
                <w:rFonts w:hint="eastAsia"/>
                <w:highlight w:val="none"/>
                <w:lang w:val="en-US" w:eastAsia="zh-CN"/>
              </w:rPr>
              <w:t>吸附装置</w:t>
            </w:r>
            <w:r>
              <w:rPr>
                <w:rFonts w:hint="default"/>
                <w:highlight w:val="none"/>
              </w:rPr>
              <w:t>处理</w:t>
            </w:r>
            <w:r>
              <w:rPr>
                <w:rFonts w:hint="eastAsia"/>
                <w:highlight w:val="none"/>
                <w:lang w:val="en-US" w:eastAsia="zh-CN"/>
              </w:rPr>
              <w:t>后设30m高</w:t>
            </w:r>
            <w:r>
              <w:rPr>
                <w:rFonts w:hint="default"/>
                <w:highlight w:val="none"/>
              </w:rPr>
              <w:t>排气筒</w:t>
            </w:r>
            <w:r>
              <w:rPr>
                <w:rFonts w:hint="eastAsia"/>
                <w:highlight w:val="none"/>
                <w:lang w:eastAsia="zh-CN"/>
              </w:rPr>
              <w:t>（</w:t>
            </w:r>
            <w:r>
              <w:rPr>
                <w:rFonts w:hint="eastAsia"/>
                <w:highlight w:val="none"/>
                <w:lang w:val="en-US" w:eastAsia="zh-CN"/>
              </w:rPr>
              <w:t>DA010</w:t>
            </w:r>
            <w:r>
              <w:rPr>
                <w:rFonts w:hint="eastAsia"/>
                <w:highlight w:val="none"/>
                <w:lang w:eastAsia="zh-CN"/>
              </w:rPr>
              <w:t>）</w:t>
            </w:r>
            <w:r>
              <w:rPr>
                <w:rFonts w:hint="default"/>
                <w:highlight w:val="none"/>
              </w:rPr>
              <w:t>排放</w:t>
            </w:r>
            <w:r>
              <w:rPr>
                <w:rFonts w:hint="eastAsia"/>
                <w:highlight w:val="none"/>
                <w:lang w:eastAsia="zh-CN"/>
              </w:rPr>
              <w:t>，</w:t>
            </w:r>
            <w:r>
              <w:rPr>
                <w:rFonts w:hint="eastAsia"/>
                <w:highlight w:val="none"/>
                <w:lang w:val="en-US" w:eastAsia="zh-CN"/>
              </w:rPr>
              <w:t>废气风量</w:t>
            </w:r>
            <w:r>
              <w:rPr>
                <w:rFonts w:hint="eastAsia" w:ascii="Times New Roman" w:hAnsi="Times New Roman" w:eastAsia="宋体" w:cs="宋体"/>
                <w:bCs/>
                <w:kern w:val="0"/>
                <w:sz w:val="24"/>
                <w:szCs w:val="24"/>
                <w:highlight w:val="none"/>
                <w:lang w:val="en-US" w:eastAsia="zh-CN" w:bidi="ar-SA"/>
              </w:rPr>
              <w:t>为</w:t>
            </w:r>
            <w:r>
              <w:rPr>
                <w:rFonts w:hint="eastAsia"/>
                <w:color w:val="auto"/>
                <w:highlight w:val="none"/>
                <w:lang w:val="en-US" w:eastAsia="zh-CN"/>
              </w:rPr>
              <w:t>6000m</w:t>
            </w:r>
            <w:r>
              <w:rPr>
                <w:rFonts w:hint="eastAsia"/>
                <w:color w:val="auto"/>
                <w:highlight w:val="none"/>
                <w:vertAlign w:val="superscript"/>
                <w:lang w:val="en-US" w:eastAsia="zh-CN"/>
              </w:rPr>
              <w:t>3</w:t>
            </w:r>
            <w:r>
              <w:rPr>
                <w:rFonts w:hint="eastAsia"/>
                <w:color w:val="auto"/>
                <w:highlight w:val="none"/>
                <w:lang w:val="en-US" w:eastAsia="zh-CN"/>
              </w:rPr>
              <w:t>/h，</w:t>
            </w:r>
            <w:r>
              <w:rPr>
                <w:rFonts w:hint="eastAsia"/>
                <w:highlight w:val="none"/>
              </w:rPr>
              <w:t>收集效率按9</w:t>
            </w:r>
            <w:r>
              <w:rPr>
                <w:rFonts w:hint="default"/>
                <w:highlight w:val="none"/>
              </w:rPr>
              <w:t>5%</w:t>
            </w:r>
            <w:r>
              <w:rPr>
                <w:rFonts w:hint="eastAsia"/>
                <w:highlight w:val="none"/>
              </w:rPr>
              <w:t>计</w:t>
            </w:r>
            <w:r>
              <w:rPr>
                <w:rFonts w:hint="eastAsia"/>
                <w:highlight w:val="none"/>
                <w:lang w:eastAsia="zh-CN"/>
              </w:rPr>
              <w:t>，</w:t>
            </w:r>
            <w:r>
              <w:rPr>
                <w:rFonts w:hint="eastAsia"/>
                <w:highlight w:val="none"/>
                <w:lang w:val="en-US" w:eastAsia="zh-CN"/>
              </w:rPr>
              <w:t>工作时间以8760h/a计，</w:t>
            </w:r>
            <w:r>
              <w:rPr>
                <w:rFonts w:hint="eastAsia"/>
                <w:color w:val="auto"/>
                <w:highlight w:val="none"/>
                <w:lang w:val="en-US" w:eastAsia="zh-CN"/>
              </w:rPr>
              <w:t>项目危废暂存间、</w:t>
            </w:r>
            <w:r>
              <w:rPr>
                <w:rFonts w:hint="eastAsia"/>
                <w:highlight w:val="none"/>
                <w:lang w:val="en-US" w:eastAsia="zh-CN"/>
              </w:rPr>
              <w:t>一般固废暂存间</w:t>
            </w:r>
            <w:r>
              <w:rPr>
                <w:rFonts w:hint="default"/>
                <w:color w:val="auto"/>
                <w:highlight w:val="none"/>
              </w:rPr>
              <w:t>废气</w:t>
            </w:r>
            <w:r>
              <w:rPr>
                <w:rFonts w:hint="eastAsia" w:ascii="Times New Roman" w:hAnsi="Times New Roman" w:eastAsia="宋体" w:cs="Times New Roman"/>
                <w:sz w:val="24"/>
                <w:szCs w:val="24"/>
                <w:highlight w:val="none"/>
                <w:lang w:val="en-US" w:eastAsia="zh-CN"/>
              </w:rPr>
              <w:t>产生及排放情况见下表</w:t>
            </w:r>
            <w:r>
              <w:rPr>
                <w:rFonts w:hint="eastAsia" w:cs="Times New Roman"/>
                <w:sz w:val="24"/>
                <w:szCs w:val="24"/>
                <w:highlight w:val="none"/>
                <w:lang w:val="en-US" w:eastAsia="zh-CN"/>
              </w:rPr>
              <w:t>7</w:t>
            </w:r>
            <w:r>
              <w:rPr>
                <w:rFonts w:hint="eastAsia" w:ascii="Times New Roman" w:hAnsi="Times New Roman" w:eastAsia="宋体" w:cs="Times New Roman"/>
                <w:sz w:val="24"/>
                <w:szCs w:val="24"/>
                <w:highlight w:val="none"/>
                <w:lang w:val="en-US" w:eastAsia="zh-CN"/>
              </w:rPr>
              <w:t>-</w:t>
            </w:r>
            <w:r>
              <w:rPr>
                <w:rFonts w:hint="eastAsia" w:cs="Times New Roman"/>
                <w:sz w:val="24"/>
                <w:szCs w:val="24"/>
                <w:highlight w:val="none"/>
                <w:lang w:val="en-US" w:eastAsia="zh-CN"/>
              </w:rPr>
              <w:t>17</w:t>
            </w:r>
            <w:r>
              <w:rPr>
                <w:rFonts w:hint="eastAsia" w:ascii="Times New Roman" w:hAnsi="Times New Roman" w:eastAsia="宋体" w:cs="Times New Roman"/>
                <w:sz w:val="24"/>
                <w:szCs w:val="24"/>
                <w:highlight w:val="none"/>
                <w:lang w:val="en-US" w:eastAsia="zh-CN"/>
              </w:rPr>
              <w:t>。</w:t>
            </w:r>
          </w:p>
          <w:p w14:paraId="7C361033">
            <w:pPr>
              <w:keepNext w:val="0"/>
              <w:keepLines w:val="0"/>
              <w:pageBreakBefore w:val="0"/>
              <w:widowControl w:val="0"/>
              <w:suppressLineNumbers w:val="0"/>
              <w:kinsoku/>
              <w:wordWrap/>
              <w:overflowPunct w:val="0"/>
              <w:topLinePunct w:val="0"/>
              <w:autoSpaceDE/>
              <w:autoSpaceDN/>
              <w:bidi w:val="0"/>
              <w:adjustRightInd w:val="0"/>
              <w:snapToGrid w:val="0"/>
              <w:spacing w:before="0" w:beforeAutospacing="0" w:after="0" w:afterAutospacing="0" w:line="360" w:lineRule="auto"/>
              <w:ind w:left="0" w:right="0" w:firstLine="482"/>
              <w:jc w:val="center"/>
              <w:textAlignment w:val="auto"/>
              <w:rPr>
                <w:rFonts w:hint="default" w:ascii="Times New Roman" w:hAnsi="Times New Roman" w:eastAsia="宋体" w:cs="Times New Roman"/>
                <w:b/>
                <w:bCs/>
                <w:kern w:val="0"/>
                <w:sz w:val="24"/>
                <w:highlight w:val="none"/>
                <w:lang w:val="en-US" w:eastAsia="zh-CN"/>
              </w:rPr>
            </w:pPr>
            <w:r>
              <w:rPr>
                <w:rFonts w:hint="eastAsia" w:ascii="Times New Roman" w:hAnsi="Times New Roman" w:eastAsia="宋体" w:cs="Times New Roman"/>
                <w:b/>
                <w:bCs/>
                <w:kern w:val="0"/>
                <w:sz w:val="24"/>
                <w:highlight w:val="none"/>
                <w:lang w:val="en-US" w:eastAsia="zh-CN"/>
              </w:rPr>
              <w:t>表</w:t>
            </w:r>
            <w:r>
              <w:rPr>
                <w:rFonts w:hint="eastAsia" w:cs="Times New Roman"/>
                <w:b/>
                <w:bCs/>
                <w:kern w:val="0"/>
                <w:sz w:val="24"/>
                <w:highlight w:val="none"/>
                <w:lang w:val="en-US" w:eastAsia="zh-CN"/>
              </w:rPr>
              <w:t>7</w:t>
            </w:r>
            <w:r>
              <w:rPr>
                <w:rFonts w:hint="eastAsia" w:ascii="Times New Roman" w:hAnsi="Times New Roman" w:eastAsia="宋体" w:cs="Times New Roman"/>
                <w:b/>
                <w:bCs/>
                <w:kern w:val="0"/>
                <w:sz w:val="24"/>
                <w:highlight w:val="none"/>
                <w:lang w:val="en-US" w:eastAsia="zh-CN"/>
              </w:rPr>
              <w:t>-</w:t>
            </w:r>
            <w:r>
              <w:rPr>
                <w:rFonts w:hint="eastAsia" w:cs="Times New Roman"/>
                <w:b/>
                <w:bCs/>
                <w:kern w:val="0"/>
                <w:sz w:val="24"/>
                <w:highlight w:val="none"/>
                <w:lang w:val="en-US" w:eastAsia="zh-CN"/>
              </w:rPr>
              <w:t>17</w:t>
            </w:r>
            <w:r>
              <w:rPr>
                <w:rFonts w:hint="eastAsia" w:ascii="Times New Roman" w:hAnsi="Times New Roman" w:eastAsia="宋体" w:cs="Times New Roman"/>
                <w:b/>
                <w:bCs/>
                <w:kern w:val="0"/>
                <w:sz w:val="24"/>
                <w:highlight w:val="none"/>
                <w:lang w:val="en-US" w:eastAsia="zh-CN"/>
              </w:rPr>
              <w:t xml:space="preserve"> </w:t>
            </w:r>
            <w:r>
              <w:rPr>
                <w:rFonts w:hint="eastAsia"/>
                <w:b/>
                <w:bCs/>
                <w:highlight w:val="none"/>
                <w:lang w:val="en-US" w:eastAsia="zh-CN"/>
              </w:rPr>
              <w:t>一般固废暂存间、危废</w:t>
            </w:r>
            <w:r>
              <w:rPr>
                <w:rFonts w:hint="eastAsia" w:ascii="Times New Roman" w:hAnsi="Times New Roman" w:eastAsia="宋体" w:cs="Times New Roman"/>
                <w:b/>
                <w:bCs/>
                <w:kern w:val="0"/>
                <w:sz w:val="24"/>
                <w:highlight w:val="none"/>
                <w:lang w:val="en-US" w:eastAsia="zh-CN"/>
              </w:rPr>
              <w:t>暂存间废气产生及排放情况表</w:t>
            </w:r>
          </w:p>
          <w:tbl>
            <w:tblPr>
              <w:tblStyle w:val="33"/>
              <w:tblW w:w="4995"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241"/>
              <w:gridCol w:w="930"/>
              <w:gridCol w:w="848"/>
              <w:gridCol w:w="1028"/>
              <w:gridCol w:w="1110"/>
              <w:gridCol w:w="931"/>
              <w:gridCol w:w="913"/>
              <w:gridCol w:w="1177"/>
            </w:tblGrid>
            <w:tr w14:paraId="7C839DB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59" w:type="pct"/>
                  <w:vMerge w:val="restart"/>
                  <w:noWrap w:val="0"/>
                  <w:vAlign w:val="center"/>
                </w:tcPr>
                <w:p w14:paraId="79036E8F">
                  <w:pPr>
                    <w:keepNext w:val="0"/>
                    <w:keepLines w:val="0"/>
                    <w:widowControl/>
                    <w:suppressLineNumbers w:val="0"/>
                    <w:spacing w:before="0" w:beforeAutospacing="0" w:after="0" w:afterAutospacing="0" w:line="280" w:lineRule="exact"/>
                    <w:ind w:left="0" w:right="0"/>
                    <w:jc w:val="center"/>
                    <w:textAlignment w:val="center"/>
                    <w:rPr>
                      <w:rFonts w:hint="eastAsia" w:ascii="Times New Roman" w:hAnsi="Times New Roman" w:eastAsia="宋体" w:cs="Times New Roman"/>
                      <w:b w:val="0"/>
                      <w:bCs w:val="0"/>
                      <w:sz w:val="21"/>
                      <w:szCs w:val="21"/>
                      <w:highlight w:val="none"/>
                      <w:lang w:bidi="ar"/>
                    </w:rPr>
                  </w:pPr>
                  <w:r>
                    <w:rPr>
                      <w:rFonts w:hint="eastAsia" w:ascii="Times New Roman" w:hAnsi="Times New Roman" w:eastAsia="宋体" w:cs="Times New Roman"/>
                      <w:b w:val="0"/>
                      <w:bCs w:val="0"/>
                      <w:sz w:val="21"/>
                      <w:szCs w:val="21"/>
                      <w:highlight w:val="none"/>
                      <w:lang w:val="en-US" w:eastAsia="zh-CN" w:bidi="ar"/>
                    </w:rPr>
                    <w:t>污染源</w:t>
                  </w:r>
                </w:p>
              </w:tc>
              <w:tc>
                <w:tcPr>
                  <w:tcW w:w="1086" w:type="pct"/>
                  <w:gridSpan w:val="2"/>
                  <w:vMerge w:val="restart"/>
                  <w:noWrap w:val="0"/>
                  <w:vAlign w:val="center"/>
                </w:tcPr>
                <w:p w14:paraId="437C2CA7">
                  <w:pPr>
                    <w:keepNext w:val="0"/>
                    <w:keepLines w:val="0"/>
                    <w:widowControl/>
                    <w:suppressLineNumbers w:val="0"/>
                    <w:spacing w:before="0" w:beforeAutospacing="0" w:after="0" w:afterAutospacing="0" w:line="280" w:lineRule="exact"/>
                    <w:ind w:left="0" w:right="0"/>
                    <w:jc w:val="center"/>
                    <w:textAlignment w:val="center"/>
                    <w:rPr>
                      <w:rFonts w:hint="default" w:ascii="Times New Roman" w:hAnsi="Times New Roman" w:eastAsia="宋体" w:cs="Times New Roman"/>
                      <w:b w:val="0"/>
                      <w:bCs w:val="0"/>
                      <w:sz w:val="21"/>
                      <w:szCs w:val="21"/>
                      <w:highlight w:val="none"/>
                      <w:lang w:val="en-US" w:bidi="ar"/>
                    </w:rPr>
                  </w:pPr>
                  <w:r>
                    <w:rPr>
                      <w:rFonts w:hint="eastAsia" w:cs="Times New Roman"/>
                      <w:b w:val="0"/>
                      <w:bCs w:val="0"/>
                      <w:sz w:val="21"/>
                      <w:szCs w:val="21"/>
                      <w:highlight w:val="none"/>
                      <w:lang w:val="en-US" w:eastAsia="zh-CN" w:bidi="ar"/>
                    </w:rPr>
                    <w:t>排放方式</w:t>
                  </w:r>
                </w:p>
              </w:tc>
              <w:tc>
                <w:tcPr>
                  <w:tcW w:w="628" w:type="pct"/>
                  <w:vMerge w:val="restart"/>
                  <w:noWrap w:val="0"/>
                  <w:vAlign w:val="center"/>
                </w:tcPr>
                <w:p w14:paraId="629E3E57">
                  <w:pPr>
                    <w:keepNext w:val="0"/>
                    <w:keepLines w:val="0"/>
                    <w:widowControl/>
                    <w:suppressLineNumbers w:val="0"/>
                    <w:spacing w:before="0" w:beforeAutospacing="0" w:after="0" w:afterAutospacing="0" w:line="280" w:lineRule="exact"/>
                    <w:ind w:left="0" w:right="0"/>
                    <w:jc w:val="center"/>
                    <w:textAlignment w:val="center"/>
                    <w:rPr>
                      <w:rFonts w:hint="eastAsia" w:ascii="Times New Roman" w:hAnsi="Times New Roman" w:eastAsia="宋体" w:cs="Times New Roman"/>
                      <w:b w:val="0"/>
                      <w:bCs w:val="0"/>
                      <w:sz w:val="21"/>
                      <w:szCs w:val="21"/>
                      <w:highlight w:val="none"/>
                      <w:lang w:bidi="ar"/>
                    </w:rPr>
                  </w:pPr>
                  <w:r>
                    <w:rPr>
                      <w:rFonts w:hint="eastAsia" w:ascii="Times New Roman" w:hAnsi="Times New Roman" w:eastAsia="宋体" w:cs="Times New Roman"/>
                      <w:b w:val="0"/>
                      <w:bCs w:val="0"/>
                      <w:sz w:val="21"/>
                      <w:szCs w:val="21"/>
                      <w:highlight w:val="none"/>
                      <w:lang w:val="en-US" w:eastAsia="zh-CN" w:bidi="ar"/>
                    </w:rPr>
                    <w:t>污染因子</w:t>
                  </w:r>
                </w:p>
              </w:tc>
              <w:tc>
                <w:tcPr>
                  <w:tcW w:w="1247" w:type="pct"/>
                  <w:gridSpan w:val="2"/>
                  <w:noWrap w:val="0"/>
                  <w:vAlign w:val="center"/>
                </w:tcPr>
                <w:p w14:paraId="55B23A3E">
                  <w:pPr>
                    <w:keepNext w:val="0"/>
                    <w:keepLines w:val="0"/>
                    <w:widowControl/>
                    <w:suppressLineNumbers w:val="0"/>
                    <w:spacing w:before="0" w:beforeAutospacing="0" w:after="0" w:afterAutospacing="0" w:line="280" w:lineRule="exact"/>
                    <w:ind w:left="0" w:right="0"/>
                    <w:jc w:val="center"/>
                    <w:textAlignment w:val="center"/>
                    <w:rPr>
                      <w:rFonts w:hint="eastAsia" w:ascii="Times New Roman" w:hAnsi="Times New Roman" w:eastAsia="宋体" w:cs="Times New Roman"/>
                      <w:b w:val="0"/>
                      <w:bCs w:val="0"/>
                      <w:sz w:val="21"/>
                      <w:szCs w:val="21"/>
                      <w:highlight w:val="none"/>
                      <w:lang w:bidi="ar"/>
                    </w:rPr>
                  </w:pPr>
                  <w:r>
                    <w:rPr>
                      <w:rFonts w:hint="eastAsia" w:ascii="Times New Roman" w:hAnsi="Times New Roman" w:eastAsia="宋体" w:cs="Times New Roman"/>
                      <w:b w:val="0"/>
                      <w:bCs w:val="0"/>
                      <w:sz w:val="21"/>
                      <w:szCs w:val="21"/>
                      <w:highlight w:val="none"/>
                      <w:lang w:val="en-US" w:eastAsia="zh-CN" w:bidi="ar"/>
                    </w:rPr>
                    <w:t>产生情况</w:t>
                  </w:r>
                </w:p>
              </w:tc>
              <w:tc>
                <w:tcPr>
                  <w:tcW w:w="1277" w:type="pct"/>
                  <w:gridSpan w:val="2"/>
                  <w:noWrap w:val="0"/>
                  <w:vAlign w:val="center"/>
                </w:tcPr>
                <w:p w14:paraId="0DAB2365">
                  <w:pPr>
                    <w:keepNext w:val="0"/>
                    <w:keepLines w:val="0"/>
                    <w:widowControl/>
                    <w:suppressLineNumbers w:val="0"/>
                    <w:spacing w:before="0" w:beforeAutospacing="0" w:after="0" w:afterAutospacing="0" w:line="280" w:lineRule="exact"/>
                    <w:ind w:left="0" w:right="0"/>
                    <w:jc w:val="center"/>
                    <w:textAlignment w:val="center"/>
                    <w:rPr>
                      <w:rFonts w:hint="eastAsia" w:ascii="Times New Roman" w:hAnsi="Times New Roman" w:eastAsia="宋体" w:cs="Times New Roman"/>
                      <w:b w:val="0"/>
                      <w:bCs w:val="0"/>
                      <w:sz w:val="21"/>
                      <w:szCs w:val="21"/>
                      <w:highlight w:val="none"/>
                      <w:lang w:bidi="ar"/>
                    </w:rPr>
                  </w:pPr>
                  <w:r>
                    <w:rPr>
                      <w:rFonts w:hint="eastAsia" w:ascii="Times New Roman" w:hAnsi="Times New Roman" w:eastAsia="宋体" w:cs="Times New Roman"/>
                      <w:b w:val="0"/>
                      <w:bCs w:val="0"/>
                      <w:sz w:val="21"/>
                      <w:szCs w:val="21"/>
                      <w:highlight w:val="none"/>
                      <w:lang w:val="en-US" w:eastAsia="zh-CN" w:bidi="ar"/>
                    </w:rPr>
                    <w:t>排放情况</w:t>
                  </w:r>
                </w:p>
              </w:tc>
            </w:tr>
            <w:tr w14:paraId="4E5F948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59" w:type="pct"/>
                  <w:vMerge w:val="continue"/>
                  <w:noWrap w:val="0"/>
                  <w:vAlign w:val="center"/>
                </w:tcPr>
                <w:p w14:paraId="112C099A">
                  <w:pPr>
                    <w:keepNext w:val="0"/>
                    <w:keepLines w:val="0"/>
                    <w:widowControl/>
                    <w:suppressLineNumbers w:val="0"/>
                    <w:spacing w:before="0" w:beforeAutospacing="0" w:after="0" w:afterAutospacing="0" w:line="280" w:lineRule="exact"/>
                    <w:ind w:left="0" w:right="0"/>
                    <w:jc w:val="center"/>
                    <w:textAlignment w:val="center"/>
                    <w:rPr>
                      <w:rFonts w:hint="eastAsia" w:ascii="Times New Roman" w:hAnsi="Times New Roman" w:eastAsia="宋体" w:cs="Times New Roman"/>
                      <w:b w:val="0"/>
                      <w:bCs w:val="0"/>
                      <w:sz w:val="21"/>
                      <w:szCs w:val="21"/>
                      <w:highlight w:val="none"/>
                      <w:lang w:bidi="ar"/>
                    </w:rPr>
                  </w:pPr>
                </w:p>
              </w:tc>
              <w:tc>
                <w:tcPr>
                  <w:tcW w:w="1086" w:type="pct"/>
                  <w:gridSpan w:val="2"/>
                  <w:vMerge w:val="continue"/>
                  <w:noWrap w:val="0"/>
                  <w:vAlign w:val="center"/>
                </w:tcPr>
                <w:p w14:paraId="559A0DC9">
                  <w:pPr>
                    <w:keepNext w:val="0"/>
                    <w:keepLines w:val="0"/>
                    <w:widowControl/>
                    <w:suppressLineNumbers w:val="0"/>
                    <w:spacing w:before="0" w:beforeAutospacing="0" w:after="0" w:afterAutospacing="0" w:line="280" w:lineRule="exact"/>
                    <w:ind w:left="0" w:right="0"/>
                    <w:jc w:val="center"/>
                    <w:textAlignment w:val="center"/>
                    <w:rPr>
                      <w:rFonts w:hint="eastAsia" w:ascii="Times New Roman" w:hAnsi="Times New Roman" w:eastAsia="宋体" w:cs="Times New Roman"/>
                      <w:b w:val="0"/>
                      <w:bCs w:val="0"/>
                      <w:sz w:val="21"/>
                      <w:szCs w:val="21"/>
                      <w:highlight w:val="none"/>
                      <w:lang w:bidi="ar"/>
                    </w:rPr>
                  </w:pPr>
                </w:p>
              </w:tc>
              <w:tc>
                <w:tcPr>
                  <w:tcW w:w="628" w:type="pct"/>
                  <w:vMerge w:val="continue"/>
                  <w:noWrap w:val="0"/>
                  <w:vAlign w:val="center"/>
                </w:tcPr>
                <w:p w14:paraId="50178B19">
                  <w:pPr>
                    <w:keepNext w:val="0"/>
                    <w:keepLines w:val="0"/>
                    <w:widowControl/>
                    <w:suppressLineNumbers w:val="0"/>
                    <w:spacing w:before="0" w:beforeAutospacing="0" w:after="0" w:afterAutospacing="0" w:line="280" w:lineRule="exact"/>
                    <w:ind w:left="0" w:right="0"/>
                    <w:jc w:val="center"/>
                    <w:textAlignment w:val="center"/>
                    <w:rPr>
                      <w:rFonts w:hint="eastAsia" w:ascii="Times New Roman" w:hAnsi="Times New Roman" w:eastAsia="宋体" w:cs="Times New Roman"/>
                      <w:b w:val="0"/>
                      <w:bCs w:val="0"/>
                      <w:sz w:val="21"/>
                      <w:szCs w:val="21"/>
                      <w:highlight w:val="none"/>
                      <w:lang w:bidi="ar"/>
                    </w:rPr>
                  </w:pPr>
                </w:p>
              </w:tc>
              <w:tc>
                <w:tcPr>
                  <w:tcW w:w="678" w:type="pct"/>
                  <w:noWrap w:val="0"/>
                  <w:vAlign w:val="center"/>
                </w:tcPr>
                <w:p w14:paraId="005B123B">
                  <w:pPr>
                    <w:keepNext w:val="0"/>
                    <w:keepLines w:val="0"/>
                    <w:widowControl/>
                    <w:suppressLineNumbers w:val="0"/>
                    <w:spacing w:before="0" w:beforeAutospacing="0" w:after="0" w:afterAutospacing="0" w:line="280" w:lineRule="exact"/>
                    <w:ind w:left="0" w:right="0"/>
                    <w:jc w:val="center"/>
                    <w:textAlignment w:val="center"/>
                    <w:rPr>
                      <w:rFonts w:hint="eastAsia" w:ascii="Times New Roman" w:hAnsi="Times New Roman" w:eastAsia="宋体" w:cs="Times New Roman"/>
                      <w:b w:val="0"/>
                      <w:bCs w:val="0"/>
                      <w:sz w:val="21"/>
                      <w:szCs w:val="21"/>
                      <w:highlight w:val="none"/>
                      <w:lang w:bidi="ar"/>
                    </w:rPr>
                  </w:pPr>
                  <w:r>
                    <w:rPr>
                      <w:rFonts w:hint="eastAsia" w:ascii="Times New Roman" w:hAnsi="Times New Roman" w:eastAsia="宋体" w:cs="Times New Roman"/>
                      <w:b w:val="0"/>
                      <w:bCs w:val="0"/>
                      <w:sz w:val="21"/>
                      <w:szCs w:val="21"/>
                      <w:highlight w:val="none"/>
                      <w:lang w:val="en-US" w:eastAsia="zh-CN" w:bidi="ar"/>
                    </w:rPr>
                    <w:t xml:space="preserve">产生量 </w:t>
                  </w:r>
                  <w:r>
                    <w:rPr>
                      <w:rFonts w:hint="default" w:ascii="Times New Roman" w:hAnsi="Times New Roman" w:eastAsia="宋体" w:cs="Times New Roman"/>
                      <w:b w:val="0"/>
                      <w:bCs w:val="0"/>
                      <w:sz w:val="21"/>
                      <w:szCs w:val="21"/>
                      <w:highlight w:val="none"/>
                      <w:lang w:val="en-US" w:eastAsia="zh-CN" w:bidi="ar"/>
                    </w:rPr>
                    <w:t>t/a</w:t>
                  </w:r>
                </w:p>
              </w:tc>
              <w:tc>
                <w:tcPr>
                  <w:tcW w:w="568" w:type="pct"/>
                  <w:noWrap w:val="0"/>
                  <w:vAlign w:val="center"/>
                </w:tcPr>
                <w:p w14:paraId="58CD738C">
                  <w:pPr>
                    <w:keepNext w:val="0"/>
                    <w:keepLines w:val="0"/>
                    <w:widowControl/>
                    <w:suppressLineNumbers w:val="0"/>
                    <w:spacing w:before="0" w:beforeAutospacing="0" w:after="0" w:afterAutospacing="0" w:line="280" w:lineRule="exact"/>
                    <w:ind w:left="0" w:right="0"/>
                    <w:jc w:val="center"/>
                    <w:textAlignment w:val="center"/>
                    <w:rPr>
                      <w:rFonts w:hint="eastAsia" w:ascii="Times New Roman" w:hAnsi="Times New Roman" w:eastAsia="宋体" w:cs="Times New Roman"/>
                      <w:b w:val="0"/>
                      <w:bCs w:val="0"/>
                      <w:sz w:val="21"/>
                      <w:szCs w:val="21"/>
                      <w:highlight w:val="none"/>
                      <w:lang w:bidi="ar"/>
                    </w:rPr>
                  </w:pPr>
                  <w:r>
                    <w:rPr>
                      <w:rFonts w:hint="eastAsia" w:ascii="Times New Roman" w:hAnsi="Times New Roman" w:eastAsia="宋体" w:cs="Times New Roman"/>
                      <w:b w:val="0"/>
                      <w:bCs w:val="0"/>
                      <w:sz w:val="21"/>
                      <w:szCs w:val="21"/>
                      <w:highlight w:val="none"/>
                      <w:lang w:val="en-US" w:eastAsia="zh-CN" w:bidi="ar"/>
                    </w:rPr>
                    <w:t xml:space="preserve">产生速率 </w:t>
                  </w:r>
                  <w:r>
                    <w:rPr>
                      <w:rFonts w:hint="default" w:ascii="Times New Roman" w:hAnsi="Times New Roman" w:eastAsia="宋体" w:cs="Times New Roman"/>
                      <w:b w:val="0"/>
                      <w:bCs w:val="0"/>
                      <w:sz w:val="21"/>
                      <w:szCs w:val="21"/>
                      <w:highlight w:val="none"/>
                      <w:lang w:val="en-US" w:eastAsia="zh-CN" w:bidi="ar"/>
                    </w:rPr>
                    <w:t>kg/h</w:t>
                  </w:r>
                </w:p>
              </w:tc>
              <w:tc>
                <w:tcPr>
                  <w:tcW w:w="558" w:type="pct"/>
                  <w:noWrap w:val="0"/>
                  <w:vAlign w:val="center"/>
                </w:tcPr>
                <w:p w14:paraId="199763A2">
                  <w:pPr>
                    <w:keepNext w:val="0"/>
                    <w:keepLines w:val="0"/>
                    <w:widowControl/>
                    <w:suppressLineNumbers w:val="0"/>
                    <w:spacing w:before="0" w:beforeAutospacing="0" w:after="0" w:afterAutospacing="0" w:line="280" w:lineRule="exact"/>
                    <w:ind w:left="0" w:right="0"/>
                    <w:jc w:val="center"/>
                    <w:textAlignment w:val="center"/>
                    <w:rPr>
                      <w:rFonts w:hint="eastAsia" w:ascii="Times New Roman" w:hAnsi="Times New Roman" w:eastAsia="宋体" w:cs="Times New Roman"/>
                      <w:b w:val="0"/>
                      <w:bCs w:val="0"/>
                      <w:sz w:val="21"/>
                      <w:szCs w:val="21"/>
                      <w:highlight w:val="none"/>
                      <w:lang w:bidi="ar"/>
                    </w:rPr>
                  </w:pPr>
                  <w:r>
                    <w:rPr>
                      <w:rFonts w:hint="eastAsia" w:ascii="Times New Roman" w:hAnsi="Times New Roman" w:eastAsia="宋体" w:cs="Times New Roman"/>
                      <w:b w:val="0"/>
                      <w:bCs w:val="0"/>
                      <w:sz w:val="21"/>
                      <w:szCs w:val="21"/>
                      <w:highlight w:val="none"/>
                      <w:lang w:val="en-US" w:eastAsia="zh-CN" w:bidi="ar"/>
                    </w:rPr>
                    <w:t xml:space="preserve">排放量 </w:t>
                  </w:r>
                  <w:r>
                    <w:rPr>
                      <w:rFonts w:hint="default" w:ascii="Times New Roman" w:hAnsi="Times New Roman" w:eastAsia="宋体" w:cs="Times New Roman"/>
                      <w:b w:val="0"/>
                      <w:bCs w:val="0"/>
                      <w:sz w:val="21"/>
                      <w:szCs w:val="21"/>
                      <w:highlight w:val="none"/>
                      <w:lang w:val="en-US" w:eastAsia="zh-CN" w:bidi="ar"/>
                    </w:rPr>
                    <w:t>t/a</w:t>
                  </w:r>
                </w:p>
              </w:tc>
              <w:tc>
                <w:tcPr>
                  <w:tcW w:w="719" w:type="pct"/>
                  <w:noWrap w:val="0"/>
                  <w:vAlign w:val="center"/>
                </w:tcPr>
                <w:p w14:paraId="0CA1B07E">
                  <w:pPr>
                    <w:keepNext w:val="0"/>
                    <w:keepLines w:val="0"/>
                    <w:widowControl/>
                    <w:suppressLineNumbers w:val="0"/>
                    <w:spacing w:before="0" w:beforeAutospacing="0" w:after="0" w:afterAutospacing="0" w:line="280" w:lineRule="exact"/>
                    <w:ind w:left="0" w:right="0"/>
                    <w:jc w:val="center"/>
                    <w:textAlignment w:val="center"/>
                    <w:rPr>
                      <w:rFonts w:hint="eastAsia" w:ascii="Times New Roman" w:hAnsi="Times New Roman" w:eastAsia="宋体" w:cs="Times New Roman"/>
                      <w:b w:val="0"/>
                      <w:bCs w:val="0"/>
                      <w:sz w:val="21"/>
                      <w:szCs w:val="21"/>
                      <w:highlight w:val="none"/>
                      <w:lang w:bidi="ar"/>
                    </w:rPr>
                  </w:pPr>
                  <w:r>
                    <w:rPr>
                      <w:rFonts w:hint="eastAsia" w:ascii="Times New Roman" w:hAnsi="Times New Roman" w:eastAsia="宋体" w:cs="Times New Roman"/>
                      <w:b w:val="0"/>
                      <w:bCs w:val="0"/>
                      <w:sz w:val="21"/>
                      <w:szCs w:val="21"/>
                      <w:highlight w:val="none"/>
                      <w:lang w:val="en-US" w:eastAsia="zh-CN" w:bidi="ar"/>
                    </w:rPr>
                    <w:t xml:space="preserve">排放速率 </w:t>
                  </w:r>
                  <w:r>
                    <w:rPr>
                      <w:rFonts w:hint="default" w:ascii="Times New Roman" w:hAnsi="Times New Roman" w:eastAsia="宋体" w:cs="Times New Roman"/>
                      <w:b w:val="0"/>
                      <w:bCs w:val="0"/>
                      <w:sz w:val="21"/>
                      <w:szCs w:val="21"/>
                      <w:highlight w:val="none"/>
                      <w:lang w:val="en-US" w:eastAsia="zh-CN" w:bidi="ar"/>
                    </w:rPr>
                    <w:t>kg/h</w:t>
                  </w:r>
                </w:p>
              </w:tc>
            </w:tr>
            <w:tr w14:paraId="53717F7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759" w:type="pct"/>
                  <w:vMerge w:val="restart"/>
                  <w:noWrap w:val="0"/>
                  <w:vAlign w:val="center"/>
                </w:tcPr>
                <w:p w14:paraId="672079C6">
                  <w:pPr>
                    <w:keepNext w:val="0"/>
                    <w:keepLines w:val="0"/>
                    <w:widowControl/>
                    <w:suppressLineNumbers w:val="0"/>
                    <w:spacing w:before="0" w:beforeAutospacing="0" w:after="0" w:afterAutospacing="0" w:line="280" w:lineRule="exact"/>
                    <w:ind w:left="0" w:right="0"/>
                    <w:jc w:val="center"/>
                    <w:textAlignment w:val="center"/>
                    <w:rPr>
                      <w:rFonts w:hint="default" w:ascii="Times New Roman" w:hAnsi="Times New Roman" w:eastAsia="宋体" w:cs="Times New Roman"/>
                      <w:b w:val="0"/>
                      <w:bCs w:val="0"/>
                      <w:sz w:val="21"/>
                      <w:szCs w:val="21"/>
                      <w:highlight w:val="none"/>
                      <w:lang w:val="en-US" w:eastAsia="zh-CN" w:bidi="ar"/>
                    </w:rPr>
                  </w:pPr>
                  <w:r>
                    <w:rPr>
                      <w:rFonts w:hint="eastAsia"/>
                      <w:sz w:val="21"/>
                      <w:szCs w:val="21"/>
                      <w:highlight w:val="none"/>
                    </w:rPr>
                    <w:t>危废</w:t>
                  </w:r>
                  <w:r>
                    <w:rPr>
                      <w:rFonts w:hint="eastAsia"/>
                      <w:sz w:val="21"/>
                      <w:szCs w:val="21"/>
                      <w:highlight w:val="none"/>
                      <w:lang w:val="en-US" w:eastAsia="zh-CN"/>
                    </w:rPr>
                    <w:t>暂存</w:t>
                  </w:r>
                  <w:r>
                    <w:rPr>
                      <w:rFonts w:hint="eastAsia"/>
                      <w:sz w:val="21"/>
                      <w:szCs w:val="21"/>
                      <w:highlight w:val="none"/>
                    </w:rPr>
                    <w:t>间</w:t>
                  </w:r>
                  <w:r>
                    <w:rPr>
                      <w:rFonts w:hint="eastAsia"/>
                      <w:sz w:val="21"/>
                      <w:szCs w:val="21"/>
                      <w:highlight w:val="none"/>
                      <w:lang w:eastAsia="zh-CN"/>
                    </w:rPr>
                    <w:t>、</w:t>
                  </w:r>
                  <w:r>
                    <w:rPr>
                      <w:rFonts w:hint="eastAsia"/>
                      <w:sz w:val="21"/>
                      <w:szCs w:val="21"/>
                      <w:highlight w:val="none"/>
                      <w:lang w:val="en-US" w:eastAsia="zh-CN"/>
                    </w:rPr>
                    <w:t>一般固废</w:t>
                  </w:r>
                  <w:r>
                    <w:rPr>
                      <w:rFonts w:hint="eastAsia" w:ascii="Times New Roman" w:hAnsi="Times New Roman" w:eastAsia="宋体" w:cs="Times New Roman"/>
                      <w:b w:val="0"/>
                      <w:bCs w:val="0"/>
                      <w:sz w:val="21"/>
                      <w:szCs w:val="21"/>
                      <w:highlight w:val="none"/>
                      <w:lang w:val="en-US" w:eastAsia="zh-CN" w:bidi="ar"/>
                    </w:rPr>
                    <w:t>暂存间废气</w:t>
                  </w:r>
                </w:p>
              </w:tc>
              <w:tc>
                <w:tcPr>
                  <w:tcW w:w="568" w:type="pct"/>
                  <w:vMerge w:val="restart"/>
                  <w:noWrap w:val="0"/>
                  <w:vAlign w:val="center"/>
                </w:tcPr>
                <w:p w14:paraId="1A4D30D2">
                  <w:pPr>
                    <w:keepNext w:val="0"/>
                    <w:keepLines w:val="0"/>
                    <w:widowControl/>
                    <w:suppressLineNumbers w:val="0"/>
                    <w:spacing w:before="0" w:beforeAutospacing="0" w:after="0" w:afterAutospacing="0" w:line="280" w:lineRule="exact"/>
                    <w:ind w:left="0" w:right="0"/>
                    <w:jc w:val="center"/>
                    <w:textAlignment w:val="center"/>
                    <w:rPr>
                      <w:rFonts w:hint="default" w:ascii="Times New Roman" w:hAnsi="Times New Roman" w:eastAsia="宋体" w:cs="Times New Roman"/>
                      <w:b w:val="0"/>
                      <w:bCs w:val="0"/>
                      <w:sz w:val="21"/>
                      <w:szCs w:val="21"/>
                      <w:highlight w:val="none"/>
                      <w:lang w:val="en-US" w:eastAsia="zh-CN" w:bidi="ar"/>
                    </w:rPr>
                  </w:pPr>
                  <w:r>
                    <w:rPr>
                      <w:rFonts w:hint="eastAsia" w:ascii="Times New Roman" w:hAnsi="Times New Roman" w:eastAsia="宋体" w:cs="Times New Roman"/>
                      <w:b w:val="0"/>
                      <w:bCs w:val="0"/>
                      <w:sz w:val="21"/>
                      <w:szCs w:val="21"/>
                      <w:highlight w:val="none"/>
                      <w:lang w:val="en-US" w:eastAsia="zh-CN" w:bidi="ar"/>
                    </w:rPr>
                    <w:t>DA0</w:t>
                  </w:r>
                  <w:r>
                    <w:rPr>
                      <w:rFonts w:hint="eastAsia" w:cs="Times New Roman"/>
                      <w:b w:val="0"/>
                      <w:bCs w:val="0"/>
                      <w:sz w:val="21"/>
                      <w:szCs w:val="21"/>
                      <w:highlight w:val="none"/>
                      <w:lang w:val="en-US" w:eastAsia="zh-CN" w:bidi="ar"/>
                    </w:rPr>
                    <w:t>10</w:t>
                  </w:r>
                </w:p>
              </w:tc>
              <w:tc>
                <w:tcPr>
                  <w:tcW w:w="517" w:type="pct"/>
                  <w:vMerge w:val="restart"/>
                  <w:shd w:val="clear" w:color="auto" w:fill="auto"/>
                  <w:noWrap w:val="0"/>
                  <w:vAlign w:val="center"/>
                </w:tcPr>
                <w:p w14:paraId="795FDAEA">
                  <w:pPr>
                    <w:keepNext w:val="0"/>
                    <w:keepLines w:val="0"/>
                    <w:widowControl/>
                    <w:suppressLineNumbers w:val="0"/>
                    <w:spacing w:before="0" w:beforeAutospacing="0" w:after="0" w:afterAutospacing="0" w:line="280" w:lineRule="exact"/>
                    <w:ind w:left="0" w:right="0"/>
                    <w:jc w:val="center"/>
                    <w:textAlignment w:val="center"/>
                    <w:rPr>
                      <w:rFonts w:hint="eastAsia" w:ascii="Times New Roman" w:hAnsi="Times New Roman" w:eastAsia="宋体" w:cs="Times New Roman"/>
                      <w:b w:val="0"/>
                      <w:bCs w:val="0"/>
                      <w:kern w:val="2"/>
                      <w:sz w:val="21"/>
                      <w:szCs w:val="21"/>
                      <w:highlight w:val="none"/>
                      <w:lang w:val="en-US" w:eastAsia="zh-CN" w:bidi="ar"/>
                    </w:rPr>
                  </w:pPr>
                  <w:r>
                    <w:rPr>
                      <w:rFonts w:hint="eastAsia" w:cs="Times New Roman"/>
                      <w:b w:val="0"/>
                      <w:bCs w:val="0"/>
                      <w:sz w:val="21"/>
                      <w:szCs w:val="21"/>
                      <w:highlight w:val="none"/>
                      <w:lang w:val="en-US" w:eastAsia="zh-CN" w:bidi="ar"/>
                    </w:rPr>
                    <w:t>有组织</w:t>
                  </w:r>
                </w:p>
              </w:tc>
              <w:tc>
                <w:tcPr>
                  <w:tcW w:w="628" w:type="pct"/>
                  <w:noWrap w:val="0"/>
                  <w:vAlign w:val="center"/>
                </w:tcPr>
                <w:p w14:paraId="3F395754">
                  <w:pPr>
                    <w:keepNext w:val="0"/>
                    <w:keepLines w:val="0"/>
                    <w:widowControl/>
                    <w:suppressLineNumbers w:val="0"/>
                    <w:spacing w:before="0" w:beforeAutospacing="0" w:after="0" w:afterAutospacing="0" w:line="280" w:lineRule="exact"/>
                    <w:ind w:left="0" w:right="0"/>
                    <w:jc w:val="center"/>
                    <w:textAlignment w:val="center"/>
                    <w:rPr>
                      <w:rFonts w:hint="default" w:ascii="Times New Roman" w:hAnsi="Times New Roman" w:eastAsia="宋体" w:cs="Times New Roman"/>
                      <w:b w:val="0"/>
                      <w:bCs w:val="0"/>
                      <w:sz w:val="21"/>
                      <w:szCs w:val="21"/>
                      <w:highlight w:val="none"/>
                      <w:lang w:val="en-US" w:eastAsia="zh-CN" w:bidi="ar"/>
                    </w:rPr>
                  </w:pPr>
                  <w:r>
                    <w:rPr>
                      <w:rFonts w:hint="eastAsia" w:ascii="Times New Roman" w:hAnsi="Times New Roman" w:eastAsia="宋体" w:cs="Times New Roman"/>
                      <w:b w:val="0"/>
                      <w:bCs w:val="0"/>
                      <w:sz w:val="21"/>
                      <w:szCs w:val="21"/>
                      <w:highlight w:val="none"/>
                      <w:lang w:val="en-US" w:eastAsia="zh-CN" w:bidi="ar"/>
                    </w:rPr>
                    <w:t>NH</w:t>
                  </w:r>
                  <w:r>
                    <w:rPr>
                      <w:rFonts w:hint="eastAsia" w:ascii="Times New Roman" w:hAnsi="Times New Roman" w:eastAsia="宋体" w:cs="Times New Roman"/>
                      <w:b w:val="0"/>
                      <w:bCs w:val="0"/>
                      <w:sz w:val="21"/>
                      <w:szCs w:val="21"/>
                      <w:highlight w:val="none"/>
                      <w:vertAlign w:val="subscript"/>
                      <w:lang w:val="en-US" w:eastAsia="zh-CN" w:bidi="ar"/>
                    </w:rPr>
                    <w:t>3</w:t>
                  </w:r>
                </w:p>
              </w:tc>
              <w:tc>
                <w:tcPr>
                  <w:tcW w:w="678" w:type="pct"/>
                  <w:noWrap w:val="0"/>
                  <w:vAlign w:val="center"/>
                </w:tcPr>
                <w:p w14:paraId="4341F612">
                  <w:pPr>
                    <w:keepNext w:val="0"/>
                    <w:keepLines w:val="0"/>
                    <w:widowControl/>
                    <w:suppressLineNumbers w:val="0"/>
                    <w:spacing w:before="0" w:beforeAutospacing="0" w:after="0" w:afterAutospacing="0" w:line="280" w:lineRule="exact"/>
                    <w:ind w:left="0" w:right="0"/>
                    <w:jc w:val="center"/>
                    <w:textAlignment w:val="center"/>
                    <w:rPr>
                      <w:rFonts w:hint="default"/>
                      <w:sz w:val="21"/>
                      <w:szCs w:val="21"/>
                      <w:highlight w:val="none"/>
                      <w:lang w:val="en-US" w:eastAsia="zh-CN"/>
                    </w:rPr>
                  </w:pPr>
                  <w:r>
                    <w:rPr>
                      <w:rFonts w:hint="eastAsia"/>
                      <w:sz w:val="21"/>
                      <w:szCs w:val="21"/>
                      <w:highlight w:val="none"/>
                      <w:lang w:val="en-US" w:eastAsia="zh-CN"/>
                    </w:rPr>
                    <w:t xml:space="preserve">0.004 </w:t>
                  </w:r>
                </w:p>
              </w:tc>
              <w:tc>
                <w:tcPr>
                  <w:tcW w:w="568" w:type="pct"/>
                  <w:noWrap w:val="0"/>
                  <w:vAlign w:val="center"/>
                </w:tcPr>
                <w:p w14:paraId="7EBB53BF">
                  <w:pPr>
                    <w:keepNext w:val="0"/>
                    <w:keepLines w:val="0"/>
                    <w:widowControl/>
                    <w:suppressLineNumbers w:val="0"/>
                    <w:spacing w:before="0" w:beforeAutospacing="0" w:after="0" w:afterAutospacing="0" w:line="280" w:lineRule="exact"/>
                    <w:ind w:left="0" w:right="0"/>
                    <w:jc w:val="center"/>
                    <w:textAlignment w:val="center"/>
                    <w:rPr>
                      <w:rFonts w:hint="default"/>
                      <w:sz w:val="21"/>
                      <w:szCs w:val="21"/>
                      <w:highlight w:val="none"/>
                      <w:lang w:val="en-US" w:eastAsia="zh-CN"/>
                    </w:rPr>
                  </w:pPr>
                  <w:r>
                    <w:rPr>
                      <w:rFonts w:hint="eastAsia"/>
                      <w:sz w:val="21"/>
                      <w:szCs w:val="21"/>
                      <w:highlight w:val="none"/>
                      <w:lang w:val="en-US" w:eastAsia="zh-CN"/>
                    </w:rPr>
                    <w:t xml:space="preserve">~0 </w:t>
                  </w:r>
                </w:p>
              </w:tc>
              <w:tc>
                <w:tcPr>
                  <w:tcW w:w="558" w:type="pct"/>
                  <w:shd w:val="clear" w:color="auto" w:fill="auto"/>
                  <w:noWrap w:val="0"/>
                  <w:vAlign w:val="center"/>
                </w:tcPr>
                <w:p w14:paraId="60026FBB">
                  <w:pPr>
                    <w:keepNext w:val="0"/>
                    <w:keepLines w:val="0"/>
                    <w:widowControl/>
                    <w:suppressLineNumbers w:val="0"/>
                    <w:spacing w:before="0" w:beforeAutospacing="0" w:after="0" w:afterAutospacing="0" w:line="280" w:lineRule="exact"/>
                    <w:ind w:left="0" w:right="0"/>
                    <w:jc w:val="center"/>
                    <w:textAlignment w:val="center"/>
                    <w:rPr>
                      <w:rFonts w:hint="default"/>
                      <w:sz w:val="21"/>
                      <w:szCs w:val="21"/>
                      <w:highlight w:val="none"/>
                      <w:lang w:val="en-US" w:eastAsia="zh-CN"/>
                    </w:rPr>
                  </w:pPr>
                  <w:r>
                    <w:rPr>
                      <w:rFonts w:hint="eastAsia"/>
                      <w:sz w:val="21"/>
                      <w:szCs w:val="21"/>
                      <w:highlight w:val="none"/>
                      <w:lang w:val="en-US" w:eastAsia="zh-CN"/>
                    </w:rPr>
                    <w:t xml:space="preserve">0.004 </w:t>
                  </w:r>
                </w:p>
              </w:tc>
              <w:tc>
                <w:tcPr>
                  <w:tcW w:w="719" w:type="pct"/>
                  <w:shd w:val="clear" w:color="auto" w:fill="auto"/>
                  <w:noWrap w:val="0"/>
                  <w:vAlign w:val="center"/>
                </w:tcPr>
                <w:p w14:paraId="6B609C5A">
                  <w:pPr>
                    <w:keepNext w:val="0"/>
                    <w:keepLines w:val="0"/>
                    <w:widowControl/>
                    <w:suppressLineNumbers w:val="0"/>
                    <w:spacing w:before="0" w:beforeAutospacing="0" w:after="0" w:afterAutospacing="0" w:line="280" w:lineRule="exact"/>
                    <w:ind w:left="0" w:right="0"/>
                    <w:jc w:val="center"/>
                    <w:textAlignment w:val="center"/>
                    <w:rPr>
                      <w:rFonts w:hint="default"/>
                      <w:sz w:val="21"/>
                      <w:szCs w:val="21"/>
                      <w:highlight w:val="none"/>
                      <w:lang w:val="en-US" w:eastAsia="zh-CN"/>
                    </w:rPr>
                  </w:pPr>
                  <w:r>
                    <w:rPr>
                      <w:rFonts w:hint="eastAsia"/>
                      <w:sz w:val="21"/>
                      <w:szCs w:val="21"/>
                      <w:highlight w:val="none"/>
                      <w:lang w:val="en-US" w:eastAsia="zh-CN"/>
                    </w:rPr>
                    <w:t xml:space="preserve">~0 </w:t>
                  </w:r>
                </w:p>
              </w:tc>
            </w:tr>
            <w:tr w14:paraId="705E8F3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759" w:type="pct"/>
                  <w:vMerge w:val="continue"/>
                  <w:noWrap w:val="0"/>
                  <w:vAlign w:val="center"/>
                </w:tcPr>
                <w:p w14:paraId="42DE2BF2">
                  <w:pPr>
                    <w:keepNext w:val="0"/>
                    <w:keepLines w:val="0"/>
                    <w:widowControl/>
                    <w:suppressLineNumbers w:val="0"/>
                    <w:spacing w:before="0" w:beforeAutospacing="0" w:after="0" w:afterAutospacing="0" w:line="280" w:lineRule="exact"/>
                    <w:ind w:left="0" w:right="0"/>
                    <w:jc w:val="center"/>
                    <w:textAlignment w:val="center"/>
                    <w:rPr>
                      <w:rFonts w:hint="eastAsia" w:ascii="Times New Roman" w:hAnsi="Times New Roman" w:eastAsia="宋体" w:cs="Times New Roman"/>
                      <w:b w:val="0"/>
                      <w:bCs w:val="0"/>
                      <w:sz w:val="21"/>
                      <w:szCs w:val="21"/>
                      <w:highlight w:val="none"/>
                      <w:lang w:val="en-US" w:eastAsia="zh-CN" w:bidi="ar"/>
                    </w:rPr>
                  </w:pPr>
                </w:p>
              </w:tc>
              <w:tc>
                <w:tcPr>
                  <w:tcW w:w="568" w:type="pct"/>
                  <w:vMerge w:val="continue"/>
                  <w:noWrap w:val="0"/>
                  <w:vAlign w:val="center"/>
                </w:tcPr>
                <w:p w14:paraId="2BE2F6C0">
                  <w:pPr>
                    <w:keepNext w:val="0"/>
                    <w:keepLines w:val="0"/>
                    <w:widowControl/>
                    <w:suppressLineNumbers w:val="0"/>
                    <w:spacing w:before="0" w:beforeAutospacing="0" w:after="0" w:afterAutospacing="0" w:line="280" w:lineRule="exact"/>
                    <w:ind w:left="0" w:right="0"/>
                    <w:jc w:val="center"/>
                    <w:textAlignment w:val="center"/>
                    <w:rPr>
                      <w:rFonts w:hint="eastAsia" w:ascii="Times New Roman" w:hAnsi="Times New Roman" w:eastAsia="宋体" w:cs="Times New Roman"/>
                      <w:b w:val="0"/>
                      <w:bCs w:val="0"/>
                      <w:sz w:val="21"/>
                      <w:szCs w:val="21"/>
                      <w:highlight w:val="none"/>
                      <w:lang w:val="en-US" w:eastAsia="zh-CN" w:bidi="ar"/>
                    </w:rPr>
                  </w:pPr>
                </w:p>
              </w:tc>
              <w:tc>
                <w:tcPr>
                  <w:tcW w:w="517" w:type="pct"/>
                  <w:vMerge w:val="continue"/>
                  <w:shd w:val="clear" w:color="auto" w:fill="auto"/>
                  <w:noWrap w:val="0"/>
                  <w:vAlign w:val="center"/>
                </w:tcPr>
                <w:p w14:paraId="3D067432">
                  <w:pPr>
                    <w:keepNext w:val="0"/>
                    <w:keepLines w:val="0"/>
                    <w:widowControl/>
                    <w:suppressLineNumbers w:val="0"/>
                    <w:spacing w:before="0" w:beforeAutospacing="0" w:after="0" w:afterAutospacing="0" w:line="280" w:lineRule="exact"/>
                    <w:ind w:left="0" w:right="0"/>
                    <w:jc w:val="center"/>
                    <w:textAlignment w:val="center"/>
                    <w:rPr>
                      <w:rFonts w:hint="eastAsia" w:cs="Times New Roman"/>
                      <w:b w:val="0"/>
                      <w:bCs w:val="0"/>
                      <w:sz w:val="21"/>
                      <w:szCs w:val="21"/>
                      <w:highlight w:val="none"/>
                      <w:lang w:val="en-US" w:eastAsia="zh-CN" w:bidi="ar"/>
                    </w:rPr>
                  </w:pPr>
                </w:p>
              </w:tc>
              <w:tc>
                <w:tcPr>
                  <w:tcW w:w="628" w:type="pct"/>
                  <w:noWrap w:val="0"/>
                  <w:vAlign w:val="center"/>
                </w:tcPr>
                <w:p w14:paraId="0E08269F">
                  <w:pPr>
                    <w:keepNext w:val="0"/>
                    <w:keepLines w:val="0"/>
                    <w:widowControl/>
                    <w:suppressLineNumbers w:val="0"/>
                    <w:spacing w:before="0" w:beforeAutospacing="0" w:after="0" w:afterAutospacing="0" w:line="280" w:lineRule="exact"/>
                    <w:ind w:left="0" w:right="0"/>
                    <w:jc w:val="center"/>
                    <w:textAlignment w:val="center"/>
                    <w:rPr>
                      <w:rFonts w:hint="default" w:ascii="Times New Roman" w:hAnsi="Times New Roman" w:eastAsia="宋体" w:cs="Times New Roman"/>
                      <w:b w:val="0"/>
                      <w:bCs w:val="0"/>
                      <w:sz w:val="21"/>
                      <w:szCs w:val="21"/>
                      <w:highlight w:val="none"/>
                      <w:lang w:val="en-US" w:eastAsia="zh-CN" w:bidi="ar"/>
                    </w:rPr>
                  </w:pPr>
                  <w:r>
                    <w:rPr>
                      <w:rFonts w:hint="eastAsia" w:ascii="Times New Roman" w:hAnsi="Times New Roman" w:eastAsia="宋体" w:cs="Times New Roman"/>
                      <w:b w:val="0"/>
                      <w:bCs w:val="0"/>
                      <w:sz w:val="21"/>
                      <w:szCs w:val="21"/>
                      <w:highlight w:val="none"/>
                      <w:lang w:val="en-US" w:eastAsia="zh-CN" w:bidi="ar"/>
                    </w:rPr>
                    <w:t>H</w:t>
                  </w:r>
                  <w:r>
                    <w:rPr>
                      <w:rFonts w:hint="eastAsia" w:ascii="Times New Roman" w:hAnsi="Times New Roman" w:eastAsia="宋体" w:cs="Times New Roman"/>
                      <w:b w:val="0"/>
                      <w:bCs w:val="0"/>
                      <w:sz w:val="21"/>
                      <w:szCs w:val="21"/>
                      <w:highlight w:val="none"/>
                      <w:vertAlign w:val="subscript"/>
                      <w:lang w:val="en-US" w:eastAsia="zh-CN" w:bidi="ar"/>
                    </w:rPr>
                    <w:t>2</w:t>
                  </w:r>
                  <w:r>
                    <w:rPr>
                      <w:rFonts w:hint="eastAsia" w:ascii="Times New Roman" w:hAnsi="Times New Roman" w:eastAsia="宋体" w:cs="Times New Roman"/>
                      <w:b w:val="0"/>
                      <w:bCs w:val="0"/>
                      <w:sz w:val="21"/>
                      <w:szCs w:val="21"/>
                      <w:highlight w:val="none"/>
                      <w:lang w:val="en-US" w:eastAsia="zh-CN" w:bidi="ar"/>
                    </w:rPr>
                    <w:t>S</w:t>
                  </w:r>
                </w:p>
              </w:tc>
              <w:tc>
                <w:tcPr>
                  <w:tcW w:w="678" w:type="pct"/>
                  <w:noWrap w:val="0"/>
                  <w:vAlign w:val="center"/>
                </w:tcPr>
                <w:p w14:paraId="30FD8BAD">
                  <w:pPr>
                    <w:keepNext w:val="0"/>
                    <w:keepLines w:val="0"/>
                    <w:widowControl/>
                    <w:suppressLineNumbers w:val="0"/>
                    <w:spacing w:before="0" w:beforeAutospacing="0" w:after="0" w:afterAutospacing="0" w:line="280" w:lineRule="exact"/>
                    <w:ind w:left="0" w:right="0"/>
                    <w:jc w:val="center"/>
                    <w:textAlignment w:val="center"/>
                    <w:rPr>
                      <w:rFonts w:hint="default"/>
                      <w:sz w:val="21"/>
                      <w:szCs w:val="21"/>
                      <w:highlight w:val="none"/>
                      <w:lang w:val="en-US" w:eastAsia="zh-CN"/>
                    </w:rPr>
                  </w:pPr>
                  <w:r>
                    <w:rPr>
                      <w:rFonts w:hint="eastAsia"/>
                      <w:sz w:val="21"/>
                      <w:szCs w:val="21"/>
                      <w:highlight w:val="none"/>
                      <w:lang w:val="en-US" w:eastAsia="zh-CN"/>
                    </w:rPr>
                    <w:t xml:space="preserve">0.001 </w:t>
                  </w:r>
                </w:p>
              </w:tc>
              <w:tc>
                <w:tcPr>
                  <w:tcW w:w="568" w:type="pct"/>
                  <w:noWrap w:val="0"/>
                  <w:vAlign w:val="center"/>
                </w:tcPr>
                <w:p w14:paraId="3EF5C544">
                  <w:pPr>
                    <w:keepNext w:val="0"/>
                    <w:keepLines w:val="0"/>
                    <w:widowControl/>
                    <w:suppressLineNumbers w:val="0"/>
                    <w:spacing w:before="0" w:beforeAutospacing="0" w:after="0" w:afterAutospacing="0" w:line="280" w:lineRule="exact"/>
                    <w:ind w:left="0" w:right="0"/>
                    <w:jc w:val="center"/>
                    <w:textAlignment w:val="center"/>
                    <w:rPr>
                      <w:rFonts w:hint="default"/>
                      <w:sz w:val="21"/>
                      <w:szCs w:val="21"/>
                      <w:highlight w:val="none"/>
                      <w:lang w:val="en-US" w:eastAsia="zh-CN"/>
                    </w:rPr>
                  </w:pPr>
                  <w:r>
                    <w:rPr>
                      <w:rFonts w:hint="eastAsia"/>
                      <w:sz w:val="21"/>
                      <w:szCs w:val="21"/>
                      <w:highlight w:val="none"/>
                      <w:lang w:val="en-US" w:eastAsia="zh-CN"/>
                    </w:rPr>
                    <w:t>~0</w:t>
                  </w:r>
                </w:p>
              </w:tc>
              <w:tc>
                <w:tcPr>
                  <w:tcW w:w="558" w:type="pct"/>
                  <w:shd w:val="clear" w:color="auto" w:fill="auto"/>
                  <w:noWrap w:val="0"/>
                  <w:vAlign w:val="center"/>
                </w:tcPr>
                <w:p w14:paraId="2F826650">
                  <w:pPr>
                    <w:keepNext w:val="0"/>
                    <w:keepLines w:val="0"/>
                    <w:widowControl/>
                    <w:suppressLineNumbers w:val="0"/>
                    <w:spacing w:before="0" w:beforeAutospacing="0" w:after="0" w:afterAutospacing="0" w:line="280" w:lineRule="exact"/>
                    <w:ind w:left="0" w:right="0"/>
                    <w:jc w:val="center"/>
                    <w:textAlignment w:val="center"/>
                    <w:rPr>
                      <w:rFonts w:hint="default"/>
                      <w:sz w:val="21"/>
                      <w:szCs w:val="21"/>
                      <w:highlight w:val="none"/>
                      <w:lang w:val="en-US" w:eastAsia="zh-CN"/>
                    </w:rPr>
                  </w:pPr>
                  <w:r>
                    <w:rPr>
                      <w:rFonts w:hint="eastAsia"/>
                      <w:sz w:val="21"/>
                      <w:szCs w:val="21"/>
                      <w:highlight w:val="none"/>
                      <w:lang w:val="en-US" w:eastAsia="zh-CN"/>
                    </w:rPr>
                    <w:t xml:space="preserve">0.001 </w:t>
                  </w:r>
                </w:p>
              </w:tc>
              <w:tc>
                <w:tcPr>
                  <w:tcW w:w="719" w:type="pct"/>
                  <w:shd w:val="clear" w:color="auto" w:fill="auto"/>
                  <w:noWrap w:val="0"/>
                  <w:vAlign w:val="center"/>
                </w:tcPr>
                <w:p w14:paraId="5EE1A101">
                  <w:pPr>
                    <w:keepNext w:val="0"/>
                    <w:keepLines w:val="0"/>
                    <w:widowControl/>
                    <w:suppressLineNumbers w:val="0"/>
                    <w:spacing w:before="0" w:beforeAutospacing="0" w:after="0" w:afterAutospacing="0" w:line="280" w:lineRule="exact"/>
                    <w:ind w:left="0" w:right="0"/>
                    <w:jc w:val="center"/>
                    <w:textAlignment w:val="center"/>
                    <w:rPr>
                      <w:rFonts w:hint="default"/>
                      <w:sz w:val="21"/>
                      <w:szCs w:val="21"/>
                      <w:highlight w:val="none"/>
                      <w:lang w:val="en-US" w:eastAsia="zh-CN"/>
                    </w:rPr>
                  </w:pPr>
                  <w:r>
                    <w:rPr>
                      <w:rFonts w:hint="eastAsia"/>
                      <w:sz w:val="21"/>
                      <w:szCs w:val="21"/>
                      <w:highlight w:val="none"/>
                      <w:lang w:val="en-US" w:eastAsia="zh-CN"/>
                    </w:rPr>
                    <w:t>~0</w:t>
                  </w:r>
                </w:p>
              </w:tc>
            </w:tr>
            <w:tr w14:paraId="08F0D29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759" w:type="pct"/>
                  <w:vMerge w:val="continue"/>
                  <w:noWrap w:val="0"/>
                  <w:vAlign w:val="center"/>
                </w:tcPr>
                <w:p w14:paraId="4E15DAB6">
                  <w:pPr>
                    <w:keepNext w:val="0"/>
                    <w:keepLines w:val="0"/>
                    <w:widowControl/>
                    <w:suppressLineNumbers w:val="0"/>
                    <w:spacing w:before="0" w:beforeAutospacing="0" w:after="0" w:afterAutospacing="0" w:line="280" w:lineRule="exact"/>
                    <w:ind w:left="0" w:right="0"/>
                    <w:jc w:val="center"/>
                    <w:textAlignment w:val="center"/>
                    <w:rPr>
                      <w:rFonts w:hint="eastAsia" w:ascii="Times New Roman" w:hAnsi="Times New Roman" w:eastAsia="宋体" w:cs="Times New Roman"/>
                      <w:b w:val="0"/>
                      <w:bCs w:val="0"/>
                      <w:sz w:val="21"/>
                      <w:szCs w:val="21"/>
                      <w:highlight w:val="none"/>
                      <w:lang w:val="en-US" w:eastAsia="zh-CN" w:bidi="ar"/>
                    </w:rPr>
                  </w:pPr>
                </w:p>
              </w:tc>
              <w:tc>
                <w:tcPr>
                  <w:tcW w:w="1086" w:type="pct"/>
                  <w:gridSpan w:val="2"/>
                  <w:vMerge w:val="restart"/>
                  <w:noWrap w:val="0"/>
                  <w:vAlign w:val="center"/>
                </w:tcPr>
                <w:p w14:paraId="3B84A2C9">
                  <w:pPr>
                    <w:keepNext w:val="0"/>
                    <w:keepLines w:val="0"/>
                    <w:widowControl/>
                    <w:suppressLineNumbers w:val="0"/>
                    <w:spacing w:before="0" w:beforeAutospacing="0" w:after="0" w:afterAutospacing="0" w:line="280" w:lineRule="exact"/>
                    <w:ind w:left="0" w:right="0"/>
                    <w:jc w:val="center"/>
                    <w:textAlignment w:val="center"/>
                    <w:rPr>
                      <w:rFonts w:hint="default" w:cs="Times New Roman"/>
                      <w:b w:val="0"/>
                      <w:bCs w:val="0"/>
                      <w:sz w:val="21"/>
                      <w:szCs w:val="21"/>
                      <w:highlight w:val="none"/>
                      <w:lang w:val="en-US" w:eastAsia="zh-CN" w:bidi="ar"/>
                    </w:rPr>
                  </w:pPr>
                  <w:r>
                    <w:rPr>
                      <w:rFonts w:hint="eastAsia" w:cs="Times New Roman"/>
                      <w:b w:val="0"/>
                      <w:bCs w:val="0"/>
                      <w:sz w:val="21"/>
                      <w:szCs w:val="21"/>
                      <w:highlight w:val="none"/>
                      <w:lang w:val="en-US" w:eastAsia="zh-CN" w:bidi="ar"/>
                    </w:rPr>
                    <w:t>无组织</w:t>
                  </w:r>
                </w:p>
              </w:tc>
              <w:tc>
                <w:tcPr>
                  <w:tcW w:w="628" w:type="pct"/>
                  <w:shd w:val="clear" w:color="auto" w:fill="auto"/>
                  <w:noWrap w:val="0"/>
                  <w:vAlign w:val="center"/>
                </w:tcPr>
                <w:p w14:paraId="2AE50661">
                  <w:pPr>
                    <w:keepNext w:val="0"/>
                    <w:keepLines w:val="0"/>
                    <w:widowControl/>
                    <w:suppressLineNumbers w:val="0"/>
                    <w:spacing w:before="0" w:beforeAutospacing="0" w:after="0" w:afterAutospacing="0" w:line="280" w:lineRule="exact"/>
                    <w:ind w:left="0" w:right="0"/>
                    <w:jc w:val="center"/>
                    <w:textAlignment w:val="center"/>
                    <w:rPr>
                      <w:rFonts w:hint="eastAsia" w:ascii="Times New Roman" w:hAnsi="Times New Roman" w:eastAsia="宋体" w:cs="Times New Roman"/>
                      <w:b w:val="0"/>
                      <w:bCs w:val="0"/>
                      <w:kern w:val="2"/>
                      <w:sz w:val="21"/>
                      <w:szCs w:val="21"/>
                      <w:highlight w:val="none"/>
                      <w:lang w:val="en-US" w:eastAsia="zh-CN" w:bidi="ar"/>
                    </w:rPr>
                  </w:pPr>
                  <w:r>
                    <w:rPr>
                      <w:rFonts w:hint="eastAsia" w:ascii="Times New Roman" w:hAnsi="Times New Roman" w:eastAsia="宋体" w:cs="Times New Roman"/>
                      <w:b w:val="0"/>
                      <w:bCs w:val="0"/>
                      <w:sz w:val="21"/>
                      <w:szCs w:val="21"/>
                      <w:highlight w:val="none"/>
                      <w:lang w:val="en-US" w:eastAsia="zh-CN" w:bidi="ar"/>
                    </w:rPr>
                    <w:t>NH</w:t>
                  </w:r>
                  <w:r>
                    <w:rPr>
                      <w:rFonts w:hint="eastAsia" w:ascii="Times New Roman" w:hAnsi="Times New Roman" w:eastAsia="宋体" w:cs="Times New Roman"/>
                      <w:b w:val="0"/>
                      <w:bCs w:val="0"/>
                      <w:sz w:val="21"/>
                      <w:szCs w:val="21"/>
                      <w:highlight w:val="none"/>
                      <w:vertAlign w:val="subscript"/>
                      <w:lang w:val="en-US" w:eastAsia="zh-CN" w:bidi="ar"/>
                    </w:rPr>
                    <w:t>3</w:t>
                  </w:r>
                </w:p>
              </w:tc>
              <w:tc>
                <w:tcPr>
                  <w:tcW w:w="678" w:type="pct"/>
                  <w:noWrap w:val="0"/>
                  <w:vAlign w:val="center"/>
                </w:tcPr>
                <w:p w14:paraId="0D379C9C">
                  <w:pPr>
                    <w:keepNext w:val="0"/>
                    <w:keepLines w:val="0"/>
                    <w:widowControl/>
                    <w:suppressLineNumbers w:val="0"/>
                    <w:spacing w:before="0" w:beforeAutospacing="0" w:after="0" w:afterAutospacing="0" w:line="280" w:lineRule="exact"/>
                    <w:ind w:left="0" w:right="0"/>
                    <w:jc w:val="center"/>
                    <w:textAlignment w:val="center"/>
                    <w:rPr>
                      <w:rFonts w:hint="default"/>
                      <w:sz w:val="21"/>
                      <w:szCs w:val="21"/>
                      <w:highlight w:val="none"/>
                      <w:lang w:val="en-US" w:eastAsia="zh-CN"/>
                    </w:rPr>
                  </w:pPr>
                  <w:r>
                    <w:rPr>
                      <w:rFonts w:hint="eastAsia"/>
                      <w:sz w:val="21"/>
                      <w:szCs w:val="21"/>
                      <w:highlight w:val="none"/>
                      <w:lang w:val="en-US" w:eastAsia="zh-CN"/>
                    </w:rPr>
                    <w:t xml:space="preserve">~0 </w:t>
                  </w:r>
                </w:p>
              </w:tc>
              <w:tc>
                <w:tcPr>
                  <w:tcW w:w="568" w:type="pct"/>
                  <w:noWrap w:val="0"/>
                  <w:vAlign w:val="center"/>
                </w:tcPr>
                <w:p w14:paraId="674666F0">
                  <w:pPr>
                    <w:keepNext w:val="0"/>
                    <w:keepLines w:val="0"/>
                    <w:widowControl/>
                    <w:suppressLineNumbers w:val="0"/>
                    <w:spacing w:before="0" w:beforeAutospacing="0" w:after="0" w:afterAutospacing="0" w:line="280" w:lineRule="exact"/>
                    <w:ind w:left="0" w:right="0"/>
                    <w:jc w:val="center"/>
                    <w:textAlignment w:val="center"/>
                    <w:rPr>
                      <w:rFonts w:hint="default"/>
                      <w:sz w:val="21"/>
                      <w:szCs w:val="21"/>
                      <w:highlight w:val="none"/>
                      <w:lang w:val="en-US" w:eastAsia="zh-CN"/>
                    </w:rPr>
                  </w:pPr>
                  <w:r>
                    <w:rPr>
                      <w:rFonts w:hint="eastAsia"/>
                      <w:sz w:val="21"/>
                      <w:szCs w:val="21"/>
                      <w:highlight w:val="none"/>
                      <w:lang w:val="en-US" w:eastAsia="zh-CN"/>
                    </w:rPr>
                    <w:t xml:space="preserve">~0 </w:t>
                  </w:r>
                </w:p>
              </w:tc>
              <w:tc>
                <w:tcPr>
                  <w:tcW w:w="558" w:type="pct"/>
                  <w:shd w:val="clear" w:color="auto" w:fill="auto"/>
                  <w:noWrap w:val="0"/>
                  <w:vAlign w:val="center"/>
                </w:tcPr>
                <w:p w14:paraId="7FAC59E3">
                  <w:pPr>
                    <w:keepNext w:val="0"/>
                    <w:keepLines w:val="0"/>
                    <w:widowControl/>
                    <w:suppressLineNumbers w:val="0"/>
                    <w:spacing w:before="0" w:beforeAutospacing="0" w:after="0" w:afterAutospacing="0" w:line="280" w:lineRule="exact"/>
                    <w:ind w:left="0" w:right="0"/>
                    <w:jc w:val="center"/>
                    <w:textAlignment w:val="center"/>
                    <w:rPr>
                      <w:rFonts w:hint="eastAsia"/>
                      <w:sz w:val="21"/>
                      <w:szCs w:val="21"/>
                      <w:highlight w:val="none"/>
                      <w:lang w:val="en-US" w:eastAsia="zh-CN"/>
                    </w:rPr>
                  </w:pPr>
                  <w:r>
                    <w:rPr>
                      <w:rFonts w:hint="eastAsia"/>
                      <w:sz w:val="21"/>
                      <w:szCs w:val="21"/>
                      <w:highlight w:val="none"/>
                      <w:lang w:val="en-US" w:eastAsia="zh-CN"/>
                    </w:rPr>
                    <w:t xml:space="preserve">~0 </w:t>
                  </w:r>
                </w:p>
              </w:tc>
              <w:tc>
                <w:tcPr>
                  <w:tcW w:w="719" w:type="pct"/>
                  <w:shd w:val="clear" w:color="auto" w:fill="auto"/>
                  <w:noWrap w:val="0"/>
                  <w:vAlign w:val="center"/>
                </w:tcPr>
                <w:p w14:paraId="1F058B42">
                  <w:pPr>
                    <w:keepNext w:val="0"/>
                    <w:keepLines w:val="0"/>
                    <w:widowControl/>
                    <w:suppressLineNumbers w:val="0"/>
                    <w:spacing w:before="0" w:beforeAutospacing="0" w:after="0" w:afterAutospacing="0" w:line="280" w:lineRule="exact"/>
                    <w:ind w:left="0" w:right="0"/>
                    <w:jc w:val="center"/>
                    <w:textAlignment w:val="center"/>
                    <w:rPr>
                      <w:rFonts w:hint="default"/>
                      <w:sz w:val="21"/>
                      <w:szCs w:val="21"/>
                      <w:highlight w:val="none"/>
                      <w:lang w:val="en-US" w:eastAsia="zh-CN"/>
                    </w:rPr>
                  </w:pPr>
                  <w:r>
                    <w:rPr>
                      <w:rFonts w:hint="eastAsia"/>
                      <w:sz w:val="21"/>
                      <w:szCs w:val="21"/>
                      <w:highlight w:val="none"/>
                      <w:lang w:val="en-US" w:eastAsia="zh-CN"/>
                    </w:rPr>
                    <w:t xml:space="preserve">~0 </w:t>
                  </w:r>
                </w:p>
              </w:tc>
            </w:tr>
            <w:tr w14:paraId="7E0CD32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759" w:type="pct"/>
                  <w:vMerge w:val="continue"/>
                  <w:noWrap w:val="0"/>
                  <w:vAlign w:val="center"/>
                </w:tcPr>
                <w:p w14:paraId="22FF9359">
                  <w:pPr>
                    <w:keepNext w:val="0"/>
                    <w:keepLines w:val="0"/>
                    <w:widowControl/>
                    <w:suppressLineNumbers w:val="0"/>
                    <w:spacing w:before="0" w:beforeAutospacing="0" w:after="0" w:afterAutospacing="0" w:line="280" w:lineRule="exact"/>
                    <w:ind w:left="0" w:right="0"/>
                    <w:jc w:val="center"/>
                    <w:textAlignment w:val="center"/>
                    <w:rPr>
                      <w:rFonts w:hint="eastAsia" w:ascii="Times New Roman" w:hAnsi="Times New Roman" w:eastAsia="宋体" w:cs="Times New Roman"/>
                      <w:b w:val="0"/>
                      <w:bCs w:val="0"/>
                      <w:sz w:val="21"/>
                      <w:szCs w:val="21"/>
                      <w:highlight w:val="none"/>
                      <w:lang w:val="en-US" w:eastAsia="zh-CN" w:bidi="ar"/>
                    </w:rPr>
                  </w:pPr>
                </w:p>
              </w:tc>
              <w:tc>
                <w:tcPr>
                  <w:tcW w:w="1086" w:type="pct"/>
                  <w:gridSpan w:val="2"/>
                  <w:vMerge w:val="continue"/>
                  <w:noWrap w:val="0"/>
                  <w:vAlign w:val="center"/>
                </w:tcPr>
                <w:p w14:paraId="3359C85F">
                  <w:pPr>
                    <w:keepNext w:val="0"/>
                    <w:keepLines w:val="0"/>
                    <w:widowControl/>
                    <w:suppressLineNumbers w:val="0"/>
                    <w:spacing w:before="0" w:beforeAutospacing="0" w:after="0" w:afterAutospacing="0" w:line="280" w:lineRule="exact"/>
                    <w:ind w:left="0" w:right="0"/>
                    <w:jc w:val="center"/>
                    <w:textAlignment w:val="center"/>
                    <w:rPr>
                      <w:rFonts w:hint="eastAsia" w:cs="Times New Roman"/>
                      <w:b w:val="0"/>
                      <w:bCs w:val="0"/>
                      <w:sz w:val="21"/>
                      <w:szCs w:val="21"/>
                      <w:highlight w:val="none"/>
                      <w:lang w:val="en-US" w:eastAsia="zh-CN" w:bidi="ar"/>
                    </w:rPr>
                  </w:pPr>
                </w:p>
              </w:tc>
              <w:tc>
                <w:tcPr>
                  <w:tcW w:w="628" w:type="pct"/>
                  <w:shd w:val="clear" w:color="auto" w:fill="auto"/>
                  <w:noWrap w:val="0"/>
                  <w:vAlign w:val="center"/>
                </w:tcPr>
                <w:p w14:paraId="595A7460">
                  <w:pPr>
                    <w:keepNext w:val="0"/>
                    <w:keepLines w:val="0"/>
                    <w:widowControl/>
                    <w:suppressLineNumbers w:val="0"/>
                    <w:spacing w:before="0" w:beforeAutospacing="0" w:after="0" w:afterAutospacing="0" w:line="280" w:lineRule="exact"/>
                    <w:ind w:left="0" w:right="0"/>
                    <w:jc w:val="center"/>
                    <w:textAlignment w:val="center"/>
                    <w:rPr>
                      <w:rFonts w:hint="eastAsia" w:ascii="Times New Roman" w:hAnsi="Times New Roman" w:eastAsia="宋体" w:cs="Times New Roman"/>
                      <w:b w:val="0"/>
                      <w:bCs w:val="0"/>
                      <w:kern w:val="2"/>
                      <w:sz w:val="21"/>
                      <w:szCs w:val="21"/>
                      <w:highlight w:val="none"/>
                      <w:lang w:val="en-US" w:eastAsia="zh-CN" w:bidi="ar"/>
                    </w:rPr>
                  </w:pPr>
                  <w:r>
                    <w:rPr>
                      <w:rFonts w:hint="eastAsia" w:ascii="Times New Roman" w:hAnsi="Times New Roman" w:eastAsia="宋体" w:cs="Times New Roman"/>
                      <w:b w:val="0"/>
                      <w:bCs w:val="0"/>
                      <w:sz w:val="21"/>
                      <w:szCs w:val="21"/>
                      <w:highlight w:val="none"/>
                      <w:lang w:val="en-US" w:eastAsia="zh-CN" w:bidi="ar"/>
                    </w:rPr>
                    <w:t>H</w:t>
                  </w:r>
                  <w:r>
                    <w:rPr>
                      <w:rFonts w:hint="eastAsia" w:ascii="Times New Roman" w:hAnsi="Times New Roman" w:eastAsia="宋体" w:cs="Times New Roman"/>
                      <w:b w:val="0"/>
                      <w:bCs w:val="0"/>
                      <w:sz w:val="21"/>
                      <w:szCs w:val="21"/>
                      <w:highlight w:val="none"/>
                      <w:vertAlign w:val="subscript"/>
                      <w:lang w:val="en-US" w:eastAsia="zh-CN" w:bidi="ar"/>
                    </w:rPr>
                    <w:t>2</w:t>
                  </w:r>
                  <w:r>
                    <w:rPr>
                      <w:rFonts w:hint="eastAsia" w:ascii="Times New Roman" w:hAnsi="Times New Roman" w:eastAsia="宋体" w:cs="Times New Roman"/>
                      <w:b w:val="0"/>
                      <w:bCs w:val="0"/>
                      <w:sz w:val="21"/>
                      <w:szCs w:val="21"/>
                      <w:highlight w:val="none"/>
                      <w:lang w:val="en-US" w:eastAsia="zh-CN" w:bidi="ar"/>
                    </w:rPr>
                    <w:t>S</w:t>
                  </w:r>
                </w:p>
              </w:tc>
              <w:tc>
                <w:tcPr>
                  <w:tcW w:w="678" w:type="pct"/>
                  <w:noWrap w:val="0"/>
                  <w:vAlign w:val="center"/>
                </w:tcPr>
                <w:p w14:paraId="18182AEB">
                  <w:pPr>
                    <w:keepNext w:val="0"/>
                    <w:keepLines w:val="0"/>
                    <w:widowControl/>
                    <w:suppressLineNumbers w:val="0"/>
                    <w:spacing w:before="0" w:beforeAutospacing="0" w:after="0" w:afterAutospacing="0" w:line="280" w:lineRule="exact"/>
                    <w:ind w:left="0" w:right="0"/>
                    <w:jc w:val="center"/>
                    <w:textAlignment w:val="center"/>
                    <w:rPr>
                      <w:rFonts w:hint="default"/>
                      <w:sz w:val="21"/>
                      <w:szCs w:val="21"/>
                      <w:highlight w:val="none"/>
                      <w:lang w:val="en-US" w:eastAsia="zh-CN"/>
                    </w:rPr>
                  </w:pPr>
                  <w:r>
                    <w:rPr>
                      <w:rFonts w:hint="eastAsia"/>
                      <w:sz w:val="21"/>
                      <w:szCs w:val="21"/>
                      <w:highlight w:val="none"/>
                      <w:lang w:val="en-US" w:eastAsia="zh-CN"/>
                    </w:rPr>
                    <w:t xml:space="preserve">~0 </w:t>
                  </w:r>
                </w:p>
              </w:tc>
              <w:tc>
                <w:tcPr>
                  <w:tcW w:w="568" w:type="pct"/>
                  <w:noWrap w:val="0"/>
                  <w:vAlign w:val="center"/>
                </w:tcPr>
                <w:p w14:paraId="40F799A1">
                  <w:pPr>
                    <w:keepNext w:val="0"/>
                    <w:keepLines w:val="0"/>
                    <w:widowControl/>
                    <w:suppressLineNumbers w:val="0"/>
                    <w:spacing w:before="0" w:beforeAutospacing="0" w:after="0" w:afterAutospacing="0" w:line="280" w:lineRule="exact"/>
                    <w:ind w:left="0" w:right="0"/>
                    <w:jc w:val="center"/>
                    <w:textAlignment w:val="center"/>
                    <w:rPr>
                      <w:rFonts w:hint="eastAsia"/>
                      <w:sz w:val="21"/>
                      <w:szCs w:val="21"/>
                      <w:highlight w:val="none"/>
                      <w:lang w:val="en-US" w:eastAsia="zh-CN"/>
                    </w:rPr>
                  </w:pPr>
                  <w:r>
                    <w:rPr>
                      <w:rFonts w:hint="eastAsia"/>
                      <w:sz w:val="21"/>
                      <w:szCs w:val="21"/>
                      <w:highlight w:val="none"/>
                      <w:lang w:val="en-US" w:eastAsia="zh-CN"/>
                    </w:rPr>
                    <w:t xml:space="preserve">~0 </w:t>
                  </w:r>
                </w:p>
              </w:tc>
              <w:tc>
                <w:tcPr>
                  <w:tcW w:w="558" w:type="pct"/>
                  <w:shd w:val="clear" w:color="auto" w:fill="auto"/>
                  <w:noWrap w:val="0"/>
                  <w:vAlign w:val="center"/>
                </w:tcPr>
                <w:p w14:paraId="7A923D0B">
                  <w:pPr>
                    <w:keepNext w:val="0"/>
                    <w:keepLines w:val="0"/>
                    <w:widowControl/>
                    <w:suppressLineNumbers w:val="0"/>
                    <w:spacing w:before="0" w:beforeAutospacing="0" w:after="0" w:afterAutospacing="0" w:line="280" w:lineRule="exact"/>
                    <w:ind w:left="0" w:right="0"/>
                    <w:jc w:val="center"/>
                    <w:textAlignment w:val="center"/>
                    <w:rPr>
                      <w:rFonts w:hint="eastAsia"/>
                      <w:sz w:val="21"/>
                      <w:szCs w:val="21"/>
                      <w:highlight w:val="none"/>
                      <w:lang w:val="en-US" w:eastAsia="zh-CN"/>
                    </w:rPr>
                  </w:pPr>
                  <w:r>
                    <w:rPr>
                      <w:rFonts w:hint="eastAsia"/>
                      <w:sz w:val="21"/>
                      <w:szCs w:val="21"/>
                      <w:highlight w:val="none"/>
                      <w:lang w:val="en-US" w:eastAsia="zh-CN"/>
                    </w:rPr>
                    <w:t xml:space="preserve">~0 </w:t>
                  </w:r>
                </w:p>
              </w:tc>
              <w:tc>
                <w:tcPr>
                  <w:tcW w:w="719" w:type="pct"/>
                  <w:shd w:val="clear" w:color="auto" w:fill="auto"/>
                  <w:noWrap w:val="0"/>
                  <w:vAlign w:val="center"/>
                </w:tcPr>
                <w:p w14:paraId="68310019">
                  <w:pPr>
                    <w:keepNext w:val="0"/>
                    <w:keepLines w:val="0"/>
                    <w:widowControl/>
                    <w:suppressLineNumbers w:val="0"/>
                    <w:spacing w:before="0" w:beforeAutospacing="0" w:after="0" w:afterAutospacing="0" w:line="280" w:lineRule="exact"/>
                    <w:ind w:left="0" w:right="0"/>
                    <w:jc w:val="center"/>
                    <w:textAlignment w:val="center"/>
                    <w:rPr>
                      <w:rFonts w:hint="default"/>
                      <w:sz w:val="21"/>
                      <w:szCs w:val="21"/>
                      <w:highlight w:val="none"/>
                      <w:lang w:val="en-US" w:eastAsia="zh-CN"/>
                    </w:rPr>
                  </w:pPr>
                  <w:r>
                    <w:rPr>
                      <w:rFonts w:hint="eastAsia"/>
                      <w:sz w:val="21"/>
                      <w:szCs w:val="21"/>
                      <w:highlight w:val="none"/>
                      <w:lang w:val="en-US" w:eastAsia="zh-CN"/>
                    </w:rPr>
                    <w:t xml:space="preserve">~0 </w:t>
                  </w:r>
                </w:p>
              </w:tc>
            </w:tr>
            <w:tr w14:paraId="7007E1C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759" w:type="pct"/>
                  <w:vMerge w:val="continue"/>
                  <w:noWrap w:val="0"/>
                  <w:vAlign w:val="center"/>
                </w:tcPr>
                <w:p w14:paraId="68496C91">
                  <w:pPr>
                    <w:keepNext w:val="0"/>
                    <w:keepLines w:val="0"/>
                    <w:widowControl/>
                    <w:suppressLineNumbers w:val="0"/>
                    <w:spacing w:before="0" w:beforeAutospacing="0" w:after="0" w:afterAutospacing="0" w:line="280" w:lineRule="exact"/>
                    <w:ind w:left="0" w:right="0"/>
                    <w:jc w:val="center"/>
                    <w:textAlignment w:val="center"/>
                    <w:rPr>
                      <w:rFonts w:hint="eastAsia" w:ascii="Times New Roman" w:hAnsi="Times New Roman" w:eastAsia="宋体" w:cs="Times New Roman"/>
                      <w:b w:val="0"/>
                      <w:bCs w:val="0"/>
                      <w:sz w:val="21"/>
                      <w:szCs w:val="21"/>
                      <w:highlight w:val="none"/>
                      <w:lang w:val="en-US" w:eastAsia="zh-CN" w:bidi="ar"/>
                    </w:rPr>
                  </w:pPr>
                </w:p>
              </w:tc>
              <w:tc>
                <w:tcPr>
                  <w:tcW w:w="1086" w:type="pct"/>
                  <w:gridSpan w:val="2"/>
                  <w:vMerge w:val="restart"/>
                  <w:noWrap w:val="0"/>
                  <w:vAlign w:val="center"/>
                </w:tcPr>
                <w:p w14:paraId="3AE6925D">
                  <w:pPr>
                    <w:keepNext w:val="0"/>
                    <w:keepLines w:val="0"/>
                    <w:widowControl/>
                    <w:suppressLineNumbers w:val="0"/>
                    <w:spacing w:before="0" w:beforeAutospacing="0" w:after="0" w:afterAutospacing="0" w:line="280" w:lineRule="exact"/>
                    <w:ind w:left="0" w:right="0"/>
                    <w:jc w:val="center"/>
                    <w:textAlignment w:val="center"/>
                    <w:rPr>
                      <w:rFonts w:hint="default" w:ascii="Times New Roman" w:hAnsi="Times New Roman" w:eastAsia="宋体" w:cs="Times New Roman"/>
                      <w:b w:val="0"/>
                      <w:bCs w:val="0"/>
                      <w:sz w:val="21"/>
                      <w:szCs w:val="21"/>
                      <w:highlight w:val="none"/>
                      <w:lang w:val="en-US" w:eastAsia="zh-CN" w:bidi="ar"/>
                    </w:rPr>
                  </w:pPr>
                  <w:r>
                    <w:rPr>
                      <w:rFonts w:hint="eastAsia" w:ascii="Times New Roman" w:hAnsi="Times New Roman" w:eastAsia="宋体" w:cs="Times New Roman"/>
                      <w:b w:val="0"/>
                      <w:bCs w:val="0"/>
                      <w:sz w:val="21"/>
                      <w:szCs w:val="21"/>
                      <w:highlight w:val="none"/>
                      <w:lang w:val="en-US" w:eastAsia="zh-CN" w:bidi="ar"/>
                    </w:rPr>
                    <w:t>合计</w:t>
                  </w:r>
                </w:p>
              </w:tc>
              <w:tc>
                <w:tcPr>
                  <w:tcW w:w="628" w:type="pct"/>
                  <w:shd w:val="clear" w:color="auto" w:fill="auto"/>
                  <w:noWrap w:val="0"/>
                  <w:vAlign w:val="center"/>
                </w:tcPr>
                <w:p w14:paraId="6A284C50">
                  <w:pPr>
                    <w:keepNext w:val="0"/>
                    <w:keepLines w:val="0"/>
                    <w:widowControl/>
                    <w:suppressLineNumbers w:val="0"/>
                    <w:spacing w:before="0" w:beforeAutospacing="0" w:after="0" w:afterAutospacing="0" w:line="280" w:lineRule="exact"/>
                    <w:ind w:left="0" w:right="0"/>
                    <w:jc w:val="center"/>
                    <w:textAlignment w:val="center"/>
                    <w:rPr>
                      <w:rFonts w:hint="eastAsia" w:ascii="Times New Roman" w:hAnsi="Times New Roman" w:eastAsia="宋体" w:cs="Times New Roman"/>
                      <w:b w:val="0"/>
                      <w:bCs w:val="0"/>
                      <w:kern w:val="2"/>
                      <w:sz w:val="21"/>
                      <w:szCs w:val="21"/>
                      <w:highlight w:val="none"/>
                      <w:lang w:val="en-US" w:eastAsia="zh-CN" w:bidi="ar"/>
                    </w:rPr>
                  </w:pPr>
                  <w:r>
                    <w:rPr>
                      <w:rFonts w:hint="eastAsia" w:ascii="Times New Roman" w:hAnsi="Times New Roman" w:eastAsia="宋体" w:cs="Times New Roman"/>
                      <w:b w:val="0"/>
                      <w:bCs w:val="0"/>
                      <w:sz w:val="21"/>
                      <w:szCs w:val="21"/>
                      <w:highlight w:val="none"/>
                      <w:lang w:val="en-US" w:eastAsia="zh-CN" w:bidi="ar"/>
                    </w:rPr>
                    <w:t>NH</w:t>
                  </w:r>
                  <w:r>
                    <w:rPr>
                      <w:rFonts w:hint="eastAsia" w:ascii="Times New Roman" w:hAnsi="Times New Roman" w:eastAsia="宋体" w:cs="Times New Roman"/>
                      <w:b w:val="0"/>
                      <w:bCs w:val="0"/>
                      <w:sz w:val="21"/>
                      <w:szCs w:val="21"/>
                      <w:highlight w:val="none"/>
                      <w:vertAlign w:val="subscript"/>
                      <w:lang w:val="en-US" w:eastAsia="zh-CN" w:bidi="ar"/>
                    </w:rPr>
                    <w:t>3</w:t>
                  </w:r>
                </w:p>
              </w:tc>
              <w:tc>
                <w:tcPr>
                  <w:tcW w:w="678" w:type="pct"/>
                  <w:noWrap w:val="0"/>
                  <w:vAlign w:val="center"/>
                </w:tcPr>
                <w:p w14:paraId="3A5F30F1">
                  <w:pPr>
                    <w:keepNext w:val="0"/>
                    <w:keepLines w:val="0"/>
                    <w:widowControl/>
                    <w:suppressLineNumbers w:val="0"/>
                    <w:spacing w:before="0" w:beforeAutospacing="0" w:after="0" w:afterAutospacing="0" w:line="280" w:lineRule="exact"/>
                    <w:ind w:left="0" w:right="0"/>
                    <w:jc w:val="center"/>
                    <w:textAlignment w:val="center"/>
                    <w:rPr>
                      <w:rFonts w:hint="default"/>
                      <w:sz w:val="21"/>
                      <w:szCs w:val="21"/>
                      <w:highlight w:val="none"/>
                      <w:lang w:val="en-US" w:eastAsia="zh-CN"/>
                    </w:rPr>
                  </w:pPr>
                  <w:r>
                    <w:rPr>
                      <w:rFonts w:hint="eastAsia"/>
                      <w:sz w:val="21"/>
                      <w:szCs w:val="21"/>
                      <w:highlight w:val="none"/>
                      <w:lang w:val="en-US" w:eastAsia="zh-CN"/>
                    </w:rPr>
                    <w:t xml:space="preserve">0.004 </w:t>
                  </w:r>
                </w:p>
              </w:tc>
              <w:tc>
                <w:tcPr>
                  <w:tcW w:w="568" w:type="pct"/>
                  <w:noWrap w:val="0"/>
                  <w:vAlign w:val="center"/>
                </w:tcPr>
                <w:p w14:paraId="35AA0EF0">
                  <w:pPr>
                    <w:keepNext w:val="0"/>
                    <w:keepLines w:val="0"/>
                    <w:widowControl/>
                    <w:suppressLineNumbers w:val="0"/>
                    <w:spacing w:before="0" w:beforeAutospacing="0" w:after="0" w:afterAutospacing="0" w:line="280" w:lineRule="exact"/>
                    <w:ind w:left="0" w:right="0"/>
                    <w:jc w:val="center"/>
                    <w:textAlignment w:val="center"/>
                    <w:rPr>
                      <w:rFonts w:hint="default"/>
                      <w:sz w:val="21"/>
                      <w:szCs w:val="21"/>
                      <w:highlight w:val="none"/>
                      <w:lang w:val="en-US" w:eastAsia="zh-CN"/>
                    </w:rPr>
                  </w:pPr>
                  <w:r>
                    <w:rPr>
                      <w:rFonts w:hint="eastAsia"/>
                      <w:sz w:val="21"/>
                      <w:szCs w:val="21"/>
                      <w:highlight w:val="none"/>
                      <w:lang w:val="en-US" w:eastAsia="zh-CN"/>
                    </w:rPr>
                    <w:t xml:space="preserve">~0 </w:t>
                  </w:r>
                </w:p>
              </w:tc>
              <w:tc>
                <w:tcPr>
                  <w:tcW w:w="558" w:type="pct"/>
                  <w:noWrap w:val="0"/>
                  <w:vAlign w:val="center"/>
                </w:tcPr>
                <w:p w14:paraId="0A27CA09">
                  <w:pPr>
                    <w:keepNext w:val="0"/>
                    <w:keepLines w:val="0"/>
                    <w:widowControl/>
                    <w:suppressLineNumbers w:val="0"/>
                    <w:spacing w:before="0" w:beforeAutospacing="0" w:after="0" w:afterAutospacing="0" w:line="280" w:lineRule="exact"/>
                    <w:ind w:left="0" w:right="0"/>
                    <w:jc w:val="center"/>
                    <w:textAlignment w:val="center"/>
                    <w:rPr>
                      <w:rFonts w:hint="default"/>
                      <w:sz w:val="21"/>
                      <w:szCs w:val="21"/>
                      <w:highlight w:val="none"/>
                      <w:lang w:val="en-US" w:eastAsia="zh-CN"/>
                    </w:rPr>
                  </w:pPr>
                  <w:r>
                    <w:rPr>
                      <w:rFonts w:hint="eastAsia"/>
                      <w:sz w:val="21"/>
                      <w:szCs w:val="21"/>
                      <w:highlight w:val="none"/>
                      <w:lang w:val="en-US" w:eastAsia="zh-CN"/>
                    </w:rPr>
                    <w:t xml:space="preserve">0.004 </w:t>
                  </w:r>
                </w:p>
              </w:tc>
              <w:tc>
                <w:tcPr>
                  <w:tcW w:w="719" w:type="pct"/>
                  <w:noWrap w:val="0"/>
                  <w:vAlign w:val="center"/>
                </w:tcPr>
                <w:p w14:paraId="2CE5CE5F">
                  <w:pPr>
                    <w:keepNext w:val="0"/>
                    <w:keepLines w:val="0"/>
                    <w:widowControl/>
                    <w:suppressLineNumbers w:val="0"/>
                    <w:spacing w:before="0" w:beforeAutospacing="0" w:after="0" w:afterAutospacing="0" w:line="280" w:lineRule="exact"/>
                    <w:ind w:left="0" w:right="0"/>
                    <w:jc w:val="center"/>
                    <w:textAlignment w:val="center"/>
                    <w:rPr>
                      <w:rFonts w:hint="default"/>
                      <w:sz w:val="21"/>
                      <w:szCs w:val="21"/>
                      <w:highlight w:val="none"/>
                      <w:lang w:val="en-US" w:eastAsia="zh-CN"/>
                    </w:rPr>
                  </w:pPr>
                  <w:r>
                    <w:rPr>
                      <w:rFonts w:hint="eastAsia"/>
                      <w:sz w:val="21"/>
                      <w:szCs w:val="21"/>
                      <w:highlight w:val="none"/>
                      <w:lang w:val="en-US" w:eastAsia="zh-CN"/>
                    </w:rPr>
                    <w:t xml:space="preserve">~0 </w:t>
                  </w:r>
                </w:p>
              </w:tc>
            </w:tr>
            <w:tr w14:paraId="7233D1C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40" w:hRule="atLeast"/>
              </w:trPr>
              <w:tc>
                <w:tcPr>
                  <w:tcW w:w="759" w:type="pct"/>
                  <w:vMerge w:val="continue"/>
                  <w:noWrap w:val="0"/>
                  <w:vAlign w:val="center"/>
                </w:tcPr>
                <w:p w14:paraId="1AB87566">
                  <w:pPr>
                    <w:keepNext w:val="0"/>
                    <w:keepLines w:val="0"/>
                    <w:widowControl/>
                    <w:suppressLineNumbers w:val="0"/>
                    <w:spacing w:before="0" w:beforeAutospacing="0" w:after="0" w:afterAutospacing="0" w:line="280" w:lineRule="exact"/>
                    <w:ind w:left="0" w:right="0"/>
                    <w:jc w:val="center"/>
                    <w:textAlignment w:val="center"/>
                    <w:rPr>
                      <w:rFonts w:hint="default"/>
                      <w:sz w:val="21"/>
                      <w:szCs w:val="21"/>
                      <w:highlight w:val="none"/>
                    </w:rPr>
                  </w:pPr>
                </w:p>
              </w:tc>
              <w:tc>
                <w:tcPr>
                  <w:tcW w:w="1086" w:type="pct"/>
                  <w:gridSpan w:val="2"/>
                  <w:vMerge w:val="continue"/>
                  <w:noWrap w:val="0"/>
                  <w:vAlign w:val="center"/>
                </w:tcPr>
                <w:p w14:paraId="5879FA0C">
                  <w:pPr>
                    <w:keepNext w:val="0"/>
                    <w:keepLines w:val="0"/>
                    <w:widowControl/>
                    <w:suppressLineNumbers w:val="0"/>
                    <w:spacing w:before="0" w:beforeAutospacing="0" w:after="0" w:afterAutospacing="0" w:line="280" w:lineRule="exact"/>
                    <w:ind w:left="0" w:right="0"/>
                    <w:jc w:val="center"/>
                    <w:textAlignment w:val="center"/>
                    <w:rPr>
                      <w:rFonts w:hint="default"/>
                      <w:sz w:val="21"/>
                      <w:szCs w:val="21"/>
                      <w:highlight w:val="none"/>
                    </w:rPr>
                  </w:pPr>
                </w:p>
              </w:tc>
              <w:tc>
                <w:tcPr>
                  <w:tcW w:w="628" w:type="pct"/>
                  <w:shd w:val="clear" w:color="auto" w:fill="auto"/>
                  <w:noWrap w:val="0"/>
                  <w:vAlign w:val="center"/>
                </w:tcPr>
                <w:p w14:paraId="05D7A965">
                  <w:pPr>
                    <w:keepNext w:val="0"/>
                    <w:keepLines w:val="0"/>
                    <w:widowControl/>
                    <w:suppressLineNumbers w:val="0"/>
                    <w:spacing w:before="0" w:beforeAutospacing="0" w:after="0" w:afterAutospacing="0" w:line="280" w:lineRule="exact"/>
                    <w:ind w:left="0" w:right="0"/>
                    <w:jc w:val="center"/>
                    <w:textAlignment w:val="center"/>
                    <w:rPr>
                      <w:rFonts w:hint="eastAsia" w:ascii="Times New Roman" w:hAnsi="Times New Roman" w:eastAsia="宋体" w:cs="Times New Roman"/>
                      <w:b w:val="0"/>
                      <w:bCs w:val="0"/>
                      <w:kern w:val="2"/>
                      <w:sz w:val="21"/>
                      <w:szCs w:val="21"/>
                      <w:highlight w:val="none"/>
                      <w:lang w:val="en-US" w:eastAsia="zh-CN" w:bidi="ar"/>
                    </w:rPr>
                  </w:pPr>
                  <w:r>
                    <w:rPr>
                      <w:rFonts w:hint="eastAsia" w:ascii="Times New Roman" w:hAnsi="Times New Roman" w:eastAsia="宋体" w:cs="Times New Roman"/>
                      <w:b w:val="0"/>
                      <w:bCs w:val="0"/>
                      <w:sz w:val="21"/>
                      <w:szCs w:val="21"/>
                      <w:highlight w:val="none"/>
                      <w:lang w:val="en-US" w:eastAsia="zh-CN" w:bidi="ar"/>
                    </w:rPr>
                    <w:t>H</w:t>
                  </w:r>
                  <w:r>
                    <w:rPr>
                      <w:rFonts w:hint="eastAsia" w:ascii="Times New Roman" w:hAnsi="Times New Roman" w:eastAsia="宋体" w:cs="Times New Roman"/>
                      <w:b w:val="0"/>
                      <w:bCs w:val="0"/>
                      <w:sz w:val="21"/>
                      <w:szCs w:val="21"/>
                      <w:highlight w:val="none"/>
                      <w:vertAlign w:val="subscript"/>
                      <w:lang w:val="en-US" w:eastAsia="zh-CN" w:bidi="ar"/>
                    </w:rPr>
                    <w:t>2</w:t>
                  </w:r>
                  <w:r>
                    <w:rPr>
                      <w:rFonts w:hint="eastAsia" w:ascii="Times New Roman" w:hAnsi="Times New Roman" w:eastAsia="宋体" w:cs="Times New Roman"/>
                      <w:b w:val="0"/>
                      <w:bCs w:val="0"/>
                      <w:sz w:val="21"/>
                      <w:szCs w:val="21"/>
                      <w:highlight w:val="none"/>
                      <w:lang w:val="en-US" w:eastAsia="zh-CN" w:bidi="ar"/>
                    </w:rPr>
                    <w:t>S</w:t>
                  </w:r>
                </w:p>
              </w:tc>
              <w:tc>
                <w:tcPr>
                  <w:tcW w:w="678" w:type="pct"/>
                  <w:noWrap w:val="0"/>
                  <w:vAlign w:val="center"/>
                </w:tcPr>
                <w:p w14:paraId="7F0842E0">
                  <w:pPr>
                    <w:keepNext w:val="0"/>
                    <w:keepLines w:val="0"/>
                    <w:widowControl/>
                    <w:suppressLineNumbers w:val="0"/>
                    <w:spacing w:before="0" w:beforeAutospacing="0" w:after="0" w:afterAutospacing="0" w:line="280" w:lineRule="exact"/>
                    <w:ind w:left="0" w:right="0"/>
                    <w:jc w:val="center"/>
                    <w:textAlignment w:val="center"/>
                    <w:rPr>
                      <w:rFonts w:hint="eastAsia"/>
                      <w:sz w:val="21"/>
                      <w:szCs w:val="21"/>
                      <w:highlight w:val="none"/>
                      <w:lang w:val="en-US" w:eastAsia="zh-CN"/>
                    </w:rPr>
                  </w:pPr>
                  <w:r>
                    <w:rPr>
                      <w:rFonts w:hint="eastAsia"/>
                      <w:sz w:val="21"/>
                      <w:szCs w:val="21"/>
                      <w:highlight w:val="none"/>
                      <w:lang w:val="en-US" w:eastAsia="zh-CN"/>
                    </w:rPr>
                    <w:t xml:space="preserve">0.001 </w:t>
                  </w:r>
                </w:p>
              </w:tc>
              <w:tc>
                <w:tcPr>
                  <w:tcW w:w="568" w:type="pct"/>
                  <w:noWrap w:val="0"/>
                  <w:vAlign w:val="center"/>
                </w:tcPr>
                <w:p w14:paraId="6C115A71">
                  <w:pPr>
                    <w:keepNext w:val="0"/>
                    <w:keepLines w:val="0"/>
                    <w:widowControl/>
                    <w:suppressLineNumbers w:val="0"/>
                    <w:spacing w:before="0" w:beforeAutospacing="0" w:after="0" w:afterAutospacing="0" w:line="280" w:lineRule="exact"/>
                    <w:ind w:left="0" w:right="0"/>
                    <w:jc w:val="center"/>
                    <w:textAlignment w:val="center"/>
                    <w:rPr>
                      <w:rFonts w:hint="eastAsia"/>
                      <w:sz w:val="21"/>
                      <w:szCs w:val="21"/>
                      <w:highlight w:val="none"/>
                      <w:lang w:val="en-US" w:eastAsia="zh-CN"/>
                    </w:rPr>
                  </w:pPr>
                  <w:r>
                    <w:rPr>
                      <w:rFonts w:hint="eastAsia"/>
                      <w:sz w:val="21"/>
                      <w:szCs w:val="21"/>
                      <w:highlight w:val="none"/>
                      <w:lang w:val="en-US" w:eastAsia="zh-CN"/>
                    </w:rPr>
                    <w:t>~0</w:t>
                  </w:r>
                </w:p>
              </w:tc>
              <w:tc>
                <w:tcPr>
                  <w:tcW w:w="558" w:type="pct"/>
                  <w:noWrap w:val="0"/>
                  <w:vAlign w:val="center"/>
                </w:tcPr>
                <w:p w14:paraId="3E449D3C">
                  <w:pPr>
                    <w:keepNext w:val="0"/>
                    <w:keepLines w:val="0"/>
                    <w:widowControl/>
                    <w:suppressLineNumbers w:val="0"/>
                    <w:spacing w:before="0" w:beforeAutospacing="0" w:after="0" w:afterAutospacing="0" w:line="280" w:lineRule="exact"/>
                    <w:ind w:left="0" w:right="0"/>
                    <w:jc w:val="center"/>
                    <w:textAlignment w:val="center"/>
                    <w:rPr>
                      <w:rFonts w:hint="eastAsia"/>
                      <w:sz w:val="21"/>
                      <w:szCs w:val="21"/>
                      <w:highlight w:val="none"/>
                      <w:lang w:val="en-US" w:eastAsia="zh-CN"/>
                    </w:rPr>
                  </w:pPr>
                  <w:r>
                    <w:rPr>
                      <w:rFonts w:hint="eastAsia"/>
                      <w:sz w:val="21"/>
                      <w:szCs w:val="21"/>
                      <w:highlight w:val="none"/>
                      <w:lang w:val="en-US" w:eastAsia="zh-CN"/>
                    </w:rPr>
                    <w:t xml:space="preserve">0.001 </w:t>
                  </w:r>
                </w:p>
              </w:tc>
              <w:tc>
                <w:tcPr>
                  <w:tcW w:w="719" w:type="pct"/>
                  <w:noWrap w:val="0"/>
                  <w:vAlign w:val="center"/>
                </w:tcPr>
                <w:p w14:paraId="2E71B05B">
                  <w:pPr>
                    <w:keepNext w:val="0"/>
                    <w:keepLines w:val="0"/>
                    <w:widowControl/>
                    <w:suppressLineNumbers w:val="0"/>
                    <w:spacing w:before="0" w:beforeAutospacing="0" w:after="0" w:afterAutospacing="0" w:line="280" w:lineRule="exact"/>
                    <w:ind w:left="0" w:right="0"/>
                    <w:jc w:val="center"/>
                    <w:textAlignment w:val="center"/>
                    <w:rPr>
                      <w:rFonts w:hint="eastAsia"/>
                      <w:sz w:val="21"/>
                      <w:szCs w:val="21"/>
                      <w:highlight w:val="none"/>
                      <w:lang w:val="en-US" w:eastAsia="zh-CN"/>
                    </w:rPr>
                  </w:pPr>
                  <w:r>
                    <w:rPr>
                      <w:rFonts w:hint="eastAsia"/>
                      <w:sz w:val="21"/>
                      <w:szCs w:val="21"/>
                      <w:highlight w:val="none"/>
                      <w:lang w:val="en-US" w:eastAsia="zh-CN"/>
                    </w:rPr>
                    <w:t>~0</w:t>
                  </w:r>
                </w:p>
              </w:tc>
            </w:tr>
          </w:tbl>
          <w:p w14:paraId="56CAD472">
            <w:pPr>
              <w:pStyle w:val="122"/>
              <w:keepNext w:val="0"/>
              <w:keepLines w:val="0"/>
              <w:suppressLineNumbers w:val="0"/>
              <w:spacing w:before="0" w:beforeAutospacing="0" w:after="0" w:afterAutospacing="0"/>
              <w:ind w:left="0" w:right="0"/>
              <w:rPr>
                <w:rFonts w:hint="default"/>
                <w:highlight w:val="none"/>
              </w:rPr>
            </w:pPr>
            <w:r>
              <w:rPr>
                <w:rFonts w:hint="eastAsia"/>
                <w:highlight w:val="none"/>
              </w:rPr>
              <w:t>⑤臭气</w:t>
            </w:r>
            <w:r>
              <w:rPr>
                <w:rFonts w:hint="default"/>
                <w:highlight w:val="none"/>
              </w:rPr>
              <w:t>浓度</w:t>
            </w:r>
            <w:r>
              <w:rPr>
                <w:rFonts w:hint="eastAsia"/>
                <w:highlight w:val="none"/>
              </w:rPr>
              <w:t>源强</w:t>
            </w:r>
            <w:r>
              <w:rPr>
                <w:rFonts w:hint="default"/>
                <w:highlight w:val="none"/>
              </w:rPr>
              <w:t>核算</w:t>
            </w:r>
          </w:p>
          <w:p w14:paraId="27D5CC52">
            <w:pPr>
              <w:pStyle w:val="122"/>
              <w:keepNext w:val="0"/>
              <w:keepLines w:val="0"/>
              <w:suppressLineNumbers w:val="0"/>
              <w:spacing w:before="0" w:beforeAutospacing="0" w:after="0" w:afterAutospacing="0"/>
              <w:ind w:left="0" w:right="0"/>
              <w:rPr>
                <w:rFonts w:hint="default"/>
                <w:color w:val="FF0000"/>
                <w:highlight w:val="none"/>
              </w:rPr>
            </w:pPr>
            <w:r>
              <w:rPr>
                <w:rFonts w:hint="eastAsia"/>
                <w:highlight w:val="none"/>
              </w:rPr>
              <w:t>类比</w:t>
            </w:r>
            <w:r>
              <w:rPr>
                <w:rFonts w:hint="default"/>
                <w:highlight w:val="none"/>
              </w:rPr>
              <w:t>《斯贝福（苏州）生物技术有限公司新建实验大小鼠生产及研发项目（第一阶段）竣工环境保护验收监测报告》</w:t>
            </w:r>
            <w:r>
              <w:rPr>
                <w:rFonts w:hint="eastAsia"/>
                <w:highlight w:val="none"/>
              </w:rPr>
              <w:t>，</w:t>
            </w:r>
            <w:r>
              <w:rPr>
                <w:rFonts w:hint="default"/>
                <w:highlight w:val="none"/>
              </w:rPr>
              <w:t>验收监测期间，</w:t>
            </w:r>
            <w:r>
              <w:rPr>
                <w:rFonts w:hint="eastAsia"/>
                <w:highlight w:val="none"/>
              </w:rPr>
              <w:t>FQ</w:t>
            </w:r>
            <w:r>
              <w:rPr>
                <w:rFonts w:hint="default"/>
                <w:highlight w:val="none"/>
              </w:rPr>
              <w:t>3氨气进口浓度</w:t>
            </w:r>
            <w:r>
              <w:rPr>
                <w:rFonts w:hint="eastAsia"/>
                <w:highlight w:val="none"/>
              </w:rPr>
              <w:t>≤</w:t>
            </w:r>
            <w:r>
              <w:rPr>
                <w:rFonts w:hint="default"/>
                <w:highlight w:val="none"/>
              </w:rPr>
              <w:t>17.9mg/m</w:t>
            </w:r>
            <w:r>
              <w:rPr>
                <w:rFonts w:hint="default"/>
                <w:highlight w:val="none"/>
                <w:vertAlign w:val="superscript"/>
              </w:rPr>
              <w:t>3</w:t>
            </w:r>
            <w:r>
              <w:rPr>
                <w:rFonts w:hint="eastAsia"/>
                <w:highlight w:val="none"/>
                <w:lang w:eastAsia="zh-CN"/>
              </w:rPr>
              <w:t>，</w:t>
            </w:r>
            <w:r>
              <w:rPr>
                <w:rFonts w:hint="eastAsia"/>
                <w:highlight w:val="none"/>
              </w:rPr>
              <w:t>臭气</w:t>
            </w:r>
            <w:r>
              <w:rPr>
                <w:rFonts w:hint="default"/>
                <w:highlight w:val="none"/>
              </w:rPr>
              <w:t>浓度不超过</w:t>
            </w:r>
            <w:r>
              <w:rPr>
                <w:rFonts w:hint="eastAsia"/>
                <w:highlight w:val="none"/>
              </w:rPr>
              <w:t>1318（无</w:t>
            </w:r>
            <w:r>
              <w:rPr>
                <w:rFonts w:hint="default"/>
                <w:highlight w:val="none"/>
              </w:rPr>
              <w:t>量纲</w:t>
            </w:r>
            <w:r>
              <w:rPr>
                <w:rFonts w:hint="eastAsia"/>
                <w:highlight w:val="none"/>
              </w:rPr>
              <w:t>）</w:t>
            </w:r>
            <w:r>
              <w:rPr>
                <w:rFonts w:hint="eastAsia"/>
                <w:highlight w:val="none"/>
                <w:lang w:eastAsia="zh-CN"/>
              </w:rPr>
              <w:t>，</w:t>
            </w:r>
            <w:r>
              <w:rPr>
                <w:rFonts w:hint="eastAsia"/>
                <w:highlight w:val="none"/>
              </w:rPr>
              <w:t>经</w:t>
            </w:r>
            <w:r>
              <w:rPr>
                <w:rFonts w:hint="default"/>
                <w:highlight w:val="none"/>
              </w:rPr>
              <w:t>喷淋处理后</w:t>
            </w:r>
            <w:r>
              <w:rPr>
                <w:rFonts w:hint="eastAsia"/>
                <w:highlight w:val="none"/>
              </w:rPr>
              <w:t>，</w:t>
            </w:r>
            <w:r>
              <w:rPr>
                <w:rFonts w:hint="default"/>
                <w:highlight w:val="none"/>
              </w:rPr>
              <w:t>出口</w:t>
            </w:r>
            <w:r>
              <w:rPr>
                <w:rFonts w:hint="eastAsia"/>
                <w:highlight w:val="none"/>
              </w:rPr>
              <w:t>臭气</w:t>
            </w:r>
            <w:r>
              <w:rPr>
                <w:rFonts w:hint="default"/>
                <w:highlight w:val="none"/>
              </w:rPr>
              <w:t>浓度</w:t>
            </w:r>
            <w:r>
              <w:rPr>
                <w:rFonts w:hint="eastAsia"/>
                <w:highlight w:val="none"/>
              </w:rPr>
              <w:t>≤549（无</w:t>
            </w:r>
            <w:r>
              <w:rPr>
                <w:rFonts w:hint="default"/>
                <w:highlight w:val="none"/>
              </w:rPr>
              <w:t>量纲</w:t>
            </w:r>
            <w:r>
              <w:rPr>
                <w:rFonts w:hint="eastAsia"/>
                <w:highlight w:val="none"/>
              </w:rPr>
              <w:t>）</w:t>
            </w:r>
            <w:r>
              <w:rPr>
                <w:rFonts w:hint="eastAsia"/>
                <w:highlight w:val="none"/>
                <w:lang w:eastAsia="zh-CN"/>
              </w:rPr>
              <w:t>。</w:t>
            </w:r>
            <w:r>
              <w:rPr>
                <w:rFonts w:hint="default"/>
                <w:highlight w:val="none"/>
              </w:rPr>
              <w:t>本项目</w:t>
            </w:r>
            <w:r>
              <w:rPr>
                <w:rFonts w:hint="eastAsia"/>
                <w:highlight w:val="none"/>
                <w:lang w:val="en-US" w:eastAsia="zh-CN"/>
              </w:rPr>
              <w:t>实验动物中心</w:t>
            </w:r>
            <w:r>
              <w:rPr>
                <w:rFonts w:hint="default"/>
                <w:highlight w:val="none"/>
              </w:rPr>
              <w:t>各</w:t>
            </w:r>
            <w:r>
              <w:rPr>
                <w:rFonts w:hint="eastAsia"/>
                <w:highlight w:val="none"/>
              </w:rPr>
              <w:t>节点</w:t>
            </w:r>
            <w:r>
              <w:rPr>
                <w:rFonts w:hint="eastAsia"/>
                <w:highlight w:val="none"/>
                <w:lang w:val="en-US" w:eastAsia="zh-CN"/>
              </w:rPr>
              <w:t>氨气的</w:t>
            </w:r>
            <w:r>
              <w:rPr>
                <w:rFonts w:hint="default"/>
                <w:highlight w:val="none"/>
              </w:rPr>
              <w:t>产污浓度均小于FQ3</w:t>
            </w:r>
            <w:r>
              <w:rPr>
                <w:rFonts w:hint="eastAsia"/>
                <w:highlight w:val="none"/>
              </w:rPr>
              <w:t>，</w:t>
            </w:r>
            <w:r>
              <w:rPr>
                <w:rFonts w:hint="default"/>
                <w:highlight w:val="none"/>
              </w:rPr>
              <w:t>因此本项目</w:t>
            </w:r>
            <w:r>
              <w:rPr>
                <w:rFonts w:hint="eastAsia"/>
                <w:highlight w:val="none"/>
                <w:lang w:val="en-US" w:eastAsia="zh-CN"/>
              </w:rPr>
              <w:t>实验动物中心</w:t>
            </w:r>
            <w:r>
              <w:rPr>
                <w:rFonts w:hint="eastAsia"/>
                <w:highlight w:val="none"/>
              </w:rPr>
              <w:t>各</w:t>
            </w:r>
            <w:r>
              <w:rPr>
                <w:rFonts w:hint="default"/>
                <w:highlight w:val="none"/>
              </w:rPr>
              <w:t>节点</w:t>
            </w:r>
            <w:r>
              <w:rPr>
                <w:rFonts w:hint="eastAsia"/>
                <w:highlight w:val="none"/>
              </w:rPr>
              <w:t>臭气浓度产生</w:t>
            </w:r>
            <w:r>
              <w:rPr>
                <w:rFonts w:hint="default"/>
                <w:highlight w:val="none"/>
              </w:rPr>
              <w:t>情况</w:t>
            </w:r>
            <w:r>
              <w:rPr>
                <w:rFonts w:hint="eastAsia"/>
                <w:highlight w:val="none"/>
              </w:rPr>
              <w:t>按1318（无</w:t>
            </w:r>
            <w:r>
              <w:rPr>
                <w:rFonts w:hint="default"/>
                <w:highlight w:val="none"/>
              </w:rPr>
              <w:t>量纲</w:t>
            </w:r>
            <w:r>
              <w:rPr>
                <w:rFonts w:hint="eastAsia"/>
                <w:highlight w:val="none"/>
              </w:rPr>
              <w:t>）计，</w:t>
            </w:r>
            <w:r>
              <w:rPr>
                <w:rFonts w:hint="default"/>
                <w:highlight w:val="none"/>
              </w:rPr>
              <w:t>出口</w:t>
            </w:r>
            <w:r>
              <w:rPr>
                <w:rFonts w:hint="eastAsia"/>
                <w:highlight w:val="none"/>
              </w:rPr>
              <w:t>臭气</w:t>
            </w:r>
            <w:r>
              <w:rPr>
                <w:rFonts w:hint="default"/>
                <w:highlight w:val="none"/>
              </w:rPr>
              <w:t>浓度</w:t>
            </w:r>
            <w:r>
              <w:rPr>
                <w:rFonts w:hint="eastAsia"/>
                <w:highlight w:val="none"/>
              </w:rPr>
              <w:t>按549（无</w:t>
            </w:r>
            <w:r>
              <w:rPr>
                <w:rFonts w:hint="default"/>
                <w:highlight w:val="none"/>
              </w:rPr>
              <w:t>量纲</w:t>
            </w:r>
            <w:r>
              <w:rPr>
                <w:rFonts w:hint="eastAsia"/>
                <w:highlight w:val="none"/>
              </w:rPr>
              <w:t>）计</w:t>
            </w:r>
            <w:r>
              <w:rPr>
                <w:rFonts w:hint="eastAsia"/>
                <w:highlight w:val="none"/>
                <w:lang w:eastAsia="zh-CN"/>
              </w:rPr>
              <w:t>。</w:t>
            </w:r>
          </w:p>
          <w:p w14:paraId="2BA9A06B">
            <w:pPr>
              <w:keepNext w:val="0"/>
              <w:keepLines w:val="0"/>
              <w:suppressLineNumbers w:val="0"/>
              <w:spacing w:before="0" w:beforeAutospacing="0" w:after="0" w:afterAutospacing="0" w:line="360" w:lineRule="auto"/>
              <w:ind w:left="0" w:right="0" w:firstLine="482" w:firstLineChars="200"/>
              <w:jc w:val="left"/>
              <w:rPr>
                <w:rFonts w:hint="default" w:ascii="Times New Roman" w:hAnsi="Times New Roman" w:eastAsia="宋体" w:cs="Times New Roman"/>
                <w:b/>
                <w:bCs w:val="0"/>
                <w:kern w:val="0"/>
                <w:sz w:val="24"/>
                <w:szCs w:val="24"/>
                <w:highlight w:val="none"/>
                <w:lang w:val="en-US" w:eastAsia="zh-CN" w:bidi="ar-SA"/>
              </w:rPr>
            </w:pPr>
            <w:r>
              <w:rPr>
                <w:rFonts w:hint="eastAsia" w:cs="Times New Roman"/>
                <w:b/>
                <w:bCs w:val="0"/>
                <w:kern w:val="0"/>
                <w:sz w:val="24"/>
                <w:szCs w:val="24"/>
                <w:highlight w:val="none"/>
                <w:lang w:val="en-US" w:eastAsia="zh-CN" w:bidi="ar-SA"/>
              </w:rPr>
              <w:t>b）</w:t>
            </w:r>
            <w:r>
              <w:rPr>
                <w:rFonts w:hint="eastAsia" w:ascii="Times New Roman" w:hAnsi="Times New Roman" w:eastAsia="宋体" w:cs="Times New Roman"/>
                <w:b/>
                <w:bCs w:val="0"/>
                <w:kern w:val="0"/>
                <w:sz w:val="24"/>
                <w:szCs w:val="24"/>
                <w:highlight w:val="none"/>
                <w:lang w:val="en-US" w:eastAsia="zh-CN" w:bidi="ar-SA"/>
              </w:rPr>
              <w:t>科创</w:t>
            </w:r>
            <w:r>
              <w:rPr>
                <w:rFonts w:hint="eastAsia"/>
                <w:b/>
                <w:bCs/>
                <w:kern w:val="0"/>
                <w:sz w:val="24"/>
                <w:szCs w:val="24"/>
                <w:highlight w:val="none"/>
                <w:lang w:val="en-US" w:eastAsia="zh-CN"/>
              </w:rPr>
              <w:t>综合</w:t>
            </w:r>
            <w:r>
              <w:rPr>
                <w:rFonts w:hint="eastAsia" w:ascii="Times New Roman" w:hAnsi="Times New Roman" w:eastAsia="宋体" w:cs="Times New Roman"/>
                <w:b/>
                <w:bCs w:val="0"/>
                <w:kern w:val="0"/>
                <w:sz w:val="24"/>
                <w:szCs w:val="24"/>
                <w:highlight w:val="none"/>
                <w:lang w:val="en-US" w:eastAsia="zh-CN" w:bidi="ar-SA"/>
              </w:rPr>
              <w:t>楼废气</w:t>
            </w:r>
          </w:p>
          <w:p w14:paraId="2D029774">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60" w:lineRule="auto"/>
              <w:ind w:left="0" w:right="0" w:firstLine="480" w:firstLineChars="200"/>
              <w:textAlignment w:val="auto"/>
              <w:rPr>
                <w:rFonts w:hint="eastAsia" w:ascii="Times New Roman" w:hAnsi="Times New Roman" w:eastAsia="宋体" w:cs="Times New Roman"/>
                <w:bCs/>
                <w:kern w:val="0"/>
                <w:sz w:val="24"/>
                <w:szCs w:val="24"/>
                <w:highlight w:val="none"/>
                <w:lang w:val="en-US" w:eastAsia="zh-CN" w:bidi="ar-SA"/>
              </w:rPr>
            </w:pPr>
            <w:r>
              <w:rPr>
                <w:rFonts w:hint="default" w:ascii="Times New Roman" w:hAnsi="Times New Roman" w:eastAsia="宋体" w:cs="Times New Roman"/>
                <w:bCs/>
                <w:kern w:val="0"/>
                <w:sz w:val="24"/>
                <w:szCs w:val="24"/>
                <w:highlight w:val="none"/>
                <w:lang w:val="en-US" w:eastAsia="zh-CN" w:bidi="ar-SA"/>
              </w:rPr>
              <w:t>①</w:t>
            </w:r>
            <w:r>
              <w:rPr>
                <w:rFonts w:hint="eastAsia" w:ascii="Times New Roman" w:hAnsi="Times New Roman" w:eastAsia="宋体" w:cs="Times New Roman"/>
                <w:bCs/>
                <w:kern w:val="0"/>
                <w:sz w:val="24"/>
                <w:szCs w:val="24"/>
                <w:highlight w:val="none"/>
                <w:lang w:val="en-US" w:eastAsia="zh-CN" w:bidi="ar-SA"/>
              </w:rPr>
              <w:t>有机废气</w:t>
            </w:r>
          </w:p>
          <w:p w14:paraId="5B120EDF">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60" w:lineRule="auto"/>
              <w:ind w:left="0" w:right="0" w:firstLine="480" w:firstLineChars="200"/>
              <w:textAlignment w:val="auto"/>
              <w:rPr>
                <w:rFonts w:hint="eastAsia" w:ascii="Times New Roman" w:hAnsi="Times New Roman" w:eastAsia="宋体" w:cs="Times New Roman"/>
                <w:bCs/>
                <w:kern w:val="0"/>
                <w:sz w:val="24"/>
                <w:szCs w:val="24"/>
                <w:highlight w:val="none"/>
                <w:lang w:val="en-US" w:eastAsia="zh-CN" w:bidi="ar-SA"/>
              </w:rPr>
            </w:pPr>
            <w:r>
              <w:rPr>
                <w:rFonts w:hint="eastAsia" w:ascii="Times New Roman" w:hAnsi="Times New Roman" w:eastAsia="宋体" w:cs="Times New Roman"/>
                <w:bCs/>
                <w:kern w:val="0"/>
                <w:sz w:val="24"/>
                <w:szCs w:val="24"/>
                <w:highlight w:val="none"/>
                <w:lang w:val="en-US" w:eastAsia="zh-CN" w:bidi="ar-SA"/>
              </w:rPr>
              <w:t>本项目产生的有机废气主要来源于化合物有机合成实验操作过程及检测分析过程，有机废气以非甲烷总烃（NMHC）计。实验过程中使用的乙酸乙酯、石油醚、四氢呋喃、乙醚、乙腈、乙酸、2-巯基乙醇、三乙基胺、二异丙基乙胺、乙醇均为挥发性有机化合物。</w:t>
            </w:r>
            <w:r>
              <w:rPr>
                <w:rFonts w:hint="default"/>
                <w:highlight w:val="none"/>
              </w:rPr>
              <w:t>有</w:t>
            </w:r>
            <w:r>
              <w:rPr>
                <w:rStyle w:val="133"/>
                <w:rFonts w:hint="default"/>
                <w:bCs w:val="0"/>
                <w:highlight w:val="none"/>
              </w:rPr>
              <w:t>机废气挥发量以使用量的20%计</w:t>
            </w:r>
            <w:r>
              <w:rPr>
                <w:rFonts w:hint="eastAsia" w:ascii="Times New Roman" w:hAnsi="Times New Roman" w:eastAsia="宋体" w:cs="Times New Roman"/>
                <w:bCs/>
                <w:kern w:val="0"/>
                <w:sz w:val="24"/>
                <w:szCs w:val="24"/>
                <w:highlight w:val="none"/>
                <w:lang w:val="en-US" w:eastAsia="zh-CN" w:bidi="ar-SA"/>
              </w:rPr>
              <w:t>，本项目有机溶剂年使用量合计55</w:t>
            </w:r>
            <w:r>
              <w:rPr>
                <w:rFonts w:hint="eastAsia" w:cs="Times New Roman"/>
                <w:bCs/>
                <w:kern w:val="0"/>
                <w:sz w:val="24"/>
                <w:szCs w:val="24"/>
                <w:highlight w:val="none"/>
                <w:lang w:val="en-US" w:eastAsia="zh-CN" w:bidi="ar-SA"/>
              </w:rPr>
              <w:t>7</w:t>
            </w:r>
            <w:r>
              <w:rPr>
                <w:rFonts w:hint="eastAsia" w:ascii="Times New Roman" w:hAnsi="Times New Roman" w:eastAsia="宋体" w:cs="Times New Roman"/>
                <w:bCs/>
                <w:kern w:val="0"/>
                <w:sz w:val="24"/>
                <w:szCs w:val="24"/>
                <w:highlight w:val="none"/>
                <w:lang w:val="en-US" w:eastAsia="zh-CN" w:bidi="ar-SA"/>
              </w:rPr>
              <w:t>3</w:t>
            </w:r>
            <w:r>
              <w:rPr>
                <w:rFonts w:hint="eastAsia"/>
                <w:highlight w:val="none"/>
                <w:lang w:val="en-US" w:eastAsia="zh-CN"/>
              </w:rPr>
              <w:t>.</w:t>
            </w:r>
            <w:r>
              <w:rPr>
                <w:rFonts w:hint="eastAsia" w:ascii="Times New Roman" w:hAnsi="Times New Roman" w:eastAsia="宋体" w:cs="Times New Roman"/>
                <w:bCs/>
                <w:kern w:val="0"/>
                <w:sz w:val="24"/>
                <w:szCs w:val="24"/>
                <w:highlight w:val="none"/>
                <w:lang w:val="en-US" w:eastAsia="zh-CN" w:bidi="ar-SA"/>
              </w:rPr>
              <w:t>36</w:t>
            </w:r>
            <w:r>
              <w:rPr>
                <w:rFonts w:hint="eastAsia" w:cs="Times New Roman"/>
                <w:bCs/>
                <w:kern w:val="0"/>
                <w:sz w:val="24"/>
                <w:szCs w:val="24"/>
                <w:highlight w:val="none"/>
                <w:lang w:val="en-US" w:eastAsia="zh-CN" w:bidi="ar-SA"/>
              </w:rPr>
              <w:t>2</w:t>
            </w:r>
            <w:r>
              <w:rPr>
                <w:rFonts w:hint="eastAsia" w:ascii="Times New Roman" w:hAnsi="Times New Roman" w:eastAsia="宋体" w:cs="Times New Roman"/>
                <w:bCs/>
                <w:kern w:val="0"/>
                <w:sz w:val="24"/>
                <w:szCs w:val="24"/>
                <w:highlight w:val="none"/>
                <w:lang w:val="en-US" w:eastAsia="zh-CN" w:bidi="ar-SA"/>
              </w:rPr>
              <w:t>kg/a，则本项目有机废气产生量为</w:t>
            </w:r>
            <w:r>
              <w:rPr>
                <w:rFonts w:hint="eastAsia" w:cs="Times New Roman"/>
                <w:bCs/>
                <w:kern w:val="0"/>
                <w:sz w:val="24"/>
                <w:szCs w:val="24"/>
                <w:highlight w:val="none"/>
                <w:lang w:val="en-US" w:eastAsia="zh-CN" w:bidi="ar-SA"/>
              </w:rPr>
              <w:t>1114.6724</w:t>
            </w:r>
            <w:r>
              <w:rPr>
                <w:rFonts w:hint="eastAsia" w:ascii="Times New Roman" w:hAnsi="Times New Roman" w:eastAsia="宋体" w:cs="Times New Roman"/>
                <w:bCs/>
                <w:kern w:val="0"/>
                <w:sz w:val="24"/>
                <w:szCs w:val="24"/>
                <w:highlight w:val="none"/>
                <w:lang w:val="en-US" w:eastAsia="zh-CN" w:bidi="ar-SA"/>
              </w:rPr>
              <w:t>kg/a。</w:t>
            </w:r>
          </w:p>
          <w:p w14:paraId="7260D036">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60" w:lineRule="auto"/>
              <w:ind w:left="0" w:right="0" w:firstLine="480" w:firstLineChars="200"/>
              <w:textAlignment w:val="auto"/>
              <w:rPr>
                <w:rFonts w:hint="eastAsia"/>
                <w:highlight w:val="none"/>
                <w:lang w:val="en-US" w:eastAsia="zh-CN"/>
              </w:rPr>
            </w:pPr>
            <w:r>
              <w:rPr>
                <w:rFonts w:hint="eastAsia"/>
                <w:highlight w:val="none"/>
                <w:lang w:val="en-US" w:eastAsia="zh-CN"/>
              </w:rPr>
              <w:t>本项目有机废气产排情况见下表7-18。</w:t>
            </w:r>
          </w:p>
          <w:p w14:paraId="2075D101">
            <w:pPr>
              <w:keepNext w:val="0"/>
              <w:keepLines w:val="0"/>
              <w:pageBreakBefore w:val="0"/>
              <w:widowControl w:val="0"/>
              <w:suppressLineNumbers w:val="0"/>
              <w:tabs>
                <w:tab w:val="left" w:pos="2229"/>
              </w:tabs>
              <w:kinsoku/>
              <w:wordWrap/>
              <w:overflowPunct/>
              <w:topLinePunct w:val="0"/>
              <w:autoSpaceDE/>
              <w:autoSpaceDN/>
              <w:bidi w:val="0"/>
              <w:adjustRightInd/>
              <w:snapToGrid/>
              <w:spacing w:before="0" w:beforeAutospacing="0" w:after="0" w:afterAutospacing="0" w:line="360" w:lineRule="auto"/>
              <w:ind w:left="0" w:right="0"/>
              <w:textAlignment w:val="auto"/>
              <w:rPr>
                <w:rFonts w:hint="eastAsia" w:eastAsia="宋体"/>
                <w:highlight w:val="none"/>
                <w:lang w:eastAsia="zh-CN"/>
              </w:rPr>
            </w:pPr>
            <w:r>
              <w:rPr>
                <w:rFonts w:hint="eastAsia"/>
                <w:highlight w:val="none"/>
                <w:lang w:eastAsia="zh-CN"/>
              </w:rPr>
              <w:tab/>
            </w:r>
            <w:r>
              <w:rPr>
                <w:rFonts w:hint="eastAsia"/>
                <w:b/>
                <w:bCs/>
                <w:highlight w:val="none"/>
                <w:lang w:eastAsia="zh-CN"/>
              </w:rPr>
              <w:t>表</w:t>
            </w:r>
            <w:r>
              <w:rPr>
                <w:rFonts w:hint="eastAsia"/>
                <w:b/>
                <w:bCs/>
                <w:highlight w:val="none"/>
                <w:lang w:val="en-US" w:eastAsia="zh-CN"/>
              </w:rPr>
              <w:t>7</w:t>
            </w:r>
            <w:r>
              <w:rPr>
                <w:rFonts w:hint="eastAsia"/>
                <w:b/>
                <w:bCs/>
                <w:highlight w:val="none"/>
                <w:lang w:eastAsia="zh-CN"/>
              </w:rPr>
              <w:t>-</w:t>
            </w:r>
            <w:r>
              <w:rPr>
                <w:rFonts w:hint="eastAsia"/>
                <w:b/>
                <w:bCs/>
                <w:highlight w:val="none"/>
                <w:lang w:val="en-US" w:eastAsia="zh-CN"/>
              </w:rPr>
              <w:t xml:space="preserve">18 </w:t>
            </w:r>
            <w:r>
              <w:rPr>
                <w:rFonts w:hint="eastAsia"/>
                <w:b/>
                <w:bCs/>
                <w:highlight w:val="none"/>
                <w:lang w:eastAsia="zh-CN"/>
              </w:rPr>
              <w:t>本项目有机废气产生情况一览表</w:t>
            </w:r>
          </w:p>
          <w:tbl>
            <w:tblPr>
              <w:tblStyle w:val="125"/>
              <w:tblW w:w="4998" w:type="pct"/>
              <w:tblInd w:w="0"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660"/>
              <w:gridCol w:w="2047"/>
              <w:gridCol w:w="1426"/>
              <w:gridCol w:w="1141"/>
              <w:gridCol w:w="1464"/>
              <w:gridCol w:w="1445"/>
            </w:tblGrid>
            <w:tr w14:paraId="7D64E00D">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65" w:hRule="atLeast"/>
              </w:trPr>
              <w:tc>
                <w:tcPr>
                  <w:tcW w:w="403" w:type="pct"/>
                  <w:vAlign w:val="top"/>
                </w:tcPr>
                <w:p w14:paraId="3FD4DC85">
                  <w:pPr>
                    <w:widowControl/>
                    <w:kinsoku/>
                    <w:autoSpaceDE/>
                    <w:autoSpaceDN/>
                    <w:adjustRightInd w:val="0"/>
                    <w:snapToGrid w:val="0"/>
                    <w:spacing w:line="276" w:lineRule="auto"/>
                    <w:jc w:val="center"/>
                    <w:textAlignment w:val="auto"/>
                    <w:rPr>
                      <w:rFonts w:hint="eastAsia" w:ascii="Times New Roman" w:hAnsi="Times New Roman" w:eastAsia="宋体" w:cs="Times New Roman"/>
                      <w:snapToGrid/>
                      <w:kern w:val="2"/>
                      <w:sz w:val="21"/>
                      <w:szCs w:val="21"/>
                      <w:highlight w:val="none"/>
                      <w:lang w:eastAsia="zh-CN"/>
                    </w:rPr>
                  </w:pPr>
                  <w:r>
                    <w:rPr>
                      <w:rFonts w:hint="eastAsia" w:ascii="Times New Roman" w:hAnsi="Times New Roman" w:eastAsia="宋体" w:cs="Times New Roman"/>
                      <w:snapToGrid/>
                      <w:kern w:val="2"/>
                      <w:sz w:val="21"/>
                      <w:szCs w:val="21"/>
                      <w:highlight w:val="none"/>
                      <w:lang w:eastAsia="zh-CN"/>
                    </w:rPr>
                    <w:t>序号</w:t>
                  </w:r>
                </w:p>
              </w:tc>
              <w:tc>
                <w:tcPr>
                  <w:tcW w:w="1250" w:type="pct"/>
                  <w:vAlign w:val="top"/>
                </w:tcPr>
                <w:p w14:paraId="78E0B323">
                  <w:pPr>
                    <w:widowControl/>
                    <w:kinsoku/>
                    <w:autoSpaceDE/>
                    <w:autoSpaceDN/>
                    <w:adjustRightInd w:val="0"/>
                    <w:snapToGrid w:val="0"/>
                    <w:spacing w:line="276" w:lineRule="auto"/>
                    <w:jc w:val="center"/>
                    <w:textAlignment w:val="auto"/>
                    <w:rPr>
                      <w:rFonts w:hint="eastAsia" w:ascii="Times New Roman" w:hAnsi="Times New Roman" w:eastAsia="宋体" w:cs="Times New Roman"/>
                      <w:snapToGrid/>
                      <w:kern w:val="2"/>
                      <w:sz w:val="21"/>
                      <w:szCs w:val="21"/>
                      <w:highlight w:val="none"/>
                      <w:lang w:eastAsia="zh-CN"/>
                    </w:rPr>
                  </w:pPr>
                  <w:r>
                    <w:rPr>
                      <w:rFonts w:hint="eastAsia" w:ascii="Times New Roman" w:hAnsi="Times New Roman" w:eastAsia="宋体" w:cs="Times New Roman"/>
                      <w:snapToGrid/>
                      <w:kern w:val="2"/>
                      <w:sz w:val="21"/>
                      <w:szCs w:val="21"/>
                      <w:highlight w:val="none"/>
                      <w:lang w:eastAsia="zh-CN"/>
                    </w:rPr>
                    <w:t>有机物种类</w:t>
                  </w:r>
                </w:p>
              </w:tc>
              <w:tc>
                <w:tcPr>
                  <w:tcW w:w="871" w:type="pct"/>
                  <w:vAlign w:val="top"/>
                </w:tcPr>
                <w:p w14:paraId="0389AFC5">
                  <w:pPr>
                    <w:widowControl/>
                    <w:kinsoku/>
                    <w:autoSpaceDE/>
                    <w:autoSpaceDN/>
                    <w:adjustRightInd w:val="0"/>
                    <w:snapToGrid w:val="0"/>
                    <w:spacing w:line="276" w:lineRule="auto"/>
                    <w:jc w:val="center"/>
                    <w:textAlignment w:val="auto"/>
                    <w:rPr>
                      <w:rFonts w:hint="eastAsia" w:ascii="Times New Roman" w:hAnsi="Times New Roman" w:eastAsia="宋体" w:cs="Times New Roman"/>
                      <w:snapToGrid/>
                      <w:kern w:val="2"/>
                      <w:sz w:val="21"/>
                      <w:szCs w:val="21"/>
                      <w:highlight w:val="none"/>
                      <w:lang w:eastAsia="zh-CN"/>
                    </w:rPr>
                  </w:pPr>
                  <w:r>
                    <w:rPr>
                      <w:rFonts w:hint="eastAsia" w:ascii="Times New Roman" w:hAnsi="Times New Roman" w:eastAsia="宋体" w:cs="Times New Roman"/>
                      <w:snapToGrid/>
                      <w:kern w:val="2"/>
                      <w:sz w:val="21"/>
                      <w:szCs w:val="21"/>
                      <w:highlight w:val="none"/>
                      <w:lang w:eastAsia="zh-CN"/>
                    </w:rPr>
                    <w:t>年使用量L</w:t>
                  </w:r>
                </w:p>
              </w:tc>
              <w:tc>
                <w:tcPr>
                  <w:tcW w:w="697" w:type="pct"/>
                  <w:vAlign w:val="top"/>
                </w:tcPr>
                <w:p w14:paraId="20A501A1">
                  <w:pPr>
                    <w:widowControl/>
                    <w:kinsoku/>
                    <w:autoSpaceDE/>
                    <w:autoSpaceDN/>
                    <w:adjustRightInd w:val="0"/>
                    <w:snapToGrid w:val="0"/>
                    <w:spacing w:line="276" w:lineRule="auto"/>
                    <w:jc w:val="center"/>
                    <w:textAlignment w:val="auto"/>
                    <w:rPr>
                      <w:rFonts w:hint="eastAsia" w:ascii="Times New Roman" w:hAnsi="Times New Roman" w:eastAsia="宋体" w:cs="Times New Roman"/>
                      <w:snapToGrid/>
                      <w:kern w:val="2"/>
                      <w:sz w:val="21"/>
                      <w:szCs w:val="21"/>
                      <w:highlight w:val="none"/>
                      <w:lang w:eastAsia="zh-CN"/>
                    </w:rPr>
                  </w:pPr>
                  <w:r>
                    <w:rPr>
                      <w:rFonts w:hint="eastAsia" w:ascii="Times New Roman" w:hAnsi="Times New Roman" w:eastAsia="宋体" w:cs="Times New Roman"/>
                      <w:snapToGrid/>
                      <w:kern w:val="2"/>
                      <w:sz w:val="21"/>
                      <w:szCs w:val="21"/>
                      <w:highlight w:val="none"/>
                      <w:lang w:eastAsia="zh-CN"/>
                    </w:rPr>
                    <w:t>密度g/cm³</w:t>
                  </w:r>
                </w:p>
              </w:tc>
              <w:tc>
                <w:tcPr>
                  <w:tcW w:w="894" w:type="pct"/>
                  <w:vAlign w:val="top"/>
                </w:tcPr>
                <w:p w14:paraId="08A2BDE3">
                  <w:pPr>
                    <w:widowControl/>
                    <w:kinsoku/>
                    <w:autoSpaceDE/>
                    <w:autoSpaceDN/>
                    <w:adjustRightInd w:val="0"/>
                    <w:snapToGrid w:val="0"/>
                    <w:spacing w:line="276" w:lineRule="auto"/>
                    <w:jc w:val="center"/>
                    <w:textAlignment w:val="auto"/>
                    <w:rPr>
                      <w:rFonts w:hint="eastAsia" w:ascii="Times New Roman" w:hAnsi="Times New Roman" w:eastAsia="宋体" w:cs="Times New Roman"/>
                      <w:snapToGrid/>
                      <w:kern w:val="2"/>
                      <w:sz w:val="21"/>
                      <w:szCs w:val="21"/>
                      <w:highlight w:val="none"/>
                      <w:lang w:eastAsia="zh-CN"/>
                    </w:rPr>
                  </w:pPr>
                  <w:r>
                    <w:rPr>
                      <w:rFonts w:hint="eastAsia" w:ascii="Times New Roman" w:hAnsi="Times New Roman" w:eastAsia="宋体" w:cs="Times New Roman"/>
                      <w:snapToGrid/>
                      <w:kern w:val="2"/>
                      <w:sz w:val="21"/>
                      <w:szCs w:val="21"/>
                      <w:highlight w:val="none"/>
                      <w:lang w:eastAsia="zh-CN"/>
                    </w:rPr>
                    <w:t>用量(kg/a)</w:t>
                  </w:r>
                </w:p>
              </w:tc>
              <w:tc>
                <w:tcPr>
                  <w:tcW w:w="882" w:type="pct"/>
                  <w:vAlign w:val="top"/>
                </w:tcPr>
                <w:p w14:paraId="06327D22">
                  <w:pPr>
                    <w:widowControl/>
                    <w:kinsoku/>
                    <w:autoSpaceDE/>
                    <w:autoSpaceDN/>
                    <w:adjustRightInd w:val="0"/>
                    <w:snapToGrid w:val="0"/>
                    <w:spacing w:line="276" w:lineRule="auto"/>
                    <w:jc w:val="center"/>
                    <w:textAlignment w:val="auto"/>
                    <w:rPr>
                      <w:rFonts w:hint="eastAsia" w:ascii="Times New Roman" w:hAnsi="Times New Roman" w:eastAsia="宋体" w:cs="Times New Roman"/>
                      <w:snapToGrid/>
                      <w:kern w:val="2"/>
                      <w:sz w:val="21"/>
                      <w:szCs w:val="21"/>
                      <w:highlight w:val="none"/>
                      <w:lang w:eastAsia="zh-CN"/>
                    </w:rPr>
                  </w:pPr>
                  <w:r>
                    <w:rPr>
                      <w:rFonts w:hint="eastAsia" w:ascii="Times New Roman" w:hAnsi="Times New Roman" w:eastAsia="宋体" w:cs="Times New Roman"/>
                      <w:snapToGrid/>
                      <w:kern w:val="2"/>
                      <w:sz w:val="21"/>
                      <w:szCs w:val="21"/>
                      <w:highlight w:val="none"/>
                      <w:lang w:eastAsia="zh-CN"/>
                    </w:rPr>
                    <w:t>挥发量(kg/a)</w:t>
                  </w:r>
                </w:p>
              </w:tc>
            </w:tr>
            <w:tr w14:paraId="5690AC5F">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69" w:hRule="atLeast"/>
              </w:trPr>
              <w:tc>
                <w:tcPr>
                  <w:tcW w:w="403" w:type="pct"/>
                  <w:vAlign w:val="top"/>
                </w:tcPr>
                <w:p w14:paraId="4B35A6E3">
                  <w:pPr>
                    <w:widowControl/>
                    <w:kinsoku/>
                    <w:autoSpaceDE/>
                    <w:autoSpaceDN/>
                    <w:adjustRightInd w:val="0"/>
                    <w:snapToGrid w:val="0"/>
                    <w:spacing w:line="276" w:lineRule="auto"/>
                    <w:jc w:val="center"/>
                    <w:textAlignment w:val="auto"/>
                    <w:rPr>
                      <w:rFonts w:hint="eastAsia" w:ascii="Times New Roman" w:hAnsi="Times New Roman" w:eastAsia="宋体" w:cs="Times New Roman"/>
                      <w:snapToGrid/>
                      <w:kern w:val="2"/>
                      <w:sz w:val="21"/>
                      <w:szCs w:val="21"/>
                      <w:highlight w:val="none"/>
                      <w:lang w:eastAsia="zh-CN"/>
                    </w:rPr>
                  </w:pPr>
                  <w:r>
                    <w:rPr>
                      <w:rFonts w:hint="eastAsia" w:ascii="Times New Roman" w:hAnsi="Times New Roman" w:eastAsia="宋体" w:cs="Times New Roman"/>
                      <w:snapToGrid/>
                      <w:kern w:val="2"/>
                      <w:sz w:val="21"/>
                      <w:szCs w:val="21"/>
                      <w:highlight w:val="none"/>
                      <w:lang w:eastAsia="zh-CN"/>
                    </w:rPr>
                    <w:t>1</w:t>
                  </w:r>
                </w:p>
              </w:tc>
              <w:tc>
                <w:tcPr>
                  <w:tcW w:w="1250" w:type="pct"/>
                  <w:vAlign w:val="top"/>
                </w:tcPr>
                <w:p w14:paraId="6844FA2D">
                  <w:pPr>
                    <w:widowControl/>
                    <w:kinsoku/>
                    <w:autoSpaceDE/>
                    <w:autoSpaceDN/>
                    <w:adjustRightInd w:val="0"/>
                    <w:snapToGrid w:val="0"/>
                    <w:spacing w:line="276" w:lineRule="auto"/>
                    <w:jc w:val="center"/>
                    <w:textAlignment w:val="auto"/>
                    <w:rPr>
                      <w:rFonts w:hint="eastAsia" w:ascii="Times New Roman" w:hAnsi="Times New Roman" w:eastAsia="宋体" w:cs="Times New Roman"/>
                      <w:snapToGrid/>
                      <w:kern w:val="2"/>
                      <w:sz w:val="21"/>
                      <w:szCs w:val="21"/>
                      <w:highlight w:val="none"/>
                      <w:lang w:eastAsia="zh-CN"/>
                    </w:rPr>
                  </w:pPr>
                  <w:r>
                    <w:rPr>
                      <w:rFonts w:hint="eastAsia" w:ascii="Times New Roman" w:hAnsi="Times New Roman" w:eastAsia="宋体" w:cs="Times New Roman"/>
                      <w:snapToGrid/>
                      <w:kern w:val="2"/>
                      <w:sz w:val="21"/>
                      <w:szCs w:val="21"/>
                      <w:highlight w:val="none"/>
                      <w:lang w:eastAsia="zh-CN"/>
                    </w:rPr>
                    <w:t>乙酸乙酯</w:t>
                  </w:r>
                </w:p>
              </w:tc>
              <w:tc>
                <w:tcPr>
                  <w:tcW w:w="871" w:type="pct"/>
                  <w:vAlign w:val="top"/>
                </w:tcPr>
                <w:p w14:paraId="5E60BAB2">
                  <w:pPr>
                    <w:widowControl/>
                    <w:kinsoku/>
                    <w:autoSpaceDE/>
                    <w:autoSpaceDN/>
                    <w:adjustRightInd w:val="0"/>
                    <w:snapToGrid w:val="0"/>
                    <w:spacing w:line="276" w:lineRule="auto"/>
                    <w:jc w:val="center"/>
                    <w:textAlignment w:val="auto"/>
                    <w:rPr>
                      <w:rFonts w:hint="default" w:ascii="Times New Roman" w:hAnsi="Times New Roman" w:eastAsia="宋体" w:cs="Times New Roman"/>
                      <w:snapToGrid/>
                      <w:kern w:val="2"/>
                      <w:sz w:val="21"/>
                      <w:szCs w:val="21"/>
                      <w:highlight w:val="none"/>
                      <w:lang w:val="en-US" w:eastAsia="zh-CN"/>
                    </w:rPr>
                  </w:pPr>
                  <w:r>
                    <w:rPr>
                      <w:rFonts w:hint="eastAsia" w:ascii="Times New Roman" w:hAnsi="Times New Roman" w:eastAsia="宋体" w:cs="Times New Roman"/>
                      <w:snapToGrid/>
                      <w:kern w:val="2"/>
                      <w:sz w:val="21"/>
                      <w:szCs w:val="21"/>
                      <w:highlight w:val="none"/>
                      <w:lang w:eastAsia="zh-CN"/>
                    </w:rPr>
                    <w:t>1200</w:t>
                  </w:r>
                </w:p>
              </w:tc>
              <w:tc>
                <w:tcPr>
                  <w:tcW w:w="697" w:type="pct"/>
                  <w:vAlign w:val="top"/>
                </w:tcPr>
                <w:p w14:paraId="511AE2D5">
                  <w:pPr>
                    <w:widowControl/>
                    <w:kinsoku/>
                    <w:autoSpaceDE/>
                    <w:autoSpaceDN/>
                    <w:adjustRightInd w:val="0"/>
                    <w:snapToGrid w:val="0"/>
                    <w:spacing w:line="276" w:lineRule="auto"/>
                    <w:jc w:val="center"/>
                    <w:textAlignment w:val="auto"/>
                    <w:rPr>
                      <w:rFonts w:hint="eastAsia" w:ascii="Times New Roman" w:hAnsi="Times New Roman" w:eastAsia="宋体" w:cs="Times New Roman"/>
                      <w:snapToGrid/>
                      <w:kern w:val="2"/>
                      <w:sz w:val="21"/>
                      <w:szCs w:val="21"/>
                      <w:highlight w:val="none"/>
                      <w:lang w:eastAsia="zh-CN"/>
                    </w:rPr>
                  </w:pPr>
                  <w:r>
                    <w:rPr>
                      <w:rFonts w:hint="eastAsia" w:ascii="Times New Roman" w:hAnsi="Times New Roman" w:eastAsia="宋体" w:cs="Times New Roman"/>
                      <w:snapToGrid/>
                      <w:kern w:val="2"/>
                      <w:sz w:val="21"/>
                      <w:szCs w:val="21"/>
                      <w:highlight w:val="none"/>
                      <w:lang w:eastAsia="zh-CN"/>
                    </w:rPr>
                    <w:t>0.9</w:t>
                  </w:r>
                </w:p>
              </w:tc>
              <w:tc>
                <w:tcPr>
                  <w:tcW w:w="894" w:type="pct"/>
                  <w:vAlign w:val="center"/>
                </w:tcPr>
                <w:p w14:paraId="35D388C1">
                  <w:pPr>
                    <w:widowControl/>
                    <w:kinsoku/>
                    <w:autoSpaceDE/>
                    <w:autoSpaceDN/>
                    <w:adjustRightInd w:val="0"/>
                    <w:snapToGrid w:val="0"/>
                    <w:spacing w:line="276" w:lineRule="auto"/>
                    <w:jc w:val="center"/>
                    <w:textAlignment w:val="auto"/>
                    <w:rPr>
                      <w:rFonts w:hint="eastAsia" w:ascii="Times New Roman" w:hAnsi="Times New Roman" w:eastAsia="宋体" w:cs="Times New Roman"/>
                      <w:snapToGrid/>
                      <w:kern w:val="2"/>
                      <w:sz w:val="21"/>
                      <w:szCs w:val="21"/>
                      <w:highlight w:val="none"/>
                      <w:lang w:eastAsia="zh-CN"/>
                    </w:rPr>
                  </w:pPr>
                  <w:r>
                    <w:rPr>
                      <w:rFonts w:hint="eastAsia" w:ascii="Times New Roman" w:hAnsi="Times New Roman" w:eastAsia="宋体" w:cs="Times New Roman"/>
                      <w:snapToGrid/>
                      <w:kern w:val="2"/>
                      <w:sz w:val="21"/>
                      <w:szCs w:val="21"/>
                      <w:highlight w:val="none"/>
                      <w:lang w:val="en-US" w:eastAsia="zh-CN"/>
                    </w:rPr>
                    <w:t>1080</w:t>
                  </w:r>
                </w:p>
              </w:tc>
              <w:tc>
                <w:tcPr>
                  <w:tcW w:w="1445" w:type="dxa"/>
                  <w:vAlign w:val="center"/>
                </w:tcPr>
                <w:p w14:paraId="3709B38A">
                  <w:pPr>
                    <w:widowControl/>
                    <w:kinsoku/>
                    <w:autoSpaceDE/>
                    <w:autoSpaceDN/>
                    <w:adjustRightInd w:val="0"/>
                    <w:snapToGrid w:val="0"/>
                    <w:spacing w:line="276" w:lineRule="auto"/>
                    <w:jc w:val="center"/>
                    <w:textAlignment w:val="auto"/>
                    <w:rPr>
                      <w:rFonts w:hint="eastAsia" w:ascii="Times New Roman" w:hAnsi="Times New Roman" w:eastAsia="宋体" w:cs="Times New Roman"/>
                      <w:snapToGrid/>
                      <w:kern w:val="2"/>
                      <w:sz w:val="21"/>
                      <w:szCs w:val="21"/>
                      <w:highlight w:val="none"/>
                      <w:lang w:eastAsia="zh-CN"/>
                    </w:rPr>
                  </w:pPr>
                  <w:r>
                    <w:rPr>
                      <w:rFonts w:hint="eastAsia" w:ascii="Times New Roman" w:hAnsi="Times New Roman" w:eastAsia="宋体" w:cs="Times New Roman"/>
                      <w:snapToGrid/>
                      <w:kern w:val="2"/>
                      <w:sz w:val="21"/>
                      <w:szCs w:val="21"/>
                      <w:highlight w:val="none"/>
                      <w:lang w:val="en-US" w:eastAsia="zh-CN"/>
                    </w:rPr>
                    <w:t>216</w:t>
                  </w:r>
                </w:p>
              </w:tc>
            </w:tr>
            <w:tr w14:paraId="4C5D0C7E">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59" w:hRule="atLeast"/>
              </w:trPr>
              <w:tc>
                <w:tcPr>
                  <w:tcW w:w="403" w:type="pct"/>
                  <w:vAlign w:val="top"/>
                </w:tcPr>
                <w:p w14:paraId="2EDB32B7">
                  <w:pPr>
                    <w:widowControl/>
                    <w:kinsoku/>
                    <w:autoSpaceDE/>
                    <w:autoSpaceDN/>
                    <w:adjustRightInd w:val="0"/>
                    <w:snapToGrid w:val="0"/>
                    <w:spacing w:line="276" w:lineRule="auto"/>
                    <w:jc w:val="center"/>
                    <w:textAlignment w:val="auto"/>
                    <w:rPr>
                      <w:rFonts w:hint="eastAsia" w:ascii="Times New Roman" w:hAnsi="Times New Roman" w:eastAsia="宋体" w:cs="Times New Roman"/>
                      <w:snapToGrid/>
                      <w:kern w:val="2"/>
                      <w:sz w:val="21"/>
                      <w:szCs w:val="21"/>
                      <w:highlight w:val="none"/>
                      <w:lang w:eastAsia="zh-CN"/>
                    </w:rPr>
                  </w:pPr>
                  <w:r>
                    <w:rPr>
                      <w:rFonts w:hint="eastAsia" w:ascii="Times New Roman" w:hAnsi="Times New Roman" w:eastAsia="宋体" w:cs="Times New Roman"/>
                      <w:snapToGrid/>
                      <w:kern w:val="2"/>
                      <w:sz w:val="21"/>
                      <w:szCs w:val="21"/>
                      <w:highlight w:val="none"/>
                      <w:lang w:eastAsia="zh-CN"/>
                    </w:rPr>
                    <w:t>2</w:t>
                  </w:r>
                </w:p>
              </w:tc>
              <w:tc>
                <w:tcPr>
                  <w:tcW w:w="1250" w:type="pct"/>
                  <w:vAlign w:val="top"/>
                </w:tcPr>
                <w:p w14:paraId="009B3E96">
                  <w:pPr>
                    <w:widowControl/>
                    <w:kinsoku/>
                    <w:autoSpaceDE/>
                    <w:autoSpaceDN/>
                    <w:adjustRightInd w:val="0"/>
                    <w:snapToGrid w:val="0"/>
                    <w:spacing w:line="276" w:lineRule="auto"/>
                    <w:jc w:val="center"/>
                    <w:textAlignment w:val="auto"/>
                    <w:rPr>
                      <w:rFonts w:hint="eastAsia" w:ascii="Times New Roman" w:hAnsi="Times New Roman" w:eastAsia="宋体" w:cs="Times New Roman"/>
                      <w:snapToGrid/>
                      <w:kern w:val="2"/>
                      <w:sz w:val="21"/>
                      <w:szCs w:val="21"/>
                      <w:highlight w:val="none"/>
                      <w:lang w:eastAsia="zh-CN"/>
                    </w:rPr>
                  </w:pPr>
                  <w:r>
                    <w:rPr>
                      <w:rFonts w:hint="eastAsia" w:ascii="Times New Roman" w:hAnsi="Times New Roman" w:eastAsia="宋体" w:cs="Times New Roman"/>
                      <w:snapToGrid/>
                      <w:kern w:val="2"/>
                      <w:sz w:val="21"/>
                      <w:szCs w:val="21"/>
                      <w:highlight w:val="none"/>
                      <w:lang w:eastAsia="zh-CN"/>
                    </w:rPr>
                    <w:t>石油醚</w:t>
                  </w:r>
                </w:p>
              </w:tc>
              <w:tc>
                <w:tcPr>
                  <w:tcW w:w="871" w:type="pct"/>
                  <w:vAlign w:val="top"/>
                </w:tcPr>
                <w:p w14:paraId="4619019E">
                  <w:pPr>
                    <w:widowControl/>
                    <w:kinsoku/>
                    <w:autoSpaceDE/>
                    <w:autoSpaceDN/>
                    <w:adjustRightInd w:val="0"/>
                    <w:snapToGrid w:val="0"/>
                    <w:spacing w:line="276" w:lineRule="auto"/>
                    <w:jc w:val="center"/>
                    <w:textAlignment w:val="auto"/>
                    <w:rPr>
                      <w:rFonts w:hint="default" w:ascii="Times New Roman" w:hAnsi="Times New Roman" w:eastAsia="宋体" w:cs="Times New Roman"/>
                      <w:snapToGrid/>
                      <w:kern w:val="2"/>
                      <w:sz w:val="21"/>
                      <w:szCs w:val="21"/>
                      <w:highlight w:val="none"/>
                      <w:lang w:val="en-US" w:eastAsia="zh-CN"/>
                    </w:rPr>
                  </w:pPr>
                  <w:r>
                    <w:rPr>
                      <w:rFonts w:hint="eastAsia" w:ascii="Times New Roman" w:hAnsi="Times New Roman" w:eastAsia="宋体" w:cs="Times New Roman"/>
                      <w:snapToGrid/>
                      <w:kern w:val="2"/>
                      <w:sz w:val="21"/>
                      <w:szCs w:val="21"/>
                      <w:highlight w:val="none"/>
                      <w:lang w:eastAsia="zh-CN"/>
                    </w:rPr>
                    <w:t>600</w:t>
                  </w:r>
                </w:p>
              </w:tc>
              <w:tc>
                <w:tcPr>
                  <w:tcW w:w="697" w:type="pct"/>
                  <w:vAlign w:val="top"/>
                </w:tcPr>
                <w:p w14:paraId="134ED3D1">
                  <w:pPr>
                    <w:widowControl/>
                    <w:kinsoku/>
                    <w:autoSpaceDE/>
                    <w:autoSpaceDN/>
                    <w:adjustRightInd w:val="0"/>
                    <w:snapToGrid w:val="0"/>
                    <w:spacing w:line="276" w:lineRule="auto"/>
                    <w:jc w:val="center"/>
                    <w:textAlignment w:val="auto"/>
                    <w:rPr>
                      <w:rFonts w:hint="eastAsia" w:ascii="Times New Roman" w:hAnsi="Times New Roman" w:eastAsia="宋体" w:cs="Times New Roman"/>
                      <w:snapToGrid/>
                      <w:kern w:val="2"/>
                      <w:sz w:val="21"/>
                      <w:szCs w:val="21"/>
                      <w:highlight w:val="none"/>
                      <w:lang w:eastAsia="zh-CN"/>
                    </w:rPr>
                  </w:pPr>
                  <w:r>
                    <w:rPr>
                      <w:rFonts w:hint="eastAsia" w:ascii="Times New Roman" w:hAnsi="Times New Roman" w:eastAsia="宋体" w:cs="Times New Roman"/>
                      <w:snapToGrid/>
                      <w:kern w:val="2"/>
                      <w:sz w:val="21"/>
                      <w:szCs w:val="21"/>
                      <w:highlight w:val="none"/>
                      <w:lang w:eastAsia="zh-CN"/>
                    </w:rPr>
                    <w:t>0.6</w:t>
                  </w:r>
                </w:p>
              </w:tc>
              <w:tc>
                <w:tcPr>
                  <w:tcW w:w="894" w:type="pct"/>
                  <w:vAlign w:val="center"/>
                </w:tcPr>
                <w:p w14:paraId="360D8BC3">
                  <w:pPr>
                    <w:widowControl/>
                    <w:kinsoku/>
                    <w:autoSpaceDE/>
                    <w:autoSpaceDN/>
                    <w:adjustRightInd w:val="0"/>
                    <w:snapToGrid w:val="0"/>
                    <w:spacing w:line="276" w:lineRule="auto"/>
                    <w:jc w:val="center"/>
                    <w:textAlignment w:val="auto"/>
                    <w:rPr>
                      <w:rFonts w:hint="eastAsia" w:ascii="Times New Roman" w:hAnsi="Times New Roman" w:eastAsia="宋体" w:cs="Times New Roman"/>
                      <w:snapToGrid/>
                      <w:kern w:val="2"/>
                      <w:sz w:val="21"/>
                      <w:szCs w:val="21"/>
                      <w:highlight w:val="none"/>
                      <w:lang w:eastAsia="zh-CN"/>
                    </w:rPr>
                  </w:pPr>
                  <w:r>
                    <w:rPr>
                      <w:rFonts w:hint="eastAsia" w:ascii="Times New Roman" w:hAnsi="Times New Roman" w:eastAsia="宋体" w:cs="Times New Roman"/>
                      <w:snapToGrid/>
                      <w:kern w:val="2"/>
                      <w:sz w:val="21"/>
                      <w:szCs w:val="21"/>
                      <w:highlight w:val="none"/>
                      <w:lang w:val="en-US" w:eastAsia="zh-CN"/>
                    </w:rPr>
                    <w:t>360</w:t>
                  </w:r>
                </w:p>
              </w:tc>
              <w:tc>
                <w:tcPr>
                  <w:tcW w:w="1445" w:type="dxa"/>
                  <w:vAlign w:val="center"/>
                </w:tcPr>
                <w:p w14:paraId="174634CE">
                  <w:pPr>
                    <w:widowControl/>
                    <w:kinsoku/>
                    <w:autoSpaceDE/>
                    <w:autoSpaceDN/>
                    <w:adjustRightInd w:val="0"/>
                    <w:snapToGrid w:val="0"/>
                    <w:spacing w:line="276" w:lineRule="auto"/>
                    <w:jc w:val="center"/>
                    <w:textAlignment w:val="auto"/>
                    <w:rPr>
                      <w:rFonts w:hint="eastAsia" w:ascii="Times New Roman" w:hAnsi="Times New Roman" w:eastAsia="宋体" w:cs="Times New Roman"/>
                      <w:snapToGrid/>
                      <w:kern w:val="2"/>
                      <w:sz w:val="21"/>
                      <w:szCs w:val="21"/>
                      <w:highlight w:val="none"/>
                      <w:lang w:eastAsia="zh-CN"/>
                    </w:rPr>
                  </w:pPr>
                  <w:r>
                    <w:rPr>
                      <w:rFonts w:hint="eastAsia" w:ascii="Times New Roman" w:hAnsi="Times New Roman" w:eastAsia="宋体" w:cs="Times New Roman"/>
                      <w:snapToGrid/>
                      <w:kern w:val="2"/>
                      <w:sz w:val="21"/>
                      <w:szCs w:val="21"/>
                      <w:highlight w:val="none"/>
                      <w:lang w:val="en-US" w:eastAsia="zh-CN"/>
                    </w:rPr>
                    <w:t>72</w:t>
                  </w:r>
                </w:p>
              </w:tc>
            </w:tr>
            <w:tr w14:paraId="77618630">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69" w:hRule="atLeast"/>
              </w:trPr>
              <w:tc>
                <w:tcPr>
                  <w:tcW w:w="403" w:type="pct"/>
                  <w:vAlign w:val="top"/>
                </w:tcPr>
                <w:p w14:paraId="4A607324">
                  <w:pPr>
                    <w:widowControl/>
                    <w:kinsoku/>
                    <w:autoSpaceDE/>
                    <w:autoSpaceDN/>
                    <w:adjustRightInd w:val="0"/>
                    <w:snapToGrid w:val="0"/>
                    <w:spacing w:line="276" w:lineRule="auto"/>
                    <w:jc w:val="center"/>
                    <w:textAlignment w:val="auto"/>
                    <w:rPr>
                      <w:rFonts w:hint="eastAsia" w:ascii="Times New Roman" w:hAnsi="Times New Roman" w:eastAsia="宋体" w:cs="Times New Roman"/>
                      <w:snapToGrid/>
                      <w:kern w:val="2"/>
                      <w:sz w:val="21"/>
                      <w:szCs w:val="21"/>
                      <w:highlight w:val="none"/>
                      <w:lang w:eastAsia="zh-CN"/>
                    </w:rPr>
                  </w:pPr>
                  <w:r>
                    <w:rPr>
                      <w:rFonts w:hint="eastAsia" w:ascii="Times New Roman" w:hAnsi="Times New Roman" w:eastAsia="宋体" w:cs="Times New Roman"/>
                      <w:snapToGrid/>
                      <w:kern w:val="2"/>
                      <w:sz w:val="21"/>
                      <w:szCs w:val="21"/>
                      <w:highlight w:val="none"/>
                      <w:lang w:eastAsia="zh-CN"/>
                    </w:rPr>
                    <w:t>3</w:t>
                  </w:r>
                </w:p>
              </w:tc>
              <w:tc>
                <w:tcPr>
                  <w:tcW w:w="1250" w:type="pct"/>
                  <w:vAlign w:val="top"/>
                </w:tcPr>
                <w:p w14:paraId="0281DDF9">
                  <w:pPr>
                    <w:widowControl/>
                    <w:kinsoku/>
                    <w:autoSpaceDE/>
                    <w:autoSpaceDN/>
                    <w:adjustRightInd w:val="0"/>
                    <w:snapToGrid w:val="0"/>
                    <w:spacing w:line="276" w:lineRule="auto"/>
                    <w:jc w:val="center"/>
                    <w:textAlignment w:val="auto"/>
                    <w:rPr>
                      <w:rFonts w:hint="eastAsia" w:ascii="Times New Roman" w:hAnsi="Times New Roman" w:eastAsia="宋体" w:cs="Times New Roman"/>
                      <w:snapToGrid/>
                      <w:kern w:val="2"/>
                      <w:sz w:val="21"/>
                      <w:szCs w:val="21"/>
                      <w:highlight w:val="none"/>
                      <w:lang w:eastAsia="zh-CN"/>
                    </w:rPr>
                  </w:pPr>
                  <w:r>
                    <w:rPr>
                      <w:rFonts w:hint="eastAsia" w:ascii="Times New Roman" w:hAnsi="Times New Roman" w:eastAsia="宋体" w:cs="Times New Roman"/>
                      <w:snapToGrid/>
                      <w:kern w:val="2"/>
                      <w:sz w:val="21"/>
                      <w:szCs w:val="21"/>
                      <w:highlight w:val="none"/>
                      <w:lang w:eastAsia="zh-CN"/>
                    </w:rPr>
                    <w:t>四氢呋喃</w:t>
                  </w:r>
                </w:p>
              </w:tc>
              <w:tc>
                <w:tcPr>
                  <w:tcW w:w="871" w:type="pct"/>
                  <w:vAlign w:val="top"/>
                </w:tcPr>
                <w:p w14:paraId="46B62327">
                  <w:pPr>
                    <w:widowControl/>
                    <w:kinsoku/>
                    <w:autoSpaceDE/>
                    <w:autoSpaceDN/>
                    <w:adjustRightInd w:val="0"/>
                    <w:snapToGrid w:val="0"/>
                    <w:spacing w:line="276" w:lineRule="auto"/>
                    <w:jc w:val="center"/>
                    <w:textAlignment w:val="auto"/>
                    <w:rPr>
                      <w:rFonts w:hint="default" w:ascii="Times New Roman" w:hAnsi="Times New Roman" w:eastAsia="宋体" w:cs="Times New Roman"/>
                      <w:snapToGrid/>
                      <w:kern w:val="2"/>
                      <w:sz w:val="21"/>
                      <w:szCs w:val="21"/>
                      <w:highlight w:val="none"/>
                      <w:lang w:val="en-US" w:eastAsia="zh-CN"/>
                    </w:rPr>
                  </w:pPr>
                  <w:r>
                    <w:rPr>
                      <w:rFonts w:hint="eastAsia" w:ascii="Times New Roman" w:hAnsi="Times New Roman" w:eastAsia="宋体" w:cs="Times New Roman"/>
                      <w:snapToGrid/>
                      <w:kern w:val="2"/>
                      <w:sz w:val="21"/>
                      <w:szCs w:val="21"/>
                      <w:highlight w:val="none"/>
                      <w:lang w:eastAsia="zh-CN"/>
                    </w:rPr>
                    <w:t>600</w:t>
                  </w:r>
                </w:p>
              </w:tc>
              <w:tc>
                <w:tcPr>
                  <w:tcW w:w="697" w:type="pct"/>
                  <w:vAlign w:val="top"/>
                </w:tcPr>
                <w:p w14:paraId="3F5B879C">
                  <w:pPr>
                    <w:widowControl/>
                    <w:kinsoku/>
                    <w:autoSpaceDE/>
                    <w:autoSpaceDN/>
                    <w:adjustRightInd w:val="0"/>
                    <w:snapToGrid w:val="0"/>
                    <w:spacing w:line="276" w:lineRule="auto"/>
                    <w:jc w:val="center"/>
                    <w:textAlignment w:val="auto"/>
                    <w:rPr>
                      <w:rFonts w:hint="eastAsia" w:ascii="Times New Roman" w:hAnsi="Times New Roman" w:eastAsia="宋体" w:cs="Times New Roman"/>
                      <w:snapToGrid/>
                      <w:kern w:val="2"/>
                      <w:sz w:val="21"/>
                      <w:szCs w:val="21"/>
                      <w:highlight w:val="none"/>
                      <w:lang w:eastAsia="zh-CN"/>
                    </w:rPr>
                  </w:pPr>
                  <w:r>
                    <w:rPr>
                      <w:rFonts w:hint="eastAsia" w:ascii="Times New Roman" w:hAnsi="Times New Roman" w:eastAsia="宋体" w:cs="Times New Roman"/>
                      <w:snapToGrid/>
                      <w:kern w:val="2"/>
                      <w:sz w:val="21"/>
                      <w:szCs w:val="21"/>
                      <w:highlight w:val="none"/>
                      <w:lang w:eastAsia="zh-CN"/>
                    </w:rPr>
                    <w:t>0.89</w:t>
                  </w:r>
                </w:p>
              </w:tc>
              <w:tc>
                <w:tcPr>
                  <w:tcW w:w="894" w:type="pct"/>
                  <w:vAlign w:val="center"/>
                </w:tcPr>
                <w:p w14:paraId="5107E782">
                  <w:pPr>
                    <w:widowControl/>
                    <w:kinsoku/>
                    <w:autoSpaceDE/>
                    <w:autoSpaceDN/>
                    <w:adjustRightInd w:val="0"/>
                    <w:snapToGrid w:val="0"/>
                    <w:spacing w:line="276" w:lineRule="auto"/>
                    <w:jc w:val="center"/>
                    <w:textAlignment w:val="auto"/>
                    <w:rPr>
                      <w:rFonts w:hint="eastAsia" w:ascii="Times New Roman" w:hAnsi="Times New Roman" w:eastAsia="宋体" w:cs="Times New Roman"/>
                      <w:snapToGrid/>
                      <w:kern w:val="2"/>
                      <w:sz w:val="21"/>
                      <w:szCs w:val="21"/>
                      <w:highlight w:val="none"/>
                      <w:lang w:eastAsia="zh-CN"/>
                    </w:rPr>
                  </w:pPr>
                  <w:r>
                    <w:rPr>
                      <w:rFonts w:hint="eastAsia" w:ascii="Times New Roman" w:hAnsi="Times New Roman" w:eastAsia="宋体" w:cs="Times New Roman"/>
                      <w:snapToGrid/>
                      <w:kern w:val="2"/>
                      <w:sz w:val="21"/>
                      <w:szCs w:val="21"/>
                      <w:highlight w:val="none"/>
                      <w:lang w:val="en-US" w:eastAsia="zh-CN"/>
                    </w:rPr>
                    <w:t>534</w:t>
                  </w:r>
                </w:p>
              </w:tc>
              <w:tc>
                <w:tcPr>
                  <w:tcW w:w="1445" w:type="dxa"/>
                  <w:vAlign w:val="center"/>
                </w:tcPr>
                <w:p w14:paraId="30F2A37E">
                  <w:pPr>
                    <w:widowControl/>
                    <w:kinsoku/>
                    <w:autoSpaceDE/>
                    <w:autoSpaceDN/>
                    <w:adjustRightInd w:val="0"/>
                    <w:snapToGrid w:val="0"/>
                    <w:spacing w:line="276" w:lineRule="auto"/>
                    <w:jc w:val="center"/>
                    <w:textAlignment w:val="auto"/>
                    <w:rPr>
                      <w:rFonts w:hint="eastAsia" w:ascii="Times New Roman" w:hAnsi="Times New Roman" w:eastAsia="宋体" w:cs="Times New Roman"/>
                      <w:snapToGrid/>
                      <w:kern w:val="2"/>
                      <w:sz w:val="21"/>
                      <w:szCs w:val="21"/>
                      <w:highlight w:val="none"/>
                      <w:lang w:eastAsia="zh-CN"/>
                    </w:rPr>
                  </w:pPr>
                  <w:r>
                    <w:rPr>
                      <w:rFonts w:hint="eastAsia" w:ascii="Times New Roman" w:hAnsi="Times New Roman" w:eastAsia="宋体" w:cs="Times New Roman"/>
                      <w:snapToGrid/>
                      <w:kern w:val="2"/>
                      <w:sz w:val="21"/>
                      <w:szCs w:val="21"/>
                      <w:highlight w:val="none"/>
                      <w:lang w:val="en-US" w:eastAsia="zh-CN"/>
                    </w:rPr>
                    <w:t>106.8</w:t>
                  </w:r>
                </w:p>
              </w:tc>
            </w:tr>
            <w:tr w14:paraId="7A291E5F">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69" w:hRule="atLeast"/>
              </w:trPr>
              <w:tc>
                <w:tcPr>
                  <w:tcW w:w="403" w:type="pct"/>
                  <w:vAlign w:val="top"/>
                </w:tcPr>
                <w:p w14:paraId="79DD2711">
                  <w:pPr>
                    <w:widowControl/>
                    <w:kinsoku/>
                    <w:autoSpaceDE/>
                    <w:autoSpaceDN/>
                    <w:adjustRightInd w:val="0"/>
                    <w:snapToGrid w:val="0"/>
                    <w:spacing w:line="276" w:lineRule="auto"/>
                    <w:jc w:val="center"/>
                    <w:textAlignment w:val="auto"/>
                    <w:rPr>
                      <w:rFonts w:hint="eastAsia" w:ascii="Times New Roman" w:hAnsi="Times New Roman" w:eastAsia="宋体" w:cs="Times New Roman"/>
                      <w:snapToGrid/>
                      <w:kern w:val="2"/>
                      <w:sz w:val="21"/>
                      <w:szCs w:val="21"/>
                      <w:highlight w:val="none"/>
                      <w:lang w:eastAsia="zh-CN"/>
                    </w:rPr>
                  </w:pPr>
                  <w:r>
                    <w:rPr>
                      <w:rFonts w:hint="eastAsia" w:ascii="Times New Roman" w:hAnsi="Times New Roman" w:eastAsia="宋体" w:cs="Times New Roman"/>
                      <w:snapToGrid/>
                      <w:kern w:val="2"/>
                      <w:sz w:val="21"/>
                      <w:szCs w:val="21"/>
                      <w:highlight w:val="none"/>
                      <w:lang w:eastAsia="zh-CN"/>
                    </w:rPr>
                    <w:t>4</w:t>
                  </w:r>
                </w:p>
              </w:tc>
              <w:tc>
                <w:tcPr>
                  <w:tcW w:w="1250" w:type="pct"/>
                  <w:vAlign w:val="top"/>
                </w:tcPr>
                <w:p w14:paraId="21B220BD">
                  <w:pPr>
                    <w:widowControl/>
                    <w:kinsoku/>
                    <w:autoSpaceDE/>
                    <w:autoSpaceDN/>
                    <w:adjustRightInd w:val="0"/>
                    <w:snapToGrid w:val="0"/>
                    <w:spacing w:line="276" w:lineRule="auto"/>
                    <w:jc w:val="center"/>
                    <w:textAlignment w:val="auto"/>
                    <w:rPr>
                      <w:rFonts w:hint="eastAsia" w:ascii="Times New Roman" w:hAnsi="Times New Roman" w:eastAsia="宋体" w:cs="Times New Roman"/>
                      <w:snapToGrid/>
                      <w:kern w:val="2"/>
                      <w:sz w:val="21"/>
                      <w:szCs w:val="21"/>
                      <w:highlight w:val="none"/>
                      <w:lang w:eastAsia="zh-CN"/>
                    </w:rPr>
                  </w:pPr>
                  <w:r>
                    <w:rPr>
                      <w:rFonts w:hint="eastAsia" w:ascii="Times New Roman" w:hAnsi="Times New Roman" w:eastAsia="宋体" w:cs="Times New Roman"/>
                      <w:snapToGrid/>
                      <w:kern w:val="2"/>
                      <w:sz w:val="21"/>
                      <w:szCs w:val="21"/>
                      <w:highlight w:val="none"/>
                      <w:lang w:eastAsia="zh-CN"/>
                    </w:rPr>
                    <w:t>乙醚</w:t>
                  </w:r>
                </w:p>
              </w:tc>
              <w:tc>
                <w:tcPr>
                  <w:tcW w:w="871" w:type="pct"/>
                  <w:vAlign w:val="top"/>
                </w:tcPr>
                <w:p w14:paraId="01169F9A">
                  <w:pPr>
                    <w:widowControl/>
                    <w:kinsoku/>
                    <w:autoSpaceDE/>
                    <w:autoSpaceDN/>
                    <w:adjustRightInd w:val="0"/>
                    <w:snapToGrid w:val="0"/>
                    <w:spacing w:line="276" w:lineRule="auto"/>
                    <w:jc w:val="center"/>
                    <w:textAlignment w:val="auto"/>
                    <w:rPr>
                      <w:rFonts w:hint="default" w:ascii="Times New Roman" w:hAnsi="Times New Roman" w:eastAsia="宋体" w:cs="Times New Roman"/>
                      <w:snapToGrid/>
                      <w:kern w:val="2"/>
                      <w:sz w:val="21"/>
                      <w:szCs w:val="21"/>
                      <w:highlight w:val="none"/>
                      <w:lang w:val="en-US" w:eastAsia="zh-CN"/>
                    </w:rPr>
                  </w:pPr>
                  <w:r>
                    <w:rPr>
                      <w:rFonts w:hint="eastAsia" w:ascii="Times New Roman" w:hAnsi="Times New Roman" w:eastAsia="宋体" w:cs="Times New Roman"/>
                      <w:snapToGrid/>
                      <w:kern w:val="2"/>
                      <w:sz w:val="21"/>
                      <w:szCs w:val="21"/>
                      <w:highlight w:val="none"/>
                      <w:lang w:eastAsia="zh-CN"/>
                    </w:rPr>
                    <w:t>600</w:t>
                  </w:r>
                </w:p>
              </w:tc>
              <w:tc>
                <w:tcPr>
                  <w:tcW w:w="697" w:type="pct"/>
                  <w:vAlign w:val="top"/>
                </w:tcPr>
                <w:p w14:paraId="74B921F0">
                  <w:pPr>
                    <w:widowControl/>
                    <w:kinsoku/>
                    <w:autoSpaceDE/>
                    <w:autoSpaceDN/>
                    <w:adjustRightInd w:val="0"/>
                    <w:snapToGrid w:val="0"/>
                    <w:spacing w:line="276" w:lineRule="auto"/>
                    <w:jc w:val="center"/>
                    <w:textAlignment w:val="auto"/>
                    <w:rPr>
                      <w:rFonts w:hint="eastAsia" w:ascii="Times New Roman" w:hAnsi="Times New Roman" w:eastAsia="宋体" w:cs="Times New Roman"/>
                      <w:snapToGrid/>
                      <w:kern w:val="2"/>
                      <w:sz w:val="21"/>
                      <w:szCs w:val="21"/>
                      <w:highlight w:val="none"/>
                      <w:lang w:eastAsia="zh-CN"/>
                    </w:rPr>
                  </w:pPr>
                  <w:r>
                    <w:rPr>
                      <w:rFonts w:hint="eastAsia" w:ascii="Times New Roman" w:hAnsi="Times New Roman" w:eastAsia="宋体" w:cs="Times New Roman"/>
                      <w:snapToGrid/>
                      <w:kern w:val="2"/>
                      <w:sz w:val="21"/>
                      <w:szCs w:val="21"/>
                      <w:highlight w:val="none"/>
                      <w:lang w:eastAsia="zh-CN"/>
                    </w:rPr>
                    <w:t>0.71</w:t>
                  </w:r>
                </w:p>
              </w:tc>
              <w:tc>
                <w:tcPr>
                  <w:tcW w:w="894" w:type="pct"/>
                  <w:vAlign w:val="center"/>
                </w:tcPr>
                <w:p w14:paraId="42A45089">
                  <w:pPr>
                    <w:widowControl/>
                    <w:kinsoku/>
                    <w:autoSpaceDE/>
                    <w:autoSpaceDN/>
                    <w:adjustRightInd w:val="0"/>
                    <w:snapToGrid w:val="0"/>
                    <w:spacing w:line="276" w:lineRule="auto"/>
                    <w:jc w:val="center"/>
                    <w:textAlignment w:val="auto"/>
                    <w:rPr>
                      <w:rFonts w:hint="eastAsia" w:ascii="Times New Roman" w:hAnsi="Times New Roman" w:eastAsia="宋体" w:cs="Times New Roman"/>
                      <w:snapToGrid/>
                      <w:kern w:val="2"/>
                      <w:sz w:val="21"/>
                      <w:szCs w:val="21"/>
                      <w:highlight w:val="none"/>
                      <w:lang w:eastAsia="zh-CN"/>
                    </w:rPr>
                  </w:pPr>
                  <w:r>
                    <w:rPr>
                      <w:rFonts w:hint="eastAsia" w:ascii="Times New Roman" w:hAnsi="Times New Roman" w:eastAsia="宋体" w:cs="Times New Roman"/>
                      <w:snapToGrid/>
                      <w:kern w:val="2"/>
                      <w:sz w:val="21"/>
                      <w:szCs w:val="21"/>
                      <w:highlight w:val="none"/>
                      <w:lang w:val="en-US" w:eastAsia="zh-CN"/>
                    </w:rPr>
                    <w:t>426</w:t>
                  </w:r>
                </w:p>
              </w:tc>
              <w:tc>
                <w:tcPr>
                  <w:tcW w:w="1445" w:type="dxa"/>
                  <w:vAlign w:val="center"/>
                </w:tcPr>
                <w:p w14:paraId="0AD02D78">
                  <w:pPr>
                    <w:widowControl/>
                    <w:kinsoku/>
                    <w:autoSpaceDE/>
                    <w:autoSpaceDN/>
                    <w:adjustRightInd w:val="0"/>
                    <w:snapToGrid w:val="0"/>
                    <w:spacing w:line="276" w:lineRule="auto"/>
                    <w:jc w:val="center"/>
                    <w:textAlignment w:val="auto"/>
                    <w:rPr>
                      <w:rFonts w:hint="eastAsia" w:ascii="Times New Roman" w:hAnsi="Times New Roman" w:eastAsia="宋体" w:cs="Times New Roman"/>
                      <w:snapToGrid/>
                      <w:kern w:val="2"/>
                      <w:sz w:val="21"/>
                      <w:szCs w:val="21"/>
                      <w:highlight w:val="none"/>
                      <w:lang w:eastAsia="zh-CN"/>
                    </w:rPr>
                  </w:pPr>
                  <w:r>
                    <w:rPr>
                      <w:rFonts w:hint="eastAsia" w:ascii="Times New Roman" w:hAnsi="Times New Roman" w:eastAsia="宋体" w:cs="Times New Roman"/>
                      <w:snapToGrid/>
                      <w:kern w:val="2"/>
                      <w:sz w:val="21"/>
                      <w:szCs w:val="21"/>
                      <w:highlight w:val="none"/>
                      <w:lang w:val="en-US" w:eastAsia="zh-CN"/>
                    </w:rPr>
                    <w:t>85.2</w:t>
                  </w:r>
                </w:p>
              </w:tc>
            </w:tr>
            <w:tr w14:paraId="7E83E3EA">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69" w:hRule="atLeast"/>
              </w:trPr>
              <w:tc>
                <w:tcPr>
                  <w:tcW w:w="403" w:type="pct"/>
                  <w:vAlign w:val="top"/>
                </w:tcPr>
                <w:p w14:paraId="41599D86">
                  <w:pPr>
                    <w:widowControl/>
                    <w:kinsoku/>
                    <w:autoSpaceDE/>
                    <w:autoSpaceDN/>
                    <w:adjustRightInd w:val="0"/>
                    <w:snapToGrid w:val="0"/>
                    <w:spacing w:line="276" w:lineRule="auto"/>
                    <w:jc w:val="center"/>
                    <w:textAlignment w:val="auto"/>
                    <w:rPr>
                      <w:rFonts w:hint="eastAsia" w:ascii="Times New Roman" w:hAnsi="Times New Roman" w:eastAsia="宋体" w:cs="Times New Roman"/>
                      <w:snapToGrid/>
                      <w:kern w:val="2"/>
                      <w:sz w:val="21"/>
                      <w:szCs w:val="21"/>
                      <w:highlight w:val="none"/>
                      <w:lang w:eastAsia="zh-CN"/>
                    </w:rPr>
                  </w:pPr>
                  <w:r>
                    <w:rPr>
                      <w:rFonts w:hint="eastAsia" w:ascii="Times New Roman" w:hAnsi="Times New Roman" w:eastAsia="宋体" w:cs="Times New Roman"/>
                      <w:snapToGrid/>
                      <w:kern w:val="2"/>
                      <w:sz w:val="21"/>
                      <w:szCs w:val="21"/>
                      <w:highlight w:val="none"/>
                      <w:lang w:eastAsia="zh-CN"/>
                    </w:rPr>
                    <w:t>5</w:t>
                  </w:r>
                </w:p>
              </w:tc>
              <w:tc>
                <w:tcPr>
                  <w:tcW w:w="1250" w:type="pct"/>
                  <w:vAlign w:val="top"/>
                </w:tcPr>
                <w:p w14:paraId="55FFC194">
                  <w:pPr>
                    <w:widowControl/>
                    <w:kinsoku/>
                    <w:autoSpaceDE/>
                    <w:autoSpaceDN/>
                    <w:adjustRightInd w:val="0"/>
                    <w:snapToGrid w:val="0"/>
                    <w:spacing w:line="276" w:lineRule="auto"/>
                    <w:jc w:val="center"/>
                    <w:textAlignment w:val="auto"/>
                    <w:rPr>
                      <w:rFonts w:hint="eastAsia" w:ascii="Times New Roman" w:hAnsi="Times New Roman" w:eastAsia="宋体" w:cs="Times New Roman"/>
                      <w:snapToGrid/>
                      <w:kern w:val="2"/>
                      <w:sz w:val="21"/>
                      <w:szCs w:val="21"/>
                      <w:highlight w:val="none"/>
                      <w:lang w:eastAsia="zh-CN"/>
                    </w:rPr>
                  </w:pPr>
                  <w:r>
                    <w:rPr>
                      <w:rFonts w:hint="eastAsia" w:ascii="Times New Roman" w:hAnsi="Times New Roman" w:eastAsia="宋体" w:cs="Times New Roman"/>
                      <w:snapToGrid/>
                      <w:kern w:val="2"/>
                      <w:sz w:val="21"/>
                      <w:szCs w:val="21"/>
                      <w:highlight w:val="none"/>
                      <w:lang w:eastAsia="zh-CN"/>
                    </w:rPr>
                    <w:t>2-巯基乙醇</w:t>
                  </w:r>
                </w:p>
              </w:tc>
              <w:tc>
                <w:tcPr>
                  <w:tcW w:w="871" w:type="pct"/>
                  <w:vAlign w:val="top"/>
                </w:tcPr>
                <w:p w14:paraId="28FF3355">
                  <w:pPr>
                    <w:widowControl/>
                    <w:kinsoku/>
                    <w:autoSpaceDE/>
                    <w:autoSpaceDN/>
                    <w:adjustRightInd w:val="0"/>
                    <w:snapToGrid w:val="0"/>
                    <w:spacing w:line="276" w:lineRule="auto"/>
                    <w:jc w:val="center"/>
                    <w:textAlignment w:val="auto"/>
                    <w:rPr>
                      <w:rFonts w:hint="default" w:ascii="Times New Roman" w:hAnsi="Times New Roman" w:eastAsia="宋体" w:cs="Times New Roman"/>
                      <w:snapToGrid/>
                      <w:kern w:val="2"/>
                      <w:sz w:val="21"/>
                      <w:szCs w:val="21"/>
                      <w:highlight w:val="none"/>
                      <w:lang w:val="en-US" w:eastAsia="zh-CN"/>
                    </w:rPr>
                  </w:pPr>
                  <w:r>
                    <w:rPr>
                      <w:rFonts w:hint="eastAsia" w:ascii="Times New Roman" w:hAnsi="Times New Roman" w:eastAsia="宋体" w:cs="Times New Roman"/>
                      <w:snapToGrid/>
                      <w:kern w:val="2"/>
                      <w:sz w:val="21"/>
                      <w:szCs w:val="21"/>
                      <w:highlight w:val="none"/>
                      <w:lang w:eastAsia="zh-CN"/>
                    </w:rPr>
                    <w:t>9</w:t>
                  </w:r>
                </w:p>
              </w:tc>
              <w:tc>
                <w:tcPr>
                  <w:tcW w:w="697" w:type="pct"/>
                  <w:vAlign w:val="top"/>
                </w:tcPr>
                <w:p w14:paraId="3FCB95B4">
                  <w:pPr>
                    <w:widowControl/>
                    <w:kinsoku/>
                    <w:autoSpaceDE/>
                    <w:autoSpaceDN/>
                    <w:adjustRightInd w:val="0"/>
                    <w:snapToGrid w:val="0"/>
                    <w:spacing w:line="276" w:lineRule="auto"/>
                    <w:jc w:val="center"/>
                    <w:textAlignment w:val="auto"/>
                    <w:rPr>
                      <w:rFonts w:hint="eastAsia" w:ascii="Times New Roman" w:hAnsi="Times New Roman" w:eastAsia="宋体" w:cs="Times New Roman"/>
                      <w:snapToGrid/>
                      <w:kern w:val="2"/>
                      <w:sz w:val="21"/>
                      <w:szCs w:val="21"/>
                      <w:highlight w:val="none"/>
                      <w:lang w:eastAsia="zh-CN"/>
                    </w:rPr>
                  </w:pPr>
                  <w:r>
                    <w:rPr>
                      <w:rFonts w:hint="eastAsia" w:ascii="Times New Roman" w:hAnsi="Times New Roman" w:eastAsia="宋体" w:cs="Times New Roman"/>
                      <w:snapToGrid/>
                      <w:kern w:val="2"/>
                      <w:sz w:val="21"/>
                      <w:szCs w:val="21"/>
                      <w:highlight w:val="none"/>
                      <w:lang w:eastAsia="zh-CN"/>
                    </w:rPr>
                    <w:t>1.068</w:t>
                  </w:r>
                </w:p>
              </w:tc>
              <w:tc>
                <w:tcPr>
                  <w:tcW w:w="894" w:type="pct"/>
                  <w:vAlign w:val="center"/>
                </w:tcPr>
                <w:p w14:paraId="25B81ADE">
                  <w:pPr>
                    <w:widowControl/>
                    <w:kinsoku/>
                    <w:autoSpaceDE/>
                    <w:autoSpaceDN/>
                    <w:adjustRightInd w:val="0"/>
                    <w:snapToGrid w:val="0"/>
                    <w:spacing w:line="276" w:lineRule="auto"/>
                    <w:jc w:val="center"/>
                    <w:textAlignment w:val="auto"/>
                    <w:rPr>
                      <w:rFonts w:hint="eastAsia" w:ascii="Times New Roman" w:hAnsi="Times New Roman" w:eastAsia="宋体" w:cs="Times New Roman"/>
                      <w:snapToGrid/>
                      <w:kern w:val="2"/>
                      <w:sz w:val="21"/>
                      <w:szCs w:val="21"/>
                      <w:highlight w:val="none"/>
                      <w:lang w:eastAsia="zh-CN"/>
                    </w:rPr>
                  </w:pPr>
                  <w:r>
                    <w:rPr>
                      <w:rFonts w:hint="eastAsia" w:ascii="Times New Roman" w:hAnsi="Times New Roman" w:eastAsia="宋体" w:cs="Times New Roman"/>
                      <w:snapToGrid/>
                      <w:kern w:val="2"/>
                      <w:sz w:val="21"/>
                      <w:szCs w:val="21"/>
                      <w:highlight w:val="none"/>
                      <w:lang w:val="en-US" w:eastAsia="zh-CN"/>
                    </w:rPr>
                    <w:t>9.612</w:t>
                  </w:r>
                </w:p>
              </w:tc>
              <w:tc>
                <w:tcPr>
                  <w:tcW w:w="1445" w:type="dxa"/>
                  <w:vAlign w:val="center"/>
                </w:tcPr>
                <w:p w14:paraId="26DEF349">
                  <w:pPr>
                    <w:widowControl/>
                    <w:kinsoku/>
                    <w:autoSpaceDE/>
                    <w:autoSpaceDN/>
                    <w:adjustRightInd w:val="0"/>
                    <w:snapToGrid w:val="0"/>
                    <w:spacing w:line="276" w:lineRule="auto"/>
                    <w:jc w:val="center"/>
                    <w:textAlignment w:val="auto"/>
                    <w:rPr>
                      <w:rFonts w:hint="eastAsia" w:ascii="Times New Roman" w:hAnsi="Times New Roman" w:eastAsia="宋体" w:cs="Times New Roman"/>
                      <w:snapToGrid/>
                      <w:kern w:val="2"/>
                      <w:sz w:val="21"/>
                      <w:szCs w:val="21"/>
                      <w:highlight w:val="none"/>
                      <w:lang w:eastAsia="zh-CN"/>
                    </w:rPr>
                  </w:pPr>
                  <w:r>
                    <w:rPr>
                      <w:rFonts w:hint="eastAsia" w:ascii="Times New Roman" w:hAnsi="Times New Roman" w:eastAsia="宋体" w:cs="Times New Roman"/>
                      <w:snapToGrid/>
                      <w:kern w:val="2"/>
                      <w:sz w:val="21"/>
                      <w:szCs w:val="21"/>
                      <w:highlight w:val="none"/>
                      <w:lang w:val="en-US" w:eastAsia="zh-CN"/>
                    </w:rPr>
                    <w:t>1.9224</w:t>
                  </w:r>
                </w:p>
              </w:tc>
            </w:tr>
            <w:tr w14:paraId="11CC75A3">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69" w:hRule="atLeast"/>
              </w:trPr>
              <w:tc>
                <w:tcPr>
                  <w:tcW w:w="403" w:type="pct"/>
                  <w:vAlign w:val="top"/>
                </w:tcPr>
                <w:p w14:paraId="7DB14B17">
                  <w:pPr>
                    <w:widowControl/>
                    <w:kinsoku/>
                    <w:autoSpaceDE/>
                    <w:autoSpaceDN/>
                    <w:adjustRightInd w:val="0"/>
                    <w:snapToGrid w:val="0"/>
                    <w:spacing w:line="276" w:lineRule="auto"/>
                    <w:jc w:val="center"/>
                    <w:textAlignment w:val="auto"/>
                    <w:rPr>
                      <w:rFonts w:hint="eastAsia" w:ascii="Times New Roman" w:hAnsi="Times New Roman" w:eastAsia="宋体" w:cs="Times New Roman"/>
                      <w:snapToGrid/>
                      <w:kern w:val="2"/>
                      <w:sz w:val="21"/>
                      <w:szCs w:val="21"/>
                      <w:highlight w:val="none"/>
                      <w:lang w:eastAsia="zh-CN"/>
                    </w:rPr>
                  </w:pPr>
                  <w:r>
                    <w:rPr>
                      <w:rFonts w:hint="eastAsia" w:ascii="Times New Roman" w:hAnsi="Times New Roman" w:eastAsia="宋体" w:cs="Times New Roman"/>
                      <w:snapToGrid/>
                      <w:kern w:val="2"/>
                      <w:sz w:val="21"/>
                      <w:szCs w:val="21"/>
                      <w:highlight w:val="none"/>
                      <w:lang w:eastAsia="zh-CN"/>
                    </w:rPr>
                    <w:t>6</w:t>
                  </w:r>
                </w:p>
              </w:tc>
              <w:tc>
                <w:tcPr>
                  <w:tcW w:w="1250" w:type="pct"/>
                  <w:vAlign w:val="top"/>
                </w:tcPr>
                <w:p w14:paraId="3694BD05">
                  <w:pPr>
                    <w:widowControl/>
                    <w:kinsoku/>
                    <w:autoSpaceDE/>
                    <w:autoSpaceDN/>
                    <w:adjustRightInd w:val="0"/>
                    <w:snapToGrid w:val="0"/>
                    <w:spacing w:line="276" w:lineRule="auto"/>
                    <w:jc w:val="center"/>
                    <w:textAlignment w:val="auto"/>
                    <w:rPr>
                      <w:rFonts w:hint="eastAsia" w:ascii="Times New Roman" w:hAnsi="Times New Roman" w:eastAsia="宋体" w:cs="Times New Roman"/>
                      <w:snapToGrid/>
                      <w:kern w:val="2"/>
                      <w:sz w:val="21"/>
                      <w:szCs w:val="21"/>
                      <w:highlight w:val="none"/>
                      <w:lang w:eastAsia="zh-CN"/>
                    </w:rPr>
                  </w:pPr>
                  <w:r>
                    <w:rPr>
                      <w:rFonts w:hint="eastAsia" w:ascii="Times New Roman" w:hAnsi="Times New Roman" w:eastAsia="宋体" w:cs="Times New Roman"/>
                      <w:snapToGrid/>
                      <w:kern w:val="2"/>
                      <w:sz w:val="21"/>
                      <w:szCs w:val="21"/>
                      <w:highlight w:val="none"/>
                      <w:lang w:eastAsia="zh-CN"/>
                    </w:rPr>
                    <w:t>三乙基胺</w:t>
                  </w:r>
                </w:p>
              </w:tc>
              <w:tc>
                <w:tcPr>
                  <w:tcW w:w="871" w:type="pct"/>
                  <w:vAlign w:val="top"/>
                </w:tcPr>
                <w:p w14:paraId="3C28559D">
                  <w:pPr>
                    <w:widowControl/>
                    <w:kinsoku/>
                    <w:autoSpaceDE/>
                    <w:autoSpaceDN/>
                    <w:adjustRightInd w:val="0"/>
                    <w:snapToGrid w:val="0"/>
                    <w:spacing w:line="276" w:lineRule="auto"/>
                    <w:jc w:val="center"/>
                    <w:textAlignment w:val="auto"/>
                    <w:rPr>
                      <w:rFonts w:hint="default" w:ascii="Times New Roman" w:hAnsi="Times New Roman" w:eastAsia="宋体" w:cs="Times New Roman"/>
                      <w:snapToGrid/>
                      <w:kern w:val="2"/>
                      <w:sz w:val="21"/>
                      <w:szCs w:val="21"/>
                      <w:highlight w:val="none"/>
                      <w:lang w:val="en-US" w:eastAsia="zh-CN"/>
                    </w:rPr>
                  </w:pPr>
                  <w:r>
                    <w:rPr>
                      <w:rFonts w:hint="eastAsia" w:ascii="Times New Roman" w:hAnsi="Times New Roman" w:eastAsia="宋体" w:cs="Times New Roman"/>
                      <w:snapToGrid/>
                      <w:kern w:val="2"/>
                      <w:sz w:val="21"/>
                      <w:szCs w:val="21"/>
                      <w:highlight w:val="none"/>
                      <w:lang w:eastAsia="zh-CN"/>
                    </w:rPr>
                    <w:t>1</w:t>
                  </w:r>
                </w:p>
              </w:tc>
              <w:tc>
                <w:tcPr>
                  <w:tcW w:w="697" w:type="pct"/>
                  <w:vAlign w:val="top"/>
                </w:tcPr>
                <w:p w14:paraId="43EB45CD">
                  <w:pPr>
                    <w:widowControl/>
                    <w:kinsoku/>
                    <w:autoSpaceDE/>
                    <w:autoSpaceDN/>
                    <w:adjustRightInd w:val="0"/>
                    <w:snapToGrid w:val="0"/>
                    <w:spacing w:line="276" w:lineRule="auto"/>
                    <w:jc w:val="center"/>
                    <w:textAlignment w:val="auto"/>
                    <w:rPr>
                      <w:rFonts w:hint="eastAsia" w:ascii="Times New Roman" w:hAnsi="Times New Roman" w:eastAsia="宋体" w:cs="Times New Roman"/>
                      <w:snapToGrid/>
                      <w:kern w:val="2"/>
                      <w:sz w:val="21"/>
                      <w:szCs w:val="21"/>
                      <w:highlight w:val="none"/>
                      <w:lang w:eastAsia="zh-CN"/>
                    </w:rPr>
                  </w:pPr>
                  <w:r>
                    <w:rPr>
                      <w:rFonts w:hint="eastAsia" w:ascii="Times New Roman" w:hAnsi="Times New Roman" w:eastAsia="宋体" w:cs="Times New Roman"/>
                      <w:snapToGrid/>
                      <w:kern w:val="2"/>
                      <w:sz w:val="21"/>
                      <w:szCs w:val="21"/>
                      <w:highlight w:val="none"/>
                      <w:lang w:eastAsia="zh-CN"/>
                    </w:rPr>
                    <w:t>0.728</w:t>
                  </w:r>
                </w:p>
              </w:tc>
              <w:tc>
                <w:tcPr>
                  <w:tcW w:w="894" w:type="pct"/>
                  <w:vAlign w:val="center"/>
                </w:tcPr>
                <w:p w14:paraId="2FC7C3DF">
                  <w:pPr>
                    <w:widowControl/>
                    <w:kinsoku/>
                    <w:autoSpaceDE/>
                    <w:autoSpaceDN/>
                    <w:adjustRightInd w:val="0"/>
                    <w:snapToGrid w:val="0"/>
                    <w:spacing w:line="276" w:lineRule="auto"/>
                    <w:jc w:val="center"/>
                    <w:textAlignment w:val="auto"/>
                    <w:rPr>
                      <w:rFonts w:hint="eastAsia" w:ascii="Times New Roman" w:hAnsi="Times New Roman" w:eastAsia="宋体" w:cs="Times New Roman"/>
                      <w:snapToGrid/>
                      <w:kern w:val="2"/>
                      <w:sz w:val="21"/>
                      <w:szCs w:val="21"/>
                      <w:highlight w:val="none"/>
                      <w:lang w:eastAsia="zh-CN"/>
                    </w:rPr>
                  </w:pPr>
                  <w:r>
                    <w:rPr>
                      <w:rFonts w:hint="eastAsia" w:ascii="Times New Roman" w:hAnsi="Times New Roman" w:eastAsia="宋体" w:cs="Times New Roman"/>
                      <w:snapToGrid/>
                      <w:kern w:val="2"/>
                      <w:sz w:val="21"/>
                      <w:szCs w:val="21"/>
                      <w:highlight w:val="none"/>
                      <w:lang w:val="en-US" w:eastAsia="zh-CN"/>
                    </w:rPr>
                    <w:t>0.728</w:t>
                  </w:r>
                </w:p>
              </w:tc>
              <w:tc>
                <w:tcPr>
                  <w:tcW w:w="1445" w:type="dxa"/>
                  <w:vAlign w:val="center"/>
                </w:tcPr>
                <w:p w14:paraId="37159088">
                  <w:pPr>
                    <w:widowControl/>
                    <w:kinsoku/>
                    <w:autoSpaceDE/>
                    <w:autoSpaceDN/>
                    <w:adjustRightInd w:val="0"/>
                    <w:snapToGrid w:val="0"/>
                    <w:spacing w:line="276" w:lineRule="auto"/>
                    <w:jc w:val="center"/>
                    <w:textAlignment w:val="auto"/>
                    <w:rPr>
                      <w:rFonts w:hint="eastAsia" w:ascii="Times New Roman" w:hAnsi="Times New Roman" w:eastAsia="宋体" w:cs="Times New Roman"/>
                      <w:snapToGrid/>
                      <w:kern w:val="2"/>
                      <w:sz w:val="21"/>
                      <w:szCs w:val="21"/>
                      <w:highlight w:val="none"/>
                      <w:lang w:eastAsia="zh-CN"/>
                    </w:rPr>
                  </w:pPr>
                  <w:r>
                    <w:rPr>
                      <w:rFonts w:hint="eastAsia" w:ascii="Times New Roman" w:hAnsi="Times New Roman" w:eastAsia="宋体" w:cs="Times New Roman"/>
                      <w:snapToGrid/>
                      <w:kern w:val="2"/>
                      <w:sz w:val="21"/>
                      <w:szCs w:val="21"/>
                      <w:highlight w:val="none"/>
                      <w:lang w:val="en-US" w:eastAsia="zh-CN"/>
                    </w:rPr>
                    <w:t>0.1456</w:t>
                  </w:r>
                </w:p>
              </w:tc>
            </w:tr>
            <w:tr w14:paraId="3988F559">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59" w:hRule="atLeast"/>
              </w:trPr>
              <w:tc>
                <w:tcPr>
                  <w:tcW w:w="403" w:type="pct"/>
                  <w:vAlign w:val="top"/>
                </w:tcPr>
                <w:p w14:paraId="5E99D479">
                  <w:pPr>
                    <w:widowControl/>
                    <w:kinsoku/>
                    <w:autoSpaceDE/>
                    <w:autoSpaceDN/>
                    <w:adjustRightInd w:val="0"/>
                    <w:snapToGrid w:val="0"/>
                    <w:spacing w:line="276" w:lineRule="auto"/>
                    <w:jc w:val="center"/>
                    <w:textAlignment w:val="auto"/>
                    <w:rPr>
                      <w:rFonts w:hint="eastAsia" w:ascii="Times New Roman" w:hAnsi="Times New Roman" w:eastAsia="宋体" w:cs="Times New Roman"/>
                      <w:snapToGrid/>
                      <w:kern w:val="2"/>
                      <w:sz w:val="21"/>
                      <w:szCs w:val="21"/>
                      <w:highlight w:val="none"/>
                      <w:lang w:eastAsia="zh-CN"/>
                    </w:rPr>
                  </w:pPr>
                  <w:r>
                    <w:rPr>
                      <w:rFonts w:hint="eastAsia" w:ascii="Times New Roman" w:hAnsi="Times New Roman" w:eastAsia="宋体" w:cs="Times New Roman"/>
                      <w:snapToGrid/>
                      <w:kern w:val="2"/>
                      <w:sz w:val="21"/>
                      <w:szCs w:val="21"/>
                      <w:highlight w:val="none"/>
                      <w:lang w:eastAsia="zh-CN"/>
                    </w:rPr>
                    <w:t>7</w:t>
                  </w:r>
                </w:p>
              </w:tc>
              <w:tc>
                <w:tcPr>
                  <w:tcW w:w="1250" w:type="pct"/>
                  <w:vAlign w:val="top"/>
                </w:tcPr>
                <w:p w14:paraId="299C11DE">
                  <w:pPr>
                    <w:widowControl/>
                    <w:kinsoku/>
                    <w:autoSpaceDE/>
                    <w:autoSpaceDN/>
                    <w:adjustRightInd w:val="0"/>
                    <w:snapToGrid w:val="0"/>
                    <w:spacing w:line="276" w:lineRule="auto"/>
                    <w:jc w:val="center"/>
                    <w:textAlignment w:val="auto"/>
                    <w:rPr>
                      <w:rFonts w:hint="eastAsia" w:ascii="Times New Roman" w:hAnsi="Times New Roman" w:eastAsia="宋体" w:cs="Times New Roman"/>
                      <w:snapToGrid/>
                      <w:kern w:val="2"/>
                      <w:sz w:val="21"/>
                      <w:szCs w:val="21"/>
                      <w:highlight w:val="none"/>
                      <w:lang w:eastAsia="zh-CN"/>
                    </w:rPr>
                  </w:pPr>
                  <w:r>
                    <w:rPr>
                      <w:rFonts w:hint="eastAsia" w:ascii="Times New Roman" w:hAnsi="Times New Roman" w:eastAsia="宋体" w:cs="Times New Roman"/>
                      <w:snapToGrid/>
                      <w:kern w:val="2"/>
                      <w:sz w:val="21"/>
                      <w:szCs w:val="21"/>
                      <w:highlight w:val="none"/>
                      <w:lang w:eastAsia="zh-CN"/>
                    </w:rPr>
                    <w:t>乙腈</w:t>
                  </w:r>
                </w:p>
              </w:tc>
              <w:tc>
                <w:tcPr>
                  <w:tcW w:w="871" w:type="pct"/>
                  <w:vAlign w:val="top"/>
                </w:tcPr>
                <w:p w14:paraId="15CBC7E2">
                  <w:pPr>
                    <w:widowControl/>
                    <w:kinsoku/>
                    <w:autoSpaceDE/>
                    <w:autoSpaceDN/>
                    <w:adjustRightInd w:val="0"/>
                    <w:snapToGrid w:val="0"/>
                    <w:spacing w:line="276" w:lineRule="auto"/>
                    <w:jc w:val="center"/>
                    <w:textAlignment w:val="auto"/>
                    <w:rPr>
                      <w:rFonts w:hint="default" w:ascii="Times New Roman" w:hAnsi="Times New Roman" w:eastAsia="宋体" w:cs="Times New Roman"/>
                      <w:snapToGrid/>
                      <w:kern w:val="2"/>
                      <w:sz w:val="21"/>
                      <w:szCs w:val="21"/>
                      <w:highlight w:val="none"/>
                      <w:lang w:val="en-US" w:eastAsia="zh-CN"/>
                    </w:rPr>
                  </w:pPr>
                  <w:r>
                    <w:rPr>
                      <w:rFonts w:hint="eastAsia" w:ascii="Times New Roman" w:hAnsi="Times New Roman" w:eastAsia="宋体" w:cs="Times New Roman"/>
                      <w:snapToGrid/>
                      <w:kern w:val="2"/>
                      <w:sz w:val="21"/>
                      <w:szCs w:val="21"/>
                      <w:highlight w:val="none"/>
                      <w:lang w:eastAsia="zh-CN"/>
                    </w:rPr>
                    <w:t>1</w:t>
                  </w:r>
                </w:p>
              </w:tc>
              <w:tc>
                <w:tcPr>
                  <w:tcW w:w="697" w:type="pct"/>
                  <w:vAlign w:val="top"/>
                </w:tcPr>
                <w:p w14:paraId="2985BA18">
                  <w:pPr>
                    <w:widowControl/>
                    <w:kinsoku/>
                    <w:autoSpaceDE/>
                    <w:autoSpaceDN/>
                    <w:adjustRightInd w:val="0"/>
                    <w:snapToGrid w:val="0"/>
                    <w:spacing w:line="276" w:lineRule="auto"/>
                    <w:jc w:val="center"/>
                    <w:textAlignment w:val="auto"/>
                    <w:rPr>
                      <w:rFonts w:hint="eastAsia" w:ascii="Times New Roman" w:hAnsi="Times New Roman" w:eastAsia="宋体" w:cs="Times New Roman"/>
                      <w:snapToGrid/>
                      <w:kern w:val="2"/>
                      <w:sz w:val="21"/>
                      <w:szCs w:val="21"/>
                      <w:highlight w:val="none"/>
                      <w:lang w:eastAsia="zh-CN"/>
                    </w:rPr>
                  </w:pPr>
                  <w:r>
                    <w:rPr>
                      <w:rFonts w:hint="eastAsia" w:ascii="Times New Roman" w:hAnsi="Times New Roman" w:eastAsia="宋体" w:cs="Times New Roman"/>
                      <w:snapToGrid/>
                      <w:kern w:val="2"/>
                      <w:sz w:val="21"/>
                      <w:szCs w:val="21"/>
                      <w:highlight w:val="none"/>
                      <w:lang w:eastAsia="zh-CN"/>
                    </w:rPr>
                    <w:t>0.7857</w:t>
                  </w:r>
                </w:p>
              </w:tc>
              <w:tc>
                <w:tcPr>
                  <w:tcW w:w="894" w:type="pct"/>
                  <w:vAlign w:val="center"/>
                </w:tcPr>
                <w:p w14:paraId="542827B4">
                  <w:pPr>
                    <w:widowControl/>
                    <w:kinsoku/>
                    <w:autoSpaceDE/>
                    <w:autoSpaceDN/>
                    <w:adjustRightInd w:val="0"/>
                    <w:snapToGrid w:val="0"/>
                    <w:spacing w:line="276" w:lineRule="auto"/>
                    <w:jc w:val="center"/>
                    <w:textAlignment w:val="auto"/>
                    <w:rPr>
                      <w:rFonts w:hint="eastAsia" w:ascii="Times New Roman" w:hAnsi="Times New Roman" w:eastAsia="宋体" w:cs="Times New Roman"/>
                      <w:snapToGrid/>
                      <w:kern w:val="2"/>
                      <w:sz w:val="21"/>
                      <w:szCs w:val="21"/>
                      <w:highlight w:val="none"/>
                      <w:lang w:eastAsia="zh-CN"/>
                    </w:rPr>
                  </w:pPr>
                  <w:r>
                    <w:rPr>
                      <w:rFonts w:hint="eastAsia" w:ascii="Times New Roman" w:hAnsi="Times New Roman" w:eastAsia="宋体" w:cs="Times New Roman"/>
                      <w:snapToGrid/>
                      <w:kern w:val="2"/>
                      <w:sz w:val="21"/>
                      <w:szCs w:val="21"/>
                      <w:highlight w:val="none"/>
                      <w:lang w:val="en-US" w:eastAsia="zh-CN"/>
                    </w:rPr>
                    <w:t>0.786</w:t>
                  </w:r>
                </w:p>
              </w:tc>
              <w:tc>
                <w:tcPr>
                  <w:tcW w:w="1445" w:type="dxa"/>
                  <w:vAlign w:val="center"/>
                </w:tcPr>
                <w:p w14:paraId="14EF1850">
                  <w:pPr>
                    <w:widowControl/>
                    <w:kinsoku/>
                    <w:autoSpaceDE/>
                    <w:autoSpaceDN/>
                    <w:adjustRightInd w:val="0"/>
                    <w:snapToGrid w:val="0"/>
                    <w:spacing w:line="276" w:lineRule="auto"/>
                    <w:jc w:val="center"/>
                    <w:textAlignment w:val="auto"/>
                    <w:rPr>
                      <w:rFonts w:hint="eastAsia" w:ascii="Times New Roman" w:hAnsi="Times New Roman" w:eastAsia="宋体" w:cs="Times New Roman"/>
                      <w:snapToGrid/>
                      <w:kern w:val="2"/>
                      <w:sz w:val="21"/>
                      <w:szCs w:val="21"/>
                      <w:highlight w:val="none"/>
                      <w:lang w:eastAsia="zh-CN"/>
                    </w:rPr>
                  </w:pPr>
                  <w:r>
                    <w:rPr>
                      <w:rFonts w:hint="eastAsia" w:ascii="Times New Roman" w:hAnsi="Times New Roman" w:eastAsia="宋体" w:cs="Times New Roman"/>
                      <w:snapToGrid/>
                      <w:kern w:val="2"/>
                      <w:sz w:val="21"/>
                      <w:szCs w:val="21"/>
                      <w:highlight w:val="none"/>
                      <w:lang w:val="en-US" w:eastAsia="zh-CN"/>
                    </w:rPr>
                    <w:t>0.1572</w:t>
                  </w:r>
                </w:p>
              </w:tc>
            </w:tr>
            <w:tr w14:paraId="70B7FE97">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69" w:hRule="atLeast"/>
              </w:trPr>
              <w:tc>
                <w:tcPr>
                  <w:tcW w:w="403" w:type="pct"/>
                  <w:vAlign w:val="top"/>
                </w:tcPr>
                <w:p w14:paraId="709359E1">
                  <w:pPr>
                    <w:widowControl/>
                    <w:kinsoku/>
                    <w:autoSpaceDE/>
                    <w:autoSpaceDN/>
                    <w:adjustRightInd w:val="0"/>
                    <w:snapToGrid w:val="0"/>
                    <w:spacing w:line="276" w:lineRule="auto"/>
                    <w:jc w:val="center"/>
                    <w:textAlignment w:val="auto"/>
                    <w:rPr>
                      <w:rFonts w:hint="eastAsia" w:ascii="Times New Roman" w:hAnsi="Times New Roman" w:eastAsia="宋体" w:cs="Times New Roman"/>
                      <w:snapToGrid/>
                      <w:kern w:val="2"/>
                      <w:sz w:val="21"/>
                      <w:szCs w:val="21"/>
                      <w:highlight w:val="none"/>
                      <w:lang w:eastAsia="zh-CN"/>
                    </w:rPr>
                  </w:pPr>
                  <w:r>
                    <w:rPr>
                      <w:rFonts w:hint="eastAsia" w:ascii="Times New Roman" w:hAnsi="Times New Roman" w:eastAsia="宋体" w:cs="Times New Roman"/>
                      <w:snapToGrid/>
                      <w:kern w:val="2"/>
                      <w:sz w:val="21"/>
                      <w:szCs w:val="21"/>
                      <w:highlight w:val="none"/>
                      <w:lang w:eastAsia="zh-CN"/>
                    </w:rPr>
                    <w:t>8</w:t>
                  </w:r>
                </w:p>
              </w:tc>
              <w:tc>
                <w:tcPr>
                  <w:tcW w:w="1250" w:type="pct"/>
                  <w:vAlign w:val="top"/>
                </w:tcPr>
                <w:p w14:paraId="313E0581">
                  <w:pPr>
                    <w:widowControl/>
                    <w:kinsoku/>
                    <w:autoSpaceDE/>
                    <w:autoSpaceDN/>
                    <w:adjustRightInd w:val="0"/>
                    <w:snapToGrid w:val="0"/>
                    <w:spacing w:line="276" w:lineRule="auto"/>
                    <w:jc w:val="center"/>
                    <w:textAlignment w:val="auto"/>
                    <w:rPr>
                      <w:rFonts w:hint="eastAsia" w:ascii="Times New Roman" w:hAnsi="Times New Roman" w:eastAsia="宋体" w:cs="Times New Roman"/>
                      <w:snapToGrid/>
                      <w:kern w:val="2"/>
                      <w:sz w:val="21"/>
                      <w:szCs w:val="21"/>
                      <w:highlight w:val="none"/>
                      <w:lang w:eastAsia="zh-CN"/>
                    </w:rPr>
                  </w:pPr>
                  <w:r>
                    <w:rPr>
                      <w:rFonts w:hint="eastAsia" w:ascii="Times New Roman" w:hAnsi="Times New Roman" w:eastAsia="宋体" w:cs="Times New Roman"/>
                      <w:snapToGrid/>
                      <w:kern w:val="2"/>
                      <w:sz w:val="21"/>
                      <w:szCs w:val="21"/>
                      <w:highlight w:val="none"/>
                      <w:lang w:eastAsia="zh-CN"/>
                    </w:rPr>
                    <w:t>二异丙基乙胺</w:t>
                  </w:r>
                </w:p>
              </w:tc>
              <w:tc>
                <w:tcPr>
                  <w:tcW w:w="871" w:type="pct"/>
                  <w:vAlign w:val="top"/>
                </w:tcPr>
                <w:p w14:paraId="65BF3D5F">
                  <w:pPr>
                    <w:widowControl/>
                    <w:kinsoku/>
                    <w:autoSpaceDE/>
                    <w:autoSpaceDN/>
                    <w:adjustRightInd w:val="0"/>
                    <w:snapToGrid w:val="0"/>
                    <w:spacing w:line="276" w:lineRule="auto"/>
                    <w:jc w:val="center"/>
                    <w:textAlignment w:val="auto"/>
                    <w:rPr>
                      <w:rFonts w:hint="default" w:ascii="Times New Roman" w:hAnsi="Times New Roman" w:eastAsia="宋体" w:cs="Times New Roman"/>
                      <w:snapToGrid/>
                      <w:kern w:val="2"/>
                      <w:sz w:val="21"/>
                      <w:szCs w:val="21"/>
                      <w:highlight w:val="none"/>
                      <w:lang w:val="en-US" w:eastAsia="zh-CN"/>
                    </w:rPr>
                  </w:pPr>
                  <w:r>
                    <w:rPr>
                      <w:rFonts w:hint="eastAsia" w:cs="Times New Roman"/>
                      <w:snapToGrid/>
                      <w:kern w:val="2"/>
                      <w:sz w:val="21"/>
                      <w:szCs w:val="21"/>
                      <w:highlight w:val="none"/>
                      <w:lang w:val="en-US" w:eastAsia="zh-CN"/>
                    </w:rPr>
                    <w:t>0.</w:t>
                  </w:r>
                  <w:r>
                    <w:rPr>
                      <w:rFonts w:hint="eastAsia" w:ascii="Times New Roman" w:hAnsi="Times New Roman" w:eastAsia="宋体" w:cs="Times New Roman"/>
                      <w:snapToGrid/>
                      <w:kern w:val="2"/>
                      <w:sz w:val="21"/>
                      <w:szCs w:val="21"/>
                      <w:highlight w:val="none"/>
                      <w:lang w:eastAsia="zh-CN"/>
                    </w:rPr>
                    <w:t>183</w:t>
                  </w:r>
                </w:p>
              </w:tc>
              <w:tc>
                <w:tcPr>
                  <w:tcW w:w="697" w:type="pct"/>
                  <w:vAlign w:val="top"/>
                </w:tcPr>
                <w:p w14:paraId="2F5FC6C8">
                  <w:pPr>
                    <w:widowControl/>
                    <w:kinsoku/>
                    <w:autoSpaceDE/>
                    <w:autoSpaceDN/>
                    <w:adjustRightInd w:val="0"/>
                    <w:snapToGrid w:val="0"/>
                    <w:spacing w:line="276" w:lineRule="auto"/>
                    <w:jc w:val="center"/>
                    <w:textAlignment w:val="auto"/>
                    <w:rPr>
                      <w:rFonts w:hint="eastAsia" w:ascii="Times New Roman" w:hAnsi="Times New Roman" w:eastAsia="宋体" w:cs="Times New Roman"/>
                      <w:snapToGrid/>
                      <w:kern w:val="2"/>
                      <w:sz w:val="21"/>
                      <w:szCs w:val="21"/>
                      <w:highlight w:val="none"/>
                      <w:lang w:eastAsia="zh-CN"/>
                    </w:rPr>
                  </w:pPr>
                  <w:r>
                    <w:rPr>
                      <w:rFonts w:hint="eastAsia" w:ascii="Times New Roman" w:hAnsi="Times New Roman" w:eastAsia="宋体" w:cs="Times New Roman"/>
                      <w:snapToGrid/>
                      <w:kern w:val="2"/>
                      <w:sz w:val="21"/>
                      <w:szCs w:val="21"/>
                      <w:highlight w:val="none"/>
                      <w:lang w:eastAsia="zh-CN"/>
                    </w:rPr>
                    <w:t>0.742</w:t>
                  </w:r>
                </w:p>
              </w:tc>
              <w:tc>
                <w:tcPr>
                  <w:tcW w:w="894" w:type="pct"/>
                  <w:vAlign w:val="center"/>
                </w:tcPr>
                <w:p w14:paraId="0121B817">
                  <w:pPr>
                    <w:widowControl/>
                    <w:kinsoku/>
                    <w:autoSpaceDE/>
                    <w:autoSpaceDN/>
                    <w:adjustRightInd w:val="0"/>
                    <w:snapToGrid w:val="0"/>
                    <w:spacing w:line="276" w:lineRule="auto"/>
                    <w:jc w:val="center"/>
                    <w:textAlignment w:val="auto"/>
                    <w:rPr>
                      <w:rFonts w:hint="eastAsia" w:ascii="Times New Roman" w:hAnsi="Times New Roman" w:eastAsia="宋体" w:cs="Times New Roman"/>
                      <w:snapToGrid/>
                      <w:kern w:val="2"/>
                      <w:sz w:val="21"/>
                      <w:szCs w:val="21"/>
                      <w:highlight w:val="none"/>
                      <w:lang w:eastAsia="zh-CN"/>
                    </w:rPr>
                  </w:pPr>
                  <w:r>
                    <w:rPr>
                      <w:rFonts w:hint="eastAsia" w:ascii="Times New Roman" w:hAnsi="Times New Roman" w:eastAsia="宋体" w:cs="Times New Roman"/>
                      <w:snapToGrid/>
                      <w:kern w:val="2"/>
                      <w:sz w:val="21"/>
                      <w:szCs w:val="21"/>
                      <w:highlight w:val="none"/>
                      <w:lang w:val="en-US" w:eastAsia="zh-CN"/>
                    </w:rPr>
                    <w:t>0.136</w:t>
                  </w:r>
                </w:p>
              </w:tc>
              <w:tc>
                <w:tcPr>
                  <w:tcW w:w="1445" w:type="dxa"/>
                  <w:vAlign w:val="center"/>
                </w:tcPr>
                <w:p w14:paraId="1A76EF2C">
                  <w:pPr>
                    <w:widowControl/>
                    <w:kinsoku/>
                    <w:autoSpaceDE/>
                    <w:autoSpaceDN/>
                    <w:adjustRightInd w:val="0"/>
                    <w:snapToGrid w:val="0"/>
                    <w:spacing w:line="276" w:lineRule="auto"/>
                    <w:jc w:val="center"/>
                    <w:textAlignment w:val="auto"/>
                    <w:rPr>
                      <w:rFonts w:hint="eastAsia" w:ascii="Times New Roman" w:hAnsi="Times New Roman" w:eastAsia="宋体" w:cs="Times New Roman"/>
                      <w:snapToGrid/>
                      <w:kern w:val="2"/>
                      <w:sz w:val="21"/>
                      <w:szCs w:val="21"/>
                      <w:highlight w:val="none"/>
                      <w:lang w:eastAsia="zh-CN"/>
                    </w:rPr>
                  </w:pPr>
                  <w:r>
                    <w:rPr>
                      <w:rFonts w:hint="eastAsia" w:ascii="Times New Roman" w:hAnsi="Times New Roman" w:eastAsia="宋体" w:cs="Times New Roman"/>
                      <w:snapToGrid/>
                      <w:kern w:val="2"/>
                      <w:sz w:val="21"/>
                      <w:szCs w:val="21"/>
                      <w:highlight w:val="none"/>
                      <w:lang w:val="en-US" w:eastAsia="zh-CN"/>
                    </w:rPr>
                    <w:t>0.0272</w:t>
                  </w:r>
                </w:p>
              </w:tc>
            </w:tr>
            <w:tr w14:paraId="4025021C">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69" w:hRule="atLeast"/>
              </w:trPr>
              <w:tc>
                <w:tcPr>
                  <w:tcW w:w="403" w:type="pct"/>
                  <w:vAlign w:val="top"/>
                </w:tcPr>
                <w:p w14:paraId="74DAE325">
                  <w:pPr>
                    <w:widowControl/>
                    <w:kinsoku/>
                    <w:autoSpaceDE/>
                    <w:autoSpaceDN/>
                    <w:adjustRightInd w:val="0"/>
                    <w:snapToGrid w:val="0"/>
                    <w:spacing w:line="276" w:lineRule="auto"/>
                    <w:jc w:val="center"/>
                    <w:textAlignment w:val="auto"/>
                    <w:rPr>
                      <w:rFonts w:hint="eastAsia" w:ascii="Times New Roman" w:hAnsi="Times New Roman" w:eastAsia="宋体" w:cs="Times New Roman"/>
                      <w:snapToGrid/>
                      <w:kern w:val="2"/>
                      <w:sz w:val="21"/>
                      <w:szCs w:val="21"/>
                      <w:highlight w:val="none"/>
                      <w:lang w:eastAsia="zh-CN"/>
                    </w:rPr>
                  </w:pPr>
                  <w:r>
                    <w:rPr>
                      <w:rFonts w:hint="eastAsia" w:ascii="Times New Roman" w:hAnsi="Times New Roman" w:eastAsia="宋体" w:cs="Times New Roman"/>
                      <w:snapToGrid/>
                      <w:kern w:val="2"/>
                      <w:sz w:val="21"/>
                      <w:szCs w:val="21"/>
                      <w:highlight w:val="none"/>
                      <w:lang w:eastAsia="zh-CN"/>
                    </w:rPr>
                    <w:t>9</w:t>
                  </w:r>
                </w:p>
              </w:tc>
              <w:tc>
                <w:tcPr>
                  <w:tcW w:w="1250" w:type="pct"/>
                  <w:vAlign w:val="top"/>
                </w:tcPr>
                <w:p w14:paraId="206A1AD3">
                  <w:pPr>
                    <w:widowControl/>
                    <w:kinsoku/>
                    <w:autoSpaceDE/>
                    <w:autoSpaceDN/>
                    <w:adjustRightInd w:val="0"/>
                    <w:snapToGrid w:val="0"/>
                    <w:spacing w:line="276" w:lineRule="auto"/>
                    <w:jc w:val="center"/>
                    <w:textAlignment w:val="auto"/>
                    <w:rPr>
                      <w:rFonts w:hint="eastAsia" w:ascii="Times New Roman" w:hAnsi="Times New Roman" w:eastAsia="宋体" w:cs="Times New Roman"/>
                      <w:snapToGrid/>
                      <w:kern w:val="2"/>
                      <w:sz w:val="21"/>
                      <w:szCs w:val="21"/>
                      <w:highlight w:val="none"/>
                      <w:lang w:eastAsia="zh-CN"/>
                    </w:rPr>
                  </w:pPr>
                  <w:r>
                    <w:rPr>
                      <w:rFonts w:hint="eastAsia" w:ascii="Times New Roman" w:hAnsi="Times New Roman" w:eastAsia="宋体" w:cs="Times New Roman"/>
                      <w:snapToGrid/>
                      <w:kern w:val="2"/>
                      <w:sz w:val="21"/>
                      <w:szCs w:val="21"/>
                      <w:highlight w:val="none"/>
                      <w:lang w:eastAsia="zh-CN"/>
                    </w:rPr>
                    <w:t>乙酸</w:t>
                  </w:r>
                </w:p>
              </w:tc>
              <w:tc>
                <w:tcPr>
                  <w:tcW w:w="871" w:type="pct"/>
                  <w:vAlign w:val="top"/>
                </w:tcPr>
                <w:p w14:paraId="2B65CEA5">
                  <w:pPr>
                    <w:widowControl/>
                    <w:kinsoku/>
                    <w:autoSpaceDE/>
                    <w:autoSpaceDN/>
                    <w:adjustRightInd w:val="0"/>
                    <w:snapToGrid w:val="0"/>
                    <w:spacing w:line="276" w:lineRule="auto"/>
                    <w:jc w:val="center"/>
                    <w:textAlignment w:val="auto"/>
                    <w:rPr>
                      <w:rFonts w:hint="default" w:ascii="Times New Roman" w:hAnsi="Times New Roman" w:eastAsia="宋体" w:cs="Times New Roman"/>
                      <w:snapToGrid/>
                      <w:kern w:val="2"/>
                      <w:sz w:val="21"/>
                      <w:szCs w:val="21"/>
                      <w:highlight w:val="none"/>
                      <w:lang w:val="en-US" w:eastAsia="zh-CN"/>
                    </w:rPr>
                  </w:pPr>
                  <w:r>
                    <w:rPr>
                      <w:rFonts w:hint="eastAsia" w:ascii="Times New Roman" w:hAnsi="Times New Roman" w:eastAsia="宋体" w:cs="Times New Roman"/>
                      <w:snapToGrid/>
                      <w:kern w:val="2"/>
                      <w:sz w:val="21"/>
                      <w:szCs w:val="21"/>
                      <w:highlight w:val="none"/>
                      <w:lang w:eastAsia="zh-CN"/>
                    </w:rPr>
                    <w:t>2</w:t>
                  </w:r>
                </w:p>
              </w:tc>
              <w:tc>
                <w:tcPr>
                  <w:tcW w:w="697" w:type="pct"/>
                  <w:vAlign w:val="top"/>
                </w:tcPr>
                <w:p w14:paraId="0F6F7D37">
                  <w:pPr>
                    <w:widowControl/>
                    <w:kinsoku/>
                    <w:autoSpaceDE/>
                    <w:autoSpaceDN/>
                    <w:adjustRightInd w:val="0"/>
                    <w:snapToGrid w:val="0"/>
                    <w:spacing w:line="276" w:lineRule="auto"/>
                    <w:jc w:val="center"/>
                    <w:textAlignment w:val="auto"/>
                    <w:rPr>
                      <w:rFonts w:hint="eastAsia" w:ascii="Times New Roman" w:hAnsi="Times New Roman" w:eastAsia="宋体" w:cs="Times New Roman"/>
                      <w:snapToGrid/>
                      <w:kern w:val="2"/>
                      <w:sz w:val="21"/>
                      <w:szCs w:val="21"/>
                      <w:highlight w:val="none"/>
                      <w:lang w:eastAsia="zh-CN"/>
                    </w:rPr>
                  </w:pPr>
                  <w:r>
                    <w:rPr>
                      <w:rFonts w:hint="eastAsia" w:ascii="Times New Roman" w:hAnsi="Times New Roman" w:eastAsia="宋体" w:cs="Times New Roman"/>
                      <w:snapToGrid/>
                      <w:kern w:val="2"/>
                      <w:sz w:val="21"/>
                      <w:szCs w:val="21"/>
                      <w:highlight w:val="none"/>
                      <w:lang w:eastAsia="zh-CN"/>
                    </w:rPr>
                    <w:t>1.05</w:t>
                  </w:r>
                </w:p>
              </w:tc>
              <w:tc>
                <w:tcPr>
                  <w:tcW w:w="894" w:type="pct"/>
                  <w:vAlign w:val="center"/>
                </w:tcPr>
                <w:p w14:paraId="0ED32421">
                  <w:pPr>
                    <w:widowControl/>
                    <w:kinsoku/>
                    <w:autoSpaceDE/>
                    <w:autoSpaceDN/>
                    <w:adjustRightInd w:val="0"/>
                    <w:snapToGrid w:val="0"/>
                    <w:spacing w:line="276" w:lineRule="auto"/>
                    <w:jc w:val="center"/>
                    <w:textAlignment w:val="auto"/>
                    <w:rPr>
                      <w:rFonts w:hint="eastAsia" w:ascii="Times New Roman" w:hAnsi="Times New Roman" w:eastAsia="宋体" w:cs="Times New Roman"/>
                      <w:snapToGrid/>
                      <w:kern w:val="2"/>
                      <w:sz w:val="21"/>
                      <w:szCs w:val="21"/>
                      <w:highlight w:val="none"/>
                      <w:lang w:eastAsia="zh-CN"/>
                    </w:rPr>
                  </w:pPr>
                  <w:r>
                    <w:rPr>
                      <w:rFonts w:hint="eastAsia" w:ascii="Times New Roman" w:hAnsi="Times New Roman" w:eastAsia="宋体" w:cs="Times New Roman"/>
                      <w:snapToGrid/>
                      <w:kern w:val="2"/>
                      <w:sz w:val="21"/>
                      <w:szCs w:val="21"/>
                      <w:highlight w:val="none"/>
                      <w:lang w:val="en-US" w:eastAsia="zh-CN"/>
                    </w:rPr>
                    <w:t>2.1</w:t>
                  </w:r>
                </w:p>
              </w:tc>
              <w:tc>
                <w:tcPr>
                  <w:tcW w:w="1445" w:type="dxa"/>
                  <w:vAlign w:val="center"/>
                </w:tcPr>
                <w:p w14:paraId="47DAD05D">
                  <w:pPr>
                    <w:widowControl/>
                    <w:kinsoku/>
                    <w:autoSpaceDE/>
                    <w:autoSpaceDN/>
                    <w:adjustRightInd w:val="0"/>
                    <w:snapToGrid w:val="0"/>
                    <w:spacing w:line="276" w:lineRule="auto"/>
                    <w:jc w:val="center"/>
                    <w:textAlignment w:val="auto"/>
                    <w:rPr>
                      <w:rFonts w:hint="eastAsia" w:ascii="Times New Roman" w:hAnsi="Times New Roman" w:eastAsia="宋体" w:cs="Times New Roman"/>
                      <w:snapToGrid/>
                      <w:kern w:val="2"/>
                      <w:sz w:val="21"/>
                      <w:szCs w:val="21"/>
                      <w:highlight w:val="none"/>
                      <w:lang w:eastAsia="zh-CN"/>
                    </w:rPr>
                  </w:pPr>
                  <w:r>
                    <w:rPr>
                      <w:rFonts w:hint="eastAsia" w:ascii="Times New Roman" w:hAnsi="Times New Roman" w:eastAsia="宋体" w:cs="Times New Roman"/>
                      <w:snapToGrid/>
                      <w:kern w:val="2"/>
                      <w:sz w:val="21"/>
                      <w:szCs w:val="21"/>
                      <w:highlight w:val="none"/>
                      <w:lang w:val="en-US" w:eastAsia="zh-CN"/>
                    </w:rPr>
                    <w:t>0.42</w:t>
                  </w:r>
                </w:p>
              </w:tc>
            </w:tr>
            <w:tr w14:paraId="1325432F">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70" w:hRule="atLeast"/>
              </w:trPr>
              <w:tc>
                <w:tcPr>
                  <w:tcW w:w="403" w:type="pct"/>
                  <w:vAlign w:val="top"/>
                </w:tcPr>
                <w:p w14:paraId="7342B683">
                  <w:pPr>
                    <w:widowControl/>
                    <w:kinsoku/>
                    <w:autoSpaceDE/>
                    <w:autoSpaceDN/>
                    <w:adjustRightInd w:val="0"/>
                    <w:snapToGrid w:val="0"/>
                    <w:spacing w:line="276" w:lineRule="auto"/>
                    <w:jc w:val="center"/>
                    <w:textAlignment w:val="auto"/>
                    <w:rPr>
                      <w:rFonts w:hint="eastAsia" w:ascii="Times New Roman" w:hAnsi="Times New Roman" w:eastAsia="宋体" w:cs="Times New Roman"/>
                      <w:snapToGrid/>
                      <w:kern w:val="2"/>
                      <w:sz w:val="21"/>
                      <w:szCs w:val="21"/>
                      <w:highlight w:val="none"/>
                      <w:lang w:eastAsia="zh-CN"/>
                    </w:rPr>
                  </w:pPr>
                  <w:r>
                    <w:rPr>
                      <w:rFonts w:hint="eastAsia" w:ascii="Times New Roman" w:hAnsi="Times New Roman" w:eastAsia="宋体" w:cs="Times New Roman"/>
                      <w:snapToGrid/>
                      <w:kern w:val="2"/>
                      <w:sz w:val="21"/>
                      <w:szCs w:val="21"/>
                      <w:highlight w:val="none"/>
                      <w:lang w:eastAsia="zh-CN"/>
                    </w:rPr>
                    <w:t>10</w:t>
                  </w:r>
                </w:p>
              </w:tc>
              <w:tc>
                <w:tcPr>
                  <w:tcW w:w="1250" w:type="pct"/>
                  <w:vAlign w:val="top"/>
                </w:tcPr>
                <w:p w14:paraId="657E3458">
                  <w:pPr>
                    <w:widowControl/>
                    <w:kinsoku/>
                    <w:autoSpaceDE/>
                    <w:autoSpaceDN/>
                    <w:adjustRightInd w:val="0"/>
                    <w:snapToGrid w:val="0"/>
                    <w:spacing w:line="276" w:lineRule="auto"/>
                    <w:jc w:val="center"/>
                    <w:textAlignment w:val="auto"/>
                    <w:rPr>
                      <w:rFonts w:hint="eastAsia" w:ascii="Times New Roman" w:hAnsi="Times New Roman" w:eastAsia="宋体" w:cs="Times New Roman"/>
                      <w:snapToGrid/>
                      <w:kern w:val="2"/>
                      <w:sz w:val="21"/>
                      <w:szCs w:val="21"/>
                      <w:highlight w:val="none"/>
                      <w:lang w:eastAsia="zh-CN"/>
                    </w:rPr>
                  </w:pPr>
                  <w:r>
                    <w:rPr>
                      <w:rFonts w:hint="eastAsia" w:ascii="Times New Roman" w:hAnsi="Times New Roman" w:eastAsia="宋体" w:cs="Times New Roman"/>
                      <w:snapToGrid/>
                      <w:kern w:val="2"/>
                      <w:sz w:val="21"/>
                      <w:szCs w:val="21"/>
                      <w:highlight w:val="none"/>
                      <w:lang w:eastAsia="zh-CN"/>
                    </w:rPr>
                    <w:t>无水乙醇</w:t>
                  </w:r>
                </w:p>
              </w:tc>
              <w:tc>
                <w:tcPr>
                  <w:tcW w:w="871" w:type="pct"/>
                  <w:vAlign w:val="top"/>
                </w:tcPr>
                <w:p w14:paraId="199D4503">
                  <w:pPr>
                    <w:widowControl/>
                    <w:kinsoku/>
                    <w:autoSpaceDE/>
                    <w:autoSpaceDN/>
                    <w:adjustRightInd w:val="0"/>
                    <w:snapToGrid w:val="0"/>
                    <w:spacing w:line="276" w:lineRule="auto"/>
                    <w:jc w:val="center"/>
                    <w:textAlignment w:val="auto"/>
                    <w:rPr>
                      <w:rFonts w:hint="default" w:ascii="Times New Roman" w:hAnsi="Times New Roman" w:eastAsia="宋体" w:cs="Times New Roman"/>
                      <w:snapToGrid/>
                      <w:kern w:val="2"/>
                      <w:sz w:val="21"/>
                      <w:szCs w:val="21"/>
                      <w:highlight w:val="none"/>
                      <w:lang w:val="en-US" w:eastAsia="zh-CN"/>
                    </w:rPr>
                  </w:pPr>
                  <w:r>
                    <w:rPr>
                      <w:rFonts w:hint="eastAsia" w:ascii="Times New Roman" w:hAnsi="Times New Roman" w:eastAsia="宋体" w:cs="Times New Roman"/>
                      <w:snapToGrid/>
                      <w:kern w:val="2"/>
                      <w:sz w:val="21"/>
                      <w:szCs w:val="21"/>
                      <w:highlight w:val="none"/>
                      <w:lang w:eastAsia="zh-CN"/>
                    </w:rPr>
                    <w:t>4000</w:t>
                  </w:r>
                </w:p>
              </w:tc>
              <w:tc>
                <w:tcPr>
                  <w:tcW w:w="697" w:type="pct"/>
                  <w:vAlign w:val="top"/>
                </w:tcPr>
                <w:p w14:paraId="115D52DB">
                  <w:pPr>
                    <w:widowControl/>
                    <w:kinsoku/>
                    <w:autoSpaceDE/>
                    <w:autoSpaceDN/>
                    <w:adjustRightInd w:val="0"/>
                    <w:snapToGrid w:val="0"/>
                    <w:spacing w:line="276" w:lineRule="auto"/>
                    <w:jc w:val="center"/>
                    <w:textAlignment w:val="auto"/>
                    <w:rPr>
                      <w:rFonts w:hint="eastAsia" w:ascii="Times New Roman" w:hAnsi="Times New Roman" w:eastAsia="宋体" w:cs="Times New Roman"/>
                      <w:snapToGrid/>
                      <w:kern w:val="2"/>
                      <w:sz w:val="21"/>
                      <w:szCs w:val="21"/>
                      <w:highlight w:val="none"/>
                      <w:lang w:eastAsia="zh-CN"/>
                    </w:rPr>
                  </w:pPr>
                  <w:r>
                    <w:rPr>
                      <w:rFonts w:hint="eastAsia" w:ascii="Times New Roman" w:hAnsi="Times New Roman" w:eastAsia="宋体" w:cs="Times New Roman"/>
                      <w:snapToGrid/>
                      <w:kern w:val="2"/>
                      <w:sz w:val="21"/>
                      <w:szCs w:val="21"/>
                      <w:highlight w:val="none"/>
                      <w:lang w:eastAsia="zh-CN"/>
                    </w:rPr>
                    <w:t>0.79</w:t>
                  </w:r>
                </w:p>
              </w:tc>
              <w:tc>
                <w:tcPr>
                  <w:tcW w:w="894" w:type="pct"/>
                  <w:vAlign w:val="center"/>
                </w:tcPr>
                <w:p w14:paraId="2CEF0F94">
                  <w:pPr>
                    <w:widowControl/>
                    <w:kinsoku/>
                    <w:autoSpaceDE/>
                    <w:autoSpaceDN/>
                    <w:adjustRightInd w:val="0"/>
                    <w:snapToGrid w:val="0"/>
                    <w:spacing w:line="276" w:lineRule="auto"/>
                    <w:jc w:val="center"/>
                    <w:textAlignment w:val="auto"/>
                    <w:rPr>
                      <w:rFonts w:hint="eastAsia" w:ascii="Times New Roman" w:hAnsi="Times New Roman" w:eastAsia="宋体" w:cs="Times New Roman"/>
                      <w:snapToGrid/>
                      <w:kern w:val="2"/>
                      <w:sz w:val="21"/>
                      <w:szCs w:val="21"/>
                      <w:highlight w:val="none"/>
                      <w:lang w:eastAsia="zh-CN"/>
                    </w:rPr>
                  </w:pPr>
                  <w:r>
                    <w:rPr>
                      <w:rFonts w:hint="eastAsia" w:ascii="Times New Roman" w:hAnsi="Times New Roman" w:eastAsia="宋体" w:cs="Times New Roman"/>
                      <w:snapToGrid/>
                      <w:kern w:val="2"/>
                      <w:sz w:val="21"/>
                      <w:szCs w:val="21"/>
                      <w:highlight w:val="none"/>
                      <w:lang w:val="en-US" w:eastAsia="zh-CN"/>
                    </w:rPr>
                    <w:t>3160</w:t>
                  </w:r>
                </w:p>
              </w:tc>
              <w:tc>
                <w:tcPr>
                  <w:tcW w:w="1445" w:type="dxa"/>
                  <w:vAlign w:val="center"/>
                </w:tcPr>
                <w:p w14:paraId="1F218570">
                  <w:pPr>
                    <w:widowControl/>
                    <w:kinsoku/>
                    <w:autoSpaceDE/>
                    <w:autoSpaceDN/>
                    <w:adjustRightInd w:val="0"/>
                    <w:snapToGrid w:val="0"/>
                    <w:spacing w:line="276" w:lineRule="auto"/>
                    <w:jc w:val="center"/>
                    <w:textAlignment w:val="auto"/>
                    <w:rPr>
                      <w:rFonts w:hint="eastAsia" w:ascii="Times New Roman" w:hAnsi="Times New Roman" w:eastAsia="宋体" w:cs="Times New Roman"/>
                      <w:snapToGrid/>
                      <w:kern w:val="2"/>
                      <w:sz w:val="21"/>
                      <w:szCs w:val="21"/>
                      <w:highlight w:val="none"/>
                      <w:lang w:eastAsia="zh-CN"/>
                    </w:rPr>
                  </w:pPr>
                  <w:r>
                    <w:rPr>
                      <w:rFonts w:hint="eastAsia" w:ascii="Times New Roman" w:hAnsi="Times New Roman" w:eastAsia="宋体" w:cs="Times New Roman"/>
                      <w:snapToGrid/>
                      <w:kern w:val="2"/>
                      <w:sz w:val="21"/>
                      <w:szCs w:val="21"/>
                      <w:highlight w:val="none"/>
                      <w:lang w:val="en-US" w:eastAsia="zh-CN"/>
                    </w:rPr>
                    <w:t>632</w:t>
                  </w:r>
                </w:p>
              </w:tc>
            </w:tr>
            <w:tr w14:paraId="15F4199A">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64" w:hRule="atLeast"/>
              </w:trPr>
              <w:tc>
                <w:tcPr>
                  <w:tcW w:w="403" w:type="pct"/>
                  <w:vAlign w:val="top"/>
                </w:tcPr>
                <w:p w14:paraId="6B219572">
                  <w:pPr>
                    <w:widowControl/>
                    <w:kinsoku/>
                    <w:autoSpaceDE/>
                    <w:autoSpaceDN/>
                    <w:adjustRightInd w:val="0"/>
                    <w:snapToGrid w:val="0"/>
                    <w:spacing w:line="276" w:lineRule="auto"/>
                    <w:jc w:val="center"/>
                    <w:textAlignment w:val="auto"/>
                    <w:rPr>
                      <w:rFonts w:hint="eastAsia" w:ascii="Times New Roman" w:hAnsi="Times New Roman" w:eastAsia="宋体" w:cs="Times New Roman"/>
                      <w:snapToGrid/>
                      <w:kern w:val="2"/>
                      <w:sz w:val="21"/>
                      <w:szCs w:val="21"/>
                      <w:highlight w:val="none"/>
                      <w:lang w:eastAsia="zh-CN"/>
                    </w:rPr>
                  </w:pPr>
                  <w:r>
                    <w:rPr>
                      <w:rFonts w:hint="eastAsia" w:ascii="Times New Roman" w:hAnsi="Times New Roman" w:eastAsia="宋体" w:cs="Times New Roman"/>
                      <w:snapToGrid/>
                      <w:kern w:val="2"/>
                      <w:sz w:val="21"/>
                      <w:szCs w:val="21"/>
                      <w:highlight w:val="none"/>
                      <w:lang w:eastAsia="zh-CN"/>
                    </w:rPr>
                    <w:t>11</w:t>
                  </w:r>
                </w:p>
              </w:tc>
              <w:tc>
                <w:tcPr>
                  <w:tcW w:w="1250" w:type="pct"/>
                  <w:vAlign w:val="top"/>
                </w:tcPr>
                <w:p w14:paraId="7EE78D45">
                  <w:pPr>
                    <w:widowControl/>
                    <w:kinsoku/>
                    <w:autoSpaceDE/>
                    <w:autoSpaceDN/>
                    <w:adjustRightInd w:val="0"/>
                    <w:snapToGrid w:val="0"/>
                    <w:spacing w:line="276" w:lineRule="auto"/>
                    <w:jc w:val="center"/>
                    <w:textAlignment w:val="auto"/>
                    <w:rPr>
                      <w:rFonts w:hint="eastAsia" w:ascii="Times New Roman" w:hAnsi="Times New Roman" w:eastAsia="宋体" w:cs="Times New Roman"/>
                      <w:snapToGrid/>
                      <w:kern w:val="2"/>
                      <w:sz w:val="21"/>
                      <w:szCs w:val="21"/>
                      <w:highlight w:val="none"/>
                      <w:lang w:eastAsia="zh-CN"/>
                    </w:rPr>
                  </w:pPr>
                  <w:r>
                    <w:rPr>
                      <w:rFonts w:hint="eastAsia" w:ascii="Times New Roman" w:hAnsi="Times New Roman" w:eastAsia="宋体" w:cs="Times New Roman"/>
                      <w:snapToGrid/>
                      <w:kern w:val="2"/>
                      <w:sz w:val="21"/>
                      <w:szCs w:val="21"/>
                      <w:highlight w:val="none"/>
                      <w:lang w:eastAsia="zh-CN"/>
                    </w:rPr>
                    <w:t>总计</w:t>
                  </w:r>
                </w:p>
              </w:tc>
              <w:tc>
                <w:tcPr>
                  <w:tcW w:w="871" w:type="pct"/>
                  <w:vAlign w:val="top"/>
                </w:tcPr>
                <w:p w14:paraId="43EF2642">
                  <w:pPr>
                    <w:widowControl/>
                    <w:kinsoku/>
                    <w:autoSpaceDE/>
                    <w:autoSpaceDN/>
                    <w:adjustRightInd w:val="0"/>
                    <w:snapToGrid w:val="0"/>
                    <w:spacing w:line="276" w:lineRule="auto"/>
                    <w:jc w:val="center"/>
                    <w:textAlignment w:val="auto"/>
                    <w:rPr>
                      <w:rFonts w:hint="eastAsia" w:ascii="Times New Roman" w:hAnsi="Times New Roman" w:eastAsia="宋体" w:cs="Times New Roman"/>
                      <w:snapToGrid/>
                      <w:kern w:val="2"/>
                      <w:sz w:val="21"/>
                      <w:szCs w:val="21"/>
                      <w:highlight w:val="none"/>
                      <w:lang w:eastAsia="zh-CN"/>
                    </w:rPr>
                  </w:pPr>
                  <w:r>
                    <w:rPr>
                      <w:rFonts w:hint="eastAsia" w:ascii="Times New Roman" w:hAnsi="Times New Roman" w:eastAsia="宋体" w:cs="Times New Roman"/>
                      <w:snapToGrid/>
                      <w:kern w:val="2"/>
                      <w:sz w:val="21"/>
                      <w:szCs w:val="21"/>
                      <w:highlight w:val="none"/>
                      <w:lang w:eastAsia="zh-CN"/>
                    </w:rPr>
                    <w:t>7013</w:t>
                  </w:r>
                  <w:r>
                    <w:rPr>
                      <w:rFonts w:hint="eastAsia" w:cs="Times New Roman"/>
                      <w:snapToGrid/>
                      <w:kern w:val="2"/>
                      <w:sz w:val="21"/>
                      <w:szCs w:val="21"/>
                      <w:highlight w:val="none"/>
                      <w:lang w:eastAsia="zh-CN"/>
                    </w:rPr>
                    <w:t>.</w:t>
                  </w:r>
                  <w:r>
                    <w:rPr>
                      <w:rFonts w:hint="eastAsia" w:ascii="Times New Roman" w:hAnsi="Times New Roman" w:eastAsia="宋体" w:cs="Times New Roman"/>
                      <w:snapToGrid/>
                      <w:kern w:val="2"/>
                      <w:sz w:val="21"/>
                      <w:szCs w:val="21"/>
                      <w:highlight w:val="none"/>
                      <w:lang w:eastAsia="zh-CN"/>
                    </w:rPr>
                    <w:t>183</w:t>
                  </w:r>
                </w:p>
              </w:tc>
              <w:tc>
                <w:tcPr>
                  <w:tcW w:w="697" w:type="pct"/>
                  <w:vAlign w:val="top"/>
                </w:tcPr>
                <w:p w14:paraId="0BAABD71">
                  <w:pPr>
                    <w:widowControl/>
                    <w:kinsoku/>
                    <w:autoSpaceDE/>
                    <w:autoSpaceDN/>
                    <w:adjustRightInd w:val="0"/>
                    <w:snapToGrid w:val="0"/>
                    <w:spacing w:line="276" w:lineRule="auto"/>
                    <w:jc w:val="center"/>
                    <w:textAlignment w:val="auto"/>
                    <w:rPr>
                      <w:rFonts w:hint="eastAsia" w:ascii="Times New Roman" w:hAnsi="Times New Roman" w:eastAsia="宋体" w:cs="Times New Roman"/>
                      <w:snapToGrid/>
                      <w:kern w:val="2"/>
                      <w:sz w:val="21"/>
                      <w:szCs w:val="21"/>
                      <w:highlight w:val="none"/>
                      <w:lang w:eastAsia="zh-CN"/>
                    </w:rPr>
                  </w:pPr>
                  <w:r>
                    <w:rPr>
                      <w:rFonts w:hint="eastAsia" w:ascii="Times New Roman" w:hAnsi="Times New Roman" w:eastAsia="宋体" w:cs="Times New Roman"/>
                      <w:snapToGrid/>
                      <w:kern w:val="2"/>
                      <w:sz w:val="21"/>
                      <w:szCs w:val="21"/>
                      <w:highlight w:val="none"/>
                      <w:lang w:eastAsia="zh-CN"/>
                    </w:rPr>
                    <w:t>/</w:t>
                  </w:r>
                </w:p>
              </w:tc>
              <w:tc>
                <w:tcPr>
                  <w:tcW w:w="894" w:type="pct"/>
                  <w:shd w:val="clear" w:color="auto" w:fill="auto"/>
                  <w:vAlign w:val="center"/>
                </w:tcPr>
                <w:p w14:paraId="3EE41742">
                  <w:pPr>
                    <w:widowControl/>
                    <w:kinsoku/>
                    <w:autoSpaceDE/>
                    <w:autoSpaceDN/>
                    <w:adjustRightInd w:val="0"/>
                    <w:snapToGrid w:val="0"/>
                    <w:spacing w:line="276" w:lineRule="auto"/>
                    <w:jc w:val="center"/>
                    <w:textAlignment w:val="auto"/>
                    <w:rPr>
                      <w:rFonts w:hint="eastAsia" w:ascii="Times New Roman" w:hAnsi="Times New Roman" w:eastAsia="宋体" w:cs="Times New Roman"/>
                      <w:snapToGrid/>
                      <w:kern w:val="2"/>
                      <w:sz w:val="21"/>
                      <w:szCs w:val="21"/>
                      <w:highlight w:val="none"/>
                      <w:lang w:val="en-US" w:eastAsia="zh-CN"/>
                    </w:rPr>
                  </w:pPr>
                  <w:r>
                    <w:rPr>
                      <w:rFonts w:hint="eastAsia" w:ascii="Times New Roman" w:hAnsi="Times New Roman" w:eastAsia="宋体" w:cs="Times New Roman"/>
                      <w:snapToGrid/>
                      <w:kern w:val="2"/>
                      <w:sz w:val="21"/>
                      <w:szCs w:val="21"/>
                      <w:highlight w:val="none"/>
                      <w:lang w:val="en-US" w:eastAsia="zh-CN"/>
                    </w:rPr>
                    <w:t>5573.362</w:t>
                  </w:r>
                </w:p>
              </w:tc>
              <w:tc>
                <w:tcPr>
                  <w:tcW w:w="1445" w:type="dxa"/>
                  <w:vAlign w:val="center"/>
                </w:tcPr>
                <w:p w14:paraId="7DF3F5CC">
                  <w:pPr>
                    <w:widowControl/>
                    <w:kinsoku/>
                    <w:autoSpaceDE/>
                    <w:autoSpaceDN/>
                    <w:adjustRightInd w:val="0"/>
                    <w:snapToGrid w:val="0"/>
                    <w:spacing w:line="276" w:lineRule="auto"/>
                    <w:jc w:val="center"/>
                    <w:textAlignment w:val="auto"/>
                    <w:rPr>
                      <w:rFonts w:hint="default" w:ascii="Times New Roman" w:hAnsi="Times New Roman" w:eastAsia="宋体" w:cs="Times New Roman"/>
                      <w:snapToGrid/>
                      <w:kern w:val="2"/>
                      <w:sz w:val="21"/>
                      <w:szCs w:val="21"/>
                      <w:highlight w:val="none"/>
                      <w:lang w:val="en-US" w:eastAsia="zh-CN"/>
                    </w:rPr>
                  </w:pPr>
                  <w:r>
                    <w:rPr>
                      <w:rFonts w:hint="eastAsia" w:ascii="Times New Roman" w:hAnsi="Times New Roman" w:eastAsia="宋体" w:cs="Times New Roman"/>
                      <w:snapToGrid/>
                      <w:kern w:val="2"/>
                      <w:sz w:val="21"/>
                      <w:szCs w:val="21"/>
                      <w:highlight w:val="none"/>
                      <w:lang w:val="en-US" w:eastAsia="zh-CN"/>
                    </w:rPr>
                    <w:t>1114.6724</w:t>
                  </w:r>
                </w:p>
              </w:tc>
            </w:tr>
          </w:tbl>
          <w:p w14:paraId="5AB7AA2C">
            <w:pPr>
              <w:keepNext w:val="0"/>
              <w:keepLines w:val="0"/>
              <w:suppressLineNumbers w:val="0"/>
              <w:spacing w:before="0" w:beforeAutospacing="0" w:after="0" w:afterAutospacing="0" w:line="360" w:lineRule="auto"/>
              <w:ind w:left="0" w:right="0" w:firstLine="480" w:firstLineChars="200"/>
              <w:jc w:val="both"/>
              <w:rPr>
                <w:rFonts w:hint="default"/>
                <w:sz w:val="24"/>
                <w:highlight w:val="none"/>
                <w:lang w:val="en-US" w:eastAsia="zh-CN"/>
              </w:rPr>
            </w:pPr>
            <w:r>
              <w:rPr>
                <w:rFonts w:hint="eastAsia"/>
                <w:sz w:val="24"/>
                <w:highlight w:val="none"/>
                <w:lang w:val="en-US" w:eastAsia="zh-CN"/>
              </w:rPr>
              <w:t>1）DA011（试剂储存、废液暂存废气）</w:t>
            </w:r>
          </w:p>
          <w:p w14:paraId="3605C766">
            <w:pPr>
              <w:keepNext w:val="0"/>
              <w:keepLines w:val="0"/>
              <w:suppressLineNumbers w:val="0"/>
              <w:spacing w:before="0" w:beforeAutospacing="0" w:after="0" w:afterAutospacing="0" w:line="360" w:lineRule="auto"/>
              <w:ind w:left="0" w:right="0" w:firstLine="480" w:firstLineChars="200"/>
              <w:jc w:val="both"/>
              <w:rPr>
                <w:rFonts w:hint="eastAsia"/>
                <w:sz w:val="24"/>
                <w:highlight w:val="none"/>
                <w:lang w:val="en-US" w:eastAsia="zh-CN"/>
              </w:rPr>
            </w:pPr>
            <w:r>
              <w:rPr>
                <w:rFonts w:hint="eastAsia"/>
                <w:sz w:val="24"/>
                <w:highlight w:val="none"/>
                <w:lang w:val="en-US" w:eastAsia="zh-CN"/>
              </w:rPr>
              <w:t>本项目科创综合楼各层均设置了危废暂存间以及试剂间。危废暂存间主要存放实验废液等，试剂间主要存放实验试剂，实验废液存放于废液柜，实验试剂存放于试剂柜。废液柜和试剂柜均自带抽风装置，单个废液柜和试剂柜风量均按50m</w:t>
            </w:r>
            <w:r>
              <w:rPr>
                <w:rFonts w:hint="eastAsia"/>
                <w:sz w:val="24"/>
                <w:highlight w:val="none"/>
                <w:vertAlign w:val="superscript"/>
                <w:lang w:val="en-US" w:eastAsia="zh-CN"/>
              </w:rPr>
              <w:t>3</w:t>
            </w:r>
            <w:r>
              <w:rPr>
                <w:rFonts w:hint="eastAsia"/>
                <w:sz w:val="24"/>
                <w:highlight w:val="none"/>
                <w:lang w:val="en-US" w:eastAsia="zh-CN"/>
              </w:rPr>
              <w:t>/h计，废液柜合计数量为84个，试剂柜合计数量为217个，则危废暂存间和试剂间的合计收集风量为15050m</w:t>
            </w:r>
            <w:r>
              <w:rPr>
                <w:rFonts w:hint="eastAsia"/>
                <w:sz w:val="24"/>
                <w:highlight w:val="none"/>
                <w:vertAlign w:val="superscript"/>
                <w:lang w:val="en-US" w:eastAsia="zh-CN"/>
              </w:rPr>
              <w:t>3</w:t>
            </w:r>
            <w:r>
              <w:rPr>
                <w:rFonts w:hint="eastAsia"/>
                <w:sz w:val="24"/>
                <w:highlight w:val="none"/>
                <w:lang w:val="en-US" w:eastAsia="zh-CN"/>
              </w:rPr>
              <w:t>/h，废气收集效率取95%，年工作时间为8760h/a，收集的废气汇总到屋顶经活性炭吸附装置处理后通过DA011排气筒高空排放。参照《南化公司危废库改造项目环境影响报告表》（宁环表复〔2019〕26号）和《金陵力联思树脂有限公司危废库优化改造项目环境影响报告表》（宁新区管审环表复〔2021〕79号），类比项目危废库中涉及废液密封暂存情况，非甲烷总烃的挥发系数在0.5%</w:t>
            </w:r>
            <w:r>
              <w:rPr>
                <w:rFonts w:hint="eastAsia"/>
                <w:sz w:val="24"/>
                <w:highlight w:val="none"/>
                <w:vertAlign w:val="subscript"/>
                <w:lang w:val="en-US" w:eastAsia="zh-CN"/>
              </w:rPr>
              <w:t>0</w:t>
            </w:r>
            <w:r>
              <w:rPr>
                <w:rFonts w:hint="eastAsia"/>
                <w:sz w:val="24"/>
                <w:highlight w:val="none"/>
                <w:lang w:val="en-US" w:eastAsia="zh-CN"/>
              </w:rPr>
              <w:t>-1，本项目实验废液以及实验试剂均采用密闭实验柜收集暂存挥发系数取0.1%，非甲烷总烃产生量约为0.002t/a。</w:t>
            </w:r>
          </w:p>
          <w:p w14:paraId="2A357D4B">
            <w:pPr>
              <w:keepNext w:val="0"/>
              <w:keepLines w:val="0"/>
              <w:suppressLineNumbers w:val="0"/>
              <w:spacing w:before="0" w:beforeAutospacing="0" w:after="0" w:afterAutospacing="0" w:line="360" w:lineRule="auto"/>
              <w:ind w:left="0" w:right="0" w:firstLine="480" w:firstLineChars="200"/>
              <w:jc w:val="both"/>
              <w:rPr>
                <w:rFonts w:hint="default"/>
                <w:sz w:val="24"/>
                <w:highlight w:val="none"/>
                <w:lang w:val="en-US" w:eastAsia="zh-CN"/>
              </w:rPr>
            </w:pPr>
            <w:r>
              <w:rPr>
                <w:rFonts w:hint="eastAsia"/>
                <w:sz w:val="24"/>
                <w:highlight w:val="none"/>
                <w:lang w:val="en-US" w:eastAsia="zh-CN"/>
              </w:rPr>
              <w:t>2）DA012（仪器室、化学合成实验室废气）</w:t>
            </w:r>
          </w:p>
          <w:p w14:paraId="01AEF74B">
            <w:pPr>
              <w:keepNext w:val="0"/>
              <w:keepLines w:val="0"/>
              <w:suppressLineNumbers w:val="0"/>
              <w:spacing w:before="0" w:beforeAutospacing="0" w:after="0" w:afterAutospacing="0" w:line="360" w:lineRule="auto"/>
              <w:ind w:left="0" w:right="0" w:firstLine="480" w:firstLineChars="200"/>
              <w:jc w:val="both"/>
              <w:rPr>
                <w:rFonts w:hint="default" w:eastAsia="宋体"/>
                <w:sz w:val="24"/>
                <w:highlight w:val="none"/>
                <w:lang w:val="en-US" w:eastAsia="zh-CN"/>
              </w:rPr>
            </w:pPr>
            <w:r>
              <w:rPr>
                <w:rFonts w:hint="eastAsia"/>
                <w:sz w:val="24"/>
                <w:highlight w:val="none"/>
                <w:lang w:val="en-US" w:eastAsia="zh-CN"/>
              </w:rPr>
              <w:t>根据企业提供的废气设计方案，本项目仪器室废气采用万向集气罩来收集，单个万向集气罩风量按200m</w:t>
            </w:r>
            <w:r>
              <w:rPr>
                <w:rFonts w:hint="eastAsia"/>
                <w:sz w:val="24"/>
                <w:highlight w:val="none"/>
                <w:vertAlign w:val="superscript"/>
                <w:lang w:val="en-US" w:eastAsia="zh-CN"/>
              </w:rPr>
              <w:t>3</w:t>
            </w:r>
            <w:r>
              <w:rPr>
                <w:rFonts w:hint="eastAsia"/>
                <w:sz w:val="24"/>
                <w:highlight w:val="none"/>
                <w:lang w:val="en-US" w:eastAsia="zh-CN"/>
              </w:rPr>
              <w:t>/h计，万向集气罩合计数量为38个，则仪器室合计风量为7600m</w:t>
            </w:r>
            <w:r>
              <w:rPr>
                <w:rFonts w:hint="eastAsia"/>
                <w:sz w:val="24"/>
                <w:highlight w:val="none"/>
                <w:vertAlign w:val="superscript"/>
                <w:lang w:val="en-US" w:eastAsia="zh-CN"/>
              </w:rPr>
              <w:t>3</w:t>
            </w:r>
            <w:r>
              <w:rPr>
                <w:rFonts w:hint="eastAsia"/>
                <w:sz w:val="24"/>
                <w:highlight w:val="none"/>
                <w:lang w:val="en-US" w:eastAsia="zh-CN"/>
              </w:rPr>
              <w:t>/h；化学合成实验室废气采用通风橱（1.8m宽）来收集，单个通风橱风量按1600m</w:t>
            </w:r>
            <w:r>
              <w:rPr>
                <w:rFonts w:hint="eastAsia"/>
                <w:sz w:val="24"/>
                <w:highlight w:val="none"/>
                <w:vertAlign w:val="superscript"/>
                <w:lang w:val="en-US" w:eastAsia="zh-CN"/>
              </w:rPr>
              <w:t>3</w:t>
            </w:r>
            <w:r>
              <w:rPr>
                <w:rFonts w:hint="eastAsia"/>
                <w:sz w:val="24"/>
                <w:highlight w:val="none"/>
                <w:lang w:val="en-US" w:eastAsia="zh-CN"/>
              </w:rPr>
              <w:t>/h计，通风橱合计数量为27个，则化学合成实验室合计风量为43200m</w:t>
            </w:r>
            <w:r>
              <w:rPr>
                <w:rFonts w:hint="eastAsia"/>
                <w:sz w:val="24"/>
                <w:highlight w:val="none"/>
                <w:vertAlign w:val="superscript"/>
                <w:lang w:val="en-US" w:eastAsia="zh-CN"/>
              </w:rPr>
              <w:t>3</w:t>
            </w:r>
            <w:r>
              <w:rPr>
                <w:rFonts w:hint="eastAsia"/>
                <w:sz w:val="24"/>
                <w:highlight w:val="none"/>
                <w:lang w:val="en-US" w:eastAsia="zh-CN"/>
              </w:rPr>
              <w:t>/h；小型中试实验室废气采用通风房来收集，单个通风房风量按3000m</w:t>
            </w:r>
            <w:r>
              <w:rPr>
                <w:rFonts w:hint="eastAsia"/>
                <w:sz w:val="24"/>
                <w:highlight w:val="none"/>
                <w:vertAlign w:val="superscript"/>
                <w:lang w:val="en-US" w:eastAsia="zh-CN"/>
              </w:rPr>
              <w:t>3</w:t>
            </w:r>
            <w:r>
              <w:rPr>
                <w:rFonts w:hint="eastAsia"/>
                <w:sz w:val="24"/>
                <w:highlight w:val="none"/>
                <w:lang w:val="en-US" w:eastAsia="zh-CN"/>
              </w:rPr>
              <w:t>/h计，通风房合计数量为3个，则小型中试实验室合计风量为9000m</w:t>
            </w:r>
            <w:r>
              <w:rPr>
                <w:rFonts w:hint="eastAsia"/>
                <w:sz w:val="24"/>
                <w:highlight w:val="none"/>
                <w:vertAlign w:val="superscript"/>
                <w:lang w:val="en-US" w:eastAsia="zh-CN"/>
              </w:rPr>
              <w:t>3</w:t>
            </w:r>
            <w:r>
              <w:rPr>
                <w:rFonts w:hint="eastAsia"/>
                <w:sz w:val="24"/>
                <w:highlight w:val="none"/>
                <w:lang w:val="en-US" w:eastAsia="zh-CN"/>
              </w:rPr>
              <w:t>/h。上述废气合计风量为59800m</w:t>
            </w:r>
            <w:r>
              <w:rPr>
                <w:rFonts w:hint="eastAsia"/>
                <w:sz w:val="24"/>
                <w:highlight w:val="none"/>
                <w:vertAlign w:val="superscript"/>
                <w:lang w:val="en-US" w:eastAsia="zh-CN"/>
              </w:rPr>
              <w:t>3</w:t>
            </w:r>
            <w:r>
              <w:rPr>
                <w:rFonts w:hint="eastAsia"/>
                <w:sz w:val="24"/>
                <w:highlight w:val="none"/>
                <w:lang w:val="en-US" w:eastAsia="zh-CN"/>
              </w:rPr>
              <w:t>/h，废气收集效率取90%，年工作时间为2080h/a。</w:t>
            </w:r>
          </w:p>
          <w:p w14:paraId="69325914">
            <w:pPr>
              <w:keepNext w:val="0"/>
              <w:keepLines w:val="0"/>
              <w:suppressLineNumbers w:val="0"/>
              <w:spacing w:before="0" w:beforeAutospacing="0" w:after="0" w:afterAutospacing="0" w:line="360" w:lineRule="auto"/>
              <w:ind w:left="0" w:right="0" w:firstLine="480" w:firstLineChars="200"/>
              <w:jc w:val="both"/>
              <w:rPr>
                <w:rFonts w:hint="default"/>
                <w:sz w:val="24"/>
                <w:highlight w:val="none"/>
                <w:lang w:val="en-US" w:eastAsia="zh-CN"/>
              </w:rPr>
            </w:pPr>
            <w:r>
              <w:rPr>
                <w:rFonts w:hint="eastAsia"/>
                <w:sz w:val="24"/>
                <w:highlight w:val="none"/>
                <w:lang w:val="en-US" w:eastAsia="zh-CN"/>
              </w:rPr>
              <w:t>3）DA013（化学合成实验室废气）</w:t>
            </w:r>
          </w:p>
          <w:p w14:paraId="1D77031A">
            <w:pPr>
              <w:keepNext w:val="0"/>
              <w:keepLines w:val="0"/>
              <w:suppressLineNumbers w:val="0"/>
              <w:spacing w:before="0" w:beforeAutospacing="0" w:after="0" w:afterAutospacing="0" w:line="360" w:lineRule="auto"/>
              <w:ind w:left="0" w:right="0" w:firstLine="480" w:firstLineChars="200"/>
              <w:jc w:val="both"/>
              <w:rPr>
                <w:rFonts w:hint="eastAsia"/>
                <w:sz w:val="24"/>
                <w:highlight w:val="none"/>
              </w:rPr>
            </w:pPr>
            <w:r>
              <w:rPr>
                <w:rFonts w:hint="eastAsia"/>
                <w:sz w:val="24"/>
                <w:highlight w:val="none"/>
                <w:lang w:val="en-US" w:eastAsia="zh-CN"/>
              </w:rPr>
              <w:t>根据企业提供的废气设计方案</w:t>
            </w:r>
            <w:r>
              <w:rPr>
                <w:rFonts w:hint="eastAsia"/>
                <w:sz w:val="24"/>
                <w:highlight w:val="none"/>
              </w:rPr>
              <w:t>，</w:t>
            </w:r>
            <w:r>
              <w:rPr>
                <w:rFonts w:hint="eastAsia"/>
                <w:sz w:val="24"/>
                <w:highlight w:val="none"/>
                <w:lang w:val="en-US" w:eastAsia="zh-CN"/>
              </w:rPr>
              <w:t>化学合成实验室废气采用通风橱（1.5m宽、1.8m宽）和来收集，单个通风橱（1.5m宽）风量按1300m</w:t>
            </w:r>
            <w:r>
              <w:rPr>
                <w:rFonts w:hint="eastAsia"/>
                <w:sz w:val="24"/>
                <w:highlight w:val="none"/>
                <w:vertAlign w:val="superscript"/>
                <w:lang w:val="en-US" w:eastAsia="zh-CN"/>
              </w:rPr>
              <w:t>3</w:t>
            </w:r>
            <w:r>
              <w:rPr>
                <w:rFonts w:hint="eastAsia"/>
                <w:sz w:val="24"/>
                <w:highlight w:val="none"/>
                <w:lang w:val="en-US" w:eastAsia="zh-CN"/>
              </w:rPr>
              <w:t>/h计，单个通风橱（1.8m宽）风量按1600m</w:t>
            </w:r>
            <w:r>
              <w:rPr>
                <w:rFonts w:hint="eastAsia"/>
                <w:sz w:val="24"/>
                <w:highlight w:val="none"/>
                <w:vertAlign w:val="superscript"/>
                <w:lang w:val="en-US" w:eastAsia="zh-CN"/>
              </w:rPr>
              <w:t>3</w:t>
            </w:r>
            <w:r>
              <w:rPr>
                <w:rFonts w:hint="eastAsia"/>
                <w:sz w:val="24"/>
                <w:highlight w:val="none"/>
                <w:lang w:val="en-US" w:eastAsia="zh-CN"/>
              </w:rPr>
              <w:t>/h计，通风橱（1.5m宽）数量为1个，通风橱（1.8m宽）数量为55个，则化学合成实验室合计风量为89300m</w:t>
            </w:r>
            <w:r>
              <w:rPr>
                <w:rFonts w:hint="eastAsia"/>
                <w:sz w:val="24"/>
                <w:highlight w:val="none"/>
                <w:vertAlign w:val="superscript"/>
                <w:lang w:val="en-US" w:eastAsia="zh-CN"/>
              </w:rPr>
              <w:t>3</w:t>
            </w:r>
            <w:r>
              <w:rPr>
                <w:rFonts w:hint="eastAsia"/>
                <w:sz w:val="24"/>
                <w:highlight w:val="none"/>
                <w:lang w:val="en-US" w:eastAsia="zh-CN"/>
              </w:rPr>
              <w:t>/h，废气收集效率取90%，年工作时间为2080h/a。</w:t>
            </w:r>
          </w:p>
          <w:p w14:paraId="69793C66">
            <w:pPr>
              <w:keepNext w:val="0"/>
              <w:keepLines w:val="0"/>
              <w:suppressLineNumbers w:val="0"/>
              <w:spacing w:before="0" w:beforeAutospacing="0" w:after="0" w:afterAutospacing="0" w:line="360" w:lineRule="auto"/>
              <w:ind w:left="0" w:right="0" w:firstLine="480" w:firstLineChars="200"/>
              <w:jc w:val="both"/>
              <w:rPr>
                <w:rFonts w:hint="default"/>
                <w:sz w:val="24"/>
                <w:highlight w:val="none"/>
                <w:lang w:val="en-US" w:eastAsia="zh-CN"/>
              </w:rPr>
            </w:pPr>
            <w:r>
              <w:rPr>
                <w:rFonts w:hint="eastAsia"/>
                <w:sz w:val="24"/>
                <w:highlight w:val="none"/>
                <w:lang w:val="en-US" w:eastAsia="zh-CN"/>
              </w:rPr>
              <w:t>4）DA014（化学合成实验室、仪器室废气）</w:t>
            </w:r>
          </w:p>
          <w:p w14:paraId="6E8675BC">
            <w:pPr>
              <w:keepNext w:val="0"/>
              <w:keepLines w:val="0"/>
              <w:suppressLineNumbers w:val="0"/>
              <w:spacing w:before="0" w:beforeAutospacing="0" w:after="0" w:afterAutospacing="0" w:line="360" w:lineRule="auto"/>
              <w:ind w:left="0" w:right="0" w:firstLine="480" w:firstLineChars="200"/>
              <w:jc w:val="both"/>
              <w:rPr>
                <w:rFonts w:hint="eastAsia"/>
                <w:sz w:val="24"/>
                <w:highlight w:val="none"/>
                <w:lang w:val="en-US" w:eastAsia="zh-CN"/>
              </w:rPr>
            </w:pPr>
            <w:r>
              <w:rPr>
                <w:rFonts w:hint="eastAsia"/>
                <w:sz w:val="24"/>
                <w:highlight w:val="none"/>
                <w:lang w:val="en-US" w:eastAsia="zh-CN"/>
              </w:rPr>
              <w:t>根据企业提供的废气设计方案</w:t>
            </w:r>
            <w:r>
              <w:rPr>
                <w:rFonts w:hint="eastAsia"/>
                <w:sz w:val="24"/>
                <w:highlight w:val="none"/>
              </w:rPr>
              <w:t>，</w:t>
            </w:r>
            <w:r>
              <w:rPr>
                <w:rFonts w:hint="eastAsia"/>
                <w:sz w:val="24"/>
                <w:highlight w:val="none"/>
                <w:lang w:val="en-US" w:eastAsia="zh-CN"/>
              </w:rPr>
              <w:t>化学合成实验室废气采用通风橱（1.5m宽、1.8m宽）和来收集，单个通风橱（1.5m宽）风量按1300m</w:t>
            </w:r>
            <w:r>
              <w:rPr>
                <w:rFonts w:hint="eastAsia"/>
                <w:sz w:val="24"/>
                <w:highlight w:val="none"/>
                <w:vertAlign w:val="superscript"/>
                <w:lang w:val="en-US" w:eastAsia="zh-CN"/>
              </w:rPr>
              <w:t>3</w:t>
            </w:r>
            <w:r>
              <w:rPr>
                <w:rFonts w:hint="eastAsia"/>
                <w:sz w:val="24"/>
                <w:highlight w:val="none"/>
                <w:lang w:val="en-US" w:eastAsia="zh-CN"/>
              </w:rPr>
              <w:t>/h计，单个通风橱（1.8m宽）风量按1600m</w:t>
            </w:r>
            <w:r>
              <w:rPr>
                <w:rFonts w:hint="eastAsia"/>
                <w:sz w:val="24"/>
                <w:highlight w:val="none"/>
                <w:vertAlign w:val="superscript"/>
                <w:lang w:val="en-US" w:eastAsia="zh-CN"/>
              </w:rPr>
              <w:t>3</w:t>
            </w:r>
            <w:r>
              <w:rPr>
                <w:rFonts w:hint="eastAsia"/>
                <w:sz w:val="24"/>
                <w:highlight w:val="none"/>
                <w:lang w:val="en-US" w:eastAsia="zh-CN"/>
              </w:rPr>
              <w:t>/h计，通风橱（1.5m宽）数量为9个，通风橱（1.8m宽）数量为42个，则化学合成实验室合计风量为78900m</w:t>
            </w:r>
            <w:r>
              <w:rPr>
                <w:rFonts w:hint="eastAsia"/>
                <w:sz w:val="24"/>
                <w:highlight w:val="none"/>
                <w:vertAlign w:val="superscript"/>
                <w:lang w:val="en-US" w:eastAsia="zh-CN"/>
              </w:rPr>
              <w:t>3</w:t>
            </w:r>
            <w:r>
              <w:rPr>
                <w:rFonts w:hint="eastAsia"/>
                <w:sz w:val="24"/>
                <w:highlight w:val="none"/>
                <w:lang w:val="en-US" w:eastAsia="zh-CN"/>
              </w:rPr>
              <w:t>/h；仪器室废气采用万向集气罩来收集，单个万向集气罩风量按200m</w:t>
            </w:r>
            <w:r>
              <w:rPr>
                <w:rFonts w:hint="eastAsia"/>
                <w:sz w:val="24"/>
                <w:highlight w:val="none"/>
                <w:vertAlign w:val="superscript"/>
                <w:lang w:val="en-US" w:eastAsia="zh-CN"/>
              </w:rPr>
              <w:t>3</w:t>
            </w:r>
            <w:r>
              <w:rPr>
                <w:rFonts w:hint="eastAsia"/>
                <w:sz w:val="24"/>
                <w:highlight w:val="none"/>
                <w:lang w:val="en-US" w:eastAsia="zh-CN"/>
              </w:rPr>
              <w:t>/h计，万向集气罩合计数量为9个，则仪器室合计风量为1800m</w:t>
            </w:r>
            <w:r>
              <w:rPr>
                <w:rFonts w:hint="eastAsia"/>
                <w:sz w:val="24"/>
                <w:highlight w:val="none"/>
                <w:vertAlign w:val="superscript"/>
                <w:lang w:val="en-US" w:eastAsia="zh-CN"/>
              </w:rPr>
              <w:t>3</w:t>
            </w:r>
            <w:r>
              <w:rPr>
                <w:rFonts w:hint="eastAsia"/>
                <w:sz w:val="24"/>
                <w:highlight w:val="none"/>
                <w:lang w:val="en-US" w:eastAsia="zh-CN"/>
              </w:rPr>
              <w:t>/h。上述废气合计风量为80700m</w:t>
            </w:r>
            <w:r>
              <w:rPr>
                <w:rFonts w:hint="eastAsia"/>
                <w:sz w:val="24"/>
                <w:highlight w:val="none"/>
                <w:vertAlign w:val="superscript"/>
                <w:lang w:val="en-US" w:eastAsia="zh-CN"/>
              </w:rPr>
              <w:t>3</w:t>
            </w:r>
            <w:r>
              <w:rPr>
                <w:rFonts w:hint="eastAsia"/>
                <w:sz w:val="24"/>
                <w:highlight w:val="none"/>
                <w:lang w:val="en-US" w:eastAsia="zh-CN"/>
              </w:rPr>
              <w:t>/h，废气收集效率取90%，年工作时间为2080h/a。</w:t>
            </w:r>
          </w:p>
          <w:p w14:paraId="27349DEF">
            <w:pPr>
              <w:keepNext w:val="0"/>
              <w:keepLines w:val="0"/>
              <w:suppressLineNumbers w:val="0"/>
              <w:spacing w:before="0" w:beforeAutospacing="0" w:after="0" w:afterAutospacing="0" w:line="360" w:lineRule="auto"/>
              <w:ind w:left="0" w:right="0" w:firstLine="480" w:firstLineChars="200"/>
              <w:jc w:val="both"/>
              <w:rPr>
                <w:rFonts w:hint="default"/>
                <w:sz w:val="24"/>
                <w:highlight w:val="none"/>
                <w:lang w:val="en-US" w:eastAsia="zh-CN"/>
              </w:rPr>
            </w:pPr>
            <w:r>
              <w:rPr>
                <w:rFonts w:hint="eastAsia"/>
                <w:sz w:val="24"/>
                <w:highlight w:val="none"/>
                <w:lang w:val="en-US" w:eastAsia="zh-CN"/>
              </w:rPr>
              <w:t>5）DA015（化学合成实验室废气）</w:t>
            </w:r>
          </w:p>
          <w:p w14:paraId="2D89A94F">
            <w:pPr>
              <w:keepNext w:val="0"/>
              <w:keepLines w:val="0"/>
              <w:suppressLineNumbers w:val="0"/>
              <w:spacing w:before="0" w:beforeAutospacing="0" w:after="0" w:afterAutospacing="0" w:line="360" w:lineRule="auto"/>
              <w:ind w:left="0" w:right="0" w:firstLine="480" w:firstLineChars="200"/>
              <w:jc w:val="both"/>
              <w:rPr>
                <w:rFonts w:hint="eastAsia"/>
                <w:sz w:val="24"/>
                <w:highlight w:val="none"/>
                <w:lang w:val="en-US" w:eastAsia="zh-CN"/>
              </w:rPr>
            </w:pPr>
            <w:r>
              <w:rPr>
                <w:rFonts w:hint="eastAsia"/>
                <w:sz w:val="24"/>
                <w:highlight w:val="none"/>
                <w:lang w:val="en-US" w:eastAsia="zh-CN"/>
              </w:rPr>
              <w:t>根据企业提供的废气设计方案</w:t>
            </w:r>
            <w:r>
              <w:rPr>
                <w:rFonts w:hint="eastAsia"/>
                <w:sz w:val="24"/>
                <w:highlight w:val="none"/>
              </w:rPr>
              <w:t>，</w:t>
            </w:r>
            <w:r>
              <w:rPr>
                <w:rFonts w:hint="eastAsia"/>
                <w:sz w:val="24"/>
                <w:highlight w:val="none"/>
                <w:lang w:val="en-US" w:eastAsia="zh-CN"/>
              </w:rPr>
              <w:t>化学合成实验室废气采用通风橱（1.8m宽）来收集，单个通风橱（1.8m宽）风量按1600m</w:t>
            </w:r>
            <w:r>
              <w:rPr>
                <w:rFonts w:hint="eastAsia"/>
                <w:sz w:val="24"/>
                <w:highlight w:val="none"/>
                <w:vertAlign w:val="superscript"/>
                <w:lang w:val="en-US" w:eastAsia="zh-CN"/>
              </w:rPr>
              <w:t>3</w:t>
            </w:r>
            <w:r>
              <w:rPr>
                <w:rFonts w:hint="eastAsia"/>
                <w:sz w:val="24"/>
                <w:highlight w:val="none"/>
                <w:lang w:val="en-US" w:eastAsia="zh-CN"/>
              </w:rPr>
              <w:t>/h计，通风橱（1.8m宽）数量为54个，则化学合成实验室合计风量为86400m</w:t>
            </w:r>
            <w:r>
              <w:rPr>
                <w:rFonts w:hint="eastAsia"/>
                <w:sz w:val="24"/>
                <w:highlight w:val="none"/>
                <w:vertAlign w:val="superscript"/>
                <w:lang w:val="en-US" w:eastAsia="zh-CN"/>
              </w:rPr>
              <w:t>3</w:t>
            </w:r>
            <w:r>
              <w:rPr>
                <w:rFonts w:hint="eastAsia"/>
                <w:sz w:val="24"/>
                <w:highlight w:val="none"/>
                <w:lang w:val="en-US" w:eastAsia="zh-CN"/>
              </w:rPr>
              <w:t>/h；前处理间废气采用通风橱（1.5m宽）和来收集，单个通风橱（1.5m宽）风量按1300m</w:t>
            </w:r>
            <w:r>
              <w:rPr>
                <w:rFonts w:hint="eastAsia"/>
                <w:sz w:val="24"/>
                <w:highlight w:val="none"/>
                <w:vertAlign w:val="superscript"/>
                <w:lang w:val="en-US" w:eastAsia="zh-CN"/>
              </w:rPr>
              <w:t>3</w:t>
            </w:r>
            <w:r>
              <w:rPr>
                <w:rFonts w:hint="eastAsia"/>
                <w:sz w:val="24"/>
                <w:highlight w:val="none"/>
                <w:lang w:val="en-US" w:eastAsia="zh-CN"/>
              </w:rPr>
              <w:t>/h计，通风橱（1.5m宽）数量为1个，则前处理间风量为1300m</w:t>
            </w:r>
            <w:r>
              <w:rPr>
                <w:rFonts w:hint="eastAsia"/>
                <w:sz w:val="24"/>
                <w:highlight w:val="none"/>
                <w:vertAlign w:val="superscript"/>
                <w:lang w:val="en-US" w:eastAsia="zh-CN"/>
              </w:rPr>
              <w:t>3</w:t>
            </w:r>
            <w:r>
              <w:rPr>
                <w:rFonts w:hint="eastAsia"/>
                <w:sz w:val="24"/>
                <w:highlight w:val="none"/>
                <w:lang w:val="en-US" w:eastAsia="zh-CN"/>
              </w:rPr>
              <w:t>/h；样品接收间设置了10个试剂柜，均自带抽风装置，单个试剂柜风量按50m</w:t>
            </w:r>
            <w:r>
              <w:rPr>
                <w:rFonts w:hint="eastAsia"/>
                <w:sz w:val="24"/>
                <w:highlight w:val="none"/>
                <w:vertAlign w:val="superscript"/>
                <w:lang w:val="en-US" w:eastAsia="zh-CN"/>
              </w:rPr>
              <w:t>3</w:t>
            </w:r>
            <w:r>
              <w:rPr>
                <w:rFonts w:hint="eastAsia"/>
                <w:sz w:val="24"/>
                <w:highlight w:val="none"/>
                <w:lang w:val="en-US" w:eastAsia="zh-CN"/>
              </w:rPr>
              <w:t>/h计，则样品接收间的收集风量为500m</w:t>
            </w:r>
            <w:r>
              <w:rPr>
                <w:rFonts w:hint="eastAsia"/>
                <w:sz w:val="24"/>
                <w:highlight w:val="none"/>
                <w:vertAlign w:val="superscript"/>
                <w:lang w:val="en-US" w:eastAsia="zh-CN"/>
              </w:rPr>
              <w:t>3</w:t>
            </w:r>
            <w:r>
              <w:rPr>
                <w:rFonts w:hint="eastAsia"/>
                <w:sz w:val="24"/>
                <w:highlight w:val="none"/>
                <w:lang w:val="en-US" w:eastAsia="zh-CN"/>
              </w:rPr>
              <w:t>/h。上述废气合计风量为88200m</w:t>
            </w:r>
            <w:r>
              <w:rPr>
                <w:rFonts w:hint="eastAsia"/>
                <w:sz w:val="24"/>
                <w:highlight w:val="none"/>
                <w:vertAlign w:val="superscript"/>
                <w:lang w:val="en-US" w:eastAsia="zh-CN"/>
              </w:rPr>
              <w:t>3</w:t>
            </w:r>
            <w:r>
              <w:rPr>
                <w:rFonts w:hint="eastAsia"/>
                <w:sz w:val="24"/>
                <w:highlight w:val="none"/>
                <w:lang w:val="en-US" w:eastAsia="zh-CN"/>
              </w:rPr>
              <w:t>/h，废气收集效率取90%，年工作时间为2080h/a。</w:t>
            </w:r>
          </w:p>
          <w:p w14:paraId="1D229B4C">
            <w:pPr>
              <w:keepNext w:val="0"/>
              <w:keepLines w:val="0"/>
              <w:suppressLineNumbers w:val="0"/>
              <w:spacing w:before="0" w:beforeAutospacing="0" w:after="0" w:afterAutospacing="0" w:line="360" w:lineRule="auto"/>
              <w:ind w:left="0" w:right="0" w:firstLine="480" w:firstLineChars="200"/>
              <w:jc w:val="both"/>
              <w:rPr>
                <w:rFonts w:hint="default"/>
                <w:sz w:val="24"/>
                <w:highlight w:val="none"/>
                <w:lang w:val="en-US" w:eastAsia="zh-CN"/>
              </w:rPr>
            </w:pPr>
            <w:r>
              <w:rPr>
                <w:rFonts w:hint="eastAsia"/>
                <w:sz w:val="24"/>
                <w:highlight w:val="none"/>
                <w:lang w:val="en-US" w:eastAsia="zh-CN"/>
              </w:rPr>
              <w:t>6）DA016（生物实验室、质谱区、色谱光谱区、前处理室废气）</w:t>
            </w:r>
          </w:p>
          <w:p w14:paraId="1662BC22">
            <w:pPr>
              <w:keepNext w:val="0"/>
              <w:keepLines w:val="0"/>
              <w:suppressLineNumbers w:val="0"/>
              <w:spacing w:before="0" w:beforeAutospacing="0" w:after="0" w:afterAutospacing="0" w:line="360" w:lineRule="auto"/>
              <w:ind w:left="0" w:right="0" w:firstLine="480" w:firstLineChars="200"/>
              <w:jc w:val="both"/>
              <w:rPr>
                <w:rFonts w:hint="eastAsia" w:eastAsia="宋体"/>
                <w:sz w:val="24"/>
                <w:highlight w:val="none"/>
                <w:lang w:val="en-US" w:eastAsia="zh-CN"/>
              </w:rPr>
            </w:pPr>
            <w:r>
              <w:rPr>
                <w:rFonts w:hint="eastAsia"/>
                <w:sz w:val="24"/>
                <w:highlight w:val="none"/>
                <w:lang w:val="en-US" w:eastAsia="zh-CN"/>
              </w:rPr>
              <w:t>根据企业提供的废气设计方案</w:t>
            </w:r>
            <w:r>
              <w:rPr>
                <w:rFonts w:hint="eastAsia"/>
                <w:sz w:val="24"/>
                <w:highlight w:val="none"/>
              </w:rPr>
              <w:t>，</w:t>
            </w:r>
            <w:r>
              <w:rPr>
                <w:rFonts w:hint="eastAsia"/>
                <w:sz w:val="24"/>
                <w:highlight w:val="none"/>
                <w:lang w:val="en-US" w:eastAsia="zh-CN"/>
              </w:rPr>
              <w:t>生物实验室废气采用通风橱（1.5m宽）以及万向集气罩来收集，单个通风橱（1.5m宽）风量按1300m</w:t>
            </w:r>
            <w:r>
              <w:rPr>
                <w:rFonts w:hint="eastAsia"/>
                <w:sz w:val="24"/>
                <w:highlight w:val="none"/>
                <w:vertAlign w:val="superscript"/>
                <w:lang w:val="en-US" w:eastAsia="zh-CN"/>
              </w:rPr>
              <w:t>3</w:t>
            </w:r>
            <w:r>
              <w:rPr>
                <w:rFonts w:hint="eastAsia"/>
                <w:sz w:val="24"/>
                <w:highlight w:val="none"/>
                <w:lang w:val="en-US" w:eastAsia="zh-CN"/>
              </w:rPr>
              <w:t>/h计，通风橱（1.5m宽）数量为18个，单个万向集气罩风量按200m</w:t>
            </w:r>
            <w:r>
              <w:rPr>
                <w:rFonts w:hint="eastAsia"/>
                <w:sz w:val="24"/>
                <w:highlight w:val="none"/>
                <w:vertAlign w:val="superscript"/>
                <w:lang w:val="en-US" w:eastAsia="zh-CN"/>
              </w:rPr>
              <w:t>3</w:t>
            </w:r>
            <w:r>
              <w:rPr>
                <w:rFonts w:hint="eastAsia"/>
                <w:sz w:val="24"/>
                <w:highlight w:val="none"/>
                <w:lang w:val="en-US" w:eastAsia="zh-CN"/>
              </w:rPr>
              <w:t>/h计，万向集气罩合计数量为108个，则生物实验室合计风量为45000m</w:t>
            </w:r>
            <w:r>
              <w:rPr>
                <w:rFonts w:hint="eastAsia"/>
                <w:sz w:val="24"/>
                <w:highlight w:val="none"/>
                <w:vertAlign w:val="superscript"/>
                <w:lang w:val="en-US" w:eastAsia="zh-CN"/>
              </w:rPr>
              <w:t>3</w:t>
            </w:r>
            <w:r>
              <w:rPr>
                <w:rFonts w:hint="eastAsia"/>
                <w:sz w:val="24"/>
                <w:highlight w:val="none"/>
                <w:lang w:val="en-US" w:eastAsia="zh-CN"/>
              </w:rPr>
              <w:t>/h；前处理间废气采用通风橱（1.5m宽）、万向集气罩、试剂柜来收集，单个通风橱（1.5m宽）风量按1300m</w:t>
            </w:r>
            <w:r>
              <w:rPr>
                <w:rFonts w:hint="eastAsia"/>
                <w:sz w:val="24"/>
                <w:highlight w:val="none"/>
                <w:vertAlign w:val="superscript"/>
                <w:lang w:val="en-US" w:eastAsia="zh-CN"/>
              </w:rPr>
              <w:t>3</w:t>
            </w:r>
            <w:r>
              <w:rPr>
                <w:rFonts w:hint="eastAsia"/>
                <w:sz w:val="24"/>
                <w:highlight w:val="none"/>
                <w:lang w:val="en-US" w:eastAsia="zh-CN"/>
              </w:rPr>
              <w:t>/h计，通风橱（1.5m宽）数量为2个，单个万向集气罩风量按200m</w:t>
            </w:r>
            <w:r>
              <w:rPr>
                <w:rFonts w:hint="eastAsia"/>
                <w:sz w:val="24"/>
                <w:highlight w:val="none"/>
                <w:vertAlign w:val="superscript"/>
                <w:lang w:val="en-US" w:eastAsia="zh-CN"/>
              </w:rPr>
              <w:t>3</w:t>
            </w:r>
            <w:r>
              <w:rPr>
                <w:rFonts w:hint="eastAsia"/>
                <w:sz w:val="24"/>
                <w:highlight w:val="none"/>
                <w:lang w:val="en-US" w:eastAsia="zh-CN"/>
              </w:rPr>
              <w:t>/h计，万向集气罩合计数量为6个，单个试剂柜风量按50m</w:t>
            </w:r>
            <w:r>
              <w:rPr>
                <w:rFonts w:hint="eastAsia"/>
                <w:sz w:val="24"/>
                <w:highlight w:val="none"/>
                <w:vertAlign w:val="superscript"/>
                <w:lang w:val="en-US" w:eastAsia="zh-CN"/>
              </w:rPr>
              <w:t>3</w:t>
            </w:r>
            <w:r>
              <w:rPr>
                <w:rFonts w:hint="eastAsia"/>
                <w:sz w:val="24"/>
                <w:highlight w:val="none"/>
                <w:lang w:val="en-US" w:eastAsia="zh-CN"/>
              </w:rPr>
              <w:t>/h计，试剂柜合计数量为3个，则前处理间合计风量为3950m</w:t>
            </w:r>
            <w:r>
              <w:rPr>
                <w:rFonts w:hint="eastAsia"/>
                <w:sz w:val="24"/>
                <w:highlight w:val="none"/>
                <w:vertAlign w:val="superscript"/>
                <w:lang w:val="en-US" w:eastAsia="zh-CN"/>
              </w:rPr>
              <w:t>3</w:t>
            </w:r>
            <w:r>
              <w:rPr>
                <w:rFonts w:hint="eastAsia"/>
                <w:sz w:val="24"/>
                <w:highlight w:val="none"/>
                <w:lang w:val="en-US" w:eastAsia="zh-CN"/>
              </w:rPr>
              <w:t>/h；色谱光谱区废气采用万向集气罩来收集，单个万向集气罩风量按200m</w:t>
            </w:r>
            <w:r>
              <w:rPr>
                <w:rFonts w:hint="eastAsia"/>
                <w:sz w:val="24"/>
                <w:highlight w:val="none"/>
                <w:vertAlign w:val="superscript"/>
                <w:lang w:val="en-US" w:eastAsia="zh-CN"/>
              </w:rPr>
              <w:t>3</w:t>
            </w:r>
            <w:r>
              <w:rPr>
                <w:rFonts w:hint="eastAsia"/>
                <w:sz w:val="24"/>
                <w:highlight w:val="none"/>
                <w:lang w:val="en-US" w:eastAsia="zh-CN"/>
              </w:rPr>
              <w:t>/h计，万向集气罩合计数量为12个，则色谱光谱区合计风量为2400m</w:t>
            </w:r>
            <w:r>
              <w:rPr>
                <w:rFonts w:hint="eastAsia"/>
                <w:sz w:val="24"/>
                <w:highlight w:val="none"/>
                <w:vertAlign w:val="superscript"/>
                <w:lang w:val="en-US" w:eastAsia="zh-CN"/>
              </w:rPr>
              <w:t>3</w:t>
            </w:r>
            <w:r>
              <w:rPr>
                <w:rFonts w:hint="eastAsia"/>
                <w:sz w:val="24"/>
                <w:highlight w:val="none"/>
                <w:lang w:val="en-US" w:eastAsia="zh-CN"/>
              </w:rPr>
              <w:t>/h；质谱区废气采用原子吸收罩来收集，单个原子吸收罩风量按400m</w:t>
            </w:r>
            <w:r>
              <w:rPr>
                <w:rFonts w:hint="eastAsia"/>
                <w:sz w:val="24"/>
                <w:highlight w:val="none"/>
                <w:vertAlign w:val="superscript"/>
                <w:lang w:val="en-US" w:eastAsia="zh-CN"/>
              </w:rPr>
              <w:t>3</w:t>
            </w:r>
            <w:r>
              <w:rPr>
                <w:rFonts w:hint="eastAsia"/>
                <w:sz w:val="24"/>
                <w:highlight w:val="none"/>
                <w:lang w:val="en-US" w:eastAsia="zh-CN"/>
              </w:rPr>
              <w:t>/h计，原子吸收罩合计数量为6个，则质谱区合计风量为2400m</w:t>
            </w:r>
            <w:r>
              <w:rPr>
                <w:rFonts w:hint="eastAsia"/>
                <w:sz w:val="24"/>
                <w:highlight w:val="none"/>
                <w:vertAlign w:val="superscript"/>
                <w:lang w:val="en-US" w:eastAsia="zh-CN"/>
              </w:rPr>
              <w:t>3</w:t>
            </w:r>
            <w:r>
              <w:rPr>
                <w:rFonts w:hint="eastAsia"/>
                <w:sz w:val="24"/>
                <w:highlight w:val="none"/>
                <w:lang w:val="en-US" w:eastAsia="zh-CN"/>
              </w:rPr>
              <w:t>/h；试剂间设置了62个试剂柜，均自带抽风装置，单个试剂柜风量按50m</w:t>
            </w:r>
            <w:r>
              <w:rPr>
                <w:rFonts w:hint="eastAsia"/>
                <w:sz w:val="24"/>
                <w:highlight w:val="none"/>
                <w:vertAlign w:val="superscript"/>
                <w:lang w:val="en-US" w:eastAsia="zh-CN"/>
              </w:rPr>
              <w:t>3</w:t>
            </w:r>
            <w:r>
              <w:rPr>
                <w:rFonts w:hint="eastAsia"/>
                <w:sz w:val="24"/>
                <w:highlight w:val="none"/>
                <w:lang w:val="en-US" w:eastAsia="zh-CN"/>
              </w:rPr>
              <w:t>/h计，则试剂间的收集风量为3100m</w:t>
            </w:r>
            <w:r>
              <w:rPr>
                <w:rFonts w:hint="eastAsia"/>
                <w:sz w:val="24"/>
                <w:highlight w:val="none"/>
                <w:vertAlign w:val="superscript"/>
                <w:lang w:val="en-US" w:eastAsia="zh-CN"/>
              </w:rPr>
              <w:t>3</w:t>
            </w:r>
            <w:r>
              <w:rPr>
                <w:rFonts w:hint="eastAsia"/>
                <w:sz w:val="24"/>
                <w:highlight w:val="none"/>
                <w:lang w:val="en-US" w:eastAsia="zh-CN"/>
              </w:rPr>
              <w:t>/h。上述废气合计风量为56850m</w:t>
            </w:r>
            <w:r>
              <w:rPr>
                <w:rFonts w:hint="eastAsia"/>
                <w:sz w:val="24"/>
                <w:highlight w:val="none"/>
                <w:vertAlign w:val="superscript"/>
                <w:lang w:val="en-US" w:eastAsia="zh-CN"/>
              </w:rPr>
              <w:t>3</w:t>
            </w:r>
            <w:r>
              <w:rPr>
                <w:rFonts w:hint="eastAsia"/>
                <w:sz w:val="24"/>
                <w:highlight w:val="none"/>
                <w:lang w:val="en-US" w:eastAsia="zh-CN"/>
              </w:rPr>
              <w:t>/h，废气收集效率取90%，年工作时间为2080h/a</w:t>
            </w:r>
            <w:r>
              <w:rPr>
                <w:rFonts w:hint="eastAsia"/>
                <w:sz w:val="24"/>
                <w:highlight w:val="none"/>
                <w:lang w:eastAsia="zh-CN"/>
              </w:rPr>
              <w:t>。</w:t>
            </w:r>
          </w:p>
          <w:p w14:paraId="0F453F84">
            <w:pPr>
              <w:keepNext w:val="0"/>
              <w:keepLines w:val="0"/>
              <w:suppressLineNumbers w:val="0"/>
              <w:spacing w:before="0" w:beforeAutospacing="0" w:after="0" w:afterAutospacing="0" w:line="360" w:lineRule="auto"/>
              <w:ind w:left="0" w:right="0" w:firstLine="480" w:firstLineChars="200"/>
              <w:jc w:val="both"/>
              <w:rPr>
                <w:rFonts w:hint="default"/>
                <w:sz w:val="24"/>
                <w:highlight w:val="none"/>
                <w:lang w:val="en-US" w:eastAsia="zh-CN"/>
              </w:rPr>
            </w:pPr>
            <w:r>
              <w:rPr>
                <w:rFonts w:hint="eastAsia"/>
                <w:sz w:val="24"/>
                <w:highlight w:val="none"/>
                <w:lang w:val="en-US" w:eastAsia="zh-CN"/>
              </w:rPr>
              <w:t>7）DA017（生物实验室废气）</w:t>
            </w:r>
          </w:p>
          <w:p w14:paraId="5BC73B0F">
            <w:pPr>
              <w:keepNext w:val="0"/>
              <w:keepLines w:val="0"/>
              <w:suppressLineNumbers w:val="0"/>
              <w:spacing w:before="0" w:beforeAutospacing="0" w:after="0" w:afterAutospacing="0" w:line="360" w:lineRule="auto"/>
              <w:ind w:left="0" w:right="0" w:firstLine="480" w:firstLineChars="200"/>
              <w:jc w:val="both"/>
              <w:rPr>
                <w:rFonts w:hint="eastAsia"/>
                <w:sz w:val="24"/>
                <w:highlight w:val="none"/>
              </w:rPr>
            </w:pPr>
            <w:r>
              <w:rPr>
                <w:rFonts w:hint="eastAsia"/>
                <w:sz w:val="24"/>
                <w:highlight w:val="none"/>
                <w:lang w:val="en-US" w:eastAsia="zh-CN"/>
              </w:rPr>
              <w:t>根据企业提供的废气设计方案</w:t>
            </w:r>
            <w:r>
              <w:rPr>
                <w:rFonts w:hint="eastAsia"/>
                <w:sz w:val="24"/>
                <w:highlight w:val="none"/>
              </w:rPr>
              <w:t>，</w:t>
            </w:r>
            <w:r>
              <w:rPr>
                <w:rFonts w:hint="eastAsia"/>
                <w:sz w:val="24"/>
                <w:highlight w:val="none"/>
                <w:lang w:val="en-US" w:eastAsia="zh-CN"/>
              </w:rPr>
              <w:t>生物实验室废气采用通风橱（1.5m宽）以及万向集气罩来收集，单个通风橱（1.5m宽）风量按1300m</w:t>
            </w:r>
            <w:r>
              <w:rPr>
                <w:rFonts w:hint="eastAsia"/>
                <w:sz w:val="24"/>
                <w:highlight w:val="none"/>
                <w:vertAlign w:val="superscript"/>
                <w:lang w:val="en-US" w:eastAsia="zh-CN"/>
              </w:rPr>
              <w:t>3</w:t>
            </w:r>
            <w:r>
              <w:rPr>
                <w:rFonts w:hint="eastAsia"/>
                <w:sz w:val="24"/>
                <w:highlight w:val="none"/>
                <w:lang w:val="en-US" w:eastAsia="zh-CN"/>
              </w:rPr>
              <w:t>/h计，通风橱（1.5m宽）数量为14个，单个万向集气罩风量按200m</w:t>
            </w:r>
            <w:r>
              <w:rPr>
                <w:rFonts w:hint="eastAsia"/>
                <w:sz w:val="24"/>
                <w:highlight w:val="none"/>
                <w:vertAlign w:val="superscript"/>
                <w:lang w:val="en-US" w:eastAsia="zh-CN"/>
              </w:rPr>
              <w:t>3</w:t>
            </w:r>
            <w:r>
              <w:rPr>
                <w:rFonts w:hint="eastAsia"/>
                <w:sz w:val="24"/>
                <w:highlight w:val="none"/>
                <w:lang w:val="en-US" w:eastAsia="zh-CN"/>
              </w:rPr>
              <w:t>/h计，万向集气罩合计数量为78个，则生物实验室合计风量为33800m</w:t>
            </w:r>
            <w:r>
              <w:rPr>
                <w:rFonts w:hint="eastAsia"/>
                <w:sz w:val="24"/>
                <w:highlight w:val="none"/>
                <w:vertAlign w:val="superscript"/>
                <w:lang w:val="en-US" w:eastAsia="zh-CN"/>
              </w:rPr>
              <w:t>3</w:t>
            </w:r>
            <w:r>
              <w:rPr>
                <w:rFonts w:hint="eastAsia"/>
                <w:sz w:val="24"/>
                <w:highlight w:val="none"/>
                <w:lang w:val="en-US" w:eastAsia="zh-CN"/>
              </w:rPr>
              <w:t>/h。</w:t>
            </w:r>
          </w:p>
          <w:p w14:paraId="69398BD5">
            <w:pPr>
              <w:keepNext w:val="0"/>
              <w:keepLines w:val="0"/>
              <w:suppressLineNumbers w:val="0"/>
              <w:spacing w:before="0" w:beforeAutospacing="0" w:after="0" w:afterAutospacing="0" w:line="360" w:lineRule="auto"/>
              <w:ind w:left="0" w:right="0" w:firstLine="480" w:firstLineChars="200"/>
              <w:jc w:val="both"/>
              <w:rPr>
                <w:rFonts w:hint="default"/>
                <w:sz w:val="24"/>
                <w:highlight w:val="none"/>
                <w:lang w:val="en-US" w:eastAsia="zh-CN"/>
              </w:rPr>
            </w:pPr>
            <w:r>
              <w:rPr>
                <w:rFonts w:hint="eastAsia"/>
                <w:sz w:val="24"/>
                <w:highlight w:val="none"/>
                <w:lang w:val="en-US" w:eastAsia="zh-CN"/>
              </w:rPr>
              <w:t>8）DA018（药物制剂实验室、仪器室废气）</w:t>
            </w:r>
          </w:p>
          <w:p w14:paraId="505110F5">
            <w:pPr>
              <w:keepNext w:val="0"/>
              <w:keepLines w:val="0"/>
              <w:suppressLineNumbers w:val="0"/>
              <w:spacing w:before="0" w:beforeAutospacing="0" w:after="0" w:afterAutospacing="0" w:line="360" w:lineRule="auto"/>
              <w:ind w:left="0" w:right="0" w:firstLine="480" w:firstLineChars="200"/>
              <w:jc w:val="both"/>
              <w:rPr>
                <w:rFonts w:hint="eastAsia"/>
                <w:sz w:val="24"/>
                <w:highlight w:val="none"/>
              </w:rPr>
            </w:pPr>
            <w:r>
              <w:rPr>
                <w:rFonts w:hint="eastAsia"/>
                <w:sz w:val="24"/>
                <w:highlight w:val="none"/>
                <w:lang w:val="en-US" w:eastAsia="zh-CN"/>
              </w:rPr>
              <w:t>根据企业提供的废气设计方案</w:t>
            </w:r>
            <w:r>
              <w:rPr>
                <w:rFonts w:hint="eastAsia"/>
                <w:sz w:val="24"/>
                <w:highlight w:val="none"/>
              </w:rPr>
              <w:t>，</w:t>
            </w:r>
            <w:r>
              <w:rPr>
                <w:rFonts w:hint="eastAsia"/>
                <w:sz w:val="24"/>
                <w:highlight w:val="none"/>
                <w:lang w:val="en-US" w:eastAsia="zh-CN"/>
              </w:rPr>
              <w:t>药物制剂实验室废气采用通风橱（1.5m宽）来收集，单个通风橱（1.5m宽）风量按1300m</w:t>
            </w:r>
            <w:r>
              <w:rPr>
                <w:rFonts w:hint="eastAsia"/>
                <w:sz w:val="24"/>
                <w:highlight w:val="none"/>
                <w:vertAlign w:val="superscript"/>
                <w:lang w:val="en-US" w:eastAsia="zh-CN"/>
              </w:rPr>
              <w:t>3</w:t>
            </w:r>
            <w:r>
              <w:rPr>
                <w:rFonts w:hint="eastAsia"/>
                <w:sz w:val="24"/>
                <w:highlight w:val="none"/>
                <w:lang w:val="en-US" w:eastAsia="zh-CN"/>
              </w:rPr>
              <w:t>/h计，通风橱（1.5m宽）数量为34个，则药物制剂实验室合计风量为44200m</w:t>
            </w:r>
            <w:r>
              <w:rPr>
                <w:rFonts w:hint="eastAsia"/>
                <w:sz w:val="24"/>
                <w:highlight w:val="none"/>
                <w:vertAlign w:val="superscript"/>
                <w:lang w:val="en-US" w:eastAsia="zh-CN"/>
              </w:rPr>
              <w:t>3</w:t>
            </w:r>
            <w:r>
              <w:rPr>
                <w:rFonts w:hint="eastAsia"/>
                <w:sz w:val="24"/>
                <w:highlight w:val="none"/>
                <w:lang w:val="en-US" w:eastAsia="zh-CN"/>
              </w:rPr>
              <w:t>/h；仪器室废气采用万向集气罩来收集，单个万向集气罩风量按200m</w:t>
            </w:r>
            <w:r>
              <w:rPr>
                <w:rFonts w:hint="eastAsia"/>
                <w:sz w:val="24"/>
                <w:highlight w:val="none"/>
                <w:vertAlign w:val="superscript"/>
                <w:lang w:val="en-US" w:eastAsia="zh-CN"/>
              </w:rPr>
              <w:t>3</w:t>
            </w:r>
            <w:r>
              <w:rPr>
                <w:rFonts w:hint="eastAsia"/>
                <w:sz w:val="24"/>
                <w:highlight w:val="none"/>
                <w:lang w:val="en-US" w:eastAsia="zh-CN"/>
              </w:rPr>
              <w:t>/h计，万向集气罩合计数量为33个，则仪器室合计风量为6600m</w:t>
            </w:r>
            <w:r>
              <w:rPr>
                <w:rFonts w:hint="eastAsia"/>
                <w:sz w:val="24"/>
                <w:highlight w:val="none"/>
                <w:vertAlign w:val="superscript"/>
                <w:lang w:val="en-US" w:eastAsia="zh-CN"/>
              </w:rPr>
              <w:t>3</w:t>
            </w:r>
            <w:r>
              <w:rPr>
                <w:rFonts w:hint="eastAsia"/>
                <w:sz w:val="24"/>
                <w:highlight w:val="none"/>
                <w:lang w:val="en-US" w:eastAsia="zh-CN"/>
              </w:rPr>
              <w:t>/h。上述废气合计风量为50800m</w:t>
            </w:r>
            <w:r>
              <w:rPr>
                <w:rFonts w:hint="eastAsia"/>
                <w:sz w:val="24"/>
                <w:highlight w:val="none"/>
                <w:vertAlign w:val="superscript"/>
                <w:lang w:val="en-US" w:eastAsia="zh-CN"/>
              </w:rPr>
              <w:t>3</w:t>
            </w:r>
            <w:r>
              <w:rPr>
                <w:rFonts w:hint="eastAsia"/>
                <w:sz w:val="24"/>
                <w:highlight w:val="none"/>
                <w:lang w:val="en-US" w:eastAsia="zh-CN"/>
              </w:rPr>
              <w:t>/h，废气收集效率取90%，年工作时间为2080h/a。</w:t>
            </w:r>
          </w:p>
          <w:p w14:paraId="27E010A2">
            <w:pPr>
              <w:keepNext w:val="0"/>
              <w:keepLines w:val="0"/>
              <w:suppressLineNumbers w:val="0"/>
              <w:spacing w:before="0" w:beforeAutospacing="0" w:after="0" w:afterAutospacing="0" w:line="360" w:lineRule="auto"/>
              <w:ind w:left="0" w:right="0" w:firstLine="480" w:firstLineChars="200"/>
              <w:jc w:val="both"/>
              <w:rPr>
                <w:rFonts w:hint="default"/>
                <w:sz w:val="24"/>
                <w:highlight w:val="none"/>
                <w:lang w:val="en-US" w:eastAsia="zh-CN"/>
              </w:rPr>
            </w:pPr>
            <w:r>
              <w:rPr>
                <w:rFonts w:hint="eastAsia"/>
                <w:sz w:val="24"/>
                <w:highlight w:val="none"/>
                <w:lang w:val="en-US" w:eastAsia="zh-CN"/>
              </w:rPr>
              <w:t>9）DA019（药物制剂实验室、储藏间废气）</w:t>
            </w:r>
          </w:p>
          <w:p w14:paraId="11268B41">
            <w:pPr>
              <w:keepNext w:val="0"/>
              <w:keepLines w:val="0"/>
              <w:suppressLineNumbers w:val="0"/>
              <w:spacing w:before="0" w:beforeAutospacing="0" w:after="0" w:afterAutospacing="0" w:line="360" w:lineRule="auto"/>
              <w:ind w:left="0" w:right="0" w:firstLine="480" w:firstLineChars="200"/>
              <w:jc w:val="both"/>
              <w:rPr>
                <w:rFonts w:hint="eastAsia"/>
                <w:sz w:val="24"/>
                <w:highlight w:val="none"/>
              </w:rPr>
            </w:pPr>
            <w:r>
              <w:rPr>
                <w:rFonts w:hint="eastAsia"/>
                <w:sz w:val="24"/>
                <w:highlight w:val="none"/>
                <w:lang w:val="en-US" w:eastAsia="zh-CN"/>
              </w:rPr>
              <w:t>根据企业提供的废气设计方案</w:t>
            </w:r>
            <w:r>
              <w:rPr>
                <w:rFonts w:hint="eastAsia"/>
                <w:sz w:val="24"/>
                <w:highlight w:val="none"/>
              </w:rPr>
              <w:t>，</w:t>
            </w:r>
            <w:r>
              <w:rPr>
                <w:rFonts w:hint="eastAsia"/>
                <w:sz w:val="24"/>
                <w:highlight w:val="none"/>
                <w:lang w:val="en-US" w:eastAsia="zh-CN"/>
              </w:rPr>
              <w:t>药物制剂实验室废气采用通风橱（1.5m宽）和试剂柜来收集，单个通风橱（1.5m宽）风量按1300m</w:t>
            </w:r>
            <w:r>
              <w:rPr>
                <w:rFonts w:hint="eastAsia"/>
                <w:sz w:val="24"/>
                <w:highlight w:val="none"/>
                <w:vertAlign w:val="superscript"/>
                <w:lang w:val="en-US" w:eastAsia="zh-CN"/>
              </w:rPr>
              <w:t>3</w:t>
            </w:r>
            <w:r>
              <w:rPr>
                <w:rFonts w:hint="eastAsia"/>
                <w:sz w:val="24"/>
                <w:highlight w:val="none"/>
                <w:lang w:val="en-US" w:eastAsia="zh-CN"/>
              </w:rPr>
              <w:t>/h计，通风橱（1.5m宽）数量为20个，单个试剂柜风量按50m</w:t>
            </w:r>
            <w:r>
              <w:rPr>
                <w:rFonts w:hint="eastAsia"/>
                <w:sz w:val="24"/>
                <w:highlight w:val="none"/>
                <w:vertAlign w:val="superscript"/>
                <w:lang w:val="en-US" w:eastAsia="zh-CN"/>
              </w:rPr>
              <w:t>3</w:t>
            </w:r>
            <w:r>
              <w:rPr>
                <w:rFonts w:hint="eastAsia"/>
                <w:sz w:val="24"/>
                <w:highlight w:val="none"/>
                <w:lang w:val="en-US" w:eastAsia="zh-CN"/>
              </w:rPr>
              <w:t>/h计，试剂柜数量为6个，则药物制剂实验室合计风量为26300m</w:t>
            </w:r>
            <w:r>
              <w:rPr>
                <w:rFonts w:hint="eastAsia"/>
                <w:sz w:val="24"/>
                <w:highlight w:val="none"/>
                <w:vertAlign w:val="superscript"/>
                <w:lang w:val="en-US" w:eastAsia="zh-CN"/>
              </w:rPr>
              <w:t>3</w:t>
            </w:r>
            <w:r>
              <w:rPr>
                <w:rFonts w:hint="eastAsia"/>
                <w:sz w:val="24"/>
                <w:highlight w:val="none"/>
                <w:lang w:val="en-US" w:eastAsia="zh-CN"/>
              </w:rPr>
              <w:t>/h；试剂间设置了161个试剂柜，均自带抽风装置，单个试剂柜风量按50m</w:t>
            </w:r>
            <w:r>
              <w:rPr>
                <w:rFonts w:hint="eastAsia"/>
                <w:sz w:val="24"/>
                <w:highlight w:val="none"/>
                <w:vertAlign w:val="superscript"/>
                <w:lang w:val="en-US" w:eastAsia="zh-CN"/>
              </w:rPr>
              <w:t>3</w:t>
            </w:r>
            <w:r>
              <w:rPr>
                <w:rFonts w:hint="eastAsia"/>
                <w:sz w:val="24"/>
                <w:highlight w:val="none"/>
                <w:lang w:val="en-US" w:eastAsia="zh-CN"/>
              </w:rPr>
              <w:t>/h计，则试剂间的收集风量为8050m</w:t>
            </w:r>
            <w:r>
              <w:rPr>
                <w:rFonts w:hint="eastAsia"/>
                <w:sz w:val="24"/>
                <w:highlight w:val="none"/>
                <w:vertAlign w:val="superscript"/>
                <w:lang w:val="en-US" w:eastAsia="zh-CN"/>
              </w:rPr>
              <w:t>3</w:t>
            </w:r>
            <w:r>
              <w:rPr>
                <w:rFonts w:hint="eastAsia"/>
                <w:sz w:val="24"/>
                <w:highlight w:val="none"/>
                <w:lang w:val="en-US" w:eastAsia="zh-CN"/>
              </w:rPr>
              <w:t>/h。上述废气合计风量为34350m</w:t>
            </w:r>
            <w:r>
              <w:rPr>
                <w:rFonts w:hint="eastAsia"/>
                <w:sz w:val="24"/>
                <w:highlight w:val="none"/>
                <w:vertAlign w:val="superscript"/>
                <w:lang w:val="en-US" w:eastAsia="zh-CN"/>
              </w:rPr>
              <w:t>3</w:t>
            </w:r>
            <w:r>
              <w:rPr>
                <w:rFonts w:hint="eastAsia"/>
                <w:sz w:val="24"/>
                <w:highlight w:val="none"/>
                <w:lang w:val="en-US" w:eastAsia="zh-CN"/>
              </w:rPr>
              <w:t>/h，废气收集效率取90%，年工作时间为2080h/a。</w:t>
            </w:r>
          </w:p>
          <w:p w14:paraId="585BD3AA">
            <w:pPr>
              <w:keepNext w:val="0"/>
              <w:keepLines w:val="0"/>
              <w:suppressLineNumbers w:val="0"/>
              <w:spacing w:before="0" w:beforeAutospacing="0" w:after="0" w:afterAutospacing="0" w:line="360" w:lineRule="auto"/>
              <w:ind w:left="0" w:right="0" w:firstLine="482" w:firstLineChars="200"/>
              <w:jc w:val="both"/>
              <w:rPr>
                <w:rFonts w:hint="default" w:eastAsia="宋体"/>
                <w:b/>
                <w:bCs/>
                <w:sz w:val="24"/>
                <w:highlight w:val="none"/>
                <w:lang w:val="en-US" w:eastAsia="zh-CN"/>
              </w:rPr>
            </w:pPr>
            <w:r>
              <w:rPr>
                <w:rFonts w:hint="eastAsia"/>
                <w:b/>
                <w:bCs/>
                <w:sz w:val="24"/>
                <w:highlight w:val="none"/>
                <w:lang w:val="en-US" w:eastAsia="zh-CN"/>
              </w:rPr>
              <w:t>废气收集方式合理性分析：</w:t>
            </w:r>
          </w:p>
          <w:p w14:paraId="46C5707C">
            <w:pPr>
              <w:keepNext w:val="0"/>
              <w:keepLines w:val="0"/>
              <w:suppressLineNumbers w:val="0"/>
              <w:spacing w:before="0" w:beforeAutospacing="0" w:after="0" w:afterAutospacing="0" w:line="360" w:lineRule="auto"/>
              <w:ind w:left="0" w:right="0" w:firstLine="482" w:firstLineChars="200"/>
              <w:jc w:val="center"/>
              <w:rPr>
                <w:rFonts w:hint="eastAsia"/>
                <w:b/>
                <w:bCs/>
                <w:sz w:val="24"/>
                <w:highlight w:val="none"/>
                <w:lang w:val="en-US" w:eastAsia="zh-CN"/>
              </w:rPr>
            </w:pPr>
          </w:p>
          <w:p w14:paraId="2D438996">
            <w:pPr>
              <w:keepNext w:val="0"/>
              <w:keepLines w:val="0"/>
              <w:suppressLineNumbers w:val="0"/>
              <w:spacing w:before="0" w:beforeAutospacing="0" w:after="0" w:afterAutospacing="0" w:line="360" w:lineRule="auto"/>
              <w:ind w:left="0" w:right="0" w:firstLine="482" w:firstLineChars="200"/>
              <w:jc w:val="center"/>
              <w:rPr>
                <w:rFonts w:hint="default" w:eastAsia="宋体"/>
                <w:sz w:val="24"/>
                <w:highlight w:val="none"/>
                <w:lang w:val="en-US" w:eastAsia="zh-CN"/>
              </w:rPr>
            </w:pPr>
            <w:r>
              <w:rPr>
                <w:rFonts w:hint="eastAsia"/>
                <w:b/>
                <w:bCs/>
                <w:sz w:val="24"/>
                <w:highlight w:val="none"/>
                <w:lang w:val="en-US" w:eastAsia="zh-CN"/>
              </w:rPr>
              <w:t>表7-19 与《挥发性有机物无组织排放控制标准》相符性分析</w:t>
            </w:r>
          </w:p>
          <w:tbl>
            <w:tblPr>
              <w:tblStyle w:val="33"/>
              <w:tblW w:w="4998"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553"/>
              <w:gridCol w:w="3441"/>
              <w:gridCol w:w="3286"/>
              <w:gridCol w:w="903"/>
            </w:tblGrid>
            <w:tr w14:paraId="00E8711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38" w:type="pct"/>
                  <w:tcMar>
                    <w:top w:w="0" w:type="dxa"/>
                    <w:left w:w="28" w:type="dxa"/>
                    <w:bottom w:w="0" w:type="dxa"/>
                    <w:right w:w="28" w:type="dxa"/>
                  </w:tcMar>
                  <w:vAlign w:val="center"/>
                </w:tcPr>
                <w:p w14:paraId="4409A5EB">
                  <w:pPr>
                    <w:keepNext w:val="0"/>
                    <w:keepLines w:val="0"/>
                    <w:pageBreakBefore w:val="0"/>
                    <w:widowControl w:val="0"/>
                    <w:suppressLineNumbers w:val="0"/>
                    <w:tabs>
                      <w:tab w:val="left" w:pos="3183"/>
                    </w:tabs>
                    <w:kinsoku/>
                    <w:wordWrap/>
                    <w:overflowPunct/>
                    <w:topLinePunct w:val="0"/>
                    <w:autoSpaceDE/>
                    <w:autoSpaceDN/>
                    <w:bidi w:val="0"/>
                    <w:adjustRightInd/>
                    <w:snapToGrid/>
                    <w:spacing w:before="0" w:beforeAutospacing="0" w:after="0" w:afterAutospacing="0" w:line="240" w:lineRule="auto"/>
                    <w:ind w:left="0" w:right="0"/>
                    <w:jc w:val="center"/>
                    <w:textAlignment w:val="auto"/>
                    <w:rPr>
                      <w:rFonts w:hint="default" w:eastAsia="宋体"/>
                      <w:sz w:val="21"/>
                      <w:szCs w:val="21"/>
                      <w:highlight w:val="none"/>
                      <w:vertAlign w:val="baseline"/>
                      <w:lang w:val="en-US" w:eastAsia="zh-CN"/>
                    </w:rPr>
                  </w:pPr>
                  <w:r>
                    <w:rPr>
                      <w:rFonts w:hint="eastAsia"/>
                      <w:sz w:val="21"/>
                      <w:szCs w:val="21"/>
                      <w:highlight w:val="none"/>
                      <w:vertAlign w:val="baseline"/>
                      <w:lang w:val="en-US" w:eastAsia="zh-CN"/>
                    </w:rPr>
                    <w:t>序号</w:t>
                  </w:r>
                </w:p>
              </w:tc>
              <w:tc>
                <w:tcPr>
                  <w:tcW w:w="2102" w:type="pct"/>
                  <w:tcMar>
                    <w:top w:w="0" w:type="dxa"/>
                    <w:left w:w="28" w:type="dxa"/>
                    <w:bottom w:w="0" w:type="dxa"/>
                    <w:right w:w="28" w:type="dxa"/>
                  </w:tcMar>
                  <w:vAlign w:val="center"/>
                </w:tcPr>
                <w:p w14:paraId="36CABAD4">
                  <w:pPr>
                    <w:keepNext w:val="0"/>
                    <w:keepLines w:val="0"/>
                    <w:pageBreakBefore w:val="0"/>
                    <w:widowControl w:val="0"/>
                    <w:suppressLineNumbers w:val="0"/>
                    <w:tabs>
                      <w:tab w:val="left" w:pos="3183"/>
                    </w:tabs>
                    <w:kinsoku/>
                    <w:wordWrap/>
                    <w:overflowPunct/>
                    <w:topLinePunct w:val="0"/>
                    <w:autoSpaceDE/>
                    <w:autoSpaceDN/>
                    <w:bidi w:val="0"/>
                    <w:adjustRightInd/>
                    <w:snapToGrid/>
                    <w:spacing w:before="0" w:beforeAutospacing="0" w:after="0" w:afterAutospacing="0" w:line="240" w:lineRule="auto"/>
                    <w:ind w:left="0" w:right="0"/>
                    <w:jc w:val="center"/>
                    <w:textAlignment w:val="auto"/>
                    <w:rPr>
                      <w:rFonts w:hint="default" w:eastAsia="宋体"/>
                      <w:sz w:val="21"/>
                      <w:szCs w:val="21"/>
                      <w:highlight w:val="none"/>
                      <w:vertAlign w:val="baseline"/>
                      <w:lang w:val="en-US" w:eastAsia="zh-CN"/>
                    </w:rPr>
                  </w:pPr>
                  <w:r>
                    <w:rPr>
                      <w:rFonts w:hint="eastAsia"/>
                      <w:sz w:val="21"/>
                      <w:szCs w:val="21"/>
                      <w:highlight w:val="none"/>
                      <w:vertAlign w:val="baseline"/>
                      <w:lang w:val="en-US" w:eastAsia="zh-CN"/>
                    </w:rPr>
                    <w:t>文件要求</w:t>
                  </w:r>
                </w:p>
              </w:tc>
              <w:tc>
                <w:tcPr>
                  <w:tcW w:w="2007" w:type="pct"/>
                  <w:tcMar>
                    <w:top w:w="0" w:type="dxa"/>
                    <w:left w:w="28" w:type="dxa"/>
                    <w:bottom w:w="0" w:type="dxa"/>
                    <w:right w:w="28" w:type="dxa"/>
                  </w:tcMar>
                  <w:vAlign w:val="center"/>
                </w:tcPr>
                <w:p w14:paraId="2B1311D0">
                  <w:pPr>
                    <w:keepNext w:val="0"/>
                    <w:keepLines w:val="0"/>
                    <w:pageBreakBefore w:val="0"/>
                    <w:widowControl w:val="0"/>
                    <w:suppressLineNumbers w:val="0"/>
                    <w:tabs>
                      <w:tab w:val="left" w:pos="3183"/>
                    </w:tabs>
                    <w:kinsoku/>
                    <w:wordWrap/>
                    <w:overflowPunct/>
                    <w:topLinePunct w:val="0"/>
                    <w:autoSpaceDE/>
                    <w:autoSpaceDN/>
                    <w:bidi w:val="0"/>
                    <w:adjustRightInd/>
                    <w:snapToGrid/>
                    <w:spacing w:before="0" w:beforeAutospacing="0" w:after="0" w:afterAutospacing="0" w:line="240" w:lineRule="auto"/>
                    <w:ind w:left="0" w:right="0"/>
                    <w:jc w:val="center"/>
                    <w:textAlignment w:val="auto"/>
                    <w:rPr>
                      <w:rFonts w:hint="default" w:eastAsia="宋体"/>
                      <w:sz w:val="21"/>
                      <w:szCs w:val="21"/>
                      <w:highlight w:val="none"/>
                      <w:vertAlign w:val="baseline"/>
                      <w:lang w:val="en-US" w:eastAsia="zh-CN"/>
                    </w:rPr>
                  </w:pPr>
                  <w:r>
                    <w:rPr>
                      <w:rFonts w:hint="eastAsia"/>
                      <w:sz w:val="21"/>
                      <w:szCs w:val="21"/>
                      <w:highlight w:val="none"/>
                      <w:vertAlign w:val="baseline"/>
                      <w:lang w:val="en-US" w:eastAsia="zh-CN"/>
                    </w:rPr>
                    <w:t>本项目情况</w:t>
                  </w:r>
                </w:p>
              </w:tc>
              <w:tc>
                <w:tcPr>
                  <w:tcW w:w="551" w:type="pct"/>
                  <w:tcMar>
                    <w:top w:w="0" w:type="dxa"/>
                    <w:left w:w="28" w:type="dxa"/>
                    <w:bottom w:w="0" w:type="dxa"/>
                    <w:right w:w="28" w:type="dxa"/>
                  </w:tcMar>
                  <w:vAlign w:val="center"/>
                </w:tcPr>
                <w:p w14:paraId="604977A5">
                  <w:pPr>
                    <w:keepNext w:val="0"/>
                    <w:keepLines w:val="0"/>
                    <w:pageBreakBefore w:val="0"/>
                    <w:widowControl w:val="0"/>
                    <w:suppressLineNumbers w:val="0"/>
                    <w:tabs>
                      <w:tab w:val="left" w:pos="3183"/>
                    </w:tabs>
                    <w:kinsoku/>
                    <w:wordWrap/>
                    <w:overflowPunct/>
                    <w:topLinePunct w:val="0"/>
                    <w:autoSpaceDE/>
                    <w:autoSpaceDN/>
                    <w:bidi w:val="0"/>
                    <w:adjustRightInd/>
                    <w:snapToGrid/>
                    <w:spacing w:before="0" w:beforeAutospacing="0" w:after="0" w:afterAutospacing="0" w:line="240" w:lineRule="auto"/>
                    <w:ind w:left="0" w:right="0"/>
                    <w:jc w:val="center"/>
                    <w:textAlignment w:val="auto"/>
                    <w:rPr>
                      <w:rFonts w:hint="default"/>
                      <w:sz w:val="21"/>
                      <w:szCs w:val="21"/>
                      <w:highlight w:val="none"/>
                      <w:vertAlign w:val="baseline"/>
                      <w:lang w:val="en-US" w:eastAsia="zh-CN"/>
                    </w:rPr>
                  </w:pPr>
                  <w:r>
                    <w:rPr>
                      <w:rFonts w:hint="eastAsia"/>
                      <w:sz w:val="21"/>
                      <w:szCs w:val="21"/>
                      <w:highlight w:val="none"/>
                      <w:vertAlign w:val="baseline"/>
                      <w:lang w:val="en-US" w:eastAsia="zh-CN"/>
                    </w:rPr>
                    <w:t>是否符合要求</w:t>
                  </w:r>
                </w:p>
              </w:tc>
            </w:tr>
            <w:tr w14:paraId="2DFBBB1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38" w:type="pct"/>
                  <w:tcMar>
                    <w:top w:w="0" w:type="dxa"/>
                    <w:left w:w="28" w:type="dxa"/>
                    <w:bottom w:w="0" w:type="dxa"/>
                    <w:right w:w="28" w:type="dxa"/>
                  </w:tcMar>
                  <w:vAlign w:val="center"/>
                </w:tcPr>
                <w:p w14:paraId="4FCDC913">
                  <w:pPr>
                    <w:keepNext w:val="0"/>
                    <w:keepLines w:val="0"/>
                    <w:pageBreakBefore w:val="0"/>
                    <w:widowControl w:val="0"/>
                    <w:suppressLineNumbers w:val="0"/>
                    <w:tabs>
                      <w:tab w:val="left" w:pos="3183"/>
                    </w:tabs>
                    <w:kinsoku/>
                    <w:wordWrap/>
                    <w:overflowPunct/>
                    <w:topLinePunct w:val="0"/>
                    <w:autoSpaceDE/>
                    <w:autoSpaceDN/>
                    <w:bidi w:val="0"/>
                    <w:adjustRightInd/>
                    <w:snapToGrid/>
                    <w:spacing w:before="0" w:beforeAutospacing="0" w:after="0" w:afterAutospacing="0" w:line="240" w:lineRule="auto"/>
                    <w:ind w:left="0" w:right="0"/>
                    <w:jc w:val="center"/>
                    <w:textAlignment w:val="auto"/>
                    <w:rPr>
                      <w:rFonts w:hint="default"/>
                      <w:sz w:val="21"/>
                      <w:szCs w:val="21"/>
                      <w:highlight w:val="none"/>
                      <w:vertAlign w:val="baseline"/>
                      <w:lang w:val="en-US" w:eastAsia="zh-CN"/>
                    </w:rPr>
                  </w:pPr>
                  <w:r>
                    <w:rPr>
                      <w:rFonts w:hint="eastAsia"/>
                      <w:sz w:val="21"/>
                      <w:szCs w:val="21"/>
                      <w:highlight w:val="none"/>
                      <w:vertAlign w:val="baseline"/>
                      <w:lang w:val="en-US" w:eastAsia="zh-CN"/>
                    </w:rPr>
                    <w:t>1</w:t>
                  </w:r>
                </w:p>
              </w:tc>
              <w:tc>
                <w:tcPr>
                  <w:tcW w:w="2102" w:type="pct"/>
                  <w:tcMar>
                    <w:top w:w="0" w:type="dxa"/>
                    <w:left w:w="28" w:type="dxa"/>
                    <w:bottom w:w="0" w:type="dxa"/>
                    <w:right w:w="28" w:type="dxa"/>
                  </w:tcMar>
                  <w:vAlign w:val="center"/>
                </w:tcPr>
                <w:p w14:paraId="6AB5E854">
                  <w:pPr>
                    <w:keepNext w:val="0"/>
                    <w:keepLines w:val="0"/>
                    <w:pageBreakBefore w:val="0"/>
                    <w:widowControl w:val="0"/>
                    <w:suppressLineNumbers w:val="0"/>
                    <w:tabs>
                      <w:tab w:val="left" w:pos="3183"/>
                    </w:tabs>
                    <w:kinsoku/>
                    <w:wordWrap/>
                    <w:overflowPunct/>
                    <w:topLinePunct w:val="0"/>
                    <w:autoSpaceDE/>
                    <w:autoSpaceDN/>
                    <w:bidi w:val="0"/>
                    <w:adjustRightInd/>
                    <w:snapToGrid/>
                    <w:spacing w:before="0" w:beforeAutospacing="0" w:after="0" w:afterAutospacing="0" w:line="240" w:lineRule="auto"/>
                    <w:ind w:left="0" w:right="0"/>
                    <w:jc w:val="both"/>
                    <w:textAlignment w:val="auto"/>
                    <w:rPr>
                      <w:rFonts w:hint="eastAsia" w:eastAsia="宋体"/>
                      <w:sz w:val="21"/>
                      <w:szCs w:val="21"/>
                      <w:highlight w:val="none"/>
                      <w:vertAlign w:val="baseline"/>
                      <w:lang w:eastAsia="zh-CN"/>
                    </w:rPr>
                  </w:pPr>
                  <w:r>
                    <w:rPr>
                      <w:rFonts w:hint="eastAsia" w:eastAsia="宋体"/>
                      <w:sz w:val="21"/>
                      <w:szCs w:val="21"/>
                      <w:highlight w:val="none"/>
                      <w:vertAlign w:val="baseline"/>
                      <w:lang w:eastAsia="zh-CN"/>
                    </w:rPr>
                    <w:t>VOCs物料应储存于密闭的容器、包装袋、储罐、储库、料仓中。</w:t>
                  </w:r>
                </w:p>
              </w:tc>
              <w:tc>
                <w:tcPr>
                  <w:tcW w:w="2007" w:type="pct"/>
                  <w:tcMar>
                    <w:top w:w="0" w:type="dxa"/>
                    <w:left w:w="28" w:type="dxa"/>
                    <w:bottom w:w="0" w:type="dxa"/>
                    <w:right w:w="28" w:type="dxa"/>
                  </w:tcMar>
                  <w:vAlign w:val="center"/>
                </w:tcPr>
                <w:p w14:paraId="7A246342">
                  <w:pPr>
                    <w:keepNext w:val="0"/>
                    <w:keepLines w:val="0"/>
                    <w:pageBreakBefore w:val="0"/>
                    <w:widowControl w:val="0"/>
                    <w:suppressLineNumbers w:val="0"/>
                    <w:tabs>
                      <w:tab w:val="left" w:pos="3183"/>
                    </w:tabs>
                    <w:kinsoku/>
                    <w:wordWrap/>
                    <w:overflowPunct/>
                    <w:topLinePunct w:val="0"/>
                    <w:autoSpaceDE/>
                    <w:autoSpaceDN/>
                    <w:bidi w:val="0"/>
                    <w:adjustRightInd/>
                    <w:snapToGrid/>
                    <w:spacing w:before="0" w:beforeAutospacing="0" w:after="0" w:afterAutospacing="0" w:line="240" w:lineRule="auto"/>
                    <w:ind w:left="0" w:right="0"/>
                    <w:jc w:val="both"/>
                    <w:textAlignment w:val="auto"/>
                    <w:rPr>
                      <w:rFonts w:hint="default"/>
                      <w:sz w:val="21"/>
                      <w:szCs w:val="21"/>
                      <w:highlight w:val="none"/>
                      <w:vertAlign w:val="baseline"/>
                      <w:lang w:val="en-US" w:eastAsia="zh-CN"/>
                    </w:rPr>
                  </w:pPr>
                  <w:r>
                    <w:rPr>
                      <w:rFonts w:hint="eastAsia"/>
                      <w:sz w:val="21"/>
                      <w:szCs w:val="21"/>
                      <w:highlight w:val="none"/>
                      <w:vertAlign w:val="baseline"/>
                      <w:lang w:val="en-US" w:eastAsia="zh-CN"/>
                    </w:rPr>
                    <w:t>本项目实验室含VOCs试剂均存放于密闭的</w:t>
                  </w:r>
                  <w:r>
                    <w:rPr>
                      <w:rFonts w:hint="eastAsia" w:eastAsia="宋体"/>
                      <w:sz w:val="21"/>
                      <w:szCs w:val="21"/>
                      <w:highlight w:val="none"/>
                      <w:vertAlign w:val="baseline"/>
                      <w:lang w:eastAsia="zh-CN"/>
                    </w:rPr>
                    <w:t>容器</w:t>
                  </w:r>
                  <w:r>
                    <w:rPr>
                      <w:rFonts w:hint="eastAsia"/>
                      <w:sz w:val="21"/>
                      <w:szCs w:val="21"/>
                      <w:highlight w:val="none"/>
                      <w:vertAlign w:val="baseline"/>
                      <w:lang w:val="en-US" w:eastAsia="zh-CN"/>
                    </w:rPr>
                    <w:t>中。</w:t>
                  </w:r>
                </w:p>
              </w:tc>
              <w:tc>
                <w:tcPr>
                  <w:tcW w:w="551" w:type="pct"/>
                  <w:tcMar>
                    <w:top w:w="0" w:type="dxa"/>
                    <w:left w:w="28" w:type="dxa"/>
                    <w:bottom w:w="0" w:type="dxa"/>
                    <w:right w:w="28" w:type="dxa"/>
                  </w:tcMar>
                  <w:vAlign w:val="center"/>
                </w:tcPr>
                <w:p w14:paraId="38D4D5BF">
                  <w:pPr>
                    <w:keepNext w:val="0"/>
                    <w:keepLines w:val="0"/>
                    <w:pageBreakBefore w:val="0"/>
                    <w:widowControl w:val="0"/>
                    <w:suppressLineNumbers w:val="0"/>
                    <w:tabs>
                      <w:tab w:val="left" w:pos="3183"/>
                    </w:tabs>
                    <w:kinsoku/>
                    <w:wordWrap/>
                    <w:overflowPunct/>
                    <w:topLinePunct w:val="0"/>
                    <w:autoSpaceDE/>
                    <w:autoSpaceDN/>
                    <w:bidi w:val="0"/>
                    <w:adjustRightInd/>
                    <w:snapToGrid/>
                    <w:spacing w:before="0" w:beforeAutospacing="0" w:after="0" w:afterAutospacing="0" w:line="240" w:lineRule="auto"/>
                    <w:ind w:left="0" w:right="0"/>
                    <w:jc w:val="center"/>
                    <w:textAlignment w:val="auto"/>
                    <w:rPr>
                      <w:rFonts w:hint="default" w:eastAsia="宋体"/>
                      <w:sz w:val="21"/>
                      <w:szCs w:val="21"/>
                      <w:highlight w:val="none"/>
                      <w:vertAlign w:val="baseline"/>
                      <w:lang w:val="en-US" w:eastAsia="zh-CN"/>
                    </w:rPr>
                  </w:pPr>
                  <w:r>
                    <w:rPr>
                      <w:rFonts w:hint="eastAsia"/>
                      <w:sz w:val="21"/>
                      <w:szCs w:val="21"/>
                      <w:highlight w:val="none"/>
                      <w:vertAlign w:val="baseline"/>
                      <w:lang w:val="en-US" w:eastAsia="zh-CN"/>
                    </w:rPr>
                    <w:t>是</w:t>
                  </w:r>
                </w:p>
              </w:tc>
            </w:tr>
            <w:tr w14:paraId="0E2B736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38" w:type="pct"/>
                  <w:tcMar>
                    <w:top w:w="0" w:type="dxa"/>
                    <w:left w:w="28" w:type="dxa"/>
                    <w:bottom w:w="0" w:type="dxa"/>
                    <w:right w:w="28" w:type="dxa"/>
                  </w:tcMar>
                  <w:vAlign w:val="center"/>
                </w:tcPr>
                <w:p w14:paraId="5019B505">
                  <w:pPr>
                    <w:keepNext w:val="0"/>
                    <w:keepLines w:val="0"/>
                    <w:pageBreakBefore w:val="0"/>
                    <w:widowControl w:val="0"/>
                    <w:suppressLineNumbers w:val="0"/>
                    <w:tabs>
                      <w:tab w:val="left" w:pos="3183"/>
                    </w:tabs>
                    <w:kinsoku/>
                    <w:wordWrap/>
                    <w:overflowPunct/>
                    <w:topLinePunct w:val="0"/>
                    <w:autoSpaceDE/>
                    <w:autoSpaceDN/>
                    <w:bidi w:val="0"/>
                    <w:adjustRightInd/>
                    <w:snapToGrid/>
                    <w:spacing w:before="0" w:beforeAutospacing="0" w:after="0" w:afterAutospacing="0" w:line="240" w:lineRule="auto"/>
                    <w:ind w:left="0" w:right="0"/>
                    <w:jc w:val="center"/>
                    <w:textAlignment w:val="auto"/>
                    <w:rPr>
                      <w:rFonts w:hint="default"/>
                      <w:sz w:val="21"/>
                      <w:szCs w:val="21"/>
                      <w:highlight w:val="none"/>
                      <w:vertAlign w:val="baseline"/>
                      <w:lang w:val="en-US" w:eastAsia="zh-CN"/>
                    </w:rPr>
                  </w:pPr>
                  <w:r>
                    <w:rPr>
                      <w:rFonts w:hint="eastAsia"/>
                      <w:sz w:val="21"/>
                      <w:szCs w:val="21"/>
                      <w:highlight w:val="none"/>
                      <w:vertAlign w:val="baseline"/>
                      <w:lang w:val="en-US" w:eastAsia="zh-CN"/>
                    </w:rPr>
                    <w:t>2</w:t>
                  </w:r>
                </w:p>
              </w:tc>
              <w:tc>
                <w:tcPr>
                  <w:tcW w:w="2102" w:type="pct"/>
                  <w:tcMar>
                    <w:top w:w="0" w:type="dxa"/>
                    <w:left w:w="28" w:type="dxa"/>
                    <w:bottom w:w="0" w:type="dxa"/>
                    <w:right w:w="28" w:type="dxa"/>
                  </w:tcMar>
                  <w:vAlign w:val="center"/>
                </w:tcPr>
                <w:p w14:paraId="49847CF0">
                  <w:pPr>
                    <w:keepNext w:val="0"/>
                    <w:keepLines w:val="0"/>
                    <w:pageBreakBefore w:val="0"/>
                    <w:widowControl w:val="0"/>
                    <w:suppressLineNumbers w:val="0"/>
                    <w:tabs>
                      <w:tab w:val="left" w:pos="3183"/>
                    </w:tabs>
                    <w:kinsoku/>
                    <w:wordWrap/>
                    <w:overflowPunct/>
                    <w:topLinePunct w:val="0"/>
                    <w:autoSpaceDE/>
                    <w:autoSpaceDN/>
                    <w:bidi w:val="0"/>
                    <w:adjustRightInd/>
                    <w:snapToGrid/>
                    <w:spacing w:before="0" w:beforeAutospacing="0" w:after="0" w:afterAutospacing="0" w:line="240" w:lineRule="auto"/>
                    <w:ind w:left="0" w:right="0"/>
                    <w:jc w:val="both"/>
                    <w:textAlignment w:val="auto"/>
                    <w:rPr>
                      <w:rFonts w:hint="eastAsia" w:eastAsia="宋体"/>
                      <w:sz w:val="21"/>
                      <w:szCs w:val="21"/>
                      <w:highlight w:val="none"/>
                      <w:vertAlign w:val="baseline"/>
                      <w:lang w:eastAsia="zh-CN"/>
                    </w:rPr>
                  </w:pPr>
                  <w:r>
                    <w:rPr>
                      <w:rFonts w:hint="eastAsia" w:eastAsia="宋体"/>
                      <w:sz w:val="21"/>
                      <w:szCs w:val="21"/>
                      <w:highlight w:val="none"/>
                      <w:vertAlign w:val="baseline"/>
                      <w:lang w:eastAsia="zh-CN"/>
                    </w:rPr>
                    <w:t>盛装VOCs物料的容器或包装袋应存放于室内，或存放于设置有雨棚、遮阳和防渗设施的专用场地。盛装VOCs物料的容器或包装袋在非取用状态时应加盖、封口，保持密闭</w:t>
                  </w:r>
                  <w:r>
                    <w:rPr>
                      <w:rFonts w:hint="eastAsia"/>
                      <w:sz w:val="21"/>
                      <w:szCs w:val="21"/>
                      <w:highlight w:val="none"/>
                      <w:vertAlign w:val="baseline"/>
                      <w:lang w:eastAsia="zh-CN"/>
                    </w:rPr>
                    <w:t>。</w:t>
                  </w:r>
                </w:p>
              </w:tc>
              <w:tc>
                <w:tcPr>
                  <w:tcW w:w="2007" w:type="pct"/>
                  <w:tcMar>
                    <w:top w:w="0" w:type="dxa"/>
                    <w:left w:w="28" w:type="dxa"/>
                    <w:bottom w:w="0" w:type="dxa"/>
                    <w:right w:w="28" w:type="dxa"/>
                  </w:tcMar>
                  <w:vAlign w:val="center"/>
                </w:tcPr>
                <w:p w14:paraId="1A1B0A18">
                  <w:pPr>
                    <w:keepNext w:val="0"/>
                    <w:keepLines w:val="0"/>
                    <w:pageBreakBefore w:val="0"/>
                    <w:widowControl w:val="0"/>
                    <w:suppressLineNumbers w:val="0"/>
                    <w:tabs>
                      <w:tab w:val="left" w:pos="3183"/>
                    </w:tabs>
                    <w:kinsoku/>
                    <w:wordWrap/>
                    <w:overflowPunct/>
                    <w:topLinePunct w:val="0"/>
                    <w:autoSpaceDE/>
                    <w:autoSpaceDN/>
                    <w:bidi w:val="0"/>
                    <w:adjustRightInd/>
                    <w:snapToGrid/>
                    <w:spacing w:before="0" w:beforeAutospacing="0" w:after="0" w:afterAutospacing="0" w:line="240" w:lineRule="auto"/>
                    <w:ind w:left="0" w:right="0"/>
                    <w:jc w:val="both"/>
                    <w:textAlignment w:val="auto"/>
                    <w:rPr>
                      <w:rFonts w:hint="default"/>
                      <w:sz w:val="21"/>
                      <w:szCs w:val="21"/>
                      <w:highlight w:val="none"/>
                      <w:vertAlign w:val="baseline"/>
                      <w:lang w:val="en-US" w:eastAsia="zh-CN"/>
                    </w:rPr>
                  </w:pPr>
                  <w:r>
                    <w:rPr>
                      <w:rFonts w:hint="eastAsia"/>
                      <w:sz w:val="21"/>
                      <w:szCs w:val="21"/>
                      <w:highlight w:val="none"/>
                      <w:vertAlign w:val="baseline"/>
                      <w:lang w:val="en-US" w:eastAsia="zh-CN"/>
                    </w:rPr>
                    <w:t>本项目实验室</w:t>
                  </w:r>
                  <w:r>
                    <w:rPr>
                      <w:rFonts w:hint="eastAsia" w:eastAsia="宋体"/>
                      <w:sz w:val="21"/>
                      <w:szCs w:val="21"/>
                      <w:highlight w:val="none"/>
                      <w:vertAlign w:val="baseline"/>
                      <w:lang w:eastAsia="zh-CN"/>
                    </w:rPr>
                    <w:t>盛装VOCs物料的容器</w:t>
                  </w:r>
                  <w:r>
                    <w:rPr>
                      <w:rFonts w:hint="eastAsia"/>
                      <w:sz w:val="21"/>
                      <w:szCs w:val="21"/>
                      <w:highlight w:val="none"/>
                      <w:vertAlign w:val="baseline"/>
                      <w:lang w:val="en-US" w:eastAsia="zh-CN"/>
                    </w:rPr>
                    <w:t>存放于专用的试剂柜内，</w:t>
                  </w:r>
                  <w:r>
                    <w:rPr>
                      <w:rFonts w:hint="eastAsia" w:eastAsia="宋体"/>
                      <w:sz w:val="21"/>
                      <w:szCs w:val="21"/>
                      <w:highlight w:val="none"/>
                      <w:vertAlign w:val="baseline"/>
                      <w:lang w:eastAsia="zh-CN"/>
                    </w:rPr>
                    <w:t>盛装 VOCs物料的容器在非取用状态时</w:t>
                  </w:r>
                  <w:r>
                    <w:rPr>
                      <w:rFonts w:hint="eastAsia"/>
                      <w:sz w:val="21"/>
                      <w:szCs w:val="21"/>
                      <w:highlight w:val="none"/>
                      <w:vertAlign w:val="baseline"/>
                      <w:lang w:val="en-US" w:eastAsia="zh-CN"/>
                    </w:rPr>
                    <w:t>已</w:t>
                  </w:r>
                  <w:r>
                    <w:rPr>
                      <w:rFonts w:hint="eastAsia" w:eastAsia="宋体"/>
                      <w:sz w:val="21"/>
                      <w:szCs w:val="21"/>
                      <w:highlight w:val="none"/>
                      <w:vertAlign w:val="baseline"/>
                      <w:lang w:eastAsia="zh-CN"/>
                    </w:rPr>
                    <w:t>加盖、封口，保持密闭</w:t>
                  </w:r>
                </w:p>
              </w:tc>
              <w:tc>
                <w:tcPr>
                  <w:tcW w:w="551" w:type="pct"/>
                  <w:tcMar>
                    <w:top w:w="0" w:type="dxa"/>
                    <w:left w:w="28" w:type="dxa"/>
                    <w:bottom w:w="0" w:type="dxa"/>
                    <w:right w:w="28" w:type="dxa"/>
                  </w:tcMar>
                  <w:vAlign w:val="center"/>
                </w:tcPr>
                <w:p w14:paraId="45EA2D91">
                  <w:pPr>
                    <w:keepNext w:val="0"/>
                    <w:keepLines w:val="0"/>
                    <w:pageBreakBefore w:val="0"/>
                    <w:widowControl w:val="0"/>
                    <w:suppressLineNumbers w:val="0"/>
                    <w:tabs>
                      <w:tab w:val="left" w:pos="3183"/>
                    </w:tabs>
                    <w:kinsoku/>
                    <w:wordWrap/>
                    <w:overflowPunct/>
                    <w:topLinePunct w:val="0"/>
                    <w:autoSpaceDE/>
                    <w:autoSpaceDN/>
                    <w:bidi w:val="0"/>
                    <w:adjustRightInd/>
                    <w:snapToGrid/>
                    <w:spacing w:before="0" w:beforeAutospacing="0" w:after="0" w:afterAutospacing="0" w:line="240" w:lineRule="auto"/>
                    <w:ind w:left="0" w:right="0"/>
                    <w:jc w:val="center"/>
                    <w:textAlignment w:val="auto"/>
                    <w:rPr>
                      <w:rFonts w:hint="eastAsia" w:eastAsia="宋体"/>
                      <w:sz w:val="21"/>
                      <w:szCs w:val="21"/>
                      <w:highlight w:val="none"/>
                      <w:vertAlign w:val="baseline"/>
                      <w:lang w:eastAsia="zh-CN"/>
                    </w:rPr>
                  </w:pPr>
                  <w:r>
                    <w:rPr>
                      <w:rFonts w:hint="eastAsia"/>
                      <w:sz w:val="21"/>
                      <w:szCs w:val="21"/>
                      <w:highlight w:val="none"/>
                      <w:vertAlign w:val="baseline"/>
                      <w:lang w:val="en-US" w:eastAsia="zh-CN"/>
                    </w:rPr>
                    <w:t>是</w:t>
                  </w:r>
                </w:p>
              </w:tc>
            </w:tr>
            <w:tr w14:paraId="2C429D8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38" w:type="pct"/>
                  <w:tcMar>
                    <w:top w:w="0" w:type="dxa"/>
                    <w:left w:w="28" w:type="dxa"/>
                    <w:bottom w:w="0" w:type="dxa"/>
                    <w:right w:w="28" w:type="dxa"/>
                  </w:tcMar>
                  <w:vAlign w:val="center"/>
                </w:tcPr>
                <w:p w14:paraId="470608A2">
                  <w:pPr>
                    <w:keepNext w:val="0"/>
                    <w:keepLines w:val="0"/>
                    <w:pageBreakBefore w:val="0"/>
                    <w:widowControl w:val="0"/>
                    <w:suppressLineNumbers w:val="0"/>
                    <w:tabs>
                      <w:tab w:val="left" w:pos="3183"/>
                    </w:tabs>
                    <w:kinsoku/>
                    <w:wordWrap/>
                    <w:overflowPunct/>
                    <w:topLinePunct w:val="0"/>
                    <w:autoSpaceDE/>
                    <w:autoSpaceDN/>
                    <w:bidi w:val="0"/>
                    <w:adjustRightInd/>
                    <w:snapToGrid/>
                    <w:spacing w:before="0" w:beforeAutospacing="0" w:after="0" w:afterAutospacing="0" w:line="240" w:lineRule="auto"/>
                    <w:ind w:left="0" w:right="0"/>
                    <w:jc w:val="center"/>
                    <w:textAlignment w:val="auto"/>
                    <w:rPr>
                      <w:rFonts w:hint="default"/>
                      <w:sz w:val="21"/>
                      <w:szCs w:val="21"/>
                      <w:highlight w:val="none"/>
                      <w:vertAlign w:val="baseline"/>
                      <w:lang w:val="en-US" w:eastAsia="zh-CN"/>
                    </w:rPr>
                  </w:pPr>
                  <w:r>
                    <w:rPr>
                      <w:rFonts w:hint="eastAsia"/>
                      <w:sz w:val="21"/>
                      <w:szCs w:val="21"/>
                      <w:highlight w:val="none"/>
                      <w:vertAlign w:val="baseline"/>
                      <w:lang w:val="en-US" w:eastAsia="zh-CN"/>
                    </w:rPr>
                    <w:t>3</w:t>
                  </w:r>
                </w:p>
              </w:tc>
              <w:tc>
                <w:tcPr>
                  <w:tcW w:w="2102" w:type="pct"/>
                  <w:tcMar>
                    <w:top w:w="0" w:type="dxa"/>
                    <w:left w:w="28" w:type="dxa"/>
                    <w:bottom w:w="0" w:type="dxa"/>
                    <w:right w:w="28" w:type="dxa"/>
                  </w:tcMar>
                  <w:vAlign w:val="center"/>
                </w:tcPr>
                <w:p w14:paraId="63104D48">
                  <w:pPr>
                    <w:keepNext w:val="0"/>
                    <w:keepLines w:val="0"/>
                    <w:pageBreakBefore w:val="0"/>
                    <w:widowControl w:val="0"/>
                    <w:suppressLineNumbers w:val="0"/>
                    <w:tabs>
                      <w:tab w:val="left" w:pos="3183"/>
                    </w:tabs>
                    <w:kinsoku/>
                    <w:wordWrap/>
                    <w:overflowPunct/>
                    <w:topLinePunct w:val="0"/>
                    <w:autoSpaceDE/>
                    <w:autoSpaceDN/>
                    <w:bidi w:val="0"/>
                    <w:adjustRightInd/>
                    <w:snapToGrid/>
                    <w:spacing w:before="0" w:beforeAutospacing="0" w:after="0" w:afterAutospacing="0" w:line="240" w:lineRule="auto"/>
                    <w:ind w:left="0" w:right="0"/>
                    <w:jc w:val="both"/>
                    <w:textAlignment w:val="auto"/>
                    <w:rPr>
                      <w:rFonts w:hint="eastAsia" w:eastAsia="宋体"/>
                      <w:sz w:val="21"/>
                      <w:szCs w:val="21"/>
                      <w:highlight w:val="none"/>
                      <w:vertAlign w:val="baseline"/>
                      <w:lang w:eastAsia="zh-CN"/>
                    </w:rPr>
                  </w:pPr>
                  <w:r>
                    <w:rPr>
                      <w:rFonts w:hint="eastAsia" w:eastAsia="宋体"/>
                      <w:sz w:val="21"/>
                      <w:szCs w:val="21"/>
                      <w:highlight w:val="none"/>
                      <w:vertAlign w:val="baseline"/>
                      <w:lang w:eastAsia="zh-CN"/>
                    </w:rPr>
                    <w:t>液态 VOCs物料应采用密闭管道输送。采用非管道输送方式转移液态 VOCs物料时，应采用密闭容器、罐车</w:t>
                  </w:r>
                  <w:r>
                    <w:rPr>
                      <w:rFonts w:hint="eastAsia"/>
                      <w:sz w:val="21"/>
                      <w:szCs w:val="21"/>
                      <w:highlight w:val="none"/>
                      <w:vertAlign w:val="baseline"/>
                      <w:lang w:eastAsia="zh-CN"/>
                    </w:rPr>
                    <w:t>。</w:t>
                  </w:r>
                </w:p>
              </w:tc>
              <w:tc>
                <w:tcPr>
                  <w:tcW w:w="2007" w:type="pct"/>
                  <w:tcMar>
                    <w:top w:w="0" w:type="dxa"/>
                    <w:left w:w="28" w:type="dxa"/>
                    <w:bottom w:w="0" w:type="dxa"/>
                    <w:right w:w="28" w:type="dxa"/>
                  </w:tcMar>
                  <w:vAlign w:val="center"/>
                </w:tcPr>
                <w:p w14:paraId="4050A094">
                  <w:pPr>
                    <w:keepNext w:val="0"/>
                    <w:keepLines w:val="0"/>
                    <w:pageBreakBefore w:val="0"/>
                    <w:widowControl w:val="0"/>
                    <w:suppressLineNumbers w:val="0"/>
                    <w:tabs>
                      <w:tab w:val="left" w:pos="3183"/>
                    </w:tabs>
                    <w:kinsoku/>
                    <w:wordWrap/>
                    <w:overflowPunct/>
                    <w:topLinePunct w:val="0"/>
                    <w:autoSpaceDE/>
                    <w:autoSpaceDN/>
                    <w:bidi w:val="0"/>
                    <w:adjustRightInd/>
                    <w:snapToGrid/>
                    <w:spacing w:before="0" w:beforeAutospacing="0" w:after="0" w:afterAutospacing="0" w:line="240" w:lineRule="auto"/>
                    <w:ind w:left="0" w:right="0"/>
                    <w:jc w:val="both"/>
                    <w:textAlignment w:val="auto"/>
                    <w:rPr>
                      <w:rFonts w:hint="default"/>
                      <w:sz w:val="21"/>
                      <w:szCs w:val="21"/>
                      <w:highlight w:val="none"/>
                      <w:vertAlign w:val="baseline"/>
                      <w:lang w:val="en-US" w:eastAsia="zh-CN"/>
                    </w:rPr>
                  </w:pPr>
                  <w:r>
                    <w:rPr>
                      <w:rFonts w:hint="eastAsia"/>
                      <w:sz w:val="21"/>
                      <w:szCs w:val="21"/>
                      <w:highlight w:val="none"/>
                      <w:vertAlign w:val="baseline"/>
                      <w:lang w:val="en-US" w:eastAsia="zh-CN"/>
                    </w:rPr>
                    <w:t>本项目实验室采用</w:t>
                  </w:r>
                  <w:r>
                    <w:rPr>
                      <w:rFonts w:hint="eastAsia" w:eastAsia="宋体"/>
                      <w:sz w:val="21"/>
                      <w:szCs w:val="21"/>
                      <w:highlight w:val="none"/>
                      <w:vertAlign w:val="baseline"/>
                      <w:lang w:eastAsia="zh-CN"/>
                    </w:rPr>
                    <w:t>密闭容器</w:t>
                  </w:r>
                  <w:r>
                    <w:rPr>
                      <w:rFonts w:hint="eastAsia"/>
                      <w:sz w:val="21"/>
                      <w:szCs w:val="21"/>
                      <w:highlight w:val="none"/>
                      <w:vertAlign w:val="baseline"/>
                      <w:lang w:val="en-US" w:eastAsia="zh-CN"/>
                    </w:rPr>
                    <w:t>来</w:t>
                  </w:r>
                  <w:r>
                    <w:rPr>
                      <w:rFonts w:hint="eastAsia" w:eastAsia="宋体"/>
                      <w:sz w:val="21"/>
                      <w:szCs w:val="21"/>
                      <w:highlight w:val="none"/>
                      <w:vertAlign w:val="baseline"/>
                      <w:lang w:eastAsia="zh-CN"/>
                    </w:rPr>
                    <w:t>转移液态 VOCs物料</w:t>
                  </w:r>
                  <w:r>
                    <w:rPr>
                      <w:rFonts w:hint="eastAsia"/>
                      <w:sz w:val="21"/>
                      <w:szCs w:val="21"/>
                      <w:highlight w:val="none"/>
                      <w:vertAlign w:val="baseline"/>
                      <w:lang w:eastAsia="zh-CN"/>
                    </w:rPr>
                    <w:t>。</w:t>
                  </w:r>
                </w:p>
              </w:tc>
              <w:tc>
                <w:tcPr>
                  <w:tcW w:w="551" w:type="pct"/>
                  <w:tcMar>
                    <w:top w:w="0" w:type="dxa"/>
                    <w:left w:w="28" w:type="dxa"/>
                    <w:bottom w:w="0" w:type="dxa"/>
                    <w:right w:w="28" w:type="dxa"/>
                  </w:tcMar>
                  <w:vAlign w:val="center"/>
                </w:tcPr>
                <w:p w14:paraId="6CA93176">
                  <w:pPr>
                    <w:keepNext w:val="0"/>
                    <w:keepLines w:val="0"/>
                    <w:pageBreakBefore w:val="0"/>
                    <w:widowControl w:val="0"/>
                    <w:suppressLineNumbers w:val="0"/>
                    <w:tabs>
                      <w:tab w:val="left" w:pos="3183"/>
                    </w:tabs>
                    <w:kinsoku/>
                    <w:wordWrap/>
                    <w:overflowPunct/>
                    <w:topLinePunct w:val="0"/>
                    <w:autoSpaceDE/>
                    <w:autoSpaceDN/>
                    <w:bidi w:val="0"/>
                    <w:adjustRightInd/>
                    <w:snapToGrid/>
                    <w:spacing w:before="0" w:beforeAutospacing="0" w:after="0" w:afterAutospacing="0" w:line="240" w:lineRule="auto"/>
                    <w:ind w:left="0" w:right="0"/>
                    <w:jc w:val="center"/>
                    <w:textAlignment w:val="auto"/>
                    <w:rPr>
                      <w:rFonts w:hint="eastAsia" w:eastAsia="宋体"/>
                      <w:sz w:val="21"/>
                      <w:szCs w:val="21"/>
                      <w:highlight w:val="none"/>
                      <w:vertAlign w:val="baseline"/>
                      <w:lang w:eastAsia="zh-CN"/>
                    </w:rPr>
                  </w:pPr>
                  <w:r>
                    <w:rPr>
                      <w:rFonts w:hint="eastAsia"/>
                      <w:sz w:val="21"/>
                      <w:szCs w:val="21"/>
                      <w:highlight w:val="none"/>
                      <w:vertAlign w:val="baseline"/>
                      <w:lang w:val="en-US" w:eastAsia="zh-CN"/>
                    </w:rPr>
                    <w:t>是</w:t>
                  </w:r>
                </w:p>
              </w:tc>
            </w:tr>
            <w:tr w14:paraId="1C03E48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38" w:type="pct"/>
                  <w:tcMar>
                    <w:top w:w="0" w:type="dxa"/>
                    <w:left w:w="28" w:type="dxa"/>
                    <w:bottom w:w="0" w:type="dxa"/>
                    <w:right w:w="28" w:type="dxa"/>
                  </w:tcMar>
                  <w:vAlign w:val="center"/>
                </w:tcPr>
                <w:p w14:paraId="1A735168">
                  <w:pPr>
                    <w:keepNext w:val="0"/>
                    <w:keepLines w:val="0"/>
                    <w:pageBreakBefore w:val="0"/>
                    <w:widowControl w:val="0"/>
                    <w:suppressLineNumbers w:val="0"/>
                    <w:tabs>
                      <w:tab w:val="left" w:pos="3183"/>
                    </w:tabs>
                    <w:kinsoku/>
                    <w:wordWrap/>
                    <w:overflowPunct/>
                    <w:topLinePunct w:val="0"/>
                    <w:autoSpaceDE/>
                    <w:autoSpaceDN/>
                    <w:bidi w:val="0"/>
                    <w:adjustRightInd/>
                    <w:snapToGrid/>
                    <w:spacing w:before="0" w:beforeAutospacing="0" w:after="0" w:afterAutospacing="0" w:line="240" w:lineRule="auto"/>
                    <w:ind w:left="0" w:right="0"/>
                    <w:jc w:val="center"/>
                    <w:textAlignment w:val="auto"/>
                    <w:rPr>
                      <w:rFonts w:hint="default" w:eastAsia="宋体"/>
                      <w:sz w:val="21"/>
                      <w:szCs w:val="21"/>
                      <w:highlight w:val="none"/>
                      <w:vertAlign w:val="baseline"/>
                      <w:lang w:val="en-US" w:eastAsia="zh-CN"/>
                    </w:rPr>
                  </w:pPr>
                  <w:r>
                    <w:rPr>
                      <w:rFonts w:hint="eastAsia"/>
                      <w:sz w:val="21"/>
                      <w:szCs w:val="21"/>
                      <w:highlight w:val="none"/>
                      <w:vertAlign w:val="baseline"/>
                      <w:lang w:val="en-US" w:eastAsia="zh-CN"/>
                    </w:rPr>
                    <w:t>4</w:t>
                  </w:r>
                </w:p>
              </w:tc>
              <w:tc>
                <w:tcPr>
                  <w:tcW w:w="2102" w:type="pct"/>
                  <w:tcMar>
                    <w:top w:w="0" w:type="dxa"/>
                    <w:left w:w="28" w:type="dxa"/>
                    <w:bottom w:w="0" w:type="dxa"/>
                    <w:right w:w="28" w:type="dxa"/>
                  </w:tcMar>
                  <w:vAlign w:val="center"/>
                </w:tcPr>
                <w:p w14:paraId="18E5E765">
                  <w:pPr>
                    <w:keepNext w:val="0"/>
                    <w:keepLines w:val="0"/>
                    <w:pageBreakBefore w:val="0"/>
                    <w:widowControl w:val="0"/>
                    <w:suppressLineNumbers w:val="0"/>
                    <w:tabs>
                      <w:tab w:val="left" w:pos="3183"/>
                    </w:tabs>
                    <w:kinsoku/>
                    <w:wordWrap/>
                    <w:overflowPunct/>
                    <w:topLinePunct w:val="0"/>
                    <w:autoSpaceDE/>
                    <w:autoSpaceDN/>
                    <w:bidi w:val="0"/>
                    <w:adjustRightInd/>
                    <w:snapToGrid/>
                    <w:spacing w:before="0" w:beforeAutospacing="0" w:after="0" w:afterAutospacing="0" w:line="240" w:lineRule="auto"/>
                    <w:ind w:left="0" w:right="0"/>
                    <w:jc w:val="both"/>
                    <w:textAlignment w:val="auto"/>
                    <w:rPr>
                      <w:rFonts w:hint="eastAsia" w:eastAsia="宋体"/>
                      <w:sz w:val="21"/>
                      <w:szCs w:val="21"/>
                      <w:highlight w:val="none"/>
                      <w:vertAlign w:val="baseline"/>
                      <w:lang w:eastAsia="zh-CN"/>
                    </w:rPr>
                  </w:pPr>
                  <w:r>
                    <w:rPr>
                      <w:rFonts w:hint="eastAsia" w:eastAsia="宋体"/>
                      <w:sz w:val="21"/>
                      <w:szCs w:val="21"/>
                      <w:highlight w:val="none"/>
                      <w:vertAlign w:val="baseline"/>
                      <w:lang w:eastAsia="zh-CN"/>
                    </w:rPr>
                    <w:t>VOCs 质量占比大于等于10%的含VOCs产品，其使用过程应采用密闭设备或在密闭空间内操作，废气应排至VOCs废气收集处理系统；无法密闭的，应采取局部气体收集措施，废气应排至VOCs废气收集处理系统。</w:t>
                  </w:r>
                </w:p>
              </w:tc>
              <w:tc>
                <w:tcPr>
                  <w:tcW w:w="2007" w:type="pct"/>
                  <w:tcMar>
                    <w:top w:w="0" w:type="dxa"/>
                    <w:left w:w="28" w:type="dxa"/>
                    <w:bottom w:w="0" w:type="dxa"/>
                    <w:right w:w="28" w:type="dxa"/>
                  </w:tcMar>
                  <w:vAlign w:val="center"/>
                </w:tcPr>
                <w:p w14:paraId="68F89AE9">
                  <w:pPr>
                    <w:keepNext w:val="0"/>
                    <w:keepLines w:val="0"/>
                    <w:pageBreakBefore w:val="0"/>
                    <w:widowControl w:val="0"/>
                    <w:suppressLineNumbers w:val="0"/>
                    <w:tabs>
                      <w:tab w:val="left" w:pos="3183"/>
                    </w:tabs>
                    <w:kinsoku/>
                    <w:wordWrap/>
                    <w:overflowPunct/>
                    <w:topLinePunct w:val="0"/>
                    <w:autoSpaceDE/>
                    <w:autoSpaceDN/>
                    <w:bidi w:val="0"/>
                    <w:adjustRightInd/>
                    <w:snapToGrid/>
                    <w:spacing w:before="0" w:beforeAutospacing="0" w:after="0" w:afterAutospacing="0" w:line="240" w:lineRule="auto"/>
                    <w:ind w:left="0" w:right="0"/>
                    <w:jc w:val="both"/>
                    <w:textAlignment w:val="auto"/>
                    <w:rPr>
                      <w:rFonts w:hint="default" w:eastAsia="宋体"/>
                      <w:sz w:val="21"/>
                      <w:szCs w:val="21"/>
                      <w:highlight w:val="none"/>
                      <w:vertAlign w:val="baseline"/>
                      <w:lang w:val="en-US" w:eastAsia="zh-CN"/>
                    </w:rPr>
                  </w:pPr>
                  <w:r>
                    <w:rPr>
                      <w:rFonts w:hint="eastAsia"/>
                      <w:sz w:val="21"/>
                      <w:szCs w:val="21"/>
                      <w:highlight w:val="none"/>
                      <w:vertAlign w:val="baseline"/>
                      <w:lang w:val="en-US" w:eastAsia="zh-CN"/>
                    </w:rPr>
                    <w:t>本项目实验室涉及</w:t>
                  </w:r>
                  <w:r>
                    <w:rPr>
                      <w:rFonts w:hint="eastAsia" w:eastAsia="宋体"/>
                      <w:sz w:val="21"/>
                      <w:szCs w:val="21"/>
                      <w:highlight w:val="none"/>
                      <w:vertAlign w:val="baseline"/>
                      <w:lang w:eastAsia="zh-CN"/>
                    </w:rPr>
                    <w:t>含VOCs产品使用</w:t>
                  </w:r>
                  <w:r>
                    <w:rPr>
                      <w:rFonts w:hint="eastAsia"/>
                      <w:sz w:val="21"/>
                      <w:szCs w:val="21"/>
                      <w:highlight w:val="none"/>
                      <w:vertAlign w:val="baseline"/>
                      <w:lang w:val="en-US" w:eastAsia="zh-CN"/>
                    </w:rPr>
                    <w:t>时，主要采取了</w:t>
                  </w:r>
                  <w:r>
                    <w:rPr>
                      <w:rFonts w:hint="eastAsia" w:eastAsia="宋体"/>
                      <w:sz w:val="21"/>
                      <w:szCs w:val="21"/>
                      <w:highlight w:val="none"/>
                      <w:vertAlign w:val="baseline"/>
                      <w:lang w:eastAsia="zh-CN"/>
                    </w:rPr>
                    <w:t>局部气体收集措施</w:t>
                  </w:r>
                  <w:r>
                    <w:rPr>
                      <w:rFonts w:hint="eastAsia"/>
                      <w:sz w:val="21"/>
                      <w:szCs w:val="21"/>
                      <w:highlight w:val="none"/>
                      <w:vertAlign w:val="baseline"/>
                      <w:lang w:eastAsia="zh-CN"/>
                    </w:rPr>
                    <w:t>，</w:t>
                  </w:r>
                  <w:r>
                    <w:rPr>
                      <w:rFonts w:hint="eastAsia"/>
                      <w:sz w:val="21"/>
                      <w:szCs w:val="21"/>
                      <w:highlight w:val="none"/>
                      <w:vertAlign w:val="baseline"/>
                      <w:lang w:val="en-US" w:eastAsia="zh-CN"/>
                    </w:rPr>
                    <w:t>如通风橱、万向集气罩、原子吸收罩、B2生物安全柜等废气</w:t>
                  </w:r>
                  <w:r>
                    <w:rPr>
                      <w:rFonts w:hint="eastAsia" w:eastAsia="宋体"/>
                      <w:sz w:val="21"/>
                      <w:szCs w:val="21"/>
                      <w:highlight w:val="none"/>
                      <w:vertAlign w:val="baseline"/>
                      <w:lang w:eastAsia="zh-CN"/>
                    </w:rPr>
                    <w:t>收集措施</w:t>
                  </w:r>
                  <w:r>
                    <w:rPr>
                      <w:rFonts w:hint="eastAsia"/>
                      <w:sz w:val="21"/>
                      <w:szCs w:val="21"/>
                      <w:highlight w:val="none"/>
                      <w:vertAlign w:val="baseline"/>
                      <w:lang w:eastAsia="zh-CN"/>
                    </w:rPr>
                    <w:t>，</w:t>
                  </w:r>
                  <w:r>
                    <w:rPr>
                      <w:rFonts w:hint="eastAsia"/>
                      <w:sz w:val="21"/>
                      <w:szCs w:val="21"/>
                      <w:highlight w:val="none"/>
                      <w:vertAlign w:val="baseline"/>
                      <w:lang w:val="en-US" w:eastAsia="zh-CN"/>
                    </w:rPr>
                    <w:t>收集的</w:t>
                  </w:r>
                  <w:r>
                    <w:rPr>
                      <w:rFonts w:hint="eastAsia" w:eastAsia="宋体"/>
                      <w:sz w:val="21"/>
                      <w:szCs w:val="21"/>
                      <w:highlight w:val="none"/>
                      <w:vertAlign w:val="baseline"/>
                      <w:lang w:eastAsia="zh-CN"/>
                    </w:rPr>
                    <w:t>废气排至VOCs废气收集理系统</w:t>
                  </w:r>
                  <w:r>
                    <w:rPr>
                      <w:rFonts w:hint="eastAsia"/>
                      <w:sz w:val="21"/>
                      <w:szCs w:val="21"/>
                      <w:highlight w:val="none"/>
                      <w:vertAlign w:val="baseline"/>
                      <w:lang w:eastAsia="zh-CN"/>
                    </w:rPr>
                    <w:t>。</w:t>
                  </w:r>
                </w:p>
              </w:tc>
              <w:tc>
                <w:tcPr>
                  <w:tcW w:w="551" w:type="pct"/>
                  <w:tcMar>
                    <w:top w:w="0" w:type="dxa"/>
                    <w:left w:w="28" w:type="dxa"/>
                    <w:bottom w:w="0" w:type="dxa"/>
                    <w:right w:w="28" w:type="dxa"/>
                  </w:tcMar>
                  <w:vAlign w:val="center"/>
                </w:tcPr>
                <w:p w14:paraId="28B486F4">
                  <w:pPr>
                    <w:keepNext w:val="0"/>
                    <w:keepLines w:val="0"/>
                    <w:pageBreakBefore w:val="0"/>
                    <w:widowControl w:val="0"/>
                    <w:suppressLineNumbers w:val="0"/>
                    <w:tabs>
                      <w:tab w:val="left" w:pos="3183"/>
                    </w:tabs>
                    <w:kinsoku/>
                    <w:wordWrap/>
                    <w:overflowPunct/>
                    <w:topLinePunct w:val="0"/>
                    <w:autoSpaceDE/>
                    <w:autoSpaceDN/>
                    <w:bidi w:val="0"/>
                    <w:adjustRightInd/>
                    <w:snapToGrid/>
                    <w:spacing w:before="0" w:beforeAutospacing="0" w:after="0" w:afterAutospacing="0" w:line="240" w:lineRule="auto"/>
                    <w:ind w:left="0" w:right="0"/>
                    <w:jc w:val="center"/>
                    <w:textAlignment w:val="auto"/>
                    <w:rPr>
                      <w:rFonts w:hint="eastAsia" w:eastAsia="宋体"/>
                      <w:sz w:val="21"/>
                      <w:szCs w:val="21"/>
                      <w:highlight w:val="none"/>
                      <w:vertAlign w:val="baseline"/>
                      <w:lang w:eastAsia="zh-CN"/>
                    </w:rPr>
                  </w:pPr>
                  <w:r>
                    <w:rPr>
                      <w:rFonts w:hint="eastAsia"/>
                      <w:sz w:val="21"/>
                      <w:szCs w:val="21"/>
                      <w:highlight w:val="none"/>
                      <w:vertAlign w:val="baseline"/>
                      <w:lang w:val="en-US" w:eastAsia="zh-CN"/>
                    </w:rPr>
                    <w:t>是</w:t>
                  </w:r>
                </w:p>
              </w:tc>
            </w:tr>
            <w:tr w14:paraId="2D3F92B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38" w:type="pct"/>
                  <w:tcMar>
                    <w:top w:w="0" w:type="dxa"/>
                    <w:left w:w="28" w:type="dxa"/>
                    <w:bottom w:w="0" w:type="dxa"/>
                    <w:right w:w="28" w:type="dxa"/>
                  </w:tcMar>
                  <w:vAlign w:val="center"/>
                </w:tcPr>
                <w:p w14:paraId="3C833471">
                  <w:pPr>
                    <w:keepNext w:val="0"/>
                    <w:keepLines w:val="0"/>
                    <w:pageBreakBefore w:val="0"/>
                    <w:widowControl w:val="0"/>
                    <w:suppressLineNumbers w:val="0"/>
                    <w:tabs>
                      <w:tab w:val="left" w:pos="3183"/>
                    </w:tabs>
                    <w:kinsoku/>
                    <w:wordWrap/>
                    <w:overflowPunct/>
                    <w:topLinePunct w:val="0"/>
                    <w:autoSpaceDE/>
                    <w:autoSpaceDN/>
                    <w:bidi w:val="0"/>
                    <w:adjustRightInd/>
                    <w:snapToGrid/>
                    <w:spacing w:before="0" w:beforeAutospacing="0" w:after="0" w:afterAutospacing="0" w:line="240" w:lineRule="auto"/>
                    <w:ind w:left="0" w:right="0"/>
                    <w:jc w:val="center"/>
                    <w:textAlignment w:val="auto"/>
                    <w:rPr>
                      <w:rFonts w:hint="default" w:eastAsia="宋体"/>
                      <w:sz w:val="21"/>
                      <w:szCs w:val="21"/>
                      <w:highlight w:val="none"/>
                      <w:vertAlign w:val="baseline"/>
                      <w:lang w:val="en-US" w:eastAsia="zh-CN"/>
                    </w:rPr>
                  </w:pPr>
                  <w:r>
                    <w:rPr>
                      <w:rFonts w:hint="eastAsia"/>
                      <w:sz w:val="21"/>
                      <w:szCs w:val="21"/>
                      <w:highlight w:val="none"/>
                      <w:vertAlign w:val="baseline"/>
                      <w:lang w:val="en-US" w:eastAsia="zh-CN"/>
                    </w:rPr>
                    <w:t>5</w:t>
                  </w:r>
                </w:p>
              </w:tc>
              <w:tc>
                <w:tcPr>
                  <w:tcW w:w="2102" w:type="pct"/>
                  <w:tcMar>
                    <w:top w:w="0" w:type="dxa"/>
                    <w:left w:w="28" w:type="dxa"/>
                    <w:bottom w:w="0" w:type="dxa"/>
                    <w:right w:w="28" w:type="dxa"/>
                  </w:tcMar>
                  <w:vAlign w:val="center"/>
                </w:tcPr>
                <w:p w14:paraId="65BC7E35">
                  <w:pPr>
                    <w:keepNext w:val="0"/>
                    <w:keepLines w:val="0"/>
                    <w:pageBreakBefore w:val="0"/>
                    <w:widowControl w:val="0"/>
                    <w:suppressLineNumbers w:val="0"/>
                    <w:tabs>
                      <w:tab w:val="left" w:pos="3183"/>
                    </w:tabs>
                    <w:kinsoku/>
                    <w:wordWrap/>
                    <w:overflowPunct/>
                    <w:topLinePunct w:val="0"/>
                    <w:autoSpaceDE/>
                    <w:autoSpaceDN/>
                    <w:bidi w:val="0"/>
                    <w:adjustRightInd/>
                    <w:snapToGrid/>
                    <w:spacing w:before="0" w:beforeAutospacing="0" w:after="0" w:afterAutospacing="0" w:line="240" w:lineRule="auto"/>
                    <w:ind w:left="0" w:right="0"/>
                    <w:jc w:val="both"/>
                    <w:textAlignment w:val="auto"/>
                    <w:rPr>
                      <w:rFonts w:hint="eastAsia" w:eastAsia="宋体"/>
                      <w:sz w:val="21"/>
                      <w:szCs w:val="21"/>
                      <w:highlight w:val="none"/>
                      <w:vertAlign w:val="baseline"/>
                      <w:lang w:eastAsia="zh-CN"/>
                    </w:rPr>
                  </w:pPr>
                  <w:r>
                    <w:rPr>
                      <w:rFonts w:hint="eastAsia"/>
                      <w:sz w:val="21"/>
                      <w:szCs w:val="21"/>
                      <w:highlight w:val="none"/>
                      <w:vertAlign w:val="baseline"/>
                      <w:lang w:val="en-US" w:eastAsia="zh-CN"/>
                    </w:rPr>
                    <w:t>通</w:t>
                  </w:r>
                  <w:r>
                    <w:rPr>
                      <w:rFonts w:hint="eastAsia" w:eastAsia="宋体"/>
                      <w:sz w:val="21"/>
                      <w:szCs w:val="21"/>
                      <w:highlight w:val="none"/>
                      <w:vertAlign w:val="baseline"/>
                      <w:lang w:eastAsia="zh-CN"/>
                    </w:rPr>
                    <w:t>风生产设备、操作工位、车间厂房等应在符合安全生产、职业卫生相关规定的前提下，根据行业作业规程与标准、工业建筑及洁净厂房通风设计规范等的要求，采用合理的通风量</w:t>
                  </w:r>
                  <w:r>
                    <w:rPr>
                      <w:rFonts w:hint="eastAsia"/>
                      <w:sz w:val="21"/>
                      <w:szCs w:val="21"/>
                      <w:highlight w:val="none"/>
                      <w:vertAlign w:val="baseline"/>
                      <w:lang w:eastAsia="zh-CN"/>
                    </w:rPr>
                    <w:t>。</w:t>
                  </w:r>
                </w:p>
              </w:tc>
              <w:tc>
                <w:tcPr>
                  <w:tcW w:w="2007" w:type="pct"/>
                  <w:tcMar>
                    <w:top w:w="0" w:type="dxa"/>
                    <w:left w:w="28" w:type="dxa"/>
                    <w:bottom w:w="0" w:type="dxa"/>
                    <w:right w:w="28" w:type="dxa"/>
                  </w:tcMar>
                  <w:vAlign w:val="center"/>
                </w:tcPr>
                <w:p w14:paraId="61A615CA">
                  <w:pPr>
                    <w:keepNext w:val="0"/>
                    <w:keepLines w:val="0"/>
                    <w:pageBreakBefore w:val="0"/>
                    <w:widowControl w:val="0"/>
                    <w:suppressLineNumbers w:val="0"/>
                    <w:tabs>
                      <w:tab w:val="left" w:pos="3183"/>
                    </w:tabs>
                    <w:kinsoku/>
                    <w:wordWrap/>
                    <w:overflowPunct/>
                    <w:topLinePunct w:val="0"/>
                    <w:autoSpaceDE/>
                    <w:autoSpaceDN/>
                    <w:bidi w:val="0"/>
                    <w:adjustRightInd/>
                    <w:snapToGrid/>
                    <w:spacing w:before="0" w:beforeAutospacing="0" w:after="0" w:afterAutospacing="0" w:line="240" w:lineRule="auto"/>
                    <w:ind w:left="0" w:right="0"/>
                    <w:jc w:val="both"/>
                    <w:textAlignment w:val="auto"/>
                    <w:rPr>
                      <w:rFonts w:hint="default" w:eastAsia="宋体"/>
                      <w:sz w:val="21"/>
                      <w:szCs w:val="21"/>
                      <w:highlight w:val="none"/>
                      <w:vertAlign w:val="baseline"/>
                      <w:lang w:val="en-US" w:eastAsia="zh-CN"/>
                    </w:rPr>
                  </w:pPr>
                  <w:r>
                    <w:rPr>
                      <w:rFonts w:hint="eastAsia"/>
                      <w:sz w:val="21"/>
                      <w:szCs w:val="21"/>
                      <w:highlight w:val="none"/>
                      <w:vertAlign w:val="baseline"/>
                      <w:lang w:val="en-US" w:eastAsia="zh-CN"/>
                    </w:rPr>
                    <w:t>本项目实验室</w:t>
                  </w:r>
                  <w:r>
                    <w:rPr>
                      <w:rFonts w:hint="eastAsia" w:eastAsia="宋体"/>
                      <w:sz w:val="21"/>
                      <w:szCs w:val="21"/>
                      <w:highlight w:val="none"/>
                      <w:vertAlign w:val="baseline"/>
                      <w:lang w:eastAsia="zh-CN"/>
                    </w:rPr>
                    <w:t>操作工位</w:t>
                  </w:r>
                  <w:r>
                    <w:rPr>
                      <w:rFonts w:hint="eastAsia"/>
                      <w:sz w:val="21"/>
                      <w:szCs w:val="21"/>
                      <w:highlight w:val="none"/>
                      <w:vertAlign w:val="baseline"/>
                      <w:lang w:eastAsia="zh-CN"/>
                    </w:rPr>
                    <w:t>、</w:t>
                  </w:r>
                  <w:r>
                    <w:rPr>
                      <w:rFonts w:hint="eastAsia"/>
                      <w:sz w:val="21"/>
                      <w:szCs w:val="21"/>
                      <w:highlight w:val="none"/>
                      <w:vertAlign w:val="baseline"/>
                      <w:lang w:val="en-US" w:eastAsia="zh-CN"/>
                    </w:rPr>
                    <w:t>饲养间、固废暂存间等</w:t>
                  </w:r>
                  <w:r>
                    <w:rPr>
                      <w:rFonts w:hint="eastAsia" w:eastAsia="宋体"/>
                      <w:sz w:val="21"/>
                      <w:szCs w:val="21"/>
                      <w:highlight w:val="none"/>
                      <w:vertAlign w:val="baseline"/>
                      <w:lang w:eastAsia="zh-CN"/>
                    </w:rPr>
                    <w:t>在符合安全生产、职业卫生相关规定的前提下，</w:t>
                  </w:r>
                  <w:r>
                    <w:rPr>
                      <w:rFonts w:hint="eastAsia"/>
                      <w:sz w:val="21"/>
                      <w:szCs w:val="21"/>
                      <w:highlight w:val="none"/>
                      <w:vertAlign w:val="baseline"/>
                      <w:lang w:val="en-US" w:eastAsia="zh-CN"/>
                    </w:rPr>
                    <w:t>已委托专业设计单位</w:t>
                  </w:r>
                  <w:r>
                    <w:rPr>
                      <w:rFonts w:hint="eastAsia" w:eastAsia="宋体"/>
                      <w:sz w:val="21"/>
                      <w:szCs w:val="21"/>
                      <w:highlight w:val="none"/>
                      <w:vertAlign w:val="baseline"/>
                      <w:lang w:eastAsia="zh-CN"/>
                    </w:rPr>
                    <w:t>根据行业作业规程与标准、工业建筑及洁净厂房通风设计规范等的要求，</w:t>
                  </w:r>
                  <w:r>
                    <w:rPr>
                      <w:rFonts w:hint="eastAsia"/>
                      <w:sz w:val="21"/>
                      <w:szCs w:val="21"/>
                      <w:highlight w:val="none"/>
                      <w:vertAlign w:val="baseline"/>
                      <w:lang w:val="en-US" w:eastAsia="zh-CN"/>
                    </w:rPr>
                    <w:t>设计出</w:t>
                  </w:r>
                  <w:r>
                    <w:rPr>
                      <w:rFonts w:hint="eastAsia" w:eastAsia="宋体"/>
                      <w:sz w:val="21"/>
                      <w:szCs w:val="21"/>
                      <w:highlight w:val="none"/>
                      <w:vertAlign w:val="baseline"/>
                      <w:lang w:eastAsia="zh-CN"/>
                    </w:rPr>
                    <w:t>合理的通风量</w:t>
                  </w:r>
                  <w:r>
                    <w:rPr>
                      <w:rFonts w:hint="eastAsia"/>
                      <w:sz w:val="21"/>
                      <w:szCs w:val="21"/>
                      <w:highlight w:val="none"/>
                      <w:vertAlign w:val="baseline"/>
                      <w:lang w:eastAsia="zh-CN"/>
                    </w:rPr>
                    <w:t>。</w:t>
                  </w:r>
                </w:p>
              </w:tc>
              <w:tc>
                <w:tcPr>
                  <w:tcW w:w="551" w:type="pct"/>
                  <w:tcMar>
                    <w:top w:w="0" w:type="dxa"/>
                    <w:left w:w="28" w:type="dxa"/>
                    <w:bottom w:w="0" w:type="dxa"/>
                    <w:right w:w="28" w:type="dxa"/>
                  </w:tcMar>
                  <w:vAlign w:val="center"/>
                </w:tcPr>
                <w:p w14:paraId="5E15F354">
                  <w:pPr>
                    <w:keepNext w:val="0"/>
                    <w:keepLines w:val="0"/>
                    <w:pageBreakBefore w:val="0"/>
                    <w:widowControl w:val="0"/>
                    <w:suppressLineNumbers w:val="0"/>
                    <w:tabs>
                      <w:tab w:val="left" w:pos="3183"/>
                    </w:tabs>
                    <w:kinsoku/>
                    <w:wordWrap/>
                    <w:overflowPunct/>
                    <w:topLinePunct w:val="0"/>
                    <w:autoSpaceDE/>
                    <w:autoSpaceDN/>
                    <w:bidi w:val="0"/>
                    <w:adjustRightInd/>
                    <w:snapToGrid/>
                    <w:spacing w:before="0" w:beforeAutospacing="0" w:after="0" w:afterAutospacing="0" w:line="240" w:lineRule="auto"/>
                    <w:ind w:left="0" w:right="0"/>
                    <w:jc w:val="center"/>
                    <w:textAlignment w:val="auto"/>
                    <w:rPr>
                      <w:rFonts w:hint="eastAsia" w:eastAsia="宋体"/>
                      <w:sz w:val="21"/>
                      <w:szCs w:val="21"/>
                      <w:highlight w:val="none"/>
                      <w:vertAlign w:val="baseline"/>
                      <w:lang w:eastAsia="zh-CN"/>
                    </w:rPr>
                  </w:pPr>
                  <w:r>
                    <w:rPr>
                      <w:rFonts w:hint="eastAsia"/>
                      <w:sz w:val="21"/>
                      <w:szCs w:val="21"/>
                      <w:highlight w:val="none"/>
                      <w:vertAlign w:val="baseline"/>
                      <w:lang w:val="en-US" w:eastAsia="zh-CN"/>
                    </w:rPr>
                    <w:t>是</w:t>
                  </w:r>
                </w:p>
              </w:tc>
            </w:tr>
            <w:tr w14:paraId="51434B8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38" w:type="pct"/>
                  <w:tcMar>
                    <w:top w:w="0" w:type="dxa"/>
                    <w:left w:w="28" w:type="dxa"/>
                    <w:bottom w:w="0" w:type="dxa"/>
                    <w:right w:w="28" w:type="dxa"/>
                  </w:tcMar>
                  <w:vAlign w:val="center"/>
                </w:tcPr>
                <w:p w14:paraId="0C249FAA">
                  <w:pPr>
                    <w:keepNext w:val="0"/>
                    <w:keepLines w:val="0"/>
                    <w:pageBreakBefore w:val="0"/>
                    <w:widowControl w:val="0"/>
                    <w:suppressLineNumbers w:val="0"/>
                    <w:tabs>
                      <w:tab w:val="left" w:pos="3183"/>
                    </w:tabs>
                    <w:kinsoku/>
                    <w:wordWrap/>
                    <w:overflowPunct/>
                    <w:topLinePunct w:val="0"/>
                    <w:autoSpaceDE/>
                    <w:autoSpaceDN/>
                    <w:bidi w:val="0"/>
                    <w:adjustRightInd/>
                    <w:snapToGrid/>
                    <w:spacing w:before="0" w:beforeAutospacing="0" w:after="0" w:afterAutospacing="0" w:line="240" w:lineRule="auto"/>
                    <w:ind w:left="0" w:right="0"/>
                    <w:jc w:val="center"/>
                    <w:textAlignment w:val="auto"/>
                    <w:rPr>
                      <w:rFonts w:hint="default" w:eastAsia="宋体"/>
                      <w:sz w:val="21"/>
                      <w:szCs w:val="21"/>
                      <w:highlight w:val="none"/>
                      <w:vertAlign w:val="baseline"/>
                      <w:lang w:val="en-US" w:eastAsia="zh-CN"/>
                    </w:rPr>
                  </w:pPr>
                  <w:r>
                    <w:rPr>
                      <w:rFonts w:hint="eastAsia"/>
                      <w:sz w:val="21"/>
                      <w:szCs w:val="21"/>
                      <w:highlight w:val="none"/>
                      <w:vertAlign w:val="baseline"/>
                      <w:lang w:val="en-US" w:eastAsia="zh-CN"/>
                    </w:rPr>
                    <w:t>6</w:t>
                  </w:r>
                </w:p>
              </w:tc>
              <w:tc>
                <w:tcPr>
                  <w:tcW w:w="2102" w:type="pct"/>
                  <w:tcMar>
                    <w:top w:w="0" w:type="dxa"/>
                    <w:left w:w="28" w:type="dxa"/>
                    <w:bottom w:w="0" w:type="dxa"/>
                    <w:right w:w="28" w:type="dxa"/>
                  </w:tcMar>
                  <w:vAlign w:val="center"/>
                </w:tcPr>
                <w:p w14:paraId="4A23322E">
                  <w:pPr>
                    <w:keepNext w:val="0"/>
                    <w:keepLines w:val="0"/>
                    <w:pageBreakBefore w:val="0"/>
                    <w:widowControl w:val="0"/>
                    <w:suppressLineNumbers w:val="0"/>
                    <w:tabs>
                      <w:tab w:val="left" w:pos="3183"/>
                    </w:tabs>
                    <w:kinsoku/>
                    <w:wordWrap/>
                    <w:overflowPunct/>
                    <w:topLinePunct w:val="0"/>
                    <w:autoSpaceDE/>
                    <w:autoSpaceDN/>
                    <w:bidi w:val="0"/>
                    <w:adjustRightInd/>
                    <w:snapToGrid/>
                    <w:spacing w:before="0" w:beforeAutospacing="0" w:after="0" w:afterAutospacing="0" w:line="240" w:lineRule="auto"/>
                    <w:ind w:left="0" w:right="0"/>
                    <w:jc w:val="both"/>
                    <w:textAlignment w:val="auto"/>
                    <w:rPr>
                      <w:rFonts w:hint="eastAsia" w:eastAsia="宋体"/>
                      <w:sz w:val="21"/>
                      <w:szCs w:val="21"/>
                      <w:highlight w:val="none"/>
                      <w:vertAlign w:val="baseline"/>
                      <w:lang w:eastAsia="zh-CN"/>
                    </w:rPr>
                  </w:pPr>
                  <w:r>
                    <w:rPr>
                      <w:rFonts w:hint="eastAsia" w:eastAsia="宋体"/>
                      <w:sz w:val="21"/>
                      <w:szCs w:val="21"/>
                      <w:highlight w:val="none"/>
                      <w:vertAlign w:val="baseline"/>
                      <w:lang w:eastAsia="zh-CN"/>
                    </w:rPr>
                    <w:t>工艺过程产生的含VOCs废料（渣、液）应按照第5章、第6章的要求进行储存、转移和输送。盛装过 VOCs 物料的废包装容器应加盖密闭</w:t>
                  </w:r>
                  <w:r>
                    <w:rPr>
                      <w:rFonts w:hint="eastAsia"/>
                      <w:sz w:val="21"/>
                      <w:szCs w:val="21"/>
                      <w:highlight w:val="none"/>
                      <w:vertAlign w:val="baseline"/>
                      <w:lang w:eastAsia="zh-CN"/>
                    </w:rPr>
                    <w:t>。</w:t>
                  </w:r>
                </w:p>
              </w:tc>
              <w:tc>
                <w:tcPr>
                  <w:tcW w:w="2007" w:type="pct"/>
                  <w:tcMar>
                    <w:top w:w="0" w:type="dxa"/>
                    <w:left w:w="28" w:type="dxa"/>
                    <w:bottom w:w="0" w:type="dxa"/>
                    <w:right w:w="28" w:type="dxa"/>
                  </w:tcMar>
                  <w:vAlign w:val="center"/>
                </w:tcPr>
                <w:p w14:paraId="100B1162">
                  <w:pPr>
                    <w:keepNext w:val="0"/>
                    <w:keepLines w:val="0"/>
                    <w:pageBreakBefore w:val="0"/>
                    <w:widowControl w:val="0"/>
                    <w:suppressLineNumbers w:val="0"/>
                    <w:tabs>
                      <w:tab w:val="left" w:pos="3183"/>
                    </w:tabs>
                    <w:kinsoku/>
                    <w:wordWrap/>
                    <w:overflowPunct/>
                    <w:topLinePunct w:val="0"/>
                    <w:autoSpaceDE/>
                    <w:autoSpaceDN/>
                    <w:bidi w:val="0"/>
                    <w:adjustRightInd/>
                    <w:snapToGrid/>
                    <w:spacing w:before="0" w:beforeAutospacing="0" w:after="0" w:afterAutospacing="0" w:line="240" w:lineRule="auto"/>
                    <w:ind w:left="0" w:right="0"/>
                    <w:jc w:val="both"/>
                    <w:textAlignment w:val="auto"/>
                    <w:rPr>
                      <w:rFonts w:hint="default" w:eastAsia="宋体"/>
                      <w:sz w:val="21"/>
                      <w:szCs w:val="21"/>
                      <w:highlight w:val="none"/>
                      <w:vertAlign w:val="baseline"/>
                      <w:lang w:val="en-US" w:eastAsia="zh-CN"/>
                    </w:rPr>
                  </w:pPr>
                  <w:r>
                    <w:rPr>
                      <w:rFonts w:hint="eastAsia"/>
                      <w:sz w:val="21"/>
                      <w:szCs w:val="21"/>
                      <w:highlight w:val="none"/>
                      <w:vertAlign w:val="baseline"/>
                      <w:lang w:val="en-US" w:eastAsia="zh-CN"/>
                    </w:rPr>
                    <w:t>本项目产生的</w:t>
                  </w:r>
                  <w:r>
                    <w:rPr>
                      <w:rFonts w:hint="eastAsia" w:eastAsia="宋体"/>
                      <w:sz w:val="21"/>
                      <w:szCs w:val="21"/>
                      <w:highlight w:val="none"/>
                      <w:vertAlign w:val="baseline"/>
                      <w:lang w:eastAsia="zh-CN"/>
                    </w:rPr>
                    <w:t>含VOCs废料（渣、液）</w:t>
                  </w:r>
                  <w:r>
                    <w:rPr>
                      <w:rFonts w:hint="eastAsia"/>
                      <w:sz w:val="21"/>
                      <w:szCs w:val="21"/>
                      <w:highlight w:val="none"/>
                      <w:vertAlign w:val="baseline"/>
                      <w:lang w:val="en-US" w:eastAsia="zh-CN"/>
                    </w:rPr>
                    <w:t>均存放于密闭的</w:t>
                  </w:r>
                  <w:r>
                    <w:rPr>
                      <w:rFonts w:hint="eastAsia" w:eastAsia="宋体"/>
                      <w:sz w:val="21"/>
                      <w:szCs w:val="21"/>
                      <w:highlight w:val="none"/>
                      <w:vertAlign w:val="baseline"/>
                      <w:lang w:eastAsia="zh-CN"/>
                    </w:rPr>
                    <w:t>容器</w:t>
                  </w:r>
                  <w:r>
                    <w:rPr>
                      <w:rFonts w:hint="eastAsia"/>
                      <w:sz w:val="21"/>
                      <w:szCs w:val="21"/>
                      <w:highlight w:val="none"/>
                      <w:vertAlign w:val="baseline"/>
                      <w:lang w:val="en-US" w:eastAsia="zh-CN"/>
                    </w:rPr>
                    <w:t>中，并及时转移至危废暂存间内储存，定期委托有资质单位处置；同时，</w:t>
                  </w:r>
                  <w:r>
                    <w:rPr>
                      <w:rFonts w:hint="eastAsia" w:eastAsia="宋体"/>
                      <w:sz w:val="21"/>
                      <w:szCs w:val="21"/>
                      <w:highlight w:val="none"/>
                      <w:vertAlign w:val="baseline"/>
                      <w:lang w:eastAsia="zh-CN"/>
                    </w:rPr>
                    <w:t>盛装过 VOCs 物料的废包装容器应加盖密闭</w:t>
                  </w:r>
                  <w:r>
                    <w:rPr>
                      <w:rFonts w:hint="eastAsia"/>
                      <w:sz w:val="21"/>
                      <w:szCs w:val="21"/>
                      <w:highlight w:val="none"/>
                      <w:vertAlign w:val="baseline"/>
                      <w:lang w:eastAsia="zh-CN"/>
                    </w:rPr>
                    <w:t>。</w:t>
                  </w:r>
                </w:p>
              </w:tc>
              <w:tc>
                <w:tcPr>
                  <w:tcW w:w="551" w:type="pct"/>
                  <w:tcMar>
                    <w:top w:w="0" w:type="dxa"/>
                    <w:left w:w="28" w:type="dxa"/>
                    <w:bottom w:w="0" w:type="dxa"/>
                    <w:right w:w="28" w:type="dxa"/>
                  </w:tcMar>
                  <w:vAlign w:val="center"/>
                </w:tcPr>
                <w:p w14:paraId="39A697B0">
                  <w:pPr>
                    <w:keepNext w:val="0"/>
                    <w:keepLines w:val="0"/>
                    <w:pageBreakBefore w:val="0"/>
                    <w:widowControl w:val="0"/>
                    <w:suppressLineNumbers w:val="0"/>
                    <w:tabs>
                      <w:tab w:val="left" w:pos="3183"/>
                    </w:tabs>
                    <w:kinsoku/>
                    <w:wordWrap/>
                    <w:overflowPunct/>
                    <w:topLinePunct w:val="0"/>
                    <w:autoSpaceDE/>
                    <w:autoSpaceDN/>
                    <w:bidi w:val="0"/>
                    <w:adjustRightInd/>
                    <w:snapToGrid/>
                    <w:spacing w:before="0" w:beforeAutospacing="0" w:after="0" w:afterAutospacing="0" w:line="240" w:lineRule="auto"/>
                    <w:ind w:left="0" w:right="0"/>
                    <w:jc w:val="center"/>
                    <w:textAlignment w:val="auto"/>
                    <w:rPr>
                      <w:rFonts w:hint="eastAsia" w:eastAsia="宋体"/>
                      <w:sz w:val="21"/>
                      <w:szCs w:val="21"/>
                      <w:highlight w:val="none"/>
                      <w:vertAlign w:val="baseline"/>
                      <w:lang w:eastAsia="zh-CN"/>
                    </w:rPr>
                  </w:pPr>
                  <w:r>
                    <w:rPr>
                      <w:rFonts w:hint="eastAsia"/>
                      <w:sz w:val="21"/>
                      <w:szCs w:val="21"/>
                      <w:highlight w:val="none"/>
                      <w:vertAlign w:val="baseline"/>
                      <w:lang w:val="en-US" w:eastAsia="zh-CN"/>
                    </w:rPr>
                    <w:t>是</w:t>
                  </w:r>
                </w:p>
              </w:tc>
            </w:tr>
            <w:tr w14:paraId="417F5D5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38" w:type="pct"/>
                  <w:tcMar>
                    <w:top w:w="0" w:type="dxa"/>
                    <w:left w:w="28" w:type="dxa"/>
                    <w:bottom w:w="0" w:type="dxa"/>
                    <w:right w:w="28" w:type="dxa"/>
                  </w:tcMar>
                  <w:vAlign w:val="center"/>
                </w:tcPr>
                <w:p w14:paraId="7CFD47C3">
                  <w:pPr>
                    <w:keepNext w:val="0"/>
                    <w:keepLines w:val="0"/>
                    <w:pageBreakBefore w:val="0"/>
                    <w:widowControl w:val="0"/>
                    <w:suppressLineNumbers w:val="0"/>
                    <w:tabs>
                      <w:tab w:val="left" w:pos="3183"/>
                    </w:tabs>
                    <w:kinsoku/>
                    <w:wordWrap/>
                    <w:overflowPunct/>
                    <w:topLinePunct w:val="0"/>
                    <w:autoSpaceDE/>
                    <w:autoSpaceDN/>
                    <w:bidi w:val="0"/>
                    <w:adjustRightInd/>
                    <w:snapToGrid/>
                    <w:spacing w:before="0" w:beforeAutospacing="0" w:after="0" w:afterAutospacing="0" w:line="240" w:lineRule="auto"/>
                    <w:ind w:left="0" w:right="0"/>
                    <w:jc w:val="center"/>
                    <w:textAlignment w:val="auto"/>
                    <w:rPr>
                      <w:rFonts w:hint="default" w:eastAsia="宋体"/>
                      <w:sz w:val="21"/>
                      <w:szCs w:val="21"/>
                      <w:highlight w:val="none"/>
                      <w:vertAlign w:val="baseline"/>
                      <w:lang w:val="en-US" w:eastAsia="zh-CN"/>
                    </w:rPr>
                  </w:pPr>
                  <w:r>
                    <w:rPr>
                      <w:rFonts w:hint="eastAsia"/>
                      <w:sz w:val="21"/>
                      <w:szCs w:val="21"/>
                      <w:highlight w:val="none"/>
                      <w:vertAlign w:val="baseline"/>
                      <w:lang w:val="en-US" w:eastAsia="zh-CN"/>
                    </w:rPr>
                    <w:t>7</w:t>
                  </w:r>
                </w:p>
              </w:tc>
              <w:tc>
                <w:tcPr>
                  <w:tcW w:w="2102" w:type="pct"/>
                  <w:tcMar>
                    <w:top w:w="0" w:type="dxa"/>
                    <w:left w:w="28" w:type="dxa"/>
                    <w:bottom w:w="0" w:type="dxa"/>
                    <w:right w:w="28" w:type="dxa"/>
                  </w:tcMar>
                  <w:vAlign w:val="center"/>
                </w:tcPr>
                <w:p w14:paraId="4CEDD8F2">
                  <w:pPr>
                    <w:keepNext w:val="0"/>
                    <w:keepLines w:val="0"/>
                    <w:pageBreakBefore w:val="0"/>
                    <w:widowControl w:val="0"/>
                    <w:suppressLineNumbers w:val="0"/>
                    <w:tabs>
                      <w:tab w:val="left" w:pos="3183"/>
                    </w:tabs>
                    <w:kinsoku/>
                    <w:wordWrap/>
                    <w:overflowPunct/>
                    <w:topLinePunct w:val="0"/>
                    <w:autoSpaceDE/>
                    <w:autoSpaceDN/>
                    <w:bidi w:val="0"/>
                    <w:adjustRightInd/>
                    <w:snapToGrid/>
                    <w:spacing w:before="0" w:beforeAutospacing="0" w:after="0" w:afterAutospacing="0" w:line="240" w:lineRule="auto"/>
                    <w:ind w:left="0" w:right="0"/>
                    <w:jc w:val="both"/>
                    <w:textAlignment w:val="auto"/>
                    <w:rPr>
                      <w:rFonts w:hint="eastAsia" w:eastAsia="宋体"/>
                      <w:sz w:val="21"/>
                      <w:szCs w:val="21"/>
                      <w:highlight w:val="none"/>
                      <w:vertAlign w:val="baseline"/>
                      <w:lang w:eastAsia="zh-CN"/>
                    </w:rPr>
                  </w:pPr>
                  <w:r>
                    <w:rPr>
                      <w:rFonts w:hint="eastAsia" w:eastAsia="宋体"/>
                      <w:sz w:val="21"/>
                      <w:szCs w:val="21"/>
                      <w:highlight w:val="none"/>
                      <w:vertAlign w:val="baseline"/>
                      <w:lang w:eastAsia="zh-CN"/>
                    </w:rPr>
                    <w:t>企业应考虑生产工艺、操作方式、废气性质、处理方法等因素，对VOCs废气进行分类收集</w:t>
                  </w:r>
                  <w:r>
                    <w:rPr>
                      <w:rFonts w:hint="eastAsia"/>
                      <w:sz w:val="21"/>
                      <w:szCs w:val="21"/>
                      <w:highlight w:val="none"/>
                      <w:vertAlign w:val="baseline"/>
                      <w:lang w:eastAsia="zh-CN"/>
                    </w:rPr>
                    <w:t>。</w:t>
                  </w:r>
                </w:p>
              </w:tc>
              <w:tc>
                <w:tcPr>
                  <w:tcW w:w="2007" w:type="pct"/>
                  <w:tcMar>
                    <w:top w:w="0" w:type="dxa"/>
                    <w:left w:w="28" w:type="dxa"/>
                    <w:bottom w:w="0" w:type="dxa"/>
                    <w:right w:w="28" w:type="dxa"/>
                  </w:tcMar>
                  <w:vAlign w:val="center"/>
                </w:tcPr>
                <w:p w14:paraId="2E15BDBB">
                  <w:pPr>
                    <w:keepNext w:val="0"/>
                    <w:keepLines w:val="0"/>
                    <w:pageBreakBefore w:val="0"/>
                    <w:widowControl w:val="0"/>
                    <w:suppressLineNumbers w:val="0"/>
                    <w:tabs>
                      <w:tab w:val="left" w:pos="3183"/>
                    </w:tabs>
                    <w:kinsoku/>
                    <w:wordWrap/>
                    <w:overflowPunct/>
                    <w:topLinePunct w:val="0"/>
                    <w:autoSpaceDE/>
                    <w:autoSpaceDN/>
                    <w:bidi w:val="0"/>
                    <w:adjustRightInd/>
                    <w:snapToGrid/>
                    <w:spacing w:before="0" w:beforeAutospacing="0" w:after="0" w:afterAutospacing="0" w:line="240" w:lineRule="auto"/>
                    <w:ind w:left="0" w:right="0"/>
                    <w:jc w:val="both"/>
                    <w:textAlignment w:val="auto"/>
                    <w:rPr>
                      <w:rFonts w:hint="default"/>
                      <w:sz w:val="21"/>
                      <w:szCs w:val="21"/>
                      <w:highlight w:val="none"/>
                      <w:vertAlign w:val="baseline"/>
                      <w:lang w:val="en-US" w:eastAsia="zh-CN"/>
                    </w:rPr>
                  </w:pPr>
                  <w:r>
                    <w:rPr>
                      <w:rFonts w:hint="eastAsia"/>
                      <w:sz w:val="21"/>
                      <w:szCs w:val="21"/>
                      <w:highlight w:val="none"/>
                      <w:vertAlign w:val="baseline"/>
                      <w:lang w:val="en-US" w:eastAsia="zh-CN"/>
                    </w:rPr>
                    <w:t>本项目实验室废气采用通风橱、通风房、万向集气罩、生物安全柜等废气收集措施进行收集；试剂储存废气采用试剂柜进行收集；危废暂存废气采用废液柜进行收集。</w:t>
                  </w:r>
                </w:p>
              </w:tc>
              <w:tc>
                <w:tcPr>
                  <w:tcW w:w="551" w:type="pct"/>
                  <w:tcMar>
                    <w:top w:w="0" w:type="dxa"/>
                    <w:left w:w="28" w:type="dxa"/>
                    <w:bottom w:w="0" w:type="dxa"/>
                    <w:right w:w="28" w:type="dxa"/>
                  </w:tcMar>
                  <w:vAlign w:val="center"/>
                </w:tcPr>
                <w:p w14:paraId="74417CF1">
                  <w:pPr>
                    <w:keepNext w:val="0"/>
                    <w:keepLines w:val="0"/>
                    <w:pageBreakBefore w:val="0"/>
                    <w:widowControl w:val="0"/>
                    <w:suppressLineNumbers w:val="0"/>
                    <w:tabs>
                      <w:tab w:val="left" w:pos="3183"/>
                    </w:tabs>
                    <w:kinsoku/>
                    <w:wordWrap/>
                    <w:overflowPunct/>
                    <w:topLinePunct w:val="0"/>
                    <w:autoSpaceDE/>
                    <w:autoSpaceDN/>
                    <w:bidi w:val="0"/>
                    <w:adjustRightInd/>
                    <w:snapToGrid/>
                    <w:spacing w:before="0" w:beforeAutospacing="0" w:after="0" w:afterAutospacing="0" w:line="240" w:lineRule="auto"/>
                    <w:ind w:left="0" w:right="0"/>
                    <w:jc w:val="center"/>
                    <w:textAlignment w:val="auto"/>
                    <w:rPr>
                      <w:rFonts w:hint="eastAsia" w:eastAsia="宋体"/>
                      <w:sz w:val="21"/>
                      <w:szCs w:val="21"/>
                      <w:highlight w:val="none"/>
                      <w:vertAlign w:val="baseline"/>
                      <w:lang w:eastAsia="zh-CN"/>
                    </w:rPr>
                  </w:pPr>
                  <w:r>
                    <w:rPr>
                      <w:rFonts w:hint="eastAsia"/>
                      <w:sz w:val="21"/>
                      <w:szCs w:val="21"/>
                      <w:highlight w:val="none"/>
                      <w:vertAlign w:val="baseline"/>
                      <w:lang w:val="en-US" w:eastAsia="zh-CN"/>
                    </w:rPr>
                    <w:t>是</w:t>
                  </w:r>
                </w:p>
              </w:tc>
            </w:tr>
            <w:tr w14:paraId="232919B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38" w:type="pct"/>
                  <w:tcMar>
                    <w:top w:w="0" w:type="dxa"/>
                    <w:left w:w="28" w:type="dxa"/>
                    <w:bottom w:w="0" w:type="dxa"/>
                    <w:right w:w="28" w:type="dxa"/>
                  </w:tcMar>
                  <w:vAlign w:val="center"/>
                </w:tcPr>
                <w:p w14:paraId="08311F28">
                  <w:pPr>
                    <w:keepNext w:val="0"/>
                    <w:keepLines w:val="0"/>
                    <w:pageBreakBefore w:val="0"/>
                    <w:widowControl w:val="0"/>
                    <w:suppressLineNumbers w:val="0"/>
                    <w:tabs>
                      <w:tab w:val="left" w:pos="3183"/>
                    </w:tabs>
                    <w:kinsoku/>
                    <w:wordWrap/>
                    <w:overflowPunct/>
                    <w:topLinePunct w:val="0"/>
                    <w:autoSpaceDE/>
                    <w:autoSpaceDN/>
                    <w:bidi w:val="0"/>
                    <w:adjustRightInd/>
                    <w:snapToGrid/>
                    <w:spacing w:before="0" w:beforeAutospacing="0" w:after="0" w:afterAutospacing="0" w:line="240" w:lineRule="auto"/>
                    <w:ind w:left="0" w:right="0"/>
                    <w:jc w:val="center"/>
                    <w:textAlignment w:val="auto"/>
                    <w:rPr>
                      <w:rFonts w:hint="default" w:eastAsia="宋体"/>
                      <w:sz w:val="21"/>
                      <w:szCs w:val="21"/>
                      <w:highlight w:val="none"/>
                      <w:vertAlign w:val="baseline"/>
                      <w:lang w:val="en-US" w:eastAsia="zh-CN"/>
                    </w:rPr>
                  </w:pPr>
                  <w:r>
                    <w:rPr>
                      <w:rFonts w:hint="eastAsia"/>
                      <w:sz w:val="21"/>
                      <w:szCs w:val="21"/>
                      <w:highlight w:val="none"/>
                      <w:vertAlign w:val="baseline"/>
                      <w:lang w:val="en-US" w:eastAsia="zh-CN"/>
                    </w:rPr>
                    <w:t>8</w:t>
                  </w:r>
                </w:p>
              </w:tc>
              <w:tc>
                <w:tcPr>
                  <w:tcW w:w="2102" w:type="pct"/>
                  <w:tcMar>
                    <w:top w:w="0" w:type="dxa"/>
                    <w:left w:w="28" w:type="dxa"/>
                    <w:bottom w:w="0" w:type="dxa"/>
                    <w:right w:w="28" w:type="dxa"/>
                  </w:tcMar>
                  <w:vAlign w:val="center"/>
                </w:tcPr>
                <w:p w14:paraId="61E8D6C9">
                  <w:pPr>
                    <w:keepNext w:val="0"/>
                    <w:keepLines w:val="0"/>
                    <w:pageBreakBefore w:val="0"/>
                    <w:widowControl w:val="0"/>
                    <w:suppressLineNumbers w:val="0"/>
                    <w:tabs>
                      <w:tab w:val="left" w:pos="3183"/>
                    </w:tabs>
                    <w:kinsoku/>
                    <w:wordWrap/>
                    <w:overflowPunct/>
                    <w:topLinePunct w:val="0"/>
                    <w:autoSpaceDE/>
                    <w:autoSpaceDN/>
                    <w:bidi w:val="0"/>
                    <w:adjustRightInd/>
                    <w:snapToGrid/>
                    <w:spacing w:before="0" w:beforeAutospacing="0" w:after="0" w:afterAutospacing="0" w:line="240" w:lineRule="auto"/>
                    <w:ind w:left="0" w:right="0"/>
                    <w:jc w:val="both"/>
                    <w:textAlignment w:val="auto"/>
                    <w:rPr>
                      <w:rFonts w:hint="eastAsia" w:eastAsia="宋体"/>
                      <w:sz w:val="21"/>
                      <w:szCs w:val="21"/>
                      <w:highlight w:val="none"/>
                      <w:vertAlign w:val="baseline"/>
                      <w:lang w:eastAsia="zh-CN"/>
                    </w:rPr>
                  </w:pPr>
                  <w:r>
                    <w:rPr>
                      <w:rFonts w:hint="eastAsia" w:eastAsia="宋体"/>
                      <w:sz w:val="21"/>
                      <w:szCs w:val="21"/>
                      <w:highlight w:val="none"/>
                      <w:vertAlign w:val="baseline"/>
                      <w:lang w:eastAsia="zh-CN"/>
                    </w:rPr>
                    <w:t>废气收集系统排风罩（集气罩）的设置应符合GB/T 16758的规定。采用外部排风罩的，应按GB/T 16758、AQ/T 4274—2016 规定的方法测量控制风速，测量点应选取在距排风罩开口面最远处的VOCs无组织排放位置，控制风速不应低于0.3 m/s（行业相关规范有具体规定的，按相关规定执行）</w:t>
                  </w:r>
                  <w:r>
                    <w:rPr>
                      <w:rFonts w:hint="eastAsia"/>
                      <w:sz w:val="21"/>
                      <w:szCs w:val="21"/>
                      <w:highlight w:val="none"/>
                      <w:vertAlign w:val="baseline"/>
                      <w:lang w:eastAsia="zh-CN"/>
                    </w:rPr>
                    <w:t>。</w:t>
                  </w:r>
                </w:p>
              </w:tc>
              <w:tc>
                <w:tcPr>
                  <w:tcW w:w="2007" w:type="pct"/>
                  <w:tcMar>
                    <w:top w:w="0" w:type="dxa"/>
                    <w:left w:w="28" w:type="dxa"/>
                    <w:bottom w:w="0" w:type="dxa"/>
                    <w:right w:w="28" w:type="dxa"/>
                  </w:tcMar>
                  <w:vAlign w:val="center"/>
                </w:tcPr>
                <w:p w14:paraId="5CF09113">
                  <w:pPr>
                    <w:keepNext w:val="0"/>
                    <w:keepLines w:val="0"/>
                    <w:pageBreakBefore w:val="0"/>
                    <w:widowControl w:val="0"/>
                    <w:suppressLineNumbers w:val="0"/>
                    <w:tabs>
                      <w:tab w:val="left" w:pos="3183"/>
                    </w:tabs>
                    <w:kinsoku/>
                    <w:wordWrap/>
                    <w:overflowPunct/>
                    <w:topLinePunct w:val="0"/>
                    <w:autoSpaceDE/>
                    <w:autoSpaceDN/>
                    <w:bidi w:val="0"/>
                    <w:adjustRightInd/>
                    <w:snapToGrid/>
                    <w:spacing w:before="0" w:beforeAutospacing="0" w:after="0" w:afterAutospacing="0" w:line="240" w:lineRule="auto"/>
                    <w:ind w:left="0" w:right="0"/>
                    <w:jc w:val="both"/>
                    <w:textAlignment w:val="auto"/>
                    <w:rPr>
                      <w:rFonts w:hint="default"/>
                      <w:sz w:val="21"/>
                      <w:szCs w:val="21"/>
                      <w:highlight w:val="none"/>
                      <w:vertAlign w:val="baseline"/>
                      <w:lang w:val="en-US" w:eastAsia="zh-CN"/>
                    </w:rPr>
                  </w:pPr>
                  <w:r>
                    <w:rPr>
                      <w:rFonts w:hint="eastAsia"/>
                      <w:sz w:val="21"/>
                      <w:szCs w:val="21"/>
                      <w:highlight w:val="none"/>
                      <w:vertAlign w:val="baseline"/>
                      <w:lang w:val="en-US" w:eastAsia="zh-CN"/>
                    </w:rPr>
                    <w:t>本项目</w:t>
                  </w:r>
                  <w:r>
                    <w:rPr>
                      <w:rFonts w:hint="eastAsia" w:eastAsia="宋体"/>
                      <w:sz w:val="21"/>
                      <w:szCs w:val="21"/>
                      <w:highlight w:val="none"/>
                      <w:vertAlign w:val="baseline"/>
                      <w:lang w:eastAsia="zh-CN"/>
                    </w:rPr>
                    <w:t>废气收集系统排风罩（集气罩）的设置符合GB/T 16758的规定</w:t>
                  </w:r>
                  <w:r>
                    <w:rPr>
                      <w:rFonts w:hint="eastAsia"/>
                      <w:sz w:val="21"/>
                      <w:szCs w:val="21"/>
                      <w:highlight w:val="none"/>
                      <w:vertAlign w:val="baseline"/>
                      <w:lang w:eastAsia="zh-CN"/>
                    </w:rPr>
                    <w:t>；</w:t>
                  </w:r>
                  <w:r>
                    <w:rPr>
                      <w:rFonts w:hint="eastAsia" w:eastAsia="宋体"/>
                      <w:sz w:val="21"/>
                      <w:szCs w:val="21"/>
                      <w:highlight w:val="none"/>
                      <w:vertAlign w:val="baseline"/>
                      <w:lang w:eastAsia="zh-CN"/>
                    </w:rPr>
                    <w:t>采用外部排风罩</w:t>
                  </w:r>
                  <w:r>
                    <w:rPr>
                      <w:rFonts w:hint="eastAsia"/>
                      <w:sz w:val="21"/>
                      <w:szCs w:val="21"/>
                      <w:highlight w:val="none"/>
                      <w:vertAlign w:val="baseline"/>
                      <w:lang w:val="en-US" w:eastAsia="zh-CN"/>
                    </w:rPr>
                    <w:t>时</w:t>
                  </w:r>
                  <w:r>
                    <w:rPr>
                      <w:rFonts w:hint="eastAsia" w:eastAsia="宋体"/>
                      <w:sz w:val="21"/>
                      <w:szCs w:val="21"/>
                      <w:highlight w:val="none"/>
                      <w:vertAlign w:val="baseline"/>
                      <w:lang w:eastAsia="zh-CN"/>
                    </w:rPr>
                    <w:t>，距排风罩开口面最远处的VOCs无组织排放位置，控制风速不低于0.3 m/s</w:t>
                  </w:r>
                  <w:r>
                    <w:rPr>
                      <w:rFonts w:hint="eastAsia"/>
                      <w:sz w:val="21"/>
                      <w:szCs w:val="21"/>
                      <w:highlight w:val="none"/>
                      <w:vertAlign w:val="baseline"/>
                      <w:lang w:eastAsia="zh-CN"/>
                    </w:rPr>
                    <w:t>。</w:t>
                  </w:r>
                </w:p>
              </w:tc>
              <w:tc>
                <w:tcPr>
                  <w:tcW w:w="551" w:type="pct"/>
                  <w:tcMar>
                    <w:top w:w="0" w:type="dxa"/>
                    <w:left w:w="28" w:type="dxa"/>
                    <w:bottom w:w="0" w:type="dxa"/>
                    <w:right w:w="28" w:type="dxa"/>
                  </w:tcMar>
                  <w:vAlign w:val="center"/>
                </w:tcPr>
                <w:p w14:paraId="7919FB35">
                  <w:pPr>
                    <w:keepNext w:val="0"/>
                    <w:keepLines w:val="0"/>
                    <w:pageBreakBefore w:val="0"/>
                    <w:widowControl w:val="0"/>
                    <w:suppressLineNumbers w:val="0"/>
                    <w:tabs>
                      <w:tab w:val="left" w:pos="3183"/>
                    </w:tabs>
                    <w:kinsoku/>
                    <w:wordWrap/>
                    <w:overflowPunct/>
                    <w:topLinePunct w:val="0"/>
                    <w:autoSpaceDE/>
                    <w:autoSpaceDN/>
                    <w:bidi w:val="0"/>
                    <w:adjustRightInd/>
                    <w:snapToGrid/>
                    <w:spacing w:before="0" w:beforeAutospacing="0" w:after="0" w:afterAutospacing="0" w:line="240" w:lineRule="auto"/>
                    <w:ind w:left="0" w:right="0"/>
                    <w:jc w:val="center"/>
                    <w:textAlignment w:val="auto"/>
                    <w:rPr>
                      <w:rFonts w:hint="eastAsia" w:eastAsia="宋体"/>
                      <w:sz w:val="21"/>
                      <w:szCs w:val="21"/>
                      <w:highlight w:val="none"/>
                      <w:vertAlign w:val="baseline"/>
                      <w:lang w:eastAsia="zh-CN"/>
                    </w:rPr>
                  </w:pPr>
                  <w:r>
                    <w:rPr>
                      <w:rFonts w:hint="eastAsia"/>
                      <w:sz w:val="21"/>
                      <w:szCs w:val="21"/>
                      <w:highlight w:val="none"/>
                      <w:vertAlign w:val="baseline"/>
                      <w:lang w:val="en-US" w:eastAsia="zh-CN"/>
                    </w:rPr>
                    <w:t>是</w:t>
                  </w:r>
                </w:p>
              </w:tc>
            </w:tr>
            <w:tr w14:paraId="2F8225E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38" w:type="pct"/>
                  <w:tcMar>
                    <w:top w:w="0" w:type="dxa"/>
                    <w:left w:w="28" w:type="dxa"/>
                    <w:bottom w:w="0" w:type="dxa"/>
                    <w:right w:w="28" w:type="dxa"/>
                  </w:tcMar>
                  <w:vAlign w:val="center"/>
                </w:tcPr>
                <w:p w14:paraId="09BF5EDF">
                  <w:pPr>
                    <w:keepNext w:val="0"/>
                    <w:keepLines w:val="0"/>
                    <w:pageBreakBefore w:val="0"/>
                    <w:widowControl w:val="0"/>
                    <w:suppressLineNumbers w:val="0"/>
                    <w:tabs>
                      <w:tab w:val="left" w:pos="3183"/>
                    </w:tabs>
                    <w:kinsoku/>
                    <w:wordWrap/>
                    <w:overflowPunct/>
                    <w:topLinePunct w:val="0"/>
                    <w:autoSpaceDE/>
                    <w:autoSpaceDN/>
                    <w:bidi w:val="0"/>
                    <w:adjustRightInd/>
                    <w:snapToGrid/>
                    <w:spacing w:before="0" w:beforeAutospacing="0" w:after="0" w:afterAutospacing="0" w:line="240" w:lineRule="auto"/>
                    <w:ind w:left="0" w:right="0"/>
                    <w:jc w:val="center"/>
                    <w:textAlignment w:val="auto"/>
                    <w:rPr>
                      <w:rFonts w:hint="default" w:eastAsia="宋体"/>
                      <w:sz w:val="21"/>
                      <w:szCs w:val="21"/>
                      <w:highlight w:val="none"/>
                      <w:vertAlign w:val="baseline"/>
                      <w:lang w:val="en-US" w:eastAsia="zh-CN"/>
                    </w:rPr>
                  </w:pPr>
                  <w:r>
                    <w:rPr>
                      <w:rFonts w:hint="eastAsia"/>
                      <w:sz w:val="21"/>
                      <w:szCs w:val="21"/>
                      <w:highlight w:val="none"/>
                      <w:vertAlign w:val="baseline"/>
                      <w:lang w:val="en-US" w:eastAsia="zh-CN"/>
                    </w:rPr>
                    <w:t>9</w:t>
                  </w:r>
                </w:p>
              </w:tc>
              <w:tc>
                <w:tcPr>
                  <w:tcW w:w="2102" w:type="pct"/>
                  <w:tcMar>
                    <w:top w:w="0" w:type="dxa"/>
                    <w:left w:w="28" w:type="dxa"/>
                    <w:bottom w:w="0" w:type="dxa"/>
                    <w:right w:w="28" w:type="dxa"/>
                  </w:tcMar>
                  <w:vAlign w:val="center"/>
                </w:tcPr>
                <w:p w14:paraId="6114C77D">
                  <w:pPr>
                    <w:keepNext w:val="0"/>
                    <w:keepLines w:val="0"/>
                    <w:pageBreakBefore w:val="0"/>
                    <w:widowControl w:val="0"/>
                    <w:suppressLineNumbers w:val="0"/>
                    <w:tabs>
                      <w:tab w:val="left" w:pos="3183"/>
                    </w:tabs>
                    <w:kinsoku/>
                    <w:wordWrap/>
                    <w:overflowPunct/>
                    <w:topLinePunct w:val="0"/>
                    <w:autoSpaceDE/>
                    <w:autoSpaceDN/>
                    <w:bidi w:val="0"/>
                    <w:adjustRightInd/>
                    <w:snapToGrid/>
                    <w:spacing w:before="0" w:beforeAutospacing="0" w:after="0" w:afterAutospacing="0" w:line="240" w:lineRule="auto"/>
                    <w:ind w:left="0" w:right="0"/>
                    <w:jc w:val="both"/>
                    <w:textAlignment w:val="auto"/>
                    <w:rPr>
                      <w:rFonts w:hint="eastAsia" w:eastAsia="宋体"/>
                      <w:sz w:val="21"/>
                      <w:szCs w:val="21"/>
                      <w:highlight w:val="none"/>
                      <w:vertAlign w:val="baseline"/>
                      <w:lang w:eastAsia="zh-CN"/>
                    </w:rPr>
                  </w:pPr>
                  <w:r>
                    <w:rPr>
                      <w:rFonts w:hint="eastAsia" w:eastAsia="宋体"/>
                      <w:sz w:val="21"/>
                      <w:szCs w:val="21"/>
                      <w:highlight w:val="none"/>
                      <w:vertAlign w:val="baseline"/>
                      <w:lang w:eastAsia="zh-CN"/>
                    </w:rPr>
                    <w:t>废气收集系统的输送管道应密闭</w:t>
                  </w:r>
                  <w:r>
                    <w:rPr>
                      <w:rFonts w:hint="eastAsia"/>
                      <w:sz w:val="21"/>
                      <w:szCs w:val="21"/>
                      <w:highlight w:val="none"/>
                      <w:vertAlign w:val="baseline"/>
                      <w:lang w:eastAsia="zh-CN"/>
                    </w:rPr>
                    <w:t>。</w:t>
                  </w:r>
                </w:p>
              </w:tc>
              <w:tc>
                <w:tcPr>
                  <w:tcW w:w="2007" w:type="pct"/>
                  <w:tcMar>
                    <w:top w:w="0" w:type="dxa"/>
                    <w:left w:w="28" w:type="dxa"/>
                    <w:bottom w:w="0" w:type="dxa"/>
                    <w:right w:w="28" w:type="dxa"/>
                  </w:tcMar>
                  <w:vAlign w:val="center"/>
                </w:tcPr>
                <w:p w14:paraId="4C243F47">
                  <w:pPr>
                    <w:keepNext w:val="0"/>
                    <w:keepLines w:val="0"/>
                    <w:pageBreakBefore w:val="0"/>
                    <w:widowControl w:val="0"/>
                    <w:suppressLineNumbers w:val="0"/>
                    <w:tabs>
                      <w:tab w:val="left" w:pos="3183"/>
                    </w:tabs>
                    <w:kinsoku/>
                    <w:wordWrap/>
                    <w:overflowPunct/>
                    <w:topLinePunct w:val="0"/>
                    <w:autoSpaceDE/>
                    <w:autoSpaceDN/>
                    <w:bidi w:val="0"/>
                    <w:adjustRightInd/>
                    <w:snapToGrid/>
                    <w:spacing w:before="0" w:beforeAutospacing="0" w:after="0" w:afterAutospacing="0" w:line="240" w:lineRule="auto"/>
                    <w:ind w:left="0" w:right="0"/>
                    <w:jc w:val="both"/>
                    <w:textAlignment w:val="auto"/>
                    <w:rPr>
                      <w:rFonts w:hint="default"/>
                      <w:sz w:val="21"/>
                      <w:szCs w:val="21"/>
                      <w:highlight w:val="none"/>
                      <w:vertAlign w:val="baseline"/>
                      <w:lang w:val="en-US" w:eastAsia="zh-CN"/>
                    </w:rPr>
                  </w:pPr>
                  <w:r>
                    <w:rPr>
                      <w:rFonts w:hint="eastAsia"/>
                      <w:sz w:val="21"/>
                      <w:szCs w:val="21"/>
                      <w:highlight w:val="none"/>
                      <w:vertAlign w:val="baseline"/>
                      <w:lang w:val="en-US" w:eastAsia="zh-CN"/>
                    </w:rPr>
                    <w:t>本项目</w:t>
                  </w:r>
                  <w:r>
                    <w:rPr>
                      <w:rFonts w:hint="eastAsia" w:eastAsia="宋体"/>
                      <w:sz w:val="21"/>
                      <w:szCs w:val="21"/>
                      <w:highlight w:val="none"/>
                      <w:vertAlign w:val="baseline"/>
                      <w:lang w:eastAsia="zh-CN"/>
                    </w:rPr>
                    <w:t>废气收集系统的输送管道</w:t>
                  </w:r>
                  <w:r>
                    <w:rPr>
                      <w:rFonts w:hint="eastAsia"/>
                      <w:sz w:val="21"/>
                      <w:szCs w:val="21"/>
                      <w:highlight w:val="none"/>
                      <w:vertAlign w:val="baseline"/>
                      <w:lang w:val="en-US" w:eastAsia="zh-CN"/>
                    </w:rPr>
                    <w:t>保持</w:t>
                  </w:r>
                  <w:r>
                    <w:rPr>
                      <w:rFonts w:hint="eastAsia" w:eastAsia="宋体"/>
                      <w:sz w:val="21"/>
                      <w:szCs w:val="21"/>
                      <w:highlight w:val="none"/>
                      <w:vertAlign w:val="baseline"/>
                      <w:lang w:eastAsia="zh-CN"/>
                    </w:rPr>
                    <w:t>密闭</w:t>
                  </w:r>
                  <w:r>
                    <w:rPr>
                      <w:rFonts w:hint="eastAsia"/>
                      <w:sz w:val="21"/>
                      <w:szCs w:val="21"/>
                      <w:highlight w:val="none"/>
                      <w:vertAlign w:val="baseline"/>
                      <w:lang w:val="en-US" w:eastAsia="zh-CN"/>
                    </w:rPr>
                    <w:t>状态。</w:t>
                  </w:r>
                </w:p>
              </w:tc>
              <w:tc>
                <w:tcPr>
                  <w:tcW w:w="551" w:type="pct"/>
                  <w:tcMar>
                    <w:top w:w="0" w:type="dxa"/>
                    <w:left w:w="28" w:type="dxa"/>
                    <w:bottom w:w="0" w:type="dxa"/>
                    <w:right w:w="28" w:type="dxa"/>
                  </w:tcMar>
                  <w:vAlign w:val="center"/>
                </w:tcPr>
                <w:p w14:paraId="1B6006DD">
                  <w:pPr>
                    <w:keepNext w:val="0"/>
                    <w:keepLines w:val="0"/>
                    <w:pageBreakBefore w:val="0"/>
                    <w:widowControl w:val="0"/>
                    <w:suppressLineNumbers w:val="0"/>
                    <w:tabs>
                      <w:tab w:val="left" w:pos="3183"/>
                    </w:tabs>
                    <w:kinsoku/>
                    <w:wordWrap/>
                    <w:overflowPunct/>
                    <w:topLinePunct w:val="0"/>
                    <w:autoSpaceDE/>
                    <w:autoSpaceDN/>
                    <w:bidi w:val="0"/>
                    <w:adjustRightInd/>
                    <w:snapToGrid/>
                    <w:spacing w:before="0" w:beforeAutospacing="0" w:after="0" w:afterAutospacing="0" w:line="240" w:lineRule="auto"/>
                    <w:ind w:left="0" w:right="0"/>
                    <w:jc w:val="center"/>
                    <w:textAlignment w:val="auto"/>
                    <w:rPr>
                      <w:rFonts w:hint="eastAsia" w:eastAsia="宋体"/>
                      <w:sz w:val="21"/>
                      <w:szCs w:val="21"/>
                      <w:highlight w:val="none"/>
                      <w:vertAlign w:val="baseline"/>
                      <w:lang w:eastAsia="zh-CN"/>
                    </w:rPr>
                  </w:pPr>
                  <w:r>
                    <w:rPr>
                      <w:rFonts w:hint="eastAsia"/>
                      <w:sz w:val="21"/>
                      <w:szCs w:val="21"/>
                      <w:highlight w:val="none"/>
                      <w:vertAlign w:val="baseline"/>
                      <w:lang w:val="en-US" w:eastAsia="zh-CN"/>
                    </w:rPr>
                    <w:t>是</w:t>
                  </w:r>
                </w:p>
              </w:tc>
            </w:tr>
          </w:tbl>
          <w:p w14:paraId="3A63BEE5">
            <w:pPr>
              <w:keepNext w:val="0"/>
              <w:keepLines w:val="0"/>
              <w:suppressLineNumbers w:val="0"/>
              <w:spacing w:before="0" w:beforeAutospacing="0" w:after="0" w:afterAutospacing="0" w:line="360" w:lineRule="auto"/>
              <w:ind w:left="0" w:right="0" w:firstLine="480" w:firstLineChars="200"/>
              <w:jc w:val="both"/>
              <w:rPr>
                <w:rFonts w:hint="eastAsia"/>
                <w:sz w:val="24"/>
                <w:highlight w:val="none"/>
                <w:lang w:eastAsia="zh-CN"/>
              </w:rPr>
            </w:pPr>
            <w:r>
              <w:rPr>
                <w:rFonts w:hint="eastAsia"/>
                <w:sz w:val="24"/>
                <w:highlight w:val="none"/>
              </w:rPr>
              <w:t>本项目乙酸乙酯、石油醚、四氢呋喃等挥发性有机物主要用于</w:t>
            </w:r>
            <w:r>
              <w:rPr>
                <w:rFonts w:hint="eastAsia"/>
                <w:sz w:val="24"/>
                <w:highlight w:val="none"/>
                <w:lang w:val="en-US" w:eastAsia="zh-CN"/>
              </w:rPr>
              <w:t>化学</w:t>
            </w:r>
            <w:r>
              <w:rPr>
                <w:rFonts w:hint="eastAsia"/>
                <w:sz w:val="24"/>
                <w:highlight w:val="none"/>
              </w:rPr>
              <w:t>药物合成</w:t>
            </w:r>
            <w:r>
              <w:rPr>
                <w:rFonts w:hint="eastAsia"/>
                <w:sz w:val="24"/>
                <w:highlight w:val="none"/>
                <w:lang w:val="en-US" w:eastAsia="zh-CN"/>
              </w:rPr>
              <w:t>试剂</w:t>
            </w:r>
            <w:r>
              <w:rPr>
                <w:rFonts w:hint="eastAsia"/>
                <w:sz w:val="24"/>
                <w:highlight w:val="none"/>
              </w:rPr>
              <w:t>，</w:t>
            </w:r>
            <w:r>
              <w:rPr>
                <w:rFonts w:hint="eastAsia"/>
                <w:sz w:val="24"/>
                <w:highlight w:val="none"/>
                <w:lang w:val="en-US" w:eastAsia="zh-CN"/>
              </w:rPr>
              <w:t>根据DA012~DA015（化学合成实验室排气筒）对应的化学合成实验室面积来划分有机废气</w:t>
            </w:r>
            <w:r>
              <w:rPr>
                <w:rFonts w:hint="eastAsia"/>
                <w:sz w:val="24"/>
                <w:highlight w:val="none"/>
              </w:rPr>
              <w:t>的产生量</w:t>
            </w:r>
            <w:r>
              <w:rPr>
                <w:rFonts w:hint="eastAsia"/>
                <w:sz w:val="24"/>
                <w:highlight w:val="none"/>
                <w:lang w:eastAsia="zh-CN"/>
              </w:rPr>
              <w:t>，</w:t>
            </w:r>
            <w:r>
              <w:rPr>
                <w:rFonts w:hint="eastAsia"/>
                <w:sz w:val="24"/>
                <w:highlight w:val="none"/>
                <w:lang w:val="en-US" w:eastAsia="zh-CN"/>
              </w:rPr>
              <w:t>则</w:t>
            </w:r>
            <w:r>
              <w:rPr>
                <w:rFonts w:hint="eastAsia"/>
                <w:sz w:val="24"/>
                <w:highlight w:val="none"/>
              </w:rPr>
              <w:t>挥发性有机废气的产生量暂按</w:t>
            </w:r>
            <w:r>
              <w:rPr>
                <w:rFonts w:hint="eastAsia"/>
                <w:sz w:val="24"/>
                <w:highlight w:val="none"/>
                <w:lang w:val="en-US" w:eastAsia="zh-CN"/>
              </w:rPr>
              <w:t>DA012~DA015对应的</w:t>
            </w:r>
            <w:r>
              <w:rPr>
                <w:rFonts w:hint="eastAsia"/>
                <w:sz w:val="24"/>
                <w:highlight w:val="none"/>
              </w:rPr>
              <w:t>实验室分别产生</w:t>
            </w:r>
            <w:r>
              <w:rPr>
                <w:rFonts w:hint="eastAsia"/>
                <w:sz w:val="24"/>
                <w:highlight w:val="none"/>
                <w:lang w:val="en-US" w:eastAsia="zh-CN"/>
              </w:rPr>
              <w:t>15</w:t>
            </w:r>
            <w:r>
              <w:rPr>
                <w:rFonts w:hint="eastAsia"/>
                <w:sz w:val="24"/>
                <w:highlight w:val="none"/>
              </w:rPr>
              <w:t>%</w:t>
            </w:r>
            <w:r>
              <w:rPr>
                <w:rFonts w:hint="eastAsia"/>
                <w:sz w:val="24"/>
                <w:highlight w:val="none"/>
                <w:lang w:eastAsia="zh-CN"/>
              </w:rPr>
              <w:t>、</w:t>
            </w:r>
            <w:r>
              <w:rPr>
                <w:rFonts w:hint="eastAsia"/>
                <w:sz w:val="24"/>
                <w:highlight w:val="none"/>
                <w:lang w:val="en-US" w:eastAsia="zh-CN"/>
              </w:rPr>
              <w:t>30</w:t>
            </w:r>
            <w:r>
              <w:rPr>
                <w:rFonts w:hint="eastAsia"/>
                <w:sz w:val="24"/>
                <w:highlight w:val="none"/>
              </w:rPr>
              <w:t>%</w:t>
            </w:r>
            <w:r>
              <w:rPr>
                <w:rFonts w:hint="eastAsia"/>
                <w:sz w:val="24"/>
                <w:highlight w:val="none"/>
                <w:lang w:eastAsia="zh-CN"/>
              </w:rPr>
              <w:t>、</w:t>
            </w:r>
            <w:r>
              <w:rPr>
                <w:rFonts w:hint="eastAsia"/>
                <w:sz w:val="24"/>
                <w:highlight w:val="none"/>
                <w:lang w:val="en-US" w:eastAsia="zh-CN"/>
              </w:rPr>
              <w:t>25</w:t>
            </w:r>
            <w:r>
              <w:rPr>
                <w:rFonts w:hint="eastAsia"/>
                <w:sz w:val="24"/>
                <w:highlight w:val="none"/>
              </w:rPr>
              <w:t>%</w:t>
            </w:r>
            <w:r>
              <w:rPr>
                <w:rFonts w:hint="eastAsia"/>
                <w:sz w:val="24"/>
                <w:highlight w:val="none"/>
                <w:lang w:eastAsia="zh-CN"/>
              </w:rPr>
              <w:t>、</w:t>
            </w:r>
            <w:r>
              <w:rPr>
                <w:rFonts w:hint="eastAsia"/>
                <w:sz w:val="24"/>
                <w:highlight w:val="none"/>
                <w:lang w:val="en-US" w:eastAsia="zh-CN"/>
              </w:rPr>
              <w:t>30</w:t>
            </w:r>
            <w:r>
              <w:rPr>
                <w:rFonts w:hint="eastAsia"/>
                <w:sz w:val="24"/>
                <w:highlight w:val="none"/>
              </w:rPr>
              <w:t>%</w:t>
            </w:r>
            <w:r>
              <w:rPr>
                <w:rFonts w:hint="eastAsia"/>
                <w:sz w:val="24"/>
                <w:highlight w:val="none"/>
                <w:lang w:val="en-US" w:eastAsia="zh-CN"/>
              </w:rPr>
              <w:t>，则</w:t>
            </w:r>
            <w:r>
              <w:rPr>
                <w:rFonts w:hint="eastAsia"/>
                <w:color w:val="auto"/>
                <w:highlight w:val="none"/>
                <w:lang w:val="en-US" w:eastAsia="zh-CN"/>
              </w:rPr>
              <w:t>项目科创</w:t>
            </w:r>
            <w:r>
              <w:rPr>
                <w:rFonts w:hint="eastAsia"/>
                <w:kern w:val="0"/>
                <w:sz w:val="24"/>
                <w:szCs w:val="24"/>
                <w:highlight w:val="none"/>
                <w:lang w:val="en-US" w:eastAsia="zh-CN"/>
              </w:rPr>
              <w:t>综合</w:t>
            </w:r>
            <w:r>
              <w:rPr>
                <w:rFonts w:hint="eastAsia"/>
                <w:color w:val="auto"/>
                <w:highlight w:val="none"/>
                <w:lang w:val="en-US" w:eastAsia="zh-CN"/>
              </w:rPr>
              <w:t>楼化学合成实验室有机</w:t>
            </w:r>
            <w:r>
              <w:rPr>
                <w:rFonts w:hint="default"/>
                <w:color w:val="auto"/>
                <w:highlight w:val="none"/>
              </w:rPr>
              <w:t>废气</w:t>
            </w:r>
            <w:r>
              <w:rPr>
                <w:rFonts w:hint="eastAsia" w:ascii="Times New Roman" w:hAnsi="Times New Roman" w:eastAsia="宋体" w:cs="Times New Roman"/>
                <w:sz w:val="24"/>
                <w:szCs w:val="24"/>
                <w:highlight w:val="none"/>
                <w:lang w:val="en-US" w:eastAsia="zh-CN"/>
              </w:rPr>
              <w:t>产生及排放情况见下表</w:t>
            </w:r>
            <w:r>
              <w:rPr>
                <w:rFonts w:hint="eastAsia" w:cs="Times New Roman"/>
                <w:sz w:val="24"/>
                <w:szCs w:val="24"/>
                <w:highlight w:val="none"/>
                <w:lang w:val="en-US" w:eastAsia="zh-CN"/>
              </w:rPr>
              <w:t>7</w:t>
            </w:r>
            <w:r>
              <w:rPr>
                <w:rFonts w:hint="eastAsia" w:ascii="Times New Roman" w:hAnsi="Times New Roman" w:eastAsia="宋体" w:cs="Times New Roman"/>
                <w:sz w:val="24"/>
                <w:szCs w:val="24"/>
                <w:highlight w:val="none"/>
                <w:lang w:val="en-US" w:eastAsia="zh-CN"/>
              </w:rPr>
              <w:t>-</w:t>
            </w:r>
            <w:r>
              <w:rPr>
                <w:rFonts w:hint="eastAsia" w:cs="Times New Roman"/>
                <w:sz w:val="24"/>
                <w:szCs w:val="24"/>
                <w:highlight w:val="none"/>
                <w:lang w:val="en-US" w:eastAsia="zh-CN"/>
              </w:rPr>
              <w:t>11</w:t>
            </w:r>
            <w:r>
              <w:rPr>
                <w:rFonts w:hint="eastAsia" w:ascii="Times New Roman" w:hAnsi="Times New Roman" w:eastAsia="宋体" w:cs="Times New Roman"/>
                <w:sz w:val="24"/>
                <w:szCs w:val="24"/>
                <w:highlight w:val="none"/>
                <w:lang w:val="en-US" w:eastAsia="zh-CN"/>
              </w:rPr>
              <w:t>。</w:t>
            </w:r>
          </w:p>
          <w:p w14:paraId="72A582BD">
            <w:pPr>
              <w:keepNext w:val="0"/>
              <w:keepLines w:val="0"/>
              <w:suppressLineNumbers w:val="0"/>
              <w:spacing w:before="0" w:beforeAutospacing="0" w:after="0" w:afterAutospacing="0" w:line="360" w:lineRule="auto"/>
              <w:ind w:left="0" w:right="0" w:firstLine="480" w:firstLineChars="200"/>
              <w:jc w:val="left"/>
              <w:rPr>
                <w:rFonts w:hint="eastAsia"/>
                <w:color w:val="auto"/>
                <w:sz w:val="24"/>
                <w:highlight w:val="none"/>
              </w:rPr>
            </w:pPr>
            <w:r>
              <w:rPr>
                <w:rFonts w:hint="eastAsia"/>
                <w:color w:val="auto"/>
                <w:sz w:val="24"/>
                <w:highlight w:val="none"/>
                <w:lang w:val="en-US" w:eastAsia="zh-CN"/>
              </w:rPr>
              <w:t>本项目</w:t>
            </w:r>
            <w:r>
              <w:rPr>
                <w:rFonts w:hint="eastAsia"/>
                <w:color w:val="auto"/>
                <w:sz w:val="24"/>
                <w:highlight w:val="none"/>
              </w:rPr>
              <w:t>乙醇使用主要用于生物</w:t>
            </w:r>
            <w:r>
              <w:rPr>
                <w:rFonts w:hint="eastAsia"/>
                <w:color w:val="auto"/>
                <w:sz w:val="24"/>
                <w:highlight w:val="none"/>
                <w:lang w:val="en-US" w:eastAsia="zh-CN"/>
              </w:rPr>
              <w:t>制剂</w:t>
            </w:r>
            <w:r>
              <w:rPr>
                <w:rFonts w:hint="eastAsia"/>
                <w:color w:val="auto"/>
                <w:sz w:val="24"/>
                <w:highlight w:val="none"/>
              </w:rPr>
              <w:t>实验，</w:t>
            </w:r>
            <w:r>
              <w:rPr>
                <w:rFonts w:hint="eastAsia"/>
                <w:sz w:val="24"/>
                <w:highlight w:val="none"/>
                <w:lang w:val="en-US" w:eastAsia="zh-CN"/>
              </w:rPr>
              <w:t>根据DA016~DA019（生物制剂实验室排气筒）对应的生物制剂实验室面积来划分有机废气</w:t>
            </w:r>
            <w:r>
              <w:rPr>
                <w:rFonts w:hint="eastAsia"/>
                <w:sz w:val="24"/>
                <w:highlight w:val="none"/>
              </w:rPr>
              <w:t>的产生量</w:t>
            </w:r>
            <w:r>
              <w:rPr>
                <w:rFonts w:hint="eastAsia"/>
                <w:sz w:val="24"/>
                <w:highlight w:val="none"/>
                <w:lang w:eastAsia="zh-CN"/>
              </w:rPr>
              <w:t>，</w:t>
            </w:r>
            <w:r>
              <w:rPr>
                <w:rFonts w:hint="eastAsia"/>
                <w:sz w:val="24"/>
                <w:highlight w:val="none"/>
                <w:lang w:val="en-US" w:eastAsia="zh-CN"/>
              </w:rPr>
              <w:t>则</w:t>
            </w:r>
            <w:r>
              <w:rPr>
                <w:rFonts w:hint="eastAsia"/>
                <w:sz w:val="24"/>
                <w:highlight w:val="none"/>
              </w:rPr>
              <w:t>挥发性有机废气的产生量暂按</w:t>
            </w:r>
            <w:r>
              <w:rPr>
                <w:rFonts w:hint="eastAsia"/>
                <w:sz w:val="24"/>
                <w:highlight w:val="none"/>
                <w:lang w:val="en-US" w:eastAsia="zh-CN"/>
              </w:rPr>
              <w:t>DA016~DA019对应的</w:t>
            </w:r>
            <w:r>
              <w:rPr>
                <w:rFonts w:hint="eastAsia"/>
                <w:sz w:val="24"/>
                <w:highlight w:val="none"/>
              </w:rPr>
              <w:t>实验室分别产生</w:t>
            </w:r>
            <w:r>
              <w:rPr>
                <w:rFonts w:hint="eastAsia"/>
                <w:sz w:val="24"/>
                <w:highlight w:val="none"/>
                <w:lang w:val="en-US" w:eastAsia="zh-CN"/>
              </w:rPr>
              <w:t>35</w:t>
            </w:r>
            <w:r>
              <w:rPr>
                <w:rFonts w:hint="eastAsia"/>
                <w:sz w:val="24"/>
                <w:highlight w:val="none"/>
              </w:rPr>
              <w:t>%</w:t>
            </w:r>
            <w:r>
              <w:rPr>
                <w:rFonts w:hint="eastAsia"/>
                <w:sz w:val="24"/>
                <w:highlight w:val="none"/>
                <w:lang w:eastAsia="zh-CN"/>
              </w:rPr>
              <w:t>、</w:t>
            </w:r>
            <w:r>
              <w:rPr>
                <w:rFonts w:hint="eastAsia"/>
                <w:sz w:val="24"/>
                <w:highlight w:val="none"/>
                <w:lang w:val="en-US" w:eastAsia="zh-CN"/>
              </w:rPr>
              <w:t>20</w:t>
            </w:r>
            <w:r>
              <w:rPr>
                <w:rFonts w:hint="eastAsia"/>
                <w:sz w:val="24"/>
                <w:highlight w:val="none"/>
              </w:rPr>
              <w:t>%</w:t>
            </w:r>
            <w:r>
              <w:rPr>
                <w:rFonts w:hint="eastAsia"/>
                <w:sz w:val="24"/>
                <w:highlight w:val="none"/>
                <w:lang w:eastAsia="zh-CN"/>
              </w:rPr>
              <w:t>、</w:t>
            </w:r>
            <w:r>
              <w:rPr>
                <w:rFonts w:hint="eastAsia"/>
                <w:sz w:val="24"/>
                <w:highlight w:val="none"/>
                <w:lang w:val="en-US" w:eastAsia="zh-CN"/>
              </w:rPr>
              <w:t>30</w:t>
            </w:r>
            <w:r>
              <w:rPr>
                <w:rFonts w:hint="eastAsia"/>
                <w:sz w:val="24"/>
                <w:highlight w:val="none"/>
              </w:rPr>
              <w:t>%</w:t>
            </w:r>
            <w:r>
              <w:rPr>
                <w:rFonts w:hint="eastAsia"/>
                <w:sz w:val="24"/>
                <w:highlight w:val="none"/>
                <w:lang w:eastAsia="zh-CN"/>
              </w:rPr>
              <w:t>、</w:t>
            </w:r>
            <w:r>
              <w:rPr>
                <w:rFonts w:hint="eastAsia"/>
                <w:sz w:val="24"/>
                <w:highlight w:val="none"/>
                <w:lang w:val="en-US" w:eastAsia="zh-CN"/>
              </w:rPr>
              <w:t>15</w:t>
            </w:r>
            <w:r>
              <w:rPr>
                <w:rFonts w:hint="eastAsia"/>
                <w:sz w:val="24"/>
                <w:highlight w:val="none"/>
              </w:rPr>
              <w:t>%</w:t>
            </w:r>
            <w:r>
              <w:rPr>
                <w:rFonts w:hint="eastAsia"/>
                <w:sz w:val="24"/>
                <w:highlight w:val="none"/>
                <w:lang w:val="en-US" w:eastAsia="zh-CN"/>
              </w:rPr>
              <w:t>，则</w:t>
            </w:r>
            <w:r>
              <w:rPr>
                <w:rFonts w:hint="eastAsia"/>
                <w:color w:val="auto"/>
                <w:highlight w:val="none"/>
                <w:lang w:val="en-US" w:eastAsia="zh-CN"/>
              </w:rPr>
              <w:t>项目科创</w:t>
            </w:r>
            <w:r>
              <w:rPr>
                <w:rFonts w:hint="eastAsia"/>
                <w:kern w:val="0"/>
                <w:sz w:val="24"/>
                <w:szCs w:val="24"/>
                <w:highlight w:val="none"/>
                <w:lang w:val="en-US" w:eastAsia="zh-CN"/>
              </w:rPr>
              <w:t>综合</w:t>
            </w:r>
            <w:r>
              <w:rPr>
                <w:rFonts w:hint="eastAsia"/>
                <w:color w:val="auto"/>
                <w:highlight w:val="none"/>
                <w:lang w:val="en-US" w:eastAsia="zh-CN"/>
              </w:rPr>
              <w:t>楼</w:t>
            </w:r>
            <w:r>
              <w:rPr>
                <w:rFonts w:hint="eastAsia"/>
                <w:sz w:val="24"/>
                <w:highlight w:val="none"/>
                <w:lang w:val="en-US" w:eastAsia="zh-CN"/>
              </w:rPr>
              <w:t>生物制剂实验室</w:t>
            </w:r>
            <w:r>
              <w:rPr>
                <w:rFonts w:hint="eastAsia"/>
                <w:color w:val="auto"/>
                <w:highlight w:val="none"/>
                <w:lang w:val="en-US" w:eastAsia="zh-CN"/>
              </w:rPr>
              <w:t>有机</w:t>
            </w:r>
            <w:r>
              <w:rPr>
                <w:rFonts w:hint="default"/>
                <w:color w:val="auto"/>
                <w:highlight w:val="none"/>
              </w:rPr>
              <w:t>废气</w:t>
            </w:r>
            <w:r>
              <w:rPr>
                <w:rFonts w:hint="eastAsia" w:ascii="Times New Roman" w:hAnsi="Times New Roman" w:eastAsia="宋体" w:cs="Times New Roman"/>
                <w:sz w:val="24"/>
                <w:szCs w:val="24"/>
                <w:highlight w:val="none"/>
                <w:lang w:val="en-US" w:eastAsia="zh-CN"/>
              </w:rPr>
              <w:t>产生及排放情况见下表</w:t>
            </w:r>
            <w:r>
              <w:rPr>
                <w:rFonts w:hint="eastAsia" w:cs="Times New Roman"/>
                <w:sz w:val="24"/>
                <w:szCs w:val="24"/>
                <w:highlight w:val="none"/>
                <w:lang w:val="en-US" w:eastAsia="zh-CN"/>
              </w:rPr>
              <w:t>7</w:t>
            </w:r>
            <w:r>
              <w:rPr>
                <w:rFonts w:hint="eastAsia" w:ascii="Times New Roman" w:hAnsi="Times New Roman" w:eastAsia="宋体" w:cs="Times New Roman"/>
                <w:sz w:val="24"/>
                <w:szCs w:val="24"/>
                <w:highlight w:val="none"/>
                <w:lang w:val="en-US" w:eastAsia="zh-CN"/>
              </w:rPr>
              <w:t>-</w:t>
            </w:r>
            <w:r>
              <w:rPr>
                <w:rFonts w:hint="eastAsia" w:cs="Times New Roman"/>
                <w:sz w:val="24"/>
                <w:szCs w:val="24"/>
                <w:highlight w:val="none"/>
                <w:lang w:val="en-US" w:eastAsia="zh-CN"/>
              </w:rPr>
              <w:t>20。</w:t>
            </w:r>
          </w:p>
          <w:p w14:paraId="253F1528">
            <w:pPr>
              <w:keepNext w:val="0"/>
              <w:keepLines w:val="0"/>
              <w:pageBreakBefore w:val="0"/>
              <w:widowControl w:val="0"/>
              <w:suppressLineNumbers w:val="0"/>
              <w:kinsoku/>
              <w:wordWrap/>
              <w:overflowPunct w:val="0"/>
              <w:topLinePunct w:val="0"/>
              <w:autoSpaceDE/>
              <w:autoSpaceDN/>
              <w:bidi w:val="0"/>
              <w:adjustRightInd w:val="0"/>
              <w:snapToGrid w:val="0"/>
              <w:spacing w:before="0" w:beforeAutospacing="0" w:after="0" w:afterAutospacing="0" w:line="360" w:lineRule="auto"/>
              <w:ind w:left="0" w:right="0" w:firstLine="482"/>
              <w:jc w:val="center"/>
              <w:textAlignment w:val="auto"/>
              <w:rPr>
                <w:rFonts w:hint="default" w:ascii="Times New Roman" w:hAnsi="Times New Roman" w:eastAsia="宋体" w:cs="Times New Roman"/>
                <w:b/>
                <w:bCs/>
                <w:kern w:val="0"/>
                <w:sz w:val="24"/>
                <w:highlight w:val="none"/>
                <w:lang w:val="en-US" w:eastAsia="zh-CN"/>
              </w:rPr>
            </w:pPr>
            <w:r>
              <w:rPr>
                <w:rFonts w:hint="eastAsia" w:ascii="Times New Roman" w:hAnsi="Times New Roman" w:eastAsia="宋体" w:cs="Times New Roman"/>
                <w:b/>
                <w:bCs/>
                <w:kern w:val="0"/>
                <w:sz w:val="24"/>
                <w:highlight w:val="none"/>
                <w:lang w:val="en-US" w:eastAsia="zh-CN"/>
              </w:rPr>
              <w:t>表</w:t>
            </w:r>
            <w:r>
              <w:rPr>
                <w:rFonts w:hint="eastAsia" w:cs="Times New Roman"/>
                <w:b/>
                <w:bCs/>
                <w:kern w:val="0"/>
                <w:sz w:val="24"/>
                <w:highlight w:val="none"/>
                <w:lang w:val="en-US" w:eastAsia="zh-CN"/>
              </w:rPr>
              <w:t>7</w:t>
            </w:r>
            <w:r>
              <w:rPr>
                <w:rFonts w:hint="eastAsia" w:ascii="Times New Roman" w:hAnsi="Times New Roman" w:eastAsia="宋体" w:cs="Times New Roman"/>
                <w:b/>
                <w:bCs/>
                <w:kern w:val="0"/>
                <w:sz w:val="24"/>
                <w:highlight w:val="none"/>
                <w:lang w:val="en-US" w:eastAsia="zh-CN"/>
              </w:rPr>
              <w:t>-</w:t>
            </w:r>
            <w:r>
              <w:rPr>
                <w:rFonts w:hint="eastAsia" w:cs="Times New Roman"/>
                <w:b/>
                <w:bCs/>
                <w:kern w:val="0"/>
                <w:sz w:val="24"/>
                <w:highlight w:val="none"/>
                <w:lang w:val="en-US" w:eastAsia="zh-CN"/>
              </w:rPr>
              <w:t>20</w:t>
            </w:r>
            <w:r>
              <w:rPr>
                <w:rFonts w:hint="eastAsia" w:ascii="Times New Roman" w:hAnsi="Times New Roman" w:eastAsia="宋体" w:cs="Times New Roman"/>
                <w:b/>
                <w:bCs/>
                <w:kern w:val="0"/>
                <w:sz w:val="24"/>
                <w:highlight w:val="none"/>
                <w:lang w:val="en-US" w:eastAsia="zh-CN"/>
              </w:rPr>
              <w:t xml:space="preserve"> 科创</w:t>
            </w:r>
            <w:r>
              <w:rPr>
                <w:rFonts w:hint="eastAsia"/>
                <w:b/>
                <w:bCs/>
                <w:kern w:val="0"/>
                <w:sz w:val="24"/>
                <w:szCs w:val="24"/>
                <w:highlight w:val="none"/>
                <w:lang w:val="en-US" w:eastAsia="zh-CN"/>
              </w:rPr>
              <w:t>综合</w:t>
            </w:r>
            <w:r>
              <w:rPr>
                <w:rFonts w:hint="eastAsia" w:ascii="Times New Roman" w:hAnsi="Times New Roman" w:eastAsia="宋体" w:cs="Times New Roman"/>
                <w:b/>
                <w:bCs/>
                <w:kern w:val="0"/>
                <w:sz w:val="24"/>
                <w:highlight w:val="none"/>
                <w:lang w:val="en-US" w:eastAsia="zh-CN"/>
              </w:rPr>
              <w:t>楼有机废气产生及排放情况表</w:t>
            </w:r>
          </w:p>
          <w:tbl>
            <w:tblPr>
              <w:tblStyle w:val="33"/>
              <w:tblW w:w="4995"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69"/>
              <w:gridCol w:w="862"/>
              <w:gridCol w:w="929"/>
              <w:gridCol w:w="1330"/>
              <w:gridCol w:w="967"/>
              <w:gridCol w:w="1268"/>
              <w:gridCol w:w="877"/>
              <w:gridCol w:w="1176"/>
            </w:tblGrid>
            <w:tr w14:paraId="14C804E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70" w:type="pct"/>
                  <w:vMerge w:val="restart"/>
                  <w:noWrap w:val="0"/>
                  <w:vAlign w:val="center"/>
                </w:tcPr>
                <w:p w14:paraId="7374007D">
                  <w:pPr>
                    <w:keepNext w:val="0"/>
                    <w:keepLines w:val="0"/>
                    <w:widowControl/>
                    <w:suppressLineNumbers w:val="0"/>
                    <w:spacing w:before="0" w:beforeAutospacing="0" w:after="0" w:afterAutospacing="0" w:line="280" w:lineRule="exact"/>
                    <w:ind w:left="0" w:right="0"/>
                    <w:jc w:val="center"/>
                    <w:textAlignment w:val="center"/>
                    <w:rPr>
                      <w:rFonts w:hint="eastAsia" w:ascii="Times New Roman" w:hAnsi="Times New Roman" w:eastAsia="宋体" w:cs="Times New Roman"/>
                      <w:b w:val="0"/>
                      <w:bCs w:val="0"/>
                      <w:sz w:val="21"/>
                      <w:szCs w:val="21"/>
                      <w:highlight w:val="none"/>
                      <w:lang w:bidi="ar"/>
                    </w:rPr>
                  </w:pPr>
                  <w:r>
                    <w:rPr>
                      <w:rFonts w:hint="eastAsia" w:ascii="Times New Roman" w:hAnsi="Times New Roman" w:eastAsia="宋体" w:cs="Times New Roman"/>
                      <w:b w:val="0"/>
                      <w:bCs w:val="0"/>
                      <w:sz w:val="21"/>
                      <w:szCs w:val="21"/>
                      <w:highlight w:val="none"/>
                      <w:lang w:val="en-US" w:eastAsia="zh-CN" w:bidi="ar"/>
                    </w:rPr>
                    <w:t>污染源</w:t>
                  </w:r>
                </w:p>
              </w:tc>
              <w:tc>
                <w:tcPr>
                  <w:tcW w:w="1095" w:type="pct"/>
                  <w:gridSpan w:val="2"/>
                  <w:vMerge w:val="restart"/>
                  <w:noWrap w:val="0"/>
                  <w:vAlign w:val="center"/>
                </w:tcPr>
                <w:p w14:paraId="57F0ECAD">
                  <w:pPr>
                    <w:keepNext w:val="0"/>
                    <w:keepLines w:val="0"/>
                    <w:widowControl/>
                    <w:suppressLineNumbers w:val="0"/>
                    <w:spacing w:before="0" w:beforeAutospacing="0" w:after="0" w:afterAutospacing="0" w:line="280" w:lineRule="exact"/>
                    <w:ind w:left="0" w:right="0"/>
                    <w:jc w:val="center"/>
                    <w:textAlignment w:val="center"/>
                    <w:rPr>
                      <w:rFonts w:hint="default" w:ascii="Times New Roman" w:hAnsi="Times New Roman" w:eastAsia="宋体" w:cs="Times New Roman"/>
                      <w:b w:val="0"/>
                      <w:bCs w:val="0"/>
                      <w:sz w:val="21"/>
                      <w:szCs w:val="21"/>
                      <w:highlight w:val="none"/>
                      <w:lang w:val="en-US" w:bidi="ar"/>
                    </w:rPr>
                  </w:pPr>
                  <w:r>
                    <w:rPr>
                      <w:rFonts w:hint="eastAsia" w:cs="Times New Roman"/>
                      <w:b w:val="0"/>
                      <w:bCs w:val="0"/>
                      <w:sz w:val="21"/>
                      <w:szCs w:val="21"/>
                      <w:highlight w:val="none"/>
                      <w:lang w:val="en-US" w:eastAsia="zh-CN" w:bidi="ar"/>
                    </w:rPr>
                    <w:t>排放方式</w:t>
                  </w:r>
                </w:p>
              </w:tc>
              <w:tc>
                <w:tcPr>
                  <w:tcW w:w="813" w:type="pct"/>
                  <w:vMerge w:val="restart"/>
                  <w:noWrap w:val="0"/>
                  <w:vAlign w:val="center"/>
                </w:tcPr>
                <w:p w14:paraId="709C9FA7">
                  <w:pPr>
                    <w:keepNext w:val="0"/>
                    <w:keepLines w:val="0"/>
                    <w:widowControl/>
                    <w:suppressLineNumbers w:val="0"/>
                    <w:spacing w:before="0" w:beforeAutospacing="0" w:after="0" w:afterAutospacing="0" w:line="280" w:lineRule="exact"/>
                    <w:ind w:left="0" w:right="0"/>
                    <w:jc w:val="center"/>
                    <w:textAlignment w:val="center"/>
                    <w:rPr>
                      <w:rFonts w:hint="eastAsia" w:ascii="Times New Roman" w:hAnsi="Times New Roman" w:eastAsia="宋体" w:cs="Times New Roman"/>
                      <w:b w:val="0"/>
                      <w:bCs w:val="0"/>
                      <w:sz w:val="21"/>
                      <w:szCs w:val="21"/>
                      <w:highlight w:val="none"/>
                      <w:lang w:bidi="ar"/>
                    </w:rPr>
                  </w:pPr>
                  <w:r>
                    <w:rPr>
                      <w:rFonts w:hint="eastAsia" w:ascii="Times New Roman" w:hAnsi="Times New Roman" w:eastAsia="宋体" w:cs="Times New Roman"/>
                      <w:b w:val="0"/>
                      <w:bCs w:val="0"/>
                      <w:sz w:val="21"/>
                      <w:szCs w:val="21"/>
                      <w:highlight w:val="none"/>
                      <w:lang w:val="en-US" w:eastAsia="zh-CN" w:bidi="ar"/>
                    </w:rPr>
                    <w:t>污染因子</w:t>
                  </w:r>
                </w:p>
              </w:tc>
              <w:tc>
                <w:tcPr>
                  <w:tcW w:w="1366" w:type="pct"/>
                  <w:gridSpan w:val="2"/>
                  <w:noWrap w:val="0"/>
                  <w:vAlign w:val="center"/>
                </w:tcPr>
                <w:p w14:paraId="7A8CEC63">
                  <w:pPr>
                    <w:keepNext w:val="0"/>
                    <w:keepLines w:val="0"/>
                    <w:widowControl/>
                    <w:suppressLineNumbers w:val="0"/>
                    <w:spacing w:before="0" w:beforeAutospacing="0" w:after="0" w:afterAutospacing="0" w:line="280" w:lineRule="exact"/>
                    <w:ind w:left="0" w:right="0"/>
                    <w:jc w:val="center"/>
                    <w:textAlignment w:val="center"/>
                    <w:rPr>
                      <w:rFonts w:hint="eastAsia" w:ascii="Times New Roman" w:hAnsi="Times New Roman" w:eastAsia="宋体" w:cs="Times New Roman"/>
                      <w:b w:val="0"/>
                      <w:bCs w:val="0"/>
                      <w:sz w:val="21"/>
                      <w:szCs w:val="21"/>
                      <w:highlight w:val="none"/>
                      <w:lang w:bidi="ar"/>
                    </w:rPr>
                  </w:pPr>
                  <w:r>
                    <w:rPr>
                      <w:rFonts w:hint="eastAsia" w:ascii="Times New Roman" w:hAnsi="Times New Roman" w:eastAsia="宋体" w:cs="Times New Roman"/>
                      <w:b w:val="0"/>
                      <w:bCs w:val="0"/>
                      <w:sz w:val="21"/>
                      <w:szCs w:val="21"/>
                      <w:highlight w:val="none"/>
                      <w:lang w:val="en-US" w:eastAsia="zh-CN" w:bidi="ar"/>
                    </w:rPr>
                    <w:t>产生情况</w:t>
                  </w:r>
                </w:p>
              </w:tc>
              <w:tc>
                <w:tcPr>
                  <w:tcW w:w="1255" w:type="pct"/>
                  <w:gridSpan w:val="2"/>
                  <w:noWrap w:val="0"/>
                  <w:vAlign w:val="center"/>
                </w:tcPr>
                <w:p w14:paraId="520EB8E4">
                  <w:pPr>
                    <w:keepNext w:val="0"/>
                    <w:keepLines w:val="0"/>
                    <w:widowControl/>
                    <w:suppressLineNumbers w:val="0"/>
                    <w:spacing w:before="0" w:beforeAutospacing="0" w:after="0" w:afterAutospacing="0" w:line="280" w:lineRule="exact"/>
                    <w:ind w:left="0" w:right="0"/>
                    <w:jc w:val="center"/>
                    <w:textAlignment w:val="center"/>
                    <w:rPr>
                      <w:rFonts w:hint="eastAsia" w:ascii="Times New Roman" w:hAnsi="Times New Roman" w:eastAsia="宋体" w:cs="Times New Roman"/>
                      <w:b w:val="0"/>
                      <w:bCs w:val="0"/>
                      <w:sz w:val="21"/>
                      <w:szCs w:val="21"/>
                      <w:highlight w:val="none"/>
                      <w:lang w:bidi="ar"/>
                    </w:rPr>
                  </w:pPr>
                  <w:r>
                    <w:rPr>
                      <w:rFonts w:hint="eastAsia" w:ascii="Times New Roman" w:hAnsi="Times New Roman" w:eastAsia="宋体" w:cs="Times New Roman"/>
                      <w:b w:val="0"/>
                      <w:bCs w:val="0"/>
                      <w:sz w:val="21"/>
                      <w:szCs w:val="21"/>
                      <w:highlight w:val="none"/>
                      <w:lang w:val="en-US" w:eastAsia="zh-CN" w:bidi="ar"/>
                    </w:rPr>
                    <w:t>排放情况</w:t>
                  </w:r>
                </w:p>
              </w:tc>
            </w:tr>
            <w:tr w14:paraId="53CDEF4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70" w:type="pct"/>
                  <w:vMerge w:val="continue"/>
                  <w:noWrap w:val="0"/>
                  <w:vAlign w:val="center"/>
                </w:tcPr>
                <w:p w14:paraId="16825285">
                  <w:pPr>
                    <w:keepNext w:val="0"/>
                    <w:keepLines w:val="0"/>
                    <w:widowControl/>
                    <w:suppressLineNumbers w:val="0"/>
                    <w:spacing w:before="0" w:beforeAutospacing="0" w:after="0" w:afterAutospacing="0" w:line="280" w:lineRule="exact"/>
                    <w:ind w:left="0" w:right="0"/>
                    <w:jc w:val="center"/>
                    <w:textAlignment w:val="center"/>
                    <w:rPr>
                      <w:rFonts w:hint="eastAsia" w:ascii="Times New Roman" w:hAnsi="Times New Roman" w:eastAsia="宋体" w:cs="Times New Roman"/>
                      <w:b w:val="0"/>
                      <w:bCs w:val="0"/>
                      <w:sz w:val="21"/>
                      <w:szCs w:val="21"/>
                      <w:highlight w:val="none"/>
                      <w:lang w:bidi="ar"/>
                    </w:rPr>
                  </w:pPr>
                </w:p>
              </w:tc>
              <w:tc>
                <w:tcPr>
                  <w:tcW w:w="1095" w:type="pct"/>
                  <w:gridSpan w:val="2"/>
                  <w:vMerge w:val="continue"/>
                  <w:noWrap w:val="0"/>
                  <w:vAlign w:val="center"/>
                </w:tcPr>
                <w:p w14:paraId="332F9AE9">
                  <w:pPr>
                    <w:keepNext w:val="0"/>
                    <w:keepLines w:val="0"/>
                    <w:widowControl/>
                    <w:suppressLineNumbers w:val="0"/>
                    <w:spacing w:before="0" w:beforeAutospacing="0" w:after="0" w:afterAutospacing="0" w:line="280" w:lineRule="exact"/>
                    <w:ind w:left="0" w:right="0"/>
                    <w:jc w:val="center"/>
                    <w:textAlignment w:val="center"/>
                    <w:rPr>
                      <w:rFonts w:hint="eastAsia" w:ascii="Times New Roman" w:hAnsi="Times New Roman" w:eastAsia="宋体" w:cs="Times New Roman"/>
                      <w:b w:val="0"/>
                      <w:bCs w:val="0"/>
                      <w:sz w:val="21"/>
                      <w:szCs w:val="21"/>
                      <w:highlight w:val="none"/>
                      <w:lang w:bidi="ar"/>
                    </w:rPr>
                  </w:pPr>
                </w:p>
              </w:tc>
              <w:tc>
                <w:tcPr>
                  <w:tcW w:w="813" w:type="pct"/>
                  <w:vMerge w:val="continue"/>
                  <w:noWrap w:val="0"/>
                  <w:vAlign w:val="center"/>
                </w:tcPr>
                <w:p w14:paraId="2358B468">
                  <w:pPr>
                    <w:keepNext w:val="0"/>
                    <w:keepLines w:val="0"/>
                    <w:widowControl/>
                    <w:suppressLineNumbers w:val="0"/>
                    <w:spacing w:before="0" w:beforeAutospacing="0" w:after="0" w:afterAutospacing="0" w:line="280" w:lineRule="exact"/>
                    <w:ind w:left="0" w:right="0"/>
                    <w:jc w:val="center"/>
                    <w:textAlignment w:val="center"/>
                    <w:rPr>
                      <w:rFonts w:hint="eastAsia" w:ascii="Times New Roman" w:hAnsi="Times New Roman" w:eastAsia="宋体" w:cs="Times New Roman"/>
                      <w:b w:val="0"/>
                      <w:bCs w:val="0"/>
                      <w:sz w:val="21"/>
                      <w:szCs w:val="21"/>
                      <w:highlight w:val="none"/>
                      <w:lang w:bidi="ar"/>
                    </w:rPr>
                  </w:pPr>
                </w:p>
              </w:tc>
              <w:tc>
                <w:tcPr>
                  <w:tcW w:w="591" w:type="pct"/>
                  <w:noWrap w:val="0"/>
                  <w:vAlign w:val="center"/>
                </w:tcPr>
                <w:p w14:paraId="1B23B849">
                  <w:pPr>
                    <w:keepNext w:val="0"/>
                    <w:keepLines w:val="0"/>
                    <w:widowControl/>
                    <w:suppressLineNumbers w:val="0"/>
                    <w:spacing w:before="0" w:beforeAutospacing="0" w:after="0" w:afterAutospacing="0" w:line="280" w:lineRule="exact"/>
                    <w:ind w:left="0" w:right="0"/>
                    <w:jc w:val="center"/>
                    <w:textAlignment w:val="center"/>
                    <w:rPr>
                      <w:rFonts w:hint="eastAsia" w:ascii="Times New Roman" w:hAnsi="Times New Roman" w:eastAsia="宋体" w:cs="Times New Roman"/>
                      <w:b w:val="0"/>
                      <w:bCs w:val="0"/>
                      <w:sz w:val="21"/>
                      <w:szCs w:val="21"/>
                      <w:highlight w:val="none"/>
                      <w:lang w:bidi="ar"/>
                    </w:rPr>
                  </w:pPr>
                  <w:r>
                    <w:rPr>
                      <w:rFonts w:hint="eastAsia" w:ascii="Times New Roman" w:hAnsi="Times New Roman" w:eastAsia="宋体" w:cs="Times New Roman"/>
                      <w:b w:val="0"/>
                      <w:bCs w:val="0"/>
                      <w:sz w:val="21"/>
                      <w:szCs w:val="21"/>
                      <w:highlight w:val="none"/>
                      <w:lang w:val="en-US" w:eastAsia="zh-CN" w:bidi="ar"/>
                    </w:rPr>
                    <w:t xml:space="preserve">产生量 </w:t>
                  </w:r>
                  <w:r>
                    <w:rPr>
                      <w:rFonts w:hint="default" w:ascii="Times New Roman" w:hAnsi="Times New Roman" w:eastAsia="宋体" w:cs="Times New Roman"/>
                      <w:b w:val="0"/>
                      <w:bCs w:val="0"/>
                      <w:sz w:val="21"/>
                      <w:szCs w:val="21"/>
                      <w:highlight w:val="none"/>
                      <w:lang w:val="en-US" w:eastAsia="zh-CN" w:bidi="ar"/>
                    </w:rPr>
                    <w:t>t/a</w:t>
                  </w:r>
                </w:p>
              </w:tc>
              <w:tc>
                <w:tcPr>
                  <w:tcW w:w="774" w:type="pct"/>
                  <w:noWrap w:val="0"/>
                  <w:vAlign w:val="center"/>
                </w:tcPr>
                <w:p w14:paraId="04EE6329">
                  <w:pPr>
                    <w:keepNext w:val="0"/>
                    <w:keepLines w:val="0"/>
                    <w:widowControl/>
                    <w:suppressLineNumbers w:val="0"/>
                    <w:spacing w:before="0" w:beforeAutospacing="0" w:after="0" w:afterAutospacing="0" w:line="280" w:lineRule="exact"/>
                    <w:ind w:left="0" w:right="0"/>
                    <w:jc w:val="center"/>
                    <w:textAlignment w:val="center"/>
                    <w:rPr>
                      <w:rFonts w:hint="eastAsia" w:ascii="Times New Roman" w:hAnsi="Times New Roman" w:eastAsia="宋体" w:cs="Times New Roman"/>
                      <w:b w:val="0"/>
                      <w:bCs w:val="0"/>
                      <w:sz w:val="21"/>
                      <w:szCs w:val="21"/>
                      <w:highlight w:val="none"/>
                      <w:lang w:bidi="ar"/>
                    </w:rPr>
                  </w:pPr>
                  <w:r>
                    <w:rPr>
                      <w:rFonts w:hint="eastAsia" w:ascii="Times New Roman" w:hAnsi="Times New Roman" w:eastAsia="宋体" w:cs="Times New Roman"/>
                      <w:b w:val="0"/>
                      <w:bCs w:val="0"/>
                      <w:sz w:val="21"/>
                      <w:szCs w:val="21"/>
                      <w:highlight w:val="none"/>
                      <w:lang w:val="en-US" w:eastAsia="zh-CN" w:bidi="ar"/>
                    </w:rPr>
                    <w:t xml:space="preserve">产生速率 </w:t>
                  </w:r>
                  <w:r>
                    <w:rPr>
                      <w:rFonts w:hint="default" w:ascii="Times New Roman" w:hAnsi="Times New Roman" w:eastAsia="宋体" w:cs="Times New Roman"/>
                      <w:b w:val="0"/>
                      <w:bCs w:val="0"/>
                      <w:sz w:val="21"/>
                      <w:szCs w:val="21"/>
                      <w:highlight w:val="none"/>
                      <w:lang w:val="en-US" w:eastAsia="zh-CN" w:bidi="ar"/>
                    </w:rPr>
                    <w:t>kg/h</w:t>
                  </w:r>
                </w:p>
              </w:tc>
              <w:tc>
                <w:tcPr>
                  <w:tcW w:w="536" w:type="pct"/>
                  <w:noWrap w:val="0"/>
                  <w:vAlign w:val="center"/>
                </w:tcPr>
                <w:p w14:paraId="51665A16">
                  <w:pPr>
                    <w:keepNext w:val="0"/>
                    <w:keepLines w:val="0"/>
                    <w:widowControl/>
                    <w:suppressLineNumbers w:val="0"/>
                    <w:spacing w:before="0" w:beforeAutospacing="0" w:after="0" w:afterAutospacing="0" w:line="280" w:lineRule="exact"/>
                    <w:ind w:left="0" w:right="0"/>
                    <w:jc w:val="center"/>
                    <w:textAlignment w:val="center"/>
                    <w:rPr>
                      <w:rFonts w:hint="eastAsia" w:ascii="Times New Roman" w:hAnsi="Times New Roman" w:eastAsia="宋体" w:cs="Times New Roman"/>
                      <w:b w:val="0"/>
                      <w:bCs w:val="0"/>
                      <w:sz w:val="21"/>
                      <w:szCs w:val="21"/>
                      <w:highlight w:val="none"/>
                      <w:lang w:bidi="ar"/>
                    </w:rPr>
                  </w:pPr>
                  <w:r>
                    <w:rPr>
                      <w:rFonts w:hint="eastAsia" w:ascii="Times New Roman" w:hAnsi="Times New Roman" w:eastAsia="宋体" w:cs="Times New Roman"/>
                      <w:b w:val="0"/>
                      <w:bCs w:val="0"/>
                      <w:sz w:val="21"/>
                      <w:szCs w:val="21"/>
                      <w:highlight w:val="none"/>
                      <w:lang w:val="en-US" w:eastAsia="zh-CN" w:bidi="ar"/>
                    </w:rPr>
                    <w:t xml:space="preserve">排放量 </w:t>
                  </w:r>
                  <w:r>
                    <w:rPr>
                      <w:rFonts w:hint="default" w:ascii="Times New Roman" w:hAnsi="Times New Roman" w:eastAsia="宋体" w:cs="Times New Roman"/>
                      <w:b w:val="0"/>
                      <w:bCs w:val="0"/>
                      <w:sz w:val="21"/>
                      <w:szCs w:val="21"/>
                      <w:highlight w:val="none"/>
                      <w:lang w:val="en-US" w:eastAsia="zh-CN" w:bidi="ar"/>
                    </w:rPr>
                    <w:t>t/a</w:t>
                  </w:r>
                </w:p>
              </w:tc>
              <w:tc>
                <w:tcPr>
                  <w:tcW w:w="719" w:type="pct"/>
                  <w:noWrap w:val="0"/>
                  <w:vAlign w:val="center"/>
                </w:tcPr>
                <w:p w14:paraId="63C9CF98">
                  <w:pPr>
                    <w:keepNext w:val="0"/>
                    <w:keepLines w:val="0"/>
                    <w:widowControl/>
                    <w:suppressLineNumbers w:val="0"/>
                    <w:spacing w:before="0" w:beforeAutospacing="0" w:after="0" w:afterAutospacing="0" w:line="280" w:lineRule="exact"/>
                    <w:ind w:left="0" w:right="0"/>
                    <w:jc w:val="center"/>
                    <w:textAlignment w:val="center"/>
                    <w:rPr>
                      <w:rFonts w:hint="eastAsia" w:ascii="Times New Roman" w:hAnsi="Times New Roman" w:eastAsia="宋体" w:cs="Times New Roman"/>
                      <w:b w:val="0"/>
                      <w:bCs w:val="0"/>
                      <w:sz w:val="21"/>
                      <w:szCs w:val="21"/>
                      <w:highlight w:val="none"/>
                      <w:lang w:bidi="ar"/>
                    </w:rPr>
                  </w:pPr>
                  <w:r>
                    <w:rPr>
                      <w:rFonts w:hint="eastAsia" w:ascii="Times New Roman" w:hAnsi="Times New Roman" w:eastAsia="宋体" w:cs="Times New Roman"/>
                      <w:b w:val="0"/>
                      <w:bCs w:val="0"/>
                      <w:sz w:val="21"/>
                      <w:szCs w:val="21"/>
                      <w:highlight w:val="none"/>
                      <w:lang w:val="en-US" w:eastAsia="zh-CN" w:bidi="ar"/>
                    </w:rPr>
                    <w:t xml:space="preserve">排放速率 </w:t>
                  </w:r>
                  <w:r>
                    <w:rPr>
                      <w:rFonts w:hint="default" w:ascii="Times New Roman" w:hAnsi="Times New Roman" w:eastAsia="宋体" w:cs="Times New Roman"/>
                      <w:b w:val="0"/>
                      <w:bCs w:val="0"/>
                      <w:sz w:val="21"/>
                      <w:szCs w:val="21"/>
                      <w:highlight w:val="none"/>
                      <w:lang w:val="en-US" w:eastAsia="zh-CN" w:bidi="ar"/>
                    </w:rPr>
                    <w:t>kg/h</w:t>
                  </w:r>
                </w:p>
              </w:tc>
            </w:tr>
            <w:tr w14:paraId="1F0176A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470" w:type="pct"/>
                  <w:vMerge w:val="restart"/>
                  <w:noWrap w:val="0"/>
                  <w:vAlign w:val="center"/>
                </w:tcPr>
                <w:p w14:paraId="2202F977">
                  <w:pPr>
                    <w:keepNext w:val="0"/>
                    <w:keepLines w:val="0"/>
                    <w:widowControl/>
                    <w:suppressLineNumbers w:val="0"/>
                    <w:spacing w:before="0" w:beforeAutospacing="0" w:after="0" w:afterAutospacing="0" w:line="280" w:lineRule="exact"/>
                    <w:ind w:left="0" w:right="0"/>
                    <w:jc w:val="center"/>
                    <w:textAlignment w:val="center"/>
                    <w:rPr>
                      <w:rFonts w:hint="default" w:ascii="Times New Roman" w:hAnsi="Times New Roman" w:eastAsia="宋体" w:cs="Times New Roman"/>
                      <w:b w:val="0"/>
                      <w:bCs w:val="0"/>
                      <w:sz w:val="21"/>
                      <w:szCs w:val="21"/>
                      <w:highlight w:val="none"/>
                      <w:lang w:val="en-US" w:eastAsia="zh-CN" w:bidi="ar"/>
                    </w:rPr>
                  </w:pPr>
                  <w:r>
                    <w:rPr>
                      <w:rFonts w:hint="eastAsia" w:ascii="Times New Roman" w:hAnsi="Times New Roman" w:eastAsia="宋体" w:cs="Times New Roman"/>
                      <w:b w:val="0"/>
                      <w:bCs w:val="0"/>
                      <w:sz w:val="21"/>
                      <w:szCs w:val="21"/>
                      <w:highlight w:val="none"/>
                      <w:lang w:val="en-US" w:eastAsia="zh-CN" w:bidi="ar"/>
                    </w:rPr>
                    <w:t>科创</w:t>
                  </w:r>
                  <w:r>
                    <w:rPr>
                      <w:rFonts w:hint="eastAsia"/>
                      <w:kern w:val="0"/>
                      <w:sz w:val="21"/>
                      <w:szCs w:val="21"/>
                      <w:highlight w:val="none"/>
                      <w:lang w:val="en-US" w:eastAsia="zh-CN"/>
                    </w:rPr>
                    <w:t>综合</w:t>
                  </w:r>
                  <w:r>
                    <w:rPr>
                      <w:rFonts w:hint="eastAsia" w:ascii="Times New Roman" w:hAnsi="Times New Roman" w:eastAsia="宋体" w:cs="Times New Roman"/>
                      <w:b w:val="0"/>
                      <w:bCs w:val="0"/>
                      <w:sz w:val="21"/>
                      <w:szCs w:val="21"/>
                      <w:highlight w:val="none"/>
                      <w:lang w:val="en-US" w:eastAsia="zh-CN" w:bidi="ar"/>
                    </w:rPr>
                    <w:t>楼有机废气</w:t>
                  </w:r>
                </w:p>
              </w:tc>
              <w:tc>
                <w:tcPr>
                  <w:tcW w:w="527" w:type="pct"/>
                  <w:noWrap w:val="0"/>
                  <w:vAlign w:val="center"/>
                </w:tcPr>
                <w:p w14:paraId="1BCC12E8">
                  <w:pPr>
                    <w:keepNext w:val="0"/>
                    <w:keepLines w:val="0"/>
                    <w:widowControl/>
                    <w:suppressLineNumbers w:val="0"/>
                    <w:spacing w:before="0" w:beforeAutospacing="0" w:after="0" w:afterAutospacing="0" w:line="280" w:lineRule="exact"/>
                    <w:ind w:left="0" w:right="0"/>
                    <w:jc w:val="center"/>
                    <w:textAlignment w:val="center"/>
                    <w:rPr>
                      <w:rFonts w:hint="default" w:ascii="Times New Roman" w:hAnsi="Times New Roman" w:eastAsia="宋体" w:cs="Times New Roman"/>
                      <w:b w:val="0"/>
                      <w:bCs w:val="0"/>
                      <w:sz w:val="21"/>
                      <w:szCs w:val="21"/>
                      <w:highlight w:val="none"/>
                      <w:lang w:val="en-US" w:eastAsia="zh-CN" w:bidi="ar"/>
                    </w:rPr>
                  </w:pPr>
                  <w:r>
                    <w:rPr>
                      <w:rFonts w:hint="eastAsia" w:ascii="Times New Roman" w:hAnsi="Times New Roman" w:eastAsia="宋体" w:cs="Times New Roman"/>
                      <w:b w:val="0"/>
                      <w:bCs w:val="0"/>
                      <w:sz w:val="21"/>
                      <w:szCs w:val="21"/>
                      <w:highlight w:val="none"/>
                      <w:lang w:val="en-US" w:eastAsia="zh-CN" w:bidi="ar"/>
                    </w:rPr>
                    <w:t>DA011</w:t>
                  </w:r>
                </w:p>
              </w:tc>
              <w:tc>
                <w:tcPr>
                  <w:tcW w:w="567" w:type="pct"/>
                  <w:shd w:val="clear" w:color="auto" w:fill="auto"/>
                  <w:noWrap w:val="0"/>
                  <w:vAlign w:val="center"/>
                </w:tcPr>
                <w:p w14:paraId="2DAC9A09">
                  <w:pPr>
                    <w:keepNext w:val="0"/>
                    <w:keepLines w:val="0"/>
                    <w:widowControl/>
                    <w:suppressLineNumbers w:val="0"/>
                    <w:spacing w:before="0" w:beforeAutospacing="0" w:after="0" w:afterAutospacing="0" w:line="280" w:lineRule="exact"/>
                    <w:ind w:left="0" w:right="0"/>
                    <w:jc w:val="center"/>
                    <w:textAlignment w:val="center"/>
                    <w:rPr>
                      <w:rFonts w:hint="eastAsia" w:ascii="Times New Roman" w:hAnsi="Times New Roman" w:eastAsia="宋体" w:cs="Times New Roman"/>
                      <w:b w:val="0"/>
                      <w:bCs w:val="0"/>
                      <w:kern w:val="2"/>
                      <w:sz w:val="21"/>
                      <w:szCs w:val="21"/>
                      <w:highlight w:val="none"/>
                      <w:lang w:val="en-US" w:eastAsia="zh-CN" w:bidi="ar"/>
                    </w:rPr>
                  </w:pPr>
                  <w:r>
                    <w:rPr>
                      <w:rFonts w:hint="eastAsia" w:cs="Times New Roman"/>
                      <w:b w:val="0"/>
                      <w:bCs w:val="0"/>
                      <w:sz w:val="21"/>
                      <w:szCs w:val="21"/>
                      <w:highlight w:val="none"/>
                      <w:lang w:val="en-US" w:eastAsia="zh-CN" w:bidi="ar"/>
                    </w:rPr>
                    <w:t>有组织</w:t>
                  </w:r>
                </w:p>
              </w:tc>
              <w:tc>
                <w:tcPr>
                  <w:tcW w:w="813" w:type="pct"/>
                  <w:vMerge w:val="restart"/>
                  <w:noWrap w:val="0"/>
                  <w:vAlign w:val="center"/>
                </w:tcPr>
                <w:p w14:paraId="649D2BAC">
                  <w:pPr>
                    <w:keepNext w:val="0"/>
                    <w:keepLines w:val="0"/>
                    <w:widowControl/>
                    <w:suppressLineNumbers w:val="0"/>
                    <w:spacing w:before="0" w:beforeAutospacing="0" w:after="0" w:afterAutospacing="0" w:line="280" w:lineRule="exact"/>
                    <w:ind w:left="0" w:right="0"/>
                    <w:jc w:val="center"/>
                    <w:textAlignment w:val="center"/>
                    <w:rPr>
                      <w:rFonts w:hint="default" w:ascii="Times New Roman" w:hAnsi="Times New Roman" w:eastAsia="宋体" w:cs="Times New Roman"/>
                      <w:b w:val="0"/>
                      <w:bCs w:val="0"/>
                      <w:sz w:val="21"/>
                      <w:szCs w:val="21"/>
                      <w:highlight w:val="none"/>
                      <w:lang w:val="en-US" w:eastAsia="zh-CN" w:bidi="ar"/>
                    </w:rPr>
                  </w:pPr>
                  <w:r>
                    <w:rPr>
                      <w:rFonts w:hint="eastAsia" w:cs="Times New Roman"/>
                      <w:b w:val="0"/>
                      <w:bCs w:val="0"/>
                      <w:sz w:val="21"/>
                      <w:szCs w:val="21"/>
                      <w:highlight w:val="none"/>
                      <w:lang w:val="en-US" w:eastAsia="zh-CN" w:bidi="ar"/>
                    </w:rPr>
                    <w:t>非甲烷总烃</w:t>
                  </w:r>
                </w:p>
              </w:tc>
              <w:tc>
                <w:tcPr>
                  <w:tcW w:w="591" w:type="pct"/>
                  <w:noWrap w:val="0"/>
                  <w:vAlign w:val="center"/>
                </w:tcPr>
                <w:p w14:paraId="2422182F">
                  <w:pPr>
                    <w:keepNext w:val="0"/>
                    <w:keepLines w:val="0"/>
                    <w:widowControl/>
                    <w:suppressLineNumbers w:val="0"/>
                    <w:spacing w:before="0" w:beforeAutospacing="0" w:after="0" w:afterAutospacing="0" w:line="280" w:lineRule="exact"/>
                    <w:ind w:left="0" w:right="0"/>
                    <w:jc w:val="center"/>
                    <w:textAlignment w:val="center"/>
                    <w:rPr>
                      <w:rFonts w:hint="default" w:ascii="Times New Roman" w:hAnsi="Times New Roman" w:eastAsia="宋体" w:cs="Times New Roman"/>
                      <w:b w:val="0"/>
                      <w:bCs w:val="0"/>
                      <w:sz w:val="21"/>
                      <w:szCs w:val="21"/>
                      <w:highlight w:val="none"/>
                      <w:lang w:val="en-US" w:eastAsia="zh-CN" w:bidi="ar"/>
                    </w:rPr>
                  </w:pPr>
                  <w:r>
                    <w:rPr>
                      <w:rFonts w:hint="eastAsia" w:cs="Times New Roman"/>
                      <w:b w:val="0"/>
                      <w:bCs w:val="0"/>
                      <w:sz w:val="21"/>
                      <w:szCs w:val="21"/>
                      <w:highlight w:val="none"/>
                      <w:lang w:val="en-US" w:eastAsia="zh-CN" w:bidi="ar"/>
                    </w:rPr>
                    <w:t>0.002</w:t>
                  </w:r>
                </w:p>
              </w:tc>
              <w:tc>
                <w:tcPr>
                  <w:tcW w:w="774" w:type="pct"/>
                  <w:noWrap w:val="0"/>
                  <w:vAlign w:val="center"/>
                </w:tcPr>
                <w:p w14:paraId="7080A241">
                  <w:pPr>
                    <w:keepNext w:val="0"/>
                    <w:keepLines w:val="0"/>
                    <w:widowControl/>
                    <w:suppressLineNumbers w:val="0"/>
                    <w:spacing w:before="0" w:beforeAutospacing="0" w:after="0" w:afterAutospacing="0" w:line="280" w:lineRule="exact"/>
                    <w:ind w:left="0" w:right="0"/>
                    <w:jc w:val="center"/>
                    <w:textAlignment w:val="center"/>
                    <w:rPr>
                      <w:rFonts w:hint="default" w:ascii="Times New Roman" w:hAnsi="Times New Roman" w:eastAsia="宋体" w:cs="Times New Roman"/>
                      <w:b w:val="0"/>
                      <w:bCs w:val="0"/>
                      <w:sz w:val="21"/>
                      <w:szCs w:val="21"/>
                      <w:highlight w:val="none"/>
                      <w:lang w:val="en-US" w:eastAsia="zh-CN" w:bidi="ar"/>
                    </w:rPr>
                  </w:pPr>
                  <w:r>
                    <w:rPr>
                      <w:rFonts w:hint="eastAsia" w:cs="Times New Roman"/>
                      <w:b w:val="0"/>
                      <w:bCs w:val="0"/>
                      <w:sz w:val="21"/>
                      <w:szCs w:val="21"/>
                      <w:highlight w:val="none"/>
                      <w:lang w:val="en-US" w:eastAsia="zh-CN" w:bidi="ar"/>
                    </w:rPr>
                    <w:t>~0</w:t>
                  </w:r>
                </w:p>
              </w:tc>
              <w:tc>
                <w:tcPr>
                  <w:tcW w:w="536" w:type="pct"/>
                  <w:shd w:val="clear" w:color="auto" w:fill="auto"/>
                  <w:noWrap w:val="0"/>
                  <w:vAlign w:val="center"/>
                </w:tcPr>
                <w:p w14:paraId="77FAD4B9">
                  <w:pPr>
                    <w:keepNext w:val="0"/>
                    <w:keepLines w:val="0"/>
                    <w:widowControl/>
                    <w:suppressLineNumbers w:val="0"/>
                    <w:spacing w:before="0" w:beforeAutospacing="0" w:after="0" w:afterAutospacing="0" w:line="280" w:lineRule="exact"/>
                    <w:ind w:left="0" w:leftChars="0" w:right="0" w:rightChars="0"/>
                    <w:jc w:val="center"/>
                    <w:textAlignment w:val="center"/>
                    <w:rPr>
                      <w:rFonts w:hint="default" w:ascii="Times New Roman" w:hAnsi="Times New Roman" w:eastAsia="宋体" w:cs="Times New Roman"/>
                      <w:b w:val="0"/>
                      <w:bCs w:val="0"/>
                      <w:kern w:val="2"/>
                      <w:sz w:val="21"/>
                      <w:szCs w:val="21"/>
                      <w:highlight w:val="none"/>
                      <w:lang w:val="en-US" w:eastAsia="zh-CN" w:bidi="ar"/>
                    </w:rPr>
                  </w:pPr>
                  <w:r>
                    <w:rPr>
                      <w:rFonts w:hint="eastAsia" w:cs="Times New Roman"/>
                      <w:b w:val="0"/>
                      <w:bCs w:val="0"/>
                      <w:sz w:val="21"/>
                      <w:szCs w:val="21"/>
                      <w:highlight w:val="none"/>
                      <w:lang w:val="en-US" w:eastAsia="zh-CN" w:bidi="ar"/>
                    </w:rPr>
                    <w:t>0.002</w:t>
                  </w:r>
                </w:p>
              </w:tc>
              <w:tc>
                <w:tcPr>
                  <w:tcW w:w="719" w:type="pct"/>
                  <w:shd w:val="clear" w:color="auto" w:fill="auto"/>
                  <w:noWrap w:val="0"/>
                  <w:vAlign w:val="center"/>
                </w:tcPr>
                <w:p w14:paraId="79EF0647">
                  <w:pPr>
                    <w:keepNext w:val="0"/>
                    <w:keepLines w:val="0"/>
                    <w:widowControl/>
                    <w:suppressLineNumbers w:val="0"/>
                    <w:spacing w:before="0" w:beforeAutospacing="0" w:after="0" w:afterAutospacing="0" w:line="280" w:lineRule="exact"/>
                    <w:ind w:left="0" w:leftChars="0" w:right="0" w:rightChars="0"/>
                    <w:jc w:val="center"/>
                    <w:textAlignment w:val="center"/>
                    <w:rPr>
                      <w:rFonts w:hint="default" w:ascii="Times New Roman" w:hAnsi="Times New Roman" w:eastAsia="宋体" w:cs="Times New Roman"/>
                      <w:b w:val="0"/>
                      <w:bCs w:val="0"/>
                      <w:kern w:val="2"/>
                      <w:sz w:val="21"/>
                      <w:szCs w:val="21"/>
                      <w:highlight w:val="none"/>
                      <w:lang w:val="en-US" w:eastAsia="zh-CN" w:bidi="ar"/>
                    </w:rPr>
                  </w:pPr>
                  <w:r>
                    <w:rPr>
                      <w:rFonts w:hint="eastAsia" w:cs="Times New Roman"/>
                      <w:b w:val="0"/>
                      <w:bCs w:val="0"/>
                      <w:sz w:val="21"/>
                      <w:szCs w:val="21"/>
                      <w:highlight w:val="none"/>
                      <w:lang w:val="en-US" w:eastAsia="zh-CN" w:bidi="ar"/>
                    </w:rPr>
                    <w:t>~0</w:t>
                  </w:r>
                </w:p>
              </w:tc>
            </w:tr>
            <w:tr w14:paraId="38DEB71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470" w:type="pct"/>
                  <w:vMerge w:val="continue"/>
                  <w:noWrap w:val="0"/>
                  <w:vAlign w:val="center"/>
                </w:tcPr>
                <w:p w14:paraId="272C1380">
                  <w:pPr>
                    <w:keepNext w:val="0"/>
                    <w:keepLines w:val="0"/>
                    <w:widowControl/>
                    <w:suppressLineNumbers w:val="0"/>
                    <w:spacing w:before="0" w:beforeAutospacing="0" w:after="0" w:afterAutospacing="0" w:line="280" w:lineRule="exact"/>
                    <w:ind w:left="0" w:right="0"/>
                    <w:jc w:val="center"/>
                    <w:textAlignment w:val="center"/>
                    <w:rPr>
                      <w:rFonts w:hint="eastAsia" w:ascii="Times New Roman" w:hAnsi="Times New Roman" w:eastAsia="宋体" w:cs="Times New Roman"/>
                      <w:b w:val="0"/>
                      <w:bCs w:val="0"/>
                      <w:sz w:val="21"/>
                      <w:szCs w:val="21"/>
                      <w:highlight w:val="none"/>
                      <w:lang w:val="en-US" w:eastAsia="zh-CN" w:bidi="ar"/>
                    </w:rPr>
                  </w:pPr>
                </w:p>
              </w:tc>
              <w:tc>
                <w:tcPr>
                  <w:tcW w:w="1095" w:type="pct"/>
                  <w:gridSpan w:val="2"/>
                  <w:noWrap w:val="0"/>
                  <w:vAlign w:val="center"/>
                </w:tcPr>
                <w:p w14:paraId="2ACD1748">
                  <w:pPr>
                    <w:keepNext w:val="0"/>
                    <w:keepLines w:val="0"/>
                    <w:widowControl/>
                    <w:suppressLineNumbers w:val="0"/>
                    <w:spacing w:before="0" w:beforeAutospacing="0" w:after="0" w:afterAutospacing="0" w:line="280" w:lineRule="exact"/>
                    <w:ind w:left="0" w:right="0"/>
                    <w:jc w:val="center"/>
                    <w:textAlignment w:val="center"/>
                    <w:rPr>
                      <w:rFonts w:hint="default" w:cs="Times New Roman"/>
                      <w:b w:val="0"/>
                      <w:bCs w:val="0"/>
                      <w:sz w:val="21"/>
                      <w:szCs w:val="21"/>
                      <w:highlight w:val="none"/>
                      <w:lang w:val="en-US" w:eastAsia="zh-CN" w:bidi="ar"/>
                    </w:rPr>
                  </w:pPr>
                  <w:r>
                    <w:rPr>
                      <w:rFonts w:hint="eastAsia" w:cs="Times New Roman"/>
                      <w:b w:val="0"/>
                      <w:bCs w:val="0"/>
                      <w:sz w:val="21"/>
                      <w:szCs w:val="21"/>
                      <w:highlight w:val="none"/>
                      <w:lang w:val="en-US" w:eastAsia="zh-CN" w:bidi="ar"/>
                    </w:rPr>
                    <w:t>无组织</w:t>
                  </w:r>
                </w:p>
              </w:tc>
              <w:tc>
                <w:tcPr>
                  <w:tcW w:w="813" w:type="pct"/>
                  <w:vMerge w:val="continue"/>
                  <w:noWrap w:val="0"/>
                  <w:vAlign w:val="center"/>
                </w:tcPr>
                <w:p w14:paraId="4921AE02">
                  <w:pPr>
                    <w:keepNext w:val="0"/>
                    <w:keepLines w:val="0"/>
                    <w:widowControl/>
                    <w:suppressLineNumbers w:val="0"/>
                    <w:spacing w:before="0" w:beforeAutospacing="0" w:after="0" w:afterAutospacing="0" w:line="280" w:lineRule="exact"/>
                    <w:ind w:left="0" w:right="0"/>
                    <w:jc w:val="center"/>
                    <w:textAlignment w:val="center"/>
                    <w:rPr>
                      <w:rFonts w:hint="eastAsia" w:ascii="Times New Roman" w:hAnsi="Times New Roman" w:eastAsia="宋体" w:cs="Times New Roman"/>
                      <w:b w:val="0"/>
                      <w:bCs w:val="0"/>
                      <w:sz w:val="21"/>
                      <w:szCs w:val="21"/>
                      <w:highlight w:val="none"/>
                      <w:lang w:val="en-US" w:eastAsia="zh-CN" w:bidi="ar"/>
                    </w:rPr>
                  </w:pPr>
                </w:p>
              </w:tc>
              <w:tc>
                <w:tcPr>
                  <w:tcW w:w="591" w:type="pct"/>
                  <w:noWrap w:val="0"/>
                  <w:vAlign w:val="center"/>
                </w:tcPr>
                <w:p w14:paraId="2CAEB9C8">
                  <w:pPr>
                    <w:keepNext w:val="0"/>
                    <w:keepLines w:val="0"/>
                    <w:widowControl/>
                    <w:suppressLineNumbers w:val="0"/>
                    <w:spacing w:before="0" w:beforeAutospacing="0" w:after="0" w:afterAutospacing="0" w:line="280" w:lineRule="exact"/>
                    <w:ind w:left="0" w:right="0"/>
                    <w:jc w:val="center"/>
                    <w:textAlignment w:val="center"/>
                    <w:rPr>
                      <w:rFonts w:hint="default" w:ascii="Times New Roman" w:hAnsi="Times New Roman" w:eastAsia="宋体" w:cs="Times New Roman"/>
                      <w:b w:val="0"/>
                      <w:bCs w:val="0"/>
                      <w:sz w:val="21"/>
                      <w:szCs w:val="21"/>
                      <w:highlight w:val="none"/>
                      <w:lang w:val="en-US" w:eastAsia="zh-CN" w:bidi="ar"/>
                    </w:rPr>
                  </w:pPr>
                  <w:r>
                    <w:rPr>
                      <w:rFonts w:hint="eastAsia" w:cs="Times New Roman"/>
                      <w:b w:val="0"/>
                      <w:bCs w:val="0"/>
                      <w:sz w:val="21"/>
                      <w:szCs w:val="21"/>
                      <w:highlight w:val="none"/>
                      <w:lang w:val="en-US" w:eastAsia="zh-CN" w:bidi="ar"/>
                    </w:rPr>
                    <w:t>~0</w:t>
                  </w:r>
                </w:p>
              </w:tc>
              <w:tc>
                <w:tcPr>
                  <w:tcW w:w="774" w:type="pct"/>
                  <w:noWrap w:val="0"/>
                  <w:vAlign w:val="center"/>
                </w:tcPr>
                <w:p w14:paraId="042C08C4">
                  <w:pPr>
                    <w:keepNext w:val="0"/>
                    <w:keepLines w:val="0"/>
                    <w:widowControl/>
                    <w:suppressLineNumbers w:val="0"/>
                    <w:spacing w:before="0" w:beforeAutospacing="0" w:after="0" w:afterAutospacing="0" w:line="280" w:lineRule="exact"/>
                    <w:ind w:left="0" w:right="0"/>
                    <w:jc w:val="center"/>
                    <w:textAlignment w:val="center"/>
                    <w:rPr>
                      <w:rFonts w:hint="default" w:ascii="Times New Roman" w:hAnsi="Times New Roman" w:eastAsia="宋体" w:cs="Times New Roman"/>
                      <w:b w:val="0"/>
                      <w:bCs w:val="0"/>
                      <w:sz w:val="21"/>
                      <w:szCs w:val="21"/>
                      <w:highlight w:val="none"/>
                      <w:lang w:val="en-US" w:eastAsia="zh-CN" w:bidi="ar"/>
                    </w:rPr>
                  </w:pPr>
                  <w:r>
                    <w:rPr>
                      <w:rFonts w:hint="eastAsia" w:cs="Times New Roman"/>
                      <w:b w:val="0"/>
                      <w:bCs w:val="0"/>
                      <w:sz w:val="21"/>
                      <w:szCs w:val="21"/>
                      <w:highlight w:val="none"/>
                      <w:lang w:val="en-US" w:eastAsia="zh-CN" w:bidi="ar"/>
                    </w:rPr>
                    <w:t>~0</w:t>
                  </w:r>
                </w:p>
              </w:tc>
              <w:tc>
                <w:tcPr>
                  <w:tcW w:w="536" w:type="pct"/>
                  <w:shd w:val="clear" w:color="auto" w:fill="auto"/>
                  <w:noWrap w:val="0"/>
                  <w:vAlign w:val="center"/>
                </w:tcPr>
                <w:p w14:paraId="5D4FEFD5">
                  <w:pPr>
                    <w:keepNext w:val="0"/>
                    <w:keepLines w:val="0"/>
                    <w:widowControl/>
                    <w:suppressLineNumbers w:val="0"/>
                    <w:spacing w:before="0" w:beforeAutospacing="0" w:after="0" w:afterAutospacing="0" w:line="280" w:lineRule="exact"/>
                    <w:ind w:left="0" w:right="0"/>
                    <w:jc w:val="center"/>
                    <w:textAlignment w:val="center"/>
                    <w:rPr>
                      <w:rFonts w:hint="default" w:ascii="Times New Roman" w:hAnsi="Times New Roman" w:eastAsia="宋体" w:cs="Times New Roman"/>
                      <w:b w:val="0"/>
                      <w:bCs w:val="0"/>
                      <w:sz w:val="21"/>
                      <w:szCs w:val="21"/>
                      <w:highlight w:val="none"/>
                      <w:lang w:val="en-US" w:eastAsia="zh-CN" w:bidi="ar"/>
                    </w:rPr>
                  </w:pPr>
                  <w:r>
                    <w:rPr>
                      <w:rFonts w:hint="eastAsia" w:cs="Times New Roman"/>
                      <w:b w:val="0"/>
                      <w:bCs w:val="0"/>
                      <w:sz w:val="21"/>
                      <w:szCs w:val="21"/>
                      <w:highlight w:val="none"/>
                      <w:lang w:val="en-US" w:eastAsia="zh-CN" w:bidi="ar"/>
                    </w:rPr>
                    <w:t>~0</w:t>
                  </w:r>
                </w:p>
              </w:tc>
              <w:tc>
                <w:tcPr>
                  <w:tcW w:w="719" w:type="pct"/>
                  <w:shd w:val="clear" w:color="auto" w:fill="auto"/>
                  <w:noWrap w:val="0"/>
                  <w:vAlign w:val="center"/>
                </w:tcPr>
                <w:p w14:paraId="457F9A02">
                  <w:pPr>
                    <w:keepNext w:val="0"/>
                    <w:keepLines w:val="0"/>
                    <w:widowControl/>
                    <w:suppressLineNumbers w:val="0"/>
                    <w:spacing w:before="0" w:beforeAutospacing="0" w:after="0" w:afterAutospacing="0" w:line="280" w:lineRule="exact"/>
                    <w:ind w:left="0" w:right="0"/>
                    <w:jc w:val="center"/>
                    <w:textAlignment w:val="center"/>
                    <w:rPr>
                      <w:rFonts w:hint="default" w:ascii="Times New Roman" w:hAnsi="Times New Roman" w:eastAsia="宋体" w:cs="Times New Roman"/>
                      <w:b w:val="0"/>
                      <w:bCs w:val="0"/>
                      <w:sz w:val="21"/>
                      <w:szCs w:val="21"/>
                      <w:highlight w:val="none"/>
                      <w:lang w:val="en-US" w:eastAsia="zh-CN" w:bidi="ar"/>
                    </w:rPr>
                  </w:pPr>
                  <w:r>
                    <w:rPr>
                      <w:rFonts w:hint="eastAsia" w:cs="Times New Roman"/>
                      <w:b w:val="0"/>
                      <w:bCs w:val="0"/>
                      <w:sz w:val="21"/>
                      <w:szCs w:val="21"/>
                      <w:highlight w:val="none"/>
                      <w:lang w:val="en-US" w:eastAsia="zh-CN" w:bidi="ar"/>
                    </w:rPr>
                    <w:t>~0</w:t>
                  </w:r>
                </w:p>
              </w:tc>
            </w:tr>
            <w:tr w14:paraId="60C7030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470" w:type="pct"/>
                  <w:vMerge w:val="continue"/>
                  <w:noWrap w:val="0"/>
                  <w:vAlign w:val="center"/>
                </w:tcPr>
                <w:p w14:paraId="07D3BF0F">
                  <w:pPr>
                    <w:keepNext w:val="0"/>
                    <w:keepLines w:val="0"/>
                    <w:widowControl/>
                    <w:suppressLineNumbers w:val="0"/>
                    <w:spacing w:before="0" w:beforeAutospacing="0" w:after="0" w:afterAutospacing="0" w:line="280" w:lineRule="exact"/>
                    <w:ind w:left="0" w:right="0"/>
                    <w:jc w:val="center"/>
                    <w:textAlignment w:val="center"/>
                    <w:rPr>
                      <w:rFonts w:hint="eastAsia" w:ascii="Times New Roman" w:hAnsi="Times New Roman" w:eastAsia="宋体" w:cs="Times New Roman"/>
                      <w:b w:val="0"/>
                      <w:bCs w:val="0"/>
                      <w:sz w:val="21"/>
                      <w:szCs w:val="21"/>
                      <w:highlight w:val="none"/>
                      <w:lang w:val="en-US" w:eastAsia="zh-CN" w:bidi="ar"/>
                    </w:rPr>
                  </w:pPr>
                </w:p>
              </w:tc>
              <w:tc>
                <w:tcPr>
                  <w:tcW w:w="527" w:type="pct"/>
                  <w:shd w:val="clear" w:color="auto" w:fill="auto"/>
                  <w:noWrap w:val="0"/>
                  <w:vAlign w:val="center"/>
                </w:tcPr>
                <w:p w14:paraId="47A380F2">
                  <w:pPr>
                    <w:keepNext w:val="0"/>
                    <w:keepLines w:val="0"/>
                    <w:widowControl/>
                    <w:suppressLineNumbers w:val="0"/>
                    <w:spacing w:before="0" w:beforeAutospacing="0" w:after="0" w:afterAutospacing="0" w:line="280" w:lineRule="exact"/>
                    <w:ind w:left="0" w:right="0"/>
                    <w:jc w:val="center"/>
                    <w:textAlignment w:val="center"/>
                    <w:rPr>
                      <w:rFonts w:hint="default" w:ascii="Times New Roman" w:hAnsi="Times New Roman" w:eastAsia="宋体" w:cs="Times New Roman"/>
                      <w:b w:val="0"/>
                      <w:bCs w:val="0"/>
                      <w:kern w:val="2"/>
                      <w:sz w:val="21"/>
                      <w:szCs w:val="21"/>
                      <w:highlight w:val="none"/>
                      <w:lang w:val="en-US" w:eastAsia="zh-CN" w:bidi="ar"/>
                    </w:rPr>
                  </w:pPr>
                  <w:r>
                    <w:rPr>
                      <w:rFonts w:hint="eastAsia" w:ascii="Times New Roman" w:hAnsi="Times New Roman" w:eastAsia="宋体" w:cs="Times New Roman"/>
                      <w:b w:val="0"/>
                      <w:bCs w:val="0"/>
                      <w:sz w:val="21"/>
                      <w:szCs w:val="21"/>
                      <w:highlight w:val="none"/>
                      <w:lang w:val="en-US" w:eastAsia="zh-CN" w:bidi="ar"/>
                    </w:rPr>
                    <w:t>DA012</w:t>
                  </w:r>
                </w:p>
              </w:tc>
              <w:tc>
                <w:tcPr>
                  <w:tcW w:w="567" w:type="pct"/>
                  <w:shd w:val="clear" w:color="auto" w:fill="auto"/>
                  <w:noWrap w:val="0"/>
                  <w:vAlign w:val="center"/>
                </w:tcPr>
                <w:p w14:paraId="6DADBCC1">
                  <w:pPr>
                    <w:keepNext w:val="0"/>
                    <w:keepLines w:val="0"/>
                    <w:widowControl/>
                    <w:suppressLineNumbers w:val="0"/>
                    <w:spacing w:before="0" w:beforeAutospacing="0" w:after="0" w:afterAutospacing="0" w:line="280" w:lineRule="exact"/>
                    <w:ind w:left="0" w:right="0"/>
                    <w:jc w:val="center"/>
                    <w:textAlignment w:val="center"/>
                    <w:rPr>
                      <w:rFonts w:hint="eastAsia" w:ascii="Times New Roman" w:hAnsi="Times New Roman" w:eastAsia="宋体" w:cs="Times New Roman"/>
                      <w:b w:val="0"/>
                      <w:bCs w:val="0"/>
                      <w:kern w:val="2"/>
                      <w:sz w:val="21"/>
                      <w:szCs w:val="21"/>
                      <w:highlight w:val="none"/>
                      <w:lang w:val="en-US" w:eastAsia="zh-CN" w:bidi="ar"/>
                    </w:rPr>
                  </w:pPr>
                  <w:r>
                    <w:rPr>
                      <w:rFonts w:hint="eastAsia" w:cs="Times New Roman"/>
                      <w:b w:val="0"/>
                      <w:bCs w:val="0"/>
                      <w:sz w:val="21"/>
                      <w:szCs w:val="21"/>
                      <w:highlight w:val="none"/>
                      <w:lang w:val="en-US" w:eastAsia="zh-CN" w:bidi="ar"/>
                    </w:rPr>
                    <w:t>有组织</w:t>
                  </w:r>
                </w:p>
              </w:tc>
              <w:tc>
                <w:tcPr>
                  <w:tcW w:w="813" w:type="pct"/>
                  <w:vMerge w:val="restart"/>
                  <w:shd w:val="clear" w:color="auto" w:fill="auto"/>
                  <w:noWrap w:val="0"/>
                  <w:vAlign w:val="center"/>
                </w:tcPr>
                <w:p w14:paraId="47482E60">
                  <w:pPr>
                    <w:keepNext w:val="0"/>
                    <w:keepLines w:val="0"/>
                    <w:widowControl/>
                    <w:suppressLineNumbers w:val="0"/>
                    <w:spacing w:before="0" w:beforeAutospacing="0" w:after="0" w:afterAutospacing="0" w:line="280" w:lineRule="exact"/>
                    <w:ind w:left="0" w:right="0"/>
                    <w:jc w:val="center"/>
                    <w:textAlignment w:val="center"/>
                    <w:rPr>
                      <w:rFonts w:hint="eastAsia" w:ascii="Times New Roman" w:hAnsi="Times New Roman" w:eastAsia="宋体" w:cs="Times New Roman"/>
                      <w:b w:val="0"/>
                      <w:bCs w:val="0"/>
                      <w:kern w:val="2"/>
                      <w:sz w:val="21"/>
                      <w:szCs w:val="21"/>
                      <w:highlight w:val="none"/>
                      <w:lang w:val="en-US" w:eastAsia="zh-CN" w:bidi="ar"/>
                    </w:rPr>
                  </w:pPr>
                  <w:r>
                    <w:rPr>
                      <w:rFonts w:hint="eastAsia" w:cs="Times New Roman"/>
                      <w:b w:val="0"/>
                      <w:bCs w:val="0"/>
                      <w:sz w:val="21"/>
                      <w:szCs w:val="21"/>
                      <w:highlight w:val="none"/>
                      <w:lang w:val="en-US" w:eastAsia="zh-CN" w:bidi="ar"/>
                    </w:rPr>
                    <w:t>非甲烷总烃</w:t>
                  </w:r>
                </w:p>
              </w:tc>
              <w:tc>
                <w:tcPr>
                  <w:tcW w:w="591" w:type="pct"/>
                  <w:shd w:val="clear" w:color="auto" w:fill="auto"/>
                  <w:noWrap w:val="0"/>
                  <w:vAlign w:val="center"/>
                </w:tcPr>
                <w:p w14:paraId="4548D35F">
                  <w:pPr>
                    <w:keepNext w:val="0"/>
                    <w:keepLines w:val="0"/>
                    <w:widowControl/>
                    <w:suppressLineNumbers w:val="0"/>
                    <w:spacing w:before="0" w:beforeAutospacing="0" w:after="0" w:afterAutospacing="0" w:line="280" w:lineRule="exact"/>
                    <w:ind w:left="0" w:right="0"/>
                    <w:jc w:val="center"/>
                    <w:textAlignment w:val="center"/>
                    <w:rPr>
                      <w:rFonts w:hint="default" w:ascii="Times New Roman" w:hAnsi="Times New Roman" w:eastAsia="宋体" w:cs="Times New Roman"/>
                      <w:b w:val="0"/>
                      <w:bCs w:val="0"/>
                      <w:sz w:val="21"/>
                      <w:szCs w:val="21"/>
                      <w:highlight w:val="none"/>
                      <w:lang w:val="en-US" w:eastAsia="zh-CN" w:bidi="ar"/>
                    </w:rPr>
                  </w:pPr>
                  <w:r>
                    <w:rPr>
                      <w:rFonts w:hint="eastAsia" w:cs="Times New Roman"/>
                      <w:b w:val="0"/>
                      <w:bCs w:val="0"/>
                      <w:sz w:val="21"/>
                      <w:szCs w:val="21"/>
                      <w:highlight w:val="none"/>
                      <w:lang w:val="en-US" w:eastAsia="zh-CN" w:bidi="ar"/>
                    </w:rPr>
                    <w:t>0.065</w:t>
                  </w:r>
                </w:p>
              </w:tc>
              <w:tc>
                <w:tcPr>
                  <w:tcW w:w="774" w:type="pct"/>
                  <w:shd w:val="clear" w:color="auto" w:fill="auto"/>
                  <w:noWrap w:val="0"/>
                  <w:vAlign w:val="center"/>
                </w:tcPr>
                <w:p w14:paraId="345DDB27">
                  <w:pPr>
                    <w:keepNext w:val="0"/>
                    <w:keepLines w:val="0"/>
                    <w:widowControl/>
                    <w:suppressLineNumbers w:val="0"/>
                    <w:spacing w:before="0" w:beforeAutospacing="0" w:after="0" w:afterAutospacing="0" w:line="280" w:lineRule="exact"/>
                    <w:ind w:left="0" w:right="0"/>
                    <w:jc w:val="center"/>
                    <w:textAlignment w:val="center"/>
                    <w:rPr>
                      <w:rFonts w:hint="default" w:ascii="Times New Roman" w:hAnsi="Times New Roman" w:eastAsia="宋体" w:cs="Times New Roman"/>
                      <w:b w:val="0"/>
                      <w:bCs w:val="0"/>
                      <w:sz w:val="21"/>
                      <w:szCs w:val="21"/>
                      <w:highlight w:val="none"/>
                      <w:lang w:val="en-US" w:eastAsia="zh-CN" w:bidi="ar"/>
                    </w:rPr>
                  </w:pPr>
                  <w:r>
                    <w:rPr>
                      <w:rFonts w:hint="eastAsia" w:cs="Times New Roman"/>
                      <w:b w:val="0"/>
                      <w:bCs w:val="0"/>
                      <w:sz w:val="21"/>
                      <w:szCs w:val="21"/>
                      <w:highlight w:val="none"/>
                      <w:lang w:val="en-US" w:eastAsia="zh-CN" w:bidi="ar"/>
                    </w:rPr>
                    <w:t>0.031</w:t>
                  </w:r>
                </w:p>
              </w:tc>
              <w:tc>
                <w:tcPr>
                  <w:tcW w:w="536" w:type="pct"/>
                  <w:shd w:val="clear" w:color="auto" w:fill="auto"/>
                  <w:noWrap w:val="0"/>
                  <w:vAlign w:val="center"/>
                </w:tcPr>
                <w:p w14:paraId="7656651F">
                  <w:pPr>
                    <w:keepNext w:val="0"/>
                    <w:keepLines w:val="0"/>
                    <w:widowControl/>
                    <w:suppressLineNumbers w:val="0"/>
                    <w:spacing w:before="0" w:beforeAutospacing="0" w:after="0" w:afterAutospacing="0" w:line="280" w:lineRule="exact"/>
                    <w:ind w:left="0" w:right="0"/>
                    <w:jc w:val="center"/>
                    <w:textAlignment w:val="center"/>
                    <w:rPr>
                      <w:rFonts w:hint="default" w:ascii="Times New Roman" w:hAnsi="Times New Roman" w:eastAsia="宋体" w:cs="Times New Roman"/>
                      <w:b w:val="0"/>
                      <w:bCs w:val="0"/>
                      <w:kern w:val="2"/>
                      <w:sz w:val="21"/>
                      <w:szCs w:val="21"/>
                      <w:highlight w:val="none"/>
                      <w:lang w:val="en-US" w:eastAsia="zh-CN" w:bidi="ar"/>
                    </w:rPr>
                  </w:pPr>
                  <w:r>
                    <w:rPr>
                      <w:rFonts w:hint="eastAsia" w:cs="Times New Roman"/>
                      <w:b w:val="0"/>
                      <w:bCs w:val="0"/>
                      <w:sz w:val="21"/>
                      <w:szCs w:val="21"/>
                      <w:highlight w:val="none"/>
                      <w:lang w:val="en-US" w:eastAsia="zh-CN" w:bidi="ar"/>
                    </w:rPr>
                    <w:t>0.065</w:t>
                  </w:r>
                </w:p>
              </w:tc>
              <w:tc>
                <w:tcPr>
                  <w:tcW w:w="719" w:type="pct"/>
                  <w:shd w:val="clear" w:color="auto" w:fill="auto"/>
                  <w:noWrap w:val="0"/>
                  <w:vAlign w:val="center"/>
                </w:tcPr>
                <w:p w14:paraId="78A5ABFA">
                  <w:pPr>
                    <w:keepNext w:val="0"/>
                    <w:keepLines w:val="0"/>
                    <w:widowControl/>
                    <w:suppressLineNumbers w:val="0"/>
                    <w:spacing w:before="0" w:beforeAutospacing="0" w:after="0" w:afterAutospacing="0" w:line="280" w:lineRule="exact"/>
                    <w:ind w:left="0" w:right="0"/>
                    <w:jc w:val="center"/>
                    <w:textAlignment w:val="center"/>
                    <w:rPr>
                      <w:rFonts w:hint="default" w:ascii="Times New Roman" w:hAnsi="Times New Roman" w:eastAsia="宋体" w:cs="Times New Roman"/>
                      <w:b w:val="0"/>
                      <w:bCs w:val="0"/>
                      <w:kern w:val="2"/>
                      <w:sz w:val="21"/>
                      <w:szCs w:val="21"/>
                      <w:highlight w:val="none"/>
                      <w:lang w:val="en-US" w:eastAsia="zh-CN" w:bidi="ar"/>
                    </w:rPr>
                  </w:pPr>
                  <w:r>
                    <w:rPr>
                      <w:rFonts w:hint="eastAsia" w:cs="Times New Roman"/>
                      <w:b w:val="0"/>
                      <w:bCs w:val="0"/>
                      <w:sz w:val="21"/>
                      <w:szCs w:val="21"/>
                      <w:highlight w:val="none"/>
                      <w:lang w:val="en-US" w:eastAsia="zh-CN" w:bidi="ar"/>
                    </w:rPr>
                    <w:t>0.031</w:t>
                  </w:r>
                </w:p>
              </w:tc>
            </w:tr>
            <w:tr w14:paraId="25236B5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470" w:type="pct"/>
                  <w:vMerge w:val="continue"/>
                  <w:noWrap w:val="0"/>
                  <w:vAlign w:val="center"/>
                </w:tcPr>
                <w:p w14:paraId="2EAAD1D8">
                  <w:pPr>
                    <w:keepNext w:val="0"/>
                    <w:keepLines w:val="0"/>
                    <w:widowControl/>
                    <w:suppressLineNumbers w:val="0"/>
                    <w:spacing w:before="0" w:beforeAutospacing="0" w:after="0" w:afterAutospacing="0" w:line="280" w:lineRule="exact"/>
                    <w:ind w:left="0" w:right="0"/>
                    <w:jc w:val="center"/>
                    <w:textAlignment w:val="center"/>
                    <w:rPr>
                      <w:rFonts w:hint="eastAsia" w:ascii="Times New Roman" w:hAnsi="Times New Roman" w:eastAsia="宋体" w:cs="Times New Roman"/>
                      <w:b w:val="0"/>
                      <w:bCs w:val="0"/>
                      <w:sz w:val="21"/>
                      <w:szCs w:val="21"/>
                      <w:highlight w:val="none"/>
                      <w:lang w:val="en-US" w:eastAsia="zh-CN" w:bidi="ar"/>
                    </w:rPr>
                  </w:pPr>
                </w:p>
              </w:tc>
              <w:tc>
                <w:tcPr>
                  <w:tcW w:w="1095" w:type="pct"/>
                  <w:gridSpan w:val="2"/>
                  <w:shd w:val="clear" w:color="auto" w:fill="auto"/>
                  <w:noWrap w:val="0"/>
                  <w:vAlign w:val="center"/>
                </w:tcPr>
                <w:p w14:paraId="1FFBA81E">
                  <w:pPr>
                    <w:keepNext w:val="0"/>
                    <w:keepLines w:val="0"/>
                    <w:widowControl/>
                    <w:suppressLineNumbers w:val="0"/>
                    <w:spacing w:before="0" w:beforeAutospacing="0" w:after="0" w:afterAutospacing="0" w:line="280" w:lineRule="exact"/>
                    <w:ind w:left="0" w:right="0"/>
                    <w:jc w:val="center"/>
                    <w:textAlignment w:val="center"/>
                    <w:rPr>
                      <w:rFonts w:hint="eastAsia" w:cs="Times New Roman"/>
                      <w:b w:val="0"/>
                      <w:bCs w:val="0"/>
                      <w:sz w:val="21"/>
                      <w:szCs w:val="21"/>
                      <w:highlight w:val="none"/>
                      <w:lang w:val="en-US" w:eastAsia="zh-CN" w:bidi="ar"/>
                    </w:rPr>
                  </w:pPr>
                  <w:r>
                    <w:rPr>
                      <w:rFonts w:hint="eastAsia" w:cs="Times New Roman"/>
                      <w:b w:val="0"/>
                      <w:bCs w:val="0"/>
                      <w:sz w:val="21"/>
                      <w:szCs w:val="21"/>
                      <w:highlight w:val="none"/>
                      <w:lang w:val="en-US" w:eastAsia="zh-CN" w:bidi="ar"/>
                    </w:rPr>
                    <w:t>无组织</w:t>
                  </w:r>
                </w:p>
              </w:tc>
              <w:tc>
                <w:tcPr>
                  <w:tcW w:w="813" w:type="pct"/>
                  <w:vMerge w:val="continue"/>
                  <w:shd w:val="clear" w:color="auto" w:fill="auto"/>
                  <w:noWrap w:val="0"/>
                  <w:vAlign w:val="center"/>
                </w:tcPr>
                <w:p w14:paraId="3541EBF5">
                  <w:pPr>
                    <w:keepNext w:val="0"/>
                    <w:keepLines w:val="0"/>
                    <w:widowControl/>
                    <w:suppressLineNumbers w:val="0"/>
                    <w:spacing w:before="0" w:beforeAutospacing="0" w:after="0" w:afterAutospacing="0" w:line="280" w:lineRule="exact"/>
                    <w:ind w:left="0" w:right="0"/>
                    <w:jc w:val="center"/>
                    <w:textAlignment w:val="center"/>
                    <w:rPr>
                      <w:rFonts w:hint="eastAsia" w:ascii="Times New Roman" w:hAnsi="Times New Roman" w:eastAsia="宋体" w:cs="Times New Roman"/>
                      <w:b w:val="0"/>
                      <w:bCs w:val="0"/>
                      <w:sz w:val="21"/>
                      <w:szCs w:val="21"/>
                      <w:highlight w:val="none"/>
                      <w:lang w:val="en-US" w:eastAsia="zh-CN" w:bidi="ar"/>
                    </w:rPr>
                  </w:pPr>
                </w:p>
              </w:tc>
              <w:tc>
                <w:tcPr>
                  <w:tcW w:w="591" w:type="pct"/>
                  <w:shd w:val="clear" w:color="auto" w:fill="auto"/>
                  <w:noWrap w:val="0"/>
                  <w:vAlign w:val="center"/>
                </w:tcPr>
                <w:p w14:paraId="72C70762">
                  <w:pPr>
                    <w:keepNext w:val="0"/>
                    <w:keepLines w:val="0"/>
                    <w:widowControl/>
                    <w:suppressLineNumbers w:val="0"/>
                    <w:spacing w:before="0" w:beforeAutospacing="0" w:after="0" w:afterAutospacing="0" w:line="280" w:lineRule="exact"/>
                    <w:ind w:left="0" w:right="0"/>
                    <w:jc w:val="center"/>
                    <w:textAlignment w:val="center"/>
                    <w:rPr>
                      <w:rFonts w:hint="default" w:ascii="Times New Roman" w:hAnsi="Times New Roman" w:eastAsia="宋体" w:cs="Times New Roman"/>
                      <w:b w:val="0"/>
                      <w:bCs w:val="0"/>
                      <w:sz w:val="21"/>
                      <w:szCs w:val="21"/>
                      <w:highlight w:val="none"/>
                      <w:lang w:val="en-US" w:eastAsia="zh-CN" w:bidi="ar"/>
                    </w:rPr>
                  </w:pPr>
                  <w:r>
                    <w:rPr>
                      <w:rFonts w:hint="eastAsia" w:cs="Times New Roman"/>
                      <w:b w:val="0"/>
                      <w:bCs w:val="0"/>
                      <w:sz w:val="21"/>
                      <w:szCs w:val="21"/>
                      <w:highlight w:val="none"/>
                      <w:lang w:val="en-US" w:eastAsia="zh-CN" w:bidi="ar"/>
                    </w:rPr>
                    <w:t>0.007</w:t>
                  </w:r>
                </w:p>
              </w:tc>
              <w:tc>
                <w:tcPr>
                  <w:tcW w:w="774" w:type="pct"/>
                  <w:shd w:val="clear" w:color="auto" w:fill="auto"/>
                  <w:noWrap w:val="0"/>
                  <w:vAlign w:val="center"/>
                </w:tcPr>
                <w:p w14:paraId="026F663D">
                  <w:pPr>
                    <w:keepNext w:val="0"/>
                    <w:keepLines w:val="0"/>
                    <w:widowControl/>
                    <w:suppressLineNumbers w:val="0"/>
                    <w:spacing w:before="0" w:beforeAutospacing="0" w:after="0" w:afterAutospacing="0" w:line="280" w:lineRule="exact"/>
                    <w:ind w:left="0" w:right="0"/>
                    <w:jc w:val="center"/>
                    <w:textAlignment w:val="center"/>
                    <w:rPr>
                      <w:rFonts w:hint="default" w:ascii="Times New Roman" w:hAnsi="Times New Roman" w:eastAsia="宋体" w:cs="Times New Roman"/>
                      <w:b w:val="0"/>
                      <w:bCs w:val="0"/>
                      <w:sz w:val="21"/>
                      <w:szCs w:val="21"/>
                      <w:highlight w:val="none"/>
                      <w:lang w:val="en-US" w:eastAsia="zh-CN" w:bidi="ar"/>
                    </w:rPr>
                  </w:pPr>
                  <w:r>
                    <w:rPr>
                      <w:rFonts w:hint="eastAsia" w:cs="Times New Roman"/>
                      <w:b w:val="0"/>
                      <w:bCs w:val="0"/>
                      <w:sz w:val="21"/>
                      <w:szCs w:val="21"/>
                      <w:highlight w:val="none"/>
                      <w:lang w:val="en-US" w:eastAsia="zh-CN" w:bidi="ar"/>
                    </w:rPr>
                    <w:t>0.003</w:t>
                  </w:r>
                </w:p>
              </w:tc>
              <w:tc>
                <w:tcPr>
                  <w:tcW w:w="536" w:type="pct"/>
                  <w:shd w:val="clear" w:color="auto" w:fill="auto"/>
                  <w:noWrap w:val="0"/>
                  <w:vAlign w:val="center"/>
                </w:tcPr>
                <w:p w14:paraId="278AB46B">
                  <w:pPr>
                    <w:keepNext w:val="0"/>
                    <w:keepLines w:val="0"/>
                    <w:widowControl/>
                    <w:suppressLineNumbers w:val="0"/>
                    <w:spacing w:before="0" w:beforeAutospacing="0" w:after="0" w:afterAutospacing="0" w:line="280" w:lineRule="exact"/>
                    <w:ind w:left="0" w:right="0"/>
                    <w:jc w:val="center"/>
                    <w:textAlignment w:val="center"/>
                    <w:rPr>
                      <w:rFonts w:hint="default" w:ascii="Times New Roman" w:hAnsi="Times New Roman" w:eastAsia="宋体" w:cs="Times New Roman"/>
                      <w:b w:val="0"/>
                      <w:bCs w:val="0"/>
                      <w:kern w:val="2"/>
                      <w:sz w:val="21"/>
                      <w:szCs w:val="21"/>
                      <w:highlight w:val="none"/>
                      <w:lang w:val="en-US" w:eastAsia="zh-CN" w:bidi="ar"/>
                    </w:rPr>
                  </w:pPr>
                  <w:r>
                    <w:rPr>
                      <w:rFonts w:hint="eastAsia" w:cs="Times New Roman"/>
                      <w:b w:val="0"/>
                      <w:bCs w:val="0"/>
                      <w:sz w:val="21"/>
                      <w:szCs w:val="21"/>
                      <w:highlight w:val="none"/>
                      <w:lang w:val="en-US" w:eastAsia="zh-CN" w:bidi="ar"/>
                    </w:rPr>
                    <w:t>0.007</w:t>
                  </w:r>
                </w:p>
              </w:tc>
              <w:tc>
                <w:tcPr>
                  <w:tcW w:w="719" w:type="pct"/>
                  <w:shd w:val="clear" w:color="auto" w:fill="auto"/>
                  <w:noWrap w:val="0"/>
                  <w:vAlign w:val="center"/>
                </w:tcPr>
                <w:p w14:paraId="71390C48">
                  <w:pPr>
                    <w:keepNext w:val="0"/>
                    <w:keepLines w:val="0"/>
                    <w:widowControl/>
                    <w:suppressLineNumbers w:val="0"/>
                    <w:spacing w:before="0" w:beforeAutospacing="0" w:after="0" w:afterAutospacing="0" w:line="280" w:lineRule="exact"/>
                    <w:ind w:left="0" w:right="0"/>
                    <w:jc w:val="center"/>
                    <w:textAlignment w:val="center"/>
                    <w:rPr>
                      <w:rFonts w:hint="default" w:ascii="Times New Roman" w:hAnsi="Times New Roman" w:eastAsia="宋体" w:cs="Times New Roman"/>
                      <w:b w:val="0"/>
                      <w:bCs w:val="0"/>
                      <w:kern w:val="2"/>
                      <w:sz w:val="21"/>
                      <w:szCs w:val="21"/>
                      <w:highlight w:val="none"/>
                      <w:lang w:val="en-US" w:eastAsia="zh-CN" w:bidi="ar"/>
                    </w:rPr>
                  </w:pPr>
                  <w:r>
                    <w:rPr>
                      <w:rFonts w:hint="eastAsia" w:cs="Times New Roman"/>
                      <w:b w:val="0"/>
                      <w:bCs w:val="0"/>
                      <w:sz w:val="21"/>
                      <w:szCs w:val="21"/>
                      <w:highlight w:val="none"/>
                      <w:lang w:val="en-US" w:eastAsia="zh-CN" w:bidi="ar"/>
                    </w:rPr>
                    <w:t>0.003</w:t>
                  </w:r>
                </w:p>
              </w:tc>
            </w:tr>
            <w:tr w14:paraId="4F2C900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470" w:type="pct"/>
                  <w:vMerge w:val="continue"/>
                  <w:noWrap w:val="0"/>
                  <w:vAlign w:val="center"/>
                </w:tcPr>
                <w:p w14:paraId="11FA71BF">
                  <w:pPr>
                    <w:keepNext w:val="0"/>
                    <w:keepLines w:val="0"/>
                    <w:widowControl/>
                    <w:suppressLineNumbers w:val="0"/>
                    <w:spacing w:before="0" w:beforeAutospacing="0" w:after="0" w:afterAutospacing="0" w:line="280" w:lineRule="exact"/>
                    <w:ind w:left="0" w:right="0"/>
                    <w:jc w:val="center"/>
                    <w:textAlignment w:val="center"/>
                    <w:rPr>
                      <w:rFonts w:hint="eastAsia" w:ascii="Times New Roman" w:hAnsi="Times New Roman" w:eastAsia="宋体" w:cs="Times New Roman"/>
                      <w:b w:val="0"/>
                      <w:bCs w:val="0"/>
                      <w:sz w:val="21"/>
                      <w:szCs w:val="21"/>
                      <w:highlight w:val="none"/>
                      <w:lang w:val="en-US" w:eastAsia="zh-CN" w:bidi="ar"/>
                    </w:rPr>
                  </w:pPr>
                </w:p>
              </w:tc>
              <w:tc>
                <w:tcPr>
                  <w:tcW w:w="527" w:type="pct"/>
                  <w:noWrap w:val="0"/>
                  <w:vAlign w:val="center"/>
                </w:tcPr>
                <w:p w14:paraId="2BDC306B">
                  <w:pPr>
                    <w:keepNext w:val="0"/>
                    <w:keepLines w:val="0"/>
                    <w:widowControl/>
                    <w:suppressLineNumbers w:val="0"/>
                    <w:spacing w:before="0" w:beforeAutospacing="0" w:after="0" w:afterAutospacing="0" w:line="280" w:lineRule="exact"/>
                    <w:ind w:left="0" w:right="0"/>
                    <w:jc w:val="center"/>
                    <w:textAlignment w:val="center"/>
                    <w:rPr>
                      <w:rFonts w:hint="default" w:ascii="Times New Roman" w:hAnsi="Times New Roman" w:eastAsia="宋体" w:cs="Times New Roman"/>
                      <w:b w:val="0"/>
                      <w:bCs w:val="0"/>
                      <w:sz w:val="21"/>
                      <w:szCs w:val="21"/>
                      <w:highlight w:val="none"/>
                      <w:lang w:val="en-US" w:eastAsia="zh-CN" w:bidi="ar"/>
                    </w:rPr>
                  </w:pPr>
                  <w:r>
                    <w:rPr>
                      <w:rFonts w:hint="eastAsia" w:ascii="Times New Roman" w:hAnsi="Times New Roman" w:eastAsia="宋体" w:cs="Times New Roman"/>
                      <w:b w:val="0"/>
                      <w:bCs w:val="0"/>
                      <w:sz w:val="21"/>
                      <w:szCs w:val="21"/>
                      <w:highlight w:val="none"/>
                      <w:lang w:val="en-US" w:eastAsia="zh-CN" w:bidi="ar"/>
                    </w:rPr>
                    <w:t>DA013</w:t>
                  </w:r>
                </w:p>
              </w:tc>
              <w:tc>
                <w:tcPr>
                  <w:tcW w:w="567" w:type="pct"/>
                  <w:shd w:val="clear" w:color="auto" w:fill="auto"/>
                  <w:noWrap w:val="0"/>
                  <w:vAlign w:val="center"/>
                </w:tcPr>
                <w:p w14:paraId="3083CF4E">
                  <w:pPr>
                    <w:keepNext w:val="0"/>
                    <w:keepLines w:val="0"/>
                    <w:widowControl/>
                    <w:suppressLineNumbers w:val="0"/>
                    <w:spacing w:before="0" w:beforeAutospacing="0" w:after="0" w:afterAutospacing="0" w:line="280" w:lineRule="exact"/>
                    <w:ind w:left="0" w:right="0"/>
                    <w:jc w:val="center"/>
                    <w:textAlignment w:val="center"/>
                    <w:rPr>
                      <w:rFonts w:hint="eastAsia" w:cs="Times New Roman"/>
                      <w:b w:val="0"/>
                      <w:bCs w:val="0"/>
                      <w:sz w:val="21"/>
                      <w:szCs w:val="21"/>
                      <w:highlight w:val="none"/>
                      <w:lang w:val="en-US" w:eastAsia="zh-CN" w:bidi="ar"/>
                    </w:rPr>
                  </w:pPr>
                  <w:r>
                    <w:rPr>
                      <w:rFonts w:hint="eastAsia" w:cs="Times New Roman"/>
                      <w:b w:val="0"/>
                      <w:bCs w:val="0"/>
                      <w:sz w:val="21"/>
                      <w:szCs w:val="21"/>
                      <w:highlight w:val="none"/>
                      <w:lang w:val="en-US" w:eastAsia="zh-CN" w:bidi="ar"/>
                    </w:rPr>
                    <w:t>有组织</w:t>
                  </w:r>
                </w:p>
              </w:tc>
              <w:tc>
                <w:tcPr>
                  <w:tcW w:w="813" w:type="pct"/>
                  <w:vMerge w:val="restart"/>
                  <w:noWrap w:val="0"/>
                  <w:vAlign w:val="center"/>
                </w:tcPr>
                <w:p w14:paraId="2835AB18">
                  <w:pPr>
                    <w:keepNext w:val="0"/>
                    <w:keepLines w:val="0"/>
                    <w:widowControl/>
                    <w:suppressLineNumbers w:val="0"/>
                    <w:spacing w:before="0" w:beforeAutospacing="0" w:after="0" w:afterAutospacing="0" w:line="280" w:lineRule="exact"/>
                    <w:ind w:left="0" w:right="0"/>
                    <w:jc w:val="center"/>
                    <w:textAlignment w:val="center"/>
                    <w:rPr>
                      <w:rFonts w:hint="eastAsia" w:ascii="Times New Roman" w:hAnsi="Times New Roman" w:eastAsia="宋体" w:cs="Times New Roman"/>
                      <w:b w:val="0"/>
                      <w:bCs w:val="0"/>
                      <w:sz w:val="21"/>
                      <w:szCs w:val="21"/>
                      <w:highlight w:val="none"/>
                      <w:lang w:val="en-US" w:eastAsia="zh-CN" w:bidi="ar"/>
                    </w:rPr>
                  </w:pPr>
                  <w:r>
                    <w:rPr>
                      <w:rFonts w:hint="eastAsia" w:cs="Times New Roman"/>
                      <w:b w:val="0"/>
                      <w:bCs w:val="0"/>
                      <w:sz w:val="21"/>
                      <w:szCs w:val="21"/>
                      <w:highlight w:val="none"/>
                      <w:lang w:val="en-US" w:eastAsia="zh-CN" w:bidi="ar"/>
                    </w:rPr>
                    <w:t>非甲烷总烃</w:t>
                  </w:r>
                </w:p>
              </w:tc>
              <w:tc>
                <w:tcPr>
                  <w:tcW w:w="591" w:type="pct"/>
                  <w:shd w:val="clear" w:color="auto" w:fill="auto"/>
                  <w:noWrap w:val="0"/>
                  <w:vAlign w:val="center"/>
                </w:tcPr>
                <w:p w14:paraId="4604D5CD">
                  <w:pPr>
                    <w:keepNext w:val="0"/>
                    <w:keepLines w:val="0"/>
                    <w:widowControl/>
                    <w:suppressLineNumbers w:val="0"/>
                    <w:spacing w:before="0" w:beforeAutospacing="0" w:after="0" w:afterAutospacing="0" w:line="280" w:lineRule="exact"/>
                    <w:ind w:left="0" w:right="0"/>
                    <w:jc w:val="center"/>
                    <w:textAlignment w:val="center"/>
                    <w:rPr>
                      <w:rFonts w:hint="default" w:ascii="Times New Roman" w:hAnsi="Times New Roman" w:eastAsia="宋体" w:cs="Times New Roman"/>
                      <w:b w:val="0"/>
                      <w:bCs w:val="0"/>
                      <w:sz w:val="21"/>
                      <w:szCs w:val="21"/>
                      <w:highlight w:val="none"/>
                      <w:lang w:val="en-US" w:eastAsia="zh-CN" w:bidi="ar"/>
                    </w:rPr>
                  </w:pPr>
                  <w:r>
                    <w:rPr>
                      <w:rFonts w:hint="eastAsia" w:cs="Times New Roman"/>
                      <w:b w:val="0"/>
                      <w:bCs w:val="0"/>
                      <w:sz w:val="21"/>
                      <w:szCs w:val="21"/>
                      <w:highlight w:val="none"/>
                      <w:lang w:val="en-US" w:eastAsia="zh-CN" w:bidi="ar"/>
                    </w:rPr>
                    <w:t>0.130</w:t>
                  </w:r>
                </w:p>
              </w:tc>
              <w:tc>
                <w:tcPr>
                  <w:tcW w:w="774" w:type="pct"/>
                  <w:shd w:val="clear" w:color="auto" w:fill="auto"/>
                  <w:noWrap w:val="0"/>
                  <w:vAlign w:val="center"/>
                </w:tcPr>
                <w:p w14:paraId="5EE053CB">
                  <w:pPr>
                    <w:keepNext w:val="0"/>
                    <w:keepLines w:val="0"/>
                    <w:widowControl/>
                    <w:suppressLineNumbers w:val="0"/>
                    <w:spacing w:before="0" w:beforeAutospacing="0" w:after="0" w:afterAutospacing="0" w:line="280" w:lineRule="exact"/>
                    <w:ind w:left="0" w:right="0"/>
                    <w:jc w:val="center"/>
                    <w:textAlignment w:val="center"/>
                    <w:rPr>
                      <w:rFonts w:hint="default" w:ascii="Times New Roman" w:hAnsi="Times New Roman" w:eastAsia="宋体" w:cs="Times New Roman"/>
                      <w:b w:val="0"/>
                      <w:bCs w:val="0"/>
                      <w:sz w:val="21"/>
                      <w:szCs w:val="21"/>
                      <w:highlight w:val="none"/>
                      <w:lang w:val="en-US" w:eastAsia="zh-CN" w:bidi="ar"/>
                    </w:rPr>
                  </w:pPr>
                  <w:r>
                    <w:rPr>
                      <w:rFonts w:hint="eastAsia" w:cs="Times New Roman"/>
                      <w:b w:val="0"/>
                      <w:bCs w:val="0"/>
                      <w:sz w:val="21"/>
                      <w:szCs w:val="21"/>
                      <w:highlight w:val="none"/>
                      <w:lang w:val="en-US" w:eastAsia="zh-CN" w:bidi="ar"/>
                    </w:rPr>
                    <w:t>0.063</w:t>
                  </w:r>
                </w:p>
              </w:tc>
              <w:tc>
                <w:tcPr>
                  <w:tcW w:w="536" w:type="pct"/>
                  <w:shd w:val="clear" w:color="auto" w:fill="auto"/>
                  <w:noWrap w:val="0"/>
                  <w:vAlign w:val="center"/>
                </w:tcPr>
                <w:p w14:paraId="730996F2">
                  <w:pPr>
                    <w:keepNext w:val="0"/>
                    <w:keepLines w:val="0"/>
                    <w:widowControl/>
                    <w:suppressLineNumbers w:val="0"/>
                    <w:spacing w:before="0" w:beforeAutospacing="0" w:after="0" w:afterAutospacing="0" w:line="280" w:lineRule="exact"/>
                    <w:ind w:left="0" w:right="0"/>
                    <w:jc w:val="center"/>
                    <w:textAlignment w:val="center"/>
                    <w:rPr>
                      <w:rFonts w:hint="default" w:ascii="Times New Roman" w:hAnsi="Times New Roman" w:eastAsia="宋体" w:cs="Times New Roman"/>
                      <w:b w:val="0"/>
                      <w:bCs w:val="0"/>
                      <w:kern w:val="2"/>
                      <w:sz w:val="21"/>
                      <w:szCs w:val="21"/>
                      <w:highlight w:val="none"/>
                      <w:lang w:val="en-US" w:eastAsia="zh-CN" w:bidi="ar"/>
                    </w:rPr>
                  </w:pPr>
                  <w:r>
                    <w:rPr>
                      <w:rFonts w:hint="eastAsia" w:cs="Times New Roman"/>
                      <w:b w:val="0"/>
                      <w:bCs w:val="0"/>
                      <w:sz w:val="21"/>
                      <w:szCs w:val="21"/>
                      <w:highlight w:val="none"/>
                      <w:lang w:val="en-US" w:eastAsia="zh-CN" w:bidi="ar"/>
                    </w:rPr>
                    <w:t>0.130</w:t>
                  </w:r>
                </w:p>
              </w:tc>
              <w:tc>
                <w:tcPr>
                  <w:tcW w:w="719" w:type="pct"/>
                  <w:shd w:val="clear" w:color="auto" w:fill="auto"/>
                  <w:noWrap w:val="0"/>
                  <w:vAlign w:val="center"/>
                </w:tcPr>
                <w:p w14:paraId="2DFA90FD">
                  <w:pPr>
                    <w:keepNext w:val="0"/>
                    <w:keepLines w:val="0"/>
                    <w:widowControl/>
                    <w:suppressLineNumbers w:val="0"/>
                    <w:spacing w:before="0" w:beforeAutospacing="0" w:after="0" w:afterAutospacing="0" w:line="280" w:lineRule="exact"/>
                    <w:ind w:left="0" w:right="0"/>
                    <w:jc w:val="center"/>
                    <w:textAlignment w:val="center"/>
                    <w:rPr>
                      <w:rFonts w:hint="default" w:ascii="Times New Roman" w:hAnsi="Times New Roman" w:eastAsia="宋体" w:cs="Times New Roman"/>
                      <w:b w:val="0"/>
                      <w:bCs w:val="0"/>
                      <w:kern w:val="2"/>
                      <w:sz w:val="21"/>
                      <w:szCs w:val="21"/>
                      <w:highlight w:val="none"/>
                      <w:lang w:val="en-US" w:eastAsia="zh-CN" w:bidi="ar"/>
                    </w:rPr>
                  </w:pPr>
                  <w:r>
                    <w:rPr>
                      <w:rFonts w:hint="eastAsia" w:cs="Times New Roman"/>
                      <w:b w:val="0"/>
                      <w:bCs w:val="0"/>
                      <w:sz w:val="21"/>
                      <w:szCs w:val="21"/>
                      <w:highlight w:val="none"/>
                      <w:lang w:val="en-US" w:eastAsia="zh-CN" w:bidi="ar"/>
                    </w:rPr>
                    <w:t>0.063</w:t>
                  </w:r>
                </w:p>
              </w:tc>
            </w:tr>
            <w:tr w14:paraId="1F74A4D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470" w:type="pct"/>
                  <w:vMerge w:val="continue"/>
                  <w:noWrap w:val="0"/>
                  <w:vAlign w:val="center"/>
                </w:tcPr>
                <w:p w14:paraId="0FD9D50D">
                  <w:pPr>
                    <w:keepNext w:val="0"/>
                    <w:keepLines w:val="0"/>
                    <w:widowControl/>
                    <w:suppressLineNumbers w:val="0"/>
                    <w:spacing w:before="0" w:beforeAutospacing="0" w:after="0" w:afterAutospacing="0" w:line="280" w:lineRule="exact"/>
                    <w:ind w:left="0" w:right="0"/>
                    <w:jc w:val="center"/>
                    <w:textAlignment w:val="center"/>
                    <w:rPr>
                      <w:rFonts w:hint="eastAsia" w:ascii="Times New Roman" w:hAnsi="Times New Roman" w:eastAsia="宋体" w:cs="Times New Roman"/>
                      <w:b w:val="0"/>
                      <w:bCs w:val="0"/>
                      <w:sz w:val="21"/>
                      <w:szCs w:val="21"/>
                      <w:highlight w:val="none"/>
                      <w:lang w:val="en-US" w:eastAsia="zh-CN" w:bidi="ar"/>
                    </w:rPr>
                  </w:pPr>
                </w:p>
              </w:tc>
              <w:tc>
                <w:tcPr>
                  <w:tcW w:w="1095" w:type="pct"/>
                  <w:gridSpan w:val="2"/>
                  <w:noWrap w:val="0"/>
                  <w:vAlign w:val="center"/>
                </w:tcPr>
                <w:p w14:paraId="77401FF1">
                  <w:pPr>
                    <w:keepNext w:val="0"/>
                    <w:keepLines w:val="0"/>
                    <w:widowControl/>
                    <w:suppressLineNumbers w:val="0"/>
                    <w:spacing w:before="0" w:beforeAutospacing="0" w:after="0" w:afterAutospacing="0" w:line="280" w:lineRule="exact"/>
                    <w:ind w:left="0" w:right="0"/>
                    <w:jc w:val="center"/>
                    <w:textAlignment w:val="center"/>
                    <w:rPr>
                      <w:rFonts w:hint="eastAsia" w:cs="Times New Roman"/>
                      <w:b w:val="0"/>
                      <w:bCs w:val="0"/>
                      <w:sz w:val="21"/>
                      <w:szCs w:val="21"/>
                      <w:highlight w:val="none"/>
                      <w:lang w:val="en-US" w:eastAsia="zh-CN" w:bidi="ar"/>
                    </w:rPr>
                  </w:pPr>
                  <w:r>
                    <w:rPr>
                      <w:rFonts w:hint="eastAsia" w:cs="Times New Roman"/>
                      <w:b w:val="0"/>
                      <w:bCs w:val="0"/>
                      <w:sz w:val="21"/>
                      <w:szCs w:val="21"/>
                      <w:highlight w:val="none"/>
                      <w:lang w:val="en-US" w:eastAsia="zh-CN" w:bidi="ar"/>
                    </w:rPr>
                    <w:t>无组织</w:t>
                  </w:r>
                </w:p>
              </w:tc>
              <w:tc>
                <w:tcPr>
                  <w:tcW w:w="813" w:type="pct"/>
                  <w:vMerge w:val="continue"/>
                  <w:noWrap w:val="0"/>
                  <w:vAlign w:val="center"/>
                </w:tcPr>
                <w:p w14:paraId="337662AE">
                  <w:pPr>
                    <w:keepNext w:val="0"/>
                    <w:keepLines w:val="0"/>
                    <w:widowControl/>
                    <w:suppressLineNumbers w:val="0"/>
                    <w:spacing w:before="0" w:beforeAutospacing="0" w:after="0" w:afterAutospacing="0" w:line="280" w:lineRule="exact"/>
                    <w:ind w:left="0" w:right="0"/>
                    <w:jc w:val="center"/>
                    <w:textAlignment w:val="center"/>
                    <w:rPr>
                      <w:rFonts w:hint="eastAsia" w:ascii="Times New Roman" w:hAnsi="Times New Roman" w:eastAsia="宋体" w:cs="Times New Roman"/>
                      <w:b w:val="0"/>
                      <w:bCs w:val="0"/>
                      <w:sz w:val="21"/>
                      <w:szCs w:val="21"/>
                      <w:highlight w:val="none"/>
                      <w:lang w:val="en-US" w:eastAsia="zh-CN" w:bidi="ar"/>
                    </w:rPr>
                  </w:pPr>
                </w:p>
              </w:tc>
              <w:tc>
                <w:tcPr>
                  <w:tcW w:w="591" w:type="pct"/>
                  <w:shd w:val="clear" w:color="auto" w:fill="auto"/>
                  <w:noWrap w:val="0"/>
                  <w:vAlign w:val="center"/>
                </w:tcPr>
                <w:p w14:paraId="379BB593">
                  <w:pPr>
                    <w:keepNext w:val="0"/>
                    <w:keepLines w:val="0"/>
                    <w:widowControl/>
                    <w:suppressLineNumbers w:val="0"/>
                    <w:spacing w:before="0" w:beforeAutospacing="0" w:after="0" w:afterAutospacing="0" w:line="280" w:lineRule="exact"/>
                    <w:ind w:left="0" w:right="0"/>
                    <w:jc w:val="center"/>
                    <w:textAlignment w:val="center"/>
                    <w:rPr>
                      <w:rFonts w:hint="default" w:ascii="Times New Roman" w:hAnsi="Times New Roman" w:eastAsia="宋体" w:cs="Times New Roman"/>
                      <w:b w:val="0"/>
                      <w:bCs w:val="0"/>
                      <w:sz w:val="21"/>
                      <w:szCs w:val="21"/>
                      <w:highlight w:val="none"/>
                      <w:lang w:val="en-US" w:eastAsia="zh-CN" w:bidi="ar"/>
                    </w:rPr>
                  </w:pPr>
                  <w:r>
                    <w:rPr>
                      <w:rFonts w:hint="eastAsia" w:cs="Times New Roman"/>
                      <w:b w:val="0"/>
                      <w:bCs w:val="0"/>
                      <w:sz w:val="21"/>
                      <w:szCs w:val="21"/>
                      <w:highlight w:val="none"/>
                      <w:lang w:val="en-US" w:eastAsia="zh-CN" w:bidi="ar"/>
                    </w:rPr>
                    <w:t>0.014</w:t>
                  </w:r>
                </w:p>
              </w:tc>
              <w:tc>
                <w:tcPr>
                  <w:tcW w:w="774" w:type="pct"/>
                  <w:shd w:val="clear" w:color="auto" w:fill="auto"/>
                  <w:noWrap w:val="0"/>
                  <w:vAlign w:val="center"/>
                </w:tcPr>
                <w:p w14:paraId="55724615">
                  <w:pPr>
                    <w:keepNext w:val="0"/>
                    <w:keepLines w:val="0"/>
                    <w:widowControl/>
                    <w:suppressLineNumbers w:val="0"/>
                    <w:spacing w:before="0" w:beforeAutospacing="0" w:after="0" w:afterAutospacing="0" w:line="280" w:lineRule="exact"/>
                    <w:ind w:left="0" w:right="0"/>
                    <w:jc w:val="center"/>
                    <w:textAlignment w:val="center"/>
                    <w:rPr>
                      <w:rFonts w:hint="default" w:ascii="Times New Roman" w:hAnsi="Times New Roman" w:eastAsia="宋体" w:cs="Times New Roman"/>
                      <w:b w:val="0"/>
                      <w:bCs w:val="0"/>
                      <w:sz w:val="21"/>
                      <w:szCs w:val="21"/>
                      <w:highlight w:val="none"/>
                      <w:lang w:val="en-US" w:eastAsia="zh-CN" w:bidi="ar"/>
                    </w:rPr>
                  </w:pPr>
                  <w:r>
                    <w:rPr>
                      <w:rFonts w:hint="eastAsia" w:cs="Times New Roman"/>
                      <w:b w:val="0"/>
                      <w:bCs w:val="0"/>
                      <w:sz w:val="21"/>
                      <w:szCs w:val="21"/>
                      <w:highlight w:val="none"/>
                      <w:lang w:val="en-US" w:eastAsia="zh-CN" w:bidi="ar"/>
                    </w:rPr>
                    <w:t>0.007</w:t>
                  </w:r>
                </w:p>
              </w:tc>
              <w:tc>
                <w:tcPr>
                  <w:tcW w:w="536" w:type="pct"/>
                  <w:shd w:val="clear" w:color="auto" w:fill="auto"/>
                  <w:noWrap w:val="0"/>
                  <w:vAlign w:val="center"/>
                </w:tcPr>
                <w:p w14:paraId="33143363">
                  <w:pPr>
                    <w:keepNext w:val="0"/>
                    <w:keepLines w:val="0"/>
                    <w:widowControl/>
                    <w:suppressLineNumbers w:val="0"/>
                    <w:spacing w:before="0" w:beforeAutospacing="0" w:after="0" w:afterAutospacing="0" w:line="280" w:lineRule="exact"/>
                    <w:ind w:left="0" w:right="0"/>
                    <w:jc w:val="center"/>
                    <w:textAlignment w:val="center"/>
                    <w:rPr>
                      <w:rFonts w:hint="default" w:ascii="Times New Roman" w:hAnsi="Times New Roman" w:eastAsia="宋体" w:cs="Times New Roman"/>
                      <w:b w:val="0"/>
                      <w:bCs w:val="0"/>
                      <w:kern w:val="2"/>
                      <w:sz w:val="21"/>
                      <w:szCs w:val="21"/>
                      <w:highlight w:val="none"/>
                      <w:lang w:val="en-US" w:eastAsia="zh-CN" w:bidi="ar"/>
                    </w:rPr>
                  </w:pPr>
                  <w:r>
                    <w:rPr>
                      <w:rFonts w:hint="eastAsia" w:cs="Times New Roman"/>
                      <w:b w:val="0"/>
                      <w:bCs w:val="0"/>
                      <w:sz w:val="21"/>
                      <w:szCs w:val="21"/>
                      <w:highlight w:val="none"/>
                      <w:lang w:val="en-US" w:eastAsia="zh-CN" w:bidi="ar"/>
                    </w:rPr>
                    <w:t>0.014</w:t>
                  </w:r>
                </w:p>
              </w:tc>
              <w:tc>
                <w:tcPr>
                  <w:tcW w:w="719" w:type="pct"/>
                  <w:shd w:val="clear" w:color="auto" w:fill="auto"/>
                  <w:noWrap w:val="0"/>
                  <w:vAlign w:val="center"/>
                </w:tcPr>
                <w:p w14:paraId="305E5450">
                  <w:pPr>
                    <w:keepNext w:val="0"/>
                    <w:keepLines w:val="0"/>
                    <w:widowControl/>
                    <w:suppressLineNumbers w:val="0"/>
                    <w:spacing w:before="0" w:beforeAutospacing="0" w:after="0" w:afterAutospacing="0" w:line="280" w:lineRule="exact"/>
                    <w:ind w:left="0" w:right="0"/>
                    <w:jc w:val="center"/>
                    <w:textAlignment w:val="center"/>
                    <w:rPr>
                      <w:rFonts w:hint="default" w:ascii="Times New Roman" w:hAnsi="Times New Roman" w:eastAsia="宋体" w:cs="Times New Roman"/>
                      <w:b w:val="0"/>
                      <w:bCs w:val="0"/>
                      <w:kern w:val="2"/>
                      <w:sz w:val="21"/>
                      <w:szCs w:val="21"/>
                      <w:highlight w:val="none"/>
                      <w:lang w:val="en-US" w:eastAsia="zh-CN" w:bidi="ar"/>
                    </w:rPr>
                  </w:pPr>
                  <w:r>
                    <w:rPr>
                      <w:rFonts w:hint="eastAsia" w:cs="Times New Roman"/>
                      <w:b w:val="0"/>
                      <w:bCs w:val="0"/>
                      <w:sz w:val="21"/>
                      <w:szCs w:val="21"/>
                      <w:highlight w:val="none"/>
                      <w:lang w:val="en-US" w:eastAsia="zh-CN" w:bidi="ar"/>
                    </w:rPr>
                    <w:t>0.007</w:t>
                  </w:r>
                </w:p>
              </w:tc>
            </w:tr>
            <w:tr w14:paraId="1FD2DD5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470" w:type="pct"/>
                  <w:vMerge w:val="continue"/>
                  <w:noWrap w:val="0"/>
                  <w:vAlign w:val="center"/>
                </w:tcPr>
                <w:p w14:paraId="773B226C">
                  <w:pPr>
                    <w:keepNext w:val="0"/>
                    <w:keepLines w:val="0"/>
                    <w:widowControl/>
                    <w:suppressLineNumbers w:val="0"/>
                    <w:spacing w:before="0" w:beforeAutospacing="0" w:after="0" w:afterAutospacing="0" w:line="280" w:lineRule="exact"/>
                    <w:ind w:left="0" w:right="0"/>
                    <w:jc w:val="center"/>
                    <w:textAlignment w:val="center"/>
                    <w:rPr>
                      <w:rFonts w:hint="eastAsia" w:ascii="Times New Roman" w:hAnsi="Times New Roman" w:eastAsia="宋体" w:cs="Times New Roman"/>
                      <w:b w:val="0"/>
                      <w:bCs w:val="0"/>
                      <w:sz w:val="21"/>
                      <w:szCs w:val="21"/>
                      <w:highlight w:val="none"/>
                      <w:lang w:val="en-US" w:eastAsia="zh-CN" w:bidi="ar"/>
                    </w:rPr>
                  </w:pPr>
                </w:p>
              </w:tc>
              <w:tc>
                <w:tcPr>
                  <w:tcW w:w="527" w:type="pct"/>
                  <w:noWrap w:val="0"/>
                  <w:vAlign w:val="center"/>
                </w:tcPr>
                <w:p w14:paraId="17D4D8DB">
                  <w:pPr>
                    <w:keepNext w:val="0"/>
                    <w:keepLines w:val="0"/>
                    <w:widowControl/>
                    <w:suppressLineNumbers w:val="0"/>
                    <w:spacing w:before="0" w:beforeAutospacing="0" w:after="0" w:afterAutospacing="0" w:line="280" w:lineRule="exact"/>
                    <w:ind w:left="0" w:right="0"/>
                    <w:jc w:val="center"/>
                    <w:textAlignment w:val="center"/>
                    <w:rPr>
                      <w:rFonts w:hint="default" w:ascii="Times New Roman" w:hAnsi="Times New Roman" w:eastAsia="宋体" w:cs="Times New Roman"/>
                      <w:b w:val="0"/>
                      <w:bCs w:val="0"/>
                      <w:sz w:val="21"/>
                      <w:szCs w:val="21"/>
                      <w:highlight w:val="none"/>
                      <w:lang w:val="en-US" w:eastAsia="zh-CN" w:bidi="ar"/>
                    </w:rPr>
                  </w:pPr>
                  <w:r>
                    <w:rPr>
                      <w:rFonts w:hint="eastAsia" w:ascii="Times New Roman" w:hAnsi="Times New Roman" w:eastAsia="宋体" w:cs="Times New Roman"/>
                      <w:b w:val="0"/>
                      <w:bCs w:val="0"/>
                      <w:sz w:val="21"/>
                      <w:szCs w:val="21"/>
                      <w:highlight w:val="none"/>
                      <w:lang w:val="en-US" w:eastAsia="zh-CN" w:bidi="ar"/>
                    </w:rPr>
                    <w:t>DA014</w:t>
                  </w:r>
                </w:p>
              </w:tc>
              <w:tc>
                <w:tcPr>
                  <w:tcW w:w="567" w:type="pct"/>
                  <w:shd w:val="clear" w:color="auto" w:fill="auto"/>
                  <w:noWrap w:val="0"/>
                  <w:vAlign w:val="center"/>
                </w:tcPr>
                <w:p w14:paraId="37E350ED">
                  <w:pPr>
                    <w:keepNext w:val="0"/>
                    <w:keepLines w:val="0"/>
                    <w:widowControl/>
                    <w:suppressLineNumbers w:val="0"/>
                    <w:spacing w:before="0" w:beforeAutospacing="0" w:after="0" w:afterAutospacing="0" w:line="280" w:lineRule="exact"/>
                    <w:ind w:left="0" w:right="0"/>
                    <w:jc w:val="center"/>
                    <w:textAlignment w:val="center"/>
                    <w:rPr>
                      <w:rFonts w:hint="eastAsia" w:cs="Times New Roman"/>
                      <w:b w:val="0"/>
                      <w:bCs w:val="0"/>
                      <w:sz w:val="21"/>
                      <w:szCs w:val="21"/>
                      <w:highlight w:val="none"/>
                      <w:lang w:val="en-US" w:eastAsia="zh-CN" w:bidi="ar"/>
                    </w:rPr>
                  </w:pPr>
                  <w:r>
                    <w:rPr>
                      <w:rFonts w:hint="eastAsia" w:cs="Times New Roman"/>
                      <w:b w:val="0"/>
                      <w:bCs w:val="0"/>
                      <w:sz w:val="21"/>
                      <w:szCs w:val="21"/>
                      <w:highlight w:val="none"/>
                      <w:lang w:val="en-US" w:eastAsia="zh-CN" w:bidi="ar"/>
                    </w:rPr>
                    <w:t>有组织</w:t>
                  </w:r>
                </w:p>
              </w:tc>
              <w:tc>
                <w:tcPr>
                  <w:tcW w:w="813" w:type="pct"/>
                  <w:vMerge w:val="restart"/>
                  <w:noWrap w:val="0"/>
                  <w:vAlign w:val="center"/>
                </w:tcPr>
                <w:p w14:paraId="2023EFDC">
                  <w:pPr>
                    <w:keepNext w:val="0"/>
                    <w:keepLines w:val="0"/>
                    <w:widowControl/>
                    <w:suppressLineNumbers w:val="0"/>
                    <w:spacing w:before="0" w:beforeAutospacing="0" w:after="0" w:afterAutospacing="0" w:line="280" w:lineRule="exact"/>
                    <w:ind w:left="0" w:right="0"/>
                    <w:jc w:val="center"/>
                    <w:textAlignment w:val="center"/>
                    <w:rPr>
                      <w:rFonts w:hint="eastAsia" w:ascii="Times New Roman" w:hAnsi="Times New Roman" w:eastAsia="宋体" w:cs="Times New Roman"/>
                      <w:b w:val="0"/>
                      <w:bCs w:val="0"/>
                      <w:sz w:val="21"/>
                      <w:szCs w:val="21"/>
                      <w:highlight w:val="none"/>
                      <w:lang w:val="en-US" w:eastAsia="zh-CN" w:bidi="ar"/>
                    </w:rPr>
                  </w:pPr>
                  <w:r>
                    <w:rPr>
                      <w:rFonts w:hint="eastAsia" w:cs="Times New Roman"/>
                      <w:b w:val="0"/>
                      <w:bCs w:val="0"/>
                      <w:sz w:val="21"/>
                      <w:szCs w:val="21"/>
                      <w:highlight w:val="none"/>
                      <w:lang w:val="en-US" w:eastAsia="zh-CN" w:bidi="ar"/>
                    </w:rPr>
                    <w:t>非甲烷总烃</w:t>
                  </w:r>
                </w:p>
              </w:tc>
              <w:tc>
                <w:tcPr>
                  <w:tcW w:w="591" w:type="pct"/>
                  <w:shd w:val="clear" w:color="auto" w:fill="auto"/>
                  <w:noWrap w:val="0"/>
                  <w:vAlign w:val="center"/>
                </w:tcPr>
                <w:p w14:paraId="715F3294">
                  <w:pPr>
                    <w:keepNext w:val="0"/>
                    <w:keepLines w:val="0"/>
                    <w:widowControl/>
                    <w:suppressLineNumbers w:val="0"/>
                    <w:spacing w:before="0" w:beforeAutospacing="0" w:after="0" w:afterAutospacing="0" w:line="280" w:lineRule="exact"/>
                    <w:ind w:left="0" w:right="0"/>
                    <w:jc w:val="center"/>
                    <w:textAlignment w:val="center"/>
                    <w:rPr>
                      <w:rFonts w:hint="default" w:ascii="Times New Roman" w:hAnsi="Times New Roman" w:eastAsia="宋体" w:cs="Times New Roman"/>
                      <w:b w:val="0"/>
                      <w:bCs w:val="0"/>
                      <w:sz w:val="21"/>
                      <w:szCs w:val="21"/>
                      <w:highlight w:val="none"/>
                      <w:lang w:val="en-US" w:eastAsia="zh-CN" w:bidi="ar"/>
                    </w:rPr>
                  </w:pPr>
                  <w:r>
                    <w:rPr>
                      <w:rFonts w:hint="eastAsia" w:cs="Times New Roman"/>
                      <w:b w:val="0"/>
                      <w:bCs w:val="0"/>
                      <w:sz w:val="21"/>
                      <w:szCs w:val="21"/>
                      <w:highlight w:val="none"/>
                      <w:lang w:val="en-US" w:eastAsia="zh-CN" w:bidi="ar"/>
                    </w:rPr>
                    <w:t>0.109</w:t>
                  </w:r>
                </w:p>
              </w:tc>
              <w:tc>
                <w:tcPr>
                  <w:tcW w:w="774" w:type="pct"/>
                  <w:shd w:val="clear" w:color="auto" w:fill="auto"/>
                  <w:noWrap w:val="0"/>
                  <w:vAlign w:val="center"/>
                </w:tcPr>
                <w:p w14:paraId="0767F0F5">
                  <w:pPr>
                    <w:keepNext w:val="0"/>
                    <w:keepLines w:val="0"/>
                    <w:widowControl/>
                    <w:suppressLineNumbers w:val="0"/>
                    <w:spacing w:before="0" w:beforeAutospacing="0" w:after="0" w:afterAutospacing="0" w:line="280" w:lineRule="exact"/>
                    <w:ind w:left="0" w:right="0"/>
                    <w:jc w:val="center"/>
                    <w:textAlignment w:val="center"/>
                    <w:rPr>
                      <w:rFonts w:hint="default" w:ascii="Times New Roman" w:hAnsi="Times New Roman" w:eastAsia="宋体" w:cs="Times New Roman"/>
                      <w:b w:val="0"/>
                      <w:bCs w:val="0"/>
                      <w:sz w:val="21"/>
                      <w:szCs w:val="21"/>
                      <w:highlight w:val="none"/>
                      <w:lang w:val="en-US" w:eastAsia="zh-CN" w:bidi="ar"/>
                    </w:rPr>
                  </w:pPr>
                  <w:r>
                    <w:rPr>
                      <w:rFonts w:hint="eastAsia" w:cs="Times New Roman"/>
                      <w:b w:val="0"/>
                      <w:bCs w:val="0"/>
                      <w:sz w:val="21"/>
                      <w:szCs w:val="21"/>
                      <w:highlight w:val="none"/>
                      <w:lang w:val="en-US" w:eastAsia="zh-CN" w:bidi="ar"/>
                    </w:rPr>
                    <w:t>0.052</w:t>
                  </w:r>
                </w:p>
              </w:tc>
              <w:tc>
                <w:tcPr>
                  <w:tcW w:w="536" w:type="pct"/>
                  <w:shd w:val="clear" w:color="auto" w:fill="auto"/>
                  <w:noWrap w:val="0"/>
                  <w:vAlign w:val="center"/>
                </w:tcPr>
                <w:p w14:paraId="38A00EE8">
                  <w:pPr>
                    <w:keepNext w:val="0"/>
                    <w:keepLines w:val="0"/>
                    <w:widowControl/>
                    <w:suppressLineNumbers w:val="0"/>
                    <w:spacing w:before="0" w:beforeAutospacing="0" w:after="0" w:afterAutospacing="0" w:line="280" w:lineRule="exact"/>
                    <w:ind w:left="0" w:right="0"/>
                    <w:jc w:val="center"/>
                    <w:textAlignment w:val="center"/>
                    <w:rPr>
                      <w:rFonts w:hint="default" w:ascii="Times New Roman" w:hAnsi="Times New Roman" w:eastAsia="宋体" w:cs="Times New Roman"/>
                      <w:b w:val="0"/>
                      <w:bCs w:val="0"/>
                      <w:kern w:val="2"/>
                      <w:sz w:val="21"/>
                      <w:szCs w:val="21"/>
                      <w:highlight w:val="none"/>
                      <w:lang w:val="en-US" w:eastAsia="zh-CN" w:bidi="ar"/>
                    </w:rPr>
                  </w:pPr>
                  <w:r>
                    <w:rPr>
                      <w:rFonts w:hint="eastAsia" w:cs="Times New Roman"/>
                      <w:b w:val="0"/>
                      <w:bCs w:val="0"/>
                      <w:sz w:val="21"/>
                      <w:szCs w:val="21"/>
                      <w:highlight w:val="none"/>
                      <w:lang w:val="en-US" w:eastAsia="zh-CN" w:bidi="ar"/>
                    </w:rPr>
                    <w:t>0.109</w:t>
                  </w:r>
                </w:p>
              </w:tc>
              <w:tc>
                <w:tcPr>
                  <w:tcW w:w="719" w:type="pct"/>
                  <w:shd w:val="clear" w:color="auto" w:fill="auto"/>
                  <w:noWrap w:val="0"/>
                  <w:vAlign w:val="center"/>
                </w:tcPr>
                <w:p w14:paraId="2C903C2B">
                  <w:pPr>
                    <w:keepNext w:val="0"/>
                    <w:keepLines w:val="0"/>
                    <w:widowControl/>
                    <w:suppressLineNumbers w:val="0"/>
                    <w:spacing w:before="0" w:beforeAutospacing="0" w:after="0" w:afterAutospacing="0" w:line="280" w:lineRule="exact"/>
                    <w:ind w:left="0" w:right="0"/>
                    <w:jc w:val="center"/>
                    <w:textAlignment w:val="center"/>
                    <w:rPr>
                      <w:rFonts w:hint="default" w:ascii="Times New Roman" w:hAnsi="Times New Roman" w:eastAsia="宋体" w:cs="Times New Roman"/>
                      <w:b w:val="0"/>
                      <w:bCs w:val="0"/>
                      <w:kern w:val="2"/>
                      <w:sz w:val="21"/>
                      <w:szCs w:val="21"/>
                      <w:highlight w:val="none"/>
                      <w:lang w:val="en-US" w:eastAsia="zh-CN" w:bidi="ar"/>
                    </w:rPr>
                  </w:pPr>
                  <w:r>
                    <w:rPr>
                      <w:rFonts w:hint="eastAsia" w:cs="Times New Roman"/>
                      <w:b w:val="0"/>
                      <w:bCs w:val="0"/>
                      <w:sz w:val="21"/>
                      <w:szCs w:val="21"/>
                      <w:highlight w:val="none"/>
                      <w:lang w:val="en-US" w:eastAsia="zh-CN" w:bidi="ar"/>
                    </w:rPr>
                    <w:t>0.052</w:t>
                  </w:r>
                </w:p>
              </w:tc>
            </w:tr>
            <w:tr w14:paraId="52ABBCB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470" w:type="pct"/>
                  <w:vMerge w:val="continue"/>
                  <w:noWrap w:val="0"/>
                  <w:vAlign w:val="center"/>
                </w:tcPr>
                <w:p w14:paraId="6B7F1393">
                  <w:pPr>
                    <w:keepNext w:val="0"/>
                    <w:keepLines w:val="0"/>
                    <w:widowControl/>
                    <w:suppressLineNumbers w:val="0"/>
                    <w:spacing w:before="0" w:beforeAutospacing="0" w:after="0" w:afterAutospacing="0" w:line="280" w:lineRule="exact"/>
                    <w:ind w:left="0" w:right="0"/>
                    <w:jc w:val="center"/>
                    <w:textAlignment w:val="center"/>
                    <w:rPr>
                      <w:rFonts w:hint="eastAsia" w:ascii="Times New Roman" w:hAnsi="Times New Roman" w:eastAsia="宋体" w:cs="Times New Roman"/>
                      <w:b w:val="0"/>
                      <w:bCs w:val="0"/>
                      <w:sz w:val="21"/>
                      <w:szCs w:val="21"/>
                      <w:highlight w:val="none"/>
                      <w:lang w:val="en-US" w:eastAsia="zh-CN" w:bidi="ar"/>
                    </w:rPr>
                  </w:pPr>
                </w:p>
              </w:tc>
              <w:tc>
                <w:tcPr>
                  <w:tcW w:w="1095" w:type="pct"/>
                  <w:gridSpan w:val="2"/>
                  <w:noWrap w:val="0"/>
                  <w:vAlign w:val="center"/>
                </w:tcPr>
                <w:p w14:paraId="634790C2">
                  <w:pPr>
                    <w:keepNext w:val="0"/>
                    <w:keepLines w:val="0"/>
                    <w:widowControl/>
                    <w:suppressLineNumbers w:val="0"/>
                    <w:spacing w:before="0" w:beforeAutospacing="0" w:after="0" w:afterAutospacing="0" w:line="280" w:lineRule="exact"/>
                    <w:ind w:left="0" w:right="0"/>
                    <w:jc w:val="center"/>
                    <w:textAlignment w:val="center"/>
                    <w:rPr>
                      <w:rFonts w:hint="eastAsia" w:cs="Times New Roman"/>
                      <w:b w:val="0"/>
                      <w:bCs w:val="0"/>
                      <w:sz w:val="21"/>
                      <w:szCs w:val="21"/>
                      <w:highlight w:val="none"/>
                      <w:lang w:val="en-US" w:eastAsia="zh-CN" w:bidi="ar"/>
                    </w:rPr>
                  </w:pPr>
                  <w:r>
                    <w:rPr>
                      <w:rFonts w:hint="eastAsia" w:cs="Times New Roman"/>
                      <w:b w:val="0"/>
                      <w:bCs w:val="0"/>
                      <w:sz w:val="21"/>
                      <w:szCs w:val="21"/>
                      <w:highlight w:val="none"/>
                      <w:lang w:val="en-US" w:eastAsia="zh-CN" w:bidi="ar"/>
                    </w:rPr>
                    <w:t>无组织</w:t>
                  </w:r>
                </w:p>
              </w:tc>
              <w:tc>
                <w:tcPr>
                  <w:tcW w:w="813" w:type="pct"/>
                  <w:vMerge w:val="continue"/>
                  <w:noWrap w:val="0"/>
                  <w:vAlign w:val="center"/>
                </w:tcPr>
                <w:p w14:paraId="0B423914">
                  <w:pPr>
                    <w:keepNext w:val="0"/>
                    <w:keepLines w:val="0"/>
                    <w:widowControl/>
                    <w:suppressLineNumbers w:val="0"/>
                    <w:spacing w:before="0" w:beforeAutospacing="0" w:after="0" w:afterAutospacing="0" w:line="280" w:lineRule="exact"/>
                    <w:ind w:left="0" w:right="0"/>
                    <w:jc w:val="center"/>
                    <w:textAlignment w:val="center"/>
                    <w:rPr>
                      <w:rFonts w:hint="eastAsia" w:ascii="Times New Roman" w:hAnsi="Times New Roman" w:eastAsia="宋体" w:cs="Times New Roman"/>
                      <w:b w:val="0"/>
                      <w:bCs w:val="0"/>
                      <w:sz w:val="21"/>
                      <w:szCs w:val="21"/>
                      <w:highlight w:val="none"/>
                      <w:lang w:val="en-US" w:eastAsia="zh-CN" w:bidi="ar"/>
                    </w:rPr>
                  </w:pPr>
                </w:p>
              </w:tc>
              <w:tc>
                <w:tcPr>
                  <w:tcW w:w="591" w:type="pct"/>
                  <w:shd w:val="clear" w:color="auto" w:fill="auto"/>
                  <w:noWrap w:val="0"/>
                  <w:vAlign w:val="center"/>
                </w:tcPr>
                <w:p w14:paraId="31962372">
                  <w:pPr>
                    <w:keepNext w:val="0"/>
                    <w:keepLines w:val="0"/>
                    <w:widowControl/>
                    <w:suppressLineNumbers w:val="0"/>
                    <w:spacing w:before="0" w:beforeAutospacing="0" w:after="0" w:afterAutospacing="0" w:line="280" w:lineRule="exact"/>
                    <w:ind w:left="0" w:right="0"/>
                    <w:jc w:val="center"/>
                    <w:textAlignment w:val="center"/>
                    <w:rPr>
                      <w:rFonts w:hint="default" w:ascii="Times New Roman" w:hAnsi="Times New Roman" w:eastAsia="宋体" w:cs="Times New Roman"/>
                      <w:b w:val="0"/>
                      <w:bCs w:val="0"/>
                      <w:sz w:val="21"/>
                      <w:szCs w:val="21"/>
                      <w:highlight w:val="none"/>
                      <w:lang w:val="en-US" w:eastAsia="zh-CN" w:bidi="ar"/>
                    </w:rPr>
                  </w:pPr>
                  <w:r>
                    <w:rPr>
                      <w:rFonts w:hint="eastAsia" w:cs="Times New Roman"/>
                      <w:b w:val="0"/>
                      <w:bCs w:val="0"/>
                      <w:sz w:val="21"/>
                      <w:szCs w:val="21"/>
                      <w:highlight w:val="none"/>
                      <w:lang w:val="en-US" w:eastAsia="zh-CN" w:bidi="ar"/>
                    </w:rPr>
                    <w:t>0.012</w:t>
                  </w:r>
                </w:p>
              </w:tc>
              <w:tc>
                <w:tcPr>
                  <w:tcW w:w="774" w:type="pct"/>
                  <w:shd w:val="clear" w:color="auto" w:fill="auto"/>
                  <w:noWrap w:val="0"/>
                  <w:vAlign w:val="center"/>
                </w:tcPr>
                <w:p w14:paraId="4645BD55">
                  <w:pPr>
                    <w:keepNext w:val="0"/>
                    <w:keepLines w:val="0"/>
                    <w:widowControl/>
                    <w:suppressLineNumbers w:val="0"/>
                    <w:spacing w:before="0" w:beforeAutospacing="0" w:after="0" w:afterAutospacing="0" w:line="280" w:lineRule="exact"/>
                    <w:ind w:left="0" w:right="0"/>
                    <w:jc w:val="center"/>
                    <w:textAlignment w:val="center"/>
                    <w:rPr>
                      <w:rFonts w:hint="default" w:ascii="Times New Roman" w:hAnsi="Times New Roman" w:eastAsia="宋体" w:cs="Times New Roman"/>
                      <w:b w:val="0"/>
                      <w:bCs w:val="0"/>
                      <w:sz w:val="21"/>
                      <w:szCs w:val="21"/>
                      <w:highlight w:val="none"/>
                      <w:lang w:val="en-US" w:eastAsia="zh-CN" w:bidi="ar"/>
                    </w:rPr>
                  </w:pPr>
                  <w:r>
                    <w:rPr>
                      <w:rFonts w:hint="eastAsia" w:cs="Times New Roman"/>
                      <w:b w:val="0"/>
                      <w:bCs w:val="0"/>
                      <w:sz w:val="21"/>
                      <w:szCs w:val="21"/>
                      <w:highlight w:val="none"/>
                      <w:lang w:val="en-US" w:eastAsia="zh-CN" w:bidi="ar"/>
                    </w:rPr>
                    <w:t>0.006</w:t>
                  </w:r>
                </w:p>
              </w:tc>
              <w:tc>
                <w:tcPr>
                  <w:tcW w:w="536" w:type="pct"/>
                  <w:shd w:val="clear" w:color="auto" w:fill="auto"/>
                  <w:noWrap w:val="0"/>
                  <w:vAlign w:val="center"/>
                </w:tcPr>
                <w:p w14:paraId="2B2D098F">
                  <w:pPr>
                    <w:keepNext w:val="0"/>
                    <w:keepLines w:val="0"/>
                    <w:widowControl/>
                    <w:suppressLineNumbers w:val="0"/>
                    <w:spacing w:before="0" w:beforeAutospacing="0" w:after="0" w:afterAutospacing="0" w:line="280" w:lineRule="exact"/>
                    <w:ind w:left="0" w:right="0"/>
                    <w:jc w:val="center"/>
                    <w:textAlignment w:val="center"/>
                    <w:rPr>
                      <w:rFonts w:hint="default" w:ascii="Times New Roman" w:hAnsi="Times New Roman" w:eastAsia="宋体" w:cs="Times New Roman"/>
                      <w:b w:val="0"/>
                      <w:bCs w:val="0"/>
                      <w:kern w:val="2"/>
                      <w:sz w:val="21"/>
                      <w:szCs w:val="21"/>
                      <w:highlight w:val="none"/>
                      <w:lang w:val="en-US" w:eastAsia="zh-CN" w:bidi="ar"/>
                    </w:rPr>
                  </w:pPr>
                  <w:r>
                    <w:rPr>
                      <w:rFonts w:hint="eastAsia" w:cs="Times New Roman"/>
                      <w:b w:val="0"/>
                      <w:bCs w:val="0"/>
                      <w:sz w:val="21"/>
                      <w:szCs w:val="21"/>
                      <w:highlight w:val="none"/>
                      <w:lang w:val="en-US" w:eastAsia="zh-CN" w:bidi="ar"/>
                    </w:rPr>
                    <w:t>0.012</w:t>
                  </w:r>
                </w:p>
              </w:tc>
              <w:tc>
                <w:tcPr>
                  <w:tcW w:w="719" w:type="pct"/>
                  <w:shd w:val="clear" w:color="auto" w:fill="auto"/>
                  <w:noWrap w:val="0"/>
                  <w:vAlign w:val="center"/>
                </w:tcPr>
                <w:p w14:paraId="7F64E08D">
                  <w:pPr>
                    <w:keepNext w:val="0"/>
                    <w:keepLines w:val="0"/>
                    <w:widowControl/>
                    <w:suppressLineNumbers w:val="0"/>
                    <w:spacing w:before="0" w:beforeAutospacing="0" w:after="0" w:afterAutospacing="0" w:line="280" w:lineRule="exact"/>
                    <w:ind w:left="0" w:right="0"/>
                    <w:jc w:val="center"/>
                    <w:textAlignment w:val="center"/>
                    <w:rPr>
                      <w:rFonts w:hint="default" w:ascii="Times New Roman" w:hAnsi="Times New Roman" w:eastAsia="宋体" w:cs="Times New Roman"/>
                      <w:b w:val="0"/>
                      <w:bCs w:val="0"/>
                      <w:kern w:val="2"/>
                      <w:sz w:val="21"/>
                      <w:szCs w:val="21"/>
                      <w:highlight w:val="none"/>
                      <w:lang w:val="en-US" w:eastAsia="zh-CN" w:bidi="ar"/>
                    </w:rPr>
                  </w:pPr>
                  <w:r>
                    <w:rPr>
                      <w:rFonts w:hint="eastAsia" w:cs="Times New Roman"/>
                      <w:b w:val="0"/>
                      <w:bCs w:val="0"/>
                      <w:sz w:val="21"/>
                      <w:szCs w:val="21"/>
                      <w:highlight w:val="none"/>
                      <w:lang w:val="en-US" w:eastAsia="zh-CN" w:bidi="ar"/>
                    </w:rPr>
                    <w:t>0.006</w:t>
                  </w:r>
                </w:p>
              </w:tc>
            </w:tr>
            <w:tr w14:paraId="14D371B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470" w:type="pct"/>
                  <w:vMerge w:val="continue"/>
                  <w:noWrap w:val="0"/>
                  <w:vAlign w:val="center"/>
                </w:tcPr>
                <w:p w14:paraId="7302B6CD">
                  <w:pPr>
                    <w:keepNext w:val="0"/>
                    <w:keepLines w:val="0"/>
                    <w:widowControl/>
                    <w:suppressLineNumbers w:val="0"/>
                    <w:spacing w:before="0" w:beforeAutospacing="0" w:after="0" w:afterAutospacing="0" w:line="280" w:lineRule="exact"/>
                    <w:ind w:left="0" w:right="0"/>
                    <w:jc w:val="center"/>
                    <w:textAlignment w:val="center"/>
                    <w:rPr>
                      <w:rFonts w:hint="eastAsia" w:ascii="Times New Roman" w:hAnsi="Times New Roman" w:eastAsia="宋体" w:cs="Times New Roman"/>
                      <w:b w:val="0"/>
                      <w:bCs w:val="0"/>
                      <w:sz w:val="21"/>
                      <w:szCs w:val="21"/>
                      <w:highlight w:val="none"/>
                      <w:lang w:val="en-US" w:eastAsia="zh-CN" w:bidi="ar"/>
                    </w:rPr>
                  </w:pPr>
                </w:p>
              </w:tc>
              <w:tc>
                <w:tcPr>
                  <w:tcW w:w="527" w:type="pct"/>
                  <w:noWrap w:val="0"/>
                  <w:vAlign w:val="center"/>
                </w:tcPr>
                <w:p w14:paraId="72B14611">
                  <w:pPr>
                    <w:keepNext w:val="0"/>
                    <w:keepLines w:val="0"/>
                    <w:widowControl/>
                    <w:suppressLineNumbers w:val="0"/>
                    <w:spacing w:before="0" w:beforeAutospacing="0" w:after="0" w:afterAutospacing="0" w:line="280" w:lineRule="exact"/>
                    <w:ind w:left="0" w:right="0"/>
                    <w:jc w:val="center"/>
                    <w:textAlignment w:val="center"/>
                    <w:rPr>
                      <w:rFonts w:hint="default" w:ascii="Times New Roman" w:hAnsi="Times New Roman" w:eastAsia="宋体" w:cs="Times New Roman"/>
                      <w:b w:val="0"/>
                      <w:bCs w:val="0"/>
                      <w:sz w:val="21"/>
                      <w:szCs w:val="21"/>
                      <w:highlight w:val="none"/>
                      <w:lang w:val="en-US" w:eastAsia="zh-CN" w:bidi="ar"/>
                    </w:rPr>
                  </w:pPr>
                  <w:r>
                    <w:rPr>
                      <w:rFonts w:hint="eastAsia" w:ascii="Times New Roman" w:hAnsi="Times New Roman" w:eastAsia="宋体" w:cs="Times New Roman"/>
                      <w:b w:val="0"/>
                      <w:bCs w:val="0"/>
                      <w:sz w:val="21"/>
                      <w:szCs w:val="21"/>
                      <w:highlight w:val="none"/>
                      <w:lang w:val="en-US" w:eastAsia="zh-CN" w:bidi="ar"/>
                    </w:rPr>
                    <w:t>DA015</w:t>
                  </w:r>
                </w:p>
              </w:tc>
              <w:tc>
                <w:tcPr>
                  <w:tcW w:w="567" w:type="pct"/>
                  <w:shd w:val="clear" w:color="auto" w:fill="auto"/>
                  <w:noWrap w:val="0"/>
                  <w:vAlign w:val="center"/>
                </w:tcPr>
                <w:p w14:paraId="0BB9C682">
                  <w:pPr>
                    <w:keepNext w:val="0"/>
                    <w:keepLines w:val="0"/>
                    <w:widowControl/>
                    <w:suppressLineNumbers w:val="0"/>
                    <w:spacing w:before="0" w:beforeAutospacing="0" w:after="0" w:afterAutospacing="0" w:line="280" w:lineRule="exact"/>
                    <w:ind w:left="0" w:right="0"/>
                    <w:jc w:val="center"/>
                    <w:textAlignment w:val="center"/>
                    <w:rPr>
                      <w:rFonts w:hint="eastAsia" w:cs="Times New Roman"/>
                      <w:b w:val="0"/>
                      <w:bCs w:val="0"/>
                      <w:sz w:val="21"/>
                      <w:szCs w:val="21"/>
                      <w:highlight w:val="none"/>
                      <w:lang w:val="en-US" w:eastAsia="zh-CN" w:bidi="ar"/>
                    </w:rPr>
                  </w:pPr>
                  <w:r>
                    <w:rPr>
                      <w:rFonts w:hint="eastAsia" w:cs="Times New Roman"/>
                      <w:b w:val="0"/>
                      <w:bCs w:val="0"/>
                      <w:sz w:val="21"/>
                      <w:szCs w:val="21"/>
                      <w:highlight w:val="none"/>
                      <w:lang w:val="en-US" w:eastAsia="zh-CN" w:bidi="ar"/>
                    </w:rPr>
                    <w:t>有组织</w:t>
                  </w:r>
                </w:p>
              </w:tc>
              <w:tc>
                <w:tcPr>
                  <w:tcW w:w="813" w:type="pct"/>
                  <w:vMerge w:val="restart"/>
                  <w:noWrap w:val="0"/>
                  <w:vAlign w:val="center"/>
                </w:tcPr>
                <w:p w14:paraId="12140B29">
                  <w:pPr>
                    <w:keepNext w:val="0"/>
                    <w:keepLines w:val="0"/>
                    <w:widowControl/>
                    <w:suppressLineNumbers w:val="0"/>
                    <w:spacing w:before="0" w:beforeAutospacing="0" w:after="0" w:afterAutospacing="0" w:line="280" w:lineRule="exact"/>
                    <w:ind w:left="0" w:right="0"/>
                    <w:jc w:val="center"/>
                    <w:textAlignment w:val="center"/>
                    <w:rPr>
                      <w:rFonts w:hint="eastAsia" w:ascii="Times New Roman" w:hAnsi="Times New Roman" w:eastAsia="宋体" w:cs="Times New Roman"/>
                      <w:b w:val="0"/>
                      <w:bCs w:val="0"/>
                      <w:sz w:val="21"/>
                      <w:szCs w:val="21"/>
                      <w:highlight w:val="none"/>
                      <w:lang w:val="en-US" w:eastAsia="zh-CN" w:bidi="ar"/>
                    </w:rPr>
                  </w:pPr>
                  <w:r>
                    <w:rPr>
                      <w:rFonts w:hint="eastAsia" w:cs="Times New Roman"/>
                      <w:b w:val="0"/>
                      <w:bCs w:val="0"/>
                      <w:sz w:val="21"/>
                      <w:szCs w:val="21"/>
                      <w:highlight w:val="none"/>
                      <w:lang w:val="en-US" w:eastAsia="zh-CN" w:bidi="ar"/>
                    </w:rPr>
                    <w:t>非甲烷总烃</w:t>
                  </w:r>
                </w:p>
              </w:tc>
              <w:tc>
                <w:tcPr>
                  <w:tcW w:w="591" w:type="pct"/>
                  <w:noWrap w:val="0"/>
                  <w:vAlign w:val="center"/>
                </w:tcPr>
                <w:p w14:paraId="5E39514D">
                  <w:pPr>
                    <w:keepNext w:val="0"/>
                    <w:keepLines w:val="0"/>
                    <w:widowControl/>
                    <w:suppressLineNumbers w:val="0"/>
                    <w:spacing w:before="0" w:beforeAutospacing="0" w:after="0" w:afterAutospacing="0" w:line="280" w:lineRule="exact"/>
                    <w:ind w:left="0" w:right="0"/>
                    <w:jc w:val="center"/>
                    <w:textAlignment w:val="center"/>
                    <w:rPr>
                      <w:rFonts w:hint="default" w:ascii="Times New Roman" w:hAnsi="Times New Roman" w:eastAsia="宋体" w:cs="Times New Roman"/>
                      <w:b w:val="0"/>
                      <w:bCs w:val="0"/>
                      <w:sz w:val="21"/>
                      <w:szCs w:val="21"/>
                      <w:highlight w:val="none"/>
                      <w:lang w:val="en-US" w:eastAsia="zh-CN" w:bidi="ar"/>
                    </w:rPr>
                  </w:pPr>
                  <w:r>
                    <w:rPr>
                      <w:rFonts w:hint="eastAsia" w:cs="Times New Roman"/>
                      <w:b w:val="0"/>
                      <w:bCs w:val="0"/>
                      <w:sz w:val="21"/>
                      <w:szCs w:val="21"/>
                      <w:highlight w:val="none"/>
                      <w:lang w:val="en-US" w:eastAsia="zh-CN" w:bidi="ar"/>
                    </w:rPr>
                    <w:t>0.130</w:t>
                  </w:r>
                </w:p>
              </w:tc>
              <w:tc>
                <w:tcPr>
                  <w:tcW w:w="774" w:type="pct"/>
                  <w:noWrap w:val="0"/>
                  <w:vAlign w:val="center"/>
                </w:tcPr>
                <w:p w14:paraId="028FFD25">
                  <w:pPr>
                    <w:keepNext w:val="0"/>
                    <w:keepLines w:val="0"/>
                    <w:widowControl/>
                    <w:suppressLineNumbers w:val="0"/>
                    <w:spacing w:before="0" w:beforeAutospacing="0" w:after="0" w:afterAutospacing="0" w:line="280" w:lineRule="exact"/>
                    <w:ind w:left="0" w:right="0"/>
                    <w:jc w:val="center"/>
                    <w:textAlignment w:val="center"/>
                    <w:rPr>
                      <w:rFonts w:hint="default" w:ascii="Times New Roman" w:hAnsi="Times New Roman" w:eastAsia="宋体" w:cs="Times New Roman"/>
                      <w:b w:val="0"/>
                      <w:bCs w:val="0"/>
                      <w:sz w:val="21"/>
                      <w:szCs w:val="21"/>
                      <w:highlight w:val="none"/>
                      <w:lang w:val="en-US" w:eastAsia="zh-CN" w:bidi="ar"/>
                    </w:rPr>
                  </w:pPr>
                  <w:r>
                    <w:rPr>
                      <w:rFonts w:hint="eastAsia" w:cs="Times New Roman"/>
                      <w:b w:val="0"/>
                      <w:bCs w:val="0"/>
                      <w:sz w:val="21"/>
                      <w:szCs w:val="21"/>
                      <w:highlight w:val="none"/>
                      <w:lang w:val="en-US" w:eastAsia="zh-CN" w:bidi="ar"/>
                    </w:rPr>
                    <w:t>0.063</w:t>
                  </w:r>
                </w:p>
              </w:tc>
              <w:tc>
                <w:tcPr>
                  <w:tcW w:w="536" w:type="pct"/>
                  <w:shd w:val="clear" w:color="auto" w:fill="auto"/>
                  <w:noWrap w:val="0"/>
                  <w:vAlign w:val="center"/>
                </w:tcPr>
                <w:p w14:paraId="1547F042">
                  <w:pPr>
                    <w:keepNext w:val="0"/>
                    <w:keepLines w:val="0"/>
                    <w:widowControl/>
                    <w:suppressLineNumbers w:val="0"/>
                    <w:spacing w:before="0" w:beforeAutospacing="0" w:after="0" w:afterAutospacing="0" w:line="280" w:lineRule="exact"/>
                    <w:ind w:left="0" w:right="0"/>
                    <w:jc w:val="center"/>
                    <w:textAlignment w:val="center"/>
                    <w:rPr>
                      <w:rFonts w:hint="default" w:ascii="Times New Roman" w:hAnsi="Times New Roman" w:eastAsia="宋体" w:cs="Times New Roman"/>
                      <w:b w:val="0"/>
                      <w:bCs w:val="0"/>
                      <w:sz w:val="21"/>
                      <w:szCs w:val="21"/>
                      <w:highlight w:val="none"/>
                      <w:lang w:val="en-US" w:eastAsia="zh-CN" w:bidi="ar"/>
                    </w:rPr>
                  </w:pPr>
                  <w:r>
                    <w:rPr>
                      <w:rFonts w:hint="eastAsia" w:cs="Times New Roman"/>
                      <w:b w:val="0"/>
                      <w:bCs w:val="0"/>
                      <w:sz w:val="21"/>
                      <w:szCs w:val="21"/>
                      <w:highlight w:val="none"/>
                      <w:lang w:val="en-US" w:eastAsia="zh-CN" w:bidi="ar"/>
                    </w:rPr>
                    <w:t>0.130</w:t>
                  </w:r>
                </w:p>
              </w:tc>
              <w:tc>
                <w:tcPr>
                  <w:tcW w:w="719" w:type="pct"/>
                  <w:shd w:val="clear" w:color="auto" w:fill="auto"/>
                  <w:noWrap w:val="0"/>
                  <w:vAlign w:val="center"/>
                </w:tcPr>
                <w:p w14:paraId="226D8CD0">
                  <w:pPr>
                    <w:keepNext w:val="0"/>
                    <w:keepLines w:val="0"/>
                    <w:widowControl/>
                    <w:suppressLineNumbers w:val="0"/>
                    <w:spacing w:before="0" w:beforeAutospacing="0" w:after="0" w:afterAutospacing="0" w:line="280" w:lineRule="exact"/>
                    <w:ind w:left="0" w:right="0"/>
                    <w:jc w:val="center"/>
                    <w:textAlignment w:val="center"/>
                    <w:rPr>
                      <w:rFonts w:hint="default" w:ascii="Times New Roman" w:hAnsi="Times New Roman" w:eastAsia="宋体" w:cs="Times New Roman"/>
                      <w:b w:val="0"/>
                      <w:bCs w:val="0"/>
                      <w:sz w:val="21"/>
                      <w:szCs w:val="21"/>
                      <w:highlight w:val="none"/>
                      <w:lang w:val="en-US" w:eastAsia="zh-CN" w:bidi="ar"/>
                    </w:rPr>
                  </w:pPr>
                  <w:r>
                    <w:rPr>
                      <w:rFonts w:hint="eastAsia" w:cs="Times New Roman"/>
                      <w:b w:val="0"/>
                      <w:bCs w:val="0"/>
                      <w:sz w:val="21"/>
                      <w:szCs w:val="21"/>
                      <w:highlight w:val="none"/>
                      <w:lang w:val="en-US" w:eastAsia="zh-CN" w:bidi="ar"/>
                    </w:rPr>
                    <w:t>0.063</w:t>
                  </w:r>
                </w:p>
              </w:tc>
            </w:tr>
            <w:tr w14:paraId="04C9C6A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470" w:type="pct"/>
                  <w:vMerge w:val="continue"/>
                  <w:noWrap w:val="0"/>
                  <w:vAlign w:val="center"/>
                </w:tcPr>
                <w:p w14:paraId="2E8091A3">
                  <w:pPr>
                    <w:keepNext w:val="0"/>
                    <w:keepLines w:val="0"/>
                    <w:widowControl/>
                    <w:suppressLineNumbers w:val="0"/>
                    <w:spacing w:before="0" w:beforeAutospacing="0" w:after="0" w:afterAutospacing="0" w:line="280" w:lineRule="exact"/>
                    <w:ind w:left="0" w:right="0"/>
                    <w:jc w:val="center"/>
                    <w:textAlignment w:val="center"/>
                    <w:rPr>
                      <w:rFonts w:hint="eastAsia" w:ascii="Times New Roman" w:hAnsi="Times New Roman" w:eastAsia="宋体" w:cs="Times New Roman"/>
                      <w:b w:val="0"/>
                      <w:bCs w:val="0"/>
                      <w:sz w:val="21"/>
                      <w:szCs w:val="21"/>
                      <w:highlight w:val="none"/>
                      <w:lang w:val="en-US" w:eastAsia="zh-CN" w:bidi="ar"/>
                    </w:rPr>
                  </w:pPr>
                </w:p>
              </w:tc>
              <w:tc>
                <w:tcPr>
                  <w:tcW w:w="1095" w:type="pct"/>
                  <w:gridSpan w:val="2"/>
                  <w:noWrap w:val="0"/>
                  <w:vAlign w:val="center"/>
                </w:tcPr>
                <w:p w14:paraId="76308FF2">
                  <w:pPr>
                    <w:keepNext w:val="0"/>
                    <w:keepLines w:val="0"/>
                    <w:widowControl/>
                    <w:suppressLineNumbers w:val="0"/>
                    <w:spacing w:before="0" w:beforeAutospacing="0" w:after="0" w:afterAutospacing="0" w:line="280" w:lineRule="exact"/>
                    <w:ind w:left="0" w:right="0"/>
                    <w:jc w:val="center"/>
                    <w:textAlignment w:val="center"/>
                    <w:rPr>
                      <w:rFonts w:hint="eastAsia" w:cs="Times New Roman"/>
                      <w:b w:val="0"/>
                      <w:bCs w:val="0"/>
                      <w:sz w:val="21"/>
                      <w:szCs w:val="21"/>
                      <w:highlight w:val="none"/>
                      <w:lang w:val="en-US" w:eastAsia="zh-CN" w:bidi="ar"/>
                    </w:rPr>
                  </w:pPr>
                  <w:r>
                    <w:rPr>
                      <w:rFonts w:hint="eastAsia" w:cs="Times New Roman"/>
                      <w:b w:val="0"/>
                      <w:bCs w:val="0"/>
                      <w:sz w:val="21"/>
                      <w:szCs w:val="21"/>
                      <w:highlight w:val="none"/>
                      <w:lang w:val="en-US" w:eastAsia="zh-CN" w:bidi="ar"/>
                    </w:rPr>
                    <w:t>无组织</w:t>
                  </w:r>
                </w:p>
              </w:tc>
              <w:tc>
                <w:tcPr>
                  <w:tcW w:w="813" w:type="pct"/>
                  <w:vMerge w:val="continue"/>
                  <w:noWrap w:val="0"/>
                  <w:vAlign w:val="center"/>
                </w:tcPr>
                <w:p w14:paraId="3A38508D">
                  <w:pPr>
                    <w:keepNext w:val="0"/>
                    <w:keepLines w:val="0"/>
                    <w:widowControl/>
                    <w:suppressLineNumbers w:val="0"/>
                    <w:spacing w:before="0" w:beforeAutospacing="0" w:after="0" w:afterAutospacing="0" w:line="280" w:lineRule="exact"/>
                    <w:ind w:left="0" w:right="0"/>
                    <w:jc w:val="center"/>
                    <w:textAlignment w:val="center"/>
                    <w:rPr>
                      <w:rFonts w:hint="eastAsia" w:ascii="Times New Roman" w:hAnsi="Times New Roman" w:eastAsia="宋体" w:cs="Times New Roman"/>
                      <w:b w:val="0"/>
                      <w:bCs w:val="0"/>
                      <w:sz w:val="21"/>
                      <w:szCs w:val="21"/>
                      <w:highlight w:val="none"/>
                      <w:lang w:val="en-US" w:eastAsia="zh-CN" w:bidi="ar"/>
                    </w:rPr>
                  </w:pPr>
                </w:p>
              </w:tc>
              <w:tc>
                <w:tcPr>
                  <w:tcW w:w="591" w:type="pct"/>
                  <w:noWrap w:val="0"/>
                  <w:vAlign w:val="center"/>
                </w:tcPr>
                <w:p w14:paraId="0FABC511">
                  <w:pPr>
                    <w:keepNext w:val="0"/>
                    <w:keepLines w:val="0"/>
                    <w:widowControl/>
                    <w:suppressLineNumbers w:val="0"/>
                    <w:spacing w:before="0" w:beforeAutospacing="0" w:after="0" w:afterAutospacing="0" w:line="280" w:lineRule="exact"/>
                    <w:ind w:left="0" w:right="0"/>
                    <w:jc w:val="center"/>
                    <w:textAlignment w:val="center"/>
                    <w:rPr>
                      <w:rFonts w:hint="default" w:ascii="Times New Roman" w:hAnsi="Times New Roman" w:eastAsia="宋体" w:cs="Times New Roman"/>
                      <w:b w:val="0"/>
                      <w:bCs w:val="0"/>
                      <w:sz w:val="21"/>
                      <w:szCs w:val="21"/>
                      <w:highlight w:val="none"/>
                      <w:lang w:val="en-US" w:eastAsia="zh-CN" w:bidi="ar"/>
                    </w:rPr>
                  </w:pPr>
                  <w:r>
                    <w:rPr>
                      <w:rFonts w:hint="eastAsia" w:cs="Times New Roman"/>
                      <w:b w:val="0"/>
                      <w:bCs w:val="0"/>
                      <w:sz w:val="21"/>
                      <w:szCs w:val="21"/>
                      <w:highlight w:val="none"/>
                      <w:lang w:val="en-US" w:eastAsia="zh-CN" w:bidi="ar"/>
                    </w:rPr>
                    <w:t>0.014</w:t>
                  </w:r>
                </w:p>
              </w:tc>
              <w:tc>
                <w:tcPr>
                  <w:tcW w:w="774" w:type="pct"/>
                  <w:noWrap w:val="0"/>
                  <w:vAlign w:val="center"/>
                </w:tcPr>
                <w:p w14:paraId="69C46731">
                  <w:pPr>
                    <w:keepNext w:val="0"/>
                    <w:keepLines w:val="0"/>
                    <w:widowControl/>
                    <w:suppressLineNumbers w:val="0"/>
                    <w:spacing w:before="0" w:beforeAutospacing="0" w:after="0" w:afterAutospacing="0" w:line="280" w:lineRule="exact"/>
                    <w:ind w:left="0" w:right="0"/>
                    <w:jc w:val="center"/>
                    <w:textAlignment w:val="center"/>
                    <w:rPr>
                      <w:rFonts w:hint="default" w:ascii="Times New Roman" w:hAnsi="Times New Roman" w:eastAsia="宋体" w:cs="Times New Roman"/>
                      <w:b w:val="0"/>
                      <w:bCs w:val="0"/>
                      <w:sz w:val="21"/>
                      <w:szCs w:val="21"/>
                      <w:highlight w:val="none"/>
                      <w:lang w:val="en-US" w:eastAsia="zh-CN" w:bidi="ar"/>
                    </w:rPr>
                  </w:pPr>
                  <w:r>
                    <w:rPr>
                      <w:rFonts w:hint="eastAsia" w:cs="Times New Roman"/>
                      <w:b w:val="0"/>
                      <w:bCs w:val="0"/>
                      <w:sz w:val="21"/>
                      <w:szCs w:val="21"/>
                      <w:highlight w:val="none"/>
                      <w:lang w:val="en-US" w:eastAsia="zh-CN" w:bidi="ar"/>
                    </w:rPr>
                    <w:t>0.007</w:t>
                  </w:r>
                </w:p>
              </w:tc>
              <w:tc>
                <w:tcPr>
                  <w:tcW w:w="536" w:type="pct"/>
                  <w:shd w:val="clear" w:color="auto" w:fill="auto"/>
                  <w:noWrap w:val="0"/>
                  <w:vAlign w:val="center"/>
                </w:tcPr>
                <w:p w14:paraId="417FDA70">
                  <w:pPr>
                    <w:keepNext w:val="0"/>
                    <w:keepLines w:val="0"/>
                    <w:widowControl/>
                    <w:suppressLineNumbers w:val="0"/>
                    <w:spacing w:before="0" w:beforeAutospacing="0" w:after="0" w:afterAutospacing="0" w:line="280" w:lineRule="exact"/>
                    <w:ind w:left="0" w:right="0"/>
                    <w:jc w:val="center"/>
                    <w:textAlignment w:val="center"/>
                    <w:rPr>
                      <w:rFonts w:hint="default" w:ascii="Times New Roman" w:hAnsi="Times New Roman" w:eastAsia="宋体" w:cs="Times New Roman"/>
                      <w:b w:val="0"/>
                      <w:bCs w:val="0"/>
                      <w:sz w:val="21"/>
                      <w:szCs w:val="21"/>
                      <w:highlight w:val="none"/>
                      <w:lang w:val="en-US" w:eastAsia="zh-CN" w:bidi="ar"/>
                    </w:rPr>
                  </w:pPr>
                  <w:r>
                    <w:rPr>
                      <w:rFonts w:hint="eastAsia" w:cs="Times New Roman"/>
                      <w:b w:val="0"/>
                      <w:bCs w:val="0"/>
                      <w:sz w:val="21"/>
                      <w:szCs w:val="21"/>
                      <w:highlight w:val="none"/>
                      <w:lang w:val="en-US" w:eastAsia="zh-CN" w:bidi="ar"/>
                    </w:rPr>
                    <w:t>0.014</w:t>
                  </w:r>
                </w:p>
              </w:tc>
              <w:tc>
                <w:tcPr>
                  <w:tcW w:w="719" w:type="pct"/>
                  <w:shd w:val="clear" w:color="auto" w:fill="auto"/>
                  <w:noWrap w:val="0"/>
                  <w:vAlign w:val="center"/>
                </w:tcPr>
                <w:p w14:paraId="77646FF6">
                  <w:pPr>
                    <w:keepNext w:val="0"/>
                    <w:keepLines w:val="0"/>
                    <w:widowControl/>
                    <w:suppressLineNumbers w:val="0"/>
                    <w:spacing w:before="0" w:beforeAutospacing="0" w:after="0" w:afterAutospacing="0" w:line="280" w:lineRule="exact"/>
                    <w:ind w:left="0" w:right="0"/>
                    <w:jc w:val="center"/>
                    <w:textAlignment w:val="center"/>
                    <w:rPr>
                      <w:rFonts w:hint="default" w:ascii="Times New Roman" w:hAnsi="Times New Roman" w:eastAsia="宋体" w:cs="Times New Roman"/>
                      <w:b w:val="0"/>
                      <w:bCs w:val="0"/>
                      <w:sz w:val="21"/>
                      <w:szCs w:val="21"/>
                      <w:highlight w:val="none"/>
                      <w:lang w:val="en-US" w:eastAsia="zh-CN" w:bidi="ar"/>
                    </w:rPr>
                  </w:pPr>
                  <w:r>
                    <w:rPr>
                      <w:rFonts w:hint="eastAsia" w:cs="Times New Roman"/>
                      <w:b w:val="0"/>
                      <w:bCs w:val="0"/>
                      <w:sz w:val="21"/>
                      <w:szCs w:val="21"/>
                      <w:highlight w:val="none"/>
                      <w:lang w:val="en-US" w:eastAsia="zh-CN" w:bidi="ar"/>
                    </w:rPr>
                    <w:t>0.007</w:t>
                  </w:r>
                </w:p>
              </w:tc>
            </w:tr>
            <w:tr w14:paraId="6ABEC7A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470" w:type="pct"/>
                  <w:vMerge w:val="continue"/>
                  <w:noWrap w:val="0"/>
                  <w:vAlign w:val="center"/>
                </w:tcPr>
                <w:p w14:paraId="51B80D94">
                  <w:pPr>
                    <w:keepNext w:val="0"/>
                    <w:keepLines w:val="0"/>
                    <w:widowControl/>
                    <w:suppressLineNumbers w:val="0"/>
                    <w:spacing w:before="0" w:beforeAutospacing="0" w:after="0" w:afterAutospacing="0" w:line="280" w:lineRule="exact"/>
                    <w:ind w:left="0" w:right="0"/>
                    <w:jc w:val="center"/>
                    <w:textAlignment w:val="center"/>
                    <w:rPr>
                      <w:rFonts w:hint="eastAsia" w:ascii="Times New Roman" w:hAnsi="Times New Roman" w:eastAsia="宋体" w:cs="Times New Roman"/>
                      <w:b w:val="0"/>
                      <w:bCs w:val="0"/>
                      <w:sz w:val="21"/>
                      <w:szCs w:val="21"/>
                      <w:highlight w:val="none"/>
                      <w:lang w:val="en-US" w:eastAsia="zh-CN" w:bidi="ar"/>
                    </w:rPr>
                  </w:pPr>
                </w:p>
              </w:tc>
              <w:tc>
                <w:tcPr>
                  <w:tcW w:w="527" w:type="pct"/>
                  <w:noWrap w:val="0"/>
                  <w:vAlign w:val="center"/>
                </w:tcPr>
                <w:p w14:paraId="55E17488">
                  <w:pPr>
                    <w:keepNext w:val="0"/>
                    <w:keepLines w:val="0"/>
                    <w:widowControl/>
                    <w:suppressLineNumbers w:val="0"/>
                    <w:spacing w:before="0" w:beforeAutospacing="0" w:after="0" w:afterAutospacing="0" w:line="280" w:lineRule="exact"/>
                    <w:ind w:left="0" w:right="0"/>
                    <w:jc w:val="center"/>
                    <w:textAlignment w:val="center"/>
                    <w:rPr>
                      <w:rFonts w:hint="default" w:ascii="Times New Roman" w:hAnsi="Times New Roman" w:eastAsia="宋体" w:cs="Times New Roman"/>
                      <w:b w:val="0"/>
                      <w:bCs w:val="0"/>
                      <w:sz w:val="21"/>
                      <w:szCs w:val="21"/>
                      <w:highlight w:val="none"/>
                      <w:lang w:val="en-US" w:eastAsia="zh-CN" w:bidi="ar"/>
                    </w:rPr>
                  </w:pPr>
                  <w:r>
                    <w:rPr>
                      <w:rFonts w:hint="eastAsia" w:ascii="Times New Roman" w:hAnsi="Times New Roman" w:eastAsia="宋体" w:cs="Times New Roman"/>
                      <w:b w:val="0"/>
                      <w:bCs w:val="0"/>
                      <w:sz w:val="21"/>
                      <w:szCs w:val="21"/>
                      <w:highlight w:val="none"/>
                      <w:lang w:val="en-US" w:eastAsia="zh-CN" w:bidi="ar"/>
                    </w:rPr>
                    <w:t>DA016</w:t>
                  </w:r>
                </w:p>
              </w:tc>
              <w:tc>
                <w:tcPr>
                  <w:tcW w:w="567" w:type="pct"/>
                  <w:shd w:val="clear" w:color="auto" w:fill="auto"/>
                  <w:noWrap w:val="0"/>
                  <w:vAlign w:val="center"/>
                </w:tcPr>
                <w:p w14:paraId="6CF869EC">
                  <w:pPr>
                    <w:keepNext w:val="0"/>
                    <w:keepLines w:val="0"/>
                    <w:widowControl/>
                    <w:suppressLineNumbers w:val="0"/>
                    <w:spacing w:before="0" w:beforeAutospacing="0" w:after="0" w:afterAutospacing="0" w:line="280" w:lineRule="exact"/>
                    <w:ind w:left="0" w:right="0"/>
                    <w:jc w:val="center"/>
                    <w:textAlignment w:val="center"/>
                    <w:rPr>
                      <w:rFonts w:hint="eastAsia" w:cs="Times New Roman"/>
                      <w:b w:val="0"/>
                      <w:bCs w:val="0"/>
                      <w:sz w:val="21"/>
                      <w:szCs w:val="21"/>
                      <w:highlight w:val="none"/>
                      <w:lang w:val="en-US" w:eastAsia="zh-CN" w:bidi="ar"/>
                    </w:rPr>
                  </w:pPr>
                  <w:r>
                    <w:rPr>
                      <w:rFonts w:hint="eastAsia" w:cs="Times New Roman"/>
                      <w:b w:val="0"/>
                      <w:bCs w:val="0"/>
                      <w:sz w:val="21"/>
                      <w:szCs w:val="21"/>
                      <w:highlight w:val="none"/>
                      <w:lang w:val="en-US" w:eastAsia="zh-CN" w:bidi="ar"/>
                    </w:rPr>
                    <w:t>有组织</w:t>
                  </w:r>
                </w:p>
              </w:tc>
              <w:tc>
                <w:tcPr>
                  <w:tcW w:w="813" w:type="pct"/>
                  <w:vMerge w:val="restart"/>
                  <w:noWrap w:val="0"/>
                  <w:vAlign w:val="center"/>
                </w:tcPr>
                <w:p w14:paraId="3D4366B8">
                  <w:pPr>
                    <w:keepNext w:val="0"/>
                    <w:keepLines w:val="0"/>
                    <w:widowControl/>
                    <w:suppressLineNumbers w:val="0"/>
                    <w:spacing w:before="0" w:beforeAutospacing="0" w:after="0" w:afterAutospacing="0" w:line="280" w:lineRule="exact"/>
                    <w:ind w:left="0" w:right="0"/>
                    <w:jc w:val="center"/>
                    <w:textAlignment w:val="center"/>
                    <w:rPr>
                      <w:rFonts w:hint="eastAsia" w:ascii="Times New Roman" w:hAnsi="Times New Roman" w:eastAsia="宋体" w:cs="Times New Roman"/>
                      <w:b w:val="0"/>
                      <w:bCs w:val="0"/>
                      <w:sz w:val="21"/>
                      <w:szCs w:val="21"/>
                      <w:highlight w:val="none"/>
                      <w:lang w:val="en-US" w:eastAsia="zh-CN" w:bidi="ar"/>
                    </w:rPr>
                  </w:pPr>
                  <w:r>
                    <w:rPr>
                      <w:rFonts w:hint="eastAsia" w:cs="Times New Roman"/>
                      <w:b w:val="0"/>
                      <w:bCs w:val="0"/>
                      <w:sz w:val="21"/>
                      <w:szCs w:val="21"/>
                      <w:highlight w:val="none"/>
                      <w:lang w:val="en-US" w:eastAsia="zh-CN" w:bidi="ar"/>
                    </w:rPr>
                    <w:t>非甲烷总烃</w:t>
                  </w:r>
                </w:p>
              </w:tc>
              <w:tc>
                <w:tcPr>
                  <w:tcW w:w="591" w:type="pct"/>
                  <w:noWrap w:val="0"/>
                  <w:vAlign w:val="center"/>
                </w:tcPr>
                <w:p w14:paraId="013258B2">
                  <w:pPr>
                    <w:keepNext w:val="0"/>
                    <w:keepLines w:val="0"/>
                    <w:widowControl/>
                    <w:suppressLineNumbers w:val="0"/>
                    <w:spacing w:before="0" w:beforeAutospacing="0" w:after="0" w:afterAutospacing="0" w:line="280" w:lineRule="exact"/>
                    <w:ind w:left="0" w:right="0"/>
                    <w:jc w:val="center"/>
                    <w:textAlignment w:val="center"/>
                    <w:rPr>
                      <w:rFonts w:hint="default" w:ascii="Times New Roman" w:hAnsi="Times New Roman" w:eastAsia="宋体" w:cs="Times New Roman"/>
                      <w:b w:val="0"/>
                      <w:bCs w:val="0"/>
                      <w:sz w:val="21"/>
                      <w:szCs w:val="21"/>
                      <w:highlight w:val="none"/>
                      <w:lang w:val="en-US" w:eastAsia="zh-CN" w:bidi="ar"/>
                    </w:rPr>
                  </w:pPr>
                  <w:r>
                    <w:rPr>
                      <w:rFonts w:hint="eastAsia" w:cs="Times New Roman"/>
                      <w:b w:val="0"/>
                      <w:bCs w:val="0"/>
                      <w:sz w:val="21"/>
                      <w:szCs w:val="21"/>
                      <w:highlight w:val="none"/>
                      <w:lang w:val="en-US" w:eastAsia="zh-CN" w:bidi="ar"/>
                    </w:rPr>
                    <w:t>0.199</w:t>
                  </w:r>
                </w:p>
              </w:tc>
              <w:tc>
                <w:tcPr>
                  <w:tcW w:w="774" w:type="pct"/>
                  <w:noWrap w:val="0"/>
                  <w:vAlign w:val="center"/>
                </w:tcPr>
                <w:p w14:paraId="46520F8C">
                  <w:pPr>
                    <w:keepNext w:val="0"/>
                    <w:keepLines w:val="0"/>
                    <w:widowControl/>
                    <w:suppressLineNumbers w:val="0"/>
                    <w:spacing w:before="0" w:beforeAutospacing="0" w:after="0" w:afterAutospacing="0" w:line="280" w:lineRule="exact"/>
                    <w:ind w:left="0" w:right="0"/>
                    <w:jc w:val="center"/>
                    <w:textAlignment w:val="center"/>
                    <w:rPr>
                      <w:rFonts w:hint="default" w:cs="Times New Roman"/>
                      <w:b w:val="0"/>
                      <w:bCs w:val="0"/>
                      <w:sz w:val="21"/>
                      <w:szCs w:val="21"/>
                      <w:highlight w:val="none"/>
                      <w:lang w:val="en-US" w:eastAsia="zh-CN" w:bidi="ar"/>
                    </w:rPr>
                  </w:pPr>
                  <w:r>
                    <w:rPr>
                      <w:rFonts w:hint="eastAsia" w:cs="Times New Roman"/>
                      <w:b w:val="0"/>
                      <w:bCs w:val="0"/>
                      <w:sz w:val="21"/>
                      <w:szCs w:val="21"/>
                      <w:highlight w:val="none"/>
                      <w:lang w:val="en-US" w:eastAsia="zh-CN" w:bidi="ar"/>
                    </w:rPr>
                    <w:t xml:space="preserve">0.096 </w:t>
                  </w:r>
                </w:p>
              </w:tc>
              <w:tc>
                <w:tcPr>
                  <w:tcW w:w="536" w:type="pct"/>
                  <w:shd w:val="clear" w:color="auto" w:fill="auto"/>
                  <w:noWrap w:val="0"/>
                  <w:vAlign w:val="center"/>
                </w:tcPr>
                <w:p w14:paraId="13AFD8F9">
                  <w:pPr>
                    <w:keepNext w:val="0"/>
                    <w:keepLines w:val="0"/>
                    <w:widowControl/>
                    <w:suppressLineNumbers w:val="0"/>
                    <w:spacing w:before="0" w:beforeAutospacing="0" w:after="0" w:afterAutospacing="0" w:line="280" w:lineRule="exact"/>
                    <w:ind w:left="0" w:right="0"/>
                    <w:jc w:val="center"/>
                    <w:textAlignment w:val="center"/>
                    <w:rPr>
                      <w:rFonts w:hint="default" w:ascii="Times New Roman" w:hAnsi="Times New Roman" w:eastAsia="宋体" w:cs="Times New Roman"/>
                      <w:b w:val="0"/>
                      <w:bCs w:val="0"/>
                      <w:sz w:val="21"/>
                      <w:szCs w:val="21"/>
                      <w:highlight w:val="none"/>
                      <w:lang w:val="en-US" w:eastAsia="zh-CN" w:bidi="ar"/>
                    </w:rPr>
                  </w:pPr>
                  <w:r>
                    <w:rPr>
                      <w:rFonts w:hint="eastAsia" w:cs="Times New Roman"/>
                      <w:b w:val="0"/>
                      <w:bCs w:val="0"/>
                      <w:sz w:val="21"/>
                      <w:szCs w:val="21"/>
                      <w:highlight w:val="none"/>
                      <w:lang w:val="en-US" w:eastAsia="zh-CN" w:bidi="ar"/>
                    </w:rPr>
                    <w:t>0.199</w:t>
                  </w:r>
                </w:p>
              </w:tc>
              <w:tc>
                <w:tcPr>
                  <w:tcW w:w="719" w:type="pct"/>
                  <w:shd w:val="clear" w:color="auto" w:fill="auto"/>
                  <w:noWrap w:val="0"/>
                  <w:vAlign w:val="center"/>
                </w:tcPr>
                <w:p w14:paraId="5505F719">
                  <w:pPr>
                    <w:keepNext w:val="0"/>
                    <w:keepLines w:val="0"/>
                    <w:widowControl/>
                    <w:suppressLineNumbers w:val="0"/>
                    <w:spacing w:before="0" w:beforeAutospacing="0" w:after="0" w:afterAutospacing="0" w:line="280" w:lineRule="exact"/>
                    <w:ind w:left="0" w:right="0"/>
                    <w:jc w:val="center"/>
                    <w:textAlignment w:val="center"/>
                    <w:rPr>
                      <w:rFonts w:hint="default" w:ascii="Times New Roman" w:hAnsi="Times New Roman" w:eastAsia="宋体" w:cs="Times New Roman"/>
                      <w:b w:val="0"/>
                      <w:bCs w:val="0"/>
                      <w:sz w:val="21"/>
                      <w:szCs w:val="21"/>
                      <w:highlight w:val="none"/>
                      <w:lang w:val="en-US" w:eastAsia="zh-CN" w:bidi="ar"/>
                    </w:rPr>
                  </w:pPr>
                  <w:r>
                    <w:rPr>
                      <w:rFonts w:hint="eastAsia" w:cs="Times New Roman"/>
                      <w:b w:val="0"/>
                      <w:bCs w:val="0"/>
                      <w:sz w:val="21"/>
                      <w:szCs w:val="21"/>
                      <w:highlight w:val="none"/>
                      <w:lang w:val="en-US" w:eastAsia="zh-CN" w:bidi="ar"/>
                    </w:rPr>
                    <w:t xml:space="preserve">0.096 </w:t>
                  </w:r>
                </w:p>
              </w:tc>
            </w:tr>
            <w:tr w14:paraId="721BC1D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470" w:type="pct"/>
                  <w:vMerge w:val="continue"/>
                  <w:noWrap w:val="0"/>
                  <w:vAlign w:val="center"/>
                </w:tcPr>
                <w:p w14:paraId="77A30A2F">
                  <w:pPr>
                    <w:keepNext w:val="0"/>
                    <w:keepLines w:val="0"/>
                    <w:widowControl/>
                    <w:suppressLineNumbers w:val="0"/>
                    <w:spacing w:before="0" w:beforeAutospacing="0" w:after="0" w:afterAutospacing="0" w:line="280" w:lineRule="exact"/>
                    <w:ind w:left="0" w:right="0"/>
                    <w:jc w:val="center"/>
                    <w:textAlignment w:val="center"/>
                    <w:rPr>
                      <w:rFonts w:hint="eastAsia" w:ascii="Times New Roman" w:hAnsi="Times New Roman" w:eastAsia="宋体" w:cs="Times New Roman"/>
                      <w:b w:val="0"/>
                      <w:bCs w:val="0"/>
                      <w:sz w:val="21"/>
                      <w:szCs w:val="21"/>
                      <w:highlight w:val="none"/>
                      <w:lang w:val="en-US" w:eastAsia="zh-CN" w:bidi="ar"/>
                    </w:rPr>
                  </w:pPr>
                </w:p>
              </w:tc>
              <w:tc>
                <w:tcPr>
                  <w:tcW w:w="1095" w:type="pct"/>
                  <w:gridSpan w:val="2"/>
                  <w:noWrap w:val="0"/>
                  <w:vAlign w:val="center"/>
                </w:tcPr>
                <w:p w14:paraId="27BB4754">
                  <w:pPr>
                    <w:keepNext w:val="0"/>
                    <w:keepLines w:val="0"/>
                    <w:widowControl/>
                    <w:suppressLineNumbers w:val="0"/>
                    <w:spacing w:before="0" w:beforeAutospacing="0" w:after="0" w:afterAutospacing="0" w:line="280" w:lineRule="exact"/>
                    <w:ind w:left="0" w:right="0"/>
                    <w:jc w:val="center"/>
                    <w:textAlignment w:val="center"/>
                    <w:rPr>
                      <w:rFonts w:hint="eastAsia" w:cs="Times New Roman"/>
                      <w:b w:val="0"/>
                      <w:bCs w:val="0"/>
                      <w:sz w:val="21"/>
                      <w:szCs w:val="21"/>
                      <w:highlight w:val="none"/>
                      <w:lang w:val="en-US" w:eastAsia="zh-CN" w:bidi="ar"/>
                    </w:rPr>
                  </w:pPr>
                  <w:r>
                    <w:rPr>
                      <w:rFonts w:hint="eastAsia" w:cs="Times New Roman"/>
                      <w:b w:val="0"/>
                      <w:bCs w:val="0"/>
                      <w:sz w:val="21"/>
                      <w:szCs w:val="21"/>
                      <w:highlight w:val="none"/>
                      <w:lang w:val="en-US" w:eastAsia="zh-CN" w:bidi="ar"/>
                    </w:rPr>
                    <w:t>无组织</w:t>
                  </w:r>
                </w:p>
              </w:tc>
              <w:tc>
                <w:tcPr>
                  <w:tcW w:w="813" w:type="pct"/>
                  <w:vMerge w:val="continue"/>
                  <w:noWrap w:val="0"/>
                  <w:vAlign w:val="center"/>
                </w:tcPr>
                <w:p w14:paraId="691AE600">
                  <w:pPr>
                    <w:keepNext w:val="0"/>
                    <w:keepLines w:val="0"/>
                    <w:widowControl/>
                    <w:suppressLineNumbers w:val="0"/>
                    <w:spacing w:before="0" w:beforeAutospacing="0" w:after="0" w:afterAutospacing="0" w:line="280" w:lineRule="exact"/>
                    <w:ind w:left="0" w:right="0"/>
                    <w:jc w:val="center"/>
                    <w:textAlignment w:val="center"/>
                    <w:rPr>
                      <w:rFonts w:hint="eastAsia" w:ascii="Times New Roman" w:hAnsi="Times New Roman" w:eastAsia="宋体" w:cs="Times New Roman"/>
                      <w:b w:val="0"/>
                      <w:bCs w:val="0"/>
                      <w:sz w:val="21"/>
                      <w:szCs w:val="21"/>
                      <w:highlight w:val="none"/>
                      <w:lang w:val="en-US" w:eastAsia="zh-CN" w:bidi="ar"/>
                    </w:rPr>
                  </w:pPr>
                </w:p>
              </w:tc>
              <w:tc>
                <w:tcPr>
                  <w:tcW w:w="591" w:type="pct"/>
                  <w:noWrap w:val="0"/>
                  <w:vAlign w:val="center"/>
                </w:tcPr>
                <w:p w14:paraId="185629AC">
                  <w:pPr>
                    <w:keepNext w:val="0"/>
                    <w:keepLines w:val="0"/>
                    <w:widowControl/>
                    <w:suppressLineNumbers w:val="0"/>
                    <w:spacing w:before="0" w:beforeAutospacing="0" w:after="0" w:afterAutospacing="0" w:line="280" w:lineRule="exact"/>
                    <w:ind w:left="0" w:right="0"/>
                    <w:jc w:val="center"/>
                    <w:textAlignment w:val="center"/>
                    <w:rPr>
                      <w:rFonts w:hint="default" w:ascii="Times New Roman" w:hAnsi="Times New Roman" w:eastAsia="宋体" w:cs="Times New Roman"/>
                      <w:b w:val="0"/>
                      <w:bCs w:val="0"/>
                      <w:sz w:val="21"/>
                      <w:szCs w:val="21"/>
                      <w:highlight w:val="none"/>
                      <w:lang w:val="en-US" w:eastAsia="zh-CN" w:bidi="ar"/>
                    </w:rPr>
                  </w:pPr>
                  <w:r>
                    <w:rPr>
                      <w:rFonts w:hint="eastAsia" w:cs="Times New Roman"/>
                      <w:b w:val="0"/>
                      <w:bCs w:val="0"/>
                      <w:sz w:val="21"/>
                      <w:szCs w:val="21"/>
                      <w:highlight w:val="none"/>
                      <w:lang w:val="en-US" w:eastAsia="zh-CN" w:bidi="ar"/>
                    </w:rPr>
                    <w:t>0.022</w:t>
                  </w:r>
                </w:p>
              </w:tc>
              <w:tc>
                <w:tcPr>
                  <w:tcW w:w="774" w:type="pct"/>
                  <w:noWrap w:val="0"/>
                  <w:vAlign w:val="center"/>
                </w:tcPr>
                <w:p w14:paraId="59A16500">
                  <w:pPr>
                    <w:keepNext w:val="0"/>
                    <w:keepLines w:val="0"/>
                    <w:widowControl/>
                    <w:suppressLineNumbers w:val="0"/>
                    <w:spacing w:before="0" w:beforeAutospacing="0" w:after="0" w:afterAutospacing="0" w:line="280" w:lineRule="exact"/>
                    <w:ind w:left="0" w:right="0"/>
                    <w:jc w:val="center"/>
                    <w:textAlignment w:val="center"/>
                    <w:rPr>
                      <w:rFonts w:hint="default" w:cs="Times New Roman"/>
                      <w:b w:val="0"/>
                      <w:bCs w:val="0"/>
                      <w:sz w:val="21"/>
                      <w:szCs w:val="21"/>
                      <w:highlight w:val="none"/>
                      <w:lang w:val="en-US" w:eastAsia="zh-CN" w:bidi="ar"/>
                    </w:rPr>
                  </w:pPr>
                  <w:r>
                    <w:rPr>
                      <w:rFonts w:hint="eastAsia" w:cs="Times New Roman"/>
                      <w:b w:val="0"/>
                      <w:bCs w:val="0"/>
                      <w:sz w:val="21"/>
                      <w:szCs w:val="21"/>
                      <w:highlight w:val="none"/>
                      <w:lang w:val="en-US" w:eastAsia="zh-CN" w:bidi="ar"/>
                    </w:rPr>
                    <w:t xml:space="preserve">0.011 </w:t>
                  </w:r>
                </w:p>
              </w:tc>
              <w:tc>
                <w:tcPr>
                  <w:tcW w:w="536" w:type="pct"/>
                  <w:shd w:val="clear" w:color="auto" w:fill="auto"/>
                  <w:noWrap w:val="0"/>
                  <w:vAlign w:val="center"/>
                </w:tcPr>
                <w:p w14:paraId="14F19581">
                  <w:pPr>
                    <w:keepNext w:val="0"/>
                    <w:keepLines w:val="0"/>
                    <w:widowControl/>
                    <w:suppressLineNumbers w:val="0"/>
                    <w:spacing w:before="0" w:beforeAutospacing="0" w:after="0" w:afterAutospacing="0" w:line="280" w:lineRule="exact"/>
                    <w:ind w:left="0" w:right="0"/>
                    <w:jc w:val="center"/>
                    <w:textAlignment w:val="center"/>
                    <w:rPr>
                      <w:rFonts w:hint="default" w:ascii="Times New Roman" w:hAnsi="Times New Roman" w:eastAsia="宋体" w:cs="Times New Roman"/>
                      <w:b w:val="0"/>
                      <w:bCs w:val="0"/>
                      <w:sz w:val="21"/>
                      <w:szCs w:val="21"/>
                      <w:highlight w:val="none"/>
                      <w:lang w:val="en-US" w:eastAsia="zh-CN" w:bidi="ar"/>
                    </w:rPr>
                  </w:pPr>
                  <w:r>
                    <w:rPr>
                      <w:rFonts w:hint="eastAsia" w:cs="Times New Roman"/>
                      <w:b w:val="0"/>
                      <w:bCs w:val="0"/>
                      <w:sz w:val="21"/>
                      <w:szCs w:val="21"/>
                      <w:highlight w:val="none"/>
                      <w:lang w:val="en-US" w:eastAsia="zh-CN" w:bidi="ar"/>
                    </w:rPr>
                    <w:t>0.022</w:t>
                  </w:r>
                </w:p>
              </w:tc>
              <w:tc>
                <w:tcPr>
                  <w:tcW w:w="719" w:type="pct"/>
                  <w:shd w:val="clear" w:color="auto" w:fill="auto"/>
                  <w:noWrap w:val="0"/>
                  <w:vAlign w:val="center"/>
                </w:tcPr>
                <w:p w14:paraId="0BED7D0C">
                  <w:pPr>
                    <w:keepNext w:val="0"/>
                    <w:keepLines w:val="0"/>
                    <w:widowControl/>
                    <w:suppressLineNumbers w:val="0"/>
                    <w:spacing w:before="0" w:beforeAutospacing="0" w:after="0" w:afterAutospacing="0" w:line="280" w:lineRule="exact"/>
                    <w:ind w:left="0" w:right="0"/>
                    <w:jc w:val="center"/>
                    <w:textAlignment w:val="center"/>
                    <w:rPr>
                      <w:rFonts w:hint="default" w:ascii="Times New Roman" w:hAnsi="Times New Roman" w:eastAsia="宋体" w:cs="Times New Roman"/>
                      <w:b w:val="0"/>
                      <w:bCs w:val="0"/>
                      <w:sz w:val="21"/>
                      <w:szCs w:val="21"/>
                      <w:highlight w:val="none"/>
                      <w:lang w:val="en-US" w:eastAsia="zh-CN" w:bidi="ar"/>
                    </w:rPr>
                  </w:pPr>
                  <w:r>
                    <w:rPr>
                      <w:rFonts w:hint="eastAsia" w:cs="Times New Roman"/>
                      <w:b w:val="0"/>
                      <w:bCs w:val="0"/>
                      <w:sz w:val="21"/>
                      <w:szCs w:val="21"/>
                      <w:highlight w:val="none"/>
                      <w:lang w:val="en-US" w:eastAsia="zh-CN" w:bidi="ar"/>
                    </w:rPr>
                    <w:t xml:space="preserve">0.011 </w:t>
                  </w:r>
                </w:p>
              </w:tc>
            </w:tr>
            <w:tr w14:paraId="755BBD6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470" w:type="pct"/>
                  <w:vMerge w:val="continue"/>
                  <w:noWrap w:val="0"/>
                  <w:vAlign w:val="center"/>
                </w:tcPr>
                <w:p w14:paraId="29625BEB">
                  <w:pPr>
                    <w:keepNext w:val="0"/>
                    <w:keepLines w:val="0"/>
                    <w:widowControl/>
                    <w:suppressLineNumbers w:val="0"/>
                    <w:spacing w:before="0" w:beforeAutospacing="0" w:after="0" w:afterAutospacing="0" w:line="280" w:lineRule="exact"/>
                    <w:ind w:left="0" w:right="0"/>
                    <w:jc w:val="center"/>
                    <w:textAlignment w:val="center"/>
                    <w:rPr>
                      <w:rFonts w:hint="eastAsia" w:ascii="Times New Roman" w:hAnsi="Times New Roman" w:eastAsia="宋体" w:cs="Times New Roman"/>
                      <w:b w:val="0"/>
                      <w:bCs w:val="0"/>
                      <w:sz w:val="21"/>
                      <w:szCs w:val="21"/>
                      <w:highlight w:val="none"/>
                      <w:lang w:val="en-US" w:eastAsia="zh-CN" w:bidi="ar"/>
                    </w:rPr>
                  </w:pPr>
                </w:p>
              </w:tc>
              <w:tc>
                <w:tcPr>
                  <w:tcW w:w="527" w:type="pct"/>
                  <w:noWrap w:val="0"/>
                  <w:vAlign w:val="center"/>
                </w:tcPr>
                <w:p w14:paraId="197C4E84">
                  <w:pPr>
                    <w:keepNext w:val="0"/>
                    <w:keepLines w:val="0"/>
                    <w:widowControl/>
                    <w:suppressLineNumbers w:val="0"/>
                    <w:spacing w:before="0" w:beforeAutospacing="0" w:after="0" w:afterAutospacing="0" w:line="280" w:lineRule="exact"/>
                    <w:ind w:left="0" w:right="0"/>
                    <w:jc w:val="center"/>
                    <w:textAlignment w:val="center"/>
                    <w:rPr>
                      <w:rFonts w:hint="default" w:ascii="Times New Roman" w:hAnsi="Times New Roman" w:eastAsia="宋体" w:cs="Times New Roman"/>
                      <w:b w:val="0"/>
                      <w:bCs w:val="0"/>
                      <w:sz w:val="21"/>
                      <w:szCs w:val="21"/>
                      <w:highlight w:val="none"/>
                      <w:lang w:val="en-US" w:eastAsia="zh-CN" w:bidi="ar"/>
                    </w:rPr>
                  </w:pPr>
                  <w:r>
                    <w:rPr>
                      <w:rFonts w:hint="eastAsia" w:ascii="Times New Roman" w:hAnsi="Times New Roman" w:eastAsia="宋体" w:cs="Times New Roman"/>
                      <w:b w:val="0"/>
                      <w:bCs w:val="0"/>
                      <w:sz w:val="21"/>
                      <w:szCs w:val="21"/>
                      <w:highlight w:val="none"/>
                      <w:lang w:val="en-US" w:eastAsia="zh-CN" w:bidi="ar"/>
                    </w:rPr>
                    <w:t>DA017</w:t>
                  </w:r>
                </w:p>
              </w:tc>
              <w:tc>
                <w:tcPr>
                  <w:tcW w:w="567" w:type="pct"/>
                  <w:shd w:val="clear" w:color="auto" w:fill="auto"/>
                  <w:noWrap w:val="0"/>
                  <w:vAlign w:val="center"/>
                </w:tcPr>
                <w:p w14:paraId="2AD507AC">
                  <w:pPr>
                    <w:keepNext w:val="0"/>
                    <w:keepLines w:val="0"/>
                    <w:widowControl/>
                    <w:suppressLineNumbers w:val="0"/>
                    <w:spacing w:before="0" w:beforeAutospacing="0" w:after="0" w:afterAutospacing="0" w:line="280" w:lineRule="exact"/>
                    <w:ind w:left="0" w:right="0"/>
                    <w:jc w:val="center"/>
                    <w:textAlignment w:val="center"/>
                    <w:rPr>
                      <w:rFonts w:hint="eastAsia" w:cs="Times New Roman"/>
                      <w:b w:val="0"/>
                      <w:bCs w:val="0"/>
                      <w:sz w:val="21"/>
                      <w:szCs w:val="21"/>
                      <w:highlight w:val="none"/>
                      <w:lang w:val="en-US" w:eastAsia="zh-CN" w:bidi="ar"/>
                    </w:rPr>
                  </w:pPr>
                  <w:r>
                    <w:rPr>
                      <w:rFonts w:hint="eastAsia" w:cs="Times New Roman"/>
                      <w:b w:val="0"/>
                      <w:bCs w:val="0"/>
                      <w:sz w:val="21"/>
                      <w:szCs w:val="21"/>
                      <w:highlight w:val="none"/>
                      <w:lang w:val="en-US" w:eastAsia="zh-CN" w:bidi="ar"/>
                    </w:rPr>
                    <w:t>有组织</w:t>
                  </w:r>
                </w:p>
              </w:tc>
              <w:tc>
                <w:tcPr>
                  <w:tcW w:w="813" w:type="pct"/>
                  <w:vMerge w:val="restart"/>
                  <w:noWrap w:val="0"/>
                  <w:vAlign w:val="center"/>
                </w:tcPr>
                <w:p w14:paraId="7EBCACC0">
                  <w:pPr>
                    <w:keepNext w:val="0"/>
                    <w:keepLines w:val="0"/>
                    <w:widowControl/>
                    <w:suppressLineNumbers w:val="0"/>
                    <w:spacing w:before="0" w:beforeAutospacing="0" w:after="0" w:afterAutospacing="0" w:line="280" w:lineRule="exact"/>
                    <w:ind w:left="0" w:right="0"/>
                    <w:jc w:val="center"/>
                    <w:textAlignment w:val="center"/>
                    <w:rPr>
                      <w:rFonts w:hint="eastAsia" w:ascii="Times New Roman" w:hAnsi="Times New Roman" w:eastAsia="宋体" w:cs="Times New Roman"/>
                      <w:b w:val="0"/>
                      <w:bCs w:val="0"/>
                      <w:sz w:val="21"/>
                      <w:szCs w:val="21"/>
                      <w:highlight w:val="none"/>
                      <w:lang w:val="en-US" w:eastAsia="zh-CN" w:bidi="ar"/>
                    </w:rPr>
                  </w:pPr>
                  <w:r>
                    <w:rPr>
                      <w:rFonts w:hint="eastAsia" w:cs="Times New Roman"/>
                      <w:b w:val="0"/>
                      <w:bCs w:val="0"/>
                      <w:sz w:val="21"/>
                      <w:szCs w:val="21"/>
                      <w:highlight w:val="none"/>
                      <w:lang w:val="en-US" w:eastAsia="zh-CN" w:bidi="ar"/>
                    </w:rPr>
                    <w:t>非甲烷总烃</w:t>
                  </w:r>
                </w:p>
              </w:tc>
              <w:tc>
                <w:tcPr>
                  <w:tcW w:w="591" w:type="pct"/>
                  <w:noWrap w:val="0"/>
                  <w:vAlign w:val="center"/>
                </w:tcPr>
                <w:p w14:paraId="785266EC">
                  <w:pPr>
                    <w:keepNext w:val="0"/>
                    <w:keepLines w:val="0"/>
                    <w:widowControl/>
                    <w:suppressLineNumbers w:val="0"/>
                    <w:spacing w:before="0" w:beforeAutospacing="0" w:after="0" w:afterAutospacing="0" w:line="280" w:lineRule="exact"/>
                    <w:ind w:left="0" w:right="0"/>
                    <w:jc w:val="center"/>
                    <w:textAlignment w:val="center"/>
                    <w:rPr>
                      <w:rFonts w:hint="default" w:ascii="Times New Roman" w:hAnsi="Times New Roman" w:eastAsia="宋体" w:cs="Times New Roman"/>
                      <w:b w:val="0"/>
                      <w:bCs w:val="0"/>
                      <w:sz w:val="21"/>
                      <w:szCs w:val="21"/>
                      <w:highlight w:val="none"/>
                      <w:lang w:val="en-US" w:eastAsia="zh-CN" w:bidi="ar"/>
                    </w:rPr>
                  </w:pPr>
                  <w:r>
                    <w:rPr>
                      <w:rFonts w:hint="eastAsia" w:cs="Times New Roman"/>
                      <w:b w:val="0"/>
                      <w:bCs w:val="0"/>
                      <w:sz w:val="21"/>
                      <w:szCs w:val="21"/>
                      <w:highlight w:val="none"/>
                      <w:lang w:val="en-US" w:eastAsia="zh-CN" w:bidi="ar"/>
                    </w:rPr>
                    <w:t>0.114</w:t>
                  </w:r>
                </w:p>
              </w:tc>
              <w:tc>
                <w:tcPr>
                  <w:tcW w:w="774" w:type="pct"/>
                  <w:noWrap w:val="0"/>
                  <w:vAlign w:val="center"/>
                </w:tcPr>
                <w:p w14:paraId="08FF0441">
                  <w:pPr>
                    <w:keepNext w:val="0"/>
                    <w:keepLines w:val="0"/>
                    <w:widowControl/>
                    <w:suppressLineNumbers w:val="0"/>
                    <w:spacing w:before="0" w:beforeAutospacing="0" w:after="0" w:afterAutospacing="0" w:line="280" w:lineRule="exact"/>
                    <w:ind w:left="0" w:right="0"/>
                    <w:jc w:val="center"/>
                    <w:textAlignment w:val="center"/>
                    <w:rPr>
                      <w:rFonts w:hint="default" w:cs="Times New Roman"/>
                      <w:b w:val="0"/>
                      <w:bCs w:val="0"/>
                      <w:sz w:val="21"/>
                      <w:szCs w:val="21"/>
                      <w:highlight w:val="none"/>
                      <w:lang w:val="en-US" w:eastAsia="zh-CN" w:bidi="ar"/>
                    </w:rPr>
                  </w:pPr>
                  <w:r>
                    <w:rPr>
                      <w:rFonts w:hint="eastAsia" w:cs="Times New Roman"/>
                      <w:b w:val="0"/>
                      <w:bCs w:val="0"/>
                      <w:sz w:val="21"/>
                      <w:szCs w:val="21"/>
                      <w:highlight w:val="none"/>
                      <w:lang w:val="en-US" w:eastAsia="zh-CN" w:bidi="ar"/>
                    </w:rPr>
                    <w:t xml:space="preserve">0.055 </w:t>
                  </w:r>
                </w:p>
              </w:tc>
              <w:tc>
                <w:tcPr>
                  <w:tcW w:w="536" w:type="pct"/>
                  <w:shd w:val="clear" w:color="auto" w:fill="auto"/>
                  <w:noWrap w:val="0"/>
                  <w:vAlign w:val="center"/>
                </w:tcPr>
                <w:p w14:paraId="5B9E9FB1">
                  <w:pPr>
                    <w:keepNext w:val="0"/>
                    <w:keepLines w:val="0"/>
                    <w:widowControl/>
                    <w:suppressLineNumbers w:val="0"/>
                    <w:spacing w:before="0" w:beforeAutospacing="0" w:after="0" w:afterAutospacing="0" w:line="280" w:lineRule="exact"/>
                    <w:ind w:left="0" w:right="0"/>
                    <w:jc w:val="center"/>
                    <w:textAlignment w:val="center"/>
                    <w:rPr>
                      <w:rFonts w:hint="default" w:ascii="Times New Roman" w:hAnsi="Times New Roman" w:eastAsia="宋体" w:cs="Times New Roman"/>
                      <w:b w:val="0"/>
                      <w:bCs w:val="0"/>
                      <w:sz w:val="21"/>
                      <w:szCs w:val="21"/>
                      <w:highlight w:val="none"/>
                      <w:lang w:val="en-US" w:eastAsia="zh-CN" w:bidi="ar"/>
                    </w:rPr>
                  </w:pPr>
                  <w:r>
                    <w:rPr>
                      <w:rFonts w:hint="eastAsia" w:cs="Times New Roman"/>
                      <w:b w:val="0"/>
                      <w:bCs w:val="0"/>
                      <w:sz w:val="21"/>
                      <w:szCs w:val="21"/>
                      <w:highlight w:val="none"/>
                      <w:lang w:val="en-US" w:eastAsia="zh-CN" w:bidi="ar"/>
                    </w:rPr>
                    <w:t>0.114</w:t>
                  </w:r>
                </w:p>
              </w:tc>
              <w:tc>
                <w:tcPr>
                  <w:tcW w:w="719" w:type="pct"/>
                  <w:shd w:val="clear" w:color="auto" w:fill="auto"/>
                  <w:noWrap w:val="0"/>
                  <w:vAlign w:val="center"/>
                </w:tcPr>
                <w:p w14:paraId="6A18DA97">
                  <w:pPr>
                    <w:keepNext w:val="0"/>
                    <w:keepLines w:val="0"/>
                    <w:widowControl/>
                    <w:suppressLineNumbers w:val="0"/>
                    <w:spacing w:before="0" w:beforeAutospacing="0" w:after="0" w:afterAutospacing="0" w:line="280" w:lineRule="exact"/>
                    <w:ind w:left="0" w:right="0"/>
                    <w:jc w:val="center"/>
                    <w:textAlignment w:val="center"/>
                    <w:rPr>
                      <w:rFonts w:hint="default" w:ascii="Times New Roman" w:hAnsi="Times New Roman" w:eastAsia="宋体" w:cs="Times New Roman"/>
                      <w:b w:val="0"/>
                      <w:bCs w:val="0"/>
                      <w:sz w:val="21"/>
                      <w:szCs w:val="21"/>
                      <w:highlight w:val="none"/>
                      <w:lang w:val="en-US" w:eastAsia="zh-CN" w:bidi="ar"/>
                    </w:rPr>
                  </w:pPr>
                  <w:r>
                    <w:rPr>
                      <w:rFonts w:hint="eastAsia" w:cs="Times New Roman"/>
                      <w:b w:val="0"/>
                      <w:bCs w:val="0"/>
                      <w:sz w:val="21"/>
                      <w:szCs w:val="21"/>
                      <w:highlight w:val="none"/>
                      <w:lang w:val="en-US" w:eastAsia="zh-CN" w:bidi="ar"/>
                    </w:rPr>
                    <w:t xml:space="preserve">0.055 </w:t>
                  </w:r>
                </w:p>
              </w:tc>
            </w:tr>
            <w:tr w14:paraId="1E29240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470" w:type="pct"/>
                  <w:vMerge w:val="continue"/>
                  <w:noWrap w:val="0"/>
                  <w:vAlign w:val="center"/>
                </w:tcPr>
                <w:p w14:paraId="6B0A06C5">
                  <w:pPr>
                    <w:keepNext w:val="0"/>
                    <w:keepLines w:val="0"/>
                    <w:widowControl/>
                    <w:suppressLineNumbers w:val="0"/>
                    <w:spacing w:before="0" w:beforeAutospacing="0" w:after="0" w:afterAutospacing="0" w:line="280" w:lineRule="exact"/>
                    <w:ind w:left="0" w:right="0"/>
                    <w:jc w:val="center"/>
                    <w:textAlignment w:val="center"/>
                    <w:rPr>
                      <w:rFonts w:hint="eastAsia" w:ascii="Times New Roman" w:hAnsi="Times New Roman" w:eastAsia="宋体" w:cs="Times New Roman"/>
                      <w:b w:val="0"/>
                      <w:bCs w:val="0"/>
                      <w:sz w:val="21"/>
                      <w:szCs w:val="21"/>
                      <w:highlight w:val="none"/>
                      <w:lang w:val="en-US" w:eastAsia="zh-CN" w:bidi="ar"/>
                    </w:rPr>
                  </w:pPr>
                </w:p>
              </w:tc>
              <w:tc>
                <w:tcPr>
                  <w:tcW w:w="1095" w:type="pct"/>
                  <w:gridSpan w:val="2"/>
                  <w:noWrap w:val="0"/>
                  <w:vAlign w:val="center"/>
                </w:tcPr>
                <w:p w14:paraId="14795E7A">
                  <w:pPr>
                    <w:keepNext w:val="0"/>
                    <w:keepLines w:val="0"/>
                    <w:widowControl/>
                    <w:suppressLineNumbers w:val="0"/>
                    <w:spacing w:before="0" w:beforeAutospacing="0" w:after="0" w:afterAutospacing="0" w:line="280" w:lineRule="exact"/>
                    <w:ind w:left="0" w:right="0"/>
                    <w:jc w:val="center"/>
                    <w:textAlignment w:val="center"/>
                    <w:rPr>
                      <w:rFonts w:hint="eastAsia" w:cs="Times New Roman"/>
                      <w:b w:val="0"/>
                      <w:bCs w:val="0"/>
                      <w:sz w:val="21"/>
                      <w:szCs w:val="21"/>
                      <w:highlight w:val="none"/>
                      <w:lang w:val="en-US" w:eastAsia="zh-CN" w:bidi="ar"/>
                    </w:rPr>
                  </w:pPr>
                  <w:r>
                    <w:rPr>
                      <w:rFonts w:hint="eastAsia" w:cs="Times New Roman"/>
                      <w:b w:val="0"/>
                      <w:bCs w:val="0"/>
                      <w:sz w:val="21"/>
                      <w:szCs w:val="21"/>
                      <w:highlight w:val="none"/>
                      <w:lang w:val="en-US" w:eastAsia="zh-CN" w:bidi="ar"/>
                    </w:rPr>
                    <w:t>无组织</w:t>
                  </w:r>
                </w:p>
              </w:tc>
              <w:tc>
                <w:tcPr>
                  <w:tcW w:w="813" w:type="pct"/>
                  <w:vMerge w:val="continue"/>
                  <w:noWrap w:val="0"/>
                  <w:vAlign w:val="center"/>
                </w:tcPr>
                <w:p w14:paraId="491AB643">
                  <w:pPr>
                    <w:keepNext w:val="0"/>
                    <w:keepLines w:val="0"/>
                    <w:widowControl/>
                    <w:suppressLineNumbers w:val="0"/>
                    <w:spacing w:before="0" w:beforeAutospacing="0" w:after="0" w:afterAutospacing="0" w:line="280" w:lineRule="exact"/>
                    <w:ind w:left="0" w:right="0"/>
                    <w:jc w:val="center"/>
                    <w:textAlignment w:val="center"/>
                    <w:rPr>
                      <w:rFonts w:hint="eastAsia" w:ascii="Times New Roman" w:hAnsi="Times New Roman" w:eastAsia="宋体" w:cs="Times New Roman"/>
                      <w:b w:val="0"/>
                      <w:bCs w:val="0"/>
                      <w:sz w:val="21"/>
                      <w:szCs w:val="21"/>
                      <w:highlight w:val="none"/>
                      <w:lang w:val="en-US" w:eastAsia="zh-CN" w:bidi="ar"/>
                    </w:rPr>
                  </w:pPr>
                </w:p>
              </w:tc>
              <w:tc>
                <w:tcPr>
                  <w:tcW w:w="591" w:type="pct"/>
                  <w:noWrap w:val="0"/>
                  <w:vAlign w:val="center"/>
                </w:tcPr>
                <w:p w14:paraId="1A13F707">
                  <w:pPr>
                    <w:keepNext w:val="0"/>
                    <w:keepLines w:val="0"/>
                    <w:widowControl/>
                    <w:suppressLineNumbers w:val="0"/>
                    <w:spacing w:before="0" w:beforeAutospacing="0" w:after="0" w:afterAutospacing="0" w:line="280" w:lineRule="exact"/>
                    <w:ind w:left="0" w:right="0"/>
                    <w:jc w:val="center"/>
                    <w:textAlignment w:val="center"/>
                    <w:rPr>
                      <w:rFonts w:hint="default" w:ascii="Times New Roman" w:hAnsi="Times New Roman" w:eastAsia="宋体" w:cs="Times New Roman"/>
                      <w:b w:val="0"/>
                      <w:bCs w:val="0"/>
                      <w:sz w:val="21"/>
                      <w:szCs w:val="21"/>
                      <w:highlight w:val="none"/>
                      <w:lang w:val="en-US" w:eastAsia="zh-CN" w:bidi="ar"/>
                    </w:rPr>
                  </w:pPr>
                  <w:r>
                    <w:rPr>
                      <w:rFonts w:hint="eastAsia" w:cs="Times New Roman"/>
                      <w:b w:val="0"/>
                      <w:bCs w:val="0"/>
                      <w:sz w:val="21"/>
                      <w:szCs w:val="21"/>
                      <w:highlight w:val="none"/>
                      <w:lang w:val="en-US" w:eastAsia="zh-CN" w:bidi="ar"/>
                    </w:rPr>
                    <w:t>0.013</w:t>
                  </w:r>
                </w:p>
              </w:tc>
              <w:tc>
                <w:tcPr>
                  <w:tcW w:w="774" w:type="pct"/>
                  <w:noWrap w:val="0"/>
                  <w:vAlign w:val="center"/>
                </w:tcPr>
                <w:p w14:paraId="30E8E187">
                  <w:pPr>
                    <w:keepNext w:val="0"/>
                    <w:keepLines w:val="0"/>
                    <w:widowControl/>
                    <w:suppressLineNumbers w:val="0"/>
                    <w:spacing w:before="0" w:beforeAutospacing="0" w:after="0" w:afterAutospacing="0" w:line="280" w:lineRule="exact"/>
                    <w:ind w:left="0" w:right="0"/>
                    <w:jc w:val="center"/>
                    <w:textAlignment w:val="center"/>
                    <w:rPr>
                      <w:rFonts w:hint="default" w:cs="Times New Roman"/>
                      <w:b w:val="0"/>
                      <w:bCs w:val="0"/>
                      <w:sz w:val="21"/>
                      <w:szCs w:val="21"/>
                      <w:highlight w:val="none"/>
                      <w:lang w:val="en-US" w:eastAsia="zh-CN" w:bidi="ar"/>
                    </w:rPr>
                  </w:pPr>
                  <w:r>
                    <w:rPr>
                      <w:rFonts w:hint="eastAsia" w:cs="Times New Roman"/>
                      <w:b w:val="0"/>
                      <w:bCs w:val="0"/>
                      <w:sz w:val="21"/>
                      <w:szCs w:val="21"/>
                      <w:highlight w:val="none"/>
                      <w:lang w:val="en-US" w:eastAsia="zh-CN" w:bidi="ar"/>
                    </w:rPr>
                    <w:t xml:space="preserve">0.006 </w:t>
                  </w:r>
                </w:p>
              </w:tc>
              <w:tc>
                <w:tcPr>
                  <w:tcW w:w="536" w:type="pct"/>
                  <w:shd w:val="clear" w:color="auto" w:fill="auto"/>
                  <w:noWrap w:val="0"/>
                  <w:vAlign w:val="center"/>
                </w:tcPr>
                <w:p w14:paraId="3321652C">
                  <w:pPr>
                    <w:keepNext w:val="0"/>
                    <w:keepLines w:val="0"/>
                    <w:widowControl/>
                    <w:suppressLineNumbers w:val="0"/>
                    <w:spacing w:before="0" w:beforeAutospacing="0" w:after="0" w:afterAutospacing="0" w:line="280" w:lineRule="exact"/>
                    <w:ind w:left="0" w:right="0"/>
                    <w:jc w:val="center"/>
                    <w:textAlignment w:val="center"/>
                    <w:rPr>
                      <w:rFonts w:hint="default" w:ascii="Times New Roman" w:hAnsi="Times New Roman" w:eastAsia="宋体" w:cs="Times New Roman"/>
                      <w:b w:val="0"/>
                      <w:bCs w:val="0"/>
                      <w:sz w:val="21"/>
                      <w:szCs w:val="21"/>
                      <w:highlight w:val="none"/>
                      <w:lang w:val="en-US" w:eastAsia="zh-CN" w:bidi="ar"/>
                    </w:rPr>
                  </w:pPr>
                  <w:r>
                    <w:rPr>
                      <w:rFonts w:hint="eastAsia" w:cs="Times New Roman"/>
                      <w:b w:val="0"/>
                      <w:bCs w:val="0"/>
                      <w:sz w:val="21"/>
                      <w:szCs w:val="21"/>
                      <w:highlight w:val="none"/>
                      <w:lang w:val="en-US" w:eastAsia="zh-CN" w:bidi="ar"/>
                    </w:rPr>
                    <w:t>0.013</w:t>
                  </w:r>
                </w:p>
              </w:tc>
              <w:tc>
                <w:tcPr>
                  <w:tcW w:w="719" w:type="pct"/>
                  <w:shd w:val="clear" w:color="auto" w:fill="auto"/>
                  <w:noWrap w:val="0"/>
                  <w:vAlign w:val="center"/>
                </w:tcPr>
                <w:p w14:paraId="470FF5D4">
                  <w:pPr>
                    <w:keepNext w:val="0"/>
                    <w:keepLines w:val="0"/>
                    <w:widowControl/>
                    <w:suppressLineNumbers w:val="0"/>
                    <w:spacing w:before="0" w:beforeAutospacing="0" w:after="0" w:afterAutospacing="0" w:line="280" w:lineRule="exact"/>
                    <w:ind w:left="0" w:right="0"/>
                    <w:jc w:val="center"/>
                    <w:textAlignment w:val="center"/>
                    <w:rPr>
                      <w:rFonts w:hint="default" w:ascii="Times New Roman" w:hAnsi="Times New Roman" w:eastAsia="宋体" w:cs="Times New Roman"/>
                      <w:b w:val="0"/>
                      <w:bCs w:val="0"/>
                      <w:sz w:val="21"/>
                      <w:szCs w:val="21"/>
                      <w:highlight w:val="none"/>
                      <w:lang w:val="en-US" w:eastAsia="zh-CN" w:bidi="ar"/>
                    </w:rPr>
                  </w:pPr>
                  <w:r>
                    <w:rPr>
                      <w:rFonts w:hint="eastAsia" w:cs="Times New Roman"/>
                      <w:b w:val="0"/>
                      <w:bCs w:val="0"/>
                      <w:sz w:val="21"/>
                      <w:szCs w:val="21"/>
                      <w:highlight w:val="none"/>
                      <w:lang w:val="en-US" w:eastAsia="zh-CN" w:bidi="ar"/>
                    </w:rPr>
                    <w:t xml:space="preserve">0.006 </w:t>
                  </w:r>
                </w:p>
              </w:tc>
            </w:tr>
            <w:tr w14:paraId="3A5B57E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470" w:type="pct"/>
                  <w:vMerge w:val="continue"/>
                  <w:noWrap w:val="0"/>
                  <w:vAlign w:val="center"/>
                </w:tcPr>
                <w:p w14:paraId="3FA00D88">
                  <w:pPr>
                    <w:keepNext w:val="0"/>
                    <w:keepLines w:val="0"/>
                    <w:widowControl/>
                    <w:suppressLineNumbers w:val="0"/>
                    <w:spacing w:before="0" w:beforeAutospacing="0" w:after="0" w:afterAutospacing="0" w:line="280" w:lineRule="exact"/>
                    <w:ind w:left="0" w:right="0"/>
                    <w:jc w:val="center"/>
                    <w:textAlignment w:val="center"/>
                    <w:rPr>
                      <w:rFonts w:hint="eastAsia" w:ascii="Times New Roman" w:hAnsi="Times New Roman" w:eastAsia="宋体" w:cs="Times New Roman"/>
                      <w:b w:val="0"/>
                      <w:bCs w:val="0"/>
                      <w:sz w:val="21"/>
                      <w:szCs w:val="21"/>
                      <w:highlight w:val="none"/>
                      <w:lang w:val="en-US" w:eastAsia="zh-CN" w:bidi="ar"/>
                    </w:rPr>
                  </w:pPr>
                </w:p>
              </w:tc>
              <w:tc>
                <w:tcPr>
                  <w:tcW w:w="527" w:type="pct"/>
                  <w:noWrap w:val="0"/>
                  <w:vAlign w:val="center"/>
                </w:tcPr>
                <w:p w14:paraId="11AEFC64">
                  <w:pPr>
                    <w:keepNext w:val="0"/>
                    <w:keepLines w:val="0"/>
                    <w:widowControl/>
                    <w:suppressLineNumbers w:val="0"/>
                    <w:spacing w:before="0" w:beforeAutospacing="0" w:after="0" w:afterAutospacing="0" w:line="280" w:lineRule="exact"/>
                    <w:ind w:left="0" w:right="0"/>
                    <w:jc w:val="center"/>
                    <w:textAlignment w:val="center"/>
                    <w:rPr>
                      <w:rFonts w:hint="default" w:ascii="Times New Roman" w:hAnsi="Times New Roman" w:eastAsia="宋体" w:cs="Times New Roman"/>
                      <w:b w:val="0"/>
                      <w:bCs w:val="0"/>
                      <w:sz w:val="21"/>
                      <w:szCs w:val="21"/>
                      <w:highlight w:val="none"/>
                      <w:lang w:val="en-US" w:eastAsia="zh-CN" w:bidi="ar"/>
                    </w:rPr>
                  </w:pPr>
                  <w:r>
                    <w:rPr>
                      <w:rFonts w:hint="eastAsia" w:ascii="Times New Roman" w:hAnsi="Times New Roman" w:eastAsia="宋体" w:cs="Times New Roman"/>
                      <w:b w:val="0"/>
                      <w:bCs w:val="0"/>
                      <w:sz w:val="21"/>
                      <w:szCs w:val="21"/>
                      <w:highlight w:val="none"/>
                      <w:lang w:val="en-US" w:eastAsia="zh-CN" w:bidi="ar"/>
                    </w:rPr>
                    <w:t>DA018</w:t>
                  </w:r>
                </w:p>
              </w:tc>
              <w:tc>
                <w:tcPr>
                  <w:tcW w:w="567" w:type="pct"/>
                  <w:shd w:val="clear" w:color="auto" w:fill="auto"/>
                  <w:noWrap w:val="0"/>
                  <w:vAlign w:val="center"/>
                </w:tcPr>
                <w:p w14:paraId="5A571320">
                  <w:pPr>
                    <w:keepNext w:val="0"/>
                    <w:keepLines w:val="0"/>
                    <w:widowControl/>
                    <w:suppressLineNumbers w:val="0"/>
                    <w:spacing w:before="0" w:beforeAutospacing="0" w:after="0" w:afterAutospacing="0" w:line="280" w:lineRule="exact"/>
                    <w:ind w:left="0" w:right="0"/>
                    <w:jc w:val="center"/>
                    <w:textAlignment w:val="center"/>
                    <w:rPr>
                      <w:rFonts w:hint="eastAsia" w:cs="Times New Roman"/>
                      <w:b w:val="0"/>
                      <w:bCs w:val="0"/>
                      <w:sz w:val="21"/>
                      <w:szCs w:val="21"/>
                      <w:highlight w:val="none"/>
                      <w:lang w:val="en-US" w:eastAsia="zh-CN" w:bidi="ar"/>
                    </w:rPr>
                  </w:pPr>
                  <w:r>
                    <w:rPr>
                      <w:rFonts w:hint="eastAsia" w:cs="Times New Roman"/>
                      <w:b w:val="0"/>
                      <w:bCs w:val="0"/>
                      <w:sz w:val="21"/>
                      <w:szCs w:val="21"/>
                      <w:highlight w:val="none"/>
                      <w:lang w:val="en-US" w:eastAsia="zh-CN" w:bidi="ar"/>
                    </w:rPr>
                    <w:t>有组织</w:t>
                  </w:r>
                </w:p>
              </w:tc>
              <w:tc>
                <w:tcPr>
                  <w:tcW w:w="813" w:type="pct"/>
                  <w:vMerge w:val="restart"/>
                  <w:noWrap w:val="0"/>
                  <w:vAlign w:val="center"/>
                </w:tcPr>
                <w:p w14:paraId="1231D502">
                  <w:pPr>
                    <w:keepNext w:val="0"/>
                    <w:keepLines w:val="0"/>
                    <w:widowControl/>
                    <w:suppressLineNumbers w:val="0"/>
                    <w:spacing w:before="0" w:beforeAutospacing="0" w:after="0" w:afterAutospacing="0" w:line="280" w:lineRule="exact"/>
                    <w:ind w:left="0" w:right="0"/>
                    <w:jc w:val="center"/>
                    <w:textAlignment w:val="center"/>
                    <w:rPr>
                      <w:rFonts w:hint="eastAsia" w:ascii="Times New Roman" w:hAnsi="Times New Roman" w:eastAsia="宋体" w:cs="Times New Roman"/>
                      <w:b w:val="0"/>
                      <w:bCs w:val="0"/>
                      <w:sz w:val="21"/>
                      <w:szCs w:val="21"/>
                      <w:highlight w:val="none"/>
                      <w:lang w:val="en-US" w:eastAsia="zh-CN" w:bidi="ar"/>
                    </w:rPr>
                  </w:pPr>
                  <w:r>
                    <w:rPr>
                      <w:rFonts w:hint="eastAsia" w:cs="Times New Roman"/>
                      <w:b w:val="0"/>
                      <w:bCs w:val="0"/>
                      <w:sz w:val="21"/>
                      <w:szCs w:val="21"/>
                      <w:highlight w:val="none"/>
                      <w:lang w:val="en-US" w:eastAsia="zh-CN" w:bidi="ar"/>
                    </w:rPr>
                    <w:t>非甲烷总烃</w:t>
                  </w:r>
                </w:p>
              </w:tc>
              <w:tc>
                <w:tcPr>
                  <w:tcW w:w="591" w:type="pct"/>
                  <w:noWrap w:val="0"/>
                  <w:vAlign w:val="center"/>
                </w:tcPr>
                <w:p w14:paraId="34F88559">
                  <w:pPr>
                    <w:keepNext w:val="0"/>
                    <w:keepLines w:val="0"/>
                    <w:widowControl/>
                    <w:suppressLineNumbers w:val="0"/>
                    <w:spacing w:before="0" w:beforeAutospacing="0" w:after="0" w:afterAutospacing="0" w:line="280" w:lineRule="exact"/>
                    <w:ind w:left="0" w:right="0"/>
                    <w:jc w:val="center"/>
                    <w:textAlignment w:val="center"/>
                    <w:rPr>
                      <w:rFonts w:hint="default" w:ascii="Times New Roman" w:hAnsi="Times New Roman" w:eastAsia="宋体" w:cs="Times New Roman"/>
                      <w:b w:val="0"/>
                      <w:bCs w:val="0"/>
                      <w:sz w:val="21"/>
                      <w:szCs w:val="21"/>
                      <w:highlight w:val="none"/>
                      <w:lang w:val="en-US" w:eastAsia="zh-CN" w:bidi="ar"/>
                    </w:rPr>
                  </w:pPr>
                  <w:r>
                    <w:rPr>
                      <w:rFonts w:hint="eastAsia" w:cs="Times New Roman"/>
                      <w:b w:val="0"/>
                      <w:bCs w:val="0"/>
                      <w:sz w:val="21"/>
                      <w:szCs w:val="21"/>
                      <w:highlight w:val="none"/>
                      <w:lang w:val="en-US" w:eastAsia="zh-CN" w:bidi="ar"/>
                    </w:rPr>
                    <w:t>0.171</w:t>
                  </w:r>
                </w:p>
              </w:tc>
              <w:tc>
                <w:tcPr>
                  <w:tcW w:w="774" w:type="pct"/>
                  <w:noWrap w:val="0"/>
                  <w:vAlign w:val="center"/>
                </w:tcPr>
                <w:p w14:paraId="293B77FD">
                  <w:pPr>
                    <w:keepNext w:val="0"/>
                    <w:keepLines w:val="0"/>
                    <w:widowControl/>
                    <w:suppressLineNumbers w:val="0"/>
                    <w:spacing w:before="0" w:beforeAutospacing="0" w:after="0" w:afterAutospacing="0" w:line="280" w:lineRule="exact"/>
                    <w:ind w:left="0" w:right="0"/>
                    <w:jc w:val="center"/>
                    <w:textAlignment w:val="center"/>
                    <w:rPr>
                      <w:rFonts w:hint="default" w:cs="Times New Roman"/>
                      <w:b w:val="0"/>
                      <w:bCs w:val="0"/>
                      <w:sz w:val="21"/>
                      <w:szCs w:val="21"/>
                      <w:highlight w:val="none"/>
                      <w:lang w:val="en-US" w:eastAsia="zh-CN" w:bidi="ar"/>
                    </w:rPr>
                  </w:pPr>
                  <w:r>
                    <w:rPr>
                      <w:rFonts w:hint="eastAsia" w:cs="Times New Roman"/>
                      <w:b w:val="0"/>
                      <w:bCs w:val="0"/>
                      <w:sz w:val="21"/>
                      <w:szCs w:val="21"/>
                      <w:highlight w:val="none"/>
                      <w:lang w:val="en-US" w:eastAsia="zh-CN" w:bidi="ar"/>
                    </w:rPr>
                    <w:t xml:space="preserve">0.082 </w:t>
                  </w:r>
                </w:p>
              </w:tc>
              <w:tc>
                <w:tcPr>
                  <w:tcW w:w="536" w:type="pct"/>
                  <w:shd w:val="clear" w:color="auto" w:fill="auto"/>
                  <w:noWrap w:val="0"/>
                  <w:vAlign w:val="center"/>
                </w:tcPr>
                <w:p w14:paraId="3787B892">
                  <w:pPr>
                    <w:keepNext w:val="0"/>
                    <w:keepLines w:val="0"/>
                    <w:widowControl/>
                    <w:suppressLineNumbers w:val="0"/>
                    <w:spacing w:before="0" w:beforeAutospacing="0" w:after="0" w:afterAutospacing="0" w:line="280" w:lineRule="exact"/>
                    <w:ind w:left="0" w:right="0"/>
                    <w:jc w:val="center"/>
                    <w:textAlignment w:val="center"/>
                    <w:rPr>
                      <w:rFonts w:hint="default" w:ascii="Times New Roman" w:hAnsi="Times New Roman" w:eastAsia="宋体" w:cs="Times New Roman"/>
                      <w:b w:val="0"/>
                      <w:bCs w:val="0"/>
                      <w:sz w:val="21"/>
                      <w:szCs w:val="21"/>
                      <w:highlight w:val="none"/>
                      <w:lang w:val="en-US" w:eastAsia="zh-CN" w:bidi="ar"/>
                    </w:rPr>
                  </w:pPr>
                  <w:r>
                    <w:rPr>
                      <w:rFonts w:hint="eastAsia" w:cs="Times New Roman"/>
                      <w:b w:val="0"/>
                      <w:bCs w:val="0"/>
                      <w:sz w:val="21"/>
                      <w:szCs w:val="21"/>
                      <w:highlight w:val="none"/>
                      <w:lang w:val="en-US" w:eastAsia="zh-CN" w:bidi="ar"/>
                    </w:rPr>
                    <w:t>0.171</w:t>
                  </w:r>
                </w:p>
              </w:tc>
              <w:tc>
                <w:tcPr>
                  <w:tcW w:w="719" w:type="pct"/>
                  <w:shd w:val="clear" w:color="auto" w:fill="auto"/>
                  <w:noWrap w:val="0"/>
                  <w:vAlign w:val="center"/>
                </w:tcPr>
                <w:p w14:paraId="52183ADE">
                  <w:pPr>
                    <w:keepNext w:val="0"/>
                    <w:keepLines w:val="0"/>
                    <w:widowControl/>
                    <w:suppressLineNumbers w:val="0"/>
                    <w:spacing w:before="0" w:beforeAutospacing="0" w:after="0" w:afterAutospacing="0" w:line="280" w:lineRule="exact"/>
                    <w:ind w:left="0" w:right="0"/>
                    <w:jc w:val="center"/>
                    <w:textAlignment w:val="center"/>
                    <w:rPr>
                      <w:rFonts w:hint="default" w:ascii="Times New Roman" w:hAnsi="Times New Roman" w:eastAsia="宋体" w:cs="Times New Roman"/>
                      <w:b w:val="0"/>
                      <w:bCs w:val="0"/>
                      <w:sz w:val="21"/>
                      <w:szCs w:val="21"/>
                      <w:highlight w:val="none"/>
                      <w:lang w:val="en-US" w:eastAsia="zh-CN" w:bidi="ar"/>
                    </w:rPr>
                  </w:pPr>
                  <w:r>
                    <w:rPr>
                      <w:rFonts w:hint="eastAsia" w:cs="Times New Roman"/>
                      <w:b w:val="0"/>
                      <w:bCs w:val="0"/>
                      <w:sz w:val="21"/>
                      <w:szCs w:val="21"/>
                      <w:highlight w:val="none"/>
                      <w:lang w:val="en-US" w:eastAsia="zh-CN" w:bidi="ar"/>
                    </w:rPr>
                    <w:t xml:space="preserve">0.082 </w:t>
                  </w:r>
                </w:p>
              </w:tc>
            </w:tr>
            <w:tr w14:paraId="3BF4063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470" w:type="pct"/>
                  <w:vMerge w:val="continue"/>
                  <w:noWrap w:val="0"/>
                  <w:vAlign w:val="center"/>
                </w:tcPr>
                <w:p w14:paraId="65CE94DC">
                  <w:pPr>
                    <w:keepNext w:val="0"/>
                    <w:keepLines w:val="0"/>
                    <w:widowControl/>
                    <w:suppressLineNumbers w:val="0"/>
                    <w:spacing w:before="0" w:beforeAutospacing="0" w:after="0" w:afterAutospacing="0" w:line="280" w:lineRule="exact"/>
                    <w:ind w:left="0" w:right="0"/>
                    <w:jc w:val="center"/>
                    <w:textAlignment w:val="center"/>
                    <w:rPr>
                      <w:rFonts w:hint="eastAsia" w:ascii="Times New Roman" w:hAnsi="Times New Roman" w:eastAsia="宋体" w:cs="Times New Roman"/>
                      <w:b w:val="0"/>
                      <w:bCs w:val="0"/>
                      <w:sz w:val="21"/>
                      <w:szCs w:val="21"/>
                      <w:highlight w:val="none"/>
                      <w:lang w:val="en-US" w:eastAsia="zh-CN" w:bidi="ar"/>
                    </w:rPr>
                  </w:pPr>
                </w:p>
              </w:tc>
              <w:tc>
                <w:tcPr>
                  <w:tcW w:w="1095" w:type="pct"/>
                  <w:gridSpan w:val="2"/>
                  <w:noWrap w:val="0"/>
                  <w:vAlign w:val="center"/>
                </w:tcPr>
                <w:p w14:paraId="3913B346">
                  <w:pPr>
                    <w:keepNext w:val="0"/>
                    <w:keepLines w:val="0"/>
                    <w:widowControl/>
                    <w:suppressLineNumbers w:val="0"/>
                    <w:spacing w:before="0" w:beforeAutospacing="0" w:after="0" w:afterAutospacing="0" w:line="280" w:lineRule="exact"/>
                    <w:ind w:left="0" w:right="0"/>
                    <w:jc w:val="center"/>
                    <w:textAlignment w:val="center"/>
                    <w:rPr>
                      <w:rFonts w:hint="eastAsia" w:cs="Times New Roman"/>
                      <w:b w:val="0"/>
                      <w:bCs w:val="0"/>
                      <w:sz w:val="21"/>
                      <w:szCs w:val="21"/>
                      <w:highlight w:val="none"/>
                      <w:lang w:val="en-US" w:eastAsia="zh-CN" w:bidi="ar"/>
                    </w:rPr>
                  </w:pPr>
                  <w:r>
                    <w:rPr>
                      <w:rFonts w:hint="eastAsia" w:cs="Times New Roman"/>
                      <w:b w:val="0"/>
                      <w:bCs w:val="0"/>
                      <w:sz w:val="21"/>
                      <w:szCs w:val="21"/>
                      <w:highlight w:val="none"/>
                      <w:lang w:val="en-US" w:eastAsia="zh-CN" w:bidi="ar"/>
                    </w:rPr>
                    <w:t>无组织</w:t>
                  </w:r>
                </w:p>
              </w:tc>
              <w:tc>
                <w:tcPr>
                  <w:tcW w:w="813" w:type="pct"/>
                  <w:vMerge w:val="continue"/>
                  <w:noWrap w:val="0"/>
                  <w:vAlign w:val="center"/>
                </w:tcPr>
                <w:p w14:paraId="4737971F">
                  <w:pPr>
                    <w:keepNext w:val="0"/>
                    <w:keepLines w:val="0"/>
                    <w:widowControl/>
                    <w:suppressLineNumbers w:val="0"/>
                    <w:spacing w:before="0" w:beforeAutospacing="0" w:after="0" w:afterAutospacing="0" w:line="280" w:lineRule="exact"/>
                    <w:ind w:left="0" w:right="0"/>
                    <w:jc w:val="center"/>
                    <w:textAlignment w:val="center"/>
                    <w:rPr>
                      <w:rFonts w:hint="eastAsia" w:ascii="Times New Roman" w:hAnsi="Times New Roman" w:eastAsia="宋体" w:cs="Times New Roman"/>
                      <w:b w:val="0"/>
                      <w:bCs w:val="0"/>
                      <w:sz w:val="21"/>
                      <w:szCs w:val="21"/>
                      <w:highlight w:val="none"/>
                      <w:lang w:val="en-US" w:eastAsia="zh-CN" w:bidi="ar"/>
                    </w:rPr>
                  </w:pPr>
                </w:p>
              </w:tc>
              <w:tc>
                <w:tcPr>
                  <w:tcW w:w="591" w:type="pct"/>
                  <w:noWrap w:val="0"/>
                  <w:vAlign w:val="center"/>
                </w:tcPr>
                <w:p w14:paraId="228E18B9">
                  <w:pPr>
                    <w:keepNext w:val="0"/>
                    <w:keepLines w:val="0"/>
                    <w:widowControl/>
                    <w:suppressLineNumbers w:val="0"/>
                    <w:spacing w:before="0" w:beforeAutospacing="0" w:after="0" w:afterAutospacing="0" w:line="280" w:lineRule="exact"/>
                    <w:ind w:left="0" w:right="0"/>
                    <w:jc w:val="center"/>
                    <w:textAlignment w:val="center"/>
                    <w:rPr>
                      <w:rFonts w:hint="default" w:ascii="Times New Roman" w:hAnsi="Times New Roman" w:eastAsia="宋体" w:cs="Times New Roman"/>
                      <w:b w:val="0"/>
                      <w:bCs w:val="0"/>
                      <w:sz w:val="21"/>
                      <w:szCs w:val="21"/>
                      <w:highlight w:val="none"/>
                      <w:lang w:val="en-US" w:eastAsia="zh-CN" w:bidi="ar"/>
                    </w:rPr>
                  </w:pPr>
                  <w:r>
                    <w:rPr>
                      <w:rFonts w:hint="eastAsia" w:cs="Times New Roman"/>
                      <w:b w:val="0"/>
                      <w:bCs w:val="0"/>
                      <w:sz w:val="21"/>
                      <w:szCs w:val="21"/>
                      <w:highlight w:val="none"/>
                      <w:lang w:val="en-US" w:eastAsia="zh-CN" w:bidi="ar"/>
                    </w:rPr>
                    <w:t>0.019</w:t>
                  </w:r>
                </w:p>
              </w:tc>
              <w:tc>
                <w:tcPr>
                  <w:tcW w:w="774" w:type="pct"/>
                  <w:noWrap w:val="0"/>
                  <w:vAlign w:val="center"/>
                </w:tcPr>
                <w:p w14:paraId="1BCF6337">
                  <w:pPr>
                    <w:keepNext w:val="0"/>
                    <w:keepLines w:val="0"/>
                    <w:widowControl/>
                    <w:suppressLineNumbers w:val="0"/>
                    <w:spacing w:before="0" w:beforeAutospacing="0" w:after="0" w:afterAutospacing="0" w:line="280" w:lineRule="exact"/>
                    <w:ind w:left="0" w:right="0"/>
                    <w:jc w:val="center"/>
                    <w:textAlignment w:val="center"/>
                    <w:rPr>
                      <w:rFonts w:hint="default" w:cs="Times New Roman"/>
                      <w:b w:val="0"/>
                      <w:bCs w:val="0"/>
                      <w:sz w:val="21"/>
                      <w:szCs w:val="21"/>
                      <w:highlight w:val="none"/>
                      <w:lang w:val="en-US" w:eastAsia="zh-CN" w:bidi="ar"/>
                    </w:rPr>
                  </w:pPr>
                  <w:r>
                    <w:rPr>
                      <w:rFonts w:hint="eastAsia" w:cs="Times New Roman"/>
                      <w:b w:val="0"/>
                      <w:bCs w:val="0"/>
                      <w:sz w:val="21"/>
                      <w:szCs w:val="21"/>
                      <w:highlight w:val="none"/>
                      <w:lang w:val="en-US" w:eastAsia="zh-CN" w:bidi="ar"/>
                    </w:rPr>
                    <w:t xml:space="preserve">0.009 </w:t>
                  </w:r>
                </w:p>
              </w:tc>
              <w:tc>
                <w:tcPr>
                  <w:tcW w:w="536" w:type="pct"/>
                  <w:shd w:val="clear" w:color="auto" w:fill="auto"/>
                  <w:noWrap w:val="0"/>
                  <w:vAlign w:val="center"/>
                </w:tcPr>
                <w:p w14:paraId="14DC2600">
                  <w:pPr>
                    <w:keepNext w:val="0"/>
                    <w:keepLines w:val="0"/>
                    <w:widowControl/>
                    <w:suppressLineNumbers w:val="0"/>
                    <w:spacing w:before="0" w:beforeAutospacing="0" w:after="0" w:afterAutospacing="0" w:line="280" w:lineRule="exact"/>
                    <w:ind w:left="0" w:right="0"/>
                    <w:jc w:val="center"/>
                    <w:textAlignment w:val="center"/>
                    <w:rPr>
                      <w:rFonts w:hint="default" w:ascii="Times New Roman" w:hAnsi="Times New Roman" w:eastAsia="宋体" w:cs="Times New Roman"/>
                      <w:b w:val="0"/>
                      <w:bCs w:val="0"/>
                      <w:sz w:val="21"/>
                      <w:szCs w:val="21"/>
                      <w:highlight w:val="none"/>
                      <w:lang w:val="en-US" w:eastAsia="zh-CN" w:bidi="ar"/>
                    </w:rPr>
                  </w:pPr>
                  <w:r>
                    <w:rPr>
                      <w:rFonts w:hint="eastAsia" w:cs="Times New Roman"/>
                      <w:b w:val="0"/>
                      <w:bCs w:val="0"/>
                      <w:sz w:val="21"/>
                      <w:szCs w:val="21"/>
                      <w:highlight w:val="none"/>
                      <w:lang w:val="en-US" w:eastAsia="zh-CN" w:bidi="ar"/>
                    </w:rPr>
                    <w:t>0.019</w:t>
                  </w:r>
                </w:p>
              </w:tc>
              <w:tc>
                <w:tcPr>
                  <w:tcW w:w="719" w:type="pct"/>
                  <w:shd w:val="clear" w:color="auto" w:fill="auto"/>
                  <w:noWrap w:val="0"/>
                  <w:vAlign w:val="center"/>
                </w:tcPr>
                <w:p w14:paraId="07A70ABE">
                  <w:pPr>
                    <w:keepNext w:val="0"/>
                    <w:keepLines w:val="0"/>
                    <w:widowControl/>
                    <w:suppressLineNumbers w:val="0"/>
                    <w:spacing w:before="0" w:beforeAutospacing="0" w:after="0" w:afterAutospacing="0" w:line="280" w:lineRule="exact"/>
                    <w:ind w:left="0" w:right="0"/>
                    <w:jc w:val="center"/>
                    <w:textAlignment w:val="center"/>
                    <w:rPr>
                      <w:rFonts w:hint="default" w:ascii="Times New Roman" w:hAnsi="Times New Roman" w:eastAsia="宋体" w:cs="Times New Roman"/>
                      <w:b w:val="0"/>
                      <w:bCs w:val="0"/>
                      <w:sz w:val="21"/>
                      <w:szCs w:val="21"/>
                      <w:highlight w:val="none"/>
                      <w:lang w:val="en-US" w:eastAsia="zh-CN" w:bidi="ar"/>
                    </w:rPr>
                  </w:pPr>
                  <w:r>
                    <w:rPr>
                      <w:rFonts w:hint="eastAsia" w:cs="Times New Roman"/>
                      <w:b w:val="0"/>
                      <w:bCs w:val="0"/>
                      <w:sz w:val="21"/>
                      <w:szCs w:val="21"/>
                      <w:highlight w:val="none"/>
                      <w:lang w:val="en-US" w:eastAsia="zh-CN" w:bidi="ar"/>
                    </w:rPr>
                    <w:t xml:space="preserve">0.009 </w:t>
                  </w:r>
                </w:p>
              </w:tc>
            </w:tr>
            <w:tr w14:paraId="405BDC8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62" w:hRule="atLeast"/>
              </w:trPr>
              <w:tc>
                <w:tcPr>
                  <w:tcW w:w="470" w:type="pct"/>
                  <w:vMerge w:val="continue"/>
                  <w:noWrap w:val="0"/>
                  <w:vAlign w:val="center"/>
                </w:tcPr>
                <w:p w14:paraId="05FE26AE">
                  <w:pPr>
                    <w:keepNext w:val="0"/>
                    <w:keepLines w:val="0"/>
                    <w:widowControl/>
                    <w:suppressLineNumbers w:val="0"/>
                    <w:spacing w:before="0" w:beforeAutospacing="0" w:after="0" w:afterAutospacing="0" w:line="280" w:lineRule="exact"/>
                    <w:ind w:left="0" w:right="0"/>
                    <w:jc w:val="center"/>
                    <w:textAlignment w:val="center"/>
                    <w:rPr>
                      <w:rFonts w:hint="eastAsia" w:ascii="Times New Roman" w:hAnsi="Times New Roman" w:eastAsia="宋体" w:cs="Times New Roman"/>
                      <w:b w:val="0"/>
                      <w:bCs w:val="0"/>
                      <w:sz w:val="21"/>
                      <w:szCs w:val="21"/>
                      <w:highlight w:val="none"/>
                      <w:lang w:val="en-US" w:eastAsia="zh-CN" w:bidi="ar"/>
                    </w:rPr>
                  </w:pPr>
                </w:p>
              </w:tc>
              <w:tc>
                <w:tcPr>
                  <w:tcW w:w="527" w:type="pct"/>
                  <w:noWrap w:val="0"/>
                  <w:vAlign w:val="center"/>
                </w:tcPr>
                <w:p w14:paraId="132DF753">
                  <w:pPr>
                    <w:keepNext w:val="0"/>
                    <w:keepLines w:val="0"/>
                    <w:widowControl/>
                    <w:suppressLineNumbers w:val="0"/>
                    <w:spacing w:before="0" w:beforeAutospacing="0" w:after="0" w:afterAutospacing="0" w:line="280" w:lineRule="exact"/>
                    <w:ind w:left="0" w:right="0"/>
                    <w:jc w:val="center"/>
                    <w:textAlignment w:val="center"/>
                    <w:rPr>
                      <w:rFonts w:hint="default" w:ascii="Times New Roman" w:hAnsi="Times New Roman" w:eastAsia="宋体" w:cs="Times New Roman"/>
                      <w:b w:val="0"/>
                      <w:bCs w:val="0"/>
                      <w:sz w:val="21"/>
                      <w:szCs w:val="21"/>
                      <w:highlight w:val="none"/>
                      <w:lang w:val="en-US" w:eastAsia="zh-CN" w:bidi="ar"/>
                    </w:rPr>
                  </w:pPr>
                  <w:r>
                    <w:rPr>
                      <w:rFonts w:hint="eastAsia" w:ascii="Times New Roman" w:hAnsi="Times New Roman" w:eastAsia="宋体" w:cs="Times New Roman"/>
                      <w:b w:val="0"/>
                      <w:bCs w:val="0"/>
                      <w:sz w:val="21"/>
                      <w:szCs w:val="21"/>
                      <w:highlight w:val="none"/>
                      <w:lang w:val="en-US" w:eastAsia="zh-CN" w:bidi="ar"/>
                    </w:rPr>
                    <w:t>DA019</w:t>
                  </w:r>
                </w:p>
              </w:tc>
              <w:tc>
                <w:tcPr>
                  <w:tcW w:w="567" w:type="pct"/>
                  <w:shd w:val="clear" w:color="auto" w:fill="auto"/>
                  <w:noWrap w:val="0"/>
                  <w:vAlign w:val="center"/>
                </w:tcPr>
                <w:p w14:paraId="3A5C8FB6">
                  <w:pPr>
                    <w:keepNext w:val="0"/>
                    <w:keepLines w:val="0"/>
                    <w:widowControl/>
                    <w:suppressLineNumbers w:val="0"/>
                    <w:spacing w:before="0" w:beforeAutospacing="0" w:after="0" w:afterAutospacing="0" w:line="280" w:lineRule="exact"/>
                    <w:ind w:left="0" w:right="0"/>
                    <w:jc w:val="center"/>
                    <w:textAlignment w:val="center"/>
                    <w:rPr>
                      <w:rFonts w:hint="eastAsia" w:cs="Times New Roman"/>
                      <w:b w:val="0"/>
                      <w:bCs w:val="0"/>
                      <w:sz w:val="21"/>
                      <w:szCs w:val="21"/>
                      <w:highlight w:val="none"/>
                      <w:lang w:val="en-US" w:eastAsia="zh-CN" w:bidi="ar"/>
                    </w:rPr>
                  </w:pPr>
                  <w:r>
                    <w:rPr>
                      <w:rFonts w:hint="eastAsia" w:cs="Times New Roman"/>
                      <w:b w:val="0"/>
                      <w:bCs w:val="0"/>
                      <w:sz w:val="21"/>
                      <w:szCs w:val="21"/>
                      <w:highlight w:val="none"/>
                      <w:lang w:val="en-US" w:eastAsia="zh-CN" w:bidi="ar"/>
                    </w:rPr>
                    <w:t>有组织</w:t>
                  </w:r>
                </w:p>
              </w:tc>
              <w:tc>
                <w:tcPr>
                  <w:tcW w:w="813" w:type="pct"/>
                  <w:vMerge w:val="restart"/>
                  <w:noWrap w:val="0"/>
                  <w:vAlign w:val="center"/>
                </w:tcPr>
                <w:p w14:paraId="0C1A5EDB">
                  <w:pPr>
                    <w:keepNext w:val="0"/>
                    <w:keepLines w:val="0"/>
                    <w:widowControl/>
                    <w:suppressLineNumbers w:val="0"/>
                    <w:spacing w:before="0" w:beforeAutospacing="0" w:after="0" w:afterAutospacing="0" w:line="280" w:lineRule="exact"/>
                    <w:ind w:left="0" w:right="0"/>
                    <w:jc w:val="center"/>
                    <w:textAlignment w:val="center"/>
                    <w:rPr>
                      <w:rFonts w:hint="eastAsia" w:ascii="Times New Roman" w:hAnsi="Times New Roman" w:eastAsia="宋体" w:cs="Times New Roman"/>
                      <w:b w:val="0"/>
                      <w:bCs w:val="0"/>
                      <w:sz w:val="21"/>
                      <w:szCs w:val="21"/>
                      <w:highlight w:val="none"/>
                      <w:lang w:val="en-US" w:eastAsia="zh-CN" w:bidi="ar"/>
                    </w:rPr>
                  </w:pPr>
                  <w:r>
                    <w:rPr>
                      <w:rFonts w:hint="eastAsia" w:cs="Times New Roman"/>
                      <w:b w:val="0"/>
                      <w:bCs w:val="0"/>
                      <w:sz w:val="21"/>
                      <w:szCs w:val="21"/>
                      <w:highlight w:val="none"/>
                      <w:lang w:val="en-US" w:eastAsia="zh-CN" w:bidi="ar"/>
                    </w:rPr>
                    <w:t>非甲烷总烃</w:t>
                  </w:r>
                </w:p>
              </w:tc>
              <w:tc>
                <w:tcPr>
                  <w:tcW w:w="591" w:type="pct"/>
                  <w:noWrap w:val="0"/>
                  <w:vAlign w:val="center"/>
                </w:tcPr>
                <w:p w14:paraId="536F9118">
                  <w:pPr>
                    <w:keepNext w:val="0"/>
                    <w:keepLines w:val="0"/>
                    <w:widowControl/>
                    <w:suppressLineNumbers w:val="0"/>
                    <w:spacing w:before="0" w:beforeAutospacing="0" w:after="0" w:afterAutospacing="0" w:line="280" w:lineRule="exact"/>
                    <w:ind w:left="0" w:right="0"/>
                    <w:jc w:val="center"/>
                    <w:textAlignment w:val="center"/>
                    <w:rPr>
                      <w:rFonts w:hint="default" w:ascii="Times New Roman" w:hAnsi="Times New Roman" w:eastAsia="宋体" w:cs="Times New Roman"/>
                      <w:b w:val="0"/>
                      <w:bCs w:val="0"/>
                      <w:sz w:val="21"/>
                      <w:szCs w:val="21"/>
                      <w:highlight w:val="none"/>
                      <w:lang w:val="en-US" w:eastAsia="zh-CN" w:bidi="ar"/>
                    </w:rPr>
                  </w:pPr>
                  <w:r>
                    <w:rPr>
                      <w:rFonts w:hint="eastAsia" w:cs="Times New Roman"/>
                      <w:b w:val="0"/>
                      <w:bCs w:val="0"/>
                      <w:sz w:val="21"/>
                      <w:szCs w:val="21"/>
                      <w:highlight w:val="none"/>
                      <w:lang w:val="en-US" w:eastAsia="zh-CN" w:bidi="ar"/>
                    </w:rPr>
                    <w:t>0.085</w:t>
                  </w:r>
                </w:p>
              </w:tc>
              <w:tc>
                <w:tcPr>
                  <w:tcW w:w="774" w:type="pct"/>
                  <w:noWrap w:val="0"/>
                  <w:vAlign w:val="center"/>
                </w:tcPr>
                <w:p w14:paraId="35BFEA35">
                  <w:pPr>
                    <w:keepNext w:val="0"/>
                    <w:keepLines w:val="0"/>
                    <w:widowControl/>
                    <w:suppressLineNumbers w:val="0"/>
                    <w:spacing w:before="0" w:beforeAutospacing="0" w:after="0" w:afterAutospacing="0" w:line="280" w:lineRule="exact"/>
                    <w:ind w:left="0" w:right="0"/>
                    <w:jc w:val="center"/>
                    <w:textAlignment w:val="center"/>
                    <w:rPr>
                      <w:rFonts w:hint="default" w:cs="Times New Roman"/>
                      <w:b w:val="0"/>
                      <w:bCs w:val="0"/>
                      <w:sz w:val="21"/>
                      <w:szCs w:val="21"/>
                      <w:highlight w:val="none"/>
                      <w:lang w:val="en-US" w:eastAsia="zh-CN" w:bidi="ar"/>
                    </w:rPr>
                  </w:pPr>
                  <w:r>
                    <w:rPr>
                      <w:rFonts w:hint="eastAsia" w:cs="Times New Roman"/>
                      <w:b w:val="0"/>
                      <w:bCs w:val="0"/>
                      <w:sz w:val="21"/>
                      <w:szCs w:val="21"/>
                      <w:highlight w:val="none"/>
                      <w:lang w:val="en-US" w:eastAsia="zh-CN" w:bidi="ar"/>
                    </w:rPr>
                    <w:t xml:space="preserve">0.041 </w:t>
                  </w:r>
                </w:p>
              </w:tc>
              <w:tc>
                <w:tcPr>
                  <w:tcW w:w="536" w:type="pct"/>
                  <w:shd w:val="clear" w:color="auto" w:fill="auto"/>
                  <w:noWrap w:val="0"/>
                  <w:vAlign w:val="center"/>
                </w:tcPr>
                <w:p w14:paraId="5ACEDF13">
                  <w:pPr>
                    <w:keepNext w:val="0"/>
                    <w:keepLines w:val="0"/>
                    <w:widowControl/>
                    <w:suppressLineNumbers w:val="0"/>
                    <w:spacing w:before="0" w:beforeAutospacing="0" w:after="0" w:afterAutospacing="0" w:line="280" w:lineRule="exact"/>
                    <w:ind w:left="0" w:right="0"/>
                    <w:jc w:val="center"/>
                    <w:textAlignment w:val="center"/>
                    <w:rPr>
                      <w:rFonts w:hint="default" w:ascii="Times New Roman" w:hAnsi="Times New Roman" w:eastAsia="宋体" w:cs="Times New Roman"/>
                      <w:b w:val="0"/>
                      <w:bCs w:val="0"/>
                      <w:sz w:val="21"/>
                      <w:szCs w:val="21"/>
                      <w:highlight w:val="none"/>
                      <w:lang w:val="en-US" w:eastAsia="zh-CN" w:bidi="ar"/>
                    </w:rPr>
                  </w:pPr>
                  <w:r>
                    <w:rPr>
                      <w:rFonts w:hint="eastAsia" w:cs="Times New Roman"/>
                      <w:b w:val="0"/>
                      <w:bCs w:val="0"/>
                      <w:sz w:val="21"/>
                      <w:szCs w:val="21"/>
                      <w:highlight w:val="none"/>
                      <w:lang w:val="en-US" w:eastAsia="zh-CN" w:bidi="ar"/>
                    </w:rPr>
                    <w:t>0.085</w:t>
                  </w:r>
                </w:p>
              </w:tc>
              <w:tc>
                <w:tcPr>
                  <w:tcW w:w="719" w:type="pct"/>
                  <w:shd w:val="clear" w:color="auto" w:fill="auto"/>
                  <w:noWrap w:val="0"/>
                  <w:vAlign w:val="center"/>
                </w:tcPr>
                <w:p w14:paraId="449BD896">
                  <w:pPr>
                    <w:keepNext w:val="0"/>
                    <w:keepLines w:val="0"/>
                    <w:widowControl/>
                    <w:suppressLineNumbers w:val="0"/>
                    <w:spacing w:before="0" w:beforeAutospacing="0" w:after="0" w:afterAutospacing="0" w:line="280" w:lineRule="exact"/>
                    <w:ind w:left="0" w:right="0"/>
                    <w:jc w:val="center"/>
                    <w:textAlignment w:val="center"/>
                    <w:rPr>
                      <w:rFonts w:hint="default" w:ascii="Times New Roman" w:hAnsi="Times New Roman" w:eastAsia="宋体" w:cs="Times New Roman"/>
                      <w:b w:val="0"/>
                      <w:bCs w:val="0"/>
                      <w:sz w:val="21"/>
                      <w:szCs w:val="21"/>
                      <w:highlight w:val="none"/>
                      <w:lang w:val="en-US" w:eastAsia="zh-CN" w:bidi="ar"/>
                    </w:rPr>
                  </w:pPr>
                  <w:r>
                    <w:rPr>
                      <w:rFonts w:hint="eastAsia" w:cs="Times New Roman"/>
                      <w:b w:val="0"/>
                      <w:bCs w:val="0"/>
                      <w:sz w:val="21"/>
                      <w:szCs w:val="21"/>
                      <w:highlight w:val="none"/>
                      <w:lang w:val="en-US" w:eastAsia="zh-CN" w:bidi="ar"/>
                    </w:rPr>
                    <w:t xml:space="preserve">0.041 </w:t>
                  </w:r>
                </w:p>
              </w:tc>
            </w:tr>
            <w:tr w14:paraId="5210C0D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470" w:type="pct"/>
                  <w:vMerge w:val="continue"/>
                  <w:noWrap w:val="0"/>
                  <w:vAlign w:val="center"/>
                </w:tcPr>
                <w:p w14:paraId="7554927C">
                  <w:pPr>
                    <w:keepNext w:val="0"/>
                    <w:keepLines w:val="0"/>
                    <w:widowControl/>
                    <w:suppressLineNumbers w:val="0"/>
                    <w:spacing w:before="0" w:beforeAutospacing="0" w:after="0" w:afterAutospacing="0" w:line="280" w:lineRule="exact"/>
                    <w:ind w:left="0" w:right="0"/>
                    <w:jc w:val="center"/>
                    <w:textAlignment w:val="center"/>
                    <w:rPr>
                      <w:rFonts w:hint="eastAsia" w:ascii="Times New Roman" w:hAnsi="Times New Roman" w:eastAsia="宋体" w:cs="Times New Roman"/>
                      <w:b w:val="0"/>
                      <w:bCs w:val="0"/>
                      <w:sz w:val="21"/>
                      <w:szCs w:val="21"/>
                      <w:highlight w:val="none"/>
                      <w:lang w:val="en-US" w:eastAsia="zh-CN" w:bidi="ar"/>
                    </w:rPr>
                  </w:pPr>
                </w:p>
              </w:tc>
              <w:tc>
                <w:tcPr>
                  <w:tcW w:w="1095" w:type="pct"/>
                  <w:gridSpan w:val="2"/>
                  <w:noWrap w:val="0"/>
                  <w:vAlign w:val="center"/>
                </w:tcPr>
                <w:p w14:paraId="07B103B5">
                  <w:pPr>
                    <w:keepNext w:val="0"/>
                    <w:keepLines w:val="0"/>
                    <w:widowControl/>
                    <w:suppressLineNumbers w:val="0"/>
                    <w:spacing w:before="0" w:beforeAutospacing="0" w:after="0" w:afterAutospacing="0" w:line="280" w:lineRule="exact"/>
                    <w:ind w:left="0" w:right="0"/>
                    <w:jc w:val="center"/>
                    <w:textAlignment w:val="center"/>
                    <w:rPr>
                      <w:rFonts w:hint="eastAsia" w:cs="Times New Roman"/>
                      <w:b w:val="0"/>
                      <w:bCs w:val="0"/>
                      <w:sz w:val="21"/>
                      <w:szCs w:val="21"/>
                      <w:highlight w:val="none"/>
                      <w:lang w:val="en-US" w:eastAsia="zh-CN" w:bidi="ar"/>
                    </w:rPr>
                  </w:pPr>
                  <w:r>
                    <w:rPr>
                      <w:rFonts w:hint="eastAsia" w:cs="Times New Roman"/>
                      <w:b w:val="0"/>
                      <w:bCs w:val="0"/>
                      <w:sz w:val="21"/>
                      <w:szCs w:val="21"/>
                      <w:highlight w:val="none"/>
                      <w:lang w:val="en-US" w:eastAsia="zh-CN" w:bidi="ar"/>
                    </w:rPr>
                    <w:t>无组织</w:t>
                  </w:r>
                </w:p>
              </w:tc>
              <w:tc>
                <w:tcPr>
                  <w:tcW w:w="813" w:type="pct"/>
                  <w:vMerge w:val="continue"/>
                  <w:noWrap w:val="0"/>
                  <w:vAlign w:val="center"/>
                </w:tcPr>
                <w:p w14:paraId="4D4D5AE9">
                  <w:pPr>
                    <w:keepNext w:val="0"/>
                    <w:keepLines w:val="0"/>
                    <w:widowControl/>
                    <w:suppressLineNumbers w:val="0"/>
                    <w:spacing w:before="0" w:beforeAutospacing="0" w:after="0" w:afterAutospacing="0" w:line="280" w:lineRule="exact"/>
                    <w:ind w:left="0" w:right="0"/>
                    <w:jc w:val="center"/>
                    <w:textAlignment w:val="center"/>
                    <w:rPr>
                      <w:rFonts w:hint="eastAsia" w:ascii="Times New Roman" w:hAnsi="Times New Roman" w:eastAsia="宋体" w:cs="Times New Roman"/>
                      <w:b w:val="0"/>
                      <w:bCs w:val="0"/>
                      <w:sz w:val="21"/>
                      <w:szCs w:val="21"/>
                      <w:highlight w:val="none"/>
                      <w:lang w:val="en-US" w:eastAsia="zh-CN" w:bidi="ar"/>
                    </w:rPr>
                  </w:pPr>
                </w:p>
              </w:tc>
              <w:tc>
                <w:tcPr>
                  <w:tcW w:w="591" w:type="pct"/>
                  <w:noWrap w:val="0"/>
                  <w:vAlign w:val="center"/>
                </w:tcPr>
                <w:p w14:paraId="34420CE2">
                  <w:pPr>
                    <w:keepNext w:val="0"/>
                    <w:keepLines w:val="0"/>
                    <w:widowControl/>
                    <w:suppressLineNumbers w:val="0"/>
                    <w:spacing w:before="0" w:beforeAutospacing="0" w:after="0" w:afterAutospacing="0" w:line="280" w:lineRule="exact"/>
                    <w:ind w:left="0" w:right="0"/>
                    <w:jc w:val="center"/>
                    <w:textAlignment w:val="center"/>
                    <w:rPr>
                      <w:rFonts w:hint="default" w:ascii="Times New Roman" w:hAnsi="Times New Roman" w:eastAsia="宋体" w:cs="Times New Roman"/>
                      <w:b w:val="0"/>
                      <w:bCs w:val="0"/>
                      <w:sz w:val="21"/>
                      <w:szCs w:val="21"/>
                      <w:highlight w:val="none"/>
                      <w:lang w:val="en-US" w:eastAsia="zh-CN" w:bidi="ar"/>
                    </w:rPr>
                  </w:pPr>
                  <w:r>
                    <w:rPr>
                      <w:rFonts w:hint="eastAsia" w:cs="Times New Roman"/>
                      <w:b w:val="0"/>
                      <w:bCs w:val="0"/>
                      <w:sz w:val="21"/>
                      <w:szCs w:val="21"/>
                      <w:highlight w:val="none"/>
                      <w:lang w:val="en-US" w:eastAsia="zh-CN" w:bidi="ar"/>
                    </w:rPr>
                    <w:t>0.009</w:t>
                  </w:r>
                </w:p>
              </w:tc>
              <w:tc>
                <w:tcPr>
                  <w:tcW w:w="774" w:type="pct"/>
                  <w:noWrap w:val="0"/>
                  <w:vAlign w:val="center"/>
                </w:tcPr>
                <w:p w14:paraId="250E11AB">
                  <w:pPr>
                    <w:keepNext w:val="0"/>
                    <w:keepLines w:val="0"/>
                    <w:widowControl/>
                    <w:suppressLineNumbers w:val="0"/>
                    <w:spacing w:before="0" w:beforeAutospacing="0" w:after="0" w:afterAutospacing="0" w:line="280" w:lineRule="exact"/>
                    <w:ind w:left="0" w:right="0"/>
                    <w:jc w:val="center"/>
                    <w:textAlignment w:val="center"/>
                    <w:rPr>
                      <w:rFonts w:hint="default" w:cs="Times New Roman"/>
                      <w:b w:val="0"/>
                      <w:bCs w:val="0"/>
                      <w:sz w:val="21"/>
                      <w:szCs w:val="21"/>
                      <w:highlight w:val="none"/>
                      <w:lang w:val="en-US" w:eastAsia="zh-CN" w:bidi="ar"/>
                    </w:rPr>
                  </w:pPr>
                  <w:r>
                    <w:rPr>
                      <w:rFonts w:hint="eastAsia" w:cs="Times New Roman"/>
                      <w:b w:val="0"/>
                      <w:bCs w:val="0"/>
                      <w:sz w:val="21"/>
                      <w:szCs w:val="21"/>
                      <w:highlight w:val="none"/>
                      <w:lang w:val="en-US" w:eastAsia="zh-CN" w:bidi="ar"/>
                    </w:rPr>
                    <w:t xml:space="preserve">0.004 </w:t>
                  </w:r>
                </w:p>
              </w:tc>
              <w:tc>
                <w:tcPr>
                  <w:tcW w:w="536" w:type="pct"/>
                  <w:shd w:val="clear" w:color="auto" w:fill="auto"/>
                  <w:noWrap w:val="0"/>
                  <w:vAlign w:val="center"/>
                </w:tcPr>
                <w:p w14:paraId="15BF4CD9">
                  <w:pPr>
                    <w:keepNext w:val="0"/>
                    <w:keepLines w:val="0"/>
                    <w:widowControl/>
                    <w:suppressLineNumbers w:val="0"/>
                    <w:spacing w:before="0" w:beforeAutospacing="0" w:after="0" w:afterAutospacing="0" w:line="280" w:lineRule="exact"/>
                    <w:ind w:left="0" w:right="0"/>
                    <w:jc w:val="center"/>
                    <w:textAlignment w:val="center"/>
                    <w:rPr>
                      <w:rFonts w:hint="default" w:ascii="Times New Roman" w:hAnsi="Times New Roman" w:eastAsia="宋体" w:cs="Times New Roman"/>
                      <w:b w:val="0"/>
                      <w:bCs w:val="0"/>
                      <w:sz w:val="21"/>
                      <w:szCs w:val="21"/>
                      <w:highlight w:val="none"/>
                      <w:lang w:val="en-US" w:eastAsia="zh-CN" w:bidi="ar"/>
                    </w:rPr>
                  </w:pPr>
                  <w:r>
                    <w:rPr>
                      <w:rFonts w:hint="eastAsia" w:cs="Times New Roman"/>
                      <w:b w:val="0"/>
                      <w:bCs w:val="0"/>
                      <w:sz w:val="21"/>
                      <w:szCs w:val="21"/>
                      <w:highlight w:val="none"/>
                      <w:lang w:val="en-US" w:eastAsia="zh-CN" w:bidi="ar"/>
                    </w:rPr>
                    <w:t>0.009</w:t>
                  </w:r>
                </w:p>
              </w:tc>
              <w:tc>
                <w:tcPr>
                  <w:tcW w:w="719" w:type="pct"/>
                  <w:shd w:val="clear" w:color="auto" w:fill="auto"/>
                  <w:noWrap w:val="0"/>
                  <w:vAlign w:val="center"/>
                </w:tcPr>
                <w:p w14:paraId="6589D0FB">
                  <w:pPr>
                    <w:keepNext w:val="0"/>
                    <w:keepLines w:val="0"/>
                    <w:widowControl/>
                    <w:suppressLineNumbers w:val="0"/>
                    <w:spacing w:before="0" w:beforeAutospacing="0" w:after="0" w:afterAutospacing="0" w:line="280" w:lineRule="exact"/>
                    <w:ind w:left="0" w:right="0"/>
                    <w:jc w:val="center"/>
                    <w:textAlignment w:val="center"/>
                    <w:rPr>
                      <w:rFonts w:hint="default" w:ascii="Times New Roman" w:hAnsi="Times New Roman" w:eastAsia="宋体" w:cs="Times New Roman"/>
                      <w:b w:val="0"/>
                      <w:bCs w:val="0"/>
                      <w:sz w:val="21"/>
                      <w:szCs w:val="21"/>
                      <w:highlight w:val="none"/>
                      <w:lang w:val="en-US" w:eastAsia="zh-CN" w:bidi="ar"/>
                    </w:rPr>
                  </w:pPr>
                  <w:r>
                    <w:rPr>
                      <w:rFonts w:hint="eastAsia" w:cs="Times New Roman"/>
                      <w:b w:val="0"/>
                      <w:bCs w:val="0"/>
                      <w:sz w:val="21"/>
                      <w:szCs w:val="21"/>
                      <w:highlight w:val="none"/>
                      <w:lang w:val="en-US" w:eastAsia="zh-CN" w:bidi="ar"/>
                    </w:rPr>
                    <w:t xml:space="preserve">0.004 </w:t>
                  </w:r>
                </w:p>
              </w:tc>
            </w:tr>
            <w:tr w14:paraId="1312580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40" w:hRule="atLeast"/>
              </w:trPr>
              <w:tc>
                <w:tcPr>
                  <w:tcW w:w="470" w:type="pct"/>
                  <w:vMerge w:val="continue"/>
                  <w:noWrap w:val="0"/>
                  <w:vAlign w:val="center"/>
                </w:tcPr>
                <w:p w14:paraId="42C9367D">
                  <w:pPr>
                    <w:keepNext w:val="0"/>
                    <w:keepLines w:val="0"/>
                    <w:widowControl/>
                    <w:suppressLineNumbers w:val="0"/>
                    <w:spacing w:before="0" w:beforeAutospacing="0" w:after="0" w:afterAutospacing="0" w:line="280" w:lineRule="exact"/>
                    <w:ind w:left="0" w:right="0"/>
                    <w:jc w:val="center"/>
                    <w:textAlignment w:val="center"/>
                    <w:rPr>
                      <w:rFonts w:hint="eastAsia" w:ascii="Times New Roman" w:hAnsi="Times New Roman" w:eastAsia="宋体" w:cs="Times New Roman"/>
                      <w:b w:val="0"/>
                      <w:bCs w:val="0"/>
                      <w:sz w:val="21"/>
                      <w:szCs w:val="21"/>
                      <w:highlight w:val="none"/>
                      <w:lang w:val="en-US" w:eastAsia="zh-CN" w:bidi="ar"/>
                    </w:rPr>
                  </w:pPr>
                </w:p>
              </w:tc>
              <w:tc>
                <w:tcPr>
                  <w:tcW w:w="1095" w:type="pct"/>
                  <w:gridSpan w:val="2"/>
                  <w:noWrap w:val="0"/>
                  <w:vAlign w:val="center"/>
                </w:tcPr>
                <w:p w14:paraId="7E73125D">
                  <w:pPr>
                    <w:keepNext w:val="0"/>
                    <w:keepLines w:val="0"/>
                    <w:widowControl/>
                    <w:suppressLineNumbers w:val="0"/>
                    <w:spacing w:before="0" w:beforeAutospacing="0" w:after="0" w:afterAutospacing="0" w:line="280" w:lineRule="exact"/>
                    <w:ind w:left="0" w:right="0"/>
                    <w:jc w:val="center"/>
                    <w:textAlignment w:val="center"/>
                    <w:rPr>
                      <w:rFonts w:hint="default" w:ascii="Times New Roman" w:hAnsi="Times New Roman" w:eastAsia="宋体" w:cs="Times New Roman"/>
                      <w:b w:val="0"/>
                      <w:bCs w:val="0"/>
                      <w:sz w:val="21"/>
                      <w:szCs w:val="21"/>
                      <w:highlight w:val="none"/>
                      <w:lang w:val="en-US" w:eastAsia="zh-CN" w:bidi="ar"/>
                    </w:rPr>
                  </w:pPr>
                  <w:r>
                    <w:rPr>
                      <w:rFonts w:hint="eastAsia" w:ascii="Times New Roman" w:hAnsi="Times New Roman" w:eastAsia="宋体" w:cs="Times New Roman"/>
                      <w:b w:val="0"/>
                      <w:bCs w:val="0"/>
                      <w:sz w:val="21"/>
                      <w:szCs w:val="21"/>
                      <w:highlight w:val="none"/>
                      <w:lang w:val="en-US" w:eastAsia="zh-CN" w:bidi="ar"/>
                    </w:rPr>
                    <w:t>合计</w:t>
                  </w:r>
                </w:p>
              </w:tc>
              <w:tc>
                <w:tcPr>
                  <w:tcW w:w="813" w:type="pct"/>
                  <w:shd w:val="clear" w:color="auto" w:fill="auto"/>
                  <w:noWrap w:val="0"/>
                  <w:vAlign w:val="center"/>
                </w:tcPr>
                <w:p w14:paraId="66373537">
                  <w:pPr>
                    <w:keepNext w:val="0"/>
                    <w:keepLines w:val="0"/>
                    <w:widowControl/>
                    <w:suppressLineNumbers w:val="0"/>
                    <w:spacing w:before="0" w:beforeAutospacing="0" w:after="0" w:afterAutospacing="0" w:line="280" w:lineRule="exact"/>
                    <w:ind w:left="0" w:right="0"/>
                    <w:jc w:val="center"/>
                    <w:textAlignment w:val="center"/>
                    <w:rPr>
                      <w:rFonts w:hint="eastAsia" w:ascii="Times New Roman" w:hAnsi="Times New Roman" w:eastAsia="宋体" w:cs="Times New Roman"/>
                      <w:b w:val="0"/>
                      <w:bCs w:val="0"/>
                      <w:kern w:val="2"/>
                      <w:sz w:val="21"/>
                      <w:szCs w:val="21"/>
                      <w:highlight w:val="none"/>
                      <w:lang w:val="en-US" w:eastAsia="zh-CN" w:bidi="ar"/>
                    </w:rPr>
                  </w:pPr>
                  <w:r>
                    <w:rPr>
                      <w:rFonts w:hint="eastAsia" w:cs="Times New Roman"/>
                      <w:b w:val="0"/>
                      <w:bCs w:val="0"/>
                      <w:sz w:val="21"/>
                      <w:szCs w:val="21"/>
                      <w:highlight w:val="none"/>
                      <w:lang w:val="en-US" w:eastAsia="zh-CN" w:bidi="ar"/>
                    </w:rPr>
                    <w:t>非甲烷总烃</w:t>
                  </w:r>
                </w:p>
              </w:tc>
              <w:tc>
                <w:tcPr>
                  <w:tcW w:w="591" w:type="pct"/>
                  <w:noWrap w:val="0"/>
                  <w:vAlign w:val="center"/>
                </w:tcPr>
                <w:p w14:paraId="7DC290A1">
                  <w:pPr>
                    <w:keepNext w:val="0"/>
                    <w:keepLines w:val="0"/>
                    <w:widowControl/>
                    <w:suppressLineNumbers w:val="0"/>
                    <w:spacing w:before="0" w:beforeAutospacing="0" w:after="0" w:afterAutospacing="0" w:line="280" w:lineRule="exact"/>
                    <w:ind w:left="0" w:right="0"/>
                    <w:jc w:val="center"/>
                    <w:textAlignment w:val="center"/>
                    <w:rPr>
                      <w:rFonts w:hint="default" w:cs="Times New Roman"/>
                      <w:b w:val="0"/>
                      <w:bCs w:val="0"/>
                      <w:sz w:val="21"/>
                      <w:szCs w:val="21"/>
                      <w:highlight w:val="none"/>
                      <w:lang w:val="en-US" w:eastAsia="zh-CN" w:bidi="ar"/>
                    </w:rPr>
                  </w:pPr>
                  <w:r>
                    <w:rPr>
                      <w:rFonts w:hint="eastAsia" w:cs="Times New Roman"/>
                      <w:b w:val="0"/>
                      <w:bCs w:val="0"/>
                      <w:sz w:val="21"/>
                      <w:szCs w:val="21"/>
                      <w:highlight w:val="none"/>
                      <w:lang w:val="en-US" w:eastAsia="zh-CN" w:bidi="ar"/>
                    </w:rPr>
                    <w:t>1.114</w:t>
                  </w:r>
                </w:p>
              </w:tc>
              <w:tc>
                <w:tcPr>
                  <w:tcW w:w="774" w:type="pct"/>
                  <w:noWrap w:val="0"/>
                  <w:vAlign w:val="center"/>
                </w:tcPr>
                <w:p w14:paraId="4661B2E3">
                  <w:pPr>
                    <w:keepNext w:val="0"/>
                    <w:keepLines w:val="0"/>
                    <w:widowControl/>
                    <w:suppressLineNumbers w:val="0"/>
                    <w:spacing w:before="0" w:beforeAutospacing="0" w:after="0" w:afterAutospacing="0" w:line="280" w:lineRule="exact"/>
                    <w:ind w:left="0" w:right="0"/>
                    <w:jc w:val="center"/>
                    <w:textAlignment w:val="center"/>
                    <w:rPr>
                      <w:rFonts w:hint="default" w:cs="Times New Roman"/>
                      <w:b w:val="0"/>
                      <w:bCs w:val="0"/>
                      <w:sz w:val="21"/>
                      <w:szCs w:val="21"/>
                      <w:highlight w:val="none"/>
                      <w:lang w:val="en-US" w:eastAsia="zh-CN" w:bidi="ar"/>
                    </w:rPr>
                  </w:pPr>
                  <w:r>
                    <w:rPr>
                      <w:rFonts w:hint="eastAsia" w:cs="Times New Roman"/>
                      <w:b w:val="0"/>
                      <w:bCs w:val="0"/>
                      <w:sz w:val="21"/>
                      <w:szCs w:val="21"/>
                      <w:highlight w:val="none"/>
                      <w:lang w:val="en-US" w:eastAsia="zh-CN" w:bidi="ar"/>
                    </w:rPr>
                    <w:t>0.536</w:t>
                  </w:r>
                </w:p>
              </w:tc>
              <w:tc>
                <w:tcPr>
                  <w:tcW w:w="536" w:type="pct"/>
                  <w:shd w:val="clear" w:color="auto" w:fill="auto"/>
                  <w:noWrap w:val="0"/>
                  <w:vAlign w:val="center"/>
                </w:tcPr>
                <w:p w14:paraId="6A687D56">
                  <w:pPr>
                    <w:keepNext w:val="0"/>
                    <w:keepLines w:val="0"/>
                    <w:widowControl/>
                    <w:suppressLineNumbers w:val="0"/>
                    <w:spacing w:before="0" w:beforeAutospacing="0" w:after="0" w:afterAutospacing="0" w:line="280" w:lineRule="exact"/>
                    <w:ind w:left="0" w:right="0"/>
                    <w:jc w:val="center"/>
                    <w:textAlignment w:val="center"/>
                    <w:rPr>
                      <w:rFonts w:hint="default" w:cs="Times New Roman"/>
                      <w:b w:val="0"/>
                      <w:bCs w:val="0"/>
                      <w:sz w:val="21"/>
                      <w:szCs w:val="21"/>
                      <w:highlight w:val="none"/>
                      <w:lang w:val="en-US" w:eastAsia="zh-CN" w:bidi="ar"/>
                    </w:rPr>
                  </w:pPr>
                  <w:r>
                    <w:rPr>
                      <w:rFonts w:hint="eastAsia" w:cs="Times New Roman"/>
                      <w:b w:val="0"/>
                      <w:bCs w:val="0"/>
                      <w:sz w:val="21"/>
                      <w:szCs w:val="21"/>
                      <w:highlight w:val="none"/>
                      <w:lang w:val="en-US" w:eastAsia="zh-CN" w:bidi="ar"/>
                    </w:rPr>
                    <w:t>1.114</w:t>
                  </w:r>
                </w:p>
              </w:tc>
              <w:tc>
                <w:tcPr>
                  <w:tcW w:w="719" w:type="pct"/>
                  <w:shd w:val="clear" w:color="auto" w:fill="auto"/>
                  <w:noWrap w:val="0"/>
                  <w:vAlign w:val="center"/>
                </w:tcPr>
                <w:p w14:paraId="222BB0EC">
                  <w:pPr>
                    <w:keepNext w:val="0"/>
                    <w:keepLines w:val="0"/>
                    <w:widowControl/>
                    <w:suppressLineNumbers w:val="0"/>
                    <w:spacing w:before="0" w:beforeAutospacing="0" w:after="0" w:afterAutospacing="0" w:line="280" w:lineRule="exact"/>
                    <w:ind w:left="0" w:right="0"/>
                    <w:jc w:val="center"/>
                    <w:textAlignment w:val="center"/>
                    <w:rPr>
                      <w:rFonts w:hint="default" w:cs="Times New Roman"/>
                      <w:b w:val="0"/>
                      <w:bCs w:val="0"/>
                      <w:sz w:val="21"/>
                      <w:szCs w:val="21"/>
                      <w:highlight w:val="none"/>
                      <w:lang w:val="en-US" w:eastAsia="zh-CN" w:bidi="ar"/>
                    </w:rPr>
                  </w:pPr>
                  <w:r>
                    <w:rPr>
                      <w:rFonts w:hint="eastAsia" w:cs="Times New Roman"/>
                      <w:b w:val="0"/>
                      <w:bCs w:val="0"/>
                      <w:sz w:val="21"/>
                      <w:szCs w:val="21"/>
                      <w:highlight w:val="none"/>
                      <w:lang w:val="en-US" w:eastAsia="zh-CN" w:bidi="ar"/>
                    </w:rPr>
                    <w:t>0.536</w:t>
                  </w:r>
                </w:p>
              </w:tc>
            </w:tr>
          </w:tbl>
          <w:p w14:paraId="1C5050F0">
            <w:pPr>
              <w:keepNext w:val="0"/>
              <w:keepLines w:val="0"/>
              <w:suppressLineNumbers w:val="0"/>
              <w:spacing w:before="0" w:beforeAutospacing="0" w:after="0" w:afterAutospacing="0" w:line="360" w:lineRule="auto"/>
              <w:ind w:left="0" w:right="0" w:firstLine="480" w:firstLineChars="200"/>
              <w:jc w:val="left"/>
              <w:rPr>
                <w:rFonts w:hint="eastAsia" w:ascii="Times New Roman" w:hAnsi="Times New Roman" w:eastAsia="宋体" w:cs="Times New Roman"/>
                <w:sz w:val="24"/>
                <w:highlight w:val="none"/>
                <w:lang w:val="en-US" w:eastAsia="zh-CN"/>
              </w:rPr>
            </w:pPr>
            <w:r>
              <w:rPr>
                <w:rFonts w:hint="default" w:ascii="Times New Roman" w:hAnsi="Times New Roman" w:eastAsia="宋体" w:cs="Times New Roman"/>
                <w:bCs/>
                <w:kern w:val="0"/>
                <w:sz w:val="24"/>
                <w:szCs w:val="24"/>
                <w:highlight w:val="none"/>
                <w:lang w:val="en-US" w:eastAsia="zh-CN" w:bidi="ar-SA"/>
              </w:rPr>
              <w:t>②</w:t>
            </w:r>
            <w:r>
              <w:rPr>
                <w:rFonts w:hint="eastAsia" w:ascii="Times New Roman" w:hAnsi="Times New Roman" w:eastAsia="宋体" w:cs="Times New Roman"/>
                <w:sz w:val="24"/>
                <w:highlight w:val="none"/>
                <w:lang w:val="en-US" w:eastAsia="zh-CN"/>
              </w:rPr>
              <w:t>无机废气</w:t>
            </w:r>
          </w:p>
          <w:p w14:paraId="687C52E0">
            <w:pPr>
              <w:keepNext w:val="0"/>
              <w:keepLines w:val="0"/>
              <w:suppressLineNumbers w:val="0"/>
              <w:spacing w:before="0" w:beforeAutospacing="0" w:after="0" w:afterAutospacing="0" w:line="360" w:lineRule="auto"/>
              <w:ind w:left="0" w:right="0" w:firstLine="480" w:firstLineChars="200"/>
              <w:jc w:val="left"/>
              <w:rPr>
                <w:rFonts w:hint="eastAsia"/>
                <w:sz w:val="24"/>
                <w:highlight w:val="none"/>
                <w:lang w:eastAsia="zh-CN"/>
              </w:rPr>
            </w:pPr>
            <w:r>
              <w:rPr>
                <w:rFonts w:hint="eastAsia" w:ascii="Times New Roman" w:hAnsi="Times New Roman" w:eastAsia="宋体" w:cs="Times New Roman"/>
                <w:sz w:val="24"/>
                <w:highlight w:val="none"/>
                <w:lang w:val="en-US" w:eastAsia="zh-CN"/>
              </w:rPr>
              <w:t>实验室产生无机废气的实验试剂主要是盐酸和硫酸，主要污染因子以氯化氢和硫酸雾挥发量计算。实验室盐酸、硫酸等实验试剂使用仪器为试管、烧杯等小型器具，挥发面积较小，挥发量溶剂按</w:t>
            </w:r>
            <w:r>
              <w:rPr>
                <w:rFonts w:hint="default" w:ascii="Times New Roman" w:hAnsi="Times New Roman" w:eastAsia="宋体" w:cs="Times New Roman"/>
                <w:sz w:val="24"/>
                <w:highlight w:val="none"/>
                <w:lang w:val="en-US" w:eastAsia="zh-CN"/>
              </w:rPr>
              <w:t>5%</w:t>
            </w:r>
            <w:r>
              <w:rPr>
                <w:rFonts w:hint="eastAsia" w:ascii="Times New Roman" w:hAnsi="Times New Roman" w:eastAsia="宋体" w:cs="Times New Roman"/>
                <w:sz w:val="24"/>
                <w:highlight w:val="none"/>
                <w:lang w:val="en-US" w:eastAsia="zh-CN"/>
              </w:rPr>
              <w:t>计。本项目盐酸的使用量</w:t>
            </w:r>
            <w:r>
              <w:rPr>
                <w:rFonts w:hint="default" w:ascii="Times New Roman" w:hAnsi="Times New Roman" w:eastAsia="宋体" w:cs="Times New Roman"/>
                <w:sz w:val="24"/>
                <w:highlight w:val="none"/>
                <w:lang w:val="en-US" w:eastAsia="zh-CN"/>
              </w:rPr>
              <w:t>55kg/a</w:t>
            </w:r>
            <w:r>
              <w:rPr>
                <w:rFonts w:hint="eastAsia" w:ascii="Times New Roman" w:hAnsi="Times New Roman" w:eastAsia="宋体" w:cs="Times New Roman"/>
                <w:sz w:val="24"/>
                <w:highlight w:val="none"/>
                <w:lang w:val="en-US" w:eastAsia="zh-CN"/>
              </w:rPr>
              <w:t>，硫酸的使用量为</w:t>
            </w:r>
            <w:r>
              <w:rPr>
                <w:rFonts w:hint="default" w:ascii="Times New Roman" w:hAnsi="Times New Roman" w:eastAsia="宋体" w:cs="Times New Roman"/>
                <w:sz w:val="24"/>
                <w:highlight w:val="none"/>
                <w:lang w:val="en-US" w:eastAsia="zh-CN"/>
              </w:rPr>
              <w:t>92kg/a</w:t>
            </w:r>
            <w:r>
              <w:rPr>
                <w:rFonts w:hint="eastAsia" w:cs="Times New Roman"/>
                <w:sz w:val="24"/>
                <w:highlight w:val="none"/>
                <w:lang w:val="en-US" w:eastAsia="zh-CN"/>
              </w:rPr>
              <w:t>，</w:t>
            </w:r>
            <w:r>
              <w:rPr>
                <w:rFonts w:hint="eastAsia" w:ascii="Times New Roman" w:hAnsi="Times New Roman" w:eastAsia="宋体" w:cs="Times New Roman"/>
                <w:color w:val="auto"/>
                <w:kern w:val="2"/>
                <w:sz w:val="24"/>
                <w:szCs w:val="22"/>
                <w:highlight w:val="none"/>
                <w:lang w:val="en-US" w:eastAsia="zh-CN" w:bidi="ar-SA"/>
              </w:rPr>
              <w:t>故</w:t>
            </w:r>
            <w:r>
              <w:rPr>
                <w:rFonts w:hint="eastAsia" w:ascii="Times New Roman" w:hAnsi="Times New Roman" w:eastAsia="宋体" w:cs="Times New Roman"/>
                <w:sz w:val="24"/>
                <w:highlight w:val="none"/>
                <w:lang w:val="en-US" w:eastAsia="zh-CN"/>
              </w:rPr>
              <w:t>氯化氢、硫酸雾</w:t>
            </w:r>
            <w:r>
              <w:rPr>
                <w:rFonts w:hint="eastAsia" w:ascii="Times New Roman" w:hAnsi="Times New Roman" w:eastAsia="宋体" w:cs="Times New Roman"/>
                <w:color w:val="auto"/>
                <w:kern w:val="2"/>
                <w:sz w:val="24"/>
                <w:szCs w:val="22"/>
                <w:highlight w:val="none"/>
                <w:lang w:val="en-US" w:eastAsia="zh-CN" w:bidi="ar-SA"/>
              </w:rPr>
              <w:t>的产生量极小</w:t>
            </w:r>
            <w:r>
              <w:rPr>
                <w:rFonts w:hint="eastAsia" w:cs="Times New Roman"/>
                <w:color w:val="auto"/>
                <w:kern w:val="2"/>
                <w:sz w:val="24"/>
                <w:szCs w:val="22"/>
                <w:highlight w:val="none"/>
                <w:lang w:val="en-US" w:eastAsia="zh-CN" w:bidi="ar-SA"/>
              </w:rPr>
              <w:t>，</w:t>
            </w:r>
            <w:r>
              <w:rPr>
                <w:rFonts w:hint="default" w:ascii="Times New Roman" w:hAnsi="Times New Roman" w:eastAsia="宋体" w:cs="Times New Roman"/>
                <w:color w:val="auto"/>
                <w:kern w:val="2"/>
                <w:sz w:val="24"/>
                <w:szCs w:val="22"/>
                <w:highlight w:val="none"/>
                <w:lang w:val="en-US" w:eastAsia="zh-CN" w:bidi="ar-SA"/>
              </w:rPr>
              <w:t>本环评不做定量分析</w:t>
            </w:r>
            <w:r>
              <w:rPr>
                <w:rFonts w:hint="eastAsia" w:ascii="Times New Roman" w:hAnsi="Times New Roman" w:eastAsia="宋体" w:cs="Times New Roman"/>
                <w:sz w:val="24"/>
                <w:szCs w:val="24"/>
                <w:highlight w:val="none"/>
                <w:lang w:val="en-US" w:eastAsia="zh-CN"/>
              </w:rPr>
              <w:t>。</w:t>
            </w:r>
          </w:p>
          <w:p w14:paraId="480C1015">
            <w:pPr>
              <w:keepNext w:val="0"/>
              <w:keepLines w:val="0"/>
              <w:suppressLineNumbers w:val="0"/>
              <w:spacing w:before="0" w:beforeAutospacing="0" w:after="0" w:afterAutospacing="0" w:line="360" w:lineRule="auto"/>
              <w:ind w:left="0" w:right="0" w:firstLine="480" w:firstLineChars="200"/>
              <w:jc w:val="left"/>
              <w:rPr>
                <w:rFonts w:hint="eastAsia" w:ascii="Times New Roman" w:hAnsi="Times New Roman" w:eastAsia="宋体" w:cs="Times New Roman"/>
                <w:sz w:val="24"/>
                <w:highlight w:val="none"/>
                <w:lang w:val="en-US" w:eastAsia="zh-CN"/>
              </w:rPr>
            </w:pPr>
            <w:r>
              <w:rPr>
                <w:rFonts w:hint="default" w:ascii="Times New Roman" w:hAnsi="Times New Roman" w:eastAsia="宋体" w:cs="Times New Roman"/>
                <w:bCs/>
                <w:kern w:val="0"/>
                <w:sz w:val="24"/>
                <w:szCs w:val="24"/>
                <w:highlight w:val="none"/>
                <w:lang w:val="en-US" w:eastAsia="zh-CN" w:bidi="ar-SA"/>
              </w:rPr>
              <w:t>③</w:t>
            </w:r>
            <w:r>
              <w:rPr>
                <w:rFonts w:hint="eastAsia" w:ascii="Times New Roman" w:hAnsi="Times New Roman" w:eastAsia="宋体" w:cs="Times New Roman"/>
                <w:sz w:val="24"/>
                <w:highlight w:val="none"/>
                <w:lang w:val="en-US" w:eastAsia="zh-CN"/>
              </w:rPr>
              <w:t>微生物气溶胶</w:t>
            </w:r>
          </w:p>
          <w:p w14:paraId="211FCDB9">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60" w:lineRule="auto"/>
              <w:ind w:left="0" w:right="0" w:firstLine="480" w:firstLineChars="200"/>
              <w:jc w:val="left"/>
              <w:textAlignment w:val="auto"/>
              <w:rPr>
                <w:rFonts w:hint="eastAsia" w:ascii="Times New Roman" w:hAnsi="Times New Roman" w:eastAsia="宋体" w:cs="Times New Roman"/>
                <w:sz w:val="24"/>
                <w:highlight w:val="none"/>
                <w:lang w:val="en-US" w:eastAsia="zh-CN"/>
              </w:rPr>
            </w:pPr>
            <w:r>
              <w:rPr>
                <w:rFonts w:hint="eastAsia"/>
                <w:highlight w:val="none"/>
              </w:rPr>
              <w:t>本项目含有微生物实验室，在实验过程中不可避免地会产生含有害微生物的气溶胶</w:t>
            </w:r>
            <w:r>
              <w:rPr>
                <w:rFonts w:hint="eastAsia" w:ascii="Times New Roman" w:hAnsi="Times New Roman" w:eastAsia="宋体" w:cs="Times New Roman"/>
                <w:sz w:val="24"/>
                <w:highlight w:val="none"/>
                <w:lang w:val="en-US" w:eastAsia="zh-CN"/>
              </w:rPr>
              <w:t>。</w:t>
            </w:r>
            <w:r>
              <w:rPr>
                <w:rFonts w:hint="eastAsia"/>
                <w:highlight w:val="none"/>
              </w:rPr>
              <w:t>本项目每个实验室均设置机械排风系统，同时各类生物实验均在生物安全柜内进行，一般只有在进行相关的生物实验时才会产生一定的含有害微生物废气，产生的有害微生物量很小，</w:t>
            </w:r>
            <w:r>
              <w:rPr>
                <w:rFonts w:hint="default"/>
                <w:highlight w:val="none"/>
              </w:rPr>
              <w:t>不进行定量分析</w:t>
            </w:r>
            <w:r>
              <w:rPr>
                <w:rFonts w:hint="eastAsia" w:ascii="Times New Roman" w:hAnsi="Times New Roman" w:eastAsia="宋体" w:cs="Times New Roman"/>
                <w:sz w:val="24"/>
                <w:highlight w:val="none"/>
                <w:lang w:val="en-US" w:eastAsia="zh-CN"/>
              </w:rPr>
              <w:t>。生物安全柜内设置有高效过滤器，生物安全柜的实验平台处于负压防泄漏状态，生物实验室内工作区四面负压包围，可有效控制生物安全柜内的气流，使得微生物气溶胶可以在生物安全柜内得到有效的收集、处理，在正常情况下可以做到微生物气溶胶零泄漏。生物安全柜内的高效过滤器对粒径0.3μm的颗粒截流率可达到99.97%，对于更大或更小的粒子的捕集效率在99.99%以上，生物实验室废气经过滤净化后，可以有效减少由于气溶胶暴露所造成的实验室感染以及培养物交叉污染。为保证净化效率，高效过滤器滤芯定期进行更换、回收处理。</w:t>
            </w:r>
          </w:p>
          <w:p w14:paraId="33ADD7AC">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60" w:lineRule="auto"/>
              <w:ind w:left="0" w:right="0" w:firstLine="480" w:firstLineChars="200"/>
              <w:jc w:val="left"/>
              <w:textAlignment w:val="auto"/>
              <w:rPr>
                <w:rFonts w:hint="eastAsia" w:ascii="Times New Roman" w:hAnsi="Times New Roman" w:eastAsia="宋体" w:cs="Times New Roman"/>
                <w:sz w:val="24"/>
                <w:highlight w:val="none"/>
                <w:lang w:val="en-US" w:eastAsia="zh-CN"/>
              </w:rPr>
            </w:pPr>
            <w:r>
              <w:rPr>
                <w:rFonts w:hint="eastAsia" w:ascii="Times New Roman" w:hAnsi="Times New Roman" w:eastAsia="宋体" w:cs="Times New Roman"/>
                <w:sz w:val="24"/>
                <w:highlight w:val="none"/>
                <w:lang w:val="en-US" w:eastAsia="zh-CN"/>
              </w:rPr>
              <w:t>本项目生物实验室废气经高效过滤器处理后，与其他实验室的无机、有机废气一起经</w:t>
            </w:r>
            <w:r>
              <w:rPr>
                <w:rFonts w:hint="eastAsia" w:cs="Times New Roman"/>
                <w:sz w:val="24"/>
                <w:highlight w:val="none"/>
                <w:lang w:val="en-US" w:eastAsia="zh-CN"/>
              </w:rPr>
              <w:t>两套</w:t>
            </w:r>
            <w:r>
              <w:rPr>
                <w:rFonts w:hint="eastAsia" w:ascii="Times New Roman" w:hAnsi="Times New Roman" w:eastAsia="宋体" w:cs="Times New Roman"/>
                <w:sz w:val="24"/>
                <w:highlight w:val="none"/>
                <w:lang w:val="en-US" w:eastAsia="zh-CN"/>
              </w:rPr>
              <w:t>废气处理装置（活性炭过滤装置）处理后分别通过两根</w:t>
            </w:r>
            <w:r>
              <w:rPr>
                <w:rFonts w:hint="eastAsia" w:cs="Times New Roman"/>
                <w:sz w:val="24"/>
                <w:highlight w:val="none"/>
                <w:lang w:val="en-US" w:eastAsia="zh-CN"/>
              </w:rPr>
              <w:t>40</w:t>
            </w:r>
            <w:r>
              <w:rPr>
                <w:rFonts w:hint="eastAsia" w:ascii="Times New Roman" w:hAnsi="Times New Roman" w:eastAsia="宋体" w:cs="Times New Roman"/>
                <w:sz w:val="24"/>
                <w:highlight w:val="none"/>
                <w:lang w:val="en-US" w:eastAsia="zh-CN"/>
              </w:rPr>
              <w:t>m高排气筒（DA0</w:t>
            </w:r>
            <w:r>
              <w:rPr>
                <w:rFonts w:hint="eastAsia" w:cs="Times New Roman"/>
                <w:sz w:val="24"/>
                <w:highlight w:val="none"/>
                <w:lang w:val="en-US" w:eastAsia="zh-CN"/>
              </w:rPr>
              <w:t>14</w:t>
            </w:r>
            <w:r>
              <w:rPr>
                <w:rFonts w:hint="eastAsia" w:ascii="Times New Roman" w:hAnsi="Times New Roman" w:eastAsia="宋体" w:cs="Times New Roman"/>
                <w:sz w:val="24"/>
                <w:highlight w:val="none"/>
                <w:lang w:val="en-US" w:eastAsia="zh-CN"/>
              </w:rPr>
              <w:t>、DA0</w:t>
            </w:r>
            <w:r>
              <w:rPr>
                <w:rFonts w:hint="eastAsia" w:cs="Times New Roman"/>
                <w:sz w:val="24"/>
                <w:highlight w:val="none"/>
                <w:lang w:val="en-US" w:eastAsia="zh-CN"/>
              </w:rPr>
              <w:t>15</w:t>
            </w:r>
            <w:r>
              <w:rPr>
                <w:rFonts w:hint="eastAsia" w:ascii="Times New Roman" w:hAnsi="Times New Roman" w:eastAsia="宋体" w:cs="Times New Roman"/>
                <w:sz w:val="24"/>
                <w:highlight w:val="none"/>
                <w:lang w:val="en-US" w:eastAsia="zh-CN"/>
              </w:rPr>
              <w:t>）高空排放。</w:t>
            </w:r>
          </w:p>
          <w:p w14:paraId="528941FA">
            <w:pPr>
              <w:pStyle w:val="31"/>
              <w:keepNext/>
              <w:keepLines/>
              <w:numPr>
                <w:ilvl w:val="0"/>
                <w:numId w:val="0"/>
              </w:numPr>
              <w:suppressLineNumbers w:val="0"/>
              <w:spacing w:before="0" w:beforeAutospacing="0" w:after="0" w:afterAutospacing="0" w:line="360" w:lineRule="auto"/>
              <w:ind w:left="480" w:leftChars="200" w:right="0"/>
              <w:rPr>
                <w:rFonts w:hint="default"/>
                <w:b/>
                <w:bCs/>
                <w:sz w:val="24"/>
                <w:szCs w:val="32"/>
                <w:highlight w:val="none"/>
              </w:rPr>
            </w:pPr>
            <w:r>
              <w:rPr>
                <w:rFonts w:hint="eastAsia"/>
                <w:b/>
                <w:bCs/>
                <w:sz w:val="24"/>
                <w:szCs w:val="32"/>
                <w:highlight w:val="none"/>
                <w:lang w:val="en-US" w:eastAsia="zh-CN"/>
              </w:rPr>
              <w:t>c）污水处理站废气</w:t>
            </w:r>
          </w:p>
          <w:p w14:paraId="2B13DE85">
            <w:pPr>
              <w:keepNext w:val="0"/>
              <w:keepLines w:val="0"/>
              <w:suppressLineNumbers w:val="0"/>
              <w:adjustRightInd w:val="0"/>
              <w:snapToGrid w:val="0"/>
              <w:spacing w:before="0" w:beforeAutospacing="0" w:after="0" w:afterAutospacing="0" w:line="360" w:lineRule="auto"/>
              <w:ind w:left="0" w:right="0" w:firstLine="480" w:firstLineChars="200"/>
              <w:rPr>
                <w:rFonts w:hint="default" w:hAnsi="宋体" w:eastAsia="宋体"/>
                <w:color w:val="auto"/>
                <w:sz w:val="24"/>
                <w:highlight w:val="none"/>
                <w:lang w:val="en-US" w:eastAsia="zh-CN"/>
              </w:rPr>
            </w:pPr>
            <w:r>
              <w:rPr>
                <w:rFonts w:hint="eastAsia" w:hAnsi="宋体"/>
                <w:color w:val="auto"/>
                <w:sz w:val="24"/>
                <w:highlight w:val="none"/>
              </w:rPr>
              <w:t>本项目规划建设一套污水处理系统（</w:t>
            </w:r>
            <w:r>
              <w:rPr>
                <w:rFonts w:hint="eastAsia" w:hAnsi="宋体"/>
                <w:color w:val="auto"/>
                <w:sz w:val="24"/>
                <w:highlight w:val="none"/>
                <w:lang w:val="en-US" w:eastAsia="zh-CN"/>
              </w:rPr>
              <w:t>50t</w:t>
            </w:r>
            <w:r>
              <w:rPr>
                <w:rFonts w:hint="eastAsia" w:hAnsi="宋体"/>
                <w:color w:val="auto"/>
                <w:sz w:val="24"/>
                <w:highlight w:val="none"/>
              </w:rPr>
              <w:t>/d），主体采用接触氧化处理+消毒工艺。本项目</w:t>
            </w:r>
            <w:r>
              <w:rPr>
                <w:rFonts w:hint="eastAsia"/>
                <w:color w:val="auto"/>
                <w:sz w:val="24"/>
                <w:highlight w:val="none"/>
              </w:rPr>
              <w:t>格栅井、化粪池为钢筋混凝土结构，</w:t>
            </w:r>
            <w:r>
              <w:rPr>
                <w:rFonts w:hint="eastAsia"/>
                <w:color w:val="auto"/>
                <w:sz w:val="24"/>
                <w:highlight w:val="none"/>
                <w:lang w:val="en-US" w:eastAsia="zh-CN"/>
              </w:rPr>
              <w:t>其余为</w:t>
            </w:r>
            <w:r>
              <w:rPr>
                <w:rFonts w:hint="eastAsia" w:hAnsi="宋体"/>
                <w:color w:val="auto"/>
                <w:sz w:val="24"/>
                <w:highlight w:val="none"/>
              </w:rPr>
              <w:t>一体化碳钢结构设备（包括</w:t>
            </w:r>
            <w:r>
              <w:rPr>
                <w:rFonts w:hint="eastAsia" w:hAnsi="宋体"/>
                <w:color w:val="auto"/>
                <w:sz w:val="24"/>
                <w:highlight w:val="none"/>
                <w:lang w:val="en-US" w:eastAsia="zh-CN"/>
              </w:rPr>
              <w:t>初沉池、水解池、</w:t>
            </w:r>
            <w:r>
              <w:rPr>
                <w:rFonts w:hint="eastAsia" w:ascii="Times New Roman" w:hAnsi="Times New Roman" w:eastAsia="宋体" w:cs="Times New Roman"/>
                <w:sz w:val="24"/>
                <w:szCs w:val="24"/>
                <w:highlight w:val="none"/>
                <w:lang w:val="en-US" w:eastAsia="zh-CN"/>
              </w:rPr>
              <w:t>接触氧化池</w:t>
            </w:r>
            <w:r>
              <w:rPr>
                <w:rFonts w:hint="eastAsia" w:hAnsi="宋体"/>
                <w:color w:val="auto"/>
                <w:sz w:val="24"/>
                <w:highlight w:val="none"/>
              </w:rPr>
              <w:t>、</w:t>
            </w:r>
            <w:r>
              <w:rPr>
                <w:rFonts w:hint="eastAsia" w:hAnsi="宋体"/>
                <w:color w:val="auto"/>
                <w:sz w:val="24"/>
                <w:highlight w:val="none"/>
                <w:lang w:val="en-US" w:eastAsia="zh-CN"/>
              </w:rPr>
              <w:t>二沉</w:t>
            </w:r>
            <w:r>
              <w:rPr>
                <w:rFonts w:hint="eastAsia" w:hAnsi="宋体"/>
                <w:color w:val="auto"/>
                <w:sz w:val="24"/>
                <w:highlight w:val="none"/>
              </w:rPr>
              <w:t>池、污泥池、消毒池等）</w:t>
            </w:r>
            <w:r>
              <w:rPr>
                <w:rFonts w:hint="eastAsia" w:hAnsi="宋体"/>
                <w:color w:val="auto"/>
                <w:sz w:val="24"/>
                <w:highlight w:val="none"/>
                <w:lang w:eastAsia="zh-CN"/>
              </w:rPr>
              <w:t>，</w:t>
            </w:r>
            <w:r>
              <w:rPr>
                <w:rFonts w:hint="eastAsia" w:hAnsi="宋体"/>
                <w:color w:val="auto"/>
                <w:sz w:val="24"/>
                <w:highlight w:val="none"/>
              </w:rPr>
              <w:t>污水处理站</w:t>
            </w:r>
            <w:r>
              <w:rPr>
                <w:rFonts w:hint="eastAsia" w:hAnsi="宋体"/>
                <w:color w:val="auto"/>
                <w:sz w:val="24"/>
                <w:highlight w:val="none"/>
                <w:lang w:val="en-US" w:eastAsia="zh-CN"/>
              </w:rPr>
              <w:t>废气受</w:t>
            </w:r>
            <w:r>
              <w:rPr>
                <w:rFonts w:hint="eastAsia" w:hAnsi="宋体"/>
                <w:color w:val="auto"/>
                <w:sz w:val="24"/>
                <w:highlight w:val="none"/>
              </w:rPr>
              <w:t>不同水质、不同处理工艺、不同工段（设施设备）、不同季节</w:t>
            </w:r>
            <w:r>
              <w:rPr>
                <w:rFonts w:hint="eastAsia" w:hAnsi="宋体"/>
                <w:color w:val="auto"/>
                <w:sz w:val="24"/>
                <w:highlight w:val="none"/>
                <w:lang w:val="en-US" w:eastAsia="zh-CN"/>
              </w:rPr>
              <w:t>的影响</w:t>
            </w:r>
            <w:r>
              <w:rPr>
                <w:rFonts w:hint="eastAsia" w:hAnsi="宋体"/>
                <w:color w:val="auto"/>
                <w:sz w:val="24"/>
                <w:highlight w:val="none"/>
              </w:rPr>
              <w:t>，产生臭气的物质和浓度也不同，源强较难确定，恶臭污染物源强常采用类比方法进行确定，废气在各处理单元的排污系数通过单位时间内单位面积散发量来表征。根据类比同类污水处理工艺，同时根据美国EPA对城市污水处理站恶臭污染物产生情况研究，污水处理构筑物单位面积</w:t>
            </w:r>
            <w:r>
              <w:rPr>
                <w:rFonts w:hint="eastAsia" w:hAnsi="宋体"/>
                <w:color w:val="auto"/>
                <w:sz w:val="24"/>
                <w:highlight w:val="none"/>
                <w:lang w:eastAsia="zh-CN"/>
              </w:rPr>
              <w:t>空气污染物</w:t>
            </w:r>
            <w:r>
              <w:rPr>
                <w:rFonts w:hint="eastAsia" w:hAnsi="宋体"/>
                <w:color w:val="auto"/>
                <w:sz w:val="24"/>
                <w:highlight w:val="none"/>
              </w:rPr>
              <w:t>排放源强见表4-</w:t>
            </w:r>
            <w:r>
              <w:rPr>
                <w:rFonts w:hint="eastAsia" w:hAnsi="宋体"/>
                <w:color w:val="auto"/>
                <w:sz w:val="24"/>
                <w:highlight w:val="none"/>
                <w:lang w:val="en-US" w:eastAsia="zh-CN"/>
              </w:rPr>
              <w:t>15</w:t>
            </w:r>
            <w:r>
              <w:rPr>
                <w:rFonts w:hint="eastAsia" w:hAnsi="宋体"/>
                <w:color w:val="auto"/>
                <w:sz w:val="24"/>
                <w:highlight w:val="none"/>
                <w:lang w:eastAsia="zh-CN"/>
              </w:rPr>
              <w:t>。</w:t>
            </w:r>
            <w:r>
              <w:rPr>
                <w:rFonts w:hint="eastAsia" w:hAnsi="宋体"/>
                <w:color w:val="auto"/>
                <w:sz w:val="24"/>
                <w:highlight w:val="none"/>
              </w:rPr>
              <w:t>根据项目污水设计方提供的数据（本项目规划的污水处理系统，</w:t>
            </w:r>
            <w:r>
              <w:rPr>
                <w:rFonts w:hint="eastAsia" w:hAnsi="宋体"/>
                <w:color w:val="auto"/>
                <w:sz w:val="24"/>
                <w:highlight w:val="none"/>
                <w:lang w:val="en-US" w:eastAsia="zh-CN"/>
              </w:rPr>
              <w:t>初沉池（</w:t>
            </w:r>
            <w:r>
              <w:rPr>
                <w:rFonts w:hint="eastAsia" w:cs="Times New Roman"/>
                <w:sz w:val="24"/>
                <w:szCs w:val="24"/>
                <w:highlight w:val="none"/>
                <w:lang w:val="en-US" w:eastAsia="zh-CN"/>
              </w:rPr>
              <w:t>2</w:t>
            </w:r>
            <w:r>
              <w:rPr>
                <w:rFonts w:hint="eastAsia" w:ascii="Times New Roman" w:hAnsi="Times New Roman" w:cs="Times New Roman"/>
                <w:sz w:val="24"/>
                <w:szCs w:val="24"/>
                <w:highlight w:val="none"/>
                <w:lang w:val="en-US" w:eastAsia="zh-CN"/>
              </w:rPr>
              <w:t>.</w:t>
            </w:r>
            <w:r>
              <w:rPr>
                <w:rFonts w:hint="eastAsia" w:cs="Times New Roman"/>
                <w:sz w:val="24"/>
                <w:szCs w:val="24"/>
                <w:highlight w:val="none"/>
                <w:lang w:val="en-US" w:eastAsia="zh-CN"/>
              </w:rPr>
              <w:t>4</w:t>
            </w:r>
            <w:r>
              <w:rPr>
                <w:rFonts w:hint="eastAsia" w:ascii="Times New Roman" w:hAnsi="Times New Roman" w:cs="Times New Roman"/>
                <w:sz w:val="24"/>
                <w:szCs w:val="24"/>
                <w:highlight w:val="none"/>
                <w:lang w:val="en-US" w:eastAsia="zh-CN"/>
              </w:rPr>
              <w:t>0</w:t>
            </w:r>
            <w:r>
              <w:rPr>
                <w:rFonts w:hint="default" w:ascii="Times New Roman" w:hAnsi="Times New Roman" w:cs="Times New Roman"/>
                <w:sz w:val="24"/>
                <w:szCs w:val="24"/>
                <w:highlight w:val="none"/>
              </w:rPr>
              <w:t>m×</w:t>
            </w:r>
            <w:r>
              <w:rPr>
                <w:rFonts w:hint="eastAsia" w:cs="Times New Roman"/>
                <w:sz w:val="24"/>
                <w:szCs w:val="24"/>
                <w:highlight w:val="none"/>
                <w:lang w:val="en-US" w:eastAsia="zh-CN"/>
              </w:rPr>
              <w:t>2</w:t>
            </w:r>
            <w:r>
              <w:rPr>
                <w:rFonts w:hint="eastAsia" w:ascii="Times New Roman" w:hAnsi="Times New Roman" w:cs="Times New Roman"/>
                <w:sz w:val="24"/>
                <w:szCs w:val="24"/>
                <w:highlight w:val="none"/>
                <w:lang w:val="en-US" w:eastAsia="zh-CN"/>
              </w:rPr>
              <w:t>.</w:t>
            </w:r>
            <w:r>
              <w:rPr>
                <w:rFonts w:hint="eastAsia" w:cs="Times New Roman"/>
                <w:sz w:val="24"/>
                <w:szCs w:val="24"/>
                <w:highlight w:val="none"/>
                <w:lang w:val="en-US" w:eastAsia="zh-CN"/>
              </w:rPr>
              <w:t>4</w:t>
            </w:r>
            <w:r>
              <w:rPr>
                <w:rFonts w:hint="eastAsia" w:ascii="Times New Roman" w:hAnsi="Times New Roman" w:cs="Times New Roman"/>
                <w:sz w:val="24"/>
                <w:szCs w:val="24"/>
                <w:highlight w:val="none"/>
                <w:lang w:val="en-US" w:eastAsia="zh-CN"/>
              </w:rPr>
              <w:t>0</w:t>
            </w:r>
            <w:r>
              <w:rPr>
                <w:rFonts w:hint="default" w:ascii="Times New Roman" w:hAnsi="Times New Roman" w:cs="Times New Roman"/>
                <w:sz w:val="24"/>
                <w:szCs w:val="24"/>
                <w:highlight w:val="none"/>
              </w:rPr>
              <w:t>m×</w:t>
            </w:r>
            <w:r>
              <w:rPr>
                <w:rFonts w:hint="eastAsia" w:ascii="Times New Roman" w:hAnsi="Times New Roman" w:cs="Times New Roman"/>
                <w:sz w:val="24"/>
                <w:szCs w:val="24"/>
                <w:highlight w:val="none"/>
                <w:lang w:val="en-US" w:eastAsia="zh-CN"/>
              </w:rPr>
              <w:t>3.</w:t>
            </w:r>
            <w:r>
              <w:rPr>
                <w:rFonts w:hint="eastAsia" w:cs="Times New Roman"/>
                <w:sz w:val="24"/>
                <w:szCs w:val="24"/>
                <w:highlight w:val="none"/>
                <w:lang w:val="en-US" w:eastAsia="zh-CN"/>
              </w:rPr>
              <w:t>0</w:t>
            </w:r>
            <w:r>
              <w:rPr>
                <w:rFonts w:hint="eastAsia" w:ascii="Times New Roman" w:hAnsi="Times New Roman" w:cs="Times New Roman"/>
                <w:sz w:val="24"/>
                <w:szCs w:val="24"/>
                <w:highlight w:val="none"/>
                <w:lang w:val="en-US" w:eastAsia="zh-CN"/>
              </w:rPr>
              <w:t>0</w:t>
            </w:r>
            <w:r>
              <w:rPr>
                <w:rFonts w:hint="default" w:ascii="Times New Roman" w:hAnsi="Times New Roman" w:cs="Times New Roman"/>
                <w:sz w:val="24"/>
                <w:szCs w:val="24"/>
                <w:highlight w:val="none"/>
              </w:rPr>
              <w:t>m</w:t>
            </w:r>
            <w:r>
              <w:rPr>
                <w:rFonts w:hint="eastAsia" w:hAnsi="宋体"/>
                <w:color w:val="auto"/>
                <w:sz w:val="24"/>
                <w:highlight w:val="none"/>
                <w:lang w:val="en-US" w:eastAsia="zh-CN"/>
              </w:rPr>
              <w:t>）、</w:t>
            </w:r>
            <w:r>
              <w:rPr>
                <w:rFonts w:hint="eastAsia" w:cs="Times New Roman"/>
                <w:bCs/>
                <w:sz w:val="24"/>
                <w:szCs w:val="24"/>
                <w:highlight w:val="none"/>
                <w:lang w:val="en-US" w:eastAsia="zh-CN"/>
              </w:rPr>
              <w:t>水解池（</w:t>
            </w:r>
            <w:r>
              <w:rPr>
                <w:rFonts w:hint="eastAsia" w:cs="Times New Roman"/>
                <w:sz w:val="24"/>
                <w:highlight w:val="none"/>
                <w:lang w:val="en-US" w:eastAsia="zh-CN"/>
              </w:rPr>
              <w:t>3.30</w:t>
            </w:r>
            <w:r>
              <w:rPr>
                <w:rFonts w:hint="default" w:ascii="Times New Roman" w:hAnsi="Times New Roman" w:cs="Times New Roman"/>
                <w:sz w:val="24"/>
                <w:highlight w:val="none"/>
              </w:rPr>
              <w:t>m×</w:t>
            </w:r>
            <w:r>
              <w:rPr>
                <w:rFonts w:hint="eastAsia" w:cs="Times New Roman"/>
                <w:sz w:val="24"/>
                <w:highlight w:val="none"/>
                <w:lang w:val="en-US" w:eastAsia="zh-CN"/>
              </w:rPr>
              <w:t>3.00</w:t>
            </w:r>
            <w:r>
              <w:rPr>
                <w:rFonts w:hint="default" w:ascii="Times New Roman" w:hAnsi="Times New Roman" w:cs="Times New Roman"/>
                <w:sz w:val="24"/>
                <w:highlight w:val="none"/>
              </w:rPr>
              <w:t>m×</w:t>
            </w:r>
            <w:r>
              <w:rPr>
                <w:rFonts w:hint="eastAsia" w:cs="Times New Roman"/>
                <w:sz w:val="24"/>
                <w:highlight w:val="none"/>
                <w:lang w:val="en-US" w:eastAsia="zh-CN"/>
              </w:rPr>
              <w:t>3</w:t>
            </w:r>
            <w:r>
              <w:rPr>
                <w:rFonts w:hint="eastAsia" w:ascii="Times New Roman" w:hAnsi="Times New Roman" w:cs="Times New Roman"/>
                <w:sz w:val="24"/>
                <w:highlight w:val="none"/>
                <w:lang w:val="en-US" w:eastAsia="zh-CN"/>
              </w:rPr>
              <w:t>.</w:t>
            </w:r>
            <w:r>
              <w:rPr>
                <w:rFonts w:hint="eastAsia" w:cs="Times New Roman"/>
                <w:sz w:val="24"/>
                <w:highlight w:val="none"/>
                <w:lang w:val="en-US" w:eastAsia="zh-CN"/>
              </w:rPr>
              <w:t>0</w:t>
            </w:r>
            <w:r>
              <w:rPr>
                <w:rFonts w:hint="eastAsia" w:ascii="Times New Roman" w:hAnsi="Times New Roman" w:cs="Times New Roman"/>
                <w:sz w:val="24"/>
                <w:highlight w:val="none"/>
                <w:lang w:val="en-US" w:eastAsia="zh-CN"/>
              </w:rPr>
              <w:t>0</w:t>
            </w:r>
            <w:r>
              <w:rPr>
                <w:rFonts w:hint="default" w:ascii="Times New Roman" w:hAnsi="Times New Roman" w:cs="Times New Roman"/>
                <w:sz w:val="24"/>
                <w:highlight w:val="none"/>
              </w:rPr>
              <w:t>m</w:t>
            </w:r>
            <w:r>
              <w:rPr>
                <w:rFonts w:hint="eastAsia" w:cs="Times New Roman"/>
                <w:bCs/>
                <w:sz w:val="24"/>
                <w:szCs w:val="24"/>
                <w:highlight w:val="none"/>
                <w:lang w:val="en-US" w:eastAsia="zh-CN"/>
              </w:rPr>
              <w:t>）</w:t>
            </w:r>
            <w:r>
              <w:rPr>
                <w:rFonts w:hint="eastAsia" w:ascii="Times New Roman" w:hAnsi="Times New Roman" w:cs="Times New Roman"/>
                <w:sz w:val="24"/>
                <w:highlight w:val="none"/>
                <w:lang w:eastAsia="zh-CN"/>
              </w:rPr>
              <w:t>、</w:t>
            </w:r>
            <w:r>
              <w:rPr>
                <w:rFonts w:hint="eastAsia" w:cs="Times New Roman"/>
                <w:bCs/>
                <w:sz w:val="24"/>
                <w:szCs w:val="24"/>
                <w:highlight w:val="none"/>
                <w:lang w:val="en-US" w:eastAsia="zh-CN"/>
              </w:rPr>
              <w:t>接触氧化池1（</w:t>
            </w:r>
            <w:r>
              <w:rPr>
                <w:rFonts w:hint="eastAsia" w:cs="Times New Roman"/>
                <w:sz w:val="24"/>
                <w:highlight w:val="none"/>
                <w:lang w:val="en-US" w:eastAsia="zh-CN"/>
              </w:rPr>
              <w:t>3.3</w:t>
            </w:r>
            <w:r>
              <w:rPr>
                <w:rFonts w:hint="default" w:ascii="Times New Roman" w:hAnsi="Times New Roman" w:cs="Times New Roman"/>
                <w:sz w:val="24"/>
                <w:highlight w:val="none"/>
              </w:rPr>
              <w:t>m×</w:t>
            </w:r>
            <w:r>
              <w:rPr>
                <w:rFonts w:hint="eastAsia" w:cs="Times New Roman"/>
                <w:sz w:val="24"/>
                <w:highlight w:val="none"/>
                <w:lang w:val="en-US" w:eastAsia="zh-CN"/>
              </w:rPr>
              <w:t>3.00</w:t>
            </w:r>
            <w:r>
              <w:rPr>
                <w:rFonts w:hint="default" w:ascii="Times New Roman" w:hAnsi="Times New Roman" w:cs="Times New Roman"/>
                <w:sz w:val="24"/>
                <w:highlight w:val="none"/>
              </w:rPr>
              <w:t>m×</w:t>
            </w:r>
            <w:r>
              <w:rPr>
                <w:rFonts w:hint="eastAsia" w:cs="Times New Roman"/>
                <w:sz w:val="24"/>
                <w:highlight w:val="none"/>
                <w:lang w:val="en-US" w:eastAsia="zh-CN"/>
              </w:rPr>
              <w:t>3</w:t>
            </w:r>
            <w:r>
              <w:rPr>
                <w:rFonts w:hint="eastAsia" w:ascii="Times New Roman" w:hAnsi="Times New Roman" w:cs="Times New Roman"/>
                <w:sz w:val="24"/>
                <w:highlight w:val="none"/>
                <w:lang w:val="en-US" w:eastAsia="zh-CN"/>
              </w:rPr>
              <w:t>.</w:t>
            </w:r>
            <w:r>
              <w:rPr>
                <w:rFonts w:hint="eastAsia" w:cs="Times New Roman"/>
                <w:sz w:val="24"/>
                <w:highlight w:val="none"/>
                <w:lang w:val="en-US" w:eastAsia="zh-CN"/>
              </w:rPr>
              <w:t>0</w:t>
            </w:r>
            <w:r>
              <w:rPr>
                <w:rFonts w:hint="eastAsia" w:ascii="Times New Roman" w:hAnsi="Times New Roman" w:cs="Times New Roman"/>
                <w:sz w:val="24"/>
                <w:highlight w:val="none"/>
                <w:lang w:val="en-US" w:eastAsia="zh-CN"/>
              </w:rPr>
              <w:t>0</w:t>
            </w:r>
            <w:r>
              <w:rPr>
                <w:rFonts w:hint="default" w:ascii="Times New Roman" w:hAnsi="Times New Roman" w:cs="Times New Roman"/>
                <w:sz w:val="24"/>
                <w:highlight w:val="none"/>
              </w:rPr>
              <w:t>m</w:t>
            </w:r>
            <w:r>
              <w:rPr>
                <w:rFonts w:hint="eastAsia" w:cs="Times New Roman"/>
                <w:bCs/>
                <w:sz w:val="24"/>
                <w:szCs w:val="24"/>
                <w:highlight w:val="none"/>
                <w:lang w:val="en-US" w:eastAsia="zh-CN"/>
              </w:rPr>
              <w:t>）、接触氧化池2（</w:t>
            </w:r>
            <w:r>
              <w:rPr>
                <w:rFonts w:hint="eastAsia" w:cs="Times New Roman"/>
                <w:sz w:val="24"/>
                <w:highlight w:val="none"/>
                <w:lang w:val="en-US" w:eastAsia="zh-CN"/>
              </w:rPr>
              <w:t>3.3</w:t>
            </w:r>
            <w:r>
              <w:rPr>
                <w:rFonts w:hint="default" w:ascii="Times New Roman" w:hAnsi="Times New Roman" w:cs="Times New Roman"/>
                <w:sz w:val="24"/>
                <w:highlight w:val="none"/>
              </w:rPr>
              <w:t>m×</w:t>
            </w:r>
            <w:r>
              <w:rPr>
                <w:rFonts w:hint="eastAsia" w:cs="Times New Roman"/>
                <w:sz w:val="24"/>
                <w:highlight w:val="none"/>
                <w:lang w:val="en-US" w:eastAsia="zh-CN"/>
              </w:rPr>
              <w:t>3.00</w:t>
            </w:r>
            <w:r>
              <w:rPr>
                <w:rFonts w:hint="default" w:ascii="Times New Roman" w:hAnsi="Times New Roman" w:cs="Times New Roman"/>
                <w:sz w:val="24"/>
                <w:highlight w:val="none"/>
              </w:rPr>
              <w:t>m×</w:t>
            </w:r>
            <w:r>
              <w:rPr>
                <w:rFonts w:hint="eastAsia" w:cs="Times New Roman"/>
                <w:sz w:val="24"/>
                <w:highlight w:val="none"/>
                <w:lang w:val="en-US" w:eastAsia="zh-CN"/>
              </w:rPr>
              <w:t>3</w:t>
            </w:r>
            <w:r>
              <w:rPr>
                <w:rFonts w:hint="eastAsia" w:ascii="Times New Roman" w:hAnsi="Times New Roman" w:cs="Times New Roman"/>
                <w:sz w:val="24"/>
                <w:highlight w:val="none"/>
                <w:lang w:val="en-US" w:eastAsia="zh-CN"/>
              </w:rPr>
              <w:t>.</w:t>
            </w:r>
            <w:r>
              <w:rPr>
                <w:rFonts w:hint="eastAsia" w:cs="Times New Roman"/>
                <w:sz w:val="24"/>
                <w:highlight w:val="none"/>
                <w:lang w:val="en-US" w:eastAsia="zh-CN"/>
              </w:rPr>
              <w:t>0</w:t>
            </w:r>
            <w:r>
              <w:rPr>
                <w:rFonts w:hint="eastAsia" w:ascii="Times New Roman" w:hAnsi="Times New Roman" w:cs="Times New Roman"/>
                <w:sz w:val="24"/>
                <w:highlight w:val="none"/>
                <w:lang w:val="en-US" w:eastAsia="zh-CN"/>
              </w:rPr>
              <w:t>0</w:t>
            </w:r>
            <w:r>
              <w:rPr>
                <w:rFonts w:hint="default" w:ascii="Times New Roman" w:hAnsi="Times New Roman" w:cs="Times New Roman"/>
                <w:sz w:val="24"/>
                <w:highlight w:val="none"/>
              </w:rPr>
              <w:t>m</w:t>
            </w:r>
            <w:r>
              <w:rPr>
                <w:rFonts w:hint="eastAsia" w:cs="Times New Roman"/>
                <w:bCs/>
                <w:sz w:val="24"/>
                <w:szCs w:val="24"/>
                <w:highlight w:val="none"/>
                <w:lang w:val="en-US" w:eastAsia="zh-CN"/>
              </w:rPr>
              <w:t>）、二沉池（</w:t>
            </w:r>
            <w:r>
              <w:rPr>
                <w:rFonts w:hint="eastAsia" w:cs="Times New Roman"/>
                <w:sz w:val="24"/>
                <w:szCs w:val="24"/>
                <w:highlight w:val="none"/>
                <w:lang w:val="en-US" w:eastAsia="zh-CN"/>
              </w:rPr>
              <w:t>2</w:t>
            </w:r>
            <w:r>
              <w:rPr>
                <w:rFonts w:hint="eastAsia" w:ascii="Times New Roman" w:hAnsi="Times New Roman" w:cs="Times New Roman"/>
                <w:sz w:val="24"/>
                <w:szCs w:val="24"/>
                <w:highlight w:val="none"/>
                <w:lang w:val="en-US" w:eastAsia="zh-CN"/>
              </w:rPr>
              <w:t>.</w:t>
            </w:r>
            <w:r>
              <w:rPr>
                <w:rFonts w:hint="eastAsia" w:cs="Times New Roman"/>
                <w:sz w:val="24"/>
                <w:szCs w:val="24"/>
                <w:highlight w:val="none"/>
                <w:lang w:val="en-US" w:eastAsia="zh-CN"/>
              </w:rPr>
              <w:t>4</w:t>
            </w:r>
            <w:r>
              <w:rPr>
                <w:rFonts w:hint="eastAsia" w:ascii="Times New Roman" w:hAnsi="Times New Roman" w:cs="Times New Roman"/>
                <w:sz w:val="24"/>
                <w:szCs w:val="24"/>
                <w:highlight w:val="none"/>
                <w:lang w:val="en-US" w:eastAsia="zh-CN"/>
              </w:rPr>
              <w:t>0</w:t>
            </w:r>
            <w:r>
              <w:rPr>
                <w:rFonts w:hint="default" w:ascii="Times New Roman" w:hAnsi="Times New Roman" w:cs="Times New Roman"/>
                <w:sz w:val="24"/>
                <w:szCs w:val="24"/>
                <w:highlight w:val="none"/>
              </w:rPr>
              <w:t>m×</w:t>
            </w:r>
            <w:r>
              <w:rPr>
                <w:rFonts w:hint="eastAsia" w:cs="Times New Roman"/>
                <w:sz w:val="24"/>
                <w:szCs w:val="24"/>
                <w:highlight w:val="none"/>
                <w:lang w:val="en-US" w:eastAsia="zh-CN"/>
              </w:rPr>
              <w:t>2</w:t>
            </w:r>
            <w:r>
              <w:rPr>
                <w:rFonts w:hint="eastAsia" w:ascii="Times New Roman" w:hAnsi="Times New Roman" w:cs="Times New Roman"/>
                <w:sz w:val="24"/>
                <w:szCs w:val="24"/>
                <w:highlight w:val="none"/>
                <w:lang w:val="en-US" w:eastAsia="zh-CN"/>
              </w:rPr>
              <w:t>.</w:t>
            </w:r>
            <w:r>
              <w:rPr>
                <w:rFonts w:hint="eastAsia" w:cs="Times New Roman"/>
                <w:sz w:val="24"/>
                <w:szCs w:val="24"/>
                <w:highlight w:val="none"/>
                <w:lang w:val="en-US" w:eastAsia="zh-CN"/>
              </w:rPr>
              <w:t>4</w:t>
            </w:r>
            <w:r>
              <w:rPr>
                <w:rFonts w:hint="eastAsia" w:ascii="Times New Roman" w:hAnsi="Times New Roman" w:cs="Times New Roman"/>
                <w:sz w:val="24"/>
                <w:szCs w:val="24"/>
                <w:highlight w:val="none"/>
                <w:lang w:val="en-US" w:eastAsia="zh-CN"/>
              </w:rPr>
              <w:t>0</w:t>
            </w:r>
            <w:r>
              <w:rPr>
                <w:rFonts w:hint="default" w:ascii="Times New Roman" w:hAnsi="Times New Roman" w:cs="Times New Roman"/>
                <w:sz w:val="24"/>
                <w:szCs w:val="24"/>
                <w:highlight w:val="none"/>
              </w:rPr>
              <w:t>m×</w:t>
            </w:r>
            <w:r>
              <w:rPr>
                <w:rFonts w:hint="eastAsia" w:ascii="Times New Roman" w:hAnsi="Times New Roman" w:cs="Times New Roman"/>
                <w:sz w:val="24"/>
                <w:szCs w:val="24"/>
                <w:highlight w:val="none"/>
                <w:lang w:val="en-US" w:eastAsia="zh-CN"/>
              </w:rPr>
              <w:t>3.</w:t>
            </w:r>
            <w:r>
              <w:rPr>
                <w:rFonts w:hint="eastAsia" w:cs="Times New Roman"/>
                <w:sz w:val="24"/>
                <w:szCs w:val="24"/>
                <w:highlight w:val="none"/>
                <w:lang w:val="en-US" w:eastAsia="zh-CN"/>
              </w:rPr>
              <w:t>0</w:t>
            </w:r>
            <w:r>
              <w:rPr>
                <w:rFonts w:hint="eastAsia" w:ascii="Times New Roman" w:hAnsi="Times New Roman" w:cs="Times New Roman"/>
                <w:sz w:val="24"/>
                <w:szCs w:val="24"/>
                <w:highlight w:val="none"/>
                <w:lang w:val="en-US" w:eastAsia="zh-CN"/>
              </w:rPr>
              <w:t>0</w:t>
            </w:r>
            <w:r>
              <w:rPr>
                <w:rFonts w:hint="default" w:ascii="Times New Roman" w:hAnsi="Times New Roman" w:cs="Times New Roman"/>
                <w:sz w:val="24"/>
                <w:szCs w:val="24"/>
                <w:highlight w:val="none"/>
              </w:rPr>
              <w:t>m</w:t>
            </w:r>
            <w:r>
              <w:rPr>
                <w:rFonts w:hint="eastAsia" w:cs="Times New Roman"/>
                <w:bCs/>
                <w:sz w:val="24"/>
                <w:szCs w:val="24"/>
                <w:highlight w:val="none"/>
                <w:lang w:val="en-US" w:eastAsia="zh-CN"/>
              </w:rPr>
              <w:t>）、消毒池（</w:t>
            </w:r>
            <w:r>
              <w:rPr>
                <w:rFonts w:hint="eastAsia" w:cs="Times New Roman"/>
                <w:sz w:val="24"/>
                <w:highlight w:val="none"/>
                <w:lang w:val="en-US" w:eastAsia="zh-CN"/>
              </w:rPr>
              <w:t>0.60</w:t>
            </w:r>
            <w:r>
              <w:rPr>
                <w:rFonts w:hint="default" w:ascii="Times New Roman" w:hAnsi="Times New Roman" w:cs="Times New Roman"/>
                <w:sz w:val="24"/>
                <w:highlight w:val="none"/>
              </w:rPr>
              <w:t>m×</w:t>
            </w:r>
            <w:r>
              <w:rPr>
                <w:rFonts w:hint="eastAsia" w:cs="Times New Roman"/>
                <w:sz w:val="24"/>
                <w:highlight w:val="none"/>
                <w:lang w:val="en-US" w:eastAsia="zh-CN"/>
              </w:rPr>
              <w:t>2.40</w:t>
            </w:r>
            <w:r>
              <w:rPr>
                <w:rFonts w:hint="default" w:ascii="Times New Roman" w:hAnsi="Times New Roman" w:cs="Times New Roman"/>
                <w:sz w:val="24"/>
                <w:highlight w:val="none"/>
              </w:rPr>
              <w:t>m×</w:t>
            </w:r>
            <w:r>
              <w:rPr>
                <w:rFonts w:hint="eastAsia" w:cs="Times New Roman"/>
                <w:sz w:val="24"/>
                <w:highlight w:val="none"/>
                <w:lang w:val="en-US" w:eastAsia="zh-CN"/>
              </w:rPr>
              <w:t>3.00</w:t>
            </w:r>
            <w:r>
              <w:rPr>
                <w:rFonts w:hint="default" w:ascii="Times New Roman" w:hAnsi="Times New Roman" w:cs="Times New Roman"/>
                <w:sz w:val="24"/>
                <w:highlight w:val="none"/>
              </w:rPr>
              <w:t>m</w:t>
            </w:r>
            <w:r>
              <w:rPr>
                <w:rFonts w:hint="eastAsia" w:cs="Times New Roman"/>
                <w:bCs/>
                <w:sz w:val="24"/>
                <w:szCs w:val="24"/>
                <w:highlight w:val="none"/>
                <w:lang w:val="en-US" w:eastAsia="zh-CN"/>
              </w:rPr>
              <w:t>）等</w:t>
            </w:r>
            <w:r>
              <w:rPr>
                <w:rFonts w:hint="eastAsia" w:hAnsi="宋体"/>
                <w:color w:val="auto"/>
                <w:sz w:val="24"/>
                <w:highlight w:val="none"/>
              </w:rPr>
              <w:t>构筑物面积为</w:t>
            </w:r>
            <w:r>
              <w:rPr>
                <w:rFonts w:hint="eastAsia" w:hAnsi="宋体"/>
                <w:color w:val="auto"/>
                <w:sz w:val="24"/>
                <w:highlight w:val="none"/>
                <w:lang w:val="en-US" w:eastAsia="zh-CN"/>
              </w:rPr>
              <w:t>42.7</w:t>
            </w:r>
            <w:r>
              <w:rPr>
                <w:rFonts w:hint="eastAsia" w:hAnsi="宋体"/>
                <w:color w:val="auto"/>
                <w:sz w:val="24"/>
                <w:highlight w:val="none"/>
              </w:rPr>
              <w:t>m</w:t>
            </w:r>
            <w:r>
              <w:rPr>
                <w:rFonts w:hint="eastAsia" w:hAnsi="宋体"/>
                <w:color w:val="auto"/>
                <w:sz w:val="24"/>
                <w:highlight w:val="none"/>
                <w:vertAlign w:val="superscript"/>
              </w:rPr>
              <w:t>2</w:t>
            </w:r>
            <w:r>
              <w:rPr>
                <w:rFonts w:hint="eastAsia" w:hAnsi="宋体"/>
                <w:color w:val="auto"/>
                <w:sz w:val="24"/>
                <w:highlight w:val="none"/>
              </w:rPr>
              <w:t>）估算项目废水站恶臭气体污染源强详见表</w:t>
            </w:r>
            <w:r>
              <w:rPr>
                <w:rFonts w:hint="eastAsia" w:hAnsi="宋体"/>
                <w:color w:val="auto"/>
                <w:sz w:val="24"/>
                <w:highlight w:val="none"/>
                <w:lang w:val="en-US" w:eastAsia="zh-CN"/>
              </w:rPr>
              <w:t>7</w:t>
            </w:r>
            <w:r>
              <w:rPr>
                <w:rFonts w:hint="eastAsia" w:hAnsi="宋体"/>
                <w:color w:val="auto"/>
                <w:sz w:val="24"/>
                <w:highlight w:val="none"/>
              </w:rPr>
              <w:t>-</w:t>
            </w:r>
            <w:r>
              <w:rPr>
                <w:rFonts w:hint="eastAsia" w:hAnsi="宋体"/>
                <w:color w:val="auto"/>
                <w:sz w:val="24"/>
                <w:highlight w:val="none"/>
                <w:lang w:val="en-US" w:eastAsia="zh-CN"/>
              </w:rPr>
              <w:t>21</w:t>
            </w:r>
            <w:r>
              <w:rPr>
                <w:rFonts w:hint="eastAsia" w:hAnsi="宋体"/>
                <w:color w:val="auto"/>
                <w:sz w:val="24"/>
                <w:highlight w:val="none"/>
              </w:rPr>
              <w:t>。</w:t>
            </w:r>
          </w:p>
          <w:p w14:paraId="6AB56A04">
            <w:pPr>
              <w:keepNext w:val="0"/>
              <w:keepLines w:val="0"/>
              <w:suppressLineNumbers w:val="0"/>
              <w:spacing w:before="0" w:beforeAutospacing="0" w:after="0" w:afterAutospacing="0" w:line="360" w:lineRule="auto"/>
              <w:ind w:left="0" w:right="0" w:firstLine="482" w:firstLineChars="200"/>
              <w:jc w:val="center"/>
              <w:rPr>
                <w:rFonts w:hint="default"/>
                <w:b/>
                <w:bCs/>
                <w:color w:val="auto"/>
                <w:sz w:val="24"/>
                <w:highlight w:val="none"/>
              </w:rPr>
            </w:pPr>
            <w:r>
              <w:rPr>
                <w:rFonts w:hint="eastAsia"/>
                <w:b/>
                <w:bCs/>
                <w:color w:val="auto"/>
                <w:sz w:val="24"/>
                <w:highlight w:val="none"/>
              </w:rPr>
              <w:t>表</w:t>
            </w:r>
            <w:r>
              <w:rPr>
                <w:rFonts w:hint="eastAsia"/>
                <w:b/>
                <w:bCs/>
                <w:color w:val="auto"/>
                <w:sz w:val="24"/>
                <w:highlight w:val="none"/>
                <w:lang w:val="en-US" w:eastAsia="zh-CN"/>
              </w:rPr>
              <w:t>7</w:t>
            </w:r>
            <w:r>
              <w:rPr>
                <w:rFonts w:hint="default"/>
                <w:b/>
                <w:bCs/>
                <w:color w:val="auto"/>
                <w:sz w:val="24"/>
                <w:highlight w:val="none"/>
              </w:rPr>
              <w:t>-</w:t>
            </w:r>
            <w:r>
              <w:rPr>
                <w:rFonts w:hint="eastAsia"/>
                <w:b/>
                <w:bCs/>
                <w:color w:val="auto"/>
                <w:sz w:val="24"/>
                <w:highlight w:val="none"/>
                <w:lang w:val="en-US" w:eastAsia="zh-CN"/>
              </w:rPr>
              <w:t xml:space="preserve">21  </w:t>
            </w:r>
            <w:r>
              <w:rPr>
                <w:rFonts w:hint="eastAsia"/>
                <w:b/>
                <w:bCs/>
                <w:color w:val="auto"/>
                <w:sz w:val="24"/>
                <w:highlight w:val="none"/>
              </w:rPr>
              <w:t>污水处理构筑物单位面积</w:t>
            </w:r>
            <w:r>
              <w:rPr>
                <w:rFonts w:hint="eastAsia"/>
                <w:b/>
                <w:bCs/>
                <w:color w:val="auto"/>
                <w:sz w:val="24"/>
                <w:highlight w:val="none"/>
                <w:lang w:eastAsia="zh-CN"/>
              </w:rPr>
              <w:t>空气污染物</w:t>
            </w:r>
            <w:r>
              <w:rPr>
                <w:rFonts w:hint="eastAsia"/>
                <w:b/>
                <w:bCs/>
                <w:color w:val="auto"/>
                <w:sz w:val="24"/>
                <w:highlight w:val="none"/>
              </w:rPr>
              <w:t>排放源强</w:t>
            </w:r>
          </w:p>
          <w:tbl>
            <w:tblPr>
              <w:tblStyle w:val="32"/>
              <w:tblW w:w="4893"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554"/>
              <w:gridCol w:w="2728"/>
              <w:gridCol w:w="2729"/>
            </w:tblGrid>
            <w:tr w14:paraId="0F5FBAD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594" w:type="pct"/>
                  <w:vMerge w:val="restart"/>
                  <w:tcBorders>
                    <w:top w:val="single" w:color="auto" w:sz="4" w:space="0"/>
                    <w:left w:val="single" w:color="auto" w:sz="4" w:space="0"/>
                    <w:bottom w:val="single" w:color="auto" w:sz="4" w:space="0"/>
                    <w:right w:val="single" w:color="auto" w:sz="4" w:space="0"/>
                  </w:tcBorders>
                  <w:noWrap w:val="0"/>
                  <w:vAlign w:val="center"/>
                </w:tcPr>
                <w:p w14:paraId="53393291">
                  <w:pPr>
                    <w:keepNext w:val="0"/>
                    <w:keepLines w:val="0"/>
                    <w:suppressLineNumbers w:val="0"/>
                    <w:spacing w:before="0" w:beforeAutospacing="0" w:after="0" w:afterAutospacing="0" w:line="360" w:lineRule="auto"/>
                    <w:ind w:left="0" w:right="0"/>
                    <w:jc w:val="center"/>
                    <w:rPr>
                      <w:rFonts w:hint="default"/>
                      <w:color w:val="auto"/>
                      <w:sz w:val="21"/>
                      <w:szCs w:val="21"/>
                      <w:highlight w:val="none"/>
                    </w:rPr>
                  </w:pPr>
                  <w:r>
                    <w:rPr>
                      <w:rFonts w:hint="eastAsia"/>
                      <w:color w:val="auto"/>
                      <w:sz w:val="21"/>
                      <w:szCs w:val="21"/>
                      <w:highlight w:val="none"/>
                    </w:rPr>
                    <w:t>构筑物名称</w:t>
                  </w:r>
                </w:p>
              </w:tc>
              <w:tc>
                <w:tcPr>
                  <w:tcW w:w="3405" w:type="pct"/>
                  <w:gridSpan w:val="2"/>
                  <w:tcBorders>
                    <w:top w:val="single" w:color="auto" w:sz="4" w:space="0"/>
                    <w:left w:val="single" w:color="auto" w:sz="4" w:space="0"/>
                    <w:bottom w:val="single" w:color="auto" w:sz="4" w:space="0"/>
                    <w:right w:val="single" w:color="auto" w:sz="4" w:space="0"/>
                  </w:tcBorders>
                  <w:noWrap w:val="0"/>
                  <w:vAlign w:val="top"/>
                </w:tcPr>
                <w:p w14:paraId="53F618AC">
                  <w:pPr>
                    <w:keepNext w:val="0"/>
                    <w:keepLines w:val="0"/>
                    <w:suppressLineNumbers w:val="0"/>
                    <w:spacing w:before="0" w:beforeAutospacing="0" w:after="0" w:afterAutospacing="0" w:line="360" w:lineRule="auto"/>
                    <w:ind w:left="0" w:right="0"/>
                    <w:jc w:val="center"/>
                    <w:rPr>
                      <w:rFonts w:hint="default"/>
                      <w:color w:val="auto"/>
                      <w:sz w:val="21"/>
                      <w:szCs w:val="21"/>
                      <w:highlight w:val="none"/>
                    </w:rPr>
                  </w:pPr>
                  <w:r>
                    <w:rPr>
                      <w:rFonts w:hint="eastAsia"/>
                      <w:color w:val="auto"/>
                      <w:sz w:val="21"/>
                      <w:szCs w:val="21"/>
                      <w:highlight w:val="none"/>
                    </w:rPr>
                    <w:t>恶臭污染物单位面积排放系数</w:t>
                  </w:r>
                </w:p>
              </w:tc>
            </w:tr>
            <w:tr w14:paraId="06DE219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594" w:type="pct"/>
                  <w:vMerge w:val="continue"/>
                  <w:tcBorders>
                    <w:top w:val="single" w:color="auto" w:sz="4" w:space="0"/>
                    <w:left w:val="single" w:color="auto" w:sz="4" w:space="0"/>
                    <w:bottom w:val="single" w:color="auto" w:sz="4" w:space="0"/>
                    <w:right w:val="single" w:color="auto" w:sz="4" w:space="0"/>
                  </w:tcBorders>
                  <w:noWrap w:val="0"/>
                  <w:vAlign w:val="center"/>
                </w:tcPr>
                <w:p w14:paraId="183B5140">
                  <w:pPr>
                    <w:keepNext w:val="0"/>
                    <w:keepLines w:val="0"/>
                    <w:widowControl/>
                    <w:suppressLineNumbers w:val="0"/>
                    <w:spacing w:before="0" w:beforeAutospacing="0" w:after="0" w:afterAutospacing="0" w:line="360" w:lineRule="auto"/>
                    <w:ind w:left="0" w:right="0"/>
                    <w:jc w:val="left"/>
                    <w:rPr>
                      <w:rFonts w:hint="default"/>
                      <w:color w:val="auto"/>
                      <w:sz w:val="21"/>
                      <w:szCs w:val="21"/>
                      <w:highlight w:val="none"/>
                    </w:rPr>
                  </w:pPr>
                </w:p>
              </w:tc>
              <w:tc>
                <w:tcPr>
                  <w:tcW w:w="1702" w:type="pct"/>
                  <w:tcBorders>
                    <w:top w:val="single" w:color="auto" w:sz="4" w:space="0"/>
                    <w:left w:val="single" w:color="auto" w:sz="4" w:space="0"/>
                    <w:bottom w:val="single" w:color="auto" w:sz="4" w:space="0"/>
                    <w:right w:val="single" w:color="auto" w:sz="4" w:space="0"/>
                  </w:tcBorders>
                  <w:noWrap w:val="0"/>
                  <w:vAlign w:val="top"/>
                </w:tcPr>
                <w:p w14:paraId="12DD09E8">
                  <w:pPr>
                    <w:keepNext w:val="0"/>
                    <w:keepLines w:val="0"/>
                    <w:suppressLineNumbers w:val="0"/>
                    <w:spacing w:before="0" w:beforeAutospacing="0" w:after="0" w:afterAutospacing="0" w:line="360" w:lineRule="auto"/>
                    <w:ind w:left="0" w:right="0"/>
                    <w:jc w:val="center"/>
                    <w:rPr>
                      <w:rFonts w:hint="default"/>
                      <w:color w:val="auto"/>
                      <w:sz w:val="21"/>
                      <w:szCs w:val="21"/>
                      <w:highlight w:val="none"/>
                    </w:rPr>
                  </w:pPr>
                  <w:r>
                    <w:rPr>
                      <w:rFonts w:hint="default"/>
                      <w:color w:val="auto"/>
                      <w:sz w:val="21"/>
                      <w:szCs w:val="21"/>
                      <w:highlight w:val="none"/>
                    </w:rPr>
                    <w:t>H</w:t>
                  </w:r>
                  <w:r>
                    <w:rPr>
                      <w:rFonts w:hint="default"/>
                      <w:color w:val="auto"/>
                      <w:sz w:val="21"/>
                      <w:szCs w:val="21"/>
                      <w:highlight w:val="none"/>
                      <w:vertAlign w:val="subscript"/>
                    </w:rPr>
                    <w:t>2</w:t>
                  </w:r>
                  <w:r>
                    <w:rPr>
                      <w:rFonts w:hint="default"/>
                      <w:color w:val="auto"/>
                      <w:sz w:val="21"/>
                      <w:szCs w:val="21"/>
                      <w:highlight w:val="none"/>
                    </w:rPr>
                    <w:t>S</w:t>
                  </w:r>
                  <w:r>
                    <w:rPr>
                      <w:rFonts w:hint="eastAsia"/>
                      <w:color w:val="auto"/>
                      <w:sz w:val="21"/>
                      <w:szCs w:val="21"/>
                      <w:highlight w:val="none"/>
                    </w:rPr>
                    <w:t>（</w:t>
                  </w:r>
                  <w:r>
                    <w:rPr>
                      <w:rFonts w:hint="default"/>
                      <w:color w:val="auto"/>
                      <w:sz w:val="21"/>
                      <w:szCs w:val="21"/>
                      <w:highlight w:val="none"/>
                    </w:rPr>
                    <w:t>mg/m</w:t>
                  </w:r>
                  <w:r>
                    <w:rPr>
                      <w:rFonts w:hint="default"/>
                      <w:color w:val="auto"/>
                      <w:sz w:val="21"/>
                      <w:szCs w:val="21"/>
                      <w:highlight w:val="none"/>
                      <w:vertAlign w:val="superscript"/>
                    </w:rPr>
                    <w:t>2</w:t>
                  </w:r>
                  <w:r>
                    <w:rPr>
                      <w:rFonts w:hint="default"/>
                      <w:color w:val="auto"/>
                      <w:sz w:val="21"/>
                      <w:szCs w:val="21"/>
                      <w:highlight w:val="none"/>
                    </w:rPr>
                    <w:t>·s</w:t>
                  </w:r>
                  <w:r>
                    <w:rPr>
                      <w:rFonts w:hint="eastAsia"/>
                      <w:color w:val="auto"/>
                      <w:sz w:val="21"/>
                      <w:szCs w:val="21"/>
                      <w:highlight w:val="none"/>
                    </w:rPr>
                    <w:t>）</w:t>
                  </w:r>
                </w:p>
              </w:tc>
              <w:tc>
                <w:tcPr>
                  <w:tcW w:w="1703" w:type="pct"/>
                  <w:tcBorders>
                    <w:top w:val="single" w:color="auto" w:sz="4" w:space="0"/>
                    <w:left w:val="single" w:color="auto" w:sz="4" w:space="0"/>
                    <w:bottom w:val="single" w:color="auto" w:sz="4" w:space="0"/>
                    <w:right w:val="single" w:color="auto" w:sz="4" w:space="0"/>
                  </w:tcBorders>
                  <w:noWrap w:val="0"/>
                  <w:vAlign w:val="top"/>
                </w:tcPr>
                <w:p w14:paraId="4F5D4392">
                  <w:pPr>
                    <w:keepNext w:val="0"/>
                    <w:keepLines w:val="0"/>
                    <w:suppressLineNumbers w:val="0"/>
                    <w:spacing w:before="0" w:beforeAutospacing="0" w:after="0" w:afterAutospacing="0" w:line="360" w:lineRule="auto"/>
                    <w:ind w:left="0" w:right="0"/>
                    <w:jc w:val="center"/>
                    <w:rPr>
                      <w:rFonts w:hint="default"/>
                      <w:color w:val="auto"/>
                      <w:sz w:val="21"/>
                      <w:szCs w:val="21"/>
                      <w:highlight w:val="none"/>
                    </w:rPr>
                  </w:pPr>
                  <w:r>
                    <w:rPr>
                      <w:rFonts w:hint="default"/>
                      <w:color w:val="auto"/>
                      <w:sz w:val="21"/>
                      <w:szCs w:val="21"/>
                      <w:highlight w:val="none"/>
                    </w:rPr>
                    <w:t>NH</w:t>
                  </w:r>
                  <w:r>
                    <w:rPr>
                      <w:rFonts w:hint="default"/>
                      <w:color w:val="auto"/>
                      <w:sz w:val="21"/>
                      <w:szCs w:val="21"/>
                      <w:highlight w:val="none"/>
                      <w:vertAlign w:val="subscript"/>
                    </w:rPr>
                    <w:t>3</w:t>
                  </w:r>
                  <w:r>
                    <w:rPr>
                      <w:rFonts w:hint="eastAsia"/>
                      <w:color w:val="auto"/>
                      <w:sz w:val="21"/>
                      <w:szCs w:val="21"/>
                      <w:highlight w:val="none"/>
                    </w:rPr>
                    <w:t>（</w:t>
                  </w:r>
                  <w:r>
                    <w:rPr>
                      <w:rFonts w:hint="default"/>
                      <w:color w:val="auto"/>
                      <w:sz w:val="21"/>
                      <w:szCs w:val="21"/>
                      <w:highlight w:val="none"/>
                    </w:rPr>
                    <w:t>mg/m</w:t>
                  </w:r>
                  <w:r>
                    <w:rPr>
                      <w:rFonts w:hint="default"/>
                      <w:color w:val="auto"/>
                      <w:sz w:val="21"/>
                      <w:szCs w:val="21"/>
                      <w:highlight w:val="none"/>
                      <w:vertAlign w:val="superscript"/>
                    </w:rPr>
                    <w:t>2</w:t>
                  </w:r>
                  <w:r>
                    <w:rPr>
                      <w:rFonts w:hint="default"/>
                      <w:color w:val="auto"/>
                      <w:sz w:val="21"/>
                      <w:szCs w:val="21"/>
                      <w:highlight w:val="none"/>
                    </w:rPr>
                    <w:t>·s</w:t>
                  </w:r>
                  <w:r>
                    <w:rPr>
                      <w:rFonts w:hint="eastAsia"/>
                      <w:color w:val="auto"/>
                      <w:sz w:val="21"/>
                      <w:szCs w:val="21"/>
                      <w:highlight w:val="none"/>
                    </w:rPr>
                    <w:t>）</w:t>
                  </w:r>
                </w:p>
              </w:tc>
            </w:tr>
            <w:tr w14:paraId="62D6BFC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594" w:type="pct"/>
                  <w:tcBorders>
                    <w:top w:val="single" w:color="auto" w:sz="4" w:space="0"/>
                    <w:left w:val="single" w:color="auto" w:sz="4" w:space="0"/>
                    <w:bottom w:val="single" w:color="auto" w:sz="4" w:space="0"/>
                    <w:right w:val="single" w:color="auto" w:sz="4" w:space="0"/>
                  </w:tcBorders>
                  <w:noWrap w:val="0"/>
                  <w:vAlign w:val="top"/>
                </w:tcPr>
                <w:p w14:paraId="1F3AD60D">
                  <w:pPr>
                    <w:keepNext w:val="0"/>
                    <w:keepLines w:val="0"/>
                    <w:suppressLineNumbers w:val="0"/>
                    <w:spacing w:before="0" w:beforeAutospacing="0" w:after="0" w:afterAutospacing="0" w:line="360" w:lineRule="auto"/>
                    <w:ind w:left="0" w:right="0"/>
                    <w:jc w:val="center"/>
                    <w:rPr>
                      <w:rFonts w:hint="eastAsia"/>
                      <w:color w:val="auto"/>
                      <w:sz w:val="21"/>
                      <w:szCs w:val="21"/>
                      <w:highlight w:val="none"/>
                    </w:rPr>
                  </w:pPr>
                  <w:r>
                    <w:rPr>
                      <w:rFonts w:hint="eastAsia"/>
                      <w:color w:val="auto"/>
                      <w:sz w:val="21"/>
                      <w:szCs w:val="21"/>
                      <w:highlight w:val="none"/>
                    </w:rPr>
                    <w:t>污水处理构筑物</w:t>
                  </w:r>
                </w:p>
              </w:tc>
              <w:tc>
                <w:tcPr>
                  <w:tcW w:w="1702" w:type="pct"/>
                  <w:tcBorders>
                    <w:top w:val="single" w:color="auto" w:sz="4" w:space="0"/>
                    <w:left w:val="single" w:color="auto" w:sz="4" w:space="0"/>
                    <w:bottom w:val="single" w:color="auto" w:sz="4" w:space="0"/>
                    <w:right w:val="single" w:color="auto" w:sz="4" w:space="0"/>
                  </w:tcBorders>
                  <w:noWrap w:val="0"/>
                  <w:vAlign w:val="top"/>
                </w:tcPr>
                <w:p w14:paraId="63AAD988">
                  <w:pPr>
                    <w:keepNext w:val="0"/>
                    <w:keepLines w:val="0"/>
                    <w:suppressLineNumbers w:val="0"/>
                    <w:spacing w:before="0" w:beforeAutospacing="0" w:after="0" w:afterAutospacing="0" w:line="360" w:lineRule="auto"/>
                    <w:ind w:left="0" w:right="0"/>
                    <w:jc w:val="center"/>
                    <w:rPr>
                      <w:rFonts w:hint="default"/>
                      <w:color w:val="auto"/>
                      <w:sz w:val="21"/>
                      <w:szCs w:val="21"/>
                      <w:highlight w:val="none"/>
                    </w:rPr>
                  </w:pPr>
                  <w:r>
                    <w:rPr>
                      <w:rFonts w:hint="default"/>
                      <w:color w:val="auto"/>
                      <w:sz w:val="21"/>
                      <w:szCs w:val="21"/>
                      <w:highlight w:val="none"/>
                    </w:rPr>
                    <w:t>1.</w:t>
                  </w:r>
                  <w:r>
                    <w:rPr>
                      <w:rFonts w:hint="eastAsia"/>
                      <w:color w:val="auto"/>
                      <w:sz w:val="21"/>
                      <w:szCs w:val="21"/>
                      <w:highlight w:val="none"/>
                    </w:rPr>
                    <w:t>39</w:t>
                  </w:r>
                  <w:r>
                    <w:rPr>
                      <w:rFonts w:hint="default"/>
                      <w:color w:val="auto"/>
                      <w:sz w:val="21"/>
                      <w:szCs w:val="21"/>
                      <w:highlight w:val="none"/>
                    </w:rPr>
                    <w:t>×10</w:t>
                  </w:r>
                  <w:r>
                    <w:rPr>
                      <w:rFonts w:hint="default"/>
                      <w:color w:val="auto"/>
                      <w:sz w:val="21"/>
                      <w:szCs w:val="21"/>
                      <w:highlight w:val="none"/>
                      <w:vertAlign w:val="superscript"/>
                    </w:rPr>
                    <w:t>-3</w:t>
                  </w:r>
                </w:p>
              </w:tc>
              <w:tc>
                <w:tcPr>
                  <w:tcW w:w="1703" w:type="pct"/>
                  <w:tcBorders>
                    <w:top w:val="single" w:color="auto" w:sz="4" w:space="0"/>
                    <w:left w:val="single" w:color="auto" w:sz="4" w:space="0"/>
                    <w:bottom w:val="single" w:color="auto" w:sz="4" w:space="0"/>
                    <w:right w:val="single" w:color="auto" w:sz="4" w:space="0"/>
                  </w:tcBorders>
                  <w:noWrap w:val="0"/>
                  <w:vAlign w:val="top"/>
                </w:tcPr>
                <w:p w14:paraId="01D78E51">
                  <w:pPr>
                    <w:keepNext w:val="0"/>
                    <w:keepLines w:val="0"/>
                    <w:suppressLineNumbers w:val="0"/>
                    <w:spacing w:before="0" w:beforeAutospacing="0" w:after="0" w:afterAutospacing="0" w:line="360" w:lineRule="auto"/>
                    <w:ind w:left="0" w:right="0"/>
                    <w:jc w:val="center"/>
                    <w:rPr>
                      <w:rFonts w:hint="default"/>
                      <w:color w:val="auto"/>
                      <w:sz w:val="21"/>
                      <w:szCs w:val="21"/>
                      <w:highlight w:val="none"/>
                    </w:rPr>
                  </w:pPr>
                  <w:r>
                    <w:rPr>
                      <w:rFonts w:hint="default"/>
                      <w:color w:val="auto"/>
                      <w:sz w:val="21"/>
                      <w:szCs w:val="21"/>
                      <w:highlight w:val="none"/>
                    </w:rPr>
                    <w:t>0.0</w:t>
                  </w:r>
                  <w:r>
                    <w:rPr>
                      <w:rFonts w:hint="eastAsia"/>
                      <w:color w:val="auto"/>
                      <w:sz w:val="21"/>
                      <w:szCs w:val="21"/>
                      <w:highlight w:val="none"/>
                    </w:rPr>
                    <w:t>2</w:t>
                  </w:r>
                </w:p>
              </w:tc>
            </w:tr>
          </w:tbl>
          <w:p w14:paraId="34FC56C0">
            <w:pPr>
              <w:keepNext w:val="0"/>
              <w:keepLines w:val="0"/>
              <w:suppressLineNumbers w:val="0"/>
              <w:spacing w:before="0" w:beforeAutospacing="0" w:after="0" w:afterAutospacing="0" w:line="360" w:lineRule="auto"/>
              <w:ind w:left="0" w:right="0"/>
              <w:jc w:val="center"/>
              <w:rPr>
                <w:rFonts w:hint="default"/>
                <w:b/>
                <w:bCs/>
                <w:color w:val="auto"/>
                <w:sz w:val="24"/>
                <w:highlight w:val="none"/>
              </w:rPr>
            </w:pPr>
            <w:r>
              <w:rPr>
                <w:rFonts w:hint="eastAsia"/>
                <w:b/>
                <w:bCs/>
                <w:color w:val="auto"/>
                <w:sz w:val="24"/>
                <w:highlight w:val="none"/>
              </w:rPr>
              <w:t>表</w:t>
            </w:r>
            <w:r>
              <w:rPr>
                <w:rFonts w:hint="eastAsia"/>
                <w:b/>
                <w:bCs/>
                <w:color w:val="auto"/>
                <w:sz w:val="24"/>
                <w:highlight w:val="none"/>
                <w:lang w:val="en-US" w:eastAsia="zh-CN"/>
              </w:rPr>
              <w:t>7</w:t>
            </w:r>
            <w:r>
              <w:rPr>
                <w:rFonts w:hint="default"/>
                <w:b/>
                <w:bCs/>
                <w:color w:val="auto"/>
                <w:sz w:val="24"/>
                <w:highlight w:val="none"/>
              </w:rPr>
              <w:t>-</w:t>
            </w:r>
            <w:r>
              <w:rPr>
                <w:rFonts w:hint="eastAsia"/>
                <w:b/>
                <w:bCs/>
                <w:color w:val="auto"/>
                <w:sz w:val="24"/>
                <w:highlight w:val="none"/>
                <w:lang w:val="en-US" w:eastAsia="zh-CN"/>
              </w:rPr>
              <w:t xml:space="preserve">22  </w:t>
            </w:r>
            <w:r>
              <w:rPr>
                <w:rFonts w:hint="eastAsia"/>
                <w:b/>
                <w:bCs/>
                <w:color w:val="auto"/>
                <w:sz w:val="24"/>
                <w:highlight w:val="none"/>
              </w:rPr>
              <w:t>污水处理构筑物废气污染物源强</w:t>
            </w:r>
          </w:p>
          <w:tbl>
            <w:tblPr>
              <w:tblStyle w:val="32"/>
              <w:tblW w:w="4904"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28" w:type="dxa"/>
                <w:bottom w:w="0" w:type="dxa"/>
                <w:right w:w="28" w:type="dxa"/>
              </w:tblCellMar>
            </w:tblPr>
            <w:tblGrid>
              <w:gridCol w:w="1767"/>
              <w:gridCol w:w="1432"/>
              <w:gridCol w:w="2575"/>
              <w:gridCol w:w="2255"/>
            </w:tblGrid>
            <w:tr w14:paraId="1351926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jc w:val="center"/>
              </w:trPr>
              <w:tc>
                <w:tcPr>
                  <w:tcW w:w="2762" w:type="dxa"/>
                  <w:vMerge w:val="restart"/>
                  <w:tcBorders>
                    <w:top w:val="single" w:color="auto" w:sz="4" w:space="0"/>
                    <w:left w:val="single" w:color="auto" w:sz="4" w:space="0"/>
                    <w:right w:val="single" w:color="auto" w:sz="4" w:space="0"/>
                  </w:tcBorders>
                  <w:noWrap w:val="0"/>
                  <w:vAlign w:val="center"/>
                </w:tcPr>
                <w:p w14:paraId="5533A070">
                  <w:pPr>
                    <w:keepNext w:val="0"/>
                    <w:keepLines w:val="0"/>
                    <w:pageBreakBefore w:val="0"/>
                    <w:suppressLineNumbers w:val="0"/>
                    <w:kinsoku/>
                    <w:wordWrap/>
                    <w:overflowPunct/>
                    <w:topLinePunct w:val="0"/>
                    <w:autoSpaceDE/>
                    <w:autoSpaceDN/>
                    <w:bidi w:val="0"/>
                    <w:adjustRightInd w:val="0"/>
                    <w:snapToGrid w:val="0"/>
                    <w:spacing w:before="0" w:beforeAutospacing="0" w:after="0" w:afterAutospacing="0" w:line="360" w:lineRule="auto"/>
                    <w:ind w:left="0" w:right="0"/>
                    <w:jc w:val="center"/>
                    <w:textAlignment w:val="auto"/>
                    <w:rPr>
                      <w:rFonts w:hint="default"/>
                      <w:color w:val="auto"/>
                      <w:sz w:val="21"/>
                      <w:szCs w:val="21"/>
                      <w:highlight w:val="none"/>
                    </w:rPr>
                  </w:pPr>
                  <w:r>
                    <w:rPr>
                      <w:rFonts w:hint="eastAsia"/>
                      <w:color w:val="auto"/>
                      <w:sz w:val="21"/>
                      <w:szCs w:val="21"/>
                      <w:highlight w:val="none"/>
                    </w:rPr>
                    <w:t>构筑物名称</w:t>
                  </w:r>
                </w:p>
              </w:tc>
              <w:tc>
                <w:tcPr>
                  <w:tcW w:w="2232" w:type="dxa"/>
                  <w:vMerge w:val="restart"/>
                  <w:tcBorders>
                    <w:top w:val="single" w:color="auto" w:sz="4" w:space="0"/>
                    <w:left w:val="single" w:color="auto" w:sz="4" w:space="0"/>
                    <w:bottom w:val="single" w:color="auto" w:sz="4" w:space="0"/>
                    <w:right w:val="single" w:color="auto" w:sz="4" w:space="0"/>
                  </w:tcBorders>
                  <w:noWrap w:val="0"/>
                  <w:vAlign w:val="center"/>
                </w:tcPr>
                <w:p w14:paraId="3CD12EE2">
                  <w:pPr>
                    <w:keepNext w:val="0"/>
                    <w:keepLines w:val="0"/>
                    <w:pageBreakBefore w:val="0"/>
                    <w:suppressLineNumbers w:val="0"/>
                    <w:kinsoku/>
                    <w:wordWrap/>
                    <w:overflowPunct/>
                    <w:topLinePunct w:val="0"/>
                    <w:autoSpaceDE/>
                    <w:autoSpaceDN/>
                    <w:bidi w:val="0"/>
                    <w:adjustRightInd w:val="0"/>
                    <w:snapToGrid w:val="0"/>
                    <w:spacing w:before="0" w:beforeAutospacing="0" w:after="0" w:afterAutospacing="0" w:line="360" w:lineRule="auto"/>
                    <w:ind w:left="0" w:right="0"/>
                    <w:jc w:val="center"/>
                    <w:textAlignment w:val="auto"/>
                    <w:rPr>
                      <w:rFonts w:hint="default"/>
                      <w:color w:val="auto"/>
                      <w:sz w:val="21"/>
                      <w:szCs w:val="21"/>
                      <w:highlight w:val="none"/>
                    </w:rPr>
                  </w:pPr>
                  <w:r>
                    <w:rPr>
                      <w:rFonts w:hint="eastAsia"/>
                      <w:color w:val="auto"/>
                      <w:sz w:val="21"/>
                      <w:szCs w:val="21"/>
                      <w:highlight w:val="none"/>
                    </w:rPr>
                    <w:t>面积（m</w:t>
                  </w:r>
                  <w:r>
                    <w:rPr>
                      <w:rFonts w:hint="eastAsia"/>
                      <w:color w:val="auto"/>
                      <w:sz w:val="21"/>
                      <w:szCs w:val="21"/>
                      <w:highlight w:val="none"/>
                      <w:vertAlign w:val="superscript"/>
                    </w:rPr>
                    <w:t>2</w:t>
                  </w:r>
                  <w:r>
                    <w:rPr>
                      <w:rFonts w:hint="eastAsia"/>
                      <w:color w:val="auto"/>
                      <w:sz w:val="21"/>
                      <w:szCs w:val="21"/>
                      <w:highlight w:val="none"/>
                    </w:rPr>
                    <w:t>）</w:t>
                  </w:r>
                </w:p>
              </w:tc>
              <w:tc>
                <w:tcPr>
                  <w:tcW w:w="7579" w:type="dxa"/>
                  <w:gridSpan w:val="2"/>
                  <w:tcBorders>
                    <w:top w:val="single" w:color="auto" w:sz="4" w:space="0"/>
                    <w:left w:val="single" w:color="auto" w:sz="4" w:space="0"/>
                    <w:bottom w:val="single" w:color="auto" w:sz="4" w:space="0"/>
                    <w:right w:val="single" w:color="auto" w:sz="4" w:space="0"/>
                  </w:tcBorders>
                  <w:noWrap w:val="0"/>
                  <w:vAlign w:val="top"/>
                </w:tcPr>
                <w:p w14:paraId="27605A56">
                  <w:pPr>
                    <w:keepNext w:val="0"/>
                    <w:keepLines w:val="0"/>
                    <w:pageBreakBefore w:val="0"/>
                    <w:suppressLineNumbers w:val="0"/>
                    <w:kinsoku/>
                    <w:wordWrap/>
                    <w:overflowPunct/>
                    <w:topLinePunct w:val="0"/>
                    <w:autoSpaceDE/>
                    <w:autoSpaceDN/>
                    <w:bidi w:val="0"/>
                    <w:adjustRightInd w:val="0"/>
                    <w:snapToGrid w:val="0"/>
                    <w:spacing w:before="0" w:beforeAutospacing="0" w:after="0" w:afterAutospacing="0" w:line="360" w:lineRule="auto"/>
                    <w:ind w:left="0" w:right="0"/>
                    <w:jc w:val="center"/>
                    <w:textAlignment w:val="auto"/>
                    <w:rPr>
                      <w:rFonts w:hint="default"/>
                      <w:color w:val="auto"/>
                      <w:sz w:val="21"/>
                      <w:szCs w:val="21"/>
                      <w:highlight w:val="none"/>
                    </w:rPr>
                  </w:pPr>
                  <w:r>
                    <w:rPr>
                      <w:rFonts w:hint="eastAsia"/>
                      <w:color w:val="auto"/>
                      <w:sz w:val="21"/>
                      <w:szCs w:val="21"/>
                      <w:highlight w:val="none"/>
                    </w:rPr>
                    <w:t>恶臭污染物废气源强</w:t>
                  </w:r>
                </w:p>
              </w:tc>
            </w:tr>
            <w:tr w14:paraId="01C76C7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jc w:val="center"/>
              </w:trPr>
              <w:tc>
                <w:tcPr>
                  <w:tcW w:w="2762" w:type="dxa"/>
                  <w:vMerge w:val="continue"/>
                  <w:tcBorders>
                    <w:left w:val="single" w:color="auto" w:sz="4" w:space="0"/>
                    <w:right w:val="single" w:color="auto" w:sz="4" w:space="0"/>
                  </w:tcBorders>
                  <w:noWrap w:val="0"/>
                  <w:vAlign w:val="center"/>
                </w:tcPr>
                <w:p w14:paraId="776E093B">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360" w:lineRule="auto"/>
                    <w:ind w:left="0" w:right="0"/>
                    <w:jc w:val="left"/>
                    <w:textAlignment w:val="auto"/>
                    <w:rPr>
                      <w:rFonts w:hint="default"/>
                      <w:color w:val="auto"/>
                      <w:sz w:val="21"/>
                      <w:szCs w:val="21"/>
                      <w:highlight w:val="none"/>
                    </w:rPr>
                  </w:pPr>
                </w:p>
              </w:tc>
              <w:tc>
                <w:tcPr>
                  <w:tcW w:w="2232" w:type="dxa"/>
                  <w:vMerge w:val="continue"/>
                  <w:tcBorders>
                    <w:top w:val="single" w:color="auto" w:sz="4" w:space="0"/>
                    <w:left w:val="single" w:color="auto" w:sz="4" w:space="0"/>
                    <w:bottom w:val="single" w:color="auto" w:sz="4" w:space="0"/>
                    <w:right w:val="single" w:color="auto" w:sz="4" w:space="0"/>
                  </w:tcBorders>
                  <w:noWrap w:val="0"/>
                  <w:vAlign w:val="center"/>
                </w:tcPr>
                <w:p w14:paraId="07915607">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360" w:lineRule="auto"/>
                    <w:ind w:left="0" w:right="0"/>
                    <w:jc w:val="left"/>
                    <w:textAlignment w:val="auto"/>
                    <w:rPr>
                      <w:rFonts w:hint="default"/>
                      <w:color w:val="auto"/>
                      <w:sz w:val="21"/>
                      <w:szCs w:val="21"/>
                      <w:highlight w:val="none"/>
                    </w:rPr>
                  </w:pPr>
                </w:p>
              </w:tc>
              <w:tc>
                <w:tcPr>
                  <w:tcW w:w="4043" w:type="dxa"/>
                  <w:tcBorders>
                    <w:top w:val="single" w:color="auto" w:sz="4" w:space="0"/>
                    <w:left w:val="single" w:color="auto" w:sz="4" w:space="0"/>
                    <w:bottom w:val="single" w:color="auto" w:sz="4" w:space="0"/>
                    <w:right w:val="single" w:color="auto" w:sz="4" w:space="0"/>
                  </w:tcBorders>
                  <w:noWrap w:val="0"/>
                  <w:vAlign w:val="top"/>
                </w:tcPr>
                <w:p w14:paraId="2B3235C2">
                  <w:pPr>
                    <w:keepNext w:val="0"/>
                    <w:keepLines w:val="0"/>
                    <w:pageBreakBefore w:val="0"/>
                    <w:suppressLineNumbers w:val="0"/>
                    <w:kinsoku/>
                    <w:wordWrap/>
                    <w:overflowPunct/>
                    <w:topLinePunct w:val="0"/>
                    <w:autoSpaceDE/>
                    <w:autoSpaceDN/>
                    <w:bidi w:val="0"/>
                    <w:adjustRightInd w:val="0"/>
                    <w:snapToGrid w:val="0"/>
                    <w:spacing w:before="0" w:beforeAutospacing="0" w:after="0" w:afterAutospacing="0" w:line="360" w:lineRule="auto"/>
                    <w:ind w:left="0" w:right="0"/>
                    <w:jc w:val="center"/>
                    <w:textAlignment w:val="auto"/>
                    <w:rPr>
                      <w:rFonts w:hint="default"/>
                      <w:color w:val="auto"/>
                      <w:sz w:val="21"/>
                      <w:szCs w:val="21"/>
                      <w:highlight w:val="none"/>
                    </w:rPr>
                  </w:pPr>
                  <w:r>
                    <w:rPr>
                      <w:rFonts w:hint="default"/>
                      <w:color w:val="auto"/>
                      <w:sz w:val="21"/>
                      <w:szCs w:val="21"/>
                      <w:highlight w:val="none"/>
                    </w:rPr>
                    <w:t>H</w:t>
                  </w:r>
                  <w:r>
                    <w:rPr>
                      <w:rFonts w:hint="default"/>
                      <w:color w:val="auto"/>
                      <w:sz w:val="21"/>
                      <w:szCs w:val="21"/>
                      <w:highlight w:val="none"/>
                      <w:vertAlign w:val="subscript"/>
                    </w:rPr>
                    <w:t>2</w:t>
                  </w:r>
                  <w:r>
                    <w:rPr>
                      <w:rFonts w:hint="default"/>
                      <w:color w:val="auto"/>
                      <w:sz w:val="21"/>
                      <w:szCs w:val="21"/>
                      <w:highlight w:val="none"/>
                    </w:rPr>
                    <w:t>S</w:t>
                  </w:r>
                </w:p>
              </w:tc>
              <w:tc>
                <w:tcPr>
                  <w:tcW w:w="3536" w:type="dxa"/>
                  <w:tcBorders>
                    <w:top w:val="single" w:color="auto" w:sz="4" w:space="0"/>
                    <w:left w:val="single" w:color="auto" w:sz="4" w:space="0"/>
                    <w:bottom w:val="single" w:color="auto" w:sz="4" w:space="0"/>
                    <w:right w:val="single" w:color="auto" w:sz="4" w:space="0"/>
                  </w:tcBorders>
                  <w:noWrap w:val="0"/>
                  <w:vAlign w:val="top"/>
                </w:tcPr>
                <w:p w14:paraId="2F771F8A">
                  <w:pPr>
                    <w:keepNext w:val="0"/>
                    <w:keepLines w:val="0"/>
                    <w:pageBreakBefore w:val="0"/>
                    <w:suppressLineNumbers w:val="0"/>
                    <w:kinsoku/>
                    <w:wordWrap/>
                    <w:overflowPunct/>
                    <w:topLinePunct w:val="0"/>
                    <w:autoSpaceDE/>
                    <w:autoSpaceDN/>
                    <w:bidi w:val="0"/>
                    <w:adjustRightInd w:val="0"/>
                    <w:snapToGrid w:val="0"/>
                    <w:spacing w:before="0" w:beforeAutospacing="0" w:after="0" w:afterAutospacing="0" w:line="360" w:lineRule="auto"/>
                    <w:ind w:left="0" w:right="0"/>
                    <w:jc w:val="center"/>
                    <w:textAlignment w:val="auto"/>
                    <w:rPr>
                      <w:rFonts w:hint="default"/>
                      <w:color w:val="auto"/>
                      <w:sz w:val="21"/>
                      <w:szCs w:val="21"/>
                      <w:highlight w:val="none"/>
                    </w:rPr>
                  </w:pPr>
                  <w:r>
                    <w:rPr>
                      <w:rFonts w:hint="default"/>
                      <w:color w:val="auto"/>
                      <w:sz w:val="21"/>
                      <w:szCs w:val="21"/>
                      <w:highlight w:val="none"/>
                    </w:rPr>
                    <w:t>NH</w:t>
                  </w:r>
                  <w:r>
                    <w:rPr>
                      <w:rFonts w:hint="default"/>
                      <w:color w:val="auto"/>
                      <w:sz w:val="21"/>
                      <w:szCs w:val="21"/>
                      <w:highlight w:val="none"/>
                      <w:vertAlign w:val="subscript"/>
                    </w:rPr>
                    <w:t>3</w:t>
                  </w:r>
                </w:p>
              </w:tc>
            </w:tr>
            <w:tr w14:paraId="50C2DFB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jc w:val="center"/>
              </w:trPr>
              <w:tc>
                <w:tcPr>
                  <w:tcW w:w="2762" w:type="dxa"/>
                  <w:tcBorders>
                    <w:left w:val="single" w:color="auto" w:sz="4" w:space="0"/>
                    <w:bottom w:val="single" w:color="auto" w:sz="4" w:space="0"/>
                    <w:right w:val="single" w:color="auto" w:sz="4" w:space="0"/>
                  </w:tcBorders>
                  <w:noWrap w:val="0"/>
                  <w:vAlign w:val="top"/>
                </w:tcPr>
                <w:p w14:paraId="2FB70B9A">
                  <w:pPr>
                    <w:keepNext w:val="0"/>
                    <w:keepLines w:val="0"/>
                    <w:pageBreakBefore w:val="0"/>
                    <w:suppressLineNumbers w:val="0"/>
                    <w:kinsoku/>
                    <w:wordWrap/>
                    <w:overflowPunct/>
                    <w:topLinePunct w:val="0"/>
                    <w:autoSpaceDE/>
                    <w:autoSpaceDN/>
                    <w:bidi w:val="0"/>
                    <w:adjustRightInd w:val="0"/>
                    <w:snapToGrid w:val="0"/>
                    <w:spacing w:before="0" w:beforeAutospacing="0" w:after="0" w:afterAutospacing="0" w:line="360" w:lineRule="auto"/>
                    <w:ind w:left="0" w:right="0"/>
                    <w:jc w:val="center"/>
                    <w:textAlignment w:val="auto"/>
                    <w:rPr>
                      <w:rFonts w:hint="eastAsia"/>
                      <w:color w:val="auto"/>
                      <w:sz w:val="21"/>
                      <w:szCs w:val="21"/>
                      <w:highlight w:val="none"/>
                    </w:rPr>
                  </w:pPr>
                  <w:r>
                    <w:rPr>
                      <w:rFonts w:hint="eastAsia"/>
                      <w:color w:val="auto"/>
                      <w:sz w:val="21"/>
                      <w:szCs w:val="21"/>
                      <w:highlight w:val="none"/>
                    </w:rPr>
                    <w:t>污水处理构筑物</w:t>
                  </w:r>
                </w:p>
              </w:tc>
              <w:tc>
                <w:tcPr>
                  <w:tcW w:w="2232" w:type="dxa"/>
                  <w:tcBorders>
                    <w:top w:val="single" w:color="auto" w:sz="4" w:space="0"/>
                    <w:left w:val="single" w:color="auto" w:sz="4" w:space="0"/>
                    <w:bottom w:val="single" w:color="auto" w:sz="4" w:space="0"/>
                    <w:right w:val="single" w:color="auto" w:sz="4" w:space="0"/>
                  </w:tcBorders>
                  <w:noWrap w:val="0"/>
                  <w:vAlign w:val="top"/>
                </w:tcPr>
                <w:p w14:paraId="5E41009F">
                  <w:pPr>
                    <w:keepNext w:val="0"/>
                    <w:keepLines w:val="0"/>
                    <w:pageBreakBefore w:val="0"/>
                    <w:suppressLineNumbers w:val="0"/>
                    <w:kinsoku/>
                    <w:wordWrap/>
                    <w:overflowPunct/>
                    <w:topLinePunct w:val="0"/>
                    <w:autoSpaceDE/>
                    <w:autoSpaceDN/>
                    <w:bidi w:val="0"/>
                    <w:adjustRightInd w:val="0"/>
                    <w:snapToGrid w:val="0"/>
                    <w:spacing w:before="0" w:beforeAutospacing="0" w:after="0" w:afterAutospacing="0" w:line="360" w:lineRule="auto"/>
                    <w:ind w:left="0" w:right="0"/>
                    <w:jc w:val="center"/>
                    <w:textAlignment w:val="auto"/>
                    <w:rPr>
                      <w:rFonts w:hint="default" w:eastAsia="宋体"/>
                      <w:color w:val="auto"/>
                      <w:sz w:val="21"/>
                      <w:szCs w:val="21"/>
                      <w:highlight w:val="none"/>
                      <w:lang w:val="en-US" w:eastAsia="zh-CN"/>
                    </w:rPr>
                  </w:pPr>
                  <w:r>
                    <w:rPr>
                      <w:rFonts w:hint="eastAsia"/>
                      <w:color w:val="auto"/>
                      <w:sz w:val="21"/>
                      <w:szCs w:val="21"/>
                      <w:highlight w:val="none"/>
                      <w:lang w:val="en-US" w:eastAsia="zh-CN"/>
                    </w:rPr>
                    <w:t>42.7</w:t>
                  </w:r>
                </w:p>
              </w:tc>
              <w:tc>
                <w:tcPr>
                  <w:tcW w:w="4043" w:type="dxa"/>
                  <w:tcBorders>
                    <w:top w:val="single" w:color="auto" w:sz="4" w:space="0"/>
                    <w:left w:val="single" w:color="auto" w:sz="4" w:space="0"/>
                    <w:bottom w:val="single" w:color="auto" w:sz="4" w:space="0"/>
                    <w:right w:val="single" w:color="auto" w:sz="4" w:space="0"/>
                  </w:tcBorders>
                  <w:noWrap w:val="0"/>
                  <w:vAlign w:val="top"/>
                </w:tcPr>
                <w:p w14:paraId="444F6F6B">
                  <w:pPr>
                    <w:keepNext w:val="0"/>
                    <w:keepLines w:val="0"/>
                    <w:pageBreakBefore w:val="0"/>
                    <w:suppressLineNumbers w:val="0"/>
                    <w:kinsoku/>
                    <w:wordWrap/>
                    <w:overflowPunct/>
                    <w:topLinePunct w:val="0"/>
                    <w:autoSpaceDE/>
                    <w:autoSpaceDN/>
                    <w:bidi w:val="0"/>
                    <w:adjustRightInd w:val="0"/>
                    <w:snapToGrid w:val="0"/>
                    <w:spacing w:before="0" w:beforeAutospacing="0" w:after="0" w:afterAutospacing="0" w:line="360" w:lineRule="auto"/>
                    <w:ind w:left="0" w:right="0"/>
                    <w:jc w:val="center"/>
                    <w:textAlignment w:val="auto"/>
                    <w:rPr>
                      <w:rFonts w:hint="default"/>
                      <w:color w:val="auto"/>
                      <w:sz w:val="21"/>
                      <w:szCs w:val="21"/>
                      <w:highlight w:val="none"/>
                    </w:rPr>
                  </w:pPr>
                  <w:r>
                    <w:rPr>
                      <w:rFonts w:hint="eastAsia"/>
                      <w:color w:val="auto"/>
                      <w:sz w:val="21"/>
                      <w:szCs w:val="21"/>
                      <w:highlight w:val="none"/>
                      <w:lang w:eastAsia="zh-CN"/>
                    </w:rPr>
                    <w:t>0.000</w:t>
                  </w:r>
                  <w:r>
                    <w:rPr>
                      <w:rFonts w:hint="eastAsia"/>
                      <w:color w:val="auto"/>
                      <w:sz w:val="21"/>
                      <w:szCs w:val="21"/>
                      <w:highlight w:val="none"/>
                      <w:lang w:val="en-US" w:eastAsia="zh-CN"/>
                    </w:rPr>
                    <w:t>2</w:t>
                  </w:r>
                  <w:r>
                    <w:rPr>
                      <w:rFonts w:hint="eastAsia"/>
                      <w:color w:val="auto"/>
                      <w:sz w:val="21"/>
                      <w:szCs w:val="21"/>
                      <w:highlight w:val="none"/>
                    </w:rPr>
                    <w:t>kg/h，</w:t>
                  </w:r>
                  <w:r>
                    <w:rPr>
                      <w:rFonts w:hint="eastAsia"/>
                      <w:color w:val="auto"/>
                      <w:sz w:val="21"/>
                      <w:szCs w:val="21"/>
                      <w:highlight w:val="none"/>
                      <w:lang w:eastAsia="zh-CN"/>
                    </w:rPr>
                    <w:t>0.00</w:t>
                  </w:r>
                  <w:r>
                    <w:rPr>
                      <w:rFonts w:hint="eastAsia"/>
                      <w:color w:val="auto"/>
                      <w:sz w:val="21"/>
                      <w:szCs w:val="21"/>
                      <w:highlight w:val="none"/>
                      <w:lang w:val="en-US" w:eastAsia="zh-CN"/>
                    </w:rPr>
                    <w:t>18</w:t>
                  </w:r>
                  <w:r>
                    <w:rPr>
                      <w:rFonts w:hint="eastAsia"/>
                      <w:color w:val="auto"/>
                      <w:sz w:val="21"/>
                      <w:szCs w:val="21"/>
                      <w:highlight w:val="none"/>
                    </w:rPr>
                    <w:t>t/a</w:t>
                  </w:r>
                </w:p>
              </w:tc>
              <w:tc>
                <w:tcPr>
                  <w:tcW w:w="3536" w:type="dxa"/>
                  <w:tcBorders>
                    <w:top w:val="single" w:color="auto" w:sz="4" w:space="0"/>
                    <w:left w:val="single" w:color="auto" w:sz="4" w:space="0"/>
                    <w:bottom w:val="single" w:color="auto" w:sz="4" w:space="0"/>
                    <w:right w:val="single" w:color="auto" w:sz="4" w:space="0"/>
                  </w:tcBorders>
                  <w:noWrap w:val="0"/>
                  <w:vAlign w:val="top"/>
                </w:tcPr>
                <w:p w14:paraId="10924907">
                  <w:pPr>
                    <w:keepNext w:val="0"/>
                    <w:keepLines w:val="0"/>
                    <w:pageBreakBefore w:val="0"/>
                    <w:suppressLineNumbers w:val="0"/>
                    <w:kinsoku/>
                    <w:wordWrap/>
                    <w:overflowPunct/>
                    <w:topLinePunct w:val="0"/>
                    <w:autoSpaceDE/>
                    <w:autoSpaceDN/>
                    <w:bidi w:val="0"/>
                    <w:adjustRightInd w:val="0"/>
                    <w:snapToGrid w:val="0"/>
                    <w:spacing w:before="0" w:beforeAutospacing="0" w:after="0" w:afterAutospacing="0" w:line="360" w:lineRule="auto"/>
                    <w:ind w:left="0" w:right="0"/>
                    <w:jc w:val="center"/>
                    <w:textAlignment w:val="auto"/>
                    <w:rPr>
                      <w:rFonts w:hint="default"/>
                      <w:color w:val="auto"/>
                      <w:sz w:val="21"/>
                      <w:szCs w:val="21"/>
                      <w:highlight w:val="none"/>
                    </w:rPr>
                  </w:pPr>
                  <w:r>
                    <w:rPr>
                      <w:rFonts w:hint="eastAsia"/>
                      <w:color w:val="auto"/>
                      <w:sz w:val="21"/>
                      <w:szCs w:val="21"/>
                      <w:highlight w:val="none"/>
                      <w:lang w:eastAsia="zh-CN"/>
                    </w:rPr>
                    <w:t>0.00</w:t>
                  </w:r>
                  <w:r>
                    <w:rPr>
                      <w:rFonts w:hint="eastAsia"/>
                      <w:color w:val="auto"/>
                      <w:sz w:val="21"/>
                      <w:szCs w:val="21"/>
                      <w:highlight w:val="none"/>
                      <w:lang w:val="en-US" w:eastAsia="zh-CN"/>
                    </w:rPr>
                    <w:t>3</w:t>
                  </w:r>
                  <w:r>
                    <w:rPr>
                      <w:rFonts w:hint="eastAsia"/>
                      <w:color w:val="auto"/>
                      <w:sz w:val="21"/>
                      <w:szCs w:val="21"/>
                      <w:highlight w:val="none"/>
                    </w:rPr>
                    <w:t>kg/h，</w:t>
                  </w:r>
                  <w:r>
                    <w:rPr>
                      <w:rFonts w:hint="eastAsia"/>
                      <w:color w:val="auto"/>
                      <w:sz w:val="21"/>
                      <w:szCs w:val="21"/>
                      <w:highlight w:val="none"/>
                      <w:lang w:eastAsia="zh-CN"/>
                    </w:rPr>
                    <w:t>0.0</w:t>
                  </w:r>
                  <w:r>
                    <w:rPr>
                      <w:rFonts w:hint="eastAsia"/>
                      <w:color w:val="auto"/>
                      <w:sz w:val="21"/>
                      <w:szCs w:val="21"/>
                      <w:highlight w:val="none"/>
                      <w:lang w:val="en-US" w:eastAsia="zh-CN"/>
                    </w:rPr>
                    <w:t>26</w:t>
                  </w:r>
                  <w:r>
                    <w:rPr>
                      <w:rFonts w:hint="eastAsia"/>
                      <w:color w:val="auto"/>
                      <w:sz w:val="21"/>
                      <w:szCs w:val="21"/>
                      <w:highlight w:val="none"/>
                    </w:rPr>
                    <w:t>t/a</w:t>
                  </w:r>
                </w:p>
              </w:tc>
            </w:tr>
          </w:tbl>
          <w:p w14:paraId="7BACFA13">
            <w:pPr>
              <w:keepNext w:val="0"/>
              <w:keepLines w:val="0"/>
              <w:suppressLineNumbers w:val="0"/>
              <w:adjustRightInd w:val="0"/>
              <w:snapToGrid w:val="0"/>
              <w:spacing w:before="0" w:beforeAutospacing="0" w:after="0" w:afterAutospacing="0" w:line="360" w:lineRule="auto"/>
              <w:ind w:left="0" w:right="0" w:firstLine="361" w:firstLineChars="200"/>
              <w:rPr>
                <w:rFonts w:hint="eastAsia" w:hAnsi="宋体"/>
                <w:b/>
                <w:bCs/>
                <w:color w:val="auto"/>
                <w:sz w:val="24"/>
                <w:highlight w:val="none"/>
              </w:rPr>
            </w:pPr>
            <w:r>
              <w:rPr>
                <w:rFonts w:hint="eastAsia" w:hAnsi="宋体"/>
                <w:b/>
                <w:bCs/>
                <w:snapToGrid w:val="0"/>
                <w:color w:val="auto"/>
                <w:kern w:val="0"/>
                <w:sz w:val="18"/>
                <w:szCs w:val="18"/>
                <w:highlight w:val="none"/>
              </w:rPr>
              <w:t>*注：年工作时间以8760h计。</w:t>
            </w:r>
          </w:p>
          <w:p w14:paraId="21EEA5DC">
            <w:pPr>
              <w:keepNext w:val="0"/>
              <w:keepLines w:val="0"/>
              <w:suppressLineNumbers w:val="0"/>
              <w:adjustRightInd w:val="0"/>
              <w:snapToGrid w:val="0"/>
              <w:spacing w:before="0" w:beforeAutospacing="0" w:after="0" w:afterAutospacing="0" w:line="360" w:lineRule="auto"/>
              <w:ind w:left="0" w:right="0" w:firstLine="480" w:firstLineChars="200"/>
              <w:rPr>
                <w:rFonts w:hint="eastAsia" w:hAnsi="宋体"/>
                <w:color w:val="auto"/>
                <w:sz w:val="24"/>
                <w:highlight w:val="none"/>
              </w:rPr>
            </w:pPr>
            <w:r>
              <w:rPr>
                <w:rFonts w:hint="eastAsia"/>
                <w:color w:val="auto"/>
                <w:sz w:val="24"/>
                <w:szCs w:val="20"/>
                <w:highlight w:val="none"/>
              </w:rPr>
              <w:t>项目规划将对污水处理设施</w:t>
            </w:r>
            <w:r>
              <w:rPr>
                <w:rFonts w:hint="eastAsia"/>
                <w:color w:val="auto"/>
                <w:sz w:val="24"/>
                <w:szCs w:val="20"/>
                <w:highlight w:val="none"/>
                <w:lang w:val="en-US" w:eastAsia="zh-CN"/>
              </w:rPr>
              <w:t>初沉池、水解池、接触氧化池、二沉池、消毒池</w:t>
            </w:r>
            <w:r>
              <w:rPr>
                <w:rFonts w:hint="eastAsia"/>
                <w:color w:val="auto"/>
                <w:sz w:val="24"/>
                <w:szCs w:val="20"/>
                <w:highlight w:val="none"/>
              </w:rPr>
              <w:t>等主要臭味发生部位进行密闭加盖，并对预留口的臭气进行收集，保证臭气在负压状态下被收集，基本不存在无组织排放，收集</w:t>
            </w:r>
            <w:r>
              <w:rPr>
                <w:rFonts w:hint="eastAsia"/>
                <w:color w:val="auto"/>
                <w:sz w:val="24"/>
                <w:szCs w:val="20"/>
                <w:highlight w:val="none"/>
                <w:lang w:val="en-US" w:eastAsia="zh-CN"/>
              </w:rPr>
              <w:t>的污水处理站</w:t>
            </w:r>
            <w:r>
              <w:rPr>
                <w:rFonts w:hint="eastAsia"/>
                <w:color w:val="auto"/>
                <w:sz w:val="24"/>
                <w:szCs w:val="20"/>
                <w:highlight w:val="none"/>
              </w:rPr>
              <w:t>臭气</w:t>
            </w:r>
            <w:r>
              <w:rPr>
                <w:rFonts w:hint="eastAsia" w:hAnsi="宋体"/>
                <w:color w:val="auto"/>
                <w:sz w:val="24"/>
                <w:highlight w:val="none"/>
              </w:rPr>
              <w:t>通过</w:t>
            </w:r>
            <w:r>
              <w:rPr>
                <w:rFonts w:hint="eastAsia"/>
                <w:color w:val="auto"/>
                <w:sz w:val="24"/>
                <w:szCs w:val="20"/>
                <w:highlight w:val="none"/>
              </w:rPr>
              <w:t>管道</w:t>
            </w:r>
            <w:r>
              <w:rPr>
                <w:rFonts w:hint="eastAsia" w:hAnsi="宋体"/>
                <w:color w:val="auto"/>
                <w:sz w:val="24"/>
                <w:highlight w:val="none"/>
              </w:rPr>
              <w:t>引至项目</w:t>
            </w:r>
            <w:r>
              <w:rPr>
                <w:rFonts w:hint="eastAsia" w:hAnsi="宋体"/>
                <w:color w:val="auto"/>
                <w:sz w:val="24"/>
                <w:highlight w:val="none"/>
                <w:lang w:val="en-US" w:eastAsia="zh-CN"/>
              </w:rPr>
              <w:t>实验动物中心</w:t>
            </w:r>
            <w:r>
              <w:rPr>
                <w:rFonts w:hint="eastAsia" w:hAnsi="宋体"/>
                <w:color w:val="auto"/>
                <w:sz w:val="24"/>
                <w:highlight w:val="none"/>
              </w:rPr>
              <w:t>所在建筑主楼屋顶</w:t>
            </w:r>
            <w:r>
              <w:rPr>
                <w:rFonts w:hint="eastAsia"/>
                <w:color w:val="auto"/>
                <w:sz w:val="24"/>
                <w:szCs w:val="20"/>
                <w:highlight w:val="none"/>
              </w:rPr>
              <w:t>（根据设计单位提供的数据，本项目</w:t>
            </w:r>
            <w:r>
              <w:rPr>
                <w:rFonts w:hint="eastAsia"/>
                <w:color w:val="auto"/>
                <w:sz w:val="24"/>
                <w:szCs w:val="20"/>
                <w:highlight w:val="none"/>
                <w:lang w:val="en-US" w:eastAsia="zh-CN"/>
              </w:rPr>
              <w:t>产生臭气的污水处理单元总面积42.7</w:t>
            </w:r>
            <w:r>
              <w:rPr>
                <w:rFonts w:hint="default"/>
                <w:color w:val="auto"/>
                <w:sz w:val="24"/>
                <w:szCs w:val="20"/>
                <w:highlight w:val="none"/>
              </w:rPr>
              <w:t>m</w:t>
            </w:r>
            <w:r>
              <w:rPr>
                <w:rFonts w:hint="eastAsia"/>
                <w:color w:val="auto"/>
                <w:sz w:val="24"/>
                <w:szCs w:val="20"/>
                <w:highlight w:val="none"/>
                <w:vertAlign w:val="superscript"/>
                <w:lang w:val="en-US" w:eastAsia="zh-CN"/>
              </w:rPr>
              <w:t>2</w:t>
            </w:r>
            <w:r>
              <w:rPr>
                <w:rFonts w:hint="eastAsia"/>
                <w:color w:val="auto"/>
                <w:sz w:val="24"/>
                <w:szCs w:val="20"/>
                <w:highlight w:val="none"/>
                <w:lang w:eastAsia="zh-CN"/>
              </w:rPr>
              <w:t>、</w:t>
            </w:r>
            <w:r>
              <w:rPr>
                <w:rFonts w:hint="eastAsia"/>
                <w:color w:val="auto"/>
                <w:sz w:val="24"/>
                <w:szCs w:val="20"/>
                <w:highlight w:val="none"/>
                <w:lang w:val="en-US" w:eastAsia="zh-CN"/>
              </w:rPr>
              <w:t>以净空高度0.5m、</w:t>
            </w:r>
            <w:r>
              <w:rPr>
                <w:rFonts w:hint="eastAsia"/>
                <w:color w:val="auto"/>
                <w:sz w:val="24"/>
                <w:szCs w:val="20"/>
                <w:highlight w:val="none"/>
              </w:rPr>
              <w:t>换气次数</w:t>
            </w:r>
            <w:r>
              <w:rPr>
                <w:rFonts w:hint="eastAsia"/>
                <w:color w:val="auto"/>
                <w:sz w:val="24"/>
                <w:szCs w:val="20"/>
                <w:highlight w:val="none"/>
                <w:lang w:val="en-US" w:eastAsia="zh-CN"/>
              </w:rPr>
              <w:t>20</w:t>
            </w:r>
            <w:r>
              <w:rPr>
                <w:rFonts w:hint="eastAsia"/>
                <w:color w:val="auto"/>
                <w:sz w:val="24"/>
                <w:szCs w:val="20"/>
                <w:highlight w:val="none"/>
              </w:rPr>
              <w:t>次/h</w:t>
            </w:r>
            <w:r>
              <w:rPr>
                <w:rFonts w:hint="eastAsia"/>
                <w:color w:val="auto"/>
                <w:sz w:val="24"/>
                <w:szCs w:val="20"/>
                <w:highlight w:val="none"/>
                <w:lang w:val="en-US" w:eastAsia="zh-CN"/>
              </w:rPr>
              <w:t>计</w:t>
            </w:r>
            <w:r>
              <w:rPr>
                <w:rFonts w:hint="eastAsia"/>
                <w:color w:val="auto"/>
                <w:sz w:val="24"/>
                <w:szCs w:val="20"/>
                <w:highlight w:val="none"/>
              </w:rPr>
              <w:t>，</w:t>
            </w:r>
            <w:r>
              <w:rPr>
                <w:rFonts w:hint="eastAsia"/>
                <w:color w:val="auto"/>
                <w:sz w:val="24"/>
                <w:szCs w:val="20"/>
                <w:highlight w:val="none"/>
                <w:lang w:val="en-US" w:eastAsia="zh-CN"/>
              </w:rPr>
              <w:t>则</w:t>
            </w:r>
            <w:r>
              <w:rPr>
                <w:rFonts w:hint="eastAsia"/>
                <w:color w:val="auto"/>
                <w:sz w:val="24"/>
                <w:szCs w:val="20"/>
                <w:highlight w:val="none"/>
              </w:rPr>
              <w:t>废气收集风量</w:t>
            </w:r>
            <w:r>
              <w:rPr>
                <w:rFonts w:hint="eastAsia"/>
                <w:color w:val="auto"/>
                <w:sz w:val="24"/>
                <w:szCs w:val="20"/>
                <w:highlight w:val="none"/>
                <w:lang w:val="en-US" w:eastAsia="zh-CN"/>
              </w:rPr>
              <w:t>不小于427</w:t>
            </w:r>
            <w:r>
              <w:rPr>
                <w:rFonts w:hint="default"/>
                <w:color w:val="auto"/>
                <w:sz w:val="24"/>
                <w:szCs w:val="20"/>
                <w:highlight w:val="none"/>
              </w:rPr>
              <w:t>m</w:t>
            </w:r>
            <w:r>
              <w:rPr>
                <w:rFonts w:hint="default"/>
                <w:color w:val="auto"/>
                <w:sz w:val="24"/>
                <w:szCs w:val="20"/>
                <w:highlight w:val="none"/>
                <w:vertAlign w:val="superscript"/>
              </w:rPr>
              <w:t>3</w:t>
            </w:r>
            <w:r>
              <w:rPr>
                <w:rFonts w:hint="default"/>
                <w:color w:val="auto"/>
                <w:sz w:val="24"/>
                <w:szCs w:val="20"/>
                <w:highlight w:val="none"/>
              </w:rPr>
              <w:t>/h</w:t>
            </w:r>
            <w:r>
              <w:rPr>
                <w:rFonts w:hint="eastAsia"/>
                <w:color w:val="auto"/>
                <w:sz w:val="24"/>
                <w:szCs w:val="20"/>
                <w:highlight w:val="none"/>
              </w:rPr>
              <w:t>）</w:t>
            </w:r>
            <w:r>
              <w:rPr>
                <w:rFonts w:hint="eastAsia" w:hAnsi="宋体"/>
                <w:color w:val="auto"/>
                <w:sz w:val="24"/>
                <w:highlight w:val="none"/>
                <w:lang w:eastAsia="zh-CN"/>
              </w:rPr>
              <w:t>，</w:t>
            </w:r>
            <w:r>
              <w:rPr>
                <w:rFonts w:hint="eastAsia"/>
                <w:color w:val="auto"/>
                <w:sz w:val="24"/>
                <w:szCs w:val="20"/>
                <w:highlight w:val="none"/>
              </w:rPr>
              <w:t>经</w:t>
            </w:r>
            <w:r>
              <w:rPr>
                <w:rFonts w:hint="eastAsia" w:cs="宋体"/>
                <w:b w:val="0"/>
                <w:bCs w:val="0"/>
                <w:kern w:val="2"/>
                <w:sz w:val="24"/>
                <w:szCs w:val="20"/>
                <w:highlight w:val="none"/>
              </w:rPr>
              <w:t>“溶液空调自带喷淋除臭装置”，处理后经DA001排气筒排放，</w:t>
            </w:r>
            <w:r>
              <w:rPr>
                <w:rFonts w:hint="eastAsia" w:hAnsi="宋体"/>
                <w:color w:val="auto"/>
                <w:sz w:val="24"/>
                <w:highlight w:val="none"/>
              </w:rPr>
              <w:t>污水处理站臭气产生及排放情况见表</w:t>
            </w:r>
            <w:r>
              <w:rPr>
                <w:rFonts w:hint="eastAsia" w:hAnsi="宋体"/>
                <w:color w:val="auto"/>
                <w:sz w:val="24"/>
                <w:highlight w:val="none"/>
                <w:lang w:val="en-US" w:eastAsia="zh-CN"/>
              </w:rPr>
              <w:t>7</w:t>
            </w:r>
            <w:r>
              <w:rPr>
                <w:rFonts w:hint="eastAsia" w:hAnsi="宋体"/>
                <w:color w:val="auto"/>
                <w:sz w:val="24"/>
                <w:highlight w:val="none"/>
              </w:rPr>
              <w:t>-</w:t>
            </w:r>
            <w:r>
              <w:rPr>
                <w:rFonts w:hint="eastAsia" w:hAnsi="宋体"/>
                <w:color w:val="auto"/>
                <w:sz w:val="24"/>
                <w:highlight w:val="none"/>
                <w:lang w:val="en-US" w:eastAsia="zh-CN"/>
              </w:rPr>
              <w:t>23</w:t>
            </w:r>
            <w:r>
              <w:rPr>
                <w:rFonts w:hint="eastAsia" w:hAnsi="宋体"/>
                <w:color w:val="auto"/>
                <w:sz w:val="24"/>
                <w:highlight w:val="none"/>
              </w:rPr>
              <w:t>。</w:t>
            </w:r>
          </w:p>
          <w:p w14:paraId="1CD78C9D">
            <w:pPr>
              <w:keepNext w:val="0"/>
              <w:keepLines w:val="0"/>
              <w:suppressLineNumbers w:val="0"/>
              <w:adjustRightInd w:val="0"/>
              <w:snapToGrid w:val="0"/>
              <w:spacing w:before="0" w:beforeAutospacing="0" w:after="0" w:afterAutospacing="0" w:line="360" w:lineRule="auto"/>
              <w:ind w:left="0" w:right="0" w:firstLine="482" w:firstLineChars="200"/>
              <w:jc w:val="center"/>
              <w:rPr>
                <w:rFonts w:hint="eastAsia" w:hAnsi="宋体"/>
                <w:b/>
                <w:color w:val="auto"/>
                <w:sz w:val="24"/>
                <w:highlight w:val="none"/>
              </w:rPr>
            </w:pPr>
            <w:r>
              <w:rPr>
                <w:rFonts w:hint="default" w:hAnsi="宋体"/>
                <w:b/>
                <w:color w:val="auto"/>
                <w:sz w:val="24"/>
                <w:highlight w:val="none"/>
              </w:rPr>
              <w:t>表</w:t>
            </w:r>
            <w:r>
              <w:rPr>
                <w:rFonts w:hint="eastAsia"/>
                <w:b/>
                <w:color w:val="auto"/>
                <w:sz w:val="24"/>
                <w:highlight w:val="none"/>
                <w:lang w:val="en-US" w:eastAsia="zh-CN"/>
              </w:rPr>
              <w:t>7</w:t>
            </w:r>
            <w:r>
              <w:rPr>
                <w:rFonts w:hint="eastAsia"/>
                <w:b/>
                <w:color w:val="auto"/>
                <w:sz w:val="24"/>
                <w:highlight w:val="none"/>
              </w:rPr>
              <w:t>-</w:t>
            </w:r>
            <w:r>
              <w:rPr>
                <w:rFonts w:hint="eastAsia"/>
                <w:b/>
                <w:color w:val="auto"/>
                <w:sz w:val="24"/>
                <w:highlight w:val="none"/>
                <w:lang w:val="en-US" w:eastAsia="zh-CN"/>
              </w:rPr>
              <w:t>23</w:t>
            </w:r>
            <w:r>
              <w:rPr>
                <w:rFonts w:hint="default"/>
                <w:b/>
                <w:color w:val="auto"/>
                <w:sz w:val="24"/>
                <w:highlight w:val="none"/>
              </w:rPr>
              <w:t xml:space="preserve"> </w:t>
            </w:r>
            <w:r>
              <w:rPr>
                <w:rFonts w:hint="eastAsia"/>
                <w:b/>
                <w:color w:val="auto"/>
                <w:sz w:val="24"/>
                <w:highlight w:val="none"/>
              </w:rPr>
              <w:t>污水处理站臭气</w:t>
            </w:r>
            <w:r>
              <w:rPr>
                <w:rFonts w:hint="default" w:hAnsi="宋体"/>
                <w:b/>
                <w:color w:val="auto"/>
                <w:sz w:val="24"/>
                <w:highlight w:val="none"/>
              </w:rPr>
              <w:t>产生及排放情况</w:t>
            </w:r>
            <w:r>
              <w:rPr>
                <w:rFonts w:hint="eastAsia" w:hAnsi="宋体"/>
                <w:b/>
                <w:color w:val="auto"/>
                <w:sz w:val="24"/>
                <w:highlight w:val="none"/>
              </w:rPr>
              <w:t>汇总一览表</w:t>
            </w:r>
          </w:p>
          <w:tbl>
            <w:tblPr>
              <w:tblStyle w:val="32"/>
              <w:tblW w:w="4998"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956"/>
              <w:gridCol w:w="899"/>
              <w:gridCol w:w="899"/>
              <w:gridCol w:w="1198"/>
              <w:gridCol w:w="1516"/>
              <w:gridCol w:w="1231"/>
              <w:gridCol w:w="1484"/>
            </w:tblGrid>
            <w:tr w14:paraId="16C65EE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584" w:type="pct"/>
                  <w:vMerge w:val="restart"/>
                  <w:noWrap w:val="0"/>
                  <w:tcMar>
                    <w:left w:w="57" w:type="dxa"/>
                    <w:right w:w="57" w:type="dxa"/>
                  </w:tcMar>
                  <w:vAlign w:val="center"/>
                </w:tcPr>
                <w:p w14:paraId="05F886A8">
                  <w:pPr>
                    <w:keepNext w:val="0"/>
                    <w:keepLines w:val="0"/>
                    <w:pageBreakBefore w:val="0"/>
                    <w:suppressLineNumbers w:val="0"/>
                    <w:kinsoku/>
                    <w:wordWrap/>
                    <w:overflowPunct/>
                    <w:topLinePunct w:val="0"/>
                    <w:autoSpaceDE/>
                    <w:autoSpaceDN/>
                    <w:bidi w:val="0"/>
                    <w:adjustRightInd w:val="0"/>
                    <w:snapToGrid w:val="0"/>
                    <w:spacing w:before="0" w:beforeAutospacing="0" w:after="0" w:afterAutospacing="0" w:line="240" w:lineRule="auto"/>
                    <w:ind w:left="0" w:right="0"/>
                    <w:jc w:val="center"/>
                    <w:textAlignment w:val="auto"/>
                    <w:rPr>
                      <w:rFonts w:hint="default"/>
                      <w:color w:val="auto"/>
                      <w:sz w:val="21"/>
                      <w:szCs w:val="21"/>
                      <w:highlight w:val="none"/>
                    </w:rPr>
                  </w:pPr>
                  <w:r>
                    <w:rPr>
                      <w:rFonts w:hint="eastAsia"/>
                      <w:color w:val="auto"/>
                      <w:sz w:val="21"/>
                      <w:szCs w:val="21"/>
                      <w:highlight w:val="none"/>
                    </w:rPr>
                    <w:t>产污环节</w:t>
                  </w:r>
                </w:p>
              </w:tc>
              <w:tc>
                <w:tcPr>
                  <w:tcW w:w="549" w:type="pct"/>
                  <w:vMerge w:val="restart"/>
                  <w:noWrap w:val="0"/>
                  <w:tcMar>
                    <w:left w:w="57" w:type="dxa"/>
                    <w:right w:w="57" w:type="dxa"/>
                  </w:tcMar>
                  <w:vAlign w:val="center"/>
                </w:tcPr>
                <w:p w14:paraId="53790FCC">
                  <w:pPr>
                    <w:keepNext w:val="0"/>
                    <w:keepLines w:val="0"/>
                    <w:pageBreakBefore w:val="0"/>
                    <w:suppressLineNumbers w:val="0"/>
                    <w:kinsoku/>
                    <w:wordWrap/>
                    <w:overflowPunct/>
                    <w:topLinePunct w:val="0"/>
                    <w:autoSpaceDE/>
                    <w:autoSpaceDN/>
                    <w:bidi w:val="0"/>
                    <w:adjustRightInd w:val="0"/>
                    <w:snapToGrid w:val="0"/>
                    <w:spacing w:before="0" w:beforeAutospacing="0" w:after="0" w:afterAutospacing="0" w:line="240" w:lineRule="auto"/>
                    <w:ind w:left="0" w:right="0"/>
                    <w:jc w:val="center"/>
                    <w:textAlignment w:val="auto"/>
                    <w:rPr>
                      <w:rFonts w:hint="default"/>
                      <w:color w:val="auto"/>
                      <w:sz w:val="21"/>
                      <w:szCs w:val="21"/>
                      <w:highlight w:val="none"/>
                    </w:rPr>
                  </w:pPr>
                  <w:r>
                    <w:rPr>
                      <w:rFonts w:hint="default"/>
                      <w:color w:val="auto"/>
                      <w:sz w:val="21"/>
                      <w:szCs w:val="21"/>
                      <w:highlight w:val="none"/>
                    </w:rPr>
                    <w:t>排放方式</w:t>
                  </w:r>
                </w:p>
              </w:tc>
              <w:tc>
                <w:tcPr>
                  <w:tcW w:w="549" w:type="pct"/>
                  <w:vMerge w:val="restart"/>
                  <w:noWrap w:val="0"/>
                  <w:tcMar>
                    <w:left w:w="57" w:type="dxa"/>
                    <w:right w:w="57" w:type="dxa"/>
                  </w:tcMar>
                  <w:vAlign w:val="center"/>
                </w:tcPr>
                <w:p w14:paraId="159D9E73">
                  <w:pPr>
                    <w:keepNext w:val="0"/>
                    <w:keepLines w:val="0"/>
                    <w:pageBreakBefore w:val="0"/>
                    <w:suppressLineNumbers w:val="0"/>
                    <w:kinsoku/>
                    <w:wordWrap/>
                    <w:overflowPunct/>
                    <w:topLinePunct w:val="0"/>
                    <w:autoSpaceDE/>
                    <w:autoSpaceDN/>
                    <w:bidi w:val="0"/>
                    <w:adjustRightInd w:val="0"/>
                    <w:snapToGrid w:val="0"/>
                    <w:spacing w:before="0" w:beforeAutospacing="0" w:after="0" w:afterAutospacing="0" w:line="240" w:lineRule="auto"/>
                    <w:ind w:left="0" w:right="0"/>
                    <w:jc w:val="center"/>
                    <w:textAlignment w:val="auto"/>
                    <w:rPr>
                      <w:rFonts w:hint="default"/>
                      <w:color w:val="auto"/>
                      <w:sz w:val="21"/>
                      <w:szCs w:val="21"/>
                      <w:highlight w:val="none"/>
                    </w:rPr>
                  </w:pPr>
                  <w:r>
                    <w:rPr>
                      <w:rFonts w:hint="default"/>
                      <w:color w:val="auto"/>
                      <w:sz w:val="21"/>
                      <w:szCs w:val="21"/>
                      <w:highlight w:val="none"/>
                    </w:rPr>
                    <w:t>污染因子</w:t>
                  </w:r>
                </w:p>
              </w:tc>
              <w:tc>
                <w:tcPr>
                  <w:tcW w:w="1658" w:type="pct"/>
                  <w:gridSpan w:val="2"/>
                  <w:noWrap w:val="0"/>
                  <w:tcMar>
                    <w:left w:w="57" w:type="dxa"/>
                    <w:right w:w="57" w:type="dxa"/>
                  </w:tcMar>
                  <w:vAlign w:val="center"/>
                </w:tcPr>
                <w:p w14:paraId="0700087A">
                  <w:pPr>
                    <w:keepNext w:val="0"/>
                    <w:keepLines w:val="0"/>
                    <w:pageBreakBefore w:val="0"/>
                    <w:suppressLineNumbers w:val="0"/>
                    <w:kinsoku/>
                    <w:wordWrap/>
                    <w:overflowPunct/>
                    <w:topLinePunct w:val="0"/>
                    <w:autoSpaceDE/>
                    <w:autoSpaceDN/>
                    <w:bidi w:val="0"/>
                    <w:adjustRightInd w:val="0"/>
                    <w:snapToGrid w:val="0"/>
                    <w:spacing w:before="0" w:beforeAutospacing="0" w:after="0" w:afterAutospacing="0" w:line="240" w:lineRule="auto"/>
                    <w:ind w:left="0" w:right="0"/>
                    <w:jc w:val="center"/>
                    <w:textAlignment w:val="auto"/>
                    <w:rPr>
                      <w:rFonts w:hint="default"/>
                      <w:color w:val="auto"/>
                      <w:sz w:val="21"/>
                      <w:szCs w:val="21"/>
                      <w:highlight w:val="none"/>
                    </w:rPr>
                  </w:pPr>
                  <w:r>
                    <w:rPr>
                      <w:rFonts w:hint="default"/>
                      <w:color w:val="auto"/>
                      <w:sz w:val="21"/>
                      <w:szCs w:val="21"/>
                      <w:highlight w:val="none"/>
                    </w:rPr>
                    <w:t>产生情况</w:t>
                  </w:r>
                </w:p>
              </w:tc>
              <w:tc>
                <w:tcPr>
                  <w:tcW w:w="1658" w:type="pct"/>
                  <w:gridSpan w:val="2"/>
                  <w:noWrap w:val="0"/>
                  <w:tcMar>
                    <w:left w:w="57" w:type="dxa"/>
                    <w:right w:w="57" w:type="dxa"/>
                  </w:tcMar>
                  <w:vAlign w:val="center"/>
                </w:tcPr>
                <w:p w14:paraId="52D447A7">
                  <w:pPr>
                    <w:keepNext w:val="0"/>
                    <w:keepLines w:val="0"/>
                    <w:pageBreakBefore w:val="0"/>
                    <w:suppressLineNumbers w:val="0"/>
                    <w:kinsoku/>
                    <w:wordWrap/>
                    <w:overflowPunct/>
                    <w:topLinePunct w:val="0"/>
                    <w:autoSpaceDE/>
                    <w:autoSpaceDN/>
                    <w:bidi w:val="0"/>
                    <w:adjustRightInd w:val="0"/>
                    <w:snapToGrid w:val="0"/>
                    <w:spacing w:before="0" w:beforeAutospacing="0" w:after="0" w:afterAutospacing="0" w:line="240" w:lineRule="auto"/>
                    <w:ind w:left="0" w:right="0"/>
                    <w:jc w:val="center"/>
                    <w:textAlignment w:val="auto"/>
                    <w:rPr>
                      <w:rFonts w:hint="default"/>
                      <w:color w:val="auto"/>
                      <w:sz w:val="21"/>
                      <w:szCs w:val="21"/>
                      <w:highlight w:val="none"/>
                    </w:rPr>
                  </w:pPr>
                  <w:r>
                    <w:rPr>
                      <w:rFonts w:hint="default"/>
                      <w:color w:val="auto"/>
                      <w:sz w:val="21"/>
                      <w:szCs w:val="21"/>
                      <w:highlight w:val="none"/>
                    </w:rPr>
                    <w:t>排放情况</w:t>
                  </w:r>
                </w:p>
              </w:tc>
            </w:tr>
            <w:tr w14:paraId="743D093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584" w:type="pct"/>
                  <w:vMerge w:val="continue"/>
                  <w:noWrap w:val="0"/>
                  <w:tcMar>
                    <w:left w:w="57" w:type="dxa"/>
                    <w:right w:w="57" w:type="dxa"/>
                  </w:tcMar>
                  <w:vAlign w:val="center"/>
                </w:tcPr>
                <w:p w14:paraId="7294A793">
                  <w:pPr>
                    <w:keepNext w:val="0"/>
                    <w:keepLines w:val="0"/>
                    <w:pageBreakBefore w:val="0"/>
                    <w:suppressLineNumbers w:val="0"/>
                    <w:kinsoku/>
                    <w:wordWrap/>
                    <w:overflowPunct/>
                    <w:topLinePunct w:val="0"/>
                    <w:autoSpaceDE/>
                    <w:autoSpaceDN/>
                    <w:bidi w:val="0"/>
                    <w:adjustRightInd w:val="0"/>
                    <w:snapToGrid w:val="0"/>
                    <w:spacing w:before="0" w:beforeAutospacing="0" w:after="0" w:afterAutospacing="0" w:line="240" w:lineRule="auto"/>
                    <w:ind w:left="0" w:right="0"/>
                    <w:jc w:val="center"/>
                    <w:textAlignment w:val="auto"/>
                    <w:rPr>
                      <w:rFonts w:hint="default"/>
                      <w:color w:val="auto"/>
                      <w:sz w:val="21"/>
                      <w:szCs w:val="21"/>
                      <w:highlight w:val="none"/>
                    </w:rPr>
                  </w:pPr>
                </w:p>
              </w:tc>
              <w:tc>
                <w:tcPr>
                  <w:tcW w:w="549" w:type="pct"/>
                  <w:vMerge w:val="continue"/>
                  <w:noWrap w:val="0"/>
                  <w:tcMar>
                    <w:left w:w="57" w:type="dxa"/>
                    <w:right w:w="57" w:type="dxa"/>
                  </w:tcMar>
                  <w:vAlign w:val="center"/>
                </w:tcPr>
                <w:p w14:paraId="3BF5B56A">
                  <w:pPr>
                    <w:keepNext w:val="0"/>
                    <w:keepLines w:val="0"/>
                    <w:pageBreakBefore w:val="0"/>
                    <w:suppressLineNumbers w:val="0"/>
                    <w:kinsoku/>
                    <w:wordWrap/>
                    <w:overflowPunct/>
                    <w:topLinePunct w:val="0"/>
                    <w:autoSpaceDE/>
                    <w:autoSpaceDN/>
                    <w:bidi w:val="0"/>
                    <w:adjustRightInd w:val="0"/>
                    <w:snapToGrid w:val="0"/>
                    <w:spacing w:before="0" w:beforeAutospacing="0" w:after="0" w:afterAutospacing="0" w:line="240" w:lineRule="auto"/>
                    <w:ind w:left="0" w:right="0"/>
                    <w:jc w:val="center"/>
                    <w:textAlignment w:val="auto"/>
                    <w:rPr>
                      <w:rFonts w:hint="default"/>
                      <w:color w:val="auto"/>
                      <w:sz w:val="21"/>
                      <w:szCs w:val="21"/>
                      <w:highlight w:val="none"/>
                    </w:rPr>
                  </w:pPr>
                </w:p>
              </w:tc>
              <w:tc>
                <w:tcPr>
                  <w:tcW w:w="549" w:type="pct"/>
                  <w:vMerge w:val="continue"/>
                  <w:noWrap w:val="0"/>
                  <w:tcMar>
                    <w:left w:w="57" w:type="dxa"/>
                    <w:right w:w="57" w:type="dxa"/>
                  </w:tcMar>
                  <w:vAlign w:val="center"/>
                </w:tcPr>
                <w:p w14:paraId="3510C833">
                  <w:pPr>
                    <w:keepNext w:val="0"/>
                    <w:keepLines w:val="0"/>
                    <w:pageBreakBefore w:val="0"/>
                    <w:suppressLineNumbers w:val="0"/>
                    <w:kinsoku/>
                    <w:wordWrap/>
                    <w:overflowPunct/>
                    <w:topLinePunct w:val="0"/>
                    <w:autoSpaceDE/>
                    <w:autoSpaceDN/>
                    <w:bidi w:val="0"/>
                    <w:adjustRightInd w:val="0"/>
                    <w:snapToGrid w:val="0"/>
                    <w:spacing w:before="0" w:beforeAutospacing="0" w:after="0" w:afterAutospacing="0" w:line="240" w:lineRule="auto"/>
                    <w:ind w:left="0" w:right="0"/>
                    <w:jc w:val="center"/>
                    <w:textAlignment w:val="auto"/>
                    <w:rPr>
                      <w:rFonts w:hint="default"/>
                      <w:color w:val="auto"/>
                      <w:sz w:val="21"/>
                      <w:szCs w:val="21"/>
                      <w:highlight w:val="none"/>
                    </w:rPr>
                  </w:pPr>
                </w:p>
              </w:tc>
              <w:tc>
                <w:tcPr>
                  <w:tcW w:w="732" w:type="pct"/>
                  <w:noWrap w:val="0"/>
                  <w:tcMar>
                    <w:left w:w="57" w:type="dxa"/>
                    <w:right w:w="57" w:type="dxa"/>
                  </w:tcMar>
                  <w:vAlign w:val="center"/>
                </w:tcPr>
                <w:p w14:paraId="08B63BBA">
                  <w:pPr>
                    <w:keepNext w:val="0"/>
                    <w:keepLines w:val="0"/>
                    <w:pageBreakBefore w:val="0"/>
                    <w:suppressLineNumbers w:val="0"/>
                    <w:kinsoku/>
                    <w:wordWrap/>
                    <w:overflowPunct/>
                    <w:topLinePunct w:val="0"/>
                    <w:autoSpaceDE/>
                    <w:autoSpaceDN/>
                    <w:bidi w:val="0"/>
                    <w:adjustRightInd w:val="0"/>
                    <w:snapToGrid w:val="0"/>
                    <w:spacing w:before="0" w:beforeAutospacing="0" w:after="0" w:afterAutospacing="0" w:line="240" w:lineRule="auto"/>
                    <w:ind w:left="0" w:right="0"/>
                    <w:jc w:val="center"/>
                    <w:textAlignment w:val="auto"/>
                    <w:rPr>
                      <w:rFonts w:hint="default"/>
                      <w:color w:val="auto"/>
                      <w:sz w:val="21"/>
                      <w:szCs w:val="21"/>
                      <w:highlight w:val="none"/>
                    </w:rPr>
                  </w:pPr>
                  <w:r>
                    <w:rPr>
                      <w:rFonts w:hint="default"/>
                      <w:color w:val="auto"/>
                      <w:sz w:val="21"/>
                      <w:szCs w:val="21"/>
                      <w:highlight w:val="none"/>
                    </w:rPr>
                    <w:t>产生量（t/a）</w:t>
                  </w:r>
                </w:p>
              </w:tc>
              <w:tc>
                <w:tcPr>
                  <w:tcW w:w="925" w:type="pct"/>
                  <w:noWrap w:val="0"/>
                  <w:tcMar>
                    <w:left w:w="57" w:type="dxa"/>
                    <w:right w:w="57" w:type="dxa"/>
                  </w:tcMar>
                  <w:vAlign w:val="center"/>
                </w:tcPr>
                <w:p w14:paraId="3DA3D3B0">
                  <w:pPr>
                    <w:keepNext w:val="0"/>
                    <w:keepLines w:val="0"/>
                    <w:pageBreakBefore w:val="0"/>
                    <w:suppressLineNumbers w:val="0"/>
                    <w:kinsoku/>
                    <w:wordWrap/>
                    <w:overflowPunct/>
                    <w:topLinePunct w:val="0"/>
                    <w:autoSpaceDE/>
                    <w:autoSpaceDN/>
                    <w:bidi w:val="0"/>
                    <w:adjustRightInd w:val="0"/>
                    <w:snapToGrid w:val="0"/>
                    <w:spacing w:before="0" w:beforeAutospacing="0" w:after="0" w:afterAutospacing="0" w:line="240" w:lineRule="auto"/>
                    <w:ind w:left="0" w:right="0"/>
                    <w:jc w:val="center"/>
                    <w:textAlignment w:val="auto"/>
                    <w:rPr>
                      <w:rFonts w:hint="default"/>
                      <w:color w:val="auto"/>
                      <w:sz w:val="21"/>
                      <w:szCs w:val="21"/>
                      <w:highlight w:val="none"/>
                    </w:rPr>
                  </w:pPr>
                  <w:r>
                    <w:rPr>
                      <w:rFonts w:hint="default"/>
                      <w:color w:val="auto"/>
                      <w:sz w:val="21"/>
                      <w:szCs w:val="21"/>
                      <w:highlight w:val="none"/>
                    </w:rPr>
                    <w:t>产生速率（kg/h）</w:t>
                  </w:r>
                </w:p>
              </w:tc>
              <w:tc>
                <w:tcPr>
                  <w:tcW w:w="752" w:type="pct"/>
                  <w:noWrap w:val="0"/>
                  <w:tcMar>
                    <w:left w:w="57" w:type="dxa"/>
                    <w:right w:w="57" w:type="dxa"/>
                  </w:tcMar>
                  <w:vAlign w:val="center"/>
                </w:tcPr>
                <w:p w14:paraId="038B2E49">
                  <w:pPr>
                    <w:keepNext w:val="0"/>
                    <w:keepLines w:val="0"/>
                    <w:pageBreakBefore w:val="0"/>
                    <w:suppressLineNumbers w:val="0"/>
                    <w:kinsoku/>
                    <w:wordWrap/>
                    <w:overflowPunct/>
                    <w:topLinePunct w:val="0"/>
                    <w:autoSpaceDE/>
                    <w:autoSpaceDN/>
                    <w:bidi w:val="0"/>
                    <w:adjustRightInd w:val="0"/>
                    <w:snapToGrid w:val="0"/>
                    <w:spacing w:before="0" w:beforeAutospacing="0" w:after="0" w:afterAutospacing="0" w:line="240" w:lineRule="auto"/>
                    <w:ind w:left="0" w:right="0"/>
                    <w:jc w:val="center"/>
                    <w:textAlignment w:val="auto"/>
                    <w:rPr>
                      <w:rFonts w:hint="default"/>
                      <w:color w:val="auto"/>
                      <w:sz w:val="21"/>
                      <w:szCs w:val="21"/>
                      <w:highlight w:val="none"/>
                    </w:rPr>
                  </w:pPr>
                  <w:r>
                    <w:rPr>
                      <w:rFonts w:hint="default"/>
                      <w:color w:val="auto"/>
                      <w:sz w:val="21"/>
                      <w:szCs w:val="21"/>
                      <w:highlight w:val="none"/>
                    </w:rPr>
                    <w:t>排放量（t/a）</w:t>
                  </w:r>
                </w:p>
              </w:tc>
              <w:tc>
                <w:tcPr>
                  <w:tcW w:w="906" w:type="pct"/>
                  <w:noWrap w:val="0"/>
                  <w:tcMar>
                    <w:left w:w="57" w:type="dxa"/>
                    <w:right w:w="57" w:type="dxa"/>
                  </w:tcMar>
                  <w:vAlign w:val="center"/>
                </w:tcPr>
                <w:p w14:paraId="60C33B6E">
                  <w:pPr>
                    <w:keepNext w:val="0"/>
                    <w:keepLines w:val="0"/>
                    <w:pageBreakBefore w:val="0"/>
                    <w:suppressLineNumbers w:val="0"/>
                    <w:kinsoku/>
                    <w:wordWrap/>
                    <w:overflowPunct/>
                    <w:topLinePunct w:val="0"/>
                    <w:autoSpaceDE/>
                    <w:autoSpaceDN/>
                    <w:bidi w:val="0"/>
                    <w:adjustRightInd w:val="0"/>
                    <w:snapToGrid w:val="0"/>
                    <w:spacing w:before="0" w:beforeAutospacing="0" w:after="0" w:afterAutospacing="0" w:line="240" w:lineRule="auto"/>
                    <w:ind w:left="0" w:right="0"/>
                    <w:jc w:val="center"/>
                    <w:textAlignment w:val="auto"/>
                    <w:rPr>
                      <w:rFonts w:hint="default"/>
                      <w:color w:val="auto"/>
                      <w:sz w:val="21"/>
                      <w:szCs w:val="21"/>
                      <w:highlight w:val="none"/>
                    </w:rPr>
                  </w:pPr>
                  <w:r>
                    <w:rPr>
                      <w:rFonts w:hint="default"/>
                      <w:color w:val="auto"/>
                      <w:sz w:val="21"/>
                      <w:szCs w:val="21"/>
                      <w:highlight w:val="none"/>
                    </w:rPr>
                    <w:t>排放速率（kg/h）</w:t>
                  </w:r>
                </w:p>
              </w:tc>
            </w:tr>
            <w:tr w14:paraId="7C775A8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584" w:type="pct"/>
                  <w:vMerge w:val="restart"/>
                  <w:noWrap w:val="0"/>
                  <w:tcMar>
                    <w:left w:w="57" w:type="dxa"/>
                    <w:right w:w="57" w:type="dxa"/>
                  </w:tcMar>
                  <w:vAlign w:val="center"/>
                </w:tcPr>
                <w:p w14:paraId="70407D7B">
                  <w:pPr>
                    <w:keepNext w:val="0"/>
                    <w:keepLines w:val="0"/>
                    <w:pageBreakBefore w:val="0"/>
                    <w:suppressLineNumbers w:val="0"/>
                    <w:kinsoku/>
                    <w:wordWrap/>
                    <w:overflowPunct/>
                    <w:topLinePunct w:val="0"/>
                    <w:autoSpaceDE/>
                    <w:autoSpaceDN/>
                    <w:bidi w:val="0"/>
                    <w:adjustRightInd w:val="0"/>
                    <w:snapToGrid w:val="0"/>
                    <w:spacing w:before="0" w:beforeAutospacing="0" w:after="0" w:afterAutospacing="0" w:line="240" w:lineRule="auto"/>
                    <w:ind w:left="0" w:right="0"/>
                    <w:jc w:val="center"/>
                    <w:textAlignment w:val="auto"/>
                    <w:rPr>
                      <w:rFonts w:hint="default"/>
                      <w:color w:val="auto"/>
                      <w:sz w:val="21"/>
                      <w:szCs w:val="21"/>
                      <w:highlight w:val="none"/>
                    </w:rPr>
                  </w:pPr>
                  <w:r>
                    <w:rPr>
                      <w:rFonts w:hint="eastAsia"/>
                      <w:color w:val="auto"/>
                      <w:sz w:val="21"/>
                      <w:szCs w:val="21"/>
                      <w:highlight w:val="none"/>
                    </w:rPr>
                    <w:t>污水处理站臭气</w:t>
                  </w:r>
                </w:p>
              </w:tc>
              <w:tc>
                <w:tcPr>
                  <w:tcW w:w="549" w:type="pct"/>
                  <w:vMerge w:val="restart"/>
                  <w:noWrap w:val="0"/>
                  <w:tcMar>
                    <w:left w:w="57" w:type="dxa"/>
                    <w:right w:w="57" w:type="dxa"/>
                  </w:tcMar>
                  <w:vAlign w:val="center"/>
                </w:tcPr>
                <w:p w14:paraId="55AF06ED">
                  <w:pPr>
                    <w:keepNext w:val="0"/>
                    <w:keepLines w:val="0"/>
                    <w:pageBreakBefore w:val="0"/>
                    <w:suppressLineNumbers w:val="0"/>
                    <w:kinsoku/>
                    <w:wordWrap/>
                    <w:overflowPunct/>
                    <w:topLinePunct w:val="0"/>
                    <w:autoSpaceDE/>
                    <w:autoSpaceDN/>
                    <w:bidi w:val="0"/>
                    <w:adjustRightInd w:val="0"/>
                    <w:snapToGrid w:val="0"/>
                    <w:spacing w:before="0" w:beforeAutospacing="0" w:after="0" w:afterAutospacing="0" w:line="240" w:lineRule="auto"/>
                    <w:ind w:left="0" w:right="0"/>
                    <w:jc w:val="center"/>
                    <w:textAlignment w:val="auto"/>
                    <w:rPr>
                      <w:rFonts w:hint="default"/>
                      <w:color w:val="auto"/>
                      <w:sz w:val="21"/>
                      <w:szCs w:val="21"/>
                      <w:highlight w:val="none"/>
                    </w:rPr>
                  </w:pPr>
                  <w:r>
                    <w:rPr>
                      <w:rFonts w:hint="default"/>
                      <w:color w:val="auto"/>
                      <w:sz w:val="21"/>
                      <w:szCs w:val="21"/>
                      <w:highlight w:val="none"/>
                    </w:rPr>
                    <w:t>有组织</w:t>
                  </w:r>
                </w:p>
              </w:tc>
              <w:tc>
                <w:tcPr>
                  <w:tcW w:w="549" w:type="pct"/>
                  <w:noWrap w:val="0"/>
                  <w:tcMar>
                    <w:left w:w="57" w:type="dxa"/>
                    <w:right w:w="57" w:type="dxa"/>
                  </w:tcMar>
                  <w:vAlign w:val="center"/>
                </w:tcPr>
                <w:p w14:paraId="11538BF8">
                  <w:pPr>
                    <w:keepNext w:val="0"/>
                    <w:keepLines w:val="0"/>
                    <w:pageBreakBefore w:val="0"/>
                    <w:suppressLineNumbers w:val="0"/>
                    <w:kinsoku/>
                    <w:wordWrap/>
                    <w:overflowPunct/>
                    <w:topLinePunct w:val="0"/>
                    <w:autoSpaceDE/>
                    <w:autoSpaceDN/>
                    <w:bidi w:val="0"/>
                    <w:adjustRightInd w:val="0"/>
                    <w:snapToGrid w:val="0"/>
                    <w:spacing w:before="0" w:beforeAutospacing="0" w:after="0" w:afterAutospacing="0" w:line="240" w:lineRule="auto"/>
                    <w:ind w:left="0" w:right="0"/>
                    <w:jc w:val="center"/>
                    <w:textAlignment w:val="auto"/>
                    <w:rPr>
                      <w:rFonts w:hint="default"/>
                      <w:color w:val="auto"/>
                      <w:sz w:val="21"/>
                      <w:szCs w:val="21"/>
                      <w:highlight w:val="none"/>
                    </w:rPr>
                  </w:pPr>
                  <w:r>
                    <w:rPr>
                      <w:rFonts w:hint="eastAsia"/>
                      <w:color w:val="auto"/>
                      <w:sz w:val="21"/>
                      <w:szCs w:val="21"/>
                      <w:highlight w:val="none"/>
                    </w:rPr>
                    <w:t>NH</w:t>
                  </w:r>
                  <w:r>
                    <w:rPr>
                      <w:rFonts w:hint="eastAsia"/>
                      <w:color w:val="auto"/>
                      <w:sz w:val="21"/>
                      <w:szCs w:val="21"/>
                      <w:highlight w:val="none"/>
                      <w:vertAlign w:val="subscript"/>
                    </w:rPr>
                    <w:t>3</w:t>
                  </w:r>
                </w:p>
              </w:tc>
              <w:tc>
                <w:tcPr>
                  <w:tcW w:w="732" w:type="pct"/>
                  <w:noWrap w:val="0"/>
                  <w:tcMar>
                    <w:left w:w="57" w:type="dxa"/>
                    <w:right w:w="57" w:type="dxa"/>
                  </w:tcMar>
                  <w:vAlign w:val="center"/>
                </w:tcPr>
                <w:p w14:paraId="20BDAC81">
                  <w:pPr>
                    <w:keepNext w:val="0"/>
                    <w:keepLines w:val="0"/>
                    <w:pageBreakBefore w:val="0"/>
                    <w:suppressLineNumbers w:val="0"/>
                    <w:kinsoku/>
                    <w:wordWrap/>
                    <w:overflowPunct/>
                    <w:topLinePunct w:val="0"/>
                    <w:autoSpaceDE/>
                    <w:autoSpaceDN/>
                    <w:bidi w:val="0"/>
                    <w:adjustRightInd w:val="0"/>
                    <w:snapToGrid w:val="0"/>
                    <w:spacing w:before="0" w:beforeAutospacing="0" w:after="0" w:afterAutospacing="0" w:line="240" w:lineRule="auto"/>
                    <w:ind w:left="0" w:right="0"/>
                    <w:jc w:val="center"/>
                    <w:textAlignment w:val="auto"/>
                    <w:rPr>
                      <w:rFonts w:hint="default" w:eastAsia="宋体"/>
                      <w:color w:val="auto"/>
                      <w:kern w:val="2"/>
                      <w:sz w:val="21"/>
                      <w:szCs w:val="21"/>
                      <w:highlight w:val="none"/>
                      <w:lang w:val="en-US" w:eastAsia="zh-CN" w:bidi="ar-SA"/>
                    </w:rPr>
                  </w:pPr>
                  <w:r>
                    <w:rPr>
                      <w:rFonts w:hint="eastAsia"/>
                      <w:color w:val="auto"/>
                      <w:sz w:val="21"/>
                      <w:szCs w:val="21"/>
                      <w:highlight w:val="none"/>
                      <w:lang w:val="en-US" w:eastAsia="zh-CN"/>
                    </w:rPr>
                    <w:t>0.026</w:t>
                  </w:r>
                </w:p>
              </w:tc>
              <w:tc>
                <w:tcPr>
                  <w:tcW w:w="925" w:type="pct"/>
                  <w:noWrap w:val="0"/>
                  <w:tcMar>
                    <w:left w:w="57" w:type="dxa"/>
                    <w:right w:w="57" w:type="dxa"/>
                  </w:tcMar>
                  <w:vAlign w:val="center"/>
                </w:tcPr>
                <w:p w14:paraId="2530F27B">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40" w:lineRule="auto"/>
                    <w:ind w:left="0" w:right="0"/>
                    <w:jc w:val="center"/>
                    <w:textAlignment w:val="auto"/>
                    <w:rPr>
                      <w:rFonts w:hint="default" w:eastAsia="宋体"/>
                      <w:color w:val="auto"/>
                      <w:kern w:val="0"/>
                      <w:sz w:val="21"/>
                      <w:szCs w:val="21"/>
                      <w:highlight w:val="none"/>
                      <w:lang w:val="en-US" w:eastAsia="zh-CN" w:bidi="ar-SA"/>
                    </w:rPr>
                  </w:pPr>
                  <w:r>
                    <w:rPr>
                      <w:rFonts w:hint="eastAsia"/>
                      <w:color w:val="auto"/>
                      <w:sz w:val="21"/>
                      <w:szCs w:val="21"/>
                      <w:highlight w:val="none"/>
                      <w:lang w:eastAsia="zh-CN"/>
                    </w:rPr>
                    <w:t>0.00</w:t>
                  </w:r>
                  <w:r>
                    <w:rPr>
                      <w:rFonts w:hint="eastAsia"/>
                      <w:color w:val="auto"/>
                      <w:sz w:val="21"/>
                      <w:szCs w:val="21"/>
                      <w:highlight w:val="none"/>
                      <w:lang w:val="en-US" w:eastAsia="zh-CN"/>
                    </w:rPr>
                    <w:t>3</w:t>
                  </w:r>
                </w:p>
              </w:tc>
              <w:tc>
                <w:tcPr>
                  <w:tcW w:w="752" w:type="pct"/>
                  <w:noWrap w:val="0"/>
                  <w:tcMar>
                    <w:left w:w="57" w:type="dxa"/>
                    <w:right w:w="57" w:type="dxa"/>
                  </w:tcMar>
                  <w:vAlign w:val="center"/>
                </w:tcPr>
                <w:p w14:paraId="6BF0077A">
                  <w:pPr>
                    <w:keepNext w:val="0"/>
                    <w:keepLines w:val="0"/>
                    <w:pageBreakBefore w:val="0"/>
                    <w:suppressLineNumbers w:val="0"/>
                    <w:kinsoku/>
                    <w:wordWrap/>
                    <w:overflowPunct/>
                    <w:topLinePunct w:val="0"/>
                    <w:autoSpaceDE/>
                    <w:autoSpaceDN/>
                    <w:bidi w:val="0"/>
                    <w:adjustRightInd w:val="0"/>
                    <w:snapToGrid w:val="0"/>
                    <w:spacing w:before="0" w:beforeAutospacing="0" w:after="0" w:afterAutospacing="0" w:line="240" w:lineRule="auto"/>
                    <w:ind w:left="0" w:right="0"/>
                    <w:jc w:val="center"/>
                    <w:textAlignment w:val="auto"/>
                    <w:rPr>
                      <w:rFonts w:hint="default" w:eastAsia="宋体"/>
                      <w:color w:val="auto"/>
                      <w:kern w:val="0"/>
                      <w:sz w:val="21"/>
                      <w:szCs w:val="21"/>
                      <w:highlight w:val="none"/>
                      <w:lang w:val="en-US" w:eastAsia="zh-CN" w:bidi="ar-SA"/>
                    </w:rPr>
                  </w:pPr>
                  <w:r>
                    <w:rPr>
                      <w:rFonts w:hint="eastAsia" w:eastAsia="宋体"/>
                      <w:color w:val="auto"/>
                      <w:kern w:val="0"/>
                      <w:sz w:val="21"/>
                      <w:szCs w:val="21"/>
                      <w:highlight w:val="none"/>
                      <w:lang w:val="en-US" w:eastAsia="zh-CN" w:bidi="ar-SA"/>
                    </w:rPr>
                    <w:t>0.003</w:t>
                  </w:r>
                </w:p>
              </w:tc>
              <w:tc>
                <w:tcPr>
                  <w:tcW w:w="906" w:type="pct"/>
                  <w:noWrap w:val="0"/>
                  <w:tcMar>
                    <w:left w:w="57" w:type="dxa"/>
                    <w:right w:w="57" w:type="dxa"/>
                  </w:tcMar>
                  <w:vAlign w:val="bottom"/>
                </w:tcPr>
                <w:p w14:paraId="5009D3BC">
                  <w:pPr>
                    <w:keepNext w:val="0"/>
                    <w:keepLines w:val="0"/>
                    <w:pageBreakBefore w:val="0"/>
                    <w:suppressLineNumbers w:val="0"/>
                    <w:kinsoku/>
                    <w:wordWrap/>
                    <w:overflowPunct/>
                    <w:topLinePunct w:val="0"/>
                    <w:autoSpaceDE/>
                    <w:autoSpaceDN/>
                    <w:bidi w:val="0"/>
                    <w:adjustRightInd w:val="0"/>
                    <w:snapToGrid w:val="0"/>
                    <w:spacing w:before="0" w:beforeAutospacing="0" w:after="0" w:afterAutospacing="0" w:line="240" w:lineRule="auto"/>
                    <w:ind w:left="0" w:right="0"/>
                    <w:jc w:val="center"/>
                    <w:textAlignment w:val="auto"/>
                    <w:rPr>
                      <w:rFonts w:hint="default" w:eastAsia="宋体"/>
                      <w:color w:val="auto"/>
                      <w:kern w:val="0"/>
                      <w:sz w:val="21"/>
                      <w:szCs w:val="21"/>
                      <w:highlight w:val="none"/>
                      <w:lang w:val="en-US" w:eastAsia="zh-CN" w:bidi="ar-SA"/>
                    </w:rPr>
                  </w:pPr>
                  <w:r>
                    <w:rPr>
                      <w:rFonts w:hint="eastAsia" w:eastAsia="宋体"/>
                      <w:color w:val="auto"/>
                      <w:kern w:val="0"/>
                      <w:sz w:val="21"/>
                      <w:szCs w:val="21"/>
                      <w:highlight w:val="none"/>
                      <w:lang w:val="en-US" w:eastAsia="zh-CN" w:bidi="ar-SA"/>
                    </w:rPr>
                    <w:t>0.0003</w:t>
                  </w:r>
                </w:p>
              </w:tc>
            </w:tr>
            <w:tr w14:paraId="664CD9D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584" w:type="pct"/>
                  <w:vMerge w:val="continue"/>
                  <w:noWrap w:val="0"/>
                  <w:tcMar>
                    <w:left w:w="57" w:type="dxa"/>
                    <w:right w:w="57" w:type="dxa"/>
                  </w:tcMar>
                  <w:vAlign w:val="center"/>
                </w:tcPr>
                <w:p w14:paraId="183EA44E">
                  <w:pPr>
                    <w:keepNext w:val="0"/>
                    <w:keepLines w:val="0"/>
                    <w:pageBreakBefore w:val="0"/>
                    <w:suppressLineNumbers w:val="0"/>
                    <w:kinsoku/>
                    <w:wordWrap/>
                    <w:overflowPunct/>
                    <w:topLinePunct w:val="0"/>
                    <w:autoSpaceDE/>
                    <w:autoSpaceDN/>
                    <w:bidi w:val="0"/>
                    <w:adjustRightInd w:val="0"/>
                    <w:snapToGrid w:val="0"/>
                    <w:spacing w:before="0" w:beforeAutospacing="0" w:after="0" w:afterAutospacing="0" w:line="240" w:lineRule="auto"/>
                    <w:ind w:left="0" w:right="0"/>
                    <w:jc w:val="center"/>
                    <w:textAlignment w:val="auto"/>
                    <w:rPr>
                      <w:rFonts w:hint="eastAsia"/>
                      <w:color w:val="auto"/>
                      <w:sz w:val="21"/>
                      <w:szCs w:val="21"/>
                      <w:highlight w:val="none"/>
                    </w:rPr>
                  </w:pPr>
                </w:p>
              </w:tc>
              <w:tc>
                <w:tcPr>
                  <w:tcW w:w="549" w:type="pct"/>
                  <w:vMerge w:val="continue"/>
                  <w:noWrap w:val="0"/>
                  <w:tcMar>
                    <w:left w:w="57" w:type="dxa"/>
                    <w:right w:w="57" w:type="dxa"/>
                  </w:tcMar>
                  <w:vAlign w:val="center"/>
                </w:tcPr>
                <w:p w14:paraId="79EAB257">
                  <w:pPr>
                    <w:keepNext w:val="0"/>
                    <w:keepLines w:val="0"/>
                    <w:pageBreakBefore w:val="0"/>
                    <w:suppressLineNumbers w:val="0"/>
                    <w:kinsoku/>
                    <w:wordWrap/>
                    <w:overflowPunct/>
                    <w:topLinePunct w:val="0"/>
                    <w:autoSpaceDE/>
                    <w:autoSpaceDN/>
                    <w:bidi w:val="0"/>
                    <w:adjustRightInd w:val="0"/>
                    <w:snapToGrid w:val="0"/>
                    <w:spacing w:before="0" w:beforeAutospacing="0" w:after="0" w:afterAutospacing="0" w:line="240" w:lineRule="auto"/>
                    <w:ind w:left="0" w:right="0"/>
                    <w:jc w:val="center"/>
                    <w:textAlignment w:val="auto"/>
                    <w:rPr>
                      <w:rFonts w:hint="default"/>
                      <w:color w:val="auto"/>
                      <w:sz w:val="21"/>
                      <w:szCs w:val="21"/>
                      <w:highlight w:val="none"/>
                    </w:rPr>
                  </w:pPr>
                </w:p>
              </w:tc>
              <w:tc>
                <w:tcPr>
                  <w:tcW w:w="549" w:type="pct"/>
                  <w:noWrap w:val="0"/>
                  <w:tcMar>
                    <w:left w:w="57" w:type="dxa"/>
                    <w:right w:w="57" w:type="dxa"/>
                  </w:tcMar>
                  <w:vAlign w:val="center"/>
                </w:tcPr>
                <w:p w14:paraId="3EA26CDA">
                  <w:pPr>
                    <w:keepNext w:val="0"/>
                    <w:keepLines w:val="0"/>
                    <w:pageBreakBefore w:val="0"/>
                    <w:suppressLineNumbers w:val="0"/>
                    <w:kinsoku/>
                    <w:wordWrap/>
                    <w:overflowPunct/>
                    <w:topLinePunct w:val="0"/>
                    <w:autoSpaceDE/>
                    <w:autoSpaceDN/>
                    <w:bidi w:val="0"/>
                    <w:adjustRightInd w:val="0"/>
                    <w:snapToGrid w:val="0"/>
                    <w:spacing w:before="0" w:beforeAutospacing="0" w:after="0" w:afterAutospacing="0" w:line="240" w:lineRule="auto"/>
                    <w:ind w:left="0" w:right="0"/>
                    <w:jc w:val="center"/>
                    <w:textAlignment w:val="auto"/>
                    <w:rPr>
                      <w:rFonts w:hint="default"/>
                      <w:color w:val="auto"/>
                      <w:sz w:val="21"/>
                      <w:szCs w:val="21"/>
                      <w:highlight w:val="none"/>
                    </w:rPr>
                  </w:pPr>
                  <w:r>
                    <w:rPr>
                      <w:rFonts w:hint="eastAsia"/>
                      <w:color w:val="auto"/>
                      <w:sz w:val="21"/>
                      <w:szCs w:val="21"/>
                      <w:highlight w:val="none"/>
                    </w:rPr>
                    <w:t>H</w:t>
                  </w:r>
                  <w:r>
                    <w:rPr>
                      <w:rFonts w:hint="eastAsia"/>
                      <w:color w:val="auto"/>
                      <w:sz w:val="21"/>
                      <w:szCs w:val="21"/>
                      <w:highlight w:val="none"/>
                      <w:vertAlign w:val="subscript"/>
                    </w:rPr>
                    <w:t>2</w:t>
                  </w:r>
                  <w:r>
                    <w:rPr>
                      <w:rFonts w:hint="eastAsia"/>
                      <w:color w:val="auto"/>
                      <w:sz w:val="21"/>
                      <w:szCs w:val="21"/>
                      <w:highlight w:val="none"/>
                    </w:rPr>
                    <w:t>S</w:t>
                  </w:r>
                </w:p>
              </w:tc>
              <w:tc>
                <w:tcPr>
                  <w:tcW w:w="732" w:type="pct"/>
                  <w:noWrap w:val="0"/>
                  <w:tcMar>
                    <w:left w:w="57" w:type="dxa"/>
                    <w:right w:w="57" w:type="dxa"/>
                  </w:tcMar>
                  <w:vAlign w:val="center"/>
                </w:tcPr>
                <w:p w14:paraId="309CCCD2">
                  <w:pPr>
                    <w:keepNext w:val="0"/>
                    <w:keepLines w:val="0"/>
                    <w:pageBreakBefore w:val="0"/>
                    <w:suppressLineNumbers w:val="0"/>
                    <w:kinsoku/>
                    <w:wordWrap/>
                    <w:overflowPunct/>
                    <w:topLinePunct w:val="0"/>
                    <w:autoSpaceDE/>
                    <w:autoSpaceDN/>
                    <w:bidi w:val="0"/>
                    <w:adjustRightInd w:val="0"/>
                    <w:snapToGrid w:val="0"/>
                    <w:spacing w:before="0" w:beforeAutospacing="0" w:after="0" w:afterAutospacing="0" w:line="240" w:lineRule="auto"/>
                    <w:ind w:left="0" w:right="0"/>
                    <w:jc w:val="center"/>
                    <w:textAlignment w:val="auto"/>
                    <w:rPr>
                      <w:rFonts w:hint="default" w:eastAsia="宋体"/>
                      <w:color w:val="auto"/>
                      <w:kern w:val="2"/>
                      <w:sz w:val="21"/>
                      <w:szCs w:val="21"/>
                      <w:highlight w:val="none"/>
                      <w:lang w:val="en-US" w:eastAsia="zh-CN" w:bidi="ar-SA"/>
                    </w:rPr>
                  </w:pPr>
                  <w:r>
                    <w:rPr>
                      <w:rFonts w:hint="eastAsia" w:eastAsia="宋体"/>
                      <w:color w:val="auto"/>
                      <w:sz w:val="21"/>
                      <w:szCs w:val="21"/>
                      <w:highlight w:val="none"/>
                      <w:lang w:eastAsia="zh-CN"/>
                    </w:rPr>
                    <w:t>0.00</w:t>
                  </w:r>
                  <w:r>
                    <w:rPr>
                      <w:rFonts w:hint="eastAsia" w:eastAsia="宋体"/>
                      <w:color w:val="auto"/>
                      <w:sz w:val="21"/>
                      <w:szCs w:val="21"/>
                      <w:highlight w:val="none"/>
                      <w:lang w:val="en-US" w:eastAsia="zh-CN"/>
                    </w:rPr>
                    <w:t>18</w:t>
                  </w:r>
                </w:p>
              </w:tc>
              <w:tc>
                <w:tcPr>
                  <w:tcW w:w="925" w:type="pct"/>
                  <w:noWrap w:val="0"/>
                  <w:tcMar>
                    <w:left w:w="57" w:type="dxa"/>
                    <w:right w:w="57" w:type="dxa"/>
                  </w:tcMar>
                  <w:vAlign w:val="center"/>
                </w:tcPr>
                <w:p w14:paraId="2F7F6D8C">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40" w:lineRule="auto"/>
                    <w:ind w:left="0" w:right="0"/>
                    <w:jc w:val="center"/>
                    <w:textAlignment w:val="auto"/>
                    <w:rPr>
                      <w:rFonts w:hint="default" w:eastAsia="宋体"/>
                      <w:color w:val="auto"/>
                      <w:kern w:val="0"/>
                      <w:sz w:val="21"/>
                      <w:szCs w:val="21"/>
                      <w:highlight w:val="none"/>
                      <w:lang w:val="en-US" w:eastAsia="zh-CN" w:bidi="ar-SA"/>
                    </w:rPr>
                  </w:pPr>
                  <w:r>
                    <w:rPr>
                      <w:rFonts w:hint="eastAsia" w:eastAsia="宋体"/>
                      <w:color w:val="auto"/>
                      <w:sz w:val="21"/>
                      <w:szCs w:val="21"/>
                      <w:highlight w:val="none"/>
                      <w:lang w:eastAsia="zh-CN"/>
                    </w:rPr>
                    <w:t>0.000</w:t>
                  </w:r>
                  <w:r>
                    <w:rPr>
                      <w:rFonts w:hint="eastAsia" w:eastAsia="宋体"/>
                      <w:color w:val="auto"/>
                      <w:sz w:val="21"/>
                      <w:szCs w:val="21"/>
                      <w:highlight w:val="none"/>
                      <w:lang w:val="en-US" w:eastAsia="zh-CN"/>
                    </w:rPr>
                    <w:t>2</w:t>
                  </w:r>
                </w:p>
              </w:tc>
              <w:tc>
                <w:tcPr>
                  <w:tcW w:w="752" w:type="pct"/>
                  <w:noWrap w:val="0"/>
                  <w:tcMar>
                    <w:left w:w="57" w:type="dxa"/>
                    <w:right w:w="57" w:type="dxa"/>
                  </w:tcMar>
                  <w:vAlign w:val="center"/>
                </w:tcPr>
                <w:p w14:paraId="194B8A6B">
                  <w:pPr>
                    <w:keepNext w:val="0"/>
                    <w:keepLines w:val="0"/>
                    <w:pageBreakBefore w:val="0"/>
                    <w:suppressLineNumbers w:val="0"/>
                    <w:kinsoku/>
                    <w:wordWrap/>
                    <w:overflowPunct/>
                    <w:topLinePunct w:val="0"/>
                    <w:autoSpaceDE/>
                    <w:autoSpaceDN/>
                    <w:bidi w:val="0"/>
                    <w:adjustRightInd w:val="0"/>
                    <w:snapToGrid w:val="0"/>
                    <w:spacing w:before="0" w:beforeAutospacing="0" w:after="0" w:afterAutospacing="0" w:line="240" w:lineRule="auto"/>
                    <w:ind w:left="0" w:right="0"/>
                    <w:jc w:val="center"/>
                    <w:textAlignment w:val="auto"/>
                    <w:rPr>
                      <w:rFonts w:hint="default" w:eastAsia="宋体"/>
                      <w:color w:val="auto"/>
                      <w:kern w:val="0"/>
                      <w:sz w:val="21"/>
                      <w:szCs w:val="21"/>
                      <w:highlight w:val="none"/>
                      <w:lang w:val="en-US" w:eastAsia="zh-CN" w:bidi="ar-SA"/>
                    </w:rPr>
                  </w:pPr>
                  <w:r>
                    <w:rPr>
                      <w:rFonts w:hint="eastAsia" w:eastAsia="宋体"/>
                      <w:color w:val="auto"/>
                      <w:sz w:val="21"/>
                      <w:szCs w:val="21"/>
                      <w:highlight w:val="none"/>
                      <w:lang w:eastAsia="zh-CN"/>
                    </w:rPr>
                    <w:t>0.00</w:t>
                  </w:r>
                  <w:r>
                    <w:rPr>
                      <w:rFonts w:hint="eastAsia" w:eastAsia="宋体"/>
                      <w:color w:val="auto"/>
                      <w:sz w:val="21"/>
                      <w:szCs w:val="21"/>
                      <w:highlight w:val="none"/>
                      <w:lang w:val="en-US" w:eastAsia="zh-CN"/>
                    </w:rPr>
                    <w:t>09</w:t>
                  </w:r>
                </w:p>
              </w:tc>
              <w:tc>
                <w:tcPr>
                  <w:tcW w:w="906" w:type="pct"/>
                  <w:noWrap w:val="0"/>
                  <w:tcMar>
                    <w:left w:w="57" w:type="dxa"/>
                    <w:right w:w="57" w:type="dxa"/>
                  </w:tcMar>
                  <w:vAlign w:val="bottom"/>
                </w:tcPr>
                <w:p w14:paraId="568BFA69">
                  <w:pPr>
                    <w:keepNext w:val="0"/>
                    <w:keepLines w:val="0"/>
                    <w:pageBreakBefore w:val="0"/>
                    <w:suppressLineNumbers w:val="0"/>
                    <w:kinsoku/>
                    <w:wordWrap/>
                    <w:overflowPunct/>
                    <w:topLinePunct w:val="0"/>
                    <w:autoSpaceDE/>
                    <w:autoSpaceDN/>
                    <w:bidi w:val="0"/>
                    <w:adjustRightInd w:val="0"/>
                    <w:snapToGrid w:val="0"/>
                    <w:spacing w:before="0" w:beforeAutospacing="0" w:after="0" w:afterAutospacing="0" w:line="240" w:lineRule="auto"/>
                    <w:ind w:left="0" w:right="0"/>
                    <w:jc w:val="center"/>
                    <w:textAlignment w:val="auto"/>
                    <w:rPr>
                      <w:rFonts w:hint="default" w:eastAsia="宋体"/>
                      <w:color w:val="auto"/>
                      <w:kern w:val="0"/>
                      <w:sz w:val="21"/>
                      <w:szCs w:val="21"/>
                      <w:highlight w:val="none"/>
                      <w:lang w:val="en-US" w:eastAsia="zh-CN" w:bidi="ar-SA"/>
                    </w:rPr>
                  </w:pPr>
                  <w:r>
                    <w:rPr>
                      <w:rFonts w:hint="eastAsia" w:eastAsia="宋体"/>
                      <w:color w:val="auto"/>
                      <w:kern w:val="0"/>
                      <w:sz w:val="21"/>
                      <w:szCs w:val="21"/>
                      <w:highlight w:val="none"/>
                      <w:lang w:val="en-US" w:eastAsia="zh-CN" w:bidi="ar-SA"/>
                    </w:rPr>
                    <w:t>0.0001</w:t>
                  </w:r>
                </w:p>
              </w:tc>
            </w:tr>
          </w:tbl>
          <w:p w14:paraId="6AC33385">
            <w:pPr>
              <w:keepNext w:val="0"/>
              <w:keepLines w:val="0"/>
              <w:suppressLineNumbers w:val="0"/>
              <w:adjustRightInd w:val="0"/>
              <w:snapToGrid w:val="0"/>
              <w:spacing w:before="0" w:beforeAutospacing="0" w:after="0" w:afterAutospacing="0" w:line="288" w:lineRule="auto"/>
              <w:ind w:left="0" w:right="0" w:firstLine="361" w:firstLineChars="200"/>
              <w:rPr>
                <w:rFonts w:hint="eastAsia"/>
                <w:b/>
                <w:bCs/>
                <w:color w:val="auto"/>
                <w:sz w:val="18"/>
                <w:szCs w:val="18"/>
                <w:highlight w:val="none"/>
              </w:rPr>
            </w:pPr>
            <w:r>
              <w:rPr>
                <w:rFonts w:hint="eastAsia" w:hAnsi="宋体"/>
                <w:b/>
                <w:bCs/>
                <w:snapToGrid w:val="0"/>
                <w:color w:val="auto"/>
                <w:kern w:val="0"/>
                <w:sz w:val="18"/>
                <w:szCs w:val="18"/>
                <w:highlight w:val="none"/>
              </w:rPr>
              <w:t>*注：年工作时间以8760h计。</w:t>
            </w:r>
          </w:p>
          <w:p w14:paraId="033D915D">
            <w:pPr>
              <w:keepNext w:val="0"/>
              <w:keepLines w:val="0"/>
              <w:suppressLineNumbers w:val="0"/>
              <w:spacing w:before="0" w:beforeAutospacing="0" w:after="0" w:afterAutospacing="0" w:line="360" w:lineRule="auto"/>
              <w:ind w:left="0" w:right="0" w:firstLine="482" w:firstLineChars="200"/>
              <w:jc w:val="left"/>
              <w:rPr>
                <w:rFonts w:hint="eastAsia"/>
                <w:b/>
                <w:bCs/>
                <w:sz w:val="24"/>
                <w:highlight w:val="none"/>
              </w:rPr>
            </w:pPr>
            <w:r>
              <w:rPr>
                <w:rFonts w:hint="eastAsia"/>
                <w:b/>
                <w:bCs/>
                <w:sz w:val="24"/>
                <w:highlight w:val="none"/>
                <w:lang w:val="en-US" w:eastAsia="zh-CN"/>
              </w:rPr>
              <w:t>d</w:t>
            </w:r>
            <w:r>
              <w:rPr>
                <w:rFonts w:hint="eastAsia"/>
                <w:b/>
                <w:bCs/>
                <w:sz w:val="24"/>
                <w:highlight w:val="none"/>
              </w:rPr>
              <w:t>）食堂油烟废气</w:t>
            </w:r>
          </w:p>
          <w:p w14:paraId="7671BCD6">
            <w:pPr>
              <w:keepNext w:val="0"/>
              <w:keepLines w:val="0"/>
              <w:suppressLineNumbers w:val="0"/>
              <w:spacing w:before="0" w:beforeAutospacing="0" w:after="0" w:afterAutospacing="0" w:line="360" w:lineRule="auto"/>
              <w:ind w:left="0" w:right="0" w:firstLine="480" w:firstLineChars="200"/>
              <w:jc w:val="left"/>
              <w:rPr>
                <w:rFonts w:hint="eastAsia"/>
                <w:sz w:val="24"/>
                <w:highlight w:val="none"/>
              </w:rPr>
            </w:pPr>
            <w:r>
              <w:rPr>
                <w:rFonts w:hint="eastAsia"/>
                <w:sz w:val="24"/>
                <w:highlight w:val="none"/>
              </w:rPr>
              <w:t>根据前述，本项目食堂</w:t>
            </w:r>
            <w:r>
              <w:rPr>
                <w:rFonts w:hint="eastAsia"/>
                <w:sz w:val="24"/>
                <w:highlight w:val="none"/>
                <w:lang w:val="en-US" w:eastAsia="zh-CN"/>
              </w:rPr>
              <w:t>最多</w:t>
            </w:r>
            <w:r>
              <w:rPr>
                <w:rFonts w:hint="eastAsia"/>
                <w:sz w:val="24"/>
                <w:highlight w:val="none"/>
              </w:rPr>
              <w:t>就餐人数为</w:t>
            </w:r>
            <w:r>
              <w:rPr>
                <w:rFonts w:hint="eastAsia"/>
                <w:sz w:val="24"/>
                <w:highlight w:val="none"/>
                <w:lang w:val="en-US" w:eastAsia="zh-CN"/>
              </w:rPr>
              <w:t>70</w:t>
            </w:r>
            <w:r>
              <w:rPr>
                <w:rFonts w:hint="eastAsia"/>
                <w:sz w:val="24"/>
                <w:highlight w:val="none"/>
              </w:rPr>
              <w:t>0人次/日。根据</w:t>
            </w:r>
            <w:r>
              <w:rPr>
                <w:rFonts w:hint="eastAsia"/>
                <w:sz w:val="24"/>
                <w:highlight w:val="none"/>
                <w:lang w:val="en-US" w:eastAsia="zh-CN"/>
              </w:rPr>
              <w:t>企业</w:t>
            </w:r>
            <w:r>
              <w:rPr>
                <w:rFonts w:hint="eastAsia"/>
                <w:sz w:val="24"/>
                <w:highlight w:val="none"/>
              </w:rPr>
              <w:t>提供的资料，食堂人均用油量约15g/人•d，则食堂用油量为</w:t>
            </w:r>
            <w:r>
              <w:rPr>
                <w:rFonts w:hint="eastAsia"/>
                <w:sz w:val="24"/>
                <w:highlight w:val="none"/>
                <w:lang w:val="en-US" w:eastAsia="zh-CN"/>
              </w:rPr>
              <w:t>2</w:t>
            </w:r>
            <w:r>
              <w:rPr>
                <w:rFonts w:hint="eastAsia"/>
                <w:sz w:val="24"/>
                <w:highlight w:val="none"/>
              </w:rPr>
              <w:t>.7</w:t>
            </w:r>
            <w:r>
              <w:rPr>
                <w:rFonts w:hint="eastAsia"/>
                <w:sz w:val="24"/>
                <w:highlight w:val="none"/>
                <w:lang w:val="en-US" w:eastAsia="zh-CN"/>
              </w:rPr>
              <w:t>30</w:t>
            </w:r>
            <w:r>
              <w:rPr>
                <w:rFonts w:hint="eastAsia"/>
                <w:sz w:val="24"/>
                <w:highlight w:val="none"/>
              </w:rPr>
              <w:t>t/a，油烟挥发量按总耗油量的2%计，则项目油烟产生量约0.0</w:t>
            </w:r>
            <w:r>
              <w:rPr>
                <w:rFonts w:hint="eastAsia"/>
                <w:sz w:val="24"/>
                <w:highlight w:val="none"/>
                <w:lang w:val="en-US" w:eastAsia="zh-CN"/>
              </w:rPr>
              <w:t>55</w:t>
            </w:r>
            <w:r>
              <w:rPr>
                <w:rFonts w:hint="eastAsia"/>
                <w:sz w:val="24"/>
                <w:highlight w:val="none"/>
              </w:rPr>
              <w:t>t/a。</w:t>
            </w:r>
          </w:p>
          <w:p w14:paraId="62D91833">
            <w:pPr>
              <w:keepNext w:val="0"/>
              <w:keepLines w:val="0"/>
              <w:suppressLineNumbers w:val="0"/>
              <w:spacing w:before="0" w:beforeAutospacing="0" w:after="0" w:afterAutospacing="0" w:line="360" w:lineRule="auto"/>
              <w:ind w:left="0" w:right="0" w:firstLine="480" w:firstLineChars="200"/>
              <w:jc w:val="left"/>
              <w:rPr>
                <w:rFonts w:hint="eastAsia"/>
                <w:sz w:val="24"/>
                <w:highlight w:val="none"/>
              </w:rPr>
            </w:pPr>
            <w:r>
              <w:rPr>
                <w:rFonts w:hint="eastAsia"/>
                <w:sz w:val="24"/>
                <w:highlight w:val="none"/>
              </w:rPr>
              <w:t>本项目食堂油烟经风机收集引至所在建筑屋顶，经油烟净化器处理后高空排放（DA02</w:t>
            </w:r>
            <w:r>
              <w:rPr>
                <w:rFonts w:hint="eastAsia"/>
                <w:sz w:val="24"/>
                <w:highlight w:val="none"/>
                <w:lang w:val="en-US" w:eastAsia="zh-CN"/>
              </w:rPr>
              <w:t>0</w:t>
            </w:r>
            <w:r>
              <w:rPr>
                <w:rFonts w:hint="eastAsia"/>
                <w:sz w:val="24"/>
                <w:highlight w:val="none"/>
              </w:rPr>
              <w:t>），净化器风机风量约</w:t>
            </w:r>
            <w:r>
              <w:rPr>
                <w:rFonts w:hint="eastAsia"/>
                <w:sz w:val="24"/>
                <w:highlight w:val="none"/>
                <w:lang w:val="en-US" w:eastAsia="zh-CN"/>
              </w:rPr>
              <w:t>14</w:t>
            </w:r>
            <w:r>
              <w:rPr>
                <w:rFonts w:hint="eastAsia"/>
                <w:sz w:val="24"/>
                <w:highlight w:val="none"/>
              </w:rPr>
              <w:t>000m</w:t>
            </w:r>
            <w:r>
              <w:rPr>
                <w:rFonts w:hint="eastAsia"/>
                <w:sz w:val="24"/>
                <w:highlight w:val="none"/>
                <w:vertAlign w:val="superscript"/>
              </w:rPr>
              <w:t>3</w:t>
            </w:r>
            <w:r>
              <w:rPr>
                <w:rFonts w:hint="eastAsia"/>
                <w:sz w:val="24"/>
                <w:highlight w:val="none"/>
              </w:rPr>
              <w:t>/h（设置</w:t>
            </w:r>
            <w:r>
              <w:rPr>
                <w:rFonts w:hint="eastAsia"/>
                <w:sz w:val="24"/>
                <w:highlight w:val="none"/>
                <w:lang w:val="en-US" w:eastAsia="zh-CN"/>
              </w:rPr>
              <w:t>7</w:t>
            </w:r>
            <w:r>
              <w:rPr>
                <w:rFonts w:hint="eastAsia"/>
                <w:sz w:val="24"/>
                <w:highlight w:val="none"/>
              </w:rPr>
              <w:t>个基准灶头，每个基准灶头风量约为2000m</w:t>
            </w:r>
            <w:r>
              <w:rPr>
                <w:rFonts w:hint="eastAsia"/>
                <w:sz w:val="24"/>
                <w:highlight w:val="none"/>
                <w:vertAlign w:val="superscript"/>
              </w:rPr>
              <w:t>3</w:t>
            </w:r>
            <w:r>
              <w:rPr>
                <w:rFonts w:hint="eastAsia"/>
                <w:sz w:val="24"/>
                <w:highlight w:val="none"/>
              </w:rPr>
              <w:t>/h）。排放口位于食堂屋顶，高度约</w:t>
            </w:r>
            <w:r>
              <w:rPr>
                <w:rFonts w:hint="eastAsia"/>
                <w:sz w:val="24"/>
                <w:highlight w:val="none"/>
                <w:lang w:val="en-US" w:eastAsia="zh-CN"/>
              </w:rPr>
              <w:t>25</w:t>
            </w:r>
            <w:r>
              <w:rPr>
                <w:rFonts w:hint="eastAsia"/>
                <w:sz w:val="24"/>
                <w:highlight w:val="none"/>
              </w:rPr>
              <w:t>m，内径为0.</w:t>
            </w:r>
            <w:r>
              <w:rPr>
                <w:rFonts w:hint="eastAsia"/>
                <w:sz w:val="24"/>
                <w:highlight w:val="none"/>
                <w:lang w:val="en-US" w:eastAsia="zh-CN"/>
              </w:rPr>
              <w:t>7</w:t>
            </w:r>
            <w:r>
              <w:rPr>
                <w:rFonts w:hint="eastAsia"/>
                <w:sz w:val="24"/>
                <w:highlight w:val="none"/>
              </w:rPr>
              <w:t>m，处理效率约</w:t>
            </w:r>
            <w:r>
              <w:rPr>
                <w:rFonts w:hint="eastAsia"/>
                <w:sz w:val="24"/>
                <w:highlight w:val="none"/>
                <w:lang w:val="en-US" w:eastAsia="zh-CN"/>
              </w:rPr>
              <w:t>8</w:t>
            </w:r>
            <w:r>
              <w:rPr>
                <w:rFonts w:hint="eastAsia"/>
                <w:sz w:val="24"/>
                <w:highlight w:val="none"/>
              </w:rPr>
              <w:t>5%，食堂日运行时间约3h。综上所述，本项目实施后食堂油烟废气排放情况见下表。</w:t>
            </w:r>
          </w:p>
          <w:p w14:paraId="616A69BF">
            <w:pPr>
              <w:keepNext w:val="0"/>
              <w:keepLines w:val="0"/>
              <w:widowControl/>
              <w:suppressLineNumbers w:val="0"/>
              <w:adjustRightInd w:val="0"/>
              <w:snapToGrid w:val="0"/>
              <w:spacing w:before="0" w:beforeAutospacing="0" w:after="0" w:afterAutospacing="0" w:line="360" w:lineRule="auto"/>
              <w:ind w:left="0" w:right="0"/>
              <w:jc w:val="center"/>
              <w:rPr>
                <w:rFonts w:hint="eastAsia"/>
                <w:b/>
                <w:snapToGrid w:val="0"/>
                <w:sz w:val="24"/>
                <w:szCs w:val="20"/>
                <w:highlight w:val="none"/>
              </w:rPr>
            </w:pPr>
            <w:r>
              <w:rPr>
                <w:rFonts w:hint="eastAsia"/>
                <w:b/>
                <w:snapToGrid w:val="0"/>
                <w:sz w:val="24"/>
                <w:szCs w:val="20"/>
                <w:highlight w:val="none"/>
              </w:rPr>
              <w:t>表7-</w:t>
            </w:r>
            <w:r>
              <w:rPr>
                <w:rFonts w:hint="eastAsia"/>
                <w:b/>
                <w:snapToGrid w:val="0"/>
                <w:sz w:val="24"/>
                <w:szCs w:val="20"/>
                <w:highlight w:val="none"/>
                <w:lang w:val="en-US" w:eastAsia="zh-CN"/>
              </w:rPr>
              <w:t>24</w:t>
            </w:r>
            <w:r>
              <w:rPr>
                <w:rFonts w:hint="eastAsia"/>
                <w:b/>
                <w:snapToGrid w:val="0"/>
                <w:sz w:val="24"/>
                <w:szCs w:val="20"/>
                <w:highlight w:val="none"/>
              </w:rPr>
              <w:t xml:space="preserve"> 食堂油烟废气排放情况汇总表</w:t>
            </w:r>
          </w:p>
          <w:tbl>
            <w:tblPr>
              <w:tblStyle w:val="32"/>
              <w:tblW w:w="4998"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364"/>
              <w:gridCol w:w="1364"/>
              <w:gridCol w:w="1362"/>
              <w:gridCol w:w="1364"/>
              <w:gridCol w:w="1365"/>
              <w:gridCol w:w="1364"/>
            </w:tblGrid>
            <w:tr w14:paraId="47164A9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72" w:hRule="atLeast"/>
              </w:trPr>
              <w:tc>
                <w:tcPr>
                  <w:tcW w:w="833" w:type="pct"/>
                  <w:vMerge w:val="restart"/>
                  <w:noWrap w:val="0"/>
                  <w:vAlign w:val="center"/>
                </w:tcPr>
                <w:p w14:paraId="5E5F31F4">
                  <w:pPr>
                    <w:keepNext w:val="0"/>
                    <w:keepLines w:val="0"/>
                    <w:widowControl/>
                    <w:suppressLineNumbers w:val="0"/>
                    <w:spacing w:before="0" w:beforeAutospacing="0" w:after="0" w:afterAutospacing="0"/>
                    <w:ind w:left="0" w:right="0"/>
                    <w:jc w:val="center"/>
                    <w:rPr>
                      <w:rFonts w:hint="eastAsia"/>
                      <w:sz w:val="21"/>
                      <w:szCs w:val="21"/>
                      <w:highlight w:val="none"/>
                    </w:rPr>
                  </w:pPr>
                  <w:r>
                    <w:rPr>
                      <w:rFonts w:hint="eastAsia" w:ascii="宋体" w:hAnsi="宋体" w:cs="宋体"/>
                      <w:color w:val="000000"/>
                      <w:kern w:val="0"/>
                      <w:sz w:val="21"/>
                      <w:szCs w:val="21"/>
                      <w:highlight w:val="none"/>
                      <w:lang w:bidi="ar"/>
                    </w:rPr>
                    <w:t>污染物</w:t>
                  </w:r>
                </w:p>
              </w:tc>
              <w:tc>
                <w:tcPr>
                  <w:tcW w:w="833" w:type="pct"/>
                  <w:vMerge w:val="restart"/>
                  <w:noWrap w:val="0"/>
                  <w:vAlign w:val="center"/>
                </w:tcPr>
                <w:p w14:paraId="234F88E8">
                  <w:pPr>
                    <w:keepNext w:val="0"/>
                    <w:keepLines w:val="0"/>
                    <w:widowControl/>
                    <w:suppressLineNumbers w:val="0"/>
                    <w:spacing w:before="0" w:beforeAutospacing="0" w:after="0" w:afterAutospacing="0"/>
                    <w:ind w:left="0" w:right="0"/>
                    <w:jc w:val="center"/>
                    <w:rPr>
                      <w:rFonts w:hint="default"/>
                      <w:sz w:val="21"/>
                      <w:szCs w:val="21"/>
                      <w:highlight w:val="none"/>
                    </w:rPr>
                  </w:pPr>
                  <w:r>
                    <w:rPr>
                      <w:rFonts w:hint="eastAsia" w:ascii="宋体" w:hAnsi="宋体" w:cs="宋体"/>
                      <w:color w:val="000000"/>
                      <w:kern w:val="0"/>
                      <w:sz w:val="21"/>
                      <w:szCs w:val="21"/>
                      <w:highlight w:val="none"/>
                      <w:lang w:bidi="ar"/>
                    </w:rPr>
                    <w:t>产生量</w:t>
                  </w:r>
                </w:p>
                <w:p w14:paraId="4282B017">
                  <w:pPr>
                    <w:keepNext w:val="0"/>
                    <w:keepLines w:val="0"/>
                    <w:widowControl/>
                    <w:suppressLineNumbers w:val="0"/>
                    <w:spacing w:before="0" w:beforeAutospacing="0" w:after="0" w:afterAutospacing="0"/>
                    <w:ind w:left="0" w:right="0"/>
                    <w:jc w:val="center"/>
                    <w:rPr>
                      <w:rFonts w:hint="eastAsia"/>
                      <w:sz w:val="21"/>
                      <w:szCs w:val="21"/>
                      <w:highlight w:val="none"/>
                    </w:rPr>
                  </w:pPr>
                  <w:r>
                    <w:rPr>
                      <w:rFonts w:hint="default"/>
                      <w:color w:val="000000"/>
                      <w:kern w:val="0"/>
                      <w:sz w:val="21"/>
                      <w:szCs w:val="21"/>
                      <w:highlight w:val="none"/>
                      <w:lang w:bidi="ar"/>
                    </w:rPr>
                    <w:t>t/a</w:t>
                  </w:r>
                </w:p>
              </w:tc>
              <w:tc>
                <w:tcPr>
                  <w:tcW w:w="2499" w:type="pct"/>
                  <w:gridSpan w:val="3"/>
                  <w:noWrap w:val="0"/>
                  <w:vAlign w:val="center"/>
                </w:tcPr>
                <w:p w14:paraId="1E0C7758">
                  <w:pPr>
                    <w:keepNext w:val="0"/>
                    <w:keepLines w:val="0"/>
                    <w:widowControl/>
                    <w:suppressLineNumbers w:val="0"/>
                    <w:spacing w:before="0" w:beforeAutospacing="0" w:after="0" w:afterAutospacing="0"/>
                    <w:ind w:left="0" w:right="0"/>
                    <w:jc w:val="center"/>
                    <w:rPr>
                      <w:rFonts w:hint="eastAsia"/>
                      <w:sz w:val="21"/>
                      <w:szCs w:val="21"/>
                      <w:highlight w:val="none"/>
                    </w:rPr>
                  </w:pPr>
                  <w:r>
                    <w:rPr>
                      <w:rFonts w:hint="eastAsia" w:ascii="宋体" w:hAnsi="宋体" w:cs="宋体"/>
                      <w:color w:val="000000"/>
                      <w:kern w:val="0"/>
                      <w:sz w:val="21"/>
                      <w:szCs w:val="21"/>
                      <w:highlight w:val="none"/>
                      <w:lang w:bidi="ar"/>
                    </w:rPr>
                    <w:t>有组织</w:t>
                  </w:r>
                </w:p>
              </w:tc>
              <w:tc>
                <w:tcPr>
                  <w:tcW w:w="833" w:type="pct"/>
                  <w:vMerge w:val="restart"/>
                  <w:noWrap w:val="0"/>
                  <w:vAlign w:val="center"/>
                </w:tcPr>
                <w:p w14:paraId="0E9121FA">
                  <w:pPr>
                    <w:keepNext w:val="0"/>
                    <w:keepLines w:val="0"/>
                    <w:widowControl/>
                    <w:suppressLineNumbers w:val="0"/>
                    <w:spacing w:before="0" w:beforeAutospacing="0" w:after="0" w:afterAutospacing="0"/>
                    <w:ind w:left="0" w:right="0"/>
                    <w:jc w:val="center"/>
                    <w:rPr>
                      <w:rFonts w:hint="default"/>
                      <w:sz w:val="21"/>
                      <w:szCs w:val="21"/>
                      <w:highlight w:val="none"/>
                    </w:rPr>
                  </w:pPr>
                  <w:r>
                    <w:rPr>
                      <w:rFonts w:hint="eastAsia" w:ascii="宋体" w:hAnsi="宋体" w:cs="宋体"/>
                      <w:color w:val="000000"/>
                      <w:kern w:val="0"/>
                      <w:sz w:val="21"/>
                      <w:szCs w:val="21"/>
                      <w:highlight w:val="none"/>
                      <w:lang w:bidi="ar"/>
                    </w:rPr>
                    <w:t>合计排放</w:t>
                  </w:r>
                </w:p>
                <w:p w14:paraId="0D99C6AC">
                  <w:pPr>
                    <w:keepNext w:val="0"/>
                    <w:keepLines w:val="0"/>
                    <w:widowControl/>
                    <w:suppressLineNumbers w:val="0"/>
                    <w:spacing w:before="0" w:beforeAutospacing="0" w:after="0" w:afterAutospacing="0"/>
                    <w:ind w:left="0" w:right="0"/>
                    <w:jc w:val="center"/>
                    <w:rPr>
                      <w:rFonts w:hint="eastAsia"/>
                      <w:sz w:val="21"/>
                      <w:szCs w:val="21"/>
                      <w:highlight w:val="none"/>
                    </w:rPr>
                  </w:pPr>
                  <w:r>
                    <w:rPr>
                      <w:rFonts w:hint="eastAsia" w:ascii="宋体" w:hAnsi="宋体" w:cs="宋体"/>
                      <w:color w:val="000000"/>
                      <w:kern w:val="0"/>
                      <w:sz w:val="21"/>
                      <w:szCs w:val="21"/>
                      <w:highlight w:val="none"/>
                      <w:lang w:bidi="ar"/>
                    </w:rPr>
                    <w:t>量</w:t>
                  </w:r>
                  <w:r>
                    <w:rPr>
                      <w:rFonts w:hint="default"/>
                      <w:color w:val="000000"/>
                      <w:kern w:val="0"/>
                      <w:sz w:val="21"/>
                      <w:szCs w:val="21"/>
                      <w:highlight w:val="none"/>
                      <w:lang w:bidi="ar"/>
                    </w:rPr>
                    <w:t>t/a</w:t>
                  </w:r>
                </w:p>
              </w:tc>
            </w:tr>
            <w:tr w14:paraId="71BB3BA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72" w:hRule="atLeast"/>
              </w:trPr>
              <w:tc>
                <w:tcPr>
                  <w:tcW w:w="833" w:type="pct"/>
                  <w:vMerge w:val="continue"/>
                  <w:noWrap w:val="0"/>
                  <w:vAlign w:val="center"/>
                </w:tcPr>
                <w:p w14:paraId="1547AE8C">
                  <w:pPr>
                    <w:keepNext w:val="0"/>
                    <w:keepLines w:val="0"/>
                    <w:suppressLineNumbers w:val="0"/>
                    <w:spacing w:before="0" w:beforeAutospacing="0" w:after="0" w:afterAutospacing="0"/>
                    <w:ind w:left="0" w:right="0"/>
                    <w:jc w:val="center"/>
                    <w:rPr>
                      <w:rFonts w:hint="default"/>
                      <w:sz w:val="21"/>
                      <w:szCs w:val="21"/>
                      <w:highlight w:val="none"/>
                    </w:rPr>
                  </w:pPr>
                </w:p>
              </w:tc>
              <w:tc>
                <w:tcPr>
                  <w:tcW w:w="833" w:type="pct"/>
                  <w:vMerge w:val="continue"/>
                  <w:noWrap w:val="0"/>
                  <w:vAlign w:val="center"/>
                </w:tcPr>
                <w:p w14:paraId="122BFAC9">
                  <w:pPr>
                    <w:keepNext w:val="0"/>
                    <w:keepLines w:val="0"/>
                    <w:suppressLineNumbers w:val="0"/>
                    <w:spacing w:before="0" w:beforeAutospacing="0" w:after="0" w:afterAutospacing="0"/>
                    <w:ind w:left="0" w:right="0"/>
                    <w:jc w:val="center"/>
                    <w:rPr>
                      <w:rFonts w:hint="default"/>
                      <w:sz w:val="21"/>
                      <w:szCs w:val="21"/>
                      <w:highlight w:val="none"/>
                    </w:rPr>
                  </w:pPr>
                </w:p>
              </w:tc>
              <w:tc>
                <w:tcPr>
                  <w:tcW w:w="832" w:type="pct"/>
                  <w:noWrap w:val="0"/>
                  <w:vAlign w:val="center"/>
                </w:tcPr>
                <w:p w14:paraId="4D464152">
                  <w:pPr>
                    <w:keepNext w:val="0"/>
                    <w:keepLines w:val="0"/>
                    <w:widowControl/>
                    <w:suppressLineNumbers w:val="0"/>
                    <w:spacing w:before="0" w:beforeAutospacing="0" w:after="0" w:afterAutospacing="0"/>
                    <w:ind w:left="0" w:right="0"/>
                    <w:jc w:val="center"/>
                    <w:rPr>
                      <w:rFonts w:hint="eastAsia"/>
                      <w:sz w:val="21"/>
                      <w:szCs w:val="21"/>
                      <w:highlight w:val="none"/>
                    </w:rPr>
                  </w:pPr>
                  <w:r>
                    <w:rPr>
                      <w:rFonts w:hint="eastAsia" w:ascii="宋体" w:hAnsi="宋体" w:cs="宋体"/>
                      <w:color w:val="000000"/>
                      <w:kern w:val="0"/>
                      <w:sz w:val="21"/>
                      <w:szCs w:val="21"/>
                      <w:highlight w:val="none"/>
                      <w:lang w:bidi="ar"/>
                    </w:rPr>
                    <w:t>排放量</w:t>
                  </w:r>
                  <w:r>
                    <w:rPr>
                      <w:rFonts w:hint="default"/>
                      <w:color w:val="000000"/>
                      <w:kern w:val="0"/>
                      <w:sz w:val="21"/>
                      <w:szCs w:val="21"/>
                      <w:highlight w:val="none"/>
                      <w:lang w:bidi="ar"/>
                    </w:rPr>
                    <w:t>t/a</w:t>
                  </w:r>
                </w:p>
              </w:tc>
              <w:tc>
                <w:tcPr>
                  <w:tcW w:w="833" w:type="pct"/>
                  <w:noWrap w:val="0"/>
                  <w:vAlign w:val="center"/>
                </w:tcPr>
                <w:p w14:paraId="56B894CA">
                  <w:pPr>
                    <w:keepNext w:val="0"/>
                    <w:keepLines w:val="0"/>
                    <w:widowControl/>
                    <w:suppressLineNumbers w:val="0"/>
                    <w:spacing w:before="0" w:beforeAutospacing="0" w:after="0" w:afterAutospacing="0"/>
                    <w:ind w:left="0" w:right="0"/>
                    <w:jc w:val="center"/>
                    <w:rPr>
                      <w:rFonts w:hint="default"/>
                      <w:sz w:val="21"/>
                      <w:szCs w:val="21"/>
                      <w:highlight w:val="none"/>
                    </w:rPr>
                  </w:pPr>
                  <w:r>
                    <w:rPr>
                      <w:rFonts w:hint="eastAsia" w:ascii="宋体" w:hAnsi="宋体" w:cs="宋体"/>
                      <w:color w:val="000000"/>
                      <w:kern w:val="0"/>
                      <w:sz w:val="21"/>
                      <w:szCs w:val="21"/>
                      <w:highlight w:val="none"/>
                      <w:lang w:bidi="ar"/>
                    </w:rPr>
                    <w:t>排放速率</w:t>
                  </w:r>
                </w:p>
                <w:p w14:paraId="62D93DFB">
                  <w:pPr>
                    <w:keepNext w:val="0"/>
                    <w:keepLines w:val="0"/>
                    <w:widowControl/>
                    <w:suppressLineNumbers w:val="0"/>
                    <w:spacing w:before="0" w:beforeAutospacing="0" w:after="0" w:afterAutospacing="0"/>
                    <w:ind w:left="0" w:right="0"/>
                    <w:jc w:val="center"/>
                    <w:rPr>
                      <w:rFonts w:hint="eastAsia"/>
                      <w:sz w:val="21"/>
                      <w:szCs w:val="21"/>
                      <w:highlight w:val="none"/>
                    </w:rPr>
                  </w:pPr>
                  <w:r>
                    <w:rPr>
                      <w:rFonts w:hint="default"/>
                      <w:color w:val="000000"/>
                      <w:kern w:val="0"/>
                      <w:sz w:val="21"/>
                      <w:szCs w:val="21"/>
                      <w:highlight w:val="none"/>
                      <w:lang w:bidi="ar"/>
                    </w:rPr>
                    <w:t>kg/h</w:t>
                  </w:r>
                </w:p>
              </w:tc>
              <w:tc>
                <w:tcPr>
                  <w:tcW w:w="833" w:type="pct"/>
                  <w:noWrap w:val="0"/>
                  <w:vAlign w:val="center"/>
                </w:tcPr>
                <w:p w14:paraId="34CB96EF">
                  <w:pPr>
                    <w:keepNext w:val="0"/>
                    <w:keepLines w:val="0"/>
                    <w:widowControl/>
                    <w:suppressLineNumbers w:val="0"/>
                    <w:spacing w:before="0" w:beforeAutospacing="0" w:after="0" w:afterAutospacing="0"/>
                    <w:ind w:left="0" w:right="0"/>
                    <w:jc w:val="center"/>
                    <w:rPr>
                      <w:rFonts w:hint="default"/>
                      <w:sz w:val="21"/>
                      <w:szCs w:val="21"/>
                      <w:highlight w:val="none"/>
                    </w:rPr>
                  </w:pPr>
                  <w:r>
                    <w:rPr>
                      <w:rFonts w:hint="eastAsia" w:ascii="宋体" w:hAnsi="宋体" w:cs="宋体"/>
                      <w:color w:val="000000"/>
                      <w:kern w:val="0"/>
                      <w:sz w:val="21"/>
                      <w:szCs w:val="21"/>
                      <w:highlight w:val="none"/>
                      <w:lang w:bidi="ar"/>
                    </w:rPr>
                    <w:t xml:space="preserve">排放浓度 </w:t>
                  </w:r>
                  <w:r>
                    <w:rPr>
                      <w:rFonts w:hint="default"/>
                      <w:color w:val="000000"/>
                      <w:kern w:val="0"/>
                      <w:sz w:val="21"/>
                      <w:szCs w:val="21"/>
                      <w:highlight w:val="none"/>
                      <w:lang w:bidi="ar"/>
                    </w:rPr>
                    <w:t>mg/m</w:t>
                  </w:r>
                  <w:r>
                    <w:rPr>
                      <w:rFonts w:hint="eastAsia"/>
                      <w:color w:val="000000"/>
                      <w:kern w:val="0"/>
                      <w:sz w:val="21"/>
                      <w:szCs w:val="21"/>
                      <w:highlight w:val="none"/>
                      <w:vertAlign w:val="superscript"/>
                      <w:lang w:bidi="ar"/>
                    </w:rPr>
                    <w:t>3</w:t>
                  </w:r>
                </w:p>
              </w:tc>
              <w:tc>
                <w:tcPr>
                  <w:tcW w:w="833" w:type="pct"/>
                  <w:vMerge w:val="continue"/>
                  <w:noWrap w:val="0"/>
                  <w:vAlign w:val="center"/>
                </w:tcPr>
                <w:p w14:paraId="1249DA81">
                  <w:pPr>
                    <w:keepNext w:val="0"/>
                    <w:keepLines w:val="0"/>
                    <w:suppressLineNumbers w:val="0"/>
                    <w:spacing w:before="0" w:beforeAutospacing="0" w:after="0" w:afterAutospacing="0"/>
                    <w:ind w:left="0" w:right="0"/>
                    <w:jc w:val="center"/>
                    <w:rPr>
                      <w:rFonts w:hint="eastAsia"/>
                      <w:sz w:val="21"/>
                      <w:szCs w:val="21"/>
                      <w:highlight w:val="none"/>
                    </w:rPr>
                  </w:pPr>
                </w:p>
              </w:tc>
            </w:tr>
            <w:tr w14:paraId="51BF263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33" w:type="pct"/>
                  <w:noWrap w:val="0"/>
                  <w:vAlign w:val="center"/>
                </w:tcPr>
                <w:p w14:paraId="48217243">
                  <w:pPr>
                    <w:keepNext w:val="0"/>
                    <w:keepLines w:val="0"/>
                    <w:widowControl/>
                    <w:suppressLineNumbers w:val="0"/>
                    <w:spacing w:before="0" w:beforeAutospacing="0" w:after="0" w:afterAutospacing="0"/>
                    <w:ind w:left="0" w:right="0"/>
                    <w:jc w:val="center"/>
                    <w:rPr>
                      <w:rFonts w:hint="eastAsia"/>
                      <w:sz w:val="21"/>
                      <w:szCs w:val="21"/>
                      <w:highlight w:val="none"/>
                    </w:rPr>
                  </w:pPr>
                  <w:r>
                    <w:rPr>
                      <w:rFonts w:hint="eastAsia" w:ascii="宋体" w:hAnsi="宋体" w:cs="宋体"/>
                      <w:color w:val="000000"/>
                      <w:kern w:val="0"/>
                      <w:sz w:val="21"/>
                      <w:szCs w:val="21"/>
                      <w:highlight w:val="none"/>
                      <w:lang w:bidi="ar"/>
                    </w:rPr>
                    <w:t>食堂油烟</w:t>
                  </w:r>
                </w:p>
              </w:tc>
              <w:tc>
                <w:tcPr>
                  <w:tcW w:w="833" w:type="pct"/>
                  <w:noWrap w:val="0"/>
                  <w:vAlign w:val="center"/>
                </w:tcPr>
                <w:p w14:paraId="7D9BFAA8">
                  <w:pPr>
                    <w:keepNext w:val="0"/>
                    <w:keepLines w:val="0"/>
                    <w:suppressLineNumbers w:val="0"/>
                    <w:spacing w:before="0" w:beforeAutospacing="0" w:after="0" w:afterAutospacing="0"/>
                    <w:ind w:left="0" w:right="0"/>
                    <w:jc w:val="center"/>
                    <w:rPr>
                      <w:rFonts w:hint="default" w:eastAsia="宋体"/>
                      <w:sz w:val="21"/>
                      <w:szCs w:val="21"/>
                      <w:highlight w:val="none"/>
                      <w:lang w:val="en-US" w:eastAsia="zh-CN"/>
                    </w:rPr>
                  </w:pPr>
                  <w:r>
                    <w:rPr>
                      <w:rFonts w:hint="eastAsia"/>
                      <w:sz w:val="21"/>
                      <w:szCs w:val="21"/>
                      <w:highlight w:val="none"/>
                    </w:rPr>
                    <w:t>0.0</w:t>
                  </w:r>
                  <w:r>
                    <w:rPr>
                      <w:rFonts w:hint="eastAsia"/>
                      <w:sz w:val="21"/>
                      <w:szCs w:val="21"/>
                      <w:highlight w:val="none"/>
                      <w:lang w:val="en-US" w:eastAsia="zh-CN"/>
                    </w:rPr>
                    <w:t>55</w:t>
                  </w:r>
                </w:p>
              </w:tc>
              <w:tc>
                <w:tcPr>
                  <w:tcW w:w="832" w:type="pct"/>
                  <w:noWrap w:val="0"/>
                  <w:vAlign w:val="center"/>
                </w:tcPr>
                <w:p w14:paraId="36EB00B9">
                  <w:pPr>
                    <w:keepNext w:val="0"/>
                    <w:keepLines w:val="0"/>
                    <w:suppressLineNumbers w:val="0"/>
                    <w:spacing w:before="0" w:beforeAutospacing="0" w:after="0" w:afterAutospacing="0"/>
                    <w:ind w:left="0" w:right="0"/>
                    <w:jc w:val="center"/>
                    <w:rPr>
                      <w:rFonts w:hint="eastAsia" w:eastAsia="宋体"/>
                      <w:sz w:val="21"/>
                      <w:szCs w:val="21"/>
                      <w:highlight w:val="none"/>
                      <w:lang w:val="en-US" w:eastAsia="zh-CN"/>
                    </w:rPr>
                  </w:pPr>
                  <w:r>
                    <w:rPr>
                      <w:rFonts w:hint="eastAsia"/>
                      <w:sz w:val="21"/>
                      <w:szCs w:val="21"/>
                      <w:highlight w:val="none"/>
                    </w:rPr>
                    <w:t>0.00</w:t>
                  </w:r>
                  <w:r>
                    <w:rPr>
                      <w:rFonts w:hint="eastAsia"/>
                      <w:sz w:val="21"/>
                      <w:szCs w:val="21"/>
                      <w:highlight w:val="none"/>
                      <w:lang w:val="en-US" w:eastAsia="zh-CN"/>
                    </w:rPr>
                    <w:t>8</w:t>
                  </w:r>
                </w:p>
              </w:tc>
              <w:tc>
                <w:tcPr>
                  <w:tcW w:w="833" w:type="pct"/>
                  <w:noWrap w:val="0"/>
                  <w:vAlign w:val="center"/>
                </w:tcPr>
                <w:p w14:paraId="5B58F623">
                  <w:pPr>
                    <w:keepNext w:val="0"/>
                    <w:keepLines w:val="0"/>
                    <w:suppressLineNumbers w:val="0"/>
                    <w:spacing w:before="0" w:beforeAutospacing="0" w:after="0" w:afterAutospacing="0"/>
                    <w:ind w:left="0" w:right="0"/>
                    <w:jc w:val="center"/>
                    <w:rPr>
                      <w:rFonts w:hint="default" w:eastAsia="宋体"/>
                      <w:sz w:val="21"/>
                      <w:szCs w:val="21"/>
                      <w:highlight w:val="none"/>
                      <w:lang w:val="en-US" w:eastAsia="zh-CN"/>
                    </w:rPr>
                  </w:pPr>
                  <w:r>
                    <w:rPr>
                      <w:rFonts w:hint="eastAsia"/>
                      <w:sz w:val="21"/>
                      <w:szCs w:val="21"/>
                      <w:highlight w:val="none"/>
                      <w:lang w:val="en-US" w:eastAsia="zh-CN"/>
                    </w:rPr>
                    <w:t>0.010</w:t>
                  </w:r>
                </w:p>
              </w:tc>
              <w:tc>
                <w:tcPr>
                  <w:tcW w:w="833" w:type="pct"/>
                  <w:noWrap w:val="0"/>
                  <w:vAlign w:val="center"/>
                </w:tcPr>
                <w:p w14:paraId="45F93DD2">
                  <w:pPr>
                    <w:keepNext w:val="0"/>
                    <w:keepLines w:val="0"/>
                    <w:suppressLineNumbers w:val="0"/>
                    <w:spacing w:before="0" w:beforeAutospacing="0" w:after="0" w:afterAutospacing="0"/>
                    <w:ind w:left="0" w:right="0"/>
                    <w:jc w:val="center"/>
                    <w:rPr>
                      <w:rFonts w:hint="default" w:eastAsia="宋体"/>
                      <w:sz w:val="21"/>
                      <w:szCs w:val="21"/>
                      <w:highlight w:val="none"/>
                      <w:lang w:val="en-US" w:eastAsia="zh-CN"/>
                    </w:rPr>
                  </w:pPr>
                  <w:r>
                    <w:rPr>
                      <w:rFonts w:hint="eastAsia"/>
                      <w:sz w:val="21"/>
                      <w:szCs w:val="21"/>
                      <w:highlight w:val="none"/>
                      <w:lang w:val="en-US" w:eastAsia="zh-CN"/>
                    </w:rPr>
                    <w:t>0.71</w:t>
                  </w:r>
                </w:p>
              </w:tc>
              <w:tc>
                <w:tcPr>
                  <w:tcW w:w="833" w:type="pct"/>
                  <w:noWrap w:val="0"/>
                  <w:vAlign w:val="center"/>
                </w:tcPr>
                <w:p w14:paraId="4FE3EEDD">
                  <w:pPr>
                    <w:keepNext w:val="0"/>
                    <w:keepLines w:val="0"/>
                    <w:suppressLineNumbers w:val="0"/>
                    <w:spacing w:before="0" w:beforeAutospacing="0" w:after="0" w:afterAutospacing="0"/>
                    <w:ind w:left="0" w:right="0"/>
                    <w:jc w:val="center"/>
                    <w:rPr>
                      <w:rFonts w:hint="default"/>
                      <w:sz w:val="21"/>
                      <w:szCs w:val="21"/>
                      <w:highlight w:val="none"/>
                    </w:rPr>
                  </w:pPr>
                  <w:r>
                    <w:rPr>
                      <w:rFonts w:hint="eastAsia"/>
                      <w:sz w:val="21"/>
                      <w:szCs w:val="21"/>
                      <w:highlight w:val="none"/>
                    </w:rPr>
                    <w:t>0.00</w:t>
                  </w:r>
                  <w:r>
                    <w:rPr>
                      <w:rFonts w:hint="eastAsia"/>
                      <w:sz w:val="21"/>
                      <w:szCs w:val="21"/>
                      <w:highlight w:val="none"/>
                      <w:lang w:val="en-US" w:eastAsia="zh-CN"/>
                    </w:rPr>
                    <w:t>8</w:t>
                  </w:r>
                </w:p>
              </w:tc>
            </w:tr>
          </w:tbl>
          <w:p w14:paraId="7548B95B">
            <w:pPr>
              <w:keepNext w:val="0"/>
              <w:keepLines w:val="0"/>
              <w:suppressLineNumbers w:val="0"/>
              <w:overflowPunct w:val="0"/>
              <w:adjustRightInd w:val="0"/>
              <w:snapToGrid w:val="0"/>
              <w:spacing w:before="0" w:beforeAutospacing="0" w:after="0" w:afterAutospacing="0" w:line="360" w:lineRule="auto"/>
              <w:ind w:left="0" w:right="0" w:firstLine="482" w:firstLineChars="200"/>
              <w:rPr>
                <w:rFonts w:hint="eastAsia" w:ascii="Times New Roman" w:hAnsi="Times New Roman" w:eastAsia="宋体" w:cs="Times New Roman"/>
                <w:b/>
                <w:kern w:val="0"/>
                <w:sz w:val="24"/>
                <w:highlight w:val="none"/>
                <w:lang w:eastAsia="zh-CN"/>
              </w:rPr>
            </w:pPr>
            <w:r>
              <w:rPr>
                <w:rFonts w:hint="eastAsia" w:cs="Times New Roman"/>
                <w:b/>
                <w:kern w:val="0"/>
                <w:sz w:val="24"/>
                <w:highlight w:val="none"/>
                <w:lang w:val="en-US" w:eastAsia="zh-CN"/>
              </w:rPr>
              <w:t>6、</w:t>
            </w:r>
            <w:r>
              <w:rPr>
                <w:rFonts w:hint="eastAsia" w:cs="Times New Roman"/>
                <w:b/>
                <w:kern w:val="0"/>
                <w:sz w:val="24"/>
                <w:highlight w:val="none"/>
                <w:lang w:eastAsia="zh-CN"/>
              </w:rPr>
              <w:t>废气防治措施可行性分析</w:t>
            </w:r>
          </w:p>
          <w:p w14:paraId="7B8F43FB">
            <w:pPr>
              <w:keepNext w:val="0"/>
              <w:keepLines w:val="0"/>
              <w:widowControl w:val="0"/>
              <w:suppressLineNumbers w:val="0"/>
              <w:overflowPunct w:val="0"/>
              <w:adjustRightInd w:val="0"/>
              <w:snapToGrid w:val="0"/>
              <w:spacing w:before="0" w:beforeAutospacing="0" w:after="0" w:afterAutospacing="0" w:line="360" w:lineRule="auto"/>
              <w:ind w:left="0" w:right="0" w:firstLine="482" w:firstLineChars="200"/>
              <w:jc w:val="both"/>
              <w:rPr>
                <w:rFonts w:hint="eastAsia" w:ascii="Times New Roman" w:hAnsi="Times New Roman" w:eastAsia="宋体" w:cs="Times New Roman"/>
                <w:b/>
                <w:bCs/>
                <w:kern w:val="2"/>
                <w:sz w:val="24"/>
                <w:szCs w:val="24"/>
                <w:highlight w:val="none"/>
                <w:shd w:val="clear" w:color="auto" w:fill="FFFFFF"/>
                <w:lang w:val="en-US" w:eastAsia="zh-CN" w:bidi="ar"/>
              </w:rPr>
            </w:pPr>
            <w:r>
              <w:rPr>
                <w:rFonts w:hint="default" w:ascii="Times New Roman" w:hAnsi="Times New Roman" w:eastAsia="宋体" w:cs="Times New Roman"/>
                <w:b/>
                <w:bCs w:val="0"/>
                <w:kern w:val="0"/>
                <w:sz w:val="24"/>
                <w:szCs w:val="24"/>
                <w:highlight w:val="none"/>
                <w:lang w:val="en-US" w:eastAsia="zh-CN" w:bidi="ar-SA"/>
              </w:rPr>
              <w:t>①</w:t>
            </w:r>
            <w:r>
              <w:rPr>
                <w:rFonts w:hint="eastAsia" w:ascii="Times New Roman" w:hAnsi="Times New Roman" w:eastAsia="宋体" w:cs="Times New Roman"/>
                <w:b/>
                <w:bCs/>
                <w:kern w:val="2"/>
                <w:sz w:val="24"/>
                <w:szCs w:val="24"/>
                <w:highlight w:val="none"/>
                <w:shd w:val="clear" w:color="auto" w:fill="FFFFFF"/>
                <w:lang w:val="en-US" w:eastAsia="zh-CN" w:bidi="ar"/>
              </w:rPr>
              <w:t>溶液空调自带喷淋除臭装置：</w:t>
            </w:r>
          </w:p>
          <w:p w14:paraId="6AE81F39">
            <w:pPr>
              <w:keepNext w:val="0"/>
              <w:keepLines w:val="0"/>
              <w:widowControl w:val="0"/>
              <w:suppressLineNumbers w:val="0"/>
              <w:overflowPunct w:val="0"/>
              <w:adjustRightInd w:val="0"/>
              <w:snapToGrid w:val="0"/>
              <w:spacing w:before="0" w:beforeAutospacing="0" w:after="0" w:afterAutospacing="0" w:line="360" w:lineRule="auto"/>
              <w:ind w:left="0" w:right="0" w:firstLine="480" w:firstLineChars="200"/>
              <w:jc w:val="both"/>
              <w:rPr>
                <w:rFonts w:hint="default" w:ascii="Times New Roman" w:hAnsi="Times New Roman" w:eastAsia="宋体" w:cs="Times New Roman"/>
                <w:b w:val="0"/>
                <w:bCs w:val="0"/>
                <w:kern w:val="2"/>
                <w:sz w:val="24"/>
                <w:szCs w:val="24"/>
                <w:highlight w:val="none"/>
                <w:shd w:val="clear" w:color="auto" w:fill="FFFFFF"/>
                <w:lang w:val="en-US" w:eastAsia="zh-CN" w:bidi="ar"/>
              </w:rPr>
            </w:pPr>
            <w:r>
              <w:rPr>
                <w:rFonts w:hint="eastAsia" w:ascii="Times New Roman" w:hAnsi="Times New Roman" w:eastAsia="宋体" w:cs="Times New Roman"/>
                <w:b w:val="0"/>
                <w:bCs w:val="0"/>
                <w:kern w:val="2"/>
                <w:sz w:val="24"/>
                <w:szCs w:val="24"/>
                <w:highlight w:val="none"/>
                <w:shd w:val="clear" w:color="auto" w:fill="FFFFFF"/>
                <w:lang w:val="en-US" w:eastAsia="zh-CN" w:bidi="ar"/>
              </w:rPr>
              <w:t>除臭原理，过滤：去除废气中的大颗粒污染物；喷淋吸收：促使废气中的可悬浮颗粒物以及可溶于水的空气污染物等由气相转入液相</w:t>
            </w:r>
            <w:r>
              <w:rPr>
                <w:rFonts w:hint="eastAsia" w:cs="Times New Roman"/>
                <w:b w:val="0"/>
                <w:bCs w:val="0"/>
                <w:kern w:val="2"/>
                <w:sz w:val="24"/>
                <w:szCs w:val="24"/>
                <w:highlight w:val="none"/>
                <w:shd w:val="clear" w:color="auto" w:fill="FFFFFF"/>
                <w:lang w:val="en-US" w:eastAsia="zh-CN" w:bidi="ar"/>
              </w:rPr>
              <w:t>，本项目使用的喷淋吸收液主要为苛性钠、次氯酸钠。</w:t>
            </w:r>
          </w:p>
          <w:p w14:paraId="5FB510A0">
            <w:pPr>
              <w:keepNext w:val="0"/>
              <w:keepLines w:val="0"/>
              <w:widowControl w:val="0"/>
              <w:suppressLineNumbers w:val="0"/>
              <w:overflowPunct w:val="0"/>
              <w:adjustRightInd w:val="0"/>
              <w:snapToGrid w:val="0"/>
              <w:spacing w:before="0" w:beforeAutospacing="0" w:after="0" w:afterAutospacing="0" w:line="360" w:lineRule="auto"/>
              <w:ind w:left="0" w:right="0" w:firstLine="420" w:firstLineChars="200"/>
              <w:jc w:val="center"/>
              <w:rPr>
                <w:rFonts w:hint="eastAsia" w:ascii="Times New Roman" w:hAnsi="Times New Roman" w:eastAsia="宋体" w:cs="Times New Roman"/>
                <w:b/>
                <w:bCs/>
                <w:kern w:val="2"/>
                <w:sz w:val="24"/>
                <w:szCs w:val="24"/>
                <w:highlight w:val="none"/>
                <w:shd w:val="clear" w:color="auto" w:fill="FFFFFF"/>
                <w:lang w:val="en-US" w:eastAsia="zh-CN" w:bidi="ar"/>
              </w:rPr>
            </w:pPr>
            <w:r>
              <w:rPr>
                <w:rFonts w:hint="eastAsia" w:asciiTheme="minorEastAsia" w:hAnsiTheme="minorEastAsia" w:eastAsiaTheme="minorEastAsia" w:cstheme="minorEastAsia"/>
                <w:sz w:val="21"/>
                <w:szCs w:val="21"/>
                <w:highlight w:val="none"/>
              </w:rPr>
              <w:object>
                <v:shape id="_x0000_i1030" o:spt="75" type="#_x0000_t75" style="height:191.15pt;width:220.85pt;" o:ole="t" filled="f" o:preferrelative="t" stroked="f" coordsize="21600,21600">
                  <v:path/>
                  <v:fill on="f" focussize="0,0"/>
                  <v:stroke on="f" joinstyle="miter"/>
                  <v:imagedata r:id="rId49" o:title=""/>
                  <o:lock v:ext="edit" aspectratio="t"/>
                  <w10:wrap type="none"/>
                  <w10:anchorlock/>
                </v:shape>
                <o:OLEObject Type="Embed" ProgID="Visio.Drawing.11" ShapeID="_x0000_i1030" DrawAspect="Content" ObjectID="_1468075730" r:id="rId48">
                  <o:LockedField>false</o:LockedField>
                </o:OLEObject>
              </w:object>
            </w:r>
          </w:p>
          <w:p w14:paraId="7707DFE9">
            <w:pPr>
              <w:keepNext w:val="0"/>
              <w:keepLines w:val="0"/>
              <w:suppressLineNumbers w:val="0"/>
              <w:overflowPunct w:val="0"/>
              <w:adjustRightInd w:val="0"/>
              <w:snapToGrid w:val="0"/>
              <w:spacing w:before="0" w:beforeAutospacing="0" w:after="0" w:afterAutospacing="0" w:line="360" w:lineRule="auto"/>
              <w:ind w:left="0" w:right="0" w:firstLine="480" w:firstLineChars="200"/>
              <w:rPr>
                <w:rFonts w:hint="eastAsia" w:ascii="Times New Roman" w:hAnsi="Times New Roman" w:eastAsia="宋体" w:cs="Times New Roman"/>
                <w:kern w:val="2"/>
                <w:sz w:val="24"/>
                <w:szCs w:val="24"/>
                <w:highlight w:val="none"/>
                <w:shd w:val="clear" w:color="auto" w:fill="FFFFFF"/>
                <w:lang w:val="en-US" w:eastAsia="zh-CN" w:bidi="ar"/>
              </w:rPr>
            </w:pPr>
            <w:r>
              <w:rPr>
                <w:rFonts w:hint="eastAsia" w:ascii="Times New Roman" w:hAnsi="Times New Roman" w:eastAsia="宋体" w:cs="Times New Roman"/>
                <w:kern w:val="2"/>
                <w:sz w:val="24"/>
                <w:szCs w:val="24"/>
                <w:highlight w:val="none"/>
                <w:shd w:val="clear" w:color="auto" w:fill="FFFFFF"/>
                <w:lang w:val="en-US" w:eastAsia="zh-CN" w:bidi="ar"/>
              </w:rPr>
              <w:t>喷淋采用专利复合填料（ZL 201020299383.4），由亲水材料与塑料基材热压复合而成，架构强度高，使用寿命长。填料表面采用特制亲水材质，具有良好的浸润性，吸收液在填料表面均匀分布，吸收液与废气接触更充分，吸收效率高。</w:t>
            </w:r>
          </w:p>
          <w:p w14:paraId="527E0CEE">
            <w:pPr>
              <w:keepNext w:val="0"/>
              <w:keepLines w:val="0"/>
              <w:suppressLineNumbers w:val="0"/>
              <w:overflowPunct w:val="0"/>
              <w:adjustRightInd w:val="0"/>
              <w:snapToGrid w:val="0"/>
              <w:spacing w:before="0" w:beforeAutospacing="0" w:after="0" w:afterAutospacing="0" w:line="360" w:lineRule="auto"/>
              <w:ind w:left="0" w:right="0" w:firstLine="480" w:firstLineChars="200"/>
              <w:rPr>
                <w:rFonts w:hint="eastAsia" w:ascii="Times New Roman" w:hAnsi="Times New Roman" w:eastAsia="宋体" w:cs="Times New Roman"/>
                <w:kern w:val="2"/>
                <w:sz w:val="24"/>
                <w:szCs w:val="24"/>
                <w:highlight w:val="none"/>
                <w:shd w:val="clear" w:color="auto" w:fill="FFFFFF"/>
                <w:lang w:val="en-US" w:eastAsia="zh-CN" w:bidi="ar"/>
              </w:rPr>
            </w:pPr>
            <w:r>
              <w:rPr>
                <w:rFonts w:hint="eastAsia" w:ascii="Times New Roman" w:hAnsi="Times New Roman" w:eastAsia="宋体" w:cs="Times New Roman"/>
                <w:kern w:val="2"/>
                <w:sz w:val="24"/>
                <w:szCs w:val="24"/>
                <w:highlight w:val="none"/>
                <w:shd w:val="clear" w:color="auto" w:fill="FFFFFF"/>
                <w:lang w:val="en-US" w:eastAsia="zh-CN" w:bidi="ar"/>
              </w:rPr>
              <w:t>喷淋到填料上，与空气进行热质交换的填料，浸润性能非常好，在填料上面以液膜的形式流动，加大吸收面积，增强吸收效果。</w:t>
            </w:r>
          </w:p>
          <w:p w14:paraId="0A715EE7">
            <w:pPr>
              <w:keepNext w:val="0"/>
              <w:keepLines w:val="0"/>
              <w:suppressLineNumbers w:val="0"/>
              <w:overflowPunct w:val="0"/>
              <w:adjustRightInd w:val="0"/>
              <w:snapToGrid w:val="0"/>
              <w:spacing w:before="0" w:beforeAutospacing="0" w:after="0" w:afterAutospacing="0" w:line="360" w:lineRule="auto"/>
              <w:ind w:left="0" w:right="0" w:firstLine="480" w:firstLineChars="200"/>
              <w:rPr>
                <w:rFonts w:hint="eastAsia" w:ascii="Times New Roman" w:hAnsi="Times New Roman" w:eastAsia="宋体" w:cs="Times New Roman"/>
                <w:kern w:val="2"/>
                <w:sz w:val="24"/>
                <w:szCs w:val="24"/>
                <w:highlight w:val="none"/>
                <w:shd w:val="clear" w:color="auto" w:fill="FFFFFF"/>
                <w:lang w:val="en-US" w:eastAsia="zh-CN" w:bidi="ar"/>
              </w:rPr>
            </w:pPr>
            <w:r>
              <w:rPr>
                <w:rFonts w:hint="eastAsia" w:ascii="Times New Roman" w:hAnsi="Times New Roman" w:eastAsia="宋体" w:cs="Times New Roman"/>
                <w:kern w:val="2"/>
                <w:sz w:val="24"/>
                <w:szCs w:val="24"/>
                <w:highlight w:val="none"/>
                <w:shd w:val="clear" w:color="auto" w:fill="FFFFFF"/>
                <w:lang w:val="en-US" w:eastAsia="zh-CN" w:bidi="ar"/>
              </w:rPr>
              <w:t>通过风机增加气流扰动，使废气与向下散布雾化喷淋液充分交融，废气中的可悬浮颗粒物以及可溶于水的空气污染物等由气相转入液相。废气穿过填料的速度&lt;2m/s，延长气液接触时间，增强吸收效果。</w:t>
            </w:r>
          </w:p>
          <w:p w14:paraId="5882DADB">
            <w:pPr>
              <w:keepNext w:val="0"/>
              <w:keepLines w:val="0"/>
              <w:suppressLineNumbers w:val="0"/>
              <w:overflowPunct w:val="0"/>
              <w:adjustRightInd w:val="0"/>
              <w:snapToGrid w:val="0"/>
              <w:spacing w:before="0" w:beforeAutospacing="0" w:after="0" w:afterAutospacing="0" w:line="360" w:lineRule="auto"/>
              <w:ind w:left="0" w:right="0" w:firstLine="480" w:firstLineChars="200"/>
              <w:rPr>
                <w:rFonts w:hint="eastAsia" w:ascii="Times New Roman" w:hAnsi="Times New Roman" w:eastAsia="宋体" w:cs="Times New Roman"/>
                <w:b/>
                <w:kern w:val="0"/>
                <w:sz w:val="24"/>
                <w:highlight w:val="none"/>
              </w:rPr>
            </w:pPr>
            <w:r>
              <w:rPr>
                <w:rFonts w:hint="eastAsia" w:ascii="Times New Roman" w:hAnsi="Times New Roman" w:eastAsia="宋体" w:cs="Times New Roman"/>
                <w:kern w:val="2"/>
                <w:sz w:val="24"/>
                <w:szCs w:val="24"/>
                <w:highlight w:val="none"/>
                <w:shd w:val="clear" w:color="auto" w:fill="FFFFFF"/>
                <w:lang w:val="en-US" w:eastAsia="zh-CN" w:bidi="ar"/>
              </w:rPr>
              <w:t>废气进入喷淋段后，喷淋在填料表面充分进行吸收反应，空气中的氨气以NH</w:t>
            </w:r>
            <w:r>
              <w:rPr>
                <w:rFonts w:hint="eastAsia" w:ascii="Times New Roman" w:hAnsi="Times New Roman" w:eastAsia="宋体" w:cs="Times New Roman"/>
                <w:kern w:val="2"/>
                <w:sz w:val="24"/>
                <w:szCs w:val="24"/>
                <w:highlight w:val="none"/>
                <w:shd w:val="clear" w:color="auto" w:fill="FFFFFF"/>
                <w:vertAlign w:val="subscript"/>
                <w:lang w:val="en-US" w:eastAsia="zh-CN" w:bidi="ar"/>
              </w:rPr>
              <w:t>4</w:t>
            </w:r>
            <w:r>
              <w:rPr>
                <w:rFonts w:hint="eastAsia" w:ascii="Times New Roman" w:hAnsi="Times New Roman" w:eastAsia="宋体" w:cs="Times New Roman"/>
                <w:kern w:val="2"/>
                <w:sz w:val="24"/>
                <w:szCs w:val="24"/>
                <w:highlight w:val="none"/>
                <w:shd w:val="clear" w:color="auto" w:fill="FFFFFF"/>
                <w:lang w:val="en-US" w:eastAsia="zh-CN" w:bidi="ar"/>
              </w:rPr>
              <w:t>+的形式进入吸收液中，废气中的氨气含量大幅减少。除臭净化机组氨气去除效率高达95%以上（如果初始排风中氨气含量20ppm，经过处理后排风氨气含量小于1ppm），废气经处理满足国家规定的排放标准后排至大气中。</w:t>
            </w:r>
          </w:p>
          <w:p w14:paraId="5815C016">
            <w:pPr>
              <w:keepNext w:val="0"/>
              <w:keepLines w:val="0"/>
              <w:suppressLineNumbers w:val="0"/>
              <w:overflowPunct w:val="0"/>
              <w:adjustRightInd w:val="0"/>
              <w:snapToGrid w:val="0"/>
              <w:spacing w:before="0" w:beforeAutospacing="0" w:after="0" w:afterAutospacing="0" w:line="360" w:lineRule="auto"/>
              <w:ind w:left="0" w:right="0" w:firstLine="420" w:firstLineChars="200"/>
              <w:jc w:val="center"/>
              <w:rPr>
                <w:rFonts w:hint="eastAsia" w:ascii="Times New Roman" w:hAnsi="Times New Roman" w:eastAsia="宋体" w:cs="Times New Roman"/>
                <w:b/>
                <w:bCs/>
                <w:color w:val="auto"/>
                <w:kern w:val="2"/>
                <w:sz w:val="24"/>
                <w:szCs w:val="24"/>
                <w:highlight w:val="none"/>
                <w:shd w:val="clear" w:color="auto" w:fill="FFFFFF"/>
                <w:lang w:val="en-US" w:eastAsia="zh-CN" w:bidi="ar"/>
              </w:rPr>
            </w:pPr>
            <w:r>
              <w:rPr>
                <w:rFonts w:hint="eastAsia" w:asciiTheme="minorEastAsia" w:hAnsiTheme="minorEastAsia" w:eastAsiaTheme="minorEastAsia" w:cstheme="minorEastAsia"/>
                <w:sz w:val="21"/>
                <w:szCs w:val="21"/>
                <w:highlight w:val="none"/>
              </w:rPr>
              <w:drawing>
                <wp:inline distT="0" distB="0" distL="114300" distR="114300">
                  <wp:extent cx="4219575" cy="1428750"/>
                  <wp:effectExtent l="0" t="0" r="0" b="0"/>
                  <wp:docPr id="13" name="图片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 name="图片 13"/>
                          <pic:cNvPicPr>
                            <a:picLocks noChangeAspect="1"/>
                          </pic:cNvPicPr>
                        </pic:nvPicPr>
                        <pic:blipFill>
                          <a:blip r:embed="rId50"/>
                          <a:stretch>
                            <a:fillRect/>
                          </a:stretch>
                        </pic:blipFill>
                        <pic:spPr>
                          <a:xfrm>
                            <a:off x="0" y="0"/>
                            <a:ext cx="4219575" cy="1428750"/>
                          </a:xfrm>
                          <a:prstGeom prst="rect">
                            <a:avLst/>
                          </a:prstGeom>
                          <a:noFill/>
                          <a:ln>
                            <a:noFill/>
                          </a:ln>
                        </pic:spPr>
                      </pic:pic>
                    </a:graphicData>
                  </a:graphic>
                </wp:inline>
              </w:drawing>
            </w:r>
          </w:p>
          <w:p w14:paraId="3B8D510D">
            <w:pPr>
              <w:keepNext w:val="0"/>
              <w:keepLines w:val="0"/>
              <w:suppressLineNumbers w:val="0"/>
              <w:overflowPunct w:val="0"/>
              <w:adjustRightInd w:val="0"/>
              <w:snapToGrid w:val="0"/>
              <w:spacing w:before="0" w:beforeAutospacing="0" w:after="0" w:afterAutospacing="0" w:line="360" w:lineRule="auto"/>
              <w:ind w:left="0" w:right="0" w:firstLine="482" w:firstLineChars="200"/>
              <w:rPr>
                <w:rFonts w:hint="eastAsia" w:ascii="Times New Roman" w:hAnsi="Times New Roman" w:eastAsia="宋体" w:cs="Times New Roman"/>
                <w:b/>
                <w:bCs/>
                <w:color w:val="auto"/>
                <w:kern w:val="2"/>
                <w:sz w:val="24"/>
                <w:szCs w:val="24"/>
                <w:highlight w:val="none"/>
                <w:shd w:val="clear" w:color="auto" w:fill="FFFFFF"/>
                <w:lang w:val="en-US" w:eastAsia="zh-CN" w:bidi="ar"/>
              </w:rPr>
            </w:pPr>
            <w:r>
              <w:rPr>
                <w:rFonts w:hint="default" w:ascii="Times New Roman" w:hAnsi="Times New Roman" w:eastAsia="宋体" w:cs="Times New Roman"/>
                <w:b/>
                <w:bCs w:val="0"/>
                <w:kern w:val="0"/>
                <w:sz w:val="24"/>
                <w:szCs w:val="24"/>
                <w:highlight w:val="none"/>
                <w:lang w:val="en-US" w:eastAsia="zh-CN" w:bidi="ar-SA"/>
              </w:rPr>
              <w:t>②</w:t>
            </w:r>
            <w:r>
              <w:rPr>
                <w:rFonts w:hint="eastAsia" w:ascii="Times New Roman" w:hAnsi="Times New Roman" w:eastAsia="宋体" w:cs="Times New Roman"/>
                <w:b/>
                <w:bCs/>
                <w:color w:val="auto"/>
                <w:kern w:val="2"/>
                <w:sz w:val="24"/>
                <w:szCs w:val="24"/>
                <w:highlight w:val="none"/>
                <w:shd w:val="clear" w:color="auto" w:fill="FFFFFF"/>
                <w:lang w:val="en-US" w:eastAsia="zh-CN" w:bidi="ar"/>
              </w:rPr>
              <w:t>一体扰流喷淋除臭装置：</w:t>
            </w:r>
          </w:p>
          <w:p w14:paraId="0A8FDFC5">
            <w:pPr>
              <w:keepNext w:val="0"/>
              <w:keepLines w:val="0"/>
              <w:suppressLineNumbers w:val="0"/>
              <w:overflowPunct w:val="0"/>
              <w:adjustRightInd w:val="0"/>
              <w:snapToGrid w:val="0"/>
              <w:spacing w:before="0" w:beforeAutospacing="0" w:after="0" w:afterAutospacing="0" w:line="360" w:lineRule="auto"/>
              <w:ind w:left="0" w:right="0" w:firstLine="480" w:firstLineChars="200"/>
              <w:rPr>
                <w:rFonts w:hint="eastAsia" w:ascii="Times New Roman" w:hAnsi="Times New Roman" w:eastAsia="宋体" w:cs="Times New Roman"/>
                <w:b w:val="0"/>
                <w:bCs w:val="0"/>
                <w:color w:val="auto"/>
                <w:kern w:val="2"/>
                <w:sz w:val="24"/>
                <w:szCs w:val="24"/>
                <w:highlight w:val="none"/>
                <w:shd w:val="clear" w:color="auto" w:fill="FFFFFF"/>
                <w:lang w:val="en-US" w:eastAsia="zh-CN" w:bidi="ar"/>
              </w:rPr>
            </w:pPr>
            <w:r>
              <w:rPr>
                <w:rFonts w:hint="eastAsia" w:ascii="Times New Roman" w:hAnsi="Times New Roman" w:eastAsia="宋体" w:cs="Times New Roman"/>
                <w:b w:val="0"/>
                <w:bCs w:val="0"/>
                <w:color w:val="auto"/>
                <w:kern w:val="2"/>
                <w:sz w:val="24"/>
                <w:szCs w:val="24"/>
                <w:highlight w:val="none"/>
                <w:shd w:val="clear" w:color="auto" w:fill="FFFFFF"/>
                <w:lang w:val="en-US" w:eastAsia="zh-CN" w:bidi="ar"/>
              </w:rPr>
              <w:t>一体扰流喷淋除臭设备采用纳米半导体光催化与气液扰流净化相结合的处理工艺。实验动物设施排风口排出的废气导入设备，先经过纳米半导体光催化分解，杀灭病原微生物及其气溶胶、分解大分子有机物和臭味气体分子；然后经过气液扰流净化技术，将小分子气体、分解后的有机物和臭气分子、微生物残体、VOCs降解产物、颗粒物等溶解在喷淋液里，彻底清除目标污染物。在充分吸收废气中目标污染物且低于相关废水排放限值时，喷淋液排入市政管网。具备智能控制系统，实现设备运行的全自动化监控，完全无需人员操作，并且可与大楼中控系统进行数据</w:t>
            </w:r>
            <w:r>
              <w:rPr>
                <w:rFonts w:hint="eastAsia" w:cs="Times New Roman"/>
                <w:b w:val="0"/>
                <w:bCs w:val="0"/>
                <w:color w:val="auto"/>
                <w:kern w:val="2"/>
                <w:sz w:val="24"/>
                <w:szCs w:val="24"/>
                <w:highlight w:val="none"/>
                <w:shd w:val="clear" w:color="auto" w:fill="FFFFFF"/>
                <w:lang w:val="en-US" w:eastAsia="zh-CN" w:bidi="ar"/>
              </w:rPr>
              <w:t>通信</w:t>
            </w:r>
            <w:r>
              <w:rPr>
                <w:rFonts w:hint="eastAsia" w:ascii="Times New Roman" w:hAnsi="Times New Roman" w:eastAsia="宋体" w:cs="Times New Roman"/>
                <w:b w:val="0"/>
                <w:bCs w:val="0"/>
                <w:color w:val="auto"/>
                <w:kern w:val="2"/>
                <w:sz w:val="24"/>
                <w:szCs w:val="24"/>
                <w:highlight w:val="none"/>
                <w:shd w:val="clear" w:color="auto" w:fill="FFFFFF"/>
                <w:lang w:val="en-US" w:eastAsia="zh-CN" w:bidi="ar"/>
              </w:rPr>
              <w:t>。</w:t>
            </w:r>
          </w:p>
          <w:p w14:paraId="48F8F1EE">
            <w:pPr>
              <w:keepNext w:val="0"/>
              <w:keepLines w:val="0"/>
              <w:suppressLineNumbers w:val="0"/>
              <w:overflowPunct w:val="0"/>
              <w:adjustRightInd w:val="0"/>
              <w:snapToGrid w:val="0"/>
              <w:spacing w:before="0" w:beforeAutospacing="0" w:after="0" w:afterAutospacing="0" w:line="360" w:lineRule="auto"/>
              <w:ind w:left="0" w:right="0" w:firstLine="482" w:firstLineChars="200"/>
              <w:rPr>
                <w:rFonts w:hint="eastAsia" w:ascii="Times New Roman" w:hAnsi="Times New Roman" w:eastAsia="宋体" w:cs="Times New Roman"/>
                <w:b/>
                <w:bCs/>
                <w:color w:val="auto"/>
                <w:kern w:val="2"/>
                <w:sz w:val="24"/>
                <w:szCs w:val="24"/>
                <w:highlight w:val="none"/>
                <w:shd w:val="clear" w:color="auto" w:fill="FFFFFF"/>
                <w:lang w:val="en-US" w:eastAsia="zh-CN" w:bidi="ar"/>
              </w:rPr>
            </w:pPr>
            <w:r>
              <w:rPr>
                <w:rFonts w:hint="eastAsia" w:ascii="Times New Roman" w:hAnsi="Times New Roman" w:eastAsia="宋体" w:cs="Times New Roman"/>
                <w:b/>
                <w:bCs/>
                <w:color w:val="auto"/>
                <w:kern w:val="2"/>
                <w:sz w:val="24"/>
                <w:szCs w:val="24"/>
                <w:highlight w:val="none"/>
                <w:shd w:val="clear" w:color="auto" w:fill="FFFFFF"/>
                <w:lang w:val="en-US" w:eastAsia="zh-CN" w:bidi="ar"/>
              </w:rPr>
              <w:t>工艺流程如下：</w:t>
            </w:r>
          </w:p>
          <w:p w14:paraId="28DAAF85">
            <w:pPr>
              <w:keepNext w:val="0"/>
              <w:keepLines w:val="0"/>
              <w:suppressLineNumbers w:val="0"/>
              <w:overflowPunct w:val="0"/>
              <w:adjustRightInd w:val="0"/>
              <w:snapToGrid w:val="0"/>
              <w:spacing w:before="0" w:beforeAutospacing="0" w:after="0" w:afterAutospacing="0" w:line="360" w:lineRule="auto"/>
              <w:ind w:left="0" w:right="0" w:firstLine="482" w:firstLineChars="200"/>
              <w:rPr>
                <w:rFonts w:hint="eastAsia" w:ascii="Times New Roman" w:hAnsi="Times New Roman" w:eastAsia="宋体" w:cs="Times New Roman"/>
                <w:b/>
                <w:bCs/>
                <w:color w:val="auto"/>
                <w:kern w:val="2"/>
                <w:sz w:val="24"/>
                <w:szCs w:val="24"/>
                <w:highlight w:val="none"/>
                <w:shd w:val="clear" w:color="auto" w:fill="FFFFFF"/>
                <w:lang w:val="en-US" w:eastAsia="zh-CN" w:bidi="ar"/>
              </w:rPr>
            </w:pPr>
            <w:r>
              <w:rPr>
                <w:rFonts w:hint="eastAsia" w:ascii="Times New Roman" w:hAnsi="Times New Roman" w:eastAsia="宋体" w:cs="Times New Roman"/>
                <w:b/>
                <w:bCs/>
                <w:color w:val="auto"/>
                <w:kern w:val="2"/>
                <w:sz w:val="24"/>
                <w:szCs w:val="24"/>
                <w:highlight w:val="none"/>
                <w:shd w:val="clear" w:color="auto" w:fill="FFFFFF"/>
                <w:lang w:val="en-US" w:eastAsia="zh-CN" w:bidi="ar"/>
              </w:rPr>
              <w:drawing>
                <wp:inline distT="0" distB="0" distL="114300" distR="114300">
                  <wp:extent cx="4827270" cy="834390"/>
                  <wp:effectExtent l="0" t="0" r="1905" b="3810"/>
                  <wp:docPr id="17" name="图片 17" descr="b55c7e1725d2c04a93434dd7147c7c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图片 17" descr="b55c7e1725d2c04a93434dd7147c7c1"/>
                          <pic:cNvPicPr>
                            <a:picLocks noChangeAspect="1"/>
                          </pic:cNvPicPr>
                        </pic:nvPicPr>
                        <pic:blipFill>
                          <a:blip r:embed="rId51"/>
                          <a:stretch>
                            <a:fillRect/>
                          </a:stretch>
                        </pic:blipFill>
                        <pic:spPr>
                          <a:xfrm>
                            <a:off x="0" y="0"/>
                            <a:ext cx="4827270" cy="834390"/>
                          </a:xfrm>
                          <a:prstGeom prst="rect">
                            <a:avLst/>
                          </a:prstGeom>
                        </pic:spPr>
                      </pic:pic>
                    </a:graphicData>
                  </a:graphic>
                </wp:inline>
              </w:drawing>
            </w:r>
          </w:p>
          <w:p w14:paraId="0B3D1952">
            <w:pPr>
              <w:keepNext w:val="0"/>
              <w:keepLines w:val="0"/>
              <w:suppressLineNumbers w:val="0"/>
              <w:overflowPunct w:val="0"/>
              <w:adjustRightInd w:val="0"/>
              <w:snapToGrid w:val="0"/>
              <w:spacing w:before="0" w:beforeAutospacing="0" w:after="0" w:afterAutospacing="0" w:line="360" w:lineRule="auto"/>
              <w:ind w:left="0" w:right="0" w:firstLine="482" w:firstLineChars="200"/>
              <w:rPr>
                <w:rFonts w:hint="eastAsia" w:ascii="Times New Roman" w:hAnsi="Times New Roman" w:eastAsia="宋体" w:cs="Times New Roman"/>
                <w:b/>
                <w:bCs/>
                <w:color w:val="auto"/>
                <w:kern w:val="2"/>
                <w:sz w:val="24"/>
                <w:szCs w:val="24"/>
                <w:highlight w:val="none"/>
                <w:shd w:val="clear" w:color="auto" w:fill="FFFFFF"/>
                <w:lang w:val="en-US" w:eastAsia="zh-CN" w:bidi="ar"/>
              </w:rPr>
            </w:pPr>
            <w:r>
              <w:rPr>
                <w:rFonts w:hint="eastAsia" w:ascii="Times New Roman" w:hAnsi="Times New Roman" w:eastAsia="宋体" w:cs="Times New Roman"/>
                <w:b/>
                <w:bCs/>
                <w:color w:val="auto"/>
                <w:kern w:val="2"/>
                <w:sz w:val="24"/>
                <w:szCs w:val="24"/>
                <w:highlight w:val="none"/>
                <w:shd w:val="clear" w:color="auto" w:fill="FFFFFF"/>
                <w:lang w:val="en-US" w:eastAsia="zh-CN" w:bidi="ar"/>
              </w:rPr>
              <w:t>主要技术如下：</w:t>
            </w:r>
          </w:p>
          <w:p w14:paraId="57FD3E88">
            <w:pPr>
              <w:keepNext w:val="0"/>
              <w:keepLines w:val="0"/>
              <w:suppressLineNumbers w:val="0"/>
              <w:overflowPunct w:val="0"/>
              <w:adjustRightInd w:val="0"/>
              <w:snapToGrid w:val="0"/>
              <w:spacing w:before="0" w:beforeAutospacing="0" w:after="0" w:afterAutospacing="0" w:line="360" w:lineRule="auto"/>
              <w:ind w:left="0" w:right="0" w:firstLine="480" w:firstLineChars="200"/>
              <w:rPr>
                <w:rFonts w:hint="eastAsia" w:ascii="Times New Roman" w:hAnsi="Times New Roman" w:eastAsia="宋体" w:cs="Times New Roman"/>
                <w:b w:val="0"/>
                <w:bCs w:val="0"/>
                <w:color w:val="auto"/>
                <w:kern w:val="2"/>
                <w:sz w:val="24"/>
                <w:szCs w:val="24"/>
                <w:highlight w:val="none"/>
                <w:shd w:val="clear" w:color="auto" w:fill="FFFFFF"/>
                <w:lang w:val="en-US" w:eastAsia="zh-CN" w:bidi="ar"/>
              </w:rPr>
            </w:pPr>
            <w:r>
              <w:rPr>
                <w:rFonts w:hint="eastAsia" w:ascii="Times New Roman" w:hAnsi="Times New Roman" w:eastAsia="宋体" w:cs="Times New Roman"/>
                <w:b w:val="0"/>
                <w:bCs w:val="0"/>
                <w:color w:val="auto"/>
                <w:kern w:val="2"/>
                <w:sz w:val="24"/>
                <w:szCs w:val="24"/>
                <w:highlight w:val="none"/>
                <w:shd w:val="clear" w:color="auto" w:fill="FFFFFF"/>
                <w:lang w:val="en-US" w:eastAsia="zh-CN" w:bidi="ar"/>
              </w:rPr>
              <w:t>（1）纳米半导体光催化技术</w:t>
            </w:r>
          </w:p>
          <w:p w14:paraId="114F7659">
            <w:pPr>
              <w:keepNext w:val="0"/>
              <w:keepLines w:val="0"/>
              <w:suppressLineNumbers w:val="0"/>
              <w:overflowPunct w:val="0"/>
              <w:adjustRightInd w:val="0"/>
              <w:snapToGrid w:val="0"/>
              <w:spacing w:before="0" w:beforeAutospacing="0" w:after="0" w:afterAutospacing="0" w:line="360" w:lineRule="auto"/>
              <w:ind w:left="0" w:right="0" w:firstLine="480" w:firstLineChars="200"/>
              <w:rPr>
                <w:rFonts w:hint="eastAsia" w:ascii="Times New Roman" w:hAnsi="Times New Roman" w:eastAsia="宋体" w:cs="Times New Roman"/>
                <w:b w:val="0"/>
                <w:bCs w:val="0"/>
                <w:color w:val="auto"/>
                <w:kern w:val="2"/>
                <w:sz w:val="24"/>
                <w:szCs w:val="24"/>
                <w:highlight w:val="none"/>
                <w:shd w:val="clear" w:color="auto" w:fill="FFFFFF"/>
                <w:lang w:val="en-US" w:eastAsia="zh-CN" w:bidi="ar"/>
              </w:rPr>
            </w:pPr>
            <w:r>
              <w:rPr>
                <w:rFonts w:hint="eastAsia" w:ascii="Times New Roman" w:hAnsi="Times New Roman" w:eastAsia="宋体" w:cs="Times New Roman"/>
                <w:b w:val="0"/>
                <w:bCs w:val="0"/>
                <w:color w:val="auto"/>
                <w:kern w:val="2"/>
                <w:sz w:val="24"/>
                <w:szCs w:val="24"/>
                <w:highlight w:val="none"/>
                <w:shd w:val="clear" w:color="auto" w:fill="FFFFFF"/>
                <w:lang w:val="en-US" w:eastAsia="zh-CN" w:bidi="ar"/>
              </w:rPr>
              <w:t>采用MnOx-TiO</w:t>
            </w:r>
            <w:r>
              <w:rPr>
                <w:rFonts w:hint="eastAsia" w:ascii="Times New Roman" w:hAnsi="Times New Roman" w:eastAsia="宋体" w:cs="Times New Roman"/>
                <w:b w:val="0"/>
                <w:bCs w:val="0"/>
                <w:color w:val="auto"/>
                <w:kern w:val="2"/>
                <w:sz w:val="24"/>
                <w:szCs w:val="24"/>
                <w:highlight w:val="none"/>
                <w:shd w:val="clear" w:color="auto" w:fill="FFFFFF"/>
                <w:vertAlign w:val="subscript"/>
                <w:lang w:val="en-US" w:eastAsia="zh-CN" w:bidi="ar"/>
              </w:rPr>
              <w:t>2</w:t>
            </w:r>
            <w:r>
              <w:rPr>
                <w:rFonts w:hint="eastAsia" w:ascii="Times New Roman" w:hAnsi="Times New Roman" w:eastAsia="宋体" w:cs="Times New Roman"/>
                <w:b w:val="0"/>
                <w:bCs w:val="0"/>
                <w:color w:val="auto"/>
                <w:kern w:val="2"/>
                <w:sz w:val="24"/>
                <w:szCs w:val="24"/>
                <w:highlight w:val="none"/>
                <w:shd w:val="clear" w:color="auto" w:fill="FFFFFF"/>
                <w:lang w:val="en-US" w:eastAsia="zh-CN" w:bidi="ar"/>
              </w:rPr>
              <w:t>复合物作为催化剂，通过溶胶-凝胶法将催化剂附着于钛网，选用主波长365nm的真空紫外灯管作为催化光源。通过光催化作用产生电子-空穴对，氧化分解气流中的大分子有机物，使部分难溶于水的臭味分子分解为可溶性小分子。</w:t>
            </w:r>
          </w:p>
          <w:p w14:paraId="056534BA">
            <w:pPr>
              <w:keepNext w:val="0"/>
              <w:keepLines w:val="0"/>
              <w:suppressLineNumbers w:val="0"/>
              <w:overflowPunct w:val="0"/>
              <w:adjustRightInd w:val="0"/>
              <w:snapToGrid w:val="0"/>
              <w:spacing w:before="0" w:beforeAutospacing="0" w:after="0" w:afterAutospacing="0" w:line="360" w:lineRule="auto"/>
              <w:ind w:left="0" w:right="0" w:firstLine="420" w:firstLineChars="200"/>
              <w:rPr>
                <w:rFonts w:hint="eastAsia" w:ascii="Times New Roman" w:hAnsi="Times New Roman" w:eastAsia="宋体" w:cs="Times New Roman"/>
                <w:b/>
                <w:bCs/>
                <w:color w:val="auto"/>
                <w:kern w:val="2"/>
                <w:sz w:val="24"/>
                <w:szCs w:val="24"/>
                <w:highlight w:val="none"/>
                <w:shd w:val="clear" w:color="auto" w:fill="FFFFFF"/>
                <w:lang w:val="en-US" w:eastAsia="zh-CN" w:bidi="ar"/>
              </w:rPr>
            </w:pPr>
            <w:r>
              <w:rPr>
                <w:rFonts w:hint="eastAsia" w:asciiTheme="minorEastAsia" w:hAnsiTheme="minorEastAsia" w:eastAsiaTheme="minorEastAsia" w:cstheme="minorEastAsia"/>
                <w:color w:val="0C0C0C"/>
                <w:sz w:val="21"/>
                <w:szCs w:val="21"/>
                <w:highlight w:val="none"/>
              </w:rPr>
              <w:drawing>
                <wp:inline distT="0" distB="0" distL="114300" distR="114300">
                  <wp:extent cx="5264150" cy="2424430"/>
                  <wp:effectExtent l="0" t="0" r="3175" b="4445"/>
                  <wp:docPr id="18" name="图片 12" descr="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 name="图片 12" descr="1"/>
                          <pic:cNvPicPr>
                            <a:picLocks noChangeAspect="1"/>
                          </pic:cNvPicPr>
                        </pic:nvPicPr>
                        <pic:blipFill>
                          <a:blip r:embed="rId52" cstate="print"/>
                          <a:stretch>
                            <a:fillRect/>
                          </a:stretch>
                        </pic:blipFill>
                        <pic:spPr>
                          <a:xfrm>
                            <a:off x="0" y="0"/>
                            <a:ext cx="5264150" cy="2424430"/>
                          </a:xfrm>
                          <a:prstGeom prst="rect">
                            <a:avLst/>
                          </a:prstGeom>
                        </pic:spPr>
                      </pic:pic>
                    </a:graphicData>
                  </a:graphic>
                </wp:inline>
              </w:drawing>
            </w:r>
          </w:p>
          <w:p w14:paraId="07EB7F98">
            <w:pPr>
              <w:keepNext w:val="0"/>
              <w:keepLines w:val="0"/>
              <w:suppressLineNumbers w:val="0"/>
              <w:overflowPunct w:val="0"/>
              <w:adjustRightInd w:val="0"/>
              <w:snapToGrid w:val="0"/>
              <w:spacing w:before="0" w:beforeAutospacing="0" w:after="0" w:afterAutospacing="0" w:line="360" w:lineRule="auto"/>
              <w:ind w:left="0" w:right="0" w:firstLine="480" w:firstLineChars="200"/>
              <w:rPr>
                <w:rFonts w:hint="eastAsia" w:ascii="Times New Roman" w:hAnsi="Times New Roman" w:eastAsia="宋体" w:cs="Times New Roman"/>
                <w:b w:val="0"/>
                <w:bCs w:val="0"/>
                <w:color w:val="auto"/>
                <w:kern w:val="2"/>
                <w:sz w:val="24"/>
                <w:szCs w:val="24"/>
                <w:highlight w:val="none"/>
                <w:shd w:val="clear" w:color="auto" w:fill="FFFFFF"/>
                <w:lang w:val="en-US" w:eastAsia="zh-CN" w:bidi="ar"/>
              </w:rPr>
            </w:pPr>
            <w:r>
              <w:rPr>
                <w:rFonts w:hint="eastAsia" w:ascii="Times New Roman" w:hAnsi="Times New Roman" w:eastAsia="宋体" w:cs="Times New Roman"/>
                <w:b w:val="0"/>
                <w:bCs w:val="0"/>
                <w:color w:val="auto"/>
                <w:kern w:val="2"/>
                <w:sz w:val="24"/>
                <w:szCs w:val="24"/>
                <w:highlight w:val="none"/>
                <w:shd w:val="clear" w:color="auto" w:fill="FFFFFF"/>
                <w:lang w:val="en-US" w:eastAsia="zh-CN" w:bidi="ar"/>
              </w:rPr>
              <w:t>（2）气液扰流技术</w:t>
            </w:r>
          </w:p>
          <w:p w14:paraId="29E51DDB">
            <w:pPr>
              <w:keepNext w:val="0"/>
              <w:keepLines w:val="0"/>
              <w:suppressLineNumbers w:val="0"/>
              <w:overflowPunct w:val="0"/>
              <w:adjustRightInd w:val="0"/>
              <w:snapToGrid w:val="0"/>
              <w:spacing w:before="0" w:beforeAutospacing="0" w:after="0" w:afterAutospacing="0" w:line="360" w:lineRule="auto"/>
              <w:ind w:left="0" w:right="0" w:firstLine="480" w:firstLineChars="200"/>
              <w:rPr>
                <w:rFonts w:hint="eastAsia" w:ascii="Times New Roman" w:hAnsi="Times New Roman" w:eastAsia="宋体" w:cs="Times New Roman"/>
                <w:b w:val="0"/>
                <w:bCs w:val="0"/>
                <w:color w:val="auto"/>
                <w:kern w:val="2"/>
                <w:sz w:val="24"/>
                <w:szCs w:val="24"/>
                <w:highlight w:val="none"/>
                <w:shd w:val="clear" w:color="auto" w:fill="FFFFFF"/>
                <w:lang w:val="en-US" w:eastAsia="zh-CN" w:bidi="ar"/>
              </w:rPr>
            </w:pPr>
            <w:r>
              <w:rPr>
                <w:rFonts w:hint="eastAsia" w:ascii="Times New Roman" w:hAnsi="Times New Roman" w:eastAsia="宋体" w:cs="Times New Roman"/>
                <w:b w:val="0"/>
                <w:bCs w:val="0"/>
                <w:color w:val="auto"/>
                <w:kern w:val="2"/>
                <w:sz w:val="24"/>
                <w:szCs w:val="24"/>
                <w:highlight w:val="none"/>
                <w:shd w:val="clear" w:color="auto" w:fill="FFFFFF"/>
                <w:lang w:val="en-US" w:eastAsia="zh-CN" w:bidi="ar"/>
              </w:rPr>
              <w:t>采用先进的膜式气液扰流技术。废气经过无机扰流膜，通过交叉重叠波纹板的扰流作用，从层流变为紊流，与无机膜充分接触；同时，喷淋液</w:t>
            </w:r>
            <w:r>
              <w:rPr>
                <w:rFonts w:hint="eastAsia" w:cs="Times New Roman"/>
                <w:b w:val="0"/>
                <w:bCs w:val="0"/>
                <w:color w:val="auto"/>
                <w:kern w:val="2"/>
                <w:sz w:val="24"/>
                <w:szCs w:val="24"/>
                <w:highlight w:val="none"/>
                <w:shd w:val="clear" w:color="auto" w:fill="FFFFFF"/>
                <w:lang w:val="en-US" w:eastAsia="zh-CN" w:bidi="ar"/>
              </w:rPr>
              <w:t>（主要为苛性钠、次氯酸钠）</w:t>
            </w:r>
            <w:r>
              <w:rPr>
                <w:rFonts w:hint="eastAsia" w:ascii="Times New Roman" w:hAnsi="Times New Roman" w:eastAsia="宋体" w:cs="Times New Roman"/>
                <w:b w:val="0"/>
                <w:bCs w:val="0"/>
                <w:color w:val="auto"/>
                <w:kern w:val="2"/>
                <w:sz w:val="24"/>
                <w:szCs w:val="24"/>
                <w:highlight w:val="none"/>
                <w:shd w:val="clear" w:color="auto" w:fill="FFFFFF"/>
                <w:lang w:val="en-US" w:eastAsia="zh-CN" w:bidi="ar"/>
              </w:rPr>
              <w:t>通过顶部的布水器均匀渗透入无机膜，通过波纹板表面与紊流废气进行气液交融，废气中的NH</w:t>
            </w:r>
            <w:r>
              <w:rPr>
                <w:rFonts w:hint="eastAsia" w:ascii="Times New Roman" w:hAnsi="Times New Roman" w:eastAsia="宋体" w:cs="Times New Roman"/>
                <w:b w:val="0"/>
                <w:bCs w:val="0"/>
                <w:color w:val="auto"/>
                <w:kern w:val="2"/>
                <w:sz w:val="24"/>
                <w:szCs w:val="24"/>
                <w:highlight w:val="none"/>
                <w:shd w:val="clear" w:color="auto" w:fill="FFFFFF"/>
                <w:vertAlign w:val="subscript"/>
                <w:lang w:val="en-US" w:eastAsia="zh-CN" w:bidi="ar"/>
              </w:rPr>
              <w:t>3</w:t>
            </w:r>
            <w:r>
              <w:rPr>
                <w:rFonts w:hint="eastAsia" w:ascii="Times New Roman" w:hAnsi="Times New Roman" w:eastAsia="宋体" w:cs="Times New Roman"/>
                <w:b w:val="0"/>
                <w:bCs w:val="0"/>
                <w:color w:val="auto"/>
                <w:kern w:val="2"/>
                <w:sz w:val="24"/>
                <w:szCs w:val="24"/>
                <w:highlight w:val="none"/>
                <w:shd w:val="clear" w:color="auto" w:fill="FFFFFF"/>
                <w:lang w:val="en-US" w:eastAsia="zh-CN" w:bidi="ar"/>
              </w:rPr>
              <w:t>、H</w:t>
            </w:r>
            <w:r>
              <w:rPr>
                <w:rFonts w:hint="eastAsia" w:ascii="Times New Roman" w:hAnsi="Times New Roman" w:eastAsia="宋体" w:cs="Times New Roman"/>
                <w:b w:val="0"/>
                <w:bCs w:val="0"/>
                <w:color w:val="auto"/>
                <w:kern w:val="2"/>
                <w:sz w:val="24"/>
                <w:szCs w:val="24"/>
                <w:highlight w:val="none"/>
                <w:shd w:val="clear" w:color="auto" w:fill="FFFFFF"/>
                <w:vertAlign w:val="subscript"/>
                <w:lang w:val="en-US" w:eastAsia="zh-CN" w:bidi="ar"/>
              </w:rPr>
              <w:t>2</w:t>
            </w:r>
            <w:r>
              <w:rPr>
                <w:rFonts w:hint="eastAsia" w:ascii="Times New Roman" w:hAnsi="Times New Roman" w:eastAsia="宋体" w:cs="Times New Roman"/>
                <w:b w:val="0"/>
                <w:bCs w:val="0"/>
                <w:color w:val="auto"/>
                <w:kern w:val="2"/>
                <w:sz w:val="24"/>
                <w:szCs w:val="24"/>
                <w:highlight w:val="none"/>
                <w:shd w:val="clear" w:color="auto" w:fill="FFFFFF"/>
                <w:lang w:val="en-US" w:eastAsia="zh-CN" w:bidi="ar"/>
              </w:rPr>
              <w:t>S等无机小分子被吸收。</w:t>
            </w:r>
          </w:p>
          <w:p w14:paraId="0EF5BFA1">
            <w:pPr>
              <w:keepNext w:val="0"/>
              <w:keepLines w:val="0"/>
              <w:suppressLineNumbers w:val="0"/>
              <w:overflowPunct w:val="0"/>
              <w:adjustRightInd w:val="0"/>
              <w:snapToGrid w:val="0"/>
              <w:spacing w:before="0" w:beforeAutospacing="0" w:after="0" w:afterAutospacing="0" w:line="360" w:lineRule="auto"/>
              <w:ind w:left="0" w:right="0" w:firstLine="482" w:firstLineChars="200"/>
              <w:rPr>
                <w:rFonts w:hint="eastAsia" w:ascii="Times New Roman" w:hAnsi="Times New Roman" w:eastAsia="宋体" w:cs="Times New Roman"/>
                <w:b/>
                <w:kern w:val="0"/>
                <w:sz w:val="24"/>
                <w:highlight w:val="none"/>
              </w:rPr>
            </w:pPr>
            <w:r>
              <w:rPr>
                <w:rFonts w:hint="default" w:ascii="Times New Roman" w:hAnsi="Times New Roman" w:eastAsia="宋体" w:cs="Times New Roman"/>
                <w:b/>
                <w:bCs w:val="0"/>
                <w:kern w:val="0"/>
                <w:sz w:val="24"/>
                <w:szCs w:val="24"/>
                <w:highlight w:val="none"/>
                <w:lang w:val="en-US" w:eastAsia="zh-CN" w:bidi="ar-SA"/>
              </w:rPr>
              <w:t>③</w:t>
            </w:r>
            <w:r>
              <w:rPr>
                <w:rFonts w:hint="eastAsia" w:ascii="Times New Roman" w:hAnsi="Times New Roman" w:eastAsia="宋体" w:cs="Times New Roman"/>
                <w:b/>
                <w:bCs/>
                <w:color w:val="auto"/>
                <w:kern w:val="2"/>
                <w:sz w:val="24"/>
                <w:szCs w:val="24"/>
                <w:highlight w:val="none"/>
                <w:shd w:val="clear" w:color="auto" w:fill="FFFFFF"/>
                <w:lang w:val="en-US" w:eastAsia="zh-CN" w:bidi="ar"/>
              </w:rPr>
              <w:t>活性炭吸附装置：</w:t>
            </w:r>
            <w:r>
              <w:rPr>
                <w:rFonts w:hint="eastAsia" w:ascii="Times New Roman" w:hAnsi="Times New Roman" w:eastAsia="宋体" w:cs="Times New Roman"/>
                <w:kern w:val="2"/>
                <w:sz w:val="24"/>
                <w:szCs w:val="24"/>
                <w:highlight w:val="none"/>
                <w:shd w:val="clear" w:color="auto" w:fill="FFFFFF"/>
                <w:lang w:val="en-US" w:eastAsia="zh-CN" w:bidi="ar"/>
              </w:rPr>
              <w:t>活性炭吸附是一种常用的吸附方法，主要利用高孔隙率、高比表面积的吸附剂，</w:t>
            </w:r>
            <w:r>
              <w:rPr>
                <w:rFonts w:hint="eastAsia" w:cs="Times New Roman"/>
                <w:kern w:val="2"/>
                <w:sz w:val="24"/>
                <w:szCs w:val="24"/>
                <w:highlight w:val="none"/>
                <w:shd w:val="clear" w:color="auto" w:fill="FFFFFF"/>
                <w:lang w:val="en-US" w:eastAsia="zh-CN" w:bidi="ar"/>
              </w:rPr>
              <w:t>借</w:t>
            </w:r>
            <w:r>
              <w:rPr>
                <w:rFonts w:hint="eastAsia" w:ascii="Times New Roman" w:hAnsi="Times New Roman" w:eastAsia="宋体" w:cs="Times New Roman"/>
                <w:kern w:val="2"/>
                <w:sz w:val="24"/>
                <w:szCs w:val="24"/>
                <w:highlight w:val="none"/>
                <w:shd w:val="clear" w:color="auto" w:fill="FFFFFF"/>
                <w:lang w:val="en-US" w:eastAsia="zh-CN" w:bidi="ar"/>
              </w:rPr>
              <w:t>由物理性吸附（可逆反应）或化学性键结（不可逆反应）作用，将有机气体分子自废气中分离，以达成净化废气的目的。由于一般多采用物理性吸附，随操作时间之增加，吸附剂将逐渐趋于饱和现象，此时则须进行脱附再生或吸附剂更换工作。因活性炭表面有大量微孔，其中绝大部分孔径小于500A（1A=10-10m），单位材料微孔的总内表面积称“比表面积”，比表面积可高达700～2300m</w:t>
            </w:r>
            <w:r>
              <w:rPr>
                <w:rFonts w:hint="eastAsia" w:ascii="Times New Roman" w:hAnsi="Times New Roman" w:eastAsia="宋体" w:cs="Times New Roman"/>
                <w:kern w:val="2"/>
                <w:sz w:val="24"/>
                <w:szCs w:val="24"/>
                <w:highlight w:val="none"/>
                <w:shd w:val="clear" w:color="auto" w:fill="FFFFFF"/>
                <w:vertAlign w:val="superscript"/>
                <w:lang w:val="en-US" w:eastAsia="zh-CN" w:bidi="ar"/>
              </w:rPr>
              <w:t>2</w:t>
            </w:r>
            <w:r>
              <w:rPr>
                <w:rFonts w:hint="eastAsia" w:ascii="Times New Roman" w:hAnsi="Times New Roman" w:eastAsia="宋体" w:cs="Times New Roman"/>
                <w:kern w:val="2"/>
                <w:sz w:val="24"/>
                <w:szCs w:val="24"/>
                <w:highlight w:val="none"/>
                <w:shd w:val="clear" w:color="auto" w:fill="FFFFFF"/>
                <w:lang w:val="en-US" w:eastAsia="zh-CN" w:bidi="ar"/>
              </w:rPr>
              <w:t>/g，常被用来作为吸附有机废气的吸附剂。根据《浙江省分散吸附-集中再生活性炭法挥发性有机物治理体系建设技术指南（试行）》附录A“废气收集参数和最少活性炭装填量参考表”中活性炭最少装填量要求，本项目共设置14套活性炭吸附装置，14套活性炭装置一次装填量约为23t，因项目有机废气初始浓度较低，则活性炭更换频次按</w:t>
            </w:r>
            <w:r>
              <w:rPr>
                <w:rFonts w:hint="eastAsia" w:cs="Times New Roman"/>
                <w:kern w:val="2"/>
                <w:sz w:val="24"/>
                <w:szCs w:val="24"/>
                <w:highlight w:val="none"/>
                <w:shd w:val="clear" w:color="auto" w:fill="FFFFFF"/>
                <w:lang w:val="en-US" w:eastAsia="zh-CN" w:bidi="ar"/>
              </w:rPr>
              <w:t>半</w:t>
            </w:r>
            <w:r>
              <w:rPr>
                <w:rFonts w:hint="eastAsia" w:ascii="Times New Roman" w:hAnsi="Times New Roman" w:eastAsia="宋体" w:cs="Times New Roman"/>
                <w:kern w:val="2"/>
                <w:sz w:val="24"/>
                <w:szCs w:val="24"/>
                <w:highlight w:val="none"/>
                <w:shd w:val="clear" w:color="auto" w:fill="FFFFFF"/>
                <w:lang w:val="en-US" w:eastAsia="zh-CN" w:bidi="ar"/>
              </w:rPr>
              <w:t>年一次计，更换下来的废活性炭作危险废物。颗粒活性炭技术指标应至少符合以下要求：碘吸附值不低于800mg/g或四氯化碳吸附率不低于60%。</w:t>
            </w:r>
          </w:p>
          <w:p w14:paraId="622FBCF4">
            <w:pPr>
              <w:keepNext w:val="0"/>
              <w:keepLines w:val="0"/>
              <w:suppressLineNumbers w:val="0"/>
              <w:overflowPunct w:val="0"/>
              <w:adjustRightInd w:val="0"/>
              <w:snapToGrid w:val="0"/>
              <w:spacing w:before="0" w:beforeAutospacing="0" w:after="0" w:afterAutospacing="0" w:line="360" w:lineRule="auto"/>
              <w:ind w:left="0" w:right="0" w:firstLine="482" w:firstLineChars="200"/>
              <w:rPr>
                <w:rFonts w:hint="default" w:ascii="Times New Roman" w:hAnsi="Times New Roman" w:eastAsia="宋体" w:cs="Times New Roman"/>
                <w:b/>
                <w:kern w:val="0"/>
                <w:sz w:val="24"/>
                <w:highlight w:val="none"/>
              </w:rPr>
            </w:pPr>
            <w:r>
              <w:rPr>
                <w:rFonts w:hint="eastAsia" w:cs="Times New Roman"/>
                <w:b/>
                <w:kern w:val="0"/>
                <w:sz w:val="24"/>
                <w:highlight w:val="none"/>
                <w:lang w:val="en-US" w:eastAsia="zh-CN"/>
              </w:rPr>
              <w:t>7、</w:t>
            </w:r>
            <w:r>
              <w:rPr>
                <w:rFonts w:hint="eastAsia" w:ascii="Times New Roman" w:hAnsi="Times New Roman" w:eastAsia="宋体" w:cs="Times New Roman"/>
                <w:b/>
                <w:kern w:val="0"/>
                <w:sz w:val="24"/>
                <w:highlight w:val="none"/>
              </w:rPr>
              <w:t>废气达标性分析</w:t>
            </w:r>
          </w:p>
          <w:p w14:paraId="7EF34BA2">
            <w:pPr>
              <w:keepNext w:val="0"/>
              <w:keepLines w:val="0"/>
              <w:suppressLineNumbers w:val="0"/>
              <w:overflowPunct w:val="0"/>
              <w:adjustRightInd w:val="0"/>
              <w:snapToGrid w:val="0"/>
              <w:spacing w:before="0" w:beforeAutospacing="0" w:after="0" w:afterAutospacing="0" w:line="360" w:lineRule="auto"/>
              <w:ind w:left="0" w:right="0" w:firstLine="480" w:firstLineChars="200"/>
              <w:rPr>
                <w:rFonts w:hint="default" w:ascii="Times New Roman" w:hAnsi="Times New Roman" w:eastAsia="宋体" w:cs="Times New Roman"/>
                <w:kern w:val="0"/>
                <w:sz w:val="24"/>
                <w:highlight w:val="none"/>
              </w:rPr>
            </w:pPr>
            <w:r>
              <w:rPr>
                <w:rFonts w:hint="eastAsia" w:ascii="Times New Roman" w:hAnsi="Times New Roman" w:eastAsia="宋体" w:cs="Times New Roman"/>
                <w:kern w:val="0"/>
                <w:sz w:val="24"/>
                <w:highlight w:val="none"/>
              </w:rPr>
              <w:t>根据废气源强计算分析，</w:t>
            </w:r>
            <w:r>
              <w:rPr>
                <w:rFonts w:hint="default" w:ascii="Times New Roman" w:hAnsi="Times New Roman" w:eastAsia="宋体" w:cs="Times New Roman"/>
                <w:sz w:val="24"/>
                <w:highlight w:val="none"/>
              </w:rPr>
              <w:t>项目排气筒</w:t>
            </w:r>
            <w:r>
              <w:rPr>
                <w:rFonts w:hint="eastAsia" w:ascii="Times New Roman" w:hAnsi="Times New Roman" w:eastAsia="宋体" w:cs="Times New Roman"/>
                <w:sz w:val="24"/>
                <w:highlight w:val="none"/>
              </w:rPr>
              <w:t>（DA0</w:t>
            </w:r>
            <w:r>
              <w:rPr>
                <w:rFonts w:hint="eastAsia" w:ascii="Times New Roman" w:hAnsi="Times New Roman" w:eastAsia="宋体" w:cs="Times New Roman"/>
                <w:sz w:val="24"/>
                <w:highlight w:val="none"/>
                <w:lang w:val="en-US" w:eastAsia="zh-CN"/>
              </w:rPr>
              <w:t>0</w:t>
            </w:r>
            <w:r>
              <w:rPr>
                <w:rFonts w:hint="eastAsia" w:ascii="Times New Roman" w:hAnsi="Times New Roman" w:eastAsia="宋体" w:cs="Times New Roman"/>
                <w:sz w:val="24"/>
                <w:highlight w:val="none"/>
              </w:rPr>
              <w:t>1</w:t>
            </w:r>
            <w:r>
              <w:rPr>
                <w:rFonts w:hint="eastAsia" w:ascii="Times New Roman" w:hAnsi="Times New Roman" w:eastAsia="宋体" w:cs="Times New Roman"/>
                <w:sz w:val="24"/>
                <w:highlight w:val="none"/>
                <w:lang w:eastAsia="zh-CN"/>
              </w:rPr>
              <w:t>、</w:t>
            </w:r>
            <w:r>
              <w:rPr>
                <w:rFonts w:hint="eastAsia" w:ascii="Times New Roman" w:hAnsi="Times New Roman" w:eastAsia="宋体" w:cs="Times New Roman"/>
                <w:sz w:val="24"/>
                <w:highlight w:val="none"/>
                <w:lang w:val="en-US" w:eastAsia="zh-CN"/>
              </w:rPr>
              <w:t>DA002、DA003、DA004、DA005、DA0</w:t>
            </w:r>
            <w:r>
              <w:rPr>
                <w:rFonts w:hint="eastAsia" w:cs="Times New Roman"/>
                <w:sz w:val="24"/>
                <w:highlight w:val="none"/>
                <w:lang w:val="en-US" w:eastAsia="zh-CN"/>
              </w:rPr>
              <w:t>10</w:t>
            </w:r>
            <w:r>
              <w:rPr>
                <w:rFonts w:hint="eastAsia" w:ascii="Times New Roman" w:hAnsi="Times New Roman" w:eastAsia="宋体" w:cs="Times New Roman"/>
                <w:sz w:val="24"/>
                <w:highlight w:val="none"/>
              </w:rPr>
              <w:t>）</w:t>
            </w:r>
            <w:r>
              <w:rPr>
                <w:rFonts w:hint="default" w:ascii="Times New Roman" w:hAnsi="Times New Roman" w:eastAsia="宋体" w:cs="Times New Roman"/>
                <w:sz w:val="24"/>
                <w:highlight w:val="none"/>
              </w:rPr>
              <w:t>排放的</w:t>
            </w:r>
            <w:r>
              <w:rPr>
                <w:rFonts w:hint="eastAsia"/>
                <w:kern w:val="0"/>
                <w:sz w:val="24"/>
                <w:szCs w:val="24"/>
                <w:highlight w:val="none"/>
              </w:rPr>
              <w:t>氨、硫化氢、臭气浓度</w:t>
            </w:r>
            <w:r>
              <w:rPr>
                <w:rFonts w:hint="eastAsia" w:ascii="Times New Roman" w:hAnsi="Times New Roman" w:eastAsia="宋体" w:cs="Times New Roman"/>
                <w:sz w:val="24"/>
                <w:highlight w:val="none"/>
                <w:lang w:val="en-US" w:eastAsia="zh-CN"/>
              </w:rPr>
              <w:t>能够</w:t>
            </w:r>
            <w:r>
              <w:rPr>
                <w:rFonts w:hint="eastAsia" w:ascii="Times New Roman" w:hAnsi="Times New Roman" w:eastAsia="宋体" w:cs="Times New Roman"/>
                <w:kern w:val="0"/>
                <w:sz w:val="24"/>
                <w:highlight w:val="none"/>
              </w:rPr>
              <w:t>达到</w:t>
            </w:r>
            <w:r>
              <w:rPr>
                <w:rFonts w:hint="eastAsia"/>
                <w:kern w:val="0"/>
                <w:sz w:val="24"/>
                <w:szCs w:val="24"/>
                <w:highlight w:val="none"/>
              </w:rPr>
              <w:t>《恶臭污染物排放标准》（GB14554-93）</w:t>
            </w:r>
            <w:r>
              <w:rPr>
                <w:rFonts w:hint="eastAsia" w:ascii="Times New Roman" w:hAnsi="Times New Roman" w:eastAsia="宋体" w:cs="Times New Roman"/>
                <w:sz w:val="24"/>
                <w:highlight w:val="none"/>
              </w:rPr>
              <w:t>表2中</w:t>
            </w:r>
            <w:r>
              <w:rPr>
                <w:rFonts w:hint="eastAsia" w:ascii="Times New Roman" w:hAnsi="Times New Roman" w:eastAsia="宋体" w:cs="Times New Roman"/>
                <w:sz w:val="24"/>
                <w:highlight w:val="none"/>
                <w:lang w:val="en-US" w:eastAsia="zh-CN"/>
              </w:rPr>
              <w:t>相关</w:t>
            </w:r>
            <w:r>
              <w:rPr>
                <w:rFonts w:hint="eastAsia" w:ascii="Times New Roman" w:hAnsi="Times New Roman" w:eastAsia="宋体" w:cs="Times New Roman"/>
                <w:sz w:val="24"/>
                <w:highlight w:val="none"/>
              </w:rPr>
              <w:t>标准</w:t>
            </w:r>
            <w:r>
              <w:rPr>
                <w:rFonts w:hint="eastAsia" w:cs="Times New Roman"/>
                <w:sz w:val="24"/>
                <w:highlight w:val="none"/>
                <w:lang w:eastAsia="zh-CN"/>
              </w:rPr>
              <w:t>，</w:t>
            </w:r>
            <w:r>
              <w:rPr>
                <w:rFonts w:hint="eastAsia" w:cs="Times New Roman"/>
                <w:sz w:val="24"/>
                <w:highlight w:val="none"/>
                <w:lang w:val="en-US" w:eastAsia="zh-CN"/>
              </w:rPr>
              <w:t>颗粒物</w:t>
            </w:r>
            <w:r>
              <w:rPr>
                <w:rFonts w:hint="eastAsia" w:ascii="Times New Roman" w:hAnsi="Times New Roman" w:eastAsia="宋体" w:cs="Times New Roman"/>
                <w:sz w:val="24"/>
                <w:highlight w:val="none"/>
                <w:lang w:val="en-US" w:eastAsia="zh-CN"/>
              </w:rPr>
              <w:t>能够</w:t>
            </w:r>
            <w:r>
              <w:rPr>
                <w:rFonts w:hint="eastAsia" w:ascii="Times New Roman" w:hAnsi="Times New Roman" w:eastAsia="宋体" w:cs="Times New Roman"/>
                <w:kern w:val="0"/>
                <w:sz w:val="24"/>
                <w:highlight w:val="none"/>
              </w:rPr>
              <w:t>达到</w:t>
            </w:r>
            <w:r>
              <w:rPr>
                <w:rFonts w:hint="eastAsia"/>
                <w:kern w:val="0"/>
                <w:sz w:val="24"/>
                <w:szCs w:val="24"/>
                <w:highlight w:val="none"/>
              </w:rPr>
              <w:t>《大气污染物综合排放标准》（GB16297-1996）中表2中的二级标准</w:t>
            </w:r>
            <w:r>
              <w:rPr>
                <w:rFonts w:hint="eastAsia" w:ascii="Times New Roman" w:hAnsi="Times New Roman" w:eastAsia="宋体" w:cs="Times New Roman"/>
                <w:sz w:val="24"/>
                <w:highlight w:val="none"/>
                <w:lang w:eastAsia="zh-CN"/>
              </w:rPr>
              <w:t>；</w:t>
            </w:r>
            <w:r>
              <w:rPr>
                <w:rFonts w:hint="default" w:ascii="Times New Roman" w:hAnsi="Times New Roman" w:eastAsia="宋体" w:cs="Times New Roman"/>
                <w:sz w:val="24"/>
                <w:highlight w:val="none"/>
              </w:rPr>
              <w:t>项目排气筒</w:t>
            </w:r>
            <w:r>
              <w:rPr>
                <w:rFonts w:hint="eastAsia" w:ascii="Times New Roman" w:hAnsi="Times New Roman" w:eastAsia="宋体" w:cs="Times New Roman"/>
                <w:sz w:val="24"/>
                <w:highlight w:val="none"/>
              </w:rPr>
              <w:t>（</w:t>
            </w:r>
            <w:r>
              <w:rPr>
                <w:rFonts w:hint="eastAsia" w:ascii="Times New Roman" w:hAnsi="Times New Roman" w:eastAsia="宋体" w:cs="Times New Roman"/>
                <w:sz w:val="24"/>
                <w:highlight w:val="none"/>
                <w:lang w:val="en-US" w:eastAsia="zh-CN"/>
              </w:rPr>
              <w:t>DA006、DA007、DA008、DA009、DA010</w:t>
            </w:r>
            <w:r>
              <w:rPr>
                <w:rFonts w:hint="eastAsia" w:ascii="Times New Roman" w:hAnsi="Times New Roman" w:eastAsia="宋体" w:cs="Times New Roman"/>
                <w:sz w:val="24"/>
                <w:highlight w:val="none"/>
              </w:rPr>
              <w:t>）</w:t>
            </w:r>
            <w:r>
              <w:rPr>
                <w:rFonts w:hint="default" w:ascii="Times New Roman" w:hAnsi="Times New Roman" w:eastAsia="宋体" w:cs="Times New Roman"/>
                <w:sz w:val="24"/>
                <w:highlight w:val="none"/>
              </w:rPr>
              <w:t>排放的</w:t>
            </w:r>
            <w:r>
              <w:rPr>
                <w:rFonts w:hint="eastAsia" w:ascii="Times New Roman" w:hAnsi="Times New Roman" w:eastAsia="宋体" w:cs="Times New Roman"/>
                <w:sz w:val="24"/>
                <w:highlight w:val="none"/>
              </w:rPr>
              <w:t>非甲烷总烃</w:t>
            </w:r>
            <w:r>
              <w:rPr>
                <w:rFonts w:hint="eastAsia" w:ascii="Times New Roman" w:hAnsi="Times New Roman" w:eastAsia="宋体" w:cs="Times New Roman"/>
                <w:sz w:val="24"/>
                <w:highlight w:val="none"/>
                <w:lang w:eastAsia="zh-CN"/>
              </w:rPr>
              <w:t>、</w:t>
            </w:r>
            <w:r>
              <w:rPr>
                <w:rFonts w:hint="eastAsia" w:ascii="Times New Roman" w:hAnsi="Times New Roman" w:eastAsia="宋体" w:cs="Times New Roman"/>
                <w:sz w:val="24"/>
                <w:highlight w:val="none"/>
              </w:rPr>
              <w:t>氯气</w:t>
            </w:r>
            <w:r>
              <w:rPr>
                <w:rFonts w:hint="eastAsia" w:ascii="Times New Roman" w:hAnsi="Times New Roman" w:eastAsia="宋体" w:cs="Times New Roman"/>
                <w:sz w:val="24"/>
                <w:highlight w:val="none"/>
                <w:lang w:eastAsia="zh-CN"/>
              </w:rPr>
              <w:t>、</w:t>
            </w:r>
            <w:r>
              <w:rPr>
                <w:rFonts w:hint="eastAsia" w:ascii="Times New Roman" w:hAnsi="Times New Roman" w:eastAsia="宋体" w:cs="Times New Roman"/>
                <w:sz w:val="24"/>
                <w:highlight w:val="none"/>
              </w:rPr>
              <w:t>甲醛</w:t>
            </w:r>
            <w:r>
              <w:rPr>
                <w:rFonts w:hint="eastAsia" w:ascii="Times New Roman" w:hAnsi="Times New Roman" w:eastAsia="宋体" w:cs="Times New Roman"/>
                <w:sz w:val="24"/>
                <w:highlight w:val="none"/>
                <w:lang w:val="en-US" w:eastAsia="zh-CN"/>
              </w:rPr>
              <w:t>能够达到</w:t>
            </w:r>
            <w:r>
              <w:rPr>
                <w:rFonts w:hint="eastAsia"/>
                <w:kern w:val="0"/>
                <w:sz w:val="24"/>
                <w:szCs w:val="24"/>
                <w:highlight w:val="none"/>
              </w:rPr>
              <w:t>《大气污染物综合排放标准》（GB16297-1996）中表2中的二级标准</w:t>
            </w:r>
            <w:r>
              <w:rPr>
                <w:rFonts w:hint="eastAsia"/>
                <w:kern w:val="0"/>
                <w:sz w:val="24"/>
                <w:szCs w:val="24"/>
                <w:highlight w:val="none"/>
                <w:lang w:eastAsia="zh-CN"/>
              </w:rPr>
              <w:t>；</w:t>
            </w:r>
            <w:r>
              <w:rPr>
                <w:rFonts w:hint="eastAsia"/>
                <w:kern w:val="0"/>
                <w:sz w:val="24"/>
                <w:szCs w:val="24"/>
                <w:highlight w:val="none"/>
                <w:lang w:val="en-US" w:eastAsia="zh-CN"/>
              </w:rPr>
              <w:t>项目</w:t>
            </w:r>
            <w:r>
              <w:rPr>
                <w:rFonts w:hint="default" w:ascii="Times New Roman" w:hAnsi="Times New Roman" w:eastAsia="宋体" w:cs="Times New Roman"/>
                <w:sz w:val="24"/>
                <w:highlight w:val="none"/>
              </w:rPr>
              <w:t>排气筒</w:t>
            </w:r>
            <w:r>
              <w:rPr>
                <w:rFonts w:hint="eastAsia" w:ascii="Times New Roman" w:hAnsi="Times New Roman" w:eastAsia="宋体" w:cs="Times New Roman"/>
                <w:sz w:val="24"/>
                <w:highlight w:val="none"/>
              </w:rPr>
              <w:t>（</w:t>
            </w:r>
            <w:r>
              <w:rPr>
                <w:rFonts w:hint="eastAsia" w:ascii="Times New Roman" w:hAnsi="Times New Roman" w:eastAsia="宋体" w:cs="Times New Roman"/>
                <w:sz w:val="24"/>
                <w:highlight w:val="none"/>
                <w:lang w:val="en-US" w:eastAsia="zh-CN"/>
              </w:rPr>
              <w:t>DA011、DA012、DA013、DA014、DA015、DA016、DA017、DA018、DA019</w:t>
            </w:r>
            <w:r>
              <w:rPr>
                <w:rFonts w:hint="eastAsia" w:ascii="Times New Roman" w:hAnsi="Times New Roman" w:eastAsia="宋体" w:cs="Times New Roman"/>
                <w:sz w:val="24"/>
                <w:highlight w:val="none"/>
              </w:rPr>
              <w:t>）</w:t>
            </w:r>
            <w:r>
              <w:rPr>
                <w:rFonts w:hint="default" w:ascii="Times New Roman" w:hAnsi="Times New Roman" w:eastAsia="宋体" w:cs="Times New Roman"/>
                <w:sz w:val="24"/>
                <w:highlight w:val="none"/>
              </w:rPr>
              <w:t>排放的</w:t>
            </w:r>
            <w:r>
              <w:rPr>
                <w:rFonts w:hint="eastAsia" w:ascii="Times New Roman" w:hAnsi="Times New Roman" w:eastAsia="宋体" w:cs="Times New Roman"/>
                <w:sz w:val="24"/>
                <w:highlight w:val="none"/>
                <w:lang w:val="en-US" w:eastAsia="zh-CN"/>
              </w:rPr>
              <w:t>非甲烷总烃、氯化氢达到《制药工业大气污染物排放标准》（GB37823-2019）表2中“化学药品原料药制造、兽用药品原料药制造、生物药品制品制造、医药中间体生产和药物研发机构工艺废气”的特别排放限值要求，硫酸雾达到《大气污染物综合排放标准》（GB16297-1996）中表2中的二级标准。</w:t>
            </w:r>
            <w:r>
              <w:rPr>
                <w:rFonts w:hint="eastAsia" w:ascii="Times New Roman" w:hAnsi="Times New Roman" w:eastAsia="宋体" w:cs="Times New Roman"/>
                <w:sz w:val="24"/>
                <w:highlight w:val="none"/>
              </w:rPr>
              <w:t>具体</w:t>
            </w:r>
            <w:r>
              <w:rPr>
                <w:rFonts w:hint="eastAsia" w:ascii="Times New Roman" w:hAnsi="Times New Roman" w:eastAsia="宋体" w:cs="Times New Roman"/>
                <w:kern w:val="0"/>
                <w:sz w:val="24"/>
                <w:highlight w:val="none"/>
              </w:rPr>
              <w:t>废气达标性分析见表</w:t>
            </w:r>
            <w:r>
              <w:rPr>
                <w:rFonts w:hint="eastAsia" w:ascii="Times New Roman" w:hAnsi="Times New Roman" w:eastAsia="宋体" w:cs="Times New Roman"/>
                <w:kern w:val="0"/>
                <w:sz w:val="24"/>
                <w:highlight w:val="none"/>
                <w:lang w:val="en-US" w:eastAsia="zh-CN"/>
              </w:rPr>
              <w:t>7</w:t>
            </w:r>
            <w:r>
              <w:rPr>
                <w:rFonts w:hint="eastAsia" w:ascii="Times New Roman" w:hAnsi="Times New Roman" w:eastAsia="宋体" w:cs="Times New Roman"/>
                <w:kern w:val="0"/>
                <w:sz w:val="24"/>
                <w:highlight w:val="none"/>
              </w:rPr>
              <w:t>-</w:t>
            </w:r>
            <w:r>
              <w:rPr>
                <w:rFonts w:hint="eastAsia" w:cs="Times New Roman"/>
                <w:kern w:val="0"/>
                <w:sz w:val="24"/>
                <w:highlight w:val="none"/>
                <w:lang w:val="en-US" w:eastAsia="zh-CN"/>
              </w:rPr>
              <w:t>25</w:t>
            </w:r>
            <w:r>
              <w:rPr>
                <w:rFonts w:hint="eastAsia" w:ascii="Times New Roman" w:hAnsi="Times New Roman" w:eastAsia="宋体" w:cs="Times New Roman"/>
                <w:kern w:val="0"/>
                <w:sz w:val="24"/>
                <w:highlight w:val="none"/>
              </w:rPr>
              <w:t>。</w:t>
            </w:r>
          </w:p>
          <w:p w14:paraId="546D9F13">
            <w:pPr>
              <w:keepNext w:val="0"/>
              <w:keepLines w:val="0"/>
              <w:suppressLineNumbers w:val="0"/>
              <w:adjustRightInd w:val="0"/>
              <w:snapToGrid w:val="0"/>
              <w:spacing w:before="0" w:beforeAutospacing="0" w:after="0" w:afterAutospacing="0" w:line="360" w:lineRule="auto"/>
              <w:ind w:left="0" w:right="0" w:firstLine="482" w:firstLineChars="200"/>
              <w:jc w:val="center"/>
              <w:rPr>
                <w:rFonts w:hint="default" w:ascii="Times New Roman" w:hAnsi="Times New Roman" w:eastAsia="宋体" w:cs="Times New Roman"/>
                <w:b/>
                <w:sz w:val="24"/>
                <w:highlight w:val="none"/>
              </w:rPr>
            </w:pPr>
            <w:r>
              <w:rPr>
                <w:rFonts w:hint="default" w:ascii="Times New Roman" w:hAnsi="Times New Roman" w:eastAsia="宋体" w:cs="Times New Roman"/>
                <w:b/>
                <w:sz w:val="24"/>
                <w:highlight w:val="none"/>
              </w:rPr>
              <w:t>表</w:t>
            </w:r>
            <w:r>
              <w:rPr>
                <w:rFonts w:hint="eastAsia" w:ascii="Times New Roman" w:hAnsi="Times New Roman" w:eastAsia="宋体" w:cs="Times New Roman"/>
                <w:b/>
                <w:sz w:val="24"/>
                <w:highlight w:val="none"/>
                <w:lang w:val="en-US" w:eastAsia="zh-CN"/>
              </w:rPr>
              <w:t>7</w:t>
            </w:r>
            <w:r>
              <w:rPr>
                <w:rFonts w:hint="eastAsia" w:ascii="Times New Roman" w:hAnsi="Times New Roman" w:eastAsia="宋体" w:cs="Times New Roman"/>
                <w:b/>
                <w:sz w:val="24"/>
                <w:highlight w:val="none"/>
              </w:rPr>
              <w:t>-</w:t>
            </w:r>
            <w:r>
              <w:rPr>
                <w:rFonts w:hint="eastAsia" w:cs="Times New Roman"/>
                <w:b/>
                <w:sz w:val="24"/>
                <w:highlight w:val="none"/>
                <w:lang w:val="en-US" w:eastAsia="zh-CN"/>
              </w:rPr>
              <w:t>25</w:t>
            </w:r>
            <w:r>
              <w:rPr>
                <w:rFonts w:hint="eastAsia" w:ascii="Times New Roman" w:hAnsi="Times New Roman" w:eastAsia="宋体" w:cs="Times New Roman"/>
                <w:b/>
                <w:sz w:val="24"/>
                <w:highlight w:val="none"/>
              </w:rPr>
              <w:t xml:space="preserve"> 废气达标排放情况一览表</w:t>
            </w:r>
          </w:p>
          <w:tbl>
            <w:tblPr>
              <w:tblStyle w:val="32"/>
              <w:tblW w:w="4996"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95"/>
              <w:gridCol w:w="1162"/>
              <w:gridCol w:w="1290"/>
              <w:gridCol w:w="1124"/>
              <w:gridCol w:w="1051"/>
              <w:gridCol w:w="840"/>
              <w:gridCol w:w="1095"/>
              <w:gridCol w:w="722"/>
            </w:tblGrid>
            <w:tr w14:paraId="558237B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547" w:type="pct"/>
                  <w:vMerge w:val="restart"/>
                  <w:noWrap w:val="0"/>
                  <w:tcMar>
                    <w:left w:w="57" w:type="dxa"/>
                    <w:right w:w="57" w:type="dxa"/>
                  </w:tcMar>
                  <w:vAlign w:val="center"/>
                </w:tcPr>
                <w:p w14:paraId="7F22FF5A">
                  <w:pPr>
                    <w:keepNext w:val="0"/>
                    <w:keepLines w:val="0"/>
                    <w:suppressLineNumbers w:val="0"/>
                    <w:adjustRightInd w:val="0"/>
                    <w:snapToGrid w:val="0"/>
                    <w:spacing w:before="0" w:beforeAutospacing="0" w:after="0" w:afterAutospacing="0" w:line="276" w:lineRule="auto"/>
                    <w:ind w:left="0" w:right="0"/>
                    <w:jc w:val="center"/>
                    <w:rPr>
                      <w:rFonts w:hint="default" w:ascii="Times New Roman" w:hAnsi="Times New Roman" w:eastAsia="宋体" w:cs="Times New Roman"/>
                      <w:sz w:val="21"/>
                      <w:szCs w:val="21"/>
                      <w:highlight w:val="none"/>
                    </w:rPr>
                  </w:pPr>
                  <w:r>
                    <w:rPr>
                      <w:rFonts w:hint="eastAsia" w:ascii="Times New Roman" w:hAnsi="Times New Roman" w:eastAsia="宋体" w:cs="Times New Roman"/>
                      <w:sz w:val="21"/>
                      <w:szCs w:val="21"/>
                      <w:highlight w:val="none"/>
                    </w:rPr>
                    <w:t>排放口编号</w:t>
                  </w:r>
                </w:p>
              </w:tc>
              <w:tc>
                <w:tcPr>
                  <w:tcW w:w="710" w:type="pct"/>
                  <w:vMerge w:val="restart"/>
                  <w:noWrap w:val="0"/>
                  <w:tcMar>
                    <w:left w:w="57" w:type="dxa"/>
                    <w:right w:w="57" w:type="dxa"/>
                  </w:tcMar>
                  <w:vAlign w:val="center"/>
                </w:tcPr>
                <w:p w14:paraId="7DF0A483">
                  <w:pPr>
                    <w:keepNext w:val="0"/>
                    <w:keepLines w:val="0"/>
                    <w:suppressLineNumbers w:val="0"/>
                    <w:adjustRightInd w:val="0"/>
                    <w:snapToGrid w:val="0"/>
                    <w:spacing w:before="0" w:beforeAutospacing="0" w:after="0" w:afterAutospacing="0" w:line="276" w:lineRule="auto"/>
                    <w:ind w:left="0" w:right="0"/>
                    <w:jc w:val="center"/>
                    <w:rPr>
                      <w:rFonts w:hint="default" w:ascii="Times New Roman" w:hAnsi="Times New Roman" w:eastAsia="宋体" w:cs="Times New Roman"/>
                      <w:sz w:val="21"/>
                      <w:szCs w:val="21"/>
                      <w:highlight w:val="none"/>
                    </w:rPr>
                  </w:pPr>
                  <w:r>
                    <w:rPr>
                      <w:rFonts w:hint="eastAsia" w:ascii="Times New Roman" w:hAnsi="Times New Roman" w:eastAsia="宋体" w:cs="Times New Roman"/>
                      <w:sz w:val="21"/>
                      <w:szCs w:val="21"/>
                      <w:highlight w:val="none"/>
                    </w:rPr>
                    <w:t>排放口名称</w:t>
                  </w:r>
                </w:p>
              </w:tc>
              <w:tc>
                <w:tcPr>
                  <w:tcW w:w="788" w:type="pct"/>
                  <w:vMerge w:val="restart"/>
                  <w:noWrap w:val="0"/>
                  <w:tcMar>
                    <w:left w:w="57" w:type="dxa"/>
                    <w:right w:w="57" w:type="dxa"/>
                  </w:tcMar>
                  <w:vAlign w:val="center"/>
                </w:tcPr>
                <w:p w14:paraId="30C56E0C">
                  <w:pPr>
                    <w:keepNext w:val="0"/>
                    <w:keepLines w:val="0"/>
                    <w:suppressLineNumbers w:val="0"/>
                    <w:overflowPunct w:val="0"/>
                    <w:adjustRightInd w:val="0"/>
                    <w:snapToGrid w:val="0"/>
                    <w:spacing w:before="0" w:beforeAutospacing="0" w:after="0" w:afterAutospacing="0" w:line="276" w:lineRule="auto"/>
                    <w:ind w:left="0" w:right="0"/>
                    <w:jc w:val="center"/>
                    <w:rPr>
                      <w:rFonts w:hint="default" w:ascii="Times New Roman" w:hAnsi="Times New Roman" w:eastAsia="宋体" w:cs="Times New Roman"/>
                      <w:kern w:val="0"/>
                      <w:sz w:val="21"/>
                      <w:szCs w:val="21"/>
                      <w:highlight w:val="none"/>
                    </w:rPr>
                  </w:pPr>
                  <w:r>
                    <w:rPr>
                      <w:rFonts w:hint="eastAsia" w:ascii="Times New Roman" w:hAnsi="Times New Roman" w:eastAsia="宋体" w:cs="Times New Roman"/>
                      <w:kern w:val="0"/>
                      <w:sz w:val="21"/>
                      <w:szCs w:val="21"/>
                      <w:highlight w:val="none"/>
                    </w:rPr>
                    <w:t>污染物</w:t>
                  </w:r>
                </w:p>
              </w:tc>
              <w:tc>
                <w:tcPr>
                  <w:tcW w:w="1329" w:type="pct"/>
                  <w:gridSpan w:val="2"/>
                  <w:noWrap w:val="0"/>
                  <w:tcMar>
                    <w:left w:w="57" w:type="dxa"/>
                    <w:right w:w="57" w:type="dxa"/>
                  </w:tcMar>
                  <w:vAlign w:val="center"/>
                </w:tcPr>
                <w:p w14:paraId="31897360">
                  <w:pPr>
                    <w:keepNext w:val="0"/>
                    <w:keepLines w:val="0"/>
                    <w:suppressLineNumbers w:val="0"/>
                    <w:adjustRightInd w:val="0"/>
                    <w:snapToGrid w:val="0"/>
                    <w:spacing w:before="0" w:beforeAutospacing="0" w:after="0" w:afterAutospacing="0" w:line="276" w:lineRule="auto"/>
                    <w:ind w:left="0" w:right="0"/>
                    <w:jc w:val="center"/>
                    <w:rPr>
                      <w:rFonts w:hint="default" w:ascii="Times New Roman" w:hAnsi="Times New Roman" w:eastAsia="宋体" w:cs="Times New Roman"/>
                      <w:sz w:val="21"/>
                      <w:szCs w:val="21"/>
                      <w:highlight w:val="none"/>
                    </w:rPr>
                  </w:pPr>
                  <w:r>
                    <w:rPr>
                      <w:rFonts w:hint="eastAsia" w:ascii="Times New Roman" w:hAnsi="Times New Roman" w:eastAsia="宋体" w:cs="Times New Roman"/>
                      <w:sz w:val="21"/>
                      <w:szCs w:val="21"/>
                      <w:highlight w:val="none"/>
                    </w:rPr>
                    <w:t>排放情况</w:t>
                  </w:r>
                </w:p>
              </w:tc>
              <w:tc>
                <w:tcPr>
                  <w:tcW w:w="1182" w:type="pct"/>
                  <w:gridSpan w:val="2"/>
                  <w:noWrap w:val="0"/>
                  <w:tcMar>
                    <w:left w:w="57" w:type="dxa"/>
                    <w:right w:w="57" w:type="dxa"/>
                  </w:tcMar>
                  <w:vAlign w:val="center"/>
                </w:tcPr>
                <w:p w14:paraId="45C9A288">
                  <w:pPr>
                    <w:keepNext w:val="0"/>
                    <w:keepLines w:val="0"/>
                    <w:suppressLineNumbers w:val="0"/>
                    <w:overflowPunct w:val="0"/>
                    <w:adjustRightInd w:val="0"/>
                    <w:snapToGrid w:val="0"/>
                    <w:spacing w:before="0" w:beforeAutospacing="0" w:after="0" w:afterAutospacing="0" w:line="276" w:lineRule="auto"/>
                    <w:ind w:left="0" w:right="0"/>
                    <w:jc w:val="center"/>
                    <w:rPr>
                      <w:rFonts w:hint="default" w:ascii="Times New Roman" w:hAnsi="Times New Roman" w:eastAsia="宋体" w:cs="Times New Roman"/>
                      <w:kern w:val="0"/>
                      <w:sz w:val="21"/>
                      <w:szCs w:val="21"/>
                      <w:highlight w:val="none"/>
                    </w:rPr>
                  </w:pPr>
                  <w:r>
                    <w:rPr>
                      <w:rFonts w:hint="eastAsia" w:ascii="Times New Roman" w:hAnsi="Times New Roman" w:eastAsia="宋体" w:cs="Times New Roman"/>
                      <w:kern w:val="0"/>
                      <w:sz w:val="21"/>
                      <w:szCs w:val="21"/>
                      <w:highlight w:val="none"/>
                    </w:rPr>
                    <w:t>执行标准</w:t>
                  </w:r>
                </w:p>
              </w:tc>
              <w:tc>
                <w:tcPr>
                  <w:tcW w:w="441" w:type="pct"/>
                  <w:vMerge w:val="restart"/>
                  <w:noWrap w:val="0"/>
                  <w:tcMar>
                    <w:left w:w="57" w:type="dxa"/>
                    <w:right w:w="57" w:type="dxa"/>
                  </w:tcMar>
                  <w:vAlign w:val="center"/>
                </w:tcPr>
                <w:p w14:paraId="1FCEB547">
                  <w:pPr>
                    <w:keepNext w:val="0"/>
                    <w:keepLines w:val="0"/>
                    <w:suppressLineNumbers w:val="0"/>
                    <w:overflowPunct w:val="0"/>
                    <w:adjustRightInd w:val="0"/>
                    <w:snapToGrid w:val="0"/>
                    <w:spacing w:before="0" w:beforeAutospacing="0" w:after="0" w:afterAutospacing="0" w:line="276" w:lineRule="auto"/>
                    <w:ind w:left="0" w:right="0"/>
                    <w:jc w:val="center"/>
                    <w:rPr>
                      <w:rFonts w:hint="default" w:ascii="Times New Roman" w:hAnsi="Times New Roman" w:eastAsia="宋体" w:cs="Times New Roman"/>
                      <w:kern w:val="0"/>
                      <w:sz w:val="21"/>
                      <w:szCs w:val="21"/>
                      <w:highlight w:val="none"/>
                    </w:rPr>
                  </w:pPr>
                  <w:r>
                    <w:rPr>
                      <w:rFonts w:hint="eastAsia" w:ascii="Times New Roman" w:hAnsi="Times New Roman" w:eastAsia="宋体" w:cs="Times New Roman"/>
                      <w:kern w:val="0"/>
                      <w:sz w:val="21"/>
                      <w:szCs w:val="21"/>
                      <w:highlight w:val="none"/>
                    </w:rPr>
                    <w:t>达标情况</w:t>
                  </w:r>
                </w:p>
              </w:tc>
            </w:tr>
            <w:tr w14:paraId="1017155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8" w:hRule="atLeast"/>
                <w:jc w:val="center"/>
              </w:trPr>
              <w:tc>
                <w:tcPr>
                  <w:tcW w:w="547" w:type="pct"/>
                  <w:vMerge w:val="continue"/>
                  <w:noWrap w:val="0"/>
                  <w:tcMar>
                    <w:left w:w="57" w:type="dxa"/>
                    <w:right w:w="57" w:type="dxa"/>
                  </w:tcMar>
                  <w:vAlign w:val="center"/>
                </w:tcPr>
                <w:p w14:paraId="181D6E3E">
                  <w:pPr>
                    <w:keepNext w:val="0"/>
                    <w:keepLines w:val="0"/>
                    <w:suppressLineNumbers w:val="0"/>
                    <w:adjustRightInd w:val="0"/>
                    <w:snapToGrid w:val="0"/>
                    <w:spacing w:before="0" w:beforeAutospacing="0" w:after="0" w:afterAutospacing="0" w:line="276" w:lineRule="auto"/>
                    <w:ind w:left="0" w:right="0"/>
                    <w:jc w:val="center"/>
                    <w:rPr>
                      <w:rFonts w:hint="default" w:ascii="Times New Roman" w:hAnsi="Times New Roman" w:eastAsia="宋体" w:cs="Times New Roman"/>
                      <w:sz w:val="21"/>
                      <w:szCs w:val="21"/>
                      <w:highlight w:val="none"/>
                    </w:rPr>
                  </w:pPr>
                </w:p>
              </w:tc>
              <w:tc>
                <w:tcPr>
                  <w:tcW w:w="710" w:type="pct"/>
                  <w:vMerge w:val="continue"/>
                  <w:noWrap w:val="0"/>
                  <w:tcMar>
                    <w:left w:w="57" w:type="dxa"/>
                    <w:right w:w="57" w:type="dxa"/>
                  </w:tcMar>
                  <w:vAlign w:val="center"/>
                </w:tcPr>
                <w:p w14:paraId="1D606DAE">
                  <w:pPr>
                    <w:keepNext w:val="0"/>
                    <w:keepLines w:val="0"/>
                    <w:suppressLineNumbers w:val="0"/>
                    <w:adjustRightInd w:val="0"/>
                    <w:snapToGrid w:val="0"/>
                    <w:spacing w:before="0" w:beforeAutospacing="0" w:after="0" w:afterAutospacing="0" w:line="276" w:lineRule="auto"/>
                    <w:ind w:left="0" w:right="0"/>
                    <w:jc w:val="center"/>
                    <w:rPr>
                      <w:rFonts w:hint="default" w:ascii="Times New Roman" w:hAnsi="Times New Roman" w:eastAsia="宋体" w:cs="Times New Roman"/>
                      <w:sz w:val="21"/>
                      <w:szCs w:val="21"/>
                      <w:highlight w:val="none"/>
                    </w:rPr>
                  </w:pPr>
                </w:p>
              </w:tc>
              <w:tc>
                <w:tcPr>
                  <w:tcW w:w="788" w:type="pct"/>
                  <w:vMerge w:val="continue"/>
                  <w:noWrap w:val="0"/>
                  <w:tcMar>
                    <w:left w:w="57" w:type="dxa"/>
                    <w:right w:w="57" w:type="dxa"/>
                  </w:tcMar>
                  <w:vAlign w:val="center"/>
                </w:tcPr>
                <w:p w14:paraId="72E682B4">
                  <w:pPr>
                    <w:keepNext w:val="0"/>
                    <w:keepLines w:val="0"/>
                    <w:suppressLineNumbers w:val="0"/>
                    <w:overflowPunct w:val="0"/>
                    <w:adjustRightInd w:val="0"/>
                    <w:snapToGrid w:val="0"/>
                    <w:spacing w:before="0" w:beforeAutospacing="0" w:after="0" w:afterAutospacing="0" w:line="276" w:lineRule="auto"/>
                    <w:ind w:left="0" w:right="0"/>
                    <w:jc w:val="center"/>
                    <w:rPr>
                      <w:rFonts w:hint="default" w:ascii="Times New Roman" w:hAnsi="Times New Roman" w:eastAsia="宋体" w:cs="Times New Roman"/>
                      <w:kern w:val="0"/>
                      <w:sz w:val="21"/>
                      <w:szCs w:val="21"/>
                      <w:highlight w:val="none"/>
                    </w:rPr>
                  </w:pPr>
                </w:p>
              </w:tc>
              <w:tc>
                <w:tcPr>
                  <w:tcW w:w="687" w:type="pct"/>
                  <w:noWrap w:val="0"/>
                  <w:tcMar>
                    <w:left w:w="57" w:type="dxa"/>
                    <w:right w:w="57" w:type="dxa"/>
                  </w:tcMar>
                  <w:vAlign w:val="center"/>
                </w:tcPr>
                <w:p w14:paraId="14627138">
                  <w:pPr>
                    <w:keepNext w:val="0"/>
                    <w:keepLines w:val="0"/>
                    <w:suppressLineNumbers w:val="0"/>
                    <w:overflowPunct w:val="0"/>
                    <w:adjustRightInd w:val="0"/>
                    <w:snapToGrid w:val="0"/>
                    <w:spacing w:before="0" w:beforeAutospacing="0" w:after="0" w:afterAutospacing="0" w:line="276" w:lineRule="auto"/>
                    <w:ind w:left="0" w:right="0"/>
                    <w:jc w:val="center"/>
                    <w:rPr>
                      <w:rFonts w:hint="default" w:ascii="Times New Roman" w:hAnsi="Times New Roman" w:eastAsia="宋体" w:cs="Times New Roman"/>
                      <w:kern w:val="0"/>
                      <w:sz w:val="21"/>
                      <w:szCs w:val="21"/>
                      <w:highlight w:val="none"/>
                    </w:rPr>
                  </w:pPr>
                  <w:r>
                    <w:rPr>
                      <w:rFonts w:hint="default" w:ascii="Times New Roman" w:hAnsi="Times New Roman" w:eastAsia="宋体" w:cs="Times New Roman"/>
                      <w:sz w:val="21"/>
                      <w:szCs w:val="21"/>
                      <w:highlight w:val="none"/>
                    </w:rPr>
                    <w:t>速率</w:t>
                  </w:r>
                  <w:r>
                    <w:rPr>
                      <w:rFonts w:hint="eastAsia" w:ascii="Times New Roman" w:hAnsi="Times New Roman" w:eastAsia="宋体" w:cs="Times New Roman"/>
                      <w:sz w:val="21"/>
                      <w:szCs w:val="21"/>
                      <w:highlight w:val="none"/>
                    </w:rPr>
                    <w:t>kg/h</w:t>
                  </w:r>
                </w:p>
              </w:tc>
              <w:tc>
                <w:tcPr>
                  <w:tcW w:w="641" w:type="pct"/>
                  <w:noWrap w:val="0"/>
                  <w:tcMar>
                    <w:left w:w="57" w:type="dxa"/>
                    <w:right w:w="57" w:type="dxa"/>
                  </w:tcMar>
                  <w:vAlign w:val="center"/>
                </w:tcPr>
                <w:p w14:paraId="3917E1DA">
                  <w:pPr>
                    <w:keepNext w:val="0"/>
                    <w:keepLines w:val="0"/>
                    <w:suppressLineNumbers w:val="0"/>
                    <w:overflowPunct w:val="0"/>
                    <w:adjustRightInd w:val="0"/>
                    <w:snapToGrid w:val="0"/>
                    <w:spacing w:before="0" w:beforeAutospacing="0" w:after="0" w:afterAutospacing="0" w:line="276" w:lineRule="auto"/>
                    <w:ind w:left="0" w:right="0"/>
                    <w:jc w:val="center"/>
                    <w:rPr>
                      <w:rFonts w:hint="default" w:ascii="Times New Roman" w:hAnsi="Times New Roman" w:eastAsia="宋体" w:cs="Times New Roman"/>
                      <w:kern w:val="0"/>
                      <w:sz w:val="21"/>
                      <w:szCs w:val="21"/>
                      <w:highlight w:val="none"/>
                    </w:rPr>
                  </w:pPr>
                  <w:r>
                    <w:rPr>
                      <w:rFonts w:hint="default" w:ascii="Times New Roman" w:hAnsi="Times New Roman" w:eastAsia="宋体" w:cs="Times New Roman"/>
                      <w:sz w:val="21"/>
                      <w:szCs w:val="21"/>
                      <w:highlight w:val="none"/>
                    </w:rPr>
                    <w:t>浓度</w:t>
                  </w:r>
                  <w:r>
                    <w:rPr>
                      <w:rFonts w:hint="eastAsia" w:ascii="Times New Roman" w:hAnsi="Times New Roman" w:eastAsia="宋体" w:cs="Times New Roman"/>
                      <w:sz w:val="21"/>
                      <w:szCs w:val="21"/>
                      <w:highlight w:val="none"/>
                    </w:rPr>
                    <w:t>mg/m</w:t>
                  </w:r>
                  <w:r>
                    <w:rPr>
                      <w:rFonts w:hint="eastAsia" w:ascii="Times New Roman" w:hAnsi="Times New Roman" w:eastAsia="宋体" w:cs="Times New Roman"/>
                      <w:sz w:val="21"/>
                      <w:szCs w:val="21"/>
                      <w:highlight w:val="none"/>
                      <w:vertAlign w:val="superscript"/>
                    </w:rPr>
                    <w:t>3</w:t>
                  </w:r>
                </w:p>
              </w:tc>
              <w:tc>
                <w:tcPr>
                  <w:tcW w:w="513" w:type="pct"/>
                  <w:noWrap w:val="0"/>
                  <w:tcMar>
                    <w:left w:w="57" w:type="dxa"/>
                    <w:right w:w="57" w:type="dxa"/>
                  </w:tcMar>
                  <w:vAlign w:val="center"/>
                </w:tcPr>
                <w:p w14:paraId="563827F3">
                  <w:pPr>
                    <w:keepNext w:val="0"/>
                    <w:keepLines w:val="0"/>
                    <w:suppressLineNumbers w:val="0"/>
                    <w:overflowPunct w:val="0"/>
                    <w:adjustRightInd w:val="0"/>
                    <w:snapToGrid w:val="0"/>
                    <w:spacing w:before="0" w:beforeAutospacing="0" w:after="0" w:afterAutospacing="0" w:line="276" w:lineRule="auto"/>
                    <w:ind w:left="0" w:right="0"/>
                    <w:jc w:val="center"/>
                    <w:rPr>
                      <w:rFonts w:hint="default" w:ascii="Times New Roman" w:hAnsi="Times New Roman" w:eastAsia="宋体" w:cs="Times New Roman"/>
                      <w:kern w:val="0"/>
                      <w:sz w:val="21"/>
                      <w:szCs w:val="21"/>
                      <w:highlight w:val="none"/>
                    </w:rPr>
                  </w:pPr>
                  <w:r>
                    <w:rPr>
                      <w:rFonts w:hint="default" w:ascii="Times New Roman" w:hAnsi="Times New Roman" w:eastAsia="宋体" w:cs="Times New Roman"/>
                      <w:sz w:val="21"/>
                      <w:szCs w:val="21"/>
                      <w:highlight w:val="none"/>
                    </w:rPr>
                    <w:t>速率</w:t>
                  </w:r>
                  <w:r>
                    <w:rPr>
                      <w:rFonts w:hint="eastAsia" w:ascii="Times New Roman" w:hAnsi="Times New Roman" w:eastAsia="宋体" w:cs="Times New Roman"/>
                      <w:sz w:val="21"/>
                      <w:szCs w:val="21"/>
                      <w:highlight w:val="none"/>
                    </w:rPr>
                    <w:t>kg/h</w:t>
                  </w:r>
                </w:p>
              </w:tc>
              <w:tc>
                <w:tcPr>
                  <w:tcW w:w="669" w:type="pct"/>
                  <w:noWrap w:val="0"/>
                  <w:tcMar>
                    <w:left w:w="57" w:type="dxa"/>
                    <w:right w:w="57" w:type="dxa"/>
                  </w:tcMar>
                  <w:vAlign w:val="center"/>
                </w:tcPr>
                <w:p w14:paraId="7F3A9CAE">
                  <w:pPr>
                    <w:keepNext w:val="0"/>
                    <w:keepLines w:val="0"/>
                    <w:suppressLineNumbers w:val="0"/>
                    <w:overflowPunct w:val="0"/>
                    <w:adjustRightInd w:val="0"/>
                    <w:snapToGrid w:val="0"/>
                    <w:spacing w:before="0" w:beforeAutospacing="0" w:after="0" w:afterAutospacing="0" w:line="276" w:lineRule="auto"/>
                    <w:ind w:left="0" w:right="0"/>
                    <w:jc w:val="center"/>
                    <w:rPr>
                      <w:rFonts w:hint="default" w:ascii="Times New Roman" w:hAnsi="Times New Roman" w:eastAsia="宋体" w:cs="Times New Roman"/>
                      <w:kern w:val="0"/>
                      <w:sz w:val="21"/>
                      <w:szCs w:val="21"/>
                      <w:highlight w:val="none"/>
                    </w:rPr>
                  </w:pPr>
                  <w:r>
                    <w:rPr>
                      <w:rFonts w:hint="default" w:ascii="Times New Roman" w:hAnsi="Times New Roman" w:eastAsia="宋体" w:cs="Times New Roman"/>
                      <w:sz w:val="21"/>
                      <w:szCs w:val="21"/>
                      <w:highlight w:val="none"/>
                    </w:rPr>
                    <w:t>浓度</w:t>
                  </w:r>
                  <w:r>
                    <w:rPr>
                      <w:rFonts w:hint="eastAsia" w:ascii="Times New Roman" w:hAnsi="Times New Roman" w:eastAsia="宋体" w:cs="Times New Roman"/>
                      <w:sz w:val="21"/>
                      <w:szCs w:val="21"/>
                      <w:highlight w:val="none"/>
                    </w:rPr>
                    <w:t>mg/m</w:t>
                  </w:r>
                  <w:r>
                    <w:rPr>
                      <w:rFonts w:hint="eastAsia" w:ascii="Times New Roman" w:hAnsi="Times New Roman" w:eastAsia="宋体" w:cs="Times New Roman"/>
                      <w:sz w:val="21"/>
                      <w:szCs w:val="21"/>
                      <w:highlight w:val="none"/>
                      <w:vertAlign w:val="superscript"/>
                    </w:rPr>
                    <w:t>3</w:t>
                  </w:r>
                </w:p>
              </w:tc>
              <w:tc>
                <w:tcPr>
                  <w:tcW w:w="441" w:type="pct"/>
                  <w:vMerge w:val="continue"/>
                  <w:noWrap w:val="0"/>
                  <w:tcMar>
                    <w:left w:w="57" w:type="dxa"/>
                    <w:right w:w="57" w:type="dxa"/>
                  </w:tcMar>
                  <w:vAlign w:val="center"/>
                </w:tcPr>
                <w:p w14:paraId="73DB7B0F">
                  <w:pPr>
                    <w:keepNext w:val="0"/>
                    <w:keepLines w:val="0"/>
                    <w:suppressLineNumbers w:val="0"/>
                    <w:overflowPunct w:val="0"/>
                    <w:adjustRightInd w:val="0"/>
                    <w:snapToGrid w:val="0"/>
                    <w:spacing w:before="0" w:beforeAutospacing="0" w:after="0" w:afterAutospacing="0" w:line="276" w:lineRule="auto"/>
                    <w:ind w:left="0" w:right="0"/>
                    <w:jc w:val="center"/>
                    <w:rPr>
                      <w:rFonts w:hint="default" w:ascii="Times New Roman" w:hAnsi="Times New Roman" w:eastAsia="宋体" w:cs="Times New Roman"/>
                      <w:kern w:val="0"/>
                      <w:sz w:val="21"/>
                      <w:szCs w:val="21"/>
                      <w:highlight w:val="none"/>
                    </w:rPr>
                  </w:pPr>
                </w:p>
              </w:tc>
            </w:tr>
            <w:tr w14:paraId="7EE39DC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1" w:hRule="atLeast"/>
                <w:jc w:val="center"/>
              </w:trPr>
              <w:tc>
                <w:tcPr>
                  <w:tcW w:w="547" w:type="pct"/>
                  <w:vMerge w:val="restart"/>
                  <w:noWrap w:val="0"/>
                  <w:tcMar>
                    <w:left w:w="57" w:type="dxa"/>
                    <w:right w:w="57" w:type="dxa"/>
                  </w:tcMar>
                  <w:vAlign w:val="center"/>
                </w:tcPr>
                <w:p w14:paraId="5EBE5428">
                  <w:pPr>
                    <w:keepNext w:val="0"/>
                    <w:keepLines w:val="0"/>
                    <w:widowControl/>
                    <w:suppressLineNumbers w:val="0"/>
                    <w:adjustRightInd w:val="0"/>
                    <w:snapToGrid w:val="0"/>
                    <w:spacing w:before="0" w:beforeAutospacing="0" w:after="0" w:afterAutospacing="0" w:line="276" w:lineRule="auto"/>
                    <w:ind w:left="0" w:right="0"/>
                    <w:jc w:val="center"/>
                    <w:rPr>
                      <w:rFonts w:hint="default" w:ascii="Times New Roman" w:hAnsi="Times New Roman" w:eastAsia="宋体" w:cs="Times New Roman"/>
                      <w:snapToGrid w:val="0"/>
                      <w:sz w:val="21"/>
                      <w:szCs w:val="21"/>
                      <w:highlight w:val="none"/>
                    </w:rPr>
                  </w:pPr>
                  <w:r>
                    <w:rPr>
                      <w:rFonts w:hint="default" w:ascii="Times New Roman" w:hAnsi="Times New Roman" w:eastAsia="宋体" w:cs="Times New Roman"/>
                      <w:snapToGrid w:val="0"/>
                      <w:sz w:val="21"/>
                      <w:szCs w:val="21"/>
                      <w:highlight w:val="none"/>
                    </w:rPr>
                    <w:t>DA0</w:t>
                  </w:r>
                  <w:r>
                    <w:rPr>
                      <w:rFonts w:hint="eastAsia" w:ascii="Times New Roman" w:hAnsi="Times New Roman" w:eastAsia="宋体" w:cs="Times New Roman"/>
                      <w:snapToGrid w:val="0"/>
                      <w:sz w:val="21"/>
                      <w:szCs w:val="21"/>
                      <w:highlight w:val="none"/>
                      <w:lang w:val="en-US" w:eastAsia="zh-CN"/>
                    </w:rPr>
                    <w:t>0</w:t>
                  </w:r>
                  <w:r>
                    <w:rPr>
                      <w:rFonts w:hint="default" w:ascii="Times New Roman" w:hAnsi="Times New Roman" w:eastAsia="宋体" w:cs="Times New Roman"/>
                      <w:snapToGrid w:val="0"/>
                      <w:sz w:val="21"/>
                      <w:szCs w:val="21"/>
                      <w:highlight w:val="none"/>
                    </w:rPr>
                    <w:t>1</w:t>
                  </w:r>
                </w:p>
              </w:tc>
              <w:tc>
                <w:tcPr>
                  <w:tcW w:w="710" w:type="pct"/>
                  <w:vMerge w:val="restart"/>
                  <w:noWrap w:val="0"/>
                  <w:tcMar>
                    <w:left w:w="57" w:type="dxa"/>
                    <w:right w:w="57" w:type="dxa"/>
                  </w:tcMar>
                  <w:vAlign w:val="center"/>
                </w:tcPr>
                <w:p w14:paraId="42034683">
                  <w:pPr>
                    <w:keepNext w:val="0"/>
                    <w:keepLines w:val="0"/>
                    <w:widowControl/>
                    <w:suppressLineNumbers w:val="0"/>
                    <w:adjustRightInd w:val="0"/>
                    <w:snapToGrid w:val="0"/>
                    <w:spacing w:before="0" w:beforeAutospacing="0" w:after="0" w:afterAutospacing="0" w:line="276" w:lineRule="auto"/>
                    <w:ind w:left="0" w:right="0"/>
                    <w:jc w:val="center"/>
                    <w:rPr>
                      <w:rFonts w:hint="default" w:ascii="Times New Roman" w:hAnsi="Times New Roman" w:eastAsia="宋体" w:cs="Times New Roman"/>
                      <w:snapToGrid w:val="0"/>
                      <w:sz w:val="21"/>
                      <w:szCs w:val="21"/>
                      <w:highlight w:val="none"/>
                    </w:rPr>
                  </w:pPr>
                  <w:r>
                    <w:rPr>
                      <w:rFonts w:hint="eastAsia" w:ascii="Times New Roman" w:hAnsi="Times New Roman" w:eastAsia="宋体" w:cs="Times New Roman"/>
                      <w:snapToGrid w:val="0"/>
                      <w:sz w:val="21"/>
                      <w:szCs w:val="21"/>
                      <w:highlight w:val="none"/>
                      <w:lang w:val="en-US" w:eastAsia="zh-CN"/>
                    </w:rPr>
                    <w:t>1#</w:t>
                  </w:r>
                  <w:r>
                    <w:rPr>
                      <w:rFonts w:hint="default" w:ascii="Times New Roman" w:hAnsi="Times New Roman" w:eastAsia="宋体" w:cs="Times New Roman"/>
                      <w:snapToGrid w:val="0"/>
                      <w:sz w:val="21"/>
                      <w:szCs w:val="21"/>
                      <w:highlight w:val="none"/>
                    </w:rPr>
                    <w:t>排放口</w:t>
                  </w:r>
                </w:p>
              </w:tc>
              <w:tc>
                <w:tcPr>
                  <w:tcW w:w="788" w:type="pct"/>
                  <w:shd w:val="clear" w:color="auto" w:fill="auto"/>
                  <w:noWrap w:val="0"/>
                  <w:tcMar>
                    <w:left w:w="57" w:type="dxa"/>
                    <w:right w:w="57" w:type="dxa"/>
                  </w:tcMar>
                  <w:vAlign w:val="center"/>
                </w:tcPr>
                <w:p w14:paraId="155224FD">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64" w:lineRule="auto"/>
                    <w:ind w:left="0" w:right="0"/>
                    <w:jc w:val="center"/>
                    <w:textAlignment w:val="auto"/>
                    <w:rPr>
                      <w:rFonts w:hint="default" w:ascii="Times New Roman" w:hAnsi="Times New Roman" w:eastAsia="宋体" w:cs="Times New Roman"/>
                      <w:bCs/>
                      <w:kern w:val="0"/>
                      <w:sz w:val="21"/>
                      <w:szCs w:val="21"/>
                      <w:highlight w:val="none"/>
                      <w:lang w:val="en-US" w:eastAsia="zh-CN" w:bidi="ar-SA"/>
                    </w:rPr>
                  </w:pPr>
                  <w:r>
                    <w:rPr>
                      <w:rFonts w:hint="default" w:ascii="Times New Roman" w:hAnsi="Times New Roman" w:eastAsia="宋体" w:cs="Times New Roman"/>
                      <w:bCs/>
                      <w:kern w:val="0"/>
                      <w:sz w:val="21"/>
                      <w:szCs w:val="21"/>
                      <w:highlight w:val="none"/>
                    </w:rPr>
                    <w:t>氨</w:t>
                  </w:r>
                </w:p>
              </w:tc>
              <w:tc>
                <w:tcPr>
                  <w:tcW w:w="687" w:type="pct"/>
                  <w:shd w:val="clear" w:color="auto" w:fill="auto"/>
                  <w:noWrap w:val="0"/>
                  <w:tcMar>
                    <w:left w:w="57" w:type="dxa"/>
                    <w:right w:w="57" w:type="dxa"/>
                  </w:tcMar>
                  <w:vAlign w:val="center"/>
                </w:tcPr>
                <w:p w14:paraId="3E0C6520">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64" w:lineRule="auto"/>
                    <w:ind w:left="0" w:right="0"/>
                    <w:jc w:val="center"/>
                    <w:textAlignment w:val="auto"/>
                    <w:rPr>
                      <w:rFonts w:hint="default" w:ascii="Times New Roman" w:hAnsi="Times New Roman" w:eastAsia="宋体" w:cs="Times New Roman"/>
                      <w:bCs/>
                      <w:kern w:val="0"/>
                      <w:sz w:val="21"/>
                      <w:szCs w:val="21"/>
                      <w:highlight w:val="none"/>
                      <w:lang w:val="en-US" w:eastAsia="zh-CN" w:bidi="ar-SA"/>
                    </w:rPr>
                  </w:pPr>
                  <w:r>
                    <w:rPr>
                      <w:rFonts w:hint="eastAsia" w:ascii="Times New Roman" w:hAnsi="Times New Roman" w:eastAsia="宋体" w:cs="Times New Roman"/>
                      <w:bCs/>
                      <w:kern w:val="0"/>
                      <w:sz w:val="21"/>
                      <w:szCs w:val="21"/>
                      <w:highlight w:val="none"/>
                      <w:lang w:val="en-US" w:eastAsia="zh-CN"/>
                    </w:rPr>
                    <w:t xml:space="preserve">0.004 </w:t>
                  </w:r>
                </w:p>
              </w:tc>
              <w:tc>
                <w:tcPr>
                  <w:tcW w:w="641" w:type="pct"/>
                  <w:shd w:val="clear" w:color="auto" w:fill="auto"/>
                  <w:noWrap w:val="0"/>
                  <w:tcMar>
                    <w:left w:w="57" w:type="dxa"/>
                    <w:right w:w="57" w:type="dxa"/>
                  </w:tcMar>
                  <w:vAlign w:val="center"/>
                </w:tcPr>
                <w:p w14:paraId="09FD5721">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64" w:lineRule="auto"/>
                    <w:ind w:left="0" w:right="0"/>
                    <w:jc w:val="center"/>
                    <w:textAlignment w:val="auto"/>
                    <w:rPr>
                      <w:rFonts w:hint="default" w:ascii="Times New Roman" w:hAnsi="Times New Roman" w:eastAsia="宋体" w:cs="Times New Roman"/>
                      <w:bCs/>
                      <w:kern w:val="0"/>
                      <w:sz w:val="21"/>
                      <w:szCs w:val="21"/>
                      <w:highlight w:val="none"/>
                      <w:lang w:val="en-US" w:eastAsia="zh-CN" w:bidi="ar-SA"/>
                    </w:rPr>
                  </w:pPr>
                  <w:r>
                    <w:rPr>
                      <w:rFonts w:hint="eastAsia" w:ascii="Times New Roman" w:hAnsi="Times New Roman" w:eastAsia="宋体" w:cs="Times New Roman"/>
                      <w:bCs/>
                      <w:kern w:val="0"/>
                      <w:sz w:val="21"/>
                      <w:szCs w:val="21"/>
                      <w:highlight w:val="none"/>
                      <w:lang w:val="en-US" w:eastAsia="zh-CN"/>
                    </w:rPr>
                    <w:t>0.</w:t>
                  </w:r>
                  <w:r>
                    <w:rPr>
                      <w:rFonts w:hint="eastAsia" w:cs="Times New Roman"/>
                      <w:bCs/>
                      <w:kern w:val="0"/>
                      <w:sz w:val="21"/>
                      <w:szCs w:val="21"/>
                      <w:highlight w:val="none"/>
                      <w:lang w:val="en-US" w:eastAsia="zh-CN"/>
                    </w:rPr>
                    <w:t>19</w:t>
                  </w:r>
                  <w:r>
                    <w:rPr>
                      <w:rFonts w:hint="eastAsia" w:ascii="Times New Roman" w:hAnsi="Times New Roman" w:eastAsia="宋体" w:cs="Times New Roman"/>
                      <w:bCs/>
                      <w:kern w:val="0"/>
                      <w:sz w:val="21"/>
                      <w:szCs w:val="21"/>
                      <w:highlight w:val="none"/>
                      <w:lang w:val="en-US" w:eastAsia="zh-CN"/>
                    </w:rPr>
                    <w:t xml:space="preserve"> </w:t>
                  </w:r>
                </w:p>
              </w:tc>
              <w:tc>
                <w:tcPr>
                  <w:tcW w:w="513" w:type="pct"/>
                  <w:noWrap w:val="0"/>
                  <w:tcMar>
                    <w:left w:w="57" w:type="dxa"/>
                    <w:right w:w="57" w:type="dxa"/>
                  </w:tcMar>
                  <w:vAlign w:val="center"/>
                </w:tcPr>
                <w:p w14:paraId="362CD1EB">
                  <w:pPr>
                    <w:keepNext w:val="0"/>
                    <w:keepLines w:val="0"/>
                    <w:suppressLineNumbers w:val="0"/>
                    <w:overflowPunct w:val="0"/>
                    <w:adjustRightInd w:val="0"/>
                    <w:snapToGrid w:val="0"/>
                    <w:spacing w:before="0" w:beforeAutospacing="0" w:after="0" w:afterAutospacing="0" w:line="276" w:lineRule="auto"/>
                    <w:ind w:left="0" w:right="0"/>
                    <w:jc w:val="center"/>
                    <w:rPr>
                      <w:rFonts w:hint="default" w:ascii="Times New Roman" w:hAnsi="Times New Roman" w:eastAsia="宋体" w:cs="Times New Roman"/>
                      <w:kern w:val="0"/>
                      <w:sz w:val="21"/>
                      <w:szCs w:val="21"/>
                      <w:highlight w:val="none"/>
                      <w:lang w:val="en-US" w:eastAsia="zh-CN"/>
                    </w:rPr>
                  </w:pPr>
                  <w:r>
                    <w:rPr>
                      <w:rFonts w:hint="eastAsia" w:ascii="Times New Roman" w:hAnsi="Times New Roman" w:eastAsia="宋体" w:cs="Times New Roman"/>
                      <w:kern w:val="0"/>
                      <w:sz w:val="21"/>
                      <w:szCs w:val="21"/>
                      <w:highlight w:val="none"/>
                      <w:lang w:val="en-US" w:eastAsia="zh-CN"/>
                    </w:rPr>
                    <w:t>20</w:t>
                  </w:r>
                </w:p>
              </w:tc>
              <w:tc>
                <w:tcPr>
                  <w:tcW w:w="669" w:type="pct"/>
                  <w:noWrap w:val="0"/>
                  <w:tcMar>
                    <w:left w:w="57" w:type="dxa"/>
                    <w:right w:w="57" w:type="dxa"/>
                  </w:tcMar>
                  <w:vAlign w:val="center"/>
                </w:tcPr>
                <w:p w14:paraId="5A7C8A6F">
                  <w:pPr>
                    <w:keepNext w:val="0"/>
                    <w:keepLines w:val="0"/>
                    <w:suppressLineNumbers w:val="0"/>
                    <w:adjustRightInd w:val="0"/>
                    <w:snapToGrid w:val="0"/>
                    <w:spacing w:before="0" w:beforeAutospacing="0" w:after="0" w:afterAutospacing="0" w:line="276" w:lineRule="auto"/>
                    <w:ind w:left="0" w:right="0"/>
                    <w:jc w:val="center"/>
                    <w:rPr>
                      <w:rFonts w:hint="default" w:ascii="Times New Roman" w:hAnsi="Times New Roman" w:eastAsia="宋体" w:cs="Times New Roman"/>
                      <w:sz w:val="21"/>
                      <w:szCs w:val="21"/>
                      <w:highlight w:val="none"/>
                      <w:lang w:val="en-US" w:eastAsia="zh-CN"/>
                    </w:rPr>
                  </w:pPr>
                  <w:r>
                    <w:rPr>
                      <w:rFonts w:hint="eastAsia" w:ascii="Times New Roman" w:hAnsi="Times New Roman" w:eastAsia="宋体" w:cs="Times New Roman"/>
                      <w:sz w:val="21"/>
                      <w:szCs w:val="21"/>
                      <w:highlight w:val="none"/>
                      <w:lang w:val="en-US" w:eastAsia="zh-CN"/>
                    </w:rPr>
                    <w:t>/</w:t>
                  </w:r>
                </w:p>
              </w:tc>
              <w:tc>
                <w:tcPr>
                  <w:tcW w:w="441" w:type="pct"/>
                  <w:noWrap w:val="0"/>
                  <w:tcMar>
                    <w:left w:w="57" w:type="dxa"/>
                    <w:right w:w="57" w:type="dxa"/>
                  </w:tcMar>
                  <w:vAlign w:val="center"/>
                </w:tcPr>
                <w:p w14:paraId="3CEC0E0B">
                  <w:pPr>
                    <w:keepNext w:val="0"/>
                    <w:keepLines w:val="0"/>
                    <w:suppressLineNumbers w:val="0"/>
                    <w:overflowPunct w:val="0"/>
                    <w:adjustRightInd w:val="0"/>
                    <w:snapToGrid w:val="0"/>
                    <w:spacing w:before="0" w:beforeAutospacing="0" w:after="0" w:afterAutospacing="0" w:line="276" w:lineRule="auto"/>
                    <w:ind w:left="0" w:right="0"/>
                    <w:jc w:val="center"/>
                    <w:rPr>
                      <w:rFonts w:hint="default" w:ascii="Times New Roman" w:hAnsi="Times New Roman" w:eastAsia="宋体" w:cs="Times New Roman"/>
                      <w:kern w:val="0"/>
                      <w:sz w:val="21"/>
                      <w:szCs w:val="21"/>
                      <w:highlight w:val="none"/>
                    </w:rPr>
                  </w:pPr>
                  <w:r>
                    <w:rPr>
                      <w:rFonts w:hint="eastAsia" w:ascii="Times New Roman" w:hAnsi="Times New Roman" w:eastAsia="宋体" w:cs="Times New Roman"/>
                      <w:kern w:val="0"/>
                      <w:sz w:val="21"/>
                      <w:szCs w:val="21"/>
                      <w:highlight w:val="none"/>
                    </w:rPr>
                    <w:t>达标</w:t>
                  </w:r>
                </w:p>
              </w:tc>
            </w:tr>
            <w:tr w14:paraId="29C4309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1" w:hRule="atLeast"/>
                <w:jc w:val="center"/>
              </w:trPr>
              <w:tc>
                <w:tcPr>
                  <w:tcW w:w="547" w:type="pct"/>
                  <w:vMerge w:val="continue"/>
                  <w:noWrap w:val="0"/>
                  <w:tcMar>
                    <w:left w:w="57" w:type="dxa"/>
                    <w:right w:w="57" w:type="dxa"/>
                  </w:tcMar>
                  <w:vAlign w:val="center"/>
                </w:tcPr>
                <w:p w14:paraId="3170C9A7">
                  <w:pPr>
                    <w:keepNext w:val="0"/>
                    <w:keepLines w:val="0"/>
                    <w:suppressLineNumbers w:val="0"/>
                    <w:overflowPunct w:val="0"/>
                    <w:adjustRightInd w:val="0"/>
                    <w:snapToGrid w:val="0"/>
                    <w:spacing w:before="0" w:beforeAutospacing="0" w:after="0" w:afterAutospacing="0" w:line="276" w:lineRule="auto"/>
                    <w:ind w:left="0" w:right="0"/>
                    <w:jc w:val="center"/>
                    <w:rPr>
                      <w:rFonts w:hint="default" w:ascii="Times New Roman" w:hAnsi="Times New Roman" w:eastAsia="宋体" w:cs="Times New Roman"/>
                      <w:sz w:val="21"/>
                      <w:szCs w:val="21"/>
                      <w:highlight w:val="none"/>
                    </w:rPr>
                  </w:pPr>
                </w:p>
              </w:tc>
              <w:tc>
                <w:tcPr>
                  <w:tcW w:w="710" w:type="pct"/>
                  <w:vMerge w:val="continue"/>
                  <w:noWrap w:val="0"/>
                  <w:tcMar>
                    <w:left w:w="57" w:type="dxa"/>
                    <w:right w:w="57" w:type="dxa"/>
                  </w:tcMar>
                  <w:vAlign w:val="center"/>
                </w:tcPr>
                <w:p w14:paraId="68645A15">
                  <w:pPr>
                    <w:keepNext w:val="0"/>
                    <w:keepLines w:val="0"/>
                    <w:suppressLineNumbers w:val="0"/>
                    <w:overflowPunct w:val="0"/>
                    <w:adjustRightInd w:val="0"/>
                    <w:snapToGrid w:val="0"/>
                    <w:spacing w:before="0" w:beforeAutospacing="0" w:after="0" w:afterAutospacing="0" w:line="276" w:lineRule="auto"/>
                    <w:ind w:left="0" w:right="0"/>
                    <w:jc w:val="center"/>
                    <w:rPr>
                      <w:rFonts w:hint="default" w:ascii="Times New Roman" w:hAnsi="Times New Roman" w:eastAsia="宋体" w:cs="Times New Roman"/>
                      <w:sz w:val="21"/>
                      <w:szCs w:val="21"/>
                      <w:highlight w:val="none"/>
                    </w:rPr>
                  </w:pPr>
                </w:p>
              </w:tc>
              <w:tc>
                <w:tcPr>
                  <w:tcW w:w="788" w:type="pct"/>
                  <w:shd w:val="clear" w:color="auto" w:fill="auto"/>
                  <w:noWrap w:val="0"/>
                  <w:tcMar>
                    <w:left w:w="57" w:type="dxa"/>
                    <w:right w:w="57" w:type="dxa"/>
                  </w:tcMar>
                  <w:vAlign w:val="center"/>
                </w:tcPr>
                <w:p w14:paraId="70481053">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64" w:lineRule="auto"/>
                    <w:ind w:left="0" w:right="0"/>
                    <w:jc w:val="center"/>
                    <w:textAlignment w:val="auto"/>
                    <w:rPr>
                      <w:rFonts w:hint="eastAsia" w:ascii="Times New Roman" w:hAnsi="Times New Roman" w:eastAsia="宋体" w:cs="Times New Roman"/>
                      <w:bCs/>
                      <w:kern w:val="0"/>
                      <w:sz w:val="21"/>
                      <w:szCs w:val="21"/>
                      <w:highlight w:val="none"/>
                      <w:lang w:val="en-US" w:eastAsia="zh-CN" w:bidi="ar-SA"/>
                    </w:rPr>
                  </w:pPr>
                  <w:r>
                    <w:rPr>
                      <w:rFonts w:hint="default" w:ascii="Times New Roman" w:hAnsi="Times New Roman" w:eastAsia="宋体" w:cs="Times New Roman"/>
                      <w:bCs/>
                      <w:kern w:val="0"/>
                      <w:sz w:val="21"/>
                      <w:szCs w:val="21"/>
                      <w:highlight w:val="none"/>
                    </w:rPr>
                    <w:t>硫化氢</w:t>
                  </w:r>
                </w:p>
              </w:tc>
              <w:tc>
                <w:tcPr>
                  <w:tcW w:w="687" w:type="pct"/>
                  <w:shd w:val="clear" w:color="auto" w:fill="auto"/>
                  <w:noWrap w:val="0"/>
                  <w:tcMar>
                    <w:left w:w="57" w:type="dxa"/>
                    <w:right w:w="57" w:type="dxa"/>
                  </w:tcMar>
                  <w:vAlign w:val="center"/>
                </w:tcPr>
                <w:p w14:paraId="5A2DE92D">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64" w:lineRule="auto"/>
                    <w:ind w:left="0" w:right="0"/>
                    <w:jc w:val="center"/>
                    <w:textAlignment w:val="auto"/>
                    <w:rPr>
                      <w:rFonts w:hint="eastAsia" w:ascii="Times New Roman" w:hAnsi="Times New Roman" w:eastAsia="宋体" w:cs="Times New Roman"/>
                      <w:bCs/>
                      <w:kern w:val="0"/>
                      <w:sz w:val="21"/>
                      <w:szCs w:val="21"/>
                      <w:highlight w:val="none"/>
                      <w:lang w:val="en-US" w:eastAsia="zh-CN" w:bidi="ar-SA"/>
                    </w:rPr>
                  </w:pPr>
                  <w:r>
                    <w:rPr>
                      <w:rFonts w:hint="eastAsia" w:ascii="Times New Roman" w:hAnsi="Times New Roman" w:eastAsia="宋体" w:cs="Times New Roman"/>
                      <w:bCs/>
                      <w:kern w:val="0"/>
                      <w:sz w:val="21"/>
                      <w:szCs w:val="21"/>
                      <w:highlight w:val="none"/>
                      <w:lang w:val="en-US" w:eastAsia="zh-CN"/>
                    </w:rPr>
                    <w:t>0.00</w:t>
                  </w:r>
                  <w:r>
                    <w:rPr>
                      <w:rFonts w:hint="eastAsia" w:cs="Times New Roman"/>
                      <w:bCs/>
                      <w:kern w:val="0"/>
                      <w:sz w:val="21"/>
                      <w:szCs w:val="21"/>
                      <w:highlight w:val="none"/>
                      <w:lang w:val="en-US" w:eastAsia="zh-CN"/>
                    </w:rPr>
                    <w:t>3</w:t>
                  </w:r>
                  <w:r>
                    <w:rPr>
                      <w:rFonts w:hint="eastAsia" w:ascii="Times New Roman" w:hAnsi="Times New Roman" w:eastAsia="宋体" w:cs="Times New Roman"/>
                      <w:bCs/>
                      <w:kern w:val="0"/>
                      <w:sz w:val="21"/>
                      <w:szCs w:val="21"/>
                      <w:highlight w:val="none"/>
                      <w:lang w:val="en-US" w:eastAsia="zh-CN"/>
                    </w:rPr>
                    <w:t xml:space="preserve"> </w:t>
                  </w:r>
                </w:p>
              </w:tc>
              <w:tc>
                <w:tcPr>
                  <w:tcW w:w="641" w:type="pct"/>
                  <w:shd w:val="clear" w:color="auto" w:fill="auto"/>
                  <w:noWrap w:val="0"/>
                  <w:tcMar>
                    <w:left w:w="57" w:type="dxa"/>
                    <w:right w:w="57" w:type="dxa"/>
                  </w:tcMar>
                  <w:vAlign w:val="center"/>
                </w:tcPr>
                <w:p w14:paraId="512DD918">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64" w:lineRule="auto"/>
                    <w:ind w:left="0" w:right="0"/>
                    <w:jc w:val="center"/>
                    <w:textAlignment w:val="auto"/>
                    <w:rPr>
                      <w:rFonts w:hint="eastAsia" w:ascii="Times New Roman" w:hAnsi="Times New Roman" w:eastAsia="宋体" w:cs="Times New Roman"/>
                      <w:bCs/>
                      <w:kern w:val="0"/>
                      <w:sz w:val="21"/>
                      <w:szCs w:val="21"/>
                      <w:highlight w:val="none"/>
                      <w:lang w:val="en-US" w:eastAsia="zh-CN" w:bidi="ar-SA"/>
                    </w:rPr>
                  </w:pPr>
                  <w:r>
                    <w:rPr>
                      <w:rFonts w:hint="eastAsia" w:ascii="Times New Roman" w:hAnsi="Times New Roman" w:eastAsia="宋体" w:cs="Times New Roman"/>
                      <w:bCs/>
                      <w:kern w:val="0"/>
                      <w:sz w:val="21"/>
                      <w:szCs w:val="21"/>
                      <w:highlight w:val="none"/>
                      <w:lang w:val="en-US" w:eastAsia="zh-CN"/>
                    </w:rPr>
                    <w:t>0.1</w:t>
                  </w:r>
                  <w:r>
                    <w:rPr>
                      <w:rFonts w:hint="eastAsia" w:cs="Times New Roman"/>
                      <w:bCs/>
                      <w:kern w:val="0"/>
                      <w:sz w:val="21"/>
                      <w:szCs w:val="21"/>
                      <w:highlight w:val="none"/>
                      <w:lang w:val="en-US" w:eastAsia="zh-CN"/>
                    </w:rPr>
                    <w:t>4</w:t>
                  </w:r>
                  <w:r>
                    <w:rPr>
                      <w:rFonts w:hint="eastAsia" w:ascii="Times New Roman" w:hAnsi="Times New Roman" w:eastAsia="宋体" w:cs="Times New Roman"/>
                      <w:bCs/>
                      <w:kern w:val="0"/>
                      <w:sz w:val="21"/>
                      <w:szCs w:val="21"/>
                      <w:highlight w:val="none"/>
                      <w:lang w:val="en-US" w:eastAsia="zh-CN"/>
                    </w:rPr>
                    <w:t xml:space="preserve"> </w:t>
                  </w:r>
                </w:p>
              </w:tc>
              <w:tc>
                <w:tcPr>
                  <w:tcW w:w="513" w:type="pct"/>
                  <w:noWrap w:val="0"/>
                  <w:tcMar>
                    <w:left w:w="57" w:type="dxa"/>
                    <w:right w:w="57" w:type="dxa"/>
                  </w:tcMar>
                  <w:vAlign w:val="center"/>
                </w:tcPr>
                <w:p w14:paraId="38361123">
                  <w:pPr>
                    <w:keepNext w:val="0"/>
                    <w:keepLines w:val="0"/>
                    <w:suppressLineNumbers w:val="0"/>
                    <w:overflowPunct w:val="0"/>
                    <w:adjustRightInd w:val="0"/>
                    <w:snapToGrid w:val="0"/>
                    <w:spacing w:before="0" w:beforeAutospacing="0" w:after="0" w:afterAutospacing="0" w:line="276" w:lineRule="auto"/>
                    <w:ind w:left="0" w:right="0"/>
                    <w:jc w:val="center"/>
                    <w:rPr>
                      <w:rFonts w:hint="default" w:ascii="Times New Roman" w:hAnsi="Times New Roman" w:eastAsia="宋体" w:cs="Times New Roman"/>
                      <w:snapToGrid w:val="0"/>
                      <w:sz w:val="21"/>
                      <w:szCs w:val="21"/>
                      <w:highlight w:val="none"/>
                      <w:lang w:val="en-US" w:eastAsia="zh-CN"/>
                    </w:rPr>
                  </w:pPr>
                  <w:r>
                    <w:rPr>
                      <w:rFonts w:hint="eastAsia" w:ascii="Times New Roman" w:hAnsi="Times New Roman" w:eastAsia="宋体" w:cs="Times New Roman"/>
                      <w:snapToGrid w:val="0"/>
                      <w:sz w:val="21"/>
                      <w:szCs w:val="21"/>
                      <w:highlight w:val="none"/>
                      <w:lang w:val="en-US" w:eastAsia="zh-CN"/>
                    </w:rPr>
                    <w:t>1.3</w:t>
                  </w:r>
                </w:p>
              </w:tc>
              <w:tc>
                <w:tcPr>
                  <w:tcW w:w="669" w:type="pct"/>
                  <w:noWrap w:val="0"/>
                  <w:tcMar>
                    <w:left w:w="57" w:type="dxa"/>
                    <w:right w:w="57" w:type="dxa"/>
                  </w:tcMar>
                  <w:vAlign w:val="center"/>
                </w:tcPr>
                <w:p w14:paraId="563D32DC">
                  <w:pPr>
                    <w:keepNext w:val="0"/>
                    <w:keepLines w:val="0"/>
                    <w:suppressLineNumbers w:val="0"/>
                    <w:overflowPunct w:val="0"/>
                    <w:adjustRightInd w:val="0"/>
                    <w:snapToGrid w:val="0"/>
                    <w:spacing w:before="0" w:beforeAutospacing="0" w:after="0" w:afterAutospacing="0" w:line="276" w:lineRule="auto"/>
                    <w:ind w:left="0" w:right="0"/>
                    <w:jc w:val="center"/>
                    <w:rPr>
                      <w:rFonts w:hint="eastAsia" w:ascii="Times New Roman" w:hAnsi="Times New Roman" w:eastAsia="宋体" w:cs="Times New Roman"/>
                      <w:snapToGrid w:val="0"/>
                      <w:sz w:val="21"/>
                      <w:szCs w:val="21"/>
                      <w:highlight w:val="none"/>
                      <w:lang w:val="en-US" w:eastAsia="zh-CN"/>
                    </w:rPr>
                  </w:pPr>
                  <w:r>
                    <w:rPr>
                      <w:rFonts w:hint="eastAsia" w:ascii="Times New Roman" w:hAnsi="Times New Roman" w:eastAsia="宋体" w:cs="Times New Roman"/>
                      <w:sz w:val="21"/>
                      <w:szCs w:val="21"/>
                      <w:highlight w:val="none"/>
                      <w:lang w:val="en-US" w:eastAsia="zh-CN"/>
                    </w:rPr>
                    <w:t>/</w:t>
                  </w:r>
                </w:p>
              </w:tc>
              <w:tc>
                <w:tcPr>
                  <w:tcW w:w="441" w:type="pct"/>
                  <w:noWrap w:val="0"/>
                  <w:tcMar>
                    <w:left w:w="57" w:type="dxa"/>
                    <w:right w:w="57" w:type="dxa"/>
                  </w:tcMar>
                  <w:vAlign w:val="center"/>
                </w:tcPr>
                <w:p w14:paraId="0359AAA9">
                  <w:pPr>
                    <w:keepNext w:val="0"/>
                    <w:keepLines w:val="0"/>
                    <w:suppressLineNumbers w:val="0"/>
                    <w:overflowPunct w:val="0"/>
                    <w:adjustRightInd w:val="0"/>
                    <w:snapToGrid w:val="0"/>
                    <w:spacing w:before="0" w:beforeAutospacing="0" w:after="0" w:afterAutospacing="0" w:line="276" w:lineRule="auto"/>
                    <w:ind w:left="0" w:right="0"/>
                    <w:jc w:val="center"/>
                    <w:rPr>
                      <w:rFonts w:hint="eastAsia" w:ascii="Times New Roman" w:hAnsi="Times New Roman" w:eastAsia="宋体" w:cs="Times New Roman"/>
                      <w:snapToGrid w:val="0"/>
                      <w:sz w:val="21"/>
                      <w:szCs w:val="21"/>
                      <w:highlight w:val="none"/>
                      <w:lang w:val="en-US" w:eastAsia="zh-CN"/>
                    </w:rPr>
                  </w:pPr>
                  <w:r>
                    <w:rPr>
                      <w:rFonts w:hint="eastAsia" w:ascii="Times New Roman" w:hAnsi="Times New Roman" w:eastAsia="宋体" w:cs="Times New Roman"/>
                      <w:kern w:val="0"/>
                      <w:sz w:val="21"/>
                      <w:szCs w:val="21"/>
                      <w:highlight w:val="none"/>
                    </w:rPr>
                    <w:t>达标</w:t>
                  </w:r>
                </w:p>
              </w:tc>
            </w:tr>
            <w:tr w14:paraId="01CAB1F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1" w:hRule="atLeast"/>
                <w:jc w:val="center"/>
              </w:trPr>
              <w:tc>
                <w:tcPr>
                  <w:tcW w:w="547" w:type="pct"/>
                  <w:vMerge w:val="continue"/>
                  <w:noWrap w:val="0"/>
                  <w:tcMar>
                    <w:left w:w="57" w:type="dxa"/>
                    <w:right w:w="57" w:type="dxa"/>
                  </w:tcMar>
                  <w:vAlign w:val="center"/>
                </w:tcPr>
                <w:p w14:paraId="7712C0FA">
                  <w:pPr>
                    <w:keepNext w:val="0"/>
                    <w:keepLines w:val="0"/>
                    <w:suppressLineNumbers w:val="0"/>
                    <w:overflowPunct w:val="0"/>
                    <w:adjustRightInd w:val="0"/>
                    <w:snapToGrid w:val="0"/>
                    <w:spacing w:before="0" w:beforeAutospacing="0" w:after="0" w:afterAutospacing="0" w:line="276" w:lineRule="auto"/>
                    <w:ind w:left="0" w:right="0"/>
                    <w:jc w:val="center"/>
                    <w:rPr>
                      <w:rFonts w:hint="eastAsia" w:ascii="Times New Roman" w:hAnsi="Times New Roman" w:eastAsia="宋体" w:cs="Times New Roman"/>
                      <w:snapToGrid w:val="0"/>
                      <w:sz w:val="21"/>
                      <w:szCs w:val="21"/>
                      <w:highlight w:val="none"/>
                      <w:lang w:val="en-US" w:eastAsia="zh-CN"/>
                    </w:rPr>
                  </w:pPr>
                </w:p>
              </w:tc>
              <w:tc>
                <w:tcPr>
                  <w:tcW w:w="710" w:type="pct"/>
                  <w:vMerge w:val="continue"/>
                  <w:noWrap w:val="0"/>
                  <w:tcMar>
                    <w:left w:w="57" w:type="dxa"/>
                    <w:right w:w="57" w:type="dxa"/>
                  </w:tcMar>
                  <w:vAlign w:val="center"/>
                </w:tcPr>
                <w:p w14:paraId="45719E33">
                  <w:pPr>
                    <w:keepNext w:val="0"/>
                    <w:keepLines w:val="0"/>
                    <w:suppressLineNumbers w:val="0"/>
                    <w:overflowPunct w:val="0"/>
                    <w:adjustRightInd w:val="0"/>
                    <w:snapToGrid w:val="0"/>
                    <w:spacing w:before="0" w:beforeAutospacing="0" w:after="0" w:afterAutospacing="0" w:line="276" w:lineRule="auto"/>
                    <w:ind w:left="0" w:right="0"/>
                    <w:jc w:val="center"/>
                    <w:rPr>
                      <w:rFonts w:hint="eastAsia" w:ascii="Times New Roman" w:hAnsi="Times New Roman" w:eastAsia="宋体" w:cs="Times New Roman"/>
                      <w:snapToGrid w:val="0"/>
                      <w:sz w:val="21"/>
                      <w:szCs w:val="21"/>
                      <w:highlight w:val="none"/>
                      <w:lang w:val="en-US" w:eastAsia="zh-CN"/>
                    </w:rPr>
                  </w:pPr>
                </w:p>
              </w:tc>
              <w:tc>
                <w:tcPr>
                  <w:tcW w:w="788" w:type="pct"/>
                  <w:shd w:val="clear" w:color="auto" w:fill="auto"/>
                  <w:noWrap w:val="0"/>
                  <w:tcMar>
                    <w:left w:w="57" w:type="dxa"/>
                    <w:right w:w="57" w:type="dxa"/>
                  </w:tcMar>
                  <w:vAlign w:val="center"/>
                </w:tcPr>
                <w:p w14:paraId="0FFA6EE0">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64" w:lineRule="auto"/>
                    <w:ind w:left="0" w:right="0"/>
                    <w:jc w:val="center"/>
                    <w:textAlignment w:val="auto"/>
                    <w:rPr>
                      <w:rFonts w:hint="eastAsia" w:ascii="Times New Roman" w:hAnsi="Times New Roman" w:eastAsia="宋体" w:cs="Times New Roman"/>
                      <w:bCs/>
                      <w:kern w:val="0"/>
                      <w:sz w:val="21"/>
                      <w:szCs w:val="21"/>
                      <w:highlight w:val="none"/>
                      <w:lang w:val="en-US" w:eastAsia="zh-CN" w:bidi="ar-SA"/>
                    </w:rPr>
                  </w:pPr>
                  <w:r>
                    <w:rPr>
                      <w:rFonts w:hint="default" w:ascii="Times New Roman" w:hAnsi="Times New Roman" w:eastAsia="宋体" w:cs="Times New Roman"/>
                      <w:bCs/>
                      <w:kern w:val="0"/>
                      <w:sz w:val="21"/>
                      <w:szCs w:val="21"/>
                      <w:highlight w:val="none"/>
                    </w:rPr>
                    <w:t>臭气浓度</w:t>
                  </w:r>
                </w:p>
              </w:tc>
              <w:tc>
                <w:tcPr>
                  <w:tcW w:w="1329" w:type="pct"/>
                  <w:gridSpan w:val="2"/>
                  <w:noWrap w:val="0"/>
                  <w:tcMar>
                    <w:left w:w="57" w:type="dxa"/>
                    <w:right w:w="57" w:type="dxa"/>
                  </w:tcMar>
                  <w:vAlign w:val="center"/>
                </w:tcPr>
                <w:p w14:paraId="0B7BA057">
                  <w:pPr>
                    <w:keepNext w:val="0"/>
                    <w:keepLines w:val="0"/>
                    <w:suppressLineNumbers w:val="0"/>
                    <w:overflowPunct w:val="0"/>
                    <w:adjustRightInd w:val="0"/>
                    <w:snapToGrid w:val="0"/>
                    <w:spacing w:before="0" w:beforeAutospacing="0" w:after="0" w:afterAutospacing="0" w:line="276" w:lineRule="auto"/>
                    <w:ind w:left="0" w:right="0"/>
                    <w:jc w:val="center"/>
                    <w:rPr>
                      <w:rFonts w:hint="eastAsia" w:ascii="Times New Roman" w:hAnsi="Times New Roman" w:eastAsia="宋体" w:cs="Times New Roman"/>
                      <w:snapToGrid w:val="0"/>
                      <w:sz w:val="21"/>
                      <w:szCs w:val="21"/>
                      <w:highlight w:val="none"/>
                      <w:lang w:val="en-US" w:eastAsia="zh-CN"/>
                    </w:rPr>
                  </w:pPr>
                  <w:r>
                    <w:rPr>
                      <w:rFonts w:hint="eastAsia" w:ascii="Times New Roman" w:hAnsi="Times New Roman" w:eastAsia="宋体" w:cs="Times New Roman"/>
                      <w:bCs/>
                      <w:kern w:val="0"/>
                      <w:sz w:val="21"/>
                      <w:szCs w:val="21"/>
                      <w:highlight w:val="none"/>
                      <w:lang w:val="en-US" w:eastAsia="zh-CN"/>
                    </w:rPr>
                    <w:t>549（无量纲）</w:t>
                  </w:r>
                </w:p>
              </w:tc>
              <w:tc>
                <w:tcPr>
                  <w:tcW w:w="1182" w:type="pct"/>
                  <w:gridSpan w:val="2"/>
                  <w:noWrap w:val="0"/>
                  <w:tcMar>
                    <w:left w:w="57" w:type="dxa"/>
                    <w:right w:w="57" w:type="dxa"/>
                  </w:tcMar>
                  <w:vAlign w:val="center"/>
                </w:tcPr>
                <w:p w14:paraId="610CC7AC">
                  <w:pPr>
                    <w:keepNext w:val="0"/>
                    <w:keepLines w:val="0"/>
                    <w:suppressLineNumbers w:val="0"/>
                    <w:overflowPunct w:val="0"/>
                    <w:adjustRightInd w:val="0"/>
                    <w:snapToGrid w:val="0"/>
                    <w:spacing w:before="0" w:beforeAutospacing="0" w:after="0" w:afterAutospacing="0" w:line="276" w:lineRule="auto"/>
                    <w:ind w:left="0" w:right="0"/>
                    <w:jc w:val="center"/>
                    <w:rPr>
                      <w:rFonts w:hint="eastAsia" w:ascii="Times New Roman" w:hAnsi="Times New Roman" w:eastAsia="宋体" w:cs="Times New Roman"/>
                      <w:snapToGrid w:val="0"/>
                      <w:sz w:val="21"/>
                      <w:szCs w:val="21"/>
                      <w:highlight w:val="none"/>
                      <w:lang w:val="en-US" w:eastAsia="zh-CN"/>
                    </w:rPr>
                  </w:pPr>
                  <w:r>
                    <w:rPr>
                      <w:rFonts w:hint="eastAsia" w:ascii="Times New Roman" w:hAnsi="Times New Roman" w:eastAsia="宋体" w:cs="Times New Roman"/>
                      <w:sz w:val="21"/>
                      <w:szCs w:val="21"/>
                      <w:highlight w:val="none"/>
                      <w:lang w:val="en-US" w:eastAsia="zh-CN"/>
                    </w:rPr>
                    <w:t>15</w:t>
                  </w:r>
                  <w:r>
                    <w:rPr>
                      <w:rFonts w:hint="eastAsia" w:ascii="Times New Roman" w:hAnsi="Times New Roman" w:eastAsia="宋体" w:cs="Times New Roman"/>
                      <w:sz w:val="21"/>
                      <w:szCs w:val="21"/>
                      <w:highlight w:val="none"/>
                    </w:rPr>
                    <w:t>000（无量纲）</w:t>
                  </w:r>
                </w:p>
              </w:tc>
              <w:tc>
                <w:tcPr>
                  <w:tcW w:w="441" w:type="pct"/>
                  <w:noWrap w:val="0"/>
                  <w:tcMar>
                    <w:left w:w="57" w:type="dxa"/>
                    <w:right w:w="57" w:type="dxa"/>
                  </w:tcMar>
                  <w:vAlign w:val="center"/>
                </w:tcPr>
                <w:p w14:paraId="574BEA28">
                  <w:pPr>
                    <w:keepNext w:val="0"/>
                    <w:keepLines w:val="0"/>
                    <w:suppressLineNumbers w:val="0"/>
                    <w:overflowPunct w:val="0"/>
                    <w:adjustRightInd w:val="0"/>
                    <w:snapToGrid w:val="0"/>
                    <w:spacing w:before="0" w:beforeAutospacing="0" w:after="0" w:afterAutospacing="0" w:line="276" w:lineRule="auto"/>
                    <w:ind w:left="0" w:right="0"/>
                    <w:jc w:val="center"/>
                    <w:rPr>
                      <w:rFonts w:hint="eastAsia" w:ascii="Times New Roman" w:hAnsi="Times New Roman" w:eastAsia="宋体" w:cs="Times New Roman"/>
                      <w:snapToGrid w:val="0"/>
                      <w:sz w:val="21"/>
                      <w:szCs w:val="21"/>
                      <w:highlight w:val="none"/>
                      <w:lang w:val="en-US" w:eastAsia="zh-CN"/>
                    </w:rPr>
                  </w:pPr>
                  <w:r>
                    <w:rPr>
                      <w:rFonts w:hint="eastAsia" w:ascii="Times New Roman" w:hAnsi="Times New Roman" w:eastAsia="宋体" w:cs="Times New Roman"/>
                      <w:kern w:val="0"/>
                      <w:sz w:val="21"/>
                      <w:szCs w:val="21"/>
                      <w:highlight w:val="none"/>
                    </w:rPr>
                    <w:t>达标</w:t>
                  </w:r>
                </w:p>
              </w:tc>
            </w:tr>
            <w:tr w14:paraId="35C0190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1" w:hRule="atLeast"/>
                <w:jc w:val="center"/>
              </w:trPr>
              <w:tc>
                <w:tcPr>
                  <w:tcW w:w="547" w:type="pct"/>
                  <w:vMerge w:val="continue"/>
                  <w:noWrap w:val="0"/>
                  <w:tcMar>
                    <w:left w:w="57" w:type="dxa"/>
                    <w:right w:w="57" w:type="dxa"/>
                  </w:tcMar>
                  <w:vAlign w:val="center"/>
                </w:tcPr>
                <w:p w14:paraId="5651E590">
                  <w:pPr>
                    <w:keepNext w:val="0"/>
                    <w:keepLines w:val="0"/>
                    <w:suppressLineNumbers w:val="0"/>
                    <w:overflowPunct w:val="0"/>
                    <w:adjustRightInd w:val="0"/>
                    <w:snapToGrid w:val="0"/>
                    <w:spacing w:before="0" w:beforeAutospacing="0" w:after="0" w:afterAutospacing="0" w:line="276" w:lineRule="auto"/>
                    <w:ind w:left="0" w:right="0"/>
                    <w:jc w:val="center"/>
                    <w:rPr>
                      <w:rFonts w:hint="eastAsia" w:ascii="Times New Roman" w:hAnsi="Times New Roman" w:eastAsia="宋体" w:cs="Times New Roman"/>
                      <w:snapToGrid w:val="0"/>
                      <w:sz w:val="21"/>
                      <w:szCs w:val="21"/>
                      <w:highlight w:val="none"/>
                      <w:lang w:val="en-US" w:eastAsia="zh-CN"/>
                    </w:rPr>
                  </w:pPr>
                </w:p>
              </w:tc>
              <w:tc>
                <w:tcPr>
                  <w:tcW w:w="710" w:type="pct"/>
                  <w:vMerge w:val="continue"/>
                  <w:noWrap w:val="0"/>
                  <w:tcMar>
                    <w:left w:w="57" w:type="dxa"/>
                    <w:right w:w="57" w:type="dxa"/>
                  </w:tcMar>
                  <w:vAlign w:val="center"/>
                </w:tcPr>
                <w:p w14:paraId="7FE80D06">
                  <w:pPr>
                    <w:keepNext w:val="0"/>
                    <w:keepLines w:val="0"/>
                    <w:suppressLineNumbers w:val="0"/>
                    <w:overflowPunct w:val="0"/>
                    <w:adjustRightInd w:val="0"/>
                    <w:snapToGrid w:val="0"/>
                    <w:spacing w:before="0" w:beforeAutospacing="0" w:after="0" w:afterAutospacing="0" w:line="276" w:lineRule="auto"/>
                    <w:ind w:left="0" w:right="0"/>
                    <w:jc w:val="center"/>
                    <w:rPr>
                      <w:rFonts w:hint="eastAsia" w:ascii="Times New Roman" w:hAnsi="Times New Roman" w:eastAsia="宋体" w:cs="Times New Roman"/>
                      <w:snapToGrid w:val="0"/>
                      <w:sz w:val="21"/>
                      <w:szCs w:val="21"/>
                      <w:highlight w:val="none"/>
                      <w:lang w:val="en-US" w:eastAsia="zh-CN"/>
                    </w:rPr>
                  </w:pPr>
                </w:p>
              </w:tc>
              <w:tc>
                <w:tcPr>
                  <w:tcW w:w="788" w:type="pct"/>
                  <w:shd w:val="clear" w:color="auto" w:fill="auto"/>
                  <w:noWrap w:val="0"/>
                  <w:tcMar>
                    <w:left w:w="57" w:type="dxa"/>
                    <w:right w:w="57" w:type="dxa"/>
                  </w:tcMar>
                  <w:vAlign w:val="center"/>
                </w:tcPr>
                <w:p w14:paraId="4803ABE8">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64" w:lineRule="auto"/>
                    <w:ind w:left="0" w:right="0"/>
                    <w:jc w:val="center"/>
                    <w:textAlignment w:val="auto"/>
                    <w:rPr>
                      <w:rFonts w:hint="eastAsia" w:ascii="Times New Roman" w:hAnsi="Times New Roman" w:eastAsia="宋体" w:cs="Times New Roman"/>
                      <w:bCs/>
                      <w:kern w:val="0"/>
                      <w:sz w:val="21"/>
                      <w:szCs w:val="21"/>
                      <w:highlight w:val="none"/>
                      <w:lang w:val="en-US" w:eastAsia="zh-CN"/>
                    </w:rPr>
                  </w:pPr>
                  <w:r>
                    <w:rPr>
                      <w:rFonts w:hint="eastAsia" w:cs="Times New Roman"/>
                      <w:bCs/>
                      <w:kern w:val="0"/>
                      <w:sz w:val="21"/>
                      <w:szCs w:val="21"/>
                      <w:highlight w:val="none"/>
                      <w:lang w:val="en-US" w:eastAsia="zh-CN"/>
                    </w:rPr>
                    <w:t>颗粒物</w:t>
                  </w:r>
                </w:p>
              </w:tc>
              <w:tc>
                <w:tcPr>
                  <w:tcW w:w="1329" w:type="pct"/>
                  <w:gridSpan w:val="2"/>
                  <w:noWrap w:val="0"/>
                  <w:tcMar>
                    <w:left w:w="57" w:type="dxa"/>
                    <w:right w:w="57" w:type="dxa"/>
                  </w:tcMar>
                  <w:vAlign w:val="center"/>
                </w:tcPr>
                <w:p w14:paraId="6628103A">
                  <w:pPr>
                    <w:keepNext w:val="0"/>
                    <w:keepLines w:val="0"/>
                    <w:suppressLineNumbers w:val="0"/>
                    <w:overflowPunct w:val="0"/>
                    <w:adjustRightInd w:val="0"/>
                    <w:snapToGrid w:val="0"/>
                    <w:spacing w:before="0" w:beforeAutospacing="0" w:after="0" w:afterAutospacing="0" w:line="276" w:lineRule="auto"/>
                    <w:ind w:left="0" w:right="0"/>
                    <w:jc w:val="center"/>
                    <w:rPr>
                      <w:rFonts w:hint="default" w:ascii="Times New Roman" w:hAnsi="Times New Roman" w:eastAsia="宋体" w:cs="Times New Roman"/>
                      <w:bCs/>
                      <w:kern w:val="0"/>
                      <w:sz w:val="21"/>
                      <w:szCs w:val="21"/>
                      <w:highlight w:val="none"/>
                      <w:lang w:val="en-US" w:eastAsia="zh-CN"/>
                    </w:rPr>
                  </w:pPr>
                  <w:r>
                    <w:rPr>
                      <w:rFonts w:hint="eastAsia" w:cs="Times New Roman"/>
                      <w:bCs/>
                      <w:kern w:val="0"/>
                      <w:sz w:val="21"/>
                      <w:szCs w:val="21"/>
                      <w:highlight w:val="none"/>
                      <w:lang w:val="en-US" w:eastAsia="zh-CN"/>
                    </w:rPr>
                    <w:t>少量</w:t>
                  </w:r>
                </w:p>
              </w:tc>
              <w:tc>
                <w:tcPr>
                  <w:tcW w:w="513" w:type="pct"/>
                  <w:noWrap w:val="0"/>
                  <w:tcMar>
                    <w:left w:w="57" w:type="dxa"/>
                    <w:right w:w="57" w:type="dxa"/>
                  </w:tcMar>
                  <w:vAlign w:val="center"/>
                </w:tcPr>
                <w:p w14:paraId="3939C16F">
                  <w:pPr>
                    <w:keepNext w:val="0"/>
                    <w:keepLines w:val="0"/>
                    <w:suppressLineNumbers w:val="0"/>
                    <w:overflowPunct w:val="0"/>
                    <w:adjustRightInd w:val="0"/>
                    <w:snapToGrid w:val="0"/>
                    <w:spacing w:before="0" w:beforeAutospacing="0" w:after="0" w:afterAutospacing="0" w:line="276" w:lineRule="auto"/>
                    <w:ind w:left="0" w:right="0"/>
                    <w:jc w:val="center"/>
                    <w:rPr>
                      <w:rFonts w:hint="default" w:ascii="Times New Roman" w:hAnsi="Times New Roman" w:eastAsia="宋体" w:cs="Times New Roman"/>
                      <w:sz w:val="21"/>
                      <w:szCs w:val="21"/>
                      <w:highlight w:val="none"/>
                      <w:lang w:val="en-US" w:eastAsia="zh-CN"/>
                    </w:rPr>
                  </w:pPr>
                  <w:r>
                    <w:rPr>
                      <w:rFonts w:hint="eastAsia" w:cs="Times New Roman"/>
                      <w:sz w:val="21"/>
                      <w:szCs w:val="21"/>
                      <w:highlight w:val="none"/>
                      <w:lang w:val="en-US" w:eastAsia="zh-CN"/>
                    </w:rPr>
                    <w:t>11.5</w:t>
                  </w:r>
                </w:p>
              </w:tc>
              <w:tc>
                <w:tcPr>
                  <w:tcW w:w="669" w:type="pct"/>
                  <w:noWrap w:val="0"/>
                  <w:tcMar>
                    <w:left w:w="57" w:type="dxa"/>
                    <w:right w:w="57" w:type="dxa"/>
                  </w:tcMar>
                  <w:vAlign w:val="center"/>
                </w:tcPr>
                <w:p w14:paraId="32AB6307">
                  <w:pPr>
                    <w:keepNext w:val="0"/>
                    <w:keepLines w:val="0"/>
                    <w:suppressLineNumbers w:val="0"/>
                    <w:overflowPunct w:val="0"/>
                    <w:adjustRightInd w:val="0"/>
                    <w:snapToGrid w:val="0"/>
                    <w:spacing w:before="0" w:beforeAutospacing="0" w:after="0" w:afterAutospacing="0" w:line="276" w:lineRule="auto"/>
                    <w:ind w:left="0" w:right="0"/>
                    <w:jc w:val="center"/>
                    <w:rPr>
                      <w:rFonts w:hint="default" w:ascii="Times New Roman" w:hAnsi="Times New Roman" w:eastAsia="宋体" w:cs="Times New Roman"/>
                      <w:sz w:val="21"/>
                      <w:szCs w:val="21"/>
                      <w:highlight w:val="none"/>
                      <w:lang w:val="en-US" w:eastAsia="zh-CN"/>
                    </w:rPr>
                  </w:pPr>
                  <w:r>
                    <w:rPr>
                      <w:rFonts w:hint="eastAsia" w:cs="Times New Roman"/>
                      <w:sz w:val="21"/>
                      <w:szCs w:val="21"/>
                      <w:highlight w:val="none"/>
                      <w:lang w:val="en-US" w:eastAsia="zh-CN"/>
                    </w:rPr>
                    <w:t>120</w:t>
                  </w:r>
                </w:p>
              </w:tc>
              <w:tc>
                <w:tcPr>
                  <w:tcW w:w="441" w:type="pct"/>
                  <w:noWrap w:val="0"/>
                  <w:tcMar>
                    <w:left w:w="57" w:type="dxa"/>
                    <w:right w:w="57" w:type="dxa"/>
                  </w:tcMar>
                  <w:vAlign w:val="center"/>
                </w:tcPr>
                <w:p w14:paraId="19E76265">
                  <w:pPr>
                    <w:keepNext w:val="0"/>
                    <w:keepLines w:val="0"/>
                    <w:suppressLineNumbers w:val="0"/>
                    <w:overflowPunct w:val="0"/>
                    <w:adjustRightInd w:val="0"/>
                    <w:snapToGrid w:val="0"/>
                    <w:spacing w:before="0" w:beforeAutospacing="0" w:after="0" w:afterAutospacing="0" w:line="276" w:lineRule="auto"/>
                    <w:ind w:left="0" w:right="0"/>
                    <w:jc w:val="center"/>
                    <w:rPr>
                      <w:rFonts w:hint="eastAsia" w:ascii="Times New Roman" w:hAnsi="Times New Roman" w:eastAsia="宋体" w:cs="Times New Roman"/>
                      <w:kern w:val="0"/>
                      <w:sz w:val="21"/>
                      <w:szCs w:val="21"/>
                      <w:highlight w:val="none"/>
                    </w:rPr>
                  </w:pPr>
                  <w:r>
                    <w:rPr>
                      <w:rFonts w:hint="eastAsia" w:ascii="Times New Roman" w:hAnsi="Times New Roman" w:eastAsia="宋体" w:cs="Times New Roman"/>
                      <w:kern w:val="0"/>
                      <w:sz w:val="21"/>
                      <w:szCs w:val="21"/>
                      <w:highlight w:val="none"/>
                    </w:rPr>
                    <w:t>达标</w:t>
                  </w:r>
                </w:p>
              </w:tc>
            </w:tr>
            <w:tr w14:paraId="7136736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1" w:hRule="atLeast"/>
                <w:jc w:val="center"/>
              </w:trPr>
              <w:tc>
                <w:tcPr>
                  <w:tcW w:w="547" w:type="pct"/>
                  <w:vMerge w:val="restart"/>
                  <w:noWrap w:val="0"/>
                  <w:tcMar>
                    <w:left w:w="57" w:type="dxa"/>
                    <w:right w:w="57" w:type="dxa"/>
                  </w:tcMar>
                  <w:vAlign w:val="center"/>
                </w:tcPr>
                <w:p w14:paraId="4B04970B">
                  <w:pPr>
                    <w:keepNext w:val="0"/>
                    <w:keepLines w:val="0"/>
                    <w:widowControl/>
                    <w:suppressLineNumbers w:val="0"/>
                    <w:adjustRightInd w:val="0"/>
                    <w:snapToGrid w:val="0"/>
                    <w:spacing w:before="0" w:beforeAutospacing="0" w:after="0" w:afterAutospacing="0" w:line="276" w:lineRule="auto"/>
                    <w:ind w:left="0" w:right="0"/>
                    <w:jc w:val="center"/>
                    <w:rPr>
                      <w:rFonts w:hint="default" w:ascii="Times New Roman" w:hAnsi="Times New Roman" w:eastAsia="宋体" w:cs="Times New Roman"/>
                      <w:snapToGrid w:val="0"/>
                      <w:kern w:val="2"/>
                      <w:sz w:val="21"/>
                      <w:szCs w:val="21"/>
                      <w:highlight w:val="none"/>
                      <w:lang w:val="en-US" w:eastAsia="zh-CN" w:bidi="ar-SA"/>
                    </w:rPr>
                  </w:pPr>
                  <w:r>
                    <w:rPr>
                      <w:rFonts w:hint="default" w:ascii="Times New Roman" w:hAnsi="Times New Roman" w:eastAsia="宋体" w:cs="Times New Roman"/>
                      <w:snapToGrid w:val="0"/>
                      <w:sz w:val="21"/>
                      <w:szCs w:val="21"/>
                      <w:highlight w:val="none"/>
                    </w:rPr>
                    <w:t>DA0</w:t>
                  </w:r>
                  <w:r>
                    <w:rPr>
                      <w:rFonts w:hint="eastAsia" w:ascii="Times New Roman" w:hAnsi="Times New Roman" w:eastAsia="宋体" w:cs="Times New Roman"/>
                      <w:snapToGrid w:val="0"/>
                      <w:sz w:val="21"/>
                      <w:szCs w:val="21"/>
                      <w:highlight w:val="none"/>
                      <w:lang w:val="en-US" w:eastAsia="zh-CN"/>
                    </w:rPr>
                    <w:t>02</w:t>
                  </w:r>
                </w:p>
              </w:tc>
              <w:tc>
                <w:tcPr>
                  <w:tcW w:w="710" w:type="pct"/>
                  <w:vMerge w:val="restart"/>
                  <w:noWrap w:val="0"/>
                  <w:tcMar>
                    <w:left w:w="57" w:type="dxa"/>
                    <w:right w:w="57" w:type="dxa"/>
                  </w:tcMar>
                  <w:vAlign w:val="center"/>
                </w:tcPr>
                <w:p w14:paraId="72EC519C">
                  <w:pPr>
                    <w:keepNext w:val="0"/>
                    <w:keepLines w:val="0"/>
                    <w:widowControl/>
                    <w:suppressLineNumbers w:val="0"/>
                    <w:adjustRightInd w:val="0"/>
                    <w:snapToGrid w:val="0"/>
                    <w:spacing w:before="0" w:beforeAutospacing="0" w:after="0" w:afterAutospacing="0" w:line="276" w:lineRule="auto"/>
                    <w:ind w:left="0" w:right="0"/>
                    <w:jc w:val="center"/>
                    <w:rPr>
                      <w:rFonts w:hint="eastAsia" w:ascii="Times New Roman" w:hAnsi="Times New Roman" w:eastAsia="宋体" w:cs="Times New Roman"/>
                      <w:snapToGrid w:val="0"/>
                      <w:kern w:val="2"/>
                      <w:sz w:val="21"/>
                      <w:szCs w:val="21"/>
                      <w:highlight w:val="none"/>
                      <w:lang w:val="en-US" w:eastAsia="zh-CN" w:bidi="ar-SA"/>
                    </w:rPr>
                  </w:pPr>
                  <w:r>
                    <w:rPr>
                      <w:rFonts w:hint="eastAsia" w:ascii="Times New Roman" w:hAnsi="Times New Roman" w:eastAsia="宋体" w:cs="Times New Roman"/>
                      <w:snapToGrid w:val="0"/>
                      <w:sz w:val="21"/>
                      <w:szCs w:val="21"/>
                      <w:highlight w:val="none"/>
                      <w:lang w:val="en-US" w:eastAsia="zh-CN"/>
                    </w:rPr>
                    <w:t>2#</w:t>
                  </w:r>
                  <w:r>
                    <w:rPr>
                      <w:rFonts w:hint="default" w:ascii="Times New Roman" w:hAnsi="Times New Roman" w:eastAsia="宋体" w:cs="Times New Roman"/>
                      <w:snapToGrid w:val="0"/>
                      <w:sz w:val="21"/>
                      <w:szCs w:val="21"/>
                      <w:highlight w:val="none"/>
                    </w:rPr>
                    <w:t>排放口</w:t>
                  </w:r>
                </w:p>
              </w:tc>
              <w:tc>
                <w:tcPr>
                  <w:tcW w:w="788" w:type="pct"/>
                  <w:shd w:val="clear" w:color="auto" w:fill="auto"/>
                  <w:noWrap w:val="0"/>
                  <w:tcMar>
                    <w:left w:w="57" w:type="dxa"/>
                    <w:right w:w="57" w:type="dxa"/>
                  </w:tcMar>
                  <w:vAlign w:val="center"/>
                </w:tcPr>
                <w:p w14:paraId="0882DDF2">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64" w:lineRule="auto"/>
                    <w:ind w:left="0" w:right="0"/>
                    <w:jc w:val="center"/>
                    <w:textAlignment w:val="auto"/>
                    <w:rPr>
                      <w:rFonts w:hint="eastAsia" w:ascii="Times New Roman" w:hAnsi="Times New Roman" w:eastAsia="宋体" w:cs="Times New Roman"/>
                      <w:bCs/>
                      <w:kern w:val="0"/>
                      <w:sz w:val="21"/>
                      <w:szCs w:val="21"/>
                      <w:highlight w:val="none"/>
                      <w:lang w:val="en-US" w:eastAsia="zh-CN" w:bidi="ar-SA"/>
                    </w:rPr>
                  </w:pPr>
                  <w:r>
                    <w:rPr>
                      <w:rFonts w:hint="default" w:ascii="Times New Roman" w:hAnsi="Times New Roman" w:eastAsia="宋体" w:cs="Times New Roman"/>
                      <w:bCs/>
                      <w:kern w:val="0"/>
                      <w:sz w:val="21"/>
                      <w:szCs w:val="21"/>
                      <w:highlight w:val="none"/>
                    </w:rPr>
                    <w:t>氨</w:t>
                  </w:r>
                </w:p>
              </w:tc>
              <w:tc>
                <w:tcPr>
                  <w:tcW w:w="687" w:type="pct"/>
                  <w:shd w:val="clear" w:color="auto" w:fill="auto"/>
                  <w:noWrap w:val="0"/>
                  <w:tcMar>
                    <w:left w:w="57" w:type="dxa"/>
                    <w:right w:w="57" w:type="dxa"/>
                  </w:tcMar>
                  <w:vAlign w:val="center"/>
                </w:tcPr>
                <w:p w14:paraId="5C401DE8">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bCs/>
                      <w:kern w:val="0"/>
                      <w:sz w:val="21"/>
                      <w:szCs w:val="21"/>
                      <w:highlight w:val="none"/>
                      <w:lang w:val="en-US" w:eastAsia="zh-CN" w:bidi="ar-SA"/>
                    </w:rPr>
                  </w:pPr>
                  <w:r>
                    <w:rPr>
                      <w:rFonts w:hint="eastAsia" w:ascii="Times New Roman" w:hAnsi="Times New Roman" w:eastAsia="宋体" w:cs="Times New Roman"/>
                      <w:i w:val="0"/>
                      <w:iCs w:val="0"/>
                      <w:color w:val="000000"/>
                      <w:kern w:val="0"/>
                      <w:sz w:val="21"/>
                      <w:szCs w:val="21"/>
                      <w:highlight w:val="none"/>
                      <w:u w:val="none"/>
                      <w:lang w:val="en-US" w:eastAsia="zh-CN" w:bidi="ar"/>
                    </w:rPr>
                    <w:t>~</w:t>
                  </w:r>
                  <w:r>
                    <w:rPr>
                      <w:rFonts w:hint="default" w:ascii="Times New Roman" w:hAnsi="Times New Roman" w:eastAsia="宋体" w:cs="Times New Roman"/>
                      <w:i w:val="0"/>
                      <w:iCs w:val="0"/>
                      <w:color w:val="000000"/>
                      <w:kern w:val="0"/>
                      <w:sz w:val="21"/>
                      <w:szCs w:val="21"/>
                      <w:highlight w:val="none"/>
                      <w:u w:val="none"/>
                      <w:lang w:val="en-US" w:eastAsia="zh-CN" w:bidi="ar"/>
                    </w:rPr>
                    <w:t>0</w:t>
                  </w:r>
                </w:p>
              </w:tc>
              <w:tc>
                <w:tcPr>
                  <w:tcW w:w="641" w:type="pct"/>
                  <w:shd w:val="clear" w:color="auto" w:fill="auto"/>
                  <w:noWrap w:val="0"/>
                  <w:tcMar>
                    <w:left w:w="57" w:type="dxa"/>
                    <w:right w:w="57" w:type="dxa"/>
                  </w:tcMar>
                  <w:vAlign w:val="center"/>
                </w:tcPr>
                <w:p w14:paraId="493545CC">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bCs/>
                      <w:kern w:val="0"/>
                      <w:sz w:val="21"/>
                      <w:szCs w:val="21"/>
                      <w:highlight w:val="none"/>
                      <w:lang w:val="en-US" w:eastAsia="zh-CN" w:bidi="ar-SA"/>
                    </w:rPr>
                  </w:pPr>
                  <w:r>
                    <w:rPr>
                      <w:rFonts w:hint="eastAsia" w:ascii="Times New Roman" w:hAnsi="Times New Roman" w:eastAsia="宋体" w:cs="Times New Roman"/>
                      <w:i w:val="0"/>
                      <w:iCs w:val="0"/>
                      <w:color w:val="000000"/>
                      <w:kern w:val="0"/>
                      <w:sz w:val="21"/>
                      <w:szCs w:val="21"/>
                      <w:highlight w:val="none"/>
                      <w:u w:val="none"/>
                      <w:lang w:val="en-US" w:eastAsia="zh-CN" w:bidi="ar"/>
                    </w:rPr>
                    <w:t>~</w:t>
                  </w:r>
                  <w:r>
                    <w:rPr>
                      <w:rFonts w:hint="default" w:ascii="Times New Roman" w:hAnsi="Times New Roman" w:eastAsia="宋体" w:cs="Times New Roman"/>
                      <w:i w:val="0"/>
                      <w:iCs w:val="0"/>
                      <w:color w:val="000000"/>
                      <w:kern w:val="0"/>
                      <w:sz w:val="21"/>
                      <w:szCs w:val="21"/>
                      <w:highlight w:val="none"/>
                      <w:u w:val="none"/>
                      <w:lang w:val="en-US" w:eastAsia="zh-CN" w:bidi="ar"/>
                    </w:rPr>
                    <w:t>0</w:t>
                  </w:r>
                </w:p>
              </w:tc>
              <w:tc>
                <w:tcPr>
                  <w:tcW w:w="513" w:type="pct"/>
                  <w:shd w:val="clear" w:color="auto" w:fill="auto"/>
                  <w:noWrap w:val="0"/>
                  <w:tcMar>
                    <w:left w:w="57" w:type="dxa"/>
                    <w:right w:w="57" w:type="dxa"/>
                  </w:tcMar>
                  <w:vAlign w:val="center"/>
                </w:tcPr>
                <w:p w14:paraId="7921FD8D">
                  <w:pPr>
                    <w:keepNext w:val="0"/>
                    <w:keepLines w:val="0"/>
                    <w:suppressLineNumbers w:val="0"/>
                    <w:overflowPunct w:val="0"/>
                    <w:adjustRightInd w:val="0"/>
                    <w:snapToGrid w:val="0"/>
                    <w:spacing w:before="0" w:beforeAutospacing="0" w:after="0" w:afterAutospacing="0" w:line="276" w:lineRule="auto"/>
                    <w:ind w:left="0" w:right="0"/>
                    <w:jc w:val="center"/>
                    <w:rPr>
                      <w:rFonts w:hint="default" w:ascii="Times New Roman" w:hAnsi="Times New Roman" w:eastAsia="宋体" w:cs="Times New Roman"/>
                      <w:kern w:val="0"/>
                      <w:sz w:val="21"/>
                      <w:szCs w:val="21"/>
                      <w:highlight w:val="none"/>
                      <w:lang w:val="en-US" w:eastAsia="zh-CN" w:bidi="ar-SA"/>
                    </w:rPr>
                  </w:pPr>
                  <w:r>
                    <w:rPr>
                      <w:rFonts w:hint="eastAsia" w:ascii="Times New Roman" w:hAnsi="Times New Roman" w:eastAsia="宋体" w:cs="Times New Roman"/>
                      <w:kern w:val="0"/>
                      <w:sz w:val="21"/>
                      <w:szCs w:val="21"/>
                      <w:highlight w:val="none"/>
                      <w:lang w:val="en-US" w:eastAsia="zh-CN"/>
                    </w:rPr>
                    <w:t>20</w:t>
                  </w:r>
                </w:p>
              </w:tc>
              <w:tc>
                <w:tcPr>
                  <w:tcW w:w="669" w:type="pct"/>
                  <w:shd w:val="clear" w:color="auto" w:fill="auto"/>
                  <w:noWrap w:val="0"/>
                  <w:tcMar>
                    <w:left w:w="57" w:type="dxa"/>
                    <w:right w:w="57" w:type="dxa"/>
                  </w:tcMar>
                  <w:vAlign w:val="center"/>
                </w:tcPr>
                <w:p w14:paraId="5FD75B96">
                  <w:pPr>
                    <w:keepNext w:val="0"/>
                    <w:keepLines w:val="0"/>
                    <w:suppressLineNumbers w:val="0"/>
                    <w:adjustRightInd w:val="0"/>
                    <w:snapToGrid w:val="0"/>
                    <w:spacing w:before="0" w:beforeAutospacing="0" w:after="0" w:afterAutospacing="0" w:line="276" w:lineRule="auto"/>
                    <w:ind w:left="0" w:right="0"/>
                    <w:jc w:val="center"/>
                    <w:rPr>
                      <w:rFonts w:hint="default" w:ascii="Times New Roman" w:hAnsi="Times New Roman" w:eastAsia="宋体" w:cs="Times New Roman"/>
                      <w:kern w:val="2"/>
                      <w:sz w:val="21"/>
                      <w:szCs w:val="21"/>
                      <w:highlight w:val="none"/>
                      <w:lang w:val="en-US" w:eastAsia="zh-CN" w:bidi="ar-SA"/>
                    </w:rPr>
                  </w:pPr>
                  <w:r>
                    <w:rPr>
                      <w:rFonts w:hint="eastAsia" w:ascii="Times New Roman" w:hAnsi="Times New Roman" w:eastAsia="宋体" w:cs="Times New Roman"/>
                      <w:sz w:val="21"/>
                      <w:szCs w:val="21"/>
                      <w:highlight w:val="none"/>
                      <w:lang w:val="en-US" w:eastAsia="zh-CN"/>
                    </w:rPr>
                    <w:t>/</w:t>
                  </w:r>
                </w:p>
              </w:tc>
              <w:tc>
                <w:tcPr>
                  <w:tcW w:w="441" w:type="pct"/>
                  <w:shd w:val="clear" w:color="auto" w:fill="auto"/>
                  <w:noWrap w:val="0"/>
                  <w:tcMar>
                    <w:left w:w="57" w:type="dxa"/>
                    <w:right w:w="57" w:type="dxa"/>
                  </w:tcMar>
                  <w:vAlign w:val="center"/>
                </w:tcPr>
                <w:p w14:paraId="3321D62F">
                  <w:pPr>
                    <w:keepNext w:val="0"/>
                    <w:keepLines w:val="0"/>
                    <w:suppressLineNumbers w:val="0"/>
                    <w:overflowPunct w:val="0"/>
                    <w:adjustRightInd w:val="0"/>
                    <w:snapToGrid w:val="0"/>
                    <w:spacing w:before="0" w:beforeAutospacing="0" w:after="0" w:afterAutospacing="0" w:line="276" w:lineRule="auto"/>
                    <w:ind w:left="0" w:right="0"/>
                    <w:jc w:val="center"/>
                    <w:rPr>
                      <w:rFonts w:hint="eastAsia" w:ascii="Times New Roman" w:hAnsi="Times New Roman" w:eastAsia="宋体" w:cs="Times New Roman"/>
                      <w:kern w:val="0"/>
                      <w:sz w:val="21"/>
                      <w:szCs w:val="21"/>
                      <w:highlight w:val="none"/>
                      <w:lang w:val="en-US" w:eastAsia="zh-CN" w:bidi="ar-SA"/>
                    </w:rPr>
                  </w:pPr>
                  <w:r>
                    <w:rPr>
                      <w:rFonts w:hint="eastAsia" w:ascii="Times New Roman" w:hAnsi="Times New Roman" w:eastAsia="宋体" w:cs="Times New Roman"/>
                      <w:kern w:val="0"/>
                      <w:sz w:val="21"/>
                      <w:szCs w:val="21"/>
                      <w:highlight w:val="none"/>
                    </w:rPr>
                    <w:t>达标</w:t>
                  </w:r>
                </w:p>
              </w:tc>
            </w:tr>
            <w:tr w14:paraId="3AD92DC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1" w:hRule="atLeast"/>
                <w:jc w:val="center"/>
              </w:trPr>
              <w:tc>
                <w:tcPr>
                  <w:tcW w:w="547" w:type="pct"/>
                  <w:vMerge w:val="continue"/>
                  <w:noWrap w:val="0"/>
                  <w:tcMar>
                    <w:left w:w="57" w:type="dxa"/>
                    <w:right w:w="57" w:type="dxa"/>
                  </w:tcMar>
                  <w:vAlign w:val="center"/>
                </w:tcPr>
                <w:p w14:paraId="11262725">
                  <w:pPr>
                    <w:keepNext w:val="0"/>
                    <w:keepLines w:val="0"/>
                    <w:suppressLineNumbers w:val="0"/>
                    <w:overflowPunct w:val="0"/>
                    <w:adjustRightInd w:val="0"/>
                    <w:snapToGrid w:val="0"/>
                    <w:spacing w:before="0" w:beforeAutospacing="0" w:after="0" w:afterAutospacing="0" w:line="276" w:lineRule="auto"/>
                    <w:ind w:left="0" w:right="0"/>
                    <w:jc w:val="center"/>
                    <w:rPr>
                      <w:rFonts w:hint="default" w:ascii="Times New Roman" w:hAnsi="Times New Roman" w:eastAsia="宋体" w:cs="Times New Roman"/>
                      <w:sz w:val="21"/>
                      <w:szCs w:val="21"/>
                      <w:highlight w:val="none"/>
                    </w:rPr>
                  </w:pPr>
                </w:p>
              </w:tc>
              <w:tc>
                <w:tcPr>
                  <w:tcW w:w="710" w:type="pct"/>
                  <w:vMerge w:val="continue"/>
                  <w:noWrap w:val="0"/>
                  <w:tcMar>
                    <w:left w:w="57" w:type="dxa"/>
                    <w:right w:w="57" w:type="dxa"/>
                  </w:tcMar>
                  <w:vAlign w:val="center"/>
                </w:tcPr>
                <w:p w14:paraId="593F5CFA">
                  <w:pPr>
                    <w:keepNext w:val="0"/>
                    <w:keepLines w:val="0"/>
                    <w:suppressLineNumbers w:val="0"/>
                    <w:overflowPunct w:val="0"/>
                    <w:adjustRightInd w:val="0"/>
                    <w:snapToGrid w:val="0"/>
                    <w:spacing w:before="0" w:beforeAutospacing="0" w:after="0" w:afterAutospacing="0" w:line="276" w:lineRule="auto"/>
                    <w:ind w:left="0" w:right="0"/>
                    <w:jc w:val="center"/>
                    <w:rPr>
                      <w:rFonts w:hint="default" w:ascii="Times New Roman" w:hAnsi="Times New Roman" w:eastAsia="宋体" w:cs="Times New Roman"/>
                      <w:sz w:val="21"/>
                      <w:szCs w:val="21"/>
                      <w:highlight w:val="none"/>
                    </w:rPr>
                  </w:pPr>
                </w:p>
              </w:tc>
              <w:tc>
                <w:tcPr>
                  <w:tcW w:w="788" w:type="pct"/>
                  <w:shd w:val="clear" w:color="auto" w:fill="auto"/>
                  <w:noWrap w:val="0"/>
                  <w:tcMar>
                    <w:left w:w="57" w:type="dxa"/>
                    <w:right w:w="57" w:type="dxa"/>
                  </w:tcMar>
                  <w:vAlign w:val="center"/>
                </w:tcPr>
                <w:p w14:paraId="0A1E88E7">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64" w:lineRule="auto"/>
                    <w:ind w:left="0" w:right="0"/>
                    <w:jc w:val="center"/>
                    <w:textAlignment w:val="auto"/>
                    <w:rPr>
                      <w:rFonts w:hint="eastAsia" w:ascii="Times New Roman" w:hAnsi="Times New Roman" w:eastAsia="宋体" w:cs="Times New Roman"/>
                      <w:bCs/>
                      <w:kern w:val="0"/>
                      <w:sz w:val="21"/>
                      <w:szCs w:val="21"/>
                      <w:highlight w:val="none"/>
                      <w:lang w:val="en-US" w:eastAsia="zh-CN" w:bidi="ar-SA"/>
                    </w:rPr>
                  </w:pPr>
                  <w:r>
                    <w:rPr>
                      <w:rFonts w:hint="default" w:ascii="Times New Roman" w:hAnsi="Times New Roman" w:eastAsia="宋体" w:cs="Times New Roman"/>
                      <w:bCs/>
                      <w:kern w:val="0"/>
                      <w:sz w:val="21"/>
                      <w:szCs w:val="21"/>
                      <w:highlight w:val="none"/>
                    </w:rPr>
                    <w:t>硫化氢</w:t>
                  </w:r>
                </w:p>
              </w:tc>
              <w:tc>
                <w:tcPr>
                  <w:tcW w:w="687" w:type="pct"/>
                  <w:shd w:val="clear" w:color="auto" w:fill="auto"/>
                  <w:noWrap w:val="0"/>
                  <w:tcMar>
                    <w:left w:w="57" w:type="dxa"/>
                    <w:right w:w="57" w:type="dxa"/>
                  </w:tcMar>
                  <w:vAlign w:val="center"/>
                </w:tcPr>
                <w:p w14:paraId="5E1FAFCC">
                  <w:pPr>
                    <w:keepNext w:val="0"/>
                    <w:keepLines w:val="0"/>
                    <w:widowControl/>
                    <w:suppressLineNumbers w:val="0"/>
                    <w:spacing w:before="0" w:beforeAutospacing="0" w:after="0" w:afterAutospacing="0"/>
                    <w:ind w:left="0" w:right="0"/>
                    <w:jc w:val="center"/>
                    <w:textAlignment w:val="center"/>
                    <w:rPr>
                      <w:rFonts w:hint="eastAsia" w:ascii="Times New Roman" w:hAnsi="Times New Roman" w:eastAsia="宋体" w:cs="Times New Roman"/>
                      <w:bCs/>
                      <w:kern w:val="0"/>
                      <w:sz w:val="21"/>
                      <w:szCs w:val="21"/>
                      <w:highlight w:val="none"/>
                      <w:lang w:val="en-US" w:eastAsia="zh-CN" w:bidi="ar-SA"/>
                    </w:rPr>
                  </w:pPr>
                  <w:r>
                    <w:rPr>
                      <w:rFonts w:hint="eastAsia" w:ascii="Times New Roman" w:hAnsi="Times New Roman" w:eastAsia="宋体" w:cs="Times New Roman"/>
                      <w:i w:val="0"/>
                      <w:iCs w:val="0"/>
                      <w:color w:val="000000"/>
                      <w:kern w:val="0"/>
                      <w:sz w:val="21"/>
                      <w:szCs w:val="21"/>
                      <w:highlight w:val="none"/>
                      <w:u w:val="none"/>
                      <w:lang w:val="en-US" w:eastAsia="zh-CN" w:bidi="ar"/>
                    </w:rPr>
                    <w:t>~</w:t>
                  </w:r>
                  <w:r>
                    <w:rPr>
                      <w:rFonts w:hint="default" w:ascii="Times New Roman" w:hAnsi="Times New Roman" w:eastAsia="宋体" w:cs="Times New Roman"/>
                      <w:i w:val="0"/>
                      <w:iCs w:val="0"/>
                      <w:color w:val="000000"/>
                      <w:kern w:val="0"/>
                      <w:sz w:val="21"/>
                      <w:szCs w:val="21"/>
                      <w:highlight w:val="none"/>
                      <w:u w:val="none"/>
                      <w:lang w:val="en-US" w:eastAsia="zh-CN" w:bidi="ar"/>
                    </w:rPr>
                    <w:t>0</w:t>
                  </w:r>
                </w:p>
              </w:tc>
              <w:tc>
                <w:tcPr>
                  <w:tcW w:w="641" w:type="pct"/>
                  <w:shd w:val="clear" w:color="auto" w:fill="auto"/>
                  <w:noWrap w:val="0"/>
                  <w:tcMar>
                    <w:left w:w="57" w:type="dxa"/>
                    <w:right w:w="57" w:type="dxa"/>
                  </w:tcMar>
                  <w:vAlign w:val="center"/>
                </w:tcPr>
                <w:p w14:paraId="28743647">
                  <w:pPr>
                    <w:keepNext w:val="0"/>
                    <w:keepLines w:val="0"/>
                    <w:widowControl/>
                    <w:suppressLineNumbers w:val="0"/>
                    <w:spacing w:before="0" w:beforeAutospacing="0" w:after="0" w:afterAutospacing="0"/>
                    <w:ind w:left="0" w:right="0"/>
                    <w:jc w:val="center"/>
                    <w:textAlignment w:val="center"/>
                    <w:rPr>
                      <w:rFonts w:hint="eastAsia" w:ascii="Times New Roman" w:hAnsi="Times New Roman" w:eastAsia="宋体" w:cs="Times New Roman"/>
                      <w:bCs/>
                      <w:kern w:val="0"/>
                      <w:sz w:val="21"/>
                      <w:szCs w:val="21"/>
                      <w:highlight w:val="none"/>
                      <w:lang w:val="en-US" w:eastAsia="zh-CN" w:bidi="ar-SA"/>
                    </w:rPr>
                  </w:pPr>
                  <w:r>
                    <w:rPr>
                      <w:rFonts w:hint="eastAsia" w:ascii="Times New Roman" w:hAnsi="Times New Roman" w:eastAsia="宋体" w:cs="Times New Roman"/>
                      <w:i w:val="0"/>
                      <w:iCs w:val="0"/>
                      <w:color w:val="000000"/>
                      <w:kern w:val="0"/>
                      <w:sz w:val="21"/>
                      <w:szCs w:val="21"/>
                      <w:highlight w:val="none"/>
                      <w:u w:val="none"/>
                      <w:lang w:val="en-US" w:eastAsia="zh-CN" w:bidi="ar"/>
                    </w:rPr>
                    <w:t>~</w:t>
                  </w:r>
                  <w:r>
                    <w:rPr>
                      <w:rFonts w:hint="default" w:ascii="Times New Roman" w:hAnsi="Times New Roman" w:eastAsia="宋体" w:cs="Times New Roman"/>
                      <w:i w:val="0"/>
                      <w:iCs w:val="0"/>
                      <w:color w:val="000000"/>
                      <w:kern w:val="0"/>
                      <w:sz w:val="21"/>
                      <w:szCs w:val="21"/>
                      <w:highlight w:val="none"/>
                      <w:u w:val="none"/>
                      <w:lang w:val="en-US" w:eastAsia="zh-CN" w:bidi="ar"/>
                    </w:rPr>
                    <w:t>0</w:t>
                  </w:r>
                </w:p>
              </w:tc>
              <w:tc>
                <w:tcPr>
                  <w:tcW w:w="513" w:type="pct"/>
                  <w:shd w:val="clear" w:color="auto" w:fill="auto"/>
                  <w:noWrap w:val="0"/>
                  <w:tcMar>
                    <w:left w:w="57" w:type="dxa"/>
                    <w:right w:w="57" w:type="dxa"/>
                  </w:tcMar>
                  <w:vAlign w:val="center"/>
                </w:tcPr>
                <w:p w14:paraId="0562665B">
                  <w:pPr>
                    <w:keepNext w:val="0"/>
                    <w:keepLines w:val="0"/>
                    <w:suppressLineNumbers w:val="0"/>
                    <w:overflowPunct w:val="0"/>
                    <w:adjustRightInd w:val="0"/>
                    <w:snapToGrid w:val="0"/>
                    <w:spacing w:before="0" w:beforeAutospacing="0" w:after="0" w:afterAutospacing="0" w:line="276" w:lineRule="auto"/>
                    <w:ind w:left="0" w:right="0"/>
                    <w:jc w:val="center"/>
                    <w:rPr>
                      <w:rFonts w:hint="eastAsia" w:ascii="Times New Roman" w:hAnsi="Times New Roman" w:eastAsia="宋体" w:cs="Times New Roman"/>
                      <w:snapToGrid w:val="0"/>
                      <w:kern w:val="2"/>
                      <w:sz w:val="21"/>
                      <w:szCs w:val="21"/>
                      <w:highlight w:val="none"/>
                      <w:lang w:val="en-US" w:eastAsia="zh-CN" w:bidi="ar-SA"/>
                    </w:rPr>
                  </w:pPr>
                  <w:r>
                    <w:rPr>
                      <w:rFonts w:hint="eastAsia" w:ascii="Times New Roman" w:hAnsi="Times New Roman" w:eastAsia="宋体" w:cs="Times New Roman"/>
                      <w:snapToGrid w:val="0"/>
                      <w:sz w:val="21"/>
                      <w:szCs w:val="21"/>
                      <w:highlight w:val="none"/>
                      <w:lang w:val="en-US" w:eastAsia="zh-CN"/>
                    </w:rPr>
                    <w:t>1.3</w:t>
                  </w:r>
                </w:p>
              </w:tc>
              <w:tc>
                <w:tcPr>
                  <w:tcW w:w="669" w:type="pct"/>
                  <w:shd w:val="clear" w:color="auto" w:fill="auto"/>
                  <w:noWrap w:val="0"/>
                  <w:tcMar>
                    <w:left w:w="57" w:type="dxa"/>
                    <w:right w:w="57" w:type="dxa"/>
                  </w:tcMar>
                  <w:vAlign w:val="center"/>
                </w:tcPr>
                <w:p w14:paraId="3681C598">
                  <w:pPr>
                    <w:keepNext w:val="0"/>
                    <w:keepLines w:val="0"/>
                    <w:suppressLineNumbers w:val="0"/>
                    <w:overflowPunct w:val="0"/>
                    <w:adjustRightInd w:val="0"/>
                    <w:snapToGrid w:val="0"/>
                    <w:spacing w:before="0" w:beforeAutospacing="0" w:after="0" w:afterAutospacing="0" w:line="276" w:lineRule="auto"/>
                    <w:ind w:left="0" w:right="0"/>
                    <w:jc w:val="center"/>
                    <w:rPr>
                      <w:rFonts w:hint="eastAsia" w:ascii="Times New Roman" w:hAnsi="Times New Roman" w:eastAsia="宋体" w:cs="Times New Roman"/>
                      <w:snapToGrid w:val="0"/>
                      <w:kern w:val="2"/>
                      <w:sz w:val="21"/>
                      <w:szCs w:val="21"/>
                      <w:highlight w:val="none"/>
                      <w:lang w:val="en-US" w:eastAsia="zh-CN" w:bidi="ar-SA"/>
                    </w:rPr>
                  </w:pPr>
                  <w:r>
                    <w:rPr>
                      <w:rFonts w:hint="eastAsia" w:ascii="Times New Roman" w:hAnsi="Times New Roman" w:eastAsia="宋体" w:cs="Times New Roman"/>
                      <w:sz w:val="21"/>
                      <w:szCs w:val="21"/>
                      <w:highlight w:val="none"/>
                      <w:lang w:val="en-US" w:eastAsia="zh-CN"/>
                    </w:rPr>
                    <w:t>/</w:t>
                  </w:r>
                </w:p>
              </w:tc>
              <w:tc>
                <w:tcPr>
                  <w:tcW w:w="441" w:type="pct"/>
                  <w:shd w:val="clear" w:color="auto" w:fill="auto"/>
                  <w:noWrap w:val="0"/>
                  <w:tcMar>
                    <w:left w:w="57" w:type="dxa"/>
                    <w:right w:w="57" w:type="dxa"/>
                  </w:tcMar>
                  <w:vAlign w:val="center"/>
                </w:tcPr>
                <w:p w14:paraId="4550E626">
                  <w:pPr>
                    <w:keepNext w:val="0"/>
                    <w:keepLines w:val="0"/>
                    <w:suppressLineNumbers w:val="0"/>
                    <w:overflowPunct w:val="0"/>
                    <w:adjustRightInd w:val="0"/>
                    <w:snapToGrid w:val="0"/>
                    <w:spacing w:before="0" w:beforeAutospacing="0" w:after="0" w:afterAutospacing="0" w:line="276" w:lineRule="auto"/>
                    <w:ind w:left="0" w:right="0"/>
                    <w:jc w:val="center"/>
                    <w:rPr>
                      <w:rFonts w:hint="eastAsia" w:ascii="Times New Roman" w:hAnsi="Times New Roman" w:eastAsia="宋体" w:cs="Times New Roman"/>
                      <w:snapToGrid w:val="0"/>
                      <w:kern w:val="2"/>
                      <w:sz w:val="21"/>
                      <w:szCs w:val="21"/>
                      <w:highlight w:val="none"/>
                      <w:lang w:val="en-US" w:eastAsia="zh-CN" w:bidi="ar-SA"/>
                    </w:rPr>
                  </w:pPr>
                  <w:r>
                    <w:rPr>
                      <w:rFonts w:hint="eastAsia" w:ascii="Times New Roman" w:hAnsi="Times New Roman" w:eastAsia="宋体" w:cs="Times New Roman"/>
                      <w:kern w:val="0"/>
                      <w:sz w:val="21"/>
                      <w:szCs w:val="21"/>
                      <w:highlight w:val="none"/>
                    </w:rPr>
                    <w:t>达标</w:t>
                  </w:r>
                </w:p>
              </w:tc>
            </w:tr>
            <w:tr w14:paraId="66173D9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1" w:hRule="atLeast"/>
                <w:jc w:val="center"/>
              </w:trPr>
              <w:tc>
                <w:tcPr>
                  <w:tcW w:w="547" w:type="pct"/>
                  <w:vMerge w:val="continue"/>
                  <w:noWrap w:val="0"/>
                  <w:tcMar>
                    <w:left w:w="57" w:type="dxa"/>
                    <w:right w:w="57" w:type="dxa"/>
                  </w:tcMar>
                  <w:vAlign w:val="center"/>
                </w:tcPr>
                <w:p w14:paraId="1D98A24F">
                  <w:pPr>
                    <w:keepNext w:val="0"/>
                    <w:keepLines w:val="0"/>
                    <w:suppressLineNumbers w:val="0"/>
                    <w:overflowPunct w:val="0"/>
                    <w:adjustRightInd w:val="0"/>
                    <w:snapToGrid w:val="0"/>
                    <w:spacing w:before="0" w:beforeAutospacing="0" w:after="0" w:afterAutospacing="0" w:line="276" w:lineRule="auto"/>
                    <w:ind w:left="0" w:right="0"/>
                    <w:jc w:val="center"/>
                    <w:rPr>
                      <w:rFonts w:hint="eastAsia" w:ascii="Times New Roman" w:hAnsi="Times New Roman" w:eastAsia="宋体" w:cs="Times New Roman"/>
                      <w:snapToGrid w:val="0"/>
                      <w:sz w:val="21"/>
                      <w:szCs w:val="21"/>
                      <w:highlight w:val="none"/>
                      <w:lang w:val="en-US" w:eastAsia="zh-CN"/>
                    </w:rPr>
                  </w:pPr>
                </w:p>
              </w:tc>
              <w:tc>
                <w:tcPr>
                  <w:tcW w:w="710" w:type="pct"/>
                  <w:vMerge w:val="continue"/>
                  <w:noWrap w:val="0"/>
                  <w:tcMar>
                    <w:left w:w="57" w:type="dxa"/>
                    <w:right w:w="57" w:type="dxa"/>
                  </w:tcMar>
                  <w:vAlign w:val="center"/>
                </w:tcPr>
                <w:p w14:paraId="68610DD3">
                  <w:pPr>
                    <w:keepNext w:val="0"/>
                    <w:keepLines w:val="0"/>
                    <w:suppressLineNumbers w:val="0"/>
                    <w:overflowPunct w:val="0"/>
                    <w:adjustRightInd w:val="0"/>
                    <w:snapToGrid w:val="0"/>
                    <w:spacing w:before="0" w:beforeAutospacing="0" w:after="0" w:afterAutospacing="0" w:line="276" w:lineRule="auto"/>
                    <w:ind w:left="0" w:right="0"/>
                    <w:jc w:val="center"/>
                    <w:rPr>
                      <w:rFonts w:hint="eastAsia" w:ascii="Times New Roman" w:hAnsi="Times New Roman" w:eastAsia="宋体" w:cs="Times New Roman"/>
                      <w:snapToGrid w:val="0"/>
                      <w:sz w:val="21"/>
                      <w:szCs w:val="21"/>
                      <w:highlight w:val="none"/>
                      <w:lang w:val="en-US" w:eastAsia="zh-CN"/>
                    </w:rPr>
                  </w:pPr>
                </w:p>
              </w:tc>
              <w:tc>
                <w:tcPr>
                  <w:tcW w:w="788" w:type="pct"/>
                  <w:noWrap w:val="0"/>
                  <w:tcMar>
                    <w:left w:w="57" w:type="dxa"/>
                    <w:right w:w="57" w:type="dxa"/>
                  </w:tcMar>
                  <w:vAlign w:val="center"/>
                </w:tcPr>
                <w:p w14:paraId="5D76E9F7">
                  <w:pPr>
                    <w:keepNext w:val="0"/>
                    <w:keepLines w:val="0"/>
                    <w:suppressLineNumbers w:val="0"/>
                    <w:overflowPunct w:val="0"/>
                    <w:adjustRightInd w:val="0"/>
                    <w:snapToGrid w:val="0"/>
                    <w:spacing w:before="0" w:beforeAutospacing="0" w:after="0" w:afterAutospacing="0" w:line="276" w:lineRule="auto"/>
                    <w:ind w:left="0" w:right="0"/>
                    <w:jc w:val="center"/>
                    <w:rPr>
                      <w:rFonts w:hint="eastAsia" w:ascii="Times New Roman" w:hAnsi="Times New Roman" w:eastAsia="宋体" w:cs="Times New Roman"/>
                      <w:snapToGrid w:val="0"/>
                      <w:sz w:val="21"/>
                      <w:szCs w:val="21"/>
                      <w:highlight w:val="none"/>
                      <w:lang w:val="en-US" w:eastAsia="zh-CN"/>
                    </w:rPr>
                  </w:pPr>
                  <w:r>
                    <w:rPr>
                      <w:rFonts w:hint="default" w:ascii="Times New Roman" w:hAnsi="Times New Roman" w:eastAsia="宋体" w:cs="Times New Roman"/>
                      <w:bCs/>
                      <w:kern w:val="0"/>
                      <w:sz w:val="21"/>
                      <w:szCs w:val="21"/>
                      <w:highlight w:val="none"/>
                    </w:rPr>
                    <w:t>臭气浓度</w:t>
                  </w:r>
                </w:p>
              </w:tc>
              <w:tc>
                <w:tcPr>
                  <w:tcW w:w="1329" w:type="pct"/>
                  <w:gridSpan w:val="2"/>
                  <w:noWrap w:val="0"/>
                  <w:tcMar>
                    <w:left w:w="57" w:type="dxa"/>
                    <w:right w:w="57" w:type="dxa"/>
                  </w:tcMar>
                  <w:vAlign w:val="center"/>
                </w:tcPr>
                <w:p w14:paraId="267542EB">
                  <w:pPr>
                    <w:keepNext w:val="0"/>
                    <w:keepLines w:val="0"/>
                    <w:suppressLineNumbers w:val="0"/>
                    <w:overflowPunct w:val="0"/>
                    <w:adjustRightInd w:val="0"/>
                    <w:snapToGrid w:val="0"/>
                    <w:spacing w:before="0" w:beforeAutospacing="0" w:after="0" w:afterAutospacing="0" w:line="276" w:lineRule="auto"/>
                    <w:ind w:left="0" w:right="0"/>
                    <w:jc w:val="center"/>
                    <w:rPr>
                      <w:rFonts w:hint="eastAsia" w:ascii="Times New Roman" w:hAnsi="Times New Roman" w:eastAsia="宋体" w:cs="Times New Roman"/>
                      <w:snapToGrid w:val="0"/>
                      <w:sz w:val="21"/>
                      <w:szCs w:val="21"/>
                      <w:highlight w:val="none"/>
                      <w:lang w:val="en-US" w:eastAsia="zh-CN"/>
                    </w:rPr>
                  </w:pPr>
                  <w:r>
                    <w:rPr>
                      <w:rFonts w:hint="eastAsia" w:ascii="Times New Roman" w:hAnsi="Times New Roman" w:eastAsia="宋体" w:cs="Times New Roman"/>
                      <w:bCs/>
                      <w:kern w:val="0"/>
                      <w:sz w:val="21"/>
                      <w:szCs w:val="21"/>
                      <w:highlight w:val="none"/>
                      <w:lang w:val="en-US" w:eastAsia="zh-CN"/>
                    </w:rPr>
                    <w:t>549（无量纲）</w:t>
                  </w:r>
                </w:p>
              </w:tc>
              <w:tc>
                <w:tcPr>
                  <w:tcW w:w="1182" w:type="pct"/>
                  <w:gridSpan w:val="2"/>
                  <w:noWrap w:val="0"/>
                  <w:tcMar>
                    <w:left w:w="57" w:type="dxa"/>
                    <w:right w:w="57" w:type="dxa"/>
                  </w:tcMar>
                  <w:vAlign w:val="center"/>
                </w:tcPr>
                <w:p w14:paraId="07182D26">
                  <w:pPr>
                    <w:keepNext w:val="0"/>
                    <w:keepLines w:val="0"/>
                    <w:suppressLineNumbers w:val="0"/>
                    <w:overflowPunct w:val="0"/>
                    <w:adjustRightInd w:val="0"/>
                    <w:snapToGrid w:val="0"/>
                    <w:spacing w:before="0" w:beforeAutospacing="0" w:after="0" w:afterAutospacing="0" w:line="276" w:lineRule="auto"/>
                    <w:ind w:left="0" w:right="0"/>
                    <w:jc w:val="center"/>
                    <w:rPr>
                      <w:rFonts w:hint="eastAsia" w:ascii="Times New Roman" w:hAnsi="Times New Roman" w:eastAsia="宋体" w:cs="Times New Roman"/>
                      <w:snapToGrid w:val="0"/>
                      <w:sz w:val="21"/>
                      <w:szCs w:val="21"/>
                      <w:highlight w:val="none"/>
                      <w:lang w:val="en-US" w:eastAsia="zh-CN"/>
                    </w:rPr>
                  </w:pPr>
                  <w:r>
                    <w:rPr>
                      <w:rFonts w:hint="eastAsia" w:ascii="Times New Roman" w:hAnsi="Times New Roman" w:eastAsia="宋体" w:cs="Times New Roman"/>
                      <w:sz w:val="21"/>
                      <w:szCs w:val="21"/>
                      <w:highlight w:val="none"/>
                      <w:lang w:val="en-US" w:eastAsia="zh-CN"/>
                    </w:rPr>
                    <w:t>15</w:t>
                  </w:r>
                  <w:r>
                    <w:rPr>
                      <w:rFonts w:hint="eastAsia" w:ascii="Times New Roman" w:hAnsi="Times New Roman" w:eastAsia="宋体" w:cs="Times New Roman"/>
                      <w:sz w:val="21"/>
                      <w:szCs w:val="21"/>
                      <w:highlight w:val="none"/>
                    </w:rPr>
                    <w:t>000（无量纲）</w:t>
                  </w:r>
                </w:p>
              </w:tc>
              <w:tc>
                <w:tcPr>
                  <w:tcW w:w="441" w:type="pct"/>
                  <w:noWrap w:val="0"/>
                  <w:tcMar>
                    <w:left w:w="57" w:type="dxa"/>
                    <w:right w:w="57" w:type="dxa"/>
                  </w:tcMar>
                  <w:vAlign w:val="center"/>
                </w:tcPr>
                <w:p w14:paraId="6B381642">
                  <w:pPr>
                    <w:keepNext w:val="0"/>
                    <w:keepLines w:val="0"/>
                    <w:suppressLineNumbers w:val="0"/>
                    <w:overflowPunct w:val="0"/>
                    <w:adjustRightInd w:val="0"/>
                    <w:snapToGrid w:val="0"/>
                    <w:spacing w:before="0" w:beforeAutospacing="0" w:after="0" w:afterAutospacing="0" w:line="276" w:lineRule="auto"/>
                    <w:ind w:left="0" w:right="0"/>
                    <w:jc w:val="center"/>
                    <w:rPr>
                      <w:rFonts w:hint="eastAsia" w:ascii="Times New Roman" w:hAnsi="Times New Roman" w:eastAsia="宋体" w:cs="Times New Roman"/>
                      <w:snapToGrid w:val="0"/>
                      <w:sz w:val="21"/>
                      <w:szCs w:val="21"/>
                      <w:highlight w:val="none"/>
                      <w:lang w:val="en-US" w:eastAsia="zh-CN"/>
                    </w:rPr>
                  </w:pPr>
                  <w:r>
                    <w:rPr>
                      <w:rFonts w:hint="eastAsia" w:ascii="Times New Roman" w:hAnsi="Times New Roman" w:eastAsia="宋体" w:cs="Times New Roman"/>
                      <w:kern w:val="0"/>
                      <w:sz w:val="21"/>
                      <w:szCs w:val="21"/>
                      <w:highlight w:val="none"/>
                    </w:rPr>
                    <w:t>达标</w:t>
                  </w:r>
                </w:p>
              </w:tc>
            </w:tr>
            <w:tr w14:paraId="3918D94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1" w:hRule="atLeast"/>
                <w:jc w:val="center"/>
              </w:trPr>
              <w:tc>
                <w:tcPr>
                  <w:tcW w:w="547" w:type="pct"/>
                  <w:vMerge w:val="continue"/>
                  <w:noWrap w:val="0"/>
                  <w:tcMar>
                    <w:left w:w="57" w:type="dxa"/>
                    <w:right w:w="57" w:type="dxa"/>
                  </w:tcMar>
                  <w:vAlign w:val="center"/>
                </w:tcPr>
                <w:p w14:paraId="3071CA4F">
                  <w:pPr>
                    <w:keepNext w:val="0"/>
                    <w:keepLines w:val="0"/>
                    <w:suppressLineNumbers w:val="0"/>
                    <w:overflowPunct w:val="0"/>
                    <w:adjustRightInd w:val="0"/>
                    <w:snapToGrid w:val="0"/>
                    <w:spacing w:before="0" w:beforeAutospacing="0" w:after="0" w:afterAutospacing="0" w:line="276" w:lineRule="auto"/>
                    <w:ind w:left="0" w:right="0"/>
                    <w:jc w:val="center"/>
                    <w:rPr>
                      <w:rFonts w:hint="eastAsia" w:ascii="Times New Roman" w:hAnsi="Times New Roman" w:eastAsia="宋体" w:cs="Times New Roman"/>
                      <w:snapToGrid w:val="0"/>
                      <w:sz w:val="21"/>
                      <w:szCs w:val="21"/>
                      <w:highlight w:val="none"/>
                      <w:lang w:val="en-US" w:eastAsia="zh-CN"/>
                    </w:rPr>
                  </w:pPr>
                </w:p>
              </w:tc>
              <w:tc>
                <w:tcPr>
                  <w:tcW w:w="710" w:type="pct"/>
                  <w:vMerge w:val="continue"/>
                  <w:noWrap w:val="0"/>
                  <w:tcMar>
                    <w:left w:w="57" w:type="dxa"/>
                    <w:right w:w="57" w:type="dxa"/>
                  </w:tcMar>
                  <w:vAlign w:val="center"/>
                </w:tcPr>
                <w:p w14:paraId="641200B8">
                  <w:pPr>
                    <w:keepNext w:val="0"/>
                    <w:keepLines w:val="0"/>
                    <w:suppressLineNumbers w:val="0"/>
                    <w:overflowPunct w:val="0"/>
                    <w:adjustRightInd w:val="0"/>
                    <w:snapToGrid w:val="0"/>
                    <w:spacing w:before="0" w:beforeAutospacing="0" w:after="0" w:afterAutospacing="0" w:line="276" w:lineRule="auto"/>
                    <w:ind w:left="0" w:right="0"/>
                    <w:jc w:val="center"/>
                    <w:rPr>
                      <w:rFonts w:hint="eastAsia" w:ascii="Times New Roman" w:hAnsi="Times New Roman" w:eastAsia="宋体" w:cs="Times New Roman"/>
                      <w:snapToGrid w:val="0"/>
                      <w:sz w:val="21"/>
                      <w:szCs w:val="21"/>
                      <w:highlight w:val="none"/>
                      <w:lang w:val="en-US" w:eastAsia="zh-CN"/>
                    </w:rPr>
                  </w:pPr>
                </w:p>
              </w:tc>
              <w:tc>
                <w:tcPr>
                  <w:tcW w:w="788" w:type="pct"/>
                  <w:shd w:val="clear" w:color="auto" w:fill="auto"/>
                  <w:noWrap w:val="0"/>
                  <w:tcMar>
                    <w:left w:w="57" w:type="dxa"/>
                    <w:right w:w="57" w:type="dxa"/>
                  </w:tcMar>
                  <w:vAlign w:val="center"/>
                </w:tcPr>
                <w:p w14:paraId="1681F5E0">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64" w:lineRule="auto"/>
                    <w:ind w:left="0" w:leftChars="0" w:right="0" w:rightChars="0"/>
                    <w:jc w:val="center"/>
                    <w:textAlignment w:val="auto"/>
                    <w:rPr>
                      <w:rFonts w:hint="default" w:ascii="Times New Roman" w:hAnsi="Times New Roman" w:eastAsia="宋体" w:cs="Times New Roman"/>
                      <w:bCs/>
                      <w:kern w:val="0"/>
                      <w:sz w:val="21"/>
                      <w:szCs w:val="21"/>
                      <w:highlight w:val="none"/>
                      <w:lang w:val="en-US" w:eastAsia="zh-CN" w:bidi="ar-SA"/>
                    </w:rPr>
                  </w:pPr>
                  <w:r>
                    <w:rPr>
                      <w:rFonts w:hint="eastAsia" w:cs="Times New Roman"/>
                      <w:bCs/>
                      <w:kern w:val="0"/>
                      <w:sz w:val="21"/>
                      <w:szCs w:val="21"/>
                      <w:highlight w:val="none"/>
                      <w:lang w:val="en-US" w:eastAsia="zh-CN"/>
                    </w:rPr>
                    <w:t>颗粒物</w:t>
                  </w:r>
                </w:p>
              </w:tc>
              <w:tc>
                <w:tcPr>
                  <w:tcW w:w="1329" w:type="pct"/>
                  <w:gridSpan w:val="2"/>
                  <w:shd w:val="clear" w:color="auto" w:fill="auto"/>
                  <w:noWrap w:val="0"/>
                  <w:tcMar>
                    <w:left w:w="57" w:type="dxa"/>
                    <w:right w:w="57" w:type="dxa"/>
                  </w:tcMar>
                  <w:vAlign w:val="center"/>
                </w:tcPr>
                <w:p w14:paraId="58B8538E">
                  <w:pPr>
                    <w:keepNext w:val="0"/>
                    <w:keepLines w:val="0"/>
                    <w:suppressLineNumbers w:val="0"/>
                    <w:overflowPunct w:val="0"/>
                    <w:adjustRightInd w:val="0"/>
                    <w:snapToGrid w:val="0"/>
                    <w:spacing w:before="0" w:beforeAutospacing="0" w:after="0" w:afterAutospacing="0" w:line="276" w:lineRule="auto"/>
                    <w:ind w:left="0" w:leftChars="0" w:right="0" w:rightChars="0"/>
                    <w:jc w:val="center"/>
                    <w:rPr>
                      <w:rFonts w:hint="eastAsia" w:ascii="Times New Roman" w:hAnsi="Times New Roman" w:eastAsia="宋体" w:cs="Times New Roman"/>
                      <w:bCs/>
                      <w:kern w:val="0"/>
                      <w:sz w:val="21"/>
                      <w:szCs w:val="21"/>
                      <w:highlight w:val="none"/>
                      <w:lang w:val="en-US" w:eastAsia="zh-CN" w:bidi="ar-SA"/>
                    </w:rPr>
                  </w:pPr>
                  <w:r>
                    <w:rPr>
                      <w:rFonts w:hint="eastAsia" w:cs="Times New Roman"/>
                      <w:bCs/>
                      <w:kern w:val="0"/>
                      <w:sz w:val="21"/>
                      <w:szCs w:val="21"/>
                      <w:highlight w:val="none"/>
                      <w:lang w:val="en-US" w:eastAsia="zh-CN"/>
                    </w:rPr>
                    <w:t>少量</w:t>
                  </w:r>
                </w:p>
              </w:tc>
              <w:tc>
                <w:tcPr>
                  <w:tcW w:w="513" w:type="pct"/>
                  <w:shd w:val="clear" w:color="auto" w:fill="auto"/>
                  <w:noWrap w:val="0"/>
                  <w:tcMar>
                    <w:left w:w="57" w:type="dxa"/>
                    <w:right w:w="57" w:type="dxa"/>
                  </w:tcMar>
                  <w:vAlign w:val="center"/>
                </w:tcPr>
                <w:p w14:paraId="3DB2CA6D">
                  <w:pPr>
                    <w:keepNext w:val="0"/>
                    <w:keepLines w:val="0"/>
                    <w:suppressLineNumbers w:val="0"/>
                    <w:overflowPunct w:val="0"/>
                    <w:adjustRightInd w:val="0"/>
                    <w:snapToGrid w:val="0"/>
                    <w:spacing w:before="0" w:beforeAutospacing="0" w:after="0" w:afterAutospacing="0" w:line="276" w:lineRule="auto"/>
                    <w:ind w:left="0" w:leftChars="0" w:right="0" w:rightChars="0"/>
                    <w:jc w:val="center"/>
                    <w:rPr>
                      <w:rFonts w:hint="eastAsia" w:ascii="Times New Roman" w:hAnsi="Times New Roman" w:eastAsia="宋体" w:cs="Times New Roman"/>
                      <w:kern w:val="2"/>
                      <w:sz w:val="21"/>
                      <w:szCs w:val="21"/>
                      <w:highlight w:val="none"/>
                      <w:lang w:val="en-US" w:eastAsia="zh-CN" w:bidi="ar-SA"/>
                    </w:rPr>
                  </w:pPr>
                  <w:r>
                    <w:rPr>
                      <w:rFonts w:hint="eastAsia" w:cs="Times New Roman"/>
                      <w:sz w:val="21"/>
                      <w:szCs w:val="21"/>
                      <w:highlight w:val="none"/>
                      <w:lang w:val="en-US" w:eastAsia="zh-CN"/>
                    </w:rPr>
                    <w:t>11.5</w:t>
                  </w:r>
                </w:p>
              </w:tc>
              <w:tc>
                <w:tcPr>
                  <w:tcW w:w="669" w:type="pct"/>
                  <w:shd w:val="clear" w:color="auto" w:fill="auto"/>
                  <w:noWrap w:val="0"/>
                  <w:tcMar>
                    <w:left w:w="57" w:type="dxa"/>
                    <w:right w:w="57" w:type="dxa"/>
                  </w:tcMar>
                  <w:vAlign w:val="center"/>
                </w:tcPr>
                <w:p w14:paraId="31CC0378">
                  <w:pPr>
                    <w:keepNext w:val="0"/>
                    <w:keepLines w:val="0"/>
                    <w:suppressLineNumbers w:val="0"/>
                    <w:overflowPunct w:val="0"/>
                    <w:adjustRightInd w:val="0"/>
                    <w:snapToGrid w:val="0"/>
                    <w:spacing w:before="0" w:beforeAutospacing="0" w:after="0" w:afterAutospacing="0" w:line="276" w:lineRule="auto"/>
                    <w:ind w:left="0" w:leftChars="0" w:right="0" w:rightChars="0"/>
                    <w:jc w:val="center"/>
                    <w:rPr>
                      <w:rFonts w:hint="eastAsia" w:ascii="Times New Roman" w:hAnsi="Times New Roman" w:eastAsia="宋体" w:cs="Times New Roman"/>
                      <w:kern w:val="2"/>
                      <w:sz w:val="21"/>
                      <w:szCs w:val="21"/>
                      <w:highlight w:val="none"/>
                      <w:lang w:val="en-US" w:eastAsia="zh-CN" w:bidi="ar-SA"/>
                    </w:rPr>
                  </w:pPr>
                  <w:r>
                    <w:rPr>
                      <w:rFonts w:hint="eastAsia" w:cs="Times New Roman"/>
                      <w:sz w:val="21"/>
                      <w:szCs w:val="21"/>
                      <w:highlight w:val="none"/>
                      <w:lang w:val="en-US" w:eastAsia="zh-CN"/>
                    </w:rPr>
                    <w:t>120</w:t>
                  </w:r>
                </w:p>
              </w:tc>
              <w:tc>
                <w:tcPr>
                  <w:tcW w:w="441" w:type="pct"/>
                  <w:noWrap w:val="0"/>
                  <w:tcMar>
                    <w:left w:w="57" w:type="dxa"/>
                    <w:right w:w="57" w:type="dxa"/>
                  </w:tcMar>
                  <w:vAlign w:val="center"/>
                </w:tcPr>
                <w:p w14:paraId="369DE908">
                  <w:pPr>
                    <w:keepNext w:val="0"/>
                    <w:keepLines w:val="0"/>
                    <w:suppressLineNumbers w:val="0"/>
                    <w:overflowPunct w:val="0"/>
                    <w:adjustRightInd w:val="0"/>
                    <w:snapToGrid w:val="0"/>
                    <w:spacing w:before="0" w:beforeAutospacing="0" w:after="0" w:afterAutospacing="0" w:line="276" w:lineRule="auto"/>
                    <w:ind w:left="0" w:right="0"/>
                    <w:jc w:val="center"/>
                    <w:rPr>
                      <w:rFonts w:hint="eastAsia" w:ascii="Times New Roman" w:hAnsi="Times New Roman" w:eastAsia="宋体" w:cs="Times New Roman"/>
                      <w:kern w:val="0"/>
                      <w:sz w:val="21"/>
                      <w:szCs w:val="21"/>
                      <w:highlight w:val="none"/>
                    </w:rPr>
                  </w:pPr>
                  <w:r>
                    <w:rPr>
                      <w:rFonts w:hint="eastAsia" w:ascii="Times New Roman" w:hAnsi="Times New Roman" w:eastAsia="宋体" w:cs="Times New Roman"/>
                      <w:kern w:val="0"/>
                      <w:sz w:val="21"/>
                      <w:szCs w:val="21"/>
                      <w:highlight w:val="none"/>
                    </w:rPr>
                    <w:t>达标</w:t>
                  </w:r>
                </w:p>
              </w:tc>
            </w:tr>
            <w:tr w14:paraId="700EB82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1" w:hRule="atLeast"/>
                <w:jc w:val="center"/>
              </w:trPr>
              <w:tc>
                <w:tcPr>
                  <w:tcW w:w="547" w:type="pct"/>
                  <w:vMerge w:val="restart"/>
                  <w:noWrap w:val="0"/>
                  <w:tcMar>
                    <w:left w:w="57" w:type="dxa"/>
                    <w:right w:w="57" w:type="dxa"/>
                  </w:tcMar>
                  <w:vAlign w:val="center"/>
                </w:tcPr>
                <w:p w14:paraId="25B660A9">
                  <w:pPr>
                    <w:keepNext w:val="0"/>
                    <w:keepLines w:val="0"/>
                    <w:widowControl/>
                    <w:suppressLineNumbers w:val="0"/>
                    <w:adjustRightInd w:val="0"/>
                    <w:snapToGrid w:val="0"/>
                    <w:spacing w:before="0" w:beforeAutospacing="0" w:after="0" w:afterAutospacing="0" w:line="276" w:lineRule="auto"/>
                    <w:ind w:left="0" w:right="0"/>
                    <w:jc w:val="center"/>
                    <w:rPr>
                      <w:rFonts w:hint="default" w:ascii="Times New Roman" w:hAnsi="Times New Roman" w:eastAsia="宋体" w:cs="Times New Roman"/>
                      <w:snapToGrid w:val="0"/>
                      <w:sz w:val="21"/>
                      <w:szCs w:val="21"/>
                      <w:highlight w:val="none"/>
                      <w:lang w:val="en-US"/>
                    </w:rPr>
                  </w:pPr>
                  <w:r>
                    <w:rPr>
                      <w:rFonts w:hint="default" w:ascii="Times New Roman" w:hAnsi="Times New Roman" w:eastAsia="宋体" w:cs="Times New Roman"/>
                      <w:snapToGrid w:val="0"/>
                      <w:sz w:val="21"/>
                      <w:szCs w:val="21"/>
                      <w:highlight w:val="none"/>
                    </w:rPr>
                    <w:t>DA0</w:t>
                  </w:r>
                  <w:r>
                    <w:rPr>
                      <w:rFonts w:hint="eastAsia" w:ascii="Times New Roman" w:hAnsi="Times New Roman" w:eastAsia="宋体" w:cs="Times New Roman"/>
                      <w:snapToGrid w:val="0"/>
                      <w:sz w:val="21"/>
                      <w:szCs w:val="21"/>
                      <w:highlight w:val="none"/>
                      <w:lang w:val="en-US" w:eastAsia="zh-CN"/>
                    </w:rPr>
                    <w:t>03</w:t>
                  </w:r>
                </w:p>
              </w:tc>
              <w:tc>
                <w:tcPr>
                  <w:tcW w:w="710" w:type="pct"/>
                  <w:vMerge w:val="restart"/>
                  <w:noWrap w:val="0"/>
                  <w:tcMar>
                    <w:left w:w="57" w:type="dxa"/>
                    <w:right w:w="57" w:type="dxa"/>
                  </w:tcMar>
                  <w:vAlign w:val="center"/>
                </w:tcPr>
                <w:p w14:paraId="3C8D3529">
                  <w:pPr>
                    <w:keepNext w:val="0"/>
                    <w:keepLines w:val="0"/>
                    <w:widowControl/>
                    <w:suppressLineNumbers w:val="0"/>
                    <w:adjustRightInd w:val="0"/>
                    <w:snapToGrid w:val="0"/>
                    <w:spacing w:before="0" w:beforeAutospacing="0" w:after="0" w:afterAutospacing="0" w:line="276" w:lineRule="auto"/>
                    <w:ind w:left="0" w:right="0"/>
                    <w:jc w:val="center"/>
                    <w:rPr>
                      <w:rFonts w:hint="eastAsia" w:ascii="Times New Roman" w:hAnsi="Times New Roman" w:eastAsia="宋体" w:cs="Times New Roman"/>
                      <w:snapToGrid w:val="0"/>
                      <w:sz w:val="21"/>
                      <w:szCs w:val="21"/>
                      <w:highlight w:val="none"/>
                      <w:lang w:val="en-US" w:eastAsia="zh-CN"/>
                    </w:rPr>
                  </w:pPr>
                  <w:r>
                    <w:rPr>
                      <w:rFonts w:hint="eastAsia" w:ascii="Times New Roman" w:hAnsi="Times New Roman" w:eastAsia="宋体" w:cs="Times New Roman"/>
                      <w:snapToGrid w:val="0"/>
                      <w:sz w:val="21"/>
                      <w:szCs w:val="21"/>
                      <w:highlight w:val="none"/>
                      <w:lang w:val="en-US" w:eastAsia="zh-CN"/>
                    </w:rPr>
                    <w:t>3#</w:t>
                  </w:r>
                  <w:r>
                    <w:rPr>
                      <w:rFonts w:hint="default" w:ascii="Times New Roman" w:hAnsi="Times New Roman" w:eastAsia="宋体" w:cs="Times New Roman"/>
                      <w:snapToGrid w:val="0"/>
                      <w:sz w:val="21"/>
                      <w:szCs w:val="21"/>
                      <w:highlight w:val="none"/>
                    </w:rPr>
                    <w:t>排放口</w:t>
                  </w:r>
                </w:p>
              </w:tc>
              <w:tc>
                <w:tcPr>
                  <w:tcW w:w="788" w:type="pct"/>
                  <w:shd w:val="clear" w:color="auto" w:fill="auto"/>
                  <w:noWrap w:val="0"/>
                  <w:tcMar>
                    <w:left w:w="57" w:type="dxa"/>
                    <w:right w:w="57" w:type="dxa"/>
                  </w:tcMar>
                  <w:vAlign w:val="center"/>
                </w:tcPr>
                <w:p w14:paraId="1F0E67CB">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64" w:lineRule="auto"/>
                    <w:ind w:left="0" w:right="0"/>
                    <w:jc w:val="center"/>
                    <w:textAlignment w:val="auto"/>
                    <w:rPr>
                      <w:rFonts w:hint="eastAsia" w:ascii="Times New Roman" w:hAnsi="Times New Roman" w:eastAsia="宋体" w:cs="Times New Roman"/>
                      <w:bCs/>
                      <w:kern w:val="0"/>
                      <w:sz w:val="21"/>
                      <w:szCs w:val="21"/>
                      <w:highlight w:val="none"/>
                      <w:lang w:val="en-US" w:eastAsia="zh-CN" w:bidi="ar-SA"/>
                    </w:rPr>
                  </w:pPr>
                  <w:r>
                    <w:rPr>
                      <w:rFonts w:hint="default" w:ascii="Times New Roman" w:hAnsi="Times New Roman" w:eastAsia="宋体" w:cs="Times New Roman"/>
                      <w:bCs/>
                      <w:kern w:val="0"/>
                      <w:sz w:val="21"/>
                      <w:szCs w:val="21"/>
                      <w:highlight w:val="none"/>
                    </w:rPr>
                    <w:t>氨</w:t>
                  </w:r>
                </w:p>
              </w:tc>
              <w:tc>
                <w:tcPr>
                  <w:tcW w:w="687" w:type="pct"/>
                  <w:shd w:val="clear" w:color="auto" w:fill="auto"/>
                  <w:noWrap w:val="0"/>
                  <w:tcMar>
                    <w:left w:w="57" w:type="dxa"/>
                    <w:right w:w="57" w:type="dxa"/>
                  </w:tcMar>
                  <w:vAlign w:val="center"/>
                </w:tcPr>
                <w:p w14:paraId="75C7B98F">
                  <w:pPr>
                    <w:keepNext w:val="0"/>
                    <w:keepLines w:val="0"/>
                    <w:widowControl/>
                    <w:suppressLineNumbers w:val="0"/>
                    <w:spacing w:before="0" w:beforeAutospacing="0" w:after="0" w:afterAutospacing="0"/>
                    <w:ind w:left="0" w:right="0"/>
                    <w:jc w:val="center"/>
                    <w:textAlignment w:val="center"/>
                    <w:rPr>
                      <w:rFonts w:hint="eastAsia" w:ascii="Times New Roman" w:hAnsi="Times New Roman" w:eastAsia="宋体" w:cs="Times New Roman"/>
                      <w:bCs/>
                      <w:kern w:val="0"/>
                      <w:sz w:val="21"/>
                      <w:szCs w:val="21"/>
                      <w:highlight w:val="none"/>
                      <w:lang w:val="en-US" w:eastAsia="zh-CN" w:bidi="ar-SA"/>
                    </w:rPr>
                  </w:pPr>
                  <w:r>
                    <w:rPr>
                      <w:rFonts w:hint="eastAsia" w:ascii="Times New Roman" w:hAnsi="Times New Roman" w:eastAsia="宋体" w:cs="Times New Roman"/>
                      <w:i w:val="0"/>
                      <w:iCs w:val="0"/>
                      <w:color w:val="000000"/>
                      <w:kern w:val="0"/>
                      <w:sz w:val="21"/>
                      <w:szCs w:val="21"/>
                      <w:highlight w:val="none"/>
                      <w:u w:val="none"/>
                      <w:lang w:val="en-US" w:eastAsia="zh-CN" w:bidi="ar"/>
                    </w:rPr>
                    <w:t>~</w:t>
                  </w:r>
                  <w:r>
                    <w:rPr>
                      <w:rFonts w:hint="default" w:ascii="Times New Roman" w:hAnsi="Times New Roman" w:eastAsia="宋体" w:cs="Times New Roman"/>
                      <w:i w:val="0"/>
                      <w:iCs w:val="0"/>
                      <w:color w:val="000000"/>
                      <w:kern w:val="0"/>
                      <w:sz w:val="21"/>
                      <w:szCs w:val="21"/>
                      <w:highlight w:val="none"/>
                      <w:u w:val="none"/>
                      <w:lang w:val="en-US" w:eastAsia="zh-CN" w:bidi="ar"/>
                    </w:rPr>
                    <w:t>0</w:t>
                  </w:r>
                </w:p>
              </w:tc>
              <w:tc>
                <w:tcPr>
                  <w:tcW w:w="641" w:type="pct"/>
                  <w:shd w:val="clear" w:color="auto" w:fill="auto"/>
                  <w:noWrap w:val="0"/>
                  <w:tcMar>
                    <w:left w:w="57" w:type="dxa"/>
                    <w:right w:w="57" w:type="dxa"/>
                  </w:tcMar>
                  <w:vAlign w:val="center"/>
                </w:tcPr>
                <w:p w14:paraId="11EEFDC5">
                  <w:pPr>
                    <w:keepNext w:val="0"/>
                    <w:keepLines w:val="0"/>
                    <w:widowControl/>
                    <w:suppressLineNumbers w:val="0"/>
                    <w:spacing w:before="0" w:beforeAutospacing="0" w:after="0" w:afterAutospacing="0"/>
                    <w:ind w:left="0" w:right="0"/>
                    <w:jc w:val="center"/>
                    <w:textAlignment w:val="center"/>
                    <w:rPr>
                      <w:rFonts w:hint="eastAsia" w:ascii="Times New Roman" w:hAnsi="Times New Roman" w:eastAsia="宋体" w:cs="Times New Roman"/>
                      <w:bCs/>
                      <w:kern w:val="0"/>
                      <w:sz w:val="21"/>
                      <w:szCs w:val="21"/>
                      <w:highlight w:val="none"/>
                      <w:lang w:val="en-US" w:eastAsia="zh-CN" w:bidi="ar-SA"/>
                    </w:rPr>
                  </w:pPr>
                  <w:r>
                    <w:rPr>
                      <w:rFonts w:hint="eastAsia" w:ascii="Times New Roman" w:hAnsi="Times New Roman" w:eastAsia="宋体" w:cs="Times New Roman"/>
                      <w:i w:val="0"/>
                      <w:iCs w:val="0"/>
                      <w:color w:val="000000"/>
                      <w:kern w:val="0"/>
                      <w:sz w:val="21"/>
                      <w:szCs w:val="21"/>
                      <w:highlight w:val="none"/>
                      <w:u w:val="none"/>
                      <w:lang w:val="en-US" w:eastAsia="zh-CN" w:bidi="ar"/>
                    </w:rPr>
                    <w:t>~</w:t>
                  </w:r>
                  <w:r>
                    <w:rPr>
                      <w:rFonts w:hint="default" w:ascii="Times New Roman" w:hAnsi="Times New Roman" w:eastAsia="宋体" w:cs="Times New Roman"/>
                      <w:i w:val="0"/>
                      <w:iCs w:val="0"/>
                      <w:color w:val="000000"/>
                      <w:kern w:val="0"/>
                      <w:sz w:val="21"/>
                      <w:szCs w:val="21"/>
                      <w:highlight w:val="none"/>
                      <w:u w:val="none"/>
                      <w:lang w:val="en-US" w:eastAsia="zh-CN" w:bidi="ar"/>
                    </w:rPr>
                    <w:t>0</w:t>
                  </w:r>
                </w:p>
              </w:tc>
              <w:tc>
                <w:tcPr>
                  <w:tcW w:w="513" w:type="pct"/>
                  <w:noWrap w:val="0"/>
                  <w:tcMar>
                    <w:left w:w="57" w:type="dxa"/>
                    <w:right w:w="57" w:type="dxa"/>
                  </w:tcMar>
                  <w:vAlign w:val="center"/>
                </w:tcPr>
                <w:p w14:paraId="1362F2E4">
                  <w:pPr>
                    <w:keepNext w:val="0"/>
                    <w:keepLines w:val="0"/>
                    <w:suppressLineNumbers w:val="0"/>
                    <w:overflowPunct w:val="0"/>
                    <w:adjustRightInd w:val="0"/>
                    <w:snapToGrid w:val="0"/>
                    <w:spacing w:before="0" w:beforeAutospacing="0" w:after="0" w:afterAutospacing="0" w:line="276" w:lineRule="auto"/>
                    <w:ind w:left="0" w:right="0"/>
                    <w:jc w:val="center"/>
                    <w:rPr>
                      <w:rFonts w:hint="eastAsia" w:ascii="Times New Roman" w:hAnsi="Times New Roman" w:eastAsia="宋体" w:cs="Times New Roman"/>
                      <w:kern w:val="0"/>
                      <w:sz w:val="21"/>
                      <w:szCs w:val="21"/>
                      <w:highlight w:val="none"/>
                      <w:lang w:val="en-US" w:eastAsia="zh-CN"/>
                    </w:rPr>
                  </w:pPr>
                  <w:r>
                    <w:rPr>
                      <w:rFonts w:hint="eastAsia" w:ascii="Times New Roman" w:hAnsi="Times New Roman" w:eastAsia="宋体" w:cs="Times New Roman"/>
                      <w:kern w:val="0"/>
                      <w:sz w:val="21"/>
                      <w:szCs w:val="21"/>
                      <w:highlight w:val="none"/>
                      <w:lang w:val="en-US" w:eastAsia="zh-CN"/>
                    </w:rPr>
                    <w:t>20</w:t>
                  </w:r>
                </w:p>
              </w:tc>
              <w:tc>
                <w:tcPr>
                  <w:tcW w:w="669" w:type="pct"/>
                  <w:noWrap w:val="0"/>
                  <w:tcMar>
                    <w:left w:w="57" w:type="dxa"/>
                    <w:right w:w="57" w:type="dxa"/>
                  </w:tcMar>
                  <w:vAlign w:val="center"/>
                </w:tcPr>
                <w:p w14:paraId="408E84DA">
                  <w:pPr>
                    <w:keepNext w:val="0"/>
                    <w:keepLines w:val="0"/>
                    <w:suppressLineNumbers w:val="0"/>
                    <w:adjustRightInd w:val="0"/>
                    <w:snapToGrid w:val="0"/>
                    <w:spacing w:before="0" w:beforeAutospacing="0" w:after="0" w:afterAutospacing="0" w:line="276" w:lineRule="auto"/>
                    <w:ind w:left="0" w:right="0"/>
                    <w:jc w:val="center"/>
                    <w:rPr>
                      <w:rFonts w:hint="eastAsia" w:ascii="Times New Roman" w:hAnsi="Times New Roman" w:eastAsia="宋体" w:cs="Times New Roman"/>
                      <w:sz w:val="21"/>
                      <w:szCs w:val="21"/>
                      <w:highlight w:val="none"/>
                      <w:lang w:val="en-US" w:eastAsia="zh-CN"/>
                    </w:rPr>
                  </w:pPr>
                  <w:r>
                    <w:rPr>
                      <w:rFonts w:hint="eastAsia" w:ascii="Times New Roman" w:hAnsi="Times New Roman" w:eastAsia="宋体" w:cs="Times New Roman"/>
                      <w:sz w:val="21"/>
                      <w:szCs w:val="21"/>
                      <w:highlight w:val="none"/>
                      <w:lang w:val="en-US" w:eastAsia="zh-CN"/>
                    </w:rPr>
                    <w:t>/</w:t>
                  </w:r>
                </w:p>
              </w:tc>
              <w:tc>
                <w:tcPr>
                  <w:tcW w:w="441" w:type="pct"/>
                  <w:noWrap w:val="0"/>
                  <w:tcMar>
                    <w:left w:w="57" w:type="dxa"/>
                    <w:right w:w="57" w:type="dxa"/>
                  </w:tcMar>
                  <w:vAlign w:val="center"/>
                </w:tcPr>
                <w:p w14:paraId="432BD1CB">
                  <w:pPr>
                    <w:keepNext w:val="0"/>
                    <w:keepLines w:val="0"/>
                    <w:suppressLineNumbers w:val="0"/>
                    <w:overflowPunct w:val="0"/>
                    <w:adjustRightInd w:val="0"/>
                    <w:snapToGrid w:val="0"/>
                    <w:spacing w:before="0" w:beforeAutospacing="0" w:after="0" w:afterAutospacing="0" w:line="276" w:lineRule="auto"/>
                    <w:ind w:left="0" w:right="0"/>
                    <w:jc w:val="center"/>
                    <w:rPr>
                      <w:rFonts w:hint="eastAsia" w:ascii="Times New Roman" w:hAnsi="Times New Roman" w:eastAsia="宋体" w:cs="Times New Roman"/>
                      <w:kern w:val="0"/>
                      <w:sz w:val="21"/>
                      <w:szCs w:val="21"/>
                      <w:highlight w:val="none"/>
                    </w:rPr>
                  </w:pPr>
                  <w:r>
                    <w:rPr>
                      <w:rFonts w:hint="eastAsia" w:ascii="Times New Roman" w:hAnsi="Times New Roman" w:eastAsia="宋体" w:cs="Times New Roman"/>
                      <w:kern w:val="0"/>
                      <w:sz w:val="21"/>
                      <w:szCs w:val="21"/>
                      <w:highlight w:val="none"/>
                    </w:rPr>
                    <w:t>达标</w:t>
                  </w:r>
                </w:p>
              </w:tc>
            </w:tr>
            <w:tr w14:paraId="31ECF45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1" w:hRule="atLeast"/>
                <w:jc w:val="center"/>
              </w:trPr>
              <w:tc>
                <w:tcPr>
                  <w:tcW w:w="547" w:type="pct"/>
                  <w:vMerge w:val="continue"/>
                  <w:noWrap w:val="0"/>
                  <w:tcMar>
                    <w:left w:w="57" w:type="dxa"/>
                    <w:right w:w="57" w:type="dxa"/>
                  </w:tcMar>
                  <w:vAlign w:val="center"/>
                </w:tcPr>
                <w:p w14:paraId="47454CF3">
                  <w:pPr>
                    <w:keepNext w:val="0"/>
                    <w:keepLines w:val="0"/>
                    <w:suppressLineNumbers w:val="0"/>
                    <w:overflowPunct w:val="0"/>
                    <w:adjustRightInd w:val="0"/>
                    <w:snapToGrid w:val="0"/>
                    <w:spacing w:before="0" w:beforeAutospacing="0" w:after="0" w:afterAutospacing="0" w:line="276" w:lineRule="auto"/>
                    <w:ind w:left="0" w:right="0"/>
                    <w:jc w:val="center"/>
                    <w:rPr>
                      <w:rFonts w:hint="default" w:ascii="Times New Roman" w:hAnsi="Times New Roman" w:eastAsia="宋体" w:cs="Times New Roman"/>
                      <w:sz w:val="21"/>
                      <w:szCs w:val="21"/>
                      <w:highlight w:val="none"/>
                    </w:rPr>
                  </w:pPr>
                </w:p>
              </w:tc>
              <w:tc>
                <w:tcPr>
                  <w:tcW w:w="710" w:type="pct"/>
                  <w:vMerge w:val="continue"/>
                  <w:noWrap w:val="0"/>
                  <w:tcMar>
                    <w:left w:w="57" w:type="dxa"/>
                    <w:right w:w="57" w:type="dxa"/>
                  </w:tcMar>
                  <w:vAlign w:val="center"/>
                </w:tcPr>
                <w:p w14:paraId="4D4B467E">
                  <w:pPr>
                    <w:keepNext w:val="0"/>
                    <w:keepLines w:val="0"/>
                    <w:suppressLineNumbers w:val="0"/>
                    <w:overflowPunct w:val="0"/>
                    <w:adjustRightInd w:val="0"/>
                    <w:snapToGrid w:val="0"/>
                    <w:spacing w:before="0" w:beforeAutospacing="0" w:after="0" w:afterAutospacing="0" w:line="276" w:lineRule="auto"/>
                    <w:ind w:left="0" w:right="0"/>
                    <w:jc w:val="center"/>
                    <w:rPr>
                      <w:rFonts w:hint="default" w:ascii="Times New Roman" w:hAnsi="Times New Roman" w:eastAsia="宋体" w:cs="Times New Roman"/>
                      <w:sz w:val="21"/>
                      <w:szCs w:val="21"/>
                      <w:highlight w:val="none"/>
                    </w:rPr>
                  </w:pPr>
                </w:p>
              </w:tc>
              <w:tc>
                <w:tcPr>
                  <w:tcW w:w="788" w:type="pct"/>
                  <w:shd w:val="clear" w:color="auto" w:fill="auto"/>
                  <w:noWrap w:val="0"/>
                  <w:tcMar>
                    <w:left w:w="57" w:type="dxa"/>
                    <w:right w:w="57" w:type="dxa"/>
                  </w:tcMar>
                  <w:vAlign w:val="center"/>
                </w:tcPr>
                <w:p w14:paraId="6D9E1F88">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64" w:lineRule="auto"/>
                    <w:ind w:left="0" w:right="0"/>
                    <w:jc w:val="center"/>
                    <w:textAlignment w:val="auto"/>
                    <w:rPr>
                      <w:rFonts w:hint="eastAsia" w:ascii="Times New Roman" w:hAnsi="Times New Roman" w:eastAsia="宋体" w:cs="Times New Roman"/>
                      <w:bCs/>
                      <w:kern w:val="0"/>
                      <w:sz w:val="21"/>
                      <w:szCs w:val="21"/>
                      <w:highlight w:val="none"/>
                      <w:lang w:val="en-US" w:eastAsia="zh-CN" w:bidi="ar-SA"/>
                    </w:rPr>
                  </w:pPr>
                  <w:r>
                    <w:rPr>
                      <w:rFonts w:hint="default" w:ascii="Times New Roman" w:hAnsi="Times New Roman" w:eastAsia="宋体" w:cs="Times New Roman"/>
                      <w:bCs/>
                      <w:kern w:val="0"/>
                      <w:sz w:val="21"/>
                      <w:szCs w:val="21"/>
                      <w:highlight w:val="none"/>
                    </w:rPr>
                    <w:t>硫化氢</w:t>
                  </w:r>
                </w:p>
              </w:tc>
              <w:tc>
                <w:tcPr>
                  <w:tcW w:w="687" w:type="pct"/>
                  <w:shd w:val="clear" w:color="auto" w:fill="auto"/>
                  <w:noWrap w:val="0"/>
                  <w:tcMar>
                    <w:left w:w="57" w:type="dxa"/>
                    <w:right w:w="57" w:type="dxa"/>
                  </w:tcMar>
                  <w:vAlign w:val="center"/>
                </w:tcPr>
                <w:p w14:paraId="41D40332">
                  <w:pPr>
                    <w:keepNext w:val="0"/>
                    <w:keepLines w:val="0"/>
                    <w:widowControl/>
                    <w:suppressLineNumbers w:val="0"/>
                    <w:spacing w:before="0" w:beforeAutospacing="0" w:after="0" w:afterAutospacing="0"/>
                    <w:ind w:left="0" w:right="0"/>
                    <w:jc w:val="center"/>
                    <w:textAlignment w:val="center"/>
                    <w:rPr>
                      <w:rFonts w:hint="eastAsia" w:ascii="Times New Roman" w:hAnsi="Times New Roman" w:eastAsia="宋体" w:cs="Times New Roman"/>
                      <w:bCs/>
                      <w:kern w:val="0"/>
                      <w:sz w:val="21"/>
                      <w:szCs w:val="21"/>
                      <w:highlight w:val="none"/>
                      <w:lang w:val="en-US" w:eastAsia="zh-CN" w:bidi="ar-SA"/>
                    </w:rPr>
                  </w:pPr>
                  <w:r>
                    <w:rPr>
                      <w:rFonts w:hint="eastAsia" w:ascii="Times New Roman" w:hAnsi="Times New Roman" w:eastAsia="宋体" w:cs="Times New Roman"/>
                      <w:i w:val="0"/>
                      <w:iCs w:val="0"/>
                      <w:color w:val="000000"/>
                      <w:kern w:val="0"/>
                      <w:sz w:val="21"/>
                      <w:szCs w:val="21"/>
                      <w:highlight w:val="none"/>
                      <w:u w:val="none"/>
                      <w:lang w:val="en-US" w:eastAsia="zh-CN" w:bidi="ar"/>
                    </w:rPr>
                    <w:t>~</w:t>
                  </w:r>
                  <w:r>
                    <w:rPr>
                      <w:rFonts w:hint="default" w:ascii="Times New Roman" w:hAnsi="Times New Roman" w:eastAsia="宋体" w:cs="Times New Roman"/>
                      <w:i w:val="0"/>
                      <w:iCs w:val="0"/>
                      <w:color w:val="000000"/>
                      <w:kern w:val="0"/>
                      <w:sz w:val="21"/>
                      <w:szCs w:val="21"/>
                      <w:highlight w:val="none"/>
                      <w:u w:val="none"/>
                      <w:lang w:val="en-US" w:eastAsia="zh-CN" w:bidi="ar"/>
                    </w:rPr>
                    <w:t>0</w:t>
                  </w:r>
                </w:p>
              </w:tc>
              <w:tc>
                <w:tcPr>
                  <w:tcW w:w="641" w:type="pct"/>
                  <w:shd w:val="clear" w:color="auto" w:fill="auto"/>
                  <w:noWrap w:val="0"/>
                  <w:tcMar>
                    <w:left w:w="57" w:type="dxa"/>
                    <w:right w:w="57" w:type="dxa"/>
                  </w:tcMar>
                  <w:vAlign w:val="center"/>
                </w:tcPr>
                <w:p w14:paraId="299BE8CB">
                  <w:pPr>
                    <w:keepNext w:val="0"/>
                    <w:keepLines w:val="0"/>
                    <w:widowControl/>
                    <w:suppressLineNumbers w:val="0"/>
                    <w:spacing w:before="0" w:beforeAutospacing="0" w:after="0" w:afterAutospacing="0"/>
                    <w:ind w:left="0" w:right="0"/>
                    <w:jc w:val="center"/>
                    <w:textAlignment w:val="center"/>
                    <w:rPr>
                      <w:rFonts w:hint="eastAsia" w:ascii="Times New Roman" w:hAnsi="Times New Roman" w:eastAsia="宋体" w:cs="Times New Roman"/>
                      <w:bCs/>
                      <w:kern w:val="0"/>
                      <w:sz w:val="21"/>
                      <w:szCs w:val="21"/>
                      <w:highlight w:val="none"/>
                      <w:lang w:val="en-US" w:eastAsia="zh-CN" w:bidi="ar-SA"/>
                    </w:rPr>
                  </w:pPr>
                  <w:r>
                    <w:rPr>
                      <w:rFonts w:hint="eastAsia" w:ascii="Times New Roman" w:hAnsi="Times New Roman" w:eastAsia="宋体" w:cs="Times New Roman"/>
                      <w:i w:val="0"/>
                      <w:iCs w:val="0"/>
                      <w:color w:val="000000"/>
                      <w:kern w:val="0"/>
                      <w:sz w:val="21"/>
                      <w:szCs w:val="21"/>
                      <w:highlight w:val="none"/>
                      <w:u w:val="none"/>
                      <w:lang w:val="en-US" w:eastAsia="zh-CN" w:bidi="ar"/>
                    </w:rPr>
                    <w:t>~</w:t>
                  </w:r>
                  <w:r>
                    <w:rPr>
                      <w:rFonts w:hint="default" w:ascii="Times New Roman" w:hAnsi="Times New Roman" w:eastAsia="宋体" w:cs="Times New Roman"/>
                      <w:i w:val="0"/>
                      <w:iCs w:val="0"/>
                      <w:color w:val="000000"/>
                      <w:kern w:val="0"/>
                      <w:sz w:val="21"/>
                      <w:szCs w:val="21"/>
                      <w:highlight w:val="none"/>
                      <w:u w:val="none"/>
                      <w:lang w:val="en-US" w:eastAsia="zh-CN" w:bidi="ar"/>
                    </w:rPr>
                    <w:t>0</w:t>
                  </w:r>
                </w:p>
              </w:tc>
              <w:tc>
                <w:tcPr>
                  <w:tcW w:w="513" w:type="pct"/>
                  <w:noWrap w:val="0"/>
                  <w:tcMar>
                    <w:left w:w="57" w:type="dxa"/>
                    <w:right w:w="57" w:type="dxa"/>
                  </w:tcMar>
                  <w:vAlign w:val="center"/>
                </w:tcPr>
                <w:p w14:paraId="642862AA">
                  <w:pPr>
                    <w:keepNext w:val="0"/>
                    <w:keepLines w:val="0"/>
                    <w:suppressLineNumbers w:val="0"/>
                    <w:overflowPunct w:val="0"/>
                    <w:adjustRightInd w:val="0"/>
                    <w:snapToGrid w:val="0"/>
                    <w:spacing w:before="0" w:beforeAutospacing="0" w:after="0" w:afterAutospacing="0" w:line="276" w:lineRule="auto"/>
                    <w:ind w:left="0" w:right="0"/>
                    <w:jc w:val="center"/>
                    <w:rPr>
                      <w:rFonts w:hint="eastAsia" w:ascii="Times New Roman" w:hAnsi="Times New Roman" w:eastAsia="宋体" w:cs="Times New Roman"/>
                      <w:snapToGrid w:val="0"/>
                      <w:sz w:val="21"/>
                      <w:szCs w:val="21"/>
                      <w:highlight w:val="none"/>
                      <w:lang w:val="en-US" w:eastAsia="zh-CN"/>
                    </w:rPr>
                  </w:pPr>
                  <w:r>
                    <w:rPr>
                      <w:rFonts w:hint="eastAsia" w:ascii="Times New Roman" w:hAnsi="Times New Roman" w:eastAsia="宋体" w:cs="Times New Roman"/>
                      <w:snapToGrid w:val="0"/>
                      <w:sz w:val="21"/>
                      <w:szCs w:val="21"/>
                      <w:highlight w:val="none"/>
                      <w:lang w:val="en-US" w:eastAsia="zh-CN"/>
                    </w:rPr>
                    <w:t>1.3</w:t>
                  </w:r>
                </w:p>
              </w:tc>
              <w:tc>
                <w:tcPr>
                  <w:tcW w:w="669" w:type="pct"/>
                  <w:noWrap w:val="0"/>
                  <w:tcMar>
                    <w:left w:w="57" w:type="dxa"/>
                    <w:right w:w="57" w:type="dxa"/>
                  </w:tcMar>
                  <w:vAlign w:val="center"/>
                </w:tcPr>
                <w:p w14:paraId="2FAED6D7">
                  <w:pPr>
                    <w:keepNext w:val="0"/>
                    <w:keepLines w:val="0"/>
                    <w:suppressLineNumbers w:val="0"/>
                    <w:overflowPunct w:val="0"/>
                    <w:adjustRightInd w:val="0"/>
                    <w:snapToGrid w:val="0"/>
                    <w:spacing w:before="0" w:beforeAutospacing="0" w:after="0" w:afterAutospacing="0" w:line="276" w:lineRule="auto"/>
                    <w:ind w:left="0" w:right="0"/>
                    <w:jc w:val="center"/>
                    <w:rPr>
                      <w:rFonts w:hint="eastAsia" w:ascii="Times New Roman" w:hAnsi="Times New Roman" w:eastAsia="宋体" w:cs="Times New Roman"/>
                      <w:snapToGrid w:val="0"/>
                      <w:sz w:val="21"/>
                      <w:szCs w:val="21"/>
                      <w:highlight w:val="none"/>
                      <w:lang w:val="en-US" w:eastAsia="zh-CN"/>
                    </w:rPr>
                  </w:pPr>
                  <w:r>
                    <w:rPr>
                      <w:rFonts w:hint="eastAsia" w:ascii="Times New Roman" w:hAnsi="Times New Roman" w:eastAsia="宋体" w:cs="Times New Roman"/>
                      <w:sz w:val="21"/>
                      <w:szCs w:val="21"/>
                      <w:highlight w:val="none"/>
                      <w:lang w:val="en-US" w:eastAsia="zh-CN"/>
                    </w:rPr>
                    <w:t>/</w:t>
                  </w:r>
                </w:p>
              </w:tc>
              <w:tc>
                <w:tcPr>
                  <w:tcW w:w="441" w:type="pct"/>
                  <w:noWrap w:val="0"/>
                  <w:tcMar>
                    <w:left w:w="57" w:type="dxa"/>
                    <w:right w:w="57" w:type="dxa"/>
                  </w:tcMar>
                  <w:vAlign w:val="center"/>
                </w:tcPr>
                <w:p w14:paraId="5BA1BD0C">
                  <w:pPr>
                    <w:keepNext w:val="0"/>
                    <w:keepLines w:val="0"/>
                    <w:suppressLineNumbers w:val="0"/>
                    <w:overflowPunct w:val="0"/>
                    <w:adjustRightInd w:val="0"/>
                    <w:snapToGrid w:val="0"/>
                    <w:spacing w:before="0" w:beforeAutospacing="0" w:after="0" w:afterAutospacing="0" w:line="276" w:lineRule="auto"/>
                    <w:ind w:left="0" w:right="0"/>
                    <w:jc w:val="center"/>
                    <w:rPr>
                      <w:rFonts w:hint="eastAsia" w:ascii="Times New Roman" w:hAnsi="Times New Roman" w:eastAsia="宋体" w:cs="Times New Roman"/>
                      <w:snapToGrid w:val="0"/>
                      <w:sz w:val="21"/>
                      <w:szCs w:val="21"/>
                      <w:highlight w:val="none"/>
                      <w:lang w:val="en-US" w:eastAsia="zh-CN"/>
                    </w:rPr>
                  </w:pPr>
                  <w:r>
                    <w:rPr>
                      <w:rFonts w:hint="eastAsia" w:ascii="Times New Roman" w:hAnsi="Times New Roman" w:eastAsia="宋体" w:cs="Times New Roman"/>
                      <w:kern w:val="0"/>
                      <w:sz w:val="21"/>
                      <w:szCs w:val="21"/>
                      <w:highlight w:val="none"/>
                    </w:rPr>
                    <w:t>达标</w:t>
                  </w:r>
                </w:p>
              </w:tc>
            </w:tr>
            <w:tr w14:paraId="5FD3ED3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1" w:hRule="atLeast"/>
                <w:jc w:val="center"/>
              </w:trPr>
              <w:tc>
                <w:tcPr>
                  <w:tcW w:w="547" w:type="pct"/>
                  <w:vMerge w:val="continue"/>
                  <w:noWrap w:val="0"/>
                  <w:tcMar>
                    <w:left w:w="57" w:type="dxa"/>
                    <w:right w:w="57" w:type="dxa"/>
                  </w:tcMar>
                  <w:vAlign w:val="center"/>
                </w:tcPr>
                <w:p w14:paraId="056750BC">
                  <w:pPr>
                    <w:keepNext w:val="0"/>
                    <w:keepLines w:val="0"/>
                    <w:suppressLineNumbers w:val="0"/>
                    <w:overflowPunct w:val="0"/>
                    <w:adjustRightInd w:val="0"/>
                    <w:snapToGrid w:val="0"/>
                    <w:spacing w:before="0" w:beforeAutospacing="0" w:after="0" w:afterAutospacing="0" w:line="276" w:lineRule="auto"/>
                    <w:ind w:left="0" w:right="0"/>
                    <w:jc w:val="center"/>
                    <w:rPr>
                      <w:rFonts w:hint="eastAsia" w:ascii="Times New Roman" w:hAnsi="Times New Roman" w:eastAsia="宋体" w:cs="Times New Roman"/>
                      <w:snapToGrid w:val="0"/>
                      <w:sz w:val="21"/>
                      <w:szCs w:val="21"/>
                      <w:highlight w:val="none"/>
                      <w:lang w:val="en-US" w:eastAsia="zh-CN"/>
                    </w:rPr>
                  </w:pPr>
                </w:p>
              </w:tc>
              <w:tc>
                <w:tcPr>
                  <w:tcW w:w="710" w:type="pct"/>
                  <w:vMerge w:val="continue"/>
                  <w:noWrap w:val="0"/>
                  <w:tcMar>
                    <w:left w:w="57" w:type="dxa"/>
                    <w:right w:w="57" w:type="dxa"/>
                  </w:tcMar>
                  <w:vAlign w:val="center"/>
                </w:tcPr>
                <w:p w14:paraId="26282C4D">
                  <w:pPr>
                    <w:keepNext w:val="0"/>
                    <w:keepLines w:val="0"/>
                    <w:suppressLineNumbers w:val="0"/>
                    <w:overflowPunct w:val="0"/>
                    <w:adjustRightInd w:val="0"/>
                    <w:snapToGrid w:val="0"/>
                    <w:spacing w:before="0" w:beforeAutospacing="0" w:after="0" w:afterAutospacing="0" w:line="276" w:lineRule="auto"/>
                    <w:ind w:left="0" w:right="0"/>
                    <w:jc w:val="center"/>
                    <w:rPr>
                      <w:rFonts w:hint="eastAsia" w:ascii="Times New Roman" w:hAnsi="Times New Roman" w:eastAsia="宋体" w:cs="Times New Roman"/>
                      <w:snapToGrid w:val="0"/>
                      <w:sz w:val="21"/>
                      <w:szCs w:val="21"/>
                      <w:highlight w:val="none"/>
                      <w:lang w:val="en-US" w:eastAsia="zh-CN"/>
                    </w:rPr>
                  </w:pPr>
                </w:p>
              </w:tc>
              <w:tc>
                <w:tcPr>
                  <w:tcW w:w="788" w:type="pct"/>
                  <w:noWrap w:val="0"/>
                  <w:tcMar>
                    <w:left w:w="57" w:type="dxa"/>
                    <w:right w:w="57" w:type="dxa"/>
                  </w:tcMar>
                  <w:vAlign w:val="center"/>
                </w:tcPr>
                <w:p w14:paraId="69B5A390">
                  <w:pPr>
                    <w:keepNext w:val="0"/>
                    <w:keepLines w:val="0"/>
                    <w:suppressLineNumbers w:val="0"/>
                    <w:overflowPunct w:val="0"/>
                    <w:adjustRightInd w:val="0"/>
                    <w:snapToGrid w:val="0"/>
                    <w:spacing w:before="0" w:beforeAutospacing="0" w:after="0" w:afterAutospacing="0" w:line="276" w:lineRule="auto"/>
                    <w:ind w:left="0" w:right="0"/>
                    <w:jc w:val="center"/>
                    <w:rPr>
                      <w:rFonts w:hint="eastAsia" w:ascii="Times New Roman" w:hAnsi="Times New Roman" w:eastAsia="宋体" w:cs="Times New Roman"/>
                      <w:snapToGrid w:val="0"/>
                      <w:sz w:val="21"/>
                      <w:szCs w:val="21"/>
                      <w:highlight w:val="none"/>
                      <w:lang w:val="en-US" w:eastAsia="zh-CN"/>
                    </w:rPr>
                  </w:pPr>
                  <w:r>
                    <w:rPr>
                      <w:rFonts w:hint="default" w:ascii="Times New Roman" w:hAnsi="Times New Roman" w:eastAsia="宋体" w:cs="Times New Roman"/>
                      <w:bCs/>
                      <w:kern w:val="0"/>
                      <w:sz w:val="21"/>
                      <w:szCs w:val="21"/>
                      <w:highlight w:val="none"/>
                    </w:rPr>
                    <w:t>臭气浓度</w:t>
                  </w:r>
                </w:p>
              </w:tc>
              <w:tc>
                <w:tcPr>
                  <w:tcW w:w="1329" w:type="pct"/>
                  <w:gridSpan w:val="2"/>
                  <w:noWrap w:val="0"/>
                  <w:tcMar>
                    <w:left w:w="57" w:type="dxa"/>
                    <w:right w:w="57" w:type="dxa"/>
                  </w:tcMar>
                  <w:vAlign w:val="center"/>
                </w:tcPr>
                <w:p w14:paraId="5B816976">
                  <w:pPr>
                    <w:keepNext w:val="0"/>
                    <w:keepLines w:val="0"/>
                    <w:suppressLineNumbers w:val="0"/>
                    <w:overflowPunct w:val="0"/>
                    <w:adjustRightInd w:val="0"/>
                    <w:snapToGrid w:val="0"/>
                    <w:spacing w:before="0" w:beforeAutospacing="0" w:after="0" w:afterAutospacing="0" w:line="276" w:lineRule="auto"/>
                    <w:ind w:left="0" w:right="0"/>
                    <w:jc w:val="center"/>
                    <w:rPr>
                      <w:rFonts w:hint="eastAsia" w:ascii="Times New Roman" w:hAnsi="Times New Roman" w:eastAsia="宋体" w:cs="Times New Roman"/>
                      <w:snapToGrid w:val="0"/>
                      <w:sz w:val="21"/>
                      <w:szCs w:val="21"/>
                      <w:highlight w:val="none"/>
                      <w:lang w:val="en-US" w:eastAsia="zh-CN"/>
                    </w:rPr>
                  </w:pPr>
                  <w:r>
                    <w:rPr>
                      <w:rFonts w:hint="eastAsia" w:ascii="Times New Roman" w:hAnsi="Times New Roman" w:eastAsia="宋体" w:cs="Times New Roman"/>
                      <w:bCs/>
                      <w:kern w:val="0"/>
                      <w:sz w:val="21"/>
                      <w:szCs w:val="21"/>
                      <w:highlight w:val="none"/>
                      <w:lang w:val="en-US" w:eastAsia="zh-CN"/>
                    </w:rPr>
                    <w:t>549（无量纲）</w:t>
                  </w:r>
                </w:p>
              </w:tc>
              <w:tc>
                <w:tcPr>
                  <w:tcW w:w="1182" w:type="pct"/>
                  <w:gridSpan w:val="2"/>
                  <w:noWrap w:val="0"/>
                  <w:tcMar>
                    <w:left w:w="57" w:type="dxa"/>
                    <w:right w:w="57" w:type="dxa"/>
                  </w:tcMar>
                  <w:vAlign w:val="center"/>
                </w:tcPr>
                <w:p w14:paraId="393E9728">
                  <w:pPr>
                    <w:keepNext w:val="0"/>
                    <w:keepLines w:val="0"/>
                    <w:suppressLineNumbers w:val="0"/>
                    <w:overflowPunct w:val="0"/>
                    <w:adjustRightInd w:val="0"/>
                    <w:snapToGrid w:val="0"/>
                    <w:spacing w:before="0" w:beforeAutospacing="0" w:after="0" w:afterAutospacing="0" w:line="276" w:lineRule="auto"/>
                    <w:ind w:left="0" w:right="0"/>
                    <w:jc w:val="center"/>
                    <w:rPr>
                      <w:rFonts w:hint="eastAsia" w:ascii="Times New Roman" w:hAnsi="Times New Roman" w:eastAsia="宋体" w:cs="Times New Roman"/>
                      <w:snapToGrid w:val="0"/>
                      <w:sz w:val="21"/>
                      <w:szCs w:val="21"/>
                      <w:highlight w:val="none"/>
                      <w:lang w:val="en-US" w:eastAsia="zh-CN"/>
                    </w:rPr>
                  </w:pPr>
                  <w:r>
                    <w:rPr>
                      <w:rFonts w:hint="eastAsia" w:ascii="Times New Roman" w:hAnsi="Times New Roman" w:eastAsia="宋体" w:cs="Times New Roman"/>
                      <w:sz w:val="21"/>
                      <w:szCs w:val="21"/>
                      <w:highlight w:val="none"/>
                      <w:lang w:val="en-US" w:eastAsia="zh-CN"/>
                    </w:rPr>
                    <w:t>15</w:t>
                  </w:r>
                  <w:r>
                    <w:rPr>
                      <w:rFonts w:hint="eastAsia" w:ascii="Times New Roman" w:hAnsi="Times New Roman" w:eastAsia="宋体" w:cs="Times New Roman"/>
                      <w:sz w:val="21"/>
                      <w:szCs w:val="21"/>
                      <w:highlight w:val="none"/>
                    </w:rPr>
                    <w:t>000（无量纲）</w:t>
                  </w:r>
                </w:p>
              </w:tc>
              <w:tc>
                <w:tcPr>
                  <w:tcW w:w="441" w:type="pct"/>
                  <w:noWrap w:val="0"/>
                  <w:tcMar>
                    <w:left w:w="57" w:type="dxa"/>
                    <w:right w:w="57" w:type="dxa"/>
                  </w:tcMar>
                  <w:vAlign w:val="center"/>
                </w:tcPr>
                <w:p w14:paraId="06ABA62B">
                  <w:pPr>
                    <w:keepNext w:val="0"/>
                    <w:keepLines w:val="0"/>
                    <w:suppressLineNumbers w:val="0"/>
                    <w:overflowPunct w:val="0"/>
                    <w:adjustRightInd w:val="0"/>
                    <w:snapToGrid w:val="0"/>
                    <w:spacing w:before="0" w:beforeAutospacing="0" w:after="0" w:afterAutospacing="0" w:line="276" w:lineRule="auto"/>
                    <w:ind w:left="0" w:right="0"/>
                    <w:jc w:val="center"/>
                    <w:rPr>
                      <w:rFonts w:hint="eastAsia" w:ascii="Times New Roman" w:hAnsi="Times New Roman" w:eastAsia="宋体" w:cs="Times New Roman"/>
                      <w:snapToGrid w:val="0"/>
                      <w:sz w:val="21"/>
                      <w:szCs w:val="21"/>
                      <w:highlight w:val="none"/>
                      <w:lang w:val="en-US" w:eastAsia="zh-CN"/>
                    </w:rPr>
                  </w:pPr>
                  <w:r>
                    <w:rPr>
                      <w:rFonts w:hint="eastAsia" w:ascii="Times New Roman" w:hAnsi="Times New Roman" w:eastAsia="宋体" w:cs="Times New Roman"/>
                      <w:kern w:val="0"/>
                      <w:sz w:val="21"/>
                      <w:szCs w:val="21"/>
                      <w:highlight w:val="none"/>
                    </w:rPr>
                    <w:t>达标</w:t>
                  </w:r>
                </w:p>
              </w:tc>
            </w:tr>
            <w:tr w14:paraId="07A8399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1" w:hRule="atLeast"/>
                <w:jc w:val="center"/>
              </w:trPr>
              <w:tc>
                <w:tcPr>
                  <w:tcW w:w="547" w:type="pct"/>
                  <w:vMerge w:val="continue"/>
                  <w:noWrap w:val="0"/>
                  <w:tcMar>
                    <w:left w:w="57" w:type="dxa"/>
                    <w:right w:w="57" w:type="dxa"/>
                  </w:tcMar>
                  <w:vAlign w:val="center"/>
                </w:tcPr>
                <w:p w14:paraId="63586D7D">
                  <w:pPr>
                    <w:keepNext w:val="0"/>
                    <w:keepLines w:val="0"/>
                    <w:suppressLineNumbers w:val="0"/>
                    <w:overflowPunct w:val="0"/>
                    <w:adjustRightInd w:val="0"/>
                    <w:snapToGrid w:val="0"/>
                    <w:spacing w:before="0" w:beforeAutospacing="0" w:after="0" w:afterAutospacing="0" w:line="276" w:lineRule="auto"/>
                    <w:ind w:left="0" w:right="0"/>
                    <w:jc w:val="center"/>
                    <w:rPr>
                      <w:rFonts w:hint="eastAsia" w:ascii="Times New Roman" w:hAnsi="Times New Roman" w:eastAsia="宋体" w:cs="Times New Roman"/>
                      <w:snapToGrid w:val="0"/>
                      <w:sz w:val="21"/>
                      <w:szCs w:val="21"/>
                      <w:highlight w:val="none"/>
                      <w:lang w:val="en-US" w:eastAsia="zh-CN"/>
                    </w:rPr>
                  </w:pPr>
                </w:p>
              </w:tc>
              <w:tc>
                <w:tcPr>
                  <w:tcW w:w="710" w:type="pct"/>
                  <w:vMerge w:val="continue"/>
                  <w:noWrap w:val="0"/>
                  <w:tcMar>
                    <w:left w:w="57" w:type="dxa"/>
                    <w:right w:w="57" w:type="dxa"/>
                  </w:tcMar>
                  <w:vAlign w:val="center"/>
                </w:tcPr>
                <w:p w14:paraId="1671ABE3">
                  <w:pPr>
                    <w:keepNext w:val="0"/>
                    <w:keepLines w:val="0"/>
                    <w:suppressLineNumbers w:val="0"/>
                    <w:overflowPunct w:val="0"/>
                    <w:adjustRightInd w:val="0"/>
                    <w:snapToGrid w:val="0"/>
                    <w:spacing w:before="0" w:beforeAutospacing="0" w:after="0" w:afterAutospacing="0" w:line="276" w:lineRule="auto"/>
                    <w:ind w:left="0" w:right="0"/>
                    <w:jc w:val="center"/>
                    <w:rPr>
                      <w:rFonts w:hint="eastAsia" w:ascii="Times New Roman" w:hAnsi="Times New Roman" w:eastAsia="宋体" w:cs="Times New Roman"/>
                      <w:snapToGrid w:val="0"/>
                      <w:sz w:val="21"/>
                      <w:szCs w:val="21"/>
                      <w:highlight w:val="none"/>
                      <w:lang w:val="en-US" w:eastAsia="zh-CN"/>
                    </w:rPr>
                  </w:pPr>
                </w:p>
              </w:tc>
              <w:tc>
                <w:tcPr>
                  <w:tcW w:w="788" w:type="pct"/>
                  <w:shd w:val="clear" w:color="auto" w:fill="auto"/>
                  <w:noWrap w:val="0"/>
                  <w:tcMar>
                    <w:left w:w="57" w:type="dxa"/>
                    <w:right w:w="57" w:type="dxa"/>
                  </w:tcMar>
                  <w:vAlign w:val="center"/>
                </w:tcPr>
                <w:p w14:paraId="101274F0">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64" w:lineRule="auto"/>
                    <w:ind w:left="0" w:leftChars="0" w:right="0" w:rightChars="0"/>
                    <w:jc w:val="center"/>
                    <w:textAlignment w:val="auto"/>
                    <w:rPr>
                      <w:rFonts w:hint="default" w:ascii="Times New Roman" w:hAnsi="Times New Roman" w:eastAsia="宋体" w:cs="Times New Roman"/>
                      <w:bCs/>
                      <w:kern w:val="0"/>
                      <w:sz w:val="21"/>
                      <w:szCs w:val="21"/>
                      <w:highlight w:val="none"/>
                      <w:lang w:val="en-US" w:eastAsia="zh-CN" w:bidi="ar-SA"/>
                    </w:rPr>
                  </w:pPr>
                  <w:r>
                    <w:rPr>
                      <w:rFonts w:hint="eastAsia" w:cs="Times New Roman"/>
                      <w:bCs/>
                      <w:kern w:val="0"/>
                      <w:sz w:val="21"/>
                      <w:szCs w:val="21"/>
                      <w:highlight w:val="none"/>
                      <w:lang w:val="en-US" w:eastAsia="zh-CN"/>
                    </w:rPr>
                    <w:t>颗粒物</w:t>
                  </w:r>
                </w:p>
              </w:tc>
              <w:tc>
                <w:tcPr>
                  <w:tcW w:w="1329" w:type="pct"/>
                  <w:gridSpan w:val="2"/>
                  <w:shd w:val="clear" w:color="auto" w:fill="auto"/>
                  <w:noWrap w:val="0"/>
                  <w:tcMar>
                    <w:left w:w="57" w:type="dxa"/>
                    <w:right w:w="57" w:type="dxa"/>
                  </w:tcMar>
                  <w:vAlign w:val="center"/>
                </w:tcPr>
                <w:p w14:paraId="1346A8A2">
                  <w:pPr>
                    <w:keepNext w:val="0"/>
                    <w:keepLines w:val="0"/>
                    <w:suppressLineNumbers w:val="0"/>
                    <w:overflowPunct w:val="0"/>
                    <w:adjustRightInd w:val="0"/>
                    <w:snapToGrid w:val="0"/>
                    <w:spacing w:before="0" w:beforeAutospacing="0" w:after="0" w:afterAutospacing="0" w:line="276" w:lineRule="auto"/>
                    <w:ind w:left="0" w:leftChars="0" w:right="0" w:rightChars="0"/>
                    <w:jc w:val="center"/>
                    <w:rPr>
                      <w:rFonts w:hint="eastAsia" w:ascii="Times New Roman" w:hAnsi="Times New Roman" w:eastAsia="宋体" w:cs="Times New Roman"/>
                      <w:bCs/>
                      <w:kern w:val="0"/>
                      <w:sz w:val="21"/>
                      <w:szCs w:val="21"/>
                      <w:highlight w:val="none"/>
                      <w:lang w:val="en-US" w:eastAsia="zh-CN" w:bidi="ar-SA"/>
                    </w:rPr>
                  </w:pPr>
                  <w:r>
                    <w:rPr>
                      <w:rFonts w:hint="eastAsia" w:cs="Times New Roman"/>
                      <w:bCs/>
                      <w:kern w:val="0"/>
                      <w:sz w:val="21"/>
                      <w:szCs w:val="21"/>
                      <w:highlight w:val="none"/>
                      <w:lang w:val="en-US" w:eastAsia="zh-CN"/>
                    </w:rPr>
                    <w:t>少量</w:t>
                  </w:r>
                </w:p>
              </w:tc>
              <w:tc>
                <w:tcPr>
                  <w:tcW w:w="513" w:type="pct"/>
                  <w:shd w:val="clear" w:color="auto" w:fill="auto"/>
                  <w:noWrap w:val="0"/>
                  <w:tcMar>
                    <w:left w:w="57" w:type="dxa"/>
                    <w:right w:w="57" w:type="dxa"/>
                  </w:tcMar>
                  <w:vAlign w:val="center"/>
                </w:tcPr>
                <w:p w14:paraId="3C57882F">
                  <w:pPr>
                    <w:keepNext w:val="0"/>
                    <w:keepLines w:val="0"/>
                    <w:suppressLineNumbers w:val="0"/>
                    <w:overflowPunct w:val="0"/>
                    <w:adjustRightInd w:val="0"/>
                    <w:snapToGrid w:val="0"/>
                    <w:spacing w:before="0" w:beforeAutospacing="0" w:after="0" w:afterAutospacing="0" w:line="276" w:lineRule="auto"/>
                    <w:ind w:left="0" w:leftChars="0" w:right="0" w:rightChars="0"/>
                    <w:jc w:val="center"/>
                    <w:rPr>
                      <w:rFonts w:hint="eastAsia" w:ascii="Times New Roman" w:hAnsi="Times New Roman" w:eastAsia="宋体" w:cs="Times New Roman"/>
                      <w:kern w:val="2"/>
                      <w:sz w:val="21"/>
                      <w:szCs w:val="21"/>
                      <w:highlight w:val="none"/>
                      <w:lang w:val="en-US" w:eastAsia="zh-CN" w:bidi="ar-SA"/>
                    </w:rPr>
                  </w:pPr>
                  <w:r>
                    <w:rPr>
                      <w:rFonts w:hint="eastAsia" w:cs="Times New Roman"/>
                      <w:sz w:val="21"/>
                      <w:szCs w:val="21"/>
                      <w:highlight w:val="none"/>
                      <w:lang w:val="en-US" w:eastAsia="zh-CN"/>
                    </w:rPr>
                    <w:t>11.5</w:t>
                  </w:r>
                </w:p>
              </w:tc>
              <w:tc>
                <w:tcPr>
                  <w:tcW w:w="669" w:type="pct"/>
                  <w:shd w:val="clear" w:color="auto" w:fill="auto"/>
                  <w:noWrap w:val="0"/>
                  <w:tcMar>
                    <w:left w:w="57" w:type="dxa"/>
                    <w:right w:w="57" w:type="dxa"/>
                  </w:tcMar>
                  <w:vAlign w:val="center"/>
                </w:tcPr>
                <w:p w14:paraId="552BA20B">
                  <w:pPr>
                    <w:keepNext w:val="0"/>
                    <w:keepLines w:val="0"/>
                    <w:suppressLineNumbers w:val="0"/>
                    <w:overflowPunct w:val="0"/>
                    <w:adjustRightInd w:val="0"/>
                    <w:snapToGrid w:val="0"/>
                    <w:spacing w:before="0" w:beforeAutospacing="0" w:after="0" w:afterAutospacing="0" w:line="276" w:lineRule="auto"/>
                    <w:ind w:left="0" w:leftChars="0" w:right="0" w:rightChars="0"/>
                    <w:jc w:val="center"/>
                    <w:rPr>
                      <w:rFonts w:hint="eastAsia" w:ascii="Times New Roman" w:hAnsi="Times New Roman" w:eastAsia="宋体" w:cs="Times New Roman"/>
                      <w:kern w:val="2"/>
                      <w:sz w:val="21"/>
                      <w:szCs w:val="21"/>
                      <w:highlight w:val="none"/>
                      <w:lang w:val="en-US" w:eastAsia="zh-CN" w:bidi="ar-SA"/>
                    </w:rPr>
                  </w:pPr>
                  <w:r>
                    <w:rPr>
                      <w:rFonts w:hint="eastAsia" w:cs="Times New Roman"/>
                      <w:sz w:val="21"/>
                      <w:szCs w:val="21"/>
                      <w:highlight w:val="none"/>
                      <w:lang w:val="en-US" w:eastAsia="zh-CN"/>
                    </w:rPr>
                    <w:t>120</w:t>
                  </w:r>
                </w:p>
              </w:tc>
              <w:tc>
                <w:tcPr>
                  <w:tcW w:w="441" w:type="pct"/>
                  <w:noWrap w:val="0"/>
                  <w:tcMar>
                    <w:left w:w="57" w:type="dxa"/>
                    <w:right w:w="57" w:type="dxa"/>
                  </w:tcMar>
                  <w:vAlign w:val="center"/>
                </w:tcPr>
                <w:p w14:paraId="730F32AA">
                  <w:pPr>
                    <w:keepNext w:val="0"/>
                    <w:keepLines w:val="0"/>
                    <w:suppressLineNumbers w:val="0"/>
                    <w:overflowPunct w:val="0"/>
                    <w:adjustRightInd w:val="0"/>
                    <w:snapToGrid w:val="0"/>
                    <w:spacing w:before="0" w:beforeAutospacing="0" w:after="0" w:afterAutospacing="0" w:line="276" w:lineRule="auto"/>
                    <w:ind w:left="0" w:right="0"/>
                    <w:jc w:val="center"/>
                    <w:rPr>
                      <w:rFonts w:hint="eastAsia" w:ascii="Times New Roman" w:hAnsi="Times New Roman" w:eastAsia="宋体" w:cs="Times New Roman"/>
                      <w:kern w:val="0"/>
                      <w:sz w:val="21"/>
                      <w:szCs w:val="21"/>
                      <w:highlight w:val="none"/>
                    </w:rPr>
                  </w:pPr>
                  <w:r>
                    <w:rPr>
                      <w:rFonts w:hint="eastAsia" w:ascii="Times New Roman" w:hAnsi="Times New Roman" w:eastAsia="宋体" w:cs="Times New Roman"/>
                      <w:kern w:val="0"/>
                      <w:sz w:val="21"/>
                      <w:szCs w:val="21"/>
                      <w:highlight w:val="none"/>
                    </w:rPr>
                    <w:t>达标</w:t>
                  </w:r>
                </w:p>
              </w:tc>
            </w:tr>
            <w:tr w14:paraId="63789F8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1" w:hRule="atLeast"/>
                <w:jc w:val="center"/>
              </w:trPr>
              <w:tc>
                <w:tcPr>
                  <w:tcW w:w="547" w:type="pct"/>
                  <w:vMerge w:val="restart"/>
                  <w:noWrap w:val="0"/>
                  <w:tcMar>
                    <w:left w:w="57" w:type="dxa"/>
                    <w:right w:w="57" w:type="dxa"/>
                  </w:tcMar>
                  <w:vAlign w:val="center"/>
                </w:tcPr>
                <w:p w14:paraId="6A000A1C">
                  <w:pPr>
                    <w:keepNext w:val="0"/>
                    <w:keepLines w:val="0"/>
                    <w:widowControl/>
                    <w:suppressLineNumbers w:val="0"/>
                    <w:adjustRightInd w:val="0"/>
                    <w:snapToGrid w:val="0"/>
                    <w:spacing w:before="0" w:beforeAutospacing="0" w:after="0" w:afterAutospacing="0" w:line="276" w:lineRule="auto"/>
                    <w:ind w:left="0" w:right="0"/>
                    <w:jc w:val="center"/>
                    <w:rPr>
                      <w:rFonts w:hint="default" w:ascii="Times New Roman" w:hAnsi="Times New Roman" w:eastAsia="宋体" w:cs="Times New Roman"/>
                      <w:snapToGrid w:val="0"/>
                      <w:sz w:val="21"/>
                      <w:szCs w:val="21"/>
                      <w:highlight w:val="none"/>
                      <w:lang w:val="en-US"/>
                    </w:rPr>
                  </w:pPr>
                  <w:r>
                    <w:rPr>
                      <w:rFonts w:hint="default" w:ascii="Times New Roman" w:hAnsi="Times New Roman" w:eastAsia="宋体" w:cs="Times New Roman"/>
                      <w:snapToGrid w:val="0"/>
                      <w:sz w:val="21"/>
                      <w:szCs w:val="21"/>
                      <w:highlight w:val="none"/>
                    </w:rPr>
                    <w:t>DA0</w:t>
                  </w:r>
                  <w:r>
                    <w:rPr>
                      <w:rFonts w:hint="eastAsia" w:ascii="Times New Roman" w:hAnsi="Times New Roman" w:eastAsia="宋体" w:cs="Times New Roman"/>
                      <w:snapToGrid w:val="0"/>
                      <w:sz w:val="21"/>
                      <w:szCs w:val="21"/>
                      <w:highlight w:val="none"/>
                      <w:lang w:val="en-US" w:eastAsia="zh-CN"/>
                    </w:rPr>
                    <w:t>04</w:t>
                  </w:r>
                </w:p>
              </w:tc>
              <w:tc>
                <w:tcPr>
                  <w:tcW w:w="710" w:type="pct"/>
                  <w:vMerge w:val="restart"/>
                  <w:noWrap w:val="0"/>
                  <w:tcMar>
                    <w:left w:w="57" w:type="dxa"/>
                    <w:right w:w="57" w:type="dxa"/>
                  </w:tcMar>
                  <w:vAlign w:val="center"/>
                </w:tcPr>
                <w:p w14:paraId="7B5C0B1F">
                  <w:pPr>
                    <w:keepNext w:val="0"/>
                    <w:keepLines w:val="0"/>
                    <w:widowControl/>
                    <w:suppressLineNumbers w:val="0"/>
                    <w:adjustRightInd w:val="0"/>
                    <w:snapToGrid w:val="0"/>
                    <w:spacing w:before="0" w:beforeAutospacing="0" w:after="0" w:afterAutospacing="0" w:line="276" w:lineRule="auto"/>
                    <w:ind w:left="0" w:right="0"/>
                    <w:jc w:val="center"/>
                    <w:rPr>
                      <w:rFonts w:hint="eastAsia" w:ascii="Times New Roman" w:hAnsi="Times New Roman" w:eastAsia="宋体" w:cs="Times New Roman"/>
                      <w:snapToGrid w:val="0"/>
                      <w:sz w:val="21"/>
                      <w:szCs w:val="21"/>
                      <w:highlight w:val="none"/>
                      <w:lang w:val="en-US" w:eastAsia="zh-CN"/>
                    </w:rPr>
                  </w:pPr>
                  <w:r>
                    <w:rPr>
                      <w:rFonts w:hint="eastAsia" w:ascii="Times New Roman" w:hAnsi="Times New Roman" w:eastAsia="宋体" w:cs="Times New Roman"/>
                      <w:snapToGrid w:val="0"/>
                      <w:sz w:val="21"/>
                      <w:szCs w:val="21"/>
                      <w:highlight w:val="none"/>
                      <w:lang w:val="en-US" w:eastAsia="zh-CN"/>
                    </w:rPr>
                    <w:t>4#</w:t>
                  </w:r>
                  <w:r>
                    <w:rPr>
                      <w:rFonts w:hint="default" w:ascii="Times New Roman" w:hAnsi="Times New Roman" w:eastAsia="宋体" w:cs="Times New Roman"/>
                      <w:snapToGrid w:val="0"/>
                      <w:sz w:val="21"/>
                      <w:szCs w:val="21"/>
                      <w:highlight w:val="none"/>
                    </w:rPr>
                    <w:t>排放口</w:t>
                  </w:r>
                </w:p>
              </w:tc>
              <w:tc>
                <w:tcPr>
                  <w:tcW w:w="788" w:type="pct"/>
                  <w:shd w:val="clear" w:color="auto" w:fill="auto"/>
                  <w:noWrap w:val="0"/>
                  <w:tcMar>
                    <w:left w:w="57" w:type="dxa"/>
                    <w:right w:w="57" w:type="dxa"/>
                  </w:tcMar>
                  <w:vAlign w:val="center"/>
                </w:tcPr>
                <w:p w14:paraId="61B6A00B">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64" w:lineRule="auto"/>
                    <w:ind w:left="0" w:right="0"/>
                    <w:jc w:val="center"/>
                    <w:textAlignment w:val="auto"/>
                    <w:rPr>
                      <w:rFonts w:hint="eastAsia" w:ascii="Times New Roman" w:hAnsi="Times New Roman" w:eastAsia="宋体" w:cs="Times New Roman"/>
                      <w:bCs/>
                      <w:kern w:val="0"/>
                      <w:sz w:val="21"/>
                      <w:szCs w:val="21"/>
                      <w:highlight w:val="none"/>
                      <w:lang w:val="en-US" w:eastAsia="zh-CN" w:bidi="ar-SA"/>
                    </w:rPr>
                  </w:pPr>
                  <w:r>
                    <w:rPr>
                      <w:rFonts w:hint="default" w:ascii="Times New Roman" w:hAnsi="Times New Roman" w:eastAsia="宋体" w:cs="Times New Roman"/>
                      <w:bCs/>
                      <w:kern w:val="0"/>
                      <w:sz w:val="21"/>
                      <w:szCs w:val="21"/>
                      <w:highlight w:val="none"/>
                    </w:rPr>
                    <w:t>氨</w:t>
                  </w:r>
                </w:p>
              </w:tc>
              <w:tc>
                <w:tcPr>
                  <w:tcW w:w="687" w:type="pct"/>
                  <w:shd w:val="clear" w:color="auto" w:fill="auto"/>
                  <w:noWrap w:val="0"/>
                  <w:tcMar>
                    <w:left w:w="57" w:type="dxa"/>
                    <w:right w:w="57" w:type="dxa"/>
                  </w:tcMar>
                  <w:vAlign w:val="center"/>
                </w:tcPr>
                <w:p w14:paraId="417B31B0">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bCs/>
                      <w:kern w:val="0"/>
                      <w:sz w:val="21"/>
                      <w:szCs w:val="21"/>
                      <w:highlight w:val="none"/>
                      <w:lang w:val="en-US" w:eastAsia="zh-CN" w:bidi="ar-SA"/>
                    </w:rPr>
                  </w:pPr>
                  <w:r>
                    <w:rPr>
                      <w:rFonts w:hint="eastAsia" w:ascii="Times New Roman" w:hAnsi="Times New Roman" w:eastAsia="宋体" w:cs="Times New Roman"/>
                      <w:i w:val="0"/>
                      <w:iCs w:val="0"/>
                      <w:color w:val="000000"/>
                      <w:kern w:val="0"/>
                      <w:sz w:val="21"/>
                      <w:szCs w:val="21"/>
                      <w:highlight w:val="none"/>
                      <w:u w:val="none"/>
                      <w:lang w:val="en-US" w:eastAsia="zh-CN" w:bidi="ar"/>
                    </w:rPr>
                    <w:t>~</w:t>
                  </w:r>
                  <w:r>
                    <w:rPr>
                      <w:rFonts w:hint="default" w:ascii="Times New Roman" w:hAnsi="Times New Roman" w:eastAsia="宋体" w:cs="Times New Roman"/>
                      <w:i w:val="0"/>
                      <w:iCs w:val="0"/>
                      <w:color w:val="000000"/>
                      <w:kern w:val="0"/>
                      <w:sz w:val="21"/>
                      <w:szCs w:val="21"/>
                      <w:highlight w:val="none"/>
                      <w:u w:val="none"/>
                      <w:lang w:val="en-US" w:eastAsia="zh-CN" w:bidi="ar"/>
                    </w:rPr>
                    <w:t>0</w:t>
                  </w:r>
                </w:p>
              </w:tc>
              <w:tc>
                <w:tcPr>
                  <w:tcW w:w="641" w:type="pct"/>
                  <w:shd w:val="clear" w:color="auto" w:fill="auto"/>
                  <w:noWrap w:val="0"/>
                  <w:tcMar>
                    <w:left w:w="57" w:type="dxa"/>
                    <w:right w:w="57" w:type="dxa"/>
                  </w:tcMar>
                  <w:vAlign w:val="center"/>
                </w:tcPr>
                <w:p w14:paraId="390BAFCB">
                  <w:pPr>
                    <w:keepNext w:val="0"/>
                    <w:keepLines w:val="0"/>
                    <w:widowControl/>
                    <w:suppressLineNumbers w:val="0"/>
                    <w:spacing w:before="0" w:beforeAutospacing="0" w:after="0" w:afterAutospacing="0"/>
                    <w:ind w:left="0" w:right="0"/>
                    <w:jc w:val="center"/>
                    <w:textAlignment w:val="center"/>
                    <w:rPr>
                      <w:rFonts w:hint="eastAsia" w:ascii="Times New Roman" w:hAnsi="Times New Roman" w:eastAsia="宋体" w:cs="Times New Roman"/>
                      <w:bCs/>
                      <w:kern w:val="0"/>
                      <w:sz w:val="21"/>
                      <w:szCs w:val="21"/>
                      <w:highlight w:val="none"/>
                      <w:lang w:val="en-US" w:eastAsia="zh-CN" w:bidi="ar-SA"/>
                    </w:rPr>
                  </w:pPr>
                  <w:r>
                    <w:rPr>
                      <w:rFonts w:hint="eastAsia" w:ascii="Times New Roman" w:hAnsi="Times New Roman" w:eastAsia="宋体" w:cs="Times New Roman"/>
                      <w:i w:val="0"/>
                      <w:iCs w:val="0"/>
                      <w:color w:val="000000"/>
                      <w:kern w:val="0"/>
                      <w:sz w:val="21"/>
                      <w:szCs w:val="21"/>
                      <w:highlight w:val="none"/>
                      <w:u w:val="none"/>
                      <w:lang w:val="en-US" w:eastAsia="zh-CN" w:bidi="ar"/>
                    </w:rPr>
                    <w:t>~</w:t>
                  </w:r>
                  <w:r>
                    <w:rPr>
                      <w:rFonts w:hint="default" w:ascii="Times New Roman" w:hAnsi="Times New Roman" w:eastAsia="宋体" w:cs="Times New Roman"/>
                      <w:i w:val="0"/>
                      <w:iCs w:val="0"/>
                      <w:color w:val="000000"/>
                      <w:kern w:val="0"/>
                      <w:sz w:val="21"/>
                      <w:szCs w:val="21"/>
                      <w:highlight w:val="none"/>
                      <w:u w:val="none"/>
                      <w:lang w:val="en-US" w:eastAsia="zh-CN" w:bidi="ar"/>
                    </w:rPr>
                    <w:t>0</w:t>
                  </w:r>
                </w:p>
              </w:tc>
              <w:tc>
                <w:tcPr>
                  <w:tcW w:w="513" w:type="pct"/>
                  <w:noWrap w:val="0"/>
                  <w:tcMar>
                    <w:left w:w="57" w:type="dxa"/>
                    <w:right w:w="57" w:type="dxa"/>
                  </w:tcMar>
                  <w:vAlign w:val="center"/>
                </w:tcPr>
                <w:p w14:paraId="2A194991">
                  <w:pPr>
                    <w:keepNext w:val="0"/>
                    <w:keepLines w:val="0"/>
                    <w:suppressLineNumbers w:val="0"/>
                    <w:overflowPunct w:val="0"/>
                    <w:adjustRightInd w:val="0"/>
                    <w:snapToGrid w:val="0"/>
                    <w:spacing w:before="0" w:beforeAutospacing="0" w:after="0" w:afterAutospacing="0" w:line="276" w:lineRule="auto"/>
                    <w:ind w:left="0" w:right="0"/>
                    <w:jc w:val="center"/>
                    <w:rPr>
                      <w:rFonts w:hint="eastAsia" w:ascii="Times New Roman" w:hAnsi="Times New Roman" w:eastAsia="宋体" w:cs="Times New Roman"/>
                      <w:kern w:val="0"/>
                      <w:sz w:val="21"/>
                      <w:szCs w:val="21"/>
                      <w:highlight w:val="none"/>
                      <w:lang w:val="en-US" w:eastAsia="zh-CN"/>
                    </w:rPr>
                  </w:pPr>
                  <w:r>
                    <w:rPr>
                      <w:rFonts w:hint="eastAsia" w:ascii="Times New Roman" w:hAnsi="Times New Roman" w:eastAsia="宋体" w:cs="Times New Roman"/>
                      <w:kern w:val="0"/>
                      <w:sz w:val="21"/>
                      <w:szCs w:val="21"/>
                      <w:highlight w:val="none"/>
                      <w:lang w:val="en-US" w:eastAsia="zh-CN"/>
                    </w:rPr>
                    <w:t>20</w:t>
                  </w:r>
                </w:p>
              </w:tc>
              <w:tc>
                <w:tcPr>
                  <w:tcW w:w="669" w:type="pct"/>
                  <w:noWrap w:val="0"/>
                  <w:tcMar>
                    <w:left w:w="57" w:type="dxa"/>
                    <w:right w:w="57" w:type="dxa"/>
                  </w:tcMar>
                  <w:vAlign w:val="center"/>
                </w:tcPr>
                <w:p w14:paraId="64D76C99">
                  <w:pPr>
                    <w:keepNext w:val="0"/>
                    <w:keepLines w:val="0"/>
                    <w:suppressLineNumbers w:val="0"/>
                    <w:adjustRightInd w:val="0"/>
                    <w:snapToGrid w:val="0"/>
                    <w:spacing w:before="0" w:beforeAutospacing="0" w:after="0" w:afterAutospacing="0" w:line="276" w:lineRule="auto"/>
                    <w:ind w:left="0" w:right="0"/>
                    <w:jc w:val="center"/>
                    <w:rPr>
                      <w:rFonts w:hint="eastAsia" w:ascii="Times New Roman" w:hAnsi="Times New Roman" w:eastAsia="宋体" w:cs="Times New Roman"/>
                      <w:sz w:val="21"/>
                      <w:szCs w:val="21"/>
                      <w:highlight w:val="none"/>
                      <w:lang w:val="en-US" w:eastAsia="zh-CN"/>
                    </w:rPr>
                  </w:pPr>
                  <w:r>
                    <w:rPr>
                      <w:rFonts w:hint="eastAsia" w:ascii="Times New Roman" w:hAnsi="Times New Roman" w:eastAsia="宋体" w:cs="Times New Roman"/>
                      <w:sz w:val="21"/>
                      <w:szCs w:val="21"/>
                      <w:highlight w:val="none"/>
                      <w:lang w:val="en-US" w:eastAsia="zh-CN"/>
                    </w:rPr>
                    <w:t>/</w:t>
                  </w:r>
                </w:p>
              </w:tc>
              <w:tc>
                <w:tcPr>
                  <w:tcW w:w="441" w:type="pct"/>
                  <w:noWrap w:val="0"/>
                  <w:tcMar>
                    <w:left w:w="57" w:type="dxa"/>
                    <w:right w:w="57" w:type="dxa"/>
                  </w:tcMar>
                  <w:vAlign w:val="center"/>
                </w:tcPr>
                <w:p w14:paraId="1AF8C0B0">
                  <w:pPr>
                    <w:keepNext w:val="0"/>
                    <w:keepLines w:val="0"/>
                    <w:suppressLineNumbers w:val="0"/>
                    <w:overflowPunct w:val="0"/>
                    <w:adjustRightInd w:val="0"/>
                    <w:snapToGrid w:val="0"/>
                    <w:spacing w:before="0" w:beforeAutospacing="0" w:after="0" w:afterAutospacing="0" w:line="276" w:lineRule="auto"/>
                    <w:ind w:left="0" w:right="0"/>
                    <w:jc w:val="center"/>
                    <w:rPr>
                      <w:rFonts w:hint="eastAsia" w:ascii="Times New Roman" w:hAnsi="Times New Roman" w:eastAsia="宋体" w:cs="Times New Roman"/>
                      <w:kern w:val="0"/>
                      <w:sz w:val="21"/>
                      <w:szCs w:val="21"/>
                      <w:highlight w:val="none"/>
                    </w:rPr>
                  </w:pPr>
                  <w:r>
                    <w:rPr>
                      <w:rFonts w:hint="eastAsia" w:ascii="Times New Roman" w:hAnsi="Times New Roman" w:eastAsia="宋体" w:cs="Times New Roman"/>
                      <w:kern w:val="0"/>
                      <w:sz w:val="21"/>
                      <w:szCs w:val="21"/>
                      <w:highlight w:val="none"/>
                    </w:rPr>
                    <w:t>达标</w:t>
                  </w:r>
                </w:p>
              </w:tc>
            </w:tr>
            <w:tr w14:paraId="2E747D0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1" w:hRule="atLeast"/>
                <w:jc w:val="center"/>
              </w:trPr>
              <w:tc>
                <w:tcPr>
                  <w:tcW w:w="547" w:type="pct"/>
                  <w:vMerge w:val="continue"/>
                  <w:noWrap w:val="0"/>
                  <w:tcMar>
                    <w:left w:w="57" w:type="dxa"/>
                    <w:right w:w="57" w:type="dxa"/>
                  </w:tcMar>
                  <w:vAlign w:val="center"/>
                </w:tcPr>
                <w:p w14:paraId="436CE1B7">
                  <w:pPr>
                    <w:keepNext w:val="0"/>
                    <w:keepLines w:val="0"/>
                    <w:suppressLineNumbers w:val="0"/>
                    <w:overflowPunct w:val="0"/>
                    <w:adjustRightInd w:val="0"/>
                    <w:snapToGrid w:val="0"/>
                    <w:spacing w:before="0" w:beforeAutospacing="0" w:after="0" w:afterAutospacing="0" w:line="276" w:lineRule="auto"/>
                    <w:ind w:left="0" w:right="0"/>
                    <w:jc w:val="center"/>
                    <w:rPr>
                      <w:rFonts w:hint="default" w:ascii="Times New Roman" w:hAnsi="Times New Roman" w:eastAsia="宋体" w:cs="Times New Roman"/>
                      <w:sz w:val="21"/>
                      <w:szCs w:val="21"/>
                      <w:highlight w:val="none"/>
                    </w:rPr>
                  </w:pPr>
                </w:p>
              </w:tc>
              <w:tc>
                <w:tcPr>
                  <w:tcW w:w="710" w:type="pct"/>
                  <w:vMerge w:val="continue"/>
                  <w:noWrap w:val="0"/>
                  <w:tcMar>
                    <w:left w:w="57" w:type="dxa"/>
                    <w:right w:w="57" w:type="dxa"/>
                  </w:tcMar>
                  <w:vAlign w:val="center"/>
                </w:tcPr>
                <w:p w14:paraId="7991393E">
                  <w:pPr>
                    <w:keepNext w:val="0"/>
                    <w:keepLines w:val="0"/>
                    <w:suppressLineNumbers w:val="0"/>
                    <w:overflowPunct w:val="0"/>
                    <w:adjustRightInd w:val="0"/>
                    <w:snapToGrid w:val="0"/>
                    <w:spacing w:before="0" w:beforeAutospacing="0" w:after="0" w:afterAutospacing="0" w:line="276" w:lineRule="auto"/>
                    <w:ind w:left="0" w:right="0"/>
                    <w:jc w:val="center"/>
                    <w:rPr>
                      <w:rFonts w:hint="default" w:ascii="Times New Roman" w:hAnsi="Times New Roman" w:eastAsia="宋体" w:cs="Times New Roman"/>
                      <w:sz w:val="21"/>
                      <w:szCs w:val="21"/>
                      <w:highlight w:val="none"/>
                    </w:rPr>
                  </w:pPr>
                </w:p>
              </w:tc>
              <w:tc>
                <w:tcPr>
                  <w:tcW w:w="788" w:type="pct"/>
                  <w:shd w:val="clear" w:color="auto" w:fill="auto"/>
                  <w:noWrap w:val="0"/>
                  <w:tcMar>
                    <w:left w:w="57" w:type="dxa"/>
                    <w:right w:w="57" w:type="dxa"/>
                  </w:tcMar>
                  <w:vAlign w:val="center"/>
                </w:tcPr>
                <w:p w14:paraId="5B73F535">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64" w:lineRule="auto"/>
                    <w:ind w:left="0" w:right="0"/>
                    <w:jc w:val="center"/>
                    <w:textAlignment w:val="auto"/>
                    <w:rPr>
                      <w:rFonts w:hint="eastAsia" w:ascii="Times New Roman" w:hAnsi="Times New Roman" w:eastAsia="宋体" w:cs="Times New Roman"/>
                      <w:bCs/>
                      <w:kern w:val="0"/>
                      <w:sz w:val="21"/>
                      <w:szCs w:val="21"/>
                      <w:highlight w:val="none"/>
                      <w:lang w:val="en-US" w:eastAsia="zh-CN" w:bidi="ar-SA"/>
                    </w:rPr>
                  </w:pPr>
                  <w:r>
                    <w:rPr>
                      <w:rFonts w:hint="default" w:ascii="Times New Roman" w:hAnsi="Times New Roman" w:eastAsia="宋体" w:cs="Times New Roman"/>
                      <w:bCs/>
                      <w:kern w:val="0"/>
                      <w:sz w:val="21"/>
                      <w:szCs w:val="21"/>
                      <w:highlight w:val="none"/>
                    </w:rPr>
                    <w:t>硫化氢</w:t>
                  </w:r>
                </w:p>
              </w:tc>
              <w:tc>
                <w:tcPr>
                  <w:tcW w:w="687" w:type="pct"/>
                  <w:shd w:val="clear" w:color="auto" w:fill="auto"/>
                  <w:noWrap w:val="0"/>
                  <w:tcMar>
                    <w:left w:w="57" w:type="dxa"/>
                    <w:right w:w="57" w:type="dxa"/>
                  </w:tcMar>
                  <w:vAlign w:val="center"/>
                </w:tcPr>
                <w:p w14:paraId="1357DBD4">
                  <w:pPr>
                    <w:keepNext w:val="0"/>
                    <w:keepLines w:val="0"/>
                    <w:widowControl/>
                    <w:suppressLineNumbers w:val="0"/>
                    <w:spacing w:before="0" w:beforeAutospacing="0" w:after="0" w:afterAutospacing="0"/>
                    <w:ind w:left="0" w:right="0"/>
                    <w:jc w:val="center"/>
                    <w:textAlignment w:val="center"/>
                    <w:rPr>
                      <w:rFonts w:hint="eastAsia" w:ascii="Times New Roman" w:hAnsi="Times New Roman" w:eastAsia="宋体" w:cs="Times New Roman"/>
                      <w:bCs/>
                      <w:kern w:val="0"/>
                      <w:sz w:val="21"/>
                      <w:szCs w:val="21"/>
                      <w:highlight w:val="none"/>
                      <w:lang w:val="en-US" w:eastAsia="zh-CN" w:bidi="ar-SA"/>
                    </w:rPr>
                  </w:pPr>
                  <w:r>
                    <w:rPr>
                      <w:rFonts w:hint="eastAsia" w:ascii="Times New Roman" w:hAnsi="Times New Roman" w:eastAsia="宋体" w:cs="Times New Roman"/>
                      <w:i w:val="0"/>
                      <w:iCs w:val="0"/>
                      <w:color w:val="000000"/>
                      <w:kern w:val="0"/>
                      <w:sz w:val="21"/>
                      <w:szCs w:val="21"/>
                      <w:highlight w:val="none"/>
                      <w:u w:val="none"/>
                      <w:lang w:val="en-US" w:eastAsia="zh-CN" w:bidi="ar"/>
                    </w:rPr>
                    <w:t>~</w:t>
                  </w:r>
                  <w:r>
                    <w:rPr>
                      <w:rFonts w:hint="default" w:ascii="Times New Roman" w:hAnsi="Times New Roman" w:eastAsia="宋体" w:cs="Times New Roman"/>
                      <w:i w:val="0"/>
                      <w:iCs w:val="0"/>
                      <w:color w:val="000000"/>
                      <w:kern w:val="0"/>
                      <w:sz w:val="21"/>
                      <w:szCs w:val="21"/>
                      <w:highlight w:val="none"/>
                      <w:u w:val="none"/>
                      <w:lang w:val="en-US" w:eastAsia="zh-CN" w:bidi="ar"/>
                    </w:rPr>
                    <w:t>0</w:t>
                  </w:r>
                </w:p>
              </w:tc>
              <w:tc>
                <w:tcPr>
                  <w:tcW w:w="641" w:type="pct"/>
                  <w:shd w:val="clear" w:color="auto" w:fill="auto"/>
                  <w:noWrap w:val="0"/>
                  <w:tcMar>
                    <w:left w:w="57" w:type="dxa"/>
                    <w:right w:w="57" w:type="dxa"/>
                  </w:tcMar>
                  <w:vAlign w:val="center"/>
                </w:tcPr>
                <w:p w14:paraId="3FB27247">
                  <w:pPr>
                    <w:keepNext w:val="0"/>
                    <w:keepLines w:val="0"/>
                    <w:widowControl/>
                    <w:suppressLineNumbers w:val="0"/>
                    <w:spacing w:before="0" w:beforeAutospacing="0" w:after="0" w:afterAutospacing="0"/>
                    <w:ind w:left="0" w:right="0"/>
                    <w:jc w:val="center"/>
                    <w:textAlignment w:val="center"/>
                    <w:rPr>
                      <w:rFonts w:hint="eastAsia" w:ascii="Times New Roman" w:hAnsi="Times New Roman" w:eastAsia="宋体" w:cs="Times New Roman"/>
                      <w:bCs/>
                      <w:kern w:val="0"/>
                      <w:sz w:val="21"/>
                      <w:szCs w:val="21"/>
                      <w:highlight w:val="none"/>
                      <w:lang w:val="en-US" w:eastAsia="zh-CN" w:bidi="ar-SA"/>
                    </w:rPr>
                  </w:pPr>
                  <w:r>
                    <w:rPr>
                      <w:rFonts w:hint="eastAsia" w:ascii="Times New Roman" w:hAnsi="Times New Roman" w:eastAsia="宋体" w:cs="Times New Roman"/>
                      <w:i w:val="0"/>
                      <w:iCs w:val="0"/>
                      <w:color w:val="000000"/>
                      <w:kern w:val="0"/>
                      <w:sz w:val="21"/>
                      <w:szCs w:val="21"/>
                      <w:highlight w:val="none"/>
                      <w:u w:val="none"/>
                      <w:lang w:val="en-US" w:eastAsia="zh-CN" w:bidi="ar"/>
                    </w:rPr>
                    <w:t>~</w:t>
                  </w:r>
                  <w:r>
                    <w:rPr>
                      <w:rFonts w:hint="default" w:ascii="Times New Roman" w:hAnsi="Times New Roman" w:eastAsia="宋体" w:cs="Times New Roman"/>
                      <w:i w:val="0"/>
                      <w:iCs w:val="0"/>
                      <w:color w:val="000000"/>
                      <w:kern w:val="0"/>
                      <w:sz w:val="21"/>
                      <w:szCs w:val="21"/>
                      <w:highlight w:val="none"/>
                      <w:u w:val="none"/>
                      <w:lang w:val="en-US" w:eastAsia="zh-CN" w:bidi="ar"/>
                    </w:rPr>
                    <w:t>0</w:t>
                  </w:r>
                </w:p>
              </w:tc>
              <w:tc>
                <w:tcPr>
                  <w:tcW w:w="513" w:type="pct"/>
                  <w:noWrap w:val="0"/>
                  <w:tcMar>
                    <w:left w:w="57" w:type="dxa"/>
                    <w:right w:w="57" w:type="dxa"/>
                  </w:tcMar>
                  <w:vAlign w:val="center"/>
                </w:tcPr>
                <w:p w14:paraId="7DD4F51F">
                  <w:pPr>
                    <w:keepNext w:val="0"/>
                    <w:keepLines w:val="0"/>
                    <w:suppressLineNumbers w:val="0"/>
                    <w:overflowPunct w:val="0"/>
                    <w:adjustRightInd w:val="0"/>
                    <w:snapToGrid w:val="0"/>
                    <w:spacing w:before="0" w:beforeAutospacing="0" w:after="0" w:afterAutospacing="0" w:line="276" w:lineRule="auto"/>
                    <w:ind w:left="0" w:right="0"/>
                    <w:jc w:val="center"/>
                    <w:rPr>
                      <w:rFonts w:hint="eastAsia" w:ascii="Times New Roman" w:hAnsi="Times New Roman" w:eastAsia="宋体" w:cs="Times New Roman"/>
                      <w:snapToGrid w:val="0"/>
                      <w:sz w:val="21"/>
                      <w:szCs w:val="21"/>
                      <w:highlight w:val="none"/>
                      <w:lang w:val="en-US" w:eastAsia="zh-CN"/>
                    </w:rPr>
                  </w:pPr>
                  <w:r>
                    <w:rPr>
                      <w:rFonts w:hint="eastAsia" w:ascii="Times New Roman" w:hAnsi="Times New Roman" w:eastAsia="宋体" w:cs="Times New Roman"/>
                      <w:snapToGrid w:val="0"/>
                      <w:sz w:val="21"/>
                      <w:szCs w:val="21"/>
                      <w:highlight w:val="none"/>
                      <w:lang w:val="en-US" w:eastAsia="zh-CN"/>
                    </w:rPr>
                    <w:t>1.3</w:t>
                  </w:r>
                </w:p>
              </w:tc>
              <w:tc>
                <w:tcPr>
                  <w:tcW w:w="669" w:type="pct"/>
                  <w:noWrap w:val="0"/>
                  <w:tcMar>
                    <w:left w:w="57" w:type="dxa"/>
                    <w:right w:w="57" w:type="dxa"/>
                  </w:tcMar>
                  <w:vAlign w:val="center"/>
                </w:tcPr>
                <w:p w14:paraId="4979556E">
                  <w:pPr>
                    <w:keepNext w:val="0"/>
                    <w:keepLines w:val="0"/>
                    <w:suppressLineNumbers w:val="0"/>
                    <w:overflowPunct w:val="0"/>
                    <w:adjustRightInd w:val="0"/>
                    <w:snapToGrid w:val="0"/>
                    <w:spacing w:before="0" w:beforeAutospacing="0" w:after="0" w:afterAutospacing="0" w:line="276" w:lineRule="auto"/>
                    <w:ind w:left="0" w:right="0"/>
                    <w:jc w:val="center"/>
                    <w:rPr>
                      <w:rFonts w:hint="eastAsia" w:ascii="Times New Roman" w:hAnsi="Times New Roman" w:eastAsia="宋体" w:cs="Times New Roman"/>
                      <w:snapToGrid w:val="0"/>
                      <w:sz w:val="21"/>
                      <w:szCs w:val="21"/>
                      <w:highlight w:val="none"/>
                      <w:lang w:val="en-US" w:eastAsia="zh-CN"/>
                    </w:rPr>
                  </w:pPr>
                  <w:r>
                    <w:rPr>
                      <w:rFonts w:hint="eastAsia" w:ascii="Times New Roman" w:hAnsi="Times New Roman" w:eastAsia="宋体" w:cs="Times New Roman"/>
                      <w:sz w:val="21"/>
                      <w:szCs w:val="21"/>
                      <w:highlight w:val="none"/>
                      <w:lang w:val="en-US" w:eastAsia="zh-CN"/>
                    </w:rPr>
                    <w:t>/</w:t>
                  </w:r>
                </w:p>
              </w:tc>
              <w:tc>
                <w:tcPr>
                  <w:tcW w:w="441" w:type="pct"/>
                  <w:noWrap w:val="0"/>
                  <w:tcMar>
                    <w:left w:w="57" w:type="dxa"/>
                    <w:right w:w="57" w:type="dxa"/>
                  </w:tcMar>
                  <w:vAlign w:val="center"/>
                </w:tcPr>
                <w:p w14:paraId="3D54A9BE">
                  <w:pPr>
                    <w:keepNext w:val="0"/>
                    <w:keepLines w:val="0"/>
                    <w:suppressLineNumbers w:val="0"/>
                    <w:overflowPunct w:val="0"/>
                    <w:adjustRightInd w:val="0"/>
                    <w:snapToGrid w:val="0"/>
                    <w:spacing w:before="0" w:beforeAutospacing="0" w:after="0" w:afterAutospacing="0" w:line="276" w:lineRule="auto"/>
                    <w:ind w:left="0" w:right="0"/>
                    <w:jc w:val="center"/>
                    <w:rPr>
                      <w:rFonts w:hint="eastAsia" w:ascii="Times New Roman" w:hAnsi="Times New Roman" w:eastAsia="宋体" w:cs="Times New Roman"/>
                      <w:snapToGrid w:val="0"/>
                      <w:sz w:val="21"/>
                      <w:szCs w:val="21"/>
                      <w:highlight w:val="none"/>
                      <w:lang w:val="en-US" w:eastAsia="zh-CN"/>
                    </w:rPr>
                  </w:pPr>
                  <w:r>
                    <w:rPr>
                      <w:rFonts w:hint="eastAsia" w:ascii="Times New Roman" w:hAnsi="Times New Roman" w:eastAsia="宋体" w:cs="Times New Roman"/>
                      <w:kern w:val="0"/>
                      <w:sz w:val="21"/>
                      <w:szCs w:val="21"/>
                      <w:highlight w:val="none"/>
                    </w:rPr>
                    <w:t>达标</w:t>
                  </w:r>
                </w:p>
              </w:tc>
            </w:tr>
            <w:tr w14:paraId="62A70A8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1" w:hRule="atLeast"/>
                <w:jc w:val="center"/>
              </w:trPr>
              <w:tc>
                <w:tcPr>
                  <w:tcW w:w="547" w:type="pct"/>
                  <w:vMerge w:val="continue"/>
                  <w:noWrap w:val="0"/>
                  <w:tcMar>
                    <w:left w:w="57" w:type="dxa"/>
                    <w:right w:w="57" w:type="dxa"/>
                  </w:tcMar>
                  <w:vAlign w:val="center"/>
                </w:tcPr>
                <w:p w14:paraId="43C459A2">
                  <w:pPr>
                    <w:keepNext w:val="0"/>
                    <w:keepLines w:val="0"/>
                    <w:suppressLineNumbers w:val="0"/>
                    <w:overflowPunct w:val="0"/>
                    <w:adjustRightInd w:val="0"/>
                    <w:snapToGrid w:val="0"/>
                    <w:spacing w:before="0" w:beforeAutospacing="0" w:after="0" w:afterAutospacing="0" w:line="276" w:lineRule="auto"/>
                    <w:ind w:left="0" w:right="0"/>
                    <w:jc w:val="center"/>
                    <w:rPr>
                      <w:rFonts w:hint="eastAsia" w:ascii="Times New Roman" w:hAnsi="Times New Roman" w:eastAsia="宋体" w:cs="Times New Roman"/>
                      <w:snapToGrid w:val="0"/>
                      <w:sz w:val="21"/>
                      <w:szCs w:val="21"/>
                      <w:highlight w:val="none"/>
                      <w:lang w:val="en-US" w:eastAsia="zh-CN"/>
                    </w:rPr>
                  </w:pPr>
                </w:p>
              </w:tc>
              <w:tc>
                <w:tcPr>
                  <w:tcW w:w="710" w:type="pct"/>
                  <w:vMerge w:val="continue"/>
                  <w:noWrap w:val="0"/>
                  <w:tcMar>
                    <w:left w:w="57" w:type="dxa"/>
                    <w:right w:w="57" w:type="dxa"/>
                  </w:tcMar>
                  <w:vAlign w:val="center"/>
                </w:tcPr>
                <w:p w14:paraId="2AA0DCBD">
                  <w:pPr>
                    <w:keepNext w:val="0"/>
                    <w:keepLines w:val="0"/>
                    <w:suppressLineNumbers w:val="0"/>
                    <w:overflowPunct w:val="0"/>
                    <w:adjustRightInd w:val="0"/>
                    <w:snapToGrid w:val="0"/>
                    <w:spacing w:before="0" w:beforeAutospacing="0" w:after="0" w:afterAutospacing="0" w:line="276" w:lineRule="auto"/>
                    <w:ind w:left="0" w:right="0"/>
                    <w:jc w:val="center"/>
                    <w:rPr>
                      <w:rFonts w:hint="eastAsia" w:ascii="Times New Roman" w:hAnsi="Times New Roman" w:eastAsia="宋体" w:cs="Times New Roman"/>
                      <w:snapToGrid w:val="0"/>
                      <w:sz w:val="21"/>
                      <w:szCs w:val="21"/>
                      <w:highlight w:val="none"/>
                      <w:lang w:val="en-US" w:eastAsia="zh-CN"/>
                    </w:rPr>
                  </w:pPr>
                </w:p>
              </w:tc>
              <w:tc>
                <w:tcPr>
                  <w:tcW w:w="788" w:type="pct"/>
                  <w:noWrap w:val="0"/>
                  <w:tcMar>
                    <w:left w:w="57" w:type="dxa"/>
                    <w:right w:w="57" w:type="dxa"/>
                  </w:tcMar>
                  <w:vAlign w:val="center"/>
                </w:tcPr>
                <w:p w14:paraId="52E9B9C8">
                  <w:pPr>
                    <w:keepNext w:val="0"/>
                    <w:keepLines w:val="0"/>
                    <w:suppressLineNumbers w:val="0"/>
                    <w:overflowPunct w:val="0"/>
                    <w:adjustRightInd w:val="0"/>
                    <w:snapToGrid w:val="0"/>
                    <w:spacing w:before="0" w:beforeAutospacing="0" w:after="0" w:afterAutospacing="0" w:line="276" w:lineRule="auto"/>
                    <w:ind w:left="0" w:right="0"/>
                    <w:jc w:val="center"/>
                    <w:rPr>
                      <w:rFonts w:hint="eastAsia" w:ascii="Times New Roman" w:hAnsi="Times New Roman" w:eastAsia="宋体" w:cs="Times New Roman"/>
                      <w:snapToGrid w:val="0"/>
                      <w:sz w:val="21"/>
                      <w:szCs w:val="21"/>
                      <w:highlight w:val="none"/>
                      <w:lang w:val="en-US" w:eastAsia="zh-CN"/>
                    </w:rPr>
                  </w:pPr>
                  <w:r>
                    <w:rPr>
                      <w:rFonts w:hint="default" w:ascii="Times New Roman" w:hAnsi="Times New Roman" w:eastAsia="宋体" w:cs="Times New Roman"/>
                      <w:bCs/>
                      <w:kern w:val="0"/>
                      <w:sz w:val="21"/>
                      <w:szCs w:val="21"/>
                      <w:highlight w:val="none"/>
                    </w:rPr>
                    <w:t>臭气浓度</w:t>
                  </w:r>
                </w:p>
              </w:tc>
              <w:tc>
                <w:tcPr>
                  <w:tcW w:w="1329" w:type="pct"/>
                  <w:gridSpan w:val="2"/>
                  <w:noWrap w:val="0"/>
                  <w:tcMar>
                    <w:left w:w="57" w:type="dxa"/>
                    <w:right w:w="57" w:type="dxa"/>
                  </w:tcMar>
                  <w:vAlign w:val="center"/>
                </w:tcPr>
                <w:p w14:paraId="2D91BD1E">
                  <w:pPr>
                    <w:keepNext w:val="0"/>
                    <w:keepLines w:val="0"/>
                    <w:suppressLineNumbers w:val="0"/>
                    <w:overflowPunct w:val="0"/>
                    <w:adjustRightInd w:val="0"/>
                    <w:snapToGrid w:val="0"/>
                    <w:spacing w:before="0" w:beforeAutospacing="0" w:after="0" w:afterAutospacing="0" w:line="276" w:lineRule="auto"/>
                    <w:ind w:left="0" w:right="0"/>
                    <w:jc w:val="center"/>
                    <w:rPr>
                      <w:rFonts w:hint="eastAsia" w:ascii="Times New Roman" w:hAnsi="Times New Roman" w:eastAsia="宋体" w:cs="Times New Roman"/>
                      <w:snapToGrid w:val="0"/>
                      <w:sz w:val="21"/>
                      <w:szCs w:val="21"/>
                      <w:highlight w:val="none"/>
                      <w:lang w:val="en-US" w:eastAsia="zh-CN"/>
                    </w:rPr>
                  </w:pPr>
                  <w:r>
                    <w:rPr>
                      <w:rFonts w:hint="eastAsia" w:ascii="Times New Roman" w:hAnsi="Times New Roman" w:eastAsia="宋体" w:cs="Times New Roman"/>
                      <w:bCs/>
                      <w:kern w:val="0"/>
                      <w:sz w:val="21"/>
                      <w:szCs w:val="21"/>
                      <w:highlight w:val="none"/>
                      <w:lang w:val="en-US" w:eastAsia="zh-CN"/>
                    </w:rPr>
                    <w:t>549（无量纲）</w:t>
                  </w:r>
                </w:p>
              </w:tc>
              <w:tc>
                <w:tcPr>
                  <w:tcW w:w="1182" w:type="pct"/>
                  <w:gridSpan w:val="2"/>
                  <w:noWrap w:val="0"/>
                  <w:tcMar>
                    <w:left w:w="57" w:type="dxa"/>
                    <w:right w:w="57" w:type="dxa"/>
                  </w:tcMar>
                  <w:vAlign w:val="center"/>
                </w:tcPr>
                <w:p w14:paraId="332E53B8">
                  <w:pPr>
                    <w:keepNext w:val="0"/>
                    <w:keepLines w:val="0"/>
                    <w:suppressLineNumbers w:val="0"/>
                    <w:overflowPunct w:val="0"/>
                    <w:adjustRightInd w:val="0"/>
                    <w:snapToGrid w:val="0"/>
                    <w:spacing w:before="0" w:beforeAutospacing="0" w:after="0" w:afterAutospacing="0" w:line="276" w:lineRule="auto"/>
                    <w:ind w:left="0" w:right="0"/>
                    <w:jc w:val="center"/>
                    <w:rPr>
                      <w:rFonts w:hint="eastAsia" w:ascii="Times New Roman" w:hAnsi="Times New Roman" w:eastAsia="宋体" w:cs="Times New Roman"/>
                      <w:snapToGrid w:val="0"/>
                      <w:sz w:val="21"/>
                      <w:szCs w:val="21"/>
                      <w:highlight w:val="none"/>
                      <w:lang w:val="en-US" w:eastAsia="zh-CN"/>
                    </w:rPr>
                  </w:pPr>
                  <w:r>
                    <w:rPr>
                      <w:rFonts w:hint="eastAsia" w:ascii="Times New Roman" w:hAnsi="Times New Roman" w:eastAsia="宋体" w:cs="Times New Roman"/>
                      <w:sz w:val="21"/>
                      <w:szCs w:val="21"/>
                      <w:highlight w:val="none"/>
                      <w:lang w:val="en-US" w:eastAsia="zh-CN"/>
                    </w:rPr>
                    <w:t>15</w:t>
                  </w:r>
                  <w:r>
                    <w:rPr>
                      <w:rFonts w:hint="eastAsia" w:ascii="Times New Roman" w:hAnsi="Times New Roman" w:eastAsia="宋体" w:cs="Times New Roman"/>
                      <w:sz w:val="21"/>
                      <w:szCs w:val="21"/>
                      <w:highlight w:val="none"/>
                    </w:rPr>
                    <w:t>000（无量纲）</w:t>
                  </w:r>
                </w:p>
              </w:tc>
              <w:tc>
                <w:tcPr>
                  <w:tcW w:w="441" w:type="pct"/>
                  <w:noWrap w:val="0"/>
                  <w:tcMar>
                    <w:left w:w="57" w:type="dxa"/>
                    <w:right w:w="57" w:type="dxa"/>
                  </w:tcMar>
                  <w:vAlign w:val="center"/>
                </w:tcPr>
                <w:p w14:paraId="435842D9">
                  <w:pPr>
                    <w:keepNext w:val="0"/>
                    <w:keepLines w:val="0"/>
                    <w:suppressLineNumbers w:val="0"/>
                    <w:overflowPunct w:val="0"/>
                    <w:adjustRightInd w:val="0"/>
                    <w:snapToGrid w:val="0"/>
                    <w:spacing w:before="0" w:beforeAutospacing="0" w:after="0" w:afterAutospacing="0" w:line="276" w:lineRule="auto"/>
                    <w:ind w:left="0" w:right="0"/>
                    <w:jc w:val="center"/>
                    <w:rPr>
                      <w:rFonts w:hint="eastAsia" w:ascii="Times New Roman" w:hAnsi="Times New Roman" w:eastAsia="宋体" w:cs="Times New Roman"/>
                      <w:snapToGrid w:val="0"/>
                      <w:sz w:val="21"/>
                      <w:szCs w:val="21"/>
                      <w:highlight w:val="none"/>
                      <w:lang w:val="en-US" w:eastAsia="zh-CN"/>
                    </w:rPr>
                  </w:pPr>
                  <w:r>
                    <w:rPr>
                      <w:rFonts w:hint="eastAsia" w:ascii="Times New Roman" w:hAnsi="Times New Roman" w:eastAsia="宋体" w:cs="Times New Roman"/>
                      <w:kern w:val="0"/>
                      <w:sz w:val="21"/>
                      <w:szCs w:val="21"/>
                      <w:highlight w:val="none"/>
                    </w:rPr>
                    <w:t>达标</w:t>
                  </w:r>
                </w:p>
              </w:tc>
            </w:tr>
            <w:tr w14:paraId="48856B9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1" w:hRule="atLeast"/>
                <w:jc w:val="center"/>
              </w:trPr>
              <w:tc>
                <w:tcPr>
                  <w:tcW w:w="547" w:type="pct"/>
                  <w:vMerge w:val="continue"/>
                  <w:noWrap w:val="0"/>
                  <w:tcMar>
                    <w:left w:w="57" w:type="dxa"/>
                    <w:right w:w="57" w:type="dxa"/>
                  </w:tcMar>
                  <w:vAlign w:val="center"/>
                </w:tcPr>
                <w:p w14:paraId="44632B4E">
                  <w:pPr>
                    <w:keepNext w:val="0"/>
                    <w:keepLines w:val="0"/>
                    <w:suppressLineNumbers w:val="0"/>
                    <w:overflowPunct w:val="0"/>
                    <w:adjustRightInd w:val="0"/>
                    <w:snapToGrid w:val="0"/>
                    <w:spacing w:before="0" w:beforeAutospacing="0" w:after="0" w:afterAutospacing="0" w:line="276" w:lineRule="auto"/>
                    <w:ind w:left="0" w:right="0"/>
                    <w:jc w:val="center"/>
                    <w:rPr>
                      <w:rFonts w:hint="eastAsia" w:ascii="Times New Roman" w:hAnsi="Times New Roman" w:eastAsia="宋体" w:cs="Times New Roman"/>
                      <w:snapToGrid w:val="0"/>
                      <w:sz w:val="21"/>
                      <w:szCs w:val="21"/>
                      <w:highlight w:val="none"/>
                      <w:lang w:val="en-US" w:eastAsia="zh-CN"/>
                    </w:rPr>
                  </w:pPr>
                </w:p>
              </w:tc>
              <w:tc>
                <w:tcPr>
                  <w:tcW w:w="710" w:type="pct"/>
                  <w:vMerge w:val="continue"/>
                  <w:noWrap w:val="0"/>
                  <w:tcMar>
                    <w:left w:w="57" w:type="dxa"/>
                    <w:right w:w="57" w:type="dxa"/>
                  </w:tcMar>
                  <w:vAlign w:val="center"/>
                </w:tcPr>
                <w:p w14:paraId="30ABC769">
                  <w:pPr>
                    <w:keepNext w:val="0"/>
                    <w:keepLines w:val="0"/>
                    <w:suppressLineNumbers w:val="0"/>
                    <w:overflowPunct w:val="0"/>
                    <w:adjustRightInd w:val="0"/>
                    <w:snapToGrid w:val="0"/>
                    <w:spacing w:before="0" w:beforeAutospacing="0" w:after="0" w:afterAutospacing="0" w:line="276" w:lineRule="auto"/>
                    <w:ind w:left="0" w:right="0"/>
                    <w:jc w:val="center"/>
                    <w:rPr>
                      <w:rFonts w:hint="eastAsia" w:ascii="Times New Roman" w:hAnsi="Times New Roman" w:eastAsia="宋体" w:cs="Times New Roman"/>
                      <w:snapToGrid w:val="0"/>
                      <w:sz w:val="21"/>
                      <w:szCs w:val="21"/>
                      <w:highlight w:val="none"/>
                      <w:lang w:val="en-US" w:eastAsia="zh-CN"/>
                    </w:rPr>
                  </w:pPr>
                </w:p>
              </w:tc>
              <w:tc>
                <w:tcPr>
                  <w:tcW w:w="788" w:type="pct"/>
                  <w:shd w:val="clear" w:color="auto" w:fill="auto"/>
                  <w:noWrap w:val="0"/>
                  <w:tcMar>
                    <w:left w:w="57" w:type="dxa"/>
                    <w:right w:w="57" w:type="dxa"/>
                  </w:tcMar>
                  <w:vAlign w:val="center"/>
                </w:tcPr>
                <w:p w14:paraId="3DEDF573">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64" w:lineRule="auto"/>
                    <w:ind w:left="0" w:leftChars="0" w:right="0" w:rightChars="0"/>
                    <w:jc w:val="center"/>
                    <w:textAlignment w:val="auto"/>
                    <w:rPr>
                      <w:rFonts w:hint="default" w:ascii="Times New Roman" w:hAnsi="Times New Roman" w:eastAsia="宋体" w:cs="Times New Roman"/>
                      <w:bCs/>
                      <w:kern w:val="0"/>
                      <w:sz w:val="21"/>
                      <w:szCs w:val="21"/>
                      <w:highlight w:val="none"/>
                      <w:lang w:val="en-US" w:eastAsia="zh-CN" w:bidi="ar-SA"/>
                    </w:rPr>
                  </w:pPr>
                  <w:r>
                    <w:rPr>
                      <w:rFonts w:hint="eastAsia" w:cs="Times New Roman"/>
                      <w:bCs/>
                      <w:kern w:val="0"/>
                      <w:sz w:val="21"/>
                      <w:szCs w:val="21"/>
                      <w:highlight w:val="none"/>
                      <w:lang w:val="en-US" w:eastAsia="zh-CN"/>
                    </w:rPr>
                    <w:t>颗粒物</w:t>
                  </w:r>
                </w:p>
              </w:tc>
              <w:tc>
                <w:tcPr>
                  <w:tcW w:w="1329" w:type="pct"/>
                  <w:gridSpan w:val="2"/>
                  <w:shd w:val="clear" w:color="auto" w:fill="auto"/>
                  <w:noWrap w:val="0"/>
                  <w:tcMar>
                    <w:left w:w="57" w:type="dxa"/>
                    <w:right w:w="57" w:type="dxa"/>
                  </w:tcMar>
                  <w:vAlign w:val="center"/>
                </w:tcPr>
                <w:p w14:paraId="2371CDAC">
                  <w:pPr>
                    <w:keepNext w:val="0"/>
                    <w:keepLines w:val="0"/>
                    <w:suppressLineNumbers w:val="0"/>
                    <w:overflowPunct w:val="0"/>
                    <w:adjustRightInd w:val="0"/>
                    <w:snapToGrid w:val="0"/>
                    <w:spacing w:before="0" w:beforeAutospacing="0" w:after="0" w:afterAutospacing="0" w:line="276" w:lineRule="auto"/>
                    <w:ind w:left="0" w:leftChars="0" w:right="0" w:rightChars="0"/>
                    <w:jc w:val="center"/>
                    <w:rPr>
                      <w:rFonts w:hint="eastAsia" w:ascii="Times New Roman" w:hAnsi="Times New Roman" w:eastAsia="宋体" w:cs="Times New Roman"/>
                      <w:bCs/>
                      <w:kern w:val="0"/>
                      <w:sz w:val="21"/>
                      <w:szCs w:val="21"/>
                      <w:highlight w:val="none"/>
                      <w:lang w:val="en-US" w:eastAsia="zh-CN" w:bidi="ar-SA"/>
                    </w:rPr>
                  </w:pPr>
                  <w:r>
                    <w:rPr>
                      <w:rFonts w:hint="eastAsia" w:cs="Times New Roman"/>
                      <w:bCs/>
                      <w:kern w:val="0"/>
                      <w:sz w:val="21"/>
                      <w:szCs w:val="21"/>
                      <w:highlight w:val="none"/>
                      <w:lang w:val="en-US" w:eastAsia="zh-CN"/>
                    </w:rPr>
                    <w:t>少量</w:t>
                  </w:r>
                </w:p>
              </w:tc>
              <w:tc>
                <w:tcPr>
                  <w:tcW w:w="513" w:type="pct"/>
                  <w:shd w:val="clear" w:color="auto" w:fill="auto"/>
                  <w:noWrap w:val="0"/>
                  <w:tcMar>
                    <w:left w:w="57" w:type="dxa"/>
                    <w:right w:w="57" w:type="dxa"/>
                  </w:tcMar>
                  <w:vAlign w:val="center"/>
                </w:tcPr>
                <w:p w14:paraId="3DBF272D">
                  <w:pPr>
                    <w:keepNext w:val="0"/>
                    <w:keepLines w:val="0"/>
                    <w:suppressLineNumbers w:val="0"/>
                    <w:overflowPunct w:val="0"/>
                    <w:adjustRightInd w:val="0"/>
                    <w:snapToGrid w:val="0"/>
                    <w:spacing w:before="0" w:beforeAutospacing="0" w:after="0" w:afterAutospacing="0" w:line="276" w:lineRule="auto"/>
                    <w:ind w:left="0" w:leftChars="0" w:right="0" w:rightChars="0"/>
                    <w:jc w:val="center"/>
                    <w:rPr>
                      <w:rFonts w:hint="eastAsia" w:ascii="Times New Roman" w:hAnsi="Times New Roman" w:eastAsia="宋体" w:cs="Times New Roman"/>
                      <w:kern w:val="2"/>
                      <w:sz w:val="21"/>
                      <w:szCs w:val="21"/>
                      <w:highlight w:val="none"/>
                      <w:lang w:val="en-US" w:eastAsia="zh-CN" w:bidi="ar-SA"/>
                    </w:rPr>
                  </w:pPr>
                  <w:r>
                    <w:rPr>
                      <w:rFonts w:hint="eastAsia" w:cs="Times New Roman"/>
                      <w:sz w:val="21"/>
                      <w:szCs w:val="21"/>
                      <w:highlight w:val="none"/>
                      <w:lang w:val="en-US" w:eastAsia="zh-CN"/>
                    </w:rPr>
                    <w:t>11.5</w:t>
                  </w:r>
                </w:p>
              </w:tc>
              <w:tc>
                <w:tcPr>
                  <w:tcW w:w="669" w:type="pct"/>
                  <w:shd w:val="clear" w:color="auto" w:fill="auto"/>
                  <w:noWrap w:val="0"/>
                  <w:tcMar>
                    <w:left w:w="57" w:type="dxa"/>
                    <w:right w:w="57" w:type="dxa"/>
                  </w:tcMar>
                  <w:vAlign w:val="center"/>
                </w:tcPr>
                <w:p w14:paraId="48610980">
                  <w:pPr>
                    <w:keepNext w:val="0"/>
                    <w:keepLines w:val="0"/>
                    <w:suppressLineNumbers w:val="0"/>
                    <w:overflowPunct w:val="0"/>
                    <w:adjustRightInd w:val="0"/>
                    <w:snapToGrid w:val="0"/>
                    <w:spacing w:before="0" w:beforeAutospacing="0" w:after="0" w:afterAutospacing="0" w:line="276" w:lineRule="auto"/>
                    <w:ind w:left="0" w:leftChars="0" w:right="0" w:rightChars="0"/>
                    <w:jc w:val="center"/>
                    <w:rPr>
                      <w:rFonts w:hint="eastAsia" w:ascii="Times New Roman" w:hAnsi="Times New Roman" w:eastAsia="宋体" w:cs="Times New Roman"/>
                      <w:kern w:val="2"/>
                      <w:sz w:val="21"/>
                      <w:szCs w:val="21"/>
                      <w:highlight w:val="none"/>
                      <w:lang w:val="en-US" w:eastAsia="zh-CN" w:bidi="ar-SA"/>
                    </w:rPr>
                  </w:pPr>
                  <w:r>
                    <w:rPr>
                      <w:rFonts w:hint="eastAsia" w:cs="Times New Roman"/>
                      <w:sz w:val="21"/>
                      <w:szCs w:val="21"/>
                      <w:highlight w:val="none"/>
                      <w:lang w:val="en-US" w:eastAsia="zh-CN"/>
                    </w:rPr>
                    <w:t>120</w:t>
                  </w:r>
                </w:p>
              </w:tc>
              <w:tc>
                <w:tcPr>
                  <w:tcW w:w="441" w:type="pct"/>
                  <w:noWrap w:val="0"/>
                  <w:tcMar>
                    <w:left w:w="57" w:type="dxa"/>
                    <w:right w:w="57" w:type="dxa"/>
                  </w:tcMar>
                  <w:vAlign w:val="center"/>
                </w:tcPr>
                <w:p w14:paraId="35DD4731">
                  <w:pPr>
                    <w:keepNext w:val="0"/>
                    <w:keepLines w:val="0"/>
                    <w:suppressLineNumbers w:val="0"/>
                    <w:overflowPunct w:val="0"/>
                    <w:adjustRightInd w:val="0"/>
                    <w:snapToGrid w:val="0"/>
                    <w:spacing w:before="0" w:beforeAutospacing="0" w:after="0" w:afterAutospacing="0" w:line="276" w:lineRule="auto"/>
                    <w:ind w:left="0" w:right="0"/>
                    <w:jc w:val="center"/>
                    <w:rPr>
                      <w:rFonts w:hint="eastAsia" w:ascii="Times New Roman" w:hAnsi="Times New Roman" w:eastAsia="宋体" w:cs="Times New Roman"/>
                      <w:kern w:val="0"/>
                      <w:sz w:val="21"/>
                      <w:szCs w:val="21"/>
                      <w:highlight w:val="none"/>
                    </w:rPr>
                  </w:pPr>
                  <w:r>
                    <w:rPr>
                      <w:rFonts w:hint="eastAsia" w:ascii="Times New Roman" w:hAnsi="Times New Roman" w:eastAsia="宋体" w:cs="Times New Roman"/>
                      <w:kern w:val="0"/>
                      <w:sz w:val="21"/>
                      <w:szCs w:val="21"/>
                      <w:highlight w:val="none"/>
                    </w:rPr>
                    <w:t>达标</w:t>
                  </w:r>
                </w:p>
              </w:tc>
            </w:tr>
            <w:tr w14:paraId="61C88DB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1" w:hRule="atLeast"/>
                <w:jc w:val="center"/>
              </w:trPr>
              <w:tc>
                <w:tcPr>
                  <w:tcW w:w="547" w:type="pct"/>
                  <w:vMerge w:val="restart"/>
                  <w:noWrap w:val="0"/>
                  <w:tcMar>
                    <w:left w:w="57" w:type="dxa"/>
                    <w:right w:w="57" w:type="dxa"/>
                  </w:tcMar>
                  <w:vAlign w:val="center"/>
                </w:tcPr>
                <w:p w14:paraId="1908C8A9">
                  <w:pPr>
                    <w:keepNext w:val="0"/>
                    <w:keepLines w:val="0"/>
                    <w:widowControl/>
                    <w:suppressLineNumbers w:val="0"/>
                    <w:adjustRightInd w:val="0"/>
                    <w:snapToGrid w:val="0"/>
                    <w:spacing w:before="0" w:beforeAutospacing="0" w:after="0" w:afterAutospacing="0" w:line="276" w:lineRule="auto"/>
                    <w:ind w:left="0" w:right="0"/>
                    <w:jc w:val="center"/>
                    <w:rPr>
                      <w:rFonts w:hint="default" w:ascii="Times New Roman" w:hAnsi="Times New Roman" w:eastAsia="宋体" w:cs="Times New Roman"/>
                      <w:snapToGrid w:val="0"/>
                      <w:sz w:val="21"/>
                      <w:szCs w:val="21"/>
                      <w:highlight w:val="none"/>
                      <w:lang w:val="en-US"/>
                    </w:rPr>
                  </w:pPr>
                  <w:r>
                    <w:rPr>
                      <w:rFonts w:hint="default" w:ascii="Times New Roman" w:hAnsi="Times New Roman" w:eastAsia="宋体" w:cs="Times New Roman"/>
                      <w:snapToGrid w:val="0"/>
                      <w:sz w:val="21"/>
                      <w:szCs w:val="21"/>
                      <w:highlight w:val="none"/>
                    </w:rPr>
                    <w:t>DA0</w:t>
                  </w:r>
                  <w:r>
                    <w:rPr>
                      <w:rFonts w:hint="eastAsia" w:ascii="Times New Roman" w:hAnsi="Times New Roman" w:eastAsia="宋体" w:cs="Times New Roman"/>
                      <w:snapToGrid w:val="0"/>
                      <w:sz w:val="21"/>
                      <w:szCs w:val="21"/>
                      <w:highlight w:val="none"/>
                      <w:lang w:val="en-US" w:eastAsia="zh-CN"/>
                    </w:rPr>
                    <w:t>05</w:t>
                  </w:r>
                </w:p>
              </w:tc>
              <w:tc>
                <w:tcPr>
                  <w:tcW w:w="710" w:type="pct"/>
                  <w:vMerge w:val="restart"/>
                  <w:noWrap w:val="0"/>
                  <w:tcMar>
                    <w:left w:w="57" w:type="dxa"/>
                    <w:right w:w="57" w:type="dxa"/>
                  </w:tcMar>
                  <w:vAlign w:val="center"/>
                </w:tcPr>
                <w:p w14:paraId="4C9C58FA">
                  <w:pPr>
                    <w:keepNext w:val="0"/>
                    <w:keepLines w:val="0"/>
                    <w:widowControl/>
                    <w:suppressLineNumbers w:val="0"/>
                    <w:adjustRightInd w:val="0"/>
                    <w:snapToGrid w:val="0"/>
                    <w:spacing w:before="0" w:beforeAutospacing="0" w:after="0" w:afterAutospacing="0" w:line="276" w:lineRule="auto"/>
                    <w:ind w:left="0" w:right="0"/>
                    <w:jc w:val="center"/>
                    <w:rPr>
                      <w:rFonts w:hint="eastAsia" w:ascii="Times New Roman" w:hAnsi="Times New Roman" w:eastAsia="宋体" w:cs="Times New Roman"/>
                      <w:snapToGrid w:val="0"/>
                      <w:sz w:val="21"/>
                      <w:szCs w:val="21"/>
                      <w:highlight w:val="none"/>
                      <w:lang w:val="en-US" w:eastAsia="zh-CN"/>
                    </w:rPr>
                  </w:pPr>
                  <w:r>
                    <w:rPr>
                      <w:rFonts w:hint="eastAsia" w:ascii="Times New Roman" w:hAnsi="Times New Roman" w:eastAsia="宋体" w:cs="Times New Roman"/>
                      <w:snapToGrid w:val="0"/>
                      <w:sz w:val="21"/>
                      <w:szCs w:val="21"/>
                      <w:highlight w:val="none"/>
                      <w:lang w:val="en-US" w:eastAsia="zh-CN"/>
                    </w:rPr>
                    <w:t>5#</w:t>
                  </w:r>
                  <w:r>
                    <w:rPr>
                      <w:rFonts w:hint="default" w:ascii="Times New Roman" w:hAnsi="Times New Roman" w:eastAsia="宋体" w:cs="Times New Roman"/>
                      <w:snapToGrid w:val="0"/>
                      <w:sz w:val="21"/>
                      <w:szCs w:val="21"/>
                      <w:highlight w:val="none"/>
                    </w:rPr>
                    <w:t>排放口</w:t>
                  </w:r>
                </w:p>
              </w:tc>
              <w:tc>
                <w:tcPr>
                  <w:tcW w:w="788" w:type="pct"/>
                  <w:shd w:val="clear" w:color="auto" w:fill="auto"/>
                  <w:noWrap w:val="0"/>
                  <w:tcMar>
                    <w:left w:w="57" w:type="dxa"/>
                    <w:right w:w="57" w:type="dxa"/>
                  </w:tcMar>
                  <w:vAlign w:val="center"/>
                </w:tcPr>
                <w:p w14:paraId="5FE7457A">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64" w:lineRule="auto"/>
                    <w:ind w:left="0" w:right="0"/>
                    <w:jc w:val="center"/>
                    <w:textAlignment w:val="auto"/>
                    <w:rPr>
                      <w:rFonts w:hint="eastAsia" w:ascii="Times New Roman" w:hAnsi="Times New Roman" w:eastAsia="宋体" w:cs="Times New Roman"/>
                      <w:bCs/>
                      <w:kern w:val="0"/>
                      <w:sz w:val="21"/>
                      <w:szCs w:val="21"/>
                      <w:highlight w:val="none"/>
                      <w:lang w:val="en-US" w:eastAsia="zh-CN" w:bidi="ar-SA"/>
                    </w:rPr>
                  </w:pPr>
                  <w:r>
                    <w:rPr>
                      <w:rFonts w:hint="default" w:ascii="Times New Roman" w:hAnsi="Times New Roman" w:eastAsia="宋体" w:cs="Times New Roman"/>
                      <w:bCs/>
                      <w:kern w:val="0"/>
                      <w:sz w:val="21"/>
                      <w:szCs w:val="21"/>
                      <w:highlight w:val="none"/>
                    </w:rPr>
                    <w:t>氨</w:t>
                  </w:r>
                </w:p>
              </w:tc>
              <w:tc>
                <w:tcPr>
                  <w:tcW w:w="687" w:type="pct"/>
                  <w:shd w:val="clear" w:color="auto" w:fill="auto"/>
                  <w:noWrap w:val="0"/>
                  <w:tcMar>
                    <w:left w:w="57" w:type="dxa"/>
                    <w:right w:w="57" w:type="dxa"/>
                  </w:tcMar>
                  <w:vAlign w:val="center"/>
                </w:tcPr>
                <w:p w14:paraId="31162BE6">
                  <w:pPr>
                    <w:keepNext w:val="0"/>
                    <w:keepLines w:val="0"/>
                    <w:widowControl/>
                    <w:suppressLineNumbers w:val="0"/>
                    <w:spacing w:before="0" w:beforeAutospacing="0" w:after="0" w:afterAutospacing="0"/>
                    <w:ind w:left="0" w:right="0"/>
                    <w:jc w:val="center"/>
                    <w:textAlignment w:val="center"/>
                    <w:rPr>
                      <w:rFonts w:hint="eastAsia" w:ascii="Times New Roman" w:hAnsi="Times New Roman" w:eastAsia="宋体" w:cs="Times New Roman"/>
                      <w:bCs/>
                      <w:kern w:val="0"/>
                      <w:sz w:val="21"/>
                      <w:szCs w:val="21"/>
                      <w:highlight w:val="none"/>
                      <w:lang w:val="en-US" w:eastAsia="zh-CN" w:bidi="ar-SA"/>
                    </w:rPr>
                  </w:pPr>
                  <w:r>
                    <w:rPr>
                      <w:rFonts w:hint="eastAsia" w:ascii="Times New Roman" w:hAnsi="Times New Roman" w:eastAsia="宋体" w:cs="Times New Roman"/>
                      <w:i w:val="0"/>
                      <w:iCs w:val="0"/>
                      <w:color w:val="000000"/>
                      <w:kern w:val="0"/>
                      <w:sz w:val="21"/>
                      <w:szCs w:val="21"/>
                      <w:highlight w:val="none"/>
                      <w:u w:val="none"/>
                      <w:lang w:val="en-US" w:eastAsia="zh-CN" w:bidi="ar"/>
                    </w:rPr>
                    <w:t>~</w:t>
                  </w:r>
                  <w:r>
                    <w:rPr>
                      <w:rFonts w:hint="default" w:ascii="Times New Roman" w:hAnsi="Times New Roman" w:eastAsia="宋体" w:cs="Times New Roman"/>
                      <w:i w:val="0"/>
                      <w:iCs w:val="0"/>
                      <w:color w:val="000000"/>
                      <w:kern w:val="0"/>
                      <w:sz w:val="21"/>
                      <w:szCs w:val="21"/>
                      <w:highlight w:val="none"/>
                      <w:u w:val="none"/>
                      <w:lang w:val="en-US" w:eastAsia="zh-CN" w:bidi="ar"/>
                    </w:rPr>
                    <w:t>0</w:t>
                  </w:r>
                </w:p>
              </w:tc>
              <w:tc>
                <w:tcPr>
                  <w:tcW w:w="641" w:type="pct"/>
                  <w:shd w:val="clear" w:color="auto" w:fill="auto"/>
                  <w:noWrap w:val="0"/>
                  <w:tcMar>
                    <w:left w:w="57" w:type="dxa"/>
                    <w:right w:w="57" w:type="dxa"/>
                  </w:tcMar>
                  <w:vAlign w:val="center"/>
                </w:tcPr>
                <w:p w14:paraId="503B5933">
                  <w:pPr>
                    <w:keepNext w:val="0"/>
                    <w:keepLines w:val="0"/>
                    <w:widowControl/>
                    <w:suppressLineNumbers w:val="0"/>
                    <w:spacing w:before="0" w:beforeAutospacing="0" w:after="0" w:afterAutospacing="0"/>
                    <w:ind w:left="0" w:right="0"/>
                    <w:jc w:val="center"/>
                    <w:textAlignment w:val="center"/>
                    <w:rPr>
                      <w:rFonts w:hint="eastAsia" w:ascii="Times New Roman" w:hAnsi="Times New Roman" w:eastAsia="宋体" w:cs="Times New Roman"/>
                      <w:bCs/>
                      <w:kern w:val="0"/>
                      <w:sz w:val="21"/>
                      <w:szCs w:val="21"/>
                      <w:highlight w:val="none"/>
                      <w:lang w:val="en-US" w:eastAsia="zh-CN" w:bidi="ar-SA"/>
                    </w:rPr>
                  </w:pPr>
                  <w:r>
                    <w:rPr>
                      <w:rFonts w:hint="eastAsia" w:ascii="Times New Roman" w:hAnsi="Times New Roman" w:eastAsia="宋体" w:cs="Times New Roman"/>
                      <w:i w:val="0"/>
                      <w:iCs w:val="0"/>
                      <w:color w:val="000000"/>
                      <w:kern w:val="0"/>
                      <w:sz w:val="21"/>
                      <w:szCs w:val="21"/>
                      <w:highlight w:val="none"/>
                      <w:u w:val="none"/>
                      <w:lang w:val="en-US" w:eastAsia="zh-CN" w:bidi="ar"/>
                    </w:rPr>
                    <w:t>~</w:t>
                  </w:r>
                  <w:r>
                    <w:rPr>
                      <w:rFonts w:hint="default" w:ascii="Times New Roman" w:hAnsi="Times New Roman" w:eastAsia="宋体" w:cs="Times New Roman"/>
                      <w:i w:val="0"/>
                      <w:iCs w:val="0"/>
                      <w:color w:val="000000"/>
                      <w:kern w:val="0"/>
                      <w:sz w:val="21"/>
                      <w:szCs w:val="21"/>
                      <w:highlight w:val="none"/>
                      <w:u w:val="none"/>
                      <w:lang w:val="en-US" w:eastAsia="zh-CN" w:bidi="ar"/>
                    </w:rPr>
                    <w:t>0</w:t>
                  </w:r>
                </w:p>
              </w:tc>
              <w:tc>
                <w:tcPr>
                  <w:tcW w:w="513" w:type="pct"/>
                  <w:noWrap w:val="0"/>
                  <w:tcMar>
                    <w:left w:w="57" w:type="dxa"/>
                    <w:right w:w="57" w:type="dxa"/>
                  </w:tcMar>
                  <w:vAlign w:val="center"/>
                </w:tcPr>
                <w:p w14:paraId="65B79987">
                  <w:pPr>
                    <w:keepNext w:val="0"/>
                    <w:keepLines w:val="0"/>
                    <w:suppressLineNumbers w:val="0"/>
                    <w:overflowPunct w:val="0"/>
                    <w:adjustRightInd w:val="0"/>
                    <w:snapToGrid w:val="0"/>
                    <w:spacing w:before="0" w:beforeAutospacing="0" w:after="0" w:afterAutospacing="0" w:line="276" w:lineRule="auto"/>
                    <w:ind w:left="0" w:right="0"/>
                    <w:jc w:val="center"/>
                    <w:rPr>
                      <w:rFonts w:hint="eastAsia" w:ascii="Times New Roman" w:hAnsi="Times New Roman" w:eastAsia="宋体" w:cs="Times New Roman"/>
                      <w:kern w:val="0"/>
                      <w:sz w:val="21"/>
                      <w:szCs w:val="21"/>
                      <w:highlight w:val="none"/>
                      <w:lang w:val="en-US" w:eastAsia="zh-CN" w:bidi="ar-SA"/>
                    </w:rPr>
                  </w:pPr>
                  <w:r>
                    <w:rPr>
                      <w:rFonts w:hint="eastAsia" w:ascii="Times New Roman" w:hAnsi="Times New Roman" w:eastAsia="宋体" w:cs="Times New Roman"/>
                      <w:kern w:val="0"/>
                      <w:sz w:val="21"/>
                      <w:szCs w:val="21"/>
                      <w:highlight w:val="none"/>
                      <w:lang w:val="en-US" w:eastAsia="zh-CN"/>
                    </w:rPr>
                    <w:t>20</w:t>
                  </w:r>
                </w:p>
              </w:tc>
              <w:tc>
                <w:tcPr>
                  <w:tcW w:w="669" w:type="pct"/>
                  <w:noWrap w:val="0"/>
                  <w:tcMar>
                    <w:left w:w="57" w:type="dxa"/>
                    <w:right w:w="57" w:type="dxa"/>
                  </w:tcMar>
                  <w:vAlign w:val="center"/>
                </w:tcPr>
                <w:p w14:paraId="44761039">
                  <w:pPr>
                    <w:keepNext w:val="0"/>
                    <w:keepLines w:val="0"/>
                    <w:suppressLineNumbers w:val="0"/>
                    <w:adjustRightInd w:val="0"/>
                    <w:snapToGrid w:val="0"/>
                    <w:spacing w:before="0" w:beforeAutospacing="0" w:after="0" w:afterAutospacing="0" w:line="276" w:lineRule="auto"/>
                    <w:ind w:left="0" w:right="0"/>
                    <w:jc w:val="center"/>
                    <w:rPr>
                      <w:rFonts w:hint="eastAsia" w:ascii="Times New Roman" w:hAnsi="Times New Roman" w:eastAsia="宋体" w:cs="Times New Roman"/>
                      <w:kern w:val="2"/>
                      <w:sz w:val="21"/>
                      <w:szCs w:val="21"/>
                      <w:highlight w:val="none"/>
                      <w:lang w:val="en-US" w:eastAsia="zh-CN" w:bidi="ar-SA"/>
                    </w:rPr>
                  </w:pPr>
                  <w:r>
                    <w:rPr>
                      <w:rFonts w:hint="eastAsia" w:ascii="Times New Roman" w:hAnsi="Times New Roman" w:eastAsia="宋体" w:cs="Times New Roman"/>
                      <w:sz w:val="21"/>
                      <w:szCs w:val="21"/>
                      <w:highlight w:val="none"/>
                      <w:lang w:val="en-US" w:eastAsia="zh-CN"/>
                    </w:rPr>
                    <w:t>/</w:t>
                  </w:r>
                </w:p>
              </w:tc>
              <w:tc>
                <w:tcPr>
                  <w:tcW w:w="441" w:type="pct"/>
                  <w:noWrap w:val="0"/>
                  <w:tcMar>
                    <w:left w:w="57" w:type="dxa"/>
                    <w:right w:w="57" w:type="dxa"/>
                  </w:tcMar>
                  <w:vAlign w:val="center"/>
                </w:tcPr>
                <w:p w14:paraId="408AAE9A">
                  <w:pPr>
                    <w:keepNext w:val="0"/>
                    <w:keepLines w:val="0"/>
                    <w:suppressLineNumbers w:val="0"/>
                    <w:overflowPunct w:val="0"/>
                    <w:adjustRightInd w:val="0"/>
                    <w:snapToGrid w:val="0"/>
                    <w:spacing w:before="0" w:beforeAutospacing="0" w:after="0" w:afterAutospacing="0" w:line="276" w:lineRule="auto"/>
                    <w:ind w:left="0" w:right="0"/>
                    <w:jc w:val="center"/>
                    <w:rPr>
                      <w:rFonts w:hint="eastAsia" w:ascii="Times New Roman" w:hAnsi="Times New Roman" w:eastAsia="宋体" w:cs="Times New Roman"/>
                      <w:kern w:val="0"/>
                      <w:sz w:val="21"/>
                      <w:szCs w:val="21"/>
                      <w:highlight w:val="none"/>
                    </w:rPr>
                  </w:pPr>
                  <w:r>
                    <w:rPr>
                      <w:rFonts w:hint="eastAsia" w:ascii="Times New Roman" w:hAnsi="Times New Roman" w:eastAsia="宋体" w:cs="Times New Roman"/>
                      <w:kern w:val="0"/>
                      <w:sz w:val="21"/>
                      <w:szCs w:val="21"/>
                      <w:highlight w:val="none"/>
                    </w:rPr>
                    <w:t>达标</w:t>
                  </w:r>
                </w:p>
              </w:tc>
            </w:tr>
            <w:tr w14:paraId="129F2FE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1" w:hRule="atLeast"/>
                <w:jc w:val="center"/>
              </w:trPr>
              <w:tc>
                <w:tcPr>
                  <w:tcW w:w="547" w:type="pct"/>
                  <w:vMerge w:val="continue"/>
                  <w:noWrap w:val="0"/>
                  <w:tcMar>
                    <w:left w:w="57" w:type="dxa"/>
                    <w:right w:w="57" w:type="dxa"/>
                  </w:tcMar>
                  <w:vAlign w:val="center"/>
                </w:tcPr>
                <w:p w14:paraId="5CDC5F89">
                  <w:pPr>
                    <w:keepNext w:val="0"/>
                    <w:keepLines w:val="0"/>
                    <w:suppressLineNumbers w:val="0"/>
                    <w:overflowPunct w:val="0"/>
                    <w:adjustRightInd w:val="0"/>
                    <w:snapToGrid w:val="0"/>
                    <w:spacing w:before="0" w:beforeAutospacing="0" w:after="0" w:afterAutospacing="0" w:line="276" w:lineRule="auto"/>
                    <w:ind w:left="0" w:right="0"/>
                    <w:jc w:val="center"/>
                    <w:rPr>
                      <w:rFonts w:hint="default" w:ascii="Times New Roman" w:hAnsi="Times New Roman" w:eastAsia="宋体" w:cs="Times New Roman"/>
                      <w:sz w:val="21"/>
                      <w:szCs w:val="21"/>
                      <w:highlight w:val="none"/>
                    </w:rPr>
                  </w:pPr>
                </w:p>
              </w:tc>
              <w:tc>
                <w:tcPr>
                  <w:tcW w:w="710" w:type="pct"/>
                  <w:vMerge w:val="continue"/>
                  <w:noWrap w:val="0"/>
                  <w:tcMar>
                    <w:left w:w="57" w:type="dxa"/>
                    <w:right w:w="57" w:type="dxa"/>
                  </w:tcMar>
                  <w:vAlign w:val="center"/>
                </w:tcPr>
                <w:p w14:paraId="095A77EB">
                  <w:pPr>
                    <w:keepNext w:val="0"/>
                    <w:keepLines w:val="0"/>
                    <w:suppressLineNumbers w:val="0"/>
                    <w:overflowPunct w:val="0"/>
                    <w:adjustRightInd w:val="0"/>
                    <w:snapToGrid w:val="0"/>
                    <w:spacing w:before="0" w:beforeAutospacing="0" w:after="0" w:afterAutospacing="0" w:line="276" w:lineRule="auto"/>
                    <w:ind w:left="0" w:right="0"/>
                    <w:jc w:val="center"/>
                    <w:rPr>
                      <w:rFonts w:hint="default" w:ascii="Times New Roman" w:hAnsi="Times New Roman" w:eastAsia="宋体" w:cs="Times New Roman"/>
                      <w:sz w:val="21"/>
                      <w:szCs w:val="21"/>
                      <w:highlight w:val="none"/>
                    </w:rPr>
                  </w:pPr>
                </w:p>
              </w:tc>
              <w:tc>
                <w:tcPr>
                  <w:tcW w:w="788" w:type="pct"/>
                  <w:shd w:val="clear" w:color="auto" w:fill="auto"/>
                  <w:noWrap w:val="0"/>
                  <w:tcMar>
                    <w:left w:w="57" w:type="dxa"/>
                    <w:right w:w="57" w:type="dxa"/>
                  </w:tcMar>
                  <w:vAlign w:val="center"/>
                </w:tcPr>
                <w:p w14:paraId="2DB55090">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64" w:lineRule="auto"/>
                    <w:ind w:left="0" w:right="0"/>
                    <w:jc w:val="center"/>
                    <w:textAlignment w:val="auto"/>
                    <w:rPr>
                      <w:rFonts w:hint="eastAsia" w:ascii="Times New Roman" w:hAnsi="Times New Roman" w:eastAsia="宋体" w:cs="Times New Roman"/>
                      <w:bCs/>
                      <w:kern w:val="0"/>
                      <w:sz w:val="21"/>
                      <w:szCs w:val="21"/>
                      <w:highlight w:val="none"/>
                      <w:lang w:val="en-US" w:eastAsia="zh-CN" w:bidi="ar-SA"/>
                    </w:rPr>
                  </w:pPr>
                  <w:r>
                    <w:rPr>
                      <w:rFonts w:hint="default" w:ascii="Times New Roman" w:hAnsi="Times New Roman" w:eastAsia="宋体" w:cs="Times New Roman"/>
                      <w:bCs/>
                      <w:kern w:val="0"/>
                      <w:sz w:val="21"/>
                      <w:szCs w:val="21"/>
                      <w:highlight w:val="none"/>
                    </w:rPr>
                    <w:t>硫化氢</w:t>
                  </w:r>
                </w:p>
              </w:tc>
              <w:tc>
                <w:tcPr>
                  <w:tcW w:w="687" w:type="pct"/>
                  <w:shd w:val="clear" w:color="auto" w:fill="auto"/>
                  <w:noWrap w:val="0"/>
                  <w:tcMar>
                    <w:left w:w="57" w:type="dxa"/>
                    <w:right w:w="57" w:type="dxa"/>
                  </w:tcMar>
                  <w:vAlign w:val="center"/>
                </w:tcPr>
                <w:p w14:paraId="0AC6EC7F">
                  <w:pPr>
                    <w:keepNext w:val="0"/>
                    <w:keepLines w:val="0"/>
                    <w:widowControl/>
                    <w:suppressLineNumbers w:val="0"/>
                    <w:spacing w:before="0" w:beforeAutospacing="0" w:after="0" w:afterAutospacing="0"/>
                    <w:ind w:left="0" w:right="0"/>
                    <w:jc w:val="center"/>
                    <w:textAlignment w:val="center"/>
                    <w:rPr>
                      <w:rFonts w:hint="eastAsia" w:ascii="Times New Roman" w:hAnsi="Times New Roman" w:eastAsia="宋体" w:cs="Times New Roman"/>
                      <w:bCs/>
                      <w:kern w:val="0"/>
                      <w:sz w:val="21"/>
                      <w:szCs w:val="21"/>
                      <w:highlight w:val="none"/>
                      <w:lang w:val="en-US" w:eastAsia="zh-CN" w:bidi="ar-SA"/>
                    </w:rPr>
                  </w:pPr>
                  <w:r>
                    <w:rPr>
                      <w:rFonts w:hint="eastAsia" w:ascii="Times New Roman" w:hAnsi="Times New Roman" w:eastAsia="宋体" w:cs="Times New Roman"/>
                      <w:i w:val="0"/>
                      <w:iCs w:val="0"/>
                      <w:color w:val="000000"/>
                      <w:kern w:val="0"/>
                      <w:sz w:val="21"/>
                      <w:szCs w:val="21"/>
                      <w:highlight w:val="none"/>
                      <w:u w:val="none"/>
                      <w:lang w:val="en-US" w:eastAsia="zh-CN" w:bidi="ar"/>
                    </w:rPr>
                    <w:t>~</w:t>
                  </w:r>
                  <w:r>
                    <w:rPr>
                      <w:rFonts w:hint="default" w:ascii="Times New Roman" w:hAnsi="Times New Roman" w:eastAsia="宋体" w:cs="Times New Roman"/>
                      <w:i w:val="0"/>
                      <w:iCs w:val="0"/>
                      <w:color w:val="000000"/>
                      <w:kern w:val="0"/>
                      <w:sz w:val="21"/>
                      <w:szCs w:val="21"/>
                      <w:highlight w:val="none"/>
                      <w:u w:val="none"/>
                      <w:lang w:val="en-US" w:eastAsia="zh-CN" w:bidi="ar"/>
                    </w:rPr>
                    <w:t>0</w:t>
                  </w:r>
                </w:p>
              </w:tc>
              <w:tc>
                <w:tcPr>
                  <w:tcW w:w="641" w:type="pct"/>
                  <w:shd w:val="clear" w:color="auto" w:fill="auto"/>
                  <w:noWrap w:val="0"/>
                  <w:tcMar>
                    <w:left w:w="57" w:type="dxa"/>
                    <w:right w:w="57" w:type="dxa"/>
                  </w:tcMar>
                  <w:vAlign w:val="center"/>
                </w:tcPr>
                <w:p w14:paraId="79C8C9D2">
                  <w:pPr>
                    <w:keepNext w:val="0"/>
                    <w:keepLines w:val="0"/>
                    <w:widowControl/>
                    <w:suppressLineNumbers w:val="0"/>
                    <w:spacing w:before="0" w:beforeAutospacing="0" w:after="0" w:afterAutospacing="0"/>
                    <w:ind w:left="0" w:right="0"/>
                    <w:jc w:val="center"/>
                    <w:textAlignment w:val="center"/>
                    <w:rPr>
                      <w:rFonts w:hint="eastAsia" w:ascii="Times New Roman" w:hAnsi="Times New Roman" w:eastAsia="宋体" w:cs="Times New Roman"/>
                      <w:bCs/>
                      <w:kern w:val="0"/>
                      <w:sz w:val="21"/>
                      <w:szCs w:val="21"/>
                      <w:highlight w:val="none"/>
                      <w:lang w:val="en-US" w:eastAsia="zh-CN" w:bidi="ar-SA"/>
                    </w:rPr>
                  </w:pPr>
                  <w:r>
                    <w:rPr>
                      <w:rFonts w:hint="eastAsia" w:ascii="Times New Roman" w:hAnsi="Times New Roman" w:eastAsia="宋体" w:cs="Times New Roman"/>
                      <w:i w:val="0"/>
                      <w:iCs w:val="0"/>
                      <w:color w:val="000000"/>
                      <w:kern w:val="0"/>
                      <w:sz w:val="21"/>
                      <w:szCs w:val="21"/>
                      <w:highlight w:val="none"/>
                      <w:u w:val="none"/>
                      <w:lang w:val="en-US" w:eastAsia="zh-CN" w:bidi="ar"/>
                    </w:rPr>
                    <w:t>~</w:t>
                  </w:r>
                  <w:r>
                    <w:rPr>
                      <w:rFonts w:hint="default" w:ascii="Times New Roman" w:hAnsi="Times New Roman" w:eastAsia="宋体" w:cs="Times New Roman"/>
                      <w:i w:val="0"/>
                      <w:iCs w:val="0"/>
                      <w:color w:val="000000"/>
                      <w:kern w:val="0"/>
                      <w:sz w:val="21"/>
                      <w:szCs w:val="21"/>
                      <w:highlight w:val="none"/>
                      <w:u w:val="none"/>
                      <w:lang w:val="en-US" w:eastAsia="zh-CN" w:bidi="ar"/>
                    </w:rPr>
                    <w:t>0</w:t>
                  </w:r>
                </w:p>
              </w:tc>
              <w:tc>
                <w:tcPr>
                  <w:tcW w:w="513" w:type="pct"/>
                  <w:noWrap w:val="0"/>
                  <w:tcMar>
                    <w:left w:w="57" w:type="dxa"/>
                    <w:right w:w="57" w:type="dxa"/>
                  </w:tcMar>
                  <w:vAlign w:val="center"/>
                </w:tcPr>
                <w:p w14:paraId="1052323D">
                  <w:pPr>
                    <w:keepNext w:val="0"/>
                    <w:keepLines w:val="0"/>
                    <w:suppressLineNumbers w:val="0"/>
                    <w:overflowPunct w:val="0"/>
                    <w:adjustRightInd w:val="0"/>
                    <w:snapToGrid w:val="0"/>
                    <w:spacing w:before="0" w:beforeAutospacing="0" w:after="0" w:afterAutospacing="0" w:line="276" w:lineRule="auto"/>
                    <w:ind w:left="0" w:right="0"/>
                    <w:jc w:val="center"/>
                    <w:rPr>
                      <w:rFonts w:hint="eastAsia" w:ascii="Times New Roman" w:hAnsi="Times New Roman" w:eastAsia="宋体" w:cs="Times New Roman"/>
                      <w:snapToGrid w:val="0"/>
                      <w:sz w:val="21"/>
                      <w:szCs w:val="21"/>
                      <w:highlight w:val="none"/>
                      <w:lang w:val="en-US" w:eastAsia="zh-CN"/>
                    </w:rPr>
                  </w:pPr>
                  <w:r>
                    <w:rPr>
                      <w:rFonts w:hint="eastAsia" w:ascii="Times New Roman" w:hAnsi="Times New Roman" w:eastAsia="宋体" w:cs="Times New Roman"/>
                      <w:snapToGrid w:val="0"/>
                      <w:sz w:val="21"/>
                      <w:szCs w:val="21"/>
                      <w:highlight w:val="none"/>
                      <w:lang w:val="en-US" w:eastAsia="zh-CN"/>
                    </w:rPr>
                    <w:t>1.3</w:t>
                  </w:r>
                </w:p>
              </w:tc>
              <w:tc>
                <w:tcPr>
                  <w:tcW w:w="669" w:type="pct"/>
                  <w:noWrap w:val="0"/>
                  <w:tcMar>
                    <w:left w:w="57" w:type="dxa"/>
                    <w:right w:w="57" w:type="dxa"/>
                  </w:tcMar>
                  <w:vAlign w:val="center"/>
                </w:tcPr>
                <w:p w14:paraId="629C3BCB">
                  <w:pPr>
                    <w:keepNext w:val="0"/>
                    <w:keepLines w:val="0"/>
                    <w:suppressLineNumbers w:val="0"/>
                    <w:overflowPunct w:val="0"/>
                    <w:adjustRightInd w:val="0"/>
                    <w:snapToGrid w:val="0"/>
                    <w:spacing w:before="0" w:beforeAutospacing="0" w:after="0" w:afterAutospacing="0" w:line="276" w:lineRule="auto"/>
                    <w:ind w:left="0" w:right="0"/>
                    <w:jc w:val="center"/>
                    <w:rPr>
                      <w:rFonts w:hint="eastAsia" w:ascii="Times New Roman" w:hAnsi="Times New Roman" w:eastAsia="宋体" w:cs="Times New Roman"/>
                      <w:snapToGrid w:val="0"/>
                      <w:sz w:val="21"/>
                      <w:szCs w:val="21"/>
                      <w:highlight w:val="none"/>
                      <w:lang w:val="en-US" w:eastAsia="zh-CN"/>
                    </w:rPr>
                  </w:pPr>
                  <w:r>
                    <w:rPr>
                      <w:rFonts w:hint="eastAsia" w:ascii="Times New Roman" w:hAnsi="Times New Roman" w:eastAsia="宋体" w:cs="Times New Roman"/>
                      <w:sz w:val="21"/>
                      <w:szCs w:val="21"/>
                      <w:highlight w:val="none"/>
                      <w:lang w:val="en-US" w:eastAsia="zh-CN"/>
                    </w:rPr>
                    <w:t>/</w:t>
                  </w:r>
                </w:p>
              </w:tc>
              <w:tc>
                <w:tcPr>
                  <w:tcW w:w="441" w:type="pct"/>
                  <w:noWrap w:val="0"/>
                  <w:tcMar>
                    <w:left w:w="57" w:type="dxa"/>
                    <w:right w:w="57" w:type="dxa"/>
                  </w:tcMar>
                  <w:vAlign w:val="center"/>
                </w:tcPr>
                <w:p w14:paraId="3B413796">
                  <w:pPr>
                    <w:keepNext w:val="0"/>
                    <w:keepLines w:val="0"/>
                    <w:suppressLineNumbers w:val="0"/>
                    <w:overflowPunct w:val="0"/>
                    <w:adjustRightInd w:val="0"/>
                    <w:snapToGrid w:val="0"/>
                    <w:spacing w:before="0" w:beforeAutospacing="0" w:after="0" w:afterAutospacing="0" w:line="276" w:lineRule="auto"/>
                    <w:ind w:left="0" w:right="0"/>
                    <w:jc w:val="center"/>
                    <w:rPr>
                      <w:rFonts w:hint="eastAsia" w:ascii="Times New Roman" w:hAnsi="Times New Roman" w:eastAsia="宋体" w:cs="Times New Roman"/>
                      <w:snapToGrid w:val="0"/>
                      <w:sz w:val="21"/>
                      <w:szCs w:val="21"/>
                      <w:highlight w:val="none"/>
                      <w:lang w:val="en-US" w:eastAsia="zh-CN"/>
                    </w:rPr>
                  </w:pPr>
                  <w:r>
                    <w:rPr>
                      <w:rFonts w:hint="eastAsia" w:ascii="Times New Roman" w:hAnsi="Times New Roman" w:eastAsia="宋体" w:cs="Times New Roman"/>
                      <w:kern w:val="0"/>
                      <w:sz w:val="21"/>
                      <w:szCs w:val="21"/>
                      <w:highlight w:val="none"/>
                    </w:rPr>
                    <w:t>达标</w:t>
                  </w:r>
                </w:p>
              </w:tc>
            </w:tr>
            <w:tr w14:paraId="0253A72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1" w:hRule="atLeast"/>
                <w:jc w:val="center"/>
              </w:trPr>
              <w:tc>
                <w:tcPr>
                  <w:tcW w:w="547" w:type="pct"/>
                  <w:vMerge w:val="continue"/>
                  <w:noWrap w:val="0"/>
                  <w:tcMar>
                    <w:left w:w="57" w:type="dxa"/>
                    <w:right w:w="57" w:type="dxa"/>
                  </w:tcMar>
                  <w:vAlign w:val="center"/>
                </w:tcPr>
                <w:p w14:paraId="4470B30A">
                  <w:pPr>
                    <w:keepNext w:val="0"/>
                    <w:keepLines w:val="0"/>
                    <w:suppressLineNumbers w:val="0"/>
                    <w:overflowPunct w:val="0"/>
                    <w:adjustRightInd w:val="0"/>
                    <w:snapToGrid w:val="0"/>
                    <w:spacing w:before="0" w:beforeAutospacing="0" w:after="0" w:afterAutospacing="0" w:line="276" w:lineRule="auto"/>
                    <w:ind w:left="0" w:right="0"/>
                    <w:jc w:val="center"/>
                    <w:rPr>
                      <w:rFonts w:hint="eastAsia" w:ascii="Times New Roman" w:hAnsi="Times New Roman" w:eastAsia="宋体" w:cs="Times New Roman"/>
                      <w:snapToGrid w:val="0"/>
                      <w:sz w:val="21"/>
                      <w:szCs w:val="21"/>
                      <w:highlight w:val="none"/>
                      <w:lang w:val="en-US" w:eastAsia="zh-CN"/>
                    </w:rPr>
                  </w:pPr>
                </w:p>
              </w:tc>
              <w:tc>
                <w:tcPr>
                  <w:tcW w:w="710" w:type="pct"/>
                  <w:vMerge w:val="continue"/>
                  <w:noWrap w:val="0"/>
                  <w:tcMar>
                    <w:left w:w="57" w:type="dxa"/>
                    <w:right w:w="57" w:type="dxa"/>
                  </w:tcMar>
                  <w:vAlign w:val="center"/>
                </w:tcPr>
                <w:p w14:paraId="2B00A327">
                  <w:pPr>
                    <w:keepNext w:val="0"/>
                    <w:keepLines w:val="0"/>
                    <w:suppressLineNumbers w:val="0"/>
                    <w:overflowPunct w:val="0"/>
                    <w:adjustRightInd w:val="0"/>
                    <w:snapToGrid w:val="0"/>
                    <w:spacing w:before="0" w:beforeAutospacing="0" w:after="0" w:afterAutospacing="0" w:line="276" w:lineRule="auto"/>
                    <w:ind w:left="0" w:right="0"/>
                    <w:jc w:val="center"/>
                    <w:rPr>
                      <w:rFonts w:hint="eastAsia" w:ascii="Times New Roman" w:hAnsi="Times New Roman" w:eastAsia="宋体" w:cs="Times New Roman"/>
                      <w:snapToGrid w:val="0"/>
                      <w:sz w:val="21"/>
                      <w:szCs w:val="21"/>
                      <w:highlight w:val="none"/>
                      <w:lang w:val="en-US" w:eastAsia="zh-CN"/>
                    </w:rPr>
                  </w:pPr>
                </w:p>
              </w:tc>
              <w:tc>
                <w:tcPr>
                  <w:tcW w:w="788" w:type="pct"/>
                  <w:noWrap w:val="0"/>
                  <w:tcMar>
                    <w:left w:w="57" w:type="dxa"/>
                    <w:right w:w="57" w:type="dxa"/>
                  </w:tcMar>
                  <w:vAlign w:val="center"/>
                </w:tcPr>
                <w:p w14:paraId="600FDFE3">
                  <w:pPr>
                    <w:keepNext w:val="0"/>
                    <w:keepLines w:val="0"/>
                    <w:suppressLineNumbers w:val="0"/>
                    <w:overflowPunct w:val="0"/>
                    <w:adjustRightInd w:val="0"/>
                    <w:snapToGrid w:val="0"/>
                    <w:spacing w:before="0" w:beforeAutospacing="0" w:after="0" w:afterAutospacing="0" w:line="276" w:lineRule="auto"/>
                    <w:ind w:left="0" w:right="0"/>
                    <w:jc w:val="center"/>
                    <w:rPr>
                      <w:rFonts w:hint="eastAsia" w:ascii="Times New Roman" w:hAnsi="Times New Roman" w:eastAsia="宋体" w:cs="Times New Roman"/>
                      <w:snapToGrid w:val="0"/>
                      <w:sz w:val="21"/>
                      <w:szCs w:val="21"/>
                      <w:highlight w:val="none"/>
                      <w:lang w:val="en-US" w:eastAsia="zh-CN"/>
                    </w:rPr>
                  </w:pPr>
                  <w:r>
                    <w:rPr>
                      <w:rFonts w:hint="default" w:ascii="Times New Roman" w:hAnsi="Times New Roman" w:eastAsia="宋体" w:cs="Times New Roman"/>
                      <w:bCs/>
                      <w:kern w:val="0"/>
                      <w:sz w:val="21"/>
                      <w:szCs w:val="21"/>
                      <w:highlight w:val="none"/>
                    </w:rPr>
                    <w:t>臭气浓度</w:t>
                  </w:r>
                </w:p>
              </w:tc>
              <w:tc>
                <w:tcPr>
                  <w:tcW w:w="1329" w:type="pct"/>
                  <w:gridSpan w:val="2"/>
                  <w:noWrap w:val="0"/>
                  <w:tcMar>
                    <w:left w:w="57" w:type="dxa"/>
                    <w:right w:w="57" w:type="dxa"/>
                  </w:tcMar>
                  <w:vAlign w:val="center"/>
                </w:tcPr>
                <w:p w14:paraId="3FFFB232">
                  <w:pPr>
                    <w:keepNext w:val="0"/>
                    <w:keepLines w:val="0"/>
                    <w:suppressLineNumbers w:val="0"/>
                    <w:overflowPunct w:val="0"/>
                    <w:adjustRightInd w:val="0"/>
                    <w:snapToGrid w:val="0"/>
                    <w:spacing w:before="0" w:beforeAutospacing="0" w:after="0" w:afterAutospacing="0" w:line="276" w:lineRule="auto"/>
                    <w:ind w:left="0" w:right="0"/>
                    <w:jc w:val="center"/>
                    <w:rPr>
                      <w:rFonts w:hint="eastAsia" w:ascii="Times New Roman" w:hAnsi="Times New Roman" w:eastAsia="宋体" w:cs="Times New Roman"/>
                      <w:snapToGrid w:val="0"/>
                      <w:sz w:val="21"/>
                      <w:szCs w:val="21"/>
                      <w:highlight w:val="none"/>
                      <w:lang w:val="en-US" w:eastAsia="zh-CN"/>
                    </w:rPr>
                  </w:pPr>
                  <w:r>
                    <w:rPr>
                      <w:rFonts w:hint="eastAsia" w:ascii="Times New Roman" w:hAnsi="Times New Roman" w:eastAsia="宋体" w:cs="Times New Roman"/>
                      <w:bCs/>
                      <w:kern w:val="0"/>
                      <w:sz w:val="21"/>
                      <w:szCs w:val="21"/>
                      <w:highlight w:val="none"/>
                      <w:lang w:val="en-US" w:eastAsia="zh-CN"/>
                    </w:rPr>
                    <w:t>549（无量纲）</w:t>
                  </w:r>
                </w:p>
              </w:tc>
              <w:tc>
                <w:tcPr>
                  <w:tcW w:w="1182" w:type="pct"/>
                  <w:gridSpan w:val="2"/>
                  <w:noWrap w:val="0"/>
                  <w:tcMar>
                    <w:left w:w="57" w:type="dxa"/>
                    <w:right w:w="57" w:type="dxa"/>
                  </w:tcMar>
                  <w:vAlign w:val="center"/>
                </w:tcPr>
                <w:p w14:paraId="2D4EE0A6">
                  <w:pPr>
                    <w:keepNext w:val="0"/>
                    <w:keepLines w:val="0"/>
                    <w:suppressLineNumbers w:val="0"/>
                    <w:overflowPunct w:val="0"/>
                    <w:adjustRightInd w:val="0"/>
                    <w:snapToGrid w:val="0"/>
                    <w:spacing w:before="0" w:beforeAutospacing="0" w:after="0" w:afterAutospacing="0" w:line="276" w:lineRule="auto"/>
                    <w:ind w:left="0" w:right="0"/>
                    <w:jc w:val="center"/>
                    <w:rPr>
                      <w:rFonts w:hint="eastAsia" w:ascii="Times New Roman" w:hAnsi="Times New Roman" w:eastAsia="宋体" w:cs="Times New Roman"/>
                      <w:snapToGrid w:val="0"/>
                      <w:sz w:val="21"/>
                      <w:szCs w:val="21"/>
                      <w:highlight w:val="none"/>
                      <w:lang w:val="en-US" w:eastAsia="zh-CN"/>
                    </w:rPr>
                  </w:pPr>
                  <w:r>
                    <w:rPr>
                      <w:rFonts w:hint="eastAsia" w:ascii="Times New Roman" w:hAnsi="Times New Roman" w:eastAsia="宋体" w:cs="Times New Roman"/>
                      <w:sz w:val="21"/>
                      <w:szCs w:val="21"/>
                      <w:highlight w:val="none"/>
                      <w:lang w:val="en-US" w:eastAsia="zh-CN"/>
                    </w:rPr>
                    <w:t>15</w:t>
                  </w:r>
                  <w:r>
                    <w:rPr>
                      <w:rFonts w:hint="eastAsia" w:ascii="Times New Roman" w:hAnsi="Times New Roman" w:eastAsia="宋体" w:cs="Times New Roman"/>
                      <w:sz w:val="21"/>
                      <w:szCs w:val="21"/>
                      <w:highlight w:val="none"/>
                    </w:rPr>
                    <w:t>000（无量纲）</w:t>
                  </w:r>
                </w:p>
              </w:tc>
              <w:tc>
                <w:tcPr>
                  <w:tcW w:w="441" w:type="pct"/>
                  <w:noWrap w:val="0"/>
                  <w:tcMar>
                    <w:left w:w="57" w:type="dxa"/>
                    <w:right w:w="57" w:type="dxa"/>
                  </w:tcMar>
                  <w:vAlign w:val="center"/>
                </w:tcPr>
                <w:p w14:paraId="3B8CACC8">
                  <w:pPr>
                    <w:keepNext w:val="0"/>
                    <w:keepLines w:val="0"/>
                    <w:suppressLineNumbers w:val="0"/>
                    <w:overflowPunct w:val="0"/>
                    <w:adjustRightInd w:val="0"/>
                    <w:snapToGrid w:val="0"/>
                    <w:spacing w:before="0" w:beforeAutospacing="0" w:after="0" w:afterAutospacing="0" w:line="276" w:lineRule="auto"/>
                    <w:ind w:left="0" w:right="0"/>
                    <w:jc w:val="center"/>
                    <w:rPr>
                      <w:rFonts w:hint="eastAsia" w:ascii="Times New Roman" w:hAnsi="Times New Roman" w:eastAsia="宋体" w:cs="Times New Roman"/>
                      <w:snapToGrid w:val="0"/>
                      <w:sz w:val="21"/>
                      <w:szCs w:val="21"/>
                      <w:highlight w:val="none"/>
                      <w:lang w:val="en-US" w:eastAsia="zh-CN"/>
                    </w:rPr>
                  </w:pPr>
                  <w:r>
                    <w:rPr>
                      <w:rFonts w:hint="eastAsia" w:ascii="Times New Roman" w:hAnsi="Times New Roman" w:eastAsia="宋体" w:cs="Times New Roman"/>
                      <w:kern w:val="0"/>
                      <w:sz w:val="21"/>
                      <w:szCs w:val="21"/>
                      <w:highlight w:val="none"/>
                    </w:rPr>
                    <w:t>达标</w:t>
                  </w:r>
                </w:p>
              </w:tc>
            </w:tr>
            <w:tr w14:paraId="2A59316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1" w:hRule="atLeast"/>
                <w:jc w:val="center"/>
              </w:trPr>
              <w:tc>
                <w:tcPr>
                  <w:tcW w:w="547" w:type="pct"/>
                  <w:vMerge w:val="continue"/>
                  <w:noWrap w:val="0"/>
                  <w:tcMar>
                    <w:left w:w="57" w:type="dxa"/>
                    <w:right w:w="57" w:type="dxa"/>
                  </w:tcMar>
                  <w:vAlign w:val="center"/>
                </w:tcPr>
                <w:p w14:paraId="166FDFD0">
                  <w:pPr>
                    <w:keepNext w:val="0"/>
                    <w:keepLines w:val="0"/>
                    <w:suppressLineNumbers w:val="0"/>
                    <w:overflowPunct w:val="0"/>
                    <w:adjustRightInd w:val="0"/>
                    <w:snapToGrid w:val="0"/>
                    <w:spacing w:before="0" w:beforeAutospacing="0" w:after="0" w:afterAutospacing="0" w:line="276" w:lineRule="auto"/>
                    <w:ind w:left="0" w:right="0"/>
                    <w:jc w:val="center"/>
                    <w:rPr>
                      <w:rFonts w:hint="eastAsia" w:ascii="Times New Roman" w:hAnsi="Times New Roman" w:eastAsia="宋体" w:cs="Times New Roman"/>
                      <w:snapToGrid w:val="0"/>
                      <w:sz w:val="21"/>
                      <w:szCs w:val="21"/>
                      <w:highlight w:val="none"/>
                      <w:lang w:val="en-US" w:eastAsia="zh-CN"/>
                    </w:rPr>
                  </w:pPr>
                </w:p>
              </w:tc>
              <w:tc>
                <w:tcPr>
                  <w:tcW w:w="710" w:type="pct"/>
                  <w:vMerge w:val="continue"/>
                  <w:noWrap w:val="0"/>
                  <w:tcMar>
                    <w:left w:w="57" w:type="dxa"/>
                    <w:right w:w="57" w:type="dxa"/>
                  </w:tcMar>
                  <w:vAlign w:val="center"/>
                </w:tcPr>
                <w:p w14:paraId="0B5BB00B">
                  <w:pPr>
                    <w:keepNext w:val="0"/>
                    <w:keepLines w:val="0"/>
                    <w:suppressLineNumbers w:val="0"/>
                    <w:overflowPunct w:val="0"/>
                    <w:adjustRightInd w:val="0"/>
                    <w:snapToGrid w:val="0"/>
                    <w:spacing w:before="0" w:beforeAutospacing="0" w:after="0" w:afterAutospacing="0" w:line="276" w:lineRule="auto"/>
                    <w:ind w:left="0" w:right="0"/>
                    <w:jc w:val="center"/>
                    <w:rPr>
                      <w:rFonts w:hint="eastAsia" w:ascii="Times New Roman" w:hAnsi="Times New Roman" w:eastAsia="宋体" w:cs="Times New Roman"/>
                      <w:snapToGrid w:val="0"/>
                      <w:sz w:val="21"/>
                      <w:szCs w:val="21"/>
                      <w:highlight w:val="none"/>
                      <w:lang w:val="en-US" w:eastAsia="zh-CN"/>
                    </w:rPr>
                  </w:pPr>
                </w:p>
              </w:tc>
              <w:tc>
                <w:tcPr>
                  <w:tcW w:w="788" w:type="pct"/>
                  <w:shd w:val="clear" w:color="auto" w:fill="auto"/>
                  <w:noWrap w:val="0"/>
                  <w:tcMar>
                    <w:left w:w="57" w:type="dxa"/>
                    <w:right w:w="57" w:type="dxa"/>
                  </w:tcMar>
                  <w:vAlign w:val="center"/>
                </w:tcPr>
                <w:p w14:paraId="48726627">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64" w:lineRule="auto"/>
                    <w:ind w:left="0" w:leftChars="0" w:right="0" w:rightChars="0"/>
                    <w:jc w:val="center"/>
                    <w:textAlignment w:val="auto"/>
                    <w:rPr>
                      <w:rFonts w:hint="default" w:ascii="Times New Roman" w:hAnsi="Times New Roman" w:eastAsia="宋体" w:cs="Times New Roman"/>
                      <w:bCs/>
                      <w:kern w:val="0"/>
                      <w:sz w:val="21"/>
                      <w:szCs w:val="21"/>
                      <w:highlight w:val="none"/>
                      <w:lang w:val="en-US" w:eastAsia="zh-CN" w:bidi="ar-SA"/>
                    </w:rPr>
                  </w:pPr>
                  <w:r>
                    <w:rPr>
                      <w:rFonts w:hint="eastAsia" w:cs="Times New Roman"/>
                      <w:bCs/>
                      <w:kern w:val="0"/>
                      <w:sz w:val="21"/>
                      <w:szCs w:val="21"/>
                      <w:highlight w:val="none"/>
                      <w:lang w:val="en-US" w:eastAsia="zh-CN"/>
                    </w:rPr>
                    <w:t>颗粒物</w:t>
                  </w:r>
                </w:p>
              </w:tc>
              <w:tc>
                <w:tcPr>
                  <w:tcW w:w="1329" w:type="pct"/>
                  <w:gridSpan w:val="2"/>
                  <w:shd w:val="clear" w:color="auto" w:fill="auto"/>
                  <w:noWrap w:val="0"/>
                  <w:tcMar>
                    <w:left w:w="57" w:type="dxa"/>
                    <w:right w:w="57" w:type="dxa"/>
                  </w:tcMar>
                  <w:vAlign w:val="center"/>
                </w:tcPr>
                <w:p w14:paraId="0A75EB83">
                  <w:pPr>
                    <w:keepNext w:val="0"/>
                    <w:keepLines w:val="0"/>
                    <w:suppressLineNumbers w:val="0"/>
                    <w:overflowPunct w:val="0"/>
                    <w:adjustRightInd w:val="0"/>
                    <w:snapToGrid w:val="0"/>
                    <w:spacing w:before="0" w:beforeAutospacing="0" w:after="0" w:afterAutospacing="0" w:line="276" w:lineRule="auto"/>
                    <w:ind w:left="0" w:leftChars="0" w:right="0" w:rightChars="0"/>
                    <w:jc w:val="center"/>
                    <w:rPr>
                      <w:rFonts w:hint="eastAsia" w:ascii="Times New Roman" w:hAnsi="Times New Roman" w:eastAsia="宋体" w:cs="Times New Roman"/>
                      <w:bCs/>
                      <w:kern w:val="0"/>
                      <w:sz w:val="21"/>
                      <w:szCs w:val="21"/>
                      <w:highlight w:val="none"/>
                      <w:lang w:val="en-US" w:eastAsia="zh-CN" w:bidi="ar-SA"/>
                    </w:rPr>
                  </w:pPr>
                  <w:r>
                    <w:rPr>
                      <w:rFonts w:hint="eastAsia" w:cs="Times New Roman"/>
                      <w:bCs/>
                      <w:kern w:val="0"/>
                      <w:sz w:val="21"/>
                      <w:szCs w:val="21"/>
                      <w:highlight w:val="none"/>
                      <w:lang w:val="en-US" w:eastAsia="zh-CN"/>
                    </w:rPr>
                    <w:t>少量</w:t>
                  </w:r>
                </w:p>
              </w:tc>
              <w:tc>
                <w:tcPr>
                  <w:tcW w:w="513" w:type="pct"/>
                  <w:shd w:val="clear" w:color="auto" w:fill="auto"/>
                  <w:noWrap w:val="0"/>
                  <w:tcMar>
                    <w:left w:w="57" w:type="dxa"/>
                    <w:right w:w="57" w:type="dxa"/>
                  </w:tcMar>
                  <w:vAlign w:val="center"/>
                </w:tcPr>
                <w:p w14:paraId="59EA0149">
                  <w:pPr>
                    <w:keepNext w:val="0"/>
                    <w:keepLines w:val="0"/>
                    <w:suppressLineNumbers w:val="0"/>
                    <w:overflowPunct w:val="0"/>
                    <w:adjustRightInd w:val="0"/>
                    <w:snapToGrid w:val="0"/>
                    <w:spacing w:before="0" w:beforeAutospacing="0" w:after="0" w:afterAutospacing="0" w:line="276" w:lineRule="auto"/>
                    <w:ind w:left="0" w:leftChars="0" w:right="0" w:rightChars="0"/>
                    <w:jc w:val="center"/>
                    <w:rPr>
                      <w:rFonts w:hint="eastAsia" w:ascii="Times New Roman" w:hAnsi="Times New Roman" w:eastAsia="宋体" w:cs="Times New Roman"/>
                      <w:kern w:val="2"/>
                      <w:sz w:val="21"/>
                      <w:szCs w:val="21"/>
                      <w:highlight w:val="none"/>
                      <w:lang w:val="en-US" w:eastAsia="zh-CN" w:bidi="ar-SA"/>
                    </w:rPr>
                  </w:pPr>
                  <w:r>
                    <w:rPr>
                      <w:rFonts w:hint="eastAsia" w:cs="Times New Roman"/>
                      <w:sz w:val="21"/>
                      <w:szCs w:val="21"/>
                      <w:highlight w:val="none"/>
                      <w:lang w:val="en-US" w:eastAsia="zh-CN"/>
                    </w:rPr>
                    <w:t>11.5</w:t>
                  </w:r>
                </w:p>
              </w:tc>
              <w:tc>
                <w:tcPr>
                  <w:tcW w:w="669" w:type="pct"/>
                  <w:shd w:val="clear" w:color="auto" w:fill="auto"/>
                  <w:noWrap w:val="0"/>
                  <w:tcMar>
                    <w:left w:w="57" w:type="dxa"/>
                    <w:right w:w="57" w:type="dxa"/>
                  </w:tcMar>
                  <w:vAlign w:val="center"/>
                </w:tcPr>
                <w:p w14:paraId="75B311FF">
                  <w:pPr>
                    <w:keepNext w:val="0"/>
                    <w:keepLines w:val="0"/>
                    <w:suppressLineNumbers w:val="0"/>
                    <w:overflowPunct w:val="0"/>
                    <w:adjustRightInd w:val="0"/>
                    <w:snapToGrid w:val="0"/>
                    <w:spacing w:before="0" w:beforeAutospacing="0" w:after="0" w:afterAutospacing="0" w:line="276" w:lineRule="auto"/>
                    <w:ind w:left="0" w:leftChars="0" w:right="0" w:rightChars="0"/>
                    <w:jc w:val="center"/>
                    <w:rPr>
                      <w:rFonts w:hint="eastAsia" w:ascii="Times New Roman" w:hAnsi="Times New Roman" w:eastAsia="宋体" w:cs="Times New Roman"/>
                      <w:kern w:val="2"/>
                      <w:sz w:val="21"/>
                      <w:szCs w:val="21"/>
                      <w:highlight w:val="none"/>
                      <w:lang w:val="en-US" w:eastAsia="zh-CN" w:bidi="ar-SA"/>
                    </w:rPr>
                  </w:pPr>
                  <w:r>
                    <w:rPr>
                      <w:rFonts w:hint="eastAsia" w:cs="Times New Roman"/>
                      <w:sz w:val="21"/>
                      <w:szCs w:val="21"/>
                      <w:highlight w:val="none"/>
                      <w:lang w:val="en-US" w:eastAsia="zh-CN"/>
                    </w:rPr>
                    <w:t>120</w:t>
                  </w:r>
                </w:p>
              </w:tc>
              <w:tc>
                <w:tcPr>
                  <w:tcW w:w="441" w:type="pct"/>
                  <w:noWrap w:val="0"/>
                  <w:tcMar>
                    <w:left w:w="57" w:type="dxa"/>
                    <w:right w:w="57" w:type="dxa"/>
                  </w:tcMar>
                  <w:vAlign w:val="center"/>
                </w:tcPr>
                <w:p w14:paraId="653FDF88">
                  <w:pPr>
                    <w:keepNext w:val="0"/>
                    <w:keepLines w:val="0"/>
                    <w:suppressLineNumbers w:val="0"/>
                    <w:overflowPunct w:val="0"/>
                    <w:adjustRightInd w:val="0"/>
                    <w:snapToGrid w:val="0"/>
                    <w:spacing w:before="0" w:beforeAutospacing="0" w:after="0" w:afterAutospacing="0" w:line="276" w:lineRule="auto"/>
                    <w:ind w:left="0" w:right="0"/>
                    <w:jc w:val="center"/>
                    <w:rPr>
                      <w:rFonts w:hint="eastAsia" w:ascii="Times New Roman" w:hAnsi="Times New Roman" w:eastAsia="宋体" w:cs="Times New Roman"/>
                      <w:kern w:val="0"/>
                      <w:sz w:val="21"/>
                      <w:szCs w:val="21"/>
                      <w:highlight w:val="none"/>
                    </w:rPr>
                  </w:pPr>
                  <w:r>
                    <w:rPr>
                      <w:rFonts w:hint="eastAsia" w:ascii="Times New Roman" w:hAnsi="Times New Roman" w:eastAsia="宋体" w:cs="Times New Roman"/>
                      <w:kern w:val="0"/>
                      <w:sz w:val="21"/>
                      <w:szCs w:val="21"/>
                      <w:highlight w:val="none"/>
                    </w:rPr>
                    <w:t>达标</w:t>
                  </w:r>
                </w:p>
              </w:tc>
            </w:tr>
            <w:tr w14:paraId="7888E98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547" w:type="pct"/>
                  <w:vMerge w:val="restart"/>
                  <w:noWrap w:val="0"/>
                  <w:tcMar>
                    <w:left w:w="57" w:type="dxa"/>
                    <w:right w:w="57" w:type="dxa"/>
                  </w:tcMar>
                  <w:vAlign w:val="center"/>
                </w:tcPr>
                <w:p w14:paraId="186DDEDB">
                  <w:pPr>
                    <w:keepNext w:val="0"/>
                    <w:keepLines w:val="0"/>
                    <w:widowControl/>
                    <w:suppressLineNumbers w:val="0"/>
                    <w:adjustRightInd w:val="0"/>
                    <w:snapToGrid w:val="0"/>
                    <w:spacing w:before="0" w:beforeAutospacing="0" w:after="0" w:afterAutospacing="0" w:line="276" w:lineRule="auto"/>
                    <w:ind w:left="0" w:right="0"/>
                    <w:jc w:val="center"/>
                    <w:rPr>
                      <w:rFonts w:hint="default" w:ascii="Times New Roman" w:hAnsi="Times New Roman" w:eastAsia="宋体" w:cs="Times New Roman"/>
                      <w:snapToGrid w:val="0"/>
                      <w:kern w:val="2"/>
                      <w:sz w:val="21"/>
                      <w:szCs w:val="21"/>
                      <w:highlight w:val="none"/>
                      <w:lang w:val="en-US" w:eastAsia="zh-CN" w:bidi="ar-SA"/>
                    </w:rPr>
                  </w:pPr>
                  <w:r>
                    <w:rPr>
                      <w:rFonts w:hint="default" w:ascii="Times New Roman" w:hAnsi="Times New Roman" w:eastAsia="宋体" w:cs="Times New Roman"/>
                      <w:snapToGrid w:val="0"/>
                      <w:sz w:val="21"/>
                      <w:szCs w:val="21"/>
                      <w:highlight w:val="none"/>
                    </w:rPr>
                    <w:t>DA0</w:t>
                  </w:r>
                  <w:r>
                    <w:rPr>
                      <w:rFonts w:hint="eastAsia" w:ascii="Times New Roman" w:hAnsi="Times New Roman" w:eastAsia="宋体" w:cs="Times New Roman"/>
                      <w:snapToGrid w:val="0"/>
                      <w:sz w:val="21"/>
                      <w:szCs w:val="21"/>
                      <w:highlight w:val="none"/>
                      <w:lang w:val="en-US" w:eastAsia="zh-CN"/>
                    </w:rPr>
                    <w:t>06</w:t>
                  </w:r>
                </w:p>
              </w:tc>
              <w:tc>
                <w:tcPr>
                  <w:tcW w:w="710" w:type="pct"/>
                  <w:vMerge w:val="restart"/>
                  <w:noWrap w:val="0"/>
                  <w:tcMar>
                    <w:left w:w="57" w:type="dxa"/>
                    <w:right w:w="57" w:type="dxa"/>
                  </w:tcMar>
                  <w:vAlign w:val="center"/>
                </w:tcPr>
                <w:p w14:paraId="1DF97373">
                  <w:pPr>
                    <w:keepNext w:val="0"/>
                    <w:keepLines w:val="0"/>
                    <w:widowControl/>
                    <w:suppressLineNumbers w:val="0"/>
                    <w:adjustRightInd w:val="0"/>
                    <w:snapToGrid w:val="0"/>
                    <w:spacing w:before="0" w:beforeAutospacing="0" w:after="0" w:afterAutospacing="0" w:line="276" w:lineRule="auto"/>
                    <w:ind w:left="0" w:right="0"/>
                    <w:jc w:val="center"/>
                    <w:rPr>
                      <w:rFonts w:hint="default" w:ascii="Times New Roman" w:hAnsi="Times New Roman" w:eastAsia="宋体" w:cs="Times New Roman"/>
                      <w:snapToGrid w:val="0"/>
                      <w:kern w:val="2"/>
                      <w:sz w:val="21"/>
                      <w:szCs w:val="21"/>
                      <w:highlight w:val="none"/>
                      <w:lang w:val="en-US" w:eastAsia="zh-CN" w:bidi="ar-SA"/>
                    </w:rPr>
                  </w:pPr>
                  <w:r>
                    <w:rPr>
                      <w:rFonts w:hint="eastAsia" w:ascii="Times New Roman" w:hAnsi="Times New Roman" w:eastAsia="宋体" w:cs="Times New Roman"/>
                      <w:snapToGrid w:val="0"/>
                      <w:sz w:val="21"/>
                      <w:szCs w:val="21"/>
                      <w:highlight w:val="none"/>
                      <w:lang w:val="en-US" w:eastAsia="zh-CN"/>
                    </w:rPr>
                    <w:t>6#</w:t>
                  </w:r>
                  <w:r>
                    <w:rPr>
                      <w:rFonts w:hint="default" w:ascii="Times New Roman" w:hAnsi="Times New Roman" w:eastAsia="宋体" w:cs="Times New Roman"/>
                      <w:snapToGrid w:val="0"/>
                      <w:sz w:val="21"/>
                      <w:szCs w:val="21"/>
                      <w:highlight w:val="none"/>
                    </w:rPr>
                    <w:t>排放口</w:t>
                  </w:r>
                </w:p>
              </w:tc>
              <w:tc>
                <w:tcPr>
                  <w:tcW w:w="788" w:type="pct"/>
                  <w:shd w:val="clear" w:color="auto" w:fill="auto"/>
                  <w:noWrap w:val="0"/>
                  <w:tcMar>
                    <w:left w:w="57" w:type="dxa"/>
                    <w:right w:w="57" w:type="dxa"/>
                  </w:tcMar>
                  <w:vAlign w:val="center"/>
                </w:tcPr>
                <w:p w14:paraId="5D168E61">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64" w:lineRule="auto"/>
                    <w:ind w:left="0" w:right="0"/>
                    <w:jc w:val="center"/>
                    <w:textAlignment w:val="auto"/>
                    <w:rPr>
                      <w:rFonts w:hint="eastAsia" w:ascii="Times New Roman" w:hAnsi="Times New Roman" w:eastAsia="宋体" w:cs="Times New Roman"/>
                      <w:bCs/>
                      <w:kern w:val="0"/>
                      <w:sz w:val="21"/>
                      <w:szCs w:val="21"/>
                      <w:highlight w:val="none"/>
                      <w:lang w:val="en-US" w:eastAsia="zh-CN" w:bidi="ar-SA"/>
                    </w:rPr>
                  </w:pPr>
                  <w:r>
                    <w:rPr>
                      <w:rFonts w:hint="eastAsia" w:ascii="Times New Roman" w:hAnsi="Times New Roman" w:eastAsia="宋体" w:cs="Times New Roman"/>
                      <w:bCs/>
                      <w:kern w:val="0"/>
                      <w:sz w:val="21"/>
                      <w:szCs w:val="21"/>
                      <w:highlight w:val="none"/>
                      <w:lang w:val="en-US" w:eastAsia="zh-CN"/>
                    </w:rPr>
                    <w:t>非甲烷总烃</w:t>
                  </w:r>
                </w:p>
              </w:tc>
              <w:tc>
                <w:tcPr>
                  <w:tcW w:w="687" w:type="pct"/>
                  <w:shd w:val="clear" w:color="auto" w:fill="auto"/>
                  <w:noWrap w:val="0"/>
                  <w:tcMar>
                    <w:left w:w="57" w:type="dxa"/>
                    <w:right w:w="57" w:type="dxa"/>
                  </w:tcMar>
                  <w:vAlign w:val="center"/>
                </w:tcPr>
                <w:p w14:paraId="45C329B0">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bCs/>
                      <w:kern w:val="0"/>
                      <w:sz w:val="21"/>
                      <w:szCs w:val="21"/>
                      <w:highlight w:val="none"/>
                      <w:lang w:val="en-US" w:eastAsia="zh-CN" w:bidi="ar-SA"/>
                    </w:rPr>
                  </w:pPr>
                  <w:r>
                    <w:rPr>
                      <w:rFonts w:hint="eastAsia" w:ascii="Times New Roman" w:hAnsi="Times New Roman" w:eastAsia="宋体" w:cs="Times New Roman"/>
                      <w:i w:val="0"/>
                      <w:iCs w:val="0"/>
                      <w:color w:val="000000"/>
                      <w:kern w:val="0"/>
                      <w:sz w:val="21"/>
                      <w:szCs w:val="21"/>
                      <w:highlight w:val="none"/>
                      <w:u w:val="none"/>
                      <w:lang w:val="en-US" w:eastAsia="zh-CN" w:bidi="ar"/>
                    </w:rPr>
                    <w:t xml:space="preserve">0.006 </w:t>
                  </w:r>
                </w:p>
              </w:tc>
              <w:tc>
                <w:tcPr>
                  <w:tcW w:w="641" w:type="pct"/>
                  <w:shd w:val="clear" w:color="auto" w:fill="auto"/>
                  <w:noWrap w:val="0"/>
                  <w:tcMar>
                    <w:left w:w="57" w:type="dxa"/>
                    <w:right w:w="57" w:type="dxa"/>
                  </w:tcMar>
                  <w:vAlign w:val="center"/>
                </w:tcPr>
                <w:p w14:paraId="397EFF08">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bCs/>
                      <w:kern w:val="0"/>
                      <w:sz w:val="21"/>
                      <w:szCs w:val="21"/>
                      <w:highlight w:val="none"/>
                      <w:lang w:val="en-US" w:eastAsia="zh-CN" w:bidi="ar-SA"/>
                    </w:rPr>
                  </w:pPr>
                  <w:r>
                    <w:rPr>
                      <w:rFonts w:hint="eastAsia" w:ascii="Times New Roman" w:hAnsi="Times New Roman" w:eastAsia="宋体" w:cs="Times New Roman"/>
                      <w:i w:val="0"/>
                      <w:iCs w:val="0"/>
                      <w:color w:val="000000"/>
                      <w:kern w:val="0"/>
                      <w:sz w:val="21"/>
                      <w:szCs w:val="21"/>
                      <w:highlight w:val="none"/>
                      <w:u w:val="none"/>
                      <w:lang w:val="en-US" w:eastAsia="zh-CN" w:bidi="ar"/>
                    </w:rPr>
                    <w:t xml:space="preserve">2.45 </w:t>
                  </w:r>
                </w:p>
              </w:tc>
              <w:tc>
                <w:tcPr>
                  <w:tcW w:w="513" w:type="pct"/>
                  <w:noWrap w:val="0"/>
                  <w:tcMar>
                    <w:left w:w="57" w:type="dxa"/>
                    <w:right w:w="57" w:type="dxa"/>
                  </w:tcMar>
                  <w:vAlign w:val="center"/>
                </w:tcPr>
                <w:p w14:paraId="14B196C0">
                  <w:pPr>
                    <w:keepNext w:val="0"/>
                    <w:keepLines w:val="0"/>
                    <w:widowControl/>
                    <w:suppressLineNumbers w:val="0"/>
                    <w:spacing w:before="0" w:beforeAutospacing="0" w:after="0" w:afterAutospacing="0" w:line="276" w:lineRule="auto"/>
                    <w:ind w:left="0" w:right="0"/>
                    <w:jc w:val="center"/>
                    <w:rPr>
                      <w:rFonts w:hint="default" w:ascii="Times New Roman" w:hAnsi="Times New Roman" w:eastAsia="宋体" w:cs="Times New Roman"/>
                      <w:sz w:val="21"/>
                      <w:szCs w:val="21"/>
                      <w:highlight w:val="none"/>
                      <w:lang w:val="en-US" w:eastAsia="zh-CN"/>
                    </w:rPr>
                  </w:pPr>
                  <w:r>
                    <w:rPr>
                      <w:rFonts w:hint="eastAsia" w:ascii="Times New Roman" w:hAnsi="Times New Roman" w:eastAsia="宋体" w:cs="Times New Roman"/>
                      <w:b w:val="0"/>
                      <w:bCs w:val="0"/>
                      <w:kern w:val="0"/>
                      <w:sz w:val="21"/>
                      <w:szCs w:val="21"/>
                      <w:highlight w:val="none"/>
                      <w:lang w:val="en-US" w:eastAsia="zh-CN"/>
                    </w:rPr>
                    <w:t>26.5</w:t>
                  </w:r>
                </w:p>
              </w:tc>
              <w:tc>
                <w:tcPr>
                  <w:tcW w:w="669" w:type="pct"/>
                  <w:noWrap w:val="0"/>
                  <w:tcMar>
                    <w:left w:w="57" w:type="dxa"/>
                    <w:right w:w="57" w:type="dxa"/>
                  </w:tcMar>
                  <w:vAlign w:val="center"/>
                </w:tcPr>
                <w:p w14:paraId="0A1B4240">
                  <w:pPr>
                    <w:keepNext w:val="0"/>
                    <w:keepLines w:val="0"/>
                    <w:widowControl/>
                    <w:suppressLineNumbers w:val="0"/>
                    <w:spacing w:before="0" w:beforeAutospacing="0" w:after="0" w:afterAutospacing="0" w:line="276" w:lineRule="auto"/>
                    <w:ind w:left="0" w:right="0"/>
                    <w:jc w:val="center"/>
                    <w:rPr>
                      <w:rFonts w:hint="default" w:ascii="Times New Roman" w:hAnsi="Times New Roman" w:eastAsia="宋体" w:cs="Times New Roman"/>
                      <w:sz w:val="21"/>
                      <w:szCs w:val="21"/>
                      <w:highlight w:val="none"/>
                      <w:lang w:val="en-US" w:eastAsia="zh-CN"/>
                    </w:rPr>
                  </w:pPr>
                  <w:r>
                    <w:rPr>
                      <w:rFonts w:hint="eastAsia" w:ascii="Times New Roman" w:hAnsi="Times New Roman" w:eastAsia="宋体" w:cs="Times New Roman"/>
                      <w:kern w:val="0"/>
                      <w:sz w:val="21"/>
                      <w:szCs w:val="21"/>
                      <w:highlight w:val="none"/>
                    </w:rPr>
                    <w:t>120</w:t>
                  </w:r>
                </w:p>
              </w:tc>
              <w:tc>
                <w:tcPr>
                  <w:tcW w:w="441" w:type="pct"/>
                  <w:noWrap w:val="0"/>
                  <w:tcMar>
                    <w:left w:w="57" w:type="dxa"/>
                    <w:right w:w="57" w:type="dxa"/>
                  </w:tcMar>
                  <w:vAlign w:val="center"/>
                </w:tcPr>
                <w:p w14:paraId="780F5467">
                  <w:pPr>
                    <w:keepNext w:val="0"/>
                    <w:keepLines w:val="0"/>
                    <w:suppressLineNumbers w:val="0"/>
                    <w:overflowPunct w:val="0"/>
                    <w:adjustRightInd w:val="0"/>
                    <w:snapToGrid w:val="0"/>
                    <w:spacing w:before="0" w:beforeAutospacing="0" w:after="0" w:afterAutospacing="0" w:line="276" w:lineRule="auto"/>
                    <w:ind w:left="0" w:right="0"/>
                    <w:jc w:val="center"/>
                    <w:rPr>
                      <w:rFonts w:hint="eastAsia" w:ascii="Times New Roman" w:hAnsi="Times New Roman" w:eastAsia="宋体" w:cs="Times New Roman"/>
                      <w:kern w:val="0"/>
                      <w:sz w:val="21"/>
                      <w:szCs w:val="21"/>
                      <w:highlight w:val="none"/>
                    </w:rPr>
                  </w:pPr>
                  <w:r>
                    <w:rPr>
                      <w:rFonts w:hint="eastAsia" w:ascii="Times New Roman" w:hAnsi="Times New Roman" w:eastAsia="宋体" w:cs="Times New Roman"/>
                      <w:kern w:val="0"/>
                      <w:sz w:val="21"/>
                      <w:szCs w:val="21"/>
                      <w:highlight w:val="none"/>
                    </w:rPr>
                    <w:t>达标</w:t>
                  </w:r>
                </w:p>
              </w:tc>
            </w:tr>
            <w:tr w14:paraId="6165372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547" w:type="pct"/>
                  <w:vMerge w:val="continue"/>
                  <w:noWrap w:val="0"/>
                  <w:tcMar>
                    <w:left w:w="57" w:type="dxa"/>
                    <w:right w:w="57" w:type="dxa"/>
                  </w:tcMar>
                  <w:vAlign w:val="center"/>
                </w:tcPr>
                <w:p w14:paraId="02110771">
                  <w:pPr>
                    <w:keepNext w:val="0"/>
                    <w:keepLines w:val="0"/>
                    <w:widowControl/>
                    <w:suppressLineNumbers w:val="0"/>
                    <w:adjustRightInd w:val="0"/>
                    <w:snapToGrid w:val="0"/>
                    <w:spacing w:before="0" w:beforeAutospacing="0" w:after="0" w:afterAutospacing="0" w:line="276" w:lineRule="auto"/>
                    <w:ind w:left="0" w:right="0"/>
                    <w:jc w:val="center"/>
                    <w:rPr>
                      <w:rFonts w:hint="default" w:ascii="Times New Roman" w:hAnsi="Times New Roman" w:eastAsia="宋体" w:cs="Times New Roman"/>
                      <w:snapToGrid w:val="0"/>
                      <w:sz w:val="21"/>
                      <w:szCs w:val="21"/>
                      <w:highlight w:val="none"/>
                    </w:rPr>
                  </w:pPr>
                </w:p>
              </w:tc>
              <w:tc>
                <w:tcPr>
                  <w:tcW w:w="710" w:type="pct"/>
                  <w:vMerge w:val="continue"/>
                  <w:noWrap w:val="0"/>
                  <w:tcMar>
                    <w:left w:w="57" w:type="dxa"/>
                    <w:right w:w="57" w:type="dxa"/>
                  </w:tcMar>
                  <w:vAlign w:val="center"/>
                </w:tcPr>
                <w:p w14:paraId="4625E4AD">
                  <w:pPr>
                    <w:keepNext w:val="0"/>
                    <w:keepLines w:val="0"/>
                    <w:widowControl/>
                    <w:suppressLineNumbers w:val="0"/>
                    <w:adjustRightInd w:val="0"/>
                    <w:snapToGrid w:val="0"/>
                    <w:spacing w:before="0" w:beforeAutospacing="0" w:after="0" w:afterAutospacing="0" w:line="276" w:lineRule="auto"/>
                    <w:ind w:left="0" w:right="0"/>
                    <w:jc w:val="center"/>
                    <w:rPr>
                      <w:rFonts w:hint="eastAsia" w:ascii="Times New Roman" w:hAnsi="Times New Roman" w:eastAsia="宋体" w:cs="Times New Roman"/>
                      <w:snapToGrid w:val="0"/>
                      <w:sz w:val="21"/>
                      <w:szCs w:val="21"/>
                      <w:highlight w:val="none"/>
                      <w:lang w:val="en-US" w:eastAsia="zh-CN"/>
                    </w:rPr>
                  </w:pPr>
                </w:p>
              </w:tc>
              <w:tc>
                <w:tcPr>
                  <w:tcW w:w="788" w:type="pct"/>
                  <w:shd w:val="clear" w:color="auto" w:fill="auto"/>
                  <w:noWrap w:val="0"/>
                  <w:tcMar>
                    <w:left w:w="57" w:type="dxa"/>
                    <w:right w:w="57" w:type="dxa"/>
                  </w:tcMar>
                  <w:vAlign w:val="center"/>
                </w:tcPr>
                <w:p w14:paraId="49EC2C04">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64" w:lineRule="auto"/>
                    <w:ind w:left="0" w:right="0"/>
                    <w:jc w:val="center"/>
                    <w:textAlignment w:val="auto"/>
                    <w:rPr>
                      <w:rFonts w:hint="default" w:ascii="Times New Roman" w:hAnsi="Times New Roman" w:eastAsia="宋体" w:cs="Times New Roman"/>
                      <w:bCs/>
                      <w:kern w:val="0"/>
                      <w:sz w:val="21"/>
                      <w:szCs w:val="21"/>
                      <w:highlight w:val="none"/>
                      <w:lang w:val="en-US" w:eastAsia="zh-CN" w:bidi="ar-SA"/>
                    </w:rPr>
                  </w:pPr>
                  <w:r>
                    <w:rPr>
                      <w:rFonts w:hint="eastAsia" w:ascii="Times New Roman" w:hAnsi="Times New Roman" w:eastAsia="宋体" w:cs="Times New Roman"/>
                      <w:bCs/>
                      <w:kern w:val="0"/>
                      <w:sz w:val="21"/>
                      <w:szCs w:val="21"/>
                      <w:highlight w:val="none"/>
                      <w:lang w:val="en-US" w:eastAsia="zh-CN"/>
                    </w:rPr>
                    <w:t>氯气</w:t>
                  </w:r>
                </w:p>
              </w:tc>
              <w:tc>
                <w:tcPr>
                  <w:tcW w:w="1329" w:type="pct"/>
                  <w:gridSpan w:val="2"/>
                  <w:shd w:val="clear" w:color="auto" w:fill="auto"/>
                  <w:noWrap w:val="0"/>
                  <w:tcMar>
                    <w:left w:w="57" w:type="dxa"/>
                    <w:right w:w="57" w:type="dxa"/>
                  </w:tcMar>
                  <w:vAlign w:val="center"/>
                </w:tcPr>
                <w:p w14:paraId="31051229">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bCs/>
                      <w:kern w:val="0"/>
                      <w:sz w:val="21"/>
                      <w:szCs w:val="21"/>
                      <w:highlight w:val="none"/>
                      <w:lang w:val="en-US" w:eastAsia="zh-CN" w:bidi="ar-SA"/>
                    </w:rPr>
                  </w:pPr>
                  <w:r>
                    <w:rPr>
                      <w:rFonts w:hint="eastAsia" w:cs="Times New Roman"/>
                      <w:bCs/>
                      <w:kern w:val="0"/>
                      <w:sz w:val="21"/>
                      <w:szCs w:val="21"/>
                      <w:highlight w:val="none"/>
                      <w:lang w:val="en-US" w:eastAsia="zh-CN" w:bidi="ar-SA"/>
                    </w:rPr>
                    <w:t>少量</w:t>
                  </w:r>
                </w:p>
              </w:tc>
              <w:tc>
                <w:tcPr>
                  <w:tcW w:w="513" w:type="pct"/>
                  <w:noWrap w:val="0"/>
                  <w:tcMar>
                    <w:left w:w="57" w:type="dxa"/>
                    <w:right w:w="57" w:type="dxa"/>
                  </w:tcMar>
                  <w:vAlign w:val="center"/>
                </w:tcPr>
                <w:p w14:paraId="3497C984">
                  <w:pPr>
                    <w:keepNext w:val="0"/>
                    <w:keepLines w:val="0"/>
                    <w:widowControl/>
                    <w:suppressLineNumbers w:val="0"/>
                    <w:spacing w:before="0" w:beforeAutospacing="0" w:after="0" w:afterAutospacing="0" w:line="276" w:lineRule="auto"/>
                    <w:ind w:left="0" w:right="0"/>
                    <w:jc w:val="center"/>
                    <w:rPr>
                      <w:rFonts w:hint="eastAsia" w:ascii="Times New Roman" w:hAnsi="Times New Roman" w:eastAsia="宋体" w:cs="Times New Roman"/>
                      <w:sz w:val="21"/>
                      <w:szCs w:val="21"/>
                      <w:highlight w:val="none"/>
                      <w:lang w:val="en-US" w:eastAsia="zh-CN"/>
                    </w:rPr>
                  </w:pPr>
                  <w:r>
                    <w:rPr>
                      <w:rFonts w:hint="eastAsia" w:ascii="Times New Roman" w:hAnsi="Times New Roman" w:eastAsia="宋体" w:cs="Times New Roman"/>
                      <w:kern w:val="0"/>
                      <w:sz w:val="21"/>
                      <w:szCs w:val="21"/>
                      <w:highlight w:val="none"/>
                      <w:lang w:val="en-US" w:eastAsia="zh-CN"/>
                    </w:rPr>
                    <w:t>0.44</w:t>
                  </w:r>
                </w:p>
              </w:tc>
              <w:tc>
                <w:tcPr>
                  <w:tcW w:w="669" w:type="pct"/>
                  <w:noWrap w:val="0"/>
                  <w:tcMar>
                    <w:left w:w="57" w:type="dxa"/>
                    <w:right w:w="57" w:type="dxa"/>
                  </w:tcMar>
                  <w:vAlign w:val="center"/>
                </w:tcPr>
                <w:p w14:paraId="42DA694F">
                  <w:pPr>
                    <w:keepNext w:val="0"/>
                    <w:keepLines w:val="0"/>
                    <w:widowControl/>
                    <w:suppressLineNumbers w:val="0"/>
                    <w:spacing w:before="0" w:beforeAutospacing="0" w:after="0" w:afterAutospacing="0" w:line="276" w:lineRule="auto"/>
                    <w:ind w:left="0" w:right="0"/>
                    <w:jc w:val="center"/>
                    <w:rPr>
                      <w:rFonts w:hint="default" w:ascii="Times New Roman" w:hAnsi="Times New Roman" w:eastAsia="宋体" w:cs="Times New Roman"/>
                      <w:sz w:val="21"/>
                      <w:szCs w:val="21"/>
                      <w:highlight w:val="none"/>
                      <w:lang w:val="en-US" w:eastAsia="zh-CN"/>
                    </w:rPr>
                  </w:pPr>
                  <w:r>
                    <w:rPr>
                      <w:rFonts w:hint="eastAsia" w:ascii="Times New Roman" w:hAnsi="Times New Roman" w:eastAsia="宋体" w:cs="Times New Roman"/>
                      <w:kern w:val="0"/>
                      <w:sz w:val="21"/>
                      <w:szCs w:val="21"/>
                      <w:highlight w:val="none"/>
                      <w:lang w:val="en-US" w:eastAsia="zh-CN"/>
                    </w:rPr>
                    <w:t>65</w:t>
                  </w:r>
                </w:p>
              </w:tc>
              <w:tc>
                <w:tcPr>
                  <w:tcW w:w="441" w:type="pct"/>
                  <w:noWrap w:val="0"/>
                  <w:tcMar>
                    <w:left w:w="57" w:type="dxa"/>
                    <w:right w:w="57" w:type="dxa"/>
                  </w:tcMar>
                  <w:vAlign w:val="center"/>
                </w:tcPr>
                <w:p w14:paraId="7B0EB380">
                  <w:pPr>
                    <w:keepNext w:val="0"/>
                    <w:keepLines w:val="0"/>
                    <w:suppressLineNumbers w:val="0"/>
                    <w:overflowPunct w:val="0"/>
                    <w:adjustRightInd w:val="0"/>
                    <w:snapToGrid w:val="0"/>
                    <w:spacing w:before="0" w:beforeAutospacing="0" w:after="0" w:afterAutospacing="0" w:line="276" w:lineRule="auto"/>
                    <w:ind w:left="0" w:right="0"/>
                    <w:jc w:val="center"/>
                    <w:rPr>
                      <w:rFonts w:hint="eastAsia" w:ascii="Times New Roman" w:hAnsi="Times New Roman" w:eastAsia="宋体" w:cs="Times New Roman"/>
                      <w:kern w:val="0"/>
                      <w:sz w:val="21"/>
                      <w:szCs w:val="21"/>
                      <w:highlight w:val="none"/>
                    </w:rPr>
                  </w:pPr>
                  <w:r>
                    <w:rPr>
                      <w:rFonts w:hint="eastAsia" w:ascii="Times New Roman" w:hAnsi="Times New Roman" w:eastAsia="宋体" w:cs="Times New Roman"/>
                      <w:kern w:val="0"/>
                      <w:sz w:val="21"/>
                      <w:szCs w:val="21"/>
                      <w:highlight w:val="none"/>
                    </w:rPr>
                    <w:t>达标</w:t>
                  </w:r>
                </w:p>
              </w:tc>
            </w:tr>
            <w:tr w14:paraId="5FF56F1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3" w:hRule="atLeast"/>
                <w:jc w:val="center"/>
              </w:trPr>
              <w:tc>
                <w:tcPr>
                  <w:tcW w:w="547" w:type="pct"/>
                  <w:vMerge w:val="restart"/>
                  <w:noWrap w:val="0"/>
                  <w:tcMar>
                    <w:left w:w="57" w:type="dxa"/>
                    <w:right w:w="57" w:type="dxa"/>
                  </w:tcMar>
                  <w:vAlign w:val="center"/>
                </w:tcPr>
                <w:p w14:paraId="52EE885F">
                  <w:pPr>
                    <w:keepNext w:val="0"/>
                    <w:keepLines w:val="0"/>
                    <w:widowControl/>
                    <w:suppressLineNumbers w:val="0"/>
                    <w:adjustRightInd w:val="0"/>
                    <w:snapToGrid w:val="0"/>
                    <w:spacing w:before="0" w:beforeAutospacing="0" w:after="0" w:afterAutospacing="0" w:line="276" w:lineRule="auto"/>
                    <w:ind w:left="0" w:right="0"/>
                    <w:jc w:val="center"/>
                    <w:rPr>
                      <w:rFonts w:hint="default" w:ascii="Times New Roman" w:hAnsi="Times New Roman" w:eastAsia="宋体" w:cs="Times New Roman"/>
                      <w:snapToGrid w:val="0"/>
                      <w:sz w:val="21"/>
                      <w:szCs w:val="21"/>
                      <w:highlight w:val="none"/>
                      <w:lang w:val="en-US"/>
                    </w:rPr>
                  </w:pPr>
                  <w:r>
                    <w:rPr>
                      <w:rFonts w:hint="default" w:ascii="Times New Roman" w:hAnsi="Times New Roman" w:eastAsia="宋体" w:cs="Times New Roman"/>
                      <w:snapToGrid w:val="0"/>
                      <w:sz w:val="21"/>
                      <w:szCs w:val="21"/>
                      <w:highlight w:val="none"/>
                    </w:rPr>
                    <w:t>DA0</w:t>
                  </w:r>
                  <w:r>
                    <w:rPr>
                      <w:rFonts w:hint="eastAsia" w:ascii="Times New Roman" w:hAnsi="Times New Roman" w:eastAsia="宋体" w:cs="Times New Roman"/>
                      <w:snapToGrid w:val="0"/>
                      <w:sz w:val="21"/>
                      <w:szCs w:val="21"/>
                      <w:highlight w:val="none"/>
                      <w:lang w:val="en-US" w:eastAsia="zh-CN"/>
                    </w:rPr>
                    <w:t>07</w:t>
                  </w:r>
                </w:p>
              </w:tc>
              <w:tc>
                <w:tcPr>
                  <w:tcW w:w="710" w:type="pct"/>
                  <w:vMerge w:val="restart"/>
                  <w:noWrap w:val="0"/>
                  <w:tcMar>
                    <w:left w:w="57" w:type="dxa"/>
                    <w:right w:w="57" w:type="dxa"/>
                  </w:tcMar>
                  <w:vAlign w:val="center"/>
                </w:tcPr>
                <w:p w14:paraId="1F12AB1A">
                  <w:pPr>
                    <w:keepNext w:val="0"/>
                    <w:keepLines w:val="0"/>
                    <w:widowControl/>
                    <w:suppressLineNumbers w:val="0"/>
                    <w:adjustRightInd w:val="0"/>
                    <w:snapToGrid w:val="0"/>
                    <w:spacing w:before="0" w:beforeAutospacing="0" w:after="0" w:afterAutospacing="0" w:line="276" w:lineRule="auto"/>
                    <w:ind w:left="0" w:right="0"/>
                    <w:jc w:val="center"/>
                    <w:rPr>
                      <w:rFonts w:hint="eastAsia" w:ascii="Times New Roman" w:hAnsi="Times New Roman" w:eastAsia="宋体" w:cs="Times New Roman"/>
                      <w:snapToGrid w:val="0"/>
                      <w:sz w:val="21"/>
                      <w:szCs w:val="21"/>
                      <w:highlight w:val="none"/>
                      <w:lang w:val="en-US" w:eastAsia="zh-CN"/>
                    </w:rPr>
                  </w:pPr>
                  <w:r>
                    <w:rPr>
                      <w:rFonts w:hint="eastAsia" w:ascii="Times New Roman" w:hAnsi="Times New Roman" w:eastAsia="宋体" w:cs="Times New Roman"/>
                      <w:snapToGrid w:val="0"/>
                      <w:sz w:val="21"/>
                      <w:szCs w:val="21"/>
                      <w:highlight w:val="none"/>
                      <w:lang w:val="en-US" w:eastAsia="zh-CN"/>
                    </w:rPr>
                    <w:t>7#</w:t>
                  </w:r>
                  <w:r>
                    <w:rPr>
                      <w:rFonts w:hint="default" w:ascii="Times New Roman" w:hAnsi="Times New Roman" w:eastAsia="宋体" w:cs="Times New Roman"/>
                      <w:snapToGrid w:val="0"/>
                      <w:sz w:val="21"/>
                      <w:szCs w:val="21"/>
                      <w:highlight w:val="none"/>
                    </w:rPr>
                    <w:t>排放口</w:t>
                  </w:r>
                </w:p>
              </w:tc>
              <w:tc>
                <w:tcPr>
                  <w:tcW w:w="788" w:type="pct"/>
                  <w:shd w:val="clear" w:color="auto" w:fill="auto"/>
                  <w:noWrap w:val="0"/>
                  <w:tcMar>
                    <w:left w:w="57" w:type="dxa"/>
                    <w:right w:w="57" w:type="dxa"/>
                  </w:tcMar>
                  <w:vAlign w:val="center"/>
                </w:tcPr>
                <w:p w14:paraId="7CA6E9E0">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64" w:lineRule="auto"/>
                    <w:ind w:left="0" w:right="0"/>
                    <w:jc w:val="center"/>
                    <w:textAlignment w:val="auto"/>
                    <w:rPr>
                      <w:rFonts w:hint="eastAsia" w:ascii="Times New Roman" w:hAnsi="Times New Roman" w:eastAsia="宋体" w:cs="Times New Roman"/>
                      <w:bCs/>
                      <w:kern w:val="0"/>
                      <w:sz w:val="21"/>
                      <w:szCs w:val="21"/>
                      <w:highlight w:val="none"/>
                      <w:lang w:val="en-US" w:eastAsia="zh-CN" w:bidi="ar-SA"/>
                    </w:rPr>
                  </w:pPr>
                  <w:r>
                    <w:rPr>
                      <w:rFonts w:hint="eastAsia" w:ascii="Times New Roman" w:hAnsi="Times New Roman" w:eastAsia="宋体" w:cs="Times New Roman"/>
                      <w:bCs/>
                      <w:kern w:val="0"/>
                      <w:sz w:val="21"/>
                      <w:szCs w:val="21"/>
                      <w:highlight w:val="none"/>
                      <w:lang w:val="en-US" w:eastAsia="zh-CN"/>
                    </w:rPr>
                    <w:t>非甲烷总烃</w:t>
                  </w:r>
                </w:p>
              </w:tc>
              <w:tc>
                <w:tcPr>
                  <w:tcW w:w="687" w:type="pct"/>
                  <w:shd w:val="clear" w:color="auto" w:fill="auto"/>
                  <w:noWrap w:val="0"/>
                  <w:tcMar>
                    <w:left w:w="57" w:type="dxa"/>
                    <w:right w:w="57" w:type="dxa"/>
                  </w:tcMar>
                  <w:vAlign w:val="center"/>
                </w:tcPr>
                <w:p w14:paraId="7CB8BC11">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bCs/>
                      <w:kern w:val="0"/>
                      <w:sz w:val="21"/>
                      <w:szCs w:val="21"/>
                      <w:highlight w:val="none"/>
                      <w:lang w:val="en-US" w:eastAsia="zh-CN" w:bidi="ar-SA"/>
                    </w:rPr>
                  </w:pPr>
                  <w:r>
                    <w:rPr>
                      <w:rFonts w:hint="eastAsia" w:ascii="Times New Roman" w:hAnsi="Times New Roman" w:eastAsia="宋体" w:cs="Times New Roman"/>
                      <w:i w:val="0"/>
                      <w:iCs w:val="0"/>
                      <w:color w:val="000000"/>
                      <w:kern w:val="0"/>
                      <w:sz w:val="21"/>
                      <w:szCs w:val="21"/>
                      <w:highlight w:val="none"/>
                      <w:u w:val="none"/>
                      <w:lang w:val="en-US" w:eastAsia="zh-CN" w:bidi="ar"/>
                    </w:rPr>
                    <w:t xml:space="preserve">0.051 </w:t>
                  </w:r>
                </w:p>
              </w:tc>
              <w:tc>
                <w:tcPr>
                  <w:tcW w:w="641" w:type="pct"/>
                  <w:shd w:val="clear" w:color="auto" w:fill="auto"/>
                  <w:noWrap w:val="0"/>
                  <w:tcMar>
                    <w:left w:w="57" w:type="dxa"/>
                    <w:right w:w="57" w:type="dxa"/>
                  </w:tcMar>
                  <w:vAlign w:val="center"/>
                </w:tcPr>
                <w:p w14:paraId="0FC350DE">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bCs/>
                      <w:kern w:val="0"/>
                      <w:sz w:val="21"/>
                      <w:szCs w:val="21"/>
                      <w:highlight w:val="none"/>
                      <w:lang w:val="en-US" w:eastAsia="zh-CN" w:bidi="ar-SA"/>
                    </w:rPr>
                  </w:pPr>
                  <w:r>
                    <w:rPr>
                      <w:rFonts w:hint="eastAsia" w:ascii="Times New Roman" w:hAnsi="Times New Roman" w:eastAsia="宋体" w:cs="Times New Roman"/>
                      <w:i w:val="0"/>
                      <w:iCs w:val="0"/>
                      <w:color w:val="000000"/>
                      <w:kern w:val="0"/>
                      <w:sz w:val="21"/>
                      <w:szCs w:val="21"/>
                      <w:highlight w:val="none"/>
                      <w:u w:val="none"/>
                      <w:lang w:val="en-US" w:eastAsia="zh-CN" w:bidi="ar"/>
                    </w:rPr>
                    <w:t xml:space="preserve">3.42 </w:t>
                  </w:r>
                </w:p>
              </w:tc>
              <w:tc>
                <w:tcPr>
                  <w:tcW w:w="513" w:type="pct"/>
                  <w:noWrap w:val="0"/>
                  <w:tcMar>
                    <w:left w:w="57" w:type="dxa"/>
                    <w:right w:w="57" w:type="dxa"/>
                  </w:tcMar>
                  <w:vAlign w:val="center"/>
                </w:tcPr>
                <w:p w14:paraId="4FF32081">
                  <w:pPr>
                    <w:keepNext w:val="0"/>
                    <w:keepLines w:val="0"/>
                    <w:widowControl/>
                    <w:suppressLineNumbers w:val="0"/>
                    <w:spacing w:before="0" w:beforeAutospacing="0" w:after="0" w:afterAutospacing="0" w:line="276" w:lineRule="auto"/>
                    <w:ind w:left="0" w:right="0"/>
                    <w:jc w:val="center"/>
                    <w:rPr>
                      <w:rFonts w:hint="eastAsia" w:ascii="Times New Roman" w:hAnsi="Times New Roman" w:eastAsia="宋体" w:cs="Times New Roman"/>
                      <w:sz w:val="21"/>
                      <w:szCs w:val="21"/>
                      <w:highlight w:val="none"/>
                      <w:lang w:val="en-US" w:eastAsia="zh-CN"/>
                    </w:rPr>
                  </w:pPr>
                  <w:r>
                    <w:rPr>
                      <w:rFonts w:hint="eastAsia" w:ascii="Times New Roman" w:hAnsi="Times New Roman" w:eastAsia="宋体" w:cs="Times New Roman"/>
                      <w:b w:val="0"/>
                      <w:bCs w:val="0"/>
                      <w:kern w:val="0"/>
                      <w:sz w:val="21"/>
                      <w:szCs w:val="21"/>
                      <w:highlight w:val="none"/>
                      <w:lang w:val="en-US" w:eastAsia="zh-CN"/>
                    </w:rPr>
                    <w:t>26.5</w:t>
                  </w:r>
                </w:p>
              </w:tc>
              <w:tc>
                <w:tcPr>
                  <w:tcW w:w="669" w:type="pct"/>
                  <w:shd w:val="clear" w:color="auto" w:fill="auto"/>
                  <w:noWrap w:val="0"/>
                  <w:tcMar>
                    <w:left w:w="57" w:type="dxa"/>
                    <w:right w:w="57" w:type="dxa"/>
                  </w:tcMar>
                  <w:vAlign w:val="center"/>
                </w:tcPr>
                <w:p w14:paraId="52D73C31">
                  <w:pPr>
                    <w:keepNext w:val="0"/>
                    <w:keepLines w:val="0"/>
                    <w:widowControl/>
                    <w:suppressLineNumbers w:val="0"/>
                    <w:spacing w:before="0" w:beforeAutospacing="0" w:after="0" w:afterAutospacing="0" w:line="276" w:lineRule="auto"/>
                    <w:ind w:left="0" w:right="0"/>
                    <w:jc w:val="center"/>
                    <w:rPr>
                      <w:rFonts w:hint="default" w:ascii="Times New Roman" w:hAnsi="Times New Roman" w:eastAsia="宋体" w:cs="Times New Roman"/>
                      <w:kern w:val="0"/>
                      <w:sz w:val="21"/>
                      <w:szCs w:val="21"/>
                      <w:highlight w:val="none"/>
                      <w:lang w:val="en-US" w:eastAsia="zh-CN" w:bidi="ar-SA"/>
                    </w:rPr>
                  </w:pPr>
                  <w:r>
                    <w:rPr>
                      <w:rFonts w:hint="eastAsia" w:ascii="Times New Roman" w:hAnsi="Times New Roman" w:eastAsia="宋体" w:cs="Times New Roman"/>
                      <w:kern w:val="0"/>
                      <w:sz w:val="21"/>
                      <w:szCs w:val="21"/>
                      <w:highlight w:val="none"/>
                    </w:rPr>
                    <w:t>120</w:t>
                  </w:r>
                </w:p>
              </w:tc>
              <w:tc>
                <w:tcPr>
                  <w:tcW w:w="441" w:type="pct"/>
                  <w:noWrap w:val="0"/>
                  <w:tcMar>
                    <w:left w:w="57" w:type="dxa"/>
                    <w:right w:w="57" w:type="dxa"/>
                  </w:tcMar>
                  <w:vAlign w:val="center"/>
                </w:tcPr>
                <w:p w14:paraId="4CB055AB">
                  <w:pPr>
                    <w:keepNext w:val="0"/>
                    <w:keepLines w:val="0"/>
                    <w:suppressLineNumbers w:val="0"/>
                    <w:overflowPunct w:val="0"/>
                    <w:adjustRightInd w:val="0"/>
                    <w:snapToGrid w:val="0"/>
                    <w:spacing w:before="0" w:beforeAutospacing="0" w:after="0" w:afterAutospacing="0" w:line="276" w:lineRule="auto"/>
                    <w:ind w:left="0" w:right="0"/>
                    <w:jc w:val="center"/>
                    <w:rPr>
                      <w:rFonts w:hint="eastAsia" w:ascii="Times New Roman" w:hAnsi="Times New Roman" w:eastAsia="宋体" w:cs="Times New Roman"/>
                      <w:kern w:val="0"/>
                      <w:sz w:val="21"/>
                      <w:szCs w:val="21"/>
                      <w:highlight w:val="none"/>
                    </w:rPr>
                  </w:pPr>
                  <w:r>
                    <w:rPr>
                      <w:rFonts w:hint="eastAsia" w:ascii="Times New Roman" w:hAnsi="Times New Roman" w:eastAsia="宋体" w:cs="Times New Roman"/>
                      <w:kern w:val="0"/>
                      <w:sz w:val="21"/>
                      <w:szCs w:val="21"/>
                      <w:highlight w:val="none"/>
                    </w:rPr>
                    <w:t>达标</w:t>
                  </w:r>
                </w:p>
              </w:tc>
            </w:tr>
            <w:tr w14:paraId="162A0AD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3" w:hRule="atLeast"/>
                <w:jc w:val="center"/>
              </w:trPr>
              <w:tc>
                <w:tcPr>
                  <w:tcW w:w="547" w:type="pct"/>
                  <w:vMerge w:val="continue"/>
                  <w:noWrap w:val="0"/>
                  <w:tcMar>
                    <w:left w:w="57" w:type="dxa"/>
                    <w:right w:w="57" w:type="dxa"/>
                  </w:tcMar>
                  <w:vAlign w:val="center"/>
                </w:tcPr>
                <w:p w14:paraId="3DBCF5E5">
                  <w:pPr>
                    <w:keepNext w:val="0"/>
                    <w:keepLines w:val="0"/>
                    <w:widowControl/>
                    <w:suppressLineNumbers w:val="0"/>
                    <w:adjustRightInd w:val="0"/>
                    <w:snapToGrid w:val="0"/>
                    <w:spacing w:before="0" w:beforeAutospacing="0" w:after="0" w:afterAutospacing="0" w:line="276" w:lineRule="auto"/>
                    <w:ind w:left="0" w:right="0"/>
                    <w:jc w:val="center"/>
                    <w:rPr>
                      <w:rFonts w:hint="default" w:ascii="Times New Roman" w:hAnsi="Times New Roman" w:eastAsia="宋体" w:cs="Times New Roman"/>
                      <w:snapToGrid w:val="0"/>
                      <w:sz w:val="21"/>
                      <w:szCs w:val="21"/>
                      <w:highlight w:val="none"/>
                    </w:rPr>
                  </w:pPr>
                </w:p>
              </w:tc>
              <w:tc>
                <w:tcPr>
                  <w:tcW w:w="710" w:type="pct"/>
                  <w:vMerge w:val="continue"/>
                  <w:noWrap w:val="0"/>
                  <w:tcMar>
                    <w:left w:w="57" w:type="dxa"/>
                    <w:right w:w="57" w:type="dxa"/>
                  </w:tcMar>
                  <w:vAlign w:val="center"/>
                </w:tcPr>
                <w:p w14:paraId="396DBE05">
                  <w:pPr>
                    <w:keepNext w:val="0"/>
                    <w:keepLines w:val="0"/>
                    <w:widowControl/>
                    <w:suppressLineNumbers w:val="0"/>
                    <w:adjustRightInd w:val="0"/>
                    <w:snapToGrid w:val="0"/>
                    <w:spacing w:before="0" w:beforeAutospacing="0" w:after="0" w:afterAutospacing="0" w:line="276" w:lineRule="auto"/>
                    <w:ind w:left="0" w:right="0"/>
                    <w:jc w:val="center"/>
                    <w:rPr>
                      <w:rFonts w:hint="eastAsia" w:ascii="Times New Roman" w:hAnsi="Times New Roman" w:eastAsia="宋体" w:cs="Times New Roman"/>
                      <w:snapToGrid w:val="0"/>
                      <w:sz w:val="21"/>
                      <w:szCs w:val="21"/>
                      <w:highlight w:val="none"/>
                      <w:lang w:val="en-US" w:eastAsia="zh-CN"/>
                    </w:rPr>
                  </w:pPr>
                </w:p>
              </w:tc>
              <w:tc>
                <w:tcPr>
                  <w:tcW w:w="788" w:type="pct"/>
                  <w:shd w:val="clear" w:color="auto" w:fill="auto"/>
                  <w:noWrap w:val="0"/>
                  <w:tcMar>
                    <w:left w:w="57" w:type="dxa"/>
                    <w:right w:w="57" w:type="dxa"/>
                  </w:tcMar>
                  <w:vAlign w:val="center"/>
                </w:tcPr>
                <w:p w14:paraId="62C8A415">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64" w:lineRule="auto"/>
                    <w:ind w:left="0" w:right="0"/>
                    <w:jc w:val="center"/>
                    <w:textAlignment w:val="auto"/>
                    <w:rPr>
                      <w:rFonts w:hint="eastAsia" w:ascii="Times New Roman" w:hAnsi="Times New Roman" w:eastAsia="宋体" w:cs="Times New Roman"/>
                      <w:bCs/>
                      <w:kern w:val="0"/>
                      <w:sz w:val="21"/>
                      <w:szCs w:val="21"/>
                      <w:highlight w:val="none"/>
                      <w:lang w:val="en-US" w:eastAsia="zh-CN" w:bidi="ar-SA"/>
                    </w:rPr>
                  </w:pPr>
                  <w:r>
                    <w:rPr>
                      <w:rFonts w:hint="eastAsia" w:ascii="Times New Roman" w:hAnsi="Times New Roman" w:eastAsia="宋体" w:cs="Times New Roman"/>
                      <w:bCs/>
                      <w:kern w:val="0"/>
                      <w:sz w:val="21"/>
                      <w:szCs w:val="21"/>
                      <w:highlight w:val="none"/>
                      <w:lang w:val="en-US" w:eastAsia="zh-CN"/>
                    </w:rPr>
                    <w:t>氯气</w:t>
                  </w:r>
                </w:p>
              </w:tc>
              <w:tc>
                <w:tcPr>
                  <w:tcW w:w="1329" w:type="pct"/>
                  <w:gridSpan w:val="2"/>
                  <w:shd w:val="clear" w:color="auto" w:fill="auto"/>
                  <w:noWrap w:val="0"/>
                  <w:tcMar>
                    <w:left w:w="57" w:type="dxa"/>
                    <w:right w:w="57" w:type="dxa"/>
                  </w:tcMar>
                  <w:vAlign w:val="center"/>
                </w:tcPr>
                <w:p w14:paraId="58524615">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bCs/>
                      <w:kern w:val="0"/>
                      <w:sz w:val="21"/>
                      <w:szCs w:val="21"/>
                      <w:highlight w:val="none"/>
                      <w:lang w:val="en-US" w:eastAsia="zh-CN" w:bidi="ar-SA"/>
                    </w:rPr>
                  </w:pPr>
                  <w:r>
                    <w:rPr>
                      <w:rFonts w:hint="eastAsia" w:cs="Times New Roman"/>
                      <w:bCs/>
                      <w:kern w:val="0"/>
                      <w:sz w:val="21"/>
                      <w:szCs w:val="21"/>
                      <w:highlight w:val="none"/>
                      <w:lang w:val="en-US" w:eastAsia="zh-CN" w:bidi="ar-SA"/>
                    </w:rPr>
                    <w:t>少量</w:t>
                  </w:r>
                </w:p>
              </w:tc>
              <w:tc>
                <w:tcPr>
                  <w:tcW w:w="513" w:type="pct"/>
                  <w:noWrap w:val="0"/>
                  <w:tcMar>
                    <w:left w:w="57" w:type="dxa"/>
                    <w:right w:w="57" w:type="dxa"/>
                  </w:tcMar>
                  <w:vAlign w:val="center"/>
                </w:tcPr>
                <w:p w14:paraId="5AA847BA">
                  <w:pPr>
                    <w:keepNext w:val="0"/>
                    <w:keepLines w:val="0"/>
                    <w:widowControl/>
                    <w:suppressLineNumbers w:val="0"/>
                    <w:spacing w:before="0" w:beforeAutospacing="0" w:after="0" w:afterAutospacing="0" w:line="276" w:lineRule="auto"/>
                    <w:ind w:left="0" w:right="0"/>
                    <w:jc w:val="center"/>
                    <w:rPr>
                      <w:rFonts w:hint="eastAsia" w:ascii="Times New Roman" w:hAnsi="Times New Roman" w:eastAsia="宋体" w:cs="Times New Roman"/>
                      <w:sz w:val="21"/>
                      <w:szCs w:val="21"/>
                      <w:highlight w:val="none"/>
                      <w:lang w:val="en-US" w:eastAsia="zh-CN"/>
                    </w:rPr>
                  </w:pPr>
                  <w:r>
                    <w:rPr>
                      <w:rFonts w:hint="eastAsia" w:ascii="Times New Roman" w:hAnsi="Times New Roman" w:eastAsia="宋体" w:cs="Times New Roman"/>
                      <w:kern w:val="0"/>
                      <w:sz w:val="21"/>
                      <w:szCs w:val="21"/>
                      <w:highlight w:val="none"/>
                      <w:lang w:val="en-US" w:eastAsia="zh-CN"/>
                    </w:rPr>
                    <w:t>0.44</w:t>
                  </w:r>
                </w:p>
              </w:tc>
              <w:tc>
                <w:tcPr>
                  <w:tcW w:w="669" w:type="pct"/>
                  <w:shd w:val="clear" w:color="auto" w:fill="auto"/>
                  <w:noWrap w:val="0"/>
                  <w:tcMar>
                    <w:left w:w="57" w:type="dxa"/>
                    <w:right w:w="57" w:type="dxa"/>
                  </w:tcMar>
                  <w:vAlign w:val="center"/>
                </w:tcPr>
                <w:p w14:paraId="2E131EB9">
                  <w:pPr>
                    <w:keepNext w:val="0"/>
                    <w:keepLines w:val="0"/>
                    <w:widowControl/>
                    <w:suppressLineNumbers w:val="0"/>
                    <w:spacing w:before="0" w:beforeAutospacing="0" w:after="0" w:afterAutospacing="0" w:line="276" w:lineRule="auto"/>
                    <w:ind w:left="0" w:right="0"/>
                    <w:jc w:val="center"/>
                    <w:rPr>
                      <w:rFonts w:hint="eastAsia" w:ascii="Times New Roman" w:hAnsi="Times New Roman" w:eastAsia="宋体" w:cs="Times New Roman"/>
                      <w:kern w:val="0"/>
                      <w:sz w:val="21"/>
                      <w:szCs w:val="21"/>
                      <w:highlight w:val="none"/>
                      <w:lang w:val="en-US" w:eastAsia="zh-CN" w:bidi="ar-SA"/>
                    </w:rPr>
                  </w:pPr>
                  <w:r>
                    <w:rPr>
                      <w:rFonts w:hint="eastAsia" w:ascii="Times New Roman" w:hAnsi="Times New Roman" w:eastAsia="宋体" w:cs="Times New Roman"/>
                      <w:kern w:val="0"/>
                      <w:sz w:val="21"/>
                      <w:szCs w:val="21"/>
                      <w:highlight w:val="none"/>
                      <w:lang w:val="en-US" w:eastAsia="zh-CN"/>
                    </w:rPr>
                    <w:t>65</w:t>
                  </w:r>
                </w:p>
              </w:tc>
              <w:tc>
                <w:tcPr>
                  <w:tcW w:w="441" w:type="pct"/>
                  <w:noWrap w:val="0"/>
                  <w:tcMar>
                    <w:left w:w="57" w:type="dxa"/>
                    <w:right w:w="57" w:type="dxa"/>
                  </w:tcMar>
                  <w:vAlign w:val="center"/>
                </w:tcPr>
                <w:p w14:paraId="61CAC531">
                  <w:pPr>
                    <w:keepNext w:val="0"/>
                    <w:keepLines w:val="0"/>
                    <w:suppressLineNumbers w:val="0"/>
                    <w:overflowPunct w:val="0"/>
                    <w:adjustRightInd w:val="0"/>
                    <w:snapToGrid w:val="0"/>
                    <w:spacing w:before="0" w:beforeAutospacing="0" w:after="0" w:afterAutospacing="0" w:line="276" w:lineRule="auto"/>
                    <w:ind w:left="0" w:right="0"/>
                    <w:jc w:val="center"/>
                    <w:rPr>
                      <w:rFonts w:hint="eastAsia" w:ascii="Times New Roman" w:hAnsi="Times New Roman" w:eastAsia="宋体" w:cs="Times New Roman"/>
                      <w:kern w:val="0"/>
                      <w:sz w:val="21"/>
                      <w:szCs w:val="21"/>
                      <w:highlight w:val="none"/>
                    </w:rPr>
                  </w:pPr>
                  <w:r>
                    <w:rPr>
                      <w:rFonts w:hint="eastAsia" w:ascii="Times New Roman" w:hAnsi="Times New Roman" w:eastAsia="宋体" w:cs="Times New Roman"/>
                      <w:kern w:val="0"/>
                      <w:sz w:val="21"/>
                      <w:szCs w:val="21"/>
                      <w:highlight w:val="none"/>
                    </w:rPr>
                    <w:t>达标</w:t>
                  </w:r>
                </w:p>
              </w:tc>
            </w:tr>
            <w:tr w14:paraId="5301963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3" w:hRule="atLeast"/>
                <w:jc w:val="center"/>
              </w:trPr>
              <w:tc>
                <w:tcPr>
                  <w:tcW w:w="547" w:type="pct"/>
                  <w:vMerge w:val="continue"/>
                  <w:noWrap w:val="0"/>
                  <w:tcMar>
                    <w:left w:w="57" w:type="dxa"/>
                    <w:right w:w="57" w:type="dxa"/>
                  </w:tcMar>
                  <w:vAlign w:val="center"/>
                </w:tcPr>
                <w:p w14:paraId="685503A9">
                  <w:pPr>
                    <w:keepNext w:val="0"/>
                    <w:keepLines w:val="0"/>
                    <w:widowControl/>
                    <w:suppressLineNumbers w:val="0"/>
                    <w:adjustRightInd w:val="0"/>
                    <w:snapToGrid w:val="0"/>
                    <w:spacing w:before="0" w:beforeAutospacing="0" w:after="0" w:afterAutospacing="0" w:line="276" w:lineRule="auto"/>
                    <w:ind w:left="0" w:right="0"/>
                    <w:jc w:val="center"/>
                    <w:rPr>
                      <w:rFonts w:hint="default" w:ascii="Times New Roman" w:hAnsi="Times New Roman" w:eastAsia="宋体" w:cs="Times New Roman"/>
                      <w:snapToGrid w:val="0"/>
                      <w:sz w:val="21"/>
                      <w:szCs w:val="21"/>
                      <w:highlight w:val="none"/>
                    </w:rPr>
                  </w:pPr>
                </w:p>
              </w:tc>
              <w:tc>
                <w:tcPr>
                  <w:tcW w:w="710" w:type="pct"/>
                  <w:vMerge w:val="continue"/>
                  <w:noWrap w:val="0"/>
                  <w:tcMar>
                    <w:left w:w="57" w:type="dxa"/>
                    <w:right w:w="57" w:type="dxa"/>
                  </w:tcMar>
                  <w:vAlign w:val="center"/>
                </w:tcPr>
                <w:p w14:paraId="4C3BEA1A">
                  <w:pPr>
                    <w:keepNext w:val="0"/>
                    <w:keepLines w:val="0"/>
                    <w:widowControl/>
                    <w:suppressLineNumbers w:val="0"/>
                    <w:adjustRightInd w:val="0"/>
                    <w:snapToGrid w:val="0"/>
                    <w:spacing w:before="0" w:beforeAutospacing="0" w:after="0" w:afterAutospacing="0" w:line="276" w:lineRule="auto"/>
                    <w:ind w:left="0" w:right="0"/>
                    <w:jc w:val="center"/>
                    <w:rPr>
                      <w:rFonts w:hint="eastAsia" w:ascii="Times New Roman" w:hAnsi="Times New Roman" w:eastAsia="宋体" w:cs="Times New Roman"/>
                      <w:snapToGrid w:val="0"/>
                      <w:sz w:val="21"/>
                      <w:szCs w:val="21"/>
                      <w:highlight w:val="none"/>
                      <w:lang w:val="en-US" w:eastAsia="zh-CN"/>
                    </w:rPr>
                  </w:pPr>
                </w:p>
              </w:tc>
              <w:tc>
                <w:tcPr>
                  <w:tcW w:w="788" w:type="pct"/>
                  <w:shd w:val="clear" w:color="auto" w:fill="auto"/>
                  <w:noWrap w:val="0"/>
                  <w:tcMar>
                    <w:left w:w="57" w:type="dxa"/>
                    <w:right w:w="57" w:type="dxa"/>
                  </w:tcMar>
                  <w:vAlign w:val="center"/>
                </w:tcPr>
                <w:p w14:paraId="34B359EA">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64" w:lineRule="auto"/>
                    <w:ind w:left="0" w:right="0"/>
                    <w:jc w:val="center"/>
                    <w:textAlignment w:val="auto"/>
                    <w:rPr>
                      <w:rFonts w:hint="eastAsia" w:ascii="Times New Roman" w:hAnsi="Times New Roman" w:eastAsia="宋体" w:cs="Times New Roman"/>
                      <w:bCs/>
                      <w:kern w:val="0"/>
                      <w:sz w:val="21"/>
                      <w:szCs w:val="21"/>
                      <w:highlight w:val="none"/>
                      <w:lang w:val="en-US" w:eastAsia="zh-CN" w:bidi="ar-SA"/>
                    </w:rPr>
                  </w:pPr>
                  <w:r>
                    <w:rPr>
                      <w:rFonts w:hint="eastAsia" w:ascii="Times New Roman" w:hAnsi="Times New Roman" w:eastAsia="宋体" w:cs="Times New Roman"/>
                      <w:bCs/>
                      <w:kern w:val="0"/>
                      <w:sz w:val="21"/>
                      <w:szCs w:val="21"/>
                      <w:highlight w:val="none"/>
                      <w:lang w:val="en-US" w:eastAsia="zh-CN"/>
                    </w:rPr>
                    <w:t>甲醛</w:t>
                  </w:r>
                </w:p>
              </w:tc>
              <w:tc>
                <w:tcPr>
                  <w:tcW w:w="687" w:type="pct"/>
                  <w:shd w:val="clear" w:color="auto" w:fill="auto"/>
                  <w:noWrap w:val="0"/>
                  <w:tcMar>
                    <w:left w:w="57" w:type="dxa"/>
                    <w:right w:w="57" w:type="dxa"/>
                  </w:tcMar>
                  <w:vAlign w:val="center"/>
                </w:tcPr>
                <w:p w14:paraId="5B42FBBB">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bCs/>
                      <w:kern w:val="0"/>
                      <w:sz w:val="21"/>
                      <w:szCs w:val="21"/>
                      <w:highlight w:val="none"/>
                      <w:lang w:val="en-US" w:eastAsia="zh-CN" w:bidi="ar-SA"/>
                    </w:rPr>
                  </w:pPr>
                  <w:r>
                    <w:rPr>
                      <w:rFonts w:hint="eastAsia" w:ascii="Times New Roman" w:hAnsi="Times New Roman" w:eastAsia="宋体" w:cs="Times New Roman"/>
                      <w:i w:val="0"/>
                      <w:iCs w:val="0"/>
                      <w:color w:val="000000"/>
                      <w:kern w:val="0"/>
                      <w:sz w:val="21"/>
                      <w:szCs w:val="21"/>
                      <w:highlight w:val="none"/>
                      <w:u w:val="none"/>
                      <w:lang w:val="en-US" w:eastAsia="zh-CN" w:bidi="ar"/>
                    </w:rPr>
                    <w:t>0.004</w:t>
                  </w:r>
                </w:p>
              </w:tc>
              <w:tc>
                <w:tcPr>
                  <w:tcW w:w="641" w:type="pct"/>
                  <w:shd w:val="clear" w:color="auto" w:fill="auto"/>
                  <w:noWrap w:val="0"/>
                  <w:tcMar>
                    <w:left w:w="57" w:type="dxa"/>
                    <w:right w:w="57" w:type="dxa"/>
                  </w:tcMar>
                  <w:vAlign w:val="center"/>
                </w:tcPr>
                <w:p w14:paraId="1F3B954D">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bCs/>
                      <w:kern w:val="0"/>
                      <w:sz w:val="21"/>
                      <w:szCs w:val="21"/>
                      <w:highlight w:val="none"/>
                      <w:lang w:val="en-US" w:eastAsia="zh-CN" w:bidi="ar-SA"/>
                    </w:rPr>
                  </w:pPr>
                  <w:r>
                    <w:rPr>
                      <w:rFonts w:hint="eastAsia" w:ascii="Times New Roman" w:hAnsi="Times New Roman" w:eastAsia="宋体" w:cs="Times New Roman"/>
                      <w:i w:val="0"/>
                      <w:iCs w:val="0"/>
                      <w:color w:val="000000"/>
                      <w:kern w:val="0"/>
                      <w:sz w:val="21"/>
                      <w:szCs w:val="21"/>
                      <w:highlight w:val="none"/>
                      <w:u w:val="none"/>
                      <w:lang w:val="en-US" w:eastAsia="zh-CN" w:bidi="ar"/>
                    </w:rPr>
                    <w:t>0.27</w:t>
                  </w:r>
                </w:p>
              </w:tc>
              <w:tc>
                <w:tcPr>
                  <w:tcW w:w="513" w:type="pct"/>
                  <w:noWrap w:val="0"/>
                  <w:tcMar>
                    <w:left w:w="57" w:type="dxa"/>
                    <w:right w:w="57" w:type="dxa"/>
                  </w:tcMar>
                  <w:vAlign w:val="center"/>
                </w:tcPr>
                <w:p w14:paraId="0ED49836">
                  <w:pPr>
                    <w:keepNext w:val="0"/>
                    <w:keepLines w:val="0"/>
                    <w:suppressLineNumbers w:val="0"/>
                    <w:adjustRightInd w:val="0"/>
                    <w:snapToGrid w:val="0"/>
                    <w:spacing w:before="0" w:beforeAutospacing="0" w:after="0" w:afterAutospacing="0" w:line="276" w:lineRule="auto"/>
                    <w:ind w:left="0" w:right="0"/>
                    <w:jc w:val="center"/>
                    <w:rPr>
                      <w:rFonts w:hint="eastAsia" w:ascii="Times New Roman" w:hAnsi="Times New Roman" w:eastAsia="宋体" w:cs="Times New Roman"/>
                      <w:sz w:val="21"/>
                      <w:szCs w:val="21"/>
                      <w:highlight w:val="none"/>
                      <w:lang w:val="en-US" w:eastAsia="zh-CN"/>
                    </w:rPr>
                  </w:pPr>
                  <w:r>
                    <w:rPr>
                      <w:rFonts w:hint="eastAsia" w:ascii="Times New Roman" w:hAnsi="Times New Roman" w:eastAsia="宋体" w:cs="Times New Roman"/>
                      <w:kern w:val="0"/>
                      <w:sz w:val="21"/>
                      <w:szCs w:val="21"/>
                      <w:highlight w:val="none"/>
                      <w:lang w:val="en-US" w:eastAsia="zh-CN"/>
                    </w:rPr>
                    <w:t>0.7</w:t>
                  </w:r>
                </w:p>
              </w:tc>
              <w:tc>
                <w:tcPr>
                  <w:tcW w:w="669" w:type="pct"/>
                  <w:shd w:val="clear" w:color="auto" w:fill="auto"/>
                  <w:noWrap w:val="0"/>
                  <w:tcMar>
                    <w:left w:w="57" w:type="dxa"/>
                    <w:right w:w="57" w:type="dxa"/>
                  </w:tcMar>
                  <w:vAlign w:val="center"/>
                </w:tcPr>
                <w:p w14:paraId="06DA8C9E">
                  <w:pPr>
                    <w:keepNext w:val="0"/>
                    <w:keepLines w:val="0"/>
                    <w:widowControl/>
                    <w:suppressLineNumbers w:val="0"/>
                    <w:spacing w:before="0" w:beforeAutospacing="0" w:after="0" w:afterAutospacing="0" w:line="276" w:lineRule="auto"/>
                    <w:ind w:left="0" w:right="0"/>
                    <w:jc w:val="center"/>
                    <w:rPr>
                      <w:rFonts w:hint="eastAsia" w:ascii="Times New Roman" w:hAnsi="Times New Roman" w:eastAsia="宋体" w:cs="Times New Roman"/>
                      <w:kern w:val="0"/>
                      <w:sz w:val="21"/>
                      <w:szCs w:val="21"/>
                      <w:highlight w:val="none"/>
                      <w:lang w:val="en-US" w:eastAsia="zh-CN" w:bidi="ar-SA"/>
                    </w:rPr>
                  </w:pPr>
                  <w:r>
                    <w:rPr>
                      <w:rFonts w:hint="eastAsia" w:ascii="Times New Roman" w:hAnsi="Times New Roman" w:eastAsia="宋体" w:cs="Times New Roman"/>
                      <w:kern w:val="0"/>
                      <w:sz w:val="21"/>
                      <w:szCs w:val="21"/>
                      <w:highlight w:val="none"/>
                      <w:lang w:val="en-US" w:eastAsia="zh-CN"/>
                    </w:rPr>
                    <w:t>25</w:t>
                  </w:r>
                </w:p>
              </w:tc>
              <w:tc>
                <w:tcPr>
                  <w:tcW w:w="441" w:type="pct"/>
                  <w:noWrap w:val="0"/>
                  <w:tcMar>
                    <w:left w:w="57" w:type="dxa"/>
                    <w:right w:w="57" w:type="dxa"/>
                  </w:tcMar>
                  <w:vAlign w:val="center"/>
                </w:tcPr>
                <w:p w14:paraId="1F44D6E9">
                  <w:pPr>
                    <w:keepNext w:val="0"/>
                    <w:keepLines w:val="0"/>
                    <w:suppressLineNumbers w:val="0"/>
                    <w:overflowPunct w:val="0"/>
                    <w:adjustRightInd w:val="0"/>
                    <w:snapToGrid w:val="0"/>
                    <w:spacing w:before="0" w:beforeAutospacing="0" w:after="0" w:afterAutospacing="0" w:line="276" w:lineRule="auto"/>
                    <w:ind w:left="0" w:right="0"/>
                    <w:jc w:val="center"/>
                    <w:rPr>
                      <w:rFonts w:hint="eastAsia" w:ascii="Times New Roman" w:hAnsi="Times New Roman" w:eastAsia="宋体" w:cs="Times New Roman"/>
                      <w:kern w:val="0"/>
                      <w:sz w:val="21"/>
                      <w:szCs w:val="21"/>
                      <w:highlight w:val="none"/>
                    </w:rPr>
                  </w:pPr>
                  <w:r>
                    <w:rPr>
                      <w:rFonts w:hint="eastAsia" w:ascii="Times New Roman" w:hAnsi="Times New Roman" w:eastAsia="宋体" w:cs="Times New Roman"/>
                      <w:kern w:val="0"/>
                      <w:sz w:val="21"/>
                      <w:szCs w:val="21"/>
                      <w:highlight w:val="none"/>
                    </w:rPr>
                    <w:t>达标</w:t>
                  </w:r>
                </w:p>
              </w:tc>
            </w:tr>
            <w:tr w14:paraId="2F80CC2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3" w:hRule="atLeast"/>
                <w:jc w:val="center"/>
              </w:trPr>
              <w:tc>
                <w:tcPr>
                  <w:tcW w:w="547" w:type="pct"/>
                  <w:vMerge w:val="restart"/>
                  <w:noWrap w:val="0"/>
                  <w:tcMar>
                    <w:left w:w="57" w:type="dxa"/>
                    <w:right w:w="57" w:type="dxa"/>
                  </w:tcMar>
                  <w:vAlign w:val="center"/>
                </w:tcPr>
                <w:p w14:paraId="389AB561">
                  <w:pPr>
                    <w:keepNext w:val="0"/>
                    <w:keepLines w:val="0"/>
                    <w:widowControl/>
                    <w:suppressLineNumbers w:val="0"/>
                    <w:adjustRightInd w:val="0"/>
                    <w:snapToGrid w:val="0"/>
                    <w:spacing w:before="0" w:beforeAutospacing="0" w:after="0" w:afterAutospacing="0" w:line="276" w:lineRule="auto"/>
                    <w:ind w:left="0" w:right="0"/>
                    <w:jc w:val="center"/>
                    <w:rPr>
                      <w:rFonts w:hint="default" w:ascii="Times New Roman" w:hAnsi="Times New Roman" w:eastAsia="宋体" w:cs="Times New Roman"/>
                      <w:snapToGrid w:val="0"/>
                      <w:kern w:val="2"/>
                      <w:sz w:val="21"/>
                      <w:szCs w:val="21"/>
                      <w:highlight w:val="none"/>
                      <w:lang w:val="en-US" w:eastAsia="zh-CN" w:bidi="ar-SA"/>
                    </w:rPr>
                  </w:pPr>
                  <w:r>
                    <w:rPr>
                      <w:rFonts w:hint="default" w:ascii="Times New Roman" w:hAnsi="Times New Roman" w:eastAsia="宋体" w:cs="Times New Roman"/>
                      <w:snapToGrid w:val="0"/>
                      <w:sz w:val="21"/>
                      <w:szCs w:val="21"/>
                      <w:highlight w:val="none"/>
                    </w:rPr>
                    <w:t>DA0</w:t>
                  </w:r>
                  <w:r>
                    <w:rPr>
                      <w:rFonts w:hint="eastAsia" w:ascii="Times New Roman" w:hAnsi="Times New Roman" w:eastAsia="宋体" w:cs="Times New Roman"/>
                      <w:snapToGrid w:val="0"/>
                      <w:sz w:val="21"/>
                      <w:szCs w:val="21"/>
                      <w:highlight w:val="none"/>
                      <w:lang w:val="en-US" w:eastAsia="zh-CN"/>
                    </w:rPr>
                    <w:t>08</w:t>
                  </w:r>
                </w:p>
              </w:tc>
              <w:tc>
                <w:tcPr>
                  <w:tcW w:w="710" w:type="pct"/>
                  <w:vMerge w:val="restart"/>
                  <w:noWrap w:val="0"/>
                  <w:tcMar>
                    <w:left w:w="57" w:type="dxa"/>
                    <w:right w:w="57" w:type="dxa"/>
                  </w:tcMar>
                  <w:vAlign w:val="center"/>
                </w:tcPr>
                <w:p w14:paraId="7AEA157B">
                  <w:pPr>
                    <w:keepNext w:val="0"/>
                    <w:keepLines w:val="0"/>
                    <w:widowControl/>
                    <w:suppressLineNumbers w:val="0"/>
                    <w:adjustRightInd w:val="0"/>
                    <w:snapToGrid w:val="0"/>
                    <w:spacing w:before="0" w:beforeAutospacing="0" w:after="0" w:afterAutospacing="0" w:line="276" w:lineRule="auto"/>
                    <w:ind w:left="0" w:right="0"/>
                    <w:jc w:val="center"/>
                    <w:rPr>
                      <w:rFonts w:hint="eastAsia" w:ascii="Times New Roman" w:hAnsi="Times New Roman" w:eastAsia="宋体" w:cs="Times New Roman"/>
                      <w:snapToGrid w:val="0"/>
                      <w:kern w:val="2"/>
                      <w:sz w:val="21"/>
                      <w:szCs w:val="21"/>
                      <w:highlight w:val="none"/>
                      <w:lang w:val="en-US" w:eastAsia="zh-CN" w:bidi="ar-SA"/>
                    </w:rPr>
                  </w:pPr>
                  <w:r>
                    <w:rPr>
                      <w:rFonts w:hint="eastAsia" w:ascii="Times New Roman" w:hAnsi="Times New Roman" w:eastAsia="宋体" w:cs="Times New Roman"/>
                      <w:snapToGrid w:val="0"/>
                      <w:sz w:val="21"/>
                      <w:szCs w:val="21"/>
                      <w:highlight w:val="none"/>
                      <w:lang w:val="en-US" w:eastAsia="zh-CN"/>
                    </w:rPr>
                    <w:t>8#</w:t>
                  </w:r>
                  <w:r>
                    <w:rPr>
                      <w:rFonts w:hint="default" w:ascii="Times New Roman" w:hAnsi="Times New Roman" w:eastAsia="宋体" w:cs="Times New Roman"/>
                      <w:snapToGrid w:val="0"/>
                      <w:sz w:val="21"/>
                      <w:szCs w:val="21"/>
                      <w:highlight w:val="none"/>
                    </w:rPr>
                    <w:t>排放口</w:t>
                  </w:r>
                </w:p>
              </w:tc>
              <w:tc>
                <w:tcPr>
                  <w:tcW w:w="788" w:type="pct"/>
                  <w:shd w:val="clear" w:color="auto" w:fill="auto"/>
                  <w:noWrap w:val="0"/>
                  <w:tcMar>
                    <w:left w:w="57" w:type="dxa"/>
                    <w:right w:w="57" w:type="dxa"/>
                  </w:tcMar>
                  <w:vAlign w:val="center"/>
                </w:tcPr>
                <w:p w14:paraId="537C4D9F">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64" w:lineRule="auto"/>
                    <w:ind w:left="0" w:right="0"/>
                    <w:jc w:val="center"/>
                    <w:textAlignment w:val="auto"/>
                    <w:rPr>
                      <w:rFonts w:hint="eastAsia" w:ascii="Times New Roman" w:hAnsi="Times New Roman" w:eastAsia="宋体" w:cs="Times New Roman"/>
                      <w:bCs/>
                      <w:kern w:val="0"/>
                      <w:sz w:val="21"/>
                      <w:szCs w:val="21"/>
                      <w:highlight w:val="none"/>
                      <w:lang w:val="en-US" w:eastAsia="zh-CN" w:bidi="ar-SA"/>
                    </w:rPr>
                  </w:pPr>
                  <w:r>
                    <w:rPr>
                      <w:rFonts w:hint="eastAsia" w:ascii="Times New Roman" w:hAnsi="Times New Roman" w:eastAsia="宋体" w:cs="Times New Roman"/>
                      <w:bCs/>
                      <w:kern w:val="0"/>
                      <w:sz w:val="21"/>
                      <w:szCs w:val="21"/>
                      <w:highlight w:val="none"/>
                      <w:lang w:val="en-US" w:eastAsia="zh-CN"/>
                    </w:rPr>
                    <w:t>非甲烷总烃</w:t>
                  </w:r>
                </w:p>
              </w:tc>
              <w:tc>
                <w:tcPr>
                  <w:tcW w:w="687" w:type="pct"/>
                  <w:shd w:val="clear" w:color="auto" w:fill="auto"/>
                  <w:noWrap w:val="0"/>
                  <w:tcMar>
                    <w:left w:w="57" w:type="dxa"/>
                    <w:right w:w="57" w:type="dxa"/>
                  </w:tcMar>
                  <w:vAlign w:val="center"/>
                </w:tcPr>
                <w:p w14:paraId="7B06F582">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bCs/>
                      <w:kern w:val="0"/>
                      <w:sz w:val="21"/>
                      <w:szCs w:val="21"/>
                      <w:highlight w:val="none"/>
                      <w:lang w:val="en-US" w:eastAsia="zh-CN" w:bidi="ar-SA"/>
                    </w:rPr>
                  </w:pPr>
                  <w:r>
                    <w:rPr>
                      <w:rFonts w:hint="eastAsia" w:ascii="Times New Roman" w:hAnsi="Times New Roman" w:eastAsia="宋体" w:cs="Times New Roman"/>
                      <w:i w:val="0"/>
                      <w:iCs w:val="0"/>
                      <w:color w:val="000000"/>
                      <w:kern w:val="0"/>
                      <w:sz w:val="21"/>
                      <w:szCs w:val="21"/>
                      <w:highlight w:val="none"/>
                      <w:u w:val="none"/>
                      <w:lang w:val="en-US" w:eastAsia="zh-CN" w:bidi="ar"/>
                    </w:rPr>
                    <w:t xml:space="preserve">0.026 </w:t>
                  </w:r>
                </w:p>
              </w:tc>
              <w:tc>
                <w:tcPr>
                  <w:tcW w:w="641" w:type="pct"/>
                  <w:shd w:val="clear" w:color="auto" w:fill="auto"/>
                  <w:noWrap w:val="0"/>
                  <w:tcMar>
                    <w:left w:w="57" w:type="dxa"/>
                    <w:right w:w="57" w:type="dxa"/>
                  </w:tcMar>
                  <w:vAlign w:val="center"/>
                </w:tcPr>
                <w:p w14:paraId="0B033699">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bCs/>
                      <w:kern w:val="0"/>
                      <w:sz w:val="21"/>
                      <w:szCs w:val="21"/>
                      <w:highlight w:val="none"/>
                      <w:lang w:val="en-US" w:eastAsia="zh-CN" w:bidi="ar-SA"/>
                    </w:rPr>
                  </w:pPr>
                  <w:r>
                    <w:rPr>
                      <w:rFonts w:hint="eastAsia" w:ascii="Times New Roman" w:hAnsi="Times New Roman" w:eastAsia="宋体" w:cs="Times New Roman"/>
                      <w:i w:val="0"/>
                      <w:iCs w:val="0"/>
                      <w:color w:val="000000"/>
                      <w:kern w:val="0"/>
                      <w:sz w:val="21"/>
                      <w:szCs w:val="21"/>
                      <w:highlight w:val="none"/>
                      <w:u w:val="none"/>
                      <w:lang w:val="en-US" w:eastAsia="zh-CN" w:bidi="ar"/>
                    </w:rPr>
                    <w:t>3.</w:t>
                  </w:r>
                  <w:r>
                    <w:rPr>
                      <w:rFonts w:hint="eastAsia" w:cs="Times New Roman"/>
                      <w:i w:val="0"/>
                      <w:iCs w:val="0"/>
                      <w:color w:val="000000"/>
                      <w:kern w:val="0"/>
                      <w:sz w:val="21"/>
                      <w:szCs w:val="21"/>
                      <w:highlight w:val="none"/>
                      <w:u w:val="none"/>
                      <w:lang w:val="en-US" w:eastAsia="zh-CN" w:bidi="ar"/>
                    </w:rPr>
                    <w:t>11</w:t>
                  </w:r>
                  <w:r>
                    <w:rPr>
                      <w:rFonts w:hint="eastAsia" w:ascii="Times New Roman" w:hAnsi="Times New Roman" w:eastAsia="宋体" w:cs="Times New Roman"/>
                      <w:i w:val="0"/>
                      <w:iCs w:val="0"/>
                      <w:color w:val="000000"/>
                      <w:kern w:val="0"/>
                      <w:sz w:val="21"/>
                      <w:szCs w:val="21"/>
                      <w:highlight w:val="none"/>
                      <w:u w:val="none"/>
                      <w:lang w:val="en-US" w:eastAsia="zh-CN" w:bidi="ar"/>
                    </w:rPr>
                    <w:t xml:space="preserve"> </w:t>
                  </w:r>
                </w:p>
              </w:tc>
              <w:tc>
                <w:tcPr>
                  <w:tcW w:w="513" w:type="pct"/>
                  <w:noWrap w:val="0"/>
                  <w:tcMar>
                    <w:left w:w="57" w:type="dxa"/>
                    <w:right w:w="57" w:type="dxa"/>
                  </w:tcMar>
                  <w:vAlign w:val="center"/>
                </w:tcPr>
                <w:p w14:paraId="406AE587">
                  <w:pPr>
                    <w:keepNext w:val="0"/>
                    <w:keepLines w:val="0"/>
                    <w:widowControl/>
                    <w:suppressLineNumbers w:val="0"/>
                    <w:spacing w:before="0" w:beforeAutospacing="0" w:after="0" w:afterAutospacing="0" w:line="276" w:lineRule="auto"/>
                    <w:ind w:left="0" w:right="0"/>
                    <w:jc w:val="center"/>
                    <w:rPr>
                      <w:rFonts w:hint="eastAsia" w:ascii="Times New Roman" w:hAnsi="Times New Roman" w:eastAsia="宋体" w:cs="Times New Roman"/>
                      <w:sz w:val="21"/>
                      <w:szCs w:val="21"/>
                      <w:highlight w:val="none"/>
                      <w:lang w:val="en-US" w:eastAsia="zh-CN"/>
                    </w:rPr>
                  </w:pPr>
                  <w:r>
                    <w:rPr>
                      <w:rFonts w:hint="eastAsia" w:ascii="Times New Roman" w:hAnsi="Times New Roman" w:eastAsia="宋体" w:cs="Times New Roman"/>
                      <w:b w:val="0"/>
                      <w:bCs w:val="0"/>
                      <w:kern w:val="0"/>
                      <w:sz w:val="21"/>
                      <w:szCs w:val="21"/>
                      <w:highlight w:val="none"/>
                      <w:lang w:val="en-US" w:eastAsia="zh-CN"/>
                    </w:rPr>
                    <w:t>26.5</w:t>
                  </w:r>
                </w:p>
              </w:tc>
              <w:tc>
                <w:tcPr>
                  <w:tcW w:w="669" w:type="pct"/>
                  <w:noWrap w:val="0"/>
                  <w:tcMar>
                    <w:left w:w="57" w:type="dxa"/>
                    <w:right w:w="57" w:type="dxa"/>
                  </w:tcMar>
                  <w:vAlign w:val="center"/>
                </w:tcPr>
                <w:p w14:paraId="1F0E3E95">
                  <w:pPr>
                    <w:keepNext w:val="0"/>
                    <w:keepLines w:val="0"/>
                    <w:widowControl/>
                    <w:suppressLineNumbers w:val="0"/>
                    <w:spacing w:before="0" w:beforeAutospacing="0" w:after="0" w:afterAutospacing="0" w:line="276" w:lineRule="auto"/>
                    <w:ind w:left="0" w:right="0"/>
                    <w:jc w:val="center"/>
                    <w:rPr>
                      <w:rFonts w:hint="eastAsia" w:ascii="Times New Roman" w:hAnsi="Times New Roman" w:eastAsia="宋体" w:cs="Times New Roman"/>
                      <w:sz w:val="21"/>
                      <w:szCs w:val="21"/>
                      <w:highlight w:val="none"/>
                      <w:lang w:val="en-US" w:eastAsia="zh-CN"/>
                    </w:rPr>
                  </w:pPr>
                  <w:r>
                    <w:rPr>
                      <w:rFonts w:hint="eastAsia" w:ascii="Times New Roman" w:hAnsi="Times New Roman" w:eastAsia="宋体" w:cs="Times New Roman"/>
                      <w:kern w:val="0"/>
                      <w:sz w:val="21"/>
                      <w:szCs w:val="21"/>
                      <w:highlight w:val="none"/>
                    </w:rPr>
                    <w:t>120</w:t>
                  </w:r>
                </w:p>
              </w:tc>
              <w:tc>
                <w:tcPr>
                  <w:tcW w:w="441" w:type="pct"/>
                  <w:noWrap w:val="0"/>
                  <w:tcMar>
                    <w:left w:w="57" w:type="dxa"/>
                    <w:right w:w="57" w:type="dxa"/>
                  </w:tcMar>
                  <w:vAlign w:val="center"/>
                </w:tcPr>
                <w:p w14:paraId="035FD642">
                  <w:pPr>
                    <w:keepNext w:val="0"/>
                    <w:keepLines w:val="0"/>
                    <w:suppressLineNumbers w:val="0"/>
                    <w:overflowPunct w:val="0"/>
                    <w:adjustRightInd w:val="0"/>
                    <w:snapToGrid w:val="0"/>
                    <w:spacing w:before="0" w:beforeAutospacing="0" w:after="0" w:afterAutospacing="0" w:line="276" w:lineRule="auto"/>
                    <w:ind w:left="0" w:right="0"/>
                    <w:jc w:val="center"/>
                    <w:rPr>
                      <w:rFonts w:hint="eastAsia" w:ascii="Times New Roman" w:hAnsi="Times New Roman" w:eastAsia="宋体" w:cs="Times New Roman"/>
                      <w:kern w:val="0"/>
                      <w:sz w:val="21"/>
                      <w:szCs w:val="21"/>
                      <w:highlight w:val="none"/>
                    </w:rPr>
                  </w:pPr>
                  <w:r>
                    <w:rPr>
                      <w:rFonts w:hint="eastAsia" w:ascii="Times New Roman" w:hAnsi="Times New Roman" w:eastAsia="宋体" w:cs="Times New Roman"/>
                      <w:kern w:val="0"/>
                      <w:sz w:val="21"/>
                      <w:szCs w:val="21"/>
                      <w:highlight w:val="none"/>
                    </w:rPr>
                    <w:t>达标</w:t>
                  </w:r>
                </w:p>
              </w:tc>
            </w:tr>
            <w:tr w14:paraId="267F989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3" w:hRule="atLeast"/>
                <w:jc w:val="center"/>
              </w:trPr>
              <w:tc>
                <w:tcPr>
                  <w:tcW w:w="547" w:type="pct"/>
                  <w:vMerge w:val="continue"/>
                  <w:noWrap w:val="0"/>
                  <w:tcMar>
                    <w:left w:w="57" w:type="dxa"/>
                    <w:right w:w="57" w:type="dxa"/>
                  </w:tcMar>
                  <w:vAlign w:val="center"/>
                </w:tcPr>
                <w:p w14:paraId="74A373F1">
                  <w:pPr>
                    <w:keepNext w:val="0"/>
                    <w:keepLines w:val="0"/>
                    <w:widowControl/>
                    <w:suppressLineNumbers w:val="0"/>
                    <w:adjustRightInd w:val="0"/>
                    <w:snapToGrid w:val="0"/>
                    <w:spacing w:before="0" w:beforeAutospacing="0" w:after="0" w:afterAutospacing="0" w:line="276" w:lineRule="auto"/>
                    <w:ind w:left="0" w:right="0"/>
                    <w:jc w:val="center"/>
                    <w:rPr>
                      <w:rFonts w:hint="default" w:ascii="Times New Roman" w:hAnsi="Times New Roman" w:eastAsia="宋体" w:cs="Times New Roman"/>
                      <w:snapToGrid w:val="0"/>
                      <w:sz w:val="21"/>
                      <w:szCs w:val="21"/>
                      <w:highlight w:val="none"/>
                    </w:rPr>
                  </w:pPr>
                </w:p>
              </w:tc>
              <w:tc>
                <w:tcPr>
                  <w:tcW w:w="710" w:type="pct"/>
                  <w:vMerge w:val="continue"/>
                  <w:noWrap w:val="0"/>
                  <w:tcMar>
                    <w:left w:w="57" w:type="dxa"/>
                    <w:right w:w="57" w:type="dxa"/>
                  </w:tcMar>
                  <w:vAlign w:val="center"/>
                </w:tcPr>
                <w:p w14:paraId="305A5191">
                  <w:pPr>
                    <w:keepNext w:val="0"/>
                    <w:keepLines w:val="0"/>
                    <w:widowControl/>
                    <w:suppressLineNumbers w:val="0"/>
                    <w:adjustRightInd w:val="0"/>
                    <w:snapToGrid w:val="0"/>
                    <w:spacing w:before="0" w:beforeAutospacing="0" w:after="0" w:afterAutospacing="0" w:line="276" w:lineRule="auto"/>
                    <w:ind w:left="0" w:right="0"/>
                    <w:jc w:val="center"/>
                    <w:rPr>
                      <w:rFonts w:hint="eastAsia" w:ascii="Times New Roman" w:hAnsi="Times New Roman" w:eastAsia="宋体" w:cs="Times New Roman"/>
                      <w:snapToGrid w:val="0"/>
                      <w:sz w:val="21"/>
                      <w:szCs w:val="21"/>
                      <w:highlight w:val="none"/>
                      <w:lang w:val="en-US" w:eastAsia="zh-CN"/>
                    </w:rPr>
                  </w:pPr>
                </w:p>
              </w:tc>
              <w:tc>
                <w:tcPr>
                  <w:tcW w:w="788" w:type="pct"/>
                  <w:shd w:val="clear" w:color="auto" w:fill="auto"/>
                  <w:noWrap w:val="0"/>
                  <w:tcMar>
                    <w:left w:w="57" w:type="dxa"/>
                    <w:right w:w="57" w:type="dxa"/>
                  </w:tcMar>
                  <w:vAlign w:val="center"/>
                </w:tcPr>
                <w:p w14:paraId="6ECCF6C6">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64" w:lineRule="auto"/>
                    <w:ind w:left="0" w:right="0"/>
                    <w:jc w:val="center"/>
                    <w:textAlignment w:val="auto"/>
                    <w:rPr>
                      <w:rFonts w:hint="eastAsia" w:ascii="Times New Roman" w:hAnsi="Times New Roman" w:eastAsia="宋体" w:cs="Times New Roman"/>
                      <w:bCs/>
                      <w:kern w:val="0"/>
                      <w:sz w:val="21"/>
                      <w:szCs w:val="21"/>
                      <w:highlight w:val="none"/>
                      <w:lang w:val="en-US" w:eastAsia="zh-CN" w:bidi="ar-SA"/>
                    </w:rPr>
                  </w:pPr>
                  <w:r>
                    <w:rPr>
                      <w:rFonts w:hint="eastAsia" w:ascii="Times New Roman" w:hAnsi="Times New Roman" w:eastAsia="宋体" w:cs="Times New Roman"/>
                      <w:bCs/>
                      <w:kern w:val="0"/>
                      <w:sz w:val="21"/>
                      <w:szCs w:val="21"/>
                      <w:highlight w:val="none"/>
                      <w:lang w:val="en-US" w:eastAsia="zh-CN"/>
                    </w:rPr>
                    <w:t>氯气</w:t>
                  </w:r>
                </w:p>
              </w:tc>
              <w:tc>
                <w:tcPr>
                  <w:tcW w:w="1329" w:type="pct"/>
                  <w:gridSpan w:val="2"/>
                  <w:shd w:val="clear" w:color="auto" w:fill="auto"/>
                  <w:noWrap w:val="0"/>
                  <w:tcMar>
                    <w:left w:w="57" w:type="dxa"/>
                    <w:right w:w="57" w:type="dxa"/>
                  </w:tcMar>
                  <w:vAlign w:val="center"/>
                </w:tcPr>
                <w:p w14:paraId="36BA5922">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bCs/>
                      <w:kern w:val="0"/>
                      <w:sz w:val="21"/>
                      <w:szCs w:val="21"/>
                      <w:highlight w:val="none"/>
                      <w:lang w:val="en-US" w:eastAsia="zh-CN" w:bidi="ar-SA"/>
                    </w:rPr>
                  </w:pPr>
                  <w:r>
                    <w:rPr>
                      <w:rFonts w:hint="eastAsia" w:cs="Times New Roman"/>
                      <w:bCs/>
                      <w:kern w:val="0"/>
                      <w:sz w:val="21"/>
                      <w:szCs w:val="21"/>
                      <w:highlight w:val="none"/>
                      <w:lang w:val="en-US" w:eastAsia="zh-CN" w:bidi="ar-SA"/>
                    </w:rPr>
                    <w:t>少量</w:t>
                  </w:r>
                </w:p>
              </w:tc>
              <w:tc>
                <w:tcPr>
                  <w:tcW w:w="513" w:type="pct"/>
                  <w:noWrap w:val="0"/>
                  <w:tcMar>
                    <w:left w:w="57" w:type="dxa"/>
                    <w:right w:w="57" w:type="dxa"/>
                  </w:tcMar>
                  <w:vAlign w:val="center"/>
                </w:tcPr>
                <w:p w14:paraId="6B112B09">
                  <w:pPr>
                    <w:keepNext w:val="0"/>
                    <w:keepLines w:val="0"/>
                    <w:widowControl/>
                    <w:suppressLineNumbers w:val="0"/>
                    <w:spacing w:before="0" w:beforeAutospacing="0" w:after="0" w:afterAutospacing="0" w:line="276" w:lineRule="auto"/>
                    <w:ind w:left="0" w:right="0"/>
                    <w:jc w:val="center"/>
                    <w:rPr>
                      <w:rFonts w:hint="eastAsia" w:ascii="Times New Roman" w:hAnsi="Times New Roman" w:eastAsia="宋体" w:cs="Times New Roman"/>
                      <w:sz w:val="21"/>
                      <w:szCs w:val="21"/>
                      <w:highlight w:val="none"/>
                      <w:lang w:val="en-US" w:eastAsia="zh-CN"/>
                    </w:rPr>
                  </w:pPr>
                  <w:r>
                    <w:rPr>
                      <w:rFonts w:hint="eastAsia" w:ascii="Times New Roman" w:hAnsi="Times New Roman" w:eastAsia="宋体" w:cs="Times New Roman"/>
                      <w:kern w:val="0"/>
                      <w:sz w:val="21"/>
                      <w:szCs w:val="21"/>
                      <w:highlight w:val="none"/>
                      <w:lang w:val="en-US" w:eastAsia="zh-CN"/>
                    </w:rPr>
                    <w:t>0.44</w:t>
                  </w:r>
                </w:p>
              </w:tc>
              <w:tc>
                <w:tcPr>
                  <w:tcW w:w="669" w:type="pct"/>
                  <w:noWrap w:val="0"/>
                  <w:tcMar>
                    <w:left w:w="57" w:type="dxa"/>
                    <w:right w:w="57" w:type="dxa"/>
                  </w:tcMar>
                  <w:vAlign w:val="center"/>
                </w:tcPr>
                <w:p w14:paraId="4D65B4F2">
                  <w:pPr>
                    <w:keepNext w:val="0"/>
                    <w:keepLines w:val="0"/>
                    <w:widowControl/>
                    <w:suppressLineNumbers w:val="0"/>
                    <w:spacing w:before="0" w:beforeAutospacing="0" w:after="0" w:afterAutospacing="0" w:line="276" w:lineRule="auto"/>
                    <w:ind w:left="0" w:right="0"/>
                    <w:jc w:val="center"/>
                    <w:rPr>
                      <w:rFonts w:hint="eastAsia" w:ascii="Times New Roman" w:hAnsi="Times New Roman" w:eastAsia="宋体" w:cs="Times New Roman"/>
                      <w:sz w:val="21"/>
                      <w:szCs w:val="21"/>
                      <w:highlight w:val="none"/>
                      <w:lang w:val="en-US" w:eastAsia="zh-CN"/>
                    </w:rPr>
                  </w:pPr>
                  <w:r>
                    <w:rPr>
                      <w:rFonts w:hint="eastAsia" w:ascii="Times New Roman" w:hAnsi="Times New Roman" w:eastAsia="宋体" w:cs="Times New Roman"/>
                      <w:kern w:val="0"/>
                      <w:sz w:val="21"/>
                      <w:szCs w:val="21"/>
                      <w:highlight w:val="none"/>
                      <w:lang w:val="en-US" w:eastAsia="zh-CN"/>
                    </w:rPr>
                    <w:t>65</w:t>
                  </w:r>
                </w:p>
              </w:tc>
              <w:tc>
                <w:tcPr>
                  <w:tcW w:w="441" w:type="pct"/>
                  <w:noWrap w:val="0"/>
                  <w:tcMar>
                    <w:left w:w="57" w:type="dxa"/>
                    <w:right w:w="57" w:type="dxa"/>
                  </w:tcMar>
                  <w:vAlign w:val="center"/>
                </w:tcPr>
                <w:p w14:paraId="34FB91C8">
                  <w:pPr>
                    <w:keepNext w:val="0"/>
                    <w:keepLines w:val="0"/>
                    <w:suppressLineNumbers w:val="0"/>
                    <w:overflowPunct w:val="0"/>
                    <w:adjustRightInd w:val="0"/>
                    <w:snapToGrid w:val="0"/>
                    <w:spacing w:before="0" w:beforeAutospacing="0" w:after="0" w:afterAutospacing="0" w:line="276" w:lineRule="auto"/>
                    <w:ind w:left="0" w:right="0"/>
                    <w:jc w:val="center"/>
                    <w:rPr>
                      <w:rFonts w:hint="eastAsia" w:ascii="Times New Roman" w:hAnsi="Times New Roman" w:eastAsia="宋体" w:cs="Times New Roman"/>
                      <w:kern w:val="0"/>
                      <w:sz w:val="21"/>
                      <w:szCs w:val="21"/>
                      <w:highlight w:val="none"/>
                    </w:rPr>
                  </w:pPr>
                  <w:r>
                    <w:rPr>
                      <w:rFonts w:hint="eastAsia" w:ascii="Times New Roman" w:hAnsi="Times New Roman" w:eastAsia="宋体" w:cs="Times New Roman"/>
                      <w:kern w:val="0"/>
                      <w:sz w:val="21"/>
                      <w:szCs w:val="21"/>
                      <w:highlight w:val="none"/>
                    </w:rPr>
                    <w:t>达标</w:t>
                  </w:r>
                </w:p>
              </w:tc>
            </w:tr>
            <w:tr w14:paraId="73F7510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4" w:hRule="atLeast"/>
                <w:jc w:val="center"/>
              </w:trPr>
              <w:tc>
                <w:tcPr>
                  <w:tcW w:w="547" w:type="pct"/>
                  <w:vMerge w:val="restart"/>
                  <w:noWrap w:val="0"/>
                  <w:tcMar>
                    <w:left w:w="57" w:type="dxa"/>
                    <w:right w:w="57" w:type="dxa"/>
                  </w:tcMar>
                  <w:vAlign w:val="center"/>
                </w:tcPr>
                <w:p w14:paraId="38E83E38">
                  <w:pPr>
                    <w:keepNext w:val="0"/>
                    <w:keepLines w:val="0"/>
                    <w:widowControl/>
                    <w:suppressLineNumbers w:val="0"/>
                    <w:adjustRightInd w:val="0"/>
                    <w:snapToGrid w:val="0"/>
                    <w:spacing w:before="0" w:beforeAutospacing="0" w:after="0" w:afterAutospacing="0" w:line="276" w:lineRule="auto"/>
                    <w:ind w:left="0" w:right="0"/>
                    <w:jc w:val="center"/>
                    <w:rPr>
                      <w:rFonts w:hint="default" w:ascii="Times New Roman" w:hAnsi="Times New Roman" w:eastAsia="宋体" w:cs="Times New Roman"/>
                      <w:snapToGrid w:val="0"/>
                      <w:kern w:val="2"/>
                      <w:sz w:val="21"/>
                      <w:szCs w:val="21"/>
                      <w:highlight w:val="none"/>
                      <w:lang w:val="en-US" w:eastAsia="zh-CN" w:bidi="ar-SA"/>
                    </w:rPr>
                  </w:pPr>
                  <w:r>
                    <w:rPr>
                      <w:rFonts w:hint="default" w:ascii="Times New Roman" w:hAnsi="Times New Roman" w:eastAsia="宋体" w:cs="Times New Roman"/>
                      <w:snapToGrid w:val="0"/>
                      <w:sz w:val="21"/>
                      <w:szCs w:val="21"/>
                      <w:highlight w:val="none"/>
                    </w:rPr>
                    <w:t>DA0</w:t>
                  </w:r>
                  <w:r>
                    <w:rPr>
                      <w:rFonts w:hint="eastAsia" w:ascii="Times New Roman" w:hAnsi="Times New Roman" w:eastAsia="宋体" w:cs="Times New Roman"/>
                      <w:snapToGrid w:val="0"/>
                      <w:sz w:val="21"/>
                      <w:szCs w:val="21"/>
                      <w:highlight w:val="none"/>
                      <w:lang w:val="en-US" w:eastAsia="zh-CN"/>
                    </w:rPr>
                    <w:t>09</w:t>
                  </w:r>
                </w:p>
              </w:tc>
              <w:tc>
                <w:tcPr>
                  <w:tcW w:w="710" w:type="pct"/>
                  <w:vMerge w:val="restart"/>
                  <w:noWrap w:val="0"/>
                  <w:tcMar>
                    <w:left w:w="57" w:type="dxa"/>
                    <w:right w:w="57" w:type="dxa"/>
                  </w:tcMar>
                  <w:vAlign w:val="center"/>
                </w:tcPr>
                <w:p w14:paraId="3680C7D4">
                  <w:pPr>
                    <w:keepNext w:val="0"/>
                    <w:keepLines w:val="0"/>
                    <w:widowControl/>
                    <w:suppressLineNumbers w:val="0"/>
                    <w:adjustRightInd w:val="0"/>
                    <w:snapToGrid w:val="0"/>
                    <w:spacing w:before="0" w:beforeAutospacing="0" w:after="0" w:afterAutospacing="0" w:line="276" w:lineRule="auto"/>
                    <w:ind w:left="0" w:right="0"/>
                    <w:jc w:val="center"/>
                    <w:rPr>
                      <w:rFonts w:hint="eastAsia" w:ascii="Times New Roman" w:hAnsi="Times New Roman" w:eastAsia="宋体" w:cs="Times New Roman"/>
                      <w:snapToGrid w:val="0"/>
                      <w:kern w:val="2"/>
                      <w:sz w:val="21"/>
                      <w:szCs w:val="21"/>
                      <w:highlight w:val="none"/>
                      <w:lang w:val="en-US" w:eastAsia="zh-CN" w:bidi="ar-SA"/>
                    </w:rPr>
                  </w:pPr>
                  <w:r>
                    <w:rPr>
                      <w:rFonts w:hint="eastAsia" w:ascii="Times New Roman" w:hAnsi="Times New Roman" w:eastAsia="宋体" w:cs="Times New Roman"/>
                      <w:snapToGrid w:val="0"/>
                      <w:sz w:val="21"/>
                      <w:szCs w:val="21"/>
                      <w:highlight w:val="none"/>
                      <w:lang w:val="en-US" w:eastAsia="zh-CN"/>
                    </w:rPr>
                    <w:t>9#</w:t>
                  </w:r>
                  <w:r>
                    <w:rPr>
                      <w:rFonts w:hint="default" w:ascii="Times New Roman" w:hAnsi="Times New Roman" w:eastAsia="宋体" w:cs="Times New Roman"/>
                      <w:snapToGrid w:val="0"/>
                      <w:sz w:val="21"/>
                      <w:szCs w:val="21"/>
                      <w:highlight w:val="none"/>
                    </w:rPr>
                    <w:t>排放口</w:t>
                  </w:r>
                </w:p>
              </w:tc>
              <w:tc>
                <w:tcPr>
                  <w:tcW w:w="788" w:type="pct"/>
                  <w:shd w:val="clear" w:color="auto" w:fill="auto"/>
                  <w:noWrap w:val="0"/>
                  <w:tcMar>
                    <w:left w:w="57" w:type="dxa"/>
                    <w:right w:w="57" w:type="dxa"/>
                  </w:tcMar>
                  <w:vAlign w:val="center"/>
                </w:tcPr>
                <w:p w14:paraId="69292379">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64" w:lineRule="auto"/>
                    <w:ind w:left="0" w:right="0"/>
                    <w:jc w:val="center"/>
                    <w:textAlignment w:val="auto"/>
                    <w:rPr>
                      <w:rFonts w:hint="default" w:ascii="Times New Roman" w:hAnsi="Times New Roman" w:eastAsia="宋体" w:cs="Times New Roman"/>
                      <w:bCs/>
                      <w:kern w:val="0"/>
                      <w:sz w:val="21"/>
                      <w:szCs w:val="21"/>
                      <w:highlight w:val="none"/>
                      <w:lang w:val="en-US" w:eastAsia="zh-CN" w:bidi="ar-SA"/>
                    </w:rPr>
                  </w:pPr>
                  <w:r>
                    <w:rPr>
                      <w:rFonts w:hint="eastAsia" w:ascii="Times New Roman" w:hAnsi="Times New Roman" w:eastAsia="宋体" w:cs="Times New Roman"/>
                      <w:bCs/>
                      <w:kern w:val="0"/>
                      <w:sz w:val="21"/>
                      <w:szCs w:val="21"/>
                      <w:highlight w:val="none"/>
                      <w:lang w:val="en-US" w:eastAsia="zh-CN"/>
                    </w:rPr>
                    <w:t>非甲烷总烃</w:t>
                  </w:r>
                </w:p>
              </w:tc>
              <w:tc>
                <w:tcPr>
                  <w:tcW w:w="687" w:type="pct"/>
                  <w:shd w:val="clear" w:color="auto" w:fill="auto"/>
                  <w:noWrap w:val="0"/>
                  <w:tcMar>
                    <w:left w:w="57" w:type="dxa"/>
                    <w:right w:w="57" w:type="dxa"/>
                  </w:tcMar>
                  <w:vAlign w:val="center"/>
                </w:tcPr>
                <w:p w14:paraId="651D0BC1">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bCs/>
                      <w:kern w:val="0"/>
                      <w:sz w:val="21"/>
                      <w:szCs w:val="21"/>
                      <w:highlight w:val="none"/>
                      <w:lang w:val="en-US" w:eastAsia="zh-CN" w:bidi="ar-SA"/>
                    </w:rPr>
                  </w:pPr>
                  <w:r>
                    <w:rPr>
                      <w:rFonts w:hint="eastAsia" w:ascii="Times New Roman" w:hAnsi="Times New Roman" w:eastAsia="宋体" w:cs="Times New Roman"/>
                      <w:i w:val="0"/>
                      <w:iCs w:val="0"/>
                      <w:color w:val="000000"/>
                      <w:kern w:val="0"/>
                      <w:sz w:val="21"/>
                      <w:szCs w:val="21"/>
                      <w:highlight w:val="none"/>
                      <w:u w:val="none"/>
                      <w:lang w:val="en-US" w:eastAsia="zh-CN" w:bidi="ar"/>
                    </w:rPr>
                    <w:t xml:space="preserve">0.028 </w:t>
                  </w:r>
                </w:p>
              </w:tc>
              <w:tc>
                <w:tcPr>
                  <w:tcW w:w="641" w:type="pct"/>
                  <w:shd w:val="clear" w:color="auto" w:fill="auto"/>
                  <w:noWrap w:val="0"/>
                  <w:tcMar>
                    <w:left w:w="57" w:type="dxa"/>
                    <w:right w:w="57" w:type="dxa"/>
                  </w:tcMar>
                  <w:vAlign w:val="center"/>
                </w:tcPr>
                <w:p w14:paraId="4007D571">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bCs/>
                      <w:kern w:val="0"/>
                      <w:sz w:val="21"/>
                      <w:szCs w:val="21"/>
                      <w:highlight w:val="none"/>
                      <w:lang w:val="en-US" w:eastAsia="zh-CN" w:bidi="ar-SA"/>
                    </w:rPr>
                  </w:pPr>
                  <w:r>
                    <w:rPr>
                      <w:rFonts w:hint="eastAsia" w:ascii="Times New Roman" w:hAnsi="Times New Roman" w:eastAsia="宋体" w:cs="Times New Roman"/>
                      <w:i w:val="0"/>
                      <w:iCs w:val="0"/>
                      <w:color w:val="000000"/>
                      <w:kern w:val="0"/>
                      <w:sz w:val="21"/>
                      <w:szCs w:val="21"/>
                      <w:highlight w:val="none"/>
                      <w:u w:val="none"/>
                      <w:lang w:val="en-US" w:eastAsia="zh-CN" w:bidi="ar"/>
                    </w:rPr>
                    <w:t xml:space="preserve">3.58 </w:t>
                  </w:r>
                </w:p>
              </w:tc>
              <w:tc>
                <w:tcPr>
                  <w:tcW w:w="513" w:type="pct"/>
                  <w:noWrap w:val="0"/>
                  <w:tcMar>
                    <w:left w:w="57" w:type="dxa"/>
                    <w:right w:w="57" w:type="dxa"/>
                  </w:tcMar>
                  <w:vAlign w:val="center"/>
                </w:tcPr>
                <w:p w14:paraId="6945521F">
                  <w:pPr>
                    <w:keepNext w:val="0"/>
                    <w:keepLines w:val="0"/>
                    <w:widowControl/>
                    <w:suppressLineNumbers w:val="0"/>
                    <w:spacing w:before="0" w:beforeAutospacing="0" w:after="0" w:afterAutospacing="0" w:line="276" w:lineRule="auto"/>
                    <w:ind w:left="0" w:right="0"/>
                    <w:jc w:val="center"/>
                    <w:rPr>
                      <w:rFonts w:hint="eastAsia" w:ascii="Times New Roman" w:hAnsi="Times New Roman" w:eastAsia="宋体" w:cs="Times New Roman"/>
                      <w:sz w:val="21"/>
                      <w:szCs w:val="21"/>
                      <w:highlight w:val="none"/>
                      <w:lang w:val="en-US" w:eastAsia="zh-CN"/>
                    </w:rPr>
                  </w:pPr>
                  <w:r>
                    <w:rPr>
                      <w:rFonts w:hint="eastAsia" w:ascii="Times New Roman" w:hAnsi="Times New Roman" w:eastAsia="宋体" w:cs="Times New Roman"/>
                      <w:b w:val="0"/>
                      <w:bCs w:val="0"/>
                      <w:kern w:val="0"/>
                      <w:sz w:val="21"/>
                      <w:szCs w:val="21"/>
                      <w:highlight w:val="none"/>
                      <w:lang w:val="en-US" w:eastAsia="zh-CN"/>
                    </w:rPr>
                    <w:t>26.5</w:t>
                  </w:r>
                </w:p>
              </w:tc>
              <w:tc>
                <w:tcPr>
                  <w:tcW w:w="669" w:type="pct"/>
                  <w:noWrap w:val="0"/>
                  <w:tcMar>
                    <w:left w:w="57" w:type="dxa"/>
                    <w:right w:w="57" w:type="dxa"/>
                  </w:tcMar>
                  <w:vAlign w:val="center"/>
                </w:tcPr>
                <w:p w14:paraId="4588FA3A">
                  <w:pPr>
                    <w:keepNext w:val="0"/>
                    <w:keepLines w:val="0"/>
                    <w:widowControl/>
                    <w:suppressLineNumbers w:val="0"/>
                    <w:spacing w:before="0" w:beforeAutospacing="0" w:after="0" w:afterAutospacing="0" w:line="276" w:lineRule="auto"/>
                    <w:ind w:left="0" w:right="0"/>
                    <w:jc w:val="center"/>
                    <w:rPr>
                      <w:rFonts w:hint="default" w:ascii="Times New Roman" w:hAnsi="Times New Roman" w:eastAsia="宋体" w:cs="Times New Roman"/>
                      <w:sz w:val="21"/>
                      <w:szCs w:val="21"/>
                      <w:highlight w:val="none"/>
                      <w:lang w:val="en-US" w:eastAsia="zh-CN"/>
                    </w:rPr>
                  </w:pPr>
                  <w:r>
                    <w:rPr>
                      <w:rFonts w:hint="eastAsia" w:ascii="Times New Roman" w:hAnsi="Times New Roman" w:eastAsia="宋体" w:cs="Times New Roman"/>
                      <w:kern w:val="0"/>
                      <w:sz w:val="21"/>
                      <w:szCs w:val="21"/>
                      <w:highlight w:val="none"/>
                    </w:rPr>
                    <w:t>120</w:t>
                  </w:r>
                </w:p>
              </w:tc>
              <w:tc>
                <w:tcPr>
                  <w:tcW w:w="441" w:type="pct"/>
                  <w:noWrap w:val="0"/>
                  <w:tcMar>
                    <w:left w:w="57" w:type="dxa"/>
                    <w:right w:w="57" w:type="dxa"/>
                  </w:tcMar>
                  <w:vAlign w:val="center"/>
                </w:tcPr>
                <w:p w14:paraId="65B359F0">
                  <w:pPr>
                    <w:keepNext w:val="0"/>
                    <w:keepLines w:val="0"/>
                    <w:suppressLineNumbers w:val="0"/>
                    <w:overflowPunct w:val="0"/>
                    <w:adjustRightInd w:val="0"/>
                    <w:snapToGrid w:val="0"/>
                    <w:spacing w:before="0" w:beforeAutospacing="0" w:after="0" w:afterAutospacing="0" w:line="276" w:lineRule="auto"/>
                    <w:ind w:left="0" w:right="0"/>
                    <w:jc w:val="center"/>
                    <w:rPr>
                      <w:rFonts w:hint="eastAsia" w:ascii="Times New Roman" w:hAnsi="Times New Roman" w:eastAsia="宋体" w:cs="Times New Roman"/>
                      <w:kern w:val="0"/>
                      <w:sz w:val="21"/>
                      <w:szCs w:val="21"/>
                      <w:highlight w:val="none"/>
                    </w:rPr>
                  </w:pPr>
                  <w:r>
                    <w:rPr>
                      <w:rFonts w:hint="eastAsia" w:ascii="Times New Roman" w:hAnsi="Times New Roman" w:eastAsia="宋体" w:cs="Times New Roman"/>
                      <w:kern w:val="0"/>
                      <w:sz w:val="21"/>
                      <w:szCs w:val="21"/>
                      <w:highlight w:val="none"/>
                    </w:rPr>
                    <w:t>达标</w:t>
                  </w:r>
                </w:p>
              </w:tc>
            </w:tr>
            <w:tr w14:paraId="1EC0DDA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4" w:hRule="atLeast"/>
                <w:jc w:val="center"/>
              </w:trPr>
              <w:tc>
                <w:tcPr>
                  <w:tcW w:w="547" w:type="pct"/>
                  <w:vMerge w:val="continue"/>
                  <w:noWrap w:val="0"/>
                  <w:tcMar>
                    <w:left w:w="57" w:type="dxa"/>
                    <w:right w:w="57" w:type="dxa"/>
                  </w:tcMar>
                  <w:vAlign w:val="center"/>
                </w:tcPr>
                <w:p w14:paraId="3CA03983">
                  <w:pPr>
                    <w:keepNext w:val="0"/>
                    <w:keepLines w:val="0"/>
                    <w:suppressLineNumbers w:val="0"/>
                    <w:overflowPunct w:val="0"/>
                    <w:adjustRightInd w:val="0"/>
                    <w:snapToGrid w:val="0"/>
                    <w:spacing w:before="0" w:beforeAutospacing="0" w:after="0" w:afterAutospacing="0" w:line="276" w:lineRule="auto"/>
                    <w:ind w:left="0" w:right="0"/>
                    <w:jc w:val="center"/>
                    <w:rPr>
                      <w:rFonts w:hint="default" w:ascii="Times New Roman" w:hAnsi="Times New Roman" w:eastAsia="宋体" w:cs="Times New Roman"/>
                      <w:sz w:val="21"/>
                      <w:szCs w:val="21"/>
                      <w:highlight w:val="none"/>
                    </w:rPr>
                  </w:pPr>
                </w:p>
              </w:tc>
              <w:tc>
                <w:tcPr>
                  <w:tcW w:w="710" w:type="pct"/>
                  <w:vMerge w:val="continue"/>
                  <w:noWrap w:val="0"/>
                  <w:tcMar>
                    <w:left w:w="57" w:type="dxa"/>
                    <w:right w:w="57" w:type="dxa"/>
                  </w:tcMar>
                  <w:vAlign w:val="center"/>
                </w:tcPr>
                <w:p w14:paraId="188DC3F5">
                  <w:pPr>
                    <w:keepNext w:val="0"/>
                    <w:keepLines w:val="0"/>
                    <w:suppressLineNumbers w:val="0"/>
                    <w:overflowPunct w:val="0"/>
                    <w:adjustRightInd w:val="0"/>
                    <w:snapToGrid w:val="0"/>
                    <w:spacing w:before="0" w:beforeAutospacing="0" w:after="0" w:afterAutospacing="0" w:line="276" w:lineRule="auto"/>
                    <w:ind w:left="0" w:right="0"/>
                    <w:jc w:val="center"/>
                    <w:rPr>
                      <w:rFonts w:hint="default" w:ascii="Times New Roman" w:hAnsi="Times New Roman" w:eastAsia="宋体" w:cs="Times New Roman"/>
                      <w:sz w:val="21"/>
                      <w:szCs w:val="21"/>
                      <w:highlight w:val="none"/>
                    </w:rPr>
                  </w:pPr>
                </w:p>
              </w:tc>
              <w:tc>
                <w:tcPr>
                  <w:tcW w:w="788" w:type="pct"/>
                  <w:shd w:val="clear" w:color="auto" w:fill="auto"/>
                  <w:noWrap w:val="0"/>
                  <w:tcMar>
                    <w:left w:w="57" w:type="dxa"/>
                    <w:right w:w="57" w:type="dxa"/>
                  </w:tcMar>
                  <w:vAlign w:val="center"/>
                </w:tcPr>
                <w:p w14:paraId="64D206F0">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64" w:lineRule="auto"/>
                    <w:ind w:left="0" w:right="0"/>
                    <w:jc w:val="center"/>
                    <w:textAlignment w:val="auto"/>
                    <w:rPr>
                      <w:rFonts w:hint="eastAsia" w:ascii="Times New Roman" w:hAnsi="Times New Roman" w:eastAsia="宋体" w:cs="Times New Roman"/>
                      <w:bCs/>
                      <w:kern w:val="0"/>
                      <w:sz w:val="21"/>
                      <w:szCs w:val="21"/>
                      <w:highlight w:val="none"/>
                      <w:lang w:val="en-US" w:eastAsia="zh-CN" w:bidi="ar-SA"/>
                    </w:rPr>
                  </w:pPr>
                  <w:r>
                    <w:rPr>
                      <w:rFonts w:hint="eastAsia" w:ascii="Times New Roman" w:hAnsi="Times New Roman" w:eastAsia="宋体" w:cs="Times New Roman"/>
                      <w:bCs/>
                      <w:kern w:val="0"/>
                      <w:sz w:val="21"/>
                      <w:szCs w:val="21"/>
                      <w:highlight w:val="none"/>
                      <w:lang w:val="en-US" w:eastAsia="zh-CN"/>
                    </w:rPr>
                    <w:t>氯气</w:t>
                  </w:r>
                </w:p>
              </w:tc>
              <w:tc>
                <w:tcPr>
                  <w:tcW w:w="1329" w:type="pct"/>
                  <w:gridSpan w:val="2"/>
                  <w:shd w:val="clear" w:color="auto" w:fill="auto"/>
                  <w:noWrap w:val="0"/>
                  <w:tcMar>
                    <w:left w:w="57" w:type="dxa"/>
                    <w:right w:w="57" w:type="dxa"/>
                  </w:tcMar>
                  <w:vAlign w:val="center"/>
                </w:tcPr>
                <w:p w14:paraId="34DD3E51">
                  <w:pPr>
                    <w:keepNext w:val="0"/>
                    <w:keepLines w:val="0"/>
                    <w:widowControl/>
                    <w:suppressLineNumbers w:val="0"/>
                    <w:spacing w:before="0" w:beforeAutospacing="0" w:after="0" w:afterAutospacing="0"/>
                    <w:ind w:left="0" w:right="0"/>
                    <w:jc w:val="center"/>
                    <w:textAlignment w:val="center"/>
                    <w:rPr>
                      <w:rFonts w:hint="eastAsia" w:ascii="Times New Roman" w:hAnsi="Times New Roman" w:eastAsia="宋体" w:cs="Times New Roman"/>
                      <w:bCs/>
                      <w:kern w:val="0"/>
                      <w:sz w:val="21"/>
                      <w:szCs w:val="21"/>
                      <w:highlight w:val="none"/>
                      <w:lang w:val="en-US" w:eastAsia="zh-CN" w:bidi="ar-SA"/>
                    </w:rPr>
                  </w:pPr>
                  <w:r>
                    <w:rPr>
                      <w:rFonts w:hint="eastAsia" w:cs="Times New Roman"/>
                      <w:bCs/>
                      <w:kern w:val="0"/>
                      <w:sz w:val="21"/>
                      <w:szCs w:val="21"/>
                      <w:highlight w:val="none"/>
                      <w:lang w:val="en-US" w:eastAsia="zh-CN" w:bidi="ar-SA"/>
                    </w:rPr>
                    <w:t>少量</w:t>
                  </w:r>
                </w:p>
              </w:tc>
              <w:tc>
                <w:tcPr>
                  <w:tcW w:w="513" w:type="pct"/>
                  <w:noWrap w:val="0"/>
                  <w:tcMar>
                    <w:left w:w="57" w:type="dxa"/>
                    <w:right w:w="57" w:type="dxa"/>
                  </w:tcMar>
                  <w:vAlign w:val="center"/>
                </w:tcPr>
                <w:p w14:paraId="5B8ADCB0">
                  <w:pPr>
                    <w:keepNext w:val="0"/>
                    <w:keepLines w:val="0"/>
                    <w:widowControl/>
                    <w:suppressLineNumbers w:val="0"/>
                    <w:spacing w:before="0" w:beforeAutospacing="0" w:after="0" w:afterAutospacing="0" w:line="276" w:lineRule="auto"/>
                    <w:ind w:left="0" w:right="0"/>
                    <w:jc w:val="center"/>
                    <w:rPr>
                      <w:rFonts w:hint="eastAsia" w:ascii="Times New Roman" w:hAnsi="Times New Roman" w:eastAsia="宋体" w:cs="Times New Roman"/>
                      <w:kern w:val="0"/>
                      <w:sz w:val="21"/>
                      <w:szCs w:val="21"/>
                      <w:highlight w:val="none"/>
                      <w:lang w:val="en-US" w:eastAsia="zh-CN"/>
                    </w:rPr>
                  </w:pPr>
                  <w:r>
                    <w:rPr>
                      <w:rFonts w:hint="eastAsia" w:ascii="Times New Roman" w:hAnsi="Times New Roman" w:eastAsia="宋体" w:cs="Times New Roman"/>
                      <w:kern w:val="0"/>
                      <w:sz w:val="21"/>
                      <w:szCs w:val="21"/>
                      <w:highlight w:val="none"/>
                      <w:lang w:val="en-US" w:eastAsia="zh-CN"/>
                    </w:rPr>
                    <w:t>0.44</w:t>
                  </w:r>
                </w:p>
              </w:tc>
              <w:tc>
                <w:tcPr>
                  <w:tcW w:w="669" w:type="pct"/>
                  <w:noWrap w:val="0"/>
                  <w:tcMar>
                    <w:left w:w="57" w:type="dxa"/>
                    <w:right w:w="57" w:type="dxa"/>
                  </w:tcMar>
                  <w:vAlign w:val="center"/>
                </w:tcPr>
                <w:p w14:paraId="161E94E4">
                  <w:pPr>
                    <w:keepNext w:val="0"/>
                    <w:keepLines w:val="0"/>
                    <w:widowControl/>
                    <w:suppressLineNumbers w:val="0"/>
                    <w:spacing w:before="0" w:beforeAutospacing="0" w:after="0" w:afterAutospacing="0" w:line="276" w:lineRule="auto"/>
                    <w:ind w:left="0" w:right="0"/>
                    <w:jc w:val="center"/>
                    <w:rPr>
                      <w:rFonts w:hint="eastAsia" w:ascii="Times New Roman" w:hAnsi="Times New Roman" w:eastAsia="宋体" w:cs="Times New Roman"/>
                      <w:kern w:val="0"/>
                      <w:sz w:val="21"/>
                      <w:szCs w:val="21"/>
                      <w:highlight w:val="none"/>
                      <w:lang w:val="en-US" w:eastAsia="zh-CN"/>
                    </w:rPr>
                  </w:pPr>
                  <w:r>
                    <w:rPr>
                      <w:rFonts w:hint="eastAsia" w:ascii="Times New Roman" w:hAnsi="Times New Roman" w:eastAsia="宋体" w:cs="Times New Roman"/>
                      <w:kern w:val="0"/>
                      <w:sz w:val="21"/>
                      <w:szCs w:val="21"/>
                      <w:highlight w:val="none"/>
                      <w:lang w:val="en-US" w:eastAsia="zh-CN"/>
                    </w:rPr>
                    <w:t>65</w:t>
                  </w:r>
                </w:p>
              </w:tc>
              <w:tc>
                <w:tcPr>
                  <w:tcW w:w="441" w:type="pct"/>
                  <w:noWrap w:val="0"/>
                  <w:tcMar>
                    <w:left w:w="57" w:type="dxa"/>
                    <w:right w:w="57" w:type="dxa"/>
                  </w:tcMar>
                  <w:vAlign w:val="center"/>
                </w:tcPr>
                <w:p w14:paraId="5C93B45A">
                  <w:pPr>
                    <w:keepNext w:val="0"/>
                    <w:keepLines w:val="0"/>
                    <w:suppressLineNumbers w:val="0"/>
                    <w:overflowPunct w:val="0"/>
                    <w:adjustRightInd w:val="0"/>
                    <w:snapToGrid w:val="0"/>
                    <w:spacing w:before="0" w:beforeAutospacing="0" w:after="0" w:afterAutospacing="0" w:line="276" w:lineRule="auto"/>
                    <w:ind w:left="0" w:right="0"/>
                    <w:jc w:val="center"/>
                    <w:rPr>
                      <w:rFonts w:hint="eastAsia" w:ascii="Times New Roman" w:hAnsi="Times New Roman" w:eastAsia="宋体" w:cs="Times New Roman"/>
                      <w:kern w:val="0"/>
                      <w:sz w:val="21"/>
                      <w:szCs w:val="21"/>
                      <w:highlight w:val="none"/>
                      <w:lang w:val="en-US" w:eastAsia="zh-CN"/>
                    </w:rPr>
                  </w:pPr>
                  <w:r>
                    <w:rPr>
                      <w:rFonts w:hint="eastAsia" w:ascii="Times New Roman" w:hAnsi="Times New Roman" w:eastAsia="宋体" w:cs="Times New Roman"/>
                      <w:kern w:val="0"/>
                      <w:sz w:val="21"/>
                      <w:szCs w:val="21"/>
                      <w:highlight w:val="none"/>
                    </w:rPr>
                    <w:t>达标</w:t>
                  </w:r>
                </w:p>
              </w:tc>
            </w:tr>
            <w:tr w14:paraId="3C9E5D4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4" w:hRule="atLeast"/>
                <w:jc w:val="center"/>
              </w:trPr>
              <w:tc>
                <w:tcPr>
                  <w:tcW w:w="547" w:type="pct"/>
                  <w:vMerge w:val="continue"/>
                  <w:noWrap w:val="0"/>
                  <w:tcMar>
                    <w:left w:w="57" w:type="dxa"/>
                    <w:right w:w="57" w:type="dxa"/>
                  </w:tcMar>
                  <w:vAlign w:val="center"/>
                </w:tcPr>
                <w:p w14:paraId="39EBA8F6">
                  <w:pPr>
                    <w:keepNext w:val="0"/>
                    <w:keepLines w:val="0"/>
                    <w:suppressLineNumbers w:val="0"/>
                    <w:overflowPunct w:val="0"/>
                    <w:adjustRightInd w:val="0"/>
                    <w:snapToGrid w:val="0"/>
                    <w:spacing w:before="0" w:beforeAutospacing="0" w:after="0" w:afterAutospacing="0" w:line="276" w:lineRule="auto"/>
                    <w:ind w:left="0" w:right="0"/>
                    <w:jc w:val="center"/>
                    <w:rPr>
                      <w:rFonts w:hint="eastAsia" w:ascii="Times New Roman" w:hAnsi="Times New Roman" w:eastAsia="宋体" w:cs="Times New Roman"/>
                      <w:kern w:val="0"/>
                      <w:sz w:val="21"/>
                      <w:szCs w:val="21"/>
                      <w:highlight w:val="none"/>
                      <w:lang w:val="en-US" w:eastAsia="zh-CN"/>
                    </w:rPr>
                  </w:pPr>
                </w:p>
              </w:tc>
              <w:tc>
                <w:tcPr>
                  <w:tcW w:w="710" w:type="pct"/>
                  <w:vMerge w:val="continue"/>
                  <w:noWrap w:val="0"/>
                  <w:tcMar>
                    <w:left w:w="57" w:type="dxa"/>
                    <w:right w:w="57" w:type="dxa"/>
                  </w:tcMar>
                  <w:vAlign w:val="center"/>
                </w:tcPr>
                <w:p w14:paraId="110314C3">
                  <w:pPr>
                    <w:keepNext w:val="0"/>
                    <w:keepLines w:val="0"/>
                    <w:suppressLineNumbers w:val="0"/>
                    <w:overflowPunct w:val="0"/>
                    <w:adjustRightInd w:val="0"/>
                    <w:snapToGrid w:val="0"/>
                    <w:spacing w:before="0" w:beforeAutospacing="0" w:after="0" w:afterAutospacing="0" w:line="276" w:lineRule="auto"/>
                    <w:ind w:left="0" w:right="0"/>
                    <w:jc w:val="center"/>
                    <w:rPr>
                      <w:rFonts w:hint="eastAsia" w:ascii="Times New Roman" w:hAnsi="Times New Roman" w:eastAsia="宋体" w:cs="Times New Roman"/>
                      <w:kern w:val="0"/>
                      <w:sz w:val="21"/>
                      <w:szCs w:val="21"/>
                      <w:highlight w:val="none"/>
                      <w:lang w:val="en-US" w:eastAsia="zh-CN"/>
                    </w:rPr>
                  </w:pPr>
                </w:p>
              </w:tc>
              <w:tc>
                <w:tcPr>
                  <w:tcW w:w="788" w:type="pct"/>
                  <w:shd w:val="clear" w:color="auto" w:fill="auto"/>
                  <w:noWrap w:val="0"/>
                  <w:tcMar>
                    <w:left w:w="57" w:type="dxa"/>
                    <w:right w:w="57" w:type="dxa"/>
                  </w:tcMar>
                  <w:vAlign w:val="center"/>
                </w:tcPr>
                <w:p w14:paraId="651002A3">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64" w:lineRule="auto"/>
                    <w:ind w:left="0" w:right="0"/>
                    <w:jc w:val="center"/>
                    <w:textAlignment w:val="auto"/>
                    <w:rPr>
                      <w:rFonts w:hint="eastAsia" w:ascii="Times New Roman" w:hAnsi="Times New Roman" w:eastAsia="宋体" w:cs="Times New Roman"/>
                      <w:bCs/>
                      <w:kern w:val="0"/>
                      <w:sz w:val="21"/>
                      <w:szCs w:val="21"/>
                      <w:highlight w:val="none"/>
                      <w:lang w:val="en-US" w:eastAsia="zh-CN" w:bidi="ar-SA"/>
                    </w:rPr>
                  </w:pPr>
                  <w:r>
                    <w:rPr>
                      <w:rFonts w:hint="eastAsia" w:ascii="Times New Roman" w:hAnsi="Times New Roman" w:eastAsia="宋体" w:cs="Times New Roman"/>
                      <w:bCs/>
                      <w:kern w:val="0"/>
                      <w:sz w:val="21"/>
                      <w:szCs w:val="21"/>
                      <w:highlight w:val="none"/>
                      <w:lang w:val="en-US" w:eastAsia="zh-CN"/>
                    </w:rPr>
                    <w:t>甲醛</w:t>
                  </w:r>
                </w:p>
              </w:tc>
              <w:tc>
                <w:tcPr>
                  <w:tcW w:w="687" w:type="pct"/>
                  <w:shd w:val="clear" w:color="auto" w:fill="auto"/>
                  <w:noWrap w:val="0"/>
                  <w:tcMar>
                    <w:left w:w="57" w:type="dxa"/>
                    <w:right w:w="57" w:type="dxa"/>
                  </w:tcMar>
                  <w:vAlign w:val="center"/>
                </w:tcPr>
                <w:p w14:paraId="2D6A0695">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64" w:lineRule="auto"/>
                    <w:ind w:left="0" w:right="0"/>
                    <w:jc w:val="center"/>
                    <w:textAlignment w:val="auto"/>
                    <w:rPr>
                      <w:rFonts w:hint="eastAsia" w:ascii="Times New Roman" w:hAnsi="Times New Roman" w:eastAsia="宋体" w:cs="Times New Roman"/>
                      <w:bCs/>
                      <w:kern w:val="0"/>
                      <w:sz w:val="21"/>
                      <w:szCs w:val="21"/>
                      <w:highlight w:val="none"/>
                      <w:lang w:val="en-US" w:eastAsia="zh-CN" w:bidi="ar-SA"/>
                    </w:rPr>
                  </w:pPr>
                  <w:r>
                    <w:rPr>
                      <w:rFonts w:hint="eastAsia" w:ascii="Times New Roman" w:hAnsi="Times New Roman" w:eastAsia="宋体" w:cs="Times New Roman"/>
                      <w:bCs/>
                      <w:kern w:val="0"/>
                      <w:sz w:val="21"/>
                      <w:szCs w:val="21"/>
                      <w:highlight w:val="none"/>
                      <w:lang w:val="en-US" w:eastAsia="zh-CN"/>
                    </w:rPr>
                    <w:t>0.004</w:t>
                  </w:r>
                </w:p>
              </w:tc>
              <w:tc>
                <w:tcPr>
                  <w:tcW w:w="641" w:type="pct"/>
                  <w:shd w:val="clear" w:color="auto" w:fill="auto"/>
                  <w:noWrap w:val="0"/>
                  <w:tcMar>
                    <w:left w:w="57" w:type="dxa"/>
                    <w:right w:w="57" w:type="dxa"/>
                  </w:tcMar>
                  <w:vAlign w:val="center"/>
                </w:tcPr>
                <w:p w14:paraId="1D6F049B">
                  <w:pPr>
                    <w:keepNext w:val="0"/>
                    <w:keepLines w:val="0"/>
                    <w:suppressLineNumbers w:val="0"/>
                    <w:spacing w:before="0" w:beforeAutospacing="0" w:after="0" w:afterAutospacing="0"/>
                    <w:ind w:left="0" w:right="0"/>
                    <w:jc w:val="center"/>
                    <w:rPr>
                      <w:rFonts w:hint="default" w:ascii="Times New Roman" w:hAnsi="Times New Roman" w:eastAsia="宋体" w:cs="Times New Roman"/>
                      <w:color w:val="auto"/>
                      <w:kern w:val="2"/>
                      <w:sz w:val="21"/>
                      <w:szCs w:val="21"/>
                      <w:highlight w:val="none"/>
                      <w:lang w:val="en-US" w:eastAsia="zh-CN" w:bidi="ar-SA"/>
                    </w:rPr>
                  </w:pPr>
                  <w:r>
                    <w:rPr>
                      <w:rFonts w:hint="eastAsia" w:ascii="Times New Roman" w:hAnsi="Times New Roman" w:eastAsia="宋体" w:cs="Times New Roman"/>
                      <w:color w:val="auto"/>
                      <w:kern w:val="2"/>
                      <w:sz w:val="21"/>
                      <w:szCs w:val="21"/>
                      <w:highlight w:val="none"/>
                      <w:lang w:val="en-US" w:eastAsia="zh-CN" w:bidi="ar-SA"/>
                    </w:rPr>
                    <w:t>0.</w:t>
                  </w:r>
                  <w:r>
                    <w:rPr>
                      <w:rFonts w:hint="eastAsia" w:cs="Times New Roman"/>
                      <w:color w:val="auto"/>
                      <w:kern w:val="2"/>
                      <w:sz w:val="21"/>
                      <w:szCs w:val="21"/>
                      <w:highlight w:val="none"/>
                      <w:lang w:val="en-US" w:eastAsia="zh-CN" w:bidi="ar-SA"/>
                    </w:rPr>
                    <w:t>51</w:t>
                  </w:r>
                </w:p>
              </w:tc>
              <w:tc>
                <w:tcPr>
                  <w:tcW w:w="513" w:type="pct"/>
                  <w:noWrap w:val="0"/>
                  <w:tcMar>
                    <w:left w:w="57" w:type="dxa"/>
                    <w:right w:w="57" w:type="dxa"/>
                  </w:tcMar>
                  <w:vAlign w:val="center"/>
                </w:tcPr>
                <w:p w14:paraId="594F6D2F">
                  <w:pPr>
                    <w:keepNext w:val="0"/>
                    <w:keepLines w:val="0"/>
                    <w:suppressLineNumbers w:val="0"/>
                    <w:adjustRightInd w:val="0"/>
                    <w:snapToGrid w:val="0"/>
                    <w:spacing w:before="0" w:beforeAutospacing="0" w:after="0" w:afterAutospacing="0" w:line="276" w:lineRule="auto"/>
                    <w:ind w:left="0" w:right="0"/>
                    <w:jc w:val="center"/>
                    <w:rPr>
                      <w:rFonts w:hint="eastAsia" w:ascii="Times New Roman" w:hAnsi="Times New Roman" w:eastAsia="宋体" w:cs="Times New Roman"/>
                      <w:kern w:val="0"/>
                      <w:sz w:val="21"/>
                      <w:szCs w:val="21"/>
                      <w:highlight w:val="none"/>
                      <w:lang w:val="en-US" w:eastAsia="zh-CN"/>
                    </w:rPr>
                  </w:pPr>
                  <w:r>
                    <w:rPr>
                      <w:rFonts w:hint="eastAsia" w:ascii="Times New Roman" w:hAnsi="Times New Roman" w:eastAsia="宋体" w:cs="Times New Roman"/>
                      <w:kern w:val="0"/>
                      <w:sz w:val="21"/>
                      <w:szCs w:val="21"/>
                      <w:highlight w:val="none"/>
                      <w:lang w:val="en-US" w:eastAsia="zh-CN"/>
                    </w:rPr>
                    <w:t>0.7</w:t>
                  </w:r>
                </w:p>
              </w:tc>
              <w:tc>
                <w:tcPr>
                  <w:tcW w:w="669" w:type="pct"/>
                  <w:noWrap w:val="0"/>
                  <w:tcMar>
                    <w:left w:w="57" w:type="dxa"/>
                    <w:right w:w="57" w:type="dxa"/>
                  </w:tcMar>
                  <w:vAlign w:val="center"/>
                </w:tcPr>
                <w:p w14:paraId="3E89B70B">
                  <w:pPr>
                    <w:keepNext w:val="0"/>
                    <w:keepLines w:val="0"/>
                    <w:widowControl/>
                    <w:suppressLineNumbers w:val="0"/>
                    <w:spacing w:before="0" w:beforeAutospacing="0" w:after="0" w:afterAutospacing="0" w:line="276" w:lineRule="auto"/>
                    <w:ind w:left="0" w:right="0"/>
                    <w:jc w:val="center"/>
                    <w:rPr>
                      <w:rFonts w:hint="eastAsia" w:ascii="Times New Roman" w:hAnsi="Times New Roman" w:eastAsia="宋体" w:cs="Times New Roman"/>
                      <w:kern w:val="0"/>
                      <w:sz w:val="21"/>
                      <w:szCs w:val="21"/>
                      <w:highlight w:val="none"/>
                      <w:lang w:val="en-US" w:eastAsia="zh-CN"/>
                    </w:rPr>
                  </w:pPr>
                  <w:r>
                    <w:rPr>
                      <w:rFonts w:hint="eastAsia" w:ascii="Times New Roman" w:hAnsi="Times New Roman" w:eastAsia="宋体" w:cs="Times New Roman"/>
                      <w:kern w:val="0"/>
                      <w:sz w:val="21"/>
                      <w:szCs w:val="21"/>
                      <w:highlight w:val="none"/>
                      <w:lang w:val="en-US" w:eastAsia="zh-CN"/>
                    </w:rPr>
                    <w:t>25</w:t>
                  </w:r>
                </w:p>
              </w:tc>
              <w:tc>
                <w:tcPr>
                  <w:tcW w:w="441" w:type="pct"/>
                  <w:noWrap w:val="0"/>
                  <w:tcMar>
                    <w:left w:w="57" w:type="dxa"/>
                    <w:right w:w="57" w:type="dxa"/>
                  </w:tcMar>
                  <w:vAlign w:val="center"/>
                </w:tcPr>
                <w:p w14:paraId="0F71B250">
                  <w:pPr>
                    <w:keepNext w:val="0"/>
                    <w:keepLines w:val="0"/>
                    <w:suppressLineNumbers w:val="0"/>
                    <w:overflowPunct w:val="0"/>
                    <w:adjustRightInd w:val="0"/>
                    <w:snapToGrid w:val="0"/>
                    <w:spacing w:before="0" w:beforeAutospacing="0" w:after="0" w:afterAutospacing="0" w:line="276" w:lineRule="auto"/>
                    <w:ind w:left="0" w:right="0"/>
                    <w:jc w:val="center"/>
                    <w:rPr>
                      <w:rFonts w:hint="eastAsia" w:ascii="Times New Roman" w:hAnsi="Times New Roman" w:eastAsia="宋体" w:cs="Times New Roman"/>
                      <w:kern w:val="0"/>
                      <w:sz w:val="21"/>
                      <w:szCs w:val="21"/>
                      <w:highlight w:val="none"/>
                      <w:lang w:val="en-US" w:eastAsia="zh-CN"/>
                    </w:rPr>
                  </w:pPr>
                  <w:r>
                    <w:rPr>
                      <w:rFonts w:hint="eastAsia" w:ascii="Times New Roman" w:hAnsi="Times New Roman" w:eastAsia="宋体" w:cs="Times New Roman"/>
                      <w:kern w:val="0"/>
                      <w:sz w:val="21"/>
                      <w:szCs w:val="21"/>
                      <w:highlight w:val="none"/>
                    </w:rPr>
                    <w:t>达标</w:t>
                  </w:r>
                </w:p>
              </w:tc>
            </w:tr>
            <w:tr w14:paraId="5662A65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4" w:hRule="atLeast"/>
                <w:jc w:val="center"/>
              </w:trPr>
              <w:tc>
                <w:tcPr>
                  <w:tcW w:w="547" w:type="pct"/>
                  <w:vMerge w:val="restart"/>
                  <w:shd w:val="clear" w:color="auto" w:fill="auto"/>
                  <w:noWrap w:val="0"/>
                  <w:tcMar>
                    <w:left w:w="57" w:type="dxa"/>
                    <w:right w:w="57" w:type="dxa"/>
                  </w:tcMar>
                  <w:vAlign w:val="center"/>
                </w:tcPr>
                <w:p w14:paraId="3B6EA095">
                  <w:pPr>
                    <w:keepNext w:val="0"/>
                    <w:keepLines w:val="0"/>
                    <w:widowControl/>
                    <w:suppressLineNumbers w:val="0"/>
                    <w:adjustRightInd w:val="0"/>
                    <w:snapToGrid w:val="0"/>
                    <w:spacing w:before="0" w:beforeAutospacing="0" w:after="0" w:afterAutospacing="0" w:line="276" w:lineRule="auto"/>
                    <w:ind w:left="0" w:right="0"/>
                    <w:jc w:val="center"/>
                    <w:rPr>
                      <w:rFonts w:hint="default" w:ascii="Times New Roman" w:hAnsi="Times New Roman" w:eastAsia="宋体" w:cs="Times New Roman"/>
                      <w:snapToGrid w:val="0"/>
                      <w:kern w:val="2"/>
                      <w:sz w:val="21"/>
                      <w:szCs w:val="21"/>
                      <w:highlight w:val="none"/>
                      <w:lang w:val="en-US" w:eastAsia="zh-CN" w:bidi="ar-SA"/>
                    </w:rPr>
                  </w:pPr>
                  <w:r>
                    <w:rPr>
                      <w:rFonts w:hint="default" w:ascii="Times New Roman" w:hAnsi="Times New Roman" w:eastAsia="宋体" w:cs="Times New Roman"/>
                      <w:snapToGrid w:val="0"/>
                      <w:sz w:val="21"/>
                      <w:szCs w:val="21"/>
                      <w:highlight w:val="none"/>
                    </w:rPr>
                    <w:t>DA0</w:t>
                  </w:r>
                  <w:r>
                    <w:rPr>
                      <w:rFonts w:hint="eastAsia" w:ascii="Times New Roman" w:hAnsi="Times New Roman" w:eastAsia="宋体" w:cs="Times New Roman"/>
                      <w:snapToGrid w:val="0"/>
                      <w:sz w:val="21"/>
                      <w:szCs w:val="21"/>
                      <w:highlight w:val="none"/>
                      <w:lang w:val="en-US" w:eastAsia="zh-CN"/>
                    </w:rPr>
                    <w:t>10</w:t>
                  </w:r>
                </w:p>
              </w:tc>
              <w:tc>
                <w:tcPr>
                  <w:tcW w:w="710" w:type="pct"/>
                  <w:vMerge w:val="restart"/>
                  <w:shd w:val="clear" w:color="auto" w:fill="auto"/>
                  <w:noWrap w:val="0"/>
                  <w:tcMar>
                    <w:left w:w="57" w:type="dxa"/>
                    <w:right w:w="57" w:type="dxa"/>
                  </w:tcMar>
                  <w:vAlign w:val="center"/>
                </w:tcPr>
                <w:p w14:paraId="54859A17">
                  <w:pPr>
                    <w:keepNext w:val="0"/>
                    <w:keepLines w:val="0"/>
                    <w:widowControl/>
                    <w:suppressLineNumbers w:val="0"/>
                    <w:adjustRightInd w:val="0"/>
                    <w:snapToGrid w:val="0"/>
                    <w:spacing w:before="0" w:beforeAutospacing="0" w:after="0" w:afterAutospacing="0" w:line="276" w:lineRule="auto"/>
                    <w:ind w:left="0" w:right="0"/>
                    <w:jc w:val="center"/>
                    <w:rPr>
                      <w:rFonts w:hint="eastAsia" w:ascii="Times New Roman" w:hAnsi="Times New Roman" w:eastAsia="宋体" w:cs="Times New Roman"/>
                      <w:snapToGrid w:val="0"/>
                      <w:kern w:val="2"/>
                      <w:sz w:val="21"/>
                      <w:szCs w:val="21"/>
                      <w:highlight w:val="none"/>
                      <w:lang w:val="en-US" w:eastAsia="zh-CN" w:bidi="ar-SA"/>
                    </w:rPr>
                  </w:pPr>
                  <w:r>
                    <w:rPr>
                      <w:rFonts w:hint="eastAsia" w:ascii="Times New Roman" w:hAnsi="Times New Roman" w:eastAsia="宋体" w:cs="Times New Roman"/>
                      <w:snapToGrid w:val="0"/>
                      <w:sz w:val="21"/>
                      <w:szCs w:val="21"/>
                      <w:highlight w:val="none"/>
                      <w:lang w:val="en-US" w:eastAsia="zh-CN"/>
                    </w:rPr>
                    <w:t>10#</w:t>
                  </w:r>
                  <w:r>
                    <w:rPr>
                      <w:rFonts w:hint="default" w:ascii="Times New Roman" w:hAnsi="Times New Roman" w:eastAsia="宋体" w:cs="Times New Roman"/>
                      <w:snapToGrid w:val="0"/>
                      <w:sz w:val="21"/>
                      <w:szCs w:val="21"/>
                      <w:highlight w:val="none"/>
                    </w:rPr>
                    <w:t>排放口</w:t>
                  </w:r>
                </w:p>
              </w:tc>
              <w:tc>
                <w:tcPr>
                  <w:tcW w:w="788" w:type="pct"/>
                  <w:shd w:val="clear" w:color="auto" w:fill="auto"/>
                  <w:noWrap w:val="0"/>
                  <w:tcMar>
                    <w:left w:w="57" w:type="dxa"/>
                    <w:right w:w="57" w:type="dxa"/>
                  </w:tcMar>
                  <w:vAlign w:val="center"/>
                </w:tcPr>
                <w:p w14:paraId="48E73752">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64" w:lineRule="auto"/>
                    <w:ind w:left="0" w:right="0"/>
                    <w:jc w:val="center"/>
                    <w:textAlignment w:val="auto"/>
                    <w:rPr>
                      <w:rFonts w:hint="eastAsia" w:ascii="Times New Roman" w:hAnsi="Times New Roman" w:eastAsia="宋体" w:cs="Times New Roman"/>
                      <w:bCs/>
                      <w:kern w:val="0"/>
                      <w:sz w:val="21"/>
                      <w:szCs w:val="21"/>
                      <w:highlight w:val="none"/>
                      <w:lang w:val="en-US" w:eastAsia="zh-CN"/>
                    </w:rPr>
                  </w:pPr>
                  <w:r>
                    <w:rPr>
                      <w:rFonts w:hint="eastAsia" w:ascii="Times New Roman" w:hAnsi="Times New Roman" w:eastAsia="宋体" w:cs="Times New Roman"/>
                      <w:bCs/>
                      <w:kern w:val="0"/>
                      <w:sz w:val="21"/>
                      <w:szCs w:val="21"/>
                      <w:highlight w:val="none"/>
                      <w:lang w:val="en-US" w:eastAsia="zh-CN"/>
                    </w:rPr>
                    <w:t>甲醛</w:t>
                  </w:r>
                </w:p>
              </w:tc>
              <w:tc>
                <w:tcPr>
                  <w:tcW w:w="687" w:type="pct"/>
                  <w:shd w:val="clear" w:color="auto" w:fill="auto"/>
                  <w:noWrap w:val="0"/>
                  <w:tcMar>
                    <w:left w:w="57" w:type="dxa"/>
                    <w:right w:w="57" w:type="dxa"/>
                  </w:tcMar>
                  <w:vAlign w:val="center"/>
                </w:tcPr>
                <w:p w14:paraId="5D25627E">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64" w:lineRule="auto"/>
                    <w:ind w:left="0" w:right="0"/>
                    <w:jc w:val="center"/>
                    <w:textAlignment w:val="auto"/>
                    <w:rPr>
                      <w:rFonts w:hint="eastAsia" w:ascii="Times New Roman" w:hAnsi="Times New Roman" w:eastAsia="宋体" w:cs="Times New Roman"/>
                      <w:bCs/>
                      <w:kern w:val="0"/>
                      <w:sz w:val="21"/>
                      <w:szCs w:val="21"/>
                      <w:highlight w:val="none"/>
                      <w:lang w:val="en-US" w:eastAsia="zh-CN" w:bidi="ar-SA"/>
                    </w:rPr>
                  </w:pPr>
                  <w:r>
                    <w:rPr>
                      <w:rFonts w:hint="eastAsia" w:ascii="Times New Roman" w:hAnsi="Times New Roman" w:eastAsia="宋体" w:cs="Times New Roman"/>
                      <w:bCs/>
                      <w:kern w:val="0"/>
                      <w:sz w:val="21"/>
                      <w:szCs w:val="21"/>
                      <w:highlight w:val="none"/>
                      <w:lang w:val="en-US" w:eastAsia="zh-CN"/>
                    </w:rPr>
                    <w:t>0.004</w:t>
                  </w:r>
                </w:p>
              </w:tc>
              <w:tc>
                <w:tcPr>
                  <w:tcW w:w="641" w:type="pct"/>
                  <w:shd w:val="clear" w:color="auto" w:fill="auto"/>
                  <w:noWrap w:val="0"/>
                  <w:tcMar>
                    <w:left w:w="57" w:type="dxa"/>
                    <w:right w:w="57" w:type="dxa"/>
                  </w:tcMar>
                  <w:vAlign w:val="center"/>
                </w:tcPr>
                <w:p w14:paraId="34A76A55">
                  <w:pPr>
                    <w:keepNext w:val="0"/>
                    <w:keepLines w:val="0"/>
                    <w:suppressLineNumbers w:val="0"/>
                    <w:spacing w:before="0" w:beforeAutospacing="0" w:after="0" w:afterAutospacing="0"/>
                    <w:ind w:left="0" w:right="0"/>
                    <w:jc w:val="center"/>
                    <w:rPr>
                      <w:rFonts w:hint="default" w:ascii="Times New Roman" w:hAnsi="Times New Roman" w:eastAsia="宋体" w:cs="Times New Roman"/>
                      <w:color w:val="auto"/>
                      <w:kern w:val="2"/>
                      <w:sz w:val="21"/>
                      <w:szCs w:val="21"/>
                      <w:highlight w:val="none"/>
                      <w:lang w:val="en-US" w:eastAsia="zh-CN" w:bidi="ar-SA"/>
                    </w:rPr>
                  </w:pPr>
                  <w:r>
                    <w:rPr>
                      <w:rFonts w:hint="eastAsia" w:ascii="Times New Roman" w:hAnsi="Times New Roman" w:eastAsia="宋体" w:cs="Times New Roman"/>
                      <w:color w:val="auto"/>
                      <w:kern w:val="2"/>
                      <w:sz w:val="21"/>
                      <w:szCs w:val="21"/>
                      <w:highlight w:val="none"/>
                      <w:lang w:val="en-US" w:eastAsia="zh-CN" w:bidi="ar-SA"/>
                    </w:rPr>
                    <w:t>0.67</w:t>
                  </w:r>
                </w:p>
              </w:tc>
              <w:tc>
                <w:tcPr>
                  <w:tcW w:w="513" w:type="pct"/>
                  <w:noWrap w:val="0"/>
                  <w:tcMar>
                    <w:left w:w="57" w:type="dxa"/>
                    <w:right w:w="57" w:type="dxa"/>
                  </w:tcMar>
                  <w:vAlign w:val="center"/>
                </w:tcPr>
                <w:p w14:paraId="0ADD932C">
                  <w:pPr>
                    <w:keepNext w:val="0"/>
                    <w:keepLines w:val="0"/>
                    <w:suppressLineNumbers w:val="0"/>
                    <w:adjustRightInd w:val="0"/>
                    <w:snapToGrid w:val="0"/>
                    <w:spacing w:before="0" w:beforeAutospacing="0" w:after="0" w:afterAutospacing="0" w:line="276" w:lineRule="auto"/>
                    <w:ind w:left="0" w:right="0"/>
                    <w:jc w:val="center"/>
                    <w:rPr>
                      <w:rFonts w:hint="eastAsia" w:ascii="Times New Roman" w:hAnsi="Times New Roman" w:eastAsia="宋体" w:cs="Times New Roman"/>
                      <w:kern w:val="0"/>
                      <w:sz w:val="21"/>
                      <w:szCs w:val="21"/>
                      <w:highlight w:val="none"/>
                      <w:lang w:val="en-US" w:eastAsia="zh-CN"/>
                    </w:rPr>
                  </w:pPr>
                  <w:r>
                    <w:rPr>
                      <w:rFonts w:hint="eastAsia" w:ascii="Times New Roman" w:hAnsi="Times New Roman" w:eastAsia="宋体" w:cs="Times New Roman"/>
                      <w:kern w:val="0"/>
                      <w:sz w:val="21"/>
                      <w:szCs w:val="21"/>
                      <w:highlight w:val="none"/>
                      <w:lang w:val="en-US" w:eastAsia="zh-CN"/>
                    </w:rPr>
                    <w:t>0.7</w:t>
                  </w:r>
                </w:p>
              </w:tc>
              <w:tc>
                <w:tcPr>
                  <w:tcW w:w="669" w:type="pct"/>
                  <w:noWrap w:val="0"/>
                  <w:tcMar>
                    <w:left w:w="57" w:type="dxa"/>
                    <w:right w:w="57" w:type="dxa"/>
                  </w:tcMar>
                  <w:vAlign w:val="center"/>
                </w:tcPr>
                <w:p w14:paraId="234D5CE2">
                  <w:pPr>
                    <w:keepNext w:val="0"/>
                    <w:keepLines w:val="0"/>
                    <w:widowControl/>
                    <w:suppressLineNumbers w:val="0"/>
                    <w:spacing w:before="0" w:beforeAutospacing="0" w:after="0" w:afterAutospacing="0" w:line="276" w:lineRule="auto"/>
                    <w:ind w:left="0" w:right="0"/>
                    <w:jc w:val="center"/>
                    <w:rPr>
                      <w:rFonts w:hint="eastAsia" w:ascii="Times New Roman" w:hAnsi="Times New Roman" w:eastAsia="宋体" w:cs="Times New Roman"/>
                      <w:kern w:val="0"/>
                      <w:sz w:val="21"/>
                      <w:szCs w:val="21"/>
                      <w:highlight w:val="none"/>
                      <w:lang w:val="en-US" w:eastAsia="zh-CN"/>
                    </w:rPr>
                  </w:pPr>
                  <w:r>
                    <w:rPr>
                      <w:rFonts w:hint="eastAsia" w:ascii="Times New Roman" w:hAnsi="Times New Roman" w:eastAsia="宋体" w:cs="Times New Roman"/>
                      <w:kern w:val="0"/>
                      <w:sz w:val="21"/>
                      <w:szCs w:val="21"/>
                      <w:highlight w:val="none"/>
                      <w:lang w:val="en-US" w:eastAsia="zh-CN"/>
                    </w:rPr>
                    <w:t>25</w:t>
                  </w:r>
                </w:p>
              </w:tc>
              <w:tc>
                <w:tcPr>
                  <w:tcW w:w="441" w:type="pct"/>
                  <w:noWrap w:val="0"/>
                  <w:tcMar>
                    <w:left w:w="57" w:type="dxa"/>
                    <w:right w:w="57" w:type="dxa"/>
                  </w:tcMar>
                  <w:vAlign w:val="center"/>
                </w:tcPr>
                <w:p w14:paraId="403F2C22">
                  <w:pPr>
                    <w:keepNext w:val="0"/>
                    <w:keepLines w:val="0"/>
                    <w:suppressLineNumbers w:val="0"/>
                    <w:overflowPunct w:val="0"/>
                    <w:adjustRightInd w:val="0"/>
                    <w:snapToGrid w:val="0"/>
                    <w:spacing w:before="0" w:beforeAutospacing="0" w:after="0" w:afterAutospacing="0" w:line="276" w:lineRule="auto"/>
                    <w:ind w:left="0" w:right="0"/>
                    <w:jc w:val="center"/>
                    <w:rPr>
                      <w:rFonts w:hint="eastAsia" w:ascii="Times New Roman" w:hAnsi="Times New Roman" w:eastAsia="宋体" w:cs="Times New Roman"/>
                      <w:kern w:val="0"/>
                      <w:sz w:val="21"/>
                      <w:szCs w:val="21"/>
                      <w:highlight w:val="none"/>
                      <w:lang w:val="en-US" w:eastAsia="zh-CN"/>
                    </w:rPr>
                  </w:pPr>
                  <w:r>
                    <w:rPr>
                      <w:rFonts w:hint="eastAsia" w:ascii="Times New Roman" w:hAnsi="Times New Roman" w:eastAsia="宋体" w:cs="Times New Roman"/>
                      <w:kern w:val="0"/>
                      <w:sz w:val="21"/>
                      <w:szCs w:val="21"/>
                      <w:highlight w:val="none"/>
                    </w:rPr>
                    <w:t>达标</w:t>
                  </w:r>
                </w:p>
              </w:tc>
            </w:tr>
            <w:tr w14:paraId="2D52BB9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4" w:hRule="atLeast"/>
                <w:jc w:val="center"/>
              </w:trPr>
              <w:tc>
                <w:tcPr>
                  <w:tcW w:w="547" w:type="pct"/>
                  <w:vMerge w:val="continue"/>
                  <w:shd w:val="clear" w:color="auto" w:fill="auto"/>
                  <w:noWrap w:val="0"/>
                  <w:tcMar>
                    <w:left w:w="57" w:type="dxa"/>
                    <w:right w:w="57" w:type="dxa"/>
                  </w:tcMar>
                  <w:vAlign w:val="center"/>
                </w:tcPr>
                <w:p w14:paraId="1B29C67C">
                  <w:pPr>
                    <w:keepNext w:val="0"/>
                    <w:keepLines w:val="0"/>
                    <w:widowControl/>
                    <w:suppressLineNumbers w:val="0"/>
                    <w:adjustRightInd w:val="0"/>
                    <w:snapToGrid w:val="0"/>
                    <w:spacing w:before="0" w:beforeAutospacing="0" w:after="0" w:afterAutospacing="0" w:line="276" w:lineRule="auto"/>
                    <w:ind w:left="0" w:right="0"/>
                    <w:jc w:val="center"/>
                    <w:rPr>
                      <w:rFonts w:hint="default" w:ascii="Times New Roman" w:hAnsi="Times New Roman" w:eastAsia="宋体" w:cs="Times New Roman"/>
                      <w:snapToGrid w:val="0"/>
                      <w:sz w:val="21"/>
                      <w:szCs w:val="21"/>
                      <w:highlight w:val="none"/>
                    </w:rPr>
                  </w:pPr>
                </w:p>
              </w:tc>
              <w:tc>
                <w:tcPr>
                  <w:tcW w:w="710" w:type="pct"/>
                  <w:vMerge w:val="continue"/>
                  <w:shd w:val="clear" w:color="auto" w:fill="auto"/>
                  <w:noWrap w:val="0"/>
                  <w:tcMar>
                    <w:left w:w="57" w:type="dxa"/>
                    <w:right w:w="57" w:type="dxa"/>
                  </w:tcMar>
                  <w:vAlign w:val="center"/>
                </w:tcPr>
                <w:p w14:paraId="5B0020E4">
                  <w:pPr>
                    <w:keepNext w:val="0"/>
                    <w:keepLines w:val="0"/>
                    <w:widowControl/>
                    <w:suppressLineNumbers w:val="0"/>
                    <w:adjustRightInd w:val="0"/>
                    <w:snapToGrid w:val="0"/>
                    <w:spacing w:before="0" w:beforeAutospacing="0" w:after="0" w:afterAutospacing="0" w:line="276" w:lineRule="auto"/>
                    <w:ind w:left="0" w:right="0"/>
                    <w:jc w:val="center"/>
                    <w:rPr>
                      <w:rFonts w:hint="eastAsia" w:ascii="Times New Roman" w:hAnsi="Times New Roman" w:eastAsia="宋体" w:cs="Times New Roman"/>
                      <w:snapToGrid w:val="0"/>
                      <w:sz w:val="21"/>
                      <w:szCs w:val="21"/>
                      <w:highlight w:val="none"/>
                      <w:lang w:val="en-US" w:eastAsia="zh-CN"/>
                    </w:rPr>
                  </w:pPr>
                </w:p>
              </w:tc>
              <w:tc>
                <w:tcPr>
                  <w:tcW w:w="788" w:type="pct"/>
                  <w:shd w:val="clear" w:color="auto" w:fill="auto"/>
                  <w:noWrap w:val="0"/>
                  <w:tcMar>
                    <w:left w:w="57" w:type="dxa"/>
                    <w:right w:w="57" w:type="dxa"/>
                  </w:tcMar>
                  <w:vAlign w:val="center"/>
                </w:tcPr>
                <w:p w14:paraId="253FA461">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64" w:lineRule="auto"/>
                    <w:ind w:left="0" w:right="0"/>
                    <w:jc w:val="center"/>
                    <w:textAlignment w:val="auto"/>
                    <w:rPr>
                      <w:rFonts w:hint="eastAsia" w:ascii="Times New Roman" w:hAnsi="Times New Roman" w:eastAsia="宋体" w:cs="Times New Roman"/>
                      <w:bCs/>
                      <w:kern w:val="0"/>
                      <w:sz w:val="21"/>
                      <w:szCs w:val="21"/>
                      <w:highlight w:val="none"/>
                      <w:lang w:val="en-US" w:eastAsia="zh-CN" w:bidi="ar-SA"/>
                    </w:rPr>
                  </w:pPr>
                  <w:r>
                    <w:rPr>
                      <w:rFonts w:hint="default" w:ascii="Times New Roman" w:hAnsi="Times New Roman" w:eastAsia="宋体" w:cs="Times New Roman"/>
                      <w:bCs/>
                      <w:kern w:val="0"/>
                      <w:sz w:val="21"/>
                      <w:szCs w:val="21"/>
                      <w:highlight w:val="none"/>
                    </w:rPr>
                    <w:t>氨</w:t>
                  </w:r>
                </w:p>
              </w:tc>
              <w:tc>
                <w:tcPr>
                  <w:tcW w:w="687" w:type="pct"/>
                  <w:shd w:val="clear" w:color="auto" w:fill="auto"/>
                  <w:noWrap w:val="0"/>
                  <w:tcMar>
                    <w:left w:w="57" w:type="dxa"/>
                    <w:right w:w="57" w:type="dxa"/>
                  </w:tcMar>
                  <w:vAlign w:val="center"/>
                </w:tcPr>
                <w:p w14:paraId="01FACB95">
                  <w:pPr>
                    <w:keepNext w:val="0"/>
                    <w:keepLines w:val="0"/>
                    <w:widowControl/>
                    <w:suppressLineNumbers w:val="0"/>
                    <w:spacing w:before="0" w:beforeAutospacing="0" w:after="0" w:afterAutospacing="0"/>
                    <w:ind w:left="0" w:right="0"/>
                    <w:jc w:val="center"/>
                    <w:textAlignment w:val="center"/>
                    <w:rPr>
                      <w:rFonts w:hint="eastAsia" w:ascii="Times New Roman" w:hAnsi="Times New Roman" w:eastAsia="宋体" w:cs="Times New Roman"/>
                      <w:i w:val="0"/>
                      <w:iCs w:val="0"/>
                      <w:color w:val="000000"/>
                      <w:kern w:val="0"/>
                      <w:sz w:val="21"/>
                      <w:szCs w:val="21"/>
                      <w:highlight w:val="none"/>
                      <w:u w:val="none"/>
                      <w:lang w:val="en-US" w:eastAsia="zh-CN" w:bidi="ar"/>
                    </w:rPr>
                  </w:pPr>
                  <w:r>
                    <w:rPr>
                      <w:rFonts w:hint="eastAsia" w:ascii="Times New Roman" w:hAnsi="Times New Roman" w:eastAsia="宋体" w:cs="Times New Roman"/>
                      <w:i w:val="0"/>
                      <w:iCs w:val="0"/>
                      <w:color w:val="000000"/>
                      <w:kern w:val="0"/>
                      <w:sz w:val="21"/>
                      <w:szCs w:val="21"/>
                      <w:highlight w:val="none"/>
                      <w:u w:val="none"/>
                      <w:lang w:val="en-US" w:eastAsia="zh-CN" w:bidi="ar"/>
                    </w:rPr>
                    <w:t>~0</w:t>
                  </w:r>
                </w:p>
              </w:tc>
              <w:tc>
                <w:tcPr>
                  <w:tcW w:w="641" w:type="pct"/>
                  <w:shd w:val="clear" w:color="auto" w:fill="auto"/>
                  <w:noWrap w:val="0"/>
                  <w:tcMar>
                    <w:left w:w="57" w:type="dxa"/>
                    <w:right w:w="57" w:type="dxa"/>
                  </w:tcMar>
                  <w:vAlign w:val="center"/>
                </w:tcPr>
                <w:p w14:paraId="0290EE93">
                  <w:pPr>
                    <w:keepNext w:val="0"/>
                    <w:keepLines w:val="0"/>
                    <w:widowControl/>
                    <w:suppressLineNumbers w:val="0"/>
                    <w:spacing w:before="0" w:beforeAutospacing="0" w:after="0" w:afterAutospacing="0"/>
                    <w:ind w:left="0" w:right="0"/>
                    <w:jc w:val="center"/>
                    <w:textAlignment w:val="center"/>
                    <w:rPr>
                      <w:rFonts w:hint="eastAsia" w:ascii="Times New Roman" w:hAnsi="Times New Roman" w:eastAsia="宋体" w:cs="Times New Roman"/>
                      <w:i w:val="0"/>
                      <w:iCs w:val="0"/>
                      <w:color w:val="000000"/>
                      <w:kern w:val="0"/>
                      <w:sz w:val="21"/>
                      <w:szCs w:val="21"/>
                      <w:highlight w:val="none"/>
                      <w:u w:val="none"/>
                      <w:lang w:val="en-US" w:eastAsia="zh-CN" w:bidi="ar"/>
                    </w:rPr>
                  </w:pPr>
                  <w:r>
                    <w:rPr>
                      <w:rFonts w:hint="eastAsia" w:ascii="Times New Roman" w:hAnsi="Times New Roman" w:eastAsia="宋体" w:cs="Times New Roman"/>
                      <w:i w:val="0"/>
                      <w:iCs w:val="0"/>
                      <w:color w:val="000000"/>
                      <w:kern w:val="0"/>
                      <w:sz w:val="21"/>
                      <w:szCs w:val="21"/>
                      <w:highlight w:val="none"/>
                      <w:u w:val="none"/>
                      <w:lang w:val="en-US" w:eastAsia="zh-CN" w:bidi="ar"/>
                    </w:rPr>
                    <w:t>~0</w:t>
                  </w:r>
                </w:p>
              </w:tc>
              <w:tc>
                <w:tcPr>
                  <w:tcW w:w="513" w:type="pct"/>
                  <w:shd w:val="clear" w:color="auto" w:fill="auto"/>
                  <w:noWrap w:val="0"/>
                  <w:tcMar>
                    <w:left w:w="57" w:type="dxa"/>
                    <w:right w:w="57" w:type="dxa"/>
                  </w:tcMar>
                  <w:vAlign w:val="center"/>
                </w:tcPr>
                <w:p w14:paraId="3A8FA8C2">
                  <w:pPr>
                    <w:keepNext w:val="0"/>
                    <w:keepLines w:val="0"/>
                    <w:suppressLineNumbers w:val="0"/>
                    <w:overflowPunct w:val="0"/>
                    <w:adjustRightInd w:val="0"/>
                    <w:snapToGrid w:val="0"/>
                    <w:spacing w:before="0" w:beforeAutospacing="0" w:after="0" w:afterAutospacing="0" w:line="276" w:lineRule="auto"/>
                    <w:ind w:left="0" w:right="0"/>
                    <w:jc w:val="center"/>
                    <w:rPr>
                      <w:rFonts w:hint="eastAsia" w:ascii="Times New Roman" w:hAnsi="Times New Roman" w:eastAsia="宋体" w:cs="Times New Roman"/>
                      <w:kern w:val="2"/>
                      <w:sz w:val="21"/>
                      <w:szCs w:val="21"/>
                      <w:highlight w:val="none"/>
                      <w:lang w:val="en-US" w:eastAsia="zh-CN" w:bidi="ar-SA"/>
                    </w:rPr>
                  </w:pPr>
                  <w:r>
                    <w:rPr>
                      <w:rFonts w:hint="eastAsia" w:ascii="Times New Roman" w:hAnsi="Times New Roman" w:eastAsia="宋体" w:cs="Times New Roman"/>
                      <w:kern w:val="0"/>
                      <w:sz w:val="21"/>
                      <w:szCs w:val="21"/>
                      <w:highlight w:val="none"/>
                      <w:lang w:val="en-US" w:eastAsia="zh-CN"/>
                    </w:rPr>
                    <w:t>20</w:t>
                  </w:r>
                </w:p>
              </w:tc>
              <w:tc>
                <w:tcPr>
                  <w:tcW w:w="669" w:type="pct"/>
                  <w:shd w:val="clear" w:color="auto" w:fill="auto"/>
                  <w:noWrap w:val="0"/>
                  <w:tcMar>
                    <w:left w:w="57" w:type="dxa"/>
                    <w:right w:w="57" w:type="dxa"/>
                  </w:tcMar>
                  <w:vAlign w:val="center"/>
                </w:tcPr>
                <w:p w14:paraId="31266977">
                  <w:pPr>
                    <w:keepNext w:val="0"/>
                    <w:keepLines w:val="0"/>
                    <w:suppressLineNumbers w:val="0"/>
                    <w:adjustRightInd w:val="0"/>
                    <w:snapToGrid w:val="0"/>
                    <w:spacing w:before="0" w:beforeAutospacing="0" w:after="0" w:afterAutospacing="0" w:line="276" w:lineRule="auto"/>
                    <w:ind w:left="0" w:right="0"/>
                    <w:jc w:val="center"/>
                    <w:rPr>
                      <w:rFonts w:hint="eastAsia" w:ascii="Times New Roman" w:hAnsi="Times New Roman" w:eastAsia="宋体" w:cs="Times New Roman"/>
                      <w:kern w:val="2"/>
                      <w:sz w:val="21"/>
                      <w:szCs w:val="21"/>
                      <w:highlight w:val="none"/>
                      <w:lang w:val="en-US" w:eastAsia="zh-CN" w:bidi="ar-SA"/>
                    </w:rPr>
                  </w:pPr>
                  <w:r>
                    <w:rPr>
                      <w:rFonts w:hint="eastAsia" w:ascii="Times New Roman" w:hAnsi="Times New Roman" w:eastAsia="宋体" w:cs="Times New Roman"/>
                      <w:sz w:val="21"/>
                      <w:szCs w:val="21"/>
                      <w:highlight w:val="none"/>
                      <w:lang w:val="en-US" w:eastAsia="zh-CN"/>
                    </w:rPr>
                    <w:t>/</w:t>
                  </w:r>
                </w:p>
              </w:tc>
              <w:tc>
                <w:tcPr>
                  <w:tcW w:w="441" w:type="pct"/>
                  <w:noWrap w:val="0"/>
                  <w:tcMar>
                    <w:left w:w="57" w:type="dxa"/>
                    <w:right w:w="57" w:type="dxa"/>
                  </w:tcMar>
                  <w:vAlign w:val="center"/>
                </w:tcPr>
                <w:p w14:paraId="7374CFBE">
                  <w:pPr>
                    <w:keepNext w:val="0"/>
                    <w:keepLines w:val="0"/>
                    <w:suppressLineNumbers w:val="0"/>
                    <w:overflowPunct w:val="0"/>
                    <w:adjustRightInd w:val="0"/>
                    <w:snapToGrid w:val="0"/>
                    <w:spacing w:before="0" w:beforeAutospacing="0" w:after="0" w:afterAutospacing="0" w:line="276" w:lineRule="auto"/>
                    <w:ind w:left="0" w:right="0"/>
                    <w:jc w:val="center"/>
                    <w:rPr>
                      <w:rFonts w:hint="eastAsia" w:ascii="Times New Roman" w:hAnsi="Times New Roman" w:eastAsia="宋体" w:cs="Times New Roman"/>
                      <w:kern w:val="0"/>
                      <w:sz w:val="21"/>
                      <w:szCs w:val="21"/>
                      <w:highlight w:val="none"/>
                    </w:rPr>
                  </w:pPr>
                  <w:r>
                    <w:rPr>
                      <w:rFonts w:hint="eastAsia" w:ascii="Times New Roman" w:hAnsi="Times New Roman" w:eastAsia="宋体" w:cs="Times New Roman"/>
                      <w:kern w:val="0"/>
                      <w:sz w:val="21"/>
                      <w:szCs w:val="21"/>
                      <w:highlight w:val="none"/>
                    </w:rPr>
                    <w:t>达标</w:t>
                  </w:r>
                </w:p>
              </w:tc>
            </w:tr>
            <w:tr w14:paraId="73449F4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4" w:hRule="atLeast"/>
                <w:jc w:val="center"/>
              </w:trPr>
              <w:tc>
                <w:tcPr>
                  <w:tcW w:w="547" w:type="pct"/>
                  <w:vMerge w:val="continue"/>
                  <w:shd w:val="clear" w:color="auto" w:fill="auto"/>
                  <w:noWrap w:val="0"/>
                  <w:tcMar>
                    <w:left w:w="57" w:type="dxa"/>
                    <w:right w:w="57" w:type="dxa"/>
                  </w:tcMar>
                  <w:vAlign w:val="center"/>
                </w:tcPr>
                <w:p w14:paraId="58A6E5D2">
                  <w:pPr>
                    <w:keepNext w:val="0"/>
                    <w:keepLines w:val="0"/>
                    <w:widowControl/>
                    <w:suppressLineNumbers w:val="0"/>
                    <w:adjustRightInd w:val="0"/>
                    <w:snapToGrid w:val="0"/>
                    <w:spacing w:before="0" w:beforeAutospacing="0" w:after="0" w:afterAutospacing="0" w:line="276" w:lineRule="auto"/>
                    <w:ind w:left="0" w:right="0"/>
                    <w:jc w:val="center"/>
                    <w:rPr>
                      <w:rFonts w:hint="default" w:ascii="Times New Roman" w:hAnsi="Times New Roman" w:eastAsia="宋体" w:cs="Times New Roman"/>
                      <w:snapToGrid w:val="0"/>
                      <w:sz w:val="21"/>
                      <w:szCs w:val="21"/>
                      <w:highlight w:val="none"/>
                    </w:rPr>
                  </w:pPr>
                </w:p>
              </w:tc>
              <w:tc>
                <w:tcPr>
                  <w:tcW w:w="710" w:type="pct"/>
                  <w:vMerge w:val="continue"/>
                  <w:shd w:val="clear" w:color="auto" w:fill="auto"/>
                  <w:noWrap w:val="0"/>
                  <w:tcMar>
                    <w:left w:w="57" w:type="dxa"/>
                    <w:right w:w="57" w:type="dxa"/>
                  </w:tcMar>
                  <w:vAlign w:val="center"/>
                </w:tcPr>
                <w:p w14:paraId="006F4126">
                  <w:pPr>
                    <w:keepNext w:val="0"/>
                    <w:keepLines w:val="0"/>
                    <w:widowControl/>
                    <w:suppressLineNumbers w:val="0"/>
                    <w:adjustRightInd w:val="0"/>
                    <w:snapToGrid w:val="0"/>
                    <w:spacing w:before="0" w:beforeAutospacing="0" w:after="0" w:afterAutospacing="0" w:line="276" w:lineRule="auto"/>
                    <w:ind w:left="0" w:right="0"/>
                    <w:jc w:val="center"/>
                    <w:rPr>
                      <w:rFonts w:hint="eastAsia" w:ascii="Times New Roman" w:hAnsi="Times New Roman" w:eastAsia="宋体" w:cs="Times New Roman"/>
                      <w:snapToGrid w:val="0"/>
                      <w:sz w:val="21"/>
                      <w:szCs w:val="21"/>
                      <w:highlight w:val="none"/>
                      <w:lang w:val="en-US" w:eastAsia="zh-CN"/>
                    </w:rPr>
                  </w:pPr>
                </w:p>
              </w:tc>
              <w:tc>
                <w:tcPr>
                  <w:tcW w:w="788" w:type="pct"/>
                  <w:shd w:val="clear" w:color="auto" w:fill="auto"/>
                  <w:noWrap w:val="0"/>
                  <w:tcMar>
                    <w:left w:w="57" w:type="dxa"/>
                    <w:right w:w="57" w:type="dxa"/>
                  </w:tcMar>
                  <w:vAlign w:val="center"/>
                </w:tcPr>
                <w:p w14:paraId="01C19D99">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64" w:lineRule="auto"/>
                    <w:ind w:left="0" w:right="0"/>
                    <w:jc w:val="center"/>
                    <w:textAlignment w:val="auto"/>
                    <w:rPr>
                      <w:rFonts w:hint="eastAsia" w:ascii="Times New Roman" w:hAnsi="Times New Roman" w:eastAsia="宋体" w:cs="Times New Roman"/>
                      <w:bCs/>
                      <w:kern w:val="0"/>
                      <w:sz w:val="21"/>
                      <w:szCs w:val="21"/>
                      <w:highlight w:val="none"/>
                      <w:lang w:val="en-US" w:eastAsia="zh-CN" w:bidi="ar-SA"/>
                    </w:rPr>
                  </w:pPr>
                  <w:r>
                    <w:rPr>
                      <w:rFonts w:hint="default" w:ascii="Times New Roman" w:hAnsi="Times New Roman" w:eastAsia="宋体" w:cs="Times New Roman"/>
                      <w:bCs/>
                      <w:kern w:val="0"/>
                      <w:sz w:val="21"/>
                      <w:szCs w:val="21"/>
                      <w:highlight w:val="none"/>
                    </w:rPr>
                    <w:t>硫化氢</w:t>
                  </w:r>
                </w:p>
              </w:tc>
              <w:tc>
                <w:tcPr>
                  <w:tcW w:w="687" w:type="pct"/>
                  <w:shd w:val="clear" w:color="auto" w:fill="auto"/>
                  <w:noWrap w:val="0"/>
                  <w:tcMar>
                    <w:left w:w="57" w:type="dxa"/>
                    <w:right w:w="57" w:type="dxa"/>
                  </w:tcMar>
                  <w:vAlign w:val="center"/>
                </w:tcPr>
                <w:p w14:paraId="628591F4">
                  <w:pPr>
                    <w:keepNext w:val="0"/>
                    <w:keepLines w:val="0"/>
                    <w:widowControl/>
                    <w:suppressLineNumbers w:val="0"/>
                    <w:spacing w:before="0" w:beforeAutospacing="0" w:after="0" w:afterAutospacing="0"/>
                    <w:ind w:left="0" w:right="0"/>
                    <w:jc w:val="center"/>
                    <w:textAlignment w:val="center"/>
                    <w:rPr>
                      <w:rFonts w:hint="eastAsia" w:ascii="Times New Roman" w:hAnsi="Times New Roman" w:eastAsia="宋体" w:cs="Times New Roman"/>
                      <w:i w:val="0"/>
                      <w:iCs w:val="0"/>
                      <w:color w:val="000000"/>
                      <w:kern w:val="0"/>
                      <w:sz w:val="21"/>
                      <w:szCs w:val="21"/>
                      <w:highlight w:val="none"/>
                      <w:u w:val="none"/>
                      <w:lang w:val="en-US" w:eastAsia="zh-CN" w:bidi="ar"/>
                    </w:rPr>
                  </w:pPr>
                  <w:r>
                    <w:rPr>
                      <w:rFonts w:hint="eastAsia" w:ascii="Times New Roman" w:hAnsi="Times New Roman" w:eastAsia="宋体" w:cs="Times New Roman"/>
                      <w:i w:val="0"/>
                      <w:iCs w:val="0"/>
                      <w:color w:val="000000"/>
                      <w:kern w:val="0"/>
                      <w:sz w:val="21"/>
                      <w:szCs w:val="21"/>
                      <w:highlight w:val="none"/>
                      <w:u w:val="none"/>
                      <w:lang w:val="en-US" w:eastAsia="zh-CN" w:bidi="ar"/>
                    </w:rPr>
                    <w:t>~0</w:t>
                  </w:r>
                </w:p>
              </w:tc>
              <w:tc>
                <w:tcPr>
                  <w:tcW w:w="641" w:type="pct"/>
                  <w:shd w:val="clear" w:color="auto" w:fill="auto"/>
                  <w:noWrap w:val="0"/>
                  <w:tcMar>
                    <w:left w:w="57" w:type="dxa"/>
                    <w:right w:w="57" w:type="dxa"/>
                  </w:tcMar>
                  <w:vAlign w:val="center"/>
                </w:tcPr>
                <w:p w14:paraId="6532DE70">
                  <w:pPr>
                    <w:keepNext w:val="0"/>
                    <w:keepLines w:val="0"/>
                    <w:widowControl/>
                    <w:suppressLineNumbers w:val="0"/>
                    <w:spacing w:before="0" w:beforeAutospacing="0" w:after="0" w:afterAutospacing="0"/>
                    <w:ind w:left="0" w:right="0"/>
                    <w:jc w:val="center"/>
                    <w:textAlignment w:val="center"/>
                    <w:rPr>
                      <w:rFonts w:hint="eastAsia" w:ascii="Times New Roman" w:hAnsi="Times New Roman" w:eastAsia="宋体" w:cs="Times New Roman"/>
                      <w:i w:val="0"/>
                      <w:iCs w:val="0"/>
                      <w:color w:val="000000"/>
                      <w:kern w:val="0"/>
                      <w:sz w:val="21"/>
                      <w:szCs w:val="21"/>
                      <w:highlight w:val="none"/>
                      <w:u w:val="none"/>
                      <w:lang w:val="en-US" w:eastAsia="zh-CN" w:bidi="ar"/>
                    </w:rPr>
                  </w:pPr>
                  <w:r>
                    <w:rPr>
                      <w:rFonts w:hint="eastAsia" w:ascii="Times New Roman" w:hAnsi="Times New Roman" w:eastAsia="宋体" w:cs="Times New Roman"/>
                      <w:i w:val="0"/>
                      <w:iCs w:val="0"/>
                      <w:color w:val="000000"/>
                      <w:kern w:val="0"/>
                      <w:sz w:val="21"/>
                      <w:szCs w:val="21"/>
                      <w:highlight w:val="none"/>
                      <w:u w:val="none"/>
                      <w:lang w:val="en-US" w:eastAsia="zh-CN" w:bidi="ar"/>
                    </w:rPr>
                    <w:t>~0</w:t>
                  </w:r>
                </w:p>
              </w:tc>
              <w:tc>
                <w:tcPr>
                  <w:tcW w:w="513" w:type="pct"/>
                  <w:shd w:val="clear" w:color="auto" w:fill="auto"/>
                  <w:noWrap w:val="0"/>
                  <w:tcMar>
                    <w:left w:w="57" w:type="dxa"/>
                    <w:right w:w="57" w:type="dxa"/>
                  </w:tcMar>
                  <w:vAlign w:val="center"/>
                </w:tcPr>
                <w:p w14:paraId="7EABA599">
                  <w:pPr>
                    <w:keepNext w:val="0"/>
                    <w:keepLines w:val="0"/>
                    <w:suppressLineNumbers w:val="0"/>
                    <w:overflowPunct w:val="0"/>
                    <w:adjustRightInd w:val="0"/>
                    <w:snapToGrid w:val="0"/>
                    <w:spacing w:before="0" w:beforeAutospacing="0" w:after="0" w:afterAutospacing="0" w:line="276" w:lineRule="auto"/>
                    <w:ind w:left="0" w:right="0"/>
                    <w:jc w:val="center"/>
                    <w:rPr>
                      <w:rFonts w:hint="eastAsia" w:ascii="Times New Roman" w:hAnsi="Times New Roman" w:eastAsia="宋体" w:cs="Times New Roman"/>
                      <w:kern w:val="2"/>
                      <w:sz w:val="21"/>
                      <w:szCs w:val="21"/>
                      <w:highlight w:val="none"/>
                      <w:lang w:val="en-US" w:eastAsia="zh-CN" w:bidi="ar-SA"/>
                    </w:rPr>
                  </w:pPr>
                  <w:r>
                    <w:rPr>
                      <w:rFonts w:hint="eastAsia" w:ascii="Times New Roman" w:hAnsi="Times New Roman" w:eastAsia="宋体" w:cs="Times New Roman"/>
                      <w:snapToGrid w:val="0"/>
                      <w:sz w:val="21"/>
                      <w:szCs w:val="21"/>
                      <w:highlight w:val="none"/>
                      <w:lang w:val="en-US" w:eastAsia="zh-CN"/>
                    </w:rPr>
                    <w:t>1.3</w:t>
                  </w:r>
                </w:p>
              </w:tc>
              <w:tc>
                <w:tcPr>
                  <w:tcW w:w="669" w:type="pct"/>
                  <w:shd w:val="clear" w:color="auto" w:fill="auto"/>
                  <w:noWrap w:val="0"/>
                  <w:tcMar>
                    <w:left w:w="57" w:type="dxa"/>
                    <w:right w:w="57" w:type="dxa"/>
                  </w:tcMar>
                  <w:vAlign w:val="center"/>
                </w:tcPr>
                <w:p w14:paraId="325A8C9A">
                  <w:pPr>
                    <w:keepNext w:val="0"/>
                    <w:keepLines w:val="0"/>
                    <w:suppressLineNumbers w:val="0"/>
                    <w:overflowPunct w:val="0"/>
                    <w:adjustRightInd w:val="0"/>
                    <w:snapToGrid w:val="0"/>
                    <w:spacing w:before="0" w:beforeAutospacing="0" w:after="0" w:afterAutospacing="0" w:line="276" w:lineRule="auto"/>
                    <w:ind w:left="0" w:right="0"/>
                    <w:jc w:val="center"/>
                    <w:rPr>
                      <w:rFonts w:hint="eastAsia" w:ascii="Times New Roman" w:hAnsi="Times New Roman" w:eastAsia="宋体" w:cs="Times New Roman"/>
                      <w:kern w:val="2"/>
                      <w:sz w:val="21"/>
                      <w:szCs w:val="21"/>
                      <w:highlight w:val="none"/>
                      <w:lang w:val="en-US" w:eastAsia="zh-CN" w:bidi="ar-SA"/>
                    </w:rPr>
                  </w:pPr>
                  <w:r>
                    <w:rPr>
                      <w:rFonts w:hint="eastAsia" w:ascii="Times New Roman" w:hAnsi="Times New Roman" w:eastAsia="宋体" w:cs="Times New Roman"/>
                      <w:sz w:val="21"/>
                      <w:szCs w:val="21"/>
                      <w:highlight w:val="none"/>
                      <w:lang w:val="en-US" w:eastAsia="zh-CN"/>
                    </w:rPr>
                    <w:t>/</w:t>
                  </w:r>
                </w:p>
              </w:tc>
              <w:tc>
                <w:tcPr>
                  <w:tcW w:w="441" w:type="pct"/>
                  <w:noWrap w:val="0"/>
                  <w:tcMar>
                    <w:left w:w="57" w:type="dxa"/>
                    <w:right w:w="57" w:type="dxa"/>
                  </w:tcMar>
                  <w:vAlign w:val="center"/>
                </w:tcPr>
                <w:p w14:paraId="5EA487A0">
                  <w:pPr>
                    <w:keepNext w:val="0"/>
                    <w:keepLines w:val="0"/>
                    <w:suppressLineNumbers w:val="0"/>
                    <w:overflowPunct w:val="0"/>
                    <w:adjustRightInd w:val="0"/>
                    <w:snapToGrid w:val="0"/>
                    <w:spacing w:before="0" w:beforeAutospacing="0" w:after="0" w:afterAutospacing="0" w:line="276" w:lineRule="auto"/>
                    <w:ind w:left="0" w:right="0"/>
                    <w:jc w:val="center"/>
                    <w:rPr>
                      <w:rFonts w:hint="eastAsia" w:ascii="Times New Roman" w:hAnsi="Times New Roman" w:eastAsia="宋体" w:cs="Times New Roman"/>
                      <w:kern w:val="0"/>
                      <w:sz w:val="21"/>
                      <w:szCs w:val="21"/>
                      <w:highlight w:val="none"/>
                    </w:rPr>
                  </w:pPr>
                  <w:r>
                    <w:rPr>
                      <w:rFonts w:hint="eastAsia" w:ascii="Times New Roman" w:hAnsi="Times New Roman" w:eastAsia="宋体" w:cs="Times New Roman"/>
                      <w:kern w:val="0"/>
                      <w:sz w:val="21"/>
                      <w:szCs w:val="21"/>
                      <w:highlight w:val="none"/>
                    </w:rPr>
                    <w:t>达标</w:t>
                  </w:r>
                </w:p>
              </w:tc>
            </w:tr>
            <w:tr w14:paraId="728B37A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4" w:hRule="atLeast"/>
                <w:jc w:val="center"/>
              </w:trPr>
              <w:tc>
                <w:tcPr>
                  <w:tcW w:w="547" w:type="pct"/>
                  <w:vMerge w:val="continue"/>
                  <w:shd w:val="clear" w:color="auto" w:fill="auto"/>
                  <w:noWrap w:val="0"/>
                  <w:tcMar>
                    <w:left w:w="57" w:type="dxa"/>
                    <w:right w:w="57" w:type="dxa"/>
                  </w:tcMar>
                  <w:vAlign w:val="center"/>
                </w:tcPr>
                <w:p w14:paraId="2E8F6FD1">
                  <w:pPr>
                    <w:keepNext w:val="0"/>
                    <w:keepLines w:val="0"/>
                    <w:widowControl/>
                    <w:suppressLineNumbers w:val="0"/>
                    <w:adjustRightInd w:val="0"/>
                    <w:snapToGrid w:val="0"/>
                    <w:spacing w:before="0" w:beforeAutospacing="0" w:after="0" w:afterAutospacing="0" w:line="276" w:lineRule="auto"/>
                    <w:ind w:left="0" w:right="0"/>
                    <w:jc w:val="center"/>
                    <w:rPr>
                      <w:rFonts w:hint="default" w:ascii="Times New Roman" w:hAnsi="Times New Roman" w:eastAsia="宋体" w:cs="Times New Roman"/>
                      <w:snapToGrid w:val="0"/>
                      <w:sz w:val="21"/>
                      <w:szCs w:val="21"/>
                      <w:highlight w:val="none"/>
                    </w:rPr>
                  </w:pPr>
                </w:p>
              </w:tc>
              <w:tc>
                <w:tcPr>
                  <w:tcW w:w="710" w:type="pct"/>
                  <w:vMerge w:val="continue"/>
                  <w:shd w:val="clear" w:color="auto" w:fill="auto"/>
                  <w:noWrap w:val="0"/>
                  <w:tcMar>
                    <w:left w:w="57" w:type="dxa"/>
                    <w:right w:w="57" w:type="dxa"/>
                  </w:tcMar>
                  <w:vAlign w:val="center"/>
                </w:tcPr>
                <w:p w14:paraId="0BBF827A">
                  <w:pPr>
                    <w:keepNext w:val="0"/>
                    <w:keepLines w:val="0"/>
                    <w:widowControl/>
                    <w:suppressLineNumbers w:val="0"/>
                    <w:adjustRightInd w:val="0"/>
                    <w:snapToGrid w:val="0"/>
                    <w:spacing w:before="0" w:beforeAutospacing="0" w:after="0" w:afterAutospacing="0" w:line="276" w:lineRule="auto"/>
                    <w:ind w:left="0" w:right="0"/>
                    <w:jc w:val="center"/>
                    <w:rPr>
                      <w:rFonts w:hint="eastAsia" w:ascii="Times New Roman" w:hAnsi="Times New Roman" w:eastAsia="宋体" w:cs="Times New Roman"/>
                      <w:snapToGrid w:val="0"/>
                      <w:sz w:val="21"/>
                      <w:szCs w:val="21"/>
                      <w:highlight w:val="none"/>
                      <w:lang w:val="en-US" w:eastAsia="zh-CN"/>
                    </w:rPr>
                  </w:pPr>
                </w:p>
              </w:tc>
              <w:tc>
                <w:tcPr>
                  <w:tcW w:w="788" w:type="pct"/>
                  <w:shd w:val="clear" w:color="auto" w:fill="auto"/>
                  <w:noWrap w:val="0"/>
                  <w:tcMar>
                    <w:left w:w="57" w:type="dxa"/>
                    <w:right w:w="57" w:type="dxa"/>
                  </w:tcMar>
                  <w:vAlign w:val="center"/>
                </w:tcPr>
                <w:p w14:paraId="5A7BCFAB">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64" w:lineRule="auto"/>
                    <w:ind w:left="0" w:right="0"/>
                    <w:jc w:val="center"/>
                    <w:textAlignment w:val="auto"/>
                    <w:rPr>
                      <w:rFonts w:hint="eastAsia" w:ascii="Times New Roman" w:hAnsi="Times New Roman" w:eastAsia="宋体" w:cs="Times New Roman"/>
                      <w:bCs/>
                      <w:kern w:val="0"/>
                      <w:sz w:val="21"/>
                      <w:szCs w:val="21"/>
                      <w:highlight w:val="none"/>
                      <w:lang w:val="en-US" w:eastAsia="zh-CN" w:bidi="ar-SA"/>
                    </w:rPr>
                  </w:pPr>
                  <w:r>
                    <w:rPr>
                      <w:rFonts w:hint="default" w:ascii="Times New Roman" w:hAnsi="Times New Roman" w:eastAsia="宋体" w:cs="Times New Roman"/>
                      <w:bCs/>
                      <w:kern w:val="0"/>
                      <w:sz w:val="21"/>
                      <w:szCs w:val="21"/>
                      <w:highlight w:val="none"/>
                    </w:rPr>
                    <w:t>臭气浓度</w:t>
                  </w:r>
                </w:p>
              </w:tc>
              <w:tc>
                <w:tcPr>
                  <w:tcW w:w="1329" w:type="pct"/>
                  <w:gridSpan w:val="2"/>
                  <w:shd w:val="clear" w:color="auto" w:fill="auto"/>
                  <w:noWrap w:val="0"/>
                  <w:tcMar>
                    <w:left w:w="57" w:type="dxa"/>
                    <w:right w:w="57" w:type="dxa"/>
                  </w:tcMar>
                  <w:vAlign w:val="center"/>
                </w:tcPr>
                <w:p w14:paraId="61006375">
                  <w:pPr>
                    <w:keepNext w:val="0"/>
                    <w:keepLines w:val="0"/>
                    <w:suppressLineNumbers w:val="0"/>
                    <w:spacing w:before="0" w:beforeAutospacing="0" w:after="0" w:afterAutospacing="0"/>
                    <w:ind w:left="0" w:right="0"/>
                    <w:jc w:val="center"/>
                    <w:rPr>
                      <w:rFonts w:hint="eastAsia" w:ascii="Times New Roman" w:hAnsi="Times New Roman" w:eastAsia="宋体" w:cs="Times New Roman"/>
                      <w:color w:val="auto"/>
                      <w:kern w:val="2"/>
                      <w:sz w:val="21"/>
                      <w:szCs w:val="21"/>
                      <w:highlight w:val="none"/>
                      <w:lang w:val="en-US" w:eastAsia="zh-CN" w:bidi="ar-SA"/>
                    </w:rPr>
                  </w:pPr>
                  <w:r>
                    <w:rPr>
                      <w:rFonts w:hint="eastAsia"/>
                      <w:bCs/>
                      <w:kern w:val="0"/>
                      <w:sz w:val="21"/>
                      <w:szCs w:val="21"/>
                      <w:highlight w:val="none"/>
                      <w:lang w:val="en-US" w:eastAsia="zh-CN"/>
                    </w:rPr>
                    <w:t>549（无量纲）</w:t>
                  </w:r>
                </w:p>
              </w:tc>
              <w:tc>
                <w:tcPr>
                  <w:tcW w:w="1182" w:type="pct"/>
                  <w:gridSpan w:val="2"/>
                  <w:noWrap w:val="0"/>
                  <w:tcMar>
                    <w:left w:w="57" w:type="dxa"/>
                    <w:right w:w="57" w:type="dxa"/>
                  </w:tcMar>
                  <w:vAlign w:val="center"/>
                </w:tcPr>
                <w:p w14:paraId="6BB5DAE1">
                  <w:pPr>
                    <w:keepNext w:val="0"/>
                    <w:keepLines w:val="0"/>
                    <w:widowControl/>
                    <w:suppressLineNumbers w:val="0"/>
                    <w:spacing w:before="0" w:beforeAutospacing="0" w:after="0" w:afterAutospacing="0" w:line="276" w:lineRule="auto"/>
                    <w:ind w:left="0" w:right="0"/>
                    <w:jc w:val="center"/>
                    <w:rPr>
                      <w:rFonts w:hint="eastAsia" w:ascii="Times New Roman" w:hAnsi="Times New Roman" w:eastAsia="宋体" w:cs="Times New Roman"/>
                      <w:kern w:val="0"/>
                      <w:sz w:val="21"/>
                      <w:szCs w:val="21"/>
                      <w:highlight w:val="none"/>
                      <w:lang w:val="en-US" w:eastAsia="zh-CN"/>
                    </w:rPr>
                  </w:pPr>
                  <w:r>
                    <w:rPr>
                      <w:rFonts w:hint="eastAsia" w:ascii="Times New Roman" w:hAnsi="Times New Roman" w:eastAsia="宋体" w:cs="Times New Roman"/>
                      <w:sz w:val="21"/>
                      <w:szCs w:val="21"/>
                      <w:highlight w:val="none"/>
                      <w:lang w:val="en-US" w:eastAsia="zh-CN"/>
                    </w:rPr>
                    <w:t>15</w:t>
                  </w:r>
                  <w:r>
                    <w:rPr>
                      <w:rFonts w:hint="eastAsia" w:ascii="Times New Roman" w:hAnsi="Times New Roman" w:eastAsia="宋体" w:cs="Times New Roman"/>
                      <w:sz w:val="21"/>
                      <w:szCs w:val="21"/>
                      <w:highlight w:val="none"/>
                    </w:rPr>
                    <w:t>000（无量纲）</w:t>
                  </w:r>
                </w:p>
              </w:tc>
              <w:tc>
                <w:tcPr>
                  <w:tcW w:w="441" w:type="pct"/>
                  <w:noWrap w:val="0"/>
                  <w:tcMar>
                    <w:left w:w="57" w:type="dxa"/>
                    <w:right w:w="57" w:type="dxa"/>
                  </w:tcMar>
                  <w:vAlign w:val="center"/>
                </w:tcPr>
                <w:p w14:paraId="4A9C447C">
                  <w:pPr>
                    <w:keepNext w:val="0"/>
                    <w:keepLines w:val="0"/>
                    <w:suppressLineNumbers w:val="0"/>
                    <w:overflowPunct w:val="0"/>
                    <w:adjustRightInd w:val="0"/>
                    <w:snapToGrid w:val="0"/>
                    <w:spacing w:before="0" w:beforeAutospacing="0" w:after="0" w:afterAutospacing="0" w:line="276" w:lineRule="auto"/>
                    <w:ind w:left="0" w:right="0"/>
                    <w:jc w:val="center"/>
                    <w:rPr>
                      <w:rFonts w:hint="eastAsia" w:ascii="Times New Roman" w:hAnsi="Times New Roman" w:eastAsia="宋体" w:cs="Times New Roman"/>
                      <w:kern w:val="0"/>
                      <w:sz w:val="21"/>
                      <w:szCs w:val="21"/>
                      <w:highlight w:val="none"/>
                    </w:rPr>
                  </w:pPr>
                  <w:r>
                    <w:rPr>
                      <w:rFonts w:hint="eastAsia" w:ascii="Times New Roman" w:hAnsi="Times New Roman" w:eastAsia="宋体" w:cs="Times New Roman"/>
                      <w:kern w:val="0"/>
                      <w:sz w:val="21"/>
                      <w:szCs w:val="21"/>
                      <w:highlight w:val="none"/>
                    </w:rPr>
                    <w:t>达标</w:t>
                  </w:r>
                </w:p>
              </w:tc>
            </w:tr>
            <w:tr w14:paraId="29F6C51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4" w:hRule="atLeast"/>
                <w:jc w:val="center"/>
              </w:trPr>
              <w:tc>
                <w:tcPr>
                  <w:tcW w:w="547" w:type="pct"/>
                  <w:shd w:val="clear" w:color="auto" w:fill="auto"/>
                  <w:noWrap w:val="0"/>
                  <w:tcMar>
                    <w:left w:w="57" w:type="dxa"/>
                    <w:right w:w="57" w:type="dxa"/>
                  </w:tcMar>
                  <w:vAlign w:val="center"/>
                </w:tcPr>
                <w:p w14:paraId="572CB3E4">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64" w:lineRule="auto"/>
                    <w:ind w:left="0" w:right="0"/>
                    <w:jc w:val="center"/>
                    <w:textAlignment w:val="auto"/>
                    <w:rPr>
                      <w:rFonts w:hint="default" w:ascii="Times New Roman" w:hAnsi="Times New Roman" w:eastAsia="宋体" w:cs="Times New Roman"/>
                      <w:snapToGrid w:val="0"/>
                      <w:sz w:val="21"/>
                      <w:szCs w:val="21"/>
                      <w:highlight w:val="none"/>
                    </w:rPr>
                  </w:pPr>
                  <w:r>
                    <w:rPr>
                      <w:rFonts w:hint="eastAsia" w:ascii="Times New Roman" w:hAnsi="Times New Roman" w:eastAsia="宋体" w:cs="Times New Roman"/>
                      <w:bCs/>
                      <w:kern w:val="0"/>
                      <w:sz w:val="21"/>
                      <w:szCs w:val="21"/>
                      <w:highlight w:val="none"/>
                      <w:lang w:val="en-US" w:eastAsia="zh-CN"/>
                    </w:rPr>
                    <w:t>DA011</w:t>
                  </w:r>
                </w:p>
              </w:tc>
              <w:tc>
                <w:tcPr>
                  <w:tcW w:w="710" w:type="pct"/>
                  <w:shd w:val="clear" w:color="auto" w:fill="auto"/>
                  <w:noWrap w:val="0"/>
                  <w:tcMar>
                    <w:left w:w="57" w:type="dxa"/>
                    <w:right w:w="57" w:type="dxa"/>
                  </w:tcMar>
                  <w:vAlign w:val="center"/>
                </w:tcPr>
                <w:p w14:paraId="6E2FC5F2">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64" w:lineRule="auto"/>
                    <w:ind w:left="0" w:right="0"/>
                    <w:jc w:val="center"/>
                    <w:textAlignment w:val="auto"/>
                    <w:rPr>
                      <w:rFonts w:hint="eastAsia" w:ascii="Times New Roman" w:hAnsi="Times New Roman" w:eastAsia="宋体" w:cs="Times New Roman"/>
                      <w:snapToGrid w:val="0"/>
                      <w:sz w:val="21"/>
                      <w:szCs w:val="21"/>
                      <w:highlight w:val="none"/>
                      <w:lang w:val="en-US" w:eastAsia="zh-CN"/>
                    </w:rPr>
                  </w:pPr>
                  <w:r>
                    <w:rPr>
                      <w:rFonts w:hint="eastAsia" w:ascii="Times New Roman" w:hAnsi="Times New Roman" w:eastAsia="宋体" w:cs="Times New Roman"/>
                      <w:bCs/>
                      <w:kern w:val="0"/>
                      <w:sz w:val="21"/>
                      <w:szCs w:val="21"/>
                      <w:highlight w:val="none"/>
                      <w:lang w:val="en-US" w:eastAsia="zh-CN"/>
                    </w:rPr>
                    <w:t>11#排气筒</w:t>
                  </w:r>
                </w:p>
              </w:tc>
              <w:tc>
                <w:tcPr>
                  <w:tcW w:w="788" w:type="pct"/>
                  <w:shd w:val="clear" w:color="auto" w:fill="auto"/>
                  <w:noWrap w:val="0"/>
                  <w:tcMar>
                    <w:left w:w="57" w:type="dxa"/>
                    <w:right w:w="57" w:type="dxa"/>
                  </w:tcMar>
                  <w:vAlign w:val="center"/>
                </w:tcPr>
                <w:p w14:paraId="6C9C7F6A">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64" w:lineRule="auto"/>
                    <w:ind w:left="0" w:right="0"/>
                    <w:jc w:val="center"/>
                    <w:textAlignment w:val="auto"/>
                    <w:rPr>
                      <w:rFonts w:hint="default" w:ascii="Times New Roman" w:hAnsi="Times New Roman" w:eastAsia="宋体" w:cs="Times New Roman"/>
                      <w:bCs/>
                      <w:kern w:val="0"/>
                      <w:sz w:val="21"/>
                      <w:szCs w:val="21"/>
                      <w:highlight w:val="none"/>
                      <w:lang w:val="en-US" w:eastAsia="zh-CN"/>
                    </w:rPr>
                  </w:pPr>
                  <w:r>
                    <w:rPr>
                      <w:rFonts w:hint="eastAsia" w:ascii="Times New Roman" w:hAnsi="Times New Roman" w:eastAsia="宋体" w:cs="Times New Roman"/>
                      <w:bCs/>
                      <w:kern w:val="0"/>
                      <w:sz w:val="21"/>
                      <w:szCs w:val="21"/>
                      <w:highlight w:val="none"/>
                      <w:lang w:val="en-US" w:eastAsia="zh-CN"/>
                    </w:rPr>
                    <w:t>非甲烷总烃</w:t>
                  </w:r>
                </w:p>
              </w:tc>
              <w:tc>
                <w:tcPr>
                  <w:tcW w:w="687" w:type="pct"/>
                  <w:shd w:val="clear" w:color="auto" w:fill="auto"/>
                  <w:noWrap w:val="0"/>
                  <w:tcMar>
                    <w:left w:w="57" w:type="dxa"/>
                    <w:right w:w="57" w:type="dxa"/>
                  </w:tcMar>
                  <w:vAlign w:val="center"/>
                </w:tcPr>
                <w:p w14:paraId="0809E1F6">
                  <w:pPr>
                    <w:keepNext w:val="0"/>
                    <w:keepLines w:val="0"/>
                    <w:widowControl/>
                    <w:suppressLineNumbers w:val="0"/>
                    <w:spacing w:before="0" w:beforeAutospacing="0" w:after="0" w:afterAutospacing="0"/>
                    <w:ind w:left="0" w:leftChars="0" w:right="0" w:rightChars="0"/>
                    <w:jc w:val="center"/>
                    <w:textAlignment w:val="center"/>
                    <w:rPr>
                      <w:rFonts w:hint="eastAsia" w:ascii="Times New Roman" w:hAnsi="Times New Roman" w:eastAsia="宋体" w:cs="Times New Roman"/>
                      <w:bCs/>
                      <w:kern w:val="0"/>
                      <w:sz w:val="21"/>
                      <w:szCs w:val="21"/>
                      <w:highlight w:val="none"/>
                      <w:lang w:val="en-US" w:eastAsia="zh-CN"/>
                    </w:rPr>
                  </w:pPr>
                  <w:r>
                    <w:rPr>
                      <w:rFonts w:hint="eastAsia" w:ascii="Times New Roman" w:hAnsi="Times New Roman" w:eastAsia="宋体" w:cs="Times New Roman"/>
                      <w:i w:val="0"/>
                      <w:iCs w:val="0"/>
                      <w:color w:val="000000"/>
                      <w:kern w:val="0"/>
                      <w:sz w:val="21"/>
                      <w:szCs w:val="21"/>
                      <w:highlight w:val="none"/>
                      <w:u w:val="none"/>
                      <w:lang w:val="en-US" w:eastAsia="zh-CN" w:bidi="ar"/>
                    </w:rPr>
                    <w:t>~0</w:t>
                  </w:r>
                </w:p>
              </w:tc>
              <w:tc>
                <w:tcPr>
                  <w:tcW w:w="641" w:type="pct"/>
                  <w:shd w:val="clear" w:color="auto" w:fill="auto"/>
                  <w:noWrap w:val="0"/>
                  <w:tcMar>
                    <w:left w:w="57" w:type="dxa"/>
                    <w:right w:w="57" w:type="dxa"/>
                  </w:tcMar>
                  <w:vAlign w:val="center"/>
                </w:tcPr>
                <w:p w14:paraId="312CF57A">
                  <w:pPr>
                    <w:keepNext w:val="0"/>
                    <w:keepLines w:val="0"/>
                    <w:widowControl/>
                    <w:suppressLineNumbers w:val="0"/>
                    <w:spacing w:before="0" w:beforeAutospacing="0" w:after="0" w:afterAutospacing="0"/>
                    <w:ind w:left="0" w:leftChars="0" w:right="0" w:rightChars="0"/>
                    <w:jc w:val="center"/>
                    <w:textAlignment w:val="center"/>
                    <w:rPr>
                      <w:rFonts w:hint="eastAsia" w:ascii="Times New Roman" w:hAnsi="Times New Roman" w:eastAsia="宋体" w:cs="Times New Roman"/>
                      <w:color w:val="auto"/>
                      <w:kern w:val="2"/>
                      <w:sz w:val="21"/>
                      <w:szCs w:val="21"/>
                      <w:highlight w:val="none"/>
                      <w:lang w:val="en-US" w:eastAsia="zh-CN" w:bidi="ar-SA"/>
                    </w:rPr>
                  </w:pPr>
                  <w:r>
                    <w:rPr>
                      <w:rFonts w:hint="eastAsia" w:ascii="Times New Roman" w:hAnsi="Times New Roman" w:eastAsia="宋体" w:cs="Times New Roman"/>
                      <w:i w:val="0"/>
                      <w:iCs w:val="0"/>
                      <w:color w:val="000000"/>
                      <w:kern w:val="0"/>
                      <w:sz w:val="21"/>
                      <w:szCs w:val="21"/>
                      <w:highlight w:val="none"/>
                      <w:u w:val="none"/>
                      <w:lang w:val="en-US" w:eastAsia="zh-CN" w:bidi="ar"/>
                    </w:rPr>
                    <w:t>~0</w:t>
                  </w:r>
                </w:p>
              </w:tc>
              <w:tc>
                <w:tcPr>
                  <w:tcW w:w="513" w:type="pct"/>
                  <w:noWrap w:val="0"/>
                  <w:tcMar>
                    <w:left w:w="57" w:type="dxa"/>
                    <w:right w:w="57" w:type="dxa"/>
                  </w:tcMar>
                  <w:vAlign w:val="center"/>
                </w:tcPr>
                <w:p w14:paraId="0B3E49F1">
                  <w:pPr>
                    <w:keepNext w:val="0"/>
                    <w:keepLines w:val="0"/>
                    <w:suppressLineNumbers w:val="0"/>
                    <w:adjustRightInd w:val="0"/>
                    <w:snapToGrid w:val="0"/>
                    <w:spacing w:before="0" w:beforeAutospacing="0" w:after="0" w:afterAutospacing="0" w:line="276" w:lineRule="auto"/>
                    <w:ind w:left="0" w:right="0"/>
                    <w:jc w:val="center"/>
                    <w:rPr>
                      <w:rFonts w:hint="default" w:ascii="Times New Roman" w:hAnsi="Times New Roman" w:eastAsia="宋体" w:cs="Times New Roman"/>
                      <w:kern w:val="0"/>
                      <w:sz w:val="21"/>
                      <w:szCs w:val="21"/>
                      <w:highlight w:val="none"/>
                      <w:lang w:val="en-US" w:eastAsia="zh-CN"/>
                    </w:rPr>
                  </w:pPr>
                  <w:r>
                    <w:rPr>
                      <w:rFonts w:hint="eastAsia" w:ascii="Times New Roman" w:hAnsi="Times New Roman" w:eastAsia="宋体" w:cs="Times New Roman"/>
                      <w:kern w:val="0"/>
                      <w:sz w:val="21"/>
                      <w:szCs w:val="21"/>
                      <w:highlight w:val="none"/>
                      <w:lang w:val="en-US" w:eastAsia="zh-CN"/>
                    </w:rPr>
                    <w:t>/</w:t>
                  </w:r>
                </w:p>
              </w:tc>
              <w:tc>
                <w:tcPr>
                  <w:tcW w:w="669" w:type="pct"/>
                  <w:noWrap w:val="0"/>
                  <w:tcMar>
                    <w:left w:w="57" w:type="dxa"/>
                    <w:right w:w="57" w:type="dxa"/>
                  </w:tcMar>
                  <w:vAlign w:val="center"/>
                </w:tcPr>
                <w:p w14:paraId="5D82BF0B">
                  <w:pPr>
                    <w:keepNext w:val="0"/>
                    <w:keepLines w:val="0"/>
                    <w:widowControl/>
                    <w:suppressLineNumbers w:val="0"/>
                    <w:spacing w:before="0" w:beforeAutospacing="0" w:after="0" w:afterAutospacing="0" w:line="276" w:lineRule="auto"/>
                    <w:ind w:left="0" w:right="0"/>
                    <w:jc w:val="center"/>
                    <w:rPr>
                      <w:rFonts w:hint="eastAsia" w:ascii="Times New Roman" w:hAnsi="Times New Roman" w:eastAsia="宋体" w:cs="Times New Roman"/>
                      <w:kern w:val="0"/>
                      <w:sz w:val="21"/>
                      <w:szCs w:val="21"/>
                      <w:highlight w:val="none"/>
                      <w:lang w:val="en-US" w:eastAsia="zh-CN"/>
                    </w:rPr>
                  </w:pPr>
                  <w:r>
                    <w:rPr>
                      <w:rFonts w:hint="eastAsia" w:ascii="Times New Roman" w:hAnsi="Times New Roman" w:eastAsia="宋体" w:cs="Times New Roman"/>
                      <w:kern w:val="0"/>
                      <w:sz w:val="21"/>
                      <w:szCs w:val="21"/>
                      <w:highlight w:val="none"/>
                      <w:lang w:val="en-US" w:eastAsia="zh-CN"/>
                    </w:rPr>
                    <w:t>60</w:t>
                  </w:r>
                </w:p>
              </w:tc>
              <w:tc>
                <w:tcPr>
                  <w:tcW w:w="441" w:type="pct"/>
                  <w:noWrap w:val="0"/>
                  <w:tcMar>
                    <w:left w:w="57" w:type="dxa"/>
                    <w:right w:w="57" w:type="dxa"/>
                  </w:tcMar>
                  <w:vAlign w:val="center"/>
                </w:tcPr>
                <w:p w14:paraId="7FAA314D">
                  <w:pPr>
                    <w:keepNext w:val="0"/>
                    <w:keepLines w:val="0"/>
                    <w:suppressLineNumbers w:val="0"/>
                    <w:overflowPunct w:val="0"/>
                    <w:adjustRightInd w:val="0"/>
                    <w:snapToGrid w:val="0"/>
                    <w:spacing w:before="0" w:beforeAutospacing="0" w:after="0" w:afterAutospacing="0" w:line="276" w:lineRule="auto"/>
                    <w:ind w:left="0" w:right="0"/>
                    <w:jc w:val="center"/>
                    <w:rPr>
                      <w:rFonts w:hint="eastAsia" w:ascii="Times New Roman" w:hAnsi="Times New Roman" w:eastAsia="宋体" w:cs="Times New Roman"/>
                      <w:kern w:val="0"/>
                      <w:sz w:val="21"/>
                      <w:szCs w:val="21"/>
                      <w:highlight w:val="none"/>
                    </w:rPr>
                  </w:pPr>
                  <w:r>
                    <w:rPr>
                      <w:rFonts w:hint="eastAsia" w:ascii="Times New Roman" w:hAnsi="Times New Roman" w:eastAsia="宋体" w:cs="Times New Roman"/>
                      <w:kern w:val="0"/>
                      <w:sz w:val="21"/>
                      <w:szCs w:val="21"/>
                      <w:highlight w:val="none"/>
                    </w:rPr>
                    <w:t>达标</w:t>
                  </w:r>
                </w:p>
              </w:tc>
            </w:tr>
            <w:tr w14:paraId="08582FA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4" w:hRule="atLeast"/>
                <w:jc w:val="center"/>
              </w:trPr>
              <w:tc>
                <w:tcPr>
                  <w:tcW w:w="547" w:type="pct"/>
                  <w:shd w:val="clear" w:color="auto" w:fill="auto"/>
                  <w:noWrap w:val="0"/>
                  <w:tcMar>
                    <w:left w:w="57" w:type="dxa"/>
                    <w:right w:w="57" w:type="dxa"/>
                  </w:tcMar>
                  <w:vAlign w:val="center"/>
                </w:tcPr>
                <w:p w14:paraId="38F1D570">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64" w:lineRule="auto"/>
                    <w:ind w:left="0" w:right="0"/>
                    <w:jc w:val="center"/>
                    <w:textAlignment w:val="auto"/>
                    <w:rPr>
                      <w:rFonts w:hint="default" w:ascii="Times New Roman" w:hAnsi="Times New Roman" w:eastAsia="宋体" w:cs="Times New Roman"/>
                      <w:snapToGrid w:val="0"/>
                      <w:sz w:val="21"/>
                      <w:szCs w:val="21"/>
                      <w:highlight w:val="none"/>
                    </w:rPr>
                  </w:pPr>
                  <w:r>
                    <w:rPr>
                      <w:rFonts w:hint="eastAsia" w:ascii="Times New Roman" w:hAnsi="Times New Roman" w:eastAsia="宋体" w:cs="Times New Roman"/>
                      <w:bCs/>
                      <w:kern w:val="0"/>
                      <w:sz w:val="21"/>
                      <w:szCs w:val="21"/>
                      <w:highlight w:val="none"/>
                      <w:lang w:val="en-US" w:eastAsia="zh-CN"/>
                    </w:rPr>
                    <w:t>DA012</w:t>
                  </w:r>
                </w:p>
              </w:tc>
              <w:tc>
                <w:tcPr>
                  <w:tcW w:w="710" w:type="pct"/>
                  <w:shd w:val="clear" w:color="auto" w:fill="auto"/>
                  <w:noWrap w:val="0"/>
                  <w:tcMar>
                    <w:left w:w="57" w:type="dxa"/>
                    <w:right w:w="57" w:type="dxa"/>
                  </w:tcMar>
                  <w:vAlign w:val="center"/>
                </w:tcPr>
                <w:p w14:paraId="7F8F2143">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64" w:lineRule="auto"/>
                    <w:ind w:left="0" w:right="0"/>
                    <w:jc w:val="center"/>
                    <w:textAlignment w:val="auto"/>
                    <w:rPr>
                      <w:rFonts w:hint="eastAsia" w:ascii="Times New Roman" w:hAnsi="Times New Roman" w:eastAsia="宋体" w:cs="Times New Roman"/>
                      <w:snapToGrid w:val="0"/>
                      <w:sz w:val="21"/>
                      <w:szCs w:val="21"/>
                      <w:highlight w:val="none"/>
                      <w:lang w:val="en-US" w:eastAsia="zh-CN"/>
                    </w:rPr>
                  </w:pPr>
                  <w:r>
                    <w:rPr>
                      <w:rFonts w:hint="eastAsia" w:ascii="Times New Roman" w:hAnsi="Times New Roman" w:eastAsia="宋体" w:cs="Times New Roman"/>
                      <w:bCs/>
                      <w:kern w:val="0"/>
                      <w:sz w:val="21"/>
                      <w:szCs w:val="21"/>
                      <w:highlight w:val="none"/>
                      <w:lang w:val="en-US" w:eastAsia="zh-CN"/>
                    </w:rPr>
                    <w:t>12#排气筒</w:t>
                  </w:r>
                </w:p>
              </w:tc>
              <w:tc>
                <w:tcPr>
                  <w:tcW w:w="788" w:type="pct"/>
                  <w:shd w:val="clear" w:color="auto" w:fill="auto"/>
                  <w:noWrap w:val="0"/>
                  <w:tcMar>
                    <w:left w:w="57" w:type="dxa"/>
                    <w:right w:w="57" w:type="dxa"/>
                  </w:tcMar>
                  <w:vAlign w:val="center"/>
                </w:tcPr>
                <w:p w14:paraId="7185FAC7">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64" w:lineRule="auto"/>
                    <w:ind w:left="0" w:right="0"/>
                    <w:jc w:val="center"/>
                    <w:textAlignment w:val="auto"/>
                    <w:rPr>
                      <w:rFonts w:hint="eastAsia" w:ascii="Times New Roman" w:hAnsi="Times New Roman" w:eastAsia="宋体" w:cs="Times New Roman"/>
                      <w:bCs/>
                      <w:kern w:val="0"/>
                      <w:sz w:val="21"/>
                      <w:szCs w:val="21"/>
                      <w:highlight w:val="none"/>
                      <w:lang w:val="en-US" w:eastAsia="zh-CN"/>
                    </w:rPr>
                  </w:pPr>
                  <w:r>
                    <w:rPr>
                      <w:rFonts w:hint="eastAsia" w:ascii="Times New Roman" w:hAnsi="Times New Roman" w:eastAsia="宋体" w:cs="Times New Roman"/>
                      <w:bCs/>
                      <w:kern w:val="0"/>
                      <w:sz w:val="21"/>
                      <w:szCs w:val="21"/>
                      <w:highlight w:val="none"/>
                      <w:lang w:val="en-US" w:eastAsia="zh-CN"/>
                    </w:rPr>
                    <w:t>非甲烷总烃</w:t>
                  </w:r>
                </w:p>
              </w:tc>
              <w:tc>
                <w:tcPr>
                  <w:tcW w:w="687" w:type="pct"/>
                  <w:shd w:val="clear" w:color="auto" w:fill="auto"/>
                  <w:noWrap w:val="0"/>
                  <w:tcMar>
                    <w:left w:w="57" w:type="dxa"/>
                    <w:right w:w="57" w:type="dxa"/>
                  </w:tcMar>
                  <w:vAlign w:val="center"/>
                </w:tcPr>
                <w:p w14:paraId="5C150F04">
                  <w:pPr>
                    <w:keepNext w:val="0"/>
                    <w:keepLines w:val="0"/>
                    <w:widowControl/>
                    <w:suppressLineNumbers w:val="0"/>
                    <w:spacing w:before="0" w:beforeAutospacing="0" w:after="0" w:afterAutospacing="0"/>
                    <w:ind w:left="0" w:leftChars="0" w:right="0" w:rightChars="0"/>
                    <w:jc w:val="center"/>
                    <w:textAlignment w:val="center"/>
                    <w:rPr>
                      <w:rFonts w:hint="eastAsia" w:ascii="Times New Roman" w:hAnsi="Times New Roman" w:eastAsia="宋体" w:cs="Times New Roman"/>
                      <w:bCs/>
                      <w:kern w:val="0"/>
                      <w:sz w:val="21"/>
                      <w:szCs w:val="21"/>
                      <w:highlight w:val="none"/>
                      <w:lang w:val="en-US" w:eastAsia="zh-CN"/>
                    </w:rPr>
                  </w:pPr>
                  <w:r>
                    <w:rPr>
                      <w:rFonts w:hint="default" w:ascii="Times New Roman" w:hAnsi="Times New Roman" w:eastAsia="宋体" w:cs="Times New Roman"/>
                      <w:i w:val="0"/>
                      <w:iCs w:val="0"/>
                      <w:color w:val="000000"/>
                      <w:kern w:val="0"/>
                      <w:sz w:val="21"/>
                      <w:szCs w:val="21"/>
                      <w:highlight w:val="none"/>
                      <w:u w:val="none"/>
                      <w:lang w:val="en-US" w:eastAsia="zh-CN" w:bidi="ar"/>
                    </w:rPr>
                    <w:t>0.031</w:t>
                  </w:r>
                </w:p>
              </w:tc>
              <w:tc>
                <w:tcPr>
                  <w:tcW w:w="641" w:type="pct"/>
                  <w:shd w:val="clear" w:color="auto" w:fill="auto"/>
                  <w:noWrap w:val="0"/>
                  <w:tcMar>
                    <w:left w:w="57" w:type="dxa"/>
                    <w:right w:w="57" w:type="dxa"/>
                  </w:tcMar>
                  <w:vAlign w:val="center"/>
                </w:tcPr>
                <w:p w14:paraId="39C61EF3">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64" w:lineRule="auto"/>
                    <w:ind w:left="0" w:leftChars="0" w:right="0" w:rightChars="0"/>
                    <w:jc w:val="center"/>
                    <w:textAlignment w:val="auto"/>
                    <w:rPr>
                      <w:rFonts w:hint="eastAsia" w:ascii="Times New Roman" w:hAnsi="Times New Roman" w:eastAsia="宋体" w:cs="Times New Roman"/>
                      <w:color w:val="auto"/>
                      <w:kern w:val="2"/>
                      <w:sz w:val="21"/>
                      <w:szCs w:val="21"/>
                      <w:highlight w:val="none"/>
                      <w:lang w:val="en-US" w:eastAsia="zh-CN" w:bidi="ar-SA"/>
                    </w:rPr>
                  </w:pPr>
                  <w:r>
                    <w:rPr>
                      <w:rFonts w:hint="eastAsia" w:cs="Times New Roman"/>
                      <w:bCs/>
                      <w:kern w:val="0"/>
                      <w:sz w:val="21"/>
                      <w:szCs w:val="21"/>
                      <w:highlight w:val="none"/>
                      <w:lang w:val="en-US" w:eastAsia="zh-CN"/>
                    </w:rPr>
                    <w:t>0.52</w:t>
                  </w:r>
                  <w:r>
                    <w:rPr>
                      <w:rFonts w:hint="eastAsia" w:ascii="Times New Roman" w:hAnsi="Times New Roman" w:eastAsia="宋体" w:cs="Times New Roman"/>
                      <w:bCs/>
                      <w:kern w:val="0"/>
                      <w:sz w:val="21"/>
                      <w:szCs w:val="21"/>
                      <w:highlight w:val="none"/>
                      <w:lang w:val="en-US" w:eastAsia="zh-CN"/>
                    </w:rPr>
                    <w:t xml:space="preserve"> </w:t>
                  </w:r>
                </w:p>
              </w:tc>
              <w:tc>
                <w:tcPr>
                  <w:tcW w:w="513" w:type="pct"/>
                  <w:noWrap w:val="0"/>
                  <w:tcMar>
                    <w:left w:w="57" w:type="dxa"/>
                    <w:right w:w="57" w:type="dxa"/>
                  </w:tcMar>
                  <w:vAlign w:val="center"/>
                </w:tcPr>
                <w:p w14:paraId="13202C92">
                  <w:pPr>
                    <w:keepNext w:val="0"/>
                    <w:keepLines w:val="0"/>
                    <w:suppressLineNumbers w:val="0"/>
                    <w:adjustRightInd w:val="0"/>
                    <w:snapToGrid w:val="0"/>
                    <w:spacing w:before="0" w:beforeAutospacing="0" w:after="0" w:afterAutospacing="0" w:line="276" w:lineRule="auto"/>
                    <w:ind w:left="0" w:right="0"/>
                    <w:jc w:val="center"/>
                    <w:rPr>
                      <w:rFonts w:hint="eastAsia" w:ascii="Times New Roman" w:hAnsi="Times New Roman" w:eastAsia="宋体" w:cs="Times New Roman"/>
                      <w:kern w:val="0"/>
                      <w:sz w:val="21"/>
                      <w:szCs w:val="21"/>
                      <w:highlight w:val="none"/>
                      <w:lang w:val="en-US" w:eastAsia="zh-CN"/>
                    </w:rPr>
                  </w:pPr>
                  <w:r>
                    <w:rPr>
                      <w:rFonts w:hint="eastAsia" w:ascii="Times New Roman" w:hAnsi="Times New Roman" w:eastAsia="宋体" w:cs="Times New Roman"/>
                      <w:kern w:val="0"/>
                      <w:sz w:val="21"/>
                      <w:szCs w:val="21"/>
                      <w:highlight w:val="none"/>
                      <w:lang w:val="en-US" w:eastAsia="zh-CN"/>
                    </w:rPr>
                    <w:t>/</w:t>
                  </w:r>
                </w:p>
              </w:tc>
              <w:tc>
                <w:tcPr>
                  <w:tcW w:w="669" w:type="pct"/>
                  <w:noWrap w:val="0"/>
                  <w:tcMar>
                    <w:left w:w="57" w:type="dxa"/>
                    <w:right w:w="57" w:type="dxa"/>
                  </w:tcMar>
                  <w:vAlign w:val="center"/>
                </w:tcPr>
                <w:p w14:paraId="7BDFFD91">
                  <w:pPr>
                    <w:keepNext w:val="0"/>
                    <w:keepLines w:val="0"/>
                    <w:widowControl/>
                    <w:suppressLineNumbers w:val="0"/>
                    <w:spacing w:before="0" w:beforeAutospacing="0" w:after="0" w:afterAutospacing="0" w:line="276" w:lineRule="auto"/>
                    <w:ind w:left="0" w:right="0"/>
                    <w:jc w:val="center"/>
                    <w:rPr>
                      <w:rFonts w:hint="eastAsia" w:ascii="Times New Roman" w:hAnsi="Times New Roman" w:eastAsia="宋体" w:cs="Times New Roman"/>
                      <w:kern w:val="0"/>
                      <w:sz w:val="21"/>
                      <w:szCs w:val="21"/>
                      <w:highlight w:val="none"/>
                      <w:lang w:val="en-US" w:eastAsia="zh-CN"/>
                    </w:rPr>
                  </w:pPr>
                  <w:r>
                    <w:rPr>
                      <w:rFonts w:hint="eastAsia" w:ascii="Times New Roman" w:hAnsi="Times New Roman" w:eastAsia="宋体" w:cs="Times New Roman"/>
                      <w:kern w:val="0"/>
                      <w:sz w:val="21"/>
                      <w:szCs w:val="21"/>
                      <w:highlight w:val="none"/>
                      <w:lang w:val="en-US" w:eastAsia="zh-CN"/>
                    </w:rPr>
                    <w:t>60</w:t>
                  </w:r>
                </w:p>
              </w:tc>
              <w:tc>
                <w:tcPr>
                  <w:tcW w:w="441" w:type="pct"/>
                  <w:noWrap w:val="0"/>
                  <w:tcMar>
                    <w:left w:w="57" w:type="dxa"/>
                    <w:right w:w="57" w:type="dxa"/>
                  </w:tcMar>
                  <w:vAlign w:val="center"/>
                </w:tcPr>
                <w:p w14:paraId="045C8BF5">
                  <w:pPr>
                    <w:keepNext w:val="0"/>
                    <w:keepLines w:val="0"/>
                    <w:suppressLineNumbers w:val="0"/>
                    <w:overflowPunct w:val="0"/>
                    <w:adjustRightInd w:val="0"/>
                    <w:snapToGrid w:val="0"/>
                    <w:spacing w:before="0" w:beforeAutospacing="0" w:after="0" w:afterAutospacing="0" w:line="276" w:lineRule="auto"/>
                    <w:ind w:left="0" w:right="0"/>
                    <w:jc w:val="center"/>
                    <w:rPr>
                      <w:rFonts w:hint="eastAsia" w:ascii="Times New Roman" w:hAnsi="Times New Roman" w:eastAsia="宋体" w:cs="Times New Roman"/>
                      <w:kern w:val="0"/>
                      <w:sz w:val="21"/>
                      <w:szCs w:val="21"/>
                      <w:highlight w:val="none"/>
                    </w:rPr>
                  </w:pPr>
                  <w:r>
                    <w:rPr>
                      <w:rFonts w:hint="eastAsia" w:ascii="Times New Roman" w:hAnsi="Times New Roman" w:eastAsia="宋体" w:cs="Times New Roman"/>
                      <w:kern w:val="0"/>
                      <w:sz w:val="21"/>
                      <w:szCs w:val="21"/>
                      <w:highlight w:val="none"/>
                    </w:rPr>
                    <w:t>达标</w:t>
                  </w:r>
                </w:p>
              </w:tc>
            </w:tr>
            <w:tr w14:paraId="30DC6A3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4" w:hRule="atLeast"/>
                <w:jc w:val="center"/>
              </w:trPr>
              <w:tc>
                <w:tcPr>
                  <w:tcW w:w="547" w:type="pct"/>
                  <w:shd w:val="clear" w:color="auto" w:fill="auto"/>
                  <w:noWrap w:val="0"/>
                  <w:tcMar>
                    <w:left w:w="57" w:type="dxa"/>
                    <w:right w:w="57" w:type="dxa"/>
                  </w:tcMar>
                  <w:vAlign w:val="center"/>
                </w:tcPr>
                <w:p w14:paraId="06E77C48">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64" w:lineRule="auto"/>
                    <w:ind w:left="0" w:right="0"/>
                    <w:jc w:val="center"/>
                    <w:textAlignment w:val="auto"/>
                    <w:rPr>
                      <w:rFonts w:hint="default" w:ascii="Times New Roman" w:hAnsi="Times New Roman" w:eastAsia="宋体" w:cs="Times New Roman"/>
                      <w:snapToGrid w:val="0"/>
                      <w:sz w:val="21"/>
                      <w:szCs w:val="21"/>
                      <w:highlight w:val="none"/>
                    </w:rPr>
                  </w:pPr>
                  <w:r>
                    <w:rPr>
                      <w:rFonts w:hint="eastAsia" w:ascii="Times New Roman" w:hAnsi="Times New Roman" w:eastAsia="宋体" w:cs="Times New Roman"/>
                      <w:bCs/>
                      <w:kern w:val="0"/>
                      <w:sz w:val="21"/>
                      <w:szCs w:val="21"/>
                      <w:highlight w:val="none"/>
                      <w:lang w:val="en-US" w:eastAsia="zh-CN"/>
                    </w:rPr>
                    <w:t>DA013</w:t>
                  </w:r>
                </w:p>
              </w:tc>
              <w:tc>
                <w:tcPr>
                  <w:tcW w:w="710" w:type="pct"/>
                  <w:shd w:val="clear" w:color="auto" w:fill="auto"/>
                  <w:noWrap w:val="0"/>
                  <w:tcMar>
                    <w:left w:w="57" w:type="dxa"/>
                    <w:right w:w="57" w:type="dxa"/>
                  </w:tcMar>
                  <w:vAlign w:val="center"/>
                </w:tcPr>
                <w:p w14:paraId="2F9F8BF8">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64" w:lineRule="auto"/>
                    <w:ind w:left="0" w:right="0"/>
                    <w:jc w:val="center"/>
                    <w:textAlignment w:val="auto"/>
                    <w:rPr>
                      <w:rFonts w:hint="eastAsia" w:ascii="Times New Roman" w:hAnsi="Times New Roman" w:eastAsia="宋体" w:cs="Times New Roman"/>
                      <w:snapToGrid w:val="0"/>
                      <w:sz w:val="21"/>
                      <w:szCs w:val="21"/>
                      <w:highlight w:val="none"/>
                      <w:lang w:val="en-US" w:eastAsia="zh-CN"/>
                    </w:rPr>
                  </w:pPr>
                  <w:r>
                    <w:rPr>
                      <w:rFonts w:hint="eastAsia" w:ascii="Times New Roman" w:hAnsi="Times New Roman" w:eastAsia="宋体" w:cs="Times New Roman"/>
                      <w:bCs/>
                      <w:kern w:val="0"/>
                      <w:sz w:val="21"/>
                      <w:szCs w:val="21"/>
                      <w:highlight w:val="none"/>
                      <w:lang w:val="en-US" w:eastAsia="zh-CN"/>
                    </w:rPr>
                    <w:t>13#排气筒</w:t>
                  </w:r>
                </w:p>
              </w:tc>
              <w:tc>
                <w:tcPr>
                  <w:tcW w:w="788" w:type="pct"/>
                  <w:shd w:val="clear" w:color="auto" w:fill="auto"/>
                  <w:noWrap w:val="0"/>
                  <w:tcMar>
                    <w:left w:w="57" w:type="dxa"/>
                    <w:right w:w="57" w:type="dxa"/>
                  </w:tcMar>
                  <w:vAlign w:val="center"/>
                </w:tcPr>
                <w:p w14:paraId="65072794">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64" w:lineRule="auto"/>
                    <w:ind w:left="0" w:right="0"/>
                    <w:jc w:val="center"/>
                    <w:textAlignment w:val="auto"/>
                    <w:rPr>
                      <w:rFonts w:hint="eastAsia" w:ascii="Times New Roman" w:hAnsi="Times New Roman" w:eastAsia="宋体" w:cs="Times New Roman"/>
                      <w:bCs/>
                      <w:kern w:val="0"/>
                      <w:sz w:val="21"/>
                      <w:szCs w:val="21"/>
                      <w:highlight w:val="none"/>
                      <w:lang w:val="en-US" w:eastAsia="zh-CN"/>
                    </w:rPr>
                  </w:pPr>
                  <w:r>
                    <w:rPr>
                      <w:rFonts w:hint="eastAsia" w:ascii="Times New Roman" w:hAnsi="Times New Roman" w:eastAsia="宋体" w:cs="Times New Roman"/>
                      <w:bCs/>
                      <w:kern w:val="0"/>
                      <w:sz w:val="21"/>
                      <w:szCs w:val="21"/>
                      <w:highlight w:val="none"/>
                      <w:lang w:val="en-US" w:eastAsia="zh-CN"/>
                    </w:rPr>
                    <w:t>非甲烷总烃</w:t>
                  </w:r>
                </w:p>
              </w:tc>
              <w:tc>
                <w:tcPr>
                  <w:tcW w:w="687" w:type="pct"/>
                  <w:shd w:val="clear" w:color="auto" w:fill="auto"/>
                  <w:noWrap w:val="0"/>
                  <w:tcMar>
                    <w:left w:w="57" w:type="dxa"/>
                    <w:right w:w="57" w:type="dxa"/>
                  </w:tcMar>
                  <w:vAlign w:val="center"/>
                </w:tcPr>
                <w:p w14:paraId="4F3DCB00">
                  <w:pPr>
                    <w:keepNext w:val="0"/>
                    <w:keepLines w:val="0"/>
                    <w:widowControl/>
                    <w:suppressLineNumbers w:val="0"/>
                    <w:spacing w:before="0" w:beforeAutospacing="0" w:after="0" w:afterAutospacing="0"/>
                    <w:ind w:left="0" w:leftChars="0" w:right="0" w:rightChars="0"/>
                    <w:jc w:val="center"/>
                    <w:textAlignment w:val="center"/>
                    <w:rPr>
                      <w:rFonts w:hint="eastAsia" w:ascii="Times New Roman" w:hAnsi="Times New Roman" w:eastAsia="宋体" w:cs="Times New Roman"/>
                      <w:bCs/>
                      <w:kern w:val="0"/>
                      <w:sz w:val="21"/>
                      <w:szCs w:val="21"/>
                      <w:highlight w:val="none"/>
                      <w:lang w:val="en-US" w:eastAsia="zh-CN"/>
                    </w:rPr>
                  </w:pPr>
                  <w:r>
                    <w:rPr>
                      <w:rFonts w:hint="default" w:ascii="Times New Roman" w:hAnsi="Times New Roman" w:eastAsia="宋体" w:cs="Times New Roman"/>
                      <w:i w:val="0"/>
                      <w:iCs w:val="0"/>
                      <w:color w:val="000000"/>
                      <w:kern w:val="0"/>
                      <w:sz w:val="21"/>
                      <w:szCs w:val="21"/>
                      <w:highlight w:val="none"/>
                      <w:u w:val="none"/>
                      <w:lang w:val="en-US" w:eastAsia="zh-CN" w:bidi="ar"/>
                    </w:rPr>
                    <w:t>0.063</w:t>
                  </w:r>
                </w:p>
              </w:tc>
              <w:tc>
                <w:tcPr>
                  <w:tcW w:w="641" w:type="pct"/>
                  <w:shd w:val="clear" w:color="auto" w:fill="auto"/>
                  <w:noWrap w:val="0"/>
                  <w:tcMar>
                    <w:left w:w="57" w:type="dxa"/>
                    <w:right w:w="57" w:type="dxa"/>
                  </w:tcMar>
                  <w:vAlign w:val="center"/>
                </w:tcPr>
                <w:p w14:paraId="4657D1F1">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64" w:lineRule="auto"/>
                    <w:ind w:left="0" w:leftChars="0" w:right="0" w:rightChars="0"/>
                    <w:jc w:val="center"/>
                    <w:textAlignment w:val="auto"/>
                    <w:rPr>
                      <w:rFonts w:hint="eastAsia" w:ascii="Times New Roman" w:hAnsi="Times New Roman" w:eastAsia="宋体" w:cs="Times New Roman"/>
                      <w:color w:val="auto"/>
                      <w:kern w:val="2"/>
                      <w:sz w:val="21"/>
                      <w:szCs w:val="21"/>
                      <w:highlight w:val="none"/>
                      <w:lang w:val="en-US" w:eastAsia="zh-CN" w:bidi="ar-SA"/>
                    </w:rPr>
                  </w:pPr>
                  <w:r>
                    <w:rPr>
                      <w:rFonts w:hint="eastAsia" w:cs="Times New Roman"/>
                      <w:bCs/>
                      <w:kern w:val="0"/>
                      <w:sz w:val="21"/>
                      <w:szCs w:val="21"/>
                      <w:highlight w:val="none"/>
                      <w:lang w:val="en-US" w:eastAsia="zh-CN"/>
                    </w:rPr>
                    <w:t xml:space="preserve">0.71 </w:t>
                  </w:r>
                </w:p>
              </w:tc>
              <w:tc>
                <w:tcPr>
                  <w:tcW w:w="513" w:type="pct"/>
                  <w:noWrap w:val="0"/>
                  <w:tcMar>
                    <w:left w:w="57" w:type="dxa"/>
                    <w:right w:w="57" w:type="dxa"/>
                  </w:tcMar>
                  <w:vAlign w:val="center"/>
                </w:tcPr>
                <w:p w14:paraId="6DE0EC21">
                  <w:pPr>
                    <w:keepNext w:val="0"/>
                    <w:keepLines w:val="0"/>
                    <w:suppressLineNumbers w:val="0"/>
                    <w:adjustRightInd w:val="0"/>
                    <w:snapToGrid w:val="0"/>
                    <w:spacing w:before="0" w:beforeAutospacing="0" w:after="0" w:afterAutospacing="0" w:line="276" w:lineRule="auto"/>
                    <w:ind w:left="0" w:right="0"/>
                    <w:jc w:val="center"/>
                    <w:rPr>
                      <w:rFonts w:hint="eastAsia" w:ascii="Times New Roman" w:hAnsi="Times New Roman" w:eastAsia="宋体" w:cs="Times New Roman"/>
                      <w:kern w:val="0"/>
                      <w:sz w:val="21"/>
                      <w:szCs w:val="21"/>
                      <w:highlight w:val="none"/>
                      <w:lang w:val="en-US" w:eastAsia="zh-CN"/>
                    </w:rPr>
                  </w:pPr>
                  <w:r>
                    <w:rPr>
                      <w:rFonts w:hint="eastAsia" w:ascii="Times New Roman" w:hAnsi="Times New Roman" w:eastAsia="宋体" w:cs="Times New Roman"/>
                      <w:kern w:val="0"/>
                      <w:sz w:val="21"/>
                      <w:szCs w:val="21"/>
                      <w:highlight w:val="none"/>
                      <w:lang w:val="en-US" w:eastAsia="zh-CN"/>
                    </w:rPr>
                    <w:t>/</w:t>
                  </w:r>
                </w:p>
              </w:tc>
              <w:tc>
                <w:tcPr>
                  <w:tcW w:w="669" w:type="pct"/>
                  <w:noWrap w:val="0"/>
                  <w:tcMar>
                    <w:left w:w="57" w:type="dxa"/>
                    <w:right w:w="57" w:type="dxa"/>
                  </w:tcMar>
                  <w:vAlign w:val="center"/>
                </w:tcPr>
                <w:p w14:paraId="4FD6E2DC">
                  <w:pPr>
                    <w:keepNext w:val="0"/>
                    <w:keepLines w:val="0"/>
                    <w:widowControl/>
                    <w:suppressLineNumbers w:val="0"/>
                    <w:spacing w:before="0" w:beforeAutospacing="0" w:after="0" w:afterAutospacing="0" w:line="276" w:lineRule="auto"/>
                    <w:ind w:left="0" w:right="0"/>
                    <w:jc w:val="center"/>
                    <w:rPr>
                      <w:rFonts w:hint="eastAsia" w:ascii="Times New Roman" w:hAnsi="Times New Roman" w:eastAsia="宋体" w:cs="Times New Roman"/>
                      <w:kern w:val="0"/>
                      <w:sz w:val="21"/>
                      <w:szCs w:val="21"/>
                      <w:highlight w:val="none"/>
                      <w:lang w:val="en-US" w:eastAsia="zh-CN"/>
                    </w:rPr>
                  </w:pPr>
                  <w:r>
                    <w:rPr>
                      <w:rFonts w:hint="eastAsia" w:ascii="Times New Roman" w:hAnsi="Times New Roman" w:eastAsia="宋体" w:cs="Times New Roman"/>
                      <w:kern w:val="0"/>
                      <w:sz w:val="21"/>
                      <w:szCs w:val="21"/>
                      <w:highlight w:val="none"/>
                      <w:lang w:val="en-US" w:eastAsia="zh-CN"/>
                    </w:rPr>
                    <w:t>60</w:t>
                  </w:r>
                </w:p>
              </w:tc>
              <w:tc>
                <w:tcPr>
                  <w:tcW w:w="441" w:type="pct"/>
                  <w:noWrap w:val="0"/>
                  <w:tcMar>
                    <w:left w:w="57" w:type="dxa"/>
                    <w:right w:w="57" w:type="dxa"/>
                  </w:tcMar>
                  <w:vAlign w:val="center"/>
                </w:tcPr>
                <w:p w14:paraId="61264A93">
                  <w:pPr>
                    <w:keepNext w:val="0"/>
                    <w:keepLines w:val="0"/>
                    <w:suppressLineNumbers w:val="0"/>
                    <w:overflowPunct w:val="0"/>
                    <w:adjustRightInd w:val="0"/>
                    <w:snapToGrid w:val="0"/>
                    <w:spacing w:before="0" w:beforeAutospacing="0" w:after="0" w:afterAutospacing="0" w:line="276" w:lineRule="auto"/>
                    <w:ind w:left="0" w:right="0"/>
                    <w:jc w:val="center"/>
                    <w:rPr>
                      <w:rFonts w:hint="eastAsia" w:ascii="Times New Roman" w:hAnsi="Times New Roman" w:eastAsia="宋体" w:cs="Times New Roman"/>
                      <w:kern w:val="0"/>
                      <w:sz w:val="21"/>
                      <w:szCs w:val="21"/>
                      <w:highlight w:val="none"/>
                    </w:rPr>
                  </w:pPr>
                  <w:r>
                    <w:rPr>
                      <w:rFonts w:hint="eastAsia" w:ascii="Times New Roman" w:hAnsi="Times New Roman" w:eastAsia="宋体" w:cs="Times New Roman"/>
                      <w:kern w:val="0"/>
                      <w:sz w:val="21"/>
                      <w:szCs w:val="21"/>
                      <w:highlight w:val="none"/>
                    </w:rPr>
                    <w:t>达标</w:t>
                  </w:r>
                </w:p>
              </w:tc>
            </w:tr>
            <w:tr w14:paraId="3AD51C2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4" w:hRule="atLeast"/>
                <w:jc w:val="center"/>
              </w:trPr>
              <w:tc>
                <w:tcPr>
                  <w:tcW w:w="547" w:type="pct"/>
                  <w:shd w:val="clear" w:color="auto" w:fill="auto"/>
                  <w:noWrap w:val="0"/>
                  <w:tcMar>
                    <w:left w:w="57" w:type="dxa"/>
                    <w:right w:w="57" w:type="dxa"/>
                  </w:tcMar>
                  <w:vAlign w:val="center"/>
                </w:tcPr>
                <w:p w14:paraId="1995C80B">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64" w:lineRule="auto"/>
                    <w:ind w:left="0" w:right="0"/>
                    <w:jc w:val="center"/>
                    <w:textAlignment w:val="auto"/>
                    <w:rPr>
                      <w:rFonts w:hint="default" w:ascii="Times New Roman" w:hAnsi="Times New Roman" w:eastAsia="宋体" w:cs="Times New Roman"/>
                      <w:snapToGrid w:val="0"/>
                      <w:sz w:val="21"/>
                      <w:szCs w:val="21"/>
                      <w:highlight w:val="none"/>
                    </w:rPr>
                  </w:pPr>
                  <w:r>
                    <w:rPr>
                      <w:rFonts w:hint="eastAsia" w:ascii="Times New Roman" w:hAnsi="Times New Roman" w:eastAsia="宋体" w:cs="Times New Roman"/>
                      <w:bCs/>
                      <w:kern w:val="0"/>
                      <w:sz w:val="21"/>
                      <w:szCs w:val="21"/>
                      <w:highlight w:val="none"/>
                      <w:lang w:val="en-US" w:eastAsia="zh-CN"/>
                    </w:rPr>
                    <w:t>DA014</w:t>
                  </w:r>
                </w:p>
              </w:tc>
              <w:tc>
                <w:tcPr>
                  <w:tcW w:w="710" w:type="pct"/>
                  <w:shd w:val="clear" w:color="auto" w:fill="auto"/>
                  <w:noWrap w:val="0"/>
                  <w:tcMar>
                    <w:left w:w="57" w:type="dxa"/>
                    <w:right w:w="57" w:type="dxa"/>
                  </w:tcMar>
                  <w:vAlign w:val="center"/>
                </w:tcPr>
                <w:p w14:paraId="5DF74421">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64" w:lineRule="auto"/>
                    <w:ind w:left="0" w:right="0"/>
                    <w:jc w:val="center"/>
                    <w:textAlignment w:val="auto"/>
                    <w:rPr>
                      <w:rFonts w:hint="eastAsia" w:ascii="Times New Roman" w:hAnsi="Times New Roman" w:eastAsia="宋体" w:cs="Times New Roman"/>
                      <w:snapToGrid w:val="0"/>
                      <w:sz w:val="21"/>
                      <w:szCs w:val="21"/>
                      <w:highlight w:val="none"/>
                      <w:lang w:val="en-US" w:eastAsia="zh-CN"/>
                    </w:rPr>
                  </w:pPr>
                  <w:r>
                    <w:rPr>
                      <w:rFonts w:hint="eastAsia" w:ascii="Times New Roman" w:hAnsi="Times New Roman" w:eastAsia="宋体" w:cs="Times New Roman"/>
                      <w:bCs/>
                      <w:kern w:val="0"/>
                      <w:sz w:val="21"/>
                      <w:szCs w:val="21"/>
                      <w:highlight w:val="none"/>
                      <w:lang w:val="en-US" w:eastAsia="zh-CN"/>
                    </w:rPr>
                    <w:t>14#排气筒</w:t>
                  </w:r>
                </w:p>
              </w:tc>
              <w:tc>
                <w:tcPr>
                  <w:tcW w:w="788" w:type="pct"/>
                  <w:shd w:val="clear" w:color="auto" w:fill="auto"/>
                  <w:noWrap w:val="0"/>
                  <w:tcMar>
                    <w:left w:w="57" w:type="dxa"/>
                    <w:right w:w="57" w:type="dxa"/>
                  </w:tcMar>
                  <w:vAlign w:val="center"/>
                </w:tcPr>
                <w:p w14:paraId="28E1E990">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64" w:lineRule="auto"/>
                    <w:ind w:left="0" w:right="0"/>
                    <w:jc w:val="center"/>
                    <w:textAlignment w:val="auto"/>
                    <w:rPr>
                      <w:rFonts w:hint="eastAsia" w:ascii="Times New Roman" w:hAnsi="Times New Roman" w:eastAsia="宋体" w:cs="Times New Roman"/>
                      <w:bCs/>
                      <w:kern w:val="0"/>
                      <w:sz w:val="21"/>
                      <w:szCs w:val="21"/>
                      <w:highlight w:val="none"/>
                      <w:lang w:val="en-US" w:eastAsia="zh-CN"/>
                    </w:rPr>
                  </w:pPr>
                  <w:r>
                    <w:rPr>
                      <w:rFonts w:hint="eastAsia" w:ascii="Times New Roman" w:hAnsi="Times New Roman" w:eastAsia="宋体" w:cs="Times New Roman"/>
                      <w:bCs/>
                      <w:kern w:val="0"/>
                      <w:sz w:val="21"/>
                      <w:szCs w:val="21"/>
                      <w:highlight w:val="none"/>
                      <w:lang w:val="en-US" w:eastAsia="zh-CN"/>
                    </w:rPr>
                    <w:t>非甲烷总烃</w:t>
                  </w:r>
                </w:p>
              </w:tc>
              <w:tc>
                <w:tcPr>
                  <w:tcW w:w="687" w:type="pct"/>
                  <w:shd w:val="clear" w:color="auto" w:fill="auto"/>
                  <w:noWrap w:val="0"/>
                  <w:tcMar>
                    <w:left w:w="57" w:type="dxa"/>
                    <w:right w:w="57" w:type="dxa"/>
                  </w:tcMar>
                  <w:vAlign w:val="center"/>
                </w:tcPr>
                <w:p w14:paraId="1E620457">
                  <w:pPr>
                    <w:keepNext w:val="0"/>
                    <w:keepLines w:val="0"/>
                    <w:widowControl/>
                    <w:suppressLineNumbers w:val="0"/>
                    <w:spacing w:before="0" w:beforeAutospacing="0" w:after="0" w:afterAutospacing="0"/>
                    <w:ind w:left="0" w:leftChars="0" w:right="0" w:rightChars="0"/>
                    <w:jc w:val="center"/>
                    <w:textAlignment w:val="center"/>
                    <w:rPr>
                      <w:rFonts w:hint="eastAsia" w:ascii="Times New Roman" w:hAnsi="Times New Roman" w:eastAsia="宋体" w:cs="Times New Roman"/>
                      <w:bCs/>
                      <w:kern w:val="0"/>
                      <w:sz w:val="21"/>
                      <w:szCs w:val="21"/>
                      <w:highlight w:val="none"/>
                      <w:lang w:val="en-US" w:eastAsia="zh-CN"/>
                    </w:rPr>
                  </w:pPr>
                  <w:r>
                    <w:rPr>
                      <w:rFonts w:hint="default" w:ascii="Times New Roman" w:hAnsi="Times New Roman" w:eastAsia="宋体" w:cs="Times New Roman"/>
                      <w:i w:val="0"/>
                      <w:iCs w:val="0"/>
                      <w:color w:val="000000"/>
                      <w:kern w:val="0"/>
                      <w:sz w:val="21"/>
                      <w:szCs w:val="21"/>
                      <w:highlight w:val="none"/>
                      <w:u w:val="none"/>
                      <w:lang w:val="en-US" w:eastAsia="zh-CN" w:bidi="ar"/>
                    </w:rPr>
                    <w:t>0.052</w:t>
                  </w:r>
                </w:p>
              </w:tc>
              <w:tc>
                <w:tcPr>
                  <w:tcW w:w="641" w:type="pct"/>
                  <w:shd w:val="clear" w:color="auto" w:fill="auto"/>
                  <w:noWrap w:val="0"/>
                  <w:tcMar>
                    <w:left w:w="57" w:type="dxa"/>
                    <w:right w:w="57" w:type="dxa"/>
                  </w:tcMar>
                  <w:vAlign w:val="center"/>
                </w:tcPr>
                <w:p w14:paraId="14ED97E5">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64" w:lineRule="auto"/>
                    <w:ind w:left="0" w:leftChars="0" w:right="0" w:rightChars="0"/>
                    <w:jc w:val="center"/>
                    <w:textAlignment w:val="auto"/>
                    <w:rPr>
                      <w:rFonts w:hint="eastAsia" w:ascii="Times New Roman" w:hAnsi="Times New Roman" w:eastAsia="宋体" w:cs="Times New Roman"/>
                      <w:color w:val="auto"/>
                      <w:kern w:val="2"/>
                      <w:sz w:val="21"/>
                      <w:szCs w:val="21"/>
                      <w:highlight w:val="none"/>
                      <w:lang w:val="en-US" w:eastAsia="zh-CN" w:bidi="ar-SA"/>
                    </w:rPr>
                  </w:pPr>
                  <w:r>
                    <w:rPr>
                      <w:rFonts w:hint="eastAsia" w:cs="Times New Roman"/>
                      <w:bCs/>
                      <w:kern w:val="0"/>
                      <w:sz w:val="21"/>
                      <w:szCs w:val="21"/>
                      <w:highlight w:val="none"/>
                      <w:lang w:val="en-US" w:eastAsia="zh-CN"/>
                    </w:rPr>
                    <w:t xml:space="preserve">0.64 </w:t>
                  </w:r>
                </w:p>
              </w:tc>
              <w:tc>
                <w:tcPr>
                  <w:tcW w:w="513" w:type="pct"/>
                  <w:noWrap w:val="0"/>
                  <w:tcMar>
                    <w:left w:w="57" w:type="dxa"/>
                    <w:right w:w="57" w:type="dxa"/>
                  </w:tcMar>
                  <w:vAlign w:val="center"/>
                </w:tcPr>
                <w:p w14:paraId="3F121AAD">
                  <w:pPr>
                    <w:keepNext w:val="0"/>
                    <w:keepLines w:val="0"/>
                    <w:suppressLineNumbers w:val="0"/>
                    <w:adjustRightInd w:val="0"/>
                    <w:snapToGrid w:val="0"/>
                    <w:spacing w:before="0" w:beforeAutospacing="0" w:after="0" w:afterAutospacing="0" w:line="276" w:lineRule="auto"/>
                    <w:ind w:left="0" w:right="0"/>
                    <w:jc w:val="center"/>
                    <w:rPr>
                      <w:rFonts w:hint="eastAsia" w:ascii="Times New Roman" w:hAnsi="Times New Roman" w:eastAsia="宋体" w:cs="Times New Roman"/>
                      <w:kern w:val="0"/>
                      <w:sz w:val="21"/>
                      <w:szCs w:val="21"/>
                      <w:highlight w:val="none"/>
                      <w:lang w:val="en-US" w:eastAsia="zh-CN"/>
                    </w:rPr>
                  </w:pPr>
                  <w:r>
                    <w:rPr>
                      <w:rFonts w:hint="eastAsia" w:ascii="Times New Roman" w:hAnsi="Times New Roman" w:eastAsia="宋体" w:cs="Times New Roman"/>
                      <w:kern w:val="0"/>
                      <w:sz w:val="21"/>
                      <w:szCs w:val="21"/>
                      <w:highlight w:val="none"/>
                      <w:lang w:val="en-US" w:eastAsia="zh-CN"/>
                    </w:rPr>
                    <w:t>/</w:t>
                  </w:r>
                </w:p>
              </w:tc>
              <w:tc>
                <w:tcPr>
                  <w:tcW w:w="669" w:type="pct"/>
                  <w:noWrap w:val="0"/>
                  <w:tcMar>
                    <w:left w:w="57" w:type="dxa"/>
                    <w:right w:w="57" w:type="dxa"/>
                  </w:tcMar>
                  <w:vAlign w:val="center"/>
                </w:tcPr>
                <w:p w14:paraId="22B06B8D">
                  <w:pPr>
                    <w:keepNext w:val="0"/>
                    <w:keepLines w:val="0"/>
                    <w:widowControl/>
                    <w:suppressLineNumbers w:val="0"/>
                    <w:spacing w:before="0" w:beforeAutospacing="0" w:after="0" w:afterAutospacing="0" w:line="276" w:lineRule="auto"/>
                    <w:ind w:left="0" w:right="0"/>
                    <w:jc w:val="center"/>
                    <w:rPr>
                      <w:rFonts w:hint="eastAsia" w:ascii="Times New Roman" w:hAnsi="Times New Roman" w:eastAsia="宋体" w:cs="Times New Roman"/>
                      <w:kern w:val="0"/>
                      <w:sz w:val="21"/>
                      <w:szCs w:val="21"/>
                      <w:highlight w:val="none"/>
                      <w:lang w:val="en-US" w:eastAsia="zh-CN"/>
                    </w:rPr>
                  </w:pPr>
                  <w:r>
                    <w:rPr>
                      <w:rFonts w:hint="eastAsia" w:ascii="Times New Roman" w:hAnsi="Times New Roman" w:eastAsia="宋体" w:cs="Times New Roman"/>
                      <w:kern w:val="0"/>
                      <w:sz w:val="21"/>
                      <w:szCs w:val="21"/>
                      <w:highlight w:val="none"/>
                      <w:lang w:val="en-US" w:eastAsia="zh-CN"/>
                    </w:rPr>
                    <w:t>60</w:t>
                  </w:r>
                </w:p>
              </w:tc>
              <w:tc>
                <w:tcPr>
                  <w:tcW w:w="441" w:type="pct"/>
                  <w:noWrap w:val="0"/>
                  <w:tcMar>
                    <w:left w:w="57" w:type="dxa"/>
                    <w:right w:w="57" w:type="dxa"/>
                  </w:tcMar>
                  <w:vAlign w:val="center"/>
                </w:tcPr>
                <w:p w14:paraId="7F8770E6">
                  <w:pPr>
                    <w:keepNext w:val="0"/>
                    <w:keepLines w:val="0"/>
                    <w:suppressLineNumbers w:val="0"/>
                    <w:overflowPunct w:val="0"/>
                    <w:adjustRightInd w:val="0"/>
                    <w:snapToGrid w:val="0"/>
                    <w:spacing w:before="0" w:beforeAutospacing="0" w:after="0" w:afterAutospacing="0" w:line="276" w:lineRule="auto"/>
                    <w:ind w:left="0" w:right="0"/>
                    <w:jc w:val="center"/>
                    <w:rPr>
                      <w:rFonts w:hint="eastAsia" w:ascii="Times New Roman" w:hAnsi="Times New Roman" w:eastAsia="宋体" w:cs="Times New Roman"/>
                      <w:kern w:val="0"/>
                      <w:sz w:val="21"/>
                      <w:szCs w:val="21"/>
                      <w:highlight w:val="none"/>
                    </w:rPr>
                  </w:pPr>
                  <w:r>
                    <w:rPr>
                      <w:rFonts w:hint="eastAsia" w:ascii="Times New Roman" w:hAnsi="Times New Roman" w:eastAsia="宋体" w:cs="Times New Roman"/>
                      <w:kern w:val="0"/>
                      <w:sz w:val="21"/>
                      <w:szCs w:val="21"/>
                      <w:highlight w:val="none"/>
                    </w:rPr>
                    <w:t>达标</w:t>
                  </w:r>
                </w:p>
              </w:tc>
            </w:tr>
            <w:tr w14:paraId="02C9722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4" w:hRule="atLeast"/>
                <w:jc w:val="center"/>
              </w:trPr>
              <w:tc>
                <w:tcPr>
                  <w:tcW w:w="547" w:type="pct"/>
                  <w:shd w:val="clear" w:color="auto" w:fill="auto"/>
                  <w:noWrap w:val="0"/>
                  <w:tcMar>
                    <w:left w:w="57" w:type="dxa"/>
                    <w:right w:w="57" w:type="dxa"/>
                  </w:tcMar>
                  <w:vAlign w:val="center"/>
                </w:tcPr>
                <w:p w14:paraId="7529CFAB">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64" w:lineRule="auto"/>
                    <w:ind w:left="0" w:right="0"/>
                    <w:jc w:val="center"/>
                    <w:textAlignment w:val="auto"/>
                    <w:rPr>
                      <w:rFonts w:hint="default" w:ascii="Times New Roman" w:hAnsi="Times New Roman" w:eastAsia="宋体" w:cs="Times New Roman"/>
                      <w:snapToGrid w:val="0"/>
                      <w:sz w:val="21"/>
                      <w:szCs w:val="21"/>
                      <w:highlight w:val="none"/>
                    </w:rPr>
                  </w:pPr>
                  <w:r>
                    <w:rPr>
                      <w:rFonts w:hint="eastAsia" w:ascii="Times New Roman" w:hAnsi="Times New Roman" w:eastAsia="宋体" w:cs="Times New Roman"/>
                      <w:bCs/>
                      <w:kern w:val="0"/>
                      <w:sz w:val="21"/>
                      <w:szCs w:val="21"/>
                      <w:highlight w:val="none"/>
                      <w:lang w:val="en-US" w:eastAsia="zh-CN"/>
                    </w:rPr>
                    <w:t>DA015</w:t>
                  </w:r>
                </w:p>
              </w:tc>
              <w:tc>
                <w:tcPr>
                  <w:tcW w:w="710" w:type="pct"/>
                  <w:shd w:val="clear" w:color="auto" w:fill="auto"/>
                  <w:noWrap w:val="0"/>
                  <w:tcMar>
                    <w:left w:w="57" w:type="dxa"/>
                    <w:right w:w="57" w:type="dxa"/>
                  </w:tcMar>
                  <w:vAlign w:val="center"/>
                </w:tcPr>
                <w:p w14:paraId="7210E0CA">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64" w:lineRule="auto"/>
                    <w:ind w:left="0" w:right="0"/>
                    <w:jc w:val="center"/>
                    <w:textAlignment w:val="auto"/>
                    <w:rPr>
                      <w:rFonts w:hint="eastAsia" w:ascii="Times New Roman" w:hAnsi="Times New Roman" w:eastAsia="宋体" w:cs="Times New Roman"/>
                      <w:snapToGrid w:val="0"/>
                      <w:sz w:val="21"/>
                      <w:szCs w:val="21"/>
                      <w:highlight w:val="none"/>
                      <w:lang w:val="en-US" w:eastAsia="zh-CN"/>
                    </w:rPr>
                  </w:pPr>
                  <w:r>
                    <w:rPr>
                      <w:rFonts w:hint="eastAsia" w:ascii="Times New Roman" w:hAnsi="Times New Roman" w:eastAsia="宋体" w:cs="Times New Roman"/>
                      <w:bCs/>
                      <w:kern w:val="0"/>
                      <w:sz w:val="21"/>
                      <w:szCs w:val="21"/>
                      <w:highlight w:val="none"/>
                      <w:lang w:val="en-US" w:eastAsia="zh-CN"/>
                    </w:rPr>
                    <w:t>15#排气筒</w:t>
                  </w:r>
                </w:p>
              </w:tc>
              <w:tc>
                <w:tcPr>
                  <w:tcW w:w="788" w:type="pct"/>
                  <w:shd w:val="clear" w:color="auto" w:fill="auto"/>
                  <w:noWrap w:val="0"/>
                  <w:tcMar>
                    <w:left w:w="57" w:type="dxa"/>
                    <w:right w:w="57" w:type="dxa"/>
                  </w:tcMar>
                  <w:vAlign w:val="center"/>
                </w:tcPr>
                <w:p w14:paraId="5A70B8A1">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64" w:lineRule="auto"/>
                    <w:ind w:left="0" w:right="0"/>
                    <w:jc w:val="center"/>
                    <w:textAlignment w:val="auto"/>
                    <w:rPr>
                      <w:rFonts w:hint="eastAsia" w:ascii="Times New Roman" w:hAnsi="Times New Roman" w:eastAsia="宋体" w:cs="Times New Roman"/>
                      <w:bCs/>
                      <w:kern w:val="0"/>
                      <w:sz w:val="21"/>
                      <w:szCs w:val="21"/>
                      <w:highlight w:val="none"/>
                      <w:lang w:val="en-US" w:eastAsia="zh-CN"/>
                    </w:rPr>
                  </w:pPr>
                  <w:r>
                    <w:rPr>
                      <w:rFonts w:hint="eastAsia" w:ascii="Times New Roman" w:hAnsi="Times New Roman" w:eastAsia="宋体" w:cs="Times New Roman"/>
                      <w:bCs/>
                      <w:kern w:val="0"/>
                      <w:sz w:val="21"/>
                      <w:szCs w:val="21"/>
                      <w:highlight w:val="none"/>
                      <w:lang w:val="en-US" w:eastAsia="zh-CN"/>
                    </w:rPr>
                    <w:t>非甲烷总烃</w:t>
                  </w:r>
                </w:p>
              </w:tc>
              <w:tc>
                <w:tcPr>
                  <w:tcW w:w="687" w:type="pct"/>
                  <w:shd w:val="clear" w:color="auto" w:fill="auto"/>
                  <w:noWrap w:val="0"/>
                  <w:tcMar>
                    <w:left w:w="57" w:type="dxa"/>
                    <w:right w:w="57" w:type="dxa"/>
                  </w:tcMar>
                  <w:vAlign w:val="center"/>
                </w:tcPr>
                <w:p w14:paraId="2011E2C4">
                  <w:pPr>
                    <w:keepNext w:val="0"/>
                    <w:keepLines w:val="0"/>
                    <w:widowControl/>
                    <w:suppressLineNumbers w:val="0"/>
                    <w:spacing w:before="0" w:beforeAutospacing="0" w:after="0" w:afterAutospacing="0"/>
                    <w:ind w:left="0" w:leftChars="0" w:right="0" w:rightChars="0"/>
                    <w:jc w:val="center"/>
                    <w:textAlignment w:val="center"/>
                    <w:rPr>
                      <w:rFonts w:hint="eastAsia" w:ascii="Times New Roman" w:hAnsi="Times New Roman" w:eastAsia="宋体" w:cs="Times New Roman"/>
                      <w:bCs/>
                      <w:kern w:val="0"/>
                      <w:sz w:val="21"/>
                      <w:szCs w:val="21"/>
                      <w:highlight w:val="none"/>
                      <w:lang w:val="en-US" w:eastAsia="zh-CN"/>
                    </w:rPr>
                  </w:pPr>
                  <w:r>
                    <w:rPr>
                      <w:rFonts w:hint="default" w:ascii="Times New Roman" w:hAnsi="Times New Roman" w:eastAsia="宋体" w:cs="Times New Roman"/>
                      <w:i w:val="0"/>
                      <w:iCs w:val="0"/>
                      <w:color w:val="000000"/>
                      <w:kern w:val="0"/>
                      <w:sz w:val="21"/>
                      <w:szCs w:val="21"/>
                      <w:highlight w:val="none"/>
                      <w:u w:val="none"/>
                      <w:lang w:val="en-US" w:eastAsia="zh-CN" w:bidi="ar"/>
                    </w:rPr>
                    <w:t>0.063</w:t>
                  </w:r>
                </w:p>
              </w:tc>
              <w:tc>
                <w:tcPr>
                  <w:tcW w:w="641" w:type="pct"/>
                  <w:shd w:val="clear" w:color="auto" w:fill="auto"/>
                  <w:noWrap w:val="0"/>
                  <w:tcMar>
                    <w:left w:w="57" w:type="dxa"/>
                    <w:right w:w="57" w:type="dxa"/>
                  </w:tcMar>
                  <w:vAlign w:val="center"/>
                </w:tcPr>
                <w:p w14:paraId="68E328CB">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64" w:lineRule="auto"/>
                    <w:ind w:left="0" w:leftChars="0" w:right="0" w:rightChars="0"/>
                    <w:jc w:val="center"/>
                    <w:textAlignment w:val="auto"/>
                    <w:rPr>
                      <w:rFonts w:hint="eastAsia" w:ascii="Times New Roman" w:hAnsi="Times New Roman" w:eastAsia="宋体" w:cs="Times New Roman"/>
                      <w:color w:val="auto"/>
                      <w:kern w:val="2"/>
                      <w:sz w:val="21"/>
                      <w:szCs w:val="21"/>
                      <w:highlight w:val="none"/>
                      <w:lang w:val="en-US" w:eastAsia="zh-CN" w:bidi="ar-SA"/>
                    </w:rPr>
                  </w:pPr>
                  <w:r>
                    <w:rPr>
                      <w:rFonts w:hint="eastAsia" w:cs="Times New Roman"/>
                      <w:bCs/>
                      <w:kern w:val="0"/>
                      <w:sz w:val="21"/>
                      <w:szCs w:val="21"/>
                      <w:highlight w:val="none"/>
                      <w:lang w:val="en-US" w:eastAsia="zh-CN"/>
                    </w:rPr>
                    <w:t xml:space="preserve">0.71 </w:t>
                  </w:r>
                </w:p>
              </w:tc>
              <w:tc>
                <w:tcPr>
                  <w:tcW w:w="513" w:type="pct"/>
                  <w:noWrap w:val="0"/>
                  <w:tcMar>
                    <w:left w:w="57" w:type="dxa"/>
                    <w:right w:w="57" w:type="dxa"/>
                  </w:tcMar>
                  <w:vAlign w:val="center"/>
                </w:tcPr>
                <w:p w14:paraId="78DE2219">
                  <w:pPr>
                    <w:keepNext w:val="0"/>
                    <w:keepLines w:val="0"/>
                    <w:suppressLineNumbers w:val="0"/>
                    <w:adjustRightInd w:val="0"/>
                    <w:snapToGrid w:val="0"/>
                    <w:spacing w:before="0" w:beforeAutospacing="0" w:after="0" w:afterAutospacing="0" w:line="276" w:lineRule="auto"/>
                    <w:ind w:left="0" w:right="0"/>
                    <w:jc w:val="center"/>
                    <w:rPr>
                      <w:rFonts w:hint="eastAsia" w:ascii="Times New Roman" w:hAnsi="Times New Roman" w:eastAsia="宋体" w:cs="Times New Roman"/>
                      <w:kern w:val="0"/>
                      <w:sz w:val="21"/>
                      <w:szCs w:val="21"/>
                      <w:highlight w:val="none"/>
                      <w:lang w:val="en-US" w:eastAsia="zh-CN"/>
                    </w:rPr>
                  </w:pPr>
                  <w:r>
                    <w:rPr>
                      <w:rFonts w:hint="eastAsia" w:ascii="Times New Roman" w:hAnsi="Times New Roman" w:eastAsia="宋体" w:cs="Times New Roman"/>
                      <w:kern w:val="0"/>
                      <w:sz w:val="21"/>
                      <w:szCs w:val="21"/>
                      <w:highlight w:val="none"/>
                      <w:lang w:val="en-US" w:eastAsia="zh-CN"/>
                    </w:rPr>
                    <w:t>/</w:t>
                  </w:r>
                </w:p>
              </w:tc>
              <w:tc>
                <w:tcPr>
                  <w:tcW w:w="669" w:type="pct"/>
                  <w:noWrap w:val="0"/>
                  <w:tcMar>
                    <w:left w:w="57" w:type="dxa"/>
                    <w:right w:w="57" w:type="dxa"/>
                  </w:tcMar>
                  <w:vAlign w:val="center"/>
                </w:tcPr>
                <w:p w14:paraId="04320A17">
                  <w:pPr>
                    <w:keepNext w:val="0"/>
                    <w:keepLines w:val="0"/>
                    <w:widowControl/>
                    <w:suppressLineNumbers w:val="0"/>
                    <w:spacing w:before="0" w:beforeAutospacing="0" w:after="0" w:afterAutospacing="0" w:line="276" w:lineRule="auto"/>
                    <w:ind w:left="0" w:right="0"/>
                    <w:jc w:val="center"/>
                    <w:rPr>
                      <w:rFonts w:hint="eastAsia" w:ascii="Times New Roman" w:hAnsi="Times New Roman" w:eastAsia="宋体" w:cs="Times New Roman"/>
                      <w:kern w:val="0"/>
                      <w:sz w:val="21"/>
                      <w:szCs w:val="21"/>
                      <w:highlight w:val="none"/>
                      <w:lang w:val="en-US" w:eastAsia="zh-CN"/>
                    </w:rPr>
                  </w:pPr>
                  <w:r>
                    <w:rPr>
                      <w:rFonts w:hint="eastAsia" w:ascii="Times New Roman" w:hAnsi="Times New Roman" w:eastAsia="宋体" w:cs="Times New Roman"/>
                      <w:kern w:val="0"/>
                      <w:sz w:val="21"/>
                      <w:szCs w:val="21"/>
                      <w:highlight w:val="none"/>
                      <w:lang w:val="en-US" w:eastAsia="zh-CN"/>
                    </w:rPr>
                    <w:t>60</w:t>
                  </w:r>
                </w:p>
              </w:tc>
              <w:tc>
                <w:tcPr>
                  <w:tcW w:w="441" w:type="pct"/>
                  <w:noWrap w:val="0"/>
                  <w:tcMar>
                    <w:left w:w="57" w:type="dxa"/>
                    <w:right w:w="57" w:type="dxa"/>
                  </w:tcMar>
                  <w:vAlign w:val="center"/>
                </w:tcPr>
                <w:p w14:paraId="4E46E6A6">
                  <w:pPr>
                    <w:keepNext w:val="0"/>
                    <w:keepLines w:val="0"/>
                    <w:suppressLineNumbers w:val="0"/>
                    <w:overflowPunct w:val="0"/>
                    <w:adjustRightInd w:val="0"/>
                    <w:snapToGrid w:val="0"/>
                    <w:spacing w:before="0" w:beforeAutospacing="0" w:after="0" w:afterAutospacing="0" w:line="276" w:lineRule="auto"/>
                    <w:ind w:left="0" w:right="0"/>
                    <w:jc w:val="center"/>
                    <w:rPr>
                      <w:rFonts w:hint="eastAsia" w:ascii="Times New Roman" w:hAnsi="Times New Roman" w:eastAsia="宋体" w:cs="Times New Roman"/>
                      <w:kern w:val="0"/>
                      <w:sz w:val="21"/>
                      <w:szCs w:val="21"/>
                      <w:highlight w:val="none"/>
                    </w:rPr>
                  </w:pPr>
                  <w:r>
                    <w:rPr>
                      <w:rFonts w:hint="eastAsia" w:ascii="Times New Roman" w:hAnsi="Times New Roman" w:eastAsia="宋体" w:cs="Times New Roman"/>
                      <w:kern w:val="0"/>
                      <w:sz w:val="21"/>
                      <w:szCs w:val="21"/>
                      <w:highlight w:val="none"/>
                    </w:rPr>
                    <w:t>达标</w:t>
                  </w:r>
                </w:p>
              </w:tc>
            </w:tr>
            <w:tr w14:paraId="168787C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4" w:hRule="atLeast"/>
                <w:jc w:val="center"/>
              </w:trPr>
              <w:tc>
                <w:tcPr>
                  <w:tcW w:w="547" w:type="pct"/>
                  <w:shd w:val="clear" w:color="auto" w:fill="auto"/>
                  <w:noWrap w:val="0"/>
                  <w:tcMar>
                    <w:left w:w="57" w:type="dxa"/>
                    <w:right w:w="57" w:type="dxa"/>
                  </w:tcMar>
                  <w:vAlign w:val="center"/>
                </w:tcPr>
                <w:p w14:paraId="312A110F">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64" w:lineRule="auto"/>
                    <w:ind w:left="0" w:right="0"/>
                    <w:jc w:val="center"/>
                    <w:textAlignment w:val="auto"/>
                    <w:rPr>
                      <w:rFonts w:hint="default" w:ascii="Times New Roman" w:hAnsi="Times New Roman" w:eastAsia="宋体" w:cs="Times New Roman"/>
                      <w:snapToGrid w:val="0"/>
                      <w:sz w:val="21"/>
                      <w:szCs w:val="21"/>
                      <w:highlight w:val="none"/>
                    </w:rPr>
                  </w:pPr>
                  <w:r>
                    <w:rPr>
                      <w:rFonts w:hint="eastAsia" w:ascii="Times New Roman" w:hAnsi="Times New Roman" w:eastAsia="宋体" w:cs="Times New Roman"/>
                      <w:bCs/>
                      <w:kern w:val="0"/>
                      <w:sz w:val="21"/>
                      <w:szCs w:val="21"/>
                      <w:highlight w:val="none"/>
                      <w:lang w:val="en-US" w:eastAsia="zh-CN"/>
                    </w:rPr>
                    <w:t>DA016</w:t>
                  </w:r>
                </w:p>
              </w:tc>
              <w:tc>
                <w:tcPr>
                  <w:tcW w:w="710" w:type="pct"/>
                  <w:shd w:val="clear" w:color="auto" w:fill="auto"/>
                  <w:noWrap w:val="0"/>
                  <w:tcMar>
                    <w:left w:w="57" w:type="dxa"/>
                    <w:right w:w="57" w:type="dxa"/>
                  </w:tcMar>
                  <w:vAlign w:val="center"/>
                </w:tcPr>
                <w:p w14:paraId="5EBBD0E1">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64" w:lineRule="auto"/>
                    <w:ind w:left="0" w:right="0"/>
                    <w:jc w:val="center"/>
                    <w:textAlignment w:val="auto"/>
                    <w:rPr>
                      <w:rFonts w:hint="eastAsia" w:ascii="Times New Roman" w:hAnsi="Times New Roman" w:eastAsia="宋体" w:cs="Times New Roman"/>
                      <w:snapToGrid w:val="0"/>
                      <w:sz w:val="21"/>
                      <w:szCs w:val="21"/>
                      <w:highlight w:val="none"/>
                      <w:lang w:val="en-US" w:eastAsia="zh-CN"/>
                    </w:rPr>
                  </w:pPr>
                  <w:r>
                    <w:rPr>
                      <w:rFonts w:hint="eastAsia" w:ascii="Times New Roman" w:hAnsi="Times New Roman" w:eastAsia="宋体" w:cs="Times New Roman"/>
                      <w:bCs/>
                      <w:kern w:val="0"/>
                      <w:sz w:val="21"/>
                      <w:szCs w:val="21"/>
                      <w:highlight w:val="none"/>
                      <w:lang w:val="en-US" w:eastAsia="zh-CN"/>
                    </w:rPr>
                    <w:t>16#排气筒</w:t>
                  </w:r>
                </w:p>
              </w:tc>
              <w:tc>
                <w:tcPr>
                  <w:tcW w:w="788" w:type="pct"/>
                  <w:shd w:val="clear" w:color="auto" w:fill="auto"/>
                  <w:noWrap w:val="0"/>
                  <w:tcMar>
                    <w:left w:w="57" w:type="dxa"/>
                    <w:right w:w="57" w:type="dxa"/>
                  </w:tcMar>
                  <w:vAlign w:val="center"/>
                </w:tcPr>
                <w:p w14:paraId="723912CD">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64" w:lineRule="auto"/>
                    <w:ind w:left="0" w:right="0"/>
                    <w:jc w:val="center"/>
                    <w:textAlignment w:val="auto"/>
                    <w:rPr>
                      <w:rFonts w:hint="eastAsia" w:ascii="Times New Roman" w:hAnsi="Times New Roman" w:eastAsia="宋体" w:cs="Times New Roman"/>
                      <w:bCs/>
                      <w:kern w:val="0"/>
                      <w:sz w:val="21"/>
                      <w:szCs w:val="21"/>
                      <w:highlight w:val="none"/>
                      <w:lang w:val="en-US" w:eastAsia="zh-CN"/>
                    </w:rPr>
                  </w:pPr>
                  <w:r>
                    <w:rPr>
                      <w:rFonts w:hint="eastAsia" w:ascii="Times New Roman" w:hAnsi="Times New Roman" w:eastAsia="宋体" w:cs="Times New Roman"/>
                      <w:bCs/>
                      <w:kern w:val="0"/>
                      <w:sz w:val="21"/>
                      <w:szCs w:val="21"/>
                      <w:highlight w:val="none"/>
                      <w:lang w:val="en-US" w:eastAsia="zh-CN"/>
                    </w:rPr>
                    <w:t>非甲烷总烃</w:t>
                  </w:r>
                </w:p>
              </w:tc>
              <w:tc>
                <w:tcPr>
                  <w:tcW w:w="687" w:type="pct"/>
                  <w:shd w:val="clear" w:color="auto" w:fill="auto"/>
                  <w:noWrap w:val="0"/>
                  <w:tcMar>
                    <w:left w:w="57" w:type="dxa"/>
                    <w:right w:w="57" w:type="dxa"/>
                  </w:tcMar>
                  <w:vAlign w:val="center"/>
                </w:tcPr>
                <w:p w14:paraId="03FE6596">
                  <w:pPr>
                    <w:keepNext w:val="0"/>
                    <w:keepLines w:val="0"/>
                    <w:widowControl/>
                    <w:suppressLineNumbers w:val="0"/>
                    <w:spacing w:before="0" w:beforeAutospacing="0" w:after="0" w:afterAutospacing="0"/>
                    <w:ind w:left="0" w:leftChars="0" w:right="0" w:rightChars="0"/>
                    <w:jc w:val="center"/>
                    <w:textAlignment w:val="center"/>
                    <w:rPr>
                      <w:rFonts w:hint="eastAsia" w:ascii="Times New Roman" w:hAnsi="Times New Roman" w:eastAsia="宋体" w:cs="Times New Roman"/>
                      <w:bCs/>
                      <w:kern w:val="0"/>
                      <w:sz w:val="21"/>
                      <w:szCs w:val="21"/>
                      <w:highlight w:val="none"/>
                      <w:lang w:val="en-US" w:eastAsia="zh-CN"/>
                    </w:rPr>
                  </w:pPr>
                  <w:r>
                    <w:rPr>
                      <w:rFonts w:hint="default" w:ascii="Times New Roman" w:hAnsi="Times New Roman" w:eastAsia="宋体" w:cs="Times New Roman"/>
                      <w:i w:val="0"/>
                      <w:iCs w:val="0"/>
                      <w:color w:val="000000"/>
                      <w:kern w:val="0"/>
                      <w:sz w:val="21"/>
                      <w:szCs w:val="21"/>
                      <w:highlight w:val="none"/>
                      <w:u w:val="none"/>
                      <w:lang w:val="en-US" w:eastAsia="zh-CN" w:bidi="ar"/>
                    </w:rPr>
                    <w:t>0.096</w:t>
                  </w:r>
                </w:p>
              </w:tc>
              <w:tc>
                <w:tcPr>
                  <w:tcW w:w="641" w:type="pct"/>
                  <w:shd w:val="clear" w:color="auto" w:fill="auto"/>
                  <w:noWrap w:val="0"/>
                  <w:tcMar>
                    <w:left w:w="57" w:type="dxa"/>
                    <w:right w:w="57" w:type="dxa"/>
                  </w:tcMar>
                  <w:vAlign w:val="center"/>
                </w:tcPr>
                <w:p w14:paraId="5F88ECF7">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64" w:lineRule="auto"/>
                    <w:ind w:left="0" w:leftChars="0" w:right="0" w:rightChars="0"/>
                    <w:jc w:val="center"/>
                    <w:textAlignment w:val="auto"/>
                    <w:rPr>
                      <w:rFonts w:hint="eastAsia" w:ascii="Times New Roman" w:hAnsi="Times New Roman" w:eastAsia="宋体" w:cs="Times New Roman"/>
                      <w:color w:val="auto"/>
                      <w:kern w:val="2"/>
                      <w:sz w:val="21"/>
                      <w:szCs w:val="21"/>
                      <w:highlight w:val="none"/>
                      <w:lang w:val="en-US" w:eastAsia="zh-CN" w:bidi="ar-SA"/>
                    </w:rPr>
                  </w:pPr>
                  <w:r>
                    <w:rPr>
                      <w:rFonts w:hint="eastAsia" w:cs="Times New Roman"/>
                      <w:bCs/>
                      <w:kern w:val="0"/>
                      <w:sz w:val="21"/>
                      <w:szCs w:val="21"/>
                      <w:highlight w:val="none"/>
                      <w:lang w:val="en-US" w:eastAsia="zh-CN"/>
                    </w:rPr>
                    <w:t xml:space="preserve">1.69 </w:t>
                  </w:r>
                </w:p>
              </w:tc>
              <w:tc>
                <w:tcPr>
                  <w:tcW w:w="513" w:type="pct"/>
                  <w:noWrap w:val="0"/>
                  <w:tcMar>
                    <w:left w:w="57" w:type="dxa"/>
                    <w:right w:w="57" w:type="dxa"/>
                  </w:tcMar>
                  <w:vAlign w:val="center"/>
                </w:tcPr>
                <w:p w14:paraId="15971264">
                  <w:pPr>
                    <w:keepNext w:val="0"/>
                    <w:keepLines w:val="0"/>
                    <w:suppressLineNumbers w:val="0"/>
                    <w:adjustRightInd w:val="0"/>
                    <w:snapToGrid w:val="0"/>
                    <w:spacing w:before="0" w:beforeAutospacing="0" w:after="0" w:afterAutospacing="0" w:line="276" w:lineRule="auto"/>
                    <w:ind w:left="0" w:right="0"/>
                    <w:jc w:val="center"/>
                    <w:rPr>
                      <w:rFonts w:hint="eastAsia" w:ascii="Times New Roman" w:hAnsi="Times New Roman" w:eastAsia="宋体" w:cs="Times New Roman"/>
                      <w:kern w:val="0"/>
                      <w:sz w:val="21"/>
                      <w:szCs w:val="21"/>
                      <w:highlight w:val="none"/>
                      <w:lang w:val="en-US" w:eastAsia="zh-CN"/>
                    </w:rPr>
                  </w:pPr>
                  <w:r>
                    <w:rPr>
                      <w:rFonts w:hint="eastAsia" w:ascii="Times New Roman" w:hAnsi="Times New Roman" w:eastAsia="宋体" w:cs="Times New Roman"/>
                      <w:kern w:val="0"/>
                      <w:sz w:val="21"/>
                      <w:szCs w:val="21"/>
                      <w:highlight w:val="none"/>
                      <w:lang w:val="en-US" w:eastAsia="zh-CN"/>
                    </w:rPr>
                    <w:t>/</w:t>
                  </w:r>
                </w:p>
              </w:tc>
              <w:tc>
                <w:tcPr>
                  <w:tcW w:w="669" w:type="pct"/>
                  <w:noWrap w:val="0"/>
                  <w:tcMar>
                    <w:left w:w="57" w:type="dxa"/>
                    <w:right w:w="57" w:type="dxa"/>
                  </w:tcMar>
                  <w:vAlign w:val="center"/>
                </w:tcPr>
                <w:p w14:paraId="3E11945B">
                  <w:pPr>
                    <w:keepNext w:val="0"/>
                    <w:keepLines w:val="0"/>
                    <w:widowControl/>
                    <w:suppressLineNumbers w:val="0"/>
                    <w:spacing w:before="0" w:beforeAutospacing="0" w:after="0" w:afterAutospacing="0" w:line="276" w:lineRule="auto"/>
                    <w:ind w:left="0" w:right="0"/>
                    <w:jc w:val="center"/>
                    <w:rPr>
                      <w:rFonts w:hint="eastAsia" w:ascii="Times New Roman" w:hAnsi="Times New Roman" w:eastAsia="宋体" w:cs="Times New Roman"/>
                      <w:kern w:val="0"/>
                      <w:sz w:val="21"/>
                      <w:szCs w:val="21"/>
                      <w:highlight w:val="none"/>
                      <w:lang w:val="en-US" w:eastAsia="zh-CN"/>
                    </w:rPr>
                  </w:pPr>
                  <w:r>
                    <w:rPr>
                      <w:rFonts w:hint="eastAsia" w:ascii="Times New Roman" w:hAnsi="Times New Roman" w:eastAsia="宋体" w:cs="Times New Roman"/>
                      <w:kern w:val="0"/>
                      <w:sz w:val="21"/>
                      <w:szCs w:val="21"/>
                      <w:highlight w:val="none"/>
                      <w:lang w:val="en-US" w:eastAsia="zh-CN"/>
                    </w:rPr>
                    <w:t>60</w:t>
                  </w:r>
                </w:p>
              </w:tc>
              <w:tc>
                <w:tcPr>
                  <w:tcW w:w="441" w:type="pct"/>
                  <w:noWrap w:val="0"/>
                  <w:tcMar>
                    <w:left w:w="57" w:type="dxa"/>
                    <w:right w:w="57" w:type="dxa"/>
                  </w:tcMar>
                  <w:vAlign w:val="center"/>
                </w:tcPr>
                <w:p w14:paraId="20C03A65">
                  <w:pPr>
                    <w:keepNext w:val="0"/>
                    <w:keepLines w:val="0"/>
                    <w:suppressLineNumbers w:val="0"/>
                    <w:overflowPunct w:val="0"/>
                    <w:adjustRightInd w:val="0"/>
                    <w:snapToGrid w:val="0"/>
                    <w:spacing w:before="0" w:beforeAutospacing="0" w:after="0" w:afterAutospacing="0" w:line="276" w:lineRule="auto"/>
                    <w:ind w:left="0" w:right="0"/>
                    <w:jc w:val="center"/>
                    <w:rPr>
                      <w:rFonts w:hint="eastAsia" w:ascii="Times New Roman" w:hAnsi="Times New Roman" w:eastAsia="宋体" w:cs="Times New Roman"/>
                      <w:kern w:val="0"/>
                      <w:sz w:val="21"/>
                      <w:szCs w:val="21"/>
                      <w:highlight w:val="none"/>
                    </w:rPr>
                  </w:pPr>
                  <w:r>
                    <w:rPr>
                      <w:rFonts w:hint="eastAsia" w:ascii="Times New Roman" w:hAnsi="Times New Roman" w:eastAsia="宋体" w:cs="Times New Roman"/>
                      <w:kern w:val="0"/>
                      <w:sz w:val="21"/>
                      <w:szCs w:val="21"/>
                      <w:highlight w:val="none"/>
                    </w:rPr>
                    <w:t>达标</w:t>
                  </w:r>
                </w:p>
              </w:tc>
            </w:tr>
            <w:tr w14:paraId="52902D6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4" w:hRule="atLeast"/>
                <w:jc w:val="center"/>
              </w:trPr>
              <w:tc>
                <w:tcPr>
                  <w:tcW w:w="547" w:type="pct"/>
                  <w:shd w:val="clear" w:color="auto" w:fill="auto"/>
                  <w:noWrap w:val="0"/>
                  <w:tcMar>
                    <w:left w:w="57" w:type="dxa"/>
                    <w:right w:w="57" w:type="dxa"/>
                  </w:tcMar>
                  <w:vAlign w:val="center"/>
                </w:tcPr>
                <w:p w14:paraId="105526C6">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64" w:lineRule="auto"/>
                    <w:ind w:left="0" w:right="0"/>
                    <w:jc w:val="center"/>
                    <w:textAlignment w:val="auto"/>
                    <w:rPr>
                      <w:rFonts w:hint="default" w:ascii="Times New Roman" w:hAnsi="Times New Roman" w:eastAsia="宋体" w:cs="Times New Roman"/>
                      <w:snapToGrid w:val="0"/>
                      <w:sz w:val="21"/>
                      <w:szCs w:val="21"/>
                      <w:highlight w:val="none"/>
                    </w:rPr>
                  </w:pPr>
                  <w:r>
                    <w:rPr>
                      <w:rFonts w:hint="eastAsia" w:ascii="Times New Roman" w:hAnsi="Times New Roman" w:eastAsia="宋体" w:cs="Times New Roman"/>
                      <w:bCs/>
                      <w:kern w:val="0"/>
                      <w:sz w:val="21"/>
                      <w:szCs w:val="21"/>
                      <w:highlight w:val="none"/>
                      <w:lang w:val="en-US" w:eastAsia="zh-CN"/>
                    </w:rPr>
                    <w:t>DA017</w:t>
                  </w:r>
                </w:p>
              </w:tc>
              <w:tc>
                <w:tcPr>
                  <w:tcW w:w="710" w:type="pct"/>
                  <w:shd w:val="clear" w:color="auto" w:fill="auto"/>
                  <w:noWrap w:val="0"/>
                  <w:tcMar>
                    <w:left w:w="57" w:type="dxa"/>
                    <w:right w:w="57" w:type="dxa"/>
                  </w:tcMar>
                  <w:vAlign w:val="center"/>
                </w:tcPr>
                <w:p w14:paraId="3B0844BE">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64" w:lineRule="auto"/>
                    <w:ind w:left="0" w:right="0"/>
                    <w:jc w:val="center"/>
                    <w:textAlignment w:val="auto"/>
                    <w:rPr>
                      <w:rFonts w:hint="eastAsia" w:ascii="Times New Roman" w:hAnsi="Times New Roman" w:eastAsia="宋体" w:cs="Times New Roman"/>
                      <w:snapToGrid w:val="0"/>
                      <w:sz w:val="21"/>
                      <w:szCs w:val="21"/>
                      <w:highlight w:val="none"/>
                      <w:lang w:val="en-US" w:eastAsia="zh-CN"/>
                    </w:rPr>
                  </w:pPr>
                  <w:r>
                    <w:rPr>
                      <w:rFonts w:hint="eastAsia" w:ascii="Times New Roman" w:hAnsi="Times New Roman" w:eastAsia="宋体" w:cs="Times New Roman"/>
                      <w:bCs/>
                      <w:kern w:val="0"/>
                      <w:sz w:val="21"/>
                      <w:szCs w:val="21"/>
                      <w:highlight w:val="none"/>
                      <w:lang w:val="en-US" w:eastAsia="zh-CN"/>
                    </w:rPr>
                    <w:t>17#排气筒</w:t>
                  </w:r>
                </w:p>
              </w:tc>
              <w:tc>
                <w:tcPr>
                  <w:tcW w:w="788" w:type="pct"/>
                  <w:shd w:val="clear" w:color="auto" w:fill="auto"/>
                  <w:noWrap w:val="0"/>
                  <w:tcMar>
                    <w:left w:w="57" w:type="dxa"/>
                    <w:right w:w="57" w:type="dxa"/>
                  </w:tcMar>
                  <w:vAlign w:val="center"/>
                </w:tcPr>
                <w:p w14:paraId="167AC888">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64" w:lineRule="auto"/>
                    <w:ind w:left="0" w:right="0"/>
                    <w:jc w:val="center"/>
                    <w:textAlignment w:val="auto"/>
                    <w:rPr>
                      <w:rFonts w:hint="eastAsia" w:ascii="Times New Roman" w:hAnsi="Times New Roman" w:eastAsia="宋体" w:cs="Times New Roman"/>
                      <w:bCs/>
                      <w:kern w:val="0"/>
                      <w:sz w:val="21"/>
                      <w:szCs w:val="21"/>
                      <w:highlight w:val="none"/>
                      <w:lang w:val="en-US" w:eastAsia="zh-CN"/>
                    </w:rPr>
                  </w:pPr>
                  <w:r>
                    <w:rPr>
                      <w:rFonts w:hint="eastAsia" w:ascii="Times New Roman" w:hAnsi="Times New Roman" w:eastAsia="宋体" w:cs="Times New Roman"/>
                      <w:bCs/>
                      <w:kern w:val="0"/>
                      <w:sz w:val="21"/>
                      <w:szCs w:val="21"/>
                      <w:highlight w:val="none"/>
                      <w:lang w:val="en-US" w:eastAsia="zh-CN"/>
                    </w:rPr>
                    <w:t>非甲烷总烃</w:t>
                  </w:r>
                </w:p>
              </w:tc>
              <w:tc>
                <w:tcPr>
                  <w:tcW w:w="687" w:type="pct"/>
                  <w:shd w:val="clear" w:color="auto" w:fill="auto"/>
                  <w:noWrap w:val="0"/>
                  <w:tcMar>
                    <w:left w:w="57" w:type="dxa"/>
                    <w:right w:w="57" w:type="dxa"/>
                  </w:tcMar>
                  <w:vAlign w:val="center"/>
                </w:tcPr>
                <w:p w14:paraId="1AB7BAA7">
                  <w:pPr>
                    <w:keepNext w:val="0"/>
                    <w:keepLines w:val="0"/>
                    <w:widowControl/>
                    <w:suppressLineNumbers w:val="0"/>
                    <w:spacing w:before="0" w:beforeAutospacing="0" w:after="0" w:afterAutospacing="0"/>
                    <w:ind w:left="0" w:leftChars="0" w:right="0" w:rightChars="0"/>
                    <w:jc w:val="center"/>
                    <w:textAlignment w:val="center"/>
                    <w:rPr>
                      <w:rFonts w:hint="eastAsia" w:ascii="Times New Roman" w:hAnsi="Times New Roman" w:eastAsia="宋体" w:cs="Times New Roman"/>
                      <w:bCs/>
                      <w:kern w:val="0"/>
                      <w:sz w:val="21"/>
                      <w:szCs w:val="21"/>
                      <w:highlight w:val="none"/>
                      <w:lang w:val="en-US" w:eastAsia="zh-CN"/>
                    </w:rPr>
                  </w:pPr>
                  <w:r>
                    <w:rPr>
                      <w:rFonts w:hint="default" w:ascii="Times New Roman" w:hAnsi="Times New Roman" w:eastAsia="宋体" w:cs="Times New Roman"/>
                      <w:i w:val="0"/>
                      <w:iCs w:val="0"/>
                      <w:color w:val="000000"/>
                      <w:kern w:val="0"/>
                      <w:sz w:val="21"/>
                      <w:szCs w:val="21"/>
                      <w:highlight w:val="none"/>
                      <w:u w:val="none"/>
                      <w:lang w:val="en-US" w:eastAsia="zh-CN" w:bidi="ar"/>
                    </w:rPr>
                    <w:t>0.055</w:t>
                  </w:r>
                </w:p>
              </w:tc>
              <w:tc>
                <w:tcPr>
                  <w:tcW w:w="641" w:type="pct"/>
                  <w:shd w:val="clear" w:color="auto" w:fill="auto"/>
                  <w:noWrap w:val="0"/>
                  <w:tcMar>
                    <w:left w:w="57" w:type="dxa"/>
                    <w:right w:w="57" w:type="dxa"/>
                  </w:tcMar>
                  <w:vAlign w:val="center"/>
                </w:tcPr>
                <w:p w14:paraId="3B592B54">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64" w:lineRule="auto"/>
                    <w:ind w:left="0" w:leftChars="0" w:right="0" w:rightChars="0"/>
                    <w:jc w:val="center"/>
                    <w:textAlignment w:val="auto"/>
                    <w:rPr>
                      <w:rFonts w:hint="eastAsia" w:ascii="Times New Roman" w:hAnsi="Times New Roman" w:eastAsia="宋体" w:cs="Times New Roman"/>
                      <w:color w:val="auto"/>
                      <w:kern w:val="2"/>
                      <w:sz w:val="21"/>
                      <w:szCs w:val="21"/>
                      <w:highlight w:val="none"/>
                      <w:lang w:val="en-US" w:eastAsia="zh-CN" w:bidi="ar-SA"/>
                    </w:rPr>
                  </w:pPr>
                  <w:r>
                    <w:rPr>
                      <w:rFonts w:hint="eastAsia" w:cs="Times New Roman"/>
                      <w:bCs/>
                      <w:kern w:val="0"/>
                      <w:sz w:val="21"/>
                      <w:szCs w:val="21"/>
                      <w:highlight w:val="none"/>
                      <w:lang w:val="en-US" w:eastAsia="zh-CN"/>
                    </w:rPr>
                    <w:t xml:space="preserve">1.63 </w:t>
                  </w:r>
                </w:p>
              </w:tc>
              <w:tc>
                <w:tcPr>
                  <w:tcW w:w="513" w:type="pct"/>
                  <w:noWrap w:val="0"/>
                  <w:tcMar>
                    <w:left w:w="57" w:type="dxa"/>
                    <w:right w:w="57" w:type="dxa"/>
                  </w:tcMar>
                  <w:vAlign w:val="center"/>
                </w:tcPr>
                <w:p w14:paraId="78AA22AF">
                  <w:pPr>
                    <w:keepNext w:val="0"/>
                    <w:keepLines w:val="0"/>
                    <w:suppressLineNumbers w:val="0"/>
                    <w:adjustRightInd w:val="0"/>
                    <w:snapToGrid w:val="0"/>
                    <w:spacing w:before="0" w:beforeAutospacing="0" w:after="0" w:afterAutospacing="0" w:line="276" w:lineRule="auto"/>
                    <w:ind w:left="0" w:right="0"/>
                    <w:jc w:val="center"/>
                    <w:rPr>
                      <w:rFonts w:hint="eastAsia" w:ascii="Times New Roman" w:hAnsi="Times New Roman" w:eastAsia="宋体" w:cs="Times New Roman"/>
                      <w:kern w:val="0"/>
                      <w:sz w:val="21"/>
                      <w:szCs w:val="21"/>
                      <w:highlight w:val="none"/>
                      <w:lang w:val="en-US" w:eastAsia="zh-CN"/>
                    </w:rPr>
                  </w:pPr>
                  <w:r>
                    <w:rPr>
                      <w:rFonts w:hint="eastAsia" w:ascii="Times New Roman" w:hAnsi="Times New Roman" w:eastAsia="宋体" w:cs="Times New Roman"/>
                      <w:kern w:val="0"/>
                      <w:sz w:val="21"/>
                      <w:szCs w:val="21"/>
                      <w:highlight w:val="none"/>
                      <w:lang w:val="en-US" w:eastAsia="zh-CN"/>
                    </w:rPr>
                    <w:t>/</w:t>
                  </w:r>
                </w:p>
              </w:tc>
              <w:tc>
                <w:tcPr>
                  <w:tcW w:w="669" w:type="pct"/>
                  <w:noWrap w:val="0"/>
                  <w:tcMar>
                    <w:left w:w="57" w:type="dxa"/>
                    <w:right w:w="57" w:type="dxa"/>
                  </w:tcMar>
                  <w:vAlign w:val="center"/>
                </w:tcPr>
                <w:p w14:paraId="004281B8">
                  <w:pPr>
                    <w:keepNext w:val="0"/>
                    <w:keepLines w:val="0"/>
                    <w:widowControl/>
                    <w:suppressLineNumbers w:val="0"/>
                    <w:spacing w:before="0" w:beforeAutospacing="0" w:after="0" w:afterAutospacing="0" w:line="276" w:lineRule="auto"/>
                    <w:ind w:left="0" w:right="0"/>
                    <w:jc w:val="center"/>
                    <w:rPr>
                      <w:rFonts w:hint="eastAsia" w:ascii="Times New Roman" w:hAnsi="Times New Roman" w:eastAsia="宋体" w:cs="Times New Roman"/>
                      <w:kern w:val="0"/>
                      <w:sz w:val="21"/>
                      <w:szCs w:val="21"/>
                      <w:highlight w:val="none"/>
                      <w:lang w:val="en-US" w:eastAsia="zh-CN"/>
                    </w:rPr>
                  </w:pPr>
                  <w:r>
                    <w:rPr>
                      <w:rFonts w:hint="eastAsia" w:ascii="Times New Roman" w:hAnsi="Times New Roman" w:eastAsia="宋体" w:cs="Times New Roman"/>
                      <w:kern w:val="0"/>
                      <w:sz w:val="21"/>
                      <w:szCs w:val="21"/>
                      <w:highlight w:val="none"/>
                      <w:lang w:val="en-US" w:eastAsia="zh-CN"/>
                    </w:rPr>
                    <w:t>60</w:t>
                  </w:r>
                </w:p>
              </w:tc>
              <w:tc>
                <w:tcPr>
                  <w:tcW w:w="441" w:type="pct"/>
                  <w:noWrap w:val="0"/>
                  <w:tcMar>
                    <w:left w:w="57" w:type="dxa"/>
                    <w:right w:w="57" w:type="dxa"/>
                  </w:tcMar>
                  <w:vAlign w:val="center"/>
                </w:tcPr>
                <w:p w14:paraId="3CCDFD1D">
                  <w:pPr>
                    <w:keepNext w:val="0"/>
                    <w:keepLines w:val="0"/>
                    <w:suppressLineNumbers w:val="0"/>
                    <w:overflowPunct w:val="0"/>
                    <w:adjustRightInd w:val="0"/>
                    <w:snapToGrid w:val="0"/>
                    <w:spacing w:before="0" w:beforeAutospacing="0" w:after="0" w:afterAutospacing="0" w:line="276" w:lineRule="auto"/>
                    <w:ind w:left="0" w:right="0"/>
                    <w:jc w:val="center"/>
                    <w:rPr>
                      <w:rFonts w:hint="eastAsia" w:ascii="Times New Roman" w:hAnsi="Times New Roman" w:eastAsia="宋体" w:cs="Times New Roman"/>
                      <w:kern w:val="0"/>
                      <w:sz w:val="21"/>
                      <w:szCs w:val="21"/>
                      <w:highlight w:val="none"/>
                    </w:rPr>
                  </w:pPr>
                  <w:r>
                    <w:rPr>
                      <w:rFonts w:hint="eastAsia" w:ascii="Times New Roman" w:hAnsi="Times New Roman" w:eastAsia="宋体" w:cs="Times New Roman"/>
                      <w:kern w:val="0"/>
                      <w:sz w:val="21"/>
                      <w:szCs w:val="21"/>
                      <w:highlight w:val="none"/>
                    </w:rPr>
                    <w:t>达标</w:t>
                  </w:r>
                </w:p>
              </w:tc>
            </w:tr>
            <w:tr w14:paraId="4F9D15E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4" w:hRule="atLeast"/>
                <w:jc w:val="center"/>
              </w:trPr>
              <w:tc>
                <w:tcPr>
                  <w:tcW w:w="547" w:type="pct"/>
                  <w:shd w:val="clear" w:color="auto" w:fill="auto"/>
                  <w:noWrap w:val="0"/>
                  <w:tcMar>
                    <w:left w:w="57" w:type="dxa"/>
                    <w:right w:w="57" w:type="dxa"/>
                  </w:tcMar>
                  <w:vAlign w:val="center"/>
                </w:tcPr>
                <w:p w14:paraId="5EBB8D78">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64" w:lineRule="auto"/>
                    <w:ind w:left="0" w:right="0"/>
                    <w:jc w:val="center"/>
                    <w:textAlignment w:val="auto"/>
                    <w:rPr>
                      <w:rFonts w:hint="default" w:ascii="Times New Roman" w:hAnsi="Times New Roman" w:eastAsia="宋体" w:cs="Times New Roman"/>
                      <w:snapToGrid w:val="0"/>
                      <w:sz w:val="21"/>
                      <w:szCs w:val="21"/>
                      <w:highlight w:val="none"/>
                    </w:rPr>
                  </w:pPr>
                  <w:r>
                    <w:rPr>
                      <w:rFonts w:hint="eastAsia" w:ascii="Times New Roman" w:hAnsi="Times New Roman" w:eastAsia="宋体" w:cs="Times New Roman"/>
                      <w:bCs/>
                      <w:kern w:val="0"/>
                      <w:sz w:val="21"/>
                      <w:szCs w:val="21"/>
                      <w:highlight w:val="none"/>
                      <w:lang w:val="en-US" w:eastAsia="zh-CN"/>
                    </w:rPr>
                    <w:t>DA018</w:t>
                  </w:r>
                </w:p>
              </w:tc>
              <w:tc>
                <w:tcPr>
                  <w:tcW w:w="710" w:type="pct"/>
                  <w:shd w:val="clear" w:color="auto" w:fill="auto"/>
                  <w:noWrap w:val="0"/>
                  <w:tcMar>
                    <w:left w:w="57" w:type="dxa"/>
                    <w:right w:w="57" w:type="dxa"/>
                  </w:tcMar>
                  <w:vAlign w:val="center"/>
                </w:tcPr>
                <w:p w14:paraId="5CF5F000">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64" w:lineRule="auto"/>
                    <w:ind w:left="0" w:right="0"/>
                    <w:jc w:val="center"/>
                    <w:textAlignment w:val="auto"/>
                    <w:rPr>
                      <w:rFonts w:hint="eastAsia" w:ascii="Times New Roman" w:hAnsi="Times New Roman" w:eastAsia="宋体" w:cs="Times New Roman"/>
                      <w:snapToGrid w:val="0"/>
                      <w:sz w:val="21"/>
                      <w:szCs w:val="21"/>
                      <w:highlight w:val="none"/>
                      <w:lang w:val="en-US" w:eastAsia="zh-CN"/>
                    </w:rPr>
                  </w:pPr>
                  <w:r>
                    <w:rPr>
                      <w:rFonts w:hint="eastAsia" w:ascii="Times New Roman" w:hAnsi="Times New Roman" w:eastAsia="宋体" w:cs="Times New Roman"/>
                      <w:bCs/>
                      <w:kern w:val="0"/>
                      <w:sz w:val="21"/>
                      <w:szCs w:val="21"/>
                      <w:highlight w:val="none"/>
                      <w:lang w:val="en-US" w:eastAsia="zh-CN"/>
                    </w:rPr>
                    <w:t>18#排气筒</w:t>
                  </w:r>
                </w:p>
              </w:tc>
              <w:tc>
                <w:tcPr>
                  <w:tcW w:w="788" w:type="pct"/>
                  <w:shd w:val="clear" w:color="auto" w:fill="auto"/>
                  <w:noWrap w:val="0"/>
                  <w:tcMar>
                    <w:left w:w="57" w:type="dxa"/>
                    <w:right w:w="57" w:type="dxa"/>
                  </w:tcMar>
                  <w:vAlign w:val="center"/>
                </w:tcPr>
                <w:p w14:paraId="05F169AB">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64" w:lineRule="auto"/>
                    <w:ind w:left="0" w:right="0"/>
                    <w:jc w:val="center"/>
                    <w:textAlignment w:val="auto"/>
                    <w:rPr>
                      <w:rFonts w:hint="eastAsia" w:ascii="Times New Roman" w:hAnsi="Times New Roman" w:eastAsia="宋体" w:cs="Times New Roman"/>
                      <w:bCs/>
                      <w:kern w:val="0"/>
                      <w:sz w:val="21"/>
                      <w:szCs w:val="21"/>
                      <w:highlight w:val="none"/>
                      <w:lang w:val="en-US" w:eastAsia="zh-CN"/>
                    </w:rPr>
                  </w:pPr>
                  <w:r>
                    <w:rPr>
                      <w:rFonts w:hint="eastAsia" w:ascii="Times New Roman" w:hAnsi="Times New Roman" w:eastAsia="宋体" w:cs="Times New Roman"/>
                      <w:bCs/>
                      <w:kern w:val="0"/>
                      <w:sz w:val="21"/>
                      <w:szCs w:val="21"/>
                      <w:highlight w:val="none"/>
                      <w:lang w:val="en-US" w:eastAsia="zh-CN"/>
                    </w:rPr>
                    <w:t>非甲烷总烃</w:t>
                  </w:r>
                </w:p>
              </w:tc>
              <w:tc>
                <w:tcPr>
                  <w:tcW w:w="687" w:type="pct"/>
                  <w:shd w:val="clear" w:color="auto" w:fill="auto"/>
                  <w:noWrap w:val="0"/>
                  <w:tcMar>
                    <w:left w:w="57" w:type="dxa"/>
                    <w:right w:w="57" w:type="dxa"/>
                  </w:tcMar>
                  <w:vAlign w:val="center"/>
                </w:tcPr>
                <w:p w14:paraId="77DBE441">
                  <w:pPr>
                    <w:keepNext w:val="0"/>
                    <w:keepLines w:val="0"/>
                    <w:widowControl/>
                    <w:suppressLineNumbers w:val="0"/>
                    <w:spacing w:before="0" w:beforeAutospacing="0" w:after="0" w:afterAutospacing="0"/>
                    <w:ind w:left="0" w:leftChars="0" w:right="0" w:rightChars="0"/>
                    <w:jc w:val="center"/>
                    <w:textAlignment w:val="center"/>
                    <w:rPr>
                      <w:rFonts w:hint="eastAsia" w:ascii="Times New Roman" w:hAnsi="Times New Roman" w:eastAsia="宋体" w:cs="Times New Roman"/>
                      <w:bCs/>
                      <w:kern w:val="0"/>
                      <w:sz w:val="21"/>
                      <w:szCs w:val="21"/>
                      <w:highlight w:val="none"/>
                      <w:lang w:val="en-US" w:eastAsia="zh-CN"/>
                    </w:rPr>
                  </w:pPr>
                  <w:r>
                    <w:rPr>
                      <w:rFonts w:hint="default" w:ascii="Times New Roman" w:hAnsi="Times New Roman" w:eastAsia="宋体" w:cs="Times New Roman"/>
                      <w:i w:val="0"/>
                      <w:iCs w:val="0"/>
                      <w:color w:val="000000"/>
                      <w:kern w:val="0"/>
                      <w:sz w:val="21"/>
                      <w:szCs w:val="21"/>
                      <w:highlight w:val="none"/>
                      <w:u w:val="none"/>
                      <w:lang w:val="en-US" w:eastAsia="zh-CN" w:bidi="ar"/>
                    </w:rPr>
                    <w:t>0.082</w:t>
                  </w:r>
                </w:p>
              </w:tc>
              <w:tc>
                <w:tcPr>
                  <w:tcW w:w="641" w:type="pct"/>
                  <w:shd w:val="clear" w:color="auto" w:fill="auto"/>
                  <w:noWrap w:val="0"/>
                  <w:tcMar>
                    <w:left w:w="57" w:type="dxa"/>
                    <w:right w:w="57" w:type="dxa"/>
                  </w:tcMar>
                  <w:vAlign w:val="center"/>
                </w:tcPr>
                <w:p w14:paraId="5364A512">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64" w:lineRule="auto"/>
                    <w:ind w:left="0" w:leftChars="0" w:right="0" w:rightChars="0"/>
                    <w:jc w:val="center"/>
                    <w:textAlignment w:val="auto"/>
                    <w:rPr>
                      <w:rFonts w:hint="eastAsia" w:ascii="Times New Roman" w:hAnsi="Times New Roman" w:eastAsia="宋体" w:cs="Times New Roman"/>
                      <w:color w:val="auto"/>
                      <w:kern w:val="2"/>
                      <w:sz w:val="21"/>
                      <w:szCs w:val="21"/>
                      <w:highlight w:val="none"/>
                      <w:lang w:val="en-US" w:eastAsia="zh-CN" w:bidi="ar-SA"/>
                    </w:rPr>
                  </w:pPr>
                  <w:r>
                    <w:rPr>
                      <w:rFonts w:hint="eastAsia" w:cs="Times New Roman"/>
                      <w:bCs/>
                      <w:kern w:val="0"/>
                      <w:sz w:val="21"/>
                      <w:szCs w:val="21"/>
                      <w:highlight w:val="none"/>
                      <w:lang w:val="en-US" w:eastAsia="zh-CN"/>
                    </w:rPr>
                    <w:t xml:space="preserve">1.61 </w:t>
                  </w:r>
                </w:p>
              </w:tc>
              <w:tc>
                <w:tcPr>
                  <w:tcW w:w="513" w:type="pct"/>
                  <w:noWrap w:val="0"/>
                  <w:tcMar>
                    <w:left w:w="57" w:type="dxa"/>
                    <w:right w:w="57" w:type="dxa"/>
                  </w:tcMar>
                  <w:vAlign w:val="center"/>
                </w:tcPr>
                <w:p w14:paraId="42E0E181">
                  <w:pPr>
                    <w:keepNext w:val="0"/>
                    <w:keepLines w:val="0"/>
                    <w:suppressLineNumbers w:val="0"/>
                    <w:adjustRightInd w:val="0"/>
                    <w:snapToGrid w:val="0"/>
                    <w:spacing w:before="0" w:beforeAutospacing="0" w:after="0" w:afterAutospacing="0" w:line="276" w:lineRule="auto"/>
                    <w:ind w:left="0" w:right="0"/>
                    <w:jc w:val="center"/>
                    <w:rPr>
                      <w:rFonts w:hint="eastAsia" w:ascii="Times New Roman" w:hAnsi="Times New Roman" w:eastAsia="宋体" w:cs="Times New Roman"/>
                      <w:kern w:val="0"/>
                      <w:sz w:val="21"/>
                      <w:szCs w:val="21"/>
                      <w:highlight w:val="none"/>
                      <w:lang w:val="en-US" w:eastAsia="zh-CN"/>
                    </w:rPr>
                  </w:pPr>
                  <w:r>
                    <w:rPr>
                      <w:rFonts w:hint="eastAsia" w:ascii="Times New Roman" w:hAnsi="Times New Roman" w:eastAsia="宋体" w:cs="Times New Roman"/>
                      <w:kern w:val="0"/>
                      <w:sz w:val="21"/>
                      <w:szCs w:val="21"/>
                      <w:highlight w:val="none"/>
                      <w:lang w:val="en-US" w:eastAsia="zh-CN"/>
                    </w:rPr>
                    <w:t>/</w:t>
                  </w:r>
                </w:p>
              </w:tc>
              <w:tc>
                <w:tcPr>
                  <w:tcW w:w="669" w:type="pct"/>
                  <w:noWrap w:val="0"/>
                  <w:tcMar>
                    <w:left w:w="57" w:type="dxa"/>
                    <w:right w:w="57" w:type="dxa"/>
                  </w:tcMar>
                  <w:vAlign w:val="center"/>
                </w:tcPr>
                <w:p w14:paraId="14A9E15F">
                  <w:pPr>
                    <w:keepNext w:val="0"/>
                    <w:keepLines w:val="0"/>
                    <w:widowControl/>
                    <w:suppressLineNumbers w:val="0"/>
                    <w:spacing w:before="0" w:beforeAutospacing="0" w:after="0" w:afterAutospacing="0" w:line="276" w:lineRule="auto"/>
                    <w:ind w:left="0" w:right="0"/>
                    <w:jc w:val="center"/>
                    <w:rPr>
                      <w:rFonts w:hint="eastAsia" w:ascii="Times New Roman" w:hAnsi="Times New Roman" w:eastAsia="宋体" w:cs="Times New Roman"/>
                      <w:kern w:val="0"/>
                      <w:sz w:val="21"/>
                      <w:szCs w:val="21"/>
                      <w:highlight w:val="none"/>
                      <w:lang w:val="en-US" w:eastAsia="zh-CN"/>
                    </w:rPr>
                  </w:pPr>
                  <w:r>
                    <w:rPr>
                      <w:rFonts w:hint="eastAsia" w:ascii="Times New Roman" w:hAnsi="Times New Roman" w:eastAsia="宋体" w:cs="Times New Roman"/>
                      <w:kern w:val="0"/>
                      <w:sz w:val="21"/>
                      <w:szCs w:val="21"/>
                      <w:highlight w:val="none"/>
                      <w:lang w:val="en-US" w:eastAsia="zh-CN"/>
                    </w:rPr>
                    <w:t>60</w:t>
                  </w:r>
                </w:p>
              </w:tc>
              <w:tc>
                <w:tcPr>
                  <w:tcW w:w="441" w:type="pct"/>
                  <w:noWrap w:val="0"/>
                  <w:tcMar>
                    <w:left w:w="57" w:type="dxa"/>
                    <w:right w:w="57" w:type="dxa"/>
                  </w:tcMar>
                  <w:vAlign w:val="center"/>
                </w:tcPr>
                <w:p w14:paraId="6554870C">
                  <w:pPr>
                    <w:keepNext w:val="0"/>
                    <w:keepLines w:val="0"/>
                    <w:suppressLineNumbers w:val="0"/>
                    <w:overflowPunct w:val="0"/>
                    <w:adjustRightInd w:val="0"/>
                    <w:snapToGrid w:val="0"/>
                    <w:spacing w:before="0" w:beforeAutospacing="0" w:after="0" w:afterAutospacing="0" w:line="276" w:lineRule="auto"/>
                    <w:ind w:left="0" w:right="0"/>
                    <w:jc w:val="center"/>
                    <w:rPr>
                      <w:rFonts w:hint="eastAsia" w:ascii="Times New Roman" w:hAnsi="Times New Roman" w:eastAsia="宋体" w:cs="Times New Roman"/>
                      <w:kern w:val="0"/>
                      <w:sz w:val="21"/>
                      <w:szCs w:val="21"/>
                      <w:highlight w:val="none"/>
                    </w:rPr>
                  </w:pPr>
                  <w:r>
                    <w:rPr>
                      <w:rFonts w:hint="eastAsia" w:ascii="Times New Roman" w:hAnsi="Times New Roman" w:eastAsia="宋体" w:cs="Times New Roman"/>
                      <w:kern w:val="0"/>
                      <w:sz w:val="21"/>
                      <w:szCs w:val="21"/>
                      <w:highlight w:val="none"/>
                    </w:rPr>
                    <w:t>达标</w:t>
                  </w:r>
                </w:p>
              </w:tc>
            </w:tr>
            <w:tr w14:paraId="7D1B074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4" w:hRule="atLeast"/>
                <w:jc w:val="center"/>
              </w:trPr>
              <w:tc>
                <w:tcPr>
                  <w:tcW w:w="547" w:type="pct"/>
                  <w:shd w:val="clear" w:color="auto" w:fill="auto"/>
                  <w:noWrap w:val="0"/>
                  <w:tcMar>
                    <w:left w:w="57" w:type="dxa"/>
                    <w:right w:w="57" w:type="dxa"/>
                  </w:tcMar>
                  <w:vAlign w:val="center"/>
                </w:tcPr>
                <w:p w14:paraId="7B4DCD33">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64" w:lineRule="auto"/>
                    <w:ind w:left="0" w:right="0"/>
                    <w:jc w:val="center"/>
                    <w:textAlignment w:val="auto"/>
                    <w:rPr>
                      <w:rFonts w:hint="default" w:ascii="Times New Roman" w:hAnsi="Times New Roman" w:eastAsia="宋体" w:cs="Times New Roman"/>
                      <w:snapToGrid w:val="0"/>
                      <w:sz w:val="21"/>
                      <w:szCs w:val="21"/>
                      <w:highlight w:val="none"/>
                    </w:rPr>
                  </w:pPr>
                  <w:r>
                    <w:rPr>
                      <w:rFonts w:hint="eastAsia" w:ascii="Times New Roman" w:hAnsi="Times New Roman" w:eastAsia="宋体" w:cs="Times New Roman"/>
                      <w:bCs/>
                      <w:kern w:val="0"/>
                      <w:sz w:val="21"/>
                      <w:szCs w:val="21"/>
                      <w:highlight w:val="none"/>
                      <w:lang w:val="en-US" w:eastAsia="zh-CN"/>
                    </w:rPr>
                    <w:t>DA019</w:t>
                  </w:r>
                </w:p>
              </w:tc>
              <w:tc>
                <w:tcPr>
                  <w:tcW w:w="710" w:type="pct"/>
                  <w:shd w:val="clear" w:color="auto" w:fill="auto"/>
                  <w:noWrap w:val="0"/>
                  <w:tcMar>
                    <w:left w:w="57" w:type="dxa"/>
                    <w:right w:w="57" w:type="dxa"/>
                  </w:tcMar>
                  <w:vAlign w:val="center"/>
                </w:tcPr>
                <w:p w14:paraId="229054A9">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64" w:lineRule="auto"/>
                    <w:ind w:left="0" w:right="0"/>
                    <w:jc w:val="center"/>
                    <w:textAlignment w:val="auto"/>
                    <w:rPr>
                      <w:rFonts w:hint="eastAsia" w:ascii="Times New Roman" w:hAnsi="Times New Roman" w:eastAsia="宋体" w:cs="Times New Roman"/>
                      <w:snapToGrid w:val="0"/>
                      <w:sz w:val="21"/>
                      <w:szCs w:val="21"/>
                      <w:highlight w:val="none"/>
                      <w:lang w:val="en-US" w:eastAsia="zh-CN"/>
                    </w:rPr>
                  </w:pPr>
                  <w:r>
                    <w:rPr>
                      <w:rFonts w:hint="eastAsia" w:ascii="Times New Roman" w:hAnsi="Times New Roman" w:eastAsia="宋体" w:cs="Times New Roman"/>
                      <w:bCs/>
                      <w:kern w:val="0"/>
                      <w:sz w:val="21"/>
                      <w:szCs w:val="21"/>
                      <w:highlight w:val="none"/>
                      <w:lang w:val="en-US" w:eastAsia="zh-CN"/>
                    </w:rPr>
                    <w:t>19#排气筒</w:t>
                  </w:r>
                </w:p>
              </w:tc>
              <w:tc>
                <w:tcPr>
                  <w:tcW w:w="788" w:type="pct"/>
                  <w:shd w:val="clear" w:color="auto" w:fill="auto"/>
                  <w:noWrap w:val="0"/>
                  <w:tcMar>
                    <w:left w:w="57" w:type="dxa"/>
                    <w:right w:w="57" w:type="dxa"/>
                  </w:tcMar>
                  <w:vAlign w:val="center"/>
                </w:tcPr>
                <w:p w14:paraId="1292676C">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64" w:lineRule="auto"/>
                    <w:ind w:left="0" w:right="0"/>
                    <w:jc w:val="center"/>
                    <w:textAlignment w:val="auto"/>
                    <w:rPr>
                      <w:rFonts w:hint="eastAsia" w:ascii="Times New Roman" w:hAnsi="Times New Roman" w:eastAsia="宋体" w:cs="Times New Roman"/>
                      <w:bCs/>
                      <w:kern w:val="0"/>
                      <w:sz w:val="21"/>
                      <w:szCs w:val="21"/>
                      <w:highlight w:val="none"/>
                      <w:lang w:val="en-US" w:eastAsia="zh-CN"/>
                    </w:rPr>
                  </w:pPr>
                  <w:r>
                    <w:rPr>
                      <w:rFonts w:hint="eastAsia" w:ascii="Times New Roman" w:hAnsi="Times New Roman" w:eastAsia="宋体" w:cs="Times New Roman"/>
                      <w:bCs/>
                      <w:kern w:val="0"/>
                      <w:sz w:val="21"/>
                      <w:szCs w:val="21"/>
                      <w:highlight w:val="none"/>
                      <w:lang w:val="en-US" w:eastAsia="zh-CN"/>
                    </w:rPr>
                    <w:t>非甲烷总烃</w:t>
                  </w:r>
                </w:p>
              </w:tc>
              <w:tc>
                <w:tcPr>
                  <w:tcW w:w="687" w:type="pct"/>
                  <w:shd w:val="clear" w:color="auto" w:fill="auto"/>
                  <w:noWrap w:val="0"/>
                  <w:tcMar>
                    <w:left w:w="57" w:type="dxa"/>
                    <w:right w:w="57" w:type="dxa"/>
                  </w:tcMar>
                  <w:vAlign w:val="center"/>
                </w:tcPr>
                <w:p w14:paraId="242EAB41">
                  <w:pPr>
                    <w:keepNext w:val="0"/>
                    <w:keepLines w:val="0"/>
                    <w:widowControl/>
                    <w:suppressLineNumbers w:val="0"/>
                    <w:spacing w:before="0" w:beforeAutospacing="0" w:after="0" w:afterAutospacing="0"/>
                    <w:ind w:left="0" w:leftChars="0" w:right="0" w:rightChars="0"/>
                    <w:jc w:val="center"/>
                    <w:textAlignment w:val="center"/>
                    <w:rPr>
                      <w:rFonts w:hint="eastAsia" w:ascii="Times New Roman" w:hAnsi="Times New Roman" w:eastAsia="宋体" w:cs="Times New Roman"/>
                      <w:bCs/>
                      <w:kern w:val="0"/>
                      <w:sz w:val="21"/>
                      <w:szCs w:val="21"/>
                      <w:highlight w:val="none"/>
                      <w:lang w:val="en-US" w:eastAsia="zh-CN" w:bidi="ar-SA"/>
                    </w:rPr>
                  </w:pPr>
                  <w:r>
                    <w:rPr>
                      <w:rFonts w:hint="default" w:ascii="Times New Roman" w:hAnsi="Times New Roman" w:eastAsia="宋体" w:cs="Times New Roman"/>
                      <w:i w:val="0"/>
                      <w:iCs w:val="0"/>
                      <w:color w:val="000000"/>
                      <w:kern w:val="0"/>
                      <w:sz w:val="21"/>
                      <w:szCs w:val="21"/>
                      <w:highlight w:val="none"/>
                      <w:u w:val="none"/>
                      <w:lang w:val="en-US" w:eastAsia="zh-CN" w:bidi="ar"/>
                    </w:rPr>
                    <w:t>0.041</w:t>
                  </w:r>
                </w:p>
              </w:tc>
              <w:tc>
                <w:tcPr>
                  <w:tcW w:w="641" w:type="pct"/>
                  <w:shd w:val="clear" w:color="auto" w:fill="auto"/>
                  <w:noWrap w:val="0"/>
                  <w:tcMar>
                    <w:left w:w="57" w:type="dxa"/>
                    <w:right w:w="57" w:type="dxa"/>
                  </w:tcMar>
                  <w:vAlign w:val="center"/>
                </w:tcPr>
                <w:p w14:paraId="5A6C27F4">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64" w:lineRule="auto"/>
                    <w:ind w:left="0" w:leftChars="0" w:right="0" w:rightChars="0"/>
                    <w:jc w:val="center"/>
                    <w:textAlignment w:val="auto"/>
                    <w:rPr>
                      <w:rFonts w:hint="eastAsia" w:ascii="Times New Roman" w:hAnsi="Times New Roman" w:eastAsia="宋体" w:cs="Times New Roman"/>
                      <w:bCs/>
                      <w:kern w:val="0"/>
                      <w:sz w:val="21"/>
                      <w:szCs w:val="21"/>
                      <w:highlight w:val="none"/>
                      <w:lang w:val="en-US" w:eastAsia="zh-CN" w:bidi="ar-SA"/>
                    </w:rPr>
                  </w:pPr>
                  <w:r>
                    <w:rPr>
                      <w:rFonts w:hint="eastAsia" w:cs="Times New Roman"/>
                      <w:bCs/>
                      <w:kern w:val="0"/>
                      <w:sz w:val="21"/>
                      <w:szCs w:val="21"/>
                      <w:highlight w:val="none"/>
                      <w:lang w:val="en-US" w:eastAsia="zh-CN"/>
                    </w:rPr>
                    <w:t xml:space="preserve">1.19 </w:t>
                  </w:r>
                </w:p>
              </w:tc>
              <w:tc>
                <w:tcPr>
                  <w:tcW w:w="513" w:type="pct"/>
                  <w:noWrap w:val="0"/>
                  <w:tcMar>
                    <w:left w:w="57" w:type="dxa"/>
                    <w:right w:w="57" w:type="dxa"/>
                  </w:tcMar>
                  <w:vAlign w:val="center"/>
                </w:tcPr>
                <w:p w14:paraId="209781B7">
                  <w:pPr>
                    <w:keepNext w:val="0"/>
                    <w:keepLines w:val="0"/>
                    <w:suppressLineNumbers w:val="0"/>
                    <w:adjustRightInd w:val="0"/>
                    <w:snapToGrid w:val="0"/>
                    <w:spacing w:before="0" w:beforeAutospacing="0" w:after="0" w:afterAutospacing="0" w:line="276" w:lineRule="auto"/>
                    <w:ind w:left="0" w:right="0"/>
                    <w:jc w:val="center"/>
                    <w:rPr>
                      <w:rFonts w:hint="eastAsia" w:ascii="Times New Roman" w:hAnsi="Times New Roman" w:eastAsia="宋体" w:cs="Times New Roman"/>
                      <w:kern w:val="0"/>
                      <w:sz w:val="21"/>
                      <w:szCs w:val="21"/>
                      <w:highlight w:val="none"/>
                      <w:lang w:val="en-US" w:eastAsia="zh-CN"/>
                    </w:rPr>
                  </w:pPr>
                  <w:r>
                    <w:rPr>
                      <w:rFonts w:hint="eastAsia" w:ascii="Times New Roman" w:hAnsi="Times New Roman" w:eastAsia="宋体" w:cs="Times New Roman"/>
                      <w:kern w:val="0"/>
                      <w:sz w:val="21"/>
                      <w:szCs w:val="21"/>
                      <w:highlight w:val="none"/>
                      <w:lang w:val="en-US" w:eastAsia="zh-CN"/>
                    </w:rPr>
                    <w:t>/</w:t>
                  </w:r>
                </w:p>
              </w:tc>
              <w:tc>
                <w:tcPr>
                  <w:tcW w:w="669" w:type="pct"/>
                  <w:noWrap w:val="0"/>
                  <w:tcMar>
                    <w:left w:w="57" w:type="dxa"/>
                    <w:right w:w="57" w:type="dxa"/>
                  </w:tcMar>
                  <w:vAlign w:val="center"/>
                </w:tcPr>
                <w:p w14:paraId="7D299F6C">
                  <w:pPr>
                    <w:keepNext w:val="0"/>
                    <w:keepLines w:val="0"/>
                    <w:widowControl/>
                    <w:suppressLineNumbers w:val="0"/>
                    <w:spacing w:before="0" w:beforeAutospacing="0" w:after="0" w:afterAutospacing="0" w:line="276" w:lineRule="auto"/>
                    <w:ind w:left="0" w:right="0"/>
                    <w:jc w:val="center"/>
                    <w:rPr>
                      <w:rFonts w:hint="eastAsia" w:ascii="Times New Roman" w:hAnsi="Times New Roman" w:eastAsia="宋体" w:cs="Times New Roman"/>
                      <w:kern w:val="0"/>
                      <w:sz w:val="21"/>
                      <w:szCs w:val="21"/>
                      <w:highlight w:val="none"/>
                      <w:lang w:val="en-US" w:eastAsia="zh-CN"/>
                    </w:rPr>
                  </w:pPr>
                  <w:r>
                    <w:rPr>
                      <w:rFonts w:hint="eastAsia" w:ascii="Times New Roman" w:hAnsi="Times New Roman" w:eastAsia="宋体" w:cs="Times New Roman"/>
                      <w:kern w:val="0"/>
                      <w:sz w:val="21"/>
                      <w:szCs w:val="21"/>
                      <w:highlight w:val="none"/>
                      <w:lang w:val="en-US" w:eastAsia="zh-CN"/>
                    </w:rPr>
                    <w:t>60</w:t>
                  </w:r>
                </w:p>
              </w:tc>
              <w:tc>
                <w:tcPr>
                  <w:tcW w:w="441" w:type="pct"/>
                  <w:noWrap w:val="0"/>
                  <w:tcMar>
                    <w:left w:w="57" w:type="dxa"/>
                    <w:right w:w="57" w:type="dxa"/>
                  </w:tcMar>
                  <w:vAlign w:val="center"/>
                </w:tcPr>
                <w:p w14:paraId="25899E58">
                  <w:pPr>
                    <w:keepNext w:val="0"/>
                    <w:keepLines w:val="0"/>
                    <w:suppressLineNumbers w:val="0"/>
                    <w:overflowPunct w:val="0"/>
                    <w:adjustRightInd w:val="0"/>
                    <w:snapToGrid w:val="0"/>
                    <w:spacing w:before="0" w:beforeAutospacing="0" w:after="0" w:afterAutospacing="0" w:line="276" w:lineRule="auto"/>
                    <w:ind w:left="0" w:right="0"/>
                    <w:jc w:val="center"/>
                    <w:rPr>
                      <w:rFonts w:hint="eastAsia" w:ascii="Times New Roman" w:hAnsi="Times New Roman" w:eastAsia="宋体" w:cs="Times New Roman"/>
                      <w:kern w:val="0"/>
                      <w:sz w:val="21"/>
                      <w:szCs w:val="21"/>
                      <w:highlight w:val="none"/>
                    </w:rPr>
                  </w:pPr>
                  <w:r>
                    <w:rPr>
                      <w:rFonts w:hint="eastAsia" w:ascii="Times New Roman" w:hAnsi="Times New Roman" w:eastAsia="宋体" w:cs="Times New Roman"/>
                      <w:kern w:val="0"/>
                      <w:sz w:val="21"/>
                      <w:szCs w:val="21"/>
                      <w:highlight w:val="none"/>
                    </w:rPr>
                    <w:t>达标</w:t>
                  </w:r>
                </w:p>
              </w:tc>
            </w:tr>
            <w:tr w14:paraId="5DB93F2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4" w:hRule="atLeast"/>
                <w:jc w:val="center"/>
              </w:trPr>
              <w:tc>
                <w:tcPr>
                  <w:tcW w:w="547" w:type="pct"/>
                  <w:shd w:val="clear" w:color="auto" w:fill="auto"/>
                  <w:noWrap w:val="0"/>
                  <w:tcMar>
                    <w:left w:w="57" w:type="dxa"/>
                    <w:right w:w="57" w:type="dxa"/>
                  </w:tcMar>
                  <w:vAlign w:val="center"/>
                </w:tcPr>
                <w:p w14:paraId="75FBB79B">
                  <w:pPr>
                    <w:keepNext w:val="0"/>
                    <w:keepLines w:val="0"/>
                    <w:widowControl/>
                    <w:suppressLineNumbers w:val="0"/>
                    <w:adjustRightInd w:val="0"/>
                    <w:snapToGrid w:val="0"/>
                    <w:spacing w:before="0" w:beforeAutospacing="0" w:after="0" w:afterAutospacing="0" w:line="276" w:lineRule="auto"/>
                    <w:ind w:left="0" w:right="0"/>
                    <w:jc w:val="center"/>
                    <w:rPr>
                      <w:rFonts w:hint="default" w:ascii="Times New Roman" w:hAnsi="Times New Roman" w:eastAsia="宋体" w:cs="Times New Roman"/>
                      <w:snapToGrid w:val="0"/>
                      <w:sz w:val="21"/>
                      <w:szCs w:val="21"/>
                      <w:highlight w:val="none"/>
                      <w:lang w:val="en-US" w:eastAsia="zh-CN"/>
                    </w:rPr>
                  </w:pPr>
                  <w:r>
                    <w:rPr>
                      <w:rFonts w:hint="eastAsia" w:ascii="Times New Roman" w:hAnsi="Times New Roman" w:eastAsia="宋体" w:cs="Times New Roman"/>
                      <w:snapToGrid w:val="0"/>
                      <w:sz w:val="21"/>
                      <w:szCs w:val="21"/>
                      <w:highlight w:val="none"/>
                      <w:lang w:val="en-US" w:eastAsia="zh-CN"/>
                    </w:rPr>
                    <w:t>DA020</w:t>
                  </w:r>
                </w:p>
              </w:tc>
              <w:tc>
                <w:tcPr>
                  <w:tcW w:w="710" w:type="pct"/>
                  <w:shd w:val="clear" w:color="auto" w:fill="auto"/>
                  <w:noWrap w:val="0"/>
                  <w:tcMar>
                    <w:left w:w="57" w:type="dxa"/>
                    <w:right w:w="57" w:type="dxa"/>
                  </w:tcMar>
                  <w:vAlign w:val="center"/>
                </w:tcPr>
                <w:p w14:paraId="1AD7E7BD">
                  <w:pPr>
                    <w:keepNext w:val="0"/>
                    <w:keepLines w:val="0"/>
                    <w:widowControl/>
                    <w:suppressLineNumbers w:val="0"/>
                    <w:adjustRightInd w:val="0"/>
                    <w:snapToGrid w:val="0"/>
                    <w:spacing w:before="0" w:beforeAutospacing="0" w:after="0" w:afterAutospacing="0" w:line="276" w:lineRule="auto"/>
                    <w:ind w:left="0" w:right="0"/>
                    <w:jc w:val="center"/>
                    <w:rPr>
                      <w:rFonts w:hint="default" w:ascii="Times New Roman" w:hAnsi="Times New Roman" w:eastAsia="宋体" w:cs="Times New Roman"/>
                      <w:snapToGrid w:val="0"/>
                      <w:sz w:val="21"/>
                      <w:szCs w:val="21"/>
                      <w:highlight w:val="none"/>
                      <w:lang w:val="en-US" w:eastAsia="zh-CN"/>
                    </w:rPr>
                  </w:pPr>
                  <w:r>
                    <w:rPr>
                      <w:rFonts w:hint="eastAsia" w:ascii="Times New Roman" w:hAnsi="Times New Roman" w:eastAsia="宋体" w:cs="Times New Roman"/>
                      <w:snapToGrid w:val="0"/>
                      <w:sz w:val="21"/>
                      <w:szCs w:val="21"/>
                      <w:highlight w:val="none"/>
                      <w:lang w:val="en-US" w:eastAsia="zh-CN"/>
                    </w:rPr>
                    <w:t>20#</w:t>
                  </w:r>
                  <w:r>
                    <w:rPr>
                      <w:rFonts w:hint="eastAsia" w:ascii="Times New Roman" w:hAnsi="Times New Roman" w:eastAsia="宋体" w:cs="Times New Roman"/>
                      <w:bCs/>
                      <w:kern w:val="0"/>
                      <w:sz w:val="21"/>
                      <w:szCs w:val="21"/>
                      <w:highlight w:val="none"/>
                      <w:lang w:val="en-US" w:eastAsia="zh-CN"/>
                    </w:rPr>
                    <w:t>排气筒</w:t>
                  </w:r>
                </w:p>
              </w:tc>
              <w:tc>
                <w:tcPr>
                  <w:tcW w:w="788" w:type="pct"/>
                  <w:shd w:val="clear" w:color="auto" w:fill="auto"/>
                  <w:noWrap w:val="0"/>
                  <w:tcMar>
                    <w:left w:w="57" w:type="dxa"/>
                    <w:right w:w="57" w:type="dxa"/>
                  </w:tcMar>
                  <w:vAlign w:val="center"/>
                </w:tcPr>
                <w:p w14:paraId="66E6FB25">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64" w:lineRule="auto"/>
                    <w:ind w:left="0" w:right="0"/>
                    <w:jc w:val="center"/>
                    <w:textAlignment w:val="auto"/>
                    <w:rPr>
                      <w:rFonts w:hint="default" w:ascii="Times New Roman" w:hAnsi="Times New Roman" w:eastAsia="宋体" w:cs="Times New Roman"/>
                      <w:bCs/>
                      <w:kern w:val="0"/>
                      <w:sz w:val="21"/>
                      <w:szCs w:val="21"/>
                      <w:highlight w:val="none"/>
                      <w:lang w:val="en-US" w:eastAsia="zh-CN"/>
                    </w:rPr>
                  </w:pPr>
                  <w:r>
                    <w:rPr>
                      <w:rFonts w:hint="eastAsia" w:ascii="Times New Roman" w:hAnsi="Times New Roman" w:eastAsia="宋体" w:cs="Times New Roman"/>
                      <w:bCs/>
                      <w:kern w:val="0"/>
                      <w:sz w:val="21"/>
                      <w:szCs w:val="21"/>
                      <w:highlight w:val="none"/>
                      <w:lang w:val="en-US" w:eastAsia="zh-CN"/>
                    </w:rPr>
                    <w:t>油烟</w:t>
                  </w:r>
                </w:p>
              </w:tc>
              <w:tc>
                <w:tcPr>
                  <w:tcW w:w="687" w:type="pct"/>
                  <w:shd w:val="clear" w:color="auto" w:fill="auto"/>
                  <w:noWrap w:val="0"/>
                  <w:tcMar>
                    <w:left w:w="57" w:type="dxa"/>
                    <w:right w:w="57" w:type="dxa"/>
                  </w:tcMar>
                  <w:vAlign w:val="center"/>
                </w:tcPr>
                <w:p w14:paraId="161ED18F">
                  <w:pPr>
                    <w:keepNext w:val="0"/>
                    <w:keepLines w:val="0"/>
                    <w:suppressLineNumbers w:val="0"/>
                    <w:spacing w:before="0" w:beforeAutospacing="0" w:after="0" w:afterAutospacing="0"/>
                    <w:ind w:left="0" w:right="0"/>
                    <w:jc w:val="center"/>
                    <w:rPr>
                      <w:rFonts w:hint="eastAsia" w:ascii="Times New Roman" w:hAnsi="Times New Roman" w:eastAsia="宋体" w:cs="Times New Roman"/>
                      <w:bCs/>
                      <w:kern w:val="0"/>
                      <w:sz w:val="21"/>
                      <w:szCs w:val="21"/>
                      <w:highlight w:val="none"/>
                      <w:lang w:val="en-US" w:eastAsia="zh-CN"/>
                    </w:rPr>
                  </w:pPr>
                  <w:r>
                    <w:rPr>
                      <w:rFonts w:hint="eastAsia" w:ascii="Times New Roman" w:hAnsi="Times New Roman" w:eastAsia="宋体" w:cs="Times New Roman"/>
                      <w:sz w:val="21"/>
                      <w:szCs w:val="21"/>
                      <w:highlight w:val="none"/>
                      <w:lang w:val="en-US" w:eastAsia="zh-CN"/>
                    </w:rPr>
                    <w:t>0.010</w:t>
                  </w:r>
                </w:p>
              </w:tc>
              <w:tc>
                <w:tcPr>
                  <w:tcW w:w="641" w:type="pct"/>
                  <w:shd w:val="clear" w:color="auto" w:fill="auto"/>
                  <w:noWrap w:val="0"/>
                  <w:tcMar>
                    <w:left w:w="57" w:type="dxa"/>
                    <w:right w:w="57" w:type="dxa"/>
                  </w:tcMar>
                  <w:vAlign w:val="center"/>
                </w:tcPr>
                <w:p w14:paraId="5EEE0226">
                  <w:pPr>
                    <w:keepNext w:val="0"/>
                    <w:keepLines w:val="0"/>
                    <w:suppressLineNumbers w:val="0"/>
                    <w:spacing w:before="0" w:beforeAutospacing="0" w:after="0" w:afterAutospacing="0"/>
                    <w:ind w:left="0" w:right="0"/>
                    <w:jc w:val="center"/>
                    <w:rPr>
                      <w:rFonts w:hint="eastAsia" w:ascii="Times New Roman" w:hAnsi="Times New Roman" w:eastAsia="宋体" w:cs="Times New Roman"/>
                      <w:color w:val="auto"/>
                      <w:kern w:val="2"/>
                      <w:sz w:val="21"/>
                      <w:szCs w:val="21"/>
                      <w:highlight w:val="none"/>
                      <w:lang w:val="en-US" w:eastAsia="zh-CN" w:bidi="ar-SA"/>
                    </w:rPr>
                  </w:pPr>
                  <w:r>
                    <w:rPr>
                      <w:rFonts w:hint="eastAsia" w:ascii="Times New Roman" w:hAnsi="Times New Roman" w:eastAsia="宋体" w:cs="Times New Roman"/>
                      <w:sz w:val="21"/>
                      <w:szCs w:val="21"/>
                      <w:highlight w:val="none"/>
                      <w:lang w:val="en-US" w:eastAsia="zh-CN"/>
                    </w:rPr>
                    <w:t>0.71</w:t>
                  </w:r>
                </w:p>
              </w:tc>
              <w:tc>
                <w:tcPr>
                  <w:tcW w:w="513" w:type="pct"/>
                  <w:noWrap w:val="0"/>
                  <w:tcMar>
                    <w:left w:w="57" w:type="dxa"/>
                    <w:right w:w="57" w:type="dxa"/>
                  </w:tcMar>
                  <w:vAlign w:val="center"/>
                </w:tcPr>
                <w:p w14:paraId="619D24EE">
                  <w:pPr>
                    <w:keepNext w:val="0"/>
                    <w:keepLines w:val="0"/>
                    <w:suppressLineNumbers w:val="0"/>
                    <w:adjustRightInd w:val="0"/>
                    <w:snapToGrid w:val="0"/>
                    <w:spacing w:before="0" w:beforeAutospacing="0" w:after="0" w:afterAutospacing="0" w:line="276" w:lineRule="auto"/>
                    <w:ind w:left="0" w:right="0"/>
                    <w:jc w:val="center"/>
                    <w:rPr>
                      <w:rFonts w:hint="eastAsia" w:ascii="Times New Roman" w:hAnsi="Times New Roman" w:eastAsia="宋体" w:cs="Times New Roman"/>
                      <w:kern w:val="0"/>
                      <w:sz w:val="21"/>
                      <w:szCs w:val="21"/>
                      <w:highlight w:val="none"/>
                      <w:lang w:val="en-US" w:eastAsia="zh-CN"/>
                    </w:rPr>
                  </w:pPr>
                  <w:r>
                    <w:rPr>
                      <w:rFonts w:hint="eastAsia" w:ascii="Times New Roman" w:hAnsi="Times New Roman" w:eastAsia="宋体" w:cs="Times New Roman"/>
                      <w:kern w:val="0"/>
                      <w:sz w:val="21"/>
                      <w:szCs w:val="21"/>
                      <w:highlight w:val="none"/>
                      <w:lang w:val="en-US" w:eastAsia="zh-CN"/>
                    </w:rPr>
                    <w:t>/</w:t>
                  </w:r>
                </w:p>
              </w:tc>
              <w:tc>
                <w:tcPr>
                  <w:tcW w:w="669" w:type="pct"/>
                  <w:noWrap w:val="0"/>
                  <w:tcMar>
                    <w:left w:w="57" w:type="dxa"/>
                    <w:right w:w="57" w:type="dxa"/>
                  </w:tcMar>
                  <w:vAlign w:val="center"/>
                </w:tcPr>
                <w:p w14:paraId="5CBDF1CF">
                  <w:pPr>
                    <w:keepNext w:val="0"/>
                    <w:keepLines w:val="0"/>
                    <w:widowControl/>
                    <w:suppressLineNumbers w:val="0"/>
                    <w:spacing w:before="0" w:beforeAutospacing="0" w:after="0" w:afterAutospacing="0" w:line="276" w:lineRule="auto"/>
                    <w:ind w:left="0" w:right="0"/>
                    <w:jc w:val="center"/>
                    <w:rPr>
                      <w:rFonts w:hint="default" w:ascii="Times New Roman" w:hAnsi="Times New Roman" w:eastAsia="宋体" w:cs="Times New Roman"/>
                      <w:kern w:val="0"/>
                      <w:sz w:val="21"/>
                      <w:szCs w:val="21"/>
                      <w:highlight w:val="none"/>
                      <w:lang w:val="en-US" w:eastAsia="zh-CN"/>
                    </w:rPr>
                  </w:pPr>
                  <w:r>
                    <w:rPr>
                      <w:rFonts w:hint="eastAsia" w:ascii="Times New Roman" w:hAnsi="Times New Roman" w:eastAsia="宋体" w:cs="Times New Roman"/>
                      <w:kern w:val="0"/>
                      <w:sz w:val="21"/>
                      <w:szCs w:val="21"/>
                      <w:highlight w:val="none"/>
                      <w:lang w:val="en-US" w:eastAsia="zh-CN"/>
                    </w:rPr>
                    <w:t>2.0</w:t>
                  </w:r>
                </w:p>
              </w:tc>
              <w:tc>
                <w:tcPr>
                  <w:tcW w:w="441" w:type="pct"/>
                  <w:noWrap w:val="0"/>
                  <w:tcMar>
                    <w:left w:w="57" w:type="dxa"/>
                    <w:right w:w="57" w:type="dxa"/>
                  </w:tcMar>
                  <w:vAlign w:val="center"/>
                </w:tcPr>
                <w:p w14:paraId="5F21D85F">
                  <w:pPr>
                    <w:keepNext w:val="0"/>
                    <w:keepLines w:val="0"/>
                    <w:suppressLineNumbers w:val="0"/>
                    <w:overflowPunct w:val="0"/>
                    <w:adjustRightInd w:val="0"/>
                    <w:snapToGrid w:val="0"/>
                    <w:spacing w:before="0" w:beforeAutospacing="0" w:after="0" w:afterAutospacing="0" w:line="276" w:lineRule="auto"/>
                    <w:ind w:left="0" w:right="0"/>
                    <w:jc w:val="center"/>
                    <w:rPr>
                      <w:rFonts w:hint="eastAsia" w:ascii="Times New Roman" w:hAnsi="Times New Roman" w:eastAsia="宋体" w:cs="Times New Roman"/>
                      <w:kern w:val="0"/>
                      <w:sz w:val="21"/>
                      <w:szCs w:val="21"/>
                      <w:highlight w:val="none"/>
                    </w:rPr>
                  </w:pPr>
                  <w:r>
                    <w:rPr>
                      <w:rFonts w:hint="eastAsia" w:ascii="Times New Roman" w:hAnsi="Times New Roman" w:eastAsia="宋体" w:cs="Times New Roman"/>
                      <w:kern w:val="0"/>
                      <w:sz w:val="21"/>
                      <w:szCs w:val="21"/>
                      <w:highlight w:val="none"/>
                    </w:rPr>
                    <w:t>达标</w:t>
                  </w:r>
                </w:p>
              </w:tc>
            </w:tr>
          </w:tbl>
          <w:p w14:paraId="771ECE9B">
            <w:pPr>
              <w:keepNext w:val="0"/>
              <w:keepLines w:val="0"/>
              <w:suppressLineNumbers w:val="0"/>
              <w:spacing w:before="0" w:beforeAutospacing="0" w:after="0" w:afterAutospacing="0" w:line="360" w:lineRule="auto"/>
              <w:ind w:left="0" w:right="0" w:firstLine="482" w:firstLineChars="200"/>
              <w:jc w:val="left"/>
              <w:rPr>
                <w:rFonts w:hint="eastAsia"/>
                <w:b/>
                <w:bCs/>
                <w:sz w:val="24"/>
                <w:highlight w:val="none"/>
              </w:rPr>
            </w:pPr>
            <w:r>
              <w:rPr>
                <w:rFonts w:hint="eastAsia"/>
                <w:b/>
                <w:bCs/>
                <w:sz w:val="24"/>
                <w:highlight w:val="none"/>
                <w:lang w:val="en-US" w:eastAsia="zh-CN"/>
              </w:rPr>
              <w:t>8、</w:t>
            </w:r>
            <w:r>
              <w:rPr>
                <w:rFonts w:hint="eastAsia"/>
                <w:b/>
                <w:bCs/>
                <w:sz w:val="24"/>
                <w:highlight w:val="none"/>
              </w:rPr>
              <w:t>非正常排放情况分析</w:t>
            </w:r>
          </w:p>
          <w:p w14:paraId="0A23060E">
            <w:pPr>
              <w:keepNext w:val="0"/>
              <w:keepLines w:val="0"/>
              <w:suppressLineNumbers w:val="0"/>
              <w:spacing w:before="0" w:beforeAutospacing="0" w:after="0" w:afterAutospacing="0" w:line="360" w:lineRule="auto"/>
              <w:ind w:left="0" w:right="0" w:firstLine="480" w:firstLineChars="200"/>
              <w:jc w:val="left"/>
              <w:rPr>
                <w:rFonts w:hint="eastAsia"/>
                <w:sz w:val="24"/>
                <w:highlight w:val="none"/>
              </w:rPr>
            </w:pPr>
            <w:r>
              <w:rPr>
                <w:rFonts w:hint="eastAsia"/>
                <w:sz w:val="24"/>
                <w:highlight w:val="none"/>
              </w:rPr>
              <w:t>本项目实施后非正常情况排放主要考虑废气处理装置故障，导致</w:t>
            </w:r>
            <w:r>
              <w:rPr>
                <w:rFonts w:hint="eastAsia"/>
                <w:sz w:val="24"/>
                <w:highlight w:val="none"/>
                <w:lang w:val="en-US" w:eastAsia="zh-CN"/>
              </w:rPr>
              <w:t>实验动物中心废气、科创综合楼废气、污水处理站废气和食堂油烟</w:t>
            </w:r>
            <w:r>
              <w:rPr>
                <w:rFonts w:hint="eastAsia"/>
                <w:sz w:val="24"/>
                <w:highlight w:val="none"/>
              </w:rPr>
              <w:t>未经处理直接排放。项目非正常情况下污染物排放情况如下表。</w:t>
            </w:r>
          </w:p>
          <w:p w14:paraId="31E0E0A2">
            <w:pPr>
              <w:keepNext w:val="0"/>
              <w:keepLines w:val="0"/>
              <w:widowControl/>
              <w:suppressLineNumbers w:val="0"/>
              <w:adjustRightInd w:val="0"/>
              <w:snapToGrid w:val="0"/>
              <w:spacing w:before="0" w:beforeAutospacing="0" w:after="0" w:afterAutospacing="0" w:line="360" w:lineRule="auto"/>
              <w:ind w:left="0" w:right="0"/>
              <w:jc w:val="center"/>
              <w:rPr>
                <w:rFonts w:hint="eastAsia"/>
                <w:b/>
                <w:snapToGrid w:val="0"/>
                <w:sz w:val="24"/>
                <w:szCs w:val="20"/>
                <w:highlight w:val="none"/>
              </w:rPr>
            </w:pPr>
            <w:r>
              <w:rPr>
                <w:rFonts w:hint="eastAsia"/>
                <w:b/>
                <w:snapToGrid w:val="0"/>
                <w:sz w:val="24"/>
                <w:szCs w:val="20"/>
                <w:highlight w:val="none"/>
              </w:rPr>
              <w:t>表</w:t>
            </w:r>
            <w:r>
              <w:rPr>
                <w:rFonts w:hint="default"/>
                <w:b/>
                <w:snapToGrid w:val="0"/>
                <w:sz w:val="24"/>
                <w:szCs w:val="20"/>
                <w:highlight w:val="none"/>
              </w:rPr>
              <w:t>7-</w:t>
            </w:r>
            <w:r>
              <w:rPr>
                <w:rFonts w:hint="eastAsia"/>
                <w:b/>
                <w:snapToGrid w:val="0"/>
                <w:sz w:val="24"/>
                <w:szCs w:val="20"/>
                <w:highlight w:val="none"/>
                <w:lang w:val="en-US" w:eastAsia="zh-CN"/>
              </w:rPr>
              <w:t>26</w:t>
            </w:r>
            <w:r>
              <w:rPr>
                <w:rFonts w:hint="default"/>
                <w:b/>
                <w:snapToGrid w:val="0"/>
                <w:sz w:val="24"/>
                <w:szCs w:val="20"/>
                <w:highlight w:val="none"/>
              </w:rPr>
              <w:t xml:space="preserve"> </w:t>
            </w:r>
            <w:r>
              <w:rPr>
                <w:rFonts w:hint="eastAsia"/>
                <w:b/>
                <w:snapToGrid w:val="0"/>
                <w:sz w:val="24"/>
                <w:szCs w:val="20"/>
                <w:highlight w:val="none"/>
              </w:rPr>
              <w:t>本项目非正常情况下污染物排放情况汇总表</w:t>
            </w:r>
          </w:p>
          <w:tbl>
            <w:tblPr>
              <w:tblStyle w:val="32"/>
              <w:tblW w:w="8084"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28" w:type="dxa"/>
                <w:bottom w:w="0" w:type="dxa"/>
                <w:right w:w="28" w:type="dxa"/>
              </w:tblCellMar>
            </w:tblPr>
            <w:tblGrid>
              <w:gridCol w:w="1047"/>
              <w:gridCol w:w="1183"/>
              <w:gridCol w:w="975"/>
              <w:gridCol w:w="645"/>
              <w:gridCol w:w="1267"/>
              <w:gridCol w:w="1170"/>
              <w:gridCol w:w="638"/>
              <w:gridCol w:w="1159"/>
            </w:tblGrid>
            <w:tr w14:paraId="0BF6B8D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512" w:hRule="atLeast"/>
                <w:jc w:val="center"/>
              </w:trPr>
              <w:tc>
                <w:tcPr>
                  <w:tcW w:w="1047" w:type="dxa"/>
                  <w:noWrap w:val="0"/>
                  <w:vAlign w:val="center"/>
                </w:tcPr>
                <w:p w14:paraId="3B207109">
                  <w:pPr>
                    <w:keepNext w:val="0"/>
                    <w:keepLines w:val="0"/>
                    <w:widowControl/>
                    <w:suppressLineNumbers w:val="0"/>
                    <w:spacing w:before="0" w:beforeAutospacing="0" w:after="0" w:afterAutospacing="0"/>
                    <w:ind w:left="0" w:right="0"/>
                    <w:jc w:val="center"/>
                    <w:rPr>
                      <w:rFonts w:hint="eastAsia" w:ascii="Times New Roman" w:hAnsi="Times New Roman" w:eastAsia="宋体" w:cs="Times New Roman"/>
                      <w:sz w:val="18"/>
                      <w:szCs w:val="18"/>
                      <w:highlight w:val="none"/>
                    </w:rPr>
                  </w:pPr>
                  <w:r>
                    <w:rPr>
                      <w:rFonts w:hint="eastAsia" w:ascii="Times New Roman" w:hAnsi="Times New Roman" w:eastAsia="宋体" w:cs="Times New Roman"/>
                      <w:color w:val="000000"/>
                      <w:kern w:val="0"/>
                      <w:sz w:val="18"/>
                      <w:szCs w:val="18"/>
                      <w:highlight w:val="none"/>
                      <w:lang w:bidi="ar"/>
                    </w:rPr>
                    <w:t>工序</w:t>
                  </w:r>
                </w:p>
              </w:tc>
              <w:tc>
                <w:tcPr>
                  <w:tcW w:w="1183" w:type="dxa"/>
                  <w:noWrap w:val="0"/>
                  <w:vAlign w:val="center"/>
                </w:tcPr>
                <w:p w14:paraId="1E52E3C3">
                  <w:pPr>
                    <w:keepNext w:val="0"/>
                    <w:keepLines w:val="0"/>
                    <w:widowControl/>
                    <w:suppressLineNumbers w:val="0"/>
                    <w:spacing w:before="0" w:beforeAutospacing="0" w:after="0" w:afterAutospacing="0"/>
                    <w:ind w:left="0" w:right="0"/>
                    <w:jc w:val="center"/>
                    <w:rPr>
                      <w:rFonts w:hint="eastAsia" w:ascii="Times New Roman" w:hAnsi="Times New Roman" w:eastAsia="宋体" w:cs="Times New Roman"/>
                      <w:sz w:val="18"/>
                      <w:szCs w:val="18"/>
                      <w:highlight w:val="none"/>
                    </w:rPr>
                  </w:pPr>
                  <w:r>
                    <w:rPr>
                      <w:rFonts w:hint="eastAsia" w:ascii="Times New Roman" w:hAnsi="Times New Roman" w:eastAsia="宋体" w:cs="Times New Roman"/>
                      <w:color w:val="000000"/>
                      <w:kern w:val="0"/>
                      <w:sz w:val="18"/>
                      <w:szCs w:val="18"/>
                      <w:highlight w:val="none"/>
                      <w:lang w:bidi="ar"/>
                    </w:rPr>
                    <w:t>污染物</w:t>
                  </w:r>
                </w:p>
              </w:tc>
              <w:tc>
                <w:tcPr>
                  <w:tcW w:w="975" w:type="dxa"/>
                  <w:noWrap w:val="0"/>
                  <w:vAlign w:val="center"/>
                </w:tcPr>
                <w:p w14:paraId="5A0AC06B">
                  <w:pPr>
                    <w:keepNext w:val="0"/>
                    <w:keepLines w:val="0"/>
                    <w:widowControl/>
                    <w:suppressLineNumbers w:val="0"/>
                    <w:spacing w:before="0" w:beforeAutospacing="0" w:after="0" w:afterAutospacing="0"/>
                    <w:ind w:left="0" w:right="0"/>
                    <w:jc w:val="center"/>
                    <w:rPr>
                      <w:rFonts w:hint="eastAsia" w:ascii="Times New Roman" w:hAnsi="Times New Roman" w:eastAsia="宋体" w:cs="Times New Roman"/>
                      <w:sz w:val="18"/>
                      <w:szCs w:val="18"/>
                      <w:highlight w:val="none"/>
                    </w:rPr>
                  </w:pPr>
                  <w:r>
                    <w:rPr>
                      <w:rFonts w:hint="eastAsia" w:ascii="Times New Roman" w:hAnsi="Times New Roman" w:eastAsia="宋体" w:cs="Times New Roman"/>
                      <w:color w:val="000000"/>
                      <w:kern w:val="0"/>
                      <w:sz w:val="18"/>
                      <w:szCs w:val="18"/>
                      <w:highlight w:val="none"/>
                      <w:lang w:bidi="ar"/>
                    </w:rPr>
                    <w:t>非正常排放原因</w:t>
                  </w:r>
                </w:p>
              </w:tc>
              <w:tc>
                <w:tcPr>
                  <w:tcW w:w="645" w:type="dxa"/>
                  <w:noWrap w:val="0"/>
                  <w:vAlign w:val="center"/>
                </w:tcPr>
                <w:p w14:paraId="276BD722">
                  <w:pPr>
                    <w:keepNext w:val="0"/>
                    <w:keepLines w:val="0"/>
                    <w:widowControl/>
                    <w:suppressLineNumbers w:val="0"/>
                    <w:spacing w:before="0" w:beforeAutospacing="0" w:after="0" w:afterAutospacing="0"/>
                    <w:ind w:left="0" w:right="0"/>
                    <w:jc w:val="center"/>
                    <w:rPr>
                      <w:rFonts w:hint="eastAsia" w:ascii="Times New Roman" w:hAnsi="Times New Roman" w:eastAsia="宋体" w:cs="Times New Roman"/>
                      <w:sz w:val="18"/>
                      <w:szCs w:val="18"/>
                      <w:highlight w:val="none"/>
                    </w:rPr>
                  </w:pPr>
                  <w:r>
                    <w:rPr>
                      <w:rFonts w:hint="eastAsia" w:ascii="Times New Roman" w:hAnsi="Times New Roman" w:eastAsia="宋体" w:cs="Times New Roman"/>
                      <w:color w:val="000000"/>
                      <w:kern w:val="0"/>
                      <w:sz w:val="18"/>
                      <w:szCs w:val="18"/>
                      <w:highlight w:val="none"/>
                      <w:lang w:bidi="ar"/>
                    </w:rPr>
                    <w:t>年发生频次</w:t>
                  </w:r>
                </w:p>
              </w:tc>
              <w:tc>
                <w:tcPr>
                  <w:tcW w:w="1267" w:type="dxa"/>
                  <w:noWrap w:val="0"/>
                  <w:vAlign w:val="center"/>
                </w:tcPr>
                <w:p w14:paraId="069AF265">
                  <w:pPr>
                    <w:keepNext w:val="0"/>
                    <w:keepLines w:val="0"/>
                    <w:widowControl/>
                    <w:suppressLineNumbers w:val="0"/>
                    <w:spacing w:before="0" w:beforeAutospacing="0" w:after="0" w:afterAutospacing="0"/>
                    <w:ind w:left="0" w:right="0"/>
                    <w:jc w:val="center"/>
                    <w:rPr>
                      <w:rFonts w:hint="eastAsia" w:ascii="Times New Roman" w:hAnsi="Times New Roman" w:eastAsia="宋体" w:cs="Times New Roman"/>
                      <w:color w:val="000000"/>
                      <w:kern w:val="0"/>
                      <w:sz w:val="18"/>
                      <w:szCs w:val="18"/>
                      <w:highlight w:val="none"/>
                      <w:lang w:bidi="ar"/>
                    </w:rPr>
                  </w:pPr>
                  <w:r>
                    <w:rPr>
                      <w:rFonts w:hint="eastAsia" w:ascii="Times New Roman" w:hAnsi="Times New Roman" w:eastAsia="宋体" w:cs="Times New Roman"/>
                      <w:color w:val="000000"/>
                      <w:kern w:val="0"/>
                      <w:sz w:val="18"/>
                      <w:szCs w:val="18"/>
                      <w:highlight w:val="none"/>
                      <w:lang w:bidi="ar"/>
                    </w:rPr>
                    <w:t>非正常排放速率(</w:t>
                  </w:r>
                  <w:r>
                    <w:rPr>
                      <w:rFonts w:hint="default" w:ascii="Times New Roman" w:hAnsi="Times New Roman" w:eastAsia="宋体" w:cs="Times New Roman"/>
                      <w:color w:val="000000"/>
                      <w:kern w:val="0"/>
                      <w:sz w:val="18"/>
                      <w:szCs w:val="18"/>
                      <w:highlight w:val="none"/>
                      <w:lang w:bidi="ar"/>
                    </w:rPr>
                    <w:t>kg/h</w:t>
                  </w:r>
                  <w:r>
                    <w:rPr>
                      <w:rFonts w:hint="eastAsia" w:ascii="Times New Roman" w:hAnsi="Times New Roman" w:eastAsia="宋体" w:cs="Times New Roman"/>
                      <w:color w:val="000000"/>
                      <w:kern w:val="0"/>
                      <w:sz w:val="18"/>
                      <w:szCs w:val="18"/>
                      <w:highlight w:val="none"/>
                      <w:lang w:bidi="ar"/>
                    </w:rPr>
                    <w:t>)</w:t>
                  </w:r>
                </w:p>
              </w:tc>
              <w:tc>
                <w:tcPr>
                  <w:tcW w:w="1170" w:type="dxa"/>
                  <w:noWrap w:val="0"/>
                  <w:vAlign w:val="center"/>
                </w:tcPr>
                <w:p w14:paraId="661C4F8E">
                  <w:pPr>
                    <w:keepNext w:val="0"/>
                    <w:keepLines w:val="0"/>
                    <w:widowControl/>
                    <w:suppressLineNumbers w:val="0"/>
                    <w:spacing w:before="0" w:beforeAutospacing="0" w:after="0" w:afterAutospacing="0"/>
                    <w:ind w:left="0" w:right="0"/>
                    <w:jc w:val="center"/>
                    <w:rPr>
                      <w:rFonts w:hint="default" w:ascii="Times New Roman" w:hAnsi="Times New Roman" w:eastAsia="宋体" w:cs="Times New Roman"/>
                      <w:sz w:val="18"/>
                      <w:szCs w:val="18"/>
                      <w:highlight w:val="none"/>
                    </w:rPr>
                  </w:pPr>
                  <w:r>
                    <w:rPr>
                      <w:rFonts w:hint="eastAsia" w:ascii="Times New Roman" w:hAnsi="Times New Roman" w:eastAsia="宋体" w:cs="Times New Roman"/>
                      <w:color w:val="000000"/>
                      <w:kern w:val="0"/>
                      <w:sz w:val="18"/>
                      <w:szCs w:val="18"/>
                      <w:highlight w:val="none"/>
                      <w:lang w:bidi="ar"/>
                    </w:rPr>
                    <w:t>非正常排放浓度(</w:t>
                  </w:r>
                  <w:r>
                    <w:rPr>
                      <w:rFonts w:hint="default" w:ascii="Times New Roman" w:hAnsi="Times New Roman" w:eastAsia="宋体" w:cs="Times New Roman"/>
                      <w:color w:val="000000"/>
                      <w:kern w:val="0"/>
                      <w:sz w:val="18"/>
                      <w:szCs w:val="18"/>
                      <w:highlight w:val="none"/>
                      <w:lang w:bidi="ar"/>
                    </w:rPr>
                    <w:t>mg/m</w:t>
                  </w:r>
                  <w:r>
                    <w:rPr>
                      <w:rFonts w:hint="eastAsia" w:ascii="Times New Roman" w:hAnsi="Times New Roman" w:eastAsia="宋体" w:cs="Times New Roman"/>
                      <w:color w:val="000000"/>
                      <w:kern w:val="0"/>
                      <w:sz w:val="18"/>
                      <w:szCs w:val="18"/>
                      <w:highlight w:val="none"/>
                      <w:vertAlign w:val="superscript"/>
                      <w:lang w:bidi="ar"/>
                    </w:rPr>
                    <w:t>3</w:t>
                  </w:r>
                  <w:r>
                    <w:rPr>
                      <w:rFonts w:hint="eastAsia" w:ascii="Times New Roman" w:hAnsi="Times New Roman" w:eastAsia="宋体" w:cs="Times New Roman"/>
                      <w:color w:val="000000"/>
                      <w:kern w:val="0"/>
                      <w:sz w:val="18"/>
                      <w:szCs w:val="18"/>
                      <w:highlight w:val="none"/>
                      <w:lang w:bidi="ar"/>
                    </w:rPr>
                    <w:t>)</w:t>
                  </w:r>
                </w:p>
              </w:tc>
              <w:tc>
                <w:tcPr>
                  <w:tcW w:w="638" w:type="dxa"/>
                  <w:noWrap w:val="0"/>
                  <w:vAlign w:val="center"/>
                </w:tcPr>
                <w:p w14:paraId="02AA3E51">
                  <w:pPr>
                    <w:keepNext w:val="0"/>
                    <w:keepLines w:val="0"/>
                    <w:widowControl/>
                    <w:suppressLineNumbers w:val="0"/>
                    <w:spacing w:before="0" w:beforeAutospacing="0" w:after="0" w:afterAutospacing="0"/>
                    <w:ind w:left="0" w:right="0"/>
                    <w:jc w:val="center"/>
                    <w:rPr>
                      <w:rFonts w:hint="eastAsia" w:ascii="Times New Roman" w:hAnsi="Times New Roman" w:eastAsia="宋体" w:cs="Times New Roman"/>
                      <w:color w:val="000000"/>
                      <w:kern w:val="0"/>
                      <w:sz w:val="18"/>
                      <w:szCs w:val="18"/>
                      <w:highlight w:val="none"/>
                      <w:lang w:bidi="ar"/>
                    </w:rPr>
                  </w:pPr>
                  <w:r>
                    <w:rPr>
                      <w:rFonts w:hint="eastAsia" w:ascii="Times New Roman" w:hAnsi="Times New Roman" w:eastAsia="宋体" w:cs="Times New Roman"/>
                      <w:color w:val="000000"/>
                      <w:kern w:val="0"/>
                      <w:sz w:val="18"/>
                      <w:szCs w:val="18"/>
                      <w:highlight w:val="none"/>
                      <w:lang w:bidi="ar"/>
                    </w:rPr>
                    <w:t>持续</w:t>
                  </w:r>
                </w:p>
                <w:p w14:paraId="1AAC83E6">
                  <w:pPr>
                    <w:keepNext w:val="0"/>
                    <w:keepLines w:val="0"/>
                    <w:widowControl/>
                    <w:suppressLineNumbers w:val="0"/>
                    <w:spacing w:before="0" w:beforeAutospacing="0" w:after="0" w:afterAutospacing="0"/>
                    <w:ind w:left="0" w:right="0"/>
                    <w:jc w:val="center"/>
                    <w:rPr>
                      <w:rFonts w:hint="eastAsia" w:ascii="Times New Roman" w:hAnsi="Times New Roman" w:eastAsia="宋体" w:cs="Times New Roman"/>
                      <w:color w:val="000000"/>
                      <w:kern w:val="0"/>
                      <w:sz w:val="18"/>
                      <w:szCs w:val="18"/>
                      <w:highlight w:val="none"/>
                      <w:lang w:bidi="ar"/>
                    </w:rPr>
                  </w:pPr>
                  <w:r>
                    <w:rPr>
                      <w:rFonts w:hint="eastAsia" w:ascii="Times New Roman" w:hAnsi="Times New Roman" w:eastAsia="宋体" w:cs="Times New Roman"/>
                      <w:color w:val="000000"/>
                      <w:kern w:val="0"/>
                      <w:sz w:val="18"/>
                      <w:szCs w:val="18"/>
                      <w:highlight w:val="none"/>
                      <w:lang w:bidi="ar"/>
                    </w:rPr>
                    <w:t>时间</w:t>
                  </w:r>
                </w:p>
              </w:tc>
              <w:tc>
                <w:tcPr>
                  <w:tcW w:w="1159" w:type="dxa"/>
                  <w:noWrap w:val="0"/>
                  <w:vAlign w:val="center"/>
                </w:tcPr>
                <w:p w14:paraId="2A603D66">
                  <w:pPr>
                    <w:keepNext w:val="0"/>
                    <w:keepLines w:val="0"/>
                    <w:widowControl/>
                    <w:suppressLineNumbers w:val="0"/>
                    <w:spacing w:before="0" w:beforeAutospacing="0" w:after="0" w:afterAutospacing="0"/>
                    <w:ind w:left="0" w:right="0"/>
                    <w:jc w:val="center"/>
                    <w:rPr>
                      <w:rFonts w:hint="default" w:ascii="Times New Roman" w:hAnsi="Times New Roman" w:eastAsia="宋体" w:cs="Times New Roman"/>
                      <w:sz w:val="18"/>
                      <w:szCs w:val="18"/>
                      <w:highlight w:val="none"/>
                    </w:rPr>
                  </w:pPr>
                  <w:r>
                    <w:rPr>
                      <w:rFonts w:hint="eastAsia" w:ascii="Times New Roman" w:hAnsi="Times New Roman" w:eastAsia="宋体" w:cs="Times New Roman"/>
                      <w:color w:val="000000"/>
                      <w:kern w:val="0"/>
                      <w:sz w:val="18"/>
                      <w:szCs w:val="18"/>
                      <w:highlight w:val="none"/>
                      <w:lang w:bidi="ar"/>
                    </w:rPr>
                    <w:t>排放量(</w:t>
                  </w:r>
                  <w:r>
                    <w:rPr>
                      <w:rFonts w:hint="default" w:ascii="Times New Roman" w:hAnsi="Times New Roman" w:eastAsia="宋体" w:cs="Times New Roman"/>
                      <w:color w:val="000000"/>
                      <w:kern w:val="0"/>
                      <w:sz w:val="18"/>
                      <w:szCs w:val="18"/>
                      <w:highlight w:val="none"/>
                      <w:lang w:bidi="ar"/>
                    </w:rPr>
                    <w:t>kg/</w:t>
                  </w:r>
                  <w:r>
                    <w:rPr>
                      <w:rFonts w:hint="eastAsia" w:ascii="Times New Roman" w:hAnsi="Times New Roman" w:eastAsia="宋体" w:cs="Times New Roman"/>
                      <w:color w:val="000000"/>
                      <w:kern w:val="0"/>
                      <w:sz w:val="18"/>
                      <w:szCs w:val="18"/>
                      <w:highlight w:val="none"/>
                      <w:lang w:bidi="ar"/>
                    </w:rPr>
                    <w:t>a)</w:t>
                  </w:r>
                </w:p>
              </w:tc>
            </w:tr>
            <w:tr w14:paraId="0878F35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90" w:hRule="atLeast"/>
                <w:jc w:val="center"/>
              </w:trPr>
              <w:tc>
                <w:tcPr>
                  <w:tcW w:w="1047" w:type="dxa"/>
                  <w:vMerge w:val="restart"/>
                  <w:noWrap w:val="0"/>
                  <w:vAlign w:val="center"/>
                </w:tcPr>
                <w:p w14:paraId="19BC4EE5">
                  <w:pPr>
                    <w:keepNext w:val="0"/>
                    <w:keepLines w:val="0"/>
                    <w:widowControl/>
                    <w:suppressLineNumbers w:val="0"/>
                    <w:spacing w:before="0" w:beforeAutospacing="0" w:after="0" w:afterAutospacing="0"/>
                    <w:ind w:left="0" w:right="0"/>
                    <w:jc w:val="center"/>
                    <w:rPr>
                      <w:rFonts w:hint="default" w:ascii="Times New Roman" w:hAnsi="Times New Roman" w:eastAsia="宋体" w:cs="Times New Roman"/>
                      <w:sz w:val="18"/>
                      <w:szCs w:val="18"/>
                      <w:highlight w:val="none"/>
                      <w:lang w:val="en-US" w:eastAsia="zh-CN"/>
                    </w:rPr>
                  </w:pPr>
                  <w:r>
                    <w:rPr>
                      <w:rFonts w:hint="eastAsia" w:ascii="Times New Roman" w:hAnsi="Times New Roman" w:eastAsia="宋体" w:cs="Times New Roman"/>
                      <w:sz w:val="18"/>
                      <w:szCs w:val="18"/>
                      <w:highlight w:val="none"/>
                      <w:lang w:val="en-US" w:eastAsia="zh-CN"/>
                    </w:rPr>
                    <w:t>饲养废气、污水处理站废气（DA001）</w:t>
                  </w:r>
                </w:p>
              </w:tc>
              <w:tc>
                <w:tcPr>
                  <w:tcW w:w="1183" w:type="dxa"/>
                  <w:noWrap w:val="0"/>
                  <w:vAlign w:val="center"/>
                </w:tcPr>
                <w:p w14:paraId="0641514F">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64" w:lineRule="auto"/>
                    <w:ind w:left="0" w:right="0"/>
                    <w:jc w:val="center"/>
                    <w:textAlignment w:val="auto"/>
                    <w:rPr>
                      <w:rFonts w:hint="eastAsia" w:ascii="Times New Roman" w:hAnsi="Times New Roman" w:eastAsia="宋体" w:cs="Times New Roman"/>
                      <w:sz w:val="18"/>
                      <w:szCs w:val="18"/>
                      <w:highlight w:val="none"/>
                    </w:rPr>
                  </w:pPr>
                  <w:r>
                    <w:rPr>
                      <w:rFonts w:hint="default" w:ascii="Times New Roman" w:hAnsi="Times New Roman" w:eastAsia="宋体" w:cs="Times New Roman"/>
                      <w:bCs/>
                      <w:kern w:val="0"/>
                      <w:sz w:val="18"/>
                      <w:szCs w:val="18"/>
                      <w:highlight w:val="none"/>
                    </w:rPr>
                    <w:t>氨</w:t>
                  </w:r>
                </w:p>
              </w:tc>
              <w:tc>
                <w:tcPr>
                  <w:tcW w:w="975" w:type="dxa"/>
                  <w:vMerge w:val="restart"/>
                  <w:noWrap w:val="0"/>
                  <w:vAlign w:val="center"/>
                </w:tcPr>
                <w:p w14:paraId="31D9BA9B">
                  <w:pPr>
                    <w:keepNext w:val="0"/>
                    <w:keepLines w:val="0"/>
                    <w:widowControl/>
                    <w:suppressLineNumbers w:val="0"/>
                    <w:spacing w:before="0" w:beforeAutospacing="0" w:after="0" w:afterAutospacing="0"/>
                    <w:ind w:left="0" w:right="0"/>
                    <w:jc w:val="center"/>
                    <w:rPr>
                      <w:rFonts w:hint="eastAsia" w:ascii="Times New Roman" w:hAnsi="Times New Roman" w:eastAsia="宋体" w:cs="Times New Roman"/>
                      <w:sz w:val="18"/>
                      <w:szCs w:val="18"/>
                      <w:highlight w:val="none"/>
                    </w:rPr>
                  </w:pPr>
                  <w:r>
                    <w:rPr>
                      <w:rFonts w:hint="eastAsia" w:ascii="Times New Roman" w:hAnsi="Times New Roman" w:eastAsia="宋体" w:cs="Times New Roman"/>
                      <w:color w:val="000000"/>
                      <w:kern w:val="0"/>
                      <w:sz w:val="18"/>
                      <w:szCs w:val="18"/>
                      <w:highlight w:val="none"/>
                      <w:lang w:bidi="ar"/>
                    </w:rPr>
                    <w:t>废气处理装置故障，未经处理直接排放</w:t>
                  </w:r>
                </w:p>
              </w:tc>
              <w:tc>
                <w:tcPr>
                  <w:tcW w:w="645" w:type="dxa"/>
                  <w:vMerge w:val="restart"/>
                  <w:noWrap w:val="0"/>
                  <w:vAlign w:val="center"/>
                </w:tcPr>
                <w:p w14:paraId="30EBD66E">
                  <w:pPr>
                    <w:keepNext w:val="0"/>
                    <w:keepLines w:val="0"/>
                    <w:widowControl/>
                    <w:suppressLineNumbers w:val="0"/>
                    <w:spacing w:before="0" w:beforeAutospacing="0" w:after="0" w:afterAutospacing="0"/>
                    <w:ind w:left="0" w:right="0"/>
                    <w:jc w:val="center"/>
                    <w:rPr>
                      <w:rFonts w:hint="eastAsia" w:ascii="Times New Roman" w:hAnsi="Times New Roman" w:eastAsia="宋体" w:cs="Times New Roman"/>
                      <w:sz w:val="18"/>
                      <w:szCs w:val="18"/>
                      <w:highlight w:val="none"/>
                    </w:rPr>
                  </w:pPr>
                  <w:r>
                    <w:rPr>
                      <w:rFonts w:hint="default" w:ascii="Times New Roman" w:hAnsi="Times New Roman" w:eastAsia="宋体" w:cs="Times New Roman"/>
                      <w:color w:val="000000"/>
                      <w:kern w:val="0"/>
                      <w:sz w:val="18"/>
                      <w:szCs w:val="18"/>
                      <w:highlight w:val="none"/>
                      <w:lang w:bidi="ar"/>
                    </w:rPr>
                    <w:t>1</w:t>
                  </w:r>
                  <w:r>
                    <w:rPr>
                      <w:rFonts w:hint="eastAsia" w:ascii="Times New Roman" w:hAnsi="Times New Roman" w:eastAsia="宋体" w:cs="Times New Roman"/>
                      <w:color w:val="000000"/>
                      <w:kern w:val="0"/>
                      <w:sz w:val="18"/>
                      <w:szCs w:val="18"/>
                      <w:highlight w:val="none"/>
                      <w:lang w:bidi="ar"/>
                    </w:rPr>
                    <w:t>次</w:t>
                  </w:r>
                </w:p>
              </w:tc>
              <w:tc>
                <w:tcPr>
                  <w:tcW w:w="1267" w:type="dxa"/>
                  <w:noWrap w:val="0"/>
                  <w:vAlign w:val="center"/>
                </w:tcPr>
                <w:p w14:paraId="7ECEFB84">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64" w:lineRule="auto"/>
                    <w:ind w:left="0" w:leftChars="0" w:right="0" w:rightChars="0"/>
                    <w:jc w:val="center"/>
                    <w:textAlignment w:val="auto"/>
                    <w:rPr>
                      <w:rFonts w:hint="eastAsia" w:ascii="Times New Roman" w:hAnsi="Times New Roman" w:eastAsia="宋体" w:cs="Times New Roman"/>
                      <w:color w:val="000000"/>
                      <w:kern w:val="0"/>
                      <w:sz w:val="18"/>
                      <w:szCs w:val="18"/>
                      <w:highlight w:val="none"/>
                      <w:lang w:bidi="ar"/>
                    </w:rPr>
                  </w:pPr>
                  <w:r>
                    <w:rPr>
                      <w:rFonts w:hint="eastAsia" w:ascii="Times New Roman" w:hAnsi="Times New Roman" w:eastAsia="宋体" w:cs="Times New Roman"/>
                      <w:bCs/>
                      <w:kern w:val="0"/>
                      <w:sz w:val="18"/>
                      <w:szCs w:val="18"/>
                      <w:highlight w:val="none"/>
                      <w:lang w:val="en-US" w:eastAsia="zh-CN"/>
                    </w:rPr>
                    <w:t>0.0</w:t>
                  </w:r>
                  <w:r>
                    <w:rPr>
                      <w:rFonts w:hint="eastAsia" w:cs="Times New Roman"/>
                      <w:bCs/>
                      <w:kern w:val="0"/>
                      <w:sz w:val="18"/>
                      <w:szCs w:val="18"/>
                      <w:highlight w:val="none"/>
                      <w:lang w:val="en-US" w:eastAsia="zh-CN"/>
                    </w:rPr>
                    <w:t>39</w:t>
                  </w:r>
                  <w:r>
                    <w:rPr>
                      <w:rFonts w:hint="eastAsia" w:ascii="Times New Roman" w:hAnsi="Times New Roman" w:eastAsia="宋体" w:cs="Times New Roman"/>
                      <w:bCs/>
                      <w:kern w:val="0"/>
                      <w:sz w:val="18"/>
                      <w:szCs w:val="18"/>
                      <w:highlight w:val="none"/>
                      <w:lang w:val="en-US" w:eastAsia="zh-CN"/>
                    </w:rPr>
                    <w:t xml:space="preserve"> </w:t>
                  </w:r>
                </w:p>
              </w:tc>
              <w:tc>
                <w:tcPr>
                  <w:tcW w:w="1170" w:type="dxa"/>
                  <w:noWrap w:val="0"/>
                  <w:vAlign w:val="center"/>
                </w:tcPr>
                <w:p w14:paraId="4B510BFC">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64" w:lineRule="auto"/>
                    <w:ind w:left="0" w:right="0"/>
                    <w:jc w:val="center"/>
                    <w:textAlignment w:val="auto"/>
                    <w:rPr>
                      <w:rFonts w:hint="default" w:ascii="Times New Roman" w:hAnsi="Times New Roman" w:eastAsia="宋体" w:cs="Times New Roman"/>
                      <w:sz w:val="18"/>
                      <w:szCs w:val="18"/>
                      <w:highlight w:val="none"/>
                    </w:rPr>
                  </w:pPr>
                  <w:r>
                    <w:rPr>
                      <w:rFonts w:hint="eastAsia" w:cs="Times New Roman"/>
                      <w:bCs/>
                      <w:kern w:val="0"/>
                      <w:sz w:val="18"/>
                      <w:szCs w:val="18"/>
                      <w:highlight w:val="none"/>
                      <w:lang w:val="en-US" w:eastAsia="zh-CN"/>
                    </w:rPr>
                    <w:t>1</w:t>
                  </w:r>
                  <w:r>
                    <w:rPr>
                      <w:rFonts w:hint="eastAsia" w:ascii="Times New Roman" w:hAnsi="Times New Roman" w:eastAsia="宋体" w:cs="Times New Roman"/>
                      <w:bCs/>
                      <w:kern w:val="0"/>
                      <w:sz w:val="18"/>
                      <w:szCs w:val="18"/>
                      <w:highlight w:val="none"/>
                      <w:lang w:val="en-US" w:eastAsia="zh-CN"/>
                    </w:rPr>
                    <w:t>.</w:t>
                  </w:r>
                  <w:r>
                    <w:rPr>
                      <w:rFonts w:hint="eastAsia" w:cs="Times New Roman"/>
                      <w:bCs/>
                      <w:kern w:val="0"/>
                      <w:sz w:val="18"/>
                      <w:szCs w:val="18"/>
                      <w:highlight w:val="none"/>
                      <w:lang w:val="en-US" w:eastAsia="zh-CN"/>
                    </w:rPr>
                    <w:t>83</w:t>
                  </w:r>
                  <w:r>
                    <w:rPr>
                      <w:rFonts w:hint="eastAsia" w:ascii="Times New Roman" w:hAnsi="Times New Roman" w:eastAsia="宋体" w:cs="Times New Roman"/>
                      <w:bCs/>
                      <w:kern w:val="0"/>
                      <w:sz w:val="18"/>
                      <w:szCs w:val="18"/>
                      <w:highlight w:val="none"/>
                      <w:lang w:val="en-US" w:eastAsia="zh-CN"/>
                    </w:rPr>
                    <w:t xml:space="preserve"> </w:t>
                  </w:r>
                </w:p>
              </w:tc>
              <w:tc>
                <w:tcPr>
                  <w:tcW w:w="638" w:type="dxa"/>
                  <w:vMerge w:val="restart"/>
                  <w:noWrap w:val="0"/>
                  <w:vAlign w:val="center"/>
                </w:tcPr>
                <w:p w14:paraId="399FC07A">
                  <w:pPr>
                    <w:keepNext w:val="0"/>
                    <w:keepLines w:val="0"/>
                    <w:widowControl/>
                    <w:suppressLineNumbers w:val="0"/>
                    <w:spacing w:before="0" w:beforeAutospacing="0" w:after="0" w:afterAutospacing="0"/>
                    <w:ind w:left="0" w:right="0"/>
                    <w:jc w:val="center"/>
                    <w:rPr>
                      <w:rFonts w:hint="eastAsia" w:ascii="Times New Roman" w:hAnsi="Times New Roman" w:eastAsia="宋体" w:cs="Times New Roman"/>
                      <w:sz w:val="18"/>
                      <w:szCs w:val="18"/>
                      <w:highlight w:val="none"/>
                    </w:rPr>
                  </w:pPr>
                  <w:r>
                    <w:rPr>
                      <w:rFonts w:hint="default" w:ascii="Times New Roman" w:hAnsi="Times New Roman" w:eastAsia="宋体" w:cs="Times New Roman"/>
                      <w:color w:val="000000"/>
                      <w:kern w:val="0"/>
                      <w:sz w:val="18"/>
                      <w:szCs w:val="18"/>
                      <w:highlight w:val="none"/>
                      <w:lang w:bidi="ar"/>
                    </w:rPr>
                    <w:t>1h</w:t>
                  </w:r>
                </w:p>
              </w:tc>
              <w:tc>
                <w:tcPr>
                  <w:tcW w:w="1159" w:type="dxa"/>
                  <w:shd w:val="clear" w:color="auto" w:fill="auto"/>
                  <w:noWrap w:val="0"/>
                  <w:vAlign w:val="center"/>
                </w:tcPr>
                <w:p w14:paraId="6DB78C55">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64" w:lineRule="auto"/>
                    <w:ind w:left="0" w:leftChars="0" w:right="0" w:rightChars="0"/>
                    <w:jc w:val="center"/>
                    <w:textAlignment w:val="auto"/>
                    <w:rPr>
                      <w:rFonts w:hint="eastAsia" w:ascii="Times New Roman" w:hAnsi="Times New Roman" w:eastAsia="宋体" w:cs="Times New Roman"/>
                      <w:color w:val="000000"/>
                      <w:kern w:val="0"/>
                      <w:sz w:val="18"/>
                      <w:szCs w:val="18"/>
                      <w:highlight w:val="none"/>
                      <w:lang w:val="en-US" w:eastAsia="zh-CN" w:bidi="ar"/>
                    </w:rPr>
                  </w:pPr>
                  <w:r>
                    <w:rPr>
                      <w:rFonts w:hint="eastAsia" w:ascii="Times New Roman" w:hAnsi="Times New Roman" w:eastAsia="宋体" w:cs="Times New Roman"/>
                      <w:bCs/>
                      <w:kern w:val="0"/>
                      <w:sz w:val="18"/>
                      <w:szCs w:val="18"/>
                      <w:highlight w:val="none"/>
                      <w:lang w:val="en-US" w:eastAsia="zh-CN"/>
                    </w:rPr>
                    <w:t>0.0</w:t>
                  </w:r>
                  <w:r>
                    <w:rPr>
                      <w:rFonts w:hint="eastAsia" w:cs="Times New Roman"/>
                      <w:bCs/>
                      <w:kern w:val="0"/>
                      <w:sz w:val="18"/>
                      <w:szCs w:val="18"/>
                      <w:highlight w:val="none"/>
                      <w:lang w:val="en-US" w:eastAsia="zh-CN"/>
                    </w:rPr>
                    <w:t>39</w:t>
                  </w:r>
                  <w:r>
                    <w:rPr>
                      <w:rFonts w:hint="eastAsia" w:ascii="Times New Roman" w:hAnsi="Times New Roman" w:eastAsia="宋体" w:cs="Times New Roman"/>
                      <w:bCs/>
                      <w:kern w:val="0"/>
                      <w:sz w:val="18"/>
                      <w:szCs w:val="18"/>
                      <w:highlight w:val="none"/>
                      <w:lang w:val="en-US" w:eastAsia="zh-CN"/>
                    </w:rPr>
                    <w:t xml:space="preserve"> </w:t>
                  </w:r>
                </w:p>
              </w:tc>
            </w:tr>
            <w:tr w14:paraId="6119874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jc w:val="center"/>
              </w:trPr>
              <w:tc>
                <w:tcPr>
                  <w:tcW w:w="1047" w:type="dxa"/>
                  <w:vMerge w:val="continue"/>
                  <w:noWrap w:val="0"/>
                  <w:vAlign w:val="center"/>
                </w:tcPr>
                <w:p w14:paraId="6BB9D6A9">
                  <w:pPr>
                    <w:keepNext w:val="0"/>
                    <w:keepLines w:val="0"/>
                    <w:suppressLineNumbers w:val="0"/>
                    <w:spacing w:before="0" w:beforeAutospacing="0" w:after="0" w:afterAutospacing="0"/>
                    <w:ind w:left="0" w:right="0"/>
                    <w:jc w:val="center"/>
                    <w:rPr>
                      <w:rFonts w:hint="eastAsia" w:ascii="Times New Roman" w:hAnsi="Times New Roman" w:eastAsia="宋体" w:cs="Times New Roman"/>
                      <w:sz w:val="18"/>
                      <w:szCs w:val="18"/>
                      <w:highlight w:val="none"/>
                    </w:rPr>
                  </w:pPr>
                </w:p>
              </w:tc>
              <w:tc>
                <w:tcPr>
                  <w:tcW w:w="1183" w:type="dxa"/>
                  <w:noWrap w:val="0"/>
                  <w:vAlign w:val="center"/>
                </w:tcPr>
                <w:p w14:paraId="2ACDCF78">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64" w:lineRule="auto"/>
                    <w:ind w:left="0" w:right="0"/>
                    <w:jc w:val="center"/>
                    <w:textAlignment w:val="auto"/>
                    <w:rPr>
                      <w:rFonts w:hint="eastAsia" w:ascii="Times New Roman" w:hAnsi="Times New Roman" w:eastAsia="宋体" w:cs="Times New Roman"/>
                      <w:sz w:val="18"/>
                      <w:szCs w:val="18"/>
                      <w:highlight w:val="none"/>
                    </w:rPr>
                  </w:pPr>
                  <w:r>
                    <w:rPr>
                      <w:rFonts w:hint="default" w:ascii="Times New Roman" w:hAnsi="Times New Roman" w:eastAsia="宋体" w:cs="Times New Roman"/>
                      <w:bCs/>
                      <w:kern w:val="0"/>
                      <w:sz w:val="18"/>
                      <w:szCs w:val="18"/>
                      <w:highlight w:val="none"/>
                    </w:rPr>
                    <w:t>硫化氢</w:t>
                  </w:r>
                </w:p>
              </w:tc>
              <w:tc>
                <w:tcPr>
                  <w:tcW w:w="975" w:type="dxa"/>
                  <w:vMerge w:val="continue"/>
                  <w:noWrap w:val="0"/>
                  <w:vAlign w:val="center"/>
                </w:tcPr>
                <w:p w14:paraId="4A4D6113">
                  <w:pPr>
                    <w:keepNext w:val="0"/>
                    <w:keepLines w:val="0"/>
                    <w:suppressLineNumbers w:val="0"/>
                    <w:spacing w:before="0" w:beforeAutospacing="0" w:after="0" w:afterAutospacing="0"/>
                    <w:ind w:left="0" w:right="0"/>
                    <w:jc w:val="center"/>
                    <w:rPr>
                      <w:rFonts w:hint="eastAsia" w:ascii="Times New Roman" w:hAnsi="Times New Roman" w:eastAsia="宋体" w:cs="Times New Roman"/>
                      <w:sz w:val="18"/>
                      <w:szCs w:val="18"/>
                      <w:highlight w:val="none"/>
                    </w:rPr>
                  </w:pPr>
                </w:p>
              </w:tc>
              <w:tc>
                <w:tcPr>
                  <w:tcW w:w="645" w:type="dxa"/>
                  <w:vMerge w:val="continue"/>
                  <w:noWrap w:val="0"/>
                  <w:vAlign w:val="center"/>
                </w:tcPr>
                <w:p w14:paraId="4EAFB4C4">
                  <w:pPr>
                    <w:keepNext w:val="0"/>
                    <w:keepLines w:val="0"/>
                    <w:suppressLineNumbers w:val="0"/>
                    <w:spacing w:before="0" w:beforeAutospacing="0" w:after="0" w:afterAutospacing="0"/>
                    <w:ind w:left="0" w:right="0"/>
                    <w:jc w:val="center"/>
                    <w:rPr>
                      <w:rFonts w:hint="eastAsia" w:ascii="Times New Roman" w:hAnsi="Times New Roman" w:eastAsia="宋体" w:cs="Times New Roman"/>
                      <w:sz w:val="18"/>
                      <w:szCs w:val="18"/>
                      <w:highlight w:val="none"/>
                    </w:rPr>
                  </w:pPr>
                </w:p>
              </w:tc>
              <w:tc>
                <w:tcPr>
                  <w:tcW w:w="1267" w:type="dxa"/>
                  <w:noWrap w:val="0"/>
                  <w:vAlign w:val="center"/>
                </w:tcPr>
                <w:p w14:paraId="13BC0816">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64" w:lineRule="auto"/>
                    <w:ind w:left="0" w:leftChars="0" w:right="0" w:rightChars="0"/>
                    <w:jc w:val="center"/>
                    <w:textAlignment w:val="auto"/>
                    <w:rPr>
                      <w:rFonts w:hint="eastAsia" w:ascii="Times New Roman" w:hAnsi="Times New Roman" w:eastAsia="宋体" w:cs="Times New Roman"/>
                      <w:sz w:val="18"/>
                      <w:szCs w:val="18"/>
                      <w:highlight w:val="none"/>
                    </w:rPr>
                  </w:pPr>
                  <w:r>
                    <w:rPr>
                      <w:rFonts w:hint="eastAsia" w:ascii="Times New Roman" w:hAnsi="Times New Roman" w:eastAsia="宋体" w:cs="Times New Roman"/>
                      <w:bCs/>
                      <w:kern w:val="0"/>
                      <w:sz w:val="18"/>
                      <w:szCs w:val="18"/>
                      <w:highlight w:val="none"/>
                      <w:lang w:val="en-US" w:eastAsia="zh-CN"/>
                    </w:rPr>
                    <w:t xml:space="preserve">0.006 </w:t>
                  </w:r>
                </w:p>
              </w:tc>
              <w:tc>
                <w:tcPr>
                  <w:tcW w:w="1170" w:type="dxa"/>
                  <w:noWrap w:val="0"/>
                  <w:vAlign w:val="center"/>
                </w:tcPr>
                <w:p w14:paraId="2E5E4176">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64" w:lineRule="auto"/>
                    <w:ind w:left="0" w:right="0"/>
                    <w:jc w:val="center"/>
                    <w:textAlignment w:val="auto"/>
                    <w:rPr>
                      <w:rFonts w:hint="default" w:ascii="Times New Roman" w:hAnsi="Times New Roman" w:eastAsia="宋体" w:cs="Times New Roman"/>
                      <w:sz w:val="18"/>
                      <w:szCs w:val="18"/>
                      <w:highlight w:val="none"/>
                    </w:rPr>
                  </w:pPr>
                  <w:r>
                    <w:rPr>
                      <w:rFonts w:hint="eastAsia" w:ascii="Times New Roman" w:hAnsi="Times New Roman" w:eastAsia="宋体" w:cs="Times New Roman"/>
                      <w:bCs/>
                      <w:kern w:val="0"/>
                      <w:sz w:val="18"/>
                      <w:szCs w:val="18"/>
                      <w:highlight w:val="none"/>
                      <w:lang w:val="en-US" w:eastAsia="zh-CN"/>
                    </w:rPr>
                    <w:t>0.2</w:t>
                  </w:r>
                  <w:r>
                    <w:rPr>
                      <w:rFonts w:hint="eastAsia" w:cs="Times New Roman"/>
                      <w:bCs/>
                      <w:kern w:val="0"/>
                      <w:sz w:val="18"/>
                      <w:szCs w:val="18"/>
                      <w:highlight w:val="none"/>
                      <w:lang w:val="en-US" w:eastAsia="zh-CN"/>
                    </w:rPr>
                    <w:t>8</w:t>
                  </w:r>
                  <w:r>
                    <w:rPr>
                      <w:rFonts w:hint="eastAsia" w:ascii="Times New Roman" w:hAnsi="Times New Roman" w:eastAsia="宋体" w:cs="Times New Roman"/>
                      <w:bCs/>
                      <w:kern w:val="0"/>
                      <w:sz w:val="18"/>
                      <w:szCs w:val="18"/>
                      <w:highlight w:val="none"/>
                      <w:lang w:val="en-US" w:eastAsia="zh-CN"/>
                    </w:rPr>
                    <w:t xml:space="preserve"> </w:t>
                  </w:r>
                </w:p>
              </w:tc>
              <w:tc>
                <w:tcPr>
                  <w:tcW w:w="638" w:type="dxa"/>
                  <w:vMerge w:val="continue"/>
                  <w:noWrap w:val="0"/>
                  <w:vAlign w:val="center"/>
                </w:tcPr>
                <w:p w14:paraId="7AADD820">
                  <w:pPr>
                    <w:keepNext w:val="0"/>
                    <w:keepLines w:val="0"/>
                    <w:suppressLineNumbers w:val="0"/>
                    <w:spacing w:before="0" w:beforeAutospacing="0" w:after="0" w:afterAutospacing="0"/>
                    <w:ind w:left="0" w:right="0"/>
                    <w:jc w:val="center"/>
                    <w:rPr>
                      <w:rFonts w:hint="eastAsia" w:ascii="Times New Roman" w:hAnsi="Times New Roman" w:eastAsia="宋体" w:cs="Times New Roman"/>
                      <w:sz w:val="18"/>
                      <w:szCs w:val="18"/>
                      <w:highlight w:val="none"/>
                    </w:rPr>
                  </w:pPr>
                </w:p>
              </w:tc>
              <w:tc>
                <w:tcPr>
                  <w:tcW w:w="1159" w:type="dxa"/>
                  <w:shd w:val="clear" w:color="auto" w:fill="auto"/>
                  <w:noWrap w:val="0"/>
                  <w:vAlign w:val="center"/>
                </w:tcPr>
                <w:p w14:paraId="6B808519">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64" w:lineRule="auto"/>
                    <w:ind w:left="0" w:leftChars="0" w:right="0" w:rightChars="0"/>
                    <w:jc w:val="center"/>
                    <w:textAlignment w:val="auto"/>
                    <w:rPr>
                      <w:rFonts w:hint="eastAsia" w:ascii="Times New Roman" w:hAnsi="Times New Roman" w:eastAsia="宋体" w:cs="Times New Roman"/>
                      <w:kern w:val="2"/>
                      <w:sz w:val="18"/>
                      <w:szCs w:val="18"/>
                      <w:highlight w:val="none"/>
                      <w:lang w:val="en-US" w:eastAsia="zh-CN" w:bidi="ar-SA"/>
                    </w:rPr>
                  </w:pPr>
                  <w:r>
                    <w:rPr>
                      <w:rFonts w:hint="eastAsia" w:ascii="Times New Roman" w:hAnsi="Times New Roman" w:eastAsia="宋体" w:cs="Times New Roman"/>
                      <w:bCs/>
                      <w:kern w:val="0"/>
                      <w:sz w:val="18"/>
                      <w:szCs w:val="18"/>
                      <w:highlight w:val="none"/>
                      <w:lang w:val="en-US" w:eastAsia="zh-CN"/>
                    </w:rPr>
                    <w:t xml:space="preserve">0.006 </w:t>
                  </w:r>
                </w:p>
              </w:tc>
            </w:tr>
            <w:tr w14:paraId="071A23F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jc w:val="center"/>
              </w:trPr>
              <w:tc>
                <w:tcPr>
                  <w:tcW w:w="1047" w:type="dxa"/>
                  <w:vMerge w:val="continue"/>
                  <w:noWrap w:val="0"/>
                  <w:vAlign w:val="center"/>
                </w:tcPr>
                <w:p w14:paraId="4B05F78D">
                  <w:pPr>
                    <w:keepNext w:val="0"/>
                    <w:keepLines w:val="0"/>
                    <w:suppressLineNumbers w:val="0"/>
                    <w:spacing w:before="0" w:beforeAutospacing="0" w:after="0" w:afterAutospacing="0"/>
                    <w:ind w:left="0" w:right="0"/>
                    <w:jc w:val="center"/>
                    <w:rPr>
                      <w:rFonts w:hint="eastAsia" w:ascii="Times New Roman" w:hAnsi="Times New Roman" w:eastAsia="宋体" w:cs="Times New Roman"/>
                      <w:sz w:val="18"/>
                      <w:szCs w:val="18"/>
                      <w:highlight w:val="none"/>
                    </w:rPr>
                  </w:pPr>
                </w:p>
              </w:tc>
              <w:tc>
                <w:tcPr>
                  <w:tcW w:w="1183" w:type="dxa"/>
                  <w:noWrap w:val="0"/>
                  <w:vAlign w:val="center"/>
                </w:tcPr>
                <w:p w14:paraId="03374203">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64" w:lineRule="auto"/>
                    <w:ind w:left="0" w:right="0"/>
                    <w:jc w:val="center"/>
                    <w:textAlignment w:val="auto"/>
                    <w:rPr>
                      <w:rFonts w:hint="default" w:ascii="Times New Roman" w:hAnsi="Times New Roman" w:eastAsia="宋体" w:cs="Times New Roman"/>
                      <w:color w:val="000000"/>
                      <w:kern w:val="0"/>
                      <w:sz w:val="18"/>
                      <w:szCs w:val="18"/>
                      <w:highlight w:val="none"/>
                      <w:lang w:bidi="ar"/>
                    </w:rPr>
                  </w:pPr>
                  <w:r>
                    <w:rPr>
                      <w:rFonts w:hint="default" w:ascii="Times New Roman" w:hAnsi="Times New Roman" w:eastAsia="宋体" w:cs="Times New Roman"/>
                      <w:bCs/>
                      <w:kern w:val="0"/>
                      <w:sz w:val="18"/>
                      <w:szCs w:val="18"/>
                      <w:highlight w:val="none"/>
                    </w:rPr>
                    <w:t>臭气浓度</w:t>
                  </w:r>
                </w:p>
              </w:tc>
              <w:tc>
                <w:tcPr>
                  <w:tcW w:w="975" w:type="dxa"/>
                  <w:vMerge w:val="continue"/>
                  <w:noWrap w:val="0"/>
                  <w:vAlign w:val="center"/>
                </w:tcPr>
                <w:p w14:paraId="03ED4BDB">
                  <w:pPr>
                    <w:keepNext w:val="0"/>
                    <w:keepLines w:val="0"/>
                    <w:suppressLineNumbers w:val="0"/>
                    <w:spacing w:before="0" w:beforeAutospacing="0" w:after="0" w:afterAutospacing="0"/>
                    <w:ind w:left="0" w:right="0"/>
                    <w:jc w:val="center"/>
                    <w:rPr>
                      <w:rFonts w:hint="eastAsia" w:ascii="Times New Roman" w:hAnsi="Times New Roman" w:eastAsia="宋体" w:cs="Times New Roman"/>
                      <w:sz w:val="18"/>
                      <w:szCs w:val="18"/>
                      <w:highlight w:val="none"/>
                    </w:rPr>
                  </w:pPr>
                </w:p>
              </w:tc>
              <w:tc>
                <w:tcPr>
                  <w:tcW w:w="645" w:type="dxa"/>
                  <w:vMerge w:val="continue"/>
                  <w:noWrap w:val="0"/>
                  <w:vAlign w:val="center"/>
                </w:tcPr>
                <w:p w14:paraId="7E17F672">
                  <w:pPr>
                    <w:keepNext w:val="0"/>
                    <w:keepLines w:val="0"/>
                    <w:suppressLineNumbers w:val="0"/>
                    <w:spacing w:before="0" w:beforeAutospacing="0" w:after="0" w:afterAutospacing="0"/>
                    <w:ind w:left="0" w:right="0"/>
                    <w:jc w:val="center"/>
                    <w:rPr>
                      <w:rFonts w:hint="eastAsia" w:ascii="Times New Roman" w:hAnsi="Times New Roman" w:eastAsia="宋体" w:cs="Times New Roman"/>
                      <w:sz w:val="18"/>
                      <w:szCs w:val="18"/>
                      <w:highlight w:val="none"/>
                    </w:rPr>
                  </w:pPr>
                </w:p>
              </w:tc>
              <w:tc>
                <w:tcPr>
                  <w:tcW w:w="2437" w:type="dxa"/>
                  <w:gridSpan w:val="2"/>
                  <w:noWrap w:val="0"/>
                  <w:vAlign w:val="center"/>
                </w:tcPr>
                <w:p w14:paraId="6377F0C7">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color w:val="000000"/>
                      <w:kern w:val="0"/>
                      <w:sz w:val="18"/>
                      <w:szCs w:val="18"/>
                      <w:highlight w:val="none"/>
                      <w:lang w:bidi="ar"/>
                    </w:rPr>
                  </w:pPr>
                  <w:r>
                    <w:rPr>
                      <w:rFonts w:hint="eastAsia" w:ascii="Times New Roman" w:hAnsi="Times New Roman" w:eastAsia="宋体" w:cs="Times New Roman"/>
                      <w:bCs/>
                      <w:kern w:val="0"/>
                      <w:sz w:val="18"/>
                      <w:szCs w:val="18"/>
                      <w:highlight w:val="none"/>
                      <w:lang w:val="en-US" w:eastAsia="zh-CN"/>
                    </w:rPr>
                    <w:t>1318（无量纲）</w:t>
                  </w:r>
                </w:p>
              </w:tc>
              <w:tc>
                <w:tcPr>
                  <w:tcW w:w="638" w:type="dxa"/>
                  <w:vMerge w:val="continue"/>
                  <w:noWrap w:val="0"/>
                  <w:vAlign w:val="center"/>
                </w:tcPr>
                <w:p w14:paraId="7BD75166">
                  <w:pPr>
                    <w:keepNext w:val="0"/>
                    <w:keepLines w:val="0"/>
                    <w:suppressLineNumbers w:val="0"/>
                    <w:spacing w:before="0" w:beforeAutospacing="0" w:after="0" w:afterAutospacing="0"/>
                    <w:ind w:left="0" w:right="0"/>
                    <w:jc w:val="center"/>
                    <w:rPr>
                      <w:rFonts w:hint="eastAsia" w:ascii="Times New Roman" w:hAnsi="Times New Roman" w:eastAsia="宋体" w:cs="Times New Roman"/>
                      <w:sz w:val="18"/>
                      <w:szCs w:val="18"/>
                      <w:highlight w:val="none"/>
                    </w:rPr>
                  </w:pPr>
                </w:p>
              </w:tc>
              <w:tc>
                <w:tcPr>
                  <w:tcW w:w="1159" w:type="dxa"/>
                  <w:noWrap w:val="0"/>
                  <w:vAlign w:val="center"/>
                </w:tcPr>
                <w:p w14:paraId="7171F1EF">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color w:val="000000"/>
                      <w:kern w:val="0"/>
                      <w:sz w:val="18"/>
                      <w:szCs w:val="18"/>
                      <w:highlight w:val="none"/>
                      <w:lang w:bidi="ar"/>
                    </w:rPr>
                  </w:pPr>
                  <w:r>
                    <w:rPr>
                      <w:rFonts w:hint="eastAsia" w:ascii="Times New Roman" w:hAnsi="Times New Roman" w:eastAsia="宋体" w:cs="Times New Roman"/>
                      <w:bCs/>
                      <w:kern w:val="0"/>
                      <w:sz w:val="18"/>
                      <w:szCs w:val="18"/>
                      <w:highlight w:val="none"/>
                      <w:lang w:val="en-US" w:eastAsia="zh-CN"/>
                    </w:rPr>
                    <w:t>1318（无量纲）</w:t>
                  </w:r>
                </w:p>
              </w:tc>
            </w:tr>
            <w:tr w14:paraId="11B3E64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jc w:val="center"/>
              </w:trPr>
              <w:tc>
                <w:tcPr>
                  <w:tcW w:w="1047" w:type="dxa"/>
                  <w:vMerge w:val="continue"/>
                  <w:noWrap w:val="0"/>
                  <w:vAlign w:val="center"/>
                </w:tcPr>
                <w:p w14:paraId="50A31A9D">
                  <w:pPr>
                    <w:keepNext w:val="0"/>
                    <w:keepLines w:val="0"/>
                    <w:suppressLineNumbers w:val="0"/>
                    <w:spacing w:before="0" w:beforeAutospacing="0" w:after="0" w:afterAutospacing="0"/>
                    <w:ind w:left="0" w:right="0"/>
                    <w:jc w:val="center"/>
                    <w:rPr>
                      <w:rFonts w:hint="eastAsia" w:ascii="Times New Roman" w:hAnsi="Times New Roman" w:eastAsia="宋体" w:cs="Times New Roman"/>
                      <w:sz w:val="18"/>
                      <w:szCs w:val="18"/>
                      <w:highlight w:val="none"/>
                    </w:rPr>
                  </w:pPr>
                </w:p>
              </w:tc>
              <w:tc>
                <w:tcPr>
                  <w:tcW w:w="1183" w:type="dxa"/>
                  <w:noWrap w:val="0"/>
                  <w:vAlign w:val="center"/>
                </w:tcPr>
                <w:p w14:paraId="078522BB">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64" w:lineRule="auto"/>
                    <w:ind w:left="0" w:right="0"/>
                    <w:jc w:val="center"/>
                    <w:textAlignment w:val="auto"/>
                    <w:rPr>
                      <w:rFonts w:hint="eastAsia" w:ascii="Times New Roman" w:hAnsi="Times New Roman" w:eastAsia="宋体" w:cs="Times New Roman"/>
                      <w:bCs/>
                      <w:kern w:val="0"/>
                      <w:sz w:val="18"/>
                      <w:szCs w:val="18"/>
                      <w:highlight w:val="none"/>
                      <w:lang w:val="en-US" w:eastAsia="zh-CN"/>
                    </w:rPr>
                  </w:pPr>
                  <w:r>
                    <w:rPr>
                      <w:rFonts w:hint="eastAsia" w:cs="Times New Roman"/>
                      <w:bCs/>
                      <w:kern w:val="0"/>
                      <w:sz w:val="18"/>
                      <w:szCs w:val="18"/>
                      <w:highlight w:val="none"/>
                      <w:lang w:val="en-US" w:eastAsia="zh-CN"/>
                    </w:rPr>
                    <w:t>颗粒物</w:t>
                  </w:r>
                </w:p>
              </w:tc>
              <w:tc>
                <w:tcPr>
                  <w:tcW w:w="975" w:type="dxa"/>
                  <w:vMerge w:val="continue"/>
                  <w:noWrap w:val="0"/>
                  <w:vAlign w:val="center"/>
                </w:tcPr>
                <w:p w14:paraId="68E19B5E">
                  <w:pPr>
                    <w:keepNext w:val="0"/>
                    <w:keepLines w:val="0"/>
                    <w:suppressLineNumbers w:val="0"/>
                    <w:spacing w:before="0" w:beforeAutospacing="0" w:after="0" w:afterAutospacing="0"/>
                    <w:ind w:left="0" w:right="0"/>
                    <w:jc w:val="center"/>
                    <w:rPr>
                      <w:rFonts w:hint="eastAsia" w:ascii="Times New Roman" w:hAnsi="Times New Roman" w:eastAsia="宋体" w:cs="Times New Roman"/>
                      <w:sz w:val="18"/>
                      <w:szCs w:val="18"/>
                      <w:highlight w:val="none"/>
                    </w:rPr>
                  </w:pPr>
                </w:p>
              </w:tc>
              <w:tc>
                <w:tcPr>
                  <w:tcW w:w="645" w:type="dxa"/>
                  <w:vMerge w:val="continue"/>
                  <w:noWrap w:val="0"/>
                  <w:vAlign w:val="center"/>
                </w:tcPr>
                <w:p w14:paraId="1B6E0588">
                  <w:pPr>
                    <w:keepNext w:val="0"/>
                    <w:keepLines w:val="0"/>
                    <w:suppressLineNumbers w:val="0"/>
                    <w:spacing w:before="0" w:beforeAutospacing="0" w:after="0" w:afterAutospacing="0"/>
                    <w:ind w:left="0" w:right="0"/>
                    <w:jc w:val="center"/>
                    <w:rPr>
                      <w:rFonts w:hint="eastAsia" w:ascii="Times New Roman" w:hAnsi="Times New Roman" w:eastAsia="宋体" w:cs="Times New Roman"/>
                      <w:sz w:val="18"/>
                      <w:szCs w:val="18"/>
                      <w:highlight w:val="none"/>
                    </w:rPr>
                  </w:pPr>
                </w:p>
              </w:tc>
              <w:tc>
                <w:tcPr>
                  <w:tcW w:w="2437" w:type="dxa"/>
                  <w:gridSpan w:val="2"/>
                  <w:noWrap w:val="0"/>
                  <w:vAlign w:val="center"/>
                </w:tcPr>
                <w:p w14:paraId="1BCD53CF">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bCs/>
                      <w:kern w:val="0"/>
                      <w:sz w:val="18"/>
                      <w:szCs w:val="18"/>
                      <w:highlight w:val="none"/>
                      <w:lang w:val="en-US" w:eastAsia="zh-CN"/>
                    </w:rPr>
                  </w:pPr>
                  <w:r>
                    <w:rPr>
                      <w:rFonts w:hint="eastAsia" w:cs="Times New Roman"/>
                      <w:bCs/>
                      <w:kern w:val="0"/>
                      <w:sz w:val="18"/>
                      <w:szCs w:val="18"/>
                      <w:highlight w:val="none"/>
                      <w:lang w:val="en-US" w:eastAsia="zh-CN"/>
                    </w:rPr>
                    <w:t>少量</w:t>
                  </w:r>
                </w:p>
              </w:tc>
              <w:tc>
                <w:tcPr>
                  <w:tcW w:w="638" w:type="dxa"/>
                  <w:vMerge w:val="continue"/>
                  <w:noWrap w:val="0"/>
                  <w:vAlign w:val="center"/>
                </w:tcPr>
                <w:p w14:paraId="1D90AFD2">
                  <w:pPr>
                    <w:keepNext w:val="0"/>
                    <w:keepLines w:val="0"/>
                    <w:suppressLineNumbers w:val="0"/>
                    <w:spacing w:before="0" w:beforeAutospacing="0" w:after="0" w:afterAutospacing="0"/>
                    <w:ind w:left="0" w:right="0"/>
                    <w:jc w:val="center"/>
                    <w:rPr>
                      <w:rFonts w:hint="eastAsia" w:ascii="Times New Roman" w:hAnsi="Times New Roman" w:eastAsia="宋体" w:cs="Times New Roman"/>
                      <w:sz w:val="18"/>
                      <w:szCs w:val="18"/>
                      <w:highlight w:val="none"/>
                    </w:rPr>
                  </w:pPr>
                </w:p>
              </w:tc>
              <w:tc>
                <w:tcPr>
                  <w:tcW w:w="1159" w:type="dxa"/>
                  <w:noWrap w:val="0"/>
                  <w:vAlign w:val="center"/>
                </w:tcPr>
                <w:p w14:paraId="07E3F481">
                  <w:pPr>
                    <w:keepNext w:val="0"/>
                    <w:keepLines w:val="0"/>
                    <w:widowControl/>
                    <w:suppressLineNumbers w:val="0"/>
                    <w:spacing w:before="0" w:beforeAutospacing="0" w:after="0" w:afterAutospacing="0"/>
                    <w:ind w:left="0" w:right="0"/>
                    <w:jc w:val="center"/>
                    <w:textAlignment w:val="center"/>
                    <w:rPr>
                      <w:rFonts w:hint="eastAsia" w:ascii="Times New Roman" w:hAnsi="Times New Roman" w:eastAsia="宋体" w:cs="Times New Roman"/>
                      <w:bCs/>
                      <w:kern w:val="0"/>
                      <w:sz w:val="18"/>
                      <w:szCs w:val="18"/>
                      <w:highlight w:val="none"/>
                      <w:lang w:val="en-US" w:eastAsia="zh-CN"/>
                    </w:rPr>
                  </w:pPr>
                  <w:r>
                    <w:rPr>
                      <w:rFonts w:hint="eastAsia" w:cs="Times New Roman"/>
                      <w:bCs/>
                      <w:kern w:val="0"/>
                      <w:sz w:val="18"/>
                      <w:szCs w:val="18"/>
                      <w:highlight w:val="none"/>
                      <w:lang w:val="en-US" w:eastAsia="zh-CN"/>
                    </w:rPr>
                    <w:t>少量</w:t>
                  </w:r>
                </w:p>
              </w:tc>
            </w:tr>
            <w:tr w14:paraId="1596C6D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jc w:val="center"/>
              </w:trPr>
              <w:tc>
                <w:tcPr>
                  <w:tcW w:w="1047" w:type="dxa"/>
                  <w:vMerge w:val="restart"/>
                  <w:noWrap w:val="0"/>
                  <w:vAlign w:val="center"/>
                </w:tcPr>
                <w:p w14:paraId="20FB8BD6">
                  <w:pPr>
                    <w:keepNext w:val="0"/>
                    <w:keepLines w:val="0"/>
                    <w:suppressLineNumbers w:val="0"/>
                    <w:spacing w:before="0" w:beforeAutospacing="0" w:after="0" w:afterAutospacing="0"/>
                    <w:ind w:left="0" w:right="0"/>
                    <w:jc w:val="center"/>
                    <w:rPr>
                      <w:rFonts w:hint="eastAsia" w:ascii="Times New Roman" w:hAnsi="Times New Roman" w:eastAsia="宋体" w:cs="Times New Roman"/>
                      <w:sz w:val="18"/>
                      <w:szCs w:val="18"/>
                      <w:highlight w:val="none"/>
                    </w:rPr>
                  </w:pPr>
                  <w:r>
                    <w:rPr>
                      <w:rFonts w:hint="eastAsia" w:ascii="Times New Roman" w:hAnsi="Times New Roman" w:eastAsia="宋体" w:cs="Times New Roman"/>
                      <w:sz w:val="18"/>
                      <w:szCs w:val="18"/>
                      <w:highlight w:val="none"/>
                      <w:lang w:val="en-US" w:eastAsia="zh-CN"/>
                    </w:rPr>
                    <w:t>饲养废气（DA003）</w:t>
                  </w:r>
                </w:p>
              </w:tc>
              <w:tc>
                <w:tcPr>
                  <w:tcW w:w="1183" w:type="dxa"/>
                  <w:shd w:val="clear" w:color="auto" w:fill="auto"/>
                  <w:noWrap w:val="0"/>
                  <w:vAlign w:val="center"/>
                </w:tcPr>
                <w:p w14:paraId="056C1BC7">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64" w:lineRule="auto"/>
                    <w:ind w:left="0" w:right="0"/>
                    <w:jc w:val="center"/>
                    <w:textAlignment w:val="auto"/>
                    <w:rPr>
                      <w:rFonts w:hint="eastAsia" w:ascii="Times New Roman" w:hAnsi="Times New Roman" w:eastAsia="宋体" w:cs="Times New Roman"/>
                      <w:kern w:val="2"/>
                      <w:sz w:val="18"/>
                      <w:szCs w:val="18"/>
                      <w:highlight w:val="none"/>
                      <w:lang w:val="en-US" w:eastAsia="zh-CN" w:bidi="ar-SA"/>
                    </w:rPr>
                  </w:pPr>
                  <w:r>
                    <w:rPr>
                      <w:rFonts w:hint="default" w:ascii="Times New Roman" w:hAnsi="Times New Roman" w:eastAsia="宋体" w:cs="Times New Roman"/>
                      <w:bCs/>
                      <w:kern w:val="0"/>
                      <w:sz w:val="18"/>
                      <w:szCs w:val="18"/>
                      <w:highlight w:val="none"/>
                    </w:rPr>
                    <w:t>氨</w:t>
                  </w:r>
                </w:p>
              </w:tc>
              <w:tc>
                <w:tcPr>
                  <w:tcW w:w="975" w:type="dxa"/>
                  <w:vMerge w:val="continue"/>
                  <w:noWrap w:val="0"/>
                  <w:vAlign w:val="center"/>
                </w:tcPr>
                <w:p w14:paraId="6455890B">
                  <w:pPr>
                    <w:keepNext w:val="0"/>
                    <w:keepLines w:val="0"/>
                    <w:suppressLineNumbers w:val="0"/>
                    <w:spacing w:before="0" w:beforeAutospacing="0" w:after="0" w:afterAutospacing="0"/>
                    <w:ind w:left="0" w:right="0"/>
                    <w:jc w:val="center"/>
                    <w:rPr>
                      <w:rFonts w:hint="eastAsia" w:ascii="Times New Roman" w:hAnsi="Times New Roman" w:eastAsia="宋体" w:cs="Times New Roman"/>
                      <w:sz w:val="18"/>
                      <w:szCs w:val="18"/>
                      <w:highlight w:val="none"/>
                    </w:rPr>
                  </w:pPr>
                </w:p>
              </w:tc>
              <w:tc>
                <w:tcPr>
                  <w:tcW w:w="645" w:type="dxa"/>
                  <w:vMerge w:val="continue"/>
                  <w:noWrap w:val="0"/>
                  <w:vAlign w:val="center"/>
                </w:tcPr>
                <w:p w14:paraId="04F46F78">
                  <w:pPr>
                    <w:keepNext w:val="0"/>
                    <w:keepLines w:val="0"/>
                    <w:suppressLineNumbers w:val="0"/>
                    <w:spacing w:before="0" w:beforeAutospacing="0" w:after="0" w:afterAutospacing="0"/>
                    <w:ind w:left="0" w:right="0"/>
                    <w:jc w:val="center"/>
                    <w:rPr>
                      <w:rFonts w:hint="eastAsia" w:ascii="Times New Roman" w:hAnsi="Times New Roman" w:eastAsia="宋体" w:cs="Times New Roman"/>
                      <w:sz w:val="18"/>
                      <w:szCs w:val="18"/>
                      <w:highlight w:val="none"/>
                    </w:rPr>
                  </w:pPr>
                </w:p>
              </w:tc>
              <w:tc>
                <w:tcPr>
                  <w:tcW w:w="1267" w:type="dxa"/>
                  <w:shd w:val="clear" w:color="auto" w:fill="auto"/>
                  <w:noWrap w:val="0"/>
                  <w:vAlign w:val="center"/>
                </w:tcPr>
                <w:p w14:paraId="60AD515E">
                  <w:pPr>
                    <w:keepNext w:val="0"/>
                    <w:keepLines w:val="0"/>
                    <w:widowControl/>
                    <w:suppressLineNumbers w:val="0"/>
                    <w:spacing w:before="0" w:beforeAutospacing="0" w:after="0" w:afterAutospacing="0"/>
                    <w:ind w:left="0" w:leftChars="0" w:right="0" w:rightChars="0"/>
                    <w:jc w:val="center"/>
                    <w:textAlignment w:val="center"/>
                    <w:rPr>
                      <w:rFonts w:hint="eastAsia" w:ascii="Times New Roman" w:hAnsi="Times New Roman" w:eastAsia="宋体" w:cs="Times New Roman"/>
                      <w:bCs/>
                      <w:kern w:val="0"/>
                      <w:sz w:val="18"/>
                      <w:szCs w:val="18"/>
                      <w:highlight w:val="none"/>
                      <w:lang w:val="en-US" w:eastAsia="zh-CN" w:bidi="ar-SA"/>
                    </w:rPr>
                  </w:pPr>
                  <w:r>
                    <w:rPr>
                      <w:rFonts w:hint="default" w:ascii="Times New Roman" w:hAnsi="Times New Roman" w:eastAsia="宋体" w:cs="Times New Roman"/>
                      <w:i w:val="0"/>
                      <w:iCs w:val="0"/>
                      <w:color w:val="000000"/>
                      <w:kern w:val="0"/>
                      <w:sz w:val="18"/>
                      <w:szCs w:val="18"/>
                      <w:highlight w:val="none"/>
                      <w:u w:val="none"/>
                      <w:lang w:val="en-US" w:eastAsia="zh-CN" w:bidi="ar"/>
                    </w:rPr>
                    <w:t>0.00</w:t>
                  </w:r>
                  <w:r>
                    <w:rPr>
                      <w:rFonts w:hint="eastAsia" w:cs="Times New Roman"/>
                      <w:i w:val="0"/>
                      <w:iCs w:val="0"/>
                      <w:color w:val="000000"/>
                      <w:kern w:val="0"/>
                      <w:sz w:val="18"/>
                      <w:szCs w:val="18"/>
                      <w:highlight w:val="none"/>
                      <w:u w:val="none"/>
                      <w:lang w:val="en-US" w:eastAsia="zh-CN" w:bidi="ar"/>
                    </w:rPr>
                    <w:t>1</w:t>
                  </w:r>
                </w:p>
              </w:tc>
              <w:tc>
                <w:tcPr>
                  <w:tcW w:w="1170" w:type="dxa"/>
                  <w:shd w:val="clear" w:color="auto" w:fill="auto"/>
                  <w:noWrap w:val="0"/>
                  <w:vAlign w:val="center"/>
                </w:tcPr>
                <w:p w14:paraId="094ECE8E">
                  <w:pPr>
                    <w:keepNext w:val="0"/>
                    <w:keepLines w:val="0"/>
                    <w:suppressLineNumbers w:val="0"/>
                    <w:spacing w:before="0" w:beforeAutospacing="0" w:after="0" w:afterAutospacing="0"/>
                    <w:ind w:left="0" w:leftChars="0" w:right="0" w:rightChars="0"/>
                    <w:jc w:val="center"/>
                    <w:rPr>
                      <w:rFonts w:hint="eastAsia" w:ascii="Times New Roman" w:hAnsi="Times New Roman" w:eastAsia="宋体" w:cs="Times New Roman"/>
                      <w:color w:val="auto"/>
                      <w:kern w:val="2"/>
                      <w:sz w:val="18"/>
                      <w:szCs w:val="18"/>
                      <w:highlight w:val="none"/>
                      <w:lang w:val="en-US" w:eastAsia="zh-CN" w:bidi="ar-SA"/>
                    </w:rPr>
                  </w:pPr>
                  <w:r>
                    <w:rPr>
                      <w:rFonts w:hint="eastAsia" w:cs="Times New Roman"/>
                      <w:color w:val="auto"/>
                      <w:kern w:val="2"/>
                      <w:sz w:val="18"/>
                      <w:szCs w:val="18"/>
                      <w:highlight w:val="none"/>
                      <w:lang w:val="en-US" w:eastAsia="zh-CN" w:bidi="ar-SA"/>
                    </w:rPr>
                    <w:t>0.05</w:t>
                  </w:r>
                </w:p>
              </w:tc>
              <w:tc>
                <w:tcPr>
                  <w:tcW w:w="638" w:type="dxa"/>
                  <w:vMerge w:val="continue"/>
                  <w:noWrap w:val="0"/>
                  <w:vAlign w:val="center"/>
                </w:tcPr>
                <w:p w14:paraId="725D88C4">
                  <w:pPr>
                    <w:keepNext w:val="0"/>
                    <w:keepLines w:val="0"/>
                    <w:suppressLineNumbers w:val="0"/>
                    <w:spacing w:before="0" w:beforeAutospacing="0" w:after="0" w:afterAutospacing="0"/>
                    <w:ind w:left="0" w:right="0"/>
                    <w:jc w:val="center"/>
                    <w:rPr>
                      <w:rFonts w:hint="eastAsia" w:ascii="Times New Roman" w:hAnsi="Times New Roman" w:eastAsia="宋体" w:cs="Times New Roman"/>
                      <w:sz w:val="18"/>
                      <w:szCs w:val="18"/>
                      <w:highlight w:val="none"/>
                    </w:rPr>
                  </w:pPr>
                </w:p>
              </w:tc>
              <w:tc>
                <w:tcPr>
                  <w:tcW w:w="1159" w:type="dxa"/>
                  <w:shd w:val="clear" w:color="auto" w:fill="auto"/>
                  <w:noWrap w:val="0"/>
                  <w:vAlign w:val="center"/>
                </w:tcPr>
                <w:p w14:paraId="26877B2E">
                  <w:pPr>
                    <w:keepNext w:val="0"/>
                    <w:keepLines w:val="0"/>
                    <w:widowControl/>
                    <w:suppressLineNumbers w:val="0"/>
                    <w:spacing w:before="0" w:beforeAutospacing="0" w:after="0" w:afterAutospacing="0"/>
                    <w:ind w:left="0" w:leftChars="0" w:right="0" w:rightChars="0"/>
                    <w:jc w:val="center"/>
                    <w:textAlignment w:val="center"/>
                    <w:rPr>
                      <w:rFonts w:hint="eastAsia" w:ascii="Times New Roman" w:hAnsi="Times New Roman" w:eastAsia="宋体" w:cs="Times New Roman"/>
                      <w:bCs/>
                      <w:kern w:val="0"/>
                      <w:sz w:val="18"/>
                      <w:szCs w:val="18"/>
                      <w:highlight w:val="none"/>
                      <w:lang w:val="en-US" w:eastAsia="zh-CN" w:bidi="ar-SA"/>
                    </w:rPr>
                  </w:pPr>
                  <w:r>
                    <w:rPr>
                      <w:rFonts w:hint="default" w:ascii="Times New Roman" w:hAnsi="Times New Roman" w:eastAsia="宋体" w:cs="Times New Roman"/>
                      <w:i w:val="0"/>
                      <w:iCs w:val="0"/>
                      <w:color w:val="000000"/>
                      <w:kern w:val="0"/>
                      <w:sz w:val="18"/>
                      <w:szCs w:val="18"/>
                      <w:highlight w:val="none"/>
                      <w:u w:val="none"/>
                      <w:lang w:val="en-US" w:eastAsia="zh-CN" w:bidi="ar"/>
                    </w:rPr>
                    <w:t>0.00</w:t>
                  </w:r>
                  <w:r>
                    <w:rPr>
                      <w:rFonts w:hint="eastAsia" w:cs="Times New Roman"/>
                      <w:i w:val="0"/>
                      <w:iCs w:val="0"/>
                      <w:color w:val="000000"/>
                      <w:kern w:val="0"/>
                      <w:sz w:val="18"/>
                      <w:szCs w:val="18"/>
                      <w:highlight w:val="none"/>
                      <w:u w:val="none"/>
                      <w:lang w:val="en-US" w:eastAsia="zh-CN" w:bidi="ar"/>
                    </w:rPr>
                    <w:t>1</w:t>
                  </w:r>
                </w:p>
              </w:tc>
            </w:tr>
            <w:tr w14:paraId="130C57B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jc w:val="center"/>
              </w:trPr>
              <w:tc>
                <w:tcPr>
                  <w:tcW w:w="1047" w:type="dxa"/>
                  <w:vMerge w:val="continue"/>
                  <w:noWrap w:val="0"/>
                  <w:vAlign w:val="center"/>
                </w:tcPr>
                <w:p w14:paraId="7FC0E7D7">
                  <w:pPr>
                    <w:keepNext w:val="0"/>
                    <w:keepLines w:val="0"/>
                    <w:suppressLineNumbers w:val="0"/>
                    <w:spacing w:before="0" w:beforeAutospacing="0" w:after="0" w:afterAutospacing="0"/>
                    <w:ind w:left="0" w:right="0"/>
                    <w:jc w:val="center"/>
                    <w:rPr>
                      <w:rFonts w:hint="eastAsia" w:ascii="Times New Roman" w:hAnsi="Times New Roman" w:eastAsia="宋体" w:cs="Times New Roman"/>
                      <w:sz w:val="18"/>
                      <w:szCs w:val="18"/>
                      <w:highlight w:val="none"/>
                    </w:rPr>
                  </w:pPr>
                </w:p>
              </w:tc>
              <w:tc>
                <w:tcPr>
                  <w:tcW w:w="1183" w:type="dxa"/>
                  <w:shd w:val="clear" w:color="auto" w:fill="auto"/>
                  <w:noWrap w:val="0"/>
                  <w:vAlign w:val="center"/>
                </w:tcPr>
                <w:p w14:paraId="293F14E0">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64" w:lineRule="auto"/>
                    <w:ind w:left="0" w:right="0"/>
                    <w:jc w:val="center"/>
                    <w:textAlignment w:val="auto"/>
                    <w:rPr>
                      <w:rFonts w:hint="eastAsia" w:ascii="Times New Roman" w:hAnsi="Times New Roman" w:eastAsia="宋体" w:cs="Times New Roman"/>
                      <w:kern w:val="2"/>
                      <w:sz w:val="18"/>
                      <w:szCs w:val="18"/>
                      <w:highlight w:val="none"/>
                      <w:lang w:val="en-US" w:eastAsia="zh-CN" w:bidi="ar-SA"/>
                    </w:rPr>
                  </w:pPr>
                  <w:r>
                    <w:rPr>
                      <w:rFonts w:hint="default" w:ascii="Times New Roman" w:hAnsi="Times New Roman" w:eastAsia="宋体" w:cs="Times New Roman"/>
                      <w:bCs/>
                      <w:kern w:val="0"/>
                      <w:sz w:val="18"/>
                      <w:szCs w:val="18"/>
                      <w:highlight w:val="none"/>
                    </w:rPr>
                    <w:t>硫化氢</w:t>
                  </w:r>
                </w:p>
              </w:tc>
              <w:tc>
                <w:tcPr>
                  <w:tcW w:w="975" w:type="dxa"/>
                  <w:vMerge w:val="continue"/>
                  <w:noWrap w:val="0"/>
                  <w:vAlign w:val="center"/>
                </w:tcPr>
                <w:p w14:paraId="4A0FF2D3">
                  <w:pPr>
                    <w:keepNext w:val="0"/>
                    <w:keepLines w:val="0"/>
                    <w:suppressLineNumbers w:val="0"/>
                    <w:spacing w:before="0" w:beforeAutospacing="0" w:after="0" w:afterAutospacing="0"/>
                    <w:ind w:left="0" w:right="0"/>
                    <w:jc w:val="center"/>
                    <w:rPr>
                      <w:rFonts w:hint="eastAsia" w:ascii="Times New Roman" w:hAnsi="Times New Roman" w:eastAsia="宋体" w:cs="Times New Roman"/>
                      <w:sz w:val="18"/>
                      <w:szCs w:val="18"/>
                      <w:highlight w:val="none"/>
                    </w:rPr>
                  </w:pPr>
                </w:p>
              </w:tc>
              <w:tc>
                <w:tcPr>
                  <w:tcW w:w="645" w:type="dxa"/>
                  <w:vMerge w:val="continue"/>
                  <w:noWrap w:val="0"/>
                  <w:vAlign w:val="center"/>
                </w:tcPr>
                <w:p w14:paraId="52E38AC8">
                  <w:pPr>
                    <w:keepNext w:val="0"/>
                    <w:keepLines w:val="0"/>
                    <w:suppressLineNumbers w:val="0"/>
                    <w:spacing w:before="0" w:beforeAutospacing="0" w:after="0" w:afterAutospacing="0"/>
                    <w:ind w:left="0" w:right="0"/>
                    <w:jc w:val="center"/>
                    <w:rPr>
                      <w:rFonts w:hint="eastAsia" w:ascii="Times New Roman" w:hAnsi="Times New Roman" w:eastAsia="宋体" w:cs="Times New Roman"/>
                      <w:sz w:val="18"/>
                      <w:szCs w:val="18"/>
                      <w:highlight w:val="none"/>
                    </w:rPr>
                  </w:pPr>
                </w:p>
              </w:tc>
              <w:tc>
                <w:tcPr>
                  <w:tcW w:w="1267" w:type="dxa"/>
                  <w:shd w:val="clear" w:color="auto" w:fill="auto"/>
                  <w:noWrap w:val="0"/>
                  <w:vAlign w:val="center"/>
                </w:tcPr>
                <w:p w14:paraId="05D7FD78">
                  <w:pPr>
                    <w:keepNext w:val="0"/>
                    <w:keepLines w:val="0"/>
                    <w:widowControl/>
                    <w:suppressLineNumbers w:val="0"/>
                    <w:spacing w:before="0" w:beforeAutospacing="0" w:after="0" w:afterAutospacing="0"/>
                    <w:ind w:left="0" w:leftChars="0" w:right="0" w:rightChars="0"/>
                    <w:jc w:val="center"/>
                    <w:textAlignment w:val="center"/>
                    <w:rPr>
                      <w:rFonts w:hint="eastAsia" w:ascii="Times New Roman" w:hAnsi="Times New Roman" w:eastAsia="宋体" w:cs="Times New Roman"/>
                      <w:bCs/>
                      <w:kern w:val="0"/>
                      <w:sz w:val="18"/>
                      <w:szCs w:val="18"/>
                      <w:highlight w:val="none"/>
                      <w:lang w:val="en-US" w:eastAsia="zh-CN" w:bidi="ar-SA"/>
                    </w:rPr>
                  </w:pPr>
                  <w:r>
                    <w:rPr>
                      <w:rFonts w:hint="eastAsia" w:ascii="Times New Roman" w:hAnsi="Times New Roman" w:eastAsia="宋体" w:cs="Times New Roman"/>
                      <w:i w:val="0"/>
                      <w:iCs w:val="0"/>
                      <w:color w:val="000000"/>
                      <w:kern w:val="0"/>
                      <w:sz w:val="18"/>
                      <w:szCs w:val="18"/>
                      <w:highlight w:val="none"/>
                      <w:u w:val="none"/>
                      <w:lang w:val="en-US" w:eastAsia="zh-CN" w:bidi="ar"/>
                    </w:rPr>
                    <w:t>~</w:t>
                  </w:r>
                  <w:r>
                    <w:rPr>
                      <w:rFonts w:hint="default" w:ascii="Times New Roman" w:hAnsi="Times New Roman" w:eastAsia="宋体" w:cs="Times New Roman"/>
                      <w:i w:val="0"/>
                      <w:iCs w:val="0"/>
                      <w:color w:val="000000"/>
                      <w:kern w:val="0"/>
                      <w:sz w:val="18"/>
                      <w:szCs w:val="18"/>
                      <w:highlight w:val="none"/>
                      <w:u w:val="none"/>
                      <w:lang w:val="en-US" w:eastAsia="zh-CN" w:bidi="ar"/>
                    </w:rPr>
                    <w:t>0</w:t>
                  </w:r>
                </w:p>
              </w:tc>
              <w:tc>
                <w:tcPr>
                  <w:tcW w:w="1170" w:type="dxa"/>
                  <w:shd w:val="clear" w:color="auto" w:fill="auto"/>
                  <w:noWrap w:val="0"/>
                  <w:vAlign w:val="center"/>
                </w:tcPr>
                <w:p w14:paraId="30480EBB">
                  <w:pPr>
                    <w:keepNext w:val="0"/>
                    <w:keepLines w:val="0"/>
                    <w:suppressLineNumbers w:val="0"/>
                    <w:spacing w:before="0" w:beforeAutospacing="0" w:after="0" w:afterAutospacing="0"/>
                    <w:ind w:left="0" w:leftChars="0" w:right="0" w:rightChars="0"/>
                    <w:jc w:val="center"/>
                    <w:rPr>
                      <w:rFonts w:hint="eastAsia" w:ascii="Times New Roman" w:hAnsi="Times New Roman" w:eastAsia="宋体" w:cs="Times New Roman"/>
                      <w:color w:val="auto"/>
                      <w:kern w:val="2"/>
                      <w:sz w:val="18"/>
                      <w:szCs w:val="18"/>
                      <w:highlight w:val="none"/>
                      <w:lang w:val="en-US" w:eastAsia="zh-CN" w:bidi="ar-SA"/>
                    </w:rPr>
                  </w:pPr>
                  <w:r>
                    <w:rPr>
                      <w:rFonts w:hint="eastAsia" w:ascii="Times New Roman" w:hAnsi="Times New Roman" w:eastAsia="宋体" w:cs="Times New Roman"/>
                      <w:i w:val="0"/>
                      <w:iCs w:val="0"/>
                      <w:color w:val="000000"/>
                      <w:kern w:val="0"/>
                      <w:sz w:val="18"/>
                      <w:szCs w:val="18"/>
                      <w:highlight w:val="none"/>
                      <w:u w:val="none"/>
                      <w:lang w:val="en-US" w:eastAsia="zh-CN" w:bidi="ar"/>
                    </w:rPr>
                    <w:t>~</w:t>
                  </w:r>
                  <w:r>
                    <w:rPr>
                      <w:rFonts w:hint="default" w:ascii="Times New Roman" w:hAnsi="Times New Roman" w:eastAsia="宋体" w:cs="Times New Roman"/>
                      <w:i w:val="0"/>
                      <w:iCs w:val="0"/>
                      <w:color w:val="000000"/>
                      <w:kern w:val="0"/>
                      <w:sz w:val="18"/>
                      <w:szCs w:val="18"/>
                      <w:highlight w:val="none"/>
                      <w:u w:val="none"/>
                      <w:lang w:val="en-US" w:eastAsia="zh-CN" w:bidi="ar"/>
                    </w:rPr>
                    <w:t>0</w:t>
                  </w:r>
                </w:p>
              </w:tc>
              <w:tc>
                <w:tcPr>
                  <w:tcW w:w="638" w:type="dxa"/>
                  <w:vMerge w:val="continue"/>
                  <w:noWrap w:val="0"/>
                  <w:vAlign w:val="center"/>
                </w:tcPr>
                <w:p w14:paraId="278950BA">
                  <w:pPr>
                    <w:keepNext w:val="0"/>
                    <w:keepLines w:val="0"/>
                    <w:suppressLineNumbers w:val="0"/>
                    <w:spacing w:before="0" w:beforeAutospacing="0" w:after="0" w:afterAutospacing="0"/>
                    <w:ind w:left="0" w:right="0"/>
                    <w:jc w:val="center"/>
                    <w:rPr>
                      <w:rFonts w:hint="eastAsia" w:ascii="Times New Roman" w:hAnsi="Times New Roman" w:eastAsia="宋体" w:cs="Times New Roman"/>
                      <w:sz w:val="18"/>
                      <w:szCs w:val="18"/>
                      <w:highlight w:val="none"/>
                    </w:rPr>
                  </w:pPr>
                </w:p>
              </w:tc>
              <w:tc>
                <w:tcPr>
                  <w:tcW w:w="1159" w:type="dxa"/>
                  <w:shd w:val="clear" w:color="auto" w:fill="auto"/>
                  <w:noWrap w:val="0"/>
                  <w:vAlign w:val="center"/>
                </w:tcPr>
                <w:p w14:paraId="2A4FDEA1">
                  <w:pPr>
                    <w:keepNext w:val="0"/>
                    <w:keepLines w:val="0"/>
                    <w:widowControl/>
                    <w:suppressLineNumbers w:val="0"/>
                    <w:spacing w:before="0" w:beforeAutospacing="0" w:after="0" w:afterAutospacing="0"/>
                    <w:ind w:left="0" w:leftChars="0" w:right="0" w:rightChars="0"/>
                    <w:jc w:val="center"/>
                    <w:textAlignment w:val="center"/>
                    <w:rPr>
                      <w:rFonts w:hint="eastAsia" w:ascii="Times New Roman" w:hAnsi="Times New Roman" w:eastAsia="宋体" w:cs="Times New Roman"/>
                      <w:bCs/>
                      <w:kern w:val="0"/>
                      <w:sz w:val="18"/>
                      <w:szCs w:val="18"/>
                      <w:highlight w:val="none"/>
                      <w:lang w:val="en-US" w:eastAsia="zh-CN" w:bidi="ar-SA"/>
                    </w:rPr>
                  </w:pPr>
                  <w:r>
                    <w:rPr>
                      <w:rFonts w:hint="eastAsia" w:ascii="Times New Roman" w:hAnsi="Times New Roman" w:eastAsia="宋体" w:cs="Times New Roman"/>
                      <w:i w:val="0"/>
                      <w:iCs w:val="0"/>
                      <w:color w:val="000000"/>
                      <w:kern w:val="0"/>
                      <w:sz w:val="18"/>
                      <w:szCs w:val="18"/>
                      <w:highlight w:val="none"/>
                      <w:u w:val="none"/>
                      <w:lang w:val="en-US" w:eastAsia="zh-CN" w:bidi="ar"/>
                    </w:rPr>
                    <w:t>~</w:t>
                  </w:r>
                  <w:r>
                    <w:rPr>
                      <w:rFonts w:hint="default" w:ascii="Times New Roman" w:hAnsi="Times New Roman" w:eastAsia="宋体" w:cs="Times New Roman"/>
                      <w:i w:val="0"/>
                      <w:iCs w:val="0"/>
                      <w:color w:val="000000"/>
                      <w:kern w:val="0"/>
                      <w:sz w:val="18"/>
                      <w:szCs w:val="18"/>
                      <w:highlight w:val="none"/>
                      <w:u w:val="none"/>
                      <w:lang w:val="en-US" w:eastAsia="zh-CN" w:bidi="ar"/>
                    </w:rPr>
                    <w:t>0</w:t>
                  </w:r>
                </w:p>
              </w:tc>
            </w:tr>
            <w:tr w14:paraId="1F34865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jc w:val="center"/>
              </w:trPr>
              <w:tc>
                <w:tcPr>
                  <w:tcW w:w="1047" w:type="dxa"/>
                  <w:vMerge w:val="continue"/>
                  <w:noWrap w:val="0"/>
                  <w:vAlign w:val="center"/>
                </w:tcPr>
                <w:p w14:paraId="71063677">
                  <w:pPr>
                    <w:keepNext w:val="0"/>
                    <w:keepLines w:val="0"/>
                    <w:suppressLineNumbers w:val="0"/>
                    <w:spacing w:before="0" w:beforeAutospacing="0" w:after="0" w:afterAutospacing="0"/>
                    <w:ind w:left="0" w:right="0"/>
                    <w:jc w:val="center"/>
                    <w:rPr>
                      <w:rFonts w:hint="eastAsia" w:ascii="Times New Roman" w:hAnsi="Times New Roman" w:eastAsia="宋体" w:cs="Times New Roman"/>
                      <w:sz w:val="18"/>
                      <w:szCs w:val="18"/>
                      <w:highlight w:val="none"/>
                    </w:rPr>
                  </w:pPr>
                </w:p>
              </w:tc>
              <w:tc>
                <w:tcPr>
                  <w:tcW w:w="1183" w:type="dxa"/>
                  <w:shd w:val="clear" w:color="auto" w:fill="auto"/>
                  <w:noWrap w:val="0"/>
                  <w:vAlign w:val="center"/>
                </w:tcPr>
                <w:p w14:paraId="5F8EC007">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64" w:lineRule="auto"/>
                    <w:ind w:left="0" w:right="0"/>
                    <w:jc w:val="center"/>
                    <w:textAlignment w:val="auto"/>
                    <w:rPr>
                      <w:rFonts w:hint="default" w:ascii="Times New Roman" w:hAnsi="Times New Roman" w:eastAsia="宋体" w:cs="Times New Roman"/>
                      <w:color w:val="000000"/>
                      <w:kern w:val="0"/>
                      <w:sz w:val="18"/>
                      <w:szCs w:val="18"/>
                      <w:highlight w:val="none"/>
                      <w:lang w:val="en-US" w:eastAsia="zh-CN" w:bidi="ar"/>
                    </w:rPr>
                  </w:pPr>
                  <w:r>
                    <w:rPr>
                      <w:rFonts w:hint="default" w:ascii="Times New Roman" w:hAnsi="Times New Roman" w:eastAsia="宋体" w:cs="Times New Roman"/>
                      <w:bCs/>
                      <w:kern w:val="0"/>
                      <w:sz w:val="18"/>
                      <w:szCs w:val="18"/>
                      <w:highlight w:val="none"/>
                    </w:rPr>
                    <w:t>臭气浓度</w:t>
                  </w:r>
                </w:p>
              </w:tc>
              <w:tc>
                <w:tcPr>
                  <w:tcW w:w="975" w:type="dxa"/>
                  <w:vMerge w:val="continue"/>
                  <w:noWrap w:val="0"/>
                  <w:vAlign w:val="center"/>
                </w:tcPr>
                <w:p w14:paraId="5353CB14">
                  <w:pPr>
                    <w:keepNext w:val="0"/>
                    <w:keepLines w:val="0"/>
                    <w:suppressLineNumbers w:val="0"/>
                    <w:spacing w:before="0" w:beforeAutospacing="0" w:after="0" w:afterAutospacing="0"/>
                    <w:ind w:left="0" w:right="0"/>
                    <w:jc w:val="center"/>
                    <w:rPr>
                      <w:rFonts w:hint="eastAsia" w:ascii="Times New Roman" w:hAnsi="Times New Roman" w:eastAsia="宋体" w:cs="Times New Roman"/>
                      <w:sz w:val="18"/>
                      <w:szCs w:val="18"/>
                      <w:highlight w:val="none"/>
                    </w:rPr>
                  </w:pPr>
                </w:p>
              </w:tc>
              <w:tc>
                <w:tcPr>
                  <w:tcW w:w="645" w:type="dxa"/>
                  <w:vMerge w:val="continue"/>
                  <w:noWrap w:val="0"/>
                  <w:vAlign w:val="center"/>
                </w:tcPr>
                <w:p w14:paraId="3117ACFE">
                  <w:pPr>
                    <w:keepNext w:val="0"/>
                    <w:keepLines w:val="0"/>
                    <w:suppressLineNumbers w:val="0"/>
                    <w:spacing w:before="0" w:beforeAutospacing="0" w:after="0" w:afterAutospacing="0"/>
                    <w:ind w:left="0" w:right="0"/>
                    <w:jc w:val="center"/>
                    <w:rPr>
                      <w:rFonts w:hint="eastAsia" w:ascii="Times New Roman" w:hAnsi="Times New Roman" w:eastAsia="宋体" w:cs="Times New Roman"/>
                      <w:sz w:val="18"/>
                      <w:szCs w:val="18"/>
                      <w:highlight w:val="none"/>
                    </w:rPr>
                  </w:pPr>
                </w:p>
              </w:tc>
              <w:tc>
                <w:tcPr>
                  <w:tcW w:w="2437" w:type="dxa"/>
                  <w:gridSpan w:val="2"/>
                  <w:noWrap w:val="0"/>
                  <w:vAlign w:val="center"/>
                </w:tcPr>
                <w:p w14:paraId="1B1F5E4B">
                  <w:pPr>
                    <w:keepNext w:val="0"/>
                    <w:keepLines w:val="0"/>
                    <w:widowControl/>
                    <w:suppressLineNumbers w:val="0"/>
                    <w:spacing w:before="0" w:beforeAutospacing="0" w:after="0" w:afterAutospacing="0"/>
                    <w:ind w:left="0" w:right="0"/>
                    <w:jc w:val="center"/>
                    <w:textAlignment w:val="center"/>
                    <w:rPr>
                      <w:rFonts w:hint="eastAsia" w:ascii="Times New Roman" w:hAnsi="Times New Roman" w:eastAsia="宋体" w:cs="Times New Roman"/>
                      <w:color w:val="000000"/>
                      <w:kern w:val="0"/>
                      <w:sz w:val="18"/>
                      <w:szCs w:val="18"/>
                      <w:highlight w:val="none"/>
                      <w:lang w:bidi="ar"/>
                    </w:rPr>
                  </w:pPr>
                  <w:r>
                    <w:rPr>
                      <w:rFonts w:hint="eastAsia" w:ascii="Times New Roman" w:hAnsi="Times New Roman" w:eastAsia="宋体" w:cs="Times New Roman"/>
                      <w:bCs/>
                      <w:kern w:val="0"/>
                      <w:sz w:val="18"/>
                      <w:szCs w:val="18"/>
                      <w:highlight w:val="none"/>
                      <w:lang w:val="en-US" w:eastAsia="zh-CN"/>
                    </w:rPr>
                    <w:t>1318（无量纲）</w:t>
                  </w:r>
                </w:p>
              </w:tc>
              <w:tc>
                <w:tcPr>
                  <w:tcW w:w="638" w:type="dxa"/>
                  <w:vMerge w:val="continue"/>
                  <w:noWrap w:val="0"/>
                  <w:vAlign w:val="center"/>
                </w:tcPr>
                <w:p w14:paraId="58C2AC8D">
                  <w:pPr>
                    <w:keepNext w:val="0"/>
                    <w:keepLines w:val="0"/>
                    <w:suppressLineNumbers w:val="0"/>
                    <w:spacing w:before="0" w:beforeAutospacing="0" w:after="0" w:afterAutospacing="0"/>
                    <w:ind w:left="0" w:right="0"/>
                    <w:jc w:val="center"/>
                    <w:rPr>
                      <w:rFonts w:hint="eastAsia" w:ascii="Times New Roman" w:hAnsi="Times New Roman" w:eastAsia="宋体" w:cs="Times New Roman"/>
                      <w:sz w:val="18"/>
                      <w:szCs w:val="18"/>
                      <w:highlight w:val="none"/>
                    </w:rPr>
                  </w:pPr>
                </w:p>
              </w:tc>
              <w:tc>
                <w:tcPr>
                  <w:tcW w:w="1159" w:type="dxa"/>
                  <w:shd w:val="clear" w:color="auto" w:fill="auto"/>
                  <w:noWrap w:val="0"/>
                  <w:vAlign w:val="center"/>
                </w:tcPr>
                <w:p w14:paraId="57AE93D9">
                  <w:pPr>
                    <w:keepNext w:val="0"/>
                    <w:keepLines w:val="0"/>
                    <w:widowControl/>
                    <w:suppressLineNumbers w:val="0"/>
                    <w:spacing w:before="0" w:beforeAutospacing="0" w:after="0" w:afterAutospacing="0"/>
                    <w:ind w:left="0" w:right="0"/>
                    <w:jc w:val="center"/>
                    <w:textAlignment w:val="center"/>
                    <w:rPr>
                      <w:rFonts w:hint="eastAsia" w:ascii="Times New Roman" w:hAnsi="Times New Roman" w:eastAsia="宋体" w:cs="Times New Roman"/>
                      <w:color w:val="000000"/>
                      <w:kern w:val="0"/>
                      <w:sz w:val="18"/>
                      <w:szCs w:val="18"/>
                      <w:highlight w:val="none"/>
                      <w:lang w:val="en-US" w:eastAsia="zh-CN" w:bidi="ar"/>
                    </w:rPr>
                  </w:pPr>
                  <w:r>
                    <w:rPr>
                      <w:rFonts w:hint="eastAsia" w:ascii="Times New Roman" w:hAnsi="Times New Roman" w:eastAsia="宋体" w:cs="Times New Roman"/>
                      <w:bCs/>
                      <w:kern w:val="0"/>
                      <w:sz w:val="18"/>
                      <w:szCs w:val="18"/>
                      <w:highlight w:val="none"/>
                      <w:lang w:val="en-US" w:eastAsia="zh-CN"/>
                    </w:rPr>
                    <w:t>1318（无量纲）</w:t>
                  </w:r>
                </w:p>
              </w:tc>
            </w:tr>
            <w:tr w14:paraId="451D1B1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jc w:val="center"/>
              </w:trPr>
              <w:tc>
                <w:tcPr>
                  <w:tcW w:w="1047" w:type="dxa"/>
                  <w:vMerge w:val="continue"/>
                  <w:noWrap w:val="0"/>
                  <w:vAlign w:val="center"/>
                </w:tcPr>
                <w:p w14:paraId="1FD596E1">
                  <w:pPr>
                    <w:keepNext w:val="0"/>
                    <w:keepLines w:val="0"/>
                    <w:suppressLineNumbers w:val="0"/>
                    <w:spacing w:before="0" w:beforeAutospacing="0" w:after="0" w:afterAutospacing="0"/>
                    <w:ind w:left="0" w:right="0"/>
                    <w:jc w:val="center"/>
                    <w:rPr>
                      <w:rFonts w:hint="eastAsia" w:ascii="Times New Roman" w:hAnsi="Times New Roman" w:eastAsia="宋体" w:cs="Times New Roman"/>
                      <w:sz w:val="18"/>
                      <w:szCs w:val="18"/>
                      <w:highlight w:val="none"/>
                    </w:rPr>
                  </w:pPr>
                </w:p>
              </w:tc>
              <w:tc>
                <w:tcPr>
                  <w:tcW w:w="1183" w:type="dxa"/>
                  <w:shd w:val="clear" w:color="auto" w:fill="auto"/>
                  <w:noWrap w:val="0"/>
                  <w:vAlign w:val="center"/>
                </w:tcPr>
                <w:p w14:paraId="254A4C83">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64" w:lineRule="auto"/>
                    <w:ind w:left="0" w:right="0"/>
                    <w:jc w:val="center"/>
                    <w:textAlignment w:val="auto"/>
                    <w:rPr>
                      <w:rFonts w:hint="default" w:ascii="Times New Roman" w:hAnsi="Times New Roman" w:eastAsia="宋体" w:cs="Times New Roman"/>
                      <w:bCs/>
                      <w:kern w:val="0"/>
                      <w:sz w:val="18"/>
                      <w:szCs w:val="18"/>
                      <w:highlight w:val="none"/>
                    </w:rPr>
                  </w:pPr>
                  <w:r>
                    <w:rPr>
                      <w:rFonts w:hint="eastAsia" w:cs="Times New Roman"/>
                      <w:bCs/>
                      <w:kern w:val="0"/>
                      <w:sz w:val="18"/>
                      <w:szCs w:val="18"/>
                      <w:highlight w:val="none"/>
                      <w:lang w:val="en-US" w:eastAsia="zh-CN"/>
                    </w:rPr>
                    <w:t>颗粒物</w:t>
                  </w:r>
                </w:p>
              </w:tc>
              <w:tc>
                <w:tcPr>
                  <w:tcW w:w="975" w:type="dxa"/>
                  <w:vMerge w:val="continue"/>
                  <w:noWrap w:val="0"/>
                  <w:vAlign w:val="center"/>
                </w:tcPr>
                <w:p w14:paraId="3F1C656C">
                  <w:pPr>
                    <w:keepNext w:val="0"/>
                    <w:keepLines w:val="0"/>
                    <w:suppressLineNumbers w:val="0"/>
                    <w:spacing w:before="0" w:beforeAutospacing="0" w:after="0" w:afterAutospacing="0"/>
                    <w:ind w:left="0" w:right="0"/>
                    <w:jc w:val="center"/>
                    <w:rPr>
                      <w:rFonts w:hint="eastAsia" w:ascii="Times New Roman" w:hAnsi="Times New Roman" w:eastAsia="宋体" w:cs="Times New Roman"/>
                      <w:sz w:val="18"/>
                      <w:szCs w:val="18"/>
                      <w:highlight w:val="none"/>
                    </w:rPr>
                  </w:pPr>
                </w:p>
              </w:tc>
              <w:tc>
                <w:tcPr>
                  <w:tcW w:w="645" w:type="dxa"/>
                  <w:vMerge w:val="continue"/>
                  <w:noWrap w:val="0"/>
                  <w:vAlign w:val="center"/>
                </w:tcPr>
                <w:p w14:paraId="643F0EBD">
                  <w:pPr>
                    <w:keepNext w:val="0"/>
                    <w:keepLines w:val="0"/>
                    <w:suppressLineNumbers w:val="0"/>
                    <w:spacing w:before="0" w:beforeAutospacing="0" w:after="0" w:afterAutospacing="0"/>
                    <w:ind w:left="0" w:right="0"/>
                    <w:jc w:val="center"/>
                    <w:rPr>
                      <w:rFonts w:hint="eastAsia" w:ascii="Times New Roman" w:hAnsi="Times New Roman" w:eastAsia="宋体" w:cs="Times New Roman"/>
                      <w:sz w:val="18"/>
                      <w:szCs w:val="18"/>
                      <w:highlight w:val="none"/>
                    </w:rPr>
                  </w:pPr>
                </w:p>
              </w:tc>
              <w:tc>
                <w:tcPr>
                  <w:tcW w:w="2437" w:type="dxa"/>
                  <w:gridSpan w:val="2"/>
                  <w:noWrap w:val="0"/>
                  <w:vAlign w:val="center"/>
                </w:tcPr>
                <w:p w14:paraId="3BBEE422">
                  <w:pPr>
                    <w:keepNext w:val="0"/>
                    <w:keepLines w:val="0"/>
                    <w:widowControl/>
                    <w:suppressLineNumbers w:val="0"/>
                    <w:spacing w:before="0" w:beforeAutospacing="0" w:after="0" w:afterAutospacing="0"/>
                    <w:ind w:left="0" w:right="0"/>
                    <w:jc w:val="center"/>
                    <w:textAlignment w:val="center"/>
                    <w:rPr>
                      <w:rFonts w:hint="eastAsia" w:ascii="Times New Roman" w:hAnsi="Times New Roman" w:eastAsia="宋体" w:cs="Times New Roman"/>
                      <w:bCs/>
                      <w:kern w:val="0"/>
                      <w:sz w:val="18"/>
                      <w:szCs w:val="18"/>
                      <w:highlight w:val="none"/>
                      <w:lang w:val="en-US" w:eastAsia="zh-CN"/>
                    </w:rPr>
                  </w:pPr>
                  <w:r>
                    <w:rPr>
                      <w:rFonts w:hint="eastAsia" w:cs="Times New Roman"/>
                      <w:bCs/>
                      <w:kern w:val="0"/>
                      <w:sz w:val="18"/>
                      <w:szCs w:val="18"/>
                      <w:highlight w:val="none"/>
                      <w:lang w:val="en-US" w:eastAsia="zh-CN"/>
                    </w:rPr>
                    <w:t>少量</w:t>
                  </w:r>
                </w:p>
              </w:tc>
              <w:tc>
                <w:tcPr>
                  <w:tcW w:w="638" w:type="dxa"/>
                  <w:vMerge w:val="continue"/>
                  <w:noWrap w:val="0"/>
                  <w:vAlign w:val="center"/>
                </w:tcPr>
                <w:p w14:paraId="14D21EB1">
                  <w:pPr>
                    <w:keepNext w:val="0"/>
                    <w:keepLines w:val="0"/>
                    <w:suppressLineNumbers w:val="0"/>
                    <w:spacing w:before="0" w:beforeAutospacing="0" w:after="0" w:afterAutospacing="0"/>
                    <w:ind w:left="0" w:right="0"/>
                    <w:jc w:val="center"/>
                    <w:rPr>
                      <w:rFonts w:hint="eastAsia" w:ascii="Times New Roman" w:hAnsi="Times New Roman" w:eastAsia="宋体" w:cs="Times New Roman"/>
                      <w:sz w:val="18"/>
                      <w:szCs w:val="18"/>
                      <w:highlight w:val="none"/>
                    </w:rPr>
                  </w:pPr>
                </w:p>
              </w:tc>
              <w:tc>
                <w:tcPr>
                  <w:tcW w:w="1159" w:type="dxa"/>
                  <w:shd w:val="clear" w:color="auto" w:fill="auto"/>
                  <w:noWrap w:val="0"/>
                  <w:vAlign w:val="center"/>
                </w:tcPr>
                <w:p w14:paraId="3B06AE88">
                  <w:pPr>
                    <w:keepNext w:val="0"/>
                    <w:keepLines w:val="0"/>
                    <w:widowControl/>
                    <w:suppressLineNumbers w:val="0"/>
                    <w:spacing w:before="0" w:beforeAutospacing="0" w:after="0" w:afterAutospacing="0"/>
                    <w:ind w:left="0" w:right="0"/>
                    <w:jc w:val="center"/>
                    <w:textAlignment w:val="center"/>
                    <w:rPr>
                      <w:rFonts w:hint="eastAsia" w:ascii="Times New Roman" w:hAnsi="Times New Roman" w:eastAsia="宋体" w:cs="Times New Roman"/>
                      <w:bCs/>
                      <w:kern w:val="0"/>
                      <w:sz w:val="18"/>
                      <w:szCs w:val="18"/>
                      <w:highlight w:val="none"/>
                      <w:lang w:val="en-US" w:eastAsia="zh-CN"/>
                    </w:rPr>
                  </w:pPr>
                  <w:r>
                    <w:rPr>
                      <w:rFonts w:hint="eastAsia" w:cs="Times New Roman"/>
                      <w:bCs/>
                      <w:kern w:val="0"/>
                      <w:sz w:val="18"/>
                      <w:szCs w:val="18"/>
                      <w:highlight w:val="none"/>
                      <w:lang w:val="en-US" w:eastAsia="zh-CN"/>
                    </w:rPr>
                    <w:t>少量</w:t>
                  </w:r>
                </w:p>
              </w:tc>
            </w:tr>
            <w:tr w14:paraId="1A1DC0B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jc w:val="center"/>
              </w:trPr>
              <w:tc>
                <w:tcPr>
                  <w:tcW w:w="1047" w:type="dxa"/>
                  <w:vMerge w:val="restart"/>
                  <w:noWrap w:val="0"/>
                  <w:vAlign w:val="center"/>
                </w:tcPr>
                <w:p w14:paraId="13200022">
                  <w:pPr>
                    <w:keepNext w:val="0"/>
                    <w:keepLines w:val="0"/>
                    <w:suppressLineNumbers w:val="0"/>
                    <w:spacing w:before="0" w:beforeAutospacing="0" w:after="0" w:afterAutospacing="0"/>
                    <w:ind w:left="0" w:right="0"/>
                    <w:jc w:val="center"/>
                    <w:rPr>
                      <w:rFonts w:hint="eastAsia" w:ascii="Times New Roman" w:hAnsi="Times New Roman" w:eastAsia="宋体" w:cs="Times New Roman"/>
                      <w:sz w:val="18"/>
                      <w:szCs w:val="18"/>
                      <w:highlight w:val="none"/>
                    </w:rPr>
                  </w:pPr>
                  <w:r>
                    <w:rPr>
                      <w:rFonts w:hint="eastAsia" w:ascii="Times New Roman" w:hAnsi="Times New Roman" w:eastAsia="宋体" w:cs="Times New Roman"/>
                      <w:sz w:val="18"/>
                      <w:szCs w:val="18"/>
                      <w:highlight w:val="none"/>
                      <w:lang w:val="en-US" w:eastAsia="zh-CN"/>
                    </w:rPr>
                    <w:t>饲养废气（DA005）</w:t>
                  </w:r>
                </w:p>
              </w:tc>
              <w:tc>
                <w:tcPr>
                  <w:tcW w:w="1183" w:type="dxa"/>
                  <w:shd w:val="clear" w:color="auto" w:fill="auto"/>
                  <w:noWrap w:val="0"/>
                  <w:vAlign w:val="center"/>
                </w:tcPr>
                <w:p w14:paraId="082E2C95">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64" w:lineRule="auto"/>
                    <w:ind w:left="0" w:right="0"/>
                    <w:jc w:val="center"/>
                    <w:textAlignment w:val="auto"/>
                    <w:rPr>
                      <w:rFonts w:hint="eastAsia" w:ascii="Times New Roman" w:hAnsi="Times New Roman" w:eastAsia="宋体" w:cs="Times New Roman"/>
                      <w:kern w:val="2"/>
                      <w:sz w:val="18"/>
                      <w:szCs w:val="18"/>
                      <w:highlight w:val="none"/>
                      <w:lang w:val="en-US" w:eastAsia="zh-CN" w:bidi="ar-SA"/>
                    </w:rPr>
                  </w:pPr>
                  <w:r>
                    <w:rPr>
                      <w:rFonts w:hint="default" w:ascii="Times New Roman" w:hAnsi="Times New Roman" w:eastAsia="宋体" w:cs="Times New Roman"/>
                      <w:bCs/>
                      <w:kern w:val="0"/>
                      <w:sz w:val="18"/>
                      <w:szCs w:val="18"/>
                      <w:highlight w:val="none"/>
                    </w:rPr>
                    <w:t>氨</w:t>
                  </w:r>
                </w:p>
              </w:tc>
              <w:tc>
                <w:tcPr>
                  <w:tcW w:w="975" w:type="dxa"/>
                  <w:vMerge w:val="continue"/>
                  <w:noWrap w:val="0"/>
                  <w:vAlign w:val="center"/>
                </w:tcPr>
                <w:p w14:paraId="775FAF83">
                  <w:pPr>
                    <w:keepNext w:val="0"/>
                    <w:keepLines w:val="0"/>
                    <w:suppressLineNumbers w:val="0"/>
                    <w:spacing w:before="0" w:beforeAutospacing="0" w:after="0" w:afterAutospacing="0"/>
                    <w:ind w:left="0" w:right="0"/>
                    <w:jc w:val="center"/>
                    <w:rPr>
                      <w:rFonts w:hint="eastAsia" w:ascii="Times New Roman" w:hAnsi="Times New Roman" w:eastAsia="宋体" w:cs="Times New Roman"/>
                      <w:sz w:val="18"/>
                      <w:szCs w:val="18"/>
                      <w:highlight w:val="none"/>
                    </w:rPr>
                  </w:pPr>
                </w:p>
              </w:tc>
              <w:tc>
                <w:tcPr>
                  <w:tcW w:w="645" w:type="dxa"/>
                  <w:vMerge w:val="continue"/>
                  <w:noWrap w:val="0"/>
                  <w:vAlign w:val="center"/>
                </w:tcPr>
                <w:p w14:paraId="717B3DCE">
                  <w:pPr>
                    <w:keepNext w:val="0"/>
                    <w:keepLines w:val="0"/>
                    <w:suppressLineNumbers w:val="0"/>
                    <w:spacing w:before="0" w:beforeAutospacing="0" w:after="0" w:afterAutospacing="0"/>
                    <w:ind w:left="0" w:right="0"/>
                    <w:jc w:val="center"/>
                    <w:rPr>
                      <w:rFonts w:hint="eastAsia" w:ascii="Times New Roman" w:hAnsi="Times New Roman" w:eastAsia="宋体" w:cs="Times New Roman"/>
                      <w:sz w:val="18"/>
                      <w:szCs w:val="18"/>
                      <w:highlight w:val="none"/>
                    </w:rPr>
                  </w:pPr>
                </w:p>
              </w:tc>
              <w:tc>
                <w:tcPr>
                  <w:tcW w:w="1267" w:type="dxa"/>
                  <w:shd w:val="clear" w:color="auto" w:fill="auto"/>
                  <w:noWrap w:val="0"/>
                  <w:vAlign w:val="center"/>
                </w:tcPr>
                <w:p w14:paraId="58AD8CE4">
                  <w:pPr>
                    <w:keepNext w:val="0"/>
                    <w:keepLines w:val="0"/>
                    <w:widowControl/>
                    <w:suppressLineNumbers w:val="0"/>
                    <w:spacing w:before="0" w:beforeAutospacing="0" w:after="0" w:afterAutospacing="0"/>
                    <w:ind w:left="0" w:leftChars="0" w:right="0" w:rightChars="0"/>
                    <w:jc w:val="center"/>
                    <w:textAlignment w:val="center"/>
                    <w:rPr>
                      <w:rFonts w:hint="eastAsia" w:ascii="Times New Roman" w:hAnsi="Times New Roman" w:eastAsia="宋体" w:cs="Times New Roman"/>
                      <w:bCs/>
                      <w:kern w:val="0"/>
                      <w:sz w:val="18"/>
                      <w:szCs w:val="18"/>
                      <w:highlight w:val="none"/>
                      <w:lang w:val="en-US" w:eastAsia="zh-CN" w:bidi="ar-SA"/>
                    </w:rPr>
                  </w:pPr>
                  <w:r>
                    <w:rPr>
                      <w:rFonts w:hint="default" w:ascii="Times New Roman" w:hAnsi="Times New Roman" w:eastAsia="宋体" w:cs="Times New Roman"/>
                      <w:i w:val="0"/>
                      <w:iCs w:val="0"/>
                      <w:color w:val="000000"/>
                      <w:kern w:val="0"/>
                      <w:sz w:val="18"/>
                      <w:szCs w:val="18"/>
                      <w:highlight w:val="none"/>
                      <w:u w:val="none"/>
                      <w:lang w:val="en-US" w:eastAsia="zh-CN" w:bidi="ar"/>
                    </w:rPr>
                    <w:t>0.001</w:t>
                  </w:r>
                </w:p>
              </w:tc>
              <w:tc>
                <w:tcPr>
                  <w:tcW w:w="1170" w:type="dxa"/>
                  <w:shd w:val="clear" w:color="auto" w:fill="auto"/>
                  <w:noWrap w:val="0"/>
                  <w:vAlign w:val="center"/>
                </w:tcPr>
                <w:p w14:paraId="30D2BBE9">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64" w:lineRule="auto"/>
                    <w:ind w:left="0" w:leftChars="0" w:right="0" w:rightChars="0"/>
                    <w:jc w:val="center"/>
                    <w:textAlignment w:val="auto"/>
                    <w:rPr>
                      <w:rFonts w:hint="eastAsia" w:ascii="Times New Roman" w:hAnsi="Times New Roman" w:eastAsia="宋体" w:cs="Times New Roman"/>
                      <w:bCs/>
                      <w:kern w:val="0"/>
                      <w:sz w:val="18"/>
                      <w:szCs w:val="18"/>
                      <w:highlight w:val="none"/>
                      <w:lang w:val="en-US" w:eastAsia="zh-CN" w:bidi="ar-SA"/>
                    </w:rPr>
                  </w:pPr>
                  <w:r>
                    <w:rPr>
                      <w:rFonts w:hint="eastAsia"/>
                      <w:bCs/>
                      <w:kern w:val="0"/>
                      <w:sz w:val="18"/>
                      <w:szCs w:val="18"/>
                      <w:highlight w:val="none"/>
                      <w:lang w:val="en-US" w:eastAsia="zh-CN"/>
                    </w:rPr>
                    <w:t>0.05</w:t>
                  </w:r>
                </w:p>
              </w:tc>
              <w:tc>
                <w:tcPr>
                  <w:tcW w:w="638" w:type="dxa"/>
                  <w:vMerge w:val="continue"/>
                  <w:noWrap w:val="0"/>
                  <w:vAlign w:val="center"/>
                </w:tcPr>
                <w:p w14:paraId="28A3B48F">
                  <w:pPr>
                    <w:keepNext w:val="0"/>
                    <w:keepLines w:val="0"/>
                    <w:suppressLineNumbers w:val="0"/>
                    <w:spacing w:before="0" w:beforeAutospacing="0" w:after="0" w:afterAutospacing="0"/>
                    <w:ind w:left="0" w:right="0"/>
                    <w:jc w:val="center"/>
                    <w:rPr>
                      <w:rFonts w:hint="eastAsia" w:ascii="Times New Roman" w:hAnsi="Times New Roman" w:eastAsia="宋体" w:cs="Times New Roman"/>
                      <w:sz w:val="18"/>
                      <w:szCs w:val="18"/>
                      <w:highlight w:val="none"/>
                    </w:rPr>
                  </w:pPr>
                </w:p>
              </w:tc>
              <w:tc>
                <w:tcPr>
                  <w:tcW w:w="1159" w:type="dxa"/>
                  <w:shd w:val="clear" w:color="auto" w:fill="auto"/>
                  <w:noWrap w:val="0"/>
                  <w:vAlign w:val="center"/>
                </w:tcPr>
                <w:p w14:paraId="3948D60C">
                  <w:pPr>
                    <w:keepNext w:val="0"/>
                    <w:keepLines w:val="0"/>
                    <w:widowControl/>
                    <w:suppressLineNumbers w:val="0"/>
                    <w:spacing w:before="0" w:beforeAutospacing="0" w:after="0" w:afterAutospacing="0"/>
                    <w:ind w:left="0" w:leftChars="0" w:right="0" w:rightChars="0"/>
                    <w:jc w:val="center"/>
                    <w:textAlignment w:val="center"/>
                    <w:rPr>
                      <w:rFonts w:hint="eastAsia" w:ascii="Times New Roman" w:hAnsi="Times New Roman" w:eastAsia="宋体" w:cs="Times New Roman"/>
                      <w:bCs/>
                      <w:kern w:val="0"/>
                      <w:sz w:val="18"/>
                      <w:szCs w:val="18"/>
                      <w:highlight w:val="none"/>
                      <w:lang w:val="en-US" w:eastAsia="zh-CN" w:bidi="ar-SA"/>
                    </w:rPr>
                  </w:pPr>
                  <w:r>
                    <w:rPr>
                      <w:rFonts w:hint="default" w:ascii="Times New Roman" w:hAnsi="Times New Roman" w:eastAsia="宋体" w:cs="Times New Roman"/>
                      <w:i w:val="0"/>
                      <w:iCs w:val="0"/>
                      <w:color w:val="000000"/>
                      <w:kern w:val="0"/>
                      <w:sz w:val="18"/>
                      <w:szCs w:val="18"/>
                      <w:highlight w:val="none"/>
                      <w:u w:val="none"/>
                      <w:lang w:val="en-US" w:eastAsia="zh-CN" w:bidi="ar"/>
                    </w:rPr>
                    <w:t>0.001</w:t>
                  </w:r>
                </w:p>
              </w:tc>
            </w:tr>
            <w:tr w14:paraId="31697F7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jc w:val="center"/>
              </w:trPr>
              <w:tc>
                <w:tcPr>
                  <w:tcW w:w="1047" w:type="dxa"/>
                  <w:vMerge w:val="continue"/>
                  <w:noWrap w:val="0"/>
                  <w:vAlign w:val="center"/>
                </w:tcPr>
                <w:p w14:paraId="7D29A153">
                  <w:pPr>
                    <w:keepNext w:val="0"/>
                    <w:keepLines w:val="0"/>
                    <w:suppressLineNumbers w:val="0"/>
                    <w:spacing w:before="0" w:beforeAutospacing="0" w:after="0" w:afterAutospacing="0"/>
                    <w:ind w:left="0" w:right="0"/>
                    <w:jc w:val="center"/>
                    <w:rPr>
                      <w:rFonts w:hint="eastAsia" w:ascii="Times New Roman" w:hAnsi="Times New Roman" w:eastAsia="宋体" w:cs="Times New Roman"/>
                      <w:sz w:val="18"/>
                      <w:szCs w:val="18"/>
                      <w:highlight w:val="none"/>
                    </w:rPr>
                  </w:pPr>
                </w:p>
              </w:tc>
              <w:tc>
                <w:tcPr>
                  <w:tcW w:w="1183" w:type="dxa"/>
                  <w:shd w:val="clear" w:color="auto" w:fill="auto"/>
                  <w:noWrap w:val="0"/>
                  <w:vAlign w:val="center"/>
                </w:tcPr>
                <w:p w14:paraId="7E8698C6">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64" w:lineRule="auto"/>
                    <w:ind w:left="0" w:right="0"/>
                    <w:jc w:val="center"/>
                    <w:textAlignment w:val="auto"/>
                    <w:rPr>
                      <w:rFonts w:hint="eastAsia" w:ascii="Times New Roman" w:hAnsi="Times New Roman" w:eastAsia="宋体" w:cs="Times New Roman"/>
                      <w:kern w:val="2"/>
                      <w:sz w:val="18"/>
                      <w:szCs w:val="18"/>
                      <w:highlight w:val="none"/>
                      <w:lang w:val="en-US" w:eastAsia="zh-CN" w:bidi="ar-SA"/>
                    </w:rPr>
                  </w:pPr>
                  <w:r>
                    <w:rPr>
                      <w:rFonts w:hint="default" w:ascii="Times New Roman" w:hAnsi="Times New Roman" w:eastAsia="宋体" w:cs="Times New Roman"/>
                      <w:bCs/>
                      <w:kern w:val="0"/>
                      <w:sz w:val="18"/>
                      <w:szCs w:val="18"/>
                      <w:highlight w:val="none"/>
                    </w:rPr>
                    <w:t>硫化氢</w:t>
                  </w:r>
                </w:p>
              </w:tc>
              <w:tc>
                <w:tcPr>
                  <w:tcW w:w="975" w:type="dxa"/>
                  <w:vMerge w:val="continue"/>
                  <w:noWrap w:val="0"/>
                  <w:vAlign w:val="center"/>
                </w:tcPr>
                <w:p w14:paraId="202721B3">
                  <w:pPr>
                    <w:keepNext w:val="0"/>
                    <w:keepLines w:val="0"/>
                    <w:suppressLineNumbers w:val="0"/>
                    <w:spacing w:before="0" w:beforeAutospacing="0" w:after="0" w:afterAutospacing="0"/>
                    <w:ind w:left="0" w:right="0"/>
                    <w:jc w:val="center"/>
                    <w:rPr>
                      <w:rFonts w:hint="eastAsia" w:ascii="Times New Roman" w:hAnsi="Times New Roman" w:eastAsia="宋体" w:cs="Times New Roman"/>
                      <w:sz w:val="18"/>
                      <w:szCs w:val="18"/>
                      <w:highlight w:val="none"/>
                    </w:rPr>
                  </w:pPr>
                </w:p>
              </w:tc>
              <w:tc>
                <w:tcPr>
                  <w:tcW w:w="645" w:type="dxa"/>
                  <w:vMerge w:val="continue"/>
                  <w:noWrap w:val="0"/>
                  <w:vAlign w:val="center"/>
                </w:tcPr>
                <w:p w14:paraId="0C7FEB04">
                  <w:pPr>
                    <w:keepNext w:val="0"/>
                    <w:keepLines w:val="0"/>
                    <w:suppressLineNumbers w:val="0"/>
                    <w:spacing w:before="0" w:beforeAutospacing="0" w:after="0" w:afterAutospacing="0"/>
                    <w:ind w:left="0" w:right="0"/>
                    <w:jc w:val="center"/>
                    <w:rPr>
                      <w:rFonts w:hint="eastAsia" w:ascii="Times New Roman" w:hAnsi="Times New Roman" w:eastAsia="宋体" w:cs="Times New Roman"/>
                      <w:sz w:val="18"/>
                      <w:szCs w:val="18"/>
                      <w:highlight w:val="none"/>
                    </w:rPr>
                  </w:pPr>
                </w:p>
              </w:tc>
              <w:tc>
                <w:tcPr>
                  <w:tcW w:w="1267" w:type="dxa"/>
                  <w:shd w:val="clear" w:color="auto" w:fill="auto"/>
                  <w:noWrap w:val="0"/>
                  <w:vAlign w:val="center"/>
                </w:tcPr>
                <w:p w14:paraId="3CA6027F">
                  <w:pPr>
                    <w:keepNext w:val="0"/>
                    <w:keepLines w:val="0"/>
                    <w:widowControl/>
                    <w:suppressLineNumbers w:val="0"/>
                    <w:spacing w:before="0" w:beforeAutospacing="0" w:after="0" w:afterAutospacing="0"/>
                    <w:ind w:left="0" w:leftChars="0" w:right="0" w:rightChars="0"/>
                    <w:jc w:val="center"/>
                    <w:textAlignment w:val="center"/>
                    <w:rPr>
                      <w:rFonts w:hint="eastAsia" w:ascii="Times New Roman" w:hAnsi="Times New Roman" w:eastAsia="宋体" w:cs="Times New Roman"/>
                      <w:bCs/>
                      <w:kern w:val="0"/>
                      <w:sz w:val="18"/>
                      <w:szCs w:val="18"/>
                      <w:highlight w:val="none"/>
                      <w:lang w:val="en-US" w:eastAsia="zh-CN" w:bidi="ar-SA"/>
                    </w:rPr>
                  </w:pPr>
                  <w:r>
                    <w:rPr>
                      <w:rFonts w:hint="eastAsia" w:ascii="Times New Roman" w:hAnsi="Times New Roman" w:eastAsia="宋体" w:cs="Times New Roman"/>
                      <w:i w:val="0"/>
                      <w:iCs w:val="0"/>
                      <w:color w:val="000000"/>
                      <w:kern w:val="0"/>
                      <w:sz w:val="18"/>
                      <w:szCs w:val="18"/>
                      <w:highlight w:val="none"/>
                      <w:u w:val="none"/>
                      <w:lang w:val="en-US" w:eastAsia="zh-CN" w:bidi="ar"/>
                    </w:rPr>
                    <w:t>~</w:t>
                  </w:r>
                  <w:r>
                    <w:rPr>
                      <w:rFonts w:hint="default" w:ascii="Times New Roman" w:hAnsi="Times New Roman" w:eastAsia="宋体" w:cs="Times New Roman"/>
                      <w:i w:val="0"/>
                      <w:iCs w:val="0"/>
                      <w:color w:val="000000"/>
                      <w:kern w:val="0"/>
                      <w:sz w:val="18"/>
                      <w:szCs w:val="18"/>
                      <w:highlight w:val="none"/>
                      <w:u w:val="none"/>
                      <w:lang w:val="en-US" w:eastAsia="zh-CN" w:bidi="ar"/>
                    </w:rPr>
                    <w:t>0</w:t>
                  </w:r>
                </w:p>
              </w:tc>
              <w:tc>
                <w:tcPr>
                  <w:tcW w:w="1170" w:type="dxa"/>
                  <w:shd w:val="clear" w:color="auto" w:fill="auto"/>
                  <w:noWrap w:val="0"/>
                  <w:vAlign w:val="center"/>
                </w:tcPr>
                <w:p w14:paraId="3202E0F6">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64" w:lineRule="auto"/>
                    <w:ind w:left="0" w:leftChars="0" w:right="0" w:rightChars="0"/>
                    <w:jc w:val="center"/>
                    <w:textAlignment w:val="auto"/>
                    <w:rPr>
                      <w:rFonts w:hint="eastAsia" w:ascii="Times New Roman" w:hAnsi="Times New Roman" w:eastAsia="宋体" w:cs="Times New Roman"/>
                      <w:bCs/>
                      <w:kern w:val="0"/>
                      <w:sz w:val="18"/>
                      <w:szCs w:val="18"/>
                      <w:highlight w:val="none"/>
                      <w:lang w:val="en-US" w:eastAsia="zh-CN" w:bidi="ar-SA"/>
                    </w:rPr>
                  </w:pPr>
                  <w:r>
                    <w:rPr>
                      <w:rFonts w:hint="eastAsia" w:ascii="Times New Roman" w:hAnsi="Times New Roman" w:eastAsia="宋体" w:cs="Times New Roman"/>
                      <w:i w:val="0"/>
                      <w:iCs w:val="0"/>
                      <w:color w:val="000000"/>
                      <w:kern w:val="0"/>
                      <w:sz w:val="18"/>
                      <w:szCs w:val="18"/>
                      <w:highlight w:val="none"/>
                      <w:u w:val="none"/>
                      <w:lang w:val="en-US" w:eastAsia="zh-CN" w:bidi="ar"/>
                    </w:rPr>
                    <w:t>~</w:t>
                  </w:r>
                  <w:r>
                    <w:rPr>
                      <w:rFonts w:hint="default" w:ascii="Times New Roman" w:hAnsi="Times New Roman" w:eastAsia="宋体" w:cs="Times New Roman"/>
                      <w:i w:val="0"/>
                      <w:iCs w:val="0"/>
                      <w:color w:val="000000"/>
                      <w:kern w:val="0"/>
                      <w:sz w:val="18"/>
                      <w:szCs w:val="18"/>
                      <w:highlight w:val="none"/>
                      <w:u w:val="none"/>
                      <w:lang w:val="en-US" w:eastAsia="zh-CN" w:bidi="ar"/>
                    </w:rPr>
                    <w:t>0</w:t>
                  </w:r>
                </w:p>
              </w:tc>
              <w:tc>
                <w:tcPr>
                  <w:tcW w:w="638" w:type="dxa"/>
                  <w:vMerge w:val="continue"/>
                  <w:noWrap w:val="0"/>
                  <w:vAlign w:val="center"/>
                </w:tcPr>
                <w:p w14:paraId="79148F94">
                  <w:pPr>
                    <w:keepNext w:val="0"/>
                    <w:keepLines w:val="0"/>
                    <w:suppressLineNumbers w:val="0"/>
                    <w:spacing w:before="0" w:beforeAutospacing="0" w:after="0" w:afterAutospacing="0"/>
                    <w:ind w:left="0" w:right="0"/>
                    <w:jc w:val="center"/>
                    <w:rPr>
                      <w:rFonts w:hint="eastAsia" w:ascii="Times New Roman" w:hAnsi="Times New Roman" w:eastAsia="宋体" w:cs="Times New Roman"/>
                      <w:sz w:val="18"/>
                      <w:szCs w:val="18"/>
                      <w:highlight w:val="none"/>
                    </w:rPr>
                  </w:pPr>
                </w:p>
              </w:tc>
              <w:tc>
                <w:tcPr>
                  <w:tcW w:w="1159" w:type="dxa"/>
                  <w:shd w:val="clear" w:color="auto" w:fill="auto"/>
                  <w:noWrap w:val="0"/>
                  <w:vAlign w:val="center"/>
                </w:tcPr>
                <w:p w14:paraId="24821B10">
                  <w:pPr>
                    <w:keepNext w:val="0"/>
                    <w:keepLines w:val="0"/>
                    <w:widowControl/>
                    <w:suppressLineNumbers w:val="0"/>
                    <w:spacing w:before="0" w:beforeAutospacing="0" w:after="0" w:afterAutospacing="0"/>
                    <w:ind w:left="0" w:leftChars="0" w:right="0" w:rightChars="0"/>
                    <w:jc w:val="center"/>
                    <w:textAlignment w:val="center"/>
                    <w:rPr>
                      <w:rFonts w:hint="eastAsia" w:ascii="Times New Roman" w:hAnsi="Times New Roman" w:eastAsia="宋体" w:cs="Times New Roman"/>
                      <w:bCs/>
                      <w:kern w:val="0"/>
                      <w:sz w:val="18"/>
                      <w:szCs w:val="18"/>
                      <w:highlight w:val="none"/>
                      <w:lang w:val="en-US" w:eastAsia="zh-CN" w:bidi="ar-SA"/>
                    </w:rPr>
                  </w:pPr>
                  <w:r>
                    <w:rPr>
                      <w:rFonts w:hint="eastAsia" w:ascii="Times New Roman" w:hAnsi="Times New Roman" w:eastAsia="宋体" w:cs="Times New Roman"/>
                      <w:i w:val="0"/>
                      <w:iCs w:val="0"/>
                      <w:color w:val="000000"/>
                      <w:kern w:val="0"/>
                      <w:sz w:val="18"/>
                      <w:szCs w:val="18"/>
                      <w:highlight w:val="none"/>
                      <w:u w:val="none"/>
                      <w:lang w:val="en-US" w:eastAsia="zh-CN" w:bidi="ar"/>
                    </w:rPr>
                    <w:t>~</w:t>
                  </w:r>
                  <w:r>
                    <w:rPr>
                      <w:rFonts w:hint="default" w:ascii="Times New Roman" w:hAnsi="Times New Roman" w:eastAsia="宋体" w:cs="Times New Roman"/>
                      <w:i w:val="0"/>
                      <w:iCs w:val="0"/>
                      <w:color w:val="000000"/>
                      <w:kern w:val="0"/>
                      <w:sz w:val="18"/>
                      <w:szCs w:val="18"/>
                      <w:highlight w:val="none"/>
                      <w:u w:val="none"/>
                      <w:lang w:val="en-US" w:eastAsia="zh-CN" w:bidi="ar"/>
                    </w:rPr>
                    <w:t>0</w:t>
                  </w:r>
                </w:p>
              </w:tc>
            </w:tr>
            <w:tr w14:paraId="423150F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jc w:val="center"/>
              </w:trPr>
              <w:tc>
                <w:tcPr>
                  <w:tcW w:w="1047" w:type="dxa"/>
                  <w:vMerge w:val="continue"/>
                  <w:noWrap w:val="0"/>
                  <w:vAlign w:val="center"/>
                </w:tcPr>
                <w:p w14:paraId="1AC65376">
                  <w:pPr>
                    <w:keepNext w:val="0"/>
                    <w:keepLines w:val="0"/>
                    <w:suppressLineNumbers w:val="0"/>
                    <w:spacing w:before="0" w:beforeAutospacing="0" w:after="0" w:afterAutospacing="0"/>
                    <w:ind w:left="0" w:right="0"/>
                    <w:jc w:val="center"/>
                    <w:rPr>
                      <w:rFonts w:hint="eastAsia" w:ascii="Times New Roman" w:hAnsi="Times New Roman" w:eastAsia="宋体" w:cs="Times New Roman"/>
                      <w:sz w:val="18"/>
                      <w:szCs w:val="18"/>
                      <w:highlight w:val="none"/>
                    </w:rPr>
                  </w:pPr>
                </w:p>
              </w:tc>
              <w:tc>
                <w:tcPr>
                  <w:tcW w:w="1183" w:type="dxa"/>
                  <w:shd w:val="clear" w:color="auto" w:fill="auto"/>
                  <w:noWrap w:val="0"/>
                  <w:vAlign w:val="center"/>
                </w:tcPr>
                <w:p w14:paraId="28776135">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64" w:lineRule="auto"/>
                    <w:ind w:left="0" w:right="0"/>
                    <w:jc w:val="center"/>
                    <w:textAlignment w:val="auto"/>
                    <w:rPr>
                      <w:rFonts w:hint="default" w:ascii="Times New Roman" w:hAnsi="Times New Roman" w:eastAsia="宋体" w:cs="Times New Roman"/>
                      <w:color w:val="000000"/>
                      <w:kern w:val="0"/>
                      <w:sz w:val="18"/>
                      <w:szCs w:val="18"/>
                      <w:highlight w:val="none"/>
                      <w:lang w:val="en-US" w:eastAsia="zh-CN" w:bidi="ar"/>
                    </w:rPr>
                  </w:pPr>
                  <w:r>
                    <w:rPr>
                      <w:rFonts w:hint="default" w:ascii="Times New Roman" w:hAnsi="Times New Roman" w:eastAsia="宋体" w:cs="Times New Roman"/>
                      <w:bCs/>
                      <w:kern w:val="0"/>
                      <w:sz w:val="18"/>
                      <w:szCs w:val="18"/>
                      <w:highlight w:val="none"/>
                    </w:rPr>
                    <w:t>臭气浓度</w:t>
                  </w:r>
                </w:p>
              </w:tc>
              <w:tc>
                <w:tcPr>
                  <w:tcW w:w="975" w:type="dxa"/>
                  <w:vMerge w:val="continue"/>
                  <w:noWrap w:val="0"/>
                  <w:vAlign w:val="center"/>
                </w:tcPr>
                <w:p w14:paraId="561AC7BF">
                  <w:pPr>
                    <w:keepNext w:val="0"/>
                    <w:keepLines w:val="0"/>
                    <w:suppressLineNumbers w:val="0"/>
                    <w:spacing w:before="0" w:beforeAutospacing="0" w:after="0" w:afterAutospacing="0"/>
                    <w:ind w:left="0" w:right="0"/>
                    <w:jc w:val="center"/>
                    <w:rPr>
                      <w:rFonts w:hint="eastAsia" w:ascii="Times New Roman" w:hAnsi="Times New Roman" w:eastAsia="宋体" w:cs="Times New Roman"/>
                      <w:sz w:val="18"/>
                      <w:szCs w:val="18"/>
                      <w:highlight w:val="none"/>
                    </w:rPr>
                  </w:pPr>
                </w:p>
              </w:tc>
              <w:tc>
                <w:tcPr>
                  <w:tcW w:w="645" w:type="dxa"/>
                  <w:vMerge w:val="continue"/>
                  <w:noWrap w:val="0"/>
                  <w:vAlign w:val="center"/>
                </w:tcPr>
                <w:p w14:paraId="6C2DBF5C">
                  <w:pPr>
                    <w:keepNext w:val="0"/>
                    <w:keepLines w:val="0"/>
                    <w:suppressLineNumbers w:val="0"/>
                    <w:spacing w:before="0" w:beforeAutospacing="0" w:after="0" w:afterAutospacing="0"/>
                    <w:ind w:left="0" w:right="0"/>
                    <w:jc w:val="center"/>
                    <w:rPr>
                      <w:rFonts w:hint="eastAsia" w:ascii="Times New Roman" w:hAnsi="Times New Roman" w:eastAsia="宋体" w:cs="Times New Roman"/>
                      <w:sz w:val="18"/>
                      <w:szCs w:val="18"/>
                      <w:highlight w:val="none"/>
                    </w:rPr>
                  </w:pPr>
                </w:p>
              </w:tc>
              <w:tc>
                <w:tcPr>
                  <w:tcW w:w="2437" w:type="dxa"/>
                  <w:gridSpan w:val="2"/>
                  <w:shd w:val="clear" w:color="auto" w:fill="auto"/>
                  <w:noWrap w:val="0"/>
                  <w:vAlign w:val="center"/>
                </w:tcPr>
                <w:p w14:paraId="3B8D367A">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64" w:lineRule="auto"/>
                    <w:ind w:left="0" w:right="0"/>
                    <w:jc w:val="center"/>
                    <w:textAlignment w:val="auto"/>
                    <w:rPr>
                      <w:rFonts w:hint="eastAsia" w:ascii="Times New Roman" w:hAnsi="Times New Roman" w:eastAsia="宋体" w:cs="Times New Roman"/>
                      <w:bCs/>
                      <w:kern w:val="0"/>
                      <w:sz w:val="18"/>
                      <w:szCs w:val="18"/>
                      <w:highlight w:val="none"/>
                      <w:lang w:val="en-US" w:eastAsia="zh-CN" w:bidi="ar-SA"/>
                    </w:rPr>
                  </w:pPr>
                  <w:r>
                    <w:rPr>
                      <w:rFonts w:hint="eastAsia" w:ascii="Times New Roman" w:hAnsi="Times New Roman" w:eastAsia="宋体" w:cs="Times New Roman"/>
                      <w:bCs/>
                      <w:kern w:val="0"/>
                      <w:sz w:val="18"/>
                      <w:szCs w:val="18"/>
                      <w:highlight w:val="none"/>
                      <w:lang w:val="en-US" w:eastAsia="zh-CN"/>
                    </w:rPr>
                    <w:t>1318（无量纲）</w:t>
                  </w:r>
                </w:p>
              </w:tc>
              <w:tc>
                <w:tcPr>
                  <w:tcW w:w="638" w:type="dxa"/>
                  <w:vMerge w:val="continue"/>
                  <w:noWrap w:val="0"/>
                  <w:vAlign w:val="center"/>
                </w:tcPr>
                <w:p w14:paraId="18C6190B">
                  <w:pPr>
                    <w:keepNext w:val="0"/>
                    <w:keepLines w:val="0"/>
                    <w:suppressLineNumbers w:val="0"/>
                    <w:spacing w:before="0" w:beforeAutospacing="0" w:after="0" w:afterAutospacing="0"/>
                    <w:ind w:left="0" w:right="0"/>
                    <w:jc w:val="center"/>
                    <w:rPr>
                      <w:rFonts w:hint="eastAsia" w:ascii="Times New Roman" w:hAnsi="Times New Roman" w:eastAsia="宋体" w:cs="Times New Roman"/>
                      <w:sz w:val="18"/>
                      <w:szCs w:val="18"/>
                      <w:highlight w:val="none"/>
                    </w:rPr>
                  </w:pPr>
                </w:p>
              </w:tc>
              <w:tc>
                <w:tcPr>
                  <w:tcW w:w="1159" w:type="dxa"/>
                  <w:shd w:val="clear" w:color="auto" w:fill="auto"/>
                  <w:noWrap w:val="0"/>
                  <w:vAlign w:val="center"/>
                </w:tcPr>
                <w:p w14:paraId="40AFF168">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64" w:lineRule="auto"/>
                    <w:ind w:left="0" w:right="0"/>
                    <w:jc w:val="center"/>
                    <w:textAlignment w:val="auto"/>
                    <w:rPr>
                      <w:rFonts w:hint="eastAsia" w:ascii="Times New Roman" w:hAnsi="Times New Roman" w:eastAsia="宋体" w:cs="Times New Roman"/>
                      <w:bCs/>
                      <w:kern w:val="0"/>
                      <w:sz w:val="18"/>
                      <w:szCs w:val="18"/>
                      <w:highlight w:val="none"/>
                      <w:lang w:val="en-US" w:eastAsia="zh-CN" w:bidi="ar-SA"/>
                    </w:rPr>
                  </w:pPr>
                  <w:r>
                    <w:rPr>
                      <w:rFonts w:hint="eastAsia" w:ascii="Times New Roman" w:hAnsi="Times New Roman" w:eastAsia="宋体" w:cs="Times New Roman"/>
                      <w:bCs/>
                      <w:kern w:val="0"/>
                      <w:sz w:val="18"/>
                      <w:szCs w:val="18"/>
                      <w:highlight w:val="none"/>
                      <w:lang w:val="en-US" w:eastAsia="zh-CN"/>
                    </w:rPr>
                    <w:t>1318（无量纲）</w:t>
                  </w:r>
                </w:p>
              </w:tc>
            </w:tr>
            <w:tr w14:paraId="2DF6FAF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jc w:val="center"/>
              </w:trPr>
              <w:tc>
                <w:tcPr>
                  <w:tcW w:w="1047" w:type="dxa"/>
                  <w:vMerge w:val="continue"/>
                  <w:noWrap w:val="0"/>
                  <w:vAlign w:val="center"/>
                </w:tcPr>
                <w:p w14:paraId="36A1ABCC">
                  <w:pPr>
                    <w:keepNext w:val="0"/>
                    <w:keepLines w:val="0"/>
                    <w:suppressLineNumbers w:val="0"/>
                    <w:spacing w:before="0" w:beforeAutospacing="0" w:after="0" w:afterAutospacing="0"/>
                    <w:ind w:left="0" w:right="0"/>
                    <w:jc w:val="center"/>
                    <w:rPr>
                      <w:rFonts w:hint="eastAsia" w:ascii="Times New Roman" w:hAnsi="Times New Roman" w:eastAsia="宋体" w:cs="Times New Roman"/>
                      <w:sz w:val="18"/>
                      <w:szCs w:val="18"/>
                      <w:highlight w:val="none"/>
                    </w:rPr>
                  </w:pPr>
                </w:p>
              </w:tc>
              <w:tc>
                <w:tcPr>
                  <w:tcW w:w="1183" w:type="dxa"/>
                  <w:shd w:val="clear" w:color="auto" w:fill="auto"/>
                  <w:noWrap w:val="0"/>
                  <w:vAlign w:val="center"/>
                </w:tcPr>
                <w:p w14:paraId="014FE05D">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64" w:lineRule="auto"/>
                    <w:ind w:left="0" w:right="0"/>
                    <w:jc w:val="center"/>
                    <w:textAlignment w:val="auto"/>
                    <w:rPr>
                      <w:rFonts w:hint="default" w:ascii="Times New Roman" w:hAnsi="Times New Roman" w:eastAsia="宋体" w:cs="Times New Roman"/>
                      <w:bCs/>
                      <w:kern w:val="0"/>
                      <w:sz w:val="18"/>
                      <w:szCs w:val="18"/>
                      <w:highlight w:val="none"/>
                    </w:rPr>
                  </w:pPr>
                  <w:r>
                    <w:rPr>
                      <w:rFonts w:hint="eastAsia" w:cs="Times New Roman"/>
                      <w:bCs/>
                      <w:kern w:val="0"/>
                      <w:sz w:val="18"/>
                      <w:szCs w:val="18"/>
                      <w:highlight w:val="none"/>
                      <w:lang w:val="en-US" w:eastAsia="zh-CN"/>
                    </w:rPr>
                    <w:t>颗粒物</w:t>
                  </w:r>
                </w:p>
              </w:tc>
              <w:tc>
                <w:tcPr>
                  <w:tcW w:w="975" w:type="dxa"/>
                  <w:vMerge w:val="continue"/>
                  <w:noWrap w:val="0"/>
                  <w:vAlign w:val="center"/>
                </w:tcPr>
                <w:p w14:paraId="051C73AA">
                  <w:pPr>
                    <w:keepNext w:val="0"/>
                    <w:keepLines w:val="0"/>
                    <w:suppressLineNumbers w:val="0"/>
                    <w:spacing w:before="0" w:beforeAutospacing="0" w:after="0" w:afterAutospacing="0"/>
                    <w:ind w:left="0" w:right="0"/>
                    <w:jc w:val="center"/>
                    <w:rPr>
                      <w:rFonts w:hint="eastAsia" w:ascii="Times New Roman" w:hAnsi="Times New Roman" w:eastAsia="宋体" w:cs="Times New Roman"/>
                      <w:sz w:val="18"/>
                      <w:szCs w:val="18"/>
                      <w:highlight w:val="none"/>
                    </w:rPr>
                  </w:pPr>
                </w:p>
              </w:tc>
              <w:tc>
                <w:tcPr>
                  <w:tcW w:w="645" w:type="dxa"/>
                  <w:vMerge w:val="continue"/>
                  <w:noWrap w:val="0"/>
                  <w:vAlign w:val="center"/>
                </w:tcPr>
                <w:p w14:paraId="463CEE7B">
                  <w:pPr>
                    <w:keepNext w:val="0"/>
                    <w:keepLines w:val="0"/>
                    <w:suppressLineNumbers w:val="0"/>
                    <w:spacing w:before="0" w:beforeAutospacing="0" w:after="0" w:afterAutospacing="0"/>
                    <w:ind w:left="0" w:right="0"/>
                    <w:jc w:val="center"/>
                    <w:rPr>
                      <w:rFonts w:hint="eastAsia" w:ascii="Times New Roman" w:hAnsi="Times New Roman" w:eastAsia="宋体" w:cs="Times New Roman"/>
                      <w:sz w:val="18"/>
                      <w:szCs w:val="18"/>
                      <w:highlight w:val="none"/>
                    </w:rPr>
                  </w:pPr>
                </w:p>
              </w:tc>
              <w:tc>
                <w:tcPr>
                  <w:tcW w:w="2437" w:type="dxa"/>
                  <w:gridSpan w:val="2"/>
                  <w:shd w:val="clear" w:color="auto" w:fill="auto"/>
                  <w:noWrap w:val="0"/>
                  <w:vAlign w:val="center"/>
                </w:tcPr>
                <w:p w14:paraId="0DF42015">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64" w:lineRule="auto"/>
                    <w:ind w:left="0" w:right="0"/>
                    <w:jc w:val="center"/>
                    <w:textAlignment w:val="auto"/>
                    <w:rPr>
                      <w:rFonts w:hint="eastAsia" w:ascii="Times New Roman" w:hAnsi="Times New Roman" w:eastAsia="宋体" w:cs="Times New Roman"/>
                      <w:bCs/>
                      <w:kern w:val="0"/>
                      <w:sz w:val="18"/>
                      <w:szCs w:val="18"/>
                      <w:highlight w:val="none"/>
                      <w:lang w:val="en-US" w:eastAsia="zh-CN"/>
                    </w:rPr>
                  </w:pPr>
                  <w:r>
                    <w:rPr>
                      <w:rFonts w:hint="eastAsia" w:cs="Times New Roman"/>
                      <w:bCs/>
                      <w:kern w:val="0"/>
                      <w:sz w:val="18"/>
                      <w:szCs w:val="18"/>
                      <w:highlight w:val="none"/>
                      <w:lang w:val="en-US" w:eastAsia="zh-CN"/>
                    </w:rPr>
                    <w:t>少量</w:t>
                  </w:r>
                </w:p>
              </w:tc>
              <w:tc>
                <w:tcPr>
                  <w:tcW w:w="638" w:type="dxa"/>
                  <w:vMerge w:val="continue"/>
                  <w:noWrap w:val="0"/>
                  <w:vAlign w:val="center"/>
                </w:tcPr>
                <w:p w14:paraId="0B4593AD">
                  <w:pPr>
                    <w:keepNext w:val="0"/>
                    <w:keepLines w:val="0"/>
                    <w:suppressLineNumbers w:val="0"/>
                    <w:spacing w:before="0" w:beforeAutospacing="0" w:after="0" w:afterAutospacing="0"/>
                    <w:ind w:left="0" w:right="0"/>
                    <w:jc w:val="center"/>
                    <w:rPr>
                      <w:rFonts w:hint="eastAsia" w:ascii="Times New Roman" w:hAnsi="Times New Roman" w:eastAsia="宋体" w:cs="Times New Roman"/>
                      <w:sz w:val="18"/>
                      <w:szCs w:val="18"/>
                      <w:highlight w:val="none"/>
                    </w:rPr>
                  </w:pPr>
                </w:p>
              </w:tc>
              <w:tc>
                <w:tcPr>
                  <w:tcW w:w="1159" w:type="dxa"/>
                  <w:shd w:val="clear" w:color="auto" w:fill="auto"/>
                  <w:noWrap w:val="0"/>
                  <w:vAlign w:val="center"/>
                </w:tcPr>
                <w:p w14:paraId="07F49417">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64" w:lineRule="auto"/>
                    <w:ind w:left="0" w:right="0"/>
                    <w:jc w:val="center"/>
                    <w:textAlignment w:val="auto"/>
                    <w:rPr>
                      <w:rFonts w:hint="eastAsia" w:ascii="Times New Roman" w:hAnsi="Times New Roman" w:eastAsia="宋体" w:cs="Times New Roman"/>
                      <w:bCs/>
                      <w:kern w:val="0"/>
                      <w:sz w:val="18"/>
                      <w:szCs w:val="18"/>
                      <w:highlight w:val="none"/>
                      <w:lang w:val="en-US" w:eastAsia="zh-CN"/>
                    </w:rPr>
                  </w:pPr>
                  <w:r>
                    <w:rPr>
                      <w:rFonts w:hint="eastAsia" w:cs="Times New Roman"/>
                      <w:bCs/>
                      <w:kern w:val="0"/>
                      <w:sz w:val="18"/>
                      <w:szCs w:val="18"/>
                      <w:highlight w:val="none"/>
                      <w:lang w:val="en-US" w:eastAsia="zh-CN"/>
                    </w:rPr>
                    <w:t>少量</w:t>
                  </w:r>
                </w:p>
              </w:tc>
            </w:tr>
            <w:tr w14:paraId="2EC39F2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jc w:val="center"/>
              </w:trPr>
              <w:tc>
                <w:tcPr>
                  <w:tcW w:w="1047" w:type="dxa"/>
                  <w:noWrap w:val="0"/>
                  <w:vAlign w:val="center"/>
                </w:tcPr>
                <w:p w14:paraId="3CE97853">
                  <w:pPr>
                    <w:keepNext w:val="0"/>
                    <w:keepLines w:val="0"/>
                    <w:suppressLineNumbers w:val="0"/>
                    <w:spacing w:before="0" w:beforeAutospacing="0" w:after="0" w:afterAutospacing="0"/>
                    <w:ind w:left="0" w:right="0"/>
                    <w:jc w:val="center"/>
                    <w:rPr>
                      <w:rFonts w:hint="eastAsia" w:ascii="Times New Roman" w:hAnsi="Times New Roman" w:eastAsia="宋体" w:cs="Times New Roman"/>
                      <w:sz w:val="18"/>
                      <w:szCs w:val="18"/>
                      <w:highlight w:val="none"/>
                      <w:lang w:val="en-US" w:eastAsia="zh-CN"/>
                    </w:rPr>
                  </w:pPr>
                  <w:r>
                    <w:rPr>
                      <w:rFonts w:hint="eastAsia" w:ascii="Times New Roman" w:hAnsi="Times New Roman" w:eastAsia="宋体" w:cs="Times New Roman"/>
                      <w:sz w:val="18"/>
                      <w:szCs w:val="18"/>
                      <w:highlight w:val="none"/>
                      <w:lang w:val="en-US" w:eastAsia="zh-CN"/>
                    </w:rPr>
                    <w:t>食堂油烟（DA020）</w:t>
                  </w:r>
                </w:p>
              </w:tc>
              <w:tc>
                <w:tcPr>
                  <w:tcW w:w="1183" w:type="dxa"/>
                  <w:noWrap w:val="0"/>
                  <w:vAlign w:val="center"/>
                </w:tcPr>
                <w:p w14:paraId="0E5C797E">
                  <w:pPr>
                    <w:keepNext w:val="0"/>
                    <w:keepLines w:val="0"/>
                    <w:suppressLineNumbers w:val="0"/>
                    <w:spacing w:before="0" w:beforeAutospacing="0" w:after="0" w:afterAutospacing="0"/>
                    <w:ind w:left="0" w:right="0"/>
                    <w:jc w:val="center"/>
                    <w:rPr>
                      <w:rFonts w:hint="eastAsia" w:ascii="Times New Roman" w:hAnsi="Times New Roman" w:eastAsia="宋体" w:cs="Times New Roman"/>
                      <w:sz w:val="18"/>
                      <w:szCs w:val="18"/>
                      <w:highlight w:val="none"/>
                      <w:lang w:val="en-US" w:eastAsia="zh-CN"/>
                    </w:rPr>
                  </w:pPr>
                  <w:r>
                    <w:rPr>
                      <w:rFonts w:hint="eastAsia" w:ascii="Times New Roman" w:hAnsi="Times New Roman" w:eastAsia="宋体" w:cs="Times New Roman"/>
                      <w:sz w:val="18"/>
                      <w:szCs w:val="18"/>
                      <w:highlight w:val="none"/>
                      <w:lang w:val="en-US" w:eastAsia="zh-CN"/>
                    </w:rPr>
                    <w:t>油烟</w:t>
                  </w:r>
                </w:p>
              </w:tc>
              <w:tc>
                <w:tcPr>
                  <w:tcW w:w="975" w:type="dxa"/>
                  <w:vMerge w:val="continue"/>
                  <w:noWrap w:val="0"/>
                  <w:vAlign w:val="center"/>
                </w:tcPr>
                <w:p w14:paraId="0C2E8E34">
                  <w:pPr>
                    <w:keepNext w:val="0"/>
                    <w:keepLines w:val="0"/>
                    <w:suppressLineNumbers w:val="0"/>
                    <w:spacing w:before="0" w:beforeAutospacing="0" w:after="0" w:afterAutospacing="0"/>
                    <w:ind w:left="0" w:right="0"/>
                    <w:jc w:val="center"/>
                    <w:rPr>
                      <w:rFonts w:hint="eastAsia" w:ascii="Times New Roman" w:hAnsi="Times New Roman" w:eastAsia="宋体" w:cs="Times New Roman"/>
                      <w:sz w:val="18"/>
                      <w:szCs w:val="18"/>
                      <w:highlight w:val="none"/>
                    </w:rPr>
                  </w:pPr>
                </w:p>
              </w:tc>
              <w:tc>
                <w:tcPr>
                  <w:tcW w:w="645" w:type="dxa"/>
                  <w:vMerge w:val="continue"/>
                  <w:noWrap w:val="0"/>
                  <w:vAlign w:val="center"/>
                </w:tcPr>
                <w:p w14:paraId="164E33FB">
                  <w:pPr>
                    <w:keepNext w:val="0"/>
                    <w:keepLines w:val="0"/>
                    <w:suppressLineNumbers w:val="0"/>
                    <w:spacing w:before="0" w:beforeAutospacing="0" w:after="0" w:afterAutospacing="0"/>
                    <w:ind w:left="0" w:right="0"/>
                    <w:jc w:val="center"/>
                    <w:rPr>
                      <w:rFonts w:hint="eastAsia" w:ascii="Times New Roman" w:hAnsi="Times New Roman" w:eastAsia="宋体" w:cs="Times New Roman"/>
                      <w:sz w:val="18"/>
                      <w:szCs w:val="18"/>
                      <w:highlight w:val="none"/>
                    </w:rPr>
                  </w:pPr>
                </w:p>
              </w:tc>
              <w:tc>
                <w:tcPr>
                  <w:tcW w:w="1267" w:type="dxa"/>
                  <w:noWrap w:val="0"/>
                  <w:vAlign w:val="center"/>
                </w:tcPr>
                <w:p w14:paraId="06125E56">
                  <w:pPr>
                    <w:keepNext w:val="0"/>
                    <w:keepLines w:val="0"/>
                    <w:suppressLineNumbers w:val="0"/>
                    <w:spacing w:before="0" w:beforeAutospacing="0" w:after="0" w:afterAutospacing="0"/>
                    <w:ind w:left="0" w:right="0"/>
                    <w:jc w:val="center"/>
                    <w:rPr>
                      <w:rFonts w:hint="eastAsia" w:ascii="Times New Roman" w:hAnsi="Times New Roman" w:eastAsia="宋体" w:cs="Times New Roman"/>
                      <w:sz w:val="18"/>
                      <w:szCs w:val="18"/>
                      <w:highlight w:val="none"/>
                    </w:rPr>
                  </w:pPr>
                  <w:r>
                    <w:rPr>
                      <w:rFonts w:hint="eastAsia" w:ascii="Times New Roman" w:hAnsi="Times New Roman" w:eastAsia="宋体" w:cs="Times New Roman"/>
                      <w:sz w:val="18"/>
                      <w:szCs w:val="18"/>
                      <w:highlight w:val="none"/>
                      <w:lang w:val="en-US" w:eastAsia="zh-CN"/>
                    </w:rPr>
                    <w:t>0.010</w:t>
                  </w:r>
                </w:p>
              </w:tc>
              <w:tc>
                <w:tcPr>
                  <w:tcW w:w="1170" w:type="dxa"/>
                  <w:noWrap w:val="0"/>
                  <w:vAlign w:val="center"/>
                </w:tcPr>
                <w:p w14:paraId="45F6AF67">
                  <w:pPr>
                    <w:keepNext w:val="0"/>
                    <w:keepLines w:val="0"/>
                    <w:suppressLineNumbers w:val="0"/>
                    <w:spacing w:before="0" w:beforeAutospacing="0" w:after="0" w:afterAutospacing="0"/>
                    <w:ind w:left="0" w:right="0"/>
                    <w:jc w:val="center"/>
                    <w:rPr>
                      <w:rFonts w:hint="default" w:ascii="Times New Roman" w:hAnsi="Times New Roman" w:eastAsia="宋体" w:cs="Times New Roman"/>
                      <w:sz w:val="18"/>
                      <w:szCs w:val="18"/>
                      <w:highlight w:val="none"/>
                    </w:rPr>
                  </w:pPr>
                  <w:r>
                    <w:rPr>
                      <w:rFonts w:hint="eastAsia" w:ascii="Times New Roman" w:hAnsi="Times New Roman" w:eastAsia="宋体" w:cs="Times New Roman"/>
                      <w:sz w:val="18"/>
                      <w:szCs w:val="18"/>
                      <w:highlight w:val="none"/>
                      <w:lang w:val="en-US" w:eastAsia="zh-CN"/>
                    </w:rPr>
                    <w:t>0.71</w:t>
                  </w:r>
                </w:p>
              </w:tc>
              <w:tc>
                <w:tcPr>
                  <w:tcW w:w="638" w:type="dxa"/>
                  <w:vMerge w:val="continue"/>
                  <w:noWrap w:val="0"/>
                  <w:vAlign w:val="center"/>
                </w:tcPr>
                <w:p w14:paraId="1CB68A50">
                  <w:pPr>
                    <w:keepNext w:val="0"/>
                    <w:keepLines w:val="0"/>
                    <w:suppressLineNumbers w:val="0"/>
                    <w:spacing w:before="0" w:beforeAutospacing="0" w:after="0" w:afterAutospacing="0"/>
                    <w:ind w:left="0" w:right="0"/>
                    <w:jc w:val="center"/>
                    <w:rPr>
                      <w:rFonts w:hint="eastAsia" w:ascii="Times New Roman" w:hAnsi="Times New Roman" w:eastAsia="宋体" w:cs="Times New Roman"/>
                      <w:sz w:val="18"/>
                      <w:szCs w:val="18"/>
                      <w:highlight w:val="none"/>
                    </w:rPr>
                  </w:pPr>
                </w:p>
              </w:tc>
              <w:tc>
                <w:tcPr>
                  <w:tcW w:w="1159" w:type="dxa"/>
                  <w:shd w:val="clear" w:color="auto" w:fill="auto"/>
                  <w:noWrap w:val="0"/>
                  <w:vAlign w:val="center"/>
                </w:tcPr>
                <w:p w14:paraId="42293D0E">
                  <w:pPr>
                    <w:keepNext w:val="0"/>
                    <w:keepLines w:val="0"/>
                    <w:suppressLineNumbers w:val="0"/>
                    <w:spacing w:before="0" w:beforeAutospacing="0" w:after="0" w:afterAutospacing="0"/>
                    <w:ind w:left="0" w:right="0"/>
                    <w:jc w:val="center"/>
                    <w:rPr>
                      <w:rFonts w:hint="eastAsia" w:ascii="Times New Roman" w:hAnsi="Times New Roman" w:eastAsia="宋体" w:cs="Times New Roman"/>
                      <w:kern w:val="2"/>
                      <w:sz w:val="18"/>
                      <w:szCs w:val="18"/>
                      <w:highlight w:val="none"/>
                      <w:lang w:val="en-US" w:eastAsia="zh-CN" w:bidi="ar-SA"/>
                    </w:rPr>
                  </w:pPr>
                  <w:r>
                    <w:rPr>
                      <w:rFonts w:hint="eastAsia" w:ascii="Times New Roman" w:hAnsi="Times New Roman" w:eastAsia="宋体" w:cs="Times New Roman"/>
                      <w:sz w:val="18"/>
                      <w:szCs w:val="18"/>
                      <w:highlight w:val="none"/>
                      <w:lang w:val="en-US" w:eastAsia="zh-CN"/>
                    </w:rPr>
                    <w:t>0.010</w:t>
                  </w:r>
                </w:p>
              </w:tc>
            </w:tr>
          </w:tbl>
          <w:p w14:paraId="0642ED29">
            <w:pPr>
              <w:keepNext w:val="0"/>
              <w:keepLines w:val="0"/>
              <w:widowControl w:val="0"/>
              <w:suppressLineNumbers w:val="0"/>
              <w:tabs>
                <w:tab w:val="left" w:pos="1661"/>
              </w:tabs>
              <w:spacing w:before="0" w:beforeAutospacing="0" w:after="0" w:afterAutospacing="0" w:line="360" w:lineRule="auto"/>
              <w:ind w:left="0" w:right="0" w:firstLine="482" w:firstLineChars="200"/>
              <w:jc w:val="both"/>
              <w:rPr>
                <w:rFonts w:hint="default" w:ascii="Times New Roman" w:hAnsi="Times New Roman" w:eastAsia="宋体" w:cs="宋体"/>
                <w:b/>
                <w:bCs/>
                <w:color w:val="auto"/>
                <w:kern w:val="2"/>
                <w:sz w:val="24"/>
                <w:szCs w:val="24"/>
                <w:highlight w:val="none"/>
                <w:lang w:val="en-US" w:eastAsia="zh-CN" w:bidi="ar"/>
              </w:rPr>
            </w:pPr>
            <w:r>
              <w:rPr>
                <w:rFonts w:hint="eastAsia" w:cs="宋体"/>
                <w:b/>
                <w:bCs/>
                <w:color w:val="auto"/>
                <w:kern w:val="2"/>
                <w:sz w:val="24"/>
                <w:szCs w:val="24"/>
                <w:highlight w:val="none"/>
                <w:lang w:val="en-US" w:eastAsia="zh-CN" w:bidi="ar"/>
              </w:rPr>
              <w:t>9</w:t>
            </w:r>
            <w:r>
              <w:rPr>
                <w:rFonts w:hint="eastAsia" w:ascii="Times New Roman" w:hAnsi="Times New Roman" w:eastAsia="宋体" w:cs="宋体"/>
                <w:b/>
                <w:bCs/>
                <w:color w:val="auto"/>
                <w:kern w:val="2"/>
                <w:sz w:val="24"/>
                <w:szCs w:val="24"/>
                <w:highlight w:val="none"/>
                <w:lang w:val="en-US" w:eastAsia="zh-CN" w:bidi="ar"/>
              </w:rPr>
              <w:t>、</w:t>
            </w:r>
            <w:r>
              <w:rPr>
                <w:rFonts w:hint="eastAsia" w:ascii="宋体" w:hAnsi="宋体" w:eastAsia="宋体" w:cs="宋体"/>
                <w:b/>
                <w:bCs/>
                <w:strike w:val="0"/>
                <w:dstrike w:val="0"/>
                <w:color w:val="auto"/>
                <w:kern w:val="2"/>
                <w:sz w:val="24"/>
                <w:szCs w:val="24"/>
                <w:highlight w:val="none"/>
              </w:rPr>
              <w:t>污染物排放量核算</w:t>
            </w:r>
          </w:p>
          <w:p w14:paraId="286CF5F6">
            <w:pPr>
              <w:keepNext w:val="0"/>
              <w:keepLines w:val="0"/>
              <w:widowControl w:val="0"/>
              <w:suppressLineNumbers w:val="0"/>
              <w:spacing w:before="0" w:beforeAutospacing="0" w:after="0" w:afterAutospacing="0" w:line="360" w:lineRule="auto"/>
              <w:ind w:left="0" w:right="0" w:firstLine="480" w:firstLineChars="200"/>
              <w:jc w:val="both"/>
              <w:rPr>
                <w:rFonts w:hint="default" w:ascii="Times New Roman" w:hAnsi="Times New Roman" w:eastAsia="宋体" w:cs="宋体"/>
                <w:color w:val="auto"/>
                <w:kern w:val="2"/>
                <w:sz w:val="24"/>
                <w:szCs w:val="24"/>
                <w:highlight w:val="none"/>
                <w:lang w:val="en-US" w:eastAsia="zh-CN" w:bidi="ar"/>
              </w:rPr>
            </w:pPr>
            <w:r>
              <w:rPr>
                <w:rFonts w:hint="eastAsia" w:ascii="Times New Roman" w:hAnsi="Times New Roman" w:eastAsia="宋体" w:cs="宋体"/>
                <w:color w:val="auto"/>
                <w:kern w:val="2"/>
                <w:sz w:val="24"/>
                <w:szCs w:val="24"/>
                <w:highlight w:val="none"/>
                <w:lang w:val="en-US" w:eastAsia="zh-CN" w:bidi="ar"/>
              </w:rPr>
              <w:t>（1）有组织排放量核算</w:t>
            </w:r>
          </w:p>
          <w:p w14:paraId="2A332B50">
            <w:pPr>
              <w:keepNext w:val="0"/>
              <w:keepLines w:val="0"/>
              <w:suppressLineNumbers w:val="0"/>
              <w:adjustRightInd w:val="0"/>
              <w:snapToGrid w:val="0"/>
              <w:spacing w:before="0" w:beforeAutospacing="0" w:after="0" w:afterAutospacing="0" w:line="360" w:lineRule="auto"/>
              <w:ind w:left="0" w:right="0"/>
              <w:jc w:val="center"/>
              <w:rPr>
                <w:rFonts w:hint="eastAsia" w:ascii="Times New Roman" w:hAnsi="Times New Roman" w:eastAsia="宋体" w:cs="Times New Roman"/>
                <w:b/>
                <w:strike w:val="0"/>
                <w:color w:val="auto"/>
                <w:sz w:val="24"/>
                <w:highlight w:val="none"/>
                <w:lang w:val="en-US" w:eastAsia="zh-CN"/>
              </w:rPr>
            </w:pPr>
            <w:r>
              <w:rPr>
                <w:rFonts w:hint="eastAsia" w:ascii="Times New Roman" w:hAnsi="Times New Roman" w:eastAsia="宋体" w:cs="Times New Roman"/>
                <w:b/>
                <w:strike w:val="0"/>
                <w:color w:val="auto"/>
                <w:sz w:val="24"/>
                <w:highlight w:val="none"/>
                <w:lang w:val="en-US" w:eastAsia="zh-CN"/>
              </w:rPr>
              <w:t>7-2</w:t>
            </w:r>
            <w:r>
              <w:rPr>
                <w:rFonts w:hint="eastAsia" w:cs="Times New Roman"/>
                <w:b/>
                <w:strike w:val="0"/>
                <w:color w:val="auto"/>
                <w:sz w:val="24"/>
                <w:highlight w:val="none"/>
                <w:lang w:val="en-US" w:eastAsia="zh-CN"/>
              </w:rPr>
              <w:t>7</w:t>
            </w:r>
            <w:r>
              <w:rPr>
                <w:rFonts w:hint="eastAsia" w:ascii="Times New Roman" w:hAnsi="Times New Roman" w:eastAsia="宋体" w:cs="Times New Roman"/>
                <w:b/>
                <w:strike w:val="0"/>
                <w:color w:val="auto"/>
                <w:sz w:val="24"/>
                <w:highlight w:val="none"/>
                <w:lang w:val="en-US" w:eastAsia="zh-CN"/>
              </w:rPr>
              <w:t xml:space="preserve">  </w:t>
            </w:r>
            <w:r>
              <w:rPr>
                <w:rFonts w:hint="eastAsia" w:ascii="Times New Roman" w:hAnsi="Times New Roman" w:eastAsia="宋体" w:cs="Times New Roman"/>
                <w:b/>
                <w:strike w:val="0"/>
                <w:color w:val="auto"/>
                <w:kern w:val="2"/>
                <w:sz w:val="24"/>
                <w:szCs w:val="24"/>
                <w:highlight w:val="none"/>
                <w:lang w:val="en-US" w:eastAsia="zh-CN" w:bidi="ar-SA"/>
              </w:rPr>
              <w:t>大气污染物有组织排放量核算表</w:t>
            </w:r>
          </w:p>
          <w:tbl>
            <w:tblPr>
              <w:tblStyle w:val="32"/>
              <w:tblW w:w="4993" w:type="pct"/>
              <w:tblInd w:w="2"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28" w:type="dxa"/>
                <w:bottom w:w="0" w:type="dxa"/>
                <w:right w:w="28" w:type="dxa"/>
              </w:tblCellMar>
            </w:tblPr>
            <w:tblGrid>
              <w:gridCol w:w="508"/>
              <w:gridCol w:w="1022"/>
              <w:gridCol w:w="1283"/>
              <w:gridCol w:w="1713"/>
              <w:gridCol w:w="1887"/>
              <w:gridCol w:w="1762"/>
            </w:tblGrid>
            <w:tr w14:paraId="61A8F0EB">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28" w:type="dxa"/>
                  <w:bottom w:w="0" w:type="dxa"/>
                  <w:right w:w="28" w:type="dxa"/>
                </w:tblCellMar>
              </w:tblPrEx>
              <w:trPr>
                <w:trHeight w:val="0" w:hRule="atLeast"/>
              </w:trPr>
              <w:tc>
                <w:tcPr>
                  <w:tcW w:w="311" w:type="pct"/>
                  <w:tcBorders>
                    <w:tl2br w:val="nil"/>
                    <w:tr2bl w:val="nil"/>
                  </w:tcBorders>
                  <w:noWrap w:val="0"/>
                  <w:vAlign w:val="center"/>
                </w:tcPr>
                <w:p w14:paraId="238A438D">
                  <w:pPr>
                    <w:pStyle w:val="27"/>
                    <w:keepNext w:val="0"/>
                    <w:keepLines w:val="0"/>
                    <w:widowControl w:val="0"/>
                    <w:suppressLineNumbers w:val="0"/>
                    <w:spacing w:before="0" w:beforeAutospacing="0" w:after="0" w:afterAutospacing="0" w:line="240" w:lineRule="auto"/>
                    <w:ind w:left="0" w:leftChars="0" w:right="0" w:rightChars="0" w:firstLine="0" w:firstLineChars="0"/>
                    <w:jc w:val="center"/>
                    <w:rPr>
                      <w:rFonts w:hint="default" w:ascii="Times New Roman" w:hAnsi="Times New Roman" w:eastAsia="宋体" w:cs="Times New Roman"/>
                      <w:color w:val="auto"/>
                      <w:sz w:val="21"/>
                      <w:szCs w:val="21"/>
                      <w:highlight w:val="none"/>
                      <w:lang w:val="en-US" w:eastAsia="zh-CN"/>
                    </w:rPr>
                  </w:pPr>
                  <w:r>
                    <w:rPr>
                      <w:rFonts w:hint="eastAsia" w:ascii="Times New Roman" w:hAnsi="Times New Roman" w:eastAsia="宋体" w:cs="Times New Roman"/>
                      <w:color w:val="auto"/>
                      <w:sz w:val="21"/>
                      <w:szCs w:val="21"/>
                      <w:highlight w:val="none"/>
                      <w:lang w:val="en-US" w:eastAsia="zh-CN"/>
                    </w:rPr>
                    <w:t>序号</w:t>
                  </w:r>
                </w:p>
              </w:tc>
              <w:tc>
                <w:tcPr>
                  <w:tcW w:w="625" w:type="pct"/>
                  <w:tcBorders>
                    <w:tl2br w:val="nil"/>
                    <w:tr2bl w:val="nil"/>
                  </w:tcBorders>
                  <w:noWrap w:val="0"/>
                  <w:vAlign w:val="center"/>
                </w:tcPr>
                <w:p w14:paraId="47836ABA">
                  <w:pPr>
                    <w:pStyle w:val="27"/>
                    <w:keepNext w:val="0"/>
                    <w:keepLines w:val="0"/>
                    <w:widowControl w:val="0"/>
                    <w:suppressLineNumbers w:val="0"/>
                    <w:spacing w:before="0" w:beforeAutospacing="0" w:after="0" w:afterAutospacing="0" w:line="240" w:lineRule="auto"/>
                    <w:ind w:left="0" w:leftChars="0" w:right="0" w:rightChars="0" w:firstLine="0" w:firstLineChars="0"/>
                    <w:jc w:val="center"/>
                    <w:rPr>
                      <w:rFonts w:hint="eastAsia" w:ascii="Times New Roman" w:hAnsi="Times New Roman" w:eastAsia="宋体" w:cs="Times New Roman"/>
                      <w:color w:val="auto"/>
                      <w:sz w:val="21"/>
                      <w:szCs w:val="21"/>
                      <w:highlight w:val="none"/>
                      <w:lang w:val="en-US" w:eastAsia="zh-CN"/>
                    </w:rPr>
                  </w:pPr>
                  <w:r>
                    <w:rPr>
                      <w:rFonts w:hint="eastAsia" w:ascii="Times New Roman" w:hAnsi="Times New Roman" w:eastAsia="宋体" w:cs="Times New Roman"/>
                      <w:color w:val="auto"/>
                      <w:sz w:val="21"/>
                      <w:szCs w:val="21"/>
                      <w:highlight w:val="none"/>
                      <w:lang w:val="en-US" w:eastAsia="zh-CN"/>
                    </w:rPr>
                    <w:t>排放口</w:t>
                  </w:r>
                </w:p>
                <w:p w14:paraId="53AD6243">
                  <w:pPr>
                    <w:pStyle w:val="27"/>
                    <w:keepNext w:val="0"/>
                    <w:keepLines w:val="0"/>
                    <w:widowControl w:val="0"/>
                    <w:suppressLineNumbers w:val="0"/>
                    <w:spacing w:before="0" w:beforeAutospacing="0" w:after="0" w:afterAutospacing="0" w:line="240" w:lineRule="auto"/>
                    <w:ind w:left="0" w:leftChars="0" w:right="0" w:rightChars="0" w:firstLine="0" w:firstLineChars="0"/>
                    <w:jc w:val="center"/>
                    <w:rPr>
                      <w:rFonts w:hint="default" w:ascii="Times New Roman" w:hAnsi="Times New Roman" w:eastAsia="宋体" w:cs="Times New Roman"/>
                      <w:color w:val="auto"/>
                      <w:sz w:val="21"/>
                      <w:szCs w:val="21"/>
                      <w:highlight w:val="none"/>
                      <w:lang w:val="en-US" w:eastAsia="zh-CN"/>
                    </w:rPr>
                  </w:pPr>
                  <w:r>
                    <w:rPr>
                      <w:rFonts w:hint="eastAsia" w:ascii="Times New Roman" w:hAnsi="Times New Roman" w:eastAsia="宋体" w:cs="Times New Roman"/>
                      <w:color w:val="auto"/>
                      <w:sz w:val="21"/>
                      <w:szCs w:val="21"/>
                      <w:highlight w:val="none"/>
                      <w:lang w:val="en-US" w:eastAsia="zh-CN"/>
                    </w:rPr>
                    <w:t>编号</w:t>
                  </w:r>
                </w:p>
              </w:tc>
              <w:tc>
                <w:tcPr>
                  <w:tcW w:w="785" w:type="pct"/>
                  <w:tcBorders>
                    <w:tl2br w:val="nil"/>
                    <w:tr2bl w:val="nil"/>
                  </w:tcBorders>
                  <w:noWrap w:val="0"/>
                  <w:vAlign w:val="center"/>
                </w:tcPr>
                <w:p w14:paraId="51A0E6B5">
                  <w:pPr>
                    <w:pStyle w:val="27"/>
                    <w:keepNext w:val="0"/>
                    <w:keepLines w:val="0"/>
                    <w:widowControl w:val="0"/>
                    <w:suppressLineNumbers w:val="0"/>
                    <w:spacing w:before="0" w:beforeAutospacing="0" w:after="0" w:afterAutospacing="0" w:line="240" w:lineRule="auto"/>
                    <w:ind w:left="0" w:leftChars="0" w:right="0" w:rightChars="0" w:firstLine="0" w:firstLineChars="0"/>
                    <w:jc w:val="center"/>
                    <w:rPr>
                      <w:rFonts w:hint="default" w:ascii="Times New Roman" w:hAnsi="Times New Roman" w:eastAsia="宋体" w:cs="Times New Roman"/>
                      <w:color w:val="auto"/>
                      <w:sz w:val="21"/>
                      <w:szCs w:val="21"/>
                      <w:highlight w:val="none"/>
                      <w:lang w:val="en-US" w:eastAsia="zh-CN"/>
                    </w:rPr>
                  </w:pPr>
                  <w:r>
                    <w:rPr>
                      <w:rFonts w:hint="eastAsia" w:ascii="Times New Roman" w:hAnsi="Times New Roman" w:eastAsia="宋体" w:cs="Times New Roman"/>
                      <w:color w:val="auto"/>
                      <w:sz w:val="21"/>
                      <w:szCs w:val="21"/>
                      <w:highlight w:val="none"/>
                      <w:lang w:val="en-US" w:eastAsia="zh-CN"/>
                    </w:rPr>
                    <w:t>污染物</w:t>
                  </w:r>
                </w:p>
              </w:tc>
              <w:tc>
                <w:tcPr>
                  <w:tcW w:w="1048" w:type="pct"/>
                  <w:tcBorders>
                    <w:tl2br w:val="nil"/>
                    <w:tr2bl w:val="nil"/>
                  </w:tcBorders>
                  <w:noWrap w:val="0"/>
                  <w:vAlign w:val="center"/>
                </w:tcPr>
                <w:p w14:paraId="4AA31118">
                  <w:pPr>
                    <w:pStyle w:val="27"/>
                    <w:keepNext w:val="0"/>
                    <w:keepLines w:val="0"/>
                    <w:widowControl w:val="0"/>
                    <w:suppressLineNumbers w:val="0"/>
                    <w:spacing w:before="0" w:beforeAutospacing="0" w:after="0" w:afterAutospacing="0" w:line="240" w:lineRule="auto"/>
                    <w:ind w:left="0" w:leftChars="0" w:right="0" w:rightChars="0" w:firstLine="0" w:firstLineChars="0"/>
                    <w:jc w:val="center"/>
                    <w:rPr>
                      <w:rFonts w:hint="default" w:ascii="Times New Roman" w:hAnsi="Times New Roman" w:eastAsia="宋体" w:cs="Times New Roman"/>
                      <w:color w:val="auto"/>
                      <w:sz w:val="21"/>
                      <w:szCs w:val="21"/>
                      <w:highlight w:val="none"/>
                      <w:lang w:val="en-US" w:eastAsia="zh-CN"/>
                    </w:rPr>
                  </w:pPr>
                  <w:r>
                    <w:rPr>
                      <w:rFonts w:hint="eastAsia" w:ascii="Times New Roman" w:hAnsi="Times New Roman" w:eastAsia="宋体" w:cs="Times New Roman"/>
                      <w:color w:val="auto"/>
                      <w:sz w:val="21"/>
                      <w:szCs w:val="21"/>
                      <w:highlight w:val="none"/>
                      <w:lang w:val="en-US" w:eastAsia="zh-CN"/>
                    </w:rPr>
                    <w:t>核算排放浓度</w:t>
                  </w:r>
                  <w:r>
                    <w:rPr>
                      <w:rFonts w:hint="default" w:ascii="Times New Roman" w:hAnsi="Times New Roman" w:eastAsia="宋体" w:cs="Times New Roman"/>
                      <w:color w:val="auto"/>
                      <w:sz w:val="21"/>
                      <w:szCs w:val="21"/>
                      <w:highlight w:val="none"/>
                      <w:lang w:val="en-US" w:eastAsia="zh-CN"/>
                    </w:rPr>
                    <w:t>/</w:t>
                  </w:r>
                  <w:r>
                    <w:rPr>
                      <w:rFonts w:hint="eastAsia" w:ascii="Times New Roman" w:hAnsi="Times New Roman" w:eastAsia="宋体" w:cs="Times New Roman"/>
                      <w:color w:val="auto"/>
                      <w:sz w:val="21"/>
                      <w:szCs w:val="21"/>
                      <w:highlight w:val="none"/>
                      <w:lang w:val="en-US" w:eastAsia="zh-CN"/>
                    </w:rPr>
                    <w:t>（m</w:t>
                  </w:r>
                  <w:r>
                    <w:rPr>
                      <w:rFonts w:hint="default" w:ascii="Times New Roman" w:hAnsi="Times New Roman" w:eastAsia="宋体" w:cs="Times New Roman"/>
                      <w:color w:val="auto"/>
                      <w:sz w:val="21"/>
                      <w:szCs w:val="21"/>
                      <w:highlight w:val="none"/>
                      <w:lang w:val="en-US" w:eastAsia="zh-CN"/>
                    </w:rPr>
                    <w:t>g/m</w:t>
                  </w:r>
                  <w:r>
                    <w:rPr>
                      <w:rFonts w:hint="default" w:ascii="Times New Roman" w:hAnsi="Times New Roman" w:eastAsia="宋体" w:cs="Times New Roman"/>
                      <w:color w:val="auto"/>
                      <w:sz w:val="21"/>
                      <w:szCs w:val="21"/>
                      <w:highlight w:val="none"/>
                      <w:vertAlign w:val="superscript"/>
                      <w:lang w:val="en-US" w:eastAsia="zh-CN"/>
                    </w:rPr>
                    <w:t>3</w:t>
                  </w:r>
                  <w:r>
                    <w:rPr>
                      <w:rFonts w:hint="eastAsia" w:ascii="Times New Roman" w:hAnsi="Times New Roman" w:eastAsia="宋体" w:cs="Times New Roman"/>
                      <w:color w:val="auto"/>
                      <w:sz w:val="21"/>
                      <w:szCs w:val="21"/>
                      <w:highlight w:val="none"/>
                      <w:lang w:val="en-US" w:eastAsia="zh-CN"/>
                    </w:rPr>
                    <w:t>）</w:t>
                  </w:r>
                </w:p>
              </w:tc>
              <w:tc>
                <w:tcPr>
                  <w:tcW w:w="1152" w:type="pct"/>
                  <w:tcBorders>
                    <w:tl2br w:val="nil"/>
                    <w:tr2bl w:val="nil"/>
                  </w:tcBorders>
                  <w:noWrap w:val="0"/>
                  <w:vAlign w:val="center"/>
                </w:tcPr>
                <w:p w14:paraId="120FAE82">
                  <w:pPr>
                    <w:pStyle w:val="27"/>
                    <w:keepNext w:val="0"/>
                    <w:keepLines w:val="0"/>
                    <w:widowControl w:val="0"/>
                    <w:suppressLineNumbers w:val="0"/>
                    <w:spacing w:before="0" w:beforeAutospacing="0" w:after="0" w:afterAutospacing="0" w:line="240" w:lineRule="auto"/>
                    <w:ind w:left="0" w:leftChars="0" w:right="0" w:rightChars="0" w:firstLine="0" w:firstLineChars="0"/>
                    <w:jc w:val="center"/>
                    <w:rPr>
                      <w:rFonts w:hint="default" w:ascii="Times New Roman" w:hAnsi="Times New Roman" w:eastAsia="宋体" w:cs="Times New Roman"/>
                      <w:color w:val="auto"/>
                      <w:sz w:val="21"/>
                      <w:szCs w:val="21"/>
                      <w:highlight w:val="none"/>
                      <w:lang w:val="en-US" w:eastAsia="zh-CN"/>
                    </w:rPr>
                  </w:pPr>
                  <w:r>
                    <w:rPr>
                      <w:rFonts w:hint="eastAsia" w:ascii="Times New Roman" w:hAnsi="Times New Roman" w:eastAsia="宋体" w:cs="Times New Roman"/>
                      <w:color w:val="auto"/>
                      <w:sz w:val="21"/>
                      <w:szCs w:val="21"/>
                      <w:highlight w:val="none"/>
                      <w:lang w:val="en-US" w:eastAsia="zh-CN"/>
                    </w:rPr>
                    <w:t>核算排放速率</w:t>
                  </w:r>
                  <w:r>
                    <w:rPr>
                      <w:rFonts w:hint="default" w:ascii="Times New Roman" w:hAnsi="Times New Roman" w:eastAsia="宋体" w:cs="Times New Roman"/>
                      <w:color w:val="auto"/>
                      <w:sz w:val="21"/>
                      <w:szCs w:val="21"/>
                      <w:highlight w:val="none"/>
                      <w:lang w:val="en-US" w:eastAsia="zh-CN"/>
                    </w:rPr>
                    <w:t>/</w:t>
                  </w:r>
                  <w:r>
                    <w:rPr>
                      <w:rFonts w:hint="eastAsia" w:ascii="Times New Roman" w:hAnsi="Times New Roman" w:eastAsia="宋体" w:cs="Times New Roman"/>
                      <w:color w:val="auto"/>
                      <w:sz w:val="21"/>
                      <w:szCs w:val="21"/>
                      <w:highlight w:val="none"/>
                      <w:lang w:val="en-US" w:eastAsia="zh-CN"/>
                    </w:rPr>
                    <w:t>（</w:t>
                  </w:r>
                  <w:r>
                    <w:rPr>
                      <w:rFonts w:hint="default" w:ascii="Times New Roman" w:hAnsi="Times New Roman" w:eastAsia="宋体" w:cs="Times New Roman"/>
                      <w:color w:val="auto"/>
                      <w:sz w:val="21"/>
                      <w:szCs w:val="21"/>
                      <w:highlight w:val="none"/>
                      <w:lang w:val="en-US" w:eastAsia="zh-CN"/>
                    </w:rPr>
                    <w:t>kg/h</w:t>
                  </w:r>
                  <w:r>
                    <w:rPr>
                      <w:rFonts w:hint="eastAsia" w:ascii="Times New Roman" w:hAnsi="Times New Roman" w:eastAsia="宋体" w:cs="Times New Roman"/>
                      <w:color w:val="auto"/>
                      <w:sz w:val="21"/>
                      <w:szCs w:val="21"/>
                      <w:highlight w:val="none"/>
                      <w:lang w:val="en-US" w:eastAsia="zh-CN"/>
                    </w:rPr>
                    <w:t>）</w:t>
                  </w:r>
                </w:p>
              </w:tc>
              <w:tc>
                <w:tcPr>
                  <w:tcW w:w="1076" w:type="pct"/>
                  <w:tcBorders>
                    <w:tl2br w:val="nil"/>
                    <w:tr2bl w:val="nil"/>
                  </w:tcBorders>
                  <w:noWrap w:val="0"/>
                  <w:vAlign w:val="center"/>
                </w:tcPr>
                <w:p w14:paraId="29E1C0B5">
                  <w:pPr>
                    <w:pStyle w:val="27"/>
                    <w:keepNext w:val="0"/>
                    <w:keepLines w:val="0"/>
                    <w:widowControl w:val="0"/>
                    <w:suppressLineNumbers w:val="0"/>
                    <w:spacing w:before="0" w:beforeAutospacing="0" w:after="0" w:afterAutospacing="0" w:line="240" w:lineRule="auto"/>
                    <w:ind w:left="0" w:leftChars="0" w:right="0" w:rightChars="0" w:firstLine="0" w:firstLineChars="0"/>
                    <w:jc w:val="center"/>
                    <w:rPr>
                      <w:rFonts w:hint="default" w:ascii="Times New Roman" w:hAnsi="Times New Roman" w:eastAsia="宋体" w:cs="Times New Roman"/>
                      <w:color w:val="auto"/>
                      <w:sz w:val="21"/>
                      <w:szCs w:val="21"/>
                      <w:highlight w:val="none"/>
                      <w:lang w:val="en-US" w:eastAsia="zh-CN"/>
                    </w:rPr>
                  </w:pPr>
                  <w:r>
                    <w:rPr>
                      <w:rFonts w:hint="eastAsia" w:ascii="Times New Roman" w:hAnsi="Times New Roman" w:eastAsia="宋体" w:cs="Times New Roman"/>
                      <w:color w:val="auto"/>
                      <w:sz w:val="21"/>
                      <w:szCs w:val="21"/>
                      <w:highlight w:val="none"/>
                      <w:lang w:val="en-US" w:eastAsia="zh-CN"/>
                    </w:rPr>
                    <w:t>核算年排放量</w:t>
                  </w:r>
                  <w:r>
                    <w:rPr>
                      <w:rFonts w:hint="default" w:ascii="Times New Roman" w:hAnsi="Times New Roman" w:eastAsia="宋体" w:cs="Times New Roman"/>
                      <w:color w:val="auto"/>
                      <w:sz w:val="21"/>
                      <w:szCs w:val="21"/>
                      <w:highlight w:val="none"/>
                      <w:lang w:val="en-US" w:eastAsia="zh-CN"/>
                    </w:rPr>
                    <w:t>/</w:t>
                  </w:r>
                  <w:r>
                    <w:rPr>
                      <w:rFonts w:hint="eastAsia" w:ascii="Times New Roman" w:hAnsi="Times New Roman" w:eastAsia="宋体" w:cs="Times New Roman"/>
                      <w:color w:val="auto"/>
                      <w:sz w:val="21"/>
                      <w:szCs w:val="21"/>
                      <w:highlight w:val="none"/>
                      <w:lang w:val="en-US" w:eastAsia="zh-CN"/>
                    </w:rPr>
                    <w:t>（</w:t>
                  </w:r>
                  <w:r>
                    <w:rPr>
                      <w:rFonts w:hint="default" w:ascii="Times New Roman" w:hAnsi="Times New Roman" w:eastAsia="宋体" w:cs="Times New Roman"/>
                      <w:color w:val="auto"/>
                      <w:sz w:val="21"/>
                      <w:szCs w:val="21"/>
                      <w:highlight w:val="none"/>
                      <w:lang w:val="en-US" w:eastAsia="zh-CN"/>
                    </w:rPr>
                    <w:t>t/a</w:t>
                  </w:r>
                  <w:r>
                    <w:rPr>
                      <w:rFonts w:hint="eastAsia" w:ascii="Times New Roman" w:hAnsi="Times New Roman" w:eastAsia="宋体" w:cs="Times New Roman"/>
                      <w:color w:val="auto"/>
                      <w:sz w:val="21"/>
                      <w:szCs w:val="21"/>
                      <w:highlight w:val="none"/>
                      <w:lang w:val="en-US" w:eastAsia="zh-CN"/>
                    </w:rPr>
                    <w:t>）</w:t>
                  </w:r>
                </w:p>
              </w:tc>
            </w:tr>
            <w:tr w14:paraId="21397C4A">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28" w:type="dxa"/>
                  <w:bottom w:w="0" w:type="dxa"/>
                  <w:right w:w="28" w:type="dxa"/>
                </w:tblCellMar>
              </w:tblPrEx>
              <w:trPr>
                <w:trHeight w:val="0" w:hRule="atLeast"/>
              </w:trPr>
              <w:tc>
                <w:tcPr>
                  <w:tcW w:w="5000" w:type="pct"/>
                  <w:gridSpan w:val="6"/>
                  <w:tcBorders>
                    <w:tl2br w:val="nil"/>
                    <w:tr2bl w:val="nil"/>
                  </w:tcBorders>
                  <w:noWrap w:val="0"/>
                  <w:vAlign w:val="center"/>
                </w:tcPr>
                <w:p w14:paraId="6346BEC0">
                  <w:pPr>
                    <w:pStyle w:val="27"/>
                    <w:keepNext w:val="0"/>
                    <w:keepLines w:val="0"/>
                    <w:widowControl w:val="0"/>
                    <w:suppressLineNumbers w:val="0"/>
                    <w:spacing w:before="0" w:beforeAutospacing="0" w:after="0" w:afterAutospacing="0" w:line="240" w:lineRule="auto"/>
                    <w:ind w:left="0" w:leftChars="0" w:right="0" w:rightChars="0" w:firstLine="0" w:firstLineChars="0"/>
                    <w:jc w:val="center"/>
                    <w:rPr>
                      <w:rFonts w:hint="default" w:ascii="Times New Roman" w:hAnsi="Times New Roman" w:eastAsia="宋体" w:cs="Times New Roman"/>
                      <w:color w:val="auto"/>
                      <w:sz w:val="21"/>
                      <w:szCs w:val="21"/>
                      <w:highlight w:val="none"/>
                      <w:lang w:val="en-US" w:eastAsia="zh-CN"/>
                    </w:rPr>
                  </w:pPr>
                  <w:r>
                    <w:rPr>
                      <w:rFonts w:hint="eastAsia" w:ascii="Times New Roman" w:hAnsi="Times New Roman" w:eastAsia="宋体" w:cs="Times New Roman"/>
                      <w:color w:val="auto"/>
                      <w:sz w:val="21"/>
                      <w:szCs w:val="21"/>
                      <w:highlight w:val="none"/>
                      <w:lang w:val="en-US" w:eastAsia="zh-CN"/>
                    </w:rPr>
                    <w:t>一般排放口</w:t>
                  </w:r>
                </w:p>
              </w:tc>
            </w:tr>
            <w:tr w14:paraId="414CA95A">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28" w:type="dxa"/>
                  <w:bottom w:w="0" w:type="dxa"/>
                  <w:right w:w="28" w:type="dxa"/>
                </w:tblCellMar>
              </w:tblPrEx>
              <w:trPr>
                <w:trHeight w:val="0" w:hRule="atLeast"/>
              </w:trPr>
              <w:tc>
                <w:tcPr>
                  <w:tcW w:w="311" w:type="pct"/>
                  <w:tcBorders>
                    <w:tl2br w:val="nil"/>
                    <w:tr2bl w:val="nil"/>
                  </w:tcBorders>
                  <w:noWrap w:val="0"/>
                  <w:vAlign w:val="center"/>
                </w:tcPr>
                <w:p w14:paraId="381D3BE9">
                  <w:pPr>
                    <w:pStyle w:val="27"/>
                    <w:keepNext w:val="0"/>
                    <w:keepLines w:val="0"/>
                    <w:widowControl w:val="0"/>
                    <w:suppressLineNumbers w:val="0"/>
                    <w:spacing w:before="0" w:beforeAutospacing="0" w:after="0" w:afterAutospacing="0" w:line="240" w:lineRule="auto"/>
                    <w:ind w:left="0" w:leftChars="0" w:right="0" w:rightChars="0" w:firstLine="0" w:firstLineChars="0"/>
                    <w:jc w:val="center"/>
                    <w:rPr>
                      <w:rFonts w:hint="default" w:ascii="Times New Roman" w:hAnsi="Times New Roman" w:eastAsia="宋体" w:cs="Times New Roman"/>
                      <w:color w:val="auto"/>
                      <w:sz w:val="21"/>
                      <w:szCs w:val="21"/>
                      <w:highlight w:val="none"/>
                      <w:lang w:val="en-US" w:eastAsia="zh-CN"/>
                    </w:rPr>
                  </w:pPr>
                  <w:r>
                    <w:rPr>
                      <w:rFonts w:hint="eastAsia" w:ascii="Times New Roman" w:hAnsi="Times New Roman" w:eastAsia="宋体" w:cs="Times New Roman"/>
                      <w:color w:val="auto"/>
                      <w:sz w:val="21"/>
                      <w:szCs w:val="21"/>
                      <w:highlight w:val="none"/>
                      <w:lang w:val="en-US" w:eastAsia="zh-CN"/>
                    </w:rPr>
                    <w:t>1</w:t>
                  </w:r>
                </w:p>
              </w:tc>
              <w:tc>
                <w:tcPr>
                  <w:tcW w:w="625" w:type="pct"/>
                  <w:vMerge w:val="restart"/>
                  <w:tcBorders>
                    <w:tl2br w:val="nil"/>
                    <w:tr2bl w:val="nil"/>
                  </w:tcBorders>
                  <w:noWrap w:val="0"/>
                  <w:vAlign w:val="center"/>
                </w:tcPr>
                <w:p w14:paraId="2D667FE1">
                  <w:pPr>
                    <w:pStyle w:val="27"/>
                    <w:keepNext w:val="0"/>
                    <w:keepLines w:val="0"/>
                    <w:widowControl w:val="0"/>
                    <w:suppressLineNumbers w:val="0"/>
                    <w:spacing w:before="0" w:beforeAutospacing="0" w:after="0" w:afterAutospacing="0" w:line="240" w:lineRule="auto"/>
                    <w:ind w:left="0" w:leftChars="0" w:right="0" w:rightChars="0" w:firstLine="0" w:firstLineChars="0"/>
                    <w:jc w:val="center"/>
                    <w:rPr>
                      <w:rFonts w:hint="default" w:ascii="Times New Roman" w:hAnsi="Times New Roman" w:eastAsia="宋体" w:cs="Times New Roman"/>
                      <w:color w:val="auto"/>
                      <w:sz w:val="21"/>
                      <w:szCs w:val="21"/>
                      <w:highlight w:val="none"/>
                      <w:lang w:val="en-US" w:eastAsia="zh-CN"/>
                    </w:rPr>
                  </w:pPr>
                  <w:r>
                    <w:rPr>
                      <w:rFonts w:hint="default" w:ascii="Times New Roman" w:hAnsi="Times New Roman" w:eastAsia="宋体" w:cs="Times New Roman"/>
                      <w:color w:val="auto"/>
                      <w:sz w:val="21"/>
                      <w:szCs w:val="21"/>
                      <w:highlight w:val="none"/>
                      <w:lang w:val="en-US" w:eastAsia="zh-CN"/>
                    </w:rPr>
                    <w:t>DA001</w:t>
                  </w:r>
                </w:p>
              </w:tc>
              <w:tc>
                <w:tcPr>
                  <w:tcW w:w="785" w:type="pct"/>
                  <w:tcBorders>
                    <w:tl2br w:val="nil"/>
                    <w:tr2bl w:val="nil"/>
                  </w:tcBorders>
                  <w:noWrap w:val="0"/>
                  <w:vAlign w:val="center"/>
                </w:tcPr>
                <w:p w14:paraId="74976B61">
                  <w:pPr>
                    <w:pStyle w:val="27"/>
                    <w:keepNext w:val="0"/>
                    <w:keepLines w:val="0"/>
                    <w:widowControl w:val="0"/>
                    <w:suppressLineNumbers w:val="0"/>
                    <w:spacing w:before="0" w:beforeAutospacing="0" w:after="0" w:afterAutospacing="0" w:line="240" w:lineRule="auto"/>
                    <w:ind w:left="0" w:leftChars="0" w:right="0" w:rightChars="0" w:firstLine="0" w:firstLineChars="0"/>
                    <w:jc w:val="center"/>
                    <w:rPr>
                      <w:rFonts w:hint="default" w:ascii="Times New Roman" w:hAnsi="Times New Roman" w:eastAsia="宋体" w:cs="Times New Roman"/>
                      <w:color w:val="auto"/>
                      <w:sz w:val="21"/>
                      <w:szCs w:val="21"/>
                      <w:highlight w:val="none"/>
                      <w:lang w:val="en-US" w:eastAsia="zh-CN"/>
                    </w:rPr>
                  </w:pPr>
                  <w:r>
                    <w:rPr>
                      <w:rFonts w:hint="eastAsia" w:ascii="Times New Roman" w:hAnsi="Times New Roman" w:eastAsia="宋体" w:cs="Times New Roman"/>
                      <w:color w:val="auto"/>
                      <w:sz w:val="21"/>
                      <w:szCs w:val="21"/>
                      <w:highlight w:val="none"/>
                      <w:lang w:val="en-US" w:eastAsia="zh-CN"/>
                    </w:rPr>
                    <w:t>氨</w:t>
                  </w:r>
                </w:p>
              </w:tc>
              <w:tc>
                <w:tcPr>
                  <w:tcW w:w="1048" w:type="pct"/>
                  <w:tcBorders>
                    <w:tl2br w:val="nil"/>
                    <w:tr2bl w:val="nil"/>
                  </w:tcBorders>
                  <w:noWrap w:val="0"/>
                  <w:vAlign w:val="center"/>
                </w:tcPr>
                <w:p w14:paraId="679CE22A">
                  <w:pPr>
                    <w:pStyle w:val="27"/>
                    <w:keepNext w:val="0"/>
                    <w:keepLines w:val="0"/>
                    <w:widowControl w:val="0"/>
                    <w:suppressLineNumbers w:val="0"/>
                    <w:spacing w:before="0" w:beforeAutospacing="0" w:after="0" w:afterAutospacing="0" w:line="240" w:lineRule="auto"/>
                    <w:ind w:left="0" w:leftChars="0" w:right="0" w:rightChars="0" w:firstLine="0" w:firstLineChars="0"/>
                    <w:jc w:val="center"/>
                    <w:rPr>
                      <w:rFonts w:hint="default" w:ascii="Times New Roman" w:hAnsi="Times New Roman" w:eastAsia="宋体" w:cs="Times New Roman"/>
                      <w:color w:val="auto"/>
                      <w:sz w:val="21"/>
                      <w:szCs w:val="21"/>
                      <w:highlight w:val="none"/>
                      <w:lang w:val="en-US" w:eastAsia="zh-CN"/>
                    </w:rPr>
                  </w:pPr>
                  <w:r>
                    <w:rPr>
                      <w:rFonts w:hint="eastAsia" w:ascii="Times New Roman" w:hAnsi="Times New Roman" w:eastAsia="宋体" w:cs="Times New Roman"/>
                      <w:bCs/>
                      <w:kern w:val="0"/>
                      <w:sz w:val="21"/>
                      <w:szCs w:val="21"/>
                      <w:highlight w:val="none"/>
                      <w:lang w:val="en-US" w:eastAsia="zh-CN"/>
                    </w:rPr>
                    <w:t>0.</w:t>
                  </w:r>
                  <w:r>
                    <w:rPr>
                      <w:rFonts w:hint="eastAsia" w:ascii="Times New Roman" w:hAnsi="Times New Roman" w:cs="Times New Roman"/>
                      <w:bCs/>
                      <w:kern w:val="0"/>
                      <w:sz w:val="21"/>
                      <w:szCs w:val="21"/>
                      <w:highlight w:val="none"/>
                      <w:lang w:val="en-US" w:eastAsia="zh-CN"/>
                    </w:rPr>
                    <w:t>19</w:t>
                  </w:r>
                </w:p>
              </w:tc>
              <w:tc>
                <w:tcPr>
                  <w:tcW w:w="1152" w:type="pct"/>
                  <w:tcBorders>
                    <w:tl2br w:val="nil"/>
                    <w:tr2bl w:val="nil"/>
                  </w:tcBorders>
                  <w:noWrap w:val="0"/>
                  <w:vAlign w:val="center"/>
                </w:tcPr>
                <w:p w14:paraId="6B61A5AD">
                  <w:pPr>
                    <w:pStyle w:val="27"/>
                    <w:keepNext w:val="0"/>
                    <w:keepLines w:val="0"/>
                    <w:widowControl w:val="0"/>
                    <w:suppressLineNumbers w:val="0"/>
                    <w:spacing w:before="0" w:beforeAutospacing="0" w:after="0" w:afterAutospacing="0" w:line="240" w:lineRule="auto"/>
                    <w:ind w:left="0" w:leftChars="0" w:right="0" w:rightChars="0" w:firstLine="0" w:firstLineChars="0"/>
                    <w:jc w:val="center"/>
                    <w:rPr>
                      <w:rFonts w:hint="default" w:ascii="Times New Roman" w:hAnsi="Times New Roman" w:eastAsia="宋体" w:cs="Times New Roman"/>
                      <w:color w:val="auto"/>
                      <w:sz w:val="21"/>
                      <w:szCs w:val="21"/>
                      <w:highlight w:val="none"/>
                      <w:lang w:val="en-US" w:eastAsia="zh-CN"/>
                    </w:rPr>
                  </w:pPr>
                  <w:r>
                    <w:rPr>
                      <w:rFonts w:hint="default" w:ascii="Times New Roman" w:hAnsi="Times New Roman" w:eastAsia="宋体" w:cs="Times New Roman"/>
                      <w:color w:val="auto"/>
                      <w:sz w:val="21"/>
                      <w:szCs w:val="21"/>
                      <w:highlight w:val="none"/>
                      <w:lang w:val="en-US" w:eastAsia="zh-CN"/>
                    </w:rPr>
                    <w:t>0.0</w:t>
                  </w:r>
                  <w:r>
                    <w:rPr>
                      <w:rFonts w:hint="eastAsia" w:ascii="Times New Roman" w:hAnsi="Times New Roman" w:eastAsia="宋体" w:cs="Times New Roman"/>
                      <w:color w:val="auto"/>
                      <w:sz w:val="21"/>
                      <w:szCs w:val="21"/>
                      <w:highlight w:val="none"/>
                      <w:lang w:val="en-US" w:eastAsia="zh-CN"/>
                    </w:rPr>
                    <w:t>0</w:t>
                  </w:r>
                  <w:r>
                    <w:rPr>
                      <w:rFonts w:hint="default" w:ascii="Times New Roman" w:hAnsi="Times New Roman" w:eastAsia="宋体" w:cs="Times New Roman"/>
                      <w:color w:val="auto"/>
                      <w:sz w:val="21"/>
                      <w:szCs w:val="21"/>
                      <w:highlight w:val="none"/>
                      <w:lang w:val="en-US" w:eastAsia="zh-CN"/>
                    </w:rPr>
                    <w:t>4</w:t>
                  </w:r>
                </w:p>
              </w:tc>
              <w:tc>
                <w:tcPr>
                  <w:tcW w:w="1076" w:type="pct"/>
                  <w:tcBorders>
                    <w:tl2br w:val="nil"/>
                    <w:tr2bl w:val="nil"/>
                  </w:tcBorders>
                  <w:noWrap w:val="0"/>
                  <w:vAlign w:val="center"/>
                </w:tcPr>
                <w:p w14:paraId="1B5B02B0">
                  <w:pPr>
                    <w:pStyle w:val="27"/>
                    <w:keepNext w:val="0"/>
                    <w:keepLines w:val="0"/>
                    <w:widowControl w:val="0"/>
                    <w:suppressLineNumbers w:val="0"/>
                    <w:spacing w:before="0" w:beforeAutospacing="0" w:after="0" w:afterAutospacing="0" w:line="240" w:lineRule="auto"/>
                    <w:ind w:left="0" w:leftChars="0" w:right="0" w:rightChars="0" w:firstLine="0" w:firstLineChars="0"/>
                    <w:jc w:val="center"/>
                    <w:rPr>
                      <w:rFonts w:hint="default" w:ascii="Times New Roman" w:hAnsi="Times New Roman" w:eastAsia="宋体" w:cs="Times New Roman"/>
                      <w:color w:val="auto"/>
                      <w:sz w:val="21"/>
                      <w:szCs w:val="21"/>
                      <w:highlight w:val="none"/>
                      <w:lang w:val="en-US" w:eastAsia="zh-CN"/>
                    </w:rPr>
                  </w:pPr>
                  <w:r>
                    <w:rPr>
                      <w:rFonts w:hint="eastAsia" w:ascii="Times New Roman" w:hAnsi="Times New Roman" w:eastAsia="宋体" w:cs="Times New Roman"/>
                      <w:bCs/>
                      <w:kern w:val="0"/>
                      <w:sz w:val="21"/>
                      <w:szCs w:val="21"/>
                      <w:highlight w:val="none"/>
                      <w:lang w:val="en-US" w:eastAsia="zh-CN"/>
                    </w:rPr>
                    <w:t>0.035</w:t>
                  </w:r>
                </w:p>
              </w:tc>
            </w:tr>
            <w:tr w14:paraId="0BDB0FA0">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28" w:type="dxa"/>
                  <w:bottom w:w="0" w:type="dxa"/>
                  <w:right w:w="28" w:type="dxa"/>
                </w:tblCellMar>
              </w:tblPrEx>
              <w:trPr>
                <w:trHeight w:val="0" w:hRule="atLeast"/>
              </w:trPr>
              <w:tc>
                <w:tcPr>
                  <w:tcW w:w="311" w:type="pct"/>
                  <w:tcBorders>
                    <w:tl2br w:val="nil"/>
                    <w:tr2bl w:val="nil"/>
                  </w:tcBorders>
                  <w:shd w:val="clear" w:color="auto" w:fill="auto"/>
                  <w:noWrap w:val="0"/>
                  <w:vAlign w:val="center"/>
                </w:tcPr>
                <w:p w14:paraId="7C47056C">
                  <w:pPr>
                    <w:pStyle w:val="27"/>
                    <w:keepNext w:val="0"/>
                    <w:keepLines w:val="0"/>
                    <w:widowControl w:val="0"/>
                    <w:suppressLineNumbers w:val="0"/>
                    <w:spacing w:before="0" w:beforeAutospacing="0" w:after="0" w:afterAutospacing="0" w:line="240" w:lineRule="auto"/>
                    <w:ind w:left="0" w:leftChars="0" w:right="0" w:rightChars="0" w:firstLine="0" w:firstLineChars="0"/>
                    <w:jc w:val="center"/>
                    <w:rPr>
                      <w:rFonts w:hint="eastAsia" w:ascii="Times New Roman" w:hAnsi="Times New Roman" w:eastAsia="宋体" w:cs="Times New Roman"/>
                      <w:color w:val="auto"/>
                      <w:kern w:val="0"/>
                      <w:sz w:val="21"/>
                      <w:szCs w:val="21"/>
                      <w:highlight w:val="none"/>
                      <w:lang w:val="en-US" w:eastAsia="zh-CN" w:bidi="ar-SA"/>
                    </w:rPr>
                  </w:pPr>
                  <w:r>
                    <w:rPr>
                      <w:rFonts w:hint="eastAsia" w:ascii="Times New Roman" w:hAnsi="Times New Roman" w:eastAsia="宋体" w:cs="Times New Roman"/>
                      <w:color w:val="auto"/>
                      <w:sz w:val="21"/>
                      <w:szCs w:val="21"/>
                      <w:highlight w:val="none"/>
                      <w:lang w:val="en-US" w:eastAsia="zh-CN"/>
                    </w:rPr>
                    <w:t>2</w:t>
                  </w:r>
                </w:p>
              </w:tc>
              <w:tc>
                <w:tcPr>
                  <w:tcW w:w="625" w:type="pct"/>
                  <w:vMerge w:val="continue"/>
                  <w:tcBorders>
                    <w:tl2br w:val="nil"/>
                    <w:tr2bl w:val="nil"/>
                  </w:tcBorders>
                  <w:noWrap w:val="0"/>
                  <w:vAlign w:val="center"/>
                </w:tcPr>
                <w:p w14:paraId="0411462E">
                  <w:pPr>
                    <w:pStyle w:val="27"/>
                    <w:keepNext w:val="0"/>
                    <w:keepLines w:val="0"/>
                    <w:widowControl w:val="0"/>
                    <w:suppressLineNumbers w:val="0"/>
                    <w:spacing w:before="0" w:beforeAutospacing="0" w:after="0" w:afterAutospacing="0" w:line="240" w:lineRule="auto"/>
                    <w:ind w:left="0" w:leftChars="0" w:right="0" w:rightChars="0" w:firstLine="0" w:firstLineChars="0"/>
                    <w:jc w:val="center"/>
                    <w:rPr>
                      <w:rFonts w:hint="default" w:ascii="Times New Roman" w:hAnsi="Times New Roman" w:eastAsia="宋体" w:cs="Times New Roman"/>
                      <w:color w:val="auto"/>
                      <w:sz w:val="21"/>
                      <w:szCs w:val="21"/>
                      <w:highlight w:val="none"/>
                      <w:lang w:val="en-US" w:eastAsia="zh-CN"/>
                    </w:rPr>
                  </w:pPr>
                </w:p>
              </w:tc>
              <w:tc>
                <w:tcPr>
                  <w:tcW w:w="785" w:type="pct"/>
                  <w:tcBorders>
                    <w:tl2br w:val="nil"/>
                    <w:tr2bl w:val="nil"/>
                  </w:tcBorders>
                  <w:noWrap w:val="0"/>
                  <w:vAlign w:val="center"/>
                </w:tcPr>
                <w:p w14:paraId="5000FE2C">
                  <w:pPr>
                    <w:pStyle w:val="27"/>
                    <w:keepNext w:val="0"/>
                    <w:keepLines w:val="0"/>
                    <w:widowControl w:val="0"/>
                    <w:suppressLineNumbers w:val="0"/>
                    <w:spacing w:before="0" w:beforeAutospacing="0" w:after="0" w:afterAutospacing="0" w:line="240" w:lineRule="auto"/>
                    <w:ind w:left="0" w:leftChars="0" w:right="0" w:rightChars="0" w:firstLine="0" w:firstLineChars="0"/>
                    <w:jc w:val="center"/>
                    <w:rPr>
                      <w:rFonts w:hint="default" w:ascii="Times New Roman" w:hAnsi="Times New Roman" w:eastAsia="宋体" w:cs="Times New Roman"/>
                      <w:color w:val="auto"/>
                      <w:sz w:val="21"/>
                      <w:szCs w:val="21"/>
                      <w:highlight w:val="none"/>
                      <w:lang w:val="en-US" w:eastAsia="zh-CN"/>
                    </w:rPr>
                  </w:pPr>
                  <w:r>
                    <w:rPr>
                      <w:rFonts w:hint="eastAsia" w:ascii="Times New Roman" w:hAnsi="Times New Roman" w:eastAsia="宋体" w:cs="Times New Roman"/>
                      <w:color w:val="auto"/>
                      <w:sz w:val="21"/>
                      <w:szCs w:val="21"/>
                      <w:highlight w:val="none"/>
                      <w:lang w:val="en-US" w:eastAsia="zh-CN"/>
                    </w:rPr>
                    <w:t>硫化氢</w:t>
                  </w:r>
                </w:p>
              </w:tc>
              <w:tc>
                <w:tcPr>
                  <w:tcW w:w="1048" w:type="pct"/>
                  <w:tcBorders>
                    <w:tl2br w:val="nil"/>
                    <w:tr2bl w:val="nil"/>
                  </w:tcBorders>
                  <w:shd w:val="clear" w:color="auto" w:fill="auto"/>
                  <w:noWrap w:val="0"/>
                  <w:vAlign w:val="center"/>
                </w:tcPr>
                <w:p w14:paraId="48935F90">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64" w:lineRule="auto"/>
                    <w:ind w:left="0" w:leftChars="0" w:right="0" w:rightChars="0"/>
                    <w:jc w:val="center"/>
                    <w:textAlignment w:val="auto"/>
                    <w:rPr>
                      <w:rFonts w:hint="default" w:ascii="Times New Roman" w:hAnsi="Times New Roman" w:eastAsia="宋体" w:cs="Times New Roman"/>
                      <w:bCs/>
                      <w:kern w:val="0"/>
                      <w:sz w:val="21"/>
                      <w:szCs w:val="21"/>
                      <w:highlight w:val="none"/>
                      <w:lang w:val="en-US" w:eastAsia="zh-CN" w:bidi="ar-SA"/>
                    </w:rPr>
                  </w:pPr>
                  <w:r>
                    <w:rPr>
                      <w:rFonts w:hint="eastAsia" w:ascii="Times New Roman" w:hAnsi="Times New Roman" w:eastAsia="宋体" w:cs="Times New Roman"/>
                      <w:bCs/>
                      <w:kern w:val="0"/>
                      <w:sz w:val="21"/>
                      <w:szCs w:val="21"/>
                      <w:highlight w:val="none"/>
                      <w:lang w:val="en-US" w:eastAsia="zh-CN"/>
                    </w:rPr>
                    <w:t>0.14</w:t>
                  </w:r>
                </w:p>
              </w:tc>
              <w:tc>
                <w:tcPr>
                  <w:tcW w:w="1152" w:type="pct"/>
                  <w:tcBorders>
                    <w:tl2br w:val="nil"/>
                    <w:tr2bl w:val="nil"/>
                  </w:tcBorders>
                  <w:shd w:val="clear" w:color="auto" w:fill="auto"/>
                  <w:noWrap w:val="0"/>
                  <w:vAlign w:val="center"/>
                </w:tcPr>
                <w:p w14:paraId="1A8CA2CE">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64" w:lineRule="auto"/>
                    <w:ind w:left="0" w:leftChars="0" w:right="0" w:rightChars="0"/>
                    <w:jc w:val="center"/>
                    <w:textAlignment w:val="auto"/>
                    <w:rPr>
                      <w:rFonts w:hint="default" w:ascii="Times New Roman" w:hAnsi="Times New Roman" w:eastAsia="宋体" w:cs="Times New Roman"/>
                      <w:bCs/>
                      <w:kern w:val="0"/>
                      <w:sz w:val="21"/>
                      <w:szCs w:val="21"/>
                      <w:highlight w:val="none"/>
                      <w:lang w:val="en-US" w:eastAsia="zh-CN" w:bidi="ar-SA"/>
                    </w:rPr>
                  </w:pPr>
                  <w:r>
                    <w:rPr>
                      <w:rFonts w:hint="eastAsia" w:ascii="Times New Roman" w:hAnsi="Times New Roman" w:eastAsia="宋体" w:cs="Times New Roman"/>
                      <w:bCs/>
                      <w:kern w:val="0"/>
                      <w:sz w:val="21"/>
                      <w:szCs w:val="21"/>
                      <w:highlight w:val="none"/>
                      <w:lang w:val="en-US" w:eastAsia="zh-CN"/>
                    </w:rPr>
                    <w:t>0.003</w:t>
                  </w:r>
                </w:p>
              </w:tc>
              <w:tc>
                <w:tcPr>
                  <w:tcW w:w="1076" w:type="pct"/>
                  <w:tcBorders>
                    <w:tl2br w:val="nil"/>
                    <w:tr2bl w:val="nil"/>
                  </w:tcBorders>
                  <w:shd w:val="clear" w:color="auto" w:fill="auto"/>
                  <w:noWrap w:val="0"/>
                  <w:vAlign w:val="center"/>
                </w:tcPr>
                <w:p w14:paraId="0F8783CA">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64" w:lineRule="auto"/>
                    <w:ind w:left="0" w:leftChars="0" w:right="0" w:rightChars="0"/>
                    <w:jc w:val="center"/>
                    <w:textAlignment w:val="auto"/>
                    <w:rPr>
                      <w:rFonts w:hint="eastAsia" w:ascii="Times New Roman" w:hAnsi="Times New Roman" w:eastAsia="宋体" w:cs="Times New Roman"/>
                      <w:bCs/>
                      <w:kern w:val="0"/>
                      <w:sz w:val="21"/>
                      <w:szCs w:val="21"/>
                      <w:highlight w:val="none"/>
                      <w:lang w:val="en-US" w:eastAsia="zh-CN" w:bidi="ar-SA"/>
                    </w:rPr>
                  </w:pPr>
                  <w:r>
                    <w:rPr>
                      <w:rFonts w:hint="eastAsia" w:ascii="Times New Roman" w:hAnsi="Times New Roman" w:eastAsia="宋体" w:cs="Times New Roman"/>
                      <w:bCs/>
                      <w:kern w:val="0"/>
                      <w:sz w:val="21"/>
                      <w:szCs w:val="21"/>
                      <w:highlight w:val="none"/>
                      <w:lang w:val="en-US" w:eastAsia="zh-CN"/>
                    </w:rPr>
                    <w:t>0.026</w:t>
                  </w:r>
                </w:p>
              </w:tc>
            </w:tr>
            <w:tr w14:paraId="7060B7BD">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28" w:type="dxa"/>
                  <w:bottom w:w="0" w:type="dxa"/>
                  <w:right w:w="28" w:type="dxa"/>
                </w:tblCellMar>
              </w:tblPrEx>
              <w:trPr>
                <w:trHeight w:val="0" w:hRule="atLeast"/>
              </w:trPr>
              <w:tc>
                <w:tcPr>
                  <w:tcW w:w="311" w:type="pct"/>
                  <w:tcBorders>
                    <w:tl2br w:val="nil"/>
                    <w:tr2bl w:val="nil"/>
                  </w:tcBorders>
                  <w:shd w:val="clear" w:color="auto" w:fill="auto"/>
                  <w:noWrap w:val="0"/>
                  <w:vAlign w:val="center"/>
                </w:tcPr>
                <w:p w14:paraId="35F8E794">
                  <w:pPr>
                    <w:pStyle w:val="27"/>
                    <w:keepNext w:val="0"/>
                    <w:keepLines w:val="0"/>
                    <w:widowControl w:val="0"/>
                    <w:suppressLineNumbers w:val="0"/>
                    <w:spacing w:before="0" w:beforeAutospacing="0" w:after="0" w:afterAutospacing="0" w:line="240" w:lineRule="auto"/>
                    <w:ind w:left="0" w:leftChars="0" w:right="0" w:rightChars="0" w:firstLine="0" w:firstLineChars="0"/>
                    <w:jc w:val="center"/>
                    <w:rPr>
                      <w:rFonts w:hint="eastAsia" w:ascii="Times New Roman" w:hAnsi="Times New Roman" w:eastAsia="宋体" w:cs="Times New Roman"/>
                      <w:color w:val="auto"/>
                      <w:kern w:val="0"/>
                      <w:sz w:val="21"/>
                      <w:szCs w:val="21"/>
                      <w:highlight w:val="none"/>
                      <w:lang w:val="en-US" w:eastAsia="zh-CN" w:bidi="ar-SA"/>
                    </w:rPr>
                  </w:pPr>
                  <w:r>
                    <w:rPr>
                      <w:rFonts w:hint="eastAsia" w:ascii="Times New Roman" w:hAnsi="Times New Roman" w:eastAsia="宋体" w:cs="Times New Roman"/>
                      <w:color w:val="auto"/>
                      <w:sz w:val="21"/>
                      <w:szCs w:val="21"/>
                      <w:highlight w:val="none"/>
                      <w:lang w:val="en-US" w:eastAsia="zh-CN"/>
                    </w:rPr>
                    <w:t>3</w:t>
                  </w:r>
                </w:p>
              </w:tc>
              <w:tc>
                <w:tcPr>
                  <w:tcW w:w="625" w:type="pct"/>
                  <w:vMerge w:val="continue"/>
                  <w:tcBorders>
                    <w:tl2br w:val="nil"/>
                    <w:tr2bl w:val="nil"/>
                  </w:tcBorders>
                  <w:noWrap w:val="0"/>
                  <w:vAlign w:val="center"/>
                </w:tcPr>
                <w:p w14:paraId="666E361A">
                  <w:pPr>
                    <w:pStyle w:val="27"/>
                    <w:keepNext w:val="0"/>
                    <w:keepLines w:val="0"/>
                    <w:widowControl w:val="0"/>
                    <w:suppressLineNumbers w:val="0"/>
                    <w:spacing w:before="0" w:beforeAutospacing="0" w:after="0" w:afterAutospacing="0" w:line="240" w:lineRule="auto"/>
                    <w:ind w:left="0" w:leftChars="0" w:right="0" w:rightChars="0" w:firstLine="0" w:firstLineChars="0"/>
                    <w:jc w:val="center"/>
                    <w:rPr>
                      <w:rFonts w:hint="default" w:ascii="Times New Roman" w:hAnsi="Times New Roman" w:eastAsia="宋体" w:cs="Times New Roman"/>
                      <w:color w:val="auto"/>
                      <w:sz w:val="21"/>
                      <w:szCs w:val="21"/>
                      <w:highlight w:val="none"/>
                      <w:lang w:val="en-US" w:eastAsia="zh-CN"/>
                    </w:rPr>
                  </w:pPr>
                </w:p>
              </w:tc>
              <w:tc>
                <w:tcPr>
                  <w:tcW w:w="785" w:type="pct"/>
                  <w:tcBorders>
                    <w:tl2br w:val="nil"/>
                    <w:tr2bl w:val="nil"/>
                  </w:tcBorders>
                  <w:noWrap w:val="0"/>
                  <w:vAlign w:val="center"/>
                </w:tcPr>
                <w:p w14:paraId="5C7280E7">
                  <w:pPr>
                    <w:pStyle w:val="27"/>
                    <w:keepNext w:val="0"/>
                    <w:keepLines w:val="0"/>
                    <w:widowControl w:val="0"/>
                    <w:suppressLineNumbers w:val="0"/>
                    <w:spacing w:before="0" w:beforeAutospacing="0" w:after="0" w:afterAutospacing="0" w:line="240" w:lineRule="auto"/>
                    <w:ind w:left="0" w:leftChars="0" w:right="0" w:rightChars="0" w:firstLine="0" w:firstLineChars="0"/>
                    <w:jc w:val="center"/>
                    <w:rPr>
                      <w:rFonts w:hint="default" w:ascii="Times New Roman" w:hAnsi="Times New Roman" w:eastAsia="宋体" w:cs="Times New Roman"/>
                      <w:color w:val="auto"/>
                      <w:sz w:val="21"/>
                      <w:szCs w:val="21"/>
                      <w:highlight w:val="none"/>
                      <w:lang w:val="en-US" w:eastAsia="zh-CN"/>
                    </w:rPr>
                  </w:pPr>
                  <w:r>
                    <w:rPr>
                      <w:rFonts w:hint="eastAsia" w:ascii="Times New Roman" w:hAnsi="Times New Roman" w:cs="Times New Roman"/>
                      <w:color w:val="auto"/>
                      <w:sz w:val="21"/>
                      <w:szCs w:val="21"/>
                      <w:highlight w:val="none"/>
                      <w:lang w:val="en-US" w:eastAsia="zh-CN"/>
                    </w:rPr>
                    <w:t>颗粒物</w:t>
                  </w:r>
                </w:p>
              </w:tc>
              <w:tc>
                <w:tcPr>
                  <w:tcW w:w="3277" w:type="pct"/>
                  <w:gridSpan w:val="3"/>
                  <w:tcBorders>
                    <w:tl2br w:val="nil"/>
                    <w:tr2bl w:val="nil"/>
                  </w:tcBorders>
                  <w:shd w:val="clear" w:color="auto" w:fill="auto"/>
                  <w:noWrap w:val="0"/>
                  <w:vAlign w:val="center"/>
                </w:tcPr>
                <w:p w14:paraId="22FCEF3A">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64" w:lineRule="auto"/>
                    <w:ind w:left="0" w:leftChars="0" w:right="0" w:rightChars="0"/>
                    <w:jc w:val="center"/>
                    <w:textAlignment w:val="auto"/>
                    <w:rPr>
                      <w:rFonts w:hint="default" w:ascii="Times New Roman" w:hAnsi="Times New Roman" w:eastAsia="宋体" w:cs="Times New Roman"/>
                      <w:bCs/>
                      <w:kern w:val="0"/>
                      <w:sz w:val="21"/>
                      <w:szCs w:val="21"/>
                      <w:highlight w:val="none"/>
                      <w:lang w:val="en-US" w:eastAsia="zh-CN"/>
                    </w:rPr>
                  </w:pPr>
                  <w:r>
                    <w:rPr>
                      <w:rFonts w:hint="eastAsia" w:cs="Times New Roman"/>
                      <w:bCs/>
                      <w:kern w:val="0"/>
                      <w:sz w:val="21"/>
                      <w:szCs w:val="21"/>
                      <w:highlight w:val="none"/>
                      <w:lang w:val="en-US" w:eastAsia="zh-CN"/>
                    </w:rPr>
                    <w:t>少量</w:t>
                  </w:r>
                </w:p>
              </w:tc>
            </w:tr>
            <w:tr w14:paraId="51C20122">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28" w:type="dxa"/>
                  <w:bottom w:w="0" w:type="dxa"/>
                  <w:right w:w="28" w:type="dxa"/>
                </w:tblCellMar>
              </w:tblPrEx>
              <w:trPr>
                <w:trHeight w:val="0" w:hRule="atLeast"/>
              </w:trPr>
              <w:tc>
                <w:tcPr>
                  <w:tcW w:w="311" w:type="pct"/>
                  <w:tcBorders>
                    <w:tl2br w:val="nil"/>
                    <w:tr2bl w:val="nil"/>
                  </w:tcBorders>
                  <w:shd w:val="clear" w:color="auto" w:fill="auto"/>
                  <w:noWrap w:val="0"/>
                  <w:vAlign w:val="center"/>
                </w:tcPr>
                <w:p w14:paraId="646CC5C5">
                  <w:pPr>
                    <w:pStyle w:val="27"/>
                    <w:keepNext w:val="0"/>
                    <w:keepLines w:val="0"/>
                    <w:widowControl w:val="0"/>
                    <w:suppressLineNumbers w:val="0"/>
                    <w:spacing w:before="0" w:beforeAutospacing="0" w:after="0" w:afterAutospacing="0" w:line="240" w:lineRule="auto"/>
                    <w:ind w:left="0" w:leftChars="0" w:right="0" w:rightChars="0" w:firstLine="0" w:firstLineChars="0"/>
                    <w:jc w:val="center"/>
                    <w:rPr>
                      <w:rFonts w:hint="default" w:ascii="Times New Roman" w:hAnsi="Times New Roman" w:eastAsia="宋体" w:cs="Times New Roman"/>
                      <w:color w:val="auto"/>
                      <w:kern w:val="0"/>
                      <w:sz w:val="21"/>
                      <w:szCs w:val="21"/>
                      <w:highlight w:val="none"/>
                      <w:lang w:val="en-US" w:eastAsia="zh-CN" w:bidi="ar-SA"/>
                    </w:rPr>
                  </w:pPr>
                  <w:r>
                    <w:rPr>
                      <w:rFonts w:hint="eastAsia" w:ascii="Times New Roman" w:hAnsi="Times New Roman" w:eastAsia="宋体" w:cs="Times New Roman"/>
                      <w:color w:val="auto"/>
                      <w:sz w:val="21"/>
                      <w:szCs w:val="21"/>
                      <w:highlight w:val="none"/>
                      <w:lang w:val="en-US" w:eastAsia="zh-CN"/>
                    </w:rPr>
                    <w:t>4</w:t>
                  </w:r>
                </w:p>
              </w:tc>
              <w:tc>
                <w:tcPr>
                  <w:tcW w:w="625" w:type="pct"/>
                  <w:vMerge w:val="restart"/>
                  <w:tcBorders>
                    <w:tl2br w:val="nil"/>
                    <w:tr2bl w:val="nil"/>
                  </w:tcBorders>
                  <w:noWrap w:val="0"/>
                  <w:vAlign w:val="center"/>
                </w:tcPr>
                <w:p w14:paraId="673BD797">
                  <w:pPr>
                    <w:pStyle w:val="27"/>
                    <w:keepNext w:val="0"/>
                    <w:keepLines w:val="0"/>
                    <w:widowControl w:val="0"/>
                    <w:suppressLineNumbers w:val="0"/>
                    <w:spacing w:before="0" w:beforeAutospacing="0" w:after="0" w:afterAutospacing="0" w:line="240" w:lineRule="auto"/>
                    <w:ind w:left="0" w:leftChars="0" w:right="0" w:rightChars="0" w:firstLine="0" w:firstLineChars="0"/>
                    <w:jc w:val="center"/>
                    <w:rPr>
                      <w:rFonts w:hint="default" w:ascii="Times New Roman" w:hAnsi="Times New Roman" w:eastAsia="宋体" w:cs="Times New Roman"/>
                      <w:color w:val="auto"/>
                      <w:sz w:val="21"/>
                      <w:szCs w:val="21"/>
                      <w:highlight w:val="none"/>
                      <w:lang w:val="en-US" w:eastAsia="zh-CN"/>
                    </w:rPr>
                  </w:pPr>
                  <w:r>
                    <w:rPr>
                      <w:rFonts w:hint="default" w:ascii="Times New Roman" w:hAnsi="Times New Roman" w:eastAsia="宋体" w:cs="Times New Roman"/>
                      <w:color w:val="auto"/>
                      <w:sz w:val="21"/>
                      <w:szCs w:val="21"/>
                      <w:highlight w:val="none"/>
                      <w:lang w:val="en-US" w:eastAsia="zh-CN"/>
                    </w:rPr>
                    <w:t>DA00</w:t>
                  </w:r>
                  <w:r>
                    <w:rPr>
                      <w:rFonts w:hint="eastAsia" w:ascii="Times New Roman" w:hAnsi="Times New Roman" w:eastAsia="宋体" w:cs="Times New Roman"/>
                      <w:color w:val="auto"/>
                      <w:sz w:val="21"/>
                      <w:szCs w:val="21"/>
                      <w:highlight w:val="none"/>
                      <w:lang w:val="en-US" w:eastAsia="zh-CN"/>
                    </w:rPr>
                    <w:t>2</w:t>
                  </w:r>
                </w:p>
              </w:tc>
              <w:tc>
                <w:tcPr>
                  <w:tcW w:w="785" w:type="pct"/>
                  <w:tcBorders>
                    <w:tl2br w:val="nil"/>
                    <w:tr2bl w:val="nil"/>
                  </w:tcBorders>
                  <w:noWrap w:val="0"/>
                  <w:vAlign w:val="center"/>
                </w:tcPr>
                <w:p w14:paraId="7B51C82B">
                  <w:pPr>
                    <w:pStyle w:val="27"/>
                    <w:keepNext w:val="0"/>
                    <w:keepLines w:val="0"/>
                    <w:widowControl w:val="0"/>
                    <w:suppressLineNumbers w:val="0"/>
                    <w:spacing w:before="0" w:beforeAutospacing="0" w:after="0" w:afterAutospacing="0" w:line="240" w:lineRule="auto"/>
                    <w:ind w:left="0" w:leftChars="0" w:right="0" w:rightChars="0" w:firstLine="0" w:firstLineChars="0"/>
                    <w:jc w:val="center"/>
                    <w:rPr>
                      <w:rFonts w:hint="default" w:ascii="Times New Roman" w:hAnsi="Times New Roman" w:eastAsia="宋体" w:cs="Times New Roman"/>
                      <w:color w:val="auto"/>
                      <w:sz w:val="21"/>
                      <w:szCs w:val="21"/>
                      <w:highlight w:val="none"/>
                      <w:lang w:val="en-US" w:eastAsia="zh-CN"/>
                    </w:rPr>
                  </w:pPr>
                  <w:r>
                    <w:rPr>
                      <w:rFonts w:hint="eastAsia" w:ascii="Times New Roman" w:hAnsi="Times New Roman" w:eastAsia="宋体" w:cs="Times New Roman"/>
                      <w:color w:val="auto"/>
                      <w:sz w:val="21"/>
                      <w:szCs w:val="21"/>
                      <w:highlight w:val="none"/>
                      <w:lang w:val="en-US" w:eastAsia="zh-CN"/>
                    </w:rPr>
                    <w:t>氨</w:t>
                  </w:r>
                </w:p>
              </w:tc>
              <w:tc>
                <w:tcPr>
                  <w:tcW w:w="1048" w:type="pct"/>
                  <w:tcBorders>
                    <w:tl2br w:val="nil"/>
                    <w:tr2bl w:val="nil"/>
                  </w:tcBorders>
                  <w:shd w:val="clear" w:color="auto" w:fill="auto"/>
                  <w:noWrap w:val="0"/>
                  <w:vAlign w:val="center"/>
                </w:tcPr>
                <w:p w14:paraId="063C0828">
                  <w:pPr>
                    <w:keepNext w:val="0"/>
                    <w:keepLines w:val="0"/>
                    <w:widowControl/>
                    <w:suppressLineNumbers w:val="0"/>
                    <w:spacing w:before="0" w:beforeAutospacing="0" w:after="0" w:afterAutospacing="0"/>
                    <w:ind w:left="0" w:leftChars="0" w:right="0" w:rightChars="0"/>
                    <w:jc w:val="center"/>
                    <w:textAlignment w:val="center"/>
                    <w:rPr>
                      <w:rFonts w:hint="default" w:ascii="Times New Roman" w:hAnsi="Times New Roman" w:eastAsia="宋体" w:cs="Times New Roman"/>
                      <w:bCs/>
                      <w:kern w:val="0"/>
                      <w:sz w:val="21"/>
                      <w:szCs w:val="21"/>
                      <w:highlight w:val="none"/>
                      <w:lang w:val="en-US" w:eastAsia="zh-CN" w:bidi="ar-SA"/>
                    </w:rPr>
                  </w:pPr>
                  <w:r>
                    <w:rPr>
                      <w:rFonts w:hint="eastAsia" w:ascii="Times New Roman" w:hAnsi="Times New Roman" w:eastAsia="宋体" w:cs="Times New Roman"/>
                      <w:i w:val="0"/>
                      <w:iCs w:val="0"/>
                      <w:color w:val="000000"/>
                      <w:kern w:val="0"/>
                      <w:sz w:val="21"/>
                      <w:szCs w:val="21"/>
                      <w:highlight w:val="none"/>
                      <w:u w:val="none"/>
                      <w:lang w:val="en-US" w:eastAsia="zh-CN" w:bidi="ar"/>
                    </w:rPr>
                    <w:t>~</w:t>
                  </w:r>
                  <w:r>
                    <w:rPr>
                      <w:rFonts w:hint="default" w:ascii="Times New Roman" w:hAnsi="Times New Roman" w:eastAsia="宋体" w:cs="Times New Roman"/>
                      <w:i w:val="0"/>
                      <w:iCs w:val="0"/>
                      <w:color w:val="000000"/>
                      <w:kern w:val="0"/>
                      <w:sz w:val="21"/>
                      <w:szCs w:val="21"/>
                      <w:highlight w:val="none"/>
                      <w:u w:val="none"/>
                      <w:lang w:val="en-US" w:eastAsia="zh-CN" w:bidi="ar"/>
                    </w:rPr>
                    <w:t>0</w:t>
                  </w:r>
                </w:p>
              </w:tc>
              <w:tc>
                <w:tcPr>
                  <w:tcW w:w="1152" w:type="pct"/>
                  <w:tcBorders>
                    <w:tl2br w:val="nil"/>
                    <w:tr2bl w:val="nil"/>
                  </w:tcBorders>
                  <w:shd w:val="clear" w:color="auto" w:fill="auto"/>
                  <w:noWrap w:val="0"/>
                  <w:vAlign w:val="center"/>
                </w:tcPr>
                <w:p w14:paraId="20A205B4">
                  <w:pPr>
                    <w:keepNext w:val="0"/>
                    <w:keepLines w:val="0"/>
                    <w:widowControl/>
                    <w:suppressLineNumbers w:val="0"/>
                    <w:spacing w:before="0" w:beforeAutospacing="0" w:after="0" w:afterAutospacing="0"/>
                    <w:ind w:left="0" w:leftChars="0" w:right="0" w:rightChars="0"/>
                    <w:jc w:val="center"/>
                    <w:textAlignment w:val="center"/>
                    <w:rPr>
                      <w:rFonts w:hint="default" w:ascii="Times New Roman" w:hAnsi="Times New Roman" w:eastAsia="宋体" w:cs="Times New Roman"/>
                      <w:bCs/>
                      <w:kern w:val="0"/>
                      <w:sz w:val="21"/>
                      <w:szCs w:val="21"/>
                      <w:highlight w:val="none"/>
                      <w:lang w:val="en-US" w:eastAsia="zh-CN" w:bidi="ar-SA"/>
                    </w:rPr>
                  </w:pPr>
                  <w:r>
                    <w:rPr>
                      <w:rFonts w:hint="eastAsia" w:ascii="Times New Roman" w:hAnsi="Times New Roman" w:eastAsia="宋体" w:cs="Times New Roman"/>
                      <w:i w:val="0"/>
                      <w:iCs w:val="0"/>
                      <w:color w:val="000000"/>
                      <w:kern w:val="0"/>
                      <w:sz w:val="21"/>
                      <w:szCs w:val="21"/>
                      <w:highlight w:val="none"/>
                      <w:u w:val="none"/>
                      <w:lang w:val="en-US" w:eastAsia="zh-CN" w:bidi="ar"/>
                    </w:rPr>
                    <w:t>~</w:t>
                  </w:r>
                  <w:r>
                    <w:rPr>
                      <w:rFonts w:hint="default" w:ascii="Times New Roman" w:hAnsi="Times New Roman" w:eastAsia="宋体" w:cs="Times New Roman"/>
                      <w:i w:val="0"/>
                      <w:iCs w:val="0"/>
                      <w:color w:val="000000"/>
                      <w:kern w:val="0"/>
                      <w:sz w:val="21"/>
                      <w:szCs w:val="21"/>
                      <w:highlight w:val="none"/>
                      <w:u w:val="none"/>
                      <w:lang w:val="en-US" w:eastAsia="zh-CN" w:bidi="ar"/>
                    </w:rPr>
                    <w:t>0</w:t>
                  </w:r>
                </w:p>
              </w:tc>
              <w:tc>
                <w:tcPr>
                  <w:tcW w:w="1076" w:type="pct"/>
                  <w:tcBorders>
                    <w:tl2br w:val="nil"/>
                    <w:tr2bl w:val="nil"/>
                  </w:tcBorders>
                  <w:shd w:val="clear" w:color="auto" w:fill="auto"/>
                  <w:noWrap w:val="0"/>
                  <w:vAlign w:val="center"/>
                </w:tcPr>
                <w:p w14:paraId="579027CB">
                  <w:pPr>
                    <w:keepNext w:val="0"/>
                    <w:keepLines w:val="0"/>
                    <w:widowControl/>
                    <w:suppressLineNumbers w:val="0"/>
                    <w:spacing w:before="0" w:beforeAutospacing="0" w:after="0" w:afterAutospacing="0"/>
                    <w:ind w:left="0" w:leftChars="0" w:right="0" w:rightChars="0"/>
                    <w:jc w:val="center"/>
                    <w:textAlignment w:val="center"/>
                    <w:rPr>
                      <w:rFonts w:hint="default" w:ascii="Times New Roman" w:hAnsi="Times New Roman" w:eastAsia="宋体" w:cs="Times New Roman"/>
                      <w:bCs/>
                      <w:kern w:val="0"/>
                      <w:sz w:val="21"/>
                      <w:szCs w:val="21"/>
                      <w:highlight w:val="none"/>
                      <w:lang w:val="en-US" w:eastAsia="zh-CN" w:bidi="ar-SA"/>
                    </w:rPr>
                  </w:pPr>
                  <w:r>
                    <w:rPr>
                      <w:rFonts w:hint="eastAsia" w:ascii="Times New Roman" w:hAnsi="Times New Roman" w:eastAsia="宋体" w:cs="Times New Roman"/>
                      <w:i w:val="0"/>
                      <w:iCs w:val="0"/>
                      <w:color w:val="000000"/>
                      <w:kern w:val="0"/>
                      <w:sz w:val="21"/>
                      <w:szCs w:val="21"/>
                      <w:highlight w:val="none"/>
                      <w:u w:val="none"/>
                      <w:lang w:val="en-US" w:eastAsia="zh-CN" w:bidi="ar"/>
                    </w:rPr>
                    <w:t>~</w:t>
                  </w:r>
                  <w:r>
                    <w:rPr>
                      <w:rFonts w:hint="default" w:ascii="Times New Roman" w:hAnsi="Times New Roman" w:eastAsia="宋体" w:cs="Times New Roman"/>
                      <w:i w:val="0"/>
                      <w:iCs w:val="0"/>
                      <w:color w:val="000000"/>
                      <w:kern w:val="0"/>
                      <w:sz w:val="21"/>
                      <w:szCs w:val="21"/>
                      <w:highlight w:val="none"/>
                      <w:u w:val="none"/>
                      <w:lang w:val="en-US" w:eastAsia="zh-CN" w:bidi="ar"/>
                    </w:rPr>
                    <w:t>0</w:t>
                  </w:r>
                </w:p>
              </w:tc>
            </w:tr>
            <w:tr w14:paraId="236D3148">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28" w:type="dxa"/>
                  <w:bottom w:w="0" w:type="dxa"/>
                  <w:right w:w="28" w:type="dxa"/>
                </w:tblCellMar>
              </w:tblPrEx>
              <w:trPr>
                <w:trHeight w:val="0" w:hRule="atLeast"/>
              </w:trPr>
              <w:tc>
                <w:tcPr>
                  <w:tcW w:w="311" w:type="pct"/>
                  <w:tcBorders>
                    <w:tl2br w:val="nil"/>
                    <w:tr2bl w:val="nil"/>
                  </w:tcBorders>
                  <w:shd w:val="clear" w:color="auto" w:fill="auto"/>
                  <w:noWrap w:val="0"/>
                  <w:vAlign w:val="center"/>
                </w:tcPr>
                <w:p w14:paraId="16A3AD89">
                  <w:pPr>
                    <w:pStyle w:val="27"/>
                    <w:keepNext w:val="0"/>
                    <w:keepLines w:val="0"/>
                    <w:widowControl w:val="0"/>
                    <w:suppressLineNumbers w:val="0"/>
                    <w:spacing w:before="0" w:beforeAutospacing="0" w:after="0" w:afterAutospacing="0" w:line="240" w:lineRule="auto"/>
                    <w:ind w:left="0" w:leftChars="0" w:right="0" w:rightChars="0" w:firstLine="0" w:firstLineChars="0"/>
                    <w:jc w:val="center"/>
                    <w:rPr>
                      <w:rFonts w:hint="default" w:ascii="Times New Roman" w:hAnsi="Times New Roman" w:eastAsia="宋体" w:cs="Times New Roman"/>
                      <w:color w:val="auto"/>
                      <w:kern w:val="0"/>
                      <w:sz w:val="21"/>
                      <w:szCs w:val="21"/>
                      <w:highlight w:val="none"/>
                      <w:lang w:val="en-US" w:eastAsia="zh-CN" w:bidi="ar-SA"/>
                    </w:rPr>
                  </w:pPr>
                  <w:r>
                    <w:rPr>
                      <w:rFonts w:hint="eastAsia" w:ascii="Times New Roman" w:hAnsi="Times New Roman" w:eastAsia="宋体" w:cs="Times New Roman"/>
                      <w:color w:val="auto"/>
                      <w:sz w:val="21"/>
                      <w:szCs w:val="21"/>
                      <w:highlight w:val="none"/>
                      <w:lang w:val="en-US" w:eastAsia="zh-CN"/>
                    </w:rPr>
                    <w:t>5</w:t>
                  </w:r>
                </w:p>
              </w:tc>
              <w:tc>
                <w:tcPr>
                  <w:tcW w:w="625" w:type="pct"/>
                  <w:vMerge w:val="continue"/>
                  <w:tcBorders>
                    <w:tl2br w:val="nil"/>
                    <w:tr2bl w:val="nil"/>
                  </w:tcBorders>
                  <w:noWrap w:val="0"/>
                  <w:vAlign w:val="center"/>
                </w:tcPr>
                <w:p w14:paraId="48C412A5">
                  <w:pPr>
                    <w:pStyle w:val="27"/>
                    <w:keepNext w:val="0"/>
                    <w:keepLines w:val="0"/>
                    <w:widowControl w:val="0"/>
                    <w:suppressLineNumbers w:val="0"/>
                    <w:spacing w:before="0" w:beforeAutospacing="0" w:after="0" w:afterAutospacing="0" w:line="240" w:lineRule="auto"/>
                    <w:ind w:left="0" w:leftChars="0" w:right="0" w:rightChars="0" w:firstLine="0" w:firstLineChars="0"/>
                    <w:jc w:val="center"/>
                    <w:rPr>
                      <w:rFonts w:hint="default" w:ascii="Times New Roman" w:hAnsi="Times New Roman" w:eastAsia="宋体" w:cs="Times New Roman"/>
                      <w:color w:val="auto"/>
                      <w:sz w:val="21"/>
                      <w:szCs w:val="21"/>
                      <w:highlight w:val="none"/>
                      <w:lang w:val="en-US" w:eastAsia="zh-CN"/>
                    </w:rPr>
                  </w:pPr>
                </w:p>
              </w:tc>
              <w:tc>
                <w:tcPr>
                  <w:tcW w:w="785" w:type="pct"/>
                  <w:tcBorders>
                    <w:tl2br w:val="nil"/>
                    <w:tr2bl w:val="nil"/>
                  </w:tcBorders>
                  <w:noWrap w:val="0"/>
                  <w:vAlign w:val="center"/>
                </w:tcPr>
                <w:p w14:paraId="6FEB6CE1">
                  <w:pPr>
                    <w:pStyle w:val="27"/>
                    <w:keepNext w:val="0"/>
                    <w:keepLines w:val="0"/>
                    <w:widowControl w:val="0"/>
                    <w:suppressLineNumbers w:val="0"/>
                    <w:spacing w:before="0" w:beforeAutospacing="0" w:after="0" w:afterAutospacing="0" w:line="240" w:lineRule="auto"/>
                    <w:ind w:left="0" w:leftChars="0" w:right="0" w:rightChars="0" w:firstLine="0" w:firstLineChars="0"/>
                    <w:jc w:val="center"/>
                    <w:rPr>
                      <w:rFonts w:hint="default" w:ascii="Times New Roman" w:hAnsi="Times New Roman" w:eastAsia="宋体" w:cs="Times New Roman"/>
                      <w:color w:val="auto"/>
                      <w:sz w:val="21"/>
                      <w:szCs w:val="21"/>
                      <w:highlight w:val="none"/>
                      <w:lang w:val="en-US" w:eastAsia="zh-CN"/>
                    </w:rPr>
                  </w:pPr>
                  <w:r>
                    <w:rPr>
                      <w:rFonts w:hint="eastAsia" w:ascii="Times New Roman" w:hAnsi="Times New Roman" w:eastAsia="宋体" w:cs="Times New Roman"/>
                      <w:color w:val="auto"/>
                      <w:sz w:val="21"/>
                      <w:szCs w:val="21"/>
                      <w:highlight w:val="none"/>
                      <w:lang w:val="en-US" w:eastAsia="zh-CN"/>
                    </w:rPr>
                    <w:t>硫化氢</w:t>
                  </w:r>
                </w:p>
              </w:tc>
              <w:tc>
                <w:tcPr>
                  <w:tcW w:w="1048" w:type="pct"/>
                  <w:tcBorders>
                    <w:tl2br w:val="nil"/>
                    <w:tr2bl w:val="nil"/>
                  </w:tcBorders>
                  <w:shd w:val="clear" w:color="auto" w:fill="auto"/>
                  <w:noWrap w:val="0"/>
                  <w:vAlign w:val="center"/>
                </w:tcPr>
                <w:p w14:paraId="6D4C2963">
                  <w:pPr>
                    <w:keepNext w:val="0"/>
                    <w:keepLines w:val="0"/>
                    <w:widowControl/>
                    <w:suppressLineNumbers w:val="0"/>
                    <w:spacing w:before="0" w:beforeAutospacing="0" w:after="0" w:afterAutospacing="0"/>
                    <w:ind w:left="0" w:leftChars="0" w:right="0" w:rightChars="0"/>
                    <w:jc w:val="center"/>
                    <w:textAlignment w:val="center"/>
                    <w:rPr>
                      <w:rFonts w:hint="default" w:ascii="Times New Roman" w:hAnsi="Times New Roman" w:eastAsia="宋体" w:cs="Times New Roman"/>
                      <w:bCs/>
                      <w:kern w:val="0"/>
                      <w:sz w:val="21"/>
                      <w:szCs w:val="21"/>
                      <w:highlight w:val="none"/>
                      <w:lang w:val="en-US" w:eastAsia="zh-CN" w:bidi="ar-SA"/>
                    </w:rPr>
                  </w:pPr>
                  <w:r>
                    <w:rPr>
                      <w:rFonts w:hint="eastAsia" w:ascii="Times New Roman" w:hAnsi="Times New Roman" w:eastAsia="宋体" w:cs="Times New Roman"/>
                      <w:i w:val="0"/>
                      <w:iCs w:val="0"/>
                      <w:color w:val="000000"/>
                      <w:kern w:val="0"/>
                      <w:sz w:val="21"/>
                      <w:szCs w:val="21"/>
                      <w:highlight w:val="none"/>
                      <w:u w:val="none"/>
                      <w:lang w:val="en-US" w:eastAsia="zh-CN" w:bidi="ar"/>
                    </w:rPr>
                    <w:t>~</w:t>
                  </w:r>
                  <w:r>
                    <w:rPr>
                      <w:rFonts w:hint="default" w:ascii="Times New Roman" w:hAnsi="Times New Roman" w:eastAsia="宋体" w:cs="Times New Roman"/>
                      <w:i w:val="0"/>
                      <w:iCs w:val="0"/>
                      <w:color w:val="000000"/>
                      <w:kern w:val="0"/>
                      <w:sz w:val="21"/>
                      <w:szCs w:val="21"/>
                      <w:highlight w:val="none"/>
                      <w:u w:val="none"/>
                      <w:lang w:val="en-US" w:eastAsia="zh-CN" w:bidi="ar"/>
                    </w:rPr>
                    <w:t>0</w:t>
                  </w:r>
                </w:p>
              </w:tc>
              <w:tc>
                <w:tcPr>
                  <w:tcW w:w="1152" w:type="pct"/>
                  <w:tcBorders>
                    <w:tl2br w:val="nil"/>
                    <w:tr2bl w:val="nil"/>
                  </w:tcBorders>
                  <w:shd w:val="clear" w:color="auto" w:fill="auto"/>
                  <w:noWrap w:val="0"/>
                  <w:vAlign w:val="center"/>
                </w:tcPr>
                <w:p w14:paraId="39FCC483">
                  <w:pPr>
                    <w:keepNext w:val="0"/>
                    <w:keepLines w:val="0"/>
                    <w:widowControl/>
                    <w:suppressLineNumbers w:val="0"/>
                    <w:spacing w:before="0" w:beforeAutospacing="0" w:after="0" w:afterAutospacing="0"/>
                    <w:ind w:left="0" w:leftChars="0" w:right="0" w:rightChars="0"/>
                    <w:jc w:val="center"/>
                    <w:textAlignment w:val="center"/>
                    <w:rPr>
                      <w:rFonts w:hint="default" w:ascii="Times New Roman" w:hAnsi="Times New Roman" w:eastAsia="宋体" w:cs="Times New Roman"/>
                      <w:bCs/>
                      <w:kern w:val="0"/>
                      <w:sz w:val="21"/>
                      <w:szCs w:val="21"/>
                      <w:highlight w:val="none"/>
                      <w:lang w:val="en-US" w:eastAsia="zh-CN" w:bidi="ar-SA"/>
                    </w:rPr>
                  </w:pPr>
                  <w:r>
                    <w:rPr>
                      <w:rFonts w:hint="eastAsia" w:ascii="Times New Roman" w:hAnsi="Times New Roman" w:eastAsia="宋体" w:cs="Times New Roman"/>
                      <w:i w:val="0"/>
                      <w:iCs w:val="0"/>
                      <w:color w:val="000000"/>
                      <w:kern w:val="0"/>
                      <w:sz w:val="21"/>
                      <w:szCs w:val="21"/>
                      <w:highlight w:val="none"/>
                      <w:u w:val="none"/>
                      <w:lang w:val="en-US" w:eastAsia="zh-CN" w:bidi="ar"/>
                    </w:rPr>
                    <w:t>~</w:t>
                  </w:r>
                  <w:r>
                    <w:rPr>
                      <w:rFonts w:hint="default" w:ascii="Times New Roman" w:hAnsi="Times New Roman" w:eastAsia="宋体" w:cs="Times New Roman"/>
                      <w:i w:val="0"/>
                      <w:iCs w:val="0"/>
                      <w:color w:val="000000"/>
                      <w:kern w:val="0"/>
                      <w:sz w:val="21"/>
                      <w:szCs w:val="21"/>
                      <w:highlight w:val="none"/>
                      <w:u w:val="none"/>
                      <w:lang w:val="en-US" w:eastAsia="zh-CN" w:bidi="ar"/>
                    </w:rPr>
                    <w:t>0</w:t>
                  </w:r>
                </w:p>
              </w:tc>
              <w:tc>
                <w:tcPr>
                  <w:tcW w:w="1076" w:type="pct"/>
                  <w:tcBorders>
                    <w:tl2br w:val="nil"/>
                    <w:tr2bl w:val="nil"/>
                  </w:tcBorders>
                  <w:shd w:val="clear" w:color="auto" w:fill="auto"/>
                  <w:noWrap w:val="0"/>
                  <w:vAlign w:val="center"/>
                </w:tcPr>
                <w:p w14:paraId="7E71536B">
                  <w:pPr>
                    <w:keepNext w:val="0"/>
                    <w:keepLines w:val="0"/>
                    <w:widowControl/>
                    <w:suppressLineNumbers w:val="0"/>
                    <w:spacing w:before="0" w:beforeAutospacing="0" w:after="0" w:afterAutospacing="0"/>
                    <w:ind w:left="0" w:leftChars="0" w:right="0" w:rightChars="0"/>
                    <w:jc w:val="center"/>
                    <w:textAlignment w:val="center"/>
                    <w:rPr>
                      <w:rFonts w:hint="default" w:ascii="Times New Roman" w:hAnsi="Times New Roman" w:eastAsia="宋体" w:cs="Times New Roman"/>
                      <w:bCs/>
                      <w:kern w:val="0"/>
                      <w:sz w:val="21"/>
                      <w:szCs w:val="21"/>
                      <w:highlight w:val="none"/>
                      <w:lang w:val="en-US" w:eastAsia="zh-CN" w:bidi="ar-SA"/>
                    </w:rPr>
                  </w:pPr>
                  <w:r>
                    <w:rPr>
                      <w:rFonts w:hint="default" w:ascii="Times New Roman" w:hAnsi="Times New Roman" w:eastAsia="宋体" w:cs="Times New Roman"/>
                      <w:i w:val="0"/>
                      <w:iCs w:val="0"/>
                      <w:color w:val="000000"/>
                      <w:kern w:val="0"/>
                      <w:sz w:val="21"/>
                      <w:szCs w:val="21"/>
                      <w:highlight w:val="none"/>
                      <w:u w:val="none"/>
                      <w:lang w:val="en-US" w:eastAsia="zh-CN" w:bidi="ar"/>
                    </w:rPr>
                    <w:t>0.001</w:t>
                  </w:r>
                </w:p>
              </w:tc>
            </w:tr>
            <w:tr w14:paraId="32B7541B">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28" w:type="dxa"/>
                  <w:bottom w:w="0" w:type="dxa"/>
                  <w:right w:w="28" w:type="dxa"/>
                </w:tblCellMar>
              </w:tblPrEx>
              <w:trPr>
                <w:trHeight w:val="0" w:hRule="atLeast"/>
              </w:trPr>
              <w:tc>
                <w:tcPr>
                  <w:tcW w:w="311" w:type="pct"/>
                  <w:tcBorders>
                    <w:tl2br w:val="nil"/>
                    <w:tr2bl w:val="nil"/>
                  </w:tcBorders>
                  <w:shd w:val="clear" w:color="auto" w:fill="auto"/>
                  <w:noWrap w:val="0"/>
                  <w:vAlign w:val="center"/>
                </w:tcPr>
                <w:p w14:paraId="2ECA8A31">
                  <w:pPr>
                    <w:pStyle w:val="27"/>
                    <w:keepNext w:val="0"/>
                    <w:keepLines w:val="0"/>
                    <w:widowControl w:val="0"/>
                    <w:suppressLineNumbers w:val="0"/>
                    <w:spacing w:before="0" w:beforeAutospacing="0" w:after="0" w:afterAutospacing="0" w:line="240" w:lineRule="auto"/>
                    <w:ind w:left="0" w:leftChars="0" w:right="0" w:rightChars="0" w:firstLine="0" w:firstLineChars="0"/>
                    <w:jc w:val="center"/>
                    <w:rPr>
                      <w:rFonts w:hint="eastAsia" w:ascii="Times New Roman" w:hAnsi="Times New Roman" w:eastAsia="宋体" w:cs="Times New Roman"/>
                      <w:color w:val="auto"/>
                      <w:kern w:val="0"/>
                      <w:sz w:val="21"/>
                      <w:szCs w:val="21"/>
                      <w:highlight w:val="none"/>
                      <w:lang w:val="en-US" w:eastAsia="zh-CN" w:bidi="ar-SA"/>
                    </w:rPr>
                  </w:pPr>
                  <w:r>
                    <w:rPr>
                      <w:rFonts w:hint="eastAsia" w:ascii="Times New Roman" w:hAnsi="Times New Roman" w:eastAsia="宋体" w:cs="Times New Roman"/>
                      <w:color w:val="auto"/>
                      <w:sz w:val="21"/>
                      <w:szCs w:val="21"/>
                      <w:highlight w:val="none"/>
                      <w:lang w:val="en-US" w:eastAsia="zh-CN"/>
                    </w:rPr>
                    <w:t>6</w:t>
                  </w:r>
                </w:p>
              </w:tc>
              <w:tc>
                <w:tcPr>
                  <w:tcW w:w="625" w:type="pct"/>
                  <w:vMerge w:val="continue"/>
                  <w:tcBorders>
                    <w:tl2br w:val="nil"/>
                    <w:tr2bl w:val="nil"/>
                  </w:tcBorders>
                  <w:noWrap w:val="0"/>
                  <w:vAlign w:val="center"/>
                </w:tcPr>
                <w:p w14:paraId="56F0EC9D">
                  <w:pPr>
                    <w:pStyle w:val="27"/>
                    <w:keepNext w:val="0"/>
                    <w:keepLines w:val="0"/>
                    <w:widowControl w:val="0"/>
                    <w:suppressLineNumbers w:val="0"/>
                    <w:spacing w:before="0" w:beforeAutospacing="0" w:after="0" w:afterAutospacing="0" w:line="240" w:lineRule="auto"/>
                    <w:ind w:left="0" w:leftChars="0" w:right="0" w:rightChars="0" w:firstLine="0" w:firstLineChars="0"/>
                    <w:jc w:val="center"/>
                    <w:rPr>
                      <w:rFonts w:hint="default" w:ascii="Times New Roman" w:hAnsi="Times New Roman" w:eastAsia="宋体" w:cs="Times New Roman"/>
                      <w:color w:val="auto"/>
                      <w:sz w:val="21"/>
                      <w:szCs w:val="21"/>
                      <w:highlight w:val="none"/>
                      <w:lang w:val="en-US" w:eastAsia="zh-CN"/>
                    </w:rPr>
                  </w:pPr>
                </w:p>
              </w:tc>
              <w:tc>
                <w:tcPr>
                  <w:tcW w:w="785" w:type="pct"/>
                  <w:tcBorders>
                    <w:tl2br w:val="nil"/>
                    <w:tr2bl w:val="nil"/>
                  </w:tcBorders>
                  <w:noWrap w:val="0"/>
                  <w:vAlign w:val="center"/>
                </w:tcPr>
                <w:p w14:paraId="1CC54957">
                  <w:pPr>
                    <w:pStyle w:val="27"/>
                    <w:keepNext w:val="0"/>
                    <w:keepLines w:val="0"/>
                    <w:widowControl w:val="0"/>
                    <w:suppressLineNumbers w:val="0"/>
                    <w:spacing w:before="0" w:beforeAutospacing="0" w:after="0" w:afterAutospacing="0" w:line="240" w:lineRule="auto"/>
                    <w:ind w:left="0" w:leftChars="0" w:right="0" w:rightChars="0" w:firstLine="0" w:firstLineChars="0"/>
                    <w:jc w:val="center"/>
                    <w:rPr>
                      <w:rFonts w:hint="eastAsia" w:ascii="Times New Roman" w:hAnsi="Times New Roman" w:eastAsia="宋体" w:cs="Times New Roman"/>
                      <w:color w:val="auto"/>
                      <w:sz w:val="21"/>
                      <w:szCs w:val="21"/>
                      <w:highlight w:val="none"/>
                      <w:lang w:val="en-US" w:eastAsia="zh-CN"/>
                    </w:rPr>
                  </w:pPr>
                  <w:r>
                    <w:rPr>
                      <w:rFonts w:hint="eastAsia" w:ascii="Times New Roman" w:hAnsi="Times New Roman" w:cs="Times New Roman"/>
                      <w:color w:val="auto"/>
                      <w:sz w:val="21"/>
                      <w:szCs w:val="21"/>
                      <w:highlight w:val="none"/>
                      <w:lang w:val="en-US" w:eastAsia="zh-CN"/>
                    </w:rPr>
                    <w:t>颗粒物</w:t>
                  </w:r>
                </w:p>
              </w:tc>
              <w:tc>
                <w:tcPr>
                  <w:tcW w:w="3277" w:type="pct"/>
                  <w:gridSpan w:val="3"/>
                  <w:tcBorders>
                    <w:tl2br w:val="nil"/>
                    <w:tr2bl w:val="nil"/>
                  </w:tcBorders>
                  <w:shd w:val="clear" w:color="auto" w:fill="auto"/>
                  <w:noWrap w:val="0"/>
                  <w:vAlign w:val="center"/>
                </w:tcPr>
                <w:p w14:paraId="6C37464C">
                  <w:pPr>
                    <w:keepNext w:val="0"/>
                    <w:keepLines w:val="0"/>
                    <w:widowControl/>
                    <w:suppressLineNumbers w:val="0"/>
                    <w:spacing w:before="0" w:beforeAutospacing="0" w:after="0" w:afterAutospacing="0"/>
                    <w:ind w:left="0" w:leftChars="0" w:right="0" w:rightChars="0"/>
                    <w:jc w:val="center"/>
                    <w:textAlignment w:val="center"/>
                    <w:rPr>
                      <w:rFonts w:hint="default" w:ascii="Times New Roman" w:hAnsi="Times New Roman" w:eastAsia="宋体" w:cs="Times New Roman"/>
                      <w:i w:val="0"/>
                      <w:iCs w:val="0"/>
                      <w:color w:val="000000"/>
                      <w:kern w:val="0"/>
                      <w:sz w:val="21"/>
                      <w:szCs w:val="21"/>
                      <w:highlight w:val="none"/>
                      <w:u w:val="none"/>
                      <w:lang w:val="en-US" w:eastAsia="zh-CN" w:bidi="ar"/>
                    </w:rPr>
                  </w:pPr>
                  <w:r>
                    <w:rPr>
                      <w:rFonts w:hint="eastAsia" w:cs="Times New Roman"/>
                      <w:bCs/>
                      <w:kern w:val="0"/>
                      <w:sz w:val="21"/>
                      <w:szCs w:val="21"/>
                      <w:highlight w:val="none"/>
                      <w:lang w:val="en-US" w:eastAsia="zh-CN"/>
                    </w:rPr>
                    <w:t>少量</w:t>
                  </w:r>
                </w:p>
              </w:tc>
            </w:tr>
            <w:tr w14:paraId="21C4FCC0">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28" w:type="dxa"/>
                  <w:bottom w:w="0" w:type="dxa"/>
                  <w:right w:w="28" w:type="dxa"/>
                </w:tblCellMar>
              </w:tblPrEx>
              <w:trPr>
                <w:trHeight w:val="0" w:hRule="atLeast"/>
              </w:trPr>
              <w:tc>
                <w:tcPr>
                  <w:tcW w:w="311" w:type="pct"/>
                  <w:tcBorders>
                    <w:tl2br w:val="nil"/>
                    <w:tr2bl w:val="nil"/>
                  </w:tcBorders>
                  <w:shd w:val="clear" w:color="auto" w:fill="auto"/>
                  <w:noWrap w:val="0"/>
                  <w:vAlign w:val="center"/>
                </w:tcPr>
                <w:p w14:paraId="320B3F65">
                  <w:pPr>
                    <w:pStyle w:val="27"/>
                    <w:keepNext w:val="0"/>
                    <w:keepLines w:val="0"/>
                    <w:widowControl w:val="0"/>
                    <w:suppressLineNumbers w:val="0"/>
                    <w:spacing w:before="0" w:beforeAutospacing="0" w:after="0" w:afterAutospacing="0" w:line="240" w:lineRule="auto"/>
                    <w:ind w:left="0" w:leftChars="0" w:right="0" w:rightChars="0" w:firstLine="0" w:firstLineChars="0"/>
                    <w:jc w:val="center"/>
                    <w:rPr>
                      <w:rFonts w:hint="default" w:ascii="Times New Roman" w:hAnsi="Times New Roman" w:eastAsia="宋体" w:cs="Times New Roman"/>
                      <w:color w:val="auto"/>
                      <w:kern w:val="0"/>
                      <w:sz w:val="21"/>
                      <w:szCs w:val="21"/>
                      <w:highlight w:val="none"/>
                      <w:lang w:val="en-US" w:eastAsia="zh-CN" w:bidi="ar-SA"/>
                    </w:rPr>
                  </w:pPr>
                  <w:r>
                    <w:rPr>
                      <w:rFonts w:hint="eastAsia" w:ascii="Times New Roman" w:hAnsi="Times New Roman" w:eastAsia="宋体" w:cs="Times New Roman"/>
                      <w:color w:val="auto"/>
                      <w:sz w:val="21"/>
                      <w:szCs w:val="21"/>
                      <w:highlight w:val="none"/>
                      <w:lang w:val="en-US" w:eastAsia="zh-CN"/>
                    </w:rPr>
                    <w:t>7</w:t>
                  </w:r>
                </w:p>
              </w:tc>
              <w:tc>
                <w:tcPr>
                  <w:tcW w:w="625" w:type="pct"/>
                  <w:vMerge w:val="restart"/>
                  <w:tcBorders>
                    <w:tl2br w:val="nil"/>
                    <w:tr2bl w:val="nil"/>
                  </w:tcBorders>
                  <w:noWrap w:val="0"/>
                  <w:vAlign w:val="center"/>
                </w:tcPr>
                <w:p w14:paraId="3A65C5AC">
                  <w:pPr>
                    <w:pStyle w:val="27"/>
                    <w:keepNext w:val="0"/>
                    <w:keepLines w:val="0"/>
                    <w:widowControl w:val="0"/>
                    <w:suppressLineNumbers w:val="0"/>
                    <w:spacing w:before="0" w:beforeAutospacing="0" w:after="0" w:afterAutospacing="0" w:line="240" w:lineRule="auto"/>
                    <w:ind w:left="0" w:leftChars="0" w:right="0" w:rightChars="0" w:firstLine="0" w:firstLineChars="0"/>
                    <w:jc w:val="center"/>
                    <w:rPr>
                      <w:rFonts w:hint="default" w:ascii="Times New Roman" w:hAnsi="Times New Roman" w:eastAsia="宋体" w:cs="Times New Roman"/>
                      <w:color w:val="auto"/>
                      <w:sz w:val="21"/>
                      <w:szCs w:val="21"/>
                      <w:highlight w:val="none"/>
                      <w:lang w:val="en-US" w:eastAsia="zh-CN"/>
                    </w:rPr>
                  </w:pPr>
                  <w:r>
                    <w:rPr>
                      <w:rFonts w:hint="default" w:ascii="Times New Roman" w:hAnsi="Times New Roman" w:eastAsia="宋体" w:cs="Times New Roman"/>
                      <w:color w:val="auto"/>
                      <w:sz w:val="21"/>
                      <w:szCs w:val="21"/>
                      <w:highlight w:val="none"/>
                      <w:lang w:val="en-US" w:eastAsia="zh-CN"/>
                    </w:rPr>
                    <w:t>DA00</w:t>
                  </w:r>
                  <w:r>
                    <w:rPr>
                      <w:rFonts w:hint="eastAsia" w:ascii="Times New Roman" w:hAnsi="Times New Roman" w:eastAsia="宋体" w:cs="Times New Roman"/>
                      <w:color w:val="auto"/>
                      <w:sz w:val="21"/>
                      <w:szCs w:val="21"/>
                      <w:highlight w:val="none"/>
                      <w:lang w:val="en-US" w:eastAsia="zh-CN"/>
                    </w:rPr>
                    <w:t>3</w:t>
                  </w:r>
                </w:p>
              </w:tc>
              <w:tc>
                <w:tcPr>
                  <w:tcW w:w="785" w:type="pct"/>
                  <w:tcBorders>
                    <w:tl2br w:val="nil"/>
                    <w:tr2bl w:val="nil"/>
                  </w:tcBorders>
                  <w:shd w:val="clear" w:color="auto" w:fill="auto"/>
                  <w:noWrap w:val="0"/>
                  <w:vAlign w:val="center"/>
                </w:tcPr>
                <w:p w14:paraId="5EE17A85">
                  <w:pPr>
                    <w:pStyle w:val="27"/>
                    <w:keepNext w:val="0"/>
                    <w:keepLines w:val="0"/>
                    <w:widowControl w:val="0"/>
                    <w:suppressLineNumbers w:val="0"/>
                    <w:spacing w:before="0" w:beforeAutospacing="0" w:after="0" w:afterAutospacing="0" w:line="240" w:lineRule="auto"/>
                    <w:ind w:left="0" w:leftChars="0" w:right="0" w:rightChars="0" w:firstLine="0" w:firstLineChars="0"/>
                    <w:jc w:val="center"/>
                    <w:rPr>
                      <w:rFonts w:hint="default" w:ascii="Times New Roman" w:hAnsi="Times New Roman" w:eastAsia="宋体" w:cs="Times New Roman"/>
                      <w:color w:val="auto"/>
                      <w:kern w:val="0"/>
                      <w:sz w:val="21"/>
                      <w:szCs w:val="21"/>
                      <w:highlight w:val="none"/>
                      <w:lang w:val="en-US" w:eastAsia="zh-CN" w:bidi="ar-SA"/>
                    </w:rPr>
                  </w:pPr>
                  <w:r>
                    <w:rPr>
                      <w:rFonts w:hint="eastAsia" w:ascii="Times New Roman" w:hAnsi="Times New Roman" w:eastAsia="宋体" w:cs="Times New Roman"/>
                      <w:color w:val="auto"/>
                      <w:sz w:val="21"/>
                      <w:szCs w:val="21"/>
                      <w:highlight w:val="none"/>
                      <w:lang w:val="en-US" w:eastAsia="zh-CN"/>
                    </w:rPr>
                    <w:t>氨</w:t>
                  </w:r>
                </w:p>
              </w:tc>
              <w:tc>
                <w:tcPr>
                  <w:tcW w:w="1048" w:type="pct"/>
                  <w:tcBorders>
                    <w:tl2br w:val="nil"/>
                    <w:tr2bl w:val="nil"/>
                  </w:tcBorders>
                  <w:shd w:val="clear" w:color="auto" w:fill="auto"/>
                  <w:noWrap w:val="0"/>
                  <w:vAlign w:val="center"/>
                </w:tcPr>
                <w:p w14:paraId="22EC5D73">
                  <w:pPr>
                    <w:keepNext w:val="0"/>
                    <w:keepLines w:val="0"/>
                    <w:widowControl/>
                    <w:suppressLineNumbers w:val="0"/>
                    <w:spacing w:before="0" w:beforeAutospacing="0" w:after="0" w:afterAutospacing="0"/>
                    <w:ind w:left="0" w:leftChars="0" w:right="0" w:rightChars="0"/>
                    <w:jc w:val="center"/>
                    <w:textAlignment w:val="center"/>
                    <w:rPr>
                      <w:rFonts w:hint="default" w:ascii="Times New Roman" w:hAnsi="Times New Roman" w:eastAsia="宋体" w:cs="Times New Roman"/>
                      <w:bCs/>
                      <w:kern w:val="0"/>
                      <w:sz w:val="21"/>
                      <w:szCs w:val="21"/>
                      <w:highlight w:val="none"/>
                      <w:lang w:val="en-US" w:eastAsia="zh-CN" w:bidi="ar-SA"/>
                    </w:rPr>
                  </w:pPr>
                  <w:r>
                    <w:rPr>
                      <w:rFonts w:hint="eastAsia" w:ascii="Times New Roman" w:hAnsi="Times New Roman" w:eastAsia="宋体" w:cs="Times New Roman"/>
                      <w:i w:val="0"/>
                      <w:iCs w:val="0"/>
                      <w:color w:val="000000"/>
                      <w:kern w:val="0"/>
                      <w:sz w:val="21"/>
                      <w:szCs w:val="21"/>
                      <w:highlight w:val="none"/>
                      <w:u w:val="none"/>
                      <w:lang w:val="en-US" w:eastAsia="zh-CN" w:bidi="ar"/>
                    </w:rPr>
                    <w:t>~</w:t>
                  </w:r>
                  <w:r>
                    <w:rPr>
                      <w:rFonts w:hint="default" w:ascii="Times New Roman" w:hAnsi="Times New Roman" w:eastAsia="宋体" w:cs="Times New Roman"/>
                      <w:i w:val="0"/>
                      <w:iCs w:val="0"/>
                      <w:color w:val="000000"/>
                      <w:kern w:val="0"/>
                      <w:sz w:val="21"/>
                      <w:szCs w:val="21"/>
                      <w:highlight w:val="none"/>
                      <w:u w:val="none"/>
                      <w:lang w:val="en-US" w:eastAsia="zh-CN" w:bidi="ar"/>
                    </w:rPr>
                    <w:t>0</w:t>
                  </w:r>
                </w:p>
              </w:tc>
              <w:tc>
                <w:tcPr>
                  <w:tcW w:w="1152" w:type="pct"/>
                  <w:tcBorders>
                    <w:tl2br w:val="nil"/>
                    <w:tr2bl w:val="nil"/>
                  </w:tcBorders>
                  <w:shd w:val="clear" w:color="auto" w:fill="auto"/>
                  <w:noWrap w:val="0"/>
                  <w:vAlign w:val="center"/>
                </w:tcPr>
                <w:p w14:paraId="78F1A418">
                  <w:pPr>
                    <w:keepNext w:val="0"/>
                    <w:keepLines w:val="0"/>
                    <w:widowControl/>
                    <w:suppressLineNumbers w:val="0"/>
                    <w:spacing w:before="0" w:beforeAutospacing="0" w:after="0" w:afterAutospacing="0"/>
                    <w:ind w:left="0" w:leftChars="0" w:right="0" w:rightChars="0"/>
                    <w:jc w:val="center"/>
                    <w:textAlignment w:val="center"/>
                    <w:rPr>
                      <w:rFonts w:hint="default" w:ascii="Times New Roman" w:hAnsi="Times New Roman" w:eastAsia="宋体" w:cs="Times New Roman"/>
                      <w:bCs/>
                      <w:kern w:val="0"/>
                      <w:sz w:val="21"/>
                      <w:szCs w:val="21"/>
                      <w:highlight w:val="none"/>
                      <w:lang w:val="en-US" w:eastAsia="zh-CN" w:bidi="ar-SA"/>
                    </w:rPr>
                  </w:pPr>
                  <w:r>
                    <w:rPr>
                      <w:rFonts w:hint="eastAsia" w:ascii="Times New Roman" w:hAnsi="Times New Roman" w:eastAsia="宋体" w:cs="Times New Roman"/>
                      <w:i w:val="0"/>
                      <w:iCs w:val="0"/>
                      <w:color w:val="000000"/>
                      <w:kern w:val="0"/>
                      <w:sz w:val="21"/>
                      <w:szCs w:val="21"/>
                      <w:highlight w:val="none"/>
                      <w:u w:val="none"/>
                      <w:lang w:val="en-US" w:eastAsia="zh-CN" w:bidi="ar"/>
                    </w:rPr>
                    <w:t>~</w:t>
                  </w:r>
                  <w:r>
                    <w:rPr>
                      <w:rFonts w:hint="default" w:ascii="Times New Roman" w:hAnsi="Times New Roman" w:eastAsia="宋体" w:cs="Times New Roman"/>
                      <w:i w:val="0"/>
                      <w:iCs w:val="0"/>
                      <w:color w:val="000000"/>
                      <w:kern w:val="0"/>
                      <w:sz w:val="21"/>
                      <w:szCs w:val="21"/>
                      <w:highlight w:val="none"/>
                      <w:u w:val="none"/>
                      <w:lang w:val="en-US" w:eastAsia="zh-CN" w:bidi="ar"/>
                    </w:rPr>
                    <w:t>0</w:t>
                  </w:r>
                </w:p>
              </w:tc>
              <w:tc>
                <w:tcPr>
                  <w:tcW w:w="1076" w:type="pct"/>
                  <w:tcBorders>
                    <w:tl2br w:val="nil"/>
                    <w:tr2bl w:val="nil"/>
                  </w:tcBorders>
                  <w:shd w:val="clear" w:color="auto" w:fill="auto"/>
                  <w:noWrap w:val="0"/>
                  <w:vAlign w:val="center"/>
                </w:tcPr>
                <w:p w14:paraId="6AED00DF">
                  <w:pPr>
                    <w:keepNext w:val="0"/>
                    <w:keepLines w:val="0"/>
                    <w:widowControl/>
                    <w:suppressLineNumbers w:val="0"/>
                    <w:spacing w:before="0" w:beforeAutospacing="0" w:after="0" w:afterAutospacing="0"/>
                    <w:ind w:left="0" w:leftChars="0" w:right="0" w:rightChars="0"/>
                    <w:jc w:val="center"/>
                    <w:textAlignment w:val="center"/>
                    <w:rPr>
                      <w:rFonts w:hint="default" w:ascii="Times New Roman" w:hAnsi="Times New Roman" w:eastAsia="宋体" w:cs="Times New Roman"/>
                      <w:bCs/>
                      <w:kern w:val="0"/>
                      <w:sz w:val="21"/>
                      <w:szCs w:val="21"/>
                      <w:highlight w:val="none"/>
                      <w:lang w:val="en-US" w:eastAsia="zh-CN" w:bidi="ar-SA"/>
                    </w:rPr>
                  </w:pPr>
                  <w:r>
                    <w:rPr>
                      <w:rFonts w:hint="default" w:ascii="Times New Roman" w:hAnsi="Times New Roman" w:eastAsia="宋体" w:cs="Times New Roman"/>
                      <w:i w:val="0"/>
                      <w:iCs w:val="0"/>
                      <w:color w:val="000000"/>
                      <w:kern w:val="0"/>
                      <w:sz w:val="21"/>
                      <w:szCs w:val="21"/>
                      <w:highlight w:val="none"/>
                      <w:u w:val="none"/>
                      <w:lang w:val="en-US" w:eastAsia="zh-CN" w:bidi="ar"/>
                    </w:rPr>
                    <w:t>0.00</w:t>
                  </w:r>
                  <w:r>
                    <w:rPr>
                      <w:rFonts w:hint="eastAsia" w:cs="Times New Roman"/>
                      <w:i w:val="0"/>
                      <w:iCs w:val="0"/>
                      <w:color w:val="000000"/>
                      <w:kern w:val="0"/>
                      <w:sz w:val="21"/>
                      <w:szCs w:val="21"/>
                      <w:highlight w:val="none"/>
                      <w:u w:val="none"/>
                      <w:lang w:val="en-US" w:eastAsia="zh-CN" w:bidi="ar"/>
                    </w:rPr>
                    <w:t>1</w:t>
                  </w:r>
                </w:p>
              </w:tc>
            </w:tr>
            <w:tr w14:paraId="0585B4B4">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28" w:type="dxa"/>
                  <w:bottom w:w="0" w:type="dxa"/>
                  <w:right w:w="28" w:type="dxa"/>
                </w:tblCellMar>
              </w:tblPrEx>
              <w:trPr>
                <w:trHeight w:val="0" w:hRule="atLeast"/>
              </w:trPr>
              <w:tc>
                <w:tcPr>
                  <w:tcW w:w="311" w:type="pct"/>
                  <w:tcBorders>
                    <w:tl2br w:val="nil"/>
                    <w:tr2bl w:val="nil"/>
                  </w:tcBorders>
                  <w:shd w:val="clear" w:color="auto" w:fill="auto"/>
                  <w:noWrap w:val="0"/>
                  <w:vAlign w:val="center"/>
                </w:tcPr>
                <w:p w14:paraId="5BD5EEC9">
                  <w:pPr>
                    <w:pStyle w:val="27"/>
                    <w:keepNext w:val="0"/>
                    <w:keepLines w:val="0"/>
                    <w:widowControl w:val="0"/>
                    <w:suppressLineNumbers w:val="0"/>
                    <w:spacing w:before="0" w:beforeAutospacing="0" w:after="0" w:afterAutospacing="0" w:line="240" w:lineRule="auto"/>
                    <w:ind w:left="0" w:leftChars="0" w:right="0" w:rightChars="0" w:firstLine="0" w:firstLineChars="0"/>
                    <w:jc w:val="center"/>
                    <w:rPr>
                      <w:rFonts w:hint="default" w:ascii="Times New Roman" w:hAnsi="Times New Roman" w:eastAsia="宋体" w:cs="Times New Roman"/>
                      <w:color w:val="auto"/>
                      <w:kern w:val="0"/>
                      <w:sz w:val="21"/>
                      <w:szCs w:val="21"/>
                      <w:highlight w:val="none"/>
                      <w:lang w:val="en-US" w:eastAsia="zh-CN" w:bidi="ar-SA"/>
                    </w:rPr>
                  </w:pPr>
                  <w:r>
                    <w:rPr>
                      <w:rFonts w:hint="eastAsia" w:ascii="Times New Roman" w:hAnsi="Times New Roman" w:eastAsia="宋体" w:cs="Times New Roman"/>
                      <w:color w:val="auto"/>
                      <w:sz w:val="21"/>
                      <w:szCs w:val="21"/>
                      <w:highlight w:val="none"/>
                      <w:lang w:val="en-US" w:eastAsia="zh-CN"/>
                    </w:rPr>
                    <w:t>8</w:t>
                  </w:r>
                </w:p>
              </w:tc>
              <w:tc>
                <w:tcPr>
                  <w:tcW w:w="625" w:type="pct"/>
                  <w:vMerge w:val="continue"/>
                  <w:tcBorders>
                    <w:tl2br w:val="nil"/>
                    <w:tr2bl w:val="nil"/>
                  </w:tcBorders>
                  <w:noWrap w:val="0"/>
                  <w:vAlign w:val="center"/>
                </w:tcPr>
                <w:p w14:paraId="560424C9">
                  <w:pPr>
                    <w:pStyle w:val="27"/>
                    <w:keepNext w:val="0"/>
                    <w:keepLines w:val="0"/>
                    <w:widowControl w:val="0"/>
                    <w:suppressLineNumbers w:val="0"/>
                    <w:spacing w:before="0" w:beforeAutospacing="0" w:after="0" w:afterAutospacing="0" w:line="240" w:lineRule="auto"/>
                    <w:ind w:left="0" w:leftChars="0" w:right="0" w:rightChars="0" w:firstLine="0" w:firstLineChars="0"/>
                    <w:jc w:val="center"/>
                    <w:rPr>
                      <w:rFonts w:hint="default" w:ascii="Times New Roman" w:hAnsi="Times New Roman" w:eastAsia="宋体" w:cs="Times New Roman"/>
                      <w:color w:val="auto"/>
                      <w:sz w:val="21"/>
                      <w:szCs w:val="21"/>
                      <w:highlight w:val="none"/>
                      <w:lang w:val="en-US" w:eastAsia="zh-CN"/>
                    </w:rPr>
                  </w:pPr>
                </w:p>
              </w:tc>
              <w:tc>
                <w:tcPr>
                  <w:tcW w:w="785" w:type="pct"/>
                  <w:tcBorders>
                    <w:tl2br w:val="nil"/>
                    <w:tr2bl w:val="nil"/>
                  </w:tcBorders>
                  <w:shd w:val="clear" w:color="auto" w:fill="auto"/>
                  <w:noWrap w:val="0"/>
                  <w:vAlign w:val="center"/>
                </w:tcPr>
                <w:p w14:paraId="6DF70B3C">
                  <w:pPr>
                    <w:pStyle w:val="27"/>
                    <w:keepNext w:val="0"/>
                    <w:keepLines w:val="0"/>
                    <w:widowControl w:val="0"/>
                    <w:suppressLineNumbers w:val="0"/>
                    <w:spacing w:before="0" w:beforeAutospacing="0" w:after="0" w:afterAutospacing="0" w:line="240" w:lineRule="auto"/>
                    <w:ind w:left="0" w:leftChars="0" w:right="0" w:rightChars="0" w:firstLine="0" w:firstLineChars="0"/>
                    <w:jc w:val="center"/>
                    <w:rPr>
                      <w:rFonts w:hint="default" w:ascii="Times New Roman" w:hAnsi="Times New Roman" w:eastAsia="宋体" w:cs="Times New Roman"/>
                      <w:color w:val="auto"/>
                      <w:kern w:val="0"/>
                      <w:sz w:val="21"/>
                      <w:szCs w:val="21"/>
                      <w:highlight w:val="none"/>
                      <w:lang w:val="en-US" w:eastAsia="zh-CN" w:bidi="ar-SA"/>
                    </w:rPr>
                  </w:pPr>
                  <w:r>
                    <w:rPr>
                      <w:rFonts w:hint="eastAsia" w:ascii="Times New Roman" w:hAnsi="Times New Roman" w:eastAsia="宋体" w:cs="Times New Roman"/>
                      <w:color w:val="auto"/>
                      <w:sz w:val="21"/>
                      <w:szCs w:val="21"/>
                      <w:highlight w:val="none"/>
                      <w:lang w:val="en-US" w:eastAsia="zh-CN"/>
                    </w:rPr>
                    <w:t>硫化氢</w:t>
                  </w:r>
                </w:p>
              </w:tc>
              <w:tc>
                <w:tcPr>
                  <w:tcW w:w="1048" w:type="pct"/>
                  <w:tcBorders>
                    <w:tl2br w:val="nil"/>
                    <w:tr2bl w:val="nil"/>
                  </w:tcBorders>
                  <w:shd w:val="clear" w:color="auto" w:fill="auto"/>
                  <w:noWrap w:val="0"/>
                  <w:vAlign w:val="center"/>
                </w:tcPr>
                <w:p w14:paraId="2C145508">
                  <w:pPr>
                    <w:keepNext w:val="0"/>
                    <w:keepLines w:val="0"/>
                    <w:widowControl/>
                    <w:suppressLineNumbers w:val="0"/>
                    <w:spacing w:before="0" w:beforeAutospacing="0" w:after="0" w:afterAutospacing="0"/>
                    <w:ind w:left="0" w:leftChars="0" w:right="0" w:rightChars="0"/>
                    <w:jc w:val="center"/>
                    <w:textAlignment w:val="center"/>
                    <w:rPr>
                      <w:rFonts w:hint="default" w:ascii="Times New Roman" w:hAnsi="Times New Roman" w:eastAsia="宋体" w:cs="Times New Roman"/>
                      <w:bCs/>
                      <w:kern w:val="0"/>
                      <w:sz w:val="21"/>
                      <w:szCs w:val="21"/>
                      <w:highlight w:val="none"/>
                      <w:lang w:val="en-US" w:eastAsia="zh-CN" w:bidi="ar-SA"/>
                    </w:rPr>
                  </w:pPr>
                  <w:r>
                    <w:rPr>
                      <w:rFonts w:hint="eastAsia" w:ascii="Times New Roman" w:hAnsi="Times New Roman" w:eastAsia="宋体" w:cs="Times New Roman"/>
                      <w:i w:val="0"/>
                      <w:iCs w:val="0"/>
                      <w:color w:val="000000"/>
                      <w:kern w:val="0"/>
                      <w:sz w:val="21"/>
                      <w:szCs w:val="21"/>
                      <w:highlight w:val="none"/>
                      <w:u w:val="none"/>
                      <w:lang w:val="en-US" w:eastAsia="zh-CN" w:bidi="ar"/>
                    </w:rPr>
                    <w:t>~</w:t>
                  </w:r>
                  <w:r>
                    <w:rPr>
                      <w:rFonts w:hint="default" w:ascii="Times New Roman" w:hAnsi="Times New Roman" w:eastAsia="宋体" w:cs="Times New Roman"/>
                      <w:i w:val="0"/>
                      <w:iCs w:val="0"/>
                      <w:color w:val="000000"/>
                      <w:kern w:val="0"/>
                      <w:sz w:val="21"/>
                      <w:szCs w:val="21"/>
                      <w:highlight w:val="none"/>
                      <w:u w:val="none"/>
                      <w:lang w:val="en-US" w:eastAsia="zh-CN" w:bidi="ar"/>
                    </w:rPr>
                    <w:t>0</w:t>
                  </w:r>
                </w:p>
              </w:tc>
              <w:tc>
                <w:tcPr>
                  <w:tcW w:w="1152" w:type="pct"/>
                  <w:tcBorders>
                    <w:tl2br w:val="nil"/>
                    <w:tr2bl w:val="nil"/>
                  </w:tcBorders>
                  <w:shd w:val="clear" w:color="auto" w:fill="auto"/>
                  <w:noWrap w:val="0"/>
                  <w:vAlign w:val="center"/>
                </w:tcPr>
                <w:p w14:paraId="38772DD4">
                  <w:pPr>
                    <w:keepNext w:val="0"/>
                    <w:keepLines w:val="0"/>
                    <w:widowControl/>
                    <w:suppressLineNumbers w:val="0"/>
                    <w:spacing w:before="0" w:beforeAutospacing="0" w:after="0" w:afterAutospacing="0"/>
                    <w:ind w:left="0" w:leftChars="0" w:right="0" w:rightChars="0"/>
                    <w:jc w:val="center"/>
                    <w:textAlignment w:val="center"/>
                    <w:rPr>
                      <w:rFonts w:hint="default" w:ascii="Times New Roman" w:hAnsi="Times New Roman" w:eastAsia="宋体" w:cs="Times New Roman"/>
                      <w:bCs/>
                      <w:kern w:val="0"/>
                      <w:sz w:val="21"/>
                      <w:szCs w:val="21"/>
                      <w:highlight w:val="none"/>
                      <w:lang w:val="en-US" w:eastAsia="zh-CN" w:bidi="ar-SA"/>
                    </w:rPr>
                  </w:pPr>
                  <w:r>
                    <w:rPr>
                      <w:rFonts w:hint="eastAsia" w:ascii="Times New Roman" w:hAnsi="Times New Roman" w:eastAsia="宋体" w:cs="Times New Roman"/>
                      <w:i w:val="0"/>
                      <w:iCs w:val="0"/>
                      <w:color w:val="000000"/>
                      <w:kern w:val="0"/>
                      <w:sz w:val="21"/>
                      <w:szCs w:val="21"/>
                      <w:highlight w:val="none"/>
                      <w:u w:val="none"/>
                      <w:lang w:val="en-US" w:eastAsia="zh-CN" w:bidi="ar"/>
                    </w:rPr>
                    <w:t>~</w:t>
                  </w:r>
                  <w:r>
                    <w:rPr>
                      <w:rFonts w:hint="default" w:ascii="Times New Roman" w:hAnsi="Times New Roman" w:eastAsia="宋体" w:cs="Times New Roman"/>
                      <w:i w:val="0"/>
                      <w:iCs w:val="0"/>
                      <w:color w:val="000000"/>
                      <w:kern w:val="0"/>
                      <w:sz w:val="21"/>
                      <w:szCs w:val="21"/>
                      <w:highlight w:val="none"/>
                      <w:u w:val="none"/>
                      <w:lang w:val="en-US" w:eastAsia="zh-CN" w:bidi="ar"/>
                    </w:rPr>
                    <w:t>0</w:t>
                  </w:r>
                </w:p>
              </w:tc>
              <w:tc>
                <w:tcPr>
                  <w:tcW w:w="1076" w:type="pct"/>
                  <w:tcBorders>
                    <w:tl2br w:val="nil"/>
                    <w:tr2bl w:val="nil"/>
                  </w:tcBorders>
                  <w:shd w:val="clear" w:color="auto" w:fill="auto"/>
                  <w:noWrap w:val="0"/>
                  <w:vAlign w:val="center"/>
                </w:tcPr>
                <w:p w14:paraId="6A698995">
                  <w:pPr>
                    <w:keepNext w:val="0"/>
                    <w:keepLines w:val="0"/>
                    <w:widowControl/>
                    <w:suppressLineNumbers w:val="0"/>
                    <w:spacing w:before="0" w:beforeAutospacing="0" w:after="0" w:afterAutospacing="0"/>
                    <w:ind w:left="0" w:leftChars="0" w:right="0" w:rightChars="0"/>
                    <w:jc w:val="center"/>
                    <w:textAlignment w:val="center"/>
                    <w:rPr>
                      <w:rFonts w:hint="default" w:ascii="Times New Roman" w:hAnsi="Times New Roman" w:eastAsia="宋体" w:cs="Times New Roman"/>
                      <w:bCs/>
                      <w:kern w:val="0"/>
                      <w:sz w:val="21"/>
                      <w:szCs w:val="21"/>
                      <w:highlight w:val="none"/>
                      <w:lang w:val="en-US" w:eastAsia="zh-CN" w:bidi="ar-SA"/>
                    </w:rPr>
                  </w:pPr>
                  <w:r>
                    <w:rPr>
                      <w:rFonts w:hint="default" w:ascii="Times New Roman" w:hAnsi="Times New Roman" w:eastAsia="宋体" w:cs="Times New Roman"/>
                      <w:i w:val="0"/>
                      <w:iCs w:val="0"/>
                      <w:color w:val="000000"/>
                      <w:kern w:val="0"/>
                      <w:sz w:val="21"/>
                      <w:szCs w:val="21"/>
                      <w:highlight w:val="none"/>
                      <w:u w:val="none"/>
                      <w:lang w:val="en-US" w:eastAsia="zh-CN" w:bidi="ar"/>
                    </w:rPr>
                    <w:t>0.00</w:t>
                  </w:r>
                  <w:r>
                    <w:rPr>
                      <w:rFonts w:hint="eastAsia" w:cs="Times New Roman"/>
                      <w:i w:val="0"/>
                      <w:iCs w:val="0"/>
                      <w:color w:val="000000"/>
                      <w:kern w:val="0"/>
                      <w:sz w:val="21"/>
                      <w:szCs w:val="21"/>
                      <w:highlight w:val="none"/>
                      <w:u w:val="none"/>
                      <w:lang w:val="en-US" w:eastAsia="zh-CN" w:bidi="ar"/>
                    </w:rPr>
                    <w:t>1</w:t>
                  </w:r>
                </w:p>
              </w:tc>
            </w:tr>
            <w:tr w14:paraId="18B0F108">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28" w:type="dxa"/>
                  <w:bottom w:w="0" w:type="dxa"/>
                  <w:right w:w="28" w:type="dxa"/>
                </w:tblCellMar>
              </w:tblPrEx>
              <w:trPr>
                <w:trHeight w:val="0" w:hRule="atLeast"/>
              </w:trPr>
              <w:tc>
                <w:tcPr>
                  <w:tcW w:w="311" w:type="pct"/>
                  <w:tcBorders>
                    <w:tl2br w:val="nil"/>
                    <w:tr2bl w:val="nil"/>
                  </w:tcBorders>
                  <w:shd w:val="clear" w:color="auto" w:fill="auto"/>
                  <w:noWrap w:val="0"/>
                  <w:vAlign w:val="center"/>
                </w:tcPr>
                <w:p w14:paraId="09985FB8">
                  <w:pPr>
                    <w:pStyle w:val="27"/>
                    <w:keepNext w:val="0"/>
                    <w:keepLines w:val="0"/>
                    <w:widowControl w:val="0"/>
                    <w:suppressLineNumbers w:val="0"/>
                    <w:spacing w:before="0" w:beforeAutospacing="0" w:after="0" w:afterAutospacing="0" w:line="240" w:lineRule="auto"/>
                    <w:ind w:left="0" w:leftChars="0" w:right="0" w:rightChars="0" w:firstLine="0" w:firstLineChars="0"/>
                    <w:jc w:val="center"/>
                    <w:rPr>
                      <w:rFonts w:hint="eastAsia" w:ascii="Times New Roman" w:hAnsi="Times New Roman" w:eastAsia="宋体" w:cs="Times New Roman"/>
                      <w:color w:val="auto"/>
                      <w:kern w:val="0"/>
                      <w:sz w:val="21"/>
                      <w:szCs w:val="21"/>
                      <w:highlight w:val="none"/>
                      <w:lang w:val="en-US" w:eastAsia="zh-CN" w:bidi="ar-SA"/>
                    </w:rPr>
                  </w:pPr>
                  <w:r>
                    <w:rPr>
                      <w:rFonts w:hint="eastAsia" w:ascii="Times New Roman" w:hAnsi="Times New Roman" w:eastAsia="宋体" w:cs="Times New Roman"/>
                      <w:color w:val="auto"/>
                      <w:sz w:val="21"/>
                      <w:szCs w:val="21"/>
                      <w:highlight w:val="none"/>
                      <w:lang w:val="en-US" w:eastAsia="zh-CN"/>
                    </w:rPr>
                    <w:t>9</w:t>
                  </w:r>
                </w:p>
              </w:tc>
              <w:tc>
                <w:tcPr>
                  <w:tcW w:w="625" w:type="pct"/>
                  <w:vMerge w:val="continue"/>
                  <w:tcBorders>
                    <w:tl2br w:val="nil"/>
                    <w:tr2bl w:val="nil"/>
                  </w:tcBorders>
                  <w:noWrap w:val="0"/>
                  <w:vAlign w:val="center"/>
                </w:tcPr>
                <w:p w14:paraId="3FBF6F45">
                  <w:pPr>
                    <w:pStyle w:val="27"/>
                    <w:keepNext w:val="0"/>
                    <w:keepLines w:val="0"/>
                    <w:widowControl w:val="0"/>
                    <w:suppressLineNumbers w:val="0"/>
                    <w:spacing w:before="0" w:beforeAutospacing="0" w:after="0" w:afterAutospacing="0" w:line="240" w:lineRule="auto"/>
                    <w:ind w:left="0" w:leftChars="0" w:right="0" w:rightChars="0" w:firstLine="0" w:firstLineChars="0"/>
                    <w:jc w:val="center"/>
                    <w:rPr>
                      <w:rFonts w:hint="default" w:ascii="Times New Roman" w:hAnsi="Times New Roman" w:eastAsia="宋体" w:cs="Times New Roman"/>
                      <w:color w:val="auto"/>
                      <w:sz w:val="21"/>
                      <w:szCs w:val="21"/>
                      <w:highlight w:val="none"/>
                      <w:lang w:val="en-US" w:eastAsia="zh-CN"/>
                    </w:rPr>
                  </w:pPr>
                </w:p>
              </w:tc>
              <w:tc>
                <w:tcPr>
                  <w:tcW w:w="785" w:type="pct"/>
                  <w:tcBorders>
                    <w:tl2br w:val="nil"/>
                    <w:tr2bl w:val="nil"/>
                  </w:tcBorders>
                  <w:shd w:val="clear" w:color="auto" w:fill="auto"/>
                  <w:noWrap w:val="0"/>
                  <w:vAlign w:val="center"/>
                </w:tcPr>
                <w:p w14:paraId="7D44047F">
                  <w:pPr>
                    <w:pStyle w:val="27"/>
                    <w:keepNext w:val="0"/>
                    <w:keepLines w:val="0"/>
                    <w:widowControl w:val="0"/>
                    <w:suppressLineNumbers w:val="0"/>
                    <w:spacing w:before="0" w:beforeAutospacing="0" w:after="0" w:afterAutospacing="0" w:line="240" w:lineRule="auto"/>
                    <w:ind w:left="0" w:leftChars="0" w:right="0" w:rightChars="0" w:firstLine="0" w:firstLineChars="0"/>
                    <w:jc w:val="center"/>
                    <w:rPr>
                      <w:rFonts w:hint="eastAsia" w:ascii="Times New Roman" w:hAnsi="Times New Roman" w:eastAsia="宋体" w:cs="Times New Roman"/>
                      <w:color w:val="auto"/>
                      <w:sz w:val="21"/>
                      <w:szCs w:val="21"/>
                      <w:highlight w:val="none"/>
                      <w:lang w:val="en-US" w:eastAsia="zh-CN"/>
                    </w:rPr>
                  </w:pPr>
                  <w:r>
                    <w:rPr>
                      <w:rFonts w:hint="eastAsia" w:ascii="Times New Roman" w:hAnsi="Times New Roman" w:cs="Times New Roman"/>
                      <w:color w:val="auto"/>
                      <w:sz w:val="21"/>
                      <w:szCs w:val="21"/>
                      <w:highlight w:val="none"/>
                      <w:lang w:val="en-US" w:eastAsia="zh-CN"/>
                    </w:rPr>
                    <w:t>颗粒物</w:t>
                  </w:r>
                </w:p>
              </w:tc>
              <w:tc>
                <w:tcPr>
                  <w:tcW w:w="3277" w:type="pct"/>
                  <w:gridSpan w:val="3"/>
                  <w:tcBorders>
                    <w:tl2br w:val="nil"/>
                    <w:tr2bl w:val="nil"/>
                  </w:tcBorders>
                  <w:shd w:val="clear" w:color="auto" w:fill="auto"/>
                  <w:noWrap w:val="0"/>
                  <w:vAlign w:val="center"/>
                </w:tcPr>
                <w:p w14:paraId="5836E6FE">
                  <w:pPr>
                    <w:keepNext w:val="0"/>
                    <w:keepLines w:val="0"/>
                    <w:widowControl/>
                    <w:suppressLineNumbers w:val="0"/>
                    <w:spacing w:before="0" w:beforeAutospacing="0" w:after="0" w:afterAutospacing="0"/>
                    <w:ind w:left="0" w:leftChars="0" w:right="0" w:rightChars="0"/>
                    <w:jc w:val="center"/>
                    <w:textAlignment w:val="center"/>
                    <w:rPr>
                      <w:rFonts w:hint="default" w:ascii="Times New Roman" w:hAnsi="Times New Roman" w:eastAsia="宋体" w:cs="Times New Roman"/>
                      <w:i w:val="0"/>
                      <w:iCs w:val="0"/>
                      <w:color w:val="000000"/>
                      <w:kern w:val="0"/>
                      <w:sz w:val="21"/>
                      <w:szCs w:val="21"/>
                      <w:highlight w:val="none"/>
                      <w:u w:val="none"/>
                      <w:lang w:val="en-US" w:eastAsia="zh-CN" w:bidi="ar"/>
                    </w:rPr>
                  </w:pPr>
                  <w:r>
                    <w:rPr>
                      <w:rFonts w:hint="eastAsia" w:cs="Times New Roman"/>
                      <w:bCs/>
                      <w:kern w:val="0"/>
                      <w:sz w:val="21"/>
                      <w:szCs w:val="21"/>
                      <w:highlight w:val="none"/>
                      <w:lang w:val="en-US" w:eastAsia="zh-CN"/>
                    </w:rPr>
                    <w:t>少量</w:t>
                  </w:r>
                </w:p>
              </w:tc>
            </w:tr>
            <w:tr w14:paraId="72FB7EA2">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28" w:type="dxa"/>
                  <w:bottom w:w="0" w:type="dxa"/>
                  <w:right w:w="28" w:type="dxa"/>
                </w:tblCellMar>
              </w:tblPrEx>
              <w:trPr>
                <w:trHeight w:val="0" w:hRule="atLeast"/>
              </w:trPr>
              <w:tc>
                <w:tcPr>
                  <w:tcW w:w="311" w:type="pct"/>
                  <w:tcBorders>
                    <w:tl2br w:val="nil"/>
                    <w:tr2bl w:val="nil"/>
                  </w:tcBorders>
                  <w:shd w:val="clear" w:color="auto" w:fill="auto"/>
                  <w:noWrap w:val="0"/>
                  <w:vAlign w:val="center"/>
                </w:tcPr>
                <w:p w14:paraId="1EF22186">
                  <w:pPr>
                    <w:pStyle w:val="27"/>
                    <w:keepNext w:val="0"/>
                    <w:keepLines w:val="0"/>
                    <w:widowControl w:val="0"/>
                    <w:suppressLineNumbers w:val="0"/>
                    <w:spacing w:before="0" w:beforeAutospacing="0" w:after="0" w:afterAutospacing="0" w:line="240" w:lineRule="auto"/>
                    <w:ind w:left="0" w:leftChars="0" w:right="0" w:rightChars="0" w:firstLine="0" w:firstLineChars="0"/>
                    <w:jc w:val="center"/>
                    <w:rPr>
                      <w:rFonts w:hint="default" w:ascii="Times New Roman" w:hAnsi="Times New Roman" w:eastAsia="宋体" w:cs="Times New Roman"/>
                      <w:color w:val="auto"/>
                      <w:kern w:val="0"/>
                      <w:sz w:val="21"/>
                      <w:szCs w:val="21"/>
                      <w:highlight w:val="none"/>
                      <w:lang w:val="en-US" w:eastAsia="zh-CN" w:bidi="ar-SA"/>
                    </w:rPr>
                  </w:pPr>
                  <w:r>
                    <w:rPr>
                      <w:rFonts w:hint="eastAsia" w:ascii="Times New Roman" w:hAnsi="Times New Roman" w:eastAsia="宋体" w:cs="Times New Roman"/>
                      <w:color w:val="auto"/>
                      <w:sz w:val="21"/>
                      <w:szCs w:val="21"/>
                      <w:highlight w:val="none"/>
                      <w:lang w:val="en-US" w:eastAsia="zh-CN"/>
                    </w:rPr>
                    <w:t>10</w:t>
                  </w:r>
                </w:p>
              </w:tc>
              <w:tc>
                <w:tcPr>
                  <w:tcW w:w="625" w:type="pct"/>
                  <w:vMerge w:val="restart"/>
                  <w:tcBorders>
                    <w:tl2br w:val="nil"/>
                    <w:tr2bl w:val="nil"/>
                  </w:tcBorders>
                  <w:noWrap w:val="0"/>
                  <w:vAlign w:val="center"/>
                </w:tcPr>
                <w:p w14:paraId="50219978">
                  <w:pPr>
                    <w:pStyle w:val="27"/>
                    <w:keepNext w:val="0"/>
                    <w:keepLines w:val="0"/>
                    <w:widowControl w:val="0"/>
                    <w:suppressLineNumbers w:val="0"/>
                    <w:spacing w:before="0" w:beforeAutospacing="0" w:after="0" w:afterAutospacing="0" w:line="240" w:lineRule="auto"/>
                    <w:ind w:left="0" w:leftChars="0" w:right="0" w:rightChars="0" w:firstLine="0" w:firstLineChars="0"/>
                    <w:jc w:val="center"/>
                    <w:rPr>
                      <w:rFonts w:hint="default" w:ascii="Times New Roman" w:hAnsi="Times New Roman" w:eastAsia="宋体" w:cs="Times New Roman"/>
                      <w:color w:val="auto"/>
                      <w:sz w:val="21"/>
                      <w:szCs w:val="21"/>
                      <w:highlight w:val="none"/>
                      <w:lang w:val="en-US" w:eastAsia="zh-CN"/>
                    </w:rPr>
                  </w:pPr>
                  <w:r>
                    <w:rPr>
                      <w:rFonts w:hint="default" w:ascii="Times New Roman" w:hAnsi="Times New Roman" w:eastAsia="宋体" w:cs="Times New Roman"/>
                      <w:color w:val="auto"/>
                      <w:sz w:val="21"/>
                      <w:szCs w:val="21"/>
                      <w:highlight w:val="none"/>
                      <w:lang w:val="en-US" w:eastAsia="zh-CN"/>
                    </w:rPr>
                    <w:t>DA00</w:t>
                  </w:r>
                  <w:r>
                    <w:rPr>
                      <w:rFonts w:hint="eastAsia" w:ascii="Times New Roman" w:hAnsi="Times New Roman" w:eastAsia="宋体" w:cs="Times New Roman"/>
                      <w:color w:val="auto"/>
                      <w:sz w:val="21"/>
                      <w:szCs w:val="21"/>
                      <w:highlight w:val="none"/>
                      <w:lang w:val="en-US" w:eastAsia="zh-CN"/>
                    </w:rPr>
                    <w:t>4</w:t>
                  </w:r>
                </w:p>
              </w:tc>
              <w:tc>
                <w:tcPr>
                  <w:tcW w:w="785" w:type="pct"/>
                  <w:tcBorders>
                    <w:tl2br w:val="nil"/>
                    <w:tr2bl w:val="nil"/>
                  </w:tcBorders>
                  <w:shd w:val="clear" w:color="auto" w:fill="auto"/>
                  <w:noWrap w:val="0"/>
                  <w:vAlign w:val="center"/>
                </w:tcPr>
                <w:p w14:paraId="0BF27838">
                  <w:pPr>
                    <w:pStyle w:val="27"/>
                    <w:keepNext w:val="0"/>
                    <w:keepLines w:val="0"/>
                    <w:widowControl w:val="0"/>
                    <w:suppressLineNumbers w:val="0"/>
                    <w:spacing w:before="0" w:beforeAutospacing="0" w:after="0" w:afterAutospacing="0" w:line="240" w:lineRule="auto"/>
                    <w:ind w:left="0" w:leftChars="0" w:right="0" w:rightChars="0" w:firstLine="0" w:firstLineChars="0"/>
                    <w:jc w:val="center"/>
                    <w:rPr>
                      <w:rFonts w:hint="default" w:ascii="Times New Roman" w:hAnsi="Times New Roman" w:eastAsia="宋体" w:cs="Times New Roman"/>
                      <w:color w:val="auto"/>
                      <w:kern w:val="0"/>
                      <w:sz w:val="21"/>
                      <w:szCs w:val="21"/>
                      <w:highlight w:val="none"/>
                      <w:lang w:val="en-US" w:eastAsia="zh-CN" w:bidi="ar-SA"/>
                    </w:rPr>
                  </w:pPr>
                  <w:r>
                    <w:rPr>
                      <w:rFonts w:hint="eastAsia" w:ascii="Times New Roman" w:hAnsi="Times New Roman" w:eastAsia="宋体" w:cs="Times New Roman"/>
                      <w:color w:val="auto"/>
                      <w:sz w:val="21"/>
                      <w:szCs w:val="21"/>
                      <w:highlight w:val="none"/>
                      <w:lang w:val="en-US" w:eastAsia="zh-CN"/>
                    </w:rPr>
                    <w:t>氨</w:t>
                  </w:r>
                </w:p>
              </w:tc>
              <w:tc>
                <w:tcPr>
                  <w:tcW w:w="1048" w:type="pct"/>
                  <w:tcBorders>
                    <w:tl2br w:val="nil"/>
                    <w:tr2bl w:val="nil"/>
                  </w:tcBorders>
                  <w:shd w:val="clear" w:color="auto" w:fill="auto"/>
                  <w:noWrap w:val="0"/>
                  <w:vAlign w:val="center"/>
                </w:tcPr>
                <w:p w14:paraId="2161E346">
                  <w:pPr>
                    <w:keepNext w:val="0"/>
                    <w:keepLines w:val="0"/>
                    <w:widowControl/>
                    <w:suppressLineNumbers w:val="0"/>
                    <w:spacing w:before="0" w:beforeAutospacing="0" w:after="0" w:afterAutospacing="0"/>
                    <w:ind w:left="0" w:leftChars="0" w:right="0" w:rightChars="0"/>
                    <w:jc w:val="center"/>
                    <w:textAlignment w:val="center"/>
                    <w:rPr>
                      <w:rFonts w:hint="default" w:ascii="Times New Roman" w:hAnsi="Times New Roman" w:eastAsia="宋体" w:cs="Times New Roman"/>
                      <w:bCs/>
                      <w:kern w:val="0"/>
                      <w:sz w:val="21"/>
                      <w:szCs w:val="21"/>
                      <w:highlight w:val="none"/>
                      <w:lang w:val="en-US" w:eastAsia="zh-CN" w:bidi="ar-SA"/>
                    </w:rPr>
                  </w:pPr>
                  <w:r>
                    <w:rPr>
                      <w:rFonts w:hint="eastAsia" w:ascii="Times New Roman" w:hAnsi="Times New Roman" w:eastAsia="宋体" w:cs="Times New Roman"/>
                      <w:i w:val="0"/>
                      <w:iCs w:val="0"/>
                      <w:color w:val="000000"/>
                      <w:kern w:val="0"/>
                      <w:sz w:val="21"/>
                      <w:szCs w:val="21"/>
                      <w:highlight w:val="none"/>
                      <w:u w:val="none"/>
                      <w:lang w:val="en-US" w:eastAsia="zh-CN" w:bidi="ar"/>
                    </w:rPr>
                    <w:t>~</w:t>
                  </w:r>
                  <w:r>
                    <w:rPr>
                      <w:rFonts w:hint="default" w:ascii="Times New Roman" w:hAnsi="Times New Roman" w:eastAsia="宋体" w:cs="Times New Roman"/>
                      <w:i w:val="0"/>
                      <w:iCs w:val="0"/>
                      <w:color w:val="000000"/>
                      <w:kern w:val="0"/>
                      <w:sz w:val="21"/>
                      <w:szCs w:val="21"/>
                      <w:highlight w:val="none"/>
                      <w:u w:val="none"/>
                      <w:lang w:val="en-US" w:eastAsia="zh-CN" w:bidi="ar"/>
                    </w:rPr>
                    <w:t>0</w:t>
                  </w:r>
                </w:p>
              </w:tc>
              <w:tc>
                <w:tcPr>
                  <w:tcW w:w="1152" w:type="pct"/>
                  <w:tcBorders>
                    <w:tl2br w:val="nil"/>
                    <w:tr2bl w:val="nil"/>
                  </w:tcBorders>
                  <w:shd w:val="clear" w:color="auto" w:fill="auto"/>
                  <w:noWrap w:val="0"/>
                  <w:vAlign w:val="center"/>
                </w:tcPr>
                <w:p w14:paraId="061869D5">
                  <w:pPr>
                    <w:keepNext w:val="0"/>
                    <w:keepLines w:val="0"/>
                    <w:widowControl/>
                    <w:suppressLineNumbers w:val="0"/>
                    <w:spacing w:before="0" w:beforeAutospacing="0" w:after="0" w:afterAutospacing="0"/>
                    <w:ind w:left="0" w:leftChars="0" w:right="0" w:rightChars="0"/>
                    <w:jc w:val="center"/>
                    <w:textAlignment w:val="center"/>
                    <w:rPr>
                      <w:rFonts w:hint="default" w:ascii="Times New Roman" w:hAnsi="Times New Roman" w:eastAsia="宋体" w:cs="Times New Roman"/>
                      <w:bCs/>
                      <w:kern w:val="0"/>
                      <w:sz w:val="21"/>
                      <w:szCs w:val="21"/>
                      <w:highlight w:val="none"/>
                      <w:lang w:val="en-US" w:eastAsia="zh-CN" w:bidi="ar-SA"/>
                    </w:rPr>
                  </w:pPr>
                  <w:r>
                    <w:rPr>
                      <w:rFonts w:hint="eastAsia" w:ascii="Times New Roman" w:hAnsi="Times New Roman" w:eastAsia="宋体" w:cs="Times New Roman"/>
                      <w:i w:val="0"/>
                      <w:iCs w:val="0"/>
                      <w:color w:val="000000"/>
                      <w:kern w:val="0"/>
                      <w:sz w:val="21"/>
                      <w:szCs w:val="21"/>
                      <w:highlight w:val="none"/>
                      <w:u w:val="none"/>
                      <w:lang w:val="en-US" w:eastAsia="zh-CN" w:bidi="ar"/>
                    </w:rPr>
                    <w:t>~</w:t>
                  </w:r>
                  <w:r>
                    <w:rPr>
                      <w:rFonts w:hint="default" w:ascii="Times New Roman" w:hAnsi="Times New Roman" w:eastAsia="宋体" w:cs="Times New Roman"/>
                      <w:i w:val="0"/>
                      <w:iCs w:val="0"/>
                      <w:color w:val="000000"/>
                      <w:kern w:val="0"/>
                      <w:sz w:val="21"/>
                      <w:szCs w:val="21"/>
                      <w:highlight w:val="none"/>
                      <w:u w:val="none"/>
                      <w:lang w:val="en-US" w:eastAsia="zh-CN" w:bidi="ar"/>
                    </w:rPr>
                    <w:t>0</w:t>
                  </w:r>
                </w:p>
              </w:tc>
              <w:tc>
                <w:tcPr>
                  <w:tcW w:w="1076" w:type="pct"/>
                  <w:tcBorders>
                    <w:tl2br w:val="nil"/>
                    <w:tr2bl w:val="nil"/>
                  </w:tcBorders>
                  <w:shd w:val="clear" w:color="auto" w:fill="auto"/>
                  <w:noWrap w:val="0"/>
                  <w:vAlign w:val="center"/>
                </w:tcPr>
                <w:p w14:paraId="7992FA84">
                  <w:pPr>
                    <w:keepNext w:val="0"/>
                    <w:keepLines w:val="0"/>
                    <w:widowControl/>
                    <w:suppressLineNumbers w:val="0"/>
                    <w:spacing w:before="0" w:beforeAutospacing="0" w:after="0" w:afterAutospacing="0"/>
                    <w:ind w:left="0" w:leftChars="0" w:right="0" w:rightChars="0"/>
                    <w:jc w:val="center"/>
                    <w:textAlignment w:val="center"/>
                    <w:rPr>
                      <w:rFonts w:hint="default" w:ascii="Times New Roman" w:hAnsi="Times New Roman" w:eastAsia="宋体" w:cs="Times New Roman"/>
                      <w:i w:val="0"/>
                      <w:iCs w:val="0"/>
                      <w:color w:val="000000"/>
                      <w:kern w:val="0"/>
                      <w:sz w:val="21"/>
                      <w:szCs w:val="21"/>
                      <w:highlight w:val="none"/>
                      <w:u w:val="none"/>
                      <w:lang w:val="en-US" w:eastAsia="zh-CN" w:bidi="ar"/>
                    </w:rPr>
                  </w:pPr>
                  <w:r>
                    <w:rPr>
                      <w:rFonts w:hint="eastAsia" w:ascii="Times New Roman" w:hAnsi="Times New Roman" w:eastAsia="宋体" w:cs="Times New Roman"/>
                      <w:i w:val="0"/>
                      <w:iCs w:val="0"/>
                      <w:color w:val="000000"/>
                      <w:kern w:val="0"/>
                      <w:sz w:val="21"/>
                      <w:szCs w:val="21"/>
                      <w:highlight w:val="none"/>
                      <w:u w:val="none"/>
                      <w:lang w:val="en-US" w:eastAsia="zh-CN" w:bidi="ar"/>
                    </w:rPr>
                    <w:t>~</w:t>
                  </w:r>
                  <w:r>
                    <w:rPr>
                      <w:rFonts w:hint="default" w:ascii="Times New Roman" w:hAnsi="Times New Roman" w:eastAsia="宋体" w:cs="Times New Roman"/>
                      <w:i w:val="0"/>
                      <w:iCs w:val="0"/>
                      <w:color w:val="000000"/>
                      <w:kern w:val="0"/>
                      <w:sz w:val="21"/>
                      <w:szCs w:val="21"/>
                      <w:highlight w:val="none"/>
                      <w:u w:val="none"/>
                      <w:lang w:val="en-US" w:eastAsia="zh-CN" w:bidi="ar"/>
                    </w:rPr>
                    <w:t>0</w:t>
                  </w:r>
                </w:p>
              </w:tc>
            </w:tr>
            <w:tr w14:paraId="110A5A03">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28" w:type="dxa"/>
                  <w:bottom w:w="0" w:type="dxa"/>
                  <w:right w:w="28" w:type="dxa"/>
                </w:tblCellMar>
              </w:tblPrEx>
              <w:trPr>
                <w:trHeight w:val="0" w:hRule="atLeast"/>
              </w:trPr>
              <w:tc>
                <w:tcPr>
                  <w:tcW w:w="311" w:type="pct"/>
                  <w:tcBorders>
                    <w:tl2br w:val="nil"/>
                    <w:tr2bl w:val="nil"/>
                  </w:tcBorders>
                  <w:shd w:val="clear" w:color="auto" w:fill="auto"/>
                  <w:noWrap w:val="0"/>
                  <w:vAlign w:val="center"/>
                </w:tcPr>
                <w:p w14:paraId="0C54C8A0">
                  <w:pPr>
                    <w:pStyle w:val="27"/>
                    <w:keepNext w:val="0"/>
                    <w:keepLines w:val="0"/>
                    <w:widowControl w:val="0"/>
                    <w:suppressLineNumbers w:val="0"/>
                    <w:spacing w:before="0" w:beforeAutospacing="0" w:after="0" w:afterAutospacing="0" w:line="240" w:lineRule="auto"/>
                    <w:ind w:left="0" w:leftChars="0" w:right="0" w:rightChars="0" w:firstLine="0" w:firstLineChars="0"/>
                    <w:jc w:val="center"/>
                    <w:rPr>
                      <w:rFonts w:hint="eastAsia" w:ascii="Times New Roman" w:hAnsi="Times New Roman" w:eastAsia="宋体" w:cs="Times New Roman"/>
                      <w:color w:val="auto"/>
                      <w:kern w:val="0"/>
                      <w:sz w:val="21"/>
                      <w:szCs w:val="21"/>
                      <w:highlight w:val="none"/>
                      <w:lang w:val="en-US" w:eastAsia="zh-CN" w:bidi="ar-SA"/>
                    </w:rPr>
                  </w:pPr>
                  <w:r>
                    <w:rPr>
                      <w:rFonts w:hint="eastAsia" w:ascii="Times New Roman" w:hAnsi="Times New Roman" w:eastAsia="宋体" w:cs="Times New Roman"/>
                      <w:color w:val="auto"/>
                      <w:sz w:val="21"/>
                      <w:szCs w:val="21"/>
                      <w:highlight w:val="none"/>
                      <w:lang w:val="en-US" w:eastAsia="zh-CN"/>
                    </w:rPr>
                    <w:t>11</w:t>
                  </w:r>
                </w:p>
              </w:tc>
              <w:tc>
                <w:tcPr>
                  <w:tcW w:w="625" w:type="pct"/>
                  <w:vMerge w:val="continue"/>
                  <w:tcBorders>
                    <w:tl2br w:val="nil"/>
                    <w:tr2bl w:val="nil"/>
                  </w:tcBorders>
                  <w:noWrap w:val="0"/>
                  <w:vAlign w:val="center"/>
                </w:tcPr>
                <w:p w14:paraId="06719335">
                  <w:pPr>
                    <w:pStyle w:val="27"/>
                    <w:keepNext w:val="0"/>
                    <w:keepLines w:val="0"/>
                    <w:widowControl w:val="0"/>
                    <w:suppressLineNumbers w:val="0"/>
                    <w:spacing w:before="0" w:beforeAutospacing="0" w:after="0" w:afterAutospacing="0" w:line="240" w:lineRule="auto"/>
                    <w:ind w:left="0" w:leftChars="0" w:right="0" w:rightChars="0" w:firstLine="0" w:firstLineChars="0"/>
                    <w:jc w:val="center"/>
                    <w:rPr>
                      <w:rFonts w:hint="default" w:ascii="Times New Roman" w:hAnsi="Times New Roman" w:eastAsia="宋体" w:cs="Times New Roman"/>
                      <w:color w:val="auto"/>
                      <w:sz w:val="21"/>
                      <w:szCs w:val="21"/>
                      <w:highlight w:val="none"/>
                      <w:lang w:val="en-US" w:eastAsia="zh-CN"/>
                    </w:rPr>
                  </w:pPr>
                </w:p>
              </w:tc>
              <w:tc>
                <w:tcPr>
                  <w:tcW w:w="785" w:type="pct"/>
                  <w:tcBorders>
                    <w:tl2br w:val="nil"/>
                    <w:tr2bl w:val="nil"/>
                  </w:tcBorders>
                  <w:shd w:val="clear" w:color="auto" w:fill="auto"/>
                  <w:noWrap w:val="0"/>
                  <w:vAlign w:val="center"/>
                </w:tcPr>
                <w:p w14:paraId="65558622">
                  <w:pPr>
                    <w:pStyle w:val="27"/>
                    <w:keepNext w:val="0"/>
                    <w:keepLines w:val="0"/>
                    <w:widowControl w:val="0"/>
                    <w:suppressLineNumbers w:val="0"/>
                    <w:spacing w:before="0" w:beforeAutospacing="0" w:after="0" w:afterAutospacing="0" w:line="240" w:lineRule="auto"/>
                    <w:ind w:left="0" w:leftChars="0" w:right="0" w:rightChars="0" w:firstLine="0" w:firstLineChars="0"/>
                    <w:jc w:val="center"/>
                    <w:rPr>
                      <w:rFonts w:hint="eastAsia" w:ascii="Times New Roman" w:hAnsi="Times New Roman" w:eastAsia="宋体" w:cs="Times New Roman"/>
                      <w:color w:val="auto"/>
                      <w:kern w:val="0"/>
                      <w:sz w:val="21"/>
                      <w:szCs w:val="21"/>
                      <w:highlight w:val="none"/>
                      <w:lang w:val="en-US" w:eastAsia="zh-CN" w:bidi="ar-SA"/>
                    </w:rPr>
                  </w:pPr>
                  <w:r>
                    <w:rPr>
                      <w:rFonts w:hint="eastAsia" w:ascii="Times New Roman" w:hAnsi="Times New Roman" w:eastAsia="宋体" w:cs="Times New Roman"/>
                      <w:color w:val="auto"/>
                      <w:sz w:val="21"/>
                      <w:szCs w:val="21"/>
                      <w:highlight w:val="none"/>
                      <w:lang w:val="en-US" w:eastAsia="zh-CN"/>
                    </w:rPr>
                    <w:t>硫化氢</w:t>
                  </w:r>
                </w:p>
              </w:tc>
              <w:tc>
                <w:tcPr>
                  <w:tcW w:w="1048" w:type="pct"/>
                  <w:tcBorders>
                    <w:tl2br w:val="nil"/>
                    <w:tr2bl w:val="nil"/>
                  </w:tcBorders>
                  <w:shd w:val="clear" w:color="auto" w:fill="auto"/>
                  <w:noWrap w:val="0"/>
                  <w:vAlign w:val="center"/>
                </w:tcPr>
                <w:p w14:paraId="36263C6E">
                  <w:pPr>
                    <w:keepNext w:val="0"/>
                    <w:keepLines w:val="0"/>
                    <w:widowControl/>
                    <w:suppressLineNumbers w:val="0"/>
                    <w:spacing w:before="0" w:beforeAutospacing="0" w:after="0" w:afterAutospacing="0"/>
                    <w:ind w:left="0" w:leftChars="0" w:right="0" w:rightChars="0"/>
                    <w:jc w:val="center"/>
                    <w:textAlignment w:val="center"/>
                    <w:rPr>
                      <w:rFonts w:hint="default" w:ascii="Times New Roman" w:hAnsi="Times New Roman" w:eastAsia="宋体" w:cs="Times New Roman"/>
                      <w:bCs/>
                      <w:kern w:val="0"/>
                      <w:sz w:val="21"/>
                      <w:szCs w:val="21"/>
                      <w:highlight w:val="none"/>
                      <w:lang w:val="en-US" w:eastAsia="zh-CN" w:bidi="ar-SA"/>
                    </w:rPr>
                  </w:pPr>
                  <w:r>
                    <w:rPr>
                      <w:rFonts w:hint="eastAsia" w:ascii="Times New Roman" w:hAnsi="Times New Roman" w:eastAsia="宋体" w:cs="Times New Roman"/>
                      <w:i w:val="0"/>
                      <w:iCs w:val="0"/>
                      <w:color w:val="000000"/>
                      <w:kern w:val="0"/>
                      <w:sz w:val="21"/>
                      <w:szCs w:val="21"/>
                      <w:highlight w:val="none"/>
                      <w:u w:val="none"/>
                      <w:lang w:val="en-US" w:eastAsia="zh-CN" w:bidi="ar"/>
                    </w:rPr>
                    <w:t>~</w:t>
                  </w:r>
                  <w:r>
                    <w:rPr>
                      <w:rFonts w:hint="default" w:ascii="Times New Roman" w:hAnsi="Times New Roman" w:eastAsia="宋体" w:cs="Times New Roman"/>
                      <w:i w:val="0"/>
                      <w:iCs w:val="0"/>
                      <w:color w:val="000000"/>
                      <w:kern w:val="0"/>
                      <w:sz w:val="21"/>
                      <w:szCs w:val="21"/>
                      <w:highlight w:val="none"/>
                      <w:u w:val="none"/>
                      <w:lang w:val="en-US" w:eastAsia="zh-CN" w:bidi="ar"/>
                    </w:rPr>
                    <w:t>0</w:t>
                  </w:r>
                </w:p>
              </w:tc>
              <w:tc>
                <w:tcPr>
                  <w:tcW w:w="1152" w:type="pct"/>
                  <w:tcBorders>
                    <w:tl2br w:val="nil"/>
                    <w:tr2bl w:val="nil"/>
                  </w:tcBorders>
                  <w:shd w:val="clear" w:color="auto" w:fill="auto"/>
                  <w:noWrap w:val="0"/>
                  <w:vAlign w:val="center"/>
                </w:tcPr>
                <w:p w14:paraId="706FC237">
                  <w:pPr>
                    <w:keepNext w:val="0"/>
                    <w:keepLines w:val="0"/>
                    <w:widowControl/>
                    <w:suppressLineNumbers w:val="0"/>
                    <w:spacing w:before="0" w:beforeAutospacing="0" w:after="0" w:afterAutospacing="0"/>
                    <w:ind w:left="0" w:leftChars="0" w:right="0" w:rightChars="0"/>
                    <w:jc w:val="center"/>
                    <w:textAlignment w:val="center"/>
                    <w:rPr>
                      <w:rFonts w:hint="default" w:ascii="Times New Roman" w:hAnsi="Times New Roman" w:eastAsia="宋体" w:cs="Times New Roman"/>
                      <w:bCs/>
                      <w:kern w:val="0"/>
                      <w:sz w:val="21"/>
                      <w:szCs w:val="21"/>
                      <w:highlight w:val="none"/>
                      <w:lang w:val="en-US" w:eastAsia="zh-CN" w:bidi="ar-SA"/>
                    </w:rPr>
                  </w:pPr>
                  <w:r>
                    <w:rPr>
                      <w:rFonts w:hint="eastAsia" w:ascii="Times New Roman" w:hAnsi="Times New Roman" w:eastAsia="宋体" w:cs="Times New Roman"/>
                      <w:i w:val="0"/>
                      <w:iCs w:val="0"/>
                      <w:color w:val="000000"/>
                      <w:kern w:val="0"/>
                      <w:sz w:val="21"/>
                      <w:szCs w:val="21"/>
                      <w:highlight w:val="none"/>
                      <w:u w:val="none"/>
                      <w:lang w:val="en-US" w:eastAsia="zh-CN" w:bidi="ar"/>
                    </w:rPr>
                    <w:t>~</w:t>
                  </w:r>
                  <w:r>
                    <w:rPr>
                      <w:rFonts w:hint="default" w:ascii="Times New Roman" w:hAnsi="Times New Roman" w:eastAsia="宋体" w:cs="Times New Roman"/>
                      <w:i w:val="0"/>
                      <w:iCs w:val="0"/>
                      <w:color w:val="000000"/>
                      <w:kern w:val="0"/>
                      <w:sz w:val="21"/>
                      <w:szCs w:val="21"/>
                      <w:highlight w:val="none"/>
                      <w:u w:val="none"/>
                      <w:lang w:val="en-US" w:eastAsia="zh-CN" w:bidi="ar"/>
                    </w:rPr>
                    <w:t>0</w:t>
                  </w:r>
                </w:p>
              </w:tc>
              <w:tc>
                <w:tcPr>
                  <w:tcW w:w="1076" w:type="pct"/>
                  <w:tcBorders>
                    <w:tl2br w:val="nil"/>
                    <w:tr2bl w:val="nil"/>
                  </w:tcBorders>
                  <w:shd w:val="clear" w:color="auto" w:fill="auto"/>
                  <w:noWrap w:val="0"/>
                  <w:vAlign w:val="center"/>
                </w:tcPr>
                <w:p w14:paraId="40F4AE1E">
                  <w:pPr>
                    <w:keepNext w:val="0"/>
                    <w:keepLines w:val="0"/>
                    <w:widowControl/>
                    <w:suppressLineNumbers w:val="0"/>
                    <w:spacing w:before="0" w:beforeAutospacing="0" w:after="0" w:afterAutospacing="0"/>
                    <w:ind w:left="0" w:leftChars="0" w:right="0" w:rightChars="0"/>
                    <w:jc w:val="center"/>
                    <w:textAlignment w:val="center"/>
                    <w:rPr>
                      <w:rFonts w:hint="eastAsia" w:ascii="Times New Roman" w:hAnsi="Times New Roman" w:eastAsia="宋体" w:cs="Times New Roman"/>
                      <w:i w:val="0"/>
                      <w:iCs w:val="0"/>
                      <w:color w:val="000000"/>
                      <w:kern w:val="0"/>
                      <w:sz w:val="21"/>
                      <w:szCs w:val="21"/>
                      <w:highlight w:val="none"/>
                      <w:u w:val="none"/>
                      <w:lang w:val="en-US" w:eastAsia="zh-CN" w:bidi="ar"/>
                    </w:rPr>
                  </w:pPr>
                  <w:r>
                    <w:rPr>
                      <w:rFonts w:hint="eastAsia" w:ascii="Times New Roman" w:hAnsi="Times New Roman" w:eastAsia="宋体" w:cs="Times New Roman"/>
                      <w:i w:val="0"/>
                      <w:iCs w:val="0"/>
                      <w:color w:val="000000"/>
                      <w:kern w:val="0"/>
                      <w:sz w:val="21"/>
                      <w:szCs w:val="21"/>
                      <w:highlight w:val="none"/>
                      <w:u w:val="none"/>
                      <w:lang w:val="en-US" w:eastAsia="zh-CN" w:bidi="ar"/>
                    </w:rPr>
                    <w:t>0.001</w:t>
                  </w:r>
                </w:p>
              </w:tc>
            </w:tr>
            <w:tr w14:paraId="116DB479">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28" w:type="dxa"/>
                  <w:bottom w:w="0" w:type="dxa"/>
                  <w:right w:w="28" w:type="dxa"/>
                </w:tblCellMar>
              </w:tblPrEx>
              <w:trPr>
                <w:trHeight w:val="0" w:hRule="atLeast"/>
              </w:trPr>
              <w:tc>
                <w:tcPr>
                  <w:tcW w:w="311" w:type="pct"/>
                  <w:tcBorders>
                    <w:tl2br w:val="nil"/>
                    <w:tr2bl w:val="nil"/>
                  </w:tcBorders>
                  <w:shd w:val="clear" w:color="auto" w:fill="auto"/>
                  <w:noWrap w:val="0"/>
                  <w:vAlign w:val="center"/>
                </w:tcPr>
                <w:p w14:paraId="783B13C9">
                  <w:pPr>
                    <w:pStyle w:val="27"/>
                    <w:keepNext w:val="0"/>
                    <w:keepLines w:val="0"/>
                    <w:widowControl w:val="0"/>
                    <w:suppressLineNumbers w:val="0"/>
                    <w:spacing w:before="0" w:beforeAutospacing="0" w:after="0" w:afterAutospacing="0" w:line="240" w:lineRule="auto"/>
                    <w:ind w:left="0" w:leftChars="0" w:right="0" w:rightChars="0" w:firstLine="0" w:firstLineChars="0"/>
                    <w:jc w:val="center"/>
                    <w:rPr>
                      <w:rFonts w:hint="eastAsia" w:ascii="Times New Roman" w:hAnsi="Times New Roman" w:eastAsia="宋体" w:cs="Times New Roman"/>
                      <w:color w:val="auto"/>
                      <w:kern w:val="0"/>
                      <w:sz w:val="21"/>
                      <w:szCs w:val="21"/>
                      <w:highlight w:val="none"/>
                      <w:lang w:val="en-US" w:eastAsia="zh-CN" w:bidi="ar-SA"/>
                    </w:rPr>
                  </w:pPr>
                  <w:r>
                    <w:rPr>
                      <w:rFonts w:hint="eastAsia" w:ascii="Times New Roman" w:hAnsi="Times New Roman" w:eastAsia="宋体" w:cs="Times New Roman"/>
                      <w:color w:val="auto"/>
                      <w:sz w:val="21"/>
                      <w:szCs w:val="21"/>
                      <w:highlight w:val="none"/>
                      <w:lang w:val="en-US" w:eastAsia="zh-CN"/>
                    </w:rPr>
                    <w:t>12</w:t>
                  </w:r>
                </w:p>
              </w:tc>
              <w:tc>
                <w:tcPr>
                  <w:tcW w:w="625" w:type="pct"/>
                  <w:vMerge w:val="continue"/>
                  <w:tcBorders>
                    <w:tl2br w:val="nil"/>
                    <w:tr2bl w:val="nil"/>
                  </w:tcBorders>
                  <w:noWrap w:val="0"/>
                  <w:vAlign w:val="center"/>
                </w:tcPr>
                <w:p w14:paraId="6B1D2B58">
                  <w:pPr>
                    <w:pStyle w:val="27"/>
                    <w:keepNext w:val="0"/>
                    <w:keepLines w:val="0"/>
                    <w:widowControl w:val="0"/>
                    <w:suppressLineNumbers w:val="0"/>
                    <w:spacing w:before="0" w:beforeAutospacing="0" w:after="0" w:afterAutospacing="0" w:line="240" w:lineRule="auto"/>
                    <w:ind w:left="0" w:leftChars="0" w:right="0" w:rightChars="0" w:firstLine="0" w:firstLineChars="0"/>
                    <w:jc w:val="center"/>
                    <w:rPr>
                      <w:rFonts w:hint="default" w:ascii="Times New Roman" w:hAnsi="Times New Roman" w:eastAsia="宋体" w:cs="Times New Roman"/>
                      <w:color w:val="auto"/>
                      <w:sz w:val="21"/>
                      <w:szCs w:val="21"/>
                      <w:highlight w:val="none"/>
                      <w:lang w:val="en-US" w:eastAsia="zh-CN"/>
                    </w:rPr>
                  </w:pPr>
                </w:p>
              </w:tc>
              <w:tc>
                <w:tcPr>
                  <w:tcW w:w="785" w:type="pct"/>
                  <w:tcBorders>
                    <w:tl2br w:val="nil"/>
                    <w:tr2bl w:val="nil"/>
                  </w:tcBorders>
                  <w:shd w:val="clear" w:color="auto" w:fill="auto"/>
                  <w:noWrap w:val="0"/>
                  <w:vAlign w:val="center"/>
                </w:tcPr>
                <w:p w14:paraId="30D5B02E">
                  <w:pPr>
                    <w:pStyle w:val="27"/>
                    <w:keepNext w:val="0"/>
                    <w:keepLines w:val="0"/>
                    <w:widowControl w:val="0"/>
                    <w:suppressLineNumbers w:val="0"/>
                    <w:spacing w:before="0" w:beforeAutospacing="0" w:after="0" w:afterAutospacing="0" w:line="240" w:lineRule="auto"/>
                    <w:ind w:left="0" w:leftChars="0" w:right="0" w:rightChars="0" w:firstLine="0" w:firstLineChars="0"/>
                    <w:jc w:val="center"/>
                    <w:rPr>
                      <w:rFonts w:hint="eastAsia" w:ascii="Times New Roman" w:hAnsi="Times New Roman" w:eastAsia="宋体" w:cs="Times New Roman"/>
                      <w:color w:val="auto"/>
                      <w:sz w:val="21"/>
                      <w:szCs w:val="21"/>
                      <w:highlight w:val="none"/>
                      <w:lang w:val="en-US" w:eastAsia="zh-CN"/>
                    </w:rPr>
                  </w:pPr>
                  <w:r>
                    <w:rPr>
                      <w:rFonts w:hint="eastAsia" w:ascii="Times New Roman" w:hAnsi="Times New Roman" w:cs="Times New Roman"/>
                      <w:color w:val="auto"/>
                      <w:sz w:val="21"/>
                      <w:szCs w:val="21"/>
                      <w:highlight w:val="none"/>
                      <w:lang w:val="en-US" w:eastAsia="zh-CN"/>
                    </w:rPr>
                    <w:t>颗粒物</w:t>
                  </w:r>
                </w:p>
              </w:tc>
              <w:tc>
                <w:tcPr>
                  <w:tcW w:w="3277" w:type="pct"/>
                  <w:gridSpan w:val="3"/>
                  <w:tcBorders>
                    <w:tl2br w:val="nil"/>
                    <w:tr2bl w:val="nil"/>
                  </w:tcBorders>
                  <w:shd w:val="clear" w:color="auto" w:fill="auto"/>
                  <w:noWrap w:val="0"/>
                  <w:vAlign w:val="center"/>
                </w:tcPr>
                <w:p w14:paraId="23D33180">
                  <w:pPr>
                    <w:keepNext w:val="0"/>
                    <w:keepLines w:val="0"/>
                    <w:widowControl/>
                    <w:suppressLineNumbers w:val="0"/>
                    <w:spacing w:before="0" w:beforeAutospacing="0" w:after="0" w:afterAutospacing="0"/>
                    <w:ind w:left="0" w:leftChars="0" w:right="0" w:rightChars="0"/>
                    <w:jc w:val="center"/>
                    <w:textAlignment w:val="center"/>
                    <w:rPr>
                      <w:rFonts w:hint="eastAsia" w:ascii="Times New Roman" w:hAnsi="Times New Roman" w:eastAsia="宋体" w:cs="Times New Roman"/>
                      <w:i w:val="0"/>
                      <w:iCs w:val="0"/>
                      <w:color w:val="000000"/>
                      <w:kern w:val="0"/>
                      <w:sz w:val="21"/>
                      <w:szCs w:val="21"/>
                      <w:highlight w:val="none"/>
                      <w:u w:val="none"/>
                      <w:lang w:val="en-US" w:eastAsia="zh-CN" w:bidi="ar"/>
                    </w:rPr>
                  </w:pPr>
                  <w:r>
                    <w:rPr>
                      <w:rFonts w:hint="eastAsia" w:cs="Times New Roman"/>
                      <w:bCs/>
                      <w:kern w:val="0"/>
                      <w:sz w:val="21"/>
                      <w:szCs w:val="21"/>
                      <w:highlight w:val="none"/>
                      <w:lang w:val="en-US" w:eastAsia="zh-CN"/>
                    </w:rPr>
                    <w:t>少量</w:t>
                  </w:r>
                </w:p>
              </w:tc>
            </w:tr>
            <w:tr w14:paraId="4EFA3825">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28" w:type="dxa"/>
                  <w:bottom w:w="0" w:type="dxa"/>
                  <w:right w:w="28" w:type="dxa"/>
                </w:tblCellMar>
              </w:tblPrEx>
              <w:trPr>
                <w:trHeight w:val="0" w:hRule="atLeast"/>
              </w:trPr>
              <w:tc>
                <w:tcPr>
                  <w:tcW w:w="311" w:type="pct"/>
                  <w:tcBorders>
                    <w:tl2br w:val="nil"/>
                    <w:tr2bl w:val="nil"/>
                  </w:tcBorders>
                  <w:shd w:val="clear" w:color="auto" w:fill="auto"/>
                  <w:noWrap w:val="0"/>
                  <w:vAlign w:val="center"/>
                </w:tcPr>
                <w:p w14:paraId="15FF3F38">
                  <w:pPr>
                    <w:pStyle w:val="27"/>
                    <w:keepNext w:val="0"/>
                    <w:keepLines w:val="0"/>
                    <w:widowControl w:val="0"/>
                    <w:suppressLineNumbers w:val="0"/>
                    <w:spacing w:before="0" w:beforeAutospacing="0" w:after="0" w:afterAutospacing="0" w:line="240" w:lineRule="auto"/>
                    <w:ind w:left="0" w:leftChars="0" w:right="0" w:rightChars="0" w:firstLine="0" w:firstLineChars="0"/>
                    <w:jc w:val="center"/>
                    <w:rPr>
                      <w:rFonts w:hint="default" w:ascii="Times New Roman" w:hAnsi="Times New Roman" w:eastAsia="宋体" w:cs="Times New Roman"/>
                      <w:color w:val="auto"/>
                      <w:kern w:val="0"/>
                      <w:sz w:val="21"/>
                      <w:szCs w:val="21"/>
                      <w:highlight w:val="none"/>
                      <w:lang w:val="en-US" w:eastAsia="zh-CN" w:bidi="ar-SA"/>
                    </w:rPr>
                  </w:pPr>
                  <w:r>
                    <w:rPr>
                      <w:rFonts w:hint="eastAsia" w:ascii="Times New Roman" w:hAnsi="Times New Roman" w:eastAsia="宋体" w:cs="Times New Roman"/>
                      <w:color w:val="auto"/>
                      <w:sz w:val="21"/>
                      <w:szCs w:val="21"/>
                      <w:highlight w:val="none"/>
                      <w:lang w:val="en-US" w:eastAsia="zh-CN"/>
                    </w:rPr>
                    <w:t>13</w:t>
                  </w:r>
                </w:p>
              </w:tc>
              <w:tc>
                <w:tcPr>
                  <w:tcW w:w="625" w:type="pct"/>
                  <w:vMerge w:val="restart"/>
                  <w:tcBorders>
                    <w:tl2br w:val="nil"/>
                    <w:tr2bl w:val="nil"/>
                  </w:tcBorders>
                  <w:noWrap w:val="0"/>
                  <w:vAlign w:val="center"/>
                </w:tcPr>
                <w:p w14:paraId="44EB8FE7">
                  <w:pPr>
                    <w:pStyle w:val="27"/>
                    <w:keepNext w:val="0"/>
                    <w:keepLines w:val="0"/>
                    <w:widowControl w:val="0"/>
                    <w:suppressLineNumbers w:val="0"/>
                    <w:spacing w:before="0" w:beforeAutospacing="0" w:after="0" w:afterAutospacing="0" w:line="240" w:lineRule="auto"/>
                    <w:ind w:left="0" w:leftChars="0" w:right="0" w:rightChars="0" w:firstLine="0" w:firstLineChars="0"/>
                    <w:jc w:val="center"/>
                    <w:rPr>
                      <w:rFonts w:hint="default" w:ascii="Times New Roman" w:hAnsi="Times New Roman" w:eastAsia="宋体" w:cs="Times New Roman"/>
                      <w:color w:val="auto"/>
                      <w:sz w:val="21"/>
                      <w:szCs w:val="21"/>
                      <w:highlight w:val="none"/>
                      <w:lang w:val="en-US" w:eastAsia="zh-CN"/>
                    </w:rPr>
                  </w:pPr>
                  <w:r>
                    <w:rPr>
                      <w:rFonts w:hint="default" w:ascii="Times New Roman" w:hAnsi="Times New Roman" w:eastAsia="宋体" w:cs="Times New Roman"/>
                      <w:color w:val="auto"/>
                      <w:sz w:val="21"/>
                      <w:szCs w:val="21"/>
                      <w:highlight w:val="none"/>
                      <w:lang w:val="en-US" w:eastAsia="zh-CN"/>
                    </w:rPr>
                    <w:t>DA00</w:t>
                  </w:r>
                  <w:r>
                    <w:rPr>
                      <w:rFonts w:hint="eastAsia" w:ascii="Times New Roman" w:hAnsi="Times New Roman" w:eastAsia="宋体" w:cs="Times New Roman"/>
                      <w:color w:val="auto"/>
                      <w:sz w:val="21"/>
                      <w:szCs w:val="21"/>
                      <w:highlight w:val="none"/>
                      <w:lang w:val="en-US" w:eastAsia="zh-CN"/>
                    </w:rPr>
                    <w:t>5</w:t>
                  </w:r>
                </w:p>
              </w:tc>
              <w:tc>
                <w:tcPr>
                  <w:tcW w:w="785" w:type="pct"/>
                  <w:tcBorders>
                    <w:tl2br w:val="nil"/>
                    <w:tr2bl w:val="nil"/>
                  </w:tcBorders>
                  <w:shd w:val="clear" w:color="auto" w:fill="auto"/>
                  <w:noWrap w:val="0"/>
                  <w:vAlign w:val="center"/>
                </w:tcPr>
                <w:p w14:paraId="2D13FA0C">
                  <w:pPr>
                    <w:pStyle w:val="27"/>
                    <w:keepNext w:val="0"/>
                    <w:keepLines w:val="0"/>
                    <w:widowControl w:val="0"/>
                    <w:suppressLineNumbers w:val="0"/>
                    <w:spacing w:before="0" w:beforeAutospacing="0" w:after="0" w:afterAutospacing="0" w:line="240" w:lineRule="auto"/>
                    <w:ind w:left="0" w:leftChars="0" w:right="0" w:rightChars="0" w:firstLine="0" w:firstLineChars="0"/>
                    <w:jc w:val="center"/>
                    <w:rPr>
                      <w:rFonts w:hint="default" w:ascii="Times New Roman" w:hAnsi="Times New Roman" w:eastAsia="宋体" w:cs="Times New Roman"/>
                      <w:color w:val="auto"/>
                      <w:kern w:val="0"/>
                      <w:sz w:val="21"/>
                      <w:szCs w:val="21"/>
                      <w:highlight w:val="none"/>
                      <w:lang w:val="en-US" w:eastAsia="zh-CN" w:bidi="ar-SA"/>
                    </w:rPr>
                  </w:pPr>
                  <w:r>
                    <w:rPr>
                      <w:rFonts w:hint="eastAsia" w:ascii="Times New Roman" w:hAnsi="Times New Roman" w:eastAsia="宋体" w:cs="Times New Roman"/>
                      <w:color w:val="auto"/>
                      <w:sz w:val="21"/>
                      <w:szCs w:val="21"/>
                      <w:highlight w:val="none"/>
                      <w:lang w:val="en-US" w:eastAsia="zh-CN"/>
                    </w:rPr>
                    <w:t>氨</w:t>
                  </w:r>
                </w:p>
              </w:tc>
              <w:tc>
                <w:tcPr>
                  <w:tcW w:w="1048" w:type="pct"/>
                  <w:tcBorders>
                    <w:tl2br w:val="nil"/>
                    <w:tr2bl w:val="nil"/>
                  </w:tcBorders>
                  <w:shd w:val="clear" w:color="auto" w:fill="auto"/>
                  <w:noWrap w:val="0"/>
                  <w:vAlign w:val="center"/>
                </w:tcPr>
                <w:p w14:paraId="02A83FC2">
                  <w:pPr>
                    <w:keepNext w:val="0"/>
                    <w:keepLines w:val="0"/>
                    <w:widowControl/>
                    <w:suppressLineNumbers w:val="0"/>
                    <w:spacing w:before="0" w:beforeAutospacing="0" w:after="0" w:afterAutospacing="0"/>
                    <w:ind w:left="0" w:leftChars="0" w:right="0" w:rightChars="0"/>
                    <w:jc w:val="center"/>
                    <w:textAlignment w:val="center"/>
                    <w:rPr>
                      <w:rFonts w:hint="default" w:ascii="Times New Roman" w:hAnsi="Times New Roman" w:eastAsia="宋体" w:cs="Times New Roman"/>
                      <w:bCs/>
                      <w:kern w:val="0"/>
                      <w:sz w:val="21"/>
                      <w:szCs w:val="21"/>
                      <w:highlight w:val="none"/>
                      <w:lang w:val="en-US" w:eastAsia="zh-CN" w:bidi="ar-SA"/>
                    </w:rPr>
                  </w:pPr>
                  <w:r>
                    <w:rPr>
                      <w:rFonts w:hint="eastAsia" w:ascii="Times New Roman" w:hAnsi="Times New Roman" w:eastAsia="宋体" w:cs="Times New Roman"/>
                      <w:i w:val="0"/>
                      <w:iCs w:val="0"/>
                      <w:color w:val="000000"/>
                      <w:kern w:val="0"/>
                      <w:sz w:val="21"/>
                      <w:szCs w:val="21"/>
                      <w:highlight w:val="none"/>
                      <w:u w:val="none"/>
                      <w:lang w:val="en-US" w:eastAsia="zh-CN" w:bidi="ar"/>
                    </w:rPr>
                    <w:t>~</w:t>
                  </w:r>
                  <w:r>
                    <w:rPr>
                      <w:rFonts w:hint="default" w:ascii="Times New Roman" w:hAnsi="Times New Roman" w:eastAsia="宋体" w:cs="Times New Roman"/>
                      <w:i w:val="0"/>
                      <w:iCs w:val="0"/>
                      <w:color w:val="000000"/>
                      <w:kern w:val="0"/>
                      <w:sz w:val="21"/>
                      <w:szCs w:val="21"/>
                      <w:highlight w:val="none"/>
                      <w:u w:val="none"/>
                      <w:lang w:val="en-US" w:eastAsia="zh-CN" w:bidi="ar"/>
                    </w:rPr>
                    <w:t>0</w:t>
                  </w:r>
                </w:p>
              </w:tc>
              <w:tc>
                <w:tcPr>
                  <w:tcW w:w="1152" w:type="pct"/>
                  <w:tcBorders>
                    <w:tl2br w:val="nil"/>
                    <w:tr2bl w:val="nil"/>
                  </w:tcBorders>
                  <w:shd w:val="clear" w:color="auto" w:fill="auto"/>
                  <w:noWrap w:val="0"/>
                  <w:vAlign w:val="center"/>
                </w:tcPr>
                <w:p w14:paraId="50D52595">
                  <w:pPr>
                    <w:keepNext w:val="0"/>
                    <w:keepLines w:val="0"/>
                    <w:widowControl/>
                    <w:suppressLineNumbers w:val="0"/>
                    <w:spacing w:before="0" w:beforeAutospacing="0" w:after="0" w:afterAutospacing="0"/>
                    <w:ind w:left="0" w:leftChars="0" w:right="0" w:rightChars="0"/>
                    <w:jc w:val="center"/>
                    <w:textAlignment w:val="center"/>
                    <w:rPr>
                      <w:rFonts w:hint="default" w:ascii="Times New Roman" w:hAnsi="Times New Roman" w:eastAsia="宋体" w:cs="Times New Roman"/>
                      <w:bCs/>
                      <w:kern w:val="0"/>
                      <w:sz w:val="21"/>
                      <w:szCs w:val="21"/>
                      <w:highlight w:val="none"/>
                      <w:lang w:val="en-US" w:eastAsia="zh-CN" w:bidi="ar-SA"/>
                    </w:rPr>
                  </w:pPr>
                  <w:r>
                    <w:rPr>
                      <w:rFonts w:hint="eastAsia" w:ascii="Times New Roman" w:hAnsi="Times New Roman" w:eastAsia="宋体" w:cs="Times New Roman"/>
                      <w:i w:val="0"/>
                      <w:iCs w:val="0"/>
                      <w:color w:val="000000"/>
                      <w:kern w:val="0"/>
                      <w:sz w:val="21"/>
                      <w:szCs w:val="21"/>
                      <w:highlight w:val="none"/>
                      <w:u w:val="none"/>
                      <w:lang w:val="en-US" w:eastAsia="zh-CN" w:bidi="ar"/>
                    </w:rPr>
                    <w:t>~</w:t>
                  </w:r>
                  <w:r>
                    <w:rPr>
                      <w:rFonts w:hint="default" w:ascii="Times New Roman" w:hAnsi="Times New Roman" w:eastAsia="宋体" w:cs="Times New Roman"/>
                      <w:i w:val="0"/>
                      <w:iCs w:val="0"/>
                      <w:color w:val="000000"/>
                      <w:kern w:val="0"/>
                      <w:sz w:val="21"/>
                      <w:szCs w:val="21"/>
                      <w:highlight w:val="none"/>
                      <w:u w:val="none"/>
                      <w:lang w:val="en-US" w:eastAsia="zh-CN" w:bidi="ar"/>
                    </w:rPr>
                    <w:t>0</w:t>
                  </w:r>
                </w:p>
              </w:tc>
              <w:tc>
                <w:tcPr>
                  <w:tcW w:w="1076" w:type="pct"/>
                  <w:tcBorders>
                    <w:tl2br w:val="nil"/>
                    <w:tr2bl w:val="nil"/>
                  </w:tcBorders>
                  <w:shd w:val="clear" w:color="auto" w:fill="auto"/>
                  <w:noWrap w:val="0"/>
                  <w:vAlign w:val="center"/>
                </w:tcPr>
                <w:p w14:paraId="14758F39">
                  <w:pPr>
                    <w:keepNext w:val="0"/>
                    <w:keepLines w:val="0"/>
                    <w:widowControl/>
                    <w:suppressLineNumbers w:val="0"/>
                    <w:spacing w:before="0" w:beforeAutospacing="0" w:after="0" w:afterAutospacing="0"/>
                    <w:ind w:left="0" w:leftChars="0" w:right="0" w:rightChars="0"/>
                    <w:jc w:val="center"/>
                    <w:textAlignment w:val="center"/>
                    <w:rPr>
                      <w:rFonts w:hint="default" w:ascii="Times New Roman" w:hAnsi="Times New Roman" w:eastAsia="宋体" w:cs="Times New Roman"/>
                      <w:i w:val="0"/>
                      <w:iCs w:val="0"/>
                      <w:color w:val="000000"/>
                      <w:kern w:val="0"/>
                      <w:sz w:val="21"/>
                      <w:szCs w:val="21"/>
                      <w:highlight w:val="none"/>
                      <w:u w:val="none"/>
                      <w:lang w:val="en-US" w:eastAsia="zh-CN" w:bidi="ar"/>
                    </w:rPr>
                  </w:pPr>
                  <w:r>
                    <w:rPr>
                      <w:rFonts w:hint="default" w:ascii="Times New Roman" w:hAnsi="Times New Roman" w:eastAsia="宋体" w:cs="Times New Roman"/>
                      <w:i w:val="0"/>
                      <w:iCs w:val="0"/>
                      <w:color w:val="000000"/>
                      <w:kern w:val="0"/>
                      <w:sz w:val="21"/>
                      <w:szCs w:val="21"/>
                      <w:highlight w:val="none"/>
                      <w:u w:val="none"/>
                      <w:lang w:val="en-US" w:eastAsia="zh-CN" w:bidi="ar"/>
                    </w:rPr>
                    <w:t>0.001</w:t>
                  </w:r>
                </w:p>
              </w:tc>
            </w:tr>
            <w:tr w14:paraId="79BF4651">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28" w:type="dxa"/>
                  <w:bottom w:w="0" w:type="dxa"/>
                  <w:right w:w="28" w:type="dxa"/>
                </w:tblCellMar>
              </w:tblPrEx>
              <w:trPr>
                <w:trHeight w:val="0" w:hRule="atLeast"/>
              </w:trPr>
              <w:tc>
                <w:tcPr>
                  <w:tcW w:w="311" w:type="pct"/>
                  <w:tcBorders>
                    <w:tl2br w:val="nil"/>
                    <w:tr2bl w:val="nil"/>
                  </w:tcBorders>
                  <w:shd w:val="clear" w:color="auto" w:fill="auto"/>
                  <w:noWrap w:val="0"/>
                  <w:vAlign w:val="center"/>
                </w:tcPr>
                <w:p w14:paraId="15CB6FAC">
                  <w:pPr>
                    <w:pStyle w:val="27"/>
                    <w:keepNext w:val="0"/>
                    <w:keepLines w:val="0"/>
                    <w:widowControl w:val="0"/>
                    <w:suppressLineNumbers w:val="0"/>
                    <w:spacing w:before="0" w:beforeAutospacing="0" w:after="0" w:afterAutospacing="0" w:line="240" w:lineRule="auto"/>
                    <w:ind w:left="0" w:leftChars="0" w:right="0" w:rightChars="0" w:firstLine="0" w:firstLineChars="0"/>
                    <w:jc w:val="center"/>
                    <w:rPr>
                      <w:rFonts w:hint="default" w:ascii="Times New Roman" w:hAnsi="Times New Roman" w:eastAsia="宋体" w:cs="Times New Roman"/>
                      <w:color w:val="auto"/>
                      <w:kern w:val="0"/>
                      <w:sz w:val="21"/>
                      <w:szCs w:val="21"/>
                      <w:highlight w:val="none"/>
                      <w:lang w:val="en-US" w:eastAsia="zh-CN" w:bidi="ar-SA"/>
                    </w:rPr>
                  </w:pPr>
                  <w:r>
                    <w:rPr>
                      <w:rFonts w:hint="eastAsia" w:ascii="Times New Roman" w:hAnsi="Times New Roman" w:eastAsia="宋体" w:cs="Times New Roman"/>
                      <w:color w:val="auto"/>
                      <w:sz w:val="21"/>
                      <w:szCs w:val="21"/>
                      <w:highlight w:val="none"/>
                      <w:lang w:val="en-US" w:eastAsia="zh-CN"/>
                    </w:rPr>
                    <w:t>14</w:t>
                  </w:r>
                </w:p>
              </w:tc>
              <w:tc>
                <w:tcPr>
                  <w:tcW w:w="625" w:type="pct"/>
                  <w:vMerge w:val="continue"/>
                  <w:tcBorders>
                    <w:tl2br w:val="nil"/>
                    <w:tr2bl w:val="nil"/>
                  </w:tcBorders>
                  <w:noWrap w:val="0"/>
                  <w:vAlign w:val="center"/>
                </w:tcPr>
                <w:p w14:paraId="717951AF">
                  <w:pPr>
                    <w:pStyle w:val="27"/>
                    <w:keepNext w:val="0"/>
                    <w:keepLines w:val="0"/>
                    <w:widowControl w:val="0"/>
                    <w:suppressLineNumbers w:val="0"/>
                    <w:spacing w:before="0" w:beforeAutospacing="0" w:after="0" w:afterAutospacing="0" w:line="240" w:lineRule="auto"/>
                    <w:ind w:left="0" w:leftChars="0" w:right="0" w:rightChars="0" w:firstLine="0" w:firstLineChars="0"/>
                    <w:jc w:val="center"/>
                    <w:rPr>
                      <w:rFonts w:hint="default" w:ascii="Times New Roman" w:hAnsi="Times New Roman" w:eastAsia="宋体" w:cs="Times New Roman"/>
                      <w:color w:val="auto"/>
                      <w:sz w:val="21"/>
                      <w:szCs w:val="21"/>
                      <w:highlight w:val="none"/>
                      <w:lang w:val="en-US" w:eastAsia="zh-CN"/>
                    </w:rPr>
                  </w:pPr>
                </w:p>
              </w:tc>
              <w:tc>
                <w:tcPr>
                  <w:tcW w:w="785" w:type="pct"/>
                  <w:tcBorders>
                    <w:tl2br w:val="nil"/>
                    <w:tr2bl w:val="nil"/>
                  </w:tcBorders>
                  <w:shd w:val="clear" w:color="auto" w:fill="auto"/>
                  <w:noWrap w:val="0"/>
                  <w:vAlign w:val="center"/>
                </w:tcPr>
                <w:p w14:paraId="34EB9AA9">
                  <w:pPr>
                    <w:pStyle w:val="27"/>
                    <w:keepNext w:val="0"/>
                    <w:keepLines w:val="0"/>
                    <w:widowControl w:val="0"/>
                    <w:suppressLineNumbers w:val="0"/>
                    <w:spacing w:before="0" w:beforeAutospacing="0" w:after="0" w:afterAutospacing="0" w:line="240" w:lineRule="auto"/>
                    <w:ind w:left="0" w:leftChars="0" w:right="0" w:rightChars="0" w:firstLine="0" w:firstLineChars="0"/>
                    <w:jc w:val="center"/>
                    <w:rPr>
                      <w:rFonts w:hint="default" w:ascii="Times New Roman" w:hAnsi="Times New Roman" w:eastAsia="宋体" w:cs="Times New Roman"/>
                      <w:color w:val="auto"/>
                      <w:kern w:val="0"/>
                      <w:sz w:val="21"/>
                      <w:szCs w:val="21"/>
                      <w:highlight w:val="none"/>
                      <w:lang w:val="en-US" w:eastAsia="zh-CN" w:bidi="ar-SA"/>
                    </w:rPr>
                  </w:pPr>
                  <w:r>
                    <w:rPr>
                      <w:rFonts w:hint="eastAsia" w:ascii="Times New Roman" w:hAnsi="Times New Roman" w:eastAsia="宋体" w:cs="Times New Roman"/>
                      <w:color w:val="auto"/>
                      <w:sz w:val="21"/>
                      <w:szCs w:val="21"/>
                      <w:highlight w:val="none"/>
                      <w:lang w:val="en-US" w:eastAsia="zh-CN"/>
                    </w:rPr>
                    <w:t>硫化氢</w:t>
                  </w:r>
                </w:p>
              </w:tc>
              <w:tc>
                <w:tcPr>
                  <w:tcW w:w="1048" w:type="pct"/>
                  <w:tcBorders>
                    <w:tl2br w:val="nil"/>
                    <w:tr2bl w:val="nil"/>
                  </w:tcBorders>
                  <w:shd w:val="clear" w:color="auto" w:fill="auto"/>
                  <w:noWrap w:val="0"/>
                  <w:vAlign w:val="center"/>
                </w:tcPr>
                <w:p w14:paraId="22B865A5">
                  <w:pPr>
                    <w:keepNext w:val="0"/>
                    <w:keepLines w:val="0"/>
                    <w:widowControl/>
                    <w:suppressLineNumbers w:val="0"/>
                    <w:spacing w:before="0" w:beforeAutospacing="0" w:after="0" w:afterAutospacing="0"/>
                    <w:ind w:left="0" w:leftChars="0" w:right="0" w:rightChars="0"/>
                    <w:jc w:val="center"/>
                    <w:textAlignment w:val="center"/>
                    <w:rPr>
                      <w:rFonts w:hint="default" w:ascii="Times New Roman" w:hAnsi="Times New Roman" w:eastAsia="宋体" w:cs="Times New Roman"/>
                      <w:bCs/>
                      <w:kern w:val="0"/>
                      <w:sz w:val="21"/>
                      <w:szCs w:val="21"/>
                      <w:highlight w:val="none"/>
                      <w:lang w:val="en-US" w:eastAsia="zh-CN" w:bidi="ar-SA"/>
                    </w:rPr>
                  </w:pPr>
                  <w:r>
                    <w:rPr>
                      <w:rFonts w:hint="eastAsia" w:ascii="Times New Roman" w:hAnsi="Times New Roman" w:eastAsia="宋体" w:cs="Times New Roman"/>
                      <w:i w:val="0"/>
                      <w:iCs w:val="0"/>
                      <w:color w:val="000000"/>
                      <w:kern w:val="0"/>
                      <w:sz w:val="21"/>
                      <w:szCs w:val="21"/>
                      <w:highlight w:val="none"/>
                      <w:u w:val="none"/>
                      <w:lang w:val="en-US" w:eastAsia="zh-CN" w:bidi="ar"/>
                    </w:rPr>
                    <w:t>~</w:t>
                  </w:r>
                  <w:r>
                    <w:rPr>
                      <w:rFonts w:hint="default" w:ascii="Times New Roman" w:hAnsi="Times New Roman" w:eastAsia="宋体" w:cs="Times New Roman"/>
                      <w:i w:val="0"/>
                      <w:iCs w:val="0"/>
                      <w:color w:val="000000"/>
                      <w:kern w:val="0"/>
                      <w:sz w:val="21"/>
                      <w:szCs w:val="21"/>
                      <w:highlight w:val="none"/>
                      <w:u w:val="none"/>
                      <w:lang w:val="en-US" w:eastAsia="zh-CN" w:bidi="ar"/>
                    </w:rPr>
                    <w:t>0</w:t>
                  </w:r>
                </w:p>
              </w:tc>
              <w:tc>
                <w:tcPr>
                  <w:tcW w:w="1152" w:type="pct"/>
                  <w:tcBorders>
                    <w:tl2br w:val="nil"/>
                    <w:tr2bl w:val="nil"/>
                  </w:tcBorders>
                  <w:shd w:val="clear" w:color="auto" w:fill="auto"/>
                  <w:noWrap w:val="0"/>
                  <w:vAlign w:val="center"/>
                </w:tcPr>
                <w:p w14:paraId="369ABE19">
                  <w:pPr>
                    <w:keepNext w:val="0"/>
                    <w:keepLines w:val="0"/>
                    <w:widowControl/>
                    <w:suppressLineNumbers w:val="0"/>
                    <w:spacing w:before="0" w:beforeAutospacing="0" w:after="0" w:afterAutospacing="0"/>
                    <w:ind w:left="0" w:leftChars="0" w:right="0" w:rightChars="0"/>
                    <w:jc w:val="center"/>
                    <w:textAlignment w:val="center"/>
                    <w:rPr>
                      <w:rFonts w:hint="default" w:ascii="Times New Roman" w:hAnsi="Times New Roman" w:eastAsia="宋体" w:cs="Times New Roman"/>
                      <w:bCs/>
                      <w:kern w:val="0"/>
                      <w:sz w:val="21"/>
                      <w:szCs w:val="21"/>
                      <w:highlight w:val="none"/>
                      <w:lang w:val="en-US" w:eastAsia="zh-CN" w:bidi="ar-SA"/>
                    </w:rPr>
                  </w:pPr>
                  <w:r>
                    <w:rPr>
                      <w:rFonts w:hint="eastAsia" w:ascii="Times New Roman" w:hAnsi="Times New Roman" w:eastAsia="宋体" w:cs="Times New Roman"/>
                      <w:i w:val="0"/>
                      <w:iCs w:val="0"/>
                      <w:color w:val="000000"/>
                      <w:kern w:val="0"/>
                      <w:sz w:val="21"/>
                      <w:szCs w:val="21"/>
                      <w:highlight w:val="none"/>
                      <w:u w:val="none"/>
                      <w:lang w:val="en-US" w:eastAsia="zh-CN" w:bidi="ar"/>
                    </w:rPr>
                    <w:t>~</w:t>
                  </w:r>
                  <w:r>
                    <w:rPr>
                      <w:rFonts w:hint="default" w:ascii="Times New Roman" w:hAnsi="Times New Roman" w:eastAsia="宋体" w:cs="Times New Roman"/>
                      <w:i w:val="0"/>
                      <w:iCs w:val="0"/>
                      <w:color w:val="000000"/>
                      <w:kern w:val="0"/>
                      <w:sz w:val="21"/>
                      <w:szCs w:val="21"/>
                      <w:highlight w:val="none"/>
                      <w:u w:val="none"/>
                      <w:lang w:val="en-US" w:eastAsia="zh-CN" w:bidi="ar"/>
                    </w:rPr>
                    <w:t>0</w:t>
                  </w:r>
                </w:p>
              </w:tc>
              <w:tc>
                <w:tcPr>
                  <w:tcW w:w="1076" w:type="pct"/>
                  <w:tcBorders>
                    <w:tl2br w:val="nil"/>
                    <w:tr2bl w:val="nil"/>
                  </w:tcBorders>
                  <w:shd w:val="clear" w:color="auto" w:fill="auto"/>
                  <w:noWrap w:val="0"/>
                  <w:vAlign w:val="center"/>
                </w:tcPr>
                <w:p w14:paraId="758455F6">
                  <w:pPr>
                    <w:keepNext w:val="0"/>
                    <w:keepLines w:val="0"/>
                    <w:widowControl/>
                    <w:suppressLineNumbers w:val="0"/>
                    <w:spacing w:before="0" w:beforeAutospacing="0" w:after="0" w:afterAutospacing="0"/>
                    <w:ind w:left="0" w:leftChars="0" w:right="0" w:rightChars="0"/>
                    <w:jc w:val="center"/>
                    <w:textAlignment w:val="center"/>
                    <w:rPr>
                      <w:rFonts w:hint="default" w:ascii="Times New Roman" w:hAnsi="Times New Roman" w:eastAsia="宋体" w:cs="Times New Roman"/>
                      <w:bCs/>
                      <w:kern w:val="0"/>
                      <w:sz w:val="21"/>
                      <w:szCs w:val="21"/>
                      <w:highlight w:val="none"/>
                      <w:lang w:val="en-US" w:eastAsia="zh-CN" w:bidi="ar-SA"/>
                    </w:rPr>
                  </w:pPr>
                  <w:r>
                    <w:rPr>
                      <w:rFonts w:hint="default" w:ascii="Times New Roman" w:hAnsi="Times New Roman" w:eastAsia="宋体" w:cs="Times New Roman"/>
                      <w:i w:val="0"/>
                      <w:iCs w:val="0"/>
                      <w:color w:val="000000"/>
                      <w:kern w:val="0"/>
                      <w:sz w:val="21"/>
                      <w:szCs w:val="21"/>
                      <w:highlight w:val="none"/>
                      <w:u w:val="none"/>
                      <w:lang w:val="en-US" w:eastAsia="zh-CN" w:bidi="ar"/>
                    </w:rPr>
                    <w:t>0.001</w:t>
                  </w:r>
                </w:p>
              </w:tc>
            </w:tr>
            <w:tr w14:paraId="0AA7B449">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28" w:type="dxa"/>
                  <w:bottom w:w="0" w:type="dxa"/>
                  <w:right w:w="28" w:type="dxa"/>
                </w:tblCellMar>
              </w:tblPrEx>
              <w:trPr>
                <w:trHeight w:val="0" w:hRule="atLeast"/>
              </w:trPr>
              <w:tc>
                <w:tcPr>
                  <w:tcW w:w="311" w:type="pct"/>
                  <w:tcBorders>
                    <w:tl2br w:val="nil"/>
                    <w:tr2bl w:val="nil"/>
                  </w:tcBorders>
                  <w:shd w:val="clear" w:color="auto" w:fill="auto"/>
                  <w:noWrap w:val="0"/>
                  <w:vAlign w:val="center"/>
                </w:tcPr>
                <w:p w14:paraId="2F7EF58A">
                  <w:pPr>
                    <w:pStyle w:val="27"/>
                    <w:keepNext w:val="0"/>
                    <w:keepLines w:val="0"/>
                    <w:widowControl w:val="0"/>
                    <w:suppressLineNumbers w:val="0"/>
                    <w:spacing w:before="0" w:beforeAutospacing="0" w:after="0" w:afterAutospacing="0" w:line="240" w:lineRule="auto"/>
                    <w:ind w:left="0" w:leftChars="0" w:right="0" w:rightChars="0" w:firstLine="0" w:firstLineChars="0"/>
                    <w:jc w:val="center"/>
                    <w:rPr>
                      <w:rFonts w:hint="eastAsia" w:ascii="Times New Roman" w:hAnsi="Times New Roman" w:eastAsia="宋体" w:cs="Times New Roman"/>
                      <w:color w:val="auto"/>
                      <w:kern w:val="0"/>
                      <w:sz w:val="21"/>
                      <w:szCs w:val="21"/>
                      <w:highlight w:val="none"/>
                      <w:lang w:val="en-US" w:eastAsia="zh-CN" w:bidi="ar-SA"/>
                    </w:rPr>
                  </w:pPr>
                  <w:r>
                    <w:rPr>
                      <w:rFonts w:hint="eastAsia" w:ascii="Times New Roman" w:hAnsi="Times New Roman" w:eastAsia="宋体" w:cs="Times New Roman"/>
                      <w:color w:val="auto"/>
                      <w:sz w:val="21"/>
                      <w:szCs w:val="21"/>
                      <w:highlight w:val="none"/>
                      <w:lang w:val="en-US" w:eastAsia="zh-CN"/>
                    </w:rPr>
                    <w:t>15</w:t>
                  </w:r>
                </w:p>
              </w:tc>
              <w:tc>
                <w:tcPr>
                  <w:tcW w:w="625" w:type="pct"/>
                  <w:vMerge w:val="continue"/>
                  <w:tcBorders>
                    <w:tl2br w:val="nil"/>
                    <w:tr2bl w:val="nil"/>
                  </w:tcBorders>
                  <w:noWrap w:val="0"/>
                  <w:vAlign w:val="center"/>
                </w:tcPr>
                <w:p w14:paraId="7A274D8D">
                  <w:pPr>
                    <w:pStyle w:val="27"/>
                    <w:keepNext w:val="0"/>
                    <w:keepLines w:val="0"/>
                    <w:widowControl w:val="0"/>
                    <w:suppressLineNumbers w:val="0"/>
                    <w:spacing w:before="0" w:beforeAutospacing="0" w:after="0" w:afterAutospacing="0" w:line="240" w:lineRule="auto"/>
                    <w:ind w:left="0" w:leftChars="0" w:right="0" w:rightChars="0" w:firstLine="0" w:firstLineChars="0"/>
                    <w:jc w:val="center"/>
                    <w:rPr>
                      <w:rFonts w:hint="default" w:ascii="Times New Roman" w:hAnsi="Times New Roman" w:eastAsia="宋体" w:cs="Times New Roman"/>
                      <w:color w:val="auto"/>
                      <w:sz w:val="21"/>
                      <w:szCs w:val="21"/>
                      <w:highlight w:val="none"/>
                      <w:lang w:val="en-US" w:eastAsia="zh-CN"/>
                    </w:rPr>
                  </w:pPr>
                </w:p>
              </w:tc>
              <w:tc>
                <w:tcPr>
                  <w:tcW w:w="785" w:type="pct"/>
                  <w:tcBorders>
                    <w:tl2br w:val="nil"/>
                    <w:tr2bl w:val="nil"/>
                  </w:tcBorders>
                  <w:shd w:val="clear" w:color="auto" w:fill="auto"/>
                  <w:noWrap w:val="0"/>
                  <w:vAlign w:val="center"/>
                </w:tcPr>
                <w:p w14:paraId="1640CC45">
                  <w:pPr>
                    <w:pStyle w:val="27"/>
                    <w:keepNext w:val="0"/>
                    <w:keepLines w:val="0"/>
                    <w:widowControl w:val="0"/>
                    <w:suppressLineNumbers w:val="0"/>
                    <w:spacing w:before="0" w:beforeAutospacing="0" w:after="0" w:afterAutospacing="0" w:line="240" w:lineRule="auto"/>
                    <w:ind w:left="0" w:leftChars="0" w:right="0" w:rightChars="0" w:firstLine="0" w:firstLineChars="0"/>
                    <w:jc w:val="center"/>
                    <w:rPr>
                      <w:rFonts w:hint="eastAsia" w:ascii="Times New Roman" w:hAnsi="Times New Roman" w:eastAsia="宋体" w:cs="Times New Roman"/>
                      <w:color w:val="auto"/>
                      <w:sz w:val="21"/>
                      <w:szCs w:val="21"/>
                      <w:highlight w:val="none"/>
                      <w:lang w:val="en-US" w:eastAsia="zh-CN"/>
                    </w:rPr>
                  </w:pPr>
                  <w:r>
                    <w:rPr>
                      <w:rFonts w:hint="eastAsia" w:ascii="Times New Roman" w:hAnsi="Times New Roman" w:cs="Times New Roman"/>
                      <w:color w:val="auto"/>
                      <w:sz w:val="21"/>
                      <w:szCs w:val="21"/>
                      <w:highlight w:val="none"/>
                      <w:lang w:val="en-US" w:eastAsia="zh-CN"/>
                    </w:rPr>
                    <w:t>颗粒物</w:t>
                  </w:r>
                </w:p>
              </w:tc>
              <w:tc>
                <w:tcPr>
                  <w:tcW w:w="3277" w:type="pct"/>
                  <w:gridSpan w:val="3"/>
                  <w:tcBorders>
                    <w:tl2br w:val="nil"/>
                    <w:tr2bl w:val="nil"/>
                  </w:tcBorders>
                  <w:shd w:val="clear" w:color="auto" w:fill="auto"/>
                  <w:noWrap w:val="0"/>
                  <w:vAlign w:val="center"/>
                </w:tcPr>
                <w:p w14:paraId="5DA28400">
                  <w:pPr>
                    <w:keepNext w:val="0"/>
                    <w:keepLines w:val="0"/>
                    <w:widowControl/>
                    <w:suppressLineNumbers w:val="0"/>
                    <w:spacing w:before="0" w:beforeAutospacing="0" w:after="0" w:afterAutospacing="0"/>
                    <w:ind w:left="0" w:leftChars="0" w:right="0" w:rightChars="0"/>
                    <w:jc w:val="center"/>
                    <w:textAlignment w:val="center"/>
                    <w:rPr>
                      <w:rFonts w:hint="default" w:ascii="Times New Roman" w:hAnsi="Times New Roman" w:eastAsia="宋体" w:cs="Times New Roman"/>
                      <w:i w:val="0"/>
                      <w:iCs w:val="0"/>
                      <w:color w:val="000000"/>
                      <w:kern w:val="0"/>
                      <w:sz w:val="21"/>
                      <w:szCs w:val="21"/>
                      <w:highlight w:val="none"/>
                      <w:u w:val="none"/>
                      <w:lang w:val="en-US" w:eastAsia="zh-CN" w:bidi="ar"/>
                    </w:rPr>
                  </w:pPr>
                  <w:r>
                    <w:rPr>
                      <w:rFonts w:hint="eastAsia" w:cs="Times New Roman"/>
                      <w:bCs/>
                      <w:kern w:val="0"/>
                      <w:sz w:val="21"/>
                      <w:szCs w:val="21"/>
                      <w:highlight w:val="none"/>
                      <w:lang w:val="en-US" w:eastAsia="zh-CN"/>
                    </w:rPr>
                    <w:t>少量</w:t>
                  </w:r>
                </w:p>
              </w:tc>
            </w:tr>
            <w:tr w14:paraId="4C392D0D">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28" w:type="dxa"/>
                  <w:bottom w:w="0" w:type="dxa"/>
                  <w:right w:w="28" w:type="dxa"/>
                </w:tblCellMar>
              </w:tblPrEx>
              <w:trPr>
                <w:trHeight w:val="0" w:hRule="atLeast"/>
              </w:trPr>
              <w:tc>
                <w:tcPr>
                  <w:tcW w:w="311" w:type="pct"/>
                  <w:tcBorders>
                    <w:tl2br w:val="nil"/>
                    <w:tr2bl w:val="nil"/>
                  </w:tcBorders>
                  <w:shd w:val="clear" w:color="auto" w:fill="auto"/>
                  <w:noWrap w:val="0"/>
                  <w:vAlign w:val="center"/>
                </w:tcPr>
                <w:p w14:paraId="76A43F64">
                  <w:pPr>
                    <w:pStyle w:val="27"/>
                    <w:keepNext w:val="0"/>
                    <w:keepLines w:val="0"/>
                    <w:widowControl w:val="0"/>
                    <w:suppressLineNumbers w:val="0"/>
                    <w:spacing w:before="0" w:beforeAutospacing="0" w:after="0" w:afterAutospacing="0" w:line="240" w:lineRule="auto"/>
                    <w:ind w:left="0" w:leftChars="0" w:right="0" w:rightChars="0" w:firstLine="0" w:firstLineChars="0"/>
                    <w:jc w:val="center"/>
                    <w:rPr>
                      <w:rFonts w:hint="default" w:ascii="Times New Roman" w:hAnsi="Times New Roman" w:eastAsia="宋体" w:cs="Times New Roman"/>
                      <w:color w:val="auto"/>
                      <w:kern w:val="0"/>
                      <w:sz w:val="21"/>
                      <w:szCs w:val="21"/>
                      <w:highlight w:val="none"/>
                      <w:lang w:val="en-US" w:eastAsia="zh-CN" w:bidi="ar-SA"/>
                    </w:rPr>
                  </w:pPr>
                  <w:r>
                    <w:rPr>
                      <w:rFonts w:hint="eastAsia" w:ascii="Times New Roman" w:hAnsi="Times New Roman" w:eastAsia="宋体" w:cs="Times New Roman"/>
                      <w:color w:val="auto"/>
                      <w:sz w:val="21"/>
                      <w:szCs w:val="21"/>
                      <w:highlight w:val="none"/>
                      <w:lang w:val="en-US" w:eastAsia="zh-CN"/>
                    </w:rPr>
                    <w:t>16</w:t>
                  </w:r>
                </w:p>
              </w:tc>
              <w:tc>
                <w:tcPr>
                  <w:tcW w:w="625" w:type="pct"/>
                  <w:vMerge w:val="restart"/>
                  <w:tcBorders>
                    <w:tl2br w:val="nil"/>
                    <w:tr2bl w:val="nil"/>
                  </w:tcBorders>
                  <w:noWrap w:val="0"/>
                  <w:vAlign w:val="center"/>
                </w:tcPr>
                <w:p w14:paraId="45C481E3">
                  <w:pPr>
                    <w:pStyle w:val="27"/>
                    <w:keepNext w:val="0"/>
                    <w:keepLines w:val="0"/>
                    <w:widowControl w:val="0"/>
                    <w:suppressLineNumbers w:val="0"/>
                    <w:spacing w:before="0" w:beforeAutospacing="0" w:after="0" w:afterAutospacing="0" w:line="240" w:lineRule="auto"/>
                    <w:ind w:left="0" w:leftChars="0" w:right="0" w:rightChars="0" w:firstLine="0" w:firstLineChars="0"/>
                    <w:jc w:val="center"/>
                    <w:rPr>
                      <w:rFonts w:hint="default" w:ascii="Times New Roman" w:hAnsi="Times New Roman" w:eastAsia="宋体" w:cs="Times New Roman"/>
                      <w:color w:val="auto"/>
                      <w:sz w:val="21"/>
                      <w:szCs w:val="21"/>
                      <w:highlight w:val="none"/>
                      <w:lang w:val="en-US" w:eastAsia="zh-CN"/>
                    </w:rPr>
                  </w:pPr>
                  <w:r>
                    <w:rPr>
                      <w:rFonts w:hint="default" w:ascii="Times New Roman" w:hAnsi="Times New Roman" w:eastAsia="宋体" w:cs="Times New Roman"/>
                      <w:color w:val="auto"/>
                      <w:sz w:val="21"/>
                      <w:szCs w:val="21"/>
                      <w:highlight w:val="none"/>
                      <w:lang w:val="en-US" w:eastAsia="zh-CN"/>
                    </w:rPr>
                    <w:t>DA00</w:t>
                  </w:r>
                  <w:r>
                    <w:rPr>
                      <w:rFonts w:hint="eastAsia" w:ascii="Times New Roman" w:hAnsi="Times New Roman" w:eastAsia="宋体" w:cs="Times New Roman"/>
                      <w:color w:val="auto"/>
                      <w:sz w:val="21"/>
                      <w:szCs w:val="21"/>
                      <w:highlight w:val="none"/>
                      <w:lang w:val="en-US" w:eastAsia="zh-CN"/>
                    </w:rPr>
                    <w:t>6</w:t>
                  </w:r>
                </w:p>
              </w:tc>
              <w:tc>
                <w:tcPr>
                  <w:tcW w:w="785" w:type="pct"/>
                  <w:tcBorders>
                    <w:tl2br w:val="nil"/>
                    <w:tr2bl w:val="nil"/>
                  </w:tcBorders>
                  <w:shd w:val="clear" w:color="auto" w:fill="auto"/>
                  <w:noWrap w:val="0"/>
                  <w:vAlign w:val="center"/>
                </w:tcPr>
                <w:p w14:paraId="3ED6F918">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64" w:lineRule="auto"/>
                    <w:ind w:left="0" w:leftChars="0" w:right="0" w:rightChars="0"/>
                    <w:jc w:val="center"/>
                    <w:textAlignment w:val="auto"/>
                    <w:rPr>
                      <w:rFonts w:hint="default" w:ascii="Times New Roman" w:hAnsi="Times New Roman" w:eastAsia="宋体" w:cs="Times New Roman"/>
                      <w:bCs/>
                      <w:kern w:val="0"/>
                      <w:sz w:val="21"/>
                      <w:szCs w:val="21"/>
                      <w:highlight w:val="none"/>
                      <w:lang w:val="en-US" w:eastAsia="zh-CN" w:bidi="ar-SA"/>
                    </w:rPr>
                  </w:pPr>
                  <w:r>
                    <w:rPr>
                      <w:rFonts w:hint="eastAsia" w:ascii="Times New Roman" w:hAnsi="Times New Roman" w:eastAsia="宋体" w:cs="Times New Roman"/>
                      <w:bCs/>
                      <w:kern w:val="0"/>
                      <w:sz w:val="21"/>
                      <w:szCs w:val="21"/>
                      <w:highlight w:val="none"/>
                      <w:lang w:val="en-US" w:eastAsia="zh-CN"/>
                    </w:rPr>
                    <w:t>非甲烷总烃</w:t>
                  </w:r>
                </w:p>
              </w:tc>
              <w:tc>
                <w:tcPr>
                  <w:tcW w:w="1048" w:type="pct"/>
                  <w:tcBorders>
                    <w:tl2br w:val="nil"/>
                    <w:tr2bl w:val="nil"/>
                  </w:tcBorders>
                  <w:shd w:val="clear" w:color="auto" w:fill="auto"/>
                  <w:noWrap w:val="0"/>
                  <w:vAlign w:val="center"/>
                </w:tcPr>
                <w:p w14:paraId="3E5EF5C8">
                  <w:pPr>
                    <w:keepNext w:val="0"/>
                    <w:keepLines w:val="0"/>
                    <w:widowControl/>
                    <w:suppressLineNumbers w:val="0"/>
                    <w:spacing w:before="0" w:beforeAutospacing="0" w:after="0" w:afterAutospacing="0"/>
                    <w:ind w:left="0" w:leftChars="0" w:right="0" w:rightChars="0"/>
                    <w:jc w:val="center"/>
                    <w:textAlignment w:val="center"/>
                    <w:rPr>
                      <w:rFonts w:hint="default" w:ascii="Times New Roman" w:hAnsi="Times New Roman" w:eastAsia="宋体" w:cs="Times New Roman"/>
                      <w:i w:val="0"/>
                      <w:iCs w:val="0"/>
                      <w:color w:val="000000"/>
                      <w:kern w:val="0"/>
                      <w:sz w:val="21"/>
                      <w:szCs w:val="21"/>
                      <w:highlight w:val="none"/>
                      <w:u w:val="none"/>
                      <w:lang w:val="en-US" w:eastAsia="zh-CN" w:bidi="ar"/>
                    </w:rPr>
                  </w:pPr>
                  <w:r>
                    <w:rPr>
                      <w:rFonts w:hint="eastAsia" w:ascii="Times New Roman" w:hAnsi="Times New Roman" w:eastAsia="宋体" w:cs="Times New Roman"/>
                      <w:i w:val="0"/>
                      <w:iCs w:val="0"/>
                      <w:color w:val="000000"/>
                      <w:kern w:val="0"/>
                      <w:sz w:val="21"/>
                      <w:szCs w:val="21"/>
                      <w:highlight w:val="none"/>
                      <w:u w:val="none"/>
                      <w:lang w:val="en-US" w:eastAsia="zh-CN" w:bidi="ar"/>
                    </w:rPr>
                    <w:t>2.45</w:t>
                  </w:r>
                </w:p>
              </w:tc>
              <w:tc>
                <w:tcPr>
                  <w:tcW w:w="1152" w:type="pct"/>
                  <w:tcBorders>
                    <w:tl2br w:val="nil"/>
                    <w:tr2bl w:val="nil"/>
                  </w:tcBorders>
                  <w:shd w:val="clear" w:color="auto" w:fill="auto"/>
                  <w:noWrap w:val="0"/>
                  <w:vAlign w:val="center"/>
                </w:tcPr>
                <w:p w14:paraId="40BE9D01">
                  <w:pPr>
                    <w:keepNext w:val="0"/>
                    <w:keepLines w:val="0"/>
                    <w:widowControl/>
                    <w:suppressLineNumbers w:val="0"/>
                    <w:spacing w:before="0" w:beforeAutospacing="0" w:after="0" w:afterAutospacing="0"/>
                    <w:ind w:left="0" w:leftChars="0" w:right="0" w:rightChars="0"/>
                    <w:jc w:val="center"/>
                    <w:textAlignment w:val="center"/>
                    <w:rPr>
                      <w:rFonts w:hint="default" w:ascii="Times New Roman" w:hAnsi="Times New Roman" w:eastAsia="宋体" w:cs="Times New Roman"/>
                      <w:i w:val="0"/>
                      <w:iCs w:val="0"/>
                      <w:color w:val="000000"/>
                      <w:kern w:val="0"/>
                      <w:sz w:val="21"/>
                      <w:szCs w:val="21"/>
                      <w:highlight w:val="none"/>
                      <w:u w:val="none"/>
                      <w:lang w:val="en-US" w:eastAsia="zh-CN" w:bidi="ar"/>
                    </w:rPr>
                  </w:pPr>
                  <w:r>
                    <w:rPr>
                      <w:rFonts w:hint="eastAsia" w:ascii="Times New Roman" w:hAnsi="Times New Roman" w:eastAsia="宋体" w:cs="Times New Roman"/>
                      <w:i w:val="0"/>
                      <w:iCs w:val="0"/>
                      <w:color w:val="000000"/>
                      <w:kern w:val="0"/>
                      <w:sz w:val="21"/>
                      <w:szCs w:val="21"/>
                      <w:highlight w:val="none"/>
                      <w:u w:val="none"/>
                      <w:lang w:val="en-US" w:eastAsia="zh-CN" w:bidi="ar"/>
                    </w:rPr>
                    <w:t>0.006</w:t>
                  </w:r>
                </w:p>
              </w:tc>
              <w:tc>
                <w:tcPr>
                  <w:tcW w:w="1076" w:type="pct"/>
                  <w:tcBorders>
                    <w:tl2br w:val="nil"/>
                    <w:tr2bl w:val="nil"/>
                  </w:tcBorders>
                  <w:shd w:val="clear" w:color="auto" w:fill="auto"/>
                  <w:noWrap w:val="0"/>
                  <w:vAlign w:val="center"/>
                </w:tcPr>
                <w:p w14:paraId="0A4B06AE">
                  <w:pPr>
                    <w:keepNext w:val="0"/>
                    <w:keepLines w:val="0"/>
                    <w:widowControl/>
                    <w:suppressLineNumbers w:val="0"/>
                    <w:spacing w:before="0" w:beforeAutospacing="0" w:after="0" w:afterAutospacing="0"/>
                    <w:ind w:left="0" w:leftChars="0" w:right="0" w:rightChars="0"/>
                    <w:jc w:val="center"/>
                    <w:textAlignment w:val="center"/>
                    <w:rPr>
                      <w:rFonts w:hint="default" w:ascii="Times New Roman" w:hAnsi="Times New Roman" w:eastAsia="宋体" w:cs="Times New Roman"/>
                      <w:i w:val="0"/>
                      <w:iCs w:val="0"/>
                      <w:color w:val="000000"/>
                      <w:kern w:val="0"/>
                      <w:sz w:val="21"/>
                      <w:szCs w:val="21"/>
                      <w:highlight w:val="none"/>
                      <w:u w:val="none"/>
                      <w:lang w:val="en-US" w:eastAsia="zh-CN" w:bidi="ar"/>
                    </w:rPr>
                  </w:pPr>
                  <w:r>
                    <w:rPr>
                      <w:rFonts w:hint="eastAsia" w:ascii="Times New Roman" w:hAnsi="Times New Roman" w:eastAsia="宋体" w:cs="Times New Roman"/>
                      <w:i w:val="0"/>
                      <w:iCs w:val="0"/>
                      <w:color w:val="000000"/>
                      <w:kern w:val="0"/>
                      <w:sz w:val="21"/>
                      <w:szCs w:val="21"/>
                      <w:highlight w:val="none"/>
                      <w:u w:val="none"/>
                      <w:lang w:val="en-US" w:eastAsia="zh-CN" w:bidi="ar"/>
                    </w:rPr>
                    <w:t>0.006</w:t>
                  </w:r>
                </w:p>
              </w:tc>
            </w:tr>
            <w:tr w14:paraId="1DAA225C">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28" w:type="dxa"/>
                  <w:bottom w:w="0" w:type="dxa"/>
                  <w:right w:w="28" w:type="dxa"/>
                </w:tblCellMar>
              </w:tblPrEx>
              <w:trPr>
                <w:trHeight w:val="0" w:hRule="atLeast"/>
              </w:trPr>
              <w:tc>
                <w:tcPr>
                  <w:tcW w:w="311" w:type="pct"/>
                  <w:tcBorders>
                    <w:tl2br w:val="nil"/>
                    <w:tr2bl w:val="nil"/>
                  </w:tcBorders>
                  <w:shd w:val="clear" w:color="auto" w:fill="auto"/>
                  <w:noWrap w:val="0"/>
                  <w:vAlign w:val="center"/>
                </w:tcPr>
                <w:p w14:paraId="2A4A5043">
                  <w:pPr>
                    <w:pStyle w:val="27"/>
                    <w:keepNext w:val="0"/>
                    <w:keepLines w:val="0"/>
                    <w:widowControl w:val="0"/>
                    <w:suppressLineNumbers w:val="0"/>
                    <w:spacing w:before="0" w:beforeAutospacing="0" w:after="0" w:afterAutospacing="0" w:line="240" w:lineRule="auto"/>
                    <w:ind w:left="0" w:leftChars="0" w:right="0" w:rightChars="0" w:firstLine="0" w:firstLineChars="0"/>
                    <w:jc w:val="center"/>
                    <w:rPr>
                      <w:rFonts w:hint="default" w:ascii="Times New Roman" w:hAnsi="Times New Roman" w:eastAsia="宋体" w:cs="Times New Roman"/>
                      <w:color w:val="auto"/>
                      <w:kern w:val="0"/>
                      <w:sz w:val="21"/>
                      <w:szCs w:val="21"/>
                      <w:highlight w:val="none"/>
                      <w:lang w:val="en-US" w:eastAsia="zh-CN" w:bidi="ar-SA"/>
                    </w:rPr>
                  </w:pPr>
                  <w:r>
                    <w:rPr>
                      <w:rFonts w:hint="eastAsia" w:ascii="Times New Roman" w:hAnsi="Times New Roman" w:eastAsia="宋体" w:cs="Times New Roman"/>
                      <w:color w:val="auto"/>
                      <w:sz w:val="21"/>
                      <w:szCs w:val="21"/>
                      <w:highlight w:val="none"/>
                      <w:lang w:val="en-US" w:eastAsia="zh-CN"/>
                    </w:rPr>
                    <w:t>17</w:t>
                  </w:r>
                </w:p>
              </w:tc>
              <w:tc>
                <w:tcPr>
                  <w:tcW w:w="625" w:type="pct"/>
                  <w:vMerge w:val="continue"/>
                  <w:tcBorders>
                    <w:tl2br w:val="nil"/>
                    <w:tr2bl w:val="nil"/>
                  </w:tcBorders>
                  <w:noWrap w:val="0"/>
                  <w:vAlign w:val="center"/>
                </w:tcPr>
                <w:p w14:paraId="2DC340B4">
                  <w:pPr>
                    <w:pStyle w:val="27"/>
                    <w:keepNext w:val="0"/>
                    <w:keepLines w:val="0"/>
                    <w:widowControl w:val="0"/>
                    <w:suppressLineNumbers w:val="0"/>
                    <w:spacing w:before="0" w:beforeAutospacing="0" w:after="0" w:afterAutospacing="0" w:line="240" w:lineRule="auto"/>
                    <w:ind w:left="0" w:leftChars="0" w:right="0" w:rightChars="0" w:firstLine="0" w:firstLineChars="0"/>
                    <w:jc w:val="center"/>
                    <w:rPr>
                      <w:rFonts w:hint="default" w:ascii="Times New Roman" w:hAnsi="Times New Roman" w:eastAsia="宋体" w:cs="Times New Roman"/>
                      <w:color w:val="auto"/>
                      <w:sz w:val="21"/>
                      <w:szCs w:val="21"/>
                      <w:highlight w:val="none"/>
                      <w:lang w:val="en-US" w:eastAsia="zh-CN"/>
                    </w:rPr>
                  </w:pPr>
                </w:p>
              </w:tc>
              <w:tc>
                <w:tcPr>
                  <w:tcW w:w="785" w:type="pct"/>
                  <w:tcBorders>
                    <w:tl2br w:val="nil"/>
                    <w:tr2bl w:val="nil"/>
                  </w:tcBorders>
                  <w:shd w:val="clear" w:color="auto" w:fill="auto"/>
                  <w:noWrap w:val="0"/>
                  <w:vAlign w:val="center"/>
                </w:tcPr>
                <w:p w14:paraId="03C2C29C">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64" w:lineRule="auto"/>
                    <w:ind w:left="0" w:leftChars="0" w:right="0" w:rightChars="0"/>
                    <w:jc w:val="center"/>
                    <w:textAlignment w:val="auto"/>
                    <w:rPr>
                      <w:rFonts w:hint="default" w:ascii="Times New Roman" w:hAnsi="Times New Roman" w:eastAsia="宋体" w:cs="Times New Roman"/>
                      <w:bCs/>
                      <w:kern w:val="0"/>
                      <w:sz w:val="21"/>
                      <w:szCs w:val="21"/>
                      <w:highlight w:val="none"/>
                      <w:lang w:val="en-US" w:eastAsia="zh-CN" w:bidi="ar-SA"/>
                    </w:rPr>
                  </w:pPr>
                  <w:r>
                    <w:rPr>
                      <w:rFonts w:hint="eastAsia" w:ascii="Times New Roman" w:hAnsi="Times New Roman" w:eastAsia="宋体" w:cs="Times New Roman"/>
                      <w:bCs/>
                      <w:kern w:val="0"/>
                      <w:sz w:val="21"/>
                      <w:szCs w:val="21"/>
                      <w:highlight w:val="none"/>
                      <w:lang w:val="en-US" w:eastAsia="zh-CN"/>
                    </w:rPr>
                    <w:t>氯气</w:t>
                  </w:r>
                </w:p>
              </w:tc>
              <w:tc>
                <w:tcPr>
                  <w:tcW w:w="3277" w:type="pct"/>
                  <w:gridSpan w:val="3"/>
                  <w:tcBorders>
                    <w:tl2br w:val="nil"/>
                    <w:tr2bl w:val="nil"/>
                  </w:tcBorders>
                  <w:shd w:val="clear" w:color="auto" w:fill="auto"/>
                  <w:noWrap w:val="0"/>
                  <w:vAlign w:val="center"/>
                </w:tcPr>
                <w:p w14:paraId="2A338495">
                  <w:pPr>
                    <w:pStyle w:val="27"/>
                    <w:keepNext w:val="0"/>
                    <w:keepLines w:val="0"/>
                    <w:widowControl w:val="0"/>
                    <w:suppressLineNumbers w:val="0"/>
                    <w:spacing w:before="0" w:beforeAutospacing="0" w:after="0" w:afterAutospacing="0" w:line="240" w:lineRule="auto"/>
                    <w:ind w:left="0" w:leftChars="0" w:right="0" w:rightChars="0" w:firstLine="0" w:firstLineChars="0"/>
                    <w:jc w:val="center"/>
                    <w:rPr>
                      <w:rFonts w:hint="default" w:ascii="Times New Roman" w:hAnsi="Times New Roman" w:eastAsia="宋体" w:cs="Times New Roman"/>
                      <w:color w:val="auto"/>
                      <w:sz w:val="21"/>
                      <w:szCs w:val="21"/>
                      <w:highlight w:val="none"/>
                      <w:lang w:val="en-US" w:eastAsia="zh-CN"/>
                    </w:rPr>
                  </w:pPr>
                  <w:r>
                    <w:rPr>
                      <w:rFonts w:hint="eastAsia" w:ascii="Times New Roman" w:hAnsi="Times New Roman" w:eastAsia="宋体" w:cs="Times New Roman"/>
                      <w:i w:val="0"/>
                      <w:iCs w:val="0"/>
                      <w:color w:val="000000"/>
                      <w:kern w:val="0"/>
                      <w:sz w:val="21"/>
                      <w:szCs w:val="21"/>
                      <w:highlight w:val="none"/>
                      <w:u w:val="none"/>
                      <w:lang w:val="en-US" w:eastAsia="zh-CN" w:bidi="ar"/>
                    </w:rPr>
                    <w:t>少量</w:t>
                  </w:r>
                </w:p>
              </w:tc>
            </w:tr>
            <w:tr w14:paraId="5B5074BE">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28" w:type="dxa"/>
                  <w:bottom w:w="0" w:type="dxa"/>
                  <w:right w:w="28" w:type="dxa"/>
                </w:tblCellMar>
              </w:tblPrEx>
              <w:trPr>
                <w:trHeight w:val="0" w:hRule="atLeast"/>
              </w:trPr>
              <w:tc>
                <w:tcPr>
                  <w:tcW w:w="311" w:type="pct"/>
                  <w:tcBorders>
                    <w:tl2br w:val="nil"/>
                    <w:tr2bl w:val="nil"/>
                  </w:tcBorders>
                  <w:shd w:val="clear" w:color="auto" w:fill="auto"/>
                  <w:noWrap w:val="0"/>
                  <w:vAlign w:val="center"/>
                </w:tcPr>
                <w:p w14:paraId="18EE7206">
                  <w:pPr>
                    <w:pStyle w:val="27"/>
                    <w:keepNext w:val="0"/>
                    <w:keepLines w:val="0"/>
                    <w:widowControl w:val="0"/>
                    <w:suppressLineNumbers w:val="0"/>
                    <w:spacing w:before="0" w:beforeAutospacing="0" w:after="0" w:afterAutospacing="0" w:line="240" w:lineRule="auto"/>
                    <w:ind w:left="0" w:leftChars="0" w:right="0" w:rightChars="0" w:firstLine="0" w:firstLineChars="0"/>
                    <w:jc w:val="center"/>
                    <w:rPr>
                      <w:rFonts w:hint="default" w:ascii="Times New Roman" w:hAnsi="Times New Roman" w:eastAsia="宋体" w:cs="Times New Roman"/>
                      <w:color w:val="auto"/>
                      <w:kern w:val="0"/>
                      <w:sz w:val="21"/>
                      <w:szCs w:val="21"/>
                      <w:highlight w:val="none"/>
                      <w:lang w:val="en-US" w:eastAsia="zh-CN" w:bidi="ar-SA"/>
                    </w:rPr>
                  </w:pPr>
                  <w:r>
                    <w:rPr>
                      <w:rFonts w:hint="eastAsia" w:ascii="Times New Roman" w:hAnsi="Times New Roman" w:eastAsia="宋体" w:cs="Times New Roman"/>
                      <w:color w:val="auto"/>
                      <w:sz w:val="21"/>
                      <w:szCs w:val="21"/>
                      <w:highlight w:val="none"/>
                      <w:lang w:val="en-US" w:eastAsia="zh-CN"/>
                    </w:rPr>
                    <w:t>18</w:t>
                  </w:r>
                </w:p>
              </w:tc>
              <w:tc>
                <w:tcPr>
                  <w:tcW w:w="625" w:type="pct"/>
                  <w:vMerge w:val="restart"/>
                  <w:tcBorders>
                    <w:tl2br w:val="nil"/>
                    <w:tr2bl w:val="nil"/>
                  </w:tcBorders>
                  <w:noWrap w:val="0"/>
                  <w:vAlign w:val="center"/>
                </w:tcPr>
                <w:p w14:paraId="617C3BF8">
                  <w:pPr>
                    <w:pStyle w:val="27"/>
                    <w:keepNext w:val="0"/>
                    <w:keepLines w:val="0"/>
                    <w:widowControl w:val="0"/>
                    <w:suppressLineNumbers w:val="0"/>
                    <w:tabs>
                      <w:tab w:val="left" w:pos="587"/>
                    </w:tabs>
                    <w:spacing w:before="0" w:beforeAutospacing="0" w:after="0" w:afterAutospacing="0" w:line="240" w:lineRule="auto"/>
                    <w:ind w:left="0" w:leftChars="0" w:right="0" w:rightChars="0" w:firstLine="0" w:firstLineChars="0"/>
                    <w:jc w:val="center"/>
                    <w:rPr>
                      <w:rFonts w:hint="default" w:ascii="Times New Roman" w:hAnsi="Times New Roman" w:eastAsia="宋体" w:cs="Times New Roman"/>
                      <w:color w:val="auto"/>
                      <w:sz w:val="21"/>
                      <w:szCs w:val="21"/>
                      <w:highlight w:val="none"/>
                      <w:lang w:val="en-US" w:eastAsia="zh-CN"/>
                    </w:rPr>
                  </w:pPr>
                  <w:r>
                    <w:rPr>
                      <w:rFonts w:hint="default" w:ascii="Times New Roman" w:hAnsi="Times New Roman" w:eastAsia="宋体" w:cs="Times New Roman"/>
                      <w:color w:val="auto"/>
                      <w:sz w:val="21"/>
                      <w:szCs w:val="21"/>
                      <w:highlight w:val="none"/>
                      <w:lang w:val="en-US" w:eastAsia="zh-CN"/>
                    </w:rPr>
                    <w:t>DA00</w:t>
                  </w:r>
                  <w:r>
                    <w:rPr>
                      <w:rFonts w:hint="eastAsia" w:ascii="Times New Roman" w:hAnsi="Times New Roman" w:eastAsia="宋体" w:cs="Times New Roman"/>
                      <w:color w:val="auto"/>
                      <w:sz w:val="21"/>
                      <w:szCs w:val="21"/>
                      <w:highlight w:val="none"/>
                      <w:lang w:val="en-US" w:eastAsia="zh-CN"/>
                    </w:rPr>
                    <w:t>7</w:t>
                  </w:r>
                </w:p>
              </w:tc>
              <w:tc>
                <w:tcPr>
                  <w:tcW w:w="785" w:type="pct"/>
                  <w:tcBorders>
                    <w:tl2br w:val="nil"/>
                    <w:tr2bl w:val="nil"/>
                  </w:tcBorders>
                  <w:shd w:val="clear" w:color="auto" w:fill="auto"/>
                  <w:noWrap w:val="0"/>
                  <w:vAlign w:val="center"/>
                </w:tcPr>
                <w:p w14:paraId="35DF1DA2">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64" w:lineRule="auto"/>
                    <w:ind w:left="0" w:leftChars="0" w:right="0" w:rightChars="0"/>
                    <w:jc w:val="center"/>
                    <w:textAlignment w:val="auto"/>
                    <w:rPr>
                      <w:rFonts w:hint="eastAsia" w:ascii="Times New Roman" w:hAnsi="Times New Roman" w:eastAsia="宋体" w:cs="Times New Roman"/>
                      <w:bCs/>
                      <w:kern w:val="0"/>
                      <w:sz w:val="21"/>
                      <w:szCs w:val="21"/>
                      <w:highlight w:val="none"/>
                      <w:lang w:val="en-US" w:eastAsia="zh-CN" w:bidi="ar-SA"/>
                    </w:rPr>
                  </w:pPr>
                  <w:r>
                    <w:rPr>
                      <w:rFonts w:hint="eastAsia" w:ascii="Times New Roman" w:hAnsi="Times New Roman" w:eastAsia="宋体" w:cs="Times New Roman"/>
                      <w:bCs/>
                      <w:kern w:val="0"/>
                      <w:sz w:val="21"/>
                      <w:szCs w:val="21"/>
                      <w:highlight w:val="none"/>
                      <w:lang w:val="en-US" w:eastAsia="zh-CN"/>
                    </w:rPr>
                    <w:t>非甲烷总烃</w:t>
                  </w:r>
                </w:p>
              </w:tc>
              <w:tc>
                <w:tcPr>
                  <w:tcW w:w="1048" w:type="pct"/>
                  <w:tcBorders>
                    <w:tl2br w:val="nil"/>
                    <w:tr2bl w:val="nil"/>
                  </w:tcBorders>
                  <w:shd w:val="clear" w:color="auto" w:fill="auto"/>
                  <w:noWrap w:val="0"/>
                  <w:vAlign w:val="center"/>
                </w:tcPr>
                <w:p w14:paraId="117370B5">
                  <w:pPr>
                    <w:keepNext w:val="0"/>
                    <w:keepLines w:val="0"/>
                    <w:widowControl/>
                    <w:suppressLineNumbers w:val="0"/>
                    <w:spacing w:before="0" w:beforeAutospacing="0" w:after="0" w:afterAutospacing="0"/>
                    <w:ind w:left="0" w:leftChars="0" w:right="0" w:rightChars="0"/>
                    <w:jc w:val="center"/>
                    <w:textAlignment w:val="center"/>
                    <w:rPr>
                      <w:rFonts w:hint="default" w:ascii="Times New Roman" w:hAnsi="Times New Roman" w:eastAsia="宋体" w:cs="Times New Roman"/>
                      <w:i w:val="0"/>
                      <w:iCs w:val="0"/>
                      <w:color w:val="000000"/>
                      <w:kern w:val="0"/>
                      <w:sz w:val="21"/>
                      <w:szCs w:val="21"/>
                      <w:highlight w:val="none"/>
                      <w:u w:val="none"/>
                      <w:lang w:val="en-US" w:eastAsia="zh-CN" w:bidi="ar"/>
                    </w:rPr>
                  </w:pPr>
                  <w:r>
                    <w:rPr>
                      <w:rFonts w:hint="eastAsia" w:ascii="Times New Roman" w:hAnsi="Times New Roman" w:eastAsia="宋体" w:cs="Times New Roman"/>
                      <w:i w:val="0"/>
                      <w:iCs w:val="0"/>
                      <w:color w:val="000000"/>
                      <w:kern w:val="0"/>
                      <w:sz w:val="21"/>
                      <w:szCs w:val="21"/>
                      <w:highlight w:val="none"/>
                      <w:u w:val="none"/>
                      <w:lang w:val="en-US" w:eastAsia="zh-CN" w:bidi="ar"/>
                    </w:rPr>
                    <w:t>3.42</w:t>
                  </w:r>
                </w:p>
              </w:tc>
              <w:tc>
                <w:tcPr>
                  <w:tcW w:w="1152" w:type="pct"/>
                  <w:tcBorders>
                    <w:tl2br w:val="nil"/>
                    <w:tr2bl w:val="nil"/>
                  </w:tcBorders>
                  <w:shd w:val="clear" w:color="auto" w:fill="auto"/>
                  <w:noWrap w:val="0"/>
                  <w:vAlign w:val="center"/>
                </w:tcPr>
                <w:p w14:paraId="767CE367">
                  <w:pPr>
                    <w:keepNext w:val="0"/>
                    <w:keepLines w:val="0"/>
                    <w:widowControl/>
                    <w:suppressLineNumbers w:val="0"/>
                    <w:spacing w:before="0" w:beforeAutospacing="0" w:after="0" w:afterAutospacing="0"/>
                    <w:ind w:left="0" w:leftChars="0" w:right="0" w:rightChars="0"/>
                    <w:jc w:val="center"/>
                    <w:textAlignment w:val="center"/>
                    <w:rPr>
                      <w:rFonts w:hint="default" w:ascii="Times New Roman" w:hAnsi="Times New Roman" w:eastAsia="宋体" w:cs="Times New Roman"/>
                      <w:i w:val="0"/>
                      <w:iCs w:val="0"/>
                      <w:color w:val="000000"/>
                      <w:kern w:val="0"/>
                      <w:sz w:val="21"/>
                      <w:szCs w:val="21"/>
                      <w:highlight w:val="none"/>
                      <w:u w:val="none"/>
                      <w:lang w:val="en-US" w:eastAsia="zh-CN" w:bidi="ar"/>
                    </w:rPr>
                  </w:pPr>
                  <w:r>
                    <w:rPr>
                      <w:rFonts w:hint="eastAsia" w:ascii="Times New Roman" w:hAnsi="Times New Roman" w:eastAsia="宋体" w:cs="Times New Roman"/>
                      <w:i w:val="0"/>
                      <w:iCs w:val="0"/>
                      <w:color w:val="000000"/>
                      <w:kern w:val="0"/>
                      <w:sz w:val="21"/>
                      <w:szCs w:val="21"/>
                      <w:highlight w:val="none"/>
                      <w:u w:val="none"/>
                      <w:lang w:val="en-US" w:eastAsia="zh-CN" w:bidi="ar"/>
                    </w:rPr>
                    <w:t>0.051</w:t>
                  </w:r>
                </w:p>
              </w:tc>
              <w:tc>
                <w:tcPr>
                  <w:tcW w:w="1076" w:type="pct"/>
                  <w:tcBorders>
                    <w:tl2br w:val="nil"/>
                    <w:tr2bl w:val="nil"/>
                  </w:tcBorders>
                  <w:shd w:val="clear" w:color="auto" w:fill="auto"/>
                  <w:noWrap w:val="0"/>
                  <w:vAlign w:val="center"/>
                </w:tcPr>
                <w:p w14:paraId="5CA9BB2B">
                  <w:pPr>
                    <w:keepNext w:val="0"/>
                    <w:keepLines w:val="0"/>
                    <w:widowControl/>
                    <w:suppressLineNumbers w:val="0"/>
                    <w:spacing w:before="0" w:beforeAutospacing="0" w:after="0" w:afterAutospacing="0"/>
                    <w:ind w:left="0" w:leftChars="0" w:right="0" w:rightChars="0"/>
                    <w:jc w:val="center"/>
                    <w:textAlignment w:val="center"/>
                    <w:rPr>
                      <w:rFonts w:hint="default" w:ascii="Times New Roman" w:hAnsi="Times New Roman" w:eastAsia="宋体" w:cs="Times New Roman"/>
                      <w:i w:val="0"/>
                      <w:iCs w:val="0"/>
                      <w:color w:val="000000"/>
                      <w:kern w:val="0"/>
                      <w:sz w:val="21"/>
                      <w:szCs w:val="21"/>
                      <w:highlight w:val="none"/>
                      <w:u w:val="none"/>
                      <w:lang w:val="en-US" w:eastAsia="zh-CN" w:bidi="ar"/>
                    </w:rPr>
                  </w:pPr>
                  <w:r>
                    <w:rPr>
                      <w:rFonts w:hint="eastAsia" w:ascii="Times New Roman" w:hAnsi="Times New Roman" w:eastAsia="宋体" w:cs="Times New Roman"/>
                      <w:i w:val="0"/>
                      <w:iCs w:val="0"/>
                      <w:color w:val="000000"/>
                      <w:kern w:val="0"/>
                      <w:sz w:val="21"/>
                      <w:szCs w:val="21"/>
                      <w:highlight w:val="none"/>
                      <w:u w:val="none"/>
                      <w:lang w:val="en-US" w:eastAsia="zh-CN" w:bidi="ar"/>
                    </w:rPr>
                    <w:t>0.053</w:t>
                  </w:r>
                </w:p>
              </w:tc>
            </w:tr>
            <w:tr w14:paraId="02CB9285">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28" w:type="dxa"/>
                  <w:bottom w:w="0" w:type="dxa"/>
                  <w:right w:w="28" w:type="dxa"/>
                </w:tblCellMar>
              </w:tblPrEx>
              <w:trPr>
                <w:trHeight w:val="0" w:hRule="atLeast"/>
              </w:trPr>
              <w:tc>
                <w:tcPr>
                  <w:tcW w:w="311" w:type="pct"/>
                  <w:tcBorders>
                    <w:tl2br w:val="nil"/>
                    <w:tr2bl w:val="nil"/>
                  </w:tcBorders>
                  <w:shd w:val="clear" w:color="auto" w:fill="auto"/>
                  <w:noWrap w:val="0"/>
                  <w:vAlign w:val="center"/>
                </w:tcPr>
                <w:p w14:paraId="5753AC41">
                  <w:pPr>
                    <w:pStyle w:val="27"/>
                    <w:keepNext w:val="0"/>
                    <w:keepLines w:val="0"/>
                    <w:widowControl w:val="0"/>
                    <w:suppressLineNumbers w:val="0"/>
                    <w:spacing w:before="0" w:beforeAutospacing="0" w:after="0" w:afterAutospacing="0" w:line="240" w:lineRule="auto"/>
                    <w:ind w:left="0" w:leftChars="0" w:right="0" w:rightChars="0" w:firstLine="0" w:firstLineChars="0"/>
                    <w:jc w:val="center"/>
                    <w:rPr>
                      <w:rFonts w:hint="default" w:ascii="Times New Roman" w:hAnsi="Times New Roman" w:eastAsia="宋体" w:cs="Times New Roman"/>
                      <w:color w:val="auto"/>
                      <w:kern w:val="0"/>
                      <w:sz w:val="21"/>
                      <w:szCs w:val="21"/>
                      <w:highlight w:val="none"/>
                      <w:lang w:val="en-US" w:eastAsia="zh-CN" w:bidi="ar-SA"/>
                    </w:rPr>
                  </w:pPr>
                  <w:r>
                    <w:rPr>
                      <w:rFonts w:hint="eastAsia" w:ascii="Times New Roman" w:hAnsi="Times New Roman" w:eastAsia="宋体" w:cs="Times New Roman"/>
                      <w:color w:val="auto"/>
                      <w:sz w:val="21"/>
                      <w:szCs w:val="21"/>
                      <w:highlight w:val="none"/>
                      <w:lang w:val="en-US" w:eastAsia="zh-CN"/>
                    </w:rPr>
                    <w:t>19</w:t>
                  </w:r>
                </w:p>
              </w:tc>
              <w:tc>
                <w:tcPr>
                  <w:tcW w:w="625" w:type="pct"/>
                  <w:vMerge w:val="continue"/>
                  <w:tcBorders>
                    <w:tl2br w:val="nil"/>
                    <w:tr2bl w:val="nil"/>
                  </w:tcBorders>
                  <w:noWrap w:val="0"/>
                  <w:vAlign w:val="center"/>
                </w:tcPr>
                <w:p w14:paraId="1B03EE3E">
                  <w:pPr>
                    <w:pStyle w:val="27"/>
                    <w:keepNext w:val="0"/>
                    <w:keepLines w:val="0"/>
                    <w:widowControl w:val="0"/>
                    <w:suppressLineNumbers w:val="0"/>
                    <w:spacing w:before="0" w:beforeAutospacing="0" w:after="0" w:afterAutospacing="0" w:line="240" w:lineRule="auto"/>
                    <w:ind w:left="0" w:leftChars="0" w:right="0" w:rightChars="0" w:firstLine="0" w:firstLineChars="0"/>
                    <w:jc w:val="center"/>
                    <w:rPr>
                      <w:rFonts w:hint="default" w:ascii="Times New Roman" w:hAnsi="Times New Roman" w:eastAsia="宋体" w:cs="Times New Roman"/>
                      <w:color w:val="auto"/>
                      <w:sz w:val="21"/>
                      <w:szCs w:val="21"/>
                      <w:highlight w:val="none"/>
                      <w:lang w:val="en-US" w:eastAsia="zh-CN"/>
                    </w:rPr>
                  </w:pPr>
                </w:p>
              </w:tc>
              <w:tc>
                <w:tcPr>
                  <w:tcW w:w="785" w:type="pct"/>
                  <w:tcBorders>
                    <w:tl2br w:val="nil"/>
                    <w:tr2bl w:val="nil"/>
                  </w:tcBorders>
                  <w:shd w:val="clear" w:color="auto" w:fill="auto"/>
                  <w:noWrap w:val="0"/>
                  <w:vAlign w:val="center"/>
                </w:tcPr>
                <w:p w14:paraId="7F1BA8E1">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64" w:lineRule="auto"/>
                    <w:ind w:left="0" w:leftChars="0" w:right="0" w:rightChars="0"/>
                    <w:jc w:val="center"/>
                    <w:textAlignment w:val="auto"/>
                    <w:rPr>
                      <w:rFonts w:hint="eastAsia" w:ascii="Times New Roman" w:hAnsi="Times New Roman" w:eastAsia="宋体" w:cs="Times New Roman"/>
                      <w:bCs/>
                      <w:kern w:val="0"/>
                      <w:sz w:val="21"/>
                      <w:szCs w:val="21"/>
                      <w:highlight w:val="none"/>
                      <w:lang w:val="en-US" w:eastAsia="zh-CN" w:bidi="ar-SA"/>
                    </w:rPr>
                  </w:pPr>
                  <w:r>
                    <w:rPr>
                      <w:rFonts w:hint="eastAsia" w:ascii="Times New Roman" w:hAnsi="Times New Roman" w:eastAsia="宋体" w:cs="Times New Roman"/>
                      <w:bCs/>
                      <w:kern w:val="0"/>
                      <w:sz w:val="21"/>
                      <w:szCs w:val="21"/>
                      <w:highlight w:val="none"/>
                      <w:lang w:val="en-US" w:eastAsia="zh-CN"/>
                    </w:rPr>
                    <w:t>氯气</w:t>
                  </w:r>
                </w:p>
              </w:tc>
              <w:tc>
                <w:tcPr>
                  <w:tcW w:w="3277" w:type="pct"/>
                  <w:gridSpan w:val="3"/>
                  <w:tcBorders>
                    <w:tl2br w:val="nil"/>
                    <w:tr2bl w:val="nil"/>
                  </w:tcBorders>
                  <w:shd w:val="clear" w:color="auto" w:fill="auto"/>
                  <w:noWrap w:val="0"/>
                  <w:vAlign w:val="center"/>
                </w:tcPr>
                <w:p w14:paraId="14F40ECC">
                  <w:pPr>
                    <w:pStyle w:val="27"/>
                    <w:keepNext w:val="0"/>
                    <w:keepLines w:val="0"/>
                    <w:widowControl w:val="0"/>
                    <w:suppressLineNumbers w:val="0"/>
                    <w:spacing w:before="0" w:beforeAutospacing="0" w:after="0" w:afterAutospacing="0" w:line="240" w:lineRule="auto"/>
                    <w:ind w:left="0" w:leftChars="0" w:right="0" w:rightChars="0" w:firstLine="0" w:firstLineChars="0"/>
                    <w:jc w:val="center"/>
                    <w:rPr>
                      <w:rFonts w:hint="default" w:ascii="Times New Roman" w:hAnsi="Times New Roman" w:eastAsia="宋体" w:cs="Times New Roman"/>
                      <w:color w:val="auto"/>
                      <w:sz w:val="21"/>
                      <w:szCs w:val="21"/>
                      <w:highlight w:val="none"/>
                      <w:lang w:val="en-US" w:eastAsia="zh-CN"/>
                    </w:rPr>
                  </w:pPr>
                  <w:r>
                    <w:rPr>
                      <w:rFonts w:hint="eastAsia" w:ascii="Times New Roman" w:hAnsi="Times New Roman" w:eastAsia="宋体" w:cs="Times New Roman"/>
                      <w:i w:val="0"/>
                      <w:iCs w:val="0"/>
                      <w:color w:val="000000"/>
                      <w:kern w:val="0"/>
                      <w:sz w:val="21"/>
                      <w:szCs w:val="21"/>
                      <w:highlight w:val="none"/>
                      <w:u w:val="none"/>
                      <w:lang w:val="en-US" w:eastAsia="zh-CN" w:bidi="ar"/>
                    </w:rPr>
                    <w:t>少量</w:t>
                  </w:r>
                </w:p>
              </w:tc>
            </w:tr>
            <w:tr w14:paraId="7E7717A7">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28" w:type="dxa"/>
                  <w:bottom w:w="0" w:type="dxa"/>
                  <w:right w:w="28" w:type="dxa"/>
                </w:tblCellMar>
              </w:tblPrEx>
              <w:trPr>
                <w:trHeight w:val="0" w:hRule="atLeast"/>
              </w:trPr>
              <w:tc>
                <w:tcPr>
                  <w:tcW w:w="311" w:type="pct"/>
                  <w:tcBorders>
                    <w:tl2br w:val="nil"/>
                    <w:tr2bl w:val="nil"/>
                  </w:tcBorders>
                  <w:shd w:val="clear" w:color="auto" w:fill="auto"/>
                  <w:noWrap w:val="0"/>
                  <w:vAlign w:val="center"/>
                </w:tcPr>
                <w:p w14:paraId="32296536">
                  <w:pPr>
                    <w:pStyle w:val="27"/>
                    <w:keepNext w:val="0"/>
                    <w:keepLines w:val="0"/>
                    <w:widowControl w:val="0"/>
                    <w:suppressLineNumbers w:val="0"/>
                    <w:spacing w:before="0" w:beforeAutospacing="0" w:after="0" w:afterAutospacing="0" w:line="240" w:lineRule="auto"/>
                    <w:ind w:left="0" w:leftChars="0" w:right="0" w:rightChars="0" w:firstLine="0" w:firstLineChars="0"/>
                    <w:jc w:val="center"/>
                    <w:rPr>
                      <w:rFonts w:hint="default" w:ascii="Times New Roman" w:hAnsi="Times New Roman" w:eastAsia="宋体" w:cs="Times New Roman"/>
                      <w:color w:val="auto"/>
                      <w:kern w:val="0"/>
                      <w:sz w:val="21"/>
                      <w:szCs w:val="21"/>
                      <w:highlight w:val="none"/>
                      <w:lang w:val="en-US" w:eastAsia="zh-CN" w:bidi="ar-SA"/>
                    </w:rPr>
                  </w:pPr>
                  <w:r>
                    <w:rPr>
                      <w:rFonts w:hint="eastAsia" w:ascii="Times New Roman" w:hAnsi="Times New Roman" w:eastAsia="宋体" w:cs="Times New Roman"/>
                      <w:color w:val="auto"/>
                      <w:sz w:val="21"/>
                      <w:szCs w:val="21"/>
                      <w:highlight w:val="none"/>
                      <w:lang w:val="en-US" w:eastAsia="zh-CN"/>
                    </w:rPr>
                    <w:t>20</w:t>
                  </w:r>
                </w:p>
              </w:tc>
              <w:tc>
                <w:tcPr>
                  <w:tcW w:w="625" w:type="pct"/>
                  <w:vMerge w:val="continue"/>
                  <w:tcBorders>
                    <w:tl2br w:val="nil"/>
                    <w:tr2bl w:val="nil"/>
                  </w:tcBorders>
                  <w:noWrap w:val="0"/>
                  <w:vAlign w:val="center"/>
                </w:tcPr>
                <w:p w14:paraId="6713CB70">
                  <w:pPr>
                    <w:pStyle w:val="27"/>
                    <w:keepNext w:val="0"/>
                    <w:keepLines w:val="0"/>
                    <w:widowControl w:val="0"/>
                    <w:suppressLineNumbers w:val="0"/>
                    <w:spacing w:before="0" w:beforeAutospacing="0" w:after="0" w:afterAutospacing="0" w:line="240" w:lineRule="auto"/>
                    <w:ind w:left="0" w:leftChars="0" w:right="0" w:rightChars="0" w:firstLine="0" w:firstLineChars="0"/>
                    <w:jc w:val="center"/>
                    <w:rPr>
                      <w:rFonts w:hint="default" w:ascii="Times New Roman" w:hAnsi="Times New Roman" w:eastAsia="宋体" w:cs="Times New Roman"/>
                      <w:color w:val="auto"/>
                      <w:sz w:val="21"/>
                      <w:szCs w:val="21"/>
                      <w:highlight w:val="none"/>
                      <w:lang w:val="en-US" w:eastAsia="zh-CN"/>
                    </w:rPr>
                  </w:pPr>
                </w:p>
              </w:tc>
              <w:tc>
                <w:tcPr>
                  <w:tcW w:w="785" w:type="pct"/>
                  <w:tcBorders>
                    <w:tl2br w:val="nil"/>
                    <w:tr2bl w:val="nil"/>
                  </w:tcBorders>
                  <w:shd w:val="clear" w:color="auto" w:fill="auto"/>
                  <w:noWrap w:val="0"/>
                  <w:vAlign w:val="center"/>
                </w:tcPr>
                <w:p w14:paraId="778DDE67">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64" w:lineRule="auto"/>
                    <w:ind w:left="0" w:leftChars="0" w:right="0" w:rightChars="0"/>
                    <w:jc w:val="center"/>
                    <w:textAlignment w:val="auto"/>
                    <w:rPr>
                      <w:rFonts w:hint="eastAsia" w:ascii="Times New Roman" w:hAnsi="Times New Roman" w:eastAsia="宋体" w:cs="Times New Roman"/>
                      <w:bCs/>
                      <w:kern w:val="0"/>
                      <w:sz w:val="21"/>
                      <w:szCs w:val="21"/>
                      <w:highlight w:val="none"/>
                      <w:lang w:val="en-US" w:eastAsia="zh-CN" w:bidi="ar-SA"/>
                    </w:rPr>
                  </w:pPr>
                  <w:r>
                    <w:rPr>
                      <w:rFonts w:hint="eastAsia" w:ascii="Times New Roman" w:hAnsi="Times New Roman" w:eastAsia="宋体" w:cs="Times New Roman"/>
                      <w:bCs/>
                      <w:kern w:val="0"/>
                      <w:sz w:val="21"/>
                      <w:szCs w:val="21"/>
                      <w:highlight w:val="none"/>
                      <w:lang w:val="en-US" w:eastAsia="zh-CN"/>
                    </w:rPr>
                    <w:t>甲醛</w:t>
                  </w:r>
                </w:p>
              </w:tc>
              <w:tc>
                <w:tcPr>
                  <w:tcW w:w="1048" w:type="pct"/>
                  <w:tcBorders>
                    <w:tl2br w:val="nil"/>
                    <w:tr2bl w:val="nil"/>
                  </w:tcBorders>
                  <w:shd w:val="clear" w:color="auto" w:fill="auto"/>
                  <w:noWrap w:val="0"/>
                  <w:vAlign w:val="center"/>
                </w:tcPr>
                <w:p w14:paraId="5898520E">
                  <w:pPr>
                    <w:keepNext w:val="0"/>
                    <w:keepLines w:val="0"/>
                    <w:widowControl/>
                    <w:suppressLineNumbers w:val="0"/>
                    <w:spacing w:before="0" w:beforeAutospacing="0" w:after="0" w:afterAutospacing="0"/>
                    <w:ind w:left="0" w:leftChars="0" w:right="0" w:rightChars="0"/>
                    <w:jc w:val="center"/>
                    <w:textAlignment w:val="center"/>
                    <w:rPr>
                      <w:rFonts w:hint="default" w:ascii="Times New Roman" w:hAnsi="Times New Roman" w:eastAsia="宋体" w:cs="Times New Roman"/>
                      <w:i w:val="0"/>
                      <w:iCs w:val="0"/>
                      <w:color w:val="000000"/>
                      <w:kern w:val="0"/>
                      <w:sz w:val="21"/>
                      <w:szCs w:val="21"/>
                      <w:highlight w:val="none"/>
                      <w:u w:val="none"/>
                      <w:lang w:val="en-US" w:eastAsia="zh-CN" w:bidi="ar"/>
                    </w:rPr>
                  </w:pPr>
                  <w:r>
                    <w:rPr>
                      <w:rFonts w:hint="eastAsia" w:ascii="Times New Roman" w:hAnsi="Times New Roman" w:eastAsia="宋体" w:cs="Times New Roman"/>
                      <w:i w:val="0"/>
                      <w:iCs w:val="0"/>
                      <w:color w:val="000000"/>
                      <w:kern w:val="0"/>
                      <w:sz w:val="21"/>
                      <w:szCs w:val="21"/>
                      <w:highlight w:val="none"/>
                      <w:u w:val="none"/>
                      <w:lang w:val="en-US" w:eastAsia="zh-CN" w:bidi="ar"/>
                    </w:rPr>
                    <w:t>0.27</w:t>
                  </w:r>
                </w:p>
              </w:tc>
              <w:tc>
                <w:tcPr>
                  <w:tcW w:w="1152" w:type="pct"/>
                  <w:tcBorders>
                    <w:tl2br w:val="nil"/>
                    <w:tr2bl w:val="nil"/>
                  </w:tcBorders>
                  <w:shd w:val="clear" w:color="auto" w:fill="auto"/>
                  <w:noWrap w:val="0"/>
                  <w:vAlign w:val="center"/>
                </w:tcPr>
                <w:p w14:paraId="70F45DC3">
                  <w:pPr>
                    <w:keepNext w:val="0"/>
                    <w:keepLines w:val="0"/>
                    <w:widowControl/>
                    <w:suppressLineNumbers w:val="0"/>
                    <w:spacing w:before="0" w:beforeAutospacing="0" w:after="0" w:afterAutospacing="0"/>
                    <w:ind w:left="0" w:leftChars="0" w:right="0" w:rightChars="0"/>
                    <w:jc w:val="center"/>
                    <w:textAlignment w:val="center"/>
                    <w:rPr>
                      <w:rFonts w:hint="default" w:ascii="Times New Roman" w:hAnsi="Times New Roman" w:eastAsia="宋体" w:cs="Times New Roman"/>
                      <w:i w:val="0"/>
                      <w:iCs w:val="0"/>
                      <w:color w:val="000000"/>
                      <w:kern w:val="0"/>
                      <w:sz w:val="21"/>
                      <w:szCs w:val="21"/>
                      <w:highlight w:val="none"/>
                      <w:u w:val="none"/>
                      <w:lang w:val="en-US" w:eastAsia="zh-CN" w:bidi="ar"/>
                    </w:rPr>
                  </w:pPr>
                  <w:r>
                    <w:rPr>
                      <w:rFonts w:hint="eastAsia" w:ascii="Times New Roman" w:hAnsi="Times New Roman" w:eastAsia="宋体" w:cs="Times New Roman"/>
                      <w:i w:val="0"/>
                      <w:iCs w:val="0"/>
                      <w:color w:val="000000"/>
                      <w:kern w:val="0"/>
                      <w:sz w:val="21"/>
                      <w:szCs w:val="21"/>
                      <w:highlight w:val="none"/>
                      <w:u w:val="none"/>
                      <w:lang w:val="en-US" w:eastAsia="zh-CN" w:bidi="ar"/>
                    </w:rPr>
                    <w:t>0.004</w:t>
                  </w:r>
                </w:p>
              </w:tc>
              <w:tc>
                <w:tcPr>
                  <w:tcW w:w="1076" w:type="pct"/>
                  <w:tcBorders>
                    <w:tl2br w:val="nil"/>
                    <w:tr2bl w:val="nil"/>
                  </w:tcBorders>
                  <w:shd w:val="clear" w:color="auto" w:fill="auto"/>
                  <w:noWrap w:val="0"/>
                  <w:vAlign w:val="center"/>
                </w:tcPr>
                <w:p w14:paraId="2E479F53">
                  <w:pPr>
                    <w:keepNext w:val="0"/>
                    <w:keepLines w:val="0"/>
                    <w:widowControl/>
                    <w:suppressLineNumbers w:val="0"/>
                    <w:spacing w:before="0" w:beforeAutospacing="0" w:after="0" w:afterAutospacing="0"/>
                    <w:ind w:left="0" w:leftChars="0" w:right="0" w:rightChars="0"/>
                    <w:jc w:val="center"/>
                    <w:textAlignment w:val="center"/>
                    <w:rPr>
                      <w:rFonts w:hint="default" w:ascii="Times New Roman" w:hAnsi="Times New Roman" w:eastAsia="宋体" w:cs="Times New Roman"/>
                      <w:i w:val="0"/>
                      <w:iCs w:val="0"/>
                      <w:color w:val="000000"/>
                      <w:kern w:val="0"/>
                      <w:sz w:val="21"/>
                      <w:szCs w:val="21"/>
                      <w:highlight w:val="none"/>
                      <w:u w:val="none"/>
                      <w:lang w:val="en-US" w:eastAsia="zh-CN" w:bidi="ar"/>
                    </w:rPr>
                  </w:pPr>
                  <w:r>
                    <w:rPr>
                      <w:rFonts w:hint="eastAsia" w:ascii="Times New Roman" w:hAnsi="Times New Roman" w:eastAsia="宋体" w:cs="Times New Roman"/>
                      <w:i w:val="0"/>
                      <w:iCs w:val="0"/>
                      <w:color w:val="000000"/>
                      <w:kern w:val="0"/>
                      <w:sz w:val="21"/>
                      <w:szCs w:val="21"/>
                      <w:highlight w:val="none"/>
                      <w:u w:val="none"/>
                      <w:lang w:val="en-US" w:eastAsia="zh-CN" w:bidi="ar"/>
                    </w:rPr>
                    <w:t>0.009</w:t>
                  </w:r>
                </w:p>
              </w:tc>
            </w:tr>
            <w:tr w14:paraId="00718B4F">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28" w:type="dxa"/>
                  <w:bottom w:w="0" w:type="dxa"/>
                  <w:right w:w="28" w:type="dxa"/>
                </w:tblCellMar>
              </w:tblPrEx>
              <w:trPr>
                <w:trHeight w:val="0" w:hRule="atLeast"/>
              </w:trPr>
              <w:tc>
                <w:tcPr>
                  <w:tcW w:w="311" w:type="pct"/>
                  <w:tcBorders>
                    <w:tl2br w:val="nil"/>
                    <w:tr2bl w:val="nil"/>
                  </w:tcBorders>
                  <w:shd w:val="clear" w:color="auto" w:fill="auto"/>
                  <w:noWrap w:val="0"/>
                  <w:vAlign w:val="center"/>
                </w:tcPr>
                <w:p w14:paraId="7B6CF9A5">
                  <w:pPr>
                    <w:pStyle w:val="27"/>
                    <w:keepNext w:val="0"/>
                    <w:keepLines w:val="0"/>
                    <w:widowControl w:val="0"/>
                    <w:suppressLineNumbers w:val="0"/>
                    <w:spacing w:before="0" w:beforeAutospacing="0" w:after="0" w:afterAutospacing="0" w:line="240" w:lineRule="auto"/>
                    <w:ind w:left="0" w:leftChars="0" w:right="0" w:rightChars="0" w:firstLine="0" w:firstLineChars="0"/>
                    <w:jc w:val="center"/>
                    <w:rPr>
                      <w:rFonts w:hint="default" w:ascii="Times New Roman" w:hAnsi="Times New Roman" w:eastAsia="宋体" w:cs="Times New Roman"/>
                      <w:color w:val="auto"/>
                      <w:kern w:val="0"/>
                      <w:sz w:val="21"/>
                      <w:szCs w:val="21"/>
                      <w:highlight w:val="none"/>
                      <w:lang w:val="en-US" w:eastAsia="zh-CN" w:bidi="ar-SA"/>
                    </w:rPr>
                  </w:pPr>
                  <w:r>
                    <w:rPr>
                      <w:rFonts w:hint="eastAsia" w:ascii="Times New Roman" w:hAnsi="Times New Roman" w:eastAsia="宋体" w:cs="Times New Roman"/>
                      <w:color w:val="auto"/>
                      <w:sz w:val="21"/>
                      <w:szCs w:val="21"/>
                      <w:highlight w:val="none"/>
                      <w:lang w:val="en-US" w:eastAsia="zh-CN"/>
                    </w:rPr>
                    <w:t>21</w:t>
                  </w:r>
                </w:p>
              </w:tc>
              <w:tc>
                <w:tcPr>
                  <w:tcW w:w="625" w:type="pct"/>
                  <w:vMerge w:val="restart"/>
                  <w:tcBorders>
                    <w:tl2br w:val="nil"/>
                    <w:tr2bl w:val="nil"/>
                  </w:tcBorders>
                  <w:noWrap w:val="0"/>
                  <w:vAlign w:val="center"/>
                </w:tcPr>
                <w:p w14:paraId="56477B94">
                  <w:pPr>
                    <w:pStyle w:val="27"/>
                    <w:keepNext w:val="0"/>
                    <w:keepLines w:val="0"/>
                    <w:widowControl w:val="0"/>
                    <w:suppressLineNumbers w:val="0"/>
                    <w:spacing w:before="0" w:beforeAutospacing="0" w:after="0" w:afterAutospacing="0" w:line="240" w:lineRule="auto"/>
                    <w:ind w:left="0" w:leftChars="0" w:right="0" w:rightChars="0" w:firstLine="0" w:firstLineChars="0"/>
                    <w:jc w:val="center"/>
                    <w:rPr>
                      <w:rFonts w:hint="default" w:ascii="Times New Roman" w:hAnsi="Times New Roman" w:eastAsia="宋体" w:cs="Times New Roman"/>
                      <w:color w:val="auto"/>
                      <w:sz w:val="21"/>
                      <w:szCs w:val="21"/>
                      <w:highlight w:val="none"/>
                      <w:lang w:val="en-US" w:eastAsia="zh-CN"/>
                    </w:rPr>
                  </w:pPr>
                  <w:r>
                    <w:rPr>
                      <w:rFonts w:hint="default" w:ascii="Times New Roman" w:hAnsi="Times New Roman" w:eastAsia="宋体" w:cs="Times New Roman"/>
                      <w:color w:val="auto"/>
                      <w:sz w:val="21"/>
                      <w:szCs w:val="21"/>
                      <w:highlight w:val="none"/>
                      <w:lang w:val="en-US" w:eastAsia="zh-CN"/>
                    </w:rPr>
                    <w:t>DA00</w:t>
                  </w:r>
                  <w:r>
                    <w:rPr>
                      <w:rFonts w:hint="eastAsia" w:ascii="Times New Roman" w:hAnsi="Times New Roman" w:eastAsia="宋体" w:cs="Times New Roman"/>
                      <w:color w:val="auto"/>
                      <w:sz w:val="21"/>
                      <w:szCs w:val="21"/>
                      <w:highlight w:val="none"/>
                      <w:lang w:val="en-US" w:eastAsia="zh-CN"/>
                    </w:rPr>
                    <w:t>8</w:t>
                  </w:r>
                </w:p>
              </w:tc>
              <w:tc>
                <w:tcPr>
                  <w:tcW w:w="785" w:type="pct"/>
                  <w:tcBorders>
                    <w:tl2br w:val="nil"/>
                    <w:tr2bl w:val="nil"/>
                  </w:tcBorders>
                  <w:shd w:val="clear" w:color="auto" w:fill="auto"/>
                  <w:noWrap w:val="0"/>
                  <w:vAlign w:val="center"/>
                </w:tcPr>
                <w:p w14:paraId="5128C9B2">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64" w:lineRule="auto"/>
                    <w:ind w:left="0" w:leftChars="0" w:right="0" w:rightChars="0"/>
                    <w:jc w:val="center"/>
                    <w:textAlignment w:val="auto"/>
                    <w:rPr>
                      <w:rFonts w:hint="eastAsia" w:ascii="Times New Roman" w:hAnsi="Times New Roman" w:eastAsia="宋体" w:cs="Times New Roman"/>
                      <w:bCs/>
                      <w:kern w:val="0"/>
                      <w:sz w:val="21"/>
                      <w:szCs w:val="21"/>
                      <w:highlight w:val="none"/>
                      <w:lang w:val="en-US" w:eastAsia="zh-CN" w:bidi="ar-SA"/>
                    </w:rPr>
                  </w:pPr>
                  <w:r>
                    <w:rPr>
                      <w:rFonts w:hint="eastAsia" w:ascii="Times New Roman" w:hAnsi="Times New Roman" w:eastAsia="宋体" w:cs="Times New Roman"/>
                      <w:bCs/>
                      <w:kern w:val="0"/>
                      <w:sz w:val="21"/>
                      <w:szCs w:val="21"/>
                      <w:highlight w:val="none"/>
                      <w:lang w:val="en-US" w:eastAsia="zh-CN"/>
                    </w:rPr>
                    <w:t>非甲烷总烃</w:t>
                  </w:r>
                </w:p>
              </w:tc>
              <w:tc>
                <w:tcPr>
                  <w:tcW w:w="1048" w:type="pct"/>
                  <w:tcBorders>
                    <w:tl2br w:val="nil"/>
                    <w:tr2bl w:val="nil"/>
                  </w:tcBorders>
                  <w:shd w:val="clear" w:color="auto" w:fill="auto"/>
                  <w:noWrap w:val="0"/>
                  <w:vAlign w:val="center"/>
                </w:tcPr>
                <w:p w14:paraId="71BA5DC9">
                  <w:pPr>
                    <w:keepNext w:val="0"/>
                    <w:keepLines w:val="0"/>
                    <w:widowControl/>
                    <w:suppressLineNumbers w:val="0"/>
                    <w:spacing w:before="0" w:beforeAutospacing="0" w:after="0" w:afterAutospacing="0"/>
                    <w:ind w:left="0" w:leftChars="0" w:right="0" w:rightChars="0"/>
                    <w:jc w:val="center"/>
                    <w:textAlignment w:val="center"/>
                    <w:rPr>
                      <w:rFonts w:hint="default" w:ascii="Times New Roman" w:hAnsi="Times New Roman" w:eastAsia="宋体" w:cs="Times New Roman"/>
                      <w:i w:val="0"/>
                      <w:iCs w:val="0"/>
                      <w:color w:val="000000"/>
                      <w:kern w:val="0"/>
                      <w:sz w:val="21"/>
                      <w:szCs w:val="21"/>
                      <w:highlight w:val="none"/>
                      <w:u w:val="none"/>
                      <w:lang w:val="en-US" w:eastAsia="zh-CN" w:bidi="ar"/>
                    </w:rPr>
                  </w:pPr>
                  <w:r>
                    <w:rPr>
                      <w:rFonts w:hint="eastAsia" w:ascii="Times New Roman" w:hAnsi="Times New Roman" w:eastAsia="宋体" w:cs="Times New Roman"/>
                      <w:i w:val="0"/>
                      <w:iCs w:val="0"/>
                      <w:color w:val="000000"/>
                      <w:kern w:val="0"/>
                      <w:sz w:val="21"/>
                      <w:szCs w:val="21"/>
                      <w:highlight w:val="none"/>
                      <w:u w:val="none"/>
                      <w:lang w:val="en-US" w:eastAsia="zh-CN" w:bidi="ar"/>
                    </w:rPr>
                    <w:t>3.11</w:t>
                  </w:r>
                </w:p>
              </w:tc>
              <w:tc>
                <w:tcPr>
                  <w:tcW w:w="1152" w:type="pct"/>
                  <w:tcBorders>
                    <w:tl2br w:val="nil"/>
                    <w:tr2bl w:val="nil"/>
                  </w:tcBorders>
                  <w:shd w:val="clear" w:color="auto" w:fill="auto"/>
                  <w:noWrap w:val="0"/>
                  <w:vAlign w:val="center"/>
                </w:tcPr>
                <w:p w14:paraId="6CB96C57">
                  <w:pPr>
                    <w:keepNext w:val="0"/>
                    <w:keepLines w:val="0"/>
                    <w:widowControl/>
                    <w:suppressLineNumbers w:val="0"/>
                    <w:spacing w:before="0" w:beforeAutospacing="0" w:after="0" w:afterAutospacing="0"/>
                    <w:ind w:left="0" w:leftChars="0" w:right="0" w:rightChars="0"/>
                    <w:jc w:val="center"/>
                    <w:textAlignment w:val="center"/>
                    <w:rPr>
                      <w:rFonts w:hint="default" w:ascii="Times New Roman" w:hAnsi="Times New Roman" w:eastAsia="宋体" w:cs="Times New Roman"/>
                      <w:i w:val="0"/>
                      <w:iCs w:val="0"/>
                      <w:color w:val="000000"/>
                      <w:kern w:val="0"/>
                      <w:sz w:val="21"/>
                      <w:szCs w:val="21"/>
                      <w:highlight w:val="none"/>
                      <w:u w:val="none"/>
                      <w:lang w:val="en-US" w:eastAsia="zh-CN" w:bidi="ar"/>
                    </w:rPr>
                  </w:pPr>
                  <w:r>
                    <w:rPr>
                      <w:rFonts w:hint="eastAsia" w:ascii="Times New Roman" w:hAnsi="Times New Roman" w:eastAsia="宋体" w:cs="Times New Roman"/>
                      <w:i w:val="0"/>
                      <w:iCs w:val="0"/>
                      <w:color w:val="000000"/>
                      <w:kern w:val="0"/>
                      <w:sz w:val="21"/>
                      <w:szCs w:val="21"/>
                      <w:highlight w:val="none"/>
                      <w:u w:val="none"/>
                      <w:lang w:val="en-US" w:eastAsia="zh-CN" w:bidi="ar"/>
                    </w:rPr>
                    <w:t>0.026</w:t>
                  </w:r>
                </w:p>
              </w:tc>
              <w:tc>
                <w:tcPr>
                  <w:tcW w:w="1076" w:type="pct"/>
                  <w:tcBorders>
                    <w:tl2br w:val="nil"/>
                    <w:tr2bl w:val="nil"/>
                  </w:tcBorders>
                  <w:shd w:val="clear" w:color="auto" w:fill="auto"/>
                  <w:noWrap w:val="0"/>
                  <w:vAlign w:val="center"/>
                </w:tcPr>
                <w:p w14:paraId="433C707C">
                  <w:pPr>
                    <w:keepNext w:val="0"/>
                    <w:keepLines w:val="0"/>
                    <w:widowControl/>
                    <w:suppressLineNumbers w:val="0"/>
                    <w:spacing w:before="0" w:beforeAutospacing="0" w:after="0" w:afterAutospacing="0"/>
                    <w:ind w:left="0" w:leftChars="0" w:right="0" w:rightChars="0"/>
                    <w:jc w:val="center"/>
                    <w:textAlignment w:val="center"/>
                    <w:rPr>
                      <w:rFonts w:hint="default" w:ascii="Times New Roman" w:hAnsi="Times New Roman" w:eastAsia="宋体" w:cs="Times New Roman"/>
                      <w:i w:val="0"/>
                      <w:iCs w:val="0"/>
                      <w:color w:val="000000"/>
                      <w:kern w:val="0"/>
                      <w:sz w:val="21"/>
                      <w:szCs w:val="21"/>
                      <w:highlight w:val="none"/>
                      <w:u w:val="none"/>
                      <w:lang w:val="en-US" w:eastAsia="zh-CN" w:bidi="ar"/>
                    </w:rPr>
                  </w:pPr>
                  <w:r>
                    <w:rPr>
                      <w:rFonts w:hint="eastAsia" w:ascii="Times New Roman" w:hAnsi="Times New Roman" w:eastAsia="宋体" w:cs="Times New Roman"/>
                      <w:i w:val="0"/>
                      <w:iCs w:val="0"/>
                      <w:color w:val="000000"/>
                      <w:kern w:val="0"/>
                      <w:sz w:val="21"/>
                      <w:szCs w:val="21"/>
                      <w:highlight w:val="none"/>
                      <w:u w:val="none"/>
                      <w:lang w:val="en-US" w:eastAsia="zh-CN" w:bidi="ar"/>
                    </w:rPr>
                    <w:t>0.027</w:t>
                  </w:r>
                </w:p>
              </w:tc>
            </w:tr>
            <w:tr w14:paraId="6F11E6C3">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28" w:type="dxa"/>
                  <w:bottom w:w="0" w:type="dxa"/>
                  <w:right w:w="28" w:type="dxa"/>
                </w:tblCellMar>
              </w:tblPrEx>
              <w:trPr>
                <w:trHeight w:val="0" w:hRule="atLeast"/>
              </w:trPr>
              <w:tc>
                <w:tcPr>
                  <w:tcW w:w="311" w:type="pct"/>
                  <w:tcBorders>
                    <w:tl2br w:val="nil"/>
                    <w:tr2bl w:val="nil"/>
                  </w:tcBorders>
                  <w:shd w:val="clear" w:color="auto" w:fill="auto"/>
                  <w:noWrap w:val="0"/>
                  <w:vAlign w:val="center"/>
                </w:tcPr>
                <w:p w14:paraId="4C5C7C69">
                  <w:pPr>
                    <w:pStyle w:val="27"/>
                    <w:keepNext w:val="0"/>
                    <w:keepLines w:val="0"/>
                    <w:widowControl w:val="0"/>
                    <w:suppressLineNumbers w:val="0"/>
                    <w:spacing w:before="0" w:beforeAutospacing="0" w:after="0" w:afterAutospacing="0" w:line="240" w:lineRule="auto"/>
                    <w:ind w:left="0" w:leftChars="0" w:right="0" w:rightChars="0" w:firstLine="0" w:firstLineChars="0"/>
                    <w:jc w:val="center"/>
                    <w:rPr>
                      <w:rFonts w:hint="default" w:ascii="Times New Roman" w:hAnsi="Times New Roman" w:eastAsia="宋体" w:cs="Times New Roman"/>
                      <w:color w:val="auto"/>
                      <w:kern w:val="0"/>
                      <w:sz w:val="21"/>
                      <w:szCs w:val="21"/>
                      <w:highlight w:val="none"/>
                      <w:lang w:val="en-US" w:eastAsia="zh-CN" w:bidi="ar-SA"/>
                    </w:rPr>
                  </w:pPr>
                  <w:r>
                    <w:rPr>
                      <w:rFonts w:hint="eastAsia" w:ascii="Times New Roman" w:hAnsi="Times New Roman" w:eastAsia="宋体" w:cs="Times New Roman"/>
                      <w:color w:val="auto"/>
                      <w:sz w:val="21"/>
                      <w:szCs w:val="21"/>
                      <w:highlight w:val="none"/>
                      <w:lang w:val="en-US" w:eastAsia="zh-CN"/>
                    </w:rPr>
                    <w:t>22</w:t>
                  </w:r>
                </w:p>
              </w:tc>
              <w:tc>
                <w:tcPr>
                  <w:tcW w:w="625" w:type="pct"/>
                  <w:vMerge w:val="continue"/>
                  <w:tcBorders>
                    <w:tl2br w:val="nil"/>
                    <w:tr2bl w:val="nil"/>
                  </w:tcBorders>
                  <w:noWrap w:val="0"/>
                  <w:vAlign w:val="center"/>
                </w:tcPr>
                <w:p w14:paraId="748B2493">
                  <w:pPr>
                    <w:pStyle w:val="27"/>
                    <w:keepNext w:val="0"/>
                    <w:keepLines w:val="0"/>
                    <w:widowControl w:val="0"/>
                    <w:suppressLineNumbers w:val="0"/>
                    <w:spacing w:before="0" w:beforeAutospacing="0" w:after="0" w:afterAutospacing="0" w:line="240" w:lineRule="auto"/>
                    <w:ind w:left="0" w:leftChars="0" w:right="0" w:rightChars="0" w:firstLine="0" w:firstLineChars="0"/>
                    <w:jc w:val="center"/>
                    <w:rPr>
                      <w:rFonts w:hint="default" w:ascii="Times New Roman" w:hAnsi="Times New Roman" w:eastAsia="宋体" w:cs="Times New Roman"/>
                      <w:color w:val="auto"/>
                      <w:sz w:val="21"/>
                      <w:szCs w:val="21"/>
                      <w:highlight w:val="none"/>
                      <w:lang w:val="en-US" w:eastAsia="zh-CN"/>
                    </w:rPr>
                  </w:pPr>
                </w:p>
              </w:tc>
              <w:tc>
                <w:tcPr>
                  <w:tcW w:w="785" w:type="pct"/>
                  <w:tcBorders>
                    <w:tl2br w:val="nil"/>
                    <w:tr2bl w:val="nil"/>
                  </w:tcBorders>
                  <w:shd w:val="clear" w:color="auto" w:fill="auto"/>
                  <w:noWrap w:val="0"/>
                  <w:vAlign w:val="center"/>
                </w:tcPr>
                <w:p w14:paraId="2D9FAF7F">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64" w:lineRule="auto"/>
                    <w:ind w:left="0" w:leftChars="0" w:right="0" w:rightChars="0"/>
                    <w:jc w:val="center"/>
                    <w:textAlignment w:val="auto"/>
                    <w:rPr>
                      <w:rFonts w:hint="eastAsia" w:ascii="Times New Roman" w:hAnsi="Times New Roman" w:eastAsia="宋体" w:cs="Times New Roman"/>
                      <w:bCs/>
                      <w:kern w:val="0"/>
                      <w:sz w:val="21"/>
                      <w:szCs w:val="21"/>
                      <w:highlight w:val="none"/>
                      <w:lang w:val="en-US" w:eastAsia="zh-CN" w:bidi="ar-SA"/>
                    </w:rPr>
                  </w:pPr>
                  <w:r>
                    <w:rPr>
                      <w:rFonts w:hint="eastAsia" w:ascii="Times New Roman" w:hAnsi="Times New Roman" w:eastAsia="宋体" w:cs="Times New Roman"/>
                      <w:bCs/>
                      <w:kern w:val="0"/>
                      <w:sz w:val="21"/>
                      <w:szCs w:val="21"/>
                      <w:highlight w:val="none"/>
                      <w:lang w:val="en-US" w:eastAsia="zh-CN"/>
                    </w:rPr>
                    <w:t>氯气</w:t>
                  </w:r>
                </w:p>
              </w:tc>
              <w:tc>
                <w:tcPr>
                  <w:tcW w:w="3277" w:type="pct"/>
                  <w:gridSpan w:val="3"/>
                  <w:tcBorders>
                    <w:tl2br w:val="nil"/>
                    <w:tr2bl w:val="nil"/>
                  </w:tcBorders>
                  <w:shd w:val="clear" w:color="auto" w:fill="auto"/>
                  <w:noWrap w:val="0"/>
                  <w:vAlign w:val="center"/>
                </w:tcPr>
                <w:p w14:paraId="7835EAAB">
                  <w:pPr>
                    <w:pStyle w:val="27"/>
                    <w:keepNext w:val="0"/>
                    <w:keepLines w:val="0"/>
                    <w:widowControl w:val="0"/>
                    <w:suppressLineNumbers w:val="0"/>
                    <w:spacing w:before="0" w:beforeAutospacing="0" w:after="0" w:afterAutospacing="0" w:line="240" w:lineRule="auto"/>
                    <w:ind w:left="0" w:leftChars="0" w:right="0" w:rightChars="0" w:firstLine="0" w:firstLineChars="0"/>
                    <w:jc w:val="center"/>
                    <w:rPr>
                      <w:rFonts w:hint="default" w:ascii="Times New Roman" w:hAnsi="Times New Roman" w:eastAsia="宋体" w:cs="Times New Roman"/>
                      <w:color w:val="auto"/>
                      <w:sz w:val="21"/>
                      <w:szCs w:val="21"/>
                      <w:highlight w:val="none"/>
                      <w:lang w:val="en-US" w:eastAsia="zh-CN"/>
                    </w:rPr>
                  </w:pPr>
                  <w:r>
                    <w:rPr>
                      <w:rFonts w:hint="eastAsia" w:ascii="Times New Roman" w:hAnsi="Times New Roman" w:eastAsia="宋体" w:cs="Times New Roman"/>
                      <w:i w:val="0"/>
                      <w:iCs w:val="0"/>
                      <w:color w:val="000000"/>
                      <w:kern w:val="0"/>
                      <w:sz w:val="21"/>
                      <w:szCs w:val="21"/>
                      <w:highlight w:val="none"/>
                      <w:u w:val="none"/>
                      <w:lang w:val="en-US" w:eastAsia="zh-CN" w:bidi="ar"/>
                    </w:rPr>
                    <w:t>少量</w:t>
                  </w:r>
                </w:p>
              </w:tc>
            </w:tr>
            <w:tr w14:paraId="3945CC07">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28" w:type="dxa"/>
                  <w:bottom w:w="0" w:type="dxa"/>
                  <w:right w:w="28" w:type="dxa"/>
                </w:tblCellMar>
              </w:tblPrEx>
              <w:trPr>
                <w:trHeight w:val="0" w:hRule="atLeast"/>
              </w:trPr>
              <w:tc>
                <w:tcPr>
                  <w:tcW w:w="311" w:type="pct"/>
                  <w:tcBorders>
                    <w:tl2br w:val="nil"/>
                    <w:tr2bl w:val="nil"/>
                  </w:tcBorders>
                  <w:shd w:val="clear" w:color="auto" w:fill="auto"/>
                  <w:noWrap w:val="0"/>
                  <w:vAlign w:val="center"/>
                </w:tcPr>
                <w:p w14:paraId="0BDF0006">
                  <w:pPr>
                    <w:pStyle w:val="27"/>
                    <w:keepNext w:val="0"/>
                    <w:keepLines w:val="0"/>
                    <w:widowControl w:val="0"/>
                    <w:suppressLineNumbers w:val="0"/>
                    <w:spacing w:before="0" w:beforeAutospacing="0" w:after="0" w:afterAutospacing="0" w:line="240" w:lineRule="auto"/>
                    <w:ind w:left="0" w:leftChars="0" w:right="0" w:rightChars="0" w:firstLine="0" w:firstLineChars="0"/>
                    <w:jc w:val="center"/>
                    <w:rPr>
                      <w:rFonts w:hint="default" w:ascii="Times New Roman" w:hAnsi="Times New Roman" w:eastAsia="宋体" w:cs="Times New Roman"/>
                      <w:color w:val="auto"/>
                      <w:kern w:val="0"/>
                      <w:sz w:val="21"/>
                      <w:szCs w:val="21"/>
                      <w:highlight w:val="none"/>
                      <w:lang w:val="en-US" w:eastAsia="zh-CN" w:bidi="ar-SA"/>
                    </w:rPr>
                  </w:pPr>
                  <w:r>
                    <w:rPr>
                      <w:rFonts w:hint="eastAsia" w:ascii="Times New Roman" w:hAnsi="Times New Roman" w:eastAsia="宋体" w:cs="Times New Roman"/>
                      <w:color w:val="auto"/>
                      <w:sz w:val="21"/>
                      <w:szCs w:val="21"/>
                      <w:highlight w:val="none"/>
                      <w:lang w:val="en-US" w:eastAsia="zh-CN"/>
                    </w:rPr>
                    <w:t>23</w:t>
                  </w:r>
                </w:p>
              </w:tc>
              <w:tc>
                <w:tcPr>
                  <w:tcW w:w="625" w:type="pct"/>
                  <w:vMerge w:val="restart"/>
                  <w:tcBorders>
                    <w:tl2br w:val="nil"/>
                    <w:tr2bl w:val="nil"/>
                  </w:tcBorders>
                  <w:noWrap w:val="0"/>
                  <w:vAlign w:val="center"/>
                </w:tcPr>
                <w:p w14:paraId="14F43E5D">
                  <w:pPr>
                    <w:pStyle w:val="27"/>
                    <w:keepNext w:val="0"/>
                    <w:keepLines w:val="0"/>
                    <w:widowControl w:val="0"/>
                    <w:suppressLineNumbers w:val="0"/>
                    <w:spacing w:before="0" w:beforeAutospacing="0" w:after="0" w:afterAutospacing="0" w:line="240" w:lineRule="auto"/>
                    <w:ind w:left="0" w:leftChars="0" w:right="0" w:rightChars="0" w:firstLine="0" w:firstLineChars="0"/>
                    <w:jc w:val="center"/>
                    <w:rPr>
                      <w:rFonts w:hint="default" w:ascii="Times New Roman" w:hAnsi="Times New Roman" w:eastAsia="宋体" w:cs="Times New Roman"/>
                      <w:color w:val="auto"/>
                      <w:sz w:val="21"/>
                      <w:szCs w:val="21"/>
                      <w:highlight w:val="none"/>
                      <w:lang w:val="en-US" w:eastAsia="zh-CN"/>
                    </w:rPr>
                  </w:pPr>
                  <w:r>
                    <w:rPr>
                      <w:rFonts w:hint="default" w:ascii="Times New Roman" w:hAnsi="Times New Roman" w:eastAsia="宋体" w:cs="Times New Roman"/>
                      <w:color w:val="auto"/>
                      <w:sz w:val="21"/>
                      <w:szCs w:val="21"/>
                      <w:highlight w:val="none"/>
                      <w:lang w:val="en-US" w:eastAsia="zh-CN"/>
                    </w:rPr>
                    <w:t>DA00</w:t>
                  </w:r>
                  <w:r>
                    <w:rPr>
                      <w:rFonts w:hint="eastAsia" w:ascii="Times New Roman" w:hAnsi="Times New Roman" w:eastAsia="宋体" w:cs="Times New Roman"/>
                      <w:color w:val="auto"/>
                      <w:sz w:val="21"/>
                      <w:szCs w:val="21"/>
                      <w:highlight w:val="none"/>
                      <w:lang w:val="en-US" w:eastAsia="zh-CN"/>
                    </w:rPr>
                    <w:t>9</w:t>
                  </w:r>
                </w:p>
              </w:tc>
              <w:tc>
                <w:tcPr>
                  <w:tcW w:w="785" w:type="pct"/>
                  <w:tcBorders>
                    <w:tl2br w:val="nil"/>
                    <w:tr2bl w:val="nil"/>
                  </w:tcBorders>
                  <w:shd w:val="clear" w:color="auto" w:fill="auto"/>
                  <w:noWrap w:val="0"/>
                  <w:vAlign w:val="center"/>
                </w:tcPr>
                <w:p w14:paraId="67D073B8">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64" w:lineRule="auto"/>
                    <w:ind w:left="0" w:leftChars="0" w:right="0" w:rightChars="0"/>
                    <w:jc w:val="center"/>
                    <w:textAlignment w:val="auto"/>
                    <w:rPr>
                      <w:rFonts w:hint="eastAsia" w:ascii="Times New Roman" w:hAnsi="Times New Roman" w:eastAsia="宋体" w:cs="Times New Roman"/>
                      <w:bCs/>
                      <w:kern w:val="0"/>
                      <w:sz w:val="21"/>
                      <w:szCs w:val="21"/>
                      <w:highlight w:val="none"/>
                      <w:lang w:val="en-US" w:eastAsia="zh-CN" w:bidi="ar-SA"/>
                    </w:rPr>
                  </w:pPr>
                  <w:r>
                    <w:rPr>
                      <w:rFonts w:hint="eastAsia" w:ascii="Times New Roman" w:hAnsi="Times New Roman" w:eastAsia="宋体" w:cs="Times New Roman"/>
                      <w:bCs/>
                      <w:kern w:val="0"/>
                      <w:sz w:val="21"/>
                      <w:szCs w:val="21"/>
                      <w:highlight w:val="none"/>
                      <w:lang w:val="en-US" w:eastAsia="zh-CN"/>
                    </w:rPr>
                    <w:t>非甲烷总烃</w:t>
                  </w:r>
                </w:p>
              </w:tc>
              <w:tc>
                <w:tcPr>
                  <w:tcW w:w="1048" w:type="pct"/>
                  <w:tcBorders>
                    <w:tl2br w:val="nil"/>
                    <w:tr2bl w:val="nil"/>
                  </w:tcBorders>
                  <w:shd w:val="clear" w:color="auto" w:fill="auto"/>
                  <w:noWrap w:val="0"/>
                  <w:vAlign w:val="center"/>
                </w:tcPr>
                <w:p w14:paraId="34056969">
                  <w:pPr>
                    <w:keepNext w:val="0"/>
                    <w:keepLines w:val="0"/>
                    <w:widowControl/>
                    <w:suppressLineNumbers w:val="0"/>
                    <w:spacing w:before="0" w:beforeAutospacing="0" w:after="0" w:afterAutospacing="0"/>
                    <w:ind w:left="0" w:leftChars="0" w:right="0" w:rightChars="0"/>
                    <w:jc w:val="center"/>
                    <w:textAlignment w:val="center"/>
                    <w:rPr>
                      <w:rFonts w:hint="default" w:ascii="Times New Roman" w:hAnsi="Times New Roman" w:eastAsia="宋体" w:cs="Times New Roman"/>
                      <w:i w:val="0"/>
                      <w:iCs w:val="0"/>
                      <w:color w:val="000000"/>
                      <w:kern w:val="0"/>
                      <w:sz w:val="21"/>
                      <w:szCs w:val="21"/>
                      <w:highlight w:val="none"/>
                      <w:u w:val="none"/>
                      <w:lang w:val="en-US" w:eastAsia="zh-CN" w:bidi="ar"/>
                    </w:rPr>
                  </w:pPr>
                  <w:r>
                    <w:rPr>
                      <w:rFonts w:hint="eastAsia" w:ascii="Times New Roman" w:hAnsi="Times New Roman" w:eastAsia="宋体" w:cs="Times New Roman"/>
                      <w:i w:val="0"/>
                      <w:iCs w:val="0"/>
                      <w:color w:val="000000"/>
                      <w:kern w:val="0"/>
                      <w:sz w:val="21"/>
                      <w:szCs w:val="21"/>
                      <w:highlight w:val="none"/>
                      <w:u w:val="none"/>
                      <w:lang w:val="en-US" w:eastAsia="zh-CN" w:bidi="ar"/>
                    </w:rPr>
                    <w:t>3.58</w:t>
                  </w:r>
                </w:p>
              </w:tc>
              <w:tc>
                <w:tcPr>
                  <w:tcW w:w="1152" w:type="pct"/>
                  <w:tcBorders>
                    <w:tl2br w:val="nil"/>
                    <w:tr2bl w:val="nil"/>
                  </w:tcBorders>
                  <w:shd w:val="clear" w:color="auto" w:fill="auto"/>
                  <w:noWrap w:val="0"/>
                  <w:vAlign w:val="center"/>
                </w:tcPr>
                <w:p w14:paraId="6B97A50D">
                  <w:pPr>
                    <w:keepNext w:val="0"/>
                    <w:keepLines w:val="0"/>
                    <w:widowControl/>
                    <w:suppressLineNumbers w:val="0"/>
                    <w:spacing w:before="0" w:beforeAutospacing="0" w:after="0" w:afterAutospacing="0"/>
                    <w:ind w:left="0" w:leftChars="0" w:right="0" w:rightChars="0"/>
                    <w:jc w:val="center"/>
                    <w:textAlignment w:val="center"/>
                    <w:rPr>
                      <w:rFonts w:hint="default" w:ascii="Times New Roman" w:hAnsi="Times New Roman" w:eastAsia="宋体" w:cs="Times New Roman"/>
                      <w:i w:val="0"/>
                      <w:iCs w:val="0"/>
                      <w:color w:val="000000"/>
                      <w:kern w:val="0"/>
                      <w:sz w:val="21"/>
                      <w:szCs w:val="21"/>
                      <w:highlight w:val="none"/>
                      <w:u w:val="none"/>
                      <w:lang w:val="en-US" w:eastAsia="zh-CN" w:bidi="ar"/>
                    </w:rPr>
                  </w:pPr>
                  <w:r>
                    <w:rPr>
                      <w:rFonts w:hint="eastAsia" w:ascii="Times New Roman" w:hAnsi="Times New Roman" w:eastAsia="宋体" w:cs="Times New Roman"/>
                      <w:i w:val="0"/>
                      <w:iCs w:val="0"/>
                      <w:color w:val="000000"/>
                      <w:kern w:val="0"/>
                      <w:sz w:val="21"/>
                      <w:szCs w:val="21"/>
                      <w:highlight w:val="none"/>
                      <w:u w:val="none"/>
                      <w:lang w:val="en-US" w:eastAsia="zh-CN" w:bidi="ar"/>
                    </w:rPr>
                    <w:t>0.028</w:t>
                  </w:r>
                </w:p>
              </w:tc>
              <w:tc>
                <w:tcPr>
                  <w:tcW w:w="1076" w:type="pct"/>
                  <w:tcBorders>
                    <w:tl2br w:val="nil"/>
                    <w:tr2bl w:val="nil"/>
                  </w:tcBorders>
                  <w:shd w:val="clear" w:color="auto" w:fill="auto"/>
                  <w:noWrap w:val="0"/>
                  <w:vAlign w:val="center"/>
                </w:tcPr>
                <w:p w14:paraId="7A3B9D9B">
                  <w:pPr>
                    <w:keepNext w:val="0"/>
                    <w:keepLines w:val="0"/>
                    <w:widowControl/>
                    <w:suppressLineNumbers w:val="0"/>
                    <w:spacing w:before="0" w:beforeAutospacing="0" w:after="0" w:afterAutospacing="0"/>
                    <w:ind w:left="0" w:leftChars="0" w:right="0" w:rightChars="0"/>
                    <w:jc w:val="center"/>
                    <w:textAlignment w:val="center"/>
                    <w:rPr>
                      <w:rFonts w:hint="default" w:ascii="Times New Roman" w:hAnsi="Times New Roman" w:eastAsia="宋体" w:cs="Times New Roman"/>
                      <w:i w:val="0"/>
                      <w:iCs w:val="0"/>
                      <w:color w:val="000000"/>
                      <w:kern w:val="0"/>
                      <w:sz w:val="21"/>
                      <w:szCs w:val="21"/>
                      <w:highlight w:val="none"/>
                      <w:u w:val="none"/>
                      <w:lang w:val="en-US" w:eastAsia="zh-CN" w:bidi="ar"/>
                    </w:rPr>
                  </w:pPr>
                  <w:r>
                    <w:rPr>
                      <w:rFonts w:hint="eastAsia" w:ascii="Times New Roman" w:hAnsi="Times New Roman" w:eastAsia="宋体" w:cs="Times New Roman"/>
                      <w:i w:val="0"/>
                      <w:iCs w:val="0"/>
                      <w:color w:val="000000"/>
                      <w:kern w:val="0"/>
                      <w:sz w:val="21"/>
                      <w:szCs w:val="21"/>
                      <w:highlight w:val="none"/>
                      <w:u w:val="none"/>
                      <w:lang w:val="en-US" w:eastAsia="zh-CN" w:bidi="ar"/>
                    </w:rPr>
                    <w:t>0.029</w:t>
                  </w:r>
                </w:p>
              </w:tc>
            </w:tr>
            <w:tr w14:paraId="00B15BEE">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28" w:type="dxa"/>
                  <w:bottom w:w="0" w:type="dxa"/>
                  <w:right w:w="28" w:type="dxa"/>
                </w:tblCellMar>
              </w:tblPrEx>
              <w:trPr>
                <w:trHeight w:val="0" w:hRule="atLeast"/>
              </w:trPr>
              <w:tc>
                <w:tcPr>
                  <w:tcW w:w="311" w:type="pct"/>
                  <w:tcBorders>
                    <w:tl2br w:val="nil"/>
                    <w:tr2bl w:val="nil"/>
                  </w:tcBorders>
                  <w:shd w:val="clear" w:color="auto" w:fill="auto"/>
                  <w:noWrap w:val="0"/>
                  <w:vAlign w:val="center"/>
                </w:tcPr>
                <w:p w14:paraId="310139AE">
                  <w:pPr>
                    <w:pStyle w:val="27"/>
                    <w:keepNext w:val="0"/>
                    <w:keepLines w:val="0"/>
                    <w:widowControl w:val="0"/>
                    <w:suppressLineNumbers w:val="0"/>
                    <w:spacing w:before="0" w:beforeAutospacing="0" w:after="0" w:afterAutospacing="0" w:line="240" w:lineRule="auto"/>
                    <w:ind w:left="0" w:leftChars="0" w:right="0" w:rightChars="0" w:firstLine="0" w:firstLineChars="0"/>
                    <w:jc w:val="center"/>
                    <w:rPr>
                      <w:rFonts w:hint="default" w:ascii="Times New Roman" w:hAnsi="Times New Roman" w:eastAsia="宋体" w:cs="Times New Roman"/>
                      <w:color w:val="auto"/>
                      <w:kern w:val="0"/>
                      <w:sz w:val="21"/>
                      <w:szCs w:val="21"/>
                      <w:highlight w:val="none"/>
                      <w:lang w:val="en-US" w:eastAsia="zh-CN" w:bidi="ar-SA"/>
                    </w:rPr>
                  </w:pPr>
                  <w:r>
                    <w:rPr>
                      <w:rFonts w:hint="eastAsia" w:ascii="Times New Roman" w:hAnsi="Times New Roman" w:eastAsia="宋体" w:cs="Times New Roman"/>
                      <w:color w:val="auto"/>
                      <w:sz w:val="21"/>
                      <w:szCs w:val="21"/>
                      <w:highlight w:val="none"/>
                      <w:lang w:val="en-US" w:eastAsia="zh-CN"/>
                    </w:rPr>
                    <w:t>24</w:t>
                  </w:r>
                </w:p>
              </w:tc>
              <w:tc>
                <w:tcPr>
                  <w:tcW w:w="625" w:type="pct"/>
                  <w:vMerge w:val="continue"/>
                  <w:tcBorders>
                    <w:tl2br w:val="nil"/>
                    <w:tr2bl w:val="nil"/>
                  </w:tcBorders>
                  <w:noWrap w:val="0"/>
                  <w:vAlign w:val="center"/>
                </w:tcPr>
                <w:p w14:paraId="7C2A5D59">
                  <w:pPr>
                    <w:pStyle w:val="27"/>
                    <w:keepNext w:val="0"/>
                    <w:keepLines w:val="0"/>
                    <w:widowControl w:val="0"/>
                    <w:suppressLineNumbers w:val="0"/>
                    <w:spacing w:before="0" w:beforeAutospacing="0" w:after="0" w:afterAutospacing="0" w:line="240" w:lineRule="auto"/>
                    <w:ind w:left="0" w:leftChars="0" w:right="0" w:rightChars="0" w:firstLine="0" w:firstLineChars="0"/>
                    <w:jc w:val="center"/>
                    <w:rPr>
                      <w:rFonts w:hint="default" w:ascii="Times New Roman" w:hAnsi="Times New Roman" w:eastAsia="宋体" w:cs="Times New Roman"/>
                      <w:color w:val="auto"/>
                      <w:sz w:val="21"/>
                      <w:szCs w:val="21"/>
                      <w:highlight w:val="none"/>
                      <w:lang w:val="en-US" w:eastAsia="zh-CN"/>
                    </w:rPr>
                  </w:pPr>
                </w:p>
              </w:tc>
              <w:tc>
                <w:tcPr>
                  <w:tcW w:w="785" w:type="pct"/>
                  <w:tcBorders>
                    <w:tl2br w:val="nil"/>
                    <w:tr2bl w:val="nil"/>
                  </w:tcBorders>
                  <w:shd w:val="clear" w:color="auto" w:fill="auto"/>
                  <w:noWrap w:val="0"/>
                  <w:vAlign w:val="center"/>
                </w:tcPr>
                <w:p w14:paraId="23A96E99">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64" w:lineRule="auto"/>
                    <w:ind w:left="0" w:leftChars="0" w:right="0" w:rightChars="0"/>
                    <w:jc w:val="center"/>
                    <w:textAlignment w:val="auto"/>
                    <w:rPr>
                      <w:rFonts w:hint="eastAsia" w:ascii="Times New Roman" w:hAnsi="Times New Roman" w:eastAsia="宋体" w:cs="Times New Roman"/>
                      <w:bCs/>
                      <w:kern w:val="0"/>
                      <w:sz w:val="21"/>
                      <w:szCs w:val="21"/>
                      <w:highlight w:val="none"/>
                      <w:lang w:val="en-US" w:eastAsia="zh-CN" w:bidi="ar-SA"/>
                    </w:rPr>
                  </w:pPr>
                  <w:r>
                    <w:rPr>
                      <w:rFonts w:hint="eastAsia" w:ascii="Times New Roman" w:hAnsi="Times New Roman" w:eastAsia="宋体" w:cs="Times New Roman"/>
                      <w:bCs/>
                      <w:kern w:val="0"/>
                      <w:sz w:val="21"/>
                      <w:szCs w:val="21"/>
                      <w:highlight w:val="none"/>
                      <w:lang w:val="en-US" w:eastAsia="zh-CN"/>
                    </w:rPr>
                    <w:t>氯气</w:t>
                  </w:r>
                </w:p>
              </w:tc>
              <w:tc>
                <w:tcPr>
                  <w:tcW w:w="3277" w:type="pct"/>
                  <w:gridSpan w:val="3"/>
                  <w:tcBorders>
                    <w:tl2br w:val="nil"/>
                    <w:tr2bl w:val="nil"/>
                  </w:tcBorders>
                  <w:shd w:val="clear" w:color="auto" w:fill="auto"/>
                  <w:noWrap w:val="0"/>
                  <w:vAlign w:val="center"/>
                </w:tcPr>
                <w:p w14:paraId="41109F42">
                  <w:pPr>
                    <w:pStyle w:val="27"/>
                    <w:keepNext w:val="0"/>
                    <w:keepLines w:val="0"/>
                    <w:widowControl w:val="0"/>
                    <w:suppressLineNumbers w:val="0"/>
                    <w:spacing w:before="0" w:beforeAutospacing="0" w:after="0" w:afterAutospacing="0" w:line="240" w:lineRule="auto"/>
                    <w:ind w:left="0" w:leftChars="0" w:right="0" w:rightChars="0" w:firstLine="0" w:firstLineChars="0"/>
                    <w:jc w:val="center"/>
                    <w:rPr>
                      <w:rFonts w:hint="default" w:ascii="Times New Roman" w:hAnsi="Times New Roman" w:eastAsia="宋体" w:cs="Times New Roman"/>
                      <w:color w:val="auto"/>
                      <w:sz w:val="21"/>
                      <w:szCs w:val="21"/>
                      <w:highlight w:val="none"/>
                      <w:lang w:val="en-US" w:eastAsia="zh-CN"/>
                    </w:rPr>
                  </w:pPr>
                  <w:r>
                    <w:rPr>
                      <w:rFonts w:hint="eastAsia" w:ascii="Times New Roman" w:hAnsi="Times New Roman" w:eastAsia="宋体" w:cs="Times New Roman"/>
                      <w:i w:val="0"/>
                      <w:iCs w:val="0"/>
                      <w:color w:val="000000"/>
                      <w:kern w:val="0"/>
                      <w:sz w:val="21"/>
                      <w:szCs w:val="21"/>
                      <w:highlight w:val="none"/>
                      <w:u w:val="none"/>
                      <w:lang w:val="en-US" w:eastAsia="zh-CN" w:bidi="ar"/>
                    </w:rPr>
                    <w:t>少量</w:t>
                  </w:r>
                </w:p>
              </w:tc>
            </w:tr>
            <w:tr w14:paraId="417E85F0">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28" w:type="dxa"/>
                  <w:bottom w:w="0" w:type="dxa"/>
                  <w:right w:w="28" w:type="dxa"/>
                </w:tblCellMar>
              </w:tblPrEx>
              <w:trPr>
                <w:trHeight w:val="0" w:hRule="atLeast"/>
              </w:trPr>
              <w:tc>
                <w:tcPr>
                  <w:tcW w:w="311" w:type="pct"/>
                  <w:tcBorders>
                    <w:tl2br w:val="nil"/>
                    <w:tr2bl w:val="nil"/>
                  </w:tcBorders>
                  <w:shd w:val="clear" w:color="auto" w:fill="auto"/>
                  <w:noWrap w:val="0"/>
                  <w:vAlign w:val="center"/>
                </w:tcPr>
                <w:p w14:paraId="52B1CF1B">
                  <w:pPr>
                    <w:pStyle w:val="27"/>
                    <w:keepNext w:val="0"/>
                    <w:keepLines w:val="0"/>
                    <w:widowControl w:val="0"/>
                    <w:suppressLineNumbers w:val="0"/>
                    <w:spacing w:before="0" w:beforeAutospacing="0" w:after="0" w:afterAutospacing="0" w:line="240" w:lineRule="auto"/>
                    <w:ind w:left="0" w:leftChars="0" w:right="0" w:rightChars="0" w:firstLine="0" w:firstLineChars="0"/>
                    <w:jc w:val="center"/>
                    <w:rPr>
                      <w:rFonts w:hint="default" w:ascii="Times New Roman" w:hAnsi="Times New Roman" w:eastAsia="宋体" w:cs="Times New Roman"/>
                      <w:color w:val="auto"/>
                      <w:kern w:val="0"/>
                      <w:sz w:val="21"/>
                      <w:szCs w:val="21"/>
                      <w:highlight w:val="none"/>
                      <w:lang w:val="en-US" w:eastAsia="zh-CN" w:bidi="ar-SA"/>
                    </w:rPr>
                  </w:pPr>
                  <w:r>
                    <w:rPr>
                      <w:rFonts w:hint="eastAsia" w:ascii="Times New Roman" w:hAnsi="Times New Roman" w:eastAsia="宋体" w:cs="Times New Roman"/>
                      <w:color w:val="auto"/>
                      <w:sz w:val="21"/>
                      <w:szCs w:val="21"/>
                      <w:highlight w:val="none"/>
                      <w:lang w:val="en-US" w:eastAsia="zh-CN"/>
                    </w:rPr>
                    <w:t>25</w:t>
                  </w:r>
                </w:p>
              </w:tc>
              <w:tc>
                <w:tcPr>
                  <w:tcW w:w="625" w:type="pct"/>
                  <w:vMerge w:val="continue"/>
                  <w:tcBorders>
                    <w:tl2br w:val="nil"/>
                    <w:tr2bl w:val="nil"/>
                  </w:tcBorders>
                  <w:noWrap w:val="0"/>
                  <w:vAlign w:val="center"/>
                </w:tcPr>
                <w:p w14:paraId="6C5F9AF6">
                  <w:pPr>
                    <w:pStyle w:val="27"/>
                    <w:keepNext w:val="0"/>
                    <w:keepLines w:val="0"/>
                    <w:widowControl w:val="0"/>
                    <w:suppressLineNumbers w:val="0"/>
                    <w:spacing w:before="0" w:beforeAutospacing="0" w:after="0" w:afterAutospacing="0" w:line="240" w:lineRule="auto"/>
                    <w:ind w:left="0" w:leftChars="0" w:right="0" w:rightChars="0" w:firstLine="0" w:firstLineChars="0"/>
                    <w:jc w:val="center"/>
                    <w:rPr>
                      <w:rFonts w:hint="default" w:ascii="Times New Roman" w:hAnsi="Times New Roman" w:eastAsia="宋体" w:cs="Times New Roman"/>
                      <w:color w:val="auto"/>
                      <w:sz w:val="21"/>
                      <w:szCs w:val="21"/>
                      <w:highlight w:val="none"/>
                      <w:lang w:val="en-US" w:eastAsia="zh-CN"/>
                    </w:rPr>
                  </w:pPr>
                </w:p>
              </w:tc>
              <w:tc>
                <w:tcPr>
                  <w:tcW w:w="785" w:type="pct"/>
                  <w:tcBorders>
                    <w:tl2br w:val="nil"/>
                    <w:tr2bl w:val="nil"/>
                  </w:tcBorders>
                  <w:shd w:val="clear" w:color="auto" w:fill="auto"/>
                  <w:noWrap w:val="0"/>
                  <w:vAlign w:val="center"/>
                </w:tcPr>
                <w:p w14:paraId="4AE688CA">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64" w:lineRule="auto"/>
                    <w:ind w:left="0" w:leftChars="0" w:right="0" w:rightChars="0"/>
                    <w:jc w:val="center"/>
                    <w:textAlignment w:val="auto"/>
                    <w:rPr>
                      <w:rFonts w:hint="eastAsia" w:ascii="Times New Roman" w:hAnsi="Times New Roman" w:eastAsia="宋体" w:cs="Times New Roman"/>
                      <w:bCs/>
                      <w:kern w:val="0"/>
                      <w:sz w:val="21"/>
                      <w:szCs w:val="21"/>
                      <w:highlight w:val="none"/>
                      <w:lang w:val="en-US" w:eastAsia="zh-CN" w:bidi="ar-SA"/>
                    </w:rPr>
                  </w:pPr>
                  <w:r>
                    <w:rPr>
                      <w:rFonts w:hint="eastAsia" w:ascii="Times New Roman" w:hAnsi="Times New Roman" w:eastAsia="宋体" w:cs="Times New Roman"/>
                      <w:bCs/>
                      <w:kern w:val="0"/>
                      <w:sz w:val="21"/>
                      <w:szCs w:val="21"/>
                      <w:highlight w:val="none"/>
                      <w:lang w:val="en-US" w:eastAsia="zh-CN"/>
                    </w:rPr>
                    <w:t>甲醛</w:t>
                  </w:r>
                </w:p>
              </w:tc>
              <w:tc>
                <w:tcPr>
                  <w:tcW w:w="1048" w:type="pct"/>
                  <w:tcBorders>
                    <w:tl2br w:val="nil"/>
                    <w:tr2bl w:val="nil"/>
                  </w:tcBorders>
                  <w:shd w:val="clear" w:color="auto" w:fill="auto"/>
                  <w:noWrap w:val="0"/>
                  <w:vAlign w:val="center"/>
                </w:tcPr>
                <w:p w14:paraId="0CC99340">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64" w:lineRule="auto"/>
                    <w:ind w:left="0" w:leftChars="0" w:right="0" w:rightChars="0"/>
                    <w:jc w:val="center"/>
                    <w:textAlignment w:val="auto"/>
                    <w:rPr>
                      <w:rFonts w:hint="default" w:ascii="Times New Roman" w:hAnsi="Times New Roman" w:eastAsia="宋体" w:cs="Times New Roman"/>
                      <w:bCs/>
                      <w:kern w:val="0"/>
                      <w:sz w:val="21"/>
                      <w:szCs w:val="21"/>
                      <w:highlight w:val="none"/>
                      <w:lang w:val="en-US" w:eastAsia="zh-CN" w:bidi="ar-SA"/>
                    </w:rPr>
                  </w:pPr>
                  <w:r>
                    <w:rPr>
                      <w:rFonts w:hint="eastAsia" w:ascii="Times New Roman" w:hAnsi="Times New Roman" w:eastAsia="宋体" w:cs="Times New Roman"/>
                      <w:i w:val="0"/>
                      <w:iCs w:val="0"/>
                      <w:color w:val="000000"/>
                      <w:kern w:val="0"/>
                      <w:sz w:val="21"/>
                      <w:szCs w:val="21"/>
                      <w:highlight w:val="none"/>
                      <w:u w:val="none"/>
                      <w:lang w:val="en-US" w:eastAsia="zh-CN" w:bidi="ar"/>
                    </w:rPr>
                    <w:t>0.51</w:t>
                  </w:r>
                </w:p>
              </w:tc>
              <w:tc>
                <w:tcPr>
                  <w:tcW w:w="1152" w:type="pct"/>
                  <w:tcBorders>
                    <w:tl2br w:val="nil"/>
                    <w:tr2bl w:val="nil"/>
                  </w:tcBorders>
                  <w:shd w:val="clear" w:color="auto" w:fill="auto"/>
                  <w:noWrap w:val="0"/>
                  <w:vAlign w:val="center"/>
                </w:tcPr>
                <w:p w14:paraId="68E3962E">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64" w:lineRule="auto"/>
                    <w:ind w:left="0" w:leftChars="0" w:right="0" w:rightChars="0"/>
                    <w:jc w:val="center"/>
                    <w:textAlignment w:val="auto"/>
                    <w:rPr>
                      <w:rFonts w:hint="default" w:ascii="Times New Roman" w:hAnsi="Times New Roman" w:eastAsia="宋体" w:cs="Times New Roman"/>
                      <w:bCs/>
                      <w:kern w:val="0"/>
                      <w:sz w:val="21"/>
                      <w:szCs w:val="21"/>
                      <w:highlight w:val="none"/>
                      <w:lang w:val="en-US" w:eastAsia="zh-CN" w:bidi="ar-SA"/>
                    </w:rPr>
                  </w:pPr>
                  <w:r>
                    <w:rPr>
                      <w:rFonts w:hint="eastAsia" w:ascii="Times New Roman" w:hAnsi="Times New Roman" w:eastAsia="宋体" w:cs="Times New Roman"/>
                      <w:bCs/>
                      <w:kern w:val="0"/>
                      <w:sz w:val="21"/>
                      <w:szCs w:val="21"/>
                      <w:highlight w:val="none"/>
                      <w:lang w:val="en-US" w:eastAsia="zh-CN"/>
                    </w:rPr>
                    <w:t>0.004</w:t>
                  </w:r>
                </w:p>
              </w:tc>
              <w:tc>
                <w:tcPr>
                  <w:tcW w:w="1076" w:type="pct"/>
                  <w:tcBorders>
                    <w:tl2br w:val="nil"/>
                    <w:tr2bl w:val="nil"/>
                  </w:tcBorders>
                  <w:shd w:val="clear" w:color="auto" w:fill="auto"/>
                  <w:noWrap w:val="0"/>
                  <w:vAlign w:val="center"/>
                </w:tcPr>
                <w:p w14:paraId="10771A50">
                  <w:pPr>
                    <w:keepNext w:val="0"/>
                    <w:keepLines w:val="0"/>
                    <w:suppressLineNumbers w:val="0"/>
                    <w:spacing w:before="0" w:beforeAutospacing="0" w:after="0" w:afterAutospacing="0"/>
                    <w:ind w:left="0" w:leftChars="0" w:right="0" w:rightChars="0"/>
                    <w:jc w:val="center"/>
                    <w:rPr>
                      <w:rFonts w:hint="default" w:ascii="Times New Roman" w:hAnsi="Times New Roman" w:eastAsia="宋体" w:cs="Times New Roman"/>
                      <w:color w:val="auto"/>
                      <w:kern w:val="2"/>
                      <w:sz w:val="21"/>
                      <w:szCs w:val="21"/>
                      <w:highlight w:val="none"/>
                      <w:lang w:val="en-US" w:eastAsia="zh-CN" w:bidi="ar-SA"/>
                    </w:rPr>
                  </w:pPr>
                  <w:r>
                    <w:rPr>
                      <w:rFonts w:hint="eastAsia" w:ascii="Times New Roman" w:hAnsi="Times New Roman" w:eastAsia="宋体" w:cs="Times New Roman"/>
                      <w:bCs/>
                      <w:kern w:val="0"/>
                      <w:sz w:val="21"/>
                      <w:szCs w:val="21"/>
                      <w:highlight w:val="none"/>
                      <w:lang w:val="en-US" w:eastAsia="zh-CN"/>
                    </w:rPr>
                    <w:t>0.009</w:t>
                  </w:r>
                </w:p>
              </w:tc>
            </w:tr>
            <w:tr w14:paraId="0D745A0C">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28" w:type="dxa"/>
                  <w:bottom w:w="0" w:type="dxa"/>
                  <w:right w:w="28" w:type="dxa"/>
                </w:tblCellMar>
              </w:tblPrEx>
              <w:trPr>
                <w:trHeight w:val="0" w:hRule="atLeast"/>
              </w:trPr>
              <w:tc>
                <w:tcPr>
                  <w:tcW w:w="311" w:type="pct"/>
                  <w:tcBorders>
                    <w:tl2br w:val="nil"/>
                    <w:tr2bl w:val="nil"/>
                  </w:tcBorders>
                  <w:shd w:val="clear" w:color="auto" w:fill="auto"/>
                  <w:noWrap w:val="0"/>
                  <w:vAlign w:val="center"/>
                </w:tcPr>
                <w:p w14:paraId="7D1ECF5D">
                  <w:pPr>
                    <w:pStyle w:val="27"/>
                    <w:keepNext w:val="0"/>
                    <w:keepLines w:val="0"/>
                    <w:widowControl w:val="0"/>
                    <w:suppressLineNumbers w:val="0"/>
                    <w:spacing w:before="0" w:beforeAutospacing="0" w:after="0" w:afterAutospacing="0" w:line="240" w:lineRule="auto"/>
                    <w:ind w:left="0" w:leftChars="0" w:right="0" w:rightChars="0" w:firstLine="0" w:firstLineChars="0"/>
                    <w:jc w:val="center"/>
                    <w:rPr>
                      <w:rFonts w:hint="default" w:ascii="Times New Roman" w:hAnsi="Times New Roman" w:eastAsia="宋体" w:cs="Times New Roman"/>
                      <w:color w:val="auto"/>
                      <w:kern w:val="0"/>
                      <w:sz w:val="21"/>
                      <w:szCs w:val="21"/>
                      <w:highlight w:val="none"/>
                      <w:lang w:val="en-US" w:eastAsia="zh-CN" w:bidi="ar-SA"/>
                    </w:rPr>
                  </w:pPr>
                  <w:r>
                    <w:rPr>
                      <w:rFonts w:hint="eastAsia" w:ascii="Times New Roman" w:hAnsi="Times New Roman" w:eastAsia="宋体" w:cs="Times New Roman"/>
                      <w:color w:val="auto"/>
                      <w:sz w:val="21"/>
                      <w:szCs w:val="21"/>
                      <w:highlight w:val="none"/>
                      <w:lang w:val="en-US" w:eastAsia="zh-CN"/>
                    </w:rPr>
                    <w:t>26</w:t>
                  </w:r>
                </w:p>
              </w:tc>
              <w:tc>
                <w:tcPr>
                  <w:tcW w:w="625" w:type="pct"/>
                  <w:vMerge w:val="restart"/>
                  <w:tcBorders>
                    <w:tl2br w:val="nil"/>
                    <w:tr2bl w:val="nil"/>
                  </w:tcBorders>
                  <w:noWrap w:val="0"/>
                  <w:vAlign w:val="center"/>
                </w:tcPr>
                <w:p w14:paraId="56C61726">
                  <w:pPr>
                    <w:pStyle w:val="27"/>
                    <w:keepNext w:val="0"/>
                    <w:keepLines w:val="0"/>
                    <w:widowControl w:val="0"/>
                    <w:suppressLineNumbers w:val="0"/>
                    <w:spacing w:before="0" w:beforeAutospacing="0" w:after="0" w:afterAutospacing="0" w:line="240" w:lineRule="auto"/>
                    <w:ind w:left="0" w:leftChars="0" w:right="0" w:rightChars="0" w:firstLine="0" w:firstLineChars="0"/>
                    <w:jc w:val="center"/>
                    <w:rPr>
                      <w:rFonts w:hint="default" w:ascii="Times New Roman" w:hAnsi="Times New Roman" w:eastAsia="宋体" w:cs="Times New Roman"/>
                      <w:color w:val="auto"/>
                      <w:sz w:val="21"/>
                      <w:szCs w:val="21"/>
                      <w:highlight w:val="none"/>
                      <w:lang w:val="en-US" w:eastAsia="zh-CN"/>
                    </w:rPr>
                  </w:pPr>
                  <w:r>
                    <w:rPr>
                      <w:rFonts w:hint="eastAsia" w:ascii="Times New Roman" w:hAnsi="Times New Roman" w:eastAsia="宋体" w:cs="Times New Roman"/>
                      <w:color w:val="auto"/>
                      <w:sz w:val="21"/>
                      <w:szCs w:val="21"/>
                      <w:highlight w:val="none"/>
                      <w:lang w:val="en-US" w:eastAsia="zh-CN"/>
                    </w:rPr>
                    <w:t>DA010</w:t>
                  </w:r>
                </w:p>
              </w:tc>
              <w:tc>
                <w:tcPr>
                  <w:tcW w:w="785" w:type="pct"/>
                  <w:tcBorders>
                    <w:tl2br w:val="nil"/>
                    <w:tr2bl w:val="nil"/>
                  </w:tcBorders>
                  <w:shd w:val="clear" w:color="auto" w:fill="auto"/>
                  <w:noWrap w:val="0"/>
                  <w:vAlign w:val="center"/>
                </w:tcPr>
                <w:p w14:paraId="3EFA2EB4">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64" w:lineRule="auto"/>
                    <w:ind w:left="0" w:leftChars="0" w:right="0" w:rightChars="0"/>
                    <w:jc w:val="center"/>
                    <w:textAlignment w:val="auto"/>
                    <w:rPr>
                      <w:rFonts w:hint="eastAsia" w:ascii="Times New Roman" w:hAnsi="Times New Roman" w:eastAsia="宋体" w:cs="Times New Roman"/>
                      <w:bCs/>
                      <w:kern w:val="0"/>
                      <w:sz w:val="21"/>
                      <w:szCs w:val="21"/>
                      <w:highlight w:val="none"/>
                      <w:lang w:val="en-US" w:eastAsia="zh-CN" w:bidi="ar-SA"/>
                    </w:rPr>
                  </w:pPr>
                  <w:r>
                    <w:rPr>
                      <w:rFonts w:hint="eastAsia" w:ascii="Times New Roman" w:hAnsi="Times New Roman" w:eastAsia="宋体" w:cs="Times New Roman"/>
                      <w:bCs/>
                      <w:kern w:val="0"/>
                      <w:sz w:val="21"/>
                      <w:szCs w:val="21"/>
                      <w:highlight w:val="none"/>
                      <w:lang w:val="en-US" w:eastAsia="zh-CN"/>
                    </w:rPr>
                    <w:t>甲醛</w:t>
                  </w:r>
                </w:p>
              </w:tc>
              <w:tc>
                <w:tcPr>
                  <w:tcW w:w="1048" w:type="pct"/>
                  <w:tcBorders>
                    <w:tl2br w:val="nil"/>
                    <w:tr2bl w:val="nil"/>
                  </w:tcBorders>
                  <w:shd w:val="clear" w:color="auto" w:fill="auto"/>
                  <w:noWrap w:val="0"/>
                  <w:vAlign w:val="center"/>
                </w:tcPr>
                <w:p w14:paraId="6D7628A2">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64" w:lineRule="auto"/>
                    <w:ind w:left="0" w:leftChars="0" w:right="0" w:rightChars="0"/>
                    <w:jc w:val="center"/>
                    <w:textAlignment w:val="auto"/>
                    <w:rPr>
                      <w:rFonts w:hint="default" w:ascii="Times New Roman" w:hAnsi="Times New Roman" w:eastAsia="宋体" w:cs="Times New Roman"/>
                      <w:bCs/>
                      <w:kern w:val="0"/>
                      <w:sz w:val="21"/>
                      <w:szCs w:val="21"/>
                      <w:highlight w:val="none"/>
                      <w:lang w:val="en-US" w:eastAsia="zh-CN" w:bidi="ar-SA"/>
                    </w:rPr>
                  </w:pPr>
                  <w:r>
                    <w:rPr>
                      <w:rFonts w:hint="eastAsia" w:ascii="Times New Roman" w:hAnsi="Times New Roman" w:eastAsia="宋体" w:cs="Times New Roman"/>
                      <w:color w:val="auto"/>
                      <w:kern w:val="2"/>
                      <w:sz w:val="21"/>
                      <w:szCs w:val="21"/>
                      <w:highlight w:val="none"/>
                      <w:lang w:val="en-US" w:eastAsia="zh-CN" w:bidi="ar-SA"/>
                    </w:rPr>
                    <w:t>0.67</w:t>
                  </w:r>
                </w:p>
              </w:tc>
              <w:tc>
                <w:tcPr>
                  <w:tcW w:w="1152" w:type="pct"/>
                  <w:tcBorders>
                    <w:tl2br w:val="nil"/>
                    <w:tr2bl w:val="nil"/>
                  </w:tcBorders>
                  <w:shd w:val="clear" w:color="auto" w:fill="auto"/>
                  <w:noWrap w:val="0"/>
                  <w:vAlign w:val="center"/>
                </w:tcPr>
                <w:p w14:paraId="41008C07">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64" w:lineRule="auto"/>
                    <w:ind w:left="0" w:leftChars="0" w:right="0" w:rightChars="0"/>
                    <w:jc w:val="center"/>
                    <w:textAlignment w:val="auto"/>
                    <w:rPr>
                      <w:rFonts w:hint="default" w:ascii="Times New Roman" w:hAnsi="Times New Roman" w:eastAsia="宋体" w:cs="Times New Roman"/>
                      <w:bCs/>
                      <w:kern w:val="0"/>
                      <w:sz w:val="21"/>
                      <w:szCs w:val="21"/>
                      <w:highlight w:val="none"/>
                      <w:lang w:val="en-US" w:eastAsia="zh-CN" w:bidi="ar-SA"/>
                    </w:rPr>
                  </w:pPr>
                  <w:r>
                    <w:rPr>
                      <w:rFonts w:hint="eastAsia" w:ascii="Times New Roman" w:hAnsi="Times New Roman" w:eastAsia="宋体" w:cs="Times New Roman"/>
                      <w:bCs/>
                      <w:kern w:val="0"/>
                      <w:sz w:val="21"/>
                      <w:szCs w:val="21"/>
                      <w:highlight w:val="none"/>
                      <w:lang w:val="en-US" w:eastAsia="zh-CN"/>
                    </w:rPr>
                    <w:t>0.004</w:t>
                  </w:r>
                </w:p>
              </w:tc>
              <w:tc>
                <w:tcPr>
                  <w:tcW w:w="1076" w:type="pct"/>
                  <w:tcBorders>
                    <w:tl2br w:val="nil"/>
                    <w:tr2bl w:val="nil"/>
                  </w:tcBorders>
                  <w:shd w:val="clear" w:color="auto" w:fill="auto"/>
                  <w:noWrap w:val="0"/>
                  <w:vAlign w:val="center"/>
                </w:tcPr>
                <w:p w14:paraId="1965EE13">
                  <w:pPr>
                    <w:keepNext w:val="0"/>
                    <w:keepLines w:val="0"/>
                    <w:suppressLineNumbers w:val="0"/>
                    <w:spacing w:before="0" w:beforeAutospacing="0" w:after="0" w:afterAutospacing="0"/>
                    <w:ind w:left="0" w:leftChars="0" w:right="0" w:rightChars="0"/>
                    <w:jc w:val="center"/>
                    <w:rPr>
                      <w:rFonts w:hint="default" w:ascii="Times New Roman" w:hAnsi="Times New Roman" w:eastAsia="宋体" w:cs="Times New Roman"/>
                      <w:color w:val="auto"/>
                      <w:kern w:val="2"/>
                      <w:sz w:val="21"/>
                      <w:szCs w:val="21"/>
                      <w:highlight w:val="none"/>
                      <w:lang w:val="en-US" w:eastAsia="zh-CN" w:bidi="ar-SA"/>
                    </w:rPr>
                  </w:pPr>
                  <w:r>
                    <w:rPr>
                      <w:rFonts w:hint="eastAsia" w:ascii="Times New Roman" w:hAnsi="Times New Roman" w:eastAsia="宋体" w:cs="Times New Roman"/>
                      <w:bCs/>
                      <w:kern w:val="0"/>
                      <w:sz w:val="21"/>
                      <w:szCs w:val="21"/>
                      <w:highlight w:val="none"/>
                      <w:lang w:val="en-US" w:eastAsia="zh-CN"/>
                    </w:rPr>
                    <w:t>0.009</w:t>
                  </w:r>
                </w:p>
              </w:tc>
            </w:tr>
            <w:tr w14:paraId="349E2ACA">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28" w:type="dxa"/>
                  <w:bottom w:w="0" w:type="dxa"/>
                  <w:right w:w="28" w:type="dxa"/>
                </w:tblCellMar>
              </w:tblPrEx>
              <w:trPr>
                <w:trHeight w:val="0" w:hRule="atLeast"/>
              </w:trPr>
              <w:tc>
                <w:tcPr>
                  <w:tcW w:w="311" w:type="pct"/>
                  <w:tcBorders>
                    <w:tl2br w:val="nil"/>
                    <w:tr2bl w:val="nil"/>
                  </w:tcBorders>
                  <w:shd w:val="clear" w:color="auto" w:fill="auto"/>
                  <w:noWrap w:val="0"/>
                  <w:vAlign w:val="center"/>
                </w:tcPr>
                <w:p w14:paraId="15AC7838">
                  <w:pPr>
                    <w:pStyle w:val="27"/>
                    <w:keepNext w:val="0"/>
                    <w:keepLines w:val="0"/>
                    <w:widowControl w:val="0"/>
                    <w:suppressLineNumbers w:val="0"/>
                    <w:spacing w:before="0" w:beforeAutospacing="0" w:after="0" w:afterAutospacing="0" w:line="240" w:lineRule="auto"/>
                    <w:ind w:left="0" w:leftChars="0" w:right="0" w:rightChars="0" w:firstLine="0" w:firstLineChars="0"/>
                    <w:jc w:val="center"/>
                    <w:rPr>
                      <w:rFonts w:hint="default" w:ascii="Times New Roman" w:hAnsi="Times New Roman" w:eastAsia="宋体" w:cs="Times New Roman"/>
                      <w:color w:val="auto"/>
                      <w:kern w:val="0"/>
                      <w:sz w:val="21"/>
                      <w:szCs w:val="21"/>
                      <w:highlight w:val="none"/>
                      <w:lang w:val="en-US" w:eastAsia="zh-CN" w:bidi="ar-SA"/>
                    </w:rPr>
                  </w:pPr>
                  <w:r>
                    <w:rPr>
                      <w:rFonts w:hint="eastAsia" w:ascii="Times New Roman" w:hAnsi="Times New Roman" w:eastAsia="宋体" w:cs="Times New Roman"/>
                      <w:color w:val="auto"/>
                      <w:sz w:val="21"/>
                      <w:szCs w:val="21"/>
                      <w:highlight w:val="none"/>
                      <w:lang w:val="en-US" w:eastAsia="zh-CN"/>
                    </w:rPr>
                    <w:t>27</w:t>
                  </w:r>
                </w:p>
              </w:tc>
              <w:tc>
                <w:tcPr>
                  <w:tcW w:w="625" w:type="pct"/>
                  <w:vMerge w:val="continue"/>
                  <w:tcBorders>
                    <w:tl2br w:val="nil"/>
                    <w:tr2bl w:val="nil"/>
                  </w:tcBorders>
                  <w:noWrap w:val="0"/>
                  <w:vAlign w:val="center"/>
                </w:tcPr>
                <w:p w14:paraId="71937F54">
                  <w:pPr>
                    <w:pStyle w:val="27"/>
                    <w:keepNext w:val="0"/>
                    <w:keepLines w:val="0"/>
                    <w:widowControl w:val="0"/>
                    <w:suppressLineNumbers w:val="0"/>
                    <w:spacing w:before="0" w:beforeAutospacing="0" w:after="0" w:afterAutospacing="0" w:line="240" w:lineRule="auto"/>
                    <w:ind w:left="0" w:leftChars="0" w:right="0" w:rightChars="0" w:firstLine="0" w:firstLineChars="0"/>
                    <w:jc w:val="center"/>
                    <w:rPr>
                      <w:rFonts w:hint="default" w:ascii="Times New Roman" w:hAnsi="Times New Roman" w:eastAsia="宋体" w:cs="Times New Roman"/>
                      <w:color w:val="auto"/>
                      <w:sz w:val="21"/>
                      <w:szCs w:val="21"/>
                      <w:highlight w:val="none"/>
                      <w:lang w:val="en-US" w:eastAsia="zh-CN"/>
                    </w:rPr>
                  </w:pPr>
                </w:p>
              </w:tc>
              <w:tc>
                <w:tcPr>
                  <w:tcW w:w="785" w:type="pct"/>
                  <w:tcBorders>
                    <w:tl2br w:val="nil"/>
                    <w:tr2bl w:val="nil"/>
                  </w:tcBorders>
                  <w:shd w:val="clear" w:color="auto" w:fill="auto"/>
                  <w:noWrap w:val="0"/>
                  <w:vAlign w:val="center"/>
                </w:tcPr>
                <w:p w14:paraId="58DB2492">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64" w:lineRule="auto"/>
                    <w:ind w:left="0" w:leftChars="0" w:right="0" w:rightChars="0"/>
                    <w:jc w:val="center"/>
                    <w:textAlignment w:val="auto"/>
                    <w:rPr>
                      <w:rFonts w:hint="eastAsia" w:ascii="Times New Roman" w:hAnsi="Times New Roman" w:eastAsia="宋体" w:cs="Times New Roman"/>
                      <w:bCs/>
                      <w:kern w:val="0"/>
                      <w:sz w:val="21"/>
                      <w:szCs w:val="21"/>
                      <w:highlight w:val="none"/>
                      <w:lang w:val="en-US" w:eastAsia="zh-CN" w:bidi="ar-SA"/>
                    </w:rPr>
                  </w:pPr>
                  <w:r>
                    <w:rPr>
                      <w:rFonts w:hint="default" w:ascii="Times New Roman" w:hAnsi="Times New Roman" w:eastAsia="宋体" w:cs="Times New Roman"/>
                      <w:bCs/>
                      <w:kern w:val="0"/>
                      <w:sz w:val="21"/>
                      <w:szCs w:val="21"/>
                      <w:highlight w:val="none"/>
                    </w:rPr>
                    <w:t>氨</w:t>
                  </w:r>
                </w:p>
              </w:tc>
              <w:tc>
                <w:tcPr>
                  <w:tcW w:w="1048" w:type="pct"/>
                  <w:tcBorders>
                    <w:tl2br w:val="nil"/>
                    <w:tr2bl w:val="nil"/>
                  </w:tcBorders>
                  <w:shd w:val="clear" w:color="auto" w:fill="auto"/>
                  <w:noWrap w:val="0"/>
                  <w:vAlign w:val="center"/>
                </w:tcPr>
                <w:p w14:paraId="73DC2EFB">
                  <w:pPr>
                    <w:keepNext w:val="0"/>
                    <w:keepLines w:val="0"/>
                    <w:widowControl/>
                    <w:suppressLineNumbers w:val="0"/>
                    <w:spacing w:before="0" w:beforeAutospacing="0" w:after="0" w:afterAutospacing="0"/>
                    <w:ind w:left="0" w:leftChars="0" w:right="0" w:rightChars="0"/>
                    <w:jc w:val="center"/>
                    <w:textAlignment w:val="center"/>
                    <w:rPr>
                      <w:rFonts w:hint="default" w:ascii="Times New Roman" w:hAnsi="Times New Roman" w:eastAsia="宋体" w:cs="Times New Roman"/>
                      <w:i w:val="0"/>
                      <w:iCs w:val="0"/>
                      <w:color w:val="000000"/>
                      <w:kern w:val="0"/>
                      <w:sz w:val="21"/>
                      <w:szCs w:val="21"/>
                      <w:highlight w:val="none"/>
                      <w:u w:val="none"/>
                      <w:lang w:val="en-US" w:eastAsia="zh-CN" w:bidi="ar"/>
                    </w:rPr>
                  </w:pPr>
                  <w:r>
                    <w:rPr>
                      <w:rFonts w:hint="eastAsia" w:ascii="Times New Roman" w:hAnsi="Times New Roman" w:eastAsia="宋体" w:cs="Times New Roman"/>
                      <w:i w:val="0"/>
                      <w:iCs w:val="0"/>
                      <w:color w:val="000000"/>
                      <w:kern w:val="0"/>
                      <w:sz w:val="21"/>
                      <w:szCs w:val="21"/>
                      <w:highlight w:val="none"/>
                      <w:u w:val="none"/>
                      <w:lang w:val="en-US" w:eastAsia="zh-CN" w:bidi="ar"/>
                    </w:rPr>
                    <w:t>~0</w:t>
                  </w:r>
                </w:p>
              </w:tc>
              <w:tc>
                <w:tcPr>
                  <w:tcW w:w="1152" w:type="pct"/>
                  <w:tcBorders>
                    <w:tl2br w:val="nil"/>
                    <w:tr2bl w:val="nil"/>
                  </w:tcBorders>
                  <w:shd w:val="clear" w:color="auto" w:fill="auto"/>
                  <w:noWrap w:val="0"/>
                  <w:vAlign w:val="center"/>
                </w:tcPr>
                <w:p w14:paraId="17B14160">
                  <w:pPr>
                    <w:keepNext w:val="0"/>
                    <w:keepLines w:val="0"/>
                    <w:widowControl/>
                    <w:suppressLineNumbers w:val="0"/>
                    <w:spacing w:before="0" w:beforeAutospacing="0" w:after="0" w:afterAutospacing="0"/>
                    <w:ind w:left="0" w:leftChars="0" w:right="0" w:rightChars="0"/>
                    <w:jc w:val="center"/>
                    <w:textAlignment w:val="center"/>
                    <w:rPr>
                      <w:rFonts w:hint="default" w:ascii="Times New Roman" w:hAnsi="Times New Roman" w:eastAsia="宋体" w:cs="Times New Roman"/>
                      <w:i w:val="0"/>
                      <w:iCs w:val="0"/>
                      <w:color w:val="000000"/>
                      <w:kern w:val="0"/>
                      <w:sz w:val="21"/>
                      <w:szCs w:val="21"/>
                      <w:highlight w:val="none"/>
                      <w:u w:val="none"/>
                      <w:lang w:val="en-US" w:eastAsia="zh-CN" w:bidi="ar"/>
                    </w:rPr>
                  </w:pPr>
                  <w:r>
                    <w:rPr>
                      <w:rFonts w:hint="eastAsia" w:ascii="Times New Roman" w:hAnsi="Times New Roman" w:eastAsia="宋体" w:cs="Times New Roman"/>
                      <w:i w:val="0"/>
                      <w:iCs w:val="0"/>
                      <w:color w:val="000000"/>
                      <w:kern w:val="0"/>
                      <w:sz w:val="21"/>
                      <w:szCs w:val="21"/>
                      <w:highlight w:val="none"/>
                      <w:u w:val="none"/>
                      <w:lang w:val="en-US" w:eastAsia="zh-CN" w:bidi="ar"/>
                    </w:rPr>
                    <w:t>~0</w:t>
                  </w:r>
                </w:p>
              </w:tc>
              <w:tc>
                <w:tcPr>
                  <w:tcW w:w="1076" w:type="pct"/>
                  <w:tcBorders>
                    <w:tl2br w:val="nil"/>
                    <w:tr2bl w:val="nil"/>
                  </w:tcBorders>
                  <w:shd w:val="clear" w:color="auto" w:fill="auto"/>
                  <w:noWrap w:val="0"/>
                  <w:vAlign w:val="center"/>
                </w:tcPr>
                <w:p w14:paraId="363BD401">
                  <w:pPr>
                    <w:keepNext w:val="0"/>
                    <w:keepLines w:val="0"/>
                    <w:widowControl/>
                    <w:suppressLineNumbers w:val="0"/>
                    <w:spacing w:before="0" w:beforeAutospacing="0" w:after="0" w:afterAutospacing="0"/>
                    <w:ind w:left="0" w:leftChars="0" w:right="0" w:rightChars="0"/>
                    <w:jc w:val="center"/>
                    <w:textAlignment w:val="center"/>
                    <w:rPr>
                      <w:rFonts w:hint="default" w:ascii="Times New Roman" w:hAnsi="Times New Roman" w:eastAsia="宋体" w:cs="Times New Roman"/>
                      <w:i w:val="0"/>
                      <w:iCs w:val="0"/>
                      <w:color w:val="000000"/>
                      <w:kern w:val="0"/>
                      <w:sz w:val="21"/>
                      <w:szCs w:val="21"/>
                      <w:highlight w:val="none"/>
                      <w:u w:val="none"/>
                      <w:lang w:val="en-US" w:eastAsia="zh-CN" w:bidi="ar"/>
                    </w:rPr>
                  </w:pPr>
                  <w:r>
                    <w:rPr>
                      <w:rFonts w:hint="eastAsia" w:ascii="Times New Roman" w:hAnsi="Times New Roman" w:eastAsia="宋体" w:cs="Times New Roman"/>
                      <w:i w:val="0"/>
                      <w:iCs w:val="0"/>
                      <w:color w:val="000000"/>
                      <w:kern w:val="0"/>
                      <w:sz w:val="21"/>
                      <w:szCs w:val="21"/>
                      <w:highlight w:val="none"/>
                      <w:u w:val="none"/>
                      <w:lang w:val="en-US" w:eastAsia="zh-CN" w:bidi="ar"/>
                    </w:rPr>
                    <w:t>0.004</w:t>
                  </w:r>
                </w:p>
              </w:tc>
            </w:tr>
            <w:tr w14:paraId="75E40A01">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28" w:type="dxa"/>
                  <w:bottom w:w="0" w:type="dxa"/>
                  <w:right w:w="28" w:type="dxa"/>
                </w:tblCellMar>
              </w:tblPrEx>
              <w:trPr>
                <w:trHeight w:val="0" w:hRule="atLeast"/>
              </w:trPr>
              <w:tc>
                <w:tcPr>
                  <w:tcW w:w="311" w:type="pct"/>
                  <w:tcBorders>
                    <w:tl2br w:val="nil"/>
                    <w:tr2bl w:val="nil"/>
                  </w:tcBorders>
                  <w:shd w:val="clear" w:color="auto" w:fill="auto"/>
                  <w:noWrap w:val="0"/>
                  <w:vAlign w:val="center"/>
                </w:tcPr>
                <w:p w14:paraId="6F9B89A1">
                  <w:pPr>
                    <w:pStyle w:val="27"/>
                    <w:keepNext w:val="0"/>
                    <w:keepLines w:val="0"/>
                    <w:widowControl w:val="0"/>
                    <w:suppressLineNumbers w:val="0"/>
                    <w:spacing w:before="0" w:beforeAutospacing="0" w:after="0" w:afterAutospacing="0" w:line="240" w:lineRule="auto"/>
                    <w:ind w:left="0" w:leftChars="0" w:right="0" w:rightChars="0" w:firstLine="0" w:firstLineChars="0"/>
                    <w:jc w:val="center"/>
                    <w:rPr>
                      <w:rFonts w:hint="default" w:ascii="Times New Roman" w:hAnsi="Times New Roman" w:eastAsia="宋体" w:cs="Times New Roman"/>
                      <w:color w:val="auto"/>
                      <w:kern w:val="0"/>
                      <w:sz w:val="21"/>
                      <w:szCs w:val="21"/>
                      <w:highlight w:val="none"/>
                      <w:lang w:val="en-US" w:eastAsia="zh-CN" w:bidi="ar-SA"/>
                    </w:rPr>
                  </w:pPr>
                  <w:r>
                    <w:rPr>
                      <w:rFonts w:hint="eastAsia" w:ascii="Times New Roman" w:hAnsi="Times New Roman" w:eastAsia="宋体" w:cs="Times New Roman"/>
                      <w:color w:val="auto"/>
                      <w:sz w:val="21"/>
                      <w:szCs w:val="21"/>
                      <w:highlight w:val="none"/>
                      <w:lang w:val="en-US" w:eastAsia="zh-CN"/>
                    </w:rPr>
                    <w:t>28</w:t>
                  </w:r>
                </w:p>
              </w:tc>
              <w:tc>
                <w:tcPr>
                  <w:tcW w:w="625" w:type="pct"/>
                  <w:vMerge w:val="continue"/>
                  <w:tcBorders>
                    <w:tl2br w:val="nil"/>
                    <w:tr2bl w:val="nil"/>
                  </w:tcBorders>
                  <w:noWrap w:val="0"/>
                  <w:vAlign w:val="center"/>
                </w:tcPr>
                <w:p w14:paraId="206C22F1">
                  <w:pPr>
                    <w:pStyle w:val="27"/>
                    <w:keepNext w:val="0"/>
                    <w:keepLines w:val="0"/>
                    <w:widowControl w:val="0"/>
                    <w:suppressLineNumbers w:val="0"/>
                    <w:spacing w:before="0" w:beforeAutospacing="0" w:after="0" w:afterAutospacing="0" w:line="240" w:lineRule="auto"/>
                    <w:ind w:left="0" w:leftChars="0" w:right="0" w:rightChars="0" w:firstLine="0" w:firstLineChars="0"/>
                    <w:jc w:val="center"/>
                    <w:rPr>
                      <w:rFonts w:hint="default" w:ascii="Times New Roman" w:hAnsi="Times New Roman" w:eastAsia="宋体" w:cs="Times New Roman"/>
                      <w:color w:val="auto"/>
                      <w:sz w:val="21"/>
                      <w:szCs w:val="21"/>
                      <w:highlight w:val="none"/>
                      <w:lang w:val="en-US" w:eastAsia="zh-CN"/>
                    </w:rPr>
                  </w:pPr>
                </w:p>
              </w:tc>
              <w:tc>
                <w:tcPr>
                  <w:tcW w:w="785" w:type="pct"/>
                  <w:tcBorders>
                    <w:tl2br w:val="nil"/>
                    <w:tr2bl w:val="nil"/>
                  </w:tcBorders>
                  <w:shd w:val="clear" w:color="auto" w:fill="auto"/>
                  <w:noWrap w:val="0"/>
                  <w:vAlign w:val="center"/>
                </w:tcPr>
                <w:p w14:paraId="64DA87AD">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64" w:lineRule="auto"/>
                    <w:ind w:left="0" w:leftChars="0" w:right="0" w:rightChars="0"/>
                    <w:jc w:val="center"/>
                    <w:textAlignment w:val="auto"/>
                    <w:rPr>
                      <w:rFonts w:hint="eastAsia" w:ascii="Times New Roman" w:hAnsi="Times New Roman" w:eastAsia="宋体" w:cs="Times New Roman"/>
                      <w:bCs/>
                      <w:kern w:val="0"/>
                      <w:sz w:val="21"/>
                      <w:szCs w:val="21"/>
                      <w:highlight w:val="none"/>
                      <w:lang w:val="en-US" w:eastAsia="zh-CN" w:bidi="ar-SA"/>
                    </w:rPr>
                  </w:pPr>
                  <w:r>
                    <w:rPr>
                      <w:rFonts w:hint="default" w:ascii="Times New Roman" w:hAnsi="Times New Roman" w:eastAsia="宋体" w:cs="Times New Roman"/>
                      <w:bCs/>
                      <w:kern w:val="0"/>
                      <w:sz w:val="21"/>
                      <w:szCs w:val="21"/>
                      <w:highlight w:val="none"/>
                    </w:rPr>
                    <w:t>硫化氢</w:t>
                  </w:r>
                </w:p>
              </w:tc>
              <w:tc>
                <w:tcPr>
                  <w:tcW w:w="1048" w:type="pct"/>
                  <w:tcBorders>
                    <w:tl2br w:val="nil"/>
                    <w:tr2bl w:val="nil"/>
                  </w:tcBorders>
                  <w:shd w:val="clear" w:color="auto" w:fill="auto"/>
                  <w:noWrap w:val="0"/>
                  <w:vAlign w:val="center"/>
                </w:tcPr>
                <w:p w14:paraId="059686E1">
                  <w:pPr>
                    <w:keepNext w:val="0"/>
                    <w:keepLines w:val="0"/>
                    <w:widowControl/>
                    <w:suppressLineNumbers w:val="0"/>
                    <w:spacing w:before="0" w:beforeAutospacing="0" w:after="0" w:afterAutospacing="0"/>
                    <w:ind w:left="0" w:leftChars="0" w:right="0" w:rightChars="0"/>
                    <w:jc w:val="center"/>
                    <w:textAlignment w:val="center"/>
                    <w:rPr>
                      <w:rFonts w:hint="default" w:ascii="Times New Roman" w:hAnsi="Times New Roman" w:eastAsia="宋体" w:cs="Times New Roman"/>
                      <w:i w:val="0"/>
                      <w:iCs w:val="0"/>
                      <w:color w:val="000000"/>
                      <w:kern w:val="0"/>
                      <w:sz w:val="21"/>
                      <w:szCs w:val="21"/>
                      <w:highlight w:val="none"/>
                      <w:u w:val="none"/>
                      <w:lang w:val="en-US" w:eastAsia="zh-CN" w:bidi="ar"/>
                    </w:rPr>
                  </w:pPr>
                  <w:r>
                    <w:rPr>
                      <w:rFonts w:hint="eastAsia" w:ascii="Times New Roman" w:hAnsi="Times New Roman" w:eastAsia="宋体" w:cs="Times New Roman"/>
                      <w:i w:val="0"/>
                      <w:iCs w:val="0"/>
                      <w:color w:val="000000"/>
                      <w:kern w:val="0"/>
                      <w:sz w:val="21"/>
                      <w:szCs w:val="21"/>
                      <w:highlight w:val="none"/>
                      <w:u w:val="none"/>
                      <w:lang w:val="en-US" w:eastAsia="zh-CN" w:bidi="ar"/>
                    </w:rPr>
                    <w:t>~0</w:t>
                  </w:r>
                </w:p>
              </w:tc>
              <w:tc>
                <w:tcPr>
                  <w:tcW w:w="1152" w:type="pct"/>
                  <w:tcBorders>
                    <w:tl2br w:val="nil"/>
                    <w:tr2bl w:val="nil"/>
                  </w:tcBorders>
                  <w:shd w:val="clear" w:color="auto" w:fill="auto"/>
                  <w:noWrap w:val="0"/>
                  <w:vAlign w:val="center"/>
                </w:tcPr>
                <w:p w14:paraId="502AD700">
                  <w:pPr>
                    <w:keepNext w:val="0"/>
                    <w:keepLines w:val="0"/>
                    <w:widowControl/>
                    <w:suppressLineNumbers w:val="0"/>
                    <w:spacing w:before="0" w:beforeAutospacing="0" w:after="0" w:afterAutospacing="0"/>
                    <w:ind w:left="0" w:leftChars="0" w:right="0" w:rightChars="0"/>
                    <w:jc w:val="center"/>
                    <w:textAlignment w:val="center"/>
                    <w:rPr>
                      <w:rFonts w:hint="default" w:ascii="Times New Roman" w:hAnsi="Times New Roman" w:eastAsia="宋体" w:cs="Times New Roman"/>
                      <w:i w:val="0"/>
                      <w:iCs w:val="0"/>
                      <w:color w:val="000000"/>
                      <w:kern w:val="0"/>
                      <w:sz w:val="21"/>
                      <w:szCs w:val="21"/>
                      <w:highlight w:val="none"/>
                      <w:u w:val="none"/>
                      <w:lang w:val="en-US" w:eastAsia="zh-CN" w:bidi="ar"/>
                    </w:rPr>
                  </w:pPr>
                  <w:r>
                    <w:rPr>
                      <w:rFonts w:hint="eastAsia" w:ascii="Times New Roman" w:hAnsi="Times New Roman" w:eastAsia="宋体" w:cs="Times New Roman"/>
                      <w:i w:val="0"/>
                      <w:iCs w:val="0"/>
                      <w:color w:val="000000"/>
                      <w:kern w:val="0"/>
                      <w:sz w:val="21"/>
                      <w:szCs w:val="21"/>
                      <w:highlight w:val="none"/>
                      <w:u w:val="none"/>
                      <w:lang w:val="en-US" w:eastAsia="zh-CN" w:bidi="ar"/>
                    </w:rPr>
                    <w:t>~0</w:t>
                  </w:r>
                </w:p>
              </w:tc>
              <w:tc>
                <w:tcPr>
                  <w:tcW w:w="1076" w:type="pct"/>
                  <w:tcBorders>
                    <w:tl2br w:val="nil"/>
                    <w:tr2bl w:val="nil"/>
                  </w:tcBorders>
                  <w:shd w:val="clear" w:color="auto" w:fill="auto"/>
                  <w:noWrap w:val="0"/>
                  <w:vAlign w:val="center"/>
                </w:tcPr>
                <w:p w14:paraId="1B429DB0">
                  <w:pPr>
                    <w:keepNext w:val="0"/>
                    <w:keepLines w:val="0"/>
                    <w:widowControl/>
                    <w:suppressLineNumbers w:val="0"/>
                    <w:spacing w:before="0" w:beforeAutospacing="0" w:after="0" w:afterAutospacing="0"/>
                    <w:ind w:left="0" w:leftChars="0" w:right="0" w:rightChars="0"/>
                    <w:jc w:val="center"/>
                    <w:textAlignment w:val="center"/>
                    <w:rPr>
                      <w:rFonts w:hint="default" w:ascii="Times New Roman" w:hAnsi="Times New Roman" w:eastAsia="宋体" w:cs="Times New Roman"/>
                      <w:i w:val="0"/>
                      <w:iCs w:val="0"/>
                      <w:color w:val="000000"/>
                      <w:kern w:val="0"/>
                      <w:sz w:val="21"/>
                      <w:szCs w:val="21"/>
                      <w:highlight w:val="none"/>
                      <w:u w:val="none"/>
                      <w:lang w:val="en-US" w:eastAsia="zh-CN" w:bidi="ar"/>
                    </w:rPr>
                  </w:pPr>
                  <w:r>
                    <w:rPr>
                      <w:rFonts w:hint="eastAsia" w:ascii="Times New Roman" w:hAnsi="Times New Roman" w:eastAsia="宋体" w:cs="Times New Roman"/>
                      <w:i w:val="0"/>
                      <w:iCs w:val="0"/>
                      <w:color w:val="000000"/>
                      <w:kern w:val="0"/>
                      <w:sz w:val="21"/>
                      <w:szCs w:val="21"/>
                      <w:highlight w:val="none"/>
                      <w:u w:val="none"/>
                      <w:lang w:val="en-US" w:eastAsia="zh-CN" w:bidi="ar"/>
                    </w:rPr>
                    <w:t>0.001</w:t>
                  </w:r>
                </w:p>
              </w:tc>
            </w:tr>
            <w:tr w14:paraId="109F0E90">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28" w:type="dxa"/>
                  <w:bottom w:w="0" w:type="dxa"/>
                  <w:right w:w="28" w:type="dxa"/>
                </w:tblCellMar>
              </w:tblPrEx>
              <w:trPr>
                <w:trHeight w:val="0" w:hRule="atLeast"/>
              </w:trPr>
              <w:tc>
                <w:tcPr>
                  <w:tcW w:w="311" w:type="pct"/>
                  <w:tcBorders>
                    <w:tl2br w:val="nil"/>
                    <w:tr2bl w:val="nil"/>
                  </w:tcBorders>
                  <w:noWrap w:val="0"/>
                  <w:vAlign w:val="center"/>
                </w:tcPr>
                <w:p w14:paraId="67645520">
                  <w:pPr>
                    <w:pStyle w:val="27"/>
                    <w:keepNext w:val="0"/>
                    <w:keepLines w:val="0"/>
                    <w:widowControl w:val="0"/>
                    <w:suppressLineNumbers w:val="0"/>
                    <w:spacing w:before="0" w:beforeAutospacing="0" w:after="0" w:afterAutospacing="0" w:line="240" w:lineRule="auto"/>
                    <w:ind w:left="0" w:leftChars="0" w:right="0" w:rightChars="0" w:firstLine="0" w:firstLineChars="0"/>
                    <w:jc w:val="center"/>
                    <w:rPr>
                      <w:rFonts w:hint="default" w:ascii="Times New Roman" w:hAnsi="Times New Roman" w:eastAsia="宋体" w:cs="Times New Roman"/>
                      <w:color w:val="auto"/>
                      <w:sz w:val="21"/>
                      <w:szCs w:val="21"/>
                      <w:highlight w:val="none"/>
                      <w:lang w:val="en-US" w:eastAsia="zh-CN"/>
                    </w:rPr>
                  </w:pPr>
                  <w:r>
                    <w:rPr>
                      <w:rFonts w:hint="eastAsia" w:ascii="Times New Roman" w:hAnsi="Times New Roman" w:cs="Times New Roman"/>
                      <w:color w:val="auto"/>
                      <w:sz w:val="21"/>
                      <w:szCs w:val="21"/>
                      <w:highlight w:val="none"/>
                      <w:lang w:val="en-US" w:eastAsia="zh-CN"/>
                    </w:rPr>
                    <w:t>29</w:t>
                  </w:r>
                </w:p>
              </w:tc>
              <w:tc>
                <w:tcPr>
                  <w:tcW w:w="625" w:type="pct"/>
                  <w:vMerge w:val="restart"/>
                  <w:tcBorders>
                    <w:tl2br w:val="nil"/>
                    <w:tr2bl w:val="nil"/>
                  </w:tcBorders>
                  <w:noWrap w:val="0"/>
                  <w:vAlign w:val="center"/>
                </w:tcPr>
                <w:p w14:paraId="7E382D37">
                  <w:pPr>
                    <w:pStyle w:val="27"/>
                    <w:keepNext w:val="0"/>
                    <w:keepLines w:val="0"/>
                    <w:widowControl w:val="0"/>
                    <w:suppressLineNumbers w:val="0"/>
                    <w:spacing w:before="0" w:beforeAutospacing="0" w:after="0" w:afterAutospacing="0" w:line="240" w:lineRule="auto"/>
                    <w:ind w:left="0" w:leftChars="0" w:right="0" w:rightChars="0" w:firstLine="0" w:firstLineChars="0"/>
                    <w:jc w:val="center"/>
                    <w:rPr>
                      <w:rFonts w:hint="default" w:ascii="Times New Roman" w:hAnsi="Times New Roman" w:eastAsia="宋体" w:cs="Times New Roman"/>
                      <w:color w:val="auto"/>
                      <w:sz w:val="21"/>
                      <w:szCs w:val="21"/>
                      <w:highlight w:val="none"/>
                      <w:lang w:val="en-US" w:eastAsia="zh-CN"/>
                    </w:rPr>
                  </w:pPr>
                  <w:r>
                    <w:rPr>
                      <w:rFonts w:hint="eastAsia" w:ascii="Times New Roman" w:hAnsi="Times New Roman" w:eastAsia="宋体" w:cs="Times New Roman"/>
                      <w:color w:val="auto"/>
                      <w:sz w:val="21"/>
                      <w:szCs w:val="21"/>
                      <w:highlight w:val="none"/>
                      <w:lang w:val="en-US" w:eastAsia="zh-CN"/>
                    </w:rPr>
                    <w:t>DA011</w:t>
                  </w:r>
                </w:p>
              </w:tc>
              <w:tc>
                <w:tcPr>
                  <w:tcW w:w="785" w:type="pct"/>
                  <w:tcBorders>
                    <w:tl2br w:val="nil"/>
                    <w:tr2bl w:val="nil"/>
                  </w:tcBorders>
                  <w:shd w:val="clear" w:color="auto" w:fill="auto"/>
                  <w:noWrap w:val="0"/>
                  <w:vAlign w:val="center"/>
                </w:tcPr>
                <w:p w14:paraId="4FEBAD1C">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64" w:lineRule="auto"/>
                    <w:ind w:left="0" w:leftChars="0" w:right="0" w:rightChars="0"/>
                    <w:jc w:val="center"/>
                    <w:textAlignment w:val="auto"/>
                    <w:rPr>
                      <w:rFonts w:hint="eastAsia" w:ascii="Times New Roman" w:hAnsi="Times New Roman" w:eastAsia="宋体" w:cs="Times New Roman"/>
                      <w:bCs/>
                      <w:kern w:val="0"/>
                      <w:sz w:val="21"/>
                      <w:szCs w:val="21"/>
                      <w:highlight w:val="none"/>
                      <w:lang w:val="en-US" w:eastAsia="zh-CN"/>
                    </w:rPr>
                  </w:pPr>
                  <w:r>
                    <w:rPr>
                      <w:rFonts w:hint="eastAsia" w:ascii="Times New Roman" w:hAnsi="Times New Roman" w:eastAsia="宋体" w:cs="Times New Roman"/>
                      <w:bCs/>
                      <w:kern w:val="0"/>
                      <w:sz w:val="21"/>
                      <w:szCs w:val="21"/>
                      <w:highlight w:val="none"/>
                      <w:lang w:val="en-US" w:eastAsia="zh-CN"/>
                    </w:rPr>
                    <w:t>非甲烷总烃</w:t>
                  </w:r>
                </w:p>
              </w:tc>
              <w:tc>
                <w:tcPr>
                  <w:tcW w:w="1048" w:type="pct"/>
                  <w:tcBorders>
                    <w:tl2br w:val="nil"/>
                    <w:tr2bl w:val="nil"/>
                  </w:tcBorders>
                  <w:shd w:val="clear" w:color="auto" w:fill="auto"/>
                  <w:noWrap w:val="0"/>
                  <w:vAlign w:val="center"/>
                </w:tcPr>
                <w:p w14:paraId="5E36A4CB">
                  <w:pPr>
                    <w:keepNext w:val="0"/>
                    <w:keepLines w:val="0"/>
                    <w:widowControl/>
                    <w:suppressLineNumbers w:val="0"/>
                    <w:spacing w:before="0" w:beforeAutospacing="0" w:after="0" w:afterAutospacing="0" w:line="280" w:lineRule="exact"/>
                    <w:ind w:left="0" w:leftChars="0" w:right="0" w:rightChars="0"/>
                    <w:jc w:val="center"/>
                    <w:textAlignment w:val="center"/>
                    <w:rPr>
                      <w:rFonts w:hint="default" w:ascii="Times New Roman" w:hAnsi="Times New Roman" w:eastAsia="宋体" w:cs="Times New Roman"/>
                      <w:b w:val="0"/>
                      <w:bCs w:val="0"/>
                      <w:kern w:val="2"/>
                      <w:sz w:val="21"/>
                      <w:szCs w:val="21"/>
                      <w:highlight w:val="none"/>
                      <w:lang w:val="en-US" w:eastAsia="zh-CN" w:bidi="ar"/>
                    </w:rPr>
                  </w:pPr>
                  <w:r>
                    <w:rPr>
                      <w:rFonts w:hint="eastAsia" w:ascii="Times New Roman" w:hAnsi="Times New Roman" w:eastAsia="宋体" w:cs="Times New Roman"/>
                      <w:i w:val="0"/>
                      <w:iCs w:val="0"/>
                      <w:color w:val="000000"/>
                      <w:kern w:val="0"/>
                      <w:sz w:val="21"/>
                      <w:szCs w:val="21"/>
                      <w:highlight w:val="none"/>
                      <w:u w:val="none"/>
                      <w:lang w:val="en-US" w:eastAsia="zh-CN" w:bidi="ar"/>
                    </w:rPr>
                    <w:t>~0</w:t>
                  </w:r>
                </w:p>
              </w:tc>
              <w:tc>
                <w:tcPr>
                  <w:tcW w:w="1152" w:type="pct"/>
                  <w:tcBorders>
                    <w:tl2br w:val="nil"/>
                    <w:tr2bl w:val="nil"/>
                  </w:tcBorders>
                  <w:shd w:val="clear" w:color="auto" w:fill="auto"/>
                  <w:noWrap w:val="0"/>
                  <w:vAlign w:val="center"/>
                </w:tcPr>
                <w:p w14:paraId="2A062A50">
                  <w:pPr>
                    <w:keepNext w:val="0"/>
                    <w:keepLines w:val="0"/>
                    <w:widowControl/>
                    <w:suppressLineNumbers w:val="0"/>
                    <w:spacing w:before="0" w:beforeAutospacing="0" w:after="0" w:afterAutospacing="0"/>
                    <w:ind w:left="0" w:leftChars="0" w:right="0" w:rightChars="0"/>
                    <w:jc w:val="center"/>
                    <w:textAlignment w:val="center"/>
                    <w:rPr>
                      <w:rFonts w:hint="default" w:ascii="Times New Roman" w:hAnsi="Times New Roman" w:eastAsia="宋体" w:cs="Times New Roman"/>
                      <w:i w:val="0"/>
                      <w:iCs w:val="0"/>
                      <w:color w:val="000000"/>
                      <w:kern w:val="0"/>
                      <w:sz w:val="21"/>
                      <w:szCs w:val="21"/>
                      <w:highlight w:val="none"/>
                      <w:u w:val="none"/>
                      <w:lang w:val="en-US" w:eastAsia="zh-CN" w:bidi="ar"/>
                    </w:rPr>
                  </w:pPr>
                  <w:r>
                    <w:rPr>
                      <w:rFonts w:hint="eastAsia" w:ascii="Times New Roman" w:hAnsi="Times New Roman" w:eastAsia="宋体" w:cs="Times New Roman"/>
                      <w:i w:val="0"/>
                      <w:iCs w:val="0"/>
                      <w:color w:val="000000"/>
                      <w:kern w:val="0"/>
                      <w:sz w:val="21"/>
                      <w:szCs w:val="21"/>
                      <w:highlight w:val="none"/>
                      <w:u w:val="none"/>
                      <w:lang w:val="en-US" w:eastAsia="zh-CN" w:bidi="ar"/>
                    </w:rPr>
                    <w:t>~0</w:t>
                  </w:r>
                </w:p>
              </w:tc>
              <w:tc>
                <w:tcPr>
                  <w:tcW w:w="1076" w:type="pct"/>
                  <w:tcBorders>
                    <w:tl2br w:val="nil"/>
                    <w:tr2bl w:val="nil"/>
                  </w:tcBorders>
                  <w:shd w:val="clear" w:color="auto" w:fill="auto"/>
                  <w:noWrap w:val="0"/>
                  <w:vAlign w:val="center"/>
                </w:tcPr>
                <w:p w14:paraId="2522FDC9">
                  <w:pPr>
                    <w:keepNext w:val="0"/>
                    <w:keepLines w:val="0"/>
                    <w:widowControl/>
                    <w:suppressLineNumbers w:val="0"/>
                    <w:spacing w:before="0" w:beforeAutospacing="0" w:after="0" w:afterAutospacing="0"/>
                    <w:ind w:left="0" w:leftChars="0" w:right="0" w:rightChars="0"/>
                    <w:jc w:val="center"/>
                    <w:textAlignment w:val="center"/>
                    <w:rPr>
                      <w:rFonts w:hint="default" w:ascii="Times New Roman" w:hAnsi="Times New Roman" w:eastAsia="宋体" w:cs="Times New Roman"/>
                      <w:i w:val="0"/>
                      <w:iCs w:val="0"/>
                      <w:color w:val="000000"/>
                      <w:kern w:val="0"/>
                      <w:sz w:val="21"/>
                      <w:szCs w:val="21"/>
                      <w:highlight w:val="none"/>
                      <w:u w:val="none"/>
                      <w:lang w:val="en-US" w:eastAsia="zh-CN" w:bidi="ar"/>
                    </w:rPr>
                  </w:pPr>
                  <w:r>
                    <w:rPr>
                      <w:rFonts w:hint="eastAsia" w:ascii="Times New Roman" w:hAnsi="Times New Roman" w:eastAsia="宋体" w:cs="Times New Roman"/>
                      <w:b w:val="0"/>
                      <w:bCs w:val="0"/>
                      <w:sz w:val="21"/>
                      <w:szCs w:val="21"/>
                      <w:highlight w:val="none"/>
                      <w:lang w:val="en-US" w:eastAsia="zh-CN" w:bidi="ar"/>
                    </w:rPr>
                    <w:t>0.002</w:t>
                  </w:r>
                </w:p>
              </w:tc>
            </w:tr>
            <w:tr w14:paraId="39235231">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28" w:type="dxa"/>
                  <w:bottom w:w="0" w:type="dxa"/>
                  <w:right w:w="28" w:type="dxa"/>
                </w:tblCellMar>
              </w:tblPrEx>
              <w:trPr>
                <w:trHeight w:val="0" w:hRule="atLeast"/>
              </w:trPr>
              <w:tc>
                <w:tcPr>
                  <w:tcW w:w="311" w:type="pct"/>
                  <w:tcBorders>
                    <w:tl2br w:val="nil"/>
                    <w:tr2bl w:val="nil"/>
                  </w:tcBorders>
                  <w:noWrap w:val="0"/>
                  <w:vAlign w:val="center"/>
                </w:tcPr>
                <w:p w14:paraId="76E79C83">
                  <w:pPr>
                    <w:pStyle w:val="27"/>
                    <w:keepNext w:val="0"/>
                    <w:keepLines w:val="0"/>
                    <w:widowControl w:val="0"/>
                    <w:suppressLineNumbers w:val="0"/>
                    <w:spacing w:before="0" w:beforeAutospacing="0" w:after="0" w:afterAutospacing="0" w:line="240" w:lineRule="auto"/>
                    <w:ind w:left="0" w:leftChars="0" w:right="0" w:rightChars="0" w:firstLine="0" w:firstLineChars="0"/>
                    <w:jc w:val="center"/>
                    <w:rPr>
                      <w:rFonts w:hint="default" w:ascii="Times New Roman" w:hAnsi="Times New Roman" w:eastAsia="宋体" w:cs="Times New Roman"/>
                      <w:color w:val="auto"/>
                      <w:sz w:val="21"/>
                      <w:szCs w:val="21"/>
                      <w:highlight w:val="none"/>
                      <w:lang w:val="en-US" w:eastAsia="zh-CN"/>
                    </w:rPr>
                  </w:pPr>
                  <w:r>
                    <w:rPr>
                      <w:rFonts w:hint="eastAsia" w:ascii="Times New Roman" w:hAnsi="Times New Roman" w:cs="Times New Roman"/>
                      <w:color w:val="auto"/>
                      <w:sz w:val="21"/>
                      <w:szCs w:val="21"/>
                      <w:highlight w:val="none"/>
                      <w:lang w:val="en-US" w:eastAsia="zh-CN"/>
                    </w:rPr>
                    <w:t>30</w:t>
                  </w:r>
                </w:p>
              </w:tc>
              <w:tc>
                <w:tcPr>
                  <w:tcW w:w="625" w:type="pct"/>
                  <w:vMerge w:val="continue"/>
                  <w:tcBorders>
                    <w:tl2br w:val="nil"/>
                    <w:tr2bl w:val="nil"/>
                  </w:tcBorders>
                  <w:noWrap w:val="0"/>
                  <w:vAlign w:val="center"/>
                </w:tcPr>
                <w:p w14:paraId="7CD0B1B9">
                  <w:pPr>
                    <w:pStyle w:val="27"/>
                    <w:keepNext w:val="0"/>
                    <w:keepLines w:val="0"/>
                    <w:widowControl w:val="0"/>
                    <w:suppressLineNumbers w:val="0"/>
                    <w:spacing w:before="0" w:beforeAutospacing="0" w:after="0" w:afterAutospacing="0" w:line="240" w:lineRule="auto"/>
                    <w:ind w:left="0" w:leftChars="0" w:right="0" w:rightChars="0" w:firstLine="0" w:firstLineChars="0"/>
                    <w:jc w:val="center"/>
                    <w:rPr>
                      <w:rFonts w:hint="default" w:ascii="Times New Roman" w:hAnsi="Times New Roman" w:eastAsia="宋体" w:cs="Times New Roman"/>
                      <w:color w:val="auto"/>
                      <w:sz w:val="21"/>
                      <w:szCs w:val="21"/>
                      <w:highlight w:val="none"/>
                      <w:lang w:val="en-US" w:eastAsia="zh-CN"/>
                    </w:rPr>
                  </w:pPr>
                </w:p>
              </w:tc>
              <w:tc>
                <w:tcPr>
                  <w:tcW w:w="785" w:type="pct"/>
                  <w:tcBorders>
                    <w:tl2br w:val="nil"/>
                    <w:tr2bl w:val="nil"/>
                  </w:tcBorders>
                  <w:shd w:val="clear" w:color="auto" w:fill="auto"/>
                  <w:noWrap w:val="0"/>
                  <w:vAlign w:val="center"/>
                </w:tcPr>
                <w:p w14:paraId="097B8982">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64" w:lineRule="auto"/>
                    <w:ind w:left="0" w:leftChars="0" w:right="0" w:rightChars="0"/>
                    <w:jc w:val="center"/>
                    <w:textAlignment w:val="auto"/>
                    <w:rPr>
                      <w:rFonts w:hint="default" w:ascii="Times New Roman" w:hAnsi="Times New Roman" w:eastAsia="宋体" w:cs="Times New Roman"/>
                      <w:bCs/>
                      <w:kern w:val="0"/>
                      <w:sz w:val="21"/>
                      <w:szCs w:val="21"/>
                      <w:highlight w:val="none"/>
                      <w:lang w:val="en-US" w:eastAsia="zh-CN"/>
                    </w:rPr>
                  </w:pPr>
                  <w:r>
                    <w:rPr>
                      <w:rFonts w:hint="eastAsia" w:ascii="Times New Roman" w:hAnsi="Times New Roman" w:eastAsia="宋体" w:cs="Times New Roman"/>
                      <w:bCs/>
                      <w:kern w:val="0"/>
                      <w:sz w:val="21"/>
                      <w:szCs w:val="21"/>
                      <w:highlight w:val="none"/>
                      <w:lang w:val="en-US" w:eastAsia="zh-CN"/>
                    </w:rPr>
                    <w:t>氯化氢</w:t>
                  </w:r>
                </w:p>
              </w:tc>
              <w:tc>
                <w:tcPr>
                  <w:tcW w:w="3277" w:type="pct"/>
                  <w:gridSpan w:val="3"/>
                  <w:tcBorders>
                    <w:tl2br w:val="nil"/>
                    <w:tr2bl w:val="nil"/>
                  </w:tcBorders>
                  <w:shd w:val="clear" w:color="auto" w:fill="auto"/>
                  <w:noWrap w:val="0"/>
                  <w:vAlign w:val="center"/>
                </w:tcPr>
                <w:p w14:paraId="2B6EDEE6">
                  <w:pPr>
                    <w:pStyle w:val="27"/>
                    <w:keepNext w:val="0"/>
                    <w:keepLines w:val="0"/>
                    <w:widowControl w:val="0"/>
                    <w:suppressLineNumbers w:val="0"/>
                    <w:spacing w:before="0" w:beforeAutospacing="0" w:after="0" w:afterAutospacing="0" w:line="240" w:lineRule="auto"/>
                    <w:ind w:left="0" w:leftChars="0" w:right="0" w:rightChars="0" w:firstLine="0" w:firstLineChars="0"/>
                    <w:jc w:val="center"/>
                    <w:rPr>
                      <w:rFonts w:hint="default" w:ascii="Times New Roman" w:hAnsi="Times New Roman" w:eastAsia="宋体" w:cs="Times New Roman"/>
                      <w:color w:val="auto"/>
                      <w:sz w:val="21"/>
                      <w:szCs w:val="21"/>
                      <w:highlight w:val="none"/>
                      <w:lang w:val="en-US" w:eastAsia="zh-CN"/>
                    </w:rPr>
                  </w:pPr>
                  <w:r>
                    <w:rPr>
                      <w:rFonts w:hint="eastAsia" w:ascii="Times New Roman" w:hAnsi="Times New Roman" w:eastAsia="宋体" w:cs="Times New Roman"/>
                      <w:bCs/>
                      <w:kern w:val="0"/>
                      <w:sz w:val="21"/>
                      <w:szCs w:val="21"/>
                      <w:highlight w:val="none"/>
                      <w:lang w:val="en-US" w:eastAsia="zh-CN"/>
                    </w:rPr>
                    <w:t>少量</w:t>
                  </w:r>
                </w:p>
              </w:tc>
            </w:tr>
            <w:tr w14:paraId="56D441C7">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28" w:type="dxa"/>
                  <w:bottom w:w="0" w:type="dxa"/>
                  <w:right w:w="28" w:type="dxa"/>
                </w:tblCellMar>
              </w:tblPrEx>
              <w:trPr>
                <w:trHeight w:val="0" w:hRule="atLeast"/>
              </w:trPr>
              <w:tc>
                <w:tcPr>
                  <w:tcW w:w="311" w:type="pct"/>
                  <w:tcBorders>
                    <w:tl2br w:val="nil"/>
                    <w:tr2bl w:val="nil"/>
                  </w:tcBorders>
                  <w:noWrap w:val="0"/>
                  <w:vAlign w:val="center"/>
                </w:tcPr>
                <w:p w14:paraId="03344EF0">
                  <w:pPr>
                    <w:pStyle w:val="27"/>
                    <w:keepNext w:val="0"/>
                    <w:keepLines w:val="0"/>
                    <w:widowControl w:val="0"/>
                    <w:suppressLineNumbers w:val="0"/>
                    <w:spacing w:before="0" w:beforeAutospacing="0" w:after="0" w:afterAutospacing="0" w:line="240" w:lineRule="auto"/>
                    <w:ind w:left="0" w:leftChars="0" w:right="0" w:rightChars="0" w:firstLine="0" w:firstLineChars="0"/>
                    <w:jc w:val="center"/>
                    <w:rPr>
                      <w:rFonts w:hint="default" w:ascii="Times New Roman" w:hAnsi="Times New Roman" w:eastAsia="宋体" w:cs="Times New Roman"/>
                      <w:color w:val="auto"/>
                      <w:sz w:val="21"/>
                      <w:szCs w:val="21"/>
                      <w:highlight w:val="none"/>
                      <w:lang w:val="en-US" w:eastAsia="zh-CN"/>
                    </w:rPr>
                  </w:pPr>
                  <w:r>
                    <w:rPr>
                      <w:rFonts w:hint="eastAsia" w:ascii="Times New Roman" w:hAnsi="Times New Roman" w:cs="Times New Roman"/>
                      <w:color w:val="auto"/>
                      <w:sz w:val="21"/>
                      <w:szCs w:val="21"/>
                      <w:highlight w:val="none"/>
                      <w:lang w:val="en-US" w:eastAsia="zh-CN"/>
                    </w:rPr>
                    <w:t>31</w:t>
                  </w:r>
                </w:p>
              </w:tc>
              <w:tc>
                <w:tcPr>
                  <w:tcW w:w="625" w:type="pct"/>
                  <w:vMerge w:val="continue"/>
                  <w:tcBorders>
                    <w:tl2br w:val="nil"/>
                    <w:tr2bl w:val="nil"/>
                  </w:tcBorders>
                  <w:noWrap w:val="0"/>
                  <w:vAlign w:val="center"/>
                </w:tcPr>
                <w:p w14:paraId="2044A8B7">
                  <w:pPr>
                    <w:pStyle w:val="27"/>
                    <w:keepNext w:val="0"/>
                    <w:keepLines w:val="0"/>
                    <w:widowControl w:val="0"/>
                    <w:suppressLineNumbers w:val="0"/>
                    <w:spacing w:before="0" w:beforeAutospacing="0" w:after="0" w:afterAutospacing="0" w:line="240" w:lineRule="auto"/>
                    <w:ind w:left="0" w:leftChars="0" w:right="0" w:rightChars="0" w:firstLine="0" w:firstLineChars="0"/>
                    <w:jc w:val="center"/>
                    <w:rPr>
                      <w:rFonts w:hint="default" w:ascii="Times New Roman" w:hAnsi="Times New Roman" w:eastAsia="宋体" w:cs="Times New Roman"/>
                      <w:color w:val="auto"/>
                      <w:sz w:val="21"/>
                      <w:szCs w:val="21"/>
                      <w:highlight w:val="none"/>
                      <w:lang w:val="en-US" w:eastAsia="zh-CN"/>
                    </w:rPr>
                  </w:pPr>
                </w:p>
              </w:tc>
              <w:tc>
                <w:tcPr>
                  <w:tcW w:w="785" w:type="pct"/>
                  <w:tcBorders>
                    <w:tl2br w:val="nil"/>
                    <w:tr2bl w:val="nil"/>
                  </w:tcBorders>
                  <w:shd w:val="clear" w:color="auto" w:fill="auto"/>
                  <w:noWrap w:val="0"/>
                  <w:vAlign w:val="center"/>
                </w:tcPr>
                <w:p w14:paraId="2C8D9453">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64" w:lineRule="auto"/>
                    <w:ind w:left="0" w:leftChars="0" w:right="0" w:rightChars="0"/>
                    <w:jc w:val="center"/>
                    <w:textAlignment w:val="auto"/>
                    <w:rPr>
                      <w:rFonts w:hint="default" w:ascii="Times New Roman" w:hAnsi="Times New Roman" w:eastAsia="宋体" w:cs="Times New Roman"/>
                      <w:bCs/>
                      <w:kern w:val="0"/>
                      <w:sz w:val="21"/>
                      <w:szCs w:val="21"/>
                      <w:highlight w:val="none"/>
                      <w:lang w:val="en-US" w:eastAsia="zh-CN"/>
                    </w:rPr>
                  </w:pPr>
                  <w:r>
                    <w:rPr>
                      <w:rFonts w:hint="eastAsia" w:ascii="Times New Roman" w:hAnsi="Times New Roman" w:eastAsia="宋体" w:cs="Times New Roman"/>
                      <w:bCs/>
                      <w:kern w:val="0"/>
                      <w:sz w:val="21"/>
                      <w:szCs w:val="21"/>
                      <w:highlight w:val="none"/>
                      <w:lang w:val="en-US" w:eastAsia="zh-CN"/>
                    </w:rPr>
                    <w:t>硫酸雾</w:t>
                  </w:r>
                </w:p>
              </w:tc>
              <w:tc>
                <w:tcPr>
                  <w:tcW w:w="3277" w:type="pct"/>
                  <w:gridSpan w:val="3"/>
                  <w:tcBorders>
                    <w:tl2br w:val="nil"/>
                    <w:tr2bl w:val="nil"/>
                  </w:tcBorders>
                  <w:shd w:val="clear" w:color="auto" w:fill="auto"/>
                  <w:noWrap w:val="0"/>
                  <w:vAlign w:val="center"/>
                </w:tcPr>
                <w:p w14:paraId="11B823E5">
                  <w:pPr>
                    <w:pStyle w:val="27"/>
                    <w:keepNext w:val="0"/>
                    <w:keepLines w:val="0"/>
                    <w:widowControl w:val="0"/>
                    <w:suppressLineNumbers w:val="0"/>
                    <w:spacing w:before="0" w:beforeAutospacing="0" w:after="0" w:afterAutospacing="0" w:line="240" w:lineRule="auto"/>
                    <w:ind w:left="0" w:leftChars="0" w:right="0" w:rightChars="0" w:firstLine="0" w:firstLineChars="0"/>
                    <w:jc w:val="center"/>
                    <w:rPr>
                      <w:rFonts w:hint="default" w:ascii="Times New Roman" w:hAnsi="Times New Roman" w:eastAsia="宋体" w:cs="Times New Roman"/>
                      <w:color w:val="auto"/>
                      <w:sz w:val="21"/>
                      <w:szCs w:val="21"/>
                      <w:highlight w:val="none"/>
                      <w:lang w:val="en-US" w:eastAsia="zh-CN"/>
                    </w:rPr>
                  </w:pPr>
                  <w:r>
                    <w:rPr>
                      <w:rFonts w:hint="eastAsia" w:ascii="Times New Roman" w:hAnsi="Times New Roman" w:eastAsia="宋体" w:cs="Times New Roman"/>
                      <w:bCs/>
                      <w:kern w:val="0"/>
                      <w:sz w:val="21"/>
                      <w:szCs w:val="21"/>
                      <w:highlight w:val="none"/>
                      <w:lang w:val="en-US" w:eastAsia="zh-CN"/>
                    </w:rPr>
                    <w:t>少量</w:t>
                  </w:r>
                </w:p>
              </w:tc>
            </w:tr>
            <w:tr w14:paraId="778E8ADD">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28" w:type="dxa"/>
                  <w:bottom w:w="0" w:type="dxa"/>
                  <w:right w:w="28" w:type="dxa"/>
                </w:tblCellMar>
              </w:tblPrEx>
              <w:trPr>
                <w:trHeight w:val="0" w:hRule="atLeast"/>
              </w:trPr>
              <w:tc>
                <w:tcPr>
                  <w:tcW w:w="311" w:type="pct"/>
                  <w:tcBorders>
                    <w:tl2br w:val="nil"/>
                    <w:tr2bl w:val="nil"/>
                  </w:tcBorders>
                  <w:noWrap w:val="0"/>
                  <w:vAlign w:val="center"/>
                </w:tcPr>
                <w:p w14:paraId="635BA642">
                  <w:pPr>
                    <w:pStyle w:val="27"/>
                    <w:keepNext w:val="0"/>
                    <w:keepLines w:val="0"/>
                    <w:widowControl w:val="0"/>
                    <w:suppressLineNumbers w:val="0"/>
                    <w:spacing w:before="0" w:beforeAutospacing="0" w:after="0" w:afterAutospacing="0" w:line="240" w:lineRule="auto"/>
                    <w:ind w:left="0" w:leftChars="0" w:right="0" w:rightChars="0" w:firstLine="0" w:firstLineChars="0"/>
                    <w:jc w:val="center"/>
                    <w:rPr>
                      <w:rFonts w:hint="default" w:ascii="Times New Roman" w:hAnsi="Times New Roman" w:eastAsia="宋体" w:cs="Times New Roman"/>
                      <w:color w:val="auto"/>
                      <w:sz w:val="21"/>
                      <w:szCs w:val="21"/>
                      <w:highlight w:val="none"/>
                      <w:lang w:val="en-US" w:eastAsia="zh-CN"/>
                    </w:rPr>
                  </w:pPr>
                  <w:r>
                    <w:rPr>
                      <w:rFonts w:hint="eastAsia" w:ascii="Times New Roman" w:hAnsi="Times New Roman" w:cs="Times New Roman"/>
                      <w:color w:val="auto"/>
                      <w:sz w:val="21"/>
                      <w:szCs w:val="21"/>
                      <w:highlight w:val="none"/>
                      <w:lang w:val="en-US" w:eastAsia="zh-CN"/>
                    </w:rPr>
                    <w:t>32</w:t>
                  </w:r>
                </w:p>
              </w:tc>
              <w:tc>
                <w:tcPr>
                  <w:tcW w:w="625" w:type="pct"/>
                  <w:vMerge w:val="restart"/>
                  <w:tcBorders>
                    <w:tl2br w:val="nil"/>
                    <w:tr2bl w:val="nil"/>
                  </w:tcBorders>
                  <w:noWrap w:val="0"/>
                  <w:vAlign w:val="center"/>
                </w:tcPr>
                <w:p w14:paraId="79AEE35A">
                  <w:pPr>
                    <w:pStyle w:val="27"/>
                    <w:keepNext w:val="0"/>
                    <w:keepLines w:val="0"/>
                    <w:widowControl w:val="0"/>
                    <w:suppressLineNumbers w:val="0"/>
                    <w:spacing w:before="0" w:beforeAutospacing="0" w:after="0" w:afterAutospacing="0" w:line="240" w:lineRule="auto"/>
                    <w:ind w:left="0" w:leftChars="0" w:right="0" w:rightChars="0" w:firstLine="0" w:firstLineChars="0"/>
                    <w:jc w:val="center"/>
                    <w:rPr>
                      <w:rFonts w:hint="default" w:ascii="Times New Roman" w:hAnsi="Times New Roman" w:eastAsia="宋体" w:cs="Times New Roman"/>
                      <w:color w:val="auto"/>
                      <w:sz w:val="21"/>
                      <w:szCs w:val="21"/>
                      <w:highlight w:val="none"/>
                      <w:lang w:val="en-US" w:eastAsia="zh-CN"/>
                    </w:rPr>
                  </w:pPr>
                  <w:r>
                    <w:rPr>
                      <w:rFonts w:hint="eastAsia" w:ascii="Times New Roman" w:hAnsi="Times New Roman" w:eastAsia="宋体" w:cs="Times New Roman"/>
                      <w:color w:val="auto"/>
                      <w:sz w:val="21"/>
                      <w:szCs w:val="21"/>
                      <w:highlight w:val="none"/>
                      <w:lang w:val="en-US" w:eastAsia="zh-CN"/>
                    </w:rPr>
                    <w:t>DA012</w:t>
                  </w:r>
                </w:p>
              </w:tc>
              <w:tc>
                <w:tcPr>
                  <w:tcW w:w="785" w:type="pct"/>
                  <w:tcBorders>
                    <w:tl2br w:val="nil"/>
                    <w:tr2bl w:val="nil"/>
                  </w:tcBorders>
                  <w:shd w:val="clear" w:color="auto" w:fill="auto"/>
                  <w:noWrap w:val="0"/>
                  <w:vAlign w:val="center"/>
                </w:tcPr>
                <w:p w14:paraId="4F219DBA">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64" w:lineRule="auto"/>
                    <w:ind w:left="0" w:leftChars="0" w:right="0" w:rightChars="0"/>
                    <w:jc w:val="center"/>
                    <w:textAlignment w:val="auto"/>
                    <w:rPr>
                      <w:rFonts w:hint="eastAsia" w:ascii="Times New Roman" w:hAnsi="Times New Roman" w:eastAsia="宋体" w:cs="Times New Roman"/>
                      <w:bCs/>
                      <w:kern w:val="0"/>
                      <w:sz w:val="21"/>
                      <w:szCs w:val="21"/>
                      <w:highlight w:val="none"/>
                      <w:lang w:val="en-US" w:eastAsia="zh-CN" w:bidi="ar-SA"/>
                    </w:rPr>
                  </w:pPr>
                  <w:r>
                    <w:rPr>
                      <w:rFonts w:hint="eastAsia" w:ascii="Times New Roman" w:hAnsi="Times New Roman" w:eastAsia="宋体" w:cs="Times New Roman"/>
                      <w:bCs/>
                      <w:kern w:val="0"/>
                      <w:sz w:val="21"/>
                      <w:szCs w:val="21"/>
                      <w:highlight w:val="none"/>
                      <w:lang w:val="en-US" w:eastAsia="zh-CN"/>
                    </w:rPr>
                    <w:t>非甲烷总烃</w:t>
                  </w:r>
                </w:p>
              </w:tc>
              <w:tc>
                <w:tcPr>
                  <w:tcW w:w="1048" w:type="pct"/>
                  <w:tcBorders>
                    <w:tl2br w:val="nil"/>
                    <w:tr2bl w:val="nil"/>
                  </w:tcBorders>
                  <w:shd w:val="clear" w:color="auto" w:fill="auto"/>
                  <w:noWrap w:val="0"/>
                  <w:vAlign w:val="center"/>
                </w:tcPr>
                <w:p w14:paraId="1354F053">
                  <w:pPr>
                    <w:keepNext w:val="0"/>
                    <w:keepLines w:val="0"/>
                    <w:widowControl/>
                    <w:suppressLineNumbers w:val="0"/>
                    <w:spacing w:before="0" w:beforeAutospacing="0" w:after="0" w:afterAutospacing="0"/>
                    <w:ind w:left="0" w:leftChars="0" w:right="0" w:rightChars="0"/>
                    <w:jc w:val="center"/>
                    <w:textAlignment w:val="center"/>
                    <w:rPr>
                      <w:rFonts w:hint="default" w:ascii="Times New Roman" w:hAnsi="Times New Roman" w:eastAsia="宋体" w:cs="Times New Roman"/>
                      <w:b w:val="0"/>
                      <w:bCs w:val="0"/>
                      <w:kern w:val="2"/>
                      <w:sz w:val="21"/>
                      <w:szCs w:val="21"/>
                      <w:highlight w:val="none"/>
                      <w:lang w:val="en-US" w:eastAsia="zh-CN" w:bidi="ar"/>
                    </w:rPr>
                  </w:pPr>
                  <w:r>
                    <w:rPr>
                      <w:rFonts w:hint="eastAsia" w:ascii="Times New Roman" w:hAnsi="Times New Roman" w:eastAsia="宋体" w:cs="Times New Roman"/>
                      <w:bCs/>
                      <w:kern w:val="0"/>
                      <w:sz w:val="21"/>
                      <w:szCs w:val="21"/>
                      <w:highlight w:val="none"/>
                      <w:lang w:val="en-US" w:eastAsia="zh-CN"/>
                    </w:rPr>
                    <w:t>0.52</w:t>
                  </w:r>
                </w:p>
              </w:tc>
              <w:tc>
                <w:tcPr>
                  <w:tcW w:w="1152" w:type="pct"/>
                  <w:tcBorders>
                    <w:tl2br w:val="nil"/>
                    <w:tr2bl w:val="nil"/>
                  </w:tcBorders>
                  <w:shd w:val="clear" w:color="auto" w:fill="auto"/>
                  <w:noWrap w:val="0"/>
                  <w:vAlign w:val="center"/>
                </w:tcPr>
                <w:p w14:paraId="02AED259">
                  <w:pPr>
                    <w:keepNext w:val="0"/>
                    <w:keepLines w:val="0"/>
                    <w:widowControl/>
                    <w:suppressLineNumbers w:val="0"/>
                    <w:spacing w:before="0" w:beforeAutospacing="0" w:after="0" w:afterAutospacing="0"/>
                    <w:ind w:left="0" w:leftChars="0" w:right="0" w:rightChars="0"/>
                    <w:jc w:val="center"/>
                    <w:textAlignment w:val="center"/>
                    <w:rPr>
                      <w:rFonts w:hint="default" w:ascii="Times New Roman" w:hAnsi="Times New Roman" w:eastAsia="宋体" w:cs="Times New Roman"/>
                      <w:b w:val="0"/>
                      <w:bCs w:val="0"/>
                      <w:kern w:val="2"/>
                      <w:sz w:val="21"/>
                      <w:szCs w:val="21"/>
                      <w:highlight w:val="none"/>
                      <w:lang w:val="en-US" w:eastAsia="zh-CN" w:bidi="ar"/>
                    </w:rPr>
                  </w:pPr>
                  <w:r>
                    <w:rPr>
                      <w:rFonts w:hint="default" w:ascii="Times New Roman" w:hAnsi="Times New Roman" w:eastAsia="宋体" w:cs="Times New Roman"/>
                      <w:i w:val="0"/>
                      <w:iCs w:val="0"/>
                      <w:color w:val="000000"/>
                      <w:kern w:val="0"/>
                      <w:sz w:val="21"/>
                      <w:szCs w:val="21"/>
                      <w:highlight w:val="none"/>
                      <w:u w:val="none"/>
                      <w:lang w:val="en-US" w:eastAsia="zh-CN" w:bidi="ar"/>
                    </w:rPr>
                    <w:t>0.031</w:t>
                  </w:r>
                </w:p>
              </w:tc>
              <w:tc>
                <w:tcPr>
                  <w:tcW w:w="1076" w:type="pct"/>
                  <w:tcBorders>
                    <w:tl2br w:val="nil"/>
                    <w:tr2bl w:val="nil"/>
                  </w:tcBorders>
                  <w:shd w:val="clear" w:color="auto" w:fill="auto"/>
                  <w:noWrap w:val="0"/>
                  <w:vAlign w:val="center"/>
                </w:tcPr>
                <w:p w14:paraId="1D4EEDB8">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64" w:lineRule="auto"/>
                    <w:ind w:left="0" w:leftChars="0" w:right="0" w:rightChars="0"/>
                    <w:jc w:val="center"/>
                    <w:textAlignment w:val="auto"/>
                    <w:rPr>
                      <w:rFonts w:hint="default" w:ascii="Times New Roman" w:hAnsi="Times New Roman" w:eastAsia="宋体" w:cs="Times New Roman"/>
                      <w:bCs/>
                      <w:kern w:val="0"/>
                      <w:sz w:val="21"/>
                      <w:szCs w:val="21"/>
                      <w:highlight w:val="none"/>
                      <w:lang w:val="en-US" w:eastAsia="zh-CN" w:bidi="ar-SA"/>
                    </w:rPr>
                  </w:pPr>
                  <w:r>
                    <w:rPr>
                      <w:rFonts w:hint="default" w:ascii="Times New Roman" w:hAnsi="Times New Roman" w:eastAsia="宋体" w:cs="Times New Roman"/>
                      <w:i w:val="0"/>
                      <w:iCs w:val="0"/>
                      <w:color w:val="000000"/>
                      <w:kern w:val="0"/>
                      <w:sz w:val="21"/>
                      <w:szCs w:val="21"/>
                      <w:highlight w:val="none"/>
                      <w:u w:val="none"/>
                      <w:lang w:val="en-US" w:eastAsia="zh-CN" w:bidi="ar"/>
                    </w:rPr>
                    <w:t>0.065</w:t>
                  </w:r>
                </w:p>
              </w:tc>
            </w:tr>
            <w:tr w14:paraId="1BF3B296">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28" w:type="dxa"/>
                  <w:bottom w:w="0" w:type="dxa"/>
                  <w:right w:w="28" w:type="dxa"/>
                </w:tblCellMar>
              </w:tblPrEx>
              <w:trPr>
                <w:trHeight w:val="0" w:hRule="atLeast"/>
              </w:trPr>
              <w:tc>
                <w:tcPr>
                  <w:tcW w:w="311" w:type="pct"/>
                  <w:tcBorders>
                    <w:tl2br w:val="nil"/>
                    <w:tr2bl w:val="nil"/>
                  </w:tcBorders>
                  <w:noWrap w:val="0"/>
                  <w:vAlign w:val="center"/>
                </w:tcPr>
                <w:p w14:paraId="2FF8BAE4">
                  <w:pPr>
                    <w:pStyle w:val="27"/>
                    <w:keepNext w:val="0"/>
                    <w:keepLines w:val="0"/>
                    <w:widowControl w:val="0"/>
                    <w:suppressLineNumbers w:val="0"/>
                    <w:spacing w:before="0" w:beforeAutospacing="0" w:after="0" w:afterAutospacing="0" w:line="240" w:lineRule="auto"/>
                    <w:ind w:left="0" w:leftChars="0" w:right="0" w:rightChars="0" w:firstLine="0" w:firstLineChars="0"/>
                    <w:jc w:val="center"/>
                    <w:rPr>
                      <w:rFonts w:hint="default" w:ascii="Times New Roman" w:hAnsi="Times New Roman" w:eastAsia="宋体" w:cs="Times New Roman"/>
                      <w:color w:val="auto"/>
                      <w:sz w:val="21"/>
                      <w:szCs w:val="21"/>
                      <w:highlight w:val="none"/>
                      <w:lang w:val="en-US" w:eastAsia="zh-CN"/>
                    </w:rPr>
                  </w:pPr>
                  <w:r>
                    <w:rPr>
                      <w:rFonts w:hint="eastAsia" w:ascii="Times New Roman" w:hAnsi="Times New Roman" w:cs="Times New Roman"/>
                      <w:color w:val="auto"/>
                      <w:sz w:val="21"/>
                      <w:szCs w:val="21"/>
                      <w:highlight w:val="none"/>
                      <w:lang w:val="en-US" w:eastAsia="zh-CN"/>
                    </w:rPr>
                    <w:t>33</w:t>
                  </w:r>
                </w:p>
              </w:tc>
              <w:tc>
                <w:tcPr>
                  <w:tcW w:w="625" w:type="pct"/>
                  <w:vMerge w:val="continue"/>
                  <w:tcBorders>
                    <w:tl2br w:val="nil"/>
                    <w:tr2bl w:val="nil"/>
                  </w:tcBorders>
                  <w:noWrap w:val="0"/>
                  <w:vAlign w:val="center"/>
                </w:tcPr>
                <w:p w14:paraId="0448A39D">
                  <w:pPr>
                    <w:pStyle w:val="27"/>
                    <w:keepNext w:val="0"/>
                    <w:keepLines w:val="0"/>
                    <w:widowControl w:val="0"/>
                    <w:suppressLineNumbers w:val="0"/>
                    <w:spacing w:before="0" w:beforeAutospacing="0" w:after="0" w:afterAutospacing="0" w:line="240" w:lineRule="auto"/>
                    <w:ind w:left="0" w:leftChars="0" w:right="0" w:rightChars="0" w:firstLine="0" w:firstLineChars="0"/>
                    <w:jc w:val="center"/>
                    <w:rPr>
                      <w:rFonts w:hint="default" w:ascii="Times New Roman" w:hAnsi="Times New Roman" w:eastAsia="宋体" w:cs="Times New Roman"/>
                      <w:color w:val="auto"/>
                      <w:sz w:val="21"/>
                      <w:szCs w:val="21"/>
                      <w:highlight w:val="none"/>
                      <w:lang w:val="en-US" w:eastAsia="zh-CN"/>
                    </w:rPr>
                  </w:pPr>
                </w:p>
              </w:tc>
              <w:tc>
                <w:tcPr>
                  <w:tcW w:w="785" w:type="pct"/>
                  <w:tcBorders>
                    <w:tl2br w:val="nil"/>
                    <w:tr2bl w:val="nil"/>
                  </w:tcBorders>
                  <w:shd w:val="clear" w:color="auto" w:fill="auto"/>
                  <w:noWrap w:val="0"/>
                  <w:vAlign w:val="center"/>
                </w:tcPr>
                <w:p w14:paraId="4AB20B94">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64" w:lineRule="auto"/>
                    <w:ind w:left="0" w:leftChars="0" w:right="0" w:rightChars="0"/>
                    <w:jc w:val="center"/>
                    <w:textAlignment w:val="auto"/>
                    <w:rPr>
                      <w:rFonts w:hint="eastAsia" w:ascii="Times New Roman" w:hAnsi="Times New Roman" w:eastAsia="宋体" w:cs="Times New Roman"/>
                      <w:bCs/>
                      <w:kern w:val="0"/>
                      <w:sz w:val="21"/>
                      <w:szCs w:val="21"/>
                      <w:highlight w:val="none"/>
                      <w:lang w:val="en-US" w:eastAsia="zh-CN" w:bidi="ar-SA"/>
                    </w:rPr>
                  </w:pPr>
                  <w:r>
                    <w:rPr>
                      <w:rFonts w:hint="eastAsia" w:ascii="Times New Roman" w:hAnsi="Times New Roman" w:eastAsia="宋体" w:cs="Times New Roman"/>
                      <w:bCs/>
                      <w:kern w:val="0"/>
                      <w:sz w:val="21"/>
                      <w:szCs w:val="21"/>
                      <w:highlight w:val="none"/>
                      <w:lang w:val="en-US" w:eastAsia="zh-CN"/>
                    </w:rPr>
                    <w:t>氯化氢</w:t>
                  </w:r>
                </w:p>
              </w:tc>
              <w:tc>
                <w:tcPr>
                  <w:tcW w:w="3277" w:type="pct"/>
                  <w:gridSpan w:val="3"/>
                  <w:tcBorders>
                    <w:tl2br w:val="nil"/>
                    <w:tr2bl w:val="nil"/>
                  </w:tcBorders>
                  <w:shd w:val="clear" w:color="auto" w:fill="auto"/>
                  <w:noWrap w:val="0"/>
                  <w:vAlign w:val="center"/>
                </w:tcPr>
                <w:p w14:paraId="0869E7B3">
                  <w:pPr>
                    <w:pStyle w:val="27"/>
                    <w:keepNext w:val="0"/>
                    <w:keepLines w:val="0"/>
                    <w:widowControl w:val="0"/>
                    <w:suppressLineNumbers w:val="0"/>
                    <w:spacing w:before="0" w:beforeAutospacing="0" w:after="0" w:afterAutospacing="0" w:line="240" w:lineRule="auto"/>
                    <w:ind w:left="0" w:leftChars="0" w:right="0" w:rightChars="0" w:firstLine="0" w:firstLineChars="0"/>
                    <w:jc w:val="center"/>
                    <w:rPr>
                      <w:rFonts w:hint="default" w:ascii="Times New Roman" w:hAnsi="Times New Roman" w:eastAsia="宋体" w:cs="Times New Roman"/>
                      <w:color w:val="auto"/>
                      <w:sz w:val="21"/>
                      <w:szCs w:val="21"/>
                      <w:highlight w:val="none"/>
                      <w:lang w:val="en-US" w:eastAsia="zh-CN"/>
                    </w:rPr>
                  </w:pPr>
                  <w:r>
                    <w:rPr>
                      <w:rFonts w:hint="eastAsia" w:ascii="Times New Roman" w:hAnsi="Times New Roman" w:eastAsia="宋体" w:cs="Times New Roman"/>
                      <w:bCs/>
                      <w:kern w:val="0"/>
                      <w:sz w:val="21"/>
                      <w:szCs w:val="21"/>
                      <w:highlight w:val="none"/>
                      <w:lang w:val="en-US" w:eastAsia="zh-CN"/>
                    </w:rPr>
                    <w:t>少量</w:t>
                  </w:r>
                </w:p>
              </w:tc>
            </w:tr>
            <w:tr w14:paraId="31A51025">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28" w:type="dxa"/>
                  <w:bottom w:w="0" w:type="dxa"/>
                  <w:right w:w="28" w:type="dxa"/>
                </w:tblCellMar>
              </w:tblPrEx>
              <w:trPr>
                <w:trHeight w:val="0" w:hRule="atLeast"/>
              </w:trPr>
              <w:tc>
                <w:tcPr>
                  <w:tcW w:w="311" w:type="pct"/>
                  <w:tcBorders>
                    <w:tl2br w:val="nil"/>
                    <w:tr2bl w:val="nil"/>
                  </w:tcBorders>
                  <w:shd w:val="clear" w:color="auto" w:fill="auto"/>
                  <w:noWrap w:val="0"/>
                  <w:vAlign w:val="center"/>
                </w:tcPr>
                <w:p w14:paraId="05A119D9">
                  <w:pPr>
                    <w:pStyle w:val="27"/>
                    <w:keepNext w:val="0"/>
                    <w:keepLines w:val="0"/>
                    <w:widowControl w:val="0"/>
                    <w:suppressLineNumbers w:val="0"/>
                    <w:spacing w:before="0" w:beforeAutospacing="0" w:after="0" w:afterAutospacing="0" w:line="240" w:lineRule="auto"/>
                    <w:ind w:left="0" w:leftChars="0" w:right="0" w:rightChars="0" w:firstLine="0" w:firstLineChars="0"/>
                    <w:jc w:val="center"/>
                    <w:rPr>
                      <w:rFonts w:hint="default" w:ascii="Times New Roman" w:hAnsi="Times New Roman" w:eastAsia="宋体" w:cs="Times New Roman"/>
                      <w:color w:val="auto"/>
                      <w:kern w:val="0"/>
                      <w:sz w:val="21"/>
                      <w:szCs w:val="21"/>
                      <w:highlight w:val="none"/>
                      <w:lang w:val="en-US" w:eastAsia="zh-CN" w:bidi="ar-SA"/>
                    </w:rPr>
                  </w:pPr>
                  <w:r>
                    <w:rPr>
                      <w:rFonts w:hint="eastAsia" w:ascii="Times New Roman" w:hAnsi="Times New Roman" w:eastAsia="宋体" w:cs="Times New Roman"/>
                      <w:color w:val="auto"/>
                      <w:sz w:val="21"/>
                      <w:szCs w:val="21"/>
                      <w:highlight w:val="none"/>
                      <w:lang w:val="en-US" w:eastAsia="zh-CN"/>
                    </w:rPr>
                    <w:t>34</w:t>
                  </w:r>
                </w:p>
              </w:tc>
              <w:tc>
                <w:tcPr>
                  <w:tcW w:w="625" w:type="pct"/>
                  <w:vMerge w:val="continue"/>
                  <w:tcBorders>
                    <w:tl2br w:val="nil"/>
                    <w:tr2bl w:val="nil"/>
                  </w:tcBorders>
                  <w:noWrap w:val="0"/>
                  <w:vAlign w:val="center"/>
                </w:tcPr>
                <w:p w14:paraId="657BBD3C">
                  <w:pPr>
                    <w:pStyle w:val="27"/>
                    <w:keepNext w:val="0"/>
                    <w:keepLines w:val="0"/>
                    <w:widowControl w:val="0"/>
                    <w:suppressLineNumbers w:val="0"/>
                    <w:spacing w:before="0" w:beforeAutospacing="0" w:after="0" w:afterAutospacing="0" w:line="240" w:lineRule="auto"/>
                    <w:ind w:left="0" w:leftChars="0" w:right="0" w:rightChars="0" w:firstLine="0" w:firstLineChars="0"/>
                    <w:jc w:val="center"/>
                    <w:rPr>
                      <w:rFonts w:hint="default" w:ascii="Times New Roman" w:hAnsi="Times New Roman" w:eastAsia="宋体" w:cs="Times New Roman"/>
                      <w:color w:val="auto"/>
                      <w:sz w:val="21"/>
                      <w:szCs w:val="21"/>
                      <w:highlight w:val="none"/>
                      <w:lang w:val="en-US" w:eastAsia="zh-CN"/>
                    </w:rPr>
                  </w:pPr>
                </w:p>
              </w:tc>
              <w:tc>
                <w:tcPr>
                  <w:tcW w:w="785" w:type="pct"/>
                  <w:tcBorders>
                    <w:tl2br w:val="nil"/>
                    <w:tr2bl w:val="nil"/>
                  </w:tcBorders>
                  <w:shd w:val="clear" w:color="auto" w:fill="auto"/>
                  <w:noWrap w:val="0"/>
                  <w:vAlign w:val="center"/>
                </w:tcPr>
                <w:p w14:paraId="0316BC24">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64" w:lineRule="auto"/>
                    <w:ind w:left="0" w:leftChars="0" w:right="0" w:rightChars="0"/>
                    <w:jc w:val="center"/>
                    <w:textAlignment w:val="auto"/>
                    <w:rPr>
                      <w:rFonts w:hint="eastAsia" w:ascii="Times New Roman" w:hAnsi="Times New Roman" w:eastAsia="宋体" w:cs="Times New Roman"/>
                      <w:bCs/>
                      <w:kern w:val="0"/>
                      <w:sz w:val="21"/>
                      <w:szCs w:val="21"/>
                      <w:highlight w:val="none"/>
                      <w:lang w:val="en-US" w:eastAsia="zh-CN" w:bidi="ar-SA"/>
                    </w:rPr>
                  </w:pPr>
                  <w:r>
                    <w:rPr>
                      <w:rFonts w:hint="eastAsia" w:ascii="Times New Roman" w:hAnsi="Times New Roman" w:eastAsia="宋体" w:cs="Times New Roman"/>
                      <w:bCs/>
                      <w:kern w:val="0"/>
                      <w:sz w:val="21"/>
                      <w:szCs w:val="21"/>
                      <w:highlight w:val="none"/>
                      <w:lang w:val="en-US" w:eastAsia="zh-CN"/>
                    </w:rPr>
                    <w:t>硫酸雾</w:t>
                  </w:r>
                </w:p>
              </w:tc>
              <w:tc>
                <w:tcPr>
                  <w:tcW w:w="3277" w:type="pct"/>
                  <w:gridSpan w:val="3"/>
                  <w:tcBorders>
                    <w:tl2br w:val="nil"/>
                    <w:tr2bl w:val="nil"/>
                  </w:tcBorders>
                  <w:shd w:val="clear" w:color="auto" w:fill="auto"/>
                  <w:noWrap w:val="0"/>
                  <w:vAlign w:val="center"/>
                </w:tcPr>
                <w:p w14:paraId="07915BEA">
                  <w:pPr>
                    <w:pStyle w:val="27"/>
                    <w:keepNext w:val="0"/>
                    <w:keepLines w:val="0"/>
                    <w:widowControl w:val="0"/>
                    <w:suppressLineNumbers w:val="0"/>
                    <w:spacing w:before="0" w:beforeAutospacing="0" w:after="0" w:afterAutospacing="0" w:line="240" w:lineRule="auto"/>
                    <w:ind w:left="0" w:leftChars="0" w:right="0" w:rightChars="0" w:firstLine="0" w:firstLineChars="0"/>
                    <w:jc w:val="center"/>
                    <w:rPr>
                      <w:rFonts w:hint="default" w:ascii="Times New Roman" w:hAnsi="Times New Roman" w:eastAsia="宋体" w:cs="Times New Roman"/>
                      <w:color w:val="auto"/>
                      <w:sz w:val="21"/>
                      <w:szCs w:val="21"/>
                      <w:highlight w:val="none"/>
                      <w:lang w:val="en-US" w:eastAsia="zh-CN"/>
                    </w:rPr>
                  </w:pPr>
                  <w:r>
                    <w:rPr>
                      <w:rFonts w:hint="eastAsia" w:ascii="Times New Roman" w:hAnsi="Times New Roman" w:eastAsia="宋体" w:cs="Times New Roman"/>
                      <w:bCs/>
                      <w:kern w:val="0"/>
                      <w:sz w:val="21"/>
                      <w:szCs w:val="21"/>
                      <w:highlight w:val="none"/>
                      <w:lang w:val="en-US" w:eastAsia="zh-CN"/>
                    </w:rPr>
                    <w:t>少量</w:t>
                  </w:r>
                </w:p>
              </w:tc>
            </w:tr>
            <w:tr w14:paraId="1CC89BF8">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28" w:type="dxa"/>
                  <w:bottom w:w="0" w:type="dxa"/>
                  <w:right w:w="28" w:type="dxa"/>
                </w:tblCellMar>
              </w:tblPrEx>
              <w:trPr>
                <w:trHeight w:val="0" w:hRule="atLeast"/>
              </w:trPr>
              <w:tc>
                <w:tcPr>
                  <w:tcW w:w="311" w:type="pct"/>
                  <w:tcBorders>
                    <w:tl2br w:val="nil"/>
                    <w:tr2bl w:val="nil"/>
                  </w:tcBorders>
                  <w:shd w:val="clear" w:color="auto" w:fill="auto"/>
                  <w:noWrap w:val="0"/>
                  <w:vAlign w:val="center"/>
                </w:tcPr>
                <w:p w14:paraId="22982252">
                  <w:pPr>
                    <w:pStyle w:val="27"/>
                    <w:keepNext w:val="0"/>
                    <w:keepLines w:val="0"/>
                    <w:widowControl w:val="0"/>
                    <w:suppressLineNumbers w:val="0"/>
                    <w:spacing w:before="0" w:beforeAutospacing="0" w:after="0" w:afterAutospacing="0" w:line="240" w:lineRule="auto"/>
                    <w:ind w:left="0" w:leftChars="0" w:right="0" w:rightChars="0" w:firstLine="0" w:firstLineChars="0"/>
                    <w:jc w:val="center"/>
                    <w:rPr>
                      <w:rFonts w:hint="default" w:ascii="Times New Roman" w:hAnsi="Times New Roman" w:eastAsia="宋体" w:cs="Times New Roman"/>
                      <w:color w:val="auto"/>
                      <w:kern w:val="0"/>
                      <w:sz w:val="21"/>
                      <w:szCs w:val="21"/>
                      <w:highlight w:val="none"/>
                      <w:lang w:val="en-US" w:eastAsia="zh-CN" w:bidi="ar-SA"/>
                    </w:rPr>
                  </w:pPr>
                  <w:r>
                    <w:rPr>
                      <w:rFonts w:hint="eastAsia" w:ascii="Times New Roman" w:hAnsi="Times New Roman" w:eastAsia="宋体" w:cs="Times New Roman"/>
                      <w:color w:val="auto"/>
                      <w:sz w:val="21"/>
                      <w:szCs w:val="21"/>
                      <w:highlight w:val="none"/>
                      <w:lang w:val="en-US" w:eastAsia="zh-CN"/>
                    </w:rPr>
                    <w:t>35</w:t>
                  </w:r>
                </w:p>
              </w:tc>
              <w:tc>
                <w:tcPr>
                  <w:tcW w:w="625" w:type="pct"/>
                  <w:vMerge w:val="restart"/>
                  <w:tcBorders>
                    <w:tl2br w:val="nil"/>
                    <w:tr2bl w:val="nil"/>
                  </w:tcBorders>
                  <w:noWrap w:val="0"/>
                  <w:vAlign w:val="center"/>
                </w:tcPr>
                <w:p w14:paraId="366AE18D">
                  <w:pPr>
                    <w:pStyle w:val="27"/>
                    <w:keepNext w:val="0"/>
                    <w:keepLines w:val="0"/>
                    <w:widowControl w:val="0"/>
                    <w:suppressLineNumbers w:val="0"/>
                    <w:spacing w:before="0" w:beforeAutospacing="0" w:after="0" w:afterAutospacing="0" w:line="240" w:lineRule="auto"/>
                    <w:ind w:left="0" w:leftChars="0" w:right="0" w:rightChars="0" w:firstLine="0" w:firstLineChars="0"/>
                    <w:jc w:val="center"/>
                    <w:rPr>
                      <w:rFonts w:hint="default" w:ascii="Times New Roman" w:hAnsi="Times New Roman" w:eastAsia="宋体" w:cs="Times New Roman"/>
                      <w:color w:val="auto"/>
                      <w:sz w:val="21"/>
                      <w:szCs w:val="21"/>
                      <w:highlight w:val="none"/>
                      <w:lang w:val="en-US" w:eastAsia="zh-CN"/>
                    </w:rPr>
                  </w:pPr>
                  <w:r>
                    <w:rPr>
                      <w:rFonts w:hint="eastAsia" w:ascii="Times New Roman" w:hAnsi="Times New Roman" w:eastAsia="宋体" w:cs="Times New Roman"/>
                      <w:color w:val="auto"/>
                      <w:sz w:val="21"/>
                      <w:szCs w:val="21"/>
                      <w:highlight w:val="none"/>
                      <w:lang w:val="en-US" w:eastAsia="zh-CN"/>
                    </w:rPr>
                    <w:t>DA013</w:t>
                  </w:r>
                </w:p>
              </w:tc>
              <w:tc>
                <w:tcPr>
                  <w:tcW w:w="785" w:type="pct"/>
                  <w:tcBorders>
                    <w:tl2br w:val="nil"/>
                    <w:tr2bl w:val="nil"/>
                  </w:tcBorders>
                  <w:shd w:val="clear" w:color="auto" w:fill="auto"/>
                  <w:noWrap w:val="0"/>
                  <w:vAlign w:val="center"/>
                </w:tcPr>
                <w:p w14:paraId="71681EB1">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64" w:lineRule="auto"/>
                    <w:ind w:left="0" w:leftChars="0" w:right="0" w:rightChars="0"/>
                    <w:jc w:val="center"/>
                    <w:textAlignment w:val="auto"/>
                    <w:rPr>
                      <w:rFonts w:hint="eastAsia" w:ascii="Times New Roman" w:hAnsi="Times New Roman" w:eastAsia="宋体" w:cs="Times New Roman"/>
                      <w:bCs/>
                      <w:kern w:val="0"/>
                      <w:sz w:val="21"/>
                      <w:szCs w:val="21"/>
                      <w:highlight w:val="none"/>
                      <w:lang w:val="en-US" w:eastAsia="zh-CN" w:bidi="ar-SA"/>
                    </w:rPr>
                  </w:pPr>
                  <w:r>
                    <w:rPr>
                      <w:rFonts w:hint="eastAsia" w:ascii="Times New Roman" w:hAnsi="Times New Roman" w:eastAsia="宋体" w:cs="Times New Roman"/>
                      <w:bCs/>
                      <w:kern w:val="0"/>
                      <w:sz w:val="21"/>
                      <w:szCs w:val="21"/>
                      <w:highlight w:val="none"/>
                      <w:lang w:val="en-US" w:eastAsia="zh-CN"/>
                    </w:rPr>
                    <w:t>非甲烷总烃</w:t>
                  </w:r>
                </w:p>
              </w:tc>
              <w:tc>
                <w:tcPr>
                  <w:tcW w:w="1048" w:type="pct"/>
                  <w:tcBorders>
                    <w:tl2br w:val="nil"/>
                    <w:tr2bl w:val="nil"/>
                  </w:tcBorders>
                  <w:shd w:val="clear" w:color="auto" w:fill="auto"/>
                  <w:noWrap w:val="0"/>
                  <w:vAlign w:val="center"/>
                </w:tcPr>
                <w:p w14:paraId="5402358C">
                  <w:pPr>
                    <w:keepNext w:val="0"/>
                    <w:keepLines w:val="0"/>
                    <w:widowControl/>
                    <w:suppressLineNumbers w:val="0"/>
                    <w:spacing w:before="0" w:beforeAutospacing="0" w:after="0" w:afterAutospacing="0"/>
                    <w:ind w:left="0" w:leftChars="0" w:right="0" w:rightChars="0"/>
                    <w:jc w:val="center"/>
                    <w:textAlignment w:val="center"/>
                    <w:rPr>
                      <w:rFonts w:hint="default" w:ascii="Times New Roman" w:hAnsi="Times New Roman" w:eastAsia="宋体" w:cs="Times New Roman"/>
                      <w:bCs/>
                      <w:kern w:val="0"/>
                      <w:sz w:val="21"/>
                      <w:szCs w:val="21"/>
                      <w:highlight w:val="none"/>
                      <w:lang w:val="en-US" w:eastAsia="zh-CN" w:bidi="ar-SA"/>
                    </w:rPr>
                  </w:pPr>
                  <w:r>
                    <w:rPr>
                      <w:rFonts w:hint="eastAsia" w:ascii="Times New Roman" w:hAnsi="Times New Roman" w:eastAsia="宋体" w:cs="Times New Roman"/>
                      <w:bCs/>
                      <w:kern w:val="0"/>
                      <w:sz w:val="21"/>
                      <w:szCs w:val="21"/>
                      <w:highlight w:val="none"/>
                      <w:lang w:val="en-US" w:eastAsia="zh-CN"/>
                    </w:rPr>
                    <w:t>0.71</w:t>
                  </w:r>
                </w:p>
              </w:tc>
              <w:tc>
                <w:tcPr>
                  <w:tcW w:w="1152" w:type="pct"/>
                  <w:tcBorders>
                    <w:tl2br w:val="nil"/>
                    <w:tr2bl w:val="nil"/>
                  </w:tcBorders>
                  <w:shd w:val="clear" w:color="auto" w:fill="auto"/>
                  <w:noWrap w:val="0"/>
                  <w:vAlign w:val="center"/>
                </w:tcPr>
                <w:p w14:paraId="6151B9FD">
                  <w:pPr>
                    <w:keepNext w:val="0"/>
                    <w:keepLines w:val="0"/>
                    <w:widowControl/>
                    <w:suppressLineNumbers w:val="0"/>
                    <w:spacing w:before="0" w:beforeAutospacing="0" w:after="0" w:afterAutospacing="0"/>
                    <w:ind w:left="0" w:leftChars="0" w:right="0" w:rightChars="0"/>
                    <w:jc w:val="center"/>
                    <w:textAlignment w:val="center"/>
                    <w:rPr>
                      <w:rFonts w:hint="default" w:ascii="Times New Roman" w:hAnsi="Times New Roman" w:eastAsia="宋体" w:cs="Times New Roman"/>
                      <w:bCs/>
                      <w:kern w:val="0"/>
                      <w:sz w:val="21"/>
                      <w:szCs w:val="21"/>
                      <w:highlight w:val="none"/>
                      <w:lang w:val="en-US" w:eastAsia="zh-CN" w:bidi="ar-SA"/>
                    </w:rPr>
                  </w:pPr>
                  <w:r>
                    <w:rPr>
                      <w:rFonts w:hint="default" w:ascii="Times New Roman" w:hAnsi="Times New Roman" w:eastAsia="宋体" w:cs="Times New Roman"/>
                      <w:i w:val="0"/>
                      <w:iCs w:val="0"/>
                      <w:color w:val="000000"/>
                      <w:kern w:val="0"/>
                      <w:sz w:val="21"/>
                      <w:szCs w:val="21"/>
                      <w:highlight w:val="none"/>
                      <w:u w:val="none"/>
                      <w:lang w:val="en-US" w:eastAsia="zh-CN" w:bidi="ar"/>
                    </w:rPr>
                    <w:t>0.063</w:t>
                  </w:r>
                </w:p>
              </w:tc>
              <w:tc>
                <w:tcPr>
                  <w:tcW w:w="1076" w:type="pct"/>
                  <w:tcBorders>
                    <w:tl2br w:val="nil"/>
                    <w:tr2bl w:val="nil"/>
                  </w:tcBorders>
                  <w:shd w:val="clear" w:color="auto" w:fill="auto"/>
                  <w:noWrap w:val="0"/>
                  <w:vAlign w:val="center"/>
                </w:tcPr>
                <w:p w14:paraId="3BA8222C">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64" w:lineRule="auto"/>
                    <w:ind w:left="0" w:leftChars="0" w:right="0" w:rightChars="0"/>
                    <w:jc w:val="center"/>
                    <w:textAlignment w:val="auto"/>
                    <w:rPr>
                      <w:rFonts w:hint="default" w:ascii="Times New Roman" w:hAnsi="Times New Roman" w:eastAsia="宋体" w:cs="Times New Roman"/>
                      <w:bCs/>
                      <w:kern w:val="0"/>
                      <w:sz w:val="21"/>
                      <w:szCs w:val="21"/>
                      <w:highlight w:val="none"/>
                      <w:lang w:val="en-US" w:eastAsia="zh-CN" w:bidi="ar-SA"/>
                    </w:rPr>
                  </w:pPr>
                  <w:r>
                    <w:rPr>
                      <w:rFonts w:hint="default" w:ascii="Times New Roman" w:hAnsi="Times New Roman" w:eastAsia="宋体" w:cs="Times New Roman"/>
                      <w:i w:val="0"/>
                      <w:iCs w:val="0"/>
                      <w:color w:val="000000"/>
                      <w:kern w:val="0"/>
                      <w:sz w:val="21"/>
                      <w:szCs w:val="21"/>
                      <w:highlight w:val="none"/>
                      <w:u w:val="none"/>
                      <w:lang w:val="en-US" w:eastAsia="zh-CN" w:bidi="ar"/>
                    </w:rPr>
                    <w:t>0.13</w:t>
                  </w:r>
                </w:p>
              </w:tc>
            </w:tr>
            <w:tr w14:paraId="6B6A8FE8">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28" w:type="dxa"/>
                  <w:bottom w:w="0" w:type="dxa"/>
                  <w:right w:w="28" w:type="dxa"/>
                </w:tblCellMar>
              </w:tblPrEx>
              <w:trPr>
                <w:trHeight w:val="0" w:hRule="atLeast"/>
              </w:trPr>
              <w:tc>
                <w:tcPr>
                  <w:tcW w:w="311" w:type="pct"/>
                  <w:tcBorders>
                    <w:tl2br w:val="nil"/>
                    <w:tr2bl w:val="nil"/>
                  </w:tcBorders>
                  <w:shd w:val="clear" w:color="auto" w:fill="auto"/>
                  <w:noWrap w:val="0"/>
                  <w:vAlign w:val="center"/>
                </w:tcPr>
                <w:p w14:paraId="0FF78F7C">
                  <w:pPr>
                    <w:pStyle w:val="27"/>
                    <w:keepNext w:val="0"/>
                    <w:keepLines w:val="0"/>
                    <w:widowControl w:val="0"/>
                    <w:suppressLineNumbers w:val="0"/>
                    <w:spacing w:before="0" w:beforeAutospacing="0" w:after="0" w:afterAutospacing="0" w:line="240" w:lineRule="auto"/>
                    <w:ind w:left="0" w:leftChars="0" w:right="0" w:rightChars="0" w:firstLine="0" w:firstLineChars="0"/>
                    <w:jc w:val="center"/>
                    <w:rPr>
                      <w:rFonts w:hint="default" w:ascii="Times New Roman" w:hAnsi="Times New Roman" w:eastAsia="宋体" w:cs="Times New Roman"/>
                      <w:color w:val="auto"/>
                      <w:kern w:val="0"/>
                      <w:sz w:val="21"/>
                      <w:szCs w:val="21"/>
                      <w:highlight w:val="none"/>
                      <w:lang w:val="en-US" w:eastAsia="zh-CN" w:bidi="ar-SA"/>
                    </w:rPr>
                  </w:pPr>
                  <w:r>
                    <w:rPr>
                      <w:rFonts w:hint="eastAsia" w:ascii="Times New Roman" w:hAnsi="Times New Roman" w:eastAsia="宋体" w:cs="Times New Roman"/>
                      <w:color w:val="auto"/>
                      <w:sz w:val="21"/>
                      <w:szCs w:val="21"/>
                      <w:highlight w:val="none"/>
                      <w:lang w:val="en-US" w:eastAsia="zh-CN"/>
                    </w:rPr>
                    <w:t>36</w:t>
                  </w:r>
                </w:p>
              </w:tc>
              <w:tc>
                <w:tcPr>
                  <w:tcW w:w="625" w:type="pct"/>
                  <w:vMerge w:val="continue"/>
                  <w:tcBorders>
                    <w:tl2br w:val="nil"/>
                    <w:tr2bl w:val="nil"/>
                  </w:tcBorders>
                  <w:noWrap w:val="0"/>
                  <w:vAlign w:val="center"/>
                </w:tcPr>
                <w:p w14:paraId="74410ADB">
                  <w:pPr>
                    <w:pStyle w:val="27"/>
                    <w:keepNext w:val="0"/>
                    <w:keepLines w:val="0"/>
                    <w:widowControl w:val="0"/>
                    <w:suppressLineNumbers w:val="0"/>
                    <w:spacing w:before="0" w:beforeAutospacing="0" w:after="0" w:afterAutospacing="0" w:line="240" w:lineRule="auto"/>
                    <w:ind w:left="0" w:leftChars="0" w:right="0" w:rightChars="0" w:firstLine="0" w:firstLineChars="0"/>
                    <w:jc w:val="center"/>
                    <w:rPr>
                      <w:rFonts w:hint="default" w:ascii="Times New Roman" w:hAnsi="Times New Roman" w:eastAsia="宋体" w:cs="Times New Roman"/>
                      <w:color w:val="auto"/>
                      <w:sz w:val="21"/>
                      <w:szCs w:val="21"/>
                      <w:highlight w:val="none"/>
                      <w:lang w:val="en-US" w:eastAsia="zh-CN"/>
                    </w:rPr>
                  </w:pPr>
                </w:p>
              </w:tc>
              <w:tc>
                <w:tcPr>
                  <w:tcW w:w="785" w:type="pct"/>
                  <w:tcBorders>
                    <w:tl2br w:val="nil"/>
                    <w:tr2bl w:val="nil"/>
                  </w:tcBorders>
                  <w:shd w:val="clear" w:color="auto" w:fill="auto"/>
                  <w:noWrap w:val="0"/>
                  <w:vAlign w:val="center"/>
                </w:tcPr>
                <w:p w14:paraId="37C142F5">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64" w:lineRule="auto"/>
                    <w:ind w:left="0" w:leftChars="0" w:right="0" w:rightChars="0"/>
                    <w:jc w:val="center"/>
                    <w:textAlignment w:val="auto"/>
                    <w:rPr>
                      <w:rFonts w:hint="eastAsia" w:ascii="Times New Roman" w:hAnsi="Times New Roman" w:eastAsia="宋体" w:cs="Times New Roman"/>
                      <w:bCs/>
                      <w:kern w:val="0"/>
                      <w:sz w:val="21"/>
                      <w:szCs w:val="21"/>
                      <w:highlight w:val="none"/>
                      <w:lang w:val="en-US" w:eastAsia="zh-CN" w:bidi="ar-SA"/>
                    </w:rPr>
                  </w:pPr>
                  <w:r>
                    <w:rPr>
                      <w:rFonts w:hint="eastAsia" w:ascii="Times New Roman" w:hAnsi="Times New Roman" w:eastAsia="宋体" w:cs="Times New Roman"/>
                      <w:bCs/>
                      <w:kern w:val="0"/>
                      <w:sz w:val="21"/>
                      <w:szCs w:val="21"/>
                      <w:highlight w:val="none"/>
                      <w:lang w:val="en-US" w:eastAsia="zh-CN"/>
                    </w:rPr>
                    <w:t>氯化氢</w:t>
                  </w:r>
                </w:p>
              </w:tc>
              <w:tc>
                <w:tcPr>
                  <w:tcW w:w="3277" w:type="pct"/>
                  <w:gridSpan w:val="3"/>
                  <w:tcBorders>
                    <w:tl2br w:val="nil"/>
                    <w:tr2bl w:val="nil"/>
                  </w:tcBorders>
                  <w:shd w:val="clear" w:color="auto" w:fill="auto"/>
                  <w:noWrap w:val="0"/>
                  <w:vAlign w:val="center"/>
                </w:tcPr>
                <w:p w14:paraId="547493FC">
                  <w:pPr>
                    <w:pStyle w:val="27"/>
                    <w:keepNext w:val="0"/>
                    <w:keepLines w:val="0"/>
                    <w:widowControl w:val="0"/>
                    <w:suppressLineNumbers w:val="0"/>
                    <w:spacing w:before="0" w:beforeAutospacing="0" w:after="0" w:afterAutospacing="0" w:line="240" w:lineRule="auto"/>
                    <w:ind w:left="0" w:leftChars="0" w:right="0" w:rightChars="0" w:firstLine="0" w:firstLineChars="0"/>
                    <w:jc w:val="center"/>
                    <w:rPr>
                      <w:rFonts w:hint="default" w:ascii="Times New Roman" w:hAnsi="Times New Roman" w:eastAsia="宋体" w:cs="Times New Roman"/>
                      <w:color w:val="auto"/>
                      <w:sz w:val="21"/>
                      <w:szCs w:val="21"/>
                      <w:highlight w:val="none"/>
                      <w:lang w:val="en-US" w:eastAsia="zh-CN"/>
                    </w:rPr>
                  </w:pPr>
                  <w:r>
                    <w:rPr>
                      <w:rFonts w:hint="eastAsia" w:ascii="Times New Roman" w:hAnsi="Times New Roman" w:eastAsia="宋体" w:cs="Times New Roman"/>
                      <w:bCs/>
                      <w:kern w:val="0"/>
                      <w:sz w:val="21"/>
                      <w:szCs w:val="21"/>
                      <w:highlight w:val="none"/>
                      <w:lang w:val="en-US" w:eastAsia="zh-CN"/>
                    </w:rPr>
                    <w:t>少量</w:t>
                  </w:r>
                </w:p>
              </w:tc>
            </w:tr>
            <w:tr w14:paraId="0121DD1D">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28" w:type="dxa"/>
                  <w:bottom w:w="0" w:type="dxa"/>
                  <w:right w:w="28" w:type="dxa"/>
                </w:tblCellMar>
              </w:tblPrEx>
              <w:trPr>
                <w:trHeight w:val="0" w:hRule="atLeast"/>
              </w:trPr>
              <w:tc>
                <w:tcPr>
                  <w:tcW w:w="311" w:type="pct"/>
                  <w:tcBorders>
                    <w:tl2br w:val="nil"/>
                    <w:tr2bl w:val="nil"/>
                  </w:tcBorders>
                  <w:shd w:val="clear" w:color="auto" w:fill="auto"/>
                  <w:noWrap w:val="0"/>
                  <w:vAlign w:val="center"/>
                </w:tcPr>
                <w:p w14:paraId="297BFC03">
                  <w:pPr>
                    <w:pStyle w:val="27"/>
                    <w:keepNext w:val="0"/>
                    <w:keepLines w:val="0"/>
                    <w:widowControl w:val="0"/>
                    <w:suppressLineNumbers w:val="0"/>
                    <w:spacing w:before="0" w:beforeAutospacing="0" w:after="0" w:afterAutospacing="0" w:line="240" w:lineRule="auto"/>
                    <w:ind w:left="0" w:leftChars="0" w:right="0" w:rightChars="0" w:firstLine="0" w:firstLineChars="0"/>
                    <w:jc w:val="center"/>
                    <w:rPr>
                      <w:rFonts w:hint="default" w:ascii="Times New Roman" w:hAnsi="Times New Roman" w:eastAsia="宋体" w:cs="Times New Roman"/>
                      <w:color w:val="auto"/>
                      <w:kern w:val="0"/>
                      <w:sz w:val="21"/>
                      <w:szCs w:val="21"/>
                      <w:highlight w:val="none"/>
                      <w:lang w:val="en-US" w:eastAsia="zh-CN" w:bidi="ar-SA"/>
                    </w:rPr>
                  </w:pPr>
                  <w:r>
                    <w:rPr>
                      <w:rFonts w:hint="eastAsia" w:ascii="Times New Roman" w:hAnsi="Times New Roman" w:eastAsia="宋体" w:cs="Times New Roman"/>
                      <w:color w:val="auto"/>
                      <w:sz w:val="21"/>
                      <w:szCs w:val="21"/>
                      <w:highlight w:val="none"/>
                      <w:lang w:val="en-US" w:eastAsia="zh-CN"/>
                    </w:rPr>
                    <w:t>37</w:t>
                  </w:r>
                </w:p>
              </w:tc>
              <w:tc>
                <w:tcPr>
                  <w:tcW w:w="625" w:type="pct"/>
                  <w:vMerge w:val="continue"/>
                  <w:tcBorders>
                    <w:tl2br w:val="nil"/>
                    <w:tr2bl w:val="nil"/>
                  </w:tcBorders>
                  <w:noWrap w:val="0"/>
                  <w:vAlign w:val="center"/>
                </w:tcPr>
                <w:p w14:paraId="31B1D37D">
                  <w:pPr>
                    <w:pStyle w:val="27"/>
                    <w:keepNext w:val="0"/>
                    <w:keepLines w:val="0"/>
                    <w:widowControl w:val="0"/>
                    <w:suppressLineNumbers w:val="0"/>
                    <w:spacing w:before="0" w:beforeAutospacing="0" w:after="0" w:afterAutospacing="0" w:line="240" w:lineRule="auto"/>
                    <w:ind w:left="0" w:leftChars="0" w:right="0" w:rightChars="0" w:firstLine="0" w:firstLineChars="0"/>
                    <w:jc w:val="center"/>
                    <w:rPr>
                      <w:rFonts w:hint="default" w:ascii="Times New Roman" w:hAnsi="Times New Roman" w:eastAsia="宋体" w:cs="Times New Roman"/>
                      <w:color w:val="auto"/>
                      <w:sz w:val="21"/>
                      <w:szCs w:val="21"/>
                      <w:highlight w:val="none"/>
                      <w:lang w:val="en-US" w:eastAsia="zh-CN"/>
                    </w:rPr>
                  </w:pPr>
                </w:p>
              </w:tc>
              <w:tc>
                <w:tcPr>
                  <w:tcW w:w="785" w:type="pct"/>
                  <w:tcBorders>
                    <w:tl2br w:val="nil"/>
                    <w:tr2bl w:val="nil"/>
                  </w:tcBorders>
                  <w:shd w:val="clear" w:color="auto" w:fill="auto"/>
                  <w:noWrap w:val="0"/>
                  <w:vAlign w:val="center"/>
                </w:tcPr>
                <w:p w14:paraId="53C62B5F">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64" w:lineRule="auto"/>
                    <w:ind w:left="0" w:leftChars="0" w:right="0" w:rightChars="0"/>
                    <w:jc w:val="center"/>
                    <w:textAlignment w:val="auto"/>
                    <w:rPr>
                      <w:rFonts w:hint="eastAsia" w:ascii="Times New Roman" w:hAnsi="Times New Roman" w:eastAsia="宋体" w:cs="Times New Roman"/>
                      <w:bCs/>
                      <w:kern w:val="0"/>
                      <w:sz w:val="21"/>
                      <w:szCs w:val="21"/>
                      <w:highlight w:val="none"/>
                      <w:lang w:val="en-US" w:eastAsia="zh-CN" w:bidi="ar-SA"/>
                    </w:rPr>
                  </w:pPr>
                  <w:r>
                    <w:rPr>
                      <w:rFonts w:hint="eastAsia" w:ascii="Times New Roman" w:hAnsi="Times New Roman" w:eastAsia="宋体" w:cs="Times New Roman"/>
                      <w:bCs/>
                      <w:kern w:val="0"/>
                      <w:sz w:val="21"/>
                      <w:szCs w:val="21"/>
                      <w:highlight w:val="none"/>
                      <w:lang w:val="en-US" w:eastAsia="zh-CN"/>
                    </w:rPr>
                    <w:t>硫酸雾</w:t>
                  </w:r>
                </w:p>
              </w:tc>
              <w:tc>
                <w:tcPr>
                  <w:tcW w:w="3277" w:type="pct"/>
                  <w:gridSpan w:val="3"/>
                  <w:tcBorders>
                    <w:tl2br w:val="nil"/>
                    <w:tr2bl w:val="nil"/>
                  </w:tcBorders>
                  <w:shd w:val="clear" w:color="auto" w:fill="auto"/>
                  <w:noWrap w:val="0"/>
                  <w:vAlign w:val="center"/>
                </w:tcPr>
                <w:p w14:paraId="12DBED37">
                  <w:pPr>
                    <w:pStyle w:val="27"/>
                    <w:keepNext w:val="0"/>
                    <w:keepLines w:val="0"/>
                    <w:widowControl w:val="0"/>
                    <w:suppressLineNumbers w:val="0"/>
                    <w:spacing w:before="0" w:beforeAutospacing="0" w:after="0" w:afterAutospacing="0" w:line="240" w:lineRule="auto"/>
                    <w:ind w:left="0" w:leftChars="0" w:right="0" w:rightChars="0" w:firstLine="0" w:firstLineChars="0"/>
                    <w:jc w:val="center"/>
                    <w:rPr>
                      <w:rFonts w:hint="default" w:ascii="Times New Roman" w:hAnsi="Times New Roman" w:eastAsia="宋体" w:cs="Times New Roman"/>
                      <w:color w:val="auto"/>
                      <w:sz w:val="21"/>
                      <w:szCs w:val="21"/>
                      <w:highlight w:val="none"/>
                      <w:lang w:val="en-US" w:eastAsia="zh-CN"/>
                    </w:rPr>
                  </w:pPr>
                  <w:r>
                    <w:rPr>
                      <w:rFonts w:hint="eastAsia" w:ascii="Times New Roman" w:hAnsi="Times New Roman" w:eastAsia="宋体" w:cs="Times New Roman"/>
                      <w:bCs/>
                      <w:kern w:val="0"/>
                      <w:sz w:val="21"/>
                      <w:szCs w:val="21"/>
                      <w:highlight w:val="none"/>
                      <w:lang w:val="en-US" w:eastAsia="zh-CN"/>
                    </w:rPr>
                    <w:t>少量</w:t>
                  </w:r>
                </w:p>
              </w:tc>
            </w:tr>
            <w:tr w14:paraId="2E5D3830">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28" w:type="dxa"/>
                  <w:bottom w:w="0" w:type="dxa"/>
                  <w:right w:w="28" w:type="dxa"/>
                </w:tblCellMar>
              </w:tblPrEx>
              <w:trPr>
                <w:trHeight w:val="0" w:hRule="atLeast"/>
              </w:trPr>
              <w:tc>
                <w:tcPr>
                  <w:tcW w:w="311" w:type="pct"/>
                  <w:tcBorders>
                    <w:tl2br w:val="nil"/>
                    <w:tr2bl w:val="nil"/>
                  </w:tcBorders>
                  <w:shd w:val="clear" w:color="auto" w:fill="auto"/>
                  <w:noWrap w:val="0"/>
                  <w:vAlign w:val="center"/>
                </w:tcPr>
                <w:p w14:paraId="56EC485E">
                  <w:pPr>
                    <w:pStyle w:val="27"/>
                    <w:keepNext w:val="0"/>
                    <w:keepLines w:val="0"/>
                    <w:widowControl w:val="0"/>
                    <w:suppressLineNumbers w:val="0"/>
                    <w:spacing w:before="0" w:beforeAutospacing="0" w:after="0" w:afterAutospacing="0" w:line="240" w:lineRule="auto"/>
                    <w:ind w:left="0" w:leftChars="0" w:right="0" w:rightChars="0" w:firstLine="0" w:firstLineChars="0"/>
                    <w:jc w:val="center"/>
                    <w:rPr>
                      <w:rFonts w:hint="default" w:ascii="Times New Roman" w:hAnsi="Times New Roman" w:eastAsia="宋体" w:cs="Times New Roman"/>
                      <w:color w:val="auto"/>
                      <w:kern w:val="0"/>
                      <w:sz w:val="21"/>
                      <w:szCs w:val="21"/>
                      <w:highlight w:val="none"/>
                      <w:lang w:val="en-US" w:eastAsia="zh-CN" w:bidi="ar-SA"/>
                    </w:rPr>
                  </w:pPr>
                  <w:r>
                    <w:rPr>
                      <w:rFonts w:hint="eastAsia" w:ascii="Times New Roman" w:hAnsi="Times New Roman" w:eastAsia="宋体" w:cs="Times New Roman"/>
                      <w:color w:val="auto"/>
                      <w:sz w:val="21"/>
                      <w:szCs w:val="21"/>
                      <w:highlight w:val="none"/>
                      <w:lang w:val="en-US" w:eastAsia="zh-CN"/>
                    </w:rPr>
                    <w:t>38</w:t>
                  </w:r>
                </w:p>
              </w:tc>
              <w:tc>
                <w:tcPr>
                  <w:tcW w:w="625" w:type="pct"/>
                  <w:vMerge w:val="restart"/>
                  <w:tcBorders>
                    <w:tl2br w:val="nil"/>
                    <w:tr2bl w:val="nil"/>
                  </w:tcBorders>
                  <w:noWrap w:val="0"/>
                  <w:vAlign w:val="center"/>
                </w:tcPr>
                <w:p w14:paraId="7A9613EB">
                  <w:pPr>
                    <w:pStyle w:val="27"/>
                    <w:keepNext w:val="0"/>
                    <w:keepLines w:val="0"/>
                    <w:widowControl w:val="0"/>
                    <w:suppressLineNumbers w:val="0"/>
                    <w:spacing w:before="0" w:beforeAutospacing="0" w:after="0" w:afterAutospacing="0" w:line="240" w:lineRule="auto"/>
                    <w:ind w:left="0" w:leftChars="0" w:right="0" w:rightChars="0" w:firstLine="0" w:firstLineChars="0"/>
                    <w:jc w:val="center"/>
                    <w:rPr>
                      <w:rFonts w:hint="default" w:ascii="Times New Roman" w:hAnsi="Times New Roman" w:eastAsia="宋体" w:cs="Times New Roman"/>
                      <w:color w:val="auto"/>
                      <w:sz w:val="21"/>
                      <w:szCs w:val="21"/>
                      <w:highlight w:val="none"/>
                      <w:lang w:val="en-US" w:eastAsia="zh-CN"/>
                    </w:rPr>
                  </w:pPr>
                  <w:r>
                    <w:rPr>
                      <w:rFonts w:hint="eastAsia" w:ascii="Times New Roman" w:hAnsi="Times New Roman" w:eastAsia="宋体" w:cs="Times New Roman"/>
                      <w:color w:val="auto"/>
                      <w:sz w:val="21"/>
                      <w:szCs w:val="21"/>
                      <w:highlight w:val="none"/>
                      <w:lang w:val="en-US" w:eastAsia="zh-CN"/>
                    </w:rPr>
                    <w:t>DA014</w:t>
                  </w:r>
                </w:p>
              </w:tc>
              <w:tc>
                <w:tcPr>
                  <w:tcW w:w="785" w:type="pct"/>
                  <w:tcBorders>
                    <w:tl2br w:val="nil"/>
                    <w:tr2bl w:val="nil"/>
                  </w:tcBorders>
                  <w:shd w:val="clear" w:color="auto" w:fill="auto"/>
                  <w:noWrap w:val="0"/>
                  <w:vAlign w:val="center"/>
                </w:tcPr>
                <w:p w14:paraId="419AE8DE">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64" w:lineRule="auto"/>
                    <w:ind w:left="0" w:leftChars="0" w:right="0" w:rightChars="0"/>
                    <w:jc w:val="center"/>
                    <w:textAlignment w:val="auto"/>
                    <w:rPr>
                      <w:rFonts w:hint="eastAsia" w:ascii="Times New Roman" w:hAnsi="Times New Roman" w:eastAsia="宋体" w:cs="Times New Roman"/>
                      <w:bCs/>
                      <w:kern w:val="0"/>
                      <w:sz w:val="21"/>
                      <w:szCs w:val="21"/>
                      <w:highlight w:val="none"/>
                      <w:lang w:val="en-US" w:eastAsia="zh-CN" w:bidi="ar-SA"/>
                    </w:rPr>
                  </w:pPr>
                  <w:r>
                    <w:rPr>
                      <w:rFonts w:hint="eastAsia" w:ascii="Times New Roman" w:hAnsi="Times New Roman" w:eastAsia="宋体" w:cs="Times New Roman"/>
                      <w:bCs/>
                      <w:kern w:val="0"/>
                      <w:sz w:val="21"/>
                      <w:szCs w:val="21"/>
                      <w:highlight w:val="none"/>
                      <w:lang w:val="en-US" w:eastAsia="zh-CN"/>
                    </w:rPr>
                    <w:t>非甲烷总烃</w:t>
                  </w:r>
                </w:p>
              </w:tc>
              <w:tc>
                <w:tcPr>
                  <w:tcW w:w="1048" w:type="pct"/>
                  <w:tcBorders>
                    <w:tl2br w:val="nil"/>
                    <w:tr2bl w:val="nil"/>
                  </w:tcBorders>
                  <w:shd w:val="clear" w:color="auto" w:fill="auto"/>
                  <w:noWrap w:val="0"/>
                  <w:vAlign w:val="center"/>
                </w:tcPr>
                <w:p w14:paraId="1B73A8B6">
                  <w:pPr>
                    <w:keepNext w:val="0"/>
                    <w:keepLines w:val="0"/>
                    <w:widowControl/>
                    <w:suppressLineNumbers w:val="0"/>
                    <w:spacing w:before="0" w:beforeAutospacing="0" w:after="0" w:afterAutospacing="0"/>
                    <w:ind w:left="0" w:leftChars="0" w:right="0" w:rightChars="0"/>
                    <w:jc w:val="center"/>
                    <w:textAlignment w:val="center"/>
                    <w:rPr>
                      <w:rFonts w:hint="default" w:ascii="Times New Roman" w:hAnsi="Times New Roman" w:eastAsia="宋体" w:cs="Times New Roman"/>
                      <w:bCs/>
                      <w:kern w:val="0"/>
                      <w:sz w:val="21"/>
                      <w:szCs w:val="21"/>
                      <w:highlight w:val="none"/>
                      <w:lang w:val="en-US" w:eastAsia="zh-CN" w:bidi="ar-SA"/>
                    </w:rPr>
                  </w:pPr>
                  <w:r>
                    <w:rPr>
                      <w:rFonts w:hint="eastAsia" w:ascii="Times New Roman" w:hAnsi="Times New Roman" w:eastAsia="宋体" w:cs="Times New Roman"/>
                      <w:bCs/>
                      <w:kern w:val="0"/>
                      <w:sz w:val="21"/>
                      <w:szCs w:val="21"/>
                      <w:highlight w:val="none"/>
                      <w:lang w:val="en-US" w:eastAsia="zh-CN"/>
                    </w:rPr>
                    <w:t>0.64</w:t>
                  </w:r>
                </w:p>
              </w:tc>
              <w:tc>
                <w:tcPr>
                  <w:tcW w:w="1152" w:type="pct"/>
                  <w:tcBorders>
                    <w:tl2br w:val="nil"/>
                    <w:tr2bl w:val="nil"/>
                  </w:tcBorders>
                  <w:shd w:val="clear" w:color="auto" w:fill="auto"/>
                  <w:noWrap w:val="0"/>
                  <w:vAlign w:val="center"/>
                </w:tcPr>
                <w:p w14:paraId="3A6898F5">
                  <w:pPr>
                    <w:keepNext w:val="0"/>
                    <w:keepLines w:val="0"/>
                    <w:widowControl/>
                    <w:suppressLineNumbers w:val="0"/>
                    <w:spacing w:before="0" w:beforeAutospacing="0" w:after="0" w:afterAutospacing="0"/>
                    <w:ind w:left="0" w:leftChars="0" w:right="0" w:rightChars="0"/>
                    <w:jc w:val="center"/>
                    <w:textAlignment w:val="center"/>
                    <w:rPr>
                      <w:rFonts w:hint="default" w:ascii="Times New Roman" w:hAnsi="Times New Roman" w:eastAsia="宋体" w:cs="Times New Roman"/>
                      <w:bCs/>
                      <w:kern w:val="0"/>
                      <w:sz w:val="21"/>
                      <w:szCs w:val="21"/>
                      <w:highlight w:val="none"/>
                      <w:lang w:val="en-US" w:eastAsia="zh-CN" w:bidi="ar-SA"/>
                    </w:rPr>
                  </w:pPr>
                  <w:r>
                    <w:rPr>
                      <w:rFonts w:hint="default" w:ascii="Times New Roman" w:hAnsi="Times New Roman" w:eastAsia="宋体" w:cs="Times New Roman"/>
                      <w:i w:val="0"/>
                      <w:iCs w:val="0"/>
                      <w:color w:val="000000"/>
                      <w:kern w:val="0"/>
                      <w:sz w:val="21"/>
                      <w:szCs w:val="21"/>
                      <w:highlight w:val="none"/>
                      <w:u w:val="none"/>
                      <w:lang w:val="en-US" w:eastAsia="zh-CN" w:bidi="ar"/>
                    </w:rPr>
                    <w:t>0.052</w:t>
                  </w:r>
                </w:p>
              </w:tc>
              <w:tc>
                <w:tcPr>
                  <w:tcW w:w="1076" w:type="pct"/>
                  <w:tcBorders>
                    <w:tl2br w:val="nil"/>
                    <w:tr2bl w:val="nil"/>
                  </w:tcBorders>
                  <w:shd w:val="clear" w:color="auto" w:fill="auto"/>
                  <w:noWrap w:val="0"/>
                  <w:vAlign w:val="center"/>
                </w:tcPr>
                <w:p w14:paraId="180BCAB4">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64" w:lineRule="auto"/>
                    <w:ind w:left="0" w:leftChars="0" w:right="0" w:rightChars="0"/>
                    <w:jc w:val="center"/>
                    <w:textAlignment w:val="auto"/>
                    <w:rPr>
                      <w:rFonts w:hint="default" w:ascii="Times New Roman" w:hAnsi="Times New Roman" w:eastAsia="宋体" w:cs="Times New Roman"/>
                      <w:bCs/>
                      <w:kern w:val="0"/>
                      <w:sz w:val="21"/>
                      <w:szCs w:val="21"/>
                      <w:highlight w:val="none"/>
                      <w:lang w:val="en-US" w:eastAsia="zh-CN" w:bidi="ar-SA"/>
                    </w:rPr>
                  </w:pPr>
                  <w:r>
                    <w:rPr>
                      <w:rFonts w:hint="default" w:ascii="Times New Roman" w:hAnsi="Times New Roman" w:eastAsia="宋体" w:cs="Times New Roman"/>
                      <w:i w:val="0"/>
                      <w:iCs w:val="0"/>
                      <w:color w:val="000000"/>
                      <w:kern w:val="0"/>
                      <w:sz w:val="21"/>
                      <w:szCs w:val="21"/>
                      <w:highlight w:val="none"/>
                      <w:u w:val="none"/>
                      <w:lang w:val="en-US" w:eastAsia="zh-CN" w:bidi="ar"/>
                    </w:rPr>
                    <w:t>0.109</w:t>
                  </w:r>
                </w:p>
              </w:tc>
            </w:tr>
            <w:tr w14:paraId="520CEA0F">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28" w:type="dxa"/>
                  <w:bottom w:w="0" w:type="dxa"/>
                  <w:right w:w="28" w:type="dxa"/>
                </w:tblCellMar>
              </w:tblPrEx>
              <w:trPr>
                <w:trHeight w:val="0" w:hRule="atLeast"/>
              </w:trPr>
              <w:tc>
                <w:tcPr>
                  <w:tcW w:w="311" w:type="pct"/>
                  <w:tcBorders>
                    <w:tl2br w:val="nil"/>
                    <w:tr2bl w:val="nil"/>
                  </w:tcBorders>
                  <w:shd w:val="clear" w:color="auto" w:fill="auto"/>
                  <w:noWrap w:val="0"/>
                  <w:vAlign w:val="center"/>
                </w:tcPr>
                <w:p w14:paraId="1DE9F1E0">
                  <w:pPr>
                    <w:pStyle w:val="27"/>
                    <w:keepNext w:val="0"/>
                    <w:keepLines w:val="0"/>
                    <w:widowControl w:val="0"/>
                    <w:suppressLineNumbers w:val="0"/>
                    <w:spacing w:before="0" w:beforeAutospacing="0" w:after="0" w:afterAutospacing="0" w:line="240" w:lineRule="auto"/>
                    <w:ind w:left="0" w:leftChars="0" w:right="0" w:rightChars="0" w:firstLine="0" w:firstLineChars="0"/>
                    <w:jc w:val="center"/>
                    <w:rPr>
                      <w:rFonts w:hint="default" w:ascii="Times New Roman" w:hAnsi="Times New Roman" w:eastAsia="宋体" w:cs="Times New Roman"/>
                      <w:color w:val="auto"/>
                      <w:kern w:val="0"/>
                      <w:sz w:val="21"/>
                      <w:szCs w:val="21"/>
                      <w:highlight w:val="none"/>
                      <w:lang w:val="en-US" w:eastAsia="zh-CN" w:bidi="ar-SA"/>
                    </w:rPr>
                  </w:pPr>
                  <w:r>
                    <w:rPr>
                      <w:rFonts w:hint="eastAsia" w:ascii="Times New Roman" w:hAnsi="Times New Roman" w:eastAsia="宋体" w:cs="Times New Roman"/>
                      <w:color w:val="auto"/>
                      <w:sz w:val="21"/>
                      <w:szCs w:val="21"/>
                      <w:highlight w:val="none"/>
                      <w:lang w:val="en-US" w:eastAsia="zh-CN"/>
                    </w:rPr>
                    <w:t>39</w:t>
                  </w:r>
                </w:p>
              </w:tc>
              <w:tc>
                <w:tcPr>
                  <w:tcW w:w="625" w:type="pct"/>
                  <w:vMerge w:val="continue"/>
                  <w:tcBorders>
                    <w:tl2br w:val="nil"/>
                    <w:tr2bl w:val="nil"/>
                  </w:tcBorders>
                  <w:noWrap w:val="0"/>
                  <w:vAlign w:val="center"/>
                </w:tcPr>
                <w:p w14:paraId="69237C5C">
                  <w:pPr>
                    <w:pStyle w:val="27"/>
                    <w:keepNext w:val="0"/>
                    <w:keepLines w:val="0"/>
                    <w:widowControl w:val="0"/>
                    <w:suppressLineNumbers w:val="0"/>
                    <w:spacing w:before="0" w:beforeAutospacing="0" w:after="0" w:afterAutospacing="0" w:line="240" w:lineRule="auto"/>
                    <w:ind w:left="0" w:leftChars="0" w:right="0" w:rightChars="0" w:firstLine="0" w:firstLineChars="0"/>
                    <w:jc w:val="center"/>
                    <w:rPr>
                      <w:rFonts w:hint="default" w:ascii="Times New Roman" w:hAnsi="Times New Roman" w:eastAsia="宋体" w:cs="Times New Roman"/>
                      <w:color w:val="auto"/>
                      <w:sz w:val="21"/>
                      <w:szCs w:val="21"/>
                      <w:highlight w:val="none"/>
                      <w:lang w:val="en-US" w:eastAsia="zh-CN"/>
                    </w:rPr>
                  </w:pPr>
                </w:p>
              </w:tc>
              <w:tc>
                <w:tcPr>
                  <w:tcW w:w="785" w:type="pct"/>
                  <w:tcBorders>
                    <w:tl2br w:val="nil"/>
                    <w:tr2bl w:val="nil"/>
                  </w:tcBorders>
                  <w:shd w:val="clear" w:color="auto" w:fill="auto"/>
                  <w:noWrap w:val="0"/>
                  <w:vAlign w:val="center"/>
                </w:tcPr>
                <w:p w14:paraId="74FF359B">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64" w:lineRule="auto"/>
                    <w:ind w:left="0" w:leftChars="0" w:right="0" w:rightChars="0"/>
                    <w:jc w:val="center"/>
                    <w:textAlignment w:val="auto"/>
                    <w:rPr>
                      <w:rFonts w:hint="eastAsia" w:ascii="Times New Roman" w:hAnsi="Times New Roman" w:eastAsia="宋体" w:cs="Times New Roman"/>
                      <w:bCs/>
                      <w:kern w:val="0"/>
                      <w:sz w:val="21"/>
                      <w:szCs w:val="21"/>
                      <w:highlight w:val="none"/>
                      <w:lang w:val="en-US" w:eastAsia="zh-CN" w:bidi="ar-SA"/>
                    </w:rPr>
                  </w:pPr>
                  <w:r>
                    <w:rPr>
                      <w:rFonts w:hint="eastAsia" w:ascii="Times New Roman" w:hAnsi="Times New Roman" w:eastAsia="宋体" w:cs="Times New Roman"/>
                      <w:bCs/>
                      <w:kern w:val="0"/>
                      <w:sz w:val="21"/>
                      <w:szCs w:val="21"/>
                      <w:highlight w:val="none"/>
                      <w:lang w:val="en-US" w:eastAsia="zh-CN"/>
                    </w:rPr>
                    <w:t>氯化氢</w:t>
                  </w:r>
                </w:p>
              </w:tc>
              <w:tc>
                <w:tcPr>
                  <w:tcW w:w="3277" w:type="pct"/>
                  <w:gridSpan w:val="3"/>
                  <w:tcBorders>
                    <w:tl2br w:val="nil"/>
                    <w:tr2bl w:val="nil"/>
                  </w:tcBorders>
                  <w:shd w:val="clear" w:color="auto" w:fill="auto"/>
                  <w:noWrap w:val="0"/>
                  <w:vAlign w:val="center"/>
                </w:tcPr>
                <w:p w14:paraId="40FDCFDA">
                  <w:pPr>
                    <w:pStyle w:val="27"/>
                    <w:keepNext w:val="0"/>
                    <w:keepLines w:val="0"/>
                    <w:widowControl w:val="0"/>
                    <w:suppressLineNumbers w:val="0"/>
                    <w:spacing w:before="0" w:beforeAutospacing="0" w:after="0" w:afterAutospacing="0" w:line="240" w:lineRule="auto"/>
                    <w:ind w:left="0" w:leftChars="0" w:right="0" w:rightChars="0" w:firstLine="0" w:firstLineChars="0"/>
                    <w:jc w:val="center"/>
                    <w:rPr>
                      <w:rFonts w:hint="default" w:ascii="Times New Roman" w:hAnsi="Times New Roman" w:eastAsia="宋体" w:cs="Times New Roman"/>
                      <w:color w:val="auto"/>
                      <w:sz w:val="21"/>
                      <w:szCs w:val="21"/>
                      <w:highlight w:val="none"/>
                      <w:lang w:val="en-US" w:eastAsia="zh-CN"/>
                    </w:rPr>
                  </w:pPr>
                  <w:r>
                    <w:rPr>
                      <w:rFonts w:hint="eastAsia" w:ascii="Times New Roman" w:hAnsi="Times New Roman" w:eastAsia="宋体" w:cs="Times New Roman"/>
                      <w:bCs/>
                      <w:kern w:val="0"/>
                      <w:sz w:val="21"/>
                      <w:szCs w:val="21"/>
                      <w:highlight w:val="none"/>
                      <w:lang w:val="en-US" w:eastAsia="zh-CN"/>
                    </w:rPr>
                    <w:t>少量</w:t>
                  </w:r>
                </w:p>
              </w:tc>
            </w:tr>
            <w:tr w14:paraId="39CAE897">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28" w:type="dxa"/>
                  <w:bottom w:w="0" w:type="dxa"/>
                  <w:right w:w="28" w:type="dxa"/>
                </w:tblCellMar>
              </w:tblPrEx>
              <w:trPr>
                <w:trHeight w:val="0" w:hRule="atLeast"/>
              </w:trPr>
              <w:tc>
                <w:tcPr>
                  <w:tcW w:w="311" w:type="pct"/>
                  <w:tcBorders>
                    <w:tl2br w:val="nil"/>
                    <w:tr2bl w:val="nil"/>
                  </w:tcBorders>
                  <w:shd w:val="clear" w:color="auto" w:fill="auto"/>
                  <w:noWrap w:val="0"/>
                  <w:vAlign w:val="center"/>
                </w:tcPr>
                <w:p w14:paraId="4BB8A7BA">
                  <w:pPr>
                    <w:pStyle w:val="27"/>
                    <w:keepNext w:val="0"/>
                    <w:keepLines w:val="0"/>
                    <w:widowControl w:val="0"/>
                    <w:suppressLineNumbers w:val="0"/>
                    <w:spacing w:before="0" w:beforeAutospacing="0" w:after="0" w:afterAutospacing="0" w:line="240" w:lineRule="auto"/>
                    <w:ind w:left="0" w:leftChars="0" w:right="0" w:rightChars="0" w:firstLine="0" w:firstLineChars="0"/>
                    <w:jc w:val="center"/>
                    <w:rPr>
                      <w:rFonts w:hint="default" w:ascii="Times New Roman" w:hAnsi="Times New Roman" w:eastAsia="宋体" w:cs="Times New Roman"/>
                      <w:color w:val="auto"/>
                      <w:kern w:val="0"/>
                      <w:sz w:val="21"/>
                      <w:szCs w:val="21"/>
                      <w:highlight w:val="none"/>
                      <w:lang w:val="en-US" w:eastAsia="zh-CN" w:bidi="ar-SA"/>
                    </w:rPr>
                  </w:pPr>
                  <w:r>
                    <w:rPr>
                      <w:rFonts w:hint="eastAsia" w:ascii="Times New Roman" w:hAnsi="Times New Roman" w:eastAsia="宋体" w:cs="Times New Roman"/>
                      <w:color w:val="auto"/>
                      <w:sz w:val="21"/>
                      <w:szCs w:val="21"/>
                      <w:highlight w:val="none"/>
                      <w:lang w:val="en-US" w:eastAsia="zh-CN"/>
                    </w:rPr>
                    <w:t>40</w:t>
                  </w:r>
                </w:p>
              </w:tc>
              <w:tc>
                <w:tcPr>
                  <w:tcW w:w="625" w:type="pct"/>
                  <w:vMerge w:val="continue"/>
                  <w:tcBorders>
                    <w:tl2br w:val="nil"/>
                    <w:tr2bl w:val="nil"/>
                  </w:tcBorders>
                  <w:noWrap w:val="0"/>
                  <w:vAlign w:val="center"/>
                </w:tcPr>
                <w:p w14:paraId="26CAB740">
                  <w:pPr>
                    <w:pStyle w:val="27"/>
                    <w:keepNext w:val="0"/>
                    <w:keepLines w:val="0"/>
                    <w:widowControl w:val="0"/>
                    <w:suppressLineNumbers w:val="0"/>
                    <w:spacing w:before="0" w:beforeAutospacing="0" w:after="0" w:afterAutospacing="0" w:line="240" w:lineRule="auto"/>
                    <w:ind w:left="0" w:leftChars="0" w:right="0" w:rightChars="0" w:firstLine="0" w:firstLineChars="0"/>
                    <w:jc w:val="center"/>
                    <w:rPr>
                      <w:rFonts w:hint="default" w:ascii="Times New Roman" w:hAnsi="Times New Roman" w:eastAsia="宋体" w:cs="Times New Roman"/>
                      <w:color w:val="auto"/>
                      <w:sz w:val="21"/>
                      <w:szCs w:val="21"/>
                      <w:highlight w:val="none"/>
                      <w:lang w:val="en-US" w:eastAsia="zh-CN"/>
                    </w:rPr>
                  </w:pPr>
                </w:p>
              </w:tc>
              <w:tc>
                <w:tcPr>
                  <w:tcW w:w="785" w:type="pct"/>
                  <w:tcBorders>
                    <w:tl2br w:val="nil"/>
                    <w:tr2bl w:val="nil"/>
                  </w:tcBorders>
                  <w:shd w:val="clear" w:color="auto" w:fill="auto"/>
                  <w:noWrap w:val="0"/>
                  <w:vAlign w:val="center"/>
                </w:tcPr>
                <w:p w14:paraId="6F3998DA">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64" w:lineRule="auto"/>
                    <w:ind w:left="0" w:leftChars="0" w:right="0" w:rightChars="0"/>
                    <w:jc w:val="center"/>
                    <w:textAlignment w:val="auto"/>
                    <w:rPr>
                      <w:rFonts w:hint="eastAsia" w:ascii="Times New Roman" w:hAnsi="Times New Roman" w:eastAsia="宋体" w:cs="Times New Roman"/>
                      <w:bCs/>
                      <w:kern w:val="0"/>
                      <w:sz w:val="21"/>
                      <w:szCs w:val="21"/>
                      <w:highlight w:val="none"/>
                      <w:lang w:val="en-US" w:eastAsia="zh-CN" w:bidi="ar-SA"/>
                    </w:rPr>
                  </w:pPr>
                  <w:r>
                    <w:rPr>
                      <w:rFonts w:hint="eastAsia" w:ascii="Times New Roman" w:hAnsi="Times New Roman" w:eastAsia="宋体" w:cs="Times New Roman"/>
                      <w:bCs/>
                      <w:kern w:val="0"/>
                      <w:sz w:val="21"/>
                      <w:szCs w:val="21"/>
                      <w:highlight w:val="none"/>
                      <w:lang w:val="en-US" w:eastAsia="zh-CN"/>
                    </w:rPr>
                    <w:t>硫酸雾</w:t>
                  </w:r>
                </w:p>
              </w:tc>
              <w:tc>
                <w:tcPr>
                  <w:tcW w:w="3277" w:type="pct"/>
                  <w:gridSpan w:val="3"/>
                  <w:tcBorders>
                    <w:tl2br w:val="nil"/>
                    <w:tr2bl w:val="nil"/>
                  </w:tcBorders>
                  <w:shd w:val="clear" w:color="auto" w:fill="auto"/>
                  <w:noWrap w:val="0"/>
                  <w:vAlign w:val="center"/>
                </w:tcPr>
                <w:p w14:paraId="1F4BE93E">
                  <w:pPr>
                    <w:pStyle w:val="27"/>
                    <w:keepNext w:val="0"/>
                    <w:keepLines w:val="0"/>
                    <w:widowControl w:val="0"/>
                    <w:suppressLineNumbers w:val="0"/>
                    <w:spacing w:before="0" w:beforeAutospacing="0" w:after="0" w:afterAutospacing="0" w:line="240" w:lineRule="auto"/>
                    <w:ind w:left="0" w:leftChars="0" w:right="0" w:rightChars="0" w:firstLine="0" w:firstLineChars="0"/>
                    <w:jc w:val="center"/>
                    <w:rPr>
                      <w:rFonts w:hint="default" w:ascii="Times New Roman" w:hAnsi="Times New Roman" w:eastAsia="宋体" w:cs="Times New Roman"/>
                      <w:color w:val="auto"/>
                      <w:sz w:val="21"/>
                      <w:szCs w:val="21"/>
                      <w:highlight w:val="none"/>
                      <w:lang w:val="en-US" w:eastAsia="zh-CN"/>
                    </w:rPr>
                  </w:pPr>
                  <w:r>
                    <w:rPr>
                      <w:rFonts w:hint="eastAsia" w:ascii="Times New Roman" w:hAnsi="Times New Roman" w:eastAsia="宋体" w:cs="Times New Roman"/>
                      <w:bCs/>
                      <w:kern w:val="0"/>
                      <w:sz w:val="21"/>
                      <w:szCs w:val="21"/>
                      <w:highlight w:val="none"/>
                      <w:lang w:val="en-US" w:eastAsia="zh-CN"/>
                    </w:rPr>
                    <w:t>少量</w:t>
                  </w:r>
                </w:p>
              </w:tc>
            </w:tr>
            <w:tr w14:paraId="0761654B">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28" w:type="dxa"/>
                  <w:bottom w:w="0" w:type="dxa"/>
                  <w:right w:w="28" w:type="dxa"/>
                </w:tblCellMar>
              </w:tblPrEx>
              <w:trPr>
                <w:trHeight w:val="0" w:hRule="atLeast"/>
              </w:trPr>
              <w:tc>
                <w:tcPr>
                  <w:tcW w:w="311" w:type="pct"/>
                  <w:tcBorders>
                    <w:tl2br w:val="nil"/>
                    <w:tr2bl w:val="nil"/>
                  </w:tcBorders>
                  <w:shd w:val="clear" w:color="auto" w:fill="auto"/>
                  <w:noWrap w:val="0"/>
                  <w:vAlign w:val="center"/>
                </w:tcPr>
                <w:p w14:paraId="5145D73B">
                  <w:pPr>
                    <w:pStyle w:val="27"/>
                    <w:keepNext w:val="0"/>
                    <w:keepLines w:val="0"/>
                    <w:widowControl w:val="0"/>
                    <w:suppressLineNumbers w:val="0"/>
                    <w:spacing w:before="0" w:beforeAutospacing="0" w:after="0" w:afterAutospacing="0" w:line="240" w:lineRule="auto"/>
                    <w:ind w:left="0" w:leftChars="0" w:right="0" w:rightChars="0" w:firstLine="0" w:firstLineChars="0"/>
                    <w:jc w:val="center"/>
                    <w:rPr>
                      <w:rFonts w:hint="default" w:ascii="Times New Roman" w:hAnsi="Times New Roman" w:eastAsia="宋体" w:cs="Times New Roman"/>
                      <w:color w:val="auto"/>
                      <w:kern w:val="0"/>
                      <w:sz w:val="21"/>
                      <w:szCs w:val="21"/>
                      <w:highlight w:val="none"/>
                      <w:lang w:val="en-US" w:eastAsia="zh-CN" w:bidi="ar-SA"/>
                    </w:rPr>
                  </w:pPr>
                  <w:r>
                    <w:rPr>
                      <w:rFonts w:hint="eastAsia" w:ascii="Times New Roman" w:hAnsi="Times New Roman" w:eastAsia="宋体" w:cs="Times New Roman"/>
                      <w:color w:val="auto"/>
                      <w:sz w:val="21"/>
                      <w:szCs w:val="21"/>
                      <w:highlight w:val="none"/>
                      <w:lang w:val="en-US" w:eastAsia="zh-CN"/>
                    </w:rPr>
                    <w:t>41</w:t>
                  </w:r>
                </w:p>
              </w:tc>
              <w:tc>
                <w:tcPr>
                  <w:tcW w:w="625" w:type="pct"/>
                  <w:vMerge w:val="restart"/>
                  <w:tcBorders>
                    <w:tl2br w:val="nil"/>
                    <w:tr2bl w:val="nil"/>
                  </w:tcBorders>
                  <w:noWrap w:val="0"/>
                  <w:vAlign w:val="center"/>
                </w:tcPr>
                <w:p w14:paraId="667A1184">
                  <w:pPr>
                    <w:pStyle w:val="27"/>
                    <w:keepNext w:val="0"/>
                    <w:keepLines w:val="0"/>
                    <w:widowControl w:val="0"/>
                    <w:suppressLineNumbers w:val="0"/>
                    <w:spacing w:before="0" w:beforeAutospacing="0" w:after="0" w:afterAutospacing="0" w:line="240" w:lineRule="auto"/>
                    <w:ind w:left="0" w:leftChars="0" w:right="0" w:rightChars="0" w:firstLine="0" w:firstLineChars="0"/>
                    <w:jc w:val="center"/>
                    <w:rPr>
                      <w:rFonts w:hint="default" w:ascii="Times New Roman" w:hAnsi="Times New Roman" w:eastAsia="宋体" w:cs="Times New Roman"/>
                      <w:color w:val="auto"/>
                      <w:sz w:val="21"/>
                      <w:szCs w:val="21"/>
                      <w:highlight w:val="none"/>
                      <w:lang w:val="en-US" w:eastAsia="zh-CN"/>
                    </w:rPr>
                  </w:pPr>
                  <w:r>
                    <w:rPr>
                      <w:rFonts w:hint="eastAsia" w:ascii="Times New Roman" w:hAnsi="Times New Roman" w:eastAsia="宋体" w:cs="Times New Roman"/>
                      <w:color w:val="auto"/>
                      <w:sz w:val="21"/>
                      <w:szCs w:val="21"/>
                      <w:highlight w:val="none"/>
                      <w:lang w:val="en-US" w:eastAsia="zh-CN"/>
                    </w:rPr>
                    <w:t>DA015</w:t>
                  </w:r>
                </w:p>
              </w:tc>
              <w:tc>
                <w:tcPr>
                  <w:tcW w:w="785" w:type="pct"/>
                  <w:tcBorders>
                    <w:tl2br w:val="nil"/>
                    <w:tr2bl w:val="nil"/>
                  </w:tcBorders>
                  <w:shd w:val="clear" w:color="auto" w:fill="auto"/>
                  <w:noWrap w:val="0"/>
                  <w:vAlign w:val="center"/>
                </w:tcPr>
                <w:p w14:paraId="5584E5D8">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64" w:lineRule="auto"/>
                    <w:ind w:left="0" w:leftChars="0" w:right="0" w:rightChars="0"/>
                    <w:jc w:val="center"/>
                    <w:textAlignment w:val="auto"/>
                    <w:rPr>
                      <w:rFonts w:hint="eastAsia" w:ascii="Times New Roman" w:hAnsi="Times New Roman" w:eastAsia="宋体" w:cs="Times New Roman"/>
                      <w:bCs/>
                      <w:kern w:val="0"/>
                      <w:sz w:val="21"/>
                      <w:szCs w:val="21"/>
                      <w:highlight w:val="none"/>
                      <w:lang w:val="en-US" w:eastAsia="zh-CN" w:bidi="ar-SA"/>
                    </w:rPr>
                  </w:pPr>
                  <w:r>
                    <w:rPr>
                      <w:rFonts w:hint="eastAsia" w:ascii="Times New Roman" w:hAnsi="Times New Roman" w:eastAsia="宋体" w:cs="Times New Roman"/>
                      <w:bCs/>
                      <w:kern w:val="0"/>
                      <w:sz w:val="21"/>
                      <w:szCs w:val="21"/>
                      <w:highlight w:val="none"/>
                      <w:lang w:val="en-US" w:eastAsia="zh-CN"/>
                    </w:rPr>
                    <w:t>非甲烷总烃</w:t>
                  </w:r>
                </w:p>
              </w:tc>
              <w:tc>
                <w:tcPr>
                  <w:tcW w:w="1048" w:type="pct"/>
                  <w:tcBorders>
                    <w:tl2br w:val="nil"/>
                    <w:tr2bl w:val="nil"/>
                  </w:tcBorders>
                  <w:shd w:val="clear" w:color="auto" w:fill="auto"/>
                  <w:noWrap w:val="0"/>
                  <w:vAlign w:val="center"/>
                </w:tcPr>
                <w:p w14:paraId="03F3C012">
                  <w:pPr>
                    <w:keepNext w:val="0"/>
                    <w:keepLines w:val="0"/>
                    <w:widowControl/>
                    <w:suppressLineNumbers w:val="0"/>
                    <w:spacing w:before="0" w:beforeAutospacing="0" w:after="0" w:afterAutospacing="0"/>
                    <w:ind w:left="0" w:leftChars="0" w:right="0" w:rightChars="0"/>
                    <w:jc w:val="center"/>
                    <w:textAlignment w:val="center"/>
                    <w:rPr>
                      <w:rFonts w:hint="default" w:ascii="Times New Roman" w:hAnsi="Times New Roman" w:eastAsia="宋体" w:cs="Times New Roman"/>
                      <w:bCs/>
                      <w:kern w:val="0"/>
                      <w:sz w:val="21"/>
                      <w:szCs w:val="21"/>
                      <w:highlight w:val="none"/>
                      <w:lang w:val="en-US" w:eastAsia="zh-CN" w:bidi="ar-SA"/>
                    </w:rPr>
                  </w:pPr>
                  <w:r>
                    <w:rPr>
                      <w:rFonts w:hint="eastAsia" w:ascii="Times New Roman" w:hAnsi="Times New Roman" w:eastAsia="宋体" w:cs="Times New Roman"/>
                      <w:bCs/>
                      <w:kern w:val="0"/>
                      <w:sz w:val="21"/>
                      <w:szCs w:val="21"/>
                      <w:highlight w:val="none"/>
                      <w:lang w:val="en-US" w:eastAsia="zh-CN"/>
                    </w:rPr>
                    <w:t>0.71</w:t>
                  </w:r>
                </w:p>
              </w:tc>
              <w:tc>
                <w:tcPr>
                  <w:tcW w:w="1152" w:type="pct"/>
                  <w:tcBorders>
                    <w:tl2br w:val="nil"/>
                    <w:tr2bl w:val="nil"/>
                  </w:tcBorders>
                  <w:shd w:val="clear" w:color="auto" w:fill="auto"/>
                  <w:noWrap w:val="0"/>
                  <w:vAlign w:val="center"/>
                </w:tcPr>
                <w:p w14:paraId="0CCD5E19">
                  <w:pPr>
                    <w:keepNext w:val="0"/>
                    <w:keepLines w:val="0"/>
                    <w:widowControl/>
                    <w:suppressLineNumbers w:val="0"/>
                    <w:spacing w:before="0" w:beforeAutospacing="0" w:after="0" w:afterAutospacing="0"/>
                    <w:ind w:left="0" w:leftChars="0" w:right="0" w:rightChars="0"/>
                    <w:jc w:val="center"/>
                    <w:textAlignment w:val="center"/>
                    <w:rPr>
                      <w:rFonts w:hint="default" w:ascii="Times New Roman" w:hAnsi="Times New Roman" w:eastAsia="宋体" w:cs="Times New Roman"/>
                      <w:bCs/>
                      <w:kern w:val="0"/>
                      <w:sz w:val="21"/>
                      <w:szCs w:val="21"/>
                      <w:highlight w:val="none"/>
                      <w:lang w:val="en-US" w:eastAsia="zh-CN" w:bidi="ar-SA"/>
                    </w:rPr>
                  </w:pPr>
                  <w:r>
                    <w:rPr>
                      <w:rFonts w:hint="default" w:ascii="Times New Roman" w:hAnsi="Times New Roman" w:eastAsia="宋体" w:cs="Times New Roman"/>
                      <w:i w:val="0"/>
                      <w:iCs w:val="0"/>
                      <w:color w:val="000000"/>
                      <w:kern w:val="0"/>
                      <w:sz w:val="21"/>
                      <w:szCs w:val="21"/>
                      <w:highlight w:val="none"/>
                      <w:u w:val="none"/>
                      <w:lang w:val="en-US" w:eastAsia="zh-CN" w:bidi="ar"/>
                    </w:rPr>
                    <w:t>0.063</w:t>
                  </w:r>
                </w:p>
              </w:tc>
              <w:tc>
                <w:tcPr>
                  <w:tcW w:w="1076" w:type="pct"/>
                  <w:tcBorders>
                    <w:tl2br w:val="nil"/>
                    <w:tr2bl w:val="nil"/>
                  </w:tcBorders>
                  <w:shd w:val="clear" w:color="auto" w:fill="auto"/>
                  <w:noWrap w:val="0"/>
                  <w:vAlign w:val="center"/>
                </w:tcPr>
                <w:p w14:paraId="6B96FE82">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64" w:lineRule="auto"/>
                    <w:ind w:left="0" w:leftChars="0" w:right="0" w:rightChars="0"/>
                    <w:jc w:val="center"/>
                    <w:textAlignment w:val="auto"/>
                    <w:rPr>
                      <w:rFonts w:hint="default" w:ascii="Times New Roman" w:hAnsi="Times New Roman" w:eastAsia="宋体" w:cs="Times New Roman"/>
                      <w:bCs/>
                      <w:kern w:val="0"/>
                      <w:sz w:val="21"/>
                      <w:szCs w:val="21"/>
                      <w:highlight w:val="none"/>
                      <w:lang w:val="en-US" w:eastAsia="zh-CN" w:bidi="ar-SA"/>
                    </w:rPr>
                  </w:pPr>
                  <w:r>
                    <w:rPr>
                      <w:rFonts w:hint="default" w:ascii="Times New Roman" w:hAnsi="Times New Roman" w:eastAsia="宋体" w:cs="Times New Roman"/>
                      <w:i w:val="0"/>
                      <w:iCs w:val="0"/>
                      <w:color w:val="000000"/>
                      <w:kern w:val="0"/>
                      <w:sz w:val="21"/>
                      <w:szCs w:val="21"/>
                      <w:highlight w:val="none"/>
                      <w:u w:val="none"/>
                      <w:lang w:val="en-US" w:eastAsia="zh-CN" w:bidi="ar"/>
                    </w:rPr>
                    <w:t>0.13</w:t>
                  </w:r>
                </w:p>
              </w:tc>
            </w:tr>
            <w:tr w14:paraId="38D9A009">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28" w:type="dxa"/>
                  <w:bottom w:w="0" w:type="dxa"/>
                  <w:right w:w="28" w:type="dxa"/>
                </w:tblCellMar>
              </w:tblPrEx>
              <w:trPr>
                <w:trHeight w:val="0" w:hRule="atLeast"/>
              </w:trPr>
              <w:tc>
                <w:tcPr>
                  <w:tcW w:w="311" w:type="pct"/>
                  <w:tcBorders>
                    <w:tl2br w:val="nil"/>
                    <w:tr2bl w:val="nil"/>
                  </w:tcBorders>
                  <w:shd w:val="clear" w:color="auto" w:fill="auto"/>
                  <w:noWrap w:val="0"/>
                  <w:vAlign w:val="center"/>
                </w:tcPr>
                <w:p w14:paraId="5E48F8EC">
                  <w:pPr>
                    <w:pStyle w:val="27"/>
                    <w:keepNext w:val="0"/>
                    <w:keepLines w:val="0"/>
                    <w:widowControl w:val="0"/>
                    <w:suppressLineNumbers w:val="0"/>
                    <w:spacing w:before="0" w:beforeAutospacing="0" w:after="0" w:afterAutospacing="0" w:line="240" w:lineRule="auto"/>
                    <w:ind w:left="0" w:leftChars="0" w:right="0" w:rightChars="0" w:firstLine="0" w:firstLineChars="0"/>
                    <w:jc w:val="center"/>
                    <w:rPr>
                      <w:rFonts w:hint="default" w:ascii="Times New Roman" w:hAnsi="Times New Roman" w:eastAsia="宋体" w:cs="Times New Roman"/>
                      <w:color w:val="auto"/>
                      <w:kern w:val="0"/>
                      <w:sz w:val="21"/>
                      <w:szCs w:val="21"/>
                      <w:highlight w:val="none"/>
                      <w:lang w:val="en-US" w:eastAsia="zh-CN" w:bidi="ar-SA"/>
                    </w:rPr>
                  </w:pPr>
                  <w:r>
                    <w:rPr>
                      <w:rFonts w:hint="eastAsia" w:ascii="Times New Roman" w:hAnsi="Times New Roman" w:eastAsia="宋体" w:cs="Times New Roman"/>
                      <w:color w:val="auto"/>
                      <w:sz w:val="21"/>
                      <w:szCs w:val="21"/>
                      <w:highlight w:val="none"/>
                      <w:lang w:val="en-US" w:eastAsia="zh-CN"/>
                    </w:rPr>
                    <w:t>42</w:t>
                  </w:r>
                </w:p>
              </w:tc>
              <w:tc>
                <w:tcPr>
                  <w:tcW w:w="625" w:type="pct"/>
                  <w:vMerge w:val="continue"/>
                  <w:tcBorders>
                    <w:tl2br w:val="nil"/>
                    <w:tr2bl w:val="nil"/>
                  </w:tcBorders>
                  <w:noWrap w:val="0"/>
                  <w:vAlign w:val="center"/>
                </w:tcPr>
                <w:p w14:paraId="50E1CA68">
                  <w:pPr>
                    <w:pStyle w:val="27"/>
                    <w:keepNext w:val="0"/>
                    <w:keepLines w:val="0"/>
                    <w:widowControl w:val="0"/>
                    <w:suppressLineNumbers w:val="0"/>
                    <w:spacing w:before="0" w:beforeAutospacing="0" w:after="0" w:afterAutospacing="0" w:line="240" w:lineRule="auto"/>
                    <w:ind w:left="0" w:leftChars="0" w:right="0" w:rightChars="0" w:firstLine="0" w:firstLineChars="0"/>
                    <w:jc w:val="center"/>
                    <w:rPr>
                      <w:rFonts w:hint="default" w:ascii="Times New Roman" w:hAnsi="Times New Roman" w:eastAsia="宋体" w:cs="Times New Roman"/>
                      <w:color w:val="auto"/>
                      <w:sz w:val="21"/>
                      <w:szCs w:val="21"/>
                      <w:highlight w:val="none"/>
                      <w:lang w:val="en-US" w:eastAsia="zh-CN"/>
                    </w:rPr>
                  </w:pPr>
                </w:p>
              </w:tc>
              <w:tc>
                <w:tcPr>
                  <w:tcW w:w="785" w:type="pct"/>
                  <w:tcBorders>
                    <w:tl2br w:val="nil"/>
                    <w:tr2bl w:val="nil"/>
                  </w:tcBorders>
                  <w:shd w:val="clear" w:color="auto" w:fill="auto"/>
                  <w:noWrap w:val="0"/>
                  <w:vAlign w:val="center"/>
                </w:tcPr>
                <w:p w14:paraId="7E8EDBF9">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64" w:lineRule="auto"/>
                    <w:ind w:left="0" w:leftChars="0" w:right="0" w:rightChars="0"/>
                    <w:jc w:val="center"/>
                    <w:textAlignment w:val="auto"/>
                    <w:rPr>
                      <w:rFonts w:hint="eastAsia" w:ascii="Times New Roman" w:hAnsi="Times New Roman" w:eastAsia="宋体" w:cs="Times New Roman"/>
                      <w:bCs/>
                      <w:kern w:val="0"/>
                      <w:sz w:val="21"/>
                      <w:szCs w:val="21"/>
                      <w:highlight w:val="none"/>
                      <w:lang w:val="en-US" w:eastAsia="zh-CN" w:bidi="ar-SA"/>
                    </w:rPr>
                  </w:pPr>
                  <w:r>
                    <w:rPr>
                      <w:rFonts w:hint="eastAsia" w:ascii="Times New Roman" w:hAnsi="Times New Roman" w:eastAsia="宋体" w:cs="Times New Roman"/>
                      <w:bCs/>
                      <w:kern w:val="0"/>
                      <w:sz w:val="21"/>
                      <w:szCs w:val="21"/>
                      <w:highlight w:val="none"/>
                      <w:lang w:val="en-US" w:eastAsia="zh-CN"/>
                    </w:rPr>
                    <w:t>氯化氢</w:t>
                  </w:r>
                </w:p>
              </w:tc>
              <w:tc>
                <w:tcPr>
                  <w:tcW w:w="3277" w:type="pct"/>
                  <w:gridSpan w:val="3"/>
                  <w:tcBorders>
                    <w:tl2br w:val="nil"/>
                    <w:tr2bl w:val="nil"/>
                  </w:tcBorders>
                  <w:shd w:val="clear" w:color="auto" w:fill="auto"/>
                  <w:noWrap w:val="0"/>
                  <w:vAlign w:val="center"/>
                </w:tcPr>
                <w:p w14:paraId="7142C45F">
                  <w:pPr>
                    <w:pStyle w:val="27"/>
                    <w:keepNext w:val="0"/>
                    <w:keepLines w:val="0"/>
                    <w:widowControl w:val="0"/>
                    <w:suppressLineNumbers w:val="0"/>
                    <w:spacing w:before="0" w:beforeAutospacing="0" w:after="0" w:afterAutospacing="0" w:line="240" w:lineRule="auto"/>
                    <w:ind w:left="0" w:leftChars="0" w:right="0" w:rightChars="0" w:firstLine="0" w:firstLineChars="0"/>
                    <w:jc w:val="center"/>
                    <w:rPr>
                      <w:rFonts w:hint="default" w:ascii="Times New Roman" w:hAnsi="Times New Roman" w:eastAsia="宋体" w:cs="Times New Roman"/>
                      <w:color w:val="auto"/>
                      <w:sz w:val="21"/>
                      <w:szCs w:val="21"/>
                      <w:highlight w:val="none"/>
                      <w:lang w:val="en-US" w:eastAsia="zh-CN"/>
                    </w:rPr>
                  </w:pPr>
                  <w:r>
                    <w:rPr>
                      <w:rFonts w:hint="eastAsia" w:ascii="Times New Roman" w:hAnsi="Times New Roman" w:eastAsia="宋体" w:cs="Times New Roman"/>
                      <w:bCs/>
                      <w:kern w:val="0"/>
                      <w:sz w:val="21"/>
                      <w:szCs w:val="21"/>
                      <w:highlight w:val="none"/>
                      <w:lang w:val="en-US" w:eastAsia="zh-CN"/>
                    </w:rPr>
                    <w:t>少量</w:t>
                  </w:r>
                </w:p>
              </w:tc>
            </w:tr>
            <w:tr w14:paraId="1A803650">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28" w:type="dxa"/>
                  <w:bottom w:w="0" w:type="dxa"/>
                  <w:right w:w="28" w:type="dxa"/>
                </w:tblCellMar>
              </w:tblPrEx>
              <w:trPr>
                <w:trHeight w:val="0" w:hRule="atLeast"/>
              </w:trPr>
              <w:tc>
                <w:tcPr>
                  <w:tcW w:w="311" w:type="pct"/>
                  <w:tcBorders>
                    <w:tl2br w:val="nil"/>
                    <w:tr2bl w:val="nil"/>
                  </w:tcBorders>
                  <w:shd w:val="clear" w:color="auto" w:fill="auto"/>
                  <w:noWrap w:val="0"/>
                  <w:vAlign w:val="center"/>
                </w:tcPr>
                <w:p w14:paraId="0FDA9673">
                  <w:pPr>
                    <w:pStyle w:val="27"/>
                    <w:keepNext w:val="0"/>
                    <w:keepLines w:val="0"/>
                    <w:widowControl w:val="0"/>
                    <w:suppressLineNumbers w:val="0"/>
                    <w:spacing w:before="0" w:beforeAutospacing="0" w:after="0" w:afterAutospacing="0" w:line="240" w:lineRule="auto"/>
                    <w:ind w:left="0" w:leftChars="0" w:right="0" w:rightChars="0" w:firstLine="0" w:firstLineChars="0"/>
                    <w:jc w:val="center"/>
                    <w:rPr>
                      <w:rFonts w:hint="default" w:ascii="Times New Roman" w:hAnsi="Times New Roman" w:eastAsia="宋体" w:cs="Times New Roman"/>
                      <w:color w:val="auto"/>
                      <w:kern w:val="0"/>
                      <w:sz w:val="21"/>
                      <w:szCs w:val="21"/>
                      <w:highlight w:val="none"/>
                      <w:lang w:val="en-US" w:eastAsia="zh-CN" w:bidi="ar-SA"/>
                    </w:rPr>
                  </w:pPr>
                  <w:r>
                    <w:rPr>
                      <w:rFonts w:hint="eastAsia" w:ascii="Times New Roman" w:hAnsi="Times New Roman" w:eastAsia="宋体" w:cs="Times New Roman"/>
                      <w:color w:val="auto"/>
                      <w:sz w:val="21"/>
                      <w:szCs w:val="21"/>
                      <w:highlight w:val="none"/>
                      <w:lang w:val="en-US" w:eastAsia="zh-CN"/>
                    </w:rPr>
                    <w:t>43</w:t>
                  </w:r>
                </w:p>
              </w:tc>
              <w:tc>
                <w:tcPr>
                  <w:tcW w:w="625" w:type="pct"/>
                  <w:vMerge w:val="continue"/>
                  <w:tcBorders>
                    <w:tl2br w:val="nil"/>
                    <w:tr2bl w:val="nil"/>
                  </w:tcBorders>
                  <w:noWrap w:val="0"/>
                  <w:vAlign w:val="center"/>
                </w:tcPr>
                <w:p w14:paraId="04679598">
                  <w:pPr>
                    <w:pStyle w:val="27"/>
                    <w:keepNext w:val="0"/>
                    <w:keepLines w:val="0"/>
                    <w:widowControl w:val="0"/>
                    <w:suppressLineNumbers w:val="0"/>
                    <w:spacing w:before="0" w:beforeAutospacing="0" w:after="0" w:afterAutospacing="0" w:line="240" w:lineRule="auto"/>
                    <w:ind w:left="0" w:leftChars="0" w:right="0" w:rightChars="0" w:firstLine="0" w:firstLineChars="0"/>
                    <w:jc w:val="center"/>
                    <w:rPr>
                      <w:rFonts w:hint="default" w:ascii="Times New Roman" w:hAnsi="Times New Roman" w:eastAsia="宋体" w:cs="Times New Roman"/>
                      <w:color w:val="auto"/>
                      <w:sz w:val="21"/>
                      <w:szCs w:val="21"/>
                      <w:highlight w:val="none"/>
                      <w:lang w:val="en-US" w:eastAsia="zh-CN"/>
                    </w:rPr>
                  </w:pPr>
                </w:p>
              </w:tc>
              <w:tc>
                <w:tcPr>
                  <w:tcW w:w="785" w:type="pct"/>
                  <w:tcBorders>
                    <w:tl2br w:val="nil"/>
                    <w:tr2bl w:val="nil"/>
                  </w:tcBorders>
                  <w:shd w:val="clear" w:color="auto" w:fill="auto"/>
                  <w:noWrap w:val="0"/>
                  <w:vAlign w:val="center"/>
                </w:tcPr>
                <w:p w14:paraId="17D899CA">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64" w:lineRule="auto"/>
                    <w:ind w:left="0" w:leftChars="0" w:right="0" w:rightChars="0"/>
                    <w:jc w:val="center"/>
                    <w:textAlignment w:val="auto"/>
                    <w:rPr>
                      <w:rFonts w:hint="eastAsia" w:ascii="Times New Roman" w:hAnsi="Times New Roman" w:eastAsia="宋体" w:cs="Times New Roman"/>
                      <w:bCs/>
                      <w:kern w:val="0"/>
                      <w:sz w:val="21"/>
                      <w:szCs w:val="21"/>
                      <w:highlight w:val="none"/>
                      <w:lang w:val="en-US" w:eastAsia="zh-CN" w:bidi="ar-SA"/>
                    </w:rPr>
                  </w:pPr>
                  <w:r>
                    <w:rPr>
                      <w:rFonts w:hint="eastAsia" w:ascii="Times New Roman" w:hAnsi="Times New Roman" w:eastAsia="宋体" w:cs="Times New Roman"/>
                      <w:bCs/>
                      <w:kern w:val="0"/>
                      <w:sz w:val="21"/>
                      <w:szCs w:val="21"/>
                      <w:highlight w:val="none"/>
                      <w:lang w:val="en-US" w:eastAsia="zh-CN"/>
                    </w:rPr>
                    <w:t>硫酸雾</w:t>
                  </w:r>
                </w:p>
              </w:tc>
              <w:tc>
                <w:tcPr>
                  <w:tcW w:w="3277" w:type="pct"/>
                  <w:gridSpan w:val="3"/>
                  <w:tcBorders>
                    <w:tl2br w:val="nil"/>
                    <w:tr2bl w:val="nil"/>
                  </w:tcBorders>
                  <w:shd w:val="clear" w:color="auto" w:fill="auto"/>
                  <w:noWrap w:val="0"/>
                  <w:vAlign w:val="center"/>
                </w:tcPr>
                <w:p w14:paraId="43809261">
                  <w:pPr>
                    <w:pStyle w:val="27"/>
                    <w:keepNext w:val="0"/>
                    <w:keepLines w:val="0"/>
                    <w:widowControl w:val="0"/>
                    <w:suppressLineNumbers w:val="0"/>
                    <w:spacing w:before="0" w:beforeAutospacing="0" w:after="0" w:afterAutospacing="0" w:line="240" w:lineRule="auto"/>
                    <w:ind w:left="0" w:leftChars="0" w:right="0" w:rightChars="0" w:firstLine="0" w:firstLineChars="0"/>
                    <w:jc w:val="center"/>
                    <w:rPr>
                      <w:rFonts w:hint="default" w:ascii="Times New Roman" w:hAnsi="Times New Roman" w:eastAsia="宋体" w:cs="Times New Roman"/>
                      <w:color w:val="auto"/>
                      <w:sz w:val="21"/>
                      <w:szCs w:val="21"/>
                      <w:highlight w:val="none"/>
                      <w:lang w:val="en-US" w:eastAsia="zh-CN"/>
                    </w:rPr>
                  </w:pPr>
                  <w:r>
                    <w:rPr>
                      <w:rFonts w:hint="eastAsia" w:ascii="Times New Roman" w:hAnsi="Times New Roman" w:eastAsia="宋体" w:cs="Times New Roman"/>
                      <w:bCs/>
                      <w:kern w:val="0"/>
                      <w:sz w:val="21"/>
                      <w:szCs w:val="21"/>
                      <w:highlight w:val="none"/>
                      <w:lang w:val="en-US" w:eastAsia="zh-CN"/>
                    </w:rPr>
                    <w:t>少量</w:t>
                  </w:r>
                </w:p>
              </w:tc>
            </w:tr>
            <w:tr w14:paraId="7F85B0B0">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28" w:type="dxa"/>
                  <w:bottom w:w="0" w:type="dxa"/>
                  <w:right w:w="28" w:type="dxa"/>
                </w:tblCellMar>
              </w:tblPrEx>
              <w:trPr>
                <w:trHeight w:val="0" w:hRule="atLeast"/>
              </w:trPr>
              <w:tc>
                <w:tcPr>
                  <w:tcW w:w="311" w:type="pct"/>
                  <w:tcBorders>
                    <w:tl2br w:val="nil"/>
                    <w:tr2bl w:val="nil"/>
                  </w:tcBorders>
                  <w:shd w:val="clear" w:color="auto" w:fill="auto"/>
                  <w:noWrap w:val="0"/>
                  <w:vAlign w:val="center"/>
                </w:tcPr>
                <w:p w14:paraId="5C691EBC">
                  <w:pPr>
                    <w:pStyle w:val="27"/>
                    <w:keepNext w:val="0"/>
                    <w:keepLines w:val="0"/>
                    <w:widowControl w:val="0"/>
                    <w:suppressLineNumbers w:val="0"/>
                    <w:spacing w:before="0" w:beforeAutospacing="0" w:after="0" w:afterAutospacing="0" w:line="240" w:lineRule="auto"/>
                    <w:ind w:left="0" w:leftChars="0" w:right="0" w:rightChars="0" w:firstLine="0" w:firstLineChars="0"/>
                    <w:jc w:val="center"/>
                    <w:rPr>
                      <w:rFonts w:hint="default" w:ascii="Times New Roman" w:hAnsi="Times New Roman" w:eastAsia="宋体" w:cs="Times New Roman"/>
                      <w:color w:val="auto"/>
                      <w:kern w:val="0"/>
                      <w:sz w:val="21"/>
                      <w:szCs w:val="21"/>
                      <w:highlight w:val="none"/>
                      <w:lang w:val="en-US" w:eastAsia="zh-CN" w:bidi="ar-SA"/>
                    </w:rPr>
                  </w:pPr>
                  <w:r>
                    <w:rPr>
                      <w:rFonts w:hint="eastAsia" w:ascii="Times New Roman" w:hAnsi="Times New Roman" w:eastAsia="宋体" w:cs="Times New Roman"/>
                      <w:color w:val="auto"/>
                      <w:sz w:val="21"/>
                      <w:szCs w:val="21"/>
                      <w:highlight w:val="none"/>
                      <w:lang w:val="en-US" w:eastAsia="zh-CN"/>
                    </w:rPr>
                    <w:t>44</w:t>
                  </w:r>
                </w:p>
              </w:tc>
              <w:tc>
                <w:tcPr>
                  <w:tcW w:w="625" w:type="pct"/>
                  <w:vMerge w:val="restart"/>
                  <w:tcBorders>
                    <w:tl2br w:val="nil"/>
                    <w:tr2bl w:val="nil"/>
                  </w:tcBorders>
                  <w:noWrap w:val="0"/>
                  <w:vAlign w:val="center"/>
                </w:tcPr>
                <w:p w14:paraId="42681DD7">
                  <w:pPr>
                    <w:pStyle w:val="27"/>
                    <w:keepNext w:val="0"/>
                    <w:keepLines w:val="0"/>
                    <w:widowControl w:val="0"/>
                    <w:suppressLineNumbers w:val="0"/>
                    <w:spacing w:before="0" w:beforeAutospacing="0" w:after="0" w:afterAutospacing="0" w:line="240" w:lineRule="auto"/>
                    <w:ind w:left="0" w:leftChars="0" w:right="0" w:rightChars="0" w:firstLine="0" w:firstLineChars="0"/>
                    <w:jc w:val="center"/>
                    <w:rPr>
                      <w:rFonts w:hint="default" w:ascii="Times New Roman" w:hAnsi="Times New Roman" w:eastAsia="宋体" w:cs="Times New Roman"/>
                      <w:color w:val="auto"/>
                      <w:sz w:val="21"/>
                      <w:szCs w:val="21"/>
                      <w:highlight w:val="none"/>
                      <w:lang w:val="en-US" w:eastAsia="zh-CN"/>
                    </w:rPr>
                  </w:pPr>
                  <w:r>
                    <w:rPr>
                      <w:rFonts w:hint="eastAsia" w:ascii="Times New Roman" w:hAnsi="Times New Roman" w:eastAsia="宋体" w:cs="Times New Roman"/>
                      <w:color w:val="auto"/>
                      <w:sz w:val="21"/>
                      <w:szCs w:val="21"/>
                      <w:highlight w:val="none"/>
                      <w:lang w:val="en-US" w:eastAsia="zh-CN"/>
                    </w:rPr>
                    <w:t>DA016</w:t>
                  </w:r>
                </w:p>
              </w:tc>
              <w:tc>
                <w:tcPr>
                  <w:tcW w:w="785" w:type="pct"/>
                  <w:tcBorders>
                    <w:tl2br w:val="nil"/>
                    <w:tr2bl w:val="nil"/>
                  </w:tcBorders>
                  <w:shd w:val="clear" w:color="auto" w:fill="auto"/>
                  <w:noWrap w:val="0"/>
                  <w:vAlign w:val="center"/>
                </w:tcPr>
                <w:p w14:paraId="594CEF1E">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64" w:lineRule="auto"/>
                    <w:ind w:left="0" w:leftChars="0" w:right="0" w:rightChars="0"/>
                    <w:jc w:val="center"/>
                    <w:textAlignment w:val="auto"/>
                    <w:rPr>
                      <w:rFonts w:hint="eastAsia" w:ascii="Times New Roman" w:hAnsi="Times New Roman" w:eastAsia="宋体" w:cs="Times New Roman"/>
                      <w:bCs/>
                      <w:kern w:val="0"/>
                      <w:sz w:val="21"/>
                      <w:szCs w:val="21"/>
                      <w:highlight w:val="none"/>
                      <w:lang w:val="en-US" w:eastAsia="zh-CN" w:bidi="ar-SA"/>
                    </w:rPr>
                  </w:pPr>
                  <w:r>
                    <w:rPr>
                      <w:rFonts w:hint="eastAsia" w:ascii="Times New Roman" w:hAnsi="Times New Roman" w:eastAsia="宋体" w:cs="Times New Roman"/>
                      <w:bCs/>
                      <w:kern w:val="0"/>
                      <w:sz w:val="21"/>
                      <w:szCs w:val="21"/>
                      <w:highlight w:val="none"/>
                      <w:lang w:val="en-US" w:eastAsia="zh-CN"/>
                    </w:rPr>
                    <w:t>非甲烷总烃</w:t>
                  </w:r>
                </w:p>
              </w:tc>
              <w:tc>
                <w:tcPr>
                  <w:tcW w:w="1048" w:type="pct"/>
                  <w:tcBorders>
                    <w:tl2br w:val="nil"/>
                    <w:tr2bl w:val="nil"/>
                  </w:tcBorders>
                  <w:shd w:val="clear" w:color="auto" w:fill="auto"/>
                  <w:noWrap w:val="0"/>
                  <w:vAlign w:val="center"/>
                </w:tcPr>
                <w:p w14:paraId="088827F5">
                  <w:pPr>
                    <w:keepNext w:val="0"/>
                    <w:keepLines w:val="0"/>
                    <w:widowControl/>
                    <w:suppressLineNumbers w:val="0"/>
                    <w:spacing w:before="0" w:beforeAutospacing="0" w:after="0" w:afterAutospacing="0"/>
                    <w:ind w:left="0" w:leftChars="0" w:right="0" w:rightChars="0"/>
                    <w:jc w:val="center"/>
                    <w:textAlignment w:val="center"/>
                    <w:rPr>
                      <w:rFonts w:hint="default" w:ascii="Times New Roman" w:hAnsi="Times New Roman" w:eastAsia="宋体" w:cs="Times New Roman"/>
                      <w:bCs/>
                      <w:kern w:val="0"/>
                      <w:sz w:val="21"/>
                      <w:szCs w:val="21"/>
                      <w:highlight w:val="none"/>
                      <w:lang w:val="en-US" w:eastAsia="zh-CN" w:bidi="ar-SA"/>
                    </w:rPr>
                  </w:pPr>
                  <w:r>
                    <w:rPr>
                      <w:rFonts w:hint="eastAsia" w:ascii="Times New Roman" w:hAnsi="Times New Roman" w:eastAsia="宋体" w:cs="Times New Roman"/>
                      <w:bCs/>
                      <w:kern w:val="0"/>
                      <w:sz w:val="21"/>
                      <w:szCs w:val="21"/>
                      <w:highlight w:val="none"/>
                      <w:lang w:val="en-US" w:eastAsia="zh-CN"/>
                    </w:rPr>
                    <w:t>1.69</w:t>
                  </w:r>
                </w:p>
              </w:tc>
              <w:tc>
                <w:tcPr>
                  <w:tcW w:w="1152" w:type="pct"/>
                  <w:tcBorders>
                    <w:tl2br w:val="nil"/>
                    <w:tr2bl w:val="nil"/>
                  </w:tcBorders>
                  <w:shd w:val="clear" w:color="auto" w:fill="auto"/>
                  <w:noWrap w:val="0"/>
                  <w:vAlign w:val="center"/>
                </w:tcPr>
                <w:p w14:paraId="2386EB64">
                  <w:pPr>
                    <w:keepNext w:val="0"/>
                    <w:keepLines w:val="0"/>
                    <w:widowControl/>
                    <w:suppressLineNumbers w:val="0"/>
                    <w:spacing w:before="0" w:beforeAutospacing="0" w:after="0" w:afterAutospacing="0"/>
                    <w:ind w:left="0" w:leftChars="0" w:right="0" w:rightChars="0"/>
                    <w:jc w:val="center"/>
                    <w:textAlignment w:val="center"/>
                    <w:rPr>
                      <w:rFonts w:hint="default" w:ascii="Times New Roman" w:hAnsi="Times New Roman" w:eastAsia="宋体" w:cs="Times New Roman"/>
                      <w:bCs/>
                      <w:kern w:val="0"/>
                      <w:sz w:val="21"/>
                      <w:szCs w:val="21"/>
                      <w:highlight w:val="none"/>
                      <w:lang w:val="en-US" w:eastAsia="zh-CN" w:bidi="ar-SA"/>
                    </w:rPr>
                  </w:pPr>
                  <w:r>
                    <w:rPr>
                      <w:rFonts w:hint="default" w:ascii="Times New Roman" w:hAnsi="Times New Roman" w:eastAsia="宋体" w:cs="Times New Roman"/>
                      <w:i w:val="0"/>
                      <w:iCs w:val="0"/>
                      <w:color w:val="000000"/>
                      <w:kern w:val="0"/>
                      <w:sz w:val="21"/>
                      <w:szCs w:val="21"/>
                      <w:highlight w:val="none"/>
                      <w:u w:val="none"/>
                      <w:lang w:val="en-US" w:eastAsia="zh-CN" w:bidi="ar"/>
                    </w:rPr>
                    <w:t>0.096</w:t>
                  </w:r>
                </w:p>
              </w:tc>
              <w:tc>
                <w:tcPr>
                  <w:tcW w:w="1076" w:type="pct"/>
                  <w:tcBorders>
                    <w:tl2br w:val="nil"/>
                    <w:tr2bl w:val="nil"/>
                  </w:tcBorders>
                  <w:shd w:val="clear" w:color="auto" w:fill="auto"/>
                  <w:noWrap w:val="0"/>
                  <w:vAlign w:val="center"/>
                </w:tcPr>
                <w:p w14:paraId="45DD7074">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64" w:lineRule="auto"/>
                    <w:ind w:left="0" w:leftChars="0" w:right="0" w:rightChars="0"/>
                    <w:jc w:val="center"/>
                    <w:textAlignment w:val="auto"/>
                    <w:rPr>
                      <w:rFonts w:hint="default" w:ascii="Times New Roman" w:hAnsi="Times New Roman" w:eastAsia="宋体" w:cs="Times New Roman"/>
                      <w:bCs/>
                      <w:kern w:val="0"/>
                      <w:sz w:val="21"/>
                      <w:szCs w:val="21"/>
                      <w:highlight w:val="none"/>
                      <w:lang w:val="en-US" w:eastAsia="zh-CN" w:bidi="ar-SA"/>
                    </w:rPr>
                  </w:pPr>
                  <w:r>
                    <w:rPr>
                      <w:rFonts w:hint="default" w:ascii="Times New Roman" w:hAnsi="Times New Roman" w:eastAsia="宋体" w:cs="Times New Roman"/>
                      <w:i w:val="0"/>
                      <w:iCs w:val="0"/>
                      <w:color w:val="000000"/>
                      <w:kern w:val="0"/>
                      <w:sz w:val="21"/>
                      <w:szCs w:val="21"/>
                      <w:highlight w:val="none"/>
                      <w:u w:val="none"/>
                      <w:lang w:val="en-US" w:eastAsia="zh-CN" w:bidi="ar"/>
                    </w:rPr>
                    <w:t>0.199</w:t>
                  </w:r>
                </w:p>
              </w:tc>
            </w:tr>
            <w:tr w14:paraId="74E4650F">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28" w:type="dxa"/>
                  <w:bottom w:w="0" w:type="dxa"/>
                  <w:right w:w="28" w:type="dxa"/>
                </w:tblCellMar>
              </w:tblPrEx>
              <w:trPr>
                <w:trHeight w:val="0" w:hRule="atLeast"/>
              </w:trPr>
              <w:tc>
                <w:tcPr>
                  <w:tcW w:w="311" w:type="pct"/>
                  <w:tcBorders>
                    <w:tl2br w:val="nil"/>
                    <w:tr2bl w:val="nil"/>
                  </w:tcBorders>
                  <w:shd w:val="clear" w:color="auto" w:fill="auto"/>
                  <w:noWrap w:val="0"/>
                  <w:vAlign w:val="center"/>
                </w:tcPr>
                <w:p w14:paraId="2AF26E33">
                  <w:pPr>
                    <w:pStyle w:val="27"/>
                    <w:keepNext w:val="0"/>
                    <w:keepLines w:val="0"/>
                    <w:widowControl w:val="0"/>
                    <w:suppressLineNumbers w:val="0"/>
                    <w:spacing w:before="0" w:beforeAutospacing="0" w:after="0" w:afterAutospacing="0" w:line="240" w:lineRule="auto"/>
                    <w:ind w:left="0" w:leftChars="0" w:right="0" w:rightChars="0" w:firstLine="0" w:firstLineChars="0"/>
                    <w:jc w:val="center"/>
                    <w:rPr>
                      <w:rFonts w:hint="default" w:ascii="Times New Roman" w:hAnsi="Times New Roman" w:eastAsia="宋体" w:cs="Times New Roman"/>
                      <w:color w:val="auto"/>
                      <w:kern w:val="0"/>
                      <w:sz w:val="21"/>
                      <w:szCs w:val="21"/>
                      <w:highlight w:val="none"/>
                      <w:lang w:val="en-US" w:eastAsia="zh-CN" w:bidi="ar-SA"/>
                    </w:rPr>
                  </w:pPr>
                  <w:r>
                    <w:rPr>
                      <w:rFonts w:hint="eastAsia" w:ascii="Times New Roman" w:hAnsi="Times New Roman" w:eastAsia="宋体" w:cs="Times New Roman"/>
                      <w:color w:val="auto"/>
                      <w:sz w:val="21"/>
                      <w:szCs w:val="21"/>
                      <w:highlight w:val="none"/>
                      <w:lang w:val="en-US" w:eastAsia="zh-CN"/>
                    </w:rPr>
                    <w:t>45</w:t>
                  </w:r>
                </w:p>
              </w:tc>
              <w:tc>
                <w:tcPr>
                  <w:tcW w:w="625" w:type="pct"/>
                  <w:vMerge w:val="continue"/>
                  <w:tcBorders>
                    <w:tl2br w:val="nil"/>
                    <w:tr2bl w:val="nil"/>
                  </w:tcBorders>
                  <w:noWrap w:val="0"/>
                  <w:vAlign w:val="center"/>
                </w:tcPr>
                <w:p w14:paraId="4D432847">
                  <w:pPr>
                    <w:pStyle w:val="27"/>
                    <w:keepNext w:val="0"/>
                    <w:keepLines w:val="0"/>
                    <w:widowControl w:val="0"/>
                    <w:suppressLineNumbers w:val="0"/>
                    <w:spacing w:before="0" w:beforeAutospacing="0" w:after="0" w:afterAutospacing="0" w:line="240" w:lineRule="auto"/>
                    <w:ind w:left="0" w:leftChars="0" w:right="0" w:rightChars="0" w:firstLine="0" w:firstLineChars="0"/>
                    <w:jc w:val="center"/>
                    <w:rPr>
                      <w:rFonts w:hint="default" w:ascii="Times New Roman" w:hAnsi="Times New Roman" w:eastAsia="宋体" w:cs="Times New Roman"/>
                      <w:color w:val="auto"/>
                      <w:sz w:val="21"/>
                      <w:szCs w:val="21"/>
                      <w:highlight w:val="none"/>
                      <w:lang w:val="en-US" w:eastAsia="zh-CN"/>
                    </w:rPr>
                  </w:pPr>
                </w:p>
              </w:tc>
              <w:tc>
                <w:tcPr>
                  <w:tcW w:w="785" w:type="pct"/>
                  <w:tcBorders>
                    <w:tl2br w:val="nil"/>
                    <w:tr2bl w:val="nil"/>
                  </w:tcBorders>
                  <w:shd w:val="clear" w:color="auto" w:fill="auto"/>
                  <w:noWrap w:val="0"/>
                  <w:vAlign w:val="center"/>
                </w:tcPr>
                <w:p w14:paraId="4B464C36">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64" w:lineRule="auto"/>
                    <w:ind w:left="0" w:leftChars="0" w:right="0" w:rightChars="0"/>
                    <w:jc w:val="center"/>
                    <w:textAlignment w:val="auto"/>
                    <w:rPr>
                      <w:rFonts w:hint="eastAsia" w:ascii="Times New Roman" w:hAnsi="Times New Roman" w:eastAsia="宋体" w:cs="Times New Roman"/>
                      <w:bCs/>
                      <w:kern w:val="0"/>
                      <w:sz w:val="21"/>
                      <w:szCs w:val="21"/>
                      <w:highlight w:val="none"/>
                      <w:lang w:val="en-US" w:eastAsia="zh-CN" w:bidi="ar-SA"/>
                    </w:rPr>
                  </w:pPr>
                  <w:r>
                    <w:rPr>
                      <w:rFonts w:hint="eastAsia" w:ascii="Times New Roman" w:hAnsi="Times New Roman" w:eastAsia="宋体" w:cs="Times New Roman"/>
                      <w:bCs/>
                      <w:kern w:val="0"/>
                      <w:sz w:val="21"/>
                      <w:szCs w:val="21"/>
                      <w:highlight w:val="none"/>
                      <w:lang w:val="en-US" w:eastAsia="zh-CN"/>
                    </w:rPr>
                    <w:t>氯化氢</w:t>
                  </w:r>
                </w:p>
              </w:tc>
              <w:tc>
                <w:tcPr>
                  <w:tcW w:w="3277" w:type="pct"/>
                  <w:gridSpan w:val="3"/>
                  <w:tcBorders>
                    <w:tl2br w:val="nil"/>
                    <w:tr2bl w:val="nil"/>
                  </w:tcBorders>
                  <w:shd w:val="clear" w:color="auto" w:fill="auto"/>
                  <w:noWrap w:val="0"/>
                  <w:vAlign w:val="center"/>
                </w:tcPr>
                <w:p w14:paraId="12E22A5A">
                  <w:pPr>
                    <w:pStyle w:val="27"/>
                    <w:keepNext w:val="0"/>
                    <w:keepLines w:val="0"/>
                    <w:widowControl w:val="0"/>
                    <w:suppressLineNumbers w:val="0"/>
                    <w:spacing w:before="0" w:beforeAutospacing="0" w:after="0" w:afterAutospacing="0" w:line="240" w:lineRule="auto"/>
                    <w:ind w:left="0" w:leftChars="0" w:right="0" w:rightChars="0" w:firstLine="0" w:firstLineChars="0"/>
                    <w:jc w:val="center"/>
                    <w:rPr>
                      <w:rFonts w:hint="default" w:ascii="Times New Roman" w:hAnsi="Times New Roman" w:eastAsia="宋体" w:cs="Times New Roman"/>
                      <w:color w:val="auto"/>
                      <w:sz w:val="21"/>
                      <w:szCs w:val="21"/>
                      <w:highlight w:val="none"/>
                      <w:lang w:val="en-US" w:eastAsia="zh-CN"/>
                    </w:rPr>
                  </w:pPr>
                  <w:r>
                    <w:rPr>
                      <w:rFonts w:hint="eastAsia" w:ascii="Times New Roman" w:hAnsi="Times New Roman" w:eastAsia="宋体" w:cs="Times New Roman"/>
                      <w:bCs/>
                      <w:kern w:val="0"/>
                      <w:sz w:val="21"/>
                      <w:szCs w:val="21"/>
                      <w:highlight w:val="none"/>
                      <w:lang w:val="en-US" w:eastAsia="zh-CN"/>
                    </w:rPr>
                    <w:t>少量</w:t>
                  </w:r>
                </w:p>
              </w:tc>
            </w:tr>
            <w:tr w14:paraId="3DE2A80E">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28" w:type="dxa"/>
                  <w:bottom w:w="0" w:type="dxa"/>
                  <w:right w:w="28" w:type="dxa"/>
                </w:tblCellMar>
              </w:tblPrEx>
              <w:trPr>
                <w:trHeight w:val="0" w:hRule="atLeast"/>
              </w:trPr>
              <w:tc>
                <w:tcPr>
                  <w:tcW w:w="311" w:type="pct"/>
                  <w:tcBorders>
                    <w:tl2br w:val="nil"/>
                    <w:tr2bl w:val="nil"/>
                  </w:tcBorders>
                  <w:shd w:val="clear" w:color="auto" w:fill="auto"/>
                  <w:noWrap w:val="0"/>
                  <w:vAlign w:val="center"/>
                </w:tcPr>
                <w:p w14:paraId="711CE10E">
                  <w:pPr>
                    <w:pStyle w:val="27"/>
                    <w:keepNext w:val="0"/>
                    <w:keepLines w:val="0"/>
                    <w:widowControl w:val="0"/>
                    <w:suppressLineNumbers w:val="0"/>
                    <w:spacing w:before="0" w:beforeAutospacing="0" w:after="0" w:afterAutospacing="0" w:line="240" w:lineRule="auto"/>
                    <w:ind w:left="0" w:leftChars="0" w:right="0" w:rightChars="0" w:firstLine="0" w:firstLineChars="0"/>
                    <w:jc w:val="center"/>
                    <w:rPr>
                      <w:rFonts w:hint="default" w:ascii="Times New Roman" w:hAnsi="Times New Roman" w:eastAsia="宋体" w:cs="Times New Roman"/>
                      <w:color w:val="auto"/>
                      <w:kern w:val="0"/>
                      <w:sz w:val="21"/>
                      <w:szCs w:val="21"/>
                      <w:highlight w:val="none"/>
                      <w:lang w:val="en-US" w:eastAsia="zh-CN" w:bidi="ar-SA"/>
                    </w:rPr>
                  </w:pPr>
                  <w:r>
                    <w:rPr>
                      <w:rFonts w:hint="eastAsia" w:ascii="Times New Roman" w:hAnsi="Times New Roman" w:eastAsia="宋体" w:cs="Times New Roman"/>
                      <w:color w:val="auto"/>
                      <w:sz w:val="21"/>
                      <w:szCs w:val="21"/>
                      <w:highlight w:val="none"/>
                      <w:lang w:val="en-US" w:eastAsia="zh-CN"/>
                    </w:rPr>
                    <w:t>46</w:t>
                  </w:r>
                </w:p>
              </w:tc>
              <w:tc>
                <w:tcPr>
                  <w:tcW w:w="625" w:type="pct"/>
                  <w:vMerge w:val="continue"/>
                  <w:tcBorders>
                    <w:tl2br w:val="nil"/>
                    <w:tr2bl w:val="nil"/>
                  </w:tcBorders>
                  <w:noWrap w:val="0"/>
                  <w:vAlign w:val="center"/>
                </w:tcPr>
                <w:p w14:paraId="75B91F46">
                  <w:pPr>
                    <w:pStyle w:val="27"/>
                    <w:keepNext w:val="0"/>
                    <w:keepLines w:val="0"/>
                    <w:widowControl w:val="0"/>
                    <w:suppressLineNumbers w:val="0"/>
                    <w:spacing w:before="0" w:beforeAutospacing="0" w:after="0" w:afterAutospacing="0" w:line="240" w:lineRule="auto"/>
                    <w:ind w:left="0" w:leftChars="0" w:right="0" w:rightChars="0" w:firstLine="0" w:firstLineChars="0"/>
                    <w:jc w:val="center"/>
                    <w:rPr>
                      <w:rFonts w:hint="default" w:ascii="Times New Roman" w:hAnsi="Times New Roman" w:eastAsia="宋体" w:cs="Times New Roman"/>
                      <w:color w:val="auto"/>
                      <w:sz w:val="21"/>
                      <w:szCs w:val="21"/>
                      <w:highlight w:val="none"/>
                      <w:lang w:val="en-US" w:eastAsia="zh-CN"/>
                    </w:rPr>
                  </w:pPr>
                </w:p>
              </w:tc>
              <w:tc>
                <w:tcPr>
                  <w:tcW w:w="785" w:type="pct"/>
                  <w:tcBorders>
                    <w:tl2br w:val="nil"/>
                    <w:tr2bl w:val="nil"/>
                  </w:tcBorders>
                  <w:shd w:val="clear" w:color="auto" w:fill="auto"/>
                  <w:noWrap w:val="0"/>
                  <w:vAlign w:val="center"/>
                </w:tcPr>
                <w:p w14:paraId="21D361AE">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64" w:lineRule="auto"/>
                    <w:ind w:left="0" w:leftChars="0" w:right="0" w:rightChars="0"/>
                    <w:jc w:val="center"/>
                    <w:textAlignment w:val="auto"/>
                    <w:rPr>
                      <w:rFonts w:hint="eastAsia" w:ascii="Times New Roman" w:hAnsi="Times New Roman" w:eastAsia="宋体" w:cs="Times New Roman"/>
                      <w:bCs/>
                      <w:kern w:val="0"/>
                      <w:sz w:val="21"/>
                      <w:szCs w:val="21"/>
                      <w:highlight w:val="none"/>
                      <w:lang w:val="en-US" w:eastAsia="zh-CN" w:bidi="ar-SA"/>
                    </w:rPr>
                  </w:pPr>
                  <w:r>
                    <w:rPr>
                      <w:rFonts w:hint="eastAsia" w:ascii="Times New Roman" w:hAnsi="Times New Roman" w:eastAsia="宋体" w:cs="Times New Roman"/>
                      <w:bCs/>
                      <w:kern w:val="0"/>
                      <w:sz w:val="21"/>
                      <w:szCs w:val="21"/>
                      <w:highlight w:val="none"/>
                      <w:lang w:val="en-US" w:eastAsia="zh-CN"/>
                    </w:rPr>
                    <w:t>硫酸雾</w:t>
                  </w:r>
                </w:p>
              </w:tc>
              <w:tc>
                <w:tcPr>
                  <w:tcW w:w="3277" w:type="pct"/>
                  <w:gridSpan w:val="3"/>
                  <w:tcBorders>
                    <w:tl2br w:val="nil"/>
                    <w:tr2bl w:val="nil"/>
                  </w:tcBorders>
                  <w:shd w:val="clear" w:color="auto" w:fill="auto"/>
                  <w:noWrap w:val="0"/>
                  <w:vAlign w:val="center"/>
                </w:tcPr>
                <w:p w14:paraId="2241B25E">
                  <w:pPr>
                    <w:pStyle w:val="27"/>
                    <w:keepNext w:val="0"/>
                    <w:keepLines w:val="0"/>
                    <w:widowControl w:val="0"/>
                    <w:suppressLineNumbers w:val="0"/>
                    <w:spacing w:before="0" w:beforeAutospacing="0" w:after="0" w:afterAutospacing="0" w:line="240" w:lineRule="auto"/>
                    <w:ind w:left="0" w:leftChars="0" w:right="0" w:rightChars="0" w:firstLine="0" w:firstLineChars="0"/>
                    <w:jc w:val="center"/>
                    <w:rPr>
                      <w:rFonts w:hint="default" w:ascii="Times New Roman" w:hAnsi="Times New Roman" w:eastAsia="宋体" w:cs="Times New Roman"/>
                      <w:color w:val="auto"/>
                      <w:sz w:val="21"/>
                      <w:szCs w:val="21"/>
                      <w:highlight w:val="none"/>
                      <w:lang w:val="en-US" w:eastAsia="zh-CN"/>
                    </w:rPr>
                  </w:pPr>
                  <w:r>
                    <w:rPr>
                      <w:rFonts w:hint="eastAsia" w:ascii="Times New Roman" w:hAnsi="Times New Roman" w:eastAsia="宋体" w:cs="Times New Roman"/>
                      <w:bCs/>
                      <w:kern w:val="0"/>
                      <w:sz w:val="21"/>
                      <w:szCs w:val="21"/>
                      <w:highlight w:val="none"/>
                      <w:lang w:val="en-US" w:eastAsia="zh-CN"/>
                    </w:rPr>
                    <w:t>少量</w:t>
                  </w:r>
                </w:p>
              </w:tc>
            </w:tr>
            <w:tr w14:paraId="27FA44CF">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28" w:type="dxa"/>
                  <w:bottom w:w="0" w:type="dxa"/>
                  <w:right w:w="28" w:type="dxa"/>
                </w:tblCellMar>
              </w:tblPrEx>
              <w:trPr>
                <w:trHeight w:val="0" w:hRule="atLeast"/>
              </w:trPr>
              <w:tc>
                <w:tcPr>
                  <w:tcW w:w="311" w:type="pct"/>
                  <w:tcBorders>
                    <w:tl2br w:val="nil"/>
                    <w:tr2bl w:val="nil"/>
                  </w:tcBorders>
                  <w:shd w:val="clear" w:color="auto" w:fill="auto"/>
                  <w:noWrap w:val="0"/>
                  <w:vAlign w:val="center"/>
                </w:tcPr>
                <w:p w14:paraId="0BF1EA49">
                  <w:pPr>
                    <w:pStyle w:val="27"/>
                    <w:keepNext w:val="0"/>
                    <w:keepLines w:val="0"/>
                    <w:widowControl w:val="0"/>
                    <w:suppressLineNumbers w:val="0"/>
                    <w:spacing w:before="0" w:beforeAutospacing="0" w:after="0" w:afterAutospacing="0" w:line="240" w:lineRule="auto"/>
                    <w:ind w:left="0" w:leftChars="0" w:right="0" w:rightChars="0" w:firstLine="0" w:firstLineChars="0"/>
                    <w:jc w:val="center"/>
                    <w:rPr>
                      <w:rFonts w:hint="default" w:ascii="Times New Roman" w:hAnsi="Times New Roman" w:eastAsia="宋体" w:cs="Times New Roman"/>
                      <w:color w:val="auto"/>
                      <w:kern w:val="0"/>
                      <w:sz w:val="21"/>
                      <w:szCs w:val="21"/>
                      <w:highlight w:val="none"/>
                      <w:lang w:val="en-US" w:eastAsia="zh-CN" w:bidi="ar-SA"/>
                    </w:rPr>
                  </w:pPr>
                  <w:r>
                    <w:rPr>
                      <w:rFonts w:hint="eastAsia" w:ascii="Times New Roman" w:hAnsi="Times New Roman" w:eastAsia="宋体" w:cs="Times New Roman"/>
                      <w:color w:val="auto"/>
                      <w:sz w:val="21"/>
                      <w:szCs w:val="21"/>
                      <w:highlight w:val="none"/>
                      <w:lang w:val="en-US" w:eastAsia="zh-CN"/>
                    </w:rPr>
                    <w:t>47</w:t>
                  </w:r>
                </w:p>
              </w:tc>
              <w:tc>
                <w:tcPr>
                  <w:tcW w:w="625" w:type="pct"/>
                  <w:vMerge w:val="restart"/>
                  <w:tcBorders>
                    <w:tl2br w:val="nil"/>
                    <w:tr2bl w:val="nil"/>
                  </w:tcBorders>
                  <w:noWrap w:val="0"/>
                  <w:vAlign w:val="center"/>
                </w:tcPr>
                <w:p w14:paraId="7606F763">
                  <w:pPr>
                    <w:pStyle w:val="27"/>
                    <w:keepNext w:val="0"/>
                    <w:keepLines w:val="0"/>
                    <w:widowControl w:val="0"/>
                    <w:suppressLineNumbers w:val="0"/>
                    <w:spacing w:before="0" w:beforeAutospacing="0" w:after="0" w:afterAutospacing="0" w:line="240" w:lineRule="auto"/>
                    <w:ind w:left="0" w:leftChars="0" w:right="0" w:rightChars="0" w:firstLine="0" w:firstLineChars="0"/>
                    <w:jc w:val="center"/>
                    <w:rPr>
                      <w:rFonts w:hint="default" w:ascii="Times New Roman" w:hAnsi="Times New Roman" w:eastAsia="宋体" w:cs="Times New Roman"/>
                      <w:color w:val="auto"/>
                      <w:sz w:val="21"/>
                      <w:szCs w:val="21"/>
                      <w:highlight w:val="none"/>
                      <w:lang w:val="en-US" w:eastAsia="zh-CN"/>
                    </w:rPr>
                  </w:pPr>
                  <w:r>
                    <w:rPr>
                      <w:rFonts w:hint="eastAsia" w:ascii="Times New Roman" w:hAnsi="Times New Roman" w:eastAsia="宋体" w:cs="Times New Roman"/>
                      <w:color w:val="auto"/>
                      <w:sz w:val="21"/>
                      <w:szCs w:val="21"/>
                      <w:highlight w:val="none"/>
                      <w:lang w:val="en-US" w:eastAsia="zh-CN"/>
                    </w:rPr>
                    <w:t>DA017</w:t>
                  </w:r>
                </w:p>
              </w:tc>
              <w:tc>
                <w:tcPr>
                  <w:tcW w:w="785" w:type="pct"/>
                  <w:tcBorders>
                    <w:tl2br w:val="nil"/>
                    <w:tr2bl w:val="nil"/>
                  </w:tcBorders>
                  <w:shd w:val="clear" w:color="auto" w:fill="auto"/>
                  <w:noWrap w:val="0"/>
                  <w:vAlign w:val="center"/>
                </w:tcPr>
                <w:p w14:paraId="522A0D4E">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64" w:lineRule="auto"/>
                    <w:ind w:left="0" w:leftChars="0" w:right="0" w:rightChars="0"/>
                    <w:jc w:val="center"/>
                    <w:textAlignment w:val="auto"/>
                    <w:rPr>
                      <w:rFonts w:hint="eastAsia" w:ascii="Times New Roman" w:hAnsi="Times New Roman" w:eastAsia="宋体" w:cs="Times New Roman"/>
                      <w:bCs/>
                      <w:kern w:val="0"/>
                      <w:sz w:val="21"/>
                      <w:szCs w:val="21"/>
                      <w:highlight w:val="none"/>
                      <w:lang w:val="en-US" w:eastAsia="zh-CN" w:bidi="ar-SA"/>
                    </w:rPr>
                  </w:pPr>
                  <w:r>
                    <w:rPr>
                      <w:rFonts w:hint="eastAsia" w:ascii="Times New Roman" w:hAnsi="Times New Roman" w:eastAsia="宋体" w:cs="Times New Roman"/>
                      <w:bCs/>
                      <w:kern w:val="0"/>
                      <w:sz w:val="21"/>
                      <w:szCs w:val="21"/>
                      <w:highlight w:val="none"/>
                      <w:lang w:val="en-US" w:eastAsia="zh-CN"/>
                    </w:rPr>
                    <w:t>非甲烷总烃</w:t>
                  </w:r>
                </w:p>
              </w:tc>
              <w:tc>
                <w:tcPr>
                  <w:tcW w:w="1048" w:type="pct"/>
                  <w:tcBorders>
                    <w:tl2br w:val="nil"/>
                    <w:tr2bl w:val="nil"/>
                  </w:tcBorders>
                  <w:shd w:val="clear" w:color="auto" w:fill="auto"/>
                  <w:noWrap w:val="0"/>
                  <w:vAlign w:val="center"/>
                </w:tcPr>
                <w:p w14:paraId="600CA89F">
                  <w:pPr>
                    <w:keepNext w:val="0"/>
                    <w:keepLines w:val="0"/>
                    <w:widowControl/>
                    <w:suppressLineNumbers w:val="0"/>
                    <w:spacing w:before="0" w:beforeAutospacing="0" w:after="0" w:afterAutospacing="0"/>
                    <w:ind w:left="0" w:leftChars="0" w:right="0" w:rightChars="0"/>
                    <w:jc w:val="center"/>
                    <w:textAlignment w:val="center"/>
                    <w:rPr>
                      <w:rFonts w:hint="default" w:ascii="Times New Roman" w:hAnsi="Times New Roman" w:eastAsia="宋体" w:cs="Times New Roman"/>
                      <w:bCs/>
                      <w:kern w:val="0"/>
                      <w:sz w:val="21"/>
                      <w:szCs w:val="21"/>
                      <w:highlight w:val="none"/>
                      <w:lang w:val="en-US" w:eastAsia="zh-CN" w:bidi="ar-SA"/>
                    </w:rPr>
                  </w:pPr>
                  <w:r>
                    <w:rPr>
                      <w:rFonts w:hint="eastAsia" w:ascii="Times New Roman" w:hAnsi="Times New Roman" w:eastAsia="宋体" w:cs="Times New Roman"/>
                      <w:bCs/>
                      <w:kern w:val="0"/>
                      <w:sz w:val="21"/>
                      <w:szCs w:val="21"/>
                      <w:highlight w:val="none"/>
                      <w:lang w:val="en-US" w:eastAsia="zh-CN"/>
                    </w:rPr>
                    <w:t>1.63</w:t>
                  </w:r>
                </w:p>
              </w:tc>
              <w:tc>
                <w:tcPr>
                  <w:tcW w:w="1152" w:type="pct"/>
                  <w:tcBorders>
                    <w:tl2br w:val="nil"/>
                    <w:tr2bl w:val="nil"/>
                  </w:tcBorders>
                  <w:shd w:val="clear" w:color="auto" w:fill="auto"/>
                  <w:noWrap w:val="0"/>
                  <w:vAlign w:val="center"/>
                </w:tcPr>
                <w:p w14:paraId="62B03704">
                  <w:pPr>
                    <w:keepNext w:val="0"/>
                    <w:keepLines w:val="0"/>
                    <w:widowControl/>
                    <w:suppressLineNumbers w:val="0"/>
                    <w:spacing w:before="0" w:beforeAutospacing="0" w:after="0" w:afterAutospacing="0"/>
                    <w:ind w:left="0" w:leftChars="0" w:right="0" w:rightChars="0"/>
                    <w:jc w:val="center"/>
                    <w:textAlignment w:val="center"/>
                    <w:rPr>
                      <w:rFonts w:hint="default" w:ascii="Times New Roman" w:hAnsi="Times New Roman" w:eastAsia="宋体" w:cs="Times New Roman"/>
                      <w:bCs/>
                      <w:kern w:val="0"/>
                      <w:sz w:val="21"/>
                      <w:szCs w:val="21"/>
                      <w:highlight w:val="none"/>
                      <w:lang w:val="en-US" w:eastAsia="zh-CN" w:bidi="ar-SA"/>
                    </w:rPr>
                  </w:pPr>
                  <w:r>
                    <w:rPr>
                      <w:rFonts w:hint="default" w:ascii="Times New Roman" w:hAnsi="Times New Roman" w:eastAsia="宋体" w:cs="Times New Roman"/>
                      <w:i w:val="0"/>
                      <w:iCs w:val="0"/>
                      <w:color w:val="000000"/>
                      <w:kern w:val="0"/>
                      <w:sz w:val="21"/>
                      <w:szCs w:val="21"/>
                      <w:highlight w:val="none"/>
                      <w:u w:val="none"/>
                      <w:lang w:val="en-US" w:eastAsia="zh-CN" w:bidi="ar"/>
                    </w:rPr>
                    <w:t>0.055</w:t>
                  </w:r>
                </w:p>
              </w:tc>
              <w:tc>
                <w:tcPr>
                  <w:tcW w:w="1076" w:type="pct"/>
                  <w:tcBorders>
                    <w:tl2br w:val="nil"/>
                    <w:tr2bl w:val="nil"/>
                  </w:tcBorders>
                  <w:shd w:val="clear" w:color="auto" w:fill="auto"/>
                  <w:noWrap w:val="0"/>
                  <w:vAlign w:val="center"/>
                </w:tcPr>
                <w:p w14:paraId="46C0829A">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64" w:lineRule="auto"/>
                    <w:ind w:left="0" w:leftChars="0" w:right="0" w:rightChars="0"/>
                    <w:jc w:val="center"/>
                    <w:textAlignment w:val="auto"/>
                    <w:rPr>
                      <w:rFonts w:hint="default" w:ascii="Times New Roman" w:hAnsi="Times New Roman" w:eastAsia="宋体" w:cs="Times New Roman"/>
                      <w:bCs/>
                      <w:kern w:val="0"/>
                      <w:sz w:val="21"/>
                      <w:szCs w:val="21"/>
                      <w:highlight w:val="none"/>
                      <w:lang w:val="en-US" w:eastAsia="zh-CN" w:bidi="ar-SA"/>
                    </w:rPr>
                  </w:pPr>
                  <w:r>
                    <w:rPr>
                      <w:rFonts w:hint="default" w:ascii="Times New Roman" w:hAnsi="Times New Roman" w:eastAsia="宋体" w:cs="Times New Roman"/>
                      <w:i w:val="0"/>
                      <w:iCs w:val="0"/>
                      <w:color w:val="000000"/>
                      <w:kern w:val="0"/>
                      <w:sz w:val="21"/>
                      <w:szCs w:val="21"/>
                      <w:highlight w:val="none"/>
                      <w:u w:val="none"/>
                      <w:lang w:val="en-US" w:eastAsia="zh-CN" w:bidi="ar"/>
                    </w:rPr>
                    <w:t>0.114</w:t>
                  </w:r>
                </w:p>
              </w:tc>
            </w:tr>
            <w:tr w14:paraId="2A149F05">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28" w:type="dxa"/>
                  <w:bottom w:w="0" w:type="dxa"/>
                  <w:right w:w="28" w:type="dxa"/>
                </w:tblCellMar>
              </w:tblPrEx>
              <w:trPr>
                <w:trHeight w:val="0" w:hRule="atLeast"/>
              </w:trPr>
              <w:tc>
                <w:tcPr>
                  <w:tcW w:w="311" w:type="pct"/>
                  <w:tcBorders>
                    <w:tl2br w:val="nil"/>
                    <w:tr2bl w:val="nil"/>
                  </w:tcBorders>
                  <w:shd w:val="clear" w:color="auto" w:fill="auto"/>
                  <w:noWrap w:val="0"/>
                  <w:vAlign w:val="center"/>
                </w:tcPr>
                <w:p w14:paraId="30775672">
                  <w:pPr>
                    <w:pStyle w:val="27"/>
                    <w:keepNext w:val="0"/>
                    <w:keepLines w:val="0"/>
                    <w:widowControl w:val="0"/>
                    <w:suppressLineNumbers w:val="0"/>
                    <w:spacing w:before="0" w:beforeAutospacing="0" w:after="0" w:afterAutospacing="0" w:line="240" w:lineRule="auto"/>
                    <w:ind w:left="0" w:leftChars="0" w:right="0" w:rightChars="0" w:firstLine="0" w:firstLineChars="0"/>
                    <w:jc w:val="center"/>
                    <w:rPr>
                      <w:rFonts w:hint="default" w:ascii="Times New Roman" w:hAnsi="Times New Roman" w:eastAsia="宋体" w:cs="Times New Roman"/>
                      <w:color w:val="auto"/>
                      <w:kern w:val="0"/>
                      <w:sz w:val="21"/>
                      <w:szCs w:val="21"/>
                      <w:highlight w:val="none"/>
                      <w:lang w:val="en-US" w:eastAsia="zh-CN" w:bidi="ar-SA"/>
                    </w:rPr>
                  </w:pPr>
                  <w:r>
                    <w:rPr>
                      <w:rFonts w:hint="eastAsia" w:ascii="Times New Roman" w:hAnsi="Times New Roman" w:eastAsia="宋体" w:cs="Times New Roman"/>
                      <w:color w:val="auto"/>
                      <w:sz w:val="21"/>
                      <w:szCs w:val="21"/>
                      <w:highlight w:val="none"/>
                      <w:lang w:val="en-US" w:eastAsia="zh-CN"/>
                    </w:rPr>
                    <w:t>48</w:t>
                  </w:r>
                </w:p>
              </w:tc>
              <w:tc>
                <w:tcPr>
                  <w:tcW w:w="625" w:type="pct"/>
                  <w:vMerge w:val="continue"/>
                  <w:tcBorders>
                    <w:tl2br w:val="nil"/>
                    <w:tr2bl w:val="nil"/>
                  </w:tcBorders>
                  <w:noWrap w:val="0"/>
                  <w:vAlign w:val="center"/>
                </w:tcPr>
                <w:p w14:paraId="207E1561">
                  <w:pPr>
                    <w:pStyle w:val="27"/>
                    <w:keepNext w:val="0"/>
                    <w:keepLines w:val="0"/>
                    <w:widowControl w:val="0"/>
                    <w:suppressLineNumbers w:val="0"/>
                    <w:spacing w:before="0" w:beforeAutospacing="0" w:after="0" w:afterAutospacing="0" w:line="240" w:lineRule="auto"/>
                    <w:ind w:left="0" w:leftChars="0" w:right="0" w:rightChars="0" w:firstLine="0" w:firstLineChars="0"/>
                    <w:jc w:val="center"/>
                    <w:rPr>
                      <w:rFonts w:hint="default" w:ascii="Times New Roman" w:hAnsi="Times New Roman" w:eastAsia="宋体" w:cs="Times New Roman"/>
                      <w:color w:val="auto"/>
                      <w:sz w:val="21"/>
                      <w:szCs w:val="21"/>
                      <w:highlight w:val="none"/>
                      <w:lang w:val="en-US" w:eastAsia="zh-CN"/>
                    </w:rPr>
                  </w:pPr>
                </w:p>
              </w:tc>
              <w:tc>
                <w:tcPr>
                  <w:tcW w:w="785" w:type="pct"/>
                  <w:tcBorders>
                    <w:tl2br w:val="nil"/>
                    <w:tr2bl w:val="nil"/>
                  </w:tcBorders>
                  <w:shd w:val="clear" w:color="auto" w:fill="auto"/>
                  <w:noWrap w:val="0"/>
                  <w:vAlign w:val="center"/>
                </w:tcPr>
                <w:p w14:paraId="2A15CD58">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64" w:lineRule="auto"/>
                    <w:ind w:left="0" w:leftChars="0" w:right="0" w:rightChars="0"/>
                    <w:jc w:val="center"/>
                    <w:textAlignment w:val="auto"/>
                    <w:rPr>
                      <w:rFonts w:hint="eastAsia" w:ascii="Times New Roman" w:hAnsi="Times New Roman" w:eastAsia="宋体" w:cs="Times New Roman"/>
                      <w:bCs/>
                      <w:kern w:val="0"/>
                      <w:sz w:val="21"/>
                      <w:szCs w:val="21"/>
                      <w:highlight w:val="none"/>
                      <w:lang w:val="en-US" w:eastAsia="zh-CN" w:bidi="ar-SA"/>
                    </w:rPr>
                  </w:pPr>
                  <w:r>
                    <w:rPr>
                      <w:rFonts w:hint="eastAsia" w:ascii="Times New Roman" w:hAnsi="Times New Roman" w:eastAsia="宋体" w:cs="Times New Roman"/>
                      <w:bCs/>
                      <w:kern w:val="0"/>
                      <w:sz w:val="21"/>
                      <w:szCs w:val="21"/>
                      <w:highlight w:val="none"/>
                      <w:lang w:val="en-US" w:eastAsia="zh-CN"/>
                    </w:rPr>
                    <w:t>氯化氢</w:t>
                  </w:r>
                </w:p>
              </w:tc>
              <w:tc>
                <w:tcPr>
                  <w:tcW w:w="3277" w:type="pct"/>
                  <w:gridSpan w:val="3"/>
                  <w:tcBorders>
                    <w:tl2br w:val="nil"/>
                    <w:tr2bl w:val="nil"/>
                  </w:tcBorders>
                  <w:shd w:val="clear" w:color="auto" w:fill="auto"/>
                  <w:noWrap w:val="0"/>
                  <w:vAlign w:val="center"/>
                </w:tcPr>
                <w:p w14:paraId="07CCFDA1">
                  <w:pPr>
                    <w:pStyle w:val="27"/>
                    <w:keepNext w:val="0"/>
                    <w:keepLines w:val="0"/>
                    <w:widowControl w:val="0"/>
                    <w:suppressLineNumbers w:val="0"/>
                    <w:spacing w:before="0" w:beforeAutospacing="0" w:after="0" w:afterAutospacing="0" w:line="240" w:lineRule="auto"/>
                    <w:ind w:left="0" w:leftChars="0" w:right="0" w:rightChars="0" w:firstLine="0" w:firstLineChars="0"/>
                    <w:jc w:val="center"/>
                    <w:rPr>
                      <w:rFonts w:hint="default" w:ascii="Times New Roman" w:hAnsi="Times New Roman" w:eastAsia="宋体" w:cs="Times New Roman"/>
                      <w:color w:val="auto"/>
                      <w:sz w:val="21"/>
                      <w:szCs w:val="21"/>
                      <w:highlight w:val="none"/>
                      <w:lang w:val="en-US" w:eastAsia="zh-CN"/>
                    </w:rPr>
                  </w:pPr>
                  <w:r>
                    <w:rPr>
                      <w:rFonts w:hint="eastAsia" w:ascii="Times New Roman" w:hAnsi="Times New Roman" w:eastAsia="宋体" w:cs="Times New Roman"/>
                      <w:bCs/>
                      <w:kern w:val="0"/>
                      <w:sz w:val="21"/>
                      <w:szCs w:val="21"/>
                      <w:highlight w:val="none"/>
                      <w:lang w:val="en-US" w:eastAsia="zh-CN"/>
                    </w:rPr>
                    <w:t>少量</w:t>
                  </w:r>
                </w:p>
              </w:tc>
            </w:tr>
            <w:tr w14:paraId="59D6CC00">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28" w:type="dxa"/>
                  <w:bottom w:w="0" w:type="dxa"/>
                  <w:right w:w="28" w:type="dxa"/>
                </w:tblCellMar>
              </w:tblPrEx>
              <w:trPr>
                <w:trHeight w:val="0" w:hRule="atLeast"/>
              </w:trPr>
              <w:tc>
                <w:tcPr>
                  <w:tcW w:w="311" w:type="pct"/>
                  <w:tcBorders>
                    <w:tl2br w:val="nil"/>
                    <w:tr2bl w:val="nil"/>
                  </w:tcBorders>
                  <w:shd w:val="clear" w:color="auto" w:fill="auto"/>
                  <w:noWrap w:val="0"/>
                  <w:vAlign w:val="center"/>
                </w:tcPr>
                <w:p w14:paraId="355AC341">
                  <w:pPr>
                    <w:pStyle w:val="27"/>
                    <w:keepNext w:val="0"/>
                    <w:keepLines w:val="0"/>
                    <w:widowControl w:val="0"/>
                    <w:suppressLineNumbers w:val="0"/>
                    <w:spacing w:before="0" w:beforeAutospacing="0" w:after="0" w:afterAutospacing="0" w:line="240" w:lineRule="auto"/>
                    <w:ind w:left="0" w:leftChars="0" w:right="0" w:rightChars="0" w:firstLine="0" w:firstLineChars="0"/>
                    <w:jc w:val="center"/>
                    <w:rPr>
                      <w:rFonts w:hint="default" w:ascii="Times New Roman" w:hAnsi="Times New Roman" w:eastAsia="宋体" w:cs="Times New Roman"/>
                      <w:color w:val="auto"/>
                      <w:kern w:val="0"/>
                      <w:sz w:val="21"/>
                      <w:szCs w:val="21"/>
                      <w:highlight w:val="none"/>
                      <w:lang w:val="en-US" w:eastAsia="zh-CN" w:bidi="ar-SA"/>
                    </w:rPr>
                  </w:pPr>
                  <w:r>
                    <w:rPr>
                      <w:rFonts w:hint="eastAsia" w:ascii="Times New Roman" w:hAnsi="Times New Roman" w:eastAsia="宋体" w:cs="Times New Roman"/>
                      <w:color w:val="auto"/>
                      <w:sz w:val="21"/>
                      <w:szCs w:val="21"/>
                      <w:highlight w:val="none"/>
                      <w:lang w:val="en-US" w:eastAsia="zh-CN"/>
                    </w:rPr>
                    <w:t>49</w:t>
                  </w:r>
                </w:p>
              </w:tc>
              <w:tc>
                <w:tcPr>
                  <w:tcW w:w="625" w:type="pct"/>
                  <w:vMerge w:val="continue"/>
                  <w:tcBorders>
                    <w:tl2br w:val="nil"/>
                    <w:tr2bl w:val="nil"/>
                  </w:tcBorders>
                  <w:noWrap w:val="0"/>
                  <w:vAlign w:val="center"/>
                </w:tcPr>
                <w:p w14:paraId="01C2A05A">
                  <w:pPr>
                    <w:pStyle w:val="27"/>
                    <w:keepNext w:val="0"/>
                    <w:keepLines w:val="0"/>
                    <w:widowControl w:val="0"/>
                    <w:suppressLineNumbers w:val="0"/>
                    <w:spacing w:before="0" w:beforeAutospacing="0" w:after="0" w:afterAutospacing="0" w:line="240" w:lineRule="auto"/>
                    <w:ind w:left="0" w:leftChars="0" w:right="0" w:rightChars="0" w:firstLine="0" w:firstLineChars="0"/>
                    <w:jc w:val="center"/>
                    <w:rPr>
                      <w:rFonts w:hint="default" w:ascii="Times New Roman" w:hAnsi="Times New Roman" w:eastAsia="宋体" w:cs="Times New Roman"/>
                      <w:color w:val="auto"/>
                      <w:sz w:val="21"/>
                      <w:szCs w:val="21"/>
                      <w:highlight w:val="none"/>
                      <w:lang w:val="en-US" w:eastAsia="zh-CN"/>
                    </w:rPr>
                  </w:pPr>
                </w:p>
              </w:tc>
              <w:tc>
                <w:tcPr>
                  <w:tcW w:w="785" w:type="pct"/>
                  <w:tcBorders>
                    <w:tl2br w:val="nil"/>
                    <w:tr2bl w:val="nil"/>
                  </w:tcBorders>
                  <w:shd w:val="clear" w:color="auto" w:fill="auto"/>
                  <w:noWrap w:val="0"/>
                  <w:vAlign w:val="center"/>
                </w:tcPr>
                <w:p w14:paraId="1F763D0B">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64" w:lineRule="auto"/>
                    <w:ind w:left="0" w:leftChars="0" w:right="0" w:rightChars="0"/>
                    <w:jc w:val="center"/>
                    <w:textAlignment w:val="auto"/>
                    <w:rPr>
                      <w:rFonts w:hint="eastAsia" w:ascii="Times New Roman" w:hAnsi="Times New Roman" w:eastAsia="宋体" w:cs="Times New Roman"/>
                      <w:bCs/>
                      <w:kern w:val="0"/>
                      <w:sz w:val="21"/>
                      <w:szCs w:val="21"/>
                      <w:highlight w:val="none"/>
                      <w:lang w:val="en-US" w:eastAsia="zh-CN" w:bidi="ar-SA"/>
                    </w:rPr>
                  </w:pPr>
                  <w:r>
                    <w:rPr>
                      <w:rFonts w:hint="eastAsia" w:ascii="Times New Roman" w:hAnsi="Times New Roman" w:eastAsia="宋体" w:cs="Times New Roman"/>
                      <w:bCs/>
                      <w:kern w:val="0"/>
                      <w:sz w:val="21"/>
                      <w:szCs w:val="21"/>
                      <w:highlight w:val="none"/>
                      <w:lang w:val="en-US" w:eastAsia="zh-CN"/>
                    </w:rPr>
                    <w:t>硫酸雾</w:t>
                  </w:r>
                </w:p>
              </w:tc>
              <w:tc>
                <w:tcPr>
                  <w:tcW w:w="3277" w:type="pct"/>
                  <w:gridSpan w:val="3"/>
                  <w:tcBorders>
                    <w:tl2br w:val="nil"/>
                    <w:tr2bl w:val="nil"/>
                  </w:tcBorders>
                  <w:shd w:val="clear" w:color="auto" w:fill="auto"/>
                  <w:noWrap w:val="0"/>
                  <w:vAlign w:val="center"/>
                </w:tcPr>
                <w:p w14:paraId="5030CC18">
                  <w:pPr>
                    <w:pStyle w:val="27"/>
                    <w:keepNext w:val="0"/>
                    <w:keepLines w:val="0"/>
                    <w:widowControl w:val="0"/>
                    <w:suppressLineNumbers w:val="0"/>
                    <w:spacing w:before="0" w:beforeAutospacing="0" w:after="0" w:afterAutospacing="0" w:line="240" w:lineRule="auto"/>
                    <w:ind w:left="0" w:leftChars="0" w:right="0" w:rightChars="0" w:firstLine="0" w:firstLineChars="0"/>
                    <w:jc w:val="center"/>
                    <w:rPr>
                      <w:rFonts w:hint="default" w:ascii="Times New Roman" w:hAnsi="Times New Roman" w:eastAsia="宋体" w:cs="Times New Roman"/>
                      <w:color w:val="auto"/>
                      <w:sz w:val="21"/>
                      <w:szCs w:val="21"/>
                      <w:highlight w:val="none"/>
                      <w:lang w:val="en-US" w:eastAsia="zh-CN"/>
                    </w:rPr>
                  </w:pPr>
                  <w:r>
                    <w:rPr>
                      <w:rFonts w:hint="eastAsia" w:ascii="Times New Roman" w:hAnsi="Times New Roman" w:eastAsia="宋体" w:cs="Times New Roman"/>
                      <w:bCs/>
                      <w:kern w:val="0"/>
                      <w:sz w:val="21"/>
                      <w:szCs w:val="21"/>
                      <w:highlight w:val="none"/>
                      <w:lang w:val="en-US" w:eastAsia="zh-CN"/>
                    </w:rPr>
                    <w:t>少量</w:t>
                  </w:r>
                </w:p>
              </w:tc>
            </w:tr>
            <w:tr w14:paraId="3BB1E07A">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28" w:type="dxa"/>
                  <w:bottom w:w="0" w:type="dxa"/>
                  <w:right w:w="28" w:type="dxa"/>
                </w:tblCellMar>
              </w:tblPrEx>
              <w:trPr>
                <w:trHeight w:val="0" w:hRule="atLeast"/>
              </w:trPr>
              <w:tc>
                <w:tcPr>
                  <w:tcW w:w="311" w:type="pct"/>
                  <w:tcBorders>
                    <w:tl2br w:val="nil"/>
                    <w:tr2bl w:val="nil"/>
                  </w:tcBorders>
                  <w:shd w:val="clear" w:color="auto" w:fill="auto"/>
                  <w:noWrap w:val="0"/>
                  <w:vAlign w:val="center"/>
                </w:tcPr>
                <w:p w14:paraId="4AB8E05B">
                  <w:pPr>
                    <w:pStyle w:val="27"/>
                    <w:keepNext w:val="0"/>
                    <w:keepLines w:val="0"/>
                    <w:widowControl w:val="0"/>
                    <w:suppressLineNumbers w:val="0"/>
                    <w:spacing w:before="0" w:beforeAutospacing="0" w:after="0" w:afterAutospacing="0" w:line="240" w:lineRule="auto"/>
                    <w:ind w:left="0" w:leftChars="0" w:right="0" w:rightChars="0" w:firstLine="0" w:firstLineChars="0"/>
                    <w:jc w:val="center"/>
                    <w:rPr>
                      <w:rFonts w:hint="default" w:ascii="Times New Roman" w:hAnsi="Times New Roman" w:eastAsia="宋体" w:cs="Times New Roman"/>
                      <w:color w:val="auto"/>
                      <w:kern w:val="0"/>
                      <w:sz w:val="21"/>
                      <w:szCs w:val="21"/>
                      <w:highlight w:val="none"/>
                      <w:lang w:val="en-US" w:eastAsia="zh-CN" w:bidi="ar-SA"/>
                    </w:rPr>
                  </w:pPr>
                  <w:r>
                    <w:rPr>
                      <w:rFonts w:hint="eastAsia" w:ascii="Times New Roman" w:hAnsi="Times New Roman" w:eastAsia="宋体" w:cs="Times New Roman"/>
                      <w:color w:val="auto"/>
                      <w:sz w:val="21"/>
                      <w:szCs w:val="21"/>
                      <w:highlight w:val="none"/>
                      <w:lang w:val="en-US" w:eastAsia="zh-CN"/>
                    </w:rPr>
                    <w:t>50</w:t>
                  </w:r>
                </w:p>
              </w:tc>
              <w:tc>
                <w:tcPr>
                  <w:tcW w:w="625" w:type="pct"/>
                  <w:vMerge w:val="restart"/>
                  <w:tcBorders>
                    <w:tl2br w:val="nil"/>
                    <w:tr2bl w:val="nil"/>
                  </w:tcBorders>
                  <w:noWrap w:val="0"/>
                  <w:vAlign w:val="center"/>
                </w:tcPr>
                <w:p w14:paraId="262B48DF">
                  <w:pPr>
                    <w:pStyle w:val="27"/>
                    <w:keepNext w:val="0"/>
                    <w:keepLines w:val="0"/>
                    <w:widowControl w:val="0"/>
                    <w:suppressLineNumbers w:val="0"/>
                    <w:spacing w:before="0" w:beforeAutospacing="0" w:after="0" w:afterAutospacing="0" w:line="240" w:lineRule="auto"/>
                    <w:ind w:left="0" w:leftChars="0" w:right="0" w:rightChars="0" w:firstLine="0" w:firstLineChars="0"/>
                    <w:jc w:val="center"/>
                    <w:rPr>
                      <w:rFonts w:hint="default" w:ascii="Times New Roman" w:hAnsi="Times New Roman" w:eastAsia="宋体" w:cs="Times New Roman"/>
                      <w:color w:val="auto"/>
                      <w:sz w:val="21"/>
                      <w:szCs w:val="21"/>
                      <w:highlight w:val="none"/>
                      <w:lang w:val="en-US" w:eastAsia="zh-CN"/>
                    </w:rPr>
                  </w:pPr>
                  <w:r>
                    <w:rPr>
                      <w:rFonts w:hint="eastAsia" w:ascii="Times New Roman" w:hAnsi="Times New Roman" w:eastAsia="宋体" w:cs="Times New Roman"/>
                      <w:color w:val="auto"/>
                      <w:sz w:val="21"/>
                      <w:szCs w:val="21"/>
                      <w:highlight w:val="none"/>
                      <w:lang w:val="en-US" w:eastAsia="zh-CN"/>
                    </w:rPr>
                    <w:t>DA018</w:t>
                  </w:r>
                </w:p>
              </w:tc>
              <w:tc>
                <w:tcPr>
                  <w:tcW w:w="785" w:type="pct"/>
                  <w:tcBorders>
                    <w:tl2br w:val="nil"/>
                    <w:tr2bl w:val="nil"/>
                  </w:tcBorders>
                  <w:shd w:val="clear" w:color="auto" w:fill="auto"/>
                  <w:noWrap w:val="0"/>
                  <w:vAlign w:val="center"/>
                </w:tcPr>
                <w:p w14:paraId="4C8ACB80">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64" w:lineRule="auto"/>
                    <w:ind w:left="0" w:leftChars="0" w:right="0" w:rightChars="0"/>
                    <w:jc w:val="center"/>
                    <w:textAlignment w:val="auto"/>
                    <w:rPr>
                      <w:rFonts w:hint="eastAsia" w:ascii="Times New Roman" w:hAnsi="Times New Roman" w:eastAsia="宋体" w:cs="Times New Roman"/>
                      <w:bCs/>
                      <w:kern w:val="0"/>
                      <w:sz w:val="21"/>
                      <w:szCs w:val="21"/>
                      <w:highlight w:val="none"/>
                      <w:lang w:val="en-US" w:eastAsia="zh-CN" w:bidi="ar-SA"/>
                    </w:rPr>
                  </w:pPr>
                  <w:r>
                    <w:rPr>
                      <w:rFonts w:hint="eastAsia" w:ascii="Times New Roman" w:hAnsi="Times New Roman" w:eastAsia="宋体" w:cs="Times New Roman"/>
                      <w:bCs/>
                      <w:kern w:val="0"/>
                      <w:sz w:val="21"/>
                      <w:szCs w:val="21"/>
                      <w:highlight w:val="none"/>
                      <w:lang w:val="en-US" w:eastAsia="zh-CN"/>
                    </w:rPr>
                    <w:t>非甲烷总烃</w:t>
                  </w:r>
                </w:p>
              </w:tc>
              <w:tc>
                <w:tcPr>
                  <w:tcW w:w="1048" w:type="pct"/>
                  <w:tcBorders>
                    <w:tl2br w:val="nil"/>
                    <w:tr2bl w:val="nil"/>
                  </w:tcBorders>
                  <w:shd w:val="clear" w:color="auto" w:fill="auto"/>
                  <w:noWrap w:val="0"/>
                  <w:vAlign w:val="center"/>
                </w:tcPr>
                <w:p w14:paraId="34FE9F6F">
                  <w:pPr>
                    <w:keepNext w:val="0"/>
                    <w:keepLines w:val="0"/>
                    <w:widowControl/>
                    <w:suppressLineNumbers w:val="0"/>
                    <w:spacing w:before="0" w:beforeAutospacing="0" w:after="0" w:afterAutospacing="0"/>
                    <w:ind w:left="0" w:leftChars="0" w:right="0" w:rightChars="0"/>
                    <w:jc w:val="center"/>
                    <w:textAlignment w:val="center"/>
                    <w:rPr>
                      <w:rFonts w:hint="default" w:ascii="Times New Roman" w:hAnsi="Times New Roman" w:eastAsia="宋体" w:cs="Times New Roman"/>
                      <w:b w:val="0"/>
                      <w:bCs w:val="0"/>
                      <w:kern w:val="2"/>
                      <w:sz w:val="21"/>
                      <w:szCs w:val="21"/>
                      <w:highlight w:val="none"/>
                      <w:lang w:val="en-US" w:eastAsia="zh-CN" w:bidi="ar"/>
                    </w:rPr>
                  </w:pPr>
                  <w:r>
                    <w:rPr>
                      <w:rFonts w:hint="eastAsia" w:ascii="Times New Roman" w:hAnsi="Times New Roman" w:eastAsia="宋体" w:cs="Times New Roman"/>
                      <w:bCs/>
                      <w:kern w:val="0"/>
                      <w:sz w:val="21"/>
                      <w:szCs w:val="21"/>
                      <w:highlight w:val="none"/>
                      <w:lang w:val="en-US" w:eastAsia="zh-CN"/>
                    </w:rPr>
                    <w:t>1.61</w:t>
                  </w:r>
                </w:p>
              </w:tc>
              <w:tc>
                <w:tcPr>
                  <w:tcW w:w="1152" w:type="pct"/>
                  <w:tcBorders>
                    <w:tl2br w:val="nil"/>
                    <w:tr2bl w:val="nil"/>
                  </w:tcBorders>
                  <w:shd w:val="clear" w:color="auto" w:fill="auto"/>
                  <w:noWrap w:val="0"/>
                  <w:vAlign w:val="center"/>
                </w:tcPr>
                <w:p w14:paraId="2CCA3D03">
                  <w:pPr>
                    <w:keepNext w:val="0"/>
                    <w:keepLines w:val="0"/>
                    <w:widowControl/>
                    <w:suppressLineNumbers w:val="0"/>
                    <w:spacing w:before="0" w:beforeAutospacing="0" w:after="0" w:afterAutospacing="0"/>
                    <w:ind w:left="0" w:leftChars="0" w:right="0" w:rightChars="0"/>
                    <w:jc w:val="center"/>
                    <w:textAlignment w:val="center"/>
                    <w:rPr>
                      <w:rFonts w:hint="default" w:ascii="Times New Roman" w:hAnsi="Times New Roman" w:eastAsia="宋体" w:cs="Times New Roman"/>
                      <w:b w:val="0"/>
                      <w:bCs w:val="0"/>
                      <w:kern w:val="2"/>
                      <w:sz w:val="21"/>
                      <w:szCs w:val="21"/>
                      <w:highlight w:val="none"/>
                      <w:lang w:val="en-US" w:eastAsia="zh-CN" w:bidi="ar"/>
                    </w:rPr>
                  </w:pPr>
                  <w:r>
                    <w:rPr>
                      <w:rFonts w:hint="default" w:ascii="Times New Roman" w:hAnsi="Times New Roman" w:eastAsia="宋体" w:cs="Times New Roman"/>
                      <w:i w:val="0"/>
                      <w:iCs w:val="0"/>
                      <w:color w:val="000000"/>
                      <w:kern w:val="0"/>
                      <w:sz w:val="21"/>
                      <w:szCs w:val="21"/>
                      <w:highlight w:val="none"/>
                      <w:u w:val="none"/>
                      <w:lang w:val="en-US" w:eastAsia="zh-CN" w:bidi="ar"/>
                    </w:rPr>
                    <w:t>0.082</w:t>
                  </w:r>
                </w:p>
              </w:tc>
              <w:tc>
                <w:tcPr>
                  <w:tcW w:w="1076" w:type="pct"/>
                  <w:tcBorders>
                    <w:tl2br w:val="nil"/>
                    <w:tr2bl w:val="nil"/>
                  </w:tcBorders>
                  <w:shd w:val="clear" w:color="auto" w:fill="auto"/>
                  <w:noWrap w:val="0"/>
                  <w:vAlign w:val="center"/>
                </w:tcPr>
                <w:p w14:paraId="38D88A5C">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64" w:lineRule="auto"/>
                    <w:ind w:left="0" w:leftChars="0" w:right="0" w:rightChars="0"/>
                    <w:jc w:val="center"/>
                    <w:textAlignment w:val="auto"/>
                    <w:rPr>
                      <w:rFonts w:hint="default" w:ascii="Times New Roman" w:hAnsi="Times New Roman" w:eastAsia="宋体" w:cs="Times New Roman"/>
                      <w:bCs/>
                      <w:kern w:val="0"/>
                      <w:sz w:val="21"/>
                      <w:szCs w:val="21"/>
                      <w:highlight w:val="none"/>
                      <w:lang w:val="en-US" w:eastAsia="zh-CN" w:bidi="ar-SA"/>
                    </w:rPr>
                  </w:pPr>
                  <w:r>
                    <w:rPr>
                      <w:rFonts w:hint="default" w:ascii="Times New Roman" w:hAnsi="Times New Roman" w:eastAsia="宋体" w:cs="Times New Roman"/>
                      <w:i w:val="0"/>
                      <w:iCs w:val="0"/>
                      <w:color w:val="000000"/>
                      <w:kern w:val="0"/>
                      <w:sz w:val="21"/>
                      <w:szCs w:val="21"/>
                      <w:highlight w:val="none"/>
                      <w:u w:val="none"/>
                      <w:lang w:val="en-US" w:eastAsia="zh-CN" w:bidi="ar"/>
                    </w:rPr>
                    <w:t>0.171</w:t>
                  </w:r>
                </w:p>
              </w:tc>
            </w:tr>
            <w:tr w14:paraId="35732DFC">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28" w:type="dxa"/>
                  <w:bottom w:w="0" w:type="dxa"/>
                  <w:right w:w="28" w:type="dxa"/>
                </w:tblCellMar>
              </w:tblPrEx>
              <w:trPr>
                <w:trHeight w:val="0" w:hRule="atLeast"/>
              </w:trPr>
              <w:tc>
                <w:tcPr>
                  <w:tcW w:w="311" w:type="pct"/>
                  <w:tcBorders>
                    <w:tl2br w:val="nil"/>
                    <w:tr2bl w:val="nil"/>
                  </w:tcBorders>
                  <w:noWrap w:val="0"/>
                  <w:vAlign w:val="center"/>
                </w:tcPr>
                <w:p w14:paraId="543A627B">
                  <w:pPr>
                    <w:pStyle w:val="27"/>
                    <w:keepNext w:val="0"/>
                    <w:keepLines w:val="0"/>
                    <w:widowControl w:val="0"/>
                    <w:suppressLineNumbers w:val="0"/>
                    <w:spacing w:before="0" w:beforeAutospacing="0" w:after="0" w:afterAutospacing="0" w:line="240" w:lineRule="auto"/>
                    <w:ind w:left="0" w:leftChars="0" w:right="0" w:rightChars="0" w:firstLine="0" w:firstLineChars="0"/>
                    <w:jc w:val="center"/>
                    <w:rPr>
                      <w:rFonts w:hint="default" w:ascii="Times New Roman" w:hAnsi="Times New Roman" w:eastAsia="宋体" w:cs="Times New Roman"/>
                      <w:color w:val="auto"/>
                      <w:sz w:val="21"/>
                      <w:szCs w:val="21"/>
                      <w:highlight w:val="none"/>
                      <w:lang w:val="en-US" w:eastAsia="zh-CN"/>
                    </w:rPr>
                  </w:pPr>
                  <w:r>
                    <w:rPr>
                      <w:rFonts w:hint="eastAsia" w:ascii="Times New Roman" w:hAnsi="Times New Roman" w:cs="Times New Roman"/>
                      <w:color w:val="auto"/>
                      <w:sz w:val="21"/>
                      <w:szCs w:val="21"/>
                      <w:highlight w:val="none"/>
                      <w:lang w:val="en-US" w:eastAsia="zh-CN"/>
                    </w:rPr>
                    <w:t>51</w:t>
                  </w:r>
                </w:p>
              </w:tc>
              <w:tc>
                <w:tcPr>
                  <w:tcW w:w="625" w:type="pct"/>
                  <w:vMerge w:val="continue"/>
                  <w:tcBorders>
                    <w:tl2br w:val="nil"/>
                    <w:tr2bl w:val="nil"/>
                  </w:tcBorders>
                  <w:noWrap w:val="0"/>
                  <w:vAlign w:val="center"/>
                </w:tcPr>
                <w:p w14:paraId="66B7BC59">
                  <w:pPr>
                    <w:pStyle w:val="27"/>
                    <w:keepNext w:val="0"/>
                    <w:keepLines w:val="0"/>
                    <w:widowControl w:val="0"/>
                    <w:suppressLineNumbers w:val="0"/>
                    <w:spacing w:before="0" w:beforeAutospacing="0" w:after="0" w:afterAutospacing="0" w:line="240" w:lineRule="auto"/>
                    <w:ind w:left="0" w:leftChars="0" w:right="0" w:rightChars="0" w:firstLine="0" w:firstLineChars="0"/>
                    <w:jc w:val="center"/>
                    <w:rPr>
                      <w:rFonts w:hint="default" w:ascii="Times New Roman" w:hAnsi="Times New Roman" w:eastAsia="宋体" w:cs="Times New Roman"/>
                      <w:color w:val="auto"/>
                      <w:sz w:val="21"/>
                      <w:szCs w:val="21"/>
                      <w:highlight w:val="none"/>
                      <w:lang w:val="en-US" w:eastAsia="zh-CN"/>
                    </w:rPr>
                  </w:pPr>
                </w:p>
              </w:tc>
              <w:tc>
                <w:tcPr>
                  <w:tcW w:w="785" w:type="pct"/>
                  <w:tcBorders>
                    <w:tl2br w:val="nil"/>
                    <w:tr2bl w:val="nil"/>
                  </w:tcBorders>
                  <w:shd w:val="clear" w:color="auto" w:fill="auto"/>
                  <w:noWrap w:val="0"/>
                  <w:vAlign w:val="center"/>
                </w:tcPr>
                <w:p w14:paraId="4BE5BA0E">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64" w:lineRule="auto"/>
                    <w:ind w:left="0" w:leftChars="0" w:right="0" w:rightChars="0"/>
                    <w:jc w:val="center"/>
                    <w:textAlignment w:val="auto"/>
                    <w:rPr>
                      <w:rFonts w:hint="eastAsia" w:ascii="Times New Roman" w:hAnsi="Times New Roman" w:eastAsia="宋体" w:cs="Times New Roman"/>
                      <w:bCs/>
                      <w:kern w:val="0"/>
                      <w:sz w:val="21"/>
                      <w:szCs w:val="21"/>
                      <w:highlight w:val="none"/>
                      <w:lang w:val="en-US" w:eastAsia="zh-CN" w:bidi="ar-SA"/>
                    </w:rPr>
                  </w:pPr>
                  <w:r>
                    <w:rPr>
                      <w:rFonts w:hint="eastAsia" w:ascii="Times New Roman" w:hAnsi="Times New Roman" w:eastAsia="宋体" w:cs="Times New Roman"/>
                      <w:bCs/>
                      <w:kern w:val="0"/>
                      <w:sz w:val="21"/>
                      <w:szCs w:val="21"/>
                      <w:highlight w:val="none"/>
                      <w:lang w:val="en-US" w:eastAsia="zh-CN"/>
                    </w:rPr>
                    <w:t>氯化氢</w:t>
                  </w:r>
                </w:p>
              </w:tc>
              <w:tc>
                <w:tcPr>
                  <w:tcW w:w="3277" w:type="pct"/>
                  <w:gridSpan w:val="3"/>
                  <w:tcBorders>
                    <w:tl2br w:val="nil"/>
                    <w:tr2bl w:val="nil"/>
                  </w:tcBorders>
                  <w:shd w:val="clear" w:color="auto" w:fill="auto"/>
                  <w:noWrap w:val="0"/>
                  <w:vAlign w:val="center"/>
                </w:tcPr>
                <w:p w14:paraId="6208379B">
                  <w:pPr>
                    <w:pStyle w:val="27"/>
                    <w:keepNext w:val="0"/>
                    <w:keepLines w:val="0"/>
                    <w:widowControl w:val="0"/>
                    <w:suppressLineNumbers w:val="0"/>
                    <w:spacing w:before="0" w:beforeAutospacing="0" w:after="0" w:afterAutospacing="0" w:line="240" w:lineRule="auto"/>
                    <w:ind w:left="0" w:leftChars="0" w:right="0" w:rightChars="0" w:firstLine="0" w:firstLineChars="0"/>
                    <w:jc w:val="center"/>
                    <w:rPr>
                      <w:rFonts w:hint="default" w:ascii="Times New Roman" w:hAnsi="Times New Roman" w:eastAsia="宋体" w:cs="Times New Roman"/>
                      <w:color w:val="auto"/>
                      <w:sz w:val="21"/>
                      <w:szCs w:val="21"/>
                      <w:highlight w:val="none"/>
                      <w:lang w:val="en-US" w:eastAsia="zh-CN"/>
                    </w:rPr>
                  </w:pPr>
                  <w:r>
                    <w:rPr>
                      <w:rFonts w:hint="eastAsia" w:ascii="Times New Roman" w:hAnsi="Times New Roman" w:eastAsia="宋体" w:cs="Times New Roman"/>
                      <w:bCs/>
                      <w:kern w:val="0"/>
                      <w:sz w:val="21"/>
                      <w:szCs w:val="21"/>
                      <w:highlight w:val="none"/>
                      <w:lang w:val="en-US" w:eastAsia="zh-CN"/>
                    </w:rPr>
                    <w:t>少量</w:t>
                  </w:r>
                </w:p>
              </w:tc>
            </w:tr>
            <w:tr w14:paraId="662EB86A">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28" w:type="dxa"/>
                  <w:bottom w:w="0" w:type="dxa"/>
                  <w:right w:w="28" w:type="dxa"/>
                </w:tblCellMar>
              </w:tblPrEx>
              <w:trPr>
                <w:trHeight w:val="0" w:hRule="atLeast"/>
              </w:trPr>
              <w:tc>
                <w:tcPr>
                  <w:tcW w:w="311" w:type="pct"/>
                  <w:tcBorders>
                    <w:tl2br w:val="nil"/>
                    <w:tr2bl w:val="nil"/>
                  </w:tcBorders>
                  <w:noWrap w:val="0"/>
                  <w:vAlign w:val="center"/>
                </w:tcPr>
                <w:p w14:paraId="3FD1F255">
                  <w:pPr>
                    <w:pStyle w:val="27"/>
                    <w:keepNext w:val="0"/>
                    <w:keepLines w:val="0"/>
                    <w:widowControl w:val="0"/>
                    <w:suppressLineNumbers w:val="0"/>
                    <w:spacing w:before="0" w:beforeAutospacing="0" w:after="0" w:afterAutospacing="0" w:line="240" w:lineRule="auto"/>
                    <w:ind w:left="0" w:leftChars="0" w:right="0" w:rightChars="0" w:firstLine="0" w:firstLineChars="0"/>
                    <w:jc w:val="center"/>
                    <w:rPr>
                      <w:rFonts w:hint="default" w:ascii="Times New Roman" w:hAnsi="Times New Roman" w:eastAsia="宋体" w:cs="Times New Roman"/>
                      <w:color w:val="auto"/>
                      <w:sz w:val="21"/>
                      <w:szCs w:val="21"/>
                      <w:highlight w:val="none"/>
                      <w:lang w:val="en-US" w:eastAsia="zh-CN"/>
                    </w:rPr>
                  </w:pPr>
                  <w:r>
                    <w:rPr>
                      <w:rFonts w:hint="eastAsia" w:ascii="Times New Roman" w:hAnsi="Times New Roman" w:cs="Times New Roman"/>
                      <w:color w:val="auto"/>
                      <w:sz w:val="21"/>
                      <w:szCs w:val="21"/>
                      <w:highlight w:val="none"/>
                      <w:lang w:val="en-US" w:eastAsia="zh-CN"/>
                    </w:rPr>
                    <w:t>52</w:t>
                  </w:r>
                </w:p>
              </w:tc>
              <w:tc>
                <w:tcPr>
                  <w:tcW w:w="625" w:type="pct"/>
                  <w:vMerge w:val="continue"/>
                  <w:tcBorders>
                    <w:tl2br w:val="nil"/>
                    <w:tr2bl w:val="nil"/>
                  </w:tcBorders>
                  <w:noWrap w:val="0"/>
                  <w:vAlign w:val="center"/>
                </w:tcPr>
                <w:p w14:paraId="096DF78E">
                  <w:pPr>
                    <w:pStyle w:val="27"/>
                    <w:keepNext w:val="0"/>
                    <w:keepLines w:val="0"/>
                    <w:widowControl w:val="0"/>
                    <w:suppressLineNumbers w:val="0"/>
                    <w:spacing w:before="0" w:beforeAutospacing="0" w:after="0" w:afterAutospacing="0" w:line="240" w:lineRule="auto"/>
                    <w:ind w:left="0" w:leftChars="0" w:right="0" w:rightChars="0" w:firstLine="0" w:firstLineChars="0"/>
                    <w:jc w:val="center"/>
                    <w:rPr>
                      <w:rFonts w:hint="default" w:ascii="Times New Roman" w:hAnsi="Times New Roman" w:eastAsia="宋体" w:cs="Times New Roman"/>
                      <w:color w:val="auto"/>
                      <w:sz w:val="21"/>
                      <w:szCs w:val="21"/>
                      <w:highlight w:val="none"/>
                      <w:lang w:val="en-US" w:eastAsia="zh-CN"/>
                    </w:rPr>
                  </w:pPr>
                </w:p>
              </w:tc>
              <w:tc>
                <w:tcPr>
                  <w:tcW w:w="785" w:type="pct"/>
                  <w:tcBorders>
                    <w:tl2br w:val="nil"/>
                    <w:tr2bl w:val="nil"/>
                  </w:tcBorders>
                  <w:shd w:val="clear" w:color="auto" w:fill="auto"/>
                  <w:noWrap w:val="0"/>
                  <w:vAlign w:val="center"/>
                </w:tcPr>
                <w:p w14:paraId="3F7CB974">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64" w:lineRule="auto"/>
                    <w:ind w:left="0" w:leftChars="0" w:right="0" w:rightChars="0"/>
                    <w:jc w:val="center"/>
                    <w:textAlignment w:val="auto"/>
                    <w:rPr>
                      <w:rFonts w:hint="eastAsia" w:ascii="Times New Roman" w:hAnsi="Times New Roman" w:eastAsia="宋体" w:cs="Times New Roman"/>
                      <w:bCs/>
                      <w:kern w:val="0"/>
                      <w:sz w:val="21"/>
                      <w:szCs w:val="21"/>
                      <w:highlight w:val="none"/>
                      <w:lang w:val="en-US" w:eastAsia="zh-CN" w:bidi="ar-SA"/>
                    </w:rPr>
                  </w:pPr>
                  <w:r>
                    <w:rPr>
                      <w:rFonts w:hint="eastAsia" w:ascii="Times New Roman" w:hAnsi="Times New Roman" w:eastAsia="宋体" w:cs="Times New Roman"/>
                      <w:bCs/>
                      <w:kern w:val="0"/>
                      <w:sz w:val="21"/>
                      <w:szCs w:val="21"/>
                      <w:highlight w:val="none"/>
                      <w:lang w:val="en-US" w:eastAsia="zh-CN"/>
                    </w:rPr>
                    <w:t>硫酸雾</w:t>
                  </w:r>
                </w:p>
              </w:tc>
              <w:tc>
                <w:tcPr>
                  <w:tcW w:w="3277" w:type="pct"/>
                  <w:gridSpan w:val="3"/>
                  <w:tcBorders>
                    <w:tl2br w:val="nil"/>
                    <w:tr2bl w:val="nil"/>
                  </w:tcBorders>
                  <w:shd w:val="clear" w:color="auto" w:fill="auto"/>
                  <w:noWrap w:val="0"/>
                  <w:vAlign w:val="center"/>
                </w:tcPr>
                <w:p w14:paraId="64C00178">
                  <w:pPr>
                    <w:pStyle w:val="27"/>
                    <w:keepNext w:val="0"/>
                    <w:keepLines w:val="0"/>
                    <w:widowControl w:val="0"/>
                    <w:suppressLineNumbers w:val="0"/>
                    <w:spacing w:before="0" w:beforeAutospacing="0" w:after="0" w:afterAutospacing="0" w:line="240" w:lineRule="auto"/>
                    <w:ind w:left="0" w:leftChars="0" w:right="0" w:rightChars="0" w:firstLine="0" w:firstLineChars="0"/>
                    <w:jc w:val="center"/>
                    <w:rPr>
                      <w:rFonts w:hint="default" w:ascii="Times New Roman" w:hAnsi="Times New Roman" w:eastAsia="宋体" w:cs="Times New Roman"/>
                      <w:color w:val="auto"/>
                      <w:sz w:val="21"/>
                      <w:szCs w:val="21"/>
                      <w:highlight w:val="none"/>
                      <w:lang w:val="en-US" w:eastAsia="zh-CN"/>
                    </w:rPr>
                  </w:pPr>
                  <w:r>
                    <w:rPr>
                      <w:rFonts w:hint="eastAsia" w:ascii="Times New Roman" w:hAnsi="Times New Roman" w:eastAsia="宋体" w:cs="Times New Roman"/>
                      <w:bCs/>
                      <w:kern w:val="0"/>
                      <w:sz w:val="21"/>
                      <w:szCs w:val="21"/>
                      <w:highlight w:val="none"/>
                      <w:lang w:val="en-US" w:eastAsia="zh-CN"/>
                    </w:rPr>
                    <w:t>少量</w:t>
                  </w:r>
                </w:p>
              </w:tc>
            </w:tr>
            <w:tr w14:paraId="4FEE9F14">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28" w:type="dxa"/>
                  <w:bottom w:w="0" w:type="dxa"/>
                  <w:right w:w="28" w:type="dxa"/>
                </w:tblCellMar>
              </w:tblPrEx>
              <w:trPr>
                <w:trHeight w:val="305" w:hRule="atLeast"/>
              </w:trPr>
              <w:tc>
                <w:tcPr>
                  <w:tcW w:w="311" w:type="pct"/>
                  <w:tcBorders>
                    <w:tl2br w:val="nil"/>
                    <w:tr2bl w:val="nil"/>
                  </w:tcBorders>
                  <w:noWrap w:val="0"/>
                  <w:vAlign w:val="center"/>
                </w:tcPr>
                <w:p w14:paraId="7A32316B">
                  <w:pPr>
                    <w:pStyle w:val="27"/>
                    <w:keepNext w:val="0"/>
                    <w:keepLines w:val="0"/>
                    <w:widowControl w:val="0"/>
                    <w:suppressLineNumbers w:val="0"/>
                    <w:spacing w:before="0" w:beforeAutospacing="0" w:after="0" w:afterAutospacing="0" w:line="240" w:lineRule="auto"/>
                    <w:ind w:left="0" w:leftChars="0" w:right="0" w:rightChars="0" w:firstLine="0" w:firstLineChars="0"/>
                    <w:jc w:val="center"/>
                    <w:rPr>
                      <w:rFonts w:hint="default" w:ascii="Times New Roman" w:hAnsi="Times New Roman" w:eastAsia="宋体" w:cs="Times New Roman"/>
                      <w:color w:val="auto"/>
                      <w:sz w:val="21"/>
                      <w:szCs w:val="21"/>
                      <w:highlight w:val="none"/>
                      <w:lang w:val="en-US" w:eastAsia="zh-CN"/>
                    </w:rPr>
                  </w:pPr>
                  <w:r>
                    <w:rPr>
                      <w:rFonts w:hint="eastAsia" w:ascii="Times New Roman" w:hAnsi="Times New Roman" w:cs="Times New Roman"/>
                      <w:color w:val="auto"/>
                      <w:sz w:val="21"/>
                      <w:szCs w:val="21"/>
                      <w:highlight w:val="none"/>
                      <w:lang w:val="en-US" w:eastAsia="zh-CN"/>
                    </w:rPr>
                    <w:t>53</w:t>
                  </w:r>
                </w:p>
              </w:tc>
              <w:tc>
                <w:tcPr>
                  <w:tcW w:w="625" w:type="pct"/>
                  <w:vMerge w:val="restart"/>
                  <w:tcBorders>
                    <w:tl2br w:val="nil"/>
                    <w:tr2bl w:val="nil"/>
                  </w:tcBorders>
                  <w:noWrap w:val="0"/>
                  <w:vAlign w:val="center"/>
                </w:tcPr>
                <w:p w14:paraId="13D5758D">
                  <w:pPr>
                    <w:pStyle w:val="27"/>
                    <w:keepNext w:val="0"/>
                    <w:keepLines w:val="0"/>
                    <w:widowControl w:val="0"/>
                    <w:suppressLineNumbers w:val="0"/>
                    <w:spacing w:before="0" w:beforeAutospacing="0" w:after="0" w:afterAutospacing="0" w:line="240" w:lineRule="auto"/>
                    <w:ind w:left="0" w:leftChars="0" w:right="0" w:rightChars="0" w:firstLine="0" w:firstLineChars="0"/>
                    <w:jc w:val="center"/>
                    <w:rPr>
                      <w:rFonts w:hint="default" w:ascii="Times New Roman" w:hAnsi="Times New Roman" w:eastAsia="宋体" w:cs="Times New Roman"/>
                      <w:color w:val="auto"/>
                      <w:sz w:val="21"/>
                      <w:szCs w:val="21"/>
                      <w:highlight w:val="none"/>
                      <w:lang w:val="en-US" w:eastAsia="zh-CN"/>
                    </w:rPr>
                  </w:pPr>
                  <w:r>
                    <w:rPr>
                      <w:rFonts w:hint="eastAsia" w:ascii="Times New Roman" w:hAnsi="Times New Roman" w:eastAsia="宋体" w:cs="Times New Roman"/>
                      <w:color w:val="auto"/>
                      <w:sz w:val="21"/>
                      <w:szCs w:val="21"/>
                      <w:highlight w:val="none"/>
                      <w:lang w:val="en-US" w:eastAsia="zh-CN"/>
                    </w:rPr>
                    <w:t>DA019</w:t>
                  </w:r>
                </w:p>
              </w:tc>
              <w:tc>
                <w:tcPr>
                  <w:tcW w:w="785" w:type="pct"/>
                  <w:tcBorders>
                    <w:tl2br w:val="nil"/>
                    <w:tr2bl w:val="nil"/>
                  </w:tcBorders>
                  <w:shd w:val="clear" w:color="auto" w:fill="auto"/>
                  <w:noWrap w:val="0"/>
                  <w:vAlign w:val="center"/>
                </w:tcPr>
                <w:p w14:paraId="4C19FCBC">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64" w:lineRule="auto"/>
                    <w:ind w:left="0" w:leftChars="0" w:right="0" w:rightChars="0"/>
                    <w:jc w:val="center"/>
                    <w:textAlignment w:val="auto"/>
                    <w:rPr>
                      <w:rFonts w:hint="eastAsia" w:ascii="Times New Roman" w:hAnsi="Times New Roman" w:eastAsia="宋体" w:cs="Times New Roman"/>
                      <w:bCs/>
                      <w:kern w:val="0"/>
                      <w:sz w:val="21"/>
                      <w:szCs w:val="21"/>
                      <w:highlight w:val="none"/>
                      <w:lang w:val="en-US" w:eastAsia="zh-CN" w:bidi="ar-SA"/>
                    </w:rPr>
                  </w:pPr>
                  <w:r>
                    <w:rPr>
                      <w:rFonts w:hint="eastAsia" w:ascii="Times New Roman" w:hAnsi="Times New Roman" w:eastAsia="宋体" w:cs="Times New Roman"/>
                      <w:bCs/>
                      <w:kern w:val="0"/>
                      <w:sz w:val="21"/>
                      <w:szCs w:val="21"/>
                      <w:highlight w:val="none"/>
                      <w:lang w:val="en-US" w:eastAsia="zh-CN"/>
                    </w:rPr>
                    <w:t>非甲烷总烃</w:t>
                  </w:r>
                </w:p>
              </w:tc>
              <w:tc>
                <w:tcPr>
                  <w:tcW w:w="1048" w:type="pct"/>
                  <w:tcBorders>
                    <w:tl2br w:val="nil"/>
                    <w:tr2bl w:val="nil"/>
                  </w:tcBorders>
                  <w:shd w:val="clear" w:color="auto" w:fill="auto"/>
                  <w:noWrap w:val="0"/>
                  <w:vAlign w:val="center"/>
                </w:tcPr>
                <w:p w14:paraId="452FC3E0">
                  <w:pPr>
                    <w:keepNext w:val="0"/>
                    <w:keepLines w:val="0"/>
                    <w:widowControl/>
                    <w:suppressLineNumbers w:val="0"/>
                    <w:spacing w:before="0" w:beforeAutospacing="0" w:after="0" w:afterAutospacing="0"/>
                    <w:ind w:left="0" w:leftChars="0" w:right="0" w:rightChars="0"/>
                    <w:jc w:val="center"/>
                    <w:textAlignment w:val="center"/>
                    <w:rPr>
                      <w:rFonts w:hint="default" w:ascii="Times New Roman" w:hAnsi="Times New Roman" w:eastAsia="宋体" w:cs="Times New Roman"/>
                      <w:bCs/>
                      <w:kern w:val="0"/>
                      <w:sz w:val="21"/>
                      <w:szCs w:val="21"/>
                      <w:highlight w:val="none"/>
                      <w:lang w:val="en-US" w:eastAsia="zh-CN" w:bidi="ar-SA"/>
                    </w:rPr>
                  </w:pPr>
                  <w:r>
                    <w:rPr>
                      <w:rFonts w:hint="eastAsia" w:ascii="Times New Roman" w:hAnsi="Times New Roman" w:eastAsia="宋体" w:cs="Times New Roman"/>
                      <w:bCs/>
                      <w:kern w:val="0"/>
                      <w:sz w:val="21"/>
                      <w:szCs w:val="21"/>
                      <w:highlight w:val="none"/>
                      <w:lang w:val="en-US" w:eastAsia="zh-CN"/>
                    </w:rPr>
                    <w:t>1.19</w:t>
                  </w:r>
                </w:p>
              </w:tc>
              <w:tc>
                <w:tcPr>
                  <w:tcW w:w="1152" w:type="pct"/>
                  <w:tcBorders>
                    <w:tl2br w:val="nil"/>
                    <w:tr2bl w:val="nil"/>
                  </w:tcBorders>
                  <w:shd w:val="clear" w:color="auto" w:fill="auto"/>
                  <w:noWrap w:val="0"/>
                  <w:vAlign w:val="center"/>
                </w:tcPr>
                <w:p w14:paraId="441D9DA5">
                  <w:pPr>
                    <w:keepNext w:val="0"/>
                    <w:keepLines w:val="0"/>
                    <w:widowControl/>
                    <w:suppressLineNumbers w:val="0"/>
                    <w:spacing w:before="0" w:beforeAutospacing="0" w:after="0" w:afterAutospacing="0"/>
                    <w:ind w:left="0" w:leftChars="0" w:right="0" w:rightChars="0"/>
                    <w:jc w:val="center"/>
                    <w:textAlignment w:val="center"/>
                    <w:rPr>
                      <w:rFonts w:hint="default" w:ascii="Times New Roman" w:hAnsi="Times New Roman" w:eastAsia="宋体" w:cs="Times New Roman"/>
                      <w:bCs/>
                      <w:kern w:val="0"/>
                      <w:sz w:val="21"/>
                      <w:szCs w:val="21"/>
                      <w:highlight w:val="none"/>
                      <w:lang w:val="en-US" w:eastAsia="zh-CN" w:bidi="ar-SA"/>
                    </w:rPr>
                  </w:pPr>
                  <w:r>
                    <w:rPr>
                      <w:rFonts w:hint="default" w:ascii="Times New Roman" w:hAnsi="Times New Roman" w:eastAsia="宋体" w:cs="Times New Roman"/>
                      <w:i w:val="0"/>
                      <w:iCs w:val="0"/>
                      <w:color w:val="000000"/>
                      <w:kern w:val="0"/>
                      <w:sz w:val="21"/>
                      <w:szCs w:val="21"/>
                      <w:highlight w:val="none"/>
                      <w:u w:val="none"/>
                      <w:lang w:val="en-US" w:eastAsia="zh-CN" w:bidi="ar"/>
                    </w:rPr>
                    <w:t>0.041</w:t>
                  </w:r>
                </w:p>
              </w:tc>
              <w:tc>
                <w:tcPr>
                  <w:tcW w:w="1076" w:type="pct"/>
                  <w:tcBorders>
                    <w:tl2br w:val="nil"/>
                    <w:tr2bl w:val="nil"/>
                  </w:tcBorders>
                  <w:shd w:val="clear" w:color="auto" w:fill="auto"/>
                  <w:noWrap w:val="0"/>
                  <w:vAlign w:val="center"/>
                </w:tcPr>
                <w:p w14:paraId="7D2D8F10">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64" w:lineRule="auto"/>
                    <w:ind w:left="0" w:leftChars="0" w:right="0" w:rightChars="0"/>
                    <w:jc w:val="center"/>
                    <w:textAlignment w:val="auto"/>
                    <w:rPr>
                      <w:rFonts w:hint="default" w:ascii="Times New Roman" w:hAnsi="Times New Roman" w:eastAsia="宋体" w:cs="Times New Roman"/>
                      <w:bCs/>
                      <w:kern w:val="0"/>
                      <w:sz w:val="21"/>
                      <w:szCs w:val="21"/>
                      <w:highlight w:val="none"/>
                      <w:lang w:val="en-US" w:eastAsia="zh-CN" w:bidi="ar-SA"/>
                    </w:rPr>
                  </w:pPr>
                  <w:r>
                    <w:rPr>
                      <w:rFonts w:hint="default" w:ascii="Times New Roman" w:hAnsi="Times New Roman" w:eastAsia="宋体" w:cs="Times New Roman"/>
                      <w:i w:val="0"/>
                      <w:iCs w:val="0"/>
                      <w:color w:val="000000"/>
                      <w:kern w:val="0"/>
                      <w:sz w:val="21"/>
                      <w:szCs w:val="21"/>
                      <w:highlight w:val="none"/>
                      <w:u w:val="none"/>
                      <w:lang w:val="en-US" w:eastAsia="zh-CN" w:bidi="ar"/>
                    </w:rPr>
                    <w:t>0.085</w:t>
                  </w:r>
                </w:p>
              </w:tc>
            </w:tr>
            <w:tr w14:paraId="22215FF3">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28" w:type="dxa"/>
                  <w:bottom w:w="0" w:type="dxa"/>
                  <w:right w:w="28" w:type="dxa"/>
                </w:tblCellMar>
              </w:tblPrEx>
              <w:trPr>
                <w:trHeight w:val="0" w:hRule="atLeast"/>
              </w:trPr>
              <w:tc>
                <w:tcPr>
                  <w:tcW w:w="311" w:type="pct"/>
                  <w:tcBorders>
                    <w:tl2br w:val="nil"/>
                    <w:tr2bl w:val="nil"/>
                  </w:tcBorders>
                  <w:noWrap w:val="0"/>
                  <w:vAlign w:val="center"/>
                </w:tcPr>
                <w:p w14:paraId="27927CBB">
                  <w:pPr>
                    <w:pStyle w:val="27"/>
                    <w:keepNext w:val="0"/>
                    <w:keepLines w:val="0"/>
                    <w:widowControl w:val="0"/>
                    <w:suppressLineNumbers w:val="0"/>
                    <w:spacing w:before="0" w:beforeAutospacing="0" w:after="0" w:afterAutospacing="0" w:line="240" w:lineRule="auto"/>
                    <w:ind w:left="0" w:leftChars="0" w:right="0" w:rightChars="0" w:firstLine="0" w:firstLineChars="0"/>
                    <w:jc w:val="center"/>
                    <w:rPr>
                      <w:rFonts w:hint="default" w:ascii="Times New Roman" w:hAnsi="Times New Roman" w:eastAsia="宋体" w:cs="Times New Roman"/>
                      <w:color w:val="auto"/>
                      <w:sz w:val="21"/>
                      <w:szCs w:val="21"/>
                      <w:highlight w:val="none"/>
                      <w:lang w:val="en-US" w:eastAsia="zh-CN"/>
                    </w:rPr>
                  </w:pPr>
                  <w:r>
                    <w:rPr>
                      <w:rFonts w:hint="eastAsia" w:ascii="Times New Roman" w:hAnsi="Times New Roman" w:cs="Times New Roman"/>
                      <w:color w:val="auto"/>
                      <w:sz w:val="21"/>
                      <w:szCs w:val="21"/>
                      <w:highlight w:val="none"/>
                      <w:lang w:val="en-US" w:eastAsia="zh-CN"/>
                    </w:rPr>
                    <w:t>54</w:t>
                  </w:r>
                </w:p>
              </w:tc>
              <w:tc>
                <w:tcPr>
                  <w:tcW w:w="625" w:type="pct"/>
                  <w:vMerge w:val="continue"/>
                  <w:tcBorders>
                    <w:tl2br w:val="nil"/>
                    <w:tr2bl w:val="nil"/>
                  </w:tcBorders>
                  <w:noWrap w:val="0"/>
                  <w:vAlign w:val="center"/>
                </w:tcPr>
                <w:p w14:paraId="662915A5">
                  <w:pPr>
                    <w:pStyle w:val="27"/>
                    <w:keepNext w:val="0"/>
                    <w:keepLines w:val="0"/>
                    <w:widowControl w:val="0"/>
                    <w:suppressLineNumbers w:val="0"/>
                    <w:spacing w:before="0" w:beforeAutospacing="0" w:after="0" w:afterAutospacing="0" w:line="240" w:lineRule="auto"/>
                    <w:ind w:left="0" w:leftChars="0" w:right="0" w:rightChars="0" w:firstLine="0" w:firstLineChars="0"/>
                    <w:jc w:val="center"/>
                    <w:rPr>
                      <w:rFonts w:hint="default" w:ascii="Times New Roman" w:hAnsi="Times New Roman" w:eastAsia="宋体" w:cs="Times New Roman"/>
                      <w:color w:val="auto"/>
                      <w:sz w:val="21"/>
                      <w:szCs w:val="21"/>
                      <w:highlight w:val="none"/>
                      <w:lang w:val="en-US" w:eastAsia="zh-CN"/>
                    </w:rPr>
                  </w:pPr>
                </w:p>
              </w:tc>
              <w:tc>
                <w:tcPr>
                  <w:tcW w:w="785" w:type="pct"/>
                  <w:tcBorders>
                    <w:tl2br w:val="nil"/>
                    <w:tr2bl w:val="nil"/>
                  </w:tcBorders>
                  <w:shd w:val="clear" w:color="auto" w:fill="auto"/>
                  <w:noWrap w:val="0"/>
                  <w:vAlign w:val="center"/>
                </w:tcPr>
                <w:p w14:paraId="7C5170F0">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64" w:lineRule="auto"/>
                    <w:ind w:left="0" w:leftChars="0" w:right="0" w:rightChars="0"/>
                    <w:jc w:val="center"/>
                    <w:textAlignment w:val="auto"/>
                    <w:rPr>
                      <w:rFonts w:hint="eastAsia" w:ascii="Times New Roman" w:hAnsi="Times New Roman" w:eastAsia="宋体" w:cs="Times New Roman"/>
                      <w:bCs/>
                      <w:kern w:val="0"/>
                      <w:sz w:val="21"/>
                      <w:szCs w:val="21"/>
                      <w:highlight w:val="none"/>
                      <w:lang w:val="en-US" w:eastAsia="zh-CN" w:bidi="ar-SA"/>
                    </w:rPr>
                  </w:pPr>
                  <w:r>
                    <w:rPr>
                      <w:rFonts w:hint="eastAsia" w:ascii="Times New Roman" w:hAnsi="Times New Roman" w:eastAsia="宋体" w:cs="Times New Roman"/>
                      <w:bCs/>
                      <w:kern w:val="0"/>
                      <w:sz w:val="21"/>
                      <w:szCs w:val="21"/>
                      <w:highlight w:val="none"/>
                      <w:lang w:val="en-US" w:eastAsia="zh-CN"/>
                    </w:rPr>
                    <w:t>氯化氢</w:t>
                  </w:r>
                </w:p>
              </w:tc>
              <w:tc>
                <w:tcPr>
                  <w:tcW w:w="3277" w:type="pct"/>
                  <w:gridSpan w:val="3"/>
                  <w:tcBorders>
                    <w:tl2br w:val="nil"/>
                    <w:tr2bl w:val="nil"/>
                  </w:tcBorders>
                  <w:shd w:val="clear" w:color="auto" w:fill="auto"/>
                  <w:noWrap w:val="0"/>
                  <w:vAlign w:val="center"/>
                </w:tcPr>
                <w:p w14:paraId="0C4313F9">
                  <w:pPr>
                    <w:pStyle w:val="27"/>
                    <w:keepNext w:val="0"/>
                    <w:keepLines w:val="0"/>
                    <w:widowControl w:val="0"/>
                    <w:suppressLineNumbers w:val="0"/>
                    <w:spacing w:before="0" w:beforeAutospacing="0" w:after="0" w:afterAutospacing="0" w:line="240" w:lineRule="auto"/>
                    <w:ind w:left="0" w:leftChars="0" w:right="0" w:rightChars="0" w:firstLine="0" w:firstLineChars="0"/>
                    <w:jc w:val="center"/>
                    <w:rPr>
                      <w:rFonts w:hint="default" w:ascii="Times New Roman" w:hAnsi="Times New Roman" w:eastAsia="宋体" w:cs="Times New Roman"/>
                      <w:color w:val="auto"/>
                      <w:sz w:val="21"/>
                      <w:szCs w:val="21"/>
                      <w:highlight w:val="none"/>
                      <w:lang w:val="en-US" w:eastAsia="zh-CN"/>
                    </w:rPr>
                  </w:pPr>
                  <w:r>
                    <w:rPr>
                      <w:rFonts w:hint="eastAsia" w:ascii="Times New Roman" w:hAnsi="Times New Roman" w:eastAsia="宋体" w:cs="Times New Roman"/>
                      <w:bCs/>
                      <w:kern w:val="0"/>
                      <w:sz w:val="21"/>
                      <w:szCs w:val="21"/>
                      <w:highlight w:val="none"/>
                      <w:lang w:val="en-US" w:eastAsia="zh-CN"/>
                    </w:rPr>
                    <w:t>少量</w:t>
                  </w:r>
                </w:p>
              </w:tc>
            </w:tr>
            <w:tr w14:paraId="482CCED2">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28" w:type="dxa"/>
                  <w:bottom w:w="0" w:type="dxa"/>
                  <w:right w:w="28" w:type="dxa"/>
                </w:tblCellMar>
              </w:tblPrEx>
              <w:trPr>
                <w:trHeight w:val="0" w:hRule="atLeast"/>
              </w:trPr>
              <w:tc>
                <w:tcPr>
                  <w:tcW w:w="311" w:type="pct"/>
                  <w:tcBorders>
                    <w:tl2br w:val="nil"/>
                    <w:tr2bl w:val="nil"/>
                  </w:tcBorders>
                  <w:noWrap w:val="0"/>
                  <w:vAlign w:val="center"/>
                </w:tcPr>
                <w:p w14:paraId="239CE77F">
                  <w:pPr>
                    <w:pStyle w:val="27"/>
                    <w:keepNext w:val="0"/>
                    <w:keepLines w:val="0"/>
                    <w:widowControl w:val="0"/>
                    <w:suppressLineNumbers w:val="0"/>
                    <w:spacing w:before="0" w:beforeAutospacing="0" w:after="0" w:afterAutospacing="0" w:line="240" w:lineRule="auto"/>
                    <w:ind w:left="0" w:leftChars="0" w:right="0" w:rightChars="0" w:firstLine="0" w:firstLineChars="0"/>
                    <w:jc w:val="center"/>
                    <w:rPr>
                      <w:rFonts w:hint="default" w:ascii="Times New Roman" w:hAnsi="Times New Roman" w:eastAsia="宋体" w:cs="Times New Roman"/>
                      <w:color w:val="auto"/>
                      <w:sz w:val="21"/>
                      <w:szCs w:val="21"/>
                      <w:highlight w:val="none"/>
                      <w:lang w:val="en-US" w:eastAsia="zh-CN"/>
                    </w:rPr>
                  </w:pPr>
                  <w:r>
                    <w:rPr>
                      <w:rFonts w:hint="eastAsia" w:ascii="Times New Roman" w:hAnsi="Times New Roman" w:cs="Times New Roman"/>
                      <w:color w:val="auto"/>
                      <w:sz w:val="21"/>
                      <w:szCs w:val="21"/>
                      <w:highlight w:val="none"/>
                      <w:lang w:val="en-US" w:eastAsia="zh-CN"/>
                    </w:rPr>
                    <w:t>55</w:t>
                  </w:r>
                </w:p>
              </w:tc>
              <w:tc>
                <w:tcPr>
                  <w:tcW w:w="625" w:type="pct"/>
                  <w:vMerge w:val="continue"/>
                  <w:tcBorders>
                    <w:tl2br w:val="nil"/>
                    <w:tr2bl w:val="nil"/>
                  </w:tcBorders>
                  <w:noWrap w:val="0"/>
                  <w:vAlign w:val="center"/>
                </w:tcPr>
                <w:p w14:paraId="1A55C2B1">
                  <w:pPr>
                    <w:pStyle w:val="27"/>
                    <w:keepNext w:val="0"/>
                    <w:keepLines w:val="0"/>
                    <w:widowControl w:val="0"/>
                    <w:suppressLineNumbers w:val="0"/>
                    <w:spacing w:before="0" w:beforeAutospacing="0" w:after="0" w:afterAutospacing="0" w:line="240" w:lineRule="auto"/>
                    <w:ind w:left="0" w:leftChars="0" w:right="0" w:rightChars="0" w:firstLine="0" w:firstLineChars="0"/>
                    <w:jc w:val="center"/>
                    <w:rPr>
                      <w:rFonts w:hint="default" w:ascii="Times New Roman" w:hAnsi="Times New Roman" w:eastAsia="宋体" w:cs="Times New Roman"/>
                      <w:color w:val="auto"/>
                      <w:sz w:val="21"/>
                      <w:szCs w:val="21"/>
                      <w:highlight w:val="none"/>
                      <w:lang w:val="en-US" w:eastAsia="zh-CN"/>
                    </w:rPr>
                  </w:pPr>
                </w:p>
              </w:tc>
              <w:tc>
                <w:tcPr>
                  <w:tcW w:w="785" w:type="pct"/>
                  <w:tcBorders>
                    <w:tl2br w:val="nil"/>
                    <w:tr2bl w:val="nil"/>
                  </w:tcBorders>
                  <w:shd w:val="clear" w:color="auto" w:fill="auto"/>
                  <w:noWrap w:val="0"/>
                  <w:vAlign w:val="center"/>
                </w:tcPr>
                <w:p w14:paraId="267CF417">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64" w:lineRule="auto"/>
                    <w:ind w:left="0" w:leftChars="0" w:right="0" w:rightChars="0"/>
                    <w:jc w:val="center"/>
                    <w:textAlignment w:val="auto"/>
                    <w:rPr>
                      <w:rFonts w:hint="eastAsia" w:ascii="Times New Roman" w:hAnsi="Times New Roman" w:eastAsia="宋体" w:cs="Times New Roman"/>
                      <w:bCs/>
                      <w:kern w:val="0"/>
                      <w:sz w:val="21"/>
                      <w:szCs w:val="21"/>
                      <w:highlight w:val="none"/>
                      <w:lang w:val="en-US" w:eastAsia="zh-CN" w:bidi="ar-SA"/>
                    </w:rPr>
                  </w:pPr>
                  <w:r>
                    <w:rPr>
                      <w:rFonts w:hint="eastAsia" w:ascii="Times New Roman" w:hAnsi="Times New Roman" w:eastAsia="宋体" w:cs="Times New Roman"/>
                      <w:bCs/>
                      <w:kern w:val="0"/>
                      <w:sz w:val="21"/>
                      <w:szCs w:val="21"/>
                      <w:highlight w:val="none"/>
                      <w:lang w:val="en-US" w:eastAsia="zh-CN"/>
                    </w:rPr>
                    <w:t>硫酸雾</w:t>
                  </w:r>
                </w:p>
              </w:tc>
              <w:tc>
                <w:tcPr>
                  <w:tcW w:w="3277" w:type="pct"/>
                  <w:gridSpan w:val="3"/>
                  <w:tcBorders>
                    <w:tl2br w:val="nil"/>
                    <w:tr2bl w:val="nil"/>
                  </w:tcBorders>
                  <w:shd w:val="clear" w:color="auto" w:fill="auto"/>
                  <w:noWrap w:val="0"/>
                  <w:vAlign w:val="center"/>
                </w:tcPr>
                <w:p w14:paraId="5C8A267C">
                  <w:pPr>
                    <w:pStyle w:val="27"/>
                    <w:keepNext w:val="0"/>
                    <w:keepLines w:val="0"/>
                    <w:widowControl w:val="0"/>
                    <w:suppressLineNumbers w:val="0"/>
                    <w:spacing w:before="0" w:beforeAutospacing="0" w:after="0" w:afterAutospacing="0" w:line="240" w:lineRule="auto"/>
                    <w:ind w:left="0" w:leftChars="0" w:right="0" w:rightChars="0" w:firstLine="0" w:firstLineChars="0"/>
                    <w:jc w:val="center"/>
                    <w:rPr>
                      <w:rFonts w:hint="default" w:ascii="Times New Roman" w:hAnsi="Times New Roman" w:eastAsia="宋体" w:cs="Times New Roman"/>
                      <w:color w:val="auto"/>
                      <w:sz w:val="21"/>
                      <w:szCs w:val="21"/>
                      <w:highlight w:val="none"/>
                      <w:lang w:val="en-US" w:eastAsia="zh-CN"/>
                    </w:rPr>
                  </w:pPr>
                  <w:r>
                    <w:rPr>
                      <w:rFonts w:hint="eastAsia" w:ascii="Times New Roman" w:hAnsi="Times New Roman" w:eastAsia="宋体" w:cs="Times New Roman"/>
                      <w:bCs/>
                      <w:kern w:val="0"/>
                      <w:sz w:val="21"/>
                      <w:szCs w:val="21"/>
                      <w:highlight w:val="none"/>
                      <w:lang w:val="en-US" w:eastAsia="zh-CN"/>
                    </w:rPr>
                    <w:t>少量</w:t>
                  </w:r>
                </w:p>
              </w:tc>
            </w:tr>
            <w:tr w14:paraId="34BAEEB2">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28" w:type="dxa"/>
                  <w:bottom w:w="0" w:type="dxa"/>
                  <w:right w:w="28" w:type="dxa"/>
                </w:tblCellMar>
              </w:tblPrEx>
              <w:trPr>
                <w:trHeight w:val="0" w:hRule="atLeast"/>
              </w:trPr>
              <w:tc>
                <w:tcPr>
                  <w:tcW w:w="5000" w:type="pct"/>
                  <w:gridSpan w:val="6"/>
                  <w:tcBorders>
                    <w:tl2br w:val="nil"/>
                    <w:tr2bl w:val="nil"/>
                  </w:tcBorders>
                  <w:noWrap w:val="0"/>
                  <w:vAlign w:val="center"/>
                </w:tcPr>
                <w:p w14:paraId="06EBCD7D">
                  <w:pPr>
                    <w:pStyle w:val="27"/>
                    <w:keepNext w:val="0"/>
                    <w:keepLines w:val="0"/>
                    <w:widowControl w:val="0"/>
                    <w:suppressLineNumbers w:val="0"/>
                    <w:spacing w:before="0" w:beforeAutospacing="0" w:after="0" w:afterAutospacing="0" w:line="240" w:lineRule="auto"/>
                    <w:ind w:left="0" w:leftChars="0" w:right="0" w:rightChars="0" w:firstLine="0" w:firstLineChars="0"/>
                    <w:jc w:val="center"/>
                    <w:rPr>
                      <w:rFonts w:hint="default" w:ascii="Times New Roman" w:hAnsi="Times New Roman" w:eastAsia="宋体" w:cs="Times New Roman"/>
                      <w:color w:val="auto"/>
                      <w:sz w:val="21"/>
                      <w:szCs w:val="21"/>
                      <w:highlight w:val="none"/>
                      <w:lang w:val="en-US" w:eastAsia="zh-CN"/>
                    </w:rPr>
                  </w:pPr>
                  <w:r>
                    <w:rPr>
                      <w:rFonts w:hint="eastAsia" w:ascii="Times New Roman" w:hAnsi="Times New Roman" w:eastAsia="宋体" w:cs="Times New Roman"/>
                      <w:color w:val="auto"/>
                      <w:sz w:val="21"/>
                      <w:szCs w:val="21"/>
                      <w:highlight w:val="none"/>
                      <w:lang w:val="en-US" w:eastAsia="zh-CN"/>
                    </w:rPr>
                    <w:t>一般排放口</w:t>
                  </w:r>
                </w:p>
              </w:tc>
            </w:tr>
            <w:tr w14:paraId="3DD5F068">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28" w:type="dxa"/>
                  <w:bottom w:w="0" w:type="dxa"/>
                  <w:right w:w="28" w:type="dxa"/>
                </w:tblCellMar>
              </w:tblPrEx>
              <w:trPr>
                <w:trHeight w:val="0" w:hRule="atLeast"/>
              </w:trPr>
              <w:tc>
                <w:tcPr>
                  <w:tcW w:w="936" w:type="pct"/>
                  <w:gridSpan w:val="2"/>
                  <w:vMerge w:val="restart"/>
                  <w:tcBorders>
                    <w:tl2br w:val="nil"/>
                    <w:tr2bl w:val="nil"/>
                  </w:tcBorders>
                  <w:noWrap w:val="0"/>
                  <w:vAlign w:val="center"/>
                </w:tcPr>
                <w:p w14:paraId="50E17058">
                  <w:pPr>
                    <w:pStyle w:val="27"/>
                    <w:keepNext w:val="0"/>
                    <w:keepLines w:val="0"/>
                    <w:widowControl w:val="0"/>
                    <w:suppressLineNumbers w:val="0"/>
                    <w:spacing w:before="0" w:beforeAutospacing="0" w:after="0" w:afterAutospacing="0" w:line="240" w:lineRule="auto"/>
                    <w:ind w:left="0" w:leftChars="0" w:right="0" w:rightChars="0" w:firstLine="0" w:firstLineChars="0"/>
                    <w:jc w:val="center"/>
                    <w:rPr>
                      <w:rFonts w:hint="eastAsia" w:ascii="Times New Roman" w:hAnsi="Times New Roman" w:eastAsia="宋体" w:cs="Times New Roman"/>
                      <w:color w:val="auto"/>
                      <w:sz w:val="21"/>
                      <w:szCs w:val="21"/>
                      <w:highlight w:val="none"/>
                      <w:lang w:val="en-US" w:eastAsia="zh-CN"/>
                    </w:rPr>
                  </w:pPr>
                  <w:r>
                    <w:rPr>
                      <w:rFonts w:hint="eastAsia" w:ascii="Times New Roman" w:hAnsi="Times New Roman" w:eastAsia="宋体" w:cs="Times New Roman"/>
                      <w:color w:val="auto"/>
                      <w:sz w:val="21"/>
                      <w:szCs w:val="21"/>
                      <w:highlight w:val="none"/>
                      <w:lang w:val="en-US" w:eastAsia="zh-CN"/>
                    </w:rPr>
                    <w:t>一般排放口合计</w:t>
                  </w:r>
                </w:p>
              </w:tc>
              <w:tc>
                <w:tcPr>
                  <w:tcW w:w="2987" w:type="pct"/>
                  <w:gridSpan w:val="3"/>
                  <w:tcBorders>
                    <w:tl2br w:val="nil"/>
                    <w:tr2bl w:val="nil"/>
                  </w:tcBorders>
                  <w:shd w:val="clear" w:color="auto" w:fill="auto"/>
                  <w:noWrap w:val="0"/>
                  <w:vAlign w:val="center"/>
                </w:tcPr>
                <w:p w14:paraId="3415EB98">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64" w:lineRule="auto"/>
                    <w:ind w:left="0" w:leftChars="0" w:right="0" w:rightChars="0"/>
                    <w:jc w:val="center"/>
                    <w:textAlignment w:val="auto"/>
                    <w:rPr>
                      <w:rFonts w:hint="default" w:ascii="Times New Roman" w:hAnsi="Times New Roman" w:eastAsia="宋体" w:cs="Times New Roman"/>
                      <w:b/>
                      <w:bCs w:val="0"/>
                      <w:kern w:val="0"/>
                      <w:sz w:val="21"/>
                      <w:szCs w:val="21"/>
                      <w:highlight w:val="none"/>
                      <w:lang w:val="en-US" w:eastAsia="zh-CN" w:bidi="ar-SA"/>
                    </w:rPr>
                  </w:pPr>
                  <w:r>
                    <w:rPr>
                      <w:rFonts w:hint="default" w:ascii="Times New Roman" w:hAnsi="Times New Roman" w:eastAsia="宋体" w:cs="Times New Roman"/>
                      <w:b/>
                      <w:bCs w:val="0"/>
                      <w:kern w:val="0"/>
                      <w:sz w:val="21"/>
                      <w:szCs w:val="21"/>
                      <w:highlight w:val="none"/>
                    </w:rPr>
                    <w:t>氨</w:t>
                  </w:r>
                </w:p>
              </w:tc>
              <w:tc>
                <w:tcPr>
                  <w:tcW w:w="1076" w:type="pct"/>
                  <w:tcBorders>
                    <w:tl2br w:val="nil"/>
                    <w:tr2bl w:val="nil"/>
                  </w:tcBorders>
                  <w:shd w:val="clear" w:color="auto" w:fill="auto"/>
                  <w:noWrap w:val="0"/>
                  <w:vAlign w:val="center"/>
                </w:tcPr>
                <w:p w14:paraId="77506AF3">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64" w:lineRule="auto"/>
                    <w:ind w:left="0" w:leftChars="0" w:right="0" w:rightChars="0"/>
                    <w:jc w:val="center"/>
                    <w:textAlignment w:val="auto"/>
                    <w:rPr>
                      <w:rFonts w:hint="default" w:ascii="Times New Roman" w:hAnsi="Times New Roman" w:eastAsia="宋体" w:cs="Times New Roman"/>
                      <w:b/>
                      <w:bCs w:val="0"/>
                      <w:kern w:val="0"/>
                      <w:sz w:val="21"/>
                      <w:szCs w:val="21"/>
                      <w:highlight w:val="none"/>
                      <w:lang w:val="en-US" w:eastAsia="zh-CN" w:bidi="ar-SA"/>
                    </w:rPr>
                  </w:pPr>
                  <w:r>
                    <w:rPr>
                      <w:rFonts w:hint="eastAsia" w:ascii="Times New Roman" w:hAnsi="Times New Roman" w:eastAsia="宋体" w:cs="Times New Roman"/>
                      <w:b/>
                      <w:bCs w:val="0"/>
                      <w:kern w:val="0"/>
                      <w:sz w:val="21"/>
                      <w:szCs w:val="21"/>
                      <w:highlight w:val="none"/>
                      <w:lang w:val="en-US" w:eastAsia="zh-CN"/>
                    </w:rPr>
                    <w:t>0.04</w:t>
                  </w:r>
                  <w:r>
                    <w:rPr>
                      <w:rFonts w:hint="eastAsia" w:cs="Times New Roman"/>
                      <w:b/>
                      <w:bCs w:val="0"/>
                      <w:kern w:val="0"/>
                      <w:sz w:val="21"/>
                      <w:szCs w:val="21"/>
                      <w:highlight w:val="none"/>
                      <w:lang w:val="en-US" w:eastAsia="zh-CN"/>
                    </w:rPr>
                    <w:t>1</w:t>
                  </w:r>
                </w:p>
              </w:tc>
            </w:tr>
            <w:tr w14:paraId="4915AA48">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28" w:type="dxa"/>
                  <w:bottom w:w="0" w:type="dxa"/>
                  <w:right w:w="28" w:type="dxa"/>
                </w:tblCellMar>
              </w:tblPrEx>
              <w:trPr>
                <w:trHeight w:val="0" w:hRule="atLeast"/>
              </w:trPr>
              <w:tc>
                <w:tcPr>
                  <w:tcW w:w="936" w:type="pct"/>
                  <w:gridSpan w:val="2"/>
                  <w:vMerge w:val="continue"/>
                  <w:tcBorders>
                    <w:tl2br w:val="nil"/>
                    <w:tr2bl w:val="nil"/>
                  </w:tcBorders>
                  <w:noWrap w:val="0"/>
                  <w:vAlign w:val="center"/>
                </w:tcPr>
                <w:p w14:paraId="382EBFF0">
                  <w:pPr>
                    <w:pStyle w:val="27"/>
                    <w:keepNext w:val="0"/>
                    <w:keepLines w:val="0"/>
                    <w:widowControl w:val="0"/>
                    <w:suppressLineNumbers w:val="0"/>
                    <w:spacing w:before="0" w:beforeAutospacing="0" w:after="0" w:afterAutospacing="0" w:line="240" w:lineRule="auto"/>
                    <w:ind w:left="0" w:leftChars="0" w:right="0" w:rightChars="0" w:firstLine="0" w:firstLineChars="0"/>
                    <w:jc w:val="center"/>
                    <w:rPr>
                      <w:rFonts w:hint="eastAsia" w:ascii="Times New Roman" w:hAnsi="Times New Roman" w:eastAsia="宋体" w:cs="Times New Roman"/>
                      <w:color w:val="auto"/>
                      <w:sz w:val="21"/>
                      <w:szCs w:val="21"/>
                      <w:highlight w:val="none"/>
                      <w:lang w:val="en-US" w:eastAsia="zh-CN"/>
                    </w:rPr>
                  </w:pPr>
                </w:p>
              </w:tc>
              <w:tc>
                <w:tcPr>
                  <w:tcW w:w="2987" w:type="pct"/>
                  <w:gridSpan w:val="3"/>
                  <w:tcBorders>
                    <w:tl2br w:val="nil"/>
                    <w:tr2bl w:val="nil"/>
                  </w:tcBorders>
                  <w:shd w:val="clear" w:color="auto" w:fill="auto"/>
                  <w:noWrap w:val="0"/>
                  <w:vAlign w:val="center"/>
                </w:tcPr>
                <w:p w14:paraId="7698A058">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64" w:lineRule="auto"/>
                    <w:ind w:left="0" w:leftChars="0" w:right="0" w:rightChars="0"/>
                    <w:jc w:val="center"/>
                    <w:textAlignment w:val="auto"/>
                    <w:rPr>
                      <w:rFonts w:hint="default" w:ascii="Times New Roman" w:hAnsi="Times New Roman" w:eastAsia="宋体" w:cs="Times New Roman"/>
                      <w:b/>
                      <w:bCs w:val="0"/>
                      <w:kern w:val="0"/>
                      <w:sz w:val="21"/>
                      <w:szCs w:val="21"/>
                      <w:highlight w:val="none"/>
                      <w:lang w:val="en-US" w:eastAsia="zh-CN" w:bidi="ar-SA"/>
                    </w:rPr>
                  </w:pPr>
                  <w:r>
                    <w:rPr>
                      <w:rFonts w:hint="default" w:ascii="Times New Roman" w:hAnsi="Times New Roman" w:eastAsia="宋体" w:cs="Times New Roman"/>
                      <w:b/>
                      <w:bCs w:val="0"/>
                      <w:kern w:val="0"/>
                      <w:sz w:val="21"/>
                      <w:szCs w:val="21"/>
                      <w:highlight w:val="none"/>
                    </w:rPr>
                    <w:t>硫化氢</w:t>
                  </w:r>
                </w:p>
              </w:tc>
              <w:tc>
                <w:tcPr>
                  <w:tcW w:w="1076" w:type="pct"/>
                  <w:tcBorders>
                    <w:tl2br w:val="nil"/>
                    <w:tr2bl w:val="nil"/>
                  </w:tcBorders>
                  <w:shd w:val="clear" w:color="auto" w:fill="auto"/>
                  <w:noWrap w:val="0"/>
                  <w:vAlign w:val="center"/>
                </w:tcPr>
                <w:p w14:paraId="723BBC00">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64" w:lineRule="auto"/>
                    <w:ind w:left="0" w:leftChars="0" w:right="0" w:rightChars="0"/>
                    <w:jc w:val="center"/>
                    <w:textAlignment w:val="auto"/>
                    <w:rPr>
                      <w:rFonts w:hint="default" w:ascii="Times New Roman" w:hAnsi="Times New Roman" w:eastAsia="宋体" w:cs="Times New Roman"/>
                      <w:b/>
                      <w:bCs w:val="0"/>
                      <w:kern w:val="0"/>
                      <w:sz w:val="21"/>
                      <w:szCs w:val="21"/>
                      <w:highlight w:val="none"/>
                      <w:lang w:val="en-US" w:eastAsia="zh-CN" w:bidi="ar-SA"/>
                    </w:rPr>
                  </w:pPr>
                  <w:r>
                    <w:rPr>
                      <w:rFonts w:hint="eastAsia" w:ascii="Times New Roman" w:hAnsi="Times New Roman" w:eastAsia="宋体" w:cs="Times New Roman"/>
                      <w:b/>
                      <w:bCs w:val="0"/>
                      <w:kern w:val="0"/>
                      <w:sz w:val="21"/>
                      <w:szCs w:val="21"/>
                      <w:highlight w:val="none"/>
                      <w:lang w:val="en-US" w:eastAsia="zh-CN"/>
                    </w:rPr>
                    <w:t>0.03</w:t>
                  </w:r>
                  <w:r>
                    <w:rPr>
                      <w:rFonts w:hint="eastAsia" w:cs="Times New Roman"/>
                      <w:b/>
                      <w:bCs w:val="0"/>
                      <w:kern w:val="0"/>
                      <w:sz w:val="21"/>
                      <w:szCs w:val="21"/>
                      <w:highlight w:val="none"/>
                      <w:lang w:val="en-US" w:eastAsia="zh-CN"/>
                    </w:rPr>
                    <w:t>1</w:t>
                  </w:r>
                </w:p>
              </w:tc>
            </w:tr>
            <w:tr w14:paraId="27489754">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28" w:type="dxa"/>
                  <w:bottom w:w="0" w:type="dxa"/>
                  <w:right w:w="28" w:type="dxa"/>
                </w:tblCellMar>
              </w:tblPrEx>
              <w:trPr>
                <w:trHeight w:val="0" w:hRule="atLeast"/>
              </w:trPr>
              <w:tc>
                <w:tcPr>
                  <w:tcW w:w="936" w:type="pct"/>
                  <w:gridSpan w:val="2"/>
                  <w:vMerge w:val="continue"/>
                  <w:tcBorders>
                    <w:tl2br w:val="nil"/>
                    <w:tr2bl w:val="nil"/>
                  </w:tcBorders>
                  <w:noWrap w:val="0"/>
                  <w:vAlign w:val="center"/>
                </w:tcPr>
                <w:p w14:paraId="613E7A9A">
                  <w:pPr>
                    <w:pStyle w:val="27"/>
                    <w:keepNext w:val="0"/>
                    <w:keepLines w:val="0"/>
                    <w:widowControl w:val="0"/>
                    <w:suppressLineNumbers w:val="0"/>
                    <w:spacing w:before="0" w:beforeAutospacing="0" w:after="0" w:afterAutospacing="0" w:line="240" w:lineRule="auto"/>
                    <w:ind w:left="0" w:leftChars="0" w:right="0" w:rightChars="0" w:firstLine="0" w:firstLineChars="0"/>
                    <w:jc w:val="center"/>
                    <w:rPr>
                      <w:rFonts w:hint="eastAsia" w:ascii="Times New Roman" w:hAnsi="Times New Roman" w:eastAsia="宋体" w:cs="Times New Roman"/>
                      <w:color w:val="auto"/>
                      <w:sz w:val="21"/>
                      <w:szCs w:val="21"/>
                      <w:highlight w:val="none"/>
                      <w:lang w:val="en-US" w:eastAsia="zh-CN"/>
                    </w:rPr>
                  </w:pPr>
                </w:p>
              </w:tc>
              <w:tc>
                <w:tcPr>
                  <w:tcW w:w="2987" w:type="pct"/>
                  <w:gridSpan w:val="3"/>
                  <w:tcBorders>
                    <w:tl2br w:val="nil"/>
                    <w:tr2bl w:val="nil"/>
                  </w:tcBorders>
                  <w:shd w:val="clear" w:color="auto" w:fill="auto"/>
                  <w:noWrap w:val="0"/>
                  <w:vAlign w:val="center"/>
                </w:tcPr>
                <w:p w14:paraId="32A57FA1">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64" w:lineRule="auto"/>
                    <w:ind w:left="0" w:leftChars="0" w:right="0" w:rightChars="0"/>
                    <w:jc w:val="center"/>
                    <w:textAlignment w:val="auto"/>
                    <w:rPr>
                      <w:rFonts w:hint="default" w:ascii="Times New Roman" w:hAnsi="Times New Roman" w:eastAsia="宋体" w:cs="Times New Roman"/>
                      <w:b/>
                      <w:bCs w:val="0"/>
                      <w:kern w:val="0"/>
                      <w:sz w:val="21"/>
                      <w:szCs w:val="21"/>
                      <w:highlight w:val="none"/>
                      <w:lang w:val="en-US" w:eastAsia="zh-CN" w:bidi="ar-SA"/>
                    </w:rPr>
                  </w:pPr>
                  <w:r>
                    <w:rPr>
                      <w:rFonts w:hint="eastAsia" w:ascii="Times New Roman" w:hAnsi="Times New Roman" w:eastAsia="宋体" w:cs="Times New Roman"/>
                      <w:b/>
                      <w:bCs w:val="0"/>
                      <w:kern w:val="0"/>
                      <w:sz w:val="21"/>
                      <w:szCs w:val="21"/>
                      <w:highlight w:val="none"/>
                      <w:lang w:val="en-US" w:eastAsia="zh-CN"/>
                    </w:rPr>
                    <w:t>非甲烷总烃</w:t>
                  </w:r>
                </w:p>
              </w:tc>
              <w:tc>
                <w:tcPr>
                  <w:tcW w:w="1076" w:type="pct"/>
                  <w:tcBorders>
                    <w:tl2br w:val="nil"/>
                    <w:tr2bl w:val="nil"/>
                  </w:tcBorders>
                  <w:shd w:val="clear" w:color="auto" w:fill="auto"/>
                  <w:noWrap w:val="0"/>
                  <w:vAlign w:val="center"/>
                </w:tcPr>
                <w:p w14:paraId="084CCDEB">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64" w:lineRule="auto"/>
                    <w:ind w:left="0" w:leftChars="0" w:right="0" w:rightChars="0"/>
                    <w:jc w:val="center"/>
                    <w:textAlignment w:val="auto"/>
                    <w:rPr>
                      <w:rFonts w:hint="default" w:ascii="Times New Roman" w:hAnsi="Times New Roman" w:eastAsia="宋体" w:cs="Times New Roman"/>
                      <w:b/>
                      <w:bCs w:val="0"/>
                      <w:kern w:val="0"/>
                      <w:sz w:val="21"/>
                      <w:szCs w:val="21"/>
                      <w:highlight w:val="none"/>
                      <w:lang w:val="en-US" w:eastAsia="zh-CN" w:bidi="ar-SA"/>
                    </w:rPr>
                  </w:pPr>
                  <w:r>
                    <w:rPr>
                      <w:rFonts w:hint="eastAsia" w:ascii="Times New Roman" w:hAnsi="Times New Roman" w:eastAsia="宋体" w:cs="Times New Roman"/>
                      <w:b/>
                      <w:bCs w:val="0"/>
                      <w:kern w:val="0"/>
                      <w:sz w:val="21"/>
                      <w:szCs w:val="21"/>
                      <w:highlight w:val="none"/>
                      <w:lang w:val="en-US" w:eastAsia="zh-CN"/>
                    </w:rPr>
                    <w:t>1.11</w:t>
                  </w:r>
                  <w:r>
                    <w:rPr>
                      <w:rFonts w:hint="eastAsia" w:cs="Times New Roman"/>
                      <w:b/>
                      <w:bCs w:val="0"/>
                      <w:kern w:val="0"/>
                      <w:sz w:val="21"/>
                      <w:szCs w:val="21"/>
                      <w:highlight w:val="none"/>
                      <w:lang w:val="en-US" w:eastAsia="zh-CN"/>
                    </w:rPr>
                    <w:t>9</w:t>
                  </w:r>
                </w:p>
              </w:tc>
            </w:tr>
            <w:tr w14:paraId="697D5475">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28" w:type="dxa"/>
                  <w:bottom w:w="0" w:type="dxa"/>
                  <w:right w:w="28" w:type="dxa"/>
                </w:tblCellMar>
              </w:tblPrEx>
              <w:trPr>
                <w:trHeight w:val="0" w:hRule="atLeast"/>
              </w:trPr>
              <w:tc>
                <w:tcPr>
                  <w:tcW w:w="936" w:type="pct"/>
                  <w:gridSpan w:val="2"/>
                  <w:vMerge w:val="continue"/>
                  <w:tcBorders>
                    <w:tl2br w:val="nil"/>
                    <w:tr2bl w:val="nil"/>
                  </w:tcBorders>
                  <w:noWrap w:val="0"/>
                  <w:vAlign w:val="center"/>
                </w:tcPr>
                <w:p w14:paraId="63D1F7C2">
                  <w:pPr>
                    <w:pStyle w:val="27"/>
                    <w:keepNext w:val="0"/>
                    <w:keepLines w:val="0"/>
                    <w:widowControl w:val="0"/>
                    <w:suppressLineNumbers w:val="0"/>
                    <w:spacing w:before="0" w:beforeAutospacing="0" w:after="0" w:afterAutospacing="0" w:line="240" w:lineRule="auto"/>
                    <w:ind w:left="0" w:leftChars="0" w:right="0" w:rightChars="0" w:firstLine="0" w:firstLineChars="0"/>
                    <w:jc w:val="center"/>
                    <w:rPr>
                      <w:rFonts w:hint="eastAsia" w:ascii="Times New Roman" w:hAnsi="Times New Roman" w:eastAsia="宋体" w:cs="Times New Roman"/>
                      <w:color w:val="auto"/>
                      <w:sz w:val="21"/>
                      <w:szCs w:val="21"/>
                      <w:highlight w:val="none"/>
                      <w:lang w:val="en-US" w:eastAsia="zh-CN"/>
                    </w:rPr>
                  </w:pPr>
                </w:p>
              </w:tc>
              <w:tc>
                <w:tcPr>
                  <w:tcW w:w="2987" w:type="pct"/>
                  <w:gridSpan w:val="3"/>
                  <w:tcBorders>
                    <w:tl2br w:val="nil"/>
                    <w:tr2bl w:val="nil"/>
                  </w:tcBorders>
                  <w:shd w:val="clear" w:color="auto" w:fill="auto"/>
                  <w:noWrap w:val="0"/>
                  <w:vAlign w:val="center"/>
                </w:tcPr>
                <w:p w14:paraId="1DFE5414">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64" w:lineRule="auto"/>
                    <w:ind w:left="0" w:leftChars="0" w:right="0" w:rightChars="0"/>
                    <w:jc w:val="center"/>
                    <w:textAlignment w:val="auto"/>
                    <w:rPr>
                      <w:rFonts w:hint="default" w:ascii="Times New Roman" w:hAnsi="Times New Roman" w:eastAsia="宋体" w:cs="Times New Roman"/>
                      <w:b/>
                      <w:bCs w:val="0"/>
                      <w:kern w:val="0"/>
                      <w:sz w:val="21"/>
                      <w:szCs w:val="21"/>
                      <w:highlight w:val="none"/>
                      <w:lang w:val="en-US" w:eastAsia="zh-CN" w:bidi="ar-SA"/>
                    </w:rPr>
                  </w:pPr>
                  <w:r>
                    <w:rPr>
                      <w:rFonts w:hint="eastAsia" w:ascii="Times New Roman" w:hAnsi="Times New Roman" w:eastAsia="宋体" w:cs="Times New Roman"/>
                      <w:b/>
                      <w:bCs w:val="0"/>
                      <w:kern w:val="0"/>
                      <w:sz w:val="21"/>
                      <w:szCs w:val="21"/>
                      <w:highlight w:val="none"/>
                      <w:lang w:val="en-US" w:eastAsia="zh-CN"/>
                    </w:rPr>
                    <w:t>氯气</w:t>
                  </w:r>
                </w:p>
              </w:tc>
              <w:tc>
                <w:tcPr>
                  <w:tcW w:w="1076" w:type="pct"/>
                  <w:tcBorders>
                    <w:tl2br w:val="nil"/>
                    <w:tr2bl w:val="nil"/>
                  </w:tcBorders>
                  <w:shd w:val="clear" w:color="auto" w:fill="auto"/>
                  <w:noWrap w:val="0"/>
                  <w:vAlign w:val="center"/>
                </w:tcPr>
                <w:p w14:paraId="0E6512D5">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64" w:lineRule="auto"/>
                    <w:ind w:left="0" w:leftChars="0" w:right="0" w:rightChars="0"/>
                    <w:jc w:val="center"/>
                    <w:textAlignment w:val="auto"/>
                    <w:rPr>
                      <w:rFonts w:hint="default" w:ascii="Times New Roman" w:hAnsi="Times New Roman" w:eastAsia="宋体" w:cs="Times New Roman"/>
                      <w:b/>
                      <w:bCs w:val="0"/>
                      <w:kern w:val="0"/>
                      <w:sz w:val="21"/>
                      <w:szCs w:val="21"/>
                      <w:highlight w:val="none"/>
                      <w:lang w:val="en-US" w:eastAsia="zh-CN" w:bidi="ar-SA"/>
                    </w:rPr>
                  </w:pPr>
                  <w:r>
                    <w:rPr>
                      <w:rFonts w:hint="eastAsia" w:ascii="Times New Roman" w:hAnsi="Times New Roman" w:eastAsia="宋体" w:cs="Times New Roman"/>
                      <w:b/>
                      <w:bCs w:val="0"/>
                      <w:kern w:val="0"/>
                      <w:sz w:val="21"/>
                      <w:szCs w:val="21"/>
                      <w:highlight w:val="none"/>
                      <w:lang w:val="en-US" w:eastAsia="zh-CN"/>
                    </w:rPr>
                    <w:t>少量</w:t>
                  </w:r>
                </w:p>
              </w:tc>
            </w:tr>
            <w:tr w14:paraId="52DE9D50">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28" w:type="dxa"/>
                  <w:bottom w:w="0" w:type="dxa"/>
                  <w:right w:w="28" w:type="dxa"/>
                </w:tblCellMar>
              </w:tblPrEx>
              <w:trPr>
                <w:trHeight w:val="0" w:hRule="atLeast"/>
              </w:trPr>
              <w:tc>
                <w:tcPr>
                  <w:tcW w:w="936" w:type="pct"/>
                  <w:gridSpan w:val="2"/>
                  <w:vMerge w:val="continue"/>
                  <w:tcBorders>
                    <w:tl2br w:val="nil"/>
                    <w:tr2bl w:val="nil"/>
                  </w:tcBorders>
                  <w:noWrap w:val="0"/>
                  <w:vAlign w:val="center"/>
                </w:tcPr>
                <w:p w14:paraId="75D17738">
                  <w:pPr>
                    <w:pStyle w:val="27"/>
                    <w:keepNext w:val="0"/>
                    <w:keepLines w:val="0"/>
                    <w:widowControl w:val="0"/>
                    <w:suppressLineNumbers w:val="0"/>
                    <w:spacing w:before="0" w:beforeAutospacing="0" w:after="0" w:afterAutospacing="0" w:line="240" w:lineRule="auto"/>
                    <w:ind w:left="0" w:leftChars="0" w:right="0" w:rightChars="0" w:firstLine="0" w:firstLineChars="0"/>
                    <w:jc w:val="center"/>
                    <w:rPr>
                      <w:rFonts w:hint="eastAsia" w:ascii="Times New Roman" w:hAnsi="Times New Roman" w:eastAsia="宋体" w:cs="Times New Roman"/>
                      <w:color w:val="auto"/>
                      <w:sz w:val="21"/>
                      <w:szCs w:val="21"/>
                      <w:highlight w:val="none"/>
                      <w:lang w:val="en-US" w:eastAsia="zh-CN"/>
                    </w:rPr>
                  </w:pPr>
                </w:p>
              </w:tc>
              <w:tc>
                <w:tcPr>
                  <w:tcW w:w="2987" w:type="pct"/>
                  <w:gridSpan w:val="3"/>
                  <w:tcBorders>
                    <w:tl2br w:val="nil"/>
                    <w:tr2bl w:val="nil"/>
                  </w:tcBorders>
                  <w:shd w:val="clear" w:color="auto" w:fill="auto"/>
                  <w:noWrap w:val="0"/>
                  <w:vAlign w:val="center"/>
                </w:tcPr>
                <w:p w14:paraId="04CC7888">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64" w:lineRule="auto"/>
                    <w:ind w:left="0" w:leftChars="0" w:right="0" w:rightChars="0"/>
                    <w:jc w:val="center"/>
                    <w:textAlignment w:val="auto"/>
                    <w:rPr>
                      <w:rFonts w:hint="default" w:ascii="Times New Roman" w:hAnsi="Times New Roman" w:eastAsia="宋体" w:cs="Times New Roman"/>
                      <w:b/>
                      <w:bCs w:val="0"/>
                      <w:kern w:val="0"/>
                      <w:sz w:val="21"/>
                      <w:szCs w:val="21"/>
                      <w:highlight w:val="none"/>
                      <w:lang w:val="en-US" w:eastAsia="zh-CN" w:bidi="ar-SA"/>
                    </w:rPr>
                  </w:pPr>
                  <w:r>
                    <w:rPr>
                      <w:rFonts w:hint="eastAsia" w:ascii="Times New Roman" w:hAnsi="Times New Roman" w:eastAsia="宋体" w:cs="Times New Roman"/>
                      <w:b/>
                      <w:bCs w:val="0"/>
                      <w:kern w:val="0"/>
                      <w:sz w:val="21"/>
                      <w:szCs w:val="21"/>
                      <w:highlight w:val="none"/>
                      <w:lang w:val="en-US" w:eastAsia="zh-CN"/>
                    </w:rPr>
                    <w:t>甲醛</w:t>
                  </w:r>
                </w:p>
              </w:tc>
              <w:tc>
                <w:tcPr>
                  <w:tcW w:w="1076" w:type="pct"/>
                  <w:tcBorders>
                    <w:tl2br w:val="nil"/>
                    <w:tr2bl w:val="nil"/>
                  </w:tcBorders>
                  <w:shd w:val="clear" w:color="auto" w:fill="auto"/>
                  <w:noWrap w:val="0"/>
                  <w:vAlign w:val="center"/>
                </w:tcPr>
                <w:p w14:paraId="04C71FCE">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64" w:lineRule="auto"/>
                    <w:ind w:left="0" w:leftChars="0" w:right="0" w:rightChars="0"/>
                    <w:jc w:val="center"/>
                    <w:textAlignment w:val="auto"/>
                    <w:rPr>
                      <w:rFonts w:hint="default" w:ascii="Times New Roman" w:hAnsi="Times New Roman" w:eastAsia="宋体" w:cs="Times New Roman"/>
                      <w:b/>
                      <w:bCs w:val="0"/>
                      <w:kern w:val="0"/>
                      <w:sz w:val="21"/>
                      <w:szCs w:val="21"/>
                      <w:highlight w:val="none"/>
                      <w:lang w:val="en-US" w:eastAsia="zh-CN" w:bidi="ar-SA"/>
                    </w:rPr>
                  </w:pPr>
                  <w:r>
                    <w:rPr>
                      <w:rFonts w:hint="eastAsia" w:ascii="Times New Roman" w:hAnsi="Times New Roman" w:eastAsia="宋体" w:cs="Times New Roman"/>
                      <w:b/>
                      <w:bCs w:val="0"/>
                      <w:kern w:val="0"/>
                      <w:sz w:val="21"/>
                      <w:szCs w:val="21"/>
                      <w:highlight w:val="none"/>
                      <w:lang w:val="en-US" w:eastAsia="zh-CN"/>
                    </w:rPr>
                    <w:t>0.027</w:t>
                  </w:r>
                </w:p>
              </w:tc>
            </w:tr>
            <w:tr w14:paraId="1C7265F0">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28" w:type="dxa"/>
                  <w:bottom w:w="0" w:type="dxa"/>
                  <w:right w:w="28" w:type="dxa"/>
                </w:tblCellMar>
              </w:tblPrEx>
              <w:trPr>
                <w:trHeight w:val="0" w:hRule="atLeast"/>
              </w:trPr>
              <w:tc>
                <w:tcPr>
                  <w:tcW w:w="936" w:type="pct"/>
                  <w:gridSpan w:val="2"/>
                  <w:vMerge w:val="continue"/>
                  <w:tcBorders>
                    <w:tl2br w:val="nil"/>
                    <w:tr2bl w:val="nil"/>
                  </w:tcBorders>
                  <w:noWrap w:val="0"/>
                  <w:vAlign w:val="center"/>
                </w:tcPr>
                <w:p w14:paraId="6AE57182">
                  <w:pPr>
                    <w:pStyle w:val="27"/>
                    <w:keepNext w:val="0"/>
                    <w:keepLines w:val="0"/>
                    <w:widowControl w:val="0"/>
                    <w:suppressLineNumbers w:val="0"/>
                    <w:spacing w:before="0" w:beforeAutospacing="0" w:after="0" w:afterAutospacing="0" w:line="240" w:lineRule="auto"/>
                    <w:ind w:left="0" w:leftChars="0" w:right="0" w:rightChars="0" w:firstLine="0" w:firstLineChars="0"/>
                    <w:jc w:val="center"/>
                    <w:rPr>
                      <w:rFonts w:hint="eastAsia" w:ascii="Times New Roman" w:hAnsi="Times New Roman" w:eastAsia="宋体" w:cs="Times New Roman"/>
                      <w:color w:val="auto"/>
                      <w:sz w:val="21"/>
                      <w:szCs w:val="21"/>
                      <w:highlight w:val="none"/>
                      <w:lang w:val="en-US" w:eastAsia="zh-CN"/>
                    </w:rPr>
                  </w:pPr>
                </w:p>
              </w:tc>
              <w:tc>
                <w:tcPr>
                  <w:tcW w:w="2987" w:type="pct"/>
                  <w:gridSpan w:val="3"/>
                  <w:tcBorders>
                    <w:tl2br w:val="nil"/>
                    <w:tr2bl w:val="nil"/>
                  </w:tcBorders>
                  <w:shd w:val="clear" w:color="auto" w:fill="auto"/>
                  <w:noWrap w:val="0"/>
                  <w:vAlign w:val="center"/>
                </w:tcPr>
                <w:p w14:paraId="2C830A1C">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64" w:lineRule="auto"/>
                    <w:ind w:left="0" w:leftChars="0" w:right="0" w:rightChars="0"/>
                    <w:jc w:val="center"/>
                    <w:textAlignment w:val="auto"/>
                    <w:rPr>
                      <w:rFonts w:hint="default" w:ascii="Times New Roman" w:hAnsi="Times New Roman" w:eastAsia="宋体" w:cs="Times New Roman"/>
                      <w:b/>
                      <w:bCs w:val="0"/>
                      <w:kern w:val="0"/>
                      <w:sz w:val="21"/>
                      <w:szCs w:val="21"/>
                      <w:highlight w:val="none"/>
                      <w:lang w:val="en-US" w:eastAsia="zh-CN" w:bidi="ar-SA"/>
                    </w:rPr>
                  </w:pPr>
                  <w:r>
                    <w:rPr>
                      <w:rFonts w:hint="eastAsia" w:ascii="Times New Roman" w:hAnsi="Times New Roman" w:eastAsia="宋体" w:cs="Times New Roman"/>
                      <w:b/>
                      <w:bCs w:val="0"/>
                      <w:kern w:val="0"/>
                      <w:sz w:val="21"/>
                      <w:szCs w:val="21"/>
                      <w:highlight w:val="none"/>
                      <w:lang w:val="en-US" w:eastAsia="zh-CN"/>
                    </w:rPr>
                    <w:t>氯化氢</w:t>
                  </w:r>
                </w:p>
              </w:tc>
              <w:tc>
                <w:tcPr>
                  <w:tcW w:w="1076" w:type="pct"/>
                  <w:tcBorders>
                    <w:tl2br w:val="nil"/>
                    <w:tr2bl w:val="nil"/>
                  </w:tcBorders>
                  <w:noWrap w:val="0"/>
                  <w:vAlign w:val="center"/>
                </w:tcPr>
                <w:p w14:paraId="3E774270">
                  <w:pPr>
                    <w:keepNext w:val="0"/>
                    <w:keepLines w:val="0"/>
                    <w:widowControl w:val="0"/>
                    <w:suppressLineNumbers w:val="0"/>
                    <w:spacing w:before="0" w:beforeAutospacing="0" w:after="0" w:afterAutospacing="0" w:line="240" w:lineRule="auto"/>
                    <w:ind w:left="0" w:leftChars="0" w:right="0" w:rightChars="0" w:firstLine="0" w:firstLineChars="0"/>
                    <w:jc w:val="center"/>
                    <w:rPr>
                      <w:rFonts w:hint="default" w:ascii="Times New Roman" w:hAnsi="Times New Roman" w:eastAsia="宋体" w:cs="Times New Roman"/>
                      <w:b/>
                      <w:bCs w:val="0"/>
                      <w:color w:val="auto"/>
                      <w:sz w:val="21"/>
                      <w:szCs w:val="21"/>
                      <w:highlight w:val="none"/>
                      <w:lang w:val="en-US" w:eastAsia="zh-CN"/>
                    </w:rPr>
                  </w:pPr>
                  <w:r>
                    <w:rPr>
                      <w:rFonts w:hint="eastAsia" w:ascii="Times New Roman" w:hAnsi="Times New Roman" w:eastAsia="宋体" w:cs="Times New Roman"/>
                      <w:b/>
                      <w:bCs w:val="0"/>
                      <w:kern w:val="0"/>
                      <w:sz w:val="21"/>
                      <w:szCs w:val="21"/>
                      <w:highlight w:val="none"/>
                      <w:lang w:val="en-US" w:eastAsia="zh-CN"/>
                    </w:rPr>
                    <w:t>少量</w:t>
                  </w:r>
                </w:p>
              </w:tc>
            </w:tr>
            <w:tr w14:paraId="316FD34C">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28" w:type="dxa"/>
                  <w:bottom w:w="0" w:type="dxa"/>
                  <w:right w:w="28" w:type="dxa"/>
                </w:tblCellMar>
              </w:tblPrEx>
              <w:trPr>
                <w:trHeight w:val="0" w:hRule="atLeast"/>
              </w:trPr>
              <w:tc>
                <w:tcPr>
                  <w:tcW w:w="936" w:type="pct"/>
                  <w:gridSpan w:val="2"/>
                  <w:vMerge w:val="continue"/>
                  <w:tcBorders>
                    <w:tl2br w:val="nil"/>
                    <w:tr2bl w:val="nil"/>
                  </w:tcBorders>
                  <w:noWrap w:val="0"/>
                  <w:vAlign w:val="center"/>
                </w:tcPr>
                <w:p w14:paraId="5B64A32C">
                  <w:pPr>
                    <w:pStyle w:val="27"/>
                    <w:keepNext w:val="0"/>
                    <w:keepLines w:val="0"/>
                    <w:widowControl w:val="0"/>
                    <w:suppressLineNumbers w:val="0"/>
                    <w:spacing w:before="0" w:beforeAutospacing="0" w:after="0" w:afterAutospacing="0" w:line="240" w:lineRule="auto"/>
                    <w:ind w:left="0" w:leftChars="0" w:right="0" w:rightChars="0" w:firstLine="0" w:firstLineChars="0"/>
                    <w:jc w:val="center"/>
                    <w:rPr>
                      <w:rFonts w:hint="eastAsia" w:ascii="Times New Roman" w:hAnsi="Times New Roman" w:eastAsia="宋体" w:cs="Times New Roman"/>
                      <w:color w:val="auto"/>
                      <w:sz w:val="21"/>
                      <w:szCs w:val="21"/>
                      <w:highlight w:val="none"/>
                      <w:lang w:val="en-US" w:eastAsia="zh-CN"/>
                    </w:rPr>
                  </w:pPr>
                </w:p>
              </w:tc>
              <w:tc>
                <w:tcPr>
                  <w:tcW w:w="2987" w:type="pct"/>
                  <w:gridSpan w:val="3"/>
                  <w:tcBorders>
                    <w:tl2br w:val="nil"/>
                    <w:tr2bl w:val="nil"/>
                  </w:tcBorders>
                  <w:shd w:val="clear" w:color="auto" w:fill="auto"/>
                  <w:noWrap w:val="0"/>
                  <w:vAlign w:val="center"/>
                </w:tcPr>
                <w:p w14:paraId="042CB4C4">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64" w:lineRule="auto"/>
                    <w:ind w:left="0" w:leftChars="0" w:right="0" w:rightChars="0"/>
                    <w:jc w:val="center"/>
                    <w:textAlignment w:val="auto"/>
                    <w:rPr>
                      <w:rFonts w:hint="default" w:ascii="Times New Roman" w:hAnsi="Times New Roman" w:eastAsia="宋体" w:cs="Times New Roman"/>
                      <w:b/>
                      <w:bCs w:val="0"/>
                      <w:kern w:val="0"/>
                      <w:sz w:val="21"/>
                      <w:szCs w:val="21"/>
                      <w:highlight w:val="none"/>
                      <w:lang w:val="en-US" w:eastAsia="zh-CN" w:bidi="ar-SA"/>
                    </w:rPr>
                  </w:pPr>
                  <w:r>
                    <w:rPr>
                      <w:rFonts w:hint="eastAsia" w:ascii="Times New Roman" w:hAnsi="Times New Roman" w:eastAsia="宋体" w:cs="Times New Roman"/>
                      <w:b/>
                      <w:bCs w:val="0"/>
                      <w:kern w:val="0"/>
                      <w:sz w:val="21"/>
                      <w:szCs w:val="21"/>
                      <w:highlight w:val="none"/>
                      <w:lang w:val="en-US" w:eastAsia="zh-CN"/>
                    </w:rPr>
                    <w:t>硫酸雾</w:t>
                  </w:r>
                </w:p>
              </w:tc>
              <w:tc>
                <w:tcPr>
                  <w:tcW w:w="1076" w:type="pct"/>
                  <w:tcBorders>
                    <w:tl2br w:val="nil"/>
                    <w:tr2bl w:val="nil"/>
                  </w:tcBorders>
                  <w:noWrap w:val="0"/>
                  <w:vAlign w:val="center"/>
                </w:tcPr>
                <w:p w14:paraId="133F2688">
                  <w:pPr>
                    <w:keepNext w:val="0"/>
                    <w:keepLines w:val="0"/>
                    <w:widowControl w:val="0"/>
                    <w:suppressLineNumbers w:val="0"/>
                    <w:spacing w:before="0" w:beforeAutospacing="0" w:after="0" w:afterAutospacing="0" w:line="240" w:lineRule="auto"/>
                    <w:ind w:left="0" w:leftChars="0" w:right="0" w:rightChars="0" w:firstLine="0" w:firstLineChars="0"/>
                    <w:jc w:val="center"/>
                    <w:rPr>
                      <w:rFonts w:hint="default" w:ascii="Times New Roman" w:hAnsi="Times New Roman" w:eastAsia="宋体" w:cs="Times New Roman"/>
                      <w:b/>
                      <w:bCs w:val="0"/>
                      <w:color w:val="auto"/>
                      <w:sz w:val="21"/>
                      <w:szCs w:val="21"/>
                      <w:highlight w:val="none"/>
                      <w:lang w:val="en-US" w:eastAsia="zh-CN"/>
                    </w:rPr>
                  </w:pPr>
                  <w:r>
                    <w:rPr>
                      <w:rFonts w:hint="eastAsia" w:ascii="Times New Roman" w:hAnsi="Times New Roman" w:eastAsia="宋体" w:cs="Times New Roman"/>
                      <w:b/>
                      <w:bCs w:val="0"/>
                      <w:kern w:val="0"/>
                      <w:sz w:val="21"/>
                      <w:szCs w:val="21"/>
                      <w:highlight w:val="none"/>
                      <w:lang w:val="en-US" w:eastAsia="zh-CN"/>
                    </w:rPr>
                    <w:t>少量</w:t>
                  </w:r>
                </w:p>
              </w:tc>
            </w:tr>
            <w:tr w14:paraId="4A3AD238">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28" w:type="dxa"/>
                  <w:bottom w:w="0" w:type="dxa"/>
                  <w:right w:w="28" w:type="dxa"/>
                </w:tblCellMar>
              </w:tblPrEx>
              <w:trPr>
                <w:trHeight w:val="0" w:hRule="atLeast"/>
              </w:trPr>
              <w:tc>
                <w:tcPr>
                  <w:tcW w:w="936" w:type="pct"/>
                  <w:gridSpan w:val="2"/>
                  <w:vMerge w:val="continue"/>
                  <w:tcBorders>
                    <w:tl2br w:val="nil"/>
                    <w:tr2bl w:val="nil"/>
                  </w:tcBorders>
                  <w:noWrap w:val="0"/>
                  <w:vAlign w:val="center"/>
                </w:tcPr>
                <w:p w14:paraId="2C9E53B1">
                  <w:pPr>
                    <w:pStyle w:val="27"/>
                    <w:keepNext w:val="0"/>
                    <w:keepLines w:val="0"/>
                    <w:widowControl w:val="0"/>
                    <w:suppressLineNumbers w:val="0"/>
                    <w:spacing w:before="0" w:beforeAutospacing="0" w:after="0" w:afterAutospacing="0" w:line="240" w:lineRule="auto"/>
                    <w:ind w:left="0" w:leftChars="0" w:right="0" w:rightChars="0" w:firstLine="0" w:firstLineChars="0"/>
                    <w:jc w:val="center"/>
                    <w:rPr>
                      <w:rFonts w:hint="eastAsia" w:ascii="Times New Roman" w:hAnsi="Times New Roman" w:eastAsia="宋体" w:cs="Times New Roman"/>
                      <w:color w:val="auto"/>
                      <w:sz w:val="21"/>
                      <w:szCs w:val="21"/>
                      <w:highlight w:val="none"/>
                      <w:lang w:val="en-US" w:eastAsia="zh-CN"/>
                    </w:rPr>
                  </w:pPr>
                </w:p>
              </w:tc>
              <w:tc>
                <w:tcPr>
                  <w:tcW w:w="2987" w:type="pct"/>
                  <w:gridSpan w:val="3"/>
                  <w:tcBorders>
                    <w:tl2br w:val="nil"/>
                    <w:tr2bl w:val="nil"/>
                  </w:tcBorders>
                  <w:shd w:val="clear" w:color="auto" w:fill="auto"/>
                  <w:noWrap w:val="0"/>
                  <w:vAlign w:val="center"/>
                </w:tcPr>
                <w:p w14:paraId="02444DFA">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64" w:lineRule="auto"/>
                    <w:ind w:left="0" w:leftChars="0" w:right="0" w:rightChars="0"/>
                    <w:jc w:val="center"/>
                    <w:textAlignment w:val="auto"/>
                    <w:rPr>
                      <w:rFonts w:hint="default" w:ascii="Times New Roman" w:hAnsi="Times New Roman" w:eastAsia="宋体" w:cs="Times New Roman"/>
                      <w:b/>
                      <w:bCs w:val="0"/>
                      <w:kern w:val="0"/>
                      <w:sz w:val="21"/>
                      <w:szCs w:val="21"/>
                      <w:highlight w:val="none"/>
                      <w:lang w:val="en-US" w:eastAsia="zh-CN"/>
                    </w:rPr>
                  </w:pPr>
                  <w:r>
                    <w:rPr>
                      <w:rFonts w:hint="eastAsia" w:cs="Times New Roman"/>
                      <w:b/>
                      <w:bCs w:val="0"/>
                      <w:kern w:val="0"/>
                      <w:sz w:val="21"/>
                      <w:szCs w:val="21"/>
                      <w:highlight w:val="none"/>
                      <w:lang w:val="en-US" w:eastAsia="zh-CN"/>
                    </w:rPr>
                    <w:t>颗粒物</w:t>
                  </w:r>
                </w:p>
              </w:tc>
              <w:tc>
                <w:tcPr>
                  <w:tcW w:w="1076" w:type="pct"/>
                  <w:tcBorders>
                    <w:tl2br w:val="nil"/>
                    <w:tr2bl w:val="nil"/>
                  </w:tcBorders>
                  <w:noWrap w:val="0"/>
                  <w:vAlign w:val="center"/>
                </w:tcPr>
                <w:p w14:paraId="59F327DF">
                  <w:pPr>
                    <w:keepNext w:val="0"/>
                    <w:keepLines w:val="0"/>
                    <w:widowControl w:val="0"/>
                    <w:suppressLineNumbers w:val="0"/>
                    <w:spacing w:before="0" w:beforeAutospacing="0" w:after="0" w:afterAutospacing="0" w:line="240" w:lineRule="auto"/>
                    <w:ind w:left="0" w:leftChars="0" w:right="0" w:rightChars="0" w:firstLine="0" w:firstLineChars="0"/>
                    <w:jc w:val="center"/>
                    <w:rPr>
                      <w:rFonts w:hint="eastAsia" w:ascii="Times New Roman" w:hAnsi="Times New Roman" w:eastAsia="宋体" w:cs="Times New Roman"/>
                      <w:b/>
                      <w:bCs w:val="0"/>
                      <w:kern w:val="0"/>
                      <w:sz w:val="21"/>
                      <w:szCs w:val="21"/>
                      <w:highlight w:val="none"/>
                      <w:lang w:val="en-US" w:eastAsia="zh-CN"/>
                    </w:rPr>
                  </w:pPr>
                  <w:r>
                    <w:rPr>
                      <w:rFonts w:hint="eastAsia" w:ascii="Times New Roman" w:hAnsi="Times New Roman" w:eastAsia="宋体" w:cs="Times New Roman"/>
                      <w:b/>
                      <w:bCs w:val="0"/>
                      <w:kern w:val="0"/>
                      <w:sz w:val="21"/>
                      <w:szCs w:val="21"/>
                      <w:highlight w:val="none"/>
                      <w:lang w:val="en-US" w:eastAsia="zh-CN"/>
                    </w:rPr>
                    <w:t>少量</w:t>
                  </w:r>
                </w:p>
              </w:tc>
            </w:tr>
          </w:tbl>
          <w:p w14:paraId="59E7D8DC">
            <w:pPr>
              <w:keepNext w:val="0"/>
              <w:keepLines w:val="0"/>
              <w:widowControl w:val="0"/>
              <w:suppressLineNumbers w:val="0"/>
              <w:spacing w:before="0" w:beforeAutospacing="0" w:after="0" w:afterAutospacing="0" w:line="360" w:lineRule="auto"/>
              <w:ind w:left="0" w:right="0" w:firstLine="480" w:firstLineChars="200"/>
              <w:jc w:val="both"/>
              <w:rPr>
                <w:rFonts w:hint="default" w:ascii="Times New Roman" w:hAnsi="Times New Roman" w:eastAsia="宋体" w:cs="宋体"/>
                <w:color w:val="auto"/>
                <w:kern w:val="2"/>
                <w:sz w:val="24"/>
                <w:szCs w:val="24"/>
                <w:highlight w:val="none"/>
                <w:lang w:val="en-US" w:eastAsia="zh-CN" w:bidi="ar"/>
              </w:rPr>
            </w:pPr>
            <w:r>
              <w:rPr>
                <w:rFonts w:hint="eastAsia" w:ascii="Times New Roman" w:hAnsi="Times New Roman" w:eastAsia="宋体" w:cs="宋体"/>
                <w:color w:val="auto"/>
                <w:kern w:val="2"/>
                <w:sz w:val="24"/>
                <w:szCs w:val="24"/>
                <w:highlight w:val="none"/>
                <w:lang w:val="en-US" w:eastAsia="zh-CN" w:bidi="ar"/>
              </w:rPr>
              <w:t>（2）无组织排放量核算</w:t>
            </w:r>
          </w:p>
          <w:p w14:paraId="7A4B3587">
            <w:pPr>
              <w:pStyle w:val="27"/>
              <w:keepNext/>
              <w:keepLines w:val="0"/>
              <w:pageBreakBefore w:val="0"/>
              <w:widowControl w:val="0"/>
              <w:suppressLineNumbers w:val="0"/>
              <w:kinsoku/>
              <w:wordWrap/>
              <w:overflowPunct/>
              <w:topLinePunct w:val="0"/>
              <w:autoSpaceDE/>
              <w:autoSpaceDN/>
              <w:bidi w:val="0"/>
              <w:adjustRightInd/>
              <w:snapToGrid/>
              <w:spacing w:before="0" w:beforeAutospacing="0" w:after="0" w:afterAutospacing="0" w:line="360" w:lineRule="auto"/>
              <w:ind w:left="0" w:right="0" w:firstLine="0" w:firstLineChars="0"/>
              <w:jc w:val="center"/>
              <w:textAlignment w:val="auto"/>
              <w:rPr>
                <w:rFonts w:hint="eastAsia" w:ascii="Times New Roman" w:hAnsi="Times New Roman" w:eastAsia="宋体" w:cs="Times New Roman"/>
                <w:b/>
                <w:strike w:val="0"/>
                <w:color w:val="auto"/>
                <w:kern w:val="2"/>
                <w:sz w:val="24"/>
                <w:szCs w:val="24"/>
                <w:highlight w:val="none"/>
                <w:lang w:val="en-US" w:eastAsia="zh-CN" w:bidi="ar-SA"/>
              </w:rPr>
            </w:pPr>
            <w:r>
              <w:rPr>
                <w:rFonts w:hint="eastAsia" w:ascii="Times New Roman" w:hAnsi="Times New Roman" w:eastAsia="宋体" w:cs="Times New Roman"/>
                <w:b/>
                <w:strike w:val="0"/>
                <w:color w:val="auto"/>
                <w:kern w:val="2"/>
                <w:sz w:val="24"/>
                <w:szCs w:val="24"/>
                <w:highlight w:val="none"/>
                <w:lang w:val="en-US" w:eastAsia="zh-CN" w:bidi="ar-SA"/>
              </w:rPr>
              <w:t>表</w:t>
            </w:r>
            <w:r>
              <w:rPr>
                <w:rFonts w:hint="default" w:ascii="Times New Roman" w:hAnsi="Times New Roman" w:eastAsia="宋体" w:cs="Times New Roman"/>
                <w:b/>
                <w:strike w:val="0"/>
                <w:color w:val="auto"/>
                <w:kern w:val="2"/>
                <w:sz w:val="24"/>
                <w:szCs w:val="24"/>
                <w:highlight w:val="none"/>
                <w:lang w:val="en-US" w:eastAsia="zh-CN" w:bidi="ar-SA"/>
              </w:rPr>
              <w:t>7-</w:t>
            </w:r>
            <w:r>
              <w:rPr>
                <w:rFonts w:hint="eastAsia" w:ascii="Times New Roman" w:hAnsi="Times New Roman" w:eastAsia="宋体" w:cs="Times New Roman"/>
                <w:b/>
                <w:strike w:val="0"/>
                <w:color w:val="auto"/>
                <w:kern w:val="2"/>
                <w:sz w:val="24"/>
                <w:szCs w:val="24"/>
                <w:highlight w:val="none"/>
                <w:lang w:val="en-US" w:eastAsia="zh-CN" w:bidi="ar-SA"/>
              </w:rPr>
              <w:t>2</w:t>
            </w:r>
            <w:r>
              <w:rPr>
                <w:rFonts w:hint="eastAsia" w:ascii="Times New Roman" w:hAnsi="Times New Roman" w:cs="Times New Roman"/>
                <w:b/>
                <w:strike w:val="0"/>
                <w:color w:val="auto"/>
                <w:kern w:val="2"/>
                <w:sz w:val="24"/>
                <w:szCs w:val="24"/>
                <w:highlight w:val="none"/>
                <w:lang w:val="en-US" w:eastAsia="zh-CN" w:bidi="ar-SA"/>
              </w:rPr>
              <w:t>8</w:t>
            </w:r>
            <w:r>
              <w:rPr>
                <w:rFonts w:hint="eastAsia" w:ascii="Times New Roman" w:hAnsi="Times New Roman" w:eastAsia="宋体" w:cs="Times New Roman"/>
                <w:b/>
                <w:strike w:val="0"/>
                <w:color w:val="auto"/>
                <w:kern w:val="2"/>
                <w:sz w:val="24"/>
                <w:szCs w:val="24"/>
                <w:highlight w:val="none"/>
                <w:lang w:val="en-US" w:eastAsia="zh-CN" w:bidi="ar-SA"/>
              </w:rPr>
              <w:t xml:space="preserve">  大气污染物无组织排放量核算表</w:t>
            </w:r>
          </w:p>
          <w:tbl>
            <w:tblPr>
              <w:tblStyle w:val="32"/>
              <w:tblW w:w="5000"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28" w:type="dxa"/>
                <w:bottom w:w="0" w:type="dxa"/>
                <w:right w:w="28" w:type="dxa"/>
              </w:tblCellMar>
            </w:tblPr>
            <w:tblGrid>
              <w:gridCol w:w="314"/>
              <w:gridCol w:w="747"/>
              <w:gridCol w:w="1013"/>
              <w:gridCol w:w="1059"/>
              <w:gridCol w:w="773"/>
              <w:gridCol w:w="2466"/>
              <w:gridCol w:w="1110"/>
              <w:gridCol w:w="704"/>
            </w:tblGrid>
            <w:tr w14:paraId="6EE5836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0" w:hRule="atLeast"/>
              </w:trPr>
              <w:tc>
                <w:tcPr>
                  <w:tcW w:w="192" w:type="pct"/>
                  <w:vMerge w:val="restart"/>
                  <w:tcBorders>
                    <w:top w:val="single" w:color="auto" w:sz="4" w:space="0"/>
                    <w:left w:val="single" w:color="auto" w:sz="4" w:space="0"/>
                    <w:bottom w:val="single" w:color="auto" w:sz="4" w:space="0"/>
                    <w:right w:val="single" w:color="auto" w:sz="4" w:space="0"/>
                  </w:tcBorders>
                  <w:noWrap w:val="0"/>
                  <w:vAlign w:val="center"/>
                </w:tcPr>
                <w:p w14:paraId="5EDB1F08">
                  <w:pPr>
                    <w:pStyle w:val="27"/>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76" w:lineRule="auto"/>
                    <w:ind w:left="0" w:leftChars="0" w:right="0" w:rightChars="0" w:firstLine="0" w:firstLineChars="0"/>
                    <w:jc w:val="center"/>
                    <w:textAlignment w:val="auto"/>
                    <w:rPr>
                      <w:rFonts w:hint="default" w:ascii="Times New Roman" w:hAnsi="Times New Roman" w:eastAsia="宋体" w:cs="Times New Roman"/>
                      <w:color w:val="auto"/>
                      <w:sz w:val="18"/>
                      <w:szCs w:val="18"/>
                      <w:highlight w:val="none"/>
                      <w:lang w:val="en-US" w:eastAsia="zh-CN"/>
                    </w:rPr>
                  </w:pPr>
                  <w:r>
                    <w:rPr>
                      <w:rFonts w:hint="eastAsia" w:ascii="Times New Roman" w:hAnsi="Times New Roman" w:eastAsia="宋体" w:cs="Times New Roman"/>
                      <w:color w:val="auto"/>
                      <w:sz w:val="18"/>
                      <w:szCs w:val="18"/>
                      <w:highlight w:val="none"/>
                      <w:lang w:val="en-US" w:eastAsia="zh-CN"/>
                    </w:rPr>
                    <w:t>序号</w:t>
                  </w:r>
                </w:p>
              </w:tc>
              <w:tc>
                <w:tcPr>
                  <w:tcW w:w="456" w:type="pct"/>
                  <w:vMerge w:val="restart"/>
                  <w:tcBorders>
                    <w:top w:val="single" w:color="auto" w:sz="4" w:space="0"/>
                    <w:left w:val="single" w:color="auto" w:sz="4" w:space="0"/>
                    <w:bottom w:val="single" w:color="auto" w:sz="4" w:space="0"/>
                    <w:right w:val="single" w:color="auto" w:sz="4" w:space="0"/>
                  </w:tcBorders>
                  <w:noWrap w:val="0"/>
                  <w:vAlign w:val="center"/>
                </w:tcPr>
                <w:p w14:paraId="69A8E2FD">
                  <w:pPr>
                    <w:pStyle w:val="27"/>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76" w:lineRule="auto"/>
                    <w:ind w:left="0" w:leftChars="0" w:right="0" w:rightChars="0" w:firstLine="0" w:firstLineChars="0"/>
                    <w:jc w:val="center"/>
                    <w:textAlignment w:val="auto"/>
                    <w:rPr>
                      <w:rFonts w:hint="default" w:ascii="Times New Roman" w:hAnsi="Times New Roman" w:eastAsia="宋体" w:cs="Times New Roman"/>
                      <w:color w:val="auto"/>
                      <w:sz w:val="18"/>
                      <w:szCs w:val="18"/>
                      <w:highlight w:val="none"/>
                      <w:lang w:val="en-US" w:eastAsia="zh-CN"/>
                    </w:rPr>
                  </w:pPr>
                  <w:r>
                    <w:rPr>
                      <w:rFonts w:hint="eastAsia" w:ascii="Times New Roman" w:hAnsi="Times New Roman" w:eastAsia="宋体" w:cs="Times New Roman"/>
                      <w:color w:val="auto"/>
                      <w:sz w:val="18"/>
                      <w:szCs w:val="18"/>
                      <w:highlight w:val="none"/>
                      <w:lang w:val="en-US" w:eastAsia="zh-CN"/>
                    </w:rPr>
                    <w:t>排放口编号</w:t>
                  </w:r>
                </w:p>
              </w:tc>
              <w:tc>
                <w:tcPr>
                  <w:tcW w:w="619" w:type="pct"/>
                  <w:vMerge w:val="restart"/>
                  <w:tcBorders>
                    <w:top w:val="single" w:color="auto" w:sz="4" w:space="0"/>
                    <w:left w:val="single" w:color="auto" w:sz="4" w:space="0"/>
                    <w:bottom w:val="single" w:color="auto" w:sz="4" w:space="0"/>
                    <w:right w:val="single" w:color="auto" w:sz="4" w:space="0"/>
                  </w:tcBorders>
                  <w:noWrap w:val="0"/>
                  <w:vAlign w:val="center"/>
                </w:tcPr>
                <w:p w14:paraId="615C0C05">
                  <w:pPr>
                    <w:pStyle w:val="27"/>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76" w:lineRule="auto"/>
                    <w:ind w:left="0" w:leftChars="0" w:right="0" w:rightChars="0" w:firstLine="0" w:firstLineChars="0"/>
                    <w:jc w:val="center"/>
                    <w:textAlignment w:val="auto"/>
                    <w:rPr>
                      <w:rFonts w:hint="default" w:ascii="Times New Roman" w:hAnsi="Times New Roman" w:eastAsia="宋体" w:cs="Times New Roman"/>
                      <w:color w:val="auto"/>
                      <w:sz w:val="18"/>
                      <w:szCs w:val="18"/>
                      <w:highlight w:val="none"/>
                      <w:lang w:val="en-US" w:eastAsia="zh-CN"/>
                    </w:rPr>
                  </w:pPr>
                  <w:r>
                    <w:rPr>
                      <w:rFonts w:hint="eastAsia" w:ascii="Times New Roman" w:hAnsi="Times New Roman" w:eastAsia="宋体" w:cs="Times New Roman"/>
                      <w:color w:val="auto"/>
                      <w:sz w:val="18"/>
                      <w:szCs w:val="18"/>
                      <w:highlight w:val="none"/>
                      <w:lang w:val="en-US" w:eastAsia="zh-CN"/>
                    </w:rPr>
                    <w:t>产污环节</w:t>
                  </w:r>
                </w:p>
              </w:tc>
              <w:tc>
                <w:tcPr>
                  <w:tcW w:w="645" w:type="pct"/>
                  <w:vMerge w:val="restart"/>
                  <w:tcBorders>
                    <w:top w:val="single" w:color="auto" w:sz="4" w:space="0"/>
                    <w:left w:val="single" w:color="auto" w:sz="4" w:space="0"/>
                    <w:bottom w:val="single" w:color="auto" w:sz="4" w:space="0"/>
                    <w:right w:val="single" w:color="auto" w:sz="4" w:space="0"/>
                  </w:tcBorders>
                  <w:noWrap w:val="0"/>
                  <w:vAlign w:val="center"/>
                </w:tcPr>
                <w:p w14:paraId="70149E32">
                  <w:pPr>
                    <w:pStyle w:val="27"/>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76" w:lineRule="auto"/>
                    <w:ind w:left="0" w:leftChars="0" w:right="0" w:rightChars="0" w:firstLine="0" w:firstLineChars="0"/>
                    <w:jc w:val="center"/>
                    <w:textAlignment w:val="auto"/>
                    <w:rPr>
                      <w:rFonts w:hint="default" w:ascii="Times New Roman" w:hAnsi="Times New Roman" w:eastAsia="宋体" w:cs="Times New Roman"/>
                      <w:color w:val="auto"/>
                      <w:sz w:val="18"/>
                      <w:szCs w:val="18"/>
                      <w:highlight w:val="none"/>
                      <w:lang w:val="en-US" w:eastAsia="zh-CN"/>
                    </w:rPr>
                  </w:pPr>
                  <w:r>
                    <w:rPr>
                      <w:rFonts w:hint="eastAsia" w:ascii="Times New Roman" w:hAnsi="Times New Roman" w:eastAsia="宋体" w:cs="Times New Roman"/>
                      <w:color w:val="auto"/>
                      <w:sz w:val="18"/>
                      <w:szCs w:val="18"/>
                      <w:highlight w:val="none"/>
                      <w:lang w:val="en-US" w:eastAsia="zh-CN"/>
                    </w:rPr>
                    <w:t>污染物</w:t>
                  </w:r>
                </w:p>
              </w:tc>
              <w:tc>
                <w:tcPr>
                  <w:tcW w:w="472" w:type="pct"/>
                  <w:vMerge w:val="restart"/>
                  <w:tcBorders>
                    <w:top w:val="single" w:color="auto" w:sz="4" w:space="0"/>
                    <w:left w:val="single" w:color="auto" w:sz="4" w:space="0"/>
                    <w:bottom w:val="single" w:color="auto" w:sz="4" w:space="0"/>
                    <w:right w:val="single" w:color="auto" w:sz="4" w:space="0"/>
                  </w:tcBorders>
                  <w:noWrap w:val="0"/>
                  <w:vAlign w:val="center"/>
                </w:tcPr>
                <w:p w14:paraId="5CBCDDEF">
                  <w:pPr>
                    <w:pStyle w:val="27"/>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76" w:lineRule="auto"/>
                    <w:ind w:left="0" w:leftChars="0" w:right="0" w:rightChars="0" w:firstLine="0" w:firstLineChars="0"/>
                    <w:jc w:val="center"/>
                    <w:textAlignment w:val="auto"/>
                    <w:rPr>
                      <w:rFonts w:hint="default" w:ascii="Times New Roman" w:hAnsi="Times New Roman" w:eastAsia="宋体" w:cs="Times New Roman"/>
                      <w:color w:val="auto"/>
                      <w:sz w:val="18"/>
                      <w:szCs w:val="18"/>
                      <w:highlight w:val="none"/>
                      <w:lang w:val="en-US" w:eastAsia="zh-CN"/>
                    </w:rPr>
                  </w:pPr>
                  <w:r>
                    <w:rPr>
                      <w:rFonts w:hint="eastAsia" w:ascii="Times New Roman" w:hAnsi="Times New Roman" w:eastAsia="宋体" w:cs="Times New Roman"/>
                      <w:color w:val="auto"/>
                      <w:sz w:val="18"/>
                      <w:szCs w:val="18"/>
                      <w:highlight w:val="none"/>
                      <w:lang w:val="en-US" w:eastAsia="zh-CN"/>
                    </w:rPr>
                    <w:t>主要污染防治措施</w:t>
                  </w:r>
                </w:p>
              </w:tc>
              <w:tc>
                <w:tcPr>
                  <w:tcW w:w="2184" w:type="pct"/>
                  <w:gridSpan w:val="2"/>
                  <w:tcBorders>
                    <w:top w:val="single" w:color="auto" w:sz="4" w:space="0"/>
                    <w:left w:val="single" w:color="auto" w:sz="4" w:space="0"/>
                    <w:bottom w:val="single" w:color="auto" w:sz="4" w:space="0"/>
                    <w:right w:val="single" w:color="auto" w:sz="4" w:space="0"/>
                  </w:tcBorders>
                  <w:noWrap w:val="0"/>
                  <w:vAlign w:val="center"/>
                </w:tcPr>
                <w:p w14:paraId="6959C01B">
                  <w:pPr>
                    <w:pStyle w:val="27"/>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76" w:lineRule="auto"/>
                    <w:ind w:left="0" w:leftChars="0" w:right="0" w:rightChars="0" w:firstLine="0" w:firstLineChars="0"/>
                    <w:jc w:val="center"/>
                    <w:textAlignment w:val="auto"/>
                    <w:rPr>
                      <w:rFonts w:hint="eastAsia" w:ascii="Times New Roman" w:hAnsi="Times New Roman" w:eastAsia="宋体" w:cs="Times New Roman"/>
                      <w:color w:val="auto"/>
                      <w:sz w:val="18"/>
                      <w:szCs w:val="18"/>
                      <w:highlight w:val="none"/>
                      <w:lang w:val="en-US" w:eastAsia="zh-CN"/>
                    </w:rPr>
                  </w:pPr>
                  <w:r>
                    <w:rPr>
                      <w:rFonts w:hint="eastAsia" w:ascii="Times New Roman" w:hAnsi="Times New Roman" w:eastAsia="宋体" w:cs="Times New Roman"/>
                      <w:color w:val="auto"/>
                      <w:sz w:val="18"/>
                      <w:szCs w:val="18"/>
                      <w:highlight w:val="none"/>
                      <w:lang w:val="en-US" w:eastAsia="zh-CN"/>
                    </w:rPr>
                    <w:t>国家或地方污染物排放标准</w:t>
                  </w:r>
                </w:p>
              </w:tc>
              <w:tc>
                <w:tcPr>
                  <w:tcW w:w="428" w:type="pct"/>
                  <w:vMerge w:val="restart"/>
                  <w:tcBorders>
                    <w:top w:val="single" w:color="auto" w:sz="4" w:space="0"/>
                    <w:left w:val="single" w:color="auto" w:sz="4" w:space="0"/>
                    <w:bottom w:val="single" w:color="auto" w:sz="4" w:space="0"/>
                    <w:right w:val="single" w:color="auto" w:sz="4" w:space="0"/>
                  </w:tcBorders>
                  <w:noWrap w:val="0"/>
                  <w:vAlign w:val="center"/>
                </w:tcPr>
                <w:p w14:paraId="686EA0E4">
                  <w:pPr>
                    <w:pStyle w:val="27"/>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76" w:lineRule="auto"/>
                    <w:ind w:left="0" w:leftChars="0" w:right="0" w:rightChars="0" w:firstLine="0" w:firstLineChars="0"/>
                    <w:jc w:val="center"/>
                    <w:textAlignment w:val="auto"/>
                    <w:rPr>
                      <w:rFonts w:hint="default" w:ascii="Times New Roman" w:hAnsi="Times New Roman" w:eastAsia="宋体" w:cs="Times New Roman"/>
                      <w:color w:val="auto"/>
                      <w:sz w:val="18"/>
                      <w:szCs w:val="18"/>
                      <w:highlight w:val="none"/>
                      <w:lang w:val="en-US" w:eastAsia="zh-CN"/>
                    </w:rPr>
                  </w:pPr>
                  <w:r>
                    <w:rPr>
                      <w:rFonts w:hint="eastAsia" w:ascii="Times New Roman" w:hAnsi="Times New Roman" w:eastAsia="宋体" w:cs="Times New Roman"/>
                      <w:color w:val="auto"/>
                      <w:sz w:val="18"/>
                      <w:szCs w:val="18"/>
                      <w:highlight w:val="none"/>
                      <w:lang w:val="en-US" w:eastAsia="zh-CN"/>
                    </w:rPr>
                    <w:t>年排放量</w:t>
                  </w:r>
                  <w:r>
                    <w:rPr>
                      <w:rFonts w:hint="default" w:ascii="Times New Roman" w:hAnsi="Times New Roman" w:eastAsia="宋体" w:cs="Times New Roman"/>
                      <w:color w:val="auto"/>
                      <w:sz w:val="18"/>
                      <w:szCs w:val="18"/>
                      <w:highlight w:val="none"/>
                      <w:lang w:val="en-US" w:eastAsia="zh-CN"/>
                    </w:rPr>
                    <w:t>/</w:t>
                  </w:r>
                  <w:r>
                    <w:rPr>
                      <w:rFonts w:hint="eastAsia" w:ascii="Times New Roman" w:hAnsi="Times New Roman" w:eastAsia="宋体" w:cs="Times New Roman"/>
                      <w:color w:val="auto"/>
                      <w:sz w:val="18"/>
                      <w:szCs w:val="18"/>
                      <w:highlight w:val="none"/>
                      <w:lang w:val="en-US" w:eastAsia="zh-CN"/>
                    </w:rPr>
                    <w:t>（</w:t>
                  </w:r>
                  <w:r>
                    <w:rPr>
                      <w:rFonts w:hint="default" w:ascii="Times New Roman" w:hAnsi="Times New Roman" w:eastAsia="宋体" w:cs="Times New Roman"/>
                      <w:color w:val="auto"/>
                      <w:sz w:val="18"/>
                      <w:szCs w:val="18"/>
                      <w:highlight w:val="none"/>
                      <w:lang w:val="en-US" w:eastAsia="zh-CN"/>
                    </w:rPr>
                    <w:t>t/a</w:t>
                  </w:r>
                  <w:r>
                    <w:rPr>
                      <w:rFonts w:hint="eastAsia" w:ascii="Times New Roman" w:hAnsi="Times New Roman" w:eastAsia="宋体" w:cs="Times New Roman"/>
                      <w:color w:val="auto"/>
                      <w:sz w:val="18"/>
                      <w:szCs w:val="18"/>
                      <w:highlight w:val="none"/>
                      <w:lang w:val="en-US" w:eastAsia="zh-CN"/>
                    </w:rPr>
                    <w:t>）</w:t>
                  </w:r>
                </w:p>
              </w:tc>
            </w:tr>
            <w:tr w14:paraId="1CF524F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0" w:hRule="atLeast"/>
              </w:trPr>
              <w:tc>
                <w:tcPr>
                  <w:tcW w:w="192" w:type="pct"/>
                  <w:vMerge w:val="continue"/>
                  <w:tcBorders>
                    <w:top w:val="single" w:color="auto" w:sz="4" w:space="0"/>
                    <w:left w:val="single" w:color="auto" w:sz="4" w:space="0"/>
                    <w:bottom w:val="single" w:color="auto" w:sz="4" w:space="0"/>
                    <w:right w:val="single" w:color="auto" w:sz="4" w:space="0"/>
                  </w:tcBorders>
                  <w:noWrap w:val="0"/>
                  <w:vAlign w:val="center"/>
                </w:tcPr>
                <w:p w14:paraId="3EB36919">
                  <w:pPr>
                    <w:pStyle w:val="27"/>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76" w:lineRule="auto"/>
                    <w:ind w:left="0" w:leftChars="0" w:right="0" w:rightChars="0" w:firstLine="0" w:firstLineChars="0"/>
                    <w:jc w:val="center"/>
                    <w:textAlignment w:val="auto"/>
                    <w:rPr>
                      <w:rFonts w:hint="default" w:ascii="Times New Roman" w:hAnsi="Times New Roman" w:eastAsia="宋体" w:cs="Times New Roman"/>
                      <w:color w:val="auto"/>
                      <w:sz w:val="18"/>
                      <w:szCs w:val="18"/>
                      <w:highlight w:val="none"/>
                      <w:lang w:val="en-US" w:eastAsia="zh-CN"/>
                    </w:rPr>
                  </w:pPr>
                </w:p>
              </w:tc>
              <w:tc>
                <w:tcPr>
                  <w:tcW w:w="456" w:type="pct"/>
                  <w:vMerge w:val="continue"/>
                  <w:tcBorders>
                    <w:top w:val="single" w:color="auto" w:sz="4" w:space="0"/>
                    <w:left w:val="single" w:color="auto" w:sz="4" w:space="0"/>
                    <w:bottom w:val="single" w:color="auto" w:sz="4" w:space="0"/>
                    <w:right w:val="single" w:color="auto" w:sz="4" w:space="0"/>
                  </w:tcBorders>
                  <w:noWrap w:val="0"/>
                  <w:vAlign w:val="center"/>
                </w:tcPr>
                <w:p w14:paraId="3B448189">
                  <w:pPr>
                    <w:pStyle w:val="27"/>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76" w:lineRule="auto"/>
                    <w:ind w:left="0" w:leftChars="0" w:right="0" w:rightChars="0" w:firstLine="0" w:firstLineChars="0"/>
                    <w:jc w:val="center"/>
                    <w:textAlignment w:val="auto"/>
                    <w:rPr>
                      <w:rFonts w:hint="default" w:ascii="Times New Roman" w:hAnsi="Times New Roman" w:eastAsia="宋体" w:cs="Times New Roman"/>
                      <w:color w:val="auto"/>
                      <w:sz w:val="18"/>
                      <w:szCs w:val="18"/>
                      <w:highlight w:val="none"/>
                      <w:lang w:val="en-US" w:eastAsia="zh-CN"/>
                    </w:rPr>
                  </w:pPr>
                </w:p>
              </w:tc>
              <w:tc>
                <w:tcPr>
                  <w:tcW w:w="619" w:type="pct"/>
                  <w:vMerge w:val="continue"/>
                  <w:tcBorders>
                    <w:top w:val="single" w:color="auto" w:sz="4" w:space="0"/>
                    <w:left w:val="single" w:color="auto" w:sz="4" w:space="0"/>
                    <w:bottom w:val="single" w:color="auto" w:sz="4" w:space="0"/>
                    <w:right w:val="single" w:color="auto" w:sz="4" w:space="0"/>
                  </w:tcBorders>
                  <w:noWrap w:val="0"/>
                  <w:vAlign w:val="center"/>
                </w:tcPr>
                <w:p w14:paraId="139F4551">
                  <w:pPr>
                    <w:pStyle w:val="27"/>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76" w:lineRule="auto"/>
                    <w:ind w:left="0" w:leftChars="0" w:right="0" w:rightChars="0" w:firstLine="0" w:firstLineChars="0"/>
                    <w:jc w:val="center"/>
                    <w:textAlignment w:val="auto"/>
                    <w:rPr>
                      <w:rFonts w:hint="default" w:ascii="Times New Roman" w:hAnsi="Times New Roman" w:eastAsia="宋体" w:cs="Times New Roman"/>
                      <w:color w:val="auto"/>
                      <w:sz w:val="18"/>
                      <w:szCs w:val="18"/>
                      <w:highlight w:val="none"/>
                      <w:lang w:val="en-US" w:eastAsia="zh-CN"/>
                    </w:rPr>
                  </w:pPr>
                </w:p>
              </w:tc>
              <w:tc>
                <w:tcPr>
                  <w:tcW w:w="645" w:type="pct"/>
                  <w:vMerge w:val="continue"/>
                  <w:tcBorders>
                    <w:top w:val="single" w:color="auto" w:sz="4" w:space="0"/>
                    <w:left w:val="single" w:color="auto" w:sz="4" w:space="0"/>
                    <w:bottom w:val="single" w:color="auto" w:sz="4" w:space="0"/>
                    <w:right w:val="single" w:color="auto" w:sz="4" w:space="0"/>
                  </w:tcBorders>
                  <w:noWrap w:val="0"/>
                  <w:vAlign w:val="center"/>
                </w:tcPr>
                <w:p w14:paraId="31D1DACE">
                  <w:pPr>
                    <w:pStyle w:val="27"/>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76" w:lineRule="auto"/>
                    <w:ind w:left="0" w:leftChars="0" w:right="0" w:rightChars="0" w:firstLine="0" w:firstLineChars="0"/>
                    <w:jc w:val="center"/>
                    <w:textAlignment w:val="auto"/>
                    <w:rPr>
                      <w:rFonts w:hint="default" w:ascii="Times New Roman" w:hAnsi="Times New Roman" w:eastAsia="宋体" w:cs="Times New Roman"/>
                      <w:color w:val="auto"/>
                      <w:sz w:val="18"/>
                      <w:szCs w:val="18"/>
                      <w:highlight w:val="none"/>
                      <w:lang w:val="en-US" w:eastAsia="zh-CN"/>
                    </w:rPr>
                  </w:pPr>
                </w:p>
              </w:tc>
              <w:tc>
                <w:tcPr>
                  <w:tcW w:w="472" w:type="pct"/>
                  <w:vMerge w:val="continue"/>
                  <w:tcBorders>
                    <w:top w:val="single" w:color="auto" w:sz="4" w:space="0"/>
                    <w:left w:val="single" w:color="auto" w:sz="4" w:space="0"/>
                    <w:bottom w:val="single" w:color="auto" w:sz="4" w:space="0"/>
                    <w:right w:val="single" w:color="auto" w:sz="4" w:space="0"/>
                  </w:tcBorders>
                  <w:noWrap w:val="0"/>
                  <w:vAlign w:val="center"/>
                </w:tcPr>
                <w:p w14:paraId="4E3B7EC4">
                  <w:pPr>
                    <w:pStyle w:val="27"/>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76" w:lineRule="auto"/>
                    <w:ind w:left="0" w:leftChars="0" w:right="0" w:rightChars="0" w:firstLine="0" w:firstLineChars="0"/>
                    <w:jc w:val="center"/>
                    <w:textAlignment w:val="auto"/>
                    <w:rPr>
                      <w:rFonts w:hint="default" w:ascii="Times New Roman" w:hAnsi="Times New Roman" w:eastAsia="宋体" w:cs="Times New Roman"/>
                      <w:color w:val="auto"/>
                      <w:sz w:val="18"/>
                      <w:szCs w:val="18"/>
                      <w:highlight w:val="none"/>
                      <w:lang w:val="en-US" w:eastAsia="zh-CN"/>
                    </w:rPr>
                  </w:pPr>
                </w:p>
              </w:tc>
              <w:tc>
                <w:tcPr>
                  <w:tcW w:w="1506" w:type="pct"/>
                  <w:tcBorders>
                    <w:top w:val="single" w:color="auto" w:sz="4" w:space="0"/>
                    <w:left w:val="single" w:color="auto" w:sz="4" w:space="0"/>
                    <w:bottom w:val="single" w:color="auto" w:sz="4" w:space="0"/>
                    <w:right w:val="single" w:color="auto" w:sz="4" w:space="0"/>
                  </w:tcBorders>
                  <w:noWrap w:val="0"/>
                  <w:vAlign w:val="center"/>
                </w:tcPr>
                <w:p w14:paraId="3D091505">
                  <w:pPr>
                    <w:pStyle w:val="27"/>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76" w:lineRule="auto"/>
                    <w:ind w:left="0" w:leftChars="0" w:right="0" w:rightChars="0" w:firstLine="0" w:firstLineChars="0"/>
                    <w:jc w:val="center"/>
                    <w:textAlignment w:val="auto"/>
                    <w:rPr>
                      <w:rFonts w:hint="default" w:ascii="Times New Roman" w:hAnsi="Times New Roman" w:eastAsia="宋体" w:cs="Times New Roman"/>
                      <w:color w:val="auto"/>
                      <w:sz w:val="18"/>
                      <w:szCs w:val="18"/>
                      <w:highlight w:val="none"/>
                      <w:lang w:val="en-US" w:eastAsia="zh-CN"/>
                    </w:rPr>
                  </w:pPr>
                  <w:r>
                    <w:rPr>
                      <w:rFonts w:hint="eastAsia" w:ascii="Times New Roman" w:hAnsi="Times New Roman" w:eastAsia="宋体" w:cs="Times New Roman"/>
                      <w:color w:val="auto"/>
                      <w:sz w:val="18"/>
                      <w:szCs w:val="18"/>
                      <w:highlight w:val="none"/>
                      <w:lang w:val="en-US" w:eastAsia="zh-CN"/>
                    </w:rPr>
                    <w:t>标准名称</w:t>
                  </w:r>
                </w:p>
              </w:tc>
              <w:tc>
                <w:tcPr>
                  <w:tcW w:w="678" w:type="pct"/>
                  <w:tcBorders>
                    <w:top w:val="single" w:color="auto" w:sz="4" w:space="0"/>
                    <w:left w:val="single" w:color="auto" w:sz="4" w:space="0"/>
                    <w:bottom w:val="single" w:color="auto" w:sz="4" w:space="0"/>
                    <w:right w:val="single" w:color="auto" w:sz="4" w:space="0"/>
                  </w:tcBorders>
                  <w:noWrap w:val="0"/>
                  <w:vAlign w:val="center"/>
                </w:tcPr>
                <w:p w14:paraId="7B42866A">
                  <w:pPr>
                    <w:pStyle w:val="27"/>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76" w:lineRule="auto"/>
                    <w:ind w:left="0" w:leftChars="0" w:right="0" w:rightChars="0" w:firstLine="0" w:firstLineChars="0"/>
                    <w:jc w:val="center"/>
                    <w:textAlignment w:val="auto"/>
                    <w:rPr>
                      <w:rFonts w:hint="default" w:ascii="Times New Roman" w:hAnsi="Times New Roman" w:eastAsia="宋体" w:cs="Times New Roman"/>
                      <w:color w:val="auto"/>
                      <w:sz w:val="18"/>
                      <w:szCs w:val="18"/>
                      <w:highlight w:val="none"/>
                      <w:lang w:val="en-US" w:eastAsia="zh-CN"/>
                    </w:rPr>
                  </w:pPr>
                  <w:r>
                    <w:rPr>
                      <w:rFonts w:hint="eastAsia" w:ascii="Times New Roman" w:hAnsi="Times New Roman" w:eastAsia="宋体" w:cs="Times New Roman"/>
                      <w:color w:val="auto"/>
                      <w:sz w:val="18"/>
                      <w:szCs w:val="18"/>
                      <w:highlight w:val="none"/>
                      <w:lang w:val="en-US" w:eastAsia="zh-CN"/>
                    </w:rPr>
                    <w:t>浓度限值</w:t>
                  </w:r>
                  <w:r>
                    <w:rPr>
                      <w:rFonts w:hint="default" w:ascii="Times New Roman" w:hAnsi="Times New Roman" w:eastAsia="宋体" w:cs="Times New Roman"/>
                      <w:color w:val="auto"/>
                      <w:sz w:val="18"/>
                      <w:szCs w:val="18"/>
                      <w:highlight w:val="none"/>
                      <w:lang w:val="en-US" w:eastAsia="zh-CN"/>
                    </w:rPr>
                    <w:t>/</w:t>
                  </w:r>
                  <w:r>
                    <w:rPr>
                      <w:rFonts w:hint="eastAsia" w:ascii="Times New Roman" w:hAnsi="Times New Roman" w:eastAsia="宋体" w:cs="Times New Roman"/>
                      <w:color w:val="auto"/>
                      <w:sz w:val="18"/>
                      <w:szCs w:val="18"/>
                      <w:highlight w:val="none"/>
                      <w:lang w:val="en-US" w:eastAsia="zh-CN"/>
                    </w:rPr>
                    <w:t>（</w:t>
                  </w:r>
                  <w:r>
                    <w:rPr>
                      <w:rFonts w:hint="default" w:ascii="Times New Roman" w:hAnsi="Times New Roman" w:eastAsia="宋体" w:cs="Times New Roman"/>
                      <w:color w:val="auto"/>
                      <w:sz w:val="18"/>
                      <w:szCs w:val="18"/>
                      <w:highlight w:val="none"/>
                      <w:lang w:val="en-US" w:eastAsia="zh-CN"/>
                    </w:rPr>
                    <w:t>mg/m</w:t>
                  </w:r>
                  <w:r>
                    <w:rPr>
                      <w:rFonts w:hint="default" w:ascii="Times New Roman" w:hAnsi="Times New Roman" w:eastAsia="宋体" w:cs="Times New Roman"/>
                      <w:color w:val="auto"/>
                      <w:sz w:val="18"/>
                      <w:szCs w:val="18"/>
                      <w:highlight w:val="none"/>
                      <w:vertAlign w:val="superscript"/>
                      <w:lang w:val="en-US" w:eastAsia="zh-CN"/>
                    </w:rPr>
                    <w:t>3</w:t>
                  </w:r>
                  <w:r>
                    <w:rPr>
                      <w:rFonts w:hint="eastAsia" w:ascii="Times New Roman" w:hAnsi="Times New Roman" w:eastAsia="宋体" w:cs="Times New Roman"/>
                      <w:color w:val="auto"/>
                      <w:sz w:val="18"/>
                      <w:szCs w:val="18"/>
                      <w:highlight w:val="none"/>
                      <w:lang w:val="en-US" w:eastAsia="zh-CN"/>
                    </w:rPr>
                    <w:t>）</w:t>
                  </w:r>
                </w:p>
              </w:tc>
              <w:tc>
                <w:tcPr>
                  <w:tcW w:w="428" w:type="pct"/>
                  <w:vMerge w:val="continue"/>
                  <w:tcBorders>
                    <w:top w:val="single" w:color="auto" w:sz="4" w:space="0"/>
                    <w:left w:val="single" w:color="auto" w:sz="4" w:space="0"/>
                    <w:bottom w:val="single" w:color="auto" w:sz="4" w:space="0"/>
                    <w:right w:val="single" w:color="auto" w:sz="4" w:space="0"/>
                  </w:tcBorders>
                  <w:noWrap w:val="0"/>
                  <w:vAlign w:val="center"/>
                </w:tcPr>
                <w:p w14:paraId="60059F3A">
                  <w:pPr>
                    <w:pStyle w:val="27"/>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76" w:lineRule="auto"/>
                    <w:ind w:left="0" w:leftChars="0" w:right="0" w:rightChars="0" w:firstLine="0" w:firstLineChars="0"/>
                    <w:jc w:val="center"/>
                    <w:textAlignment w:val="auto"/>
                    <w:rPr>
                      <w:rFonts w:hint="default" w:ascii="Times New Roman" w:hAnsi="Times New Roman" w:eastAsia="宋体" w:cs="Times New Roman"/>
                      <w:color w:val="auto"/>
                      <w:sz w:val="18"/>
                      <w:szCs w:val="18"/>
                      <w:highlight w:val="none"/>
                      <w:lang w:val="en-US" w:eastAsia="zh-CN"/>
                    </w:rPr>
                  </w:pPr>
                </w:p>
              </w:tc>
            </w:tr>
            <w:tr w14:paraId="2F69FD9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0" w:hRule="atLeast"/>
              </w:trPr>
              <w:tc>
                <w:tcPr>
                  <w:tcW w:w="192" w:type="pct"/>
                  <w:tcBorders>
                    <w:top w:val="single" w:color="auto" w:sz="4" w:space="0"/>
                    <w:left w:val="single" w:color="auto" w:sz="4" w:space="0"/>
                    <w:bottom w:val="single" w:color="auto" w:sz="4" w:space="0"/>
                    <w:right w:val="single" w:color="auto" w:sz="4" w:space="0"/>
                  </w:tcBorders>
                  <w:noWrap w:val="0"/>
                  <w:vAlign w:val="center"/>
                </w:tcPr>
                <w:p w14:paraId="0DF4DF6A">
                  <w:pPr>
                    <w:pStyle w:val="27"/>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76" w:lineRule="auto"/>
                    <w:ind w:left="0" w:leftChars="0" w:right="0" w:rightChars="0" w:firstLine="0" w:firstLineChars="0"/>
                    <w:jc w:val="center"/>
                    <w:textAlignment w:val="auto"/>
                    <w:rPr>
                      <w:rFonts w:hint="default" w:ascii="Times New Roman" w:hAnsi="Times New Roman" w:eastAsia="宋体" w:cs="Times New Roman"/>
                      <w:color w:val="auto"/>
                      <w:sz w:val="18"/>
                      <w:szCs w:val="18"/>
                      <w:highlight w:val="none"/>
                      <w:lang w:val="en-US" w:eastAsia="zh-CN"/>
                    </w:rPr>
                  </w:pPr>
                  <w:r>
                    <w:rPr>
                      <w:rFonts w:hint="eastAsia" w:ascii="Times New Roman" w:hAnsi="Times New Roman" w:eastAsia="宋体" w:cs="Times New Roman"/>
                      <w:color w:val="auto"/>
                      <w:sz w:val="18"/>
                      <w:szCs w:val="18"/>
                      <w:highlight w:val="none"/>
                      <w:lang w:val="en-US" w:eastAsia="zh-CN"/>
                    </w:rPr>
                    <w:t>1</w:t>
                  </w:r>
                </w:p>
              </w:tc>
              <w:tc>
                <w:tcPr>
                  <w:tcW w:w="456" w:type="pct"/>
                  <w:vMerge w:val="restart"/>
                  <w:tcBorders>
                    <w:top w:val="single" w:color="auto" w:sz="4" w:space="0"/>
                    <w:left w:val="single" w:color="auto" w:sz="4" w:space="0"/>
                    <w:right w:val="single" w:color="auto" w:sz="4" w:space="0"/>
                  </w:tcBorders>
                  <w:noWrap w:val="0"/>
                  <w:vAlign w:val="center"/>
                </w:tcPr>
                <w:p w14:paraId="7AF6EBA6">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76" w:lineRule="auto"/>
                    <w:ind w:left="0" w:leftChars="0" w:right="0" w:rightChars="0" w:firstLine="0" w:firstLineChars="0"/>
                    <w:jc w:val="center"/>
                    <w:textAlignment w:val="auto"/>
                    <w:rPr>
                      <w:rFonts w:hint="default" w:ascii="Times New Roman" w:hAnsi="Times New Roman" w:eastAsia="宋体" w:cs="Times New Roman"/>
                      <w:color w:val="auto"/>
                      <w:sz w:val="18"/>
                      <w:szCs w:val="18"/>
                      <w:highlight w:val="none"/>
                      <w:lang w:val="en-US" w:eastAsia="zh-CN"/>
                    </w:rPr>
                  </w:pPr>
                  <w:r>
                    <w:rPr>
                      <w:rFonts w:hint="eastAsia" w:ascii="Times New Roman" w:hAnsi="Times New Roman" w:eastAsia="宋体" w:cs="Times New Roman"/>
                      <w:color w:val="auto"/>
                      <w:sz w:val="18"/>
                      <w:szCs w:val="18"/>
                      <w:highlight w:val="none"/>
                      <w:lang w:val="en-US" w:eastAsia="zh-CN"/>
                    </w:rPr>
                    <w:t>/</w:t>
                  </w:r>
                </w:p>
              </w:tc>
              <w:tc>
                <w:tcPr>
                  <w:tcW w:w="619" w:type="pct"/>
                  <w:vMerge w:val="restart"/>
                  <w:tcBorders>
                    <w:top w:val="single" w:color="auto" w:sz="4" w:space="0"/>
                    <w:left w:val="single" w:color="auto" w:sz="4" w:space="0"/>
                    <w:right w:val="single" w:color="auto" w:sz="4" w:space="0"/>
                  </w:tcBorders>
                  <w:noWrap w:val="0"/>
                  <w:vAlign w:val="center"/>
                </w:tcPr>
                <w:p w14:paraId="248F8409">
                  <w:pPr>
                    <w:pStyle w:val="27"/>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76" w:lineRule="auto"/>
                    <w:ind w:left="0" w:leftChars="0" w:right="0" w:rightChars="0" w:firstLine="0" w:firstLineChars="0"/>
                    <w:jc w:val="center"/>
                    <w:textAlignment w:val="auto"/>
                    <w:rPr>
                      <w:rFonts w:hint="default" w:ascii="Times New Roman" w:hAnsi="Times New Roman" w:eastAsia="宋体" w:cs="Times New Roman"/>
                      <w:color w:val="auto"/>
                      <w:sz w:val="18"/>
                      <w:szCs w:val="18"/>
                      <w:highlight w:val="none"/>
                      <w:lang w:val="en-US" w:eastAsia="zh-CN"/>
                    </w:rPr>
                  </w:pPr>
                  <w:r>
                    <w:rPr>
                      <w:rFonts w:hint="eastAsia" w:ascii="Times New Roman" w:hAnsi="Times New Roman" w:eastAsia="宋体" w:cs="Times New Roman"/>
                      <w:color w:val="auto"/>
                      <w:sz w:val="18"/>
                      <w:szCs w:val="18"/>
                      <w:highlight w:val="none"/>
                      <w:lang w:val="en-US" w:eastAsia="zh-CN"/>
                    </w:rPr>
                    <w:t>动物饲养</w:t>
                  </w:r>
                </w:p>
              </w:tc>
              <w:tc>
                <w:tcPr>
                  <w:tcW w:w="645" w:type="pct"/>
                  <w:tcBorders>
                    <w:top w:val="single" w:color="auto" w:sz="4" w:space="0"/>
                    <w:left w:val="single" w:color="auto" w:sz="4" w:space="0"/>
                    <w:bottom w:val="single" w:color="auto" w:sz="4" w:space="0"/>
                    <w:right w:val="single" w:color="auto" w:sz="4" w:space="0"/>
                  </w:tcBorders>
                  <w:shd w:val="clear" w:color="auto" w:fill="auto"/>
                  <w:noWrap w:val="0"/>
                  <w:vAlign w:val="center"/>
                </w:tcPr>
                <w:p w14:paraId="796C6780">
                  <w:pPr>
                    <w:pStyle w:val="27"/>
                    <w:keepNext w:val="0"/>
                    <w:keepLines w:val="0"/>
                    <w:widowControl w:val="0"/>
                    <w:suppressLineNumbers w:val="0"/>
                    <w:spacing w:before="0" w:beforeAutospacing="0" w:after="0" w:afterAutospacing="0" w:line="240" w:lineRule="auto"/>
                    <w:ind w:left="0" w:leftChars="0" w:right="0" w:rightChars="0" w:firstLine="0" w:firstLineChars="0"/>
                    <w:jc w:val="center"/>
                    <w:rPr>
                      <w:rFonts w:hint="default" w:ascii="Times New Roman" w:hAnsi="Times New Roman" w:eastAsia="宋体" w:cs="Times New Roman"/>
                      <w:color w:val="auto"/>
                      <w:kern w:val="0"/>
                      <w:sz w:val="18"/>
                      <w:szCs w:val="18"/>
                      <w:highlight w:val="none"/>
                      <w:lang w:val="en-US" w:eastAsia="zh-CN" w:bidi="ar-SA"/>
                    </w:rPr>
                  </w:pPr>
                  <w:r>
                    <w:rPr>
                      <w:rFonts w:hint="eastAsia" w:ascii="Times New Roman" w:hAnsi="Times New Roman" w:eastAsia="宋体" w:cs="Times New Roman"/>
                      <w:color w:val="auto"/>
                      <w:sz w:val="18"/>
                      <w:szCs w:val="18"/>
                      <w:highlight w:val="none"/>
                      <w:lang w:val="en-US" w:eastAsia="zh-CN"/>
                    </w:rPr>
                    <w:t>氨</w:t>
                  </w:r>
                </w:p>
              </w:tc>
              <w:tc>
                <w:tcPr>
                  <w:tcW w:w="472" w:type="pct"/>
                  <w:vMerge w:val="restart"/>
                  <w:tcBorders>
                    <w:top w:val="single" w:color="auto" w:sz="4" w:space="0"/>
                    <w:left w:val="single" w:color="auto" w:sz="4" w:space="0"/>
                    <w:right w:val="single" w:color="auto" w:sz="4" w:space="0"/>
                  </w:tcBorders>
                  <w:noWrap w:val="0"/>
                  <w:vAlign w:val="center"/>
                </w:tcPr>
                <w:p w14:paraId="5E12DDDC">
                  <w:pPr>
                    <w:pStyle w:val="27"/>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76" w:lineRule="auto"/>
                    <w:ind w:left="0" w:leftChars="0" w:right="0" w:rightChars="0" w:firstLine="0" w:firstLineChars="0"/>
                    <w:jc w:val="center"/>
                    <w:textAlignment w:val="auto"/>
                    <w:rPr>
                      <w:rFonts w:hint="default" w:ascii="Times New Roman" w:hAnsi="Times New Roman" w:eastAsia="宋体" w:cs="Times New Roman"/>
                      <w:color w:val="auto"/>
                      <w:sz w:val="18"/>
                      <w:szCs w:val="18"/>
                      <w:highlight w:val="none"/>
                      <w:lang w:val="en-US" w:eastAsia="zh-CN"/>
                    </w:rPr>
                  </w:pPr>
                  <w:r>
                    <w:rPr>
                      <w:rFonts w:hint="eastAsia" w:ascii="Times New Roman" w:hAnsi="Times New Roman" w:eastAsia="宋体" w:cs="Times New Roman"/>
                      <w:color w:val="auto"/>
                      <w:sz w:val="18"/>
                      <w:szCs w:val="18"/>
                      <w:highlight w:val="none"/>
                      <w:lang w:val="en-US" w:eastAsia="zh-CN"/>
                    </w:rPr>
                    <w:t>加强通风</w:t>
                  </w:r>
                </w:p>
              </w:tc>
              <w:tc>
                <w:tcPr>
                  <w:tcW w:w="1506" w:type="pct"/>
                  <w:vMerge w:val="restart"/>
                  <w:tcBorders>
                    <w:top w:val="nil"/>
                    <w:left w:val="single" w:color="auto" w:sz="4" w:space="0"/>
                    <w:right w:val="single" w:color="auto" w:sz="4" w:space="0"/>
                  </w:tcBorders>
                  <w:noWrap w:val="0"/>
                  <w:vAlign w:val="center"/>
                </w:tcPr>
                <w:p w14:paraId="04A19824">
                  <w:pPr>
                    <w:pStyle w:val="27"/>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76" w:lineRule="auto"/>
                    <w:ind w:left="0" w:leftChars="0" w:right="0" w:rightChars="0" w:firstLine="0" w:firstLineChars="0"/>
                    <w:jc w:val="center"/>
                    <w:textAlignment w:val="auto"/>
                    <w:rPr>
                      <w:rFonts w:hint="eastAsia" w:ascii="Times New Roman" w:hAnsi="Times New Roman" w:eastAsia="宋体" w:cs="Times New Roman"/>
                      <w:color w:val="auto"/>
                      <w:sz w:val="18"/>
                      <w:szCs w:val="18"/>
                      <w:highlight w:val="none"/>
                      <w:lang w:val="en-US" w:eastAsia="zh-CN"/>
                    </w:rPr>
                  </w:pPr>
                  <w:r>
                    <w:rPr>
                      <w:rFonts w:hint="eastAsia" w:ascii="Times New Roman" w:hAnsi="Times New Roman" w:eastAsia="宋体" w:cs="Times New Roman"/>
                      <w:kern w:val="0"/>
                      <w:sz w:val="18"/>
                      <w:szCs w:val="18"/>
                      <w:highlight w:val="none"/>
                    </w:rPr>
                    <w:t>《恶臭污染物排放标准》（GB14554-93）表1</w:t>
                  </w:r>
                </w:p>
              </w:tc>
              <w:tc>
                <w:tcPr>
                  <w:tcW w:w="678" w:type="pct"/>
                  <w:tcBorders>
                    <w:top w:val="single" w:color="auto" w:sz="4" w:space="0"/>
                    <w:left w:val="single" w:color="auto" w:sz="4" w:space="0"/>
                    <w:bottom w:val="single" w:color="auto" w:sz="4" w:space="0"/>
                    <w:right w:val="single" w:color="auto" w:sz="4" w:space="0"/>
                  </w:tcBorders>
                  <w:noWrap w:val="0"/>
                  <w:vAlign w:val="center"/>
                </w:tcPr>
                <w:p w14:paraId="56F5D8CE">
                  <w:pPr>
                    <w:pStyle w:val="27"/>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76" w:lineRule="auto"/>
                    <w:ind w:left="0" w:leftChars="0" w:right="0" w:rightChars="0" w:firstLine="0" w:firstLineChars="0"/>
                    <w:jc w:val="center"/>
                    <w:textAlignment w:val="auto"/>
                    <w:rPr>
                      <w:rFonts w:hint="default" w:ascii="Times New Roman" w:hAnsi="Times New Roman" w:eastAsia="宋体" w:cs="Times New Roman"/>
                      <w:color w:val="auto"/>
                      <w:sz w:val="18"/>
                      <w:szCs w:val="18"/>
                      <w:highlight w:val="none"/>
                      <w:lang w:val="en-US" w:eastAsia="zh-CN"/>
                    </w:rPr>
                  </w:pPr>
                  <w:r>
                    <w:rPr>
                      <w:rFonts w:hint="eastAsia" w:ascii="Times New Roman" w:hAnsi="Times New Roman" w:eastAsia="宋体" w:cs="Times New Roman"/>
                      <w:color w:val="auto"/>
                      <w:sz w:val="18"/>
                      <w:szCs w:val="18"/>
                      <w:highlight w:val="none"/>
                      <w:lang w:val="en-US" w:eastAsia="zh-CN"/>
                    </w:rPr>
                    <w:t>1.5</w:t>
                  </w:r>
                </w:p>
              </w:tc>
              <w:tc>
                <w:tcPr>
                  <w:tcW w:w="428" w:type="pct"/>
                  <w:tcBorders>
                    <w:top w:val="single" w:color="auto" w:sz="4" w:space="0"/>
                    <w:left w:val="single" w:color="auto" w:sz="4" w:space="0"/>
                    <w:bottom w:val="single" w:color="auto" w:sz="4" w:space="0"/>
                    <w:right w:val="single" w:color="auto" w:sz="4" w:space="0"/>
                  </w:tcBorders>
                  <w:shd w:val="clear" w:color="auto" w:fill="auto"/>
                  <w:noWrap w:val="0"/>
                  <w:vAlign w:val="center"/>
                </w:tcPr>
                <w:p w14:paraId="21E9B93D">
                  <w:pPr>
                    <w:keepNext w:val="0"/>
                    <w:keepLines w:val="0"/>
                    <w:widowControl/>
                    <w:suppressLineNumbers w:val="0"/>
                    <w:spacing w:before="0" w:beforeAutospacing="0" w:after="0" w:afterAutospacing="0" w:line="280" w:lineRule="exact"/>
                    <w:ind w:left="0" w:leftChars="0" w:right="0" w:rightChars="0"/>
                    <w:jc w:val="center"/>
                    <w:textAlignment w:val="center"/>
                    <w:rPr>
                      <w:rFonts w:hint="default" w:ascii="Times New Roman" w:hAnsi="Times New Roman" w:eastAsia="宋体" w:cs="Times New Roman"/>
                      <w:b w:val="0"/>
                      <w:bCs/>
                      <w:kern w:val="2"/>
                      <w:sz w:val="18"/>
                      <w:szCs w:val="18"/>
                      <w:highlight w:val="none"/>
                      <w:lang w:val="en-US" w:eastAsia="zh-CN" w:bidi="ar"/>
                    </w:rPr>
                  </w:pPr>
                  <w:r>
                    <w:rPr>
                      <w:rFonts w:hint="eastAsia" w:cs="Times New Roman"/>
                      <w:b w:val="0"/>
                      <w:bCs/>
                      <w:sz w:val="18"/>
                      <w:szCs w:val="18"/>
                      <w:highlight w:val="none"/>
                      <w:lang w:val="en-US" w:eastAsia="zh-CN" w:bidi="ar"/>
                    </w:rPr>
                    <w:t>0.037</w:t>
                  </w:r>
                </w:p>
              </w:tc>
            </w:tr>
            <w:tr w14:paraId="7EFE274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0" w:hRule="atLeast"/>
              </w:trPr>
              <w:tc>
                <w:tcPr>
                  <w:tcW w:w="192" w:type="pct"/>
                  <w:tcBorders>
                    <w:top w:val="single" w:color="auto" w:sz="4" w:space="0"/>
                    <w:left w:val="single" w:color="auto" w:sz="4" w:space="0"/>
                    <w:bottom w:val="single" w:color="auto" w:sz="4" w:space="0"/>
                    <w:right w:val="single" w:color="auto" w:sz="4" w:space="0"/>
                  </w:tcBorders>
                  <w:shd w:val="clear" w:color="auto" w:fill="auto"/>
                  <w:noWrap w:val="0"/>
                  <w:vAlign w:val="center"/>
                </w:tcPr>
                <w:p w14:paraId="6B7B7C86">
                  <w:pPr>
                    <w:pStyle w:val="27"/>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76" w:lineRule="auto"/>
                    <w:ind w:left="0" w:leftChars="0" w:right="0" w:rightChars="0" w:firstLine="0" w:firstLineChars="0"/>
                    <w:jc w:val="center"/>
                    <w:textAlignment w:val="auto"/>
                    <w:rPr>
                      <w:rFonts w:hint="eastAsia" w:ascii="Times New Roman" w:hAnsi="Times New Roman" w:eastAsia="宋体" w:cs="Times New Roman"/>
                      <w:color w:val="auto"/>
                      <w:kern w:val="0"/>
                      <w:sz w:val="18"/>
                      <w:szCs w:val="18"/>
                      <w:highlight w:val="none"/>
                      <w:lang w:val="en-US" w:eastAsia="zh-CN" w:bidi="ar-SA"/>
                    </w:rPr>
                  </w:pPr>
                  <w:r>
                    <w:rPr>
                      <w:rFonts w:hint="eastAsia" w:ascii="Times New Roman" w:hAnsi="Times New Roman" w:eastAsia="宋体" w:cs="Times New Roman"/>
                      <w:color w:val="auto"/>
                      <w:sz w:val="18"/>
                      <w:szCs w:val="18"/>
                      <w:highlight w:val="none"/>
                      <w:lang w:val="en-US" w:eastAsia="zh-CN"/>
                    </w:rPr>
                    <w:t>2</w:t>
                  </w:r>
                </w:p>
              </w:tc>
              <w:tc>
                <w:tcPr>
                  <w:tcW w:w="456" w:type="pct"/>
                  <w:vMerge w:val="continue"/>
                  <w:tcBorders>
                    <w:left w:val="single" w:color="auto" w:sz="4" w:space="0"/>
                    <w:right w:val="single" w:color="auto" w:sz="4" w:space="0"/>
                  </w:tcBorders>
                  <w:noWrap w:val="0"/>
                  <w:vAlign w:val="center"/>
                </w:tcPr>
                <w:p w14:paraId="313728E3">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76" w:lineRule="auto"/>
                    <w:ind w:left="0" w:leftChars="0" w:right="0" w:rightChars="0" w:firstLine="0" w:firstLineChars="0"/>
                    <w:jc w:val="center"/>
                    <w:textAlignment w:val="auto"/>
                    <w:rPr>
                      <w:rFonts w:hint="eastAsia" w:ascii="Times New Roman" w:hAnsi="Times New Roman" w:eastAsia="宋体" w:cs="Times New Roman"/>
                      <w:color w:val="auto"/>
                      <w:sz w:val="18"/>
                      <w:szCs w:val="18"/>
                      <w:highlight w:val="none"/>
                      <w:lang w:val="en-US" w:eastAsia="zh-CN"/>
                    </w:rPr>
                  </w:pPr>
                </w:p>
              </w:tc>
              <w:tc>
                <w:tcPr>
                  <w:tcW w:w="619" w:type="pct"/>
                  <w:vMerge w:val="continue"/>
                  <w:tcBorders>
                    <w:left w:val="single" w:color="auto" w:sz="4" w:space="0"/>
                    <w:right w:val="single" w:color="auto" w:sz="4" w:space="0"/>
                  </w:tcBorders>
                  <w:noWrap w:val="0"/>
                  <w:vAlign w:val="center"/>
                </w:tcPr>
                <w:p w14:paraId="583BD364">
                  <w:pPr>
                    <w:pStyle w:val="27"/>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76" w:lineRule="auto"/>
                    <w:ind w:left="0" w:leftChars="0" w:right="0" w:rightChars="0" w:firstLine="0" w:firstLineChars="0"/>
                    <w:jc w:val="center"/>
                    <w:textAlignment w:val="auto"/>
                    <w:rPr>
                      <w:rFonts w:hint="eastAsia" w:ascii="Times New Roman" w:hAnsi="Times New Roman" w:eastAsia="宋体" w:cs="Times New Roman"/>
                      <w:color w:val="auto"/>
                      <w:sz w:val="18"/>
                      <w:szCs w:val="18"/>
                      <w:highlight w:val="none"/>
                      <w:lang w:val="en-US" w:eastAsia="zh-CN"/>
                    </w:rPr>
                  </w:pPr>
                </w:p>
              </w:tc>
              <w:tc>
                <w:tcPr>
                  <w:tcW w:w="645" w:type="pct"/>
                  <w:tcBorders>
                    <w:top w:val="single" w:color="auto" w:sz="4" w:space="0"/>
                    <w:left w:val="single" w:color="auto" w:sz="4" w:space="0"/>
                    <w:bottom w:val="single" w:color="auto" w:sz="4" w:space="0"/>
                    <w:right w:val="single" w:color="auto" w:sz="4" w:space="0"/>
                  </w:tcBorders>
                  <w:shd w:val="clear" w:color="auto" w:fill="auto"/>
                  <w:noWrap w:val="0"/>
                  <w:vAlign w:val="center"/>
                </w:tcPr>
                <w:p w14:paraId="4103E871">
                  <w:pPr>
                    <w:pStyle w:val="27"/>
                    <w:keepNext w:val="0"/>
                    <w:keepLines w:val="0"/>
                    <w:widowControl w:val="0"/>
                    <w:suppressLineNumbers w:val="0"/>
                    <w:spacing w:before="0" w:beforeAutospacing="0" w:after="0" w:afterAutospacing="0" w:line="240" w:lineRule="auto"/>
                    <w:ind w:left="0" w:leftChars="0" w:right="0" w:rightChars="0" w:firstLine="0" w:firstLineChars="0"/>
                    <w:jc w:val="center"/>
                    <w:rPr>
                      <w:rFonts w:hint="eastAsia" w:ascii="Times New Roman" w:hAnsi="Times New Roman" w:eastAsia="宋体" w:cs="Times New Roman"/>
                      <w:color w:val="auto"/>
                      <w:kern w:val="0"/>
                      <w:sz w:val="18"/>
                      <w:szCs w:val="18"/>
                      <w:highlight w:val="none"/>
                      <w:lang w:val="en-US" w:eastAsia="zh-CN" w:bidi="ar-SA"/>
                    </w:rPr>
                  </w:pPr>
                  <w:r>
                    <w:rPr>
                      <w:rFonts w:hint="eastAsia" w:ascii="Times New Roman" w:hAnsi="Times New Roman" w:eastAsia="宋体" w:cs="Times New Roman"/>
                      <w:color w:val="auto"/>
                      <w:sz w:val="18"/>
                      <w:szCs w:val="18"/>
                      <w:highlight w:val="none"/>
                      <w:lang w:val="en-US" w:eastAsia="zh-CN"/>
                    </w:rPr>
                    <w:t>硫化氢</w:t>
                  </w:r>
                </w:p>
              </w:tc>
              <w:tc>
                <w:tcPr>
                  <w:tcW w:w="472" w:type="pct"/>
                  <w:vMerge w:val="continue"/>
                  <w:tcBorders>
                    <w:left w:val="single" w:color="auto" w:sz="4" w:space="0"/>
                    <w:right w:val="single" w:color="auto" w:sz="4" w:space="0"/>
                  </w:tcBorders>
                  <w:noWrap w:val="0"/>
                  <w:vAlign w:val="center"/>
                </w:tcPr>
                <w:p w14:paraId="6A5BAB54">
                  <w:pPr>
                    <w:pStyle w:val="27"/>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76" w:lineRule="auto"/>
                    <w:ind w:left="0" w:leftChars="0" w:right="0" w:rightChars="0" w:firstLine="0" w:firstLineChars="0"/>
                    <w:jc w:val="center"/>
                    <w:textAlignment w:val="auto"/>
                    <w:rPr>
                      <w:rFonts w:hint="eastAsia" w:ascii="Times New Roman" w:hAnsi="Times New Roman" w:eastAsia="宋体" w:cs="Times New Roman"/>
                      <w:color w:val="auto"/>
                      <w:sz w:val="18"/>
                      <w:szCs w:val="18"/>
                      <w:highlight w:val="none"/>
                      <w:lang w:val="en-US" w:eastAsia="zh-CN"/>
                    </w:rPr>
                  </w:pPr>
                </w:p>
              </w:tc>
              <w:tc>
                <w:tcPr>
                  <w:tcW w:w="1506" w:type="pct"/>
                  <w:vMerge w:val="continue"/>
                  <w:tcBorders>
                    <w:left w:val="single" w:color="auto" w:sz="4" w:space="0"/>
                    <w:right w:val="single" w:color="auto" w:sz="4" w:space="0"/>
                  </w:tcBorders>
                  <w:noWrap w:val="0"/>
                  <w:vAlign w:val="center"/>
                </w:tcPr>
                <w:p w14:paraId="5003C419">
                  <w:pPr>
                    <w:pStyle w:val="27"/>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76" w:lineRule="auto"/>
                    <w:ind w:left="0" w:leftChars="0" w:right="0" w:rightChars="0" w:firstLine="0" w:firstLineChars="0"/>
                    <w:jc w:val="center"/>
                    <w:textAlignment w:val="auto"/>
                    <w:rPr>
                      <w:rFonts w:hint="eastAsia" w:ascii="Times New Roman" w:hAnsi="Times New Roman" w:eastAsia="宋体" w:cs="Times New Roman"/>
                      <w:color w:val="auto"/>
                      <w:sz w:val="18"/>
                      <w:szCs w:val="18"/>
                      <w:highlight w:val="none"/>
                      <w:lang w:val="en-US" w:eastAsia="zh-CN"/>
                    </w:rPr>
                  </w:pPr>
                </w:p>
              </w:tc>
              <w:tc>
                <w:tcPr>
                  <w:tcW w:w="678" w:type="pct"/>
                  <w:tcBorders>
                    <w:top w:val="single" w:color="auto" w:sz="4" w:space="0"/>
                    <w:left w:val="single" w:color="auto" w:sz="4" w:space="0"/>
                    <w:bottom w:val="single" w:color="auto" w:sz="4" w:space="0"/>
                    <w:right w:val="single" w:color="auto" w:sz="4" w:space="0"/>
                  </w:tcBorders>
                  <w:noWrap w:val="0"/>
                  <w:vAlign w:val="center"/>
                </w:tcPr>
                <w:p w14:paraId="3ABFEE3C">
                  <w:pPr>
                    <w:pStyle w:val="27"/>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76" w:lineRule="auto"/>
                    <w:ind w:left="0" w:leftChars="0" w:right="0" w:rightChars="0" w:firstLine="0" w:firstLineChars="0"/>
                    <w:jc w:val="center"/>
                    <w:textAlignment w:val="auto"/>
                    <w:rPr>
                      <w:rFonts w:hint="default" w:ascii="Times New Roman" w:hAnsi="Times New Roman" w:eastAsia="宋体" w:cs="Times New Roman"/>
                      <w:color w:val="auto"/>
                      <w:sz w:val="18"/>
                      <w:szCs w:val="18"/>
                      <w:highlight w:val="none"/>
                      <w:lang w:val="en-US" w:eastAsia="zh-CN"/>
                    </w:rPr>
                  </w:pPr>
                  <w:r>
                    <w:rPr>
                      <w:rFonts w:hint="eastAsia" w:ascii="Times New Roman" w:hAnsi="Times New Roman" w:eastAsia="宋体" w:cs="Times New Roman"/>
                      <w:color w:val="auto"/>
                      <w:sz w:val="18"/>
                      <w:szCs w:val="18"/>
                      <w:highlight w:val="none"/>
                      <w:lang w:val="en-US" w:eastAsia="zh-CN"/>
                    </w:rPr>
                    <w:t>0.06</w:t>
                  </w:r>
                </w:p>
              </w:tc>
              <w:tc>
                <w:tcPr>
                  <w:tcW w:w="428" w:type="pct"/>
                  <w:tcBorders>
                    <w:top w:val="single" w:color="auto" w:sz="4" w:space="0"/>
                    <w:left w:val="single" w:color="auto" w:sz="4" w:space="0"/>
                    <w:bottom w:val="single" w:color="auto" w:sz="4" w:space="0"/>
                    <w:right w:val="single" w:color="auto" w:sz="4" w:space="0"/>
                  </w:tcBorders>
                  <w:shd w:val="clear" w:color="auto" w:fill="auto"/>
                  <w:noWrap w:val="0"/>
                  <w:vAlign w:val="center"/>
                </w:tcPr>
                <w:p w14:paraId="2D0B964D">
                  <w:pPr>
                    <w:keepNext w:val="0"/>
                    <w:keepLines w:val="0"/>
                    <w:widowControl/>
                    <w:suppressLineNumbers w:val="0"/>
                    <w:spacing w:before="0" w:beforeAutospacing="0" w:after="0" w:afterAutospacing="0" w:line="280" w:lineRule="exact"/>
                    <w:ind w:left="0" w:leftChars="0" w:right="0" w:rightChars="0"/>
                    <w:jc w:val="center"/>
                    <w:textAlignment w:val="center"/>
                    <w:rPr>
                      <w:rFonts w:hint="eastAsia" w:ascii="Times New Roman" w:hAnsi="Times New Roman" w:eastAsia="宋体" w:cs="Times New Roman"/>
                      <w:b w:val="0"/>
                      <w:bCs/>
                      <w:kern w:val="2"/>
                      <w:sz w:val="18"/>
                      <w:szCs w:val="18"/>
                      <w:highlight w:val="none"/>
                      <w:lang w:val="en-US" w:eastAsia="zh-CN" w:bidi="ar"/>
                    </w:rPr>
                  </w:pPr>
                  <w:r>
                    <w:rPr>
                      <w:rFonts w:hint="eastAsia" w:cs="Times New Roman"/>
                      <w:b w:val="0"/>
                      <w:bCs/>
                      <w:sz w:val="18"/>
                      <w:szCs w:val="18"/>
                      <w:highlight w:val="none"/>
                      <w:lang w:val="en-US" w:eastAsia="zh-CN" w:bidi="ar"/>
                    </w:rPr>
                    <w:t>0.005</w:t>
                  </w:r>
                </w:p>
              </w:tc>
            </w:tr>
            <w:tr w14:paraId="34FC7B1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0" w:hRule="atLeast"/>
              </w:trPr>
              <w:tc>
                <w:tcPr>
                  <w:tcW w:w="192" w:type="pct"/>
                  <w:tcBorders>
                    <w:top w:val="single" w:color="auto" w:sz="4" w:space="0"/>
                    <w:left w:val="single" w:color="auto" w:sz="4" w:space="0"/>
                    <w:bottom w:val="single" w:color="auto" w:sz="4" w:space="0"/>
                    <w:right w:val="single" w:color="auto" w:sz="4" w:space="0"/>
                  </w:tcBorders>
                  <w:shd w:val="clear" w:color="auto" w:fill="auto"/>
                  <w:noWrap w:val="0"/>
                  <w:vAlign w:val="center"/>
                </w:tcPr>
                <w:p w14:paraId="1F1F14EA">
                  <w:pPr>
                    <w:pStyle w:val="27"/>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76" w:lineRule="auto"/>
                    <w:ind w:left="0" w:leftChars="0" w:right="0" w:rightChars="0" w:firstLine="0" w:firstLineChars="0"/>
                    <w:jc w:val="center"/>
                    <w:textAlignment w:val="auto"/>
                    <w:rPr>
                      <w:rFonts w:hint="eastAsia" w:ascii="Times New Roman" w:hAnsi="Times New Roman" w:eastAsia="宋体" w:cs="Times New Roman"/>
                      <w:color w:val="auto"/>
                      <w:kern w:val="0"/>
                      <w:sz w:val="18"/>
                      <w:szCs w:val="18"/>
                      <w:highlight w:val="none"/>
                      <w:lang w:val="en-US" w:eastAsia="zh-CN" w:bidi="ar-SA"/>
                    </w:rPr>
                  </w:pPr>
                  <w:r>
                    <w:rPr>
                      <w:rFonts w:hint="eastAsia" w:ascii="Times New Roman" w:hAnsi="Times New Roman" w:eastAsia="宋体" w:cs="Times New Roman"/>
                      <w:color w:val="auto"/>
                      <w:sz w:val="18"/>
                      <w:szCs w:val="18"/>
                      <w:highlight w:val="none"/>
                      <w:lang w:val="en-US" w:eastAsia="zh-CN"/>
                    </w:rPr>
                    <w:t>3</w:t>
                  </w:r>
                </w:p>
              </w:tc>
              <w:tc>
                <w:tcPr>
                  <w:tcW w:w="456" w:type="pct"/>
                  <w:vMerge w:val="continue"/>
                  <w:tcBorders>
                    <w:left w:val="single" w:color="auto" w:sz="4" w:space="0"/>
                    <w:bottom w:val="single" w:color="auto" w:sz="4" w:space="0"/>
                    <w:right w:val="single" w:color="auto" w:sz="4" w:space="0"/>
                  </w:tcBorders>
                  <w:noWrap w:val="0"/>
                  <w:vAlign w:val="center"/>
                </w:tcPr>
                <w:p w14:paraId="1BE31A94">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76" w:lineRule="auto"/>
                    <w:ind w:left="0" w:leftChars="0" w:right="0" w:rightChars="0" w:firstLine="0" w:firstLineChars="0"/>
                    <w:jc w:val="center"/>
                    <w:textAlignment w:val="auto"/>
                    <w:rPr>
                      <w:rFonts w:hint="eastAsia" w:ascii="Times New Roman" w:hAnsi="Times New Roman" w:eastAsia="宋体" w:cs="Times New Roman"/>
                      <w:color w:val="auto"/>
                      <w:sz w:val="18"/>
                      <w:szCs w:val="18"/>
                      <w:highlight w:val="none"/>
                      <w:lang w:val="en-US" w:eastAsia="zh-CN"/>
                    </w:rPr>
                  </w:pPr>
                </w:p>
              </w:tc>
              <w:tc>
                <w:tcPr>
                  <w:tcW w:w="619" w:type="pct"/>
                  <w:vMerge w:val="continue"/>
                  <w:tcBorders>
                    <w:left w:val="single" w:color="auto" w:sz="4" w:space="0"/>
                    <w:bottom w:val="single" w:color="auto" w:sz="4" w:space="0"/>
                    <w:right w:val="single" w:color="auto" w:sz="4" w:space="0"/>
                  </w:tcBorders>
                  <w:noWrap w:val="0"/>
                  <w:vAlign w:val="center"/>
                </w:tcPr>
                <w:p w14:paraId="6E112F93">
                  <w:pPr>
                    <w:pStyle w:val="27"/>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76" w:lineRule="auto"/>
                    <w:ind w:left="0" w:leftChars="0" w:right="0" w:rightChars="0" w:firstLine="0" w:firstLineChars="0"/>
                    <w:jc w:val="center"/>
                    <w:textAlignment w:val="auto"/>
                    <w:rPr>
                      <w:rFonts w:hint="eastAsia" w:ascii="Times New Roman" w:hAnsi="Times New Roman" w:eastAsia="宋体" w:cs="Times New Roman"/>
                      <w:color w:val="auto"/>
                      <w:sz w:val="18"/>
                      <w:szCs w:val="18"/>
                      <w:highlight w:val="none"/>
                      <w:lang w:val="en-US" w:eastAsia="zh-CN"/>
                    </w:rPr>
                  </w:pPr>
                </w:p>
              </w:tc>
              <w:tc>
                <w:tcPr>
                  <w:tcW w:w="645" w:type="pct"/>
                  <w:tcBorders>
                    <w:top w:val="single" w:color="auto" w:sz="4" w:space="0"/>
                    <w:left w:val="single" w:color="auto" w:sz="4" w:space="0"/>
                    <w:bottom w:val="single" w:color="auto" w:sz="4" w:space="0"/>
                    <w:right w:val="single" w:color="auto" w:sz="4" w:space="0"/>
                  </w:tcBorders>
                  <w:shd w:val="clear" w:color="auto" w:fill="auto"/>
                  <w:noWrap w:val="0"/>
                  <w:vAlign w:val="center"/>
                </w:tcPr>
                <w:p w14:paraId="324C238C">
                  <w:pPr>
                    <w:pStyle w:val="27"/>
                    <w:keepNext w:val="0"/>
                    <w:keepLines w:val="0"/>
                    <w:widowControl w:val="0"/>
                    <w:suppressLineNumbers w:val="0"/>
                    <w:spacing w:before="0" w:beforeAutospacing="0" w:after="0" w:afterAutospacing="0" w:line="240" w:lineRule="auto"/>
                    <w:ind w:left="0" w:leftChars="0" w:right="0" w:rightChars="0" w:firstLine="0" w:firstLineChars="0"/>
                    <w:jc w:val="center"/>
                    <w:rPr>
                      <w:rFonts w:hint="default" w:ascii="Times New Roman" w:hAnsi="Times New Roman" w:eastAsia="宋体" w:cs="Times New Roman"/>
                      <w:color w:val="auto"/>
                      <w:sz w:val="18"/>
                      <w:szCs w:val="18"/>
                      <w:highlight w:val="none"/>
                      <w:lang w:val="en-US" w:eastAsia="zh-CN"/>
                    </w:rPr>
                  </w:pPr>
                  <w:r>
                    <w:rPr>
                      <w:rFonts w:hint="eastAsia" w:ascii="Times New Roman" w:hAnsi="Times New Roman" w:cs="Times New Roman"/>
                      <w:color w:val="auto"/>
                      <w:sz w:val="18"/>
                      <w:szCs w:val="18"/>
                      <w:highlight w:val="none"/>
                      <w:lang w:val="en-US" w:eastAsia="zh-CN"/>
                    </w:rPr>
                    <w:t>颗粒物</w:t>
                  </w:r>
                </w:p>
              </w:tc>
              <w:tc>
                <w:tcPr>
                  <w:tcW w:w="472" w:type="pct"/>
                  <w:vMerge w:val="continue"/>
                  <w:tcBorders>
                    <w:left w:val="single" w:color="auto" w:sz="4" w:space="0"/>
                    <w:right w:val="single" w:color="auto" w:sz="4" w:space="0"/>
                  </w:tcBorders>
                  <w:noWrap w:val="0"/>
                  <w:vAlign w:val="center"/>
                </w:tcPr>
                <w:p w14:paraId="652AD957">
                  <w:pPr>
                    <w:pStyle w:val="27"/>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76" w:lineRule="auto"/>
                    <w:ind w:left="0" w:leftChars="0" w:right="0" w:rightChars="0" w:firstLine="0" w:firstLineChars="0"/>
                    <w:jc w:val="center"/>
                    <w:textAlignment w:val="auto"/>
                    <w:rPr>
                      <w:rFonts w:hint="eastAsia" w:ascii="Times New Roman" w:hAnsi="Times New Roman" w:eastAsia="宋体" w:cs="Times New Roman"/>
                      <w:color w:val="auto"/>
                      <w:sz w:val="18"/>
                      <w:szCs w:val="18"/>
                      <w:highlight w:val="none"/>
                      <w:lang w:val="en-US" w:eastAsia="zh-CN"/>
                    </w:rPr>
                  </w:pPr>
                </w:p>
              </w:tc>
              <w:tc>
                <w:tcPr>
                  <w:tcW w:w="1506" w:type="pct"/>
                  <w:tcBorders>
                    <w:left w:val="single" w:color="auto" w:sz="4" w:space="0"/>
                    <w:right w:val="single" w:color="auto" w:sz="4" w:space="0"/>
                  </w:tcBorders>
                  <w:noWrap w:val="0"/>
                  <w:vAlign w:val="center"/>
                </w:tcPr>
                <w:p w14:paraId="5CC52A13">
                  <w:pPr>
                    <w:pStyle w:val="27"/>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76" w:lineRule="auto"/>
                    <w:ind w:left="0" w:leftChars="0" w:right="0" w:rightChars="0" w:firstLine="0" w:firstLineChars="0"/>
                    <w:jc w:val="center"/>
                    <w:textAlignment w:val="auto"/>
                    <w:rPr>
                      <w:rFonts w:hint="eastAsia" w:ascii="Times New Roman" w:hAnsi="Times New Roman" w:eastAsia="宋体" w:cs="Times New Roman"/>
                      <w:color w:val="auto"/>
                      <w:sz w:val="18"/>
                      <w:szCs w:val="18"/>
                      <w:highlight w:val="none"/>
                      <w:lang w:val="en-US" w:eastAsia="zh-CN"/>
                    </w:rPr>
                  </w:pPr>
                  <w:r>
                    <w:rPr>
                      <w:rFonts w:hint="eastAsia" w:ascii="Times New Roman" w:hAnsi="Times New Roman" w:eastAsia="宋体" w:cs="Times New Roman"/>
                      <w:kern w:val="0"/>
                      <w:sz w:val="18"/>
                      <w:szCs w:val="18"/>
                      <w:highlight w:val="none"/>
                    </w:rPr>
                    <w:t>《大气污染物综合排放标准》（GB16297-1996）中表2</w:t>
                  </w:r>
                </w:p>
              </w:tc>
              <w:tc>
                <w:tcPr>
                  <w:tcW w:w="678" w:type="pct"/>
                  <w:tcBorders>
                    <w:top w:val="single" w:color="auto" w:sz="4" w:space="0"/>
                    <w:left w:val="single" w:color="auto" w:sz="4" w:space="0"/>
                    <w:bottom w:val="single" w:color="auto" w:sz="4" w:space="0"/>
                    <w:right w:val="single" w:color="auto" w:sz="4" w:space="0"/>
                  </w:tcBorders>
                  <w:noWrap w:val="0"/>
                  <w:vAlign w:val="center"/>
                </w:tcPr>
                <w:p w14:paraId="3222FFB3">
                  <w:pPr>
                    <w:pStyle w:val="27"/>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76" w:lineRule="auto"/>
                    <w:ind w:left="0" w:leftChars="0" w:right="0" w:rightChars="0" w:firstLine="0" w:firstLineChars="0"/>
                    <w:jc w:val="center"/>
                    <w:textAlignment w:val="auto"/>
                    <w:rPr>
                      <w:rFonts w:hint="default" w:ascii="Times New Roman" w:hAnsi="Times New Roman" w:eastAsia="宋体" w:cs="Times New Roman"/>
                      <w:color w:val="auto"/>
                      <w:sz w:val="18"/>
                      <w:szCs w:val="18"/>
                      <w:highlight w:val="none"/>
                      <w:lang w:val="en-US" w:eastAsia="zh-CN"/>
                    </w:rPr>
                  </w:pPr>
                  <w:r>
                    <w:rPr>
                      <w:rFonts w:hint="eastAsia" w:ascii="Times New Roman" w:hAnsi="Times New Roman" w:cs="Times New Roman"/>
                      <w:color w:val="auto"/>
                      <w:sz w:val="18"/>
                      <w:szCs w:val="18"/>
                      <w:highlight w:val="none"/>
                      <w:lang w:val="en-US" w:eastAsia="zh-CN"/>
                    </w:rPr>
                    <w:t>1</w:t>
                  </w:r>
                </w:p>
              </w:tc>
              <w:tc>
                <w:tcPr>
                  <w:tcW w:w="428" w:type="pct"/>
                  <w:tcBorders>
                    <w:top w:val="single" w:color="auto" w:sz="4" w:space="0"/>
                    <w:left w:val="single" w:color="auto" w:sz="4" w:space="0"/>
                    <w:bottom w:val="single" w:color="auto" w:sz="4" w:space="0"/>
                    <w:right w:val="single" w:color="auto" w:sz="4" w:space="0"/>
                  </w:tcBorders>
                  <w:shd w:val="clear" w:color="auto" w:fill="auto"/>
                  <w:noWrap w:val="0"/>
                  <w:vAlign w:val="center"/>
                </w:tcPr>
                <w:p w14:paraId="1CD0D4D3">
                  <w:pPr>
                    <w:keepNext w:val="0"/>
                    <w:keepLines w:val="0"/>
                    <w:widowControl/>
                    <w:suppressLineNumbers w:val="0"/>
                    <w:spacing w:before="0" w:beforeAutospacing="0" w:after="0" w:afterAutospacing="0" w:line="280" w:lineRule="exact"/>
                    <w:ind w:left="0" w:leftChars="0" w:right="0" w:rightChars="0"/>
                    <w:jc w:val="center"/>
                    <w:textAlignment w:val="center"/>
                    <w:rPr>
                      <w:rFonts w:hint="eastAsia" w:cs="Times New Roman"/>
                      <w:b w:val="0"/>
                      <w:bCs/>
                      <w:sz w:val="18"/>
                      <w:szCs w:val="18"/>
                      <w:highlight w:val="none"/>
                      <w:lang w:val="en-US" w:eastAsia="zh-CN" w:bidi="ar"/>
                    </w:rPr>
                  </w:pPr>
                  <w:r>
                    <w:rPr>
                      <w:rFonts w:hint="eastAsia" w:ascii="Times New Roman" w:hAnsi="Times New Roman" w:eastAsia="宋体" w:cs="Times New Roman"/>
                      <w:bCs/>
                      <w:kern w:val="0"/>
                      <w:sz w:val="18"/>
                      <w:szCs w:val="18"/>
                      <w:highlight w:val="none"/>
                      <w:lang w:val="en-US" w:eastAsia="zh-CN"/>
                    </w:rPr>
                    <w:t>少量</w:t>
                  </w:r>
                </w:p>
              </w:tc>
            </w:tr>
            <w:tr w14:paraId="2A2D158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0" w:hRule="atLeast"/>
              </w:trPr>
              <w:tc>
                <w:tcPr>
                  <w:tcW w:w="192" w:type="pct"/>
                  <w:tcBorders>
                    <w:top w:val="single" w:color="auto" w:sz="4" w:space="0"/>
                    <w:left w:val="single" w:color="auto" w:sz="4" w:space="0"/>
                    <w:bottom w:val="single" w:color="auto" w:sz="4" w:space="0"/>
                    <w:right w:val="single" w:color="auto" w:sz="4" w:space="0"/>
                  </w:tcBorders>
                  <w:shd w:val="clear" w:color="auto" w:fill="auto"/>
                  <w:noWrap w:val="0"/>
                  <w:vAlign w:val="center"/>
                </w:tcPr>
                <w:p w14:paraId="69E0BD2D">
                  <w:pPr>
                    <w:pStyle w:val="27"/>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76" w:lineRule="auto"/>
                    <w:ind w:left="0" w:leftChars="0" w:right="0" w:rightChars="0" w:firstLine="0" w:firstLineChars="0"/>
                    <w:jc w:val="center"/>
                    <w:textAlignment w:val="auto"/>
                    <w:rPr>
                      <w:rFonts w:hint="default" w:ascii="Times New Roman" w:hAnsi="Times New Roman" w:eastAsia="宋体" w:cs="Times New Roman"/>
                      <w:color w:val="auto"/>
                      <w:kern w:val="0"/>
                      <w:sz w:val="18"/>
                      <w:szCs w:val="18"/>
                      <w:highlight w:val="none"/>
                      <w:lang w:val="en-US" w:eastAsia="zh-CN" w:bidi="ar-SA"/>
                    </w:rPr>
                  </w:pPr>
                  <w:r>
                    <w:rPr>
                      <w:rFonts w:hint="eastAsia" w:ascii="Times New Roman" w:hAnsi="Times New Roman" w:eastAsia="宋体" w:cs="Times New Roman"/>
                      <w:color w:val="auto"/>
                      <w:sz w:val="18"/>
                      <w:szCs w:val="18"/>
                      <w:highlight w:val="none"/>
                      <w:lang w:val="en-US" w:eastAsia="zh-CN"/>
                    </w:rPr>
                    <w:t>4</w:t>
                  </w:r>
                </w:p>
              </w:tc>
              <w:tc>
                <w:tcPr>
                  <w:tcW w:w="456" w:type="pct"/>
                  <w:tcBorders>
                    <w:top w:val="single" w:color="auto" w:sz="4" w:space="0"/>
                    <w:left w:val="single" w:color="auto" w:sz="4" w:space="0"/>
                    <w:right w:val="single" w:color="auto" w:sz="4" w:space="0"/>
                  </w:tcBorders>
                  <w:noWrap w:val="0"/>
                  <w:vAlign w:val="center"/>
                </w:tcPr>
                <w:p w14:paraId="0E591193">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76" w:lineRule="auto"/>
                    <w:ind w:left="0" w:leftChars="0" w:right="0" w:rightChars="0" w:firstLine="0" w:firstLineChars="0"/>
                    <w:jc w:val="center"/>
                    <w:textAlignment w:val="auto"/>
                    <w:rPr>
                      <w:rFonts w:hint="default" w:ascii="Times New Roman" w:hAnsi="Times New Roman" w:eastAsia="宋体" w:cs="Times New Roman"/>
                      <w:color w:val="auto"/>
                      <w:sz w:val="18"/>
                      <w:szCs w:val="18"/>
                      <w:highlight w:val="none"/>
                      <w:lang w:val="en-US" w:eastAsia="zh-CN"/>
                    </w:rPr>
                  </w:pPr>
                  <w:r>
                    <w:rPr>
                      <w:rFonts w:hint="eastAsia" w:ascii="Times New Roman" w:hAnsi="Times New Roman" w:eastAsia="宋体" w:cs="Times New Roman"/>
                      <w:color w:val="auto"/>
                      <w:sz w:val="18"/>
                      <w:szCs w:val="18"/>
                      <w:highlight w:val="none"/>
                      <w:lang w:val="en-US" w:eastAsia="zh-CN"/>
                    </w:rPr>
                    <w:t>/</w:t>
                  </w:r>
                </w:p>
              </w:tc>
              <w:tc>
                <w:tcPr>
                  <w:tcW w:w="619" w:type="pct"/>
                  <w:vMerge w:val="restart"/>
                  <w:tcBorders>
                    <w:top w:val="single" w:color="auto" w:sz="4" w:space="0"/>
                    <w:left w:val="single" w:color="auto" w:sz="4" w:space="0"/>
                    <w:right w:val="single" w:color="auto" w:sz="4" w:space="0"/>
                  </w:tcBorders>
                  <w:noWrap w:val="0"/>
                  <w:vAlign w:val="center"/>
                </w:tcPr>
                <w:p w14:paraId="2EA3374F">
                  <w:pPr>
                    <w:pStyle w:val="27"/>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76" w:lineRule="auto"/>
                    <w:ind w:left="0" w:leftChars="0" w:right="0" w:rightChars="0" w:firstLine="0" w:firstLineChars="0"/>
                    <w:jc w:val="center"/>
                    <w:textAlignment w:val="auto"/>
                    <w:rPr>
                      <w:rFonts w:hint="default" w:ascii="Times New Roman" w:hAnsi="Times New Roman" w:eastAsia="宋体" w:cs="Times New Roman"/>
                      <w:color w:val="auto"/>
                      <w:sz w:val="18"/>
                      <w:szCs w:val="18"/>
                      <w:highlight w:val="none"/>
                      <w:lang w:val="en-US" w:eastAsia="zh-CN"/>
                    </w:rPr>
                  </w:pPr>
                  <w:r>
                    <w:rPr>
                      <w:rFonts w:hint="eastAsia" w:ascii="Times New Roman" w:hAnsi="Times New Roman" w:eastAsia="宋体" w:cs="Times New Roman"/>
                      <w:color w:val="auto"/>
                      <w:sz w:val="18"/>
                      <w:szCs w:val="18"/>
                      <w:highlight w:val="none"/>
                      <w:lang w:val="en-US" w:eastAsia="zh-CN"/>
                    </w:rPr>
                    <w:t>消毒</w:t>
                  </w:r>
                </w:p>
              </w:tc>
              <w:tc>
                <w:tcPr>
                  <w:tcW w:w="645" w:type="pct"/>
                  <w:tcBorders>
                    <w:top w:val="single" w:color="auto" w:sz="4" w:space="0"/>
                    <w:left w:val="single" w:color="auto" w:sz="4" w:space="0"/>
                    <w:bottom w:val="single" w:color="auto" w:sz="4" w:space="0"/>
                    <w:right w:val="single" w:color="auto" w:sz="4" w:space="0"/>
                  </w:tcBorders>
                  <w:noWrap w:val="0"/>
                  <w:vAlign w:val="center"/>
                </w:tcPr>
                <w:p w14:paraId="74C4DE13">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64" w:lineRule="auto"/>
                    <w:ind w:left="0" w:leftChars="0" w:right="0" w:rightChars="0"/>
                    <w:jc w:val="center"/>
                    <w:textAlignment w:val="auto"/>
                    <w:rPr>
                      <w:rFonts w:hint="default" w:ascii="Times New Roman" w:hAnsi="Times New Roman" w:eastAsia="宋体" w:cs="Times New Roman"/>
                      <w:color w:val="auto"/>
                      <w:sz w:val="18"/>
                      <w:szCs w:val="18"/>
                      <w:highlight w:val="none"/>
                      <w:lang w:val="en-US" w:eastAsia="zh-CN"/>
                    </w:rPr>
                  </w:pPr>
                  <w:r>
                    <w:rPr>
                      <w:rFonts w:hint="default" w:ascii="Times New Roman" w:hAnsi="Times New Roman" w:eastAsia="宋体" w:cs="Times New Roman"/>
                      <w:bCs/>
                      <w:kern w:val="0"/>
                      <w:sz w:val="18"/>
                      <w:szCs w:val="18"/>
                      <w:highlight w:val="none"/>
                    </w:rPr>
                    <w:t>非甲烷总烃</w:t>
                  </w:r>
                </w:p>
              </w:tc>
              <w:tc>
                <w:tcPr>
                  <w:tcW w:w="472" w:type="pct"/>
                  <w:vMerge w:val="continue"/>
                  <w:tcBorders>
                    <w:left w:val="single" w:color="auto" w:sz="4" w:space="0"/>
                    <w:right w:val="single" w:color="auto" w:sz="4" w:space="0"/>
                  </w:tcBorders>
                  <w:noWrap w:val="0"/>
                  <w:vAlign w:val="center"/>
                </w:tcPr>
                <w:p w14:paraId="272ECF7F">
                  <w:pPr>
                    <w:pStyle w:val="27"/>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76" w:lineRule="auto"/>
                    <w:ind w:left="0" w:leftChars="0" w:right="0" w:rightChars="0" w:firstLine="0" w:firstLineChars="0"/>
                    <w:jc w:val="center"/>
                    <w:textAlignment w:val="auto"/>
                    <w:rPr>
                      <w:rFonts w:hint="eastAsia" w:ascii="Times New Roman" w:hAnsi="Times New Roman" w:eastAsia="宋体" w:cs="Times New Roman"/>
                      <w:color w:val="auto"/>
                      <w:sz w:val="18"/>
                      <w:szCs w:val="18"/>
                      <w:highlight w:val="none"/>
                      <w:lang w:val="en-US" w:eastAsia="zh-CN"/>
                    </w:rPr>
                  </w:pPr>
                </w:p>
              </w:tc>
              <w:tc>
                <w:tcPr>
                  <w:tcW w:w="1506" w:type="pct"/>
                  <w:vMerge w:val="restart"/>
                  <w:tcBorders>
                    <w:left w:val="single" w:color="auto" w:sz="4" w:space="0"/>
                    <w:right w:val="single" w:color="auto" w:sz="4" w:space="0"/>
                  </w:tcBorders>
                  <w:noWrap w:val="0"/>
                  <w:vAlign w:val="center"/>
                </w:tcPr>
                <w:p w14:paraId="0E1F071D">
                  <w:pPr>
                    <w:pStyle w:val="27"/>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76" w:lineRule="auto"/>
                    <w:ind w:left="0" w:leftChars="0" w:right="0" w:rightChars="0" w:firstLine="0" w:firstLineChars="0"/>
                    <w:jc w:val="center"/>
                    <w:textAlignment w:val="auto"/>
                    <w:rPr>
                      <w:rFonts w:hint="eastAsia" w:ascii="Times New Roman" w:hAnsi="Times New Roman" w:eastAsia="宋体" w:cs="Times New Roman"/>
                      <w:color w:val="auto"/>
                      <w:sz w:val="18"/>
                      <w:szCs w:val="18"/>
                      <w:highlight w:val="none"/>
                      <w:lang w:val="en-US" w:eastAsia="zh-CN"/>
                    </w:rPr>
                  </w:pPr>
                  <w:r>
                    <w:rPr>
                      <w:rFonts w:hint="eastAsia" w:ascii="Times New Roman" w:hAnsi="Times New Roman" w:eastAsia="宋体" w:cs="Times New Roman"/>
                      <w:kern w:val="0"/>
                      <w:sz w:val="18"/>
                      <w:szCs w:val="18"/>
                      <w:highlight w:val="none"/>
                    </w:rPr>
                    <w:t>《大气污染物综合排放标准》（GB16297-1996）中表2</w:t>
                  </w:r>
                </w:p>
              </w:tc>
              <w:tc>
                <w:tcPr>
                  <w:tcW w:w="678" w:type="pct"/>
                  <w:tcBorders>
                    <w:top w:val="single" w:color="auto" w:sz="4" w:space="0"/>
                    <w:left w:val="single" w:color="auto" w:sz="4" w:space="0"/>
                    <w:bottom w:val="single" w:color="auto" w:sz="4" w:space="0"/>
                    <w:right w:val="single" w:color="auto" w:sz="4" w:space="0"/>
                  </w:tcBorders>
                  <w:noWrap w:val="0"/>
                  <w:vAlign w:val="center"/>
                </w:tcPr>
                <w:p w14:paraId="18B3666E">
                  <w:pPr>
                    <w:pStyle w:val="27"/>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76" w:lineRule="auto"/>
                    <w:ind w:left="0" w:leftChars="0" w:right="0" w:rightChars="0" w:firstLine="0" w:firstLineChars="0"/>
                    <w:jc w:val="center"/>
                    <w:textAlignment w:val="auto"/>
                    <w:rPr>
                      <w:rFonts w:hint="default" w:ascii="Times New Roman" w:hAnsi="Times New Roman" w:eastAsia="宋体" w:cs="Times New Roman"/>
                      <w:color w:val="auto"/>
                      <w:sz w:val="18"/>
                      <w:szCs w:val="18"/>
                      <w:highlight w:val="none"/>
                      <w:lang w:val="en-US" w:eastAsia="zh-CN"/>
                    </w:rPr>
                  </w:pPr>
                  <w:r>
                    <w:rPr>
                      <w:rFonts w:hint="eastAsia" w:ascii="Times New Roman" w:hAnsi="Times New Roman" w:eastAsia="宋体" w:cs="Times New Roman"/>
                      <w:color w:val="auto"/>
                      <w:sz w:val="18"/>
                      <w:szCs w:val="18"/>
                      <w:highlight w:val="none"/>
                      <w:lang w:val="en-US" w:eastAsia="zh-CN"/>
                    </w:rPr>
                    <w:t>4.0</w:t>
                  </w:r>
                </w:p>
              </w:tc>
              <w:tc>
                <w:tcPr>
                  <w:tcW w:w="428" w:type="pct"/>
                  <w:tcBorders>
                    <w:top w:val="single" w:color="auto" w:sz="4" w:space="0"/>
                    <w:left w:val="single" w:color="auto" w:sz="4" w:space="0"/>
                    <w:bottom w:val="single" w:color="auto" w:sz="4" w:space="0"/>
                    <w:right w:val="single" w:color="auto" w:sz="4" w:space="0"/>
                  </w:tcBorders>
                  <w:shd w:val="clear" w:color="auto" w:fill="auto"/>
                  <w:noWrap w:val="0"/>
                  <w:vAlign w:val="center"/>
                </w:tcPr>
                <w:p w14:paraId="1E6CC2FC">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64" w:lineRule="auto"/>
                    <w:ind w:left="0" w:leftChars="0" w:right="0" w:rightChars="0"/>
                    <w:jc w:val="center"/>
                    <w:textAlignment w:val="auto"/>
                    <w:rPr>
                      <w:rFonts w:hint="default" w:ascii="Times New Roman" w:hAnsi="Times New Roman" w:eastAsia="宋体" w:cs="Times New Roman"/>
                      <w:bCs/>
                      <w:kern w:val="0"/>
                      <w:sz w:val="18"/>
                      <w:szCs w:val="18"/>
                      <w:highlight w:val="none"/>
                      <w:lang w:val="en-US" w:eastAsia="zh-CN" w:bidi="ar-SA"/>
                    </w:rPr>
                  </w:pPr>
                  <w:r>
                    <w:rPr>
                      <w:rFonts w:hint="default" w:ascii="Times New Roman" w:hAnsi="Times New Roman" w:eastAsia="宋体" w:cs="Times New Roman"/>
                      <w:bCs/>
                      <w:kern w:val="0"/>
                      <w:sz w:val="18"/>
                      <w:szCs w:val="18"/>
                      <w:highlight w:val="none"/>
                    </w:rPr>
                    <w:t>0.0</w:t>
                  </w:r>
                  <w:r>
                    <w:rPr>
                      <w:rFonts w:hint="eastAsia" w:ascii="Times New Roman" w:hAnsi="Times New Roman" w:eastAsia="宋体" w:cs="Times New Roman"/>
                      <w:bCs/>
                      <w:kern w:val="0"/>
                      <w:sz w:val="18"/>
                      <w:szCs w:val="18"/>
                      <w:highlight w:val="none"/>
                      <w:lang w:val="en-US" w:eastAsia="zh-CN"/>
                    </w:rPr>
                    <w:t>1</w:t>
                  </w:r>
                  <w:r>
                    <w:rPr>
                      <w:rFonts w:hint="default" w:ascii="Times New Roman" w:hAnsi="Times New Roman" w:eastAsia="宋体" w:cs="Times New Roman"/>
                      <w:bCs/>
                      <w:kern w:val="0"/>
                      <w:sz w:val="18"/>
                      <w:szCs w:val="18"/>
                      <w:highlight w:val="none"/>
                    </w:rPr>
                    <w:t>3</w:t>
                  </w:r>
                </w:p>
              </w:tc>
            </w:tr>
            <w:tr w14:paraId="07A971D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0" w:hRule="atLeast"/>
              </w:trPr>
              <w:tc>
                <w:tcPr>
                  <w:tcW w:w="192" w:type="pct"/>
                  <w:tcBorders>
                    <w:top w:val="single" w:color="auto" w:sz="4" w:space="0"/>
                    <w:left w:val="single" w:color="auto" w:sz="4" w:space="0"/>
                    <w:bottom w:val="single" w:color="auto" w:sz="4" w:space="0"/>
                    <w:right w:val="single" w:color="auto" w:sz="4" w:space="0"/>
                  </w:tcBorders>
                  <w:shd w:val="clear" w:color="auto" w:fill="auto"/>
                  <w:noWrap w:val="0"/>
                  <w:vAlign w:val="center"/>
                </w:tcPr>
                <w:p w14:paraId="7C27FEAC">
                  <w:pPr>
                    <w:pStyle w:val="27"/>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76" w:lineRule="auto"/>
                    <w:ind w:left="0" w:leftChars="0" w:right="0" w:rightChars="0" w:firstLine="0" w:firstLineChars="0"/>
                    <w:jc w:val="center"/>
                    <w:textAlignment w:val="auto"/>
                    <w:rPr>
                      <w:rFonts w:hint="eastAsia" w:ascii="Times New Roman" w:hAnsi="Times New Roman" w:eastAsia="宋体" w:cs="Times New Roman"/>
                      <w:color w:val="auto"/>
                      <w:kern w:val="0"/>
                      <w:sz w:val="18"/>
                      <w:szCs w:val="18"/>
                      <w:highlight w:val="none"/>
                      <w:lang w:val="en-US" w:eastAsia="zh-CN" w:bidi="ar-SA"/>
                    </w:rPr>
                  </w:pPr>
                  <w:r>
                    <w:rPr>
                      <w:rFonts w:hint="eastAsia" w:ascii="Times New Roman" w:hAnsi="Times New Roman" w:eastAsia="宋体" w:cs="Times New Roman"/>
                      <w:color w:val="auto"/>
                      <w:sz w:val="18"/>
                      <w:szCs w:val="18"/>
                      <w:highlight w:val="none"/>
                      <w:lang w:val="en-US" w:eastAsia="zh-CN"/>
                    </w:rPr>
                    <w:t>5</w:t>
                  </w:r>
                </w:p>
              </w:tc>
              <w:tc>
                <w:tcPr>
                  <w:tcW w:w="456" w:type="pct"/>
                  <w:tcBorders>
                    <w:top w:val="single" w:color="auto" w:sz="4" w:space="0"/>
                    <w:left w:val="single" w:color="auto" w:sz="4" w:space="0"/>
                    <w:right w:val="single" w:color="auto" w:sz="4" w:space="0"/>
                  </w:tcBorders>
                  <w:noWrap w:val="0"/>
                  <w:vAlign w:val="center"/>
                </w:tcPr>
                <w:p w14:paraId="781E439B">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76" w:lineRule="auto"/>
                    <w:ind w:left="0" w:leftChars="0" w:right="0" w:rightChars="0" w:firstLine="0" w:firstLineChars="0"/>
                    <w:jc w:val="center"/>
                    <w:textAlignment w:val="auto"/>
                    <w:rPr>
                      <w:rFonts w:hint="eastAsia" w:ascii="Times New Roman" w:hAnsi="Times New Roman" w:eastAsia="宋体" w:cs="Times New Roman"/>
                      <w:color w:val="auto"/>
                      <w:sz w:val="18"/>
                      <w:szCs w:val="18"/>
                      <w:highlight w:val="none"/>
                      <w:lang w:val="en-US" w:eastAsia="zh-CN"/>
                    </w:rPr>
                  </w:pPr>
                </w:p>
              </w:tc>
              <w:tc>
                <w:tcPr>
                  <w:tcW w:w="619" w:type="pct"/>
                  <w:vMerge w:val="continue"/>
                  <w:tcBorders>
                    <w:left w:val="single" w:color="auto" w:sz="4" w:space="0"/>
                    <w:right w:val="single" w:color="auto" w:sz="4" w:space="0"/>
                  </w:tcBorders>
                  <w:noWrap w:val="0"/>
                  <w:vAlign w:val="center"/>
                </w:tcPr>
                <w:p w14:paraId="554CF516">
                  <w:pPr>
                    <w:pStyle w:val="27"/>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76" w:lineRule="auto"/>
                    <w:ind w:left="0" w:leftChars="0" w:right="0" w:rightChars="0" w:firstLine="0" w:firstLineChars="0"/>
                    <w:jc w:val="center"/>
                    <w:textAlignment w:val="auto"/>
                    <w:rPr>
                      <w:rFonts w:hint="eastAsia" w:ascii="Times New Roman" w:hAnsi="Times New Roman" w:eastAsia="宋体" w:cs="Times New Roman"/>
                      <w:color w:val="auto"/>
                      <w:sz w:val="18"/>
                      <w:szCs w:val="18"/>
                      <w:highlight w:val="none"/>
                      <w:lang w:val="en-US" w:eastAsia="zh-CN"/>
                    </w:rPr>
                  </w:pPr>
                </w:p>
              </w:tc>
              <w:tc>
                <w:tcPr>
                  <w:tcW w:w="645" w:type="pct"/>
                  <w:tcBorders>
                    <w:top w:val="single" w:color="auto" w:sz="4" w:space="0"/>
                    <w:left w:val="single" w:color="auto" w:sz="4" w:space="0"/>
                    <w:bottom w:val="single" w:color="auto" w:sz="4" w:space="0"/>
                    <w:right w:val="single" w:color="auto" w:sz="4" w:space="0"/>
                  </w:tcBorders>
                  <w:noWrap w:val="0"/>
                  <w:vAlign w:val="center"/>
                </w:tcPr>
                <w:p w14:paraId="42464964">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64" w:lineRule="auto"/>
                    <w:ind w:left="0" w:leftChars="0" w:right="0" w:rightChars="0"/>
                    <w:jc w:val="center"/>
                    <w:textAlignment w:val="auto"/>
                    <w:rPr>
                      <w:rFonts w:hint="eastAsia" w:ascii="Times New Roman" w:hAnsi="Times New Roman" w:eastAsia="宋体" w:cs="Times New Roman"/>
                      <w:bCs/>
                      <w:kern w:val="0"/>
                      <w:sz w:val="18"/>
                      <w:szCs w:val="18"/>
                      <w:highlight w:val="none"/>
                      <w:lang w:val="en-US" w:eastAsia="zh-CN"/>
                    </w:rPr>
                  </w:pPr>
                  <w:r>
                    <w:rPr>
                      <w:rFonts w:hint="eastAsia" w:ascii="Times New Roman" w:hAnsi="Times New Roman" w:eastAsia="宋体" w:cs="Times New Roman"/>
                      <w:bCs/>
                      <w:kern w:val="0"/>
                      <w:sz w:val="18"/>
                      <w:szCs w:val="18"/>
                      <w:highlight w:val="none"/>
                      <w:lang w:val="en-US" w:eastAsia="zh-CN"/>
                    </w:rPr>
                    <w:t>氯气</w:t>
                  </w:r>
                </w:p>
              </w:tc>
              <w:tc>
                <w:tcPr>
                  <w:tcW w:w="472" w:type="pct"/>
                  <w:vMerge w:val="continue"/>
                  <w:tcBorders>
                    <w:left w:val="single" w:color="auto" w:sz="4" w:space="0"/>
                    <w:right w:val="single" w:color="auto" w:sz="4" w:space="0"/>
                  </w:tcBorders>
                  <w:noWrap w:val="0"/>
                  <w:vAlign w:val="center"/>
                </w:tcPr>
                <w:p w14:paraId="1DF154B9">
                  <w:pPr>
                    <w:pStyle w:val="27"/>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76" w:lineRule="auto"/>
                    <w:ind w:left="0" w:leftChars="0" w:right="0" w:rightChars="0" w:firstLine="0" w:firstLineChars="0"/>
                    <w:jc w:val="center"/>
                    <w:textAlignment w:val="auto"/>
                    <w:rPr>
                      <w:rFonts w:hint="eastAsia" w:ascii="Times New Roman" w:hAnsi="Times New Roman" w:eastAsia="宋体" w:cs="Times New Roman"/>
                      <w:color w:val="auto"/>
                      <w:sz w:val="18"/>
                      <w:szCs w:val="18"/>
                      <w:highlight w:val="none"/>
                      <w:lang w:val="en-US" w:eastAsia="zh-CN"/>
                    </w:rPr>
                  </w:pPr>
                </w:p>
              </w:tc>
              <w:tc>
                <w:tcPr>
                  <w:tcW w:w="1506" w:type="pct"/>
                  <w:vMerge w:val="continue"/>
                  <w:tcBorders>
                    <w:left w:val="single" w:color="auto" w:sz="4" w:space="0"/>
                    <w:right w:val="single" w:color="auto" w:sz="4" w:space="0"/>
                  </w:tcBorders>
                  <w:noWrap w:val="0"/>
                  <w:vAlign w:val="center"/>
                </w:tcPr>
                <w:p w14:paraId="1C5714B1">
                  <w:pPr>
                    <w:pStyle w:val="27"/>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76" w:lineRule="auto"/>
                    <w:ind w:left="0" w:leftChars="0" w:right="0" w:rightChars="0" w:firstLine="0" w:firstLineChars="0"/>
                    <w:jc w:val="center"/>
                    <w:textAlignment w:val="auto"/>
                    <w:rPr>
                      <w:rFonts w:hint="eastAsia" w:ascii="Times New Roman" w:hAnsi="Times New Roman" w:eastAsia="宋体" w:cs="Times New Roman"/>
                      <w:color w:val="auto"/>
                      <w:sz w:val="18"/>
                      <w:szCs w:val="18"/>
                      <w:highlight w:val="none"/>
                      <w:lang w:val="en-US" w:eastAsia="zh-CN"/>
                    </w:rPr>
                  </w:pPr>
                </w:p>
              </w:tc>
              <w:tc>
                <w:tcPr>
                  <w:tcW w:w="678" w:type="pct"/>
                  <w:tcBorders>
                    <w:top w:val="single" w:color="auto" w:sz="4" w:space="0"/>
                    <w:left w:val="single" w:color="auto" w:sz="4" w:space="0"/>
                    <w:bottom w:val="single" w:color="auto" w:sz="4" w:space="0"/>
                    <w:right w:val="single" w:color="auto" w:sz="4" w:space="0"/>
                  </w:tcBorders>
                  <w:noWrap w:val="0"/>
                  <w:vAlign w:val="center"/>
                </w:tcPr>
                <w:p w14:paraId="72C98B6C">
                  <w:pPr>
                    <w:pStyle w:val="27"/>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76" w:lineRule="auto"/>
                    <w:ind w:left="0" w:leftChars="0" w:right="0" w:rightChars="0" w:firstLine="0" w:firstLineChars="0"/>
                    <w:jc w:val="center"/>
                    <w:textAlignment w:val="auto"/>
                    <w:rPr>
                      <w:rFonts w:hint="default" w:ascii="Times New Roman" w:hAnsi="Times New Roman" w:eastAsia="宋体" w:cs="Times New Roman"/>
                      <w:color w:val="auto"/>
                      <w:sz w:val="18"/>
                      <w:szCs w:val="18"/>
                      <w:highlight w:val="none"/>
                      <w:lang w:val="en-US" w:eastAsia="zh-CN"/>
                    </w:rPr>
                  </w:pPr>
                  <w:r>
                    <w:rPr>
                      <w:rFonts w:hint="eastAsia" w:ascii="Times New Roman" w:hAnsi="Times New Roman" w:eastAsia="宋体" w:cs="Times New Roman"/>
                      <w:kern w:val="0"/>
                      <w:sz w:val="18"/>
                      <w:szCs w:val="18"/>
                      <w:highlight w:val="none"/>
                      <w:lang w:val="en-US" w:eastAsia="zh-CN"/>
                    </w:rPr>
                    <w:t>0.40</w:t>
                  </w:r>
                </w:p>
              </w:tc>
              <w:tc>
                <w:tcPr>
                  <w:tcW w:w="428" w:type="pct"/>
                  <w:tcBorders>
                    <w:top w:val="single" w:color="auto" w:sz="4" w:space="0"/>
                    <w:left w:val="single" w:color="auto" w:sz="4" w:space="0"/>
                    <w:bottom w:val="single" w:color="auto" w:sz="4" w:space="0"/>
                    <w:right w:val="single" w:color="auto" w:sz="4" w:space="0"/>
                  </w:tcBorders>
                  <w:shd w:val="clear" w:color="auto" w:fill="auto"/>
                  <w:noWrap w:val="0"/>
                  <w:vAlign w:val="center"/>
                </w:tcPr>
                <w:p w14:paraId="1594B6CA">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64" w:lineRule="auto"/>
                    <w:ind w:left="0" w:leftChars="0" w:right="0" w:rightChars="0"/>
                    <w:jc w:val="center"/>
                    <w:textAlignment w:val="auto"/>
                    <w:rPr>
                      <w:rFonts w:hint="eastAsia" w:ascii="Times New Roman" w:hAnsi="Times New Roman" w:eastAsia="宋体" w:cs="Times New Roman"/>
                      <w:bCs/>
                      <w:kern w:val="0"/>
                      <w:sz w:val="18"/>
                      <w:szCs w:val="18"/>
                      <w:highlight w:val="none"/>
                      <w:lang w:val="en-US" w:eastAsia="zh-CN"/>
                    </w:rPr>
                  </w:pPr>
                  <w:r>
                    <w:rPr>
                      <w:rFonts w:hint="eastAsia" w:ascii="Times New Roman" w:hAnsi="Times New Roman" w:eastAsia="宋体" w:cs="Times New Roman"/>
                      <w:bCs/>
                      <w:kern w:val="0"/>
                      <w:sz w:val="18"/>
                      <w:szCs w:val="18"/>
                      <w:highlight w:val="none"/>
                      <w:lang w:val="en-US" w:eastAsia="zh-CN"/>
                    </w:rPr>
                    <w:t>少量</w:t>
                  </w:r>
                </w:p>
              </w:tc>
            </w:tr>
            <w:tr w14:paraId="59F79A7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0" w:hRule="atLeast"/>
              </w:trPr>
              <w:tc>
                <w:tcPr>
                  <w:tcW w:w="192" w:type="pct"/>
                  <w:tcBorders>
                    <w:top w:val="single" w:color="auto" w:sz="4" w:space="0"/>
                    <w:left w:val="single" w:color="auto" w:sz="4" w:space="0"/>
                    <w:bottom w:val="single" w:color="auto" w:sz="4" w:space="0"/>
                    <w:right w:val="single" w:color="auto" w:sz="4" w:space="0"/>
                  </w:tcBorders>
                  <w:shd w:val="clear" w:color="auto" w:fill="auto"/>
                  <w:noWrap w:val="0"/>
                  <w:vAlign w:val="center"/>
                </w:tcPr>
                <w:p w14:paraId="0AEF9EAC">
                  <w:pPr>
                    <w:pStyle w:val="27"/>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76" w:lineRule="auto"/>
                    <w:ind w:left="0" w:leftChars="0" w:right="0" w:rightChars="0" w:firstLine="0" w:firstLineChars="0"/>
                    <w:jc w:val="center"/>
                    <w:textAlignment w:val="auto"/>
                    <w:rPr>
                      <w:rFonts w:hint="default" w:ascii="Times New Roman" w:hAnsi="Times New Roman" w:eastAsia="宋体" w:cs="Times New Roman"/>
                      <w:color w:val="auto"/>
                      <w:kern w:val="0"/>
                      <w:sz w:val="18"/>
                      <w:szCs w:val="18"/>
                      <w:highlight w:val="none"/>
                      <w:lang w:val="en-US" w:eastAsia="zh-CN" w:bidi="ar-SA"/>
                    </w:rPr>
                  </w:pPr>
                  <w:r>
                    <w:rPr>
                      <w:rFonts w:hint="eastAsia" w:ascii="Times New Roman" w:hAnsi="Times New Roman" w:eastAsia="宋体" w:cs="Times New Roman"/>
                      <w:color w:val="auto"/>
                      <w:sz w:val="18"/>
                      <w:szCs w:val="18"/>
                      <w:highlight w:val="none"/>
                      <w:lang w:val="en-US" w:eastAsia="zh-CN"/>
                    </w:rPr>
                    <w:t>6</w:t>
                  </w:r>
                </w:p>
              </w:tc>
              <w:tc>
                <w:tcPr>
                  <w:tcW w:w="456" w:type="pct"/>
                  <w:tcBorders>
                    <w:left w:val="single" w:color="auto" w:sz="4" w:space="0"/>
                    <w:bottom w:val="single" w:color="auto" w:sz="4" w:space="0"/>
                    <w:right w:val="single" w:color="auto" w:sz="4" w:space="0"/>
                  </w:tcBorders>
                  <w:noWrap w:val="0"/>
                  <w:vAlign w:val="center"/>
                </w:tcPr>
                <w:p w14:paraId="4EB9C692">
                  <w:pPr>
                    <w:pStyle w:val="27"/>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76" w:lineRule="auto"/>
                    <w:ind w:left="0" w:leftChars="0" w:right="0" w:rightChars="0" w:firstLine="0" w:firstLineChars="0"/>
                    <w:jc w:val="center"/>
                    <w:textAlignment w:val="auto"/>
                    <w:rPr>
                      <w:rFonts w:hint="default" w:ascii="Times New Roman" w:hAnsi="Times New Roman" w:eastAsia="宋体" w:cs="Times New Roman"/>
                      <w:color w:val="auto"/>
                      <w:sz w:val="18"/>
                      <w:szCs w:val="18"/>
                      <w:highlight w:val="none"/>
                      <w:lang w:val="en-US" w:eastAsia="zh-CN"/>
                    </w:rPr>
                  </w:pPr>
                  <w:r>
                    <w:rPr>
                      <w:rFonts w:hint="eastAsia" w:ascii="Times New Roman" w:hAnsi="Times New Roman" w:eastAsia="宋体" w:cs="Times New Roman"/>
                      <w:color w:val="auto"/>
                      <w:sz w:val="18"/>
                      <w:szCs w:val="18"/>
                      <w:highlight w:val="none"/>
                      <w:lang w:val="en-US" w:eastAsia="zh-CN"/>
                    </w:rPr>
                    <w:t>/</w:t>
                  </w:r>
                </w:p>
              </w:tc>
              <w:tc>
                <w:tcPr>
                  <w:tcW w:w="619" w:type="pct"/>
                  <w:tcBorders>
                    <w:left w:val="single" w:color="auto" w:sz="4" w:space="0"/>
                    <w:bottom w:val="single" w:color="auto" w:sz="4" w:space="0"/>
                    <w:right w:val="single" w:color="auto" w:sz="4" w:space="0"/>
                  </w:tcBorders>
                  <w:noWrap w:val="0"/>
                  <w:vAlign w:val="center"/>
                </w:tcPr>
                <w:p w14:paraId="2E366051">
                  <w:pPr>
                    <w:pStyle w:val="27"/>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76" w:lineRule="auto"/>
                    <w:ind w:left="0" w:leftChars="0" w:right="0" w:rightChars="0" w:firstLine="0" w:firstLineChars="0"/>
                    <w:jc w:val="center"/>
                    <w:textAlignment w:val="auto"/>
                    <w:rPr>
                      <w:rFonts w:hint="default" w:ascii="Times New Roman" w:hAnsi="Times New Roman" w:eastAsia="宋体" w:cs="Times New Roman"/>
                      <w:color w:val="auto"/>
                      <w:sz w:val="18"/>
                      <w:szCs w:val="18"/>
                      <w:highlight w:val="none"/>
                      <w:lang w:val="en-US" w:eastAsia="zh-CN"/>
                    </w:rPr>
                  </w:pPr>
                  <w:r>
                    <w:rPr>
                      <w:rFonts w:hint="eastAsia" w:ascii="Times New Roman" w:hAnsi="Times New Roman" w:eastAsia="宋体" w:cs="Times New Roman"/>
                      <w:color w:val="auto"/>
                      <w:sz w:val="18"/>
                      <w:szCs w:val="18"/>
                      <w:highlight w:val="none"/>
                      <w:lang w:val="en-US" w:eastAsia="zh-CN"/>
                    </w:rPr>
                    <w:t>解剖</w:t>
                  </w:r>
                </w:p>
              </w:tc>
              <w:tc>
                <w:tcPr>
                  <w:tcW w:w="645" w:type="pct"/>
                  <w:tcBorders>
                    <w:top w:val="single" w:color="auto" w:sz="4" w:space="0"/>
                    <w:left w:val="single" w:color="auto" w:sz="4" w:space="0"/>
                    <w:bottom w:val="single" w:color="auto" w:sz="4" w:space="0"/>
                    <w:right w:val="single" w:color="auto" w:sz="4" w:space="0"/>
                  </w:tcBorders>
                  <w:noWrap w:val="0"/>
                  <w:vAlign w:val="center"/>
                </w:tcPr>
                <w:p w14:paraId="27475606">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64" w:lineRule="auto"/>
                    <w:ind w:left="0" w:leftChars="0" w:right="0" w:rightChars="0"/>
                    <w:jc w:val="center"/>
                    <w:textAlignment w:val="auto"/>
                    <w:rPr>
                      <w:rFonts w:hint="default" w:ascii="Times New Roman" w:hAnsi="Times New Roman" w:eastAsia="宋体" w:cs="Times New Roman"/>
                      <w:color w:val="auto"/>
                      <w:sz w:val="18"/>
                      <w:szCs w:val="18"/>
                      <w:highlight w:val="none"/>
                      <w:lang w:val="en-US" w:eastAsia="zh-CN"/>
                    </w:rPr>
                  </w:pPr>
                  <w:r>
                    <w:rPr>
                      <w:rFonts w:hint="eastAsia" w:ascii="Times New Roman" w:hAnsi="Times New Roman" w:eastAsia="宋体" w:cs="Times New Roman"/>
                      <w:bCs/>
                      <w:kern w:val="0"/>
                      <w:sz w:val="18"/>
                      <w:szCs w:val="18"/>
                      <w:highlight w:val="none"/>
                      <w:lang w:val="en-US" w:eastAsia="zh-CN"/>
                    </w:rPr>
                    <w:t>甲醛</w:t>
                  </w:r>
                </w:p>
              </w:tc>
              <w:tc>
                <w:tcPr>
                  <w:tcW w:w="472" w:type="pct"/>
                  <w:vMerge w:val="continue"/>
                  <w:tcBorders>
                    <w:left w:val="single" w:color="auto" w:sz="4" w:space="0"/>
                    <w:right w:val="single" w:color="auto" w:sz="4" w:space="0"/>
                  </w:tcBorders>
                  <w:noWrap w:val="0"/>
                  <w:vAlign w:val="center"/>
                </w:tcPr>
                <w:p w14:paraId="3FBAA3C1">
                  <w:pPr>
                    <w:pStyle w:val="27"/>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76" w:lineRule="auto"/>
                    <w:ind w:left="0" w:leftChars="0" w:right="0" w:rightChars="0" w:firstLine="0" w:firstLineChars="0"/>
                    <w:jc w:val="center"/>
                    <w:textAlignment w:val="auto"/>
                    <w:rPr>
                      <w:rFonts w:hint="eastAsia" w:ascii="Times New Roman" w:hAnsi="Times New Roman" w:eastAsia="宋体" w:cs="Times New Roman"/>
                      <w:color w:val="auto"/>
                      <w:sz w:val="18"/>
                      <w:szCs w:val="18"/>
                      <w:highlight w:val="none"/>
                      <w:lang w:val="en-US" w:eastAsia="zh-CN"/>
                    </w:rPr>
                  </w:pPr>
                </w:p>
              </w:tc>
              <w:tc>
                <w:tcPr>
                  <w:tcW w:w="1506" w:type="pct"/>
                  <w:vMerge w:val="continue"/>
                  <w:tcBorders>
                    <w:left w:val="single" w:color="auto" w:sz="4" w:space="0"/>
                    <w:right w:val="single" w:color="auto" w:sz="4" w:space="0"/>
                  </w:tcBorders>
                  <w:noWrap w:val="0"/>
                  <w:vAlign w:val="center"/>
                </w:tcPr>
                <w:p w14:paraId="55763B24">
                  <w:pPr>
                    <w:pStyle w:val="27"/>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76" w:lineRule="auto"/>
                    <w:ind w:left="0" w:leftChars="0" w:right="0" w:rightChars="0" w:firstLine="0" w:firstLineChars="0"/>
                    <w:jc w:val="center"/>
                    <w:textAlignment w:val="auto"/>
                    <w:rPr>
                      <w:rFonts w:hint="eastAsia" w:ascii="Times New Roman" w:hAnsi="Times New Roman" w:eastAsia="宋体" w:cs="Times New Roman"/>
                      <w:color w:val="auto"/>
                      <w:sz w:val="18"/>
                      <w:szCs w:val="18"/>
                      <w:highlight w:val="none"/>
                      <w:lang w:val="en-US" w:eastAsia="zh-CN"/>
                    </w:rPr>
                  </w:pPr>
                </w:p>
              </w:tc>
              <w:tc>
                <w:tcPr>
                  <w:tcW w:w="678" w:type="pct"/>
                  <w:tcBorders>
                    <w:top w:val="single" w:color="auto" w:sz="4" w:space="0"/>
                    <w:left w:val="single" w:color="auto" w:sz="4" w:space="0"/>
                    <w:bottom w:val="single" w:color="auto" w:sz="4" w:space="0"/>
                    <w:right w:val="single" w:color="auto" w:sz="4" w:space="0"/>
                  </w:tcBorders>
                  <w:noWrap w:val="0"/>
                  <w:vAlign w:val="center"/>
                </w:tcPr>
                <w:p w14:paraId="6D6B897C">
                  <w:pPr>
                    <w:pStyle w:val="27"/>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76" w:lineRule="auto"/>
                    <w:ind w:left="0" w:leftChars="0" w:right="0" w:rightChars="0" w:firstLine="0" w:firstLineChars="0"/>
                    <w:jc w:val="center"/>
                    <w:textAlignment w:val="auto"/>
                    <w:rPr>
                      <w:rFonts w:hint="default" w:ascii="Times New Roman" w:hAnsi="Times New Roman" w:eastAsia="宋体" w:cs="Times New Roman"/>
                      <w:color w:val="auto"/>
                      <w:sz w:val="18"/>
                      <w:szCs w:val="18"/>
                      <w:highlight w:val="none"/>
                      <w:lang w:val="en-US" w:eastAsia="zh-CN"/>
                    </w:rPr>
                  </w:pPr>
                  <w:r>
                    <w:rPr>
                      <w:rFonts w:hint="eastAsia" w:ascii="Times New Roman" w:hAnsi="Times New Roman" w:eastAsia="宋体" w:cs="Times New Roman"/>
                      <w:color w:val="auto"/>
                      <w:sz w:val="18"/>
                      <w:szCs w:val="18"/>
                      <w:highlight w:val="none"/>
                      <w:lang w:val="en-US" w:eastAsia="zh-CN"/>
                    </w:rPr>
                    <w:t>0.20</w:t>
                  </w:r>
                </w:p>
              </w:tc>
              <w:tc>
                <w:tcPr>
                  <w:tcW w:w="428" w:type="pct"/>
                  <w:tcBorders>
                    <w:top w:val="single" w:color="auto" w:sz="4" w:space="0"/>
                    <w:left w:val="single" w:color="auto" w:sz="4" w:space="0"/>
                    <w:bottom w:val="single" w:color="auto" w:sz="4" w:space="0"/>
                    <w:right w:val="single" w:color="auto" w:sz="4" w:space="0"/>
                  </w:tcBorders>
                  <w:shd w:val="clear" w:color="auto" w:fill="auto"/>
                  <w:noWrap w:val="0"/>
                  <w:vAlign w:val="center"/>
                </w:tcPr>
                <w:p w14:paraId="7FA67EC1">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64" w:lineRule="auto"/>
                    <w:ind w:left="0" w:leftChars="0" w:right="0" w:rightChars="0"/>
                    <w:jc w:val="center"/>
                    <w:textAlignment w:val="auto"/>
                    <w:rPr>
                      <w:rFonts w:hint="default" w:ascii="Times New Roman" w:hAnsi="Times New Roman" w:eastAsia="宋体" w:cs="Times New Roman"/>
                      <w:bCs/>
                      <w:kern w:val="0"/>
                      <w:sz w:val="18"/>
                      <w:szCs w:val="18"/>
                      <w:highlight w:val="none"/>
                      <w:lang w:val="en-US" w:eastAsia="zh-CN" w:bidi="ar-SA"/>
                    </w:rPr>
                  </w:pPr>
                  <w:r>
                    <w:rPr>
                      <w:rFonts w:hint="eastAsia" w:ascii="Times New Roman" w:hAnsi="Times New Roman" w:eastAsia="宋体" w:cs="Times New Roman"/>
                      <w:bCs/>
                      <w:kern w:val="0"/>
                      <w:sz w:val="18"/>
                      <w:szCs w:val="18"/>
                      <w:highlight w:val="none"/>
                      <w:lang w:val="en-US" w:eastAsia="zh-CN"/>
                    </w:rPr>
                    <w:t>0.003</w:t>
                  </w:r>
                </w:p>
              </w:tc>
            </w:tr>
            <w:tr w14:paraId="17D9CC8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0" w:hRule="atLeast"/>
              </w:trPr>
              <w:tc>
                <w:tcPr>
                  <w:tcW w:w="192" w:type="pct"/>
                  <w:tcBorders>
                    <w:top w:val="single" w:color="auto" w:sz="4" w:space="0"/>
                    <w:left w:val="single" w:color="auto" w:sz="4" w:space="0"/>
                    <w:bottom w:val="single" w:color="auto" w:sz="4" w:space="0"/>
                    <w:right w:val="single" w:color="auto" w:sz="4" w:space="0"/>
                  </w:tcBorders>
                  <w:shd w:val="clear" w:color="auto" w:fill="auto"/>
                  <w:noWrap w:val="0"/>
                  <w:vAlign w:val="center"/>
                </w:tcPr>
                <w:p w14:paraId="4BAC4E7C">
                  <w:pPr>
                    <w:pStyle w:val="27"/>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76" w:lineRule="auto"/>
                    <w:ind w:left="0" w:leftChars="0" w:right="0" w:rightChars="0" w:firstLine="0" w:firstLineChars="0"/>
                    <w:jc w:val="center"/>
                    <w:textAlignment w:val="auto"/>
                    <w:rPr>
                      <w:rFonts w:hint="default" w:ascii="Times New Roman" w:hAnsi="Times New Roman" w:eastAsia="宋体" w:cs="Times New Roman"/>
                      <w:color w:val="auto"/>
                      <w:kern w:val="0"/>
                      <w:sz w:val="18"/>
                      <w:szCs w:val="18"/>
                      <w:highlight w:val="none"/>
                      <w:lang w:val="en-US" w:eastAsia="zh-CN" w:bidi="ar-SA"/>
                    </w:rPr>
                  </w:pPr>
                  <w:r>
                    <w:rPr>
                      <w:rFonts w:hint="eastAsia" w:ascii="Times New Roman" w:hAnsi="Times New Roman" w:eastAsia="宋体" w:cs="Times New Roman"/>
                      <w:color w:val="auto"/>
                      <w:sz w:val="18"/>
                      <w:szCs w:val="18"/>
                      <w:highlight w:val="none"/>
                      <w:lang w:val="en-US" w:eastAsia="zh-CN"/>
                    </w:rPr>
                    <w:t>7</w:t>
                  </w:r>
                </w:p>
              </w:tc>
              <w:tc>
                <w:tcPr>
                  <w:tcW w:w="456" w:type="pct"/>
                  <w:vMerge w:val="restart"/>
                  <w:tcBorders>
                    <w:top w:val="single" w:color="auto" w:sz="4" w:space="0"/>
                    <w:left w:val="single" w:color="auto" w:sz="4" w:space="0"/>
                    <w:right w:val="single" w:color="auto" w:sz="4" w:space="0"/>
                  </w:tcBorders>
                  <w:noWrap w:val="0"/>
                  <w:vAlign w:val="center"/>
                </w:tcPr>
                <w:p w14:paraId="5C83CDA6">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76" w:lineRule="auto"/>
                    <w:ind w:left="0" w:leftChars="0" w:right="0" w:rightChars="0" w:firstLine="0" w:firstLineChars="0"/>
                    <w:jc w:val="center"/>
                    <w:textAlignment w:val="auto"/>
                    <w:rPr>
                      <w:rFonts w:hint="default" w:ascii="Times New Roman" w:hAnsi="Times New Roman" w:eastAsia="宋体" w:cs="Times New Roman"/>
                      <w:color w:val="auto"/>
                      <w:sz w:val="18"/>
                      <w:szCs w:val="18"/>
                      <w:highlight w:val="none"/>
                      <w:lang w:val="en-US" w:eastAsia="zh-CN"/>
                    </w:rPr>
                  </w:pPr>
                  <w:r>
                    <w:rPr>
                      <w:rFonts w:hint="eastAsia" w:ascii="Times New Roman" w:hAnsi="Times New Roman" w:eastAsia="宋体" w:cs="Times New Roman"/>
                      <w:color w:val="auto"/>
                      <w:sz w:val="18"/>
                      <w:szCs w:val="18"/>
                      <w:highlight w:val="none"/>
                      <w:lang w:val="en-US" w:eastAsia="zh-CN"/>
                    </w:rPr>
                    <w:t>/</w:t>
                  </w:r>
                </w:p>
              </w:tc>
              <w:tc>
                <w:tcPr>
                  <w:tcW w:w="619" w:type="pct"/>
                  <w:vMerge w:val="restart"/>
                  <w:tcBorders>
                    <w:top w:val="single" w:color="auto" w:sz="4" w:space="0"/>
                    <w:left w:val="single" w:color="auto" w:sz="4" w:space="0"/>
                    <w:right w:val="single" w:color="auto" w:sz="4" w:space="0"/>
                  </w:tcBorders>
                  <w:noWrap w:val="0"/>
                  <w:vAlign w:val="center"/>
                </w:tcPr>
                <w:p w14:paraId="4B3D80C0">
                  <w:pPr>
                    <w:pStyle w:val="27"/>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76" w:lineRule="auto"/>
                    <w:ind w:left="0" w:leftChars="0" w:right="0" w:rightChars="0" w:firstLine="0" w:firstLineChars="0"/>
                    <w:jc w:val="center"/>
                    <w:textAlignment w:val="auto"/>
                    <w:rPr>
                      <w:rFonts w:hint="default" w:ascii="Times New Roman" w:hAnsi="Times New Roman" w:eastAsia="宋体" w:cs="Times New Roman"/>
                      <w:color w:val="auto"/>
                      <w:sz w:val="18"/>
                      <w:szCs w:val="18"/>
                      <w:highlight w:val="none"/>
                      <w:lang w:val="en-US" w:eastAsia="zh-CN"/>
                    </w:rPr>
                  </w:pPr>
                  <w:r>
                    <w:rPr>
                      <w:rFonts w:hint="eastAsia" w:ascii="Times New Roman" w:hAnsi="Times New Roman" w:eastAsia="宋体" w:cs="Times New Roman"/>
                      <w:color w:val="auto"/>
                      <w:sz w:val="18"/>
                      <w:szCs w:val="18"/>
                      <w:highlight w:val="none"/>
                      <w:lang w:val="en-US" w:eastAsia="zh-CN"/>
                    </w:rPr>
                    <w:t>科创综合楼</w:t>
                  </w:r>
                </w:p>
              </w:tc>
              <w:tc>
                <w:tcPr>
                  <w:tcW w:w="645" w:type="pct"/>
                  <w:tcBorders>
                    <w:top w:val="single" w:color="auto" w:sz="4" w:space="0"/>
                    <w:left w:val="single" w:color="auto" w:sz="4" w:space="0"/>
                    <w:bottom w:val="single" w:color="auto" w:sz="4" w:space="0"/>
                    <w:right w:val="single" w:color="auto" w:sz="4" w:space="0"/>
                  </w:tcBorders>
                  <w:noWrap w:val="0"/>
                  <w:vAlign w:val="center"/>
                </w:tcPr>
                <w:p w14:paraId="575D179A">
                  <w:pPr>
                    <w:pStyle w:val="27"/>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76" w:lineRule="auto"/>
                    <w:ind w:left="0" w:leftChars="0" w:right="0" w:rightChars="0" w:firstLine="0" w:firstLineChars="0"/>
                    <w:jc w:val="center"/>
                    <w:textAlignment w:val="auto"/>
                    <w:rPr>
                      <w:rFonts w:hint="default" w:ascii="Times New Roman" w:hAnsi="Times New Roman" w:eastAsia="宋体" w:cs="Times New Roman"/>
                      <w:color w:val="auto"/>
                      <w:sz w:val="18"/>
                      <w:szCs w:val="18"/>
                      <w:highlight w:val="none"/>
                      <w:lang w:val="en-US" w:eastAsia="zh-CN"/>
                    </w:rPr>
                  </w:pPr>
                  <w:r>
                    <w:rPr>
                      <w:rFonts w:hint="default" w:ascii="Times New Roman" w:hAnsi="Times New Roman" w:eastAsia="宋体" w:cs="Times New Roman"/>
                      <w:bCs/>
                      <w:kern w:val="0"/>
                      <w:sz w:val="18"/>
                      <w:szCs w:val="18"/>
                      <w:highlight w:val="none"/>
                    </w:rPr>
                    <w:t>非甲烷总烃</w:t>
                  </w:r>
                </w:p>
              </w:tc>
              <w:tc>
                <w:tcPr>
                  <w:tcW w:w="472" w:type="pct"/>
                  <w:vMerge w:val="continue"/>
                  <w:tcBorders>
                    <w:left w:val="single" w:color="auto" w:sz="4" w:space="0"/>
                    <w:right w:val="single" w:color="auto" w:sz="4" w:space="0"/>
                  </w:tcBorders>
                  <w:noWrap w:val="0"/>
                  <w:vAlign w:val="center"/>
                </w:tcPr>
                <w:p w14:paraId="07D22A8F">
                  <w:pPr>
                    <w:pStyle w:val="27"/>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76" w:lineRule="auto"/>
                    <w:ind w:left="0" w:leftChars="0" w:right="0" w:rightChars="0" w:firstLine="0" w:firstLineChars="0"/>
                    <w:jc w:val="center"/>
                    <w:textAlignment w:val="auto"/>
                    <w:rPr>
                      <w:rFonts w:hint="eastAsia" w:ascii="Times New Roman" w:hAnsi="Times New Roman" w:eastAsia="宋体" w:cs="Times New Roman"/>
                      <w:color w:val="auto"/>
                      <w:sz w:val="18"/>
                      <w:szCs w:val="18"/>
                      <w:highlight w:val="none"/>
                      <w:lang w:val="en-US" w:eastAsia="zh-CN"/>
                    </w:rPr>
                  </w:pPr>
                </w:p>
              </w:tc>
              <w:tc>
                <w:tcPr>
                  <w:tcW w:w="1506" w:type="pct"/>
                  <w:vMerge w:val="continue"/>
                  <w:tcBorders>
                    <w:left w:val="single" w:color="auto" w:sz="4" w:space="0"/>
                    <w:right w:val="single" w:color="auto" w:sz="4" w:space="0"/>
                  </w:tcBorders>
                  <w:noWrap w:val="0"/>
                  <w:vAlign w:val="center"/>
                </w:tcPr>
                <w:p w14:paraId="243DB422">
                  <w:pPr>
                    <w:pStyle w:val="27"/>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76" w:lineRule="auto"/>
                    <w:ind w:left="0" w:leftChars="0" w:right="0" w:rightChars="0" w:firstLine="0" w:firstLineChars="0"/>
                    <w:jc w:val="center"/>
                    <w:textAlignment w:val="auto"/>
                    <w:rPr>
                      <w:rFonts w:hint="eastAsia" w:ascii="Times New Roman" w:hAnsi="Times New Roman" w:eastAsia="宋体" w:cs="Times New Roman"/>
                      <w:color w:val="auto"/>
                      <w:sz w:val="18"/>
                      <w:szCs w:val="18"/>
                      <w:highlight w:val="none"/>
                      <w:lang w:val="en-US" w:eastAsia="zh-CN"/>
                    </w:rPr>
                  </w:pPr>
                </w:p>
              </w:tc>
              <w:tc>
                <w:tcPr>
                  <w:tcW w:w="678" w:type="pct"/>
                  <w:tcBorders>
                    <w:top w:val="single" w:color="auto" w:sz="4" w:space="0"/>
                    <w:left w:val="single" w:color="auto" w:sz="4" w:space="0"/>
                    <w:bottom w:val="single" w:color="auto" w:sz="4" w:space="0"/>
                    <w:right w:val="single" w:color="auto" w:sz="4" w:space="0"/>
                  </w:tcBorders>
                  <w:noWrap w:val="0"/>
                  <w:vAlign w:val="center"/>
                </w:tcPr>
                <w:p w14:paraId="258B2556">
                  <w:pPr>
                    <w:pStyle w:val="27"/>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76" w:lineRule="auto"/>
                    <w:ind w:left="0" w:leftChars="0" w:right="0" w:rightChars="0" w:firstLine="0" w:firstLineChars="0"/>
                    <w:jc w:val="center"/>
                    <w:textAlignment w:val="auto"/>
                    <w:rPr>
                      <w:rFonts w:hint="default" w:ascii="Times New Roman" w:hAnsi="Times New Roman" w:eastAsia="宋体" w:cs="Times New Roman"/>
                      <w:color w:val="auto"/>
                      <w:sz w:val="18"/>
                      <w:szCs w:val="18"/>
                      <w:highlight w:val="none"/>
                      <w:lang w:val="en-US" w:eastAsia="zh-CN"/>
                    </w:rPr>
                  </w:pPr>
                  <w:r>
                    <w:rPr>
                      <w:rFonts w:hint="eastAsia" w:ascii="Times New Roman" w:hAnsi="Times New Roman" w:eastAsia="宋体" w:cs="Times New Roman"/>
                      <w:color w:val="auto"/>
                      <w:sz w:val="18"/>
                      <w:szCs w:val="18"/>
                      <w:highlight w:val="none"/>
                      <w:lang w:val="en-US" w:eastAsia="zh-CN"/>
                    </w:rPr>
                    <w:t>4.0</w:t>
                  </w:r>
                </w:p>
              </w:tc>
              <w:tc>
                <w:tcPr>
                  <w:tcW w:w="428" w:type="pct"/>
                  <w:tcBorders>
                    <w:top w:val="single" w:color="auto" w:sz="4" w:space="0"/>
                    <w:left w:val="single" w:color="auto" w:sz="4" w:space="0"/>
                    <w:bottom w:val="single" w:color="auto" w:sz="4" w:space="0"/>
                    <w:right w:val="single" w:color="auto" w:sz="4" w:space="0"/>
                  </w:tcBorders>
                  <w:shd w:val="clear" w:color="auto" w:fill="auto"/>
                  <w:noWrap w:val="0"/>
                  <w:vAlign w:val="center"/>
                </w:tcPr>
                <w:p w14:paraId="01DA8772">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64" w:lineRule="auto"/>
                    <w:ind w:left="0" w:leftChars="0" w:right="0" w:rightChars="0"/>
                    <w:jc w:val="center"/>
                    <w:textAlignment w:val="auto"/>
                    <w:rPr>
                      <w:rFonts w:hint="default" w:ascii="Times New Roman" w:hAnsi="Times New Roman" w:eastAsia="宋体" w:cs="Times New Roman"/>
                      <w:bCs/>
                      <w:kern w:val="0"/>
                      <w:sz w:val="18"/>
                      <w:szCs w:val="18"/>
                      <w:highlight w:val="none"/>
                      <w:lang w:val="en-US" w:eastAsia="zh-CN" w:bidi="ar-SA"/>
                    </w:rPr>
                  </w:pPr>
                  <w:r>
                    <w:rPr>
                      <w:rFonts w:hint="eastAsia" w:ascii="Times New Roman" w:hAnsi="Times New Roman" w:eastAsia="宋体" w:cs="Times New Roman"/>
                      <w:bCs/>
                      <w:kern w:val="0"/>
                      <w:sz w:val="18"/>
                      <w:szCs w:val="18"/>
                      <w:highlight w:val="none"/>
                      <w:lang w:val="en-US" w:eastAsia="zh-CN"/>
                    </w:rPr>
                    <w:t>0.11</w:t>
                  </w:r>
                </w:p>
              </w:tc>
            </w:tr>
            <w:tr w14:paraId="59A294F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0" w:hRule="atLeast"/>
              </w:trPr>
              <w:tc>
                <w:tcPr>
                  <w:tcW w:w="192" w:type="pct"/>
                  <w:tcBorders>
                    <w:top w:val="single" w:color="auto" w:sz="4" w:space="0"/>
                    <w:left w:val="single" w:color="auto" w:sz="4" w:space="0"/>
                    <w:bottom w:val="single" w:color="auto" w:sz="4" w:space="0"/>
                    <w:right w:val="single" w:color="auto" w:sz="4" w:space="0"/>
                  </w:tcBorders>
                  <w:shd w:val="clear" w:color="auto" w:fill="auto"/>
                  <w:noWrap w:val="0"/>
                  <w:vAlign w:val="center"/>
                </w:tcPr>
                <w:p w14:paraId="027003CA">
                  <w:pPr>
                    <w:pStyle w:val="27"/>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76" w:lineRule="auto"/>
                    <w:ind w:left="0" w:leftChars="0" w:right="0" w:rightChars="0" w:firstLine="0" w:firstLineChars="0"/>
                    <w:jc w:val="center"/>
                    <w:textAlignment w:val="auto"/>
                    <w:rPr>
                      <w:rFonts w:hint="default" w:ascii="Times New Roman" w:hAnsi="Times New Roman" w:eastAsia="宋体" w:cs="Times New Roman"/>
                      <w:color w:val="auto"/>
                      <w:kern w:val="0"/>
                      <w:sz w:val="18"/>
                      <w:szCs w:val="18"/>
                      <w:highlight w:val="none"/>
                      <w:lang w:val="en-US" w:eastAsia="zh-CN" w:bidi="ar-SA"/>
                    </w:rPr>
                  </w:pPr>
                  <w:r>
                    <w:rPr>
                      <w:rFonts w:hint="eastAsia" w:ascii="Times New Roman" w:hAnsi="Times New Roman" w:eastAsia="宋体" w:cs="Times New Roman"/>
                      <w:color w:val="auto"/>
                      <w:sz w:val="18"/>
                      <w:szCs w:val="18"/>
                      <w:highlight w:val="none"/>
                      <w:lang w:val="en-US" w:eastAsia="zh-CN"/>
                    </w:rPr>
                    <w:t>8</w:t>
                  </w:r>
                </w:p>
              </w:tc>
              <w:tc>
                <w:tcPr>
                  <w:tcW w:w="456" w:type="pct"/>
                  <w:vMerge w:val="continue"/>
                  <w:tcBorders>
                    <w:left w:val="single" w:color="auto" w:sz="4" w:space="0"/>
                    <w:right w:val="single" w:color="auto" w:sz="4" w:space="0"/>
                  </w:tcBorders>
                  <w:noWrap w:val="0"/>
                  <w:vAlign w:val="center"/>
                </w:tcPr>
                <w:p w14:paraId="11512490">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76" w:lineRule="auto"/>
                    <w:ind w:left="0" w:leftChars="0" w:right="0" w:rightChars="0" w:firstLine="0" w:firstLineChars="0"/>
                    <w:jc w:val="center"/>
                    <w:textAlignment w:val="auto"/>
                    <w:rPr>
                      <w:rFonts w:hint="eastAsia" w:ascii="Times New Roman" w:hAnsi="Times New Roman" w:eastAsia="宋体" w:cs="Times New Roman"/>
                      <w:color w:val="auto"/>
                      <w:sz w:val="18"/>
                      <w:szCs w:val="18"/>
                      <w:highlight w:val="none"/>
                      <w:lang w:val="en-US" w:eastAsia="zh-CN"/>
                    </w:rPr>
                  </w:pPr>
                </w:p>
              </w:tc>
              <w:tc>
                <w:tcPr>
                  <w:tcW w:w="619" w:type="pct"/>
                  <w:vMerge w:val="continue"/>
                  <w:tcBorders>
                    <w:left w:val="single" w:color="auto" w:sz="4" w:space="0"/>
                    <w:right w:val="single" w:color="auto" w:sz="4" w:space="0"/>
                  </w:tcBorders>
                  <w:noWrap w:val="0"/>
                  <w:vAlign w:val="center"/>
                </w:tcPr>
                <w:p w14:paraId="69F123A3">
                  <w:pPr>
                    <w:pStyle w:val="27"/>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76" w:lineRule="auto"/>
                    <w:ind w:left="0" w:leftChars="0" w:right="0" w:rightChars="0" w:firstLine="0" w:firstLineChars="0"/>
                    <w:jc w:val="center"/>
                    <w:textAlignment w:val="auto"/>
                    <w:rPr>
                      <w:rFonts w:hint="eastAsia" w:ascii="Times New Roman" w:hAnsi="Times New Roman" w:eastAsia="宋体" w:cs="Times New Roman"/>
                      <w:color w:val="auto"/>
                      <w:sz w:val="18"/>
                      <w:szCs w:val="18"/>
                      <w:highlight w:val="none"/>
                      <w:lang w:val="en-US" w:eastAsia="zh-CN"/>
                    </w:rPr>
                  </w:pPr>
                </w:p>
              </w:tc>
              <w:tc>
                <w:tcPr>
                  <w:tcW w:w="645" w:type="pct"/>
                  <w:tcBorders>
                    <w:top w:val="single" w:color="auto" w:sz="4" w:space="0"/>
                    <w:left w:val="single" w:color="auto" w:sz="4" w:space="0"/>
                    <w:bottom w:val="single" w:color="auto" w:sz="4" w:space="0"/>
                    <w:right w:val="single" w:color="auto" w:sz="4" w:space="0"/>
                  </w:tcBorders>
                  <w:noWrap w:val="0"/>
                  <w:vAlign w:val="center"/>
                </w:tcPr>
                <w:p w14:paraId="79FF7C02">
                  <w:pPr>
                    <w:pStyle w:val="27"/>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76" w:lineRule="auto"/>
                    <w:ind w:left="0" w:leftChars="0" w:right="0" w:rightChars="0" w:firstLine="0" w:firstLineChars="0"/>
                    <w:jc w:val="center"/>
                    <w:textAlignment w:val="auto"/>
                    <w:rPr>
                      <w:rFonts w:hint="eastAsia" w:ascii="Times New Roman" w:hAnsi="Times New Roman" w:eastAsia="宋体" w:cs="Times New Roman"/>
                      <w:bCs/>
                      <w:kern w:val="0"/>
                      <w:sz w:val="18"/>
                      <w:szCs w:val="18"/>
                      <w:highlight w:val="none"/>
                      <w:lang w:val="en-US" w:eastAsia="zh-CN"/>
                    </w:rPr>
                  </w:pPr>
                  <w:r>
                    <w:rPr>
                      <w:rFonts w:hint="eastAsia" w:ascii="Times New Roman" w:hAnsi="Times New Roman" w:eastAsia="宋体" w:cs="Times New Roman"/>
                      <w:bCs/>
                      <w:kern w:val="0"/>
                      <w:sz w:val="18"/>
                      <w:szCs w:val="18"/>
                      <w:highlight w:val="none"/>
                      <w:lang w:val="en-US" w:eastAsia="zh-CN"/>
                    </w:rPr>
                    <w:t>硫酸雾</w:t>
                  </w:r>
                </w:p>
              </w:tc>
              <w:tc>
                <w:tcPr>
                  <w:tcW w:w="472" w:type="pct"/>
                  <w:vMerge w:val="continue"/>
                  <w:tcBorders>
                    <w:left w:val="single" w:color="auto" w:sz="4" w:space="0"/>
                    <w:right w:val="single" w:color="auto" w:sz="4" w:space="0"/>
                  </w:tcBorders>
                  <w:noWrap w:val="0"/>
                  <w:vAlign w:val="center"/>
                </w:tcPr>
                <w:p w14:paraId="5962AC5D">
                  <w:pPr>
                    <w:pStyle w:val="27"/>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76" w:lineRule="auto"/>
                    <w:ind w:left="0" w:leftChars="0" w:right="0" w:rightChars="0" w:firstLine="0" w:firstLineChars="0"/>
                    <w:jc w:val="center"/>
                    <w:textAlignment w:val="auto"/>
                    <w:rPr>
                      <w:rFonts w:hint="eastAsia" w:ascii="Times New Roman" w:hAnsi="Times New Roman" w:eastAsia="宋体" w:cs="Times New Roman"/>
                      <w:color w:val="auto"/>
                      <w:sz w:val="18"/>
                      <w:szCs w:val="18"/>
                      <w:highlight w:val="none"/>
                      <w:lang w:val="en-US" w:eastAsia="zh-CN"/>
                    </w:rPr>
                  </w:pPr>
                </w:p>
              </w:tc>
              <w:tc>
                <w:tcPr>
                  <w:tcW w:w="1506" w:type="pct"/>
                  <w:vMerge w:val="continue"/>
                  <w:tcBorders>
                    <w:left w:val="single" w:color="auto" w:sz="4" w:space="0"/>
                    <w:bottom w:val="single" w:color="auto" w:sz="4" w:space="0"/>
                    <w:right w:val="single" w:color="auto" w:sz="4" w:space="0"/>
                  </w:tcBorders>
                  <w:noWrap w:val="0"/>
                  <w:vAlign w:val="center"/>
                </w:tcPr>
                <w:p w14:paraId="7FF25E38">
                  <w:pPr>
                    <w:pStyle w:val="27"/>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76" w:lineRule="auto"/>
                    <w:ind w:left="0" w:leftChars="0" w:right="0" w:rightChars="0" w:firstLine="0" w:firstLineChars="0"/>
                    <w:jc w:val="center"/>
                    <w:textAlignment w:val="auto"/>
                    <w:rPr>
                      <w:rFonts w:hint="eastAsia" w:ascii="Times New Roman" w:hAnsi="Times New Roman" w:eastAsia="宋体" w:cs="Times New Roman"/>
                      <w:color w:val="auto"/>
                      <w:sz w:val="18"/>
                      <w:szCs w:val="18"/>
                      <w:highlight w:val="none"/>
                      <w:lang w:val="en-US" w:eastAsia="zh-CN"/>
                    </w:rPr>
                  </w:pPr>
                </w:p>
              </w:tc>
              <w:tc>
                <w:tcPr>
                  <w:tcW w:w="678" w:type="pct"/>
                  <w:tcBorders>
                    <w:top w:val="single" w:color="auto" w:sz="4" w:space="0"/>
                    <w:left w:val="single" w:color="auto" w:sz="4" w:space="0"/>
                    <w:bottom w:val="single" w:color="auto" w:sz="4" w:space="0"/>
                    <w:right w:val="single" w:color="auto" w:sz="4" w:space="0"/>
                  </w:tcBorders>
                  <w:noWrap w:val="0"/>
                  <w:vAlign w:val="center"/>
                </w:tcPr>
                <w:p w14:paraId="69F9E0C1">
                  <w:pPr>
                    <w:pStyle w:val="27"/>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76" w:lineRule="auto"/>
                    <w:ind w:left="0" w:leftChars="0" w:right="0" w:rightChars="0" w:firstLine="0" w:firstLineChars="0"/>
                    <w:jc w:val="center"/>
                    <w:textAlignment w:val="auto"/>
                    <w:rPr>
                      <w:rFonts w:hint="default" w:ascii="Times New Roman" w:hAnsi="Times New Roman" w:eastAsia="宋体" w:cs="Times New Roman"/>
                      <w:color w:val="auto"/>
                      <w:sz w:val="18"/>
                      <w:szCs w:val="18"/>
                      <w:highlight w:val="none"/>
                      <w:lang w:val="en-US" w:eastAsia="zh-CN"/>
                    </w:rPr>
                  </w:pPr>
                  <w:r>
                    <w:rPr>
                      <w:rFonts w:hint="eastAsia" w:ascii="Times New Roman" w:hAnsi="Times New Roman" w:eastAsia="宋体" w:cs="Times New Roman"/>
                      <w:kern w:val="0"/>
                      <w:sz w:val="18"/>
                      <w:szCs w:val="18"/>
                      <w:highlight w:val="none"/>
                      <w:lang w:val="en-US" w:eastAsia="zh-CN"/>
                    </w:rPr>
                    <w:t>1.2</w:t>
                  </w:r>
                </w:p>
              </w:tc>
              <w:tc>
                <w:tcPr>
                  <w:tcW w:w="428" w:type="pct"/>
                  <w:tcBorders>
                    <w:top w:val="single" w:color="auto" w:sz="4" w:space="0"/>
                    <w:left w:val="single" w:color="auto" w:sz="4" w:space="0"/>
                    <w:bottom w:val="single" w:color="auto" w:sz="4" w:space="0"/>
                    <w:right w:val="single" w:color="auto" w:sz="4" w:space="0"/>
                  </w:tcBorders>
                  <w:shd w:val="clear" w:color="auto" w:fill="auto"/>
                  <w:noWrap w:val="0"/>
                  <w:vAlign w:val="center"/>
                </w:tcPr>
                <w:p w14:paraId="5A797ACB">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64" w:lineRule="auto"/>
                    <w:ind w:left="0" w:leftChars="0" w:right="0" w:rightChars="0"/>
                    <w:jc w:val="center"/>
                    <w:textAlignment w:val="auto"/>
                    <w:rPr>
                      <w:rFonts w:hint="eastAsia" w:ascii="Times New Roman" w:hAnsi="Times New Roman" w:eastAsia="宋体" w:cs="Times New Roman"/>
                      <w:bCs/>
                      <w:kern w:val="0"/>
                      <w:sz w:val="18"/>
                      <w:szCs w:val="18"/>
                      <w:highlight w:val="none"/>
                      <w:lang w:val="en-US" w:eastAsia="zh-CN"/>
                    </w:rPr>
                  </w:pPr>
                  <w:r>
                    <w:rPr>
                      <w:rFonts w:hint="eastAsia" w:ascii="Times New Roman" w:hAnsi="Times New Roman" w:eastAsia="宋体" w:cs="Times New Roman"/>
                      <w:bCs/>
                      <w:kern w:val="0"/>
                      <w:sz w:val="18"/>
                      <w:szCs w:val="18"/>
                      <w:highlight w:val="none"/>
                      <w:lang w:val="en-US" w:eastAsia="zh-CN"/>
                    </w:rPr>
                    <w:t>少量</w:t>
                  </w:r>
                </w:p>
              </w:tc>
            </w:tr>
            <w:tr w14:paraId="177F8F2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0" w:hRule="atLeast"/>
              </w:trPr>
              <w:tc>
                <w:tcPr>
                  <w:tcW w:w="192" w:type="pct"/>
                  <w:tcBorders>
                    <w:top w:val="single" w:color="auto" w:sz="4" w:space="0"/>
                    <w:left w:val="single" w:color="auto" w:sz="4" w:space="0"/>
                    <w:bottom w:val="single" w:color="auto" w:sz="4" w:space="0"/>
                    <w:right w:val="single" w:color="auto" w:sz="4" w:space="0"/>
                  </w:tcBorders>
                  <w:noWrap w:val="0"/>
                  <w:vAlign w:val="center"/>
                </w:tcPr>
                <w:p w14:paraId="77ECDAE3">
                  <w:pPr>
                    <w:pStyle w:val="27"/>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76" w:lineRule="auto"/>
                    <w:ind w:left="0" w:leftChars="0" w:right="0" w:rightChars="0" w:firstLine="0" w:firstLineChars="0"/>
                    <w:jc w:val="center"/>
                    <w:textAlignment w:val="auto"/>
                    <w:rPr>
                      <w:rFonts w:hint="default" w:ascii="Times New Roman" w:hAnsi="Times New Roman" w:eastAsia="宋体" w:cs="Times New Roman"/>
                      <w:color w:val="auto"/>
                      <w:sz w:val="18"/>
                      <w:szCs w:val="18"/>
                      <w:highlight w:val="none"/>
                      <w:lang w:val="en-US" w:eastAsia="zh-CN"/>
                    </w:rPr>
                  </w:pPr>
                  <w:r>
                    <w:rPr>
                      <w:rFonts w:hint="eastAsia" w:ascii="Times New Roman" w:hAnsi="Times New Roman" w:cs="Times New Roman"/>
                      <w:color w:val="auto"/>
                      <w:sz w:val="18"/>
                      <w:szCs w:val="18"/>
                      <w:highlight w:val="none"/>
                      <w:lang w:val="en-US" w:eastAsia="zh-CN"/>
                    </w:rPr>
                    <w:t>9</w:t>
                  </w:r>
                </w:p>
              </w:tc>
              <w:tc>
                <w:tcPr>
                  <w:tcW w:w="456" w:type="pct"/>
                  <w:vMerge w:val="continue"/>
                  <w:tcBorders>
                    <w:left w:val="single" w:color="auto" w:sz="4" w:space="0"/>
                    <w:bottom w:val="single" w:color="auto" w:sz="4" w:space="0"/>
                    <w:right w:val="single" w:color="auto" w:sz="4" w:space="0"/>
                  </w:tcBorders>
                  <w:noWrap w:val="0"/>
                  <w:vAlign w:val="center"/>
                </w:tcPr>
                <w:p w14:paraId="58B8B22F">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76" w:lineRule="auto"/>
                    <w:ind w:left="0" w:leftChars="0" w:right="0" w:rightChars="0" w:firstLine="0" w:firstLineChars="0"/>
                    <w:jc w:val="center"/>
                    <w:textAlignment w:val="auto"/>
                    <w:rPr>
                      <w:rFonts w:hint="eastAsia" w:ascii="Times New Roman" w:hAnsi="Times New Roman" w:eastAsia="宋体" w:cs="Times New Roman"/>
                      <w:color w:val="auto"/>
                      <w:sz w:val="18"/>
                      <w:szCs w:val="18"/>
                      <w:highlight w:val="none"/>
                      <w:lang w:val="en-US" w:eastAsia="zh-CN"/>
                    </w:rPr>
                  </w:pPr>
                </w:p>
              </w:tc>
              <w:tc>
                <w:tcPr>
                  <w:tcW w:w="619" w:type="pct"/>
                  <w:vMerge w:val="continue"/>
                  <w:tcBorders>
                    <w:left w:val="single" w:color="auto" w:sz="4" w:space="0"/>
                    <w:bottom w:val="single" w:color="auto" w:sz="4" w:space="0"/>
                    <w:right w:val="single" w:color="auto" w:sz="4" w:space="0"/>
                  </w:tcBorders>
                  <w:noWrap w:val="0"/>
                  <w:vAlign w:val="center"/>
                </w:tcPr>
                <w:p w14:paraId="25B011B5">
                  <w:pPr>
                    <w:pStyle w:val="27"/>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76" w:lineRule="auto"/>
                    <w:ind w:left="0" w:leftChars="0" w:right="0" w:rightChars="0" w:firstLine="0" w:firstLineChars="0"/>
                    <w:jc w:val="center"/>
                    <w:textAlignment w:val="auto"/>
                    <w:rPr>
                      <w:rFonts w:hint="eastAsia" w:ascii="Times New Roman" w:hAnsi="Times New Roman" w:eastAsia="宋体" w:cs="Times New Roman"/>
                      <w:color w:val="auto"/>
                      <w:sz w:val="18"/>
                      <w:szCs w:val="18"/>
                      <w:highlight w:val="none"/>
                      <w:lang w:val="en-US" w:eastAsia="zh-CN"/>
                    </w:rPr>
                  </w:pPr>
                </w:p>
              </w:tc>
              <w:tc>
                <w:tcPr>
                  <w:tcW w:w="645" w:type="pct"/>
                  <w:tcBorders>
                    <w:top w:val="single" w:color="auto" w:sz="4" w:space="0"/>
                    <w:left w:val="single" w:color="auto" w:sz="4" w:space="0"/>
                    <w:bottom w:val="single" w:color="auto" w:sz="4" w:space="0"/>
                    <w:right w:val="single" w:color="auto" w:sz="4" w:space="0"/>
                  </w:tcBorders>
                  <w:noWrap w:val="0"/>
                  <w:vAlign w:val="center"/>
                </w:tcPr>
                <w:p w14:paraId="0265F1C4">
                  <w:pPr>
                    <w:pStyle w:val="27"/>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76" w:lineRule="auto"/>
                    <w:ind w:left="0" w:leftChars="0" w:right="0" w:rightChars="0" w:firstLine="0" w:firstLineChars="0"/>
                    <w:jc w:val="center"/>
                    <w:textAlignment w:val="auto"/>
                    <w:rPr>
                      <w:rFonts w:hint="eastAsia" w:ascii="Times New Roman" w:hAnsi="Times New Roman" w:eastAsia="宋体" w:cs="Times New Roman"/>
                      <w:bCs/>
                      <w:kern w:val="0"/>
                      <w:sz w:val="18"/>
                      <w:szCs w:val="18"/>
                      <w:highlight w:val="none"/>
                      <w:lang w:val="en-US" w:eastAsia="zh-CN"/>
                    </w:rPr>
                  </w:pPr>
                  <w:r>
                    <w:rPr>
                      <w:rFonts w:hint="eastAsia" w:ascii="Times New Roman" w:hAnsi="Times New Roman" w:eastAsia="宋体" w:cs="Times New Roman"/>
                      <w:bCs/>
                      <w:kern w:val="0"/>
                      <w:sz w:val="18"/>
                      <w:szCs w:val="18"/>
                      <w:highlight w:val="none"/>
                      <w:lang w:val="en-US" w:eastAsia="zh-CN"/>
                    </w:rPr>
                    <w:t>氯化氢</w:t>
                  </w:r>
                </w:p>
              </w:tc>
              <w:tc>
                <w:tcPr>
                  <w:tcW w:w="472" w:type="pct"/>
                  <w:vMerge w:val="continue"/>
                  <w:tcBorders>
                    <w:left w:val="single" w:color="auto" w:sz="4" w:space="0"/>
                    <w:right w:val="single" w:color="auto" w:sz="4" w:space="0"/>
                  </w:tcBorders>
                  <w:noWrap w:val="0"/>
                  <w:vAlign w:val="center"/>
                </w:tcPr>
                <w:p w14:paraId="0C42EAC4">
                  <w:pPr>
                    <w:pStyle w:val="27"/>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76" w:lineRule="auto"/>
                    <w:ind w:left="0" w:leftChars="0" w:right="0" w:rightChars="0" w:firstLine="0" w:firstLineChars="0"/>
                    <w:jc w:val="center"/>
                    <w:textAlignment w:val="auto"/>
                    <w:rPr>
                      <w:rFonts w:hint="eastAsia" w:ascii="Times New Roman" w:hAnsi="Times New Roman" w:eastAsia="宋体" w:cs="Times New Roman"/>
                      <w:color w:val="auto"/>
                      <w:sz w:val="18"/>
                      <w:szCs w:val="18"/>
                      <w:highlight w:val="none"/>
                      <w:lang w:val="en-US" w:eastAsia="zh-CN"/>
                    </w:rPr>
                  </w:pPr>
                </w:p>
              </w:tc>
              <w:tc>
                <w:tcPr>
                  <w:tcW w:w="1506" w:type="pct"/>
                  <w:tcBorders>
                    <w:left w:val="single" w:color="auto" w:sz="4" w:space="0"/>
                    <w:bottom w:val="single" w:color="auto" w:sz="4" w:space="0"/>
                    <w:right w:val="single" w:color="auto" w:sz="4" w:space="0"/>
                  </w:tcBorders>
                  <w:noWrap w:val="0"/>
                  <w:vAlign w:val="center"/>
                </w:tcPr>
                <w:p w14:paraId="579F37AE">
                  <w:pPr>
                    <w:pStyle w:val="27"/>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76" w:lineRule="auto"/>
                    <w:ind w:left="0" w:leftChars="0" w:right="0" w:rightChars="0" w:firstLine="0" w:firstLineChars="0"/>
                    <w:jc w:val="center"/>
                    <w:textAlignment w:val="auto"/>
                    <w:rPr>
                      <w:rFonts w:hint="eastAsia" w:ascii="Times New Roman" w:hAnsi="Times New Roman" w:eastAsia="宋体" w:cs="Times New Roman"/>
                      <w:color w:val="auto"/>
                      <w:sz w:val="18"/>
                      <w:szCs w:val="18"/>
                      <w:highlight w:val="none"/>
                      <w:lang w:val="en-US" w:eastAsia="zh-CN"/>
                    </w:rPr>
                  </w:pPr>
                  <w:r>
                    <w:rPr>
                      <w:rFonts w:hint="eastAsia" w:ascii="Times New Roman" w:hAnsi="Times New Roman" w:eastAsia="宋体" w:cs="Times New Roman"/>
                      <w:kern w:val="0"/>
                      <w:sz w:val="18"/>
                      <w:szCs w:val="18"/>
                      <w:highlight w:val="none"/>
                      <w:lang w:val="en-US" w:eastAsia="zh-CN"/>
                    </w:rPr>
                    <w:t>《制药工业大气污染物排放标准》（GB37823-2019）表4</w:t>
                  </w:r>
                </w:p>
              </w:tc>
              <w:tc>
                <w:tcPr>
                  <w:tcW w:w="678" w:type="pct"/>
                  <w:tcBorders>
                    <w:top w:val="single" w:color="auto" w:sz="4" w:space="0"/>
                    <w:left w:val="single" w:color="auto" w:sz="4" w:space="0"/>
                    <w:bottom w:val="single" w:color="auto" w:sz="4" w:space="0"/>
                    <w:right w:val="single" w:color="auto" w:sz="4" w:space="0"/>
                  </w:tcBorders>
                  <w:noWrap w:val="0"/>
                  <w:vAlign w:val="center"/>
                </w:tcPr>
                <w:p w14:paraId="05207B78">
                  <w:pPr>
                    <w:pStyle w:val="27"/>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76" w:lineRule="auto"/>
                    <w:ind w:left="0" w:leftChars="0" w:right="0" w:rightChars="0" w:firstLine="0" w:firstLineChars="0"/>
                    <w:jc w:val="center"/>
                    <w:textAlignment w:val="auto"/>
                    <w:rPr>
                      <w:rFonts w:hint="default" w:ascii="Times New Roman" w:hAnsi="Times New Roman" w:eastAsia="宋体" w:cs="Times New Roman"/>
                      <w:color w:val="auto"/>
                      <w:sz w:val="18"/>
                      <w:szCs w:val="18"/>
                      <w:highlight w:val="none"/>
                      <w:lang w:val="en-US" w:eastAsia="zh-CN"/>
                    </w:rPr>
                  </w:pPr>
                  <w:r>
                    <w:rPr>
                      <w:rFonts w:hint="eastAsia" w:ascii="Times New Roman" w:hAnsi="Times New Roman" w:eastAsia="宋体" w:cs="Times New Roman"/>
                      <w:kern w:val="0"/>
                      <w:sz w:val="18"/>
                      <w:szCs w:val="18"/>
                      <w:highlight w:val="none"/>
                      <w:lang w:val="en-US" w:eastAsia="zh-CN"/>
                    </w:rPr>
                    <w:t>0.20</w:t>
                  </w:r>
                </w:p>
              </w:tc>
              <w:tc>
                <w:tcPr>
                  <w:tcW w:w="428" w:type="pct"/>
                  <w:tcBorders>
                    <w:top w:val="single" w:color="auto" w:sz="4" w:space="0"/>
                    <w:left w:val="single" w:color="auto" w:sz="4" w:space="0"/>
                    <w:bottom w:val="single" w:color="auto" w:sz="4" w:space="0"/>
                    <w:right w:val="single" w:color="auto" w:sz="4" w:space="0"/>
                  </w:tcBorders>
                  <w:shd w:val="clear" w:color="auto" w:fill="auto"/>
                  <w:noWrap w:val="0"/>
                  <w:vAlign w:val="center"/>
                </w:tcPr>
                <w:p w14:paraId="76200A92">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64" w:lineRule="auto"/>
                    <w:ind w:left="0" w:leftChars="0" w:right="0" w:rightChars="0"/>
                    <w:jc w:val="center"/>
                    <w:textAlignment w:val="auto"/>
                    <w:rPr>
                      <w:rFonts w:hint="eastAsia" w:ascii="Times New Roman" w:hAnsi="Times New Roman" w:eastAsia="宋体" w:cs="Times New Roman"/>
                      <w:bCs/>
                      <w:kern w:val="0"/>
                      <w:sz w:val="18"/>
                      <w:szCs w:val="18"/>
                      <w:highlight w:val="none"/>
                      <w:lang w:val="en-US" w:eastAsia="zh-CN"/>
                    </w:rPr>
                  </w:pPr>
                  <w:r>
                    <w:rPr>
                      <w:rFonts w:hint="eastAsia" w:ascii="Times New Roman" w:hAnsi="Times New Roman" w:eastAsia="宋体" w:cs="Times New Roman"/>
                      <w:bCs/>
                      <w:kern w:val="0"/>
                      <w:sz w:val="18"/>
                      <w:szCs w:val="18"/>
                      <w:highlight w:val="none"/>
                      <w:lang w:val="en-US" w:eastAsia="zh-CN"/>
                    </w:rPr>
                    <w:t>少量</w:t>
                  </w:r>
                </w:p>
              </w:tc>
            </w:tr>
            <w:tr w14:paraId="636860A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0" w:hRule="atLeast"/>
              </w:trPr>
              <w:tc>
                <w:tcPr>
                  <w:tcW w:w="5000" w:type="pct"/>
                  <w:gridSpan w:val="8"/>
                  <w:tcBorders>
                    <w:top w:val="single" w:color="auto" w:sz="4" w:space="0"/>
                    <w:left w:val="single" w:color="auto" w:sz="4" w:space="0"/>
                    <w:bottom w:val="single" w:color="auto" w:sz="4" w:space="0"/>
                    <w:right w:val="single" w:color="auto" w:sz="4" w:space="0"/>
                  </w:tcBorders>
                  <w:noWrap w:val="0"/>
                  <w:vAlign w:val="center"/>
                </w:tcPr>
                <w:p w14:paraId="79B5D7A6">
                  <w:pPr>
                    <w:pStyle w:val="27"/>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76" w:lineRule="auto"/>
                    <w:ind w:left="0" w:leftChars="0" w:right="0" w:rightChars="0" w:firstLine="0" w:firstLineChars="0"/>
                    <w:jc w:val="center"/>
                    <w:textAlignment w:val="auto"/>
                    <w:rPr>
                      <w:rFonts w:hint="default" w:ascii="Times New Roman" w:hAnsi="Times New Roman" w:eastAsia="宋体" w:cs="Times New Roman"/>
                      <w:color w:val="auto"/>
                      <w:sz w:val="18"/>
                      <w:szCs w:val="18"/>
                      <w:highlight w:val="none"/>
                      <w:lang w:val="en-US" w:eastAsia="zh-CN"/>
                    </w:rPr>
                  </w:pPr>
                  <w:r>
                    <w:rPr>
                      <w:rFonts w:hint="eastAsia" w:ascii="Times New Roman" w:hAnsi="Times New Roman" w:eastAsia="宋体" w:cs="Times New Roman"/>
                      <w:color w:val="auto"/>
                      <w:sz w:val="18"/>
                      <w:szCs w:val="18"/>
                      <w:highlight w:val="none"/>
                      <w:lang w:val="en-US" w:eastAsia="zh-CN"/>
                    </w:rPr>
                    <w:t>无组织排放总计</w:t>
                  </w:r>
                </w:p>
              </w:tc>
            </w:tr>
            <w:tr w14:paraId="6C11DAF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0" w:hRule="atLeast"/>
              </w:trPr>
              <w:tc>
                <w:tcPr>
                  <w:tcW w:w="1914" w:type="pct"/>
                  <w:gridSpan w:val="4"/>
                  <w:vMerge w:val="restart"/>
                  <w:tcBorders>
                    <w:top w:val="nil"/>
                    <w:left w:val="single" w:color="auto" w:sz="4" w:space="0"/>
                    <w:right w:val="single" w:color="auto" w:sz="4" w:space="0"/>
                  </w:tcBorders>
                  <w:noWrap w:val="0"/>
                  <w:vAlign w:val="center"/>
                </w:tcPr>
                <w:p w14:paraId="1661AB52">
                  <w:pPr>
                    <w:pStyle w:val="27"/>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76" w:lineRule="auto"/>
                    <w:ind w:left="0" w:leftChars="0" w:right="0" w:rightChars="0" w:firstLine="0" w:firstLineChars="0"/>
                    <w:jc w:val="center"/>
                    <w:textAlignment w:val="auto"/>
                    <w:rPr>
                      <w:rFonts w:hint="default" w:ascii="Times New Roman" w:hAnsi="Times New Roman" w:eastAsia="宋体" w:cs="Times New Roman"/>
                      <w:color w:val="auto"/>
                      <w:sz w:val="18"/>
                      <w:szCs w:val="18"/>
                      <w:highlight w:val="none"/>
                      <w:lang w:val="en-US" w:eastAsia="zh-CN"/>
                    </w:rPr>
                  </w:pPr>
                  <w:r>
                    <w:rPr>
                      <w:rFonts w:hint="eastAsia" w:ascii="Times New Roman" w:hAnsi="Times New Roman" w:eastAsia="宋体" w:cs="Times New Roman"/>
                      <w:color w:val="auto"/>
                      <w:sz w:val="18"/>
                      <w:szCs w:val="18"/>
                      <w:highlight w:val="none"/>
                      <w:lang w:val="en-US" w:eastAsia="zh-CN"/>
                    </w:rPr>
                    <w:t>无组织排放总计</w:t>
                  </w:r>
                </w:p>
              </w:tc>
              <w:tc>
                <w:tcPr>
                  <w:tcW w:w="1978" w:type="pct"/>
                  <w:gridSpan w:val="2"/>
                  <w:tcBorders>
                    <w:top w:val="single" w:color="auto" w:sz="4" w:space="0"/>
                    <w:left w:val="single" w:color="auto" w:sz="4" w:space="0"/>
                    <w:bottom w:val="single" w:color="auto" w:sz="4" w:space="0"/>
                    <w:right w:val="single" w:color="auto" w:sz="4" w:space="0"/>
                  </w:tcBorders>
                  <w:shd w:val="clear" w:color="auto" w:fill="auto"/>
                  <w:noWrap w:val="0"/>
                  <w:vAlign w:val="center"/>
                </w:tcPr>
                <w:p w14:paraId="3EB62CFE">
                  <w:pPr>
                    <w:pStyle w:val="27"/>
                    <w:keepNext w:val="0"/>
                    <w:keepLines w:val="0"/>
                    <w:widowControl w:val="0"/>
                    <w:suppressLineNumbers w:val="0"/>
                    <w:spacing w:before="0" w:beforeAutospacing="0" w:after="0" w:afterAutospacing="0" w:line="240" w:lineRule="auto"/>
                    <w:ind w:left="0" w:leftChars="0" w:right="0" w:rightChars="0" w:firstLine="0" w:firstLineChars="0"/>
                    <w:jc w:val="center"/>
                    <w:rPr>
                      <w:rFonts w:hint="default" w:ascii="Times New Roman" w:hAnsi="Times New Roman" w:eastAsia="宋体" w:cs="Times New Roman"/>
                      <w:color w:val="auto"/>
                      <w:kern w:val="0"/>
                      <w:sz w:val="18"/>
                      <w:szCs w:val="18"/>
                      <w:highlight w:val="none"/>
                      <w:lang w:val="en-US" w:eastAsia="zh-CN" w:bidi="ar-SA"/>
                    </w:rPr>
                  </w:pPr>
                  <w:r>
                    <w:rPr>
                      <w:rFonts w:hint="eastAsia" w:ascii="Times New Roman" w:hAnsi="Times New Roman" w:eastAsia="宋体" w:cs="Times New Roman"/>
                      <w:color w:val="auto"/>
                      <w:sz w:val="18"/>
                      <w:szCs w:val="18"/>
                      <w:highlight w:val="none"/>
                      <w:lang w:val="en-US" w:eastAsia="zh-CN"/>
                    </w:rPr>
                    <w:t>氨</w:t>
                  </w:r>
                </w:p>
              </w:tc>
              <w:tc>
                <w:tcPr>
                  <w:tcW w:w="1107" w:type="pct"/>
                  <w:gridSpan w:val="2"/>
                  <w:tcBorders>
                    <w:top w:val="single" w:color="auto" w:sz="4" w:space="0"/>
                    <w:left w:val="single" w:color="auto" w:sz="4" w:space="0"/>
                    <w:bottom w:val="single" w:color="auto" w:sz="4" w:space="0"/>
                    <w:right w:val="single" w:color="auto" w:sz="4" w:space="0"/>
                  </w:tcBorders>
                  <w:shd w:val="clear" w:color="auto" w:fill="auto"/>
                  <w:noWrap w:val="0"/>
                  <w:vAlign w:val="center"/>
                </w:tcPr>
                <w:p w14:paraId="679776A3">
                  <w:pPr>
                    <w:keepNext w:val="0"/>
                    <w:keepLines w:val="0"/>
                    <w:widowControl/>
                    <w:suppressLineNumbers w:val="0"/>
                    <w:spacing w:before="0" w:beforeAutospacing="0" w:after="0" w:afterAutospacing="0" w:line="280" w:lineRule="exact"/>
                    <w:ind w:left="0" w:leftChars="0" w:right="0" w:rightChars="0"/>
                    <w:jc w:val="center"/>
                    <w:textAlignment w:val="center"/>
                    <w:rPr>
                      <w:rFonts w:hint="default" w:ascii="Times New Roman" w:hAnsi="Times New Roman" w:eastAsia="宋体" w:cs="Times New Roman"/>
                      <w:b w:val="0"/>
                      <w:bCs/>
                      <w:kern w:val="2"/>
                      <w:sz w:val="18"/>
                      <w:szCs w:val="18"/>
                      <w:highlight w:val="none"/>
                      <w:lang w:val="en-US" w:eastAsia="zh-CN" w:bidi="ar"/>
                    </w:rPr>
                  </w:pPr>
                  <w:r>
                    <w:rPr>
                      <w:rFonts w:hint="eastAsia" w:cs="Times New Roman"/>
                      <w:b w:val="0"/>
                      <w:bCs/>
                      <w:sz w:val="18"/>
                      <w:szCs w:val="18"/>
                      <w:highlight w:val="none"/>
                      <w:lang w:val="en-US" w:eastAsia="zh-CN" w:bidi="ar"/>
                    </w:rPr>
                    <w:t>0.037</w:t>
                  </w:r>
                </w:p>
              </w:tc>
            </w:tr>
            <w:tr w14:paraId="2FC4113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0" w:hRule="atLeast"/>
              </w:trPr>
              <w:tc>
                <w:tcPr>
                  <w:tcW w:w="1914" w:type="pct"/>
                  <w:gridSpan w:val="4"/>
                  <w:vMerge w:val="continue"/>
                  <w:tcBorders>
                    <w:left w:val="single" w:color="auto" w:sz="4" w:space="0"/>
                    <w:right w:val="single" w:color="auto" w:sz="4" w:space="0"/>
                  </w:tcBorders>
                  <w:noWrap w:val="0"/>
                  <w:vAlign w:val="center"/>
                </w:tcPr>
                <w:p w14:paraId="747FE620">
                  <w:pPr>
                    <w:pStyle w:val="27"/>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76" w:lineRule="auto"/>
                    <w:ind w:left="0" w:leftChars="0" w:right="0" w:rightChars="0" w:firstLine="0" w:firstLineChars="0"/>
                    <w:jc w:val="center"/>
                    <w:textAlignment w:val="auto"/>
                    <w:rPr>
                      <w:rFonts w:hint="eastAsia" w:ascii="Times New Roman" w:hAnsi="Times New Roman" w:eastAsia="宋体" w:cs="Times New Roman"/>
                      <w:color w:val="auto"/>
                      <w:sz w:val="18"/>
                      <w:szCs w:val="18"/>
                      <w:highlight w:val="none"/>
                      <w:lang w:val="en-US" w:eastAsia="zh-CN"/>
                    </w:rPr>
                  </w:pPr>
                </w:p>
              </w:tc>
              <w:tc>
                <w:tcPr>
                  <w:tcW w:w="1978" w:type="pct"/>
                  <w:gridSpan w:val="2"/>
                  <w:tcBorders>
                    <w:top w:val="single" w:color="auto" w:sz="4" w:space="0"/>
                    <w:left w:val="single" w:color="auto" w:sz="4" w:space="0"/>
                    <w:bottom w:val="single" w:color="auto" w:sz="4" w:space="0"/>
                    <w:right w:val="single" w:color="auto" w:sz="4" w:space="0"/>
                  </w:tcBorders>
                  <w:shd w:val="clear" w:color="auto" w:fill="auto"/>
                  <w:noWrap w:val="0"/>
                  <w:vAlign w:val="center"/>
                </w:tcPr>
                <w:p w14:paraId="1642E1F2">
                  <w:pPr>
                    <w:pStyle w:val="27"/>
                    <w:keepNext w:val="0"/>
                    <w:keepLines w:val="0"/>
                    <w:widowControl w:val="0"/>
                    <w:suppressLineNumbers w:val="0"/>
                    <w:spacing w:before="0" w:beforeAutospacing="0" w:after="0" w:afterAutospacing="0" w:line="240" w:lineRule="auto"/>
                    <w:ind w:left="0" w:leftChars="0" w:right="0" w:rightChars="0" w:firstLine="0" w:firstLineChars="0"/>
                    <w:jc w:val="center"/>
                    <w:rPr>
                      <w:rFonts w:hint="default" w:ascii="Times New Roman" w:hAnsi="Times New Roman" w:eastAsia="宋体" w:cs="Times New Roman"/>
                      <w:color w:val="auto"/>
                      <w:kern w:val="0"/>
                      <w:sz w:val="18"/>
                      <w:szCs w:val="18"/>
                      <w:highlight w:val="none"/>
                      <w:lang w:val="en-US" w:eastAsia="zh-CN" w:bidi="ar-SA"/>
                    </w:rPr>
                  </w:pPr>
                  <w:r>
                    <w:rPr>
                      <w:rFonts w:hint="eastAsia" w:ascii="Times New Roman" w:hAnsi="Times New Roman" w:eastAsia="宋体" w:cs="Times New Roman"/>
                      <w:color w:val="auto"/>
                      <w:sz w:val="18"/>
                      <w:szCs w:val="18"/>
                      <w:highlight w:val="none"/>
                      <w:lang w:val="en-US" w:eastAsia="zh-CN"/>
                    </w:rPr>
                    <w:t>硫化氢</w:t>
                  </w:r>
                </w:p>
              </w:tc>
              <w:tc>
                <w:tcPr>
                  <w:tcW w:w="1107" w:type="pct"/>
                  <w:gridSpan w:val="2"/>
                  <w:tcBorders>
                    <w:top w:val="single" w:color="auto" w:sz="4" w:space="0"/>
                    <w:left w:val="single" w:color="auto" w:sz="4" w:space="0"/>
                    <w:bottom w:val="single" w:color="auto" w:sz="4" w:space="0"/>
                    <w:right w:val="single" w:color="auto" w:sz="4" w:space="0"/>
                  </w:tcBorders>
                  <w:shd w:val="clear" w:color="auto" w:fill="auto"/>
                  <w:noWrap w:val="0"/>
                  <w:vAlign w:val="center"/>
                </w:tcPr>
                <w:p w14:paraId="7CF96FF3">
                  <w:pPr>
                    <w:keepNext w:val="0"/>
                    <w:keepLines w:val="0"/>
                    <w:widowControl/>
                    <w:suppressLineNumbers w:val="0"/>
                    <w:spacing w:before="0" w:beforeAutospacing="0" w:after="0" w:afterAutospacing="0" w:line="280" w:lineRule="exact"/>
                    <w:ind w:left="0" w:leftChars="0" w:right="0" w:rightChars="0"/>
                    <w:jc w:val="center"/>
                    <w:textAlignment w:val="center"/>
                    <w:rPr>
                      <w:rFonts w:hint="default" w:ascii="Times New Roman" w:hAnsi="Times New Roman" w:eastAsia="宋体" w:cs="Times New Roman"/>
                      <w:b w:val="0"/>
                      <w:bCs/>
                      <w:kern w:val="2"/>
                      <w:sz w:val="18"/>
                      <w:szCs w:val="18"/>
                      <w:highlight w:val="none"/>
                      <w:lang w:val="en-US" w:eastAsia="zh-CN" w:bidi="ar"/>
                    </w:rPr>
                  </w:pPr>
                  <w:r>
                    <w:rPr>
                      <w:rFonts w:hint="eastAsia" w:cs="Times New Roman"/>
                      <w:b w:val="0"/>
                      <w:bCs/>
                      <w:sz w:val="18"/>
                      <w:szCs w:val="18"/>
                      <w:highlight w:val="none"/>
                      <w:lang w:val="en-US" w:eastAsia="zh-CN" w:bidi="ar"/>
                    </w:rPr>
                    <w:t>0.005</w:t>
                  </w:r>
                </w:p>
              </w:tc>
            </w:tr>
            <w:tr w14:paraId="5FD9EBD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0" w:hRule="atLeast"/>
              </w:trPr>
              <w:tc>
                <w:tcPr>
                  <w:tcW w:w="1914" w:type="pct"/>
                  <w:gridSpan w:val="4"/>
                  <w:vMerge w:val="continue"/>
                  <w:tcBorders>
                    <w:left w:val="single" w:color="auto" w:sz="4" w:space="0"/>
                    <w:right w:val="single" w:color="auto" w:sz="4" w:space="0"/>
                  </w:tcBorders>
                  <w:noWrap w:val="0"/>
                  <w:vAlign w:val="center"/>
                </w:tcPr>
                <w:p w14:paraId="0D2A87AB">
                  <w:pPr>
                    <w:pStyle w:val="27"/>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76" w:lineRule="auto"/>
                    <w:ind w:left="0" w:leftChars="0" w:right="0" w:rightChars="0" w:firstLine="0" w:firstLineChars="0"/>
                    <w:jc w:val="center"/>
                    <w:textAlignment w:val="auto"/>
                    <w:rPr>
                      <w:rFonts w:hint="eastAsia" w:ascii="Times New Roman" w:hAnsi="Times New Roman" w:eastAsia="宋体" w:cs="Times New Roman"/>
                      <w:color w:val="auto"/>
                      <w:sz w:val="18"/>
                      <w:szCs w:val="18"/>
                      <w:highlight w:val="none"/>
                      <w:lang w:val="en-US" w:eastAsia="zh-CN"/>
                    </w:rPr>
                  </w:pPr>
                </w:p>
              </w:tc>
              <w:tc>
                <w:tcPr>
                  <w:tcW w:w="1978" w:type="pct"/>
                  <w:gridSpan w:val="2"/>
                  <w:tcBorders>
                    <w:top w:val="single" w:color="auto" w:sz="4" w:space="0"/>
                    <w:left w:val="single" w:color="auto" w:sz="4" w:space="0"/>
                    <w:bottom w:val="single" w:color="auto" w:sz="4" w:space="0"/>
                    <w:right w:val="single" w:color="auto" w:sz="4" w:space="0"/>
                  </w:tcBorders>
                  <w:shd w:val="clear" w:color="auto" w:fill="auto"/>
                  <w:noWrap w:val="0"/>
                  <w:vAlign w:val="center"/>
                </w:tcPr>
                <w:p w14:paraId="2E46ED19">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64" w:lineRule="auto"/>
                    <w:ind w:left="0" w:leftChars="0" w:right="0" w:rightChars="0"/>
                    <w:jc w:val="center"/>
                    <w:textAlignment w:val="auto"/>
                    <w:rPr>
                      <w:rFonts w:hint="default" w:ascii="Times New Roman" w:hAnsi="Times New Roman" w:eastAsia="宋体" w:cs="Times New Roman"/>
                      <w:color w:val="auto"/>
                      <w:kern w:val="2"/>
                      <w:sz w:val="18"/>
                      <w:szCs w:val="18"/>
                      <w:highlight w:val="none"/>
                      <w:lang w:val="en-US" w:eastAsia="zh-CN" w:bidi="ar-SA"/>
                    </w:rPr>
                  </w:pPr>
                  <w:r>
                    <w:rPr>
                      <w:rFonts w:hint="default" w:ascii="Times New Roman" w:hAnsi="Times New Roman" w:eastAsia="宋体" w:cs="Times New Roman"/>
                      <w:bCs/>
                      <w:kern w:val="0"/>
                      <w:sz w:val="18"/>
                      <w:szCs w:val="18"/>
                      <w:highlight w:val="none"/>
                    </w:rPr>
                    <w:t>非甲烷总烃</w:t>
                  </w:r>
                </w:p>
              </w:tc>
              <w:tc>
                <w:tcPr>
                  <w:tcW w:w="1107" w:type="pct"/>
                  <w:gridSpan w:val="2"/>
                  <w:tcBorders>
                    <w:top w:val="single" w:color="auto" w:sz="4" w:space="0"/>
                    <w:left w:val="single" w:color="auto" w:sz="4" w:space="0"/>
                    <w:bottom w:val="single" w:color="auto" w:sz="4" w:space="0"/>
                    <w:right w:val="single" w:color="auto" w:sz="4" w:space="0"/>
                  </w:tcBorders>
                  <w:noWrap w:val="0"/>
                  <w:vAlign w:val="center"/>
                </w:tcPr>
                <w:p w14:paraId="4FF74FB4">
                  <w:pPr>
                    <w:pStyle w:val="27"/>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76" w:lineRule="auto"/>
                    <w:ind w:left="0" w:leftChars="0" w:right="0" w:rightChars="0" w:firstLine="0" w:firstLineChars="0"/>
                    <w:jc w:val="center"/>
                    <w:textAlignment w:val="auto"/>
                    <w:rPr>
                      <w:rFonts w:hint="default" w:ascii="Times New Roman" w:hAnsi="Times New Roman" w:eastAsia="宋体" w:cs="Times New Roman"/>
                      <w:color w:val="auto"/>
                      <w:sz w:val="18"/>
                      <w:szCs w:val="18"/>
                      <w:highlight w:val="none"/>
                      <w:lang w:val="en-US" w:eastAsia="zh-CN"/>
                    </w:rPr>
                  </w:pPr>
                  <w:r>
                    <w:rPr>
                      <w:rFonts w:hint="eastAsia" w:ascii="Times New Roman" w:hAnsi="Times New Roman" w:eastAsia="宋体" w:cs="Times New Roman"/>
                      <w:color w:val="auto"/>
                      <w:sz w:val="18"/>
                      <w:szCs w:val="18"/>
                      <w:highlight w:val="none"/>
                      <w:lang w:val="en-US" w:eastAsia="zh-CN"/>
                    </w:rPr>
                    <w:t>0.123</w:t>
                  </w:r>
                </w:p>
              </w:tc>
            </w:tr>
            <w:tr w14:paraId="7A72E61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0" w:hRule="atLeast"/>
              </w:trPr>
              <w:tc>
                <w:tcPr>
                  <w:tcW w:w="1914" w:type="pct"/>
                  <w:gridSpan w:val="4"/>
                  <w:vMerge w:val="continue"/>
                  <w:tcBorders>
                    <w:left w:val="single" w:color="auto" w:sz="4" w:space="0"/>
                    <w:right w:val="single" w:color="auto" w:sz="4" w:space="0"/>
                  </w:tcBorders>
                  <w:noWrap w:val="0"/>
                  <w:vAlign w:val="center"/>
                </w:tcPr>
                <w:p w14:paraId="0C2F0C12">
                  <w:pPr>
                    <w:pStyle w:val="27"/>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76" w:lineRule="auto"/>
                    <w:ind w:left="0" w:leftChars="0" w:right="0" w:rightChars="0" w:firstLine="0" w:firstLineChars="0"/>
                    <w:jc w:val="center"/>
                    <w:textAlignment w:val="auto"/>
                    <w:rPr>
                      <w:rFonts w:hint="eastAsia" w:ascii="Times New Roman" w:hAnsi="Times New Roman" w:eastAsia="宋体" w:cs="Times New Roman"/>
                      <w:color w:val="auto"/>
                      <w:sz w:val="18"/>
                      <w:szCs w:val="18"/>
                      <w:highlight w:val="none"/>
                      <w:lang w:val="en-US" w:eastAsia="zh-CN"/>
                    </w:rPr>
                  </w:pPr>
                </w:p>
              </w:tc>
              <w:tc>
                <w:tcPr>
                  <w:tcW w:w="1978" w:type="pct"/>
                  <w:gridSpan w:val="2"/>
                  <w:tcBorders>
                    <w:top w:val="single" w:color="auto" w:sz="4" w:space="0"/>
                    <w:left w:val="single" w:color="auto" w:sz="4" w:space="0"/>
                    <w:bottom w:val="single" w:color="auto" w:sz="4" w:space="0"/>
                    <w:right w:val="single" w:color="auto" w:sz="4" w:space="0"/>
                  </w:tcBorders>
                  <w:shd w:val="clear" w:color="auto" w:fill="auto"/>
                  <w:noWrap w:val="0"/>
                  <w:vAlign w:val="center"/>
                </w:tcPr>
                <w:p w14:paraId="2DD5DF34">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64" w:lineRule="auto"/>
                    <w:ind w:left="0" w:leftChars="0" w:right="0" w:rightChars="0"/>
                    <w:jc w:val="center"/>
                    <w:textAlignment w:val="auto"/>
                    <w:rPr>
                      <w:rFonts w:hint="default" w:ascii="Times New Roman" w:hAnsi="Times New Roman" w:eastAsia="宋体" w:cs="Times New Roman"/>
                      <w:color w:val="auto"/>
                      <w:kern w:val="2"/>
                      <w:sz w:val="18"/>
                      <w:szCs w:val="18"/>
                      <w:highlight w:val="none"/>
                      <w:lang w:val="en-US" w:eastAsia="zh-CN" w:bidi="ar-SA"/>
                    </w:rPr>
                  </w:pPr>
                  <w:r>
                    <w:rPr>
                      <w:rFonts w:hint="eastAsia" w:ascii="Times New Roman" w:hAnsi="Times New Roman" w:eastAsia="宋体" w:cs="Times New Roman"/>
                      <w:bCs/>
                      <w:kern w:val="0"/>
                      <w:sz w:val="18"/>
                      <w:szCs w:val="18"/>
                      <w:highlight w:val="none"/>
                      <w:lang w:val="en-US" w:eastAsia="zh-CN"/>
                    </w:rPr>
                    <w:t>甲醛</w:t>
                  </w:r>
                </w:p>
              </w:tc>
              <w:tc>
                <w:tcPr>
                  <w:tcW w:w="1107" w:type="pct"/>
                  <w:gridSpan w:val="2"/>
                  <w:tcBorders>
                    <w:top w:val="single" w:color="auto" w:sz="4" w:space="0"/>
                    <w:left w:val="single" w:color="auto" w:sz="4" w:space="0"/>
                    <w:bottom w:val="single" w:color="auto" w:sz="4" w:space="0"/>
                    <w:right w:val="single" w:color="auto" w:sz="4" w:space="0"/>
                  </w:tcBorders>
                  <w:noWrap w:val="0"/>
                  <w:vAlign w:val="center"/>
                </w:tcPr>
                <w:p w14:paraId="68735E36">
                  <w:pPr>
                    <w:pStyle w:val="27"/>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76" w:lineRule="auto"/>
                    <w:ind w:left="0" w:leftChars="0" w:right="0" w:rightChars="0" w:firstLine="0" w:firstLineChars="0"/>
                    <w:jc w:val="center"/>
                    <w:textAlignment w:val="auto"/>
                    <w:rPr>
                      <w:rFonts w:hint="default" w:ascii="Times New Roman" w:hAnsi="Times New Roman" w:eastAsia="宋体" w:cs="Times New Roman"/>
                      <w:color w:val="auto"/>
                      <w:sz w:val="18"/>
                      <w:szCs w:val="18"/>
                      <w:highlight w:val="none"/>
                      <w:lang w:val="en-US" w:eastAsia="zh-CN"/>
                    </w:rPr>
                  </w:pPr>
                  <w:r>
                    <w:rPr>
                      <w:rFonts w:hint="eastAsia" w:ascii="Times New Roman" w:hAnsi="Times New Roman" w:eastAsia="宋体" w:cs="Times New Roman"/>
                      <w:bCs/>
                      <w:kern w:val="0"/>
                      <w:sz w:val="18"/>
                      <w:szCs w:val="18"/>
                      <w:highlight w:val="none"/>
                      <w:lang w:val="en-US" w:eastAsia="zh-CN"/>
                    </w:rPr>
                    <w:t>0.003</w:t>
                  </w:r>
                </w:p>
              </w:tc>
            </w:tr>
            <w:tr w14:paraId="6594418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0" w:hRule="atLeast"/>
              </w:trPr>
              <w:tc>
                <w:tcPr>
                  <w:tcW w:w="1914" w:type="pct"/>
                  <w:gridSpan w:val="4"/>
                  <w:vMerge w:val="continue"/>
                  <w:tcBorders>
                    <w:left w:val="single" w:color="auto" w:sz="4" w:space="0"/>
                    <w:right w:val="single" w:color="auto" w:sz="4" w:space="0"/>
                  </w:tcBorders>
                  <w:noWrap w:val="0"/>
                  <w:vAlign w:val="center"/>
                </w:tcPr>
                <w:p w14:paraId="322FD3F5">
                  <w:pPr>
                    <w:pStyle w:val="27"/>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76" w:lineRule="auto"/>
                    <w:ind w:left="0" w:leftChars="0" w:right="0" w:rightChars="0" w:firstLine="0" w:firstLineChars="0"/>
                    <w:jc w:val="center"/>
                    <w:textAlignment w:val="auto"/>
                    <w:rPr>
                      <w:rFonts w:hint="eastAsia" w:ascii="Times New Roman" w:hAnsi="Times New Roman" w:eastAsia="宋体" w:cs="Times New Roman"/>
                      <w:color w:val="auto"/>
                      <w:sz w:val="18"/>
                      <w:szCs w:val="18"/>
                      <w:highlight w:val="none"/>
                      <w:lang w:val="en-US" w:eastAsia="zh-CN"/>
                    </w:rPr>
                  </w:pPr>
                </w:p>
              </w:tc>
              <w:tc>
                <w:tcPr>
                  <w:tcW w:w="1978" w:type="pct"/>
                  <w:gridSpan w:val="2"/>
                  <w:tcBorders>
                    <w:top w:val="single" w:color="auto" w:sz="4" w:space="0"/>
                    <w:left w:val="single" w:color="auto" w:sz="4" w:space="0"/>
                    <w:bottom w:val="single" w:color="auto" w:sz="4" w:space="0"/>
                    <w:right w:val="single" w:color="auto" w:sz="4" w:space="0"/>
                  </w:tcBorders>
                  <w:shd w:val="clear" w:color="auto" w:fill="auto"/>
                  <w:noWrap w:val="0"/>
                  <w:vAlign w:val="center"/>
                </w:tcPr>
                <w:p w14:paraId="0739B325">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64" w:lineRule="auto"/>
                    <w:ind w:left="0" w:leftChars="0" w:right="0" w:rightChars="0"/>
                    <w:jc w:val="center"/>
                    <w:textAlignment w:val="auto"/>
                    <w:rPr>
                      <w:rFonts w:hint="default" w:ascii="Times New Roman" w:hAnsi="Times New Roman" w:eastAsia="宋体" w:cs="Times New Roman"/>
                      <w:bCs/>
                      <w:kern w:val="0"/>
                      <w:sz w:val="18"/>
                      <w:szCs w:val="18"/>
                      <w:highlight w:val="none"/>
                      <w:lang w:val="en-US" w:eastAsia="zh-CN"/>
                    </w:rPr>
                  </w:pPr>
                  <w:r>
                    <w:rPr>
                      <w:rFonts w:hint="eastAsia" w:ascii="Times New Roman" w:hAnsi="Times New Roman" w:eastAsia="宋体" w:cs="Times New Roman"/>
                      <w:bCs/>
                      <w:kern w:val="0"/>
                      <w:sz w:val="18"/>
                      <w:szCs w:val="18"/>
                      <w:highlight w:val="none"/>
                      <w:lang w:val="en-US" w:eastAsia="zh-CN"/>
                    </w:rPr>
                    <w:t>氯气</w:t>
                  </w:r>
                </w:p>
              </w:tc>
              <w:tc>
                <w:tcPr>
                  <w:tcW w:w="1107" w:type="pct"/>
                  <w:gridSpan w:val="2"/>
                  <w:tcBorders>
                    <w:top w:val="single" w:color="auto" w:sz="4" w:space="0"/>
                    <w:left w:val="single" w:color="auto" w:sz="4" w:space="0"/>
                    <w:bottom w:val="single" w:color="auto" w:sz="4" w:space="0"/>
                    <w:right w:val="single" w:color="auto" w:sz="4" w:space="0"/>
                  </w:tcBorders>
                  <w:noWrap w:val="0"/>
                  <w:vAlign w:val="center"/>
                </w:tcPr>
                <w:p w14:paraId="35CDC97F">
                  <w:pPr>
                    <w:pStyle w:val="27"/>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76" w:lineRule="auto"/>
                    <w:ind w:left="0" w:leftChars="0" w:right="0" w:rightChars="0" w:firstLine="0" w:firstLineChars="0"/>
                    <w:jc w:val="center"/>
                    <w:textAlignment w:val="auto"/>
                    <w:rPr>
                      <w:rFonts w:hint="default" w:ascii="Times New Roman" w:hAnsi="Times New Roman" w:eastAsia="宋体" w:cs="Times New Roman"/>
                      <w:color w:val="auto"/>
                      <w:sz w:val="18"/>
                      <w:szCs w:val="18"/>
                      <w:highlight w:val="none"/>
                      <w:lang w:val="en-US" w:eastAsia="zh-CN"/>
                    </w:rPr>
                  </w:pPr>
                  <w:r>
                    <w:rPr>
                      <w:rFonts w:hint="eastAsia" w:ascii="Times New Roman" w:hAnsi="Times New Roman" w:eastAsia="宋体" w:cs="Times New Roman"/>
                      <w:bCs/>
                      <w:kern w:val="0"/>
                      <w:sz w:val="18"/>
                      <w:szCs w:val="18"/>
                      <w:highlight w:val="none"/>
                      <w:lang w:val="en-US" w:eastAsia="zh-CN"/>
                    </w:rPr>
                    <w:t>少量</w:t>
                  </w:r>
                </w:p>
              </w:tc>
            </w:tr>
            <w:tr w14:paraId="12D3C2C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0" w:hRule="atLeast"/>
              </w:trPr>
              <w:tc>
                <w:tcPr>
                  <w:tcW w:w="1914" w:type="pct"/>
                  <w:gridSpan w:val="4"/>
                  <w:vMerge w:val="continue"/>
                  <w:tcBorders>
                    <w:left w:val="single" w:color="auto" w:sz="4" w:space="0"/>
                    <w:right w:val="single" w:color="auto" w:sz="4" w:space="0"/>
                  </w:tcBorders>
                  <w:noWrap w:val="0"/>
                  <w:vAlign w:val="center"/>
                </w:tcPr>
                <w:p w14:paraId="42794200">
                  <w:pPr>
                    <w:pStyle w:val="27"/>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76" w:lineRule="auto"/>
                    <w:ind w:left="0" w:leftChars="0" w:right="0" w:rightChars="0" w:firstLine="0" w:firstLineChars="0"/>
                    <w:jc w:val="center"/>
                    <w:textAlignment w:val="auto"/>
                    <w:rPr>
                      <w:rFonts w:hint="eastAsia" w:ascii="Times New Roman" w:hAnsi="Times New Roman" w:eastAsia="宋体" w:cs="Times New Roman"/>
                      <w:color w:val="auto"/>
                      <w:sz w:val="18"/>
                      <w:szCs w:val="18"/>
                      <w:highlight w:val="none"/>
                      <w:lang w:val="en-US" w:eastAsia="zh-CN"/>
                    </w:rPr>
                  </w:pPr>
                </w:p>
              </w:tc>
              <w:tc>
                <w:tcPr>
                  <w:tcW w:w="1978" w:type="pct"/>
                  <w:gridSpan w:val="2"/>
                  <w:tcBorders>
                    <w:top w:val="single" w:color="auto" w:sz="4" w:space="0"/>
                    <w:left w:val="single" w:color="auto" w:sz="4" w:space="0"/>
                    <w:bottom w:val="single" w:color="auto" w:sz="4" w:space="0"/>
                    <w:right w:val="single" w:color="auto" w:sz="4" w:space="0"/>
                  </w:tcBorders>
                  <w:shd w:val="clear" w:color="auto" w:fill="auto"/>
                  <w:noWrap w:val="0"/>
                  <w:vAlign w:val="center"/>
                </w:tcPr>
                <w:p w14:paraId="0FA2DBAE">
                  <w:pPr>
                    <w:pStyle w:val="27"/>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76" w:lineRule="auto"/>
                    <w:ind w:left="0" w:leftChars="0" w:right="0" w:rightChars="0" w:firstLine="0" w:firstLineChars="0"/>
                    <w:jc w:val="center"/>
                    <w:textAlignment w:val="auto"/>
                    <w:rPr>
                      <w:rFonts w:hint="eastAsia" w:ascii="Times New Roman" w:hAnsi="Times New Roman" w:eastAsia="宋体" w:cs="Times New Roman"/>
                      <w:bCs/>
                      <w:kern w:val="0"/>
                      <w:sz w:val="18"/>
                      <w:szCs w:val="18"/>
                      <w:highlight w:val="none"/>
                      <w:lang w:val="en-US" w:eastAsia="zh-CN" w:bidi="ar-SA"/>
                    </w:rPr>
                  </w:pPr>
                  <w:r>
                    <w:rPr>
                      <w:rFonts w:hint="eastAsia" w:ascii="Times New Roman" w:hAnsi="Times New Roman" w:eastAsia="宋体" w:cs="Times New Roman"/>
                      <w:bCs/>
                      <w:kern w:val="0"/>
                      <w:sz w:val="18"/>
                      <w:szCs w:val="18"/>
                      <w:highlight w:val="none"/>
                      <w:lang w:val="en-US" w:eastAsia="zh-CN"/>
                    </w:rPr>
                    <w:t>硫酸雾</w:t>
                  </w:r>
                </w:p>
              </w:tc>
              <w:tc>
                <w:tcPr>
                  <w:tcW w:w="1107" w:type="pct"/>
                  <w:gridSpan w:val="2"/>
                  <w:tcBorders>
                    <w:top w:val="single" w:color="auto" w:sz="4" w:space="0"/>
                    <w:left w:val="single" w:color="auto" w:sz="4" w:space="0"/>
                    <w:bottom w:val="single" w:color="auto" w:sz="4" w:space="0"/>
                    <w:right w:val="single" w:color="auto" w:sz="4" w:space="0"/>
                  </w:tcBorders>
                  <w:noWrap w:val="0"/>
                  <w:vAlign w:val="center"/>
                </w:tcPr>
                <w:p w14:paraId="7797FECA">
                  <w:pPr>
                    <w:pStyle w:val="27"/>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76" w:lineRule="auto"/>
                    <w:ind w:left="0" w:leftChars="0" w:right="0" w:rightChars="0" w:firstLine="0" w:firstLineChars="0"/>
                    <w:jc w:val="center"/>
                    <w:textAlignment w:val="auto"/>
                    <w:rPr>
                      <w:rFonts w:hint="eastAsia" w:ascii="Times New Roman" w:hAnsi="Times New Roman" w:eastAsia="宋体" w:cs="Times New Roman"/>
                      <w:bCs/>
                      <w:kern w:val="0"/>
                      <w:sz w:val="18"/>
                      <w:szCs w:val="18"/>
                      <w:highlight w:val="none"/>
                      <w:lang w:val="en-US" w:eastAsia="zh-CN"/>
                    </w:rPr>
                  </w:pPr>
                  <w:r>
                    <w:rPr>
                      <w:rFonts w:hint="eastAsia" w:ascii="Times New Roman" w:hAnsi="Times New Roman" w:eastAsia="宋体" w:cs="Times New Roman"/>
                      <w:bCs/>
                      <w:kern w:val="0"/>
                      <w:sz w:val="18"/>
                      <w:szCs w:val="18"/>
                      <w:highlight w:val="none"/>
                      <w:lang w:val="en-US" w:eastAsia="zh-CN"/>
                    </w:rPr>
                    <w:t>少量</w:t>
                  </w:r>
                </w:p>
              </w:tc>
            </w:tr>
            <w:tr w14:paraId="660D995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0" w:hRule="atLeast"/>
              </w:trPr>
              <w:tc>
                <w:tcPr>
                  <w:tcW w:w="1914" w:type="pct"/>
                  <w:gridSpan w:val="4"/>
                  <w:vMerge w:val="continue"/>
                  <w:tcBorders>
                    <w:left w:val="single" w:color="auto" w:sz="4" w:space="0"/>
                    <w:right w:val="single" w:color="auto" w:sz="4" w:space="0"/>
                  </w:tcBorders>
                  <w:noWrap w:val="0"/>
                  <w:vAlign w:val="center"/>
                </w:tcPr>
                <w:p w14:paraId="3BA6BAF3">
                  <w:pPr>
                    <w:pStyle w:val="27"/>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76" w:lineRule="auto"/>
                    <w:ind w:left="0" w:leftChars="0" w:right="0" w:rightChars="0" w:firstLine="0" w:firstLineChars="0"/>
                    <w:jc w:val="center"/>
                    <w:textAlignment w:val="auto"/>
                    <w:rPr>
                      <w:rFonts w:hint="eastAsia" w:ascii="Times New Roman" w:hAnsi="Times New Roman" w:eastAsia="宋体" w:cs="Times New Roman"/>
                      <w:color w:val="auto"/>
                      <w:sz w:val="18"/>
                      <w:szCs w:val="18"/>
                      <w:highlight w:val="none"/>
                      <w:lang w:val="en-US" w:eastAsia="zh-CN"/>
                    </w:rPr>
                  </w:pPr>
                </w:p>
              </w:tc>
              <w:tc>
                <w:tcPr>
                  <w:tcW w:w="1978" w:type="pct"/>
                  <w:gridSpan w:val="2"/>
                  <w:tcBorders>
                    <w:top w:val="single" w:color="auto" w:sz="4" w:space="0"/>
                    <w:left w:val="single" w:color="auto" w:sz="4" w:space="0"/>
                    <w:bottom w:val="single" w:color="auto" w:sz="4" w:space="0"/>
                    <w:right w:val="single" w:color="auto" w:sz="4" w:space="0"/>
                  </w:tcBorders>
                  <w:shd w:val="clear" w:color="auto" w:fill="auto"/>
                  <w:noWrap w:val="0"/>
                  <w:vAlign w:val="center"/>
                </w:tcPr>
                <w:p w14:paraId="44067B3C">
                  <w:pPr>
                    <w:pStyle w:val="27"/>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76" w:lineRule="auto"/>
                    <w:ind w:left="0" w:leftChars="0" w:right="0" w:rightChars="0" w:firstLine="0" w:firstLineChars="0"/>
                    <w:jc w:val="center"/>
                    <w:textAlignment w:val="auto"/>
                    <w:rPr>
                      <w:rFonts w:hint="eastAsia" w:ascii="Times New Roman" w:hAnsi="Times New Roman" w:eastAsia="宋体" w:cs="Times New Roman"/>
                      <w:bCs/>
                      <w:kern w:val="0"/>
                      <w:sz w:val="18"/>
                      <w:szCs w:val="18"/>
                      <w:highlight w:val="none"/>
                      <w:lang w:val="en-US" w:eastAsia="zh-CN" w:bidi="ar-SA"/>
                    </w:rPr>
                  </w:pPr>
                  <w:r>
                    <w:rPr>
                      <w:rFonts w:hint="eastAsia" w:ascii="Times New Roman" w:hAnsi="Times New Roman" w:eastAsia="宋体" w:cs="Times New Roman"/>
                      <w:bCs/>
                      <w:kern w:val="0"/>
                      <w:sz w:val="18"/>
                      <w:szCs w:val="18"/>
                      <w:highlight w:val="none"/>
                      <w:lang w:val="en-US" w:eastAsia="zh-CN"/>
                    </w:rPr>
                    <w:t>氯化氢</w:t>
                  </w:r>
                </w:p>
              </w:tc>
              <w:tc>
                <w:tcPr>
                  <w:tcW w:w="1107" w:type="pct"/>
                  <w:gridSpan w:val="2"/>
                  <w:tcBorders>
                    <w:top w:val="single" w:color="auto" w:sz="4" w:space="0"/>
                    <w:left w:val="single" w:color="auto" w:sz="4" w:space="0"/>
                    <w:bottom w:val="single" w:color="auto" w:sz="4" w:space="0"/>
                    <w:right w:val="single" w:color="auto" w:sz="4" w:space="0"/>
                  </w:tcBorders>
                  <w:noWrap w:val="0"/>
                  <w:vAlign w:val="center"/>
                </w:tcPr>
                <w:p w14:paraId="5279A52B">
                  <w:pPr>
                    <w:pStyle w:val="27"/>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76" w:lineRule="auto"/>
                    <w:ind w:left="0" w:leftChars="0" w:right="0" w:rightChars="0" w:firstLine="0" w:firstLineChars="0"/>
                    <w:jc w:val="center"/>
                    <w:textAlignment w:val="auto"/>
                    <w:rPr>
                      <w:rFonts w:hint="eastAsia" w:ascii="Times New Roman" w:hAnsi="Times New Roman" w:eastAsia="宋体" w:cs="Times New Roman"/>
                      <w:bCs/>
                      <w:kern w:val="0"/>
                      <w:sz w:val="18"/>
                      <w:szCs w:val="18"/>
                      <w:highlight w:val="none"/>
                      <w:lang w:val="en-US" w:eastAsia="zh-CN"/>
                    </w:rPr>
                  </w:pPr>
                  <w:r>
                    <w:rPr>
                      <w:rFonts w:hint="eastAsia" w:ascii="Times New Roman" w:hAnsi="Times New Roman" w:eastAsia="宋体" w:cs="Times New Roman"/>
                      <w:bCs/>
                      <w:kern w:val="0"/>
                      <w:sz w:val="18"/>
                      <w:szCs w:val="18"/>
                      <w:highlight w:val="none"/>
                      <w:lang w:val="en-US" w:eastAsia="zh-CN"/>
                    </w:rPr>
                    <w:t>少量</w:t>
                  </w:r>
                </w:p>
              </w:tc>
            </w:tr>
            <w:tr w14:paraId="139EBB4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0" w:hRule="atLeast"/>
              </w:trPr>
              <w:tc>
                <w:tcPr>
                  <w:tcW w:w="1914" w:type="pct"/>
                  <w:gridSpan w:val="4"/>
                  <w:vMerge w:val="continue"/>
                  <w:tcBorders>
                    <w:left w:val="single" w:color="auto" w:sz="4" w:space="0"/>
                    <w:right w:val="single" w:color="auto" w:sz="4" w:space="0"/>
                  </w:tcBorders>
                  <w:noWrap w:val="0"/>
                  <w:vAlign w:val="center"/>
                </w:tcPr>
                <w:p w14:paraId="3AF69368">
                  <w:pPr>
                    <w:pStyle w:val="27"/>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76" w:lineRule="auto"/>
                    <w:ind w:left="0" w:leftChars="0" w:right="0" w:rightChars="0" w:firstLine="0" w:firstLineChars="0"/>
                    <w:jc w:val="center"/>
                    <w:textAlignment w:val="auto"/>
                    <w:rPr>
                      <w:rFonts w:hint="eastAsia" w:ascii="Times New Roman" w:hAnsi="Times New Roman" w:eastAsia="宋体" w:cs="Times New Roman"/>
                      <w:color w:val="auto"/>
                      <w:sz w:val="18"/>
                      <w:szCs w:val="18"/>
                      <w:highlight w:val="none"/>
                      <w:lang w:val="en-US" w:eastAsia="zh-CN"/>
                    </w:rPr>
                  </w:pPr>
                </w:p>
              </w:tc>
              <w:tc>
                <w:tcPr>
                  <w:tcW w:w="1978" w:type="pct"/>
                  <w:gridSpan w:val="2"/>
                  <w:tcBorders>
                    <w:top w:val="single" w:color="auto" w:sz="4" w:space="0"/>
                    <w:left w:val="single" w:color="auto" w:sz="4" w:space="0"/>
                    <w:bottom w:val="single" w:color="auto" w:sz="4" w:space="0"/>
                    <w:right w:val="single" w:color="auto" w:sz="4" w:space="0"/>
                  </w:tcBorders>
                  <w:shd w:val="clear" w:color="auto" w:fill="auto"/>
                  <w:noWrap w:val="0"/>
                  <w:vAlign w:val="center"/>
                </w:tcPr>
                <w:p w14:paraId="509A012D">
                  <w:pPr>
                    <w:pStyle w:val="27"/>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76" w:lineRule="auto"/>
                    <w:ind w:left="0" w:leftChars="0" w:right="0" w:rightChars="0" w:firstLine="0" w:firstLineChars="0"/>
                    <w:jc w:val="center"/>
                    <w:textAlignment w:val="auto"/>
                    <w:rPr>
                      <w:rFonts w:hint="default" w:ascii="Times New Roman" w:hAnsi="Times New Roman" w:eastAsia="宋体" w:cs="Times New Roman"/>
                      <w:bCs/>
                      <w:kern w:val="0"/>
                      <w:sz w:val="18"/>
                      <w:szCs w:val="18"/>
                      <w:highlight w:val="none"/>
                      <w:lang w:val="en-US" w:eastAsia="zh-CN"/>
                    </w:rPr>
                  </w:pPr>
                  <w:r>
                    <w:rPr>
                      <w:rFonts w:hint="eastAsia" w:ascii="Times New Roman" w:hAnsi="Times New Roman" w:cs="Times New Roman"/>
                      <w:bCs/>
                      <w:kern w:val="0"/>
                      <w:sz w:val="18"/>
                      <w:szCs w:val="18"/>
                      <w:highlight w:val="none"/>
                      <w:lang w:val="en-US" w:eastAsia="zh-CN"/>
                    </w:rPr>
                    <w:t>颗粒物</w:t>
                  </w:r>
                </w:p>
              </w:tc>
              <w:tc>
                <w:tcPr>
                  <w:tcW w:w="1107" w:type="pct"/>
                  <w:gridSpan w:val="2"/>
                  <w:tcBorders>
                    <w:top w:val="single" w:color="auto" w:sz="4" w:space="0"/>
                    <w:left w:val="single" w:color="auto" w:sz="4" w:space="0"/>
                    <w:bottom w:val="single" w:color="auto" w:sz="4" w:space="0"/>
                    <w:right w:val="single" w:color="auto" w:sz="4" w:space="0"/>
                  </w:tcBorders>
                  <w:noWrap w:val="0"/>
                  <w:vAlign w:val="center"/>
                </w:tcPr>
                <w:p w14:paraId="128B8B5C">
                  <w:pPr>
                    <w:pStyle w:val="27"/>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76" w:lineRule="auto"/>
                    <w:ind w:left="0" w:leftChars="0" w:right="0" w:rightChars="0" w:firstLine="0" w:firstLineChars="0"/>
                    <w:jc w:val="center"/>
                    <w:textAlignment w:val="auto"/>
                    <w:rPr>
                      <w:rFonts w:hint="eastAsia" w:ascii="Times New Roman" w:hAnsi="Times New Roman" w:eastAsia="宋体" w:cs="Times New Roman"/>
                      <w:bCs/>
                      <w:kern w:val="0"/>
                      <w:sz w:val="18"/>
                      <w:szCs w:val="18"/>
                      <w:highlight w:val="none"/>
                      <w:lang w:val="en-US" w:eastAsia="zh-CN"/>
                    </w:rPr>
                  </w:pPr>
                  <w:r>
                    <w:rPr>
                      <w:rFonts w:hint="eastAsia" w:ascii="Times New Roman" w:hAnsi="Times New Roman" w:cs="Times New Roman"/>
                      <w:bCs/>
                      <w:kern w:val="0"/>
                      <w:sz w:val="18"/>
                      <w:szCs w:val="18"/>
                      <w:highlight w:val="none"/>
                      <w:lang w:val="en-US" w:eastAsia="zh-CN"/>
                    </w:rPr>
                    <w:t>少量</w:t>
                  </w:r>
                </w:p>
              </w:tc>
            </w:tr>
          </w:tbl>
          <w:p w14:paraId="07254E8C">
            <w:pPr>
              <w:keepNext w:val="0"/>
              <w:keepLines w:val="0"/>
              <w:widowControl w:val="0"/>
              <w:suppressLineNumbers w:val="0"/>
              <w:spacing w:before="0" w:beforeAutospacing="0" w:after="0" w:afterAutospacing="0" w:line="360" w:lineRule="auto"/>
              <w:ind w:left="0" w:right="0" w:firstLine="480" w:firstLineChars="200"/>
              <w:jc w:val="both"/>
              <w:rPr>
                <w:rFonts w:hint="default" w:ascii="Times New Roman" w:hAnsi="Times New Roman" w:eastAsia="宋体" w:cs="宋体"/>
                <w:color w:val="auto"/>
                <w:kern w:val="2"/>
                <w:sz w:val="24"/>
                <w:szCs w:val="24"/>
                <w:highlight w:val="none"/>
                <w:lang w:val="en-US" w:eastAsia="zh-CN" w:bidi="ar"/>
              </w:rPr>
            </w:pPr>
            <w:r>
              <w:rPr>
                <w:rFonts w:hint="eastAsia" w:ascii="Times New Roman" w:hAnsi="Times New Roman" w:eastAsia="宋体" w:cs="宋体"/>
                <w:color w:val="auto"/>
                <w:kern w:val="2"/>
                <w:sz w:val="24"/>
                <w:szCs w:val="24"/>
                <w:highlight w:val="none"/>
                <w:lang w:val="en-US" w:eastAsia="zh-CN" w:bidi="ar"/>
              </w:rPr>
              <w:t>（3）项目大气污染物年排放量核算</w:t>
            </w:r>
          </w:p>
          <w:p w14:paraId="68DC0C3B">
            <w:pPr>
              <w:pStyle w:val="27"/>
              <w:keepNext/>
              <w:keepLines w:val="0"/>
              <w:pageBreakBefore w:val="0"/>
              <w:widowControl w:val="0"/>
              <w:suppressLineNumbers w:val="0"/>
              <w:kinsoku/>
              <w:wordWrap/>
              <w:overflowPunct/>
              <w:topLinePunct w:val="0"/>
              <w:autoSpaceDE/>
              <w:autoSpaceDN/>
              <w:bidi w:val="0"/>
              <w:adjustRightInd/>
              <w:snapToGrid/>
              <w:spacing w:before="0" w:beforeAutospacing="0" w:after="0" w:afterAutospacing="0" w:line="360" w:lineRule="auto"/>
              <w:ind w:left="0" w:right="0" w:firstLine="0" w:firstLineChars="0"/>
              <w:jc w:val="center"/>
              <w:textAlignment w:val="auto"/>
              <w:rPr>
                <w:rFonts w:hint="default" w:ascii="Times New Roman" w:hAnsi="Times New Roman" w:eastAsia="宋体" w:cs="Times New Roman"/>
                <w:b/>
                <w:strike w:val="0"/>
                <w:color w:val="auto"/>
                <w:kern w:val="2"/>
                <w:sz w:val="24"/>
                <w:szCs w:val="24"/>
                <w:highlight w:val="none"/>
                <w:lang w:val="en-US" w:eastAsia="zh-CN" w:bidi="ar-SA"/>
              </w:rPr>
            </w:pPr>
            <w:r>
              <w:rPr>
                <w:rFonts w:hint="eastAsia" w:ascii="Times New Roman" w:hAnsi="Times New Roman" w:eastAsia="宋体" w:cs="Times New Roman"/>
                <w:b/>
                <w:strike w:val="0"/>
                <w:color w:val="auto"/>
                <w:kern w:val="2"/>
                <w:sz w:val="24"/>
                <w:szCs w:val="24"/>
                <w:highlight w:val="none"/>
                <w:lang w:val="en-US" w:eastAsia="zh-CN" w:bidi="ar-SA"/>
              </w:rPr>
              <w:t>表</w:t>
            </w:r>
            <w:r>
              <w:rPr>
                <w:rFonts w:hint="default" w:ascii="Times New Roman" w:hAnsi="Times New Roman" w:eastAsia="宋体" w:cs="Times New Roman"/>
                <w:b/>
                <w:strike w:val="0"/>
                <w:color w:val="auto"/>
                <w:kern w:val="2"/>
                <w:sz w:val="24"/>
                <w:szCs w:val="24"/>
                <w:highlight w:val="none"/>
                <w:lang w:val="en-US" w:eastAsia="zh-CN" w:bidi="ar-SA"/>
              </w:rPr>
              <w:t>7-</w:t>
            </w:r>
            <w:r>
              <w:rPr>
                <w:rFonts w:hint="eastAsia" w:ascii="Times New Roman" w:hAnsi="Times New Roman" w:eastAsia="宋体" w:cs="Times New Roman"/>
                <w:b/>
                <w:strike w:val="0"/>
                <w:color w:val="auto"/>
                <w:kern w:val="2"/>
                <w:sz w:val="24"/>
                <w:szCs w:val="24"/>
                <w:highlight w:val="none"/>
                <w:lang w:val="en-US" w:eastAsia="zh-CN" w:bidi="ar-SA"/>
              </w:rPr>
              <w:t>2</w:t>
            </w:r>
            <w:r>
              <w:rPr>
                <w:rFonts w:hint="eastAsia" w:ascii="Times New Roman" w:hAnsi="Times New Roman" w:cs="Times New Roman"/>
                <w:b/>
                <w:strike w:val="0"/>
                <w:color w:val="auto"/>
                <w:kern w:val="2"/>
                <w:sz w:val="24"/>
                <w:szCs w:val="24"/>
                <w:highlight w:val="none"/>
                <w:lang w:val="en-US" w:eastAsia="zh-CN" w:bidi="ar-SA"/>
              </w:rPr>
              <w:t>9</w:t>
            </w:r>
            <w:r>
              <w:rPr>
                <w:rFonts w:hint="eastAsia" w:ascii="Times New Roman" w:hAnsi="Times New Roman" w:eastAsia="宋体" w:cs="Times New Roman"/>
                <w:b/>
                <w:strike w:val="0"/>
                <w:color w:val="auto"/>
                <w:kern w:val="2"/>
                <w:sz w:val="24"/>
                <w:szCs w:val="24"/>
                <w:highlight w:val="none"/>
                <w:lang w:val="en-US" w:eastAsia="zh-CN" w:bidi="ar-SA"/>
              </w:rPr>
              <w:t xml:space="preserve">  大气污染物年排放量核算表</w:t>
            </w:r>
          </w:p>
          <w:tbl>
            <w:tblPr>
              <w:tblStyle w:val="32"/>
              <w:tblW w:w="4995"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757"/>
              <w:gridCol w:w="3501"/>
              <w:gridCol w:w="2920"/>
            </w:tblGrid>
            <w:tr w14:paraId="20E32E3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1074" w:type="pct"/>
                  <w:tcBorders>
                    <w:top w:val="single" w:color="auto" w:sz="4" w:space="0"/>
                    <w:left w:val="single" w:color="auto" w:sz="4" w:space="0"/>
                    <w:bottom w:val="single" w:color="auto" w:sz="4" w:space="0"/>
                    <w:right w:val="single" w:color="auto" w:sz="4" w:space="0"/>
                  </w:tcBorders>
                  <w:noWrap w:val="0"/>
                  <w:vAlign w:val="center"/>
                </w:tcPr>
                <w:p w14:paraId="145941C5">
                  <w:pPr>
                    <w:pStyle w:val="27"/>
                    <w:keepNext w:val="0"/>
                    <w:keepLines w:val="0"/>
                    <w:widowControl w:val="0"/>
                    <w:suppressLineNumbers w:val="0"/>
                    <w:spacing w:before="0" w:beforeAutospacing="0" w:after="0" w:afterAutospacing="0" w:line="240" w:lineRule="auto"/>
                    <w:ind w:left="0" w:leftChars="0" w:right="0" w:rightChars="0" w:firstLine="0" w:firstLineChars="0"/>
                    <w:jc w:val="center"/>
                    <w:rPr>
                      <w:rFonts w:hint="default" w:ascii="Times New Roman" w:hAnsi="Times New Roman" w:eastAsia="宋体" w:cs="Times New Roman"/>
                      <w:b w:val="0"/>
                      <w:bCs w:val="0"/>
                      <w:color w:val="auto"/>
                      <w:sz w:val="21"/>
                      <w:szCs w:val="21"/>
                      <w:highlight w:val="none"/>
                      <w:lang w:val="en-US" w:eastAsia="zh-CN"/>
                    </w:rPr>
                  </w:pPr>
                  <w:r>
                    <w:rPr>
                      <w:rFonts w:hint="eastAsia" w:ascii="Times New Roman" w:hAnsi="Times New Roman" w:eastAsia="宋体" w:cs="Times New Roman"/>
                      <w:b w:val="0"/>
                      <w:bCs w:val="0"/>
                      <w:color w:val="auto"/>
                      <w:sz w:val="21"/>
                      <w:szCs w:val="21"/>
                      <w:highlight w:val="none"/>
                      <w:lang w:val="en-US" w:eastAsia="zh-CN"/>
                    </w:rPr>
                    <w:t>序号</w:t>
                  </w:r>
                </w:p>
              </w:tc>
              <w:tc>
                <w:tcPr>
                  <w:tcW w:w="2140" w:type="pct"/>
                  <w:tcBorders>
                    <w:top w:val="single" w:color="auto" w:sz="4" w:space="0"/>
                    <w:left w:val="single" w:color="auto" w:sz="4" w:space="0"/>
                    <w:bottom w:val="single" w:color="auto" w:sz="4" w:space="0"/>
                    <w:right w:val="single" w:color="auto" w:sz="4" w:space="0"/>
                  </w:tcBorders>
                  <w:noWrap w:val="0"/>
                  <w:vAlign w:val="center"/>
                </w:tcPr>
                <w:p w14:paraId="3400E657">
                  <w:pPr>
                    <w:pStyle w:val="27"/>
                    <w:keepNext w:val="0"/>
                    <w:keepLines w:val="0"/>
                    <w:widowControl w:val="0"/>
                    <w:suppressLineNumbers w:val="0"/>
                    <w:spacing w:before="0" w:beforeAutospacing="0" w:after="0" w:afterAutospacing="0" w:line="240" w:lineRule="auto"/>
                    <w:ind w:left="0" w:leftChars="0" w:right="0" w:rightChars="0" w:firstLine="0" w:firstLineChars="0"/>
                    <w:jc w:val="center"/>
                    <w:rPr>
                      <w:rFonts w:hint="default" w:ascii="Times New Roman" w:hAnsi="Times New Roman" w:eastAsia="宋体" w:cs="Times New Roman"/>
                      <w:b w:val="0"/>
                      <w:bCs w:val="0"/>
                      <w:color w:val="auto"/>
                      <w:sz w:val="21"/>
                      <w:szCs w:val="21"/>
                      <w:highlight w:val="none"/>
                      <w:lang w:val="en-US" w:eastAsia="zh-CN"/>
                    </w:rPr>
                  </w:pPr>
                  <w:r>
                    <w:rPr>
                      <w:rFonts w:hint="eastAsia" w:ascii="Times New Roman" w:hAnsi="Times New Roman" w:eastAsia="宋体" w:cs="Times New Roman"/>
                      <w:b w:val="0"/>
                      <w:bCs w:val="0"/>
                      <w:color w:val="auto"/>
                      <w:sz w:val="21"/>
                      <w:szCs w:val="21"/>
                      <w:highlight w:val="none"/>
                      <w:lang w:val="en-US" w:eastAsia="zh-CN"/>
                    </w:rPr>
                    <w:t>污染物</w:t>
                  </w:r>
                </w:p>
              </w:tc>
              <w:tc>
                <w:tcPr>
                  <w:tcW w:w="1784" w:type="pct"/>
                  <w:tcBorders>
                    <w:top w:val="single" w:color="auto" w:sz="4" w:space="0"/>
                    <w:left w:val="single" w:color="auto" w:sz="4" w:space="0"/>
                    <w:bottom w:val="single" w:color="auto" w:sz="4" w:space="0"/>
                    <w:right w:val="single" w:color="auto" w:sz="4" w:space="0"/>
                  </w:tcBorders>
                  <w:noWrap w:val="0"/>
                  <w:vAlign w:val="center"/>
                </w:tcPr>
                <w:p w14:paraId="29DA6D2D">
                  <w:pPr>
                    <w:pStyle w:val="27"/>
                    <w:keepNext w:val="0"/>
                    <w:keepLines w:val="0"/>
                    <w:widowControl w:val="0"/>
                    <w:suppressLineNumbers w:val="0"/>
                    <w:spacing w:before="0" w:beforeAutospacing="0" w:after="0" w:afterAutospacing="0" w:line="240" w:lineRule="auto"/>
                    <w:ind w:left="0" w:leftChars="0" w:right="0" w:rightChars="0" w:firstLine="0" w:firstLineChars="0"/>
                    <w:jc w:val="center"/>
                    <w:rPr>
                      <w:rFonts w:hint="default" w:ascii="Times New Roman" w:hAnsi="Times New Roman" w:eastAsia="宋体" w:cs="Times New Roman"/>
                      <w:b w:val="0"/>
                      <w:bCs w:val="0"/>
                      <w:color w:val="auto"/>
                      <w:sz w:val="21"/>
                      <w:szCs w:val="21"/>
                      <w:highlight w:val="none"/>
                      <w:lang w:val="en-US" w:eastAsia="zh-CN"/>
                    </w:rPr>
                  </w:pPr>
                  <w:r>
                    <w:rPr>
                      <w:rFonts w:hint="eastAsia" w:ascii="Times New Roman" w:hAnsi="Times New Roman" w:eastAsia="宋体" w:cs="Times New Roman"/>
                      <w:b w:val="0"/>
                      <w:bCs w:val="0"/>
                      <w:color w:val="auto"/>
                      <w:sz w:val="21"/>
                      <w:szCs w:val="21"/>
                      <w:highlight w:val="none"/>
                      <w:lang w:val="en-US" w:eastAsia="zh-CN"/>
                    </w:rPr>
                    <w:t>年排放量</w:t>
                  </w:r>
                  <w:r>
                    <w:rPr>
                      <w:rFonts w:hint="default" w:ascii="Times New Roman" w:hAnsi="Times New Roman" w:eastAsia="宋体" w:cs="Times New Roman"/>
                      <w:b w:val="0"/>
                      <w:bCs w:val="0"/>
                      <w:color w:val="auto"/>
                      <w:sz w:val="21"/>
                      <w:szCs w:val="21"/>
                      <w:highlight w:val="none"/>
                      <w:lang w:val="en-US" w:eastAsia="zh-CN"/>
                    </w:rPr>
                    <w:t>/</w:t>
                  </w:r>
                  <w:r>
                    <w:rPr>
                      <w:rFonts w:hint="eastAsia" w:ascii="Times New Roman" w:hAnsi="Times New Roman" w:eastAsia="宋体" w:cs="Times New Roman"/>
                      <w:b w:val="0"/>
                      <w:bCs w:val="0"/>
                      <w:color w:val="auto"/>
                      <w:sz w:val="21"/>
                      <w:szCs w:val="21"/>
                      <w:highlight w:val="none"/>
                      <w:lang w:val="en-US" w:eastAsia="zh-CN"/>
                    </w:rPr>
                    <w:t>（</w:t>
                  </w:r>
                  <w:r>
                    <w:rPr>
                      <w:rFonts w:hint="default" w:ascii="Times New Roman" w:hAnsi="Times New Roman" w:eastAsia="宋体" w:cs="Times New Roman"/>
                      <w:b w:val="0"/>
                      <w:bCs w:val="0"/>
                      <w:color w:val="auto"/>
                      <w:sz w:val="21"/>
                      <w:szCs w:val="21"/>
                      <w:highlight w:val="none"/>
                      <w:lang w:val="en-US" w:eastAsia="zh-CN"/>
                    </w:rPr>
                    <w:t>t/a</w:t>
                  </w:r>
                  <w:r>
                    <w:rPr>
                      <w:rFonts w:hint="eastAsia" w:ascii="Times New Roman" w:hAnsi="Times New Roman" w:eastAsia="宋体" w:cs="Times New Roman"/>
                      <w:b w:val="0"/>
                      <w:bCs w:val="0"/>
                      <w:color w:val="auto"/>
                      <w:sz w:val="21"/>
                      <w:szCs w:val="21"/>
                      <w:highlight w:val="none"/>
                      <w:lang w:val="en-US" w:eastAsia="zh-CN"/>
                    </w:rPr>
                    <w:t>）</w:t>
                  </w:r>
                </w:p>
              </w:tc>
            </w:tr>
            <w:tr w14:paraId="200C3B9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1074" w:type="pct"/>
                  <w:tcBorders>
                    <w:top w:val="single" w:color="auto" w:sz="4" w:space="0"/>
                    <w:left w:val="single" w:color="auto" w:sz="4" w:space="0"/>
                    <w:bottom w:val="single" w:color="auto" w:sz="4" w:space="0"/>
                    <w:right w:val="single" w:color="auto" w:sz="4" w:space="0"/>
                  </w:tcBorders>
                  <w:noWrap w:val="0"/>
                  <w:vAlign w:val="center"/>
                </w:tcPr>
                <w:p w14:paraId="548C838E">
                  <w:pPr>
                    <w:pStyle w:val="27"/>
                    <w:keepNext w:val="0"/>
                    <w:keepLines w:val="0"/>
                    <w:widowControl w:val="0"/>
                    <w:suppressLineNumbers w:val="0"/>
                    <w:spacing w:before="0" w:beforeAutospacing="0" w:after="0" w:afterAutospacing="0" w:line="240" w:lineRule="auto"/>
                    <w:ind w:left="0" w:leftChars="0" w:right="0" w:rightChars="0" w:firstLine="0" w:firstLineChars="0"/>
                    <w:jc w:val="center"/>
                    <w:rPr>
                      <w:rFonts w:hint="default" w:ascii="Times New Roman" w:hAnsi="Times New Roman" w:eastAsia="宋体" w:cs="Times New Roman"/>
                      <w:b w:val="0"/>
                      <w:bCs w:val="0"/>
                      <w:color w:val="auto"/>
                      <w:sz w:val="21"/>
                      <w:szCs w:val="21"/>
                      <w:highlight w:val="none"/>
                      <w:lang w:val="en-US" w:eastAsia="zh-CN"/>
                    </w:rPr>
                  </w:pPr>
                  <w:r>
                    <w:rPr>
                      <w:rFonts w:hint="eastAsia" w:ascii="Times New Roman" w:hAnsi="Times New Roman" w:eastAsia="宋体" w:cs="Times New Roman"/>
                      <w:b w:val="0"/>
                      <w:bCs w:val="0"/>
                      <w:color w:val="auto"/>
                      <w:sz w:val="21"/>
                      <w:szCs w:val="21"/>
                      <w:highlight w:val="none"/>
                      <w:lang w:val="en-US" w:eastAsia="zh-CN"/>
                    </w:rPr>
                    <w:t>1</w:t>
                  </w:r>
                </w:p>
              </w:tc>
              <w:tc>
                <w:tcPr>
                  <w:tcW w:w="2140" w:type="pct"/>
                  <w:tcBorders>
                    <w:top w:val="single" w:color="auto" w:sz="4" w:space="0"/>
                    <w:left w:val="single" w:color="auto" w:sz="4" w:space="0"/>
                    <w:bottom w:val="single" w:color="auto" w:sz="4" w:space="0"/>
                    <w:right w:val="single" w:color="auto" w:sz="4" w:space="0"/>
                  </w:tcBorders>
                  <w:shd w:val="clear" w:color="auto" w:fill="auto"/>
                  <w:noWrap w:val="0"/>
                  <w:vAlign w:val="center"/>
                </w:tcPr>
                <w:p w14:paraId="656732FF">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64" w:lineRule="auto"/>
                    <w:ind w:left="0" w:leftChars="0" w:right="0" w:rightChars="0"/>
                    <w:jc w:val="center"/>
                    <w:textAlignment w:val="auto"/>
                    <w:rPr>
                      <w:rFonts w:hint="default" w:ascii="Times New Roman" w:hAnsi="Times New Roman" w:eastAsia="宋体" w:cs="Times New Roman"/>
                      <w:b w:val="0"/>
                      <w:bCs w:val="0"/>
                      <w:color w:val="auto"/>
                      <w:kern w:val="0"/>
                      <w:sz w:val="21"/>
                      <w:szCs w:val="21"/>
                      <w:highlight w:val="none"/>
                      <w:lang w:val="en-US" w:eastAsia="zh-CN" w:bidi="ar-SA"/>
                    </w:rPr>
                  </w:pPr>
                  <w:r>
                    <w:rPr>
                      <w:rFonts w:hint="default" w:ascii="Times New Roman" w:hAnsi="Times New Roman" w:eastAsia="宋体" w:cs="Times New Roman"/>
                      <w:b w:val="0"/>
                      <w:bCs w:val="0"/>
                      <w:color w:val="auto"/>
                      <w:kern w:val="0"/>
                      <w:sz w:val="21"/>
                      <w:szCs w:val="21"/>
                      <w:highlight w:val="none"/>
                    </w:rPr>
                    <w:t>氨</w:t>
                  </w:r>
                </w:p>
              </w:tc>
              <w:tc>
                <w:tcPr>
                  <w:tcW w:w="1784" w:type="pct"/>
                  <w:tcBorders>
                    <w:top w:val="single" w:color="auto" w:sz="4" w:space="0"/>
                    <w:left w:val="single" w:color="auto" w:sz="4" w:space="0"/>
                    <w:bottom w:val="single" w:color="auto" w:sz="4" w:space="0"/>
                    <w:right w:val="single" w:color="auto" w:sz="4" w:space="0"/>
                  </w:tcBorders>
                  <w:noWrap w:val="0"/>
                  <w:vAlign w:val="center"/>
                </w:tcPr>
                <w:p w14:paraId="37C8BFA4">
                  <w:pPr>
                    <w:pStyle w:val="27"/>
                    <w:keepNext w:val="0"/>
                    <w:keepLines w:val="0"/>
                    <w:widowControl w:val="0"/>
                    <w:suppressLineNumbers w:val="0"/>
                    <w:spacing w:before="0" w:beforeAutospacing="0" w:after="0" w:afterAutospacing="0" w:line="240" w:lineRule="auto"/>
                    <w:ind w:left="0" w:leftChars="0" w:right="0" w:rightChars="0" w:firstLine="0" w:firstLineChars="0"/>
                    <w:jc w:val="center"/>
                    <w:rPr>
                      <w:rFonts w:hint="default" w:ascii="Times New Roman" w:hAnsi="Times New Roman" w:eastAsia="宋体" w:cs="Times New Roman"/>
                      <w:b w:val="0"/>
                      <w:bCs w:val="0"/>
                      <w:color w:val="auto"/>
                      <w:sz w:val="21"/>
                      <w:szCs w:val="21"/>
                      <w:highlight w:val="none"/>
                      <w:lang w:val="en-US" w:eastAsia="zh-CN"/>
                    </w:rPr>
                  </w:pPr>
                  <w:r>
                    <w:rPr>
                      <w:rFonts w:hint="eastAsia" w:ascii="Times New Roman" w:hAnsi="Times New Roman" w:cs="Times New Roman"/>
                      <w:b w:val="0"/>
                      <w:bCs w:val="0"/>
                      <w:color w:val="auto"/>
                      <w:sz w:val="21"/>
                      <w:szCs w:val="21"/>
                      <w:highlight w:val="none"/>
                      <w:lang w:val="en-US" w:eastAsia="zh-CN"/>
                    </w:rPr>
                    <w:t>0.078</w:t>
                  </w:r>
                </w:p>
              </w:tc>
            </w:tr>
            <w:tr w14:paraId="31DF53E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1074" w:type="pct"/>
                  <w:tcBorders>
                    <w:top w:val="single" w:color="auto" w:sz="4" w:space="0"/>
                    <w:left w:val="single" w:color="auto" w:sz="4" w:space="0"/>
                    <w:bottom w:val="single" w:color="auto" w:sz="4" w:space="0"/>
                    <w:right w:val="single" w:color="auto" w:sz="4" w:space="0"/>
                  </w:tcBorders>
                  <w:noWrap w:val="0"/>
                  <w:vAlign w:val="center"/>
                </w:tcPr>
                <w:p w14:paraId="7A308E01">
                  <w:pPr>
                    <w:pStyle w:val="27"/>
                    <w:keepNext w:val="0"/>
                    <w:keepLines w:val="0"/>
                    <w:widowControl w:val="0"/>
                    <w:suppressLineNumbers w:val="0"/>
                    <w:spacing w:before="0" w:beforeAutospacing="0" w:after="0" w:afterAutospacing="0" w:line="240" w:lineRule="auto"/>
                    <w:ind w:left="0" w:leftChars="0" w:right="0" w:rightChars="0" w:firstLine="0" w:firstLineChars="0"/>
                    <w:jc w:val="center"/>
                    <w:rPr>
                      <w:rFonts w:hint="default" w:ascii="Times New Roman" w:hAnsi="Times New Roman" w:eastAsia="宋体" w:cs="Times New Roman"/>
                      <w:b w:val="0"/>
                      <w:bCs w:val="0"/>
                      <w:color w:val="auto"/>
                      <w:sz w:val="21"/>
                      <w:szCs w:val="21"/>
                      <w:highlight w:val="none"/>
                      <w:lang w:val="en-US" w:eastAsia="zh-CN"/>
                    </w:rPr>
                  </w:pPr>
                  <w:r>
                    <w:rPr>
                      <w:rFonts w:hint="eastAsia" w:ascii="Times New Roman" w:hAnsi="Times New Roman" w:eastAsia="宋体" w:cs="Times New Roman"/>
                      <w:b w:val="0"/>
                      <w:bCs w:val="0"/>
                      <w:color w:val="auto"/>
                      <w:sz w:val="21"/>
                      <w:szCs w:val="21"/>
                      <w:highlight w:val="none"/>
                      <w:lang w:val="en-US" w:eastAsia="zh-CN"/>
                    </w:rPr>
                    <w:t>2</w:t>
                  </w:r>
                </w:p>
              </w:tc>
              <w:tc>
                <w:tcPr>
                  <w:tcW w:w="2140" w:type="pct"/>
                  <w:tcBorders>
                    <w:top w:val="single" w:color="auto" w:sz="4" w:space="0"/>
                    <w:left w:val="single" w:color="auto" w:sz="4" w:space="0"/>
                    <w:bottom w:val="single" w:color="auto" w:sz="4" w:space="0"/>
                    <w:right w:val="single" w:color="auto" w:sz="4" w:space="0"/>
                  </w:tcBorders>
                  <w:shd w:val="clear" w:color="auto" w:fill="auto"/>
                  <w:noWrap w:val="0"/>
                  <w:vAlign w:val="center"/>
                </w:tcPr>
                <w:p w14:paraId="5502E480">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64" w:lineRule="auto"/>
                    <w:ind w:left="0" w:leftChars="0" w:right="0" w:rightChars="0"/>
                    <w:jc w:val="center"/>
                    <w:textAlignment w:val="auto"/>
                    <w:rPr>
                      <w:rFonts w:hint="default" w:ascii="Times New Roman" w:hAnsi="Times New Roman" w:eastAsia="宋体" w:cs="Times New Roman"/>
                      <w:b w:val="0"/>
                      <w:bCs w:val="0"/>
                      <w:color w:val="auto"/>
                      <w:kern w:val="0"/>
                      <w:sz w:val="21"/>
                      <w:szCs w:val="21"/>
                      <w:highlight w:val="none"/>
                      <w:lang w:val="en-US" w:eastAsia="zh-CN" w:bidi="ar-SA"/>
                    </w:rPr>
                  </w:pPr>
                  <w:r>
                    <w:rPr>
                      <w:rFonts w:hint="default" w:ascii="Times New Roman" w:hAnsi="Times New Roman" w:eastAsia="宋体" w:cs="Times New Roman"/>
                      <w:b w:val="0"/>
                      <w:bCs w:val="0"/>
                      <w:color w:val="auto"/>
                      <w:kern w:val="0"/>
                      <w:sz w:val="21"/>
                      <w:szCs w:val="21"/>
                      <w:highlight w:val="none"/>
                    </w:rPr>
                    <w:t>硫化氢</w:t>
                  </w:r>
                </w:p>
              </w:tc>
              <w:tc>
                <w:tcPr>
                  <w:tcW w:w="1784" w:type="pct"/>
                  <w:tcBorders>
                    <w:top w:val="single" w:color="auto" w:sz="4" w:space="0"/>
                    <w:left w:val="single" w:color="auto" w:sz="4" w:space="0"/>
                    <w:bottom w:val="single" w:color="auto" w:sz="4" w:space="0"/>
                    <w:right w:val="single" w:color="auto" w:sz="4" w:space="0"/>
                  </w:tcBorders>
                  <w:noWrap w:val="0"/>
                  <w:vAlign w:val="center"/>
                </w:tcPr>
                <w:p w14:paraId="2F27499C">
                  <w:pPr>
                    <w:pStyle w:val="27"/>
                    <w:keepNext w:val="0"/>
                    <w:keepLines w:val="0"/>
                    <w:widowControl w:val="0"/>
                    <w:suppressLineNumbers w:val="0"/>
                    <w:spacing w:before="0" w:beforeAutospacing="0" w:after="0" w:afterAutospacing="0" w:line="240" w:lineRule="auto"/>
                    <w:ind w:left="0" w:leftChars="0" w:right="0" w:rightChars="0" w:firstLine="0" w:firstLineChars="0"/>
                    <w:jc w:val="center"/>
                    <w:rPr>
                      <w:rFonts w:hint="default" w:ascii="Times New Roman" w:hAnsi="Times New Roman" w:eastAsia="宋体" w:cs="Times New Roman"/>
                      <w:b w:val="0"/>
                      <w:bCs w:val="0"/>
                      <w:color w:val="auto"/>
                      <w:sz w:val="21"/>
                      <w:szCs w:val="21"/>
                      <w:highlight w:val="none"/>
                      <w:lang w:val="en-US" w:eastAsia="zh-CN"/>
                    </w:rPr>
                  </w:pPr>
                  <w:r>
                    <w:rPr>
                      <w:rFonts w:hint="eastAsia" w:ascii="Times New Roman" w:hAnsi="Times New Roman" w:cs="Times New Roman"/>
                      <w:b w:val="0"/>
                      <w:bCs w:val="0"/>
                      <w:color w:val="auto"/>
                      <w:sz w:val="21"/>
                      <w:szCs w:val="21"/>
                      <w:highlight w:val="none"/>
                      <w:lang w:val="en-US" w:eastAsia="zh-CN"/>
                    </w:rPr>
                    <w:t>0.036</w:t>
                  </w:r>
                </w:p>
              </w:tc>
            </w:tr>
            <w:tr w14:paraId="53D937D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1074" w:type="pct"/>
                  <w:tcBorders>
                    <w:top w:val="single" w:color="auto" w:sz="4" w:space="0"/>
                    <w:left w:val="single" w:color="auto" w:sz="4" w:space="0"/>
                    <w:bottom w:val="single" w:color="auto" w:sz="4" w:space="0"/>
                    <w:right w:val="single" w:color="auto" w:sz="4" w:space="0"/>
                  </w:tcBorders>
                  <w:noWrap w:val="0"/>
                  <w:vAlign w:val="center"/>
                </w:tcPr>
                <w:p w14:paraId="71F19A1E">
                  <w:pPr>
                    <w:pStyle w:val="27"/>
                    <w:keepNext w:val="0"/>
                    <w:keepLines w:val="0"/>
                    <w:widowControl w:val="0"/>
                    <w:suppressLineNumbers w:val="0"/>
                    <w:spacing w:before="0" w:beforeAutospacing="0" w:after="0" w:afterAutospacing="0" w:line="240" w:lineRule="auto"/>
                    <w:ind w:left="0" w:leftChars="0" w:right="0" w:rightChars="0" w:firstLine="0" w:firstLineChars="0"/>
                    <w:jc w:val="center"/>
                    <w:rPr>
                      <w:rFonts w:hint="default" w:ascii="Times New Roman" w:hAnsi="Times New Roman" w:eastAsia="宋体" w:cs="Times New Roman"/>
                      <w:b w:val="0"/>
                      <w:bCs w:val="0"/>
                      <w:color w:val="auto"/>
                      <w:sz w:val="21"/>
                      <w:szCs w:val="21"/>
                      <w:highlight w:val="none"/>
                      <w:lang w:val="en-US" w:eastAsia="zh-CN"/>
                    </w:rPr>
                  </w:pPr>
                  <w:r>
                    <w:rPr>
                      <w:rFonts w:hint="eastAsia" w:ascii="Times New Roman" w:hAnsi="Times New Roman" w:eastAsia="宋体" w:cs="Times New Roman"/>
                      <w:b w:val="0"/>
                      <w:bCs w:val="0"/>
                      <w:color w:val="auto"/>
                      <w:sz w:val="21"/>
                      <w:szCs w:val="21"/>
                      <w:highlight w:val="none"/>
                      <w:lang w:val="en-US" w:eastAsia="zh-CN"/>
                    </w:rPr>
                    <w:t>3</w:t>
                  </w:r>
                </w:p>
              </w:tc>
              <w:tc>
                <w:tcPr>
                  <w:tcW w:w="2140" w:type="pct"/>
                  <w:tcBorders>
                    <w:top w:val="single" w:color="auto" w:sz="4" w:space="0"/>
                    <w:left w:val="single" w:color="auto" w:sz="4" w:space="0"/>
                    <w:bottom w:val="single" w:color="auto" w:sz="4" w:space="0"/>
                    <w:right w:val="single" w:color="auto" w:sz="4" w:space="0"/>
                  </w:tcBorders>
                  <w:shd w:val="clear" w:color="auto" w:fill="auto"/>
                  <w:noWrap w:val="0"/>
                  <w:vAlign w:val="center"/>
                </w:tcPr>
                <w:p w14:paraId="3E626932">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64" w:lineRule="auto"/>
                    <w:ind w:left="0" w:leftChars="0" w:right="0" w:rightChars="0"/>
                    <w:jc w:val="center"/>
                    <w:textAlignment w:val="auto"/>
                    <w:rPr>
                      <w:rFonts w:hint="default" w:ascii="Times New Roman" w:hAnsi="Times New Roman" w:eastAsia="宋体" w:cs="Times New Roman"/>
                      <w:b w:val="0"/>
                      <w:bCs w:val="0"/>
                      <w:color w:val="auto"/>
                      <w:kern w:val="0"/>
                      <w:sz w:val="21"/>
                      <w:szCs w:val="21"/>
                      <w:highlight w:val="none"/>
                      <w:lang w:val="en-US" w:eastAsia="zh-CN" w:bidi="ar-SA"/>
                    </w:rPr>
                  </w:pPr>
                  <w:r>
                    <w:rPr>
                      <w:rFonts w:hint="eastAsia" w:ascii="Times New Roman" w:hAnsi="Times New Roman" w:eastAsia="宋体" w:cs="Times New Roman"/>
                      <w:b w:val="0"/>
                      <w:bCs w:val="0"/>
                      <w:color w:val="auto"/>
                      <w:kern w:val="0"/>
                      <w:sz w:val="21"/>
                      <w:szCs w:val="21"/>
                      <w:highlight w:val="none"/>
                      <w:lang w:val="en-US" w:eastAsia="zh-CN"/>
                    </w:rPr>
                    <w:t>非甲烷总烃</w:t>
                  </w:r>
                </w:p>
              </w:tc>
              <w:tc>
                <w:tcPr>
                  <w:tcW w:w="1784" w:type="pct"/>
                  <w:tcBorders>
                    <w:top w:val="single" w:color="auto" w:sz="4" w:space="0"/>
                    <w:left w:val="single" w:color="auto" w:sz="4" w:space="0"/>
                    <w:bottom w:val="single" w:color="auto" w:sz="4" w:space="0"/>
                    <w:right w:val="single" w:color="auto" w:sz="4" w:space="0"/>
                  </w:tcBorders>
                  <w:noWrap w:val="0"/>
                  <w:vAlign w:val="center"/>
                </w:tcPr>
                <w:p w14:paraId="7AFDAC58">
                  <w:pPr>
                    <w:pStyle w:val="27"/>
                    <w:keepNext w:val="0"/>
                    <w:keepLines w:val="0"/>
                    <w:widowControl w:val="0"/>
                    <w:suppressLineNumbers w:val="0"/>
                    <w:spacing w:before="0" w:beforeAutospacing="0" w:after="0" w:afterAutospacing="0" w:line="240" w:lineRule="auto"/>
                    <w:ind w:left="0" w:leftChars="0" w:right="0" w:rightChars="0" w:firstLine="0" w:firstLineChars="0"/>
                    <w:jc w:val="center"/>
                    <w:rPr>
                      <w:rFonts w:hint="default" w:ascii="Times New Roman" w:hAnsi="Times New Roman" w:eastAsia="宋体" w:cs="Times New Roman"/>
                      <w:b w:val="0"/>
                      <w:bCs w:val="0"/>
                      <w:color w:val="auto"/>
                      <w:sz w:val="21"/>
                      <w:szCs w:val="21"/>
                      <w:highlight w:val="none"/>
                      <w:lang w:val="en-US" w:eastAsia="zh-CN"/>
                    </w:rPr>
                  </w:pPr>
                  <w:r>
                    <w:rPr>
                      <w:rFonts w:hint="eastAsia" w:ascii="Times New Roman" w:hAnsi="Times New Roman" w:cs="Times New Roman"/>
                      <w:b w:val="0"/>
                      <w:bCs w:val="0"/>
                      <w:color w:val="auto"/>
                      <w:sz w:val="21"/>
                      <w:szCs w:val="21"/>
                      <w:highlight w:val="none"/>
                      <w:lang w:val="en-US" w:eastAsia="zh-CN"/>
                    </w:rPr>
                    <w:t>1.242</w:t>
                  </w:r>
                </w:p>
              </w:tc>
            </w:tr>
            <w:tr w14:paraId="597DC3A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1074" w:type="pct"/>
                  <w:tcBorders>
                    <w:top w:val="single" w:color="auto" w:sz="4" w:space="0"/>
                    <w:left w:val="single" w:color="auto" w:sz="4" w:space="0"/>
                    <w:bottom w:val="single" w:color="auto" w:sz="4" w:space="0"/>
                    <w:right w:val="single" w:color="auto" w:sz="4" w:space="0"/>
                  </w:tcBorders>
                  <w:noWrap w:val="0"/>
                  <w:vAlign w:val="center"/>
                </w:tcPr>
                <w:p w14:paraId="06C8EA42">
                  <w:pPr>
                    <w:pStyle w:val="27"/>
                    <w:keepNext w:val="0"/>
                    <w:keepLines w:val="0"/>
                    <w:widowControl w:val="0"/>
                    <w:suppressLineNumbers w:val="0"/>
                    <w:spacing w:before="0" w:beforeAutospacing="0" w:after="0" w:afterAutospacing="0" w:line="240" w:lineRule="auto"/>
                    <w:ind w:left="0" w:leftChars="0" w:right="0" w:rightChars="0" w:firstLine="0" w:firstLineChars="0"/>
                    <w:jc w:val="center"/>
                    <w:rPr>
                      <w:rFonts w:hint="default" w:ascii="Times New Roman" w:hAnsi="Times New Roman" w:eastAsia="宋体" w:cs="Times New Roman"/>
                      <w:b w:val="0"/>
                      <w:bCs w:val="0"/>
                      <w:color w:val="auto"/>
                      <w:sz w:val="21"/>
                      <w:szCs w:val="21"/>
                      <w:highlight w:val="none"/>
                      <w:lang w:val="en-US" w:eastAsia="zh-CN"/>
                    </w:rPr>
                  </w:pPr>
                  <w:r>
                    <w:rPr>
                      <w:rFonts w:hint="eastAsia" w:ascii="Times New Roman" w:hAnsi="Times New Roman" w:eastAsia="宋体" w:cs="Times New Roman"/>
                      <w:b w:val="0"/>
                      <w:bCs w:val="0"/>
                      <w:color w:val="auto"/>
                      <w:sz w:val="21"/>
                      <w:szCs w:val="21"/>
                      <w:highlight w:val="none"/>
                      <w:lang w:val="en-US" w:eastAsia="zh-CN"/>
                    </w:rPr>
                    <w:t>4</w:t>
                  </w:r>
                </w:p>
              </w:tc>
              <w:tc>
                <w:tcPr>
                  <w:tcW w:w="2140" w:type="pct"/>
                  <w:tcBorders>
                    <w:top w:val="single" w:color="auto" w:sz="4" w:space="0"/>
                    <w:left w:val="single" w:color="auto" w:sz="4" w:space="0"/>
                    <w:bottom w:val="single" w:color="auto" w:sz="4" w:space="0"/>
                    <w:right w:val="single" w:color="auto" w:sz="4" w:space="0"/>
                  </w:tcBorders>
                  <w:shd w:val="clear" w:color="auto" w:fill="auto"/>
                  <w:noWrap w:val="0"/>
                  <w:vAlign w:val="center"/>
                </w:tcPr>
                <w:p w14:paraId="4BA18B3F">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64" w:lineRule="auto"/>
                    <w:ind w:left="0" w:leftChars="0" w:right="0" w:rightChars="0"/>
                    <w:jc w:val="center"/>
                    <w:textAlignment w:val="auto"/>
                    <w:rPr>
                      <w:rFonts w:hint="default" w:ascii="Times New Roman" w:hAnsi="Times New Roman" w:eastAsia="宋体" w:cs="Times New Roman"/>
                      <w:b w:val="0"/>
                      <w:bCs w:val="0"/>
                      <w:color w:val="auto"/>
                      <w:kern w:val="0"/>
                      <w:sz w:val="21"/>
                      <w:szCs w:val="21"/>
                      <w:highlight w:val="none"/>
                      <w:lang w:val="en-US" w:eastAsia="zh-CN" w:bidi="ar-SA"/>
                    </w:rPr>
                  </w:pPr>
                  <w:r>
                    <w:rPr>
                      <w:rFonts w:hint="eastAsia" w:ascii="Times New Roman" w:hAnsi="Times New Roman" w:eastAsia="宋体" w:cs="Times New Roman"/>
                      <w:b w:val="0"/>
                      <w:bCs w:val="0"/>
                      <w:color w:val="auto"/>
                      <w:kern w:val="0"/>
                      <w:sz w:val="21"/>
                      <w:szCs w:val="21"/>
                      <w:highlight w:val="none"/>
                      <w:lang w:val="en-US" w:eastAsia="zh-CN"/>
                    </w:rPr>
                    <w:t>甲醛</w:t>
                  </w:r>
                </w:p>
              </w:tc>
              <w:tc>
                <w:tcPr>
                  <w:tcW w:w="1784" w:type="pct"/>
                  <w:tcBorders>
                    <w:top w:val="single" w:color="auto" w:sz="4" w:space="0"/>
                    <w:left w:val="single" w:color="auto" w:sz="4" w:space="0"/>
                    <w:bottom w:val="single" w:color="auto" w:sz="4" w:space="0"/>
                    <w:right w:val="single" w:color="auto" w:sz="4" w:space="0"/>
                  </w:tcBorders>
                  <w:noWrap w:val="0"/>
                  <w:vAlign w:val="center"/>
                </w:tcPr>
                <w:p w14:paraId="530C9E83">
                  <w:pPr>
                    <w:pStyle w:val="27"/>
                    <w:keepNext w:val="0"/>
                    <w:keepLines w:val="0"/>
                    <w:widowControl w:val="0"/>
                    <w:suppressLineNumbers w:val="0"/>
                    <w:spacing w:before="0" w:beforeAutospacing="0" w:after="0" w:afterAutospacing="0" w:line="240" w:lineRule="auto"/>
                    <w:ind w:left="0" w:leftChars="0" w:right="0" w:rightChars="0" w:firstLine="0" w:firstLineChars="0"/>
                    <w:jc w:val="center"/>
                    <w:rPr>
                      <w:rFonts w:hint="default" w:ascii="Times New Roman" w:hAnsi="Times New Roman" w:eastAsia="宋体" w:cs="Times New Roman"/>
                      <w:b w:val="0"/>
                      <w:bCs w:val="0"/>
                      <w:color w:val="auto"/>
                      <w:sz w:val="21"/>
                      <w:szCs w:val="21"/>
                      <w:highlight w:val="none"/>
                      <w:lang w:val="en-US" w:eastAsia="zh-CN"/>
                    </w:rPr>
                  </w:pPr>
                  <w:r>
                    <w:rPr>
                      <w:rFonts w:hint="eastAsia" w:ascii="Times New Roman" w:hAnsi="Times New Roman" w:cs="Times New Roman"/>
                      <w:b w:val="0"/>
                      <w:bCs w:val="0"/>
                      <w:color w:val="auto"/>
                      <w:sz w:val="21"/>
                      <w:szCs w:val="21"/>
                      <w:highlight w:val="none"/>
                      <w:lang w:val="en-US" w:eastAsia="zh-CN"/>
                    </w:rPr>
                    <w:t>0.030</w:t>
                  </w:r>
                </w:p>
              </w:tc>
            </w:tr>
            <w:tr w14:paraId="14378AC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1074" w:type="pct"/>
                  <w:tcBorders>
                    <w:top w:val="single" w:color="auto" w:sz="4" w:space="0"/>
                    <w:left w:val="single" w:color="auto" w:sz="4" w:space="0"/>
                    <w:bottom w:val="single" w:color="auto" w:sz="4" w:space="0"/>
                    <w:right w:val="single" w:color="auto" w:sz="4" w:space="0"/>
                  </w:tcBorders>
                  <w:noWrap w:val="0"/>
                  <w:vAlign w:val="center"/>
                </w:tcPr>
                <w:p w14:paraId="0C4A0377">
                  <w:pPr>
                    <w:pStyle w:val="27"/>
                    <w:keepNext w:val="0"/>
                    <w:keepLines w:val="0"/>
                    <w:widowControl w:val="0"/>
                    <w:suppressLineNumbers w:val="0"/>
                    <w:spacing w:before="0" w:beforeAutospacing="0" w:after="0" w:afterAutospacing="0" w:line="240" w:lineRule="auto"/>
                    <w:ind w:left="0" w:leftChars="0" w:right="0" w:rightChars="0" w:firstLine="0" w:firstLineChars="0"/>
                    <w:jc w:val="center"/>
                    <w:rPr>
                      <w:rFonts w:hint="default" w:ascii="Times New Roman" w:hAnsi="Times New Roman" w:eastAsia="宋体" w:cs="Times New Roman"/>
                      <w:b w:val="0"/>
                      <w:bCs w:val="0"/>
                      <w:color w:val="auto"/>
                      <w:sz w:val="21"/>
                      <w:szCs w:val="21"/>
                      <w:highlight w:val="none"/>
                      <w:lang w:val="en-US" w:eastAsia="zh-CN"/>
                    </w:rPr>
                  </w:pPr>
                  <w:r>
                    <w:rPr>
                      <w:rFonts w:hint="eastAsia" w:ascii="Times New Roman" w:hAnsi="Times New Roman" w:eastAsia="宋体" w:cs="Times New Roman"/>
                      <w:b w:val="0"/>
                      <w:bCs w:val="0"/>
                      <w:color w:val="auto"/>
                      <w:sz w:val="21"/>
                      <w:szCs w:val="21"/>
                      <w:highlight w:val="none"/>
                      <w:lang w:val="en-US" w:eastAsia="zh-CN"/>
                    </w:rPr>
                    <w:t>5</w:t>
                  </w:r>
                </w:p>
              </w:tc>
              <w:tc>
                <w:tcPr>
                  <w:tcW w:w="2140" w:type="pct"/>
                  <w:tcBorders>
                    <w:top w:val="single" w:color="auto" w:sz="4" w:space="0"/>
                    <w:left w:val="single" w:color="auto" w:sz="4" w:space="0"/>
                    <w:bottom w:val="single" w:color="auto" w:sz="4" w:space="0"/>
                    <w:right w:val="single" w:color="auto" w:sz="4" w:space="0"/>
                  </w:tcBorders>
                  <w:shd w:val="clear" w:color="auto" w:fill="auto"/>
                  <w:noWrap w:val="0"/>
                  <w:vAlign w:val="center"/>
                </w:tcPr>
                <w:p w14:paraId="5760BEAD">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64" w:lineRule="auto"/>
                    <w:ind w:left="0" w:leftChars="0" w:right="0" w:rightChars="0"/>
                    <w:jc w:val="center"/>
                    <w:textAlignment w:val="auto"/>
                    <w:rPr>
                      <w:rFonts w:hint="default" w:ascii="Times New Roman" w:hAnsi="Times New Roman" w:eastAsia="宋体" w:cs="Times New Roman"/>
                      <w:b w:val="0"/>
                      <w:bCs w:val="0"/>
                      <w:color w:val="auto"/>
                      <w:kern w:val="0"/>
                      <w:sz w:val="21"/>
                      <w:szCs w:val="21"/>
                      <w:highlight w:val="none"/>
                      <w:lang w:val="en-US" w:eastAsia="zh-CN" w:bidi="ar-SA"/>
                    </w:rPr>
                  </w:pPr>
                  <w:r>
                    <w:rPr>
                      <w:rFonts w:hint="eastAsia" w:ascii="Times New Roman" w:hAnsi="Times New Roman" w:eastAsia="宋体" w:cs="Times New Roman"/>
                      <w:b w:val="0"/>
                      <w:bCs w:val="0"/>
                      <w:color w:val="auto"/>
                      <w:kern w:val="0"/>
                      <w:sz w:val="21"/>
                      <w:szCs w:val="21"/>
                      <w:highlight w:val="none"/>
                      <w:lang w:val="en-US" w:eastAsia="zh-CN"/>
                    </w:rPr>
                    <w:t>氯气</w:t>
                  </w:r>
                </w:p>
              </w:tc>
              <w:tc>
                <w:tcPr>
                  <w:tcW w:w="1784" w:type="pct"/>
                  <w:tcBorders>
                    <w:top w:val="single" w:color="auto" w:sz="4" w:space="0"/>
                    <w:left w:val="single" w:color="auto" w:sz="4" w:space="0"/>
                    <w:bottom w:val="single" w:color="auto" w:sz="4" w:space="0"/>
                    <w:right w:val="single" w:color="auto" w:sz="4" w:space="0"/>
                  </w:tcBorders>
                  <w:noWrap w:val="0"/>
                  <w:vAlign w:val="center"/>
                </w:tcPr>
                <w:p w14:paraId="08E996E0">
                  <w:pPr>
                    <w:keepNext w:val="0"/>
                    <w:keepLines w:val="0"/>
                    <w:widowControl w:val="0"/>
                    <w:suppressLineNumbers w:val="0"/>
                    <w:spacing w:before="0" w:beforeAutospacing="0" w:after="0" w:afterAutospacing="0" w:line="240" w:lineRule="auto"/>
                    <w:ind w:left="0" w:leftChars="0" w:right="0" w:rightChars="0" w:firstLine="0" w:firstLineChars="0"/>
                    <w:jc w:val="center"/>
                    <w:rPr>
                      <w:rFonts w:hint="default" w:ascii="Times New Roman" w:hAnsi="Times New Roman" w:eastAsia="宋体" w:cs="Times New Roman"/>
                      <w:b w:val="0"/>
                      <w:bCs w:val="0"/>
                      <w:color w:val="auto"/>
                      <w:sz w:val="21"/>
                      <w:szCs w:val="21"/>
                      <w:highlight w:val="none"/>
                      <w:lang w:val="en-US" w:eastAsia="zh-CN"/>
                    </w:rPr>
                  </w:pPr>
                  <w:r>
                    <w:rPr>
                      <w:rFonts w:hint="eastAsia"/>
                      <w:b w:val="0"/>
                      <w:bCs w:val="0"/>
                      <w:color w:val="auto"/>
                      <w:kern w:val="0"/>
                      <w:sz w:val="21"/>
                      <w:szCs w:val="21"/>
                      <w:highlight w:val="none"/>
                      <w:lang w:val="en-US" w:eastAsia="zh-CN"/>
                    </w:rPr>
                    <w:t>少量</w:t>
                  </w:r>
                </w:p>
              </w:tc>
            </w:tr>
            <w:tr w14:paraId="2F4BAB2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1074" w:type="pct"/>
                  <w:tcBorders>
                    <w:top w:val="single" w:color="auto" w:sz="4" w:space="0"/>
                    <w:left w:val="single" w:color="auto" w:sz="4" w:space="0"/>
                    <w:bottom w:val="single" w:color="auto" w:sz="4" w:space="0"/>
                    <w:right w:val="single" w:color="auto" w:sz="4" w:space="0"/>
                  </w:tcBorders>
                  <w:noWrap w:val="0"/>
                  <w:vAlign w:val="center"/>
                </w:tcPr>
                <w:p w14:paraId="1AE7032B">
                  <w:pPr>
                    <w:pStyle w:val="27"/>
                    <w:keepNext w:val="0"/>
                    <w:keepLines w:val="0"/>
                    <w:widowControl w:val="0"/>
                    <w:suppressLineNumbers w:val="0"/>
                    <w:spacing w:before="0" w:beforeAutospacing="0" w:after="0" w:afterAutospacing="0" w:line="240" w:lineRule="auto"/>
                    <w:ind w:left="0" w:leftChars="0" w:right="0" w:rightChars="0" w:firstLine="0" w:firstLineChars="0"/>
                    <w:jc w:val="center"/>
                    <w:rPr>
                      <w:rFonts w:hint="default" w:ascii="Times New Roman" w:hAnsi="Times New Roman" w:eastAsia="宋体" w:cs="Times New Roman"/>
                      <w:b w:val="0"/>
                      <w:bCs w:val="0"/>
                      <w:color w:val="auto"/>
                      <w:sz w:val="21"/>
                      <w:szCs w:val="21"/>
                      <w:highlight w:val="none"/>
                      <w:lang w:val="en-US" w:eastAsia="zh-CN"/>
                    </w:rPr>
                  </w:pPr>
                  <w:r>
                    <w:rPr>
                      <w:rFonts w:hint="eastAsia" w:ascii="Times New Roman" w:hAnsi="Times New Roman" w:cs="Times New Roman"/>
                      <w:b w:val="0"/>
                      <w:bCs w:val="0"/>
                      <w:color w:val="auto"/>
                      <w:sz w:val="21"/>
                      <w:szCs w:val="21"/>
                      <w:highlight w:val="none"/>
                      <w:lang w:val="en-US" w:eastAsia="zh-CN"/>
                    </w:rPr>
                    <w:t>6</w:t>
                  </w:r>
                </w:p>
              </w:tc>
              <w:tc>
                <w:tcPr>
                  <w:tcW w:w="2140" w:type="pct"/>
                  <w:tcBorders>
                    <w:top w:val="single" w:color="auto" w:sz="4" w:space="0"/>
                    <w:left w:val="single" w:color="auto" w:sz="4" w:space="0"/>
                    <w:bottom w:val="single" w:color="auto" w:sz="4" w:space="0"/>
                    <w:right w:val="single" w:color="auto" w:sz="4" w:space="0"/>
                  </w:tcBorders>
                  <w:shd w:val="clear" w:color="auto" w:fill="auto"/>
                  <w:noWrap w:val="0"/>
                  <w:vAlign w:val="center"/>
                </w:tcPr>
                <w:p w14:paraId="6CB87E11">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64" w:lineRule="auto"/>
                    <w:ind w:left="0" w:leftChars="0" w:right="0" w:rightChars="0"/>
                    <w:jc w:val="center"/>
                    <w:textAlignment w:val="auto"/>
                    <w:rPr>
                      <w:rFonts w:hint="default" w:ascii="Times New Roman" w:hAnsi="Times New Roman" w:eastAsia="宋体" w:cs="Times New Roman"/>
                      <w:b w:val="0"/>
                      <w:bCs w:val="0"/>
                      <w:color w:val="auto"/>
                      <w:kern w:val="0"/>
                      <w:sz w:val="21"/>
                      <w:szCs w:val="21"/>
                      <w:highlight w:val="none"/>
                      <w:lang w:val="en-US" w:eastAsia="zh-CN"/>
                    </w:rPr>
                  </w:pPr>
                  <w:r>
                    <w:rPr>
                      <w:rFonts w:hint="eastAsia" w:ascii="Times New Roman" w:hAnsi="Times New Roman" w:eastAsia="宋体" w:cs="Times New Roman"/>
                      <w:b w:val="0"/>
                      <w:bCs w:val="0"/>
                      <w:color w:val="auto"/>
                      <w:kern w:val="0"/>
                      <w:sz w:val="21"/>
                      <w:szCs w:val="21"/>
                      <w:highlight w:val="none"/>
                      <w:lang w:val="en-US" w:eastAsia="zh-CN"/>
                    </w:rPr>
                    <w:t>氯化氢</w:t>
                  </w:r>
                </w:p>
              </w:tc>
              <w:tc>
                <w:tcPr>
                  <w:tcW w:w="1784" w:type="pct"/>
                  <w:tcBorders>
                    <w:top w:val="single" w:color="auto" w:sz="4" w:space="0"/>
                    <w:left w:val="single" w:color="auto" w:sz="4" w:space="0"/>
                    <w:bottom w:val="single" w:color="auto" w:sz="4" w:space="0"/>
                    <w:right w:val="single" w:color="auto" w:sz="4" w:space="0"/>
                  </w:tcBorders>
                  <w:noWrap w:val="0"/>
                  <w:vAlign w:val="center"/>
                </w:tcPr>
                <w:p w14:paraId="7E8F5009">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64" w:lineRule="auto"/>
                    <w:ind w:left="0" w:leftChars="0" w:right="0" w:rightChars="0"/>
                    <w:jc w:val="center"/>
                    <w:textAlignment w:val="auto"/>
                    <w:rPr>
                      <w:rFonts w:hint="default" w:ascii="Times New Roman" w:hAnsi="Times New Roman" w:eastAsia="宋体" w:cs="Times New Roman"/>
                      <w:b w:val="0"/>
                      <w:bCs w:val="0"/>
                      <w:color w:val="auto"/>
                      <w:kern w:val="0"/>
                      <w:sz w:val="21"/>
                      <w:szCs w:val="21"/>
                      <w:highlight w:val="none"/>
                      <w:lang w:val="en-US" w:eastAsia="zh-CN"/>
                    </w:rPr>
                  </w:pPr>
                  <w:r>
                    <w:rPr>
                      <w:rFonts w:hint="eastAsia" w:ascii="Times New Roman" w:hAnsi="Times New Roman" w:eastAsia="宋体" w:cs="Times New Roman"/>
                      <w:b w:val="0"/>
                      <w:bCs w:val="0"/>
                      <w:color w:val="auto"/>
                      <w:kern w:val="0"/>
                      <w:sz w:val="21"/>
                      <w:szCs w:val="21"/>
                      <w:highlight w:val="none"/>
                      <w:lang w:val="en-US" w:eastAsia="zh-CN"/>
                    </w:rPr>
                    <w:t>少量</w:t>
                  </w:r>
                </w:p>
              </w:tc>
            </w:tr>
            <w:tr w14:paraId="46142AE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1074" w:type="pct"/>
                  <w:tcBorders>
                    <w:top w:val="single" w:color="auto" w:sz="4" w:space="0"/>
                    <w:left w:val="single" w:color="auto" w:sz="4" w:space="0"/>
                    <w:bottom w:val="single" w:color="auto" w:sz="4" w:space="0"/>
                    <w:right w:val="single" w:color="auto" w:sz="4" w:space="0"/>
                  </w:tcBorders>
                  <w:noWrap w:val="0"/>
                  <w:vAlign w:val="center"/>
                </w:tcPr>
                <w:p w14:paraId="3CE787A2">
                  <w:pPr>
                    <w:pStyle w:val="27"/>
                    <w:keepNext w:val="0"/>
                    <w:keepLines w:val="0"/>
                    <w:widowControl w:val="0"/>
                    <w:suppressLineNumbers w:val="0"/>
                    <w:spacing w:before="0" w:beforeAutospacing="0" w:after="0" w:afterAutospacing="0" w:line="240" w:lineRule="auto"/>
                    <w:ind w:left="0" w:leftChars="0" w:right="0" w:rightChars="0" w:firstLine="0" w:firstLineChars="0"/>
                    <w:jc w:val="center"/>
                    <w:rPr>
                      <w:rFonts w:hint="default" w:ascii="Times New Roman" w:hAnsi="Times New Roman" w:eastAsia="宋体" w:cs="Times New Roman"/>
                      <w:b w:val="0"/>
                      <w:bCs w:val="0"/>
                      <w:color w:val="auto"/>
                      <w:sz w:val="21"/>
                      <w:szCs w:val="21"/>
                      <w:highlight w:val="none"/>
                      <w:lang w:val="en-US" w:eastAsia="zh-CN"/>
                    </w:rPr>
                  </w:pPr>
                  <w:r>
                    <w:rPr>
                      <w:rFonts w:hint="eastAsia" w:ascii="Times New Roman" w:hAnsi="Times New Roman" w:cs="Times New Roman"/>
                      <w:b w:val="0"/>
                      <w:bCs w:val="0"/>
                      <w:color w:val="auto"/>
                      <w:sz w:val="21"/>
                      <w:szCs w:val="21"/>
                      <w:highlight w:val="none"/>
                      <w:lang w:val="en-US" w:eastAsia="zh-CN"/>
                    </w:rPr>
                    <w:t>7</w:t>
                  </w:r>
                </w:p>
              </w:tc>
              <w:tc>
                <w:tcPr>
                  <w:tcW w:w="2140" w:type="pct"/>
                  <w:tcBorders>
                    <w:top w:val="single" w:color="auto" w:sz="4" w:space="0"/>
                    <w:left w:val="single" w:color="auto" w:sz="4" w:space="0"/>
                    <w:bottom w:val="single" w:color="auto" w:sz="4" w:space="0"/>
                    <w:right w:val="single" w:color="auto" w:sz="4" w:space="0"/>
                  </w:tcBorders>
                  <w:shd w:val="clear" w:color="auto" w:fill="auto"/>
                  <w:noWrap w:val="0"/>
                  <w:vAlign w:val="center"/>
                </w:tcPr>
                <w:p w14:paraId="621C79C4">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64" w:lineRule="auto"/>
                    <w:ind w:left="0" w:leftChars="0" w:right="0" w:rightChars="0"/>
                    <w:jc w:val="center"/>
                    <w:textAlignment w:val="auto"/>
                    <w:rPr>
                      <w:rFonts w:hint="default" w:ascii="Times New Roman" w:hAnsi="Times New Roman" w:eastAsia="宋体" w:cs="Times New Roman"/>
                      <w:b w:val="0"/>
                      <w:bCs w:val="0"/>
                      <w:color w:val="auto"/>
                      <w:kern w:val="0"/>
                      <w:sz w:val="21"/>
                      <w:szCs w:val="21"/>
                      <w:highlight w:val="none"/>
                      <w:lang w:val="en-US" w:eastAsia="zh-CN"/>
                    </w:rPr>
                  </w:pPr>
                  <w:r>
                    <w:rPr>
                      <w:rFonts w:hint="eastAsia" w:ascii="Times New Roman" w:hAnsi="Times New Roman" w:eastAsia="宋体" w:cs="Times New Roman"/>
                      <w:b w:val="0"/>
                      <w:bCs w:val="0"/>
                      <w:color w:val="auto"/>
                      <w:kern w:val="0"/>
                      <w:sz w:val="21"/>
                      <w:szCs w:val="21"/>
                      <w:highlight w:val="none"/>
                      <w:lang w:val="en-US" w:eastAsia="zh-CN"/>
                    </w:rPr>
                    <w:t>硫酸雾</w:t>
                  </w:r>
                </w:p>
              </w:tc>
              <w:tc>
                <w:tcPr>
                  <w:tcW w:w="1784" w:type="pct"/>
                  <w:tcBorders>
                    <w:top w:val="single" w:color="auto" w:sz="4" w:space="0"/>
                    <w:left w:val="single" w:color="auto" w:sz="4" w:space="0"/>
                    <w:bottom w:val="single" w:color="auto" w:sz="4" w:space="0"/>
                    <w:right w:val="single" w:color="auto" w:sz="4" w:space="0"/>
                  </w:tcBorders>
                  <w:noWrap w:val="0"/>
                  <w:vAlign w:val="center"/>
                </w:tcPr>
                <w:p w14:paraId="4E090F62">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64" w:lineRule="auto"/>
                    <w:ind w:left="0" w:leftChars="0" w:right="0" w:rightChars="0"/>
                    <w:jc w:val="center"/>
                    <w:textAlignment w:val="auto"/>
                    <w:rPr>
                      <w:rFonts w:hint="default" w:ascii="Times New Roman" w:hAnsi="Times New Roman" w:eastAsia="宋体" w:cs="Times New Roman"/>
                      <w:b w:val="0"/>
                      <w:bCs w:val="0"/>
                      <w:color w:val="auto"/>
                      <w:kern w:val="0"/>
                      <w:sz w:val="21"/>
                      <w:szCs w:val="21"/>
                      <w:highlight w:val="none"/>
                      <w:lang w:val="en-US" w:eastAsia="zh-CN"/>
                    </w:rPr>
                  </w:pPr>
                  <w:r>
                    <w:rPr>
                      <w:rFonts w:hint="eastAsia" w:ascii="Times New Roman" w:hAnsi="Times New Roman" w:eastAsia="宋体" w:cs="Times New Roman"/>
                      <w:b w:val="0"/>
                      <w:bCs w:val="0"/>
                      <w:color w:val="auto"/>
                      <w:kern w:val="0"/>
                      <w:sz w:val="21"/>
                      <w:szCs w:val="21"/>
                      <w:highlight w:val="none"/>
                      <w:lang w:val="en-US" w:eastAsia="zh-CN"/>
                    </w:rPr>
                    <w:t>少量</w:t>
                  </w:r>
                </w:p>
              </w:tc>
            </w:tr>
            <w:tr w14:paraId="5E53ED5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1074" w:type="pct"/>
                  <w:tcBorders>
                    <w:top w:val="single" w:color="auto" w:sz="4" w:space="0"/>
                    <w:left w:val="single" w:color="auto" w:sz="4" w:space="0"/>
                    <w:bottom w:val="single" w:color="auto" w:sz="4" w:space="0"/>
                    <w:right w:val="single" w:color="auto" w:sz="4" w:space="0"/>
                  </w:tcBorders>
                  <w:noWrap w:val="0"/>
                  <w:vAlign w:val="center"/>
                </w:tcPr>
                <w:p w14:paraId="490CCEFB">
                  <w:pPr>
                    <w:pStyle w:val="27"/>
                    <w:keepNext w:val="0"/>
                    <w:keepLines w:val="0"/>
                    <w:widowControl w:val="0"/>
                    <w:suppressLineNumbers w:val="0"/>
                    <w:spacing w:before="0" w:beforeAutospacing="0" w:after="0" w:afterAutospacing="0" w:line="240" w:lineRule="auto"/>
                    <w:ind w:left="0" w:leftChars="0" w:right="0" w:rightChars="0" w:firstLine="0" w:firstLineChars="0"/>
                    <w:jc w:val="center"/>
                    <w:rPr>
                      <w:rFonts w:hint="default" w:ascii="Times New Roman" w:hAnsi="Times New Roman" w:cs="Times New Roman"/>
                      <w:b w:val="0"/>
                      <w:bCs w:val="0"/>
                      <w:color w:val="auto"/>
                      <w:sz w:val="21"/>
                      <w:szCs w:val="21"/>
                      <w:highlight w:val="none"/>
                      <w:lang w:val="en-US" w:eastAsia="zh-CN"/>
                    </w:rPr>
                  </w:pPr>
                  <w:r>
                    <w:rPr>
                      <w:rFonts w:hint="eastAsia" w:ascii="Times New Roman" w:hAnsi="Times New Roman" w:cs="Times New Roman"/>
                      <w:b w:val="0"/>
                      <w:bCs w:val="0"/>
                      <w:color w:val="auto"/>
                      <w:sz w:val="21"/>
                      <w:szCs w:val="21"/>
                      <w:highlight w:val="none"/>
                      <w:lang w:val="en-US" w:eastAsia="zh-CN"/>
                    </w:rPr>
                    <w:t>8</w:t>
                  </w:r>
                </w:p>
              </w:tc>
              <w:tc>
                <w:tcPr>
                  <w:tcW w:w="3502"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340FDB5F">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64" w:lineRule="auto"/>
                    <w:ind w:left="0" w:leftChars="0" w:right="0" w:rightChars="0"/>
                    <w:jc w:val="center"/>
                    <w:textAlignment w:val="auto"/>
                    <w:rPr>
                      <w:rFonts w:hint="eastAsia" w:ascii="Times New Roman" w:hAnsi="Times New Roman" w:eastAsia="宋体" w:cs="Times New Roman"/>
                      <w:b w:val="0"/>
                      <w:bCs w:val="0"/>
                      <w:color w:val="auto"/>
                      <w:kern w:val="0"/>
                      <w:sz w:val="21"/>
                      <w:szCs w:val="21"/>
                      <w:highlight w:val="none"/>
                      <w:lang w:val="en-US" w:eastAsia="zh-CN"/>
                    </w:rPr>
                  </w:pPr>
                  <w:r>
                    <w:rPr>
                      <w:rFonts w:hint="eastAsia" w:ascii="Times New Roman" w:hAnsi="Times New Roman" w:eastAsia="宋体" w:cs="Times New Roman"/>
                      <w:b w:val="0"/>
                      <w:bCs w:val="0"/>
                      <w:color w:val="auto"/>
                      <w:kern w:val="0"/>
                      <w:sz w:val="21"/>
                      <w:szCs w:val="21"/>
                      <w:highlight w:val="none"/>
                      <w:lang w:val="en-US" w:eastAsia="zh-CN"/>
                    </w:rPr>
                    <w:t>颗粒物</w:t>
                  </w:r>
                </w:p>
              </w:tc>
              <w:tc>
                <w:tcPr>
                  <w:tcW w:w="2919" w:type="dxa"/>
                  <w:tcBorders>
                    <w:top w:val="single" w:color="auto" w:sz="4" w:space="0"/>
                    <w:left w:val="single" w:color="auto" w:sz="4" w:space="0"/>
                    <w:bottom w:val="single" w:color="auto" w:sz="4" w:space="0"/>
                    <w:right w:val="single" w:color="auto" w:sz="4" w:space="0"/>
                  </w:tcBorders>
                  <w:noWrap w:val="0"/>
                  <w:vAlign w:val="center"/>
                </w:tcPr>
                <w:p w14:paraId="7DD83FBF">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64" w:lineRule="auto"/>
                    <w:ind w:left="0" w:leftChars="0" w:right="0" w:rightChars="0"/>
                    <w:jc w:val="center"/>
                    <w:textAlignment w:val="auto"/>
                    <w:rPr>
                      <w:rFonts w:hint="eastAsia" w:ascii="Times New Roman" w:hAnsi="Times New Roman" w:eastAsia="宋体" w:cs="Times New Roman"/>
                      <w:b w:val="0"/>
                      <w:bCs w:val="0"/>
                      <w:color w:val="auto"/>
                      <w:kern w:val="0"/>
                      <w:sz w:val="21"/>
                      <w:szCs w:val="21"/>
                      <w:highlight w:val="none"/>
                      <w:lang w:val="en-US" w:eastAsia="zh-CN"/>
                    </w:rPr>
                  </w:pPr>
                  <w:r>
                    <w:rPr>
                      <w:rFonts w:hint="eastAsia" w:ascii="Times New Roman" w:hAnsi="Times New Roman" w:eastAsia="宋体" w:cs="Times New Roman"/>
                      <w:b w:val="0"/>
                      <w:bCs w:val="0"/>
                      <w:color w:val="auto"/>
                      <w:kern w:val="0"/>
                      <w:sz w:val="21"/>
                      <w:szCs w:val="21"/>
                      <w:highlight w:val="none"/>
                      <w:lang w:val="en-US" w:eastAsia="zh-CN"/>
                    </w:rPr>
                    <w:t>少量</w:t>
                  </w:r>
                </w:p>
              </w:tc>
            </w:tr>
            <w:tr w14:paraId="3E2E4FE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1074" w:type="pct"/>
                  <w:vMerge w:val="restart"/>
                  <w:tcBorders>
                    <w:top w:val="single" w:color="auto" w:sz="4" w:space="0"/>
                    <w:left w:val="single" w:color="auto" w:sz="4" w:space="0"/>
                    <w:right w:val="single" w:color="auto" w:sz="4" w:space="0"/>
                  </w:tcBorders>
                  <w:noWrap w:val="0"/>
                  <w:vAlign w:val="center"/>
                </w:tcPr>
                <w:p w14:paraId="77333070">
                  <w:pPr>
                    <w:pStyle w:val="27"/>
                    <w:keepNext w:val="0"/>
                    <w:keepLines w:val="0"/>
                    <w:widowControl w:val="0"/>
                    <w:suppressLineNumbers w:val="0"/>
                    <w:spacing w:before="0" w:beforeAutospacing="0" w:after="0" w:afterAutospacing="0" w:line="240" w:lineRule="auto"/>
                    <w:ind w:left="0" w:leftChars="0" w:right="0" w:rightChars="0" w:firstLine="0" w:firstLineChars="0"/>
                    <w:jc w:val="center"/>
                    <w:rPr>
                      <w:rFonts w:hint="default" w:ascii="Times New Roman" w:hAnsi="Times New Roman" w:eastAsia="宋体" w:cs="Times New Roman"/>
                      <w:b/>
                      <w:bCs/>
                      <w:color w:val="auto"/>
                      <w:sz w:val="21"/>
                      <w:szCs w:val="21"/>
                      <w:highlight w:val="none"/>
                      <w:lang w:val="en-US" w:eastAsia="zh-CN"/>
                    </w:rPr>
                  </w:pPr>
                  <w:r>
                    <w:rPr>
                      <w:rFonts w:hint="eastAsia" w:ascii="Times New Roman" w:hAnsi="Times New Roman" w:eastAsia="宋体" w:cs="Times New Roman"/>
                      <w:b/>
                      <w:bCs/>
                      <w:color w:val="auto"/>
                      <w:sz w:val="21"/>
                      <w:szCs w:val="21"/>
                      <w:highlight w:val="none"/>
                      <w:lang w:val="en-US" w:eastAsia="zh-CN"/>
                    </w:rPr>
                    <w:t>总计</w:t>
                  </w:r>
                </w:p>
              </w:tc>
              <w:tc>
                <w:tcPr>
                  <w:tcW w:w="2140" w:type="pct"/>
                  <w:tcBorders>
                    <w:top w:val="single" w:color="auto" w:sz="4" w:space="0"/>
                    <w:left w:val="single" w:color="auto" w:sz="4" w:space="0"/>
                    <w:bottom w:val="single" w:color="auto" w:sz="4" w:space="0"/>
                    <w:right w:val="single" w:color="auto" w:sz="4" w:space="0"/>
                  </w:tcBorders>
                  <w:noWrap w:val="0"/>
                  <w:vAlign w:val="center"/>
                </w:tcPr>
                <w:p w14:paraId="0AAB3B8A">
                  <w:pPr>
                    <w:pStyle w:val="27"/>
                    <w:keepNext w:val="0"/>
                    <w:keepLines w:val="0"/>
                    <w:widowControl w:val="0"/>
                    <w:suppressLineNumbers w:val="0"/>
                    <w:spacing w:before="0" w:beforeAutospacing="0" w:after="0" w:afterAutospacing="0" w:line="240" w:lineRule="auto"/>
                    <w:ind w:left="0" w:leftChars="0" w:right="0" w:rightChars="0" w:firstLine="0" w:firstLineChars="0"/>
                    <w:jc w:val="center"/>
                    <w:rPr>
                      <w:rFonts w:hint="default" w:ascii="Times New Roman" w:hAnsi="Times New Roman" w:eastAsia="宋体" w:cs="Times New Roman"/>
                      <w:b/>
                      <w:bCs/>
                      <w:color w:val="auto"/>
                      <w:sz w:val="21"/>
                      <w:szCs w:val="21"/>
                      <w:highlight w:val="none"/>
                      <w:lang w:val="en-US" w:eastAsia="zh-CN"/>
                    </w:rPr>
                  </w:pPr>
                  <w:r>
                    <w:rPr>
                      <w:rFonts w:hint="eastAsia" w:ascii="Times New Roman" w:hAnsi="Times New Roman" w:eastAsia="宋体" w:cs="Times New Roman"/>
                      <w:b/>
                      <w:bCs/>
                      <w:color w:val="auto"/>
                      <w:sz w:val="21"/>
                      <w:szCs w:val="21"/>
                      <w:highlight w:val="none"/>
                      <w:lang w:val="en-US" w:eastAsia="zh-CN"/>
                    </w:rPr>
                    <w:t>VOCs</w:t>
                  </w:r>
                </w:p>
              </w:tc>
              <w:tc>
                <w:tcPr>
                  <w:tcW w:w="1784" w:type="pct"/>
                  <w:tcBorders>
                    <w:top w:val="single" w:color="auto" w:sz="4" w:space="0"/>
                    <w:left w:val="single" w:color="auto" w:sz="4" w:space="0"/>
                    <w:bottom w:val="single" w:color="auto" w:sz="4" w:space="0"/>
                    <w:right w:val="single" w:color="auto" w:sz="4" w:space="0"/>
                  </w:tcBorders>
                  <w:noWrap w:val="0"/>
                  <w:vAlign w:val="center"/>
                </w:tcPr>
                <w:p w14:paraId="07A6733A">
                  <w:pPr>
                    <w:pStyle w:val="27"/>
                    <w:keepNext w:val="0"/>
                    <w:keepLines w:val="0"/>
                    <w:widowControl w:val="0"/>
                    <w:suppressLineNumbers w:val="0"/>
                    <w:spacing w:before="0" w:beforeAutospacing="0" w:after="0" w:afterAutospacing="0" w:line="240" w:lineRule="auto"/>
                    <w:ind w:left="0" w:leftChars="0" w:right="0" w:rightChars="0" w:firstLine="0" w:firstLineChars="0"/>
                    <w:jc w:val="center"/>
                    <w:rPr>
                      <w:rFonts w:hint="default" w:ascii="Times New Roman" w:hAnsi="Times New Roman" w:eastAsia="宋体" w:cs="Times New Roman"/>
                      <w:b/>
                      <w:bCs/>
                      <w:color w:val="auto"/>
                      <w:sz w:val="21"/>
                      <w:szCs w:val="21"/>
                      <w:highlight w:val="none"/>
                      <w:lang w:val="en-US" w:eastAsia="zh-CN"/>
                    </w:rPr>
                  </w:pPr>
                  <w:r>
                    <w:rPr>
                      <w:rFonts w:hint="eastAsia" w:ascii="Times New Roman" w:hAnsi="Times New Roman" w:eastAsia="宋体" w:cs="Times New Roman"/>
                      <w:b/>
                      <w:bCs/>
                      <w:color w:val="auto"/>
                      <w:sz w:val="21"/>
                      <w:szCs w:val="21"/>
                      <w:highlight w:val="none"/>
                      <w:lang w:val="en-US" w:eastAsia="zh-CN"/>
                    </w:rPr>
                    <w:t>1.</w:t>
                  </w:r>
                  <w:r>
                    <w:rPr>
                      <w:rFonts w:hint="eastAsia" w:ascii="Times New Roman" w:hAnsi="Times New Roman" w:cs="Times New Roman"/>
                      <w:b/>
                      <w:bCs/>
                      <w:color w:val="auto"/>
                      <w:sz w:val="21"/>
                      <w:szCs w:val="21"/>
                      <w:highlight w:val="none"/>
                      <w:lang w:val="en-US" w:eastAsia="zh-CN"/>
                    </w:rPr>
                    <w:t>272</w:t>
                  </w:r>
                </w:p>
              </w:tc>
            </w:tr>
            <w:tr w14:paraId="7A1A138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1074" w:type="pct"/>
                  <w:vMerge w:val="continue"/>
                  <w:tcBorders>
                    <w:left w:val="single" w:color="auto" w:sz="4" w:space="0"/>
                    <w:right w:val="single" w:color="auto" w:sz="4" w:space="0"/>
                  </w:tcBorders>
                  <w:noWrap w:val="0"/>
                  <w:vAlign w:val="center"/>
                </w:tcPr>
                <w:p w14:paraId="1DEE4017">
                  <w:pPr>
                    <w:pStyle w:val="27"/>
                    <w:keepNext w:val="0"/>
                    <w:keepLines w:val="0"/>
                    <w:widowControl w:val="0"/>
                    <w:suppressLineNumbers w:val="0"/>
                    <w:spacing w:before="0" w:beforeAutospacing="0" w:after="0" w:afterAutospacing="0" w:line="240" w:lineRule="auto"/>
                    <w:ind w:left="0" w:leftChars="0" w:right="0" w:rightChars="0" w:firstLine="0" w:firstLineChars="0"/>
                    <w:jc w:val="center"/>
                    <w:rPr>
                      <w:rFonts w:hint="eastAsia" w:ascii="Times New Roman" w:hAnsi="Times New Roman" w:eastAsia="宋体" w:cs="Times New Roman"/>
                      <w:b/>
                      <w:bCs/>
                      <w:color w:val="auto"/>
                      <w:sz w:val="21"/>
                      <w:szCs w:val="21"/>
                      <w:highlight w:val="none"/>
                      <w:lang w:val="en-US" w:eastAsia="zh-CN"/>
                    </w:rPr>
                  </w:pPr>
                </w:p>
              </w:tc>
              <w:tc>
                <w:tcPr>
                  <w:tcW w:w="2140" w:type="pct"/>
                  <w:tcBorders>
                    <w:top w:val="single" w:color="auto" w:sz="4" w:space="0"/>
                    <w:left w:val="single" w:color="auto" w:sz="4" w:space="0"/>
                    <w:bottom w:val="single" w:color="auto" w:sz="4" w:space="0"/>
                    <w:right w:val="single" w:color="auto" w:sz="4" w:space="0"/>
                  </w:tcBorders>
                  <w:noWrap w:val="0"/>
                  <w:vAlign w:val="center"/>
                </w:tcPr>
                <w:p w14:paraId="237A7BD0">
                  <w:pPr>
                    <w:pStyle w:val="27"/>
                    <w:keepNext w:val="0"/>
                    <w:keepLines w:val="0"/>
                    <w:widowControl w:val="0"/>
                    <w:suppressLineNumbers w:val="0"/>
                    <w:spacing w:before="0" w:beforeAutospacing="0" w:after="0" w:afterAutospacing="0" w:line="240" w:lineRule="auto"/>
                    <w:ind w:left="0" w:leftChars="0" w:right="0" w:rightChars="0" w:firstLine="0" w:firstLineChars="0"/>
                    <w:jc w:val="center"/>
                    <w:rPr>
                      <w:rFonts w:hint="default" w:ascii="Times New Roman" w:hAnsi="Times New Roman" w:eastAsia="宋体" w:cs="Times New Roman"/>
                      <w:b/>
                      <w:bCs/>
                      <w:color w:val="auto"/>
                      <w:sz w:val="21"/>
                      <w:szCs w:val="21"/>
                      <w:highlight w:val="none"/>
                      <w:lang w:val="en-US" w:eastAsia="zh-CN"/>
                    </w:rPr>
                  </w:pPr>
                  <w:r>
                    <w:rPr>
                      <w:rFonts w:hint="eastAsia" w:ascii="Times New Roman" w:hAnsi="Times New Roman" w:cs="Times New Roman"/>
                      <w:b/>
                      <w:bCs/>
                      <w:color w:val="auto"/>
                      <w:sz w:val="21"/>
                      <w:szCs w:val="21"/>
                      <w:highlight w:val="none"/>
                      <w:lang w:val="en-US" w:eastAsia="zh-CN"/>
                    </w:rPr>
                    <w:t>氨</w:t>
                  </w:r>
                </w:p>
              </w:tc>
              <w:tc>
                <w:tcPr>
                  <w:tcW w:w="1784" w:type="pct"/>
                  <w:tcBorders>
                    <w:top w:val="single" w:color="auto" w:sz="4" w:space="0"/>
                    <w:left w:val="single" w:color="auto" w:sz="4" w:space="0"/>
                    <w:bottom w:val="single" w:color="auto" w:sz="4" w:space="0"/>
                    <w:right w:val="single" w:color="auto" w:sz="4" w:space="0"/>
                  </w:tcBorders>
                  <w:shd w:val="clear" w:color="auto" w:fill="auto"/>
                  <w:noWrap w:val="0"/>
                  <w:vAlign w:val="center"/>
                </w:tcPr>
                <w:p w14:paraId="0591EDCB">
                  <w:pPr>
                    <w:pStyle w:val="27"/>
                    <w:keepNext w:val="0"/>
                    <w:keepLines w:val="0"/>
                    <w:widowControl w:val="0"/>
                    <w:suppressLineNumbers w:val="0"/>
                    <w:spacing w:before="0" w:beforeAutospacing="0" w:after="0" w:afterAutospacing="0" w:line="240" w:lineRule="auto"/>
                    <w:ind w:left="0" w:leftChars="0" w:right="0" w:rightChars="0" w:firstLine="0" w:firstLineChars="0"/>
                    <w:jc w:val="center"/>
                    <w:rPr>
                      <w:rFonts w:hint="default" w:ascii="Times New Roman" w:hAnsi="Times New Roman" w:eastAsia="宋体" w:cs="Times New Roman"/>
                      <w:b/>
                      <w:bCs/>
                      <w:color w:val="auto"/>
                      <w:kern w:val="0"/>
                      <w:sz w:val="21"/>
                      <w:szCs w:val="21"/>
                      <w:highlight w:val="none"/>
                      <w:lang w:val="en-US" w:eastAsia="zh-CN" w:bidi="ar-SA"/>
                    </w:rPr>
                  </w:pPr>
                  <w:r>
                    <w:rPr>
                      <w:rFonts w:hint="eastAsia" w:ascii="Times New Roman" w:hAnsi="Times New Roman" w:cs="Times New Roman"/>
                      <w:b/>
                      <w:bCs/>
                      <w:color w:val="auto"/>
                      <w:sz w:val="21"/>
                      <w:szCs w:val="21"/>
                      <w:highlight w:val="none"/>
                      <w:lang w:val="en-US" w:eastAsia="zh-CN"/>
                    </w:rPr>
                    <w:t>0.078</w:t>
                  </w:r>
                </w:p>
              </w:tc>
            </w:tr>
            <w:tr w14:paraId="5D0EE3F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1074" w:type="pct"/>
                  <w:vMerge w:val="continue"/>
                  <w:tcBorders>
                    <w:left w:val="single" w:color="auto" w:sz="4" w:space="0"/>
                    <w:bottom w:val="single" w:color="auto" w:sz="4" w:space="0"/>
                    <w:right w:val="single" w:color="auto" w:sz="4" w:space="0"/>
                  </w:tcBorders>
                  <w:noWrap w:val="0"/>
                  <w:vAlign w:val="center"/>
                </w:tcPr>
                <w:p w14:paraId="4114C2C0">
                  <w:pPr>
                    <w:pStyle w:val="27"/>
                    <w:keepNext w:val="0"/>
                    <w:keepLines w:val="0"/>
                    <w:widowControl w:val="0"/>
                    <w:suppressLineNumbers w:val="0"/>
                    <w:spacing w:before="0" w:beforeAutospacing="0" w:after="0" w:afterAutospacing="0" w:line="240" w:lineRule="auto"/>
                    <w:ind w:left="0" w:leftChars="0" w:right="0" w:rightChars="0" w:firstLine="0" w:firstLineChars="0"/>
                    <w:jc w:val="center"/>
                    <w:rPr>
                      <w:rFonts w:hint="eastAsia" w:ascii="Times New Roman" w:hAnsi="Times New Roman" w:eastAsia="宋体" w:cs="Times New Roman"/>
                      <w:b/>
                      <w:bCs/>
                      <w:color w:val="auto"/>
                      <w:sz w:val="21"/>
                      <w:szCs w:val="21"/>
                      <w:highlight w:val="none"/>
                      <w:lang w:val="en-US" w:eastAsia="zh-CN"/>
                    </w:rPr>
                  </w:pPr>
                </w:p>
              </w:tc>
              <w:tc>
                <w:tcPr>
                  <w:tcW w:w="2140" w:type="pct"/>
                  <w:tcBorders>
                    <w:top w:val="single" w:color="auto" w:sz="4" w:space="0"/>
                    <w:left w:val="single" w:color="auto" w:sz="4" w:space="0"/>
                    <w:bottom w:val="single" w:color="auto" w:sz="4" w:space="0"/>
                    <w:right w:val="single" w:color="auto" w:sz="4" w:space="0"/>
                  </w:tcBorders>
                  <w:noWrap w:val="0"/>
                  <w:vAlign w:val="center"/>
                </w:tcPr>
                <w:p w14:paraId="37D61EC6">
                  <w:pPr>
                    <w:pStyle w:val="27"/>
                    <w:keepNext w:val="0"/>
                    <w:keepLines w:val="0"/>
                    <w:widowControl w:val="0"/>
                    <w:suppressLineNumbers w:val="0"/>
                    <w:spacing w:before="0" w:beforeAutospacing="0" w:after="0" w:afterAutospacing="0" w:line="240" w:lineRule="auto"/>
                    <w:ind w:left="0" w:leftChars="0" w:right="0" w:rightChars="0" w:firstLine="0" w:firstLineChars="0"/>
                    <w:jc w:val="center"/>
                    <w:rPr>
                      <w:rFonts w:hint="eastAsia" w:ascii="Times New Roman" w:hAnsi="Times New Roman" w:cs="Times New Roman"/>
                      <w:b/>
                      <w:bCs/>
                      <w:color w:val="auto"/>
                      <w:sz w:val="21"/>
                      <w:szCs w:val="21"/>
                      <w:highlight w:val="none"/>
                      <w:lang w:val="en-US" w:eastAsia="zh-CN"/>
                    </w:rPr>
                  </w:pPr>
                  <w:r>
                    <w:rPr>
                      <w:rFonts w:hint="default" w:ascii="Times New Roman" w:hAnsi="Times New Roman" w:eastAsia="宋体" w:cs="Times New Roman"/>
                      <w:b/>
                      <w:bCs/>
                      <w:color w:val="auto"/>
                      <w:kern w:val="0"/>
                      <w:sz w:val="21"/>
                      <w:szCs w:val="21"/>
                      <w:highlight w:val="none"/>
                    </w:rPr>
                    <w:t>硫化氢</w:t>
                  </w:r>
                </w:p>
              </w:tc>
              <w:tc>
                <w:tcPr>
                  <w:tcW w:w="1784" w:type="pct"/>
                  <w:tcBorders>
                    <w:top w:val="single" w:color="auto" w:sz="4" w:space="0"/>
                    <w:left w:val="single" w:color="auto" w:sz="4" w:space="0"/>
                    <w:bottom w:val="single" w:color="auto" w:sz="4" w:space="0"/>
                    <w:right w:val="single" w:color="auto" w:sz="4" w:space="0"/>
                  </w:tcBorders>
                  <w:shd w:val="clear" w:color="auto" w:fill="auto"/>
                  <w:noWrap w:val="0"/>
                  <w:vAlign w:val="center"/>
                </w:tcPr>
                <w:p w14:paraId="79D2792A">
                  <w:pPr>
                    <w:pStyle w:val="27"/>
                    <w:keepNext w:val="0"/>
                    <w:keepLines w:val="0"/>
                    <w:widowControl w:val="0"/>
                    <w:suppressLineNumbers w:val="0"/>
                    <w:spacing w:before="0" w:beforeAutospacing="0" w:after="0" w:afterAutospacing="0" w:line="240" w:lineRule="auto"/>
                    <w:ind w:left="0" w:leftChars="0" w:right="0" w:rightChars="0" w:firstLine="0" w:firstLineChars="0"/>
                    <w:jc w:val="center"/>
                    <w:rPr>
                      <w:rFonts w:hint="default" w:ascii="Times New Roman" w:hAnsi="Times New Roman" w:eastAsia="宋体" w:cs="Times New Roman"/>
                      <w:b/>
                      <w:bCs/>
                      <w:color w:val="auto"/>
                      <w:kern w:val="0"/>
                      <w:sz w:val="21"/>
                      <w:szCs w:val="21"/>
                      <w:highlight w:val="none"/>
                      <w:lang w:val="en-US" w:eastAsia="zh-CN" w:bidi="ar-SA"/>
                    </w:rPr>
                  </w:pPr>
                  <w:r>
                    <w:rPr>
                      <w:rFonts w:hint="eastAsia" w:ascii="Times New Roman" w:hAnsi="Times New Roman" w:cs="Times New Roman"/>
                      <w:b/>
                      <w:bCs/>
                      <w:color w:val="auto"/>
                      <w:sz w:val="21"/>
                      <w:szCs w:val="21"/>
                      <w:highlight w:val="none"/>
                      <w:lang w:val="en-US" w:eastAsia="zh-CN"/>
                    </w:rPr>
                    <w:t>0.036</w:t>
                  </w:r>
                </w:p>
              </w:tc>
            </w:tr>
          </w:tbl>
          <w:p w14:paraId="1E426BC9">
            <w:pPr>
              <w:keepNext w:val="0"/>
              <w:keepLines w:val="0"/>
              <w:widowControl w:val="0"/>
              <w:suppressLineNumbers w:val="0"/>
              <w:spacing w:before="0" w:beforeAutospacing="0" w:after="0" w:afterAutospacing="0" w:line="360" w:lineRule="auto"/>
              <w:ind w:left="0" w:right="0" w:firstLine="482" w:firstLineChars="200"/>
              <w:jc w:val="both"/>
              <w:rPr>
                <w:rFonts w:hint="default" w:ascii="Times New Roman" w:hAnsi="Times New Roman" w:eastAsia="宋体" w:cs="Times New Roman"/>
                <w:b/>
                <w:bCs/>
                <w:strike w:val="0"/>
                <w:dstrike w:val="0"/>
                <w:color w:val="auto"/>
                <w:kern w:val="2"/>
                <w:sz w:val="24"/>
                <w:szCs w:val="24"/>
                <w:highlight w:val="none"/>
                <w:lang w:val="en-US"/>
              </w:rPr>
            </w:pPr>
            <w:r>
              <w:rPr>
                <w:rFonts w:hint="eastAsia" w:ascii="Times New Roman" w:hAnsi="Times New Roman" w:eastAsia="宋体" w:cs="Times New Roman"/>
                <w:b/>
                <w:strike w:val="0"/>
                <w:color w:val="auto"/>
                <w:kern w:val="2"/>
                <w:sz w:val="24"/>
                <w:szCs w:val="24"/>
                <w:highlight w:val="none"/>
                <w:lang w:val="en-US" w:eastAsia="zh-CN" w:bidi="ar-SA"/>
              </w:rPr>
              <w:t>10</w:t>
            </w:r>
            <w:r>
              <w:rPr>
                <w:rFonts w:hint="eastAsia" w:ascii="宋体" w:hAnsi="宋体" w:eastAsia="宋体" w:cs="宋体"/>
                <w:b/>
                <w:bCs/>
                <w:strike w:val="0"/>
                <w:dstrike w:val="0"/>
                <w:color w:val="auto"/>
                <w:kern w:val="2"/>
                <w:sz w:val="24"/>
                <w:szCs w:val="24"/>
                <w:highlight w:val="none"/>
                <w:lang w:val="en-US" w:eastAsia="zh-CN" w:bidi="ar"/>
              </w:rPr>
              <w:t>、废气自行监测计划</w:t>
            </w:r>
          </w:p>
          <w:p w14:paraId="1100B356">
            <w:pPr>
              <w:keepNext w:val="0"/>
              <w:keepLines w:val="0"/>
              <w:suppressLineNumbers w:val="0"/>
              <w:spacing w:before="0" w:beforeAutospacing="0" w:after="0" w:afterAutospacing="0" w:line="360" w:lineRule="auto"/>
              <w:ind w:left="0" w:right="0" w:firstLine="480" w:firstLineChars="200"/>
              <w:jc w:val="both"/>
              <w:rPr>
                <w:rFonts w:hint="default" w:ascii="Times New Roman" w:hAnsi="Times New Roman" w:eastAsia="宋体" w:cs="Times New Roman"/>
                <w:strike w:val="0"/>
                <w:dstrike w:val="0"/>
                <w:color w:val="auto"/>
                <w:kern w:val="2"/>
                <w:sz w:val="24"/>
                <w:szCs w:val="24"/>
                <w:highlight w:val="none"/>
              </w:rPr>
            </w:pPr>
            <w:r>
              <w:rPr>
                <w:rFonts w:hint="eastAsia"/>
                <w:sz w:val="24"/>
                <w:highlight w:val="none"/>
              </w:rPr>
              <w:t>本项目实施后运营期废气监测计划参照</w:t>
            </w:r>
            <w:r>
              <w:rPr>
                <w:rFonts w:hint="default"/>
                <w:highlight w:val="none"/>
              </w:rPr>
              <w:t>《排污单位自行监测技术指南</w:t>
            </w:r>
            <w:r>
              <w:rPr>
                <w:rFonts w:hint="eastAsia"/>
                <w:highlight w:val="none"/>
              </w:rPr>
              <w:t xml:space="preserve"> </w:t>
            </w:r>
            <w:r>
              <w:rPr>
                <w:rFonts w:hint="default"/>
                <w:highlight w:val="none"/>
              </w:rPr>
              <w:t>总则》（HJ819-2017）</w:t>
            </w:r>
            <w:r>
              <w:rPr>
                <w:rFonts w:hint="eastAsia"/>
                <w:sz w:val="24"/>
                <w:highlight w:val="none"/>
              </w:rPr>
              <w:t>制定，具体如下表。</w:t>
            </w:r>
          </w:p>
          <w:p w14:paraId="452771D9">
            <w:pPr>
              <w:pStyle w:val="27"/>
              <w:keepNext/>
              <w:keepLines w:val="0"/>
              <w:pageBreakBefore w:val="0"/>
              <w:widowControl w:val="0"/>
              <w:suppressLineNumbers w:val="0"/>
              <w:kinsoku/>
              <w:wordWrap/>
              <w:overflowPunct/>
              <w:topLinePunct w:val="0"/>
              <w:autoSpaceDE/>
              <w:autoSpaceDN/>
              <w:bidi w:val="0"/>
              <w:adjustRightInd/>
              <w:snapToGrid/>
              <w:spacing w:before="0" w:beforeAutospacing="0" w:after="0" w:afterAutospacing="0" w:line="360" w:lineRule="auto"/>
              <w:ind w:left="0" w:right="0" w:firstLine="0" w:firstLineChars="0"/>
              <w:jc w:val="center"/>
              <w:textAlignment w:val="auto"/>
              <w:rPr>
                <w:rFonts w:hint="eastAsia" w:ascii="Times New Roman" w:hAnsi="Times New Roman" w:eastAsia="宋体" w:cs="Times New Roman"/>
                <w:b/>
                <w:strike w:val="0"/>
                <w:color w:val="auto"/>
                <w:kern w:val="2"/>
                <w:sz w:val="24"/>
                <w:szCs w:val="24"/>
                <w:highlight w:val="none"/>
                <w:lang w:val="en-US" w:eastAsia="zh-CN" w:bidi="ar-SA"/>
              </w:rPr>
            </w:pPr>
            <w:r>
              <w:rPr>
                <w:rFonts w:hint="eastAsia" w:ascii="Times New Roman" w:hAnsi="Times New Roman" w:eastAsia="宋体" w:cs="Times New Roman"/>
                <w:b/>
                <w:strike w:val="0"/>
                <w:color w:val="auto"/>
                <w:kern w:val="2"/>
                <w:sz w:val="24"/>
                <w:szCs w:val="24"/>
                <w:highlight w:val="none"/>
                <w:lang w:val="en-US" w:eastAsia="zh-CN" w:bidi="ar-SA"/>
              </w:rPr>
              <w:t>表</w:t>
            </w:r>
            <w:r>
              <w:rPr>
                <w:rFonts w:hint="default" w:ascii="Times New Roman" w:hAnsi="Times New Roman" w:eastAsia="宋体" w:cs="Times New Roman"/>
                <w:b/>
                <w:strike w:val="0"/>
                <w:color w:val="auto"/>
                <w:kern w:val="2"/>
                <w:sz w:val="24"/>
                <w:szCs w:val="24"/>
                <w:highlight w:val="none"/>
                <w:lang w:val="en-US" w:eastAsia="zh-CN" w:bidi="ar-SA"/>
              </w:rPr>
              <w:t>7-</w:t>
            </w:r>
            <w:r>
              <w:rPr>
                <w:rFonts w:hint="eastAsia" w:ascii="Times New Roman" w:hAnsi="Times New Roman" w:cs="Times New Roman"/>
                <w:b/>
                <w:strike w:val="0"/>
                <w:color w:val="auto"/>
                <w:kern w:val="2"/>
                <w:sz w:val="24"/>
                <w:szCs w:val="24"/>
                <w:highlight w:val="none"/>
                <w:lang w:val="en-US" w:eastAsia="zh-CN" w:bidi="ar-SA"/>
              </w:rPr>
              <w:t>30</w:t>
            </w:r>
            <w:r>
              <w:rPr>
                <w:rFonts w:hint="eastAsia" w:ascii="Times New Roman" w:hAnsi="Times New Roman" w:eastAsia="宋体" w:cs="Times New Roman"/>
                <w:b/>
                <w:strike w:val="0"/>
                <w:color w:val="auto"/>
                <w:kern w:val="2"/>
                <w:sz w:val="24"/>
                <w:szCs w:val="24"/>
                <w:highlight w:val="none"/>
                <w:lang w:val="en-US" w:eastAsia="zh-CN" w:bidi="ar-SA"/>
              </w:rPr>
              <w:t xml:space="preserve"> 废气监测要求</w:t>
            </w:r>
          </w:p>
          <w:tbl>
            <w:tblPr>
              <w:tblStyle w:val="32"/>
              <w:tblW w:w="8205"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28" w:type="dxa"/>
                <w:bottom w:w="0" w:type="dxa"/>
                <w:right w:w="28" w:type="dxa"/>
              </w:tblCellMar>
            </w:tblPr>
            <w:tblGrid>
              <w:gridCol w:w="622"/>
              <w:gridCol w:w="2055"/>
              <w:gridCol w:w="1882"/>
              <w:gridCol w:w="914"/>
              <w:gridCol w:w="2732"/>
            </w:tblGrid>
            <w:tr w14:paraId="3168D36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c>
                <w:tcPr>
                  <w:tcW w:w="2677" w:type="dxa"/>
                  <w:gridSpan w:val="2"/>
                  <w:noWrap w:val="0"/>
                  <w:vAlign w:val="center"/>
                </w:tcPr>
                <w:p w14:paraId="65D88EF4">
                  <w:pPr>
                    <w:keepNext w:val="0"/>
                    <w:keepLines w:val="0"/>
                    <w:widowControl/>
                    <w:suppressLineNumbers w:val="0"/>
                    <w:adjustRightInd w:val="0"/>
                    <w:snapToGrid w:val="0"/>
                    <w:spacing w:before="0" w:beforeAutospacing="0" w:after="0" w:afterAutospacing="0" w:line="288" w:lineRule="auto"/>
                    <w:ind w:left="0" w:right="0"/>
                    <w:jc w:val="center"/>
                    <w:rPr>
                      <w:rFonts w:hint="eastAsia"/>
                      <w:sz w:val="18"/>
                      <w:szCs w:val="18"/>
                      <w:highlight w:val="none"/>
                    </w:rPr>
                  </w:pPr>
                  <w:r>
                    <w:rPr>
                      <w:rFonts w:hint="eastAsia"/>
                      <w:sz w:val="18"/>
                      <w:szCs w:val="18"/>
                      <w:highlight w:val="none"/>
                    </w:rPr>
                    <w:t>监测点位</w:t>
                  </w:r>
                </w:p>
              </w:tc>
              <w:tc>
                <w:tcPr>
                  <w:tcW w:w="1882" w:type="dxa"/>
                  <w:noWrap w:val="0"/>
                  <w:vAlign w:val="center"/>
                </w:tcPr>
                <w:p w14:paraId="2C410C1D">
                  <w:pPr>
                    <w:keepNext w:val="0"/>
                    <w:keepLines w:val="0"/>
                    <w:widowControl/>
                    <w:suppressLineNumbers w:val="0"/>
                    <w:adjustRightInd w:val="0"/>
                    <w:snapToGrid w:val="0"/>
                    <w:spacing w:before="0" w:beforeAutospacing="0" w:after="0" w:afterAutospacing="0" w:line="288" w:lineRule="auto"/>
                    <w:ind w:left="0" w:right="0"/>
                    <w:jc w:val="center"/>
                    <w:rPr>
                      <w:rFonts w:hint="eastAsia"/>
                      <w:sz w:val="18"/>
                      <w:szCs w:val="18"/>
                      <w:highlight w:val="none"/>
                    </w:rPr>
                  </w:pPr>
                  <w:r>
                    <w:rPr>
                      <w:rFonts w:hint="eastAsia"/>
                      <w:sz w:val="18"/>
                      <w:szCs w:val="18"/>
                      <w:highlight w:val="none"/>
                    </w:rPr>
                    <w:t>监测因子</w:t>
                  </w:r>
                </w:p>
              </w:tc>
              <w:tc>
                <w:tcPr>
                  <w:tcW w:w="914" w:type="dxa"/>
                  <w:noWrap w:val="0"/>
                  <w:vAlign w:val="center"/>
                </w:tcPr>
                <w:p w14:paraId="00E27463">
                  <w:pPr>
                    <w:keepNext w:val="0"/>
                    <w:keepLines w:val="0"/>
                    <w:widowControl/>
                    <w:suppressLineNumbers w:val="0"/>
                    <w:adjustRightInd w:val="0"/>
                    <w:snapToGrid w:val="0"/>
                    <w:spacing w:before="0" w:beforeAutospacing="0" w:after="0" w:afterAutospacing="0" w:line="288" w:lineRule="auto"/>
                    <w:ind w:left="0" w:right="0"/>
                    <w:jc w:val="center"/>
                    <w:rPr>
                      <w:rFonts w:hint="eastAsia"/>
                      <w:sz w:val="18"/>
                      <w:szCs w:val="18"/>
                      <w:highlight w:val="none"/>
                    </w:rPr>
                  </w:pPr>
                  <w:r>
                    <w:rPr>
                      <w:rFonts w:hint="eastAsia"/>
                      <w:sz w:val="18"/>
                      <w:szCs w:val="18"/>
                      <w:highlight w:val="none"/>
                    </w:rPr>
                    <w:t>监测频次</w:t>
                  </w:r>
                </w:p>
              </w:tc>
              <w:tc>
                <w:tcPr>
                  <w:tcW w:w="2732" w:type="dxa"/>
                  <w:noWrap w:val="0"/>
                  <w:vAlign w:val="center"/>
                </w:tcPr>
                <w:p w14:paraId="68362228">
                  <w:pPr>
                    <w:keepNext w:val="0"/>
                    <w:keepLines w:val="0"/>
                    <w:widowControl/>
                    <w:suppressLineNumbers w:val="0"/>
                    <w:adjustRightInd w:val="0"/>
                    <w:snapToGrid w:val="0"/>
                    <w:spacing w:before="0" w:beforeAutospacing="0" w:after="0" w:afterAutospacing="0" w:line="288" w:lineRule="auto"/>
                    <w:ind w:left="0" w:right="0"/>
                    <w:jc w:val="center"/>
                    <w:rPr>
                      <w:rFonts w:hint="eastAsia"/>
                      <w:sz w:val="18"/>
                      <w:szCs w:val="18"/>
                      <w:highlight w:val="none"/>
                    </w:rPr>
                  </w:pPr>
                  <w:r>
                    <w:rPr>
                      <w:rFonts w:hint="eastAsia" w:ascii="Times New Roman" w:hAnsi="Times New Roman" w:eastAsia="宋体" w:cs="Times New Roman"/>
                      <w:color w:val="auto"/>
                      <w:sz w:val="18"/>
                      <w:szCs w:val="18"/>
                      <w:highlight w:val="none"/>
                      <w:lang w:val="en-US" w:eastAsia="zh-CN"/>
                    </w:rPr>
                    <w:t>执行排放标准</w:t>
                  </w:r>
                </w:p>
              </w:tc>
            </w:tr>
            <w:tr w14:paraId="153EBD4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386" w:hRule="atLeast"/>
              </w:trPr>
              <w:tc>
                <w:tcPr>
                  <w:tcW w:w="622" w:type="dxa"/>
                  <w:vMerge w:val="restart"/>
                  <w:noWrap w:val="0"/>
                  <w:vAlign w:val="center"/>
                </w:tcPr>
                <w:p w14:paraId="7011FC41">
                  <w:pPr>
                    <w:keepNext w:val="0"/>
                    <w:keepLines w:val="0"/>
                    <w:widowControl/>
                    <w:suppressLineNumbers w:val="0"/>
                    <w:adjustRightInd w:val="0"/>
                    <w:snapToGrid w:val="0"/>
                    <w:spacing w:before="0" w:beforeAutospacing="0" w:after="0" w:afterAutospacing="0" w:line="288" w:lineRule="auto"/>
                    <w:ind w:left="0" w:right="0"/>
                    <w:jc w:val="center"/>
                    <w:rPr>
                      <w:rFonts w:hint="default" w:eastAsia="宋体"/>
                      <w:sz w:val="18"/>
                      <w:szCs w:val="18"/>
                      <w:highlight w:val="none"/>
                      <w:lang w:val="en-US" w:eastAsia="zh-CN"/>
                    </w:rPr>
                  </w:pPr>
                  <w:r>
                    <w:rPr>
                      <w:rFonts w:hint="eastAsia" w:eastAsia="宋体"/>
                      <w:sz w:val="18"/>
                      <w:szCs w:val="18"/>
                      <w:highlight w:val="none"/>
                      <w:lang w:val="en-US" w:eastAsia="zh-CN"/>
                    </w:rPr>
                    <w:t>有组织</w:t>
                  </w:r>
                </w:p>
              </w:tc>
              <w:tc>
                <w:tcPr>
                  <w:tcW w:w="2055" w:type="dxa"/>
                  <w:vMerge w:val="restart"/>
                  <w:shd w:val="clear" w:color="auto" w:fill="auto"/>
                  <w:noWrap w:val="0"/>
                  <w:vAlign w:val="center"/>
                </w:tcPr>
                <w:p w14:paraId="34919564">
                  <w:pPr>
                    <w:keepNext w:val="0"/>
                    <w:keepLines w:val="0"/>
                    <w:widowControl/>
                    <w:suppressLineNumbers w:val="0"/>
                    <w:adjustRightInd w:val="0"/>
                    <w:snapToGrid w:val="0"/>
                    <w:spacing w:before="0" w:beforeAutospacing="0" w:after="0" w:afterAutospacing="0" w:line="288" w:lineRule="auto"/>
                    <w:ind w:left="0" w:right="0"/>
                    <w:jc w:val="center"/>
                    <w:rPr>
                      <w:rFonts w:hint="eastAsia" w:ascii="Times New Roman" w:hAnsi="Times New Roman" w:eastAsia="宋体" w:cs="Times New Roman"/>
                      <w:kern w:val="2"/>
                      <w:sz w:val="18"/>
                      <w:szCs w:val="18"/>
                      <w:highlight w:val="none"/>
                      <w:lang w:val="en-US" w:eastAsia="zh-CN" w:bidi="ar-SA"/>
                    </w:rPr>
                  </w:pPr>
                  <w:r>
                    <w:rPr>
                      <w:rFonts w:hint="eastAsia"/>
                      <w:sz w:val="18"/>
                      <w:szCs w:val="18"/>
                      <w:highlight w:val="none"/>
                    </w:rPr>
                    <w:t>排气筒</w:t>
                  </w:r>
                  <w:r>
                    <w:rPr>
                      <w:rFonts w:hint="default"/>
                      <w:sz w:val="18"/>
                      <w:szCs w:val="18"/>
                      <w:highlight w:val="none"/>
                    </w:rPr>
                    <w:t>DA001</w:t>
                  </w:r>
                  <w:r>
                    <w:rPr>
                      <w:rFonts w:hint="eastAsia"/>
                      <w:sz w:val="18"/>
                      <w:szCs w:val="18"/>
                      <w:highlight w:val="none"/>
                      <w:lang w:val="en-US" w:eastAsia="zh-CN"/>
                    </w:rPr>
                    <w:t>~DA005</w:t>
                  </w:r>
                </w:p>
              </w:tc>
              <w:tc>
                <w:tcPr>
                  <w:tcW w:w="1882" w:type="dxa"/>
                  <w:noWrap w:val="0"/>
                  <w:vAlign w:val="center"/>
                </w:tcPr>
                <w:p w14:paraId="5E1E94E9">
                  <w:pPr>
                    <w:keepNext w:val="0"/>
                    <w:keepLines w:val="0"/>
                    <w:widowControl/>
                    <w:suppressLineNumbers w:val="0"/>
                    <w:adjustRightInd w:val="0"/>
                    <w:snapToGrid w:val="0"/>
                    <w:spacing w:before="0" w:beforeAutospacing="0" w:after="0" w:afterAutospacing="0" w:line="288" w:lineRule="auto"/>
                    <w:ind w:left="0" w:right="0"/>
                    <w:jc w:val="center"/>
                    <w:rPr>
                      <w:rFonts w:hint="default"/>
                      <w:sz w:val="18"/>
                      <w:szCs w:val="18"/>
                      <w:highlight w:val="none"/>
                    </w:rPr>
                  </w:pPr>
                  <w:r>
                    <w:rPr>
                      <w:rFonts w:hint="eastAsia"/>
                      <w:sz w:val="18"/>
                      <w:szCs w:val="18"/>
                      <w:highlight w:val="none"/>
                    </w:rPr>
                    <w:t>氨、硫化氢、臭气浓度</w:t>
                  </w:r>
                </w:p>
              </w:tc>
              <w:tc>
                <w:tcPr>
                  <w:tcW w:w="914" w:type="dxa"/>
                  <w:noWrap w:val="0"/>
                  <w:vAlign w:val="center"/>
                </w:tcPr>
                <w:p w14:paraId="155B2B18">
                  <w:pPr>
                    <w:keepNext w:val="0"/>
                    <w:keepLines w:val="0"/>
                    <w:widowControl/>
                    <w:suppressLineNumbers w:val="0"/>
                    <w:adjustRightInd w:val="0"/>
                    <w:snapToGrid w:val="0"/>
                    <w:spacing w:before="0" w:beforeAutospacing="0" w:after="0" w:afterAutospacing="0" w:line="288" w:lineRule="auto"/>
                    <w:ind w:left="0" w:right="0"/>
                    <w:jc w:val="center"/>
                    <w:rPr>
                      <w:rFonts w:hint="eastAsia" w:eastAsia="宋体"/>
                      <w:sz w:val="18"/>
                      <w:szCs w:val="18"/>
                      <w:highlight w:val="none"/>
                      <w:lang w:val="en-US" w:eastAsia="zh-CN"/>
                    </w:rPr>
                  </w:pPr>
                  <w:r>
                    <w:rPr>
                      <w:rFonts w:hint="eastAsia"/>
                      <w:sz w:val="18"/>
                      <w:szCs w:val="18"/>
                      <w:highlight w:val="none"/>
                    </w:rPr>
                    <w:t>1次/</w:t>
                  </w:r>
                  <w:r>
                    <w:rPr>
                      <w:rFonts w:hint="eastAsia"/>
                      <w:sz w:val="18"/>
                      <w:szCs w:val="18"/>
                      <w:highlight w:val="none"/>
                      <w:lang w:val="en-US" w:eastAsia="zh-CN"/>
                    </w:rPr>
                    <w:t>年</w:t>
                  </w:r>
                </w:p>
              </w:tc>
              <w:tc>
                <w:tcPr>
                  <w:tcW w:w="2732" w:type="dxa"/>
                  <w:noWrap w:val="0"/>
                  <w:vAlign w:val="center"/>
                </w:tcPr>
                <w:p w14:paraId="7CDB3297">
                  <w:pPr>
                    <w:keepNext w:val="0"/>
                    <w:keepLines w:val="0"/>
                    <w:widowControl/>
                    <w:suppressLineNumbers w:val="0"/>
                    <w:adjustRightInd w:val="0"/>
                    <w:snapToGrid w:val="0"/>
                    <w:spacing w:before="0" w:beforeAutospacing="0" w:after="0" w:afterAutospacing="0" w:line="288" w:lineRule="auto"/>
                    <w:ind w:left="0" w:right="0"/>
                    <w:jc w:val="center"/>
                    <w:rPr>
                      <w:rFonts w:hint="eastAsia"/>
                      <w:sz w:val="18"/>
                      <w:szCs w:val="18"/>
                      <w:highlight w:val="none"/>
                    </w:rPr>
                  </w:pPr>
                  <w:r>
                    <w:rPr>
                      <w:rFonts w:hint="eastAsia"/>
                      <w:bCs/>
                      <w:sz w:val="18"/>
                      <w:szCs w:val="18"/>
                      <w:highlight w:val="none"/>
                    </w:rPr>
                    <w:t>《恶臭污染物排放标准》（GB14554-93）表2</w:t>
                  </w:r>
                </w:p>
              </w:tc>
            </w:tr>
            <w:tr w14:paraId="763EF8E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386" w:hRule="atLeast"/>
              </w:trPr>
              <w:tc>
                <w:tcPr>
                  <w:tcW w:w="622" w:type="dxa"/>
                  <w:vMerge w:val="continue"/>
                  <w:noWrap w:val="0"/>
                  <w:vAlign w:val="center"/>
                </w:tcPr>
                <w:p w14:paraId="4F2626FA">
                  <w:pPr>
                    <w:keepNext w:val="0"/>
                    <w:keepLines w:val="0"/>
                    <w:widowControl/>
                    <w:suppressLineNumbers w:val="0"/>
                    <w:adjustRightInd w:val="0"/>
                    <w:snapToGrid w:val="0"/>
                    <w:spacing w:before="0" w:beforeAutospacing="0" w:after="0" w:afterAutospacing="0" w:line="288" w:lineRule="auto"/>
                    <w:ind w:left="0" w:right="0"/>
                    <w:jc w:val="center"/>
                    <w:rPr>
                      <w:rFonts w:hint="eastAsia" w:eastAsia="宋体"/>
                      <w:sz w:val="18"/>
                      <w:szCs w:val="18"/>
                      <w:highlight w:val="none"/>
                      <w:lang w:val="en-US" w:eastAsia="zh-CN"/>
                    </w:rPr>
                  </w:pPr>
                </w:p>
              </w:tc>
              <w:tc>
                <w:tcPr>
                  <w:tcW w:w="2055" w:type="dxa"/>
                  <w:vMerge w:val="continue"/>
                  <w:shd w:val="clear" w:color="auto" w:fill="auto"/>
                  <w:noWrap w:val="0"/>
                  <w:vAlign w:val="center"/>
                </w:tcPr>
                <w:p w14:paraId="5B208206">
                  <w:pPr>
                    <w:keepNext w:val="0"/>
                    <w:keepLines w:val="0"/>
                    <w:widowControl/>
                    <w:suppressLineNumbers w:val="0"/>
                    <w:adjustRightInd w:val="0"/>
                    <w:snapToGrid w:val="0"/>
                    <w:spacing w:before="0" w:beforeAutospacing="0" w:after="0" w:afterAutospacing="0" w:line="288" w:lineRule="auto"/>
                    <w:ind w:left="0" w:right="0"/>
                    <w:jc w:val="center"/>
                    <w:rPr>
                      <w:rFonts w:hint="eastAsia"/>
                      <w:sz w:val="18"/>
                      <w:szCs w:val="18"/>
                      <w:highlight w:val="none"/>
                    </w:rPr>
                  </w:pPr>
                </w:p>
              </w:tc>
              <w:tc>
                <w:tcPr>
                  <w:tcW w:w="1882" w:type="dxa"/>
                  <w:noWrap w:val="0"/>
                  <w:vAlign w:val="center"/>
                </w:tcPr>
                <w:p w14:paraId="0CF33021">
                  <w:pPr>
                    <w:keepNext w:val="0"/>
                    <w:keepLines w:val="0"/>
                    <w:widowControl/>
                    <w:suppressLineNumbers w:val="0"/>
                    <w:adjustRightInd w:val="0"/>
                    <w:snapToGrid w:val="0"/>
                    <w:spacing w:before="0" w:beforeAutospacing="0" w:after="0" w:afterAutospacing="0" w:line="288" w:lineRule="auto"/>
                    <w:ind w:left="0" w:right="0"/>
                    <w:jc w:val="center"/>
                    <w:rPr>
                      <w:rFonts w:hint="eastAsia" w:eastAsia="宋体"/>
                      <w:sz w:val="18"/>
                      <w:szCs w:val="18"/>
                      <w:highlight w:val="none"/>
                      <w:lang w:val="en-US" w:eastAsia="zh-CN"/>
                    </w:rPr>
                  </w:pPr>
                  <w:r>
                    <w:rPr>
                      <w:rFonts w:hint="eastAsia"/>
                      <w:sz w:val="18"/>
                      <w:szCs w:val="18"/>
                      <w:highlight w:val="none"/>
                      <w:lang w:val="en-US" w:eastAsia="zh-CN"/>
                    </w:rPr>
                    <w:t>颗粒物</w:t>
                  </w:r>
                </w:p>
              </w:tc>
              <w:tc>
                <w:tcPr>
                  <w:tcW w:w="914" w:type="dxa"/>
                  <w:noWrap w:val="0"/>
                  <w:vAlign w:val="center"/>
                </w:tcPr>
                <w:p w14:paraId="502450F9">
                  <w:pPr>
                    <w:keepNext w:val="0"/>
                    <w:keepLines w:val="0"/>
                    <w:widowControl/>
                    <w:suppressLineNumbers w:val="0"/>
                    <w:adjustRightInd w:val="0"/>
                    <w:snapToGrid w:val="0"/>
                    <w:spacing w:before="0" w:beforeAutospacing="0" w:after="0" w:afterAutospacing="0" w:line="288" w:lineRule="auto"/>
                    <w:ind w:left="0" w:right="0"/>
                    <w:jc w:val="center"/>
                    <w:rPr>
                      <w:rFonts w:hint="eastAsia"/>
                      <w:sz w:val="18"/>
                      <w:szCs w:val="18"/>
                      <w:highlight w:val="none"/>
                    </w:rPr>
                  </w:pPr>
                  <w:r>
                    <w:rPr>
                      <w:rFonts w:hint="eastAsia"/>
                      <w:sz w:val="18"/>
                      <w:szCs w:val="18"/>
                      <w:highlight w:val="none"/>
                    </w:rPr>
                    <w:t>1次/</w:t>
                  </w:r>
                  <w:r>
                    <w:rPr>
                      <w:rFonts w:hint="eastAsia"/>
                      <w:sz w:val="18"/>
                      <w:szCs w:val="18"/>
                      <w:highlight w:val="none"/>
                      <w:lang w:val="en-US" w:eastAsia="zh-CN"/>
                    </w:rPr>
                    <w:t>年</w:t>
                  </w:r>
                </w:p>
              </w:tc>
              <w:tc>
                <w:tcPr>
                  <w:tcW w:w="2732" w:type="dxa"/>
                  <w:vMerge w:val="restart"/>
                  <w:noWrap w:val="0"/>
                  <w:vAlign w:val="center"/>
                </w:tcPr>
                <w:p w14:paraId="292F224C">
                  <w:pPr>
                    <w:keepNext w:val="0"/>
                    <w:keepLines w:val="0"/>
                    <w:widowControl/>
                    <w:suppressLineNumbers w:val="0"/>
                    <w:adjustRightInd w:val="0"/>
                    <w:snapToGrid w:val="0"/>
                    <w:spacing w:before="0" w:beforeAutospacing="0" w:after="0" w:afterAutospacing="0" w:line="288" w:lineRule="auto"/>
                    <w:ind w:left="0" w:right="0"/>
                    <w:jc w:val="center"/>
                    <w:rPr>
                      <w:rFonts w:hint="eastAsia"/>
                      <w:sz w:val="18"/>
                      <w:szCs w:val="18"/>
                      <w:highlight w:val="none"/>
                    </w:rPr>
                  </w:pPr>
                  <w:r>
                    <w:rPr>
                      <w:rFonts w:hint="eastAsia"/>
                      <w:bCs/>
                      <w:sz w:val="18"/>
                      <w:szCs w:val="18"/>
                      <w:highlight w:val="none"/>
                    </w:rPr>
                    <w:t>《大气污染物综合排放标准》（GB16297-1996）中表2</w:t>
                  </w:r>
                </w:p>
              </w:tc>
            </w:tr>
            <w:tr w14:paraId="7071E85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90" w:hRule="atLeast"/>
              </w:trPr>
              <w:tc>
                <w:tcPr>
                  <w:tcW w:w="622" w:type="dxa"/>
                  <w:vMerge w:val="continue"/>
                  <w:noWrap w:val="0"/>
                  <w:vAlign w:val="center"/>
                </w:tcPr>
                <w:p w14:paraId="393348C2">
                  <w:pPr>
                    <w:keepNext w:val="0"/>
                    <w:keepLines w:val="0"/>
                    <w:widowControl/>
                    <w:suppressLineNumbers w:val="0"/>
                    <w:adjustRightInd w:val="0"/>
                    <w:snapToGrid w:val="0"/>
                    <w:spacing w:before="0" w:beforeAutospacing="0" w:after="0" w:afterAutospacing="0" w:line="288" w:lineRule="auto"/>
                    <w:ind w:left="0" w:right="0"/>
                    <w:jc w:val="center"/>
                    <w:rPr>
                      <w:rFonts w:hint="eastAsia"/>
                      <w:sz w:val="18"/>
                      <w:szCs w:val="18"/>
                      <w:highlight w:val="none"/>
                    </w:rPr>
                  </w:pPr>
                </w:p>
              </w:tc>
              <w:tc>
                <w:tcPr>
                  <w:tcW w:w="2055" w:type="dxa"/>
                  <w:shd w:val="clear" w:color="auto" w:fill="auto"/>
                  <w:noWrap w:val="0"/>
                  <w:vAlign w:val="center"/>
                </w:tcPr>
                <w:p w14:paraId="1EC6B619">
                  <w:pPr>
                    <w:keepNext w:val="0"/>
                    <w:keepLines w:val="0"/>
                    <w:widowControl/>
                    <w:suppressLineNumbers w:val="0"/>
                    <w:adjustRightInd w:val="0"/>
                    <w:snapToGrid w:val="0"/>
                    <w:spacing w:before="0" w:beforeAutospacing="0" w:after="0" w:afterAutospacing="0" w:line="288" w:lineRule="auto"/>
                    <w:ind w:left="0" w:right="0"/>
                    <w:jc w:val="center"/>
                    <w:rPr>
                      <w:rFonts w:hint="eastAsia" w:ascii="Times New Roman" w:hAnsi="Times New Roman" w:eastAsia="宋体" w:cs="Times New Roman"/>
                      <w:kern w:val="2"/>
                      <w:sz w:val="18"/>
                      <w:szCs w:val="18"/>
                      <w:highlight w:val="none"/>
                      <w:lang w:val="en-US" w:eastAsia="zh-CN" w:bidi="ar-SA"/>
                    </w:rPr>
                  </w:pPr>
                  <w:r>
                    <w:rPr>
                      <w:rFonts w:hint="eastAsia"/>
                      <w:sz w:val="18"/>
                      <w:szCs w:val="18"/>
                      <w:highlight w:val="none"/>
                    </w:rPr>
                    <w:t>排气筒</w:t>
                  </w:r>
                  <w:r>
                    <w:rPr>
                      <w:rFonts w:hint="default"/>
                      <w:sz w:val="18"/>
                      <w:szCs w:val="18"/>
                      <w:highlight w:val="none"/>
                    </w:rPr>
                    <w:t>DA00</w:t>
                  </w:r>
                  <w:r>
                    <w:rPr>
                      <w:rFonts w:hint="eastAsia"/>
                      <w:sz w:val="18"/>
                      <w:szCs w:val="18"/>
                      <w:highlight w:val="none"/>
                      <w:lang w:val="en-US" w:eastAsia="zh-CN"/>
                    </w:rPr>
                    <w:t>6</w:t>
                  </w:r>
                </w:p>
              </w:tc>
              <w:tc>
                <w:tcPr>
                  <w:tcW w:w="1882" w:type="dxa"/>
                  <w:noWrap w:val="0"/>
                  <w:vAlign w:val="center"/>
                </w:tcPr>
                <w:p w14:paraId="3C5BED6E">
                  <w:pPr>
                    <w:keepNext w:val="0"/>
                    <w:keepLines w:val="0"/>
                    <w:widowControl/>
                    <w:suppressLineNumbers w:val="0"/>
                    <w:adjustRightInd w:val="0"/>
                    <w:snapToGrid w:val="0"/>
                    <w:spacing w:before="0" w:beforeAutospacing="0" w:after="0" w:afterAutospacing="0" w:line="288" w:lineRule="auto"/>
                    <w:ind w:left="0" w:right="0"/>
                    <w:jc w:val="center"/>
                    <w:rPr>
                      <w:rFonts w:hint="eastAsia"/>
                      <w:sz w:val="18"/>
                      <w:szCs w:val="18"/>
                      <w:highlight w:val="none"/>
                    </w:rPr>
                  </w:pPr>
                  <w:r>
                    <w:rPr>
                      <w:rFonts w:hint="eastAsia"/>
                      <w:sz w:val="18"/>
                      <w:szCs w:val="18"/>
                      <w:highlight w:val="none"/>
                      <w:lang w:val="en-US" w:eastAsia="zh-CN"/>
                    </w:rPr>
                    <w:t>非甲烷总烃、</w:t>
                  </w:r>
                  <w:r>
                    <w:rPr>
                      <w:rFonts w:hint="eastAsia"/>
                      <w:sz w:val="18"/>
                      <w:szCs w:val="18"/>
                      <w:highlight w:val="none"/>
                    </w:rPr>
                    <w:t>氯气</w:t>
                  </w:r>
                </w:p>
              </w:tc>
              <w:tc>
                <w:tcPr>
                  <w:tcW w:w="914" w:type="dxa"/>
                  <w:noWrap w:val="0"/>
                  <w:vAlign w:val="center"/>
                </w:tcPr>
                <w:p w14:paraId="3D249CE4">
                  <w:pPr>
                    <w:keepNext w:val="0"/>
                    <w:keepLines w:val="0"/>
                    <w:widowControl/>
                    <w:suppressLineNumbers w:val="0"/>
                    <w:adjustRightInd w:val="0"/>
                    <w:snapToGrid w:val="0"/>
                    <w:spacing w:before="0" w:beforeAutospacing="0" w:after="0" w:afterAutospacing="0" w:line="288" w:lineRule="auto"/>
                    <w:ind w:left="0" w:right="0"/>
                    <w:jc w:val="center"/>
                    <w:rPr>
                      <w:rFonts w:hint="eastAsia"/>
                      <w:sz w:val="18"/>
                      <w:szCs w:val="18"/>
                      <w:highlight w:val="none"/>
                    </w:rPr>
                  </w:pPr>
                  <w:r>
                    <w:rPr>
                      <w:rFonts w:hint="eastAsia"/>
                      <w:sz w:val="18"/>
                      <w:szCs w:val="18"/>
                      <w:highlight w:val="none"/>
                    </w:rPr>
                    <w:t>1次/</w:t>
                  </w:r>
                  <w:r>
                    <w:rPr>
                      <w:rFonts w:hint="eastAsia"/>
                      <w:sz w:val="18"/>
                      <w:szCs w:val="18"/>
                      <w:highlight w:val="none"/>
                      <w:lang w:val="en-US" w:eastAsia="zh-CN"/>
                    </w:rPr>
                    <w:t>年</w:t>
                  </w:r>
                </w:p>
              </w:tc>
              <w:tc>
                <w:tcPr>
                  <w:tcW w:w="2732" w:type="dxa"/>
                  <w:vMerge w:val="continue"/>
                  <w:noWrap w:val="0"/>
                  <w:vAlign w:val="center"/>
                </w:tcPr>
                <w:p w14:paraId="2B0FDCE4">
                  <w:pPr>
                    <w:keepNext w:val="0"/>
                    <w:keepLines w:val="0"/>
                    <w:widowControl/>
                    <w:suppressLineNumbers w:val="0"/>
                    <w:adjustRightInd w:val="0"/>
                    <w:snapToGrid w:val="0"/>
                    <w:spacing w:before="0" w:beforeAutospacing="0" w:after="0" w:afterAutospacing="0" w:line="288" w:lineRule="auto"/>
                    <w:ind w:left="0" w:right="0"/>
                    <w:jc w:val="center"/>
                    <w:rPr>
                      <w:rFonts w:hint="eastAsia"/>
                      <w:sz w:val="18"/>
                      <w:szCs w:val="18"/>
                      <w:highlight w:val="none"/>
                    </w:rPr>
                  </w:pPr>
                </w:p>
              </w:tc>
            </w:tr>
            <w:tr w14:paraId="48C61D9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c>
                <w:tcPr>
                  <w:tcW w:w="622" w:type="dxa"/>
                  <w:vMerge w:val="continue"/>
                  <w:noWrap w:val="0"/>
                  <w:vAlign w:val="center"/>
                </w:tcPr>
                <w:p w14:paraId="7CD92A1F">
                  <w:pPr>
                    <w:keepNext w:val="0"/>
                    <w:keepLines w:val="0"/>
                    <w:widowControl/>
                    <w:suppressLineNumbers w:val="0"/>
                    <w:adjustRightInd w:val="0"/>
                    <w:snapToGrid w:val="0"/>
                    <w:spacing w:before="0" w:beforeAutospacing="0" w:after="0" w:afterAutospacing="0" w:line="288" w:lineRule="auto"/>
                    <w:ind w:left="0" w:right="0"/>
                    <w:jc w:val="center"/>
                    <w:rPr>
                      <w:rFonts w:hint="eastAsia" w:eastAsia="宋体"/>
                      <w:sz w:val="18"/>
                      <w:szCs w:val="18"/>
                      <w:highlight w:val="none"/>
                      <w:lang w:val="en-US" w:eastAsia="zh-CN"/>
                    </w:rPr>
                  </w:pPr>
                </w:p>
              </w:tc>
              <w:tc>
                <w:tcPr>
                  <w:tcW w:w="2055" w:type="dxa"/>
                  <w:shd w:val="clear" w:color="auto" w:fill="auto"/>
                  <w:noWrap w:val="0"/>
                  <w:vAlign w:val="center"/>
                </w:tcPr>
                <w:p w14:paraId="42BAEAF0">
                  <w:pPr>
                    <w:keepNext w:val="0"/>
                    <w:keepLines w:val="0"/>
                    <w:widowControl/>
                    <w:suppressLineNumbers w:val="0"/>
                    <w:adjustRightInd w:val="0"/>
                    <w:snapToGrid w:val="0"/>
                    <w:spacing w:before="0" w:beforeAutospacing="0" w:after="0" w:afterAutospacing="0" w:line="288" w:lineRule="auto"/>
                    <w:ind w:left="0" w:right="0"/>
                    <w:jc w:val="center"/>
                    <w:rPr>
                      <w:rFonts w:hint="eastAsia" w:ascii="Times New Roman" w:hAnsi="Times New Roman" w:eastAsia="宋体" w:cs="Times New Roman"/>
                      <w:kern w:val="2"/>
                      <w:sz w:val="18"/>
                      <w:szCs w:val="18"/>
                      <w:highlight w:val="none"/>
                      <w:lang w:val="en-US" w:eastAsia="zh-CN" w:bidi="ar-SA"/>
                    </w:rPr>
                  </w:pPr>
                  <w:r>
                    <w:rPr>
                      <w:rFonts w:hint="eastAsia"/>
                      <w:sz w:val="18"/>
                      <w:szCs w:val="18"/>
                      <w:highlight w:val="none"/>
                    </w:rPr>
                    <w:t>排气筒</w:t>
                  </w:r>
                  <w:r>
                    <w:rPr>
                      <w:rFonts w:hint="default"/>
                      <w:sz w:val="18"/>
                      <w:szCs w:val="18"/>
                      <w:highlight w:val="none"/>
                    </w:rPr>
                    <w:t>DA00</w:t>
                  </w:r>
                  <w:r>
                    <w:rPr>
                      <w:rFonts w:hint="eastAsia"/>
                      <w:sz w:val="18"/>
                      <w:szCs w:val="18"/>
                      <w:highlight w:val="none"/>
                      <w:lang w:val="en-US" w:eastAsia="zh-CN"/>
                    </w:rPr>
                    <w:t>7、</w:t>
                  </w:r>
                  <w:r>
                    <w:rPr>
                      <w:rFonts w:hint="default"/>
                      <w:sz w:val="18"/>
                      <w:szCs w:val="18"/>
                      <w:highlight w:val="none"/>
                    </w:rPr>
                    <w:t>DA00</w:t>
                  </w:r>
                  <w:r>
                    <w:rPr>
                      <w:rFonts w:hint="eastAsia"/>
                      <w:sz w:val="18"/>
                      <w:szCs w:val="18"/>
                      <w:highlight w:val="none"/>
                      <w:lang w:val="en-US" w:eastAsia="zh-CN"/>
                    </w:rPr>
                    <w:t>9</w:t>
                  </w:r>
                </w:p>
              </w:tc>
              <w:tc>
                <w:tcPr>
                  <w:tcW w:w="1882" w:type="dxa"/>
                  <w:noWrap w:val="0"/>
                  <w:vAlign w:val="center"/>
                </w:tcPr>
                <w:p w14:paraId="4C638C5E">
                  <w:pPr>
                    <w:keepNext w:val="0"/>
                    <w:keepLines w:val="0"/>
                    <w:widowControl/>
                    <w:suppressLineNumbers w:val="0"/>
                    <w:adjustRightInd w:val="0"/>
                    <w:snapToGrid w:val="0"/>
                    <w:spacing w:before="0" w:beforeAutospacing="0" w:after="0" w:afterAutospacing="0" w:line="288" w:lineRule="auto"/>
                    <w:ind w:left="0" w:right="0"/>
                    <w:jc w:val="center"/>
                    <w:rPr>
                      <w:rFonts w:hint="default" w:eastAsia="宋体"/>
                      <w:sz w:val="18"/>
                      <w:szCs w:val="18"/>
                      <w:highlight w:val="none"/>
                      <w:lang w:val="en-US" w:eastAsia="zh-CN"/>
                    </w:rPr>
                  </w:pPr>
                  <w:r>
                    <w:rPr>
                      <w:rFonts w:hint="eastAsia"/>
                      <w:sz w:val="18"/>
                      <w:szCs w:val="18"/>
                      <w:highlight w:val="none"/>
                      <w:lang w:val="en-US" w:eastAsia="zh-CN"/>
                    </w:rPr>
                    <w:t>非甲烷总烃、</w:t>
                  </w:r>
                  <w:r>
                    <w:rPr>
                      <w:rFonts w:hint="eastAsia"/>
                      <w:sz w:val="18"/>
                      <w:szCs w:val="18"/>
                      <w:highlight w:val="none"/>
                    </w:rPr>
                    <w:t>氯气</w:t>
                  </w:r>
                  <w:r>
                    <w:rPr>
                      <w:rFonts w:hint="eastAsia"/>
                      <w:sz w:val="18"/>
                      <w:szCs w:val="18"/>
                      <w:highlight w:val="none"/>
                      <w:lang w:eastAsia="zh-CN"/>
                    </w:rPr>
                    <w:t>、</w:t>
                  </w:r>
                  <w:r>
                    <w:rPr>
                      <w:rFonts w:hint="eastAsia"/>
                      <w:sz w:val="18"/>
                      <w:szCs w:val="18"/>
                      <w:highlight w:val="none"/>
                      <w:lang w:val="en-US" w:eastAsia="zh-CN"/>
                    </w:rPr>
                    <w:t>甲醛</w:t>
                  </w:r>
                </w:p>
              </w:tc>
              <w:tc>
                <w:tcPr>
                  <w:tcW w:w="914" w:type="dxa"/>
                  <w:noWrap w:val="0"/>
                  <w:vAlign w:val="center"/>
                </w:tcPr>
                <w:p w14:paraId="3918549C">
                  <w:pPr>
                    <w:keepNext w:val="0"/>
                    <w:keepLines w:val="0"/>
                    <w:widowControl/>
                    <w:suppressLineNumbers w:val="0"/>
                    <w:adjustRightInd w:val="0"/>
                    <w:snapToGrid w:val="0"/>
                    <w:spacing w:before="0" w:beforeAutospacing="0" w:after="0" w:afterAutospacing="0" w:line="288" w:lineRule="auto"/>
                    <w:ind w:left="0" w:right="0"/>
                    <w:jc w:val="center"/>
                    <w:rPr>
                      <w:rFonts w:hint="eastAsia"/>
                      <w:sz w:val="18"/>
                      <w:szCs w:val="18"/>
                      <w:highlight w:val="none"/>
                    </w:rPr>
                  </w:pPr>
                  <w:r>
                    <w:rPr>
                      <w:rFonts w:hint="eastAsia"/>
                      <w:sz w:val="18"/>
                      <w:szCs w:val="18"/>
                      <w:highlight w:val="none"/>
                    </w:rPr>
                    <w:t>1次/</w:t>
                  </w:r>
                  <w:r>
                    <w:rPr>
                      <w:rFonts w:hint="eastAsia"/>
                      <w:sz w:val="18"/>
                      <w:szCs w:val="18"/>
                      <w:highlight w:val="none"/>
                      <w:lang w:val="en-US" w:eastAsia="zh-CN"/>
                    </w:rPr>
                    <w:t>年</w:t>
                  </w:r>
                </w:p>
              </w:tc>
              <w:tc>
                <w:tcPr>
                  <w:tcW w:w="2732" w:type="dxa"/>
                  <w:vMerge w:val="continue"/>
                  <w:noWrap w:val="0"/>
                  <w:vAlign w:val="center"/>
                </w:tcPr>
                <w:p w14:paraId="706F31ED">
                  <w:pPr>
                    <w:keepNext w:val="0"/>
                    <w:keepLines w:val="0"/>
                    <w:widowControl/>
                    <w:suppressLineNumbers w:val="0"/>
                    <w:adjustRightInd w:val="0"/>
                    <w:snapToGrid w:val="0"/>
                    <w:spacing w:before="0" w:beforeAutospacing="0" w:after="0" w:afterAutospacing="0" w:line="288" w:lineRule="auto"/>
                    <w:ind w:left="0" w:right="0"/>
                    <w:jc w:val="center"/>
                    <w:rPr>
                      <w:rFonts w:hint="eastAsia"/>
                      <w:sz w:val="18"/>
                      <w:szCs w:val="18"/>
                      <w:highlight w:val="none"/>
                    </w:rPr>
                  </w:pPr>
                </w:p>
              </w:tc>
            </w:tr>
            <w:tr w14:paraId="7E18A39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c>
                <w:tcPr>
                  <w:tcW w:w="622" w:type="dxa"/>
                  <w:vMerge w:val="continue"/>
                  <w:noWrap w:val="0"/>
                  <w:vAlign w:val="center"/>
                </w:tcPr>
                <w:p w14:paraId="686BEA91">
                  <w:pPr>
                    <w:keepNext w:val="0"/>
                    <w:keepLines w:val="0"/>
                    <w:widowControl/>
                    <w:suppressLineNumbers w:val="0"/>
                    <w:adjustRightInd w:val="0"/>
                    <w:snapToGrid w:val="0"/>
                    <w:spacing w:before="0" w:beforeAutospacing="0" w:after="0" w:afterAutospacing="0" w:line="288" w:lineRule="auto"/>
                    <w:ind w:left="0" w:right="0"/>
                    <w:jc w:val="center"/>
                    <w:rPr>
                      <w:rFonts w:hint="eastAsia" w:eastAsia="宋体"/>
                      <w:sz w:val="18"/>
                      <w:szCs w:val="18"/>
                      <w:highlight w:val="none"/>
                      <w:lang w:val="en-US" w:eastAsia="zh-CN"/>
                    </w:rPr>
                  </w:pPr>
                </w:p>
              </w:tc>
              <w:tc>
                <w:tcPr>
                  <w:tcW w:w="2055" w:type="dxa"/>
                  <w:shd w:val="clear" w:color="auto" w:fill="auto"/>
                  <w:noWrap w:val="0"/>
                  <w:vAlign w:val="center"/>
                </w:tcPr>
                <w:p w14:paraId="26A39966">
                  <w:pPr>
                    <w:keepNext w:val="0"/>
                    <w:keepLines w:val="0"/>
                    <w:widowControl/>
                    <w:suppressLineNumbers w:val="0"/>
                    <w:adjustRightInd w:val="0"/>
                    <w:snapToGrid w:val="0"/>
                    <w:spacing w:before="0" w:beforeAutospacing="0" w:after="0" w:afterAutospacing="0" w:line="288" w:lineRule="auto"/>
                    <w:ind w:left="0" w:right="0"/>
                    <w:jc w:val="center"/>
                    <w:rPr>
                      <w:rFonts w:hint="eastAsia" w:ascii="Times New Roman" w:hAnsi="Times New Roman" w:eastAsia="宋体" w:cs="Times New Roman"/>
                      <w:kern w:val="2"/>
                      <w:sz w:val="18"/>
                      <w:szCs w:val="18"/>
                      <w:highlight w:val="none"/>
                      <w:lang w:val="en-US" w:eastAsia="zh-CN" w:bidi="ar-SA"/>
                    </w:rPr>
                  </w:pPr>
                  <w:r>
                    <w:rPr>
                      <w:rFonts w:hint="eastAsia"/>
                      <w:sz w:val="18"/>
                      <w:szCs w:val="18"/>
                      <w:highlight w:val="none"/>
                    </w:rPr>
                    <w:t>排气筒</w:t>
                  </w:r>
                  <w:r>
                    <w:rPr>
                      <w:rFonts w:hint="default"/>
                      <w:sz w:val="18"/>
                      <w:szCs w:val="18"/>
                      <w:highlight w:val="none"/>
                    </w:rPr>
                    <w:t>DA00</w:t>
                  </w:r>
                  <w:r>
                    <w:rPr>
                      <w:rFonts w:hint="eastAsia"/>
                      <w:sz w:val="18"/>
                      <w:szCs w:val="18"/>
                      <w:highlight w:val="none"/>
                      <w:lang w:val="en-US" w:eastAsia="zh-CN"/>
                    </w:rPr>
                    <w:t>8</w:t>
                  </w:r>
                </w:p>
              </w:tc>
              <w:tc>
                <w:tcPr>
                  <w:tcW w:w="1882" w:type="dxa"/>
                  <w:noWrap w:val="0"/>
                  <w:vAlign w:val="center"/>
                </w:tcPr>
                <w:p w14:paraId="7B121AC7">
                  <w:pPr>
                    <w:keepNext w:val="0"/>
                    <w:keepLines w:val="0"/>
                    <w:widowControl/>
                    <w:suppressLineNumbers w:val="0"/>
                    <w:adjustRightInd w:val="0"/>
                    <w:snapToGrid w:val="0"/>
                    <w:spacing w:before="0" w:beforeAutospacing="0" w:after="0" w:afterAutospacing="0" w:line="288" w:lineRule="auto"/>
                    <w:ind w:left="0" w:right="0"/>
                    <w:jc w:val="center"/>
                    <w:rPr>
                      <w:rFonts w:hint="eastAsia"/>
                      <w:sz w:val="18"/>
                      <w:szCs w:val="18"/>
                      <w:highlight w:val="none"/>
                      <w:lang w:val="en-US" w:eastAsia="zh-CN"/>
                    </w:rPr>
                  </w:pPr>
                  <w:r>
                    <w:rPr>
                      <w:rFonts w:hint="eastAsia"/>
                      <w:sz w:val="18"/>
                      <w:szCs w:val="18"/>
                      <w:highlight w:val="none"/>
                      <w:lang w:val="en-US" w:eastAsia="zh-CN"/>
                    </w:rPr>
                    <w:t>非甲烷总烃、</w:t>
                  </w:r>
                  <w:r>
                    <w:rPr>
                      <w:rFonts w:hint="eastAsia"/>
                      <w:sz w:val="18"/>
                      <w:szCs w:val="18"/>
                      <w:highlight w:val="none"/>
                    </w:rPr>
                    <w:t>氯气</w:t>
                  </w:r>
                </w:p>
              </w:tc>
              <w:tc>
                <w:tcPr>
                  <w:tcW w:w="914" w:type="dxa"/>
                  <w:noWrap w:val="0"/>
                  <w:vAlign w:val="center"/>
                </w:tcPr>
                <w:p w14:paraId="28C66D91">
                  <w:pPr>
                    <w:keepNext w:val="0"/>
                    <w:keepLines w:val="0"/>
                    <w:widowControl/>
                    <w:suppressLineNumbers w:val="0"/>
                    <w:adjustRightInd w:val="0"/>
                    <w:snapToGrid w:val="0"/>
                    <w:spacing w:before="0" w:beforeAutospacing="0" w:after="0" w:afterAutospacing="0" w:line="288" w:lineRule="auto"/>
                    <w:ind w:left="0" w:right="0"/>
                    <w:jc w:val="center"/>
                    <w:rPr>
                      <w:rFonts w:hint="eastAsia"/>
                      <w:sz w:val="18"/>
                      <w:szCs w:val="18"/>
                      <w:highlight w:val="none"/>
                    </w:rPr>
                  </w:pPr>
                  <w:r>
                    <w:rPr>
                      <w:rFonts w:hint="eastAsia"/>
                      <w:sz w:val="18"/>
                      <w:szCs w:val="18"/>
                      <w:highlight w:val="none"/>
                    </w:rPr>
                    <w:t>1次/</w:t>
                  </w:r>
                  <w:r>
                    <w:rPr>
                      <w:rFonts w:hint="eastAsia"/>
                      <w:sz w:val="18"/>
                      <w:szCs w:val="18"/>
                      <w:highlight w:val="none"/>
                      <w:lang w:val="en-US" w:eastAsia="zh-CN"/>
                    </w:rPr>
                    <w:t>年</w:t>
                  </w:r>
                </w:p>
              </w:tc>
              <w:tc>
                <w:tcPr>
                  <w:tcW w:w="2732" w:type="dxa"/>
                  <w:vMerge w:val="continue"/>
                  <w:noWrap w:val="0"/>
                  <w:vAlign w:val="center"/>
                </w:tcPr>
                <w:p w14:paraId="0DC28086">
                  <w:pPr>
                    <w:keepNext w:val="0"/>
                    <w:keepLines w:val="0"/>
                    <w:widowControl/>
                    <w:suppressLineNumbers w:val="0"/>
                    <w:adjustRightInd w:val="0"/>
                    <w:snapToGrid w:val="0"/>
                    <w:spacing w:before="0" w:beforeAutospacing="0" w:after="0" w:afterAutospacing="0" w:line="288" w:lineRule="auto"/>
                    <w:ind w:left="0" w:right="0"/>
                    <w:jc w:val="center"/>
                    <w:rPr>
                      <w:rFonts w:hint="eastAsia"/>
                      <w:sz w:val="18"/>
                      <w:szCs w:val="18"/>
                      <w:highlight w:val="none"/>
                    </w:rPr>
                  </w:pPr>
                </w:p>
              </w:tc>
            </w:tr>
            <w:tr w14:paraId="235BA2A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555" w:hRule="atLeast"/>
              </w:trPr>
              <w:tc>
                <w:tcPr>
                  <w:tcW w:w="622" w:type="dxa"/>
                  <w:vMerge w:val="continue"/>
                  <w:noWrap w:val="0"/>
                  <w:vAlign w:val="center"/>
                </w:tcPr>
                <w:p w14:paraId="0885E7AE">
                  <w:pPr>
                    <w:keepNext w:val="0"/>
                    <w:keepLines w:val="0"/>
                    <w:widowControl/>
                    <w:suppressLineNumbers w:val="0"/>
                    <w:adjustRightInd w:val="0"/>
                    <w:snapToGrid w:val="0"/>
                    <w:spacing w:before="0" w:beforeAutospacing="0" w:after="0" w:afterAutospacing="0" w:line="288" w:lineRule="auto"/>
                    <w:ind w:left="0" w:right="0"/>
                    <w:jc w:val="center"/>
                    <w:rPr>
                      <w:rFonts w:hint="default"/>
                      <w:sz w:val="18"/>
                      <w:szCs w:val="18"/>
                      <w:highlight w:val="none"/>
                      <w:lang w:val="en-US"/>
                    </w:rPr>
                  </w:pPr>
                </w:p>
              </w:tc>
              <w:tc>
                <w:tcPr>
                  <w:tcW w:w="2055" w:type="dxa"/>
                  <w:vMerge w:val="restart"/>
                  <w:shd w:val="clear" w:color="auto" w:fill="auto"/>
                  <w:noWrap w:val="0"/>
                  <w:vAlign w:val="center"/>
                </w:tcPr>
                <w:p w14:paraId="20E4316A">
                  <w:pPr>
                    <w:keepNext w:val="0"/>
                    <w:keepLines w:val="0"/>
                    <w:widowControl/>
                    <w:suppressLineNumbers w:val="0"/>
                    <w:adjustRightInd w:val="0"/>
                    <w:snapToGrid w:val="0"/>
                    <w:spacing w:before="0" w:beforeAutospacing="0" w:after="0" w:afterAutospacing="0" w:line="288" w:lineRule="auto"/>
                    <w:ind w:left="0" w:right="0"/>
                    <w:jc w:val="center"/>
                    <w:rPr>
                      <w:rFonts w:hint="eastAsia" w:ascii="Times New Roman" w:hAnsi="Times New Roman" w:eastAsia="宋体" w:cs="Times New Roman"/>
                      <w:kern w:val="2"/>
                      <w:sz w:val="18"/>
                      <w:szCs w:val="18"/>
                      <w:highlight w:val="none"/>
                      <w:lang w:val="en-US" w:eastAsia="zh-CN" w:bidi="ar-SA"/>
                    </w:rPr>
                  </w:pPr>
                  <w:r>
                    <w:rPr>
                      <w:rFonts w:hint="eastAsia"/>
                      <w:sz w:val="18"/>
                      <w:szCs w:val="18"/>
                      <w:highlight w:val="none"/>
                    </w:rPr>
                    <w:t>排气筒</w:t>
                  </w:r>
                  <w:r>
                    <w:rPr>
                      <w:rFonts w:hint="eastAsia"/>
                      <w:sz w:val="18"/>
                      <w:szCs w:val="18"/>
                      <w:highlight w:val="none"/>
                      <w:lang w:val="en-US" w:eastAsia="zh-CN"/>
                    </w:rPr>
                    <w:t>DA010</w:t>
                  </w:r>
                </w:p>
              </w:tc>
              <w:tc>
                <w:tcPr>
                  <w:tcW w:w="1882" w:type="dxa"/>
                  <w:noWrap w:val="0"/>
                  <w:vAlign w:val="center"/>
                </w:tcPr>
                <w:p w14:paraId="1890FC3A">
                  <w:pPr>
                    <w:keepNext w:val="0"/>
                    <w:keepLines w:val="0"/>
                    <w:widowControl/>
                    <w:suppressLineNumbers w:val="0"/>
                    <w:adjustRightInd w:val="0"/>
                    <w:snapToGrid w:val="0"/>
                    <w:spacing w:before="0" w:beforeAutospacing="0" w:after="0" w:afterAutospacing="0" w:line="288" w:lineRule="auto"/>
                    <w:ind w:left="0" w:right="0"/>
                    <w:jc w:val="center"/>
                    <w:rPr>
                      <w:rFonts w:hint="eastAsia"/>
                      <w:sz w:val="18"/>
                      <w:szCs w:val="18"/>
                      <w:highlight w:val="none"/>
                    </w:rPr>
                  </w:pPr>
                  <w:r>
                    <w:rPr>
                      <w:rFonts w:hint="eastAsia"/>
                      <w:sz w:val="18"/>
                      <w:szCs w:val="18"/>
                      <w:highlight w:val="none"/>
                      <w:lang w:val="en-US" w:eastAsia="zh-CN"/>
                    </w:rPr>
                    <w:t>甲醛</w:t>
                  </w:r>
                </w:p>
              </w:tc>
              <w:tc>
                <w:tcPr>
                  <w:tcW w:w="914" w:type="dxa"/>
                  <w:noWrap w:val="0"/>
                  <w:vAlign w:val="center"/>
                </w:tcPr>
                <w:p w14:paraId="691619E8">
                  <w:pPr>
                    <w:keepNext w:val="0"/>
                    <w:keepLines w:val="0"/>
                    <w:widowControl/>
                    <w:suppressLineNumbers w:val="0"/>
                    <w:adjustRightInd w:val="0"/>
                    <w:snapToGrid w:val="0"/>
                    <w:spacing w:before="0" w:beforeAutospacing="0" w:after="0" w:afterAutospacing="0" w:line="288" w:lineRule="auto"/>
                    <w:ind w:left="0" w:right="0"/>
                    <w:jc w:val="center"/>
                    <w:rPr>
                      <w:rFonts w:hint="eastAsia"/>
                      <w:sz w:val="18"/>
                      <w:szCs w:val="18"/>
                      <w:highlight w:val="none"/>
                    </w:rPr>
                  </w:pPr>
                  <w:r>
                    <w:rPr>
                      <w:rFonts w:hint="eastAsia"/>
                      <w:sz w:val="18"/>
                      <w:szCs w:val="18"/>
                      <w:highlight w:val="none"/>
                    </w:rPr>
                    <w:t>1次/</w:t>
                  </w:r>
                  <w:r>
                    <w:rPr>
                      <w:rFonts w:hint="eastAsia"/>
                      <w:sz w:val="18"/>
                      <w:szCs w:val="18"/>
                      <w:highlight w:val="none"/>
                      <w:lang w:val="en-US" w:eastAsia="zh-CN"/>
                    </w:rPr>
                    <w:t>年</w:t>
                  </w:r>
                </w:p>
              </w:tc>
              <w:tc>
                <w:tcPr>
                  <w:tcW w:w="2732" w:type="dxa"/>
                  <w:vMerge w:val="continue"/>
                  <w:noWrap w:val="0"/>
                  <w:vAlign w:val="center"/>
                </w:tcPr>
                <w:p w14:paraId="7C42C712">
                  <w:pPr>
                    <w:keepNext w:val="0"/>
                    <w:keepLines w:val="0"/>
                    <w:widowControl/>
                    <w:suppressLineNumbers w:val="0"/>
                    <w:adjustRightInd w:val="0"/>
                    <w:snapToGrid w:val="0"/>
                    <w:spacing w:before="0" w:beforeAutospacing="0" w:after="0" w:afterAutospacing="0" w:line="288" w:lineRule="auto"/>
                    <w:ind w:left="0" w:right="0"/>
                    <w:jc w:val="center"/>
                    <w:rPr>
                      <w:rFonts w:hint="eastAsia"/>
                      <w:sz w:val="18"/>
                      <w:szCs w:val="18"/>
                      <w:highlight w:val="none"/>
                    </w:rPr>
                  </w:pPr>
                </w:p>
              </w:tc>
            </w:tr>
            <w:tr w14:paraId="6D944DB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555" w:hRule="atLeast"/>
              </w:trPr>
              <w:tc>
                <w:tcPr>
                  <w:tcW w:w="622" w:type="dxa"/>
                  <w:vMerge w:val="continue"/>
                  <w:noWrap w:val="0"/>
                  <w:vAlign w:val="center"/>
                </w:tcPr>
                <w:p w14:paraId="1763B06A">
                  <w:pPr>
                    <w:keepNext w:val="0"/>
                    <w:keepLines w:val="0"/>
                    <w:widowControl/>
                    <w:suppressLineNumbers w:val="0"/>
                    <w:adjustRightInd w:val="0"/>
                    <w:snapToGrid w:val="0"/>
                    <w:spacing w:before="0" w:beforeAutospacing="0" w:after="0" w:afterAutospacing="0" w:line="288" w:lineRule="auto"/>
                    <w:ind w:left="0" w:right="0"/>
                    <w:jc w:val="center"/>
                    <w:rPr>
                      <w:rFonts w:hint="default"/>
                      <w:sz w:val="18"/>
                      <w:szCs w:val="18"/>
                      <w:highlight w:val="none"/>
                    </w:rPr>
                  </w:pPr>
                </w:p>
              </w:tc>
              <w:tc>
                <w:tcPr>
                  <w:tcW w:w="2055" w:type="dxa"/>
                  <w:vMerge w:val="continue"/>
                  <w:shd w:val="clear" w:color="auto" w:fill="auto"/>
                  <w:noWrap w:val="0"/>
                  <w:vAlign w:val="center"/>
                </w:tcPr>
                <w:p w14:paraId="0B86E9F9">
                  <w:pPr>
                    <w:keepNext w:val="0"/>
                    <w:keepLines w:val="0"/>
                    <w:widowControl/>
                    <w:suppressLineNumbers w:val="0"/>
                    <w:adjustRightInd w:val="0"/>
                    <w:snapToGrid w:val="0"/>
                    <w:spacing w:before="0" w:beforeAutospacing="0" w:after="0" w:afterAutospacing="0" w:line="288" w:lineRule="auto"/>
                    <w:ind w:left="0" w:right="0"/>
                    <w:jc w:val="center"/>
                    <w:rPr>
                      <w:rFonts w:hint="default"/>
                      <w:sz w:val="18"/>
                      <w:szCs w:val="18"/>
                      <w:highlight w:val="none"/>
                    </w:rPr>
                  </w:pPr>
                </w:p>
              </w:tc>
              <w:tc>
                <w:tcPr>
                  <w:tcW w:w="1882" w:type="dxa"/>
                  <w:noWrap w:val="0"/>
                  <w:vAlign w:val="center"/>
                </w:tcPr>
                <w:p w14:paraId="4AAADD16">
                  <w:pPr>
                    <w:keepNext w:val="0"/>
                    <w:keepLines w:val="0"/>
                    <w:widowControl/>
                    <w:suppressLineNumbers w:val="0"/>
                    <w:adjustRightInd w:val="0"/>
                    <w:snapToGrid w:val="0"/>
                    <w:spacing w:before="0" w:beforeAutospacing="0" w:after="0" w:afterAutospacing="0" w:line="288" w:lineRule="auto"/>
                    <w:ind w:left="0" w:right="0"/>
                    <w:jc w:val="center"/>
                    <w:rPr>
                      <w:rFonts w:hint="eastAsia"/>
                      <w:sz w:val="18"/>
                      <w:szCs w:val="18"/>
                      <w:highlight w:val="none"/>
                      <w:lang w:val="en-US" w:eastAsia="zh-CN"/>
                    </w:rPr>
                  </w:pPr>
                  <w:r>
                    <w:rPr>
                      <w:rFonts w:hint="eastAsia"/>
                      <w:sz w:val="18"/>
                      <w:szCs w:val="18"/>
                      <w:highlight w:val="none"/>
                    </w:rPr>
                    <w:t>氨、硫化氢、臭气浓度</w:t>
                  </w:r>
                </w:p>
              </w:tc>
              <w:tc>
                <w:tcPr>
                  <w:tcW w:w="914" w:type="dxa"/>
                  <w:noWrap w:val="0"/>
                  <w:vAlign w:val="center"/>
                </w:tcPr>
                <w:p w14:paraId="2929D456">
                  <w:pPr>
                    <w:keepNext w:val="0"/>
                    <w:keepLines w:val="0"/>
                    <w:widowControl/>
                    <w:suppressLineNumbers w:val="0"/>
                    <w:adjustRightInd w:val="0"/>
                    <w:snapToGrid w:val="0"/>
                    <w:spacing w:before="0" w:beforeAutospacing="0" w:after="0" w:afterAutospacing="0" w:line="288" w:lineRule="auto"/>
                    <w:ind w:left="0" w:right="0"/>
                    <w:jc w:val="center"/>
                    <w:rPr>
                      <w:rFonts w:hint="eastAsia"/>
                      <w:sz w:val="18"/>
                      <w:szCs w:val="18"/>
                      <w:highlight w:val="none"/>
                      <w:lang w:val="en-US" w:eastAsia="zh-CN"/>
                    </w:rPr>
                  </w:pPr>
                  <w:r>
                    <w:rPr>
                      <w:rFonts w:hint="eastAsia"/>
                      <w:sz w:val="18"/>
                      <w:szCs w:val="18"/>
                      <w:highlight w:val="none"/>
                    </w:rPr>
                    <w:t>1次/</w:t>
                  </w:r>
                  <w:r>
                    <w:rPr>
                      <w:rFonts w:hint="eastAsia"/>
                      <w:sz w:val="18"/>
                      <w:szCs w:val="18"/>
                      <w:highlight w:val="none"/>
                      <w:lang w:val="en-US" w:eastAsia="zh-CN"/>
                    </w:rPr>
                    <w:t>年</w:t>
                  </w:r>
                </w:p>
              </w:tc>
              <w:tc>
                <w:tcPr>
                  <w:tcW w:w="2732" w:type="dxa"/>
                  <w:noWrap w:val="0"/>
                  <w:vAlign w:val="center"/>
                </w:tcPr>
                <w:p w14:paraId="0D2E07C0">
                  <w:pPr>
                    <w:keepNext w:val="0"/>
                    <w:keepLines w:val="0"/>
                    <w:widowControl/>
                    <w:suppressLineNumbers w:val="0"/>
                    <w:adjustRightInd w:val="0"/>
                    <w:snapToGrid w:val="0"/>
                    <w:spacing w:before="0" w:beforeAutospacing="0" w:after="0" w:afterAutospacing="0" w:line="288" w:lineRule="auto"/>
                    <w:ind w:left="0" w:right="0"/>
                    <w:jc w:val="center"/>
                    <w:rPr>
                      <w:rFonts w:hint="eastAsia"/>
                      <w:sz w:val="18"/>
                      <w:szCs w:val="18"/>
                      <w:highlight w:val="none"/>
                      <w:lang w:val="en-US" w:eastAsia="zh-CN"/>
                    </w:rPr>
                  </w:pPr>
                  <w:r>
                    <w:rPr>
                      <w:rFonts w:hint="eastAsia"/>
                      <w:bCs/>
                      <w:sz w:val="18"/>
                      <w:szCs w:val="18"/>
                      <w:highlight w:val="none"/>
                    </w:rPr>
                    <w:t>《恶臭污染物排放标准》（GB14554-93）表2</w:t>
                  </w:r>
                </w:p>
              </w:tc>
            </w:tr>
            <w:tr w14:paraId="777244A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303" w:hRule="atLeast"/>
              </w:trPr>
              <w:tc>
                <w:tcPr>
                  <w:tcW w:w="622" w:type="dxa"/>
                  <w:vMerge w:val="continue"/>
                  <w:noWrap w:val="0"/>
                  <w:vAlign w:val="center"/>
                </w:tcPr>
                <w:p w14:paraId="593540EE">
                  <w:pPr>
                    <w:keepNext w:val="0"/>
                    <w:keepLines w:val="0"/>
                    <w:widowControl/>
                    <w:suppressLineNumbers w:val="0"/>
                    <w:adjustRightInd w:val="0"/>
                    <w:snapToGrid w:val="0"/>
                    <w:spacing w:before="0" w:beforeAutospacing="0" w:after="0" w:afterAutospacing="0" w:line="288" w:lineRule="auto"/>
                    <w:ind w:left="0" w:right="0"/>
                    <w:jc w:val="center"/>
                    <w:rPr>
                      <w:rFonts w:hint="default"/>
                      <w:sz w:val="18"/>
                      <w:szCs w:val="18"/>
                      <w:highlight w:val="none"/>
                      <w:lang w:val="en-US"/>
                    </w:rPr>
                  </w:pPr>
                </w:p>
              </w:tc>
              <w:tc>
                <w:tcPr>
                  <w:tcW w:w="2055" w:type="dxa"/>
                  <w:vMerge w:val="restart"/>
                  <w:shd w:val="clear" w:color="auto" w:fill="auto"/>
                  <w:noWrap w:val="0"/>
                  <w:vAlign w:val="center"/>
                </w:tcPr>
                <w:p w14:paraId="7316E4F7">
                  <w:pPr>
                    <w:keepNext w:val="0"/>
                    <w:keepLines w:val="0"/>
                    <w:widowControl/>
                    <w:suppressLineNumbers w:val="0"/>
                    <w:adjustRightInd w:val="0"/>
                    <w:snapToGrid w:val="0"/>
                    <w:spacing w:before="0" w:beforeAutospacing="0" w:after="0" w:afterAutospacing="0" w:line="288" w:lineRule="auto"/>
                    <w:ind w:left="0" w:right="0"/>
                    <w:jc w:val="center"/>
                    <w:rPr>
                      <w:rFonts w:hint="eastAsia" w:ascii="Times New Roman" w:hAnsi="Times New Roman" w:eastAsia="宋体" w:cs="Times New Roman"/>
                      <w:kern w:val="2"/>
                      <w:sz w:val="18"/>
                      <w:szCs w:val="18"/>
                      <w:highlight w:val="none"/>
                      <w:lang w:val="en-US" w:eastAsia="zh-CN" w:bidi="ar-SA"/>
                    </w:rPr>
                  </w:pPr>
                  <w:r>
                    <w:rPr>
                      <w:rFonts w:hint="eastAsia"/>
                      <w:sz w:val="18"/>
                      <w:szCs w:val="18"/>
                      <w:highlight w:val="none"/>
                    </w:rPr>
                    <w:t>排气筒</w:t>
                  </w:r>
                  <w:r>
                    <w:rPr>
                      <w:rFonts w:hint="eastAsia"/>
                      <w:sz w:val="18"/>
                      <w:szCs w:val="18"/>
                      <w:highlight w:val="none"/>
                      <w:lang w:val="en-US" w:eastAsia="zh-CN"/>
                    </w:rPr>
                    <w:t>DA011~DA019</w:t>
                  </w:r>
                </w:p>
              </w:tc>
              <w:tc>
                <w:tcPr>
                  <w:tcW w:w="1882" w:type="dxa"/>
                  <w:noWrap w:val="0"/>
                  <w:vAlign w:val="center"/>
                </w:tcPr>
                <w:p w14:paraId="39AF17D0">
                  <w:pPr>
                    <w:keepNext w:val="0"/>
                    <w:keepLines w:val="0"/>
                    <w:widowControl/>
                    <w:suppressLineNumbers w:val="0"/>
                    <w:adjustRightInd w:val="0"/>
                    <w:snapToGrid w:val="0"/>
                    <w:spacing w:before="0" w:beforeAutospacing="0" w:after="0" w:afterAutospacing="0" w:line="288" w:lineRule="auto"/>
                    <w:ind w:left="0" w:right="0"/>
                    <w:jc w:val="center"/>
                    <w:rPr>
                      <w:rFonts w:hint="default"/>
                      <w:sz w:val="18"/>
                      <w:szCs w:val="18"/>
                      <w:highlight w:val="none"/>
                      <w:lang w:val="en-US" w:eastAsia="zh-CN"/>
                    </w:rPr>
                  </w:pPr>
                  <w:r>
                    <w:rPr>
                      <w:rFonts w:hint="eastAsia"/>
                      <w:sz w:val="18"/>
                      <w:szCs w:val="18"/>
                      <w:highlight w:val="none"/>
                      <w:lang w:val="en-US" w:eastAsia="zh-CN"/>
                    </w:rPr>
                    <w:t>非甲烷总烃、氯化氢</w:t>
                  </w:r>
                </w:p>
              </w:tc>
              <w:tc>
                <w:tcPr>
                  <w:tcW w:w="914" w:type="dxa"/>
                  <w:noWrap w:val="0"/>
                  <w:vAlign w:val="center"/>
                </w:tcPr>
                <w:p w14:paraId="19610A2E">
                  <w:pPr>
                    <w:keepNext w:val="0"/>
                    <w:keepLines w:val="0"/>
                    <w:widowControl/>
                    <w:suppressLineNumbers w:val="0"/>
                    <w:adjustRightInd w:val="0"/>
                    <w:snapToGrid w:val="0"/>
                    <w:spacing w:before="0" w:beforeAutospacing="0" w:after="0" w:afterAutospacing="0" w:line="288" w:lineRule="auto"/>
                    <w:ind w:left="0" w:right="0"/>
                    <w:jc w:val="center"/>
                    <w:rPr>
                      <w:rFonts w:hint="eastAsia"/>
                      <w:sz w:val="18"/>
                      <w:szCs w:val="18"/>
                      <w:highlight w:val="none"/>
                    </w:rPr>
                  </w:pPr>
                  <w:r>
                    <w:rPr>
                      <w:rFonts w:hint="eastAsia"/>
                      <w:sz w:val="18"/>
                      <w:szCs w:val="18"/>
                      <w:highlight w:val="none"/>
                    </w:rPr>
                    <w:t>1次/</w:t>
                  </w:r>
                  <w:r>
                    <w:rPr>
                      <w:rFonts w:hint="eastAsia"/>
                      <w:sz w:val="18"/>
                      <w:szCs w:val="18"/>
                      <w:highlight w:val="none"/>
                      <w:lang w:val="en-US" w:eastAsia="zh-CN"/>
                    </w:rPr>
                    <w:t>年</w:t>
                  </w:r>
                </w:p>
              </w:tc>
              <w:tc>
                <w:tcPr>
                  <w:tcW w:w="2732" w:type="dxa"/>
                  <w:noWrap w:val="0"/>
                  <w:vAlign w:val="center"/>
                </w:tcPr>
                <w:p w14:paraId="5CAEF497">
                  <w:pPr>
                    <w:keepNext w:val="0"/>
                    <w:keepLines w:val="0"/>
                    <w:suppressLineNumbers w:val="0"/>
                    <w:adjustRightInd w:val="0"/>
                    <w:snapToGrid w:val="0"/>
                    <w:spacing w:before="0" w:beforeAutospacing="0" w:after="0" w:afterAutospacing="0" w:line="264" w:lineRule="auto"/>
                    <w:ind w:left="0" w:right="0"/>
                    <w:jc w:val="center"/>
                    <w:rPr>
                      <w:rFonts w:hint="eastAsia"/>
                      <w:sz w:val="18"/>
                      <w:szCs w:val="18"/>
                      <w:highlight w:val="none"/>
                    </w:rPr>
                  </w:pPr>
                  <w:r>
                    <w:rPr>
                      <w:rFonts w:hint="eastAsia"/>
                      <w:bCs/>
                      <w:sz w:val="18"/>
                      <w:szCs w:val="18"/>
                      <w:highlight w:val="none"/>
                    </w:rPr>
                    <w:t>《制药工业大气污染物排放标准》（GB37823-2019）表2</w:t>
                  </w:r>
                </w:p>
              </w:tc>
            </w:tr>
            <w:tr w14:paraId="2F1A816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303" w:hRule="atLeast"/>
              </w:trPr>
              <w:tc>
                <w:tcPr>
                  <w:tcW w:w="622" w:type="dxa"/>
                  <w:vMerge w:val="continue"/>
                  <w:noWrap w:val="0"/>
                  <w:vAlign w:val="center"/>
                </w:tcPr>
                <w:p w14:paraId="7790C4B4">
                  <w:pPr>
                    <w:keepNext w:val="0"/>
                    <w:keepLines w:val="0"/>
                    <w:widowControl/>
                    <w:suppressLineNumbers w:val="0"/>
                    <w:adjustRightInd w:val="0"/>
                    <w:snapToGrid w:val="0"/>
                    <w:spacing w:before="0" w:beforeAutospacing="0" w:after="0" w:afterAutospacing="0" w:line="288" w:lineRule="auto"/>
                    <w:ind w:left="0" w:right="0"/>
                    <w:jc w:val="center"/>
                    <w:rPr>
                      <w:rFonts w:hint="default"/>
                      <w:sz w:val="18"/>
                      <w:szCs w:val="18"/>
                      <w:highlight w:val="none"/>
                    </w:rPr>
                  </w:pPr>
                </w:p>
              </w:tc>
              <w:tc>
                <w:tcPr>
                  <w:tcW w:w="2055" w:type="dxa"/>
                  <w:vMerge w:val="continue"/>
                  <w:shd w:val="clear" w:color="auto" w:fill="auto"/>
                  <w:noWrap w:val="0"/>
                  <w:vAlign w:val="center"/>
                </w:tcPr>
                <w:p w14:paraId="3335D3DA">
                  <w:pPr>
                    <w:keepNext w:val="0"/>
                    <w:keepLines w:val="0"/>
                    <w:widowControl/>
                    <w:suppressLineNumbers w:val="0"/>
                    <w:adjustRightInd w:val="0"/>
                    <w:snapToGrid w:val="0"/>
                    <w:spacing w:before="0" w:beforeAutospacing="0" w:after="0" w:afterAutospacing="0" w:line="288" w:lineRule="auto"/>
                    <w:ind w:left="0" w:right="0"/>
                    <w:jc w:val="center"/>
                    <w:rPr>
                      <w:rFonts w:hint="default"/>
                      <w:sz w:val="18"/>
                      <w:szCs w:val="18"/>
                      <w:highlight w:val="none"/>
                    </w:rPr>
                  </w:pPr>
                </w:p>
              </w:tc>
              <w:tc>
                <w:tcPr>
                  <w:tcW w:w="1882" w:type="dxa"/>
                  <w:noWrap w:val="0"/>
                  <w:vAlign w:val="center"/>
                </w:tcPr>
                <w:p w14:paraId="77F85C85">
                  <w:pPr>
                    <w:keepNext w:val="0"/>
                    <w:keepLines w:val="0"/>
                    <w:widowControl/>
                    <w:suppressLineNumbers w:val="0"/>
                    <w:adjustRightInd w:val="0"/>
                    <w:snapToGrid w:val="0"/>
                    <w:spacing w:before="0" w:beforeAutospacing="0" w:after="0" w:afterAutospacing="0" w:line="288" w:lineRule="auto"/>
                    <w:ind w:left="0" w:right="0"/>
                    <w:jc w:val="center"/>
                    <w:rPr>
                      <w:rFonts w:hint="eastAsia"/>
                      <w:sz w:val="18"/>
                      <w:szCs w:val="18"/>
                      <w:highlight w:val="none"/>
                      <w:lang w:val="en-US" w:eastAsia="zh-CN"/>
                    </w:rPr>
                  </w:pPr>
                  <w:r>
                    <w:rPr>
                      <w:rFonts w:hint="eastAsia"/>
                      <w:sz w:val="18"/>
                      <w:szCs w:val="18"/>
                      <w:highlight w:val="none"/>
                      <w:lang w:val="en-US" w:eastAsia="zh-CN"/>
                    </w:rPr>
                    <w:t>硫酸雾</w:t>
                  </w:r>
                </w:p>
              </w:tc>
              <w:tc>
                <w:tcPr>
                  <w:tcW w:w="914" w:type="dxa"/>
                  <w:noWrap w:val="0"/>
                  <w:vAlign w:val="center"/>
                </w:tcPr>
                <w:p w14:paraId="2EB0305C">
                  <w:pPr>
                    <w:keepNext w:val="0"/>
                    <w:keepLines w:val="0"/>
                    <w:widowControl/>
                    <w:suppressLineNumbers w:val="0"/>
                    <w:adjustRightInd w:val="0"/>
                    <w:snapToGrid w:val="0"/>
                    <w:spacing w:before="0" w:beforeAutospacing="0" w:after="0" w:afterAutospacing="0" w:line="288" w:lineRule="auto"/>
                    <w:ind w:left="0" w:right="0"/>
                    <w:jc w:val="center"/>
                    <w:rPr>
                      <w:rFonts w:hint="eastAsia"/>
                      <w:sz w:val="18"/>
                      <w:szCs w:val="18"/>
                      <w:highlight w:val="none"/>
                      <w:lang w:val="en-US" w:eastAsia="zh-CN"/>
                    </w:rPr>
                  </w:pPr>
                  <w:r>
                    <w:rPr>
                      <w:rFonts w:hint="eastAsia"/>
                      <w:sz w:val="18"/>
                      <w:szCs w:val="18"/>
                      <w:highlight w:val="none"/>
                    </w:rPr>
                    <w:t>1次/</w:t>
                  </w:r>
                  <w:r>
                    <w:rPr>
                      <w:rFonts w:hint="eastAsia"/>
                      <w:sz w:val="18"/>
                      <w:szCs w:val="18"/>
                      <w:highlight w:val="none"/>
                      <w:lang w:val="en-US" w:eastAsia="zh-CN"/>
                    </w:rPr>
                    <w:t>年</w:t>
                  </w:r>
                </w:p>
              </w:tc>
              <w:tc>
                <w:tcPr>
                  <w:tcW w:w="2732" w:type="dxa"/>
                  <w:noWrap w:val="0"/>
                  <w:vAlign w:val="center"/>
                </w:tcPr>
                <w:p w14:paraId="17C24628">
                  <w:pPr>
                    <w:keepNext w:val="0"/>
                    <w:keepLines w:val="0"/>
                    <w:suppressLineNumbers w:val="0"/>
                    <w:adjustRightInd w:val="0"/>
                    <w:snapToGrid w:val="0"/>
                    <w:spacing w:before="0" w:beforeAutospacing="0" w:after="0" w:afterAutospacing="0" w:line="276" w:lineRule="auto"/>
                    <w:ind w:left="0" w:right="0"/>
                    <w:jc w:val="center"/>
                    <w:rPr>
                      <w:rFonts w:hint="eastAsia"/>
                      <w:sz w:val="18"/>
                      <w:szCs w:val="18"/>
                      <w:highlight w:val="none"/>
                      <w:lang w:val="en-US" w:eastAsia="zh-CN"/>
                    </w:rPr>
                  </w:pPr>
                  <w:r>
                    <w:rPr>
                      <w:rFonts w:hint="eastAsia"/>
                      <w:sz w:val="18"/>
                      <w:szCs w:val="18"/>
                      <w:highlight w:val="none"/>
                      <w:lang w:val="en-US" w:eastAsia="zh-CN"/>
                    </w:rPr>
                    <w:t>《大气污染物综合排放标准》（GB16297-1996）中表2</w:t>
                  </w:r>
                </w:p>
              </w:tc>
            </w:tr>
            <w:tr w14:paraId="5D51A20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c>
                <w:tcPr>
                  <w:tcW w:w="622" w:type="dxa"/>
                  <w:vMerge w:val="continue"/>
                  <w:noWrap w:val="0"/>
                  <w:vAlign w:val="center"/>
                </w:tcPr>
                <w:p w14:paraId="268E986E">
                  <w:pPr>
                    <w:keepNext w:val="0"/>
                    <w:keepLines w:val="0"/>
                    <w:widowControl/>
                    <w:suppressLineNumbers w:val="0"/>
                    <w:adjustRightInd w:val="0"/>
                    <w:snapToGrid w:val="0"/>
                    <w:spacing w:before="0" w:beforeAutospacing="0" w:after="0" w:afterAutospacing="0" w:line="288" w:lineRule="auto"/>
                    <w:ind w:left="0" w:right="0"/>
                    <w:jc w:val="center"/>
                    <w:rPr>
                      <w:rFonts w:hint="default"/>
                      <w:sz w:val="18"/>
                      <w:szCs w:val="18"/>
                      <w:highlight w:val="none"/>
                      <w:lang w:val="en-US"/>
                    </w:rPr>
                  </w:pPr>
                </w:p>
              </w:tc>
              <w:tc>
                <w:tcPr>
                  <w:tcW w:w="2055" w:type="dxa"/>
                  <w:shd w:val="clear" w:color="auto" w:fill="auto"/>
                  <w:noWrap w:val="0"/>
                  <w:vAlign w:val="center"/>
                </w:tcPr>
                <w:p w14:paraId="17FB6C3C">
                  <w:pPr>
                    <w:keepNext w:val="0"/>
                    <w:keepLines w:val="0"/>
                    <w:widowControl/>
                    <w:suppressLineNumbers w:val="0"/>
                    <w:adjustRightInd w:val="0"/>
                    <w:snapToGrid w:val="0"/>
                    <w:spacing w:before="0" w:beforeAutospacing="0" w:after="0" w:afterAutospacing="0" w:line="288" w:lineRule="auto"/>
                    <w:ind w:left="0" w:right="0"/>
                    <w:jc w:val="center"/>
                    <w:rPr>
                      <w:rFonts w:hint="eastAsia" w:ascii="Times New Roman" w:hAnsi="Times New Roman" w:eastAsia="宋体" w:cs="Times New Roman"/>
                      <w:kern w:val="2"/>
                      <w:sz w:val="18"/>
                      <w:szCs w:val="18"/>
                      <w:highlight w:val="none"/>
                      <w:lang w:val="en-US" w:eastAsia="zh-CN" w:bidi="ar-SA"/>
                    </w:rPr>
                  </w:pPr>
                  <w:r>
                    <w:rPr>
                      <w:rFonts w:hint="eastAsia"/>
                      <w:sz w:val="18"/>
                      <w:szCs w:val="18"/>
                      <w:highlight w:val="none"/>
                    </w:rPr>
                    <w:t>排气筒</w:t>
                  </w:r>
                  <w:r>
                    <w:rPr>
                      <w:rFonts w:hint="eastAsia"/>
                      <w:sz w:val="18"/>
                      <w:szCs w:val="18"/>
                      <w:highlight w:val="none"/>
                      <w:lang w:val="en-US" w:eastAsia="zh-CN"/>
                    </w:rPr>
                    <w:t>DA020</w:t>
                  </w:r>
                </w:p>
              </w:tc>
              <w:tc>
                <w:tcPr>
                  <w:tcW w:w="1882" w:type="dxa"/>
                  <w:noWrap w:val="0"/>
                  <w:vAlign w:val="center"/>
                </w:tcPr>
                <w:p w14:paraId="5E0983B1">
                  <w:pPr>
                    <w:keepNext w:val="0"/>
                    <w:keepLines w:val="0"/>
                    <w:widowControl/>
                    <w:suppressLineNumbers w:val="0"/>
                    <w:adjustRightInd w:val="0"/>
                    <w:snapToGrid w:val="0"/>
                    <w:spacing w:before="0" w:beforeAutospacing="0" w:after="0" w:afterAutospacing="0" w:line="288" w:lineRule="auto"/>
                    <w:ind w:left="0" w:right="0"/>
                    <w:jc w:val="center"/>
                    <w:rPr>
                      <w:rFonts w:hint="default"/>
                      <w:sz w:val="18"/>
                      <w:szCs w:val="18"/>
                      <w:highlight w:val="none"/>
                      <w:lang w:val="en-US" w:eastAsia="zh-CN"/>
                    </w:rPr>
                  </w:pPr>
                  <w:r>
                    <w:rPr>
                      <w:rFonts w:hint="eastAsia"/>
                      <w:sz w:val="18"/>
                      <w:szCs w:val="18"/>
                      <w:highlight w:val="none"/>
                      <w:lang w:val="en-US" w:eastAsia="zh-CN"/>
                    </w:rPr>
                    <w:t>油烟</w:t>
                  </w:r>
                </w:p>
              </w:tc>
              <w:tc>
                <w:tcPr>
                  <w:tcW w:w="914" w:type="dxa"/>
                  <w:noWrap w:val="0"/>
                  <w:vAlign w:val="center"/>
                </w:tcPr>
                <w:p w14:paraId="7B4FDEBD">
                  <w:pPr>
                    <w:keepNext w:val="0"/>
                    <w:keepLines w:val="0"/>
                    <w:widowControl/>
                    <w:suppressLineNumbers w:val="0"/>
                    <w:adjustRightInd w:val="0"/>
                    <w:snapToGrid w:val="0"/>
                    <w:spacing w:before="0" w:beforeAutospacing="0" w:after="0" w:afterAutospacing="0" w:line="288" w:lineRule="auto"/>
                    <w:ind w:left="0" w:right="0"/>
                    <w:jc w:val="center"/>
                    <w:rPr>
                      <w:rFonts w:hint="eastAsia"/>
                      <w:sz w:val="18"/>
                      <w:szCs w:val="18"/>
                      <w:highlight w:val="none"/>
                    </w:rPr>
                  </w:pPr>
                  <w:r>
                    <w:rPr>
                      <w:rFonts w:hint="eastAsia"/>
                      <w:sz w:val="18"/>
                      <w:szCs w:val="18"/>
                      <w:highlight w:val="none"/>
                    </w:rPr>
                    <w:t>1次/</w:t>
                  </w:r>
                  <w:r>
                    <w:rPr>
                      <w:rFonts w:hint="eastAsia"/>
                      <w:sz w:val="18"/>
                      <w:szCs w:val="18"/>
                      <w:highlight w:val="none"/>
                      <w:lang w:val="en-US" w:eastAsia="zh-CN"/>
                    </w:rPr>
                    <w:t>年</w:t>
                  </w:r>
                </w:p>
              </w:tc>
              <w:tc>
                <w:tcPr>
                  <w:tcW w:w="2732" w:type="dxa"/>
                  <w:noWrap w:val="0"/>
                  <w:vAlign w:val="center"/>
                </w:tcPr>
                <w:p w14:paraId="2799E50E">
                  <w:pPr>
                    <w:keepNext w:val="0"/>
                    <w:keepLines w:val="0"/>
                    <w:widowControl/>
                    <w:suppressLineNumbers w:val="0"/>
                    <w:adjustRightInd w:val="0"/>
                    <w:snapToGrid w:val="0"/>
                    <w:spacing w:before="0" w:beforeAutospacing="0" w:after="0" w:afterAutospacing="0" w:line="288" w:lineRule="auto"/>
                    <w:ind w:left="0" w:right="0"/>
                    <w:jc w:val="center"/>
                    <w:rPr>
                      <w:rFonts w:hint="eastAsia"/>
                      <w:sz w:val="18"/>
                      <w:szCs w:val="18"/>
                      <w:highlight w:val="none"/>
                    </w:rPr>
                  </w:pPr>
                  <w:r>
                    <w:rPr>
                      <w:rFonts w:hint="eastAsia"/>
                      <w:sz w:val="18"/>
                      <w:szCs w:val="18"/>
                      <w:highlight w:val="none"/>
                    </w:rPr>
                    <w:t>《饮食业油烟排放标准（试行）》（GB18483-2001）表2限值</w:t>
                  </w:r>
                </w:p>
              </w:tc>
            </w:tr>
            <w:tr w14:paraId="6CEB25D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c>
                <w:tcPr>
                  <w:tcW w:w="622" w:type="dxa"/>
                  <w:vMerge w:val="restart"/>
                  <w:noWrap w:val="0"/>
                  <w:vAlign w:val="center"/>
                </w:tcPr>
                <w:p w14:paraId="0E5CA451">
                  <w:pPr>
                    <w:keepNext w:val="0"/>
                    <w:keepLines w:val="0"/>
                    <w:widowControl/>
                    <w:suppressLineNumbers w:val="0"/>
                    <w:adjustRightInd w:val="0"/>
                    <w:snapToGrid w:val="0"/>
                    <w:spacing w:before="0" w:beforeAutospacing="0" w:after="0" w:afterAutospacing="0" w:line="288" w:lineRule="auto"/>
                    <w:ind w:left="0" w:right="0"/>
                    <w:jc w:val="center"/>
                    <w:rPr>
                      <w:rFonts w:hint="default"/>
                      <w:sz w:val="18"/>
                      <w:szCs w:val="18"/>
                      <w:highlight w:val="none"/>
                      <w:lang w:val="en-US"/>
                    </w:rPr>
                  </w:pPr>
                  <w:r>
                    <w:rPr>
                      <w:rFonts w:hint="eastAsia" w:cs="宋体"/>
                      <w:strike w:val="0"/>
                      <w:dstrike w:val="0"/>
                      <w:color w:val="auto"/>
                      <w:kern w:val="2"/>
                      <w:sz w:val="18"/>
                      <w:szCs w:val="18"/>
                      <w:highlight w:val="none"/>
                      <w:lang w:val="en-US" w:eastAsia="zh-CN" w:bidi="ar"/>
                    </w:rPr>
                    <w:t>无组织</w:t>
                  </w:r>
                </w:p>
              </w:tc>
              <w:tc>
                <w:tcPr>
                  <w:tcW w:w="2055" w:type="dxa"/>
                  <w:shd w:val="clear" w:color="auto" w:fill="auto"/>
                  <w:noWrap w:val="0"/>
                  <w:vAlign w:val="center"/>
                </w:tcPr>
                <w:p w14:paraId="25223957">
                  <w:pPr>
                    <w:keepNext w:val="0"/>
                    <w:keepLines w:val="0"/>
                    <w:suppressLineNumbers w:val="0"/>
                    <w:adjustRightInd w:val="0"/>
                    <w:snapToGrid w:val="0"/>
                    <w:spacing w:before="0" w:beforeAutospacing="0" w:after="0" w:afterAutospacing="0" w:line="264" w:lineRule="auto"/>
                    <w:ind w:left="0" w:right="0"/>
                    <w:jc w:val="center"/>
                    <w:rPr>
                      <w:rFonts w:hint="eastAsia" w:ascii="Times New Roman" w:hAnsi="Times New Roman" w:eastAsia="宋体" w:cs="Times New Roman"/>
                      <w:color w:val="auto"/>
                      <w:kern w:val="2"/>
                      <w:sz w:val="18"/>
                      <w:szCs w:val="18"/>
                      <w:highlight w:val="none"/>
                      <w:lang w:val="en-US" w:eastAsia="zh-CN" w:bidi="ar-SA"/>
                    </w:rPr>
                  </w:pPr>
                  <w:r>
                    <w:rPr>
                      <w:rFonts w:hint="eastAsia" w:ascii="Times New Roman" w:hAnsi="Times New Roman" w:cs="Times New Roman"/>
                      <w:color w:val="auto"/>
                      <w:sz w:val="18"/>
                      <w:szCs w:val="18"/>
                      <w:highlight w:val="none"/>
                      <w:lang w:val="en-US" w:eastAsia="zh-CN"/>
                    </w:rPr>
                    <w:t>厂区内</w:t>
                  </w:r>
                </w:p>
              </w:tc>
              <w:tc>
                <w:tcPr>
                  <w:tcW w:w="1882" w:type="dxa"/>
                  <w:noWrap w:val="0"/>
                  <w:vAlign w:val="center"/>
                </w:tcPr>
                <w:p w14:paraId="3EC60C9D">
                  <w:pPr>
                    <w:keepNext w:val="0"/>
                    <w:keepLines w:val="0"/>
                    <w:widowControl/>
                    <w:suppressLineNumbers w:val="0"/>
                    <w:adjustRightInd w:val="0"/>
                    <w:snapToGrid w:val="0"/>
                    <w:spacing w:before="0" w:beforeAutospacing="0" w:after="0" w:afterAutospacing="0" w:line="288" w:lineRule="auto"/>
                    <w:ind w:left="0" w:right="0"/>
                    <w:jc w:val="center"/>
                    <w:rPr>
                      <w:rFonts w:hint="eastAsia"/>
                      <w:sz w:val="18"/>
                      <w:szCs w:val="18"/>
                      <w:highlight w:val="none"/>
                      <w:lang w:val="en-US" w:eastAsia="zh-CN"/>
                    </w:rPr>
                  </w:pPr>
                  <w:r>
                    <w:rPr>
                      <w:rFonts w:hint="eastAsia"/>
                      <w:sz w:val="18"/>
                      <w:szCs w:val="18"/>
                      <w:highlight w:val="none"/>
                    </w:rPr>
                    <w:t>非甲烷总烃</w:t>
                  </w:r>
                </w:p>
              </w:tc>
              <w:tc>
                <w:tcPr>
                  <w:tcW w:w="914" w:type="dxa"/>
                  <w:noWrap w:val="0"/>
                  <w:vAlign w:val="center"/>
                </w:tcPr>
                <w:p w14:paraId="44BF0533">
                  <w:pPr>
                    <w:keepNext w:val="0"/>
                    <w:keepLines w:val="0"/>
                    <w:widowControl/>
                    <w:suppressLineNumbers w:val="0"/>
                    <w:adjustRightInd w:val="0"/>
                    <w:snapToGrid w:val="0"/>
                    <w:spacing w:before="0" w:beforeAutospacing="0" w:after="0" w:afterAutospacing="0" w:line="288" w:lineRule="auto"/>
                    <w:ind w:left="0" w:right="0"/>
                    <w:jc w:val="center"/>
                    <w:rPr>
                      <w:rFonts w:hint="eastAsia"/>
                      <w:sz w:val="18"/>
                      <w:szCs w:val="18"/>
                      <w:highlight w:val="none"/>
                    </w:rPr>
                  </w:pPr>
                  <w:r>
                    <w:rPr>
                      <w:rFonts w:hint="eastAsia"/>
                      <w:sz w:val="18"/>
                      <w:szCs w:val="18"/>
                      <w:highlight w:val="none"/>
                    </w:rPr>
                    <w:t>1次/</w:t>
                  </w:r>
                  <w:r>
                    <w:rPr>
                      <w:rFonts w:hint="eastAsia"/>
                      <w:sz w:val="18"/>
                      <w:szCs w:val="18"/>
                      <w:highlight w:val="none"/>
                      <w:lang w:val="en-US" w:eastAsia="zh-CN"/>
                    </w:rPr>
                    <w:t>年</w:t>
                  </w:r>
                </w:p>
              </w:tc>
              <w:tc>
                <w:tcPr>
                  <w:tcW w:w="2732" w:type="dxa"/>
                  <w:noWrap w:val="0"/>
                  <w:vAlign w:val="center"/>
                </w:tcPr>
                <w:p w14:paraId="7E5CAD93">
                  <w:pPr>
                    <w:keepNext w:val="0"/>
                    <w:keepLines w:val="0"/>
                    <w:widowControl/>
                    <w:suppressLineNumbers w:val="0"/>
                    <w:adjustRightInd w:val="0"/>
                    <w:snapToGrid w:val="0"/>
                    <w:spacing w:before="0" w:beforeAutospacing="0" w:after="0" w:afterAutospacing="0" w:line="288" w:lineRule="auto"/>
                    <w:ind w:left="0" w:right="0"/>
                    <w:jc w:val="center"/>
                    <w:rPr>
                      <w:rFonts w:hint="eastAsia"/>
                      <w:sz w:val="18"/>
                      <w:szCs w:val="18"/>
                      <w:highlight w:val="none"/>
                    </w:rPr>
                  </w:pPr>
                  <w:r>
                    <w:rPr>
                      <w:rFonts w:hint="eastAsia"/>
                      <w:bCs/>
                      <w:sz w:val="18"/>
                      <w:szCs w:val="18"/>
                      <w:highlight w:val="none"/>
                    </w:rPr>
                    <w:t>《挥发性有机物无组织排放控制标准》（GB37822-2019）中表A.1</w:t>
                  </w:r>
                </w:p>
              </w:tc>
            </w:tr>
            <w:tr w14:paraId="4E7E574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c>
                <w:tcPr>
                  <w:tcW w:w="622" w:type="dxa"/>
                  <w:vMerge w:val="continue"/>
                  <w:noWrap w:val="0"/>
                  <w:vAlign w:val="center"/>
                </w:tcPr>
                <w:p w14:paraId="4C493B03">
                  <w:pPr>
                    <w:keepNext w:val="0"/>
                    <w:keepLines w:val="0"/>
                    <w:widowControl/>
                    <w:suppressLineNumbers w:val="0"/>
                    <w:adjustRightInd w:val="0"/>
                    <w:snapToGrid w:val="0"/>
                    <w:spacing w:before="0" w:beforeAutospacing="0" w:after="0" w:afterAutospacing="0" w:line="288" w:lineRule="auto"/>
                    <w:ind w:left="0" w:right="0"/>
                    <w:jc w:val="center"/>
                    <w:rPr>
                      <w:rFonts w:hint="default"/>
                      <w:sz w:val="18"/>
                      <w:szCs w:val="18"/>
                      <w:highlight w:val="none"/>
                      <w:lang w:val="en-US"/>
                    </w:rPr>
                  </w:pPr>
                </w:p>
              </w:tc>
              <w:tc>
                <w:tcPr>
                  <w:tcW w:w="2055" w:type="dxa"/>
                  <w:vMerge w:val="restart"/>
                  <w:shd w:val="clear" w:color="auto" w:fill="auto"/>
                  <w:noWrap w:val="0"/>
                  <w:vAlign w:val="center"/>
                </w:tcPr>
                <w:p w14:paraId="1B3B9E9D">
                  <w:pPr>
                    <w:keepNext w:val="0"/>
                    <w:keepLines w:val="0"/>
                    <w:suppressLineNumbers w:val="0"/>
                    <w:adjustRightInd w:val="0"/>
                    <w:snapToGrid w:val="0"/>
                    <w:spacing w:before="0" w:beforeAutospacing="0" w:after="0" w:afterAutospacing="0" w:line="264" w:lineRule="auto"/>
                    <w:ind w:left="0" w:right="0"/>
                    <w:jc w:val="center"/>
                    <w:rPr>
                      <w:rFonts w:hint="eastAsia" w:ascii="Times New Roman" w:hAnsi="Times New Roman" w:eastAsia="宋体" w:cs="Times New Roman"/>
                      <w:color w:val="auto"/>
                      <w:kern w:val="2"/>
                      <w:sz w:val="18"/>
                      <w:szCs w:val="18"/>
                      <w:highlight w:val="none"/>
                      <w:lang w:val="en-US" w:eastAsia="zh-CN" w:bidi="ar-SA"/>
                    </w:rPr>
                  </w:pPr>
                  <w:r>
                    <w:rPr>
                      <w:rFonts w:hint="eastAsia" w:ascii="Times New Roman" w:hAnsi="Times New Roman" w:cs="Times New Roman"/>
                      <w:color w:val="auto"/>
                      <w:sz w:val="18"/>
                      <w:szCs w:val="18"/>
                      <w:highlight w:val="none"/>
                      <w:lang w:val="en-US" w:eastAsia="zh-CN"/>
                    </w:rPr>
                    <w:t>厂界</w:t>
                  </w:r>
                </w:p>
              </w:tc>
              <w:tc>
                <w:tcPr>
                  <w:tcW w:w="1882" w:type="dxa"/>
                  <w:noWrap w:val="0"/>
                  <w:vAlign w:val="center"/>
                </w:tcPr>
                <w:p w14:paraId="6DA407B1">
                  <w:pPr>
                    <w:keepNext w:val="0"/>
                    <w:keepLines w:val="0"/>
                    <w:suppressLineNumbers w:val="0"/>
                    <w:adjustRightInd w:val="0"/>
                    <w:snapToGrid w:val="0"/>
                    <w:spacing w:before="0" w:beforeAutospacing="0" w:after="0" w:afterAutospacing="0" w:line="276" w:lineRule="auto"/>
                    <w:ind w:left="0" w:right="0"/>
                    <w:jc w:val="center"/>
                    <w:rPr>
                      <w:rFonts w:hint="eastAsia"/>
                      <w:sz w:val="18"/>
                      <w:szCs w:val="18"/>
                      <w:highlight w:val="none"/>
                      <w:lang w:val="en-US" w:eastAsia="zh-CN"/>
                    </w:rPr>
                  </w:pPr>
                  <w:r>
                    <w:rPr>
                      <w:rFonts w:hint="eastAsia"/>
                      <w:sz w:val="18"/>
                      <w:szCs w:val="18"/>
                      <w:highlight w:val="none"/>
                      <w:lang w:val="en-US" w:eastAsia="zh-CN"/>
                    </w:rPr>
                    <w:t>非甲烷总烃</w:t>
                  </w:r>
                  <w:r>
                    <w:rPr>
                      <w:rFonts w:hint="eastAsia"/>
                      <w:sz w:val="18"/>
                      <w:szCs w:val="18"/>
                      <w:highlight w:val="none"/>
                      <w:lang w:eastAsia="zh-CN"/>
                    </w:rPr>
                    <w:t>、</w:t>
                  </w:r>
                  <w:r>
                    <w:rPr>
                      <w:rFonts w:hint="eastAsia"/>
                      <w:sz w:val="18"/>
                      <w:szCs w:val="18"/>
                      <w:highlight w:val="none"/>
                      <w:lang w:val="en-US" w:eastAsia="zh-CN"/>
                    </w:rPr>
                    <w:t>甲醛、氯气、硫酸雾</w:t>
                  </w:r>
                </w:p>
              </w:tc>
              <w:tc>
                <w:tcPr>
                  <w:tcW w:w="914" w:type="dxa"/>
                  <w:noWrap w:val="0"/>
                  <w:vAlign w:val="center"/>
                </w:tcPr>
                <w:p w14:paraId="11B1145B">
                  <w:pPr>
                    <w:keepNext w:val="0"/>
                    <w:keepLines w:val="0"/>
                    <w:widowControl/>
                    <w:suppressLineNumbers w:val="0"/>
                    <w:adjustRightInd w:val="0"/>
                    <w:snapToGrid w:val="0"/>
                    <w:spacing w:before="0" w:beforeAutospacing="0" w:after="0" w:afterAutospacing="0" w:line="288" w:lineRule="auto"/>
                    <w:ind w:left="0" w:right="0"/>
                    <w:jc w:val="center"/>
                    <w:rPr>
                      <w:rFonts w:hint="eastAsia"/>
                      <w:sz w:val="18"/>
                      <w:szCs w:val="18"/>
                      <w:highlight w:val="none"/>
                    </w:rPr>
                  </w:pPr>
                  <w:r>
                    <w:rPr>
                      <w:rFonts w:hint="eastAsia"/>
                      <w:sz w:val="18"/>
                      <w:szCs w:val="18"/>
                      <w:highlight w:val="none"/>
                    </w:rPr>
                    <w:t>1次/</w:t>
                  </w:r>
                  <w:r>
                    <w:rPr>
                      <w:rFonts w:hint="eastAsia"/>
                      <w:sz w:val="18"/>
                      <w:szCs w:val="18"/>
                      <w:highlight w:val="none"/>
                      <w:lang w:val="en-US" w:eastAsia="zh-CN"/>
                    </w:rPr>
                    <w:t>年</w:t>
                  </w:r>
                </w:p>
              </w:tc>
              <w:tc>
                <w:tcPr>
                  <w:tcW w:w="2732" w:type="dxa"/>
                  <w:noWrap w:val="0"/>
                  <w:vAlign w:val="center"/>
                </w:tcPr>
                <w:p w14:paraId="011BEC9B">
                  <w:pPr>
                    <w:keepNext w:val="0"/>
                    <w:keepLines w:val="0"/>
                    <w:suppressLineNumbers w:val="0"/>
                    <w:adjustRightInd w:val="0"/>
                    <w:snapToGrid w:val="0"/>
                    <w:spacing w:before="0" w:beforeAutospacing="0" w:after="0" w:afterAutospacing="0" w:line="264" w:lineRule="auto"/>
                    <w:ind w:left="0" w:right="0"/>
                    <w:jc w:val="center"/>
                    <w:rPr>
                      <w:rFonts w:hint="eastAsia"/>
                      <w:sz w:val="18"/>
                      <w:szCs w:val="18"/>
                      <w:highlight w:val="none"/>
                    </w:rPr>
                  </w:pPr>
                  <w:r>
                    <w:rPr>
                      <w:rFonts w:hint="eastAsia"/>
                      <w:bCs/>
                      <w:sz w:val="18"/>
                      <w:szCs w:val="18"/>
                      <w:highlight w:val="none"/>
                    </w:rPr>
                    <w:t>《大气污染物综合排放标准》（GB16297-1996）中表2</w:t>
                  </w:r>
                </w:p>
              </w:tc>
            </w:tr>
            <w:tr w14:paraId="60F4270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c>
                <w:tcPr>
                  <w:tcW w:w="622" w:type="dxa"/>
                  <w:vMerge w:val="continue"/>
                  <w:noWrap w:val="0"/>
                  <w:vAlign w:val="center"/>
                </w:tcPr>
                <w:p w14:paraId="0814589D">
                  <w:pPr>
                    <w:keepNext w:val="0"/>
                    <w:keepLines w:val="0"/>
                    <w:widowControl/>
                    <w:suppressLineNumbers w:val="0"/>
                    <w:adjustRightInd w:val="0"/>
                    <w:snapToGrid w:val="0"/>
                    <w:spacing w:before="0" w:beforeAutospacing="0" w:after="0" w:afterAutospacing="0" w:line="288" w:lineRule="auto"/>
                    <w:ind w:left="0" w:right="0"/>
                    <w:jc w:val="center"/>
                    <w:rPr>
                      <w:rFonts w:hint="default"/>
                      <w:sz w:val="18"/>
                      <w:szCs w:val="18"/>
                      <w:highlight w:val="none"/>
                      <w:lang w:val="en-US"/>
                    </w:rPr>
                  </w:pPr>
                </w:p>
              </w:tc>
              <w:tc>
                <w:tcPr>
                  <w:tcW w:w="2055" w:type="dxa"/>
                  <w:vMerge w:val="continue"/>
                  <w:shd w:val="clear" w:color="auto" w:fill="auto"/>
                  <w:noWrap w:val="0"/>
                  <w:vAlign w:val="center"/>
                </w:tcPr>
                <w:p w14:paraId="1A29CF36">
                  <w:pPr>
                    <w:keepNext w:val="0"/>
                    <w:keepLines w:val="0"/>
                    <w:widowControl/>
                    <w:suppressLineNumbers w:val="0"/>
                    <w:adjustRightInd w:val="0"/>
                    <w:snapToGrid w:val="0"/>
                    <w:spacing w:before="0" w:beforeAutospacing="0" w:after="0" w:afterAutospacing="0" w:line="288" w:lineRule="auto"/>
                    <w:ind w:left="0" w:right="0"/>
                    <w:jc w:val="center"/>
                    <w:rPr>
                      <w:rFonts w:hint="eastAsia"/>
                      <w:sz w:val="18"/>
                      <w:szCs w:val="18"/>
                      <w:highlight w:val="none"/>
                    </w:rPr>
                  </w:pPr>
                </w:p>
              </w:tc>
              <w:tc>
                <w:tcPr>
                  <w:tcW w:w="1882" w:type="dxa"/>
                  <w:noWrap w:val="0"/>
                  <w:vAlign w:val="center"/>
                </w:tcPr>
                <w:p w14:paraId="2B86AB5B">
                  <w:pPr>
                    <w:keepNext w:val="0"/>
                    <w:keepLines w:val="0"/>
                    <w:suppressLineNumbers w:val="0"/>
                    <w:adjustRightInd w:val="0"/>
                    <w:snapToGrid w:val="0"/>
                    <w:spacing w:before="0" w:beforeAutospacing="0" w:after="0" w:afterAutospacing="0" w:line="276" w:lineRule="auto"/>
                    <w:ind w:left="0" w:right="0"/>
                    <w:jc w:val="center"/>
                    <w:rPr>
                      <w:rFonts w:hint="eastAsia"/>
                      <w:sz w:val="18"/>
                      <w:szCs w:val="18"/>
                      <w:highlight w:val="none"/>
                      <w:lang w:val="en-US" w:eastAsia="zh-CN"/>
                    </w:rPr>
                  </w:pPr>
                  <w:r>
                    <w:rPr>
                      <w:rFonts w:hint="eastAsia"/>
                      <w:sz w:val="18"/>
                      <w:szCs w:val="18"/>
                      <w:highlight w:val="none"/>
                      <w:lang w:val="en-US" w:eastAsia="zh-CN"/>
                    </w:rPr>
                    <w:t>氯化氢</w:t>
                  </w:r>
                </w:p>
              </w:tc>
              <w:tc>
                <w:tcPr>
                  <w:tcW w:w="914" w:type="dxa"/>
                  <w:noWrap w:val="0"/>
                  <w:vAlign w:val="center"/>
                </w:tcPr>
                <w:p w14:paraId="1F6A1BF9">
                  <w:pPr>
                    <w:keepNext w:val="0"/>
                    <w:keepLines w:val="0"/>
                    <w:widowControl/>
                    <w:suppressLineNumbers w:val="0"/>
                    <w:adjustRightInd w:val="0"/>
                    <w:snapToGrid w:val="0"/>
                    <w:spacing w:before="0" w:beforeAutospacing="0" w:after="0" w:afterAutospacing="0" w:line="288" w:lineRule="auto"/>
                    <w:ind w:left="0" w:right="0"/>
                    <w:jc w:val="center"/>
                    <w:rPr>
                      <w:rFonts w:hint="eastAsia"/>
                      <w:sz w:val="18"/>
                      <w:szCs w:val="18"/>
                      <w:highlight w:val="none"/>
                    </w:rPr>
                  </w:pPr>
                  <w:r>
                    <w:rPr>
                      <w:rFonts w:hint="eastAsia"/>
                      <w:sz w:val="18"/>
                      <w:szCs w:val="18"/>
                      <w:highlight w:val="none"/>
                    </w:rPr>
                    <w:t>1次/</w:t>
                  </w:r>
                  <w:r>
                    <w:rPr>
                      <w:rFonts w:hint="eastAsia"/>
                      <w:sz w:val="18"/>
                      <w:szCs w:val="18"/>
                      <w:highlight w:val="none"/>
                      <w:lang w:val="en-US" w:eastAsia="zh-CN"/>
                    </w:rPr>
                    <w:t>年</w:t>
                  </w:r>
                </w:p>
              </w:tc>
              <w:tc>
                <w:tcPr>
                  <w:tcW w:w="2732" w:type="dxa"/>
                  <w:noWrap w:val="0"/>
                  <w:vAlign w:val="center"/>
                </w:tcPr>
                <w:p w14:paraId="37150CEA">
                  <w:pPr>
                    <w:keepNext w:val="0"/>
                    <w:keepLines w:val="0"/>
                    <w:suppressLineNumbers w:val="0"/>
                    <w:adjustRightInd w:val="0"/>
                    <w:snapToGrid w:val="0"/>
                    <w:spacing w:before="0" w:beforeAutospacing="0" w:after="0" w:afterAutospacing="0" w:line="276" w:lineRule="auto"/>
                    <w:ind w:left="0" w:right="0"/>
                    <w:jc w:val="center"/>
                    <w:rPr>
                      <w:rFonts w:hint="eastAsia"/>
                      <w:sz w:val="18"/>
                      <w:szCs w:val="18"/>
                      <w:highlight w:val="none"/>
                    </w:rPr>
                  </w:pPr>
                  <w:r>
                    <w:rPr>
                      <w:rFonts w:hint="eastAsia"/>
                      <w:bCs/>
                      <w:sz w:val="18"/>
                      <w:szCs w:val="18"/>
                      <w:highlight w:val="none"/>
                    </w:rPr>
                    <w:t>《制药工业大气污染物排放标准》（GB37823-2019）表</w:t>
                  </w:r>
                  <w:r>
                    <w:rPr>
                      <w:rFonts w:hint="eastAsia"/>
                      <w:bCs/>
                      <w:sz w:val="18"/>
                      <w:szCs w:val="18"/>
                      <w:highlight w:val="none"/>
                      <w:lang w:val="en-US" w:eastAsia="zh-CN"/>
                    </w:rPr>
                    <w:t>4</w:t>
                  </w:r>
                </w:p>
              </w:tc>
            </w:tr>
            <w:tr w14:paraId="368B2A6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c>
                <w:tcPr>
                  <w:tcW w:w="622" w:type="dxa"/>
                  <w:vMerge w:val="continue"/>
                  <w:noWrap w:val="0"/>
                  <w:vAlign w:val="center"/>
                </w:tcPr>
                <w:p w14:paraId="294B83B2">
                  <w:pPr>
                    <w:keepNext w:val="0"/>
                    <w:keepLines w:val="0"/>
                    <w:widowControl/>
                    <w:suppressLineNumbers w:val="0"/>
                    <w:adjustRightInd w:val="0"/>
                    <w:snapToGrid w:val="0"/>
                    <w:spacing w:before="0" w:beforeAutospacing="0" w:after="0" w:afterAutospacing="0" w:line="288" w:lineRule="auto"/>
                    <w:ind w:left="0" w:right="0"/>
                    <w:jc w:val="center"/>
                    <w:rPr>
                      <w:rFonts w:hint="default"/>
                      <w:sz w:val="18"/>
                      <w:szCs w:val="18"/>
                      <w:highlight w:val="none"/>
                      <w:lang w:val="en-US"/>
                    </w:rPr>
                  </w:pPr>
                </w:p>
              </w:tc>
              <w:tc>
                <w:tcPr>
                  <w:tcW w:w="2055" w:type="dxa"/>
                  <w:vMerge w:val="continue"/>
                  <w:shd w:val="clear" w:color="auto" w:fill="auto"/>
                  <w:noWrap w:val="0"/>
                  <w:vAlign w:val="center"/>
                </w:tcPr>
                <w:p w14:paraId="0C9816C7">
                  <w:pPr>
                    <w:keepNext w:val="0"/>
                    <w:keepLines w:val="0"/>
                    <w:widowControl/>
                    <w:suppressLineNumbers w:val="0"/>
                    <w:adjustRightInd w:val="0"/>
                    <w:snapToGrid w:val="0"/>
                    <w:spacing w:before="0" w:beforeAutospacing="0" w:after="0" w:afterAutospacing="0" w:line="288" w:lineRule="auto"/>
                    <w:ind w:left="0" w:right="0"/>
                    <w:jc w:val="center"/>
                    <w:rPr>
                      <w:rFonts w:hint="eastAsia"/>
                      <w:sz w:val="18"/>
                      <w:szCs w:val="18"/>
                      <w:highlight w:val="none"/>
                    </w:rPr>
                  </w:pPr>
                </w:p>
              </w:tc>
              <w:tc>
                <w:tcPr>
                  <w:tcW w:w="1882" w:type="dxa"/>
                  <w:noWrap w:val="0"/>
                  <w:vAlign w:val="center"/>
                </w:tcPr>
                <w:p w14:paraId="1A236496">
                  <w:pPr>
                    <w:keepNext w:val="0"/>
                    <w:keepLines w:val="0"/>
                    <w:suppressLineNumbers w:val="0"/>
                    <w:snapToGrid w:val="0"/>
                    <w:spacing w:before="0" w:beforeAutospacing="0" w:after="0" w:afterAutospacing="0" w:line="276" w:lineRule="auto"/>
                    <w:ind w:left="0" w:right="0"/>
                    <w:jc w:val="center"/>
                    <w:rPr>
                      <w:rFonts w:hint="eastAsia"/>
                      <w:sz w:val="18"/>
                      <w:szCs w:val="18"/>
                      <w:highlight w:val="none"/>
                      <w:lang w:val="en-US" w:eastAsia="zh-CN"/>
                    </w:rPr>
                  </w:pPr>
                  <w:r>
                    <w:rPr>
                      <w:rFonts w:hint="eastAsia"/>
                      <w:sz w:val="18"/>
                      <w:szCs w:val="18"/>
                      <w:highlight w:val="none"/>
                    </w:rPr>
                    <w:t>氨、硫化氢、臭气浓度</w:t>
                  </w:r>
                </w:p>
              </w:tc>
              <w:tc>
                <w:tcPr>
                  <w:tcW w:w="914" w:type="dxa"/>
                  <w:noWrap w:val="0"/>
                  <w:vAlign w:val="center"/>
                </w:tcPr>
                <w:p w14:paraId="0E580115">
                  <w:pPr>
                    <w:keepNext w:val="0"/>
                    <w:keepLines w:val="0"/>
                    <w:widowControl/>
                    <w:suppressLineNumbers w:val="0"/>
                    <w:adjustRightInd w:val="0"/>
                    <w:snapToGrid w:val="0"/>
                    <w:spacing w:before="0" w:beforeAutospacing="0" w:after="0" w:afterAutospacing="0" w:line="288" w:lineRule="auto"/>
                    <w:ind w:left="0" w:right="0"/>
                    <w:jc w:val="center"/>
                    <w:rPr>
                      <w:rFonts w:hint="eastAsia"/>
                      <w:sz w:val="18"/>
                      <w:szCs w:val="18"/>
                      <w:highlight w:val="none"/>
                    </w:rPr>
                  </w:pPr>
                  <w:r>
                    <w:rPr>
                      <w:rFonts w:hint="eastAsia"/>
                      <w:sz w:val="18"/>
                      <w:szCs w:val="18"/>
                      <w:highlight w:val="none"/>
                    </w:rPr>
                    <w:t>1次/</w:t>
                  </w:r>
                  <w:r>
                    <w:rPr>
                      <w:rFonts w:hint="eastAsia"/>
                      <w:sz w:val="18"/>
                      <w:szCs w:val="18"/>
                      <w:highlight w:val="none"/>
                      <w:lang w:val="en-US" w:eastAsia="zh-CN"/>
                    </w:rPr>
                    <w:t>年</w:t>
                  </w:r>
                </w:p>
              </w:tc>
              <w:tc>
                <w:tcPr>
                  <w:tcW w:w="2732" w:type="dxa"/>
                  <w:noWrap w:val="0"/>
                  <w:vAlign w:val="center"/>
                </w:tcPr>
                <w:p w14:paraId="3320FF39">
                  <w:pPr>
                    <w:keepNext w:val="0"/>
                    <w:keepLines w:val="0"/>
                    <w:suppressLineNumbers w:val="0"/>
                    <w:adjustRightInd w:val="0"/>
                    <w:snapToGrid w:val="0"/>
                    <w:spacing w:before="0" w:beforeAutospacing="0" w:after="0" w:afterAutospacing="0" w:line="264" w:lineRule="auto"/>
                    <w:ind w:left="0" w:right="0"/>
                    <w:jc w:val="center"/>
                    <w:rPr>
                      <w:rFonts w:hint="eastAsia"/>
                      <w:sz w:val="18"/>
                      <w:szCs w:val="18"/>
                      <w:highlight w:val="none"/>
                    </w:rPr>
                  </w:pPr>
                  <w:r>
                    <w:rPr>
                      <w:rFonts w:hint="eastAsia"/>
                      <w:bCs/>
                      <w:sz w:val="18"/>
                      <w:szCs w:val="18"/>
                      <w:highlight w:val="none"/>
                    </w:rPr>
                    <w:t>《恶臭污染物排放标准》（GB14554-93）表</w:t>
                  </w:r>
                  <w:r>
                    <w:rPr>
                      <w:rFonts w:hint="eastAsia"/>
                      <w:bCs/>
                      <w:sz w:val="18"/>
                      <w:szCs w:val="18"/>
                      <w:highlight w:val="none"/>
                      <w:lang w:val="en-US" w:eastAsia="zh-CN"/>
                    </w:rPr>
                    <w:t>1</w:t>
                  </w:r>
                </w:p>
              </w:tc>
            </w:tr>
          </w:tbl>
          <w:p w14:paraId="7EF770AC">
            <w:pPr>
              <w:pStyle w:val="2"/>
              <w:keepNext/>
              <w:keepLines w:val="0"/>
              <w:pageBreakBefore w:val="0"/>
              <w:widowControl/>
              <w:suppressLineNumbers w:val="0"/>
              <w:kinsoku/>
              <w:wordWrap/>
              <w:overflowPunct w:val="0"/>
              <w:topLinePunct w:val="0"/>
              <w:autoSpaceDE/>
              <w:autoSpaceDN/>
              <w:bidi w:val="0"/>
              <w:adjustRightInd/>
              <w:snapToGrid w:val="0"/>
              <w:spacing w:before="0" w:beforeAutospacing="0" w:after="0" w:afterAutospacing="0" w:line="360" w:lineRule="auto"/>
              <w:ind w:left="0" w:right="0" w:firstLine="482"/>
              <w:textAlignment w:val="auto"/>
              <w:rPr>
                <w:rFonts w:hint="default" w:ascii="Times New Roman" w:hAnsi="Times New Roman" w:eastAsia="宋体" w:cs="Times New Roman"/>
                <w:b/>
                <w:bCs/>
                <w:strike w:val="0"/>
                <w:dstrike w:val="0"/>
                <w:color w:val="auto"/>
                <w:kern w:val="2"/>
                <w:sz w:val="24"/>
                <w:szCs w:val="24"/>
                <w:highlight w:val="none"/>
                <w:lang w:val="en-US" w:eastAsia="zh-CN" w:bidi="ar"/>
              </w:rPr>
            </w:pPr>
            <w:bookmarkStart w:id="32" w:name="_Toc11623"/>
            <w:r>
              <w:rPr>
                <w:rFonts w:hint="eastAsia" w:ascii="Times New Roman" w:hAnsi="Times New Roman" w:eastAsia="宋体" w:cs="Times New Roman"/>
                <w:b/>
                <w:bCs/>
                <w:strike w:val="0"/>
                <w:dstrike w:val="0"/>
                <w:color w:val="auto"/>
                <w:kern w:val="2"/>
                <w:sz w:val="24"/>
                <w:szCs w:val="24"/>
                <w:highlight w:val="none"/>
                <w:lang w:val="en-US" w:eastAsia="zh-CN" w:bidi="ar"/>
              </w:rPr>
              <w:t>11、大气环境防护距离</w:t>
            </w:r>
            <w:bookmarkEnd w:id="32"/>
          </w:p>
          <w:p w14:paraId="23A97124">
            <w:pPr>
              <w:pStyle w:val="2"/>
              <w:keepNext/>
              <w:keepLines w:val="0"/>
              <w:pageBreakBefore w:val="0"/>
              <w:widowControl/>
              <w:suppressLineNumbers w:val="0"/>
              <w:kinsoku/>
              <w:wordWrap/>
              <w:overflowPunct w:val="0"/>
              <w:topLinePunct w:val="0"/>
              <w:autoSpaceDE/>
              <w:autoSpaceDN/>
              <w:bidi w:val="0"/>
              <w:adjustRightInd/>
              <w:snapToGrid w:val="0"/>
              <w:spacing w:before="0" w:beforeAutospacing="0" w:after="0" w:afterAutospacing="0" w:line="360" w:lineRule="auto"/>
              <w:ind w:left="0" w:right="0" w:firstLine="480"/>
              <w:textAlignment w:val="auto"/>
              <w:rPr>
                <w:rFonts w:hint="default" w:ascii="Times New Roman" w:hAnsi="Times New Roman" w:eastAsia="宋体" w:cs="Times New Roman"/>
                <w:b w:val="0"/>
                <w:bCs w:val="0"/>
                <w:strike w:val="0"/>
                <w:dstrike w:val="0"/>
                <w:color w:val="auto"/>
                <w:kern w:val="2"/>
                <w:sz w:val="24"/>
                <w:szCs w:val="24"/>
                <w:highlight w:val="none"/>
                <w:lang w:val="en-US" w:eastAsia="zh-CN" w:bidi="ar"/>
              </w:rPr>
            </w:pPr>
            <w:bookmarkStart w:id="33" w:name="_Toc14699"/>
            <w:r>
              <w:rPr>
                <w:rFonts w:hint="eastAsia" w:ascii="Times New Roman" w:hAnsi="Times New Roman" w:eastAsia="宋体" w:cs="Times New Roman"/>
                <w:b w:val="0"/>
                <w:bCs w:val="0"/>
                <w:strike w:val="0"/>
                <w:dstrike w:val="0"/>
                <w:color w:val="auto"/>
                <w:kern w:val="2"/>
                <w:sz w:val="24"/>
                <w:szCs w:val="24"/>
                <w:highlight w:val="none"/>
                <w:lang w:val="en-US" w:eastAsia="zh-CN" w:bidi="ar"/>
              </w:rPr>
              <w:t>根据《环境影响评价技术导则 大气环境》（</w:t>
            </w:r>
            <w:r>
              <w:rPr>
                <w:rFonts w:hint="default" w:ascii="Times New Roman" w:hAnsi="Times New Roman" w:eastAsia="宋体" w:cs="Times New Roman"/>
                <w:b w:val="0"/>
                <w:bCs w:val="0"/>
                <w:strike w:val="0"/>
                <w:dstrike w:val="0"/>
                <w:color w:val="auto"/>
                <w:kern w:val="2"/>
                <w:sz w:val="24"/>
                <w:szCs w:val="24"/>
                <w:highlight w:val="none"/>
                <w:lang w:val="en-US" w:eastAsia="zh-CN" w:bidi="ar"/>
              </w:rPr>
              <w:t>HJ2.2-2018</w:t>
            </w:r>
            <w:r>
              <w:rPr>
                <w:rFonts w:hint="eastAsia" w:ascii="Times New Roman" w:hAnsi="Times New Roman" w:eastAsia="宋体" w:cs="Times New Roman"/>
                <w:b w:val="0"/>
                <w:bCs w:val="0"/>
                <w:strike w:val="0"/>
                <w:dstrike w:val="0"/>
                <w:color w:val="auto"/>
                <w:kern w:val="2"/>
                <w:sz w:val="24"/>
                <w:szCs w:val="24"/>
                <w:highlight w:val="none"/>
                <w:lang w:val="en-US" w:eastAsia="zh-CN" w:bidi="ar"/>
              </w:rPr>
              <w:t>），对于项目厂界浓度满足大气污染物厂界浓度限值，但厂界外大气污染物短期贡献浓度超过环境质量浓度限值的，可以自厂界向外设置一定范围的大气环境防护区域，以确保大气环境防护区域外的污染物贡献浓度满足环境质量标准根据导则，大气环境防护距离的确定需采用进一步预测模型模拟评价基准年内的短期贡献浓度分布。根据估算模型计算，本项目大气环境影响评价工作等级为二级评价，不进行进一步预测和评价，本项目主要污染物的短期贡献浓度均不超过环境质量短期浓度标准值，因此，本项目无需设置大气环境防护距离。</w:t>
            </w:r>
            <w:bookmarkEnd w:id="33"/>
          </w:p>
          <w:p w14:paraId="50F2615C">
            <w:pPr>
              <w:keepNext w:val="0"/>
              <w:keepLines w:val="0"/>
              <w:suppressLineNumbers w:val="0"/>
              <w:overflowPunct w:val="0"/>
              <w:adjustRightInd w:val="0"/>
              <w:snapToGrid w:val="0"/>
              <w:spacing w:before="0" w:beforeAutospacing="0" w:after="0" w:afterAutospacing="0" w:line="360" w:lineRule="auto"/>
              <w:ind w:left="0" w:right="0" w:firstLine="482" w:firstLineChars="200"/>
              <w:rPr>
                <w:rFonts w:hint="default" w:ascii="Times New Roman" w:hAnsi="Times New Roman" w:eastAsia="宋体" w:cs="Times New Roman"/>
                <w:b/>
                <w:snapToGrid w:val="0"/>
                <w:kern w:val="0"/>
                <w:sz w:val="24"/>
                <w:highlight w:val="none"/>
              </w:rPr>
            </w:pPr>
            <w:r>
              <w:rPr>
                <w:rFonts w:hint="eastAsia" w:cs="Times New Roman"/>
                <w:b/>
                <w:snapToGrid w:val="0"/>
                <w:kern w:val="0"/>
                <w:sz w:val="24"/>
                <w:highlight w:val="none"/>
                <w:lang w:val="en-US" w:eastAsia="zh-CN"/>
              </w:rPr>
              <w:t>12、</w:t>
            </w:r>
            <w:r>
              <w:rPr>
                <w:rFonts w:hint="eastAsia" w:ascii="Times New Roman" w:hAnsi="Times New Roman" w:eastAsia="宋体" w:cs="Times New Roman"/>
                <w:b/>
                <w:snapToGrid w:val="0"/>
                <w:kern w:val="0"/>
                <w:sz w:val="24"/>
                <w:highlight w:val="none"/>
              </w:rPr>
              <w:t>大气环境影响分析</w:t>
            </w:r>
          </w:p>
          <w:p w14:paraId="70449DD9">
            <w:pPr>
              <w:keepNext w:val="0"/>
              <w:keepLines w:val="0"/>
              <w:suppressLineNumbers w:val="0"/>
              <w:overflowPunct w:val="0"/>
              <w:adjustRightInd w:val="0"/>
              <w:snapToGrid w:val="0"/>
              <w:spacing w:before="0" w:beforeAutospacing="0" w:after="0" w:afterAutospacing="0" w:line="360" w:lineRule="auto"/>
              <w:ind w:left="0" w:right="0" w:firstLine="482"/>
              <w:rPr>
                <w:rFonts w:hint="eastAsia" w:cs="Times New Roman"/>
                <w:kern w:val="0"/>
                <w:sz w:val="24"/>
                <w:highlight w:val="none"/>
                <w:lang w:val="en-US" w:eastAsia="zh-CN"/>
              </w:rPr>
            </w:pPr>
            <w:r>
              <w:rPr>
                <w:rFonts w:hint="eastAsia" w:ascii="Times New Roman" w:hAnsi="Times New Roman" w:eastAsia="宋体" w:cs="Times New Roman"/>
                <w:snapToGrid w:val="0"/>
                <w:kern w:val="0"/>
                <w:sz w:val="24"/>
                <w:highlight w:val="none"/>
              </w:rPr>
              <w:t>综上分析，本环评要求项目对各废气产生点产生的废气</w:t>
            </w:r>
            <w:r>
              <w:rPr>
                <w:rFonts w:hint="eastAsia" w:ascii="Times New Roman" w:hAnsi="Times New Roman" w:eastAsia="宋体" w:cs="Times New Roman"/>
                <w:kern w:val="0"/>
                <w:sz w:val="24"/>
                <w:highlight w:val="none"/>
              </w:rPr>
              <w:t>进行收集、处理</w:t>
            </w:r>
            <w:r>
              <w:rPr>
                <w:rFonts w:hint="eastAsia" w:ascii="Times New Roman" w:hAnsi="Times New Roman" w:eastAsia="宋体" w:cs="Times New Roman"/>
                <w:kern w:val="0"/>
                <w:sz w:val="24"/>
                <w:highlight w:val="none"/>
                <w:lang w:eastAsia="zh-CN"/>
              </w:rPr>
              <w:t>。</w:t>
            </w:r>
            <w:r>
              <w:rPr>
                <w:rFonts w:hint="eastAsia" w:cs="Times New Roman"/>
                <w:kern w:val="0"/>
                <w:sz w:val="24"/>
                <w:highlight w:val="none"/>
                <w:lang w:val="en-US" w:eastAsia="zh-CN"/>
              </w:rPr>
              <w:t>项目实验动物中心一层动物饲养区域恶臭气体与污水处理站废气经收集后引入溶液空调自带喷淋除臭装置处理后通过30m高排气筒（DA001）高空排放；其余楼层动物饲养区域恶臭气体经收集后引入2套溶液空调自带喷淋除臭装置和2套一体扰流喷淋除臭装置处理后分别通过4根30m高排气筒（DA002~DA005）高空排放；</w:t>
            </w:r>
          </w:p>
          <w:p w14:paraId="6A5559EE">
            <w:pPr>
              <w:keepNext w:val="0"/>
              <w:keepLines w:val="0"/>
              <w:suppressLineNumbers w:val="0"/>
              <w:overflowPunct w:val="0"/>
              <w:adjustRightInd w:val="0"/>
              <w:snapToGrid w:val="0"/>
              <w:spacing w:before="0" w:beforeAutospacing="0" w:after="0" w:afterAutospacing="0" w:line="360" w:lineRule="auto"/>
              <w:ind w:left="0" w:right="0" w:firstLine="482"/>
              <w:rPr>
                <w:rFonts w:hint="default" w:cs="Times New Roman"/>
                <w:kern w:val="0"/>
                <w:sz w:val="24"/>
                <w:highlight w:val="none"/>
                <w:lang w:val="en-US" w:eastAsia="zh-CN"/>
              </w:rPr>
            </w:pPr>
            <w:r>
              <w:rPr>
                <w:rFonts w:hint="eastAsia" w:cs="Times New Roman"/>
                <w:kern w:val="0"/>
                <w:sz w:val="24"/>
                <w:highlight w:val="none"/>
                <w:lang w:val="en-US" w:eastAsia="zh-CN"/>
              </w:rPr>
              <w:t>实验动物中心一层复苏室、准备室、手术室等区域消毒废气经收集后引入活性炭吸附装置处理后通过30m高排气筒（DA006）高空排放；二层洗消室、准备间、解剖室等区域消毒废气以及二层解剖室解剖废气经活性炭吸附装置处理后通过30m高排气筒（DA007）高空排放；三层普通实验区域消毒废气经活性炭吸附装置处理后通过30m高排气筒（DA008）高空排放；三层外准备间、解剖室等区域消毒废气以及解剖废气经活性炭吸附装置处理后通过30m高排气筒（DA009）高空排放；一层危废暂存间、一般固废暂存间废气以及一层解剖室解剖废气经活性炭吸附装置处理后通过30m高排气筒（DA010）高空排放；</w:t>
            </w:r>
          </w:p>
          <w:p w14:paraId="3EF0CEB7">
            <w:pPr>
              <w:keepNext w:val="0"/>
              <w:keepLines w:val="0"/>
              <w:suppressLineNumbers w:val="0"/>
              <w:overflowPunct w:val="0"/>
              <w:adjustRightInd w:val="0"/>
              <w:snapToGrid w:val="0"/>
              <w:spacing w:before="0" w:beforeAutospacing="0" w:after="0" w:afterAutospacing="0" w:line="360" w:lineRule="auto"/>
              <w:ind w:left="0" w:right="0" w:firstLine="482"/>
              <w:rPr>
                <w:rFonts w:hint="eastAsia" w:cs="Times New Roman"/>
                <w:kern w:val="0"/>
                <w:sz w:val="24"/>
                <w:highlight w:val="none"/>
                <w:lang w:val="en-US" w:eastAsia="zh-CN"/>
              </w:rPr>
            </w:pPr>
            <w:r>
              <w:rPr>
                <w:rFonts w:hint="eastAsia" w:cs="Times New Roman"/>
                <w:kern w:val="0"/>
                <w:sz w:val="24"/>
                <w:highlight w:val="none"/>
                <w:lang w:val="en-US" w:eastAsia="zh-CN"/>
              </w:rPr>
              <w:t>科创综合楼废气收集后经9套活性炭吸附装置处理后分别设置9根40m高排气筒（DA011~DA019）高空排放；</w:t>
            </w:r>
          </w:p>
          <w:p w14:paraId="07DAE13F">
            <w:pPr>
              <w:keepNext w:val="0"/>
              <w:keepLines w:val="0"/>
              <w:suppressLineNumbers w:val="0"/>
              <w:overflowPunct w:val="0"/>
              <w:adjustRightInd w:val="0"/>
              <w:snapToGrid w:val="0"/>
              <w:spacing w:before="0" w:beforeAutospacing="0" w:after="0" w:afterAutospacing="0" w:line="360" w:lineRule="auto"/>
              <w:ind w:left="0" w:right="0" w:firstLine="482"/>
              <w:rPr>
                <w:rFonts w:hint="eastAsia" w:cs="Times New Roman"/>
                <w:kern w:val="0"/>
                <w:sz w:val="24"/>
                <w:highlight w:val="none"/>
                <w:lang w:val="en-US" w:eastAsia="zh-CN"/>
              </w:rPr>
            </w:pPr>
            <w:r>
              <w:rPr>
                <w:rFonts w:hint="eastAsia" w:cs="Times New Roman"/>
                <w:kern w:val="0"/>
                <w:sz w:val="24"/>
                <w:highlight w:val="none"/>
                <w:lang w:val="en-US" w:eastAsia="zh-CN"/>
              </w:rPr>
              <w:t>食堂油烟经风机收集引至所在建筑屋顶，经油烟净化器处理后高空排放（DA020）。</w:t>
            </w:r>
          </w:p>
          <w:p w14:paraId="7D528CAD">
            <w:pPr>
              <w:keepNext w:val="0"/>
              <w:keepLines w:val="0"/>
              <w:suppressLineNumbers w:val="0"/>
              <w:spacing w:before="0" w:beforeAutospacing="0" w:after="0" w:afterAutospacing="0" w:line="360" w:lineRule="auto"/>
              <w:ind w:left="0" w:right="0" w:firstLine="480" w:firstLineChars="200"/>
              <w:jc w:val="left"/>
              <w:rPr>
                <w:rFonts w:hint="default"/>
                <w:sz w:val="24"/>
                <w:highlight w:val="none"/>
              </w:rPr>
            </w:pPr>
            <w:r>
              <w:rPr>
                <w:rFonts w:hint="eastAsia" w:ascii="Times New Roman" w:hAnsi="Times New Roman" w:eastAsia="宋体" w:cs="Times New Roman"/>
                <w:kern w:val="0"/>
                <w:sz w:val="24"/>
                <w:highlight w:val="none"/>
                <w:lang w:eastAsia="zh-CN"/>
              </w:rPr>
              <w:t>上述</w:t>
            </w:r>
            <w:r>
              <w:rPr>
                <w:rFonts w:hint="eastAsia" w:ascii="Times New Roman" w:hAnsi="Times New Roman" w:eastAsia="宋体" w:cs="Times New Roman"/>
                <w:kern w:val="0"/>
                <w:sz w:val="24"/>
                <w:highlight w:val="none"/>
              </w:rPr>
              <w:t>采取的污染防治措施均为</w:t>
            </w:r>
            <w:r>
              <w:rPr>
                <w:rFonts w:hint="eastAsia"/>
                <w:color w:val="auto"/>
                <w:highlight w:val="none"/>
              </w:rPr>
              <w:t>《排污许可证申请与核发技术规范</w:t>
            </w:r>
            <w:r>
              <w:rPr>
                <w:rFonts w:hint="default"/>
                <w:color w:val="auto"/>
                <w:highlight w:val="none"/>
              </w:rPr>
              <w:t xml:space="preserve"> </w:t>
            </w:r>
            <w:r>
              <w:rPr>
                <w:rFonts w:hint="eastAsia"/>
                <w:color w:val="auto"/>
                <w:highlight w:val="none"/>
              </w:rPr>
              <w:t>制药工业－化学药品制剂制造》（</w:t>
            </w:r>
            <w:r>
              <w:rPr>
                <w:rFonts w:hint="default"/>
                <w:color w:val="auto"/>
                <w:highlight w:val="none"/>
              </w:rPr>
              <w:t>HJ1063-2019</w:t>
            </w:r>
            <w:r>
              <w:rPr>
                <w:rFonts w:hint="eastAsia"/>
                <w:color w:val="auto"/>
                <w:highlight w:val="none"/>
              </w:rPr>
              <w:t>）</w:t>
            </w:r>
            <w:r>
              <w:rPr>
                <w:rFonts w:hint="eastAsia"/>
                <w:color w:val="auto"/>
                <w:highlight w:val="none"/>
                <w:lang w:val="en-US" w:eastAsia="zh-CN"/>
              </w:rPr>
              <w:t>和</w:t>
            </w:r>
            <w:r>
              <w:rPr>
                <w:rFonts w:hint="eastAsia"/>
                <w:color w:val="auto"/>
                <w:highlight w:val="none"/>
              </w:rPr>
              <w:t>（DB</w:t>
            </w:r>
            <w:r>
              <w:rPr>
                <w:rFonts w:hint="default"/>
                <w:color w:val="auto"/>
                <w:highlight w:val="none"/>
              </w:rPr>
              <w:t>32/T4455-2023</w:t>
            </w:r>
            <w:r>
              <w:rPr>
                <w:rFonts w:hint="eastAsia"/>
                <w:color w:val="auto"/>
                <w:highlight w:val="none"/>
              </w:rPr>
              <w:t>）</w:t>
            </w:r>
            <w:r>
              <w:rPr>
                <w:rFonts w:hint="eastAsia"/>
                <w:color w:val="auto"/>
                <w:highlight w:val="none"/>
                <w:lang w:val="en-US" w:eastAsia="zh-CN"/>
              </w:rPr>
              <w:t>和</w:t>
            </w:r>
            <w:r>
              <w:rPr>
                <w:rFonts w:hint="eastAsia" w:ascii="Times New Roman" w:hAnsi="Times New Roman" w:eastAsia="宋体" w:cs="Times New Roman"/>
                <w:kern w:val="0"/>
                <w:sz w:val="24"/>
                <w:highlight w:val="none"/>
              </w:rPr>
              <w:t>的可行性技术，项目废气排放能确保达到</w:t>
            </w:r>
            <w:r>
              <w:rPr>
                <w:rFonts w:hint="eastAsia" w:ascii="Times New Roman" w:hAnsi="Times New Roman" w:eastAsia="宋体" w:cs="Times New Roman"/>
                <w:sz w:val="24"/>
                <w:highlight w:val="none"/>
              </w:rPr>
              <w:t>《大气污染物综合排放标准》</w:t>
            </w:r>
            <w:r>
              <w:rPr>
                <w:rFonts w:hint="eastAsia" w:ascii="Times New Roman" w:hAnsi="Times New Roman" w:eastAsia="宋体" w:cs="Times New Roman"/>
                <w:sz w:val="24"/>
                <w:highlight w:val="none"/>
                <w:lang w:eastAsia="zh-CN"/>
              </w:rPr>
              <w:t>（</w:t>
            </w:r>
            <w:r>
              <w:rPr>
                <w:rFonts w:hint="eastAsia" w:ascii="Times New Roman" w:hAnsi="Times New Roman" w:eastAsia="宋体" w:cs="Times New Roman"/>
                <w:sz w:val="24"/>
                <w:highlight w:val="none"/>
              </w:rPr>
              <w:t>GB16297-1996</w:t>
            </w:r>
            <w:r>
              <w:rPr>
                <w:rFonts w:hint="eastAsia" w:ascii="Times New Roman" w:hAnsi="Times New Roman" w:eastAsia="宋体" w:cs="Times New Roman"/>
                <w:sz w:val="24"/>
                <w:highlight w:val="none"/>
                <w:lang w:eastAsia="zh-CN"/>
              </w:rPr>
              <w:t>）</w:t>
            </w:r>
            <w:r>
              <w:rPr>
                <w:rFonts w:hint="eastAsia" w:cs="Times New Roman"/>
                <w:sz w:val="24"/>
                <w:highlight w:val="none"/>
                <w:lang w:eastAsia="zh-CN"/>
              </w:rPr>
              <w:t>、《制药工业大气污染物排放标准》（GB37823-2019）</w:t>
            </w:r>
            <w:r>
              <w:rPr>
                <w:rFonts w:hint="eastAsia" w:cs="Times New Roman"/>
                <w:sz w:val="24"/>
                <w:highlight w:val="none"/>
                <w:lang w:val="en-US" w:eastAsia="zh-CN"/>
              </w:rPr>
              <w:t>以及《恶臭污染物排放标准》（GB14554-93）</w:t>
            </w:r>
            <w:r>
              <w:rPr>
                <w:rFonts w:hint="eastAsia" w:ascii="Times New Roman" w:hAnsi="Times New Roman" w:eastAsia="宋体" w:cs="Times New Roman"/>
                <w:sz w:val="24"/>
                <w:highlight w:val="none"/>
                <w:lang w:val="en-US" w:eastAsia="zh-CN"/>
              </w:rPr>
              <w:t>中限值要求</w:t>
            </w:r>
            <w:r>
              <w:rPr>
                <w:rFonts w:hint="eastAsia" w:ascii="Times New Roman" w:hAnsi="Times New Roman" w:eastAsia="宋体" w:cs="Times New Roman"/>
                <w:kern w:val="0"/>
                <w:sz w:val="24"/>
                <w:highlight w:val="none"/>
              </w:rPr>
              <w:t>，</w:t>
            </w:r>
            <w:r>
              <w:rPr>
                <w:rFonts w:hint="eastAsia" w:ascii="Times New Roman" w:hAnsi="Times New Roman" w:eastAsia="宋体" w:cs="Times New Roman"/>
                <w:sz w:val="24"/>
                <w:highlight w:val="none"/>
              </w:rPr>
              <w:t>对周边大气环境影响较小。</w:t>
            </w:r>
          </w:p>
          <w:p w14:paraId="06DA3FAB">
            <w:pPr>
              <w:keepNext w:val="0"/>
              <w:keepLines w:val="0"/>
              <w:suppressLineNumbers w:val="0"/>
              <w:adjustRightInd w:val="0"/>
              <w:snapToGrid w:val="0"/>
              <w:spacing w:before="0" w:beforeAutospacing="0" w:after="0" w:afterAutospacing="0" w:line="360" w:lineRule="auto"/>
              <w:ind w:left="0" w:right="0" w:firstLine="482" w:firstLineChars="200"/>
              <w:jc w:val="left"/>
              <w:rPr>
                <w:rFonts w:hint="eastAsia"/>
                <w:b/>
                <w:kern w:val="0"/>
                <w:sz w:val="24"/>
                <w:highlight w:val="none"/>
              </w:rPr>
            </w:pPr>
            <w:r>
              <w:rPr>
                <w:rFonts w:hint="eastAsia"/>
                <w:b/>
                <w:kern w:val="0"/>
                <w:sz w:val="24"/>
                <w:highlight w:val="none"/>
                <w:lang w:val="en-US" w:eastAsia="zh-CN"/>
              </w:rPr>
              <w:t>13</w:t>
            </w:r>
            <w:r>
              <w:rPr>
                <w:rFonts w:hint="eastAsia"/>
                <w:b/>
                <w:kern w:val="0"/>
                <w:sz w:val="24"/>
                <w:highlight w:val="none"/>
              </w:rPr>
              <w:t>、建设项目大气环境影响评价自查表</w:t>
            </w:r>
          </w:p>
          <w:p w14:paraId="48324D21">
            <w:pPr>
              <w:keepNext w:val="0"/>
              <w:keepLines w:val="0"/>
              <w:suppressLineNumbers w:val="0"/>
              <w:spacing w:before="0" w:beforeAutospacing="0" w:after="0" w:afterAutospacing="0" w:line="360" w:lineRule="auto"/>
              <w:ind w:left="0" w:right="0" w:firstLine="482" w:firstLineChars="200"/>
              <w:jc w:val="center"/>
              <w:rPr>
                <w:rFonts w:hint="eastAsia"/>
                <w:b/>
                <w:bCs/>
                <w:sz w:val="24"/>
                <w:highlight w:val="none"/>
              </w:rPr>
            </w:pPr>
            <w:r>
              <w:rPr>
                <w:rFonts w:hint="eastAsia"/>
                <w:b/>
                <w:bCs/>
                <w:sz w:val="24"/>
                <w:highlight w:val="none"/>
              </w:rPr>
              <w:t>表7-</w:t>
            </w:r>
            <w:r>
              <w:rPr>
                <w:rFonts w:hint="eastAsia"/>
                <w:b/>
                <w:bCs/>
                <w:sz w:val="24"/>
                <w:highlight w:val="none"/>
                <w:lang w:val="en-US" w:eastAsia="zh-CN"/>
              </w:rPr>
              <w:t>31</w:t>
            </w:r>
            <w:r>
              <w:rPr>
                <w:rFonts w:hint="eastAsia"/>
                <w:b/>
                <w:bCs/>
                <w:sz w:val="24"/>
                <w:highlight w:val="none"/>
              </w:rPr>
              <w:t xml:space="preserve"> 建设项目大气环境影响评价自查表</w:t>
            </w:r>
          </w:p>
          <w:tbl>
            <w:tblPr>
              <w:tblStyle w:val="32"/>
              <w:tblW w:w="8033" w:type="dxa"/>
              <w:tblInd w:w="0"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540"/>
              <w:gridCol w:w="1499"/>
              <w:gridCol w:w="779"/>
              <w:gridCol w:w="149"/>
              <w:gridCol w:w="509"/>
              <w:gridCol w:w="59"/>
              <w:gridCol w:w="387"/>
              <w:gridCol w:w="111"/>
              <w:gridCol w:w="215"/>
              <w:gridCol w:w="397"/>
              <w:gridCol w:w="337"/>
              <w:gridCol w:w="50"/>
              <w:gridCol w:w="538"/>
              <w:gridCol w:w="260"/>
              <w:gridCol w:w="202"/>
              <w:gridCol w:w="496"/>
              <w:gridCol w:w="92"/>
              <w:gridCol w:w="124"/>
              <w:gridCol w:w="500"/>
              <w:gridCol w:w="145"/>
              <w:gridCol w:w="644"/>
            </w:tblGrid>
            <w:tr w14:paraId="0879174C">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c>
                <w:tcPr>
                  <w:tcW w:w="1269" w:type="pct"/>
                  <w:gridSpan w:val="2"/>
                  <w:noWrap w:val="0"/>
                  <w:vAlign w:val="center"/>
                </w:tcPr>
                <w:p w14:paraId="2D8F1150">
                  <w:pPr>
                    <w:keepNext w:val="0"/>
                    <w:keepLines w:val="0"/>
                    <w:suppressLineNumbers w:val="0"/>
                    <w:spacing w:before="0" w:beforeAutospacing="0" w:after="0" w:afterAutospacing="0" w:line="288" w:lineRule="auto"/>
                    <w:ind w:left="0" w:right="0"/>
                    <w:jc w:val="center"/>
                    <w:rPr>
                      <w:rFonts w:hint="eastAsia"/>
                      <w:sz w:val="18"/>
                      <w:szCs w:val="18"/>
                      <w:highlight w:val="none"/>
                    </w:rPr>
                  </w:pPr>
                  <w:r>
                    <w:rPr>
                      <w:rFonts w:hint="eastAsia"/>
                      <w:sz w:val="18"/>
                      <w:szCs w:val="18"/>
                      <w:highlight w:val="none"/>
                    </w:rPr>
                    <w:t>工作内容</w:t>
                  </w:r>
                </w:p>
              </w:tc>
              <w:tc>
                <w:tcPr>
                  <w:tcW w:w="3730" w:type="pct"/>
                  <w:gridSpan w:val="19"/>
                  <w:noWrap w:val="0"/>
                  <w:vAlign w:val="center"/>
                </w:tcPr>
                <w:p w14:paraId="11745982">
                  <w:pPr>
                    <w:keepNext w:val="0"/>
                    <w:keepLines w:val="0"/>
                    <w:suppressLineNumbers w:val="0"/>
                    <w:spacing w:before="0" w:beforeAutospacing="0" w:after="0" w:afterAutospacing="0" w:line="288" w:lineRule="auto"/>
                    <w:ind w:left="0" w:right="0"/>
                    <w:jc w:val="center"/>
                    <w:rPr>
                      <w:rFonts w:hint="eastAsia"/>
                      <w:sz w:val="18"/>
                      <w:szCs w:val="18"/>
                      <w:highlight w:val="none"/>
                    </w:rPr>
                  </w:pPr>
                  <w:r>
                    <w:rPr>
                      <w:rFonts w:hint="eastAsia"/>
                      <w:sz w:val="18"/>
                      <w:szCs w:val="18"/>
                      <w:highlight w:val="none"/>
                    </w:rPr>
                    <w:t>自查项目</w:t>
                  </w:r>
                </w:p>
              </w:tc>
            </w:tr>
            <w:tr w14:paraId="2038C715">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c>
                <w:tcPr>
                  <w:tcW w:w="336" w:type="pct"/>
                  <w:vMerge w:val="restart"/>
                  <w:tcBorders>
                    <w:bottom w:val="nil"/>
                  </w:tcBorders>
                  <w:noWrap w:val="0"/>
                  <w:vAlign w:val="center"/>
                </w:tcPr>
                <w:p w14:paraId="0327E444">
                  <w:pPr>
                    <w:keepNext w:val="0"/>
                    <w:keepLines w:val="0"/>
                    <w:suppressLineNumbers w:val="0"/>
                    <w:spacing w:before="0" w:beforeAutospacing="0" w:after="0" w:afterAutospacing="0" w:line="288" w:lineRule="auto"/>
                    <w:ind w:left="0" w:right="0"/>
                    <w:jc w:val="center"/>
                    <w:rPr>
                      <w:rFonts w:hint="eastAsia"/>
                      <w:sz w:val="18"/>
                      <w:szCs w:val="18"/>
                      <w:highlight w:val="none"/>
                    </w:rPr>
                  </w:pPr>
                  <w:r>
                    <w:rPr>
                      <w:rFonts w:hint="eastAsia"/>
                      <w:sz w:val="18"/>
                      <w:szCs w:val="18"/>
                      <w:highlight w:val="none"/>
                    </w:rPr>
                    <w:t>评价</w:t>
                  </w:r>
                </w:p>
                <w:p w14:paraId="41ABCBED">
                  <w:pPr>
                    <w:keepNext w:val="0"/>
                    <w:keepLines w:val="0"/>
                    <w:suppressLineNumbers w:val="0"/>
                    <w:spacing w:before="0" w:beforeAutospacing="0" w:after="0" w:afterAutospacing="0" w:line="288" w:lineRule="auto"/>
                    <w:ind w:left="0" w:right="0"/>
                    <w:jc w:val="center"/>
                    <w:rPr>
                      <w:rFonts w:hint="eastAsia"/>
                      <w:sz w:val="18"/>
                      <w:szCs w:val="18"/>
                      <w:highlight w:val="none"/>
                    </w:rPr>
                  </w:pPr>
                  <w:r>
                    <w:rPr>
                      <w:rFonts w:hint="eastAsia"/>
                      <w:sz w:val="18"/>
                      <w:szCs w:val="18"/>
                      <w:highlight w:val="none"/>
                    </w:rPr>
                    <w:t>等级</w:t>
                  </w:r>
                </w:p>
                <w:p w14:paraId="0646B475">
                  <w:pPr>
                    <w:keepNext w:val="0"/>
                    <w:keepLines w:val="0"/>
                    <w:suppressLineNumbers w:val="0"/>
                    <w:spacing w:before="0" w:beforeAutospacing="0" w:after="0" w:afterAutospacing="0" w:line="288" w:lineRule="auto"/>
                    <w:ind w:left="0" w:right="0"/>
                    <w:jc w:val="center"/>
                    <w:rPr>
                      <w:rFonts w:hint="eastAsia"/>
                      <w:sz w:val="18"/>
                      <w:szCs w:val="18"/>
                      <w:highlight w:val="none"/>
                    </w:rPr>
                  </w:pPr>
                  <w:r>
                    <w:rPr>
                      <w:rFonts w:hint="eastAsia"/>
                      <w:sz w:val="18"/>
                      <w:szCs w:val="18"/>
                      <w:highlight w:val="none"/>
                    </w:rPr>
                    <w:t>与范</w:t>
                  </w:r>
                </w:p>
                <w:p w14:paraId="1712E663">
                  <w:pPr>
                    <w:keepNext w:val="0"/>
                    <w:keepLines w:val="0"/>
                    <w:suppressLineNumbers w:val="0"/>
                    <w:spacing w:before="0" w:beforeAutospacing="0" w:after="0" w:afterAutospacing="0" w:line="288" w:lineRule="auto"/>
                    <w:ind w:left="0" w:right="0"/>
                    <w:jc w:val="center"/>
                    <w:rPr>
                      <w:rFonts w:hint="eastAsia"/>
                      <w:sz w:val="18"/>
                      <w:szCs w:val="18"/>
                      <w:highlight w:val="none"/>
                    </w:rPr>
                  </w:pPr>
                  <w:r>
                    <w:rPr>
                      <w:rFonts w:hint="eastAsia"/>
                      <w:sz w:val="18"/>
                      <w:szCs w:val="18"/>
                      <w:highlight w:val="none"/>
                    </w:rPr>
                    <w:t>围</w:t>
                  </w:r>
                </w:p>
              </w:tc>
              <w:tc>
                <w:tcPr>
                  <w:tcW w:w="933" w:type="pct"/>
                  <w:noWrap w:val="0"/>
                  <w:vAlign w:val="center"/>
                </w:tcPr>
                <w:p w14:paraId="3FCB4284">
                  <w:pPr>
                    <w:keepNext w:val="0"/>
                    <w:keepLines w:val="0"/>
                    <w:suppressLineNumbers w:val="0"/>
                    <w:spacing w:before="0" w:beforeAutospacing="0" w:after="0" w:afterAutospacing="0" w:line="288" w:lineRule="auto"/>
                    <w:ind w:left="0" w:right="0"/>
                    <w:jc w:val="center"/>
                    <w:rPr>
                      <w:rFonts w:hint="eastAsia"/>
                      <w:sz w:val="18"/>
                      <w:szCs w:val="18"/>
                      <w:highlight w:val="none"/>
                    </w:rPr>
                  </w:pPr>
                  <w:r>
                    <w:rPr>
                      <w:rFonts w:hint="eastAsia"/>
                      <w:sz w:val="18"/>
                      <w:szCs w:val="18"/>
                      <w:highlight w:val="none"/>
                    </w:rPr>
                    <w:t>评价等级</w:t>
                  </w:r>
                </w:p>
              </w:tc>
              <w:tc>
                <w:tcPr>
                  <w:tcW w:w="1173" w:type="pct"/>
                  <w:gridSpan w:val="5"/>
                  <w:noWrap w:val="0"/>
                  <w:vAlign w:val="center"/>
                </w:tcPr>
                <w:p w14:paraId="08BBEA04">
                  <w:pPr>
                    <w:keepNext w:val="0"/>
                    <w:keepLines w:val="0"/>
                    <w:suppressLineNumbers w:val="0"/>
                    <w:spacing w:before="0" w:beforeAutospacing="0" w:after="0" w:afterAutospacing="0" w:line="288" w:lineRule="auto"/>
                    <w:ind w:left="0" w:right="0"/>
                    <w:jc w:val="center"/>
                    <w:rPr>
                      <w:rFonts w:hint="eastAsia"/>
                      <w:sz w:val="18"/>
                      <w:szCs w:val="18"/>
                      <w:highlight w:val="none"/>
                    </w:rPr>
                  </w:pPr>
                  <w:r>
                    <w:rPr>
                      <w:rFonts w:hint="eastAsia"/>
                      <w:sz w:val="18"/>
                      <w:szCs w:val="18"/>
                      <w:highlight w:val="none"/>
                    </w:rPr>
                    <w:t>一级□</w:t>
                  </w:r>
                </w:p>
              </w:tc>
              <w:tc>
                <w:tcPr>
                  <w:tcW w:w="1314" w:type="pct"/>
                  <w:gridSpan w:val="8"/>
                  <w:noWrap w:val="0"/>
                  <w:vAlign w:val="center"/>
                </w:tcPr>
                <w:p w14:paraId="1B0414AA">
                  <w:pPr>
                    <w:keepNext w:val="0"/>
                    <w:keepLines w:val="0"/>
                    <w:suppressLineNumbers w:val="0"/>
                    <w:spacing w:before="0" w:beforeAutospacing="0" w:after="0" w:afterAutospacing="0" w:line="288" w:lineRule="auto"/>
                    <w:ind w:left="0" w:right="0"/>
                    <w:jc w:val="center"/>
                    <w:rPr>
                      <w:rFonts w:hint="eastAsia"/>
                      <w:sz w:val="18"/>
                      <w:szCs w:val="18"/>
                      <w:highlight w:val="none"/>
                    </w:rPr>
                  </w:pPr>
                  <w:r>
                    <w:rPr>
                      <w:rFonts w:hint="eastAsia"/>
                      <w:sz w:val="18"/>
                      <w:szCs w:val="18"/>
                      <w:highlight w:val="none"/>
                    </w:rPr>
                    <w:t>二级□</w:t>
                  </w:r>
                </w:p>
              </w:tc>
              <w:tc>
                <w:tcPr>
                  <w:tcW w:w="1241" w:type="pct"/>
                  <w:gridSpan w:val="6"/>
                  <w:noWrap w:val="0"/>
                  <w:vAlign w:val="center"/>
                </w:tcPr>
                <w:p w14:paraId="6B2EA0CC">
                  <w:pPr>
                    <w:keepNext w:val="0"/>
                    <w:keepLines w:val="0"/>
                    <w:suppressLineNumbers w:val="0"/>
                    <w:spacing w:before="0" w:beforeAutospacing="0" w:after="0" w:afterAutospacing="0" w:line="288" w:lineRule="auto"/>
                    <w:ind w:left="0" w:right="0"/>
                    <w:jc w:val="center"/>
                    <w:rPr>
                      <w:rFonts w:hint="eastAsia"/>
                      <w:sz w:val="18"/>
                      <w:szCs w:val="18"/>
                      <w:highlight w:val="none"/>
                    </w:rPr>
                  </w:pPr>
                  <w:r>
                    <w:rPr>
                      <w:rFonts w:hint="eastAsia"/>
                      <w:sz w:val="18"/>
                      <w:szCs w:val="18"/>
                      <w:highlight w:val="none"/>
                    </w:rPr>
                    <w:t>三级☑</w:t>
                  </w:r>
                </w:p>
              </w:tc>
            </w:tr>
            <w:tr w14:paraId="30DA3953">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c>
                <w:tcPr>
                  <w:tcW w:w="336" w:type="pct"/>
                  <w:vMerge w:val="continue"/>
                  <w:tcBorders>
                    <w:top w:val="nil"/>
                  </w:tcBorders>
                  <w:noWrap w:val="0"/>
                  <w:vAlign w:val="center"/>
                </w:tcPr>
                <w:p w14:paraId="4F7B7120">
                  <w:pPr>
                    <w:keepNext w:val="0"/>
                    <w:keepLines w:val="0"/>
                    <w:suppressLineNumbers w:val="0"/>
                    <w:spacing w:before="0" w:beforeAutospacing="0" w:after="0" w:afterAutospacing="0" w:line="288" w:lineRule="auto"/>
                    <w:ind w:left="0" w:right="0"/>
                    <w:jc w:val="center"/>
                    <w:rPr>
                      <w:rFonts w:hint="eastAsia"/>
                      <w:sz w:val="18"/>
                      <w:szCs w:val="18"/>
                      <w:highlight w:val="none"/>
                    </w:rPr>
                  </w:pPr>
                </w:p>
              </w:tc>
              <w:tc>
                <w:tcPr>
                  <w:tcW w:w="933" w:type="pct"/>
                  <w:noWrap w:val="0"/>
                  <w:vAlign w:val="center"/>
                </w:tcPr>
                <w:p w14:paraId="46B74606">
                  <w:pPr>
                    <w:keepNext w:val="0"/>
                    <w:keepLines w:val="0"/>
                    <w:suppressLineNumbers w:val="0"/>
                    <w:spacing w:before="0" w:beforeAutospacing="0" w:after="0" w:afterAutospacing="0" w:line="288" w:lineRule="auto"/>
                    <w:ind w:left="0" w:right="0"/>
                    <w:jc w:val="center"/>
                    <w:rPr>
                      <w:rFonts w:hint="eastAsia"/>
                      <w:sz w:val="18"/>
                      <w:szCs w:val="18"/>
                      <w:highlight w:val="none"/>
                    </w:rPr>
                  </w:pPr>
                  <w:r>
                    <w:rPr>
                      <w:rFonts w:hint="eastAsia"/>
                      <w:sz w:val="18"/>
                      <w:szCs w:val="18"/>
                      <w:highlight w:val="none"/>
                    </w:rPr>
                    <w:t>评价范围</w:t>
                  </w:r>
                </w:p>
              </w:tc>
              <w:tc>
                <w:tcPr>
                  <w:tcW w:w="1173" w:type="pct"/>
                  <w:gridSpan w:val="5"/>
                  <w:noWrap w:val="0"/>
                  <w:vAlign w:val="center"/>
                </w:tcPr>
                <w:p w14:paraId="4EBD50C5">
                  <w:pPr>
                    <w:keepNext w:val="0"/>
                    <w:keepLines w:val="0"/>
                    <w:suppressLineNumbers w:val="0"/>
                    <w:spacing w:before="0" w:beforeAutospacing="0" w:after="0" w:afterAutospacing="0" w:line="288" w:lineRule="auto"/>
                    <w:ind w:left="0" w:right="0"/>
                    <w:jc w:val="center"/>
                    <w:rPr>
                      <w:rFonts w:hint="eastAsia"/>
                      <w:sz w:val="18"/>
                      <w:szCs w:val="18"/>
                      <w:highlight w:val="none"/>
                    </w:rPr>
                  </w:pPr>
                  <w:r>
                    <w:rPr>
                      <w:rFonts w:hint="eastAsia"/>
                      <w:sz w:val="18"/>
                      <w:szCs w:val="18"/>
                      <w:highlight w:val="none"/>
                    </w:rPr>
                    <w:t>边长=50km□</w:t>
                  </w:r>
                </w:p>
              </w:tc>
              <w:tc>
                <w:tcPr>
                  <w:tcW w:w="1314" w:type="pct"/>
                  <w:gridSpan w:val="8"/>
                  <w:noWrap w:val="0"/>
                  <w:vAlign w:val="center"/>
                </w:tcPr>
                <w:p w14:paraId="573EDAE6">
                  <w:pPr>
                    <w:keepNext w:val="0"/>
                    <w:keepLines w:val="0"/>
                    <w:suppressLineNumbers w:val="0"/>
                    <w:spacing w:before="0" w:beforeAutospacing="0" w:after="0" w:afterAutospacing="0" w:line="288" w:lineRule="auto"/>
                    <w:ind w:left="0" w:right="0"/>
                    <w:jc w:val="center"/>
                    <w:rPr>
                      <w:rFonts w:hint="eastAsia"/>
                      <w:sz w:val="18"/>
                      <w:szCs w:val="18"/>
                      <w:highlight w:val="none"/>
                    </w:rPr>
                  </w:pPr>
                  <w:r>
                    <w:rPr>
                      <w:rFonts w:hint="eastAsia"/>
                      <w:sz w:val="18"/>
                      <w:szCs w:val="18"/>
                      <w:highlight w:val="none"/>
                    </w:rPr>
                    <w:t>边长5~50km□</w:t>
                  </w:r>
                </w:p>
              </w:tc>
              <w:tc>
                <w:tcPr>
                  <w:tcW w:w="1241" w:type="pct"/>
                  <w:gridSpan w:val="6"/>
                  <w:noWrap w:val="0"/>
                  <w:vAlign w:val="center"/>
                </w:tcPr>
                <w:p w14:paraId="72931397">
                  <w:pPr>
                    <w:keepNext w:val="0"/>
                    <w:keepLines w:val="0"/>
                    <w:suppressLineNumbers w:val="0"/>
                    <w:spacing w:before="0" w:beforeAutospacing="0" w:after="0" w:afterAutospacing="0" w:line="288" w:lineRule="auto"/>
                    <w:ind w:left="0" w:right="0"/>
                    <w:jc w:val="center"/>
                    <w:rPr>
                      <w:rFonts w:hint="eastAsia"/>
                      <w:sz w:val="18"/>
                      <w:szCs w:val="18"/>
                      <w:highlight w:val="none"/>
                    </w:rPr>
                  </w:pPr>
                  <w:r>
                    <w:rPr>
                      <w:rFonts w:hint="eastAsia"/>
                      <w:sz w:val="18"/>
                      <w:szCs w:val="18"/>
                      <w:highlight w:val="none"/>
                    </w:rPr>
                    <w:t>边长=5km☑</w:t>
                  </w:r>
                </w:p>
              </w:tc>
            </w:tr>
            <w:tr w14:paraId="77C770CA">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c>
                <w:tcPr>
                  <w:tcW w:w="336" w:type="pct"/>
                  <w:vMerge w:val="restart"/>
                  <w:tcBorders>
                    <w:bottom w:val="nil"/>
                  </w:tcBorders>
                  <w:noWrap w:val="0"/>
                  <w:vAlign w:val="center"/>
                </w:tcPr>
                <w:p w14:paraId="3C80D7A6">
                  <w:pPr>
                    <w:keepNext w:val="0"/>
                    <w:keepLines w:val="0"/>
                    <w:suppressLineNumbers w:val="0"/>
                    <w:spacing w:before="0" w:beforeAutospacing="0" w:after="0" w:afterAutospacing="0" w:line="288" w:lineRule="auto"/>
                    <w:ind w:left="0" w:right="0"/>
                    <w:jc w:val="center"/>
                    <w:rPr>
                      <w:rFonts w:hint="eastAsia"/>
                      <w:sz w:val="18"/>
                      <w:szCs w:val="18"/>
                      <w:highlight w:val="none"/>
                    </w:rPr>
                  </w:pPr>
                  <w:r>
                    <w:rPr>
                      <w:rFonts w:hint="eastAsia"/>
                      <w:sz w:val="18"/>
                      <w:szCs w:val="18"/>
                      <w:highlight w:val="none"/>
                    </w:rPr>
                    <w:t>评价因子</w:t>
                  </w:r>
                </w:p>
              </w:tc>
              <w:tc>
                <w:tcPr>
                  <w:tcW w:w="933" w:type="pct"/>
                  <w:noWrap w:val="0"/>
                  <w:vAlign w:val="center"/>
                </w:tcPr>
                <w:p w14:paraId="651ED029">
                  <w:pPr>
                    <w:keepNext w:val="0"/>
                    <w:keepLines w:val="0"/>
                    <w:suppressLineNumbers w:val="0"/>
                    <w:spacing w:before="0" w:beforeAutospacing="0" w:after="0" w:afterAutospacing="0" w:line="288" w:lineRule="auto"/>
                    <w:ind w:left="0" w:right="0"/>
                    <w:jc w:val="center"/>
                    <w:rPr>
                      <w:rFonts w:hint="eastAsia"/>
                      <w:sz w:val="18"/>
                      <w:szCs w:val="18"/>
                      <w:highlight w:val="none"/>
                    </w:rPr>
                  </w:pPr>
                  <w:r>
                    <w:rPr>
                      <w:rFonts w:hint="eastAsia"/>
                      <w:sz w:val="18"/>
                      <w:szCs w:val="18"/>
                      <w:highlight w:val="none"/>
                    </w:rPr>
                    <w:t>SO</w:t>
                  </w:r>
                  <w:r>
                    <w:rPr>
                      <w:rFonts w:hint="eastAsia"/>
                      <w:sz w:val="18"/>
                      <w:szCs w:val="18"/>
                      <w:highlight w:val="none"/>
                      <w:vertAlign w:val="subscript"/>
                    </w:rPr>
                    <w:t>2</w:t>
                  </w:r>
                  <w:r>
                    <w:rPr>
                      <w:rFonts w:hint="eastAsia"/>
                      <w:sz w:val="18"/>
                      <w:szCs w:val="18"/>
                      <w:highlight w:val="none"/>
                    </w:rPr>
                    <w:t>+NOx排放量</w:t>
                  </w:r>
                </w:p>
              </w:tc>
              <w:tc>
                <w:tcPr>
                  <w:tcW w:w="1173" w:type="pct"/>
                  <w:gridSpan w:val="5"/>
                  <w:noWrap w:val="0"/>
                  <w:vAlign w:val="center"/>
                </w:tcPr>
                <w:p w14:paraId="16CB4993">
                  <w:pPr>
                    <w:keepNext w:val="0"/>
                    <w:keepLines w:val="0"/>
                    <w:suppressLineNumbers w:val="0"/>
                    <w:spacing w:before="0" w:beforeAutospacing="0" w:after="0" w:afterAutospacing="0" w:line="288" w:lineRule="auto"/>
                    <w:ind w:left="0" w:right="0"/>
                    <w:jc w:val="center"/>
                    <w:rPr>
                      <w:rFonts w:hint="eastAsia"/>
                      <w:sz w:val="18"/>
                      <w:szCs w:val="18"/>
                      <w:highlight w:val="none"/>
                    </w:rPr>
                  </w:pPr>
                  <w:r>
                    <w:rPr>
                      <w:rFonts w:hint="eastAsia"/>
                      <w:sz w:val="18"/>
                      <w:szCs w:val="18"/>
                      <w:highlight w:val="none"/>
                    </w:rPr>
                    <w:t>≥2000t/a□</w:t>
                  </w:r>
                </w:p>
              </w:tc>
              <w:tc>
                <w:tcPr>
                  <w:tcW w:w="1314" w:type="pct"/>
                  <w:gridSpan w:val="8"/>
                  <w:noWrap w:val="0"/>
                  <w:vAlign w:val="center"/>
                </w:tcPr>
                <w:p w14:paraId="55C88F4B">
                  <w:pPr>
                    <w:keepNext w:val="0"/>
                    <w:keepLines w:val="0"/>
                    <w:suppressLineNumbers w:val="0"/>
                    <w:spacing w:before="0" w:beforeAutospacing="0" w:after="0" w:afterAutospacing="0" w:line="288" w:lineRule="auto"/>
                    <w:ind w:left="0" w:right="0"/>
                    <w:jc w:val="center"/>
                    <w:rPr>
                      <w:rFonts w:hint="eastAsia"/>
                      <w:sz w:val="18"/>
                      <w:szCs w:val="18"/>
                      <w:highlight w:val="none"/>
                    </w:rPr>
                  </w:pPr>
                  <w:r>
                    <w:rPr>
                      <w:rFonts w:hint="eastAsia"/>
                      <w:sz w:val="18"/>
                      <w:szCs w:val="18"/>
                      <w:highlight w:val="none"/>
                    </w:rPr>
                    <w:t>500~2000t/a□</w:t>
                  </w:r>
                </w:p>
              </w:tc>
              <w:tc>
                <w:tcPr>
                  <w:tcW w:w="1241" w:type="pct"/>
                  <w:gridSpan w:val="6"/>
                  <w:noWrap w:val="0"/>
                  <w:vAlign w:val="center"/>
                </w:tcPr>
                <w:p w14:paraId="09943773">
                  <w:pPr>
                    <w:keepNext w:val="0"/>
                    <w:keepLines w:val="0"/>
                    <w:suppressLineNumbers w:val="0"/>
                    <w:spacing w:before="0" w:beforeAutospacing="0" w:after="0" w:afterAutospacing="0" w:line="288" w:lineRule="auto"/>
                    <w:ind w:left="0" w:right="0"/>
                    <w:jc w:val="center"/>
                    <w:rPr>
                      <w:rFonts w:hint="eastAsia"/>
                      <w:sz w:val="18"/>
                      <w:szCs w:val="18"/>
                      <w:highlight w:val="none"/>
                    </w:rPr>
                  </w:pPr>
                  <w:r>
                    <w:rPr>
                      <w:rFonts w:hint="eastAsia"/>
                      <w:sz w:val="18"/>
                      <w:szCs w:val="18"/>
                      <w:highlight w:val="none"/>
                    </w:rPr>
                    <w:t>&lt;500t/a☑</w:t>
                  </w:r>
                </w:p>
              </w:tc>
            </w:tr>
            <w:tr w14:paraId="13FE9E21">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c>
                <w:tcPr>
                  <w:tcW w:w="336" w:type="pct"/>
                  <w:vMerge w:val="continue"/>
                  <w:tcBorders>
                    <w:top w:val="nil"/>
                  </w:tcBorders>
                  <w:noWrap w:val="0"/>
                  <w:vAlign w:val="center"/>
                </w:tcPr>
                <w:p w14:paraId="1D41E827">
                  <w:pPr>
                    <w:keepNext w:val="0"/>
                    <w:keepLines w:val="0"/>
                    <w:suppressLineNumbers w:val="0"/>
                    <w:spacing w:before="0" w:beforeAutospacing="0" w:after="0" w:afterAutospacing="0" w:line="288" w:lineRule="auto"/>
                    <w:ind w:left="0" w:right="0"/>
                    <w:jc w:val="center"/>
                    <w:rPr>
                      <w:rFonts w:hint="eastAsia"/>
                      <w:sz w:val="18"/>
                      <w:szCs w:val="18"/>
                      <w:highlight w:val="none"/>
                    </w:rPr>
                  </w:pPr>
                </w:p>
              </w:tc>
              <w:tc>
                <w:tcPr>
                  <w:tcW w:w="933" w:type="pct"/>
                  <w:noWrap w:val="0"/>
                  <w:vAlign w:val="center"/>
                </w:tcPr>
                <w:p w14:paraId="6E78766A">
                  <w:pPr>
                    <w:keepNext w:val="0"/>
                    <w:keepLines w:val="0"/>
                    <w:suppressLineNumbers w:val="0"/>
                    <w:spacing w:before="0" w:beforeAutospacing="0" w:after="0" w:afterAutospacing="0" w:line="288" w:lineRule="auto"/>
                    <w:ind w:left="0" w:right="0"/>
                    <w:jc w:val="center"/>
                    <w:rPr>
                      <w:rFonts w:hint="eastAsia"/>
                      <w:sz w:val="18"/>
                      <w:szCs w:val="18"/>
                      <w:highlight w:val="none"/>
                    </w:rPr>
                  </w:pPr>
                  <w:r>
                    <w:rPr>
                      <w:rFonts w:hint="eastAsia"/>
                      <w:sz w:val="18"/>
                      <w:szCs w:val="18"/>
                      <w:highlight w:val="none"/>
                    </w:rPr>
                    <w:t>评价因子</w:t>
                  </w:r>
                </w:p>
              </w:tc>
              <w:tc>
                <w:tcPr>
                  <w:tcW w:w="2199" w:type="pct"/>
                  <w:gridSpan w:val="11"/>
                  <w:noWrap w:val="0"/>
                  <w:vAlign w:val="center"/>
                </w:tcPr>
                <w:p w14:paraId="7D1B5FBA">
                  <w:pPr>
                    <w:keepNext w:val="0"/>
                    <w:keepLines w:val="0"/>
                    <w:suppressLineNumbers w:val="0"/>
                    <w:spacing w:before="0" w:beforeAutospacing="0" w:after="0" w:afterAutospacing="0" w:line="288" w:lineRule="auto"/>
                    <w:ind w:left="0" w:right="0"/>
                    <w:jc w:val="center"/>
                    <w:rPr>
                      <w:rFonts w:hint="eastAsia"/>
                      <w:sz w:val="18"/>
                      <w:szCs w:val="18"/>
                      <w:highlight w:val="none"/>
                    </w:rPr>
                  </w:pPr>
                  <w:r>
                    <w:rPr>
                      <w:rFonts w:hint="eastAsia"/>
                      <w:sz w:val="18"/>
                      <w:szCs w:val="18"/>
                      <w:highlight w:val="none"/>
                    </w:rPr>
                    <w:t>基本污染物（）</w:t>
                  </w:r>
                </w:p>
                <w:p w14:paraId="4F431555">
                  <w:pPr>
                    <w:keepNext w:val="0"/>
                    <w:keepLines w:val="0"/>
                    <w:suppressLineNumbers w:val="0"/>
                    <w:spacing w:before="0" w:beforeAutospacing="0" w:after="0" w:afterAutospacing="0" w:line="288" w:lineRule="auto"/>
                    <w:ind w:left="0" w:right="0"/>
                    <w:jc w:val="center"/>
                    <w:rPr>
                      <w:rFonts w:hint="eastAsia"/>
                      <w:sz w:val="18"/>
                      <w:szCs w:val="18"/>
                      <w:highlight w:val="none"/>
                    </w:rPr>
                  </w:pPr>
                  <w:r>
                    <w:rPr>
                      <w:rFonts w:hint="eastAsia"/>
                      <w:sz w:val="18"/>
                      <w:szCs w:val="18"/>
                      <w:highlight w:val="none"/>
                    </w:rPr>
                    <w:t>其他污染物（氨、硫化氢、氯气</w:t>
                  </w:r>
                  <w:r>
                    <w:rPr>
                      <w:rFonts w:hint="eastAsia"/>
                      <w:sz w:val="18"/>
                      <w:szCs w:val="18"/>
                      <w:highlight w:val="none"/>
                      <w:lang w:eastAsia="zh-CN"/>
                    </w:rPr>
                    <w:t>、</w:t>
                  </w:r>
                  <w:r>
                    <w:rPr>
                      <w:rFonts w:hint="eastAsia"/>
                      <w:sz w:val="18"/>
                      <w:szCs w:val="18"/>
                      <w:highlight w:val="none"/>
                      <w:lang w:val="en-US" w:eastAsia="zh-CN"/>
                    </w:rPr>
                    <w:t>非甲烷总烃、甲醛、氯化氢、硫酸雾</w:t>
                  </w:r>
                  <w:r>
                    <w:rPr>
                      <w:rFonts w:hint="eastAsia"/>
                      <w:sz w:val="18"/>
                      <w:szCs w:val="18"/>
                      <w:highlight w:val="none"/>
                    </w:rPr>
                    <w:t>）</w:t>
                  </w:r>
                </w:p>
              </w:tc>
              <w:tc>
                <w:tcPr>
                  <w:tcW w:w="1530" w:type="pct"/>
                  <w:gridSpan w:val="8"/>
                  <w:noWrap w:val="0"/>
                  <w:vAlign w:val="center"/>
                </w:tcPr>
                <w:p w14:paraId="798F7A00">
                  <w:pPr>
                    <w:keepNext w:val="0"/>
                    <w:keepLines w:val="0"/>
                    <w:suppressLineNumbers w:val="0"/>
                    <w:spacing w:before="0" w:beforeAutospacing="0" w:after="0" w:afterAutospacing="0" w:line="288" w:lineRule="auto"/>
                    <w:ind w:left="0" w:right="0"/>
                    <w:jc w:val="center"/>
                    <w:rPr>
                      <w:rFonts w:hint="eastAsia"/>
                      <w:sz w:val="18"/>
                      <w:szCs w:val="18"/>
                      <w:highlight w:val="none"/>
                    </w:rPr>
                  </w:pPr>
                  <w:r>
                    <w:rPr>
                      <w:rFonts w:hint="eastAsia"/>
                      <w:sz w:val="18"/>
                      <w:szCs w:val="18"/>
                      <w:highlight w:val="none"/>
                    </w:rPr>
                    <w:t>包括二次PM2.5□</w:t>
                  </w:r>
                </w:p>
                <w:p w14:paraId="4C132AED">
                  <w:pPr>
                    <w:keepNext w:val="0"/>
                    <w:keepLines w:val="0"/>
                    <w:suppressLineNumbers w:val="0"/>
                    <w:spacing w:before="0" w:beforeAutospacing="0" w:after="0" w:afterAutospacing="0" w:line="288" w:lineRule="auto"/>
                    <w:ind w:left="0" w:right="0"/>
                    <w:jc w:val="center"/>
                    <w:rPr>
                      <w:rFonts w:hint="eastAsia"/>
                      <w:sz w:val="18"/>
                      <w:szCs w:val="18"/>
                      <w:highlight w:val="none"/>
                    </w:rPr>
                  </w:pPr>
                  <w:r>
                    <w:rPr>
                      <w:rFonts w:hint="eastAsia"/>
                      <w:sz w:val="18"/>
                      <w:szCs w:val="18"/>
                      <w:highlight w:val="none"/>
                    </w:rPr>
                    <w:t>不包括二次PM2.5☑</w:t>
                  </w:r>
                </w:p>
              </w:tc>
            </w:tr>
            <w:tr w14:paraId="2003DCFD">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c>
                <w:tcPr>
                  <w:tcW w:w="336" w:type="pct"/>
                  <w:noWrap w:val="0"/>
                  <w:vAlign w:val="center"/>
                </w:tcPr>
                <w:p w14:paraId="0FB0B16D">
                  <w:pPr>
                    <w:keepNext w:val="0"/>
                    <w:keepLines w:val="0"/>
                    <w:suppressLineNumbers w:val="0"/>
                    <w:spacing w:before="0" w:beforeAutospacing="0" w:after="0" w:afterAutospacing="0" w:line="288" w:lineRule="auto"/>
                    <w:ind w:left="0" w:right="0"/>
                    <w:jc w:val="center"/>
                    <w:rPr>
                      <w:rFonts w:hint="eastAsia"/>
                      <w:sz w:val="18"/>
                      <w:szCs w:val="18"/>
                      <w:highlight w:val="none"/>
                    </w:rPr>
                  </w:pPr>
                  <w:r>
                    <w:rPr>
                      <w:rFonts w:hint="eastAsia"/>
                      <w:sz w:val="18"/>
                      <w:szCs w:val="18"/>
                      <w:highlight w:val="none"/>
                    </w:rPr>
                    <w:t>评价标准</w:t>
                  </w:r>
                </w:p>
              </w:tc>
              <w:tc>
                <w:tcPr>
                  <w:tcW w:w="933" w:type="pct"/>
                  <w:noWrap w:val="0"/>
                  <w:vAlign w:val="center"/>
                </w:tcPr>
                <w:p w14:paraId="3A87D571">
                  <w:pPr>
                    <w:keepNext w:val="0"/>
                    <w:keepLines w:val="0"/>
                    <w:suppressLineNumbers w:val="0"/>
                    <w:spacing w:before="0" w:beforeAutospacing="0" w:after="0" w:afterAutospacing="0" w:line="288" w:lineRule="auto"/>
                    <w:ind w:left="0" w:right="0"/>
                    <w:jc w:val="center"/>
                    <w:rPr>
                      <w:rFonts w:hint="eastAsia"/>
                      <w:sz w:val="18"/>
                      <w:szCs w:val="18"/>
                      <w:highlight w:val="none"/>
                    </w:rPr>
                  </w:pPr>
                  <w:r>
                    <w:rPr>
                      <w:rFonts w:hint="eastAsia"/>
                      <w:sz w:val="18"/>
                      <w:szCs w:val="18"/>
                      <w:highlight w:val="none"/>
                    </w:rPr>
                    <w:t>评价标准</w:t>
                  </w:r>
                </w:p>
              </w:tc>
              <w:tc>
                <w:tcPr>
                  <w:tcW w:w="932" w:type="pct"/>
                  <w:gridSpan w:val="4"/>
                  <w:noWrap w:val="0"/>
                  <w:vAlign w:val="center"/>
                </w:tcPr>
                <w:p w14:paraId="3DEDA721">
                  <w:pPr>
                    <w:keepNext w:val="0"/>
                    <w:keepLines w:val="0"/>
                    <w:suppressLineNumbers w:val="0"/>
                    <w:spacing w:before="0" w:beforeAutospacing="0" w:after="0" w:afterAutospacing="0" w:line="288" w:lineRule="auto"/>
                    <w:ind w:left="0" w:right="0"/>
                    <w:jc w:val="center"/>
                    <w:rPr>
                      <w:rFonts w:hint="eastAsia"/>
                      <w:sz w:val="18"/>
                      <w:szCs w:val="18"/>
                      <w:highlight w:val="none"/>
                    </w:rPr>
                  </w:pPr>
                  <w:r>
                    <w:rPr>
                      <w:rFonts w:hint="eastAsia"/>
                      <w:sz w:val="18"/>
                      <w:szCs w:val="18"/>
                      <w:highlight w:val="none"/>
                    </w:rPr>
                    <w:t>国家标准□</w:t>
                  </w:r>
                </w:p>
              </w:tc>
              <w:tc>
                <w:tcPr>
                  <w:tcW w:w="932" w:type="pct"/>
                  <w:gridSpan w:val="6"/>
                  <w:noWrap w:val="0"/>
                  <w:vAlign w:val="center"/>
                </w:tcPr>
                <w:p w14:paraId="1E18F049">
                  <w:pPr>
                    <w:keepNext w:val="0"/>
                    <w:keepLines w:val="0"/>
                    <w:suppressLineNumbers w:val="0"/>
                    <w:spacing w:before="0" w:beforeAutospacing="0" w:after="0" w:afterAutospacing="0" w:line="288" w:lineRule="auto"/>
                    <w:ind w:left="0" w:right="0"/>
                    <w:jc w:val="center"/>
                    <w:rPr>
                      <w:rFonts w:hint="eastAsia"/>
                      <w:sz w:val="18"/>
                      <w:szCs w:val="18"/>
                      <w:highlight w:val="none"/>
                    </w:rPr>
                  </w:pPr>
                  <w:r>
                    <w:rPr>
                      <w:rFonts w:hint="eastAsia"/>
                      <w:sz w:val="18"/>
                      <w:szCs w:val="18"/>
                      <w:highlight w:val="none"/>
                    </w:rPr>
                    <w:t>地方标准□</w:t>
                  </w:r>
                </w:p>
              </w:tc>
              <w:tc>
                <w:tcPr>
                  <w:tcW w:w="932" w:type="pct"/>
                  <w:gridSpan w:val="4"/>
                  <w:noWrap w:val="0"/>
                  <w:vAlign w:val="center"/>
                </w:tcPr>
                <w:p w14:paraId="3C2A3C0C">
                  <w:pPr>
                    <w:keepNext w:val="0"/>
                    <w:keepLines w:val="0"/>
                    <w:suppressLineNumbers w:val="0"/>
                    <w:spacing w:before="0" w:beforeAutospacing="0" w:after="0" w:afterAutospacing="0" w:line="288" w:lineRule="auto"/>
                    <w:ind w:left="0" w:right="0"/>
                    <w:jc w:val="center"/>
                    <w:rPr>
                      <w:rFonts w:hint="eastAsia"/>
                      <w:sz w:val="18"/>
                      <w:szCs w:val="18"/>
                      <w:highlight w:val="none"/>
                    </w:rPr>
                  </w:pPr>
                  <w:r>
                    <w:rPr>
                      <w:rFonts w:hint="eastAsia"/>
                      <w:sz w:val="18"/>
                      <w:szCs w:val="18"/>
                      <w:highlight w:val="none"/>
                    </w:rPr>
                    <w:t>附录D☑</w:t>
                  </w:r>
                </w:p>
              </w:tc>
              <w:tc>
                <w:tcPr>
                  <w:tcW w:w="933" w:type="pct"/>
                  <w:gridSpan w:val="5"/>
                  <w:noWrap w:val="0"/>
                  <w:vAlign w:val="center"/>
                </w:tcPr>
                <w:p w14:paraId="6D651844">
                  <w:pPr>
                    <w:keepNext w:val="0"/>
                    <w:keepLines w:val="0"/>
                    <w:suppressLineNumbers w:val="0"/>
                    <w:spacing w:before="0" w:beforeAutospacing="0" w:after="0" w:afterAutospacing="0" w:line="288" w:lineRule="auto"/>
                    <w:ind w:left="0" w:right="0"/>
                    <w:jc w:val="center"/>
                    <w:rPr>
                      <w:rFonts w:hint="eastAsia"/>
                      <w:sz w:val="18"/>
                      <w:szCs w:val="18"/>
                      <w:highlight w:val="none"/>
                    </w:rPr>
                  </w:pPr>
                  <w:r>
                    <w:rPr>
                      <w:rFonts w:hint="eastAsia"/>
                      <w:sz w:val="18"/>
                      <w:szCs w:val="18"/>
                      <w:highlight w:val="none"/>
                    </w:rPr>
                    <w:t>其他标准□</w:t>
                  </w:r>
                </w:p>
              </w:tc>
            </w:tr>
            <w:tr w14:paraId="037597AC">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c>
                <w:tcPr>
                  <w:tcW w:w="336" w:type="pct"/>
                  <w:vMerge w:val="restart"/>
                  <w:tcBorders>
                    <w:bottom w:val="nil"/>
                  </w:tcBorders>
                  <w:noWrap w:val="0"/>
                  <w:vAlign w:val="center"/>
                </w:tcPr>
                <w:p w14:paraId="3C8769EF">
                  <w:pPr>
                    <w:keepNext w:val="0"/>
                    <w:keepLines w:val="0"/>
                    <w:suppressLineNumbers w:val="0"/>
                    <w:spacing w:before="0" w:beforeAutospacing="0" w:after="0" w:afterAutospacing="0" w:line="288" w:lineRule="auto"/>
                    <w:ind w:left="0" w:right="0"/>
                    <w:jc w:val="center"/>
                    <w:rPr>
                      <w:rFonts w:hint="eastAsia"/>
                      <w:sz w:val="18"/>
                      <w:szCs w:val="18"/>
                      <w:highlight w:val="none"/>
                    </w:rPr>
                  </w:pPr>
                  <w:r>
                    <w:rPr>
                      <w:rFonts w:hint="eastAsia"/>
                      <w:sz w:val="18"/>
                      <w:szCs w:val="18"/>
                      <w:highlight w:val="none"/>
                    </w:rPr>
                    <w:t>现状</w:t>
                  </w:r>
                </w:p>
                <w:p w14:paraId="1FF5F318">
                  <w:pPr>
                    <w:keepNext w:val="0"/>
                    <w:keepLines w:val="0"/>
                    <w:suppressLineNumbers w:val="0"/>
                    <w:spacing w:before="0" w:beforeAutospacing="0" w:after="0" w:afterAutospacing="0" w:line="288" w:lineRule="auto"/>
                    <w:ind w:left="0" w:right="0"/>
                    <w:jc w:val="center"/>
                    <w:rPr>
                      <w:rFonts w:hint="eastAsia"/>
                      <w:sz w:val="18"/>
                      <w:szCs w:val="18"/>
                      <w:highlight w:val="none"/>
                    </w:rPr>
                  </w:pPr>
                  <w:r>
                    <w:rPr>
                      <w:rFonts w:hint="eastAsia"/>
                      <w:sz w:val="18"/>
                      <w:szCs w:val="18"/>
                      <w:highlight w:val="none"/>
                    </w:rPr>
                    <w:t>评价</w:t>
                  </w:r>
                </w:p>
              </w:tc>
              <w:tc>
                <w:tcPr>
                  <w:tcW w:w="933" w:type="pct"/>
                  <w:noWrap w:val="0"/>
                  <w:vAlign w:val="center"/>
                </w:tcPr>
                <w:p w14:paraId="1DCA2A4E">
                  <w:pPr>
                    <w:keepNext w:val="0"/>
                    <w:keepLines w:val="0"/>
                    <w:suppressLineNumbers w:val="0"/>
                    <w:spacing w:before="0" w:beforeAutospacing="0" w:after="0" w:afterAutospacing="0" w:line="288" w:lineRule="auto"/>
                    <w:ind w:left="0" w:right="0"/>
                    <w:jc w:val="center"/>
                    <w:rPr>
                      <w:rFonts w:hint="eastAsia"/>
                      <w:sz w:val="18"/>
                      <w:szCs w:val="18"/>
                      <w:highlight w:val="none"/>
                    </w:rPr>
                  </w:pPr>
                  <w:r>
                    <w:rPr>
                      <w:rFonts w:hint="eastAsia"/>
                      <w:sz w:val="18"/>
                      <w:szCs w:val="18"/>
                      <w:highlight w:val="none"/>
                    </w:rPr>
                    <w:t>环境功能区</w:t>
                  </w:r>
                </w:p>
              </w:tc>
              <w:tc>
                <w:tcPr>
                  <w:tcW w:w="1242" w:type="pct"/>
                  <w:gridSpan w:val="6"/>
                  <w:noWrap w:val="0"/>
                  <w:vAlign w:val="center"/>
                </w:tcPr>
                <w:p w14:paraId="166C9ECB">
                  <w:pPr>
                    <w:keepNext w:val="0"/>
                    <w:keepLines w:val="0"/>
                    <w:suppressLineNumbers w:val="0"/>
                    <w:spacing w:before="0" w:beforeAutospacing="0" w:after="0" w:afterAutospacing="0" w:line="288" w:lineRule="auto"/>
                    <w:ind w:left="0" w:right="0"/>
                    <w:jc w:val="center"/>
                    <w:rPr>
                      <w:rFonts w:hint="eastAsia"/>
                      <w:sz w:val="18"/>
                      <w:szCs w:val="18"/>
                      <w:highlight w:val="none"/>
                    </w:rPr>
                  </w:pPr>
                  <w:r>
                    <w:rPr>
                      <w:rFonts w:hint="eastAsia"/>
                      <w:sz w:val="18"/>
                      <w:szCs w:val="18"/>
                      <w:highlight w:val="none"/>
                    </w:rPr>
                    <w:t>一类区□</w:t>
                  </w:r>
                </w:p>
              </w:tc>
              <w:tc>
                <w:tcPr>
                  <w:tcW w:w="1242" w:type="pct"/>
                  <w:gridSpan w:val="7"/>
                  <w:noWrap w:val="0"/>
                  <w:vAlign w:val="center"/>
                </w:tcPr>
                <w:p w14:paraId="0B854274">
                  <w:pPr>
                    <w:keepNext w:val="0"/>
                    <w:keepLines w:val="0"/>
                    <w:suppressLineNumbers w:val="0"/>
                    <w:spacing w:before="0" w:beforeAutospacing="0" w:after="0" w:afterAutospacing="0" w:line="288" w:lineRule="auto"/>
                    <w:ind w:left="0" w:right="0"/>
                    <w:jc w:val="center"/>
                    <w:rPr>
                      <w:rFonts w:hint="eastAsia"/>
                      <w:sz w:val="18"/>
                      <w:szCs w:val="18"/>
                      <w:highlight w:val="none"/>
                    </w:rPr>
                  </w:pPr>
                  <w:r>
                    <w:rPr>
                      <w:rFonts w:hint="eastAsia"/>
                      <w:sz w:val="18"/>
                      <w:szCs w:val="18"/>
                      <w:highlight w:val="none"/>
                    </w:rPr>
                    <w:t>二类区☑</w:t>
                  </w:r>
                </w:p>
              </w:tc>
              <w:tc>
                <w:tcPr>
                  <w:tcW w:w="1244" w:type="pct"/>
                  <w:gridSpan w:val="6"/>
                  <w:noWrap w:val="0"/>
                  <w:vAlign w:val="center"/>
                </w:tcPr>
                <w:p w14:paraId="7B3EC639">
                  <w:pPr>
                    <w:keepNext w:val="0"/>
                    <w:keepLines w:val="0"/>
                    <w:suppressLineNumbers w:val="0"/>
                    <w:spacing w:before="0" w:beforeAutospacing="0" w:after="0" w:afterAutospacing="0" w:line="288" w:lineRule="auto"/>
                    <w:ind w:left="0" w:right="0"/>
                    <w:jc w:val="center"/>
                    <w:rPr>
                      <w:rFonts w:hint="eastAsia"/>
                      <w:sz w:val="18"/>
                      <w:szCs w:val="18"/>
                      <w:highlight w:val="none"/>
                    </w:rPr>
                  </w:pPr>
                  <w:r>
                    <w:rPr>
                      <w:rFonts w:hint="eastAsia"/>
                      <w:sz w:val="18"/>
                      <w:szCs w:val="18"/>
                      <w:highlight w:val="none"/>
                    </w:rPr>
                    <w:t>一类区和二类区□</w:t>
                  </w:r>
                </w:p>
              </w:tc>
            </w:tr>
            <w:tr w14:paraId="72A54BA5">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c>
                <w:tcPr>
                  <w:tcW w:w="336" w:type="pct"/>
                  <w:vMerge w:val="continue"/>
                  <w:tcBorders>
                    <w:top w:val="nil"/>
                    <w:bottom w:val="nil"/>
                  </w:tcBorders>
                  <w:noWrap w:val="0"/>
                  <w:vAlign w:val="center"/>
                </w:tcPr>
                <w:p w14:paraId="3899E947">
                  <w:pPr>
                    <w:keepNext w:val="0"/>
                    <w:keepLines w:val="0"/>
                    <w:suppressLineNumbers w:val="0"/>
                    <w:spacing w:before="0" w:beforeAutospacing="0" w:after="0" w:afterAutospacing="0" w:line="288" w:lineRule="auto"/>
                    <w:ind w:left="0" w:right="0"/>
                    <w:jc w:val="center"/>
                    <w:rPr>
                      <w:rFonts w:hint="eastAsia"/>
                      <w:sz w:val="18"/>
                      <w:szCs w:val="18"/>
                      <w:highlight w:val="none"/>
                    </w:rPr>
                  </w:pPr>
                </w:p>
              </w:tc>
              <w:tc>
                <w:tcPr>
                  <w:tcW w:w="933" w:type="pct"/>
                  <w:noWrap w:val="0"/>
                  <w:vAlign w:val="center"/>
                </w:tcPr>
                <w:p w14:paraId="6B57023A">
                  <w:pPr>
                    <w:keepNext w:val="0"/>
                    <w:keepLines w:val="0"/>
                    <w:suppressLineNumbers w:val="0"/>
                    <w:spacing w:before="0" w:beforeAutospacing="0" w:after="0" w:afterAutospacing="0" w:line="288" w:lineRule="auto"/>
                    <w:ind w:left="0" w:right="0"/>
                    <w:jc w:val="center"/>
                    <w:rPr>
                      <w:rFonts w:hint="eastAsia"/>
                      <w:sz w:val="18"/>
                      <w:szCs w:val="18"/>
                      <w:highlight w:val="none"/>
                    </w:rPr>
                  </w:pPr>
                  <w:r>
                    <w:rPr>
                      <w:rFonts w:hint="eastAsia"/>
                      <w:sz w:val="18"/>
                      <w:szCs w:val="18"/>
                      <w:highlight w:val="none"/>
                    </w:rPr>
                    <w:t>评价基准年</w:t>
                  </w:r>
                </w:p>
              </w:tc>
              <w:tc>
                <w:tcPr>
                  <w:tcW w:w="3730" w:type="pct"/>
                  <w:gridSpan w:val="19"/>
                  <w:noWrap w:val="0"/>
                  <w:vAlign w:val="center"/>
                </w:tcPr>
                <w:p w14:paraId="00F48E28">
                  <w:pPr>
                    <w:keepNext w:val="0"/>
                    <w:keepLines w:val="0"/>
                    <w:suppressLineNumbers w:val="0"/>
                    <w:spacing w:before="0" w:beforeAutospacing="0" w:after="0" w:afterAutospacing="0" w:line="288" w:lineRule="auto"/>
                    <w:ind w:left="0" w:right="0"/>
                    <w:jc w:val="center"/>
                    <w:rPr>
                      <w:rFonts w:hint="eastAsia"/>
                      <w:sz w:val="18"/>
                      <w:szCs w:val="18"/>
                      <w:highlight w:val="none"/>
                    </w:rPr>
                  </w:pPr>
                  <w:r>
                    <w:rPr>
                      <w:rFonts w:hint="eastAsia"/>
                      <w:sz w:val="18"/>
                      <w:szCs w:val="18"/>
                      <w:highlight w:val="none"/>
                    </w:rPr>
                    <w:t>（2023）年</w:t>
                  </w:r>
                </w:p>
              </w:tc>
            </w:tr>
            <w:tr w14:paraId="2FC7C033">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c>
                <w:tcPr>
                  <w:tcW w:w="336" w:type="pct"/>
                  <w:vMerge w:val="continue"/>
                  <w:tcBorders>
                    <w:top w:val="nil"/>
                    <w:bottom w:val="nil"/>
                  </w:tcBorders>
                  <w:noWrap w:val="0"/>
                  <w:vAlign w:val="center"/>
                </w:tcPr>
                <w:p w14:paraId="714CD403">
                  <w:pPr>
                    <w:keepNext w:val="0"/>
                    <w:keepLines w:val="0"/>
                    <w:suppressLineNumbers w:val="0"/>
                    <w:spacing w:before="0" w:beforeAutospacing="0" w:after="0" w:afterAutospacing="0" w:line="288" w:lineRule="auto"/>
                    <w:ind w:left="0" w:right="0"/>
                    <w:jc w:val="center"/>
                    <w:rPr>
                      <w:rFonts w:hint="eastAsia"/>
                      <w:sz w:val="18"/>
                      <w:szCs w:val="18"/>
                      <w:highlight w:val="none"/>
                    </w:rPr>
                  </w:pPr>
                </w:p>
              </w:tc>
              <w:tc>
                <w:tcPr>
                  <w:tcW w:w="933" w:type="pct"/>
                  <w:noWrap w:val="0"/>
                  <w:vAlign w:val="center"/>
                </w:tcPr>
                <w:p w14:paraId="17904E3C">
                  <w:pPr>
                    <w:keepNext w:val="0"/>
                    <w:keepLines w:val="0"/>
                    <w:suppressLineNumbers w:val="0"/>
                    <w:spacing w:before="0" w:beforeAutospacing="0" w:after="0" w:afterAutospacing="0" w:line="288" w:lineRule="auto"/>
                    <w:ind w:left="0" w:right="0"/>
                    <w:jc w:val="center"/>
                    <w:rPr>
                      <w:rFonts w:hint="eastAsia"/>
                      <w:sz w:val="18"/>
                      <w:szCs w:val="18"/>
                      <w:highlight w:val="none"/>
                    </w:rPr>
                  </w:pPr>
                  <w:r>
                    <w:rPr>
                      <w:rFonts w:hint="eastAsia"/>
                      <w:sz w:val="18"/>
                      <w:szCs w:val="18"/>
                      <w:highlight w:val="none"/>
                    </w:rPr>
                    <w:t>环境空气质量现状调</w:t>
                  </w:r>
                  <w:r>
                    <w:rPr>
                      <w:rFonts w:hint="eastAsia"/>
                      <w:sz w:val="18"/>
                      <w:szCs w:val="18"/>
                      <w:highlight w:val="none"/>
                      <w:lang w:val="en-US" w:eastAsia="zh-CN"/>
                    </w:rPr>
                    <w:t>查</w:t>
                  </w:r>
                  <w:r>
                    <w:rPr>
                      <w:rFonts w:hint="eastAsia"/>
                      <w:sz w:val="18"/>
                      <w:szCs w:val="18"/>
                      <w:highlight w:val="none"/>
                    </w:rPr>
                    <w:t>数据来源</w:t>
                  </w:r>
                </w:p>
              </w:tc>
              <w:tc>
                <w:tcPr>
                  <w:tcW w:w="1242" w:type="pct"/>
                  <w:gridSpan w:val="6"/>
                  <w:noWrap w:val="0"/>
                  <w:vAlign w:val="center"/>
                </w:tcPr>
                <w:p w14:paraId="2F6E6B05">
                  <w:pPr>
                    <w:keepNext w:val="0"/>
                    <w:keepLines w:val="0"/>
                    <w:suppressLineNumbers w:val="0"/>
                    <w:spacing w:before="0" w:beforeAutospacing="0" w:after="0" w:afterAutospacing="0" w:line="288" w:lineRule="auto"/>
                    <w:ind w:left="0" w:right="0"/>
                    <w:jc w:val="center"/>
                    <w:rPr>
                      <w:rFonts w:hint="eastAsia"/>
                      <w:sz w:val="18"/>
                      <w:szCs w:val="18"/>
                      <w:highlight w:val="none"/>
                    </w:rPr>
                  </w:pPr>
                  <w:r>
                    <w:rPr>
                      <w:rFonts w:hint="eastAsia"/>
                      <w:sz w:val="18"/>
                      <w:szCs w:val="18"/>
                      <w:highlight w:val="none"/>
                    </w:rPr>
                    <w:t>长期例行监测数据</w:t>
                  </w:r>
                  <w:r>
                    <w:rPr>
                      <w:rFonts w:hint="eastAsia"/>
                      <w:sz w:val="18"/>
                      <w:szCs w:val="18"/>
                      <w:highlight w:val="none"/>
                    </w:rPr>
                    <w:sym w:font="Wingdings 2" w:char="0052"/>
                  </w:r>
                </w:p>
              </w:tc>
              <w:tc>
                <w:tcPr>
                  <w:tcW w:w="1242" w:type="pct"/>
                  <w:gridSpan w:val="7"/>
                  <w:noWrap w:val="0"/>
                  <w:vAlign w:val="center"/>
                </w:tcPr>
                <w:p w14:paraId="29C5D182">
                  <w:pPr>
                    <w:keepNext w:val="0"/>
                    <w:keepLines w:val="0"/>
                    <w:suppressLineNumbers w:val="0"/>
                    <w:spacing w:before="0" w:beforeAutospacing="0" w:after="0" w:afterAutospacing="0" w:line="288" w:lineRule="auto"/>
                    <w:ind w:left="0" w:right="0"/>
                    <w:jc w:val="center"/>
                    <w:rPr>
                      <w:rFonts w:hint="eastAsia"/>
                      <w:sz w:val="18"/>
                      <w:szCs w:val="18"/>
                      <w:highlight w:val="none"/>
                    </w:rPr>
                  </w:pPr>
                  <w:r>
                    <w:rPr>
                      <w:rFonts w:hint="eastAsia"/>
                      <w:sz w:val="18"/>
                      <w:szCs w:val="18"/>
                      <w:highlight w:val="none"/>
                    </w:rPr>
                    <w:t>主管部门发布的数据☑</w:t>
                  </w:r>
                </w:p>
              </w:tc>
              <w:tc>
                <w:tcPr>
                  <w:tcW w:w="1244" w:type="pct"/>
                  <w:gridSpan w:val="6"/>
                  <w:noWrap w:val="0"/>
                  <w:vAlign w:val="center"/>
                </w:tcPr>
                <w:p w14:paraId="6BF928D0">
                  <w:pPr>
                    <w:keepNext w:val="0"/>
                    <w:keepLines w:val="0"/>
                    <w:suppressLineNumbers w:val="0"/>
                    <w:spacing w:before="0" w:beforeAutospacing="0" w:after="0" w:afterAutospacing="0" w:line="288" w:lineRule="auto"/>
                    <w:ind w:left="0" w:right="0"/>
                    <w:jc w:val="center"/>
                    <w:rPr>
                      <w:rFonts w:hint="eastAsia"/>
                      <w:sz w:val="18"/>
                      <w:szCs w:val="18"/>
                      <w:highlight w:val="none"/>
                    </w:rPr>
                  </w:pPr>
                  <w:r>
                    <w:rPr>
                      <w:rFonts w:hint="eastAsia"/>
                      <w:sz w:val="18"/>
                      <w:szCs w:val="18"/>
                      <w:highlight w:val="none"/>
                    </w:rPr>
                    <w:t>现状补充监测□</w:t>
                  </w:r>
                </w:p>
              </w:tc>
            </w:tr>
            <w:tr w14:paraId="4015AEAB">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c>
                <w:tcPr>
                  <w:tcW w:w="336" w:type="pct"/>
                  <w:vMerge w:val="continue"/>
                  <w:tcBorders>
                    <w:top w:val="nil"/>
                  </w:tcBorders>
                  <w:noWrap w:val="0"/>
                  <w:vAlign w:val="center"/>
                </w:tcPr>
                <w:p w14:paraId="272335C4">
                  <w:pPr>
                    <w:keepNext w:val="0"/>
                    <w:keepLines w:val="0"/>
                    <w:suppressLineNumbers w:val="0"/>
                    <w:spacing w:before="0" w:beforeAutospacing="0" w:after="0" w:afterAutospacing="0" w:line="288" w:lineRule="auto"/>
                    <w:ind w:left="0" w:right="0"/>
                    <w:jc w:val="center"/>
                    <w:rPr>
                      <w:rFonts w:hint="eastAsia"/>
                      <w:sz w:val="18"/>
                      <w:szCs w:val="18"/>
                      <w:highlight w:val="none"/>
                    </w:rPr>
                  </w:pPr>
                </w:p>
              </w:tc>
              <w:tc>
                <w:tcPr>
                  <w:tcW w:w="933" w:type="pct"/>
                  <w:noWrap w:val="0"/>
                  <w:vAlign w:val="center"/>
                </w:tcPr>
                <w:p w14:paraId="3621A877">
                  <w:pPr>
                    <w:keepNext w:val="0"/>
                    <w:keepLines w:val="0"/>
                    <w:suppressLineNumbers w:val="0"/>
                    <w:spacing w:before="0" w:beforeAutospacing="0" w:after="0" w:afterAutospacing="0" w:line="288" w:lineRule="auto"/>
                    <w:ind w:left="0" w:right="0"/>
                    <w:jc w:val="center"/>
                    <w:rPr>
                      <w:rFonts w:hint="eastAsia"/>
                      <w:sz w:val="18"/>
                      <w:szCs w:val="18"/>
                      <w:highlight w:val="none"/>
                    </w:rPr>
                  </w:pPr>
                  <w:r>
                    <w:rPr>
                      <w:rFonts w:hint="eastAsia"/>
                      <w:sz w:val="18"/>
                      <w:szCs w:val="18"/>
                      <w:highlight w:val="none"/>
                    </w:rPr>
                    <w:t>现状评价</w:t>
                  </w:r>
                </w:p>
              </w:tc>
              <w:tc>
                <w:tcPr>
                  <w:tcW w:w="2199" w:type="pct"/>
                  <w:gridSpan w:val="11"/>
                  <w:noWrap w:val="0"/>
                  <w:vAlign w:val="center"/>
                </w:tcPr>
                <w:p w14:paraId="22C86535">
                  <w:pPr>
                    <w:keepNext w:val="0"/>
                    <w:keepLines w:val="0"/>
                    <w:suppressLineNumbers w:val="0"/>
                    <w:spacing w:before="0" w:beforeAutospacing="0" w:after="0" w:afterAutospacing="0" w:line="288" w:lineRule="auto"/>
                    <w:ind w:left="0" w:right="0"/>
                    <w:jc w:val="center"/>
                    <w:rPr>
                      <w:rFonts w:hint="eastAsia"/>
                      <w:sz w:val="18"/>
                      <w:szCs w:val="18"/>
                      <w:highlight w:val="none"/>
                    </w:rPr>
                  </w:pPr>
                  <w:r>
                    <w:rPr>
                      <w:rFonts w:hint="eastAsia"/>
                      <w:sz w:val="18"/>
                      <w:szCs w:val="18"/>
                      <w:highlight w:val="none"/>
                    </w:rPr>
                    <w:t>达标区☑</w:t>
                  </w:r>
                </w:p>
              </w:tc>
              <w:tc>
                <w:tcPr>
                  <w:tcW w:w="1530" w:type="pct"/>
                  <w:gridSpan w:val="8"/>
                  <w:noWrap w:val="0"/>
                  <w:vAlign w:val="center"/>
                </w:tcPr>
                <w:p w14:paraId="41C6AE51">
                  <w:pPr>
                    <w:keepNext w:val="0"/>
                    <w:keepLines w:val="0"/>
                    <w:suppressLineNumbers w:val="0"/>
                    <w:spacing w:before="0" w:beforeAutospacing="0" w:after="0" w:afterAutospacing="0" w:line="288" w:lineRule="auto"/>
                    <w:ind w:left="0" w:right="0"/>
                    <w:jc w:val="center"/>
                    <w:rPr>
                      <w:rFonts w:hint="eastAsia"/>
                      <w:sz w:val="18"/>
                      <w:szCs w:val="18"/>
                      <w:highlight w:val="none"/>
                    </w:rPr>
                  </w:pPr>
                  <w:r>
                    <w:rPr>
                      <w:rFonts w:hint="eastAsia"/>
                      <w:sz w:val="18"/>
                      <w:szCs w:val="18"/>
                      <w:highlight w:val="none"/>
                    </w:rPr>
                    <w:t>不达标区□</w:t>
                  </w:r>
                </w:p>
              </w:tc>
            </w:tr>
            <w:tr w14:paraId="53FC8C0E">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c>
                <w:tcPr>
                  <w:tcW w:w="336" w:type="pct"/>
                  <w:noWrap w:val="0"/>
                  <w:vAlign w:val="center"/>
                </w:tcPr>
                <w:p w14:paraId="6D1B294A">
                  <w:pPr>
                    <w:keepNext w:val="0"/>
                    <w:keepLines w:val="0"/>
                    <w:suppressLineNumbers w:val="0"/>
                    <w:spacing w:before="0" w:beforeAutospacing="0" w:after="0" w:afterAutospacing="0" w:line="288" w:lineRule="auto"/>
                    <w:ind w:left="0" w:right="0"/>
                    <w:jc w:val="center"/>
                    <w:rPr>
                      <w:rFonts w:hint="eastAsia"/>
                      <w:sz w:val="18"/>
                      <w:szCs w:val="18"/>
                      <w:highlight w:val="none"/>
                    </w:rPr>
                  </w:pPr>
                  <w:r>
                    <w:rPr>
                      <w:rFonts w:hint="eastAsia"/>
                      <w:sz w:val="18"/>
                      <w:szCs w:val="18"/>
                      <w:highlight w:val="none"/>
                    </w:rPr>
                    <w:t>污染</w:t>
                  </w:r>
                </w:p>
                <w:p w14:paraId="09C498B1">
                  <w:pPr>
                    <w:keepNext w:val="0"/>
                    <w:keepLines w:val="0"/>
                    <w:suppressLineNumbers w:val="0"/>
                    <w:spacing w:before="0" w:beforeAutospacing="0" w:after="0" w:afterAutospacing="0" w:line="288" w:lineRule="auto"/>
                    <w:ind w:left="0" w:right="0"/>
                    <w:jc w:val="center"/>
                    <w:rPr>
                      <w:rFonts w:hint="eastAsia"/>
                      <w:sz w:val="18"/>
                      <w:szCs w:val="18"/>
                      <w:highlight w:val="none"/>
                    </w:rPr>
                  </w:pPr>
                  <w:r>
                    <w:rPr>
                      <w:rFonts w:hint="eastAsia"/>
                      <w:sz w:val="18"/>
                      <w:szCs w:val="18"/>
                      <w:highlight w:val="none"/>
                    </w:rPr>
                    <w:t>源调</w:t>
                  </w:r>
                </w:p>
                <w:p w14:paraId="1BBF434E">
                  <w:pPr>
                    <w:keepNext w:val="0"/>
                    <w:keepLines w:val="0"/>
                    <w:suppressLineNumbers w:val="0"/>
                    <w:spacing w:before="0" w:beforeAutospacing="0" w:after="0" w:afterAutospacing="0" w:line="288" w:lineRule="auto"/>
                    <w:ind w:left="0" w:right="0"/>
                    <w:jc w:val="center"/>
                    <w:rPr>
                      <w:rFonts w:hint="eastAsia"/>
                      <w:sz w:val="18"/>
                      <w:szCs w:val="18"/>
                      <w:highlight w:val="none"/>
                    </w:rPr>
                  </w:pPr>
                  <w:r>
                    <w:rPr>
                      <w:rFonts w:hint="eastAsia"/>
                      <w:sz w:val="18"/>
                      <w:szCs w:val="18"/>
                      <w:highlight w:val="none"/>
                    </w:rPr>
                    <w:t>查</w:t>
                  </w:r>
                </w:p>
              </w:tc>
              <w:tc>
                <w:tcPr>
                  <w:tcW w:w="933" w:type="pct"/>
                  <w:noWrap w:val="0"/>
                  <w:vAlign w:val="center"/>
                </w:tcPr>
                <w:p w14:paraId="318E7245">
                  <w:pPr>
                    <w:keepNext w:val="0"/>
                    <w:keepLines w:val="0"/>
                    <w:suppressLineNumbers w:val="0"/>
                    <w:spacing w:before="0" w:beforeAutospacing="0" w:after="0" w:afterAutospacing="0" w:line="288" w:lineRule="auto"/>
                    <w:ind w:left="0" w:right="0"/>
                    <w:jc w:val="center"/>
                    <w:rPr>
                      <w:rFonts w:hint="eastAsia"/>
                      <w:sz w:val="18"/>
                      <w:szCs w:val="18"/>
                      <w:highlight w:val="none"/>
                    </w:rPr>
                  </w:pPr>
                  <w:r>
                    <w:rPr>
                      <w:rFonts w:hint="eastAsia"/>
                      <w:sz w:val="18"/>
                      <w:szCs w:val="18"/>
                      <w:highlight w:val="none"/>
                    </w:rPr>
                    <w:t>调查内容</w:t>
                  </w:r>
                </w:p>
              </w:tc>
              <w:tc>
                <w:tcPr>
                  <w:tcW w:w="1376" w:type="pct"/>
                  <w:gridSpan w:val="7"/>
                  <w:noWrap w:val="0"/>
                  <w:vAlign w:val="center"/>
                </w:tcPr>
                <w:p w14:paraId="78975D0B">
                  <w:pPr>
                    <w:keepNext w:val="0"/>
                    <w:keepLines w:val="0"/>
                    <w:suppressLineNumbers w:val="0"/>
                    <w:spacing w:before="0" w:beforeAutospacing="0" w:after="0" w:afterAutospacing="0" w:line="288" w:lineRule="auto"/>
                    <w:ind w:left="0" w:right="0"/>
                    <w:jc w:val="right"/>
                    <w:rPr>
                      <w:rFonts w:hint="eastAsia"/>
                      <w:sz w:val="18"/>
                      <w:szCs w:val="18"/>
                      <w:highlight w:val="none"/>
                    </w:rPr>
                  </w:pPr>
                  <w:r>
                    <w:rPr>
                      <w:rFonts w:hint="eastAsia"/>
                      <w:sz w:val="18"/>
                      <w:szCs w:val="18"/>
                      <w:highlight w:val="none"/>
                    </w:rPr>
                    <w:t>本项目正常排放源☑</w:t>
                  </w:r>
                </w:p>
                <w:p w14:paraId="56A0A894">
                  <w:pPr>
                    <w:keepNext w:val="0"/>
                    <w:keepLines w:val="0"/>
                    <w:suppressLineNumbers w:val="0"/>
                    <w:spacing w:before="0" w:beforeAutospacing="0" w:after="0" w:afterAutospacing="0" w:line="288" w:lineRule="auto"/>
                    <w:ind w:left="0" w:right="0"/>
                    <w:jc w:val="right"/>
                    <w:rPr>
                      <w:rFonts w:hint="eastAsia"/>
                      <w:sz w:val="18"/>
                      <w:szCs w:val="18"/>
                      <w:highlight w:val="none"/>
                    </w:rPr>
                  </w:pPr>
                  <w:r>
                    <w:rPr>
                      <w:rFonts w:hint="eastAsia"/>
                      <w:sz w:val="18"/>
                      <w:szCs w:val="18"/>
                      <w:highlight w:val="none"/>
                    </w:rPr>
                    <w:t>本项目非正常排放源□</w:t>
                  </w:r>
                </w:p>
                <w:p w14:paraId="2E0468D7">
                  <w:pPr>
                    <w:keepNext w:val="0"/>
                    <w:keepLines w:val="0"/>
                    <w:suppressLineNumbers w:val="0"/>
                    <w:spacing w:before="0" w:beforeAutospacing="0" w:after="0" w:afterAutospacing="0" w:line="288" w:lineRule="auto"/>
                    <w:ind w:left="0" w:right="0"/>
                    <w:jc w:val="right"/>
                    <w:rPr>
                      <w:rFonts w:hint="eastAsia"/>
                      <w:sz w:val="18"/>
                      <w:szCs w:val="18"/>
                      <w:highlight w:val="none"/>
                    </w:rPr>
                  </w:pPr>
                  <w:r>
                    <w:rPr>
                      <w:rFonts w:hint="eastAsia"/>
                      <w:sz w:val="18"/>
                      <w:szCs w:val="18"/>
                      <w:highlight w:val="none"/>
                    </w:rPr>
                    <w:t>现有污染源口</w:t>
                  </w:r>
                </w:p>
              </w:tc>
              <w:tc>
                <w:tcPr>
                  <w:tcW w:w="985" w:type="pct"/>
                  <w:gridSpan w:val="5"/>
                  <w:noWrap w:val="0"/>
                  <w:vAlign w:val="center"/>
                </w:tcPr>
                <w:p w14:paraId="7197C60F">
                  <w:pPr>
                    <w:keepNext w:val="0"/>
                    <w:keepLines w:val="0"/>
                    <w:suppressLineNumbers w:val="0"/>
                    <w:spacing w:before="0" w:beforeAutospacing="0" w:after="0" w:afterAutospacing="0" w:line="288" w:lineRule="auto"/>
                    <w:ind w:left="0" w:right="0"/>
                    <w:jc w:val="center"/>
                    <w:rPr>
                      <w:rFonts w:hint="eastAsia"/>
                      <w:sz w:val="18"/>
                      <w:szCs w:val="18"/>
                      <w:highlight w:val="none"/>
                    </w:rPr>
                  </w:pPr>
                  <w:r>
                    <w:rPr>
                      <w:rFonts w:hint="eastAsia"/>
                      <w:sz w:val="18"/>
                      <w:szCs w:val="18"/>
                      <w:highlight w:val="none"/>
                    </w:rPr>
                    <w:t>拟替代的污染源口</w:t>
                  </w:r>
                </w:p>
              </w:tc>
              <w:tc>
                <w:tcPr>
                  <w:tcW w:w="880" w:type="pct"/>
                  <w:gridSpan w:val="5"/>
                  <w:noWrap w:val="0"/>
                  <w:vAlign w:val="center"/>
                </w:tcPr>
                <w:p w14:paraId="7BDD4181">
                  <w:pPr>
                    <w:keepNext w:val="0"/>
                    <w:keepLines w:val="0"/>
                    <w:suppressLineNumbers w:val="0"/>
                    <w:spacing w:before="0" w:beforeAutospacing="0" w:after="0" w:afterAutospacing="0" w:line="288" w:lineRule="auto"/>
                    <w:ind w:left="0" w:right="0"/>
                    <w:jc w:val="center"/>
                    <w:rPr>
                      <w:rFonts w:hint="eastAsia"/>
                      <w:sz w:val="18"/>
                      <w:szCs w:val="18"/>
                      <w:highlight w:val="none"/>
                    </w:rPr>
                  </w:pPr>
                  <w:r>
                    <w:rPr>
                      <w:rFonts w:hint="eastAsia"/>
                      <w:sz w:val="18"/>
                      <w:szCs w:val="18"/>
                      <w:highlight w:val="none"/>
                    </w:rPr>
                    <w:t>其他在建、拟建项目污染源□</w:t>
                  </w:r>
                </w:p>
              </w:tc>
              <w:tc>
                <w:tcPr>
                  <w:tcW w:w="487" w:type="pct"/>
                  <w:gridSpan w:val="2"/>
                  <w:noWrap w:val="0"/>
                  <w:vAlign w:val="center"/>
                </w:tcPr>
                <w:p w14:paraId="737C7FD6">
                  <w:pPr>
                    <w:keepNext w:val="0"/>
                    <w:keepLines w:val="0"/>
                    <w:suppressLineNumbers w:val="0"/>
                    <w:spacing w:before="0" w:beforeAutospacing="0" w:after="0" w:afterAutospacing="0" w:line="288" w:lineRule="auto"/>
                    <w:ind w:left="0" w:right="0"/>
                    <w:jc w:val="center"/>
                    <w:rPr>
                      <w:rFonts w:hint="eastAsia"/>
                      <w:sz w:val="18"/>
                      <w:szCs w:val="18"/>
                      <w:highlight w:val="none"/>
                    </w:rPr>
                  </w:pPr>
                  <w:r>
                    <w:rPr>
                      <w:rFonts w:hint="eastAsia"/>
                      <w:sz w:val="18"/>
                      <w:szCs w:val="18"/>
                      <w:highlight w:val="none"/>
                    </w:rPr>
                    <w:t>区域污染源□</w:t>
                  </w:r>
                </w:p>
              </w:tc>
            </w:tr>
            <w:tr w14:paraId="0F43ED32">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c>
                <w:tcPr>
                  <w:tcW w:w="336" w:type="pct"/>
                  <w:vMerge w:val="restart"/>
                  <w:tcBorders>
                    <w:bottom w:val="nil"/>
                  </w:tcBorders>
                  <w:noWrap w:val="0"/>
                  <w:vAlign w:val="center"/>
                </w:tcPr>
                <w:p w14:paraId="481277F2">
                  <w:pPr>
                    <w:keepNext w:val="0"/>
                    <w:keepLines w:val="0"/>
                    <w:suppressLineNumbers w:val="0"/>
                    <w:spacing w:before="0" w:beforeAutospacing="0" w:after="0" w:afterAutospacing="0" w:line="288" w:lineRule="auto"/>
                    <w:ind w:left="0" w:right="0"/>
                    <w:jc w:val="center"/>
                    <w:rPr>
                      <w:rFonts w:hint="eastAsia"/>
                      <w:sz w:val="18"/>
                      <w:szCs w:val="18"/>
                      <w:highlight w:val="none"/>
                    </w:rPr>
                  </w:pPr>
                  <w:r>
                    <w:rPr>
                      <w:rFonts w:hint="eastAsia"/>
                      <w:sz w:val="18"/>
                      <w:szCs w:val="18"/>
                      <w:highlight w:val="none"/>
                    </w:rPr>
                    <w:t>大气</w:t>
                  </w:r>
                </w:p>
                <w:p w14:paraId="204A4E42">
                  <w:pPr>
                    <w:keepNext w:val="0"/>
                    <w:keepLines w:val="0"/>
                    <w:suppressLineNumbers w:val="0"/>
                    <w:spacing w:before="0" w:beforeAutospacing="0" w:after="0" w:afterAutospacing="0" w:line="288" w:lineRule="auto"/>
                    <w:ind w:left="0" w:right="0"/>
                    <w:jc w:val="center"/>
                    <w:rPr>
                      <w:rFonts w:hint="eastAsia"/>
                      <w:sz w:val="18"/>
                      <w:szCs w:val="18"/>
                      <w:highlight w:val="none"/>
                    </w:rPr>
                  </w:pPr>
                  <w:r>
                    <w:rPr>
                      <w:rFonts w:hint="eastAsia"/>
                      <w:sz w:val="18"/>
                      <w:szCs w:val="18"/>
                      <w:highlight w:val="none"/>
                    </w:rPr>
                    <w:t>环境</w:t>
                  </w:r>
                </w:p>
                <w:p w14:paraId="5727C6C6">
                  <w:pPr>
                    <w:keepNext w:val="0"/>
                    <w:keepLines w:val="0"/>
                    <w:suppressLineNumbers w:val="0"/>
                    <w:spacing w:before="0" w:beforeAutospacing="0" w:after="0" w:afterAutospacing="0" w:line="288" w:lineRule="auto"/>
                    <w:ind w:left="0" w:right="0"/>
                    <w:jc w:val="center"/>
                    <w:rPr>
                      <w:rFonts w:hint="eastAsia"/>
                      <w:sz w:val="18"/>
                      <w:szCs w:val="18"/>
                      <w:highlight w:val="none"/>
                    </w:rPr>
                  </w:pPr>
                  <w:r>
                    <w:rPr>
                      <w:rFonts w:hint="eastAsia"/>
                      <w:sz w:val="18"/>
                      <w:szCs w:val="18"/>
                      <w:highlight w:val="none"/>
                    </w:rPr>
                    <w:t>影响</w:t>
                  </w:r>
                </w:p>
                <w:p w14:paraId="4B95A8E9">
                  <w:pPr>
                    <w:keepNext w:val="0"/>
                    <w:keepLines w:val="0"/>
                    <w:suppressLineNumbers w:val="0"/>
                    <w:spacing w:before="0" w:beforeAutospacing="0" w:after="0" w:afterAutospacing="0" w:line="288" w:lineRule="auto"/>
                    <w:ind w:left="0" w:right="0"/>
                    <w:jc w:val="center"/>
                    <w:rPr>
                      <w:rFonts w:hint="eastAsia"/>
                      <w:sz w:val="18"/>
                      <w:szCs w:val="18"/>
                      <w:highlight w:val="none"/>
                    </w:rPr>
                  </w:pPr>
                  <w:r>
                    <w:rPr>
                      <w:rFonts w:hint="eastAsia"/>
                      <w:sz w:val="18"/>
                      <w:szCs w:val="18"/>
                      <w:highlight w:val="none"/>
                    </w:rPr>
                    <w:t>预测</w:t>
                  </w:r>
                </w:p>
                <w:p w14:paraId="36C3DC5F">
                  <w:pPr>
                    <w:keepNext w:val="0"/>
                    <w:keepLines w:val="0"/>
                    <w:suppressLineNumbers w:val="0"/>
                    <w:spacing w:before="0" w:beforeAutospacing="0" w:after="0" w:afterAutospacing="0" w:line="288" w:lineRule="auto"/>
                    <w:ind w:left="0" w:right="0"/>
                    <w:jc w:val="center"/>
                    <w:rPr>
                      <w:rFonts w:hint="eastAsia"/>
                      <w:sz w:val="18"/>
                      <w:szCs w:val="18"/>
                      <w:highlight w:val="none"/>
                    </w:rPr>
                  </w:pPr>
                  <w:r>
                    <w:rPr>
                      <w:rFonts w:hint="eastAsia"/>
                      <w:sz w:val="18"/>
                      <w:szCs w:val="18"/>
                      <w:highlight w:val="none"/>
                    </w:rPr>
                    <w:t>与评</w:t>
                  </w:r>
                </w:p>
                <w:p w14:paraId="4A34E96C">
                  <w:pPr>
                    <w:keepNext w:val="0"/>
                    <w:keepLines w:val="0"/>
                    <w:suppressLineNumbers w:val="0"/>
                    <w:spacing w:before="0" w:beforeAutospacing="0" w:after="0" w:afterAutospacing="0" w:line="288" w:lineRule="auto"/>
                    <w:ind w:left="0" w:right="0"/>
                    <w:jc w:val="center"/>
                    <w:rPr>
                      <w:rFonts w:hint="eastAsia"/>
                      <w:sz w:val="18"/>
                      <w:szCs w:val="18"/>
                      <w:highlight w:val="none"/>
                    </w:rPr>
                  </w:pPr>
                  <w:r>
                    <w:rPr>
                      <w:rFonts w:hint="eastAsia"/>
                      <w:sz w:val="18"/>
                      <w:szCs w:val="18"/>
                      <w:highlight w:val="none"/>
                    </w:rPr>
                    <w:t>价</w:t>
                  </w:r>
                </w:p>
              </w:tc>
              <w:tc>
                <w:tcPr>
                  <w:tcW w:w="933" w:type="pct"/>
                  <w:noWrap w:val="0"/>
                  <w:vAlign w:val="center"/>
                </w:tcPr>
                <w:p w14:paraId="2819FA48">
                  <w:pPr>
                    <w:keepNext w:val="0"/>
                    <w:keepLines w:val="0"/>
                    <w:suppressLineNumbers w:val="0"/>
                    <w:spacing w:before="0" w:beforeAutospacing="0" w:after="0" w:afterAutospacing="0" w:line="288" w:lineRule="auto"/>
                    <w:ind w:left="0" w:right="0"/>
                    <w:jc w:val="center"/>
                    <w:rPr>
                      <w:rFonts w:hint="eastAsia"/>
                      <w:sz w:val="18"/>
                      <w:szCs w:val="18"/>
                      <w:highlight w:val="none"/>
                    </w:rPr>
                  </w:pPr>
                  <w:r>
                    <w:rPr>
                      <w:rFonts w:hint="eastAsia"/>
                      <w:sz w:val="18"/>
                      <w:szCs w:val="18"/>
                      <w:highlight w:val="none"/>
                    </w:rPr>
                    <w:t>预测模型</w:t>
                  </w:r>
                </w:p>
              </w:tc>
              <w:tc>
                <w:tcPr>
                  <w:tcW w:w="485" w:type="pct"/>
                  <w:noWrap w:val="0"/>
                  <w:vAlign w:val="center"/>
                </w:tcPr>
                <w:p w14:paraId="32873BBD">
                  <w:pPr>
                    <w:keepNext w:val="0"/>
                    <w:keepLines w:val="0"/>
                    <w:suppressLineNumbers w:val="0"/>
                    <w:spacing w:before="0" w:beforeAutospacing="0" w:after="0" w:afterAutospacing="0" w:line="288" w:lineRule="auto"/>
                    <w:ind w:left="0" w:right="0"/>
                    <w:jc w:val="center"/>
                    <w:rPr>
                      <w:rFonts w:hint="eastAsia"/>
                      <w:sz w:val="18"/>
                      <w:szCs w:val="18"/>
                      <w:highlight w:val="none"/>
                    </w:rPr>
                  </w:pPr>
                  <w:r>
                    <w:rPr>
                      <w:rFonts w:hint="eastAsia"/>
                      <w:sz w:val="18"/>
                      <w:szCs w:val="18"/>
                      <w:highlight w:val="none"/>
                    </w:rPr>
                    <w:t>AERMOD</w:t>
                  </w:r>
                  <w:r>
                    <w:rPr>
                      <w:rFonts w:hint="eastAsia"/>
                      <w:sz w:val="18"/>
                      <w:szCs w:val="18"/>
                      <w:highlight w:val="none"/>
                    </w:rPr>
                    <w:sym w:font="Wingdings 2" w:char="00A3"/>
                  </w:r>
                </w:p>
              </w:tc>
              <w:tc>
                <w:tcPr>
                  <w:tcW w:w="410" w:type="pct"/>
                  <w:gridSpan w:val="2"/>
                  <w:noWrap w:val="0"/>
                  <w:vAlign w:val="center"/>
                </w:tcPr>
                <w:p w14:paraId="0328108B">
                  <w:pPr>
                    <w:keepNext w:val="0"/>
                    <w:keepLines w:val="0"/>
                    <w:suppressLineNumbers w:val="0"/>
                    <w:spacing w:before="0" w:beforeAutospacing="0" w:after="0" w:afterAutospacing="0" w:line="288" w:lineRule="auto"/>
                    <w:ind w:left="0" w:right="0"/>
                    <w:jc w:val="center"/>
                    <w:rPr>
                      <w:rFonts w:hint="eastAsia"/>
                      <w:sz w:val="18"/>
                      <w:szCs w:val="18"/>
                      <w:highlight w:val="none"/>
                    </w:rPr>
                  </w:pPr>
                  <w:r>
                    <w:rPr>
                      <w:rFonts w:hint="eastAsia"/>
                      <w:sz w:val="18"/>
                      <w:szCs w:val="18"/>
                      <w:highlight w:val="none"/>
                    </w:rPr>
                    <w:t>ADMS□</w:t>
                  </w:r>
                </w:p>
              </w:tc>
              <w:tc>
                <w:tcPr>
                  <w:tcW w:w="728" w:type="pct"/>
                  <w:gridSpan w:val="5"/>
                  <w:noWrap w:val="0"/>
                  <w:vAlign w:val="center"/>
                </w:tcPr>
                <w:p w14:paraId="07605C38">
                  <w:pPr>
                    <w:keepNext w:val="0"/>
                    <w:keepLines w:val="0"/>
                    <w:suppressLineNumbers w:val="0"/>
                    <w:spacing w:before="0" w:beforeAutospacing="0" w:after="0" w:afterAutospacing="0" w:line="288" w:lineRule="auto"/>
                    <w:ind w:left="0" w:right="0"/>
                    <w:jc w:val="center"/>
                    <w:rPr>
                      <w:rFonts w:hint="eastAsia"/>
                      <w:sz w:val="18"/>
                      <w:szCs w:val="18"/>
                      <w:highlight w:val="none"/>
                    </w:rPr>
                  </w:pPr>
                  <w:r>
                    <w:rPr>
                      <w:rFonts w:hint="eastAsia"/>
                      <w:sz w:val="18"/>
                      <w:szCs w:val="18"/>
                      <w:highlight w:val="none"/>
                    </w:rPr>
                    <w:t>AUSTAL2000□</w:t>
                  </w:r>
                </w:p>
              </w:tc>
              <w:tc>
                <w:tcPr>
                  <w:tcW w:w="737" w:type="pct"/>
                  <w:gridSpan w:val="4"/>
                  <w:noWrap w:val="0"/>
                  <w:vAlign w:val="center"/>
                </w:tcPr>
                <w:p w14:paraId="2A9C24C6">
                  <w:pPr>
                    <w:keepNext w:val="0"/>
                    <w:keepLines w:val="0"/>
                    <w:suppressLineNumbers w:val="0"/>
                    <w:spacing w:before="0" w:beforeAutospacing="0" w:after="0" w:afterAutospacing="0" w:line="288" w:lineRule="auto"/>
                    <w:ind w:left="0" w:right="0"/>
                    <w:jc w:val="center"/>
                    <w:rPr>
                      <w:rFonts w:hint="eastAsia"/>
                      <w:sz w:val="18"/>
                      <w:szCs w:val="18"/>
                      <w:highlight w:val="none"/>
                    </w:rPr>
                  </w:pPr>
                  <w:r>
                    <w:rPr>
                      <w:rFonts w:hint="eastAsia"/>
                      <w:sz w:val="18"/>
                      <w:szCs w:val="18"/>
                      <w:highlight w:val="none"/>
                    </w:rPr>
                    <w:t>EDMS/AEDT□</w:t>
                  </w:r>
                </w:p>
              </w:tc>
              <w:tc>
                <w:tcPr>
                  <w:tcW w:w="569" w:type="pct"/>
                  <w:gridSpan w:val="4"/>
                  <w:noWrap w:val="0"/>
                  <w:vAlign w:val="center"/>
                </w:tcPr>
                <w:p w14:paraId="2522327B">
                  <w:pPr>
                    <w:keepNext w:val="0"/>
                    <w:keepLines w:val="0"/>
                    <w:suppressLineNumbers w:val="0"/>
                    <w:spacing w:before="0" w:beforeAutospacing="0" w:after="0" w:afterAutospacing="0" w:line="288" w:lineRule="auto"/>
                    <w:ind w:left="0" w:right="0"/>
                    <w:jc w:val="center"/>
                    <w:rPr>
                      <w:rFonts w:hint="eastAsia"/>
                      <w:sz w:val="18"/>
                      <w:szCs w:val="18"/>
                      <w:highlight w:val="none"/>
                    </w:rPr>
                  </w:pPr>
                  <w:r>
                    <w:rPr>
                      <w:rFonts w:hint="eastAsia"/>
                      <w:sz w:val="18"/>
                      <w:szCs w:val="18"/>
                      <w:highlight w:val="none"/>
                    </w:rPr>
                    <w:t>CALPUFF</w:t>
                  </w:r>
                </w:p>
                <w:p w14:paraId="2C8F81CE">
                  <w:pPr>
                    <w:keepNext w:val="0"/>
                    <w:keepLines w:val="0"/>
                    <w:suppressLineNumbers w:val="0"/>
                    <w:spacing w:before="0" w:beforeAutospacing="0" w:after="0" w:afterAutospacing="0" w:line="288" w:lineRule="auto"/>
                    <w:ind w:left="0" w:right="0"/>
                    <w:jc w:val="center"/>
                    <w:rPr>
                      <w:rFonts w:hint="eastAsia"/>
                      <w:sz w:val="18"/>
                      <w:szCs w:val="18"/>
                      <w:highlight w:val="none"/>
                    </w:rPr>
                  </w:pPr>
                  <w:r>
                    <w:rPr>
                      <w:rFonts w:hint="eastAsia"/>
                      <w:sz w:val="18"/>
                      <w:szCs w:val="18"/>
                      <w:highlight w:val="none"/>
                    </w:rPr>
                    <w:t>□</w:t>
                  </w:r>
                </w:p>
              </w:tc>
              <w:tc>
                <w:tcPr>
                  <w:tcW w:w="401" w:type="pct"/>
                  <w:gridSpan w:val="2"/>
                  <w:noWrap w:val="0"/>
                  <w:vAlign w:val="center"/>
                </w:tcPr>
                <w:p w14:paraId="670B9AFE">
                  <w:pPr>
                    <w:keepNext w:val="0"/>
                    <w:keepLines w:val="0"/>
                    <w:suppressLineNumbers w:val="0"/>
                    <w:spacing w:before="0" w:beforeAutospacing="0" w:after="0" w:afterAutospacing="0" w:line="288" w:lineRule="auto"/>
                    <w:ind w:left="0" w:right="0"/>
                    <w:jc w:val="center"/>
                    <w:rPr>
                      <w:rFonts w:hint="eastAsia"/>
                      <w:sz w:val="18"/>
                      <w:szCs w:val="18"/>
                      <w:highlight w:val="none"/>
                    </w:rPr>
                  </w:pPr>
                  <w:r>
                    <w:rPr>
                      <w:rFonts w:hint="eastAsia"/>
                      <w:sz w:val="18"/>
                      <w:szCs w:val="18"/>
                      <w:highlight w:val="none"/>
                    </w:rPr>
                    <w:t>网格模型□</w:t>
                  </w:r>
                </w:p>
              </w:tc>
              <w:tc>
                <w:tcPr>
                  <w:tcW w:w="397" w:type="pct"/>
                  <w:noWrap w:val="0"/>
                  <w:textDirection w:val="tbRlV"/>
                  <w:vAlign w:val="center"/>
                </w:tcPr>
                <w:p w14:paraId="27515F23">
                  <w:pPr>
                    <w:keepNext w:val="0"/>
                    <w:keepLines w:val="0"/>
                    <w:suppressLineNumbers w:val="0"/>
                    <w:spacing w:before="0" w:beforeAutospacing="0" w:after="0" w:afterAutospacing="0" w:line="288" w:lineRule="auto"/>
                    <w:ind w:left="0" w:right="0"/>
                    <w:jc w:val="center"/>
                    <w:rPr>
                      <w:rFonts w:hint="eastAsia"/>
                      <w:sz w:val="18"/>
                      <w:szCs w:val="18"/>
                      <w:highlight w:val="none"/>
                    </w:rPr>
                  </w:pPr>
                  <w:r>
                    <w:rPr>
                      <w:rFonts w:hint="eastAsia"/>
                      <w:sz w:val="18"/>
                      <w:szCs w:val="18"/>
                      <w:highlight w:val="none"/>
                    </w:rPr>
                    <w:t>其他□</w:t>
                  </w:r>
                </w:p>
              </w:tc>
            </w:tr>
            <w:tr w14:paraId="62FD03FB">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c>
                <w:tcPr>
                  <w:tcW w:w="336" w:type="pct"/>
                  <w:vMerge w:val="continue"/>
                  <w:tcBorders>
                    <w:top w:val="nil"/>
                    <w:bottom w:val="nil"/>
                  </w:tcBorders>
                  <w:noWrap w:val="0"/>
                  <w:vAlign w:val="center"/>
                </w:tcPr>
                <w:p w14:paraId="410B6A0A">
                  <w:pPr>
                    <w:keepNext w:val="0"/>
                    <w:keepLines w:val="0"/>
                    <w:suppressLineNumbers w:val="0"/>
                    <w:spacing w:before="0" w:beforeAutospacing="0" w:after="0" w:afterAutospacing="0" w:line="288" w:lineRule="auto"/>
                    <w:ind w:left="0" w:right="0"/>
                    <w:jc w:val="center"/>
                    <w:rPr>
                      <w:rFonts w:hint="eastAsia"/>
                      <w:sz w:val="18"/>
                      <w:szCs w:val="18"/>
                      <w:highlight w:val="none"/>
                    </w:rPr>
                  </w:pPr>
                </w:p>
              </w:tc>
              <w:tc>
                <w:tcPr>
                  <w:tcW w:w="933" w:type="pct"/>
                  <w:noWrap w:val="0"/>
                  <w:vAlign w:val="center"/>
                </w:tcPr>
                <w:p w14:paraId="708D23A8">
                  <w:pPr>
                    <w:keepNext w:val="0"/>
                    <w:keepLines w:val="0"/>
                    <w:suppressLineNumbers w:val="0"/>
                    <w:spacing w:before="0" w:beforeAutospacing="0" w:after="0" w:afterAutospacing="0" w:line="288" w:lineRule="auto"/>
                    <w:ind w:left="0" w:right="0"/>
                    <w:jc w:val="center"/>
                    <w:rPr>
                      <w:rFonts w:hint="eastAsia"/>
                      <w:sz w:val="18"/>
                      <w:szCs w:val="18"/>
                      <w:highlight w:val="none"/>
                    </w:rPr>
                  </w:pPr>
                  <w:r>
                    <w:rPr>
                      <w:rFonts w:hint="eastAsia"/>
                      <w:sz w:val="18"/>
                      <w:szCs w:val="18"/>
                      <w:highlight w:val="none"/>
                    </w:rPr>
                    <w:t>预测范围</w:t>
                  </w:r>
                </w:p>
              </w:tc>
              <w:tc>
                <w:tcPr>
                  <w:tcW w:w="1376" w:type="pct"/>
                  <w:gridSpan w:val="7"/>
                  <w:noWrap w:val="0"/>
                  <w:vAlign w:val="center"/>
                </w:tcPr>
                <w:p w14:paraId="26F9CC3E">
                  <w:pPr>
                    <w:keepNext w:val="0"/>
                    <w:keepLines w:val="0"/>
                    <w:suppressLineNumbers w:val="0"/>
                    <w:spacing w:before="0" w:beforeAutospacing="0" w:after="0" w:afterAutospacing="0" w:line="288" w:lineRule="auto"/>
                    <w:ind w:left="0" w:right="0"/>
                    <w:jc w:val="center"/>
                    <w:rPr>
                      <w:rFonts w:hint="eastAsia"/>
                      <w:sz w:val="18"/>
                      <w:szCs w:val="18"/>
                      <w:highlight w:val="none"/>
                    </w:rPr>
                  </w:pPr>
                  <w:r>
                    <w:rPr>
                      <w:rFonts w:hint="eastAsia"/>
                      <w:sz w:val="18"/>
                      <w:szCs w:val="18"/>
                      <w:highlight w:val="none"/>
                    </w:rPr>
                    <w:t>边长≥50km□</w:t>
                  </w:r>
                </w:p>
              </w:tc>
              <w:tc>
                <w:tcPr>
                  <w:tcW w:w="1477" w:type="pct"/>
                  <w:gridSpan w:val="8"/>
                  <w:noWrap w:val="0"/>
                  <w:vAlign w:val="center"/>
                </w:tcPr>
                <w:p w14:paraId="14424469">
                  <w:pPr>
                    <w:keepNext w:val="0"/>
                    <w:keepLines w:val="0"/>
                    <w:suppressLineNumbers w:val="0"/>
                    <w:spacing w:before="0" w:beforeAutospacing="0" w:after="0" w:afterAutospacing="0" w:line="288" w:lineRule="auto"/>
                    <w:ind w:left="0" w:right="0"/>
                    <w:jc w:val="center"/>
                    <w:rPr>
                      <w:rFonts w:hint="eastAsia"/>
                      <w:sz w:val="18"/>
                      <w:szCs w:val="18"/>
                      <w:highlight w:val="none"/>
                    </w:rPr>
                  </w:pPr>
                  <w:r>
                    <w:rPr>
                      <w:rFonts w:hint="eastAsia"/>
                      <w:sz w:val="18"/>
                      <w:szCs w:val="18"/>
                      <w:highlight w:val="none"/>
                    </w:rPr>
                    <w:t>边长5~50km□</w:t>
                  </w:r>
                </w:p>
              </w:tc>
              <w:tc>
                <w:tcPr>
                  <w:tcW w:w="875" w:type="pct"/>
                  <w:gridSpan w:val="4"/>
                  <w:noWrap w:val="0"/>
                  <w:vAlign w:val="center"/>
                </w:tcPr>
                <w:p w14:paraId="00E677FB">
                  <w:pPr>
                    <w:keepNext w:val="0"/>
                    <w:keepLines w:val="0"/>
                    <w:suppressLineNumbers w:val="0"/>
                    <w:spacing w:before="0" w:beforeAutospacing="0" w:after="0" w:afterAutospacing="0" w:line="288" w:lineRule="auto"/>
                    <w:ind w:left="0" w:right="0"/>
                    <w:jc w:val="center"/>
                    <w:rPr>
                      <w:rFonts w:hint="eastAsia"/>
                      <w:sz w:val="18"/>
                      <w:szCs w:val="18"/>
                      <w:highlight w:val="none"/>
                    </w:rPr>
                  </w:pPr>
                  <w:r>
                    <w:rPr>
                      <w:rFonts w:hint="eastAsia"/>
                      <w:sz w:val="18"/>
                      <w:szCs w:val="18"/>
                      <w:highlight w:val="none"/>
                    </w:rPr>
                    <w:t>边长=5km☑</w:t>
                  </w:r>
                </w:p>
              </w:tc>
            </w:tr>
            <w:tr w14:paraId="7CB876E3">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c>
                <w:tcPr>
                  <w:tcW w:w="336" w:type="pct"/>
                  <w:vMerge w:val="continue"/>
                  <w:tcBorders>
                    <w:top w:val="nil"/>
                    <w:bottom w:val="nil"/>
                  </w:tcBorders>
                  <w:noWrap w:val="0"/>
                  <w:vAlign w:val="center"/>
                </w:tcPr>
                <w:p w14:paraId="71D7D433">
                  <w:pPr>
                    <w:keepNext w:val="0"/>
                    <w:keepLines w:val="0"/>
                    <w:suppressLineNumbers w:val="0"/>
                    <w:spacing w:before="0" w:beforeAutospacing="0" w:after="0" w:afterAutospacing="0" w:line="288" w:lineRule="auto"/>
                    <w:ind w:left="0" w:right="0"/>
                    <w:jc w:val="center"/>
                    <w:rPr>
                      <w:rFonts w:hint="eastAsia"/>
                      <w:sz w:val="18"/>
                      <w:szCs w:val="18"/>
                      <w:highlight w:val="none"/>
                    </w:rPr>
                  </w:pPr>
                </w:p>
              </w:tc>
              <w:tc>
                <w:tcPr>
                  <w:tcW w:w="933" w:type="pct"/>
                  <w:noWrap w:val="0"/>
                  <w:vAlign w:val="center"/>
                </w:tcPr>
                <w:p w14:paraId="7315DEAF">
                  <w:pPr>
                    <w:keepNext w:val="0"/>
                    <w:keepLines w:val="0"/>
                    <w:suppressLineNumbers w:val="0"/>
                    <w:spacing w:before="0" w:beforeAutospacing="0" w:after="0" w:afterAutospacing="0" w:line="288" w:lineRule="auto"/>
                    <w:ind w:left="0" w:right="0"/>
                    <w:jc w:val="center"/>
                    <w:rPr>
                      <w:rFonts w:hint="eastAsia"/>
                      <w:sz w:val="18"/>
                      <w:szCs w:val="18"/>
                      <w:highlight w:val="none"/>
                    </w:rPr>
                  </w:pPr>
                  <w:r>
                    <w:rPr>
                      <w:rFonts w:hint="eastAsia"/>
                      <w:sz w:val="18"/>
                      <w:szCs w:val="18"/>
                      <w:highlight w:val="none"/>
                    </w:rPr>
                    <w:t>预测因子</w:t>
                  </w:r>
                </w:p>
              </w:tc>
              <w:tc>
                <w:tcPr>
                  <w:tcW w:w="2199" w:type="pct"/>
                  <w:gridSpan w:val="11"/>
                  <w:noWrap w:val="0"/>
                  <w:vAlign w:val="center"/>
                </w:tcPr>
                <w:p w14:paraId="287294EE">
                  <w:pPr>
                    <w:keepNext w:val="0"/>
                    <w:keepLines w:val="0"/>
                    <w:suppressLineNumbers w:val="0"/>
                    <w:spacing w:before="0" w:beforeAutospacing="0" w:after="0" w:afterAutospacing="0" w:line="288" w:lineRule="auto"/>
                    <w:ind w:left="0" w:right="0"/>
                    <w:jc w:val="center"/>
                    <w:rPr>
                      <w:rFonts w:hint="eastAsia"/>
                      <w:sz w:val="18"/>
                      <w:szCs w:val="18"/>
                      <w:highlight w:val="none"/>
                    </w:rPr>
                  </w:pPr>
                  <w:r>
                    <w:rPr>
                      <w:rFonts w:hint="eastAsia"/>
                      <w:sz w:val="18"/>
                      <w:szCs w:val="18"/>
                      <w:highlight w:val="none"/>
                    </w:rPr>
                    <w:t>预测因子（氨、硫化氢、氯气）</w:t>
                  </w:r>
                </w:p>
              </w:tc>
              <w:tc>
                <w:tcPr>
                  <w:tcW w:w="1530" w:type="pct"/>
                  <w:gridSpan w:val="8"/>
                  <w:noWrap w:val="0"/>
                  <w:vAlign w:val="center"/>
                </w:tcPr>
                <w:p w14:paraId="1763C640">
                  <w:pPr>
                    <w:keepNext w:val="0"/>
                    <w:keepLines w:val="0"/>
                    <w:suppressLineNumbers w:val="0"/>
                    <w:spacing w:before="0" w:beforeAutospacing="0" w:after="0" w:afterAutospacing="0" w:line="288" w:lineRule="auto"/>
                    <w:ind w:left="0" w:right="0"/>
                    <w:jc w:val="center"/>
                    <w:rPr>
                      <w:rFonts w:hint="eastAsia"/>
                      <w:sz w:val="18"/>
                      <w:szCs w:val="18"/>
                      <w:highlight w:val="none"/>
                    </w:rPr>
                  </w:pPr>
                  <w:r>
                    <w:rPr>
                      <w:rFonts w:hint="eastAsia"/>
                      <w:sz w:val="18"/>
                      <w:szCs w:val="18"/>
                      <w:highlight w:val="none"/>
                    </w:rPr>
                    <w:t>包括二次PM2.5□</w:t>
                  </w:r>
                </w:p>
                <w:p w14:paraId="6EF061E3">
                  <w:pPr>
                    <w:keepNext w:val="0"/>
                    <w:keepLines w:val="0"/>
                    <w:suppressLineNumbers w:val="0"/>
                    <w:spacing w:before="0" w:beforeAutospacing="0" w:after="0" w:afterAutospacing="0" w:line="288" w:lineRule="auto"/>
                    <w:ind w:left="0" w:right="0"/>
                    <w:jc w:val="center"/>
                    <w:rPr>
                      <w:rFonts w:hint="eastAsia"/>
                      <w:sz w:val="18"/>
                      <w:szCs w:val="18"/>
                      <w:highlight w:val="none"/>
                    </w:rPr>
                  </w:pPr>
                  <w:r>
                    <w:rPr>
                      <w:rFonts w:hint="eastAsia"/>
                      <w:sz w:val="18"/>
                      <w:szCs w:val="18"/>
                      <w:highlight w:val="none"/>
                    </w:rPr>
                    <w:t>不包括二次PM2.5☑</w:t>
                  </w:r>
                </w:p>
              </w:tc>
            </w:tr>
            <w:tr w14:paraId="57116C06">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c>
                <w:tcPr>
                  <w:tcW w:w="336" w:type="pct"/>
                  <w:vMerge w:val="continue"/>
                  <w:tcBorders>
                    <w:top w:val="nil"/>
                    <w:bottom w:val="nil"/>
                  </w:tcBorders>
                  <w:noWrap w:val="0"/>
                  <w:vAlign w:val="center"/>
                </w:tcPr>
                <w:p w14:paraId="01A92E0F">
                  <w:pPr>
                    <w:keepNext w:val="0"/>
                    <w:keepLines w:val="0"/>
                    <w:suppressLineNumbers w:val="0"/>
                    <w:spacing w:before="0" w:beforeAutospacing="0" w:after="0" w:afterAutospacing="0" w:line="288" w:lineRule="auto"/>
                    <w:ind w:left="0" w:right="0"/>
                    <w:jc w:val="center"/>
                    <w:rPr>
                      <w:rFonts w:hint="eastAsia"/>
                      <w:sz w:val="18"/>
                      <w:szCs w:val="18"/>
                      <w:highlight w:val="none"/>
                    </w:rPr>
                  </w:pPr>
                </w:p>
              </w:tc>
              <w:tc>
                <w:tcPr>
                  <w:tcW w:w="933" w:type="pct"/>
                  <w:noWrap w:val="0"/>
                  <w:vAlign w:val="center"/>
                </w:tcPr>
                <w:p w14:paraId="6406F745">
                  <w:pPr>
                    <w:keepNext w:val="0"/>
                    <w:keepLines w:val="0"/>
                    <w:suppressLineNumbers w:val="0"/>
                    <w:spacing w:before="0" w:beforeAutospacing="0" w:after="0" w:afterAutospacing="0" w:line="288" w:lineRule="auto"/>
                    <w:ind w:left="0" w:right="0"/>
                    <w:jc w:val="center"/>
                    <w:rPr>
                      <w:rFonts w:hint="eastAsia"/>
                      <w:sz w:val="18"/>
                      <w:szCs w:val="18"/>
                      <w:highlight w:val="none"/>
                    </w:rPr>
                  </w:pPr>
                  <w:r>
                    <w:rPr>
                      <w:rFonts w:hint="eastAsia"/>
                      <w:sz w:val="18"/>
                      <w:szCs w:val="18"/>
                      <w:highlight w:val="none"/>
                    </w:rPr>
                    <w:t>正常排放短期浓度贡献值</w:t>
                  </w:r>
                </w:p>
              </w:tc>
              <w:tc>
                <w:tcPr>
                  <w:tcW w:w="2199" w:type="pct"/>
                  <w:gridSpan w:val="11"/>
                  <w:noWrap w:val="0"/>
                  <w:vAlign w:val="center"/>
                </w:tcPr>
                <w:p w14:paraId="68CC1327">
                  <w:pPr>
                    <w:keepNext w:val="0"/>
                    <w:keepLines w:val="0"/>
                    <w:suppressLineNumbers w:val="0"/>
                    <w:spacing w:before="0" w:beforeAutospacing="0" w:after="0" w:afterAutospacing="0" w:line="288" w:lineRule="auto"/>
                    <w:ind w:left="0" w:right="0"/>
                    <w:jc w:val="center"/>
                    <w:rPr>
                      <w:rFonts w:hint="eastAsia"/>
                      <w:sz w:val="18"/>
                      <w:szCs w:val="18"/>
                      <w:highlight w:val="none"/>
                    </w:rPr>
                  </w:pPr>
                  <w:r>
                    <w:rPr>
                      <w:rFonts w:hint="eastAsia"/>
                      <w:sz w:val="18"/>
                      <w:szCs w:val="18"/>
                      <w:highlight w:val="none"/>
                    </w:rPr>
                    <w:t>C</w:t>
                  </w:r>
                  <w:r>
                    <w:rPr>
                      <w:rFonts w:hint="eastAsia"/>
                      <w:sz w:val="18"/>
                      <w:szCs w:val="18"/>
                      <w:highlight w:val="none"/>
                      <w:vertAlign w:val="subscript"/>
                    </w:rPr>
                    <w:t>新建项目</w:t>
                  </w:r>
                  <w:r>
                    <w:rPr>
                      <w:rFonts w:hint="eastAsia"/>
                      <w:sz w:val="18"/>
                      <w:szCs w:val="18"/>
                      <w:highlight w:val="none"/>
                    </w:rPr>
                    <w:t>最大占标率≤100%☑</w:t>
                  </w:r>
                </w:p>
              </w:tc>
              <w:tc>
                <w:tcPr>
                  <w:tcW w:w="1530" w:type="pct"/>
                  <w:gridSpan w:val="8"/>
                  <w:noWrap w:val="0"/>
                  <w:vAlign w:val="center"/>
                </w:tcPr>
                <w:p w14:paraId="2C24D786">
                  <w:pPr>
                    <w:keepNext w:val="0"/>
                    <w:keepLines w:val="0"/>
                    <w:suppressLineNumbers w:val="0"/>
                    <w:spacing w:before="0" w:beforeAutospacing="0" w:after="0" w:afterAutospacing="0" w:line="288" w:lineRule="auto"/>
                    <w:ind w:left="0" w:right="0"/>
                    <w:jc w:val="center"/>
                    <w:rPr>
                      <w:rFonts w:hint="eastAsia"/>
                      <w:sz w:val="18"/>
                      <w:szCs w:val="18"/>
                      <w:highlight w:val="none"/>
                    </w:rPr>
                  </w:pPr>
                  <w:r>
                    <w:rPr>
                      <w:rFonts w:hint="eastAsia"/>
                      <w:sz w:val="18"/>
                      <w:szCs w:val="18"/>
                      <w:highlight w:val="none"/>
                    </w:rPr>
                    <w:t>C</w:t>
                  </w:r>
                  <w:r>
                    <w:rPr>
                      <w:rFonts w:hint="eastAsia"/>
                      <w:sz w:val="18"/>
                      <w:szCs w:val="18"/>
                      <w:highlight w:val="none"/>
                      <w:vertAlign w:val="subscript"/>
                    </w:rPr>
                    <w:t>新建项目</w:t>
                  </w:r>
                  <w:r>
                    <w:rPr>
                      <w:rFonts w:hint="eastAsia"/>
                      <w:sz w:val="18"/>
                      <w:szCs w:val="18"/>
                      <w:highlight w:val="none"/>
                    </w:rPr>
                    <w:t>最大占标率&gt;100%□</w:t>
                  </w:r>
                </w:p>
              </w:tc>
            </w:tr>
            <w:tr w14:paraId="20D7E450">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c>
                <w:tcPr>
                  <w:tcW w:w="336" w:type="pct"/>
                  <w:vMerge w:val="continue"/>
                  <w:tcBorders>
                    <w:top w:val="nil"/>
                    <w:bottom w:val="nil"/>
                  </w:tcBorders>
                  <w:noWrap w:val="0"/>
                  <w:vAlign w:val="center"/>
                </w:tcPr>
                <w:p w14:paraId="75D8B88B">
                  <w:pPr>
                    <w:keepNext w:val="0"/>
                    <w:keepLines w:val="0"/>
                    <w:suppressLineNumbers w:val="0"/>
                    <w:spacing w:before="0" w:beforeAutospacing="0" w:after="0" w:afterAutospacing="0" w:line="288" w:lineRule="auto"/>
                    <w:ind w:left="0" w:right="0"/>
                    <w:jc w:val="center"/>
                    <w:rPr>
                      <w:rFonts w:hint="eastAsia"/>
                      <w:sz w:val="18"/>
                      <w:szCs w:val="18"/>
                      <w:highlight w:val="none"/>
                    </w:rPr>
                  </w:pPr>
                </w:p>
              </w:tc>
              <w:tc>
                <w:tcPr>
                  <w:tcW w:w="933" w:type="pct"/>
                  <w:vMerge w:val="restart"/>
                  <w:tcBorders>
                    <w:bottom w:val="nil"/>
                  </w:tcBorders>
                  <w:noWrap w:val="0"/>
                  <w:vAlign w:val="center"/>
                </w:tcPr>
                <w:p w14:paraId="12786233">
                  <w:pPr>
                    <w:keepNext w:val="0"/>
                    <w:keepLines w:val="0"/>
                    <w:suppressLineNumbers w:val="0"/>
                    <w:spacing w:before="0" w:beforeAutospacing="0" w:after="0" w:afterAutospacing="0" w:line="288" w:lineRule="auto"/>
                    <w:ind w:left="0" w:right="0"/>
                    <w:jc w:val="center"/>
                    <w:rPr>
                      <w:rFonts w:hint="eastAsia"/>
                      <w:sz w:val="18"/>
                      <w:szCs w:val="18"/>
                      <w:highlight w:val="none"/>
                    </w:rPr>
                  </w:pPr>
                  <w:r>
                    <w:rPr>
                      <w:rFonts w:hint="eastAsia"/>
                      <w:sz w:val="18"/>
                      <w:szCs w:val="18"/>
                      <w:highlight w:val="none"/>
                    </w:rPr>
                    <w:t>正常排放年均浓度贡献值</w:t>
                  </w:r>
                </w:p>
              </w:tc>
              <w:tc>
                <w:tcPr>
                  <w:tcW w:w="578" w:type="pct"/>
                  <w:gridSpan w:val="2"/>
                  <w:noWrap w:val="0"/>
                  <w:vAlign w:val="center"/>
                </w:tcPr>
                <w:p w14:paraId="3746E36F">
                  <w:pPr>
                    <w:keepNext w:val="0"/>
                    <w:keepLines w:val="0"/>
                    <w:suppressLineNumbers w:val="0"/>
                    <w:spacing w:before="0" w:beforeAutospacing="0" w:after="0" w:afterAutospacing="0" w:line="288" w:lineRule="auto"/>
                    <w:ind w:left="0" w:right="0"/>
                    <w:jc w:val="center"/>
                    <w:rPr>
                      <w:rFonts w:hint="eastAsia"/>
                      <w:sz w:val="18"/>
                      <w:szCs w:val="18"/>
                      <w:highlight w:val="none"/>
                    </w:rPr>
                  </w:pPr>
                  <w:r>
                    <w:rPr>
                      <w:rFonts w:hint="eastAsia"/>
                      <w:sz w:val="18"/>
                      <w:szCs w:val="18"/>
                      <w:highlight w:val="none"/>
                    </w:rPr>
                    <w:t>一类区</w:t>
                  </w:r>
                </w:p>
              </w:tc>
              <w:tc>
                <w:tcPr>
                  <w:tcW w:w="1620" w:type="pct"/>
                  <w:gridSpan w:val="9"/>
                  <w:noWrap w:val="0"/>
                  <w:vAlign w:val="center"/>
                </w:tcPr>
                <w:p w14:paraId="4EF747E0">
                  <w:pPr>
                    <w:keepNext w:val="0"/>
                    <w:keepLines w:val="0"/>
                    <w:suppressLineNumbers w:val="0"/>
                    <w:spacing w:before="0" w:beforeAutospacing="0" w:after="0" w:afterAutospacing="0" w:line="288" w:lineRule="auto"/>
                    <w:ind w:left="0" w:right="0"/>
                    <w:jc w:val="center"/>
                    <w:rPr>
                      <w:rFonts w:hint="eastAsia"/>
                      <w:sz w:val="18"/>
                      <w:szCs w:val="18"/>
                      <w:highlight w:val="none"/>
                    </w:rPr>
                  </w:pPr>
                  <w:r>
                    <w:rPr>
                      <w:rFonts w:hint="eastAsia"/>
                      <w:sz w:val="18"/>
                      <w:szCs w:val="18"/>
                      <w:highlight w:val="none"/>
                    </w:rPr>
                    <w:t>C</w:t>
                  </w:r>
                  <w:r>
                    <w:rPr>
                      <w:rFonts w:hint="eastAsia"/>
                      <w:sz w:val="18"/>
                      <w:szCs w:val="18"/>
                      <w:highlight w:val="none"/>
                      <w:vertAlign w:val="subscript"/>
                    </w:rPr>
                    <w:t>新建项目</w:t>
                  </w:r>
                  <w:r>
                    <w:rPr>
                      <w:rFonts w:hint="eastAsia"/>
                      <w:sz w:val="18"/>
                      <w:szCs w:val="18"/>
                      <w:highlight w:val="none"/>
                    </w:rPr>
                    <w:t>最大占标率≤10%□</w:t>
                  </w:r>
                </w:p>
              </w:tc>
              <w:tc>
                <w:tcPr>
                  <w:tcW w:w="1530" w:type="pct"/>
                  <w:gridSpan w:val="8"/>
                  <w:noWrap w:val="0"/>
                  <w:vAlign w:val="center"/>
                </w:tcPr>
                <w:p w14:paraId="6F0448C8">
                  <w:pPr>
                    <w:keepNext w:val="0"/>
                    <w:keepLines w:val="0"/>
                    <w:suppressLineNumbers w:val="0"/>
                    <w:spacing w:before="0" w:beforeAutospacing="0" w:after="0" w:afterAutospacing="0" w:line="288" w:lineRule="auto"/>
                    <w:ind w:left="0" w:right="0"/>
                    <w:jc w:val="center"/>
                    <w:rPr>
                      <w:rFonts w:hint="eastAsia"/>
                      <w:sz w:val="18"/>
                      <w:szCs w:val="18"/>
                      <w:highlight w:val="none"/>
                    </w:rPr>
                  </w:pPr>
                  <w:r>
                    <w:rPr>
                      <w:rFonts w:hint="eastAsia"/>
                      <w:sz w:val="18"/>
                      <w:szCs w:val="18"/>
                      <w:highlight w:val="none"/>
                    </w:rPr>
                    <w:t>C</w:t>
                  </w:r>
                  <w:r>
                    <w:rPr>
                      <w:rFonts w:hint="eastAsia"/>
                      <w:sz w:val="18"/>
                      <w:szCs w:val="18"/>
                      <w:highlight w:val="none"/>
                      <w:vertAlign w:val="subscript"/>
                    </w:rPr>
                    <w:t>新建项目</w:t>
                  </w:r>
                  <w:r>
                    <w:rPr>
                      <w:rFonts w:hint="eastAsia"/>
                      <w:sz w:val="18"/>
                      <w:szCs w:val="18"/>
                      <w:highlight w:val="none"/>
                    </w:rPr>
                    <w:t>最大占标率&gt;10%□</w:t>
                  </w:r>
                </w:p>
              </w:tc>
            </w:tr>
            <w:tr w14:paraId="2C85488D">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c>
                <w:tcPr>
                  <w:tcW w:w="336" w:type="pct"/>
                  <w:vMerge w:val="continue"/>
                  <w:tcBorders>
                    <w:top w:val="nil"/>
                    <w:bottom w:val="nil"/>
                  </w:tcBorders>
                  <w:noWrap w:val="0"/>
                  <w:vAlign w:val="center"/>
                </w:tcPr>
                <w:p w14:paraId="00C7A9EC">
                  <w:pPr>
                    <w:keepNext w:val="0"/>
                    <w:keepLines w:val="0"/>
                    <w:suppressLineNumbers w:val="0"/>
                    <w:spacing w:before="0" w:beforeAutospacing="0" w:after="0" w:afterAutospacing="0" w:line="288" w:lineRule="auto"/>
                    <w:ind w:left="0" w:right="0"/>
                    <w:jc w:val="center"/>
                    <w:rPr>
                      <w:rFonts w:hint="eastAsia"/>
                      <w:sz w:val="18"/>
                      <w:szCs w:val="18"/>
                      <w:highlight w:val="none"/>
                    </w:rPr>
                  </w:pPr>
                </w:p>
              </w:tc>
              <w:tc>
                <w:tcPr>
                  <w:tcW w:w="933" w:type="pct"/>
                  <w:vMerge w:val="continue"/>
                  <w:tcBorders>
                    <w:top w:val="nil"/>
                  </w:tcBorders>
                  <w:noWrap w:val="0"/>
                  <w:vAlign w:val="center"/>
                </w:tcPr>
                <w:p w14:paraId="03A9E42B">
                  <w:pPr>
                    <w:keepNext w:val="0"/>
                    <w:keepLines w:val="0"/>
                    <w:suppressLineNumbers w:val="0"/>
                    <w:spacing w:before="0" w:beforeAutospacing="0" w:after="0" w:afterAutospacing="0" w:line="288" w:lineRule="auto"/>
                    <w:ind w:left="0" w:right="0"/>
                    <w:jc w:val="center"/>
                    <w:rPr>
                      <w:rFonts w:hint="eastAsia"/>
                      <w:sz w:val="18"/>
                      <w:szCs w:val="18"/>
                      <w:highlight w:val="none"/>
                    </w:rPr>
                  </w:pPr>
                </w:p>
              </w:tc>
              <w:tc>
                <w:tcPr>
                  <w:tcW w:w="578" w:type="pct"/>
                  <w:gridSpan w:val="2"/>
                  <w:noWrap w:val="0"/>
                  <w:vAlign w:val="center"/>
                </w:tcPr>
                <w:p w14:paraId="3FE8ECD5">
                  <w:pPr>
                    <w:keepNext w:val="0"/>
                    <w:keepLines w:val="0"/>
                    <w:suppressLineNumbers w:val="0"/>
                    <w:spacing w:before="0" w:beforeAutospacing="0" w:after="0" w:afterAutospacing="0" w:line="288" w:lineRule="auto"/>
                    <w:ind w:left="0" w:right="0"/>
                    <w:jc w:val="center"/>
                    <w:rPr>
                      <w:rFonts w:hint="eastAsia"/>
                      <w:sz w:val="18"/>
                      <w:szCs w:val="18"/>
                      <w:highlight w:val="none"/>
                    </w:rPr>
                  </w:pPr>
                  <w:r>
                    <w:rPr>
                      <w:rFonts w:hint="eastAsia"/>
                      <w:sz w:val="18"/>
                      <w:szCs w:val="18"/>
                      <w:highlight w:val="none"/>
                    </w:rPr>
                    <w:t>二类区</w:t>
                  </w:r>
                </w:p>
              </w:tc>
              <w:tc>
                <w:tcPr>
                  <w:tcW w:w="1620" w:type="pct"/>
                  <w:gridSpan w:val="9"/>
                  <w:noWrap w:val="0"/>
                  <w:vAlign w:val="center"/>
                </w:tcPr>
                <w:p w14:paraId="7B51E8D5">
                  <w:pPr>
                    <w:keepNext w:val="0"/>
                    <w:keepLines w:val="0"/>
                    <w:suppressLineNumbers w:val="0"/>
                    <w:spacing w:before="0" w:beforeAutospacing="0" w:after="0" w:afterAutospacing="0" w:line="288" w:lineRule="auto"/>
                    <w:ind w:left="0" w:right="0"/>
                    <w:jc w:val="center"/>
                    <w:rPr>
                      <w:rFonts w:hint="eastAsia"/>
                      <w:sz w:val="18"/>
                      <w:szCs w:val="18"/>
                      <w:highlight w:val="none"/>
                    </w:rPr>
                  </w:pPr>
                  <w:r>
                    <w:rPr>
                      <w:rFonts w:hint="eastAsia"/>
                      <w:sz w:val="18"/>
                      <w:szCs w:val="18"/>
                      <w:highlight w:val="none"/>
                    </w:rPr>
                    <w:t>C</w:t>
                  </w:r>
                  <w:r>
                    <w:rPr>
                      <w:rFonts w:hint="eastAsia"/>
                      <w:sz w:val="18"/>
                      <w:szCs w:val="18"/>
                      <w:highlight w:val="none"/>
                      <w:vertAlign w:val="subscript"/>
                    </w:rPr>
                    <w:t>新建项目</w:t>
                  </w:r>
                  <w:r>
                    <w:rPr>
                      <w:rFonts w:hint="eastAsia"/>
                      <w:sz w:val="18"/>
                      <w:szCs w:val="18"/>
                      <w:highlight w:val="none"/>
                    </w:rPr>
                    <w:t>最大占标率≤30%□</w:t>
                  </w:r>
                </w:p>
              </w:tc>
              <w:tc>
                <w:tcPr>
                  <w:tcW w:w="1530" w:type="pct"/>
                  <w:gridSpan w:val="8"/>
                  <w:noWrap w:val="0"/>
                  <w:vAlign w:val="center"/>
                </w:tcPr>
                <w:p w14:paraId="2AEC9D59">
                  <w:pPr>
                    <w:keepNext w:val="0"/>
                    <w:keepLines w:val="0"/>
                    <w:suppressLineNumbers w:val="0"/>
                    <w:spacing w:before="0" w:beforeAutospacing="0" w:after="0" w:afterAutospacing="0" w:line="288" w:lineRule="auto"/>
                    <w:ind w:left="0" w:right="0"/>
                    <w:jc w:val="center"/>
                    <w:rPr>
                      <w:rFonts w:hint="eastAsia"/>
                      <w:sz w:val="18"/>
                      <w:szCs w:val="18"/>
                      <w:highlight w:val="none"/>
                    </w:rPr>
                  </w:pPr>
                  <w:r>
                    <w:rPr>
                      <w:rFonts w:hint="eastAsia"/>
                      <w:sz w:val="18"/>
                      <w:szCs w:val="18"/>
                      <w:highlight w:val="none"/>
                    </w:rPr>
                    <w:t>C</w:t>
                  </w:r>
                  <w:r>
                    <w:rPr>
                      <w:rFonts w:hint="eastAsia"/>
                      <w:sz w:val="18"/>
                      <w:szCs w:val="18"/>
                      <w:highlight w:val="none"/>
                      <w:vertAlign w:val="subscript"/>
                    </w:rPr>
                    <w:t>新建项目</w:t>
                  </w:r>
                  <w:r>
                    <w:rPr>
                      <w:rFonts w:hint="eastAsia"/>
                      <w:sz w:val="18"/>
                      <w:szCs w:val="18"/>
                      <w:highlight w:val="none"/>
                    </w:rPr>
                    <w:t>最大占标率&gt;30%□</w:t>
                  </w:r>
                </w:p>
              </w:tc>
            </w:tr>
            <w:tr w14:paraId="12C7B16D">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c>
                <w:tcPr>
                  <w:tcW w:w="336" w:type="pct"/>
                  <w:vMerge w:val="continue"/>
                  <w:tcBorders>
                    <w:top w:val="nil"/>
                    <w:bottom w:val="nil"/>
                  </w:tcBorders>
                  <w:noWrap w:val="0"/>
                  <w:vAlign w:val="center"/>
                </w:tcPr>
                <w:p w14:paraId="23DDAF8F">
                  <w:pPr>
                    <w:keepNext w:val="0"/>
                    <w:keepLines w:val="0"/>
                    <w:suppressLineNumbers w:val="0"/>
                    <w:spacing w:before="0" w:beforeAutospacing="0" w:after="0" w:afterAutospacing="0" w:line="288" w:lineRule="auto"/>
                    <w:ind w:left="0" w:right="0"/>
                    <w:jc w:val="center"/>
                    <w:rPr>
                      <w:rFonts w:hint="eastAsia"/>
                      <w:sz w:val="18"/>
                      <w:szCs w:val="18"/>
                      <w:highlight w:val="none"/>
                    </w:rPr>
                  </w:pPr>
                </w:p>
              </w:tc>
              <w:tc>
                <w:tcPr>
                  <w:tcW w:w="933" w:type="pct"/>
                  <w:noWrap w:val="0"/>
                  <w:vAlign w:val="center"/>
                </w:tcPr>
                <w:p w14:paraId="42F6108E">
                  <w:pPr>
                    <w:keepNext w:val="0"/>
                    <w:keepLines w:val="0"/>
                    <w:suppressLineNumbers w:val="0"/>
                    <w:spacing w:before="0" w:beforeAutospacing="0" w:after="0" w:afterAutospacing="0" w:line="288" w:lineRule="auto"/>
                    <w:ind w:left="0" w:right="0"/>
                    <w:jc w:val="center"/>
                    <w:rPr>
                      <w:rFonts w:hint="eastAsia"/>
                      <w:sz w:val="18"/>
                      <w:szCs w:val="18"/>
                      <w:highlight w:val="none"/>
                    </w:rPr>
                  </w:pPr>
                  <w:r>
                    <w:rPr>
                      <w:rFonts w:hint="eastAsia"/>
                      <w:sz w:val="18"/>
                      <w:szCs w:val="18"/>
                      <w:highlight w:val="none"/>
                    </w:rPr>
                    <w:t>非正常排放1h浓度贡献值</w:t>
                  </w:r>
                </w:p>
              </w:tc>
              <w:tc>
                <w:tcPr>
                  <w:tcW w:w="1376" w:type="pct"/>
                  <w:gridSpan w:val="7"/>
                  <w:noWrap w:val="0"/>
                  <w:vAlign w:val="center"/>
                </w:tcPr>
                <w:p w14:paraId="6656DB77">
                  <w:pPr>
                    <w:keepNext w:val="0"/>
                    <w:keepLines w:val="0"/>
                    <w:suppressLineNumbers w:val="0"/>
                    <w:spacing w:before="0" w:beforeAutospacing="0" w:after="0" w:afterAutospacing="0" w:line="288" w:lineRule="auto"/>
                    <w:ind w:left="0" w:right="0"/>
                    <w:jc w:val="center"/>
                    <w:rPr>
                      <w:rFonts w:hint="eastAsia"/>
                      <w:sz w:val="18"/>
                      <w:szCs w:val="18"/>
                      <w:highlight w:val="none"/>
                    </w:rPr>
                  </w:pPr>
                  <w:r>
                    <w:rPr>
                      <w:rFonts w:hint="eastAsia"/>
                      <w:sz w:val="18"/>
                      <w:szCs w:val="18"/>
                      <w:highlight w:val="none"/>
                    </w:rPr>
                    <w:t>非正常持续时长（）h</w:t>
                  </w:r>
                </w:p>
              </w:tc>
              <w:tc>
                <w:tcPr>
                  <w:tcW w:w="1477" w:type="pct"/>
                  <w:gridSpan w:val="8"/>
                  <w:noWrap w:val="0"/>
                  <w:vAlign w:val="center"/>
                </w:tcPr>
                <w:p w14:paraId="2E53BE50">
                  <w:pPr>
                    <w:keepNext w:val="0"/>
                    <w:keepLines w:val="0"/>
                    <w:suppressLineNumbers w:val="0"/>
                    <w:spacing w:before="0" w:beforeAutospacing="0" w:after="0" w:afterAutospacing="0" w:line="288" w:lineRule="auto"/>
                    <w:ind w:left="0" w:right="0"/>
                    <w:jc w:val="center"/>
                    <w:rPr>
                      <w:rFonts w:hint="eastAsia"/>
                      <w:sz w:val="18"/>
                      <w:szCs w:val="18"/>
                      <w:highlight w:val="none"/>
                    </w:rPr>
                  </w:pPr>
                  <w:r>
                    <w:rPr>
                      <w:rFonts w:hint="eastAsia"/>
                      <w:sz w:val="18"/>
                      <w:szCs w:val="18"/>
                      <w:highlight w:val="none"/>
                    </w:rPr>
                    <w:t>C</w:t>
                  </w:r>
                  <w:r>
                    <w:rPr>
                      <w:rFonts w:hint="eastAsia"/>
                      <w:sz w:val="18"/>
                      <w:szCs w:val="18"/>
                      <w:highlight w:val="none"/>
                      <w:vertAlign w:val="subscript"/>
                    </w:rPr>
                    <w:t>非正常占标率</w:t>
                  </w:r>
                  <w:r>
                    <w:rPr>
                      <w:rFonts w:hint="eastAsia"/>
                      <w:sz w:val="18"/>
                      <w:szCs w:val="18"/>
                      <w:highlight w:val="none"/>
                    </w:rPr>
                    <w:t>≤100%□</w:t>
                  </w:r>
                </w:p>
              </w:tc>
              <w:tc>
                <w:tcPr>
                  <w:tcW w:w="875" w:type="pct"/>
                  <w:gridSpan w:val="4"/>
                  <w:noWrap w:val="0"/>
                  <w:vAlign w:val="center"/>
                </w:tcPr>
                <w:p w14:paraId="5BD6182A">
                  <w:pPr>
                    <w:keepNext w:val="0"/>
                    <w:keepLines w:val="0"/>
                    <w:suppressLineNumbers w:val="0"/>
                    <w:spacing w:before="0" w:beforeAutospacing="0" w:after="0" w:afterAutospacing="0" w:line="288" w:lineRule="auto"/>
                    <w:ind w:left="0" w:right="0"/>
                    <w:jc w:val="center"/>
                    <w:rPr>
                      <w:rFonts w:hint="eastAsia"/>
                      <w:sz w:val="18"/>
                      <w:szCs w:val="18"/>
                      <w:highlight w:val="none"/>
                      <w:vertAlign w:val="subscript"/>
                    </w:rPr>
                  </w:pPr>
                  <w:r>
                    <w:rPr>
                      <w:rFonts w:hint="eastAsia"/>
                      <w:sz w:val="18"/>
                      <w:szCs w:val="18"/>
                      <w:highlight w:val="none"/>
                    </w:rPr>
                    <w:t>C</w:t>
                  </w:r>
                  <w:r>
                    <w:rPr>
                      <w:rFonts w:hint="eastAsia"/>
                      <w:sz w:val="18"/>
                      <w:szCs w:val="18"/>
                      <w:highlight w:val="none"/>
                      <w:vertAlign w:val="subscript"/>
                    </w:rPr>
                    <w:t>非正常占标</w:t>
                  </w:r>
                </w:p>
                <w:p w14:paraId="2B05ED78">
                  <w:pPr>
                    <w:keepNext w:val="0"/>
                    <w:keepLines w:val="0"/>
                    <w:suppressLineNumbers w:val="0"/>
                    <w:spacing w:before="0" w:beforeAutospacing="0" w:after="0" w:afterAutospacing="0" w:line="288" w:lineRule="auto"/>
                    <w:ind w:left="0" w:right="0"/>
                    <w:jc w:val="center"/>
                    <w:rPr>
                      <w:rFonts w:hint="eastAsia"/>
                      <w:sz w:val="18"/>
                      <w:szCs w:val="18"/>
                      <w:highlight w:val="none"/>
                    </w:rPr>
                  </w:pPr>
                  <w:r>
                    <w:rPr>
                      <w:rFonts w:hint="eastAsia"/>
                      <w:sz w:val="18"/>
                      <w:szCs w:val="18"/>
                      <w:highlight w:val="none"/>
                      <w:vertAlign w:val="subscript"/>
                    </w:rPr>
                    <w:t>率</w:t>
                  </w:r>
                  <w:r>
                    <w:rPr>
                      <w:rFonts w:hint="eastAsia"/>
                      <w:sz w:val="18"/>
                      <w:szCs w:val="18"/>
                      <w:highlight w:val="none"/>
                    </w:rPr>
                    <w:t>&gt;100%□</w:t>
                  </w:r>
                </w:p>
              </w:tc>
            </w:tr>
            <w:tr w14:paraId="272BBE1D">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c>
                <w:tcPr>
                  <w:tcW w:w="336" w:type="pct"/>
                  <w:vMerge w:val="continue"/>
                  <w:tcBorders>
                    <w:top w:val="nil"/>
                    <w:bottom w:val="nil"/>
                  </w:tcBorders>
                  <w:noWrap w:val="0"/>
                  <w:vAlign w:val="center"/>
                </w:tcPr>
                <w:p w14:paraId="56D95F73">
                  <w:pPr>
                    <w:keepNext w:val="0"/>
                    <w:keepLines w:val="0"/>
                    <w:suppressLineNumbers w:val="0"/>
                    <w:spacing w:before="0" w:beforeAutospacing="0" w:after="0" w:afterAutospacing="0" w:line="288" w:lineRule="auto"/>
                    <w:ind w:left="0" w:right="0"/>
                    <w:jc w:val="center"/>
                    <w:rPr>
                      <w:rFonts w:hint="eastAsia"/>
                      <w:sz w:val="18"/>
                      <w:szCs w:val="18"/>
                      <w:highlight w:val="none"/>
                    </w:rPr>
                  </w:pPr>
                </w:p>
              </w:tc>
              <w:tc>
                <w:tcPr>
                  <w:tcW w:w="933" w:type="pct"/>
                  <w:noWrap w:val="0"/>
                  <w:vAlign w:val="center"/>
                </w:tcPr>
                <w:p w14:paraId="55691872">
                  <w:pPr>
                    <w:keepNext w:val="0"/>
                    <w:keepLines w:val="0"/>
                    <w:suppressLineNumbers w:val="0"/>
                    <w:spacing w:before="0" w:beforeAutospacing="0" w:after="0" w:afterAutospacing="0" w:line="288" w:lineRule="auto"/>
                    <w:ind w:left="0" w:right="0"/>
                    <w:jc w:val="center"/>
                    <w:rPr>
                      <w:rFonts w:hint="eastAsia"/>
                      <w:sz w:val="18"/>
                      <w:szCs w:val="18"/>
                      <w:highlight w:val="none"/>
                    </w:rPr>
                  </w:pPr>
                  <w:r>
                    <w:rPr>
                      <w:rFonts w:hint="eastAsia"/>
                      <w:sz w:val="18"/>
                      <w:szCs w:val="18"/>
                      <w:highlight w:val="none"/>
                    </w:rPr>
                    <w:t>保证率日平均浓度和年平均浓度叠加值</w:t>
                  </w:r>
                </w:p>
              </w:tc>
              <w:tc>
                <w:tcPr>
                  <w:tcW w:w="1833" w:type="pct"/>
                  <w:gridSpan w:val="9"/>
                  <w:noWrap w:val="0"/>
                  <w:vAlign w:val="center"/>
                </w:tcPr>
                <w:p w14:paraId="346BEF87">
                  <w:pPr>
                    <w:keepNext w:val="0"/>
                    <w:keepLines w:val="0"/>
                    <w:suppressLineNumbers w:val="0"/>
                    <w:spacing w:before="0" w:beforeAutospacing="0" w:after="0" w:afterAutospacing="0" w:line="288" w:lineRule="auto"/>
                    <w:ind w:left="0" w:right="0"/>
                    <w:jc w:val="center"/>
                    <w:rPr>
                      <w:rFonts w:hint="eastAsia"/>
                      <w:sz w:val="18"/>
                      <w:szCs w:val="18"/>
                      <w:highlight w:val="none"/>
                    </w:rPr>
                  </w:pPr>
                  <w:r>
                    <w:rPr>
                      <w:rFonts w:hint="eastAsia"/>
                      <w:sz w:val="18"/>
                      <w:szCs w:val="18"/>
                      <w:highlight w:val="none"/>
                    </w:rPr>
                    <w:t>C叠加达标□</w:t>
                  </w:r>
                </w:p>
              </w:tc>
              <w:tc>
                <w:tcPr>
                  <w:tcW w:w="1896" w:type="pct"/>
                  <w:gridSpan w:val="10"/>
                  <w:noWrap w:val="0"/>
                  <w:vAlign w:val="center"/>
                </w:tcPr>
                <w:p w14:paraId="3D282D51">
                  <w:pPr>
                    <w:keepNext w:val="0"/>
                    <w:keepLines w:val="0"/>
                    <w:suppressLineNumbers w:val="0"/>
                    <w:spacing w:before="0" w:beforeAutospacing="0" w:after="0" w:afterAutospacing="0" w:line="288" w:lineRule="auto"/>
                    <w:ind w:left="0" w:right="0"/>
                    <w:jc w:val="center"/>
                    <w:rPr>
                      <w:rFonts w:hint="eastAsia"/>
                      <w:sz w:val="18"/>
                      <w:szCs w:val="18"/>
                      <w:highlight w:val="none"/>
                    </w:rPr>
                  </w:pPr>
                  <w:r>
                    <w:rPr>
                      <w:rFonts w:hint="eastAsia"/>
                      <w:sz w:val="18"/>
                      <w:szCs w:val="18"/>
                      <w:highlight w:val="none"/>
                    </w:rPr>
                    <w:t>C叠加不达标□</w:t>
                  </w:r>
                </w:p>
              </w:tc>
            </w:tr>
            <w:tr w14:paraId="4250AB42">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c>
                <w:tcPr>
                  <w:tcW w:w="336" w:type="pct"/>
                  <w:vMerge w:val="continue"/>
                  <w:tcBorders>
                    <w:top w:val="nil"/>
                  </w:tcBorders>
                  <w:noWrap w:val="0"/>
                  <w:vAlign w:val="center"/>
                </w:tcPr>
                <w:p w14:paraId="606277E8">
                  <w:pPr>
                    <w:keepNext w:val="0"/>
                    <w:keepLines w:val="0"/>
                    <w:suppressLineNumbers w:val="0"/>
                    <w:spacing w:before="0" w:beforeAutospacing="0" w:after="0" w:afterAutospacing="0" w:line="288" w:lineRule="auto"/>
                    <w:ind w:left="0" w:right="0"/>
                    <w:jc w:val="center"/>
                    <w:rPr>
                      <w:rFonts w:hint="eastAsia"/>
                      <w:sz w:val="18"/>
                      <w:szCs w:val="18"/>
                      <w:highlight w:val="none"/>
                    </w:rPr>
                  </w:pPr>
                </w:p>
              </w:tc>
              <w:tc>
                <w:tcPr>
                  <w:tcW w:w="933" w:type="pct"/>
                  <w:noWrap w:val="0"/>
                  <w:vAlign w:val="center"/>
                </w:tcPr>
                <w:p w14:paraId="2A8B9D1C">
                  <w:pPr>
                    <w:keepNext w:val="0"/>
                    <w:keepLines w:val="0"/>
                    <w:suppressLineNumbers w:val="0"/>
                    <w:spacing w:before="0" w:beforeAutospacing="0" w:after="0" w:afterAutospacing="0" w:line="288" w:lineRule="auto"/>
                    <w:ind w:left="0" w:right="0"/>
                    <w:jc w:val="center"/>
                    <w:rPr>
                      <w:rFonts w:hint="eastAsia"/>
                      <w:sz w:val="18"/>
                      <w:szCs w:val="18"/>
                      <w:highlight w:val="none"/>
                    </w:rPr>
                  </w:pPr>
                  <w:r>
                    <w:rPr>
                      <w:rFonts w:hint="eastAsia"/>
                      <w:sz w:val="18"/>
                      <w:szCs w:val="18"/>
                      <w:highlight w:val="none"/>
                    </w:rPr>
                    <w:t>区域环境质量的整体变化情况</w:t>
                  </w:r>
                </w:p>
              </w:tc>
              <w:tc>
                <w:tcPr>
                  <w:tcW w:w="1833" w:type="pct"/>
                  <w:gridSpan w:val="9"/>
                  <w:noWrap w:val="0"/>
                  <w:vAlign w:val="center"/>
                </w:tcPr>
                <w:p w14:paraId="673D5D76">
                  <w:pPr>
                    <w:keepNext w:val="0"/>
                    <w:keepLines w:val="0"/>
                    <w:suppressLineNumbers w:val="0"/>
                    <w:spacing w:before="0" w:beforeAutospacing="0" w:after="0" w:afterAutospacing="0" w:line="288" w:lineRule="auto"/>
                    <w:ind w:left="0" w:right="0"/>
                    <w:jc w:val="center"/>
                    <w:rPr>
                      <w:rFonts w:hint="eastAsia"/>
                      <w:sz w:val="18"/>
                      <w:szCs w:val="18"/>
                      <w:highlight w:val="none"/>
                    </w:rPr>
                  </w:pPr>
                  <w:r>
                    <w:rPr>
                      <w:rFonts w:hint="eastAsia"/>
                      <w:sz w:val="18"/>
                      <w:szCs w:val="18"/>
                      <w:highlight w:val="none"/>
                    </w:rPr>
                    <w:t>k≤-20%□</w:t>
                  </w:r>
                </w:p>
              </w:tc>
              <w:tc>
                <w:tcPr>
                  <w:tcW w:w="1896" w:type="pct"/>
                  <w:gridSpan w:val="10"/>
                  <w:noWrap w:val="0"/>
                  <w:vAlign w:val="center"/>
                </w:tcPr>
                <w:p w14:paraId="10B65168">
                  <w:pPr>
                    <w:keepNext w:val="0"/>
                    <w:keepLines w:val="0"/>
                    <w:suppressLineNumbers w:val="0"/>
                    <w:spacing w:before="0" w:beforeAutospacing="0" w:after="0" w:afterAutospacing="0" w:line="288" w:lineRule="auto"/>
                    <w:ind w:left="0" w:right="0"/>
                    <w:jc w:val="center"/>
                    <w:rPr>
                      <w:rFonts w:hint="eastAsia"/>
                      <w:sz w:val="18"/>
                      <w:szCs w:val="18"/>
                      <w:highlight w:val="none"/>
                    </w:rPr>
                  </w:pPr>
                  <w:r>
                    <w:rPr>
                      <w:rFonts w:hint="eastAsia"/>
                      <w:sz w:val="18"/>
                      <w:szCs w:val="18"/>
                      <w:highlight w:val="none"/>
                    </w:rPr>
                    <w:t>k&gt;-20%□</w:t>
                  </w:r>
                </w:p>
              </w:tc>
            </w:tr>
            <w:tr w14:paraId="2CECA429">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c>
                <w:tcPr>
                  <w:tcW w:w="336" w:type="pct"/>
                  <w:vMerge w:val="restart"/>
                  <w:tcBorders>
                    <w:bottom w:val="nil"/>
                  </w:tcBorders>
                  <w:noWrap w:val="0"/>
                  <w:vAlign w:val="center"/>
                </w:tcPr>
                <w:p w14:paraId="3E20D686">
                  <w:pPr>
                    <w:keepNext w:val="0"/>
                    <w:keepLines w:val="0"/>
                    <w:suppressLineNumbers w:val="0"/>
                    <w:spacing w:before="0" w:beforeAutospacing="0" w:after="0" w:afterAutospacing="0" w:line="288" w:lineRule="auto"/>
                    <w:ind w:left="0" w:right="0"/>
                    <w:jc w:val="center"/>
                    <w:rPr>
                      <w:rFonts w:hint="eastAsia"/>
                      <w:sz w:val="18"/>
                      <w:szCs w:val="18"/>
                      <w:highlight w:val="none"/>
                    </w:rPr>
                  </w:pPr>
                  <w:r>
                    <w:rPr>
                      <w:rFonts w:hint="eastAsia"/>
                      <w:sz w:val="18"/>
                      <w:szCs w:val="18"/>
                      <w:highlight w:val="none"/>
                    </w:rPr>
                    <w:t>环境</w:t>
                  </w:r>
                </w:p>
                <w:p w14:paraId="06A652F2">
                  <w:pPr>
                    <w:keepNext w:val="0"/>
                    <w:keepLines w:val="0"/>
                    <w:suppressLineNumbers w:val="0"/>
                    <w:spacing w:before="0" w:beforeAutospacing="0" w:after="0" w:afterAutospacing="0" w:line="288" w:lineRule="auto"/>
                    <w:ind w:left="0" w:right="0"/>
                    <w:jc w:val="center"/>
                    <w:rPr>
                      <w:rFonts w:hint="eastAsia"/>
                      <w:sz w:val="18"/>
                      <w:szCs w:val="18"/>
                      <w:highlight w:val="none"/>
                    </w:rPr>
                  </w:pPr>
                  <w:r>
                    <w:rPr>
                      <w:rFonts w:hint="eastAsia"/>
                      <w:sz w:val="18"/>
                      <w:szCs w:val="18"/>
                      <w:highlight w:val="none"/>
                    </w:rPr>
                    <w:t>监测</w:t>
                  </w:r>
                </w:p>
                <w:p w14:paraId="66E122C1">
                  <w:pPr>
                    <w:keepNext w:val="0"/>
                    <w:keepLines w:val="0"/>
                    <w:suppressLineNumbers w:val="0"/>
                    <w:spacing w:before="0" w:beforeAutospacing="0" w:after="0" w:afterAutospacing="0" w:line="288" w:lineRule="auto"/>
                    <w:ind w:left="0" w:right="0"/>
                    <w:jc w:val="center"/>
                    <w:rPr>
                      <w:rFonts w:hint="eastAsia"/>
                      <w:sz w:val="18"/>
                      <w:szCs w:val="18"/>
                      <w:highlight w:val="none"/>
                    </w:rPr>
                  </w:pPr>
                  <w:r>
                    <w:rPr>
                      <w:rFonts w:hint="eastAsia"/>
                      <w:sz w:val="18"/>
                      <w:szCs w:val="18"/>
                      <w:highlight w:val="none"/>
                    </w:rPr>
                    <w:t>计划</w:t>
                  </w:r>
                </w:p>
              </w:tc>
              <w:tc>
                <w:tcPr>
                  <w:tcW w:w="933" w:type="pct"/>
                  <w:noWrap w:val="0"/>
                  <w:vAlign w:val="center"/>
                </w:tcPr>
                <w:p w14:paraId="6EFDE88B">
                  <w:pPr>
                    <w:keepNext w:val="0"/>
                    <w:keepLines w:val="0"/>
                    <w:suppressLineNumbers w:val="0"/>
                    <w:spacing w:before="0" w:beforeAutospacing="0" w:after="0" w:afterAutospacing="0" w:line="288" w:lineRule="auto"/>
                    <w:ind w:left="0" w:right="0"/>
                    <w:jc w:val="center"/>
                    <w:rPr>
                      <w:rFonts w:hint="eastAsia"/>
                      <w:sz w:val="18"/>
                      <w:szCs w:val="18"/>
                      <w:highlight w:val="none"/>
                    </w:rPr>
                  </w:pPr>
                  <w:r>
                    <w:rPr>
                      <w:rFonts w:hint="eastAsia"/>
                      <w:sz w:val="18"/>
                      <w:szCs w:val="18"/>
                      <w:highlight w:val="none"/>
                    </w:rPr>
                    <w:t>污染源监测</w:t>
                  </w:r>
                </w:p>
              </w:tc>
              <w:tc>
                <w:tcPr>
                  <w:tcW w:w="1376" w:type="pct"/>
                  <w:gridSpan w:val="7"/>
                  <w:noWrap w:val="0"/>
                  <w:vAlign w:val="center"/>
                </w:tcPr>
                <w:p w14:paraId="45FBEDD0">
                  <w:pPr>
                    <w:keepNext w:val="0"/>
                    <w:keepLines w:val="0"/>
                    <w:suppressLineNumbers w:val="0"/>
                    <w:spacing w:before="0" w:beforeAutospacing="0" w:after="0" w:afterAutospacing="0" w:line="288" w:lineRule="auto"/>
                    <w:ind w:left="0" w:right="0"/>
                    <w:jc w:val="center"/>
                    <w:rPr>
                      <w:rFonts w:hint="eastAsia"/>
                      <w:sz w:val="18"/>
                      <w:szCs w:val="18"/>
                      <w:highlight w:val="none"/>
                    </w:rPr>
                  </w:pPr>
                  <w:r>
                    <w:rPr>
                      <w:rFonts w:hint="eastAsia"/>
                      <w:sz w:val="18"/>
                      <w:szCs w:val="18"/>
                      <w:highlight w:val="none"/>
                    </w:rPr>
                    <w:t>监测因子：（氨、硫化氢、氯气</w:t>
                  </w:r>
                  <w:r>
                    <w:rPr>
                      <w:rFonts w:hint="eastAsia"/>
                      <w:sz w:val="18"/>
                      <w:szCs w:val="18"/>
                      <w:highlight w:val="none"/>
                      <w:lang w:eastAsia="zh-CN"/>
                    </w:rPr>
                    <w:t>、</w:t>
                  </w:r>
                  <w:r>
                    <w:rPr>
                      <w:rFonts w:hint="eastAsia"/>
                      <w:sz w:val="18"/>
                      <w:szCs w:val="18"/>
                      <w:highlight w:val="none"/>
                      <w:lang w:val="en-US" w:eastAsia="zh-CN"/>
                    </w:rPr>
                    <w:t>非甲烷总烃、甲醛、氯化氢、硫酸雾</w:t>
                  </w:r>
                  <w:r>
                    <w:rPr>
                      <w:rFonts w:hint="eastAsia"/>
                      <w:sz w:val="18"/>
                      <w:szCs w:val="18"/>
                      <w:highlight w:val="none"/>
                    </w:rPr>
                    <w:t>）</w:t>
                  </w:r>
                </w:p>
              </w:tc>
              <w:tc>
                <w:tcPr>
                  <w:tcW w:w="1477" w:type="pct"/>
                  <w:gridSpan w:val="8"/>
                  <w:noWrap w:val="0"/>
                  <w:vAlign w:val="center"/>
                </w:tcPr>
                <w:p w14:paraId="4FAAB1CD">
                  <w:pPr>
                    <w:keepNext w:val="0"/>
                    <w:keepLines w:val="0"/>
                    <w:suppressLineNumbers w:val="0"/>
                    <w:spacing w:before="0" w:beforeAutospacing="0" w:after="0" w:afterAutospacing="0" w:line="288" w:lineRule="auto"/>
                    <w:ind w:left="0" w:right="0"/>
                    <w:jc w:val="center"/>
                    <w:rPr>
                      <w:rFonts w:hint="eastAsia"/>
                      <w:sz w:val="18"/>
                      <w:szCs w:val="18"/>
                      <w:highlight w:val="none"/>
                    </w:rPr>
                  </w:pPr>
                  <w:r>
                    <w:rPr>
                      <w:rFonts w:hint="eastAsia"/>
                      <w:sz w:val="18"/>
                      <w:szCs w:val="18"/>
                      <w:highlight w:val="none"/>
                    </w:rPr>
                    <w:t>无组织废气监测☑</w:t>
                  </w:r>
                </w:p>
                <w:p w14:paraId="54A49D02">
                  <w:pPr>
                    <w:keepNext w:val="0"/>
                    <w:keepLines w:val="0"/>
                    <w:suppressLineNumbers w:val="0"/>
                    <w:spacing w:before="0" w:beforeAutospacing="0" w:after="0" w:afterAutospacing="0" w:line="288" w:lineRule="auto"/>
                    <w:ind w:left="0" w:right="0"/>
                    <w:jc w:val="center"/>
                    <w:rPr>
                      <w:rFonts w:hint="eastAsia"/>
                      <w:sz w:val="18"/>
                      <w:szCs w:val="18"/>
                      <w:highlight w:val="none"/>
                    </w:rPr>
                  </w:pPr>
                  <w:r>
                    <w:rPr>
                      <w:rFonts w:hint="eastAsia"/>
                      <w:sz w:val="18"/>
                      <w:szCs w:val="18"/>
                      <w:highlight w:val="none"/>
                    </w:rPr>
                    <w:t>有组织废气监测☑</w:t>
                  </w:r>
                </w:p>
              </w:tc>
              <w:tc>
                <w:tcPr>
                  <w:tcW w:w="875" w:type="pct"/>
                  <w:gridSpan w:val="4"/>
                  <w:noWrap w:val="0"/>
                  <w:vAlign w:val="center"/>
                </w:tcPr>
                <w:p w14:paraId="135BE4FF">
                  <w:pPr>
                    <w:keepNext w:val="0"/>
                    <w:keepLines w:val="0"/>
                    <w:suppressLineNumbers w:val="0"/>
                    <w:spacing w:before="0" w:beforeAutospacing="0" w:after="0" w:afterAutospacing="0" w:line="288" w:lineRule="auto"/>
                    <w:ind w:left="0" w:right="0"/>
                    <w:jc w:val="center"/>
                    <w:rPr>
                      <w:rFonts w:hint="eastAsia"/>
                      <w:sz w:val="18"/>
                      <w:szCs w:val="18"/>
                      <w:highlight w:val="none"/>
                    </w:rPr>
                  </w:pPr>
                  <w:r>
                    <w:rPr>
                      <w:rFonts w:hint="eastAsia"/>
                      <w:sz w:val="18"/>
                      <w:szCs w:val="18"/>
                      <w:highlight w:val="none"/>
                    </w:rPr>
                    <w:t>无监测□</w:t>
                  </w:r>
                </w:p>
              </w:tc>
            </w:tr>
            <w:tr w14:paraId="52CC2400">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c>
                <w:tcPr>
                  <w:tcW w:w="336" w:type="pct"/>
                  <w:vMerge w:val="continue"/>
                  <w:tcBorders>
                    <w:top w:val="nil"/>
                  </w:tcBorders>
                  <w:noWrap w:val="0"/>
                  <w:vAlign w:val="center"/>
                </w:tcPr>
                <w:p w14:paraId="30AB1127">
                  <w:pPr>
                    <w:keepNext w:val="0"/>
                    <w:keepLines w:val="0"/>
                    <w:suppressLineNumbers w:val="0"/>
                    <w:spacing w:before="0" w:beforeAutospacing="0" w:after="0" w:afterAutospacing="0" w:line="288" w:lineRule="auto"/>
                    <w:ind w:left="0" w:right="0"/>
                    <w:jc w:val="center"/>
                    <w:rPr>
                      <w:rFonts w:hint="eastAsia"/>
                      <w:sz w:val="18"/>
                      <w:szCs w:val="18"/>
                      <w:highlight w:val="none"/>
                    </w:rPr>
                  </w:pPr>
                </w:p>
              </w:tc>
              <w:tc>
                <w:tcPr>
                  <w:tcW w:w="933" w:type="pct"/>
                  <w:noWrap w:val="0"/>
                  <w:vAlign w:val="center"/>
                </w:tcPr>
                <w:p w14:paraId="34E1C1D7">
                  <w:pPr>
                    <w:keepNext w:val="0"/>
                    <w:keepLines w:val="0"/>
                    <w:suppressLineNumbers w:val="0"/>
                    <w:spacing w:before="0" w:beforeAutospacing="0" w:after="0" w:afterAutospacing="0" w:line="288" w:lineRule="auto"/>
                    <w:ind w:left="0" w:right="0"/>
                    <w:jc w:val="center"/>
                    <w:rPr>
                      <w:rFonts w:hint="eastAsia"/>
                      <w:sz w:val="18"/>
                      <w:szCs w:val="18"/>
                      <w:highlight w:val="none"/>
                    </w:rPr>
                  </w:pPr>
                  <w:r>
                    <w:rPr>
                      <w:rFonts w:hint="eastAsia"/>
                      <w:sz w:val="18"/>
                      <w:szCs w:val="18"/>
                      <w:highlight w:val="none"/>
                    </w:rPr>
                    <w:t>环境质量监测</w:t>
                  </w:r>
                </w:p>
              </w:tc>
              <w:tc>
                <w:tcPr>
                  <w:tcW w:w="1376" w:type="pct"/>
                  <w:gridSpan w:val="7"/>
                  <w:noWrap w:val="0"/>
                  <w:vAlign w:val="center"/>
                </w:tcPr>
                <w:p w14:paraId="1F553E38">
                  <w:pPr>
                    <w:keepNext w:val="0"/>
                    <w:keepLines w:val="0"/>
                    <w:suppressLineNumbers w:val="0"/>
                    <w:spacing w:before="0" w:beforeAutospacing="0" w:after="0" w:afterAutospacing="0" w:line="288" w:lineRule="auto"/>
                    <w:ind w:left="0" w:right="0"/>
                    <w:jc w:val="center"/>
                    <w:rPr>
                      <w:rFonts w:hint="eastAsia"/>
                      <w:sz w:val="18"/>
                      <w:szCs w:val="18"/>
                      <w:highlight w:val="none"/>
                    </w:rPr>
                  </w:pPr>
                  <w:r>
                    <w:rPr>
                      <w:rFonts w:hint="eastAsia"/>
                      <w:sz w:val="18"/>
                      <w:szCs w:val="18"/>
                      <w:highlight w:val="none"/>
                    </w:rPr>
                    <w:t>监测因子：（）</w:t>
                  </w:r>
                </w:p>
              </w:tc>
              <w:tc>
                <w:tcPr>
                  <w:tcW w:w="1477" w:type="pct"/>
                  <w:gridSpan w:val="8"/>
                  <w:noWrap w:val="0"/>
                  <w:vAlign w:val="center"/>
                </w:tcPr>
                <w:p w14:paraId="540945E3">
                  <w:pPr>
                    <w:keepNext w:val="0"/>
                    <w:keepLines w:val="0"/>
                    <w:suppressLineNumbers w:val="0"/>
                    <w:spacing w:before="0" w:beforeAutospacing="0" w:after="0" w:afterAutospacing="0" w:line="288" w:lineRule="auto"/>
                    <w:ind w:left="0" w:right="0"/>
                    <w:jc w:val="center"/>
                    <w:rPr>
                      <w:rFonts w:hint="eastAsia"/>
                      <w:sz w:val="18"/>
                      <w:szCs w:val="18"/>
                      <w:highlight w:val="none"/>
                    </w:rPr>
                  </w:pPr>
                  <w:r>
                    <w:rPr>
                      <w:rFonts w:hint="eastAsia"/>
                      <w:sz w:val="18"/>
                      <w:szCs w:val="18"/>
                      <w:highlight w:val="none"/>
                    </w:rPr>
                    <w:t>监测点位数（）</w:t>
                  </w:r>
                </w:p>
              </w:tc>
              <w:tc>
                <w:tcPr>
                  <w:tcW w:w="875" w:type="pct"/>
                  <w:gridSpan w:val="4"/>
                  <w:noWrap w:val="0"/>
                  <w:vAlign w:val="center"/>
                </w:tcPr>
                <w:p w14:paraId="44FCA278">
                  <w:pPr>
                    <w:keepNext w:val="0"/>
                    <w:keepLines w:val="0"/>
                    <w:suppressLineNumbers w:val="0"/>
                    <w:spacing w:before="0" w:beforeAutospacing="0" w:after="0" w:afterAutospacing="0" w:line="288" w:lineRule="auto"/>
                    <w:ind w:left="0" w:right="0"/>
                    <w:jc w:val="center"/>
                    <w:rPr>
                      <w:rFonts w:hint="eastAsia"/>
                      <w:sz w:val="18"/>
                      <w:szCs w:val="18"/>
                      <w:highlight w:val="none"/>
                    </w:rPr>
                  </w:pPr>
                  <w:r>
                    <w:rPr>
                      <w:rFonts w:hint="eastAsia"/>
                      <w:sz w:val="18"/>
                      <w:szCs w:val="18"/>
                      <w:highlight w:val="none"/>
                    </w:rPr>
                    <w:t>无监测☑</w:t>
                  </w:r>
                </w:p>
              </w:tc>
            </w:tr>
            <w:tr w14:paraId="03A13575">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c>
                <w:tcPr>
                  <w:tcW w:w="336" w:type="pct"/>
                  <w:vMerge w:val="restart"/>
                  <w:tcBorders>
                    <w:bottom w:val="nil"/>
                  </w:tcBorders>
                  <w:noWrap w:val="0"/>
                  <w:vAlign w:val="center"/>
                </w:tcPr>
                <w:p w14:paraId="2341D95E">
                  <w:pPr>
                    <w:keepNext w:val="0"/>
                    <w:keepLines w:val="0"/>
                    <w:suppressLineNumbers w:val="0"/>
                    <w:spacing w:before="0" w:beforeAutospacing="0" w:after="0" w:afterAutospacing="0" w:line="288" w:lineRule="auto"/>
                    <w:ind w:left="0" w:right="0"/>
                    <w:jc w:val="center"/>
                    <w:rPr>
                      <w:rFonts w:hint="eastAsia"/>
                      <w:sz w:val="18"/>
                      <w:szCs w:val="18"/>
                      <w:highlight w:val="none"/>
                    </w:rPr>
                  </w:pPr>
                  <w:r>
                    <w:rPr>
                      <w:rFonts w:hint="eastAsia"/>
                      <w:sz w:val="18"/>
                      <w:szCs w:val="18"/>
                      <w:highlight w:val="none"/>
                    </w:rPr>
                    <w:t>评价</w:t>
                  </w:r>
                </w:p>
                <w:p w14:paraId="741D6D66">
                  <w:pPr>
                    <w:keepNext w:val="0"/>
                    <w:keepLines w:val="0"/>
                    <w:suppressLineNumbers w:val="0"/>
                    <w:spacing w:before="0" w:beforeAutospacing="0" w:after="0" w:afterAutospacing="0" w:line="288" w:lineRule="auto"/>
                    <w:ind w:left="0" w:right="0"/>
                    <w:jc w:val="center"/>
                    <w:rPr>
                      <w:rFonts w:hint="eastAsia"/>
                      <w:sz w:val="18"/>
                      <w:szCs w:val="18"/>
                      <w:highlight w:val="none"/>
                    </w:rPr>
                  </w:pPr>
                  <w:r>
                    <w:rPr>
                      <w:rFonts w:hint="eastAsia"/>
                      <w:sz w:val="18"/>
                      <w:szCs w:val="18"/>
                      <w:highlight w:val="none"/>
                    </w:rPr>
                    <w:t>结论</w:t>
                  </w:r>
                </w:p>
              </w:tc>
              <w:tc>
                <w:tcPr>
                  <w:tcW w:w="933" w:type="pct"/>
                  <w:noWrap w:val="0"/>
                  <w:vAlign w:val="center"/>
                </w:tcPr>
                <w:p w14:paraId="09330EC7">
                  <w:pPr>
                    <w:keepNext w:val="0"/>
                    <w:keepLines w:val="0"/>
                    <w:suppressLineNumbers w:val="0"/>
                    <w:spacing w:before="0" w:beforeAutospacing="0" w:after="0" w:afterAutospacing="0" w:line="288" w:lineRule="auto"/>
                    <w:ind w:left="0" w:right="0"/>
                    <w:jc w:val="center"/>
                    <w:rPr>
                      <w:rFonts w:hint="eastAsia"/>
                      <w:sz w:val="18"/>
                      <w:szCs w:val="18"/>
                      <w:highlight w:val="none"/>
                    </w:rPr>
                  </w:pPr>
                  <w:r>
                    <w:rPr>
                      <w:rFonts w:hint="eastAsia"/>
                      <w:sz w:val="18"/>
                      <w:szCs w:val="18"/>
                      <w:highlight w:val="none"/>
                    </w:rPr>
                    <w:t>环境影响</w:t>
                  </w:r>
                </w:p>
              </w:tc>
              <w:tc>
                <w:tcPr>
                  <w:tcW w:w="3730" w:type="pct"/>
                  <w:gridSpan w:val="19"/>
                  <w:noWrap w:val="0"/>
                  <w:vAlign w:val="center"/>
                </w:tcPr>
                <w:p w14:paraId="28A91803">
                  <w:pPr>
                    <w:keepNext w:val="0"/>
                    <w:keepLines w:val="0"/>
                    <w:suppressLineNumbers w:val="0"/>
                    <w:spacing w:before="0" w:beforeAutospacing="0" w:after="0" w:afterAutospacing="0" w:line="288" w:lineRule="auto"/>
                    <w:ind w:left="0" w:right="0"/>
                    <w:jc w:val="center"/>
                    <w:rPr>
                      <w:rFonts w:hint="eastAsia"/>
                      <w:sz w:val="18"/>
                      <w:szCs w:val="18"/>
                      <w:highlight w:val="none"/>
                    </w:rPr>
                  </w:pPr>
                  <w:r>
                    <w:rPr>
                      <w:rFonts w:hint="eastAsia"/>
                      <w:sz w:val="18"/>
                      <w:szCs w:val="18"/>
                      <w:highlight w:val="none"/>
                    </w:rPr>
                    <w:t>可以接受☑不可以接受□</w:t>
                  </w:r>
                </w:p>
              </w:tc>
            </w:tr>
            <w:tr w14:paraId="5527137C">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c>
                <w:tcPr>
                  <w:tcW w:w="336" w:type="pct"/>
                  <w:vMerge w:val="continue"/>
                  <w:tcBorders>
                    <w:top w:val="nil"/>
                    <w:bottom w:val="nil"/>
                  </w:tcBorders>
                  <w:noWrap w:val="0"/>
                  <w:vAlign w:val="center"/>
                </w:tcPr>
                <w:p w14:paraId="7C3305C7">
                  <w:pPr>
                    <w:keepNext w:val="0"/>
                    <w:keepLines w:val="0"/>
                    <w:suppressLineNumbers w:val="0"/>
                    <w:spacing w:before="0" w:beforeAutospacing="0" w:after="0" w:afterAutospacing="0" w:line="288" w:lineRule="auto"/>
                    <w:ind w:left="0" w:right="0"/>
                    <w:jc w:val="center"/>
                    <w:rPr>
                      <w:rFonts w:hint="eastAsia"/>
                      <w:sz w:val="18"/>
                      <w:szCs w:val="18"/>
                      <w:highlight w:val="none"/>
                    </w:rPr>
                  </w:pPr>
                </w:p>
              </w:tc>
              <w:tc>
                <w:tcPr>
                  <w:tcW w:w="933" w:type="pct"/>
                  <w:noWrap w:val="0"/>
                  <w:vAlign w:val="center"/>
                </w:tcPr>
                <w:p w14:paraId="0C3DB7CD">
                  <w:pPr>
                    <w:keepNext w:val="0"/>
                    <w:keepLines w:val="0"/>
                    <w:suppressLineNumbers w:val="0"/>
                    <w:spacing w:before="0" w:beforeAutospacing="0" w:after="0" w:afterAutospacing="0" w:line="288" w:lineRule="auto"/>
                    <w:ind w:left="0" w:right="0"/>
                    <w:jc w:val="center"/>
                    <w:rPr>
                      <w:rFonts w:hint="eastAsia"/>
                      <w:sz w:val="18"/>
                      <w:szCs w:val="18"/>
                      <w:highlight w:val="none"/>
                    </w:rPr>
                  </w:pPr>
                  <w:r>
                    <w:rPr>
                      <w:rFonts w:hint="eastAsia"/>
                      <w:sz w:val="18"/>
                      <w:szCs w:val="18"/>
                      <w:highlight w:val="none"/>
                    </w:rPr>
                    <w:t>大气环境防护距离</w:t>
                  </w:r>
                </w:p>
              </w:tc>
              <w:tc>
                <w:tcPr>
                  <w:tcW w:w="3730" w:type="pct"/>
                  <w:gridSpan w:val="19"/>
                  <w:noWrap w:val="0"/>
                  <w:vAlign w:val="center"/>
                </w:tcPr>
                <w:p w14:paraId="1C420608">
                  <w:pPr>
                    <w:keepNext w:val="0"/>
                    <w:keepLines w:val="0"/>
                    <w:suppressLineNumbers w:val="0"/>
                    <w:spacing w:before="0" w:beforeAutospacing="0" w:after="0" w:afterAutospacing="0" w:line="288" w:lineRule="auto"/>
                    <w:ind w:left="0" w:right="0"/>
                    <w:jc w:val="center"/>
                    <w:rPr>
                      <w:rFonts w:hint="eastAsia"/>
                      <w:sz w:val="18"/>
                      <w:szCs w:val="18"/>
                      <w:highlight w:val="none"/>
                    </w:rPr>
                  </w:pPr>
                  <w:r>
                    <w:rPr>
                      <w:rFonts w:hint="eastAsia"/>
                      <w:sz w:val="18"/>
                      <w:szCs w:val="18"/>
                      <w:highlight w:val="none"/>
                    </w:rPr>
                    <w:t>距（）厂界最远（）m</w:t>
                  </w:r>
                </w:p>
              </w:tc>
            </w:tr>
            <w:tr w14:paraId="4AD94947">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c>
                <w:tcPr>
                  <w:tcW w:w="336" w:type="pct"/>
                  <w:vMerge w:val="continue"/>
                  <w:tcBorders>
                    <w:top w:val="nil"/>
                  </w:tcBorders>
                  <w:noWrap w:val="0"/>
                  <w:vAlign w:val="center"/>
                </w:tcPr>
                <w:p w14:paraId="2A63DF9F">
                  <w:pPr>
                    <w:keepNext w:val="0"/>
                    <w:keepLines w:val="0"/>
                    <w:suppressLineNumbers w:val="0"/>
                    <w:spacing w:before="0" w:beforeAutospacing="0" w:after="0" w:afterAutospacing="0" w:line="288" w:lineRule="auto"/>
                    <w:ind w:left="0" w:right="0"/>
                    <w:jc w:val="center"/>
                    <w:rPr>
                      <w:rFonts w:hint="eastAsia"/>
                      <w:sz w:val="18"/>
                      <w:szCs w:val="18"/>
                      <w:highlight w:val="none"/>
                    </w:rPr>
                  </w:pPr>
                </w:p>
              </w:tc>
              <w:tc>
                <w:tcPr>
                  <w:tcW w:w="933" w:type="pct"/>
                  <w:noWrap w:val="0"/>
                  <w:vAlign w:val="center"/>
                </w:tcPr>
                <w:p w14:paraId="36538B9C">
                  <w:pPr>
                    <w:keepNext w:val="0"/>
                    <w:keepLines w:val="0"/>
                    <w:suppressLineNumbers w:val="0"/>
                    <w:spacing w:before="0" w:beforeAutospacing="0" w:after="0" w:afterAutospacing="0" w:line="288" w:lineRule="auto"/>
                    <w:ind w:left="0" w:right="0"/>
                    <w:jc w:val="center"/>
                    <w:rPr>
                      <w:rFonts w:hint="eastAsia"/>
                      <w:sz w:val="18"/>
                      <w:szCs w:val="18"/>
                      <w:highlight w:val="none"/>
                    </w:rPr>
                  </w:pPr>
                  <w:r>
                    <w:rPr>
                      <w:rFonts w:hint="eastAsia"/>
                      <w:sz w:val="18"/>
                      <w:szCs w:val="18"/>
                      <w:highlight w:val="none"/>
                    </w:rPr>
                    <w:t>污染源年排放量</w:t>
                  </w:r>
                </w:p>
              </w:tc>
              <w:tc>
                <w:tcPr>
                  <w:tcW w:w="3730" w:type="pct"/>
                  <w:gridSpan w:val="19"/>
                  <w:noWrap w:val="0"/>
                  <w:vAlign w:val="center"/>
                </w:tcPr>
                <w:p w14:paraId="51E7A6FD">
                  <w:pPr>
                    <w:keepNext w:val="0"/>
                    <w:keepLines w:val="0"/>
                    <w:suppressLineNumbers w:val="0"/>
                    <w:spacing w:before="0" w:beforeAutospacing="0" w:after="0" w:afterAutospacing="0" w:line="288" w:lineRule="auto"/>
                    <w:ind w:left="0" w:right="0"/>
                    <w:jc w:val="center"/>
                    <w:rPr>
                      <w:rFonts w:hint="eastAsia" w:eastAsia="宋体"/>
                      <w:sz w:val="18"/>
                      <w:szCs w:val="18"/>
                      <w:highlight w:val="none"/>
                      <w:lang w:eastAsia="zh-CN"/>
                    </w:rPr>
                  </w:pPr>
                  <w:r>
                    <w:rPr>
                      <w:rFonts w:hint="eastAsia"/>
                      <w:sz w:val="18"/>
                      <w:szCs w:val="18"/>
                      <w:highlight w:val="none"/>
                    </w:rPr>
                    <w:t>氨：（0.</w:t>
                  </w:r>
                  <w:r>
                    <w:rPr>
                      <w:rFonts w:hint="eastAsia"/>
                      <w:sz w:val="18"/>
                      <w:szCs w:val="18"/>
                      <w:highlight w:val="none"/>
                      <w:lang w:val="en-US" w:eastAsia="zh-CN"/>
                    </w:rPr>
                    <w:t>062</w:t>
                  </w:r>
                  <w:r>
                    <w:rPr>
                      <w:rFonts w:hint="eastAsia"/>
                      <w:sz w:val="18"/>
                      <w:szCs w:val="18"/>
                      <w:highlight w:val="none"/>
                    </w:rPr>
                    <w:t>）t/a、硫化氢：（0.0</w:t>
                  </w:r>
                  <w:r>
                    <w:rPr>
                      <w:rFonts w:hint="eastAsia"/>
                      <w:sz w:val="18"/>
                      <w:szCs w:val="18"/>
                      <w:highlight w:val="none"/>
                      <w:lang w:val="en-US" w:eastAsia="zh-CN"/>
                    </w:rPr>
                    <w:t>33</w:t>
                  </w:r>
                  <w:r>
                    <w:rPr>
                      <w:rFonts w:hint="eastAsia"/>
                      <w:sz w:val="18"/>
                      <w:szCs w:val="18"/>
                      <w:highlight w:val="none"/>
                    </w:rPr>
                    <w:t>）t/a</w:t>
                  </w:r>
                  <w:r>
                    <w:rPr>
                      <w:rFonts w:hint="eastAsia"/>
                      <w:sz w:val="18"/>
                      <w:szCs w:val="18"/>
                      <w:highlight w:val="none"/>
                      <w:lang w:eastAsia="zh-CN"/>
                    </w:rPr>
                    <w:t>、</w:t>
                  </w:r>
                  <w:r>
                    <w:rPr>
                      <w:rFonts w:hint="eastAsia"/>
                      <w:sz w:val="18"/>
                      <w:szCs w:val="18"/>
                      <w:highlight w:val="none"/>
                      <w:lang w:val="en-US" w:eastAsia="zh-CN"/>
                    </w:rPr>
                    <w:t>VOCs</w:t>
                  </w:r>
                  <w:r>
                    <w:rPr>
                      <w:rFonts w:hint="eastAsia"/>
                      <w:sz w:val="18"/>
                      <w:szCs w:val="18"/>
                      <w:highlight w:val="none"/>
                    </w:rPr>
                    <w:t>：（</w:t>
                  </w:r>
                  <w:r>
                    <w:rPr>
                      <w:rFonts w:hint="eastAsia"/>
                      <w:sz w:val="18"/>
                      <w:szCs w:val="18"/>
                      <w:highlight w:val="none"/>
                      <w:lang w:val="en-US" w:eastAsia="zh-CN"/>
                    </w:rPr>
                    <w:t>1</w:t>
                  </w:r>
                  <w:r>
                    <w:rPr>
                      <w:rFonts w:hint="eastAsia"/>
                      <w:sz w:val="18"/>
                      <w:szCs w:val="18"/>
                      <w:highlight w:val="none"/>
                    </w:rPr>
                    <w:t>.</w:t>
                  </w:r>
                  <w:r>
                    <w:rPr>
                      <w:rFonts w:hint="eastAsia"/>
                      <w:sz w:val="18"/>
                      <w:szCs w:val="18"/>
                      <w:highlight w:val="none"/>
                      <w:lang w:val="en-US" w:eastAsia="zh-CN"/>
                    </w:rPr>
                    <w:t>272</w:t>
                  </w:r>
                  <w:r>
                    <w:rPr>
                      <w:rFonts w:hint="eastAsia"/>
                      <w:sz w:val="18"/>
                      <w:szCs w:val="18"/>
                      <w:highlight w:val="none"/>
                    </w:rPr>
                    <w:t>）t/a</w:t>
                  </w:r>
                </w:p>
              </w:tc>
            </w:tr>
            <w:tr w14:paraId="00BBF680">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c>
                <w:tcPr>
                  <w:tcW w:w="5000" w:type="pct"/>
                  <w:gridSpan w:val="21"/>
                  <w:noWrap w:val="0"/>
                  <w:vAlign w:val="center"/>
                </w:tcPr>
                <w:p w14:paraId="65737B71">
                  <w:pPr>
                    <w:keepNext w:val="0"/>
                    <w:keepLines w:val="0"/>
                    <w:suppressLineNumbers w:val="0"/>
                    <w:spacing w:before="0" w:beforeAutospacing="0" w:after="0" w:afterAutospacing="0" w:line="288" w:lineRule="auto"/>
                    <w:ind w:left="0" w:right="0"/>
                    <w:jc w:val="center"/>
                    <w:rPr>
                      <w:rFonts w:hint="eastAsia"/>
                      <w:sz w:val="18"/>
                      <w:szCs w:val="18"/>
                      <w:highlight w:val="none"/>
                    </w:rPr>
                  </w:pPr>
                  <w:r>
                    <w:rPr>
                      <w:rFonts w:hint="eastAsia"/>
                      <w:sz w:val="18"/>
                      <w:szCs w:val="18"/>
                      <w:highlight w:val="none"/>
                    </w:rPr>
                    <w:t>注：“□”为勾选项，填“√”；“（）”为内容填写项</w:t>
                  </w:r>
                </w:p>
              </w:tc>
            </w:tr>
          </w:tbl>
          <w:p w14:paraId="1C1B4564">
            <w:pPr>
              <w:keepNext w:val="0"/>
              <w:keepLines w:val="0"/>
              <w:suppressLineNumbers w:val="0"/>
              <w:spacing w:before="0" w:beforeAutospacing="0" w:after="0" w:afterAutospacing="0" w:line="360" w:lineRule="auto"/>
              <w:ind w:left="0" w:right="0" w:firstLine="480" w:firstLineChars="200"/>
              <w:jc w:val="left"/>
              <w:rPr>
                <w:rFonts w:hint="default"/>
                <w:color w:val="auto"/>
                <w:highlight w:val="none"/>
                <w:vertAlign w:val="baseline"/>
              </w:rPr>
            </w:pPr>
          </w:p>
        </w:tc>
      </w:tr>
    </w:tbl>
    <w:p w14:paraId="2CD45EAE">
      <w:pPr>
        <w:pStyle w:val="59"/>
        <w:rPr>
          <w:highlight w:val="none"/>
        </w:rPr>
        <w:sectPr>
          <w:pgSz w:w="11906" w:h="16838"/>
          <w:pgMar w:top="1701" w:right="1531" w:bottom="1701" w:left="1531" w:header="851" w:footer="851" w:gutter="0"/>
          <w:pgBorders>
            <w:top w:val="none" w:sz="0" w:space="0"/>
            <w:left w:val="none" w:sz="0" w:space="0"/>
            <w:bottom w:val="none" w:sz="0" w:space="0"/>
            <w:right w:val="none" w:sz="0" w:space="0"/>
          </w:pgBorders>
          <w:pgNumType w:fmt="decimal"/>
          <w:cols w:space="720" w:num="1"/>
          <w:docGrid w:linePitch="312" w:charSpace="0"/>
        </w:sectPr>
      </w:pPr>
    </w:p>
    <w:p w14:paraId="61A2369E">
      <w:pPr>
        <w:keepNext w:val="0"/>
        <w:keepLines w:val="0"/>
        <w:pageBreakBefore w:val="0"/>
        <w:widowControl w:val="0"/>
        <w:kinsoku/>
        <w:wordWrap/>
        <w:overflowPunct/>
        <w:topLinePunct w:val="0"/>
        <w:autoSpaceDE/>
        <w:autoSpaceDN/>
        <w:bidi w:val="0"/>
        <w:adjustRightInd/>
        <w:snapToGrid/>
        <w:spacing w:line="360" w:lineRule="auto"/>
        <w:textAlignment w:val="auto"/>
        <w:rPr>
          <w:sz w:val="32"/>
          <w:szCs w:val="32"/>
          <w:highlight w:val="none"/>
        </w:rPr>
      </w:pPr>
      <w:bookmarkStart w:id="34" w:name="_Toc66538123"/>
      <w:bookmarkStart w:id="35" w:name="_Toc66538251"/>
      <w:r>
        <w:rPr>
          <w:rFonts w:hint="eastAsia"/>
          <w:sz w:val="32"/>
          <w:szCs w:val="32"/>
          <w:highlight w:val="none"/>
        </w:rPr>
        <w:t>附表</w:t>
      </w:r>
      <w:bookmarkEnd w:id="34"/>
      <w:bookmarkEnd w:id="35"/>
    </w:p>
    <w:p w14:paraId="789CCFE8">
      <w:pPr>
        <w:keepNext w:val="0"/>
        <w:keepLines w:val="0"/>
        <w:pageBreakBefore w:val="0"/>
        <w:widowControl w:val="0"/>
        <w:kinsoku/>
        <w:wordWrap/>
        <w:overflowPunct/>
        <w:topLinePunct w:val="0"/>
        <w:autoSpaceDE/>
        <w:autoSpaceDN/>
        <w:bidi w:val="0"/>
        <w:adjustRightInd/>
        <w:snapToGrid/>
        <w:spacing w:line="360" w:lineRule="auto"/>
        <w:jc w:val="center"/>
        <w:textAlignment w:val="auto"/>
        <w:rPr>
          <w:sz w:val="38"/>
          <w:szCs w:val="38"/>
          <w:highlight w:val="none"/>
        </w:rPr>
      </w:pPr>
      <w:bookmarkStart w:id="36" w:name="_Toc66538124"/>
      <w:bookmarkStart w:id="37" w:name="_Toc66538252"/>
      <w:r>
        <w:rPr>
          <w:rFonts w:hint="eastAsia"/>
          <w:sz w:val="38"/>
          <w:szCs w:val="38"/>
          <w:highlight w:val="none"/>
        </w:rPr>
        <w:t>建设项目污染物排放量汇总表</w:t>
      </w:r>
      <w:bookmarkEnd w:id="36"/>
      <w:bookmarkEnd w:id="37"/>
    </w:p>
    <w:tbl>
      <w:tblPr>
        <w:tblStyle w:val="32"/>
        <w:tblW w:w="13788" w:type="dxa"/>
        <w:tblInd w:w="0" w:type="dxa"/>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
      <w:tblGrid>
        <w:gridCol w:w="1089"/>
        <w:gridCol w:w="2737"/>
        <w:gridCol w:w="1553"/>
        <w:gridCol w:w="1027"/>
        <w:gridCol w:w="1433"/>
        <w:gridCol w:w="1485"/>
        <w:gridCol w:w="1327"/>
        <w:gridCol w:w="1785"/>
        <w:gridCol w:w="1352"/>
      </w:tblGrid>
      <w:tr w14:paraId="1B2081DC">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c>
          <w:tcPr>
            <w:tcW w:w="1089" w:type="dxa"/>
            <w:tcBorders>
              <w:top w:val="single" w:color="auto" w:sz="8" w:space="0"/>
              <w:tl2br w:val="single" w:color="auto" w:sz="4" w:space="0"/>
            </w:tcBorders>
            <w:tcMar>
              <w:left w:w="28" w:type="dxa"/>
              <w:right w:w="28" w:type="dxa"/>
            </w:tcMar>
            <w:vAlign w:val="center"/>
          </w:tcPr>
          <w:p w14:paraId="59327538">
            <w:pPr>
              <w:pStyle w:val="65"/>
              <w:keepNext w:val="0"/>
              <w:keepLines w:val="0"/>
              <w:suppressLineNumbers w:val="0"/>
              <w:spacing w:before="0" w:beforeLines="0" w:beforeAutospacing="0" w:after="0" w:afterLines="0" w:afterAutospacing="0" w:line="288" w:lineRule="auto"/>
              <w:ind w:left="0" w:right="0"/>
              <w:jc w:val="right"/>
              <w:rPr>
                <w:rFonts w:hint="default" w:ascii="Times New Roman"/>
                <w:snapToGrid w:val="0"/>
                <w:sz w:val="21"/>
                <w:szCs w:val="21"/>
                <w:highlight w:val="none"/>
              </w:rPr>
            </w:pPr>
            <w:r>
              <w:rPr>
                <w:rFonts w:hint="eastAsia" w:ascii="Times New Roman" w:hAnsi="宋体"/>
                <w:snapToGrid w:val="0"/>
                <w:sz w:val="21"/>
                <w:szCs w:val="21"/>
                <w:highlight w:val="none"/>
              </w:rPr>
              <w:t>项目</w:t>
            </w:r>
          </w:p>
          <w:p w14:paraId="6B4D1382">
            <w:pPr>
              <w:pStyle w:val="65"/>
              <w:keepNext w:val="0"/>
              <w:keepLines w:val="0"/>
              <w:suppressLineNumbers w:val="0"/>
              <w:spacing w:before="0" w:beforeLines="0" w:beforeAutospacing="0" w:after="0" w:afterLines="0" w:afterAutospacing="0" w:line="288" w:lineRule="auto"/>
              <w:ind w:left="0" w:right="0"/>
              <w:jc w:val="left"/>
              <w:rPr>
                <w:rFonts w:hint="default" w:ascii="Times New Roman"/>
                <w:snapToGrid w:val="0"/>
                <w:sz w:val="21"/>
                <w:szCs w:val="21"/>
                <w:highlight w:val="none"/>
              </w:rPr>
            </w:pPr>
            <w:r>
              <w:rPr>
                <w:rFonts w:hint="eastAsia" w:ascii="Times New Roman" w:hAnsi="宋体"/>
                <w:snapToGrid w:val="0"/>
                <w:sz w:val="21"/>
                <w:szCs w:val="21"/>
                <w:highlight w:val="none"/>
              </w:rPr>
              <w:t>分类</w:t>
            </w:r>
          </w:p>
        </w:tc>
        <w:tc>
          <w:tcPr>
            <w:tcW w:w="2737" w:type="dxa"/>
            <w:tcBorders>
              <w:top w:val="single" w:color="auto" w:sz="8" w:space="0"/>
            </w:tcBorders>
            <w:tcMar>
              <w:left w:w="28" w:type="dxa"/>
              <w:right w:w="28" w:type="dxa"/>
            </w:tcMar>
            <w:vAlign w:val="center"/>
          </w:tcPr>
          <w:p w14:paraId="45C3314B">
            <w:pPr>
              <w:pStyle w:val="65"/>
              <w:keepNext w:val="0"/>
              <w:keepLines w:val="0"/>
              <w:suppressLineNumbers w:val="0"/>
              <w:spacing w:before="0" w:beforeLines="0" w:beforeAutospacing="0" w:after="0" w:afterLines="0" w:afterAutospacing="0" w:line="288" w:lineRule="auto"/>
              <w:ind w:left="0" w:right="0"/>
              <w:rPr>
                <w:rFonts w:hint="default" w:ascii="Times New Roman"/>
                <w:snapToGrid w:val="0"/>
                <w:sz w:val="21"/>
                <w:szCs w:val="21"/>
                <w:highlight w:val="none"/>
              </w:rPr>
            </w:pPr>
            <w:r>
              <w:rPr>
                <w:rFonts w:hint="eastAsia" w:ascii="Times New Roman" w:hAnsi="宋体"/>
                <w:snapToGrid w:val="0"/>
                <w:sz w:val="21"/>
                <w:szCs w:val="21"/>
                <w:highlight w:val="none"/>
              </w:rPr>
              <w:t>污染物名称</w:t>
            </w:r>
          </w:p>
        </w:tc>
        <w:tc>
          <w:tcPr>
            <w:tcW w:w="1553" w:type="dxa"/>
            <w:tcBorders>
              <w:top w:val="single" w:color="auto" w:sz="8" w:space="0"/>
            </w:tcBorders>
            <w:tcMar>
              <w:left w:w="28" w:type="dxa"/>
              <w:right w:w="28" w:type="dxa"/>
            </w:tcMar>
            <w:vAlign w:val="center"/>
          </w:tcPr>
          <w:p w14:paraId="66BE1C77">
            <w:pPr>
              <w:pStyle w:val="65"/>
              <w:keepNext w:val="0"/>
              <w:keepLines w:val="0"/>
              <w:suppressLineNumbers w:val="0"/>
              <w:spacing w:before="0" w:beforeLines="0" w:beforeAutospacing="0" w:after="0" w:afterLines="0" w:afterAutospacing="0" w:line="288" w:lineRule="auto"/>
              <w:ind w:left="0" w:right="0"/>
              <w:rPr>
                <w:rFonts w:hint="default" w:ascii="Times New Roman"/>
                <w:snapToGrid w:val="0"/>
                <w:sz w:val="21"/>
                <w:szCs w:val="21"/>
                <w:highlight w:val="none"/>
              </w:rPr>
            </w:pPr>
            <w:r>
              <w:rPr>
                <w:rFonts w:hint="eastAsia" w:ascii="Times New Roman" w:hAnsi="宋体"/>
                <w:snapToGrid w:val="0"/>
                <w:sz w:val="21"/>
                <w:szCs w:val="21"/>
                <w:highlight w:val="none"/>
              </w:rPr>
              <w:t>现有工程</w:t>
            </w:r>
          </w:p>
          <w:p w14:paraId="014E2639">
            <w:pPr>
              <w:pStyle w:val="65"/>
              <w:keepNext w:val="0"/>
              <w:keepLines w:val="0"/>
              <w:suppressLineNumbers w:val="0"/>
              <w:spacing w:before="0" w:beforeLines="0" w:beforeAutospacing="0" w:after="0" w:afterLines="0" w:afterAutospacing="0" w:line="288" w:lineRule="auto"/>
              <w:ind w:left="0" w:right="0"/>
              <w:rPr>
                <w:rFonts w:hint="default" w:ascii="Times New Roman"/>
                <w:snapToGrid w:val="0"/>
                <w:sz w:val="21"/>
                <w:szCs w:val="21"/>
                <w:highlight w:val="none"/>
              </w:rPr>
            </w:pPr>
            <w:r>
              <w:rPr>
                <w:rFonts w:hint="eastAsia" w:ascii="Times New Roman" w:hAnsi="宋体"/>
                <w:snapToGrid w:val="0"/>
                <w:sz w:val="21"/>
                <w:szCs w:val="21"/>
                <w:highlight w:val="none"/>
              </w:rPr>
              <w:t>排放量（固体废物产生量）</w:t>
            </w:r>
            <w:r>
              <w:rPr>
                <w:rFonts w:hint="default" w:ascii="Times New Roman"/>
                <w:snapToGrid w:val="0"/>
                <w:sz w:val="21"/>
                <w:szCs w:val="21"/>
                <w:highlight w:val="none"/>
              </w:rPr>
              <w:fldChar w:fldCharType="begin"/>
            </w:r>
            <w:r>
              <w:rPr>
                <w:rFonts w:hint="default" w:ascii="Times New Roman"/>
                <w:snapToGrid w:val="0"/>
                <w:sz w:val="21"/>
                <w:szCs w:val="21"/>
                <w:highlight w:val="none"/>
              </w:rPr>
              <w:instrText xml:space="preserve"> = 1 \* GB3 \* MERGEFORMAT </w:instrText>
            </w:r>
            <w:r>
              <w:rPr>
                <w:rFonts w:hint="default" w:ascii="Times New Roman"/>
                <w:snapToGrid w:val="0"/>
                <w:sz w:val="21"/>
                <w:szCs w:val="21"/>
                <w:highlight w:val="none"/>
              </w:rPr>
              <w:fldChar w:fldCharType="separate"/>
            </w:r>
            <w:r>
              <w:rPr>
                <w:rFonts w:hint="eastAsia" w:ascii="Times New Roman" w:hAnsi="宋体"/>
                <w:snapToGrid w:val="0"/>
                <w:sz w:val="21"/>
                <w:szCs w:val="21"/>
                <w:highlight w:val="none"/>
              </w:rPr>
              <w:t>①</w:t>
            </w:r>
            <w:r>
              <w:rPr>
                <w:rFonts w:hint="default" w:ascii="Times New Roman"/>
                <w:snapToGrid w:val="0"/>
                <w:sz w:val="21"/>
                <w:szCs w:val="21"/>
                <w:highlight w:val="none"/>
              </w:rPr>
              <w:fldChar w:fldCharType="end"/>
            </w:r>
          </w:p>
        </w:tc>
        <w:tc>
          <w:tcPr>
            <w:tcW w:w="1027" w:type="dxa"/>
            <w:tcBorders>
              <w:top w:val="single" w:color="auto" w:sz="8" w:space="0"/>
            </w:tcBorders>
            <w:tcMar>
              <w:left w:w="28" w:type="dxa"/>
              <w:right w:w="28" w:type="dxa"/>
            </w:tcMar>
            <w:vAlign w:val="center"/>
          </w:tcPr>
          <w:p w14:paraId="44D9A4BE">
            <w:pPr>
              <w:pStyle w:val="65"/>
              <w:keepNext w:val="0"/>
              <w:keepLines w:val="0"/>
              <w:suppressLineNumbers w:val="0"/>
              <w:spacing w:before="0" w:beforeLines="0" w:beforeAutospacing="0" w:after="0" w:afterLines="0" w:afterAutospacing="0" w:line="288" w:lineRule="auto"/>
              <w:ind w:left="0" w:right="0"/>
              <w:rPr>
                <w:rFonts w:hint="default" w:ascii="Times New Roman"/>
                <w:snapToGrid w:val="0"/>
                <w:sz w:val="21"/>
                <w:szCs w:val="21"/>
                <w:highlight w:val="none"/>
              </w:rPr>
            </w:pPr>
            <w:r>
              <w:rPr>
                <w:rFonts w:hint="eastAsia" w:ascii="Times New Roman" w:hAnsi="宋体"/>
                <w:snapToGrid w:val="0"/>
                <w:sz w:val="21"/>
                <w:szCs w:val="21"/>
                <w:highlight w:val="none"/>
              </w:rPr>
              <w:t>现有工程</w:t>
            </w:r>
          </w:p>
          <w:p w14:paraId="40BA96B8">
            <w:pPr>
              <w:pStyle w:val="65"/>
              <w:keepNext w:val="0"/>
              <w:keepLines w:val="0"/>
              <w:suppressLineNumbers w:val="0"/>
              <w:spacing w:before="0" w:beforeLines="0" w:beforeAutospacing="0" w:after="0" w:afterLines="0" w:afterAutospacing="0" w:line="288" w:lineRule="auto"/>
              <w:ind w:left="0" w:right="0"/>
              <w:rPr>
                <w:rFonts w:hint="default" w:ascii="Times New Roman"/>
                <w:snapToGrid w:val="0"/>
                <w:sz w:val="21"/>
                <w:szCs w:val="21"/>
                <w:highlight w:val="none"/>
              </w:rPr>
            </w:pPr>
            <w:r>
              <w:rPr>
                <w:rFonts w:hint="eastAsia" w:ascii="Times New Roman" w:hAnsi="宋体"/>
                <w:snapToGrid w:val="0"/>
                <w:sz w:val="21"/>
                <w:szCs w:val="21"/>
                <w:highlight w:val="none"/>
              </w:rPr>
              <w:t>许可排放量</w:t>
            </w:r>
            <w:r>
              <w:rPr>
                <w:rFonts w:hint="default" w:ascii="Times New Roman"/>
                <w:snapToGrid w:val="0"/>
                <w:sz w:val="21"/>
                <w:szCs w:val="21"/>
                <w:highlight w:val="none"/>
              </w:rPr>
              <w:fldChar w:fldCharType="begin"/>
            </w:r>
            <w:r>
              <w:rPr>
                <w:rFonts w:hint="default" w:ascii="Times New Roman"/>
                <w:snapToGrid w:val="0"/>
                <w:sz w:val="21"/>
                <w:szCs w:val="21"/>
                <w:highlight w:val="none"/>
              </w:rPr>
              <w:instrText xml:space="preserve"> = 2 \* GB3 \* MERGEFORMAT </w:instrText>
            </w:r>
            <w:r>
              <w:rPr>
                <w:rFonts w:hint="default" w:ascii="Times New Roman"/>
                <w:snapToGrid w:val="0"/>
                <w:sz w:val="21"/>
                <w:szCs w:val="21"/>
                <w:highlight w:val="none"/>
              </w:rPr>
              <w:fldChar w:fldCharType="separate"/>
            </w:r>
            <w:r>
              <w:rPr>
                <w:rFonts w:hint="eastAsia" w:ascii="Times New Roman" w:hAnsi="宋体"/>
                <w:snapToGrid w:val="0"/>
                <w:sz w:val="21"/>
                <w:szCs w:val="21"/>
                <w:highlight w:val="none"/>
              </w:rPr>
              <w:t>②</w:t>
            </w:r>
            <w:r>
              <w:rPr>
                <w:rFonts w:hint="default" w:ascii="Times New Roman"/>
                <w:snapToGrid w:val="0"/>
                <w:sz w:val="21"/>
                <w:szCs w:val="21"/>
                <w:highlight w:val="none"/>
              </w:rPr>
              <w:fldChar w:fldCharType="end"/>
            </w:r>
          </w:p>
        </w:tc>
        <w:tc>
          <w:tcPr>
            <w:tcW w:w="1433" w:type="dxa"/>
            <w:tcBorders>
              <w:top w:val="single" w:color="auto" w:sz="8" w:space="0"/>
            </w:tcBorders>
            <w:tcMar>
              <w:left w:w="28" w:type="dxa"/>
              <w:right w:w="28" w:type="dxa"/>
            </w:tcMar>
            <w:vAlign w:val="center"/>
          </w:tcPr>
          <w:p w14:paraId="3A06F6E1">
            <w:pPr>
              <w:pStyle w:val="65"/>
              <w:keepNext w:val="0"/>
              <w:keepLines w:val="0"/>
              <w:suppressLineNumbers w:val="0"/>
              <w:spacing w:before="0" w:beforeLines="0" w:beforeAutospacing="0" w:after="0" w:afterLines="0" w:afterAutospacing="0" w:line="288" w:lineRule="auto"/>
              <w:ind w:left="0" w:right="0"/>
              <w:rPr>
                <w:rFonts w:hint="default" w:ascii="Times New Roman"/>
                <w:snapToGrid w:val="0"/>
                <w:sz w:val="21"/>
                <w:szCs w:val="21"/>
                <w:highlight w:val="none"/>
              </w:rPr>
            </w:pPr>
            <w:r>
              <w:rPr>
                <w:rFonts w:hint="eastAsia" w:ascii="Times New Roman" w:hAnsi="宋体"/>
                <w:snapToGrid w:val="0"/>
                <w:sz w:val="21"/>
                <w:szCs w:val="21"/>
                <w:highlight w:val="none"/>
              </w:rPr>
              <w:t>在建工程</w:t>
            </w:r>
          </w:p>
          <w:p w14:paraId="1234CF70">
            <w:pPr>
              <w:pStyle w:val="65"/>
              <w:keepNext w:val="0"/>
              <w:keepLines w:val="0"/>
              <w:suppressLineNumbers w:val="0"/>
              <w:spacing w:before="0" w:beforeLines="0" w:beforeAutospacing="0" w:after="0" w:afterLines="0" w:afterAutospacing="0" w:line="288" w:lineRule="auto"/>
              <w:ind w:left="0" w:right="0"/>
              <w:rPr>
                <w:rFonts w:hint="default" w:ascii="Times New Roman"/>
                <w:snapToGrid w:val="0"/>
                <w:sz w:val="21"/>
                <w:szCs w:val="21"/>
                <w:highlight w:val="none"/>
              </w:rPr>
            </w:pPr>
            <w:r>
              <w:rPr>
                <w:rFonts w:hint="eastAsia" w:ascii="Times New Roman" w:hAnsi="宋体"/>
                <w:snapToGrid w:val="0"/>
                <w:sz w:val="21"/>
                <w:szCs w:val="21"/>
                <w:highlight w:val="none"/>
              </w:rPr>
              <w:t>排放量（固体废物产生量）</w:t>
            </w:r>
            <w:r>
              <w:rPr>
                <w:rFonts w:hint="default" w:ascii="Times New Roman"/>
                <w:snapToGrid w:val="0"/>
                <w:sz w:val="21"/>
                <w:szCs w:val="21"/>
                <w:highlight w:val="none"/>
              </w:rPr>
              <w:fldChar w:fldCharType="begin"/>
            </w:r>
            <w:r>
              <w:rPr>
                <w:rFonts w:hint="default" w:ascii="Times New Roman"/>
                <w:snapToGrid w:val="0"/>
                <w:sz w:val="21"/>
                <w:szCs w:val="21"/>
                <w:highlight w:val="none"/>
              </w:rPr>
              <w:instrText xml:space="preserve"> = 3 \* GB3 \* MERGEFORMAT </w:instrText>
            </w:r>
            <w:r>
              <w:rPr>
                <w:rFonts w:hint="default" w:ascii="Times New Roman"/>
                <w:snapToGrid w:val="0"/>
                <w:sz w:val="21"/>
                <w:szCs w:val="21"/>
                <w:highlight w:val="none"/>
              </w:rPr>
              <w:fldChar w:fldCharType="separate"/>
            </w:r>
            <w:r>
              <w:rPr>
                <w:rFonts w:hint="eastAsia" w:ascii="Times New Roman" w:hAnsi="宋体"/>
                <w:snapToGrid w:val="0"/>
                <w:sz w:val="21"/>
                <w:szCs w:val="21"/>
                <w:highlight w:val="none"/>
              </w:rPr>
              <w:t>③</w:t>
            </w:r>
            <w:r>
              <w:rPr>
                <w:rFonts w:hint="default" w:ascii="Times New Roman"/>
                <w:snapToGrid w:val="0"/>
                <w:sz w:val="21"/>
                <w:szCs w:val="21"/>
                <w:highlight w:val="none"/>
              </w:rPr>
              <w:fldChar w:fldCharType="end"/>
            </w:r>
          </w:p>
        </w:tc>
        <w:tc>
          <w:tcPr>
            <w:tcW w:w="1485" w:type="dxa"/>
            <w:tcBorders>
              <w:top w:val="single" w:color="auto" w:sz="8" w:space="0"/>
            </w:tcBorders>
            <w:tcMar>
              <w:left w:w="28" w:type="dxa"/>
              <w:right w:w="28" w:type="dxa"/>
            </w:tcMar>
            <w:vAlign w:val="center"/>
          </w:tcPr>
          <w:p w14:paraId="46842896">
            <w:pPr>
              <w:pStyle w:val="65"/>
              <w:keepNext w:val="0"/>
              <w:keepLines w:val="0"/>
              <w:suppressLineNumbers w:val="0"/>
              <w:spacing w:before="0" w:beforeLines="0" w:beforeAutospacing="0" w:after="0" w:afterLines="0" w:afterAutospacing="0" w:line="288" w:lineRule="auto"/>
              <w:ind w:left="0" w:right="0"/>
              <w:rPr>
                <w:rFonts w:hint="default" w:ascii="Times New Roman"/>
                <w:snapToGrid w:val="0"/>
                <w:sz w:val="21"/>
                <w:szCs w:val="21"/>
                <w:highlight w:val="none"/>
              </w:rPr>
            </w:pPr>
            <w:r>
              <w:rPr>
                <w:rFonts w:hint="eastAsia" w:ascii="Times New Roman" w:hAnsi="宋体"/>
                <w:snapToGrid w:val="0"/>
                <w:sz w:val="21"/>
                <w:szCs w:val="21"/>
                <w:highlight w:val="none"/>
              </w:rPr>
              <w:t>本项目</w:t>
            </w:r>
          </w:p>
          <w:p w14:paraId="0CE15C90">
            <w:pPr>
              <w:pStyle w:val="65"/>
              <w:keepNext w:val="0"/>
              <w:keepLines w:val="0"/>
              <w:suppressLineNumbers w:val="0"/>
              <w:spacing w:before="0" w:beforeLines="0" w:beforeAutospacing="0" w:after="0" w:afterLines="0" w:afterAutospacing="0" w:line="288" w:lineRule="auto"/>
              <w:ind w:left="0" w:right="0"/>
              <w:rPr>
                <w:rFonts w:hint="default" w:ascii="Times New Roman"/>
                <w:snapToGrid w:val="0"/>
                <w:sz w:val="21"/>
                <w:szCs w:val="21"/>
                <w:highlight w:val="none"/>
              </w:rPr>
            </w:pPr>
            <w:r>
              <w:rPr>
                <w:rFonts w:hint="eastAsia" w:ascii="Times New Roman" w:hAnsi="宋体"/>
                <w:snapToGrid w:val="0"/>
                <w:sz w:val="21"/>
                <w:szCs w:val="21"/>
                <w:highlight w:val="none"/>
              </w:rPr>
              <w:t>排放量（固体废物产生量）</w:t>
            </w:r>
            <w:r>
              <w:rPr>
                <w:rFonts w:hint="default" w:ascii="Times New Roman"/>
                <w:snapToGrid w:val="0"/>
                <w:sz w:val="21"/>
                <w:szCs w:val="21"/>
                <w:highlight w:val="none"/>
              </w:rPr>
              <w:fldChar w:fldCharType="begin"/>
            </w:r>
            <w:r>
              <w:rPr>
                <w:rFonts w:hint="default" w:ascii="Times New Roman"/>
                <w:snapToGrid w:val="0"/>
                <w:sz w:val="21"/>
                <w:szCs w:val="21"/>
                <w:highlight w:val="none"/>
              </w:rPr>
              <w:instrText xml:space="preserve"> = 4 \* GB3 \* MERGEFORMAT </w:instrText>
            </w:r>
            <w:r>
              <w:rPr>
                <w:rFonts w:hint="default" w:ascii="Times New Roman"/>
                <w:snapToGrid w:val="0"/>
                <w:sz w:val="21"/>
                <w:szCs w:val="21"/>
                <w:highlight w:val="none"/>
              </w:rPr>
              <w:fldChar w:fldCharType="separate"/>
            </w:r>
            <w:r>
              <w:rPr>
                <w:rFonts w:hint="eastAsia" w:ascii="Times New Roman" w:hAnsi="宋体"/>
                <w:snapToGrid w:val="0"/>
                <w:sz w:val="21"/>
                <w:szCs w:val="21"/>
                <w:highlight w:val="none"/>
              </w:rPr>
              <w:t>④</w:t>
            </w:r>
            <w:r>
              <w:rPr>
                <w:rFonts w:hint="default" w:ascii="Times New Roman"/>
                <w:snapToGrid w:val="0"/>
                <w:sz w:val="21"/>
                <w:szCs w:val="21"/>
                <w:highlight w:val="none"/>
              </w:rPr>
              <w:fldChar w:fldCharType="end"/>
            </w:r>
          </w:p>
        </w:tc>
        <w:tc>
          <w:tcPr>
            <w:tcW w:w="1327" w:type="dxa"/>
            <w:tcBorders>
              <w:top w:val="single" w:color="auto" w:sz="8" w:space="0"/>
            </w:tcBorders>
            <w:tcMar>
              <w:left w:w="28" w:type="dxa"/>
              <w:right w:w="28" w:type="dxa"/>
            </w:tcMar>
            <w:vAlign w:val="center"/>
          </w:tcPr>
          <w:p w14:paraId="49D08EB8">
            <w:pPr>
              <w:pStyle w:val="65"/>
              <w:keepNext w:val="0"/>
              <w:keepLines w:val="0"/>
              <w:suppressLineNumbers w:val="0"/>
              <w:spacing w:before="0" w:beforeLines="0" w:beforeAutospacing="0" w:after="0" w:afterLines="0" w:afterAutospacing="0" w:line="288" w:lineRule="auto"/>
              <w:ind w:left="0" w:right="0"/>
              <w:rPr>
                <w:rFonts w:hint="default" w:ascii="Times New Roman"/>
                <w:snapToGrid w:val="0"/>
                <w:sz w:val="21"/>
                <w:szCs w:val="21"/>
                <w:highlight w:val="none"/>
              </w:rPr>
            </w:pPr>
            <w:r>
              <w:rPr>
                <w:rFonts w:hint="eastAsia" w:ascii="Times New Roman" w:hAnsi="宋体"/>
                <w:snapToGrid w:val="0"/>
                <w:sz w:val="21"/>
                <w:szCs w:val="21"/>
                <w:highlight w:val="none"/>
              </w:rPr>
              <w:t>以新带老削减量（新建项目不填）</w:t>
            </w:r>
            <w:r>
              <w:rPr>
                <w:rFonts w:hint="default" w:ascii="Times New Roman"/>
                <w:snapToGrid w:val="0"/>
                <w:sz w:val="21"/>
                <w:szCs w:val="21"/>
                <w:highlight w:val="none"/>
              </w:rPr>
              <w:fldChar w:fldCharType="begin"/>
            </w:r>
            <w:r>
              <w:rPr>
                <w:rFonts w:hint="default" w:ascii="Times New Roman"/>
                <w:snapToGrid w:val="0"/>
                <w:sz w:val="21"/>
                <w:szCs w:val="21"/>
                <w:highlight w:val="none"/>
              </w:rPr>
              <w:instrText xml:space="preserve"> = 5 \* GB3 \* MERGEFORMAT </w:instrText>
            </w:r>
            <w:r>
              <w:rPr>
                <w:rFonts w:hint="default" w:ascii="Times New Roman"/>
                <w:snapToGrid w:val="0"/>
                <w:sz w:val="21"/>
                <w:szCs w:val="21"/>
                <w:highlight w:val="none"/>
              </w:rPr>
              <w:fldChar w:fldCharType="separate"/>
            </w:r>
            <w:r>
              <w:rPr>
                <w:rFonts w:hint="eastAsia" w:ascii="Times New Roman" w:hAnsi="宋体"/>
                <w:snapToGrid w:val="0"/>
                <w:sz w:val="21"/>
                <w:szCs w:val="21"/>
                <w:highlight w:val="none"/>
              </w:rPr>
              <w:t>⑤</w:t>
            </w:r>
            <w:r>
              <w:rPr>
                <w:rFonts w:hint="default" w:ascii="Times New Roman"/>
                <w:snapToGrid w:val="0"/>
                <w:sz w:val="21"/>
                <w:szCs w:val="21"/>
                <w:highlight w:val="none"/>
              </w:rPr>
              <w:fldChar w:fldCharType="end"/>
            </w:r>
          </w:p>
        </w:tc>
        <w:tc>
          <w:tcPr>
            <w:tcW w:w="1785" w:type="dxa"/>
            <w:tcBorders>
              <w:top w:val="single" w:color="auto" w:sz="8" w:space="0"/>
            </w:tcBorders>
            <w:tcMar>
              <w:left w:w="28" w:type="dxa"/>
              <w:right w:w="28" w:type="dxa"/>
            </w:tcMar>
            <w:vAlign w:val="center"/>
          </w:tcPr>
          <w:p w14:paraId="3E6E22D3">
            <w:pPr>
              <w:pStyle w:val="65"/>
              <w:keepNext w:val="0"/>
              <w:keepLines w:val="0"/>
              <w:suppressLineNumbers w:val="0"/>
              <w:spacing w:before="0" w:beforeLines="0" w:beforeAutospacing="0" w:after="0" w:afterLines="0" w:afterAutospacing="0" w:line="288" w:lineRule="auto"/>
              <w:ind w:left="0" w:right="0"/>
              <w:rPr>
                <w:rFonts w:hint="default" w:ascii="Times New Roman"/>
                <w:snapToGrid w:val="0"/>
                <w:sz w:val="21"/>
                <w:szCs w:val="21"/>
                <w:highlight w:val="none"/>
              </w:rPr>
            </w:pPr>
            <w:r>
              <w:rPr>
                <w:rFonts w:hint="eastAsia" w:ascii="Times New Roman" w:hAnsi="宋体"/>
                <w:snapToGrid w:val="0"/>
                <w:sz w:val="21"/>
                <w:szCs w:val="21"/>
                <w:highlight w:val="none"/>
              </w:rPr>
              <w:t>本项目建成后</w:t>
            </w:r>
          </w:p>
          <w:p w14:paraId="5408A34D">
            <w:pPr>
              <w:pStyle w:val="65"/>
              <w:keepNext w:val="0"/>
              <w:keepLines w:val="0"/>
              <w:suppressLineNumbers w:val="0"/>
              <w:spacing w:before="0" w:beforeLines="0" w:beforeAutospacing="0" w:after="0" w:afterLines="0" w:afterAutospacing="0" w:line="288" w:lineRule="auto"/>
              <w:ind w:left="0" w:right="0"/>
              <w:rPr>
                <w:rFonts w:hint="default" w:ascii="Times New Roman"/>
                <w:snapToGrid w:val="0"/>
                <w:sz w:val="21"/>
                <w:szCs w:val="21"/>
                <w:highlight w:val="none"/>
              </w:rPr>
            </w:pPr>
            <w:r>
              <w:rPr>
                <w:rFonts w:hint="eastAsia" w:ascii="Times New Roman" w:hAnsi="宋体"/>
                <w:snapToGrid w:val="0"/>
                <w:sz w:val="21"/>
                <w:szCs w:val="21"/>
                <w:highlight w:val="none"/>
              </w:rPr>
              <w:t>全厂排放量（固体废物产生量）</w:t>
            </w:r>
            <w:r>
              <w:rPr>
                <w:rFonts w:hint="default" w:ascii="Times New Roman"/>
                <w:snapToGrid w:val="0"/>
                <w:sz w:val="21"/>
                <w:szCs w:val="21"/>
                <w:highlight w:val="none"/>
              </w:rPr>
              <w:fldChar w:fldCharType="begin"/>
            </w:r>
            <w:r>
              <w:rPr>
                <w:rFonts w:hint="default" w:ascii="Times New Roman"/>
                <w:snapToGrid w:val="0"/>
                <w:sz w:val="21"/>
                <w:szCs w:val="21"/>
                <w:highlight w:val="none"/>
              </w:rPr>
              <w:instrText xml:space="preserve"> = 6 \* GB3 \* MERGEFORMAT </w:instrText>
            </w:r>
            <w:r>
              <w:rPr>
                <w:rFonts w:hint="default" w:ascii="Times New Roman"/>
                <w:snapToGrid w:val="0"/>
                <w:sz w:val="21"/>
                <w:szCs w:val="21"/>
                <w:highlight w:val="none"/>
              </w:rPr>
              <w:fldChar w:fldCharType="separate"/>
            </w:r>
            <w:r>
              <w:rPr>
                <w:rFonts w:hint="eastAsia" w:ascii="Times New Roman" w:hAnsi="宋体"/>
                <w:snapToGrid w:val="0"/>
                <w:sz w:val="21"/>
                <w:szCs w:val="21"/>
                <w:highlight w:val="none"/>
              </w:rPr>
              <w:t>⑥</w:t>
            </w:r>
            <w:r>
              <w:rPr>
                <w:rFonts w:hint="default" w:ascii="Times New Roman"/>
                <w:snapToGrid w:val="0"/>
                <w:sz w:val="21"/>
                <w:szCs w:val="21"/>
                <w:highlight w:val="none"/>
              </w:rPr>
              <w:fldChar w:fldCharType="end"/>
            </w:r>
          </w:p>
        </w:tc>
        <w:tc>
          <w:tcPr>
            <w:tcW w:w="1352" w:type="dxa"/>
            <w:tcBorders>
              <w:top w:val="single" w:color="auto" w:sz="8" w:space="0"/>
            </w:tcBorders>
            <w:tcMar>
              <w:left w:w="28" w:type="dxa"/>
              <w:right w:w="28" w:type="dxa"/>
            </w:tcMar>
            <w:vAlign w:val="center"/>
          </w:tcPr>
          <w:p w14:paraId="6A9D4318">
            <w:pPr>
              <w:pStyle w:val="65"/>
              <w:keepNext w:val="0"/>
              <w:keepLines w:val="0"/>
              <w:suppressLineNumbers w:val="0"/>
              <w:spacing w:before="0" w:beforeLines="0" w:beforeAutospacing="0" w:after="0" w:afterLines="0" w:afterAutospacing="0" w:line="288" w:lineRule="auto"/>
              <w:ind w:left="0" w:right="0"/>
              <w:rPr>
                <w:rFonts w:hint="default" w:ascii="Times New Roman"/>
                <w:snapToGrid w:val="0"/>
                <w:sz w:val="21"/>
                <w:szCs w:val="21"/>
                <w:highlight w:val="none"/>
              </w:rPr>
            </w:pPr>
            <w:r>
              <w:rPr>
                <w:rFonts w:hint="eastAsia" w:ascii="Times New Roman" w:hAnsi="宋体"/>
                <w:snapToGrid w:val="0"/>
                <w:sz w:val="21"/>
                <w:szCs w:val="21"/>
                <w:highlight w:val="none"/>
              </w:rPr>
              <w:t>变化量</w:t>
            </w:r>
          </w:p>
          <w:p w14:paraId="2F57FA7D">
            <w:pPr>
              <w:pStyle w:val="65"/>
              <w:keepNext w:val="0"/>
              <w:keepLines w:val="0"/>
              <w:suppressLineNumbers w:val="0"/>
              <w:spacing w:before="0" w:beforeLines="0" w:beforeAutospacing="0" w:after="0" w:afterLines="0" w:afterAutospacing="0" w:line="288" w:lineRule="auto"/>
              <w:ind w:left="0" w:right="0"/>
              <w:rPr>
                <w:rFonts w:hint="default" w:ascii="Times New Roman"/>
                <w:snapToGrid w:val="0"/>
                <w:sz w:val="21"/>
                <w:szCs w:val="21"/>
                <w:highlight w:val="none"/>
              </w:rPr>
            </w:pPr>
            <w:r>
              <w:rPr>
                <w:rFonts w:hint="default" w:ascii="Times New Roman"/>
                <w:snapToGrid w:val="0"/>
                <w:sz w:val="21"/>
                <w:szCs w:val="21"/>
                <w:highlight w:val="none"/>
              </w:rPr>
              <w:fldChar w:fldCharType="begin"/>
            </w:r>
            <w:r>
              <w:rPr>
                <w:rFonts w:hint="default" w:ascii="Times New Roman"/>
                <w:snapToGrid w:val="0"/>
                <w:sz w:val="21"/>
                <w:szCs w:val="21"/>
                <w:highlight w:val="none"/>
              </w:rPr>
              <w:instrText xml:space="preserve"> = 7 \* GB3 \* MERGEFORMAT </w:instrText>
            </w:r>
            <w:r>
              <w:rPr>
                <w:rFonts w:hint="default" w:ascii="Times New Roman"/>
                <w:snapToGrid w:val="0"/>
                <w:sz w:val="21"/>
                <w:szCs w:val="21"/>
                <w:highlight w:val="none"/>
              </w:rPr>
              <w:fldChar w:fldCharType="separate"/>
            </w:r>
            <w:r>
              <w:rPr>
                <w:rFonts w:hint="eastAsia" w:ascii="Times New Roman" w:hAnsi="宋体"/>
                <w:snapToGrid w:val="0"/>
                <w:sz w:val="21"/>
                <w:szCs w:val="21"/>
                <w:highlight w:val="none"/>
              </w:rPr>
              <w:t>⑦</w:t>
            </w:r>
            <w:r>
              <w:rPr>
                <w:rFonts w:hint="default" w:ascii="Times New Roman"/>
                <w:snapToGrid w:val="0"/>
                <w:sz w:val="21"/>
                <w:szCs w:val="21"/>
                <w:highlight w:val="none"/>
              </w:rPr>
              <w:fldChar w:fldCharType="end"/>
            </w:r>
          </w:p>
        </w:tc>
      </w:tr>
      <w:tr w14:paraId="51A1701D">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089" w:type="dxa"/>
            <w:vMerge w:val="restart"/>
            <w:vAlign w:val="center"/>
          </w:tcPr>
          <w:p w14:paraId="038F60DE">
            <w:pPr>
              <w:pStyle w:val="65"/>
              <w:keepNext w:val="0"/>
              <w:keepLines w:val="0"/>
              <w:suppressLineNumbers w:val="0"/>
              <w:spacing w:before="0" w:beforeLines="0" w:beforeAutospacing="0" w:after="0" w:afterLines="0" w:afterAutospacing="0" w:line="288" w:lineRule="auto"/>
              <w:ind w:left="0" w:right="0"/>
              <w:rPr>
                <w:rFonts w:hint="default" w:ascii="Times New Roman"/>
                <w:snapToGrid w:val="0"/>
                <w:sz w:val="21"/>
                <w:szCs w:val="21"/>
                <w:highlight w:val="none"/>
              </w:rPr>
            </w:pPr>
            <w:r>
              <w:rPr>
                <w:rFonts w:hint="eastAsia" w:ascii="Times New Roman" w:hAnsi="宋体"/>
                <w:snapToGrid w:val="0"/>
                <w:sz w:val="21"/>
                <w:szCs w:val="21"/>
                <w:highlight w:val="none"/>
              </w:rPr>
              <w:t>废水</w:t>
            </w:r>
          </w:p>
        </w:tc>
        <w:tc>
          <w:tcPr>
            <w:tcW w:w="2737" w:type="dxa"/>
            <w:vAlign w:val="center"/>
          </w:tcPr>
          <w:p w14:paraId="378048BB">
            <w:pPr>
              <w:pStyle w:val="65"/>
              <w:keepNext w:val="0"/>
              <w:keepLines w:val="0"/>
              <w:suppressLineNumbers w:val="0"/>
              <w:spacing w:before="0" w:beforeLines="0" w:beforeAutospacing="0" w:after="0" w:afterLines="0" w:afterAutospacing="0" w:line="288" w:lineRule="auto"/>
              <w:ind w:left="0" w:right="0"/>
              <w:rPr>
                <w:rFonts w:hint="default" w:ascii="Times New Roman"/>
                <w:snapToGrid w:val="0"/>
                <w:sz w:val="21"/>
                <w:szCs w:val="21"/>
                <w:highlight w:val="none"/>
              </w:rPr>
            </w:pPr>
            <w:r>
              <w:rPr>
                <w:rFonts w:hint="default" w:ascii="Times New Roman"/>
                <w:snapToGrid w:val="0"/>
                <w:sz w:val="21"/>
                <w:szCs w:val="21"/>
                <w:highlight w:val="none"/>
              </w:rPr>
              <w:t>废水量（</w:t>
            </w:r>
            <w:r>
              <w:rPr>
                <w:rFonts w:hint="eastAsia" w:ascii="Times New Roman"/>
                <w:snapToGrid w:val="0"/>
                <w:sz w:val="21"/>
                <w:szCs w:val="21"/>
                <w:highlight w:val="none"/>
                <w:lang w:val="en-US" w:eastAsia="zh-CN"/>
              </w:rPr>
              <w:t>万</w:t>
            </w:r>
            <w:r>
              <w:rPr>
                <w:rFonts w:hint="default" w:ascii="Times New Roman"/>
                <w:snapToGrid w:val="0"/>
                <w:sz w:val="21"/>
                <w:szCs w:val="21"/>
                <w:highlight w:val="none"/>
              </w:rPr>
              <w:t>m</w:t>
            </w:r>
            <w:r>
              <w:rPr>
                <w:rFonts w:hint="default" w:ascii="Times New Roman"/>
                <w:snapToGrid w:val="0"/>
                <w:sz w:val="21"/>
                <w:szCs w:val="21"/>
                <w:highlight w:val="none"/>
                <w:vertAlign w:val="superscript"/>
              </w:rPr>
              <w:t>3</w:t>
            </w:r>
            <w:r>
              <w:rPr>
                <w:rFonts w:hint="default" w:ascii="Times New Roman"/>
                <w:snapToGrid w:val="0"/>
                <w:sz w:val="21"/>
                <w:szCs w:val="21"/>
                <w:highlight w:val="none"/>
              </w:rPr>
              <w:t>/a）</w:t>
            </w:r>
          </w:p>
        </w:tc>
        <w:tc>
          <w:tcPr>
            <w:tcW w:w="1553" w:type="dxa"/>
            <w:vAlign w:val="center"/>
          </w:tcPr>
          <w:p w14:paraId="55071318">
            <w:pPr>
              <w:keepNext w:val="0"/>
              <w:keepLines w:val="0"/>
              <w:suppressLineNumbers w:val="0"/>
              <w:spacing w:before="0" w:beforeAutospacing="0" w:after="0" w:afterAutospacing="0" w:line="288" w:lineRule="auto"/>
              <w:ind w:left="0" w:right="0"/>
              <w:jc w:val="center"/>
              <w:rPr>
                <w:rFonts w:hint="default"/>
                <w:snapToGrid w:val="0"/>
                <w:sz w:val="21"/>
                <w:szCs w:val="21"/>
                <w:highlight w:val="none"/>
              </w:rPr>
            </w:pPr>
            <w:r>
              <w:rPr>
                <w:rFonts w:hint="default"/>
                <w:snapToGrid w:val="0"/>
                <w:sz w:val="21"/>
                <w:szCs w:val="21"/>
                <w:highlight w:val="none"/>
              </w:rPr>
              <w:t>/</w:t>
            </w:r>
          </w:p>
        </w:tc>
        <w:tc>
          <w:tcPr>
            <w:tcW w:w="1027" w:type="dxa"/>
            <w:vAlign w:val="center"/>
          </w:tcPr>
          <w:p w14:paraId="2CBA1061">
            <w:pPr>
              <w:keepNext w:val="0"/>
              <w:keepLines w:val="0"/>
              <w:suppressLineNumbers w:val="0"/>
              <w:spacing w:before="0" w:beforeAutospacing="0" w:after="0" w:afterAutospacing="0" w:line="288" w:lineRule="auto"/>
              <w:ind w:left="0" w:right="0"/>
              <w:jc w:val="center"/>
              <w:rPr>
                <w:rFonts w:hint="default"/>
                <w:snapToGrid w:val="0"/>
                <w:sz w:val="21"/>
                <w:szCs w:val="21"/>
                <w:highlight w:val="none"/>
              </w:rPr>
            </w:pPr>
            <w:r>
              <w:rPr>
                <w:rFonts w:hint="default"/>
                <w:snapToGrid w:val="0"/>
                <w:sz w:val="21"/>
                <w:szCs w:val="21"/>
                <w:highlight w:val="none"/>
              </w:rPr>
              <w:t>/</w:t>
            </w:r>
          </w:p>
        </w:tc>
        <w:tc>
          <w:tcPr>
            <w:tcW w:w="1433" w:type="dxa"/>
            <w:shd w:val="clear" w:color="auto" w:fill="auto"/>
            <w:vAlign w:val="center"/>
          </w:tcPr>
          <w:p w14:paraId="7A93C3FC">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360" w:lineRule="auto"/>
              <w:ind w:left="0" w:right="0"/>
              <w:jc w:val="center"/>
              <w:textAlignment w:val="auto"/>
              <w:rPr>
                <w:rFonts w:hint="eastAsia" w:ascii="Times New Roman" w:hAnsi="Times New Roman" w:eastAsia="宋体" w:cs="Times New Roman"/>
                <w:kern w:val="2"/>
                <w:sz w:val="21"/>
                <w:szCs w:val="21"/>
                <w:highlight w:val="none"/>
                <w:lang w:val="en-US" w:eastAsia="zh-CN" w:bidi="ar-SA"/>
              </w:rPr>
            </w:pPr>
            <w:r>
              <w:rPr>
                <w:rFonts w:hint="default"/>
                <w:snapToGrid w:val="0"/>
                <w:sz w:val="21"/>
                <w:szCs w:val="21"/>
                <w:highlight w:val="none"/>
              </w:rPr>
              <w:t>/</w:t>
            </w:r>
          </w:p>
        </w:tc>
        <w:tc>
          <w:tcPr>
            <w:tcW w:w="1485" w:type="dxa"/>
            <w:vAlign w:val="center"/>
          </w:tcPr>
          <w:p w14:paraId="47523ADF">
            <w:pPr>
              <w:keepNext w:val="0"/>
              <w:keepLines w:val="0"/>
              <w:suppressLineNumbers w:val="0"/>
              <w:snapToGrid w:val="0"/>
              <w:spacing w:before="0" w:beforeAutospacing="0" w:after="0" w:afterAutospacing="0" w:line="264" w:lineRule="auto"/>
              <w:ind w:left="0" w:right="0"/>
              <w:jc w:val="center"/>
              <w:rPr>
                <w:rFonts w:hint="default" w:ascii="Times New Roman" w:eastAsia="宋体"/>
                <w:snapToGrid w:val="0"/>
                <w:sz w:val="21"/>
                <w:szCs w:val="21"/>
                <w:highlight w:val="none"/>
                <w:lang w:val="en-US" w:eastAsia="zh-CN"/>
              </w:rPr>
            </w:pPr>
            <w:r>
              <w:rPr>
                <w:rFonts w:hint="eastAsia"/>
                <w:sz w:val="21"/>
                <w:szCs w:val="21"/>
                <w:highlight w:val="none"/>
                <w:lang w:val="en-US" w:eastAsia="zh-CN"/>
              </w:rPr>
              <w:t>3.4514</w:t>
            </w:r>
          </w:p>
        </w:tc>
        <w:tc>
          <w:tcPr>
            <w:tcW w:w="1327" w:type="dxa"/>
            <w:vAlign w:val="center"/>
          </w:tcPr>
          <w:p w14:paraId="5FA07D19">
            <w:pPr>
              <w:pStyle w:val="65"/>
              <w:keepNext w:val="0"/>
              <w:keepLines w:val="0"/>
              <w:suppressLineNumbers w:val="0"/>
              <w:spacing w:before="0" w:beforeLines="0" w:beforeAutospacing="0" w:after="0" w:afterLines="0" w:afterAutospacing="0" w:line="288" w:lineRule="auto"/>
              <w:ind w:left="0" w:right="0"/>
              <w:rPr>
                <w:rFonts w:hint="default" w:ascii="Times New Roman"/>
                <w:snapToGrid w:val="0"/>
                <w:sz w:val="21"/>
                <w:szCs w:val="21"/>
                <w:highlight w:val="none"/>
              </w:rPr>
            </w:pPr>
            <w:r>
              <w:rPr>
                <w:rFonts w:hint="default" w:ascii="Times New Roman"/>
                <w:snapToGrid w:val="0"/>
                <w:sz w:val="21"/>
                <w:szCs w:val="21"/>
                <w:highlight w:val="none"/>
              </w:rPr>
              <w:t>/</w:t>
            </w:r>
          </w:p>
        </w:tc>
        <w:tc>
          <w:tcPr>
            <w:tcW w:w="1785" w:type="dxa"/>
            <w:shd w:val="clear" w:color="auto" w:fill="auto"/>
            <w:vAlign w:val="center"/>
          </w:tcPr>
          <w:p w14:paraId="66F5D5FB">
            <w:pPr>
              <w:keepNext w:val="0"/>
              <w:keepLines w:val="0"/>
              <w:suppressLineNumbers w:val="0"/>
              <w:snapToGrid w:val="0"/>
              <w:spacing w:before="0" w:beforeAutospacing="0" w:after="0" w:afterAutospacing="0" w:line="264" w:lineRule="auto"/>
              <w:ind w:left="0" w:right="0"/>
              <w:jc w:val="center"/>
              <w:rPr>
                <w:rFonts w:hint="eastAsia" w:ascii="Times New Roman" w:hAnsi="Times New Roman" w:eastAsia="宋体" w:cs="Times New Roman"/>
                <w:snapToGrid w:val="0"/>
                <w:kern w:val="2"/>
                <w:sz w:val="21"/>
                <w:szCs w:val="21"/>
                <w:highlight w:val="none"/>
                <w:lang w:val="en-US" w:eastAsia="zh-CN" w:bidi="ar-SA"/>
              </w:rPr>
            </w:pPr>
            <w:r>
              <w:rPr>
                <w:rFonts w:hint="eastAsia"/>
                <w:sz w:val="21"/>
                <w:szCs w:val="21"/>
                <w:highlight w:val="none"/>
                <w:lang w:val="en-US" w:eastAsia="zh-CN"/>
              </w:rPr>
              <w:t>3.4514</w:t>
            </w:r>
          </w:p>
        </w:tc>
        <w:tc>
          <w:tcPr>
            <w:tcW w:w="1352" w:type="dxa"/>
            <w:shd w:val="clear" w:color="auto" w:fill="auto"/>
            <w:vAlign w:val="center"/>
          </w:tcPr>
          <w:p w14:paraId="15D4A0E5">
            <w:pPr>
              <w:keepNext w:val="0"/>
              <w:keepLines w:val="0"/>
              <w:suppressLineNumbers w:val="0"/>
              <w:snapToGrid w:val="0"/>
              <w:spacing w:before="0" w:beforeAutospacing="0" w:after="0" w:afterAutospacing="0" w:line="264" w:lineRule="auto"/>
              <w:ind w:left="0" w:right="0"/>
              <w:jc w:val="center"/>
              <w:rPr>
                <w:rFonts w:hint="eastAsia" w:ascii="Times New Roman" w:hAnsi="Times New Roman" w:eastAsia="宋体" w:cs="Times New Roman"/>
                <w:snapToGrid w:val="0"/>
                <w:kern w:val="2"/>
                <w:sz w:val="21"/>
                <w:szCs w:val="21"/>
                <w:highlight w:val="none"/>
                <w:lang w:val="en-US" w:eastAsia="zh-CN" w:bidi="ar-SA"/>
              </w:rPr>
            </w:pPr>
            <w:r>
              <w:rPr>
                <w:rFonts w:hint="eastAsia"/>
                <w:sz w:val="21"/>
                <w:szCs w:val="21"/>
                <w:highlight w:val="none"/>
                <w:lang w:val="en-US" w:eastAsia="zh-CN"/>
              </w:rPr>
              <w:t>+3.4514</w:t>
            </w:r>
          </w:p>
        </w:tc>
      </w:tr>
      <w:tr w14:paraId="2ABEAE03">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c>
          <w:tcPr>
            <w:tcW w:w="1089" w:type="dxa"/>
            <w:vMerge w:val="continue"/>
            <w:vAlign w:val="center"/>
          </w:tcPr>
          <w:p w14:paraId="768C8CF1">
            <w:pPr>
              <w:pStyle w:val="65"/>
              <w:keepNext w:val="0"/>
              <w:keepLines w:val="0"/>
              <w:suppressLineNumbers w:val="0"/>
              <w:spacing w:before="0" w:beforeLines="0" w:beforeAutospacing="0" w:after="0" w:afterLines="0" w:afterAutospacing="0" w:line="288" w:lineRule="auto"/>
              <w:ind w:left="0" w:right="0"/>
              <w:rPr>
                <w:rFonts w:hint="default" w:ascii="Times New Roman"/>
                <w:snapToGrid w:val="0"/>
                <w:sz w:val="21"/>
                <w:szCs w:val="21"/>
                <w:highlight w:val="none"/>
              </w:rPr>
            </w:pPr>
          </w:p>
        </w:tc>
        <w:tc>
          <w:tcPr>
            <w:tcW w:w="2737" w:type="dxa"/>
            <w:vAlign w:val="center"/>
          </w:tcPr>
          <w:p w14:paraId="4C612382">
            <w:pPr>
              <w:keepNext w:val="0"/>
              <w:keepLines w:val="0"/>
              <w:widowControl/>
              <w:suppressLineNumbers w:val="0"/>
              <w:adjustRightInd w:val="0"/>
              <w:snapToGrid w:val="0"/>
              <w:spacing w:before="0" w:beforeAutospacing="0" w:after="0" w:afterAutospacing="0" w:line="288" w:lineRule="auto"/>
              <w:ind w:left="0" w:right="0"/>
              <w:jc w:val="center"/>
              <w:rPr>
                <w:rFonts w:hint="default"/>
                <w:snapToGrid w:val="0"/>
                <w:sz w:val="21"/>
                <w:szCs w:val="21"/>
                <w:highlight w:val="none"/>
              </w:rPr>
            </w:pPr>
            <w:r>
              <w:rPr>
                <w:rFonts w:hint="default"/>
                <w:snapToGrid w:val="0"/>
                <w:sz w:val="21"/>
                <w:szCs w:val="21"/>
                <w:highlight w:val="none"/>
              </w:rPr>
              <w:t>COD</w:t>
            </w:r>
            <w:r>
              <w:rPr>
                <w:rFonts w:hint="default"/>
                <w:snapToGrid w:val="0"/>
                <w:sz w:val="21"/>
                <w:szCs w:val="21"/>
                <w:highlight w:val="none"/>
                <w:vertAlign w:val="subscript"/>
              </w:rPr>
              <w:t>Cr</w:t>
            </w:r>
            <w:r>
              <w:rPr>
                <w:rFonts w:hint="default"/>
                <w:snapToGrid w:val="0"/>
                <w:sz w:val="21"/>
                <w:szCs w:val="21"/>
                <w:highlight w:val="none"/>
              </w:rPr>
              <w:t>（t/a）</w:t>
            </w:r>
          </w:p>
        </w:tc>
        <w:tc>
          <w:tcPr>
            <w:tcW w:w="1553" w:type="dxa"/>
            <w:vAlign w:val="center"/>
          </w:tcPr>
          <w:p w14:paraId="5AEEBCC8">
            <w:pPr>
              <w:keepNext w:val="0"/>
              <w:keepLines w:val="0"/>
              <w:suppressLineNumbers w:val="0"/>
              <w:spacing w:before="0" w:beforeAutospacing="0" w:after="0" w:afterAutospacing="0" w:line="288" w:lineRule="auto"/>
              <w:ind w:left="0" w:right="0"/>
              <w:jc w:val="center"/>
              <w:rPr>
                <w:rFonts w:hint="default"/>
                <w:snapToGrid w:val="0"/>
                <w:sz w:val="21"/>
                <w:szCs w:val="21"/>
                <w:highlight w:val="none"/>
              </w:rPr>
            </w:pPr>
            <w:r>
              <w:rPr>
                <w:rFonts w:hint="default"/>
                <w:snapToGrid w:val="0"/>
                <w:sz w:val="21"/>
                <w:szCs w:val="21"/>
                <w:highlight w:val="none"/>
              </w:rPr>
              <w:t>/</w:t>
            </w:r>
          </w:p>
        </w:tc>
        <w:tc>
          <w:tcPr>
            <w:tcW w:w="1027" w:type="dxa"/>
            <w:vAlign w:val="center"/>
          </w:tcPr>
          <w:p w14:paraId="5D76F079">
            <w:pPr>
              <w:keepNext w:val="0"/>
              <w:keepLines w:val="0"/>
              <w:suppressLineNumbers w:val="0"/>
              <w:spacing w:before="0" w:beforeAutospacing="0" w:after="0" w:afterAutospacing="0" w:line="288" w:lineRule="auto"/>
              <w:ind w:left="0" w:right="0"/>
              <w:jc w:val="center"/>
              <w:rPr>
                <w:rFonts w:hint="default"/>
                <w:snapToGrid w:val="0"/>
                <w:sz w:val="21"/>
                <w:szCs w:val="21"/>
                <w:highlight w:val="none"/>
              </w:rPr>
            </w:pPr>
            <w:r>
              <w:rPr>
                <w:rFonts w:hint="default"/>
                <w:snapToGrid w:val="0"/>
                <w:sz w:val="21"/>
                <w:szCs w:val="21"/>
                <w:highlight w:val="none"/>
              </w:rPr>
              <w:t>/</w:t>
            </w:r>
          </w:p>
        </w:tc>
        <w:tc>
          <w:tcPr>
            <w:tcW w:w="1433" w:type="dxa"/>
            <w:shd w:val="clear" w:color="auto" w:fill="auto"/>
            <w:vAlign w:val="center"/>
          </w:tcPr>
          <w:p w14:paraId="08223083">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360" w:lineRule="auto"/>
              <w:ind w:left="0" w:right="0"/>
              <w:jc w:val="center"/>
              <w:textAlignment w:val="auto"/>
              <w:rPr>
                <w:rFonts w:hint="eastAsia" w:ascii="Times New Roman" w:hAnsi="Times New Roman" w:eastAsia="宋体" w:cs="Times New Roman"/>
                <w:kern w:val="2"/>
                <w:sz w:val="21"/>
                <w:szCs w:val="21"/>
                <w:highlight w:val="none"/>
                <w:lang w:val="en-US" w:eastAsia="zh-CN" w:bidi="ar-SA"/>
              </w:rPr>
            </w:pPr>
            <w:r>
              <w:rPr>
                <w:rFonts w:hint="default"/>
                <w:snapToGrid w:val="0"/>
                <w:sz w:val="21"/>
                <w:szCs w:val="21"/>
                <w:highlight w:val="none"/>
              </w:rPr>
              <w:t>/</w:t>
            </w:r>
          </w:p>
        </w:tc>
        <w:tc>
          <w:tcPr>
            <w:tcW w:w="1485" w:type="dxa"/>
            <w:shd w:val="clear" w:color="auto" w:fill="auto"/>
            <w:vAlign w:val="center"/>
          </w:tcPr>
          <w:p w14:paraId="695711FC">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360" w:lineRule="auto"/>
              <w:ind w:left="0" w:right="0"/>
              <w:jc w:val="center"/>
              <w:textAlignment w:val="auto"/>
              <w:rPr>
                <w:rFonts w:hint="default" w:ascii="Times New Roman" w:hAnsi="Times New Roman" w:eastAsia="宋体" w:cs="Times New Roman"/>
                <w:kern w:val="2"/>
                <w:sz w:val="21"/>
                <w:szCs w:val="21"/>
                <w:highlight w:val="none"/>
                <w:lang w:val="en-US" w:eastAsia="zh-CN" w:bidi="ar-SA"/>
              </w:rPr>
            </w:pPr>
            <w:r>
              <w:rPr>
                <w:rFonts w:hint="eastAsia" w:ascii="Times New Roman" w:hAnsi="Times New Roman" w:eastAsia="宋体" w:cs="Times New Roman"/>
                <w:sz w:val="21"/>
                <w:szCs w:val="21"/>
                <w:highlight w:val="none"/>
                <w:lang w:val="en-US" w:eastAsia="zh-CN"/>
              </w:rPr>
              <w:t xml:space="preserve">1.035 </w:t>
            </w:r>
          </w:p>
        </w:tc>
        <w:tc>
          <w:tcPr>
            <w:tcW w:w="1327" w:type="dxa"/>
            <w:vAlign w:val="center"/>
          </w:tcPr>
          <w:p w14:paraId="43DFB6D9">
            <w:pPr>
              <w:pStyle w:val="65"/>
              <w:keepNext w:val="0"/>
              <w:keepLines w:val="0"/>
              <w:suppressLineNumbers w:val="0"/>
              <w:spacing w:before="0" w:beforeLines="0" w:beforeAutospacing="0" w:after="0" w:afterLines="0" w:afterAutospacing="0" w:line="288" w:lineRule="auto"/>
              <w:ind w:left="0" w:right="0"/>
              <w:rPr>
                <w:rFonts w:hint="default" w:ascii="Times New Roman"/>
                <w:snapToGrid w:val="0"/>
                <w:sz w:val="21"/>
                <w:szCs w:val="21"/>
                <w:highlight w:val="none"/>
              </w:rPr>
            </w:pPr>
            <w:r>
              <w:rPr>
                <w:rFonts w:hint="default" w:ascii="Times New Roman"/>
                <w:snapToGrid w:val="0"/>
                <w:sz w:val="21"/>
                <w:szCs w:val="21"/>
                <w:highlight w:val="none"/>
              </w:rPr>
              <w:t>/</w:t>
            </w:r>
          </w:p>
        </w:tc>
        <w:tc>
          <w:tcPr>
            <w:tcW w:w="1785" w:type="dxa"/>
            <w:shd w:val="clear" w:color="auto" w:fill="auto"/>
            <w:vAlign w:val="center"/>
          </w:tcPr>
          <w:p w14:paraId="01FB3A22">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360" w:lineRule="auto"/>
              <w:ind w:left="0" w:right="0"/>
              <w:jc w:val="center"/>
              <w:textAlignment w:val="auto"/>
              <w:rPr>
                <w:rFonts w:hint="default" w:ascii="Times New Roman" w:hAnsi="Times New Roman" w:eastAsia="宋体" w:cs="Times New Roman"/>
                <w:kern w:val="2"/>
                <w:sz w:val="21"/>
                <w:szCs w:val="21"/>
                <w:highlight w:val="none"/>
                <w:lang w:val="en-US" w:eastAsia="zh-CN" w:bidi="ar-SA"/>
              </w:rPr>
            </w:pPr>
            <w:r>
              <w:rPr>
                <w:rFonts w:hint="eastAsia" w:ascii="Times New Roman" w:hAnsi="Times New Roman" w:eastAsia="宋体" w:cs="Times New Roman"/>
                <w:sz w:val="21"/>
                <w:szCs w:val="21"/>
                <w:highlight w:val="none"/>
                <w:lang w:val="en-US" w:eastAsia="zh-CN"/>
              </w:rPr>
              <w:t xml:space="preserve">1.035 </w:t>
            </w:r>
          </w:p>
        </w:tc>
        <w:tc>
          <w:tcPr>
            <w:tcW w:w="1352" w:type="dxa"/>
            <w:shd w:val="clear" w:color="auto" w:fill="auto"/>
            <w:vAlign w:val="center"/>
          </w:tcPr>
          <w:p w14:paraId="2CE8941E">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360" w:lineRule="auto"/>
              <w:ind w:left="0" w:right="0"/>
              <w:jc w:val="center"/>
              <w:textAlignment w:val="auto"/>
              <w:rPr>
                <w:rFonts w:hint="default" w:ascii="Times New Roman" w:hAnsi="Times New Roman" w:eastAsia="宋体" w:cs="Times New Roman"/>
                <w:kern w:val="2"/>
                <w:sz w:val="21"/>
                <w:szCs w:val="21"/>
                <w:highlight w:val="none"/>
                <w:lang w:val="en-US" w:eastAsia="zh-CN" w:bidi="ar-SA"/>
              </w:rPr>
            </w:pPr>
            <w:r>
              <w:rPr>
                <w:rFonts w:hint="eastAsia"/>
                <w:sz w:val="21"/>
                <w:szCs w:val="21"/>
                <w:highlight w:val="none"/>
                <w:lang w:val="en-US" w:eastAsia="zh-CN"/>
              </w:rPr>
              <w:t>+</w:t>
            </w:r>
            <w:r>
              <w:rPr>
                <w:rFonts w:hint="eastAsia" w:ascii="Times New Roman" w:hAnsi="Times New Roman" w:eastAsia="宋体" w:cs="Times New Roman"/>
                <w:sz w:val="21"/>
                <w:szCs w:val="21"/>
                <w:highlight w:val="none"/>
                <w:lang w:val="en-US" w:eastAsia="zh-CN"/>
              </w:rPr>
              <w:t xml:space="preserve">1.035 </w:t>
            </w:r>
          </w:p>
        </w:tc>
      </w:tr>
      <w:tr w14:paraId="2CA7DB8B">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117" w:hRule="atLeast"/>
        </w:trPr>
        <w:tc>
          <w:tcPr>
            <w:tcW w:w="1089" w:type="dxa"/>
            <w:vMerge w:val="continue"/>
            <w:vAlign w:val="center"/>
          </w:tcPr>
          <w:p w14:paraId="1743964B">
            <w:pPr>
              <w:pStyle w:val="65"/>
              <w:keepNext w:val="0"/>
              <w:keepLines w:val="0"/>
              <w:suppressLineNumbers w:val="0"/>
              <w:spacing w:before="0" w:beforeLines="0" w:beforeAutospacing="0" w:after="0" w:afterLines="0" w:afterAutospacing="0" w:line="288" w:lineRule="auto"/>
              <w:ind w:left="0" w:right="0"/>
              <w:rPr>
                <w:rFonts w:hint="default" w:ascii="Times New Roman"/>
                <w:snapToGrid w:val="0"/>
                <w:sz w:val="21"/>
                <w:szCs w:val="21"/>
                <w:highlight w:val="none"/>
              </w:rPr>
            </w:pPr>
          </w:p>
        </w:tc>
        <w:tc>
          <w:tcPr>
            <w:tcW w:w="2737" w:type="dxa"/>
            <w:vAlign w:val="center"/>
          </w:tcPr>
          <w:p w14:paraId="42AC2F30">
            <w:pPr>
              <w:keepNext w:val="0"/>
              <w:keepLines w:val="0"/>
              <w:widowControl/>
              <w:suppressLineNumbers w:val="0"/>
              <w:adjustRightInd w:val="0"/>
              <w:snapToGrid w:val="0"/>
              <w:spacing w:before="0" w:beforeAutospacing="0" w:after="0" w:afterAutospacing="0" w:line="288" w:lineRule="auto"/>
              <w:ind w:left="0" w:right="0"/>
              <w:jc w:val="center"/>
              <w:rPr>
                <w:rFonts w:hint="default"/>
                <w:snapToGrid w:val="0"/>
                <w:sz w:val="21"/>
                <w:szCs w:val="21"/>
                <w:highlight w:val="none"/>
              </w:rPr>
            </w:pPr>
            <w:r>
              <w:rPr>
                <w:rFonts w:hint="default"/>
                <w:snapToGrid w:val="0"/>
                <w:sz w:val="21"/>
                <w:szCs w:val="21"/>
                <w:highlight w:val="none"/>
              </w:rPr>
              <w:t>NH</w:t>
            </w:r>
            <w:r>
              <w:rPr>
                <w:rFonts w:hint="default"/>
                <w:snapToGrid w:val="0"/>
                <w:sz w:val="21"/>
                <w:szCs w:val="21"/>
                <w:highlight w:val="none"/>
                <w:vertAlign w:val="subscript"/>
              </w:rPr>
              <w:t>3</w:t>
            </w:r>
            <w:r>
              <w:rPr>
                <w:rFonts w:hint="default"/>
                <w:snapToGrid w:val="0"/>
                <w:sz w:val="21"/>
                <w:szCs w:val="21"/>
                <w:highlight w:val="none"/>
              </w:rPr>
              <w:t>-N（t/a）</w:t>
            </w:r>
          </w:p>
        </w:tc>
        <w:tc>
          <w:tcPr>
            <w:tcW w:w="1553" w:type="dxa"/>
            <w:vAlign w:val="center"/>
          </w:tcPr>
          <w:p w14:paraId="44196A80">
            <w:pPr>
              <w:keepNext w:val="0"/>
              <w:keepLines w:val="0"/>
              <w:suppressLineNumbers w:val="0"/>
              <w:spacing w:before="0" w:beforeAutospacing="0" w:after="0" w:afterAutospacing="0" w:line="288" w:lineRule="auto"/>
              <w:ind w:left="0" w:right="0"/>
              <w:jc w:val="center"/>
              <w:rPr>
                <w:rFonts w:hint="default"/>
                <w:snapToGrid w:val="0"/>
                <w:sz w:val="21"/>
                <w:szCs w:val="21"/>
                <w:highlight w:val="none"/>
              </w:rPr>
            </w:pPr>
            <w:r>
              <w:rPr>
                <w:rFonts w:hint="default"/>
                <w:snapToGrid w:val="0"/>
                <w:sz w:val="21"/>
                <w:szCs w:val="21"/>
                <w:highlight w:val="none"/>
              </w:rPr>
              <w:t>/</w:t>
            </w:r>
          </w:p>
        </w:tc>
        <w:tc>
          <w:tcPr>
            <w:tcW w:w="1027" w:type="dxa"/>
            <w:vAlign w:val="center"/>
          </w:tcPr>
          <w:p w14:paraId="5615ABFF">
            <w:pPr>
              <w:keepNext w:val="0"/>
              <w:keepLines w:val="0"/>
              <w:suppressLineNumbers w:val="0"/>
              <w:spacing w:before="0" w:beforeAutospacing="0" w:after="0" w:afterAutospacing="0" w:line="288" w:lineRule="auto"/>
              <w:ind w:left="0" w:right="0"/>
              <w:jc w:val="center"/>
              <w:rPr>
                <w:rFonts w:hint="default"/>
                <w:snapToGrid w:val="0"/>
                <w:sz w:val="21"/>
                <w:szCs w:val="21"/>
                <w:highlight w:val="none"/>
              </w:rPr>
            </w:pPr>
            <w:r>
              <w:rPr>
                <w:rFonts w:hint="default"/>
                <w:snapToGrid w:val="0"/>
                <w:sz w:val="21"/>
                <w:szCs w:val="21"/>
                <w:highlight w:val="none"/>
              </w:rPr>
              <w:t>/</w:t>
            </w:r>
          </w:p>
        </w:tc>
        <w:tc>
          <w:tcPr>
            <w:tcW w:w="1433" w:type="dxa"/>
            <w:shd w:val="clear" w:color="auto" w:fill="auto"/>
            <w:vAlign w:val="center"/>
          </w:tcPr>
          <w:p w14:paraId="7CC02FCC">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360" w:lineRule="auto"/>
              <w:ind w:left="0" w:right="0"/>
              <w:jc w:val="center"/>
              <w:textAlignment w:val="auto"/>
              <w:rPr>
                <w:rFonts w:hint="eastAsia" w:ascii="Times New Roman" w:hAnsi="Times New Roman" w:eastAsia="宋体" w:cs="Times New Roman"/>
                <w:kern w:val="2"/>
                <w:sz w:val="21"/>
                <w:szCs w:val="21"/>
                <w:highlight w:val="none"/>
                <w:lang w:val="en-US" w:eastAsia="zh-CN" w:bidi="ar-SA"/>
              </w:rPr>
            </w:pPr>
            <w:r>
              <w:rPr>
                <w:rFonts w:hint="default"/>
                <w:snapToGrid w:val="0"/>
                <w:sz w:val="21"/>
                <w:szCs w:val="21"/>
                <w:highlight w:val="none"/>
              </w:rPr>
              <w:t>/</w:t>
            </w:r>
          </w:p>
        </w:tc>
        <w:tc>
          <w:tcPr>
            <w:tcW w:w="1485" w:type="dxa"/>
            <w:shd w:val="clear" w:color="auto" w:fill="auto"/>
            <w:vAlign w:val="center"/>
          </w:tcPr>
          <w:p w14:paraId="0721AAFC">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360" w:lineRule="auto"/>
              <w:ind w:left="0" w:right="0"/>
              <w:jc w:val="center"/>
              <w:textAlignment w:val="auto"/>
              <w:rPr>
                <w:rFonts w:hint="eastAsia" w:ascii="Times New Roman" w:hAnsi="Times New Roman" w:eastAsia="宋体" w:cs="Times New Roman"/>
                <w:kern w:val="2"/>
                <w:sz w:val="21"/>
                <w:szCs w:val="21"/>
                <w:highlight w:val="none"/>
                <w:lang w:val="en-US" w:eastAsia="zh-CN" w:bidi="ar-SA"/>
              </w:rPr>
            </w:pPr>
            <w:r>
              <w:rPr>
                <w:rFonts w:hint="eastAsia" w:ascii="Times New Roman" w:hAnsi="Times New Roman" w:eastAsia="宋体" w:cs="Times New Roman"/>
                <w:sz w:val="21"/>
                <w:szCs w:val="21"/>
                <w:highlight w:val="none"/>
                <w:lang w:val="en-US" w:eastAsia="zh-CN"/>
              </w:rPr>
              <w:t xml:space="preserve">0.052 </w:t>
            </w:r>
          </w:p>
        </w:tc>
        <w:tc>
          <w:tcPr>
            <w:tcW w:w="1327" w:type="dxa"/>
            <w:vAlign w:val="center"/>
          </w:tcPr>
          <w:p w14:paraId="41E65E7E">
            <w:pPr>
              <w:pStyle w:val="65"/>
              <w:keepNext w:val="0"/>
              <w:keepLines w:val="0"/>
              <w:suppressLineNumbers w:val="0"/>
              <w:spacing w:before="0" w:beforeLines="0" w:beforeAutospacing="0" w:after="0" w:afterLines="0" w:afterAutospacing="0" w:line="288" w:lineRule="auto"/>
              <w:ind w:left="0" w:right="0"/>
              <w:rPr>
                <w:rFonts w:hint="default" w:ascii="Times New Roman"/>
                <w:snapToGrid w:val="0"/>
                <w:sz w:val="21"/>
                <w:szCs w:val="21"/>
                <w:highlight w:val="none"/>
              </w:rPr>
            </w:pPr>
            <w:r>
              <w:rPr>
                <w:rFonts w:hint="default" w:ascii="Times New Roman"/>
                <w:snapToGrid w:val="0"/>
                <w:sz w:val="21"/>
                <w:szCs w:val="21"/>
                <w:highlight w:val="none"/>
              </w:rPr>
              <w:t>/</w:t>
            </w:r>
          </w:p>
        </w:tc>
        <w:tc>
          <w:tcPr>
            <w:tcW w:w="1785" w:type="dxa"/>
            <w:shd w:val="clear" w:color="auto" w:fill="auto"/>
            <w:vAlign w:val="center"/>
          </w:tcPr>
          <w:p w14:paraId="07F5CD43">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360" w:lineRule="auto"/>
              <w:ind w:left="0" w:right="0"/>
              <w:jc w:val="center"/>
              <w:textAlignment w:val="auto"/>
              <w:rPr>
                <w:rFonts w:hint="eastAsia" w:ascii="Times New Roman" w:hAnsi="Times New Roman" w:eastAsia="宋体" w:cs="Times New Roman"/>
                <w:kern w:val="2"/>
                <w:sz w:val="21"/>
                <w:szCs w:val="21"/>
                <w:highlight w:val="none"/>
                <w:lang w:val="en-US" w:eastAsia="zh-CN" w:bidi="ar-SA"/>
              </w:rPr>
            </w:pPr>
            <w:r>
              <w:rPr>
                <w:rFonts w:hint="eastAsia" w:ascii="Times New Roman" w:hAnsi="Times New Roman" w:eastAsia="宋体" w:cs="Times New Roman"/>
                <w:sz w:val="21"/>
                <w:szCs w:val="21"/>
                <w:highlight w:val="none"/>
                <w:lang w:val="en-US" w:eastAsia="zh-CN"/>
              </w:rPr>
              <w:t xml:space="preserve">0.052 </w:t>
            </w:r>
          </w:p>
        </w:tc>
        <w:tc>
          <w:tcPr>
            <w:tcW w:w="1352" w:type="dxa"/>
            <w:shd w:val="clear" w:color="auto" w:fill="auto"/>
            <w:vAlign w:val="center"/>
          </w:tcPr>
          <w:p w14:paraId="0055510F">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360" w:lineRule="auto"/>
              <w:ind w:left="0" w:right="0"/>
              <w:jc w:val="center"/>
              <w:textAlignment w:val="auto"/>
              <w:rPr>
                <w:rFonts w:hint="eastAsia" w:ascii="Times New Roman" w:hAnsi="Times New Roman" w:eastAsia="宋体" w:cs="Times New Roman"/>
                <w:kern w:val="2"/>
                <w:sz w:val="21"/>
                <w:szCs w:val="21"/>
                <w:highlight w:val="none"/>
                <w:lang w:val="en-US" w:eastAsia="zh-CN" w:bidi="ar-SA"/>
              </w:rPr>
            </w:pPr>
            <w:r>
              <w:rPr>
                <w:rFonts w:hint="eastAsia"/>
                <w:sz w:val="21"/>
                <w:szCs w:val="21"/>
                <w:highlight w:val="none"/>
                <w:lang w:val="en-US" w:eastAsia="zh-CN"/>
              </w:rPr>
              <w:t>+</w:t>
            </w:r>
            <w:r>
              <w:rPr>
                <w:rFonts w:hint="eastAsia" w:ascii="Times New Roman" w:hAnsi="Times New Roman" w:eastAsia="宋体" w:cs="Times New Roman"/>
                <w:sz w:val="21"/>
                <w:szCs w:val="21"/>
                <w:highlight w:val="none"/>
                <w:lang w:val="en-US" w:eastAsia="zh-CN"/>
              </w:rPr>
              <w:t xml:space="preserve">0.052 </w:t>
            </w:r>
          </w:p>
        </w:tc>
      </w:tr>
      <w:tr w14:paraId="727D55BF">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205" w:hRule="atLeast"/>
        </w:trPr>
        <w:tc>
          <w:tcPr>
            <w:tcW w:w="1089" w:type="dxa"/>
            <w:vAlign w:val="center"/>
          </w:tcPr>
          <w:p w14:paraId="425EE50A">
            <w:pPr>
              <w:pStyle w:val="65"/>
              <w:keepNext w:val="0"/>
              <w:keepLines w:val="0"/>
              <w:suppressLineNumbers w:val="0"/>
              <w:spacing w:before="0" w:beforeLines="0" w:beforeAutospacing="0" w:after="0" w:afterLines="0" w:afterAutospacing="0" w:line="288" w:lineRule="auto"/>
              <w:ind w:left="0" w:right="0"/>
              <w:rPr>
                <w:rFonts w:hint="default" w:ascii="Times New Roman"/>
                <w:snapToGrid w:val="0"/>
                <w:sz w:val="21"/>
                <w:szCs w:val="21"/>
                <w:highlight w:val="none"/>
              </w:rPr>
            </w:pPr>
            <w:r>
              <w:rPr>
                <w:rFonts w:hint="eastAsia" w:ascii="Times New Roman"/>
                <w:snapToGrid w:val="0"/>
                <w:sz w:val="21"/>
                <w:szCs w:val="21"/>
                <w:highlight w:val="none"/>
              </w:rPr>
              <w:t>废气</w:t>
            </w:r>
          </w:p>
        </w:tc>
        <w:tc>
          <w:tcPr>
            <w:tcW w:w="2737" w:type="dxa"/>
            <w:vAlign w:val="center"/>
          </w:tcPr>
          <w:p w14:paraId="2A209CB8">
            <w:pPr>
              <w:keepNext w:val="0"/>
              <w:keepLines w:val="0"/>
              <w:widowControl/>
              <w:suppressLineNumbers w:val="0"/>
              <w:adjustRightInd w:val="0"/>
              <w:snapToGrid w:val="0"/>
              <w:spacing w:before="0" w:beforeAutospacing="0" w:after="0" w:afterAutospacing="0" w:line="288" w:lineRule="auto"/>
              <w:ind w:left="0" w:right="0"/>
              <w:jc w:val="center"/>
              <w:rPr>
                <w:rFonts w:hint="default"/>
                <w:snapToGrid w:val="0"/>
                <w:sz w:val="21"/>
                <w:szCs w:val="21"/>
                <w:highlight w:val="none"/>
              </w:rPr>
            </w:pPr>
            <w:r>
              <w:rPr>
                <w:rFonts w:hint="default"/>
                <w:snapToGrid w:val="0"/>
                <w:sz w:val="21"/>
                <w:szCs w:val="21"/>
                <w:highlight w:val="none"/>
              </w:rPr>
              <w:t>VOCs（t/a）</w:t>
            </w:r>
          </w:p>
        </w:tc>
        <w:tc>
          <w:tcPr>
            <w:tcW w:w="1553" w:type="dxa"/>
            <w:vAlign w:val="center"/>
          </w:tcPr>
          <w:p w14:paraId="6EB834F1">
            <w:pPr>
              <w:keepNext w:val="0"/>
              <w:keepLines w:val="0"/>
              <w:suppressLineNumbers w:val="0"/>
              <w:spacing w:before="0" w:beforeAutospacing="0" w:after="0" w:afterAutospacing="0" w:line="288" w:lineRule="auto"/>
              <w:ind w:left="0" w:right="0"/>
              <w:jc w:val="center"/>
              <w:rPr>
                <w:rFonts w:hint="default"/>
                <w:snapToGrid w:val="0"/>
                <w:kern w:val="0"/>
                <w:sz w:val="21"/>
                <w:szCs w:val="21"/>
                <w:highlight w:val="none"/>
              </w:rPr>
            </w:pPr>
            <w:r>
              <w:rPr>
                <w:rFonts w:hint="default"/>
                <w:snapToGrid w:val="0"/>
                <w:sz w:val="21"/>
                <w:szCs w:val="21"/>
                <w:highlight w:val="none"/>
              </w:rPr>
              <w:t>/</w:t>
            </w:r>
          </w:p>
        </w:tc>
        <w:tc>
          <w:tcPr>
            <w:tcW w:w="1027" w:type="dxa"/>
            <w:vAlign w:val="center"/>
          </w:tcPr>
          <w:p w14:paraId="05EA6F56">
            <w:pPr>
              <w:keepNext w:val="0"/>
              <w:keepLines w:val="0"/>
              <w:suppressLineNumbers w:val="0"/>
              <w:spacing w:before="0" w:beforeAutospacing="0" w:after="0" w:afterAutospacing="0" w:line="288" w:lineRule="auto"/>
              <w:ind w:left="0" w:right="0"/>
              <w:jc w:val="center"/>
              <w:rPr>
                <w:rFonts w:hint="default"/>
                <w:snapToGrid w:val="0"/>
                <w:sz w:val="21"/>
                <w:szCs w:val="21"/>
                <w:highlight w:val="none"/>
              </w:rPr>
            </w:pPr>
            <w:r>
              <w:rPr>
                <w:rFonts w:hint="default"/>
                <w:snapToGrid w:val="0"/>
                <w:sz w:val="21"/>
                <w:szCs w:val="21"/>
                <w:highlight w:val="none"/>
              </w:rPr>
              <w:t>/</w:t>
            </w:r>
          </w:p>
        </w:tc>
        <w:tc>
          <w:tcPr>
            <w:tcW w:w="1433" w:type="dxa"/>
            <w:vAlign w:val="center"/>
          </w:tcPr>
          <w:p w14:paraId="0FCEE19E">
            <w:pPr>
              <w:keepNext w:val="0"/>
              <w:keepLines w:val="0"/>
              <w:suppressLineNumbers w:val="0"/>
              <w:spacing w:before="0" w:beforeAutospacing="0" w:after="0" w:afterAutospacing="0" w:line="288" w:lineRule="auto"/>
              <w:ind w:left="0" w:right="0"/>
              <w:jc w:val="center"/>
              <w:rPr>
                <w:rFonts w:hint="default"/>
                <w:snapToGrid w:val="0"/>
                <w:sz w:val="21"/>
                <w:szCs w:val="21"/>
                <w:highlight w:val="none"/>
              </w:rPr>
            </w:pPr>
            <w:r>
              <w:rPr>
                <w:rFonts w:hint="default"/>
                <w:snapToGrid w:val="0"/>
                <w:sz w:val="21"/>
                <w:szCs w:val="21"/>
                <w:highlight w:val="none"/>
              </w:rPr>
              <w:t>/</w:t>
            </w:r>
          </w:p>
        </w:tc>
        <w:tc>
          <w:tcPr>
            <w:tcW w:w="1485" w:type="dxa"/>
            <w:vAlign w:val="center"/>
          </w:tcPr>
          <w:p w14:paraId="30F23AC8">
            <w:pPr>
              <w:keepNext w:val="0"/>
              <w:keepLines w:val="0"/>
              <w:suppressLineNumbers w:val="0"/>
              <w:spacing w:before="0" w:beforeAutospacing="0" w:after="0" w:afterAutospacing="0" w:line="288" w:lineRule="auto"/>
              <w:ind w:left="0" w:right="0"/>
              <w:jc w:val="center"/>
              <w:rPr>
                <w:rFonts w:hint="default" w:eastAsia="宋体"/>
                <w:snapToGrid w:val="0"/>
                <w:sz w:val="21"/>
                <w:szCs w:val="21"/>
                <w:highlight w:val="none"/>
                <w:lang w:val="en-US" w:eastAsia="zh-CN"/>
              </w:rPr>
            </w:pPr>
            <w:r>
              <w:rPr>
                <w:rFonts w:hint="eastAsia" w:ascii="Times New Roman" w:hAnsi="Times New Roman" w:eastAsia="宋体" w:cs="Times New Roman"/>
                <w:b w:val="0"/>
                <w:bCs w:val="0"/>
                <w:color w:val="auto"/>
                <w:sz w:val="21"/>
                <w:szCs w:val="21"/>
                <w:highlight w:val="none"/>
                <w:lang w:val="en-US" w:eastAsia="zh-CN"/>
              </w:rPr>
              <w:t>1.</w:t>
            </w:r>
            <w:r>
              <w:rPr>
                <w:rFonts w:hint="eastAsia" w:ascii="Times New Roman" w:hAnsi="Times New Roman" w:cs="Times New Roman"/>
                <w:b w:val="0"/>
                <w:bCs w:val="0"/>
                <w:color w:val="auto"/>
                <w:sz w:val="21"/>
                <w:szCs w:val="21"/>
                <w:highlight w:val="none"/>
                <w:lang w:val="en-US" w:eastAsia="zh-CN"/>
              </w:rPr>
              <w:t>272</w:t>
            </w:r>
          </w:p>
        </w:tc>
        <w:tc>
          <w:tcPr>
            <w:tcW w:w="1327" w:type="dxa"/>
            <w:vAlign w:val="center"/>
          </w:tcPr>
          <w:p w14:paraId="6D63C23D">
            <w:pPr>
              <w:pStyle w:val="65"/>
              <w:keepNext w:val="0"/>
              <w:keepLines w:val="0"/>
              <w:suppressLineNumbers w:val="0"/>
              <w:spacing w:before="0" w:beforeLines="0" w:beforeAutospacing="0" w:after="0" w:afterLines="0" w:afterAutospacing="0" w:line="288" w:lineRule="auto"/>
              <w:ind w:left="0" w:right="0"/>
              <w:rPr>
                <w:rFonts w:hint="default" w:ascii="Times New Roman"/>
                <w:snapToGrid w:val="0"/>
                <w:sz w:val="21"/>
                <w:szCs w:val="21"/>
                <w:highlight w:val="none"/>
              </w:rPr>
            </w:pPr>
            <w:r>
              <w:rPr>
                <w:rFonts w:hint="default" w:ascii="Times New Roman"/>
                <w:snapToGrid w:val="0"/>
                <w:sz w:val="21"/>
                <w:szCs w:val="21"/>
                <w:highlight w:val="none"/>
              </w:rPr>
              <w:t>/</w:t>
            </w:r>
          </w:p>
        </w:tc>
        <w:tc>
          <w:tcPr>
            <w:tcW w:w="1785" w:type="dxa"/>
            <w:vAlign w:val="center"/>
          </w:tcPr>
          <w:p w14:paraId="35DA3BB2">
            <w:pPr>
              <w:keepNext w:val="0"/>
              <w:keepLines w:val="0"/>
              <w:suppressLineNumbers w:val="0"/>
              <w:spacing w:before="0" w:beforeAutospacing="0" w:after="0" w:afterAutospacing="0" w:line="288" w:lineRule="auto"/>
              <w:ind w:left="0" w:right="0"/>
              <w:jc w:val="center"/>
              <w:rPr>
                <w:rFonts w:hint="default"/>
                <w:snapToGrid w:val="0"/>
                <w:sz w:val="21"/>
                <w:szCs w:val="21"/>
                <w:highlight w:val="none"/>
              </w:rPr>
            </w:pPr>
            <w:r>
              <w:rPr>
                <w:rFonts w:hint="eastAsia" w:ascii="Times New Roman" w:hAnsi="Times New Roman" w:eastAsia="宋体" w:cs="Times New Roman"/>
                <w:b w:val="0"/>
                <w:bCs w:val="0"/>
                <w:color w:val="auto"/>
                <w:sz w:val="21"/>
                <w:szCs w:val="21"/>
                <w:highlight w:val="none"/>
                <w:lang w:val="en-US" w:eastAsia="zh-CN"/>
              </w:rPr>
              <w:t>1.</w:t>
            </w:r>
            <w:r>
              <w:rPr>
                <w:rFonts w:hint="eastAsia" w:ascii="Times New Roman" w:hAnsi="Times New Roman" w:cs="Times New Roman"/>
                <w:b w:val="0"/>
                <w:bCs w:val="0"/>
                <w:color w:val="auto"/>
                <w:sz w:val="21"/>
                <w:szCs w:val="21"/>
                <w:highlight w:val="none"/>
                <w:lang w:val="en-US" w:eastAsia="zh-CN"/>
              </w:rPr>
              <w:t>272</w:t>
            </w:r>
          </w:p>
        </w:tc>
        <w:tc>
          <w:tcPr>
            <w:tcW w:w="1352" w:type="dxa"/>
            <w:vAlign w:val="center"/>
          </w:tcPr>
          <w:p w14:paraId="2432ECF7">
            <w:pPr>
              <w:keepNext w:val="0"/>
              <w:keepLines w:val="0"/>
              <w:suppressLineNumbers w:val="0"/>
              <w:spacing w:before="0" w:beforeAutospacing="0" w:after="0" w:afterAutospacing="0" w:line="288" w:lineRule="auto"/>
              <w:ind w:left="0" w:right="0"/>
              <w:jc w:val="center"/>
              <w:rPr>
                <w:rFonts w:hint="default"/>
                <w:snapToGrid w:val="0"/>
                <w:sz w:val="21"/>
                <w:szCs w:val="21"/>
                <w:highlight w:val="none"/>
              </w:rPr>
            </w:pPr>
            <w:r>
              <w:rPr>
                <w:rFonts w:hint="default"/>
                <w:snapToGrid w:val="0"/>
                <w:sz w:val="21"/>
                <w:szCs w:val="21"/>
                <w:highlight w:val="none"/>
              </w:rPr>
              <w:t>+</w:t>
            </w:r>
            <w:r>
              <w:rPr>
                <w:rFonts w:hint="eastAsia" w:ascii="Times New Roman" w:hAnsi="Times New Roman" w:eastAsia="宋体" w:cs="Times New Roman"/>
                <w:b w:val="0"/>
                <w:bCs w:val="0"/>
                <w:color w:val="auto"/>
                <w:sz w:val="21"/>
                <w:szCs w:val="21"/>
                <w:highlight w:val="none"/>
                <w:lang w:val="en-US" w:eastAsia="zh-CN"/>
              </w:rPr>
              <w:t>1.</w:t>
            </w:r>
            <w:r>
              <w:rPr>
                <w:rFonts w:hint="eastAsia" w:ascii="Times New Roman" w:hAnsi="Times New Roman" w:cs="Times New Roman"/>
                <w:b w:val="0"/>
                <w:bCs w:val="0"/>
                <w:color w:val="auto"/>
                <w:sz w:val="21"/>
                <w:szCs w:val="21"/>
                <w:highlight w:val="none"/>
                <w:lang w:val="en-US" w:eastAsia="zh-CN"/>
              </w:rPr>
              <w:t>272</w:t>
            </w:r>
          </w:p>
        </w:tc>
      </w:tr>
      <w:tr w14:paraId="79EF4F94">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187" w:hRule="atLeast"/>
        </w:trPr>
        <w:tc>
          <w:tcPr>
            <w:tcW w:w="1089" w:type="dxa"/>
            <w:vMerge w:val="restart"/>
            <w:vAlign w:val="center"/>
          </w:tcPr>
          <w:p w14:paraId="5E5485E5">
            <w:pPr>
              <w:pStyle w:val="65"/>
              <w:keepNext w:val="0"/>
              <w:keepLines w:val="0"/>
              <w:suppressLineNumbers w:val="0"/>
              <w:spacing w:before="0" w:beforeLines="0" w:beforeAutospacing="0" w:after="0" w:afterLines="0" w:afterAutospacing="0" w:line="288" w:lineRule="auto"/>
              <w:ind w:left="0" w:right="0"/>
              <w:rPr>
                <w:rFonts w:hint="default" w:ascii="Times New Roman"/>
                <w:snapToGrid w:val="0"/>
                <w:sz w:val="21"/>
                <w:szCs w:val="21"/>
                <w:highlight w:val="none"/>
              </w:rPr>
            </w:pPr>
            <w:r>
              <w:rPr>
                <w:rFonts w:hint="eastAsia" w:ascii="Times New Roman" w:hAnsi="宋体"/>
                <w:snapToGrid w:val="0"/>
                <w:sz w:val="21"/>
                <w:szCs w:val="21"/>
                <w:highlight w:val="none"/>
              </w:rPr>
              <w:t>一般工业</w:t>
            </w:r>
          </w:p>
          <w:p w14:paraId="5B909502">
            <w:pPr>
              <w:pStyle w:val="65"/>
              <w:keepNext w:val="0"/>
              <w:keepLines w:val="0"/>
              <w:suppressLineNumbers w:val="0"/>
              <w:spacing w:before="0" w:beforeLines="0" w:beforeAutospacing="0" w:after="0" w:afterLines="0" w:afterAutospacing="0" w:line="288" w:lineRule="auto"/>
              <w:ind w:left="0" w:right="0"/>
              <w:rPr>
                <w:rFonts w:hint="default" w:ascii="Times New Roman"/>
                <w:snapToGrid w:val="0"/>
                <w:sz w:val="21"/>
                <w:szCs w:val="21"/>
                <w:highlight w:val="none"/>
              </w:rPr>
            </w:pPr>
            <w:r>
              <w:rPr>
                <w:rFonts w:hint="eastAsia" w:ascii="Times New Roman" w:hAnsi="宋体"/>
                <w:snapToGrid w:val="0"/>
                <w:sz w:val="21"/>
                <w:szCs w:val="21"/>
                <w:highlight w:val="none"/>
              </w:rPr>
              <w:t>固体废物</w:t>
            </w:r>
          </w:p>
        </w:tc>
        <w:tc>
          <w:tcPr>
            <w:tcW w:w="2737" w:type="dxa"/>
            <w:shd w:val="clear" w:color="auto" w:fill="auto"/>
            <w:vAlign w:val="center"/>
          </w:tcPr>
          <w:p w14:paraId="090891BE">
            <w:pPr>
              <w:keepNext w:val="0"/>
              <w:keepLines w:val="0"/>
              <w:suppressLineNumbers w:val="0"/>
              <w:adjustRightInd w:val="0"/>
              <w:snapToGrid w:val="0"/>
              <w:spacing w:before="0" w:beforeAutospacing="0" w:after="0" w:afterAutospacing="0" w:line="276" w:lineRule="auto"/>
              <w:ind w:left="0" w:right="0"/>
              <w:jc w:val="center"/>
              <w:rPr>
                <w:rFonts w:hint="default" w:ascii="Times New Roman" w:hAnsi="Times New Roman" w:eastAsia="宋体" w:cs="Times New Roman"/>
                <w:kern w:val="2"/>
                <w:sz w:val="21"/>
                <w:szCs w:val="21"/>
                <w:highlight w:val="none"/>
                <w:lang w:val="en-US" w:eastAsia="zh-CN" w:bidi="ar-SA"/>
              </w:rPr>
            </w:pPr>
            <w:r>
              <w:rPr>
                <w:rFonts w:hint="eastAsia"/>
                <w:color w:val="auto"/>
                <w:sz w:val="21"/>
                <w:szCs w:val="21"/>
                <w:highlight w:val="none"/>
                <w:lang w:val="en-US" w:eastAsia="zh-CN"/>
              </w:rPr>
              <w:t>一般</w:t>
            </w:r>
            <w:r>
              <w:rPr>
                <w:rFonts w:hint="default"/>
                <w:color w:val="auto"/>
                <w:sz w:val="21"/>
                <w:szCs w:val="21"/>
                <w:highlight w:val="none"/>
              </w:rPr>
              <w:t>废垫料</w:t>
            </w:r>
            <w:r>
              <w:rPr>
                <w:rFonts w:hint="default"/>
                <w:snapToGrid w:val="0"/>
                <w:sz w:val="21"/>
                <w:szCs w:val="21"/>
                <w:highlight w:val="none"/>
              </w:rPr>
              <w:t>（t/a）</w:t>
            </w:r>
          </w:p>
        </w:tc>
        <w:tc>
          <w:tcPr>
            <w:tcW w:w="1553" w:type="dxa"/>
            <w:vAlign w:val="center"/>
          </w:tcPr>
          <w:p w14:paraId="6C0EFB53">
            <w:pPr>
              <w:pStyle w:val="65"/>
              <w:keepNext w:val="0"/>
              <w:keepLines w:val="0"/>
              <w:suppressLineNumbers w:val="0"/>
              <w:spacing w:before="0" w:beforeLines="0" w:beforeAutospacing="0" w:after="0" w:afterLines="0" w:afterAutospacing="0" w:line="288" w:lineRule="auto"/>
              <w:ind w:left="0" w:right="0"/>
              <w:rPr>
                <w:rFonts w:hint="default" w:ascii="Times New Roman"/>
                <w:snapToGrid w:val="0"/>
                <w:sz w:val="21"/>
                <w:szCs w:val="21"/>
                <w:highlight w:val="none"/>
              </w:rPr>
            </w:pPr>
            <w:r>
              <w:rPr>
                <w:rFonts w:hint="default" w:ascii="Times New Roman"/>
                <w:snapToGrid w:val="0"/>
                <w:sz w:val="21"/>
                <w:szCs w:val="21"/>
                <w:highlight w:val="none"/>
              </w:rPr>
              <w:t>/</w:t>
            </w:r>
          </w:p>
        </w:tc>
        <w:tc>
          <w:tcPr>
            <w:tcW w:w="1027" w:type="dxa"/>
            <w:vAlign w:val="center"/>
          </w:tcPr>
          <w:p w14:paraId="0A8D609F">
            <w:pPr>
              <w:keepNext w:val="0"/>
              <w:keepLines w:val="0"/>
              <w:suppressLineNumbers w:val="0"/>
              <w:spacing w:before="0" w:beforeAutospacing="0" w:after="0" w:afterAutospacing="0" w:line="288" w:lineRule="auto"/>
              <w:ind w:left="0" w:right="0"/>
              <w:jc w:val="center"/>
              <w:rPr>
                <w:rFonts w:hint="default"/>
                <w:snapToGrid w:val="0"/>
                <w:sz w:val="21"/>
                <w:szCs w:val="21"/>
                <w:highlight w:val="none"/>
              </w:rPr>
            </w:pPr>
            <w:r>
              <w:rPr>
                <w:rFonts w:hint="default"/>
                <w:snapToGrid w:val="0"/>
                <w:sz w:val="21"/>
                <w:szCs w:val="21"/>
                <w:highlight w:val="none"/>
              </w:rPr>
              <w:t>/</w:t>
            </w:r>
          </w:p>
        </w:tc>
        <w:tc>
          <w:tcPr>
            <w:tcW w:w="1433" w:type="dxa"/>
            <w:vAlign w:val="center"/>
          </w:tcPr>
          <w:p w14:paraId="0AABE2AD">
            <w:pPr>
              <w:pStyle w:val="65"/>
              <w:keepNext w:val="0"/>
              <w:keepLines w:val="0"/>
              <w:suppressLineNumbers w:val="0"/>
              <w:spacing w:before="0" w:beforeLines="0" w:beforeAutospacing="0" w:after="0" w:afterLines="0" w:afterAutospacing="0" w:line="288" w:lineRule="auto"/>
              <w:ind w:left="0" w:right="0"/>
              <w:rPr>
                <w:rFonts w:hint="default" w:ascii="Times New Roman"/>
                <w:snapToGrid w:val="0"/>
                <w:sz w:val="21"/>
                <w:szCs w:val="21"/>
                <w:highlight w:val="none"/>
              </w:rPr>
            </w:pPr>
            <w:r>
              <w:rPr>
                <w:rFonts w:hint="default" w:ascii="Times New Roman"/>
                <w:snapToGrid w:val="0"/>
                <w:sz w:val="21"/>
                <w:szCs w:val="21"/>
                <w:highlight w:val="none"/>
              </w:rPr>
              <w:t>/</w:t>
            </w:r>
          </w:p>
        </w:tc>
        <w:tc>
          <w:tcPr>
            <w:tcW w:w="1485" w:type="dxa"/>
            <w:vAlign w:val="center"/>
          </w:tcPr>
          <w:p w14:paraId="01975C02">
            <w:pPr>
              <w:pStyle w:val="65"/>
              <w:keepNext w:val="0"/>
              <w:keepLines w:val="0"/>
              <w:suppressLineNumbers w:val="0"/>
              <w:spacing w:before="0" w:beforeLines="0" w:beforeAutospacing="0" w:after="0" w:afterLines="0" w:afterAutospacing="0" w:line="288" w:lineRule="auto"/>
              <w:ind w:left="0" w:right="0"/>
              <w:rPr>
                <w:rFonts w:hint="default" w:ascii="Times New Roman"/>
                <w:snapToGrid w:val="0"/>
                <w:sz w:val="21"/>
                <w:szCs w:val="21"/>
                <w:highlight w:val="none"/>
              </w:rPr>
            </w:pPr>
            <w:r>
              <w:rPr>
                <w:rFonts w:hint="default" w:ascii="Times New Roman"/>
                <w:snapToGrid w:val="0"/>
                <w:sz w:val="21"/>
                <w:szCs w:val="21"/>
                <w:highlight w:val="none"/>
              </w:rPr>
              <w:t>0</w:t>
            </w:r>
            <w:r>
              <w:rPr>
                <w:rFonts w:hint="eastAsia" w:ascii="Times New Roman"/>
                <w:snapToGrid w:val="0"/>
                <w:sz w:val="21"/>
                <w:szCs w:val="21"/>
                <w:highlight w:val="none"/>
              </w:rPr>
              <w:t>（</w:t>
            </w:r>
            <w:r>
              <w:rPr>
                <w:rFonts w:hint="eastAsia" w:ascii="Times New Roman"/>
                <w:snapToGrid w:val="0"/>
                <w:sz w:val="21"/>
                <w:szCs w:val="21"/>
                <w:highlight w:val="none"/>
                <w:lang w:val="en-US" w:eastAsia="zh-CN"/>
              </w:rPr>
              <w:t>93.24</w:t>
            </w:r>
            <w:r>
              <w:rPr>
                <w:rFonts w:hint="eastAsia" w:ascii="Times New Roman"/>
                <w:snapToGrid w:val="0"/>
                <w:sz w:val="21"/>
                <w:szCs w:val="21"/>
                <w:highlight w:val="none"/>
              </w:rPr>
              <w:t>）</w:t>
            </w:r>
          </w:p>
        </w:tc>
        <w:tc>
          <w:tcPr>
            <w:tcW w:w="1327" w:type="dxa"/>
            <w:vAlign w:val="center"/>
          </w:tcPr>
          <w:p w14:paraId="48EA5BE2">
            <w:pPr>
              <w:pStyle w:val="65"/>
              <w:keepNext w:val="0"/>
              <w:keepLines w:val="0"/>
              <w:suppressLineNumbers w:val="0"/>
              <w:spacing w:before="0" w:beforeLines="0" w:beforeAutospacing="0" w:after="0" w:afterLines="0" w:afterAutospacing="0" w:line="288" w:lineRule="auto"/>
              <w:ind w:left="0" w:right="0"/>
              <w:rPr>
                <w:rFonts w:hint="default" w:ascii="Times New Roman"/>
                <w:snapToGrid w:val="0"/>
                <w:sz w:val="21"/>
                <w:szCs w:val="21"/>
                <w:highlight w:val="none"/>
              </w:rPr>
            </w:pPr>
            <w:r>
              <w:rPr>
                <w:rFonts w:hint="default" w:ascii="Times New Roman"/>
                <w:snapToGrid w:val="0"/>
                <w:sz w:val="21"/>
                <w:szCs w:val="21"/>
                <w:highlight w:val="none"/>
              </w:rPr>
              <w:t>/</w:t>
            </w:r>
          </w:p>
        </w:tc>
        <w:tc>
          <w:tcPr>
            <w:tcW w:w="1785" w:type="dxa"/>
            <w:shd w:val="clear" w:color="auto" w:fill="auto"/>
            <w:vAlign w:val="center"/>
          </w:tcPr>
          <w:p w14:paraId="54AEE294">
            <w:pPr>
              <w:pStyle w:val="65"/>
              <w:keepNext w:val="0"/>
              <w:keepLines w:val="0"/>
              <w:suppressLineNumbers w:val="0"/>
              <w:spacing w:before="0" w:beforeLines="0" w:beforeAutospacing="0" w:after="0" w:afterLines="0" w:afterAutospacing="0" w:line="288" w:lineRule="auto"/>
              <w:ind w:left="0" w:right="0"/>
              <w:rPr>
                <w:rFonts w:hint="default" w:ascii="Times New Roman" w:hAnsi="Times New Roman" w:eastAsia="宋体" w:cs="Times New Roman"/>
                <w:snapToGrid w:val="0"/>
                <w:kern w:val="0"/>
                <w:sz w:val="21"/>
                <w:szCs w:val="21"/>
                <w:highlight w:val="none"/>
                <w:lang w:val="en-US" w:eastAsia="zh-CN" w:bidi="ar-SA"/>
              </w:rPr>
            </w:pPr>
            <w:r>
              <w:rPr>
                <w:rFonts w:hint="default" w:ascii="Times New Roman"/>
                <w:snapToGrid w:val="0"/>
                <w:sz w:val="21"/>
                <w:szCs w:val="21"/>
                <w:highlight w:val="none"/>
              </w:rPr>
              <w:t>0</w:t>
            </w:r>
            <w:r>
              <w:rPr>
                <w:rFonts w:hint="eastAsia" w:ascii="Times New Roman"/>
                <w:snapToGrid w:val="0"/>
                <w:sz w:val="21"/>
                <w:szCs w:val="21"/>
                <w:highlight w:val="none"/>
              </w:rPr>
              <w:t>（</w:t>
            </w:r>
            <w:r>
              <w:rPr>
                <w:rFonts w:hint="eastAsia" w:ascii="Times New Roman"/>
                <w:snapToGrid w:val="0"/>
                <w:sz w:val="21"/>
                <w:szCs w:val="21"/>
                <w:highlight w:val="none"/>
                <w:lang w:val="en-US" w:eastAsia="zh-CN"/>
              </w:rPr>
              <w:t>93.24</w:t>
            </w:r>
            <w:r>
              <w:rPr>
                <w:rFonts w:hint="eastAsia" w:ascii="Times New Roman"/>
                <w:snapToGrid w:val="0"/>
                <w:sz w:val="21"/>
                <w:szCs w:val="21"/>
                <w:highlight w:val="none"/>
              </w:rPr>
              <w:t>）</w:t>
            </w:r>
          </w:p>
        </w:tc>
        <w:tc>
          <w:tcPr>
            <w:tcW w:w="1352" w:type="dxa"/>
            <w:vAlign w:val="center"/>
          </w:tcPr>
          <w:p w14:paraId="30AB5641">
            <w:pPr>
              <w:pStyle w:val="65"/>
              <w:keepNext w:val="0"/>
              <w:keepLines w:val="0"/>
              <w:suppressLineNumbers w:val="0"/>
              <w:spacing w:before="0" w:beforeLines="0" w:beforeAutospacing="0" w:after="0" w:afterLines="0" w:afterAutospacing="0" w:line="288" w:lineRule="auto"/>
              <w:ind w:left="0" w:right="0"/>
              <w:rPr>
                <w:rFonts w:hint="default"/>
                <w:snapToGrid w:val="0"/>
                <w:sz w:val="21"/>
                <w:szCs w:val="21"/>
                <w:highlight w:val="none"/>
              </w:rPr>
            </w:pPr>
            <w:r>
              <w:rPr>
                <w:rFonts w:hint="default" w:ascii="Times New Roman"/>
                <w:snapToGrid w:val="0"/>
                <w:sz w:val="21"/>
                <w:szCs w:val="21"/>
                <w:highlight w:val="none"/>
              </w:rPr>
              <w:t>0</w:t>
            </w:r>
            <w:r>
              <w:rPr>
                <w:rFonts w:hint="eastAsia" w:ascii="Times New Roman"/>
                <w:snapToGrid w:val="0"/>
                <w:sz w:val="21"/>
                <w:szCs w:val="21"/>
                <w:highlight w:val="none"/>
              </w:rPr>
              <w:t>（</w:t>
            </w:r>
            <w:r>
              <w:rPr>
                <w:rFonts w:hint="eastAsia" w:ascii="Times New Roman"/>
                <w:snapToGrid w:val="0"/>
                <w:sz w:val="21"/>
                <w:szCs w:val="21"/>
                <w:highlight w:val="none"/>
                <w:lang w:val="en-US" w:eastAsia="zh-CN"/>
              </w:rPr>
              <w:t>+93.24</w:t>
            </w:r>
            <w:r>
              <w:rPr>
                <w:rFonts w:hint="eastAsia" w:ascii="Times New Roman"/>
                <w:snapToGrid w:val="0"/>
                <w:sz w:val="21"/>
                <w:szCs w:val="21"/>
                <w:highlight w:val="none"/>
              </w:rPr>
              <w:t>）</w:t>
            </w:r>
          </w:p>
        </w:tc>
      </w:tr>
      <w:tr w14:paraId="384E7FDE">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187" w:hRule="atLeast"/>
        </w:trPr>
        <w:tc>
          <w:tcPr>
            <w:tcW w:w="1089" w:type="dxa"/>
            <w:vMerge w:val="continue"/>
            <w:vAlign w:val="center"/>
          </w:tcPr>
          <w:p w14:paraId="685CA852">
            <w:pPr>
              <w:pStyle w:val="65"/>
              <w:keepNext w:val="0"/>
              <w:keepLines w:val="0"/>
              <w:suppressLineNumbers w:val="0"/>
              <w:spacing w:before="0" w:beforeLines="0" w:beforeAutospacing="0" w:after="0" w:afterLines="0" w:afterAutospacing="0" w:line="288" w:lineRule="auto"/>
              <w:ind w:left="0" w:right="0"/>
              <w:rPr>
                <w:rFonts w:hint="eastAsia" w:ascii="Times New Roman" w:hAnsi="宋体"/>
                <w:snapToGrid w:val="0"/>
                <w:sz w:val="21"/>
                <w:szCs w:val="21"/>
                <w:highlight w:val="none"/>
              </w:rPr>
            </w:pPr>
          </w:p>
        </w:tc>
        <w:tc>
          <w:tcPr>
            <w:tcW w:w="2737" w:type="dxa"/>
            <w:shd w:val="clear" w:color="auto" w:fill="auto"/>
            <w:vAlign w:val="center"/>
          </w:tcPr>
          <w:p w14:paraId="576F2D3E">
            <w:pPr>
              <w:keepNext w:val="0"/>
              <w:keepLines w:val="0"/>
              <w:suppressLineNumbers w:val="0"/>
              <w:adjustRightInd w:val="0"/>
              <w:snapToGrid w:val="0"/>
              <w:spacing w:before="0" w:beforeAutospacing="0" w:after="0" w:afterAutospacing="0" w:line="276" w:lineRule="auto"/>
              <w:ind w:left="0" w:right="0"/>
              <w:jc w:val="center"/>
              <w:rPr>
                <w:rFonts w:hint="default"/>
                <w:color w:val="auto"/>
                <w:sz w:val="21"/>
                <w:szCs w:val="21"/>
                <w:highlight w:val="none"/>
                <w:lang w:val="en-US" w:eastAsia="zh-CN"/>
              </w:rPr>
            </w:pPr>
            <w:r>
              <w:rPr>
                <w:rFonts w:hint="eastAsia"/>
                <w:color w:val="auto"/>
                <w:sz w:val="21"/>
                <w:szCs w:val="21"/>
                <w:highlight w:val="none"/>
                <w:lang w:val="en-US" w:eastAsia="zh-CN"/>
              </w:rPr>
              <w:t>动物粪便</w:t>
            </w:r>
            <w:r>
              <w:rPr>
                <w:rFonts w:hint="default"/>
                <w:snapToGrid w:val="0"/>
                <w:sz w:val="21"/>
                <w:szCs w:val="21"/>
                <w:highlight w:val="none"/>
              </w:rPr>
              <w:t>（t/a）</w:t>
            </w:r>
          </w:p>
        </w:tc>
        <w:tc>
          <w:tcPr>
            <w:tcW w:w="1553" w:type="dxa"/>
            <w:shd w:val="clear" w:color="auto" w:fill="auto"/>
            <w:vAlign w:val="center"/>
          </w:tcPr>
          <w:p w14:paraId="6B7C0BFA">
            <w:pPr>
              <w:pStyle w:val="65"/>
              <w:keepNext w:val="0"/>
              <w:keepLines w:val="0"/>
              <w:suppressLineNumbers w:val="0"/>
              <w:spacing w:before="0" w:beforeLines="0" w:beforeAutospacing="0" w:after="0" w:afterLines="0" w:afterAutospacing="0" w:line="288" w:lineRule="auto"/>
              <w:ind w:left="0" w:leftChars="0" w:right="0" w:rightChars="0"/>
              <w:rPr>
                <w:rFonts w:hint="default" w:ascii="Times New Roman" w:hAnsi="Times New Roman" w:eastAsia="宋体" w:cs="Times New Roman"/>
                <w:snapToGrid w:val="0"/>
                <w:kern w:val="0"/>
                <w:sz w:val="21"/>
                <w:szCs w:val="21"/>
                <w:highlight w:val="none"/>
                <w:lang w:val="en-US" w:eastAsia="zh-CN" w:bidi="ar-SA"/>
              </w:rPr>
            </w:pPr>
            <w:r>
              <w:rPr>
                <w:rFonts w:hint="default" w:ascii="Times New Roman"/>
                <w:snapToGrid w:val="0"/>
                <w:sz w:val="21"/>
                <w:szCs w:val="21"/>
                <w:highlight w:val="none"/>
              </w:rPr>
              <w:t>/</w:t>
            </w:r>
          </w:p>
        </w:tc>
        <w:tc>
          <w:tcPr>
            <w:tcW w:w="1027" w:type="dxa"/>
            <w:shd w:val="clear" w:color="auto" w:fill="auto"/>
            <w:vAlign w:val="center"/>
          </w:tcPr>
          <w:p w14:paraId="08B0AEC6">
            <w:pPr>
              <w:keepNext w:val="0"/>
              <w:keepLines w:val="0"/>
              <w:suppressLineNumbers w:val="0"/>
              <w:spacing w:before="0" w:beforeAutospacing="0" w:after="0" w:afterAutospacing="0" w:line="288" w:lineRule="auto"/>
              <w:ind w:left="0" w:leftChars="0" w:right="0" w:rightChars="0"/>
              <w:jc w:val="center"/>
              <w:rPr>
                <w:rFonts w:hint="default" w:ascii="Times New Roman" w:hAnsi="Times New Roman" w:eastAsia="宋体" w:cs="Times New Roman"/>
                <w:snapToGrid w:val="0"/>
                <w:kern w:val="2"/>
                <w:sz w:val="21"/>
                <w:szCs w:val="21"/>
                <w:highlight w:val="none"/>
                <w:lang w:val="en-US" w:eastAsia="zh-CN" w:bidi="ar-SA"/>
              </w:rPr>
            </w:pPr>
            <w:r>
              <w:rPr>
                <w:rFonts w:hint="default"/>
                <w:snapToGrid w:val="0"/>
                <w:sz w:val="21"/>
                <w:szCs w:val="21"/>
                <w:highlight w:val="none"/>
              </w:rPr>
              <w:t>/</w:t>
            </w:r>
          </w:p>
        </w:tc>
        <w:tc>
          <w:tcPr>
            <w:tcW w:w="1433" w:type="dxa"/>
            <w:shd w:val="clear" w:color="auto" w:fill="auto"/>
            <w:vAlign w:val="center"/>
          </w:tcPr>
          <w:p w14:paraId="6E2FE3BD">
            <w:pPr>
              <w:pStyle w:val="65"/>
              <w:keepNext w:val="0"/>
              <w:keepLines w:val="0"/>
              <w:suppressLineNumbers w:val="0"/>
              <w:spacing w:before="0" w:beforeLines="0" w:beforeAutospacing="0" w:after="0" w:afterLines="0" w:afterAutospacing="0" w:line="288" w:lineRule="auto"/>
              <w:ind w:left="0" w:leftChars="0" w:right="0" w:rightChars="0"/>
              <w:rPr>
                <w:rFonts w:hint="default" w:ascii="Times New Roman" w:hAnsi="Times New Roman" w:eastAsia="宋体" w:cs="Times New Roman"/>
                <w:snapToGrid w:val="0"/>
                <w:kern w:val="0"/>
                <w:sz w:val="21"/>
                <w:szCs w:val="21"/>
                <w:highlight w:val="none"/>
                <w:lang w:val="en-US" w:eastAsia="zh-CN" w:bidi="ar-SA"/>
              </w:rPr>
            </w:pPr>
            <w:r>
              <w:rPr>
                <w:rFonts w:hint="default" w:ascii="Times New Roman"/>
                <w:snapToGrid w:val="0"/>
                <w:sz w:val="21"/>
                <w:szCs w:val="21"/>
                <w:highlight w:val="none"/>
              </w:rPr>
              <w:t>/</w:t>
            </w:r>
          </w:p>
        </w:tc>
        <w:tc>
          <w:tcPr>
            <w:tcW w:w="1485" w:type="dxa"/>
            <w:shd w:val="clear" w:color="auto" w:fill="auto"/>
            <w:vAlign w:val="center"/>
          </w:tcPr>
          <w:p w14:paraId="62846E37">
            <w:pPr>
              <w:pStyle w:val="65"/>
              <w:keepNext w:val="0"/>
              <w:keepLines w:val="0"/>
              <w:suppressLineNumbers w:val="0"/>
              <w:spacing w:before="0" w:beforeLines="0" w:beforeAutospacing="0" w:after="0" w:afterLines="0" w:afterAutospacing="0" w:line="288" w:lineRule="auto"/>
              <w:ind w:left="0" w:leftChars="0" w:right="0" w:rightChars="0"/>
              <w:rPr>
                <w:rFonts w:hint="default" w:ascii="Times New Roman" w:hAnsi="Times New Roman" w:eastAsia="宋体" w:cs="Times New Roman"/>
                <w:snapToGrid w:val="0"/>
                <w:kern w:val="0"/>
                <w:sz w:val="21"/>
                <w:szCs w:val="21"/>
                <w:highlight w:val="none"/>
                <w:lang w:val="en-US" w:eastAsia="zh-CN" w:bidi="ar-SA"/>
              </w:rPr>
            </w:pPr>
            <w:r>
              <w:rPr>
                <w:rFonts w:hint="default" w:ascii="Times New Roman"/>
                <w:snapToGrid w:val="0"/>
                <w:sz w:val="21"/>
                <w:szCs w:val="21"/>
                <w:highlight w:val="none"/>
              </w:rPr>
              <w:t>0</w:t>
            </w:r>
            <w:r>
              <w:rPr>
                <w:rFonts w:hint="eastAsia" w:ascii="Times New Roman"/>
                <w:snapToGrid w:val="0"/>
                <w:sz w:val="21"/>
                <w:szCs w:val="21"/>
                <w:highlight w:val="none"/>
              </w:rPr>
              <w:t>（</w:t>
            </w:r>
            <w:r>
              <w:rPr>
                <w:rFonts w:hint="eastAsia" w:ascii="Times New Roman"/>
                <w:snapToGrid w:val="0"/>
                <w:sz w:val="21"/>
                <w:szCs w:val="21"/>
                <w:highlight w:val="none"/>
                <w:lang w:val="en-US" w:eastAsia="zh-CN"/>
              </w:rPr>
              <w:t>461.8</w:t>
            </w:r>
            <w:r>
              <w:rPr>
                <w:rFonts w:hint="eastAsia" w:ascii="Times New Roman"/>
                <w:snapToGrid w:val="0"/>
                <w:sz w:val="21"/>
                <w:szCs w:val="21"/>
                <w:highlight w:val="none"/>
              </w:rPr>
              <w:t>）</w:t>
            </w:r>
          </w:p>
        </w:tc>
        <w:tc>
          <w:tcPr>
            <w:tcW w:w="1327" w:type="dxa"/>
            <w:shd w:val="clear" w:color="auto" w:fill="auto"/>
            <w:vAlign w:val="center"/>
          </w:tcPr>
          <w:p w14:paraId="691CA765">
            <w:pPr>
              <w:pStyle w:val="65"/>
              <w:keepNext w:val="0"/>
              <w:keepLines w:val="0"/>
              <w:suppressLineNumbers w:val="0"/>
              <w:spacing w:before="0" w:beforeLines="0" w:beforeAutospacing="0" w:after="0" w:afterLines="0" w:afterAutospacing="0" w:line="288" w:lineRule="auto"/>
              <w:ind w:left="0" w:leftChars="0" w:right="0" w:rightChars="0"/>
              <w:rPr>
                <w:rFonts w:hint="default" w:ascii="Times New Roman" w:hAnsi="Times New Roman" w:eastAsia="宋体" w:cs="Times New Roman"/>
                <w:snapToGrid w:val="0"/>
                <w:kern w:val="0"/>
                <w:sz w:val="21"/>
                <w:szCs w:val="21"/>
                <w:highlight w:val="none"/>
                <w:lang w:val="en-US" w:eastAsia="zh-CN" w:bidi="ar-SA"/>
              </w:rPr>
            </w:pPr>
            <w:r>
              <w:rPr>
                <w:rFonts w:hint="default" w:ascii="Times New Roman"/>
                <w:snapToGrid w:val="0"/>
                <w:sz w:val="21"/>
                <w:szCs w:val="21"/>
                <w:highlight w:val="none"/>
              </w:rPr>
              <w:t>/</w:t>
            </w:r>
          </w:p>
        </w:tc>
        <w:tc>
          <w:tcPr>
            <w:tcW w:w="1785" w:type="dxa"/>
            <w:shd w:val="clear" w:color="auto" w:fill="auto"/>
            <w:vAlign w:val="center"/>
          </w:tcPr>
          <w:p w14:paraId="25ED731F">
            <w:pPr>
              <w:pStyle w:val="65"/>
              <w:keepNext w:val="0"/>
              <w:keepLines w:val="0"/>
              <w:suppressLineNumbers w:val="0"/>
              <w:spacing w:before="0" w:beforeLines="0" w:beforeAutospacing="0" w:after="0" w:afterLines="0" w:afterAutospacing="0" w:line="288" w:lineRule="auto"/>
              <w:ind w:left="0" w:leftChars="0" w:right="0" w:rightChars="0"/>
              <w:rPr>
                <w:rFonts w:hint="default" w:ascii="Times New Roman" w:hAnsi="Times New Roman" w:eastAsia="宋体" w:cs="Times New Roman"/>
                <w:snapToGrid w:val="0"/>
                <w:kern w:val="0"/>
                <w:sz w:val="21"/>
                <w:szCs w:val="21"/>
                <w:highlight w:val="none"/>
                <w:lang w:val="en-US" w:eastAsia="zh-CN" w:bidi="ar-SA"/>
              </w:rPr>
            </w:pPr>
            <w:r>
              <w:rPr>
                <w:rFonts w:hint="default" w:ascii="Times New Roman"/>
                <w:snapToGrid w:val="0"/>
                <w:sz w:val="21"/>
                <w:szCs w:val="21"/>
                <w:highlight w:val="none"/>
              </w:rPr>
              <w:t>0</w:t>
            </w:r>
            <w:r>
              <w:rPr>
                <w:rFonts w:hint="eastAsia" w:ascii="Times New Roman"/>
                <w:snapToGrid w:val="0"/>
                <w:sz w:val="21"/>
                <w:szCs w:val="21"/>
                <w:highlight w:val="none"/>
              </w:rPr>
              <w:t>（</w:t>
            </w:r>
            <w:r>
              <w:rPr>
                <w:rFonts w:hint="eastAsia" w:ascii="Times New Roman"/>
                <w:snapToGrid w:val="0"/>
                <w:sz w:val="21"/>
                <w:szCs w:val="21"/>
                <w:highlight w:val="none"/>
                <w:lang w:val="en-US" w:eastAsia="zh-CN"/>
              </w:rPr>
              <w:t>461.8</w:t>
            </w:r>
            <w:r>
              <w:rPr>
                <w:rFonts w:hint="eastAsia" w:ascii="Times New Roman"/>
                <w:snapToGrid w:val="0"/>
                <w:sz w:val="21"/>
                <w:szCs w:val="21"/>
                <w:highlight w:val="none"/>
              </w:rPr>
              <w:t>）</w:t>
            </w:r>
          </w:p>
        </w:tc>
        <w:tc>
          <w:tcPr>
            <w:tcW w:w="1352" w:type="dxa"/>
            <w:shd w:val="clear" w:color="auto" w:fill="auto"/>
            <w:vAlign w:val="center"/>
          </w:tcPr>
          <w:p w14:paraId="32A41491">
            <w:pPr>
              <w:pStyle w:val="65"/>
              <w:keepNext w:val="0"/>
              <w:keepLines w:val="0"/>
              <w:suppressLineNumbers w:val="0"/>
              <w:spacing w:before="0" w:beforeLines="0" w:beforeAutospacing="0" w:after="0" w:afterLines="0" w:afterAutospacing="0" w:line="288" w:lineRule="auto"/>
              <w:ind w:left="0" w:leftChars="0" w:right="0" w:rightChars="0"/>
              <w:rPr>
                <w:rFonts w:hint="default" w:ascii="宋体" w:hAnsi="Times New Roman" w:eastAsia="宋体" w:cs="Times New Roman"/>
                <w:snapToGrid w:val="0"/>
                <w:kern w:val="0"/>
                <w:sz w:val="21"/>
                <w:szCs w:val="21"/>
                <w:highlight w:val="none"/>
                <w:lang w:val="en-US" w:eastAsia="zh-CN" w:bidi="ar-SA"/>
              </w:rPr>
            </w:pPr>
            <w:r>
              <w:rPr>
                <w:rFonts w:hint="default" w:ascii="Times New Roman"/>
                <w:snapToGrid w:val="0"/>
                <w:sz w:val="21"/>
                <w:szCs w:val="21"/>
                <w:highlight w:val="none"/>
              </w:rPr>
              <w:t>0</w:t>
            </w:r>
            <w:r>
              <w:rPr>
                <w:rFonts w:hint="eastAsia" w:ascii="Times New Roman"/>
                <w:snapToGrid w:val="0"/>
                <w:sz w:val="21"/>
                <w:szCs w:val="21"/>
                <w:highlight w:val="none"/>
              </w:rPr>
              <w:t>（</w:t>
            </w:r>
            <w:r>
              <w:rPr>
                <w:rFonts w:hint="eastAsia" w:ascii="Times New Roman"/>
                <w:snapToGrid w:val="0"/>
                <w:sz w:val="21"/>
                <w:szCs w:val="21"/>
                <w:highlight w:val="none"/>
                <w:lang w:val="en-US" w:eastAsia="zh-CN"/>
              </w:rPr>
              <w:t>+461.8</w:t>
            </w:r>
            <w:r>
              <w:rPr>
                <w:rFonts w:hint="eastAsia" w:ascii="Times New Roman"/>
                <w:snapToGrid w:val="0"/>
                <w:sz w:val="21"/>
                <w:szCs w:val="21"/>
                <w:highlight w:val="none"/>
              </w:rPr>
              <w:t>）</w:t>
            </w:r>
          </w:p>
        </w:tc>
      </w:tr>
      <w:tr w14:paraId="09D4FD25">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134" w:hRule="atLeast"/>
        </w:trPr>
        <w:tc>
          <w:tcPr>
            <w:tcW w:w="1089" w:type="dxa"/>
            <w:vMerge w:val="continue"/>
            <w:vAlign w:val="center"/>
          </w:tcPr>
          <w:p w14:paraId="03C685E3">
            <w:pPr>
              <w:pStyle w:val="65"/>
              <w:keepNext w:val="0"/>
              <w:keepLines w:val="0"/>
              <w:suppressLineNumbers w:val="0"/>
              <w:spacing w:before="0" w:beforeLines="0" w:beforeAutospacing="0" w:after="0" w:afterLines="0" w:afterAutospacing="0" w:line="288" w:lineRule="auto"/>
              <w:ind w:left="0" w:right="0"/>
              <w:rPr>
                <w:rFonts w:hint="default" w:ascii="Times New Roman" w:hAnsi="宋体"/>
                <w:snapToGrid w:val="0"/>
                <w:sz w:val="21"/>
                <w:szCs w:val="21"/>
                <w:highlight w:val="none"/>
              </w:rPr>
            </w:pPr>
          </w:p>
        </w:tc>
        <w:tc>
          <w:tcPr>
            <w:tcW w:w="2737" w:type="dxa"/>
            <w:shd w:val="clear" w:color="auto" w:fill="auto"/>
            <w:vAlign w:val="center"/>
          </w:tcPr>
          <w:p w14:paraId="421F117E">
            <w:pPr>
              <w:keepNext w:val="0"/>
              <w:keepLines w:val="0"/>
              <w:suppressLineNumbers w:val="0"/>
              <w:adjustRightInd w:val="0"/>
              <w:snapToGrid w:val="0"/>
              <w:spacing w:before="0" w:beforeAutospacing="0" w:after="0" w:afterAutospacing="0" w:line="276" w:lineRule="auto"/>
              <w:ind w:left="0" w:right="0"/>
              <w:jc w:val="center"/>
              <w:rPr>
                <w:rFonts w:hint="default" w:ascii="Times New Roman" w:hAnsi="Times New Roman" w:eastAsia="宋体" w:cs="Times New Roman"/>
                <w:kern w:val="2"/>
                <w:sz w:val="21"/>
                <w:szCs w:val="21"/>
                <w:highlight w:val="none"/>
                <w:lang w:val="en-US" w:eastAsia="zh-CN" w:bidi="ar-SA"/>
              </w:rPr>
            </w:pPr>
            <w:r>
              <w:rPr>
                <w:rFonts w:hint="eastAsia"/>
                <w:color w:val="auto"/>
                <w:sz w:val="21"/>
                <w:szCs w:val="21"/>
                <w:highlight w:val="none"/>
              </w:rPr>
              <w:t>一般</w:t>
            </w:r>
            <w:r>
              <w:rPr>
                <w:rFonts w:hint="default"/>
                <w:color w:val="auto"/>
                <w:sz w:val="21"/>
                <w:szCs w:val="21"/>
                <w:highlight w:val="none"/>
              </w:rPr>
              <w:t>废包装材料</w:t>
            </w:r>
            <w:r>
              <w:rPr>
                <w:rFonts w:hint="default"/>
                <w:snapToGrid w:val="0"/>
                <w:sz w:val="21"/>
                <w:szCs w:val="21"/>
                <w:highlight w:val="none"/>
              </w:rPr>
              <w:t>（t/a）</w:t>
            </w:r>
          </w:p>
        </w:tc>
        <w:tc>
          <w:tcPr>
            <w:tcW w:w="1553" w:type="dxa"/>
            <w:vAlign w:val="center"/>
          </w:tcPr>
          <w:p w14:paraId="5E65A0B1">
            <w:pPr>
              <w:keepNext w:val="0"/>
              <w:keepLines w:val="0"/>
              <w:suppressLineNumbers w:val="0"/>
              <w:spacing w:before="0" w:beforeAutospacing="0" w:after="0" w:afterAutospacing="0" w:line="288" w:lineRule="auto"/>
              <w:ind w:left="0" w:right="0"/>
              <w:jc w:val="center"/>
              <w:rPr>
                <w:rFonts w:hint="default"/>
                <w:snapToGrid w:val="0"/>
                <w:sz w:val="21"/>
                <w:szCs w:val="21"/>
                <w:highlight w:val="none"/>
              </w:rPr>
            </w:pPr>
            <w:r>
              <w:rPr>
                <w:rFonts w:hint="default"/>
                <w:snapToGrid w:val="0"/>
                <w:sz w:val="21"/>
                <w:szCs w:val="21"/>
                <w:highlight w:val="none"/>
              </w:rPr>
              <w:t>/</w:t>
            </w:r>
          </w:p>
        </w:tc>
        <w:tc>
          <w:tcPr>
            <w:tcW w:w="1027" w:type="dxa"/>
            <w:vAlign w:val="center"/>
          </w:tcPr>
          <w:p w14:paraId="02B1A74E">
            <w:pPr>
              <w:keepNext w:val="0"/>
              <w:keepLines w:val="0"/>
              <w:suppressLineNumbers w:val="0"/>
              <w:spacing w:before="0" w:beforeAutospacing="0" w:after="0" w:afterAutospacing="0" w:line="288" w:lineRule="auto"/>
              <w:ind w:left="0" w:right="0"/>
              <w:jc w:val="center"/>
              <w:rPr>
                <w:rFonts w:hint="default"/>
                <w:snapToGrid w:val="0"/>
                <w:sz w:val="21"/>
                <w:szCs w:val="21"/>
                <w:highlight w:val="none"/>
              </w:rPr>
            </w:pPr>
            <w:r>
              <w:rPr>
                <w:rFonts w:hint="default"/>
                <w:snapToGrid w:val="0"/>
                <w:sz w:val="21"/>
                <w:szCs w:val="21"/>
                <w:highlight w:val="none"/>
              </w:rPr>
              <w:t>/</w:t>
            </w:r>
          </w:p>
        </w:tc>
        <w:tc>
          <w:tcPr>
            <w:tcW w:w="1433" w:type="dxa"/>
            <w:vAlign w:val="center"/>
          </w:tcPr>
          <w:p w14:paraId="7A57CA4D">
            <w:pPr>
              <w:keepNext w:val="0"/>
              <w:keepLines w:val="0"/>
              <w:suppressLineNumbers w:val="0"/>
              <w:spacing w:before="0" w:beforeAutospacing="0" w:after="0" w:afterAutospacing="0" w:line="288" w:lineRule="auto"/>
              <w:ind w:left="0" w:right="0"/>
              <w:jc w:val="center"/>
              <w:rPr>
                <w:rFonts w:hint="default"/>
                <w:snapToGrid w:val="0"/>
                <w:sz w:val="21"/>
                <w:szCs w:val="21"/>
                <w:highlight w:val="none"/>
              </w:rPr>
            </w:pPr>
            <w:r>
              <w:rPr>
                <w:rFonts w:hint="default"/>
                <w:snapToGrid w:val="0"/>
                <w:sz w:val="21"/>
                <w:szCs w:val="21"/>
                <w:highlight w:val="none"/>
              </w:rPr>
              <w:t>/</w:t>
            </w:r>
          </w:p>
        </w:tc>
        <w:tc>
          <w:tcPr>
            <w:tcW w:w="1485" w:type="dxa"/>
            <w:vAlign w:val="center"/>
          </w:tcPr>
          <w:p w14:paraId="07F0E031">
            <w:pPr>
              <w:pStyle w:val="65"/>
              <w:keepNext w:val="0"/>
              <w:keepLines w:val="0"/>
              <w:suppressLineNumbers w:val="0"/>
              <w:spacing w:before="0" w:beforeLines="0" w:beforeAutospacing="0" w:after="0" w:afterLines="0" w:afterAutospacing="0" w:line="288" w:lineRule="auto"/>
              <w:ind w:left="0" w:right="0"/>
              <w:rPr>
                <w:rFonts w:hint="default" w:ascii="Times New Roman"/>
                <w:snapToGrid w:val="0"/>
                <w:sz w:val="21"/>
                <w:szCs w:val="21"/>
                <w:highlight w:val="none"/>
              </w:rPr>
            </w:pPr>
            <w:r>
              <w:rPr>
                <w:rFonts w:hint="default" w:ascii="Times New Roman"/>
                <w:snapToGrid w:val="0"/>
                <w:sz w:val="21"/>
                <w:szCs w:val="21"/>
                <w:highlight w:val="none"/>
              </w:rPr>
              <w:t>0（</w:t>
            </w:r>
            <w:r>
              <w:rPr>
                <w:rFonts w:hint="eastAsia" w:ascii="Times New Roman"/>
                <w:snapToGrid w:val="0"/>
                <w:sz w:val="21"/>
                <w:szCs w:val="21"/>
                <w:highlight w:val="none"/>
                <w:lang w:val="en-US" w:eastAsia="zh-CN"/>
              </w:rPr>
              <w:t>2</w:t>
            </w:r>
            <w:r>
              <w:rPr>
                <w:rFonts w:hint="default" w:ascii="Times New Roman"/>
                <w:snapToGrid w:val="0"/>
                <w:sz w:val="21"/>
                <w:szCs w:val="21"/>
                <w:highlight w:val="none"/>
              </w:rPr>
              <w:t>）</w:t>
            </w:r>
          </w:p>
        </w:tc>
        <w:tc>
          <w:tcPr>
            <w:tcW w:w="1327" w:type="dxa"/>
            <w:vAlign w:val="center"/>
          </w:tcPr>
          <w:p w14:paraId="2610B0F1">
            <w:pPr>
              <w:pStyle w:val="65"/>
              <w:keepNext w:val="0"/>
              <w:keepLines w:val="0"/>
              <w:suppressLineNumbers w:val="0"/>
              <w:spacing w:before="0" w:beforeLines="0" w:beforeAutospacing="0" w:after="0" w:afterLines="0" w:afterAutospacing="0" w:line="288" w:lineRule="auto"/>
              <w:ind w:left="0" w:right="0"/>
              <w:rPr>
                <w:rFonts w:hint="default" w:ascii="Times New Roman"/>
                <w:snapToGrid w:val="0"/>
                <w:sz w:val="21"/>
                <w:szCs w:val="21"/>
                <w:highlight w:val="none"/>
              </w:rPr>
            </w:pPr>
            <w:r>
              <w:rPr>
                <w:rFonts w:hint="default" w:ascii="Times New Roman"/>
                <w:snapToGrid w:val="0"/>
                <w:sz w:val="21"/>
                <w:szCs w:val="21"/>
                <w:highlight w:val="none"/>
              </w:rPr>
              <w:t>/</w:t>
            </w:r>
          </w:p>
        </w:tc>
        <w:tc>
          <w:tcPr>
            <w:tcW w:w="1785" w:type="dxa"/>
            <w:shd w:val="clear" w:color="auto" w:fill="auto"/>
            <w:vAlign w:val="center"/>
          </w:tcPr>
          <w:p w14:paraId="2CBB5E07">
            <w:pPr>
              <w:pStyle w:val="65"/>
              <w:keepNext w:val="0"/>
              <w:keepLines w:val="0"/>
              <w:suppressLineNumbers w:val="0"/>
              <w:spacing w:before="0" w:beforeLines="0" w:beforeAutospacing="0" w:after="0" w:afterLines="0" w:afterAutospacing="0" w:line="288" w:lineRule="auto"/>
              <w:ind w:left="0" w:right="0"/>
              <w:rPr>
                <w:rFonts w:hint="default" w:ascii="Times New Roman" w:hAnsi="Times New Roman" w:eastAsia="宋体" w:cs="Times New Roman"/>
                <w:snapToGrid w:val="0"/>
                <w:kern w:val="0"/>
                <w:sz w:val="21"/>
                <w:szCs w:val="21"/>
                <w:highlight w:val="none"/>
                <w:lang w:val="en-US" w:eastAsia="zh-CN" w:bidi="ar-SA"/>
              </w:rPr>
            </w:pPr>
            <w:r>
              <w:rPr>
                <w:rFonts w:hint="default" w:ascii="Times New Roman"/>
                <w:snapToGrid w:val="0"/>
                <w:sz w:val="21"/>
                <w:szCs w:val="21"/>
                <w:highlight w:val="none"/>
              </w:rPr>
              <w:t>0（</w:t>
            </w:r>
            <w:r>
              <w:rPr>
                <w:rFonts w:hint="eastAsia" w:ascii="Times New Roman"/>
                <w:snapToGrid w:val="0"/>
                <w:sz w:val="21"/>
                <w:szCs w:val="21"/>
                <w:highlight w:val="none"/>
                <w:lang w:val="en-US" w:eastAsia="zh-CN"/>
              </w:rPr>
              <w:t>2</w:t>
            </w:r>
            <w:r>
              <w:rPr>
                <w:rFonts w:hint="default" w:ascii="Times New Roman"/>
                <w:snapToGrid w:val="0"/>
                <w:sz w:val="21"/>
                <w:szCs w:val="21"/>
                <w:highlight w:val="none"/>
              </w:rPr>
              <w:t>）</w:t>
            </w:r>
          </w:p>
        </w:tc>
        <w:tc>
          <w:tcPr>
            <w:tcW w:w="1352" w:type="dxa"/>
            <w:vAlign w:val="center"/>
          </w:tcPr>
          <w:p w14:paraId="23EE5704">
            <w:pPr>
              <w:pStyle w:val="65"/>
              <w:keepNext w:val="0"/>
              <w:keepLines w:val="0"/>
              <w:suppressLineNumbers w:val="0"/>
              <w:spacing w:before="0" w:beforeLines="0" w:beforeAutospacing="0" w:after="0" w:afterLines="0" w:afterAutospacing="0" w:line="288" w:lineRule="auto"/>
              <w:ind w:left="0" w:right="0"/>
              <w:rPr>
                <w:rFonts w:hint="default"/>
                <w:snapToGrid w:val="0"/>
                <w:sz w:val="21"/>
                <w:szCs w:val="21"/>
                <w:highlight w:val="none"/>
              </w:rPr>
            </w:pPr>
            <w:r>
              <w:rPr>
                <w:rFonts w:hint="default" w:ascii="Times New Roman"/>
                <w:snapToGrid w:val="0"/>
                <w:sz w:val="21"/>
                <w:szCs w:val="21"/>
                <w:highlight w:val="none"/>
              </w:rPr>
              <w:t>0（</w:t>
            </w:r>
            <w:r>
              <w:rPr>
                <w:rFonts w:hint="eastAsia" w:ascii="Times New Roman"/>
                <w:snapToGrid w:val="0"/>
                <w:sz w:val="21"/>
                <w:szCs w:val="21"/>
                <w:highlight w:val="none"/>
                <w:lang w:val="en-US" w:eastAsia="zh-CN"/>
              </w:rPr>
              <w:t>+2</w:t>
            </w:r>
            <w:r>
              <w:rPr>
                <w:rFonts w:hint="default" w:ascii="Times New Roman"/>
                <w:snapToGrid w:val="0"/>
                <w:sz w:val="21"/>
                <w:szCs w:val="21"/>
                <w:highlight w:val="none"/>
              </w:rPr>
              <w:t>）</w:t>
            </w:r>
          </w:p>
        </w:tc>
      </w:tr>
      <w:tr w14:paraId="719840B1">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293" w:hRule="atLeast"/>
        </w:trPr>
        <w:tc>
          <w:tcPr>
            <w:tcW w:w="1089" w:type="dxa"/>
            <w:vMerge w:val="continue"/>
            <w:vAlign w:val="center"/>
          </w:tcPr>
          <w:p w14:paraId="661D7A3B">
            <w:pPr>
              <w:pStyle w:val="65"/>
              <w:keepNext w:val="0"/>
              <w:keepLines w:val="0"/>
              <w:suppressLineNumbers w:val="0"/>
              <w:spacing w:before="0" w:beforeLines="0" w:beforeAutospacing="0" w:after="0" w:afterLines="0" w:afterAutospacing="0" w:line="288" w:lineRule="auto"/>
              <w:ind w:left="0" w:right="0"/>
              <w:rPr>
                <w:rFonts w:hint="default" w:ascii="Times New Roman" w:hAnsi="宋体"/>
                <w:snapToGrid w:val="0"/>
                <w:sz w:val="21"/>
                <w:szCs w:val="21"/>
                <w:highlight w:val="none"/>
              </w:rPr>
            </w:pPr>
          </w:p>
        </w:tc>
        <w:tc>
          <w:tcPr>
            <w:tcW w:w="2737" w:type="dxa"/>
            <w:shd w:val="clear" w:color="auto" w:fill="auto"/>
            <w:vAlign w:val="center"/>
          </w:tcPr>
          <w:p w14:paraId="44D9F73B">
            <w:pPr>
              <w:keepNext w:val="0"/>
              <w:keepLines w:val="0"/>
              <w:pageBreakBefore w:val="0"/>
              <w:suppressLineNumbers w:val="0"/>
              <w:kinsoku/>
              <w:wordWrap/>
              <w:overflowPunct/>
              <w:topLinePunct w:val="0"/>
              <w:autoSpaceDE/>
              <w:autoSpaceDN/>
              <w:bidi w:val="0"/>
              <w:adjustRightInd w:val="0"/>
              <w:snapToGrid w:val="0"/>
              <w:spacing w:before="0" w:beforeAutospacing="0" w:after="0" w:afterAutospacing="0" w:line="264" w:lineRule="auto"/>
              <w:ind w:left="0" w:right="0"/>
              <w:jc w:val="center"/>
              <w:textAlignment w:val="auto"/>
              <w:rPr>
                <w:rFonts w:hint="eastAsia" w:ascii="Times New Roman" w:hAnsi="Times New Roman" w:eastAsia="宋体" w:cs="Times New Roman"/>
                <w:kern w:val="2"/>
                <w:sz w:val="21"/>
                <w:szCs w:val="21"/>
                <w:highlight w:val="none"/>
                <w:lang w:val="en-US" w:eastAsia="zh-CN" w:bidi="ar-SA"/>
              </w:rPr>
            </w:pPr>
            <w:r>
              <w:rPr>
                <w:rFonts w:hint="eastAsia" w:ascii="Times New Roman" w:hAnsi="Times New Roman" w:eastAsia="宋体" w:cs="Times New Roman"/>
                <w:sz w:val="21"/>
                <w:szCs w:val="21"/>
                <w:highlight w:val="none"/>
              </w:rPr>
              <w:t>废石英砂</w:t>
            </w:r>
            <w:r>
              <w:rPr>
                <w:rFonts w:hint="default"/>
                <w:snapToGrid w:val="0"/>
                <w:sz w:val="21"/>
                <w:szCs w:val="21"/>
                <w:highlight w:val="none"/>
              </w:rPr>
              <w:t>（t/a）</w:t>
            </w:r>
          </w:p>
        </w:tc>
        <w:tc>
          <w:tcPr>
            <w:tcW w:w="1553" w:type="dxa"/>
            <w:vAlign w:val="center"/>
          </w:tcPr>
          <w:p w14:paraId="1778DEA5">
            <w:pPr>
              <w:keepNext w:val="0"/>
              <w:keepLines w:val="0"/>
              <w:suppressLineNumbers w:val="0"/>
              <w:spacing w:before="0" w:beforeAutospacing="0" w:after="0" w:afterAutospacing="0" w:line="288" w:lineRule="auto"/>
              <w:ind w:left="0" w:right="0"/>
              <w:jc w:val="center"/>
              <w:rPr>
                <w:rFonts w:hint="default"/>
                <w:snapToGrid w:val="0"/>
                <w:sz w:val="21"/>
                <w:szCs w:val="21"/>
                <w:highlight w:val="none"/>
              </w:rPr>
            </w:pPr>
            <w:r>
              <w:rPr>
                <w:rFonts w:hint="default"/>
                <w:snapToGrid w:val="0"/>
                <w:sz w:val="21"/>
                <w:szCs w:val="21"/>
                <w:highlight w:val="none"/>
              </w:rPr>
              <w:t>/</w:t>
            </w:r>
          </w:p>
        </w:tc>
        <w:tc>
          <w:tcPr>
            <w:tcW w:w="1027" w:type="dxa"/>
            <w:vAlign w:val="center"/>
          </w:tcPr>
          <w:p w14:paraId="5197A7C5">
            <w:pPr>
              <w:keepNext w:val="0"/>
              <w:keepLines w:val="0"/>
              <w:suppressLineNumbers w:val="0"/>
              <w:spacing w:before="0" w:beforeAutospacing="0" w:after="0" w:afterAutospacing="0" w:line="288" w:lineRule="auto"/>
              <w:ind w:left="0" w:right="0"/>
              <w:jc w:val="center"/>
              <w:rPr>
                <w:rFonts w:hint="default"/>
                <w:snapToGrid w:val="0"/>
                <w:sz w:val="21"/>
                <w:szCs w:val="21"/>
                <w:highlight w:val="none"/>
              </w:rPr>
            </w:pPr>
            <w:r>
              <w:rPr>
                <w:rFonts w:hint="default"/>
                <w:snapToGrid w:val="0"/>
                <w:sz w:val="21"/>
                <w:szCs w:val="21"/>
                <w:highlight w:val="none"/>
              </w:rPr>
              <w:t>/</w:t>
            </w:r>
          </w:p>
        </w:tc>
        <w:tc>
          <w:tcPr>
            <w:tcW w:w="1433" w:type="dxa"/>
            <w:vAlign w:val="center"/>
          </w:tcPr>
          <w:p w14:paraId="09859140">
            <w:pPr>
              <w:keepNext w:val="0"/>
              <w:keepLines w:val="0"/>
              <w:suppressLineNumbers w:val="0"/>
              <w:spacing w:before="0" w:beforeAutospacing="0" w:after="0" w:afterAutospacing="0" w:line="288" w:lineRule="auto"/>
              <w:ind w:left="0" w:right="0"/>
              <w:jc w:val="center"/>
              <w:rPr>
                <w:rFonts w:hint="default"/>
                <w:snapToGrid w:val="0"/>
                <w:sz w:val="21"/>
                <w:szCs w:val="21"/>
                <w:highlight w:val="none"/>
              </w:rPr>
            </w:pPr>
            <w:r>
              <w:rPr>
                <w:rFonts w:hint="default"/>
                <w:snapToGrid w:val="0"/>
                <w:sz w:val="21"/>
                <w:szCs w:val="21"/>
                <w:highlight w:val="none"/>
              </w:rPr>
              <w:t>/</w:t>
            </w:r>
          </w:p>
        </w:tc>
        <w:tc>
          <w:tcPr>
            <w:tcW w:w="1485" w:type="dxa"/>
            <w:vAlign w:val="center"/>
          </w:tcPr>
          <w:p w14:paraId="15B3BB00">
            <w:pPr>
              <w:keepNext w:val="0"/>
              <w:keepLines w:val="0"/>
              <w:suppressLineNumbers w:val="0"/>
              <w:spacing w:before="0" w:beforeAutospacing="0" w:after="0" w:afterAutospacing="0" w:line="288" w:lineRule="auto"/>
              <w:ind w:left="0" w:right="0"/>
              <w:jc w:val="center"/>
              <w:rPr>
                <w:rFonts w:hint="default"/>
                <w:snapToGrid w:val="0"/>
                <w:sz w:val="21"/>
                <w:szCs w:val="21"/>
                <w:highlight w:val="none"/>
              </w:rPr>
            </w:pPr>
            <w:r>
              <w:rPr>
                <w:rFonts w:hint="default"/>
                <w:snapToGrid w:val="0"/>
                <w:sz w:val="21"/>
                <w:szCs w:val="21"/>
                <w:highlight w:val="none"/>
              </w:rPr>
              <w:t>0（</w:t>
            </w:r>
            <w:r>
              <w:rPr>
                <w:rFonts w:hint="eastAsia"/>
                <w:snapToGrid w:val="0"/>
                <w:sz w:val="21"/>
                <w:szCs w:val="21"/>
                <w:highlight w:val="none"/>
                <w:lang w:val="en-US" w:eastAsia="zh-CN"/>
              </w:rPr>
              <w:t>0.2</w:t>
            </w:r>
            <w:r>
              <w:rPr>
                <w:rFonts w:hint="default"/>
                <w:snapToGrid w:val="0"/>
                <w:sz w:val="21"/>
                <w:szCs w:val="21"/>
                <w:highlight w:val="none"/>
              </w:rPr>
              <w:t>）</w:t>
            </w:r>
          </w:p>
        </w:tc>
        <w:tc>
          <w:tcPr>
            <w:tcW w:w="1327" w:type="dxa"/>
            <w:vAlign w:val="center"/>
          </w:tcPr>
          <w:p w14:paraId="711413C3">
            <w:pPr>
              <w:pStyle w:val="65"/>
              <w:keepNext w:val="0"/>
              <w:keepLines w:val="0"/>
              <w:suppressLineNumbers w:val="0"/>
              <w:spacing w:before="0" w:beforeLines="0" w:beforeAutospacing="0" w:after="0" w:afterLines="0" w:afterAutospacing="0" w:line="288" w:lineRule="auto"/>
              <w:ind w:left="0" w:right="0"/>
              <w:rPr>
                <w:rFonts w:hint="default" w:ascii="Times New Roman"/>
                <w:snapToGrid w:val="0"/>
                <w:sz w:val="21"/>
                <w:szCs w:val="21"/>
                <w:highlight w:val="none"/>
              </w:rPr>
            </w:pPr>
            <w:r>
              <w:rPr>
                <w:rFonts w:hint="eastAsia" w:ascii="Times New Roman"/>
                <w:snapToGrid w:val="0"/>
                <w:sz w:val="21"/>
                <w:szCs w:val="21"/>
                <w:highlight w:val="none"/>
              </w:rPr>
              <w:t>/</w:t>
            </w:r>
          </w:p>
        </w:tc>
        <w:tc>
          <w:tcPr>
            <w:tcW w:w="1785" w:type="dxa"/>
            <w:shd w:val="clear" w:color="auto" w:fill="auto"/>
            <w:vAlign w:val="center"/>
          </w:tcPr>
          <w:p w14:paraId="74FBFAEF">
            <w:pPr>
              <w:keepNext w:val="0"/>
              <w:keepLines w:val="0"/>
              <w:suppressLineNumbers w:val="0"/>
              <w:spacing w:before="0" w:beforeAutospacing="0" w:after="0" w:afterAutospacing="0" w:line="288" w:lineRule="auto"/>
              <w:ind w:left="0" w:right="0"/>
              <w:jc w:val="center"/>
              <w:rPr>
                <w:rFonts w:hint="default" w:ascii="Times New Roman" w:hAnsi="Times New Roman" w:eastAsia="宋体" w:cs="Times New Roman"/>
                <w:snapToGrid w:val="0"/>
                <w:kern w:val="2"/>
                <w:sz w:val="21"/>
                <w:szCs w:val="21"/>
                <w:highlight w:val="none"/>
                <w:lang w:val="en-US" w:eastAsia="zh-CN" w:bidi="ar-SA"/>
              </w:rPr>
            </w:pPr>
            <w:r>
              <w:rPr>
                <w:rFonts w:hint="default"/>
                <w:snapToGrid w:val="0"/>
                <w:sz w:val="21"/>
                <w:szCs w:val="21"/>
                <w:highlight w:val="none"/>
              </w:rPr>
              <w:t>0（</w:t>
            </w:r>
            <w:r>
              <w:rPr>
                <w:rFonts w:hint="eastAsia"/>
                <w:snapToGrid w:val="0"/>
                <w:sz w:val="21"/>
                <w:szCs w:val="21"/>
                <w:highlight w:val="none"/>
                <w:lang w:val="en-US" w:eastAsia="zh-CN"/>
              </w:rPr>
              <w:t>0.2</w:t>
            </w:r>
            <w:r>
              <w:rPr>
                <w:rFonts w:hint="default"/>
                <w:snapToGrid w:val="0"/>
                <w:sz w:val="21"/>
                <w:szCs w:val="21"/>
                <w:highlight w:val="none"/>
              </w:rPr>
              <w:t>）</w:t>
            </w:r>
          </w:p>
        </w:tc>
        <w:tc>
          <w:tcPr>
            <w:tcW w:w="1352" w:type="dxa"/>
            <w:vAlign w:val="center"/>
          </w:tcPr>
          <w:p w14:paraId="40CB2AD3">
            <w:pPr>
              <w:keepNext w:val="0"/>
              <w:keepLines w:val="0"/>
              <w:suppressLineNumbers w:val="0"/>
              <w:spacing w:before="0" w:beforeAutospacing="0" w:after="0" w:afterAutospacing="0" w:line="288" w:lineRule="auto"/>
              <w:ind w:left="0" w:right="0"/>
              <w:jc w:val="center"/>
              <w:rPr>
                <w:rFonts w:hint="default"/>
                <w:snapToGrid w:val="0"/>
                <w:sz w:val="21"/>
                <w:szCs w:val="21"/>
                <w:highlight w:val="none"/>
              </w:rPr>
            </w:pPr>
            <w:r>
              <w:rPr>
                <w:rFonts w:hint="default"/>
                <w:snapToGrid w:val="0"/>
                <w:sz w:val="21"/>
                <w:szCs w:val="21"/>
                <w:highlight w:val="none"/>
              </w:rPr>
              <w:t>0（</w:t>
            </w:r>
            <w:r>
              <w:rPr>
                <w:rFonts w:hint="eastAsia"/>
                <w:snapToGrid w:val="0"/>
                <w:sz w:val="21"/>
                <w:szCs w:val="21"/>
                <w:highlight w:val="none"/>
                <w:lang w:val="en-US" w:eastAsia="zh-CN"/>
              </w:rPr>
              <w:t>+0.2</w:t>
            </w:r>
            <w:r>
              <w:rPr>
                <w:rFonts w:hint="default"/>
                <w:snapToGrid w:val="0"/>
                <w:sz w:val="21"/>
                <w:szCs w:val="21"/>
                <w:highlight w:val="none"/>
              </w:rPr>
              <w:t>）</w:t>
            </w:r>
          </w:p>
        </w:tc>
      </w:tr>
      <w:tr w14:paraId="6EC09427">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158" w:hRule="atLeast"/>
        </w:trPr>
        <w:tc>
          <w:tcPr>
            <w:tcW w:w="1089" w:type="dxa"/>
            <w:vMerge w:val="continue"/>
            <w:vAlign w:val="center"/>
          </w:tcPr>
          <w:p w14:paraId="4ACDE17B">
            <w:pPr>
              <w:pStyle w:val="65"/>
              <w:keepNext w:val="0"/>
              <w:keepLines w:val="0"/>
              <w:suppressLineNumbers w:val="0"/>
              <w:spacing w:before="0" w:beforeLines="0" w:beforeAutospacing="0" w:after="0" w:afterLines="0" w:afterAutospacing="0" w:line="288" w:lineRule="auto"/>
              <w:ind w:left="0" w:right="0"/>
              <w:rPr>
                <w:rFonts w:hint="default" w:ascii="Times New Roman" w:hAnsi="宋体"/>
                <w:snapToGrid w:val="0"/>
                <w:sz w:val="21"/>
                <w:szCs w:val="21"/>
                <w:highlight w:val="none"/>
              </w:rPr>
            </w:pPr>
          </w:p>
        </w:tc>
        <w:tc>
          <w:tcPr>
            <w:tcW w:w="2737" w:type="dxa"/>
            <w:shd w:val="clear" w:color="auto" w:fill="auto"/>
            <w:vAlign w:val="center"/>
          </w:tcPr>
          <w:p w14:paraId="542B335E">
            <w:pPr>
              <w:keepNext w:val="0"/>
              <w:keepLines w:val="0"/>
              <w:pageBreakBefore w:val="0"/>
              <w:suppressLineNumbers w:val="0"/>
              <w:kinsoku/>
              <w:wordWrap/>
              <w:overflowPunct/>
              <w:topLinePunct w:val="0"/>
              <w:autoSpaceDE/>
              <w:autoSpaceDN/>
              <w:bidi w:val="0"/>
              <w:adjustRightInd w:val="0"/>
              <w:snapToGrid w:val="0"/>
              <w:spacing w:before="0" w:beforeAutospacing="0" w:after="0" w:afterAutospacing="0" w:line="264" w:lineRule="auto"/>
              <w:ind w:left="0" w:right="0"/>
              <w:jc w:val="center"/>
              <w:textAlignment w:val="auto"/>
              <w:rPr>
                <w:rFonts w:hint="eastAsia" w:ascii="Times New Roman" w:hAnsi="Times New Roman" w:eastAsia="宋体" w:cs="Times New Roman"/>
                <w:kern w:val="2"/>
                <w:sz w:val="21"/>
                <w:szCs w:val="21"/>
                <w:highlight w:val="none"/>
                <w:lang w:val="en-US" w:eastAsia="zh-CN" w:bidi="ar-SA"/>
              </w:rPr>
            </w:pPr>
            <w:r>
              <w:rPr>
                <w:rFonts w:hint="eastAsia" w:ascii="Times New Roman" w:hAnsi="Times New Roman" w:eastAsia="宋体" w:cs="Times New Roman"/>
                <w:sz w:val="21"/>
                <w:szCs w:val="21"/>
                <w:highlight w:val="none"/>
              </w:rPr>
              <w:t>废活性炭</w:t>
            </w:r>
            <w:r>
              <w:rPr>
                <w:rFonts w:hint="default"/>
                <w:snapToGrid w:val="0"/>
                <w:sz w:val="21"/>
                <w:szCs w:val="21"/>
                <w:highlight w:val="none"/>
              </w:rPr>
              <w:t>（t/a）</w:t>
            </w:r>
          </w:p>
        </w:tc>
        <w:tc>
          <w:tcPr>
            <w:tcW w:w="1553" w:type="dxa"/>
            <w:vAlign w:val="center"/>
          </w:tcPr>
          <w:p w14:paraId="1842606E">
            <w:pPr>
              <w:keepNext w:val="0"/>
              <w:keepLines w:val="0"/>
              <w:suppressLineNumbers w:val="0"/>
              <w:spacing w:before="0" w:beforeAutospacing="0" w:after="0" w:afterAutospacing="0" w:line="288" w:lineRule="auto"/>
              <w:ind w:left="0" w:right="0"/>
              <w:jc w:val="center"/>
              <w:rPr>
                <w:rFonts w:hint="default"/>
                <w:snapToGrid w:val="0"/>
                <w:sz w:val="21"/>
                <w:szCs w:val="21"/>
                <w:highlight w:val="none"/>
              </w:rPr>
            </w:pPr>
            <w:r>
              <w:rPr>
                <w:rFonts w:hint="default"/>
                <w:snapToGrid w:val="0"/>
                <w:sz w:val="21"/>
                <w:szCs w:val="21"/>
                <w:highlight w:val="none"/>
              </w:rPr>
              <w:t>/</w:t>
            </w:r>
          </w:p>
        </w:tc>
        <w:tc>
          <w:tcPr>
            <w:tcW w:w="1027" w:type="dxa"/>
            <w:vAlign w:val="center"/>
          </w:tcPr>
          <w:p w14:paraId="3841471A">
            <w:pPr>
              <w:keepNext w:val="0"/>
              <w:keepLines w:val="0"/>
              <w:suppressLineNumbers w:val="0"/>
              <w:spacing w:before="0" w:beforeAutospacing="0" w:after="0" w:afterAutospacing="0" w:line="288" w:lineRule="auto"/>
              <w:ind w:left="0" w:right="0"/>
              <w:jc w:val="center"/>
              <w:rPr>
                <w:rFonts w:hint="default"/>
                <w:snapToGrid w:val="0"/>
                <w:sz w:val="21"/>
                <w:szCs w:val="21"/>
                <w:highlight w:val="none"/>
              </w:rPr>
            </w:pPr>
            <w:r>
              <w:rPr>
                <w:rFonts w:hint="default"/>
                <w:snapToGrid w:val="0"/>
                <w:sz w:val="21"/>
                <w:szCs w:val="21"/>
                <w:highlight w:val="none"/>
              </w:rPr>
              <w:t>/</w:t>
            </w:r>
          </w:p>
        </w:tc>
        <w:tc>
          <w:tcPr>
            <w:tcW w:w="1433" w:type="dxa"/>
            <w:vAlign w:val="center"/>
          </w:tcPr>
          <w:p w14:paraId="2D21F83D">
            <w:pPr>
              <w:keepNext w:val="0"/>
              <w:keepLines w:val="0"/>
              <w:suppressLineNumbers w:val="0"/>
              <w:spacing w:before="0" w:beforeAutospacing="0" w:after="0" w:afterAutospacing="0" w:line="288" w:lineRule="auto"/>
              <w:ind w:left="0" w:right="0"/>
              <w:jc w:val="center"/>
              <w:rPr>
                <w:rFonts w:hint="default"/>
                <w:snapToGrid w:val="0"/>
                <w:sz w:val="21"/>
                <w:szCs w:val="21"/>
                <w:highlight w:val="none"/>
              </w:rPr>
            </w:pPr>
            <w:r>
              <w:rPr>
                <w:rFonts w:hint="default"/>
                <w:snapToGrid w:val="0"/>
                <w:sz w:val="21"/>
                <w:szCs w:val="21"/>
                <w:highlight w:val="none"/>
              </w:rPr>
              <w:t>/</w:t>
            </w:r>
          </w:p>
        </w:tc>
        <w:tc>
          <w:tcPr>
            <w:tcW w:w="1485" w:type="dxa"/>
            <w:vAlign w:val="center"/>
          </w:tcPr>
          <w:p w14:paraId="43FA2088">
            <w:pPr>
              <w:keepNext w:val="0"/>
              <w:keepLines w:val="0"/>
              <w:suppressLineNumbers w:val="0"/>
              <w:spacing w:before="0" w:beforeAutospacing="0" w:after="0" w:afterAutospacing="0" w:line="288" w:lineRule="auto"/>
              <w:ind w:left="0" w:right="0"/>
              <w:jc w:val="center"/>
              <w:rPr>
                <w:rFonts w:hint="default"/>
                <w:snapToGrid w:val="0"/>
                <w:sz w:val="21"/>
                <w:szCs w:val="21"/>
                <w:highlight w:val="none"/>
              </w:rPr>
            </w:pPr>
            <w:r>
              <w:rPr>
                <w:rFonts w:hint="default"/>
                <w:snapToGrid w:val="0"/>
                <w:sz w:val="21"/>
                <w:szCs w:val="21"/>
                <w:highlight w:val="none"/>
              </w:rPr>
              <w:t>0（</w:t>
            </w:r>
            <w:r>
              <w:rPr>
                <w:rFonts w:hint="eastAsia"/>
                <w:snapToGrid w:val="0"/>
                <w:sz w:val="21"/>
                <w:szCs w:val="21"/>
                <w:highlight w:val="none"/>
                <w:lang w:val="en-US" w:eastAsia="zh-CN"/>
              </w:rPr>
              <w:t>0.1</w:t>
            </w:r>
            <w:r>
              <w:rPr>
                <w:rFonts w:hint="default"/>
                <w:snapToGrid w:val="0"/>
                <w:sz w:val="21"/>
                <w:szCs w:val="21"/>
                <w:highlight w:val="none"/>
              </w:rPr>
              <w:t>）</w:t>
            </w:r>
          </w:p>
        </w:tc>
        <w:tc>
          <w:tcPr>
            <w:tcW w:w="1327" w:type="dxa"/>
            <w:vAlign w:val="center"/>
          </w:tcPr>
          <w:p w14:paraId="12120866">
            <w:pPr>
              <w:pStyle w:val="65"/>
              <w:keepNext w:val="0"/>
              <w:keepLines w:val="0"/>
              <w:suppressLineNumbers w:val="0"/>
              <w:spacing w:before="0" w:beforeLines="0" w:beforeAutospacing="0" w:after="0" w:afterLines="0" w:afterAutospacing="0" w:line="288" w:lineRule="auto"/>
              <w:ind w:left="0" w:right="0"/>
              <w:rPr>
                <w:rFonts w:hint="default" w:ascii="Times New Roman"/>
                <w:snapToGrid w:val="0"/>
                <w:sz w:val="21"/>
                <w:szCs w:val="21"/>
                <w:highlight w:val="none"/>
              </w:rPr>
            </w:pPr>
            <w:r>
              <w:rPr>
                <w:rFonts w:hint="eastAsia" w:ascii="Times New Roman"/>
                <w:snapToGrid w:val="0"/>
                <w:sz w:val="21"/>
                <w:szCs w:val="21"/>
                <w:highlight w:val="none"/>
              </w:rPr>
              <w:t>/</w:t>
            </w:r>
          </w:p>
        </w:tc>
        <w:tc>
          <w:tcPr>
            <w:tcW w:w="1785" w:type="dxa"/>
            <w:shd w:val="clear" w:color="auto" w:fill="auto"/>
            <w:vAlign w:val="center"/>
          </w:tcPr>
          <w:p w14:paraId="4B5BBEA1">
            <w:pPr>
              <w:keepNext w:val="0"/>
              <w:keepLines w:val="0"/>
              <w:suppressLineNumbers w:val="0"/>
              <w:spacing w:before="0" w:beforeAutospacing="0" w:after="0" w:afterAutospacing="0" w:line="288" w:lineRule="auto"/>
              <w:ind w:left="0" w:right="0"/>
              <w:jc w:val="center"/>
              <w:rPr>
                <w:rFonts w:hint="default" w:ascii="Times New Roman" w:hAnsi="Times New Roman" w:eastAsia="宋体" w:cs="Times New Roman"/>
                <w:snapToGrid w:val="0"/>
                <w:kern w:val="2"/>
                <w:sz w:val="21"/>
                <w:szCs w:val="21"/>
                <w:highlight w:val="none"/>
                <w:lang w:val="en-US" w:eastAsia="zh-CN" w:bidi="ar-SA"/>
              </w:rPr>
            </w:pPr>
            <w:r>
              <w:rPr>
                <w:rFonts w:hint="default"/>
                <w:snapToGrid w:val="0"/>
                <w:sz w:val="21"/>
                <w:szCs w:val="21"/>
                <w:highlight w:val="none"/>
              </w:rPr>
              <w:t>0（</w:t>
            </w:r>
            <w:r>
              <w:rPr>
                <w:rFonts w:hint="eastAsia"/>
                <w:snapToGrid w:val="0"/>
                <w:sz w:val="21"/>
                <w:szCs w:val="21"/>
                <w:highlight w:val="none"/>
                <w:lang w:val="en-US" w:eastAsia="zh-CN"/>
              </w:rPr>
              <w:t>0.1</w:t>
            </w:r>
            <w:r>
              <w:rPr>
                <w:rFonts w:hint="default"/>
                <w:snapToGrid w:val="0"/>
                <w:sz w:val="21"/>
                <w:szCs w:val="21"/>
                <w:highlight w:val="none"/>
              </w:rPr>
              <w:t>）</w:t>
            </w:r>
          </w:p>
        </w:tc>
        <w:tc>
          <w:tcPr>
            <w:tcW w:w="1352" w:type="dxa"/>
            <w:vAlign w:val="center"/>
          </w:tcPr>
          <w:p w14:paraId="713D4811">
            <w:pPr>
              <w:keepNext w:val="0"/>
              <w:keepLines w:val="0"/>
              <w:suppressLineNumbers w:val="0"/>
              <w:spacing w:before="0" w:beforeAutospacing="0" w:after="0" w:afterAutospacing="0" w:line="288" w:lineRule="auto"/>
              <w:ind w:left="0" w:right="0"/>
              <w:jc w:val="center"/>
              <w:rPr>
                <w:rFonts w:hint="default"/>
                <w:snapToGrid w:val="0"/>
                <w:sz w:val="21"/>
                <w:szCs w:val="21"/>
                <w:highlight w:val="none"/>
              </w:rPr>
            </w:pPr>
            <w:r>
              <w:rPr>
                <w:rFonts w:hint="default"/>
                <w:snapToGrid w:val="0"/>
                <w:sz w:val="21"/>
                <w:szCs w:val="21"/>
                <w:highlight w:val="none"/>
              </w:rPr>
              <w:t>0（</w:t>
            </w:r>
            <w:r>
              <w:rPr>
                <w:rFonts w:hint="eastAsia"/>
                <w:snapToGrid w:val="0"/>
                <w:sz w:val="21"/>
                <w:szCs w:val="21"/>
                <w:highlight w:val="none"/>
                <w:lang w:val="en-US" w:eastAsia="zh-CN"/>
              </w:rPr>
              <w:t>+0.1</w:t>
            </w:r>
            <w:r>
              <w:rPr>
                <w:rFonts w:hint="default"/>
                <w:snapToGrid w:val="0"/>
                <w:sz w:val="21"/>
                <w:szCs w:val="21"/>
                <w:highlight w:val="none"/>
              </w:rPr>
              <w:t>）</w:t>
            </w:r>
          </w:p>
        </w:tc>
      </w:tr>
      <w:tr w14:paraId="53CFF96D">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158" w:hRule="atLeast"/>
        </w:trPr>
        <w:tc>
          <w:tcPr>
            <w:tcW w:w="1089" w:type="dxa"/>
            <w:vMerge w:val="continue"/>
            <w:vAlign w:val="center"/>
          </w:tcPr>
          <w:p w14:paraId="214CBDB0">
            <w:pPr>
              <w:pStyle w:val="65"/>
              <w:keepNext w:val="0"/>
              <w:keepLines w:val="0"/>
              <w:suppressLineNumbers w:val="0"/>
              <w:spacing w:before="0" w:beforeLines="0" w:beforeAutospacing="0" w:after="0" w:afterLines="0" w:afterAutospacing="0" w:line="288" w:lineRule="auto"/>
              <w:ind w:left="0" w:right="0"/>
              <w:rPr>
                <w:rFonts w:hint="default" w:ascii="Times New Roman" w:hAnsi="宋体"/>
                <w:snapToGrid w:val="0"/>
                <w:sz w:val="21"/>
                <w:szCs w:val="21"/>
                <w:highlight w:val="none"/>
              </w:rPr>
            </w:pPr>
          </w:p>
        </w:tc>
        <w:tc>
          <w:tcPr>
            <w:tcW w:w="2737" w:type="dxa"/>
            <w:shd w:val="clear" w:color="auto" w:fill="auto"/>
            <w:vAlign w:val="center"/>
          </w:tcPr>
          <w:p w14:paraId="71C3D016">
            <w:pPr>
              <w:keepNext w:val="0"/>
              <w:keepLines w:val="0"/>
              <w:pageBreakBefore w:val="0"/>
              <w:suppressLineNumbers w:val="0"/>
              <w:kinsoku/>
              <w:wordWrap/>
              <w:overflowPunct/>
              <w:topLinePunct w:val="0"/>
              <w:autoSpaceDE/>
              <w:autoSpaceDN/>
              <w:bidi w:val="0"/>
              <w:adjustRightInd w:val="0"/>
              <w:snapToGrid w:val="0"/>
              <w:spacing w:before="0" w:beforeAutospacing="0" w:after="0" w:afterAutospacing="0" w:line="264" w:lineRule="auto"/>
              <w:ind w:left="0" w:right="0"/>
              <w:jc w:val="center"/>
              <w:textAlignment w:val="auto"/>
              <w:rPr>
                <w:rFonts w:hint="eastAsia" w:ascii="Times New Roman" w:hAnsi="Times New Roman" w:eastAsia="宋体" w:cs="Times New Roman"/>
                <w:kern w:val="2"/>
                <w:sz w:val="21"/>
                <w:szCs w:val="21"/>
                <w:highlight w:val="none"/>
                <w:lang w:val="en-US" w:eastAsia="zh-CN" w:bidi="ar-SA"/>
              </w:rPr>
            </w:pPr>
            <w:r>
              <w:rPr>
                <w:rFonts w:hint="eastAsia" w:ascii="Times New Roman" w:hAnsi="Times New Roman" w:eastAsia="宋体" w:cs="Times New Roman"/>
                <w:sz w:val="21"/>
                <w:szCs w:val="21"/>
                <w:highlight w:val="none"/>
              </w:rPr>
              <w:t>废树脂</w:t>
            </w:r>
            <w:r>
              <w:rPr>
                <w:rFonts w:hint="default"/>
                <w:snapToGrid w:val="0"/>
                <w:sz w:val="21"/>
                <w:szCs w:val="21"/>
                <w:highlight w:val="none"/>
              </w:rPr>
              <w:t>（t/a）</w:t>
            </w:r>
          </w:p>
        </w:tc>
        <w:tc>
          <w:tcPr>
            <w:tcW w:w="1553" w:type="dxa"/>
            <w:vAlign w:val="center"/>
          </w:tcPr>
          <w:p w14:paraId="64E8E497">
            <w:pPr>
              <w:keepNext w:val="0"/>
              <w:keepLines w:val="0"/>
              <w:suppressLineNumbers w:val="0"/>
              <w:spacing w:before="0" w:beforeAutospacing="0" w:after="0" w:afterAutospacing="0" w:line="288" w:lineRule="auto"/>
              <w:ind w:left="0" w:right="0"/>
              <w:jc w:val="center"/>
              <w:rPr>
                <w:rFonts w:hint="default"/>
                <w:snapToGrid w:val="0"/>
                <w:sz w:val="21"/>
                <w:szCs w:val="21"/>
                <w:highlight w:val="none"/>
              </w:rPr>
            </w:pPr>
            <w:r>
              <w:rPr>
                <w:rFonts w:hint="default"/>
                <w:snapToGrid w:val="0"/>
                <w:sz w:val="21"/>
                <w:szCs w:val="21"/>
                <w:highlight w:val="none"/>
              </w:rPr>
              <w:t>/</w:t>
            </w:r>
          </w:p>
        </w:tc>
        <w:tc>
          <w:tcPr>
            <w:tcW w:w="1027" w:type="dxa"/>
            <w:vAlign w:val="center"/>
          </w:tcPr>
          <w:p w14:paraId="487E9642">
            <w:pPr>
              <w:keepNext w:val="0"/>
              <w:keepLines w:val="0"/>
              <w:suppressLineNumbers w:val="0"/>
              <w:spacing w:before="0" w:beforeAutospacing="0" w:after="0" w:afterAutospacing="0" w:line="288" w:lineRule="auto"/>
              <w:ind w:left="0" w:right="0"/>
              <w:jc w:val="center"/>
              <w:rPr>
                <w:rFonts w:hint="default"/>
                <w:snapToGrid w:val="0"/>
                <w:sz w:val="21"/>
                <w:szCs w:val="21"/>
                <w:highlight w:val="none"/>
              </w:rPr>
            </w:pPr>
            <w:r>
              <w:rPr>
                <w:rFonts w:hint="default"/>
                <w:snapToGrid w:val="0"/>
                <w:sz w:val="21"/>
                <w:szCs w:val="21"/>
                <w:highlight w:val="none"/>
              </w:rPr>
              <w:t>/</w:t>
            </w:r>
          </w:p>
        </w:tc>
        <w:tc>
          <w:tcPr>
            <w:tcW w:w="1433" w:type="dxa"/>
            <w:vAlign w:val="center"/>
          </w:tcPr>
          <w:p w14:paraId="772D7A04">
            <w:pPr>
              <w:keepNext w:val="0"/>
              <w:keepLines w:val="0"/>
              <w:suppressLineNumbers w:val="0"/>
              <w:spacing w:before="0" w:beforeAutospacing="0" w:after="0" w:afterAutospacing="0" w:line="288" w:lineRule="auto"/>
              <w:ind w:left="0" w:right="0"/>
              <w:jc w:val="center"/>
              <w:rPr>
                <w:rFonts w:hint="default"/>
                <w:snapToGrid w:val="0"/>
                <w:sz w:val="21"/>
                <w:szCs w:val="21"/>
                <w:highlight w:val="none"/>
              </w:rPr>
            </w:pPr>
            <w:r>
              <w:rPr>
                <w:rFonts w:hint="default"/>
                <w:snapToGrid w:val="0"/>
                <w:sz w:val="21"/>
                <w:szCs w:val="21"/>
                <w:highlight w:val="none"/>
              </w:rPr>
              <w:t>/</w:t>
            </w:r>
          </w:p>
        </w:tc>
        <w:tc>
          <w:tcPr>
            <w:tcW w:w="1485" w:type="dxa"/>
            <w:vAlign w:val="center"/>
          </w:tcPr>
          <w:p w14:paraId="1C3D7D12">
            <w:pPr>
              <w:keepNext w:val="0"/>
              <w:keepLines w:val="0"/>
              <w:suppressLineNumbers w:val="0"/>
              <w:spacing w:before="0" w:beforeAutospacing="0" w:after="0" w:afterAutospacing="0" w:line="288" w:lineRule="auto"/>
              <w:ind w:left="0" w:right="0"/>
              <w:jc w:val="center"/>
              <w:rPr>
                <w:rFonts w:hint="default"/>
                <w:snapToGrid w:val="0"/>
                <w:sz w:val="21"/>
                <w:szCs w:val="21"/>
                <w:highlight w:val="none"/>
              </w:rPr>
            </w:pPr>
            <w:r>
              <w:rPr>
                <w:rFonts w:hint="default"/>
                <w:snapToGrid w:val="0"/>
                <w:sz w:val="21"/>
                <w:szCs w:val="21"/>
                <w:highlight w:val="none"/>
              </w:rPr>
              <w:t>0（</w:t>
            </w:r>
            <w:r>
              <w:rPr>
                <w:rFonts w:hint="eastAsia"/>
                <w:snapToGrid w:val="0"/>
                <w:sz w:val="21"/>
                <w:szCs w:val="21"/>
                <w:highlight w:val="none"/>
                <w:lang w:val="en-US" w:eastAsia="zh-CN"/>
              </w:rPr>
              <w:t>2</w:t>
            </w:r>
            <w:r>
              <w:rPr>
                <w:rFonts w:hint="default"/>
                <w:snapToGrid w:val="0"/>
                <w:sz w:val="21"/>
                <w:szCs w:val="21"/>
                <w:highlight w:val="none"/>
              </w:rPr>
              <w:t>）</w:t>
            </w:r>
          </w:p>
        </w:tc>
        <w:tc>
          <w:tcPr>
            <w:tcW w:w="1327" w:type="dxa"/>
            <w:vAlign w:val="center"/>
          </w:tcPr>
          <w:p w14:paraId="2F47420D">
            <w:pPr>
              <w:keepNext w:val="0"/>
              <w:keepLines w:val="0"/>
              <w:suppressLineNumbers w:val="0"/>
              <w:spacing w:before="0" w:beforeLines="0" w:beforeAutospacing="0" w:after="0" w:afterLines="0" w:afterAutospacing="0" w:line="288" w:lineRule="auto"/>
              <w:ind w:left="0" w:right="0"/>
              <w:jc w:val="center"/>
              <w:rPr>
                <w:rFonts w:hint="eastAsia" w:ascii="Times New Roman"/>
                <w:snapToGrid w:val="0"/>
                <w:sz w:val="21"/>
                <w:szCs w:val="21"/>
                <w:highlight w:val="none"/>
              </w:rPr>
            </w:pPr>
            <w:r>
              <w:rPr>
                <w:rFonts w:hint="eastAsia" w:ascii="Times New Roman"/>
                <w:snapToGrid w:val="0"/>
                <w:sz w:val="21"/>
                <w:szCs w:val="21"/>
                <w:highlight w:val="none"/>
              </w:rPr>
              <w:t>/</w:t>
            </w:r>
          </w:p>
        </w:tc>
        <w:tc>
          <w:tcPr>
            <w:tcW w:w="1785" w:type="dxa"/>
            <w:shd w:val="clear" w:color="auto" w:fill="auto"/>
            <w:vAlign w:val="center"/>
          </w:tcPr>
          <w:p w14:paraId="48C05943">
            <w:pPr>
              <w:keepNext w:val="0"/>
              <w:keepLines w:val="0"/>
              <w:suppressLineNumbers w:val="0"/>
              <w:spacing w:before="0" w:beforeAutospacing="0" w:after="0" w:afterAutospacing="0" w:line="288" w:lineRule="auto"/>
              <w:ind w:left="0" w:right="0"/>
              <w:jc w:val="center"/>
              <w:rPr>
                <w:rFonts w:hint="default" w:ascii="Times New Roman" w:hAnsi="Times New Roman" w:eastAsia="宋体" w:cs="Times New Roman"/>
                <w:snapToGrid w:val="0"/>
                <w:kern w:val="2"/>
                <w:sz w:val="21"/>
                <w:szCs w:val="21"/>
                <w:highlight w:val="none"/>
                <w:lang w:val="en-US" w:eastAsia="zh-CN" w:bidi="ar-SA"/>
              </w:rPr>
            </w:pPr>
            <w:r>
              <w:rPr>
                <w:rFonts w:hint="default"/>
                <w:snapToGrid w:val="0"/>
                <w:sz w:val="21"/>
                <w:szCs w:val="21"/>
                <w:highlight w:val="none"/>
              </w:rPr>
              <w:t>0（</w:t>
            </w:r>
            <w:r>
              <w:rPr>
                <w:rFonts w:hint="eastAsia"/>
                <w:snapToGrid w:val="0"/>
                <w:sz w:val="21"/>
                <w:szCs w:val="21"/>
                <w:highlight w:val="none"/>
                <w:lang w:val="en-US" w:eastAsia="zh-CN"/>
              </w:rPr>
              <w:t>2</w:t>
            </w:r>
            <w:r>
              <w:rPr>
                <w:rFonts w:hint="default"/>
                <w:snapToGrid w:val="0"/>
                <w:sz w:val="21"/>
                <w:szCs w:val="21"/>
                <w:highlight w:val="none"/>
              </w:rPr>
              <w:t>）</w:t>
            </w:r>
          </w:p>
        </w:tc>
        <w:tc>
          <w:tcPr>
            <w:tcW w:w="1352" w:type="dxa"/>
            <w:vAlign w:val="center"/>
          </w:tcPr>
          <w:p w14:paraId="25F47EFF">
            <w:pPr>
              <w:keepNext w:val="0"/>
              <w:keepLines w:val="0"/>
              <w:suppressLineNumbers w:val="0"/>
              <w:spacing w:before="0" w:beforeAutospacing="0" w:after="0" w:afterAutospacing="0" w:line="288" w:lineRule="auto"/>
              <w:ind w:left="0" w:right="0"/>
              <w:jc w:val="center"/>
              <w:rPr>
                <w:rFonts w:hint="eastAsia"/>
                <w:snapToGrid w:val="0"/>
                <w:sz w:val="21"/>
                <w:szCs w:val="21"/>
                <w:highlight w:val="none"/>
              </w:rPr>
            </w:pPr>
            <w:r>
              <w:rPr>
                <w:rFonts w:hint="default"/>
                <w:snapToGrid w:val="0"/>
                <w:sz w:val="21"/>
                <w:szCs w:val="21"/>
                <w:highlight w:val="none"/>
              </w:rPr>
              <w:t>0（</w:t>
            </w:r>
            <w:r>
              <w:rPr>
                <w:rFonts w:hint="eastAsia"/>
                <w:snapToGrid w:val="0"/>
                <w:sz w:val="21"/>
                <w:szCs w:val="21"/>
                <w:highlight w:val="none"/>
                <w:lang w:val="en-US" w:eastAsia="zh-CN"/>
              </w:rPr>
              <w:t>+2</w:t>
            </w:r>
            <w:r>
              <w:rPr>
                <w:rFonts w:hint="default"/>
                <w:snapToGrid w:val="0"/>
                <w:sz w:val="21"/>
                <w:szCs w:val="21"/>
                <w:highlight w:val="none"/>
              </w:rPr>
              <w:t>）</w:t>
            </w:r>
          </w:p>
        </w:tc>
      </w:tr>
      <w:tr w14:paraId="4DCC8C34">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158" w:hRule="atLeast"/>
        </w:trPr>
        <w:tc>
          <w:tcPr>
            <w:tcW w:w="1089" w:type="dxa"/>
            <w:vMerge w:val="continue"/>
            <w:vAlign w:val="center"/>
          </w:tcPr>
          <w:p w14:paraId="54DD0F32">
            <w:pPr>
              <w:pStyle w:val="65"/>
              <w:keepNext w:val="0"/>
              <w:keepLines w:val="0"/>
              <w:suppressLineNumbers w:val="0"/>
              <w:spacing w:before="0" w:beforeLines="0" w:beforeAutospacing="0" w:after="0" w:afterLines="0" w:afterAutospacing="0" w:line="288" w:lineRule="auto"/>
              <w:ind w:left="0" w:right="0"/>
              <w:rPr>
                <w:rFonts w:hint="default" w:ascii="Times New Roman" w:hAnsi="宋体"/>
                <w:snapToGrid w:val="0"/>
                <w:sz w:val="21"/>
                <w:szCs w:val="21"/>
                <w:highlight w:val="none"/>
              </w:rPr>
            </w:pPr>
          </w:p>
        </w:tc>
        <w:tc>
          <w:tcPr>
            <w:tcW w:w="2737" w:type="dxa"/>
            <w:shd w:val="clear" w:color="auto" w:fill="auto"/>
            <w:vAlign w:val="center"/>
          </w:tcPr>
          <w:p w14:paraId="610D5EE9">
            <w:pPr>
              <w:keepNext w:val="0"/>
              <w:keepLines w:val="0"/>
              <w:pageBreakBefore w:val="0"/>
              <w:suppressLineNumbers w:val="0"/>
              <w:kinsoku/>
              <w:wordWrap/>
              <w:overflowPunct/>
              <w:topLinePunct w:val="0"/>
              <w:autoSpaceDE/>
              <w:autoSpaceDN/>
              <w:bidi w:val="0"/>
              <w:adjustRightInd w:val="0"/>
              <w:snapToGrid w:val="0"/>
              <w:spacing w:before="0" w:beforeAutospacing="0" w:after="0" w:afterAutospacing="0" w:line="264" w:lineRule="auto"/>
              <w:ind w:left="0" w:right="0"/>
              <w:jc w:val="center"/>
              <w:textAlignment w:val="auto"/>
              <w:rPr>
                <w:rFonts w:hint="eastAsia" w:ascii="Times New Roman" w:hAnsi="Times New Roman" w:eastAsia="宋体" w:cs="Times New Roman"/>
                <w:kern w:val="2"/>
                <w:sz w:val="21"/>
                <w:szCs w:val="21"/>
                <w:highlight w:val="none"/>
                <w:lang w:val="en-US" w:eastAsia="zh-CN" w:bidi="ar-SA"/>
              </w:rPr>
            </w:pPr>
            <w:r>
              <w:rPr>
                <w:rFonts w:hint="eastAsia" w:ascii="Times New Roman" w:hAnsi="Times New Roman" w:eastAsia="宋体" w:cs="Times New Roman"/>
                <w:sz w:val="21"/>
                <w:szCs w:val="21"/>
                <w:highlight w:val="none"/>
              </w:rPr>
              <w:t>废RO膜</w:t>
            </w:r>
            <w:r>
              <w:rPr>
                <w:rFonts w:hint="default"/>
                <w:snapToGrid w:val="0"/>
                <w:sz w:val="21"/>
                <w:szCs w:val="21"/>
                <w:highlight w:val="none"/>
              </w:rPr>
              <w:t>（t/a）</w:t>
            </w:r>
          </w:p>
        </w:tc>
        <w:tc>
          <w:tcPr>
            <w:tcW w:w="1553" w:type="dxa"/>
            <w:vAlign w:val="center"/>
          </w:tcPr>
          <w:p w14:paraId="31FDEACE">
            <w:pPr>
              <w:keepNext w:val="0"/>
              <w:keepLines w:val="0"/>
              <w:suppressLineNumbers w:val="0"/>
              <w:spacing w:before="0" w:beforeAutospacing="0" w:after="0" w:afterAutospacing="0" w:line="288" w:lineRule="auto"/>
              <w:ind w:left="0" w:right="0"/>
              <w:jc w:val="center"/>
              <w:rPr>
                <w:rFonts w:hint="default"/>
                <w:snapToGrid w:val="0"/>
                <w:sz w:val="21"/>
                <w:szCs w:val="21"/>
                <w:highlight w:val="none"/>
              </w:rPr>
            </w:pPr>
            <w:r>
              <w:rPr>
                <w:rFonts w:hint="default"/>
                <w:snapToGrid w:val="0"/>
                <w:sz w:val="21"/>
                <w:szCs w:val="21"/>
                <w:highlight w:val="none"/>
              </w:rPr>
              <w:t>/</w:t>
            </w:r>
          </w:p>
        </w:tc>
        <w:tc>
          <w:tcPr>
            <w:tcW w:w="1027" w:type="dxa"/>
            <w:vAlign w:val="center"/>
          </w:tcPr>
          <w:p w14:paraId="5410DB10">
            <w:pPr>
              <w:keepNext w:val="0"/>
              <w:keepLines w:val="0"/>
              <w:suppressLineNumbers w:val="0"/>
              <w:spacing w:before="0" w:beforeAutospacing="0" w:after="0" w:afterAutospacing="0" w:line="288" w:lineRule="auto"/>
              <w:ind w:left="0" w:right="0"/>
              <w:jc w:val="center"/>
              <w:rPr>
                <w:rFonts w:hint="default"/>
                <w:snapToGrid w:val="0"/>
                <w:sz w:val="21"/>
                <w:szCs w:val="21"/>
                <w:highlight w:val="none"/>
              </w:rPr>
            </w:pPr>
            <w:r>
              <w:rPr>
                <w:rFonts w:hint="default"/>
                <w:snapToGrid w:val="0"/>
                <w:sz w:val="21"/>
                <w:szCs w:val="21"/>
                <w:highlight w:val="none"/>
              </w:rPr>
              <w:t>/</w:t>
            </w:r>
          </w:p>
        </w:tc>
        <w:tc>
          <w:tcPr>
            <w:tcW w:w="1433" w:type="dxa"/>
            <w:vAlign w:val="center"/>
          </w:tcPr>
          <w:p w14:paraId="6D899103">
            <w:pPr>
              <w:keepNext w:val="0"/>
              <w:keepLines w:val="0"/>
              <w:suppressLineNumbers w:val="0"/>
              <w:spacing w:before="0" w:beforeAutospacing="0" w:after="0" w:afterAutospacing="0" w:line="288" w:lineRule="auto"/>
              <w:ind w:left="0" w:right="0"/>
              <w:jc w:val="center"/>
              <w:rPr>
                <w:rFonts w:hint="default"/>
                <w:snapToGrid w:val="0"/>
                <w:sz w:val="21"/>
                <w:szCs w:val="21"/>
                <w:highlight w:val="none"/>
              </w:rPr>
            </w:pPr>
            <w:r>
              <w:rPr>
                <w:rFonts w:hint="default"/>
                <w:snapToGrid w:val="0"/>
                <w:sz w:val="21"/>
                <w:szCs w:val="21"/>
                <w:highlight w:val="none"/>
              </w:rPr>
              <w:t>/</w:t>
            </w:r>
          </w:p>
        </w:tc>
        <w:tc>
          <w:tcPr>
            <w:tcW w:w="1485" w:type="dxa"/>
            <w:vAlign w:val="center"/>
          </w:tcPr>
          <w:p w14:paraId="0B6C5600">
            <w:pPr>
              <w:keepNext w:val="0"/>
              <w:keepLines w:val="0"/>
              <w:suppressLineNumbers w:val="0"/>
              <w:spacing w:before="0" w:beforeAutospacing="0" w:after="0" w:afterAutospacing="0" w:line="288" w:lineRule="auto"/>
              <w:ind w:left="0" w:right="0"/>
              <w:jc w:val="center"/>
              <w:rPr>
                <w:rFonts w:hint="default"/>
                <w:snapToGrid w:val="0"/>
                <w:sz w:val="21"/>
                <w:szCs w:val="21"/>
                <w:highlight w:val="none"/>
              </w:rPr>
            </w:pPr>
            <w:r>
              <w:rPr>
                <w:rFonts w:hint="default"/>
                <w:snapToGrid w:val="0"/>
                <w:sz w:val="21"/>
                <w:szCs w:val="21"/>
                <w:highlight w:val="none"/>
              </w:rPr>
              <w:t>0（</w:t>
            </w:r>
            <w:r>
              <w:rPr>
                <w:rFonts w:hint="eastAsia"/>
                <w:snapToGrid w:val="0"/>
                <w:sz w:val="21"/>
                <w:szCs w:val="21"/>
                <w:highlight w:val="none"/>
                <w:lang w:val="en-US" w:eastAsia="zh-CN"/>
              </w:rPr>
              <w:t>0.2</w:t>
            </w:r>
            <w:r>
              <w:rPr>
                <w:rFonts w:hint="default"/>
                <w:snapToGrid w:val="0"/>
                <w:sz w:val="21"/>
                <w:szCs w:val="21"/>
                <w:highlight w:val="none"/>
              </w:rPr>
              <w:t>）</w:t>
            </w:r>
          </w:p>
        </w:tc>
        <w:tc>
          <w:tcPr>
            <w:tcW w:w="1327" w:type="dxa"/>
            <w:vAlign w:val="center"/>
          </w:tcPr>
          <w:p w14:paraId="0088B852">
            <w:pPr>
              <w:keepNext w:val="0"/>
              <w:keepLines w:val="0"/>
              <w:suppressLineNumbers w:val="0"/>
              <w:spacing w:before="0" w:beforeLines="0" w:beforeAutospacing="0" w:after="0" w:afterLines="0" w:afterAutospacing="0" w:line="288" w:lineRule="auto"/>
              <w:ind w:left="0" w:right="0"/>
              <w:jc w:val="center"/>
              <w:rPr>
                <w:rFonts w:hint="eastAsia" w:ascii="Times New Roman"/>
                <w:snapToGrid w:val="0"/>
                <w:sz w:val="21"/>
                <w:szCs w:val="21"/>
                <w:highlight w:val="none"/>
              </w:rPr>
            </w:pPr>
            <w:r>
              <w:rPr>
                <w:rFonts w:hint="eastAsia" w:ascii="Times New Roman"/>
                <w:snapToGrid w:val="0"/>
                <w:sz w:val="21"/>
                <w:szCs w:val="21"/>
                <w:highlight w:val="none"/>
              </w:rPr>
              <w:t>/</w:t>
            </w:r>
          </w:p>
        </w:tc>
        <w:tc>
          <w:tcPr>
            <w:tcW w:w="1785" w:type="dxa"/>
            <w:shd w:val="clear" w:color="auto" w:fill="auto"/>
            <w:vAlign w:val="center"/>
          </w:tcPr>
          <w:p w14:paraId="7F3D5302">
            <w:pPr>
              <w:keepNext w:val="0"/>
              <w:keepLines w:val="0"/>
              <w:suppressLineNumbers w:val="0"/>
              <w:spacing w:before="0" w:beforeAutospacing="0" w:after="0" w:afterAutospacing="0" w:line="288" w:lineRule="auto"/>
              <w:ind w:left="0" w:right="0"/>
              <w:jc w:val="center"/>
              <w:rPr>
                <w:rFonts w:hint="default" w:ascii="Times New Roman" w:hAnsi="Times New Roman" w:eastAsia="宋体" w:cs="Times New Roman"/>
                <w:snapToGrid w:val="0"/>
                <w:kern w:val="2"/>
                <w:sz w:val="21"/>
                <w:szCs w:val="21"/>
                <w:highlight w:val="none"/>
                <w:lang w:val="en-US" w:eastAsia="zh-CN" w:bidi="ar-SA"/>
              </w:rPr>
            </w:pPr>
            <w:r>
              <w:rPr>
                <w:rFonts w:hint="default"/>
                <w:snapToGrid w:val="0"/>
                <w:sz w:val="21"/>
                <w:szCs w:val="21"/>
                <w:highlight w:val="none"/>
              </w:rPr>
              <w:t>0（</w:t>
            </w:r>
            <w:r>
              <w:rPr>
                <w:rFonts w:hint="eastAsia"/>
                <w:snapToGrid w:val="0"/>
                <w:sz w:val="21"/>
                <w:szCs w:val="21"/>
                <w:highlight w:val="none"/>
                <w:lang w:val="en-US" w:eastAsia="zh-CN"/>
              </w:rPr>
              <w:t>0.2</w:t>
            </w:r>
            <w:r>
              <w:rPr>
                <w:rFonts w:hint="default"/>
                <w:snapToGrid w:val="0"/>
                <w:sz w:val="21"/>
                <w:szCs w:val="21"/>
                <w:highlight w:val="none"/>
              </w:rPr>
              <w:t>）</w:t>
            </w:r>
          </w:p>
        </w:tc>
        <w:tc>
          <w:tcPr>
            <w:tcW w:w="1352" w:type="dxa"/>
            <w:vAlign w:val="center"/>
          </w:tcPr>
          <w:p w14:paraId="531BD3F2">
            <w:pPr>
              <w:keepNext w:val="0"/>
              <w:keepLines w:val="0"/>
              <w:suppressLineNumbers w:val="0"/>
              <w:spacing w:before="0" w:beforeAutospacing="0" w:after="0" w:afterAutospacing="0" w:line="288" w:lineRule="auto"/>
              <w:ind w:left="0" w:right="0"/>
              <w:jc w:val="center"/>
              <w:rPr>
                <w:rFonts w:hint="eastAsia"/>
                <w:snapToGrid w:val="0"/>
                <w:sz w:val="21"/>
                <w:szCs w:val="21"/>
                <w:highlight w:val="none"/>
              </w:rPr>
            </w:pPr>
            <w:r>
              <w:rPr>
                <w:rFonts w:hint="default"/>
                <w:snapToGrid w:val="0"/>
                <w:sz w:val="21"/>
                <w:szCs w:val="21"/>
                <w:highlight w:val="none"/>
              </w:rPr>
              <w:t>0（</w:t>
            </w:r>
            <w:r>
              <w:rPr>
                <w:rFonts w:hint="eastAsia"/>
                <w:snapToGrid w:val="0"/>
                <w:sz w:val="21"/>
                <w:szCs w:val="21"/>
                <w:highlight w:val="none"/>
                <w:lang w:val="en-US" w:eastAsia="zh-CN"/>
              </w:rPr>
              <w:t>+0.2</w:t>
            </w:r>
            <w:r>
              <w:rPr>
                <w:rFonts w:hint="default"/>
                <w:snapToGrid w:val="0"/>
                <w:sz w:val="21"/>
                <w:szCs w:val="21"/>
                <w:highlight w:val="none"/>
              </w:rPr>
              <w:t>）</w:t>
            </w:r>
          </w:p>
        </w:tc>
      </w:tr>
      <w:tr w14:paraId="1C167B2A">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158" w:hRule="atLeast"/>
        </w:trPr>
        <w:tc>
          <w:tcPr>
            <w:tcW w:w="1089" w:type="dxa"/>
            <w:vMerge w:val="continue"/>
            <w:vAlign w:val="center"/>
          </w:tcPr>
          <w:p w14:paraId="1C4E975B">
            <w:pPr>
              <w:pStyle w:val="65"/>
              <w:keepNext w:val="0"/>
              <w:keepLines w:val="0"/>
              <w:suppressLineNumbers w:val="0"/>
              <w:spacing w:before="0" w:beforeLines="0" w:beforeAutospacing="0" w:after="0" w:afterLines="0" w:afterAutospacing="0" w:line="288" w:lineRule="auto"/>
              <w:ind w:left="0" w:right="0"/>
              <w:rPr>
                <w:rFonts w:hint="default" w:ascii="Times New Roman" w:hAnsi="宋体"/>
                <w:snapToGrid w:val="0"/>
                <w:sz w:val="21"/>
                <w:szCs w:val="21"/>
                <w:highlight w:val="none"/>
              </w:rPr>
            </w:pPr>
          </w:p>
        </w:tc>
        <w:tc>
          <w:tcPr>
            <w:tcW w:w="2737" w:type="dxa"/>
            <w:shd w:val="clear" w:color="auto" w:fill="auto"/>
            <w:vAlign w:val="center"/>
          </w:tcPr>
          <w:p w14:paraId="016A05C6">
            <w:pPr>
              <w:keepNext w:val="0"/>
              <w:keepLines w:val="0"/>
              <w:pageBreakBefore w:val="0"/>
              <w:suppressLineNumbers w:val="0"/>
              <w:kinsoku/>
              <w:wordWrap/>
              <w:overflowPunct/>
              <w:topLinePunct w:val="0"/>
              <w:autoSpaceDE/>
              <w:autoSpaceDN/>
              <w:bidi w:val="0"/>
              <w:adjustRightInd w:val="0"/>
              <w:snapToGrid w:val="0"/>
              <w:spacing w:before="0" w:beforeAutospacing="0" w:after="0" w:afterAutospacing="0" w:line="264" w:lineRule="auto"/>
              <w:ind w:left="0" w:right="0"/>
              <w:jc w:val="center"/>
              <w:textAlignment w:val="auto"/>
              <w:rPr>
                <w:rFonts w:hint="eastAsia" w:ascii="Times New Roman" w:hAnsi="Times New Roman" w:eastAsia="宋体" w:cs="Times New Roman"/>
                <w:kern w:val="2"/>
                <w:sz w:val="21"/>
                <w:szCs w:val="21"/>
                <w:highlight w:val="none"/>
                <w:lang w:val="en-US" w:eastAsia="zh-CN" w:bidi="ar-SA"/>
              </w:rPr>
            </w:pPr>
            <w:r>
              <w:rPr>
                <w:rFonts w:hint="eastAsia"/>
                <w:color w:val="auto"/>
                <w:sz w:val="21"/>
                <w:szCs w:val="21"/>
                <w:highlight w:val="none"/>
              </w:rPr>
              <w:t>净化</w:t>
            </w:r>
            <w:r>
              <w:rPr>
                <w:rFonts w:hint="default"/>
                <w:color w:val="auto"/>
                <w:sz w:val="21"/>
                <w:szCs w:val="21"/>
                <w:highlight w:val="none"/>
              </w:rPr>
              <w:t>空调系统</w:t>
            </w:r>
            <w:r>
              <w:rPr>
                <w:rFonts w:hint="eastAsia"/>
                <w:color w:val="auto"/>
                <w:sz w:val="21"/>
                <w:szCs w:val="21"/>
                <w:highlight w:val="none"/>
              </w:rPr>
              <w:t>废</w:t>
            </w:r>
            <w:r>
              <w:rPr>
                <w:rFonts w:hint="default"/>
                <w:color w:val="auto"/>
                <w:sz w:val="21"/>
                <w:szCs w:val="21"/>
                <w:highlight w:val="none"/>
              </w:rPr>
              <w:t>过滤材料</w:t>
            </w:r>
            <w:r>
              <w:rPr>
                <w:rFonts w:hint="default"/>
                <w:snapToGrid w:val="0"/>
                <w:sz w:val="21"/>
                <w:szCs w:val="21"/>
                <w:highlight w:val="none"/>
              </w:rPr>
              <w:t>（t/a）</w:t>
            </w:r>
          </w:p>
        </w:tc>
        <w:tc>
          <w:tcPr>
            <w:tcW w:w="1553" w:type="dxa"/>
            <w:vAlign w:val="center"/>
          </w:tcPr>
          <w:p w14:paraId="71BFFAF6">
            <w:pPr>
              <w:keepNext w:val="0"/>
              <w:keepLines w:val="0"/>
              <w:suppressLineNumbers w:val="0"/>
              <w:spacing w:before="0" w:beforeAutospacing="0" w:after="0" w:afterAutospacing="0" w:line="288" w:lineRule="auto"/>
              <w:ind w:left="0" w:right="0"/>
              <w:jc w:val="center"/>
              <w:rPr>
                <w:rFonts w:hint="default"/>
                <w:snapToGrid w:val="0"/>
                <w:sz w:val="21"/>
                <w:szCs w:val="21"/>
                <w:highlight w:val="none"/>
              </w:rPr>
            </w:pPr>
            <w:r>
              <w:rPr>
                <w:rFonts w:hint="default"/>
                <w:snapToGrid w:val="0"/>
                <w:sz w:val="21"/>
                <w:szCs w:val="21"/>
                <w:highlight w:val="none"/>
              </w:rPr>
              <w:t>/</w:t>
            </w:r>
          </w:p>
        </w:tc>
        <w:tc>
          <w:tcPr>
            <w:tcW w:w="1027" w:type="dxa"/>
            <w:vAlign w:val="center"/>
          </w:tcPr>
          <w:p w14:paraId="3D9C8EC4">
            <w:pPr>
              <w:keepNext w:val="0"/>
              <w:keepLines w:val="0"/>
              <w:suppressLineNumbers w:val="0"/>
              <w:spacing w:before="0" w:beforeAutospacing="0" w:after="0" w:afterAutospacing="0" w:line="288" w:lineRule="auto"/>
              <w:ind w:left="0" w:right="0"/>
              <w:jc w:val="center"/>
              <w:rPr>
                <w:rFonts w:hint="default"/>
                <w:snapToGrid w:val="0"/>
                <w:sz w:val="21"/>
                <w:szCs w:val="21"/>
                <w:highlight w:val="none"/>
              </w:rPr>
            </w:pPr>
            <w:r>
              <w:rPr>
                <w:rFonts w:hint="default"/>
                <w:snapToGrid w:val="0"/>
                <w:sz w:val="21"/>
                <w:szCs w:val="21"/>
                <w:highlight w:val="none"/>
              </w:rPr>
              <w:t>/</w:t>
            </w:r>
          </w:p>
        </w:tc>
        <w:tc>
          <w:tcPr>
            <w:tcW w:w="1433" w:type="dxa"/>
            <w:vAlign w:val="center"/>
          </w:tcPr>
          <w:p w14:paraId="77BE9162">
            <w:pPr>
              <w:keepNext w:val="0"/>
              <w:keepLines w:val="0"/>
              <w:suppressLineNumbers w:val="0"/>
              <w:spacing w:before="0" w:beforeAutospacing="0" w:after="0" w:afterAutospacing="0" w:line="288" w:lineRule="auto"/>
              <w:ind w:left="0" w:right="0"/>
              <w:jc w:val="center"/>
              <w:rPr>
                <w:rFonts w:hint="default"/>
                <w:snapToGrid w:val="0"/>
                <w:sz w:val="21"/>
                <w:szCs w:val="21"/>
                <w:highlight w:val="none"/>
              </w:rPr>
            </w:pPr>
            <w:r>
              <w:rPr>
                <w:rFonts w:hint="default"/>
                <w:snapToGrid w:val="0"/>
                <w:sz w:val="21"/>
                <w:szCs w:val="21"/>
                <w:highlight w:val="none"/>
              </w:rPr>
              <w:t>/</w:t>
            </w:r>
          </w:p>
        </w:tc>
        <w:tc>
          <w:tcPr>
            <w:tcW w:w="1485" w:type="dxa"/>
            <w:vAlign w:val="center"/>
          </w:tcPr>
          <w:p w14:paraId="20FE3957">
            <w:pPr>
              <w:keepNext w:val="0"/>
              <w:keepLines w:val="0"/>
              <w:suppressLineNumbers w:val="0"/>
              <w:spacing w:before="0" w:beforeAutospacing="0" w:after="0" w:afterAutospacing="0" w:line="288" w:lineRule="auto"/>
              <w:ind w:left="0" w:right="0"/>
              <w:jc w:val="center"/>
              <w:rPr>
                <w:rFonts w:hint="default"/>
                <w:snapToGrid w:val="0"/>
                <w:sz w:val="21"/>
                <w:szCs w:val="21"/>
                <w:highlight w:val="none"/>
              </w:rPr>
            </w:pPr>
            <w:r>
              <w:rPr>
                <w:rFonts w:hint="default"/>
                <w:snapToGrid w:val="0"/>
                <w:sz w:val="21"/>
                <w:szCs w:val="21"/>
                <w:highlight w:val="none"/>
              </w:rPr>
              <w:t>0（</w:t>
            </w:r>
            <w:r>
              <w:rPr>
                <w:rFonts w:hint="eastAsia"/>
                <w:snapToGrid w:val="0"/>
                <w:sz w:val="21"/>
                <w:szCs w:val="21"/>
                <w:highlight w:val="none"/>
                <w:lang w:val="en-US" w:eastAsia="zh-CN"/>
              </w:rPr>
              <w:t>3</w:t>
            </w:r>
            <w:r>
              <w:rPr>
                <w:rFonts w:hint="default"/>
                <w:snapToGrid w:val="0"/>
                <w:sz w:val="21"/>
                <w:szCs w:val="21"/>
                <w:highlight w:val="none"/>
              </w:rPr>
              <w:t>）</w:t>
            </w:r>
          </w:p>
        </w:tc>
        <w:tc>
          <w:tcPr>
            <w:tcW w:w="1327" w:type="dxa"/>
            <w:vAlign w:val="center"/>
          </w:tcPr>
          <w:p w14:paraId="6070F49E">
            <w:pPr>
              <w:keepNext w:val="0"/>
              <w:keepLines w:val="0"/>
              <w:suppressLineNumbers w:val="0"/>
              <w:spacing w:before="0" w:beforeLines="0" w:beforeAutospacing="0" w:after="0" w:afterLines="0" w:afterAutospacing="0" w:line="288" w:lineRule="auto"/>
              <w:ind w:left="0" w:right="0"/>
              <w:jc w:val="center"/>
              <w:rPr>
                <w:rFonts w:hint="eastAsia" w:ascii="Times New Roman"/>
                <w:snapToGrid w:val="0"/>
                <w:sz w:val="21"/>
                <w:szCs w:val="21"/>
                <w:highlight w:val="none"/>
              </w:rPr>
            </w:pPr>
            <w:r>
              <w:rPr>
                <w:rFonts w:hint="eastAsia" w:ascii="Times New Roman"/>
                <w:snapToGrid w:val="0"/>
                <w:sz w:val="21"/>
                <w:szCs w:val="21"/>
                <w:highlight w:val="none"/>
              </w:rPr>
              <w:t>/</w:t>
            </w:r>
          </w:p>
        </w:tc>
        <w:tc>
          <w:tcPr>
            <w:tcW w:w="1785" w:type="dxa"/>
            <w:shd w:val="clear" w:color="auto" w:fill="auto"/>
            <w:vAlign w:val="center"/>
          </w:tcPr>
          <w:p w14:paraId="1C990BEF">
            <w:pPr>
              <w:keepNext w:val="0"/>
              <w:keepLines w:val="0"/>
              <w:suppressLineNumbers w:val="0"/>
              <w:spacing w:before="0" w:beforeAutospacing="0" w:after="0" w:afterAutospacing="0" w:line="288" w:lineRule="auto"/>
              <w:ind w:left="0" w:right="0"/>
              <w:jc w:val="center"/>
              <w:rPr>
                <w:rFonts w:hint="default" w:ascii="Times New Roman" w:hAnsi="Times New Roman" w:eastAsia="宋体" w:cs="Times New Roman"/>
                <w:snapToGrid w:val="0"/>
                <w:kern w:val="2"/>
                <w:sz w:val="21"/>
                <w:szCs w:val="21"/>
                <w:highlight w:val="none"/>
                <w:lang w:val="en-US" w:eastAsia="zh-CN" w:bidi="ar-SA"/>
              </w:rPr>
            </w:pPr>
            <w:r>
              <w:rPr>
                <w:rFonts w:hint="default"/>
                <w:snapToGrid w:val="0"/>
                <w:sz w:val="21"/>
                <w:szCs w:val="21"/>
                <w:highlight w:val="none"/>
              </w:rPr>
              <w:t>0（</w:t>
            </w:r>
            <w:r>
              <w:rPr>
                <w:rFonts w:hint="eastAsia"/>
                <w:snapToGrid w:val="0"/>
                <w:sz w:val="21"/>
                <w:szCs w:val="21"/>
                <w:highlight w:val="none"/>
                <w:lang w:val="en-US" w:eastAsia="zh-CN"/>
              </w:rPr>
              <w:t>3</w:t>
            </w:r>
            <w:r>
              <w:rPr>
                <w:rFonts w:hint="default"/>
                <w:snapToGrid w:val="0"/>
                <w:sz w:val="21"/>
                <w:szCs w:val="21"/>
                <w:highlight w:val="none"/>
              </w:rPr>
              <w:t>）</w:t>
            </w:r>
          </w:p>
        </w:tc>
        <w:tc>
          <w:tcPr>
            <w:tcW w:w="1352" w:type="dxa"/>
            <w:vAlign w:val="center"/>
          </w:tcPr>
          <w:p w14:paraId="2ED41C43">
            <w:pPr>
              <w:keepNext w:val="0"/>
              <w:keepLines w:val="0"/>
              <w:suppressLineNumbers w:val="0"/>
              <w:spacing w:before="0" w:beforeAutospacing="0" w:after="0" w:afterAutospacing="0" w:line="288" w:lineRule="auto"/>
              <w:ind w:left="0" w:right="0"/>
              <w:jc w:val="center"/>
              <w:rPr>
                <w:rFonts w:hint="eastAsia"/>
                <w:snapToGrid w:val="0"/>
                <w:sz w:val="21"/>
                <w:szCs w:val="21"/>
                <w:highlight w:val="none"/>
              </w:rPr>
            </w:pPr>
            <w:r>
              <w:rPr>
                <w:rFonts w:hint="default"/>
                <w:snapToGrid w:val="0"/>
                <w:sz w:val="21"/>
                <w:szCs w:val="21"/>
                <w:highlight w:val="none"/>
              </w:rPr>
              <w:t>0（</w:t>
            </w:r>
            <w:r>
              <w:rPr>
                <w:rFonts w:hint="eastAsia"/>
                <w:snapToGrid w:val="0"/>
                <w:sz w:val="21"/>
                <w:szCs w:val="21"/>
                <w:highlight w:val="none"/>
                <w:lang w:val="en-US" w:eastAsia="zh-CN"/>
              </w:rPr>
              <w:t>+3</w:t>
            </w:r>
            <w:r>
              <w:rPr>
                <w:rFonts w:hint="default"/>
                <w:snapToGrid w:val="0"/>
                <w:sz w:val="21"/>
                <w:szCs w:val="21"/>
                <w:highlight w:val="none"/>
              </w:rPr>
              <w:t>）</w:t>
            </w:r>
          </w:p>
        </w:tc>
      </w:tr>
      <w:tr w14:paraId="29380452">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c>
          <w:tcPr>
            <w:tcW w:w="1089" w:type="dxa"/>
            <w:vMerge w:val="restart"/>
            <w:vAlign w:val="center"/>
          </w:tcPr>
          <w:p w14:paraId="39EB49AC">
            <w:pPr>
              <w:pStyle w:val="65"/>
              <w:keepNext w:val="0"/>
              <w:keepLines w:val="0"/>
              <w:suppressLineNumbers w:val="0"/>
              <w:spacing w:before="0" w:beforeLines="0" w:beforeAutospacing="0" w:after="0" w:afterLines="0" w:afterAutospacing="0" w:line="288" w:lineRule="auto"/>
              <w:ind w:left="0" w:right="0"/>
              <w:rPr>
                <w:rFonts w:hint="default" w:ascii="Times New Roman"/>
                <w:snapToGrid w:val="0"/>
                <w:sz w:val="21"/>
                <w:szCs w:val="21"/>
                <w:highlight w:val="none"/>
              </w:rPr>
            </w:pPr>
            <w:r>
              <w:rPr>
                <w:rFonts w:hint="eastAsia" w:ascii="Times New Roman" w:hAnsi="宋体"/>
                <w:snapToGrid w:val="0"/>
                <w:sz w:val="21"/>
                <w:szCs w:val="21"/>
                <w:highlight w:val="none"/>
              </w:rPr>
              <w:t>危险废物</w:t>
            </w:r>
          </w:p>
        </w:tc>
        <w:tc>
          <w:tcPr>
            <w:tcW w:w="2737" w:type="dxa"/>
            <w:shd w:val="clear" w:color="auto" w:fill="auto"/>
            <w:vAlign w:val="center"/>
          </w:tcPr>
          <w:p w14:paraId="0EE54EFC">
            <w:pPr>
              <w:keepNext w:val="0"/>
              <w:keepLines w:val="0"/>
              <w:pageBreakBefore w:val="0"/>
              <w:suppressLineNumbers w:val="0"/>
              <w:kinsoku/>
              <w:wordWrap/>
              <w:overflowPunct/>
              <w:topLinePunct w:val="0"/>
              <w:autoSpaceDE/>
              <w:autoSpaceDN/>
              <w:bidi w:val="0"/>
              <w:adjustRightInd w:val="0"/>
              <w:snapToGrid w:val="0"/>
              <w:spacing w:before="0" w:beforeAutospacing="0" w:after="0" w:afterAutospacing="0" w:line="264" w:lineRule="auto"/>
              <w:ind w:left="0" w:right="0"/>
              <w:jc w:val="center"/>
              <w:textAlignment w:val="auto"/>
              <w:rPr>
                <w:rFonts w:hint="eastAsia" w:ascii="Times New Roman" w:hAnsi="Times New Roman" w:eastAsia="宋体" w:cs="Times New Roman"/>
                <w:kern w:val="2"/>
                <w:sz w:val="21"/>
                <w:szCs w:val="21"/>
                <w:highlight w:val="none"/>
                <w:lang w:val="en-US" w:eastAsia="zh-CN" w:bidi="ar-SA"/>
              </w:rPr>
            </w:pPr>
            <w:r>
              <w:rPr>
                <w:rFonts w:hint="eastAsia"/>
                <w:sz w:val="21"/>
                <w:szCs w:val="21"/>
                <w:highlight w:val="none"/>
              </w:rPr>
              <w:t>感染</w:t>
            </w:r>
            <w:r>
              <w:rPr>
                <w:rFonts w:hint="default"/>
                <w:sz w:val="21"/>
                <w:szCs w:val="21"/>
                <w:highlight w:val="none"/>
              </w:rPr>
              <w:t>性废物</w:t>
            </w:r>
            <w:r>
              <w:rPr>
                <w:rFonts w:hint="default"/>
                <w:snapToGrid w:val="0"/>
                <w:sz w:val="21"/>
                <w:szCs w:val="21"/>
                <w:highlight w:val="none"/>
              </w:rPr>
              <w:t>（t/a）</w:t>
            </w:r>
          </w:p>
        </w:tc>
        <w:tc>
          <w:tcPr>
            <w:tcW w:w="1553" w:type="dxa"/>
            <w:vAlign w:val="center"/>
          </w:tcPr>
          <w:p w14:paraId="07F4D8BB">
            <w:pPr>
              <w:keepNext w:val="0"/>
              <w:keepLines w:val="0"/>
              <w:suppressLineNumbers w:val="0"/>
              <w:spacing w:before="0" w:beforeAutospacing="0" w:after="0" w:afterAutospacing="0" w:line="288" w:lineRule="auto"/>
              <w:ind w:left="0" w:right="0"/>
              <w:jc w:val="center"/>
              <w:rPr>
                <w:rFonts w:hint="default" w:ascii="Times New Roman"/>
                <w:snapToGrid w:val="0"/>
                <w:sz w:val="21"/>
                <w:szCs w:val="21"/>
                <w:highlight w:val="none"/>
              </w:rPr>
            </w:pPr>
            <w:r>
              <w:rPr>
                <w:rFonts w:hint="default"/>
                <w:snapToGrid w:val="0"/>
                <w:sz w:val="21"/>
                <w:szCs w:val="21"/>
                <w:highlight w:val="none"/>
              </w:rPr>
              <w:t>/</w:t>
            </w:r>
          </w:p>
        </w:tc>
        <w:tc>
          <w:tcPr>
            <w:tcW w:w="1027" w:type="dxa"/>
            <w:vAlign w:val="center"/>
          </w:tcPr>
          <w:p w14:paraId="1A440E53">
            <w:pPr>
              <w:keepNext w:val="0"/>
              <w:keepLines w:val="0"/>
              <w:suppressLineNumbers w:val="0"/>
              <w:spacing w:before="0" w:beforeAutospacing="0" w:after="0" w:afterAutospacing="0" w:line="288" w:lineRule="auto"/>
              <w:ind w:left="0" w:right="0"/>
              <w:jc w:val="center"/>
              <w:rPr>
                <w:rFonts w:hint="default" w:ascii="Times New Roman"/>
                <w:snapToGrid w:val="0"/>
                <w:sz w:val="21"/>
                <w:szCs w:val="21"/>
                <w:highlight w:val="none"/>
              </w:rPr>
            </w:pPr>
            <w:r>
              <w:rPr>
                <w:rFonts w:hint="default"/>
                <w:snapToGrid w:val="0"/>
                <w:sz w:val="21"/>
                <w:szCs w:val="21"/>
                <w:highlight w:val="none"/>
              </w:rPr>
              <w:t>/</w:t>
            </w:r>
          </w:p>
        </w:tc>
        <w:tc>
          <w:tcPr>
            <w:tcW w:w="1433" w:type="dxa"/>
            <w:vAlign w:val="center"/>
          </w:tcPr>
          <w:p w14:paraId="386AD5DE">
            <w:pPr>
              <w:keepNext w:val="0"/>
              <w:keepLines w:val="0"/>
              <w:suppressLineNumbers w:val="0"/>
              <w:spacing w:before="0" w:beforeAutospacing="0" w:after="0" w:afterAutospacing="0" w:line="288" w:lineRule="auto"/>
              <w:ind w:left="0" w:right="0"/>
              <w:jc w:val="center"/>
              <w:rPr>
                <w:rFonts w:hint="default" w:ascii="Times New Roman"/>
                <w:snapToGrid w:val="0"/>
                <w:sz w:val="21"/>
                <w:szCs w:val="21"/>
                <w:highlight w:val="none"/>
              </w:rPr>
            </w:pPr>
            <w:r>
              <w:rPr>
                <w:rFonts w:hint="default"/>
                <w:snapToGrid w:val="0"/>
                <w:sz w:val="21"/>
                <w:szCs w:val="21"/>
                <w:highlight w:val="none"/>
              </w:rPr>
              <w:t>/</w:t>
            </w:r>
          </w:p>
        </w:tc>
        <w:tc>
          <w:tcPr>
            <w:tcW w:w="1485" w:type="dxa"/>
            <w:vAlign w:val="center"/>
          </w:tcPr>
          <w:p w14:paraId="6F3FF2F5">
            <w:pPr>
              <w:pStyle w:val="65"/>
              <w:keepNext w:val="0"/>
              <w:keepLines w:val="0"/>
              <w:suppressLineNumbers w:val="0"/>
              <w:spacing w:before="0" w:beforeLines="0" w:beforeAutospacing="0" w:after="0" w:afterLines="0" w:afterAutospacing="0" w:line="288" w:lineRule="auto"/>
              <w:ind w:left="0" w:right="0"/>
              <w:rPr>
                <w:rFonts w:hint="default" w:ascii="Times New Roman"/>
                <w:snapToGrid w:val="0"/>
                <w:sz w:val="21"/>
                <w:szCs w:val="21"/>
                <w:highlight w:val="none"/>
              </w:rPr>
            </w:pPr>
            <w:r>
              <w:rPr>
                <w:rFonts w:hint="default" w:ascii="Times New Roman"/>
                <w:snapToGrid w:val="0"/>
                <w:sz w:val="21"/>
                <w:szCs w:val="21"/>
                <w:highlight w:val="none"/>
              </w:rPr>
              <w:t>0（</w:t>
            </w:r>
            <w:r>
              <w:rPr>
                <w:rFonts w:hint="eastAsia" w:ascii="Times New Roman"/>
                <w:snapToGrid w:val="0"/>
                <w:sz w:val="21"/>
                <w:szCs w:val="21"/>
                <w:highlight w:val="none"/>
                <w:lang w:val="en-US" w:eastAsia="zh-CN"/>
              </w:rPr>
              <w:t>10</w:t>
            </w:r>
            <w:r>
              <w:rPr>
                <w:rFonts w:hint="default" w:ascii="Times New Roman"/>
                <w:snapToGrid w:val="0"/>
                <w:sz w:val="21"/>
                <w:szCs w:val="21"/>
                <w:highlight w:val="none"/>
              </w:rPr>
              <w:t>）</w:t>
            </w:r>
          </w:p>
        </w:tc>
        <w:tc>
          <w:tcPr>
            <w:tcW w:w="1327" w:type="dxa"/>
            <w:vAlign w:val="center"/>
          </w:tcPr>
          <w:p w14:paraId="06747135">
            <w:pPr>
              <w:pStyle w:val="65"/>
              <w:keepNext w:val="0"/>
              <w:keepLines w:val="0"/>
              <w:suppressLineNumbers w:val="0"/>
              <w:spacing w:before="0" w:beforeLines="0" w:beforeAutospacing="0" w:after="0" w:afterLines="0" w:afterAutospacing="0" w:line="288" w:lineRule="auto"/>
              <w:ind w:left="0" w:right="0"/>
              <w:rPr>
                <w:rFonts w:hint="default" w:ascii="Times New Roman"/>
                <w:snapToGrid w:val="0"/>
                <w:sz w:val="21"/>
                <w:szCs w:val="21"/>
                <w:highlight w:val="none"/>
              </w:rPr>
            </w:pPr>
            <w:r>
              <w:rPr>
                <w:rFonts w:hint="default" w:ascii="Times New Roman"/>
                <w:snapToGrid w:val="0"/>
                <w:sz w:val="21"/>
                <w:szCs w:val="21"/>
                <w:highlight w:val="none"/>
              </w:rPr>
              <w:t>/</w:t>
            </w:r>
          </w:p>
        </w:tc>
        <w:tc>
          <w:tcPr>
            <w:tcW w:w="1785" w:type="dxa"/>
            <w:shd w:val="clear" w:color="auto" w:fill="auto"/>
            <w:vAlign w:val="center"/>
          </w:tcPr>
          <w:p w14:paraId="4A30E2CD">
            <w:pPr>
              <w:pStyle w:val="65"/>
              <w:keepNext w:val="0"/>
              <w:keepLines w:val="0"/>
              <w:suppressLineNumbers w:val="0"/>
              <w:spacing w:before="0" w:beforeLines="0" w:beforeAutospacing="0" w:after="0" w:afterLines="0" w:afterAutospacing="0" w:line="288" w:lineRule="auto"/>
              <w:ind w:left="0" w:right="0"/>
              <w:rPr>
                <w:rFonts w:hint="default" w:ascii="Times New Roman" w:hAnsi="Times New Roman" w:eastAsia="宋体" w:cs="Times New Roman"/>
                <w:snapToGrid w:val="0"/>
                <w:kern w:val="0"/>
                <w:sz w:val="21"/>
                <w:szCs w:val="21"/>
                <w:highlight w:val="none"/>
                <w:lang w:val="en-US" w:eastAsia="zh-CN" w:bidi="ar-SA"/>
              </w:rPr>
            </w:pPr>
            <w:r>
              <w:rPr>
                <w:rFonts w:hint="default" w:ascii="Times New Roman"/>
                <w:snapToGrid w:val="0"/>
                <w:sz w:val="21"/>
                <w:szCs w:val="21"/>
                <w:highlight w:val="none"/>
              </w:rPr>
              <w:t>0（</w:t>
            </w:r>
            <w:r>
              <w:rPr>
                <w:rFonts w:hint="eastAsia" w:ascii="Times New Roman"/>
                <w:snapToGrid w:val="0"/>
                <w:sz w:val="21"/>
                <w:szCs w:val="21"/>
                <w:highlight w:val="none"/>
                <w:lang w:val="en-US" w:eastAsia="zh-CN"/>
              </w:rPr>
              <w:t>10</w:t>
            </w:r>
            <w:r>
              <w:rPr>
                <w:rFonts w:hint="default" w:ascii="Times New Roman"/>
                <w:snapToGrid w:val="0"/>
                <w:sz w:val="21"/>
                <w:szCs w:val="21"/>
                <w:highlight w:val="none"/>
              </w:rPr>
              <w:t>）</w:t>
            </w:r>
          </w:p>
        </w:tc>
        <w:tc>
          <w:tcPr>
            <w:tcW w:w="1352" w:type="dxa"/>
            <w:shd w:val="clear" w:color="auto" w:fill="auto"/>
            <w:vAlign w:val="center"/>
          </w:tcPr>
          <w:p w14:paraId="1FE2383D">
            <w:pPr>
              <w:pStyle w:val="65"/>
              <w:keepNext w:val="0"/>
              <w:keepLines w:val="0"/>
              <w:suppressLineNumbers w:val="0"/>
              <w:spacing w:before="0" w:beforeLines="0" w:beforeAutospacing="0" w:after="0" w:afterLines="0" w:afterAutospacing="0" w:line="288" w:lineRule="auto"/>
              <w:ind w:left="0" w:right="0"/>
              <w:rPr>
                <w:rFonts w:hint="default" w:ascii="Times New Roman" w:hAnsi="Times New Roman" w:eastAsia="宋体" w:cs="Times New Roman"/>
                <w:snapToGrid w:val="0"/>
                <w:kern w:val="0"/>
                <w:sz w:val="21"/>
                <w:szCs w:val="21"/>
                <w:highlight w:val="none"/>
                <w:lang w:val="en-US" w:eastAsia="zh-CN" w:bidi="ar-SA"/>
              </w:rPr>
            </w:pPr>
            <w:r>
              <w:rPr>
                <w:rFonts w:hint="default" w:ascii="Times New Roman"/>
                <w:snapToGrid w:val="0"/>
                <w:sz w:val="21"/>
                <w:szCs w:val="21"/>
                <w:highlight w:val="none"/>
              </w:rPr>
              <w:t>0（</w:t>
            </w:r>
            <w:r>
              <w:rPr>
                <w:rFonts w:hint="eastAsia" w:ascii="Times New Roman"/>
                <w:snapToGrid w:val="0"/>
                <w:sz w:val="21"/>
                <w:szCs w:val="21"/>
                <w:highlight w:val="none"/>
                <w:lang w:val="en-US" w:eastAsia="zh-CN"/>
              </w:rPr>
              <w:t>+10</w:t>
            </w:r>
            <w:r>
              <w:rPr>
                <w:rFonts w:hint="default" w:ascii="Times New Roman"/>
                <w:snapToGrid w:val="0"/>
                <w:sz w:val="21"/>
                <w:szCs w:val="21"/>
                <w:highlight w:val="none"/>
              </w:rPr>
              <w:t>）</w:t>
            </w:r>
          </w:p>
        </w:tc>
      </w:tr>
      <w:tr w14:paraId="274B00DF">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c>
          <w:tcPr>
            <w:tcW w:w="1089" w:type="dxa"/>
            <w:vMerge w:val="continue"/>
            <w:vAlign w:val="center"/>
          </w:tcPr>
          <w:p w14:paraId="580AFA8B">
            <w:pPr>
              <w:pStyle w:val="65"/>
              <w:keepNext w:val="0"/>
              <w:keepLines w:val="0"/>
              <w:suppressLineNumbers w:val="0"/>
              <w:spacing w:before="0" w:beforeLines="0" w:beforeAutospacing="0" w:after="0" w:afterLines="0" w:afterAutospacing="0" w:line="288" w:lineRule="auto"/>
              <w:ind w:left="0" w:right="0"/>
              <w:rPr>
                <w:rFonts w:hint="default" w:ascii="Times New Roman" w:hAnsi="宋体"/>
                <w:snapToGrid w:val="0"/>
                <w:sz w:val="21"/>
                <w:szCs w:val="21"/>
                <w:highlight w:val="none"/>
              </w:rPr>
            </w:pPr>
          </w:p>
        </w:tc>
        <w:tc>
          <w:tcPr>
            <w:tcW w:w="2737" w:type="dxa"/>
            <w:shd w:val="clear" w:color="auto" w:fill="auto"/>
            <w:vAlign w:val="center"/>
          </w:tcPr>
          <w:p w14:paraId="33202602">
            <w:pPr>
              <w:keepNext w:val="0"/>
              <w:keepLines w:val="0"/>
              <w:pageBreakBefore w:val="0"/>
              <w:suppressLineNumbers w:val="0"/>
              <w:kinsoku/>
              <w:wordWrap/>
              <w:overflowPunct/>
              <w:topLinePunct w:val="0"/>
              <w:autoSpaceDE/>
              <w:autoSpaceDN/>
              <w:bidi w:val="0"/>
              <w:adjustRightInd w:val="0"/>
              <w:snapToGrid w:val="0"/>
              <w:spacing w:before="0" w:beforeAutospacing="0" w:after="0" w:afterAutospacing="0" w:line="264" w:lineRule="auto"/>
              <w:ind w:left="0" w:right="0"/>
              <w:jc w:val="center"/>
              <w:textAlignment w:val="auto"/>
              <w:rPr>
                <w:rFonts w:hint="eastAsia" w:ascii="Times New Roman" w:hAnsi="Times New Roman" w:eastAsia="宋体" w:cs="Times New Roman"/>
                <w:kern w:val="2"/>
                <w:sz w:val="21"/>
                <w:szCs w:val="21"/>
                <w:highlight w:val="none"/>
                <w:lang w:val="en-US" w:eastAsia="zh-CN" w:bidi="ar-SA"/>
              </w:rPr>
            </w:pPr>
            <w:r>
              <w:rPr>
                <w:rFonts w:hint="eastAsia"/>
                <w:sz w:val="21"/>
                <w:szCs w:val="21"/>
                <w:highlight w:val="none"/>
              </w:rPr>
              <w:t>损伤性</w:t>
            </w:r>
            <w:r>
              <w:rPr>
                <w:rFonts w:hint="default"/>
                <w:sz w:val="21"/>
                <w:szCs w:val="21"/>
                <w:highlight w:val="none"/>
              </w:rPr>
              <w:t>废物</w:t>
            </w:r>
            <w:r>
              <w:rPr>
                <w:rFonts w:hint="default"/>
                <w:snapToGrid w:val="0"/>
                <w:sz w:val="21"/>
                <w:szCs w:val="21"/>
                <w:highlight w:val="none"/>
              </w:rPr>
              <w:t>（t/a）</w:t>
            </w:r>
          </w:p>
        </w:tc>
        <w:tc>
          <w:tcPr>
            <w:tcW w:w="1553" w:type="dxa"/>
            <w:vAlign w:val="center"/>
          </w:tcPr>
          <w:p w14:paraId="2A0A4812">
            <w:pPr>
              <w:keepNext w:val="0"/>
              <w:keepLines w:val="0"/>
              <w:suppressLineNumbers w:val="0"/>
              <w:spacing w:before="0" w:beforeAutospacing="0" w:after="0" w:afterAutospacing="0" w:line="288" w:lineRule="auto"/>
              <w:ind w:left="0" w:right="0"/>
              <w:jc w:val="center"/>
              <w:rPr>
                <w:rFonts w:hint="default" w:ascii="Times New Roman"/>
                <w:snapToGrid w:val="0"/>
                <w:sz w:val="21"/>
                <w:szCs w:val="21"/>
                <w:highlight w:val="none"/>
              </w:rPr>
            </w:pPr>
            <w:r>
              <w:rPr>
                <w:rFonts w:hint="default"/>
                <w:snapToGrid w:val="0"/>
                <w:sz w:val="21"/>
                <w:szCs w:val="21"/>
                <w:highlight w:val="none"/>
              </w:rPr>
              <w:t>/</w:t>
            </w:r>
          </w:p>
        </w:tc>
        <w:tc>
          <w:tcPr>
            <w:tcW w:w="1027" w:type="dxa"/>
            <w:vAlign w:val="center"/>
          </w:tcPr>
          <w:p w14:paraId="053918DA">
            <w:pPr>
              <w:keepNext w:val="0"/>
              <w:keepLines w:val="0"/>
              <w:suppressLineNumbers w:val="0"/>
              <w:spacing w:before="0" w:beforeAutospacing="0" w:after="0" w:afterAutospacing="0" w:line="288" w:lineRule="auto"/>
              <w:ind w:left="0" w:right="0"/>
              <w:jc w:val="center"/>
              <w:rPr>
                <w:rFonts w:hint="default" w:ascii="Times New Roman"/>
                <w:snapToGrid w:val="0"/>
                <w:sz w:val="21"/>
                <w:szCs w:val="21"/>
                <w:highlight w:val="none"/>
              </w:rPr>
            </w:pPr>
            <w:r>
              <w:rPr>
                <w:rFonts w:hint="default"/>
                <w:snapToGrid w:val="0"/>
                <w:sz w:val="21"/>
                <w:szCs w:val="21"/>
                <w:highlight w:val="none"/>
              </w:rPr>
              <w:t>/</w:t>
            </w:r>
          </w:p>
        </w:tc>
        <w:tc>
          <w:tcPr>
            <w:tcW w:w="1433" w:type="dxa"/>
            <w:vAlign w:val="center"/>
          </w:tcPr>
          <w:p w14:paraId="7713D395">
            <w:pPr>
              <w:keepNext w:val="0"/>
              <w:keepLines w:val="0"/>
              <w:suppressLineNumbers w:val="0"/>
              <w:spacing w:before="0" w:beforeAutospacing="0" w:after="0" w:afterAutospacing="0" w:line="288" w:lineRule="auto"/>
              <w:ind w:left="0" w:right="0"/>
              <w:jc w:val="center"/>
              <w:rPr>
                <w:rFonts w:hint="default" w:ascii="Times New Roman"/>
                <w:snapToGrid w:val="0"/>
                <w:sz w:val="21"/>
                <w:szCs w:val="21"/>
                <w:highlight w:val="none"/>
              </w:rPr>
            </w:pPr>
            <w:r>
              <w:rPr>
                <w:rFonts w:hint="default"/>
                <w:snapToGrid w:val="0"/>
                <w:sz w:val="21"/>
                <w:szCs w:val="21"/>
                <w:highlight w:val="none"/>
              </w:rPr>
              <w:t>/</w:t>
            </w:r>
          </w:p>
        </w:tc>
        <w:tc>
          <w:tcPr>
            <w:tcW w:w="1485" w:type="dxa"/>
            <w:vAlign w:val="center"/>
          </w:tcPr>
          <w:p w14:paraId="6740A3F0">
            <w:pPr>
              <w:pStyle w:val="65"/>
              <w:keepNext w:val="0"/>
              <w:keepLines w:val="0"/>
              <w:suppressLineNumbers w:val="0"/>
              <w:spacing w:before="0" w:beforeLines="0" w:beforeAutospacing="0" w:after="0" w:afterLines="0" w:afterAutospacing="0" w:line="288" w:lineRule="auto"/>
              <w:ind w:left="0" w:right="0"/>
              <w:rPr>
                <w:rFonts w:hint="default" w:ascii="Times New Roman"/>
                <w:snapToGrid w:val="0"/>
                <w:sz w:val="21"/>
                <w:szCs w:val="21"/>
                <w:highlight w:val="none"/>
              </w:rPr>
            </w:pPr>
            <w:r>
              <w:rPr>
                <w:rFonts w:hint="default" w:ascii="Times New Roman"/>
                <w:snapToGrid w:val="0"/>
                <w:sz w:val="21"/>
                <w:szCs w:val="21"/>
                <w:highlight w:val="none"/>
              </w:rPr>
              <w:t>0（</w:t>
            </w:r>
            <w:r>
              <w:rPr>
                <w:rFonts w:hint="eastAsia" w:ascii="Times New Roman"/>
                <w:snapToGrid w:val="0"/>
                <w:sz w:val="21"/>
                <w:szCs w:val="21"/>
                <w:highlight w:val="none"/>
                <w:lang w:val="en-US" w:eastAsia="zh-CN"/>
              </w:rPr>
              <w:t>10</w:t>
            </w:r>
            <w:r>
              <w:rPr>
                <w:rFonts w:hint="default" w:ascii="Times New Roman"/>
                <w:snapToGrid w:val="0"/>
                <w:sz w:val="21"/>
                <w:szCs w:val="21"/>
                <w:highlight w:val="none"/>
              </w:rPr>
              <w:t>）</w:t>
            </w:r>
          </w:p>
        </w:tc>
        <w:tc>
          <w:tcPr>
            <w:tcW w:w="1327" w:type="dxa"/>
            <w:vAlign w:val="center"/>
          </w:tcPr>
          <w:p w14:paraId="187079A2">
            <w:pPr>
              <w:pStyle w:val="65"/>
              <w:keepNext w:val="0"/>
              <w:keepLines w:val="0"/>
              <w:suppressLineNumbers w:val="0"/>
              <w:spacing w:before="0" w:beforeLines="0" w:beforeAutospacing="0" w:after="0" w:afterLines="0" w:afterAutospacing="0" w:line="288" w:lineRule="auto"/>
              <w:ind w:left="0" w:right="0"/>
              <w:rPr>
                <w:rFonts w:hint="default" w:ascii="Times New Roman"/>
                <w:snapToGrid w:val="0"/>
                <w:sz w:val="21"/>
                <w:szCs w:val="21"/>
                <w:highlight w:val="none"/>
              </w:rPr>
            </w:pPr>
            <w:r>
              <w:rPr>
                <w:rFonts w:hint="default" w:ascii="Times New Roman"/>
                <w:snapToGrid w:val="0"/>
                <w:sz w:val="21"/>
                <w:szCs w:val="21"/>
                <w:highlight w:val="none"/>
              </w:rPr>
              <w:t>/</w:t>
            </w:r>
          </w:p>
        </w:tc>
        <w:tc>
          <w:tcPr>
            <w:tcW w:w="1785" w:type="dxa"/>
            <w:shd w:val="clear" w:color="auto" w:fill="auto"/>
            <w:vAlign w:val="center"/>
          </w:tcPr>
          <w:p w14:paraId="605E4A7F">
            <w:pPr>
              <w:pStyle w:val="65"/>
              <w:keepNext w:val="0"/>
              <w:keepLines w:val="0"/>
              <w:suppressLineNumbers w:val="0"/>
              <w:spacing w:before="0" w:beforeLines="0" w:beforeAutospacing="0" w:after="0" w:afterLines="0" w:afterAutospacing="0" w:line="288" w:lineRule="auto"/>
              <w:ind w:left="0" w:right="0"/>
              <w:rPr>
                <w:rFonts w:hint="default" w:ascii="Times New Roman" w:hAnsi="Times New Roman" w:eastAsia="宋体" w:cs="Times New Roman"/>
                <w:snapToGrid w:val="0"/>
                <w:kern w:val="0"/>
                <w:sz w:val="21"/>
                <w:szCs w:val="21"/>
                <w:highlight w:val="none"/>
                <w:lang w:val="en-US" w:eastAsia="zh-CN" w:bidi="ar-SA"/>
              </w:rPr>
            </w:pPr>
            <w:r>
              <w:rPr>
                <w:rFonts w:hint="default" w:ascii="Times New Roman"/>
                <w:snapToGrid w:val="0"/>
                <w:sz w:val="21"/>
                <w:szCs w:val="21"/>
                <w:highlight w:val="none"/>
              </w:rPr>
              <w:t>0（</w:t>
            </w:r>
            <w:r>
              <w:rPr>
                <w:rFonts w:hint="eastAsia" w:ascii="Times New Roman"/>
                <w:snapToGrid w:val="0"/>
                <w:sz w:val="21"/>
                <w:szCs w:val="21"/>
                <w:highlight w:val="none"/>
                <w:lang w:val="en-US" w:eastAsia="zh-CN"/>
              </w:rPr>
              <w:t>10</w:t>
            </w:r>
            <w:r>
              <w:rPr>
                <w:rFonts w:hint="default" w:ascii="Times New Roman"/>
                <w:snapToGrid w:val="0"/>
                <w:sz w:val="21"/>
                <w:szCs w:val="21"/>
                <w:highlight w:val="none"/>
              </w:rPr>
              <w:t>）</w:t>
            </w:r>
          </w:p>
        </w:tc>
        <w:tc>
          <w:tcPr>
            <w:tcW w:w="1352" w:type="dxa"/>
            <w:shd w:val="clear" w:color="auto" w:fill="auto"/>
            <w:vAlign w:val="center"/>
          </w:tcPr>
          <w:p w14:paraId="42230057">
            <w:pPr>
              <w:pStyle w:val="65"/>
              <w:keepNext w:val="0"/>
              <w:keepLines w:val="0"/>
              <w:suppressLineNumbers w:val="0"/>
              <w:spacing w:before="0" w:beforeLines="0" w:beforeAutospacing="0" w:after="0" w:afterLines="0" w:afterAutospacing="0" w:line="288" w:lineRule="auto"/>
              <w:ind w:left="0" w:right="0"/>
              <w:rPr>
                <w:rFonts w:hint="default" w:ascii="Times New Roman" w:hAnsi="Times New Roman" w:eastAsia="宋体" w:cs="Times New Roman"/>
                <w:snapToGrid w:val="0"/>
                <w:kern w:val="0"/>
                <w:sz w:val="21"/>
                <w:szCs w:val="21"/>
                <w:highlight w:val="none"/>
                <w:lang w:val="en-US" w:eastAsia="zh-CN" w:bidi="ar-SA"/>
              </w:rPr>
            </w:pPr>
            <w:r>
              <w:rPr>
                <w:rFonts w:hint="default" w:ascii="Times New Roman"/>
                <w:snapToGrid w:val="0"/>
                <w:sz w:val="21"/>
                <w:szCs w:val="21"/>
                <w:highlight w:val="none"/>
              </w:rPr>
              <w:t>0（</w:t>
            </w:r>
            <w:r>
              <w:rPr>
                <w:rFonts w:hint="eastAsia" w:ascii="Times New Roman"/>
                <w:snapToGrid w:val="0"/>
                <w:sz w:val="21"/>
                <w:szCs w:val="21"/>
                <w:highlight w:val="none"/>
                <w:lang w:val="en-US" w:eastAsia="zh-CN"/>
              </w:rPr>
              <w:t>+10</w:t>
            </w:r>
            <w:r>
              <w:rPr>
                <w:rFonts w:hint="default" w:ascii="Times New Roman"/>
                <w:snapToGrid w:val="0"/>
                <w:sz w:val="21"/>
                <w:szCs w:val="21"/>
                <w:highlight w:val="none"/>
              </w:rPr>
              <w:t>）</w:t>
            </w:r>
          </w:p>
        </w:tc>
      </w:tr>
      <w:tr w14:paraId="7A92BD83">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285" w:hRule="atLeast"/>
        </w:trPr>
        <w:tc>
          <w:tcPr>
            <w:tcW w:w="1089" w:type="dxa"/>
            <w:vMerge w:val="continue"/>
            <w:vAlign w:val="center"/>
          </w:tcPr>
          <w:p w14:paraId="5836548C">
            <w:pPr>
              <w:pStyle w:val="65"/>
              <w:keepNext w:val="0"/>
              <w:keepLines w:val="0"/>
              <w:suppressLineNumbers w:val="0"/>
              <w:spacing w:before="0" w:beforeLines="0" w:beforeAutospacing="0" w:after="0" w:afterLines="0" w:afterAutospacing="0" w:line="288" w:lineRule="auto"/>
              <w:ind w:left="0" w:right="0"/>
              <w:rPr>
                <w:rFonts w:hint="default" w:ascii="Times New Roman" w:hAnsi="宋体"/>
                <w:snapToGrid w:val="0"/>
                <w:sz w:val="21"/>
                <w:szCs w:val="21"/>
                <w:highlight w:val="none"/>
              </w:rPr>
            </w:pPr>
          </w:p>
        </w:tc>
        <w:tc>
          <w:tcPr>
            <w:tcW w:w="2737" w:type="dxa"/>
            <w:shd w:val="clear" w:color="auto" w:fill="auto"/>
            <w:vAlign w:val="center"/>
          </w:tcPr>
          <w:p w14:paraId="41710C9F">
            <w:pPr>
              <w:pStyle w:val="129"/>
              <w:keepNext w:val="0"/>
              <w:keepLines w:val="0"/>
              <w:suppressLineNumbers w:val="0"/>
              <w:spacing w:before="0" w:beforeAutospacing="0" w:after="0" w:afterAutospacing="0"/>
              <w:ind w:left="0" w:right="0"/>
              <w:rPr>
                <w:rFonts w:hint="eastAsia" w:ascii="Times New Roman" w:hAnsi="Times New Roman" w:eastAsia="宋体" w:cs="Times New Roman"/>
                <w:color w:val="000000"/>
                <w:kern w:val="0"/>
                <w:sz w:val="21"/>
                <w:szCs w:val="21"/>
                <w:highlight w:val="none"/>
                <w:lang w:val="en-US" w:eastAsia="zh-CN" w:bidi="ar-SA"/>
              </w:rPr>
            </w:pPr>
            <w:r>
              <w:rPr>
                <w:rFonts w:hint="default"/>
                <w:color w:val="auto"/>
                <w:sz w:val="21"/>
                <w:szCs w:val="21"/>
                <w:highlight w:val="none"/>
              </w:rPr>
              <w:t>病理性废物</w:t>
            </w:r>
            <w:r>
              <w:rPr>
                <w:rFonts w:hint="default"/>
                <w:snapToGrid w:val="0"/>
                <w:sz w:val="21"/>
                <w:szCs w:val="21"/>
                <w:highlight w:val="none"/>
              </w:rPr>
              <w:t>（t/a）</w:t>
            </w:r>
          </w:p>
        </w:tc>
        <w:tc>
          <w:tcPr>
            <w:tcW w:w="1553" w:type="dxa"/>
            <w:vAlign w:val="center"/>
          </w:tcPr>
          <w:p w14:paraId="4104917C">
            <w:pPr>
              <w:keepNext w:val="0"/>
              <w:keepLines w:val="0"/>
              <w:suppressLineNumbers w:val="0"/>
              <w:spacing w:before="0" w:beforeAutospacing="0" w:after="0" w:afterAutospacing="0" w:line="288" w:lineRule="auto"/>
              <w:ind w:left="0" w:right="0"/>
              <w:jc w:val="center"/>
              <w:rPr>
                <w:rFonts w:hint="default" w:ascii="Times New Roman"/>
                <w:snapToGrid w:val="0"/>
                <w:sz w:val="21"/>
                <w:szCs w:val="21"/>
                <w:highlight w:val="none"/>
              </w:rPr>
            </w:pPr>
            <w:r>
              <w:rPr>
                <w:rFonts w:hint="default"/>
                <w:snapToGrid w:val="0"/>
                <w:sz w:val="21"/>
                <w:szCs w:val="21"/>
                <w:highlight w:val="none"/>
              </w:rPr>
              <w:t>/</w:t>
            </w:r>
          </w:p>
        </w:tc>
        <w:tc>
          <w:tcPr>
            <w:tcW w:w="1027" w:type="dxa"/>
            <w:vAlign w:val="center"/>
          </w:tcPr>
          <w:p w14:paraId="4EE3CD4E">
            <w:pPr>
              <w:keepNext w:val="0"/>
              <w:keepLines w:val="0"/>
              <w:suppressLineNumbers w:val="0"/>
              <w:spacing w:before="0" w:beforeAutospacing="0" w:after="0" w:afterAutospacing="0" w:line="288" w:lineRule="auto"/>
              <w:ind w:left="0" w:right="0"/>
              <w:jc w:val="center"/>
              <w:rPr>
                <w:rFonts w:hint="default" w:ascii="Times New Roman"/>
                <w:snapToGrid w:val="0"/>
                <w:sz w:val="21"/>
                <w:szCs w:val="21"/>
                <w:highlight w:val="none"/>
              </w:rPr>
            </w:pPr>
            <w:r>
              <w:rPr>
                <w:rFonts w:hint="default"/>
                <w:snapToGrid w:val="0"/>
                <w:sz w:val="21"/>
                <w:szCs w:val="21"/>
                <w:highlight w:val="none"/>
              </w:rPr>
              <w:t>/</w:t>
            </w:r>
          </w:p>
        </w:tc>
        <w:tc>
          <w:tcPr>
            <w:tcW w:w="1433" w:type="dxa"/>
            <w:vAlign w:val="center"/>
          </w:tcPr>
          <w:p w14:paraId="19C9FA92">
            <w:pPr>
              <w:keepNext w:val="0"/>
              <w:keepLines w:val="0"/>
              <w:suppressLineNumbers w:val="0"/>
              <w:spacing w:before="0" w:beforeAutospacing="0" w:after="0" w:afterAutospacing="0" w:line="288" w:lineRule="auto"/>
              <w:ind w:left="0" w:right="0"/>
              <w:jc w:val="center"/>
              <w:rPr>
                <w:rFonts w:hint="default" w:ascii="Times New Roman"/>
                <w:snapToGrid w:val="0"/>
                <w:sz w:val="21"/>
                <w:szCs w:val="21"/>
                <w:highlight w:val="none"/>
              </w:rPr>
            </w:pPr>
            <w:r>
              <w:rPr>
                <w:rFonts w:hint="default"/>
                <w:snapToGrid w:val="0"/>
                <w:sz w:val="21"/>
                <w:szCs w:val="21"/>
                <w:highlight w:val="none"/>
              </w:rPr>
              <w:t>/</w:t>
            </w:r>
          </w:p>
        </w:tc>
        <w:tc>
          <w:tcPr>
            <w:tcW w:w="1485" w:type="dxa"/>
            <w:vAlign w:val="center"/>
          </w:tcPr>
          <w:p w14:paraId="4361E0A7">
            <w:pPr>
              <w:pStyle w:val="65"/>
              <w:keepNext w:val="0"/>
              <w:keepLines w:val="0"/>
              <w:suppressLineNumbers w:val="0"/>
              <w:spacing w:before="0" w:beforeLines="0" w:beforeAutospacing="0" w:after="0" w:afterLines="0" w:afterAutospacing="0" w:line="288" w:lineRule="auto"/>
              <w:ind w:left="0" w:right="0"/>
              <w:rPr>
                <w:rFonts w:hint="default" w:ascii="Times New Roman"/>
                <w:snapToGrid w:val="0"/>
                <w:sz w:val="21"/>
                <w:szCs w:val="21"/>
                <w:highlight w:val="none"/>
              </w:rPr>
            </w:pPr>
            <w:r>
              <w:rPr>
                <w:rFonts w:hint="default" w:ascii="Times New Roman"/>
                <w:snapToGrid w:val="0"/>
                <w:sz w:val="21"/>
                <w:szCs w:val="21"/>
                <w:highlight w:val="none"/>
              </w:rPr>
              <w:t>0（</w:t>
            </w:r>
            <w:r>
              <w:rPr>
                <w:rFonts w:hint="eastAsia" w:ascii="Times New Roman"/>
                <w:snapToGrid w:val="0"/>
                <w:sz w:val="21"/>
                <w:szCs w:val="21"/>
                <w:highlight w:val="none"/>
                <w:lang w:val="en-US" w:eastAsia="zh-CN"/>
              </w:rPr>
              <w:t>25</w:t>
            </w:r>
            <w:r>
              <w:rPr>
                <w:rFonts w:hint="default" w:ascii="Times New Roman"/>
                <w:snapToGrid w:val="0"/>
                <w:sz w:val="21"/>
                <w:szCs w:val="21"/>
                <w:highlight w:val="none"/>
              </w:rPr>
              <w:t>）</w:t>
            </w:r>
          </w:p>
        </w:tc>
        <w:tc>
          <w:tcPr>
            <w:tcW w:w="1327" w:type="dxa"/>
            <w:vAlign w:val="center"/>
          </w:tcPr>
          <w:p w14:paraId="3A896DD5">
            <w:pPr>
              <w:pStyle w:val="65"/>
              <w:keepNext w:val="0"/>
              <w:keepLines w:val="0"/>
              <w:suppressLineNumbers w:val="0"/>
              <w:spacing w:before="0" w:beforeLines="0" w:beforeAutospacing="0" w:after="0" w:afterLines="0" w:afterAutospacing="0" w:line="288" w:lineRule="auto"/>
              <w:ind w:left="0" w:right="0"/>
              <w:rPr>
                <w:rFonts w:hint="default" w:ascii="Times New Roman"/>
                <w:snapToGrid w:val="0"/>
                <w:sz w:val="21"/>
                <w:szCs w:val="21"/>
                <w:highlight w:val="none"/>
              </w:rPr>
            </w:pPr>
            <w:r>
              <w:rPr>
                <w:rFonts w:hint="default" w:ascii="Times New Roman"/>
                <w:snapToGrid w:val="0"/>
                <w:sz w:val="21"/>
                <w:szCs w:val="21"/>
                <w:highlight w:val="none"/>
              </w:rPr>
              <w:t>/</w:t>
            </w:r>
          </w:p>
        </w:tc>
        <w:tc>
          <w:tcPr>
            <w:tcW w:w="1785" w:type="dxa"/>
            <w:shd w:val="clear" w:color="auto" w:fill="auto"/>
            <w:vAlign w:val="center"/>
          </w:tcPr>
          <w:p w14:paraId="15C52E46">
            <w:pPr>
              <w:pStyle w:val="65"/>
              <w:keepNext w:val="0"/>
              <w:keepLines w:val="0"/>
              <w:suppressLineNumbers w:val="0"/>
              <w:spacing w:before="0" w:beforeLines="0" w:beforeAutospacing="0" w:after="0" w:afterLines="0" w:afterAutospacing="0" w:line="288" w:lineRule="auto"/>
              <w:ind w:left="0" w:right="0"/>
              <w:rPr>
                <w:rFonts w:hint="default" w:ascii="Times New Roman" w:hAnsi="Times New Roman" w:eastAsia="宋体" w:cs="Times New Roman"/>
                <w:snapToGrid w:val="0"/>
                <w:kern w:val="0"/>
                <w:sz w:val="21"/>
                <w:szCs w:val="21"/>
                <w:highlight w:val="none"/>
                <w:lang w:val="en-US" w:eastAsia="zh-CN" w:bidi="ar-SA"/>
              </w:rPr>
            </w:pPr>
            <w:r>
              <w:rPr>
                <w:rFonts w:hint="default" w:ascii="Times New Roman"/>
                <w:snapToGrid w:val="0"/>
                <w:sz w:val="21"/>
                <w:szCs w:val="21"/>
                <w:highlight w:val="none"/>
              </w:rPr>
              <w:t>0（</w:t>
            </w:r>
            <w:r>
              <w:rPr>
                <w:rFonts w:hint="eastAsia" w:ascii="Times New Roman"/>
                <w:snapToGrid w:val="0"/>
                <w:sz w:val="21"/>
                <w:szCs w:val="21"/>
                <w:highlight w:val="none"/>
                <w:lang w:val="en-US" w:eastAsia="zh-CN"/>
              </w:rPr>
              <w:t>25</w:t>
            </w:r>
            <w:r>
              <w:rPr>
                <w:rFonts w:hint="default" w:ascii="Times New Roman"/>
                <w:snapToGrid w:val="0"/>
                <w:sz w:val="21"/>
                <w:szCs w:val="21"/>
                <w:highlight w:val="none"/>
              </w:rPr>
              <w:t>）</w:t>
            </w:r>
          </w:p>
        </w:tc>
        <w:tc>
          <w:tcPr>
            <w:tcW w:w="1352" w:type="dxa"/>
            <w:shd w:val="clear" w:color="auto" w:fill="auto"/>
            <w:vAlign w:val="center"/>
          </w:tcPr>
          <w:p w14:paraId="3297FFCB">
            <w:pPr>
              <w:pStyle w:val="65"/>
              <w:keepNext w:val="0"/>
              <w:keepLines w:val="0"/>
              <w:suppressLineNumbers w:val="0"/>
              <w:spacing w:before="0" w:beforeLines="0" w:beforeAutospacing="0" w:after="0" w:afterLines="0" w:afterAutospacing="0" w:line="288" w:lineRule="auto"/>
              <w:ind w:left="0" w:right="0"/>
              <w:rPr>
                <w:rFonts w:hint="default" w:ascii="Times New Roman" w:hAnsi="Times New Roman" w:eastAsia="宋体" w:cs="Times New Roman"/>
                <w:snapToGrid w:val="0"/>
                <w:kern w:val="0"/>
                <w:sz w:val="21"/>
                <w:szCs w:val="21"/>
                <w:highlight w:val="none"/>
                <w:lang w:val="en-US" w:eastAsia="zh-CN" w:bidi="ar-SA"/>
              </w:rPr>
            </w:pPr>
            <w:r>
              <w:rPr>
                <w:rFonts w:hint="default" w:ascii="Times New Roman"/>
                <w:snapToGrid w:val="0"/>
                <w:sz w:val="21"/>
                <w:szCs w:val="21"/>
                <w:highlight w:val="none"/>
              </w:rPr>
              <w:t>0（</w:t>
            </w:r>
            <w:r>
              <w:rPr>
                <w:rFonts w:hint="eastAsia" w:ascii="Times New Roman"/>
                <w:snapToGrid w:val="0"/>
                <w:sz w:val="21"/>
                <w:szCs w:val="21"/>
                <w:highlight w:val="none"/>
                <w:lang w:val="en-US" w:eastAsia="zh-CN"/>
              </w:rPr>
              <w:t>+25</w:t>
            </w:r>
            <w:r>
              <w:rPr>
                <w:rFonts w:hint="default" w:ascii="Times New Roman"/>
                <w:snapToGrid w:val="0"/>
                <w:sz w:val="21"/>
                <w:szCs w:val="21"/>
                <w:highlight w:val="none"/>
              </w:rPr>
              <w:t>）</w:t>
            </w:r>
          </w:p>
        </w:tc>
      </w:tr>
      <w:tr w14:paraId="7AD20793">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c>
          <w:tcPr>
            <w:tcW w:w="1089" w:type="dxa"/>
            <w:vMerge w:val="continue"/>
            <w:vAlign w:val="center"/>
          </w:tcPr>
          <w:p w14:paraId="4451BAD8">
            <w:pPr>
              <w:pStyle w:val="65"/>
              <w:keepNext w:val="0"/>
              <w:keepLines w:val="0"/>
              <w:suppressLineNumbers w:val="0"/>
              <w:spacing w:before="0" w:beforeLines="0" w:beforeAutospacing="0" w:after="0" w:afterLines="0" w:afterAutospacing="0" w:line="288" w:lineRule="auto"/>
              <w:ind w:left="0" w:right="0"/>
              <w:rPr>
                <w:rFonts w:hint="default" w:ascii="Times New Roman" w:hAnsi="宋体"/>
                <w:snapToGrid w:val="0"/>
                <w:sz w:val="21"/>
                <w:szCs w:val="21"/>
                <w:highlight w:val="none"/>
              </w:rPr>
            </w:pPr>
          </w:p>
        </w:tc>
        <w:tc>
          <w:tcPr>
            <w:tcW w:w="2737" w:type="dxa"/>
            <w:shd w:val="clear" w:color="auto" w:fill="auto"/>
            <w:vAlign w:val="center"/>
          </w:tcPr>
          <w:p w14:paraId="6F7B6148">
            <w:pPr>
              <w:pStyle w:val="129"/>
              <w:keepNext w:val="0"/>
              <w:keepLines w:val="0"/>
              <w:suppressLineNumbers w:val="0"/>
              <w:spacing w:before="0" w:beforeAutospacing="0" w:after="0" w:afterAutospacing="0"/>
              <w:ind w:left="0" w:right="0"/>
              <w:rPr>
                <w:rFonts w:hint="eastAsia" w:ascii="Times New Roman" w:hAnsi="Times New Roman" w:eastAsia="宋体" w:cs="Times New Roman"/>
                <w:color w:val="000000"/>
                <w:kern w:val="0"/>
                <w:sz w:val="21"/>
                <w:szCs w:val="21"/>
                <w:highlight w:val="none"/>
                <w:lang w:val="en-US" w:eastAsia="zh-CN" w:bidi="ar-SA"/>
              </w:rPr>
            </w:pPr>
            <w:r>
              <w:rPr>
                <w:rFonts w:hint="eastAsia"/>
                <w:color w:val="auto"/>
                <w:sz w:val="21"/>
                <w:szCs w:val="21"/>
                <w:highlight w:val="none"/>
              </w:rPr>
              <w:t>药物性</w:t>
            </w:r>
            <w:r>
              <w:rPr>
                <w:rFonts w:hint="default"/>
                <w:color w:val="auto"/>
                <w:sz w:val="21"/>
                <w:szCs w:val="21"/>
                <w:highlight w:val="none"/>
              </w:rPr>
              <w:t>废物</w:t>
            </w:r>
            <w:r>
              <w:rPr>
                <w:rFonts w:hint="default"/>
                <w:snapToGrid w:val="0"/>
                <w:sz w:val="21"/>
                <w:szCs w:val="21"/>
                <w:highlight w:val="none"/>
              </w:rPr>
              <w:t>（t/a）</w:t>
            </w:r>
          </w:p>
        </w:tc>
        <w:tc>
          <w:tcPr>
            <w:tcW w:w="1553" w:type="dxa"/>
            <w:vAlign w:val="center"/>
          </w:tcPr>
          <w:p w14:paraId="2A3BD661">
            <w:pPr>
              <w:keepNext w:val="0"/>
              <w:keepLines w:val="0"/>
              <w:suppressLineNumbers w:val="0"/>
              <w:spacing w:before="0" w:beforeAutospacing="0" w:after="0" w:afterAutospacing="0" w:line="288" w:lineRule="auto"/>
              <w:ind w:left="0" w:right="0"/>
              <w:jc w:val="center"/>
              <w:rPr>
                <w:rFonts w:hint="default" w:ascii="Times New Roman"/>
                <w:snapToGrid w:val="0"/>
                <w:sz w:val="21"/>
                <w:szCs w:val="21"/>
                <w:highlight w:val="none"/>
              </w:rPr>
            </w:pPr>
            <w:r>
              <w:rPr>
                <w:rFonts w:hint="default"/>
                <w:snapToGrid w:val="0"/>
                <w:sz w:val="21"/>
                <w:szCs w:val="21"/>
                <w:highlight w:val="none"/>
              </w:rPr>
              <w:t>/</w:t>
            </w:r>
          </w:p>
        </w:tc>
        <w:tc>
          <w:tcPr>
            <w:tcW w:w="1027" w:type="dxa"/>
            <w:vAlign w:val="center"/>
          </w:tcPr>
          <w:p w14:paraId="71D45325">
            <w:pPr>
              <w:keepNext w:val="0"/>
              <w:keepLines w:val="0"/>
              <w:suppressLineNumbers w:val="0"/>
              <w:spacing w:before="0" w:beforeAutospacing="0" w:after="0" w:afterAutospacing="0" w:line="288" w:lineRule="auto"/>
              <w:ind w:left="0" w:right="0"/>
              <w:jc w:val="center"/>
              <w:rPr>
                <w:rFonts w:hint="default" w:ascii="Times New Roman"/>
                <w:snapToGrid w:val="0"/>
                <w:sz w:val="21"/>
                <w:szCs w:val="21"/>
                <w:highlight w:val="none"/>
              </w:rPr>
            </w:pPr>
            <w:r>
              <w:rPr>
                <w:rFonts w:hint="default"/>
                <w:snapToGrid w:val="0"/>
                <w:sz w:val="21"/>
                <w:szCs w:val="21"/>
                <w:highlight w:val="none"/>
              </w:rPr>
              <w:t>/</w:t>
            </w:r>
          </w:p>
        </w:tc>
        <w:tc>
          <w:tcPr>
            <w:tcW w:w="1433" w:type="dxa"/>
            <w:vAlign w:val="center"/>
          </w:tcPr>
          <w:p w14:paraId="50177ED5">
            <w:pPr>
              <w:keepNext w:val="0"/>
              <w:keepLines w:val="0"/>
              <w:suppressLineNumbers w:val="0"/>
              <w:spacing w:before="0" w:beforeAutospacing="0" w:after="0" w:afterAutospacing="0" w:line="288" w:lineRule="auto"/>
              <w:ind w:left="0" w:right="0"/>
              <w:jc w:val="center"/>
              <w:rPr>
                <w:rFonts w:hint="default" w:ascii="Times New Roman"/>
                <w:snapToGrid w:val="0"/>
                <w:sz w:val="21"/>
                <w:szCs w:val="21"/>
                <w:highlight w:val="none"/>
              </w:rPr>
            </w:pPr>
            <w:r>
              <w:rPr>
                <w:rFonts w:hint="default"/>
                <w:snapToGrid w:val="0"/>
                <w:sz w:val="21"/>
                <w:szCs w:val="21"/>
                <w:highlight w:val="none"/>
              </w:rPr>
              <w:t>/</w:t>
            </w:r>
          </w:p>
        </w:tc>
        <w:tc>
          <w:tcPr>
            <w:tcW w:w="1485" w:type="dxa"/>
            <w:vAlign w:val="center"/>
          </w:tcPr>
          <w:p w14:paraId="3591542E">
            <w:pPr>
              <w:pStyle w:val="65"/>
              <w:keepNext w:val="0"/>
              <w:keepLines w:val="0"/>
              <w:suppressLineNumbers w:val="0"/>
              <w:spacing w:before="0" w:beforeLines="0" w:beforeAutospacing="0" w:after="0" w:afterLines="0" w:afterAutospacing="0" w:line="288" w:lineRule="auto"/>
              <w:ind w:left="0" w:right="0"/>
              <w:rPr>
                <w:rFonts w:hint="default" w:ascii="Times New Roman"/>
                <w:snapToGrid w:val="0"/>
                <w:sz w:val="21"/>
                <w:szCs w:val="21"/>
                <w:highlight w:val="none"/>
              </w:rPr>
            </w:pPr>
            <w:r>
              <w:rPr>
                <w:rFonts w:hint="eastAsia" w:ascii="Times New Roman"/>
                <w:snapToGrid w:val="0"/>
                <w:sz w:val="21"/>
                <w:szCs w:val="21"/>
                <w:highlight w:val="none"/>
              </w:rPr>
              <w:t>0（</w:t>
            </w:r>
            <w:r>
              <w:rPr>
                <w:rFonts w:hint="eastAsia" w:ascii="Times New Roman"/>
                <w:snapToGrid w:val="0"/>
                <w:sz w:val="21"/>
                <w:szCs w:val="21"/>
                <w:highlight w:val="none"/>
                <w:lang w:val="en-US" w:eastAsia="zh-CN"/>
              </w:rPr>
              <w:t>0.5</w:t>
            </w:r>
            <w:r>
              <w:rPr>
                <w:rFonts w:hint="eastAsia" w:ascii="Times New Roman"/>
                <w:snapToGrid w:val="0"/>
                <w:sz w:val="21"/>
                <w:szCs w:val="21"/>
                <w:highlight w:val="none"/>
              </w:rPr>
              <w:t>）</w:t>
            </w:r>
          </w:p>
        </w:tc>
        <w:tc>
          <w:tcPr>
            <w:tcW w:w="1327" w:type="dxa"/>
            <w:vAlign w:val="center"/>
          </w:tcPr>
          <w:p w14:paraId="3E566C31">
            <w:pPr>
              <w:pStyle w:val="65"/>
              <w:keepNext w:val="0"/>
              <w:keepLines w:val="0"/>
              <w:suppressLineNumbers w:val="0"/>
              <w:spacing w:before="0" w:beforeLines="0" w:beforeAutospacing="0" w:after="0" w:afterLines="0" w:afterAutospacing="0" w:line="288" w:lineRule="auto"/>
              <w:ind w:left="0" w:right="0"/>
              <w:rPr>
                <w:rFonts w:hint="default" w:ascii="Times New Roman"/>
                <w:snapToGrid w:val="0"/>
                <w:sz w:val="21"/>
                <w:szCs w:val="21"/>
                <w:highlight w:val="none"/>
              </w:rPr>
            </w:pPr>
            <w:r>
              <w:rPr>
                <w:rFonts w:hint="eastAsia" w:ascii="Times New Roman"/>
                <w:snapToGrid w:val="0"/>
                <w:sz w:val="21"/>
                <w:szCs w:val="21"/>
                <w:highlight w:val="none"/>
              </w:rPr>
              <w:t>/</w:t>
            </w:r>
          </w:p>
        </w:tc>
        <w:tc>
          <w:tcPr>
            <w:tcW w:w="1785" w:type="dxa"/>
            <w:shd w:val="clear" w:color="auto" w:fill="auto"/>
            <w:vAlign w:val="center"/>
          </w:tcPr>
          <w:p w14:paraId="037832B9">
            <w:pPr>
              <w:pStyle w:val="65"/>
              <w:keepNext w:val="0"/>
              <w:keepLines w:val="0"/>
              <w:suppressLineNumbers w:val="0"/>
              <w:spacing w:before="0" w:beforeLines="0" w:beforeAutospacing="0" w:after="0" w:afterLines="0" w:afterAutospacing="0" w:line="288" w:lineRule="auto"/>
              <w:ind w:left="0" w:right="0"/>
              <w:rPr>
                <w:rFonts w:hint="default" w:ascii="Times New Roman" w:hAnsi="Times New Roman" w:eastAsia="宋体" w:cs="Times New Roman"/>
                <w:snapToGrid w:val="0"/>
                <w:kern w:val="0"/>
                <w:sz w:val="21"/>
                <w:szCs w:val="21"/>
                <w:highlight w:val="none"/>
                <w:lang w:val="en-US" w:eastAsia="zh-CN" w:bidi="ar-SA"/>
              </w:rPr>
            </w:pPr>
            <w:r>
              <w:rPr>
                <w:rFonts w:hint="eastAsia" w:ascii="Times New Roman"/>
                <w:snapToGrid w:val="0"/>
                <w:sz w:val="21"/>
                <w:szCs w:val="21"/>
                <w:highlight w:val="none"/>
              </w:rPr>
              <w:t>0（</w:t>
            </w:r>
            <w:r>
              <w:rPr>
                <w:rFonts w:hint="eastAsia" w:ascii="Times New Roman"/>
                <w:snapToGrid w:val="0"/>
                <w:sz w:val="21"/>
                <w:szCs w:val="21"/>
                <w:highlight w:val="none"/>
                <w:lang w:val="en-US" w:eastAsia="zh-CN"/>
              </w:rPr>
              <w:t>0.5</w:t>
            </w:r>
            <w:r>
              <w:rPr>
                <w:rFonts w:hint="eastAsia" w:ascii="Times New Roman"/>
                <w:snapToGrid w:val="0"/>
                <w:sz w:val="21"/>
                <w:szCs w:val="21"/>
                <w:highlight w:val="none"/>
              </w:rPr>
              <w:t>）</w:t>
            </w:r>
          </w:p>
        </w:tc>
        <w:tc>
          <w:tcPr>
            <w:tcW w:w="1352" w:type="dxa"/>
            <w:shd w:val="clear" w:color="auto" w:fill="auto"/>
            <w:vAlign w:val="center"/>
          </w:tcPr>
          <w:p w14:paraId="14EFA49C">
            <w:pPr>
              <w:pStyle w:val="65"/>
              <w:keepNext w:val="0"/>
              <w:keepLines w:val="0"/>
              <w:suppressLineNumbers w:val="0"/>
              <w:spacing w:before="0" w:beforeLines="0" w:beforeAutospacing="0" w:after="0" w:afterLines="0" w:afterAutospacing="0" w:line="288" w:lineRule="auto"/>
              <w:ind w:left="0" w:right="0"/>
              <w:rPr>
                <w:rFonts w:hint="default" w:ascii="Times New Roman" w:hAnsi="Times New Roman" w:eastAsia="宋体" w:cs="Times New Roman"/>
                <w:snapToGrid w:val="0"/>
                <w:kern w:val="0"/>
                <w:sz w:val="21"/>
                <w:szCs w:val="21"/>
                <w:highlight w:val="none"/>
                <w:lang w:val="en-US" w:eastAsia="zh-CN" w:bidi="ar-SA"/>
              </w:rPr>
            </w:pPr>
            <w:r>
              <w:rPr>
                <w:rFonts w:hint="eastAsia" w:ascii="Times New Roman"/>
                <w:snapToGrid w:val="0"/>
                <w:sz w:val="21"/>
                <w:szCs w:val="21"/>
                <w:highlight w:val="none"/>
              </w:rPr>
              <w:t>0（</w:t>
            </w:r>
            <w:r>
              <w:rPr>
                <w:rFonts w:hint="eastAsia" w:ascii="Times New Roman"/>
                <w:snapToGrid w:val="0"/>
                <w:sz w:val="21"/>
                <w:szCs w:val="21"/>
                <w:highlight w:val="none"/>
                <w:lang w:val="en-US" w:eastAsia="zh-CN"/>
              </w:rPr>
              <w:t>+0.5</w:t>
            </w:r>
            <w:r>
              <w:rPr>
                <w:rFonts w:hint="eastAsia" w:ascii="Times New Roman"/>
                <w:snapToGrid w:val="0"/>
                <w:sz w:val="21"/>
                <w:szCs w:val="21"/>
                <w:highlight w:val="none"/>
              </w:rPr>
              <w:t>）</w:t>
            </w:r>
          </w:p>
        </w:tc>
      </w:tr>
      <w:tr w14:paraId="5C4E537F">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c>
          <w:tcPr>
            <w:tcW w:w="1089" w:type="dxa"/>
            <w:vMerge w:val="continue"/>
            <w:vAlign w:val="center"/>
          </w:tcPr>
          <w:p w14:paraId="55F8BA9C">
            <w:pPr>
              <w:pStyle w:val="65"/>
              <w:keepNext w:val="0"/>
              <w:keepLines w:val="0"/>
              <w:suppressLineNumbers w:val="0"/>
              <w:spacing w:before="0" w:beforeLines="0" w:beforeAutospacing="0" w:after="0" w:afterLines="0" w:afterAutospacing="0" w:line="288" w:lineRule="auto"/>
              <w:ind w:left="0" w:right="0"/>
              <w:rPr>
                <w:rFonts w:hint="default" w:ascii="Times New Roman" w:hAnsi="宋体"/>
                <w:snapToGrid w:val="0"/>
                <w:sz w:val="21"/>
                <w:szCs w:val="21"/>
                <w:highlight w:val="none"/>
              </w:rPr>
            </w:pPr>
          </w:p>
        </w:tc>
        <w:tc>
          <w:tcPr>
            <w:tcW w:w="2737" w:type="dxa"/>
            <w:shd w:val="clear" w:color="auto" w:fill="auto"/>
            <w:vAlign w:val="center"/>
          </w:tcPr>
          <w:p w14:paraId="4B021DE7">
            <w:pPr>
              <w:pStyle w:val="129"/>
              <w:keepNext w:val="0"/>
              <w:keepLines w:val="0"/>
              <w:suppressLineNumbers w:val="0"/>
              <w:spacing w:before="0" w:beforeAutospacing="0" w:after="0" w:afterAutospacing="0"/>
              <w:ind w:left="0" w:right="0"/>
              <w:rPr>
                <w:rFonts w:hint="eastAsia" w:ascii="Times New Roman" w:hAnsi="Times New Roman" w:eastAsia="宋体" w:cs="Times New Roman"/>
                <w:color w:val="000000"/>
                <w:kern w:val="0"/>
                <w:sz w:val="21"/>
                <w:szCs w:val="21"/>
                <w:highlight w:val="none"/>
                <w:lang w:val="en-US" w:eastAsia="zh-CN" w:bidi="ar-SA"/>
              </w:rPr>
            </w:pPr>
            <w:r>
              <w:rPr>
                <w:rFonts w:hint="eastAsia"/>
                <w:color w:val="auto"/>
                <w:sz w:val="21"/>
                <w:szCs w:val="21"/>
                <w:highlight w:val="none"/>
              </w:rPr>
              <w:t>化学性</w:t>
            </w:r>
            <w:r>
              <w:rPr>
                <w:rFonts w:hint="default"/>
                <w:color w:val="auto"/>
                <w:sz w:val="21"/>
                <w:szCs w:val="21"/>
                <w:highlight w:val="none"/>
              </w:rPr>
              <w:t>废物</w:t>
            </w:r>
            <w:r>
              <w:rPr>
                <w:rFonts w:hint="default"/>
                <w:snapToGrid w:val="0"/>
                <w:sz w:val="21"/>
                <w:szCs w:val="21"/>
                <w:highlight w:val="none"/>
              </w:rPr>
              <w:t>（t/a）</w:t>
            </w:r>
          </w:p>
        </w:tc>
        <w:tc>
          <w:tcPr>
            <w:tcW w:w="1553" w:type="dxa"/>
            <w:vAlign w:val="center"/>
          </w:tcPr>
          <w:p w14:paraId="0EFCCEF9">
            <w:pPr>
              <w:keepNext w:val="0"/>
              <w:keepLines w:val="0"/>
              <w:suppressLineNumbers w:val="0"/>
              <w:spacing w:before="0" w:beforeAutospacing="0" w:after="0" w:afterAutospacing="0" w:line="288" w:lineRule="auto"/>
              <w:ind w:left="0" w:right="0"/>
              <w:jc w:val="center"/>
              <w:rPr>
                <w:rFonts w:hint="default" w:ascii="Times New Roman"/>
                <w:snapToGrid w:val="0"/>
                <w:sz w:val="21"/>
                <w:szCs w:val="21"/>
                <w:highlight w:val="none"/>
              </w:rPr>
            </w:pPr>
            <w:r>
              <w:rPr>
                <w:rFonts w:hint="default"/>
                <w:snapToGrid w:val="0"/>
                <w:sz w:val="21"/>
                <w:szCs w:val="21"/>
                <w:highlight w:val="none"/>
              </w:rPr>
              <w:t>/</w:t>
            </w:r>
          </w:p>
        </w:tc>
        <w:tc>
          <w:tcPr>
            <w:tcW w:w="1027" w:type="dxa"/>
            <w:vAlign w:val="center"/>
          </w:tcPr>
          <w:p w14:paraId="384D798C">
            <w:pPr>
              <w:keepNext w:val="0"/>
              <w:keepLines w:val="0"/>
              <w:suppressLineNumbers w:val="0"/>
              <w:spacing w:before="0" w:beforeAutospacing="0" w:after="0" w:afterAutospacing="0" w:line="288" w:lineRule="auto"/>
              <w:ind w:left="0" w:right="0"/>
              <w:jc w:val="center"/>
              <w:rPr>
                <w:rFonts w:hint="default" w:ascii="Times New Roman"/>
                <w:snapToGrid w:val="0"/>
                <w:sz w:val="21"/>
                <w:szCs w:val="21"/>
                <w:highlight w:val="none"/>
              </w:rPr>
            </w:pPr>
            <w:r>
              <w:rPr>
                <w:rFonts w:hint="default"/>
                <w:snapToGrid w:val="0"/>
                <w:sz w:val="21"/>
                <w:szCs w:val="21"/>
                <w:highlight w:val="none"/>
              </w:rPr>
              <w:t>/</w:t>
            </w:r>
          </w:p>
        </w:tc>
        <w:tc>
          <w:tcPr>
            <w:tcW w:w="1433" w:type="dxa"/>
            <w:vAlign w:val="center"/>
          </w:tcPr>
          <w:p w14:paraId="44BFD9D6">
            <w:pPr>
              <w:keepNext w:val="0"/>
              <w:keepLines w:val="0"/>
              <w:suppressLineNumbers w:val="0"/>
              <w:spacing w:before="0" w:beforeAutospacing="0" w:after="0" w:afterAutospacing="0" w:line="288" w:lineRule="auto"/>
              <w:ind w:left="0" w:right="0"/>
              <w:jc w:val="center"/>
              <w:rPr>
                <w:rFonts w:hint="default" w:ascii="Times New Roman"/>
                <w:snapToGrid w:val="0"/>
                <w:sz w:val="21"/>
                <w:szCs w:val="21"/>
                <w:highlight w:val="none"/>
              </w:rPr>
            </w:pPr>
            <w:r>
              <w:rPr>
                <w:rFonts w:hint="default"/>
                <w:snapToGrid w:val="0"/>
                <w:sz w:val="21"/>
                <w:szCs w:val="21"/>
                <w:highlight w:val="none"/>
              </w:rPr>
              <w:t>/</w:t>
            </w:r>
          </w:p>
        </w:tc>
        <w:tc>
          <w:tcPr>
            <w:tcW w:w="1485" w:type="dxa"/>
            <w:vAlign w:val="center"/>
          </w:tcPr>
          <w:p w14:paraId="06AA4642">
            <w:pPr>
              <w:pStyle w:val="65"/>
              <w:keepNext w:val="0"/>
              <w:keepLines w:val="0"/>
              <w:suppressLineNumbers w:val="0"/>
              <w:spacing w:before="0" w:beforeLines="0" w:beforeAutospacing="0" w:after="0" w:afterLines="0" w:afterAutospacing="0" w:line="288" w:lineRule="auto"/>
              <w:ind w:left="0" w:right="0"/>
              <w:rPr>
                <w:rFonts w:hint="eastAsia" w:ascii="Times New Roman"/>
                <w:snapToGrid w:val="0"/>
                <w:sz w:val="21"/>
                <w:szCs w:val="21"/>
                <w:highlight w:val="none"/>
              </w:rPr>
            </w:pPr>
            <w:r>
              <w:rPr>
                <w:rFonts w:hint="eastAsia" w:ascii="Times New Roman"/>
                <w:snapToGrid w:val="0"/>
                <w:sz w:val="21"/>
                <w:szCs w:val="21"/>
                <w:highlight w:val="none"/>
              </w:rPr>
              <w:t>0（</w:t>
            </w:r>
            <w:r>
              <w:rPr>
                <w:rFonts w:hint="eastAsia" w:ascii="Times New Roman"/>
                <w:snapToGrid w:val="0"/>
                <w:sz w:val="21"/>
                <w:szCs w:val="21"/>
                <w:highlight w:val="none"/>
                <w:lang w:val="en-US" w:eastAsia="zh-CN"/>
              </w:rPr>
              <w:t>0.05</w:t>
            </w:r>
            <w:r>
              <w:rPr>
                <w:rFonts w:hint="eastAsia" w:ascii="Times New Roman"/>
                <w:snapToGrid w:val="0"/>
                <w:sz w:val="21"/>
                <w:szCs w:val="21"/>
                <w:highlight w:val="none"/>
              </w:rPr>
              <w:t>）</w:t>
            </w:r>
          </w:p>
        </w:tc>
        <w:tc>
          <w:tcPr>
            <w:tcW w:w="1327" w:type="dxa"/>
            <w:vAlign w:val="center"/>
          </w:tcPr>
          <w:p w14:paraId="7A439EB3">
            <w:pPr>
              <w:keepNext w:val="0"/>
              <w:keepLines w:val="0"/>
              <w:suppressLineNumbers w:val="0"/>
              <w:spacing w:before="0" w:beforeLines="0" w:beforeAutospacing="0" w:after="0" w:afterLines="0" w:afterAutospacing="0" w:line="288" w:lineRule="auto"/>
              <w:ind w:left="0" w:right="0"/>
              <w:jc w:val="center"/>
              <w:rPr>
                <w:rFonts w:hint="eastAsia" w:ascii="Times New Roman"/>
                <w:snapToGrid w:val="0"/>
                <w:sz w:val="21"/>
                <w:szCs w:val="21"/>
                <w:highlight w:val="none"/>
              </w:rPr>
            </w:pPr>
            <w:r>
              <w:rPr>
                <w:rFonts w:hint="eastAsia" w:ascii="Times New Roman"/>
                <w:snapToGrid w:val="0"/>
                <w:sz w:val="21"/>
                <w:szCs w:val="21"/>
                <w:highlight w:val="none"/>
              </w:rPr>
              <w:t>/</w:t>
            </w:r>
          </w:p>
        </w:tc>
        <w:tc>
          <w:tcPr>
            <w:tcW w:w="1785" w:type="dxa"/>
            <w:shd w:val="clear" w:color="auto" w:fill="auto"/>
            <w:vAlign w:val="center"/>
          </w:tcPr>
          <w:p w14:paraId="704E3B84">
            <w:pPr>
              <w:pStyle w:val="65"/>
              <w:keepNext w:val="0"/>
              <w:keepLines w:val="0"/>
              <w:suppressLineNumbers w:val="0"/>
              <w:spacing w:before="0" w:beforeLines="0" w:beforeAutospacing="0" w:after="0" w:afterLines="0" w:afterAutospacing="0" w:line="288" w:lineRule="auto"/>
              <w:ind w:left="0" w:right="0"/>
              <w:rPr>
                <w:rFonts w:hint="eastAsia" w:ascii="Times New Roman" w:hAnsi="Times New Roman" w:eastAsia="宋体" w:cs="Times New Roman"/>
                <w:snapToGrid w:val="0"/>
                <w:kern w:val="0"/>
                <w:sz w:val="21"/>
                <w:szCs w:val="21"/>
                <w:highlight w:val="none"/>
                <w:lang w:val="en-US" w:eastAsia="zh-CN" w:bidi="ar-SA"/>
              </w:rPr>
            </w:pPr>
            <w:r>
              <w:rPr>
                <w:rFonts w:hint="eastAsia" w:ascii="Times New Roman"/>
                <w:snapToGrid w:val="0"/>
                <w:sz w:val="21"/>
                <w:szCs w:val="21"/>
                <w:highlight w:val="none"/>
              </w:rPr>
              <w:t>0（</w:t>
            </w:r>
            <w:r>
              <w:rPr>
                <w:rFonts w:hint="eastAsia" w:ascii="Times New Roman"/>
                <w:snapToGrid w:val="0"/>
                <w:sz w:val="21"/>
                <w:szCs w:val="21"/>
                <w:highlight w:val="none"/>
                <w:lang w:val="en-US" w:eastAsia="zh-CN"/>
              </w:rPr>
              <w:t>0.05</w:t>
            </w:r>
            <w:r>
              <w:rPr>
                <w:rFonts w:hint="eastAsia" w:ascii="Times New Roman"/>
                <w:snapToGrid w:val="0"/>
                <w:sz w:val="21"/>
                <w:szCs w:val="21"/>
                <w:highlight w:val="none"/>
              </w:rPr>
              <w:t>）</w:t>
            </w:r>
          </w:p>
        </w:tc>
        <w:tc>
          <w:tcPr>
            <w:tcW w:w="1352" w:type="dxa"/>
            <w:shd w:val="clear" w:color="auto" w:fill="auto"/>
            <w:vAlign w:val="center"/>
          </w:tcPr>
          <w:p w14:paraId="1B5F36A1">
            <w:pPr>
              <w:pStyle w:val="65"/>
              <w:keepNext w:val="0"/>
              <w:keepLines w:val="0"/>
              <w:suppressLineNumbers w:val="0"/>
              <w:spacing w:before="0" w:beforeLines="0" w:beforeAutospacing="0" w:after="0" w:afterLines="0" w:afterAutospacing="0" w:line="288" w:lineRule="auto"/>
              <w:ind w:left="0" w:right="0"/>
              <w:rPr>
                <w:rFonts w:hint="eastAsia" w:ascii="Times New Roman" w:hAnsi="Times New Roman" w:eastAsia="宋体" w:cs="Times New Roman"/>
                <w:snapToGrid w:val="0"/>
                <w:kern w:val="0"/>
                <w:sz w:val="21"/>
                <w:szCs w:val="21"/>
                <w:highlight w:val="none"/>
                <w:lang w:val="en-US" w:eastAsia="zh-CN" w:bidi="ar-SA"/>
              </w:rPr>
            </w:pPr>
            <w:r>
              <w:rPr>
                <w:rFonts w:hint="eastAsia" w:ascii="Times New Roman"/>
                <w:snapToGrid w:val="0"/>
                <w:sz w:val="21"/>
                <w:szCs w:val="21"/>
                <w:highlight w:val="none"/>
              </w:rPr>
              <w:t>0（</w:t>
            </w:r>
            <w:r>
              <w:rPr>
                <w:rFonts w:hint="eastAsia" w:ascii="Times New Roman"/>
                <w:snapToGrid w:val="0"/>
                <w:sz w:val="21"/>
                <w:szCs w:val="21"/>
                <w:highlight w:val="none"/>
                <w:lang w:val="en-US" w:eastAsia="zh-CN"/>
              </w:rPr>
              <w:t>+0.05</w:t>
            </w:r>
            <w:r>
              <w:rPr>
                <w:rFonts w:hint="eastAsia" w:ascii="Times New Roman"/>
                <w:snapToGrid w:val="0"/>
                <w:sz w:val="21"/>
                <w:szCs w:val="21"/>
                <w:highlight w:val="none"/>
              </w:rPr>
              <w:t>）</w:t>
            </w:r>
          </w:p>
        </w:tc>
      </w:tr>
      <w:tr w14:paraId="59F4E895">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c>
          <w:tcPr>
            <w:tcW w:w="1089" w:type="dxa"/>
            <w:vMerge w:val="continue"/>
            <w:vAlign w:val="center"/>
          </w:tcPr>
          <w:p w14:paraId="39553064">
            <w:pPr>
              <w:pStyle w:val="65"/>
              <w:keepNext w:val="0"/>
              <w:keepLines w:val="0"/>
              <w:suppressLineNumbers w:val="0"/>
              <w:spacing w:before="0" w:beforeLines="0" w:beforeAutospacing="0" w:after="0" w:afterLines="0" w:afterAutospacing="0" w:line="288" w:lineRule="auto"/>
              <w:ind w:left="0" w:right="0"/>
              <w:rPr>
                <w:rFonts w:hint="default" w:ascii="Times New Roman" w:hAnsi="宋体"/>
                <w:snapToGrid w:val="0"/>
                <w:sz w:val="21"/>
                <w:szCs w:val="21"/>
                <w:highlight w:val="none"/>
              </w:rPr>
            </w:pPr>
          </w:p>
        </w:tc>
        <w:tc>
          <w:tcPr>
            <w:tcW w:w="2737" w:type="dxa"/>
            <w:shd w:val="clear" w:color="auto" w:fill="auto"/>
            <w:vAlign w:val="center"/>
          </w:tcPr>
          <w:p w14:paraId="0D064C8E">
            <w:pPr>
              <w:keepNext w:val="0"/>
              <w:keepLines w:val="0"/>
              <w:pageBreakBefore w:val="0"/>
              <w:suppressLineNumbers w:val="0"/>
              <w:kinsoku/>
              <w:wordWrap/>
              <w:overflowPunct/>
              <w:topLinePunct w:val="0"/>
              <w:autoSpaceDE/>
              <w:autoSpaceDN/>
              <w:bidi w:val="0"/>
              <w:adjustRightInd w:val="0"/>
              <w:snapToGrid w:val="0"/>
              <w:spacing w:before="0" w:beforeAutospacing="0" w:after="0" w:afterAutospacing="0" w:line="264" w:lineRule="auto"/>
              <w:ind w:left="0" w:right="0"/>
              <w:jc w:val="center"/>
              <w:textAlignment w:val="auto"/>
              <w:rPr>
                <w:rFonts w:hint="eastAsia" w:ascii="Times New Roman" w:hAnsi="Times New Roman" w:eastAsia="宋体" w:cs="Times New Roman"/>
                <w:kern w:val="2"/>
                <w:sz w:val="21"/>
                <w:szCs w:val="21"/>
                <w:highlight w:val="none"/>
                <w:lang w:val="en-US" w:eastAsia="zh-CN" w:bidi="ar-SA"/>
              </w:rPr>
            </w:pPr>
            <w:r>
              <w:rPr>
                <w:rFonts w:hint="eastAsia"/>
                <w:color w:val="auto"/>
                <w:sz w:val="21"/>
                <w:szCs w:val="21"/>
                <w:highlight w:val="none"/>
              </w:rPr>
              <w:t>P</w:t>
            </w:r>
            <w:r>
              <w:rPr>
                <w:rFonts w:hint="default"/>
                <w:color w:val="auto"/>
                <w:sz w:val="21"/>
                <w:szCs w:val="21"/>
                <w:highlight w:val="none"/>
              </w:rPr>
              <w:t>2</w:t>
            </w:r>
            <w:r>
              <w:rPr>
                <w:rFonts w:hint="eastAsia"/>
                <w:color w:val="auto"/>
                <w:sz w:val="21"/>
                <w:szCs w:val="21"/>
                <w:highlight w:val="none"/>
              </w:rPr>
              <w:t>实验室废</w:t>
            </w:r>
            <w:r>
              <w:rPr>
                <w:rFonts w:hint="default"/>
                <w:color w:val="auto"/>
                <w:sz w:val="21"/>
                <w:szCs w:val="21"/>
                <w:highlight w:val="none"/>
              </w:rPr>
              <w:t>垫料</w:t>
            </w:r>
            <w:r>
              <w:rPr>
                <w:rFonts w:hint="default"/>
                <w:snapToGrid w:val="0"/>
                <w:sz w:val="21"/>
                <w:szCs w:val="21"/>
                <w:highlight w:val="none"/>
              </w:rPr>
              <w:t>（t/a）</w:t>
            </w:r>
          </w:p>
        </w:tc>
        <w:tc>
          <w:tcPr>
            <w:tcW w:w="1553" w:type="dxa"/>
            <w:vAlign w:val="center"/>
          </w:tcPr>
          <w:p w14:paraId="56AD9BC1">
            <w:pPr>
              <w:keepNext w:val="0"/>
              <w:keepLines w:val="0"/>
              <w:suppressLineNumbers w:val="0"/>
              <w:spacing w:before="0" w:beforeAutospacing="0" w:after="0" w:afterAutospacing="0" w:line="288" w:lineRule="auto"/>
              <w:ind w:left="0" w:right="0"/>
              <w:jc w:val="center"/>
              <w:rPr>
                <w:rFonts w:hint="default" w:ascii="Times New Roman"/>
                <w:snapToGrid w:val="0"/>
                <w:sz w:val="21"/>
                <w:szCs w:val="21"/>
                <w:highlight w:val="none"/>
              </w:rPr>
            </w:pPr>
            <w:r>
              <w:rPr>
                <w:rFonts w:hint="default"/>
                <w:snapToGrid w:val="0"/>
                <w:sz w:val="21"/>
                <w:szCs w:val="21"/>
                <w:highlight w:val="none"/>
              </w:rPr>
              <w:t>/</w:t>
            </w:r>
          </w:p>
        </w:tc>
        <w:tc>
          <w:tcPr>
            <w:tcW w:w="1027" w:type="dxa"/>
            <w:vAlign w:val="center"/>
          </w:tcPr>
          <w:p w14:paraId="6CEB2B11">
            <w:pPr>
              <w:keepNext w:val="0"/>
              <w:keepLines w:val="0"/>
              <w:suppressLineNumbers w:val="0"/>
              <w:spacing w:before="0" w:beforeAutospacing="0" w:after="0" w:afterAutospacing="0" w:line="288" w:lineRule="auto"/>
              <w:ind w:left="0" w:right="0"/>
              <w:jc w:val="center"/>
              <w:rPr>
                <w:rFonts w:hint="default" w:ascii="Times New Roman"/>
                <w:snapToGrid w:val="0"/>
                <w:sz w:val="21"/>
                <w:szCs w:val="21"/>
                <w:highlight w:val="none"/>
              </w:rPr>
            </w:pPr>
            <w:r>
              <w:rPr>
                <w:rFonts w:hint="default"/>
                <w:snapToGrid w:val="0"/>
                <w:sz w:val="21"/>
                <w:szCs w:val="21"/>
                <w:highlight w:val="none"/>
              </w:rPr>
              <w:t>/</w:t>
            </w:r>
          </w:p>
        </w:tc>
        <w:tc>
          <w:tcPr>
            <w:tcW w:w="1433" w:type="dxa"/>
            <w:vAlign w:val="center"/>
          </w:tcPr>
          <w:p w14:paraId="57740B3B">
            <w:pPr>
              <w:keepNext w:val="0"/>
              <w:keepLines w:val="0"/>
              <w:suppressLineNumbers w:val="0"/>
              <w:spacing w:before="0" w:beforeAutospacing="0" w:after="0" w:afterAutospacing="0" w:line="288" w:lineRule="auto"/>
              <w:ind w:left="0" w:right="0"/>
              <w:jc w:val="center"/>
              <w:rPr>
                <w:rFonts w:hint="default" w:ascii="Times New Roman"/>
                <w:snapToGrid w:val="0"/>
                <w:sz w:val="21"/>
                <w:szCs w:val="21"/>
                <w:highlight w:val="none"/>
              </w:rPr>
            </w:pPr>
            <w:r>
              <w:rPr>
                <w:rFonts w:hint="default"/>
                <w:snapToGrid w:val="0"/>
                <w:sz w:val="21"/>
                <w:szCs w:val="21"/>
                <w:highlight w:val="none"/>
              </w:rPr>
              <w:t>/</w:t>
            </w:r>
          </w:p>
        </w:tc>
        <w:tc>
          <w:tcPr>
            <w:tcW w:w="1485" w:type="dxa"/>
            <w:vAlign w:val="center"/>
          </w:tcPr>
          <w:p w14:paraId="43EEF2A5">
            <w:pPr>
              <w:pStyle w:val="65"/>
              <w:keepNext w:val="0"/>
              <w:keepLines w:val="0"/>
              <w:suppressLineNumbers w:val="0"/>
              <w:spacing w:before="0" w:beforeLines="0" w:beforeAutospacing="0" w:after="0" w:afterLines="0" w:afterAutospacing="0" w:line="288" w:lineRule="auto"/>
              <w:ind w:left="0" w:right="0"/>
              <w:rPr>
                <w:rFonts w:hint="eastAsia" w:ascii="Times New Roman"/>
                <w:snapToGrid w:val="0"/>
                <w:sz w:val="21"/>
                <w:szCs w:val="21"/>
                <w:highlight w:val="none"/>
              </w:rPr>
            </w:pPr>
            <w:r>
              <w:rPr>
                <w:rFonts w:hint="eastAsia" w:ascii="Times New Roman"/>
                <w:snapToGrid w:val="0"/>
                <w:sz w:val="21"/>
                <w:szCs w:val="21"/>
                <w:highlight w:val="none"/>
              </w:rPr>
              <w:t>0（</w:t>
            </w:r>
            <w:r>
              <w:rPr>
                <w:rFonts w:hint="eastAsia" w:ascii="Times New Roman"/>
                <w:snapToGrid w:val="0"/>
                <w:sz w:val="21"/>
                <w:szCs w:val="21"/>
                <w:highlight w:val="none"/>
                <w:lang w:val="en-US" w:eastAsia="zh-CN"/>
              </w:rPr>
              <w:t>10.42</w:t>
            </w:r>
            <w:r>
              <w:rPr>
                <w:rFonts w:hint="eastAsia" w:ascii="Times New Roman"/>
                <w:snapToGrid w:val="0"/>
                <w:sz w:val="21"/>
                <w:szCs w:val="21"/>
                <w:highlight w:val="none"/>
              </w:rPr>
              <w:t>）</w:t>
            </w:r>
          </w:p>
        </w:tc>
        <w:tc>
          <w:tcPr>
            <w:tcW w:w="1327" w:type="dxa"/>
            <w:vAlign w:val="center"/>
          </w:tcPr>
          <w:p w14:paraId="4CBF35FB">
            <w:pPr>
              <w:keepNext w:val="0"/>
              <w:keepLines w:val="0"/>
              <w:suppressLineNumbers w:val="0"/>
              <w:spacing w:before="0" w:beforeLines="0" w:beforeAutospacing="0" w:after="0" w:afterLines="0" w:afterAutospacing="0" w:line="288" w:lineRule="auto"/>
              <w:ind w:left="0" w:right="0"/>
              <w:jc w:val="center"/>
              <w:rPr>
                <w:rFonts w:hint="eastAsia" w:ascii="Times New Roman"/>
                <w:snapToGrid w:val="0"/>
                <w:sz w:val="21"/>
                <w:szCs w:val="21"/>
                <w:highlight w:val="none"/>
              </w:rPr>
            </w:pPr>
            <w:r>
              <w:rPr>
                <w:rFonts w:hint="eastAsia" w:ascii="Times New Roman"/>
                <w:snapToGrid w:val="0"/>
                <w:sz w:val="21"/>
                <w:szCs w:val="21"/>
                <w:highlight w:val="none"/>
              </w:rPr>
              <w:t>/</w:t>
            </w:r>
          </w:p>
        </w:tc>
        <w:tc>
          <w:tcPr>
            <w:tcW w:w="1785" w:type="dxa"/>
            <w:shd w:val="clear" w:color="auto" w:fill="auto"/>
            <w:vAlign w:val="center"/>
          </w:tcPr>
          <w:p w14:paraId="3C069880">
            <w:pPr>
              <w:pStyle w:val="65"/>
              <w:keepNext w:val="0"/>
              <w:keepLines w:val="0"/>
              <w:suppressLineNumbers w:val="0"/>
              <w:spacing w:before="0" w:beforeLines="0" w:beforeAutospacing="0" w:after="0" w:afterLines="0" w:afterAutospacing="0" w:line="288" w:lineRule="auto"/>
              <w:ind w:left="0" w:right="0"/>
              <w:rPr>
                <w:rFonts w:hint="eastAsia" w:ascii="Times New Roman" w:hAnsi="Times New Roman" w:eastAsia="宋体" w:cs="Times New Roman"/>
                <w:snapToGrid w:val="0"/>
                <w:kern w:val="0"/>
                <w:sz w:val="21"/>
                <w:szCs w:val="21"/>
                <w:highlight w:val="none"/>
                <w:lang w:val="en-US" w:eastAsia="zh-CN" w:bidi="ar-SA"/>
              </w:rPr>
            </w:pPr>
            <w:r>
              <w:rPr>
                <w:rFonts w:hint="eastAsia" w:ascii="Times New Roman"/>
                <w:snapToGrid w:val="0"/>
                <w:sz w:val="21"/>
                <w:szCs w:val="21"/>
                <w:highlight w:val="none"/>
              </w:rPr>
              <w:t>0（</w:t>
            </w:r>
            <w:r>
              <w:rPr>
                <w:rFonts w:hint="eastAsia" w:ascii="Times New Roman"/>
                <w:snapToGrid w:val="0"/>
                <w:sz w:val="21"/>
                <w:szCs w:val="21"/>
                <w:highlight w:val="none"/>
                <w:lang w:val="en-US" w:eastAsia="zh-CN"/>
              </w:rPr>
              <w:t>10.42</w:t>
            </w:r>
            <w:r>
              <w:rPr>
                <w:rFonts w:hint="eastAsia" w:ascii="Times New Roman"/>
                <w:snapToGrid w:val="0"/>
                <w:sz w:val="21"/>
                <w:szCs w:val="21"/>
                <w:highlight w:val="none"/>
              </w:rPr>
              <w:t>）</w:t>
            </w:r>
          </w:p>
        </w:tc>
        <w:tc>
          <w:tcPr>
            <w:tcW w:w="1352" w:type="dxa"/>
            <w:shd w:val="clear" w:color="auto" w:fill="auto"/>
            <w:vAlign w:val="center"/>
          </w:tcPr>
          <w:p w14:paraId="44C23C53">
            <w:pPr>
              <w:pStyle w:val="65"/>
              <w:keepNext w:val="0"/>
              <w:keepLines w:val="0"/>
              <w:suppressLineNumbers w:val="0"/>
              <w:spacing w:before="0" w:beforeLines="0" w:beforeAutospacing="0" w:after="0" w:afterLines="0" w:afterAutospacing="0" w:line="288" w:lineRule="auto"/>
              <w:ind w:left="0" w:right="0"/>
              <w:rPr>
                <w:rFonts w:hint="eastAsia" w:ascii="Times New Roman" w:hAnsi="Times New Roman" w:eastAsia="宋体" w:cs="Times New Roman"/>
                <w:snapToGrid w:val="0"/>
                <w:kern w:val="0"/>
                <w:sz w:val="21"/>
                <w:szCs w:val="21"/>
                <w:highlight w:val="none"/>
                <w:lang w:val="en-US" w:eastAsia="zh-CN" w:bidi="ar-SA"/>
              </w:rPr>
            </w:pPr>
            <w:r>
              <w:rPr>
                <w:rFonts w:hint="eastAsia" w:ascii="Times New Roman"/>
                <w:snapToGrid w:val="0"/>
                <w:sz w:val="21"/>
                <w:szCs w:val="21"/>
                <w:highlight w:val="none"/>
              </w:rPr>
              <w:t>0（</w:t>
            </w:r>
            <w:r>
              <w:rPr>
                <w:rFonts w:hint="eastAsia" w:ascii="Times New Roman"/>
                <w:snapToGrid w:val="0"/>
                <w:sz w:val="21"/>
                <w:szCs w:val="21"/>
                <w:highlight w:val="none"/>
                <w:lang w:val="en-US" w:eastAsia="zh-CN"/>
              </w:rPr>
              <w:t>+10.42</w:t>
            </w:r>
            <w:r>
              <w:rPr>
                <w:rFonts w:hint="eastAsia" w:ascii="Times New Roman"/>
                <w:snapToGrid w:val="0"/>
                <w:sz w:val="21"/>
                <w:szCs w:val="21"/>
                <w:highlight w:val="none"/>
              </w:rPr>
              <w:t>）</w:t>
            </w:r>
          </w:p>
        </w:tc>
      </w:tr>
      <w:tr w14:paraId="417C0FE9">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c>
          <w:tcPr>
            <w:tcW w:w="1089" w:type="dxa"/>
            <w:vMerge w:val="continue"/>
            <w:vAlign w:val="center"/>
          </w:tcPr>
          <w:p w14:paraId="231E4583">
            <w:pPr>
              <w:pStyle w:val="65"/>
              <w:keepNext w:val="0"/>
              <w:keepLines w:val="0"/>
              <w:suppressLineNumbers w:val="0"/>
              <w:spacing w:before="0" w:beforeLines="0" w:beforeAutospacing="0" w:after="0" w:afterLines="0" w:afterAutospacing="0" w:line="288" w:lineRule="auto"/>
              <w:ind w:left="0" w:right="0"/>
              <w:rPr>
                <w:rFonts w:hint="default" w:ascii="Times New Roman" w:hAnsi="宋体"/>
                <w:snapToGrid w:val="0"/>
                <w:sz w:val="21"/>
                <w:szCs w:val="21"/>
                <w:highlight w:val="none"/>
              </w:rPr>
            </w:pPr>
          </w:p>
        </w:tc>
        <w:tc>
          <w:tcPr>
            <w:tcW w:w="2737" w:type="dxa"/>
            <w:shd w:val="clear" w:color="auto" w:fill="auto"/>
            <w:vAlign w:val="center"/>
          </w:tcPr>
          <w:p w14:paraId="6E3B43D3">
            <w:pPr>
              <w:keepNext w:val="0"/>
              <w:keepLines w:val="0"/>
              <w:pageBreakBefore w:val="0"/>
              <w:suppressLineNumbers w:val="0"/>
              <w:kinsoku/>
              <w:wordWrap/>
              <w:overflowPunct/>
              <w:topLinePunct w:val="0"/>
              <w:autoSpaceDE/>
              <w:autoSpaceDN/>
              <w:bidi w:val="0"/>
              <w:adjustRightInd w:val="0"/>
              <w:snapToGrid w:val="0"/>
              <w:spacing w:before="0" w:beforeAutospacing="0" w:after="0" w:afterAutospacing="0" w:line="264" w:lineRule="auto"/>
              <w:ind w:left="0" w:right="0"/>
              <w:jc w:val="center"/>
              <w:textAlignment w:val="auto"/>
              <w:rPr>
                <w:rFonts w:hint="eastAsia" w:ascii="Times New Roman" w:hAnsi="Times New Roman" w:eastAsia="宋体" w:cs="Times New Roman"/>
                <w:color w:val="auto"/>
                <w:sz w:val="21"/>
                <w:szCs w:val="21"/>
                <w:highlight w:val="none"/>
                <w:lang w:val="en-US" w:eastAsia="zh-CN"/>
              </w:rPr>
            </w:pPr>
            <w:r>
              <w:rPr>
                <w:rFonts w:hint="eastAsia" w:ascii="Times New Roman" w:hAnsi="Times New Roman" w:eastAsia="宋体" w:cs="Times New Roman"/>
                <w:color w:val="auto"/>
                <w:sz w:val="21"/>
                <w:szCs w:val="21"/>
                <w:highlight w:val="none"/>
              </w:rPr>
              <w:t>污泥</w:t>
            </w:r>
            <w:r>
              <w:rPr>
                <w:rFonts w:hint="default"/>
                <w:snapToGrid w:val="0"/>
                <w:sz w:val="21"/>
                <w:szCs w:val="21"/>
                <w:highlight w:val="none"/>
              </w:rPr>
              <w:t>（t/a）</w:t>
            </w:r>
          </w:p>
        </w:tc>
        <w:tc>
          <w:tcPr>
            <w:tcW w:w="1553" w:type="dxa"/>
            <w:vAlign w:val="center"/>
          </w:tcPr>
          <w:p w14:paraId="20866032">
            <w:pPr>
              <w:keepNext w:val="0"/>
              <w:keepLines w:val="0"/>
              <w:suppressLineNumbers w:val="0"/>
              <w:spacing w:before="0" w:beforeAutospacing="0" w:after="0" w:afterAutospacing="0" w:line="288" w:lineRule="auto"/>
              <w:ind w:left="0" w:right="0"/>
              <w:jc w:val="center"/>
              <w:rPr>
                <w:rFonts w:hint="default" w:ascii="Times New Roman"/>
                <w:snapToGrid w:val="0"/>
                <w:sz w:val="21"/>
                <w:szCs w:val="21"/>
                <w:highlight w:val="none"/>
              </w:rPr>
            </w:pPr>
            <w:r>
              <w:rPr>
                <w:rFonts w:hint="default"/>
                <w:snapToGrid w:val="0"/>
                <w:sz w:val="21"/>
                <w:szCs w:val="21"/>
                <w:highlight w:val="none"/>
              </w:rPr>
              <w:t>/</w:t>
            </w:r>
          </w:p>
        </w:tc>
        <w:tc>
          <w:tcPr>
            <w:tcW w:w="1027" w:type="dxa"/>
            <w:vAlign w:val="center"/>
          </w:tcPr>
          <w:p w14:paraId="28EA490A">
            <w:pPr>
              <w:keepNext w:val="0"/>
              <w:keepLines w:val="0"/>
              <w:suppressLineNumbers w:val="0"/>
              <w:spacing w:before="0" w:beforeAutospacing="0" w:after="0" w:afterAutospacing="0" w:line="288" w:lineRule="auto"/>
              <w:ind w:left="0" w:right="0"/>
              <w:jc w:val="center"/>
              <w:rPr>
                <w:rFonts w:hint="default" w:ascii="Times New Roman"/>
                <w:snapToGrid w:val="0"/>
                <w:sz w:val="21"/>
                <w:szCs w:val="21"/>
                <w:highlight w:val="none"/>
              </w:rPr>
            </w:pPr>
            <w:r>
              <w:rPr>
                <w:rFonts w:hint="default"/>
                <w:snapToGrid w:val="0"/>
                <w:sz w:val="21"/>
                <w:szCs w:val="21"/>
                <w:highlight w:val="none"/>
              </w:rPr>
              <w:t>/</w:t>
            </w:r>
          </w:p>
        </w:tc>
        <w:tc>
          <w:tcPr>
            <w:tcW w:w="1433" w:type="dxa"/>
            <w:vAlign w:val="center"/>
          </w:tcPr>
          <w:p w14:paraId="20CFA426">
            <w:pPr>
              <w:keepNext w:val="0"/>
              <w:keepLines w:val="0"/>
              <w:suppressLineNumbers w:val="0"/>
              <w:spacing w:before="0" w:beforeAutospacing="0" w:after="0" w:afterAutospacing="0" w:line="288" w:lineRule="auto"/>
              <w:ind w:left="0" w:right="0"/>
              <w:jc w:val="center"/>
              <w:rPr>
                <w:rFonts w:hint="default" w:ascii="Times New Roman"/>
                <w:snapToGrid w:val="0"/>
                <w:sz w:val="21"/>
                <w:szCs w:val="21"/>
                <w:highlight w:val="none"/>
              </w:rPr>
            </w:pPr>
            <w:r>
              <w:rPr>
                <w:rFonts w:hint="default"/>
                <w:snapToGrid w:val="0"/>
                <w:sz w:val="21"/>
                <w:szCs w:val="21"/>
                <w:highlight w:val="none"/>
              </w:rPr>
              <w:t>/</w:t>
            </w:r>
          </w:p>
        </w:tc>
        <w:tc>
          <w:tcPr>
            <w:tcW w:w="1485" w:type="dxa"/>
            <w:vAlign w:val="center"/>
          </w:tcPr>
          <w:p w14:paraId="73C0BD5C">
            <w:pPr>
              <w:keepNext w:val="0"/>
              <w:keepLines w:val="0"/>
              <w:suppressLineNumbers w:val="0"/>
              <w:spacing w:before="0" w:beforeLines="0" w:beforeAutospacing="0" w:after="0" w:afterLines="0" w:afterAutospacing="0" w:line="288" w:lineRule="auto"/>
              <w:ind w:left="0" w:right="0"/>
              <w:jc w:val="center"/>
              <w:rPr>
                <w:rFonts w:hint="eastAsia" w:ascii="Times New Roman"/>
                <w:snapToGrid w:val="0"/>
                <w:sz w:val="21"/>
                <w:szCs w:val="21"/>
                <w:highlight w:val="none"/>
              </w:rPr>
            </w:pPr>
            <w:r>
              <w:rPr>
                <w:rFonts w:hint="eastAsia" w:ascii="Times New Roman"/>
                <w:snapToGrid w:val="0"/>
                <w:sz w:val="21"/>
                <w:szCs w:val="21"/>
                <w:highlight w:val="none"/>
              </w:rPr>
              <w:t>0（</w:t>
            </w:r>
            <w:r>
              <w:rPr>
                <w:rFonts w:hint="eastAsia"/>
                <w:snapToGrid w:val="0"/>
                <w:sz w:val="21"/>
                <w:szCs w:val="21"/>
                <w:highlight w:val="none"/>
                <w:lang w:val="en-US" w:eastAsia="zh-CN"/>
              </w:rPr>
              <w:t>31</w:t>
            </w:r>
            <w:r>
              <w:rPr>
                <w:rFonts w:hint="eastAsia" w:ascii="Times New Roman"/>
                <w:snapToGrid w:val="0"/>
                <w:sz w:val="21"/>
                <w:szCs w:val="21"/>
                <w:highlight w:val="none"/>
                <w:lang w:val="en-US" w:eastAsia="zh-CN"/>
              </w:rPr>
              <w:t>.</w:t>
            </w:r>
            <w:r>
              <w:rPr>
                <w:rFonts w:hint="eastAsia"/>
                <w:snapToGrid w:val="0"/>
                <w:sz w:val="21"/>
                <w:szCs w:val="21"/>
                <w:highlight w:val="none"/>
                <w:lang w:val="en-US" w:eastAsia="zh-CN"/>
              </w:rPr>
              <w:t>5</w:t>
            </w:r>
            <w:r>
              <w:rPr>
                <w:rFonts w:hint="eastAsia" w:ascii="Times New Roman"/>
                <w:snapToGrid w:val="0"/>
                <w:sz w:val="21"/>
                <w:szCs w:val="21"/>
                <w:highlight w:val="none"/>
                <w:lang w:val="en-US" w:eastAsia="zh-CN"/>
              </w:rPr>
              <w:t>2</w:t>
            </w:r>
            <w:r>
              <w:rPr>
                <w:rFonts w:hint="eastAsia" w:ascii="Times New Roman"/>
                <w:snapToGrid w:val="0"/>
                <w:sz w:val="21"/>
                <w:szCs w:val="21"/>
                <w:highlight w:val="none"/>
              </w:rPr>
              <w:t>）</w:t>
            </w:r>
          </w:p>
        </w:tc>
        <w:tc>
          <w:tcPr>
            <w:tcW w:w="1327" w:type="dxa"/>
            <w:vAlign w:val="center"/>
          </w:tcPr>
          <w:p w14:paraId="6907E134">
            <w:pPr>
              <w:keepNext w:val="0"/>
              <w:keepLines w:val="0"/>
              <w:suppressLineNumbers w:val="0"/>
              <w:spacing w:before="0" w:beforeLines="0" w:beforeAutospacing="0" w:after="0" w:afterLines="0" w:afterAutospacing="0" w:line="288" w:lineRule="auto"/>
              <w:ind w:left="0" w:right="0"/>
              <w:jc w:val="center"/>
              <w:rPr>
                <w:rFonts w:hint="eastAsia" w:ascii="Times New Roman"/>
                <w:snapToGrid w:val="0"/>
                <w:sz w:val="21"/>
                <w:szCs w:val="21"/>
                <w:highlight w:val="none"/>
              </w:rPr>
            </w:pPr>
            <w:r>
              <w:rPr>
                <w:rFonts w:hint="eastAsia" w:ascii="Times New Roman"/>
                <w:snapToGrid w:val="0"/>
                <w:sz w:val="21"/>
                <w:szCs w:val="21"/>
                <w:highlight w:val="none"/>
              </w:rPr>
              <w:t>/</w:t>
            </w:r>
          </w:p>
        </w:tc>
        <w:tc>
          <w:tcPr>
            <w:tcW w:w="1785" w:type="dxa"/>
            <w:shd w:val="clear" w:color="auto" w:fill="auto"/>
            <w:vAlign w:val="center"/>
          </w:tcPr>
          <w:p w14:paraId="6AD86642">
            <w:pPr>
              <w:keepNext w:val="0"/>
              <w:keepLines w:val="0"/>
              <w:suppressLineNumbers w:val="0"/>
              <w:spacing w:before="0" w:beforeLines="0" w:beforeAutospacing="0" w:after="0" w:afterLines="0" w:afterAutospacing="0" w:line="288" w:lineRule="auto"/>
              <w:ind w:left="0" w:right="0"/>
              <w:jc w:val="center"/>
              <w:rPr>
                <w:rFonts w:hint="eastAsia" w:ascii="Times New Roman" w:hAnsi="Times New Roman" w:eastAsia="宋体" w:cs="Times New Roman"/>
                <w:snapToGrid w:val="0"/>
                <w:kern w:val="2"/>
                <w:sz w:val="21"/>
                <w:szCs w:val="21"/>
                <w:highlight w:val="none"/>
                <w:lang w:val="en-US" w:eastAsia="zh-CN" w:bidi="ar-SA"/>
              </w:rPr>
            </w:pPr>
            <w:r>
              <w:rPr>
                <w:rFonts w:hint="eastAsia" w:ascii="Times New Roman"/>
                <w:snapToGrid w:val="0"/>
                <w:sz w:val="21"/>
                <w:szCs w:val="21"/>
                <w:highlight w:val="none"/>
              </w:rPr>
              <w:t>0（</w:t>
            </w:r>
            <w:r>
              <w:rPr>
                <w:rFonts w:hint="eastAsia"/>
                <w:snapToGrid w:val="0"/>
                <w:sz w:val="21"/>
                <w:szCs w:val="21"/>
                <w:highlight w:val="none"/>
                <w:lang w:val="en-US" w:eastAsia="zh-CN"/>
              </w:rPr>
              <w:t>31</w:t>
            </w:r>
            <w:r>
              <w:rPr>
                <w:rFonts w:hint="eastAsia" w:ascii="Times New Roman"/>
                <w:snapToGrid w:val="0"/>
                <w:sz w:val="21"/>
                <w:szCs w:val="21"/>
                <w:highlight w:val="none"/>
                <w:lang w:val="en-US" w:eastAsia="zh-CN"/>
              </w:rPr>
              <w:t>.</w:t>
            </w:r>
            <w:r>
              <w:rPr>
                <w:rFonts w:hint="eastAsia"/>
                <w:snapToGrid w:val="0"/>
                <w:sz w:val="21"/>
                <w:szCs w:val="21"/>
                <w:highlight w:val="none"/>
                <w:lang w:val="en-US" w:eastAsia="zh-CN"/>
              </w:rPr>
              <w:t>5</w:t>
            </w:r>
            <w:r>
              <w:rPr>
                <w:rFonts w:hint="eastAsia" w:ascii="Times New Roman"/>
                <w:snapToGrid w:val="0"/>
                <w:sz w:val="21"/>
                <w:szCs w:val="21"/>
                <w:highlight w:val="none"/>
                <w:lang w:val="en-US" w:eastAsia="zh-CN"/>
              </w:rPr>
              <w:t>2</w:t>
            </w:r>
            <w:r>
              <w:rPr>
                <w:rFonts w:hint="eastAsia" w:ascii="Times New Roman"/>
                <w:snapToGrid w:val="0"/>
                <w:sz w:val="21"/>
                <w:szCs w:val="21"/>
                <w:highlight w:val="none"/>
              </w:rPr>
              <w:t>）</w:t>
            </w:r>
          </w:p>
        </w:tc>
        <w:tc>
          <w:tcPr>
            <w:tcW w:w="1352" w:type="dxa"/>
            <w:shd w:val="clear" w:color="auto" w:fill="auto"/>
            <w:vAlign w:val="center"/>
          </w:tcPr>
          <w:p w14:paraId="062F65BD">
            <w:pPr>
              <w:keepNext w:val="0"/>
              <w:keepLines w:val="0"/>
              <w:suppressLineNumbers w:val="0"/>
              <w:spacing w:before="0" w:beforeLines="0" w:beforeAutospacing="0" w:after="0" w:afterLines="0" w:afterAutospacing="0" w:line="288" w:lineRule="auto"/>
              <w:ind w:left="0" w:right="0"/>
              <w:jc w:val="center"/>
              <w:rPr>
                <w:rFonts w:hint="eastAsia" w:ascii="Times New Roman" w:hAnsi="Times New Roman" w:eastAsia="宋体" w:cs="Times New Roman"/>
                <w:snapToGrid w:val="0"/>
                <w:kern w:val="2"/>
                <w:sz w:val="21"/>
                <w:szCs w:val="21"/>
                <w:highlight w:val="none"/>
                <w:lang w:val="en-US" w:eastAsia="zh-CN" w:bidi="ar-SA"/>
              </w:rPr>
            </w:pPr>
            <w:r>
              <w:rPr>
                <w:rFonts w:hint="eastAsia" w:ascii="Times New Roman"/>
                <w:snapToGrid w:val="0"/>
                <w:sz w:val="21"/>
                <w:szCs w:val="21"/>
                <w:highlight w:val="none"/>
              </w:rPr>
              <w:t>0（</w:t>
            </w:r>
            <w:r>
              <w:rPr>
                <w:rFonts w:hint="eastAsia" w:ascii="Times New Roman"/>
                <w:snapToGrid w:val="0"/>
                <w:sz w:val="21"/>
                <w:szCs w:val="21"/>
                <w:highlight w:val="none"/>
                <w:lang w:val="en-US" w:eastAsia="zh-CN"/>
              </w:rPr>
              <w:t>+</w:t>
            </w:r>
            <w:r>
              <w:rPr>
                <w:rFonts w:hint="eastAsia"/>
                <w:snapToGrid w:val="0"/>
                <w:sz w:val="21"/>
                <w:szCs w:val="21"/>
                <w:highlight w:val="none"/>
                <w:lang w:val="en-US" w:eastAsia="zh-CN"/>
              </w:rPr>
              <w:t>31</w:t>
            </w:r>
            <w:r>
              <w:rPr>
                <w:rFonts w:hint="eastAsia" w:ascii="Times New Roman"/>
                <w:snapToGrid w:val="0"/>
                <w:sz w:val="21"/>
                <w:szCs w:val="21"/>
                <w:highlight w:val="none"/>
                <w:lang w:val="en-US" w:eastAsia="zh-CN"/>
              </w:rPr>
              <w:t>.</w:t>
            </w:r>
            <w:r>
              <w:rPr>
                <w:rFonts w:hint="eastAsia"/>
                <w:snapToGrid w:val="0"/>
                <w:sz w:val="21"/>
                <w:szCs w:val="21"/>
                <w:highlight w:val="none"/>
                <w:lang w:val="en-US" w:eastAsia="zh-CN"/>
              </w:rPr>
              <w:t>5</w:t>
            </w:r>
            <w:r>
              <w:rPr>
                <w:rFonts w:hint="eastAsia" w:ascii="Times New Roman"/>
                <w:snapToGrid w:val="0"/>
                <w:sz w:val="21"/>
                <w:szCs w:val="21"/>
                <w:highlight w:val="none"/>
                <w:lang w:val="en-US" w:eastAsia="zh-CN"/>
              </w:rPr>
              <w:t>2</w:t>
            </w:r>
            <w:r>
              <w:rPr>
                <w:rFonts w:hint="eastAsia" w:ascii="Times New Roman"/>
                <w:snapToGrid w:val="0"/>
                <w:sz w:val="21"/>
                <w:szCs w:val="21"/>
                <w:highlight w:val="none"/>
              </w:rPr>
              <w:t>）</w:t>
            </w:r>
          </w:p>
        </w:tc>
      </w:tr>
      <w:tr w14:paraId="11B082E5">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c>
          <w:tcPr>
            <w:tcW w:w="1089" w:type="dxa"/>
            <w:vMerge w:val="continue"/>
            <w:vAlign w:val="center"/>
          </w:tcPr>
          <w:p w14:paraId="7F5FF34F">
            <w:pPr>
              <w:pStyle w:val="65"/>
              <w:keepNext w:val="0"/>
              <w:keepLines w:val="0"/>
              <w:suppressLineNumbers w:val="0"/>
              <w:spacing w:before="0" w:beforeLines="0" w:beforeAutospacing="0" w:after="0" w:afterLines="0" w:afterAutospacing="0" w:line="288" w:lineRule="auto"/>
              <w:ind w:left="0" w:right="0"/>
              <w:rPr>
                <w:rFonts w:hint="default" w:ascii="Times New Roman" w:hAnsi="宋体"/>
                <w:snapToGrid w:val="0"/>
                <w:sz w:val="21"/>
                <w:szCs w:val="21"/>
                <w:highlight w:val="none"/>
              </w:rPr>
            </w:pPr>
          </w:p>
        </w:tc>
        <w:tc>
          <w:tcPr>
            <w:tcW w:w="2737" w:type="dxa"/>
            <w:shd w:val="clear" w:color="auto" w:fill="auto"/>
            <w:vAlign w:val="center"/>
          </w:tcPr>
          <w:p w14:paraId="7F794D95">
            <w:pPr>
              <w:keepNext w:val="0"/>
              <w:keepLines w:val="0"/>
              <w:pageBreakBefore w:val="0"/>
              <w:suppressLineNumbers w:val="0"/>
              <w:kinsoku/>
              <w:wordWrap/>
              <w:overflowPunct/>
              <w:topLinePunct w:val="0"/>
              <w:autoSpaceDE/>
              <w:autoSpaceDN/>
              <w:bidi w:val="0"/>
              <w:adjustRightInd w:val="0"/>
              <w:snapToGrid w:val="0"/>
              <w:spacing w:before="0" w:beforeAutospacing="0" w:after="0" w:afterAutospacing="0" w:line="264" w:lineRule="auto"/>
              <w:ind w:left="0" w:right="0"/>
              <w:jc w:val="center"/>
              <w:textAlignment w:val="auto"/>
              <w:rPr>
                <w:rFonts w:hint="eastAsia" w:ascii="Times New Roman" w:hAnsi="Times New Roman" w:eastAsia="宋体" w:cs="Times New Roman"/>
                <w:color w:val="auto"/>
                <w:sz w:val="21"/>
                <w:szCs w:val="21"/>
                <w:highlight w:val="none"/>
                <w:lang w:val="en-US" w:eastAsia="zh-CN"/>
              </w:rPr>
            </w:pPr>
            <w:r>
              <w:rPr>
                <w:rFonts w:hint="eastAsia" w:ascii="Times New Roman" w:hAnsi="Times New Roman" w:eastAsia="宋体" w:cs="Times New Roman"/>
                <w:color w:val="auto"/>
                <w:sz w:val="21"/>
                <w:szCs w:val="21"/>
                <w:highlight w:val="none"/>
              </w:rPr>
              <w:t>实验废液</w:t>
            </w:r>
            <w:r>
              <w:rPr>
                <w:rFonts w:hint="default"/>
                <w:snapToGrid w:val="0"/>
                <w:sz w:val="21"/>
                <w:szCs w:val="21"/>
                <w:highlight w:val="none"/>
              </w:rPr>
              <w:t>（t/a）</w:t>
            </w:r>
          </w:p>
        </w:tc>
        <w:tc>
          <w:tcPr>
            <w:tcW w:w="1553" w:type="dxa"/>
            <w:vAlign w:val="center"/>
          </w:tcPr>
          <w:p w14:paraId="697043FA">
            <w:pPr>
              <w:keepNext w:val="0"/>
              <w:keepLines w:val="0"/>
              <w:suppressLineNumbers w:val="0"/>
              <w:spacing w:before="0" w:beforeAutospacing="0" w:after="0" w:afterAutospacing="0" w:line="288" w:lineRule="auto"/>
              <w:ind w:left="0" w:right="0"/>
              <w:jc w:val="center"/>
              <w:rPr>
                <w:rFonts w:hint="default" w:ascii="Times New Roman"/>
                <w:snapToGrid w:val="0"/>
                <w:sz w:val="21"/>
                <w:szCs w:val="21"/>
                <w:highlight w:val="none"/>
              </w:rPr>
            </w:pPr>
            <w:r>
              <w:rPr>
                <w:rFonts w:hint="default"/>
                <w:snapToGrid w:val="0"/>
                <w:sz w:val="21"/>
                <w:szCs w:val="21"/>
                <w:highlight w:val="none"/>
              </w:rPr>
              <w:t>/</w:t>
            </w:r>
          </w:p>
        </w:tc>
        <w:tc>
          <w:tcPr>
            <w:tcW w:w="1027" w:type="dxa"/>
            <w:vAlign w:val="center"/>
          </w:tcPr>
          <w:p w14:paraId="1FCB0CBA">
            <w:pPr>
              <w:keepNext w:val="0"/>
              <w:keepLines w:val="0"/>
              <w:suppressLineNumbers w:val="0"/>
              <w:spacing w:before="0" w:beforeAutospacing="0" w:after="0" w:afterAutospacing="0" w:line="288" w:lineRule="auto"/>
              <w:ind w:left="0" w:right="0"/>
              <w:jc w:val="center"/>
              <w:rPr>
                <w:rFonts w:hint="default" w:ascii="Times New Roman"/>
                <w:snapToGrid w:val="0"/>
                <w:sz w:val="21"/>
                <w:szCs w:val="21"/>
                <w:highlight w:val="none"/>
              </w:rPr>
            </w:pPr>
            <w:r>
              <w:rPr>
                <w:rFonts w:hint="default"/>
                <w:snapToGrid w:val="0"/>
                <w:sz w:val="21"/>
                <w:szCs w:val="21"/>
                <w:highlight w:val="none"/>
              </w:rPr>
              <w:t>/</w:t>
            </w:r>
          </w:p>
        </w:tc>
        <w:tc>
          <w:tcPr>
            <w:tcW w:w="1433" w:type="dxa"/>
            <w:vAlign w:val="center"/>
          </w:tcPr>
          <w:p w14:paraId="1255454A">
            <w:pPr>
              <w:keepNext w:val="0"/>
              <w:keepLines w:val="0"/>
              <w:suppressLineNumbers w:val="0"/>
              <w:spacing w:before="0" w:beforeAutospacing="0" w:after="0" w:afterAutospacing="0" w:line="288" w:lineRule="auto"/>
              <w:ind w:left="0" w:right="0"/>
              <w:jc w:val="center"/>
              <w:rPr>
                <w:rFonts w:hint="default" w:ascii="Times New Roman"/>
                <w:snapToGrid w:val="0"/>
                <w:sz w:val="21"/>
                <w:szCs w:val="21"/>
                <w:highlight w:val="none"/>
              </w:rPr>
            </w:pPr>
            <w:r>
              <w:rPr>
                <w:rFonts w:hint="default"/>
                <w:snapToGrid w:val="0"/>
                <w:sz w:val="21"/>
                <w:szCs w:val="21"/>
                <w:highlight w:val="none"/>
              </w:rPr>
              <w:t>/</w:t>
            </w:r>
          </w:p>
        </w:tc>
        <w:tc>
          <w:tcPr>
            <w:tcW w:w="1485" w:type="dxa"/>
            <w:vAlign w:val="center"/>
          </w:tcPr>
          <w:p w14:paraId="06906CC4">
            <w:pPr>
              <w:keepNext w:val="0"/>
              <w:keepLines w:val="0"/>
              <w:suppressLineNumbers w:val="0"/>
              <w:spacing w:before="0" w:beforeLines="0" w:beforeAutospacing="0" w:after="0" w:afterLines="0" w:afterAutospacing="0" w:line="288" w:lineRule="auto"/>
              <w:ind w:left="0" w:right="0"/>
              <w:jc w:val="center"/>
              <w:rPr>
                <w:rFonts w:hint="eastAsia" w:ascii="Times New Roman"/>
                <w:snapToGrid w:val="0"/>
                <w:sz w:val="21"/>
                <w:szCs w:val="21"/>
                <w:highlight w:val="none"/>
              </w:rPr>
            </w:pPr>
            <w:r>
              <w:rPr>
                <w:rFonts w:hint="eastAsia" w:ascii="Times New Roman"/>
                <w:snapToGrid w:val="0"/>
                <w:sz w:val="21"/>
                <w:szCs w:val="21"/>
                <w:highlight w:val="none"/>
              </w:rPr>
              <w:t>0（</w:t>
            </w:r>
            <w:r>
              <w:rPr>
                <w:rFonts w:hint="eastAsia" w:ascii="Times New Roman"/>
                <w:snapToGrid w:val="0"/>
                <w:sz w:val="21"/>
                <w:szCs w:val="21"/>
                <w:highlight w:val="none"/>
                <w:lang w:val="en-US" w:eastAsia="zh-CN"/>
              </w:rPr>
              <w:t>689</w:t>
            </w:r>
            <w:r>
              <w:rPr>
                <w:rFonts w:hint="eastAsia" w:ascii="Times New Roman"/>
                <w:snapToGrid w:val="0"/>
                <w:sz w:val="21"/>
                <w:szCs w:val="21"/>
                <w:highlight w:val="none"/>
              </w:rPr>
              <w:t>）</w:t>
            </w:r>
          </w:p>
        </w:tc>
        <w:tc>
          <w:tcPr>
            <w:tcW w:w="1327" w:type="dxa"/>
            <w:vAlign w:val="center"/>
          </w:tcPr>
          <w:p w14:paraId="354232D5">
            <w:pPr>
              <w:keepNext w:val="0"/>
              <w:keepLines w:val="0"/>
              <w:suppressLineNumbers w:val="0"/>
              <w:spacing w:before="0" w:beforeLines="0" w:beforeAutospacing="0" w:after="0" w:afterLines="0" w:afterAutospacing="0" w:line="288" w:lineRule="auto"/>
              <w:ind w:left="0" w:right="0"/>
              <w:jc w:val="center"/>
              <w:rPr>
                <w:rFonts w:hint="eastAsia" w:ascii="Times New Roman"/>
                <w:snapToGrid w:val="0"/>
                <w:sz w:val="21"/>
                <w:szCs w:val="21"/>
                <w:highlight w:val="none"/>
              </w:rPr>
            </w:pPr>
            <w:r>
              <w:rPr>
                <w:rFonts w:hint="eastAsia" w:ascii="Times New Roman"/>
                <w:snapToGrid w:val="0"/>
                <w:sz w:val="21"/>
                <w:szCs w:val="21"/>
                <w:highlight w:val="none"/>
              </w:rPr>
              <w:t>/</w:t>
            </w:r>
          </w:p>
        </w:tc>
        <w:tc>
          <w:tcPr>
            <w:tcW w:w="1785" w:type="dxa"/>
            <w:shd w:val="clear" w:color="auto" w:fill="auto"/>
            <w:vAlign w:val="center"/>
          </w:tcPr>
          <w:p w14:paraId="72183173">
            <w:pPr>
              <w:keepNext w:val="0"/>
              <w:keepLines w:val="0"/>
              <w:suppressLineNumbers w:val="0"/>
              <w:spacing w:before="0" w:beforeLines="0" w:beforeAutospacing="0" w:after="0" w:afterLines="0" w:afterAutospacing="0" w:line="288" w:lineRule="auto"/>
              <w:ind w:left="0" w:right="0"/>
              <w:jc w:val="center"/>
              <w:rPr>
                <w:rFonts w:hint="eastAsia" w:ascii="Times New Roman" w:hAnsi="Times New Roman" w:eastAsia="宋体" w:cs="Times New Roman"/>
                <w:snapToGrid w:val="0"/>
                <w:kern w:val="2"/>
                <w:sz w:val="21"/>
                <w:szCs w:val="21"/>
                <w:highlight w:val="none"/>
                <w:lang w:val="en-US" w:eastAsia="zh-CN" w:bidi="ar-SA"/>
              </w:rPr>
            </w:pPr>
            <w:r>
              <w:rPr>
                <w:rFonts w:hint="eastAsia" w:ascii="Times New Roman"/>
                <w:snapToGrid w:val="0"/>
                <w:sz w:val="21"/>
                <w:szCs w:val="21"/>
                <w:highlight w:val="none"/>
              </w:rPr>
              <w:t>0（</w:t>
            </w:r>
            <w:r>
              <w:rPr>
                <w:rFonts w:hint="eastAsia" w:ascii="Times New Roman"/>
                <w:snapToGrid w:val="0"/>
                <w:sz w:val="21"/>
                <w:szCs w:val="21"/>
                <w:highlight w:val="none"/>
                <w:lang w:val="en-US" w:eastAsia="zh-CN"/>
              </w:rPr>
              <w:t>689</w:t>
            </w:r>
            <w:r>
              <w:rPr>
                <w:rFonts w:hint="eastAsia" w:ascii="Times New Roman"/>
                <w:snapToGrid w:val="0"/>
                <w:sz w:val="21"/>
                <w:szCs w:val="21"/>
                <w:highlight w:val="none"/>
              </w:rPr>
              <w:t>）</w:t>
            </w:r>
          </w:p>
        </w:tc>
        <w:tc>
          <w:tcPr>
            <w:tcW w:w="1352" w:type="dxa"/>
            <w:shd w:val="clear" w:color="auto" w:fill="auto"/>
            <w:vAlign w:val="center"/>
          </w:tcPr>
          <w:p w14:paraId="3C5F68A4">
            <w:pPr>
              <w:keepNext w:val="0"/>
              <w:keepLines w:val="0"/>
              <w:suppressLineNumbers w:val="0"/>
              <w:spacing w:before="0" w:beforeLines="0" w:beforeAutospacing="0" w:after="0" w:afterLines="0" w:afterAutospacing="0" w:line="288" w:lineRule="auto"/>
              <w:ind w:left="0" w:right="0"/>
              <w:jc w:val="center"/>
              <w:rPr>
                <w:rFonts w:hint="eastAsia" w:ascii="Times New Roman" w:hAnsi="Times New Roman" w:eastAsia="宋体" w:cs="Times New Roman"/>
                <w:snapToGrid w:val="0"/>
                <w:kern w:val="2"/>
                <w:sz w:val="21"/>
                <w:szCs w:val="21"/>
                <w:highlight w:val="none"/>
                <w:lang w:val="en-US" w:eastAsia="zh-CN" w:bidi="ar-SA"/>
              </w:rPr>
            </w:pPr>
            <w:r>
              <w:rPr>
                <w:rFonts w:hint="eastAsia" w:ascii="Times New Roman"/>
                <w:snapToGrid w:val="0"/>
                <w:sz w:val="21"/>
                <w:szCs w:val="21"/>
                <w:highlight w:val="none"/>
              </w:rPr>
              <w:t>0（</w:t>
            </w:r>
            <w:r>
              <w:rPr>
                <w:rFonts w:hint="eastAsia" w:ascii="Times New Roman"/>
                <w:snapToGrid w:val="0"/>
                <w:sz w:val="21"/>
                <w:szCs w:val="21"/>
                <w:highlight w:val="none"/>
                <w:lang w:val="en-US" w:eastAsia="zh-CN"/>
              </w:rPr>
              <w:t>+689</w:t>
            </w:r>
            <w:r>
              <w:rPr>
                <w:rFonts w:hint="eastAsia" w:ascii="Times New Roman"/>
                <w:snapToGrid w:val="0"/>
                <w:sz w:val="21"/>
                <w:szCs w:val="21"/>
                <w:highlight w:val="none"/>
              </w:rPr>
              <w:t>）</w:t>
            </w:r>
          </w:p>
        </w:tc>
      </w:tr>
      <w:tr w14:paraId="3EF880D0">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c>
          <w:tcPr>
            <w:tcW w:w="1089" w:type="dxa"/>
            <w:vMerge w:val="continue"/>
            <w:vAlign w:val="center"/>
          </w:tcPr>
          <w:p w14:paraId="7890E680">
            <w:pPr>
              <w:pStyle w:val="65"/>
              <w:keepNext w:val="0"/>
              <w:keepLines w:val="0"/>
              <w:suppressLineNumbers w:val="0"/>
              <w:spacing w:before="0" w:beforeLines="0" w:beforeAutospacing="0" w:after="0" w:afterLines="0" w:afterAutospacing="0" w:line="288" w:lineRule="auto"/>
              <w:ind w:left="0" w:right="0"/>
              <w:rPr>
                <w:rFonts w:hint="default" w:ascii="Times New Roman" w:hAnsi="宋体"/>
                <w:snapToGrid w:val="0"/>
                <w:sz w:val="21"/>
                <w:szCs w:val="21"/>
                <w:highlight w:val="none"/>
              </w:rPr>
            </w:pPr>
          </w:p>
        </w:tc>
        <w:tc>
          <w:tcPr>
            <w:tcW w:w="2737" w:type="dxa"/>
            <w:shd w:val="clear" w:color="auto" w:fill="auto"/>
            <w:vAlign w:val="center"/>
          </w:tcPr>
          <w:p w14:paraId="47FE108A">
            <w:pPr>
              <w:pStyle w:val="129"/>
              <w:keepNext w:val="0"/>
              <w:keepLines w:val="0"/>
              <w:suppressLineNumbers w:val="0"/>
              <w:spacing w:before="0" w:beforeAutospacing="0" w:after="0" w:afterAutospacing="0"/>
              <w:ind w:left="0" w:right="0"/>
              <w:rPr>
                <w:rFonts w:hint="eastAsia" w:ascii="Times New Roman" w:hAnsi="Times New Roman" w:eastAsia="宋体" w:cs="Times New Roman"/>
                <w:color w:val="auto"/>
                <w:kern w:val="0"/>
                <w:sz w:val="21"/>
                <w:szCs w:val="21"/>
                <w:highlight w:val="none"/>
                <w:lang w:val="en-US" w:eastAsia="zh-CN" w:bidi="ar-SA"/>
              </w:rPr>
            </w:pPr>
            <w:r>
              <w:rPr>
                <w:rFonts w:hint="eastAsia"/>
                <w:color w:val="auto"/>
                <w:sz w:val="21"/>
                <w:szCs w:val="21"/>
                <w:highlight w:val="none"/>
              </w:rPr>
              <w:t>废</w:t>
            </w:r>
            <w:r>
              <w:rPr>
                <w:rFonts w:hint="default"/>
                <w:color w:val="auto"/>
                <w:sz w:val="21"/>
                <w:szCs w:val="21"/>
                <w:highlight w:val="none"/>
              </w:rPr>
              <w:t>实验耗材</w:t>
            </w:r>
            <w:r>
              <w:rPr>
                <w:rFonts w:hint="default"/>
                <w:snapToGrid w:val="0"/>
                <w:sz w:val="21"/>
                <w:szCs w:val="21"/>
                <w:highlight w:val="none"/>
              </w:rPr>
              <w:t>（t/a）</w:t>
            </w:r>
          </w:p>
        </w:tc>
        <w:tc>
          <w:tcPr>
            <w:tcW w:w="1553" w:type="dxa"/>
            <w:vAlign w:val="center"/>
          </w:tcPr>
          <w:p w14:paraId="09BE71D7">
            <w:pPr>
              <w:keepNext w:val="0"/>
              <w:keepLines w:val="0"/>
              <w:suppressLineNumbers w:val="0"/>
              <w:spacing w:before="0" w:beforeAutospacing="0" w:after="0" w:afterAutospacing="0" w:line="288" w:lineRule="auto"/>
              <w:ind w:left="0" w:right="0"/>
              <w:jc w:val="center"/>
              <w:rPr>
                <w:rFonts w:hint="default" w:ascii="Times New Roman"/>
                <w:snapToGrid w:val="0"/>
                <w:sz w:val="21"/>
                <w:szCs w:val="21"/>
                <w:highlight w:val="none"/>
              </w:rPr>
            </w:pPr>
            <w:r>
              <w:rPr>
                <w:rFonts w:hint="default"/>
                <w:snapToGrid w:val="0"/>
                <w:sz w:val="21"/>
                <w:szCs w:val="21"/>
                <w:highlight w:val="none"/>
              </w:rPr>
              <w:t>/</w:t>
            </w:r>
          </w:p>
        </w:tc>
        <w:tc>
          <w:tcPr>
            <w:tcW w:w="1027" w:type="dxa"/>
            <w:vAlign w:val="center"/>
          </w:tcPr>
          <w:p w14:paraId="5E82CF2E">
            <w:pPr>
              <w:keepNext w:val="0"/>
              <w:keepLines w:val="0"/>
              <w:suppressLineNumbers w:val="0"/>
              <w:spacing w:before="0" w:beforeAutospacing="0" w:after="0" w:afterAutospacing="0" w:line="288" w:lineRule="auto"/>
              <w:ind w:left="0" w:right="0"/>
              <w:jc w:val="center"/>
              <w:rPr>
                <w:rFonts w:hint="default" w:ascii="Times New Roman"/>
                <w:snapToGrid w:val="0"/>
                <w:sz w:val="21"/>
                <w:szCs w:val="21"/>
                <w:highlight w:val="none"/>
              </w:rPr>
            </w:pPr>
            <w:r>
              <w:rPr>
                <w:rFonts w:hint="default"/>
                <w:snapToGrid w:val="0"/>
                <w:sz w:val="21"/>
                <w:szCs w:val="21"/>
                <w:highlight w:val="none"/>
              </w:rPr>
              <w:t>/</w:t>
            </w:r>
          </w:p>
        </w:tc>
        <w:tc>
          <w:tcPr>
            <w:tcW w:w="1433" w:type="dxa"/>
            <w:vAlign w:val="center"/>
          </w:tcPr>
          <w:p w14:paraId="41A225D1">
            <w:pPr>
              <w:keepNext w:val="0"/>
              <w:keepLines w:val="0"/>
              <w:suppressLineNumbers w:val="0"/>
              <w:spacing w:before="0" w:beforeAutospacing="0" w:after="0" w:afterAutospacing="0" w:line="288" w:lineRule="auto"/>
              <w:ind w:left="0" w:right="0"/>
              <w:jc w:val="center"/>
              <w:rPr>
                <w:rFonts w:hint="default" w:ascii="Times New Roman"/>
                <w:snapToGrid w:val="0"/>
                <w:sz w:val="21"/>
                <w:szCs w:val="21"/>
                <w:highlight w:val="none"/>
              </w:rPr>
            </w:pPr>
            <w:r>
              <w:rPr>
                <w:rFonts w:hint="default"/>
                <w:snapToGrid w:val="0"/>
                <w:sz w:val="21"/>
                <w:szCs w:val="21"/>
                <w:highlight w:val="none"/>
              </w:rPr>
              <w:t>/</w:t>
            </w:r>
          </w:p>
        </w:tc>
        <w:tc>
          <w:tcPr>
            <w:tcW w:w="1485" w:type="dxa"/>
            <w:vAlign w:val="center"/>
          </w:tcPr>
          <w:p w14:paraId="06153C71">
            <w:pPr>
              <w:keepNext w:val="0"/>
              <w:keepLines w:val="0"/>
              <w:suppressLineNumbers w:val="0"/>
              <w:spacing w:before="0" w:beforeLines="0" w:beforeAutospacing="0" w:after="0" w:afterLines="0" w:afterAutospacing="0" w:line="288" w:lineRule="auto"/>
              <w:ind w:left="0" w:right="0"/>
              <w:jc w:val="center"/>
              <w:rPr>
                <w:rFonts w:hint="eastAsia" w:ascii="Times New Roman"/>
                <w:snapToGrid w:val="0"/>
                <w:sz w:val="21"/>
                <w:szCs w:val="21"/>
                <w:highlight w:val="none"/>
              </w:rPr>
            </w:pPr>
            <w:r>
              <w:rPr>
                <w:rFonts w:hint="eastAsia" w:ascii="Times New Roman"/>
                <w:snapToGrid w:val="0"/>
                <w:sz w:val="21"/>
                <w:szCs w:val="21"/>
                <w:highlight w:val="none"/>
              </w:rPr>
              <w:t>0（</w:t>
            </w:r>
            <w:r>
              <w:rPr>
                <w:rFonts w:hint="eastAsia" w:ascii="Times New Roman"/>
                <w:snapToGrid w:val="0"/>
                <w:sz w:val="21"/>
                <w:szCs w:val="21"/>
                <w:highlight w:val="none"/>
                <w:lang w:val="en-US" w:eastAsia="zh-CN"/>
              </w:rPr>
              <w:t>15</w:t>
            </w:r>
            <w:r>
              <w:rPr>
                <w:rFonts w:hint="eastAsia" w:ascii="Times New Roman"/>
                <w:snapToGrid w:val="0"/>
                <w:sz w:val="21"/>
                <w:szCs w:val="21"/>
                <w:highlight w:val="none"/>
              </w:rPr>
              <w:t>）</w:t>
            </w:r>
          </w:p>
        </w:tc>
        <w:tc>
          <w:tcPr>
            <w:tcW w:w="1327" w:type="dxa"/>
            <w:vAlign w:val="center"/>
          </w:tcPr>
          <w:p w14:paraId="73F6D8BE">
            <w:pPr>
              <w:keepNext w:val="0"/>
              <w:keepLines w:val="0"/>
              <w:suppressLineNumbers w:val="0"/>
              <w:spacing w:before="0" w:beforeLines="0" w:beforeAutospacing="0" w:after="0" w:afterLines="0" w:afterAutospacing="0" w:line="288" w:lineRule="auto"/>
              <w:ind w:left="0" w:right="0"/>
              <w:jc w:val="center"/>
              <w:rPr>
                <w:rFonts w:hint="eastAsia" w:ascii="Times New Roman"/>
                <w:snapToGrid w:val="0"/>
                <w:sz w:val="21"/>
                <w:szCs w:val="21"/>
                <w:highlight w:val="none"/>
              </w:rPr>
            </w:pPr>
            <w:r>
              <w:rPr>
                <w:rFonts w:hint="eastAsia" w:ascii="Times New Roman"/>
                <w:snapToGrid w:val="0"/>
                <w:sz w:val="21"/>
                <w:szCs w:val="21"/>
                <w:highlight w:val="none"/>
              </w:rPr>
              <w:t>/</w:t>
            </w:r>
          </w:p>
        </w:tc>
        <w:tc>
          <w:tcPr>
            <w:tcW w:w="1785" w:type="dxa"/>
            <w:shd w:val="clear" w:color="auto" w:fill="auto"/>
            <w:vAlign w:val="center"/>
          </w:tcPr>
          <w:p w14:paraId="049E2EB7">
            <w:pPr>
              <w:keepNext w:val="0"/>
              <w:keepLines w:val="0"/>
              <w:suppressLineNumbers w:val="0"/>
              <w:spacing w:before="0" w:beforeLines="0" w:beforeAutospacing="0" w:after="0" w:afterLines="0" w:afterAutospacing="0" w:line="288" w:lineRule="auto"/>
              <w:ind w:left="0" w:right="0"/>
              <w:jc w:val="center"/>
              <w:rPr>
                <w:rFonts w:hint="eastAsia" w:ascii="Times New Roman" w:hAnsi="Times New Roman" w:eastAsia="宋体" w:cs="Times New Roman"/>
                <w:snapToGrid w:val="0"/>
                <w:kern w:val="2"/>
                <w:sz w:val="21"/>
                <w:szCs w:val="21"/>
                <w:highlight w:val="none"/>
                <w:lang w:val="en-US" w:eastAsia="zh-CN" w:bidi="ar-SA"/>
              </w:rPr>
            </w:pPr>
            <w:r>
              <w:rPr>
                <w:rFonts w:hint="eastAsia" w:ascii="Times New Roman"/>
                <w:snapToGrid w:val="0"/>
                <w:sz w:val="21"/>
                <w:szCs w:val="21"/>
                <w:highlight w:val="none"/>
              </w:rPr>
              <w:t>0（</w:t>
            </w:r>
            <w:r>
              <w:rPr>
                <w:rFonts w:hint="eastAsia" w:ascii="Times New Roman"/>
                <w:snapToGrid w:val="0"/>
                <w:sz w:val="21"/>
                <w:szCs w:val="21"/>
                <w:highlight w:val="none"/>
                <w:lang w:val="en-US" w:eastAsia="zh-CN"/>
              </w:rPr>
              <w:t>15</w:t>
            </w:r>
            <w:r>
              <w:rPr>
                <w:rFonts w:hint="eastAsia" w:ascii="Times New Roman"/>
                <w:snapToGrid w:val="0"/>
                <w:sz w:val="21"/>
                <w:szCs w:val="21"/>
                <w:highlight w:val="none"/>
              </w:rPr>
              <w:t>）</w:t>
            </w:r>
          </w:p>
        </w:tc>
        <w:tc>
          <w:tcPr>
            <w:tcW w:w="1352" w:type="dxa"/>
            <w:shd w:val="clear" w:color="auto" w:fill="auto"/>
            <w:vAlign w:val="center"/>
          </w:tcPr>
          <w:p w14:paraId="600D5238">
            <w:pPr>
              <w:keepNext w:val="0"/>
              <w:keepLines w:val="0"/>
              <w:suppressLineNumbers w:val="0"/>
              <w:spacing w:before="0" w:beforeLines="0" w:beforeAutospacing="0" w:after="0" w:afterLines="0" w:afterAutospacing="0" w:line="288" w:lineRule="auto"/>
              <w:ind w:left="0" w:right="0"/>
              <w:jc w:val="center"/>
              <w:rPr>
                <w:rFonts w:hint="eastAsia" w:ascii="Times New Roman" w:hAnsi="Times New Roman" w:eastAsia="宋体" w:cs="Times New Roman"/>
                <w:snapToGrid w:val="0"/>
                <w:kern w:val="2"/>
                <w:sz w:val="21"/>
                <w:szCs w:val="21"/>
                <w:highlight w:val="none"/>
                <w:lang w:val="en-US" w:eastAsia="zh-CN" w:bidi="ar-SA"/>
              </w:rPr>
            </w:pPr>
            <w:r>
              <w:rPr>
                <w:rFonts w:hint="eastAsia" w:ascii="Times New Roman"/>
                <w:snapToGrid w:val="0"/>
                <w:sz w:val="21"/>
                <w:szCs w:val="21"/>
                <w:highlight w:val="none"/>
              </w:rPr>
              <w:t>0（</w:t>
            </w:r>
            <w:r>
              <w:rPr>
                <w:rFonts w:hint="eastAsia" w:ascii="Times New Roman"/>
                <w:snapToGrid w:val="0"/>
                <w:sz w:val="21"/>
                <w:szCs w:val="21"/>
                <w:highlight w:val="none"/>
                <w:lang w:val="en-US" w:eastAsia="zh-CN"/>
              </w:rPr>
              <w:t>+15</w:t>
            </w:r>
            <w:r>
              <w:rPr>
                <w:rFonts w:hint="eastAsia" w:ascii="Times New Roman"/>
                <w:snapToGrid w:val="0"/>
                <w:sz w:val="21"/>
                <w:szCs w:val="21"/>
                <w:highlight w:val="none"/>
              </w:rPr>
              <w:t>）</w:t>
            </w:r>
          </w:p>
        </w:tc>
      </w:tr>
      <w:tr w14:paraId="156BE563">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c>
          <w:tcPr>
            <w:tcW w:w="1089" w:type="dxa"/>
            <w:vMerge w:val="continue"/>
            <w:vAlign w:val="center"/>
          </w:tcPr>
          <w:p w14:paraId="5374CC6F">
            <w:pPr>
              <w:pStyle w:val="65"/>
              <w:keepNext w:val="0"/>
              <w:keepLines w:val="0"/>
              <w:suppressLineNumbers w:val="0"/>
              <w:spacing w:before="0" w:beforeLines="0" w:beforeAutospacing="0" w:after="0" w:afterLines="0" w:afterAutospacing="0" w:line="288" w:lineRule="auto"/>
              <w:ind w:left="0" w:right="0"/>
              <w:rPr>
                <w:rFonts w:hint="default" w:ascii="Times New Roman" w:hAnsi="宋体"/>
                <w:snapToGrid w:val="0"/>
                <w:sz w:val="21"/>
                <w:szCs w:val="21"/>
                <w:highlight w:val="none"/>
              </w:rPr>
            </w:pPr>
          </w:p>
        </w:tc>
        <w:tc>
          <w:tcPr>
            <w:tcW w:w="2737" w:type="dxa"/>
            <w:shd w:val="clear" w:color="auto" w:fill="auto"/>
            <w:vAlign w:val="center"/>
          </w:tcPr>
          <w:p w14:paraId="7E202DBF">
            <w:pPr>
              <w:pStyle w:val="129"/>
              <w:keepNext w:val="0"/>
              <w:keepLines w:val="0"/>
              <w:suppressLineNumbers w:val="0"/>
              <w:spacing w:before="0" w:beforeAutospacing="0" w:after="0" w:afterAutospacing="0"/>
              <w:ind w:left="0" w:right="0"/>
              <w:rPr>
                <w:rFonts w:hint="eastAsia" w:ascii="Times New Roman" w:hAnsi="Times New Roman" w:eastAsia="宋体" w:cs="Times New Roman"/>
                <w:color w:val="auto"/>
                <w:kern w:val="0"/>
                <w:sz w:val="21"/>
                <w:szCs w:val="21"/>
                <w:highlight w:val="none"/>
                <w:lang w:val="en-US" w:eastAsia="zh-CN" w:bidi="ar-SA"/>
              </w:rPr>
            </w:pPr>
            <w:r>
              <w:rPr>
                <w:rFonts w:hint="eastAsia" w:ascii="Times New Roman" w:hAnsi="Times New Roman" w:eastAsia="宋体" w:cs="Times New Roman"/>
                <w:color w:val="auto"/>
                <w:sz w:val="21"/>
                <w:szCs w:val="21"/>
                <w:highlight w:val="none"/>
                <w:lang w:val="en-US" w:eastAsia="zh-CN"/>
              </w:rPr>
              <w:t>危险废包装材料</w:t>
            </w:r>
            <w:r>
              <w:rPr>
                <w:rFonts w:hint="default"/>
                <w:snapToGrid w:val="0"/>
                <w:sz w:val="21"/>
                <w:szCs w:val="21"/>
                <w:highlight w:val="none"/>
              </w:rPr>
              <w:t>（t/a）</w:t>
            </w:r>
          </w:p>
        </w:tc>
        <w:tc>
          <w:tcPr>
            <w:tcW w:w="1553" w:type="dxa"/>
            <w:vAlign w:val="center"/>
          </w:tcPr>
          <w:p w14:paraId="7714C99B">
            <w:pPr>
              <w:keepNext w:val="0"/>
              <w:keepLines w:val="0"/>
              <w:suppressLineNumbers w:val="0"/>
              <w:spacing w:before="0" w:beforeAutospacing="0" w:after="0" w:afterAutospacing="0" w:line="288" w:lineRule="auto"/>
              <w:ind w:left="0" w:right="0"/>
              <w:jc w:val="center"/>
              <w:rPr>
                <w:rFonts w:hint="default" w:ascii="Times New Roman"/>
                <w:snapToGrid w:val="0"/>
                <w:sz w:val="21"/>
                <w:szCs w:val="21"/>
                <w:highlight w:val="none"/>
              </w:rPr>
            </w:pPr>
            <w:r>
              <w:rPr>
                <w:rFonts w:hint="default"/>
                <w:snapToGrid w:val="0"/>
                <w:sz w:val="21"/>
                <w:szCs w:val="21"/>
                <w:highlight w:val="none"/>
              </w:rPr>
              <w:t>/</w:t>
            </w:r>
          </w:p>
        </w:tc>
        <w:tc>
          <w:tcPr>
            <w:tcW w:w="1027" w:type="dxa"/>
            <w:vAlign w:val="center"/>
          </w:tcPr>
          <w:p w14:paraId="07F1EA05">
            <w:pPr>
              <w:keepNext w:val="0"/>
              <w:keepLines w:val="0"/>
              <w:suppressLineNumbers w:val="0"/>
              <w:spacing w:before="0" w:beforeAutospacing="0" w:after="0" w:afterAutospacing="0" w:line="288" w:lineRule="auto"/>
              <w:ind w:left="0" w:right="0"/>
              <w:jc w:val="center"/>
              <w:rPr>
                <w:rFonts w:hint="default" w:ascii="Times New Roman"/>
                <w:snapToGrid w:val="0"/>
                <w:sz w:val="21"/>
                <w:szCs w:val="21"/>
                <w:highlight w:val="none"/>
              </w:rPr>
            </w:pPr>
            <w:r>
              <w:rPr>
                <w:rFonts w:hint="default"/>
                <w:snapToGrid w:val="0"/>
                <w:sz w:val="21"/>
                <w:szCs w:val="21"/>
                <w:highlight w:val="none"/>
              </w:rPr>
              <w:t>/</w:t>
            </w:r>
          </w:p>
        </w:tc>
        <w:tc>
          <w:tcPr>
            <w:tcW w:w="1433" w:type="dxa"/>
            <w:vAlign w:val="center"/>
          </w:tcPr>
          <w:p w14:paraId="1A9BE3D7">
            <w:pPr>
              <w:keepNext w:val="0"/>
              <w:keepLines w:val="0"/>
              <w:suppressLineNumbers w:val="0"/>
              <w:spacing w:before="0" w:beforeAutospacing="0" w:after="0" w:afterAutospacing="0" w:line="288" w:lineRule="auto"/>
              <w:ind w:left="0" w:right="0"/>
              <w:jc w:val="center"/>
              <w:rPr>
                <w:rFonts w:hint="default" w:ascii="Times New Roman"/>
                <w:snapToGrid w:val="0"/>
                <w:sz w:val="21"/>
                <w:szCs w:val="21"/>
                <w:highlight w:val="none"/>
              </w:rPr>
            </w:pPr>
            <w:r>
              <w:rPr>
                <w:rFonts w:hint="default"/>
                <w:snapToGrid w:val="0"/>
                <w:sz w:val="21"/>
                <w:szCs w:val="21"/>
                <w:highlight w:val="none"/>
              </w:rPr>
              <w:t>/</w:t>
            </w:r>
          </w:p>
        </w:tc>
        <w:tc>
          <w:tcPr>
            <w:tcW w:w="1485" w:type="dxa"/>
            <w:vAlign w:val="center"/>
          </w:tcPr>
          <w:p w14:paraId="3FDD8195">
            <w:pPr>
              <w:keepNext w:val="0"/>
              <w:keepLines w:val="0"/>
              <w:suppressLineNumbers w:val="0"/>
              <w:spacing w:before="0" w:beforeLines="0" w:beforeAutospacing="0" w:after="0" w:afterLines="0" w:afterAutospacing="0" w:line="288" w:lineRule="auto"/>
              <w:ind w:left="0" w:right="0"/>
              <w:jc w:val="center"/>
              <w:rPr>
                <w:rFonts w:hint="eastAsia" w:ascii="Times New Roman"/>
                <w:snapToGrid w:val="0"/>
                <w:sz w:val="21"/>
                <w:szCs w:val="21"/>
                <w:highlight w:val="none"/>
              </w:rPr>
            </w:pPr>
            <w:r>
              <w:rPr>
                <w:rFonts w:hint="eastAsia" w:ascii="Times New Roman"/>
                <w:snapToGrid w:val="0"/>
                <w:sz w:val="21"/>
                <w:szCs w:val="21"/>
                <w:highlight w:val="none"/>
              </w:rPr>
              <w:t>0（</w:t>
            </w:r>
            <w:r>
              <w:rPr>
                <w:rFonts w:hint="eastAsia" w:ascii="Times New Roman"/>
                <w:snapToGrid w:val="0"/>
                <w:sz w:val="21"/>
                <w:szCs w:val="21"/>
                <w:highlight w:val="none"/>
                <w:lang w:val="en-US" w:eastAsia="zh-CN"/>
              </w:rPr>
              <w:t>0.5</w:t>
            </w:r>
            <w:r>
              <w:rPr>
                <w:rFonts w:hint="eastAsia" w:ascii="Times New Roman"/>
                <w:snapToGrid w:val="0"/>
                <w:sz w:val="21"/>
                <w:szCs w:val="21"/>
                <w:highlight w:val="none"/>
              </w:rPr>
              <w:t>）</w:t>
            </w:r>
          </w:p>
        </w:tc>
        <w:tc>
          <w:tcPr>
            <w:tcW w:w="1327" w:type="dxa"/>
            <w:vAlign w:val="center"/>
          </w:tcPr>
          <w:p w14:paraId="4D51DBDA">
            <w:pPr>
              <w:keepNext w:val="0"/>
              <w:keepLines w:val="0"/>
              <w:suppressLineNumbers w:val="0"/>
              <w:spacing w:before="0" w:beforeLines="0" w:beforeAutospacing="0" w:after="0" w:afterLines="0" w:afterAutospacing="0" w:line="288" w:lineRule="auto"/>
              <w:ind w:left="0" w:right="0"/>
              <w:jc w:val="center"/>
              <w:rPr>
                <w:rFonts w:hint="eastAsia" w:ascii="Times New Roman"/>
                <w:snapToGrid w:val="0"/>
                <w:sz w:val="21"/>
                <w:szCs w:val="21"/>
                <w:highlight w:val="none"/>
              </w:rPr>
            </w:pPr>
            <w:r>
              <w:rPr>
                <w:rFonts w:hint="eastAsia" w:ascii="Times New Roman"/>
                <w:snapToGrid w:val="0"/>
                <w:sz w:val="21"/>
                <w:szCs w:val="21"/>
                <w:highlight w:val="none"/>
              </w:rPr>
              <w:t>/</w:t>
            </w:r>
          </w:p>
        </w:tc>
        <w:tc>
          <w:tcPr>
            <w:tcW w:w="1785" w:type="dxa"/>
            <w:shd w:val="clear" w:color="auto" w:fill="auto"/>
            <w:vAlign w:val="center"/>
          </w:tcPr>
          <w:p w14:paraId="42A89833">
            <w:pPr>
              <w:keepNext w:val="0"/>
              <w:keepLines w:val="0"/>
              <w:suppressLineNumbers w:val="0"/>
              <w:spacing w:before="0" w:beforeLines="0" w:beforeAutospacing="0" w:after="0" w:afterLines="0" w:afterAutospacing="0" w:line="288" w:lineRule="auto"/>
              <w:ind w:left="0" w:right="0"/>
              <w:jc w:val="center"/>
              <w:rPr>
                <w:rFonts w:hint="eastAsia" w:ascii="Times New Roman" w:hAnsi="Times New Roman" w:eastAsia="宋体" w:cs="Times New Roman"/>
                <w:snapToGrid w:val="0"/>
                <w:kern w:val="2"/>
                <w:sz w:val="21"/>
                <w:szCs w:val="21"/>
                <w:highlight w:val="none"/>
                <w:lang w:val="en-US" w:eastAsia="zh-CN" w:bidi="ar-SA"/>
              </w:rPr>
            </w:pPr>
            <w:r>
              <w:rPr>
                <w:rFonts w:hint="eastAsia" w:ascii="Times New Roman"/>
                <w:snapToGrid w:val="0"/>
                <w:sz w:val="21"/>
                <w:szCs w:val="21"/>
                <w:highlight w:val="none"/>
              </w:rPr>
              <w:t>0（</w:t>
            </w:r>
            <w:r>
              <w:rPr>
                <w:rFonts w:hint="eastAsia" w:ascii="Times New Roman"/>
                <w:snapToGrid w:val="0"/>
                <w:sz w:val="21"/>
                <w:szCs w:val="21"/>
                <w:highlight w:val="none"/>
                <w:lang w:val="en-US" w:eastAsia="zh-CN"/>
              </w:rPr>
              <w:t>0.5</w:t>
            </w:r>
            <w:r>
              <w:rPr>
                <w:rFonts w:hint="eastAsia" w:ascii="Times New Roman"/>
                <w:snapToGrid w:val="0"/>
                <w:sz w:val="21"/>
                <w:szCs w:val="21"/>
                <w:highlight w:val="none"/>
              </w:rPr>
              <w:t>）</w:t>
            </w:r>
          </w:p>
        </w:tc>
        <w:tc>
          <w:tcPr>
            <w:tcW w:w="1352" w:type="dxa"/>
            <w:shd w:val="clear" w:color="auto" w:fill="auto"/>
            <w:vAlign w:val="center"/>
          </w:tcPr>
          <w:p w14:paraId="476CAB43">
            <w:pPr>
              <w:keepNext w:val="0"/>
              <w:keepLines w:val="0"/>
              <w:suppressLineNumbers w:val="0"/>
              <w:spacing w:before="0" w:beforeLines="0" w:beforeAutospacing="0" w:after="0" w:afterLines="0" w:afterAutospacing="0" w:line="288" w:lineRule="auto"/>
              <w:ind w:left="0" w:right="0"/>
              <w:jc w:val="center"/>
              <w:rPr>
                <w:rFonts w:hint="eastAsia" w:ascii="Times New Roman" w:hAnsi="Times New Roman" w:eastAsia="宋体" w:cs="Times New Roman"/>
                <w:snapToGrid w:val="0"/>
                <w:kern w:val="2"/>
                <w:sz w:val="21"/>
                <w:szCs w:val="21"/>
                <w:highlight w:val="none"/>
                <w:lang w:val="en-US" w:eastAsia="zh-CN" w:bidi="ar-SA"/>
              </w:rPr>
            </w:pPr>
            <w:r>
              <w:rPr>
                <w:rFonts w:hint="eastAsia" w:ascii="Times New Roman"/>
                <w:snapToGrid w:val="0"/>
                <w:sz w:val="21"/>
                <w:szCs w:val="21"/>
                <w:highlight w:val="none"/>
              </w:rPr>
              <w:t>0（</w:t>
            </w:r>
            <w:r>
              <w:rPr>
                <w:rFonts w:hint="eastAsia" w:ascii="Times New Roman"/>
                <w:snapToGrid w:val="0"/>
                <w:sz w:val="21"/>
                <w:szCs w:val="21"/>
                <w:highlight w:val="none"/>
                <w:lang w:val="en-US" w:eastAsia="zh-CN"/>
              </w:rPr>
              <w:t>+0.5</w:t>
            </w:r>
            <w:r>
              <w:rPr>
                <w:rFonts w:hint="eastAsia" w:ascii="Times New Roman"/>
                <w:snapToGrid w:val="0"/>
                <w:sz w:val="21"/>
                <w:szCs w:val="21"/>
                <w:highlight w:val="none"/>
              </w:rPr>
              <w:t>）</w:t>
            </w:r>
          </w:p>
        </w:tc>
      </w:tr>
      <w:tr w14:paraId="7C9838B7">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c>
          <w:tcPr>
            <w:tcW w:w="1089" w:type="dxa"/>
            <w:vMerge w:val="continue"/>
            <w:vAlign w:val="center"/>
          </w:tcPr>
          <w:p w14:paraId="0653953E">
            <w:pPr>
              <w:pStyle w:val="65"/>
              <w:keepNext w:val="0"/>
              <w:keepLines w:val="0"/>
              <w:suppressLineNumbers w:val="0"/>
              <w:spacing w:before="0" w:beforeLines="0" w:beforeAutospacing="0" w:after="0" w:afterLines="0" w:afterAutospacing="0" w:line="288" w:lineRule="auto"/>
              <w:ind w:left="0" w:right="0"/>
              <w:rPr>
                <w:rFonts w:hint="default" w:ascii="Times New Roman" w:hAnsi="宋体"/>
                <w:snapToGrid w:val="0"/>
                <w:sz w:val="21"/>
                <w:szCs w:val="21"/>
                <w:highlight w:val="none"/>
              </w:rPr>
            </w:pPr>
          </w:p>
        </w:tc>
        <w:tc>
          <w:tcPr>
            <w:tcW w:w="2737" w:type="dxa"/>
            <w:shd w:val="clear" w:color="auto" w:fill="auto"/>
            <w:vAlign w:val="center"/>
          </w:tcPr>
          <w:p w14:paraId="7521C1D8">
            <w:pPr>
              <w:pStyle w:val="129"/>
              <w:keepNext w:val="0"/>
              <w:keepLines w:val="0"/>
              <w:suppressLineNumbers w:val="0"/>
              <w:spacing w:before="0" w:beforeAutospacing="0" w:after="0" w:afterAutospacing="0"/>
              <w:ind w:left="0" w:right="0"/>
              <w:rPr>
                <w:rFonts w:hint="eastAsia" w:ascii="宋体" w:hAnsi="宋体" w:eastAsia="宋体" w:cs="宋体"/>
                <w:color w:val="auto"/>
                <w:kern w:val="0"/>
                <w:sz w:val="21"/>
                <w:szCs w:val="21"/>
                <w:highlight w:val="none"/>
                <w:lang w:val="en-US" w:eastAsia="zh-CN" w:bidi="ar-SA"/>
              </w:rPr>
            </w:pPr>
            <w:r>
              <w:rPr>
                <w:rFonts w:hint="eastAsia" w:ascii="宋体" w:hAnsi="宋体" w:cs="宋体"/>
                <w:color w:val="auto"/>
                <w:sz w:val="21"/>
                <w:szCs w:val="21"/>
                <w:highlight w:val="none"/>
                <w:lang w:val="en-US" w:eastAsia="zh-CN"/>
              </w:rPr>
              <w:t>废弃样本、废培养基</w:t>
            </w:r>
            <w:r>
              <w:rPr>
                <w:rFonts w:hint="default"/>
                <w:snapToGrid w:val="0"/>
                <w:sz w:val="21"/>
                <w:szCs w:val="21"/>
                <w:highlight w:val="none"/>
              </w:rPr>
              <w:t>（t/a）</w:t>
            </w:r>
          </w:p>
        </w:tc>
        <w:tc>
          <w:tcPr>
            <w:tcW w:w="1553" w:type="dxa"/>
            <w:vAlign w:val="center"/>
          </w:tcPr>
          <w:p w14:paraId="77671E83">
            <w:pPr>
              <w:keepNext w:val="0"/>
              <w:keepLines w:val="0"/>
              <w:suppressLineNumbers w:val="0"/>
              <w:spacing w:before="0" w:beforeAutospacing="0" w:after="0" w:afterAutospacing="0" w:line="288" w:lineRule="auto"/>
              <w:ind w:left="0" w:right="0"/>
              <w:jc w:val="center"/>
              <w:rPr>
                <w:rFonts w:hint="default" w:ascii="Times New Roman"/>
                <w:snapToGrid w:val="0"/>
                <w:sz w:val="21"/>
                <w:szCs w:val="21"/>
                <w:highlight w:val="none"/>
              </w:rPr>
            </w:pPr>
            <w:r>
              <w:rPr>
                <w:rFonts w:hint="default"/>
                <w:snapToGrid w:val="0"/>
                <w:sz w:val="21"/>
                <w:szCs w:val="21"/>
                <w:highlight w:val="none"/>
              </w:rPr>
              <w:t>/</w:t>
            </w:r>
          </w:p>
        </w:tc>
        <w:tc>
          <w:tcPr>
            <w:tcW w:w="1027" w:type="dxa"/>
            <w:vAlign w:val="center"/>
          </w:tcPr>
          <w:p w14:paraId="19F1536D">
            <w:pPr>
              <w:keepNext w:val="0"/>
              <w:keepLines w:val="0"/>
              <w:suppressLineNumbers w:val="0"/>
              <w:spacing w:before="0" w:beforeAutospacing="0" w:after="0" w:afterAutospacing="0" w:line="288" w:lineRule="auto"/>
              <w:ind w:left="0" w:right="0"/>
              <w:jc w:val="center"/>
              <w:rPr>
                <w:rFonts w:hint="default" w:ascii="Times New Roman"/>
                <w:snapToGrid w:val="0"/>
                <w:sz w:val="21"/>
                <w:szCs w:val="21"/>
                <w:highlight w:val="none"/>
              </w:rPr>
            </w:pPr>
            <w:r>
              <w:rPr>
                <w:rFonts w:hint="default"/>
                <w:snapToGrid w:val="0"/>
                <w:sz w:val="21"/>
                <w:szCs w:val="21"/>
                <w:highlight w:val="none"/>
              </w:rPr>
              <w:t>/</w:t>
            </w:r>
          </w:p>
        </w:tc>
        <w:tc>
          <w:tcPr>
            <w:tcW w:w="1433" w:type="dxa"/>
            <w:vAlign w:val="center"/>
          </w:tcPr>
          <w:p w14:paraId="610C7E91">
            <w:pPr>
              <w:keepNext w:val="0"/>
              <w:keepLines w:val="0"/>
              <w:suppressLineNumbers w:val="0"/>
              <w:spacing w:before="0" w:beforeAutospacing="0" w:after="0" w:afterAutospacing="0" w:line="288" w:lineRule="auto"/>
              <w:ind w:left="0" w:right="0"/>
              <w:jc w:val="center"/>
              <w:rPr>
                <w:rFonts w:hint="default" w:ascii="Times New Roman"/>
                <w:snapToGrid w:val="0"/>
                <w:sz w:val="21"/>
                <w:szCs w:val="21"/>
                <w:highlight w:val="none"/>
              </w:rPr>
            </w:pPr>
            <w:r>
              <w:rPr>
                <w:rFonts w:hint="default"/>
                <w:snapToGrid w:val="0"/>
                <w:sz w:val="21"/>
                <w:szCs w:val="21"/>
                <w:highlight w:val="none"/>
              </w:rPr>
              <w:t>/</w:t>
            </w:r>
          </w:p>
        </w:tc>
        <w:tc>
          <w:tcPr>
            <w:tcW w:w="1485" w:type="dxa"/>
            <w:vAlign w:val="center"/>
          </w:tcPr>
          <w:p w14:paraId="289C7D5A">
            <w:pPr>
              <w:keepNext w:val="0"/>
              <w:keepLines w:val="0"/>
              <w:suppressLineNumbers w:val="0"/>
              <w:spacing w:before="0" w:beforeLines="0" w:beforeAutospacing="0" w:after="0" w:afterLines="0" w:afterAutospacing="0" w:line="288" w:lineRule="auto"/>
              <w:ind w:left="0" w:right="0"/>
              <w:jc w:val="center"/>
              <w:rPr>
                <w:rFonts w:hint="eastAsia" w:ascii="Times New Roman"/>
                <w:snapToGrid w:val="0"/>
                <w:sz w:val="21"/>
                <w:szCs w:val="21"/>
                <w:highlight w:val="none"/>
              </w:rPr>
            </w:pPr>
            <w:r>
              <w:rPr>
                <w:rFonts w:hint="eastAsia" w:ascii="Times New Roman"/>
                <w:snapToGrid w:val="0"/>
                <w:sz w:val="21"/>
                <w:szCs w:val="21"/>
                <w:highlight w:val="none"/>
              </w:rPr>
              <w:t>0（</w:t>
            </w:r>
            <w:r>
              <w:rPr>
                <w:rFonts w:hint="eastAsia" w:ascii="Times New Roman"/>
                <w:snapToGrid w:val="0"/>
                <w:sz w:val="21"/>
                <w:szCs w:val="21"/>
                <w:highlight w:val="none"/>
                <w:lang w:val="en-US" w:eastAsia="zh-CN"/>
              </w:rPr>
              <w:t>1</w:t>
            </w:r>
            <w:r>
              <w:rPr>
                <w:rFonts w:hint="eastAsia" w:ascii="Times New Roman"/>
                <w:snapToGrid w:val="0"/>
                <w:sz w:val="21"/>
                <w:szCs w:val="21"/>
                <w:highlight w:val="none"/>
              </w:rPr>
              <w:t>）</w:t>
            </w:r>
          </w:p>
        </w:tc>
        <w:tc>
          <w:tcPr>
            <w:tcW w:w="1327" w:type="dxa"/>
            <w:vAlign w:val="center"/>
          </w:tcPr>
          <w:p w14:paraId="4FC4FE55">
            <w:pPr>
              <w:keepNext w:val="0"/>
              <w:keepLines w:val="0"/>
              <w:suppressLineNumbers w:val="0"/>
              <w:spacing w:before="0" w:beforeLines="0" w:beforeAutospacing="0" w:after="0" w:afterLines="0" w:afterAutospacing="0" w:line="288" w:lineRule="auto"/>
              <w:ind w:left="0" w:right="0"/>
              <w:jc w:val="center"/>
              <w:rPr>
                <w:rFonts w:hint="eastAsia" w:ascii="Times New Roman"/>
                <w:snapToGrid w:val="0"/>
                <w:sz w:val="21"/>
                <w:szCs w:val="21"/>
                <w:highlight w:val="none"/>
              </w:rPr>
            </w:pPr>
            <w:r>
              <w:rPr>
                <w:rFonts w:hint="eastAsia" w:ascii="Times New Roman"/>
                <w:snapToGrid w:val="0"/>
                <w:sz w:val="21"/>
                <w:szCs w:val="21"/>
                <w:highlight w:val="none"/>
              </w:rPr>
              <w:t>/</w:t>
            </w:r>
          </w:p>
        </w:tc>
        <w:tc>
          <w:tcPr>
            <w:tcW w:w="1785" w:type="dxa"/>
            <w:shd w:val="clear" w:color="auto" w:fill="auto"/>
            <w:vAlign w:val="center"/>
          </w:tcPr>
          <w:p w14:paraId="17F5E03D">
            <w:pPr>
              <w:keepNext w:val="0"/>
              <w:keepLines w:val="0"/>
              <w:suppressLineNumbers w:val="0"/>
              <w:spacing w:before="0" w:beforeLines="0" w:beforeAutospacing="0" w:after="0" w:afterLines="0" w:afterAutospacing="0" w:line="288" w:lineRule="auto"/>
              <w:ind w:left="0" w:right="0"/>
              <w:jc w:val="center"/>
              <w:rPr>
                <w:rFonts w:hint="eastAsia" w:ascii="Times New Roman" w:hAnsi="Times New Roman" w:eastAsia="宋体" w:cs="Times New Roman"/>
                <w:snapToGrid w:val="0"/>
                <w:kern w:val="2"/>
                <w:sz w:val="21"/>
                <w:szCs w:val="21"/>
                <w:highlight w:val="none"/>
                <w:lang w:val="en-US" w:eastAsia="zh-CN" w:bidi="ar-SA"/>
              </w:rPr>
            </w:pPr>
            <w:r>
              <w:rPr>
                <w:rFonts w:hint="eastAsia" w:ascii="Times New Roman"/>
                <w:snapToGrid w:val="0"/>
                <w:sz w:val="21"/>
                <w:szCs w:val="21"/>
                <w:highlight w:val="none"/>
              </w:rPr>
              <w:t>0（</w:t>
            </w:r>
            <w:r>
              <w:rPr>
                <w:rFonts w:hint="eastAsia" w:ascii="Times New Roman"/>
                <w:snapToGrid w:val="0"/>
                <w:sz w:val="21"/>
                <w:szCs w:val="21"/>
                <w:highlight w:val="none"/>
                <w:lang w:val="en-US" w:eastAsia="zh-CN"/>
              </w:rPr>
              <w:t>1</w:t>
            </w:r>
            <w:r>
              <w:rPr>
                <w:rFonts w:hint="eastAsia" w:ascii="Times New Roman"/>
                <w:snapToGrid w:val="0"/>
                <w:sz w:val="21"/>
                <w:szCs w:val="21"/>
                <w:highlight w:val="none"/>
              </w:rPr>
              <w:t>）</w:t>
            </w:r>
          </w:p>
        </w:tc>
        <w:tc>
          <w:tcPr>
            <w:tcW w:w="1352" w:type="dxa"/>
            <w:shd w:val="clear" w:color="auto" w:fill="auto"/>
            <w:vAlign w:val="center"/>
          </w:tcPr>
          <w:p w14:paraId="71B7B2BA">
            <w:pPr>
              <w:keepNext w:val="0"/>
              <w:keepLines w:val="0"/>
              <w:suppressLineNumbers w:val="0"/>
              <w:spacing w:before="0" w:beforeLines="0" w:beforeAutospacing="0" w:after="0" w:afterLines="0" w:afterAutospacing="0" w:line="288" w:lineRule="auto"/>
              <w:ind w:left="0" w:right="0"/>
              <w:jc w:val="center"/>
              <w:rPr>
                <w:rFonts w:hint="eastAsia" w:ascii="Times New Roman" w:hAnsi="Times New Roman" w:eastAsia="宋体" w:cs="Times New Roman"/>
                <w:snapToGrid w:val="0"/>
                <w:kern w:val="2"/>
                <w:sz w:val="21"/>
                <w:szCs w:val="21"/>
                <w:highlight w:val="none"/>
                <w:lang w:val="en-US" w:eastAsia="zh-CN" w:bidi="ar-SA"/>
              </w:rPr>
            </w:pPr>
            <w:r>
              <w:rPr>
                <w:rFonts w:hint="eastAsia" w:ascii="Times New Roman"/>
                <w:snapToGrid w:val="0"/>
                <w:sz w:val="21"/>
                <w:szCs w:val="21"/>
                <w:highlight w:val="none"/>
              </w:rPr>
              <w:t>0（</w:t>
            </w:r>
            <w:r>
              <w:rPr>
                <w:rFonts w:hint="eastAsia" w:ascii="Times New Roman"/>
                <w:snapToGrid w:val="0"/>
                <w:sz w:val="21"/>
                <w:szCs w:val="21"/>
                <w:highlight w:val="none"/>
                <w:lang w:val="en-US" w:eastAsia="zh-CN"/>
              </w:rPr>
              <w:t>+1</w:t>
            </w:r>
            <w:r>
              <w:rPr>
                <w:rFonts w:hint="eastAsia" w:ascii="Times New Roman"/>
                <w:snapToGrid w:val="0"/>
                <w:sz w:val="21"/>
                <w:szCs w:val="21"/>
                <w:highlight w:val="none"/>
              </w:rPr>
              <w:t>）</w:t>
            </w:r>
          </w:p>
        </w:tc>
      </w:tr>
      <w:tr w14:paraId="6D61C766">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c>
          <w:tcPr>
            <w:tcW w:w="1089" w:type="dxa"/>
            <w:vMerge w:val="continue"/>
            <w:vAlign w:val="center"/>
          </w:tcPr>
          <w:p w14:paraId="72D95330">
            <w:pPr>
              <w:pStyle w:val="65"/>
              <w:keepNext w:val="0"/>
              <w:keepLines w:val="0"/>
              <w:suppressLineNumbers w:val="0"/>
              <w:spacing w:before="0" w:beforeLines="0" w:beforeAutospacing="0" w:after="0" w:afterLines="0" w:afterAutospacing="0" w:line="288" w:lineRule="auto"/>
              <w:ind w:left="0" w:right="0"/>
              <w:rPr>
                <w:rFonts w:hint="default" w:ascii="Times New Roman" w:hAnsi="宋体"/>
                <w:snapToGrid w:val="0"/>
                <w:sz w:val="21"/>
                <w:szCs w:val="21"/>
                <w:highlight w:val="none"/>
              </w:rPr>
            </w:pPr>
          </w:p>
        </w:tc>
        <w:tc>
          <w:tcPr>
            <w:tcW w:w="2737" w:type="dxa"/>
            <w:shd w:val="clear" w:color="auto" w:fill="auto"/>
            <w:vAlign w:val="center"/>
          </w:tcPr>
          <w:p w14:paraId="58A5E1BD">
            <w:pPr>
              <w:pStyle w:val="129"/>
              <w:keepNext w:val="0"/>
              <w:keepLines w:val="0"/>
              <w:suppressLineNumbers w:val="0"/>
              <w:spacing w:before="0" w:beforeAutospacing="0" w:after="0" w:afterAutospacing="0"/>
              <w:ind w:left="0" w:right="0"/>
              <w:rPr>
                <w:rFonts w:hint="eastAsia" w:ascii="Times New Roman" w:hAnsi="Times New Roman" w:eastAsia="宋体" w:cs="Times New Roman"/>
                <w:color w:val="auto"/>
                <w:kern w:val="0"/>
                <w:sz w:val="21"/>
                <w:szCs w:val="21"/>
                <w:highlight w:val="none"/>
                <w:lang w:val="en-US" w:eastAsia="zh-CN" w:bidi="ar-SA"/>
              </w:rPr>
            </w:pPr>
            <w:r>
              <w:rPr>
                <w:rFonts w:hint="eastAsia"/>
                <w:color w:val="auto"/>
                <w:sz w:val="21"/>
                <w:szCs w:val="21"/>
                <w:highlight w:val="none"/>
              </w:rPr>
              <w:t>生物柜废</w:t>
            </w:r>
            <w:r>
              <w:rPr>
                <w:rFonts w:hint="default"/>
                <w:color w:val="auto"/>
                <w:sz w:val="21"/>
                <w:szCs w:val="21"/>
                <w:highlight w:val="none"/>
              </w:rPr>
              <w:t>过滤器</w:t>
            </w:r>
            <w:r>
              <w:rPr>
                <w:rFonts w:hint="default"/>
                <w:snapToGrid w:val="0"/>
                <w:sz w:val="21"/>
                <w:szCs w:val="21"/>
                <w:highlight w:val="none"/>
              </w:rPr>
              <w:t>（t/a）</w:t>
            </w:r>
          </w:p>
        </w:tc>
        <w:tc>
          <w:tcPr>
            <w:tcW w:w="1553" w:type="dxa"/>
            <w:vAlign w:val="center"/>
          </w:tcPr>
          <w:p w14:paraId="72F32E90">
            <w:pPr>
              <w:keepNext w:val="0"/>
              <w:keepLines w:val="0"/>
              <w:suppressLineNumbers w:val="0"/>
              <w:spacing w:before="0" w:beforeAutospacing="0" w:after="0" w:afterAutospacing="0" w:line="288" w:lineRule="auto"/>
              <w:ind w:left="0" w:right="0"/>
              <w:jc w:val="center"/>
              <w:rPr>
                <w:rFonts w:hint="default" w:ascii="Times New Roman"/>
                <w:snapToGrid w:val="0"/>
                <w:sz w:val="21"/>
                <w:szCs w:val="21"/>
                <w:highlight w:val="none"/>
              </w:rPr>
            </w:pPr>
            <w:r>
              <w:rPr>
                <w:rFonts w:hint="default"/>
                <w:snapToGrid w:val="0"/>
                <w:sz w:val="21"/>
                <w:szCs w:val="21"/>
                <w:highlight w:val="none"/>
              </w:rPr>
              <w:t>/</w:t>
            </w:r>
          </w:p>
        </w:tc>
        <w:tc>
          <w:tcPr>
            <w:tcW w:w="1027" w:type="dxa"/>
            <w:vAlign w:val="center"/>
          </w:tcPr>
          <w:p w14:paraId="08A347F1">
            <w:pPr>
              <w:keepNext w:val="0"/>
              <w:keepLines w:val="0"/>
              <w:suppressLineNumbers w:val="0"/>
              <w:spacing w:before="0" w:beforeAutospacing="0" w:after="0" w:afterAutospacing="0" w:line="288" w:lineRule="auto"/>
              <w:ind w:left="0" w:right="0"/>
              <w:jc w:val="center"/>
              <w:rPr>
                <w:rFonts w:hint="default" w:ascii="Times New Roman"/>
                <w:snapToGrid w:val="0"/>
                <w:sz w:val="21"/>
                <w:szCs w:val="21"/>
                <w:highlight w:val="none"/>
              </w:rPr>
            </w:pPr>
            <w:r>
              <w:rPr>
                <w:rFonts w:hint="default"/>
                <w:snapToGrid w:val="0"/>
                <w:sz w:val="21"/>
                <w:szCs w:val="21"/>
                <w:highlight w:val="none"/>
              </w:rPr>
              <w:t>/</w:t>
            </w:r>
          </w:p>
        </w:tc>
        <w:tc>
          <w:tcPr>
            <w:tcW w:w="1433" w:type="dxa"/>
            <w:vAlign w:val="center"/>
          </w:tcPr>
          <w:p w14:paraId="7CC23AE8">
            <w:pPr>
              <w:keepNext w:val="0"/>
              <w:keepLines w:val="0"/>
              <w:suppressLineNumbers w:val="0"/>
              <w:spacing w:before="0" w:beforeAutospacing="0" w:after="0" w:afterAutospacing="0" w:line="288" w:lineRule="auto"/>
              <w:ind w:left="0" w:right="0"/>
              <w:jc w:val="center"/>
              <w:rPr>
                <w:rFonts w:hint="default" w:ascii="Times New Roman"/>
                <w:snapToGrid w:val="0"/>
                <w:sz w:val="21"/>
                <w:szCs w:val="21"/>
                <w:highlight w:val="none"/>
              </w:rPr>
            </w:pPr>
            <w:r>
              <w:rPr>
                <w:rFonts w:hint="default"/>
                <w:snapToGrid w:val="0"/>
                <w:sz w:val="21"/>
                <w:szCs w:val="21"/>
                <w:highlight w:val="none"/>
              </w:rPr>
              <w:t>/</w:t>
            </w:r>
          </w:p>
        </w:tc>
        <w:tc>
          <w:tcPr>
            <w:tcW w:w="1485" w:type="dxa"/>
            <w:vAlign w:val="center"/>
          </w:tcPr>
          <w:p w14:paraId="50862D7E">
            <w:pPr>
              <w:keepNext w:val="0"/>
              <w:keepLines w:val="0"/>
              <w:suppressLineNumbers w:val="0"/>
              <w:spacing w:before="0" w:beforeLines="0" w:beforeAutospacing="0" w:after="0" w:afterLines="0" w:afterAutospacing="0" w:line="288" w:lineRule="auto"/>
              <w:ind w:left="0" w:right="0"/>
              <w:jc w:val="center"/>
              <w:rPr>
                <w:rFonts w:hint="eastAsia" w:ascii="Times New Roman"/>
                <w:snapToGrid w:val="0"/>
                <w:sz w:val="21"/>
                <w:szCs w:val="21"/>
                <w:highlight w:val="none"/>
              </w:rPr>
            </w:pPr>
            <w:r>
              <w:rPr>
                <w:rFonts w:hint="eastAsia" w:ascii="Times New Roman"/>
                <w:snapToGrid w:val="0"/>
                <w:sz w:val="21"/>
                <w:szCs w:val="21"/>
                <w:highlight w:val="none"/>
              </w:rPr>
              <w:t>0（</w:t>
            </w:r>
            <w:r>
              <w:rPr>
                <w:rFonts w:hint="eastAsia" w:ascii="Times New Roman"/>
                <w:snapToGrid w:val="0"/>
                <w:sz w:val="21"/>
                <w:szCs w:val="21"/>
                <w:highlight w:val="none"/>
                <w:lang w:val="en-US" w:eastAsia="zh-CN"/>
              </w:rPr>
              <w:t>1</w:t>
            </w:r>
            <w:r>
              <w:rPr>
                <w:rFonts w:hint="eastAsia" w:ascii="Times New Roman"/>
                <w:snapToGrid w:val="0"/>
                <w:sz w:val="21"/>
                <w:szCs w:val="21"/>
                <w:highlight w:val="none"/>
              </w:rPr>
              <w:t>）</w:t>
            </w:r>
          </w:p>
        </w:tc>
        <w:tc>
          <w:tcPr>
            <w:tcW w:w="1327" w:type="dxa"/>
            <w:vAlign w:val="center"/>
          </w:tcPr>
          <w:p w14:paraId="35C9930C">
            <w:pPr>
              <w:keepNext w:val="0"/>
              <w:keepLines w:val="0"/>
              <w:suppressLineNumbers w:val="0"/>
              <w:spacing w:before="0" w:beforeLines="0" w:beforeAutospacing="0" w:after="0" w:afterLines="0" w:afterAutospacing="0" w:line="288" w:lineRule="auto"/>
              <w:ind w:left="0" w:right="0"/>
              <w:jc w:val="center"/>
              <w:rPr>
                <w:rFonts w:hint="eastAsia" w:ascii="Times New Roman"/>
                <w:snapToGrid w:val="0"/>
                <w:sz w:val="21"/>
                <w:szCs w:val="21"/>
                <w:highlight w:val="none"/>
              </w:rPr>
            </w:pPr>
            <w:r>
              <w:rPr>
                <w:rFonts w:hint="eastAsia" w:ascii="Times New Roman"/>
                <w:snapToGrid w:val="0"/>
                <w:sz w:val="21"/>
                <w:szCs w:val="21"/>
                <w:highlight w:val="none"/>
              </w:rPr>
              <w:t>/</w:t>
            </w:r>
          </w:p>
        </w:tc>
        <w:tc>
          <w:tcPr>
            <w:tcW w:w="1785" w:type="dxa"/>
            <w:shd w:val="clear" w:color="auto" w:fill="auto"/>
            <w:vAlign w:val="center"/>
          </w:tcPr>
          <w:p w14:paraId="024862F8">
            <w:pPr>
              <w:keepNext w:val="0"/>
              <w:keepLines w:val="0"/>
              <w:suppressLineNumbers w:val="0"/>
              <w:spacing w:before="0" w:beforeLines="0" w:beforeAutospacing="0" w:after="0" w:afterLines="0" w:afterAutospacing="0" w:line="288" w:lineRule="auto"/>
              <w:ind w:left="0" w:right="0"/>
              <w:jc w:val="center"/>
              <w:rPr>
                <w:rFonts w:hint="eastAsia" w:ascii="Times New Roman" w:hAnsi="Times New Roman" w:eastAsia="宋体" w:cs="Times New Roman"/>
                <w:snapToGrid w:val="0"/>
                <w:kern w:val="2"/>
                <w:sz w:val="21"/>
                <w:szCs w:val="21"/>
                <w:highlight w:val="none"/>
                <w:lang w:val="en-US" w:eastAsia="zh-CN" w:bidi="ar-SA"/>
              </w:rPr>
            </w:pPr>
            <w:r>
              <w:rPr>
                <w:rFonts w:hint="eastAsia" w:ascii="Times New Roman"/>
                <w:snapToGrid w:val="0"/>
                <w:sz w:val="21"/>
                <w:szCs w:val="21"/>
                <w:highlight w:val="none"/>
              </w:rPr>
              <w:t>0（</w:t>
            </w:r>
            <w:r>
              <w:rPr>
                <w:rFonts w:hint="eastAsia" w:ascii="Times New Roman"/>
                <w:snapToGrid w:val="0"/>
                <w:sz w:val="21"/>
                <w:szCs w:val="21"/>
                <w:highlight w:val="none"/>
                <w:lang w:val="en-US" w:eastAsia="zh-CN"/>
              </w:rPr>
              <w:t>1</w:t>
            </w:r>
            <w:r>
              <w:rPr>
                <w:rFonts w:hint="eastAsia" w:ascii="Times New Roman"/>
                <w:snapToGrid w:val="0"/>
                <w:sz w:val="21"/>
                <w:szCs w:val="21"/>
                <w:highlight w:val="none"/>
              </w:rPr>
              <w:t>）</w:t>
            </w:r>
          </w:p>
        </w:tc>
        <w:tc>
          <w:tcPr>
            <w:tcW w:w="1352" w:type="dxa"/>
            <w:shd w:val="clear" w:color="auto" w:fill="auto"/>
            <w:vAlign w:val="center"/>
          </w:tcPr>
          <w:p w14:paraId="36FA5AF3">
            <w:pPr>
              <w:keepNext w:val="0"/>
              <w:keepLines w:val="0"/>
              <w:suppressLineNumbers w:val="0"/>
              <w:spacing w:before="0" w:beforeLines="0" w:beforeAutospacing="0" w:after="0" w:afterLines="0" w:afterAutospacing="0" w:line="288" w:lineRule="auto"/>
              <w:ind w:left="0" w:right="0"/>
              <w:jc w:val="center"/>
              <w:rPr>
                <w:rFonts w:hint="eastAsia" w:ascii="Times New Roman" w:hAnsi="Times New Roman" w:eastAsia="宋体" w:cs="Times New Roman"/>
                <w:snapToGrid w:val="0"/>
                <w:kern w:val="2"/>
                <w:sz w:val="21"/>
                <w:szCs w:val="21"/>
                <w:highlight w:val="none"/>
                <w:lang w:val="en-US" w:eastAsia="zh-CN" w:bidi="ar-SA"/>
              </w:rPr>
            </w:pPr>
            <w:r>
              <w:rPr>
                <w:rFonts w:hint="eastAsia" w:ascii="Times New Roman"/>
                <w:snapToGrid w:val="0"/>
                <w:sz w:val="21"/>
                <w:szCs w:val="21"/>
                <w:highlight w:val="none"/>
              </w:rPr>
              <w:t>0（</w:t>
            </w:r>
            <w:r>
              <w:rPr>
                <w:rFonts w:hint="eastAsia" w:ascii="Times New Roman"/>
                <w:snapToGrid w:val="0"/>
                <w:sz w:val="21"/>
                <w:szCs w:val="21"/>
                <w:highlight w:val="none"/>
                <w:lang w:val="en-US" w:eastAsia="zh-CN"/>
              </w:rPr>
              <w:t>+1</w:t>
            </w:r>
            <w:r>
              <w:rPr>
                <w:rFonts w:hint="eastAsia" w:ascii="Times New Roman"/>
                <w:snapToGrid w:val="0"/>
                <w:sz w:val="21"/>
                <w:szCs w:val="21"/>
                <w:highlight w:val="none"/>
              </w:rPr>
              <w:t>）</w:t>
            </w:r>
          </w:p>
        </w:tc>
      </w:tr>
      <w:tr w14:paraId="6FCE2FD8">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c>
          <w:tcPr>
            <w:tcW w:w="1089" w:type="dxa"/>
            <w:vMerge w:val="continue"/>
            <w:vAlign w:val="center"/>
          </w:tcPr>
          <w:p w14:paraId="276B1358">
            <w:pPr>
              <w:pStyle w:val="65"/>
              <w:keepNext w:val="0"/>
              <w:keepLines w:val="0"/>
              <w:suppressLineNumbers w:val="0"/>
              <w:spacing w:before="0" w:beforeLines="0" w:beforeAutospacing="0" w:after="0" w:afterLines="0" w:afterAutospacing="0" w:line="288" w:lineRule="auto"/>
              <w:ind w:left="0" w:right="0"/>
              <w:rPr>
                <w:rFonts w:hint="default" w:ascii="Times New Roman" w:hAnsi="宋体"/>
                <w:snapToGrid w:val="0"/>
                <w:sz w:val="21"/>
                <w:szCs w:val="21"/>
                <w:highlight w:val="none"/>
              </w:rPr>
            </w:pPr>
          </w:p>
        </w:tc>
        <w:tc>
          <w:tcPr>
            <w:tcW w:w="2737" w:type="dxa"/>
            <w:shd w:val="clear" w:color="auto" w:fill="auto"/>
            <w:vAlign w:val="center"/>
          </w:tcPr>
          <w:p w14:paraId="29D36865">
            <w:pPr>
              <w:pStyle w:val="129"/>
              <w:keepNext w:val="0"/>
              <w:keepLines w:val="0"/>
              <w:suppressLineNumbers w:val="0"/>
              <w:spacing w:before="0" w:beforeAutospacing="0" w:after="0" w:afterAutospacing="0"/>
              <w:ind w:left="0" w:right="0"/>
              <w:rPr>
                <w:rFonts w:hint="eastAsia" w:ascii="Times New Roman" w:hAnsi="Times New Roman" w:eastAsia="宋体" w:cs="Times New Roman"/>
                <w:color w:val="auto"/>
                <w:kern w:val="0"/>
                <w:sz w:val="21"/>
                <w:szCs w:val="21"/>
                <w:highlight w:val="none"/>
                <w:lang w:val="en-US" w:eastAsia="zh-CN" w:bidi="ar-SA"/>
              </w:rPr>
            </w:pPr>
            <w:r>
              <w:rPr>
                <w:rFonts w:hint="default"/>
                <w:color w:val="auto"/>
                <w:sz w:val="21"/>
                <w:szCs w:val="21"/>
                <w:highlight w:val="none"/>
              </w:rPr>
              <w:t>废活性炭</w:t>
            </w:r>
            <w:r>
              <w:rPr>
                <w:rFonts w:hint="default"/>
                <w:snapToGrid w:val="0"/>
                <w:sz w:val="21"/>
                <w:szCs w:val="21"/>
                <w:highlight w:val="none"/>
              </w:rPr>
              <w:t>（t/a）</w:t>
            </w:r>
          </w:p>
        </w:tc>
        <w:tc>
          <w:tcPr>
            <w:tcW w:w="1553" w:type="dxa"/>
            <w:vAlign w:val="center"/>
          </w:tcPr>
          <w:p w14:paraId="1B26AE20">
            <w:pPr>
              <w:keepNext w:val="0"/>
              <w:keepLines w:val="0"/>
              <w:suppressLineNumbers w:val="0"/>
              <w:spacing w:before="0" w:beforeAutospacing="0" w:after="0" w:afterAutospacing="0" w:line="288" w:lineRule="auto"/>
              <w:ind w:left="0" w:right="0"/>
              <w:jc w:val="center"/>
              <w:rPr>
                <w:rFonts w:hint="default" w:ascii="Times New Roman"/>
                <w:snapToGrid w:val="0"/>
                <w:sz w:val="21"/>
                <w:szCs w:val="21"/>
                <w:highlight w:val="none"/>
              </w:rPr>
            </w:pPr>
            <w:r>
              <w:rPr>
                <w:rFonts w:hint="default"/>
                <w:snapToGrid w:val="0"/>
                <w:sz w:val="21"/>
                <w:szCs w:val="21"/>
                <w:highlight w:val="none"/>
              </w:rPr>
              <w:t>/</w:t>
            </w:r>
          </w:p>
        </w:tc>
        <w:tc>
          <w:tcPr>
            <w:tcW w:w="1027" w:type="dxa"/>
            <w:vAlign w:val="center"/>
          </w:tcPr>
          <w:p w14:paraId="2910222B">
            <w:pPr>
              <w:keepNext w:val="0"/>
              <w:keepLines w:val="0"/>
              <w:suppressLineNumbers w:val="0"/>
              <w:spacing w:before="0" w:beforeAutospacing="0" w:after="0" w:afterAutospacing="0" w:line="288" w:lineRule="auto"/>
              <w:ind w:left="0" w:right="0"/>
              <w:jc w:val="center"/>
              <w:rPr>
                <w:rFonts w:hint="default" w:ascii="Times New Roman"/>
                <w:snapToGrid w:val="0"/>
                <w:sz w:val="21"/>
                <w:szCs w:val="21"/>
                <w:highlight w:val="none"/>
              </w:rPr>
            </w:pPr>
            <w:r>
              <w:rPr>
                <w:rFonts w:hint="default"/>
                <w:snapToGrid w:val="0"/>
                <w:sz w:val="21"/>
                <w:szCs w:val="21"/>
                <w:highlight w:val="none"/>
              </w:rPr>
              <w:t>/</w:t>
            </w:r>
          </w:p>
        </w:tc>
        <w:tc>
          <w:tcPr>
            <w:tcW w:w="1433" w:type="dxa"/>
            <w:vAlign w:val="center"/>
          </w:tcPr>
          <w:p w14:paraId="47771BC7">
            <w:pPr>
              <w:keepNext w:val="0"/>
              <w:keepLines w:val="0"/>
              <w:suppressLineNumbers w:val="0"/>
              <w:spacing w:before="0" w:beforeAutospacing="0" w:after="0" w:afterAutospacing="0" w:line="288" w:lineRule="auto"/>
              <w:ind w:left="0" w:right="0"/>
              <w:jc w:val="center"/>
              <w:rPr>
                <w:rFonts w:hint="default" w:ascii="Times New Roman"/>
                <w:snapToGrid w:val="0"/>
                <w:sz w:val="21"/>
                <w:szCs w:val="21"/>
                <w:highlight w:val="none"/>
              </w:rPr>
            </w:pPr>
            <w:r>
              <w:rPr>
                <w:rFonts w:hint="default"/>
                <w:snapToGrid w:val="0"/>
                <w:sz w:val="21"/>
                <w:szCs w:val="21"/>
                <w:highlight w:val="none"/>
              </w:rPr>
              <w:t>/</w:t>
            </w:r>
          </w:p>
        </w:tc>
        <w:tc>
          <w:tcPr>
            <w:tcW w:w="1485" w:type="dxa"/>
            <w:vAlign w:val="center"/>
          </w:tcPr>
          <w:p w14:paraId="0E911C91">
            <w:pPr>
              <w:keepNext w:val="0"/>
              <w:keepLines w:val="0"/>
              <w:suppressLineNumbers w:val="0"/>
              <w:spacing w:before="0" w:beforeLines="0" w:beforeAutospacing="0" w:after="0" w:afterLines="0" w:afterAutospacing="0" w:line="288" w:lineRule="auto"/>
              <w:ind w:left="0" w:right="0"/>
              <w:jc w:val="center"/>
              <w:rPr>
                <w:rFonts w:hint="eastAsia" w:ascii="Times New Roman"/>
                <w:snapToGrid w:val="0"/>
                <w:sz w:val="21"/>
                <w:szCs w:val="21"/>
                <w:highlight w:val="none"/>
              </w:rPr>
            </w:pPr>
            <w:r>
              <w:rPr>
                <w:rFonts w:hint="eastAsia" w:ascii="Times New Roman"/>
                <w:snapToGrid w:val="0"/>
                <w:sz w:val="21"/>
                <w:szCs w:val="21"/>
                <w:highlight w:val="none"/>
              </w:rPr>
              <w:t>0（</w:t>
            </w:r>
            <w:r>
              <w:rPr>
                <w:rFonts w:hint="eastAsia"/>
                <w:snapToGrid w:val="0"/>
                <w:sz w:val="21"/>
                <w:szCs w:val="21"/>
                <w:highlight w:val="none"/>
                <w:lang w:val="en-US" w:eastAsia="zh-CN"/>
              </w:rPr>
              <w:t>46</w:t>
            </w:r>
            <w:r>
              <w:rPr>
                <w:rFonts w:hint="eastAsia" w:ascii="Times New Roman"/>
                <w:snapToGrid w:val="0"/>
                <w:sz w:val="21"/>
                <w:szCs w:val="21"/>
                <w:highlight w:val="none"/>
              </w:rPr>
              <w:t>）</w:t>
            </w:r>
          </w:p>
        </w:tc>
        <w:tc>
          <w:tcPr>
            <w:tcW w:w="1327" w:type="dxa"/>
            <w:vAlign w:val="center"/>
          </w:tcPr>
          <w:p w14:paraId="553100F4">
            <w:pPr>
              <w:keepNext w:val="0"/>
              <w:keepLines w:val="0"/>
              <w:suppressLineNumbers w:val="0"/>
              <w:spacing w:before="0" w:beforeLines="0" w:beforeAutospacing="0" w:after="0" w:afterLines="0" w:afterAutospacing="0" w:line="288" w:lineRule="auto"/>
              <w:ind w:left="0" w:right="0"/>
              <w:jc w:val="center"/>
              <w:rPr>
                <w:rFonts w:hint="eastAsia" w:ascii="Times New Roman"/>
                <w:snapToGrid w:val="0"/>
                <w:sz w:val="21"/>
                <w:szCs w:val="21"/>
                <w:highlight w:val="none"/>
              </w:rPr>
            </w:pPr>
            <w:r>
              <w:rPr>
                <w:rFonts w:hint="eastAsia" w:ascii="Times New Roman"/>
                <w:snapToGrid w:val="0"/>
                <w:sz w:val="21"/>
                <w:szCs w:val="21"/>
                <w:highlight w:val="none"/>
              </w:rPr>
              <w:t>/</w:t>
            </w:r>
          </w:p>
        </w:tc>
        <w:tc>
          <w:tcPr>
            <w:tcW w:w="1785" w:type="dxa"/>
            <w:shd w:val="clear" w:color="auto" w:fill="auto"/>
            <w:vAlign w:val="center"/>
          </w:tcPr>
          <w:p w14:paraId="16D56F82">
            <w:pPr>
              <w:keepNext w:val="0"/>
              <w:keepLines w:val="0"/>
              <w:suppressLineNumbers w:val="0"/>
              <w:spacing w:before="0" w:beforeLines="0" w:beforeAutospacing="0" w:after="0" w:afterLines="0" w:afterAutospacing="0" w:line="288" w:lineRule="auto"/>
              <w:ind w:left="0" w:right="0"/>
              <w:jc w:val="center"/>
              <w:rPr>
                <w:rFonts w:hint="eastAsia" w:ascii="Times New Roman" w:hAnsi="Times New Roman" w:eastAsia="宋体" w:cs="Times New Roman"/>
                <w:snapToGrid w:val="0"/>
                <w:kern w:val="2"/>
                <w:sz w:val="21"/>
                <w:szCs w:val="21"/>
                <w:highlight w:val="none"/>
                <w:lang w:val="en-US" w:eastAsia="zh-CN" w:bidi="ar-SA"/>
              </w:rPr>
            </w:pPr>
            <w:r>
              <w:rPr>
                <w:rFonts w:hint="eastAsia" w:ascii="Times New Roman"/>
                <w:snapToGrid w:val="0"/>
                <w:sz w:val="21"/>
                <w:szCs w:val="21"/>
                <w:highlight w:val="none"/>
              </w:rPr>
              <w:t>0（</w:t>
            </w:r>
            <w:r>
              <w:rPr>
                <w:rFonts w:hint="eastAsia"/>
                <w:snapToGrid w:val="0"/>
                <w:sz w:val="21"/>
                <w:szCs w:val="21"/>
                <w:highlight w:val="none"/>
                <w:lang w:val="en-US" w:eastAsia="zh-CN"/>
              </w:rPr>
              <w:t>46</w:t>
            </w:r>
            <w:r>
              <w:rPr>
                <w:rFonts w:hint="eastAsia" w:ascii="Times New Roman"/>
                <w:snapToGrid w:val="0"/>
                <w:sz w:val="21"/>
                <w:szCs w:val="21"/>
                <w:highlight w:val="none"/>
              </w:rPr>
              <w:t>）</w:t>
            </w:r>
          </w:p>
        </w:tc>
        <w:tc>
          <w:tcPr>
            <w:tcW w:w="1352" w:type="dxa"/>
            <w:shd w:val="clear" w:color="auto" w:fill="auto"/>
            <w:vAlign w:val="center"/>
          </w:tcPr>
          <w:p w14:paraId="115A5163">
            <w:pPr>
              <w:keepNext w:val="0"/>
              <w:keepLines w:val="0"/>
              <w:suppressLineNumbers w:val="0"/>
              <w:spacing w:before="0" w:beforeLines="0" w:beforeAutospacing="0" w:after="0" w:afterLines="0" w:afterAutospacing="0" w:line="288" w:lineRule="auto"/>
              <w:ind w:left="0" w:right="0"/>
              <w:jc w:val="center"/>
              <w:rPr>
                <w:rFonts w:hint="eastAsia" w:ascii="Times New Roman" w:hAnsi="Times New Roman" w:eastAsia="宋体" w:cs="Times New Roman"/>
                <w:snapToGrid w:val="0"/>
                <w:kern w:val="2"/>
                <w:sz w:val="21"/>
                <w:szCs w:val="21"/>
                <w:highlight w:val="none"/>
                <w:lang w:val="en-US" w:eastAsia="zh-CN" w:bidi="ar-SA"/>
              </w:rPr>
            </w:pPr>
            <w:r>
              <w:rPr>
                <w:rFonts w:hint="eastAsia" w:ascii="Times New Roman"/>
                <w:snapToGrid w:val="0"/>
                <w:sz w:val="21"/>
                <w:szCs w:val="21"/>
                <w:highlight w:val="none"/>
              </w:rPr>
              <w:t>0（</w:t>
            </w:r>
            <w:r>
              <w:rPr>
                <w:rFonts w:hint="eastAsia" w:ascii="Times New Roman"/>
                <w:snapToGrid w:val="0"/>
                <w:sz w:val="21"/>
                <w:szCs w:val="21"/>
                <w:highlight w:val="none"/>
                <w:lang w:val="en-US" w:eastAsia="zh-CN"/>
              </w:rPr>
              <w:t>+</w:t>
            </w:r>
            <w:r>
              <w:rPr>
                <w:rFonts w:hint="eastAsia"/>
                <w:snapToGrid w:val="0"/>
                <w:sz w:val="21"/>
                <w:szCs w:val="21"/>
                <w:highlight w:val="none"/>
                <w:lang w:val="en-US" w:eastAsia="zh-CN"/>
              </w:rPr>
              <w:t>46</w:t>
            </w:r>
            <w:r>
              <w:rPr>
                <w:rFonts w:hint="eastAsia" w:ascii="Times New Roman"/>
                <w:snapToGrid w:val="0"/>
                <w:sz w:val="21"/>
                <w:szCs w:val="21"/>
                <w:highlight w:val="none"/>
              </w:rPr>
              <w:t>）</w:t>
            </w:r>
          </w:p>
        </w:tc>
      </w:tr>
      <w:tr w14:paraId="117529E5">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c>
          <w:tcPr>
            <w:tcW w:w="1089" w:type="dxa"/>
            <w:vMerge w:val="continue"/>
            <w:vAlign w:val="center"/>
          </w:tcPr>
          <w:p w14:paraId="40647FD6">
            <w:pPr>
              <w:pStyle w:val="65"/>
              <w:keepNext w:val="0"/>
              <w:keepLines w:val="0"/>
              <w:suppressLineNumbers w:val="0"/>
              <w:spacing w:before="0" w:beforeLines="0" w:beforeAutospacing="0" w:after="0" w:afterLines="0" w:afterAutospacing="0" w:line="288" w:lineRule="auto"/>
              <w:ind w:left="0" w:right="0"/>
              <w:rPr>
                <w:rFonts w:hint="default" w:ascii="Times New Roman" w:hAnsi="宋体"/>
                <w:snapToGrid w:val="0"/>
                <w:sz w:val="21"/>
                <w:szCs w:val="21"/>
                <w:highlight w:val="none"/>
              </w:rPr>
            </w:pPr>
          </w:p>
        </w:tc>
        <w:tc>
          <w:tcPr>
            <w:tcW w:w="2737" w:type="dxa"/>
            <w:shd w:val="clear" w:color="auto" w:fill="auto"/>
            <w:vAlign w:val="center"/>
          </w:tcPr>
          <w:p w14:paraId="7206C022">
            <w:pPr>
              <w:pStyle w:val="129"/>
              <w:keepNext w:val="0"/>
              <w:keepLines w:val="0"/>
              <w:suppressLineNumbers w:val="0"/>
              <w:spacing w:before="0" w:beforeAutospacing="0" w:after="0" w:afterAutospacing="0"/>
              <w:ind w:left="0" w:right="0"/>
              <w:rPr>
                <w:rFonts w:hint="eastAsia" w:eastAsia="宋体"/>
                <w:color w:val="auto"/>
                <w:sz w:val="21"/>
                <w:szCs w:val="21"/>
                <w:highlight w:val="none"/>
                <w:lang w:val="en-US" w:eastAsia="zh-CN"/>
              </w:rPr>
            </w:pPr>
            <w:r>
              <w:rPr>
                <w:rFonts w:hint="eastAsia"/>
                <w:color w:val="auto"/>
                <w:sz w:val="21"/>
                <w:szCs w:val="21"/>
                <w:highlight w:val="none"/>
                <w:lang w:val="en-US" w:eastAsia="zh-CN"/>
              </w:rPr>
              <w:t>废催化剂</w:t>
            </w:r>
            <w:r>
              <w:rPr>
                <w:rFonts w:hint="default"/>
                <w:snapToGrid w:val="0"/>
                <w:sz w:val="21"/>
                <w:szCs w:val="21"/>
                <w:highlight w:val="none"/>
              </w:rPr>
              <w:t>（t/a）</w:t>
            </w:r>
          </w:p>
        </w:tc>
        <w:tc>
          <w:tcPr>
            <w:tcW w:w="1553" w:type="dxa"/>
            <w:shd w:val="clear" w:color="auto" w:fill="auto"/>
            <w:vAlign w:val="center"/>
          </w:tcPr>
          <w:p w14:paraId="02F94E79">
            <w:pPr>
              <w:keepNext w:val="0"/>
              <w:keepLines w:val="0"/>
              <w:suppressLineNumbers w:val="0"/>
              <w:spacing w:before="0" w:beforeAutospacing="0" w:after="0" w:afterAutospacing="0" w:line="288" w:lineRule="auto"/>
              <w:ind w:left="0" w:leftChars="0" w:right="0" w:rightChars="0"/>
              <w:jc w:val="center"/>
              <w:rPr>
                <w:rFonts w:hint="default" w:ascii="Times New Roman" w:hAnsi="Times New Roman" w:eastAsia="宋体" w:cs="Times New Roman"/>
                <w:snapToGrid w:val="0"/>
                <w:kern w:val="2"/>
                <w:sz w:val="21"/>
                <w:szCs w:val="21"/>
                <w:highlight w:val="none"/>
                <w:lang w:val="en-US" w:eastAsia="zh-CN" w:bidi="ar-SA"/>
              </w:rPr>
            </w:pPr>
            <w:r>
              <w:rPr>
                <w:rFonts w:hint="default"/>
                <w:snapToGrid w:val="0"/>
                <w:sz w:val="21"/>
                <w:szCs w:val="21"/>
                <w:highlight w:val="none"/>
              </w:rPr>
              <w:t>/</w:t>
            </w:r>
          </w:p>
        </w:tc>
        <w:tc>
          <w:tcPr>
            <w:tcW w:w="1027" w:type="dxa"/>
            <w:shd w:val="clear" w:color="auto" w:fill="auto"/>
            <w:vAlign w:val="center"/>
          </w:tcPr>
          <w:p w14:paraId="4907CC3B">
            <w:pPr>
              <w:keepNext w:val="0"/>
              <w:keepLines w:val="0"/>
              <w:suppressLineNumbers w:val="0"/>
              <w:spacing w:before="0" w:beforeAutospacing="0" w:after="0" w:afterAutospacing="0" w:line="288" w:lineRule="auto"/>
              <w:ind w:left="0" w:leftChars="0" w:right="0" w:rightChars="0"/>
              <w:jc w:val="center"/>
              <w:rPr>
                <w:rFonts w:hint="default" w:ascii="Times New Roman" w:hAnsi="Times New Roman" w:eastAsia="宋体" w:cs="Times New Roman"/>
                <w:snapToGrid w:val="0"/>
                <w:kern w:val="2"/>
                <w:sz w:val="21"/>
                <w:szCs w:val="21"/>
                <w:highlight w:val="none"/>
                <w:lang w:val="en-US" w:eastAsia="zh-CN" w:bidi="ar-SA"/>
              </w:rPr>
            </w:pPr>
            <w:r>
              <w:rPr>
                <w:rFonts w:hint="default"/>
                <w:snapToGrid w:val="0"/>
                <w:sz w:val="21"/>
                <w:szCs w:val="21"/>
                <w:highlight w:val="none"/>
              </w:rPr>
              <w:t>/</w:t>
            </w:r>
          </w:p>
        </w:tc>
        <w:tc>
          <w:tcPr>
            <w:tcW w:w="1433" w:type="dxa"/>
            <w:shd w:val="clear" w:color="auto" w:fill="auto"/>
            <w:vAlign w:val="center"/>
          </w:tcPr>
          <w:p w14:paraId="4D5E7D95">
            <w:pPr>
              <w:keepNext w:val="0"/>
              <w:keepLines w:val="0"/>
              <w:suppressLineNumbers w:val="0"/>
              <w:spacing w:before="0" w:beforeAutospacing="0" w:after="0" w:afterAutospacing="0" w:line="288" w:lineRule="auto"/>
              <w:ind w:left="0" w:leftChars="0" w:right="0" w:rightChars="0"/>
              <w:jc w:val="center"/>
              <w:rPr>
                <w:rFonts w:hint="default" w:ascii="Times New Roman" w:hAnsi="Times New Roman" w:eastAsia="宋体" w:cs="Times New Roman"/>
                <w:snapToGrid w:val="0"/>
                <w:kern w:val="2"/>
                <w:sz w:val="21"/>
                <w:szCs w:val="21"/>
                <w:highlight w:val="none"/>
                <w:lang w:val="en-US" w:eastAsia="zh-CN" w:bidi="ar-SA"/>
              </w:rPr>
            </w:pPr>
            <w:r>
              <w:rPr>
                <w:rFonts w:hint="default"/>
                <w:snapToGrid w:val="0"/>
                <w:sz w:val="21"/>
                <w:szCs w:val="21"/>
                <w:highlight w:val="none"/>
              </w:rPr>
              <w:t>/</w:t>
            </w:r>
          </w:p>
        </w:tc>
        <w:tc>
          <w:tcPr>
            <w:tcW w:w="1485" w:type="dxa"/>
            <w:shd w:val="clear" w:color="auto" w:fill="auto"/>
            <w:vAlign w:val="center"/>
          </w:tcPr>
          <w:p w14:paraId="5DF06A0D">
            <w:pPr>
              <w:keepNext w:val="0"/>
              <w:keepLines w:val="0"/>
              <w:suppressLineNumbers w:val="0"/>
              <w:spacing w:before="0" w:beforeLines="0" w:beforeAutospacing="0" w:after="0" w:afterLines="0" w:afterAutospacing="0" w:line="288" w:lineRule="auto"/>
              <w:ind w:left="0" w:leftChars="0" w:right="0" w:rightChars="0"/>
              <w:jc w:val="center"/>
              <w:rPr>
                <w:rFonts w:hint="eastAsia" w:ascii="Times New Roman" w:hAnsi="Times New Roman" w:eastAsia="宋体" w:cs="Times New Roman"/>
                <w:snapToGrid w:val="0"/>
                <w:kern w:val="2"/>
                <w:sz w:val="21"/>
                <w:szCs w:val="21"/>
                <w:highlight w:val="none"/>
                <w:lang w:val="en-US" w:eastAsia="zh-CN" w:bidi="ar-SA"/>
              </w:rPr>
            </w:pPr>
            <w:r>
              <w:rPr>
                <w:rFonts w:hint="eastAsia" w:ascii="Times New Roman"/>
                <w:snapToGrid w:val="0"/>
                <w:sz w:val="21"/>
                <w:szCs w:val="21"/>
                <w:highlight w:val="none"/>
              </w:rPr>
              <w:t>0（</w:t>
            </w:r>
            <w:r>
              <w:rPr>
                <w:rFonts w:hint="eastAsia" w:ascii="Times New Roman"/>
                <w:snapToGrid w:val="0"/>
                <w:sz w:val="21"/>
                <w:szCs w:val="21"/>
                <w:highlight w:val="none"/>
                <w:lang w:val="en-US" w:eastAsia="zh-CN"/>
              </w:rPr>
              <w:t>0.</w:t>
            </w:r>
            <w:r>
              <w:rPr>
                <w:rFonts w:hint="eastAsia"/>
                <w:snapToGrid w:val="0"/>
                <w:sz w:val="21"/>
                <w:szCs w:val="21"/>
                <w:highlight w:val="none"/>
                <w:lang w:val="en-US" w:eastAsia="zh-CN"/>
              </w:rPr>
              <w:t>1</w:t>
            </w:r>
            <w:r>
              <w:rPr>
                <w:rFonts w:hint="eastAsia" w:ascii="Times New Roman"/>
                <w:snapToGrid w:val="0"/>
                <w:sz w:val="21"/>
                <w:szCs w:val="21"/>
                <w:highlight w:val="none"/>
              </w:rPr>
              <w:t>）</w:t>
            </w:r>
          </w:p>
        </w:tc>
        <w:tc>
          <w:tcPr>
            <w:tcW w:w="1327" w:type="dxa"/>
            <w:shd w:val="clear" w:color="auto" w:fill="auto"/>
            <w:vAlign w:val="center"/>
          </w:tcPr>
          <w:p w14:paraId="0AD9C9C6">
            <w:pPr>
              <w:keepNext w:val="0"/>
              <w:keepLines w:val="0"/>
              <w:suppressLineNumbers w:val="0"/>
              <w:spacing w:before="0" w:beforeLines="0" w:beforeAutospacing="0" w:after="0" w:afterLines="0" w:afterAutospacing="0" w:line="288" w:lineRule="auto"/>
              <w:ind w:left="0" w:leftChars="0" w:right="0" w:rightChars="0"/>
              <w:jc w:val="center"/>
              <w:rPr>
                <w:rFonts w:hint="eastAsia" w:ascii="Times New Roman" w:hAnsi="Times New Roman" w:eastAsia="宋体" w:cs="Times New Roman"/>
                <w:snapToGrid w:val="0"/>
                <w:kern w:val="2"/>
                <w:sz w:val="21"/>
                <w:szCs w:val="21"/>
                <w:highlight w:val="none"/>
                <w:lang w:val="en-US" w:eastAsia="zh-CN" w:bidi="ar-SA"/>
              </w:rPr>
            </w:pPr>
            <w:r>
              <w:rPr>
                <w:rFonts w:hint="eastAsia" w:ascii="Times New Roman"/>
                <w:snapToGrid w:val="0"/>
                <w:sz w:val="21"/>
                <w:szCs w:val="21"/>
                <w:highlight w:val="none"/>
              </w:rPr>
              <w:t>/</w:t>
            </w:r>
          </w:p>
        </w:tc>
        <w:tc>
          <w:tcPr>
            <w:tcW w:w="1785" w:type="dxa"/>
            <w:shd w:val="clear" w:color="auto" w:fill="auto"/>
            <w:vAlign w:val="center"/>
          </w:tcPr>
          <w:p w14:paraId="01FE6E04">
            <w:pPr>
              <w:keepNext w:val="0"/>
              <w:keepLines w:val="0"/>
              <w:suppressLineNumbers w:val="0"/>
              <w:spacing w:before="0" w:beforeLines="0" w:beforeAutospacing="0" w:after="0" w:afterLines="0" w:afterAutospacing="0" w:line="288" w:lineRule="auto"/>
              <w:ind w:left="0" w:leftChars="0" w:right="0" w:rightChars="0"/>
              <w:jc w:val="center"/>
              <w:rPr>
                <w:rFonts w:hint="eastAsia" w:ascii="Times New Roman" w:hAnsi="Times New Roman" w:eastAsia="宋体" w:cs="Times New Roman"/>
                <w:snapToGrid w:val="0"/>
                <w:kern w:val="2"/>
                <w:sz w:val="21"/>
                <w:szCs w:val="21"/>
                <w:highlight w:val="none"/>
                <w:lang w:val="en-US" w:eastAsia="zh-CN" w:bidi="ar-SA"/>
              </w:rPr>
            </w:pPr>
            <w:r>
              <w:rPr>
                <w:rFonts w:hint="eastAsia" w:ascii="Times New Roman"/>
                <w:snapToGrid w:val="0"/>
                <w:sz w:val="21"/>
                <w:szCs w:val="21"/>
                <w:highlight w:val="none"/>
              </w:rPr>
              <w:t>0（</w:t>
            </w:r>
            <w:r>
              <w:rPr>
                <w:rFonts w:hint="eastAsia" w:ascii="Times New Roman"/>
                <w:snapToGrid w:val="0"/>
                <w:sz w:val="21"/>
                <w:szCs w:val="21"/>
                <w:highlight w:val="none"/>
                <w:lang w:val="en-US" w:eastAsia="zh-CN"/>
              </w:rPr>
              <w:t>0.</w:t>
            </w:r>
            <w:r>
              <w:rPr>
                <w:rFonts w:hint="eastAsia"/>
                <w:snapToGrid w:val="0"/>
                <w:sz w:val="21"/>
                <w:szCs w:val="21"/>
                <w:highlight w:val="none"/>
                <w:lang w:val="en-US" w:eastAsia="zh-CN"/>
              </w:rPr>
              <w:t>1</w:t>
            </w:r>
            <w:r>
              <w:rPr>
                <w:rFonts w:hint="eastAsia" w:ascii="Times New Roman"/>
                <w:snapToGrid w:val="0"/>
                <w:sz w:val="21"/>
                <w:szCs w:val="21"/>
                <w:highlight w:val="none"/>
              </w:rPr>
              <w:t>）</w:t>
            </w:r>
          </w:p>
        </w:tc>
        <w:tc>
          <w:tcPr>
            <w:tcW w:w="1352" w:type="dxa"/>
            <w:shd w:val="clear" w:color="auto" w:fill="auto"/>
            <w:vAlign w:val="center"/>
          </w:tcPr>
          <w:p w14:paraId="729B848E">
            <w:pPr>
              <w:keepNext w:val="0"/>
              <w:keepLines w:val="0"/>
              <w:suppressLineNumbers w:val="0"/>
              <w:spacing w:before="0" w:beforeLines="0" w:beforeAutospacing="0" w:after="0" w:afterLines="0" w:afterAutospacing="0" w:line="288" w:lineRule="auto"/>
              <w:ind w:left="0" w:leftChars="0" w:right="0" w:rightChars="0"/>
              <w:jc w:val="center"/>
              <w:rPr>
                <w:rFonts w:hint="eastAsia" w:ascii="Times New Roman" w:hAnsi="Times New Roman" w:eastAsia="宋体" w:cs="Times New Roman"/>
                <w:snapToGrid w:val="0"/>
                <w:kern w:val="2"/>
                <w:sz w:val="21"/>
                <w:szCs w:val="21"/>
                <w:highlight w:val="none"/>
                <w:lang w:val="en-US" w:eastAsia="zh-CN" w:bidi="ar-SA"/>
              </w:rPr>
            </w:pPr>
            <w:r>
              <w:rPr>
                <w:rFonts w:hint="eastAsia" w:ascii="Times New Roman"/>
                <w:snapToGrid w:val="0"/>
                <w:sz w:val="21"/>
                <w:szCs w:val="21"/>
                <w:highlight w:val="none"/>
              </w:rPr>
              <w:t>0（</w:t>
            </w:r>
            <w:r>
              <w:rPr>
                <w:rFonts w:hint="eastAsia" w:ascii="Times New Roman"/>
                <w:snapToGrid w:val="0"/>
                <w:sz w:val="21"/>
                <w:szCs w:val="21"/>
                <w:highlight w:val="none"/>
                <w:lang w:val="en-US" w:eastAsia="zh-CN"/>
              </w:rPr>
              <w:t>+0.</w:t>
            </w:r>
            <w:r>
              <w:rPr>
                <w:rFonts w:hint="eastAsia"/>
                <w:snapToGrid w:val="0"/>
                <w:sz w:val="21"/>
                <w:szCs w:val="21"/>
                <w:highlight w:val="none"/>
                <w:lang w:val="en-US" w:eastAsia="zh-CN"/>
              </w:rPr>
              <w:t>1</w:t>
            </w:r>
            <w:r>
              <w:rPr>
                <w:rFonts w:hint="eastAsia" w:ascii="Times New Roman"/>
                <w:snapToGrid w:val="0"/>
                <w:sz w:val="21"/>
                <w:szCs w:val="21"/>
                <w:highlight w:val="none"/>
              </w:rPr>
              <w:t>）</w:t>
            </w:r>
          </w:p>
        </w:tc>
      </w:tr>
      <w:tr w14:paraId="59604C75">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c>
          <w:tcPr>
            <w:tcW w:w="1089" w:type="dxa"/>
            <w:vMerge w:val="continue"/>
            <w:vAlign w:val="center"/>
          </w:tcPr>
          <w:p w14:paraId="53272727">
            <w:pPr>
              <w:pStyle w:val="65"/>
              <w:keepNext w:val="0"/>
              <w:keepLines w:val="0"/>
              <w:suppressLineNumbers w:val="0"/>
              <w:spacing w:before="0" w:beforeLines="0" w:beforeAutospacing="0" w:after="0" w:afterLines="0" w:afterAutospacing="0" w:line="288" w:lineRule="auto"/>
              <w:ind w:left="0" w:right="0"/>
              <w:rPr>
                <w:rFonts w:hint="default" w:ascii="Times New Roman" w:hAnsi="宋体"/>
                <w:snapToGrid w:val="0"/>
                <w:sz w:val="21"/>
                <w:szCs w:val="21"/>
                <w:highlight w:val="none"/>
              </w:rPr>
            </w:pPr>
          </w:p>
        </w:tc>
        <w:tc>
          <w:tcPr>
            <w:tcW w:w="2737" w:type="dxa"/>
            <w:shd w:val="clear" w:color="auto" w:fill="auto"/>
            <w:vAlign w:val="center"/>
          </w:tcPr>
          <w:p w14:paraId="0A291E99">
            <w:pPr>
              <w:pStyle w:val="129"/>
              <w:keepNext w:val="0"/>
              <w:keepLines w:val="0"/>
              <w:suppressLineNumbers w:val="0"/>
              <w:spacing w:before="0" w:beforeAutospacing="0" w:after="0" w:afterAutospacing="0"/>
              <w:ind w:left="0" w:right="0"/>
              <w:rPr>
                <w:rFonts w:hint="eastAsia" w:ascii="Times New Roman" w:hAnsi="Times New Roman" w:eastAsia="宋体" w:cs="Times New Roman"/>
                <w:color w:val="auto"/>
                <w:kern w:val="0"/>
                <w:sz w:val="21"/>
                <w:szCs w:val="21"/>
                <w:highlight w:val="none"/>
                <w:lang w:val="en-US" w:eastAsia="zh-CN" w:bidi="ar-SA"/>
              </w:rPr>
            </w:pPr>
            <w:r>
              <w:rPr>
                <w:rFonts w:hint="eastAsia"/>
                <w:color w:val="auto"/>
                <w:sz w:val="21"/>
                <w:szCs w:val="21"/>
                <w:highlight w:val="none"/>
              </w:rPr>
              <w:t>废</w:t>
            </w:r>
            <w:r>
              <w:rPr>
                <w:rFonts w:hint="default"/>
                <w:color w:val="auto"/>
                <w:sz w:val="21"/>
                <w:szCs w:val="21"/>
                <w:highlight w:val="none"/>
              </w:rPr>
              <w:t>紫外</w:t>
            </w:r>
            <w:r>
              <w:rPr>
                <w:rFonts w:hint="eastAsia"/>
                <w:color w:val="auto"/>
                <w:sz w:val="21"/>
                <w:szCs w:val="21"/>
                <w:highlight w:val="none"/>
              </w:rPr>
              <w:t>光</w:t>
            </w:r>
            <w:r>
              <w:rPr>
                <w:rFonts w:hint="default"/>
                <w:color w:val="auto"/>
                <w:sz w:val="21"/>
                <w:szCs w:val="21"/>
                <w:highlight w:val="none"/>
              </w:rPr>
              <w:t>灯</w:t>
            </w:r>
            <w:r>
              <w:rPr>
                <w:rFonts w:hint="default"/>
                <w:snapToGrid w:val="0"/>
                <w:sz w:val="21"/>
                <w:szCs w:val="21"/>
                <w:highlight w:val="none"/>
              </w:rPr>
              <w:t>（t/a）</w:t>
            </w:r>
          </w:p>
        </w:tc>
        <w:tc>
          <w:tcPr>
            <w:tcW w:w="1553" w:type="dxa"/>
            <w:vAlign w:val="center"/>
          </w:tcPr>
          <w:p w14:paraId="1CC46326">
            <w:pPr>
              <w:keepNext w:val="0"/>
              <w:keepLines w:val="0"/>
              <w:suppressLineNumbers w:val="0"/>
              <w:spacing w:before="0" w:beforeAutospacing="0" w:after="0" w:afterAutospacing="0" w:line="288" w:lineRule="auto"/>
              <w:ind w:left="0" w:right="0"/>
              <w:jc w:val="center"/>
              <w:rPr>
                <w:rFonts w:hint="default" w:ascii="Times New Roman"/>
                <w:snapToGrid w:val="0"/>
                <w:sz w:val="21"/>
                <w:szCs w:val="21"/>
                <w:highlight w:val="none"/>
              </w:rPr>
            </w:pPr>
            <w:r>
              <w:rPr>
                <w:rFonts w:hint="default"/>
                <w:snapToGrid w:val="0"/>
                <w:sz w:val="21"/>
                <w:szCs w:val="21"/>
                <w:highlight w:val="none"/>
              </w:rPr>
              <w:t>/</w:t>
            </w:r>
          </w:p>
        </w:tc>
        <w:tc>
          <w:tcPr>
            <w:tcW w:w="1027" w:type="dxa"/>
            <w:vAlign w:val="center"/>
          </w:tcPr>
          <w:p w14:paraId="5FB97645">
            <w:pPr>
              <w:keepNext w:val="0"/>
              <w:keepLines w:val="0"/>
              <w:suppressLineNumbers w:val="0"/>
              <w:spacing w:before="0" w:beforeAutospacing="0" w:after="0" w:afterAutospacing="0" w:line="288" w:lineRule="auto"/>
              <w:ind w:left="0" w:right="0"/>
              <w:jc w:val="center"/>
              <w:rPr>
                <w:rFonts w:hint="default" w:ascii="Times New Roman"/>
                <w:snapToGrid w:val="0"/>
                <w:sz w:val="21"/>
                <w:szCs w:val="21"/>
                <w:highlight w:val="none"/>
              </w:rPr>
            </w:pPr>
            <w:r>
              <w:rPr>
                <w:rFonts w:hint="default"/>
                <w:snapToGrid w:val="0"/>
                <w:sz w:val="21"/>
                <w:szCs w:val="21"/>
                <w:highlight w:val="none"/>
              </w:rPr>
              <w:t>/</w:t>
            </w:r>
          </w:p>
        </w:tc>
        <w:tc>
          <w:tcPr>
            <w:tcW w:w="1433" w:type="dxa"/>
            <w:vAlign w:val="center"/>
          </w:tcPr>
          <w:p w14:paraId="50FE469A">
            <w:pPr>
              <w:keepNext w:val="0"/>
              <w:keepLines w:val="0"/>
              <w:suppressLineNumbers w:val="0"/>
              <w:spacing w:before="0" w:beforeAutospacing="0" w:after="0" w:afterAutospacing="0" w:line="288" w:lineRule="auto"/>
              <w:ind w:left="0" w:right="0"/>
              <w:jc w:val="center"/>
              <w:rPr>
                <w:rFonts w:hint="default" w:ascii="Times New Roman"/>
                <w:snapToGrid w:val="0"/>
                <w:sz w:val="21"/>
                <w:szCs w:val="21"/>
                <w:highlight w:val="none"/>
              </w:rPr>
            </w:pPr>
            <w:r>
              <w:rPr>
                <w:rFonts w:hint="default"/>
                <w:snapToGrid w:val="0"/>
                <w:sz w:val="21"/>
                <w:szCs w:val="21"/>
                <w:highlight w:val="none"/>
              </w:rPr>
              <w:t>/</w:t>
            </w:r>
          </w:p>
        </w:tc>
        <w:tc>
          <w:tcPr>
            <w:tcW w:w="1485" w:type="dxa"/>
            <w:vAlign w:val="center"/>
          </w:tcPr>
          <w:p w14:paraId="0E148DD7">
            <w:pPr>
              <w:keepNext w:val="0"/>
              <w:keepLines w:val="0"/>
              <w:suppressLineNumbers w:val="0"/>
              <w:spacing w:before="0" w:beforeLines="0" w:beforeAutospacing="0" w:after="0" w:afterLines="0" w:afterAutospacing="0" w:line="288" w:lineRule="auto"/>
              <w:ind w:left="0" w:right="0"/>
              <w:jc w:val="center"/>
              <w:rPr>
                <w:rFonts w:hint="eastAsia" w:ascii="Times New Roman"/>
                <w:snapToGrid w:val="0"/>
                <w:sz w:val="21"/>
                <w:szCs w:val="21"/>
                <w:highlight w:val="none"/>
              </w:rPr>
            </w:pPr>
            <w:r>
              <w:rPr>
                <w:rFonts w:hint="eastAsia" w:ascii="Times New Roman"/>
                <w:snapToGrid w:val="0"/>
                <w:sz w:val="21"/>
                <w:szCs w:val="21"/>
                <w:highlight w:val="none"/>
              </w:rPr>
              <w:t>0（</w:t>
            </w:r>
            <w:r>
              <w:rPr>
                <w:rFonts w:hint="eastAsia" w:ascii="Times New Roman"/>
                <w:snapToGrid w:val="0"/>
                <w:sz w:val="21"/>
                <w:szCs w:val="21"/>
                <w:highlight w:val="none"/>
                <w:lang w:val="en-US" w:eastAsia="zh-CN"/>
              </w:rPr>
              <w:t>0.</w:t>
            </w:r>
            <w:r>
              <w:rPr>
                <w:rFonts w:hint="eastAsia"/>
                <w:snapToGrid w:val="0"/>
                <w:sz w:val="21"/>
                <w:szCs w:val="21"/>
                <w:highlight w:val="none"/>
                <w:lang w:val="en-US" w:eastAsia="zh-CN"/>
              </w:rPr>
              <w:t>1</w:t>
            </w:r>
            <w:r>
              <w:rPr>
                <w:rFonts w:hint="eastAsia" w:ascii="Times New Roman"/>
                <w:snapToGrid w:val="0"/>
                <w:sz w:val="21"/>
                <w:szCs w:val="21"/>
                <w:highlight w:val="none"/>
              </w:rPr>
              <w:t>）</w:t>
            </w:r>
          </w:p>
        </w:tc>
        <w:tc>
          <w:tcPr>
            <w:tcW w:w="1327" w:type="dxa"/>
            <w:vAlign w:val="center"/>
          </w:tcPr>
          <w:p w14:paraId="7520844B">
            <w:pPr>
              <w:keepNext w:val="0"/>
              <w:keepLines w:val="0"/>
              <w:suppressLineNumbers w:val="0"/>
              <w:spacing w:before="0" w:beforeLines="0" w:beforeAutospacing="0" w:after="0" w:afterLines="0" w:afterAutospacing="0" w:line="288" w:lineRule="auto"/>
              <w:ind w:left="0" w:right="0"/>
              <w:jc w:val="center"/>
              <w:rPr>
                <w:rFonts w:hint="eastAsia" w:ascii="Times New Roman"/>
                <w:snapToGrid w:val="0"/>
                <w:sz w:val="21"/>
                <w:szCs w:val="21"/>
                <w:highlight w:val="none"/>
              </w:rPr>
            </w:pPr>
            <w:r>
              <w:rPr>
                <w:rFonts w:hint="eastAsia" w:ascii="Times New Roman"/>
                <w:snapToGrid w:val="0"/>
                <w:sz w:val="21"/>
                <w:szCs w:val="21"/>
                <w:highlight w:val="none"/>
              </w:rPr>
              <w:t>/</w:t>
            </w:r>
          </w:p>
        </w:tc>
        <w:tc>
          <w:tcPr>
            <w:tcW w:w="1785" w:type="dxa"/>
            <w:shd w:val="clear" w:color="auto" w:fill="auto"/>
            <w:vAlign w:val="center"/>
          </w:tcPr>
          <w:p w14:paraId="5B62EC4A">
            <w:pPr>
              <w:keepNext w:val="0"/>
              <w:keepLines w:val="0"/>
              <w:suppressLineNumbers w:val="0"/>
              <w:spacing w:before="0" w:beforeLines="0" w:beforeAutospacing="0" w:after="0" w:afterLines="0" w:afterAutospacing="0" w:line="288" w:lineRule="auto"/>
              <w:ind w:left="0" w:right="0"/>
              <w:jc w:val="center"/>
              <w:rPr>
                <w:rFonts w:hint="eastAsia" w:ascii="Times New Roman" w:hAnsi="Times New Roman" w:eastAsia="宋体" w:cs="Times New Roman"/>
                <w:snapToGrid w:val="0"/>
                <w:kern w:val="2"/>
                <w:sz w:val="21"/>
                <w:szCs w:val="21"/>
                <w:highlight w:val="none"/>
                <w:lang w:val="en-US" w:eastAsia="zh-CN" w:bidi="ar-SA"/>
              </w:rPr>
            </w:pPr>
            <w:r>
              <w:rPr>
                <w:rFonts w:hint="eastAsia" w:ascii="Times New Roman"/>
                <w:snapToGrid w:val="0"/>
                <w:sz w:val="21"/>
                <w:szCs w:val="21"/>
                <w:highlight w:val="none"/>
              </w:rPr>
              <w:t>0（</w:t>
            </w:r>
            <w:r>
              <w:rPr>
                <w:rFonts w:hint="eastAsia" w:ascii="Times New Roman"/>
                <w:snapToGrid w:val="0"/>
                <w:sz w:val="21"/>
                <w:szCs w:val="21"/>
                <w:highlight w:val="none"/>
                <w:lang w:val="en-US" w:eastAsia="zh-CN"/>
              </w:rPr>
              <w:t>0.</w:t>
            </w:r>
            <w:r>
              <w:rPr>
                <w:rFonts w:hint="eastAsia"/>
                <w:snapToGrid w:val="0"/>
                <w:sz w:val="21"/>
                <w:szCs w:val="21"/>
                <w:highlight w:val="none"/>
                <w:lang w:val="en-US" w:eastAsia="zh-CN"/>
              </w:rPr>
              <w:t>1</w:t>
            </w:r>
            <w:r>
              <w:rPr>
                <w:rFonts w:hint="eastAsia" w:ascii="Times New Roman"/>
                <w:snapToGrid w:val="0"/>
                <w:sz w:val="21"/>
                <w:szCs w:val="21"/>
                <w:highlight w:val="none"/>
              </w:rPr>
              <w:t>）</w:t>
            </w:r>
          </w:p>
        </w:tc>
        <w:tc>
          <w:tcPr>
            <w:tcW w:w="1352" w:type="dxa"/>
            <w:shd w:val="clear" w:color="auto" w:fill="auto"/>
            <w:vAlign w:val="center"/>
          </w:tcPr>
          <w:p w14:paraId="5BCE41CB">
            <w:pPr>
              <w:keepNext w:val="0"/>
              <w:keepLines w:val="0"/>
              <w:suppressLineNumbers w:val="0"/>
              <w:spacing w:before="0" w:beforeLines="0" w:beforeAutospacing="0" w:after="0" w:afterLines="0" w:afterAutospacing="0" w:line="288" w:lineRule="auto"/>
              <w:ind w:left="0" w:right="0"/>
              <w:jc w:val="center"/>
              <w:rPr>
                <w:rFonts w:hint="eastAsia" w:ascii="Times New Roman" w:hAnsi="Times New Roman" w:eastAsia="宋体" w:cs="Times New Roman"/>
                <w:snapToGrid w:val="0"/>
                <w:kern w:val="2"/>
                <w:sz w:val="21"/>
                <w:szCs w:val="21"/>
                <w:highlight w:val="none"/>
                <w:lang w:val="en-US" w:eastAsia="zh-CN" w:bidi="ar-SA"/>
              </w:rPr>
            </w:pPr>
            <w:r>
              <w:rPr>
                <w:rFonts w:hint="eastAsia" w:ascii="Times New Roman"/>
                <w:snapToGrid w:val="0"/>
                <w:sz w:val="21"/>
                <w:szCs w:val="21"/>
                <w:highlight w:val="none"/>
              </w:rPr>
              <w:t>0（</w:t>
            </w:r>
            <w:r>
              <w:rPr>
                <w:rFonts w:hint="eastAsia" w:ascii="Times New Roman"/>
                <w:snapToGrid w:val="0"/>
                <w:sz w:val="21"/>
                <w:szCs w:val="21"/>
                <w:highlight w:val="none"/>
                <w:lang w:val="en-US" w:eastAsia="zh-CN"/>
              </w:rPr>
              <w:t>+0.</w:t>
            </w:r>
            <w:r>
              <w:rPr>
                <w:rFonts w:hint="eastAsia"/>
                <w:snapToGrid w:val="0"/>
                <w:sz w:val="21"/>
                <w:szCs w:val="21"/>
                <w:highlight w:val="none"/>
                <w:lang w:val="en-US" w:eastAsia="zh-CN"/>
              </w:rPr>
              <w:t>1</w:t>
            </w:r>
            <w:r>
              <w:rPr>
                <w:rFonts w:hint="eastAsia" w:ascii="Times New Roman"/>
                <w:snapToGrid w:val="0"/>
                <w:sz w:val="21"/>
                <w:szCs w:val="21"/>
                <w:highlight w:val="none"/>
              </w:rPr>
              <w:t>）</w:t>
            </w:r>
          </w:p>
        </w:tc>
      </w:tr>
      <w:tr w14:paraId="0B9D538D">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c>
          <w:tcPr>
            <w:tcW w:w="1089" w:type="dxa"/>
            <w:vAlign w:val="center"/>
          </w:tcPr>
          <w:p w14:paraId="6787471A">
            <w:pPr>
              <w:pStyle w:val="65"/>
              <w:keepNext w:val="0"/>
              <w:keepLines w:val="0"/>
              <w:suppressLineNumbers w:val="0"/>
              <w:spacing w:before="0" w:beforeLines="0" w:beforeAutospacing="0" w:after="0" w:afterLines="0" w:afterAutospacing="0" w:line="288" w:lineRule="auto"/>
              <w:ind w:left="0" w:right="0"/>
              <w:rPr>
                <w:rFonts w:hint="default" w:ascii="Times New Roman" w:hAnsi="宋体"/>
                <w:snapToGrid w:val="0"/>
                <w:sz w:val="21"/>
                <w:szCs w:val="21"/>
                <w:highlight w:val="none"/>
              </w:rPr>
            </w:pPr>
            <w:r>
              <w:rPr>
                <w:rFonts w:hint="eastAsia"/>
                <w:color w:val="auto"/>
                <w:sz w:val="21"/>
                <w:szCs w:val="21"/>
                <w:highlight w:val="none"/>
              </w:rPr>
              <w:t>生活</w:t>
            </w:r>
            <w:r>
              <w:rPr>
                <w:rFonts w:hint="default"/>
                <w:color w:val="auto"/>
                <w:sz w:val="21"/>
                <w:szCs w:val="21"/>
                <w:highlight w:val="none"/>
              </w:rPr>
              <w:t>垃圾</w:t>
            </w:r>
          </w:p>
        </w:tc>
        <w:tc>
          <w:tcPr>
            <w:tcW w:w="2737" w:type="dxa"/>
            <w:vAlign w:val="center"/>
          </w:tcPr>
          <w:p w14:paraId="01C022B3">
            <w:pPr>
              <w:pStyle w:val="65"/>
              <w:keepNext w:val="0"/>
              <w:keepLines w:val="0"/>
              <w:suppressLineNumbers w:val="0"/>
              <w:spacing w:before="0" w:beforeLines="0" w:beforeAutospacing="0" w:after="0" w:afterLines="0" w:afterAutospacing="0" w:line="288" w:lineRule="auto"/>
              <w:ind w:left="0" w:right="0"/>
              <w:rPr>
                <w:rFonts w:hint="eastAsia" w:ascii="Times New Roman"/>
                <w:snapToGrid w:val="0"/>
                <w:sz w:val="21"/>
                <w:szCs w:val="21"/>
                <w:highlight w:val="none"/>
              </w:rPr>
            </w:pPr>
            <w:r>
              <w:rPr>
                <w:rFonts w:hint="eastAsia"/>
                <w:color w:val="auto"/>
                <w:sz w:val="21"/>
                <w:szCs w:val="21"/>
                <w:highlight w:val="none"/>
              </w:rPr>
              <w:t>生活</w:t>
            </w:r>
            <w:r>
              <w:rPr>
                <w:rFonts w:hint="default"/>
                <w:color w:val="auto"/>
                <w:sz w:val="21"/>
                <w:szCs w:val="21"/>
                <w:highlight w:val="none"/>
              </w:rPr>
              <w:t>垃圾</w:t>
            </w:r>
            <w:r>
              <w:rPr>
                <w:rFonts w:hint="default" w:ascii="Times New Roman" w:hAnsi="Times New Roman" w:eastAsia="宋体" w:cs="Times New Roman"/>
                <w:snapToGrid w:val="0"/>
                <w:color w:val="000000"/>
                <w:kern w:val="0"/>
                <w:sz w:val="21"/>
                <w:szCs w:val="21"/>
                <w:highlight w:val="none"/>
                <w:lang w:val="en-US" w:eastAsia="zh-CN" w:bidi="ar-SA"/>
              </w:rPr>
              <w:t>（t/a）</w:t>
            </w:r>
          </w:p>
        </w:tc>
        <w:tc>
          <w:tcPr>
            <w:tcW w:w="1553" w:type="dxa"/>
            <w:vAlign w:val="center"/>
          </w:tcPr>
          <w:p w14:paraId="485477A8">
            <w:pPr>
              <w:keepNext w:val="0"/>
              <w:keepLines w:val="0"/>
              <w:suppressLineNumbers w:val="0"/>
              <w:spacing w:before="0" w:beforeAutospacing="0" w:after="0" w:afterAutospacing="0" w:line="288" w:lineRule="auto"/>
              <w:ind w:left="0" w:right="0"/>
              <w:jc w:val="center"/>
              <w:rPr>
                <w:rFonts w:hint="default" w:ascii="Times New Roman"/>
                <w:snapToGrid w:val="0"/>
                <w:sz w:val="21"/>
                <w:szCs w:val="21"/>
                <w:highlight w:val="none"/>
              </w:rPr>
            </w:pPr>
            <w:r>
              <w:rPr>
                <w:rFonts w:hint="default"/>
                <w:snapToGrid w:val="0"/>
                <w:sz w:val="21"/>
                <w:szCs w:val="21"/>
                <w:highlight w:val="none"/>
              </w:rPr>
              <w:t>/</w:t>
            </w:r>
          </w:p>
        </w:tc>
        <w:tc>
          <w:tcPr>
            <w:tcW w:w="1027" w:type="dxa"/>
            <w:vAlign w:val="center"/>
          </w:tcPr>
          <w:p w14:paraId="2AA6C4B1">
            <w:pPr>
              <w:keepNext w:val="0"/>
              <w:keepLines w:val="0"/>
              <w:suppressLineNumbers w:val="0"/>
              <w:spacing w:before="0" w:beforeAutospacing="0" w:after="0" w:afterAutospacing="0" w:line="288" w:lineRule="auto"/>
              <w:ind w:left="0" w:right="0"/>
              <w:jc w:val="center"/>
              <w:rPr>
                <w:rFonts w:hint="default" w:ascii="Times New Roman"/>
                <w:snapToGrid w:val="0"/>
                <w:sz w:val="21"/>
                <w:szCs w:val="21"/>
                <w:highlight w:val="none"/>
              </w:rPr>
            </w:pPr>
            <w:r>
              <w:rPr>
                <w:rFonts w:hint="default"/>
                <w:snapToGrid w:val="0"/>
                <w:sz w:val="21"/>
                <w:szCs w:val="21"/>
                <w:highlight w:val="none"/>
              </w:rPr>
              <w:t>/</w:t>
            </w:r>
          </w:p>
        </w:tc>
        <w:tc>
          <w:tcPr>
            <w:tcW w:w="1433" w:type="dxa"/>
            <w:vAlign w:val="center"/>
          </w:tcPr>
          <w:p w14:paraId="38830286">
            <w:pPr>
              <w:keepNext w:val="0"/>
              <w:keepLines w:val="0"/>
              <w:suppressLineNumbers w:val="0"/>
              <w:spacing w:before="0" w:beforeAutospacing="0" w:after="0" w:afterAutospacing="0" w:line="288" w:lineRule="auto"/>
              <w:ind w:left="0" w:right="0"/>
              <w:jc w:val="center"/>
              <w:rPr>
                <w:rFonts w:hint="default" w:ascii="Times New Roman"/>
                <w:snapToGrid w:val="0"/>
                <w:sz w:val="21"/>
                <w:szCs w:val="21"/>
                <w:highlight w:val="none"/>
              </w:rPr>
            </w:pPr>
            <w:r>
              <w:rPr>
                <w:rFonts w:hint="default"/>
                <w:snapToGrid w:val="0"/>
                <w:sz w:val="21"/>
                <w:szCs w:val="21"/>
                <w:highlight w:val="none"/>
              </w:rPr>
              <w:t>/</w:t>
            </w:r>
          </w:p>
        </w:tc>
        <w:tc>
          <w:tcPr>
            <w:tcW w:w="1485" w:type="dxa"/>
            <w:vAlign w:val="center"/>
          </w:tcPr>
          <w:p w14:paraId="1A8D7E5A">
            <w:pPr>
              <w:pStyle w:val="65"/>
              <w:keepNext w:val="0"/>
              <w:keepLines w:val="0"/>
              <w:suppressLineNumbers w:val="0"/>
              <w:spacing w:before="0" w:beforeLines="0" w:beforeAutospacing="0" w:after="0" w:afterLines="0" w:afterAutospacing="0" w:line="288" w:lineRule="auto"/>
              <w:ind w:left="0" w:right="0"/>
              <w:rPr>
                <w:rFonts w:hint="eastAsia" w:ascii="Times New Roman"/>
                <w:snapToGrid w:val="0"/>
                <w:sz w:val="21"/>
                <w:szCs w:val="21"/>
                <w:highlight w:val="none"/>
              </w:rPr>
            </w:pPr>
            <w:r>
              <w:rPr>
                <w:rFonts w:hint="eastAsia" w:ascii="Times New Roman"/>
                <w:snapToGrid w:val="0"/>
                <w:sz w:val="21"/>
                <w:szCs w:val="21"/>
                <w:highlight w:val="none"/>
              </w:rPr>
              <w:t>0（</w:t>
            </w:r>
            <w:r>
              <w:rPr>
                <w:rFonts w:hint="eastAsia" w:ascii="Times New Roman"/>
                <w:snapToGrid w:val="0"/>
                <w:sz w:val="21"/>
                <w:szCs w:val="21"/>
                <w:highlight w:val="none"/>
                <w:lang w:val="en-US" w:eastAsia="zh-CN"/>
              </w:rPr>
              <w:t>91</w:t>
            </w:r>
            <w:r>
              <w:rPr>
                <w:rFonts w:hint="eastAsia" w:ascii="Times New Roman"/>
                <w:snapToGrid w:val="0"/>
                <w:sz w:val="21"/>
                <w:szCs w:val="21"/>
                <w:highlight w:val="none"/>
              </w:rPr>
              <w:t>）</w:t>
            </w:r>
          </w:p>
        </w:tc>
        <w:tc>
          <w:tcPr>
            <w:tcW w:w="1327" w:type="dxa"/>
            <w:vAlign w:val="center"/>
          </w:tcPr>
          <w:p w14:paraId="72FDE4C1">
            <w:pPr>
              <w:keepNext w:val="0"/>
              <w:keepLines w:val="0"/>
              <w:suppressLineNumbers w:val="0"/>
              <w:spacing w:before="0" w:beforeLines="0" w:beforeAutospacing="0" w:after="0" w:afterLines="0" w:afterAutospacing="0" w:line="288" w:lineRule="auto"/>
              <w:ind w:left="0" w:right="0"/>
              <w:jc w:val="center"/>
              <w:rPr>
                <w:rFonts w:hint="eastAsia" w:ascii="Times New Roman"/>
                <w:snapToGrid w:val="0"/>
                <w:sz w:val="21"/>
                <w:szCs w:val="21"/>
                <w:highlight w:val="none"/>
              </w:rPr>
            </w:pPr>
            <w:r>
              <w:rPr>
                <w:rFonts w:hint="eastAsia" w:ascii="Times New Roman"/>
                <w:snapToGrid w:val="0"/>
                <w:sz w:val="21"/>
                <w:szCs w:val="21"/>
                <w:highlight w:val="none"/>
              </w:rPr>
              <w:t>/</w:t>
            </w:r>
          </w:p>
        </w:tc>
        <w:tc>
          <w:tcPr>
            <w:tcW w:w="1785" w:type="dxa"/>
            <w:shd w:val="clear" w:color="auto" w:fill="auto"/>
            <w:vAlign w:val="center"/>
          </w:tcPr>
          <w:p w14:paraId="1E01213F">
            <w:pPr>
              <w:pStyle w:val="65"/>
              <w:keepNext w:val="0"/>
              <w:keepLines w:val="0"/>
              <w:suppressLineNumbers w:val="0"/>
              <w:spacing w:before="0" w:beforeLines="0" w:beforeAutospacing="0" w:after="0" w:afterLines="0" w:afterAutospacing="0" w:line="288" w:lineRule="auto"/>
              <w:ind w:left="0" w:right="0"/>
              <w:rPr>
                <w:rFonts w:hint="eastAsia" w:ascii="Times New Roman" w:hAnsi="Times New Roman" w:eastAsia="宋体" w:cs="Times New Roman"/>
                <w:snapToGrid w:val="0"/>
                <w:kern w:val="0"/>
                <w:sz w:val="21"/>
                <w:szCs w:val="21"/>
                <w:highlight w:val="none"/>
                <w:lang w:val="en-US" w:eastAsia="zh-CN" w:bidi="ar-SA"/>
              </w:rPr>
            </w:pPr>
            <w:r>
              <w:rPr>
                <w:rFonts w:hint="eastAsia" w:ascii="Times New Roman"/>
                <w:snapToGrid w:val="0"/>
                <w:sz w:val="21"/>
                <w:szCs w:val="21"/>
                <w:highlight w:val="none"/>
              </w:rPr>
              <w:t>0（</w:t>
            </w:r>
            <w:r>
              <w:rPr>
                <w:rFonts w:hint="eastAsia" w:ascii="Times New Roman"/>
                <w:snapToGrid w:val="0"/>
                <w:sz w:val="21"/>
                <w:szCs w:val="21"/>
                <w:highlight w:val="none"/>
                <w:lang w:val="en-US" w:eastAsia="zh-CN"/>
              </w:rPr>
              <w:t>91</w:t>
            </w:r>
            <w:r>
              <w:rPr>
                <w:rFonts w:hint="eastAsia" w:ascii="Times New Roman"/>
                <w:snapToGrid w:val="0"/>
                <w:sz w:val="21"/>
                <w:szCs w:val="21"/>
                <w:highlight w:val="none"/>
              </w:rPr>
              <w:t>）</w:t>
            </w:r>
          </w:p>
        </w:tc>
        <w:tc>
          <w:tcPr>
            <w:tcW w:w="1352" w:type="dxa"/>
            <w:shd w:val="clear" w:color="auto" w:fill="auto"/>
            <w:vAlign w:val="center"/>
          </w:tcPr>
          <w:p w14:paraId="421A519D">
            <w:pPr>
              <w:pStyle w:val="65"/>
              <w:keepNext w:val="0"/>
              <w:keepLines w:val="0"/>
              <w:suppressLineNumbers w:val="0"/>
              <w:spacing w:before="0" w:beforeLines="0" w:beforeAutospacing="0" w:after="0" w:afterLines="0" w:afterAutospacing="0" w:line="288" w:lineRule="auto"/>
              <w:ind w:left="0" w:right="0"/>
              <w:rPr>
                <w:rFonts w:hint="eastAsia" w:ascii="Times New Roman" w:hAnsi="Times New Roman" w:eastAsia="宋体" w:cs="Times New Roman"/>
                <w:snapToGrid w:val="0"/>
                <w:kern w:val="0"/>
                <w:sz w:val="21"/>
                <w:szCs w:val="21"/>
                <w:highlight w:val="none"/>
                <w:lang w:val="en-US" w:eastAsia="zh-CN" w:bidi="ar-SA"/>
              </w:rPr>
            </w:pPr>
            <w:r>
              <w:rPr>
                <w:rFonts w:hint="eastAsia" w:ascii="Times New Roman"/>
                <w:snapToGrid w:val="0"/>
                <w:sz w:val="21"/>
                <w:szCs w:val="21"/>
                <w:highlight w:val="none"/>
              </w:rPr>
              <w:t>0（</w:t>
            </w:r>
            <w:r>
              <w:rPr>
                <w:rFonts w:hint="eastAsia" w:ascii="Times New Roman"/>
                <w:snapToGrid w:val="0"/>
                <w:sz w:val="21"/>
                <w:szCs w:val="21"/>
                <w:highlight w:val="none"/>
                <w:lang w:val="en-US" w:eastAsia="zh-CN"/>
              </w:rPr>
              <w:t>+91</w:t>
            </w:r>
            <w:r>
              <w:rPr>
                <w:rFonts w:hint="eastAsia" w:ascii="Times New Roman"/>
                <w:snapToGrid w:val="0"/>
                <w:sz w:val="21"/>
                <w:szCs w:val="21"/>
                <w:highlight w:val="none"/>
              </w:rPr>
              <w:t>）</w:t>
            </w:r>
          </w:p>
        </w:tc>
      </w:tr>
    </w:tbl>
    <w:p w14:paraId="776CC01B">
      <w:pPr>
        <w:pStyle w:val="65"/>
        <w:spacing w:before="192" w:beforeLines="80" w:after="24"/>
        <w:jc w:val="left"/>
        <w:rPr>
          <w:highlight w:val="none"/>
        </w:rPr>
      </w:pPr>
      <w:r>
        <w:rPr>
          <w:rFonts w:hint="eastAsia" w:ascii="Times New Roman" w:hAnsi="宋体"/>
          <w:snapToGrid w:val="0"/>
          <w:kern w:val="21"/>
          <w:szCs w:val="21"/>
          <w:highlight w:val="none"/>
        </w:rPr>
        <w:t>注：</w:t>
      </w:r>
      <w:r>
        <w:rPr>
          <w:rFonts w:ascii="Times New Roman"/>
          <w:snapToGrid w:val="0"/>
          <w:spacing w:val="-16"/>
          <w:kern w:val="21"/>
          <w:szCs w:val="21"/>
          <w:highlight w:val="none"/>
        </w:rPr>
        <w:fldChar w:fldCharType="begin"/>
      </w:r>
      <w:r>
        <w:rPr>
          <w:rFonts w:ascii="Times New Roman"/>
          <w:snapToGrid w:val="0"/>
          <w:spacing w:val="-16"/>
          <w:kern w:val="21"/>
          <w:szCs w:val="21"/>
          <w:highlight w:val="none"/>
        </w:rPr>
        <w:instrText xml:space="preserve"> = 6 \* GB3 \* MERGEFORMAT </w:instrText>
      </w:r>
      <w:r>
        <w:rPr>
          <w:rFonts w:ascii="Times New Roman"/>
          <w:snapToGrid w:val="0"/>
          <w:spacing w:val="-16"/>
          <w:kern w:val="21"/>
          <w:szCs w:val="21"/>
          <w:highlight w:val="none"/>
        </w:rPr>
        <w:fldChar w:fldCharType="separate"/>
      </w:r>
      <w:r>
        <w:rPr>
          <w:rFonts w:hint="eastAsia" w:ascii="Times New Roman" w:hAnsi="宋体"/>
          <w:szCs w:val="21"/>
          <w:highlight w:val="none"/>
        </w:rPr>
        <w:t>⑥</w:t>
      </w:r>
      <w:r>
        <w:rPr>
          <w:rFonts w:ascii="Times New Roman"/>
          <w:snapToGrid w:val="0"/>
          <w:spacing w:val="-16"/>
          <w:kern w:val="21"/>
          <w:szCs w:val="21"/>
          <w:highlight w:val="none"/>
        </w:rPr>
        <w:fldChar w:fldCharType="end"/>
      </w:r>
      <w:r>
        <w:rPr>
          <w:rFonts w:ascii="Times New Roman"/>
          <w:snapToGrid w:val="0"/>
          <w:spacing w:val="-16"/>
          <w:kern w:val="21"/>
          <w:szCs w:val="21"/>
          <w:highlight w:val="none"/>
        </w:rPr>
        <w:t>=</w:t>
      </w:r>
      <w:r>
        <w:rPr>
          <w:rFonts w:ascii="Times New Roman"/>
          <w:snapToGrid w:val="0"/>
          <w:spacing w:val="-6"/>
          <w:kern w:val="21"/>
          <w:szCs w:val="21"/>
          <w:highlight w:val="none"/>
        </w:rPr>
        <w:fldChar w:fldCharType="begin"/>
      </w:r>
      <w:r>
        <w:rPr>
          <w:rFonts w:ascii="Times New Roman"/>
          <w:snapToGrid w:val="0"/>
          <w:spacing w:val="-6"/>
          <w:kern w:val="21"/>
          <w:szCs w:val="21"/>
          <w:highlight w:val="none"/>
        </w:rPr>
        <w:instrText xml:space="preserve"> = 1 \* GB3 \* MERGEFORMAT </w:instrText>
      </w:r>
      <w:r>
        <w:rPr>
          <w:rFonts w:ascii="Times New Roman"/>
          <w:snapToGrid w:val="0"/>
          <w:spacing w:val="-6"/>
          <w:kern w:val="21"/>
          <w:szCs w:val="21"/>
          <w:highlight w:val="none"/>
        </w:rPr>
        <w:fldChar w:fldCharType="separate"/>
      </w:r>
      <w:r>
        <w:rPr>
          <w:rFonts w:hint="eastAsia" w:ascii="Times New Roman" w:hAnsi="宋体"/>
          <w:szCs w:val="21"/>
          <w:highlight w:val="none"/>
        </w:rPr>
        <w:t>①</w:t>
      </w:r>
      <w:r>
        <w:rPr>
          <w:rFonts w:ascii="Times New Roman"/>
          <w:snapToGrid w:val="0"/>
          <w:spacing w:val="-6"/>
          <w:kern w:val="21"/>
          <w:szCs w:val="21"/>
          <w:highlight w:val="none"/>
        </w:rPr>
        <w:fldChar w:fldCharType="end"/>
      </w:r>
      <w:r>
        <w:rPr>
          <w:rFonts w:ascii="Times New Roman"/>
          <w:snapToGrid w:val="0"/>
          <w:spacing w:val="-6"/>
          <w:kern w:val="21"/>
          <w:szCs w:val="21"/>
          <w:highlight w:val="none"/>
        </w:rPr>
        <w:t>+</w:t>
      </w:r>
      <w:r>
        <w:rPr>
          <w:rFonts w:ascii="Times New Roman"/>
          <w:snapToGrid w:val="0"/>
          <w:spacing w:val="-6"/>
          <w:kern w:val="21"/>
          <w:szCs w:val="21"/>
          <w:highlight w:val="none"/>
        </w:rPr>
        <w:fldChar w:fldCharType="begin"/>
      </w:r>
      <w:r>
        <w:rPr>
          <w:rFonts w:ascii="Times New Roman"/>
          <w:snapToGrid w:val="0"/>
          <w:spacing w:val="-6"/>
          <w:kern w:val="21"/>
          <w:szCs w:val="21"/>
          <w:highlight w:val="none"/>
        </w:rPr>
        <w:instrText xml:space="preserve"> = 3 \* GB3 \* MERGEFORMAT </w:instrText>
      </w:r>
      <w:r>
        <w:rPr>
          <w:rFonts w:ascii="Times New Roman"/>
          <w:snapToGrid w:val="0"/>
          <w:spacing w:val="-6"/>
          <w:kern w:val="21"/>
          <w:szCs w:val="21"/>
          <w:highlight w:val="none"/>
        </w:rPr>
        <w:fldChar w:fldCharType="separate"/>
      </w:r>
      <w:r>
        <w:rPr>
          <w:rFonts w:hint="eastAsia" w:ascii="Times New Roman" w:hAnsi="宋体"/>
          <w:szCs w:val="21"/>
          <w:highlight w:val="none"/>
        </w:rPr>
        <w:t>③</w:t>
      </w:r>
      <w:r>
        <w:rPr>
          <w:rFonts w:ascii="Times New Roman"/>
          <w:snapToGrid w:val="0"/>
          <w:spacing w:val="-6"/>
          <w:kern w:val="21"/>
          <w:szCs w:val="21"/>
          <w:highlight w:val="none"/>
        </w:rPr>
        <w:fldChar w:fldCharType="end"/>
      </w:r>
      <w:r>
        <w:rPr>
          <w:rFonts w:ascii="Times New Roman"/>
          <w:snapToGrid w:val="0"/>
          <w:spacing w:val="-6"/>
          <w:kern w:val="21"/>
          <w:szCs w:val="21"/>
          <w:highlight w:val="none"/>
        </w:rPr>
        <w:t>+</w:t>
      </w:r>
      <w:r>
        <w:rPr>
          <w:rFonts w:ascii="Times New Roman"/>
          <w:snapToGrid w:val="0"/>
          <w:spacing w:val="-6"/>
          <w:kern w:val="21"/>
          <w:szCs w:val="21"/>
          <w:highlight w:val="none"/>
        </w:rPr>
        <w:fldChar w:fldCharType="begin"/>
      </w:r>
      <w:r>
        <w:rPr>
          <w:rFonts w:ascii="Times New Roman"/>
          <w:snapToGrid w:val="0"/>
          <w:spacing w:val="-6"/>
          <w:kern w:val="21"/>
          <w:szCs w:val="21"/>
          <w:highlight w:val="none"/>
        </w:rPr>
        <w:instrText xml:space="preserve"> = 4 \* GB3 \* MERGEFORMAT </w:instrText>
      </w:r>
      <w:r>
        <w:rPr>
          <w:rFonts w:ascii="Times New Roman"/>
          <w:snapToGrid w:val="0"/>
          <w:spacing w:val="-6"/>
          <w:kern w:val="21"/>
          <w:szCs w:val="21"/>
          <w:highlight w:val="none"/>
        </w:rPr>
        <w:fldChar w:fldCharType="separate"/>
      </w:r>
      <w:r>
        <w:rPr>
          <w:rFonts w:hint="eastAsia" w:ascii="Times New Roman" w:hAnsi="宋体"/>
          <w:szCs w:val="21"/>
          <w:highlight w:val="none"/>
        </w:rPr>
        <w:t>④</w:t>
      </w:r>
      <w:r>
        <w:rPr>
          <w:rFonts w:ascii="Times New Roman"/>
          <w:snapToGrid w:val="0"/>
          <w:spacing w:val="-6"/>
          <w:kern w:val="21"/>
          <w:szCs w:val="21"/>
          <w:highlight w:val="none"/>
        </w:rPr>
        <w:fldChar w:fldCharType="end"/>
      </w:r>
      <w:r>
        <w:rPr>
          <w:rFonts w:ascii="Times New Roman"/>
          <w:snapToGrid w:val="0"/>
          <w:spacing w:val="-6"/>
          <w:kern w:val="21"/>
          <w:szCs w:val="21"/>
          <w:highlight w:val="none"/>
        </w:rPr>
        <w:t>-</w:t>
      </w:r>
      <w:r>
        <w:rPr>
          <w:rFonts w:ascii="Times New Roman"/>
          <w:snapToGrid w:val="0"/>
          <w:spacing w:val="-16"/>
          <w:kern w:val="21"/>
          <w:szCs w:val="21"/>
          <w:highlight w:val="none"/>
        </w:rPr>
        <w:fldChar w:fldCharType="begin"/>
      </w:r>
      <w:r>
        <w:rPr>
          <w:rFonts w:ascii="Times New Roman"/>
          <w:snapToGrid w:val="0"/>
          <w:spacing w:val="-16"/>
          <w:kern w:val="21"/>
          <w:szCs w:val="21"/>
          <w:highlight w:val="none"/>
        </w:rPr>
        <w:instrText xml:space="preserve"> = 5 \* GB3 \* MERGEFORMAT </w:instrText>
      </w:r>
      <w:r>
        <w:rPr>
          <w:rFonts w:ascii="Times New Roman"/>
          <w:snapToGrid w:val="0"/>
          <w:spacing w:val="-16"/>
          <w:kern w:val="21"/>
          <w:szCs w:val="21"/>
          <w:highlight w:val="none"/>
        </w:rPr>
        <w:fldChar w:fldCharType="separate"/>
      </w:r>
      <w:r>
        <w:rPr>
          <w:rFonts w:hint="eastAsia" w:ascii="Times New Roman" w:hAnsi="宋体"/>
          <w:szCs w:val="21"/>
          <w:highlight w:val="none"/>
        </w:rPr>
        <w:t>⑤</w:t>
      </w:r>
      <w:r>
        <w:rPr>
          <w:rFonts w:ascii="Times New Roman"/>
          <w:snapToGrid w:val="0"/>
          <w:spacing w:val="-16"/>
          <w:kern w:val="21"/>
          <w:szCs w:val="21"/>
          <w:highlight w:val="none"/>
        </w:rPr>
        <w:fldChar w:fldCharType="end"/>
      </w:r>
      <w:r>
        <w:rPr>
          <w:rFonts w:hint="eastAsia" w:ascii="Times New Roman" w:hAnsi="宋体"/>
          <w:snapToGrid w:val="0"/>
          <w:spacing w:val="-16"/>
          <w:kern w:val="21"/>
          <w:szCs w:val="21"/>
          <w:highlight w:val="none"/>
        </w:rPr>
        <w:t>；</w:t>
      </w:r>
      <w:r>
        <w:rPr>
          <w:rFonts w:ascii="Times New Roman"/>
          <w:snapToGrid w:val="0"/>
          <w:spacing w:val="-6"/>
          <w:kern w:val="21"/>
          <w:szCs w:val="21"/>
          <w:highlight w:val="none"/>
        </w:rPr>
        <w:fldChar w:fldCharType="begin"/>
      </w:r>
      <w:r>
        <w:rPr>
          <w:rFonts w:ascii="Times New Roman"/>
          <w:snapToGrid w:val="0"/>
          <w:spacing w:val="-6"/>
          <w:kern w:val="21"/>
          <w:szCs w:val="21"/>
          <w:highlight w:val="none"/>
        </w:rPr>
        <w:instrText xml:space="preserve"> = 7 \* GB3 \* MERGEFORMAT </w:instrText>
      </w:r>
      <w:r>
        <w:rPr>
          <w:rFonts w:ascii="Times New Roman"/>
          <w:snapToGrid w:val="0"/>
          <w:spacing w:val="-6"/>
          <w:kern w:val="21"/>
          <w:szCs w:val="21"/>
          <w:highlight w:val="none"/>
        </w:rPr>
        <w:fldChar w:fldCharType="separate"/>
      </w:r>
      <w:r>
        <w:rPr>
          <w:rFonts w:hint="eastAsia" w:ascii="Times New Roman" w:hAnsi="宋体"/>
          <w:szCs w:val="21"/>
          <w:highlight w:val="none"/>
        </w:rPr>
        <w:t>⑦</w:t>
      </w:r>
      <w:r>
        <w:rPr>
          <w:rFonts w:ascii="Times New Roman"/>
          <w:snapToGrid w:val="0"/>
          <w:spacing w:val="-6"/>
          <w:kern w:val="21"/>
          <w:szCs w:val="21"/>
          <w:highlight w:val="none"/>
        </w:rPr>
        <w:fldChar w:fldCharType="end"/>
      </w:r>
      <w:r>
        <w:rPr>
          <w:rFonts w:ascii="Times New Roman"/>
          <w:snapToGrid w:val="0"/>
          <w:spacing w:val="-6"/>
          <w:kern w:val="21"/>
          <w:szCs w:val="21"/>
          <w:highlight w:val="none"/>
        </w:rPr>
        <w:t>=</w:t>
      </w:r>
      <w:r>
        <w:rPr>
          <w:rFonts w:ascii="Times New Roman"/>
          <w:snapToGrid w:val="0"/>
          <w:spacing w:val="-16"/>
          <w:kern w:val="21"/>
          <w:szCs w:val="21"/>
          <w:highlight w:val="none"/>
        </w:rPr>
        <w:fldChar w:fldCharType="begin"/>
      </w:r>
      <w:r>
        <w:rPr>
          <w:rFonts w:ascii="Times New Roman"/>
          <w:snapToGrid w:val="0"/>
          <w:spacing w:val="-16"/>
          <w:kern w:val="21"/>
          <w:szCs w:val="21"/>
          <w:highlight w:val="none"/>
        </w:rPr>
        <w:instrText xml:space="preserve"> = 6 \* GB3 \* MERGEFORMAT </w:instrText>
      </w:r>
      <w:r>
        <w:rPr>
          <w:rFonts w:ascii="Times New Roman"/>
          <w:snapToGrid w:val="0"/>
          <w:spacing w:val="-16"/>
          <w:kern w:val="21"/>
          <w:szCs w:val="21"/>
          <w:highlight w:val="none"/>
        </w:rPr>
        <w:fldChar w:fldCharType="separate"/>
      </w:r>
      <w:r>
        <w:rPr>
          <w:rFonts w:hint="eastAsia" w:ascii="Times New Roman" w:hAnsi="宋体"/>
          <w:szCs w:val="21"/>
          <w:highlight w:val="none"/>
        </w:rPr>
        <w:t>⑥</w:t>
      </w:r>
      <w:r>
        <w:rPr>
          <w:rFonts w:ascii="Times New Roman"/>
          <w:snapToGrid w:val="0"/>
          <w:spacing w:val="-16"/>
          <w:kern w:val="21"/>
          <w:szCs w:val="21"/>
          <w:highlight w:val="none"/>
        </w:rPr>
        <w:fldChar w:fldCharType="end"/>
      </w:r>
      <w:r>
        <w:rPr>
          <w:rFonts w:ascii="Times New Roman"/>
          <w:snapToGrid w:val="0"/>
          <w:spacing w:val="-16"/>
          <w:kern w:val="21"/>
          <w:szCs w:val="21"/>
          <w:highlight w:val="none"/>
        </w:rPr>
        <w:t>-</w:t>
      </w:r>
      <w:r>
        <w:rPr>
          <w:rFonts w:ascii="Times New Roman"/>
          <w:snapToGrid w:val="0"/>
          <w:spacing w:val="-6"/>
          <w:kern w:val="21"/>
          <w:szCs w:val="21"/>
          <w:highlight w:val="none"/>
        </w:rPr>
        <w:fldChar w:fldCharType="begin"/>
      </w:r>
      <w:r>
        <w:rPr>
          <w:rFonts w:ascii="Times New Roman"/>
          <w:snapToGrid w:val="0"/>
          <w:spacing w:val="-6"/>
          <w:kern w:val="21"/>
          <w:szCs w:val="21"/>
          <w:highlight w:val="none"/>
        </w:rPr>
        <w:instrText xml:space="preserve"> = 1 \* GB3 \* MERGEFORMAT </w:instrText>
      </w:r>
      <w:r>
        <w:rPr>
          <w:rFonts w:ascii="Times New Roman"/>
          <w:snapToGrid w:val="0"/>
          <w:spacing w:val="-6"/>
          <w:kern w:val="21"/>
          <w:szCs w:val="21"/>
          <w:highlight w:val="none"/>
        </w:rPr>
        <w:fldChar w:fldCharType="separate"/>
      </w:r>
      <w:r>
        <w:rPr>
          <w:rFonts w:hint="eastAsia" w:ascii="Times New Roman" w:hAnsi="宋体"/>
          <w:szCs w:val="21"/>
          <w:highlight w:val="none"/>
        </w:rPr>
        <w:t>①</w:t>
      </w:r>
      <w:r>
        <w:rPr>
          <w:rFonts w:ascii="Times New Roman"/>
          <w:snapToGrid w:val="0"/>
          <w:spacing w:val="-6"/>
          <w:kern w:val="21"/>
          <w:szCs w:val="21"/>
          <w:highlight w:val="none"/>
        </w:rPr>
        <w:fldChar w:fldCharType="end"/>
      </w:r>
    </w:p>
    <w:sectPr>
      <w:footerReference r:id="rId7" w:type="default"/>
      <w:pgSz w:w="16838" w:h="11906" w:orient="landscape"/>
      <w:pgMar w:top="1531" w:right="1701" w:bottom="1531" w:left="1701" w:header="851" w:footer="851" w:gutter="0"/>
      <w:pgBorders>
        <w:top w:val="none" w:sz="0" w:space="0"/>
        <w:left w:val="none" w:sz="0" w:space="0"/>
        <w:bottom w:val="none" w:sz="0" w:space="0"/>
        <w:right w:val="none" w:sz="0" w:space="0"/>
      </w:pgBorders>
      <w:pgNumType w:fmt="decimal"/>
      <w:cols w:space="720" w:num="1"/>
      <w:docGrid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BA"/>
    <w:family w:val="roman"/>
    <w:pitch w:val="default"/>
    <w:sig w:usb0="E0002EFF" w:usb1="C000785B" w:usb2="00000009" w:usb3="00000000" w:csb0="400001FF" w:csb1="FFFF0000"/>
  </w:font>
  <w:font w:name="宋体">
    <w:panose1 w:val="02010600030101010101"/>
    <w:charset w:val="88"/>
    <w:family w:val="modern"/>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Cambria">
    <w:panose1 w:val="02040503050406030204"/>
    <w:charset w:val="00"/>
    <w:family w:val="roman"/>
    <w:pitch w:val="default"/>
    <w:sig w:usb0="E00006FF" w:usb1="420024FF" w:usb2="02000000" w:usb3="00000000" w:csb0="2000019F" w:csb1="00000000"/>
  </w:font>
  <w:font w:name="楷体">
    <w:panose1 w:val="02010609060101010101"/>
    <w:charset w:val="86"/>
    <w:family w:val="modern"/>
    <w:pitch w:val="default"/>
    <w:sig w:usb0="800002BF" w:usb1="38CF7CFA" w:usb2="00000016" w:usb3="00000000" w:csb0="00040001" w:csb1="00000000"/>
  </w:font>
  <w:font w:name="仿宋_GB2312">
    <w:altName w:val="仿宋"/>
    <w:panose1 w:val="02010609030101010101"/>
    <w:charset w:val="86"/>
    <w:family w:val="auto"/>
    <w:pitch w:val="default"/>
    <w:sig w:usb0="00000000" w:usb1="00000000" w:usb2="00000000" w:usb3="00000000" w:csb0="00040000" w:csb1="00000000"/>
  </w:font>
  <w:font w:name="仿宋">
    <w:panose1 w:val="02010609060101010101"/>
    <w:charset w:val="86"/>
    <w:family w:val="auto"/>
    <w:pitch w:val="default"/>
    <w:sig w:usb0="800002BF" w:usb1="38CF7CFA" w:usb2="00000016" w:usb3="00000000" w:csb0="00040001" w:csb1="00000000"/>
  </w:font>
  <w:font w:name="等线">
    <w:panose1 w:val="02010600030101010101"/>
    <w:charset w:val="86"/>
    <w:family w:val="auto"/>
    <w:pitch w:val="default"/>
    <w:sig w:usb0="A00002BF" w:usb1="38CF7CFA" w:usb2="00000016" w:usb3="00000000" w:csb0="0004000F" w:csb1="00000000"/>
  </w:font>
  <w:font w:name="MS Mincho">
    <w:altName w:val="Yu Gothic UI"/>
    <w:panose1 w:val="02020609040205080304"/>
    <w:charset w:val="80"/>
    <w:family w:val="modern"/>
    <w:pitch w:val="default"/>
    <w:sig w:usb0="00000000" w:usb1="00000000" w:usb2="00000012" w:usb3="00000000" w:csb0="4002009F" w:csb1="DFD70000"/>
  </w:font>
  <w:font w:name="Yu Gothic UI">
    <w:panose1 w:val="020B0500000000000000"/>
    <w:charset w:val="80"/>
    <w:family w:val="auto"/>
    <w:pitch w:val="default"/>
    <w:sig w:usb0="E00002FF" w:usb1="2AC7FDFF" w:usb2="00000016" w:usb3="00000000" w:csb0="2002009F" w:csb1="00000000"/>
  </w:font>
  <w:font w:name="微软雅黑">
    <w:panose1 w:val="020B0503020204020204"/>
    <w:charset w:val="86"/>
    <w:family w:val="auto"/>
    <w:pitch w:val="default"/>
    <w:sig w:usb0="80000287" w:usb1="2ACF3C50" w:usb2="00000016" w:usb3="00000000" w:csb0="0004001F" w:csb1="00000000"/>
  </w:font>
  <w:font w:name="隶书">
    <w:panose1 w:val="02010509060101010101"/>
    <w:charset w:val="86"/>
    <w:family w:val="modern"/>
    <w:pitch w:val="default"/>
    <w:sig w:usb0="00000001" w:usb1="080E0000" w:usb2="00000000" w:usb3="00000000" w:csb0="00040000" w:csb1="00000000"/>
  </w:font>
  <w:font w:name="TimesNewRomanPS-BoldMT">
    <w:altName w:val="Times New Roman"/>
    <w:panose1 w:val="00000000000000000000"/>
    <w:charset w:val="00"/>
    <w:family w:val="roman"/>
    <w:pitch w:val="default"/>
    <w:sig w:usb0="00000000" w:usb1="00000000" w:usb2="00000000" w:usb3="00000000" w:csb0="00040001" w:csb1="00000000"/>
  </w:font>
  <w:font w:name="t">
    <w:altName w:val="Times New Roman"/>
    <w:panose1 w:val="00000000000000000000"/>
    <w:charset w:val="00"/>
    <w:family w:val="roman"/>
    <w:pitch w:val="default"/>
    <w:sig w:usb0="00000000" w:usb1="00000000" w:usb2="00000000" w:usb3="00000000" w:csb0="00000001" w:csb1="00000000"/>
  </w:font>
  <w:font w:name="Wingdings 2">
    <w:panose1 w:val="05020102010507070707"/>
    <w:charset w:val="02"/>
    <w:family w:val="roman"/>
    <w:pitch w:val="default"/>
    <w:sig w:usb0="00000000" w:usb1="00000000" w:usb2="00000000" w:usb3="00000000" w:csb0="8000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7F2655F">
    <w:pPr>
      <w:pStyle w:val="20"/>
      <w:jc w:val="cente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6DE3074">
    <w:pPr>
      <w:pStyle w:val="20"/>
      <w:jc w:val="center"/>
    </w:pPr>
    <w:r>
      <w:rPr>
        <w:sz w:val="18"/>
      </w:rPr>
      <mc:AlternateContent>
        <mc:Choice Requires="wps">
          <w:drawing>
            <wp:anchor distT="0" distB="0" distL="114300" distR="114300" simplePos="0" relativeHeight="251660288" behindDoc="0" locked="0" layoutInCell="1" allowOverlap="1">
              <wp:simplePos x="0" y="0"/>
              <wp:positionH relativeFrom="margin">
                <wp:align>center</wp:align>
              </wp:positionH>
              <wp:positionV relativeFrom="paragraph">
                <wp:posOffset>0</wp:posOffset>
              </wp:positionV>
              <wp:extent cx="1828800" cy="1828800"/>
              <wp:effectExtent l="0" t="0" r="0" b="0"/>
              <wp:wrapNone/>
              <wp:docPr id="19" name="文本框 19"/>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62EA81AC">
                          <w:pPr>
                            <w:pStyle w:val="20"/>
                          </w:pPr>
                          <w:r>
                            <w:fldChar w:fldCharType="begin"/>
                          </w:r>
                          <w:r>
                            <w:instrText xml:space="preserve"> PAGE  \* MERGEFORMAT </w:instrText>
                          </w:r>
                          <w:r>
                            <w:fldChar w:fldCharType="separate"/>
                          </w:r>
                          <w:r>
                            <w:t>1</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0288;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">
              <v:fill on="f" focussize="0,0"/>
              <v:stroke on="f" weight="0.5pt"/>
              <v:imagedata o:title=""/>
              <o:lock v:ext="edit" aspectratio="f"/>
              <v:textbox inset="0mm,0mm,0mm,0mm" style="mso-fit-shape-to-text:t;">
                <w:txbxContent>
                  <w:p w14:paraId="62EA81AC">
                    <w:pPr>
                      <w:pStyle w:val="20"/>
                    </w:pPr>
                    <w:r>
                      <w:fldChar w:fldCharType="begin"/>
                    </w:r>
                    <w:r>
                      <w:instrText xml:space="preserve"> PAGE  \* MERGEFORMAT </w:instrText>
                    </w:r>
                    <w:r>
                      <w:fldChar w:fldCharType="separate"/>
                    </w:r>
                    <w:r>
                      <w:t>1</w:t>
                    </w:r>
                    <w:r>
                      <w:fldChar w:fldCharType="end"/>
                    </w:r>
                  </w:p>
                </w:txbxContent>
              </v:textbox>
            </v:shape>
          </w:pict>
        </mc:Fallback>
      </mc:AlternateContent>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5680953">
    <w:pPr>
      <w:pStyle w:val="20"/>
      <w:jc w:val="center"/>
    </w:pPr>
    <w:r>
      <w:rPr>
        <w:sz w:val="18"/>
      </w:rPr>
      <mc:AlternateContent>
        <mc:Choice Requires="wps">
          <w:drawing>
            <wp:anchor distT="0" distB="0" distL="114300" distR="114300" simplePos="0" relativeHeight="251664384" behindDoc="0" locked="0" layoutInCell="1" allowOverlap="1">
              <wp:simplePos x="0" y="0"/>
              <wp:positionH relativeFrom="margin">
                <wp:align>center</wp:align>
              </wp:positionH>
              <wp:positionV relativeFrom="paragraph">
                <wp:posOffset>0</wp:posOffset>
              </wp:positionV>
              <wp:extent cx="1828800" cy="1828800"/>
              <wp:effectExtent l="0" t="0" r="0" b="0"/>
              <wp:wrapNone/>
              <wp:docPr id="21" name="文本框 2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05FA3625">
                          <w:pPr>
                            <w:pStyle w:val="20"/>
                          </w:pPr>
                          <w:r>
                            <w:fldChar w:fldCharType="begin"/>
                          </w:r>
                          <w:r>
                            <w:instrText xml:space="preserve"> PAGE  \* MERGEFORMAT </w:instrText>
                          </w:r>
                          <w:r>
                            <w:fldChar w:fldCharType="separate"/>
                          </w:r>
                          <w:r>
                            <w:t>1</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438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">
              <v:fill on="f" focussize="0,0"/>
              <v:stroke on="f" weight="0.5pt"/>
              <v:imagedata o:title=""/>
              <o:lock v:ext="edit" aspectratio="f"/>
              <v:textbox inset="0mm,0mm,0mm,0mm" style="mso-fit-shape-to-text:t;">
                <w:txbxContent>
                  <w:p w14:paraId="05FA3625">
                    <w:pPr>
                      <w:pStyle w:val="20"/>
                    </w:pPr>
                    <w:r>
                      <w:fldChar w:fldCharType="begin"/>
                    </w:r>
                    <w:r>
                      <w:instrText xml:space="preserve"> PAGE  \* MERGEFORMAT </w:instrText>
                    </w:r>
                    <w:r>
                      <w:fldChar w:fldCharType="separate"/>
                    </w:r>
                    <w:r>
                      <w:t>1</w:t>
                    </w:r>
                    <w:r>
                      <w:fldChar w:fldCharType="end"/>
                    </w:r>
                  </w:p>
                </w:txbxContent>
              </v:textbox>
            </v:shape>
          </w:pict>
        </mc:Fallback>
      </mc:AlternateContent>
    </w: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D2CA5A1">
    <w:pPr>
      <w:pStyle w:val="20"/>
      <w:jc w:val="center"/>
    </w:pPr>
    <w: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2" name="文本框 2"/>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txbx>
                      <w:txbxContent>
                        <w:p w14:paraId="01AB8D27">
                          <w:pPr>
                            <w:pStyle w:val="20"/>
                            <w:jc w:val="center"/>
                          </w:pPr>
                          <w:r>
                            <w:fldChar w:fldCharType="begin"/>
                          </w:r>
                          <w:r>
                            <w:instrText xml:space="preserve"> PAGE   \* MERGEFORMAT </w:instrText>
                          </w:r>
                          <w:r>
                            <w:fldChar w:fldCharType="separate"/>
                          </w:r>
                          <w:r>
                            <w:t>8</w:t>
                          </w:r>
                          <w:r>
                            <w:fldChar w:fldCharType="end"/>
                          </w:r>
                        </w:p>
                      </w:txbxContent>
                    </wps:txbx>
                    <wps:bodyPr wrap="none" lIns="0" tIns="0" rIns="0" bIns="0" upright="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">
              <v:fill on="f" focussize="0,0"/>
              <v:stroke on="f" weight="0.5pt"/>
              <v:imagedata o:title=""/>
              <o:lock v:ext="edit" aspectratio="f"/>
              <v:textbox inset="0mm,0mm,0mm,0mm" style="mso-fit-shape-to-text:t;">
                <w:txbxContent>
                  <w:p w14:paraId="01AB8D27">
                    <w:pPr>
                      <w:pStyle w:val="20"/>
                      <w:jc w:val="center"/>
                    </w:pPr>
                    <w:r>
                      <w:fldChar w:fldCharType="begin"/>
                    </w:r>
                    <w:r>
                      <w:instrText xml:space="preserve"> PAGE   \* MERGEFORMAT </w:instrText>
                    </w:r>
                    <w:r>
                      <w:fldChar w:fldCharType="separate"/>
                    </w:r>
                    <w:r>
                      <w:t>8</w:t>
                    </w:r>
                    <w:r>
                      <w:fldChar w:fldCharType="end"/>
                    </w:r>
                  </w:p>
                </w:txbxContent>
              </v:textbox>
            </v:shape>
          </w:pict>
        </mc:Fallback>
      </mc:AlternateContent>
    </w: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9489425">
    <w:pPr>
      <w:pStyle w:val="20"/>
      <w:jc w:val="center"/>
    </w:pPr>
    <w:r>
      <w:rPr>
        <w:sz w:val="18"/>
      </w:rPr>
      <mc:AlternateContent>
        <mc:Choice Requires="wps">
          <w:drawing>
            <wp:anchor distT="0" distB="0" distL="114300" distR="114300" simplePos="0" relativeHeight="251661312" behindDoc="0" locked="0" layoutInCell="1" allowOverlap="1">
              <wp:simplePos x="0" y="0"/>
              <wp:positionH relativeFrom="margin">
                <wp:align>center</wp:align>
              </wp:positionH>
              <wp:positionV relativeFrom="paragraph">
                <wp:posOffset>0</wp:posOffset>
              </wp:positionV>
              <wp:extent cx="1828800" cy="1828800"/>
              <wp:effectExtent l="0" t="0" r="0" b="0"/>
              <wp:wrapNone/>
              <wp:docPr id="20" name="文本框 20"/>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74BC1D96">
                          <w:pPr>
                            <w:pStyle w:val="20"/>
                          </w:pPr>
                          <w:r>
                            <w:fldChar w:fldCharType="begin"/>
                          </w:r>
                          <w:r>
                            <w:instrText xml:space="preserve"> PAGE  \* MERGEFORMAT </w:instrText>
                          </w:r>
                          <w:r>
                            <w:fldChar w:fldCharType="separate"/>
                          </w:r>
                          <w:r>
                            <w:t>118</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1312;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">
              <v:fill on="f" focussize="0,0"/>
              <v:stroke on="f" weight="0.5pt"/>
              <v:imagedata o:title=""/>
              <o:lock v:ext="edit" aspectratio="f"/>
              <v:textbox inset="0mm,0mm,0mm,0mm" style="mso-fit-shape-to-text:t;">
                <w:txbxContent>
                  <w:p w14:paraId="74BC1D96">
                    <w:pPr>
                      <w:pStyle w:val="20"/>
                    </w:pPr>
                    <w:r>
                      <w:fldChar w:fldCharType="begin"/>
                    </w:r>
                    <w:r>
                      <w:instrText xml:space="preserve"> PAGE  \* MERGEFORMAT </w:instrText>
                    </w:r>
                    <w:r>
                      <w:fldChar w:fldCharType="separate"/>
                    </w:r>
                    <w:r>
                      <w:t>118</w:t>
                    </w:r>
                    <w:r>
                      <w:fldChar w:fldCharType="end"/>
                    </w:r>
                  </w:p>
                </w:txbxContent>
              </v:textbox>
            </v:shape>
          </w:pict>
        </mc:Fallback>
      </mc:AlternateContent>
    </w: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9061DCD2"/>
    <w:multiLevelType w:val="singleLevel"/>
    <w:tmpl w:val="9061DCD2"/>
    <w:lvl w:ilvl="0" w:tentative="0">
      <w:start w:val="1"/>
      <w:numFmt w:val="lowerLetter"/>
      <w:suff w:val="nothing"/>
      <w:lvlText w:val="%1、"/>
      <w:lvlJc w:val="left"/>
      <w:rPr>
        <w:rFonts w:hint="default" w:ascii="Times New Roman" w:hAnsi="Times New Roman" w:cs="Times New Roman"/>
      </w:rPr>
    </w:lvl>
  </w:abstractNum>
  <w:abstractNum w:abstractNumId="1">
    <w:nsid w:val="962C60BB"/>
    <w:multiLevelType w:val="singleLevel"/>
    <w:tmpl w:val="962C60BB"/>
    <w:lvl w:ilvl="0" w:tentative="0">
      <w:start w:val="1"/>
      <w:numFmt w:val="decimal"/>
      <w:suff w:val="nothing"/>
      <w:lvlText w:val="%1、"/>
      <w:lvlJc w:val="left"/>
      <w:rPr>
        <w:rFonts w:cs="Times New Roman"/>
      </w:rPr>
    </w:lvl>
  </w:abstractNum>
  <w:abstractNum w:abstractNumId="2">
    <w:nsid w:val="96BC86CC"/>
    <w:multiLevelType w:val="singleLevel"/>
    <w:tmpl w:val="96BC86CC"/>
    <w:lvl w:ilvl="0" w:tentative="0">
      <w:start w:val="1"/>
      <w:numFmt w:val="decimal"/>
      <w:suff w:val="nothing"/>
      <w:lvlText w:val="%1、"/>
      <w:lvlJc w:val="left"/>
    </w:lvl>
  </w:abstractNum>
  <w:abstractNum w:abstractNumId="3">
    <w:nsid w:val="EDBCD36E"/>
    <w:multiLevelType w:val="singleLevel"/>
    <w:tmpl w:val="EDBCD36E"/>
    <w:lvl w:ilvl="0" w:tentative="0">
      <w:start w:val="1"/>
      <w:numFmt w:val="decimal"/>
      <w:suff w:val="nothing"/>
      <w:lvlText w:val="%1、"/>
      <w:lvlJc w:val="left"/>
      <w:rPr>
        <w:rFonts w:cs="Times New Roman"/>
      </w:rPr>
    </w:lvl>
  </w:abstractNum>
  <w:abstractNum w:abstractNumId="4">
    <w:nsid w:val="F7E9542B"/>
    <w:multiLevelType w:val="singleLevel"/>
    <w:tmpl w:val="F7E9542B"/>
    <w:lvl w:ilvl="0" w:tentative="0">
      <w:start w:val="2"/>
      <w:numFmt w:val="decimal"/>
      <w:suff w:val="nothing"/>
      <w:lvlText w:val="（%1）"/>
      <w:lvlJc w:val="left"/>
    </w:lvl>
  </w:abstractNum>
  <w:abstractNum w:abstractNumId="5">
    <w:nsid w:val="12D2DC9C"/>
    <w:multiLevelType w:val="singleLevel"/>
    <w:tmpl w:val="12D2DC9C"/>
    <w:lvl w:ilvl="0" w:tentative="0">
      <w:start w:val="9"/>
      <w:numFmt w:val="decimal"/>
      <w:suff w:val="nothing"/>
      <w:lvlText w:val="%1、"/>
      <w:lvlJc w:val="left"/>
      <w:rPr>
        <w:rFonts w:cs="Times New Roman"/>
      </w:rPr>
    </w:lvl>
  </w:abstractNum>
  <w:abstractNum w:abstractNumId="6">
    <w:nsid w:val="4759FFF5"/>
    <w:multiLevelType w:val="singleLevel"/>
    <w:tmpl w:val="4759FFF5"/>
    <w:lvl w:ilvl="0" w:tentative="0">
      <w:start w:val="6"/>
      <w:numFmt w:val="decimal"/>
      <w:suff w:val="nothing"/>
      <w:lvlText w:val="（%1）"/>
      <w:lvlJc w:val="left"/>
    </w:lvl>
  </w:abstractNum>
  <w:abstractNum w:abstractNumId="7">
    <w:nsid w:val="4A809AF3"/>
    <w:multiLevelType w:val="singleLevel"/>
    <w:tmpl w:val="4A809AF3"/>
    <w:lvl w:ilvl="0" w:tentative="0">
      <w:start w:val="3"/>
      <w:numFmt w:val="decimal"/>
      <w:suff w:val="nothing"/>
      <w:lvlText w:val="%1）"/>
      <w:lvlJc w:val="left"/>
    </w:lvl>
  </w:abstractNum>
  <w:abstractNum w:abstractNumId="8">
    <w:nsid w:val="551AD1E7"/>
    <w:multiLevelType w:val="singleLevel"/>
    <w:tmpl w:val="551AD1E7"/>
    <w:lvl w:ilvl="0" w:tentative="0">
      <w:start w:val="1"/>
      <w:numFmt w:val="decimal"/>
      <w:suff w:val="nothing"/>
      <w:lvlText w:val="%1、"/>
      <w:lvlJc w:val="left"/>
    </w:lvl>
  </w:abstractNum>
  <w:abstractNum w:abstractNumId="9">
    <w:nsid w:val="582D4459"/>
    <w:multiLevelType w:val="singleLevel"/>
    <w:tmpl w:val="582D4459"/>
    <w:lvl w:ilvl="0" w:tentative="0">
      <w:start w:val="5"/>
      <w:numFmt w:val="decimal"/>
      <w:suff w:val="nothing"/>
      <w:lvlText w:val="（%1）"/>
      <w:lvlJc w:val="left"/>
    </w:lvl>
  </w:abstractNum>
  <w:num w:numId="1">
    <w:abstractNumId w:val="3"/>
  </w:num>
  <w:num w:numId="2">
    <w:abstractNumId w:val="9"/>
  </w:num>
  <w:num w:numId="3">
    <w:abstractNumId w:val="5"/>
  </w:num>
  <w:num w:numId="4">
    <w:abstractNumId w:val="7"/>
  </w:num>
  <w:num w:numId="5">
    <w:abstractNumId w:val="1"/>
  </w:num>
  <w:num w:numId="6">
    <w:abstractNumId w:val="8"/>
  </w:num>
  <w:num w:numId="7">
    <w:abstractNumId w:val="0"/>
  </w:num>
  <w:num w:numId="8">
    <w:abstractNumId w:val="2"/>
  </w:num>
  <w:num w:numId="9">
    <w:abstractNumId w:val="6"/>
  </w:num>
  <w:num w:numId="10">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0"/>
  <w:bordersDoNotSurroundHeader w:val="0"/>
  <w:bordersDoNotSurroundFooter w:val="0"/>
  <w:hideSpellingErrors/>
  <w:documentProtection w:edit="trackedChanges" w:enforcement="0"/>
  <w:defaultTabStop w:val="420"/>
  <w:doNotHyphenateCaps/>
  <w:drawingGridHorizontalSpacing w:val="105"/>
  <w:drawingGridVerticalSpacing w:val="156"/>
  <w:displayHorizontalDrawingGridEvery w:val="1"/>
  <w:displayVerticalDrawingGridEvery w:val="1"/>
  <w:noPunctuationKerning w:val="1"/>
  <w:characterSpacingControl w:val="compressPunctuation"/>
  <w:noLineBreaksAfter w:lang="zh-CN" w:val="([{·‘“〈《「『【〔〖﹝＄（．［｛￡￥"/>
  <w:noLineBreaksBefore w:lang="zh-CN" w:val="!),.:;?]}¨·ˇˉ―‖’”…∶、。〃々〉》」』】〕〗﹜﹞！＂％＇），．：；？］｀｜｝～￠"/>
  <w:doNotValidateAgainstSchema/>
  <w:doNotDemarcateInvalidXml/>
  <w:compat>
    <w:spaceForUL/>
    <w:balanceSingleByteDoubleByteWidth/>
    <w:doNotLeaveBackslashAlone/>
    <w:ulTrailSpace/>
    <w:doNotExpandShiftReturn/>
    <w:adjustLineHeightInTable/>
    <w:doNotWrapTextWithPunct/>
    <w:doNotUseEastAsianBreakRules/>
    <w:useFELayout/>
    <w:doNotUseIndentAsNumberingTabStop/>
    <w:underlineTabInNumLis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OTUxZTU4ZDUzYzExYTExZGY3YTdlODgxZjU4YTY2Y2EifQ=="/>
    <w:docVar w:name="KSO_WPS_MARK_KEY" w:val="7b8260ed-b0f5-4aec-bf5a-988f95c8f456"/>
  </w:docVars>
  <w:rsids>
    <w:rsidRoot w:val="00172A27"/>
    <w:rsid w:val="000021AE"/>
    <w:rsid w:val="00003322"/>
    <w:rsid w:val="000060B3"/>
    <w:rsid w:val="00016D28"/>
    <w:rsid w:val="00023296"/>
    <w:rsid w:val="00025ECF"/>
    <w:rsid w:val="000416F2"/>
    <w:rsid w:val="0004364B"/>
    <w:rsid w:val="00046122"/>
    <w:rsid w:val="00047156"/>
    <w:rsid w:val="00057AE8"/>
    <w:rsid w:val="00061B1F"/>
    <w:rsid w:val="00066013"/>
    <w:rsid w:val="00071C3F"/>
    <w:rsid w:val="00072F13"/>
    <w:rsid w:val="000733C4"/>
    <w:rsid w:val="00074783"/>
    <w:rsid w:val="0008070B"/>
    <w:rsid w:val="000810AC"/>
    <w:rsid w:val="00081A02"/>
    <w:rsid w:val="00082231"/>
    <w:rsid w:val="00092D38"/>
    <w:rsid w:val="0009377B"/>
    <w:rsid w:val="000A205E"/>
    <w:rsid w:val="000A20C9"/>
    <w:rsid w:val="000A350A"/>
    <w:rsid w:val="000A5B78"/>
    <w:rsid w:val="000B058F"/>
    <w:rsid w:val="000B1817"/>
    <w:rsid w:val="000B2208"/>
    <w:rsid w:val="000B42C2"/>
    <w:rsid w:val="000B4467"/>
    <w:rsid w:val="000B4DB9"/>
    <w:rsid w:val="000C09AC"/>
    <w:rsid w:val="000C2108"/>
    <w:rsid w:val="000C4234"/>
    <w:rsid w:val="000C4829"/>
    <w:rsid w:val="000C4933"/>
    <w:rsid w:val="000C4C34"/>
    <w:rsid w:val="000C5399"/>
    <w:rsid w:val="000C57DA"/>
    <w:rsid w:val="000C5CC3"/>
    <w:rsid w:val="000C6318"/>
    <w:rsid w:val="000C767F"/>
    <w:rsid w:val="000C7D50"/>
    <w:rsid w:val="000D242F"/>
    <w:rsid w:val="000D3671"/>
    <w:rsid w:val="000D55D0"/>
    <w:rsid w:val="000D5A44"/>
    <w:rsid w:val="000E1EFC"/>
    <w:rsid w:val="000E26E1"/>
    <w:rsid w:val="000E3E15"/>
    <w:rsid w:val="000E3ED2"/>
    <w:rsid w:val="000E3EE6"/>
    <w:rsid w:val="000E4438"/>
    <w:rsid w:val="000E7DF6"/>
    <w:rsid w:val="000F112D"/>
    <w:rsid w:val="000F2AF7"/>
    <w:rsid w:val="000F33EC"/>
    <w:rsid w:val="001103EC"/>
    <w:rsid w:val="00112AB3"/>
    <w:rsid w:val="00122FF3"/>
    <w:rsid w:val="001253D4"/>
    <w:rsid w:val="00127B63"/>
    <w:rsid w:val="00127FC4"/>
    <w:rsid w:val="00131F42"/>
    <w:rsid w:val="001357F1"/>
    <w:rsid w:val="00140FA8"/>
    <w:rsid w:val="00142FEB"/>
    <w:rsid w:val="00143796"/>
    <w:rsid w:val="00143A2D"/>
    <w:rsid w:val="001442A1"/>
    <w:rsid w:val="00145A41"/>
    <w:rsid w:val="00150084"/>
    <w:rsid w:val="001503A9"/>
    <w:rsid w:val="00151675"/>
    <w:rsid w:val="00153673"/>
    <w:rsid w:val="001543E7"/>
    <w:rsid w:val="001561F6"/>
    <w:rsid w:val="00157435"/>
    <w:rsid w:val="00161AA7"/>
    <w:rsid w:val="001621D4"/>
    <w:rsid w:val="00165BE8"/>
    <w:rsid w:val="00165BEC"/>
    <w:rsid w:val="00172A27"/>
    <w:rsid w:val="00173C0F"/>
    <w:rsid w:val="0017504D"/>
    <w:rsid w:val="00175128"/>
    <w:rsid w:val="0017671A"/>
    <w:rsid w:val="00177422"/>
    <w:rsid w:val="0018180F"/>
    <w:rsid w:val="00184590"/>
    <w:rsid w:val="001856B2"/>
    <w:rsid w:val="001870D1"/>
    <w:rsid w:val="00187812"/>
    <w:rsid w:val="0018781E"/>
    <w:rsid w:val="0019262D"/>
    <w:rsid w:val="00195B46"/>
    <w:rsid w:val="001A1B35"/>
    <w:rsid w:val="001A369F"/>
    <w:rsid w:val="001A3C70"/>
    <w:rsid w:val="001A48A2"/>
    <w:rsid w:val="001A6F61"/>
    <w:rsid w:val="001A7371"/>
    <w:rsid w:val="001B288B"/>
    <w:rsid w:val="001B3826"/>
    <w:rsid w:val="001B397F"/>
    <w:rsid w:val="001B72B8"/>
    <w:rsid w:val="001B7C66"/>
    <w:rsid w:val="001C4709"/>
    <w:rsid w:val="001C52DD"/>
    <w:rsid w:val="001C69B3"/>
    <w:rsid w:val="001C720B"/>
    <w:rsid w:val="001C7D2A"/>
    <w:rsid w:val="001D5595"/>
    <w:rsid w:val="001D75B3"/>
    <w:rsid w:val="001D7874"/>
    <w:rsid w:val="001D7F22"/>
    <w:rsid w:val="001E155A"/>
    <w:rsid w:val="001F0F17"/>
    <w:rsid w:val="001F11DC"/>
    <w:rsid w:val="001F3347"/>
    <w:rsid w:val="001F383D"/>
    <w:rsid w:val="001F4C59"/>
    <w:rsid w:val="001F69E4"/>
    <w:rsid w:val="001F6E10"/>
    <w:rsid w:val="00212484"/>
    <w:rsid w:val="002125B4"/>
    <w:rsid w:val="002155B8"/>
    <w:rsid w:val="00215723"/>
    <w:rsid w:val="00215F11"/>
    <w:rsid w:val="00223515"/>
    <w:rsid w:val="00224839"/>
    <w:rsid w:val="002249B2"/>
    <w:rsid w:val="0022542C"/>
    <w:rsid w:val="00226574"/>
    <w:rsid w:val="002278EC"/>
    <w:rsid w:val="0023280E"/>
    <w:rsid w:val="002377D1"/>
    <w:rsid w:val="00240278"/>
    <w:rsid w:val="0024130E"/>
    <w:rsid w:val="00246CA2"/>
    <w:rsid w:val="00247A6C"/>
    <w:rsid w:val="002506BC"/>
    <w:rsid w:val="00254316"/>
    <w:rsid w:val="00254345"/>
    <w:rsid w:val="0025517D"/>
    <w:rsid w:val="00264557"/>
    <w:rsid w:val="002662A7"/>
    <w:rsid w:val="00272B79"/>
    <w:rsid w:val="002762E6"/>
    <w:rsid w:val="00276E1F"/>
    <w:rsid w:val="002805AB"/>
    <w:rsid w:val="00281231"/>
    <w:rsid w:val="00284204"/>
    <w:rsid w:val="002870DE"/>
    <w:rsid w:val="00291773"/>
    <w:rsid w:val="002928F5"/>
    <w:rsid w:val="0029305B"/>
    <w:rsid w:val="002A168C"/>
    <w:rsid w:val="002A3DC7"/>
    <w:rsid w:val="002A4D69"/>
    <w:rsid w:val="002A5476"/>
    <w:rsid w:val="002B0292"/>
    <w:rsid w:val="002B2FBA"/>
    <w:rsid w:val="002B49E2"/>
    <w:rsid w:val="002B5FE4"/>
    <w:rsid w:val="002B7B00"/>
    <w:rsid w:val="002B7C44"/>
    <w:rsid w:val="002C006D"/>
    <w:rsid w:val="002C17A4"/>
    <w:rsid w:val="002C2321"/>
    <w:rsid w:val="002C249E"/>
    <w:rsid w:val="002C2B17"/>
    <w:rsid w:val="002C767A"/>
    <w:rsid w:val="002D3DD0"/>
    <w:rsid w:val="002D443C"/>
    <w:rsid w:val="002E1F3A"/>
    <w:rsid w:val="002E298A"/>
    <w:rsid w:val="002E7553"/>
    <w:rsid w:val="002F056A"/>
    <w:rsid w:val="002F76E7"/>
    <w:rsid w:val="002F7E46"/>
    <w:rsid w:val="00301978"/>
    <w:rsid w:val="0030316C"/>
    <w:rsid w:val="0030332C"/>
    <w:rsid w:val="003040F5"/>
    <w:rsid w:val="003051C2"/>
    <w:rsid w:val="00311211"/>
    <w:rsid w:val="00312296"/>
    <w:rsid w:val="00312C9D"/>
    <w:rsid w:val="00314F0E"/>
    <w:rsid w:val="00321D8E"/>
    <w:rsid w:val="00325928"/>
    <w:rsid w:val="00325F72"/>
    <w:rsid w:val="00330631"/>
    <w:rsid w:val="00332863"/>
    <w:rsid w:val="0033506E"/>
    <w:rsid w:val="0033684D"/>
    <w:rsid w:val="00337B42"/>
    <w:rsid w:val="00341410"/>
    <w:rsid w:val="00341B42"/>
    <w:rsid w:val="0034348F"/>
    <w:rsid w:val="00343A17"/>
    <w:rsid w:val="0034448D"/>
    <w:rsid w:val="00346696"/>
    <w:rsid w:val="003526D7"/>
    <w:rsid w:val="0035656D"/>
    <w:rsid w:val="00356653"/>
    <w:rsid w:val="0035743F"/>
    <w:rsid w:val="00357BE2"/>
    <w:rsid w:val="0036170C"/>
    <w:rsid w:val="00366754"/>
    <w:rsid w:val="00366E0F"/>
    <w:rsid w:val="00371B90"/>
    <w:rsid w:val="0037312D"/>
    <w:rsid w:val="00373805"/>
    <w:rsid w:val="0037672D"/>
    <w:rsid w:val="003776EA"/>
    <w:rsid w:val="00381A72"/>
    <w:rsid w:val="00383FF3"/>
    <w:rsid w:val="00384676"/>
    <w:rsid w:val="00390857"/>
    <w:rsid w:val="003A4BF3"/>
    <w:rsid w:val="003A4FE9"/>
    <w:rsid w:val="003A577F"/>
    <w:rsid w:val="003A5E93"/>
    <w:rsid w:val="003B1C92"/>
    <w:rsid w:val="003B217F"/>
    <w:rsid w:val="003B420D"/>
    <w:rsid w:val="003B57B8"/>
    <w:rsid w:val="003B60B7"/>
    <w:rsid w:val="003B7115"/>
    <w:rsid w:val="003C5362"/>
    <w:rsid w:val="003C6C16"/>
    <w:rsid w:val="003D0315"/>
    <w:rsid w:val="003D2D5A"/>
    <w:rsid w:val="003D2F7D"/>
    <w:rsid w:val="003D40C4"/>
    <w:rsid w:val="003D4D00"/>
    <w:rsid w:val="003D5353"/>
    <w:rsid w:val="003D794D"/>
    <w:rsid w:val="003E3058"/>
    <w:rsid w:val="003E5769"/>
    <w:rsid w:val="003E59ED"/>
    <w:rsid w:val="003E6718"/>
    <w:rsid w:val="003E76A9"/>
    <w:rsid w:val="003F0809"/>
    <w:rsid w:val="003F124F"/>
    <w:rsid w:val="003F247B"/>
    <w:rsid w:val="003F610F"/>
    <w:rsid w:val="003F67D6"/>
    <w:rsid w:val="003F6806"/>
    <w:rsid w:val="003F6A8C"/>
    <w:rsid w:val="003F6C2E"/>
    <w:rsid w:val="003F755C"/>
    <w:rsid w:val="00404BBE"/>
    <w:rsid w:val="00405139"/>
    <w:rsid w:val="00406F01"/>
    <w:rsid w:val="00407454"/>
    <w:rsid w:val="00407F0D"/>
    <w:rsid w:val="004105B6"/>
    <w:rsid w:val="00413392"/>
    <w:rsid w:val="00414EED"/>
    <w:rsid w:val="00416D50"/>
    <w:rsid w:val="00416FD5"/>
    <w:rsid w:val="00417772"/>
    <w:rsid w:val="004205DE"/>
    <w:rsid w:val="00420E6A"/>
    <w:rsid w:val="00425A9E"/>
    <w:rsid w:val="00425CA3"/>
    <w:rsid w:val="00426D6B"/>
    <w:rsid w:val="00431E6C"/>
    <w:rsid w:val="00433CE7"/>
    <w:rsid w:val="004344F9"/>
    <w:rsid w:val="00434E50"/>
    <w:rsid w:val="004404A0"/>
    <w:rsid w:val="00443D45"/>
    <w:rsid w:val="00451EA2"/>
    <w:rsid w:val="00452738"/>
    <w:rsid w:val="00454B17"/>
    <w:rsid w:val="00455CDC"/>
    <w:rsid w:val="00456091"/>
    <w:rsid w:val="00456393"/>
    <w:rsid w:val="0045709D"/>
    <w:rsid w:val="0046182C"/>
    <w:rsid w:val="00461B97"/>
    <w:rsid w:val="004632D4"/>
    <w:rsid w:val="00464564"/>
    <w:rsid w:val="00466321"/>
    <w:rsid w:val="004672B9"/>
    <w:rsid w:val="00472704"/>
    <w:rsid w:val="004770DC"/>
    <w:rsid w:val="00480C7A"/>
    <w:rsid w:val="0048153B"/>
    <w:rsid w:val="00482A12"/>
    <w:rsid w:val="00484B9B"/>
    <w:rsid w:val="004855F6"/>
    <w:rsid w:val="00485D25"/>
    <w:rsid w:val="0048661E"/>
    <w:rsid w:val="0048684B"/>
    <w:rsid w:val="00490A18"/>
    <w:rsid w:val="00494670"/>
    <w:rsid w:val="004952E9"/>
    <w:rsid w:val="004959C1"/>
    <w:rsid w:val="004A3823"/>
    <w:rsid w:val="004B40E6"/>
    <w:rsid w:val="004B48B1"/>
    <w:rsid w:val="004B4C95"/>
    <w:rsid w:val="004B5787"/>
    <w:rsid w:val="004C358F"/>
    <w:rsid w:val="004C5AD1"/>
    <w:rsid w:val="004D18F7"/>
    <w:rsid w:val="004D4D94"/>
    <w:rsid w:val="004D766F"/>
    <w:rsid w:val="004E5002"/>
    <w:rsid w:val="004E6946"/>
    <w:rsid w:val="004F196C"/>
    <w:rsid w:val="004F1AD8"/>
    <w:rsid w:val="004F2CBE"/>
    <w:rsid w:val="004F3744"/>
    <w:rsid w:val="005039CB"/>
    <w:rsid w:val="00504D2E"/>
    <w:rsid w:val="0050558F"/>
    <w:rsid w:val="00505EFB"/>
    <w:rsid w:val="00506286"/>
    <w:rsid w:val="00510000"/>
    <w:rsid w:val="00510813"/>
    <w:rsid w:val="00511990"/>
    <w:rsid w:val="00511D58"/>
    <w:rsid w:val="00511DE0"/>
    <w:rsid w:val="00514870"/>
    <w:rsid w:val="0051494E"/>
    <w:rsid w:val="00514B9B"/>
    <w:rsid w:val="00516A0A"/>
    <w:rsid w:val="00517B04"/>
    <w:rsid w:val="00517F02"/>
    <w:rsid w:val="0052199F"/>
    <w:rsid w:val="00524303"/>
    <w:rsid w:val="005258A2"/>
    <w:rsid w:val="00530945"/>
    <w:rsid w:val="00531497"/>
    <w:rsid w:val="00531E3A"/>
    <w:rsid w:val="005401AE"/>
    <w:rsid w:val="00542E07"/>
    <w:rsid w:val="00545424"/>
    <w:rsid w:val="00553927"/>
    <w:rsid w:val="00554A7B"/>
    <w:rsid w:val="0055572C"/>
    <w:rsid w:val="0056106A"/>
    <w:rsid w:val="00564F4C"/>
    <w:rsid w:val="005660DC"/>
    <w:rsid w:val="005663DA"/>
    <w:rsid w:val="005720AE"/>
    <w:rsid w:val="005752FD"/>
    <w:rsid w:val="00577C0D"/>
    <w:rsid w:val="005825AD"/>
    <w:rsid w:val="0058293E"/>
    <w:rsid w:val="00583BC8"/>
    <w:rsid w:val="00587C76"/>
    <w:rsid w:val="00592D08"/>
    <w:rsid w:val="00594968"/>
    <w:rsid w:val="00594D77"/>
    <w:rsid w:val="00595A42"/>
    <w:rsid w:val="005963B9"/>
    <w:rsid w:val="005969E4"/>
    <w:rsid w:val="005A06B7"/>
    <w:rsid w:val="005A077F"/>
    <w:rsid w:val="005A0A8D"/>
    <w:rsid w:val="005A10BF"/>
    <w:rsid w:val="005A1759"/>
    <w:rsid w:val="005A57A4"/>
    <w:rsid w:val="005A68A7"/>
    <w:rsid w:val="005A78AF"/>
    <w:rsid w:val="005B3508"/>
    <w:rsid w:val="005B36D9"/>
    <w:rsid w:val="005B60C2"/>
    <w:rsid w:val="005C3082"/>
    <w:rsid w:val="005C3FE3"/>
    <w:rsid w:val="005C4D8B"/>
    <w:rsid w:val="005C6EEA"/>
    <w:rsid w:val="005C713B"/>
    <w:rsid w:val="005D21A1"/>
    <w:rsid w:val="005D36AB"/>
    <w:rsid w:val="005D7413"/>
    <w:rsid w:val="005E6116"/>
    <w:rsid w:val="00601630"/>
    <w:rsid w:val="00605C11"/>
    <w:rsid w:val="00612C64"/>
    <w:rsid w:val="00613E76"/>
    <w:rsid w:val="00614312"/>
    <w:rsid w:val="006164CC"/>
    <w:rsid w:val="006178A2"/>
    <w:rsid w:val="00617CC3"/>
    <w:rsid w:val="006231BB"/>
    <w:rsid w:val="00625531"/>
    <w:rsid w:val="00626432"/>
    <w:rsid w:val="006302B6"/>
    <w:rsid w:val="00635B73"/>
    <w:rsid w:val="006377A6"/>
    <w:rsid w:val="00637A3D"/>
    <w:rsid w:val="006411EF"/>
    <w:rsid w:val="00646567"/>
    <w:rsid w:val="006524A4"/>
    <w:rsid w:val="00654493"/>
    <w:rsid w:val="00661E38"/>
    <w:rsid w:val="006700CC"/>
    <w:rsid w:val="006748B8"/>
    <w:rsid w:val="006775C3"/>
    <w:rsid w:val="0068023D"/>
    <w:rsid w:val="00687C68"/>
    <w:rsid w:val="0069290A"/>
    <w:rsid w:val="006937F0"/>
    <w:rsid w:val="006971CD"/>
    <w:rsid w:val="00697566"/>
    <w:rsid w:val="0069775A"/>
    <w:rsid w:val="00697813"/>
    <w:rsid w:val="00697911"/>
    <w:rsid w:val="006A3EE8"/>
    <w:rsid w:val="006A72BF"/>
    <w:rsid w:val="006B03F2"/>
    <w:rsid w:val="006B37DC"/>
    <w:rsid w:val="006B43C5"/>
    <w:rsid w:val="006B4C92"/>
    <w:rsid w:val="006B4F68"/>
    <w:rsid w:val="006B70A5"/>
    <w:rsid w:val="006C0592"/>
    <w:rsid w:val="006C272E"/>
    <w:rsid w:val="006C4202"/>
    <w:rsid w:val="006C5479"/>
    <w:rsid w:val="006D13B5"/>
    <w:rsid w:val="006D3058"/>
    <w:rsid w:val="006D55F1"/>
    <w:rsid w:val="006E12FF"/>
    <w:rsid w:val="006E1C9D"/>
    <w:rsid w:val="006E607E"/>
    <w:rsid w:val="006E6347"/>
    <w:rsid w:val="006E68A2"/>
    <w:rsid w:val="006E7E01"/>
    <w:rsid w:val="006F3D8A"/>
    <w:rsid w:val="00702CBD"/>
    <w:rsid w:val="0070324C"/>
    <w:rsid w:val="00703FF2"/>
    <w:rsid w:val="00704A7A"/>
    <w:rsid w:val="00705EC5"/>
    <w:rsid w:val="00706C5D"/>
    <w:rsid w:val="00707AC1"/>
    <w:rsid w:val="00707D8B"/>
    <w:rsid w:val="00710A40"/>
    <w:rsid w:val="00710C5C"/>
    <w:rsid w:val="00720FEF"/>
    <w:rsid w:val="007314B4"/>
    <w:rsid w:val="00732922"/>
    <w:rsid w:val="0074311D"/>
    <w:rsid w:val="00745E1B"/>
    <w:rsid w:val="0075162E"/>
    <w:rsid w:val="00752A07"/>
    <w:rsid w:val="00754034"/>
    <w:rsid w:val="00754D12"/>
    <w:rsid w:val="00755802"/>
    <w:rsid w:val="00756556"/>
    <w:rsid w:val="007618C4"/>
    <w:rsid w:val="00761D9B"/>
    <w:rsid w:val="00761FEA"/>
    <w:rsid w:val="00762870"/>
    <w:rsid w:val="00762BF3"/>
    <w:rsid w:val="00764891"/>
    <w:rsid w:val="00767980"/>
    <w:rsid w:val="00770B19"/>
    <w:rsid w:val="0077361D"/>
    <w:rsid w:val="0077463F"/>
    <w:rsid w:val="0077521B"/>
    <w:rsid w:val="00776B9E"/>
    <w:rsid w:val="0078285F"/>
    <w:rsid w:val="00782C2B"/>
    <w:rsid w:val="007836EA"/>
    <w:rsid w:val="00784CDA"/>
    <w:rsid w:val="007906C4"/>
    <w:rsid w:val="00791214"/>
    <w:rsid w:val="007940EA"/>
    <w:rsid w:val="007967E8"/>
    <w:rsid w:val="0079746E"/>
    <w:rsid w:val="007A1525"/>
    <w:rsid w:val="007A2170"/>
    <w:rsid w:val="007A22BF"/>
    <w:rsid w:val="007A26C2"/>
    <w:rsid w:val="007A3323"/>
    <w:rsid w:val="007A52AF"/>
    <w:rsid w:val="007A53B2"/>
    <w:rsid w:val="007B1470"/>
    <w:rsid w:val="007B72B8"/>
    <w:rsid w:val="007B7A58"/>
    <w:rsid w:val="007C0BF7"/>
    <w:rsid w:val="007C0C47"/>
    <w:rsid w:val="007C1F0B"/>
    <w:rsid w:val="007C21B5"/>
    <w:rsid w:val="007C2990"/>
    <w:rsid w:val="007C4853"/>
    <w:rsid w:val="007C5944"/>
    <w:rsid w:val="007C5E60"/>
    <w:rsid w:val="007D66F0"/>
    <w:rsid w:val="007E325D"/>
    <w:rsid w:val="007E4BD2"/>
    <w:rsid w:val="007E6804"/>
    <w:rsid w:val="007F59D0"/>
    <w:rsid w:val="007F7661"/>
    <w:rsid w:val="00801393"/>
    <w:rsid w:val="00802C5C"/>
    <w:rsid w:val="00802F88"/>
    <w:rsid w:val="00807D40"/>
    <w:rsid w:val="00810202"/>
    <w:rsid w:val="0081293E"/>
    <w:rsid w:val="00815465"/>
    <w:rsid w:val="00816BE9"/>
    <w:rsid w:val="00817E9A"/>
    <w:rsid w:val="008206E6"/>
    <w:rsid w:val="008226D4"/>
    <w:rsid w:val="008267D2"/>
    <w:rsid w:val="008306BD"/>
    <w:rsid w:val="00831A80"/>
    <w:rsid w:val="008332E2"/>
    <w:rsid w:val="00833743"/>
    <w:rsid w:val="008340A4"/>
    <w:rsid w:val="00844351"/>
    <w:rsid w:val="00844776"/>
    <w:rsid w:val="00844EC7"/>
    <w:rsid w:val="00855250"/>
    <w:rsid w:val="00860D2F"/>
    <w:rsid w:val="00866C20"/>
    <w:rsid w:val="0087135F"/>
    <w:rsid w:val="00872A65"/>
    <w:rsid w:val="00872D94"/>
    <w:rsid w:val="00873535"/>
    <w:rsid w:val="00880364"/>
    <w:rsid w:val="0088472F"/>
    <w:rsid w:val="008849D7"/>
    <w:rsid w:val="00891592"/>
    <w:rsid w:val="00891E9E"/>
    <w:rsid w:val="00893105"/>
    <w:rsid w:val="008A2F68"/>
    <w:rsid w:val="008B053E"/>
    <w:rsid w:val="008B374A"/>
    <w:rsid w:val="008B4FA6"/>
    <w:rsid w:val="008B5282"/>
    <w:rsid w:val="008B68A8"/>
    <w:rsid w:val="008B7C17"/>
    <w:rsid w:val="008C1F0C"/>
    <w:rsid w:val="008C266A"/>
    <w:rsid w:val="008C2D01"/>
    <w:rsid w:val="008C40E6"/>
    <w:rsid w:val="008C52C1"/>
    <w:rsid w:val="008D0F7A"/>
    <w:rsid w:val="008D387E"/>
    <w:rsid w:val="008D68E4"/>
    <w:rsid w:val="008E0506"/>
    <w:rsid w:val="008E0CFF"/>
    <w:rsid w:val="008E4AED"/>
    <w:rsid w:val="008E5D6B"/>
    <w:rsid w:val="008E6BBA"/>
    <w:rsid w:val="008E76F0"/>
    <w:rsid w:val="008E7904"/>
    <w:rsid w:val="008F15FE"/>
    <w:rsid w:val="008F2D29"/>
    <w:rsid w:val="008F5187"/>
    <w:rsid w:val="008F60D8"/>
    <w:rsid w:val="008F6C07"/>
    <w:rsid w:val="00902727"/>
    <w:rsid w:val="0090312B"/>
    <w:rsid w:val="00905780"/>
    <w:rsid w:val="0091010A"/>
    <w:rsid w:val="00910269"/>
    <w:rsid w:val="009110F0"/>
    <w:rsid w:val="00911285"/>
    <w:rsid w:val="00913372"/>
    <w:rsid w:val="00915450"/>
    <w:rsid w:val="0091736D"/>
    <w:rsid w:val="0092728B"/>
    <w:rsid w:val="0093037A"/>
    <w:rsid w:val="009325EE"/>
    <w:rsid w:val="0093445F"/>
    <w:rsid w:val="00935414"/>
    <w:rsid w:val="0094154D"/>
    <w:rsid w:val="0095155F"/>
    <w:rsid w:val="00954429"/>
    <w:rsid w:val="009563CE"/>
    <w:rsid w:val="00960AEA"/>
    <w:rsid w:val="00961F1B"/>
    <w:rsid w:val="0096322D"/>
    <w:rsid w:val="00963253"/>
    <w:rsid w:val="00964047"/>
    <w:rsid w:val="0096435F"/>
    <w:rsid w:val="009666D6"/>
    <w:rsid w:val="00971564"/>
    <w:rsid w:val="00973EF4"/>
    <w:rsid w:val="00975A2C"/>
    <w:rsid w:val="00976328"/>
    <w:rsid w:val="0097680D"/>
    <w:rsid w:val="00976E9F"/>
    <w:rsid w:val="00977C96"/>
    <w:rsid w:val="00982438"/>
    <w:rsid w:val="0098404C"/>
    <w:rsid w:val="00985283"/>
    <w:rsid w:val="00990FF0"/>
    <w:rsid w:val="00991388"/>
    <w:rsid w:val="00993783"/>
    <w:rsid w:val="00994BA9"/>
    <w:rsid w:val="00995992"/>
    <w:rsid w:val="009A03E5"/>
    <w:rsid w:val="009A0F3B"/>
    <w:rsid w:val="009A1BB4"/>
    <w:rsid w:val="009A2628"/>
    <w:rsid w:val="009A3200"/>
    <w:rsid w:val="009A5182"/>
    <w:rsid w:val="009B0897"/>
    <w:rsid w:val="009B0E00"/>
    <w:rsid w:val="009B2AAA"/>
    <w:rsid w:val="009B71EF"/>
    <w:rsid w:val="009B7BD9"/>
    <w:rsid w:val="009C4A79"/>
    <w:rsid w:val="009C7DD5"/>
    <w:rsid w:val="009D364D"/>
    <w:rsid w:val="009E227D"/>
    <w:rsid w:val="009E2984"/>
    <w:rsid w:val="009E3473"/>
    <w:rsid w:val="009E5019"/>
    <w:rsid w:val="009E6A5A"/>
    <w:rsid w:val="009F065A"/>
    <w:rsid w:val="009F162C"/>
    <w:rsid w:val="009F556F"/>
    <w:rsid w:val="00A02ADB"/>
    <w:rsid w:val="00A04F1B"/>
    <w:rsid w:val="00A0501B"/>
    <w:rsid w:val="00A07DC0"/>
    <w:rsid w:val="00A11477"/>
    <w:rsid w:val="00A130FD"/>
    <w:rsid w:val="00A14947"/>
    <w:rsid w:val="00A2312A"/>
    <w:rsid w:val="00A2351E"/>
    <w:rsid w:val="00A240D0"/>
    <w:rsid w:val="00A26798"/>
    <w:rsid w:val="00A32A83"/>
    <w:rsid w:val="00A368DB"/>
    <w:rsid w:val="00A423AA"/>
    <w:rsid w:val="00A42D02"/>
    <w:rsid w:val="00A42EF4"/>
    <w:rsid w:val="00A523C7"/>
    <w:rsid w:val="00A53EC6"/>
    <w:rsid w:val="00A552D9"/>
    <w:rsid w:val="00A55C0F"/>
    <w:rsid w:val="00A61436"/>
    <w:rsid w:val="00A634D5"/>
    <w:rsid w:val="00A64342"/>
    <w:rsid w:val="00A6597D"/>
    <w:rsid w:val="00A73272"/>
    <w:rsid w:val="00A75168"/>
    <w:rsid w:val="00A8017D"/>
    <w:rsid w:val="00A8713F"/>
    <w:rsid w:val="00A87EB8"/>
    <w:rsid w:val="00A90BA1"/>
    <w:rsid w:val="00A938A9"/>
    <w:rsid w:val="00A93D12"/>
    <w:rsid w:val="00A97A9A"/>
    <w:rsid w:val="00A97F3D"/>
    <w:rsid w:val="00AA0671"/>
    <w:rsid w:val="00AA2531"/>
    <w:rsid w:val="00AA4007"/>
    <w:rsid w:val="00AA41CC"/>
    <w:rsid w:val="00AB1E09"/>
    <w:rsid w:val="00AB34E8"/>
    <w:rsid w:val="00AB4202"/>
    <w:rsid w:val="00AB5330"/>
    <w:rsid w:val="00AB7747"/>
    <w:rsid w:val="00AC14CE"/>
    <w:rsid w:val="00AC2A56"/>
    <w:rsid w:val="00AC5F28"/>
    <w:rsid w:val="00AD055E"/>
    <w:rsid w:val="00AD375F"/>
    <w:rsid w:val="00AD47A7"/>
    <w:rsid w:val="00AD4C39"/>
    <w:rsid w:val="00AE0423"/>
    <w:rsid w:val="00AE0E4B"/>
    <w:rsid w:val="00AE1D56"/>
    <w:rsid w:val="00AE1F7A"/>
    <w:rsid w:val="00AE2E12"/>
    <w:rsid w:val="00AE6B9F"/>
    <w:rsid w:val="00AE6DAC"/>
    <w:rsid w:val="00AE7476"/>
    <w:rsid w:val="00AF0CBF"/>
    <w:rsid w:val="00AF257F"/>
    <w:rsid w:val="00AF29B0"/>
    <w:rsid w:val="00AF33CF"/>
    <w:rsid w:val="00AF4D50"/>
    <w:rsid w:val="00AF6179"/>
    <w:rsid w:val="00B07E16"/>
    <w:rsid w:val="00B1024E"/>
    <w:rsid w:val="00B11530"/>
    <w:rsid w:val="00B1295A"/>
    <w:rsid w:val="00B12F37"/>
    <w:rsid w:val="00B17847"/>
    <w:rsid w:val="00B20A45"/>
    <w:rsid w:val="00B22182"/>
    <w:rsid w:val="00B22C5C"/>
    <w:rsid w:val="00B245AC"/>
    <w:rsid w:val="00B24F30"/>
    <w:rsid w:val="00B27738"/>
    <w:rsid w:val="00B27E91"/>
    <w:rsid w:val="00B30227"/>
    <w:rsid w:val="00B31ABF"/>
    <w:rsid w:val="00B33BE3"/>
    <w:rsid w:val="00B36817"/>
    <w:rsid w:val="00B3701F"/>
    <w:rsid w:val="00B40F31"/>
    <w:rsid w:val="00B45F88"/>
    <w:rsid w:val="00B46226"/>
    <w:rsid w:val="00B46C3B"/>
    <w:rsid w:val="00B52915"/>
    <w:rsid w:val="00B532E4"/>
    <w:rsid w:val="00B53B5D"/>
    <w:rsid w:val="00B6055E"/>
    <w:rsid w:val="00B61555"/>
    <w:rsid w:val="00B62A8C"/>
    <w:rsid w:val="00B6317D"/>
    <w:rsid w:val="00B645C2"/>
    <w:rsid w:val="00B65CB5"/>
    <w:rsid w:val="00B66138"/>
    <w:rsid w:val="00B70966"/>
    <w:rsid w:val="00B71AE4"/>
    <w:rsid w:val="00B7723F"/>
    <w:rsid w:val="00B80534"/>
    <w:rsid w:val="00B8433C"/>
    <w:rsid w:val="00B86657"/>
    <w:rsid w:val="00B87491"/>
    <w:rsid w:val="00B90F43"/>
    <w:rsid w:val="00B9613A"/>
    <w:rsid w:val="00B964B7"/>
    <w:rsid w:val="00BA29E9"/>
    <w:rsid w:val="00BA2E2F"/>
    <w:rsid w:val="00BA33D7"/>
    <w:rsid w:val="00BA7142"/>
    <w:rsid w:val="00BA7326"/>
    <w:rsid w:val="00BB1671"/>
    <w:rsid w:val="00BB237C"/>
    <w:rsid w:val="00BB41A3"/>
    <w:rsid w:val="00BC0B67"/>
    <w:rsid w:val="00BC168F"/>
    <w:rsid w:val="00BC1DC4"/>
    <w:rsid w:val="00BC32DC"/>
    <w:rsid w:val="00BC35B6"/>
    <w:rsid w:val="00BD114E"/>
    <w:rsid w:val="00BD1B51"/>
    <w:rsid w:val="00BD4596"/>
    <w:rsid w:val="00BE1405"/>
    <w:rsid w:val="00BE2B97"/>
    <w:rsid w:val="00BE312D"/>
    <w:rsid w:val="00BE7176"/>
    <w:rsid w:val="00BF1C20"/>
    <w:rsid w:val="00BF47AE"/>
    <w:rsid w:val="00BF64A8"/>
    <w:rsid w:val="00BF6CD5"/>
    <w:rsid w:val="00C01775"/>
    <w:rsid w:val="00C0257B"/>
    <w:rsid w:val="00C04312"/>
    <w:rsid w:val="00C07CC9"/>
    <w:rsid w:val="00C10578"/>
    <w:rsid w:val="00C12A8E"/>
    <w:rsid w:val="00C135BC"/>
    <w:rsid w:val="00C13F8F"/>
    <w:rsid w:val="00C1449C"/>
    <w:rsid w:val="00C159C1"/>
    <w:rsid w:val="00C15C95"/>
    <w:rsid w:val="00C2596A"/>
    <w:rsid w:val="00C27537"/>
    <w:rsid w:val="00C27A06"/>
    <w:rsid w:val="00C328FE"/>
    <w:rsid w:val="00C32DAE"/>
    <w:rsid w:val="00C334AD"/>
    <w:rsid w:val="00C33507"/>
    <w:rsid w:val="00C358A2"/>
    <w:rsid w:val="00C36327"/>
    <w:rsid w:val="00C425B1"/>
    <w:rsid w:val="00C428C8"/>
    <w:rsid w:val="00C4371C"/>
    <w:rsid w:val="00C4409D"/>
    <w:rsid w:val="00C44C05"/>
    <w:rsid w:val="00C44E72"/>
    <w:rsid w:val="00C45A06"/>
    <w:rsid w:val="00C47E5B"/>
    <w:rsid w:val="00C518CF"/>
    <w:rsid w:val="00C56D10"/>
    <w:rsid w:val="00C56E0A"/>
    <w:rsid w:val="00C57073"/>
    <w:rsid w:val="00C60728"/>
    <w:rsid w:val="00C60AF9"/>
    <w:rsid w:val="00C61E4B"/>
    <w:rsid w:val="00C62A0F"/>
    <w:rsid w:val="00C637D8"/>
    <w:rsid w:val="00C64BFF"/>
    <w:rsid w:val="00C65FE5"/>
    <w:rsid w:val="00C704E9"/>
    <w:rsid w:val="00C71810"/>
    <w:rsid w:val="00C72081"/>
    <w:rsid w:val="00C747EF"/>
    <w:rsid w:val="00C763C9"/>
    <w:rsid w:val="00C80057"/>
    <w:rsid w:val="00C82232"/>
    <w:rsid w:val="00C82913"/>
    <w:rsid w:val="00C83C7F"/>
    <w:rsid w:val="00C872A3"/>
    <w:rsid w:val="00C972B1"/>
    <w:rsid w:val="00CA2CCE"/>
    <w:rsid w:val="00CA43FD"/>
    <w:rsid w:val="00CA6B26"/>
    <w:rsid w:val="00CA7EF8"/>
    <w:rsid w:val="00CB1966"/>
    <w:rsid w:val="00CB6FD9"/>
    <w:rsid w:val="00CC0216"/>
    <w:rsid w:val="00CC0872"/>
    <w:rsid w:val="00CC489B"/>
    <w:rsid w:val="00CC4CD3"/>
    <w:rsid w:val="00CD0613"/>
    <w:rsid w:val="00CD177E"/>
    <w:rsid w:val="00CD2BCD"/>
    <w:rsid w:val="00CD3771"/>
    <w:rsid w:val="00CD3A4C"/>
    <w:rsid w:val="00CD535A"/>
    <w:rsid w:val="00CE10E9"/>
    <w:rsid w:val="00CE2910"/>
    <w:rsid w:val="00CE327C"/>
    <w:rsid w:val="00CE4D85"/>
    <w:rsid w:val="00CE5393"/>
    <w:rsid w:val="00CF16BE"/>
    <w:rsid w:val="00CF36BE"/>
    <w:rsid w:val="00CF3D32"/>
    <w:rsid w:val="00CF4CBF"/>
    <w:rsid w:val="00CF4F59"/>
    <w:rsid w:val="00CF6000"/>
    <w:rsid w:val="00CF6626"/>
    <w:rsid w:val="00D003F3"/>
    <w:rsid w:val="00D0364F"/>
    <w:rsid w:val="00D04076"/>
    <w:rsid w:val="00D06834"/>
    <w:rsid w:val="00D10185"/>
    <w:rsid w:val="00D1238A"/>
    <w:rsid w:val="00D23CA6"/>
    <w:rsid w:val="00D277F3"/>
    <w:rsid w:val="00D308ED"/>
    <w:rsid w:val="00D31A58"/>
    <w:rsid w:val="00D31AB3"/>
    <w:rsid w:val="00D32A03"/>
    <w:rsid w:val="00D33B19"/>
    <w:rsid w:val="00D35D0B"/>
    <w:rsid w:val="00D36D86"/>
    <w:rsid w:val="00D428AA"/>
    <w:rsid w:val="00D438A1"/>
    <w:rsid w:val="00D46170"/>
    <w:rsid w:val="00D47126"/>
    <w:rsid w:val="00D50A34"/>
    <w:rsid w:val="00D51BA2"/>
    <w:rsid w:val="00D52F25"/>
    <w:rsid w:val="00D53099"/>
    <w:rsid w:val="00D53EFA"/>
    <w:rsid w:val="00D563D6"/>
    <w:rsid w:val="00D570C2"/>
    <w:rsid w:val="00D579B0"/>
    <w:rsid w:val="00D601BC"/>
    <w:rsid w:val="00D66702"/>
    <w:rsid w:val="00D70392"/>
    <w:rsid w:val="00D703AC"/>
    <w:rsid w:val="00D816AB"/>
    <w:rsid w:val="00D81F2D"/>
    <w:rsid w:val="00D94A7C"/>
    <w:rsid w:val="00D95896"/>
    <w:rsid w:val="00DA305B"/>
    <w:rsid w:val="00DA32C4"/>
    <w:rsid w:val="00DA5763"/>
    <w:rsid w:val="00DA66AD"/>
    <w:rsid w:val="00DA6ECB"/>
    <w:rsid w:val="00DB2983"/>
    <w:rsid w:val="00DB2A89"/>
    <w:rsid w:val="00DC1257"/>
    <w:rsid w:val="00DC3DC0"/>
    <w:rsid w:val="00DC450C"/>
    <w:rsid w:val="00DC5359"/>
    <w:rsid w:val="00DC54F1"/>
    <w:rsid w:val="00DC5B2B"/>
    <w:rsid w:val="00DD318D"/>
    <w:rsid w:val="00DE6169"/>
    <w:rsid w:val="00DE7300"/>
    <w:rsid w:val="00DF2E12"/>
    <w:rsid w:val="00DF514A"/>
    <w:rsid w:val="00DF6690"/>
    <w:rsid w:val="00DF6804"/>
    <w:rsid w:val="00DF6C5D"/>
    <w:rsid w:val="00E0358D"/>
    <w:rsid w:val="00E04323"/>
    <w:rsid w:val="00E0531D"/>
    <w:rsid w:val="00E070A2"/>
    <w:rsid w:val="00E11DCB"/>
    <w:rsid w:val="00E12D4E"/>
    <w:rsid w:val="00E1579E"/>
    <w:rsid w:val="00E20187"/>
    <w:rsid w:val="00E2202A"/>
    <w:rsid w:val="00E24D24"/>
    <w:rsid w:val="00E2656A"/>
    <w:rsid w:val="00E31979"/>
    <w:rsid w:val="00E412D0"/>
    <w:rsid w:val="00E42C4A"/>
    <w:rsid w:val="00E53645"/>
    <w:rsid w:val="00E5429A"/>
    <w:rsid w:val="00E55069"/>
    <w:rsid w:val="00E56322"/>
    <w:rsid w:val="00E57F5A"/>
    <w:rsid w:val="00E60982"/>
    <w:rsid w:val="00E62C62"/>
    <w:rsid w:val="00E644D9"/>
    <w:rsid w:val="00E654C1"/>
    <w:rsid w:val="00E65D97"/>
    <w:rsid w:val="00E72A5A"/>
    <w:rsid w:val="00E73354"/>
    <w:rsid w:val="00E83A40"/>
    <w:rsid w:val="00E85BDF"/>
    <w:rsid w:val="00E87EAE"/>
    <w:rsid w:val="00E90AA2"/>
    <w:rsid w:val="00E91D41"/>
    <w:rsid w:val="00E9242D"/>
    <w:rsid w:val="00E959B2"/>
    <w:rsid w:val="00EA05B6"/>
    <w:rsid w:val="00EA44A2"/>
    <w:rsid w:val="00EA65A5"/>
    <w:rsid w:val="00EB5255"/>
    <w:rsid w:val="00EB5C47"/>
    <w:rsid w:val="00EB74B4"/>
    <w:rsid w:val="00EC181F"/>
    <w:rsid w:val="00EC59B7"/>
    <w:rsid w:val="00EC5D75"/>
    <w:rsid w:val="00ED0639"/>
    <w:rsid w:val="00ED745D"/>
    <w:rsid w:val="00EE0754"/>
    <w:rsid w:val="00EE1DB4"/>
    <w:rsid w:val="00EE5094"/>
    <w:rsid w:val="00EE76BC"/>
    <w:rsid w:val="00EF2F94"/>
    <w:rsid w:val="00EF4755"/>
    <w:rsid w:val="00EF69BD"/>
    <w:rsid w:val="00EF7135"/>
    <w:rsid w:val="00F027DB"/>
    <w:rsid w:val="00F1022F"/>
    <w:rsid w:val="00F1056D"/>
    <w:rsid w:val="00F131D9"/>
    <w:rsid w:val="00F14A7A"/>
    <w:rsid w:val="00F16C0E"/>
    <w:rsid w:val="00F1722C"/>
    <w:rsid w:val="00F209F0"/>
    <w:rsid w:val="00F20E33"/>
    <w:rsid w:val="00F21176"/>
    <w:rsid w:val="00F21B21"/>
    <w:rsid w:val="00F22985"/>
    <w:rsid w:val="00F2369F"/>
    <w:rsid w:val="00F30F8B"/>
    <w:rsid w:val="00F334BB"/>
    <w:rsid w:val="00F3383E"/>
    <w:rsid w:val="00F34A03"/>
    <w:rsid w:val="00F35372"/>
    <w:rsid w:val="00F36D5E"/>
    <w:rsid w:val="00F408A0"/>
    <w:rsid w:val="00F43726"/>
    <w:rsid w:val="00F465A7"/>
    <w:rsid w:val="00F47A91"/>
    <w:rsid w:val="00F50B7C"/>
    <w:rsid w:val="00F51ECB"/>
    <w:rsid w:val="00F550E6"/>
    <w:rsid w:val="00F576D2"/>
    <w:rsid w:val="00F67E76"/>
    <w:rsid w:val="00F70E9A"/>
    <w:rsid w:val="00F70FE8"/>
    <w:rsid w:val="00F725E9"/>
    <w:rsid w:val="00F73B7D"/>
    <w:rsid w:val="00F74345"/>
    <w:rsid w:val="00F80A0A"/>
    <w:rsid w:val="00F82B19"/>
    <w:rsid w:val="00F844F3"/>
    <w:rsid w:val="00F845CA"/>
    <w:rsid w:val="00F86141"/>
    <w:rsid w:val="00F90892"/>
    <w:rsid w:val="00F9212D"/>
    <w:rsid w:val="00F93CCE"/>
    <w:rsid w:val="00F965DA"/>
    <w:rsid w:val="00F97A36"/>
    <w:rsid w:val="00FA0109"/>
    <w:rsid w:val="00FA406A"/>
    <w:rsid w:val="00FA5F05"/>
    <w:rsid w:val="00FA6B44"/>
    <w:rsid w:val="00FB0069"/>
    <w:rsid w:val="00FB0F40"/>
    <w:rsid w:val="00FB503A"/>
    <w:rsid w:val="00FB516C"/>
    <w:rsid w:val="00FB6316"/>
    <w:rsid w:val="00FB7881"/>
    <w:rsid w:val="00FC07E5"/>
    <w:rsid w:val="00FC255F"/>
    <w:rsid w:val="00FC408A"/>
    <w:rsid w:val="00FD0236"/>
    <w:rsid w:val="00FD0F3F"/>
    <w:rsid w:val="00FD18F4"/>
    <w:rsid w:val="00FD3B50"/>
    <w:rsid w:val="00FD54DB"/>
    <w:rsid w:val="00FD619F"/>
    <w:rsid w:val="00FD768B"/>
    <w:rsid w:val="00FD7FBF"/>
    <w:rsid w:val="00FE568C"/>
    <w:rsid w:val="00FF0417"/>
    <w:rsid w:val="00FF23F9"/>
    <w:rsid w:val="00FF29CB"/>
    <w:rsid w:val="00FF343D"/>
    <w:rsid w:val="00FF50BF"/>
    <w:rsid w:val="010C6601"/>
    <w:rsid w:val="01290F7E"/>
    <w:rsid w:val="014A424C"/>
    <w:rsid w:val="015D1E09"/>
    <w:rsid w:val="020A155D"/>
    <w:rsid w:val="02533578"/>
    <w:rsid w:val="0256618B"/>
    <w:rsid w:val="02697903"/>
    <w:rsid w:val="02D251ED"/>
    <w:rsid w:val="02D97AD5"/>
    <w:rsid w:val="02F96569"/>
    <w:rsid w:val="031F7CCA"/>
    <w:rsid w:val="03AC4685"/>
    <w:rsid w:val="03C20DD4"/>
    <w:rsid w:val="03EA7B21"/>
    <w:rsid w:val="045E56FD"/>
    <w:rsid w:val="046F3729"/>
    <w:rsid w:val="048B5B36"/>
    <w:rsid w:val="0530249B"/>
    <w:rsid w:val="05417A12"/>
    <w:rsid w:val="056848B5"/>
    <w:rsid w:val="05E94DAE"/>
    <w:rsid w:val="05F83EAE"/>
    <w:rsid w:val="063E7D85"/>
    <w:rsid w:val="06BF75C9"/>
    <w:rsid w:val="070C539D"/>
    <w:rsid w:val="07290A45"/>
    <w:rsid w:val="07293586"/>
    <w:rsid w:val="07295285"/>
    <w:rsid w:val="075033E0"/>
    <w:rsid w:val="07636392"/>
    <w:rsid w:val="07770C56"/>
    <w:rsid w:val="079F66BD"/>
    <w:rsid w:val="07CC7032"/>
    <w:rsid w:val="07F92658"/>
    <w:rsid w:val="081459F1"/>
    <w:rsid w:val="084A7197"/>
    <w:rsid w:val="08D53528"/>
    <w:rsid w:val="090E2BD1"/>
    <w:rsid w:val="092217DD"/>
    <w:rsid w:val="093A7294"/>
    <w:rsid w:val="09D53D0B"/>
    <w:rsid w:val="09D833D5"/>
    <w:rsid w:val="0A263993"/>
    <w:rsid w:val="0A2D3AC2"/>
    <w:rsid w:val="0A5216B1"/>
    <w:rsid w:val="0AA14F59"/>
    <w:rsid w:val="0AA755DF"/>
    <w:rsid w:val="0AAD3C25"/>
    <w:rsid w:val="0B040466"/>
    <w:rsid w:val="0B120D44"/>
    <w:rsid w:val="0B40208C"/>
    <w:rsid w:val="0B4B5192"/>
    <w:rsid w:val="0B5A7461"/>
    <w:rsid w:val="0B7823A1"/>
    <w:rsid w:val="0B947163"/>
    <w:rsid w:val="0BD27BF6"/>
    <w:rsid w:val="0C3B3C7D"/>
    <w:rsid w:val="0CA10697"/>
    <w:rsid w:val="0CAB2EAE"/>
    <w:rsid w:val="0D166265"/>
    <w:rsid w:val="0D522F8B"/>
    <w:rsid w:val="0D606D46"/>
    <w:rsid w:val="0D621C7D"/>
    <w:rsid w:val="0D8C6299"/>
    <w:rsid w:val="0DA37E3A"/>
    <w:rsid w:val="0DED4FEF"/>
    <w:rsid w:val="0E39245A"/>
    <w:rsid w:val="0E4128E8"/>
    <w:rsid w:val="0E73034D"/>
    <w:rsid w:val="0EA364A9"/>
    <w:rsid w:val="0EE82C0C"/>
    <w:rsid w:val="0F13775A"/>
    <w:rsid w:val="0F29031D"/>
    <w:rsid w:val="0F5F45FE"/>
    <w:rsid w:val="0F764B81"/>
    <w:rsid w:val="0F9A112B"/>
    <w:rsid w:val="0FBE7705"/>
    <w:rsid w:val="10004A45"/>
    <w:rsid w:val="1062543E"/>
    <w:rsid w:val="106D2F64"/>
    <w:rsid w:val="106E07C2"/>
    <w:rsid w:val="10812530"/>
    <w:rsid w:val="10836426"/>
    <w:rsid w:val="10A54F65"/>
    <w:rsid w:val="10B63710"/>
    <w:rsid w:val="10F10820"/>
    <w:rsid w:val="11031B23"/>
    <w:rsid w:val="111C2F7A"/>
    <w:rsid w:val="113B4D6E"/>
    <w:rsid w:val="11427F91"/>
    <w:rsid w:val="11665CA1"/>
    <w:rsid w:val="11FC5544"/>
    <w:rsid w:val="125D3A2C"/>
    <w:rsid w:val="12851EC3"/>
    <w:rsid w:val="13604296"/>
    <w:rsid w:val="13951726"/>
    <w:rsid w:val="13DC0C13"/>
    <w:rsid w:val="14396509"/>
    <w:rsid w:val="144B10BC"/>
    <w:rsid w:val="14B50D13"/>
    <w:rsid w:val="14DD2C3C"/>
    <w:rsid w:val="14ED080B"/>
    <w:rsid w:val="15321B66"/>
    <w:rsid w:val="15395D19"/>
    <w:rsid w:val="15C71ECE"/>
    <w:rsid w:val="15E33FBB"/>
    <w:rsid w:val="16087E1D"/>
    <w:rsid w:val="160A35A2"/>
    <w:rsid w:val="161A69AE"/>
    <w:rsid w:val="16A742B7"/>
    <w:rsid w:val="16A754B9"/>
    <w:rsid w:val="17701D14"/>
    <w:rsid w:val="17735226"/>
    <w:rsid w:val="184037DA"/>
    <w:rsid w:val="185D0A35"/>
    <w:rsid w:val="18893E3D"/>
    <w:rsid w:val="189F624C"/>
    <w:rsid w:val="19066E1E"/>
    <w:rsid w:val="193A762E"/>
    <w:rsid w:val="1946696E"/>
    <w:rsid w:val="19E75EE3"/>
    <w:rsid w:val="19F353E4"/>
    <w:rsid w:val="1A1C66C0"/>
    <w:rsid w:val="1A42393B"/>
    <w:rsid w:val="1A546ADE"/>
    <w:rsid w:val="1AAD45DE"/>
    <w:rsid w:val="1B046F80"/>
    <w:rsid w:val="1B3267B5"/>
    <w:rsid w:val="1B40161D"/>
    <w:rsid w:val="1B441859"/>
    <w:rsid w:val="1B6606B1"/>
    <w:rsid w:val="1BF81FE9"/>
    <w:rsid w:val="1C5E7925"/>
    <w:rsid w:val="1C6D3264"/>
    <w:rsid w:val="1CD47DDE"/>
    <w:rsid w:val="1CFD070F"/>
    <w:rsid w:val="1D5F6196"/>
    <w:rsid w:val="1D6132A5"/>
    <w:rsid w:val="1D8E56D5"/>
    <w:rsid w:val="1DB172ED"/>
    <w:rsid w:val="1DF90B38"/>
    <w:rsid w:val="1E7A43DA"/>
    <w:rsid w:val="1E9D1930"/>
    <w:rsid w:val="1EAD0B95"/>
    <w:rsid w:val="1EB413FD"/>
    <w:rsid w:val="1EE5751E"/>
    <w:rsid w:val="1F3D1B89"/>
    <w:rsid w:val="1F806B96"/>
    <w:rsid w:val="1FE7539E"/>
    <w:rsid w:val="20671BE0"/>
    <w:rsid w:val="208B08FA"/>
    <w:rsid w:val="20963CB8"/>
    <w:rsid w:val="20A81A1B"/>
    <w:rsid w:val="20B07FB6"/>
    <w:rsid w:val="20B646FB"/>
    <w:rsid w:val="20C11EA1"/>
    <w:rsid w:val="20FA2DC1"/>
    <w:rsid w:val="21235E62"/>
    <w:rsid w:val="21333432"/>
    <w:rsid w:val="213B74B1"/>
    <w:rsid w:val="215A2310"/>
    <w:rsid w:val="21845EA6"/>
    <w:rsid w:val="21DE318A"/>
    <w:rsid w:val="21EF5B80"/>
    <w:rsid w:val="21FC0432"/>
    <w:rsid w:val="22395C76"/>
    <w:rsid w:val="22576990"/>
    <w:rsid w:val="229E2B2D"/>
    <w:rsid w:val="22B473A3"/>
    <w:rsid w:val="22F47480"/>
    <w:rsid w:val="230003D4"/>
    <w:rsid w:val="232205FE"/>
    <w:rsid w:val="23277243"/>
    <w:rsid w:val="235070EC"/>
    <w:rsid w:val="23715070"/>
    <w:rsid w:val="23DE1C48"/>
    <w:rsid w:val="23E760F3"/>
    <w:rsid w:val="240210CD"/>
    <w:rsid w:val="24137AC9"/>
    <w:rsid w:val="241E13AB"/>
    <w:rsid w:val="24B755DE"/>
    <w:rsid w:val="24BF09F7"/>
    <w:rsid w:val="252D53FE"/>
    <w:rsid w:val="25A710DF"/>
    <w:rsid w:val="25EC2D81"/>
    <w:rsid w:val="27453073"/>
    <w:rsid w:val="27464B47"/>
    <w:rsid w:val="277057A2"/>
    <w:rsid w:val="278D6275"/>
    <w:rsid w:val="2815711E"/>
    <w:rsid w:val="28497208"/>
    <w:rsid w:val="284D318D"/>
    <w:rsid w:val="28DE0127"/>
    <w:rsid w:val="28E52137"/>
    <w:rsid w:val="28F61252"/>
    <w:rsid w:val="29042FC8"/>
    <w:rsid w:val="29206EB8"/>
    <w:rsid w:val="294250E4"/>
    <w:rsid w:val="29595666"/>
    <w:rsid w:val="296A3B7E"/>
    <w:rsid w:val="29874881"/>
    <w:rsid w:val="29D02184"/>
    <w:rsid w:val="29E325E0"/>
    <w:rsid w:val="2A452503"/>
    <w:rsid w:val="2A532DB4"/>
    <w:rsid w:val="2A5B6D7C"/>
    <w:rsid w:val="2A8B4BDD"/>
    <w:rsid w:val="2A8E0750"/>
    <w:rsid w:val="2A90793E"/>
    <w:rsid w:val="2B0C45AE"/>
    <w:rsid w:val="2B7A76DA"/>
    <w:rsid w:val="2BA936A8"/>
    <w:rsid w:val="2C315A5A"/>
    <w:rsid w:val="2C4B1C25"/>
    <w:rsid w:val="2C8B4122"/>
    <w:rsid w:val="2CC103C7"/>
    <w:rsid w:val="2D4345A7"/>
    <w:rsid w:val="2D622FF1"/>
    <w:rsid w:val="2D9E56F5"/>
    <w:rsid w:val="2DD81C92"/>
    <w:rsid w:val="2E081E9D"/>
    <w:rsid w:val="2E2E50E2"/>
    <w:rsid w:val="2E35074E"/>
    <w:rsid w:val="2E4A265B"/>
    <w:rsid w:val="2E5E628F"/>
    <w:rsid w:val="2E667F96"/>
    <w:rsid w:val="2E8226AB"/>
    <w:rsid w:val="2E9B18B1"/>
    <w:rsid w:val="2EC11F6F"/>
    <w:rsid w:val="2F1A434F"/>
    <w:rsid w:val="2F4260D8"/>
    <w:rsid w:val="2FBD01C7"/>
    <w:rsid w:val="2FD065E6"/>
    <w:rsid w:val="2FD96870"/>
    <w:rsid w:val="2FFD0E93"/>
    <w:rsid w:val="30580BC9"/>
    <w:rsid w:val="30866059"/>
    <w:rsid w:val="3097459C"/>
    <w:rsid w:val="30BF6EAA"/>
    <w:rsid w:val="310D7A42"/>
    <w:rsid w:val="311110F5"/>
    <w:rsid w:val="311E2ED7"/>
    <w:rsid w:val="315619EE"/>
    <w:rsid w:val="315C449C"/>
    <w:rsid w:val="31B82709"/>
    <w:rsid w:val="31D05482"/>
    <w:rsid w:val="3202600F"/>
    <w:rsid w:val="32400B34"/>
    <w:rsid w:val="329E6876"/>
    <w:rsid w:val="32CC5168"/>
    <w:rsid w:val="32F730DF"/>
    <w:rsid w:val="32FE67B5"/>
    <w:rsid w:val="33031F59"/>
    <w:rsid w:val="333015F2"/>
    <w:rsid w:val="334B6320"/>
    <w:rsid w:val="33D934D4"/>
    <w:rsid w:val="33FE2F6A"/>
    <w:rsid w:val="340E07E5"/>
    <w:rsid w:val="34235BF7"/>
    <w:rsid w:val="34442EFD"/>
    <w:rsid w:val="34863E32"/>
    <w:rsid w:val="34A96FFF"/>
    <w:rsid w:val="34CA1AAC"/>
    <w:rsid w:val="350B635C"/>
    <w:rsid w:val="35426767"/>
    <w:rsid w:val="358349E1"/>
    <w:rsid w:val="358C5FA8"/>
    <w:rsid w:val="35C15DF1"/>
    <w:rsid w:val="36074A7F"/>
    <w:rsid w:val="360C63EA"/>
    <w:rsid w:val="361D5BAA"/>
    <w:rsid w:val="36923549"/>
    <w:rsid w:val="36A46A37"/>
    <w:rsid w:val="36B75FBF"/>
    <w:rsid w:val="36BD0C45"/>
    <w:rsid w:val="36FE4A06"/>
    <w:rsid w:val="379B2919"/>
    <w:rsid w:val="37C86907"/>
    <w:rsid w:val="37D67053"/>
    <w:rsid w:val="37E00298"/>
    <w:rsid w:val="37FD7B60"/>
    <w:rsid w:val="38800D71"/>
    <w:rsid w:val="389175C7"/>
    <w:rsid w:val="38A4043D"/>
    <w:rsid w:val="38B302F9"/>
    <w:rsid w:val="38F031B1"/>
    <w:rsid w:val="38F12CD3"/>
    <w:rsid w:val="38F94775"/>
    <w:rsid w:val="392971ED"/>
    <w:rsid w:val="39325651"/>
    <w:rsid w:val="39730417"/>
    <w:rsid w:val="399639E9"/>
    <w:rsid w:val="3A04643E"/>
    <w:rsid w:val="3A3D4027"/>
    <w:rsid w:val="3A820A2E"/>
    <w:rsid w:val="3A872856"/>
    <w:rsid w:val="3AC00DB7"/>
    <w:rsid w:val="3AF74713"/>
    <w:rsid w:val="3B3763D1"/>
    <w:rsid w:val="3C2F6E1E"/>
    <w:rsid w:val="3C32562E"/>
    <w:rsid w:val="3C4F64BA"/>
    <w:rsid w:val="3C9E2728"/>
    <w:rsid w:val="3CDA245A"/>
    <w:rsid w:val="3D1E06B7"/>
    <w:rsid w:val="3DB36C52"/>
    <w:rsid w:val="3E461010"/>
    <w:rsid w:val="3E956AEE"/>
    <w:rsid w:val="3EDA0523"/>
    <w:rsid w:val="3EEA3A38"/>
    <w:rsid w:val="3F4D2693"/>
    <w:rsid w:val="3F735BD0"/>
    <w:rsid w:val="3F9E166E"/>
    <w:rsid w:val="3FA660FD"/>
    <w:rsid w:val="3FEC39B9"/>
    <w:rsid w:val="402F5C98"/>
    <w:rsid w:val="407A6407"/>
    <w:rsid w:val="40BB3C9D"/>
    <w:rsid w:val="40BC44B1"/>
    <w:rsid w:val="417226CB"/>
    <w:rsid w:val="4200449D"/>
    <w:rsid w:val="423A3BCC"/>
    <w:rsid w:val="423D0B01"/>
    <w:rsid w:val="424E57D2"/>
    <w:rsid w:val="42574090"/>
    <w:rsid w:val="4267021B"/>
    <w:rsid w:val="42796625"/>
    <w:rsid w:val="42B26C49"/>
    <w:rsid w:val="4319296D"/>
    <w:rsid w:val="431A689F"/>
    <w:rsid w:val="43233349"/>
    <w:rsid w:val="433A6FE6"/>
    <w:rsid w:val="43480868"/>
    <w:rsid w:val="4350713C"/>
    <w:rsid w:val="43514AD9"/>
    <w:rsid w:val="436653E0"/>
    <w:rsid w:val="43C4431A"/>
    <w:rsid w:val="44513371"/>
    <w:rsid w:val="44B951CC"/>
    <w:rsid w:val="44CD14E0"/>
    <w:rsid w:val="44EB35FD"/>
    <w:rsid w:val="44F20B0B"/>
    <w:rsid w:val="452E5F4C"/>
    <w:rsid w:val="45612018"/>
    <w:rsid w:val="458946E9"/>
    <w:rsid w:val="45A47C0E"/>
    <w:rsid w:val="461876B5"/>
    <w:rsid w:val="4645583C"/>
    <w:rsid w:val="46472013"/>
    <w:rsid w:val="46577FD6"/>
    <w:rsid w:val="465D6D46"/>
    <w:rsid w:val="4666168A"/>
    <w:rsid w:val="46AC2EE6"/>
    <w:rsid w:val="46C23E84"/>
    <w:rsid w:val="46D45319"/>
    <w:rsid w:val="46D955A7"/>
    <w:rsid w:val="47133957"/>
    <w:rsid w:val="47A07E0C"/>
    <w:rsid w:val="4840278A"/>
    <w:rsid w:val="4870272E"/>
    <w:rsid w:val="48951578"/>
    <w:rsid w:val="48FC43CD"/>
    <w:rsid w:val="491D4633"/>
    <w:rsid w:val="492A51AE"/>
    <w:rsid w:val="495C6226"/>
    <w:rsid w:val="49AB3847"/>
    <w:rsid w:val="49B36ABC"/>
    <w:rsid w:val="49DC7715"/>
    <w:rsid w:val="4A023139"/>
    <w:rsid w:val="4A270B0F"/>
    <w:rsid w:val="4A7B576F"/>
    <w:rsid w:val="4ADA5BF4"/>
    <w:rsid w:val="4AF561A9"/>
    <w:rsid w:val="4B197978"/>
    <w:rsid w:val="4B4E4840"/>
    <w:rsid w:val="4B753609"/>
    <w:rsid w:val="4B8B1687"/>
    <w:rsid w:val="4B984484"/>
    <w:rsid w:val="4BB84D48"/>
    <w:rsid w:val="4BDD5B19"/>
    <w:rsid w:val="4BE500FE"/>
    <w:rsid w:val="4C4A0649"/>
    <w:rsid w:val="4C7E5ECA"/>
    <w:rsid w:val="4C876AA5"/>
    <w:rsid w:val="4D0E00FB"/>
    <w:rsid w:val="4D176606"/>
    <w:rsid w:val="4D4759EB"/>
    <w:rsid w:val="4DAC529D"/>
    <w:rsid w:val="4DEC4FB0"/>
    <w:rsid w:val="4DFC517E"/>
    <w:rsid w:val="4E031912"/>
    <w:rsid w:val="4E075D8A"/>
    <w:rsid w:val="4E3F0584"/>
    <w:rsid w:val="4E9F0AD4"/>
    <w:rsid w:val="4EC00FAD"/>
    <w:rsid w:val="4EF040B4"/>
    <w:rsid w:val="4F587465"/>
    <w:rsid w:val="4F717180"/>
    <w:rsid w:val="4F9843DC"/>
    <w:rsid w:val="4FC62A8C"/>
    <w:rsid w:val="4FC82E13"/>
    <w:rsid w:val="4FCA7DF8"/>
    <w:rsid w:val="4FE20F0D"/>
    <w:rsid w:val="4FE41DF1"/>
    <w:rsid w:val="4FE51552"/>
    <w:rsid w:val="50504C4B"/>
    <w:rsid w:val="509C6E7C"/>
    <w:rsid w:val="50A04C8E"/>
    <w:rsid w:val="50E549A5"/>
    <w:rsid w:val="50F91FB5"/>
    <w:rsid w:val="512201CC"/>
    <w:rsid w:val="514444DF"/>
    <w:rsid w:val="5162104E"/>
    <w:rsid w:val="51730139"/>
    <w:rsid w:val="51D541C8"/>
    <w:rsid w:val="51FD46AB"/>
    <w:rsid w:val="52204421"/>
    <w:rsid w:val="52585031"/>
    <w:rsid w:val="529F2588"/>
    <w:rsid w:val="52D875CF"/>
    <w:rsid w:val="53173242"/>
    <w:rsid w:val="537009DE"/>
    <w:rsid w:val="537A1809"/>
    <w:rsid w:val="538C7FBD"/>
    <w:rsid w:val="53A039CC"/>
    <w:rsid w:val="53A1505A"/>
    <w:rsid w:val="53CD7C4E"/>
    <w:rsid w:val="53E964F0"/>
    <w:rsid w:val="54063E08"/>
    <w:rsid w:val="543437E8"/>
    <w:rsid w:val="54464D92"/>
    <w:rsid w:val="54541440"/>
    <w:rsid w:val="54F73313"/>
    <w:rsid w:val="54F80955"/>
    <w:rsid w:val="555170A7"/>
    <w:rsid w:val="5564490D"/>
    <w:rsid w:val="5587536D"/>
    <w:rsid w:val="558C1019"/>
    <w:rsid w:val="559526C9"/>
    <w:rsid w:val="559B174B"/>
    <w:rsid w:val="55CE0CF4"/>
    <w:rsid w:val="560A4918"/>
    <w:rsid w:val="56B22A9C"/>
    <w:rsid w:val="56BF252A"/>
    <w:rsid w:val="56F628F0"/>
    <w:rsid w:val="57142AC0"/>
    <w:rsid w:val="57402F00"/>
    <w:rsid w:val="574379FF"/>
    <w:rsid w:val="57B72A76"/>
    <w:rsid w:val="57C3426C"/>
    <w:rsid w:val="57CE1F93"/>
    <w:rsid w:val="580316F0"/>
    <w:rsid w:val="584E2988"/>
    <w:rsid w:val="586B4722"/>
    <w:rsid w:val="588743D1"/>
    <w:rsid w:val="5887701A"/>
    <w:rsid w:val="595C1C7B"/>
    <w:rsid w:val="59636A42"/>
    <w:rsid w:val="598B598C"/>
    <w:rsid w:val="598E5ECE"/>
    <w:rsid w:val="59C0439F"/>
    <w:rsid w:val="59CC3CA4"/>
    <w:rsid w:val="5A1347D3"/>
    <w:rsid w:val="5A5018D2"/>
    <w:rsid w:val="5A5672B8"/>
    <w:rsid w:val="5ABE2233"/>
    <w:rsid w:val="5ABF13A2"/>
    <w:rsid w:val="5ACA7D23"/>
    <w:rsid w:val="5B3649D9"/>
    <w:rsid w:val="5BD17E8C"/>
    <w:rsid w:val="5BDF5D95"/>
    <w:rsid w:val="5BFE7528"/>
    <w:rsid w:val="5C624BDB"/>
    <w:rsid w:val="5C7E26A0"/>
    <w:rsid w:val="5C9546B7"/>
    <w:rsid w:val="5CFC1A07"/>
    <w:rsid w:val="5CFD44CD"/>
    <w:rsid w:val="5D0E4DA5"/>
    <w:rsid w:val="5D9200F6"/>
    <w:rsid w:val="5DDA247E"/>
    <w:rsid w:val="5E2467F1"/>
    <w:rsid w:val="5E7627CF"/>
    <w:rsid w:val="5ED43736"/>
    <w:rsid w:val="5F0279C4"/>
    <w:rsid w:val="5F1A2B43"/>
    <w:rsid w:val="5F256DA4"/>
    <w:rsid w:val="5F3F2BD4"/>
    <w:rsid w:val="5F552191"/>
    <w:rsid w:val="5F9E6FD4"/>
    <w:rsid w:val="5FB837BB"/>
    <w:rsid w:val="6042482A"/>
    <w:rsid w:val="60CC405A"/>
    <w:rsid w:val="61452EA1"/>
    <w:rsid w:val="61E215D8"/>
    <w:rsid w:val="620B0C6B"/>
    <w:rsid w:val="621B3775"/>
    <w:rsid w:val="62364782"/>
    <w:rsid w:val="624B3430"/>
    <w:rsid w:val="629009AE"/>
    <w:rsid w:val="634428E6"/>
    <w:rsid w:val="638C0852"/>
    <w:rsid w:val="6394356A"/>
    <w:rsid w:val="63BF4278"/>
    <w:rsid w:val="63C61B2C"/>
    <w:rsid w:val="63D40BE9"/>
    <w:rsid w:val="64102431"/>
    <w:rsid w:val="646A047C"/>
    <w:rsid w:val="64A5243A"/>
    <w:rsid w:val="64A866B8"/>
    <w:rsid w:val="64F531DE"/>
    <w:rsid w:val="65373578"/>
    <w:rsid w:val="659D391E"/>
    <w:rsid w:val="66125028"/>
    <w:rsid w:val="66584928"/>
    <w:rsid w:val="668B56A4"/>
    <w:rsid w:val="671B3C49"/>
    <w:rsid w:val="671F124A"/>
    <w:rsid w:val="674E7C4A"/>
    <w:rsid w:val="675553A1"/>
    <w:rsid w:val="6768686D"/>
    <w:rsid w:val="677A33C6"/>
    <w:rsid w:val="67FE0206"/>
    <w:rsid w:val="68176888"/>
    <w:rsid w:val="681F6961"/>
    <w:rsid w:val="684657AD"/>
    <w:rsid w:val="68610A2F"/>
    <w:rsid w:val="68805514"/>
    <w:rsid w:val="68D61438"/>
    <w:rsid w:val="68F20ACA"/>
    <w:rsid w:val="69316E2F"/>
    <w:rsid w:val="693612DA"/>
    <w:rsid w:val="694D02CF"/>
    <w:rsid w:val="694E2071"/>
    <w:rsid w:val="69766163"/>
    <w:rsid w:val="697A3B33"/>
    <w:rsid w:val="69CB5949"/>
    <w:rsid w:val="69D44760"/>
    <w:rsid w:val="6A086C2B"/>
    <w:rsid w:val="6A3F1BB1"/>
    <w:rsid w:val="6A520EC7"/>
    <w:rsid w:val="6ABE710C"/>
    <w:rsid w:val="6ACC2E0B"/>
    <w:rsid w:val="6AF87E20"/>
    <w:rsid w:val="6B322639"/>
    <w:rsid w:val="6B365098"/>
    <w:rsid w:val="6B947079"/>
    <w:rsid w:val="6C0D283B"/>
    <w:rsid w:val="6C636C38"/>
    <w:rsid w:val="6CC72168"/>
    <w:rsid w:val="6D052B00"/>
    <w:rsid w:val="6D2C6BC7"/>
    <w:rsid w:val="6D665323"/>
    <w:rsid w:val="6DB34098"/>
    <w:rsid w:val="6DB545B6"/>
    <w:rsid w:val="6DD71B95"/>
    <w:rsid w:val="6DDC1E1B"/>
    <w:rsid w:val="6DE02FB4"/>
    <w:rsid w:val="6E4E22DE"/>
    <w:rsid w:val="6E514CED"/>
    <w:rsid w:val="6E9A203B"/>
    <w:rsid w:val="6EB563D5"/>
    <w:rsid w:val="6ED92677"/>
    <w:rsid w:val="6EDB3A14"/>
    <w:rsid w:val="6F225983"/>
    <w:rsid w:val="6F831734"/>
    <w:rsid w:val="6F884FAB"/>
    <w:rsid w:val="6F930738"/>
    <w:rsid w:val="6FFC5590"/>
    <w:rsid w:val="7004472B"/>
    <w:rsid w:val="70165F3E"/>
    <w:rsid w:val="706D1DD0"/>
    <w:rsid w:val="70856B87"/>
    <w:rsid w:val="70913458"/>
    <w:rsid w:val="709A225B"/>
    <w:rsid w:val="70D527EE"/>
    <w:rsid w:val="715B5300"/>
    <w:rsid w:val="71D27F8A"/>
    <w:rsid w:val="72553024"/>
    <w:rsid w:val="72CA7FD3"/>
    <w:rsid w:val="73122968"/>
    <w:rsid w:val="731F5D5E"/>
    <w:rsid w:val="733A528B"/>
    <w:rsid w:val="73A512DF"/>
    <w:rsid w:val="73AB386A"/>
    <w:rsid w:val="73C51AD5"/>
    <w:rsid w:val="73CC17E7"/>
    <w:rsid w:val="73EB78DF"/>
    <w:rsid w:val="73FA42D7"/>
    <w:rsid w:val="73FC5C5E"/>
    <w:rsid w:val="740C01DC"/>
    <w:rsid w:val="741E793C"/>
    <w:rsid w:val="745E3944"/>
    <w:rsid w:val="74796271"/>
    <w:rsid w:val="749477A2"/>
    <w:rsid w:val="74ED2D59"/>
    <w:rsid w:val="750B5D78"/>
    <w:rsid w:val="750D4798"/>
    <w:rsid w:val="75102390"/>
    <w:rsid w:val="7635099D"/>
    <w:rsid w:val="76677A4E"/>
    <w:rsid w:val="77762421"/>
    <w:rsid w:val="77917399"/>
    <w:rsid w:val="77B56B1F"/>
    <w:rsid w:val="77BC3140"/>
    <w:rsid w:val="780F09F4"/>
    <w:rsid w:val="78837505"/>
    <w:rsid w:val="78A90480"/>
    <w:rsid w:val="7923282F"/>
    <w:rsid w:val="7A364017"/>
    <w:rsid w:val="7A8265E1"/>
    <w:rsid w:val="7AB36508"/>
    <w:rsid w:val="7AD4000F"/>
    <w:rsid w:val="7ADB35C5"/>
    <w:rsid w:val="7ADD72D6"/>
    <w:rsid w:val="7AF471EC"/>
    <w:rsid w:val="7B480E7C"/>
    <w:rsid w:val="7B686D42"/>
    <w:rsid w:val="7B841746"/>
    <w:rsid w:val="7BD83A7E"/>
    <w:rsid w:val="7C00590D"/>
    <w:rsid w:val="7C2A6DCD"/>
    <w:rsid w:val="7C6C5AC7"/>
    <w:rsid w:val="7CC6544B"/>
    <w:rsid w:val="7D0239FF"/>
    <w:rsid w:val="7D0529CB"/>
    <w:rsid w:val="7D2C72A3"/>
    <w:rsid w:val="7D5E40CD"/>
    <w:rsid w:val="7D70087A"/>
    <w:rsid w:val="7D7A7B9F"/>
    <w:rsid w:val="7D8D4525"/>
    <w:rsid w:val="7DA904D0"/>
    <w:rsid w:val="7DB73F4A"/>
    <w:rsid w:val="7DCD56F2"/>
    <w:rsid w:val="7E423935"/>
    <w:rsid w:val="7E5564B1"/>
    <w:rsid w:val="7EE84351"/>
    <w:rsid w:val="7F001CE7"/>
    <w:rsid w:val="7FE27DFA"/>
    <w:rsid w:val="7FE47E50"/>
  </w:rsids>
  <m:mathPr>
    <m:mathFont m:val="Cambria Math"/>
    <m:brkBin m:val="before"/>
    <m:brkBinSub m:val="--"/>
    <m:smallFrac m:val="0"/>
    <m:dispDef/>
    <m:lMargin m:val="0"/>
    <m:rMargin m:val="0"/>
    <m:defJc m:val="centerGroup"/>
    <m:wrapIndent m:val="1440"/>
    <m:intLim m:val="subSup"/>
    <m:naryLim m:val="undOvr"/>
  </m:mathPr>
  <w:doNotAutoCompressPictures/>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9" w:semiHidden="0" w:name="heading 1" w:locked="1"/>
    <w:lsdException w:qFormat="1" w:unhideWhenUsed="0" w:uiPriority="99" w:semiHidden="0" w:name="heading 2" w:locked="1"/>
    <w:lsdException w:qFormat="1" w:unhideWhenUsed="0" w:uiPriority="99" w:semiHidden="0" w:name="heading 3" w:locked="1"/>
    <w:lsdException w:qFormat="1" w:unhideWhenUsed="0" w:uiPriority="99" w:semiHidden="0" w:name="heading 4"/>
    <w:lsdException w:qFormat="1" w:uiPriority="9" w:name="heading 5" w:locked="1"/>
    <w:lsdException w:qFormat="1" w:uiPriority="9" w:name="heading 6" w:locked="1"/>
    <w:lsdException w:qFormat="1" w:uiPriority="9" w:name="heading 7" w:locked="1"/>
    <w:lsdException w:qFormat="1" w:uiPriority="9" w:name="heading 8" w:locked="1"/>
    <w:lsdException w:qFormat="1" w:uiPriority="9" w:name="heading 9" w:locked="1"/>
    <w:lsdException w:qFormat="1" w:unhideWhenUsed="0" w:uiPriority="0" w:semiHidden="0" w:name="index 1" w:locked="1"/>
    <w:lsdException w:uiPriority="99" w:name="index 2" w:locked="1"/>
    <w:lsdException w:uiPriority="99" w:name="index 3" w:locked="1"/>
    <w:lsdException w:uiPriority="99" w:name="index 4" w:locked="1"/>
    <w:lsdException w:uiPriority="99" w:name="index 5" w:locked="1"/>
    <w:lsdException w:uiPriority="99" w:name="index 6" w:locked="1"/>
    <w:lsdException w:uiPriority="99" w:name="index 7" w:locked="1"/>
    <w:lsdException w:uiPriority="99" w:name="index 8" w:locked="1"/>
    <w:lsdException w:uiPriority="99" w:name="index 9" w:locked="1"/>
    <w:lsdException w:qFormat="1" w:unhideWhenUsed="0" w:uiPriority="99" w:semiHidden="0" w:name="toc 1" w:locked="1"/>
    <w:lsdException w:qFormat="1" w:unhideWhenUsed="0" w:uiPriority="99" w:semiHidden="0" w:name="toc 2" w:locked="1"/>
    <w:lsdException w:qFormat="1" w:unhideWhenUsed="0" w:uiPriority="99" w:semiHidden="0" w:name="toc 3" w:locked="1"/>
    <w:lsdException w:qFormat="1" w:unhideWhenUsed="0" w:uiPriority="99" w:semiHidden="0" w:name="toc 4" w:locked="1"/>
    <w:lsdException w:qFormat="1" w:unhideWhenUsed="0" w:uiPriority="99" w:semiHidden="0" w:name="toc 5" w:locked="1"/>
    <w:lsdException w:qFormat="1" w:unhideWhenUsed="0" w:uiPriority="99" w:semiHidden="0" w:name="toc 6" w:locked="1"/>
    <w:lsdException w:qFormat="1" w:unhideWhenUsed="0" w:uiPriority="99" w:semiHidden="0" w:name="toc 7" w:locked="1"/>
    <w:lsdException w:qFormat="1" w:unhideWhenUsed="0" w:uiPriority="99" w:semiHidden="0" w:name="toc 8" w:locked="1"/>
    <w:lsdException w:qFormat="1" w:unhideWhenUsed="0" w:uiPriority="99" w:semiHidden="0" w:name="toc 9" w:locked="1"/>
    <w:lsdException w:qFormat="1" w:unhideWhenUsed="0" w:uiPriority="99" w:semiHidden="0" w:name="Normal Indent" w:locked="1"/>
    <w:lsdException w:uiPriority="99" w:name="footnote text" w:locked="1"/>
    <w:lsdException w:qFormat="1" w:unhideWhenUsed="0" w:uiPriority="99" w:semiHidden="0" w:name="annotation text"/>
    <w:lsdException w:qFormat="1" w:unhideWhenUsed="0" w:uiPriority="99" w:semiHidden="0" w:name="header"/>
    <w:lsdException w:qFormat="1" w:unhideWhenUsed="0" w:uiPriority="99" w:semiHidden="0" w:name="footer"/>
    <w:lsdException w:uiPriority="99" w:name="index heading" w:locked="1"/>
    <w:lsdException w:qFormat="1" w:unhideWhenUsed="0" w:uiPriority="99" w:semiHidden="0" w:name="caption" w:locked="1"/>
    <w:lsdException w:uiPriority="99" w:name="table of figures" w:locked="1"/>
    <w:lsdException w:uiPriority="99" w:name="envelope address" w:locked="1"/>
    <w:lsdException w:uiPriority="99" w:name="envelope return" w:locked="1"/>
    <w:lsdException w:uiPriority="99" w:name="footnote reference" w:locked="1"/>
    <w:lsdException w:qFormat="1" w:unhideWhenUsed="0" w:uiPriority="99" w:semiHidden="0" w:name="annotation reference"/>
    <w:lsdException w:uiPriority="99" w:name="line number" w:locked="1"/>
    <w:lsdException w:qFormat="1" w:unhideWhenUsed="0" w:uiPriority="99" w:semiHidden="0" w:name="page number" w:locked="1"/>
    <w:lsdException w:uiPriority="99" w:name="endnote reference" w:locked="1"/>
    <w:lsdException w:uiPriority="99" w:name="endnote text" w:locked="1"/>
    <w:lsdException w:uiPriority="99" w:name="table of authorities" w:locked="1"/>
    <w:lsdException w:uiPriority="99" w:name="macro" w:locked="1"/>
    <w:lsdException w:uiPriority="99" w:name="toa heading" w:locked="1"/>
    <w:lsdException w:uiPriority="99" w:name="List" w:locked="1"/>
    <w:lsdException w:uiPriority="99" w:name="List Bullet" w:locked="1"/>
    <w:lsdException w:uiPriority="99" w:name="List Number" w:locked="1"/>
    <w:lsdException w:uiPriority="99" w:name="List 2" w:locked="1"/>
    <w:lsdException w:uiPriority="99" w:name="List 3" w:locked="1"/>
    <w:lsdException w:uiPriority="99" w:name="List 4" w:locked="1"/>
    <w:lsdException w:uiPriority="99" w:name="List 5" w:locked="1"/>
    <w:lsdException w:uiPriority="99" w:name="List Bullet 2" w:locked="1"/>
    <w:lsdException w:uiPriority="99" w:name="List Bullet 3" w:locked="1"/>
    <w:lsdException w:uiPriority="99" w:name="List Bullet 4" w:locked="1"/>
    <w:lsdException w:uiPriority="99" w:name="List Bullet 5" w:locked="1"/>
    <w:lsdException w:uiPriority="99" w:name="List Number 2" w:locked="1"/>
    <w:lsdException w:uiPriority="99" w:name="List Number 3" w:locked="1"/>
    <w:lsdException w:uiPriority="99" w:name="List Number 4" w:locked="1"/>
    <w:lsdException w:uiPriority="99" w:name="List Number 5" w:locked="1"/>
    <w:lsdException w:qFormat="1" w:unhideWhenUsed="0" w:uiPriority="10" w:semiHidden="0" w:name="Title" w:locked="1"/>
    <w:lsdException w:uiPriority="99" w:name="Closing" w:locked="1"/>
    <w:lsdException w:uiPriority="99" w:name="Signature" w:locked="1"/>
    <w:lsdException w:qFormat="1" w:uiPriority="1" w:name="Default Paragraph Font"/>
    <w:lsdException w:qFormat="1" w:unhideWhenUsed="0" w:uiPriority="99" w:semiHidden="0" w:name="Body Text"/>
    <w:lsdException w:qFormat="1" w:unhideWhenUsed="0" w:uiPriority="99" w:semiHidden="0" w:name="Body Text Indent"/>
    <w:lsdException w:uiPriority="99" w:name="List Continue" w:locked="1"/>
    <w:lsdException w:uiPriority="99" w:name="List Continue 2" w:locked="1"/>
    <w:lsdException w:uiPriority="99" w:name="List Continue 3" w:locked="1"/>
    <w:lsdException w:uiPriority="99" w:name="List Continue 4" w:locked="1"/>
    <w:lsdException w:uiPriority="99" w:name="List Continue 5" w:locked="1"/>
    <w:lsdException w:uiPriority="99" w:name="Message Header" w:locked="1"/>
    <w:lsdException w:qFormat="1" w:unhideWhenUsed="0" w:uiPriority="11" w:semiHidden="0" w:name="Subtitle" w:locked="1"/>
    <w:lsdException w:uiPriority="99" w:name="Salutation" w:locked="1"/>
    <w:lsdException w:qFormat="1" w:unhideWhenUsed="0" w:uiPriority="99" w:semiHidden="0" w:name="Date"/>
    <w:lsdException w:qFormat="1" w:unhideWhenUsed="0" w:uiPriority="99" w:semiHidden="0" w:name="Body Text First Indent" w:locked="1"/>
    <w:lsdException w:qFormat="1" w:unhideWhenUsed="0" w:uiPriority="99" w:semiHidden="0" w:name="Body Text First Indent 2" w:locked="1"/>
    <w:lsdException w:uiPriority="99" w:name="Note Heading" w:locked="1"/>
    <w:lsdException w:uiPriority="99" w:name="Body Text 2" w:locked="1"/>
    <w:lsdException w:uiPriority="99" w:name="Body Text 3" w:locked="1"/>
    <w:lsdException w:qFormat="1" w:unhideWhenUsed="0" w:uiPriority="99" w:semiHidden="0" w:name="Body Text Indent 2" w:locked="1"/>
    <w:lsdException w:qFormat="1" w:unhideWhenUsed="0" w:uiPriority="99" w:semiHidden="0" w:name="Body Text Indent 3" w:locked="1"/>
    <w:lsdException w:uiPriority="99" w:name="Block Text" w:locked="1"/>
    <w:lsdException w:qFormat="1" w:unhideWhenUsed="0" w:uiPriority="99" w:semiHidden="0" w:name="Hyperlink" w:locked="1"/>
    <w:lsdException w:uiPriority="99" w:name="FollowedHyperlink" w:locked="1"/>
    <w:lsdException w:qFormat="1" w:unhideWhenUsed="0" w:uiPriority="99" w:semiHidden="0" w:name="Strong"/>
    <w:lsdException w:qFormat="1" w:unhideWhenUsed="0" w:uiPriority="20" w:semiHidden="0" w:name="Emphasis" w:locked="1"/>
    <w:lsdException w:uiPriority="99" w:name="Document Map" w:locked="1"/>
    <w:lsdException w:qFormat="1" w:unhideWhenUsed="0" w:uiPriority="99" w:semiHidden="0" w:name="Plain Text" w:locked="1"/>
    <w:lsdException w:uiPriority="99" w:name="E-mail Signature" w:locked="1"/>
    <w:lsdException w:qFormat="1" w:unhideWhenUsed="0" w:uiPriority="99" w:semiHidden="0" w:name="Normal (Web)"/>
    <w:lsdException w:uiPriority="99" w:name="HTML Acronym" w:locked="1"/>
    <w:lsdException w:uiPriority="99" w:name="HTML Address" w:locked="1"/>
    <w:lsdException w:uiPriority="99" w:name="HTML Cite" w:locked="1"/>
    <w:lsdException w:uiPriority="99" w:name="HTML Code" w:locked="1"/>
    <w:lsdException w:uiPriority="99" w:name="HTML Definition" w:locked="1"/>
    <w:lsdException w:uiPriority="99" w:name="HTML Keyboard" w:locked="1"/>
    <w:lsdException w:uiPriority="99" w:name="HTML Preformatted" w:locked="1"/>
    <w:lsdException w:uiPriority="99" w:name="HTML Sample" w:locked="1"/>
    <w:lsdException w:uiPriority="99" w:name="HTML Typewriter" w:locked="1"/>
    <w:lsdException w:uiPriority="99" w:name="HTML Variable" w:locked="1"/>
    <w:lsdException w:qFormat="1" w:uiPriority="99" w:name="Normal Table"/>
    <w:lsdException w:qFormat="1" w:unhideWhenUsed="0" w:uiPriority="99" w:name="annotation subject"/>
    <w:lsdException w:uiPriority="99" w:name="Table Simple 1" w:locked="1"/>
    <w:lsdException w:uiPriority="99" w:name="Table Simple 2" w:locked="1"/>
    <w:lsdException w:uiPriority="99" w:name="Table Simple 3" w:locked="1"/>
    <w:lsdException w:uiPriority="99" w:name="Table Classic 1" w:locked="1"/>
    <w:lsdException w:uiPriority="99" w:name="Table Classic 2" w:locked="1"/>
    <w:lsdException w:uiPriority="99" w:name="Table Classic 3" w:locked="1"/>
    <w:lsdException w:uiPriority="99" w:name="Table Classic 4" w:locked="1"/>
    <w:lsdException w:uiPriority="99" w:name="Table Colorful 1" w:locked="1"/>
    <w:lsdException w:uiPriority="99" w:name="Table Colorful 2" w:locked="1"/>
    <w:lsdException w:uiPriority="99" w:name="Table Colorful 3" w:locked="1"/>
    <w:lsdException w:uiPriority="99" w:name="Table Columns 1" w:locked="1"/>
    <w:lsdException w:uiPriority="99" w:name="Table Columns 2" w:locked="1"/>
    <w:lsdException w:uiPriority="99" w:name="Table Columns 3" w:locked="1"/>
    <w:lsdException w:uiPriority="99" w:name="Table Columns 4" w:locked="1"/>
    <w:lsdException w:uiPriority="99" w:name="Table Columns 5" w:locked="1"/>
    <w:lsdException w:uiPriority="99" w:name="Table Grid 1" w:locked="1"/>
    <w:lsdException w:uiPriority="99" w:name="Table Grid 2" w:locked="1"/>
    <w:lsdException w:uiPriority="99" w:name="Table Grid 3" w:locked="1"/>
    <w:lsdException w:uiPriority="99" w:name="Table Grid 4" w:locked="1"/>
    <w:lsdException w:uiPriority="99" w:name="Table Grid 5" w:locked="1"/>
    <w:lsdException w:uiPriority="99" w:name="Table Grid 6" w:locked="1"/>
    <w:lsdException w:uiPriority="99" w:name="Table Grid 7" w:locked="1"/>
    <w:lsdException w:uiPriority="99" w:name="Table Grid 8" w:locked="1"/>
    <w:lsdException w:uiPriority="99" w:name="Table List 1" w:locked="1"/>
    <w:lsdException w:uiPriority="99" w:name="Table List 2" w:locked="1"/>
    <w:lsdException w:uiPriority="99" w:name="Table List 3" w:locked="1"/>
    <w:lsdException w:uiPriority="99" w:name="Table List 4" w:locked="1"/>
    <w:lsdException w:uiPriority="99" w:name="Table List 5" w:locked="1"/>
    <w:lsdException w:uiPriority="99" w:name="Table List 6" w:locked="1"/>
    <w:lsdException w:uiPriority="99" w:name="Table List 7" w:locked="1"/>
    <w:lsdException w:uiPriority="99" w:name="Table List 8" w:locked="1"/>
    <w:lsdException w:uiPriority="99" w:name="Table 3D effects 1" w:locked="1"/>
    <w:lsdException w:uiPriority="99" w:name="Table 3D effects 2" w:locked="1"/>
    <w:lsdException w:uiPriority="99" w:name="Table 3D effects 3" w:locked="1"/>
    <w:lsdException w:uiPriority="99" w:name="Table Contemporary" w:locked="1"/>
    <w:lsdException w:uiPriority="99" w:name="Table Elegant" w:locked="1"/>
    <w:lsdException w:uiPriority="99" w:name="Table Professional" w:locked="1"/>
    <w:lsdException w:uiPriority="99" w:name="Table Subtle 1" w:locked="1"/>
    <w:lsdException w:uiPriority="99" w:name="Table Subtle 2" w:locked="1"/>
    <w:lsdException w:uiPriority="99" w:name="Table Web 1" w:locked="1"/>
    <w:lsdException w:uiPriority="99" w:name="Table Web 2" w:locked="1"/>
    <w:lsdException w:uiPriority="99" w:name="Table Web 3" w:locked="1"/>
    <w:lsdException w:qFormat="1" w:unhideWhenUsed="0" w:uiPriority="99" w:name="Balloon Text"/>
    <w:lsdException w:qFormat="1" w:unhideWhenUsed="0" w:uiPriority="99" w:semiHidden="0" w:name="Table Grid"/>
    <w:lsdException w:uiPriority="99" w:name="Table Theme" w:locked="1"/>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99"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4"/>
      <w:szCs w:val="24"/>
      <w:lang w:val="en-US" w:eastAsia="zh-CN" w:bidi="ar-SA"/>
    </w:rPr>
  </w:style>
  <w:style w:type="paragraph" w:styleId="2">
    <w:name w:val="heading 1"/>
    <w:basedOn w:val="1"/>
    <w:next w:val="1"/>
    <w:link w:val="41"/>
    <w:qFormat/>
    <w:locked/>
    <w:uiPriority w:val="99"/>
    <w:pPr>
      <w:keepNext/>
      <w:overflowPunct w:val="0"/>
      <w:snapToGrid w:val="0"/>
      <w:spacing w:before="120" w:after="160" w:line="259" w:lineRule="auto"/>
      <w:ind w:left="432" w:hanging="432"/>
      <w:outlineLvl w:val="0"/>
    </w:pPr>
    <w:rPr>
      <w:rFonts w:eastAsia="黑体"/>
      <w:b/>
      <w:bCs/>
      <w:color w:val="000000"/>
      <w:kern w:val="44"/>
      <w:sz w:val="30"/>
      <w:szCs w:val="30"/>
    </w:rPr>
  </w:style>
  <w:style w:type="paragraph" w:styleId="3">
    <w:name w:val="heading 2"/>
    <w:basedOn w:val="1"/>
    <w:next w:val="1"/>
    <w:link w:val="43"/>
    <w:qFormat/>
    <w:locked/>
    <w:uiPriority w:val="99"/>
    <w:pPr>
      <w:keepNext/>
      <w:keepLines/>
      <w:spacing w:before="260" w:after="260" w:line="416" w:lineRule="auto"/>
      <w:outlineLvl w:val="1"/>
    </w:pPr>
    <w:rPr>
      <w:rFonts w:ascii="Cambria" w:hAnsi="Cambria"/>
      <w:b/>
      <w:bCs/>
      <w:sz w:val="32"/>
      <w:szCs w:val="32"/>
    </w:rPr>
  </w:style>
  <w:style w:type="paragraph" w:styleId="4">
    <w:name w:val="heading 3"/>
    <w:basedOn w:val="1"/>
    <w:next w:val="1"/>
    <w:link w:val="44"/>
    <w:qFormat/>
    <w:locked/>
    <w:uiPriority w:val="99"/>
    <w:pPr>
      <w:keepNext/>
      <w:keepLines/>
      <w:spacing w:before="260" w:after="260" w:line="416" w:lineRule="auto"/>
      <w:outlineLvl w:val="2"/>
    </w:pPr>
    <w:rPr>
      <w:b/>
      <w:bCs/>
      <w:sz w:val="32"/>
      <w:szCs w:val="32"/>
    </w:rPr>
  </w:style>
  <w:style w:type="paragraph" w:styleId="5">
    <w:name w:val="heading 4"/>
    <w:basedOn w:val="1"/>
    <w:next w:val="1"/>
    <w:link w:val="45"/>
    <w:qFormat/>
    <w:uiPriority w:val="99"/>
    <w:pPr>
      <w:keepNext/>
      <w:keepLines/>
      <w:tabs>
        <w:tab w:val="left" w:pos="5714"/>
      </w:tabs>
      <w:jc w:val="left"/>
      <w:outlineLvl w:val="3"/>
    </w:pPr>
    <w:rPr>
      <w:b/>
      <w:bCs/>
      <w:sz w:val="28"/>
      <w:szCs w:val="28"/>
    </w:rPr>
  </w:style>
  <w:style w:type="character" w:default="1" w:styleId="34">
    <w:name w:val="Default Paragraph Font"/>
    <w:semiHidden/>
    <w:unhideWhenUsed/>
    <w:qFormat/>
    <w:uiPriority w:val="1"/>
  </w:style>
  <w:style w:type="table" w:default="1" w:styleId="32">
    <w:name w:val="Normal Table"/>
    <w:semiHidden/>
    <w:unhideWhenUsed/>
    <w:qFormat/>
    <w:uiPriority w:val="99"/>
    <w:pPr>
      <w:keepNext w:val="0"/>
      <w:keepLines w:val="0"/>
      <w:widowControl/>
      <w:suppressLineNumbers w:val="0"/>
      <w:spacing w:before="0" w:beforeAutospacing="0" w:after="0" w:afterAutospacing="0"/>
      <w:ind w:left="0" w:right="0"/>
    </w:pPr>
    <w:rPr>
      <w:rFonts w:hint="default" w:ascii="Times New Roman" w:hAnsi="Times New Roman" w:cs="Times New Roman"/>
      <w:sz w:val="20"/>
      <w:szCs w:val="20"/>
    </w:rPr>
    <w:tblPr>
      <w:tblCellMar>
        <w:top w:w="0" w:type="dxa"/>
        <w:left w:w="108" w:type="dxa"/>
        <w:bottom w:w="0" w:type="dxa"/>
        <w:right w:w="108" w:type="dxa"/>
      </w:tblCellMar>
    </w:tblPr>
  </w:style>
  <w:style w:type="paragraph" w:styleId="6">
    <w:name w:val="toc 7"/>
    <w:basedOn w:val="1"/>
    <w:next w:val="1"/>
    <w:qFormat/>
    <w:locked/>
    <w:uiPriority w:val="99"/>
    <w:pPr>
      <w:ind w:left="1050"/>
      <w:jc w:val="left"/>
    </w:pPr>
    <w:rPr>
      <w:rFonts w:ascii="Calibri" w:hAnsi="Calibri" w:cs="Calibri"/>
      <w:sz w:val="20"/>
      <w:szCs w:val="20"/>
    </w:rPr>
  </w:style>
  <w:style w:type="paragraph" w:styleId="7">
    <w:name w:val="Normal Indent"/>
    <w:basedOn w:val="1"/>
    <w:next w:val="1"/>
    <w:link w:val="77"/>
    <w:qFormat/>
    <w:locked/>
    <w:uiPriority w:val="99"/>
    <w:pPr>
      <w:ind w:firstLine="420" w:firstLineChars="200"/>
    </w:pPr>
    <w:rPr>
      <w:sz w:val="21"/>
      <w:szCs w:val="20"/>
    </w:rPr>
  </w:style>
  <w:style w:type="paragraph" w:styleId="8">
    <w:name w:val="caption"/>
    <w:basedOn w:val="1"/>
    <w:next w:val="1"/>
    <w:link w:val="104"/>
    <w:qFormat/>
    <w:locked/>
    <w:uiPriority w:val="99"/>
    <w:pPr>
      <w:adjustRightInd w:val="0"/>
      <w:spacing w:afterLines="50" w:line="560" w:lineRule="exact"/>
      <w:ind w:firstLine="560" w:firstLineChars="200"/>
      <w:jc w:val="left"/>
      <w:textAlignment w:val="baseline"/>
    </w:pPr>
    <w:rPr>
      <w:rFonts w:ascii="Arial" w:hAnsi="Arial" w:eastAsia="黑体"/>
      <w:kern w:val="0"/>
      <w:sz w:val="20"/>
      <w:szCs w:val="20"/>
      <w:lang w:val="zh-CN"/>
    </w:rPr>
  </w:style>
  <w:style w:type="paragraph" w:styleId="9">
    <w:name w:val="annotation text"/>
    <w:basedOn w:val="1"/>
    <w:link w:val="48"/>
    <w:qFormat/>
    <w:uiPriority w:val="99"/>
    <w:pPr>
      <w:jc w:val="left"/>
    </w:pPr>
    <w:rPr>
      <w:kern w:val="0"/>
      <w:szCs w:val="20"/>
    </w:rPr>
  </w:style>
  <w:style w:type="paragraph" w:styleId="10">
    <w:name w:val="Body Text"/>
    <w:basedOn w:val="1"/>
    <w:next w:val="11"/>
    <w:link w:val="49"/>
    <w:qFormat/>
    <w:uiPriority w:val="99"/>
    <w:pPr>
      <w:widowControl/>
      <w:snapToGrid w:val="0"/>
      <w:spacing w:before="60" w:after="160" w:line="259" w:lineRule="auto"/>
      <w:ind w:right="113"/>
    </w:pPr>
    <w:rPr>
      <w:kern w:val="0"/>
      <w:sz w:val="18"/>
      <w:szCs w:val="20"/>
    </w:rPr>
  </w:style>
  <w:style w:type="paragraph" w:styleId="11">
    <w:name w:val="toc 1"/>
    <w:basedOn w:val="1"/>
    <w:next w:val="1"/>
    <w:qFormat/>
    <w:locked/>
    <w:uiPriority w:val="99"/>
    <w:pPr>
      <w:tabs>
        <w:tab w:val="right" w:leader="dot" w:pos="8834"/>
      </w:tabs>
      <w:spacing w:before="360"/>
      <w:jc w:val="center"/>
    </w:pPr>
    <w:rPr>
      <w:rFonts w:ascii="Cambria" w:hAnsi="Cambria"/>
      <w:b/>
      <w:bCs/>
      <w:caps/>
      <w:sz w:val="44"/>
      <w:szCs w:val="44"/>
    </w:rPr>
  </w:style>
  <w:style w:type="paragraph" w:styleId="12">
    <w:name w:val="Body Text Indent"/>
    <w:basedOn w:val="1"/>
    <w:link w:val="46"/>
    <w:qFormat/>
    <w:uiPriority w:val="99"/>
    <w:pPr>
      <w:spacing w:after="120"/>
      <w:ind w:left="420" w:leftChars="200"/>
    </w:pPr>
    <w:rPr>
      <w:kern w:val="0"/>
      <w:szCs w:val="20"/>
    </w:rPr>
  </w:style>
  <w:style w:type="paragraph" w:styleId="13">
    <w:name w:val="toc 5"/>
    <w:basedOn w:val="1"/>
    <w:next w:val="1"/>
    <w:qFormat/>
    <w:locked/>
    <w:uiPriority w:val="99"/>
    <w:pPr>
      <w:ind w:left="630"/>
      <w:jc w:val="left"/>
    </w:pPr>
    <w:rPr>
      <w:rFonts w:ascii="Calibri" w:hAnsi="Calibri" w:cs="Calibri"/>
      <w:sz w:val="20"/>
      <w:szCs w:val="20"/>
    </w:rPr>
  </w:style>
  <w:style w:type="paragraph" w:styleId="14">
    <w:name w:val="toc 3"/>
    <w:basedOn w:val="1"/>
    <w:next w:val="1"/>
    <w:qFormat/>
    <w:locked/>
    <w:uiPriority w:val="99"/>
    <w:pPr>
      <w:ind w:left="210"/>
      <w:jc w:val="left"/>
    </w:pPr>
    <w:rPr>
      <w:rFonts w:ascii="Calibri" w:hAnsi="Calibri" w:cs="Calibri"/>
      <w:sz w:val="20"/>
      <w:szCs w:val="20"/>
    </w:rPr>
  </w:style>
  <w:style w:type="paragraph" w:styleId="15">
    <w:name w:val="Plain Text"/>
    <w:basedOn w:val="1"/>
    <w:next w:val="11"/>
    <w:link w:val="50"/>
    <w:qFormat/>
    <w:locked/>
    <w:uiPriority w:val="99"/>
    <w:rPr>
      <w:rFonts w:ascii="宋体" w:hAnsi="Courier New"/>
      <w:szCs w:val="21"/>
    </w:rPr>
  </w:style>
  <w:style w:type="paragraph" w:styleId="16">
    <w:name w:val="toc 8"/>
    <w:basedOn w:val="1"/>
    <w:next w:val="1"/>
    <w:qFormat/>
    <w:locked/>
    <w:uiPriority w:val="99"/>
    <w:pPr>
      <w:ind w:left="1260"/>
      <w:jc w:val="left"/>
    </w:pPr>
    <w:rPr>
      <w:rFonts w:ascii="Calibri" w:hAnsi="Calibri" w:cs="Calibri"/>
      <w:sz w:val="20"/>
      <w:szCs w:val="20"/>
    </w:rPr>
  </w:style>
  <w:style w:type="paragraph" w:styleId="17">
    <w:name w:val="Date"/>
    <w:basedOn w:val="1"/>
    <w:next w:val="1"/>
    <w:link w:val="51"/>
    <w:qFormat/>
    <w:uiPriority w:val="99"/>
    <w:pPr>
      <w:ind w:left="100" w:leftChars="2500"/>
    </w:pPr>
    <w:rPr>
      <w:kern w:val="0"/>
      <w:szCs w:val="20"/>
    </w:rPr>
  </w:style>
  <w:style w:type="paragraph" w:styleId="18">
    <w:name w:val="Body Text Indent 2"/>
    <w:basedOn w:val="1"/>
    <w:link w:val="52"/>
    <w:qFormat/>
    <w:locked/>
    <w:uiPriority w:val="99"/>
    <w:pPr>
      <w:spacing w:after="120" w:line="480" w:lineRule="auto"/>
      <w:ind w:left="420" w:leftChars="200"/>
    </w:pPr>
  </w:style>
  <w:style w:type="paragraph" w:styleId="19">
    <w:name w:val="Balloon Text"/>
    <w:basedOn w:val="1"/>
    <w:link w:val="53"/>
    <w:semiHidden/>
    <w:qFormat/>
    <w:uiPriority w:val="99"/>
    <w:rPr>
      <w:kern w:val="0"/>
      <w:sz w:val="18"/>
      <w:szCs w:val="20"/>
    </w:rPr>
  </w:style>
  <w:style w:type="paragraph" w:styleId="20">
    <w:name w:val="footer"/>
    <w:basedOn w:val="1"/>
    <w:link w:val="54"/>
    <w:qFormat/>
    <w:uiPriority w:val="99"/>
    <w:pPr>
      <w:tabs>
        <w:tab w:val="center" w:pos="4153"/>
        <w:tab w:val="right" w:pos="8306"/>
      </w:tabs>
      <w:snapToGrid w:val="0"/>
      <w:jc w:val="left"/>
    </w:pPr>
    <w:rPr>
      <w:kern w:val="0"/>
      <w:sz w:val="18"/>
      <w:szCs w:val="20"/>
    </w:rPr>
  </w:style>
  <w:style w:type="paragraph" w:styleId="21">
    <w:name w:val="header"/>
    <w:basedOn w:val="1"/>
    <w:link w:val="55"/>
    <w:qFormat/>
    <w:uiPriority w:val="99"/>
    <w:pPr>
      <w:pBdr>
        <w:bottom w:val="single" w:color="auto" w:sz="6" w:space="1"/>
      </w:pBdr>
      <w:tabs>
        <w:tab w:val="center" w:pos="4153"/>
        <w:tab w:val="right" w:pos="8306"/>
      </w:tabs>
      <w:snapToGrid w:val="0"/>
      <w:jc w:val="center"/>
    </w:pPr>
    <w:rPr>
      <w:kern w:val="0"/>
      <w:sz w:val="18"/>
      <w:szCs w:val="20"/>
    </w:rPr>
  </w:style>
  <w:style w:type="paragraph" w:styleId="22">
    <w:name w:val="toc 4"/>
    <w:basedOn w:val="1"/>
    <w:next w:val="1"/>
    <w:qFormat/>
    <w:locked/>
    <w:uiPriority w:val="99"/>
    <w:pPr>
      <w:ind w:left="420"/>
      <w:jc w:val="left"/>
    </w:pPr>
    <w:rPr>
      <w:rFonts w:ascii="Calibri" w:hAnsi="Calibri" w:cs="Calibri"/>
      <w:sz w:val="20"/>
      <w:szCs w:val="20"/>
    </w:rPr>
  </w:style>
  <w:style w:type="paragraph" w:styleId="23">
    <w:name w:val="toc 6"/>
    <w:basedOn w:val="1"/>
    <w:next w:val="1"/>
    <w:qFormat/>
    <w:locked/>
    <w:uiPriority w:val="99"/>
    <w:pPr>
      <w:ind w:left="840"/>
      <w:jc w:val="left"/>
    </w:pPr>
    <w:rPr>
      <w:rFonts w:ascii="Calibri" w:hAnsi="Calibri" w:cs="Calibri"/>
      <w:sz w:val="20"/>
      <w:szCs w:val="20"/>
    </w:rPr>
  </w:style>
  <w:style w:type="paragraph" w:styleId="24">
    <w:name w:val="Body Text Indent 3"/>
    <w:basedOn w:val="1"/>
    <w:link w:val="56"/>
    <w:qFormat/>
    <w:locked/>
    <w:uiPriority w:val="99"/>
    <w:pPr>
      <w:spacing w:after="120" w:line="360" w:lineRule="auto"/>
      <w:ind w:left="420" w:leftChars="200"/>
    </w:pPr>
    <w:rPr>
      <w:sz w:val="16"/>
      <w:szCs w:val="16"/>
      <w:lang w:val="zh-CN"/>
    </w:rPr>
  </w:style>
  <w:style w:type="paragraph" w:styleId="25">
    <w:name w:val="toc 2"/>
    <w:basedOn w:val="1"/>
    <w:next w:val="1"/>
    <w:qFormat/>
    <w:locked/>
    <w:uiPriority w:val="99"/>
    <w:pPr>
      <w:spacing w:before="240"/>
      <w:jc w:val="left"/>
    </w:pPr>
    <w:rPr>
      <w:rFonts w:ascii="Calibri" w:hAnsi="Calibri" w:cs="Calibri"/>
      <w:b/>
      <w:bCs/>
      <w:sz w:val="20"/>
      <w:szCs w:val="20"/>
    </w:rPr>
  </w:style>
  <w:style w:type="paragraph" w:styleId="26">
    <w:name w:val="toc 9"/>
    <w:basedOn w:val="1"/>
    <w:next w:val="1"/>
    <w:qFormat/>
    <w:locked/>
    <w:uiPriority w:val="99"/>
    <w:pPr>
      <w:ind w:left="1470"/>
      <w:jc w:val="left"/>
    </w:pPr>
    <w:rPr>
      <w:rFonts w:ascii="Calibri" w:hAnsi="Calibri" w:cs="Calibri"/>
      <w:sz w:val="20"/>
      <w:szCs w:val="20"/>
    </w:rPr>
  </w:style>
  <w:style w:type="paragraph" w:styleId="27">
    <w:name w:val="Normal (Web)"/>
    <w:basedOn w:val="1"/>
    <w:link w:val="62"/>
    <w:qFormat/>
    <w:uiPriority w:val="99"/>
    <w:pPr>
      <w:widowControl/>
      <w:spacing w:before="100" w:beforeAutospacing="1" w:after="100" w:afterAutospacing="1"/>
      <w:jc w:val="left"/>
    </w:pPr>
    <w:rPr>
      <w:rFonts w:ascii="宋体" w:hAnsi="宋体"/>
      <w:kern w:val="0"/>
      <w:szCs w:val="20"/>
    </w:rPr>
  </w:style>
  <w:style w:type="paragraph" w:styleId="28">
    <w:name w:val="index 1"/>
    <w:basedOn w:val="1"/>
    <w:next w:val="1"/>
    <w:qFormat/>
    <w:locked/>
    <w:uiPriority w:val="0"/>
    <w:pPr>
      <w:spacing w:line="380" w:lineRule="exact"/>
      <w:jc w:val="center"/>
    </w:pPr>
    <w:rPr>
      <w:rFonts w:ascii="Calibri" w:hAnsi="Calibri"/>
      <w:szCs w:val="21"/>
    </w:rPr>
  </w:style>
  <w:style w:type="paragraph" w:styleId="29">
    <w:name w:val="annotation subject"/>
    <w:basedOn w:val="9"/>
    <w:next w:val="9"/>
    <w:link w:val="57"/>
    <w:semiHidden/>
    <w:qFormat/>
    <w:uiPriority w:val="99"/>
    <w:rPr>
      <w:b/>
      <w:kern w:val="2"/>
    </w:rPr>
  </w:style>
  <w:style w:type="paragraph" w:styleId="30">
    <w:name w:val="Body Text First Indent"/>
    <w:basedOn w:val="10"/>
    <w:link w:val="58"/>
    <w:qFormat/>
    <w:locked/>
    <w:uiPriority w:val="99"/>
    <w:pPr>
      <w:widowControl w:val="0"/>
      <w:snapToGrid/>
      <w:spacing w:before="0" w:after="120" w:line="240" w:lineRule="auto"/>
      <w:ind w:right="0" w:firstLine="420" w:firstLineChars="100"/>
    </w:pPr>
    <w:rPr>
      <w:kern w:val="2"/>
      <w:sz w:val="21"/>
    </w:rPr>
  </w:style>
  <w:style w:type="paragraph" w:styleId="31">
    <w:name w:val="Body Text First Indent 2"/>
    <w:basedOn w:val="5"/>
    <w:next w:val="1"/>
    <w:link w:val="47"/>
    <w:qFormat/>
    <w:locked/>
    <w:uiPriority w:val="99"/>
    <w:pPr>
      <w:ind w:firstLine="420" w:firstLineChars="200"/>
    </w:pPr>
    <w:rPr>
      <w:sz w:val="21"/>
      <w:szCs w:val="24"/>
    </w:rPr>
  </w:style>
  <w:style w:type="table" w:styleId="33">
    <w:name w:val="Table Grid"/>
    <w:basedOn w:val="32"/>
    <w:qFormat/>
    <w:uiPriority w:val="99"/>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35">
    <w:name w:val="Strong"/>
    <w:basedOn w:val="34"/>
    <w:qFormat/>
    <w:uiPriority w:val="99"/>
    <w:rPr>
      <w:rFonts w:cs="Times New Roman"/>
      <w:b/>
    </w:rPr>
  </w:style>
  <w:style w:type="character" w:styleId="36">
    <w:name w:val="page number"/>
    <w:basedOn w:val="34"/>
    <w:qFormat/>
    <w:locked/>
    <w:uiPriority w:val="99"/>
    <w:rPr>
      <w:rFonts w:cs="Times New Roman"/>
    </w:rPr>
  </w:style>
  <w:style w:type="character" w:styleId="37">
    <w:name w:val="Emphasis"/>
    <w:basedOn w:val="34"/>
    <w:qFormat/>
    <w:locked/>
    <w:uiPriority w:val="20"/>
    <w:rPr>
      <w:i/>
    </w:rPr>
  </w:style>
  <w:style w:type="character" w:styleId="38">
    <w:name w:val="Hyperlink"/>
    <w:basedOn w:val="34"/>
    <w:qFormat/>
    <w:locked/>
    <w:uiPriority w:val="99"/>
    <w:rPr>
      <w:rFonts w:cs="Times New Roman"/>
      <w:color w:val="0000FF"/>
      <w:u w:val="single"/>
    </w:rPr>
  </w:style>
  <w:style w:type="character" w:styleId="39">
    <w:name w:val="annotation reference"/>
    <w:basedOn w:val="34"/>
    <w:qFormat/>
    <w:uiPriority w:val="99"/>
    <w:rPr>
      <w:rFonts w:cs="Times New Roman"/>
      <w:sz w:val="21"/>
    </w:rPr>
  </w:style>
  <w:style w:type="paragraph" w:customStyle="1" w:styleId="40">
    <w:name w:val="样式 正文文本缩进 + 宋体 小四 居中 行距: 固定值 23 磅1"/>
    <w:basedOn w:val="1"/>
    <w:qFormat/>
    <w:uiPriority w:val="0"/>
    <w:pPr>
      <w:spacing w:line="460" w:lineRule="exact"/>
      <w:ind w:left="-181" w:leftChars="-86"/>
    </w:pPr>
    <w:rPr>
      <w:rFonts w:ascii="宋体" w:hAnsi="宋体" w:cs="宋体"/>
      <w:color w:val="000000"/>
    </w:rPr>
  </w:style>
  <w:style w:type="character" w:customStyle="1" w:styleId="41">
    <w:name w:val="标题 1 字符"/>
    <w:basedOn w:val="34"/>
    <w:link w:val="2"/>
    <w:qFormat/>
    <w:locked/>
    <w:uiPriority w:val="99"/>
    <w:rPr>
      <w:rFonts w:cs="Times New Roman"/>
      <w:b/>
      <w:bCs/>
      <w:kern w:val="44"/>
      <w:sz w:val="44"/>
      <w:szCs w:val="44"/>
    </w:rPr>
  </w:style>
  <w:style w:type="paragraph" w:customStyle="1" w:styleId="42">
    <w:name w:val="样式 首行缩进:  2 字符1"/>
    <w:basedOn w:val="1"/>
    <w:semiHidden/>
    <w:qFormat/>
    <w:uiPriority w:val="0"/>
    <w:pPr>
      <w:overflowPunct w:val="0"/>
      <w:adjustRightInd w:val="0"/>
      <w:snapToGrid w:val="0"/>
      <w:spacing w:line="360" w:lineRule="auto"/>
      <w:ind w:firstLine="480" w:firstLineChars="200"/>
    </w:pPr>
    <w:rPr>
      <w:rFonts w:cs="宋体"/>
      <w:szCs w:val="20"/>
    </w:rPr>
  </w:style>
  <w:style w:type="character" w:customStyle="1" w:styleId="43">
    <w:name w:val="标题 2 字符"/>
    <w:basedOn w:val="34"/>
    <w:link w:val="3"/>
    <w:semiHidden/>
    <w:qFormat/>
    <w:locked/>
    <w:uiPriority w:val="99"/>
    <w:rPr>
      <w:rFonts w:ascii="Cambria" w:hAnsi="Cambria" w:eastAsia="宋体" w:cs="Times New Roman"/>
      <w:b/>
      <w:kern w:val="2"/>
      <w:sz w:val="32"/>
    </w:rPr>
  </w:style>
  <w:style w:type="character" w:customStyle="1" w:styleId="44">
    <w:name w:val="标题 3 字符"/>
    <w:basedOn w:val="34"/>
    <w:link w:val="4"/>
    <w:qFormat/>
    <w:locked/>
    <w:uiPriority w:val="99"/>
    <w:rPr>
      <w:rFonts w:cs="Times New Roman"/>
      <w:b/>
      <w:kern w:val="2"/>
      <w:sz w:val="32"/>
    </w:rPr>
  </w:style>
  <w:style w:type="character" w:customStyle="1" w:styleId="45">
    <w:name w:val="标题 4 字符"/>
    <w:basedOn w:val="34"/>
    <w:link w:val="5"/>
    <w:semiHidden/>
    <w:qFormat/>
    <w:locked/>
    <w:uiPriority w:val="99"/>
    <w:rPr>
      <w:rFonts w:ascii="Cambria" w:hAnsi="Cambria" w:eastAsia="宋体" w:cs="Times New Roman"/>
      <w:b/>
      <w:bCs/>
      <w:sz w:val="28"/>
      <w:szCs w:val="28"/>
    </w:rPr>
  </w:style>
  <w:style w:type="character" w:customStyle="1" w:styleId="46">
    <w:name w:val="正文文本缩进 字符"/>
    <w:basedOn w:val="34"/>
    <w:link w:val="12"/>
    <w:semiHidden/>
    <w:qFormat/>
    <w:locked/>
    <w:uiPriority w:val="99"/>
    <w:rPr>
      <w:rFonts w:ascii="Times New Roman" w:hAnsi="Times New Roman" w:eastAsia="宋体" w:cs="Times New Roman"/>
      <w:sz w:val="24"/>
    </w:rPr>
  </w:style>
  <w:style w:type="character" w:customStyle="1" w:styleId="47">
    <w:name w:val="正文文本首行缩进 2 字符"/>
    <w:basedOn w:val="46"/>
    <w:link w:val="31"/>
    <w:qFormat/>
    <w:locked/>
    <w:uiPriority w:val="99"/>
    <w:rPr>
      <w:rFonts w:ascii="Times New Roman" w:hAnsi="Times New Roman" w:eastAsia="宋体" w:cs="Times New Roman"/>
      <w:kern w:val="2"/>
      <w:sz w:val="24"/>
    </w:rPr>
  </w:style>
  <w:style w:type="character" w:customStyle="1" w:styleId="48">
    <w:name w:val="批注文字 字符"/>
    <w:basedOn w:val="34"/>
    <w:link w:val="9"/>
    <w:qFormat/>
    <w:locked/>
    <w:uiPriority w:val="99"/>
    <w:rPr>
      <w:rFonts w:ascii="Times New Roman" w:hAnsi="Times New Roman" w:eastAsia="宋体" w:cs="Times New Roman"/>
      <w:sz w:val="24"/>
    </w:rPr>
  </w:style>
  <w:style w:type="character" w:customStyle="1" w:styleId="49">
    <w:name w:val="正文文本 字符"/>
    <w:basedOn w:val="34"/>
    <w:link w:val="10"/>
    <w:qFormat/>
    <w:locked/>
    <w:uiPriority w:val="99"/>
    <w:rPr>
      <w:rFonts w:cs="Times New Roman"/>
      <w:sz w:val="18"/>
    </w:rPr>
  </w:style>
  <w:style w:type="character" w:customStyle="1" w:styleId="50">
    <w:name w:val="纯文本 字符"/>
    <w:basedOn w:val="34"/>
    <w:link w:val="15"/>
    <w:qFormat/>
    <w:locked/>
    <w:uiPriority w:val="99"/>
    <w:rPr>
      <w:rFonts w:ascii="宋体" w:hAnsi="Courier New" w:cs="Times New Roman"/>
      <w:kern w:val="2"/>
      <w:sz w:val="21"/>
    </w:rPr>
  </w:style>
  <w:style w:type="character" w:customStyle="1" w:styleId="51">
    <w:name w:val="日期 字符1"/>
    <w:basedOn w:val="34"/>
    <w:link w:val="17"/>
    <w:qFormat/>
    <w:locked/>
    <w:uiPriority w:val="99"/>
    <w:rPr>
      <w:rFonts w:ascii="Times New Roman" w:hAnsi="Times New Roman" w:eastAsia="宋体" w:cs="Times New Roman"/>
      <w:sz w:val="24"/>
    </w:rPr>
  </w:style>
  <w:style w:type="character" w:customStyle="1" w:styleId="52">
    <w:name w:val="正文文本缩进 2 字符"/>
    <w:basedOn w:val="34"/>
    <w:link w:val="18"/>
    <w:qFormat/>
    <w:locked/>
    <w:uiPriority w:val="99"/>
    <w:rPr>
      <w:rFonts w:cs="Times New Roman"/>
      <w:kern w:val="2"/>
      <w:sz w:val="24"/>
    </w:rPr>
  </w:style>
  <w:style w:type="character" w:customStyle="1" w:styleId="53">
    <w:name w:val="批注框文本 字符"/>
    <w:basedOn w:val="34"/>
    <w:link w:val="19"/>
    <w:semiHidden/>
    <w:qFormat/>
    <w:locked/>
    <w:uiPriority w:val="99"/>
    <w:rPr>
      <w:rFonts w:ascii="Times New Roman" w:hAnsi="Times New Roman" w:eastAsia="宋体" w:cs="Times New Roman"/>
      <w:sz w:val="18"/>
    </w:rPr>
  </w:style>
  <w:style w:type="character" w:customStyle="1" w:styleId="54">
    <w:name w:val="页脚 字符1"/>
    <w:basedOn w:val="34"/>
    <w:link w:val="20"/>
    <w:qFormat/>
    <w:locked/>
    <w:uiPriority w:val="99"/>
    <w:rPr>
      <w:rFonts w:cs="Times New Roman"/>
      <w:sz w:val="18"/>
    </w:rPr>
  </w:style>
  <w:style w:type="character" w:customStyle="1" w:styleId="55">
    <w:name w:val="页眉 字符"/>
    <w:basedOn w:val="34"/>
    <w:link w:val="21"/>
    <w:qFormat/>
    <w:locked/>
    <w:uiPriority w:val="99"/>
    <w:rPr>
      <w:rFonts w:cs="Times New Roman"/>
      <w:sz w:val="18"/>
    </w:rPr>
  </w:style>
  <w:style w:type="character" w:customStyle="1" w:styleId="56">
    <w:name w:val="正文文本缩进 3 字符"/>
    <w:basedOn w:val="34"/>
    <w:link w:val="24"/>
    <w:qFormat/>
    <w:locked/>
    <w:uiPriority w:val="99"/>
    <w:rPr>
      <w:rFonts w:ascii="Times New Roman" w:hAnsi="Times New Roman" w:eastAsia="宋体" w:cs="Times New Roman"/>
      <w:kern w:val="2"/>
      <w:sz w:val="16"/>
      <w:lang w:val="zh-CN" w:eastAsia="zh-CN"/>
    </w:rPr>
  </w:style>
  <w:style w:type="character" w:customStyle="1" w:styleId="57">
    <w:name w:val="批注主题 字符"/>
    <w:basedOn w:val="48"/>
    <w:link w:val="29"/>
    <w:semiHidden/>
    <w:qFormat/>
    <w:locked/>
    <w:uiPriority w:val="99"/>
    <w:rPr>
      <w:rFonts w:ascii="Times New Roman" w:hAnsi="Times New Roman" w:eastAsia="宋体" w:cs="Times New Roman"/>
      <w:b/>
      <w:kern w:val="2"/>
      <w:sz w:val="24"/>
    </w:rPr>
  </w:style>
  <w:style w:type="character" w:customStyle="1" w:styleId="58">
    <w:name w:val="正文文本首行缩进 字符"/>
    <w:basedOn w:val="49"/>
    <w:link w:val="30"/>
    <w:qFormat/>
    <w:locked/>
    <w:uiPriority w:val="99"/>
    <w:rPr>
      <w:rFonts w:cs="Times New Roman"/>
      <w:kern w:val="2"/>
      <w:sz w:val="21"/>
      <w:lang w:val="zh-CN" w:eastAsia="zh-CN"/>
    </w:rPr>
  </w:style>
  <w:style w:type="paragraph" w:customStyle="1" w:styleId="59">
    <w:name w:val="正文首行缩进2个字 Char"/>
    <w:basedOn w:val="1"/>
    <w:qFormat/>
    <w:uiPriority w:val="99"/>
    <w:pPr>
      <w:ind w:firstLine="480" w:firstLineChars="200"/>
    </w:pPr>
    <w:rPr>
      <w:rFonts w:eastAsia="楷体"/>
      <w:kern w:val="0"/>
    </w:rPr>
  </w:style>
  <w:style w:type="character" w:customStyle="1" w:styleId="60">
    <w:name w:val="标题 2 Char2"/>
    <w:qFormat/>
    <w:uiPriority w:val="99"/>
    <w:rPr>
      <w:rFonts w:ascii="Arial" w:hAnsi="Arial" w:eastAsia="黑体"/>
      <w:b/>
      <w:kern w:val="2"/>
      <w:sz w:val="32"/>
      <w:lang w:val="zh-CN" w:eastAsia="zh-CN"/>
    </w:rPr>
  </w:style>
  <w:style w:type="character" w:customStyle="1" w:styleId="61">
    <w:name w:val="页脚 字符"/>
    <w:basedOn w:val="34"/>
    <w:qFormat/>
    <w:uiPriority w:val="99"/>
    <w:rPr>
      <w:rFonts w:cs="Times New Roman"/>
    </w:rPr>
  </w:style>
  <w:style w:type="character" w:customStyle="1" w:styleId="62">
    <w:name w:val="普通(网站) 字符1"/>
    <w:link w:val="27"/>
    <w:qFormat/>
    <w:locked/>
    <w:uiPriority w:val="99"/>
    <w:rPr>
      <w:rFonts w:ascii="宋体" w:hAnsi="宋体" w:eastAsia="宋体"/>
      <w:sz w:val="24"/>
    </w:rPr>
  </w:style>
  <w:style w:type="character" w:customStyle="1" w:styleId="63">
    <w:name w:val="正文文本 字符1"/>
    <w:semiHidden/>
    <w:qFormat/>
    <w:uiPriority w:val="99"/>
    <w:rPr>
      <w:rFonts w:ascii="Times New Roman" w:hAnsi="Times New Roman" w:eastAsia="宋体"/>
      <w:sz w:val="24"/>
    </w:rPr>
  </w:style>
  <w:style w:type="character" w:customStyle="1" w:styleId="64">
    <w:name w:val="表格 Char"/>
    <w:link w:val="65"/>
    <w:qFormat/>
    <w:locked/>
    <w:uiPriority w:val="99"/>
    <w:rPr>
      <w:rFonts w:ascii="宋体"/>
      <w:sz w:val="21"/>
    </w:rPr>
  </w:style>
  <w:style w:type="paragraph" w:customStyle="1" w:styleId="65">
    <w:name w:val="表格"/>
    <w:basedOn w:val="1"/>
    <w:next w:val="1"/>
    <w:link w:val="64"/>
    <w:qFormat/>
    <w:uiPriority w:val="99"/>
    <w:pPr>
      <w:adjustRightInd w:val="0"/>
      <w:snapToGrid w:val="0"/>
      <w:spacing w:beforeLines="10" w:afterLines="10" w:line="259" w:lineRule="auto"/>
      <w:jc w:val="center"/>
    </w:pPr>
    <w:rPr>
      <w:rFonts w:ascii="宋体"/>
      <w:kern w:val="0"/>
      <w:sz w:val="21"/>
      <w:szCs w:val="20"/>
    </w:rPr>
  </w:style>
  <w:style w:type="character" w:customStyle="1" w:styleId="66">
    <w:name w:val="日期 字符"/>
    <w:semiHidden/>
    <w:qFormat/>
    <w:uiPriority w:val="99"/>
    <w:rPr>
      <w:rFonts w:ascii="Times New Roman" w:hAnsi="Times New Roman" w:eastAsia="宋体"/>
      <w:sz w:val="24"/>
    </w:rPr>
  </w:style>
  <w:style w:type="character" w:customStyle="1" w:styleId="67">
    <w:name w:val="批注文字 字符1"/>
    <w:semiHidden/>
    <w:qFormat/>
    <w:uiPriority w:val="99"/>
    <w:rPr>
      <w:rFonts w:ascii="Times New Roman" w:hAnsi="Times New Roman" w:eastAsia="宋体"/>
      <w:sz w:val="24"/>
    </w:rPr>
  </w:style>
  <w:style w:type="paragraph" w:customStyle="1" w:styleId="68">
    <w:name w:val="正文_10"/>
    <w:qFormat/>
    <w:uiPriority w:val="99"/>
    <w:pPr>
      <w:widowControl w:val="0"/>
      <w:jc w:val="both"/>
    </w:pPr>
    <w:rPr>
      <w:rFonts w:ascii="Times New Roman" w:hAnsi="Times New Roman" w:eastAsia="宋体" w:cs="Times New Roman"/>
      <w:kern w:val="2"/>
      <w:sz w:val="21"/>
      <w:szCs w:val="22"/>
      <w:lang w:val="en-US" w:eastAsia="zh-CN" w:bidi="ar-SA"/>
    </w:rPr>
  </w:style>
  <w:style w:type="paragraph" w:customStyle="1" w:styleId="69">
    <w:name w:val="普通(网站)2"/>
    <w:basedOn w:val="1"/>
    <w:qFormat/>
    <w:uiPriority w:val="99"/>
    <w:pPr>
      <w:widowControl/>
      <w:spacing w:before="100" w:beforeAutospacing="1" w:after="100" w:afterAutospacing="1"/>
      <w:jc w:val="left"/>
    </w:pPr>
    <w:rPr>
      <w:rFonts w:ascii="宋体" w:hAnsi="宋体"/>
      <w:szCs w:val="20"/>
    </w:rPr>
  </w:style>
  <w:style w:type="character" w:customStyle="1" w:styleId="70">
    <w:name w:val="普通(网站) 字符"/>
    <w:qFormat/>
    <w:uiPriority w:val="99"/>
    <w:rPr>
      <w:kern w:val="2"/>
      <w:sz w:val="24"/>
    </w:rPr>
  </w:style>
  <w:style w:type="paragraph" w:styleId="71">
    <w:name w:val="List Paragraph"/>
    <w:basedOn w:val="1"/>
    <w:link w:val="72"/>
    <w:qFormat/>
    <w:uiPriority w:val="99"/>
    <w:pPr>
      <w:ind w:firstLine="420" w:firstLineChars="200"/>
    </w:pPr>
    <w:rPr>
      <w:sz w:val="21"/>
      <w:szCs w:val="20"/>
    </w:rPr>
  </w:style>
  <w:style w:type="character" w:customStyle="1" w:styleId="72">
    <w:name w:val="列表段落 字符"/>
    <w:link w:val="71"/>
    <w:qFormat/>
    <w:locked/>
    <w:uiPriority w:val="99"/>
    <w:rPr>
      <w:kern w:val="2"/>
      <w:sz w:val="21"/>
    </w:rPr>
  </w:style>
  <w:style w:type="paragraph" w:customStyle="1" w:styleId="73">
    <w:name w:val="xl26"/>
    <w:basedOn w:val="1"/>
    <w:link w:val="74"/>
    <w:qFormat/>
    <w:uiPriority w:val="99"/>
    <w:pPr>
      <w:widowControl/>
      <w:pBdr>
        <w:left w:val="single" w:color="auto" w:sz="4" w:space="0"/>
        <w:bottom w:val="single" w:color="auto" w:sz="4" w:space="0"/>
        <w:right w:val="single" w:color="auto" w:sz="4" w:space="0"/>
      </w:pBdr>
      <w:spacing w:before="100" w:beforeAutospacing="1" w:after="100" w:afterAutospacing="1" w:line="360" w:lineRule="auto"/>
      <w:jc w:val="center"/>
    </w:pPr>
    <w:rPr>
      <w:rFonts w:ascii="宋体"/>
      <w:kern w:val="0"/>
      <w:szCs w:val="20"/>
      <w:lang w:val="zh-CN"/>
    </w:rPr>
  </w:style>
  <w:style w:type="character" w:customStyle="1" w:styleId="74">
    <w:name w:val="xl26 Char"/>
    <w:link w:val="73"/>
    <w:qFormat/>
    <w:locked/>
    <w:uiPriority w:val="99"/>
    <w:rPr>
      <w:rFonts w:ascii="宋体" w:eastAsia="宋体"/>
      <w:sz w:val="24"/>
      <w:lang w:val="zh-CN" w:eastAsia="zh-CN"/>
    </w:rPr>
  </w:style>
  <w:style w:type="paragraph" w:customStyle="1" w:styleId="75">
    <w:name w:val="表格正文"/>
    <w:basedOn w:val="1"/>
    <w:link w:val="76"/>
    <w:qFormat/>
    <w:uiPriority w:val="99"/>
    <w:pPr>
      <w:adjustRightInd w:val="0"/>
      <w:snapToGrid w:val="0"/>
      <w:spacing w:line="420" w:lineRule="exact"/>
      <w:ind w:left="200" w:hanging="200" w:hangingChars="200"/>
      <w:jc w:val="center"/>
    </w:pPr>
    <w:rPr>
      <w:rFonts w:eastAsia="仿宋_GB2312"/>
      <w:szCs w:val="20"/>
    </w:rPr>
  </w:style>
  <w:style w:type="character" w:customStyle="1" w:styleId="76">
    <w:name w:val="表格正文 Char"/>
    <w:link w:val="75"/>
    <w:qFormat/>
    <w:locked/>
    <w:uiPriority w:val="99"/>
    <w:rPr>
      <w:rFonts w:eastAsia="仿宋_GB2312"/>
      <w:kern w:val="2"/>
      <w:sz w:val="24"/>
    </w:rPr>
  </w:style>
  <w:style w:type="character" w:customStyle="1" w:styleId="77">
    <w:name w:val="正文缩进 字符1"/>
    <w:link w:val="7"/>
    <w:qFormat/>
    <w:locked/>
    <w:uiPriority w:val="99"/>
    <w:rPr>
      <w:rFonts w:ascii="Times New Roman" w:hAnsi="Times New Roman" w:eastAsia="宋体"/>
      <w:kern w:val="2"/>
      <w:sz w:val="21"/>
    </w:rPr>
  </w:style>
  <w:style w:type="paragraph" w:customStyle="1" w:styleId="78">
    <w:name w:val="小四表格"/>
    <w:basedOn w:val="1"/>
    <w:qFormat/>
    <w:uiPriority w:val="99"/>
    <w:pPr>
      <w:jc w:val="center"/>
    </w:pPr>
    <w:rPr>
      <w:kern w:val="0"/>
      <w:szCs w:val="20"/>
    </w:rPr>
  </w:style>
  <w:style w:type="character" w:customStyle="1" w:styleId="79">
    <w:name w:val="正文缩进 字符"/>
    <w:qFormat/>
    <w:uiPriority w:val="99"/>
    <w:rPr>
      <w:rFonts w:ascii="Times New Roman" w:hAnsi="Times New Roman" w:eastAsia="宋体"/>
      <w:sz w:val="20"/>
    </w:rPr>
  </w:style>
  <w:style w:type="character" w:customStyle="1" w:styleId="80">
    <w:name w:val="样式 正文1 + 首行缩进:  0.5 字符 Char"/>
    <w:link w:val="81"/>
    <w:qFormat/>
    <w:locked/>
    <w:uiPriority w:val="99"/>
    <w:rPr>
      <w:sz w:val="24"/>
    </w:rPr>
  </w:style>
  <w:style w:type="paragraph" w:customStyle="1" w:styleId="81">
    <w:name w:val="样式 正文1 + 首行缩进:  0.5 字符"/>
    <w:basedOn w:val="1"/>
    <w:link w:val="80"/>
    <w:qFormat/>
    <w:uiPriority w:val="99"/>
    <w:pPr>
      <w:widowControl/>
      <w:adjustRightInd w:val="0"/>
      <w:snapToGrid w:val="0"/>
      <w:spacing w:line="460" w:lineRule="atLeast"/>
      <w:ind w:firstLine="200" w:firstLineChars="200"/>
      <w:jc w:val="left"/>
    </w:pPr>
    <w:rPr>
      <w:kern w:val="0"/>
      <w:szCs w:val="20"/>
    </w:rPr>
  </w:style>
  <w:style w:type="character" w:customStyle="1" w:styleId="82">
    <w:name w:val="篇 Char"/>
    <w:qFormat/>
    <w:uiPriority w:val="99"/>
    <w:rPr>
      <w:rFonts w:eastAsia="宋体"/>
      <w:b/>
      <w:kern w:val="44"/>
      <w:sz w:val="44"/>
      <w:lang w:val="en-US" w:eastAsia="zh-CN"/>
    </w:rPr>
  </w:style>
  <w:style w:type="character" w:customStyle="1" w:styleId="83">
    <w:name w:val="WW8Num2025z1"/>
    <w:qFormat/>
    <w:uiPriority w:val="99"/>
    <w:rPr>
      <w:rFonts w:ascii="Times New Roman" w:hAnsi="Times New Roman"/>
      <w:b/>
      <w:position w:val="0"/>
      <w:sz w:val="28"/>
    </w:rPr>
  </w:style>
  <w:style w:type="paragraph" w:customStyle="1" w:styleId="84">
    <w:name w:val="Default"/>
    <w:qFormat/>
    <w:uiPriority w:val="99"/>
    <w:pPr>
      <w:widowControl w:val="0"/>
      <w:autoSpaceDE w:val="0"/>
      <w:autoSpaceDN w:val="0"/>
      <w:adjustRightInd w:val="0"/>
    </w:pPr>
    <w:rPr>
      <w:rFonts w:ascii="宋体" w:hAnsi="宋体" w:eastAsia="宋体" w:cs="宋体"/>
      <w:color w:val="000000"/>
      <w:sz w:val="24"/>
      <w:szCs w:val="24"/>
      <w:lang w:val="en-US" w:eastAsia="zh-CN" w:bidi="ar-SA"/>
    </w:rPr>
  </w:style>
  <w:style w:type="paragraph" w:customStyle="1" w:styleId="85">
    <w:name w:val="正文的小表格"/>
    <w:basedOn w:val="1"/>
    <w:qFormat/>
    <w:uiPriority w:val="99"/>
    <w:pPr>
      <w:ind w:firstLine="480" w:firstLineChars="200"/>
      <w:jc w:val="center"/>
    </w:pPr>
    <w:rPr>
      <w:rFonts w:eastAsia="仿宋_GB2312"/>
    </w:rPr>
  </w:style>
  <w:style w:type="paragraph" w:customStyle="1" w:styleId="86">
    <w:name w:val="p0"/>
    <w:basedOn w:val="1"/>
    <w:qFormat/>
    <w:uiPriority w:val="99"/>
    <w:pPr>
      <w:widowControl/>
    </w:pPr>
    <w:rPr>
      <w:rFonts w:ascii="仿宋_GB2312" w:hAnsi="宋体" w:eastAsia="仿宋_GB2312"/>
      <w:kern w:val="0"/>
      <w:szCs w:val="20"/>
    </w:rPr>
  </w:style>
  <w:style w:type="character" w:customStyle="1" w:styleId="87">
    <w:name w:val="纯文本 字符1"/>
    <w:qFormat/>
    <w:uiPriority w:val="99"/>
    <w:rPr>
      <w:rFonts w:ascii="宋体" w:hAnsi="Courier New" w:eastAsia="宋体"/>
      <w:sz w:val="21"/>
    </w:rPr>
  </w:style>
  <w:style w:type="character" w:customStyle="1" w:styleId="88">
    <w:name w:val="表头111 Char"/>
    <w:link w:val="89"/>
    <w:qFormat/>
    <w:locked/>
    <w:uiPriority w:val="99"/>
    <w:rPr>
      <w:b/>
      <w:sz w:val="24"/>
    </w:rPr>
  </w:style>
  <w:style w:type="paragraph" w:customStyle="1" w:styleId="89">
    <w:name w:val="表头111"/>
    <w:basedOn w:val="30"/>
    <w:link w:val="88"/>
    <w:qFormat/>
    <w:uiPriority w:val="99"/>
    <w:pPr>
      <w:adjustRightInd w:val="0"/>
      <w:snapToGrid w:val="0"/>
      <w:ind w:firstLine="0" w:firstLineChars="0"/>
      <w:jc w:val="center"/>
    </w:pPr>
    <w:rPr>
      <w:b/>
      <w:kern w:val="0"/>
      <w:sz w:val="24"/>
    </w:rPr>
  </w:style>
  <w:style w:type="paragraph" w:customStyle="1" w:styleId="90">
    <w:name w:val="表格22"/>
    <w:basedOn w:val="1"/>
    <w:next w:val="1"/>
    <w:qFormat/>
    <w:uiPriority w:val="99"/>
    <w:pPr>
      <w:pBdr>
        <w:top w:val="none" w:color="auto" w:sz="0" w:space="1"/>
        <w:left w:val="none" w:color="auto" w:sz="0" w:space="3"/>
        <w:bottom w:val="none" w:color="auto" w:sz="0" w:space="1"/>
        <w:right w:val="none" w:color="auto" w:sz="0" w:space="3"/>
      </w:pBdr>
      <w:adjustRightInd w:val="0"/>
      <w:snapToGrid w:val="0"/>
      <w:jc w:val="center"/>
    </w:pPr>
    <w:rPr>
      <w:szCs w:val="21"/>
    </w:rPr>
  </w:style>
  <w:style w:type="character" w:customStyle="1" w:styleId="91">
    <w:name w:val="图题 Char"/>
    <w:link w:val="92"/>
    <w:qFormat/>
    <w:locked/>
    <w:uiPriority w:val="99"/>
    <w:rPr>
      <w:rFonts w:ascii="黑体" w:eastAsia="黑体"/>
      <w:kern w:val="2"/>
      <w:sz w:val="21"/>
    </w:rPr>
  </w:style>
  <w:style w:type="paragraph" w:customStyle="1" w:styleId="92">
    <w:name w:val="图题"/>
    <w:basedOn w:val="1"/>
    <w:link w:val="91"/>
    <w:qFormat/>
    <w:uiPriority w:val="99"/>
    <w:pPr>
      <w:spacing w:afterLines="100"/>
      <w:jc w:val="center"/>
    </w:pPr>
    <w:rPr>
      <w:rFonts w:ascii="黑体" w:eastAsia="黑体"/>
      <w:sz w:val="21"/>
      <w:szCs w:val="20"/>
    </w:rPr>
  </w:style>
  <w:style w:type="character" w:customStyle="1" w:styleId="93">
    <w:name w:val="报告 Char Char"/>
    <w:qFormat/>
    <w:uiPriority w:val="99"/>
    <w:rPr>
      <w:rFonts w:eastAsia="宋体"/>
      <w:kern w:val="2"/>
      <w:sz w:val="24"/>
      <w:lang w:val="en-US" w:eastAsia="zh-CN"/>
    </w:rPr>
  </w:style>
  <w:style w:type="character" w:customStyle="1" w:styleId="94">
    <w:name w:val="正文(首行缩进) Char1"/>
    <w:link w:val="95"/>
    <w:qFormat/>
    <w:locked/>
    <w:uiPriority w:val="99"/>
    <w:rPr>
      <w:rFonts w:ascii="宋体" w:eastAsia="宋体"/>
      <w:snapToGrid w:val="0"/>
      <w:sz w:val="24"/>
    </w:rPr>
  </w:style>
  <w:style w:type="paragraph" w:customStyle="1" w:styleId="95">
    <w:name w:val="正文(首行缩进)"/>
    <w:basedOn w:val="1"/>
    <w:link w:val="94"/>
    <w:qFormat/>
    <w:uiPriority w:val="99"/>
    <w:pPr>
      <w:spacing w:line="360" w:lineRule="auto"/>
      <w:ind w:firstLine="510"/>
    </w:pPr>
    <w:rPr>
      <w:rFonts w:ascii="宋体"/>
      <w:kern w:val="0"/>
      <w:szCs w:val="20"/>
    </w:rPr>
  </w:style>
  <w:style w:type="character" w:customStyle="1" w:styleId="96">
    <w:name w:val="WW8Num112z0"/>
    <w:qFormat/>
    <w:uiPriority w:val="99"/>
    <w:rPr>
      <w:rFonts w:ascii="Wingdings" w:hAnsi="Wingdings"/>
    </w:rPr>
  </w:style>
  <w:style w:type="paragraph" w:customStyle="1" w:styleId="97">
    <w:name w:val="TOC 标题1"/>
    <w:basedOn w:val="2"/>
    <w:next w:val="1"/>
    <w:semiHidden/>
    <w:qFormat/>
    <w:uiPriority w:val="99"/>
    <w:pPr>
      <w:keepLines/>
      <w:widowControl/>
      <w:overflowPunct/>
      <w:snapToGrid/>
      <w:spacing w:before="480" w:after="0" w:line="276" w:lineRule="auto"/>
      <w:ind w:left="0" w:firstLine="0"/>
      <w:jc w:val="left"/>
      <w:outlineLvl w:val="9"/>
    </w:pPr>
    <w:rPr>
      <w:rFonts w:ascii="Cambria" w:hAnsi="Cambria" w:eastAsia="宋体"/>
      <w:color w:val="365F91"/>
      <w:kern w:val="0"/>
      <w:sz w:val="28"/>
      <w:szCs w:val="28"/>
    </w:rPr>
  </w:style>
  <w:style w:type="character" w:customStyle="1" w:styleId="98">
    <w:name w:val="正文缩进 Char2"/>
    <w:qFormat/>
    <w:uiPriority w:val="99"/>
    <w:rPr>
      <w:rFonts w:eastAsia="宋体"/>
      <w:kern w:val="2"/>
      <w:sz w:val="21"/>
      <w:lang w:val="en-US" w:eastAsia="zh-CN"/>
    </w:rPr>
  </w:style>
  <w:style w:type="paragraph" w:customStyle="1" w:styleId="99">
    <w:name w:val="(1表格"/>
    <w:basedOn w:val="3"/>
    <w:qFormat/>
    <w:uiPriority w:val="99"/>
    <w:pPr>
      <w:tabs>
        <w:tab w:val="left" w:pos="432"/>
        <w:tab w:val="left" w:pos="576"/>
        <w:tab w:val="left" w:pos="3450"/>
      </w:tabs>
      <w:spacing w:before="0" w:after="0" w:line="240" w:lineRule="auto"/>
      <w:jc w:val="center"/>
    </w:pPr>
    <w:rPr>
      <w:rFonts w:ascii="Times New Roman" w:hAnsi="Times New Roman" w:eastAsia="仿宋_GB2312"/>
      <w:b w:val="0"/>
      <w:sz w:val="21"/>
      <w:szCs w:val="30"/>
    </w:rPr>
  </w:style>
  <w:style w:type="paragraph" w:customStyle="1" w:styleId="100">
    <w:name w:val="Char"/>
    <w:basedOn w:val="1"/>
    <w:qFormat/>
    <w:uiPriority w:val="99"/>
    <w:pPr>
      <w:widowControl/>
      <w:jc w:val="left"/>
    </w:pPr>
  </w:style>
  <w:style w:type="paragraph" w:customStyle="1" w:styleId="101">
    <w:name w:val="样式 普通(网站) + 首行缩进:  0.74 厘米 行距: 1.5 倍行距"/>
    <w:basedOn w:val="27"/>
    <w:qFormat/>
    <w:uiPriority w:val="99"/>
    <w:pPr>
      <w:spacing w:line="360" w:lineRule="auto"/>
      <w:ind w:firstLine="420"/>
    </w:pPr>
    <w:rPr>
      <w:rFonts w:cs="宋体"/>
      <w:color w:val="000000"/>
    </w:rPr>
  </w:style>
  <w:style w:type="paragraph" w:customStyle="1" w:styleId="102">
    <w:name w:val="pzg正文"/>
    <w:link w:val="103"/>
    <w:qFormat/>
    <w:uiPriority w:val="99"/>
    <w:pPr>
      <w:spacing w:line="360" w:lineRule="auto"/>
      <w:ind w:firstLine="200" w:firstLineChars="200"/>
    </w:pPr>
    <w:rPr>
      <w:rFonts w:ascii="Times New Roman" w:hAnsi="Times New Roman" w:eastAsia="宋体" w:cs="Times New Roman"/>
      <w:sz w:val="22"/>
      <w:lang w:val="en-US" w:eastAsia="zh-CN" w:bidi="ar-SA"/>
    </w:rPr>
  </w:style>
  <w:style w:type="character" w:customStyle="1" w:styleId="103">
    <w:name w:val="pzg正文 Char"/>
    <w:link w:val="102"/>
    <w:qFormat/>
    <w:locked/>
    <w:uiPriority w:val="99"/>
    <w:rPr>
      <w:sz w:val="22"/>
    </w:rPr>
  </w:style>
  <w:style w:type="character" w:customStyle="1" w:styleId="104">
    <w:name w:val="题注 字符"/>
    <w:link w:val="8"/>
    <w:qFormat/>
    <w:locked/>
    <w:uiPriority w:val="99"/>
    <w:rPr>
      <w:rFonts w:ascii="Arial" w:hAnsi="Arial" w:eastAsia="黑体"/>
      <w:lang w:val="zh-CN" w:eastAsia="zh-CN"/>
    </w:rPr>
  </w:style>
  <w:style w:type="paragraph" w:customStyle="1" w:styleId="105">
    <w:name w:val="样式9"/>
    <w:basedOn w:val="1"/>
    <w:qFormat/>
    <w:uiPriority w:val="99"/>
    <w:pPr>
      <w:widowControl/>
      <w:spacing w:line="360" w:lineRule="auto"/>
      <w:ind w:firstLine="480" w:firstLineChars="200"/>
      <w:jc w:val="left"/>
    </w:pPr>
    <w:rPr>
      <w:rFonts w:ascii="Arial" w:hAnsi="Arial"/>
      <w:szCs w:val="22"/>
    </w:rPr>
  </w:style>
  <w:style w:type="character" w:customStyle="1" w:styleId="106">
    <w:name w:val="WW8Num1238z0"/>
    <w:qFormat/>
    <w:uiPriority w:val="99"/>
    <w:rPr>
      <w:b/>
    </w:rPr>
  </w:style>
  <w:style w:type="paragraph" w:customStyle="1" w:styleId="107">
    <w:name w:val="表格内容"/>
    <w:basedOn w:val="1"/>
    <w:qFormat/>
    <w:uiPriority w:val="99"/>
    <w:pPr>
      <w:spacing w:line="280" w:lineRule="exact"/>
      <w:jc w:val="center"/>
    </w:pPr>
    <w:rPr>
      <w:szCs w:val="16"/>
    </w:rPr>
  </w:style>
  <w:style w:type="paragraph" w:customStyle="1" w:styleId="108">
    <w:name w:val="Char1"/>
    <w:basedOn w:val="1"/>
    <w:qFormat/>
    <w:uiPriority w:val="99"/>
  </w:style>
  <w:style w:type="paragraph" w:customStyle="1" w:styleId="109">
    <w:name w:val="样式 样式 纯文本 Char普通文字 Char普通文字 Char CharChar普通文字 Char Char Char C.....4"/>
    <w:basedOn w:val="1"/>
    <w:qFormat/>
    <w:uiPriority w:val="99"/>
    <w:pPr>
      <w:spacing w:line="360" w:lineRule="auto"/>
      <w:ind w:firstLine="200" w:firstLineChars="200"/>
    </w:pPr>
    <w:rPr>
      <w:rFonts w:ascii="Arial" w:hAnsi="Arial" w:cs="宋体"/>
    </w:rPr>
  </w:style>
  <w:style w:type="paragraph" w:customStyle="1" w:styleId="110">
    <w:name w:val="Table Paragraph"/>
    <w:basedOn w:val="1"/>
    <w:qFormat/>
    <w:uiPriority w:val="99"/>
    <w:pPr>
      <w:autoSpaceDE w:val="0"/>
      <w:autoSpaceDN w:val="0"/>
      <w:jc w:val="center"/>
    </w:pPr>
    <w:rPr>
      <w:rFonts w:ascii="宋体" w:hAnsi="宋体" w:cs="宋体"/>
      <w:sz w:val="22"/>
      <w:szCs w:val="22"/>
      <w:lang w:val="zh-CN"/>
    </w:rPr>
  </w:style>
  <w:style w:type="character" w:customStyle="1" w:styleId="111">
    <w:name w:val="正文缩进 Char1"/>
    <w:qFormat/>
    <w:uiPriority w:val="99"/>
    <w:rPr>
      <w:rFonts w:eastAsia="宋体"/>
      <w:kern w:val="2"/>
      <w:sz w:val="21"/>
      <w:lang w:val="en-US" w:eastAsia="zh-CN"/>
    </w:rPr>
  </w:style>
  <w:style w:type="character" w:customStyle="1" w:styleId="112">
    <w:name w:val="普通(网站) Char1"/>
    <w:qFormat/>
    <w:uiPriority w:val="99"/>
    <w:rPr>
      <w:rFonts w:eastAsia="宋体"/>
      <w:kern w:val="2"/>
      <w:sz w:val="24"/>
    </w:rPr>
  </w:style>
  <w:style w:type="character" w:customStyle="1" w:styleId="113">
    <w:name w:val="正文01 Char"/>
    <w:link w:val="114"/>
    <w:qFormat/>
    <w:locked/>
    <w:uiPriority w:val="99"/>
    <w:rPr>
      <w:rFonts w:eastAsia="仿宋_GB2312"/>
      <w:kern w:val="2"/>
      <w:sz w:val="28"/>
    </w:rPr>
  </w:style>
  <w:style w:type="paragraph" w:customStyle="1" w:styleId="114">
    <w:name w:val="正文01"/>
    <w:basedOn w:val="1"/>
    <w:link w:val="113"/>
    <w:qFormat/>
    <w:uiPriority w:val="99"/>
    <w:pPr>
      <w:widowControl/>
      <w:spacing w:before="60" w:line="500" w:lineRule="exact"/>
      <w:ind w:firstLine="200" w:firstLineChars="200"/>
      <w:jc w:val="left"/>
    </w:pPr>
    <w:rPr>
      <w:rFonts w:eastAsia="仿宋_GB2312"/>
      <w:sz w:val="28"/>
      <w:szCs w:val="20"/>
    </w:rPr>
  </w:style>
  <w:style w:type="paragraph" w:customStyle="1" w:styleId="115">
    <w:name w:val="表内文本"/>
    <w:basedOn w:val="1"/>
    <w:qFormat/>
    <w:uiPriority w:val="99"/>
    <w:pPr>
      <w:spacing w:line="320" w:lineRule="exact"/>
      <w:jc w:val="center"/>
    </w:pPr>
    <w:rPr>
      <w:rFonts w:eastAsia="仿宋_GB2312"/>
      <w:szCs w:val="21"/>
    </w:rPr>
  </w:style>
  <w:style w:type="paragraph" w:customStyle="1" w:styleId="116">
    <w:name w:val="填表"/>
    <w:basedOn w:val="117"/>
    <w:qFormat/>
    <w:uiPriority w:val="99"/>
    <w:pPr>
      <w:ind w:firstLine="0"/>
    </w:pPr>
  </w:style>
  <w:style w:type="paragraph" w:customStyle="1" w:styleId="117">
    <w:name w:val="报告正文"/>
    <w:basedOn w:val="1"/>
    <w:qFormat/>
    <w:uiPriority w:val="99"/>
    <w:pPr>
      <w:spacing w:line="360" w:lineRule="auto"/>
      <w:ind w:firstLine="482"/>
    </w:pPr>
    <w:rPr>
      <w:szCs w:val="21"/>
    </w:rPr>
  </w:style>
  <w:style w:type="paragraph" w:customStyle="1" w:styleId="118">
    <w:name w:val="Default1"/>
    <w:qFormat/>
    <w:uiPriority w:val="0"/>
    <w:pPr>
      <w:widowControl w:val="0"/>
      <w:autoSpaceDE w:val="0"/>
      <w:autoSpaceDN w:val="0"/>
      <w:adjustRightInd w:val="0"/>
    </w:pPr>
    <w:rPr>
      <w:rFonts w:ascii="宋体" w:hAnsi="Times New Roman" w:eastAsia="宋体" w:cs="宋体"/>
      <w:color w:val="000000"/>
      <w:sz w:val="24"/>
      <w:szCs w:val="24"/>
      <w:lang w:val="en-US" w:eastAsia="zh-CN" w:bidi="ar-SA"/>
    </w:rPr>
  </w:style>
  <w:style w:type="paragraph" w:customStyle="1" w:styleId="119">
    <w:name w:val="样式1"/>
    <w:basedOn w:val="1"/>
    <w:qFormat/>
    <w:uiPriority w:val="0"/>
    <w:pPr>
      <w:spacing w:line="360" w:lineRule="auto"/>
      <w:ind w:firstLine="510"/>
    </w:pPr>
    <w:rPr>
      <w:sz w:val="24"/>
      <w:szCs w:val="20"/>
    </w:rPr>
  </w:style>
  <w:style w:type="paragraph" w:customStyle="1" w:styleId="120">
    <w:name w:val="1、表格内容"/>
    <w:basedOn w:val="1"/>
    <w:qFormat/>
    <w:uiPriority w:val="0"/>
    <w:pPr>
      <w:framePr w:hSpace="180" w:wrap="around" w:vAnchor="text" w:hAnchor="text" w:xAlign="center" w:y="1"/>
      <w:suppressOverlap/>
      <w:autoSpaceDE w:val="0"/>
      <w:autoSpaceDN w:val="0"/>
      <w:adjustRightInd w:val="0"/>
      <w:snapToGrid w:val="0"/>
      <w:spacing w:line="320" w:lineRule="exact"/>
      <w:jc w:val="center"/>
    </w:pPr>
    <w:rPr>
      <w:bCs/>
      <w:color w:val="000000"/>
      <w:szCs w:val="21"/>
    </w:rPr>
  </w:style>
  <w:style w:type="character" w:customStyle="1" w:styleId="121">
    <w:name w:val="font21"/>
    <w:basedOn w:val="34"/>
    <w:qFormat/>
    <w:uiPriority w:val="0"/>
    <w:rPr>
      <w:rFonts w:hint="eastAsia" w:ascii="宋体" w:hAnsi="宋体" w:eastAsia="宋体" w:cs="宋体"/>
      <w:color w:val="000000"/>
      <w:sz w:val="22"/>
      <w:szCs w:val="22"/>
      <w:u w:val="none"/>
    </w:rPr>
  </w:style>
  <w:style w:type="paragraph" w:customStyle="1" w:styleId="122">
    <w:name w:val="1正文"/>
    <w:basedOn w:val="9"/>
    <w:link w:val="133"/>
    <w:qFormat/>
    <w:uiPriority w:val="0"/>
    <w:pPr>
      <w:spacing w:line="360" w:lineRule="auto"/>
      <w:ind w:firstLine="480" w:firstLineChars="200"/>
      <w:jc w:val="both"/>
    </w:pPr>
    <w:rPr>
      <w:bCs/>
      <w:szCs w:val="24"/>
    </w:rPr>
  </w:style>
  <w:style w:type="character" w:customStyle="1" w:styleId="123">
    <w:name w:val="A18"/>
    <w:unhideWhenUsed/>
    <w:qFormat/>
    <w:uiPriority w:val="99"/>
    <w:rPr>
      <w:rFonts w:hint="eastAsia"/>
      <w:color w:val="505353"/>
      <w:sz w:val="24"/>
    </w:rPr>
  </w:style>
  <w:style w:type="paragraph" w:customStyle="1" w:styleId="124">
    <w:name w:val="Table Text"/>
    <w:basedOn w:val="1"/>
    <w:semiHidden/>
    <w:qFormat/>
    <w:uiPriority w:val="0"/>
    <w:rPr>
      <w:rFonts w:ascii="宋体" w:hAnsi="宋体" w:eastAsia="宋体" w:cs="宋体"/>
      <w:sz w:val="28"/>
      <w:szCs w:val="28"/>
      <w:lang w:val="en-US" w:eastAsia="en-US" w:bidi="ar-SA"/>
    </w:rPr>
  </w:style>
  <w:style w:type="table" w:customStyle="1" w:styleId="125">
    <w:name w:val="Table Normal"/>
    <w:semiHidden/>
    <w:unhideWhenUsed/>
    <w:qFormat/>
    <w:uiPriority w:val="0"/>
    <w:tblPr>
      <w:tblCellMar>
        <w:top w:w="0" w:type="dxa"/>
        <w:left w:w="0" w:type="dxa"/>
        <w:bottom w:w="0" w:type="dxa"/>
        <w:right w:w="0" w:type="dxa"/>
      </w:tblCellMar>
    </w:tblPr>
  </w:style>
  <w:style w:type="character" w:customStyle="1" w:styleId="126">
    <w:name w:val="font31"/>
    <w:basedOn w:val="34"/>
    <w:qFormat/>
    <w:uiPriority w:val="0"/>
    <w:rPr>
      <w:rFonts w:hint="eastAsia" w:ascii="宋体" w:hAnsi="宋体" w:eastAsia="宋体" w:cs="宋体"/>
      <w:color w:val="000000"/>
      <w:sz w:val="24"/>
      <w:szCs w:val="24"/>
      <w:u w:val="none"/>
    </w:rPr>
  </w:style>
  <w:style w:type="character" w:customStyle="1" w:styleId="127">
    <w:name w:val="font11"/>
    <w:basedOn w:val="34"/>
    <w:qFormat/>
    <w:uiPriority w:val="0"/>
    <w:rPr>
      <w:rFonts w:hint="default" w:ascii="Times New Roman" w:hAnsi="Times New Roman" w:cs="Times New Roman"/>
      <w:color w:val="000000"/>
      <w:sz w:val="24"/>
      <w:szCs w:val="24"/>
      <w:u w:val="none"/>
    </w:rPr>
  </w:style>
  <w:style w:type="paragraph" w:customStyle="1" w:styleId="128">
    <w:name w:val="1表头"/>
    <w:basedOn w:val="1"/>
    <w:qFormat/>
    <w:uiPriority w:val="0"/>
    <w:pPr>
      <w:adjustRightInd w:val="0"/>
      <w:snapToGrid w:val="0"/>
      <w:spacing w:before="120" w:beforeLines="50"/>
      <w:jc w:val="center"/>
    </w:pPr>
    <w:rPr>
      <w:b/>
      <w:bCs/>
      <w:color w:val="000000"/>
      <w:sz w:val="24"/>
    </w:rPr>
  </w:style>
  <w:style w:type="paragraph" w:customStyle="1" w:styleId="129">
    <w:name w:val="1 表格内容"/>
    <w:basedOn w:val="1"/>
    <w:qFormat/>
    <w:uiPriority w:val="0"/>
    <w:pPr>
      <w:widowControl/>
      <w:adjustRightInd w:val="0"/>
      <w:snapToGrid w:val="0"/>
      <w:spacing w:line="320" w:lineRule="exact"/>
      <w:jc w:val="center"/>
      <w:textAlignment w:val="center"/>
    </w:pPr>
    <w:rPr>
      <w:color w:val="000000"/>
      <w:kern w:val="0"/>
      <w:szCs w:val="21"/>
    </w:rPr>
  </w:style>
  <w:style w:type="paragraph" w:customStyle="1" w:styleId="130">
    <w:name w:val="1  表头"/>
    <w:basedOn w:val="1"/>
    <w:qFormat/>
    <w:uiPriority w:val="0"/>
    <w:pPr>
      <w:widowControl/>
      <w:overflowPunct w:val="0"/>
      <w:spacing w:before="120" w:beforeLines="50"/>
      <w:jc w:val="center"/>
      <w:textAlignment w:val="baseline"/>
    </w:pPr>
    <w:rPr>
      <w:b/>
      <w:kern w:val="0"/>
      <w:sz w:val="24"/>
      <w:szCs w:val="22"/>
    </w:rPr>
  </w:style>
  <w:style w:type="paragraph" w:customStyle="1" w:styleId="131">
    <w:name w:val="报告书正文"/>
    <w:basedOn w:val="1"/>
    <w:qFormat/>
    <w:uiPriority w:val="0"/>
    <w:pPr>
      <w:spacing w:line="360" w:lineRule="auto"/>
      <w:ind w:firstLine="480" w:firstLineChars="200"/>
    </w:pPr>
    <w:rPr>
      <w:kern w:val="0"/>
      <w:sz w:val="24"/>
      <w:szCs w:val="26"/>
    </w:rPr>
  </w:style>
  <w:style w:type="character" w:customStyle="1" w:styleId="132">
    <w:name w:val="text_as7wo"/>
    <w:qFormat/>
    <w:uiPriority w:val="0"/>
  </w:style>
  <w:style w:type="character" w:customStyle="1" w:styleId="133">
    <w:name w:val="1正文 Char"/>
    <w:link w:val="122"/>
    <w:qFormat/>
    <w:uiPriority w:val="0"/>
    <w:rPr>
      <w:bCs/>
      <w:szCs w:val="24"/>
    </w:rPr>
  </w:style>
  <w:style w:type="paragraph" w:customStyle="1" w:styleId="134">
    <w:name w:val="一级标题"/>
    <w:basedOn w:val="1"/>
    <w:qFormat/>
    <w:uiPriority w:val="0"/>
    <w:pPr>
      <w:spacing w:before="60" w:line="460" w:lineRule="exact"/>
      <w:outlineLvl w:val="0"/>
    </w:pPr>
    <w:rPr>
      <w:b/>
      <w:sz w:val="32"/>
    </w:rPr>
  </w:style>
  <w:style w:type="paragraph" w:customStyle="1" w:styleId="135">
    <w:name w:val="表"/>
    <w:basedOn w:val="1"/>
    <w:next w:val="1"/>
    <w:qFormat/>
    <w:uiPriority w:val="0"/>
    <w:pPr>
      <w:widowControl/>
      <w:snapToGrid w:val="0"/>
      <w:jc w:val="center"/>
    </w:pPr>
    <w:rPr>
      <w:spacing w:val="2"/>
      <w:szCs w:val="22"/>
    </w:rPr>
  </w:style>
  <w:style w:type="table" w:customStyle="1" w:styleId="136">
    <w:name w:val="Table Normal2"/>
    <w:unhideWhenUsed/>
    <w:qFormat/>
    <w:uiPriority w:val="2"/>
    <w:pPr>
      <w:widowControl w:val="0"/>
      <w:autoSpaceDE w:val="0"/>
      <w:autoSpaceDN w:val="0"/>
    </w:pPr>
    <w:rPr>
      <w:rFonts w:ascii="等线" w:hAnsi="等线" w:eastAsia="等线"/>
      <w:sz w:val="22"/>
      <w:lang w:eastAsia="en-US"/>
    </w:rPr>
    <w:tblPr>
      <w:tblCellMar>
        <w:top w:w="0" w:type="dxa"/>
        <w:left w:w="0" w:type="dxa"/>
        <w:bottom w:w="0" w:type="dxa"/>
        <w:right w:w="0" w:type="dxa"/>
      </w:tblCellMar>
    </w:tblPr>
  </w:style>
</w:styles>
</file>

<file path=word/_rels/document.xml.rels><?xml version="1.0" encoding="UTF-8" standalone="yes"?>
<Relationships xmlns="http://schemas.openxmlformats.org/package/2006/relationships"><Relationship Id="rId9" Type="http://schemas.openxmlformats.org/officeDocument/2006/relationships/image" Target="media/image1.png"/><Relationship Id="rId8" Type="http://schemas.openxmlformats.org/officeDocument/2006/relationships/theme" Target="theme/theme1.xml"/><Relationship Id="rId7" Type="http://schemas.openxmlformats.org/officeDocument/2006/relationships/footer" Target="footer5.xml"/><Relationship Id="rId6" Type="http://schemas.openxmlformats.org/officeDocument/2006/relationships/footer" Target="footer4.xml"/><Relationship Id="rId55" Type="http://schemas.openxmlformats.org/officeDocument/2006/relationships/fontTable" Target="fontTable.xml"/><Relationship Id="rId54" Type="http://schemas.openxmlformats.org/officeDocument/2006/relationships/numbering" Target="numbering.xml"/><Relationship Id="rId53" Type="http://schemas.openxmlformats.org/officeDocument/2006/relationships/customXml" Target="../customXml/item1.xml"/><Relationship Id="rId52" Type="http://schemas.openxmlformats.org/officeDocument/2006/relationships/image" Target="media/image38.png"/><Relationship Id="rId51" Type="http://schemas.openxmlformats.org/officeDocument/2006/relationships/image" Target="media/image37.png"/><Relationship Id="rId50" Type="http://schemas.openxmlformats.org/officeDocument/2006/relationships/image" Target="media/image36.emf"/><Relationship Id="rId5" Type="http://schemas.openxmlformats.org/officeDocument/2006/relationships/footer" Target="footer3.xml"/><Relationship Id="rId49" Type="http://schemas.openxmlformats.org/officeDocument/2006/relationships/image" Target="media/image35.emf"/><Relationship Id="rId48" Type="http://schemas.openxmlformats.org/officeDocument/2006/relationships/oleObject" Target="embeddings/Microsoft_Visio_2003-2010___1.vsd"/><Relationship Id="rId47" Type="http://schemas.openxmlformats.org/officeDocument/2006/relationships/image" Target="media/image34.jpeg"/><Relationship Id="rId46" Type="http://schemas.openxmlformats.org/officeDocument/2006/relationships/image" Target="media/image33.png"/><Relationship Id="rId45" Type="http://schemas.openxmlformats.org/officeDocument/2006/relationships/image" Target="media/image32.wmf"/><Relationship Id="rId44" Type="http://schemas.openxmlformats.org/officeDocument/2006/relationships/oleObject" Target="embeddings/oleObject5.bin"/><Relationship Id="rId43" Type="http://schemas.openxmlformats.org/officeDocument/2006/relationships/image" Target="media/image31.wmf"/><Relationship Id="rId42" Type="http://schemas.openxmlformats.org/officeDocument/2006/relationships/image" Target="media/image30.png"/><Relationship Id="rId41" Type="http://schemas.openxmlformats.org/officeDocument/2006/relationships/image" Target="media/image29.png"/><Relationship Id="rId40" Type="http://schemas.openxmlformats.org/officeDocument/2006/relationships/image" Target="media/image28.png"/><Relationship Id="rId4" Type="http://schemas.openxmlformats.org/officeDocument/2006/relationships/footer" Target="footer2.xml"/><Relationship Id="rId39" Type="http://schemas.openxmlformats.org/officeDocument/2006/relationships/image" Target="media/image27.png"/><Relationship Id="rId38" Type="http://schemas.openxmlformats.org/officeDocument/2006/relationships/image" Target="media/image26.png"/><Relationship Id="rId37" Type="http://schemas.openxmlformats.org/officeDocument/2006/relationships/image" Target="media/image25.png"/><Relationship Id="rId36" Type="http://schemas.openxmlformats.org/officeDocument/2006/relationships/image" Target="media/image24.png"/><Relationship Id="rId35" Type="http://schemas.openxmlformats.org/officeDocument/2006/relationships/image" Target="media/image23.png"/><Relationship Id="rId34" Type="http://schemas.openxmlformats.org/officeDocument/2006/relationships/image" Target="media/image22.png"/><Relationship Id="rId33" Type="http://schemas.openxmlformats.org/officeDocument/2006/relationships/image" Target="media/image21.png"/><Relationship Id="rId32" Type="http://schemas.openxmlformats.org/officeDocument/2006/relationships/image" Target="media/image20.png"/><Relationship Id="rId31" Type="http://schemas.openxmlformats.org/officeDocument/2006/relationships/image" Target="media/image19.png"/><Relationship Id="rId30" Type="http://schemas.openxmlformats.org/officeDocument/2006/relationships/image" Target="media/image18.png"/><Relationship Id="rId3" Type="http://schemas.openxmlformats.org/officeDocument/2006/relationships/footer" Target="footer1.xml"/><Relationship Id="rId29" Type="http://schemas.openxmlformats.org/officeDocument/2006/relationships/image" Target="media/image17.png"/><Relationship Id="rId28" Type="http://schemas.openxmlformats.org/officeDocument/2006/relationships/image" Target="media/image16.png"/><Relationship Id="rId27" Type="http://schemas.openxmlformats.org/officeDocument/2006/relationships/image" Target="media/image15.png"/><Relationship Id="rId26" Type="http://schemas.openxmlformats.org/officeDocument/2006/relationships/image" Target="media/image14.png"/><Relationship Id="rId25" Type="http://schemas.openxmlformats.org/officeDocument/2006/relationships/image" Target="media/image13.png"/><Relationship Id="rId24" Type="http://schemas.openxmlformats.org/officeDocument/2006/relationships/image" Target="media/image12.png"/><Relationship Id="rId23" Type="http://schemas.openxmlformats.org/officeDocument/2006/relationships/image" Target="media/image11.emf"/><Relationship Id="rId22" Type="http://schemas.openxmlformats.org/officeDocument/2006/relationships/oleObject" Target="embeddings/oleObject4.bin"/><Relationship Id="rId21" Type="http://schemas.openxmlformats.org/officeDocument/2006/relationships/image" Target="media/image10.emf"/><Relationship Id="rId20" Type="http://schemas.openxmlformats.org/officeDocument/2006/relationships/oleObject" Target="embeddings/oleObject3.bin"/><Relationship Id="rId2" Type="http://schemas.openxmlformats.org/officeDocument/2006/relationships/settings" Target="settings.xml"/><Relationship Id="rId19" Type="http://schemas.openxmlformats.org/officeDocument/2006/relationships/image" Target="media/image9.emf"/><Relationship Id="rId18" Type="http://schemas.openxmlformats.org/officeDocument/2006/relationships/oleObject" Target="embeddings/oleObject2.bin"/><Relationship Id="rId17" Type="http://schemas.openxmlformats.org/officeDocument/2006/relationships/image" Target="media/image8.emf"/><Relationship Id="rId16" Type="http://schemas.openxmlformats.org/officeDocument/2006/relationships/oleObject" Target="embeddings/oleObject1.bin"/><Relationship Id="rId15" Type="http://schemas.openxmlformats.org/officeDocument/2006/relationships/image" Target="media/image7.png"/><Relationship Id="rId14" Type="http://schemas.openxmlformats.org/officeDocument/2006/relationships/image" Target="media/image6.png"/><Relationship Id="rId13" Type="http://schemas.openxmlformats.org/officeDocument/2006/relationships/image" Target="media/image5.png"/><Relationship Id="rId12" Type="http://schemas.openxmlformats.org/officeDocument/2006/relationships/image" Target="media/image4.png"/><Relationship Id="rId11" Type="http://schemas.openxmlformats.org/officeDocument/2006/relationships/image" Target="media/image3.png"/><Relationship Id="rId10" Type="http://schemas.openxmlformats.org/officeDocument/2006/relationships/image" Target="media/image2.png"/><Relationship Id="rId1"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
    <customSectPr/>
    <customSectPr/>
    <customSectPr/>
    <customSectPr/>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Company>微软中国</Company>
  <Pages>144</Pages>
  <Words>14055</Words>
  <Characters>14966</Characters>
  <Lines>1</Lines>
  <Paragraphs>1</Paragraphs>
  <TotalTime>27</TotalTime>
  <ScaleCrop>false</ScaleCrop>
  <LinksUpToDate>false</LinksUpToDate>
  <CharactersWithSpaces>15107</CharactersWithSpaces>
  <Application>WPS Office_12.1.0.20305_F1E327BC-269C-435d-A152-05C5408002CA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2021-08-09T07:19:00Z</dcterms:created>
  <dc:creator>lhj</dc:creator>
  <cp:lastModifiedBy>黄炜</cp:lastModifiedBy>
  <cp:lastPrinted>2024-01-02T01:50:00Z</cp:lastPrinted>
  <dcterms:modified xsi:type="dcterms:W3CDTF">2025-02-24T00:45:55Z</dcterms:modified>
  <dc:title>附件2</dc:title>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2052-12.1.0.20305</vt:lpwstr>
  </property>
  <property fmtid="{D5CDD505-2E9C-101B-9397-08002B2CF9AE}" pid="3" name="ICV">
    <vt:lpwstr>27F615BB99844CD6AEBECBF5CF492480_13</vt:lpwstr>
  </property>
  <property fmtid="{D5CDD505-2E9C-101B-9397-08002B2CF9AE}" pid="4" name="KSOTemplateDocerSaveRecord">
    <vt:lpwstr>eyJoZGlkIjoiOTUxZTU4ZDUzYzExYTExZGY3YTdlODgxZjU4YTY2Y2EiLCJ1c2VySWQiOiIyMDc5NjIxOTcifQ==</vt:lpwstr>
  </property>
</Properties>
</file>